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7E4BD" w:themeColor="accent3" w:themeTint="66"/>
  <w:body>
    <w:tbl>
      <w:tblPr>
        <w:tblStyle w:val="81"/>
        <w:tblW w:w="0" w:type="auto"/>
        <w:tblInd w:w="0" w:type="dxa"/>
        <w:tblLayout w:type="autofit"/>
        <w:tblCellMar>
          <w:top w:w="0" w:type="dxa"/>
          <w:left w:w="108" w:type="dxa"/>
          <w:bottom w:w="0" w:type="dxa"/>
          <w:right w:w="108" w:type="dxa"/>
        </w:tblCellMar>
      </w:tblPr>
      <w:tblGrid>
        <w:gridCol w:w="8528"/>
      </w:tblGrid>
      <w:tr w14:paraId="1E0A72EE">
        <w:tblPrEx>
          <w:tblCellMar>
            <w:top w:w="0" w:type="dxa"/>
            <w:left w:w="108" w:type="dxa"/>
            <w:bottom w:w="0" w:type="dxa"/>
            <w:right w:w="108" w:type="dxa"/>
          </w:tblCellMar>
        </w:tblPrEx>
        <w:trPr>
          <w:trHeight w:val="855" w:hRule="atLeast"/>
        </w:trPr>
        <w:tc>
          <w:tcPr>
            <w:tcW w:w="8312" w:type="dxa"/>
          </w:tcPr>
          <w:p w14:paraId="5D298CC6">
            <w:pPr>
              <w:adjustRightInd w:val="0"/>
              <w:snapToGrid w:val="0"/>
              <w:ind w:firstLine="210" w:firstLineChars="100"/>
              <w:rPr>
                <w:rFonts w:ascii="宋体" w:hAnsi="宋体" w:eastAsia="宋体"/>
                <w:color w:val="auto"/>
                <w:sz w:val="44"/>
              </w:rPr>
            </w:pPr>
            <w:bookmarkStart w:id="0" w:name="_Toc147684758"/>
            <w:r>
              <w:rPr>
                <w:rFonts w:ascii="宋体" w:hAnsi="宋体" w:eastAsia="宋体"/>
                <w:color w:val="auto"/>
              </w:rPr>
              <w:drawing>
                <wp:anchor distT="0" distB="0" distL="114300" distR="114300" simplePos="0" relativeHeight="251660288" behindDoc="0" locked="0" layoutInCell="1" allowOverlap="1">
                  <wp:simplePos x="0" y="0"/>
                  <wp:positionH relativeFrom="column">
                    <wp:posOffset>4321810</wp:posOffset>
                  </wp:positionH>
                  <wp:positionV relativeFrom="paragraph">
                    <wp:posOffset>-19685</wp:posOffset>
                  </wp:positionV>
                  <wp:extent cx="619125" cy="619125"/>
                  <wp:effectExtent l="0" t="0" r="9525" b="952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srcRect/>
                          <a:stretch>
                            <a:fillRect/>
                          </a:stretch>
                        </pic:blipFill>
                        <pic:spPr>
                          <a:xfrm>
                            <a:off x="0" y="0"/>
                            <a:ext cx="619125" cy="619125"/>
                          </a:xfrm>
                          <a:prstGeom prst="rect">
                            <a:avLst/>
                          </a:prstGeom>
                          <a:noFill/>
                        </pic:spPr>
                      </pic:pic>
                    </a:graphicData>
                  </a:graphic>
                </wp:anchor>
              </w:drawing>
            </w:r>
            <w:r>
              <w:rPr>
                <w:rFonts w:ascii="宋体" w:hAnsi="宋体" w:eastAsia="宋体"/>
                <w:color w:val="auto"/>
              </w:rPr>
              <w:drawing>
                <wp:anchor distT="0" distB="0" distL="114300" distR="114300" simplePos="0" relativeHeight="251659264" behindDoc="0" locked="0" layoutInCell="1" allowOverlap="1">
                  <wp:simplePos x="0" y="0"/>
                  <wp:positionH relativeFrom="column">
                    <wp:posOffset>-635</wp:posOffset>
                  </wp:positionH>
                  <wp:positionV relativeFrom="paragraph">
                    <wp:posOffset>47625</wp:posOffset>
                  </wp:positionV>
                  <wp:extent cx="463550" cy="40259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5"/>
                          <a:srcRect/>
                          <a:stretch>
                            <a:fillRect/>
                          </a:stretch>
                        </pic:blipFill>
                        <pic:spPr>
                          <a:xfrm>
                            <a:off x="0" y="0"/>
                            <a:ext cx="463550" cy="402590"/>
                          </a:xfrm>
                          <a:prstGeom prst="rect">
                            <a:avLst/>
                          </a:prstGeom>
                          <a:noFill/>
                        </pic:spPr>
                      </pic:pic>
                    </a:graphicData>
                  </a:graphic>
                </wp:anchor>
              </w:drawing>
            </w:r>
            <w:r>
              <w:rPr>
                <w:rFonts w:ascii="宋体" w:hAnsi="宋体" w:eastAsia="宋体"/>
                <w:color w:val="auto"/>
                <w:sz w:val="56"/>
                <w:szCs w:val="52"/>
              </w:rPr>
              <w:t>S</w:t>
            </w:r>
            <w:r>
              <w:rPr>
                <w:rFonts w:hint="eastAsia" w:ascii="宋体" w:hAnsi="宋体" w:eastAsia="宋体"/>
                <w:color w:val="auto"/>
                <w:sz w:val="56"/>
                <w:szCs w:val="52"/>
              </w:rPr>
              <w:t>STC</w:t>
            </w:r>
          </w:p>
        </w:tc>
      </w:tr>
      <w:tr w14:paraId="0924FDF6">
        <w:tblPrEx>
          <w:tblCellMar>
            <w:top w:w="0" w:type="dxa"/>
            <w:left w:w="108" w:type="dxa"/>
            <w:bottom w:w="0" w:type="dxa"/>
            <w:right w:w="108" w:type="dxa"/>
          </w:tblCellMar>
        </w:tblPrEx>
        <w:trPr>
          <w:trHeight w:val="2113" w:hRule="atLeast"/>
        </w:trPr>
        <w:tc>
          <w:tcPr>
            <w:tcW w:w="8312" w:type="dxa"/>
          </w:tcPr>
          <w:p w14:paraId="11E7D6A0">
            <w:pPr>
              <w:adjustRightInd w:val="0"/>
              <w:snapToGrid w:val="0"/>
              <w:jc w:val="center"/>
              <w:rPr>
                <w:rFonts w:ascii="宋体" w:hAnsi="宋体" w:eastAsia="宋体"/>
                <w:color w:val="auto"/>
                <w:sz w:val="44"/>
              </w:rPr>
            </w:pPr>
          </w:p>
          <w:p w14:paraId="06217A84">
            <w:pPr>
              <w:adjustRightInd w:val="0"/>
              <w:snapToGrid w:val="0"/>
              <w:jc w:val="center"/>
              <w:rPr>
                <w:rFonts w:ascii="宋体" w:hAnsi="宋体" w:eastAsia="宋体"/>
                <w:color w:val="auto"/>
                <w:sz w:val="44"/>
              </w:rPr>
            </w:pPr>
          </w:p>
          <w:p w14:paraId="4D65CAE1">
            <w:pPr>
              <w:adjustRightInd w:val="0"/>
              <w:snapToGrid w:val="0"/>
              <w:jc w:val="center"/>
              <w:rPr>
                <w:rFonts w:ascii="宋体" w:hAnsi="宋体" w:eastAsia="宋体"/>
                <w:color w:val="auto"/>
                <w:sz w:val="44"/>
              </w:rPr>
            </w:pPr>
          </w:p>
          <w:p w14:paraId="55250B07">
            <w:pPr>
              <w:adjustRightInd w:val="0"/>
              <w:snapToGrid w:val="0"/>
              <w:jc w:val="center"/>
              <w:rPr>
                <w:rFonts w:ascii="宋体" w:hAnsi="宋体" w:eastAsia="宋体"/>
                <w:color w:val="auto"/>
                <w:sz w:val="44"/>
              </w:rPr>
            </w:pPr>
          </w:p>
        </w:tc>
      </w:tr>
      <w:tr w14:paraId="38A70919">
        <w:tblPrEx>
          <w:tblCellMar>
            <w:top w:w="0" w:type="dxa"/>
            <w:left w:w="108" w:type="dxa"/>
            <w:bottom w:w="0" w:type="dxa"/>
            <w:right w:w="108" w:type="dxa"/>
          </w:tblCellMar>
        </w:tblPrEx>
        <w:trPr>
          <w:trHeight w:val="1557" w:hRule="atLeast"/>
        </w:trPr>
        <w:tc>
          <w:tcPr>
            <w:tcW w:w="8312" w:type="dxa"/>
          </w:tcPr>
          <w:p w14:paraId="24CADE3D">
            <w:pPr>
              <w:adjustRightInd w:val="0"/>
              <w:snapToGrid w:val="0"/>
              <w:spacing w:line="360" w:lineRule="auto"/>
              <w:jc w:val="center"/>
              <w:rPr>
                <w:rFonts w:ascii="宋体" w:hAnsi="宋体" w:eastAsia="宋体"/>
                <w:b/>
                <w:bCs/>
                <w:color w:val="auto"/>
                <w:sz w:val="48"/>
                <w:szCs w:val="48"/>
              </w:rPr>
            </w:pPr>
            <w:r>
              <w:rPr>
                <w:rFonts w:hint="eastAsia" w:ascii="宋体" w:hAnsi="宋体" w:eastAsia="宋体"/>
                <w:b/>
                <w:bCs/>
                <w:color w:val="auto"/>
                <w:sz w:val="48"/>
                <w:szCs w:val="48"/>
              </w:rPr>
              <w:t>肇源油田源212区块扶余油层水平井提产试验产能建设地面工程</w:t>
            </w:r>
          </w:p>
          <w:p w14:paraId="197BACF6">
            <w:pPr>
              <w:adjustRightInd w:val="0"/>
              <w:snapToGrid w:val="0"/>
              <w:spacing w:line="360" w:lineRule="auto"/>
              <w:jc w:val="center"/>
              <w:rPr>
                <w:rFonts w:ascii="宋体" w:hAnsi="宋体" w:eastAsia="宋体"/>
                <w:color w:val="auto"/>
                <w:sz w:val="48"/>
                <w:szCs w:val="48"/>
              </w:rPr>
            </w:pPr>
            <w:r>
              <w:rPr>
                <w:rFonts w:hint="eastAsia" w:ascii="宋体" w:hAnsi="宋体" w:eastAsia="宋体"/>
                <w:b/>
                <w:bCs/>
                <w:color w:val="auto"/>
                <w:sz w:val="48"/>
                <w:szCs w:val="48"/>
              </w:rPr>
              <w:t>环境影响报告书</w:t>
            </w:r>
          </w:p>
        </w:tc>
      </w:tr>
      <w:tr w14:paraId="68E06BEF">
        <w:tblPrEx>
          <w:tblCellMar>
            <w:top w:w="0" w:type="dxa"/>
            <w:left w:w="108" w:type="dxa"/>
            <w:bottom w:w="0" w:type="dxa"/>
            <w:right w:w="108" w:type="dxa"/>
          </w:tblCellMar>
        </w:tblPrEx>
        <w:trPr>
          <w:trHeight w:val="1269" w:hRule="atLeast"/>
        </w:trPr>
        <w:tc>
          <w:tcPr>
            <w:tcW w:w="8312" w:type="dxa"/>
          </w:tcPr>
          <w:p w14:paraId="7B14D29B">
            <w:pPr>
              <w:adjustRightInd w:val="0"/>
              <w:snapToGrid w:val="0"/>
              <w:spacing w:line="360" w:lineRule="auto"/>
              <w:jc w:val="center"/>
              <w:rPr>
                <w:rFonts w:ascii="宋体" w:hAnsi="宋体" w:eastAsia="宋体"/>
                <w:color w:val="auto"/>
                <w:sz w:val="32"/>
                <w:szCs w:val="32"/>
              </w:rPr>
            </w:pPr>
          </w:p>
        </w:tc>
      </w:tr>
      <w:tr w14:paraId="12798277">
        <w:tblPrEx>
          <w:tblCellMar>
            <w:top w:w="0" w:type="dxa"/>
            <w:left w:w="108" w:type="dxa"/>
            <w:bottom w:w="0" w:type="dxa"/>
            <w:right w:w="108" w:type="dxa"/>
          </w:tblCellMar>
        </w:tblPrEx>
        <w:trPr>
          <w:trHeight w:val="693" w:hRule="atLeast"/>
        </w:trPr>
        <w:tc>
          <w:tcPr>
            <w:tcW w:w="8312" w:type="dxa"/>
          </w:tcPr>
          <w:p w14:paraId="049991C2">
            <w:pPr>
              <w:adjustRightInd w:val="0"/>
              <w:snapToGrid w:val="0"/>
              <w:jc w:val="center"/>
              <w:rPr>
                <w:rFonts w:ascii="宋体" w:hAnsi="宋体" w:eastAsia="宋体"/>
                <w:color w:val="auto"/>
                <w:sz w:val="32"/>
              </w:rPr>
            </w:pPr>
          </w:p>
        </w:tc>
      </w:tr>
      <w:tr w14:paraId="41F4606F">
        <w:tblPrEx>
          <w:tblCellMar>
            <w:top w:w="0" w:type="dxa"/>
            <w:left w:w="108" w:type="dxa"/>
            <w:bottom w:w="0" w:type="dxa"/>
            <w:right w:w="108" w:type="dxa"/>
          </w:tblCellMar>
        </w:tblPrEx>
        <w:trPr>
          <w:trHeight w:val="275" w:hRule="atLeast"/>
        </w:trPr>
        <w:tc>
          <w:tcPr>
            <w:tcW w:w="8312" w:type="dxa"/>
          </w:tcPr>
          <w:p w14:paraId="5A8ED18A">
            <w:pPr>
              <w:adjustRightInd w:val="0"/>
              <w:snapToGrid w:val="0"/>
              <w:jc w:val="center"/>
              <w:rPr>
                <w:rFonts w:ascii="宋体" w:hAnsi="宋体" w:eastAsia="宋体"/>
                <w:color w:val="auto"/>
                <w:sz w:val="44"/>
              </w:rPr>
            </w:pPr>
          </w:p>
          <w:p w14:paraId="340991D2">
            <w:pPr>
              <w:adjustRightInd w:val="0"/>
              <w:snapToGrid w:val="0"/>
              <w:jc w:val="center"/>
              <w:rPr>
                <w:rFonts w:ascii="宋体" w:hAnsi="宋体" w:eastAsia="宋体"/>
                <w:color w:val="auto"/>
                <w:sz w:val="44"/>
              </w:rPr>
            </w:pPr>
          </w:p>
          <w:p w14:paraId="6E2BF456">
            <w:pPr>
              <w:adjustRightInd w:val="0"/>
              <w:snapToGrid w:val="0"/>
              <w:jc w:val="center"/>
              <w:rPr>
                <w:rFonts w:ascii="宋体" w:hAnsi="宋体" w:eastAsia="宋体"/>
                <w:color w:val="auto"/>
                <w:sz w:val="44"/>
              </w:rPr>
            </w:pPr>
          </w:p>
          <w:p w14:paraId="27497949">
            <w:pPr>
              <w:adjustRightInd w:val="0"/>
              <w:snapToGrid w:val="0"/>
              <w:jc w:val="center"/>
              <w:rPr>
                <w:rFonts w:ascii="宋体" w:hAnsi="宋体" w:eastAsia="宋体"/>
                <w:color w:val="auto"/>
                <w:sz w:val="44"/>
              </w:rPr>
            </w:pPr>
          </w:p>
          <w:p w14:paraId="48BEAAAE">
            <w:pPr>
              <w:adjustRightInd w:val="0"/>
              <w:snapToGrid w:val="0"/>
              <w:jc w:val="center"/>
              <w:rPr>
                <w:rFonts w:ascii="宋体" w:hAnsi="宋体" w:eastAsia="宋体"/>
                <w:color w:val="auto"/>
                <w:sz w:val="44"/>
              </w:rPr>
            </w:pPr>
          </w:p>
          <w:p w14:paraId="55A6A1C9">
            <w:pPr>
              <w:adjustRightInd w:val="0"/>
              <w:snapToGrid w:val="0"/>
              <w:jc w:val="center"/>
              <w:rPr>
                <w:rFonts w:ascii="宋体" w:hAnsi="宋体" w:eastAsia="宋体"/>
                <w:color w:val="auto"/>
                <w:sz w:val="44"/>
              </w:rPr>
            </w:pPr>
          </w:p>
          <w:p w14:paraId="74998E48">
            <w:pPr>
              <w:adjustRightInd w:val="0"/>
              <w:snapToGrid w:val="0"/>
              <w:jc w:val="center"/>
              <w:rPr>
                <w:rFonts w:ascii="宋体" w:hAnsi="宋体" w:eastAsia="宋体"/>
                <w:color w:val="auto"/>
                <w:sz w:val="44"/>
              </w:rPr>
            </w:pPr>
          </w:p>
        </w:tc>
      </w:tr>
      <w:tr w14:paraId="5661E415">
        <w:tblPrEx>
          <w:tblCellMar>
            <w:top w:w="0" w:type="dxa"/>
            <w:left w:w="108" w:type="dxa"/>
            <w:bottom w:w="0" w:type="dxa"/>
            <w:right w:w="108" w:type="dxa"/>
          </w:tblCellMar>
        </w:tblPrEx>
        <w:trPr>
          <w:trHeight w:val="254" w:hRule="atLeast"/>
        </w:trPr>
        <w:tc>
          <w:tcPr>
            <w:tcW w:w="8312" w:type="dxa"/>
          </w:tcPr>
          <w:tbl>
            <w:tblPr>
              <w:tblStyle w:val="81"/>
              <w:tblW w:w="8402" w:type="dxa"/>
              <w:tblInd w:w="0" w:type="dxa"/>
              <w:tblLayout w:type="autofit"/>
              <w:tblCellMar>
                <w:top w:w="0" w:type="dxa"/>
                <w:left w:w="108" w:type="dxa"/>
                <w:bottom w:w="0" w:type="dxa"/>
                <w:right w:w="108" w:type="dxa"/>
              </w:tblCellMar>
            </w:tblPr>
            <w:tblGrid>
              <w:gridCol w:w="8402"/>
            </w:tblGrid>
            <w:tr w14:paraId="28C28B00">
              <w:tblPrEx>
                <w:tblCellMar>
                  <w:top w:w="0" w:type="dxa"/>
                  <w:left w:w="108" w:type="dxa"/>
                  <w:bottom w:w="0" w:type="dxa"/>
                  <w:right w:w="108" w:type="dxa"/>
                </w:tblCellMar>
              </w:tblPrEx>
              <w:trPr>
                <w:trHeight w:val="577" w:hRule="atLeast"/>
              </w:trPr>
              <w:tc>
                <w:tcPr>
                  <w:tcW w:w="8402" w:type="dxa"/>
                </w:tcPr>
                <w:p w14:paraId="57245AF7">
                  <w:pPr>
                    <w:jc w:val="center"/>
                    <w:rPr>
                      <w:rFonts w:ascii="宋体" w:hAnsi="宋体" w:eastAsia="宋体"/>
                      <w:b/>
                      <w:bCs/>
                      <w:color w:val="auto"/>
                      <w:sz w:val="28"/>
                      <w:szCs w:val="28"/>
                    </w:rPr>
                  </w:pPr>
                  <w:r>
                    <w:rPr>
                      <w:rFonts w:hint="eastAsia" w:ascii="宋体" w:hAnsi="宋体" w:eastAsia="宋体"/>
                      <w:b/>
                      <w:bCs/>
                      <w:color w:val="auto"/>
                      <w:sz w:val="28"/>
                      <w:szCs w:val="28"/>
                    </w:rPr>
                    <w:t>建设单位：大庆油田有限责任公司第十采油厂</w:t>
                  </w:r>
                </w:p>
              </w:tc>
            </w:tr>
            <w:tr w14:paraId="2BBCD52E">
              <w:tblPrEx>
                <w:tblCellMar>
                  <w:top w:w="0" w:type="dxa"/>
                  <w:left w:w="108" w:type="dxa"/>
                  <w:bottom w:w="0" w:type="dxa"/>
                  <w:right w:w="108" w:type="dxa"/>
                </w:tblCellMar>
              </w:tblPrEx>
              <w:trPr>
                <w:trHeight w:val="577" w:hRule="atLeast"/>
              </w:trPr>
              <w:tc>
                <w:tcPr>
                  <w:tcW w:w="8402" w:type="dxa"/>
                </w:tcPr>
                <w:p w14:paraId="4A5B4D99">
                  <w:pPr>
                    <w:jc w:val="center"/>
                    <w:rPr>
                      <w:rFonts w:ascii="宋体" w:hAnsi="宋体" w:eastAsia="宋体"/>
                      <w:b/>
                      <w:bCs/>
                      <w:color w:val="auto"/>
                      <w:sz w:val="28"/>
                      <w:szCs w:val="28"/>
                    </w:rPr>
                  </w:pPr>
                  <w:r>
                    <w:rPr>
                      <w:rFonts w:hint="eastAsia" w:ascii="宋体" w:hAnsi="宋体" w:eastAsia="宋体"/>
                      <w:b/>
                      <w:bCs/>
                      <w:color w:val="auto"/>
                      <w:sz w:val="28"/>
                      <w:szCs w:val="28"/>
                    </w:rPr>
                    <w:t>编制单位：森诺科技有限公司</w:t>
                  </w:r>
                </w:p>
              </w:tc>
            </w:tr>
            <w:tr w14:paraId="05DBF163">
              <w:tblPrEx>
                <w:tblCellMar>
                  <w:top w:w="0" w:type="dxa"/>
                  <w:left w:w="108" w:type="dxa"/>
                  <w:bottom w:w="0" w:type="dxa"/>
                  <w:right w:w="108" w:type="dxa"/>
                </w:tblCellMar>
              </w:tblPrEx>
              <w:trPr>
                <w:trHeight w:val="313" w:hRule="atLeast"/>
              </w:trPr>
              <w:tc>
                <w:tcPr>
                  <w:tcW w:w="8402" w:type="dxa"/>
                </w:tcPr>
                <w:p w14:paraId="064AFD16">
                  <w:pPr>
                    <w:jc w:val="center"/>
                    <w:rPr>
                      <w:rFonts w:ascii="宋体" w:hAnsi="宋体" w:eastAsia="宋体"/>
                      <w:b/>
                      <w:bCs/>
                      <w:color w:val="auto"/>
                      <w:sz w:val="28"/>
                      <w:szCs w:val="28"/>
                    </w:rPr>
                  </w:pPr>
                  <w:r>
                    <w:rPr>
                      <w:rFonts w:hint="eastAsia" w:ascii="宋体" w:hAnsi="宋体" w:eastAsia="宋体"/>
                      <w:b/>
                      <w:bCs/>
                      <w:color w:val="auto"/>
                      <w:sz w:val="28"/>
                      <w:szCs w:val="28"/>
                    </w:rPr>
                    <w:t>编制时间：二零二五年</w:t>
                  </w:r>
                  <w:r>
                    <w:rPr>
                      <w:rFonts w:hint="eastAsia" w:ascii="宋体" w:hAnsi="宋体" w:eastAsia="宋体"/>
                      <w:b/>
                      <w:bCs/>
                      <w:color w:val="auto"/>
                      <w:sz w:val="28"/>
                      <w:szCs w:val="28"/>
                      <w:lang w:val="en-US" w:eastAsia="zh-CN"/>
                    </w:rPr>
                    <w:t>九</w:t>
                  </w:r>
                  <w:r>
                    <w:rPr>
                      <w:rFonts w:hint="eastAsia" w:ascii="宋体" w:hAnsi="宋体" w:eastAsia="宋体"/>
                      <w:b/>
                      <w:bCs/>
                      <w:color w:val="auto"/>
                      <w:sz w:val="28"/>
                      <w:szCs w:val="28"/>
                    </w:rPr>
                    <w:t>月</w:t>
                  </w:r>
                </w:p>
              </w:tc>
            </w:tr>
          </w:tbl>
          <w:p w14:paraId="61C825E0">
            <w:pPr>
              <w:rPr>
                <w:rFonts w:ascii="宋体" w:hAnsi="宋体" w:eastAsia="宋体"/>
                <w:color w:val="auto"/>
                <w:sz w:val="28"/>
                <w:szCs w:val="28"/>
              </w:rPr>
            </w:pPr>
          </w:p>
        </w:tc>
      </w:tr>
    </w:tbl>
    <w:p w14:paraId="0477CE14">
      <w:pPr>
        <w:rPr>
          <w:rFonts w:ascii="宋体" w:hAnsi="宋体" w:eastAsia="宋体"/>
          <w:color w:val="auto"/>
        </w:rPr>
      </w:pPr>
    </w:p>
    <w:p w14:paraId="03297D95">
      <w:pPr>
        <w:rPr>
          <w:rFonts w:ascii="宋体" w:hAnsi="宋体" w:eastAsia="宋体"/>
          <w:color w:val="auto"/>
        </w:rPr>
        <w:sectPr>
          <w:headerReference r:id="rId3" w:type="even"/>
          <w:pgSz w:w="11906" w:h="16838"/>
          <w:pgMar w:top="1440" w:right="1797" w:bottom="1304" w:left="1797" w:header="1021" w:footer="851" w:gutter="0"/>
          <w:cols w:space="425" w:num="1"/>
          <w:docGrid w:type="lines" w:linePitch="312" w:charSpace="0"/>
        </w:sectPr>
      </w:pPr>
    </w:p>
    <w:p w14:paraId="385F373B">
      <w:pPr>
        <w:pStyle w:val="55"/>
        <w:rPr>
          <w:rFonts w:ascii="宋体" w:hAnsi="宋体"/>
          <w:b w:val="0"/>
          <w:bCs w:val="0"/>
          <w:color w:val="auto"/>
        </w:rPr>
      </w:pPr>
      <w:r>
        <w:rPr>
          <w:rFonts w:hint="eastAsia" w:ascii="宋体" w:hAnsi="宋体"/>
          <w:b w:val="0"/>
          <w:bCs w:val="0"/>
          <w:color w:val="auto"/>
        </w:rPr>
        <w:t>目 录</w:t>
      </w:r>
    </w:p>
    <w:p w14:paraId="64BCB12D">
      <w:pPr>
        <w:pStyle w:val="55"/>
        <w:rPr>
          <w:rFonts w:asciiTheme="minorHAnsi" w:eastAsiaTheme="minorEastAsia" w:cstheme="minorBidi"/>
          <w:b w:val="0"/>
          <w:bCs w:val="0"/>
          <w:color w:val="auto"/>
          <w:sz w:val="21"/>
          <w:szCs w:val="22"/>
        </w:rPr>
      </w:pPr>
      <w:r>
        <w:rPr>
          <w:rFonts w:ascii="宋体" w:hAnsi="宋体"/>
          <w:b w:val="0"/>
          <w:bCs w:val="0"/>
          <w:color w:val="auto"/>
          <w:sz w:val="24"/>
          <w:szCs w:val="24"/>
        </w:rPr>
        <w:fldChar w:fldCharType="begin"/>
      </w:r>
      <w:r>
        <w:rPr>
          <w:rFonts w:ascii="宋体" w:hAnsi="宋体"/>
          <w:b w:val="0"/>
          <w:bCs w:val="0"/>
          <w:color w:val="auto"/>
          <w:sz w:val="24"/>
          <w:szCs w:val="24"/>
        </w:rPr>
        <w:instrText xml:space="preserve"> TOC \o "1-2" \h \z \u </w:instrText>
      </w:r>
      <w:r>
        <w:rPr>
          <w:rFonts w:ascii="宋体" w:hAnsi="宋体"/>
          <w:b w:val="0"/>
          <w:bCs w:val="0"/>
          <w:color w:val="auto"/>
          <w:sz w:val="24"/>
          <w:szCs w:val="24"/>
        </w:rPr>
        <w:fldChar w:fldCharType="separate"/>
      </w:r>
      <w:r>
        <w:rPr>
          <w:color w:val="auto"/>
        </w:rPr>
        <w:fldChar w:fldCharType="begin"/>
      </w:r>
      <w:r>
        <w:rPr>
          <w:color w:val="auto"/>
        </w:rPr>
        <w:instrText xml:space="preserve"> HYPERLINK \l "_Toc212032995" </w:instrText>
      </w:r>
      <w:r>
        <w:rPr>
          <w:color w:val="auto"/>
        </w:rPr>
        <w:fldChar w:fldCharType="separate"/>
      </w:r>
      <w:r>
        <w:rPr>
          <w:rStyle w:val="94"/>
          <w:rFonts w:ascii="宋体" w:hAnsi="宋体"/>
          <w:color w:val="auto"/>
        </w:rPr>
        <w:t>1 概述</w:t>
      </w:r>
      <w:r>
        <w:rPr>
          <w:color w:val="auto"/>
        </w:rPr>
        <w:tab/>
      </w:r>
      <w:r>
        <w:rPr>
          <w:color w:val="auto"/>
        </w:rPr>
        <w:fldChar w:fldCharType="begin"/>
      </w:r>
      <w:r>
        <w:rPr>
          <w:color w:val="auto"/>
        </w:rPr>
        <w:instrText xml:space="preserve"> PAGEREF _Toc212032995 \h </w:instrText>
      </w:r>
      <w:r>
        <w:rPr>
          <w:color w:val="auto"/>
        </w:rPr>
        <w:fldChar w:fldCharType="separate"/>
      </w:r>
      <w:r>
        <w:rPr>
          <w:color w:val="auto"/>
        </w:rPr>
        <w:t>1</w:t>
      </w:r>
      <w:r>
        <w:rPr>
          <w:color w:val="auto"/>
        </w:rPr>
        <w:fldChar w:fldCharType="end"/>
      </w:r>
      <w:r>
        <w:rPr>
          <w:color w:val="auto"/>
        </w:rPr>
        <w:fldChar w:fldCharType="end"/>
      </w:r>
    </w:p>
    <w:p w14:paraId="35E6081B">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"_Toc212032996" </w:instrText>
      </w:r>
      <w:r>
        <w:rPr>
          <w:color w:val="auto"/>
        </w:rPr>
        <w:fldChar w:fldCharType="separate"/>
      </w:r>
      <w:r>
        <w:rPr>
          <w:rStyle w:val="94"/>
          <w:color w:val="auto"/>
        </w:rPr>
        <w:t>1.1 项目由来</w:t>
      </w:r>
      <w:r>
        <w:rPr>
          <w:color w:val="auto"/>
        </w:rPr>
        <w:tab/>
      </w:r>
      <w:r>
        <w:rPr>
          <w:color w:val="auto"/>
        </w:rPr>
        <w:fldChar w:fldCharType="begin"/>
      </w:r>
      <w:r>
        <w:rPr>
          <w:color w:val="auto"/>
        </w:rPr>
        <w:instrText xml:space="preserve"> PAGEREF _Toc212032996 \h </w:instrText>
      </w:r>
      <w:r>
        <w:rPr>
          <w:color w:val="auto"/>
        </w:rPr>
        <w:fldChar w:fldCharType="separate"/>
      </w:r>
      <w:r>
        <w:rPr>
          <w:color w:val="auto"/>
        </w:rPr>
        <w:t>1</w:t>
      </w:r>
      <w:r>
        <w:rPr>
          <w:color w:val="auto"/>
        </w:rPr>
        <w:fldChar w:fldCharType="end"/>
      </w:r>
      <w:r>
        <w:rPr>
          <w:color w:val="auto"/>
        </w:rPr>
        <w:fldChar w:fldCharType="end"/>
      </w:r>
    </w:p>
    <w:p w14:paraId="54D1B7D8">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"_Toc212032997" </w:instrText>
      </w:r>
      <w:r>
        <w:rPr>
          <w:color w:val="auto"/>
        </w:rPr>
        <w:fldChar w:fldCharType="separate"/>
      </w:r>
      <w:r>
        <w:rPr>
          <w:rStyle w:val="94"/>
          <w:color w:val="auto"/>
        </w:rPr>
        <w:t>1.2 项目特点</w:t>
      </w:r>
      <w:r>
        <w:rPr>
          <w:color w:val="auto"/>
        </w:rPr>
        <w:tab/>
      </w:r>
      <w:r>
        <w:rPr>
          <w:color w:val="auto"/>
        </w:rPr>
        <w:fldChar w:fldCharType="begin"/>
      </w:r>
      <w:r>
        <w:rPr>
          <w:color w:val="auto"/>
        </w:rPr>
        <w:instrText xml:space="preserve"> PAGEREF _Toc212032997 \h </w:instrText>
      </w:r>
      <w:r>
        <w:rPr>
          <w:color w:val="auto"/>
        </w:rPr>
        <w:fldChar w:fldCharType="separate"/>
      </w:r>
      <w:r>
        <w:rPr>
          <w:color w:val="auto"/>
        </w:rPr>
        <w:t>2</w:t>
      </w:r>
      <w:r>
        <w:rPr>
          <w:color w:val="auto"/>
        </w:rPr>
        <w:fldChar w:fldCharType="end"/>
      </w:r>
      <w:r>
        <w:rPr>
          <w:color w:val="auto"/>
        </w:rPr>
        <w:fldChar w:fldCharType="end"/>
      </w:r>
    </w:p>
    <w:p w14:paraId="0C86B09D">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"_Toc212032998" </w:instrText>
      </w:r>
      <w:r>
        <w:rPr>
          <w:color w:val="auto"/>
        </w:rPr>
        <w:fldChar w:fldCharType="separate"/>
      </w:r>
      <w:r>
        <w:rPr>
          <w:rStyle w:val="94"/>
          <w:color w:val="auto"/>
        </w:rPr>
        <w:t>1.3 环境影响评价工作过程</w:t>
      </w:r>
      <w:r>
        <w:rPr>
          <w:color w:val="auto"/>
        </w:rPr>
        <w:tab/>
      </w:r>
      <w:r>
        <w:rPr>
          <w:color w:val="auto"/>
        </w:rPr>
        <w:fldChar w:fldCharType="begin"/>
      </w:r>
      <w:r>
        <w:rPr>
          <w:color w:val="auto"/>
        </w:rPr>
        <w:instrText xml:space="preserve"> PAGEREF _Toc212032998 \h </w:instrText>
      </w:r>
      <w:r>
        <w:rPr>
          <w:color w:val="auto"/>
        </w:rPr>
        <w:fldChar w:fldCharType="separate"/>
      </w:r>
      <w:r>
        <w:rPr>
          <w:color w:val="auto"/>
        </w:rPr>
        <w:t>7</w:t>
      </w:r>
      <w:r>
        <w:rPr>
          <w:color w:val="auto"/>
        </w:rPr>
        <w:fldChar w:fldCharType="end"/>
      </w:r>
      <w:r>
        <w:rPr>
          <w:color w:val="auto"/>
        </w:rPr>
        <w:fldChar w:fldCharType="end"/>
      </w:r>
    </w:p>
    <w:p w14:paraId="26323407">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"_Toc212032999" </w:instrText>
      </w:r>
      <w:r>
        <w:rPr>
          <w:color w:val="auto"/>
        </w:rPr>
        <w:fldChar w:fldCharType="separate"/>
      </w:r>
      <w:r>
        <w:rPr>
          <w:rStyle w:val="94"/>
          <w:color w:val="auto"/>
        </w:rPr>
        <w:t>1.4 分析判定相关情况</w:t>
      </w:r>
      <w:r>
        <w:rPr>
          <w:color w:val="auto"/>
        </w:rPr>
        <w:tab/>
      </w:r>
      <w:r>
        <w:rPr>
          <w:color w:val="auto"/>
        </w:rPr>
        <w:fldChar w:fldCharType="begin"/>
      </w:r>
      <w:r>
        <w:rPr>
          <w:color w:val="auto"/>
        </w:rPr>
        <w:instrText xml:space="preserve"> PAGEREF _Toc212032999 \h </w:instrText>
      </w:r>
      <w:r>
        <w:rPr>
          <w:color w:val="auto"/>
        </w:rPr>
        <w:fldChar w:fldCharType="separate"/>
      </w:r>
      <w:r>
        <w:rPr>
          <w:color w:val="auto"/>
        </w:rPr>
        <w:t>9</w:t>
      </w:r>
      <w:r>
        <w:rPr>
          <w:color w:val="auto"/>
        </w:rPr>
        <w:fldChar w:fldCharType="end"/>
      </w:r>
      <w:r>
        <w:rPr>
          <w:color w:val="auto"/>
        </w:rPr>
        <w:fldChar w:fldCharType="end"/>
      </w:r>
    </w:p>
    <w:p w14:paraId="6F02C4D6">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"_Toc212033000" </w:instrText>
      </w:r>
      <w:r>
        <w:rPr>
          <w:color w:val="auto"/>
        </w:rPr>
        <w:fldChar w:fldCharType="separate"/>
      </w:r>
      <w:r>
        <w:rPr>
          <w:rStyle w:val="94"/>
          <w:color w:val="auto"/>
        </w:rPr>
        <w:t>1.5 关注的主要环境问题及环境影响</w:t>
      </w:r>
      <w:r>
        <w:rPr>
          <w:color w:val="auto"/>
        </w:rPr>
        <w:tab/>
      </w:r>
      <w:r>
        <w:rPr>
          <w:color w:val="auto"/>
        </w:rPr>
        <w:fldChar w:fldCharType="begin"/>
      </w:r>
      <w:r>
        <w:rPr>
          <w:color w:val="auto"/>
        </w:rPr>
        <w:instrText xml:space="preserve"> PAGEREF _Toc212033000 \h </w:instrText>
      </w:r>
      <w:r>
        <w:rPr>
          <w:color w:val="auto"/>
        </w:rPr>
        <w:fldChar w:fldCharType="separate"/>
      </w:r>
      <w:r>
        <w:rPr>
          <w:color w:val="auto"/>
        </w:rPr>
        <w:t>53</w:t>
      </w:r>
      <w:r>
        <w:rPr>
          <w:color w:val="auto"/>
        </w:rPr>
        <w:fldChar w:fldCharType="end"/>
      </w:r>
      <w:r>
        <w:rPr>
          <w:color w:val="auto"/>
        </w:rPr>
        <w:fldChar w:fldCharType="end"/>
      </w:r>
    </w:p>
    <w:p w14:paraId="58462CD8">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"_Toc212033001" </w:instrText>
      </w:r>
      <w:r>
        <w:rPr>
          <w:color w:val="auto"/>
        </w:rPr>
        <w:fldChar w:fldCharType="separate"/>
      </w:r>
      <w:r>
        <w:rPr>
          <w:rStyle w:val="94"/>
          <w:color w:val="auto"/>
        </w:rPr>
        <w:t>1.6 环境影响评价主要结论</w:t>
      </w:r>
      <w:r>
        <w:rPr>
          <w:color w:val="auto"/>
        </w:rPr>
        <w:tab/>
      </w:r>
      <w:r>
        <w:rPr>
          <w:color w:val="auto"/>
        </w:rPr>
        <w:fldChar w:fldCharType="begin"/>
      </w:r>
      <w:r>
        <w:rPr>
          <w:color w:val="auto"/>
        </w:rPr>
        <w:instrText xml:space="preserve"> PAGEREF _Toc212033001 \h </w:instrText>
      </w:r>
      <w:r>
        <w:rPr>
          <w:color w:val="auto"/>
        </w:rPr>
        <w:fldChar w:fldCharType="separate"/>
      </w:r>
      <w:r>
        <w:rPr>
          <w:color w:val="auto"/>
        </w:rPr>
        <w:t>57</w:t>
      </w:r>
      <w:r>
        <w:rPr>
          <w:color w:val="auto"/>
        </w:rPr>
        <w:fldChar w:fldCharType="end"/>
      </w:r>
      <w:r>
        <w:rPr>
          <w:color w:val="auto"/>
        </w:rPr>
        <w:fldChar w:fldCharType="end"/>
      </w:r>
    </w:p>
    <w:p w14:paraId="173331EA">
      <w:pPr>
        <w:pStyle w:val="55"/>
        <w:rPr>
          <w:rFonts w:asciiTheme="minorHAnsi" w:eastAsiaTheme="minorEastAsia" w:cstheme="minorBidi"/>
          <w:b w:val="0"/>
          <w:bCs w:val="0"/>
          <w:color w:val="auto"/>
          <w:sz w:val="21"/>
          <w:szCs w:val="22"/>
        </w:rPr>
      </w:pPr>
      <w:r>
        <w:rPr>
          <w:color w:val="auto"/>
        </w:rPr>
        <w:fldChar w:fldCharType="begin"/>
      </w:r>
      <w:r>
        <w:rPr>
          <w:color w:val="auto"/>
        </w:rPr>
        <w:instrText xml:space="preserve"> HYPERLINK \l "_Toc212033002" </w:instrText>
      </w:r>
      <w:r>
        <w:rPr>
          <w:color w:val="auto"/>
        </w:rPr>
        <w:fldChar w:fldCharType="separate"/>
      </w:r>
      <w:r>
        <w:rPr>
          <w:rStyle w:val="94"/>
          <w:rFonts w:ascii="宋体" w:hAnsi="宋体"/>
          <w:color w:val="auto"/>
        </w:rPr>
        <w:t>2 总则</w:t>
      </w:r>
      <w:r>
        <w:rPr>
          <w:color w:val="auto"/>
        </w:rPr>
        <w:tab/>
      </w:r>
      <w:r>
        <w:rPr>
          <w:color w:val="auto"/>
        </w:rPr>
        <w:fldChar w:fldCharType="begin"/>
      </w:r>
      <w:r>
        <w:rPr>
          <w:color w:val="auto"/>
        </w:rPr>
        <w:instrText xml:space="preserve"> PAGEREF _Toc212033002 \h </w:instrText>
      </w:r>
      <w:r>
        <w:rPr>
          <w:color w:val="auto"/>
        </w:rPr>
        <w:fldChar w:fldCharType="separate"/>
      </w:r>
      <w:r>
        <w:rPr>
          <w:color w:val="auto"/>
        </w:rPr>
        <w:t>59</w:t>
      </w:r>
      <w:r>
        <w:rPr>
          <w:color w:val="auto"/>
        </w:rPr>
        <w:fldChar w:fldCharType="end"/>
      </w:r>
      <w:r>
        <w:rPr>
          <w:color w:val="auto"/>
        </w:rPr>
        <w:fldChar w:fldCharType="end"/>
      </w:r>
    </w:p>
    <w:p w14:paraId="220E9083">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"_Toc212033003" </w:instrText>
      </w:r>
      <w:r>
        <w:rPr>
          <w:color w:val="auto"/>
        </w:rPr>
        <w:fldChar w:fldCharType="separate"/>
      </w:r>
      <w:r>
        <w:rPr>
          <w:rStyle w:val="94"/>
          <w:color w:val="auto"/>
        </w:rPr>
        <w:t>2.1 评价目的</w:t>
      </w:r>
      <w:r>
        <w:rPr>
          <w:color w:val="auto"/>
        </w:rPr>
        <w:tab/>
      </w:r>
      <w:r>
        <w:rPr>
          <w:color w:val="auto"/>
        </w:rPr>
        <w:fldChar w:fldCharType="begin"/>
      </w:r>
      <w:r>
        <w:rPr>
          <w:color w:val="auto"/>
        </w:rPr>
        <w:instrText xml:space="preserve"> PAGEREF _Toc212033003 \h </w:instrText>
      </w:r>
      <w:r>
        <w:rPr>
          <w:color w:val="auto"/>
        </w:rPr>
        <w:fldChar w:fldCharType="separate"/>
      </w:r>
      <w:r>
        <w:rPr>
          <w:color w:val="auto"/>
        </w:rPr>
        <w:t>59</w:t>
      </w:r>
      <w:r>
        <w:rPr>
          <w:color w:val="auto"/>
        </w:rPr>
        <w:fldChar w:fldCharType="end"/>
      </w:r>
      <w:r>
        <w:rPr>
          <w:color w:val="auto"/>
        </w:rPr>
        <w:fldChar w:fldCharType="end"/>
      </w:r>
    </w:p>
    <w:p w14:paraId="23CAB567">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"_Toc212033004" </w:instrText>
      </w:r>
      <w:r>
        <w:rPr>
          <w:color w:val="auto"/>
        </w:rPr>
        <w:fldChar w:fldCharType="separate"/>
      </w:r>
      <w:r>
        <w:rPr>
          <w:rStyle w:val="94"/>
          <w:color w:val="auto"/>
        </w:rPr>
        <w:t>2.2 评价原则</w:t>
      </w:r>
      <w:r>
        <w:rPr>
          <w:color w:val="auto"/>
        </w:rPr>
        <w:tab/>
      </w:r>
      <w:r>
        <w:rPr>
          <w:color w:val="auto"/>
        </w:rPr>
        <w:fldChar w:fldCharType="begin"/>
      </w:r>
      <w:r>
        <w:rPr>
          <w:color w:val="auto"/>
        </w:rPr>
        <w:instrText xml:space="preserve"> PAGEREF _Toc212033004 \h </w:instrText>
      </w:r>
      <w:r>
        <w:rPr>
          <w:color w:val="auto"/>
        </w:rPr>
        <w:fldChar w:fldCharType="separate"/>
      </w:r>
      <w:r>
        <w:rPr>
          <w:color w:val="auto"/>
        </w:rPr>
        <w:t>59</w:t>
      </w:r>
      <w:r>
        <w:rPr>
          <w:color w:val="auto"/>
        </w:rPr>
        <w:fldChar w:fldCharType="end"/>
      </w:r>
      <w:r>
        <w:rPr>
          <w:color w:val="auto"/>
        </w:rPr>
        <w:fldChar w:fldCharType="end"/>
      </w:r>
    </w:p>
    <w:p w14:paraId="329DF2A8">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"_Toc212033005" </w:instrText>
      </w:r>
      <w:r>
        <w:rPr>
          <w:color w:val="auto"/>
        </w:rPr>
        <w:fldChar w:fldCharType="separate"/>
      </w:r>
      <w:r>
        <w:rPr>
          <w:rStyle w:val="94"/>
          <w:color w:val="auto"/>
        </w:rPr>
        <w:t>2.3 编制依据</w:t>
      </w:r>
      <w:r>
        <w:rPr>
          <w:color w:val="auto"/>
        </w:rPr>
        <w:tab/>
      </w:r>
      <w:r>
        <w:rPr>
          <w:color w:val="auto"/>
        </w:rPr>
        <w:fldChar w:fldCharType="begin"/>
      </w:r>
      <w:r>
        <w:rPr>
          <w:color w:val="auto"/>
        </w:rPr>
        <w:instrText xml:space="preserve"> PAGEREF _Toc212033005 \h </w:instrText>
      </w:r>
      <w:r>
        <w:rPr>
          <w:color w:val="auto"/>
        </w:rPr>
        <w:fldChar w:fldCharType="separate"/>
      </w:r>
      <w:r>
        <w:rPr>
          <w:color w:val="auto"/>
        </w:rPr>
        <w:t>60</w:t>
      </w:r>
      <w:r>
        <w:rPr>
          <w:color w:val="auto"/>
        </w:rPr>
        <w:fldChar w:fldCharType="end"/>
      </w:r>
      <w:r>
        <w:rPr>
          <w:color w:val="auto"/>
        </w:rPr>
        <w:fldChar w:fldCharType="end"/>
      </w:r>
    </w:p>
    <w:p w14:paraId="7072E062">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"_Toc212033006" </w:instrText>
      </w:r>
      <w:r>
        <w:rPr>
          <w:color w:val="auto"/>
        </w:rPr>
        <w:fldChar w:fldCharType="separate"/>
      </w:r>
      <w:r>
        <w:rPr>
          <w:rStyle w:val="94"/>
          <w:color w:val="auto"/>
        </w:rPr>
        <w:t>2.4 环境影响识别与评价因子筛选</w:t>
      </w:r>
      <w:r>
        <w:rPr>
          <w:color w:val="auto"/>
        </w:rPr>
        <w:tab/>
      </w:r>
      <w:r>
        <w:rPr>
          <w:color w:val="auto"/>
        </w:rPr>
        <w:fldChar w:fldCharType="begin"/>
      </w:r>
      <w:r>
        <w:rPr>
          <w:color w:val="auto"/>
        </w:rPr>
        <w:instrText xml:space="preserve"> PAGEREF _Toc212033006 \h </w:instrText>
      </w:r>
      <w:r>
        <w:rPr>
          <w:color w:val="auto"/>
        </w:rPr>
        <w:fldChar w:fldCharType="separate"/>
      </w:r>
      <w:r>
        <w:rPr>
          <w:color w:val="auto"/>
        </w:rPr>
        <w:t>64</w:t>
      </w:r>
      <w:r>
        <w:rPr>
          <w:color w:val="auto"/>
        </w:rPr>
        <w:fldChar w:fldCharType="end"/>
      </w:r>
      <w:r>
        <w:rPr>
          <w:color w:val="auto"/>
        </w:rPr>
        <w:fldChar w:fldCharType="end"/>
      </w:r>
    </w:p>
    <w:p w14:paraId="02170924">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"_Toc212033007" </w:instrText>
      </w:r>
      <w:r>
        <w:rPr>
          <w:color w:val="auto"/>
        </w:rPr>
        <w:fldChar w:fldCharType="separate"/>
      </w:r>
      <w:r>
        <w:rPr>
          <w:rStyle w:val="94"/>
          <w:color w:val="auto"/>
        </w:rPr>
        <w:t>2.5 评价标准</w:t>
      </w:r>
      <w:r>
        <w:rPr>
          <w:color w:val="auto"/>
        </w:rPr>
        <w:tab/>
      </w:r>
      <w:r>
        <w:rPr>
          <w:color w:val="auto"/>
        </w:rPr>
        <w:fldChar w:fldCharType="begin"/>
      </w:r>
      <w:r>
        <w:rPr>
          <w:color w:val="auto"/>
        </w:rPr>
        <w:instrText xml:space="preserve"> PAGEREF _Toc212033007 \h </w:instrText>
      </w:r>
      <w:r>
        <w:rPr>
          <w:color w:val="auto"/>
        </w:rPr>
        <w:fldChar w:fldCharType="separate"/>
      </w:r>
      <w:r>
        <w:rPr>
          <w:color w:val="auto"/>
        </w:rPr>
        <w:t>67</w:t>
      </w:r>
      <w:r>
        <w:rPr>
          <w:color w:val="auto"/>
        </w:rPr>
        <w:fldChar w:fldCharType="end"/>
      </w:r>
      <w:r>
        <w:rPr>
          <w:color w:val="auto"/>
        </w:rPr>
        <w:fldChar w:fldCharType="end"/>
      </w:r>
    </w:p>
    <w:p w14:paraId="48C64F2B">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"_Toc212033008" </w:instrText>
      </w:r>
      <w:r>
        <w:rPr>
          <w:color w:val="auto"/>
        </w:rPr>
        <w:fldChar w:fldCharType="separate"/>
      </w:r>
      <w:r>
        <w:rPr>
          <w:rStyle w:val="94"/>
          <w:color w:val="auto"/>
        </w:rPr>
        <w:t>2.6 评价等级及评价范围</w:t>
      </w:r>
      <w:r>
        <w:rPr>
          <w:color w:val="auto"/>
        </w:rPr>
        <w:tab/>
      </w:r>
      <w:r>
        <w:rPr>
          <w:color w:val="auto"/>
        </w:rPr>
        <w:fldChar w:fldCharType="begin"/>
      </w:r>
      <w:r>
        <w:rPr>
          <w:color w:val="auto"/>
        </w:rPr>
        <w:instrText xml:space="preserve"> PAGEREF _Toc212033008 \h </w:instrText>
      </w:r>
      <w:r>
        <w:rPr>
          <w:color w:val="auto"/>
        </w:rPr>
        <w:fldChar w:fldCharType="separate"/>
      </w:r>
      <w:r>
        <w:rPr>
          <w:color w:val="auto"/>
        </w:rPr>
        <w:t>75</w:t>
      </w:r>
      <w:r>
        <w:rPr>
          <w:color w:val="auto"/>
        </w:rPr>
        <w:fldChar w:fldCharType="end"/>
      </w:r>
      <w:r>
        <w:rPr>
          <w:color w:val="auto"/>
        </w:rPr>
        <w:fldChar w:fldCharType="end"/>
      </w:r>
    </w:p>
    <w:p w14:paraId="7AD7FB16">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"_Toc212033009" </w:instrText>
      </w:r>
      <w:r>
        <w:rPr>
          <w:color w:val="auto"/>
        </w:rPr>
        <w:fldChar w:fldCharType="separate"/>
      </w:r>
      <w:r>
        <w:rPr>
          <w:rStyle w:val="94"/>
          <w:color w:val="auto"/>
        </w:rPr>
        <w:t>2.7 环境保护目标</w:t>
      </w:r>
      <w:r>
        <w:rPr>
          <w:color w:val="auto"/>
        </w:rPr>
        <w:tab/>
      </w:r>
      <w:r>
        <w:rPr>
          <w:color w:val="auto"/>
        </w:rPr>
        <w:fldChar w:fldCharType="begin"/>
      </w:r>
      <w:r>
        <w:rPr>
          <w:color w:val="auto"/>
        </w:rPr>
        <w:instrText xml:space="preserve"> PAGEREF _Toc212033009 \h </w:instrText>
      </w:r>
      <w:r>
        <w:rPr>
          <w:color w:val="auto"/>
        </w:rPr>
        <w:fldChar w:fldCharType="separate"/>
      </w:r>
      <w:r>
        <w:rPr>
          <w:color w:val="auto"/>
        </w:rPr>
        <w:t>94</w:t>
      </w:r>
      <w:r>
        <w:rPr>
          <w:color w:val="auto"/>
        </w:rPr>
        <w:fldChar w:fldCharType="end"/>
      </w:r>
      <w:r>
        <w:rPr>
          <w:color w:val="auto"/>
        </w:rPr>
        <w:fldChar w:fldCharType="end"/>
      </w:r>
    </w:p>
    <w:p w14:paraId="4AC8835D">
      <w:pPr>
        <w:pStyle w:val="55"/>
        <w:rPr>
          <w:rFonts w:asciiTheme="minorHAnsi" w:eastAsiaTheme="minorEastAsia" w:cstheme="minorBidi"/>
          <w:b w:val="0"/>
          <w:bCs w:val="0"/>
          <w:color w:val="auto"/>
          <w:sz w:val="21"/>
          <w:szCs w:val="22"/>
        </w:rPr>
      </w:pPr>
      <w:r>
        <w:rPr>
          <w:color w:val="auto"/>
        </w:rPr>
        <w:fldChar w:fldCharType="begin"/>
      </w:r>
      <w:r>
        <w:rPr>
          <w:color w:val="auto"/>
        </w:rPr>
        <w:instrText xml:space="preserve"> HYPERLINK \l "_Toc212033010" </w:instrText>
      </w:r>
      <w:r>
        <w:rPr>
          <w:color w:val="auto"/>
        </w:rPr>
        <w:fldChar w:fldCharType="separate"/>
      </w:r>
      <w:r>
        <w:rPr>
          <w:rStyle w:val="94"/>
          <w:rFonts w:ascii="宋体" w:hAnsi="宋体"/>
          <w:color w:val="auto"/>
        </w:rPr>
        <w:t>3 建设项目工程分析</w:t>
      </w:r>
      <w:r>
        <w:rPr>
          <w:color w:val="auto"/>
        </w:rPr>
        <w:tab/>
      </w:r>
      <w:r>
        <w:rPr>
          <w:color w:val="auto"/>
        </w:rPr>
        <w:fldChar w:fldCharType="begin"/>
      </w:r>
      <w:r>
        <w:rPr>
          <w:color w:val="auto"/>
        </w:rPr>
        <w:instrText xml:space="preserve"> PAGEREF _Toc212033010 \h </w:instrText>
      </w:r>
      <w:r>
        <w:rPr>
          <w:color w:val="auto"/>
        </w:rPr>
        <w:fldChar w:fldCharType="separate"/>
      </w:r>
      <w:r>
        <w:rPr>
          <w:color w:val="auto"/>
        </w:rPr>
        <w:t>102</w:t>
      </w:r>
      <w:r>
        <w:rPr>
          <w:color w:val="auto"/>
        </w:rPr>
        <w:fldChar w:fldCharType="end"/>
      </w:r>
      <w:r>
        <w:rPr>
          <w:color w:val="auto"/>
        </w:rPr>
        <w:fldChar w:fldCharType="end"/>
      </w:r>
    </w:p>
    <w:p w14:paraId="096450BE">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"_Toc212033011" </w:instrText>
      </w:r>
      <w:r>
        <w:rPr>
          <w:color w:val="auto"/>
        </w:rPr>
        <w:fldChar w:fldCharType="separate"/>
      </w:r>
      <w:r>
        <w:rPr>
          <w:rStyle w:val="94"/>
          <w:color w:val="auto"/>
        </w:rPr>
        <w:t>3.1 区块开发情况回顾分析</w:t>
      </w:r>
      <w:r>
        <w:rPr>
          <w:color w:val="auto"/>
        </w:rPr>
        <w:tab/>
      </w:r>
      <w:r>
        <w:rPr>
          <w:color w:val="auto"/>
        </w:rPr>
        <w:fldChar w:fldCharType="begin"/>
      </w:r>
      <w:r>
        <w:rPr>
          <w:color w:val="auto"/>
        </w:rPr>
        <w:instrText xml:space="preserve"> PAGEREF _Toc212033011 \h </w:instrText>
      </w:r>
      <w:r>
        <w:rPr>
          <w:color w:val="auto"/>
        </w:rPr>
        <w:fldChar w:fldCharType="separate"/>
      </w:r>
      <w:r>
        <w:rPr>
          <w:color w:val="auto"/>
        </w:rPr>
        <w:t>102</w:t>
      </w:r>
      <w:r>
        <w:rPr>
          <w:color w:val="auto"/>
        </w:rPr>
        <w:fldChar w:fldCharType="end"/>
      </w:r>
      <w:r>
        <w:rPr>
          <w:color w:val="auto"/>
        </w:rPr>
        <w:fldChar w:fldCharType="end"/>
      </w:r>
    </w:p>
    <w:p w14:paraId="687A4736">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"_Toc212033012" </w:instrText>
      </w:r>
      <w:r>
        <w:rPr>
          <w:color w:val="auto"/>
        </w:rPr>
        <w:fldChar w:fldCharType="separate"/>
      </w:r>
      <w:r>
        <w:rPr>
          <w:rStyle w:val="94"/>
          <w:color w:val="auto"/>
        </w:rPr>
        <w:t>3.2 建设项目概况</w:t>
      </w:r>
      <w:r>
        <w:rPr>
          <w:color w:val="auto"/>
        </w:rPr>
        <w:tab/>
      </w:r>
      <w:r>
        <w:rPr>
          <w:color w:val="auto"/>
        </w:rPr>
        <w:fldChar w:fldCharType="begin"/>
      </w:r>
      <w:r>
        <w:rPr>
          <w:color w:val="auto"/>
        </w:rPr>
        <w:instrText xml:space="preserve"> PAGEREF _Toc212033012 \h </w:instrText>
      </w:r>
      <w:r>
        <w:rPr>
          <w:color w:val="auto"/>
        </w:rPr>
        <w:fldChar w:fldCharType="separate"/>
      </w:r>
      <w:r>
        <w:rPr>
          <w:color w:val="auto"/>
        </w:rPr>
        <w:t>111</w:t>
      </w:r>
      <w:r>
        <w:rPr>
          <w:color w:val="auto"/>
        </w:rPr>
        <w:fldChar w:fldCharType="end"/>
      </w:r>
      <w:r>
        <w:rPr>
          <w:color w:val="auto"/>
        </w:rPr>
        <w:fldChar w:fldCharType="end"/>
      </w:r>
    </w:p>
    <w:p w14:paraId="360AD9AE">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"_Toc212033013" </w:instrText>
      </w:r>
      <w:r>
        <w:rPr>
          <w:color w:val="auto"/>
        </w:rPr>
        <w:fldChar w:fldCharType="separate"/>
      </w:r>
      <w:r>
        <w:rPr>
          <w:rStyle w:val="94"/>
          <w:color w:val="auto"/>
        </w:rPr>
        <w:t>3.3 开发区块概况</w:t>
      </w:r>
      <w:r>
        <w:rPr>
          <w:color w:val="auto"/>
        </w:rPr>
        <w:tab/>
      </w:r>
      <w:r>
        <w:rPr>
          <w:color w:val="auto"/>
        </w:rPr>
        <w:fldChar w:fldCharType="begin"/>
      </w:r>
      <w:r>
        <w:rPr>
          <w:color w:val="auto"/>
        </w:rPr>
        <w:instrText xml:space="preserve"> PAGEREF _Toc212033013 \h </w:instrText>
      </w:r>
      <w:r>
        <w:rPr>
          <w:color w:val="auto"/>
        </w:rPr>
        <w:fldChar w:fldCharType="separate"/>
      </w:r>
      <w:r>
        <w:rPr>
          <w:color w:val="auto"/>
        </w:rPr>
        <w:t>111</w:t>
      </w:r>
      <w:r>
        <w:rPr>
          <w:color w:val="auto"/>
        </w:rPr>
        <w:fldChar w:fldCharType="end"/>
      </w:r>
      <w:r>
        <w:rPr>
          <w:color w:val="auto"/>
        </w:rPr>
        <w:fldChar w:fldCharType="end"/>
      </w:r>
    </w:p>
    <w:p w14:paraId="594DB3BD">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"_Toc212033014" </w:instrText>
      </w:r>
      <w:r>
        <w:rPr>
          <w:color w:val="auto"/>
        </w:rPr>
        <w:fldChar w:fldCharType="separate"/>
      </w:r>
      <w:r>
        <w:rPr>
          <w:rStyle w:val="94"/>
          <w:color w:val="auto"/>
        </w:rPr>
        <w:t>3.4 工程组成</w:t>
      </w:r>
      <w:r>
        <w:rPr>
          <w:color w:val="auto"/>
        </w:rPr>
        <w:tab/>
      </w:r>
      <w:r>
        <w:rPr>
          <w:color w:val="auto"/>
        </w:rPr>
        <w:fldChar w:fldCharType="begin"/>
      </w:r>
      <w:r>
        <w:rPr>
          <w:color w:val="auto"/>
        </w:rPr>
        <w:instrText xml:space="preserve"> PAGEREF _Toc212033014 \h </w:instrText>
      </w:r>
      <w:r>
        <w:rPr>
          <w:color w:val="auto"/>
        </w:rPr>
        <w:fldChar w:fldCharType="separate"/>
      </w:r>
      <w:r>
        <w:rPr>
          <w:color w:val="auto"/>
        </w:rPr>
        <w:t>113</w:t>
      </w:r>
      <w:r>
        <w:rPr>
          <w:color w:val="auto"/>
        </w:rPr>
        <w:fldChar w:fldCharType="end"/>
      </w:r>
      <w:r>
        <w:rPr>
          <w:color w:val="auto"/>
        </w:rPr>
        <w:fldChar w:fldCharType="end"/>
      </w:r>
    </w:p>
    <w:p w14:paraId="14F53719">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"_Toc212033015" </w:instrText>
      </w:r>
      <w:r>
        <w:rPr>
          <w:color w:val="auto"/>
        </w:rPr>
        <w:fldChar w:fldCharType="separate"/>
      </w:r>
      <w:r>
        <w:rPr>
          <w:rStyle w:val="94"/>
          <w:color w:val="auto"/>
        </w:rPr>
        <w:t>3.5 开发方案</w:t>
      </w:r>
      <w:r>
        <w:rPr>
          <w:color w:val="auto"/>
        </w:rPr>
        <w:tab/>
      </w:r>
      <w:r>
        <w:rPr>
          <w:color w:val="auto"/>
        </w:rPr>
        <w:fldChar w:fldCharType="begin"/>
      </w:r>
      <w:r>
        <w:rPr>
          <w:color w:val="auto"/>
        </w:rPr>
        <w:instrText xml:space="preserve"> PAGEREF _Toc212033015 \h </w:instrText>
      </w:r>
      <w:r>
        <w:rPr>
          <w:color w:val="auto"/>
        </w:rPr>
        <w:fldChar w:fldCharType="separate"/>
      </w:r>
      <w:r>
        <w:rPr>
          <w:color w:val="auto"/>
        </w:rPr>
        <w:t>122</w:t>
      </w:r>
      <w:r>
        <w:rPr>
          <w:color w:val="auto"/>
        </w:rPr>
        <w:fldChar w:fldCharType="end"/>
      </w:r>
      <w:r>
        <w:rPr>
          <w:color w:val="auto"/>
        </w:rPr>
        <w:fldChar w:fldCharType="end"/>
      </w:r>
    </w:p>
    <w:p w14:paraId="1E4F80F7">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"_Toc212033016" </w:instrText>
      </w:r>
      <w:r>
        <w:rPr>
          <w:color w:val="auto"/>
        </w:rPr>
        <w:fldChar w:fldCharType="separate"/>
      </w:r>
      <w:r>
        <w:rPr>
          <w:rStyle w:val="94"/>
          <w:color w:val="auto"/>
        </w:rPr>
        <w:t>3.6 主要建设内容</w:t>
      </w:r>
      <w:r>
        <w:rPr>
          <w:color w:val="auto"/>
        </w:rPr>
        <w:tab/>
      </w:r>
      <w:r>
        <w:rPr>
          <w:color w:val="auto"/>
        </w:rPr>
        <w:fldChar w:fldCharType="begin"/>
      </w:r>
      <w:r>
        <w:rPr>
          <w:color w:val="auto"/>
        </w:rPr>
        <w:instrText xml:space="preserve"> PAGEREF _Toc212033016 \h </w:instrText>
      </w:r>
      <w:r>
        <w:rPr>
          <w:color w:val="auto"/>
        </w:rPr>
        <w:fldChar w:fldCharType="separate"/>
      </w:r>
      <w:r>
        <w:rPr>
          <w:color w:val="auto"/>
        </w:rPr>
        <w:t>123</w:t>
      </w:r>
      <w:r>
        <w:rPr>
          <w:color w:val="auto"/>
        </w:rPr>
        <w:fldChar w:fldCharType="end"/>
      </w:r>
      <w:r>
        <w:rPr>
          <w:color w:val="auto"/>
        </w:rPr>
        <w:fldChar w:fldCharType="end"/>
      </w:r>
    </w:p>
    <w:p w14:paraId="6B135720">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"_Toc212033017" </w:instrText>
      </w:r>
      <w:r>
        <w:rPr>
          <w:color w:val="auto"/>
        </w:rPr>
        <w:fldChar w:fldCharType="separate"/>
      </w:r>
      <w:r>
        <w:rPr>
          <w:rStyle w:val="94"/>
          <w:color w:val="auto"/>
        </w:rPr>
        <w:t>3.7 场地布置及土地利用</w:t>
      </w:r>
      <w:r>
        <w:rPr>
          <w:color w:val="auto"/>
        </w:rPr>
        <w:tab/>
      </w:r>
      <w:r>
        <w:rPr>
          <w:color w:val="auto"/>
        </w:rPr>
        <w:fldChar w:fldCharType="begin"/>
      </w:r>
      <w:r>
        <w:rPr>
          <w:color w:val="auto"/>
        </w:rPr>
        <w:instrText xml:space="preserve"> PAGEREF _Toc212033017 \h </w:instrText>
      </w:r>
      <w:r>
        <w:rPr>
          <w:color w:val="auto"/>
        </w:rPr>
        <w:fldChar w:fldCharType="separate"/>
      </w:r>
      <w:r>
        <w:rPr>
          <w:color w:val="auto"/>
        </w:rPr>
        <w:t>145</w:t>
      </w:r>
      <w:r>
        <w:rPr>
          <w:color w:val="auto"/>
        </w:rPr>
        <w:fldChar w:fldCharType="end"/>
      </w:r>
      <w:r>
        <w:rPr>
          <w:color w:val="auto"/>
        </w:rPr>
        <w:fldChar w:fldCharType="end"/>
      </w:r>
    </w:p>
    <w:p w14:paraId="600246D5">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"_Toc212033018" </w:instrText>
      </w:r>
      <w:r>
        <w:rPr>
          <w:color w:val="auto"/>
        </w:rPr>
        <w:fldChar w:fldCharType="separate"/>
      </w:r>
      <w:r>
        <w:rPr>
          <w:rStyle w:val="94"/>
          <w:color w:val="auto"/>
        </w:rPr>
        <w:t>3.8 施工方式</w:t>
      </w:r>
      <w:r>
        <w:rPr>
          <w:color w:val="auto"/>
        </w:rPr>
        <w:tab/>
      </w:r>
      <w:r>
        <w:rPr>
          <w:color w:val="auto"/>
        </w:rPr>
        <w:fldChar w:fldCharType="begin"/>
      </w:r>
      <w:r>
        <w:rPr>
          <w:color w:val="auto"/>
        </w:rPr>
        <w:instrText xml:space="preserve"> PAGEREF _Toc212033018 \h </w:instrText>
      </w:r>
      <w:r>
        <w:rPr>
          <w:color w:val="auto"/>
        </w:rPr>
        <w:fldChar w:fldCharType="separate"/>
      </w:r>
      <w:r>
        <w:rPr>
          <w:color w:val="auto"/>
        </w:rPr>
        <w:t>147</w:t>
      </w:r>
      <w:r>
        <w:rPr>
          <w:color w:val="auto"/>
        </w:rPr>
        <w:fldChar w:fldCharType="end"/>
      </w:r>
      <w:r>
        <w:rPr>
          <w:color w:val="auto"/>
        </w:rPr>
        <w:fldChar w:fldCharType="end"/>
      </w:r>
    </w:p>
    <w:p w14:paraId="52643BE9">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"_Toc212033019" </w:instrText>
      </w:r>
      <w:r>
        <w:rPr>
          <w:color w:val="auto"/>
        </w:rPr>
        <w:fldChar w:fldCharType="separate"/>
      </w:r>
      <w:r>
        <w:rPr>
          <w:rStyle w:val="94"/>
          <w:snapToGrid w:val="0"/>
          <w:color w:val="auto"/>
        </w:rPr>
        <w:t>3.9 设备及物料</w:t>
      </w:r>
      <w:r>
        <w:rPr>
          <w:rStyle w:val="94"/>
          <w:color w:val="auto"/>
        </w:rPr>
        <w:t>消耗</w:t>
      </w:r>
      <w:r>
        <w:rPr>
          <w:color w:val="auto"/>
        </w:rPr>
        <w:tab/>
      </w:r>
      <w:r>
        <w:rPr>
          <w:color w:val="auto"/>
        </w:rPr>
        <w:fldChar w:fldCharType="begin"/>
      </w:r>
      <w:r>
        <w:rPr>
          <w:color w:val="auto"/>
        </w:rPr>
        <w:instrText xml:space="preserve"> PAGEREF _Toc212033019 \h </w:instrText>
      </w:r>
      <w:r>
        <w:rPr>
          <w:color w:val="auto"/>
        </w:rPr>
        <w:fldChar w:fldCharType="separate"/>
      </w:r>
      <w:r>
        <w:rPr>
          <w:color w:val="auto"/>
        </w:rPr>
        <w:t>149</w:t>
      </w:r>
      <w:r>
        <w:rPr>
          <w:color w:val="auto"/>
        </w:rPr>
        <w:fldChar w:fldCharType="end"/>
      </w:r>
      <w:r>
        <w:rPr>
          <w:color w:val="auto"/>
        </w:rPr>
        <w:fldChar w:fldCharType="end"/>
      </w:r>
    </w:p>
    <w:p w14:paraId="6A5B2E03">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"_Toc212033020" </w:instrText>
      </w:r>
      <w:r>
        <w:rPr>
          <w:color w:val="auto"/>
        </w:rPr>
        <w:fldChar w:fldCharType="separate"/>
      </w:r>
      <w:r>
        <w:rPr>
          <w:rStyle w:val="94"/>
          <w:color w:val="auto"/>
        </w:rPr>
        <w:t>3.10 施工进度及时序</w:t>
      </w:r>
      <w:r>
        <w:rPr>
          <w:color w:val="auto"/>
        </w:rPr>
        <w:tab/>
      </w:r>
      <w:r>
        <w:rPr>
          <w:color w:val="auto"/>
        </w:rPr>
        <w:fldChar w:fldCharType="begin"/>
      </w:r>
      <w:r>
        <w:rPr>
          <w:color w:val="auto"/>
        </w:rPr>
        <w:instrText xml:space="preserve"> PAGEREF _Toc212033020 \h </w:instrText>
      </w:r>
      <w:r>
        <w:rPr>
          <w:color w:val="auto"/>
        </w:rPr>
        <w:fldChar w:fldCharType="separate"/>
      </w:r>
      <w:r>
        <w:rPr>
          <w:color w:val="auto"/>
        </w:rPr>
        <w:t>151</w:t>
      </w:r>
      <w:r>
        <w:rPr>
          <w:color w:val="auto"/>
        </w:rPr>
        <w:fldChar w:fldCharType="end"/>
      </w:r>
      <w:r>
        <w:rPr>
          <w:color w:val="auto"/>
        </w:rPr>
        <w:fldChar w:fldCharType="end"/>
      </w:r>
    </w:p>
    <w:p w14:paraId="47011729">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"_Toc212033021" </w:instrText>
      </w:r>
      <w:r>
        <w:rPr>
          <w:color w:val="auto"/>
        </w:rPr>
        <w:fldChar w:fldCharType="separate"/>
      </w:r>
      <w:r>
        <w:rPr>
          <w:rStyle w:val="94"/>
          <w:snapToGrid w:val="0"/>
          <w:color w:val="auto"/>
        </w:rPr>
        <w:t>3.11 主要经济技术指标</w:t>
      </w:r>
      <w:r>
        <w:rPr>
          <w:color w:val="auto"/>
        </w:rPr>
        <w:tab/>
      </w:r>
      <w:r>
        <w:rPr>
          <w:color w:val="auto"/>
        </w:rPr>
        <w:fldChar w:fldCharType="begin"/>
      </w:r>
      <w:r>
        <w:rPr>
          <w:color w:val="auto"/>
        </w:rPr>
        <w:instrText xml:space="preserve"> PAGEREF _Toc212033021 \h </w:instrText>
      </w:r>
      <w:r>
        <w:rPr>
          <w:color w:val="auto"/>
        </w:rPr>
        <w:fldChar w:fldCharType="separate"/>
      </w:r>
      <w:r>
        <w:rPr>
          <w:color w:val="auto"/>
        </w:rPr>
        <w:t>151</w:t>
      </w:r>
      <w:r>
        <w:rPr>
          <w:color w:val="auto"/>
        </w:rPr>
        <w:fldChar w:fldCharType="end"/>
      </w:r>
      <w:r>
        <w:rPr>
          <w:color w:val="auto"/>
        </w:rPr>
        <w:fldChar w:fldCharType="end"/>
      </w:r>
    </w:p>
    <w:p w14:paraId="0FE25338">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"_Toc212033022" </w:instrText>
      </w:r>
      <w:r>
        <w:rPr>
          <w:color w:val="auto"/>
        </w:rPr>
        <w:fldChar w:fldCharType="separate"/>
      </w:r>
      <w:r>
        <w:rPr>
          <w:rStyle w:val="94"/>
          <w:color w:val="auto"/>
        </w:rPr>
        <w:t>3.12 依托工程分析</w:t>
      </w:r>
      <w:r>
        <w:rPr>
          <w:color w:val="auto"/>
        </w:rPr>
        <w:tab/>
      </w:r>
      <w:r>
        <w:rPr>
          <w:color w:val="auto"/>
        </w:rPr>
        <w:fldChar w:fldCharType="begin"/>
      </w:r>
      <w:r>
        <w:rPr>
          <w:color w:val="auto"/>
        </w:rPr>
        <w:instrText xml:space="preserve"> PAGEREF _Toc212033022 \h </w:instrText>
      </w:r>
      <w:r>
        <w:rPr>
          <w:color w:val="auto"/>
        </w:rPr>
        <w:fldChar w:fldCharType="separate"/>
      </w:r>
      <w:r>
        <w:rPr>
          <w:color w:val="auto"/>
        </w:rPr>
        <w:t>152</w:t>
      </w:r>
      <w:r>
        <w:rPr>
          <w:color w:val="auto"/>
        </w:rPr>
        <w:fldChar w:fldCharType="end"/>
      </w:r>
      <w:r>
        <w:rPr>
          <w:color w:val="auto"/>
        </w:rPr>
        <w:fldChar w:fldCharType="end"/>
      </w:r>
    </w:p>
    <w:p w14:paraId="789F3E38">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"_Toc212033023" </w:instrText>
      </w:r>
      <w:r>
        <w:rPr>
          <w:color w:val="auto"/>
        </w:rPr>
        <w:fldChar w:fldCharType="separate"/>
      </w:r>
      <w:r>
        <w:rPr>
          <w:rStyle w:val="94"/>
          <w:color w:val="auto"/>
        </w:rPr>
        <w:t>3.13 建设项目工程分析</w:t>
      </w:r>
      <w:r>
        <w:rPr>
          <w:color w:val="auto"/>
        </w:rPr>
        <w:tab/>
      </w:r>
      <w:r>
        <w:rPr>
          <w:color w:val="auto"/>
        </w:rPr>
        <w:fldChar w:fldCharType="begin"/>
      </w:r>
      <w:r>
        <w:rPr>
          <w:color w:val="auto"/>
        </w:rPr>
        <w:instrText xml:space="preserve"> PAGEREF _Toc212033023 \h </w:instrText>
      </w:r>
      <w:r>
        <w:rPr>
          <w:color w:val="auto"/>
        </w:rPr>
        <w:fldChar w:fldCharType="separate"/>
      </w:r>
      <w:r>
        <w:rPr>
          <w:color w:val="auto"/>
        </w:rPr>
        <w:t>161</w:t>
      </w:r>
      <w:r>
        <w:rPr>
          <w:color w:val="auto"/>
        </w:rPr>
        <w:fldChar w:fldCharType="end"/>
      </w:r>
      <w:r>
        <w:rPr>
          <w:color w:val="auto"/>
        </w:rPr>
        <w:fldChar w:fldCharType="end"/>
      </w:r>
    </w:p>
    <w:p w14:paraId="1022D100">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"_Toc212033024" </w:instrText>
      </w:r>
      <w:r>
        <w:rPr>
          <w:color w:val="auto"/>
        </w:rPr>
        <w:fldChar w:fldCharType="separate"/>
      </w:r>
      <w:r>
        <w:rPr>
          <w:rStyle w:val="94"/>
          <w:color w:val="auto"/>
        </w:rPr>
        <w:t>3.14 清洁生产分析</w:t>
      </w:r>
      <w:r>
        <w:rPr>
          <w:color w:val="auto"/>
        </w:rPr>
        <w:tab/>
      </w:r>
      <w:r>
        <w:rPr>
          <w:color w:val="auto"/>
        </w:rPr>
        <w:fldChar w:fldCharType="begin"/>
      </w:r>
      <w:r>
        <w:rPr>
          <w:color w:val="auto"/>
        </w:rPr>
        <w:instrText xml:space="preserve"> PAGEREF _Toc212033024 \h </w:instrText>
      </w:r>
      <w:r>
        <w:rPr>
          <w:color w:val="auto"/>
        </w:rPr>
        <w:fldChar w:fldCharType="separate"/>
      </w:r>
      <w:r>
        <w:rPr>
          <w:color w:val="auto"/>
        </w:rPr>
        <w:t>196</w:t>
      </w:r>
      <w:r>
        <w:rPr>
          <w:color w:val="auto"/>
        </w:rPr>
        <w:fldChar w:fldCharType="end"/>
      </w:r>
      <w:r>
        <w:rPr>
          <w:color w:val="auto"/>
        </w:rPr>
        <w:fldChar w:fldCharType="end"/>
      </w:r>
    </w:p>
    <w:p w14:paraId="22B89AC9">
      <w:pPr>
        <w:pStyle w:val="55"/>
        <w:rPr>
          <w:rFonts w:asciiTheme="minorHAnsi" w:eastAsiaTheme="minorEastAsia" w:cstheme="minorBidi"/>
          <w:b w:val="0"/>
          <w:bCs w:val="0"/>
          <w:color w:val="auto"/>
          <w:sz w:val="21"/>
          <w:szCs w:val="22"/>
        </w:rPr>
      </w:pPr>
      <w:r>
        <w:rPr>
          <w:color w:val="auto"/>
        </w:rPr>
        <w:fldChar w:fldCharType="begin"/>
      </w:r>
      <w:r>
        <w:rPr>
          <w:color w:val="auto"/>
        </w:rPr>
        <w:instrText xml:space="preserve"> HYPERLINK \l "_Toc212033025" </w:instrText>
      </w:r>
      <w:r>
        <w:rPr>
          <w:color w:val="auto"/>
        </w:rPr>
        <w:fldChar w:fldCharType="separate"/>
      </w:r>
      <w:r>
        <w:rPr>
          <w:rStyle w:val="94"/>
          <w:rFonts w:ascii="宋体" w:hAnsi="宋体"/>
          <w:color w:val="auto"/>
        </w:rPr>
        <w:t>4 环境现状调查与评价</w:t>
      </w:r>
      <w:r>
        <w:rPr>
          <w:color w:val="auto"/>
        </w:rPr>
        <w:tab/>
      </w:r>
      <w:r>
        <w:rPr>
          <w:color w:val="auto"/>
        </w:rPr>
        <w:fldChar w:fldCharType="begin"/>
      </w:r>
      <w:r>
        <w:rPr>
          <w:color w:val="auto"/>
        </w:rPr>
        <w:instrText xml:space="preserve"> PAGEREF _Toc212033025 \h </w:instrText>
      </w:r>
      <w:r>
        <w:rPr>
          <w:color w:val="auto"/>
        </w:rPr>
        <w:fldChar w:fldCharType="separate"/>
      </w:r>
      <w:r>
        <w:rPr>
          <w:color w:val="auto"/>
        </w:rPr>
        <w:t>199</w:t>
      </w:r>
      <w:r>
        <w:rPr>
          <w:color w:val="auto"/>
        </w:rPr>
        <w:fldChar w:fldCharType="end"/>
      </w:r>
      <w:r>
        <w:rPr>
          <w:color w:val="auto"/>
        </w:rPr>
        <w:fldChar w:fldCharType="end"/>
      </w:r>
    </w:p>
    <w:p w14:paraId="1F16C3D3">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"_Toc212033026" </w:instrText>
      </w:r>
      <w:r>
        <w:rPr>
          <w:color w:val="auto"/>
        </w:rPr>
        <w:fldChar w:fldCharType="separate"/>
      </w:r>
      <w:r>
        <w:rPr>
          <w:rStyle w:val="94"/>
          <w:color w:val="auto"/>
        </w:rPr>
        <w:t>4.1 自然环境状况</w:t>
      </w:r>
      <w:r>
        <w:rPr>
          <w:color w:val="auto"/>
        </w:rPr>
        <w:tab/>
      </w:r>
      <w:r>
        <w:rPr>
          <w:color w:val="auto"/>
        </w:rPr>
        <w:fldChar w:fldCharType="begin"/>
      </w:r>
      <w:r>
        <w:rPr>
          <w:color w:val="auto"/>
        </w:rPr>
        <w:instrText xml:space="preserve"> PAGEREF _Toc212033026 \h </w:instrText>
      </w:r>
      <w:r>
        <w:rPr>
          <w:color w:val="auto"/>
        </w:rPr>
        <w:fldChar w:fldCharType="separate"/>
      </w:r>
      <w:r>
        <w:rPr>
          <w:color w:val="auto"/>
        </w:rPr>
        <w:t>199</w:t>
      </w:r>
      <w:r>
        <w:rPr>
          <w:color w:val="auto"/>
        </w:rPr>
        <w:fldChar w:fldCharType="end"/>
      </w:r>
      <w:r>
        <w:rPr>
          <w:color w:val="auto"/>
        </w:rPr>
        <w:fldChar w:fldCharType="end"/>
      </w:r>
    </w:p>
    <w:p w14:paraId="47632EF9">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"_Toc212033027" </w:instrText>
      </w:r>
      <w:r>
        <w:rPr>
          <w:color w:val="auto"/>
        </w:rPr>
        <w:fldChar w:fldCharType="separate"/>
      </w:r>
      <w:r>
        <w:rPr>
          <w:rStyle w:val="94"/>
          <w:color w:val="auto"/>
        </w:rPr>
        <w:t>4.2 环境保护目标调查</w:t>
      </w:r>
      <w:r>
        <w:rPr>
          <w:color w:val="auto"/>
        </w:rPr>
        <w:tab/>
      </w:r>
      <w:r>
        <w:rPr>
          <w:color w:val="auto"/>
        </w:rPr>
        <w:fldChar w:fldCharType="begin"/>
      </w:r>
      <w:r>
        <w:rPr>
          <w:color w:val="auto"/>
        </w:rPr>
        <w:instrText xml:space="preserve"> PAGEREF _Toc212033027 \h </w:instrText>
      </w:r>
      <w:r>
        <w:rPr>
          <w:color w:val="auto"/>
        </w:rPr>
        <w:fldChar w:fldCharType="separate"/>
      </w:r>
      <w:r>
        <w:rPr>
          <w:color w:val="auto"/>
        </w:rPr>
        <w:t>204</w:t>
      </w:r>
      <w:r>
        <w:rPr>
          <w:color w:val="auto"/>
        </w:rPr>
        <w:fldChar w:fldCharType="end"/>
      </w:r>
      <w:r>
        <w:rPr>
          <w:color w:val="auto"/>
        </w:rPr>
        <w:fldChar w:fldCharType="end"/>
      </w:r>
    </w:p>
    <w:p w14:paraId="430DDE93">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"_Toc212033028" </w:instrText>
      </w:r>
      <w:r>
        <w:rPr>
          <w:color w:val="auto"/>
        </w:rPr>
        <w:fldChar w:fldCharType="separate"/>
      </w:r>
      <w:r>
        <w:rPr>
          <w:rStyle w:val="94"/>
          <w:color w:val="auto"/>
        </w:rPr>
        <w:t>4.3 环境质量现状调查与评价</w:t>
      </w:r>
      <w:r>
        <w:rPr>
          <w:color w:val="auto"/>
        </w:rPr>
        <w:tab/>
      </w:r>
      <w:r>
        <w:rPr>
          <w:color w:val="auto"/>
        </w:rPr>
        <w:fldChar w:fldCharType="begin"/>
      </w:r>
      <w:r>
        <w:rPr>
          <w:color w:val="auto"/>
        </w:rPr>
        <w:instrText xml:space="preserve"> PAGEREF _Toc212033028 \h </w:instrText>
      </w:r>
      <w:r>
        <w:rPr>
          <w:color w:val="auto"/>
        </w:rPr>
        <w:fldChar w:fldCharType="separate"/>
      </w:r>
      <w:r>
        <w:rPr>
          <w:color w:val="auto"/>
        </w:rPr>
        <w:t>206</w:t>
      </w:r>
      <w:r>
        <w:rPr>
          <w:color w:val="auto"/>
        </w:rPr>
        <w:fldChar w:fldCharType="end"/>
      </w:r>
      <w:r>
        <w:rPr>
          <w:color w:val="auto"/>
        </w:rPr>
        <w:fldChar w:fldCharType="end"/>
      </w:r>
    </w:p>
    <w:p w14:paraId="06207842">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"_Toc212033029" </w:instrText>
      </w:r>
      <w:r>
        <w:rPr>
          <w:color w:val="auto"/>
        </w:rPr>
        <w:fldChar w:fldCharType="separate"/>
      </w:r>
      <w:r>
        <w:rPr>
          <w:rStyle w:val="94"/>
          <w:color w:val="auto"/>
        </w:rPr>
        <w:t>4.4 生态环境质量现状调查与评价</w:t>
      </w:r>
      <w:r>
        <w:rPr>
          <w:color w:val="auto"/>
        </w:rPr>
        <w:tab/>
      </w:r>
      <w:r>
        <w:rPr>
          <w:color w:val="auto"/>
        </w:rPr>
        <w:fldChar w:fldCharType="begin"/>
      </w:r>
      <w:r>
        <w:rPr>
          <w:color w:val="auto"/>
        </w:rPr>
        <w:instrText xml:space="preserve"> PAGEREF _Toc212033029 \h </w:instrText>
      </w:r>
      <w:r>
        <w:rPr>
          <w:color w:val="auto"/>
        </w:rPr>
        <w:fldChar w:fldCharType="separate"/>
      </w:r>
      <w:r>
        <w:rPr>
          <w:color w:val="auto"/>
        </w:rPr>
        <w:t>242</w:t>
      </w:r>
      <w:r>
        <w:rPr>
          <w:color w:val="auto"/>
        </w:rPr>
        <w:fldChar w:fldCharType="end"/>
      </w:r>
      <w:r>
        <w:rPr>
          <w:color w:val="auto"/>
        </w:rPr>
        <w:fldChar w:fldCharType="end"/>
      </w:r>
    </w:p>
    <w:p w14:paraId="26B24110">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"_Toc212033030" </w:instrText>
      </w:r>
      <w:r>
        <w:rPr>
          <w:color w:val="auto"/>
        </w:rPr>
        <w:fldChar w:fldCharType="separate"/>
      </w:r>
      <w:r>
        <w:rPr>
          <w:rStyle w:val="94"/>
          <w:color w:val="auto"/>
        </w:rPr>
        <w:t>4.5 区域污染源调查</w:t>
      </w:r>
      <w:r>
        <w:rPr>
          <w:color w:val="auto"/>
        </w:rPr>
        <w:tab/>
      </w:r>
      <w:r>
        <w:rPr>
          <w:color w:val="auto"/>
        </w:rPr>
        <w:fldChar w:fldCharType="begin"/>
      </w:r>
      <w:r>
        <w:rPr>
          <w:color w:val="auto"/>
        </w:rPr>
        <w:instrText xml:space="preserve"> PAGEREF _Toc212033030 \h </w:instrText>
      </w:r>
      <w:r>
        <w:rPr>
          <w:color w:val="auto"/>
        </w:rPr>
        <w:fldChar w:fldCharType="separate"/>
      </w:r>
      <w:r>
        <w:rPr>
          <w:color w:val="auto"/>
        </w:rPr>
        <w:t>268</w:t>
      </w:r>
      <w:r>
        <w:rPr>
          <w:color w:val="auto"/>
        </w:rPr>
        <w:fldChar w:fldCharType="end"/>
      </w:r>
      <w:r>
        <w:rPr>
          <w:color w:val="auto"/>
        </w:rPr>
        <w:fldChar w:fldCharType="end"/>
      </w:r>
    </w:p>
    <w:p w14:paraId="1F76C86C">
      <w:pPr>
        <w:pStyle w:val="55"/>
        <w:rPr>
          <w:rFonts w:asciiTheme="minorHAnsi" w:eastAsiaTheme="minorEastAsia" w:cstheme="minorBidi"/>
          <w:b w:val="0"/>
          <w:bCs w:val="0"/>
          <w:color w:val="auto"/>
          <w:sz w:val="21"/>
          <w:szCs w:val="22"/>
        </w:rPr>
      </w:pPr>
      <w:r>
        <w:rPr>
          <w:color w:val="auto"/>
        </w:rPr>
        <w:fldChar w:fldCharType="begin"/>
      </w:r>
      <w:r>
        <w:rPr>
          <w:color w:val="auto"/>
        </w:rPr>
        <w:instrText xml:space="preserve"> HYPERLINK \l "_Toc212033031" </w:instrText>
      </w:r>
      <w:r>
        <w:rPr>
          <w:color w:val="auto"/>
        </w:rPr>
        <w:fldChar w:fldCharType="separate"/>
      </w:r>
      <w:r>
        <w:rPr>
          <w:rStyle w:val="94"/>
          <w:rFonts w:ascii="宋体" w:hAnsi="宋体"/>
          <w:color w:val="auto"/>
        </w:rPr>
        <w:t>5 环境影响预测与评价</w:t>
      </w:r>
      <w:r>
        <w:rPr>
          <w:color w:val="auto"/>
        </w:rPr>
        <w:tab/>
      </w:r>
      <w:r>
        <w:rPr>
          <w:color w:val="auto"/>
        </w:rPr>
        <w:fldChar w:fldCharType="begin"/>
      </w:r>
      <w:r>
        <w:rPr>
          <w:color w:val="auto"/>
        </w:rPr>
        <w:instrText xml:space="preserve"> PAGEREF _Toc212033031 \h </w:instrText>
      </w:r>
      <w:r>
        <w:rPr>
          <w:color w:val="auto"/>
        </w:rPr>
        <w:fldChar w:fldCharType="separate"/>
      </w:r>
      <w:r>
        <w:rPr>
          <w:color w:val="auto"/>
        </w:rPr>
        <w:t>271</w:t>
      </w:r>
      <w:r>
        <w:rPr>
          <w:color w:val="auto"/>
        </w:rPr>
        <w:fldChar w:fldCharType="end"/>
      </w:r>
      <w:r>
        <w:rPr>
          <w:color w:val="auto"/>
        </w:rPr>
        <w:fldChar w:fldCharType="end"/>
      </w:r>
    </w:p>
    <w:p w14:paraId="2AF3A742">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"_Toc212033032" </w:instrText>
      </w:r>
      <w:r>
        <w:rPr>
          <w:color w:val="auto"/>
        </w:rPr>
        <w:fldChar w:fldCharType="separate"/>
      </w:r>
      <w:r>
        <w:rPr>
          <w:rStyle w:val="94"/>
          <w:color w:val="auto"/>
        </w:rPr>
        <w:t>5.1 大气环境影响预测与评价</w:t>
      </w:r>
      <w:r>
        <w:rPr>
          <w:color w:val="auto"/>
        </w:rPr>
        <w:tab/>
      </w:r>
      <w:r>
        <w:rPr>
          <w:color w:val="auto"/>
        </w:rPr>
        <w:fldChar w:fldCharType="begin"/>
      </w:r>
      <w:r>
        <w:rPr>
          <w:color w:val="auto"/>
        </w:rPr>
        <w:instrText xml:space="preserve"> PAGEREF _Toc212033032 \h </w:instrText>
      </w:r>
      <w:r>
        <w:rPr>
          <w:color w:val="auto"/>
        </w:rPr>
        <w:fldChar w:fldCharType="separate"/>
      </w:r>
      <w:r>
        <w:rPr>
          <w:color w:val="auto"/>
        </w:rPr>
        <w:t>271</w:t>
      </w:r>
      <w:r>
        <w:rPr>
          <w:color w:val="auto"/>
        </w:rPr>
        <w:fldChar w:fldCharType="end"/>
      </w:r>
      <w:r>
        <w:rPr>
          <w:color w:val="auto"/>
        </w:rPr>
        <w:fldChar w:fldCharType="end"/>
      </w:r>
    </w:p>
    <w:p w14:paraId="60646884">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"_Toc212033033" </w:instrText>
      </w:r>
      <w:r>
        <w:rPr>
          <w:color w:val="auto"/>
        </w:rPr>
        <w:fldChar w:fldCharType="separate"/>
      </w:r>
      <w:r>
        <w:rPr>
          <w:rStyle w:val="94"/>
          <w:color w:val="auto"/>
        </w:rPr>
        <w:t>5.2 地表水环境影响评价</w:t>
      </w:r>
      <w:r>
        <w:rPr>
          <w:color w:val="auto"/>
        </w:rPr>
        <w:tab/>
      </w:r>
      <w:r>
        <w:rPr>
          <w:color w:val="auto"/>
        </w:rPr>
        <w:fldChar w:fldCharType="begin"/>
      </w:r>
      <w:r>
        <w:rPr>
          <w:color w:val="auto"/>
        </w:rPr>
        <w:instrText xml:space="preserve"> PAGEREF _Toc212033033 \h </w:instrText>
      </w:r>
      <w:r>
        <w:rPr>
          <w:color w:val="auto"/>
        </w:rPr>
        <w:fldChar w:fldCharType="separate"/>
      </w:r>
      <w:r>
        <w:rPr>
          <w:color w:val="auto"/>
        </w:rPr>
        <w:t>314</w:t>
      </w:r>
      <w:r>
        <w:rPr>
          <w:color w:val="auto"/>
        </w:rPr>
        <w:fldChar w:fldCharType="end"/>
      </w:r>
      <w:r>
        <w:rPr>
          <w:color w:val="auto"/>
        </w:rPr>
        <w:fldChar w:fldCharType="end"/>
      </w:r>
    </w:p>
    <w:p w14:paraId="070A6C1E">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"_Toc212033034" </w:instrText>
      </w:r>
      <w:r>
        <w:rPr>
          <w:color w:val="auto"/>
        </w:rPr>
        <w:fldChar w:fldCharType="separate"/>
      </w:r>
      <w:r>
        <w:rPr>
          <w:rStyle w:val="94"/>
          <w:color w:val="auto"/>
        </w:rPr>
        <w:t>5.3 地下水环境影响预测与评价</w:t>
      </w:r>
      <w:r>
        <w:rPr>
          <w:color w:val="auto"/>
        </w:rPr>
        <w:tab/>
      </w:r>
      <w:r>
        <w:rPr>
          <w:color w:val="auto"/>
        </w:rPr>
        <w:fldChar w:fldCharType="begin"/>
      </w:r>
      <w:r>
        <w:rPr>
          <w:color w:val="auto"/>
        </w:rPr>
        <w:instrText xml:space="preserve"> PAGEREF _Toc212033034 \h </w:instrText>
      </w:r>
      <w:r>
        <w:rPr>
          <w:color w:val="auto"/>
        </w:rPr>
        <w:fldChar w:fldCharType="separate"/>
      </w:r>
      <w:r>
        <w:rPr>
          <w:color w:val="auto"/>
        </w:rPr>
        <w:t>318</w:t>
      </w:r>
      <w:r>
        <w:rPr>
          <w:color w:val="auto"/>
        </w:rPr>
        <w:fldChar w:fldCharType="end"/>
      </w:r>
      <w:r>
        <w:rPr>
          <w:color w:val="auto"/>
        </w:rPr>
        <w:fldChar w:fldCharType="end"/>
      </w:r>
    </w:p>
    <w:p w14:paraId="35E27E69">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"_Toc212033035" </w:instrText>
      </w:r>
      <w:r>
        <w:rPr>
          <w:color w:val="auto"/>
        </w:rPr>
        <w:fldChar w:fldCharType="separate"/>
      </w:r>
      <w:r>
        <w:rPr>
          <w:rStyle w:val="94"/>
          <w:color w:val="auto"/>
        </w:rPr>
        <w:t>5.4 声环境影响预测与评价</w:t>
      </w:r>
      <w:r>
        <w:rPr>
          <w:color w:val="auto"/>
        </w:rPr>
        <w:tab/>
      </w:r>
      <w:r>
        <w:rPr>
          <w:color w:val="auto"/>
        </w:rPr>
        <w:fldChar w:fldCharType="begin"/>
      </w:r>
      <w:r>
        <w:rPr>
          <w:color w:val="auto"/>
        </w:rPr>
        <w:instrText xml:space="preserve"> PAGEREF _Toc212033035 \h </w:instrText>
      </w:r>
      <w:r>
        <w:rPr>
          <w:color w:val="auto"/>
        </w:rPr>
        <w:fldChar w:fldCharType="separate"/>
      </w:r>
      <w:r>
        <w:rPr>
          <w:color w:val="auto"/>
        </w:rPr>
        <w:t>336</w:t>
      </w:r>
      <w:r>
        <w:rPr>
          <w:color w:val="auto"/>
        </w:rPr>
        <w:fldChar w:fldCharType="end"/>
      </w:r>
      <w:r>
        <w:rPr>
          <w:color w:val="auto"/>
        </w:rPr>
        <w:fldChar w:fldCharType="end"/>
      </w:r>
    </w:p>
    <w:p w14:paraId="4D184EDF">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"_Toc212033036" </w:instrText>
      </w:r>
      <w:r>
        <w:rPr>
          <w:color w:val="auto"/>
        </w:rPr>
        <w:fldChar w:fldCharType="separate"/>
      </w:r>
      <w:r>
        <w:rPr>
          <w:rStyle w:val="94"/>
          <w:color w:val="auto"/>
        </w:rPr>
        <w:t>5.5 固体废物环境影响分析</w:t>
      </w:r>
      <w:r>
        <w:rPr>
          <w:color w:val="auto"/>
        </w:rPr>
        <w:tab/>
      </w:r>
      <w:r>
        <w:rPr>
          <w:color w:val="auto"/>
        </w:rPr>
        <w:fldChar w:fldCharType="begin"/>
      </w:r>
      <w:r>
        <w:rPr>
          <w:color w:val="auto"/>
        </w:rPr>
        <w:instrText xml:space="preserve"> PAGEREF _Toc212033036 \h </w:instrText>
      </w:r>
      <w:r>
        <w:rPr>
          <w:color w:val="auto"/>
        </w:rPr>
        <w:fldChar w:fldCharType="separate"/>
      </w:r>
      <w:r>
        <w:rPr>
          <w:color w:val="auto"/>
        </w:rPr>
        <w:t>349</w:t>
      </w:r>
      <w:r>
        <w:rPr>
          <w:color w:val="auto"/>
        </w:rPr>
        <w:fldChar w:fldCharType="end"/>
      </w:r>
      <w:r>
        <w:rPr>
          <w:color w:val="auto"/>
        </w:rPr>
        <w:fldChar w:fldCharType="end"/>
      </w:r>
    </w:p>
    <w:p w14:paraId="38969ADA">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"_Toc212033037" </w:instrText>
      </w:r>
      <w:r>
        <w:rPr>
          <w:color w:val="auto"/>
        </w:rPr>
        <w:fldChar w:fldCharType="separate"/>
      </w:r>
      <w:r>
        <w:rPr>
          <w:rStyle w:val="94"/>
          <w:color w:val="auto"/>
        </w:rPr>
        <w:t>5.6 土壤环境影响预测与评价</w:t>
      </w:r>
      <w:r>
        <w:rPr>
          <w:color w:val="auto"/>
        </w:rPr>
        <w:tab/>
      </w:r>
      <w:r>
        <w:rPr>
          <w:color w:val="auto"/>
        </w:rPr>
        <w:fldChar w:fldCharType="begin"/>
      </w:r>
      <w:r>
        <w:rPr>
          <w:color w:val="auto"/>
        </w:rPr>
        <w:instrText xml:space="preserve"> PAGEREF _Toc212033037 \h </w:instrText>
      </w:r>
      <w:r>
        <w:rPr>
          <w:color w:val="auto"/>
        </w:rPr>
        <w:fldChar w:fldCharType="separate"/>
      </w:r>
      <w:r>
        <w:rPr>
          <w:color w:val="auto"/>
        </w:rPr>
        <w:t>354</w:t>
      </w:r>
      <w:r>
        <w:rPr>
          <w:color w:val="auto"/>
        </w:rPr>
        <w:fldChar w:fldCharType="end"/>
      </w:r>
      <w:r>
        <w:rPr>
          <w:color w:val="auto"/>
        </w:rPr>
        <w:fldChar w:fldCharType="end"/>
      </w:r>
    </w:p>
    <w:p w14:paraId="04BF6EDF">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"_Toc212033038" </w:instrText>
      </w:r>
      <w:r>
        <w:rPr>
          <w:color w:val="auto"/>
        </w:rPr>
        <w:fldChar w:fldCharType="separate"/>
      </w:r>
      <w:r>
        <w:rPr>
          <w:rStyle w:val="94"/>
          <w:color w:val="auto"/>
        </w:rPr>
        <w:t>5.7 生态环境影响评价</w:t>
      </w:r>
      <w:r>
        <w:rPr>
          <w:color w:val="auto"/>
        </w:rPr>
        <w:tab/>
      </w:r>
      <w:r>
        <w:rPr>
          <w:color w:val="auto"/>
        </w:rPr>
        <w:fldChar w:fldCharType="begin"/>
      </w:r>
      <w:r>
        <w:rPr>
          <w:color w:val="auto"/>
        </w:rPr>
        <w:instrText xml:space="preserve"> PAGEREF _Toc212033038 \h </w:instrText>
      </w:r>
      <w:r>
        <w:rPr>
          <w:color w:val="auto"/>
        </w:rPr>
        <w:fldChar w:fldCharType="separate"/>
      </w:r>
      <w:r>
        <w:rPr>
          <w:color w:val="auto"/>
        </w:rPr>
        <w:t>365</w:t>
      </w:r>
      <w:r>
        <w:rPr>
          <w:color w:val="auto"/>
        </w:rPr>
        <w:fldChar w:fldCharType="end"/>
      </w:r>
      <w:r>
        <w:rPr>
          <w:color w:val="auto"/>
        </w:rPr>
        <w:fldChar w:fldCharType="end"/>
      </w:r>
    </w:p>
    <w:p w14:paraId="3F0D140A">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"_Toc212033039" </w:instrText>
      </w:r>
      <w:r>
        <w:rPr>
          <w:color w:val="auto"/>
        </w:rPr>
        <w:fldChar w:fldCharType="separate"/>
      </w:r>
      <w:r>
        <w:rPr>
          <w:rStyle w:val="94"/>
          <w:color w:val="auto"/>
        </w:rPr>
        <w:t>5.8 环境风险分析</w:t>
      </w:r>
      <w:r>
        <w:rPr>
          <w:color w:val="auto"/>
        </w:rPr>
        <w:tab/>
      </w:r>
      <w:r>
        <w:rPr>
          <w:color w:val="auto"/>
        </w:rPr>
        <w:fldChar w:fldCharType="begin"/>
      </w:r>
      <w:r>
        <w:rPr>
          <w:color w:val="auto"/>
        </w:rPr>
        <w:instrText xml:space="preserve"> PAGEREF _Toc212033039 \h </w:instrText>
      </w:r>
      <w:r>
        <w:rPr>
          <w:color w:val="auto"/>
        </w:rPr>
        <w:fldChar w:fldCharType="separate"/>
      </w:r>
      <w:r>
        <w:rPr>
          <w:color w:val="auto"/>
        </w:rPr>
        <w:t>378</w:t>
      </w:r>
      <w:r>
        <w:rPr>
          <w:color w:val="auto"/>
        </w:rPr>
        <w:fldChar w:fldCharType="end"/>
      </w:r>
      <w:r>
        <w:rPr>
          <w:color w:val="auto"/>
        </w:rPr>
        <w:fldChar w:fldCharType="end"/>
      </w:r>
    </w:p>
    <w:p w14:paraId="73C691DB">
      <w:pPr>
        <w:pStyle w:val="55"/>
        <w:rPr>
          <w:rFonts w:asciiTheme="minorHAnsi" w:eastAsiaTheme="minorEastAsia" w:cstheme="minorBidi"/>
          <w:b w:val="0"/>
          <w:bCs w:val="0"/>
          <w:color w:val="auto"/>
          <w:sz w:val="21"/>
          <w:szCs w:val="22"/>
        </w:rPr>
      </w:pPr>
      <w:r>
        <w:rPr>
          <w:color w:val="auto"/>
        </w:rPr>
        <w:fldChar w:fldCharType="begin"/>
      </w:r>
      <w:r>
        <w:rPr>
          <w:color w:val="auto"/>
        </w:rPr>
        <w:instrText xml:space="preserve"> HYPERLINK \l "_Toc212033040" </w:instrText>
      </w:r>
      <w:r>
        <w:rPr>
          <w:color w:val="auto"/>
        </w:rPr>
        <w:fldChar w:fldCharType="separate"/>
      </w:r>
      <w:r>
        <w:rPr>
          <w:rStyle w:val="94"/>
          <w:rFonts w:ascii="宋体" w:hAnsi="宋体"/>
          <w:color w:val="auto"/>
        </w:rPr>
        <w:t>6 环境保护措施及其可行性论证</w:t>
      </w:r>
      <w:r>
        <w:rPr>
          <w:color w:val="auto"/>
        </w:rPr>
        <w:tab/>
      </w:r>
      <w:r>
        <w:rPr>
          <w:color w:val="auto"/>
        </w:rPr>
        <w:fldChar w:fldCharType="begin"/>
      </w:r>
      <w:r>
        <w:rPr>
          <w:color w:val="auto"/>
        </w:rPr>
        <w:instrText xml:space="preserve"> PAGEREF _Toc212033040 \h </w:instrText>
      </w:r>
      <w:r>
        <w:rPr>
          <w:color w:val="auto"/>
        </w:rPr>
        <w:fldChar w:fldCharType="separate"/>
      </w:r>
      <w:r>
        <w:rPr>
          <w:color w:val="auto"/>
        </w:rPr>
        <w:t>408</w:t>
      </w:r>
      <w:r>
        <w:rPr>
          <w:color w:val="auto"/>
        </w:rPr>
        <w:fldChar w:fldCharType="end"/>
      </w:r>
      <w:r>
        <w:rPr>
          <w:color w:val="auto"/>
        </w:rPr>
        <w:fldChar w:fldCharType="end"/>
      </w:r>
    </w:p>
    <w:p w14:paraId="23D670AD">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"_Toc212033041" </w:instrText>
      </w:r>
      <w:r>
        <w:rPr>
          <w:color w:val="auto"/>
        </w:rPr>
        <w:fldChar w:fldCharType="separate"/>
      </w:r>
      <w:r>
        <w:rPr>
          <w:rStyle w:val="94"/>
          <w:color w:val="auto"/>
        </w:rPr>
        <w:t>6.1 污染防治措施</w:t>
      </w:r>
      <w:r>
        <w:rPr>
          <w:color w:val="auto"/>
        </w:rPr>
        <w:tab/>
      </w:r>
      <w:r>
        <w:rPr>
          <w:color w:val="auto"/>
        </w:rPr>
        <w:fldChar w:fldCharType="begin"/>
      </w:r>
      <w:r>
        <w:rPr>
          <w:color w:val="auto"/>
        </w:rPr>
        <w:instrText xml:space="preserve"> PAGEREF _Toc212033041 \h </w:instrText>
      </w:r>
      <w:r>
        <w:rPr>
          <w:color w:val="auto"/>
        </w:rPr>
        <w:fldChar w:fldCharType="separate"/>
      </w:r>
      <w:r>
        <w:rPr>
          <w:color w:val="auto"/>
        </w:rPr>
        <w:t>408</w:t>
      </w:r>
      <w:r>
        <w:rPr>
          <w:color w:val="auto"/>
        </w:rPr>
        <w:fldChar w:fldCharType="end"/>
      </w:r>
      <w:r>
        <w:rPr>
          <w:color w:val="auto"/>
        </w:rPr>
        <w:fldChar w:fldCharType="end"/>
      </w:r>
    </w:p>
    <w:p w14:paraId="74AD68E6">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"_Toc212033042" </w:instrText>
      </w:r>
      <w:r>
        <w:rPr>
          <w:color w:val="auto"/>
        </w:rPr>
        <w:fldChar w:fldCharType="separate"/>
      </w:r>
      <w:r>
        <w:rPr>
          <w:rStyle w:val="94"/>
          <w:color w:val="auto"/>
        </w:rPr>
        <w:t>6.2 “三同时”项目一览表</w:t>
      </w:r>
      <w:r>
        <w:rPr>
          <w:color w:val="auto"/>
        </w:rPr>
        <w:tab/>
      </w:r>
      <w:r>
        <w:rPr>
          <w:color w:val="auto"/>
        </w:rPr>
        <w:fldChar w:fldCharType="begin"/>
      </w:r>
      <w:r>
        <w:rPr>
          <w:color w:val="auto"/>
        </w:rPr>
        <w:instrText xml:space="preserve"> PAGEREF _Toc212033042 \h </w:instrText>
      </w:r>
      <w:r>
        <w:rPr>
          <w:color w:val="auto"/>
        </w:rPr>
        <w:fldChar w:fldCharType="separate"/>
      </w:r>
      <w:r>
        <w:rPr>
          <w:color w:val="auto"/>
        </w:rPr>
        <w:t>429</w:t>
      </w:r>
      <w:r>
        <w:rPr>
          <w:color w:val="auto"/>
        </w:rPr>
        <w:fldChar w:fldCharType="end"/>
      </w:r>
      <w:r>
        <w:rPr>
          <w:color w:val="auto"/>
        </w:rPr>
        <w:fldChar w:fldCharType="end"/>
      </w:r>
    </w:p>
    <w:p w14:paraId="3B9E2768">
      <w:pPr>
        <w:pStyle w:val="55"/>
        <w:rPr>
          <w:rFonts w:asciiTheme="minorHAnsi" w:eastAsiaTheme="minorEastAsia" w:cstheme="minorBidi"/>
          <w:b w:val="0"/>
          <w:bCs w:val="0"/>
          <w:color w:val="auto"/>
          <w:sz w:val="21"/>
          <w:szCs w:val="22"/>
        </w:rPr>
      </w:pPr>
      <w:r>
        <w:rPr>
          <w:color w:val="auto"/>
        </w:rPr>
        <w:fldChar w:fldCharType="begin"/>
      </w:r>
      <w:r>
        <w:rPr>
          <w:color w:val="auto"/>
        </w:rPr>
        <w:instrText xml:space="preserve"> HYPERLINK \l "_Toc212033043" </w:instrText>
      </w:r>
      <w:r>
        <w:rPr>
          <w:color w:val="auto"/>
        </w:rPr>
        <w:fldChar w:fldCharType="separate"/>
      </w:r>
      <w:r>
        <w:rPr>
          <w:rStyle w:val="94"/>
          <w:rFonts w:ascii="宋体" w:hAnsi="宋体"/>
          <w:color w:val="auto"/>
        </w:rPr>
        <w:t>7 环境影响经济损益分析</w:t>
      </w:r>
      <w:r>
        <w:rPr>
          <w:color w:val="auto"/>
        </w:rPr>
        <w:tab/>
      </w:r>
      <w:r>
        <w:rPr>
          <w:color w:val="auto"/>
        </w:rPr>
        <w:fldChar w:fldCharType="begin"/>
      </w:r>
      <w:r>
        <w:rPr>
          <w:color w:val="auto"/>
        </w:rPr>
        <w:instrText xml:space="preserve"> PAGEREF _Toc212033043 \h </w:instrText>
      </w:r>
      <w:r>
        <w:rPr>
          <w:color w:val="auto"/>
        </w:rPr>
        <w:fldChar w:fldCharType="separate"/>
      </w:r>
      <w:r>
        <w:rPr>
          <w:color w:val="auto"/>
        </w:rPr>
        <w:t>435</w:t>
      </w:r>
      <w:r>
        <w:rPr>
          <w:color w:val="auto"/>
        </w:rPr>
        <w:fldChar w:fldCharType="end"/>
      </w:r>
      <w:r>
        <w:rPr>
          <w:color w:val="auto"/>
        </w:rPr>
        <w:fldChar w:fldCharType="end"/>
      </w:r>
    </w:p>
    <w:p w14:paraId="3D5A9154">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"_Toc212033044" </w:instrText>
      </w:r>
      <w:r>
        <w:rPr>
          <w:color w:val="auto"/>
        </w:rPr>
        <w:fldChar w:fldCharType="separate"/>
      </w:r>
      <w:r>
        <w:rPr>
          <w:rStyle w:val="94"/>
          <w:color w:val="auto"/>
        </w:rPr>
        <w:t>7.1 环境损失费估算</w:t>
      </w:r>
      <w:r>
        <w:rPr>
          <w:color w:val="auto"/>
        </w:rPr>
        <w:tab/>
      </w:r>
      <w:r>
        <w:rPr>
          <w:color w:val="auto"/>
        </w:rPr>
        <w:fldChar w:fldCharType="begin"/>
      </w:r>
      <w:r>
        <w:rPr>
          <w:color w:val="auto"/>
        </w:rPr>
        <w:instrText xml:space="preserve"> PAGEREF _Toc212033044 \h </w:instrText>
      </w:r>
      <w:r>
        <w:rPr>
          <w:color w:val="auto"/>
        </w:rPr>
        <w:fldChar w:fldCharType="separate"/>
      </w:r>
      <w:r>
        <w:rPr>
          <w:color w:val="auto"/>
        </w:rPr>
        <w:t>435</w:t>
      </w:r>
      <w:r>
        <w:rPr>
          <w:color w:val="auto"/>
        </w:rPr>
        <w:fldChar w:fldCharType="end"/>
      </w:r>
      <w:r>
        <w:rPr>
          <w:color w:val="auto"/>
        </w:rPr>
        <w:fldChar w:fldCharType="end"/>
      </w:r>
    </w:p>
    <w:p w14:paraId="56862778">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"_Toc212033045" </w:instrText>
      </w:r>
      <w:r>
        <w:rPr>
          <w:color w:val="auto"/>
        </w:rPr>
        <w:fldChar w:fldCharType="separate"/>
      </w:r>
      <w:r>
        <w:rPr>
          <w:rStyle w:val="94"/>
          <w:color w:val="auto"/>
        </w:rPr>
        <w:t>7.2 环保投资估算及环境效益分析</w:t>
      </w:r>
      <w:r>
        <w:rPr>
          <w:color w:val="auto"/>
        </w:rPr>
        <w:tab/>
      </w:r>
      <w:r>
        <w:rPr>
          <w:color w:val="auto"/>
        </w:rPr>
        <w:fldChar w:fldCharType="begin"/>
      </w:r>
      <w:r>
        <w:rPr>
          <w:color w:val="auto"/>
        </w:rPr>
        <w:instrText xml:space="preserve"> PAGEREF _Toc212033045 \h </w:instrText>
      </w:r>
      <w:r>
        <w:rPr>
          <w:color w:val="auto"/>
        </w:rPr>
        <w:fldChar w:fldCharType="separate"/>
      </w:r>
      <w:r>
        <w:rPr>
          <w:color w:val="auto"/>
        </w:rPr>
        <w:t>436</w:t>
      </w:r>
      <w:r>
        <w:rPr>
          <w:color w:val="auto"/>
        </w:rPr>
        <w:fldChar w:fldCharType="end"/>
      </w:r>
      <w:r>
        <w:rPr>
          <w:color w:val="auto"/>
        </w:rPr>
        <w:fldChar w:fldCharType="end"/>
      </w:r>
    </w:p>
    <w:p w14:paraId="73A50C45">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"_Toc212033046" </w:instrText>
      </w:r>
      <w:r>
        <w:rPr>
          <w:color w:val="auto"/>
        </w:rPr>
        <w:fldChar w:fldCharType="separate"/>
      </w:r>
      <w:r>
        <w:rPr>
          <w:rStyle w:val="94"/>
          <w:color w:val="auto"/>
        </w:rPr>
        <w:t>7.3 环境经济损益分析结论</w:t>
      </w:r>
      <w:r>
        <w:rPr>
          <w:color w:val="auto"/>
        </w:rPr>
        <w:tab/>
      </w:r>
      <w:r>
        <w:rPr>
          <w:color w:val="auto"/>
        </w:rPr>
        <w:fldChar w:fldCharType="begin"/>
      </w:r>
      <w:r>
        <w:rPr>
          <w:color w:val="auto"/>
        </w:rPr>
        <w:instrText xml:space="preserve"> PAGEREF _Toc212033046 \h </w:instrText>
      </w:r>
      <w:r>
        <w:rPr>
          <w:color w:val="auto"/>
        </w:rPr>
        <w:fldChar w:fldCharType="separate"/>
      </w:r>
      <w:r>
        <w:rPr>
          <w:color w:val="auto"/>
        </w:rPr>
        <w:t>437</w:t>
      </w:r>
      <w:r>
        <w:rPr>
          <w:color w:val="auto"/>
        </w:rPr>
        <w:fldChar w:fldCharType="end"/>
      </w:r>
      <w:r>
        <w:rPr>
          <w:color w:val="auto"/>
        </w:rPr>
        <w:fldChar w:fldCharType="end"/>
      </w:r>
    </w:p>
    <w:p w14:paraId="1DD49F91">
      <w:pPr>
        <w:pStyle w:val="55"/>
        <w:rPr>
          <w:rFonts w:asciiTheme="minorHAnsi" w:eastAsiaTheme="minorEastAsia" w:cstheme="minorBidi"/>
          <w:b w:val="0"/>
          <w:bCs w:val="0"/>
          <w:color w:val="auto"/>
          <w:sz w:val="21"/>
          <w:szCs w:val="22"/>
        </w:rPr>
      </w:pPr>
      <w:r>
        <w:rPr>
          <w:color w:val="auto"/>
        </w:rPr>
        <w:fldChar w:fldCharType="begin"/>
      </w:r>
      <w:r>
        <w:rPr>
          <w:color w:val="auto"/>
        </w:rPr>
        <w:instrText xml:space="preserve"> HYPERLINK \l "_Toc212033047" </w:instrText>
      </w:r>
      <w:r>
        <w:rPr>
          <w:color w:val="auto"/>
        </w:rPr>
        <w:fldChar w:fldCharType="separate"/>
      </w:r>
      <w:r>
        <w:rPr>
          <w:rStyle w:val="94"/>
          <w:rFonts w:ascii="宋体" w:hAnsi="宋体"/>
          <w:color w:val="auto"/>
        </w:rPr>
        <w:t>8 环境管理与监测计划</w:t>
      </w:r>
      <w:r>
        <w:rPr>
          <w:color w:val="auto"/>
        </w:rPr>
        <w:tab/>
      </w:r>
      <w:r>
        <w:rPr>
          <w:color w:val="auto"/>
        </w:rPr>
        <w:fldChar w:fldCharType="begin"/>
      </w:r>
      <w:r>
        <w:rPr>
          <w:color w:val="auto"/>
        </w:rPr>
        <w:instrText xml:space="preserve"> PAGEREF _Toc212033047 \h </w:instrText>
      </w:r>
      <w:r>
        <w:rPr>
          <w:color w:val="auto"/>
        </w:rPr>
        <w:fldChar w:fldCharType="separate"/>
      </w:r>
      <w:r>
        <w:rPr>
          <w:color w:val="auto"/>
        </w:rPr>
        <w:t>439</w:t>
      </w:r>
      <w:r>
        <w:rPr>
          <w:color w:val="auto"/>
        </w:rPr>
        <w:fldChar w:fldCharType="end"/>
      </w:r>
      <w:r>
        <w:rPr>
          <w:color w:val="auto"/>
        </w:rPr>
        <w:fldChar w:fldCharType="end"/>
      </w:r>
    </w:p>
    <w:p w14:paraId="00FA31C1">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"_Toc212033048" </w:instrText>
      </w:r>
      <w:r>
        <w:rPr>
          <w:color w:val="auto"/>
        </w:rPr>
        <w:fldChar w:fldCharType="separate"/>
      </w:r>
      <w:r>
        <w:rPr>
          <w:rStyle w:val="94"/>
          <w:color w:val="auto"/>
        </w:rPr>
        <w:t>8.1 HSE管理体系的建立和运行</w:t>
      </w:r>
      <w:r>
        <w:rPr>
          <w:color w:val="auto"/>
        </w:rPr>
        <w:tab/>
      </w:r>
      <w:r>
        <w:rPr>
          <w:color w:val="auto"/>
        </w:rPr>
        <w:fldChar w:fldCharType="begin"/>
      </w:r>
      <w:r>
        <w:rPr>
          <w:color w:val="auto"/>
        </w:rPr>
        <w:instrText xml:space="preserve"> PAGEREF _Toc212033048 \h </w:instrText>
      </w:r>
      <w:r>
        <w:rPr>
          <w:color w:val="auto"/>
        </w:rPr>
        <w:fldChar w:fldCharType="separate"/>
      </w:r>
      <w:r>
        <w:rPr>
          <w:color w:val="auto"/>
        </w:rPr>
        <w:t>439</w:t>
      </w:r>
      <w:r>
        <w:rPr>
          <w:color w:val="auto"/>
        </w:rPr>
        <w:fldChar w:fldCharType="end"/>
      </w:r>
      <w:r>
        <w:rPr>
          <w:color w:val="auto"/>
        </w:rPr>
        <w:fldChar w:fldCharType="end"/>
      </w:r>
    </w:p>
    <w:p w14:paraId="195375CF">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"_Toc212033049" </w:instrText>
      </w:r>
      <w:r>
        <w:rPr>
          <w:color w:val="auto"/>
        </w:rPr>
        <w:fldChar w:fldCharType="separate"/>
      </w:r>
      <w:r>
        <w:rPr>
          <w:rStyle w:val="94"/>
          <w:color w:val="auto"/>
        </w:rPr>
        <w:t>8.2 环境监控</w:t>
      </w:r>
      <w:r>
        <w:rPr>
          <w:color w:val="auto"/>
        </w:rPr>
        <w:tab/>
      </w:r>
      <w:r>
        <w:rPr>
          <w:color w:val="auto"/>
        </w:rPr>
        <w:fldChar w:fldCharType="begin"/>
      </w:r>
      <w:r>
        <w:rPr>
          <w:color w:val="auto"/>
        </w:rPr>
        <w:instrText xml:space="preserve"> PAGEREF _Toc212033049 \h </w:instrText>
      </w:r>
      <w:r>
        <w:rPr>
          <w:color w:val="auto"/>
        </w:rPr>
        <w:fldChar w:fldCharType="separate"/>
      </w:r>
      <w:r>
        <w:rPr>
          <w:color w:val="auto"/>
        </w:rPr>
        <w:t>441</w:t>
      </w:r>
      <w:r>
        <w:rPr>
          <w:color w:val="auto"/>
        </w:rPr>
        <w:fldChar w:fldCharType="end"/>
      </w:r>
      <w:r>
        <w:rPr>
          <w:color w:val="auto"/>
        </w:rPr>
        <w:fldChar w:fldCharType="end"/>
      </w:r>
    </w:p>
    <w:p w14:paraId="31DB3E9F">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"_Toc212033050" </w:instrText>
      </w:r>
      <w:r>
        <w:rPr>
          <w:color w:val="auto"/>
        </w:rPr>
        <w:fldChar w:fldCharType="separate"/>
      </w:r>
      <w:r>
        <w:rPr>
          <w:rStyle w:val="94"/>
          <w:color w:val="auto"/>
        </w:rPr>
        <w:t>8.3 占地审批流程</w:t>
      </w:r>
      <w:r>
        <w:rPr>
          <w:color w:val="auto"/>
        </w:rPr>
        <w:tab/>
      </w:r>
      <w:r>
        <w:rPr>
          <w:color w:val="auto"/>
        </w:rPr>
        <w:fldChar w:fldCharType="begin"/>
      </w:r>
      <w:r>
        <w:rPr>
          <w:color w:val="auto"/>
        </w:rPr>
        <w:instrText xml:space="preserve"> PAGEREF _Toc212033050 \h </w:instrText>
      </w:r>
      <w:r>
        <w:rPr>
          <w:color w:val="auto"/>
        </w:rPr>
        <w:fldChar w:fldCharType="separate"/>
      </w:r>
      <w:r>
        <w:rPr>
          <w:color w:val="auto"/>
        </w:rPr>
        <w:t>449</w:t>
      </w:r>
      <w:r>
        <w:rPr>
          <w:color w:val="auto"/>
        </w:rPr>
        <w:fldChar w:fldCharType="end"/>
      </w:r>
      <w:r>
        <w:rPr>
          <w:color w:val="auto"/>
        </w:rPr>
        <w:fldChar w:fldCharType="end"/>
      </w:r>
    </w:p>
    <w:p w14:paraId="42FE367C">
      <w:pPr>
        <w:pStyle w:val="55"/>
        <w:rPr>
          <w:rFonts w:asciiTheme="minorHAnsi" w:eastAsiaTheme="minorEastAsia" w:cstheme="minorBidi"/>
          <w:b w:val="0"/>
          <w:bCs w:val="0"/>
          <w:color w:val="auto"/>
          <w:sz w:val="21"/>
          <w:szCs w:val="22"/>
        </w:rPr>
      </w:pPr>
      <w:r>
        <w:rPr>
          <w:color w:val="auto"/>
        </w:rPr>
        <w:fldChar w:fldCharType="begin"/>
      </w:r>
      <w:r>
        <w:rPr>
          <w:color w:val="auto"/>
        </w:rPr>
        <w:instrText xml:space="preserve"> HYPERLINK \l "_Toc212033051" </w:instrText>
      </w:r>
      <w:r>
        <w:rPr>
          <w:color w:val="auto"/>
        </w:rPr>
        <w:fldChar w:fldCharType="separate"/>
      </w:r>
      <w:r>
        <w:rPr>
          <w:rStyle w:val="94"/>
          <w:rFonts w:ascii="宋体" w:hAnsi="宋体"/>
          <w:color w:val="auto"/>
        </w:rPr>
        <w:t>9 环境影响评价结论</w:t>
      </w:r>
      <w:r>
        <w:rPr>
          <w:color w:val="auto"/>
        </w:rPr>
        <w:tab/>
      </w:r>
      <w:r>
        <w:rPr>
          <w:color w:val="auto"/>
        </w:rPr>
        <w:fldChar w:fldCharType="begin"/>
      </w:r>
      <w:r>
        <w:rPr>
          <w:color w:val="auto"/>
        </w:rPr>
        <w:instrText xml:space="preserve"> PAGEREF _Toc212033051 \h </w:instrText>
      </w:r>
      <w:r>
        <w:rPr>
          <w:color w:val="auto"/>
        </w:rPr>
        <w:fldChar w:fldCharType="separate"/>
      </w:r>
      <w:r>
        <w:rPr>
          <w:color w:val="auto"/>
        </w:rPr>
        <w:t>451</w:t>
      </w:r>
      <w:r>
        <w:rPr>
          <w:color w:val="auto"/>
        </w:rPr>
        <w:fldChar w:fldCharType="end"/>
      </w:r>
      <w:r>
        <w:rPr>
          <w:color w:val="auto"/>
        </w:rPr>
        <w:fldChar w:fldCharType="end"/>
      </w:r>
    </w:p>
    <w:p w14:paraId="2D7D17A4">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"_Toc212033052" </w:instrText>
      </w:r>
      <w:r>
        <w:rPr>
          <w:color w:val="auto"/>
        </w:rPr>
        <w:fldChar w:fldCharType="separate"/>
      </w:r>
      <w:r>
        <w:rPr>
          <w:rStyle w:val="94"/>
          <w:color w:val="auto"/>
        </w:rPr>
        <w:t>9.1 建设项目概况</w:t>
      </w:r>
      <w:r>
        <w:rPr>
          <w:color w:val="auto"/>
        </w:rPr>
        <w:tab/>
      </w:r>
      <w:r>
        <w:rPr>
          <w:color w:val="auto"/>
        </w:rPr>
        <w:fldChar w:fldCharType="begin"/>
      </w:r>
      <w:r>
        <w:rPr>
          <w:color w:val="auto"/>
        </w:rPr>
        <w:instrText xml:space="preserve"> PAGEREF _Toc212033052 \h </w:instrText>
      </w:r>
      <w:r>
        <w:rPr>
          <w:color w:val="auto"/>
        </w:rPr>
        <w:fldChar w:fldCharType="separate"/>
      </w:r>
      <w:r>
        <w:rPr>
          <w:color w:val="auto"/>
        </w:rPr>
        <w:t>451</w:t>
      </w:r>
      <w:r>
        <w:rPr>
          <w:color w:val="auto"/>
        </w:rPr>
        <w:fldChar w:fldCharType="end"/>
      </w:r>
      <w:r>
        <w:rPr>
          <w:color w:val="auto"/>
        </w:rPr>
        <w:fldChar w:fldCharType="end"/>
      </w:r>
    </w:p>
    <w:p w14:paraId="3300AF9E">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"_Toc212033053" </w:instrText>
      </w:r>
      <w:r>
        <w:rPr>
          <w:color w:val="auto"/>
        </w:rPr>
        <w:fldChar w:fldCharType="separate"/>
      </w:r>
      <w:r>
        <w:rPr>
          <w:rStyle w:val="94"/>
          <w:color w:val="auto"/>
        </w:rPr>
        <w:t>9.2 环境质量现状评价结论</w:t>
      </w:r>
      <w:r>
        <w:rPr>
          <w:color w:val="auto"/>
        </w:rPr>
        <w:tab/>
      </w:r>
      <w:r>
        <w:rPr>
          <w:color w:val="auto"/>
        </w:rPr>
        <w:fldChar w:fldCharType="begin"/>
      </w:r>
      <w:r>
        <w:rPr>
          <w:color w:val="auto"/>
        </w:rPr>
        <w:instrText xml:space="preserve"> PAGEREF _Toc212033053 \h </w:instrText>
      </w:r>
      <w:r>
        <w:rPr>
          <w:color w:val="auto"/>
        </w:rPr>
        <w:fldChar w:fldCharType="separate"/>
      </w:r>
      <w:r>
        <w:rPr>
          <w:color w:val="auto"/>
        </w:rPr>
        <w:t>451</w:t>
      </w:r>
      <w:r>
        <w:rPr>
          <w:color w:val="auto"/>
        </w:rPr>
        <w:fldChar w:fldCharType="end"/>
      </w:r>
      <w:r>
        <w:rPr>
          <w:color w:val="auto"/>
        </w:rPr>
        <w:fldChar w:fldCharType="end"/>
      </w:r>
    </w:p>
    <w:p w14:paraId="3C5E0D5A">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"_Toc212033054" </w:instrText>
      </w:r>
      <w:r>
        <w:rPr>
          <w:color w:val="auto"/>
        </w:rPr>
        <w:fldChar w:fldCharType="separate"/>
      </w:r>
      <w:r>
        <w:rPr>
          <w:rStyle w:val="94"/>
          <w:color w:val="auto"/>
        </w:rPr>
        <w:t>9.3 环境影响分析和污染防治措施可行性结论</w:t>
      </w:r>
      <w:r>
        <w:rPr>
          <w:color w:val="auto"/>
        </w:rPr>
        <w:tab/>
      </w:r>
      <w:r>
        <w:rPr>
          <w:color w:val="auto"/>
        </w:rPr>
        <w:fldChar w:fldCharType="begin"/>
      </w:r>
      <w:r>
        <w:rPr>
          <w:color w:val="auto"/>
        </w:rPr>
        <w:instrText xml:space="preserve"> PAGEREF _Toc212033054 \h </w:instrText>
      </w:r>
      <w:r>
        <w:rPr>
          <w:color w:val="auto"/>
        </w:rPr>
        <w:fldChar w:fldCharType="separate"/>
      </w:r>
      <w:r>
        <w:rPr>
          <w:color w:val="auto"/>
        </w:rPr>
        <w:t>452</w:t>
      </w:r>
      <w:r>
        <w:rPr>
          <w:color w:val="auto"/>
        </w:rPr>
        <w:fldChar w:fldCharType="end"/>
      </w:r>
      <w:r>
        <w:rPr>
          <w:color w:val="auto"/>
        </w:rPr>
        <w:fldChar w:fldCharType="end"/>
      </w:r>
    </w:p>
    <w:p w14:paraId="7F32FE13">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"_Toc212033055" </w:instrText>
      </w:r>
      <w:r>
        <w:rPr>
          <w:color w:val="auto"/>
        </w:rPr>
        <w:fldChar w:fldCharType="separate"/>
      </w:r>
      <w:r>
        <w:rPr>
          <w:rStyle w:val="94"/>
          <w:color w:val="auto"/>
        </w:rPr>
        <w:t>9.4 公众意见采纳情况</w:t>
      </w:r>
      <w:r>
        <w:rPr>
          <w:color w:val="auto"/>
        </w:rPr>
        <w:tab/>
      </w:r>
      <w:r>
        <w:rPr>
          <w:color w:val="auto"/>
        </w:rPr>
        <w:fldChar w:fldCharType="begin"/>
      </w:r>
      <w:r>
        <w:rPr>
          <w:color w:val="auto"/>
        </w:rPr>
        <w:instrText xml:space="preserve"> PAGEREF _Toc212033055 \h </w:instrText>
      </w:r>
      <w:r>
        <w:rPr>
          <w:color w:val="auto"/>
        </w:rPr>
        <w:fldChar w:fldCharType="separate"/>
      </w:r>
      <w:r>
        <w:rPr>
          <w:color w:val="auto"/>
        </w:rPr>
        <w:t>456</w:t>
      </w:r>
      <w:r>
        <w:rPr>
          <w:color w:val="auto"/>
        </w:rPr>
        <w:fldChar w:fldCharType="end"/>
      </w:r>
      <w:r>
        <w:rPr>
          <w:color w:val="auto"/>
        </w:rPr>
        <w:fldChar w:fldCharType="end"/>
      </w:r>
    </w:p>
    <w:p w14:paraId="624A0A93">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"_Toc212033056" </w:instrText>
      </w:r>
      <w:r>
        <w:rPr>
          <w:color w:val="auto"/>
        </w:rPr>
        <w:fldChar w:fldCharType="separate"/>
      </w:r>
      <w:r>
        <w:rPr>
          <w:rStyle w:val="94"/>
          <w:color w:val="auto"/>
        </w:rPr>
        <w:t>9.5 环境经济损益分析结论</w:t>
      </w:r>
      <w:r>
        <w:rPr>
          <w:color w:val="auto"/>
        </w:rPr>
        <w:tab/>
      </w:r>
      <w:r>
        <w:rPr>
          <w:color w:val="auto"/>
        </w:rPr>
        <w:fldChar w:fldCharType="begin"/>
      </w:r>
      <w:r>
        <w:rPr>
          <w:color w:val="auto"/>
        </w:rPr>
        <w:instrText xml:space="preserve"> PAGEREF _Toc212033056 \h </w:instrText>
      </w:r>
      <w:r>
        <w:rPr>
          <w:color w:val="auto"/>
        </w:rPr>
        <w:fldChar w:fldCharType="separate"/>
      </w:r>
      <w:r>
        <w:rPr>
          <w:color w:val="auto"/>
        </w:rPr>
        <w:t>456</w:t>
      </w:r>
      <w:r>
        <w:rPr>
          <w:color w:val="auto"/>
        </w:rPr>
        <w:fldChar w:fldCharType="end"/>
      </w:r>
      <w:r>
        <w:rPr>
          <w:color w:val="auto"/>
        </w:rPr>
        <w:fldChar w:fldCharType="end"/>
      </w:r>
    </w:p>
    <w:p w14:paraId="4D8483FD">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"_Toc212033057" </w:instrText>
      </w:r>
      <w:r>
        <w:rPr>
          <w:color w:val="auto"/>
        </w:rPr>
        <w:fldChar w:fldCharType="separate"/>
      </w:r>
      <w:r>
        <w:rPr>
          <w:rStyle w:val="94"/>
          <w:color w:val="auto"/>
        </w:rPr>
        <w:t>9.6 环境管理与监测计划结论</w:t>
      </w:r>
      <w:r>
        <w:rPr>
          <w:color w:val="auto"/>
        </w:rPr>
        <w:tab/>
      </w:r>
      <w:r>
        <w:rPr>
          <w:color w:val="auto"/>
        </w:rPr>
        <w:fldChar w:fldCharType="begin"/>
      </w:r>
      <w:r>
        <w:rPr>
          <w:color w:val="auto"/>
        </w:rPr>
        <w:instrText xml:space="preserve"> PAGEREF _Toc212033057 \h </w:instrText>
      </w:r>
      <w:r>
        <w:rPr>
          <w:color w:val="auto"/>
        </w:rPr>
        <w:fldChar w:fldCharType="separate"/>
      </w:r>
      <w:r>
        <w:rPr>
          <w:color w:val="auto"/>
        </w:rPr>
        <w:t>456</w:t>
      </w:r>
      <w:r>
        <w:rPr>
          <w:color w:val="auto"/>
        </w:rPr>
        <w:fldChar w:fldCharType="end"/>
      </w:r>
      <w:r>
        <w:rPr>
          <w:color w:val="auto"/>
        </w:rPr>
        <w:fldChar w:fldCharType="end"/>
      </w:r>
    </w:p>
    <w:p w14:paraId="6FC871E6">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"_Toc212033058" </w:instrText>
      </w:r>
      <w:r>
        <w:rPr>
          <w:color w:val="auto"/>
        </w:rPr>
        <w:fldChar w:fldCharType="separate"/>
      </w:r>
      <w:r>
        <w:rPr>
          <w:rStyle w:val="94"/>
          <w:color w:val="auto"/>
        </w:rPr>
        <w:t>9.7 评价结论</w:t>
      </w:r>
      <w:r>
        <w:rPr>
          <w:color w:val="auto"/>
        </w:rPr>
        <w:tab/>
      </w:r>
      <w:r>
        <w:rPr>
          <w:color w:val="auto"/>
        </w:rPr>
        <w:fldChar w:fldCharType="begin"/>
      </w:r>
      <w:r>
        <w:rPr>
          <w:color w:val="auto"/>
        </w:rPr>
        <w:instrText xml:space="preserve"> PAGEREF _Toc212033058 \h </w:instrText>
      </w:r>
      <w:r>
        <w:rPr>
          <w:color w:val="auto"/>
        </w:rPr>
        <w:fldChar w:fldCharType="separate"/>
      </w:r>
      <w:r>
        <w:rPr>
          <w:color w:val="auto"/>
        </w:rPr>
        <w:t>457</w:t>
      </w:r>
      <w:r>
        <w:rPr>
          <w:color w:val="auto"/>
        </w:rPr>
        <w:fldChar w:fldCharType="end"/>
      </w:r>
      <w:r>
        <w:rPr>
          <w:color w:val="auto"/>
        </w:rPr>
        <w:fldChar w:fldCharType="end"/>
      </w:r>
    </w:p>
    <w:p w14:paraId="77C68175">
      <w:pPr>
        <w:pStyle w:val="55"/>
        <w:rPr>
          <w:rFonts w:asciiTheme="minorHAnsi" w:eastAsiaTheme="minorEastAsia" w:cstheme="minorBidi"/>
          <w:b w:val="0"/>
          <w:bCs w:val="0"/>
          <w:color w:val="auto"/>
          <w:sz w:val="21"/>
          <w:szCs w:val="22"/>
        </w:rPr>
      </w:pPr>
      <w:r>
        <w:rPr>
          <w:color w:val="auto"/>
        </w:rPr>
        <w:fldChar w:fldCharType="begin"/>
      </w:r>
      <w:r>
        <w:rPr>
          <w:color w:val="auto"/>
        </w:rPr>
        <w:instrText xml:space="preserve"> HYPERLINK \l "_Toc212033059" </w:instrText>
      </w:r>
      <w:r>
        <w:rPr>
          <w:color w:val="auto"/>
        </w:rPr>
        <w:fldChar w:fldCharType="separate"/>
      </w:r>
      <w:r>
        <w:rPr>
          <w:rStyle w:val="94"/>
          <w:rFonts w:ascii="宋体" w:hAnsi="宋体"/>
          <w:color w:val="auto"/>
        </w:rPr>
        <w:t>10 附表</w:t>
      </w:r>
      <w:r>
        <w:rPr>
          <w:color w:val="auto"/>
        </w:rPr>
        <w:tab/>
      </w:r>
      <w:r>
        <w:rPr>
          <w:color w:val="auto"/>
        </w:rPr>
        <w:fldChar w:fldCharType="begin"/>
      </w:r>
      <w:r>
        <w:rPr>
          <w:color w:val="auto"/>
        </w:rPr>
        <w:instrText xml:space="preserve"> PAGEREF _Toc212033059 \h </w:instrText>
      </w:r>
      <w:r>
        <w:rPr>
          <w:color w:val="auto"/>
        </w:rPr>
        <w:fldChar w:fldCharType="separate"/>
      </w:r>
      <w:r>
        <w:rPr>
          <w:color w:val="auto"/>
        </w:rPr>
        <w:t>458</w:t>
      </w:r>
      <w:r>
        <w:rPr>
          <w:color w:val="auto"/>
        </w:rPr>
        <w:fldChar w:fldCharType="end"/>
      </w:r>
      <w:r>
        <w:rPr>
          <w:color w:val="auto"/>
        </w:rPr>
        <w:fldChar w:fldCharType="end"/>
      </w:r>
    </w:p>
    <w:p w14:paraId="15615DEB">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"_Toc212033060" </w:instrText>
      </w:r>
      <w:r>
        <w:rPr>
          <w:color w:val="auto"/>
        </w:rPr>
        <w:fldChar w:fldCharType="separate"/>
      </w:r>
      <w:r>
        <w:rPr>
          <w:rStyle w:val="94"/>
          <w:color w:val="auto"/>
        </w:rPr>
        <w:t>10.1 附表1：建设项目大气环境影响评价自查表</w:t>
      </w:r>
      <w:r>
        <w:rPr>
          <w:color w:val="auto"/>
        </w:rPr>
        <w:tab/>
      </w:r>
      <w:r>
        <w:rPr>
          <w:color w:val="auto"/>
        </w:rPr>
        <w:fldChar w:fldCharType="begin"/>
      </w:r>
      <w:r>
        <w:rPr>
          <w:color w:val="auto"/>
        </w:rPr>
        <w:instrText xml:space="preserve"> PAGEREF _Toc212033060 \h </w:instrText>
      </w:r>
      <w:r>
        <w:rPr>
          <w:color w:val="auto"/>
        </w:rPr>
        <w:fldChar w:fldCharType="separate"/>
      </w:r>
      <w:r>
        <w:rPr>
          <w:color w:val="auto"/>
        </w:rPr>
        <w:t>458</w:t>
      </w:r>
      <w:r>
        <w:rPr>
          <w:color w:val="auto"/>
        </w:rPr>
        <w:fldChar w:fldCharType="end"/>
      </w:r>
      <w:r>
        <w:rPr>
          <w:color w:val="auto"/>
        </w:rPr>
        <w:fldChar w:fldCharType="end"/>
      </w:r>
    </w:p>
    <w:p w14:paraId="535CAFF3">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"_Toc212033061" </w:instrText>
      </w:r>
      <w:r>
        <w:rPr>
          <w:color w:val="auto"/>
        </w:rPr>
        <w:fldChar w:fldCharType="separate"/>
      </w:r>
      <w:r>
        <w:rPr>
          <w:rStyle w:val="94"/>
          <w:color w:val="auto"/>
        </w:rPr>
        <w:t>10.2 附表2：建设项目环境风险评价自查表</w:t>
      </w:r>
      <w:r>
        <w:rPr>
          <w:color w:val="auto"/>
        </w:rPr>
        <w:tab/>
      </w:r>
      <w:r>
        <w:rPr>
          <w:color w:val="auto"/>
        </w:rPr>
        <w:fldChar w:fldCharType="begin"/>
      </w:r>
      <w:r>
        <w:rPr>
          <w:color w:val="auto"/>
        </w:rPr>
        <w:instrText xml:space="preserve"> PAGEREF _Toc212033061 \h </w:instrText>
      </w:r>
      <w:r>
        <w:rPr>
          <w:color w:val="auto"/>
        </w:rPr>
        <w:fldChar w:fldCharType="separate"/>
      </w:r>
      <w:r>
        <w:rPr>
          <w:color w:val="auto"/>
        </w:rPr>
        <w:t>460</w:t>
      </w:r>
      <w:r>
        <w:rPr>
          <w:color w:val="auto"/>
        </w:rPr>
        <w:fldChar w:fldCharType="end"/>
      </w:r>
      <w:r>
        <w:rPr>
          <w:color w:val="auto"/>
        </w:rPr>
        <w:fldChar w:fldCharType="end"/>
      </w:r>
    </w:p>
    <w:p w14:paraId="25D6E43B">
      <w:pPr>
        <w:pStyle w:val="67"/>
        <w:rPr>
          <w:rFonts w:asciiTheme="minorHAnsi" w:eastAsiaTheme="minorEastAsia" w:cstheme="minorBidi"/>
          <w:iCs w:val="0"/>
          <w:color w:val="auto"/>
          <w:sz w:val="21"/>
          <w:szCs w:val="22"/>
        </w:rPr>
      </w:pPr>
      <w:r>
        <w:rPr>
          <w:color w:val="auto"/>
        </w:rPr>
        <w:fldChar w:fldCharType="begin"/>
      </w:r>
      <w:r>
        <w:rPr>
          <w:color w:val="auto"/>
        </w:rPr>
        <w:instrText xml:space="preserve"> HYPERLINK \l "_Toc212033062" </w:instrText>
      </w:r>
      <w:r>
        <w:rPr>
          <w:color w:val="auto"/>
        </w:rPr>
        <w:fldChar w:fldCharType="separate"/>
      </w:r>
      <w:r>
        <w:rPr>
          <w:rStyle w:val="94"/>
          <w:color w:val="auto"/>
        </w:rPr>
        <w:t>10.3 附表3：建设项目土壤环境影响评价自查表</w:t>
      </w:r>
      <w:r>
        <w:rPr>
          <w:color w:val="auto"/>
        </w:rPr>
        <w:tab/>
      </w:r>
      <w:r>
        <w:rPr>
          <w:color w:val="auto"/>
        </w:rPr>
        <w:fldChar w:fldCharType="begin"/>
      </w:r>
      <w:r>
        <w:rPr>
          <w:color w:val="auto"/>
        </w:rPr>
        <w:instrText xml:space="preserve"> PAGEREF _Toc212033062 \h </w:instrText>
      </w:r>
      <w:r>
        <w:rPr>
          <w:color w:val="auto"/>
        </w:rPr>
        <w:fldChar w:fldCharType="separate"/>
      </w:r>
      <w:r>
        <w:rPr>
          <w:color w:val="auto"/>
        </w:rPr>
        <w:t>462</w:t>
      </w:r>
      <w:r>
        <w:rPr>
          <w:color w:val="auto"/>
        </w:rPr>
        <w:fldChar w:fldCharType="end"/>
      </w:r>
      <w:r>
        <w:rPr>
          <w:color w:val="auto"/>
        </w:rPr>
        <w:fldChar w:fldCharType="end"/>
      </w:r>
    </w:p>
    <w:p w14:paraId="0443E161">
      <w:pPr>
        <w:rPr>
          <w:rFonts w:ascii="宋体" w:hAnsi="宋体" w:eastAsia="宋体"/>
          <w:color w:val="auto"/>
        </w:rPr>
        <w:sectPr>
          <w:footerReference r:id="rId4" w:type="default"/>
          <w:pgSz w:w="11906" w:h="16838"/>
          <w:pgMar w:top="1440" w:right="1797" w:bottom="1304" w:left="1797" w:header="1021" w:footer="851" w:gutter="0"/>
          <w:pgNumType w:fmt="upperRoman" w:start="1"/>
          <w:cols w:space="425" w:num="1"/>
          <w:docGrid w:type="lines" w:linePitch="312" w:charSpace="0"/>
        </w:sectPr>
      </w:pPr>
      <w:r>
        <w:rPr>
          <w:rFonts w:ascii="宋体" w:hAnsi="宋体" w:eastAsia="宋体"/>
          <w:color w:val="auto"/>
          <w:szCs w:val="24"/>
        </w:rPr>
        <w:fldChar w:fldCharType="end"/>
      </w:r>
    </w:p>
    <w:bookmarkEnd w:id="0"/>
    <w:p w14:paraId="0F62B6A6">
      <w:pPr>
        <w:pStyle w:val="3"/>
        <w:rPr>
          <w:rFonts w:ascii="宋体" w:hAnsi="宋体" w:eastAsia="宋体"/>
          <w:bCs/>
          <w:color w:val="auto"/>
        </w:rPr>
      </w:pPr>
      <w:bookmarkStart w:id="1" w:name="_Toc477190959"/>
      <w:bookmarkStart w:id="2" w:name="_Toc32495"/>
      <w:bookmarkStart w:id="3" w:name="_Toc212032995"/>
      <w:bookmarkStart w:id="4" w:name="_Toc439236473"/>
      <w:bookmarkStart w:id="5" w:name="_Toc472585611"/>
      <w:r>
        <w:rPr>
          <w:rFonts w:ascii="宋体" w:hAnsi="宋体" w:eastAsia="宋体"/>
          <w:bCs/>
          <w:color w:val="auto"/>
        </w:rPr>
        <w:t>概述</w:t>
      </w:r>
      <w:bookmarkEnd w:id="1"/>
      <w:bookmarkEnd w:id="2"/>
      <w:bookmarkEnd w:id="3"/>
      <w:bookmarkEnd w:id="4"/>
      <w:bookmarkEnd w:id="5"/>
    </w:p>
    <w:p w14:paraId="5905BEE4">
      <w:pPr>
        <w:pStyle w:val="5"/>
        <w:rPr>
          <w:bCs w:val="0"/>
          <w:color w:val="auto"/>
        </w:rPr>
      </w:pPr>
      <w:bookmarkStart w:id="6" w:name="_Toc11501"/>
      <w:bookmarkStart w:id="7" w:name="_Toc212032996"/>
      <w:r>
        <w:rPr>
          <w:bCs w:val="0"/>
          <w:color w:val="auto"/>
        </w:rPr>
        <w:t>项目由来</w:t>
      </w:r>
      <w:bookmarkEnd w:id="6"/>
      <w:bookmarkEnd w:id="7"/>
    </w:p>
    <w:p w14:paraId="4C7920B2">
      <w:pPr>
        <w:pStyle w:val="276"/>
        <w:widowControl w:val="0"/>
        <w:ind w:firstLine="480"/>
        <w:jc w:val="both"/>
        <w:rPr>
          <w:color w:val="auto"/>
          <w:lang w:bidi="zh-CN"/>
        </w:rPr>
      </w:pPr>
      <w:r>
        <w:rPr>
          <w:color w:val="auto"/>
          <w:lang w:bidi="zh-CN"/>
        </w:rPr>
        <w:t>原油属于国家战略安全物资，特别是近几年随着国际油价的波动，国内需求持续增长，国家对国内石油资源的需求越来越大。随着原油储量的自然递减和原油含水率的升高，大庆油田老区产量呈逐年下降的态势，各种替代能源的研究和开发呈明显上升趋势。按照国家的总体要求，大庆油田未来十年还要持续一定的原油稳产规模，以保障国家原油战略安全。大庆油田有限责任公司除了常规的油气勘探，近年来加大了致密油、页岩油的勘探力度，致密油是近年来大庆外围油田增储建产的重要领域，为大庆油田高稳产提供资源保障。</w:t>
      </w:r>
    </w:p>
    <w:p w14:paraId="5DE82DC5">
      <w:pPr>
        <w:pStyle w:val="276"/>
        <w:widowControl w:val="0"/>
        <w:ind w:firstLine="480"/>
        <w:jc w:val="both"/>
        <w:rPr>
          <w:color w:val="auto"/>
          <w:lang w:bidi="zh-CN"/>
        </w:rPr>
      </w:pPr>
      <w:r>
        <w:rPr>
          <w:color w:val="auto"/>
          <w:lang w:bidi="zh-CN"/>
        </w:rPr>
        <w:t>在上述总体部署下，</w:t>
      </w:r>
      <w:r>
        <w:rPr>
          <w:color w:val="auto"/>
        </w:rPr>
        <w:t>大庆油田有限责任公司第十采油厂决定在大庆市肇源县和平乡后欧力马屯西侧及东侧、四方山村北侧以及肇源镇刘兽医屯东侧实施</w:t>
      </w:r>
      <w:r>
        <w:rPr>
          <w:rFonts w:hint="eastAsia"/>
          <w:color w:val="auto"/>
        </w:rPr>
        <w:t>“</w:t>
      </w:r>
      <w:r>
        <w:rPr>
          <w:color w:val="auto"/>
        </w:rPr>
        <w:t>肇源油田源212区块扶余油层水平井提产试验产能建设地面工程项目</w:t>
      </w:r>
      <w:r>
        <w:rPr>
          <w:rFonts w:hint="eastAsia"/>
          <w:color w:val="auto"/>
        </w:rPr>
        <w:t>”</w:t>
      </w:r>
      <w:r>
        <w:rPr>
          <w:color w:val="auto"/>
        </w:rPr>
        <w:t>。</w:t>
      </w:r>
    </w:p>
    <w:p w14:paraId="2F30C7FE">
      <w:pPr>
        <w:pStyle w:val="276"/>
        <w:widowControl w:val="0"/>
        <w:ind w:firstLine="480"/>
        <w:jc w:val="both"/>
        <w:rPr>
          <w:color w:val="auto"/>
        </w:rPr>
      </w:pPr>
      <w:r>
        <w:rPr>
          <w:color w:val="auto"/>
        </w:rPr>
        <w:t>本项目所在区域范围内不涉及国家公园、自然保护区、风景名胜区、世界文化和自然遗产地、海洋特别保护区、基本草原、自然公园、重要湿地、天然林、重点保护野生动物栖息地、重点保护野生植物生长繁殖地、重要水生生物的自然产卵场、索饵场、越冬场和洄游通道、天然渔场、沙化土地封禁保护区、封闭及半封闭海域、以及以医疗卫生、文化教育、科研、行政办公为主要功能的区域、文物保护单位等环境敏感区。</w:t>
      </w:r>
      <w:r>
        <w:rPr>
          <w:rFonts w:hint="eastAsia"/>
          <w:color w:val="auto"/>
        </w:rPr>
        <w:t>根据现场勘查及查阅相关资料，</w:t>
      </w:r>
      <w:r>
        <w:rPr>
          <w:color w:val="auto"/>
        </w:rPr>
        <w:t>本项目部分井场占用的</w:t>
      </w:r>
      <w:r>
        <w:rPr>
          <w:snapToGrid w:val="0"/>
          <w:color w:val="auto"/>
        </w:rPr>
        <w:t>耕地</w:t>
      </w:r>
      <w:r>
        <w:rPr>
          <w:color w:val="auto"/>
        </w:rPr>
        <w:t>属于永久基本农田</w:t>
      </w:r>
      <w:r>
        <w:rPr>
          <w:rFonts w:hint="eastAsia"/>
          <w:color w:val="auto"/>
        </w:rPr>
        <w:t>，且</w:t>
      </w:r>
      <w:r>
        <w:rPr>
          <w:color w:val="auto"/>
        </w:rPr>
        <w:t>位于水土流失重点预防区</w:t>
      </w:r>
      <w:r>
        <w:rPr>
          <w:rFonts w:hint="eastAsia"/>
          <w:color w:val="auto"/>
        </w:rPr>
        <w:t>与水体流失重点治理区</w:t>
      </w:r>
      <w:r>
        <w:rPr>
          <w:color w:val="auto"/>
        </w:rPr>
        <w:t>，</w:t>
      </w:r>
      <w:r>
        <w:rPr>
          <w:rFonts w:hint="eastAsia"/>
          <w:color w:val="auto"/>
        </w:rPr>
        <w:t>距离最近的生态红线为</w:t>
      </w:r>
      <w:r>
        <w:rPr>
          <w:color w:val="auto"/>
        </w:rPr>
        <w:t>源1011</w:t>
      </w:r>
      <w:r>
        <w:rPr>
          <w:rFonts w:hint="eastAsia"/>
          <w:color w:val="auto"/>
        </w:rPr>
        <w:t>北侧250m的</w:t>
      </w:r>
      <w:r>
        <w:rPr>
          <w:color w:val="auto"/>
        </w:rPr>
        <w:t>肇源县松嫩平原生物多样性维护功能生态保护红线-水源涵养生态功能重要区</w:t>
      </w:r>
      <w:r>
        <w:rPr>
          <w:rFonts w:hint="eastAsia"/>
          <w:color w:val="auto"/>
        </w:rPr>
        <w:t>，</w:t>
      </w:r>
      <w:r>
        <w:rPr>
          <w:color w:val="auto"/>
        </w:rPr>
        <w:t>分区编码</w:t>
      </w:r>
      <w:r>
        <w:rPr>
          <w:rFonts w:hint="eastAsia"/>
          <w:color w:val="auto"/>
        </w:rPr>
        <w:t>为</w:t>
      </w:r>
      <w:r>
        <w:rPr>
          <w:color w:val="auto"/>
        </w:rPr>
        <w:t>YS2306221110001</w:t>
      </w:r>
      <w:r>
        <w:rPr>
          <w:rFonts w:hint="eastAsia"/>
          <w:color w:val="auto"/>
        </w:rPr>
        <w:t>，位于本项目土壤评价范围内。</w:t>
      </w:r>
    </w:p>
    <w:p w14:paraId="7D75248D">
      <w:pPr>
        <w:pStyle w:val="276"/>
        <w:widowControl w:val="0"/>
        <w:ind w:firstLine="480"/>
        <w:jc w:val="both"/>
        <w:rPr>
          <w:color w:val="auto"/>
        </w:rPr>
      </w:pPr>
      <w:r>
        <w:rPr>
          <w:color w:val="auto"/>
        </w:rPr>
        <w:t>根据《国民经济行业分类》（GB/T4754-2017），本项目国民经济分类为B0711陆地石油开采</w:t>
      </w:r>
      <w:r>
        <w:rPr>
          <w:rFonts w:hint="eastAsia"/>
          <w:color w:val="auto"/>
        </w:rPr>
        <w:t>。</w:t>
      </w:r>
      <w:r>
        <w:rPr>
          <w:color w:val="auto"/>
        </w:rPr>
        <w:t>根据</w:t>
      </w:r>
      <w:r>
        <w:rPr>
          <w:snapToGrid w:val="0"/>
          <w:color w:val="auto"/>
        </w:rPr>
        <w:t>《建设项目环境影响评价分类管理名录（2021年版）》</w:t>
      </w:r>
      <w:r>
        <w:rPr>
          <w:color w:val="auto"/>
        </w:rPr>
        <w:t>（</w:t>
      </w:r>
      <w:r>
        <w:rPr>
          <w:rFonts w:hint="eastAsia"/>
          <w:color w:val="auto"/>
        </w:rPr>
        <w:t>生态环境</w:t>
      </w:r>
      <w:r>
        <w:rPr>
          <w:color w:val="auto"/>
        </w:rPr>
        <w:t>部令第16号），判定本项目为“五、石油和天然气开采业-07、陆地石油开采 0711”中“涉及环境敏感区的（含内部集输管线建设）”，应编制环境影响报告书。</w:t>
      </w:r>
    </w:p>
    <w:p w14:paraId="120827CB">
      <w:pPr>
        <w:pStyle w:val="276"/>
        <w:widowControl w:val="0"/>
        <w:ind w:firstLine="480"/>
        <w:jc w:val="both"/>
        <w:rPr>
          <w:color w:val="auto"/>
        </w:rPr>
      </w:pPr>
      <w:r>
        <w:rPr>
          <w:color w:val="auto"/>
        </w:rPr>
        <w:t>根据2017年7月16日《国务院关于修改〈建设项目环境保护管理条例〉的决定》（中华人民共和国国务院令第682号）、《中华人民共和国环境影响评价法》、《建设项目环境影响评价分类管理名录（2021年版）》（生态环境部部令第16号）及《关于进一步加强石油天然气行业环境影响评价管理的通知》（环办环评函[2019]910号）等法律法规，为保证建设项目与环境保护协调发展，从环境保护角度评价建设项目的可行性，大庆油田有限责任公司第十采油厂委托森诺科技有限公司编制环境影响报告书。接受委托后，项目负责人对项目的建设方案进行了详细分析，并对拟建井区域进行实地考察，并结合地面工程方案，分析了项目的类型、性质、建设规模及所在区域的环境状况，在详细研究了相关资料并进行类比调查分析的情况下，按照国家环境影响评价技术导则的要求，编制了</w:t>
      </w:r>
      <w:r>
        <w:rPr>
          <w:snapToGrid w:val="0"/>
          <w:color w:val="auto"/>
        </w:rPr>
        <w:t>《肇源油田源212区块扶余油层水平井提产试验产能建设地面工程项目环境影响报告书》</w:t>
      </w:r>
      <w:r>
        <w:rPr>
          <w:color w:val="auto"/>
        </w:rPr>
        <w:t>。</w:t>
      </w:r>
    </w:p>
    <w:p w14:paraId="5DEB3FE1">
      <w:pPr>
        <w:pStyle w:val="5"/>
        <w:rPr>
          <w:bCs w:val="0"/>
          <w:color w:val="auto"/>
        </w:rPr>
      </w:pPr>
      <w:bookmarkStart w:id="8" w:name="_Toc502736431"/>
      <w:bookmarkStart w:id="9" w:name="_Toc11366"/>
      <w:bookmarkStart w:id="10" w:name="_Toc212032997"/>
      <w:r>
        <w:rPr>
          <w:bCs w:val="0"/>
          <w:color w:val="auto"/>
        </w:rPr>
        <w:t>项目特点</w:t>
      </w:r>
      <w:bookmarkEnd w:id="8"/>
      <w:bookmarkEnd w:id="9"/>
      <w:bookmarkEnd w:id="10"/>
    </w:p>
    <w:p w14:paraId="24FE903A">
      <w:pPr>
        <w:pStyle w:val="6"/>
        <w:rPr>
          <w:color w:val="auto"/>
        </w:rPr>
      </w:pPr>
      <w:bookmarkStart w:id="11" w:name="_Toc143099523"/>
      <w:bookmarkStart w:id="12" w:name="_Toc78816408"/>
      <w:bookmarkStart w:id="13" w:name="_Toc126863339"/>
      <w:bookmarkStart w:id="14" w:name="_Toc76976191"/>
      <w:bookmarkStart w:id="15" w:name="_Toc85640700"/>
      <w:bookmarkStart w:id="16" w:name="_Toc80588203"/>
      <w:bookmarkStart w:id="17" w:name="_Toc127192288"/>
      <w:bookmarkStart w:id="18" w:name="_Toc131167238"/>
      <w:bookmarkStart w:id="19" w:name="_Toc86141883"/>
      <w:bookmarkStart w:id="20" w:name="_Toc80971325"/>
      <w:bookmarkStart w:id="21" w:name="_Toc77067607"/>
      <w:bookmarkStart w:id="22" w:name="_Toc74812262"/>
      <w:bookmarkStart w:id="23" w:name="_Toc71371891"/>
      <w:bookmarkStart w:id="24" w:name="_Toc83209420"/>
      <w:bookmarkStart w:id="25" w:name="_Toc84929175"/>
      <w:bookmarkStart w:id="26" w:name="_Toc22290"/>
      <w:r>
        <w:rPr>
          <w:color w:val="auto"/>
        </w:rPr>
        <w:t>项目建设内容介绍</w:t>
      </w:r>
      <w:bookmarkEnd w:id="11"/>
    </w:p>
    <w:p w14:paraId="54EFD3B7">
      <w:pPr>
        <w:pStyle w:val="276"/>
        <w:widowControl w:val="0"/>
        <w:ind w:firstLine="480"/>
        <w:jc w:val="both"/>
        <w:rPr>
          <w:color w:val="auto"/>
        </w:rPr>
      </w:pPr>
      <w:r>
        <w:rPr>
          <w:color w:val="auto"/>
        </w:rPr>
        <w:t>本项目为陆地石油开采项目，建设内容包括钻前工程、钻井工程、储层改造工程、采油工程和油气集输工程。</w:t>
      </w:r>
    </w:p>
    <w:p w14:paraId="0F99FABC">
      <w:pPr>
        <w:pStyle w:val="276"/>
        <w:widowControl w:val="0"/>
        <w:ind w:firstLine="480"/>
        <w:jc w:val="both"/>
        <w:rPr>
          <w:color w:val="auto"/>
        </w:rPr>
      </w:pPr>
      <w:r>
        <w:rPr>
          <w:color w:val="auto"/>
        </w:rPr>
        <w:t>本项目新钻井6口</w:t>
      </w:r>
      <w:r>
        <w:rPr>
          <w:rFonts w:hint="eastAsia"/>
          <w:color w:val="auto"/>
        </w:rPr>
        <w:t>（其中：油井4口、探井2口）</w:t>
      </w:r>
      <w:r>
        <w:rPr>
          <w:color w:val="auto"/>
        </w:rPr>
        <w:t>，</w:t>
      </w:r>
      <w:r>
        <w:rPr>
          <w:rFonts w:hint="eastAsia"/>
          <w:color w:val="auto"/>
        </w:rPr>
        <w:t>新建</w:t>
      </w:r>
      <w:r>
        <w:rPr>
          <w:color w:val="auto"/>
        </w:rPr>
        <w:t>1座平台井场和4口单井井场，采取射孔和压裂完井；地面工程</w:t>
      </w:r>
      <w:r>
        <w:rPr>
          <w:rFonts w:hint="eastAsia"/>
          <w:color w:val="auto"/>
        </w:rPr>
        <w:t>新建</w:t>
      </w:r>
      <w:r>
        <w:rPr>
          <w:color w:val="auto"/>
        </w:rPr>
        <w:t>3座拉油点，配套新建井场集油管道0.06km，产液定期由罐车拉运至朝二联</w:t>
      </w:r>
      <w:r>
        <w:rPr>
          <w:rFonts w:hint="eastAsia"/>
          <w:color w:val="auto"/>
        </w:rPr>
        <w:t>卸油点，然后进入转油脱水站</w:t>
      </w:r>
      <w:r>
        <w:rPr>
          <w:color w:val="auto"/>
        </w:rPr>
        <w:t>处理</w:t>
      </w:r>
      <w:r>
        <w:rPr>
          <w:rFonts w:hint="eastAsia"/>
          <w:color w:val="auto"/>
        </w:rPr>
        <w:t>；</w:t>
      </w:r>
      <w:r>
        <w:rPr>
          <w:color w:val="auto"/>
        </w:rPr>
        <w:t>并配套建设供配电、道路等辅助工程，预计建成产能1.16×10</w:t>
      </w:r>
      <w:r>
        <w:rPr>
          <w:color w:val="auto"/>
          <w:vertAlign w:val="superscript"/>
        </w:rPr>
        <w:t>4</w:t>
      </w:r>
      <w:r>
        <w:rPr>
          <w:color w:val="auto"/>
        </w:rPr>
        <w:t>t/a。</w:t>
      </w:r>
    </w:p>
    <w:p w14:paraId="2134BD50">
      <w:pPr>
        <w:pStyle w:val="6"/>
        <w:rPr>
          <w:color w:val="auto"/>
        </w:rPr>
      </w:pPr>
      <w:bookmarkStart w:id="27" w:name="_Toc143099524"/>
      <w:r>
        <w:rPr>
          <w:color w:val="auto"/>
        </w:rPr>
        <w:t>区块开发简介</w:t>
      </w:r>
      <w:bookmarkEnd w:id="27"/>
    </w:p>
    <w:p w14:paraId="7F4F76AF">
      <w:pPr>
        <w:pStyle w:val="276"/>
        <w:widowControl w:val="0"/>
        <w:ind w:firstLine="480"/>
        <w:jc w:val="both"/>
        <w:rPr>
          <w:color w:val="auto"/>
        </w:rPr>
      </w:pPr>
      <w:r>
        <w:rPr>
          <w:color w:val="auto"/>
        </w:rPr>
        <w:t>本次新钻井6口，其中源1011、源斜2401为评价控制井，属探井，用于查明油气藏类型、构造形态、油气层厚度及物性变化，评价油气田的规模、产能及经济价值，以建立探明储量。本次评价仅对钻探施工期进行评价，不包括正常生产井的运营期，对无利用价值或特殊需要井做报废处理的进行</w:t>
      </w:r>
      <w:r>
        <w:rPr>
          <w:snapToGrid w:val="0"/>
          <w:color w:val="auto"/>
        </w:rPr>
        <w:t>永久</w:t>
      </w:r>
      <w:r>
        <w:rPr>
          <w:color w:val="auto"/>
        </w:rPr>
        <w:t>封井处理，对其余井位进行临时性封井。若后期转为生产井，另行评价，不属于本次评价范围。</w:t>
      </w:r>
    </w:p>
    <w:p w14:paraId="26890280">
      <w:pPr>
        <w:pStyle w:val="276"/>
        <w:widowControl w:val="0"/>
        <w:ind w:firstLine="480"/>
        <w:jc w:val="both"/>
        <w:rPr>
          <w:color w:val="auto"/>
        </w:rPr>
      </w:pPr>
      <w:r>
        <w:rPr>
          <w:color w:val="auto"/>
        </w:rPr>
        <w:t>另外4口油井位于源212区块，源212区块处于松嫩平原中部，位于黑龙江省大庆市肇源县境内，区块东部为朝阳沟油田，</w:t>
      </w:r>
      <w:r>
        <w:rPr>
          <w:snapToGrid w:val="0"/>
          <w:color w:val="auto"/>
        </w:rPr>
        <w:t>西部</w:t>
      </w:r>
      <w:r>
        <w:rPr>
          <w:color w:val="auto"/>
        </w:rPr>
        <w:t>为头台油田，北部为肇州油田，在肇源油田矿权内，属于矿业权使用年限期，并全部位于黑龙江省内，与毗邻矿权无权属争议。</w:t>
      </w:r>
    </w:p>
    <w:p w14:paraId="7131A3C4">
      <w:pPr>
        <w:pStyle w:val="276"/>
        <w:widowControl w:val="0"/>
        <w:ind w:firstLine="480"/>
        <w:jc w:val="both"/>
        <w:rPr>
          <w:color w:val="auto"/>
        </w:rPr>
      </w:pPr>
      <w:r>
        <w:rPr>
          <w:color w:val="auto"/>
        </w:rPr>
        <w:t>本项目源1011、源斜2401</w:t>
      </w:r>
      <w:r>
        <w:rPr>
          <w:rFonts w:hint="eastAsia"/>
          <w:color w:val="auto"/>
        </w:rPr>
        <w:t>探井</w:t>
      </w:r>
      <w:r>
        <w:rPr>
          <w:color w:val="auto"/>
        </w:rPr>
        <w:t>所属区块为新区块，源212区块于20</w:t>
      </w:r>
      <w:r>
        <w:rPr>
          <w:rFonts w:hint="eastAsia"/>
          <w:color w:val="auto"/>
        </w:rPr>
        <w:t>07</w:t>
      </w:r>
      <w:r>
        <w:rPr>
          <w:color w:val="auto"/>
        </w:rPr>
        <w:t>年</w:t>
      </w:r>
      <w:r>
        <w:rPr>
          <w:rFonts w:hint="eastAsia"/>
          <w:color w:val="auto"/>
        </w:rPr>
        <w:t>11</w:t>
      </w:r>
      <w:r>
        <w:rPr>
          <w:color w:val="auto"/>
        </w:rPr>
        <w:t>月19日取得大庆市生态环境局批复，批复文号为庆环建字【20</w:t>
      </w:r>
      <w:r>
        <w:rPr>
          <w:rFonts w:hint="eastAsia"/>
          <w:color w:val="auto"/>
        </w:rPr>
        <w:t>07</w:t>
      </w:r>
      <w:r>
        <w:rPr>
          <w:color w:val="auto"/>
        </w:rPr>
        <w:t>】47 号，20</w:t>
      </w:r>
      <w:r>
        <w:rPr>
          <w:rFonts w:hint="eastAsia"/>
          <w:color w:val="auto"/>
        </w:rPr>
        <w:t>11</w:t>
      </w:r>
      <w:r>
        <w:rPr>
          <w:color w:val="auto"/>
        </w:rPr>
        <w:t>年</w:t>
      </w:r>
      <w:r>
        <w:rPr>
          <w:rFonts w:hint="eastAsia"/>
          <w:color w:val="auto"/>
        </w:rPr>
        <w:t>8</w:t>
      </w:r>
      <w:r>
        <w:rPr>
          <w:color w:val="auto"/>
        </w:rPr>
        <w:t>月完成自主验收。本项目建设性质为改扩建。</w:t>
      </w:r>
    </w:p>
    <w:p w14:paraId="18648A0C">
      <w:pPr>
        <w:pStyle w:val="276"/>
        <w:widowControl w:val="0"/>
        <w:ind w:firstLine="480"/>
        <w:jc w:val="both"/>
        <w:rPr>
          <w:color w:val="auto"/>
        </w:rPr>
      </w:pPr>
      <w:r>
        <w:rPr>
          <w:color w:val="auto"/>
        </w:rPr>
        <w:t>根据调查可知，源212区块前期工程无投诉、督查及检查情况，区域内已建井场永久性占地面积符合要求，井场地面均进行了平整，无油污。临时占地地表已恢复植被，现有区块内未发现环境问题。</w:t>
      </w:r>
    </w:p>
    <w:p w14:paraId="64109AF1">
      <w:pPr>
        <w:pStyle w:val="6"/>
        <w:rPr>
          <w:color w:val="auto"/>
        </w:rPr>
      </w:pPr>
      <w:bookmarkStart w:id="28" w:name="_Toc143099525"/>
      <w:r>
        <w:rPr>
          <w:color w:val="auto"/>
        </w:rPr>
        <w:t>项目选址</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8"/>
      <w:r>
        <w:rPr>
          <w:color w:val="auto"/>
        </w:rPr>
        <w:t>及周边环境特点</w:t>
      </w:r>
    </w:p>
    <w:p w14:paraId="6C14EC4F">
      <w:pPr>
        <w:pStyle w:val="276"/>
        <w:widowControl w:val="0"/>
        <w:ind w:firstLine="480"/>
        <w:jc w:val="both"/>
        <w:rPr>
          <w:color w:val="auto"/>
        </w:rPr>
      </w:pPr>
      <w:r>
        <w:rPr>
          <w:color w:val="auto"/>
        </w:rPr>
        <w:t>本项目选址位于大庆市肇源县和平乡后欧力马屯西侧及东侧、四方山村北侧以及肇源镇刘兽医屯东侧，项目新增占地面积7.</w:t>
      </w:r>
      <w:r>
        <w:rPr>
          <w:snapToGrid w:val="0"/>
          <w:color w:val="auto"/>
        </w:rPr>
        <w:t>714hm</w:t>
      </w:r>
      <w:r>
        <w:rPr>
          <w:snapToGrid w:val="0"/>
          <w:color w:val="auto"/>
          <w:vertAlign w:val="superscript"/>
        </w:rPr>
        <w:t>2</w:t>
      </w:r>
      <w:r>
        <w:rPr>
          <w:color w:val="auto"/>
        </w:rPr>
        <w:t>，其中永久占地面积为</w:t>
      </w:r>
      <w:r>
        <w:rPr>
          <w:rFonts w:hint="eastAsia"/>
          <w:color w:val="auto"/>
        </w:rPr>
        <w:t>3.254</w:t>
      </w:r>
      <w:r>
        <w:rPr>
          <w:color w:val="auto"/>
        </w:rPr>
        <w:t>hm</w:t>
      </w:r>
      <w:r>
        <w:rPr>
          <w:color w:val="auto"/>
          <w:vertAlign w:val="superscript"/>
        </w:rPr>
        <w:t>2</w:t>
      </w:r>
      <w:r>
        <w:rPr>
          <w:color w:val="auto"/>
        </w:rPr>
        <w:t>，临时占地面积为</w:t>
      </w:r>
      <w:r>
        <w:rPr>
          <w:rFonts w:hint="eastAsia"/>
          <w:color w:val="auto"/>
        </w:rPr>
        <w:t>4.46</w:t>
      </w:r>
      <w:r>
        <w:rPr>
          <w:color w:val="auto"/>
        </w:rPr>
        <w:t>hm</w:t>
      </w:r>
      <w:r>
        <w:rPr>
          <w:color w:val="auto"/>
          <w:vertAlign w:val="superscript"/>
        </w:rPr>
        <w:t>2</w:t>
      </w:r>
      <w:r>
        <w:rPr>
          <w:color w:val="auto"/>
        </w:rPr>
        <w:t>，占地类型为耕地（基本农田和一般耕地）和草地（一般草地），周边主要分布后欧力马屯、四方山屯、刘兽医屯、王家粉坊屯等村屯。</w:t>
      </w:r>
    </w:p>
    <w:p w14:paraId="79BA8DF4">
      <w:pPr>
        <w:pStyle w:val="276"/>
        <w:widowControl w:val="0"/>
        <w:ind w:firstLine="480"/>
        <w:jc w:val="both"/>
        <w:rPr>
          <w:color w:val="auto"/>
          <w:kern w:val="2"/>
          <w:szCs w:val="28"/>
        </w:rPr>
      </w:pPr>
      <w:r>
        <w:rPr>
          <w:color w:val="auto"/>
        </w:rPr>
        <w:t>根据《黑龙江省国土空间规划（2021-2035年）》、《大庆市国土空间总体规划（2021-2035 年）》，以及黑龙江“三线一单”信息服务 APP 和大庆市生态保护红线分布图，本项目所在区域范围内无国家公园、自然保护区、风景名胜区、世界文化和自然遗产地、海洋特别保护区、饮用水水源保护区、基本草原、自然公园、重要湿地、天然林，重点保护野生动物栖息地，重点保护野生植物生长繁殖地，重要水生生物的自然产卵场、索饵场、越冬场和洄游通道、天然渔场分布，不在沙化土地封禁保护区、封闭及半封闭海域，且不在生态红线范围内</w:t>
      </w:r>
      <w:r>
        <w:rPr>
          <w:color w:val="auto"/>
          <w:kern w:val="2"/>
          <w:szCs w:val="28"/>
        </w:rPr>
        <w:t>，区域内以耕地和草地</w:t>
      </w:r>
      <w:r>
        <w:rPr>
          <w:snapToGrid w:val="0"/>
          <w:color w:val="auto"/>
        </w:rPr>
        <w:t>为主</w:t>
      </w:r>
      <w:r>
        <w:rPr>
          <w:color w:val="auto"/>
          <w:kern w:val="2"/>
          <w:szCs w:val="28"/>
        </w:rPr>
        <w:t>，项目周边最近的居住区为源1011西侧140m的刘兽医屯，</w:t>
      </w:r>
      <w:r>
        <w:rPr>
          <w:rFonts w:hint="eastAsia"/>
          <w:color w:val="auto"/>
          <w:kern w:val="2"/>
          <w:szCs w:val="28"/>
        </w:rPr>
        <w:t>土壤</w:t>
      </w:r>
      <w:r>
        <w:rPr>
          <w:color w:val="auto"/>
          <w:kern w:val="2"/>
          <w:szCs w:val="28"/>
        </w:rPr>
        <w:t>评价范围内涉及一般湿地，</w:t>
      </w:r>
      <w:r>
        <w:rPr>
          <w:rFonts w:hint="eastAsia"/>
          <w:color w:val="auto"/>
          <w:kern w:val="2"/>
          <w:szCs w:val="28"/>
        </w:rPr>
        <w:t>位于</w:t>
      </w:r>
      <w:r>
        <w:rPr>
          <w:color w:val="auto"/>
          <w:kern w:val="2"/>
          <w:szCs w:val="28"/>
        </w:rPr>
        <w:t>源斜2401西北侧</w:t>
      </w:r>
      <w:r>
        <w:rPr>
          <w:rFonts w:hint="eastAsia"/>
          <w:color w:val="auto"/>
          <w:kern w:val="2"/>
          <w:szCs w:val="28"/>
        </w:rPr>
        <w:t>2</w:t>
      </w:r>
      <w:r>
        <w:rPr>
          <w:color w:val="auto"/>
          <w:kern w:val="2"/>
          <w:szCs w:val="28"/>
        </w:rPr>
        <w:t>30m。</w:t>
      </w:r>
      <w:r>
        <w:rPr>
          <w:rFonts w:hint="eastAsia"/>
          <w:color w:val="auto"/>
        </w:rPr>
        <w:t>距离最近的生态红线为</w:t>
      </w:r>
      <w:r>
        <w:rPr>
          <w:color w:val="auto"/>
        </w:rPr>
        <w:t>源1011</w:t>
      </w:r>
      <w:r>
        <w:rPr>
          <w:rFonts w:hint="eastAsia"/>
          <w:color w:val="auto"/>
        </w:rPr>
        <w:t>北侧250m的</w:t>
      </w:r>
      <w:r>
        <w:rPr>
          <w:color w:val="auto"/>
        </w:rPr>
        <w:t>肇源县松嫩平原生物多样性维护功能生态保护红线-水源涵养生态功能重要区</w:t>
      </w:r>
      <w:r>
        <w:rPr>
          <w:rFonts w:hint="eastAsia"/>
          <w:color w:val="auto"/>
        </w:rPr>
        <w:t>，</w:t>
      </w:r>
      <w:r>
        <w:rPr>
          <w:color w:val="auto"/>
        </w:rPr>
        <w:t>分区编码</w:t>
      </w:r>
      <w:r>
        <w:rPr>
          <w:rFonts w:hint="eastAsia"/>
          <w:color w:val="auto"/>
        </w:rPr>
        <w:t>为</w:t>
      </w:r>
      <w:r>
        <w:rPr>
          <w:color w:val="auto"/>
        </w:rPr>
        <w:t>YS2306221110001</w:t>
      </w:r>
      <w:r>
        <w:rPr>
          <w:rFonts w:hint="eastAsia"/>
          <w:color w:val="auto"/>
        </w:rPr>
        <w:t>。</w:t>
      </w:r>
    </w:p>
    <w:p w14:paraId="04E4C234">
      <w:pPr>
        <w:pStyle w:val="276"/>
        <w:widowControl w:val="0"/>
        <w:ind w:firstLine="480"/>
        <w:jc w:val="both"/>
        <w:rPr>
          <w:color w:val="auto"/>
          <w:kern w:val="2"/>
          <w:szCs w:val="28"/>
        </w:rPr>
      </w:pPr>
      <w:r>
        <w:rPr>
          <w:color w:val="auto"/>
          <w:kern w:val="2"/>
          <w:szCs w:val="28"/>
        </w:rPr>
        <w:t>根据黑龙江省防沙治沙工作领导小组《关于印发&lt;关于贯彻落实《沙化土地封禁保护修复制度方案》的实施意见&gt;的通知》，肇源</w:t>
      </w:r>
      <w:r>
        <w:rPr>
          <w:color w:val="auto"/>
          <w:kern w:val="2"/>
          <w:szCs w:val="28"/>
          <w:lang w:val="en"/>
        </w:rPr>
        <w:t>县</w:t>
      </w:r>
      <w:r>
        <w:rPr>
          <w:color w:val="auto"/>
          <w:kern w:val="2"/>
          <w:szCs w:val="28"/>
        </w:rPr>
        <w:t>属于沙化土地所在县（区），根据现场调查，项目占地区域未出现沙漠化现象，为保护区域生态环境，针对本项目的具体特点，制定生态环境影响减缓措施和防沙治沙措施。</w:t>
      </w:r>
    </w:p>
    <w:p w14:paraId="56FB0268">
      <w:pPr>
        <w:pStyle w:val="276"/>
        <w:widowControl w:val="0"/>
        <w:ind w:firstLine="480"/>
        <w:jc w:val="both"/>
        <w:rPr>
          <w:color w:val="auto"/>
        </w:rPr>
      </w:pPr>
      <w:r>
        <w:rPr>
          <w:color w:val="auto"/>
          <w:kern w:val="2"/>
          <w:szCs w:val="28"/>
        </w:rPr>
        <w:t>综合分析，项目周边不涉及制约本项目建设的</w:t>
      </w:r>
      <w:r>
        <w:rPr>
          <w:snapToGrid w:val="0"/>
          <w:color w:val="auto"/>
        </w:rPr>
        <w:t>环境影响</w:t>
      </w:r>
      <w:r>
        <w:rPr>
          <w:color w:val="auto"/>
          <w:kern w:val="2"/>
          <w:szCs w:val="28"/>
        </w:rPr>
        <w:t>因素。</w:t>
      </w:r>
    </w:p>
    <w:p w14:paraId="76982E7D">
      <w:pPr>
        <w:pStyle w:val="6"/>
        <w:rPr>
          <w:color w:val="auto"/>
        </w:rPr>
      </w:pPr>
      <w:bookmarkStart w:id="29" w:name="_Toc77067608"/>
      <w:bookmarkStart w:id="30" w:name="_Toc74812263"/>
      <w:bookmarkStart w:id="31" w:name="_Toc78816409"/>
      <w:bookmarkStart w:id="32" w:name="_Toc84929176"/>
      <w:bookmarkStart w:id="33" w:name="_Toc80971326"/>
      <w:bookmarkStart w:id="34" w:name="_Toc85640701"/>
      <w:bookmarkStart w:id="35" w:name="_Toc126863340"/>
      <w:bookmarkStart w:id="36" w:name="_Toc131167239"/>
      <w:bookmarkStart w:id="37" w:name="_Toc83209421"/>
      <w:bookmarkStart w:id="38" w:name="_Toc127192289"/>
      <w:bookmarkStart w:id="39" w:name="_Toc80588204"/>
      <w:bookmarkStart w:id="40" w:name="_Toc143099526"/>
      <w:bookmarkStart w:id="41" w:name="_Toc86141884"/>
      <w:bookmarkStart w:id="42" w:name="_Toc71371892"/>
      <w:bookmarkStart w:id="43" w:name="_Toc76976192"/>
      <w:r>
        <w:rPr>
          <w:color w:val="auto"/>
        </w:rPr>
        <w:t>工艺特点</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473C6207">
      <w:pPr>
        <w:pStyle w:val="276"/>
        <w:widowControl w:val="0"/>
        <w:ind w:firstLine="480"/>
        <w:jc w:val="both"/>
        <w:rPr>
          <w:color w:val="auto"/>
          <w:kern w:val="2"/>
          <w:szCs w:val="20"/>
        </w:rPr>
      </w:pPr>
      <w:r>
        <w:rPr>
          <w:color w:val="auto"/>
        </w:rPr>
        <w:t>本项目施工期包括钻前工程、钻井工程、储层改造工程、油气集输工程、油气处理工程（依托）。</w:t>
      </w:r>
      <w:r>
        <w:rPr>
          <w:color w:val="auto"/>
          <w:kern w:val="2"/>
          <w:szCs w:val="20"/>
        </w:rPr>
        <w:t>钻前工程及钻井工程包括钻前准备、钻进、录井、测井、固井、完井，储层改造工程包括射孔、压裂等。</w:t>
      </w:r>
      <w:r>
        <w:rPr>
          <w:snapToGrid w:val="0"/>
          <w:color w:val="auto"/>
        </w:rPr>
        <w:t>油气集输</w:t>
      </w:r>
      <w:r>
        <w:rPr>
          <w:color w:val="auto"/>
          <w:kern w:val="2"/>
          <w:szCs w:val="20"/>
        </w:rPr>
        <w:t>工程包括新建3座拉油点、安装井口设备及配套建设供配电、道路等辅助工程。</w:t>
      </w:r>
    </w:p>
    <w:p w14:paraId="728980AE">
      <w:pPr>
        <w:pStyle w:val="276"/>
        <w:widowControl w:val="0"/>
        <w:ind w:firstLine="480"/>
        <w:jc w:val="both"/>
        <w:rPr>
          <w:color w:val="auto"/>
          <w:kern w:val="2"/>
        </w:rPr>
      </w:pPr>
      <w:r>
        <w:rPr>
          <w:color w:val="auto"/>
          <w:kern w:val="2"/>
        </w:rPr>
        <w:t>本项目运营期油井产液收集到新建3座拉油点储罐内，拉油点储罐伴生气全部用于加热炉自耗，产液定期由罐车拉运至朝二联卸油点，进入朝二联转油脱水站处理系统，朝二联转油脱水站处理后含水油外输至朝二联含油污水处理站处理达到《大庆油田地面工程建设设计规定》（Q/SYDQ0639-2015）及</w:t>
      </w:r>
      <w:r>
        <w:rPr>
          <w:snapToGrid w:val="0"/>
          <w:color w:val="auto"/>
        </w:rPr>
        <w:t>《碎屑岩油藏注水水质指标技术要求及分析方法》</w:t>
      </w:r>
      <w:r>
        <w:rPr>
          <w:color w:val="auto"/>
          <w:kern w:val="2"/>
        </w:rPr>
        <w:t>（SY/T5329-2022）限值要求后用于回注油层注水驱油。</w:t>
      </w:r>
    </w:p>
    <w:p w14:paraId="201A80C2">
      <w:pPr>
        <w:pStyle w:val="276"/>
        <w:widowControl w:val="0"/>
        <w:ind w:firstLine="480"/>
        <w:jc w:val="both"/>
        <w:rPr>
          <w:color w:val="auto"/>
        </w:rPr>
      </w:pPr>
      <w:r>
        <w:rPr>
          <w:color w:val="auto"/>
          <w:kern w:val="2"/>
        </w:rPr>
        <w:t>本项目退役期为油井服务期满后，停运、关闭、恢复土地使用功能的时段，油田退役期并非所有油井同时关闭，而是将产能低或者无开采价值的油井陆续关闭，直到将所有井关闭。闭井作业内容包括拆除井场的采油设备、设施，封闭出油层段和采油井口，管线退役段封堵、道路平整恢复等施工过程。</w:t>
      </w:r>
    </w:p>
    <w:p w14:paraId="33CA5B88">
      <w:pPr>
        <w:pStyle w:val="6"/>
        <w:rPr>
          <w:color w:val="auto"/>
        </w:rPr>
      </w:pPr>
      <w:bookmarkStart w:id="44" w:name="_Toc143099527"/>
      <w:bookmarkStart w:id="45" w:name="_Toc131167240"/>
      <w:r>
        <w:rPr>
          <w:color w:val="auto"/>
        </w:rPr>
        <w:t>项目建设存在的优势</w:t>
      </w:r>
      <w:bookmarkEnd w:id="44"/>
      <w:bookmarkEnd w:id="45"/>
    </w:p>
    <w:p w14:paraId="75264E10">
      <w:pPr>
        <w:pStyle w:val="276"/>
        <w:widowControl w:val="0"/>
        <w:ind w:firstLine="480"/>
        <w:jc w:val="both"/>
        <w:rPr>
          <w:color w:val="auto"/>
        </w:rPr>
      </w:pPr>
      <w:r>
        <w:rPr>
          <w:color w:val="auto"/>
        </w:rPr>
        <w:t>本项目位于大庆市肇源县和平乡后欧力马屯西侧及东侧、四方山村北侧以及肇源镇刘兽医屯东侧，区块周边建有较为完善的油、气、水、电、路、通信等工程，项目建设均可就近依托，大大减少项目工程量，从环保角度可控；项目依托的朝二联合站为采油十厂西部地区主要场站，项目建设可充分利用依托场站的剩余生产能力，为大庆油田的可持续发展提供保障。</w:t>
      </w:r>
    </w:p>
    <w:p w14:paraId="598DBDF6">
      <w:pPr>
        <w:pStyle w:val="6"/>
        <w:rPr>
          <w:color w:val="auto"/>
        </w:rPr>
      </w:pPr>
      <w:r>
        <w:rPr>
          <w:color w:val="auto"/>
        </w:rPr>
        <w:t>产污特点及措施</w:t>
      </w:r>
    </w:p>
    <w:p w14:paraId="2DBD73D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施工期</w:t>
      </w:r>
    </w:p>
    <w:p w14:paraId="2DC1ABBC">
      <w:pPr>
        <w:pStyle w:val="276"/>
        <w:widowControl w:val="0"/>
        <w:spacing w:line="440" w:lineRule="exact"/>
        <w:ind w:firstLine="480"/>
        <w:jc w:val="both"/>
        <w:rPr>
          <w:color w:val="auto"/>
        </w:rPr>
      </w:pPr>
      <w:r>
        <w:rPr>
          <w:color w:val="auto"/>
        </w:rPr>
        <w:t>（1）本项目施工过程中产生的废水主要为水基钻井废水、油基钻井废水、压裂返排液、试压废水、试油产液、生活污水。</w:t>
      </w:r>
    </w:p>
    <w:p w14:paraId="5811C10B">
      <w:pPr>
        <w:pStyle w:val="276"/>
        <w:widowControl w:val="0"/>
        <w:ind w:firstLine="480"/>
        <w:jc w:val="both"/>
        <w:rPr>
          <w:color w:val="auto"/>
        </w:rPr>
      </w:pPr>
      <w:r>
        <w:rPr>
          <w:color w:val="auto"/>
        </w:rPr>
        <w:t>水基钻井废水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油基钻井废水排入井场设置的油基钢制泥浆槽中，委托黑龙江迈景环保科技有限公司处理，处理后的污水进入污水罐储存，定期拉运至朝二联含油污水处理站处理满足《大庆油田地面工程建设设计规定》（Q/SYDQ0639-2015）及《碎屑岩油藏注水水质指标技术要求及分析方法》（SY/T5329-2022）限值要求后回注油层；压裂返排液由罐车拉运至朝一联压裂返排液无害化处理站处理后，管输进入朝一联含油污水处理站处理，处理后的出水满足《大庆油田地面工程建设设计规定》（Q/SYDQ0639-2015）及《碎屑岩油藏注水水质指标技术要求及分析方法》（SY/T5329-2022）限值要求后回注油层；管线试压废水由罐车拉运至朝二联含油污水处理站处理达标后回注油层；试油产液通过罐车拉运至朝二联卸油点后</w:t>
      </w:r>
      <w:r>
        <w:rPr>
          <w:color w:val="auto"/>
          <w:kern w:val="2"/>
        </w:rPr>
        <w:t>，进入朝二联转油脱水站处理系统，朝二联转油脱水站处理后含水油外输至朝二联含油污水处理站处理达到《大庆油田地面工程建设设计规定》（Q/SYDQ0639-2015）及《碎屑岩油藏注水水质指标技术要求及分析方法》（SY/T5329-2022）限值要求后用于回注油层注水驱油</w:t>
      </w:r>
      <w:r>
        <w:rPr>
          <w:color w:val="auto"/>
        </w:rPr>
        <w:t>；施工期施工人员产生的生活污水排入施工营地设置的临时防渗旱厕内，定期拉运至第十采油厂厂区污水泵房，经地下管网输至</w:t>
      </w:r>
      <w:r>
        <w:rPr>
          <w:snapToGrid w:val="0"/>
          <w:color w:val="auto"/>
        </w:rPr>
        <w:t>第十</w:t>
      </w:r>
      <w:r>
        <w:rPr>
          <w:color w:val="auto"/>
        </w:rPr>
        <w:t>采油厂厂区生活污水处理站处理达标后排入牛毛沟，施工结束后临时防渗旱厕进行卫生处理，场地进行平整。</w:t>
      </w:r>
    </w:p>
    <w:p w14:paraId="4DB3CB49">
      <w:pPr>
        <w:pStyle w:val="276"/>
        <w:widowControl w:val="0"/>
        <w:ind w:firstLine="480"/>
        <w:jc w:val="both"/>
        <w:rPr>
          <w:color w:val="auto"/>
          <w:kern w:val="2"/>
          <w:szCs w:val="20"/>
        </w:rPr>
      </w:pPr>
      <w:r>
        <w:rPr>
          <w:color w:val="auto"/>
        </w:rPr>
        <w:t>（2）本项目施工过程中产生的废气主要为施工扬尘、施工车辆排放的尾气、</w:t>
      </w:r>
      <w:r>
        <w:rPr>
          <w:color w:val="auto"/>
          <w:kern w:val="2"/>
          <w:szCs w:val="20"/>
        </w:rPr>
        <w:t>柴油机废气、焊接烟尘以及试油伴生气。</w:t>
      </w:r>
    </w:p>
    <w:p w14:paraId="3C2796D7">
      <w:pPr>
        <w:pStyle w:val="276"/>
        <w:widowControl w:val="0"/>
        <w:ind w:firstLine="480"/>
        <w:jc w:val="both"/>
        <w:rPr>
          <w:color w:val="auto"/>
          <w:kern w:val="2"/>
          <w:szCs w:val="20"/>
        </w:rPr>
      </w:pPr>
      <w:r>
        <w:rPr>
          <w:color w:val="auto"/>
          <w:kern w:val="2"/>
          <w:szCs w:val="20"/>
        </w:rPr>
        <w:t>施工扬尘采取</w:t>
      </w:r>
      <w:r>
        <w:rPr>
          <w:color w:val="auto"/>
        </w:rPr>
        <w:t>运输道路及施工场地定时洒水抑尘</w:t>
      </w:r>
      <w:r>
        <w:rPr>
          <w:color w:val="auto"/>
          <w:kern w:val="2"/>
          <w:szCs w:val="20"/>
        </w:rPr>
        <w:t>，</w:t>
      </w:r>
      <w:r>
        <w:rPr>
          <w:color w:val="auto"/>
        </w:rPr>
        <w:t>运输</w:t>
      </w:r>
      <w:r>
        <w:rPr>
          <w:color w:val="auto"/>
          <w:kern w:val="2"/>
          <w:szCs w:val="20"/>
        </w:rPr>
        <w:t>车辆采取苫布遮盖措施，土方开挖采取遮盖、围挡、洒水等防尘措施</w:t>
      </w:r>
      <w:r>
        <w:rPr>
          <w:color w:val="auto"/>
        </w:rPr>
        <w:t>；施工车辆采用清洁燃料，降低污染物排放；柴油机采用节能环保型柴油动力设备，钻井发电机和钻井柴油机采用符合</w:t>
      </w:r>
      <w:r>
        <w:rPr>
          <w:rFonts w:hint="eastAsia"/>
          <w:color w:val="auto"/>
        </w:rPr>
        <w:t>《车用柴油》（</w:t>
      </w:r>
      <w:r>
        <w:rPr>
          <w:color w:val="auto"/>
        </w:rPr>
        <w:t>GB 19147-2016）的柴油，加强对机械设备的维护、保养，减少不必要的运转时间，以控制尾气的排放，柴油发电机烟气排放满足《非道路移动机械用柴油机排气污染物排放限值及测量方法》（中国第三、四阶段）（GB20891-2014）及2020修改单中第三阶段标准限值及《非道路移动柴油机械排气烟度限值及测量方法》（GB 36886-2018）表1中Ⅱ类限值要求；2口勘探井试油阶段产生的少量伴生气采用试油设备配套放喷管设施点火燃烧，放喷管高为8m（配套防回火与自动点火装置），设置于井口50m以外，且距离发电房等易产生明火的位置20m以上</w:t>
      </w:r>
      <w:r>
        <w:rPr>
          <w:rFonts w:hint="eastAsia"/>
          <w:color w:val="auto"/>
        </w:rPr>
        <w:t>，如伴生气达不到点火要求，通过增加气体流量提高伴生气浓度、考虑使用电火花点火器或其他辅助点火装置帮助点火，确保产生的伴生气可以全部燃烧</w:t>
      </w:r>
      <w:r>
        <w:rPr>
          <w:color w:val="auto"/>
        </w:rPr>
        <w:t>；项目管道焊接主要方式为电焊，由于项目焊接点较少，产生的焊接烟尘量较小，且项目位于室外，空气扩散条件较好，对</w:t>
      </w:r>
      <w:r>
        <w:rPr>
          <w:snapToGrid w:val="0"/>
          <w:color w:val="auto"/>
        </w:rPr>
        <w:t>大气环境</w:t>
      </w:r>
      <w:r>
        <w:rPr>
          <w:color w:val="auto"/>
        </w:rPr>
        <w:t>影响较小。</w:t>
      </w:r>
    </w:p>
    <w:p w14:paraId="1CFE36A7">
      <w:pPr>
        <w:pStyle w:val="276"/>
        <w:widowControl w:val="0"/>
        <w:ind w:firstLine="480"/>
        <w:jc w:val="both"/>
        <w:rPr>
          <w:color w:val="auto"/>
        </w:rPr>
      </w:pPr>
      <w:r>
        <w:rPr>
          <w:color w:val="auto"/>
        </w:rPr>
        <w:t>（3）施工过程中产生的噪声主要为重型车辆</w:t>
      </w:r>
      <w:r>
        <w:rPr>
          <w:snapToGrid w:val="0"/>
          <w:color w:val="auto"/>
        </w:rPr>
        <w:t>沿途</w:t>
      </w:r>
      <w:r>
        <w:rPr>
          <w:color w:val="auto"/>
        </w:rPr>
        <w:t>产生的噪声及钻机振动产生的噪声污染。</w:t>
      </w:r>
    </w:p>
    <w:p w14:paraId="55D299C2">
      <w:pPr>
        <w:pStyle w:val="276"/>
        <w:widowControl w:val="0"/>
        <w:ind w:firstLine="480"/>
        <w:jc w:val="both"/>
        <w:rPr>
          <w:color w:val="auto"/>
          <w:kern w:val="2"/>
          <w:szCs w:val="20"/>
        </w:rPr>
      </w:pPr>
      <w:r>
        <w:rPr>
          <w:color w:val="auto"/>
        </w:rPr>
        <w:t>合理安排施工时间，尽量避免大量高噪声设备同时施工；合理布置施工现场，尽量将高噪声机械布置远离环境敏感点一侧，同时，避免在同一地点安排较多的动力机械；选用低噪声设备，平时注意设备维护和保养，避免设备不正常运行产生的高噪声；运输车辆选择避开居民点路线，尽量不鸣笛。</w:t>
      </w:r>
    </w:p>
    <w:p w14:paraId="35246C47">
      <w:pPr>
        <w:pStyle w:val="276"/>
        <w:widowControl w:val="0"/>
        <w:ind w:firstLine="480"/>
        <w:jc w:val="both"/>
        <w:rPr>
          <w:color w:val="auto"/>
        </w:rPr>
      </w:pPr>
      <w:r>
        <w:rPr>
          <w:color w:val="auto"/>
        </w:rPr>
        <w:t>（4）施工过程中产生的固体废物主要为水基废钻井液、水基钻井岩屑、不含油废射孔液、油基废钻井液、油基钻井岩屑、含油废</w:t>
      </w:r>
      <w:r>
        <w:rPr>
          <w:snapToGrid w:val="0"/>
          <w:color w:val="auto"/>
        </w:rPr>
        <w:t>射孔液</w:t>
      </w:r>
      <w:r>
        <w:rPr>
          <w:color w:val="auto"/>
        </w:rPr>
        <w:t>、膨润土等废包装袋、施工废料、含油废防渗布、生活垃圾、</w:t>
      </w:r>
      <w:r>
        <w:rPr>
          <w:snapToGrid w:val="0"/>
          <w:color w:val="auto"/>
          <w:szCs w:val="21"/>
        </w:rPr>
        <w:t>封井建筑垃圾、</w:t>
      </w:r>
      <w:r>
        <w:rPr>
          <w:color w:val="auto"/>
        </w:rPr>
        <w:t>落地油等。</w:t>
      </w:r>
    </w:p>
    <w:p w14:paraId="0B6197A6">
      <w:pPr>
        <w:pStyle w:val="276"/>
        <w:widowControl w:val="0"/>
        <w:ind w:firstLine="480"/>
        <w:jc w:val="both"/>
        <w:rPr>
          <w:color w:val="auto"/>
        </w:rPr>
      </w:pPr>
      <w:r>
        <w:rPr>
          <w:color w:val="auto"/>
        </w:rPr>
        <w:t>水基废钻井液、水基钻井岩屑和不含油废射孔液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处理后的泥饼外售给大庆钻探工程公司钻井二公司综合利用垫井场或铺路；油基废钻井液、油基钻井岩屑和</w:t>
      </w:r>
      <w:r>
        <w:rPr>
          <w:color w:val="auto"/>
          <w:kern w:val="21"/>
        </w:rPr>
        <w:t>含油废射孔液</w:t>
      </w:r>
      <w:r>
        <w:rPr>
          <w:color w:val="auto"/>
        </w:rPr>
        <w:t>排入井场设置的油基钢制泥浆槽，委托有危废处理资质的黑龙江迈景环保科技有限公司处理满足《油田含油污泥处置与利用污染控制要求》（DB23/T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膨润土、纯碱、重晶石粉废包装袋、</w:t>
      </w:r>
      <w:r>
        <w:rPr>
          <w:color w:val="auto"/>
          <w:kern w:val="2"/>
        </w:rPr>
        <w:t>施工废料由钻井单位统一安排拉运至</w:t>
      </w:r>
      <w:r>
        <w:rPr>
          <w:color w:val="auto"/>
          <w:kern w:val="2"/>
          <w:lang w:bidi="zh-CN"/>
        </w:rPr>
        <w:t>第八采油厂工业固废填埋场处理</w:t>
      </w:r>
      <w:r>
        <w:rPr>
          <w:color w:val="auto"/>
          <w:kern w:val="2"/>
        </w:rPr>
        <w:t>；含油废防渗布集中收集暂存于第十采油厂综合固废储存库，定期委托有资质单位处理；生活垃圾统一收集拉运至肇源县利民城市垃圾处理有限公司</w:t>
      </w:r>
      <w:r>
        <w:rPr>
          <w:color w:val="auto"/>
          <w:szCs w:val="21"/>
          <w:lang w:val="zh-CN" w:bidi="ar"/>
        </w:rPr>
        <w:t>处理</w:t>
      </w:r>
      <w:r>
        <w:rPr>
          <w:color w:val="auto"/>
          <w:kern w:val="2"/>
        </w:rPr>
        <w:t>；勘探井</w:t>
      </w:r>
      <w:r>
        <w:rPr>
          <w:snapToGrid w:val="0"/>
          <w:color w:val="auto"/>
          <w:szCs w:val="21"/>
        </w:rPr>
        <w:t>封井建筑垃圾统一收集，委托清运至市政部门指定的建筑垃圾调配场处置；勘探井试油产生的落地油</w:t>
      </w:r>
      <w:r>
        <w:rPr>
          <w:color w:val="auto"/>
          <w:kern w:val="2"/>
          <w:szCs w:val="20"/>
        </w:rPr>
        <w:t>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p w14:paraId="3A036B8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运营期</w:t>
      </w:r>
    </w:p>
    <w:p w14:paraId="12EDEFA6">
      <w:pPr>
        <w:pStyle w:val="276"/>
        <w:widowControl w:val="0"/>
        <w:ind w:firstLine="480"/>
        <w:jc w:val="both"/>
        <w:rPr>
          <w:color w:val="auto"/>
        </w:rPr>
      </w:pPr>
      <w:r>
        <w:rPr>
          <w:color w:val="auto"/>
        </w:rPr>
        <w:t>（1）运营期产生的废气主要为油气集输过程中产生的非甲烷总烃、拉油点多功能储罐加热炉和场站油气处理加热炉产生的烟气、温室气体。</w:t>
      </w:r>
    </w:p>
    <w:p w14:paraId="304225E4">
      <w:pPr>
        <w:pStyle w:val="276"/>
        <w:widowControl w:val="0"/>
        <w:ind w:firstLine="480"/>
        <w:jc w:val="both"/>
        <w:rPr>
          <w:color w:val="auto"/>
          <w:kern w:val="2"/>
          <w:szCs w:val="20"/>
        </w:rPr>
      </w:pPr>
      <w:r>
        <w:rPr>
          <w:color w:val="auto"/>
          <w:kern w:val="2"/>
          <w:szCs w:val="20"/>
        </w:rPr>
        <w:t>本项目采油井</w:t>
      </w:r>
      <w:r>
        <w:rPr>
          <w:color w:val="auto"/>
        </w:rPr>
        <w:t>井口安装密封垫，集输采用密闭管道，拉油点储罐阀门和法兰安装密封胶垫，定期对设备和管道进行维修保养，保证油气处理设施的平稳运行，控制烃类气体、温室气体的无组织挥发，</w:t>
      </w:r>
      <w:r>
        <w:rPr>
          <w:color w:val="auto"/>
          <w:kern w:val="2"/>
          <w:szCs w:val="20"/>
        </w:rPr>
        <w:t>井场、拉油点及依托场站</w:t>
      </w:r>
      <w:r>
        <w:rPr>
          <w:snapToGrid w:val="0"/>
          <w:color w:val="auto"/>
        </w:rPr>
        <w:t>排放</w:t>
      </w:r>
      <w:r>
        <w:rPr>
          <w:color w:val="auto"/>
          <w:kern w:val="2"/>
          <w:szCs w:val="20"/>
        </w:rPr>
        <w:t>的非甲烷总烃在厂界可以满足</w:t>
      </w:r>
      <w:r>
        <w:rPr>
          <w:color w:val="auto"/>
        </w:rPr>
        <w:t>《陆上石油天然气开采工业大气污染物排放标准》（GB39728-2020）5.9中规定要求，依托场站排放的非甲烷总烃厂区内满足《挥发性有机物无组织排放控制标准》（GB 37822-2019）附录A 中VOCs 无组织排放限值要求</w:t>
      </w:r>
      <w:r>
        <w:rPr>
          <w:color w:val="auto"/>
          <w:kern w:val="2"/>
          <w:szCs w:val="20"/>
        </w:rPr>
        <w:t>；拉油点多功能储罐加热炉燃料均采用天然气，为清洁能源，并采用低氮燃烧器，天然气经燃烧后均经15m高烟囱高空排放，加热炉排放的废气能够达到《工业炉窑大气污染物排放标准》（GB9078-1996）表2中的二级标准限值要求。</w:t>
      </w:r>
    </w:p>
    <w:p w14:paraId="68C67966">
      <w:pPr>
        <w:pStyle w:val="276"/>
        <w:widowControl w:val="0"/>
        <w:ind w:firstLine="480"/>
        <w:jc w:val="both"/>
        <w:rPr>
          <w:color w:val="auto"/>
        </w:rPr>
      </w:pPr>
      <w:r>
        <w:rPr>
          <w:color w:val="auto"/>
          <w:kern w:val="2"/>
          <w:szCs w:val="20"/>
        </w:rPr>
        <w:t>（2）本项目运营期产生的废水主要为油田采出水、</w:t>
      </w:r>
      <w:r>
        <w:rPr>
          <w:color w:val="auto"/>
        </w:rPr>
        <w:t>作业污水和洗井污水</w:t>
      </w:r>
      <w:r>
        <w:rPr>
          <w:rFonts w:hint="eastAsia"/>
          <w:color w:val="auto"/>
        </w:rPr>
        <w:t>。</w:t>
      </w:r>
    </w:p>
    <w:p w14:paraId="74B4669B">
      <w:pPr>
        <w:pStyle w:val="276"/>
        <w:widowControl w:val="0"/>
        <w:ind w:firstLine="480"/>
        <w:jc w:val="both"/>
        <w:rPr>
          <w:color w:val="auto"/>
          <w:kern w:val="2"/>
          <w:szCs w:val="20"/>
        </w:rPr>
      </w:pPr>
      <w:r>
        <w:rPr>
          <w:color w:val="auto"/>
        </w:rPr>
        <w:t>油田采出水和作业污水、洗井污水最终均进入朝二联含油污水处理站处理满足《大庆油田地面工程建设设计规定》（Q/SYDQ0639-2015）及《碎屑岩油藏注水水质指标技术要求及分析方法》（SY/T5329-2022）</w:t>
      </w:r>
      <w:r>
        <w:rPr>
          <w:snapToGrid w:val="0"/>
          <w:color w:val="auto"/>
        </w:rPr>
        <w:t>限值</w:t>
      </w:r>
      <w:r>
        <w:rPr>
          <w:color w:val="auto"/>
        </w:rPr>
        <w:t>要求后回注油层，不外排。</w:t>
      </w:r>
    </w:p>
    <w:p w14:paraId="2534D634">
      <w:pPr>
        <w:pStyle w:val="276"/>
        <w:widowControl w:val="0"/>
        <w:ind w:firstLine="480"/>
        <w:jc w:val="both"/>
        <w:rPr>
          <w:color w:val="auto"/>
          <w:kern w:val="2"/>
          <w:szCs w:val="20"/>
        </w:rPr>
      </w:pPr>
      <w:r>
        <w:rPr>
          <w:color w:val="auto"/>
          <w:kern w:val="2"/>
          <w:szCs w:val="20"/>
        </w:rPr>
        <w:t>（3）本项目运营期噪声源主要来自抽油机噪声、拉油点储罐燃烧器运行噪声和罐车装卸噪声</w:t>
      </w:r>
      <w:r>
        <w:rPr>
          <w:rFonts w:hint="eastAsia"/>
          <w:color w:val="auto"/>
          <w:kern w:val="2"/>
          <w:szCs w:val="20"/>
        </w:rPr>
        <w:t>。</w:t>
      </w:r>
    </w:p>
    <w:p w14:paraId="47D12CCA">
      <w:pPr>
        <w:pStyle w:val="276"/>
        <w:widowControl w:val="0"/>
        <w:ind w:firstLine="480"/>
        <w:jc w:val="both"/>
        <w:rPr>
          <w:color w:val="auto"/>
          <w:kern w:val="2"/>
          <w:szCs w:val="20"/>
        </w:rPr>
      </w:pPr>
      <w:r>
        <w:rPr>
          <w:color w:val="auto"/>
          <w:kern w:val="2"/>
          <w:szCs w:val="20"/>
        </w:rPr>
        <w:t>抽油机</w:t>
      </w:r>
      <w:r>
        <w:rPr>
          <w:color w:val="auto"/>
        </w:rPr>
        <w:t>电机和储罐燃烧器等发声设备尽可能选用低噪声设备；</w:t>
      </w:r>
      <w:r>
        <w:rPr>
          <w:color w:val="auto"/>
          <w:kern w:val="21"/>
        </w:rPr>
        <w:t>对噪声值较高的设备采用相应的减振、隔声等降噪措施；注意对拉油罐车的维护保养，保证设备保持在最佳运行状态，降低噪声源强度。</w:t>
      </w:r>
      <w:r>
        <w:rPr>
          <w:color w:val="auto"/>
        </w:rPr>
        <w:t>采取以上措施后井场拉油点厂界噪声能够达到《工业企业厂界环境噪声排放标准》（GB12348-2008）2类标准的要求。</w:t>
      </w:r>
    </w:p>
    <w:p w14:paraId="637F3179">
      <w:pPr>
        <w:pStyle w:val="276"/>
        <w:widowControl w:val="0"/>
        <w:ind w:firstLine="480"/>
        <w:jc w:val="both"/>
        <w:rPr>
          <w:color w:val="auto"/>
          <w:kern w:val="2"/>
          <w:szCs w:val="20"/>
        </w:rPr>
      </w:pPr>
      <w:r>
        <w:rPr>
          <w:color w:val="auto"/>
          <w:kern w:val="2"/>
          <w:szCs w:val="20"/>
        </w:rPr>
        <w:t>（4）项目运营期产生的</w:t>
      </w:r>
      <w:r>
        <w:rPr>
          <w:snapToGrid w:val="0"/>
          <w:color w:val="auto"/>
        </w:rPr>
        <w:t>固体废物</w:t>
      </w:r>
      <w:r>
        <w:rPr>
          <w:color w:val="auto"/>
          <w:kern w:val="2"/>
          <w:szCs w:val="20"/>
        </w:rPr>
        <w:t>主要有正常工况下产生的含油污泥，非正常工况下产生的落地油、含油废防渗布。</w:t>
      </w:r>
    </w:p>
    <w:p w14:paraId="3EB00B30">
      <w:pPr>
        <w:pStyle w:val="276"/>
        <w:widowControl w:val="0"/>
        <w:ind w:firstLine="480"/>
        <w:jc w:val="both"/>
        <w:rPr>
          <w:color w:val="auto"/>
          <w:kern w:val="2"/>
          <w:szCs w:val="20"/>
        </w:rPr>
      </w:pPr>
      <w:r>
        <w:rPr>
          <w:color w:val="auto"/>
          <w:kern w:val="2"/>
          <w:szCs w:val="20"/>
        </w:rPr>
        <w:t>含油污泥及落地油全部回收，由罐车拉运至朝一联含油污泥处理站减量化处理后，再委托大庆博昕晶化科技有限公司处理满足《油田含油污泥处置与利用污染控制要求》（DB23/T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w:t>
      </w:r>
      <w:r>
        <w:rPr>
          <w:snapToGrid w:val="0"/>
          <w:color w:val="auto"/>
        </w:rPr>
        <w:t>以及</w:t>
      </w:r>
      <w:r>
        <w:rPr>
          <w:color w:val="auto"/>
          <w:kern w:val="2"/>
          <w:szCs w:val="20"/>
        </w:rPr>
        <w:t>危险废物填埋场、固体废物填埋场封场等材料的活动；含油废防渗布经收集后暂存于第十采油厂综合固废储存库，定期委托有资质单位处理。</w:t>
      </w:r>
    </w:p>
    <w:bookmarkEnd w:id="26"/>
    <w:p w14:paraId="02AA070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46" w:name="_Toc502736432"/>
      <w:r>
        <w:rPr>
          <w:rFonts w:ascii="宋体" w:hAnsi="宋体" w:eastAsia="宋体" w:cs="Times New Roman"/>
          <w:b/>
          <w:bCs/>
          <w:color w:val="auto"/>
          <w:szCs w:val="28"/>
        </w:rPr>
        <w:t>退役期</w:t>
      </w:r>
    </w:p>
    <w:p w14:paraId="4FDD7D06">
      <w:pPr>
        <w:pStyle w:val="276"/>
        <w:widowControl w:val="0"/>
        <w:ind w:firstLine="480"/>
        <w:jc w:val="both"/>
        <w:rPr>
          <w:color w:val="auto"/>
        </w:rPr>
      </w:pPr>
      <w:r>
        <w:rPr>
          <w:color w:val="auto"/>
        </w:rPr>
        <w:t>（1）本项目退役期集输管线内介质由压缩空气吹扫至拉油点储罐</w:t>
      </w:r>
      <w:r>
        <w:rPr>
          <w:rFonts w:hint="eastAsia"/>
          <w:color w:val="auto"/>
        </w:rPr>
        <w:t>暂存</w:t>
      </w:r>
      <w:r>
        <w:rPr>
          <w:color w:val="auto"/>
        </w:rPr>
        <w:t>，</w:t>
      </w:r>
      <w:r>
        <w:rPr>
          <w:rFonts w:hint="eastAsia"/>
          <w:color w:val="auto"/>
        </w:rPr>
        <w:t>随</w:t>
      </w:r>
      <w:r>
        <w:rPr>
          <w:color w:val="auto"/>
        </w:rPr>
        <w:t>拉油点储罐产液全部由罐车拉运至朝二联卸油点，进入</w:t>
      </w:r>
      <w:r>
        <w:rPr>
          <w:color w:val="auto"/>
          <w:kern w:val="2"/>
        </w:rPr>
        <w:t>朝二联转油脱水站</w:t>
      </w:r>
      <w:r>
        <w:rPr>
          <w:color w:val="auto"/>
        </w:rPr>
        <w:t>处理系统；退役期施工人员产生的生活污水排入临时</w:t>
      </w:r>
      <w:r>
        <w:rPr>
          <w:snapToGrid w:val="0"/>
          <w:color w:val="auto"/>
        </w:rPr>
        <w:t>防渗</w:t>
      </w:r>
      <w:r>
        <w:rPr>
          <w:color w:val="auto"/>
        </w:rPr>
        <w:t>旱厕内，施工结束后拉运至第十采油厂厂区污水泵房，经地下管网输至第十采油厂厂区生活污水处理站处理达标后排入牛毛沟。</w:t>
      </w:r>
    </w:p>
    <w:p w14:paraId="7F124052">
      <w:pPr>
        <w:pStyle w:val="276"/>
        <w:widowControl w:val="0"/>
        <w:ind w:firstLine="480"/>
        <w:jc w:val="both"/>
        <w:rPr>
          <w:color w:val="auto"/>
          <w:kern w:val="2"/>
          <w:szCs w:val="20"/>
        </w:rPr>
      </w:pPr>
      <w:r>
        <w:rPr>
          <w:color w:val="auto"/>
        </w:rPr>
        <w:t>（2）本项目退役期施工过程中产生的废气主要为施工扬尘</w:t>
      </w:r>
      <w:r>
        <w:rPr>
          <w:color w:val="auto"/>
          <w:kern w:val="2"/>
          <w:szCs w:val="20"/>
        </w:rPr>
        <w:t>。施工扬尘采取</w:t>
      </w:r>
      <w:r>
        <w:rPr>
          <w:color w:val="auto"/>
        </w:rPr>
        <w:t>运输道路及施工场地定时洒水抑尘</w:t>
      </w:r>
      <w:r>
        <w:rPr>
          <w:color w:val="auto"/>
          <w:kern w:val="2"/>
          <w:szCs w:val="20"/>
        </w:rPr>
        <w:t>，</w:t>
      </w:r>
      <w:r>
        <w:rPr>
          <w:color w:val="auto"/>
        </w:rPr>
        <w:t>运输</w:t>
      </w:r>
      <w:r>
        <w:rPr>
          <w:color w:val="auto"/>
          <w:kern w:val="2"/>
          <w:szCs w:val="20"/>
        </w:rPr>
        <w:t>车辆采取苫布遮盖措施</w:t>
      </w:r>
      <w:r>
        <w:rPr>
          <w:color w:val="auto"/>
        </w:rPr>
        <w:t>。</w:t>
      </w:r>
    </w:p>
    <w:p w14:paraId="7A3A8545">
      <w:pPr>
        <w:pStyle w:val="276"/>
        <w:widowControl w:val="0"/>
        <w:ind w:firstLine="480"/>
        <w:jc w:val="both"/>
        <w:rPr>
          <w:color w:val="auto"/>
        </w:rPr>
      </w:pPr>
      <w:r>
        <w:rPr>
          <w:color w:val="auto"/>
        </w:rPr>
        <w:t>（3）本项目退役管线两端封堵后直埋处理，退役期拆除的抽油机、储罐等废旧设备全部回收至第十采油厂物资库；拉油点储罐清淤含油污泥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封井建筑垃圾统一收集后拉运至建筑垃圾调配场处置；生活垃圾统一收集拉运至肇源县利民城市垃圾处理有限公司处理。</w:t>
      </w:r>
    </w:p>
    <w:p w14:paraId="32178F18">
      <w:pPr>
        <w:pStyle w:val="5"/>
        <w:rPr>
          <w:bCs w:val="0"/>
          <w:color w:val="auto"/>
        </w:rPr>
      </w:pPr>
      <w:bookmarkStart w:id="47" w:name="_Toc30349"/>
      <w:bookmarkStart w:id="48" w:name="_Toc212032998"/>
      <w:r>
        <w:rPr>
          <w:bCs w:val="0"/>
          <w:color w:val="auto"/>
        </w:rPr>
        <w:t>环境影响评价工作过程</w:t>
      </w:r>
      <w:bookmarkEnd w:id="46"/>
      <w:bookmarkEnd w:id="47"/>
      <w:bookmarkEnd w:id="48"/>
    </w:p>
    <w:p w14:paraId="4CD95C44">
      <w:pPr>
        <w:pStyle w:val="276"/>
        <w:widowControl w:val="0"/>
        <w:ind w:firstLine="480"/>
        <w:jc w:val="both"/>
        <w:rPr>
          <w:snapToGrid w:val="0"/>
          <w:color w:val="auto"/>
        </w:rPr>
      </w:pPr>
      <w:r>
        <w:rPr>
          <w:snapToGrid w:val="0"/>
          <w:color w:val="auto"/>
        </w:rPr>
        <w:t>我单位在接受委托后，按照《建设项目环境影响评价技术导则总纲》（HJ2.1-2016）、《环境影响评价技术导则 陆地石油天然气开发建设项目》（HJ349-2023）等国家有关环境影响评价规范、技术导则及环境保护管理部门的要求，依次完成以下环境影响评价工作：</w:t>
      </w:r>
    </w:p>
    <w:p w14:paraId="49B580A8">
      <w:pPr>
        <w:pStyle w:val="276"/>
        <w:widowControl w:val="0"/>
        <w:ind w:firstLine="480"/>
        <w:jc w:val="both"/>
        <w:rPr>
          <w:snapToGrid w:val="0"/>
          <w:color w:val="auto"/>
        </w:rPr>
      </w:pPr>
      <w:r>
        <w:rPr>
          <w:snapToGrid w:val="0"/>
          <w:color w:val="auto"/>
        </w:rPr>
        <w:t>第一阶段：首先，收集分析工程技术文件以及相关基础资料，依据</w:t>
      </w:r>
      <w:r>
        <w:rPr>
          <w:color w:val="auto"/>
          <w:kern w:val="21"/>
        </w:rPr>
        <w:t>《建设项目环境影响评价分类管理名录（2021年版）》（</w:t>
      </w:r>
      <w:r>
        <w:rPr>
          <w:rFonts w:hint="eastAsia"/>
          <w:color w:val="auto"/>
          <w:kern w:val="21"/>
        </w:rPr>
        <w:t>生态环境部</w:t>
      </w:r>
      <w:r>
        <w:rPr>
          <w:color w:val="auto"/>
          <w:kern w:val="21"/>
        </w:rPr>
        <w:t>令第16号）</w:t>
      </w:r>
      <w:r>
        <w:rPr>
          <w:snapToGrid w:val="0"/>
          <w:color w:val="auto"/>
        </w:rPr>
        <w:t>规定，确定</w:t>
      </w:r>
      <w:r>
        <w:rPr>
          <w:color w:val="auto"/>
        </w:rPr>
        <w:t>肇源油田源212区块扶余油层水平井提产试验产能建设地面工程项目</w:t>
      </w:r>
      <w:r>
        <w:rPr>
          <w:snapToGrid w:val="0"/>
          <w:color w:val="auto"/>
        </w:rPr>
        <w:t>环境影响评价技术文件类型为环境影响报告书。</w:t>
      </w:r>
    </w:p>
    <w:p w14:paraId="531592B5">
      <w:pPr>
        <w:pStyle w:val="276"/>
        <w:widowControl w:val="0"/>
        <w:ind w:firstLine="480"/>
        <w:jc w:val="both"/>
        <w:rPr>
          <w:snapToGrid w:val="0"/>
          <w:color w:val="auto"/>
        </w:rPr>
      </w:pPr>
      <w:r>
        <w:rPr>
          <w:snapToGrid w:val="0"/>
          <w:color w:val="auto"/>
        </w:rPr>
        <w:t>其次，在仔细研究工程技术文件的基础上，进行了工程分析，并对项目所在区域进行实地踏勘和调研，了解项目周围情况。在此基础上，识别环境影响并筛选评价因子，明确环境影响、评价工作重点和环境保护目标确定等工作。通过对项目概况、周围环境敏感性及导则要求分析确定：本项目大气环境影响评价工作等级为一级；声环境影响评价工作等级确定为二级；地表水环境影响评价工作等级为三级B；地下水环境影响评价工作等级井场和拉油点为二级，集输管线为三级；生态环境影响评价工作等级为二级；土壤环境影响评价工作等级井场为一级，集输管线为二级，环境风险环境影响评价工作等级为简单分析。并以此确定评价范围和评价标准，制定了评价工作方案。</w:t>
      </w:r>
    </w:p>
    <w:p w14:paraId="7DAA163F">
      <w:pPr>
        <w:pStyle w:val="276"/>
        <w:widowControl w:val="0"/>
        <w:ind w:firstLine="480"/>
        <w:jc w:val="both"/>
        <w:rPr>
          <w:snapToGrid w:val="0"/>
          <w:color w:val="auto"/>
        </w:rPr>
      </w:pPr>
      <w:r>
        <w:rPr>
          <w:snapToGrid w:val="0"/>
          <w:color w:val="auto"/>
        </w:rPr>
        <w:t>第二阶段：根据工作方案，针对各环境要素的评价工作等级，调查了评价范围内的环境状况，制定了监测方案，进行生态环境现状监测并进行调查与评价，在现状监测与评价的基础上，进行各环境要素的环境影响预测和评价，编制完成各环境要素环境影响分析与评价章节。</w:t>
      </w:r>
    </w:p>
    <w:p w14:paraId="01246FB1">
      <w:pPr>
        <w:pStyle w:val="276"/>
        <w:widowControl w:val="0"/>
        <w:spacing w:line="440" w:lineRule="exact"/>
        <w:ind w:firstLine="480"/>
        <w:jc w:val="both"/>
        <w:rPr>
          <w:snapToGrid w:val="0"/>
          <w:color w:val="auto"/>
        </w:rPr>
      </w:pPr>
      <w:r>
        <w:rPr>
          <w:snapToGrid w:val="0"/>
          <w:color w:val="auto"/>
        </w:rPr>
        <w:t>第三阶段：通过工程分析、环境影响预测与评价的结果，确定科学合理、可行的工程方案，提出预防或减缓不利影响的环境保护措施，制定相应的环境管理或环境监测计划，从生态环境影响的角度给出工程建设项目是否可行的结论，完成报告的编制。</w:t>
      </w:r>
    </w:p>
    <w:p w14:paraId="6DDD9611">
      <w:pPr>
        <w:pStyle w:val="276"/>
        <w:widowControl w:val="0"/>
        <w:spacing w:line="440" w:lineRule="exact"/>
        <w:ind w:firstLine="480"/>
        <w:jc w:val="both"/>
        <w:rPr>
          <w:snapToGrid w:val="0"/>
          <w:color w:val="auto"/>
        </w:rPr>
      </w:pPr>
      <w:r>
        <w:rPr>
          <w:snapToGrid w:val="0"/>
          <w:color w:val="auto"/>
        </w:rPr>
        <w:t>具体环境影响评价工作程序见图1.3-1。</w:t>
      </w:r>
    </w:p>
    <w:p w14:paraId="68D2EFED">
      <w:pPr>
        <w:pStyle w:val="276"/>
        <w:widowControl w:val="0"/>
        <w:spacing w:line="440" w:lineRule="exact"/>
        <w:ind w:firstLine="480"/>
        <w:jc w:val="both"/>
        <w:rPr>
          <w:snapToGrid w:val="0"/>
          <w:color w:val="auto"/>
        </w:rPr>
      </w:pPr>
      <w:r>
        <w:rPr>
          <w:snapToGrid w:val="0"/>
          <w:color w:val="auto"/>
        </w:rPr>
        <w:t>2025年</w:t>
      </w:r>
      <w:r>
        <w:rPr>
          <w:rFonts w:hint="eastAsia"/>
          <w:snapToGrid w:val="0"/>
          <w:color w:val="auto"/>
        </w:rPr>
        <w:t>8</w:t>
      </w:r>
      <w:r>
        <w:rPr>
          <w:snapToGrid w:val="0"/>
          <w:color w:val="auto"/>
        </w:rPr>
        <w:t>月</w:t>
      </w:r>
      <w:r>
        <w:rPr>
          <w:rFonts w:hint="eastAsia"/>
          <w:snapToGrid w:val="0"/>
          <w:color w:val="auto"/>
        </w:rPr>
        <w:t>1</w:t>
      </w:r>
      <w:r>
        <w:rPr>
          <w:snapToGrid w:val="0"/>
          <w:color w:val="auto"/>
        </w:rPr>
        <w:t>日，大庆油田有限责任公司第十采油厂委托森诺科技有限公司编制《</w:t>
      </w:r>
      <w:r>
        <w:rPr>
          <w:color w:val="auto"/>
        </w:rPr>
        <w:t>肇源油田源212区块扶余油层水平井提产试验产能建设地面工程项目环境影响报告书</w:t>
      </w:r>
      <w:r>
        <w:rPr>
          <w:snapToGrid w:val="0"/>
          <w:color w:val="auto"/>
        </w:rPr>
        <w:t>》，在本项目环境影响报告书编制过程及初稿完成后，建设单位依据《中华人民共和国环境影响评价法》、《环境影响评价公众参与办法》及建设项目环境影响评价的相关规定开展项目的公众参与工作并单独出具环境影响评价公众参与说明。公众参与工作采用网络公示、报纸公示以及张贴公告等相结合的方式进行。项目首次环评公示及项目环境影响报告书征求意见稿公示时间分别为2025年8月8日及9月</w:t>
      </w:r>
      <w:r>
        <w:rPr>
          <w:rFonts w:hint="eastAsia"/>
          <w:snapToGrid w:val="0"/>
          <w:color w:val="auto"/>
        </w:rPr>
        <w:t>17</w:t>
      </w:r>
      <w:r>
        <w:rPr>
          <w:snapToGrid w:val="0"/>
          <w:color w:val="auto"/>
        </w:rPr>
        <w:t>日～</w:t>
      </w:r>
      <w:r>
        <w:rPr>
          <w:rFonts w:hint="eastAsia"/>
          <w:snapToGrid w:val="0"/>
          <w:color w:val="auto"/>
        </w:rPr>
        <w:t>9</w:t>
      </w:r>
      <w:r>
        <w:rPr>
          <w:snapToGrid w:val="0"/>
          <w:color w:val="auto"/>
        </w:rPr>
        <w:t>月</w:t>
      </w:r>
      <w:r>
        <w:rPr>
          <w:rFonts w:hint="eastAsia"/>
          <w:snapToGrid w:val="0"/>
          <w:color w:val="auto"/>
        </w:rPr>
        <w:t>29</w:t>
      </w:r>
      <w:r>
        <w:rPr>
          <w:snapToGrid w:val="0"/>
          <w:color w:val="auto"/>
        </w:rPr>
        <w:t>日；并于2025年</w:t>
      </w:r>
      <w:r>
        <w:rPr>
          <w:rFonts w:hint="eastAsia"/>
          <w:snapToGrid w:val="0"/>
          <w:color w:val="auto"/>
        </w:rPr>
        <w:t>9</w:t>
      </w:r>
      <w:r>
        <w:rPr>
          <w:snapToGrid w:val="0"/>
          <w:color w:val="auto"/>
        </w:rPr>
        <w:t>月30日在</w:t>
      </w:r>
      <w:r>
        <w:rPr>
          <w:color w:val="auto"/>
        </w:rPr>
        <w:t>黑龙江环保技术服务网</w:t>
      </w:r>
      <w:r>
        <w:rPr>
          <w:snapToGrid w:val="0"/>
          <w:color w:val="auto"/>
        </w:rPr>
        <w:t>公开发布平台进行</w:t>
      </w:r>
      <w:r>
        <w:rPr>
          <w:color w:val="auto"/>
        </w:rPr>
        <w:t>肇源油田源212区块扶余油层水平井提产试验产能建设地面工程项目</w:t>
      </w:r>
      <w:r>
        <w:rPr>
          <w:snapToGrid w:val="0"/>
          <w:color w:val="auto"/>
        </w:rPr>
        <w:t>环境影响报告书全本公示和项目公众参与说明全本公示。在公示期间建设单位及环评单位未收到相关反馈，建设单位承诺将加强企业环境管理，强化诚信意识，恪守环保信用，项目运行中主动公开环保信息，接受公众监督。</w:t>
      </w:r>
    </w:p>
    <w:p w14:paraId="7F4B5619">
      <w:pPr>
        <w:pStyle w:val="276"/>
        <w:widowControl w:val="0"/>
        <w:spacing w:line="240" w:lineRule="auto"/>
        <w:ind w:firstLine="0" w:firstLineChars="0"/>
        <w:jc w:val="center"/>
        <w:rPr>
          <w:snapToGrid w:val="0"/>
          <w:color w:val="auto"/>
        </w:rPr>
      </w:pPr>
      <w:r>
        <w:rPr>
          <w:color w:val="auto"/>
        </w:rPr>
        <w:drawing>
          <wp:inline distT="0" distB="0" distL="0" distR="0">
            <wp:extent cx="4570095" cy="5307965"/>
            <wp:effectExtent l="0" t="0" r="1905" b="6985"/>
            <wp:docPr id="50523503" name="图片 5052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03" name="图片 50523503"/>
                    <pic:cNvPicPr>
                      <a:picLocks noChangeAspect="1"/>
                    </pic:cNvPicPr>
                  </pic:nvPicPr>
                  <pic:blipFill>
                    <a:blip r:embed="rId16"/>
                    <a:srcRect l="2610" t="1955" r="1995"/>
                    <a:stretch>
                      <a:fillRect/>
                    </a:stretch>
                  </pic:blipFill>
                  <pic:spPr>
                    <a:xfrm>
                      <a:off x="0" y="0"/>
                      <a:ext cx="4574544" cy="5307965"/>
                    </a:xfrm>
                    <a:prstGeom prst="rect">
                      <a:avLst/>
                    </a:prstGeom>
                    <a:ln>
                      <a:noFill/>
                    </a:ln>
                  </pic:spPr>
                </pic:pic>
              </a:graphicData>
            </a:graphic>
          </wp:inline>
        </w:drawing>
      </w:r>
    </w:p>
    <w:p w14:paraId="0832F8B8">
      <w:pPr>
        <w:pStyle w:val="22"/>
        <w:spacing w:before="156"/>
        <w:rPr>
          <w:snapToGrid w:val="0"/>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snapToGrid w:val="0"/>
          <w:color w:val="auto"/>
        </w:rPr>
        <w:t xml:space="preserve"> 建设项目环境影响评价工作程序图</w:t>
      </w:r>
    </w:p>
    <w:p w14:paraId="267C533B">
      <w:pPr>
        <w:pStyle w:val="5"/>
        <w:rPr>
          <w:bCs w:val="0"/>
          <w:color w:val="auto"/>
        </w:rPr>
      </w:pPr>
      <w:bookmarkStart w:id="49" w:name="_Toc212032999"/>
      <w:bookmarkStart w:id="50" w:name="_Toc20368"/>
      <w:bookmarkStart w:id="51" w:name="_Toc502736433"/>
      <w:r>
        <w:rPr>
          <w:bCs w:val="0"/>
          <w:color w:val="auto"/>
        </w:rPr>
        <w:t>分析判定相关情况</w:t>
      </w:r>
      <w:bookmarkEnd w:id="49"/>
      <w:bookmarkEnd w:id="50"/>
      <w:bookmarkEnd w:id="51"/>
    </w:p>
    <w:p w14:paraId="0A91D49B">
      <w:pPr>
        <w:pStyle w:val="6"/>
        <w:rPr>
          <w:color w:val="auto"/>
        </w:rPr>
      </w:pPr>
      <w:bookmarkStart w:id="52" w:name="_Toc127192293"/>
      <w:bookmarkStart w:id="53" w:name="_Toc70050123"/>
      <w:bookmarkStart w:id="54" w:name="_Toc84929180"/>
      <w:bookmarkStart w:id="55" w:name="_Toc80588208"/>
      <w:bookmarkStart w:id="56" w:name="_Toc57707873"/>
      <w:bookmarkStart w:id="57" w:name="_Toc126863344"/>
      <w:bookmarkStart w:id="58" w:name="_Toc85640705"/>
      <w:bookmarkStart w:id="59" w:name="_Toc80971330"/>
      <w:bookmarkStart w:id="60" w:name="_Toc67860081"/>
      <w:bookmarkStart w:id="61" w:name="_Toc77067612"/>
      <w:bookmarkStart w:id="62" w:name="_Toc57976628"/>
      <w:bookmarkStart w:id="63" w:name="_Toc76976196"/>
      <w:bookmarkStart w:id="64" w:name="_Toc86141888"/>
      <w:bookmarkStart w:id="65" w:name="_Toc78816413"/>
      <w:bookmarkStart w:id="66" w:name="_Toc143099531"/>
      <w:bookmarkStart w:id="67" w:name="_Toc131167244"/>
      <w:bookmarkStart w:id="68" w:name="_Toc61597173"/>
      <w:bookmarkStart w:id="69" w:name="_Toc29321"/>
      <w:bookmarkStart w:id="70" w:name="_Toc502736434"/>
      <w:bookmarkStart w:id="71" w:name="_Toc57203203"/>
      <w:bookmarkStart w:id="72" w:name="_Toc83209425"/>
      <w:bookmarkStart w:id="73" w:name="_Toc17898120"/>
      <w:r>
        <w:rPr>
          <w:color w:val="auto"/>
        </w:rPr>
        <w:t>产业政策符合性分析</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795ED71">
      <w:pPr>
        <w:pStyle w:val="276"/>
        <w:widowControl w:val="0"/>
        <w:ind w:firstLine="480"/>
        <w:jc w:val="both"/>
        <w:rPr>
          <w:color w:val="auto"/>
        </w:rPr>
      </w:pPr>
      <w:bookmarkStart w:id="74" w:name="_Toc502736435"/>
      <w:bookmarkStart w:id="75" w:name="_Toc3092"/>
      <w:bookmarkStart w:id="76" w:name="_Toc17898121"/>
      <w:r>
        <w:rPr>
          <w:color w:val="auto"/>
        </w:rPr>
        <w:t>本项目为石油开采项目，根据《产业结构调整指导目录（2024 年本）》，本项目属于鼓励类“七、石油天然气”中“1.石油天然气开采：页岩气、页岩油、致密油（气）、油砂、天然气水合物等非常规资源勘探开发”，因此，该项目</w:t>
      </w:r>
      <w:r>
        <w:rPr>
          <w:snapToGrid w:val="0"/>
          <w:color w:val="auto"/>
        </w:rPr>
        <w:t>建设</w:t>
      </w:r>
      <w:r>
        <w:rPr>
          <w:color w:val="auto"/>
        </w:rPr>
        <w:t>符合国家的产业政策。</w:t>
      </w:r>
    </w:p>
    <w:bookmarkEnd w:id="74"/>
    <w:bookmarkEnd w:id="75"/>
    <w:bookmarkEnd w:id="76"/>
    <w:p w14:paraId="6DC2C531">
      <w:pPr>
        <w:pStyle w:val="6"/>
        <w:rPr>
          <w:color w:val="auto"/>
        </w:rPr>
      </w:pPr>
      <w:bookmarkStart w:id="77" w:name="_Toc84929181"/>
      <w:bookmarkStart w:id="78" w:name="_Toc80588209"/>
      <w:bookmarkStart w:id="79" w:name="_Toc83209426"/>
      <w:bookmarkStart w:id="80" w:name="_Toc131167245"/>
      <w:bookmarkStart w:id="81" w:name="_Toc143099532"/>
      <w:bookmarkStart w:id="82" w:name="_Toc80971331"/>
      <w:bookmarkStart w:id="83" w:name="_Toc76976197"/>
      <w:bookmarkStart w:id="84" w:name="_Toc78816414"/>
      <w:bookmarkStart w:id="85" w:name="_Toc126863345"/>
      <w:bookmarkStart w:id="86" w:name="_Toc67860082"/>
      <w:bookmarkStart w:id="87" w:name="_Toc70050124"/>
      <w:bookmarkStart w:id="88" w:name="_Toc85640706"/>
      <w:bookmarkStart w:id="89" w:name="_Toc77067613"/>
      <w:bookmarkStart w:id="90" w:name="_Toc127192294"/>
      <w:bookmarkStart w:id="91" w:name="_Toc86141889"/>
      <w:r>
        <w:rPr>
          <w:color w:val="auto"/>
        </w:rPr>
        <w:t>相关规划符合性分析</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413CB0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与《黑龙江省主体功能区划》</w:t>
      </w:r>
      <w:r>
        <w:rPr>
          <w:rFonts w:hint="eastAsia" w:ascii="宋体" w:hAnsi="宋体" w:eastAsia="宋体" w:cs="Times New Roman"/>
          <w:b/>
          <w:bCs/>
          <w:color w:val="auto"/>
          <w:szCs w:val="28"/>
        </w:rPr>
        <w:t>（黑政发〔2012〕29</w:t>
      </w:r>
      <w:r>
        <w:rPr>
          <w:rFonts w:ascii="宋体" w:hAnsi="宋体" w:eastAsia="宋体" w:cs="Times New Roman"/>
          <w:b/>
          <w:bCs/>
          <w:color w:val="auto"/>
          <w:szCs w:val="28"/>
        </w:rPr>
        <w:t xml:space="preserve"> </w:t>
      </w:r>
      <w:r>
        <w:rPr>
          <w:rFonts w:hint="eastAsia" w:ascii="宋体" w:hAnsi="宋体" w:eastAsia="宋体" w:cs="Times New Roman"/>
          <w:b/>
          <w:bCs/>
          <w:color w:val="auto"/>
          <w:szCs w:val="28"/>
        </w:rPr>
        <w:t>号）</w:t>
      </w:r>
      <w:r>
        <w:rPr>
          <w:rFonts w:ascii="宋体" w:hAnsi="宋体" w:eastAsia="宋体" w:cs="Times New Roman"/>
          <w:b/>
          <w:bCs/>
          <w:color w:val="auto"/>
          <w:szCs w:val="28"/>
        </w:rPr>
        <w:t>符合性分析</w:t>
      </w:r>
    </w:p>
    <w:p w14:paraId="6660D0D7">
      <w:pPr>
        <w:pStyle w:val="276"/>
        <w:widowControl w:val="0"/>
        <w:ind w:firstLine="480"/>
        <w:jc w:val="both"/>
        <w:rPr>
          <w:color w:val="auto"/>
        </w:rPr>
      </w:pPr>
      <w:r>
        <w:rPr>
          <w:color w:val="auto"/>
        </w:rPr>
        <w:t>本项目位于黑龙江省大庆市肇源县境内，根据《黑龙江省主体功能区规划》，</w:t>
      </w:r>
      <w:r>
        <w:rPr>
          <w:color w:val="auto"/>
          <w:lang w:bidi="zh-CN"/>
        </w:rPr>
        <w:t>大庆市肇源县属于国家级重点开发城镇和限制开发区域（国家农产品主产区）。大庆市的功能定位为全国重要的能源、石化、医药和重型装备制造基地，区域性的农产品加工和生物产业基地，东北地区陆路对外开放的重要门户。</w:t>
      </w:r>
    </w:p>
    <w:p w14:paraId="2B38A744">
      <w:pPr>
        <w:pStyle w:val="276"/>
        <w:widowControl w:val="0"/>
        <w:ind w:firstLine="480"/>
        <w:jc w:val="both"/>
        <w:rPr>
          <w:snapToGrid w:val="0"/>
          <w:color w:val="auto"/>
        </w:rPr>
      </w:pPr>
      <w:r>
        <w:rPr>
          <w:snapToGrid w:val="0"/>
          <w:color w:val="auto"/>
        </w:rPr>
        <w:t>大庆市的功能定位为全国重要的能源、石化、医药和重型装备制造基地，区域性的农产品加工和生物产业基地，东北地区陆路对外开放的重要门户。本项目属于油田钻探项目，符合“全国重要的能源、石化、医药和重型装备制造基地”，且第八章第二节能源开发利用中明确：“在大庆及周边地区，加大石油勘探开发力度，实施老油田二次开发工程和三次采油工程，稳定石油产量”；第三节主要矿产资源开发利用中明确：“鼓励开采石油、天然气、煤层气、地热、油页岩、铁、铜、铅、锌、岩金、铂、钯、水泥用大理岩、含钾岩石、熔炼水晶、玻璃用硅质原料、珍珠岩、陶粒用原料、岩棉用玄武岩、透辉石岩、饰面石岩等矿产资源”；第五章保障措施中第八节环境政策，限制开发区要通过治理、限制或关闭污染物排放企业等手段，实现污染物排放总量持续下降；加大水资源保护力度，适度开发利用水资源，实行全面节水，满足基本的生态用水需求。</w:t>
      </w:r>
    </w:p>
    <w:p w14:paraId="3775A968">
      <w:pPr>
        <w:pStyle w:val="276"/>
        <w:widowControl w:val="0"/>
        <w:ind w:firstLine="480"/>
        <w:jc w:val="both"/>
        <w:rPr>
          <w:color w:val="auto"/>
        </w:rPr>
      </w:pPr>
      <w:r>
        <w:rPr>
          <w:color w:val="auto"/>
        </w:rPr>
        <w:t>本项目</w:t>
      </w:r>
      <w:r>
        <w:rPr>
          <w:rFonts w:hint="eastAsia"/>
          <w:color w:val="auto"/>
        </w:rPr>
        <w:t>运营期</w:t>
      </w:r>
      <w:r>
        <w:rPr>
          <w:color w:val="auto"/>
        </w:rPr>
        <w:t>产生的废气主要为无组织挥发的非甲烷总烃和拉油点储罐加热装置产生的烟气，项目加热装置使用的燃料为清洁能源天然气，且产生的污染物量较小，项目在采油井口安装了密封垫，拉油点储罐阀门、法兰等安装密封垫片，油井产液采用管线密闭集输进拉油点储罐，拉油点储罐密闭收集产液，伴生气用于拉油点多功能储罐加热炉自耗，不外排，最大程度减少了非甲烷总烃的无组织排放；项目施工期水基钻井废水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油基钻井废水排入井场设置的油基钢制泥浆槽中，委托黑龙江迈景环保科技有限公司处理，处理后的污水进入污水罐储存，定期拉运至朝二联含油污水处理站处理满足《大庆油田地面工程建设设计规定》（Q/SYDQ0639-2015）及《碎屑岩油藏注水水质指标技术要求及分析方法》（SY/T5329-2022）限值要求后回注油层；压裂返排液由罐车拉运至朝一联压裂返排液无害化处理站处理后，管输进入朝一联含油</w:t>
      </w:r>
      <w:bookmarkStart w:id="2269" w:name="_GoBack"/>
      <w:bookmarkEnd w:id="2269"/>
      <w:r>
        <w:rPr>
          <w:color w:val="auto"/>
        </w:rPr>
        <w:t>污水处理站处理，处理后的出水满足《大庆油田地面工程建设设计规定》（Q/SYDQ0639-2015）及《碎屑岩油藏注水水质指标技术要求及分析方法》（SY/T5329-2022）限值要求后回注油层，不外排。施工期试压废水、</w:t>
      </w:r>
      <w:r>
        <w:rPr>
          <w:rFonts w:hint="eastAsia"/>
          <w:color w:val="auto"/>
        </w:rPr>
        <w:t>运营期</w:t>
      </w:r>
      <w:r>
        <w:rPr>
          <w:color w:val="auto"/>
        </w:rPr>
        <w:t>作业污水由罐车拉运至朝二联含油污水处理站处理满足《大庆油田地面工程建设设计规定》（Q/SYDQ0639-2015）及《碎屑岩油藏注水水质指标技术要求及分析方法》（SY/T5329-2022）限值要求后回注油层；产生的各类固体废物均进行了相应的处理，对外环境无影响。项目</w:t>
      </w:r>
      <w:r>
        <w:rPr>
          <w:rFonts w:hint="eastAsia"/>
          <w:color w:val="auto"/>
        </w:rPr>
        <w:t>运营期</w:t>
      </w:r>
      <w:r>
        <w:rPr>
          <w:color w:val="auto"/>
        </w:rPr>
        <w:t>工业用水为井下作业用水，用水量较小，不进行地下水资源的开采。本项目属于大庆油田石油开采项目，符合《黑龙江省主体功能区规划》要求。本项目与黑龙江省主体功能区位置关系见图1.4-1。</w:t>
      </w:r>
    </w:p>
    <w:p w14:paraId="37F0BC1F">
      <w:pPr>
        <w:jc w:val="center"/>
        <w:rPr>
          <w:rFonts w:ascii="宋体" w:hAnsi="宋体" w:eastAsia="宋体" w:cs="Times New Roman"/>
          <w:color w:val="auto"/>
        </w:rPr>
      </w:pPr>
      <w:r>
        <w:rPr>
          <w:rFonts w:ascii="宋体" w:hAnsi="宋体" w:eastAsia="宋体" w:cs="Times New Roman"/>
          <w:color w:val="auto"/>
        </w:rPr>
        <w:drawing>
          <wp:inline distT="0" distB="0" distL="0" distR="0">
            <wp:extent cx="5759450" cy="4361815"/>
            <wp:effectExtent l="0" t="0" r="12700" b="635"/>
            <wp:docPr id="449" name="图片 449" descr="21主体功能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21主体功能区分布图"/>
                    <pic:cNvPicPr>
                      <a:picLocks noChangeAspect="1" noChangeArrowheads="1"/>
                    </pic:cNvPicPr>
                  </pic:nvPicPr>
                  <pic:blipFill>
                    <a:blip r:embed="rId17"/>
                    <a:srcRect/>
                    <a:stretch>
                      <a:fillRect/>
                    </a:stretch>
                  </pic:blipFill>
                  <pic:spPr>
                    <a:xfrm>
                      <a:off x="0" y="0"/>
                      <a:ext cx="5759450" cy="4361815"/>
                    </a:xfrm>
                    <a:prstGeom prst="rect">
                      <a:avLst/>
                    </a:prstGeom>
                    <a:noFill/>
                    <a:ln>
                      <a:noFill/>
                    </a:ln>
                  </pic:spPr>
                </pic:pic>
              </a:graphicData>
            </a:graphic>
          </wp:inline>
        </w:drawing>
      </w:r>
      <w:r>
        <w:rPr>
          <w:rFonts w:ascii="宋体" w:hAnsi="宋体" w:eastAsia="宋体" w:cs="Times New Roman"/>
          <w:color w:val="auto"/>
        </w:rPr>
        <mc:AlternateContent>
          <mc:Choice Requires="wps">
            <w:drawing>
              <wp:anchor distT="0" distB="0" distL="114300" distR="114300" simplePos="0" relativeHeight="251666432" behindDoc="0" locked="0" layoutInCell="1" allowOverlap="1">
                <wp:simplePos x="0" y="0"/>
                <wp:positionH relativeFrom="column">
                  <wp:posOffset>1993900</wp:posOffset>
                </wp:positionH>
                <wp:positionV relativeFrom="paragraph">
                  <wp:posOffset>3366770</wp:posOffset>
                </wp:positionV>
                <wp:extent cx="45720" cy="45720"/>
                <wp:effectExtent l="0" t="0" r="11430" b="11430"/>
                <wp:wrapNone/>
                <wp:docPr id="451" name="矩形 451"/>
                <wp:cNvGraphicFramePr/>
                <a:graphic xmlns:a="http://schemas.openxmlformats.org/drawingml/2006/main">
                  <a:graphicData uri="http://schemas.microsoft.com/office/word/2010/wordprocessingShape">
                    <wps:wsp>
                      <wps:cNvSpPr/>
                      <wps:spPr>
                        <a:xfrm flipH="1">
                          <a:off x="0" y="0"/>
                          <a:ext cx="45720" cy="45720"/>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157pt;margin-top:265.1pt;height:3.6pt;width:3.6pt;z-index:251666432;v-text-anchor:middle;mso-width-relative:page;mso-height-relative:page;" filled="f" stroked="t" coordsize="21600,21600" o:gfxdata="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ISLV2gAAAAsBAAAPAAAAAAAAAAEAIAAAACIAAABkcnMvZG93bnJldi54bWxQSwECFAAUAAAA&#10;CACHTuJABgBig14CAAC+BAAADgAAAAAAAAABACAAAAApAQAAZHJzL2Uyb0RvYy54bWxQSwUGAAAA&#10;AAYABgBZAQAA+QUAAAAA&#10;">
                <v:fill on="f" focussize="0,0"/>
                <v:stroke weight="0.5pt" color="#FF0000 [3204]" joinstyle="round"/>
                <v:imagedata o:title=""/>
                <o:lock v:ext="edit" aspectratio="f"/>
              </v:rect>
            </w:pict>
          </mc:Fallback>
        </mc:AlternateContent>
      </w:r>
      <w:r>
        <w:rPr>
          <w:rFonts w:ascii="宋体" w:hAnsi="宋体" w:eastAsia="宋体" w:cs="Times New Roman"/>
          <w:color w:val="auto"/>
        </w:rPr>
        <mc:AlternateContent>
          <mc:Choice Requires="wps">
            <w:drawing>
              <wp:anchor distT="0" distB="0" distL="114300" distR="114300" simplePos="0" relativeHeight="251667456" behindDoc="0" locked="0" layoutInCell="1" allowOverlap="1">
                <wp:simplePos x="0" y="0"/>
                <wp:positionH relativeFrom="column">
                  <wp:posOffset>515620</wp:posOffset>
                </wp:positionH>
                <wp:positionV relativeFrom="paragraph">
                  <wp:posOffset>2808605</wp:posOffset>
                </wp:positionV>
                <wp:extent cx="1073150" cy="309245"/>
                <wp:effectExtent l="0" t="0" r="488950" b="319405"/>
                <wp:wrapNone/>
                <wp:docPr id="455" name="圆角矩形标注 455"/>
                <wp:cNvGraphicFramePr/>
                <a:graphic xmlns:a="http://schemas.openxmlformats.org/drawingml/2006/main">
                  <a:graphicData uri="http://schemas.microsoft.com/office/word/2010/wordprocessingShape">
                    <wps:wsp>
                      <wps:cNvSpPr/>
                      <wps:spPr>
                        <a:xfrm>
                          <a:off x="0" y="0"/>
                          <a:ext cx="1073150" cy="309245"/>
                        </a:xfrm>
                        <a:prstGeom prst="wedgeRoundRectCallout">
                          <a:avLst>
                            <a:gd name="adj1" fmla="val 88825"/>
                            <a:gd name="adj2" fmla="val 14094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DF83C1">
                            <w:pPr>
                              <w:jc w:val="center"/>
                            </w:pPr>
                            <w:r>
                              <w:rPr>
                                <w:rFonts w:hint="eastAsia"/>
                              </w:rPr>
                              <w:t>本项目</w:t>
                            </w:r>
                            <w: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0.6pt;margin-top:221.15pt;height:24.35pt;width:84.5pt;z-index:251667456;v-text-anchor:middle;mso-width-relative:page;mso-height-relative:page;" fillcolor="#4F81BD [3204]" filled="t" stroked="t" coordsize="21600,21600" o:gfxdata="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YhW/72gAAAAoBAAAPAAAAAAAAAAEAIAAAACIAAABkcnMvZG93bnJldi54bWxQSwECFAAU&#10;AAAACACHTuJAPe4dYNMCAACgBQAADgAAAAAAAAABACAAAAApAQAAZHJzL2Uyb0RvYy54bWxQSwUG&#10;AAAAAAYABgBZAQAAbgYAAAAA&#10;" adj="29986,41244,14400">
                <v:fill on="t" focussize="0,0"/>
                <v:stroke weight="2pt" color="#385D8A [3204]" joinstyle="round"/>
                <v:imagedata o:title=""/>
                <o:lock v:ext="edit" aspectratio="f"/>
                <v:textbox>
                  <w:txbxContent>
                    <w:p w14:paraId="3FDF83C1">
                      <w:pPr>
                        <w:jc w:val="center"/>
                      </w:pPr>
                      <w:r>
                        <w:rPr>
                          <w:rFonts w:hint="eastAsia"/>
                        </w:rPr>
                        <w:t>本项目</w:t>
                      </w:r>
                      <w:r>
                        <w:t>位置</w:t>
                      </w:r>
                    </w:p>
                  </w:txbxContent>
                </v:textbox>
              </v:shape>
            </w:pict>
          </mc:Fallback>
        </mc:AlternateContent>
      </w:r>
    </w:p>
    <w:p w14:paraId="296DB3BA">
      <w:pPr>
        <w:pStyle w:val="22"/>
        <w:spacing w:before="156"/>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本项目与黑龙江省主体功能区位置关系图</w:t>
      </w:r>
    </w:p>
    <w:p w14:paraId="70949E7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与《黑龙江省生态功能区划》</w:t>
      </w:r>
      <w:r>
        <w:rPr>
          <w:rFonts w:hint="eastAsia" w:ascii="宋体" w:hAnsi="宋体" w:eastAsia="宋体" w:cs="Times New Roman"/>
          <w:b/>
          <w:bCs/>
          <w:color w:val="auto"/>
          <w:szCs w:val="28"/>
        </w:rPr>
        <w:t>（黑政函</w:t>
      </w:r>
      <w:r>
        <w:rPr>
          <w:rFonts w:ascii="宋体" w:hAnsi="宋体" w:eastAsia="宋体" w:cs="Times New Roman"/>
          <w:b/>
          <w:bCs/>
          <w:color w:val="auto"/>
          <w:szCs w:val="28"/>
        </w:rPr>
        <w:t>〔20</w:t>
      </w:r>
      <w:r>
        <w:rPr>
          <w:rFonts w:hint="eastAsia" w:ascii="宋体" w:hAnsi="宋体" w:eastAsia="宋体" w:cs="Times New Roman"/>
          <w:b/>
          <w:bCs/>
          <w:color w:val="auto"/>
          <w:szCs w:val="28"/>
        </w:rPr>
        <w:t>06</w:t>
      </w:r>
      <w:r>
        <w:rPr>
          <w:rFonts w:ascii="宋体" w:hAnsi="宋体" w:eastAsia="宋体" w:cs="Times New Roman"/>
          <w:b/>
          <w:bCs/>
          <w:color w:val="auto"/>
          <w:szCs w:val="28"/>
        </w:rPr>
        <w:t>〕</w:t>
      </w:r>
      <w:r>
        <w:rPr>
          <w:rFonts w:hint="eastAsia" w:ascii="宋体" w:hAnsi="宋体" w:eastAsia="宋体" w:cs="Times New Roman"/>
          <w:b/>
          <w:bCs/>
          <w:color w:val="auto"/>
          <w:szCs w:val="28"/>
        </w:rPr>
        <w:t>75号）</w:t>
      </w:r>
      <w:r>
        <w:rPr>
          <w:rFonts w:ascii="宋体" w:hAnsi="宋体" w:eastAsia="宋体" w:cs="Times New Roman"/>
          <w:b/>
          <w:bCs/>
          <w:color w:val="auto"/>
          <w:szCs w:val="28"/>
        </w:rPr>
        <w:t>符合性分析</w:t>
      </w:r>
    </w:p>
    <w:p w14:paraId="10902867">
      <w:pPr>
        <w:pStyle w:val="276"/>
        <w:widowControl w:val="0"/>
        <w:ind w:firstLine="480"/>
        <w:jc w:val="both"/>
        <w:rPr>
          <w:iCs/>
          <w:color w:val="auto"/>
          <w:szCs w:val="22"/>
        </w:rPr>
      </w:pPr>
      <w:r>
        <w:rPr>
          <w:color w:val="auto"/>
        </w:rPr>
        <w:t>根据《黑龙江省生态功能区划》，</w:t>
      </w:r>
      <w:r>
        <w:rPr>
          <w:color w:val="auto"/>
          <w:lang w:val="zh-CN" w:bidi="zh-CN"/>
        </w:rPr>
        <w:t>肇源县</w:t>
      </w:r>
      <w:r>
        <w:rPr>
          <w:iCs/>
          <w:color w:val="auto"/>
          <w:szCs w:val="22"/>
        </w:rPr>
        <w:t>位于Ⅰ-06-01-01嫩江下游湿地保护与沙化和盐渍化控制生态功能区。Ⅰ-06-01-01嫩江下游湿地保护与沙化和盐渍化控制生态功能区由黑龙江省肇源县、杜尔伯特蒙古自治县和泰来县组成，总面积</w:t>
      </w:r>
      <w:r>
        <w:rPr>
          <w:snapToGrid w:val="0"/>
          <w:color w:val="auto"/>
        </w:rPr>
        <w:t>14200km</w:t>
      </w:r>
      <w:r>
        <w:rPr>
          <w:snapToGrid w:val="0"/>
          <w:color w:val="auto"/>
          <w:vertAlign w:val="superscript"/>
        </w:rPr>
        <w:t>2</w:t>
      </w:r>
      <w:r>
        <w:rPr>
          <w:iCs/>
          <w:color w:val="auto"/>
          <w:szCs w:val="22"/>
        </w:rPr>
        <w:t>，该功能区的主要生态系统服务功能为沙漠化控制、防洪蓄洪、牧业生产、旅游。</w:t>
      </w:r>
    </w:p>
    <w:p w14:paraId="056AC3EC">
      <w:pPr>
        <w:pStyle w:val="276"/>
        <w:widowControl w:val="0"/>
        <w:ind w:firstLine="480"/>
        <w:jc w:val="both"/>
        <w:rPr>
          <w:iCs/>
          <w:color w:val="auto"/>
        </w:rPr>
      </w:pPr>
      <w:r>
        <w:rPr>
          <w:iCs/>
          <w:color w:val="auto"/>
        </w:rPr>
        <w:t>本项目属于油田开发项目，位于黑龙江省大庆市肇源县境内，建成后永久占地面积为</w:t>
      </w:r>
      <w:r>
        <w:rPr>
          <w:rFonts w:hint="eastAsia"/>
          <w:iCs/>
          <w:color w:val="auto"/>
        </w:rPr>
        <w:t>3.254</w:t>
      </w:r>
      <w:r>
        <w:rPr>
          <w:iCs/>
          <w:color w:val="auto"/>
        </w:rPr>
        <w:t>hm</w:t>
      </w:r>
      <w:r>
        <w:rPr>
          <w:iCs/>
          <w:color w:val="auto"/>
          <w:vertAlign w:val="superscript"/>
        </w:rPr>
        <w:t>2</w:t>
      </w:r>
      <w:r>
        <w:rPr>
          <w:iCs/>
          <w:color w:val="auto"/>
        </w:rPr>
        <w:t>，临时占地面积为</w:t>
      </w:r>
      <w:r>
        <w:rPr>
          <w:rFonts w:hint="eastAsia"/>
          <w:iCs/>
          <w:color w:val="auto"/>
        </w:rPr>
        <w:t>4.46</w:t>
      </w:r>
      <w:r>
        <w:rPr>
          <w:iCs/>
          <w:color w:val="auto"/>
        </w:rPr>
        <w:t>hm</w:t>
      </w:r>
      <w:r>
        <w:rPr>
          <w:iCs/>
          <w:color w:val="auto"/>
          <w:vertAlign w:val="superscript"/>
        </w:rPr>
        <w:t>2</w:t>
      </w:r>
      <w:r>
        <w:rPr>
          <w:iCs/>
          <w:color w:val="auto"/>
        </w:rPr>
        <w:t>，占地类型为耕地（</w:t>
      </w:r>
      <w:r>
        <w:rPr>
          <w:rFonts w:hint="eastAsia"/>
          <w:iCs/>
          <w:color w:val="auto"/>
        </w:rPr>
        <w:t>永久</w:t>
      </w:r>
      <w:r>
        <w:rPr>
          <w:iCs/>
          <w:color w:val="auto"/>
        </w:rPr>
        <w:t>基本农田）和草地</w:t>
      </w:r>
      <w:r>
        <w:rPr>
          <w:rFonts w:hint="eastAsia"/>
          <w:iCs/>
          <w:color w:val="auto"/>
        </w:rPr>
        <w:t>（一般草地）</w:t>
      </w:r>
      <w:r>
        <w:rPr>
          <w:iCs/>
          <w:color w:val="auto"/>
        </w:rPr>
        <w:t>，占地面积较小，且运营期作业、洗井等施工</w:t>
      </w:r>
      <w:r>
        <w:rPr>
          <w:snapToGrid w:val="0"/>
          <w:color w:val="auto"/>
        </w:rPr>
        <w:t>作业</w:t>
      </w:r>
      <w:r>
        <w:rPr>
          <w:iCs/>
          <w:color w:val="auto"/>
        </w:rPr>
        <w:t>均在井场永久占地内进行，不会造成土地退化。同时，在本项目实施过程中加强水土流失措施的实施，车辆运输尽量采用已有道路，管道施工严格控制作业带宽度，施工后立即进行土地原貌的恢复等。</w:t>
      </w:r>
    </w:p>
    <w:p w14:paraId="6BEAF9AB">
      <w:pPr>
        <w:pStyle w:val="276"/>
        <w:widowControl w:val="0"/>
        <w:ind w:firstLine="480"/>
        <w:jc w:val="both"/>
        <w:rPr>
          <w:iCs/>
          <w:color w:val="auto"/>
        </w:rPr>
      </w:pPr>
      <w:r>
        <w:rPr>
          <w:iCs/>
          <w:color w:val="auto"/>
        </w:rPr>
        <w:t>油田在生产过程中加强管理，杜绝含油污水及污油的随意排放；井下作业产生的原油等污染物必须及时回收，不遗落地面，一旦发生原油落地，必须及时回收；</w:t>
      </w:r>
      <w:r>
        <w:rPr>
          <w:rFonts w:hint="eastAsia"/>
          <w:iCs/>
          <w:color w:val="auto"/>
        </w:rPr>
        <w:t>运营期</w:t>
      </w:r>
      <w:r>
        <w:rPr>
          <w:iCs/>
          <w:color w:val="auto"/>
        </w:rPr>
        <w:t>产生的油井作业污水均拉运至朝二联含油污水处理站处理满足《大庆油田地面工程建设设计规定》（Q/SYDQ0639-2015）及《碎屑岩油藏注水水质指标技术要求及分析方法》（SY/T5329-2022）限值要求后回注油层，不外排，采取以上措施可有效避免土地盐渍化。</w:t>
      </w:r>
    </w:p>
    <w:p w14:paraId="3078F328">
      <w:pPr>
        <w:pStyle w:val="276"/>
        <w:widowControl w:val="0"/>
        <w:ind w:firstLine="480"/>
        <w:jc w:val="both"/>
        <w:rPr>
          <w:iCs/>
          <w:color w:val="auto"/>
        </w:rPr>
      </w:pPr>
      <w:r>
        <w:rPr>
          <w:iCs/>
          <w:color w:val="auto"/>
        </w:rPr>
        <w:t>本项目的建设不会对区域生态功能产生明显影响，满足该区域作为盐渍化控制、生态系统产品提供的生态系统服务功能需求。因此，本项目符合《黑龙江省生态功能区规划》的要求。本项目与《黑龙江省生态功能区划》位置关系见图1.4-2。</w:t>
      </w:r>
    </w:p>
    <w:p w14:paraId="2B151DE0">
      <w:pPr>
        <w:jc w:val="center"/>
        <w:rPr>
          <w:rFonts w:ascii="宋体" w:hAnsi="宋体" w:eastAsia="宋体" w:cs="Times New Roman"/>
          <w:color w:val="auto"/>
        </w:rPr>
      </w:pPr>
      <w:r>
        <w:rPr>
          <w:rFonts w:ascii="宋体" w:hAnsi="宋体" w:eastAsia="宋体" w:cs="Times New Roman"/>
          <w:color w:val="auto"/>
        </w:rPr>
        <mc:AlternateContent>
          <mc:Choice Requires="wps">
            <w:drawing>
              <wp:anchor distT="0" distB="0" distL="114300" distR="114300" simplePos="0" relativeHeight="251689984" behindDoc="0" locked="0" layoutInCell="1" allowOverlap="1">
                <wp:simplePos x="0" y="0"/>
                <wp:positionH relativeFrom="column">
                  <wp:posOffset>128905</wp:posOffset>
                </wp:positionH>
                <wp:positionV relativeFrom="paragraph">
                  <wp:posOffset>285750</wp:posOffset>
                </wp:positionV>
                <wp:extent cx="1073150" cy="309245"/>
                <wp:effectExtent l="0" t="0" r="336550" b="319405"/>
                <wp:wrapNone/>
                <wp:docPr id="50523475" name="圆角矩形标注 28"/>
                <wp:cNvGraphicFramePr/>
                <a:graphic xmlns:a="http://schemas.openxmlformats.org/drawingml/2006/main">
                  <a:graphicData uri="http://schemas.microsoft.com/office/word/2010/wordprocessingShape">
                    <wps:wsp>
                      <wps:cNvSpPr/>
                      <wps:spPr>
                        <a:xfrm>
                          <a:off x="0" y="0"/>
                          <a:ext cx="1073150" cy="309245"/>
                        </a:xfrm>
                        <a:prstGeom prst="wedgeRoundRectCallout">
                          <a:avLst>
                            <a:gd name="adj1" fmla="val 76652"/>
                            <a:gd name="adj2" fmla="val 13932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E5F5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28" o:spid="_x0000_s1026" o:spt="62" type="#_x0000_t62" style="position:absolute;left:0pt;margin-left:10.15pt;margin-top:22.5pt;height:24.35pt;width:84.5pt;z-index:251689984;v-text-anchor:middle;mso-width-relative:page;mso-height-relative:page;" filled="f" stroked="t" coordsize="21600,21600" o:gfxdata="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t7JRotgAAAAIAQAADwAAAAAAAAAB&#10;ACAAAAAiAAAAZHJzL2Rvd25yZXYueG1sUEsBAhQAFAAAAAgAh07iQJfeEQ+7AgAAWgUAAA4AAAAA&#10;AAAAAQAgAAAAJwEAAGRycy9lMm9Eb2MueG1sUEsFBgAAAAAGAAYAWQEAAFQGAAAAAA==&#10;" adj="27357,40893,14400">
                <v:fill on="f" focussize="0,0"/>
                <v:stroke weight="2pt" color="#FF0000 [3204]" joinstyle="round"/>
                <v:imagedata o:title=""/>
                <o:lock v:ext="edit" aspectratio="f"/>
                <v:textbox>
                  <w:txbxContent>
                    <w:p w14:paraId="7CCE5F5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位置</w:t>
                      </w:r>
                    </w:p>
                  </w:txbxContent>
                </v:textbox>
              </v:shape>
            </w:pict>
          </mc:Fallback>
        </mc:AlternateContent>
      </w:r>
      <w:r>
        <w:rPr>
          <w:rFonts w:ascii="宋体" w:hAnsi="宋体" w:eastAsia="宋体"/>
          <w:color w:val="auto"/>
        </w:rPr>
        <mc:AlternateContent>
          <mc:Choice Requires="wps">
            <w:drawing>
              <wp:anchor distT="0" distB="0" distL="114300" distR="114300" simplePos="0" relativeHeight="251684864" behindDoc="0" locked="0" layoutInCell="1" allowOverlap="1">
                <wp:simplePos x="0" y="0"/>
                <wp:positionH relativeFrom="column">
                  <wp:posOffset>1539240</wp:posOffset>
                </wp:positionH>
                <wp:positionV relativeFrom="paragraph">
                  <wp:posOffset>902970</wp:posOffset>
                </wp:positionV>
                <wp:extent cx="122555" cy="106680"/>
                <wp:effectExtent l="0" t="0" r="10795" b="27305"/>
                <wp:wrapNone/>
                <wp:docPr id="50523476" name="矩形 50523476"/>
                <wp:cNvGraphicFramePr/>
                <a:graphic xmlns:a="http://schemas.openxmlformats.org/drawingml/2006/main">
                  <a:graphicData uri="http://schemas.microsoft.com/office/word/2010/wordprocessingShape">
                    <wps:wsp>
                      <wps:cNvSpPr/>
                      <wps:spPr>
                        <a:xfrm>
                          <a:off x="0" y="0"/>
                          <a:ext cx="122559" cy="106587"/>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2pt;margin-top:71.1pt;height:8.4pt;width:9.65pt;z-index:251684864;v-text-anchor:middle;mso-width-relative:page;mso-height-relative:page;" filled="f" stroked="t" coordsize="21600,21600" o:gfxdata="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A+dB9kAAAALAQAADwAAAAAAAAABACAAAAAiAAAAZHJzL2Rvd25yZXYueG1sUEsB&#10;AhQAFAAAAAgAh07iQLK6EvJmAgAAwQQAAA4AAAAAAAAAAQAgAAAAKAEAAGRycy9lMm9Eb2MueG1s&#10;UEsFBgAAAAAGAAYAWQEAAAAGAAAAAA==&#10;">
                <v:fill on="f" focussize="0,0"/>
                <v:stroke weight="2pt" color="#FF0000 [2404]" joinstyle="round"/>
                <v:imagedata o:title=""/>
                <o:lock v:ext="edit" aspectratio="f"/>
              </v:rect>
            </w:pict>
          </mc:Fallback>
        </mc:AlternateContent>
      </w:r>
      <w:r>
        <w:rPr>
          <w:rFonts w:ascii="宋体" w:hAnsi="宋体" w:eastAsia="宋体"/>
          <w:color w:val="auto"/>
        </w:rPr>
        <mc:AlternateContent>
          <mc:Choice Requires="wps">
            <w:drawing>
              <wp:anchor distT="0" distB="0" distL="114300" distR="114300" simplePos="0" relativeHeight="251683840" behindDoc="0" locked="0" layoutInCell="1" allowOverlap="1">
                <wp:simplePos x="0" y="0"/>
                <wp:positionH relativeFrom="column">
                  <wp:posOffset>1656715</wp:posOffset>
                </wp:positionH>
                <wp:positionV relativeFrom="paragraph">
                  <wp:posOffset>1181735</wp:posOffset>
                </wp:positionV>
                <wp:extent cx="1107440" cy="2179320"/>
                <wp:effectExtent l="5715" t="0" r="10795" b="11430"/>
                <wp:wrapNone/>
                <wp:docPr id="50523477" name="直接箭头连接符 50523477"/>
                <wp:cNvGraphicFramePr/>
                <a:graphic xmlns:a="http://schemas.openxmlformats.org/drawingml/2006/main">
                  <a:graphicData uri="http://schemas.microsoft.com/office/word/2010/wordprocessingShape">
                    <wps:wsp>
                      <wps:cNvCnPr/>
                      <wps:spPr>
                        <a:xfrm flipH="1" flipV="1">
                          <a:off x="2557145" y="4317365"/>
                          <a:ext cx="1107440" cy="217932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30.45pt;margin-top:93.05pt;height:171.6pt;width:87.2pt;z-index:251683840;mso-width-relative:page;mso-height-relative:page;" filled="f" stroked="t" coordsize="21600,21600" o:gfxdata="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WE&#10;/NDaAAAACwEAAA8AAAAAAAAAAQAgAAAAIgAAAGRycy9kb3ducmV2LnhtbFBLAQIUABQAAAAIAIdO&#10;4kDEGMtEIQIAAPwDAAAOAAAAAAAAAAEAIAAAACkBAABkcnMvZTJvRG9jLnhtbFBLBQYAAAAABgAG&#10;AFkBAAC8BQAAAAA=&#10;">
                <v:fill on="f" focussize="0,0"/>
                <v:stroke weight="2pt" color="#FF0000 [3204]" joinstyle="round" endarrow="open"/>
                <v:imagedata o:title=""/>
                <o:lock v:ext="edit" aspectratio="f"/>
              </v:shape>
            </w:pict>
          </mc:Fallback>
        </mc:AlternateContent>
      </w:r>
      <w:r>
        <w:rPr>
          <w:rFonts w:ascii="宋体" w:hAnsi="宋体" w:eastAsia="宋体"/>
          <w:color w:val="auto"/>
        </w:rPr>
        <w:drawing>
          <wp:anchor distT="0" distB="0" distL="114300" distR="114300" simplePos="0" relativeHeight="251682816" behindDoc="0" locked="0" layoutInCell="1" allowOverlap="1">
            <wp:simplePos x="0" y="0"/>
            <wp:positionH relativeFrom="column">
              <wp:posOffset>45085</wp:posOffset>
            </wp:positionH>
            <wp:positionV relativeFrom="paragraph">
              <wp:posOffset>97155</wp:posOffset>
            </wp:positionV>
            <wp:extent cx="2357120" cy="1550670"/>
            <wp:effectExtent l="9525" t="9525" r="14605" b="20955"/>
            <wp:wrapNone/>
            <wp:docPr id="50523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04" name="图片 1"/>
                    <pic:cNvPicPr>
                      <a:picLocks noChangeAspect="1"/>
                    </pic:cNvPicPr>
                  </pic:nvPicPr>
                  <pic:blipFill>
                    <a:blip r:embed="rId18"/>
                    <a:stretch>
                      <a:fillRect/>
                    </a:stretch>
                  </pic:blipFill>
                  <pic:spPr>
                    <a:xfrm>
                      <a:off x="0" y="0"/>
                      <a:ext cx="2357120" cy="1550670"/>
                    </a:xfrm>
                    <a:prstGeom prst="rect">
                      <a:avLst/>
                    </a:prstGeom>
                    <a:noFill/>
                    <a:ln>
                      <a:solidFill>
                        <a:srgbClr val="FF0000"/>
                      </a:solidFill>
                    </a:ln>
                  </pic:spPr>
                </pic:pic>
              </a:graphicData>
            </a:graphic>
          </wp:anchor>
        </w:drawing>
      </w:r>
      <w:r>
        <w:rPr>
          <w:rFonts w:ascii="宋体" w:hAnsi="宋体" w:eastAsia="宋体" w:cs="Times New Roman"/>
          <w:color w:val="auto"/>
        </w:rPr>
        <mc:AlternateContent>
          <mc:Choice Requires="wps">
            <w:drawing>
              <wp:anchor distT="0" distB="0" distL="114300" distR="114300" simplePos="0" relativeHeight="251668480" behindDoc="0" locked="0" layoutInCell="1" allowOverlap="1">
                <wp:simplePos x="0" y="0"/>
                <wp:positionH relativeFrom="column">
                  <wp:posOffset>2741295</wp:posOffset>
                </wp:positionH>
                <wp:positionV relativeFrom="paragraph">
                  <wp:posOffset>3361055</wp:posOffset>
                </wp:positionV>
                <wp:extent cx="45720" cy="45720"/>
                <wp:effectExtent l="0" t="0" r="11430" b="11430"/>
                <wp:wrapNone/>
                <wp:docPr id="50523478" name="矩形 50523478"/>
                <wp:cNvGraphicFramePr/>
                <a:graphic xmlns:a="http://schemas.openxmlformats.org/drawingml/2006/main">
                  <a:graphicData uri="http://schemas.microsoft.com/office/word/2010/wordprocessingShape">
                    <wps:wsp>
                      <wps:cNvSpPr/>
                      <wps:spPr>
                        <a:xfrm flipH="1">
                          <a:off x="0" y="0"/>
                          <a:ext cx="45720" cy="45720"/>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15.85pt;margin-top:264.65pt;height:3.6pt;width:3.6pt;z-index:251668480;v-text-anchor:middle;mso-width-relative:page;mso-height-relative:page;" filled="f" stroked="t" coordsize="21600,21600" o:gfxdata="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H3opfcAAAACwEAAA8AAAAAAAAAAQAgAAAAIgAAAGRycy9kb3ducmV2LnhtbFBL&#10;AQIUABQAAAAIAIdO4kDNeO/NZAIAAMgEAAAOAAAAAAAAAAEAIAAAACsBAABkcnMvZTJvRG9jLnht&#10;bFBLBQYAAAAABgAGAFkBAAABBgAAAAA=&#10;">
                <v:fill on="f" focussize="0,0"/>
                <v:stroke weight="0.5pt" color="#FF0000 [3204]" joinstyle="round"/>
                <v:imagedata o:title=""/>
                <o:lock v:ext="edit" aspectratio="f"/>
              </v:rect>
            </w:pict>
          </mc:Fallback>
        </mc:AlternateContent>
      </w:r>
      <w:r>
        <w:rPr>
          <w:rFonts w:ascii="宋体" w:hAnsi="宋体" w:eastAsia="宋体" w:cs="Times New Roman"/>
          <w:color w:val="auto"/>
        </w:rPr>
        <w:drawing>
          <wp:inline distT="0" distB="0" distL="0" distR="0">
            <wp:extent cx="5759450" cy="4034790"/>
            <wp:effectExtent l="0" t="0" r="12700" b="3810"/>
            <wp:docPr id="50523505" name="图片 5052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05" name="图片 50523505"/>
                    <pic:cNvPicPr>
                      <a:picLocks noChangeAspect="1"/>
                    </pic:cNvPicPr>
                  </pic:nvPicPr>
                  <pic:blipFill>
                    <a:blip r:embed="rId19"/>
                    <a:stretch>
                      <a:fillRect/>
                    </a:stretch>
                  </pic:blipFill>
                  <pic:spPr>
                    <a:xfrm>
                      <a:off x="0" y="0"/>
                      <a:ext cx="5759450" cy="4034790"/>
                    </a:xfrm>
                    <a:prstGeom prst="rect">
                      <a:avLst/>
                    </a:prstGeom>
                  </pic:spPr>
                </pic:pic>
              </a:graphicData>
            </a:graphic>
          </wp:inline>
        </w:drawing>
      </w:r>
    </w:p>
    <w:p w14:paraId="6427D3C5">
      <w:pPr>
        <w:pStyle w:val="22"/>
        <w:spacing w:before="156"/>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2</w:t>
      </w:r>
      <w:r>
        <w:rPr>
          <w:color w:val="auto"/>
        </w:rPr>
        <w:fldChar w:fldCharType="end"/>
      </w:r>
      <w:r>
        <w:rPr>
          <w:color w:val="auto"/>
        </w:rPr>
        <w:t>本项目与《黑龙江省生态功能区划》位置关系图</w:t>
      </w:r>
    </w:p>
    <w:p w14:paraId="66F40BA6">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城镇规划符合性分析</w:t>
      </w:r>
    </w:p>
    <w:p w14:paraId="3B6FCC67">
      <w:pPr>
        <w:pStyle w:val="276"/>
        <w:spacing w:line="440" w:lineRule="exact"/>
        <w:ind w:firstLine="480"/>
        <w:jc w:val="both"/>
        <w:rPr>
          <w:color w:val="auto"/>
        </w:rPr>
      </w:pPr>
      <w:r>
        <w:rPr>
          <w:color w:val="auto"/>
        </w:rPr>
        <w:t>（1）与《大庆市国土空间总体规划（2021-2035年）》符合性分析</w:t>
      </w:r>
    </w:p>
    <w:p w14:paraId="4B0150E0">
      <w:pPr>
        <w:pStyle w:val="276"/>
        <w:widowControl w:val="0"/>
        <w:ind w:firstLine="480"/>
        <w:jc w:val="both"/>
        <w:rPr>
          <w:color w:val="auto"/>
        </w:rPr>
      </w:pPr>
      <w:r>
        <w:rPr>
          <w:color w:val="auto"/>
        </w:rPr>
        <w:t>根据《大庆市国土空间总体规划（2021-2035年）》，本项目位于农业空间的南部粮食主产区，不在生态保护红线、城镇开发边界内，根据规划要求</w:t>
      </w:r>
      <w:r>
        <w:rPr>
          <w:rFonts w:hint="eastAsia"/>
          <w:color w:val="auto"/>
        </w:rPr>
        <w:t>“</w:t>
      </w:r>
      <w:r>
        <w:rPr>
          <w:color w:val="auto"/>
        </w:rPr>
        <w:t>北部、南部粮食主产区，保障耕地规模，提高耕地质量，种植玉米大豆为主的农产品</w:t>
      </w:r>
      <w:r>
        <w:rPr>
          <w:rFonts w:hint="eastAsia"/>
          <w:color w:val="auto"/>
        </w:rPr>
        <w:t>”“</w:t>
      </w:r>
      <w:r>
        <w:rPr>
          <w:color w:val="auto"/>
        </w:rPr>
        <w:t>，</w:t>
      </w:r>
      <w:r>
        <w:rPr>
          <w:color w:val="auto"/>
          <w:sz w:val="21"/>
          <w:szCs w:val="21"/>
        </w:rPr>
        <w:t xml:space="preserve"> </w:t>
      </w:r>
      <w:r>
        <w:rPr>
          <w:color w:val="auto"/>
        </w:rPr>
        <w:t>本项目为陆地石油开采项目，建设永久占用耕地（</w:t>
      </w:r>
      <w:r>
        <w:rPr>
          <w:rFonts w:hint="eastAsia"/>
          <w:color w:val="auto"/>
        </w:rPr>
        <w:t>永久</w:t>
      </w:r>
      <w:r>
        <w:rPr>
          <w:color w:val="auto"/>
        </w:rPr>
        <w:t>基本农田）面积4.163hm</w:t>
      </w:r>
      <w:r>
        <w:rPr>
          <w:color w:val="auto"/>
          <w:vertAlign w:val="superscript"/>
        </w:rPr>
        <w:t>2</w:t>
      </w:r>
      <w:r>
        <w:rPr>
          <w:color w:val="auto"/>
        </w:rPr>
        <w:t>，</w:t>
      </w:r>
      <w:r>
        <w:rPr>
          <w:iCs/>
          <w:color w:val="auto"/>
        </w:rPr>
        <w:t>针对永久占地按“占一补一”原则及相关规定缴纳土地补偿费，专款用于占地补偿，按规定补划永久基本农田。针对临时占地在将剥离的表土在施工结束后分层回填，确保恢复等质等量面积的耕地。在采取以上措施的前提下，本项目满足《大庆市国土空间总体规划（2021-2035年）》中的要求。</w:t>
      </w:r>
    </w:p>
    <w:p w14:paraId="0C8889D4">
      <w:pPr>
        <w:pStyle w:val="276"/>
        <w:widowControl w:val="0"/>
        <w:ind w:firstLine="480"/>
        <w:jc w:val="both"/>
        <w:rPr>
          <w:color w:val="auto"/>
        </w:rPr>
      </w:pPr>
      <w:r>
        <w:rPr>
          <w:color w:val="auto"/>
        </w:rPr>
        <w:t xml:space="preserve"> （2）与《肇源县国土空间总体规划(2021-</w:t>
      </w:r>
      <w:r>
        <w:rPr>
          <w:snapToGrid w:val="0"/>
          <w:color w:val="auto"/>
        </w:rPr>
        <w:t>2035</w:t>
      </w:r>
      <w:r>
        <w:rPr>
          <w:color w:val="auto"/>
        </w:rPr>
        <w:t>年)》符合性分析</w:t>
      </w:r>
    </w:p>
    <w:p w14:paraId="6D1C456E">
      <w:pPr>
        <w:pStyle w:val="276"/>
        <w:widowControl w:val="0"/>
        <w:ind w:firstLine="480"/>
        <w:jc w:val="both"/>
        <w:rPr>
          <w:color w:val="auto"/>
        </w:rPr>
      </w:pPr>
      <w:r>
        <w:rPr>
          <w:color w:val="auto"/>
        </w:rPr>
        <w:t>根据《黑龙江省人民政府关于林甸县等6个县（区）国土空间总体规划（2021-2035年）的批复》</w:t>
      </w:r>
      <w:r>
        <w:rPr>
          <w:rFonts w:hint="eastAsia"/>
          <w:color w:val="auto"/>
        </w:rPr>
        <w:t>“</w:t>
      </w:r>
      <w:r>
        <w:rPr>
          <w:color w:val="auto"/>
        </w:rPr>
        <w:t>筑牢安全发展的空间基础。到2035年，肇源县耕地保有量不低于312.64万亩，永久基本农田保护面积不低于250.55万亩，生态保护红线面积不低于423.83平方千米，城镇开发边界扩展倍数控制在基于2020年城镇建设用地规模的13倍以内。优化国土空间开发保护格局。构建等级合理、协调有序的城镇体系，合理控制国土开发强度，加大存量用地挖潜力度，优化镇村布局，促进城乡融合发展。优化农业空间结构，构建现代化农业体系，实施黑上耕地“三位一体”保护，保障粮食安全。构建网络化生态安全格局,加强生态空间保护和管控，统筹开展生态修复，筑牢祖国北方生态屏障。</w:t>
      </w:r>
      <w:r>
        <w:rPr>
          <w:rFonts w:hint="eastAsia"/>
          <w:color w:val="auto"/>
        </w:rPr>
        <w:t xml:space="preserve">” </w:t>
      </w:r>
      <w:r>
        <w:rPr>
          <w:color w:val="auto"/>
        </w:rPr>
        <w:t>，本项目与肇源县国土空间规划符合性如下：</w:t>
      </w:r>
    </w:p>
    <w:p w14:paraId="70A08EBC">
      <w:pPr>
        <w:pStyle w:val="276"/>
        <w:widowControl w:val="0"/>
        <w:ind w:firstLine="480"/>
        <w:jc w:val="both"/>
        <w:rPr>
          <w:color w:val="auto"/>
          <w:lang w:bidi="zh-CN"/>
        </w:rPr>
      </w:pPr>
      <w:r>
        <w:rPr>
          <w:color w:val="auto"/>
        </w:rPr>
        <w:t>本项目为陆地石油开采项目，建设占用永久基本农田，按要求履行征地手续，</w:t>
      </w:r>
      <w:r>
        <w:rPr>
          <w:iCs/>
          <w:color w:val="auto"/>
        </w:rPr>
        <w:t>针对永久占地按“占一补一”原则及相关规定缴纳土地</w:t>
      </w:r>
      <w:r>
        <w:rPr>
          <w:snapToGrid w:val="0"/>
          <w:color w:val="auto"/>
        </w:rPr>
        <w:t>补偿费</w:t>
      </w:r>
      <w:r>
        <w:rPr>
          <w:iCs/>
          <w:color w:val="auto"/>
        </w:rPr>
        <w:t>，专款用于占地补偿，按规定补划永久基本农田。针对临时占地在将剥离的表土在施工结束后分层回填，确保恢复等质等量面积的耕地。在采取以上措施的前提下，本项目满足《肇州县国土空间总体规划（2021-2035年）》中的要求。</w:t>
      </w:r>
    </w:p>
    <w:p w14:paraId="5A90B336">
      <w:pPr>
        <w:pStyle w:val="276"/>
        <w:widowControl w:val="0"/>
        <w:ind w:firstLine="480"/>
        <w:jc w:val="both"/>
        <w:rPr>
          <w:color w:val="auto"/>
          <w:lang w:bidi="zh-CN"/>
        </w:rPr>
      </w:pPr>
      <w:r>
        <w:rPr>
          <w:color w:val="auto"/>
          <w:lang w:bidi="zh-CN"/>
        </w:rPr>
        <w:t>（3）与《大庆油田油振兴发展纲要》符合性分析</w:t>
      </w:r>
    </w:p>
    <w:p w14:paraId="7C3814A0">
      <w:pPr>
        <w:pStyle w:val="276"/>
        <w:widowControl w:val="0"/>
        <w:ind w:firstLine="480"/>
        <w:jc w:val="both"/>
        <w:rPr>
          <w:color w:val="auto"/>
          <w:lang w:bidi="zh-CN"/>
        </w:rPr>
      </w:pPr>
      <w:r>
        <w:rPr>
          <w:color w:val="auto"/>
          <w:lang w:bidi="zh-CN"/>
        </w:rPr>
        <w:t>根据《大庆油田油振兴发展纲要》（2020年6月），力争到2025年，基本探明页岩油储量30亿吨，累计增加石油探明储量8亿吨，天然气</w:t>
      </w:r>
      <w:r>
        <w:rPr>
          <w:snapToGrid w:val="0"/>
          <w:color w:val="auto"/>
        </w:rPr>
        <w:t>探明储量</w:t>
      </w:r>
      <w:r>
        <w:rPr>
          <w:color w:val="auto"/>
          <w:lang w:bidi="zh-CN"/>
        </w:rPr>
        <w:t>3500亿立方米；本土原油产量实现3000万吨规模，天然气产量达到70亿立方米以上。本项目属于</w:t>
      </w:r>
      <w:r>
        <w:rPr>
          <w:color w:val="auto"/>
        </w:rPr>
        <w:t>陆地石油开采</w:t>
      </w:r>
      <w:r>
        <w:rPr>
          <w:color w:val="auto"/>
          <w:lang w:bidi="zh-CN"/>
        </w:rPr>
        <w:t>项目，拟建油井助力大庆油田的增产，其建设符合大庆油田油振兴发展纲要。</w:t>
      </w:r>
    </w:p>
    <w:p w14:paraId="0E7C418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国民经济和社会发展规划符合性分析</w:t>
      </w:r>
    </w:p>
    <w:p w14:paraId="4FEB88C7">
      <w:pPr>
        <w:pStyle w:val="276"/>
        <w:widowControl w:val="0"/>
        <w:ind w:firstLine="480"/>
        <w:jc w:val="both"/>
        <w:rPr>
          <w:color w:val="auto"/>
          <w:lang w:bidi="zh-CN"/>
        </w:rPr>
      </w:pPr>
      <w:r>
        <w:rPr>
          <w:color w:val="auto"/>
          <w:lang w:bidi="zh-CN"/>
        </w:rPr>
        <w:t>《黑龙江省国民经济和社会发展第十四个五年规划和二〇三五年远景目标纲要》中提出：保障国家能源安全。当好标杆旗帜，建设百年油田，推进大庆油田常规油气资源稳油增气，建立地企共建共享机制，加快大庆页岩油气开发产业化商业化步伐，到2025年油气产量当量达到4500万吨以上，巩固石油大省地位。</w:t>
      </w:r>
    </w:p>
    <w:p w14:paraId="19EB09DF">
      <w:pPr>
        <w:pStyle w:val="276"/>
        <w:widowControl w:val="0"/>
        <w:ind w:firstLine="480"/>
        <w:jc w:val="both"/>
        <w:rPr>
          <w:color w:val="auto"/>
          <w:lang w:bidi="zh-CN"/>
        </w:rPr>
      </w:pPr>
      <w:r>
        <w:rPr>
          <w:color w:val="auto"/>
          <w:lang w:bidi="zh-CN"/>
        </w:rPr>
        <w:t>《大庆市国民经济和社会发展第十四个五年规划和二O三五年远景目标纲要》第三章中提出加快体制机制创新，全力推动百年油田建设。力争到</w:t>
      </w:r>
      <w:r>
        <w:rPr>
          <w:snapToGrid w:val="0"/>
          <w:color w:val="auto"/>
        </w:rPr>
        <w:t>2025</w:t>
      </w:r>
      <w:r>
        <w:rPr>
          <w:color w:val="auto"/>
          <w:lang w:bidi="zh-CN"/>
        </w:rPr>
        <w:t xml:space="preserve"> 年，大庆油田国内外油气产量当量达到4500万吨以上，天然气产量70亿立方米，有效保障国家油气安全稳定供应，肩负起“当好标杆旗帜、建设百年油田”的政治责任。支持油田打好提质增效攻坚战，服务保障油田产能建设，加强油田产能规划与大庆城市总体规划、国土空间规划等统筹衔接，支持拓宽油田勘探开发空间，保障生产建设用地。为油田开辟政务服务“绿色通道”，优化简化油田产能项目在环保、安全等方面审批流程，压缩审批时限。全力服务保障油田，重点围绕长垣、长垣外围地区，做好加强勘探增资源、提高长垣采收率、有效动用难采储量、加快发展天然气产业四篇文章，实现油田可持续发展。</w:t>
      </w:r>
    </w:p>
    <w:p w14:paraId="68E65FBD">
      <w:pPr>
        <w:pStyle w:val="276"/>
        <w:widowControl w:val="0"/>
        <w:ind w:firstLine="480"/>
        <w:jc w:val="both"/>
        <w:rPr>
          <w:color w:val="auto"/>
          <w:lang w:bidi="zh-CN"/>
        </w:rPr>
      </w:pPr>
      <w:r>
        <w:rPr>
          <w:color w:val="auto"/>
          <w:lang w:bidi="zh-CN"/>
        </w:rPr>
        <w:t>本项目为</w:t>
      </w:r>
      <w:r>
        <w:rPr>
          <w:color w:val="auto"/>
        </w:rPr>
        <w:t>陆地石油开采项目</w:t>
      </w:r>
      <w:r>
        <w:rPr>
          <w:color w:val="auto"/>
          <w:lang w:bidi="zh-CN"/>
        </w:rPr>
        <w:t>，符合</w:t>
      </w:r>
      <w:r>
        <w:rPr>
          <w:snapToGrid w:val="0"/>
          <w:color w:val="auto"/>
        </w:rPr>
        <w:t>《黑龙江省国民经济和社会发展第十四个五年规划和二〇三五年远景目标纲要》</w:t>
      </w:r>
      <w:r>
        <w:rPr>
          <w:color w:val="auto"/>
          <w:lang w:bidi="zh-CN"/>
        </w:rPr>
        <w:t>及《大庆市国民经济和社会发展第十四个五年规划和二O三五年远景目标纲要》中要求。</w:t>
      </w:r>
    </w:p>
    <w:p w14:paraId="68F3CA8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与《黑龙江省“十四五”生态环境保护规划》</w:t>
      </w:r>
      <w:r>
        <w:rPr>
          <w:rFonts w:hint="eastAsia" w:ascii="宋体" w:hAnsi="宋体" w:eastAsia="宋体" w:cs="Times New Roman"/>
          <w:b/>
          <w:bCs/>
          <w:color w:val="auto"/>
          <w:szCs w:val="28"/>
        </w:rPr>
        <w:t>（黑政规〔2021〕18号）</w:t>
      </w:r>
      <w:r>
        <w:rPr>
          <w:rFonts w:ascii="宋体" w:hAnsi="宋体" w:eastAsia="宋体" w:cs="Times New Roman"/>
          <w:b/>
          <w:bCs/>
          <w:color w:val="auto"/>
          <w:szCs w:val="28"/>
        </w:rPr>
        <w:t>符合性分析</w:t>
      </w:r>
    </w:p>
    <w:p w14:paraId="6BAE447C">
      <w:pPr>
        <w:pStyle w:val="276"/>
        <w:widowControl w:val="0"/>
        <w:ind w:firstLine="480"/>
        <w:jc w:val="both"/>
        <w:rPr>
          <w:color w:val="auto"/>
        </w:rPr>
      </w:pPr>
      <w:r>
        <w:rPr>
          <w:color w:val="auto"/>
        </w:rPr>
        <w:t>本项目与《黑龙江省“十四五”生态环境保护规划》</w:t>
      </w:r>
      <w:r>
        <w:rPr>
          <w:snapToGrid w:val="0"/>
          <w:color w:val="auto"/>
        </w:rPr>
        <w:t>符合</w:t>
      </w:r>
      <w:r>
        <w:rPr>
          <w:color w:val="auto"/>
        </w:rPr>
        <w:t>性分析见</w:t>
      </w:r>
      <w:r>
        <w:rPr>
          <w:color w:val="auto"/>
        </w:rPr>
        <w:fldChar w:fldCharType="begin"/>
      </w:r>
      <w:r>
        <w:rPr>
          <w:color w:val="auto"/>
        </w:rPr>
        <w:instrText xml:space="preserve"> REF _Ref211957051 \h  \* MERGEFORMAT </w:instrText>
      </w:r>
      <w:r>
        <w:rPr>
          <w:color w:val="auto"/>
        </w:rPr>
        <w:fldChar w:fldCharType="separate"/>
      </w:r>
      <w:r>
        <w:rPr>
          <w:rFonts w:hint="eastAsia"/>
          <w:color w:val="auto"/>
        </w:rPr>
        <w:t xml:space="preserve">表 </w:t>
      </w:r>
      <w:r>
        <w:rPr>
          <w:color w:val="auto"/>
        </w:rPr>
        <w:t>1.4</w:t>
      </w:r>
      <w:r>
        <w:rPr>
          <w:color w:val="auto"/>
        </w:rPr>
        <w:noBreakHyphen/>
      </w:r>
      <w:r>
        <w:rPr>
          <w:color w:val="auto"/>
        </w:rPr>
        <w:t>1</w:t>
      </w:r>
      <w:r>
        <w:rPr>
          <w:color w:val="auto"/>
        </w:rPr>
        <w:fldChar w:fldCharType="end"/>
      </w:r>
      <w:r>
        <w:rPr>
          <w:color w:val="auto"/>
        </w:rPr>
        <w:t>。</w:t>
      </w:r>
    </w:p>
    <w:p w14:paraId="17862AE8">
      <w:pPr>
        <w:pStyle w:val="22"/>
        <w:spacing w:before="156"/>
        <w:rPr>
          <w:color w:val="auto"/>
        </w:rPr>
      </w:pPr>
      <w:bookmarkStart w:id="92" w:name="_Ref211957051"/>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bookmarkEnd w:id="92"/>
      <w:r>
        <w:rPr>
          <w:color w:val="auto"/>
        </w:rPr>
        <w:t>本项目与《黑龙江省“十四五”生态环境保护规划》相关要求符合性</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3843"/>
        <w:gridCol w:w="3919"/>
        <w:gridCol w:w="871"/>
      </w:tblGrid>
      <w:tr w14:paraId="4F72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 w:type="pct"/>
            <w:shd w:val="clear" w:color="auto" w:fill="auto"/>
            <w:vAlign w:val="center"/>
          </w:tcPr>
          <w:p w14:paraId="1128C274">
            <w:pPr>
              <w:jc w:val="center"/>
              <w:rPr>
                <w:rFonts w:ascii="宋体" w:hAnsi="宋体" w:eastAsia="宋体" w:cs="Times New Roman"/>
                <w:color w:val="auto"/>
              </w:rPr>
            </w:pPr>
            <w:r>
              <w:rPr>
                <w:rFonts w:ascii="宋体" w:hAnsi="宋体" w:eastAsia="宋体" w:cs="Times New Roman"/>
                <w:color w:val="auto"/>
              </w:rPr>
              <w:t>序号</w:t>
            </w:r>
          </w:p>
        </w:tc>
        <w:tc>
          <w:tcPr>
            <w:tcW w:w="2069" w:type="pct"/>
            <w:shd w:val="clear" w:color="auto" w:fill="auto"/>
            <w:vAlign w:val="center"/>
          </w:tcPr>
          <w:p w14:paraId="63B88A25">
            <w:pPr>
              <w:jc w:val="center"/>
              <w:rPr>
                <w:rFonts w:ascii="宋体" w:hAnsi="宋体" w:eastAsia="宋体" w:cs="Times New Roman"/>
                <w:color w:val="auto"/>
              </w:rPr>
            </w:pPr>
            <w:r>
              <w:rPr>
                <w:rFonts w:ascii="宋体" w:hAnsi="宋体" w:eastAsia="宋体" w:cs="Times New Roman"/>
                <w:color w:val="auto"/>
              </w:rPr>
              <w:t>相关要求</w:t>
            </w:r>
          </w:p>
        </w:tc>
        <w:tc>
          <w:tcPr>
            <w:tcW w:w="2110" w:type="pct"/>
            <w:shd w:val="clear" w:color="auto" w:fill="auto"/>
            <w:vAlign w:val="center"/>
          </w:tcPr>
          <w:p w14:paraId="39989B83">
            <w:pPr>
              <w:jc w:val="center"/>
              <w:rPr>
                <w:rFonts w:ascii="宋体" w:hAnsi="宋体" w:eastAsia="宋体" w:cs="Times New Roman"/>
                <w:color w:val="auto"/>
              </w:rPr>
            </w:pPr>
            <w:r>
              <w:rPr>
                <w:rFonts w:ascii="宋体" w:hAnsi="宋体" w:eastAsia="宋体" w:cs="Times New Roman"/>
                <w:color w:val="auto"/>
              </w:rPr>
              <w:t>符合性分析</w:t>
            </w:r>
          </w:p>
        </w:tc>
        <w:tc>
          <w:tcPr>
            <w:tcW w:w="469" w:type="pct"/>
            <w:shd w:val="clear" w:color="auto" w:fill="auto"/>
            <w:vAlign w:val="center"/>
          </w:tcPr>
          <w:p w14:paraId="2E92C3E9">
            <w:pPr>
              <w:jc w:val="center"/>
              <w:rPr>
                <w:rFonts w:ascii="宋体" w:hAnsi="宋体" w:eastAsia="宋体" w:cs="Times New Roman"/>
                <w:color w:val="auto"/>
              </w:rPr>
            </w:pPr>
            <w:r>
              <w:rPr>
                <w:rFonts w:ascii="宋体" w:hAnsi="宋体" w:eastAsia="宋体" w:cs="Times New Roman"/>
                <w:color w:val="auto"/>
              </w:rPr>
              <w:t>符合性</w:t>
            </w:r>
          </w:p>
        </w:tc>
      </w:tr>
      <w:tr w14:paraId="6A01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2" w:type="pct"/>
            <w:shd w:val="clear" w:color="auto" w:fill="auto"/>
            <w:vAlign w:val="center"/>
          </w:tcPr>
          <w:p w14:paraId="7AACB6C0">
            <w:pPr>
              <w:jc w:val="center"/>
              <w:rPr>
                <w:rFonts w:ascii="宋体" w:hAnsi="宋体" w:eastAsia="宋体" w:cs="Times New Roman"/>
                <w:color w:val="auto"/>
              </w:rPr>
            </w:pPr>
            <w:r>
              <w:rPr>
                <w:rFonts w:ascii="宋体" w:hAnsi="宋体" w:eastAsia="宋体" w:cs="Times New Roman"/>
                <w:color w:val="auto"/>
              </w:rPr>
              <w:t>1</w:t>
            </w:r>
          </w:p>
        </w:tc>
        <w:tc>
          <w:tcPr>
            <w:tcW w:w="2069" w:type="pct"/>
            <w:shd w:val="clear" w:color="auto" w:fill="auto"/>
            <w:vAlign w:val="center"/>
          </w:tcPr>
          <w:p w14:paraId="4EEBDE1B">
            <w:pPr>
              <w:jc w:val="center"/>
              <w:rPr>
                <w:rFonts w:ascii="宋体" w:hAnsi="宋体" w:eastAsia="宋体" w:cs="Times New Roman"/>
                <w:color w:val="auto"/>
              </w:rPr>
            </w:pPr>
            <w:r>
              <w:rPr>
                <w:rFonts w:ascii="宋体" w:hAnsi="宋体" w:eastAsia="宋体" w:cs="Times New Roman"/>
                <w:color w:val="auto"/>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w:t>
            </w:r>
          </w:p>
        </w:tc>
        <w:tc>
          <w:tcPr>
            <w:tcW w:w="2110" w:type="pct"/>
            <w:shd w:val="clear" w:color="auto" w:fill="auto"/>
            <w:vAlign w:val="center"/>
          </w:tcPr>
          <w:p w14:paraId="49B4A379">
            <w:pPr>
              <w:jc w:val="center"/>
              <w:rPr>
                <w:rFonts w:ascii="宋体" w:hAnsi="宋体" w:eastAsia="宋体" w:cs="Times New Roman"/>
                <w:color w:val="auto"/>
              </w:rPr>
            </w:pPr>
            <w:r>
              <w:rPr>
                <w:rFonts w:ascii="宋体" w:hAnsi="宋体" w:eastAsia="宋体" w:cs="Times New Roman"/>
                <w:color w:val="auto"/>
              </w:rPr>
              <w:t>运输道路、施工场地干燥时洒水抑尘</w:t>
            </w:r>
            <w:r>
              <w:rPr>
                <w:rFonts w:hint="eastAsia" w:ascii="宋体" w:hAnsi="宋体" w:eastAsia="宋体" w:cs="Times New Roman"/>
                <w:color w:val="auto"/>
              </w:rPr>
              <w:t>；</w:t>
            </w:r>
            <w:r>
              <w:rPr>
                <w:rFonts w:ascii="宋体" w:hAnsi="宋体" w:eastAsia="宋体" w:cs="Times New Roman"/>
                <w:color w:val="auto"/>
              </w:rPr>
              <w:t>运料车辆在运输时，车辆应当采取苫布遮盖措施</w:t>
            </w:r>
            <w:r>
              <w:rPr>
                <w:rFonts w:hint="eastAsia" w:ascii="宋体" w:hAnsi="宋体" w:eastAsia="宋体" w:cs="Times New Roman"/>
                <w:color w:val="auto"/>
              </w:rPr>
              <w:t>；</w:t>
            </w:r>
            <w:r>
              <w:rPr>
                <w:rFonts w:ascii="宋体" w:hAnsi="宋体" w:eastAsia="宋体" w:cs="Times New Roman"/>
                <w:color w:val="auto"/>
              </w:rPr>
              <w:t>土方开挖应采取遮盖、围挡、洒水等防尘措施</w:t>
            </w:r>
            <w:r>
              <w:rPr>
                <w:rFonts w:hint="eastAsia" w:ascii="宋体" w:hAnsi="宋体" w:eastAsia="宋体" w:cs="Times New Roman"/>
                <w:color w:val="auto"/>
              </w:rPr>
              <w:t>；</w:t>
            </w:r>
            <w:r>
              <w:rPr>
                <w:rFonts w:ascii="宋体" w:hAnsi="宋体" w:eastAsia="宋体" w:cs="Times New Roman"/>
                <w:color w:val="auto"/>
              </w:rPr>
              <w:t>控制施工作业带宽度，避免因施工开挖加剧土地沙漠化和水土流失</w:t>
            </w:r>
            <w:r>
              <w:rPr>
                <w:rFonts w:hint="eastAsia" w:ascii="宋体" w:hAnsi="宋体" w:eastAsia="宋体" w:cs="Times New Roman"/>
                <w:color w:val="auto"/>
              </w:rPr>
              <w:t>；</w:t>
            </w:r>
            <w:r>
              <w:rPr>
                <w:rFonts w:ascii="宋体" w:hAnsi="宋体" w:eastAsia="宋体" w:cs="Times New Roman"/>
                <w:color w:val="auto"/>
              </w:rPr>
              <w:t>施工结束后，应及时进行施工场地的清理，清除积土、堆物。</w:t>
            </w:r>
          </w:p>
        </w:tc>
        <w:tc>
          <w:tcPr>
            <w:tcW w:w="469" w:type="pct"/>
            <w:shd w:val="clear" w:color="auto" w:fill="auto"/>
            <w:vAlign w:val="center"/>
          </w:tcPr>
          <w:p w14:paraId="31F047DA">
            <w:pPr>
              <w:jc w:val="center"/>
              <w:rPr>
                <w:rFonts w:ascii="宋体" w:hAnsi="宋体" w:eastAsia="宋体" w:cs="Times New Roman"/>
                <w:color w:val="auto"/>
              </w:rPr>
            </w:pPr>
            <w:r>
              <w:rPr>
                <w:rFonts w:ascii="宋体" w:hAnsi="宋体" w:eastAsia="宋体" w:cs="Times New Roman"/>
                <w:color w:val="auto"/>
              </w:rPr>
              <w:t>符合</w:t>
            </w:r>
          </w:p>
        </w:tc>
      </w:tr>
      <w:tr w14:paraId="4350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 w:type="pct"/>
            <w:shd w:val="clear" w:color="auto" w:fill="auto"/>
            <w:vAlign w:val="center"/>
          </w:tcPr>
          <w:p w14:paraId="4E6B4652">
            <w:pPr>
              <w:jc w:val="center"/>
              <w:rPr>
                <w:rFonts w:ascii="宋体" w:hAnsi="宋体" w:eastAsia="宋体" w:cs="Times New Roman"/>
                <w:color w:val="auto"/>
              </w:rPr>
            </w:pPr>
            <w:r>
              <w:rPr>
                <w:rFonts w:ascii="宋体" w:hAnsi="宋体" w:eastAsia="宋体" w:cs="Times New Roman"/>
                <w:color w:val="auto"/>
              </w:rPr>
              <w:t>2</w:t>
            </w:r>
          </w:p>
        </w:tc>
        <w:tc>
          <w:tcPr>
            <w:tcW w:w="2069" w:type="pct"/>
            <w:shd w:val="clear" w:color="auto" w:fill="auto"/>
            <w:vAlign w:val="center"/>
          </w:tcPr>
          <w:p w14:paraId="0475A291">
            <w:pPr>
              <w:jc w:val="center"/>
              <w:rPr>
                <w:rFonts w:ascii="宋体" w:hAnsi="宋体" w:eastAsia="宋体" w:cs="Times New Roman"/>
                <w:color w:val="auto"/>
              </w:rPr>
            </w:pPr>
            <w:r>
              <w:rPr>
                <w:rFonts w:ascii="宋体" w:hAnsi="宋体" w:eastAsia="宋体" w:cs="Times New Roman"/>
                <w:color w:val="auto"/>
              </w:rPr>
              <w:t>开展VOCs（挥发性有机物）全过程综合整治。持续开展石化、化工、包装印刷、工业涂装等重点行业VOCs全过程综合整治。提高VOCs含量低（无）的绿色原辅材料替代比例，开展原油、成品油、有机化学品等涉VOCs物质储罐排查，按规定逐步取消炼油、石化、煤化工、制药、农药、化工、工业涂装、包装印刷等企业非必要VOCs废气排放系统旁路。</w:t>
            </w:r>
          </w:p>
        </w:tc>
        <w:tc>
          <w:tcPr>
            <w:tcW w:w="2110" w:type="pct"/>
            <w:shd w:val="clear" w:color="auto" w:fill="auto"/>
            <w:vAlign w:val="center"/>
          </w:tcPr>
          <w:p w14:paraId="2FEA41EF">
            <w:pPr>
              <w:jc w:val="center"/>
              <w:rPr>
                <w:rFonts w:ascii="宋体" w:hAnsi="宋体" w:eastAsia="宋体" w:cs="Times New Roman"/>
                <w:color w:val="auto"/>
              </w:rPr>
            </w:pPr>
            <w:r>
              <w:rPr>
                <w:rFonts w:ascii="宋体" w:hAnsi="宋体" w:eastAsia="宋体" w:cs="Times New Roman"/>
                <w:color w:val="auto"/>
              </w:rPr>
              <w:t>本项目在采油井口安装了密封垫，拉油点储罐阀门、法兰等安装密封垫片，油井产液采用管线密闭集输进入拉油点储罐，拉油点储罐密闭收集储存产液，伴生气用于拉油点多功能储罐加热炉自耗，不外排，最大程度减少了VOCs的无组织排放。</w:t>
            </w:r>
          </w:p>
        </w:tc>
        <w:tc>
          <w:tcPr>
            <w:tcW w:w="469" w:type="pct"/>
            <w:shd w:val="clear" w:color="auto" w:fill="auto"/>
            <w:vAlign w:val="center"/>
          </w:tcPr>
          <w:p w14:paraId="48F03C93">
            <w:pPr>
              <w:jc w:val="center"/>
              <w:rPr>
                <w:rFonts w:ascii="宋体" w:hAnsi="宋体" w:eastAsia="宋体" w:cs="Times New Roman"/>
                <w:color w:val="auto"/>
              </w:rPr>
            </w:pPr>
            <w:r>
              <w:rPr>
                <w:rFonts w:ascii="宋体" w:hAnsi="宋体" w:eastAsia="宋体" w:cs="Times New Roman"/>
                <w:color w:val="auto"/>
              </w:rPr>
              <w:t>符合</w:t>
            </w:r>
          </w:p>
        </w:tc>
      </w:tr>
      <w:tr w14:paraId="10D7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 w:type="pct"/>
            <w:shd w:val="clear" w:color="auto" w:fill="auto"/>
            <w:vAlign w:val="center"/>
          </w:tcPr>
          <w:p w14:paraId="08861B89">
            <w:pPr>
              <w:jc w:val="center"/>
              <w:rPr>
                <w:rFonts w:ascii="宋体" w:hAnsi="宋体" w:eastAsia="宋体" w:cs="Times New Roman"/>
                <w:color w:val="auto"/>
              </w:rPr>
            </w:pPr>
            <w:r>
              <w:rPr>
                <w:rFonts w:ascii="宋体" w:hAnsi="宋体" w:eastAsia="宋体" w:cs="Times New Roman"/>
                <w:color w:val="auto"/>
              </w:rPr>
              <w:t>3</w:t>
            </w:r>
          </w:p>
        </w:tc>
        <w:tc>
          <w:tcPr>
            <w:tcW w:w="2069" w:type="pct"/>
            <w:shd w:val="clear" w:color="auto" w:fill="auto"/>
            <w:vAlign w:val="center"/>
          </w:tcPr>
          <w:p w14:paraId="1BDB13EA">
            <w:pPr>
              <w:jc w:val="center"/>
              <w:rPr>
                <w:rFonts w:ascii="宋体" w:hAnsi="宋体" w:eastAsia="宋体" w:cs="Times New Roman"/>
                <w:color w:val="auto"/>
              </w:rPr>
            </w:pPr>
            <w:r>
              <w:rPr>
                <w:rFonts w:ascii="宋体" w:hAnsi="宋体" w:eastAsia="宋体" w:cs="Times New Roman"/>
                <w:color w:val="auto"/>
              </w:rPr>
              <w:t>鼓励采用低噪声施工设备和工艺。依法将工业企业噪声纳入排污许可管理，严厉查处工业企业噪声排放超标扰民行为。</w:t>
            </w:r>
          </w:p>
        </w:tc>
        <w:tc>
          <w:tcPr>
            <w:tcW w:w="2110" w:type="pct"/>
            <w:shd w:val="clear" w:color="auto" w:fill="auto"/>
            <w:vAlign w:val="center"/>
          </w:tcPr>
          <w:p w14:paraId="3E97B3E0">
            <w:pPr>
              <w:jc w:val="center"/>
              <w:rPr>
                <w:rFonts w:ascii="宋体" w:hAnsi="宋体" w:eastAsia="宋体" w:cs="Times New Roman"/>
                <w:color w:val="auto"/>
              </w:rPr>
            </w:pPr>
            <w:r>
              <w:rPr>
                <w:rFonts w:ascii="宋体" w:hAnsi="宋体" w:eastAsia="宋体" w:cs="Times New Roman"/>
                <w:color w:val="auto"/>
              </w:rPr>
              <w:t>施工期选用低噪声设备，平时注意设备维护和保养，避免设备不正常运行产生的高噪声。施工场界能够满足《建筑施工场界环境噪声排放标准》（GB12523-2011）中要求（昼间70d（A）、夜间55dB（A））。运营期抽油机电机、储罐燃烧器等发声设备尽可能选用低噪声设备，注意对设备的维护保养，保证设备保持在最佳运行状态，降低噪声源强度，能够确保井场和拉油点厂界噪声满足《工业企业厂界环境噪声排放标准》（GB 12348-2008）2类标准要求。</w:t>
            </w:r>
          </w:p>
        </w:tc>
        <w:tc>
          <w:tcPr>
            <w:tcW w:w="469" w:type="pct"/>
            <w:shd w:val="clear" w:color="auto" w:fill="auto"/>
            <w:vAlign w:val="center"/>
          </w:tcPr>
          <w:p w14:paraId="5CDC773C">
            <w:pPr>
              <w:jc w:val="center"/>
              <w:rPr>
                <w:rFonts w:ascii="宋体" w:hAnsi="宋体" w:eastAsia="宋体" w:cs="Times New Roman"/>
                <w:color w:val="auto"/>
              </w:rPr>
            </w:pPr>
            <w:r>
              <w:rPr>
                <w:rFonts w:ascii="宋体" w:hAnsi="宋体" w:eastAsia="宋体" w:cs="Times New Roman"/>
                <w:color w:val="auto"/>
              </w:rPr>
              <w:t>符合</w:t>
            </w:r>
          </w:p>
        </w:tc>
      </w:tr>
      <w:tr w14:paraId="3B2D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 w:type="pct"/>
            <w:shd w:val="clear" w:color="auto" w:fill="auto"/>
            <w:vAlign w:val="center"/>
          </w:tcPr>
          <w:p w14:paraId="25B38BBC">
            <w:pPr>
              <w:jc w:val="center"/>
              <w:rPr>
                <w:rFonts w:ascii="宋体" w:hAnsi="宋体" w:eastAsia="宋体" w:cs="Times New Roman"/>
                <w:color w:val="auto"/>
              </w:rPr>
            </w:pPr>
            <w:r>
              <w:rPr>
                <w:rFonts w:ascii="宋体" w:hAnsi="宋体" w:eastAsia="宋体" w:cs="Times New Roman"/>
                <w:color w:val="auto"/>
              </w:rPr>
              <w:t>4</w:t>
            </w:r>
          </w:p>
        </w:tc>
        <w:tc>
          <w:tcPr>
            <w:tcW w:w="2069" w:type="pct"/>
            <w:shd w:val="clear" w:color="auto" w:fill="auto"/>
            <w:vAlign w:val="center"/>
          </w:tcPr>
          <w:p w14:paraId="74046C42">
            <w:pPr>
              <w:jc w:val="center"/>
              <w:rPr>
                <w:rFonts w:ascii="宋体" w:hAnsi="宋体" w:eastAsia="宋体" w:cs="Times New Roman"/>
                <w:color w:val="auto"/>
              </w:rPr>
            </w:pPr>
            <w:r>
              <w:rPr>
                <w:rFonts w:ascii="宋体" w:hAnsi="宋体" w:eastAsia="宋体" w:cs="Times New Roman"/>
                <w:color w:val="auto"/>
              </w:rPr>
              <w:t>对涉及有毒有害物质可能造成土壤污染的建设项目，依法进行环境影响评价，按规划定提出并落实防腐蚀、防渗漏、防遗撒等土壤污染防治具体措施。</w:t>
            </w:r>
          </w:p>
        </w:tc>
        <w:tc>
          <w:tcPr>
            <w:tcW w:w="2110" w:type="pct"/>
            <w:shd w:val="clear" w:color="auto" w:fill="auto"/>
            <w:vAlign w:val="center"/>
          </w:tcPr>
          <w:p w14:paraId="68BA0C52">
            <w:pPr>
              <w:jc w:val="center"/>
              <w:rPr>
                <w:rFonts w:ascii="宋体" w:hAnsi="宋体" w:eastAsia="宋体" w:cs="Times New Roman"/>
                <w:color w:val="auto"/>
              </w:rPr>
            </w:pPr>
            <w:r>
              <w:rPr>
                <w:rFonts w:ascii="宋体" w:hAnsi="宋体" w:eastAsia="宋体" w:cs="Times New Roman"/>
                <w:color w:val="auto"/>
                <w:lang w:bidi="zh-CN"/>
              </w:rPr>
              <w:t>本项目针对工程可能发生的土壤污染，按照“源头控制、末端防治、污染监控、应急响应”“相结合的原则，从污染物的产生、入渗、扩散、应急响应全阶段进行控制</w:t>
            </w:r>
            <w:r>
              <w:rPr>
                <w:rFonts w:ascii="宋体" w:hAnsi="宋体" w:eastAsia="宋体" w:cs="Times New Roman"/>
                <w:color w:val="auto"/>
              </w:rPr>
              <w:t>。</w:t>
            </w:r>
          </w:p>
        </w:tc>
        <w:tc>
          <w:tcPr>
            <w:tcW w:w="469" w:type="pct"/>
            <w:shd w:val="clear" w:color="auto" w:fill="auto"/>
            <w:vAlign w:val="center"/>
          </w:tcPr>
          <w:p w14:paraId="447798CE">
            <w:pPr>
              <w:jc w:val="center"/>
              <w:rPr>
                <w:rFonts w:ascii="宋体" w:hAnsi="宋体" w:eastAsia="宋体" w:cs="Times New Roman"/>
                <w:color w:val="auto"/>
              </w:rPr>
            </w:pPr>
            <w:r>
              <w:rPr>
                <w:rFonts w:ascii="宋体" w:hAnsi="宋体" w:eastAsia="宋体" w:cs="Times New Roman"/>
                <w:color w:val="auto"/>
              </w:rPr>
              <w:t>符合</w:t>
            </w:r>
          </w:p>
        </w:tc>
      </w:tr>
      <w:tr w14:paraId="28C8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52" w:type="pct"/>
            <w:shd w:val="clear" w:color="auto" w:fill="auto"/>
            <w:vAlign w:val="center"/>
          </w:tcPr>
          <w:p w14:paraId="6B6B9A8B">
            <w:pPr>
              <w:jc w:val="center"/>
              <w:rPr>
                <w:rFonts w:ascii="宋体" w:hAnsi="宋体" w:eastAsia="宋体" w:cs="Times New Roman"/>
                <w:color w:val="auto"/>
              </w:rPr>
            </w:pPr>
            <w:r>
              <w:rPr>
                <w:rFonts w:ascii="宋体" w:hAnsi="宋体" w:eastAsia="宋体" w:cs="Times New Roman"/>
                <w:color w:val="auto"/>
              </w:rPr>
              <w:t>5</w:t>
            </w:r>
          </w:p>
        </w:tc>
        <w:tc>
          <w:tcPr>
            <w:tcW w:w="2069" w:type="pct"/>
            <w:shd w:val="clear" w:color="auto" w:fill="auto"/>
            <w:vAlign w:val="center"/>
          </w:tcPr>
          <w:p w14:paraId="1A14C5E0">
            <w:pPr>
              <w:jc w:val="center"/>
              <w:rPr>
                <w:rFonts w:ascii="宋体" w:hAnsi="宋体" w:eastAsia="宋体" w:cs="Times New Roman"/>
                <w:color w:val="auto"/>
              </w:rPr>
            </w:pPr>
            <w:r>
              <w:rPr>
                <w:rFonts w:ascii="宋体" w:hAnsi="宋体" w:eastAsia="宋体" w:cs="Times New Roman"/>
                <w:color w:val="auto"/>
              </w:rPr>
              <w:t>防范工矿企业新增土壤污染。动态更新土壤污染重点监管单位名录，监督全面落实土壤污染防治义务，依法纳入排污许可管理。鼓励土壤污染重点监管单位实施提标改造。各地定期组织开展土壤污染重点监管单位和地下水重点污染源周边土壤、地下水环境监测，督促企业定期开展土壤和地下水环境自行监测、污染隐患排查治理。防控矿产资源开发污染土壤，加强尾矿库安全管理。</w:t>
            </w:r>
          </w:p>
        </w:tc>
        <w:tc>
          <w:tcPr>
            <w:tcW w:w="2110" w:type="pct"/>
            <w:shd w:val="clear" w:color="auto" w:fill="auto"/>
            <w:vAlign w:val="center"/>
          </w:tcPr>
          <w:p w14:paraId="29F7F420">
            <w:pPr>
              <w:jc w:val="center"/>
              <w:rPr>
                <w:rFonts w:ascii="宋体" w:hAnsi="宋体" w:eastAsia="宋体" w:cs="Times New Roman"/>
                <w:color w:val="auto"/>
              </w:rPr>
            </w:pPr>
            <w:r>
              <w:rPr>
                <w:rFonts w:ascii="宋体" w:hAnsi="宋体" w:eastAsia="宋体" w:cs="Times New Roman"/>
                <w:color w:val="auto"/>
              </w:rPr>
              <w:t>大庆油田有限责任公司第十采油厂作为土壤重点企业每年对区域内土壤进行监测，并在大庆油田信息港进行信息公开。</w:t>
            </w:r>
          </w:p>
          <w:p w14:paraId="285D299F">
            <w:pPr>
              <w:jc w:val="center"/>
              <w:rPr>
                <w:rFonts w:ascii="宋体" w:hAnsi="宋体" w:eastAsia="宋体" w:cs="Times New Roman"/>
                <w:color w:val="auto"/>
              </w:rPr>
            </w:pPr>
            <w:r>
              <w:rPr>
                <w:rFonts w:ascii="宋体" w:hAnsi="宋体" w:eastAsia="宋体" w:cs="Times New Roman"/>
                <w:color w:val="auto"/>
              </w:rPr>
              <w:t>施工期储层改造工程射孔和压裂施工时，井场地面铺垫防渗布，压裂作业区采用地面碾压平整并铺设2mm厚防渗布进行防渗，含油废射孔液和废压裂液由罐车拉运处理，避免对周边土壤产生影响。射孔和压裂作业层位属于油层，固井采用一次上返、全井段封固工艺，不会对潜水和承压含水层产生影响。</w:t>
            </w:r>
          </w:p>
          <w:p w14:paraId="191282DE">
            <w:pPr>
              <w:jc w:val="center"/>
              <w:rPr>
                <w:rFonts w:ascii="宋体" w:hAnsi="宋体" w:eastAsia="宋体" w:cs="Times New Roman"/>
                <w:color w:val="auto"/>
              </w:rPr>
            </w:pPr>
            <w:r>
              <w:rPr>
                <w:rFonts w:ascii="宋体" w:hAnsi="宋体" w:eastAsia="宋体" w:cs="Times New Roman"/>
                <w:color w:val="auto"/>
              </w:rPr>
              <w:t>根据监测结果，各监测点位污染物浓度均满足《土壤环境质量 建设用地土壤污染风险管控标准（试行）》（GB36600-2018）中风险筛选值。</w:t>
            </w:r>
          </w:p>
        </w:tc>
        <w:tc>
          <w:tcPr>
            <w:tcW w:w="469" w:type="pct"/>
            <w:shd w:val="clear" w:color="auto" w:fill="auto"/>
            <w:vAlign w:val="center"/>
          </w:tcPr>
          <w:p w14:paraId="76334AC6">
            <w:pPr>
              <w:jc w:val="center"/>
              <w:rPr>
                <w:rFonts w:ascii="宋体" w:hAnsi="宋体" w:eastAsia="宋体" w:cs="Times New Roman"/>
                <w:color w:val="auto"/>
              </w:rPr>
            </w:pPr>
            <w:r>
              <w:rPr>
                <w:rFonts w:ascii="宋体" w:hAnsi="宋体" w:eastAsia="宋体" w:cs="Times New Roman"/>
                <w:color w:val="auto"/>
              </w:rPr>
              <w:t>符合</w:t>
            </w:r>
          </w:p>
        </w:tc>
      </w:tr>
    </w:tbl>
    <w:p w14:paraId="2E669E1A">
      <w:pPr>
        <w:spacing w:line="440" w:lineRule="exact"/>
        <w:ind w:firstLine="420" w:firstLineChars="200"/>
        <w:rPr>
          <w:rFonts w:ascii="宋体" w:hAnsi="宋体" w:eastAsia="宋体" w:cs="Times New Roman"/>
          <w:color w:val="auto"/>
          <w:lang w:val="zh-CN" w:bidi="zh-CN"/>
        </w:rPr>
      </w:pPr>
      <w:r>
        <w:rPr>
          <w:rFonts w:ascii="宋体" w:hAnsi="宋体" w:eastAsia="宋体" w:cs="Times New Roman"/>
          <w:color w:val="auto"/>
        </w:rPr>
        <w:t>由上表可知</w:t>
      </w:r>
      <w:r>
        <w:rPr>
          <w:rFonts w:ascii="宋体" w:hAnsi="宋体" w:eastAsia="宋体" w:cs="Times New Roman"/>
          <w:color w:val="auto"/>
          <w:lang w:val="zh-CN" w:bidi="zh-CN"/>
        </w:rPr>
        <w:t>，本项目符合《黑龙江省“十四五”“生态环境保护规划》中相关规定。</w:t>
      </w:r>
    </w:p>
    <w:p w14:paraId="31CC28C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与《黑龙江省“十四五”“黑土地保护规划》符合性分析</w:t>
      </w:r>
    </w:p>
    <w:p w14:paraId="00464D1E">
      <w:pPr>
        <w:pStyle w:val="276"/>
        <w:widowControl w:val="0"/>
        <w:ind w:firstLine="480"/>
        <w:jc w:val="both"/>
        <w:rPr>
          <w:color w:val="auto"/>
        </w:rPr>
      </w:pPr>
      <w:r>
        <w:rPr>
          <w:color w:val="auto"/>
        </w:rPr>
        <w:t>本项目与《黑龙江省“十四五”“黑土地保护规划》符合性分析见</w:t>
      </w:r>
      <w:r>
        <w:rPr>
          <w:color w:val="auto"/>
        </w:rPr>
        <w:fldChar w:fldCharType="begin"/>
      </w:r>
      <w:r>
        <w:rPr>
          <w:color w:val="auto"/>
        </w:rPr>
        <w:instrText xml:space="preserve"> REF _Ref211957059 \h  \* MERGEFORMAT </w:instrText>
      </w:r>
      <w:r>
        <w:rPr>
          <w:color w:val="auto"/>
        </w:rPr>
        <w:fldChar w:fldCharType="separate"/>
      </w:r>
      <w:r>
        <w:rPr>
          <w:rFonts w:hint="eastAsia"/>
          <w:color w:val="auto"/>
        </w:rPr>
        <w:t xml:space="preserve">表 </w:t>
      </w:r>
      <w:r>
        <w:rPr>
          <w:color w:val="auto"/>
        </w:rPr>
        <w:t>1.4</w:t>
      </w:r>
      <w:r>
        <w:rPr>
          <w:color w:val="auto"/>
        </w:rPr>
        <w:noBreakHyphen/>
      </w:r>
      <w:r>
        <w:rPr>
          <w:color w:val="auto"/>
        </w:rPr>
        <w:t>2</w:t>
      </w:r>
      <w:r>
        <w:rPr>
          <w:color w:val="auto"/>
        </w:rPr>
        <w:fldChar w:fldCharType="end"/>
      </w:r>
      <w:r>
        <w:rPr>
          <w:color w:val="auto"/>
        </w:rPr>
        <w:t>。</w:t>
      </w:r>
    </w:p>
    <w:p w14:paraId="2409290E">
      <w:pPr>
        <w:pStyle w:val="22"/>
        <w:spacing w:before="156"/>
        <w:rPr>
          <w:color w:val="auto"/>
        </w:rPr>
      </w:pPr>
      <w:bookmarkStart w:id="93" w:name="_Ref211957059"/>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bookmarkEnd w:id="93"/>
      <w:r>
        <w:rPr>
          <w:color w:val="auto"/>
        </w:rPr>
        <w:t>本项目与《黑龙江省“十四五</w:t>
      </w:r>
      <w:bookmarkStart w:id="94" w:name="OLE_LINK8"/>
      <w:r>
        <w:rPr>
          <w:color w:val="auto"/>
        </w:rPr>
        <w:t>”“黑土地保护</w:t>
      </w:r>
      <w:bookmarkEnd w:id="94"/>
      <w:r>
        <w:rPr>
          <w:color w:val="auto"/>
        </w:rPr>
        <w:t>规划》相关要求符合性</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3551"/>
        <w:gridCol w:w="4181"/>
        <w:gridCol w:w="901"/>
      </w:tblGrid>
      <w:tr w14:paraId="05CD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 w:type="pct"/>
            <w:shd w:val="clear" w:color="auto" w:fill="auto"/>
            <w:vAlign w:val="center"/>
          </w:tcPr>
          <w:p w14:paraId="0E78B790">
            <w:pPr>
              <w:jc w:val="center"/>
              <w:rPr>
                <w:rFonts w:ascii="宋体" w:hAnsi="宋体" w:eastAsia="宋体" w:cs="Times New Roman"/>
                <w:color w:val="auto"/>
              </w:rPr>
            </w:pPr>
            <w:r>
              <w:rPr>
                <w:rFonts w:ascii="宋体" w:hAnsi="宋体" w:eastAsia="宋体" w:cs="Times New Roman"/>
                <w:color w:val="auto"/>
              </w:rPr>
              <w:t>序号</w:t>
            </w:r>
          </w:p>
        </w:tc>
        <w:tc>
          <w:tcPr>
            <w:tcW w:w="1912" w:type="pct"/>
            <w:shd w:val="clear" w:color="auto" w:fill="auto"/>
            <w:vAlign w:val="center"/>
          </w:tcPr>
          <w:p w14:paraId="4826B706">
            <w:pPr>
              <w:jc w:val="center"/>
              <w:rPr>
                <w:rFonts w:ascii="宋体" w:hAnsi="宋体" w:eastAsia="宋体" w:cs="Times New Roman"/>
                <w:color w:val="auto"/>
              </w:rPr>
            </w:pPr>
            <w:r>
              <w:rPr>
                <w:rFonts w:ascii="宋体" w:hAnsi="宋体" w:eastAsia="宋体" w:cs="Times New Roman"/>
                <w:color w:val="auto"/>
              </w:rPr>
              <w:t>相关要求</w:t>
            </w:r>
          </w:p>
        </w:tc>
        <w:tc>
          <w:tcPr>
            <w:tcW w:w="2251" w:type="pct"/>
            <w:shd w:val="clear" w:color="auto" w:fill="auto"/>
            <w:vAlign w:val="center"/>
          </w:tcPr>
          <w:p w14:paraId="1048455D">
            <w:pPr>
              <w:jc w:val="center"/>
              <w:rPr>
                <w:rFonts w:ascii="宋体" w:hAnsi="宋体" w:eastAsia="宋体" w:cs="Times New Roman"/>
                <w:color w:val="auto"/>
              </w:rPr>
            </w:pPr>
            <w:r>
              <w:rPr>
                <w:rFonts w:ascii="宋体" w:hAnsi="宋体" w:eastAsia="宋体" w:cs="Times New Roman"/>
                <w:color w:val="auto"/>
              </w:rPr>
              <w:t>符合性分析</w:t>
            </w:r>
          </w:p>
        </w:tc>
        <w:tc>
          <w:tcPr>
            <w:tcW w:w="485" w:type="pct"/>
            <w:shd w:val="clear" w:color="auto" w:fill="auto"/>
            <w:vAlign w:val="center"/>
          </w:tcPr>
          <w:p w14:paraId="3F99AEA4">
            <w:pPr>
              <w:jc w:val="center"/>
              <w:rPr>
                <w:rFonts w:ascii="宋体" w:hAnsi="宋体" w:eastAsia="宋体" w:cs="Times New Roman"/>
                <w:color w:val="auto"/>
              </w:rPr>
            </w:pPr>
            <w:r>
              <w:rPr>
                <w:rFonts w:ascii="宋体" w:hAnsi="宋体" w:eastAsia="宋体" w:cs="Times New Roman"/>
                <w:color w:val="auto"/>
              </w:rPr>
              <w:t>符合性</w:t>
            </w:r>
          </w:p>
        </w:tc>
      </w:tr>
      <w:tr w14:paraId="4006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 w:type="pct"/>
            <w:shd w:val="clear" w:color="auto" w:fill="auto"/>
            <w:vAlign w:val="center"/>
          </w:tcPr>
          <w:p w14:paraId="3DF486AE">
            <w:pPr>
              <w:jc w:val="center"/>
              <w:rPr>
                <w:rFonts w:ascii="宋体" w:hAnsi="宋体" w:eastAsia="宋体" w:cs="Times New Roman"/>
                <w:color w:val="auto"/>
              </w:rPr>
            </w:pPr>
            <w:r>
              <w:rPr>
                <w:rFonts w:ascii="宋体" w:hAnsi="宋体" w:eastAsia="宋体" w:cs="Times New Roman"/>
                <w:color w:val="auto"/>
              </w:rPr>
              <w:t>1</w:t>
            </w:r>
          </w:p>
        </w:tc>
        <w:tc>
          <w:tcPr>
            <w:tcW w:w="1912" w:type="pct"/>
            <w:shd w:val="clear" w:color="auto" w:fill="auto"/>
            <w:vAlign w:val="center"/>
          </w:tcPr>
          <w:p w14:paraId="68DF99B3">
            <w:pPr>
              <w:jc w:val="center"/>
              <w:rPr>
                <w:rFonts w:ascii="宋体" w:hAnsi="宋体" w:eastAsia="宋体" w:cs="Times New Roman"/>
                <w:color w:val="auto"/>
              </w:rPr>
            </w:pPr>
            <w:r>
              <w:rPr>
                <w:rFonts w:ascii="宋体" w:hAnsi="宋体" w:eastAsia="宋体" w:cs="Times New Roman"/>
                <w:color w:val="auto"/>
              </w:rPr>
              <w:t>严控耕地保护红线。实行最严格的耕地保护制度，划定耕地保护红线和永久基本农田控制线，严格落实耕地占补平衡、易地补充耕地、土地复垦等政策，确保完成规划期内黑土地保有量和永久基本农田保护任务。</w:t>
            </w:r>
          </w:p>
        </w:tc>
        <w:tc>
          <w:tcPr>
            <w:tcW w:w="2251" w:type="pct"/>
            <w:shd w:val="clear" w:color="auto" w:fill="auto"/>
            <w:vAlign w:val="center"/>
          </w:tcPr>
          <w:p w14:paraId="651855B8">
            <w:pPr>
              <w:jc w:val="center"/>
              <w:rPr>
                <w:rFonts w:ascii="宋体" w:hAnsi="宋体" w:eastAsia="宋体" w:cs="Times New Roman"/>
                <w:color w:val="auto"/>
              </w:rPr>
            </w:pPr>
            <w:r>
              <w:rPr>
                <w:rFonts w:ascii="宋体" w:hAnsi="宋体" w:eastAsia="宋体" w:cs="Times New Roman"/>
                <w:color w:val="auto"/>
              </w:rPr>
              <w:t>本项目为油田开发工程，属于国家能源建设项目，项目位于肇源县，项目新增占地类型包括耕地（</w:t>
            </w:r>
            <w:r>
              <w:rPr>
                <w:rFonts w:hint="eastAsia" w:ascii="宋体" w:hAnsi="宋体" w:eastAsia="宋体" w:cs="Times New Roman"/>
                <w:color w:val="auto"/>
              </w:rPr>
              <w:t>永久</w:t>
            </w:r>
            <w:r>
              <w:rPr>
                <w:rFonts w:ascii="宋体" w:hAnsi="宋体" w:eastAsia="宋体" w:cs="Times New Roman"/>
                <w:color w:val="auto"/>
              </w:rPr>
              <w:t>基本农田），项目在施工前要编制土壤剥离利用方案，征收土地应报请相关主管部门同意，取得用地审批，对永久占用的耕地按“占一补一”原则进行占地补偿，充分利用道路路边敷设管线，减少临时占地面积，对临时占用的耕地在施工结束后恢复平整，不会对周边黑土地产生影响。</w:t>
            </w:r>
          </w:p>
        </w:tc>
        <w:tc>
          <w:tcPr>
            <w:tcW w:w="485" w:type="pct"/>
            <w:shd w:val="clear" w:color="auto" w:fill="auto"/>
            <w:vAlign w:val="center"/>
          </w:tcPr>
          <w:p w14:paraId="719D710C">
            <w:pPr>
              <w:jc w:val="center"/>
              <w:rPr>
                <w:rFonts w:ascii="宋体" w:hAnsi="宋体" w:eastAsia="宋体" w:cs="Times New Roman"/>
                <w:color w:val="auto"/>
              </w:rPr>
            </w:pPr>
            <w:r>
              <w:rPr>
                <w:rFonts w:ascii="宋体" w:hAnsi="宋体" w:eastAsia="宋体" w:cs="Times New Roman"/>
                <w:color w:val="auto"/>
              </w:rPr>
              <w:t>符合</w:t>
            </w:r>
          </w:p>
        </w:tc>
      </w:tr>
      <w:tr w14:paraId="5EBC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 w:type="pct"/>
            <w:shd w:val="clear" w:color="auto" w:fill="auto"/>
            <w:vAlign w:val="center"/>
          </w:tcPr>
          <w:p w14:paraId="5F14FAD1">
            <w:pPr>
              <w:jc w:val="center"/>
              <w:rPr>
                <w:rFonts w:ascii="宋体" w:hAnsi="宋体" w:eastAsia="宋体" w:cs="Times New Roman"/>
                <w:color w:val="auto"/>
              </w:rPr>
            </w:pPr>
            <w:r>
              <w:rPr>
                <w:rFonts w:ascii="宋体" w:hAnsi="宋体" w:eastAsia="宋体" w:cs="Times New Roman"/>
                <w:color w:val="auto"/>
              </w:rPr>
              <w:t>2</w:t>
            </w:r>
          </w:p>
        </w:tc>
        <w:tc>
          <w:tcPr>
            <w:tcW w:w="1912" w:type="pct"/>
            <w:shd w:val="clear" w:color="auto" w:fill="auto"/>
            <w:vAlign w:val="center"/>
          </w:tcPr>
          <w:p w14:paraId="42E71777">
            <w:pPr>
              <w:jc w:val="center"/>
              <w:rPr>
                <w:rFonts w:ascii="宋体" w:hAnsi="宋体" w:eastAsia="宋体" w:cs="Times New Roman"/>
                <w:color w:val="auto"/>
              </w:rPr>
            </w:pPr>
            <w:r>
              <w:rPr>
                <w:rFonts w:ascii="宋体" w:hAnsi="宋体" w:eastAsia="宋体" w:cs="Times New Roman"/>
                <w:color w:val="auto"/>
              </w:rPr>
              <w:t>严格国土空间用途管制。划定一般农业区，把优质黑土地优先划入一般农业区。制定用途管制规则，实行严格的用途管制，严控非农建设用地规模，尽量少占优质黑土地。强化对占用黑土地的管控约束，使得城镇发展等非农建设尽量避让优质黑土地。</w:t>
            </w:r>
          </w:p>
        </w:tc>
        <w:tc>
          <w:tcPr>
            <w:tcW w:w="2251" w:type="pct"/>
            <w:shd w:val="clear" w:color="auto" w:fill="auto"/>
            <w:vAlign w:val="center"/>
          </w:tcPr>
          <w:p w14:paraId="367C0D84">
            <w:pPr>
              <w:jc w:val="center"/>
              <w:rPr>
                <w:rFonts w:ascii="宋体" w:hAnsi="宋体" w:eastAsia="宋体" w:cs="Times New Roman"/>
                <w:color w:val="auto"/>
              </w:rPr>
            </w:pPr>
            <w:r>
              <w:rPr>
                <w:rFonts w:ascii="宋体" w:hAnsi="宋体" w:eastAsia="宋体" w:cs="Times New Roman"/>
                <w:color w:val="auto"/>
              </w:rPr>
              <w:t>本项目施工过程中，需遵守《大庆油（气）田建设工程用地规范》规定，严格控制施工作业面积，加强施工管理，尽量减少占地面积，并规范行车路线及施工人员行为，严禁随意践踏、碾压施工区范围外的植被及黑土地，不准乱挖、乱采野生植物，确保不影响周边黑土地。</w:t>
            </w:r>
            <w:r>
              <w:rPr>
                <w:rFonts w:hint="eastAsia" w:ascii="宋体" w:hAnsi="宋体" w:eastAsia="宋体" w:cs="Times New Roman"/>
                <w:color w:val="auto"/>
              </w:rPr>
              <w:t>本项目占地类型为永久基本农田、一般草地，无法避让黑土地，项目采用单井井场及平台井场形式，尽量减少占用，施工结束后临时占地及时恢复，减少对黑土地的影响。</w:t>
            </w:r>
          </w:p>
        </w:tc>
        <w:tc>
          <w:tcPr>
            <w:tcW w:w="485" w:type="pct"/>
            <w:shd w:val="clear" w:color="auto" w:fill="auto"/>
            <w:vAlign w:val="center"/>
          </w:tcPr>
          <w:p w14:paraId="501F6043">
            <w:pPr>
              <w:jc w:val="center"/>
              <w:rPr>
                <w:rFonts w:ascii="宋体" w:hAnsi="宋体" w:eastAsia="宋体" w:cs="Times New Roman"/>
                <w:color w:val="auto"/>
              </w:rPr>
            </w:pPr>
            <w:r>
              <w:rPr>
                <w:rFonts w:ascii="宋体" w:hAnsi="宋体" w:eastAsia="宋体" w:cs="Times New Roman"/>
                <w:color w:val="auto"/>
              </w:rPr>
              <w:t>符合</w:t>
            </w:r>
          </w:p>
        </w:tc>
      </w:tr>
      <w:tr w14:paraId="0109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 w:type="pct"/>
            <w:shd w:val="clear" w:color="auto" w:fill="auto"/>
            <w:vAlign w:val="center"/>
          </w:tcPr>
          <w:p w14:paraId="0B03E748">
            <w:pPr>
              <w:jc w:val="center"/>
              <w:rPr>
                <w:rFonts w:ascii="宋体" w:hAnsi="宋体" w:eastAsia="宋体" w:cs="Times New Roman"/>
                <w:color w:val="auto"/>
              </w:rPr>
            </w:pPr>
            <w:r>
              <w:rPr>
                <w:rFonts w:ascii="宋体" w:hAnsi="宋体" w:eastAsia="宋体" w:cs="Times New Roman"/>
                <w:color w:val="auto"/>
              </w:rPr>
              <w:t>3</w:t>
            </w:r>
          </w:p>
        </w:tc>
        <w:tc>
          <w:tcPr>
            <w:tcW w:w="1912" w:type="pct"/>
            <w:shd w:val="clear" w:color="auto" w:fill="auto"/>
            <w:vAlign w:val="center"/>
          </w:tcPr>
          <w:p w14:paraId="2FCC785E">
            <w:pPr>
              <w:jc w:val="center"/>
              <w:rPr>
                <w:rFonts w:ascii="宋体" w:hAnsi="宋体" w:eastAsia="宋体" w:cs="Times New Roman"/>
                <w:color w:val="auto"/>
              </w:rPr>
            </w:pPr>
            <w:r>
              <w:rPr>
                <w:rFonts w:ascii="宋体" w:hAnsi="宋体" w:eastAsia="宋体" w:cs="Times New Roman"/>
                <w:color w:val="auto"/>
              </w:rPr>
              <w:t>严格土地执法。建设项目占用耕地的，应当按规定进行表土剥离和利用。全面加大黑土地保护违法违规问题执法力度，及时发现、严肃查处土地违法特别是乱占耕地、破坏耕地、盗挖黑土等行为。</w:t>
            </w:r>
          </w:p>
        </w:tc>
        <w:tc>
          <w:tcPr>
            <w:tcW w:w="2251" w:type="pct"/>
            <w:shd w:val="clear" w:color="auto" w:fill="auto"/>
            <w:vAlign w:val="center"/>
          </w:tcPr>
          <w:p w14:paraId="5232855D">
            <w:pPr>
              <w:jc w:val="center"/>
              <w:rPr>
                <w:rFonts w:ascii="宋体" w:hAnsi="宋体" w:eastAsia="宋体" w:cs="Times New Roman"/>
                <w:color w:val="auto"/>
              </w:rPr>
            </w:pPr>
            <w:r>
              <w:rPr>
                <w:rFonts w:ascii="宋体" w:hAnsi="宋体" w:eastAsia="宋体" w:cs="Times New Roman"/>
                <w:color w:val="auto"/>
              </w:rPr>
              <w:t>本项目占用耕地，在施工前要编制土壤剥离利用方案，剥离临时占地内0.3m的表土，剥离的表土暂存于施工井场或管线两侧的表土剥离临时堆放区，并采取苫布遮盖，表土剥离临时堆放区周围设置排水沟等措施防止水土流失，并定期采取洒水抑尘措施，施工结束后，剥离的表土全部回填，平整地表。本项目在施工前需要征收土地，应报请相关主管部门同意，取得用地审批。</w:t>
            </w:r>
          </w:p>
        </w:tc>
        <w:tc>
          <w:tcPr>
            <w:tcW w:w="485" w:type="pct"/>
            <w:shd w:val="clear" w:color="auto" w:fill="auto"/>
            <w:vAlign w:val="center"/>
          </w:tcPr>
          <w:p w14:paraId="77332B1B">
            <w:pPr>
              <w:jc w:val="center"/>
              <w:rPr>
                <w:rFonts w:ascii="宋体" w:hAnsi="宋体" w:eastAsia="宋体" w:cs="Times New Roman"/>
                <w:color w:val="auto"/>
              </w:rPr>
            </w:pPr>
            <w:r>
              <w:rPr>
                <w:rFonts w:ascii="宋体" w:hAnsi="宋体" w:eastAsia="宋体" w:cs="Times New Roman"/>
                <w:color w:val="auto"/>
              </w:rPr>
              <w:t>符合</w:t>
            </w:r>
          </w:p>
        </w:tc>
      </w:tr>
    </w:tbl>
    <w:p w14:paraId="697F9498">
      <w:pPr>
        <w:spacing w:line="440" w:lineRule="exact"/>
        <w:ind w:firstLine="420" w:firstLineChars="200"/>
        <w:rPr>
          <w:rFonts w:ascii="宋体" w:hAnsi="宋体" w:eastAsia="宋体" w:cs="Times New Roman"/>
          <w:color w:val="auto"/>
          <w:lang w:val="zh-CN" w:bidi="zh-CN"/>
        </w:rPr>
      </w:pPr>
      <w:r>
        <w:rPr>
          <w:rFonts w:ascii="宋体" w:hAnsi="宋体" w:eastAsia="宋体" w:cs="Times New Roman"/>
          <w:color w:val="auto"/>
        </w:rPr>
        <w:t>由上表可知</w:t>
      </w:r>
      <w:r>
        <w:rPr>
          <w:rFonts w:ascii="宋体" w:hAnsi="宋体" w:eastAsia="宋体" w:cs="Times New Roman"/>
          <w:color w:val="auto"/>
          <w:lang w:val="zh-CN" w:bidi="zh-CN"/>
        </w:rPr>
        <w:t>，本项目符合《黑龙江省“十四五”黑土地保护规划》中相关规定。</w:t>
      </w:r>
    </w:p>
    <w:p w14:paraId="5E746D1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与《大庆市“十四五”生态环境保护规划》</w:t>
      </w:r>
      <w:r>
        <w:rPr>
          <w:rFonts w:hint="eastAsia" w:ascii="宋体" w:hAnsi="宋体" w:eastAsia="宋体" w:cs="Times New Roman"/>
          <w:b/>
          <w:bCs/>
          <w:color w:val="auto"/>
          <w:szCs w:val="28"/>
        </w:rPr>
        <w:t>（2021～2025年）</w:t>
      </w:r>
      <w:r>
        <w:rPr>
          <w:rFonts w:ascii="宋体" w:hAnsi="宋体" w:eastAsia="宋体" w:cs="Times New Roman"/>
          <w:b/>
          <w:bCs/>
          <w:color w:val="auto"/>
          <w:szCs w:val="28"/>
        </w:rPr>
        <w:t>符合性分析</w:t>
      </w:r>
    </w:p>
    <w:p w14:paraId="33895FC0">
      <w:pPr>
        <w:pStyle w:val="276"/>
        <w:widowControl w:val="0"/>
        <w:ind w:firstLine="480"/>
        <w:jc w:val="both"/>
        <w:rPr>
          <w:color w:val="auto"/>
        </w:rPr>
      </w:pPr>
      <w:r>
        <w:rPr>
          <w:color w:val="auto"/>
        </w:rPr>
        <w:t>本项目与《大庆市“十四五”生态环境保护规划》符合性分析见</w:t>
      </w:r>
      <w:r>
        <w:rPr>
          <w:color w:val="auto"/>
        </w:rPr>
        <w:fldChar w:fldCharType="begin"/>
      </w:r>
      <w:r>
        <w:rPr>
          <w:color w:val="auto"/>
        </w:rPr>
        <w:instrText xml:space="preserve"> REF _Ref211957066 \h  \* MERGEFORMAT </w:instrText>
      </w:r>
      <w:r>
        <w:rPr>
          <w:color w:val="auto"/>
        </w:rPr>
        <w:fldChar w:fldCharType="separate"/>
      </w:r>
      <w:r>
        <w:rPr>
          <w:rFonts w:hint="eastAsia"/>
          <w:color w:val="auto"/>
        </w:rPr>
        <w:t xml:space="preserve">表 </w:t>
      </w:r>
      <w:r>
        <w:rPr>
          <w:color w:val="auto"/>
        </w:rPr>
        <w:t>1.4</w:t>
      </w:r>
      <w:r>
        <w:rPr>
          <w:color w:val="auto"/>
        </w:rPr>
        <w:noBreakHyphen/>
      </w:r>
      <w:r>
        <w:rPr>
          <w:color w:val="auto"/>
        </w:rPr>
        <w:t>3</w:t>
      </w:r>
      <w:r>
        <w:rPr>
          <w:color w:val="auto"/>
        </w:rPr>
        <w:fldChar w:fldCharType="end"/>
      </w:r>
      <w:r>
        <w:rPr>
          <w:color w:val="auto"/>
        </w:rPr>
        <w:t>。</w:t>
      </w:r>
    </w:p>
    <w:p w14:paraId="382B072B">
      <w:pPr>
        <w:pStyle w:val="22"/>
        <w:spacing w:before="156"/>
        <w:rPr>
          <w:color w:val="auto"/>
        </w:rPr>
      </w:pPr>
      <w:bookmarkStart w:id="95" w:name="_Ref211957066"/>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bookmarkEnd w:id="95"/>
      <w:r>
        <w:rPr>
          <w:color w:val="auto"/>
        </w:rPr>
        <w:t>本项目与《大庆市“十四五”生态环境保护规划》相关要求符合性</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3633"/>
        <w:gridCol w:w="3987"/>
        <w:gridCol w:w="944"/>
      </w:tblGrid>
      <w:tr w14:paraId="6220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shd w:val="clear" w:color="auto" w:fill="auto"/>
            <w:vAlign w:val="center"/>
          </w:tcPr>
          <w:p w14:paraId="65BEBBDC">
            <w:pPr>
              <w:jc w:val="center"/>
              <w:rPr>
                <w:rFonts w:ascii="宋体" w:hAnsi="宋体" w:eastAsia="宋体" w:cs="Times New Roman"/>
                <w:color w:val="auto"/>
              </w:rPr>
            </w:pPr>
            <w:r>
              <w:rPr>
                <w:rFonts w:ascii="宋体" w:hAnsi="宋体" w:eastAsia="宋体" w:cs="Times New Roman"/>
                <w:color w:val="auto"/>
              </w:rPr>
              <w:t>序号</w:t>
            </w:r>
          </w:p>
        </w:tc>
        <w:tc>
          <w:tcPr>
            <w:tcW w:w="1956" w:type="pct"/>
            <w:shd w:val="clear" w:color="auto" w:fill="auto"/>
            <w:vAlign w:val="center"/>
          </w:tcPr>
          <w:p w14:paraId="6139CC73">
            <w:pPr>
              <w:jc w:val="center"/>
              <w:rPr>
                <w:rFonts w:ascii="宋体" w:hAnsi="宋体" w:eastAsia="宋体" w:cs="Times New Roman"/>
                <w:color w:val="auto"/>
              </w:rPr>
            </w:pPr>
            <w:r>
              <w:rPr>
                <w:rFonts w:ascii="宋体" w:hAnsi="宋体" w:eastAsia="宋体" w:cs="Times New Roman"/>
                <w:color w:val="auto"/>
              </w:rPr>
              <w:t>相关要求</w:t>
            </w:r>
          </w:p>
        </w:tc>
        <w:tc>
          <w:tcPr>
            <w:tcW w:w="2147" w:type="pct"/>
            <w:shd w:val="clear" w:color="auto" w:fill="auto"/>
            <w:vAlign w:val="center"/>
          </w:tcPr>
          <w:p w14:paraId="01653657">
            <w:pPr>
              <w:jc w:val="center"/>
              <w:rPr>
                <w:rFonts w:ascii="宋体" w:hAnsi="宋体" w:eastAsia="宋体" w:cs="Times New Roman"/>
                <w:color w:val="auto"/>
              </w:rPr>
            </w:pPr>
            <w:r>
              <w:rPr>
                <w:rFonts w:ascii="宋体" w:hAnsi="宋体" w:eastAsia="宋体" w:cs="Times New Roman"/>
                <w:color w:val="auto"/>
              </w:rPr>
              <w:t>符合性分析</w:t>
            </w:r>
          </w:p>
        </w:tc>
        <w:tc>
          <w:tcPr>
            <w:tcW w:w="508" w:type="pct"/>
            <w:shd w:val="clear" w:color="auto" w:fill="auto"/>
            <w:vAlign w:val="center"/>
          </w:tcPr>
          <w:p w14:paraId="22E263ED">
            <w:pPr>
              <w:jc w:val="center"/>
              <w:rPr>
                <w:rFonts w:ascii="宋体" w:hAnsi="宋体" w:eastAsia="宋体" w:cs="Times New Roman"/>
                <w:color w:val="auto"/>
              </w:rPr>
            </w:pPr>
            <w:r>
              <w:rPr>
                <w:rFonts w:ascii="宋体" w:hAnsi="宋体" w:eastAsia="宋体" w:cs="Times New Roman"/>
                <w:color w:val="auto"/>
              </w:rPr>
              <w:t>符合性</w:t>
            </w:r>
          </w:p>
        </w:tc>
      </w:tr>
      <w:tr w14:paraId="0282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shd w:val="clear" w:color="auto" w:fill="auto"/>
            <w:vAlign w:val="center"/>
          </w:tcPr>
          <w:p w14:paraId="08EC6BF7">
            <w:pPr>
              <w:jc w:val="center"/>
              <w:rPr>
                <w:rFonts w:ascii="宋体" w:hAnsi="宋体" w:eastAsia="宋体" w:cs="Times New Roman"/>
                <w:color w:val="auto"/>
              </w:rPr>
            </w:pPr>
            <w:r>
              <w:rPr>
                <w:rFonts w:ascii="宋体" w:hAnsi="宋体" w:eastAsia="宋体" w:cs="Times New Roman"/>
                <w:color w:val="auto"/>
              </w:rPr>
              <w:t>1</w:t>
            </w:r>
          </w:p>
        </w:tc>
        <w:tc>
          <w:tcPr>
            <w:tcW w:w="1956" w:type="pct"/>
            <w:shd w:val="clear" w:color="auto" w:fill="auto"/>
            <w:vAlign w:val="center"/>
          </w:tcPr>
          <w:p w14:paraId="70F69F1F">
            <w:pPr>
              <w:jc w:val="center"/>
              <w:rPr>
                <w:rFonts w:ascii="宋体" w:hAnsi="宋体" w:eastAsia="宋体" w:cs="Times New Roman"/>
                <w:color w:val="auto"/>
              </w:rPr>
            </w:pPr>
            <w:r>
              <w:rPr>
                <w:rFonts w:ascii="宋体" w:hAnsi="宋体" w:eastAsia="宋体" w:cs="Times New Roman"/>
                <w:color w:val="auto"/>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城市裸露地面、粉粒类物料以及干散货物料堆场，全面完成抑尘设施建设和物料输送系统封闭改造，鼓励有条件的堆场实施全封闭改造。</w:t>
            </w:r>
          </w:p>
        </w:tc>
        <w:tc>
          <w:tcPr>
            <w:tcW w:w="2147" w:type="pct"/>
            <w:shd w:val="clear" w:color="auto" w:fill="auto"/>
            <w:vAlign w:val="center"/>
          </w:tcPr>
          <w:p w14:paraId="40435189">
            <w:pPr>
              <w:jc w:val="center"/>
              <w:rPr>
                <w:rFonts w:ascii="宋体" w:hAnsi="宋体" w:eastAsia="宋体" w:cs="Times New Roman"/>
                <w:color w:val="auto"/>
              </w:rPr>
            </w:pPr>
            <w:r>
              <w:rPr>
                <w:rFonts w:ascii="宋体" w:hAnsi="宋体" w:eastAsia="宋体" w:cs="Times New Roman"/>
                <w:color w:val="auto"/>
              </w:rPr>
              <w:t>运输道路、施工场地干燥时洒水抑尘</w:t>
            </w:r>
            <w:r>
              <w:rPr>
                <w:rFonts w:hint="eastAsia" w:ascii="宋体" w:hAnsi="宋体" w:eastAsia="宋体" w:cs="Times New Roman"/>
                <w:color w:val="auto"/>
              </w:rPr>
              <w:t>；</w:t>
            </w:r>
            <w:r>
              <w:rPr>
                <w:rFonts w:ascii="宋体" w:hAnsi="宋体" w:eastAsia="宋体" w:cs="Times New Roman"/>
                <w:color w:val="auto"/>
              </w:rPr>
              <w:t>运料车辆在运输时，车辆应当采取苫布遮盖措施</w:t>
            </w:r>
            <w:r>
              <w:rPr>
                <w:rFonts w:hint="eastAsia" w:ascii="宋体" w:hAnsi="宋体" w:eastAsia="宋体" w:cs="Times New Roman"/>
                <w:color w:val="auto"/>
              </w:rPr>
              <w:t>；</w:t>
            </w:r>
            <w:r>
              <w:rPr>
                <w:rFonts w:ascii="宋体" w:hAnsi="宋体" w:eastAsia="宋体" w:cs="Times New Roman"/>
                <w:color w:val="auto"/>
              </w:rPr>
              <w:t>土方开挖应采取遮盖、围挡、洒水等防尘措施</w:t>
            </w:r>
            <w:r>
              <w:rPr>
                <w:rFonts w:hint="eastAsia" w:ascii="宋体" w:hAnsi="宋体" w:eastAsia="宋体" w:cs="Times New Roman"/>
                <w:color w:val="auto"/>
              </w:rPr>
              <w:t>；</w:t>
            </w:r>
            <w:r>
              <w:rPr>
                <w:rFonts w:ascii="宋体" w:hAnsi="宋体" w:eastAsia="宋体" w:cs="Times New Roman"/>
                <w:color w:val="auto"/>
              </w:rPr>
              <w:t>控制施工作业带宽度，避免因施工开挖加剧土地沙漠化和水土流失</w:t>
            </w:r>
            <w:r>
              <w:rPr>
                <w:rFonts w:hint="eastAsia" w:ascii="宋体" w:hAnsi="宋体" w:eastAsia="宋体" w:cs="Times New Roman"/>
                <w:color w:val="auto"/>
              </w:rPr>
              <w:t>；</w:t>
            </w:r>
            <w:r>
              <w:rPr>
                <w:rFonts w:ascii="宋体" w:hAnsi="宋体" w:eastAsia="宋体" w:cs="Times New Roman"/>
                <w:color w:val="auto"/>
              </w:rPr>
              <w:t>施工结束后，应及时进行施工场地的清理，清除积土、堆物。</w:t>
            </w:r>
          </w:p>
        </w:tc>
        <w:tc>
          <w:tcPr>
            <w:tcW w:w="508" w:type="pct"/>
            <w:shd w:val="clear" w:color="auto" w:fill="auto"/>
            <w:vAlign w:val="center"/>
          </w:tcPr>
          <w:p w14:paraId="719BD68C">
            <w:pPr>
              <w:jc w:val="center"/>
              <w:rPr>
                <w:rFonts w:ascii="宋体" w:hAnsi="宋体" w:eastAsia="宋体" w:cs="Times New Roman"/>
                <w:color w:val="auto"/>
              </w:rPr>
            </w:pPr>
            <w:r>
              <w:rPr>
                <w:rFonts w:ascii="宋体" w:hAnsi="宋体" w:eastAsia="宋体" w:cs="Times New Roman"/>
                <w:color w:val="auto"/>
              </w:rPr>
              <w:t>符合</w:t>
            </w:r>
          </w:p>
        </w:tc>
      </w:tr>
      <w:tr w14:paraId="2643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shd w:val="clear" w:color="auto" w:fill="auto"/>
            <w:vAlign w:val="center"/>
          </w:tcPr>
          <w:p w14:paraId="6C3EC9C4">
            <w:pPr>
              <w:jc w:val="center"/>
              <w:rPr>
                <w:rFonts w:ascii="宋体" w:hAnsi="宋体" w:eastAsia="宋体" w:cs="Times New Roman"/>
                <w:color w:val="auto"/>
              </w:rPr>
            </w:pPr>
            <w:r>
              <w:rPr>
                <w:rFonts w:ascii="宋体" w:hAnsi="宋体" w:eastAsia="宋体" w:cs="Times New Roman"/>
                <w:color w:val="auto"/>
              </w:rPr>
              <w:t>2</w:t>
            </w:r>
          </w:p>
        </w:tc>
        <w:tc>
          <w:tcPr>
            <w:tcW w:w="1956" w:type="pct"/>
            <w:shd w:val="clear" w:color="auto" w:fill="auto"/>
            <w:vAlign w:val="center"/>
          </w:tcPr>
          <w:p w14:paraId="3FCF5A25">
            <w:pPr>
              <w:jc w:val="center"/>
              <w:rPr>
                <w:rFonts w:ascii="宋体" w:hAnsi="宋体" w:eastAsia="宋体" w:cs="Times New Roman"/>
                <w:color w:val="auto"/>
              </w:rPr>
            </w:pPr>
            <w:r>
              <w:rPr>
                <w:rFonts w:ascii="宋体" w:hAnsi="宋体" w:eastAsia="宋体" w:cs="Times New Roman"/>
                <w:color w:val="auto"/>
              </w:rPr>
              <w:t>在制定国土空间规划及交通运输等相关规划时，合理划定防噪声距离，明确规划设计要求。因特殊需要必须连续作业的，必须按照法律规定取得证明，并公告附近居民。鼓励采用低噪声施工设备和工艺。依法将工业企业噪声纳入排污许可管理，严厉查处工业企业噪声排放超标扰民行为。加强对文化娱乐、商业经营中社会生活噪声热点问题日常监管和集中整治。到2025年，全面实现功能区声环境质量自动监测，声环境功能区夜间达标率达到国家要求。</w:t>
            </w:r>
          </w:p>
        </w:tc>
        <w:tc>
          <w:tcPr>
            <w:tcW w:w="2147" w:type="pct"/>
            <w:shd w:val="clear" w:color="auto" w:fill="auto"/>
            <w:vAlign w:val="center"/>
          </w:tcPr>
          <w:p w14:paraId="10C20440">
            <w:pPr>
              <w:jc w:val="center"/>
              <w:rPr>
                <w:rFonts w:ascii="宋体" w:hAnsi="宋体" w:eastAsia="宋体" w:cs="Times New Roman"/>
                <w:color w:val="auto"/>
              </w:rPr>
            </w:pPr>
            <w:r>
              <w:rPr>
                <w:rFonts w:ascii="宋体" w:hAnsi="宋体" w:eastAsia="宋体" w:cs="Times New Roman"/>
                <w:color w:val="auto"/>
              </w:rPr>
              <w:t>施工期选用低噪声设备，平时注意设备维护和保养，避免设备不正常运行产生的高噪声，施工场界能够满足《建筑施工场界环境噪声排放标准》（GB12523-2011）中要求。运营期抽油机电机和储罐燃烧器等发声设备尽可能选用低噪声设备，注意对设备的维护保养，保证设备保持在最佳运行状态，降低噪声源强度，能够确保井场和拉油点厂界噪声满足《工业企业厂界环境噪声排放标准》（GB 12348-2008）2类标准要求。</w:t>
            </w:r>
          </w:p>
        </w:tc>
        <w:tc>
          <w:tcPr>
            <w:tcW w:w="508" w:type="pct"/>
            <w:shd w:val="clear" w:color="auto" w:fill="auto"/>
            <w:vAlign w:val="center"/>
          </w:tcPr>
          <w:p w14:paraId="7E29D7AC">
            <w:pPr>
              <w:jc w:val="center"/>
              <w:rPr>
                <w:rFonts w:ascii="宋体" w:hAnsi="宋体" w:eastAsia="宋体" w:cs="Times New Roman"/>
                <w:color w:val="auto"/>
              </w:rPr>
            </w:pPr>
            <w:r>
              <w:rPr>
                <w:rFonts w:ascii="宋体" w:hAnsi="宋体" w:eastAsia="宋体" w:cs="Times New Roman"/>
                <w:color w:val="auto"/>
              </w:rPr>
              <w:t>符合</w:t>
            </w:r>
          </w:p>
        </w:tc>
      </w:tr>
      <w:tr w14:paraId="7FCE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shd w:val="clear" w:color="auto" w:fill="auto"/>
            <w:vAlign w:val="center"/>
          </w:tcPr>
          <w:p w14:paraId="16C85C95">
            <w:pPr>
              <w:jc w:val="center"/>
              <w:rPr>
                <w:rFonts w:ascii="宋体" w:hAnsi="宋体" w:eastAsia="宋体" w:cs="Times New Roman"/>
                <w:color w:val="auto"/>
              </w:rPr>
            </w:pPr>
            <w:r>
              <w:rPr>
                <w:rFonts w:ascii="宋体" w:hAnsi="宋体" w:eastAsia="宋体" w:cs="Times New Roman"/>
                <w:color w:val="auto"/>
              </w:rPr>
              <w:t>3</w:t>
            </w:r>
          </w:p>
        </w:tc>
        <w:tc>
          <w:tcPr>
            <w:tcW w:w="1956" w:type="pct"/>
            <w:shd w:val="clear" w:color="auto" w:fill="auto"/>
            <w:vAlign w:val="center"/>
          </w:tcPr>
          <w:p w14:paraId="1F9478A1">
            <w:pPr>
              <w:jc w:val="center"/>
              <w:rPr>
                <w:rFonts w:ascii="宋体" w:hAnsi="宋体" w:eastAsia="宋体" w:cs="Times New Roman"/>
                <w:color w:val="auto"/>
              </w:rPr>
            </w:pPr>
            <w:r>
              <w:rPr>
                <w:rFonts w:ascii="宋体" w:hAnsi="宋体" w:eastAsia="宋体" w:cs="Times New Roman"/>
                <w:color w:val="auto"/>
              </w:rPr>
              <w:t>严控耕地保护红线。实行最严格的耕地保护制度，对黑土地全面进行管控。落实“三线一单”生态环境分区中与耕地相关管控要求。推广保护性耕作模式。</w:t>
            </w:r>
          </w:p>
          <w:p w14:paraId="1DE46A51">
            <w:pPr>
              <w:jc w:val="center"/>
              <w:rPr>
                <w:rFonts w:ascii="宋体" w:hAnsi="宋体" w:eastAsia="宋体" w:cs="Times New Roman"/>
                <w:color w:val="auto"/>
              </w:rPr>
            </w:pPr>
            <w:r>
              <w:rPr>
                <w:rFonts w:ascii="宋体" w:hAnsi="宋体" w:eastAsia="宋体" w:cs="Times New Roman"/>
                <w:color w:val="auto"/>
              </w:rPr>
              <w:t>强化黑土地保护的监督管理。落实属地监督管理责任，实行黑土地动态监管、日常巡查。</w:t>
            </w:r>
          </w:p>
          <w:p w14:paraId="5ECF773F">
            <w:pPr>
              <w:jc w:val="center"/>
              <w:rPr>
                <w:rFonts w:ascii="宋体" w:hAnsi="宋体" w:eastAsia="宋体" w:cs="Times New Roman"/>
                <w:color w:val="auto"/>
              </w:rPr>
            </w:pPr>
            <w:r>
              <w:rPr>
                <w:rFonts w:ascii="宋体" w:hAnsi="宋体" w:eastAsia="宋体" w:cs="Times New Roman"/>
                <w:color w:val="auto"/>
              </w:rPr>
              <w:t>加快耕地水土流失综合治理。坚持山水林田湖草沙冰系统治理、综合治理，减轻风蚀水蚀，防治水土流失。</w:t>
            </w:r>
          </w:p>
        </w:tc>
        <w:tc>
          <w:tcPr>
            <w:tcW w:w="2147" w:type="pct"/>
            <w:shd w:val="clear" w:color="auto" w:fill="auto"/>
            <w:vAlign w:val="center"/>
          </w:tcPr>
          <w:p w14:paraId="581E9336">
            <w:pPr>
              <w:jc w:val="center"/>
              <w:rPr>
                <w:rFonts w:ascii="宋体" w:hAnsi="宋体" w:eastAsia="宋体" w:cs="Times New Roman"/>
                <w:color w:val="auto"/>
              </w:rPr>
            </w:pPr>
            <w:r>
              <w:rPr>
                <w:rFonts w:ascii="宋体" w:hAnsi="宋体" w:eastAsia="宋体" w:cs="Times New Roman"/>
                <w:color w:val="auto"/>
              </w:rPr>
              <w:t>本项目新增总占地面积为7.714hm</w:t>
            </w:r>
            <w:r>
              <w:rPr>
                <w:rFonts w:ascii="宋体" w:hAnsi="宋体" w:eastAsia="宋体" w:cs="Times New Roman"/>
                <w:color w:val="auto"/>
                <w:vertAlign w:val="superscript"/>
              </w:rPr>
              <w:t>2</w:t>
            </w:r>
            <w:r>
              <w:rPr>
                <w:rFonts w:ascii="宋体" w:hAnsi="宋体" w:eastAsia="宋体" w:cs="Times New Roman"/>
                <w:color w:val="auto"/>
              </w:rPr>
              <w:t>，其中永久占地面积为</w:t>
            </w:r>
            <w:r>
              <w:rPr>
                <w:rFonts w:hint="eastAsia" w:ascii="宋体" w:hAnsi="宋体" w:eastAsia="宋体" w:cs="Times New Roman"/>
                <w:color w:val="auto"/>
              </w:rPr>
              <w:t>3.254</w:t>
            </w:r>
            <w:r>
              <w:rPr>
                <w:rFonts w:ascii="宋体" w:hAnsi="宋体" w:eastAsia="宋体" w:cs="Times New Roman"/>
                <w:color w:val="auto"/>
              </w:rPr>
              <w:t>hm</w:t>
            </w:r>
            <w:r>
              <w:rPr>
                <w:rFonts w:ascii="宋体" w:hAnsi="宋体" w:eastAsia="宋体" w:cs="Times New Roman"/>
                <w:color w:val="auto"/>
                <w:vertAlign w:val="superscript"/>
              </w:rPr>
              <w:t>2</w:t>
            </w:r>
            <w:r>
              <w:rPr>
                <w:rFonts w:ascii="宋体" w:hAnsi="宋体" w:eastAsia="宋体" w:cs="Times New Roman"/>
                <w:color w:val="auto"/>
              </w:rPr>
              <w:t>，临时占地面积为</w:t>
            </w:r>
            <w:r>
              <w:rPr>
                <w:rFonts w:hint="eastAsia" w:ascii="宋体" w:hAnsi="宋体" w:eastAsia="宋体" w:cs="Times New Roman"/>
                <w:color w:val="auto"/>
              </w:rPr>
              <w:t>4.46</w:t>
            </w:r>
            <w:r>
              <w:rPr>
                <w:rFonts w:ascii="宋体" w:hAnsi="宋体" w:eastAsia="宋体" w:cs="Times New Roman"/>
                <w:color w:val="auto"/>
              </w:rPr>
              <w:t>hm</w:t>
            </w:r>
            <w:r>
              <w:rPr>
                <w:rFonts w:ascii="宋体" w:hAnsi="宋体" w:eastAsia="宋体" w:cs="Times New Roman"/>
                <w:color w:val="auto"/>
                <w:vertAlign w:val="superscript"/>
              </w:rPr>
              <w:t>2</w:t>
            </w:r>
            <w:r>
              <w:rPr>
                <w:rFonts w:ascii="宋体" w:hAnsi="宋体" w:eastAsia="宋体" w:cs="Times New Roman"/>
                <w:color w:val="auto"/>
              </w:rPr>
              <w:t>，项目新增占地类型为耕地（</w:t>
            </w:r>
            <w:r>
              <w:rPr>
                <w:rFonts w:hint="eastAsia" w:ascii="宋体" w:hAnsi="宋体" w:eastAsia="宋体" w:cs="Times New Roman"/>
                <w:color w:val="auto"/>
              </w:rPr>
              <w:t>永久</w:t>
            </w:r>
            <w:r>
              <w:rPr>
                <w:rFonts w:ascii="宋体" w:hAnsi="宋体" w:eastAsia="宋体" w:cs="Times New Roman"/>
                <w:color w:val="auto"/>
              </w:rPr>
              <w:t>基本农田）和草地，项目在施工前要编制土壤剥离利用方案，征收土地应报请相关主管部门同意，对永久占用的耕地按“占一补一”原则进行占地补偿。充分利用新建通井路敷设管线，减少临时占地面积，施工期应剥离占地内0.3m的表土，采用分层开挖，分层堆放，暂存于临时占地内的表土剥离临时堆放区，并采取苫布遮盖等措施防止水土流失，定期采取洒水抑尘措施，剥离的表土在施工结束后分层回填，平整地表</w:t>
            </w:r>
            <w:r>
              <w:rPr>
                <w:rFonts w:hint="eastAsia" w:ascii="宋体" w:hAnsi="宋体" w:eastAsia="宋体" w:cs="Times New Roman"/>
                <w:color w:val="auto"/>
              </w:rPr>
              <w:t>。</w:t>
            </w:r>
          </w:p>
        </w:tc>
        <w:tc>
          <w:tcPr>
            <w:tcW w:w="508" w:type="pct"/>
            <w:shd w:val="clear" w:color="auto" w:fill="auto"/>
            <w:vAlign w:val="center"/>
          </w:tcPr>
          <w:p w14:paraId="28026AF7">
            <w:pPr>
              <w:jc w:val="center"/>
              <w:rPr>
                <w:rFonts w:ascii="宋体" w:hAnsi="宋体" w:eastAsia="宋体" w:cs="Times New Roman"/>
                <w:color w:val="auto"/>
              </w:rPr>
            </w:pPr>
            <w:r>
              <w:rPr>
                <w:rFonts w:ascii="宋体" w:hAnsi="宋体" w:eastAsia="宋体" w:cs="Times New Roman"/>
                <w:color w:val="auto"/>
              </w:rPr>
              <w:t>符合</w:t>
            </w:r>
          </w:p>
        </w:tc>
      </w:tr>
      <w:tr w14:paraId="7F75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shd w:val="clear" w:color="auto" w:fill="auto"/>
            <w:vAlign w:val="center"/>
          </w:tcPr>
          <w:p w14:paraId="29358CBC">
            <w:pPr>
              <w:jc w:val="center"/>
              <w:rPr>
                <w:rFonts w:ascii="宋体" w:hAnsi="宋体" w:eastAsia="宋体" w:cs="Times New Roman"/>
                <w:color w:val="auto"/>
              </w:rPr>
            </w:pPr>
            <w:r>
              <w:rPr>
                <w:rFonts w:ascii="宋体" w:hAnsi="宋体" w:eastAsia="宋体" w:cs="Times New Roman"/>
                <w:color w:val="auto"/>
              </w:rPr>
              <w:t>4</w:t>
            </w:r>
          </w:p>
        </w:tc>
        <w:tc>
          <w:tcPr>
            <w:tcW w:w="1956" w:type="pct"/>
            <w:shd w:val="clear" w:color="auto" w:fill="auto"/>
            <w:vAlign w:val="center"/>
          </w:tcPr>
          <w:p w14:paraId="0664BFF9">
            <w:pPr>
              <w:jc w:val="center"/>
              <w:rPr>
                <w:rFonts w:ascii="宋体" w:hAnsi="宋体" w:eastAsia="宋体" w:cs="Times New Roman"/>
                <w:color w:val="auto"/>
              </w:rPr>
            </w:pPr>
            <w:r>
              <w:rPr>
                <w:rFonts w:ascii="宋体" w:hAnsi="宋体" w:eastAsia="宋体" w:cs="Times New Roman"/>
                <w:color w:val="auto"/>
              </w:rPr>
              <w:t>推进地下水污染综合防治。建立地下水污染防治管理和环境监测体系，建设地下水信息平台。加强地下水污染与地表水、土壤等共生环境协同防治。全面开展地下水污染分区防治，提出地下水污染分区防治措施，实施地下水污染源分类监管。推进地下水重点污染源风险防控，开展试点示范。</w:t>
            </w:r>
          </w:p>
          <w:p w14:paraId="6225655C">
            <w:pPr>
              <w:jc w:val="center"/>
              <w:rPr>
                <w:rFonts w:ascii="宋体" w:hAnsi="宋体" w:eastAsia="宋体" w:cs="Times New Roman"/>
                <w:color w:val="auto"/>
              </w:rPr>
            </w:pPr>
            <w:r>
              <w:rPr>
                <w:rFonts w:ascii="宋体" w:hAnsi="宋体" w:eastAsia="宋体" w:cs="Times New Roman"/>
                <w:color w:val="auto"/>
              </w:rPr>
              <w:t>配合生态环境部和省生态环境厅建立地下水环境监测网。2025年年底前，按照国家和行业相关监测、评价技术规范，开展地下水环境监测。</w:t>
            </w:r>
          </w:p>
        </w:tc>
        <w:tc>
          <w:tcPr>
            <w:tcW w:w="2147" w:type="pct"/>
            <w:shd w:val="clear" w:color="auto" w:fill="auto"/>
            <w:vAlign w:val="center"/>
          </w:tcPr>
          <w:p w14:paraId="4FAE5336">
            <w:pPr>
              <w:jc w:val="center"/>
              <w:rPr>
                <w:rFonts w:ascii="宋体" w:hAnsi="宋体" w:eastAsia="宋体" w:cs="Times New Roman"/>
                <w:color w:val="auto"/>
              </w:rPr>
            </w:pPr>
            <w:r>
              <w:rPr>
                <w:rFonts w:ascii="宋体" w:hAnsi="宋体" w:eastAsia="宋体" w:cs="Times New Roman"/>
                <w:color w:val="auto"/>
              </w:rPr>
              <w:t>本项目针对施工井场、拟建管线及拉油点采取了分区防渗措施，并在区域</w:t>
            </w:r>
            <w:r>
              <w:rPr>
                <w:rFonts w:hint="eastAsia" w:ascii="宋体" w:hAnsi="宋体" w:eastAsia="宋体" w:cs="Times New Roman"/>
                <w:color w:val="auto"/>
              </w:rPr>
              <w:t>共布置7口</w:t>
            </w:r>
            <w:r>
              <w:rPr>
                <w:rFonts w:ascii="宋体" w:hAnsi="宋体" w:eastAsia="宋体" w:cs="Times New Roman"/>
                <w:color w:val="auto"/>
              </w:rPr>
              <w:t>跟踪监测井，定期进行跟踪监测。</w:t>
            </w:r>
          </w:p>
          <w:p w14:paraId="6DBB21D2">
            <w:pPr>
              <w:jc w:val="center"/>
              <w:rPr>
                <w:rFonts w:ascii="宋体" w:hAnsi="宋体" w:eastAsia="宋体" w:cs="Times New Roman"/>
                <w:color w:val="auto"/>
              </w:rPr>
            </w:pPr>
            <w:r>
              <w:rPr>
                <w:rFonts w:ascii="宋体" w:hAnsi="宋体" w:eastAsia="宋体" w:cs="Times New Roman"/>
                <w:color w:val="auto"/>
              </w:rPr>
              <w:t>施工期储层改造工程射孔和压裂施工时，井场地面铺垫防渗布，压裂作业区采用地面碾压平整并铺设2mm厚防渗布进行防渗，含油废射孔液和废压裂液由罐车拉运处理，避免对周边土壤产生影响。射孔和压裂作业层位属于油层，固井采用一次上返、全井段封固工艺，不会对潜水和承压含水层产生影响。</w:t>
            </w:r>
          </w:p>
        </w:tc>
        <w:tc>
          <w:tcPr>
            <w:tcW w:w="508" w:type="pct"/>
            <w:shd w:val="clear" w:color="auto" w:fill="auto"/>
            <w:vAlign w:val="center"/>
          </w:tcPr>
          <w:p w14:paraId="3F0D6203">
            <w:pPr>
              <w:jc w:val="center"/>
              <w:rPr>
                <w:rFonts w:ascii="宋体" w:hAnsi="宋体" w:eastAsia="宋体" w:cs="Times New Roman"/>
                <w:color w:val="auto"/>
              </w:rPr>
            </w:pPr>
            <w:r>
              <w:rPr>
                <w:rFonts w:ascii="宋体" w:hAnsi="宋体" w:eastAsia="宋体" w:cs="Times New Roman"/>
                <w:color w:val="auto"/>
              </w:rPr>
              <w:t>符合</w:t>
            </w:r>
          </w:p>
        </w:tc>
      </w:tr>
      <w:tr w14:paraId="03FB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shd w:val="clear" w:color="auto" w:fill="auto"/>
            <w:vAlign w:val="center"/>
          </w:tcPr>
          <w:p w14:paraId="66A5271A">
            <w:pPr>
              <w:jc w:val="center"/>
              <w:rPr>
                <w:rFonts w:ascii="宋体" w:hAnsi="宋体" w:eastAsia="宋体" w:cs="Times New Roman"/>
                <w:color w:val="auto"/>
              </w:rPr>
            </w:pPr>
            <w:r>
              <w:rPr>
                <w:rFonts w:ascii="宋体" w:hAnsi="宋体" w:eastAsia="宋体" w:cs="Times New Roman"/>
                <w:color w:val="auto"/>
              </w:rPr>
              <w:t>5</w:t>
            </w:r>
          </w:p>
        </w:tc>
        <w:tc>
          <w:tcPr>
            <w:tcW w:w="1956" w:type="pct"/>
            <w:shd w:val="clear" w:color="auto" w:fill="auto"/>
            <w:vAlign w:val="center"/>
          </w:tcPr>
          <w:p w14:paraId="68D9EC61">
            <w:pPr>
              <w:jc w:val="center"/>
              <w:rPr>
                <w:rFonts w:ascii="宋体" w:hAnsi="宋体" w:eastAsia="宋体" w:cs="Times New Roman"/>
                <w:color w:val="auto"/>
              </w:rPr>
            </w:pPr>
            <w:r>
              <w:rPr>
                <w:rFonts w:ascii="宋体" w:hAnsi="宋体" w:eastAsia="宋体" w:cs="Times New Roman"/>
                <w:color w:val="auto"/>
              </w:rPr>
              <w:t>推进重点产废单位“减量化、资源化、无害化”工作。抓好油田采油环节各类固废的源头减量、分类处置工作。加快构建与产生量相匹配处理规模的水基钻井泥浆综合利用项目。进一步推进历史遗留固体废物的排查整治，通过拓展工业固体废物的综合利用渠道和效率，最终实现产业绿色转型。</w:t>
            </w:r>
          </w:p>
        </w:tc>
        <w:tc>
          <w:tcPr>
            <w:tcW w:w="2147" w:type="pct"/>
            <w:shd w:val="clear" w:color="auto" w:fill="auto"/>
            <w:vAlign w:val="center"/>
          </w:tcPr>
          <w:p w14:paraId="0B4E4093">
            <w:pPr>
              <w:jc w:val="center"/>
              <w:rPr>
                <w:rFonts w:ascii="宋体" w:hAnsi="宋体" w:eastAsia="宋体" w:cs="Times New Roman"/>
                <w:color w:val="auto"/>
              </w:rPr>
            </w:pPr>
            <w:r>
              <w:rPr>
                <w:rFonts w:ascii="宋体" w:hAnsi="宋体" w:eastAsia="宋体" w:cs="Times New Roman"/>
                <w:color w:val="auto"/>
              </w:rPr>
              <w:t>本项目施工期水基废钻井液、水基钻井岩屑和不含油射孔液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处理后的泥饼外售给大庆钻探工程公司钻井二公司综合利用垫井场或铺路；油基废钻井液、油基钻井岩屑和含油废射孔液排入井场设置的油基钢制泥浆槽，委托有危废处理资质的黑龙江迈景环保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rFonts w:ascii="宋体" w:hAnsi="宋体" w:eastAsia="宋体" w:cs="Times New Roman"/>
                <w:color w:val="auto"/>
              </w:rPr>
              <w:t>；膨润土、纯碱、重晶石粉废包装袋、施工废料经由施工单位安排拉运至第八采油厂工业固废填埋场处理；含油废防渗布集中收集暂存于第十采油厂综合固废储存库，定期委托有资质单位处理；生活垃圾统一收集拉运至肇源县利民城市垃圾处理有限公司</w:t>
            </w:r>
            <w:r>
              <w:rPr>
                <w:rFonts w:ascii="宋体" w:hAnsi="宋体" w:eastAsia="宋体" w:cs="Times New Roman"/>
                <w:color w:val="auto"/>
                <w:lang w:val="zh-CN"/>
              </w:rPr>
              <w:t>处理</w:t>
            </w:r>
            <w:r>
              <w:rPr>
                <w:rFonts w:ascii="宋体" w:hAnsi="宋体" w:eastAsia="宋体" w:cs="Times New Roman"/>
                <w:color w:val="auto"/>
              </w:rPr>
              <w:t>；封井建筑垃圾统一收集，委托清运至市政部门指定的建筑垃圾调配场处置；勘探井试油产生的落地油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运营期产生的含油污泥及落地油全部回收，由罐车拉运至朝一联含油污泥处理站减量化处理后，再委托大庆博昕晶化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rFonts w:ascii="宋体" w:hAnsi="宋体" w:eastAsia="宋体" w:cs="Times New Roman"/>
                <w:color w:val="auto"/>
              </w:rPr>
              <w:t>；含油废防渗布经收集后暂存于第十采油厂综合固废储存库，定期委托有资质单位处理。</w:t>
            </w:r>
          </w:p>
        </w:tc>
        <w:tc>
          <w:tcPr>
            <w:tcW w:w="508" w:type="pct"/>
            <w:shd w:val="clear" w:color="auto" w:fill="auto"/>
            <w:vAlign w:val="center"/>
          </w:tcPr>
          <w:p w14:paraId="540FFA21">
            <w:pPr>
              <w:jc w:val="center"/>
              <w:rPr>
                <w:rFonts w:ascii="宋体" w:hAnsi="宋体" w:eastAsia="宋体" w:cs="Times New Roman"/>
                <w:color w:val="auto"/>
              </w:rPr>
            </w:pPr>
            <w:r>
              <w:rPr>
                <w:rFonts w:ascii="宋体" w:hAnsi="宋体" w:eastAsia="宋体" w:cs="Times New Roman"/>
                <w:color w:val="auto"/>
              </w:rPr>
              <w:t>符合</w:t>
            </w:r>
          </w:p>
        </w:tc>
      </w:tr>
    </w:tbl>
    <w:p w14:paraId="66B781A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与《大庆市水土保持规划》（2015～2030年）符合性分析</w:t>
      </w:r>
    </w:p>
    <w:p w14:paraId="28F4C7F8">
      <w:pPr>
        <w:pStyle w:val="276"/>
        <w:widowControl w:val="0"/>
        <w:ind w:firstLine="480"/>
        <w:jc w:val="both"/>
        <w:rPr>
          <w:color w:val="auto"/>
          <w:lang w:val="en"/>
        </w:rPr>
      </w:pPr>
      <w:r>
        <w:rPr>
          <w:color w:val="auto"/>
        </w:rPr>
        <w:t>根据《大庆市水土保持规划》（2015～2030年），</w:t>
      </w:r>
      <w:r>
        <w:rPr>
          <w:color w:val="auto"/>
          <w:lang w:val="en"/>
        </w:rPr>
        <w:t>大庆市划定了市级水土流失重点预防区和重点治理区，本项目占地位于</w:t>
      </w:r>
      <w:r>
        <w:rPr>
          <w:snapToGrid w:val="0"/>
          <w:color w:val="auto"/>
        </w:rPr>
        <w:t>大庆</w:t>
      </w:r>
      <w:r>
        <w:rPr>
          <w:color w:val="auto"/>
          <w:lang w:val="en"/>
        </w:rPr>
        <w:t>市</w:t>
      </w:r>
      <w:r>
        <w:rPr>
          <w:color w:val="auto"/>
        </w:rPr>
        <w:t>肇源县和平乡</w:t>
      </w:r>
      <w:r>
        <w:rPr>
          <w:color w:val="auto"/>
          <w:lang w:val="en"/>
        </w:rPr>
        <w:t>和</w:t>
      </w:r>
      <w:r>
        <w:rPr>
          <w:color w:val="auto"/>
        </w:rPr>
        <w:t>肇源镇</w:t>
      </w:r>
      <w:r>
        <w:rPr>
          <w:color w:val="auto"/>
          <w:lang w:val="en"/>
        </w:rPr>
        <w:t>，属于水土流失重点预防区</w:t>
      </w:r>
      <w:r>
        <w:rPr>
          <w:rFonts w:hint="eastAsia"/>
          <w:color w:val="auto"/>
        </w:rPr>
        <w:t>与水土流失重点治理区</w:t>
      </w:r>
      <w:r>
        <w:rPr>
          <w:color w:val="auto"/>
          <w:lang w:val="en"/>
        </w:rPr>
        <w:t>。本项目</w:t>
      </w:r>
      <w:r>
        <w:rPr>
          <w:color w:val="auto"/>
        </w:rPr>
        <w:t>开发区域与</w:t>
      </w:r>
      <w:r>
        <w:rPr>
          <w:color w:val="auto"/>
          <w:lang w:val="en"/>
        </w:rPr>
        <w:t>水土保持重点治理区和重点预防区位置关系见附图</w:t>
      </w:r>
      <w:r>
        <w:rPr>
          <w:rFonts w:hint="eastAsia"/>
          <w:color w:val="auto"/>
        </w:rPr>
        <w:t>2</w:t>
      </w:r>
      <w:r>
        <w:rPr>
          <w:color w:val="auto"/>
          <w:lang w:val="en"/>
        </w:rPr>
        <w:t>。本项目的开发建设与该规划的符合性分析见</w:t>
      </w:r>
      <w:r>
        <w:rPr>
          <w:color w:val="auto"/>
          <w:lang w:val="en"/>
        </w:rPr>
        <w:fldChar w:fldCharType="begin"/>
      </w:r>
      <w:r>
        <w:rPr>
          <w:color w:val="auto"/>
          <w:lang w:val="en"/>
        </w:rPr>
        <w:instrText xml:space="preserve"> REF _Ref211957075 \h  \* MERGEFORMAT </w:instrText>
      </w:r>
      <w:r>
        <w:rPr>
          <w:color w:val="auto"/>
          <w:lang w:val="en"/>
        </w:rPr>
        <w:fldChar w:fldCharType="separate"/>
      </w:r>
      <w:r>
        <w:rPr>
          <w:rFonts w:hint="eastAsia"/>
          <w:color w:val="auto"/>
        </w:rPr>
        <w:t xml:space="preserve">表 </w:t>
      </w:r>
      <w:r>
        <w:rPr>
          <w:color w:val="auto"/>
        </w:rPr>
        <w:t>1.4</w:t>
      </w:r>
      <w:r>
        <w:rPr>
          <w:color w:val="auto"/>
        </w:rPr>
        <w:noBreakHyphen/>
      </w:r>
      <w:r>
        <w:rPr>
          <w:color w:val="auto"/>
        </w:rPr>
        <w:t>4</w:t>
      </w:r>
      <w:r>
        <w:rPr>
          <w:color w:val="auto"/>
          <w:lang w:val="en"/>
        </w:rPr>
        <w:fldChar w:fldCharType="end"/>
      </w:r>
      <w:r>
        <w:rPr>
          <w:color w:val="auto"/>
          <w:lang w:val="en"/>
        </w:rPr>
        <w:t>。</w:t>
      </w:r>
    </w:p>
    <w:p w14:paraId="51A83DB3">
      <w:pPr>
        <w:pStyle w:val="22"/>
        <w:spacing w:before="156"/>
        <w:rPr>
          <w:color w:val="auto"/>
        </w:rPr>
      </w:pPr>
      <w:bookmarkStart w:id="96" w:name="_Ref211957075"/>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bookmarkEnd w:id="96"/>
      <w:r>
        <w:rPr>
          <w:color w:val="auto"/>
        </w:rPr>
        <w:t>与《大庆市水土保持规划》（2015～2030年）符合性分析</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3317"/>
        <w:gridCol w:w="4240"/>
        <w:gridCol w:w="982"/>
      </w:tblGrid>
      <w:tr w14:paraId="59B6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shd w:val="clear" w:color="auto" w:fill="auto"/>
            <w:vAlign w:val="center"/>
          </w:tcPr>
          <w:p w14:paraId="3E53D63E">
            <w:pPr>
              <w:jc w:val="center"/>
              <w:rPr>
                <w:rFonts w:ascii="宋体" w:hAnsi="宋体" w:eastAsia="宋体" w:cs="Times New Roman"/>
                <w:color w:val="auto"/>
              </w:rPr>
            </w:pPr>
            <w:r>
              <w:rPr>
                <w:rFonts w:ascii="宋体" w:hAnsi="宋体" w:eastAsia="宋体" w:cs="Times New Roman"/>
                <w:color w:val="auto"/>
              </w:rPr>
              <w:t>序号</w:t>
            </w:r>
          </w:p>
        </w:tc>
        <w:tc>
          <w:tcPr>
            <w:tcW w:w="1786" w:type="pct"/>
            <w:shd w:val="clear" w:color="auto" w:fill="auto"/>
            <w:vAlign w:val="center"/>
          </w:tcPr>
          <w:p w14:paraId="314ED6AD">
            <w:pPr>
              <w:jc w:val="center"/>
              <w:rPr>
                <w:rFonts w:ascii="宋体" w:hAnsi="宋体" w:eastAsia="宋体" w:cs="Times New Roman"/>
                <w:color w:val="auto"/>
              </w:rPr>
            </w:pPr>
            <w:r>
              <w:rPr>
                <w:rFonts w:ascii="宋体" w:hAnsi="宋体" w:eastAsia="宋体" w:cs="Times New Roman"/>
                <w:color w:val="auto"/>
              </w:rPr>
              <w:t>文件要求</w:t>
            </w:r>
          </w:p>
        </w:tc>
        <w:tc>
          <w:tcPr>
            <w:tcW w:w="2283" w:type="pct"/>
            <w:shd w:val="clear" w:color="auto" w:fill="auto"/>
            <w:vAlign w:val="center"/>
          </w:tcPr>
          <w:p w14:paraId="388E6FA2">
            <w:pPr>
              <w:jc w:val="center"/>
              <w:rPr>
                <w:rFonts w:ascii="宋体" w:hAnsi="宋体" w:eastAsia="宋体" w:cs="Times New Roman"/>
                <w:color w:val="auto"/>
              </w:rPr>
            </w:pPr>
            <w:r>
              <w:rPr>
                <w:rFonts w:ascii="宋体" w:hAnsi="宋体" w:eastAsia="宋体" w:cs="Times New Roman"/>
                <w:color w:val="auto"/>
              </w:rPr>
              <w:t>符合性分析</w:t>
            </w:r>
          </w:p>
        </w:tc>
        <w:tc>
          <w:tcPr>
            <w:tcW w:w="529" w:type="pct"/>
            <w:shd w:val="clear" w:color="auto" w:fill="auto"/>
            <w:vAlign w:val="center"/>
          </w:tcPr>
          <w:p w14:paraId="4B5D69F3">
            <w:pPr>
              <w:jc w:val="center"/>
              <w:rPr>
                <w:rFonts w:ascii="宋体" w:hAnsi="宋体" w:eastAsia="宋体" w:cs="Times New Roman"/>
                <w:color w:val="auto"/>
              </w:rPr>
            </w:pPr>
            <w:r>
              <w:rPr>
                <w:rFonts w:ascii="宋体" w:hAnsi="宋体" w:eastAsia="宋体" w:cs="Times New Roman"/>
                <w:color w:val="auto"/>
              </w:rPr>
              <w:t>符合性</w:t>
            </w:r>
          </w:p>
        </w:tc>
      </w:tr>
      <w:tr w14:paraId="1C5E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shd w:val="clear" w:color="auto" w:fill="auto"/>
            <w:vAlign w:val="center"/>
          </w:tcPr>
          <w:p w14:paraId="46EB4A0F">
            <w:pPr>
              <w:jc w:val="center"/>
              <w:rPr>
                <w:rFonts w:ascii="宋体" w:hAnsi="宋体" w:eastAsia="宋体" w:cs="Times New Roman"/>
                <w:color w:val="auto"/>
              </w:rPr>
            </w:pPr>
            <w:r>
              <w:rPr>
                <w:rFonts w:ascii="宋体" w:hAnsi="宋体" w:eastAsia="宋体" w:cs="Times New Roman"/>
                <w:color w:val="auto"/>
              </w:rPr>
              <w:t>1</w:t>
            </w:r>
          </w:p>
        </w:tc>
        <w:tc>
          <w:tcPr>
            <w:tcW w:w="1786" w:type="pct"/>
            <w:shd w:val="clear" w:color="auto" w:fill="auto"/>
            <w:vAlign w:val="center"/>
          </w:tcPr>
          <w:p w14:paraId="4B850BB2">
            <w:pPr>
              <w:jc w:val="center"/>
              <w:rPr>
                <w:rFonts w:ascii="宋体" w:hAnsi="宋体" w:eastAsia="宋体" w:cs="Times New Roman"/>
                <w:color w:val="auto"/>
              </w:rPr>
            </w:pPr>
            <w:r>
              <w:rPr>
                <w:rFonts w:ascii="宋体" w:hAnsi="宋体" w:eastAsia="宋体" w:cs="Times New Roman"/>
                <w:color w:val="auto"/>
              </w:rPr>
              <w:t>3.3.1.4 工矿区治理中要求“治理措施以植被恢复为主，采用种草、种树绿化方法，治理油田开采和砖厂取土生产等造成的地表植被破坏”。</w:t>
            </w:r>
          </w:p>
        </w:tc>
        <w:tc>
          <w:tcPr>
            <w:tcW w:w="2283" w:type="pct"/>
            <w:shd w:val="clear" w:color="auto" w:fill="auto"/>
            <w:vAlign w:val="center"/>
          </w:tcPr>
          <w:p w14:paraId="4A1E9B3B">
            <w:pPr>
              <w:jc w:val="center"/>
              <w:rPr>
                <w:rFonts w:ascii="宋体" w:hAnsi="宋体" w:eastAsia="宋体" w:cs="Times New Roman"/>
                <w:color w:val="auto"/>
                <w:lang w:bidi="zh-CN"/>
              </w:rPr>
            </w:pPr>
            <w:r>
              <w:rPr>
                <w:rFonts w:ascii="宋体" w:hAnsi="宋体" w:eastAsia="宋体" w:cs="Times New Roman"/>
                <w:color w:val="auto"/>
                <w:lang w:bidi="zh-CN"/>
              </w:rPr>
              <w:t>本项目占地为耕地</w:t>
            </w:r>
            <w:r>
              <w:rPr>
                <w:rFonts w:hint="eastAsia" w:ascii="宋体" w:hAnsi="宋体" w:eastAsia="宋体" w:cs="Times New Roman"/>
                <w:color w:val="auto"/>
                <w:lang w:bidi="zh-CN"/>
              </w:rPr>
              <w:t>（永久基本农田）</w:t>
            </w:r>
            <w:r>
              <w:rPr>
                <w:rFonts w:ascii="宋体" w:hAnsi="宋体" w:eastAsia="宋体" w:cs="Times New Roman"/>
                <w:color w:val="auto"/>
                <w:lang w:bidi="zh-CN"/>
              </w:rPr>
              <w:t>和草地</w:t>
            </w:r>
            <w:r>
              <w:rPr>
                <w:rFonts w:hint="eastAsia" w:ascii="宋体" w:hAnsi="宋体" w:eastAsia="宋体" w:cs="Times New Roman"/>
                <w:color w:val="auto"/>
                <w:lang w:bidi="zh-CN"/>
              </w:rPr>
              <w:t>（一般草地）</w:t>
            </w:r>
            <w:r>
              <w:rPr>
                <w:rFonts w:ascii="宋体" w:hAnsi="宋体" w:eastAsia="宋体" w:cs="Times New Roman"/>
                <w:color w:val="auto"/>
                <w:lang w:bidi="zh-CN"/>
              </w:rPr>
              <w:t>，施工期尽量避开农作物耕种季节，在施工过程中尽量保护土地资源，不打乱土层，以便土地恢复，临时占用的耕地进行平整恢复，临时占用草地进行植被恢复。</w:t>
            </w:r>
          </w:p>
        </w:tc>
        <w:tc>
          <w:tcPr>
            <w:tcW w:w="529" w:type="pct"/>
            <w:shd w:val="clear" w:color="auto" w:fill="auto"/>
            <w:vAlign w:val="center"/>
          </w:tcPr>
          <w:p w14:paraId="13361209">
            <w:pPr>
              <w:jc w:val="center"/>
              <w:rPr>
                <w:rFonts w:ascii="宋体" w:hAnsi="宋体" w:eastAsia="宋体" w:cs="Times New Roman"/>
                <w:color w:val="auto"/>
              </w:rPr>
            </w:pPr>
            <w:r>
              <w:rPr>
                <w:rFonts w:ascii="宋体" w:hAnsi="宋体" w:eastAsia="宋体" w:cs="Times New Roman"/>
                <w:color w:val="auto"/>
              </w:rPr>
              <w:t>符合</w:t>
            </w:r>
          </w:p>
        </w:tc>
      </w:tr>
      <w:tr w14:paraId="392F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shd w:val="clear" w:color="auto" w:fill="auto"/>
            <w:vAlign w:val="center"/>
          </w:tcPr>
          <w:p w14:paraId="72D879EB">
            <w:pPr>
              <w:jc w:val="center"/>
              <w:rPr>
                <w:rFonts w:ascii="宋体" w:hAnsi="宋体" w:eastAsia="宋体" w:cs="Times New Roman"/>
                <w:color w:val="auto"/>
              </w:rPr>
            </w:pPr>
            <w:r>
              <w:rPr>
                <w:rFonts w:ascii="宋体" w:hAnsi="宋体" w:eastAsia="宋体" w:cs="Times New Roman"/>
                <w:color w:val="auto"/>
              </w:rPr>
              <w:t>2</w:t>
            </w:r>
          </w:p>
        </w:tc>
        <w:tc>
          <w:tcPr>
            <w:tcW w:w="1786" w:type="pct"/>
            <w:shd w:val="clear" w:color="auto" w:fill="auto"/>
            <w:vAlign w:val="center"/>
          </w:tcPr>
          <w:p w14:paraId="75CA2D05">
            <w:pPr>
              <w:jc w:val="center"/>
              <w:rPr>
                <w:rFonts w:ascii="宋体" w:hAnsi="宋体" w:eastAsia="宋体" w:cs="Times New Roman"/>
                <w:color w:val="auto"/>
              </w:rPr>
            </w:pPr>
            <w:r>
              <w:rPr>
                <w:rFonts w:ascii="宋体" w:hAnsi="宋体" w:eastAsia="宋体" w:cs="Times New Roman"/>
                <w:color w:val="auto"/>
              </w:rPr>
              <w:t>3.3.3.3 次生盐渍化防治中要求“建立完善水利排水工程，避免工业污水浸泡农田；生产建设用地破坏植被应及时采取恢复植被措施，避免造成次生盐渍化”。</w:t>
            </w:r>
          </w:p>
        </w:tc>
        <w:tc>
          <w:tcPr>
            <w:tcW w:w="2283" w:type="pct"/>
            <w:shd w:val="clear" w:color="auto" w:fill="auto"/>
            <w:vAlign w:val="center"/>
          </w:tcPr>
          <w:p w14:paraId="682E145F">
            <w:pPr>
              <w:jc w:val="center"/>
              <w:rPr>
                <w:rFonts w:ascii="宋体" w:hAnsi="宋体" w:eastAsia="宋体" w:cs="Times New Roman"/>
                <w:color w:val="auto"/>
              </w:rPr>
            </w:pPr>
            <w:r>
              <w:rPr>
                <w:rFonts w:ascii="宋体" w:hAnsi="宋体" w:eastAsia="宋体" w:cs="Times New Roman"/>
                <w:color w:val="auto"/>
              </w:rPr>
              <w:t>本项目产生的生产废水进入朝二联含油污水处理站和朝一联含油污水处理站处理，处理后的污水满足《大庆油田地面工程建设设计规定》（Q/SYDQ0639-2015）及《碎屑岩油藏注水水质指标技术要求及分析方法》（SY/T5329-2022）限值要求后回注油层，不外排。工程施工结束后对临时占地进行平整恢复，对永久占地平整压实，降低人为因素导致当地土壤盐碱化的趋势。</w:t>
            </w:r>
          </w:p>
        </w:tc>
        <w:tc>
          <w:tcPr>
            <w:tcW w:w="529" w:type="pct"/>
            <w:shd w:val="clear" w:color="auto" w:fill="auto"/>
            <w:vAlign w:val="center"/>
          </w:tcPr>
          <w:p w14:paraId="4AD06E95">
            <w:pPr>
              <w:jc w:val="center"/>
              <w:rPr>
                <w:rFonts w:ascii="宋体" w:hAnsi="宋体" w:eastAsia="宋体" w:cs="Times New Roman"/>
                <w:color w:val="auto"/>
              </w:rPr>
            </w:pPr>
            <w:r>
              <w:rPr>
                <w:rFonts w:ascii="宋体" w:hAnsi="宋体" w:eastAsia="宋体" w:cs="Times New Roman"/>
                <w:color w:val="auto"/>
              </w:rPr>
              <w:t>符合</w:t>
            </w:r>
          </w:p>
        </w:tc>
      </w:tr>
      <w:tr w14:paraId="3C39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shd w:val="clear" w:color="auto" w:fill="auto"/>
            <w:vAlign w:val="center"/>
          </w:tcPr>
          <w:p w14:paraId="5F899E04">
            <w:pPr>
              <w:jc w:val="center"/>
              <w:rPr>
                <w:rFonts w:ascii="宋体" w:hAnsi="宋体" w:eastAsia="宋体" w:cs="Times New Roman"/>
                <w:color w:val="auto"/>
              </w:rPr>
            </w:pPr>
            <w:r>
              <w:rPr>
                <w:rFonts w:ascii="宋体" w:hAnsi="宋体" w:eastAsia="宋体" w:cs="Times New Roman"/>
                <w:color w:val="auto"/>
              </w:rPr>
              <w:t>3</w:t>
            </w:r>
          </w:p>
        </w:tc>
        <w:tc>
          <w:tcPr>
            <w:tcW w:w="1786" w:type="pct"/>
            <w:shd w:val="clear" w:color="auto" w:fill="auto"/>
            <w:vAlign w:val="center"/>
          </w:tcPr>
          <w:p w14:paraId="3D7FE61B">
            <w:pPr>
              <w:jc w:val="center"/>
              <w:rPr>
                <w:rFonts w:ascii="宋体" w:hAnsi="宋体" w:eastAsia="宋体" w:cs="Times New Roman"/>
                <w:color w:val="auto"/>
              </w:rPr>
            </w:pPr>
            <w:r>
              <w:rPr>
                <w:rFonts w:ascii="宋体" w:hAnsi="宋体" w:eastAsia="宋体" w:cs="Times New Roman"/>
                <w:color w:val="auto"/>
              </w:rPr>
              <w:t>5.2.2 综合治理措施配置中要求“城市水土保持治理措施，结合生产建设项目类型具体设置措施”。</w:t>
            </w:r>
          </w:p>
        </w:tc>
        <w:tc>
          <w:tcPr>
            <w:tcW w:w="2283" w:type="pct"/>
            <w:shd w:val="clear" w:color="auto" w:fill="auto"/>
            <w:vAlign w:val="center"/>
          </w:tcPr>
          <w:p w14:paraId="6EAB6DCD">
            <w:pPr>
              <w:jc w:val="center"/>
              <w:rPr>
                <w:rFonts w:ascii="宋体" w:hAnsi="宋体" w:eastAsia="宋体" w:cs="Times New Roman"/>
                <w:color w:val="auto"/>
              </w:rPr>
            </w:pPr>
            <w:r>
              <w:rPr>
                <w:rFonts w:hint="eastAsia" w:ascii="宋体" w:hAnsi="宋体" w:eastAsia="宋体" w:cs="Times New Roman"/>
                <w:color w:val="auto"/>
              </w:rPr>
              <w:t>本项目</w:t>
            </w:r>
            <w:r>
              <w:rPr>
                <w:rFonts w:ascii="宋体" w:hAnsi="宋体" w:eastAsia="宋体" w:cs="Times New Roman"/>
                <w:color w:val="auto"/>
              </w:rPr>
              <w:t>为陆地石油开采类项目，根据井场、管道、道路不同的施工特点给出水土保持措施，管道表土留存可以回覆，对井场等永久占地进行补偿。</w:t>
            </w:r>
          </w:p>
        </w:tc>
        <w:tc>
          <w:tcPr>
            <w:tcW w:w="529" w:type="pct"/>
            <w:shd w:val="clear" w:color="auto" w:fill="auto"/>
            <w:vAlign w:val="center"/>
          </w:tcPr>
          <w:p w14:paraId="41A04310">
            <w:pPr>
              <w:jc w:val="center"/>
              <w:rPr>
                <w:rFonts w:ascii="宋体" w:hAnsi="宋体" w:eastAsia="宋体" w:cs="Times New Roman"/>
                <w:color w:val="auto"/>
              </w:rPr>
            </w:pPr>
            <w:r>
              <w:rPr>
                <w:rFonts w:ascii="宋体" w:hAnsi="宋体" w:eastAsia="宋体" w:cs="Times New Roman"/>
                <w:color w:val="auto"/>
              </w:rPr>
              <w:t>符合</w:t>
            </w:r>
          </w:p>
        </w:tc>
      </w:tr>
    </w:tbl>
    <w:p w14:paraId="0A71BE08">
      <w:pPr>
        <w:pStyle w:val="276"/>
        <w:widowControl w:val="0"/>
        <w:ind w:firstLine="480"/>
        <w:jc w:val="both"/>
        <w:rPr>
          <w:color w:val="auto"/>
        </w:rPr>
      </w:pPr>
      <w:r>
        <w:rPr>
          <w:color w:val="auto"/>
        </w:rPr>
        <w:t>本项目施工期开挖面积小，施工期短，土石方就近占地进行临时堆放，无转运丢弃，实际新增水土流失量小。根据项目土石方平衡，项目不产生弃土。剥离表层土的临时堆放场地设置严格的水土保持措施。施工结束后及时清理施工现场，对临时占地采取植被恢复、水土保持等措施进行生态恢复。在采取水土保持措施后，本项目满足《大庆市水土保持规划》（2015～2030年）要求。</w:t>
      </w:r>
    </w:p>
    <w:p w14:paraId="4893E47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与《大庆油气田地面工程“十四五”规划》（2015～2030年）符合性分析</w:t>
      </w:r>
    </w:p>
    <w:p w14:paraId="6CAF8AFB">
      <w:pPr>
        <w:pStyle w:val="276"/>
        <w:widowControl w:val="0"/>
        <w:ind w:firstLine="480"/>
        <w:jc w:val="both"/>
        <w:rPr>
          <w:color w:val="auto"/>
        </w:rPr>
      </w:pPr>
      <w:r>
        <w:rPr>
          <w:color w:val="auto"/>
        </w:rPr>
        <w:t>根据《大庆油气田地面工程“十四五”规划》开发规划安排，“十四五”期间，溶解气产量逐年递减，主要通过加大松辽深层、川渝以及塔东地区的气层气开发力度，来提高气层气的产量。2025年，基本探明页岩油储量30亿吨，累计增加石油探明储量8亿吨，天然气探时储量3500亿立方米；本土原油产量实现3000万吨规模，天然气产量达到70亿立方米以上。力争天然气产量达到70×108m</w:t>
      </w:r>
      <w:r>
        <w:rPr>
          <w:color w:val="auto"/>
          <w:vertAlign w:val="superscript"/>
        </w:rPr>
        <w:t>3</w:t>
      </w:r>
      <w:r>
        <w:rPr>
          <w:color w:val="auto"/>
        </w:rPr>
        <w:t>，其中溶解气16×108m</w:t>
      </w:r>
      <w:r>
        <w:rPr>
          <w:color w:val="auto"/>
          <w:vertAlign w:val="superscript"/>
        </w:rPr>
        <w:t>3</w:t>
      </w:r>
      <w:r>
        <w:rPr>
          <w:color w:val="auto"/>
        </w:rPr>
        <w:t>，气层气产量达到54×108m</w:t>
      </w:r>
      <w:r>
        <w:rPr>
          <w:color w:val="auto"/>
          <w:vertAlign w:val="superscript"/>
        </w:rPr>
        <w:t>3</w:t>
      </w:r>
      <w:r>
        <w:rPr>
          <w:color w:val="auto"/>
        </w:rPr>
        <w:t>。松辽地区老井递减控制在7%左右，新增产能3.3亿方。松辽地区“十四五”期间新增产能8.014亿方。</w:t>
      </w:r>
    </w:p>
    <w:p w14:paraId="2573A769">
      <w:pPr>
        <w:pStyle w:val="276"/>
        <w:widowControl w:val="0"/>
        <w:ind w:firstLine="480"/>
        <w:jc w:val="both"/>
        <w:rPr>
          <w:color w:val="auto"/>
        </w:rPr>
      </w:pPr>
      <w:r>
        <w:rPr>
          <w:color w:val="auto"/>
        </w:rPr>
        <w:t>本项目地处松嫩平原中部，属嫩江冲积平原，在地质构造上属于松辽盆地中央坳陷区。在《大庆油气田地面工程“十四五”规划》总体部署下，本项目可促进原油开发增产，项目建设符合大庆油田油气开发规划。</w:t>
      </w:r>
    </w:p>
    <w:p w14:paraId="60EA3418">
      <w:pPr>
        <w:pStyle w:val="6"/>
        <w:rPr>
          <w:color w:val="auto"/>
        </w:rPr>
      </w:pPr>
      <w:bookmarkStart w:id="97" w:name="_Toc85640707"/>
      <w:bookmarkStart w:id="98" w:name="_Toc86141890"/>
      <w:bookmarkStart w:id="99" w:name="_Toc143099533"/>
      <w:bookmarkStart w:id="100" w:name="_Toc84929182"/>
      <w:bookmarkStart w:id="101" w:name="_Toc127192295"/>
      <w:bookmarkStart w:id="102" w:name="_Toc131167246"/>
      <w:bookmarkStart w:id="103" w:name="_Toc126863346"/>
      <w:r>
        <w:rPr>
          <w:color w:val="auto"/>
        </w:rPr>
        <w:t>相关政策符合性分析</w:t>
      </w:r>
      <w:bookmarkEnd w:id="97"/>
      <w:bookmarkEnd w:id="98"/>
      <w:bookmarkEnd w:id="99"/>
      <w:bookmarkEnd w:id="100"/>
      <w:bookmarkEnd w:id="101"/>
      <w:bookmarkEnd w:id="102"/>
      <w:bookmarkEnd w:id="103"/>
    </w:p>
    <w:p w14:paraId="13DD6B7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与《石油天然气开采业污染防治技术政策》（环保部公告2012年第18号）符合性判定</w:t>
      </w:r>
    </w:p>
    <w:p w14:paraId="3070798A">
      <w:pPr>
        <w:pStyle w:val="276"/>
        <w:widowControl w:val="0"/>
        <w:ind w:firstLine="480"/>
        <w:jc w:val="both"/>
        <w:rPr>
          <w:color w:val="auto"/>
          <w:szCs w:val="32"/>
        </w:rPr>
      </w:pPr>
      <w:r>
        <w:rPr>
          <w:color w:val="auto"/>
          <w:szCs w:val="32"/>
          <w:lang w:bidi="zh-CN"/>
        </w:rPr>
        <w:t>本项目与《</w:t>
      </w:r>
      <w:r>
        <w:rPr>
          <w:color w:val="auto"/>
        </w:rPr>
        <w:t>石油天然气开采业污染防治技术政策</w:t>
      </w:r>
      <w:r>
        <w:rPr>
          <w:color w:val="auto"/>
          <w:szCs w:val="32"/>
          <w:lang w:bidi="zh-CN"/>
        </w:rPr>
        <w:t>》（环保部公告2012年第18号）符合性分析见</w:t>
      </w:r>
      <w:r>
        <w:rPr>
          <w:color w:val="auto"/>
          <w:szCs w:val="32"/>
          <w:lang w:bidi="zh-CN"/>
        </w:rPr>
        <w:fldChar w:fldCharType="begin"/>
      </w:r>
      <w:r>
        <w:rPr>
          <w:color w:val="auto"/>
          <w:szCs w:val="32"/>
          <w:lang w:bidi="zh-CN"/>
        </w:rPr>
        <w:instrText xml:space="preserve"> REF _Ref211957082 \h  \* MERGEFORMAT </w:instrText>
      </w:r>
      <w:r>
        <w:rPr>
          <w:color w:val="auto"/>
          <w:szCs w:val="32"/>
          <w:lang w:bidi="zh-CN"/>
        </w:rPr>
        <w:fldChar w:fldCharType="separate"/>
      </w:r>
      <w:r>
        <w:rPr>
          <w:rFonts w:hint="eastAsia"/>
          <w:color w:val="auto"/>
        </w:rPr>
        <w:t xml:space="preserve">表 </w:t>
      </w:r>
      <w:r>
        <w:rPr>
          <w:color w:val="auto"/>
        </w:rPr>
        <w:t>1.4</w:t>
      </w:r>
      <w:r>
        <w:rPr>
          <w:color w:val="auto"/>
        </w:rPr>
        <w:noBreakHyphen/>
      </w:r>
      <w:r>
        <w:rPr>
          <w:color w:val="auto"/>
        </w:rPr>
        <w:t>5</w:t>
      </w:r>
      <w:r>
        <w:rPr>
          <w:color w:val="auto"/>
          <w:szCs w:val="32"/>
          <w:lang w:bidi="zh-CN"/>
        </w:rPr>
        <w:fldChar w:fldCharType="end"/>
      </w:r>
      <w:r>
        <w:rPr>
          <w:color w:val="auto"/>
          <w:szCs w:val="32"/>
          <w:lang w:bidi="zh-CN"/>
        </w:rPr>
        <w:t>。</w:t>
      </w:r>
    </w:p>
    <w:p w14:paraId="65F37DA5">
      <w:pPr>
        <w:pStyle w:val="22"/>
        <w:spacing w:before="156"/>
        <w:rPr>
          <w:color w:val="auto"/>
        </w:rPr>
      </w:pPr>
      <w:bookmarkStart w:id="104" w:name="_Ref211957082"/>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5</w:t>
      </w:r>
      <w:r>
        <w:rPr>
          <w:color w:val="auto"/>
        </w:rPr>
        <w:fldChar w:fldCharType="end"/>
      </w:r>
      <w:bookmarkEnd w:id="104"/>
      <w:r>
        <w:rPr>
          <w:color w:val="auto"/>
        </w:rPr>
        <w:t>本项目与《石油天然气开采业污染防治技术政策》相关要求符合性</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3038"/>
        <w:gridCol w:w="5076"/>
        <w:gridCol w:w="724"/>
      </w:tblGrid>
      <w:tr w14:paraId="4563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49280CF7">
            <w:pPr>
              <w:adjustRightInd w:val="0"/>
              <w:snapToGrid w:val="0"/>
              <w:jc w:val="center"/>
              <w:rPr>
                <w:rFonts w:ascii="宋体" w:hAnsi="宋体" w:eastAsia="宋体" w:cs="Times New Roman"/>
                <w:color w:val="auto"/>
              </w:rPr>
            </w:pPr>
            <w:r>
              <w:rPr>
                <w:rFonts w:ascii="宋体" w:hAnsi="宋体" w:eastAsia="宋体" w:cs="Times New Roman"/>
                <w:color w:val="auto"/>
              </w:rPr>
              <w:t>序号</w:t>
            </w:r>
          </w:p>
        </w:tc>
        <w:tc>
          <w:tcPr>
            <w:tcW w:w="1636" w:type="pct"/>
            <w:shd w:val="clear" w:color="auto" w:fill="auto"/>
            <w:vAlign w:val="center"/>
          </w:tcPr>
          <w:p w14:paraId="20863A65">
            <w:pPr>
              <w:adjustRightInd w:val="0"/>
              <w:snapToGrid w:val="0"/>
              <w:jc w:val="center"/>
              <w:rPr>
                <w:rFonts w:ascii="宋体" w:hAnsi="宋体" w:eastAsia="宋体" w:cs="Times New Roman"/>
                <w:color w:val="auto"/>
              </w:rPr>
            </w:pPr>
            <w:r>
              <w:rPr>
                <w:rFonts w:ascii="宋体" w:hAnsi="宋体" w:eastAsia="宋体" w:cs="Times New Roman"/>
                <w:color w:val="auto"/>
              </w:rPr>
              <w:t>相关要求</w:t>
            </w:r>
          </w:p>
        </w:tc>
        <w:tc>
          <w:tcPr>
            <w:tcW w:w="2733" w:type="pct"/>
            <w:shd w:val="clear" w:color="auto" w:fill="auto"/>
            <w:vAlign w:val="center"/>
          </w:tcPr>
          <w:p w14:paraId="587B064A">
            <w:pPr>
              <w:adjustRightInd w:val="0"/>
              <w:snapToGrid w:val="0"/>
              <w:jc w:val="center"/>
              <w:rPr>
                <w:rFonts w:ascii="宋体" w:hAnsi="宋体" w:eastAsia="宋体" w:cs="Times New Roman"/>
                <w:color w:val="auto"/>
              </w:rPr>
            </w:pPr>
            <w:r>
              <w:rPr>
                <w:rFonts w:ascii="宋体" w:hAnsi="宋体" w:eastAsia="宋体" w:cs="Times New Roman"/>
                <w:color w:val="auto"/>
              </w:rPr>
              <w:t>符合性分析</w:t>
            </w:r>
          </w:p>
        </w:tc>
        <w:tc>
          <w:tcPr>
            <w:tcW w:w="391" w:type="pct"/>
            <w:shd w:val="clear" w:color="auto" w:fill="auto"/>
            <w:vAlign w:val="center"/>
          </w:tcPr>
          <w:p w14:paraId="02AD174F">
            <w:pPr>
              <w:adjustRightInd w:val="0"/>
              <w:snapToGrid w:val="0"/>
              <w:jc w:val="center"/>
              <w:rPr>
                <w:rFonts w:ascii="宋体" w:hAnsi="宋体" w:eastAsia="宋体" w:cs="Times New Roman"/>
                <w:color w:val="auto"/>
              </w:rPr>
            </w:pPr>
            <w:r>
              <w:rPr>
                <w:rFonts w:hint="eastAsia" w:ascii="宋体" w:hAnsi="宋体" w:eastAsia="宋体" w:cs="Times New Roman"/>
                <w:color w:val="auto"/>
              </w:rPr>
              <w:t>符合性</w:t>
            </w:r>
          </w:p>
        </w:tc>
      </w:tr>
      <w:tr w14:paraId="554C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233C4DF5">
            <w:pPr>
              <w:adjustRightInd w:val="0"/>
              <w:snapToGrid w:val="0"/>
              <w:jc w:val="center"/>
              <w:rPr>
                <w:rFonts w:ascii="宋体" w:hAnsi="宋体" w:eastAsia="宋体" w:cs="Times New Roman"/>
                <w:color w:val="auto"/>
              </w:rPr>
            </w:pPr>
            <w:r>
              <w:rPr>
                <w:rFonts w:ascii="宋体" w:hAnsi="宋体" w:eastAsia="宋体" w:cs="Times New Roman"/>
                <w:color w:val="auto"/>
              </w:rPr>
              <w:t>1</w:t>
            </w:r>
          </w:p>
        </w:tc>
        <w:tc>
          <w:tcPr>
            <w:tcW w:w="1636" w:type="pct"/>
            <w:shd w:val="clear" w:color="auto" w:fill="auto"/>
            <w:vAlign w:val="center"/>
          </w:tcPr>
          <w:p w14:paraId="5B877024">
            <w:pPr>
              <w:adjustRightInd w:val="0"/>
              <w:snapToGrid w:val="0"/>
              <w:jc w:val="center"/>
              <w:rPr>
                <w:rFonts w:ascii="宋体" w:hAnsi="宋体" w:eastAsia="宋体" w:cs="Times New Roman"/>
                <w:color w:val="auto"/>
              </w:rPr>
            </w:pPr>
            <w:r>
              <w:rPr>
                <w:rFonts w:ascii="宋体" w:hAnsi="宋体" w:eastAsia="宋体" w:cs="Times New Roman"/>
                <w:color w:val="auto"/>
              </w:rPr>
              <w:t>到2015年末，行业新、改、扩建项目均采用清洁生产工艺和技术，工业废水回用率达到90%以上，工业固体废物资源化及无害化处理处置率达到100%。</w:t>
            </w:r>
          </w:p>
        </w:tc>
        <w:tc>
          <w:tcPr>
            <w:tcW w:w="2733" w:type="pct"/>
            <w:shd w:val="clear" w:color="auto" w:fill="auto"/>
            <w:vAlign w:val="center"/>
          </w:tcPr>
          <w:p w14:paraId="75E6017F">
            <w:pPr>
              <w:adjustRightInd w:val="0"/>
              <w:snapToGrid w:val="0"/>
              <w:jc w:val="center"/>
              <w:rPr>
                <w:rFonts w:ascii="宋体" w:hAnsi="宋体" w:eastAsia="宋体" w:cs="Times New Roman"/>
                <w:color w:val="auto"/>
              </w:rPr>
            </w:pPr>
            <w:r>
              <w:rPr>
                <w:rFonts w:ascii="宋体" w:hAnsi="宋体" w:eastAsia="宋体" w:cs="Times New Roman"/>
                <w:color w:val="auto"/>
              </w:rPr>
              <w:t>本项目施工期及</w:t>
            </w:r>
            <w:r>
              <w:rPr>
                <w:rFonts w:hint="eastAsia" w:ascii="宋体" w:hAnsi="宋体" w:eastAsia="宋体" w:cs="Times New Roman"/>
                <w:color w:val="auto"/>
              </w:rPr>
              <w:t>运营期</w:t>
            </w:r>
            <w:r>
              <w:rPr>
                <w:rFonts w:ascii="宋体" w:hAnsi="宋体" w:eastAsia="宋体" w:cs="Times New Roman"/>
                <w:color w:val="auto"/>
              </w:rPr>
              <w:t>生产废水均经朝二联含油污水处理站和朝一联含油污水处理站处理达标后回注油层，回用率90%以上，工业固废（施工期水基废钻井液、水基钻井岩屑、不含油废射孔液、含油废射孔液、油基废钻井液、油基钻井岩屑、膨润土等废包装袋、含油废防渗布、施工废料、封井建筑垃圾、落地油及运营期含油污泥、落地油、含油废防渗布）均得到妥善处置，处置率达到100%。</w:t>
            </w:r>
          </w:p>
        </w:tc>
        <w:tc>
          <w:tcPr>
            <w:tcW w:w="391" w:type="pct"/>
            <w:shd w:val="clear" w:color="auto" w:fill="auto"/>
            <w:vAlign w:val="center"/>
          </w:tcPr>
          <w:p w14:paraId="13D45EF9">
            <w:pPr>
              <w:adjustRightInd w:val="0"/>
              <w:snapToGrid w:val="0"/>
              <w:jc w:val="center"/>
              <w:rPr>
                <w:rFonts w:ascii="宋体" w:hAnsi="宋体" w:eastAsia="宋体" w:cs="Times New Roman"/>
                <w:color w:val="auto"/>
              </w:rPr>
            </w:pPr>
            <w:r>
              <w:rPr>
                <w:rFonts w:hint="eastAsia" w:ascii="宋体" w:hAnsi="宋体" w:eastAsia="宋体" w:cs="Times New Roman"/>
                <w:color w:val="auto"/>
              </w:rPr>
              <w:t>符合</w:t>
            </w:r>
          </w:p>
        </w:tc>
      </w:tr>
      <w:tr w14:paraId="5B03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67F6F037">
            <w:pPr>
              <w:adjustRightInd w:val="0"/>
              <w:snapToGrid w:val="0"/>
              <w:jc w:val="center"/>
              <w:rPr>
                <w:rFonts w:ascii="宋体" w:hAnsi="宋体" w:eastAsia="宋体" w:cs="Times New Roman"/>
                <w:color w:val="auto"/>
              </w:rPr>
            </w:pPr>
            <w:r>
              <w:rPr>
                <w:rFonts w:ascii="宋体" w:hAnsi="宋体" w:eastAsia="宋体" w:cs="Times New Roman"/>
                <w:color w:val="auto"/>
              </w:rPr>
              <w:t>2</w:t>
            </w:r>
          </w:p>
        </w:tc>
        <w:tc>
          <w:tcPr>
            <w:tcW w:w="1636" w:type="pct"/>
            <w:shd w:val="clear" w:color="auto" w:fill="auto"/>
            <w:vAlign w:val="center"/>
          </w:tcPr>
          <w:p w14:paraId="076A60D9">
            <w:pPr>
              <w:adjustRightInd w:val="0"/>
              <w:snapToGrid w:val="0"/>
              <w:jc w:val="center"/>
              <w:rPr>
                <w:rFonts w:ascii="宋体" w:hAnsi="宋体" w:eastAsia="宋体" w:cs="Times New Roman"/>
                <w:color w:val="auto"/>
              </w:rPr>
            </w:pPr>
            <w:r>
              <w:rPr>
                <w:rFonts w:ascii="宋体" w:hAnsi="宋体" w:eastAsia="宋体" w:cs="Times New Roman"/>
                <w:color w:val="auto"/>
              </w:rPr>
              <w:t>油气田建设应总体规划，优化布局，整体开发，减少占地和油气损失，实现油气和废物的集中收集、处理处置。</w:t>
            </w:r>
          </w:p>
        </w:tc>
        <w:tc>
          <w:tcPr>
            <w:tcW w:w="2733" w:type="pct"/>
            <w:shd w:val="clear" w:color="auto" w:fill="auto"/>
            <w:vAlign w:val="center"/>
          </w:tcPr>
          <w:p w14:paraId="171229C5">
            <w:pPr>
              <w:adjustRightInd w:val="0"/>
              <w:snapToGrid w:val="0"/>
              <w:jc w:val="center"/>
              <w:rPr>
                <w:rFonts w:ascii="宋体" w:hAnsi="宋体" w:eastAsia="宋体" w:cs="Times New Roman"/>
                <w:color w:val="auto"/>
              </w:rPr>
            </w:pPr>
            <w:r>
              <w:rPr>
                <w:rFonts w:ascii="宋体" w:hAnsi="宋体" w:eastAsia="宋体" w:cs="Times New Roman"/>
                <w:color w:val="auto"/>
              </w:rPr>
              <w:t>本项目为油气处置和废物收集处置均依托现有集中处置站场。</w:t>
            </w:r>
          </w:p>
        </w:tc>
        <w:tc>
          <w:tcPr>
            <w:tcW w:w="391" w:type="pct"/>
            <w:shd w:val="clear" w:color="auto" w:fill="auto"/>
            <w:vAlign w:val="center"/>
          </w:tcPr>
          <w:p w14:paraId="2ED9223D">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73B0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2A176C64">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1636" w:type="pct"/>
            <w:shd w:val="clear" w:color="auto" w:fill="auto"/>
            <w:vAlign w:val="center"/>
          </w:tcPr>
          <w:p w14:paraId="5FA5F52B">
            <w:pPr>
              <w:adjustRightInd w:val="0"/>
              <w:snapToGrid w:val="0"/>
              <w:jc w:val="center"/>
              <w:rPr>
                <w:rFonts w:ascii="宋体" w:hAnsi="宋体" w:eastAsia="宋体" w:cs="Times New Roman"/>
                <w:color w:val="auto"/>
              </w:rPr>
            </w:pPr>
            <w:r>
              <w:rPr>
                <w:rFonts w:ascii="宋体" w:hAnsi="宋体" w:eastAsia="宋体" w:cs="Times New Roman"/>
                <w:color w:val="auto"/>
              </w:rPr>
              <w:t>井下作业过程中应配备泄油器、刮油器等。落地原油应及时回收，落地原油回收率应达到100%。</w:t>
            </w:r>
          </w:p>
        </w:tc>
        <w:tc>
          <w:tcPr>
            <w:tcW w:w="2733" w:type="pct"/>
            <w:shd w:val="clear" w:color="auto" w:fill="auto"/>
            <w:vAlign w:val="center"/>
          </w:tcPr>
          <w:p w14:paraId="7CBB5F57">
            <w:pPr>
              <w:adjustRightInd w:val="0"/>
              <w:snapToGrid w:val="0"/>
              <w:jc w:val="center"/>
              <w:rPr>
                <w:rFonts w:ascii="宋体" w:hAnsi="宋体" w:eastAsia="宋体" w:cs="Times New Roman"/>
                <w:color w:val="auto"/>
              </w:rPr>
            </w:pPr>
            <w:r>
              <w:rPr>
                <w:rFonts w:ascii="宋体" w:hAnsi="宋体" w:eastAsia="宋体" w:cs="Times New Roman"/>
                <w:color w:val="auto"/>
              </w:rPr>
              <w:t>符合。大庆油田有限责任公司第十采油厂井下作业中配备泄油器、刮油器等配套措施，落地油在施工结束后100%回收。</w:t>
            </w:r>
          </w:p>
        </w:tc>
        <w:tc>
          <w:tcPr>
            <w:tcW w:w="391" w:type="pct"/>
            <w:shd w:val="clear" w:color="auto" w:fill="auto"/>
            <w:vAlign w:val="center"/>
          </w:tcPr>
          <w:p w14:paraId="3B457BF3">
            <w:pPr>
              <w:adjustRightInd w:val="0"/>
              <w:snapToGrid w:val="0"/>
              <w:jc w:val="center"/>
              <w:rPr>
                <w:rFonts w:ascii="宋体" w:hAnsi="宋体" w:eastAsia="宋体" w:cs="Times New Roman"/>
                <w:color w:val="auto"/>
              </w:rPr>
            </w:pPr>
          </w:p>
        </w:tc>
      </w:tr>
      <w:tr w14:paraId="7DB9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65F89CBE">
            <w:pPr>
              <w:adjustRightInd w:val="0"/>
              <w:snapToGrid w:val="0"/>
              <w:jc w:val="center"/>
              <w:rPr>
                <w:rFonts w:ascii="宋体" w:hAnsi="宋体" w:eastAsia="宋体" w:cs="Times New Roman"/>
                <w:color w:val="auto"/>
              </w:rPr>
            </w:pPr>
            <w:r>
              <w:rPr>
                <w:rFonts w:ascii="宋体" w:hAnsi="宋体" w:eastAsia="宋体" w:cs="Times New Roman"/>
                <w:color w:val="auto"/>
              </w:rPr>
              <w:t>4</w:t>
            </w:r>
          </w:p>
        </w:tc>
        <w:tc>
          <w:tcPr>
            <w:tcW w:w="1636" w:type="pct"/>
            <w:shd w:val="clear" w:color="auto" w:fill="auto"/>
            <w:vAlign w:val="center"/>
          </w:tcPr>
          <w:p w14:paraId="0DA209F5">
            <w:pPr>
              <w:adjustRightInd w:val="0"/>
              <w:snapToGrid w:val="0"/>
              <w:jc w:val="center"/>
              <w:rPr>
                <w:rFonts w:ascii="宋体" w:hAnsi="宋体" w:eastAsia="宋体" w:cs="Times New Roman"/>
                <w:color w:val="auto"/>
              </w:rPr>
            </w:pPr>
            <w:r>
              <w:rPr>
                <w:rFonts w:ascii="宋体" w:hAnsi="宋体" w:eastAsia="宋体" w:cs="Times New Roman"/>
                <w:color w:val="auto"/>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733" w:type="pct"/>
            <w:shd w:val="clear" w:color="auto" w:fill="auto"/>
            <w:vAlign w:val="center"/>
          </w:tcPr>
          <w:p w14:paraId="1C64A2D2">
            <w:pPr>
              <w:adjustRightInd w:val="0"/>
              <w:snapToGrid w:val="0"/>
              <w:jc w:val="center"/>
              <w:rPr>
                <w:rFonts w:ascii="宋体" w:hAnsi="宋体" w:eastAsia="宋体" w:cs="Times New Roman"/>
                <w:color w:val="auto"/>
              </w:rPr>
            </w:pPr>
            <w:r>
              <w:rPr>
                <w:rFonts w:ascii="宋体" w:hAnsi="宋体" w:eastAsia="宋体" w:cs="Times New Roman"/>
                <w:color w:val="auto"/>
              </w:rPr>
              <w:t>压裂返排液由罐车拉运至朝一联压裂返排液无害化处理站处理后，管输进入朝一联含油污水处理站处理，处理后的出水满足《大庆油田地面工程建设设计规定》（Q/SYDQ0639-2015）及《碎屑岩油藏注水水质指标技术要求及分析方法》（SY/T5329-2022）限值要求后回注油层，不外排。</w:t>
            </w:r>
          </w:p>
        </w:tc>
        <w:tc>
          <w:tcPr>
            <w:tcW w:w="391" w:type="pct"/>
            <w:shd w:val="clear" w:color="auto" w:fill="auto"/>
            <w:vAlign w:val="center"/>
          </w:tcPr>
          <w:p w14:paraId="5BC70936">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26CC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463CCEBC">
            <w:pPr>
              <w:adjustRightInd w:val="0"/>
              <w:snapToGrid w:val="0"/>
              <w:jc w:val="center"/>
              <w:rPr>
                <w:rFonts w:ascii="宋体" w:hAnsi="宋体" w:eastAsia="宋体" w:cs="Times New Roman"/>
                <w:color w:val="auto"/>
              </w:rPr>
            </w:pPr>
            <w:r>
              <w:rPr>
                <w:rFonts w:ascii="宋体" w:hAnsi="宋体" w:eastAsia="宋体" w:cs="Times New Roman"/>
                <w:color w:val="auto"/>
              </w:rPr>
              <w:t>5</w:t>
            </w:r>
          </w:p>
        </w:tc>
        <w:tc>
          <w:tcPr>
            <w:tcW w:w="1636" w:type="pct"/>
            <w:shd w:val="clear" w:color="auto" w:fill="auto"/>
            <w:vAlign w:val="center"/>
          </w:tcPr>
          <w:p w14:paraId="25D3E1D5">
            <w:pPr>
              <w:adjustRightInd w:val="0"/>
              <w:snapToGrid w:val="0"/>
              <w:jc w:val="center"/>
              <w:rPr>
                <w:rFonts w:ascii="宋体" w:hAnsi="宋体" w:eastAsia="宋体" w:cs="Times New Roman"/>
                <w:color w:val="auto"/>
              </w:rPr>
            </w:pPr>
            <w:r>
              <w:rPr>
                <w:rFonts w:ascii="宋体" w:hAnsi="宋体" w:eastAsia="宋体" w:cs="Times New Roman"/>
                <w:color w:val="auto"/>
              </w:rPr>
              <w:t>在开发过程中，适宜注水开采的油气田，应将采出水处理满足标准后回注。</w:t>
            </w:r>
          </w:p>
        </w:tc>
        <w:tc>
          <w:tcPr>
            <w:tcW w:w="2733" w:type="pct"/>
            <w:shd w:val="clear" w:color="auto" w:fill="auto"/>
            <w:vAlign w:val="center"/>
          </w:tcPr>
          <w:p w14:paraId="4C8B728F">
            <w:pPr>
              <w:adjustRightInd w:val="0"/>
              <w:snapToGrid w:val="0"/>
              <w:jc w:val="center"/>
              <w:rPr>
                <w:rFonts w:ascii="宋体" w:hAnsi="宋体" w:eastAsia="宋体" w:cs="Times New Roman"/>
                <w:color w:val="auto"/>
              </w:rPr>
            </w:pPr>
            <w:r>
              <w:rPr>
                <w:rFonts w:ascii="宋体" w:hAnsi="宋体" w:eastAsia="宋体" w:cs="Times New Roman"/>
                <w:color w:val="auto"/>
              </w:rPr>
              <w:t>本项目油田产液采出水最终进入朝二联含油污水处理站处理满足《大庆油田地面工程建设设计规定》（Q/SYDQ0639-2015）及《碎屑岩油藏注水水质指标技术要求及分析方法》（SY/T5329-2022）限值要求后回注油层。</w:t>
            </w:r>
          </w:p>
        </w:tc>
        <w:tc>
          <w:tcPr>
            <w:tcW w:w="391" w:type="pct"/>
            <w:shd w:val="clear" w:color="auto" w:fill="auto"/>
            <w:vAlign w:val="center"/>
          </w:tcPr>
          <w:p w14:paraId="1CB6AB0C">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7AC7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157D0C52">
            <w:pPr>
              <w:adjustRightInd w:val="0"/>
              <w:snapToGrid w:val="0"/>
              <w:jc w:val="center"/>
              <w:rPr>
                <w:rFonts w:ascii="宋体" w:hAnsi="宋体" w:eastAsia="宋体" w:cs="Times New Roman"/>
                <w:color w:val="auto"/>
              </w:rPr>
            </w:pPr>
            <w:r>
              <w:rPr>
                <w:rFonts w:ascii="宋体" w:hAnsi="宋体" w:eastAsia="宋体" w:cs="Times New Roman"/>
                <w:color w:val="auto"/>
              </w:rPr>
              <w:t>6</w:t>
            </w:r>
          </w:p>
        </w:tc>
        <w:tc>
          <w:tcPr>
            <w:tcW w:w="1636" w:type="pct"/>
            <w:shd w:val="clear" w:color="auto" w:fill="auto"/>
            <w:vAlign w:val="center"/>
          </w:tcPr>
          <w:p w14:paraId="794E524B">
            <w:pPr>
              <w:adjustRightInd w:val="0"/>
              <w:snapToGrid w:val="0"/>
              <w:jc w:val="center"/>
              <w:rPr>
                <w:rFonts w:ascii="宋体" w:hAnsi="宋体" w:eastAsia="宋体" w:cs="Times New Roman"/>
                <w:color w:val="auto"/>
              </w:rPr>
            </w:pPr>
            <w:r>
              <w:rPr>
                <w:rFonts w:ascii="宋体" w:hAnsi="宋体" w:eastAsia="宋体" w:cs="Times New Roman"/>
                <w:color w:val="auto"/>
              </w:rPr>
              <w:t>在油气集输过程中，应采用密闭流程，减少烃类气体排放。新、改、扩建油气田油气集输损耗率不高于0.5%</w:t>
            </w:r>
          </w:p>
        </w:tc>
        <w:tc>
          <w:tcPr>
            <w:tcW w:w="2733" w:type="pct"/>
            <w:shd w:val="clear" w:color="auto" w:fill="auto"/>
            <w:vAlign w:val="center"/>
          </w:tcPr>
          <w:p w14:paraId="4CB80367">
            <w:pPr>
              <w:adjustRightInd w:val="0"/>
              <w:snapToGrid w:val="0"/>
              <w:jc w:val="center"/>
              <w:rPr>
                <w:rFonts w:ascii="宋体" w:hAnsi="宋体" w:eastAsia="宋体" w:cs="Times New Roman"/>
                <w:color w:val="auto"/>
              </w:rPr>
            </w:pPr>
            <w:r>
              <w:rPr>
                <w:rFonts w:ascii="宋体" w:hAnsi="宋体" w:eastAsia="宋体" w:cs="Times New Roman"/>
                <w:color w:val="auto"/>
              </w:rPr>
              <w:t>本项目油气集输均采用密闭流程，集输过程中烃类挥发系数为1.4175‰，不高于0.5%。</w:t>
            </w:r>
          </w:p>
        </w:tc>
        <w:tc>
          <w:tcPr>
            <w:tcW w:w="391" w:type="pct"/>
            <w:shd w:val="clear" w:color="auto" w:fill="auto"/>
            <w:vAlign w:val="center"/>
          </w:tcPr>
          <w:p w14:paraId="4A675F82">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3CE7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5F8DB7C9">
            <w:pPr>
              <w:adjustRightInd w:val="0"/>
              <w:snapToGrid w:val="0"/>
              <w:jc w:val="center"/>
              <w:rPr>
                <w:rFonts w:ascii="宋体" w:hAnsi="宋体" w:eastAsia="宋体" w:cs="Times New Roman"/>
                <w:color w:val="auto"/>
              </w:rPr>
            </w:pPr>
            <w:r>
              <w:rPr>
                <w:rFonts w:ascii="宋体" w:hAnsi="宋体" w:eastAsia="宋体" w:cs="Times New Roman"/>
                <w:color w:val="auto"/>
              </w:rPr>
              <w:t>7</w:t>
            </w:r>
          </w:p>
        </w:tc>
        <w:tc>
          <w:tcPr>
            <w:tcW w:w="1636" w:type="pct"/>
            <w:shd w:val="clear" w:color="auto" w:fill="auto"/>
            <w:vAlign w:val="center"/>
          </w:tcPr>
          <w:p w14:paraId="5AD08AEF">
            <w:pPr>
              <w:adjustRightInd w:val="0"/>
              <w:snapToGrid w:val="0"/>
              <w:jc w:val="center"/>
              <w:rPr>
                <w:rFonts w:ascii="宋体" w:hAnsi="宋体" w:eastAsia="宋体" w:cs="Times New Roman"/>
                <w:color w:val="auto"/>
              </w:rPr>
            </w:pPr>
            <w:r>
              <w:rPr>
                <w:rFonts w:ascii="宋体" w:hAnsi="宋体" w:eastAsia="宋体" w:cs="Times New Roman"/>
                <w:color w:val="auto"/>
              </w:rPr>
              <w:t>油气田建设宜布置丛式井组，采用多分支井、水平井、小孔钻井、空气钻井等钻井技术，以减少废物产生和占地。</w:t>
            </w:r>
          </w:p>
        </w:tc>
        <w:tc>
          <w:tcPr>
            <w:tcW w:w="2733" w:type="pct"/>
            <w:shd w:val="clear" w:color="auto" w:fill="auto"/>
            <w:vAlign w:val="center"/>
          </w:tcPr>
          <w:p w14:paraId="0D6EE8C4">
            <w:pPr>
              <w:adjustRightInd w:val="0"/>
              <w:snapToGrid w:val="0"/>
              <w:jc w:val="center"/>
              <w:rPr>
                <w:rFonts w:ascii="宋体" w:hAnsi="宋体" w:eastAsia="宋体" w:cs="Times New Roman"/>
                <w:color w:val="auto"/>
              </w:rPr>
            </w:pPr>
            <w:r>
              <w:rPr>
                <w:rFonts w:ascii="宋体" w:hAnsi="宋体" w:eastAsia="宋体" w:cs="Times New Roman"/>
                <w:color w:val="auto"/>
              </w:rPr>
              <w:t>本项目采用水平井钻井技术，且新钻井组成1座平台和4座单井井场，减少占地。</w:t>
            </w:r>
          </w:p>
        </w:tc>
        <w:tc>
          <w:tcPr>
            <w:tcW w:w="391" w:type="pct"/>
            <w:shd w:val="clear" w:color="auto" w:fill="auto"/>
            <w:vAlign w:val="center"/>
          </w:tcPr>
          <w:p w14:paraId="72E456EE">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2825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262386F6">
            <w:pPr>
              <w:adjustRightInd w:val="0"/>
              <w:snapToGrid w:val="0"/>
              <w:jc w:val="center"/>
              <w:rPr>
                <w:rFonts w:ascii="宋体" w:hAnsi="宋体" w:eastAsia="宋体" w:cs="Times New Roman"/>
                <w:color w:val="auto"/>
              </w:rPr>
            </w:pPr>
            <w:r>
              <w:rPr>
                <w:rFonts w:ascii="宋体" w:hAnsi="宋体" w:eastAsia="宋体" w:cs="Times New Roman"/>
                <w:color w:val="auto"/>
              </w:rPr>
              <w:t>8</w:t>
            </w:r>
          </w:p>
        </w:tc>
        <w:tc>
          <w:tcPr>
            <w:tcW w:w="1636" w:type="pct"/>
            <w:shd w:val="clear" w:color="auto" w:fill="auto"/>
            <w:vAlign w:val="center"/>
          </w:tcPr>
          <w:p w14:paraId="3BFD46DC">
            <w:pPr>
              <w:adjustRightInd w:val="0"/>
              <w:snapToGrid w:val="0"/>
              <w:jc w:val="center"/>
              <w:rPr>
                <w:rFonts w:ascii="宋体" w:hAnsi="宋体" w:eastAsia="宋体" w:cs="Times New Roman"/>
                <w:color w:val="auto"/>
              </w:rPr>
            </w:pPr>
            <w:r>
              <w:rPr>
                <w:rFonts w:ascii="宋体" w:hAnsi="宋体" w:eastAsia="宋体" w:cs="Times New Roman"/>
                <w:color w:val="auto"/>
              </w:rPr>
              <w:t>在开发过程中，伴生气应回收利用，减少温室气体排放，不具备回收利用条件的，应充分燃烧，伴生气回收利用率应达到80%以上；站场放空天然气应充分燃烧。燃烧放空设施应避开鸟类迁徙通道。</w:t>
            </w:r>
          </w:p>
        </w:tc>
        <w:tc>
          <w:tcPr>
            <w:tcW w:w="2733" w:type="pct"/>
            <w:shd w:val="clear" w:color="auto" w:fill="auto"/>
            <w:vAlign w:val="center"/>
          </w:tcPr>
          <w:p w14:paraId="7E94484D">
            <w:pPr>
              <w:adjustRightInd w:val="0"/>
              <w:snapToGrid w:val="0"/>
              <w:jc w:val="center"/>
              <w:rPr>
                <w:rFonts w:ascii="宋体" w:hAnsi="宋体" w:eastAsia="宋体" w:cs="Times New Roman"/>
                <w:color w:val="auto"/>
              </w:rPr>
            </w:pPr>
            <w:r>
              <w:rPr>
                <w:rFonts w:ascii="宋体" w:hAnsi="宋体" w:eastAsia="宋体" w:cs="Times New Roman"/>
                <w:color w:val="auto"/>
                <w:lang w:bidi="zh-CN"/>
              </w:rPr>
              <w:t>本项目2口勘探井需进行放空处理，</w:t>
            </w:r>
            <w:r>
              <w:rPr>
                <w:rFonts w:ascii="宋体" w:hAnsi="宋体" w:eastAsia="宋体" w:cs="Times New Roman"/>
                <w:color w:val="auto"/>
              </w:rPr>
              <w:t>燃烧放空设施避开了鸟类迁徙通道。</w:t>
            </w:r>
            <w:r>
              <w:rPr>
                <w:rFonts w:ascii="宋体" w:hAnsi="宋体" w:eastAsia="宋体" w:cs="Times New Roman"/>
                <w:color w:val="auto"/>
                <w:lang w:bidi="zh-CN"/>
              </w:rPr>
              <w:t>另外4口井开发过程中产生的伴生气进入拉油点储罐，伴生气用于拉油点多功能储罐加热炉自耗，不放空</w:t>
            </w:r>
            <w:r>
              <w:rPr>
                <w:rFonts w:ascii="宋体" w:hAnsi="宋体" w:eastAsia="宋体" w:cs="Times New Roman"/>
                <w:color w:val="auto"/>
              </w:rPr>
              <w:t>。</w:t>
            </w:r>
          </w:p>
        </w:tc>
        <w:tc>
          <w:tcPr>
            <w:tcW w:w="391" w:type="pct"/>
            <w:shd w:val="clear" w:color="auto" w:fill="auto"/>
            <w:vAlign w:val="center"/>
          </w:tcPr>
          <w:p w14:paraId="19A69EC5">
            <w:pPr>
              <w:adjustRightInd w:val="0"/>
              <w:snapToGrid w:val="0"/>
              <w:jc w:val="center"/>
              <w:rPr>
                <w:rFonts w:ascii="宋体" w:hAnsi="宋体" w:eastAsia="宋体" w:cs="Times New Roman"/>
                <w:color w:val="auto"/>
                <w:lang w:bidi="zh-CN"/>
              </w:rPr>
            </w:pPr>
            <w:r>
              <w:rPr>
                <w:rFonts w:ascii="宋体" w:hAnsi="宋体" w:eastAsia="宋体" w:cs="Times New Roman"/>
                <w:color w:val="auto"/>
                <w:lang w:bidi="zh-CN"/>
              </w:rPr>
              <w:t>符合</w:t>
            </w:r>
          </w:p>
        </w:tc>
      </w:tr>
      <w:tr w14:paraId="0541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4A978986">
            <w:pPr>
              <w:adjustRightInd w:val="0"/>
              <w:snapToGrid w:val="0"/>
              <w:jc w:val="center"/>
              <w:rPr>
                <w:rFonts w:ascii="宋体" w:hAnsi="宋体" w:eastAsia="宋体" w:cs="Times New Roman"/>
                <w:color w:val="auto"/>
              </w:rPr>
            </w:pPr>
            <w:r>
              <w:rPr>
                <w:rFonts w:ascii="宋体" w:hAnsi="宋体" w:eastAsia="宋体" w:cs="Times New Roman"/>
                <w:color w:val="auto"/>
              </w:rPr>
              <w:t>9</w:t>
            </w:r>
          </w:p>
        </w:tc>
        <w:tc>
          <w:tcPr>
            <w:tcW w:w="1636" w:type="pct"/>
            <w:shd w:val="clear" w:color="auto" w:fill="auto"/>
            <w:vAlign w:val="center"/>
          </w:tcPr>
          <w:p w14:paraId="3283B9F7">
            <w:pPr>
              <w:adjustRightInd w:val="0"/>
              <w:snapToGrid w:val="0"/>
              <w:jc w:val="center"/>
              <w:rPr>
                <w:rFonts w:ascii="宋体" w:hAnsi="宋体" w:eastAsia="宋体" w:cs="Times New Roman"/>
                <w:color w:val="auto"/>
              </w:rPr>
            </w:pPr>
            <w:r>
              <w:rPr>
                <w:rFonts w:ascii="宋体" w:hAnsi="宋体" w:eastAsia="宋体" w:cs="Times New Roman"/>
                <w:color w:val="auto"/>
              </w:rPr>
              <w:t>应设立地下水水质监测井，加强对油气田地下水水质的监控，防止回注过程对地下水造成污染。</w:t>
            </w:r>
          </w:p>
        </w:tc>
        <w:tc>
          <w:tcPr>
            <w:tcW w:w="2733" w:type="pct"/>
            <w:shd w:val="clear" w:color="auto" w:fill="auto"/>
            <w:vAlign w:val="center"/>
          </w:tcPr>
          <w:p w14:paraId="0281FBDF">
            <w:pPr>
              <w:adjustRightInd w:val="0"/>
              <w:snapToGrid w:val="0"/>
              <w:jc w:val="center"/>
              <w:rPr>
                <w:rFonts w:ascii="宋体" w:hAnsi="宋体" w:eastAsia="宋体" w:cs="Times New Roman"/>
                <w:color w:val="auto"/>
              </w:rPr>
            </w:pPr>
            <w:r>
              <w:rPr>
                <w:rFonts w:ascii="宋体" w:hAnsi="宋体" w:eastAsia="宋体" w:cs="Times New Roman"/>
                <w:color w:val="auto"/>
              </w:rPr>
              <w:t>在本项目区域上游、区域内、区域下游</w:t>
            </w:r>
            <w:r>
              <w:rPr>
                <w:rFonts w:hint="eastAsia" w:ascii="宋体" w:hAnsi="宋体" w:eastAsia="宋体" w:cs="Times New Roman"/>
                <w:color w:val="auto"/>
              </w:rPr>
              <w:t>共</w:t>
            </w:r>
            <w:r>
              <w:rPr>
                <w:rFonts w:ascii="宋体" w:hAnsi="宋体" w:eastAsia="宋体" w:cs="Times New Roman"/>
                <w:color w:val="auto"/>
              </w:rPr>
              <w:t>布设</w:t>
            </w:r>
            <w:r>
              <w:rPr>
                <w:rFonts w:hint="eastAsia" w:ascii="宋体" w:hAnsi="宋体" w:eastAsia="宋体" w:cs="Times New Roman"/>
                <w:color w:val="auto"/>
              </w:rPr>
              <w:t>7</w:t>
            </w:r>
            <w:r>
              <w:rPr>
                <w:rFonts w:ascii="宋体" w:hAnsi="宋体" w:eastAsia="宋体" w:cs="Times New Roman"/>
                <w:color w:val="auto"/>
              </w:rPr>
              <w:t>口跟踪监测井，定期对地下水进行跟踪监测。</w:t>
            </w:r>
          </w:p>
        </w:tc>
        <w:tc>
          <w:tcPr>
            <w:tcW w:w="391" w:type="pct"/>
            <w:shd w:val="clear" w:color="auto" w:fill="auto"/>
            <w:vAlign w:val="center"/>
          </w:tcPr>
          <w:p w14:paraId="4FA843E5">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78B1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1" w:type="pct"/>
            <w:shd w:val="clear" w:color="auto" w:fill="auto"/>
            <w:vAlign w:val="center"/>
          </w:tcPr>
          <w:p w14:paraId="403CD204">
            <w:pPr>
              <w:adjustRightInd w:val="0"/>
              <w:snapToGrid w:val="0"/>
              <w:jc w:val="center"/>
              <w:rPr>
                <w:rFonts w:ascii="宋体" w:hAnsi="宋体" w:eastAsia="宋体" w:cs="Times New Roman"/>
                <w:color w:val="auto"/>
              </w:rPr>
            </w:pPr>
            <w:r>
              <w:rPr>
                <w:rFonts w:ascii="宋体" w:hAnsi="宋体" w:eastAsia="宋体" w:cs="Times New Roman"/>
                <w:color w:val="auto"/>
              </w:rPr>
              <w:t>10</w:t>
            </w:r>
          </w:p>
        </w:tc>
        <w:tc>
          <w:tcPr>
            <w:tcW w:w="1636" w:type="pct"/>
            <w:shd w:val="clear" w:color="auto" w:fill="auto"/>
            <w:vAlign w:val="center"/>
          </w:tcPr>
          <w:p w14:paraId="7851C562">
            <w:pPr>
              <w:adjustRightInd w:val="0"/>
              <w:snapToGrid w:val="0"/>
              <w:jc w:val="center"/>
              <w:rPr>
                <w:rFonts w:ascii="宋体" w:hAnsi="宋体" w:eastAsia="宋体" w:cs="Times New Roman"/>
                <w:color w:val="auto"/>
              </w:rPr>
            </w:pPr>
            <w:r>
              <w:rPr>
                <w:rFonts w:ascii="宋体" w:hAnsi="宋体" w:eastAsia="宋体" w:cs="Times New Roman"/>
                <w:color w:val="auto"/>
              </w:rPr>
              <w:t>在钻井和井下作业过程中，鼓励污油、污水进入生产流程循环利用，未进入生产流程的污油、污水应采用固液分离、废水处理一体化装置等处理后达标外排。</w:t>
            </w:r>
          </w:p>
        </w:tc>
        <w:tc>
          <w:tcPr>
            <w:tcW w:w="2733" w:type="pct"/>
            <w:shd w:val="clear" w:color="auto" w:fill="auto"/>
            <w:vAlign w:val="center"/>
          </w:tcPr>
          <w:p w14:paraId="740E29F3">
            <w:pPr>
              <w:adjustRightInd w:val="0"/>
              <w:snapToGrid w:val="0"/>
              <w:jc w:val="center"/>
              <w:rPr>
                <w:rFonts w:ascii="宋体" w:hAnsi="宋体" w:eastAsia="宋体" w:cs="Times New Roman"/>
                <w:color w:val="auto"/>
              </w:rPr>
            </w:pPr>
            <w:r>
              <w:rPr>
                <w:rFonts w:ascii="宋体" w:hAnsi="宋体" w:eastAsia="宋体" w:cs="Times New Roman"/>
                <w:color w:val="auto"/>
              </w:rPr>
              <w:t>作业污水由施工现场污水回收装置回收后拉运至朝二联含油污水处理站处理达标后回注油层，不外排。</w:t>
            </w:r>
          </w:p>
        </w:tc>
        <w:tc>
          <w:tcPr>
            <w:tcW w:w="391" w:type="pct"/>
            <w:shd w:val="clear" w:color="auto" w:fill="auto"/>
            <w:vAlign w:val="center"/>
          </w:tcPr>
          <w:p w14:paraId="5E6C381A">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019C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auto"/>
            <w:vAlign w:val="center"/>
          </w:tcPr>
          <w:p w14:paraId="3D83956F">
            <w:pPr>
              <w:adjustRightInd w:val="0"/>
              <w:snapToGrid w:val="0"/>
              <w:jc w:val="center"/>
              <w:rPr>
                <w:rFonts w:ascii="宋体" w:hAnsi="宋体" w:eastAsia="宋体" w:cs="Times New Roman"/>
                <w:color w:val="auto"/>
              </w:rPr>
            </w:pPr>
            <w:r>
              <w:rPr>
                <w:rFonts w:ascii="宋体" w:hAnsi="宋体" w:eastAsia="宋体" w:cs="Times New Roman"/>
                <w:color w:val="auto"/>
              </w:rPr>
              <w:t>11</w:t>
            </w:r>
          </w:p>
        </w:tc>
        <w:tc>
          <w:tcPr>
            <w:tcW w:w="1636" w:type="pct"/>
            <w:shd w:val="clear" w:color="auto" w:fill="auto"/>
            <w:vAlign w:val="center"/>
          </w:tcPr>
          <w:p w14:paraId="7C088BC7">
            <w:pPr>
              <w:adjustRightInd w:val="0"/>
              <w:snapToGrid w:val="0"/>
              <w:jc w:val="center"/>
              <w:rPr>
                <w:rFonts w:ascii="宋体" w:hAnsi="宋体" w:eastAsia="宋体" w:cs="Times New Roman"/>
                <w:color w:val="auto"/>
              </w:rPr>
            </w:pPr>
            <w:r>
              <w:rPr>
                <w:rFonts w:ascii="宋体" w:hAnsi="宋体" w:eastAsia="宋体" w:cs="Times New Roman"/>
                <w:color w:val="auto"/>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733" w:type="pct"/>
            <w:shd w:val="clear" w:color="auto" w:fill="auto"/>
            <w:vAlign w:val="center"/>
          </w:tcPr>
          <w:p w14:paraId="6EE743EE">
            <w:pPr>
              <w:adjustRightInd w:val="0"/>
              <w:snapToGrid w:val="0"/>
              <w:jc w:val="center"/>
              <w:rPr>
                <w:rFonts w:ascii="宋体" w:hAnsi="宋体" w:eastAsia="宋体" w:cs="Times New Roman"/>
                <w:color w:val="auto"/>
              </w:rPr>
            </w:pPr>
            <w:r>
              <w:rPr>
                <w:rFonts w:ascii="宋体" w:hAnsi="宋体" w:eastAsia="宋体" w:cs="Times New Roman"/>
                <w:color w:val="auto"/>
              </w:rPr>
              <w:t>拉油点储罐清淤、依托场站油气水分离器产生的油泥（砂）及落地油由罐车拉运至朝一联含油污泥处理站减量化处理后，再委托大庆博昕晶化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rFonts w:ascii="宋体" w:hAnsi="宋体" w:eastAsia="宋体" w:cs="Times New Roman"/>
                <w:color w:val="auto"/>
              </w:rPr>
              <w:t>，含油污泥资源化利用率100%。</w:t>
            </w:r>
          </w:p>
        </w:tc>
        <w:tc>
          <w:tcPr>
            <w:tcW w:w="391" w:type="pct"/>
            <w:shd w:val="clear" w:color="auto" w:fill="auto"/>
            <w:vAlign w:val="center"/>
          </w:tcPr>
          <w:p w14:paraId="3925FE5E">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bl>
    <w:p w14:paraId="5FA50A0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与《关于进一步加强石油天然气行业环境影响评价管理的通知》环办环评函[2019]910号）符合性分析</w:t>
      </w:r>
    </w:p>
    <w:p w14:paraId="597EB4E4">
      <w:pPr>
        <w:pStyle w:val="276"/>
        <w:widowControl w:val="0"/>
        <w:ind w:firstLine="480"/>
        <w:jc w:val="both"/>
        <w:rPr>
          <w:color w:val="auto"/>
        </w:rPr>
      </w:pPr>
      <w:r>
        <w:rPr>
          <w:color w:val="auto"/>
        </w:rPr>
        <w:t>本项目与</w:t>
      </w:r>
      <w:r>
        <w:rPr>
          <w:snapToGrid w:val="0"/>
          <w:color w:val="auto"/>
        </w:rPr>
        <w:t>《关于进一步加强石油天然气行业环境影响评价管理的通知》</w:t>
      </w:r>
      <w:r>
        <w:rPr>
          <w:color w:val="auto"/>
        </w:rPr>
        <w:t>（环办环评函[2019]910号）符合性分析见</w:t>
      </w:r>
      <w:r>
        <w:rPr>
          <w:color w:val="auto"/>
        </w:rPr>
        <w:fldChar w:fldCharType="begin"/>
      </w:r>
      <w:r>
        <w:rPr>
          <w:color w:val="auto"/>
        </w:rPr>
        <w:instrText xml:space="preserve"> REF _Ref211957102 \h  \* MERGEFORMAT </w:instrText>
      </w:r>
      <w:r>
        <w:rPr>
          <w:color w:val="auto"/>
        </w:rPr>
        <w:fldChar w:fldCharType="separate"/>
      </w:r>
      <w:r>
        <w:rPr>
          <w:rFonts w:hint="eastAsia"/>
          <w:color w:val="auto"/>
        </w:rPr>
        <w:t xml:space="preserve">表 </w:t>
      </w:r>
      <w:r>
        <w:rPr>
          <w:color w:val="auto"/>
        </w:rPr>
        <w:t>1.4</w:t>
      </w:r>
      <w:r>
        <w:rPr>
          <w:color w:val="auto"/>
        </w:rPr>
        <w:noBreakHyphen/>
      </w:r>
      <w:r>
        <w:rPr>
          <w:color w:val="auto"/>
        </w:rPr>
        <w:t>6</w:t>
      </w:r>
      <w:r>
        <w:rPr>
          <w:color w:val="auto"/>
        </w:rPr>
        <w:fldChar w:fldCharType="end"/>
      </w:r>
      <w:r>
        <w:rPr>
          <w:color w:val="auto"/>
        </w:rPr>
        <w:t>。</w:t>
      </w:r>
    </w:p>
    <w:p w14:paraId="6CEE67EA">
      <w:pPr>
        <w:pStyle w:val="22"/>
        <w:spacing w:before="156"/>
        <w:rPr>
          <w:color w:val="auto"/>
        </w:rPr>
      </w:pPr>
      <w:bookmarkStart w:id="105" w:name="_Ref211957102"/>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6</w:t>
      </w:r>
      <w:r>
        <w:rPr>
          <w:color w:val="auto"/>
        </w:rPr>
        <w:fldChar w:fldCharType="end"/>
      </w:r>
      <w:bookmarkEnd w:id="105"/>
      <w:r>
        <w:rPr>
          <w:color w:val="auto"/>
        </w:rPr>
        <w:t>与《关于进一步加强石油天然气行业环境影响评价管理的通知》符合性分析</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3029"/>
        <w:gridCol w:w="4530"/>
        <w:gridCol w:w="982"/>
      </w:tblGrid>
      <w:tr w14:paraId="062B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shd w:val="clear" w:color="auto" w:fill="auto"/>
            <w:vAlign w:val="center"/>
          </w:tcPr>
          <w:p w14:paraId="11157B17">
            <w:pPr>
              <w:jc w:val="center"/>
              <w:rPr>
                <w:rFonts w:ascii="宋体" w:hAnsi="宋体" w:eastAsia="宋体" w:cs="Times New Roman"/>
                <w:color w:val="auto"/>
              </w:rPr>
            </w:pPr>
            <w:r>
              <w:rPr>
                <w:rFonts w:ascii="宋体" w:hAnsi="宋体" w:eastAsia="宋体" w:cs="Times New Roman"/>
                <w:color w:val="auto"/>
              </w:rPr>
              <w:t>序号</w:t>
            </w:r>
          </w:p>
        </w:tc>
        <w:tc>
          <w:tcPr>
            <w:tcW w:w="1631" w:type="pct"/>
            <w:shd w:val="clear" w:color="auto" w:fill="auto"/>
            <w:vAlign w:val="center"/>
          </w:tcPr>
          <w:p w14:paraId="001FD73C">
            <w:pPr>
              <w:jc w:val="center"/>
              <w:rPr>
                <w:rFonts w:ascii="宋体" w:hAnsi="宋体" w:eastAsia="宋体" w:cs="Times New Roman"/>
                <w:color w:val="auto"/>
              </w:rPr>
            </w:pPr>
            <w:r>
              <w:rPr>
                <w:rFonts w:ascii="宋体" w:hAnsi="宋体" w:eastAsia="宋体" w:cs="Times New Roman"/>
                <w:color w:val="auto"/>
              </w:rPr>
              <w:t>文件要求</w:t>
            </w:r>
          </w:p>
        </w:tc>
        <w:tc>
          <w:tcPr>
            <w:tcW w:w="2439" w:type="pct"/>
            <w:shd w:val="clear" w:color="auto" w:fill="auto"/>
            <w:vAlign w:val="center"/>
          </w:tcPr>
          <w:p w14:paraId="6090BCE9">
            <w:pPr>
              <w:jc w:val="center"/>
              <w:rPr>
                <w:rFonts w:ascii="宋体" w:hAnsi="宋体" w:eastAsia="宋体" w:cs="Times New Roman"/>
                <w:color w:val="auto"/>
              </w:rPr>
            </w:pPr>
            <w:r>
              <w:rPr>
                <w:rFonts w:ascii="宋体" w:hAnsi="宋体" w:eastAsia="宋体" w:cs="Times New Roman"/>
                <w:color w:val="auto"/>
              </w:rPr>
              <w:t>符合性分析</w:t>
            </w:r>
          </w:p>
        </w:tc>
        <w:tc>
          <w:tcPr>
            <w:tcW w:w="529" w:type="pct"/>
            <w:shd w:val="clear" w:color="auto" w:fill="auto"/>
            <w:vAlign w:val="center"/>
          </w:tcPr>
          <w:p w14:paraId="2BAC259E">
            <w:pPr>
              <w:jc w:val="center"/>
              <w:rPr>
                <w:rFonts w:ascii="宋体" w:hAnsi="宋体" w:eastAsia="宋体" w:cs="Times New Roman"/>
                <w:color w:val="auto"/>
              </w:rPr>
            </w:pPr>
            <w:r>
              <w:rPr>
                <w:rFonts w:ascii="宋体" w:hAnsi="宋体" w:eastAsia="宋体" w:cs="Times New Roman"/>
                <w:color w:val="auto"/>
              </w:rPr>
              <w:t>符合性</w:t>
            </w:r>
          </w:p>
        </w:tc>
      </w:tr>
      <w:tr w14:paraId="20F8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shd w:val="clear" w:color="auto" w:fill="auto"/>
            <w:vAlign w:val="center"/>
          </w:tcPr>
          <w:p w14:paraId="5C559691">
            <w:pPr>
              <w:jc w:val="center"/>
              <w:rPr>
                <w:rFonts w:ascii="宋体" w:hAnsi="宋体" w:eastAsia="宋体" w:cs="Times New Roman"/>
                <w:color w:val="auto"/>
              </w:rPr>
            </w:pPr>
            <w:r>
              <w:rPr>
                <w:rFonts w:ascii="宋体" w:hAnsi="宋体" w:eastAsia="宋体" w:cs="Times New Roman"/>
                <w:color w:val="auto"/>
              </w:rPr>
              <w:t>1</w:t>
            </w:r>
          </w:p>
        </w:tc>
        <w:tc>
          <w:tcPr>
            <w:tcW w:w="1631" w:type="pct"/>
            <w:shd w:val="clear" w:color="auto" w:fill="auto"/>
            <w:vAlign w:val="center"/>
          </w:tcPr>
          <w:p w14:paraId="5A7E3235">
            <w:pPr>
              <w:jc w:val="center"/>
              <w:rPr>
                <w:rFonts w:ascii="宋体" w:hAnsi="宋体" w:eastAsia="宋体" w:cs="Times New Roman"/>
                <w:color w:val="auto"/>
              </w:rPr>
            </w:pPr>
            <w:r>
              <w:rPr>
                <w:rFonts w:ascii="宋体" w:hAnsi="宋体" w:eastAsia="宋体" w:cs="Times New Roman"/>
                <w:color w:val="auto"/>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2439" w:type="pct"/>
            <w:shd w:val="clear" w:color="auto" w:fill="auto"/>
            <w:vAlign w:val="center"/>
          </w:tcPr>
          <w:p w14:paraId="36590CEC">
            <w:pPr>
              <w:jc w:val="center"/>
              <w:rPr>
                <w:rFonts w:ascii="宋体" w:hAnsi="宋体" w:eastAsia="宋体" w:cs="Times New Roman"/>
                <w:color w:val="auto"/>
                <w:lang w:bidi="zh-CN"/>
              </w:rPr>
            </w:pPr>
            <w:r>
              <w:rPr>
                <w:rFonts w:ascii="宋体" w:hAnsi="宋体" w:eastAsia="宋体" w:cs="Times New Roman"/>
                <w:color w:val="auto"/>
                <w:lang w:bidi="zh-CN"/>
              </w:rPr>
              <w:t>本项目为现有源212区块进行开发，本次环评在3.1章节中详述了肇源油田源212区块现有工程环境影响进行回顾性评价，区块内油田生产设施主要包括油水井场和集油管线。</w:t>
            </w:r>
            <w:r>
              <w:rPr>
                <w:rFonts w:hint="eastAsia" w:ascii="宋体" w:hAnsi="宋体" w:eastAsia="宋体" w:cs="Times New Roman"/>
                <w:color w:val="auto"/>
                <w:lang w:bidi="zh-CN"/>
              </w:rPr>
              <w:t>油气集输采用密闭集输工艺，依托场站及新建拉油点加热装置采用清洁能源天然气作为燃料</w:t>
            </w:r>
            <w:r>
              <w:rPr>
                <w:rFonts w:ascii="宋体" w:hAnsi="宋体" w:eastAsia="宋体" w:cs="Times New Roman"/>
                <w:color w:val="auto"/>
                <w:lang w:bidi="zh-CN"/>
              </w:rPr>
              <w:t>；油水井作业污水、油田采出水最终经朝二联含油污水处理站处理后回注油层，生活污水</w:t>
            </w:r>
            <w:r>
              <w:rPr>
                <w:rFonts w:hint="eastAsia" w:ascii="宋体" w:hAnsi="宋体" w:eastAsia="宋体" w:cs="Times New Roman"/>
                <w:color w:val="auto"/>
                <w:lang w:bidi="zh-CN"/>
              </w:rPr>
              <w:t>最终经</w:t>
            </w:r>
            <w:r>
              <w:rPr>
                <w:rFonts w:ascii="宋体" w:hAnsi="宋体" w:eastAsia="宋体" w:cs="Times New Roman"/>
                <w:color w:val="auto"/>
                <w:lang w:bidi="zh-CN"/>
              </w:rPr>
              <w:t>第十采油厂厂区生活污水处理站处理达标后排入牛毛沟；噪声</w:t>
            </w:r>
            <w:r>
              <w:rPr>
                <w:rFonts w:hint="eastAsia" w:ascii="宋体" w:hAnsi="宋体" w:eastAsia="宋体" w:cs="Times New Roman"/>
                <w:color w:val="auto"/>
                <w:lang w:bidi="zh-CN"/>
              </w:rPr>
              <w:t>选用低噪声设备，定期检修维护</w:t>
            </w:r>
            <w:r>
              <w:rPr>
                <w:rFonts w:ascii="宋体" w:hAnsi="宋体" w:eastAsia="宋体" w:cs="Times New Roman"/>
                <w:color w:val="auto"/>
                <w:lang w:bidi="zh-CN"/>
              </w:rPr>
              <w:t>；含油污泥由罐车拉运至朝一联含油污泥处理站减量化处理后，委托大庆博昕晶化科技有限公司</w:t>
            </w:r>
            <w:r>
              <w:rPr>
                <w:rFonts w:hint="eastAsia" w:ascii="宋体" w:hAnsi="宋体" w:eastAsia="宋体" w:cs="Times New Roman"/>
                <w:color w:val="auto"/>
                <w:lang w:bidi="zh-CN"/>
              </w:rPr>
              <w:t>无害化</w:t>
            </w:r>
            <w:r>
              <w:rPr>
                <w:rFonts w:ascii="宋体" w:hAnsi="宋体" w:eastAsia="宋体" w:cs="Times New Roman"/>
                <w:color w:val="auto"/>
                <w:lang w:bidi="zh-CN"/>
              </w:rPr>
              <w:t>处理满足《油田含油污泥处置与利用污染控制要求》（DB23/T 3104-2022）表1中的限值要求后</w:t>
            </w:r>
            <w:r>
              <w:rPr>
                <w:rFonts w:hint="eastAsia" w:ascii="宋体" w:hAnsi="宋体" w:eastAsia="宋体" w:cs="Times New Roman"/>
                <w:color w:val="auto"/>
              </w:rPr>
              <w:t>综合利用</w:t>
            </w:r>
            <w:r>
              <w:rPr>
                <w:rFonts w:ascii="宋体" w:hAnsi="宋体" w:eastAsia="宋体" w:cs="Times New Roman"/>
                <w:color w:val="auto"/>
                <w:lang w:bidi="zh-CN"/>
              </w:rPr>
              <w:t>；生活垃圾</w:t>
            </w:r>
            <w:r>
              <w:rPr>
                <w:rFonts w:ascii="宋体" w:hAnsi="宋体" w:eastAsia="宋体" w:cs="Times New Roman"/>
                <w:color w:val="auto"/>
              </w:rPr>
              <w:t>统一收集运至肇源县利民城市垃圾处理有限公司处理</w:t>
            </w:r>
            <w:r>
              <w:rPr>
                <w:rFonts w:ascii="宋体" w:hAnsi="宋体" w:eastAsia="宋体" w:cs="Times New Roman"/>
                <w:color w:val="auto"/>
                <w:lang w:bidi="zh-CN"/>
              </w:rPr>
              <w:t>。区块内生态恢复良好，未发现生态环境问题和环境风险隐患。</w:t>
            </w:r>
          </w:p>
          <w:p w14:paraId="11518245">
            <w:pPr>
              <w:jc w:val="center"/>
              <w:rPr>
                <w:rFonts w:ascii="宋体" w:hAnsi="宋体" w:eastAsia="宋体" w:cs="Times New Roman"/>
                <w:color w:val="auto"/>
                <w:lang w:bidi="zh-CN"/>
              </w:rPr>
            </w:pPr>
            <w:r>
              <w:rPr>
                <w:rFonts w:ascii="宋体" w:hAnsi="宋体" w:eastAsia="宋体" w:cs="Times New Roman"/>
                <w:color w:val="auto"/>
                <w:lang w:bidi="zh-CN"/>
              </w:rPr>
              <w:t>明确了现有区块的污染物排放情况，依托设施卸油点、转油脱水站、污水站、含油污泥处理站的依托可行性及其污染物产生及排放情况，各依托设施均可有效依托。</w:t>
            </w:r>
          </w:p>
        </w:tc>
        <w:tc>
          <w:tcPr>
            <w:tcW w:w="529" w:type="pct"/>
            <w:shd w:val="clear" w:color="auto" w:fill="auto"/>
            <w:vAlign w:val="center"/>
          </w:tcPr>
          <w:p w14:paraId="7EFF3DF2">
            <w:pPr>
              <w:jc w:val="center"/>
              <w:rPr>
                <w:rFonts w:ascii="宋体" w:hAnsi="宋体" w:eastAsia="宋体" w:cs="Times New Roman"/>
                <w:color w:val="auto"/>
              </w:rPr>
            </w:pPr>
            <w:r>
              <w:rPr>
                <w:rFonts w:ascii="宋体" w:hAnsi="宋体" w:eastAsia="宋体" w:cs="Times New Roman"/>
                <w:color w:val="auto"/>
              </w:rPr>
              <w:t>符合</w:t>
            </w:r>
          </w:p>
        </w:tc>
      </w:tr>
      <w:tr w14:paraId="7555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shd w:val="clear" w:color="auto" w:fill="auto"/>
            <w:vAlign w:val="center"/>
          </w:tcPr>
          <w:p w14:paraId="745C96C7">
            <w:pPr>
              <w:jc w:val="center"/>
              <w:rPr>
                <w:rFonts w:ascii="宋体" w:hAnsi="宋体" w:eastAsia="宋体" w:cs="Times New Roman"/>
                <w:color w:val="auto"/>
              </w:rPr>
            </w:pPr>
            <w:r>
              <w:rPr>
                <w:rFonts w:ascii="宋体" w:hAnsi="宋体" w:eastAsia="宋体" w:cs="Times New Roman"/>
                <w:color w:val="auto"/>
              </w:rPr>
              <w:t>2</w:t>
            </w:r>
          </w:p>
        </w:tc>
        <w:tc>
          <w:tcPr>
            <w:tcW w:w="1631" w:type="pct"/>
            <w:shd w:val="clear" w:color="auto" w:fill="auto"/>
            <w:vAlign w:val="center"/>
          </w:tcPr>
          <w:p w14:paraId="1F115837">
            <w:pPr>
              <w:jc w:val="center"/>
              <w:rPr>
                <w:rFonts w:ascii="宋体" w:hAnsi="宋体" w:eastAsia="宋体" w:cs="Times New Roman"/>
                <w:color w:val="auto"/>
              </w:rPr>
            </w:pPr>
            <w:r>
              <w:rPr>
                <w:rFonts w:ascii="宋体" w:hAnsi="宋体" w:eastAsia="宋体" w:cs="Times New Roman"/>
                <w:color w:val="auto"/>
              </w:rPr>
              <w:t>确定产能建设规模后，原则上不得以勘探名义继续开展单井环评。勘探井转为生产井的，可以纳入区块环评。自2021年1月1日起，原则上不以单井形式开展环评。</w:t>
            </w:r>
          </w:p>
        </w:tc>
        <w:tc>
          <w:tcPr>
            <w:tcW w:w="2439" w:type="pct"/>
            <w:shd w:val="clear" w:color="auto" w:fill="auto"/>
            <w:vAlign w:val="center"/>
          </w:tcPr>
          <w:p w14:paraId="7771FCA3">
            <w:pPr>
              <w:jc w:val="center"/>
              <w:rPr>
                <w:rFonts w:ascii="宋体" w:hAnsi="宋体" w:eastAsia="宋体" w:cs="Times New Roman"/>
                <w:color w:val="auto"/>
              </w:rPr>
            </w:pPr>
            <w:r>
              <w:rPr>
                <w:rFonts w:ascii="宋体" w:hAnsi="宋体" w:eastAsia="宋体" w:cs="Times New Roman"/>
                <w:color w:val="auto"/>
              </w:rPr>
              <w:t>本项目</w:t>
            </w:r>
            <w:r>
              <w:rPr>
                <w:rFonts w:hint="eastAsia" w:ascii="宋体" w:hAnsi="宋体" w:eastAsia="宋体" w:cs="Times New Roman"/>
                <w:color w:val="auto"/>
              </w:rPr>
              <w:t>新建</w:t>
            </w:r>
            <w:r>
              <w:rPr>
                <w:rFonts w:ascii="宋体" w:hAnsi="宋体" w:eastAsia="宋体" w:cs="Times New Roman"/>
                <w:color w:val="auto"/>
              </w:rPr>
              <w:t>井6口，</w:t>
            </w:r>
            <w:r>
              <w:rPr>
                <w:rFonts w:hint="eastAsia" w:ascii="宋体" w:hAnsi="宋体" w:eastAsia="宋体" w:cs="Times New Roman"/>
                <w:color w:val="auto"/>
              </w:rPr>
              <w:t>基建4口，2口为勘探井，</w:t>
            </w:r>
            <w:r>
              <w:rPr>
                <w:rFonts w:ascii="宋体" w:hAnsi="宋体" w:eastAsia="宋体" w:cs="Times New Roman"/>
                <w:color w:val="auto"/>
              </w:rPr>
              <w:t>不以单井形式开展环评。</w:t>
            </w:r>
          </w:p>
        </w:tc>
        <w:tc>
          <w:tcPr>
            <w:tcW w:w="529" w:type="pct"/>
            <w:shd w:val="clear" w:color="auto" w:fill="auto"/>
            <w:vAlign w:val="center"/>
          </w:tcPr>
          <w:p w14:paraId="6AF5DE11">
            <w:pPr>
              <w:jc w:val="center"/>
              <w:rPr>
                <w:rFonts w:ascii="宋体" w:hAnsi="宋体" w:eastAsia="宋体" w:cs="Times New Roman"/>
                <w:color w:val="auto"/>
              </w:rPr>
            </w:pPr>
            <w:r>
              <w:rPr>
                <w:rFonts w:ascii="宋体" w:hAnsi="宋体" w:eastAsia="宋体" w:cs="Times New Roman"/>
                <w:color w:val="auto"/>
              </w:rPr>
              <w:t>符合</w:t>
            </w:r>
          </w:p>
        </w:tc>
      </w:tr>
      <w:tr w14:paraId="6F3A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shd w:val="clear" w:color="auto" w:fill="auto"/>
            <w:vAlign w:val="center"/>
          </w:tcPr>
          <w:p w14:paraId="5D8F269C">
            <w:pPr>
              <w:jc w:val="center"/>
              <w:rPr>
                <w:rFonts w:ascii="宋体" w:hAnsi="宋体" w:eastAsia="宋体" w:cs="Times New Roman"/>
                <w:color w:val="auto"/>
              </w:rPr>
            </w:pPr>
            <w:r>
              <w:rPr>
                <w:rFonts w:ascii="宋体" w:hAnsi="宋体" w:eastAsia="宋体" w:cs="Times New Roman"/>
                <w:color w:val="auto"/>
              </w:rPr>
              <w:t>3</w:t>
            </w:r>
          </w:p>
        </w:tc>
        <w:tc>
          <w:tcPr>
            <w:tcW w:w="1631" w:type="pct"/>
            <w:shd w:val="clear" w:color="auto" w:fill="auto"/>
            <w:vAlign w:val="center"/>
          </w:tcPr>
          <w:p w14:paraId="57C90C68">
            <w:pPr>
              <w:jc w:val="center"/>
              <w:rPr>
                <w:rFonts w:ascii="宋体" w:hAnsi="宋体" w:eastAsia="宋体" w:cs="Times New Roman"/>
                <w:color w:val="auto"/>
              </w:rPr>
            </w:pPr>
            <w:r>
              <w:rPr>
                <w:rFonts w:ascii="宋体" w:hAnsi="宋体" w:eastAsia="宋体" w:cs="Times New Roman"/>
                <w:color w:val="auto"/>
              </w:rPr>
              <w:t>涉及向地表水体排放污染物的陆地油气开采项目，应当符合国家和地方污染物排放标准，满足重点污染物排放总量控制要求。</w:t>
            </w:r>
          </w:p>
        </w:tc>
        <w:tc>
          <w:tcPr>
            <w:tcW w:w="2439" w:type="pct"/>
            <w:shd w:val="clear" w:color="auto" w:fill="auto"/>
            <w:vAlign w:val="center"/>
          </w:tcPr>
          <w:p w14:paraId="56EDD489">
            <w:pPr>
              <w:jc w:val="center"/>
              <w:rPr>
                <w:rFonts w:ascii="宋体" w:hAnsi="宋体" w:eastAsia="宋体" w:cs="Times New Roman"/>
                <w:color w:val="auto"/>
              </w:rPr>
            </w:pPr>
            <w:r>
              <w:rPr>
                <w:rFonts w:ascii="宋体" w:hAnsi="宋体" w:eastAsia="宋体" w:cs="Times New Roman"/>
                <w:color w:val="auto"/>
              </w:rPr>
              <w:t>本项目施工期及运营期废水均不外排。</w:t>
            </w:r>
          </w:p>
        </w:tc>
        <w:tc>
          <w:tcPr>
            <w:tcW w:w="529" w:type="pct"/>
            <w:shd w:val="clear" w:color="auto" w:fill="auto"/>
            <w:vAlign w:val="center"/>
          </w:tcPr>
          <w:p w14:paraId="7CFF750A">
            <w:pPr>
              <w:jc w:val="center"/>
              <w:rPr>
                <w:rFonts w:ascii="宋体" w:hAnsi="宋体" w:eastAsia="宋体" w:cs="Times New Roman"/>
                <w:color w:val="auto"/>
              </w:rPr>
            </w:pPr>
            <w:r>
              <w:rPr>
                <w:rFonts w:ascii="宋体" w:hAnsi="宋体" w:eastAsia="宋体" w:cs="Times New Roman"/>
                <w:color w:val="auto"/>
              </w:rPr>
              <w:t>符合</w:t>
            </w:r>
          </w:p>
        </w:tc>
      </w:tr>
      <w:tr w14:paraId="0B5D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shd w:val="clear" w:color="auto" w:fill="auto"/>
            <w:vAlign w:val="center"/>
          </w:tcPr>
          <w:p w14:paraId="206CB5D6">
            <w:pPr>
              <w:jc w:val="center"/>
              <w:rPr>
                <w:rFonts w:ascii="宋体" w:hAnsi="宋体" w:eastAsia="宋体" w:cs="Times New Roman"/>
                <w:color w:val="auto"/>
              </w:rPr>
            </w:pPr>
            <w:r>
              <w:rPr>
                <w:rFonts w:ascii="宋体" w:hAnsi="宋体" w:eastAsia="宋体" w:cs="Times New Roman"/>
                <w:color w:val="auto"/>
              </w:rPr>
              <w:t>4</w:t>
            </w:r>
          </w:p>
        </w:tc>
        <w:tc>
          <w:tcPr>
            <w:tcW w:w="1631" w:type="pct"/>
            <w:shd w:val="clear" w:color="auto" w:fill="auto"/>
            <w:vAlign w:val="center"/>
          </w:tcPr>
          <w:p w14:paraId="0588A17F">
            <w:pPr>
              <w:jc w:val="center"/>
              <w:rPr>
                <w:rFonts w:ascii="宋体" w:hAnsi="宋体" w:eastAsia="宋体" w:cs="Times New Roman"/>
                <w:color w:val="auto"/>
              </w:rPr>
            </w:pPr>
            <w:r>
              <w:rPr>
                <w:rFonts w:ascii="宋体" w:hAnsi="宋体" w:eastAsia="宋体" w:cs="Times New Roman"/>
                <w:color w:val="auto"/>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2439" w:type="pct"/>
            <w:shd w:val="clear" w:color="auto" w:fill="auto"/>
            <w:vAlign w:val="center"/>
          </w:tcPr>
          <w:p w14:paraId="65A834F0">
            <w:pPr>
              <w:jc w:val="center"/>
              <w:rPr>
                <w:rFonts w:ascii="宋体" w:hAnsi="宋体" w:eastAsia="宋体" w:cs="Times New Roman"/>
                <w:color w:val="auto"/>
              </w:rPr>
            </w:pPr>
            <w:r>
              <w:rPr>
                <w:rFonts w:ascii="宋体" w:hAnsi="宋体" w:eastAsia="宋体" w:cs="Times New Roman"/>
                <w:color w:val="auto"/>
                <w:lang w:bidi="zh-CN"/>
              </w:rPr>
              <w:t>项目施工期及运营期产生的废水最终经朝二联含油污水处理站处理达标后回注油层，属于回注到现役油气藏层位</w:t>
            </w:r>
            <w:r>
              <w:rPr>
                <w:rFonts w:ascii="宋体" w:hAnsi="宋体" w:eastAsia="宋体" w:cs="Times New Roman"/>
                <w:color w:val="auto"/>
              </w:rPr>
              <w:t>，</w:t>
            </w:r>
            <w:r>
              <w:rPr>
                <w:rFonts w:ascii="宋体" w:hAnsi="宋体" w:eastAsia="宋体" w:cs="Times New Roman"/>
                <w:color w:val="auto"/>
                <w:lang w:bidi="zh-CN"/>
              </w:rPr>
              <w:t>回注水质执行《大庆油田地面工程建设设计规定》（Q/SYDQ0639-2015）及《碎屑岩油藏注水水质指标技术要求及分析方法》（SY/T5329-2022）限值要求。</w:t>
            </w:r>
            <w:r>
              <w:rPr>
                <w:rFonts w:ascii="宋体" w:hAnsi="宋体" w:eastAsia="宋体" w:cs="Times New Roman"/>
                <w:color w:val="auto"/>
              </w:rPr>
              <w:t xml:space="preserve"> 地下水防治措施采取过程防控、跟踪监测来防止污染地下水。</w:t>
            </w:r>
          </w:p>
        </w:tc>
        <w:tc>
          <w:tcPr>
            <w:tcW w:w="529" w:type="pct"/>
            <w:shd w:val="clear" w:color="auto" w:fill="auto"/>
            <w:vAlign w:val="center"/>
          </w:tcPr>
          <w:p w14:paraId="0103D70C">
            <w:pPr>
              <w:jc w:val="center"/>
              <w:rPr>
                <w:rFonts w:ascii="宋体" w:hAnsi="宋体" w:eastAsia="宋体" w:cs="Times New Roman"/>
                <w:color w:val="auto"/>
              </w:rPr>
            </w:pPr>
            <w:r>
              <w:rPr>
                <w:rFonts w:ascii="宋体" w:hAnsi="宋体" w:eastAsia="宋体" w:cs="Times New Roman"/>
                <w:color w:val="auto"/>
              </w:rPr>
              <w:t>符合</w:t>
            </w:r>
          </w:p>
        </w:tc>
      </w:tr>
      <w:tr w14:paraId="69F7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shd w:val="clear" w:color="auto" w:fill="auto"/>
            <w:vAlign w:val="center"/>
          </w:tcPr>
          <w:p w14:paraId="227CA4BC">
            <w:pPr>
              <w:jc w:val="center"/>
              <w:rPr>
                <w:rFonts w:ascii="宋体" w:hAnsi="宋体" w:eastAsia="宋体" w:cs="Times New Roman"/>
                <w:color w:val="auto"/>
              </w:rPr>
            </w:pPr>
            <w:r>
              <w:rPr>
                <w:rFonts w:ascii="宋体" w:hAnsi="宋体" w:eastAsia="宋体" w:cs="Times New Roman"/>
                <w:color w:val="auto"/>
              </w:rPr>
              <w:t>5</w:t>
            </w:r>
          </w:p>
        </w:tc>
        <w:tc>
          <w:tcPr>
            <w:tcW w:w="1631" w:type="pct"/>
            <w:shd w:val="clear" w:color="auto" w:fill="auto"/>
            <w:vAlign w:val="center"/>
          </w:tcPr>
          <w:p w14:paraId="22C8844C">
            <w:pPr>
              <w:jc w:val="center"/>
              <w:rPr>
                <w:rFonts w:ascii="宋体" w:hAnsi="宋体" w:eastAsia="宋体" w:cs="Times New Roman"/>
                <w:color w:val="auto"/>
              </w:rPr>
            </w:pPr>
            <w:r>
              <w:rPr>
                <w:rFonts w:ascii="宋体" w:hAnsi="宋体" w:eastAsia="宋体" w:cs="Times New Roman"/>
                <w:color w:val="auto"/>
              </w:rPr>
              <w:t>通过采取设备密闭、废气有效收集及配套高效末端处理设施等措施，有效控制挥发性有机物和恶臭气体无组织排放</w:t>
            </w:r>
          </w:p>
        </w:tc>
        <w:tc>
          <w:tcPr>
            <w:tcW w:w="2439" w:type="pct"/>
            <w:shd w:val="clear" w:color="auto" w:fill="auto"/>
            <w:vAlign w:val="center"/>
          </w:tcPr>
          <w:p w14:paraId="01881817">
            <w:pPr>
              <w:jc w:val="center"/>
              <w:rPr>
                <w:rFonts w:ascii="宋体" w:hAnsi="宋体" w:eastAsia="宋体" w:cs="Times New Roman"/>
                <w:color w:val="auto"/>
              </w:rPr>
            </w:pPr>
            <w:r>
              <w:rPr>
                <w:rFonts w:ascii="宋体" w:hAnsi="宋体" w:eastAsia="宋体" w:cs="Times New Roman"/>
                <w:color w:val="auto"/>
              </w:rPr>
              <w:t>采油井口安装了密封垫，拉油点储罐阀门、法兰等安装密封垫片，油井产液采用管线密闭集输进入拉油点储罐，拉油点储罐密闭收集储存产液，伴生气用于拉油点多功能储罐加热炉自耗，不外排，拉油点储罐储存过程中为密闭状态，有效的降低了非甲烷总烃的无组织挥发。</w:t>
            </w:r>
          </w:p>
        </w:tc>
        <w:tc>
          <w:tcPr>
            <w:tcW w:w="529" w:type="pct"/>
            <w:shd w:val="clear" w:color="auto" w:fill="auto"/>
            <w:vAlign w:val="center"/>
          </w:tcPr>
          <w:p w14:paraId="5D10D639">
            <w:pPr>
              <w:jc w:val="center"/>
              <w:rPr>
                <w:rFonts w:ascii="宋体" w:hAnsi="宋体" w:eastAsia="宋体" w:cs="Times New Roman"/>
                <w:color w:val="auto"/>
              </w:rPr>
            </w:pPr>
            <w:r>
              <w:rPr>
                <w:rFonts w:ascii="宋体" w:hAnsi="宋体" w:eastAsia="宋体" w:cs="Times New Roman"/>
                <w:color w:val="auto"/>
              </w:rPr>
              <w:t>符合</w:t>
            </w:r>
          </w:p>
        </w:tc>
      </w:tr>
      <w:tr w14:paraId="1F15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shd w:val="clear" w:color="auto" w:fill="auto"/>
            <w:vAlign w:val="center"/>
          </w:tcPr>
          <w:p w14:paraId="4DD909B6">
            <w:pPr>
              <w:jc w:val="center"/>
              <w:rPr>
                <w:rFonts w:ascii="宋体" w:hAnsi="宋体" w:eastAsia="宋体" w:cs="Times New Roman"/>
                <w:color w:val="auto"/>
              </w:rPr>
            </w:pPr>
            <w:r>
              <w:rPr>
                <w:rFonts w:ascii="宋体" w:hAnsi="宋体" w:eastAsia="宋体" w:cs="Times New Roman"/>
                <w:color w:val="auto"/>
              </w:rPr>
              <w:t>6</w:t>
            </w:r>
          </w:p>
        </w:tc>
        <w:tc>
          <w:tcPr>
            <w:tcW w:w="1631" w:type="pct"/>
            <w:shd w:val="clear" w:color="auto" w:fill="auto"/>
            <w:vAlign w:val="center"/>
          </w:tcPr>
          <w:p w14:paraId="1A566855">
            <w:pPr>
              <w:jc w:val="center"/>
              <w:rPr>
                <w:rFonts w:ascii="宋体" w:hAnsi="宋体" w:eastAsia="宋体" w:cs="Times New Roman"/>
                <w:color w:val="auto"/>
              </w:rPr>
            </w:pPr>
            <w:r>
              <w:rPr>
                <w:rFonts w:ascii="宋体" w:hAnsi="宋体" w:eastAsia="宋体" w:cs="Times New Roman"/>
                <w:color w:val="auto"/>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2439" w:type="pct"/>
            <w:shd w:val="clear" w:color="auto" w:fill="auto"/>
            <w:vAlign w:val="center"/>
          </w:tcPr>
          <w:p w14:paraId="7FED36DA">
            <w:pPr>
              <w:jc w:val="center"/>
              <w:rPr>
                <w:rFonts w:ascii="宋体" w:hAnsi="宋体" w:eastAsia="宋体" w:cs="Times New Roman"/>
                <w:color w:val="auto"/>
                <w:lang w:bidi="zh-CN"/>
              </w:rPr>
            </w:pPr>
            <w:r>
              <w:rPr>
                <w:rFonts w:ascii="宋体" w:hAnsi="宋体" w:eastAsia="宋体" w:cs="Times New Roman"/>
                <w:color w:val="auto"/>
                <w:lang w:bidi="zh-CN"/>
              </w:rPr>
              <w:t>项目施工期水基废钻井液、水基钻井岩屑和不含油废射孔液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处理后的泥饼外售给大庆钻探工程公司钻井二公司综合利用垫井场或铺路。油基废钻井液、油基钻井岩屑和含油废射孔液排入井场设置的油基钢制泥浆槽，委托有危废处理资质的黑龙江迈景环保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rFonts w:ascii="宋体" w:hAnsi="宋体" w:eastAsia="宋体" w:cs="Times New Roman"/>
                <w:color w:val="auto"/>
                <w:lang w:bidi="zh-CN"/>
              </w:rPr>
              <w:t>。运营期含油污泥、落地油全部回收，由罐车拉运至朝一联含油污泥处理站减量化处理后，再委托大庆博昕晶化科技有限公司处理满足《油田含油污泥处置与利用污染控制要求》（DB23/T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rFonts w:ascii="宋体" w:hAnsi="宋体" w:eastAsia="宋体" w:cs="Times New Roman"/>
                <w:color w:val="auto"/>
                <w:lang w:bidi="zh-CN"/>
              </w:rPr>
              <w:t>；含油废防渗布属于危险废物，作业结束后委托资质单位定期拉运处置。</w:t>
            </w:r>
          </w:p>
        </w:tc>
        <w:tc>
          <w:tcPr>
            <w:tcW w:w="529" w:type="pct"/>
            <w:shd w:val="clear" w:color="auto" w:fill="auto"/>
            <w:vAlign w:val="center"/>
          </w:tcPr>
          <w:p w14:paraId="4A5E4F51">
            <w:pPr>
              <w:jc w:val="center"/>
              <w:rPr>
                <w:rFonts w:ascii="宋体" w:hAnsi="宋体" w:eastAsia="宋体" w:cs="Times New Roman"/>
                <w:color w:val="auto"/>
              </w:rPr>
            </w:pPr>
            <w:r>
              <w:rPr>
                <w:rFonts w:ascii="宋体" w:hAnsi="宋体" w:eastAsia="宋体" w:cs="Times New Roman"/>
                <w:color w:val="auto"/>
              </w:rPr>
              <w:t>符合</w:t>
            </w:r>
          </w:p>
        </w:tc>
      </w:tr>
      <w:tr w14:paraId="00DC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shd w:val="clear" w:color="auto" w:fill="auto"/>
            <w:vAlign w:val="center"/>
          </w:tcPr>
          <w:p w14:paraId="1EE6E911">
            <w:pPr>
              <w:jc w:val="center"/>
              <w:rPr>
                <w:rFonts w:ascii="宋体" w:hAnsi="宋体" w:eastAsia="宋体" w:cs="Times New Roman"/>
                <w:color w:val="auto"/>
              </w:rPr>
            </w:pPr>
            <w:r>
              <w:rPr>
                <w:rFonts w:ascii="宋体" w:hAnsi="宋体" w:eastAsia="宋体" w:cs="Times New Roman"/>
                <w:color w:val="auto"/>
              </w:rPr>
              <w:t>7</w:t>
            </w:r>
          </w:p>
        </w:tc>
        <w:tc>
          <w:tcPr>
            <w:tcW w:w="1631" w:type="pct"/>
            <w:shd w:val="clear" w:color="auto" w:fill="auto"/>
            <w:vAlign w:val="center"/>
          </w:tcPr>
          <w:p w14:paraId="1B87EE65">
            <w:pPr>
              <w:jc w:val="center"/>
              <w:rPr>
                <w:rFonts w:ascii="宋体" w:hAnsi="宋体" w:eastAsia="宋体" w:cs="Times New Roman"/>
                <w:color w:val="auto"/>
              </w:rPr>
            </w:pPr>
            <w:r>
              <w:rPr>
                <w:rFonts w:ascii="宋体" w:hAnsi="宋体" w:eastAsia="宋体" w:cs="Times New Roman"/>
                <w:color w:val="auto"/>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2439" w:type="pct"/>
            <w:shd w:val="clear" w:color="auto" w:fill="auto"/>
            <w:vAlign w:val="center"/>
          </w:tcPr>
          <w:p w14:paraId="48D15B87">
            <w:pPr>
              <w:autoSpaceDE w:val="0"/>
              <w:autoSpaceDN w:val="0"/>
              <w:jc w:val="center"/>
              <w:rPr>
                <w:rFonts w:ascii="宋体" w:hAnsi="宋体" w:eastAsia="宋体" w:cs="Times New Roman"/>
                <w:color w:val="auto"/>
              </w:rPr>
            </w:pPr>
            <w:r>
              <w:rPr>
                <w:rFonts w:hint="eastAsia" w:ascii="宋体" w:hAnsi="宋体" w:eastAsia="宋体" w:cs="Times New Roman"/>
                <w:color w:val="auto"/>
                <w:lang w:bidi="zh-CN"/>
              </w:rPr>
              <w:t>本项目新建</w:t>
            </w:r>
            <w:r>
              <w:rPr>
                <w:rFonts w:ascii="宋体" w:hAnsi="宋体" w:eastAsia="宋体" w:cs="Times New Roman"/>
                <w:color w:val="auto"/>
                <w:lang w:bidi="zh-CN"/>
              </w:rPr>
              <w:t>1座平台井场和4座单井井场，最大限度减少工程永久占地，管线沿新建通井路敷设，减少临时占地，在临时用地内进行施工，施工采用人工开挖和机械开挖相结合的方式。</w:t>
            </w:r>
            <w:r>
              <w:rPr>
                <w:rFonts w:ascii="宋体" w:hAnsi="宋体" w:eastAsia="宋体" w:cs="Times New Roman"/>
                <w:color w:val="auto"/>
              </w:rPr>
              <w:t>环评中已提出针对占用耕地和草地的保护措施，本项目钻井及压裂用产品质量达标的低标号柴油，采用节能环保型柴油动力设备。</w:t>
            </w:r>
          </w:p>
        </w:tc>
        <w:tc>
          <w:tcPr>
            <w:tcW w:w="529" w:type="pct"/>
            <w:shd w:val="clear" w:color="auto" w:fill="auto"/>
            <w:vAlign w:val="center"/>
          </w:tcPr>
          <w:p w14:paraId="22B124C9">
            <w:pPr>
              <w:jc w:val="center"/>
              <w:rPr>
                <w:rFonts w:ascii="宋体" w:hAnsi="宋体" w:eastAsia="宋体" w:cs="Times New Roman"/>
                <w:color w:val="auto"/>
              </w:rPr>
            </w:pPr>
            <w:r>
              <w:rPr>
                <w:rFonts w:ascii="宋体" w:hAnsi="宋体" w:eastAsia="宋体" w:cs="Times New Roman"/>
                <w:color w:val="auto"/>
              </w:rPr>
              <w:t>符合</w:t>
            </w:r>
          </w:p>
        </w:tc>
      </w:tr>
      <w:tr w14:paraId="1CE4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shd w:val="clear" w:color="auto" w:fill="auto"/>
            <w:vAlign w:val="center"/>
          </w:tcPr>
          <w:p w14:paraId="35528A02">
            <w:pPr>
              <w:jc w:val="center"/>
              <w:rPr>
                <w:rFonts w:ascii="宋体" w:hAnsi="宋体" w:eastAsia="宋体" w:cs="Times New Roman"/>
                <w:color w:val="auto"/>
              </w:rPr>
            </w:pPr>
            <w:r>
              <w:rPr>
                <w:rFonts w:ascii="宋体" w:hAnsi="宋体" w:eastAsia="宋体" w:cs="Times New Roman"/>
                <w:color w:val="auto"/>
              </w:rPr>
              <w:t>8</w:t>
            </w:r>
          </w:p>
        </w:tc>
        <w:tc>
          <w:tcPr>
            <w:tcW w:w="1631" w:type="pct"/>
            <w:shd w:val="clear" w:color="auto" w:fill="auto"/>
            <w:vAlign w:val="center"/>
          </w:tcPr>
          <w:p w14:paraId="3A854173">
            <w:pPr>
              <w:jc w:val="center"/>
              <w:rPr>
                <w:rFonts w:ascii="宋体" w:hAnsi="宋体" w:eastAsia="宋体" w:cs="Times New Roman"/>
                <w:color w:val="auto"/>
              </w:rPr>
            </w:pPr>
            <w:r>
              <w:rPr>
                <w:rFonts w:ascii="宋体" w:hAnsi="宋体" w:eastAsia="宋体" w:cs="Times New Roman"/>
                <w:color w:val="auto"/>
              </w:rPr>
              <w:t>油气企业应当加强风险防控，按规定编制突发环境事件应急预案，报所在地生态环境主管部门备案。</w:t>
            </w:r>
          </w:p>
        </w:tc>
        <w:tc>
          <w:tcPr>
            <w:tcW w:w="2439" w:type="pct"/>
            <w:shd w:val="clear" w:color="auto" w:fill="auto"/>
            <w:vAlign w:val="center"/>
          </w:tcPr>
          <w:p w14:paraId="252CAC23">
            <w:pPr>
              <w:autoSpaceDE w:val="0"/>
              <w:autoSpaceDN w:val="0"/>
              <w:jc w:val="center"/>
              <w:rPr>
                <w:rFonts w:ascii="宋体" w:hAnsi="宋体" w:eastAsia="宋体" w:cs="Times New Roman"/>
                <w:color w:val="auto"/>
              </w:rPr>
            </w:pPr>
            <w:r>
              <w:rPr>
                <w:rFonts w:ascii="宋体" w:hAnsi="宋体" w:eastAsia="宋体" w:cs="Times New Roman"/>
                <w:color w:val="auto"/>
              </w:rPr>
              <w:t>大庆油田有限责任公司第十采油厂现有《第十采油厂环境突发事件专项应急预案》主要包括应急组织机构及职责明确、监测与预警、应急处置与应急响应、恢复与重建、应急保障与培训、督查与奖惩等内容。并于2023年6月15日在大庆市肇州生态环境局进行了备案，备案编号为 230621-2023-012-L。</w:t>
            </w:r>
          </w:p>
        </w:tc>
        <w:tc>
          <w:tcPr>
            <w:tcW w:w="529" w:type="pct"/>
            <w:shd w:val="clear" w:color="auto" w:fill="auto"/>
            <w:vAlign w:val="center"/>
          </w:tcPr>
          <w:p w14:paraId="3DD4844B">
            <w:pPr>
              <w:jc w:val="center"/>
              <w:rPr>
                <w:rFonts w:ascii="宋体" w:hAnsi="宋体" w:eastAsia="宋体" w:cs="Times New Roman"/>
                <w:color w:val="auto"/>
              </w:rPr>
            </w:pPr>
            <w:r>
              <w:rPr>
                <w:rFonts w:ascii="宋体" w:hAnsi="宋体" w:eastAsia="宋体" w:cs="Times New Roman"/>
                <w:color w:val="auto"/>
              </w:rPr>
              <w:t>符合</w:t>
            </w:r>
          </w:p>
        </w:tc>
      </w:tr>
    </w:tbl>
    <w:p w14:paraId="75AC4417">
      <w:pPr>
        <w:pStyle w:val="276"/>
        <w:widowControl w:val="0"/>
        <w:ind w:firstLine="480"/>
        <w:jc w:val="both"/>
        <w:rPr>
          <w:color w:val="auto"/>
          <w:kern w:val="2"/>
        </w:rPr>
      </w:pPr>
      <w:r>
        <w:rPr>
          <w:color w:val="auto"/>
          <w:kern w:val="2"/>
        </w:rPr>
        <w:t>由上表可知，本项目符合</w:t>
      </w:r>
      <w:r>
        <w:rPr>
          <w:snapToGrid w:val="0"/>
          <w:color w:val="auto"/>
        </w:rPr>
        <w:t>《关于进一步加强石油天然气行业环境影响评价管理的通知》中要求。</w:t>
      </w:r>
    </w:p>
    <w:p w14:paraId="6CBD165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与《陆上石油天然气开采工业大气污染物排放标准》（GB39728-2020）符合性分析</w:t>
      </w:r>
    </w:p>
    <w:p w14:paraId="2D1029A2">
      <w:pPr>
        <w:pStyle w:val="276"/>
        <w:widowControl w:val="0"/>
        <w:ind w:firstLine="480"/>
        <w:jc w:val="both"/>
        <w:rPr>
          <w:color w:val="auto"/>
        </w:rPr>
      </w:pPr>
      <w:r>
        <w:rPr>
          <w:color w:val="auto"/>
        </w:rPr>
        <w:t>本项目依托场站内原油储罐均为固定顶罐，罐体均无孔洞和裂隙，采样口等均处于密闭状态，同时罐体周围均设置了围堰，满足《陆上石油天然气开采工业大气污染物排放标准》(GB39728-2020)中的 5.2.3.2 固定顶罐运行要求。</w:t>
      </w:r>
    </w:p>
    <w:p w14:paraId="6019EDB6">
      <w:pPr>
        <w:pStyle w:val="276"/>
        <w:widowControl w:val="0"/>
        <w:ind w:firstLine="480"/>
        <w:jc w:val="both"/>
        <w:rPr>
          <w:color w:val="auto"/>
        </w:rPr>
      </w:pPr>
      <w:r>
        <w:rPr>
          <w:color w:val="auto"/>
        </w:rPr>
        <w:t>本项目采油井口安装了密封垫，拉油点储罐阀门、法兰等安装密封垫片，油井产液采用管线密闭集输进入拉油点储罐，拉油点储罐密闭收集储存产液，伴生气用于拉油点多功能储罐加热炉自耗，不外排，拉油点储罐储存过程中为密闭状态，可</w:t>
      </w:r>
      <w:r>
        <w:rPr>
          <w:snapToGrid w:val="0"/>
          <w:color w:val="auto"/>
        </w:rPr>
        <w:t>有效</w:t>
      </w:r>
      <w:r>
        <w:rPr>
          <w:color w:val="auto"/>
        </w:rPr>
        <w:t>控制挥发性有机物无组织排放。本项目不在重点地区，不需开展泄漏检测与修复工作，本项目符合《陆上石油天然气开采工业大气污染物排放标准》（GB39728-2020）相关要求。</w:t>
      </w:r>
    </w:p>
    <w:p w14:paraId="5DC1525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106" w:name="_Toc70050125"/>
      <w:r>
        <w:rPr>
          <w:rFonts w:ascii="宋体" w:hAnsi="宋体" w:eastAsia="宋体" w:cs="Times New Roman"/>
          <w:b/>
          <w:bCs/>
          <w:color w:val="auto"/>
          <w:szCs w:val="28"/>
        </w:rPr>
        <w:t>与《黑龙江省重点行业挥发性有机物综合治理行动方案》（黑环发〔2019〕153号）符合性判定</w:t>
      </w:r>
      <w:bookmarkEnd w:id="106"/>
    </w:p>
    <w:p w14:paraId="5C8154D5">
      <w:pPr>
        <w:pStyle w:val="276"/>
        <w:widowControl w:val="0"/>
        <w:ind w:firstLine="480"/>
        <w:jc w:val="both"/>
        <w:rPr>
          <w:color w:val="auto"/>
          <w:lang w:bidi="zh-CN"/>
        </w:rPr>
      </w:pPr>
      <w:r>
        <w:rPr>
          <w:color w:val="auto"/>
          <w:lang w:bidi="zh-CN"/>
        </w:rPr>
        <w:t>本项目与</w:t>
      </w:r>
      <w:r>
        <w:rPr>
          <w:snapToGrid w:val="0"/>
          <w:color w:val="auto"/>
        </w:rPr>
        <w:t>《黑龙江省重点行业挥发性有机物综合治理行动方案》</w:t>
      </w:r>
      <w:r>
        <w:rPr>
          <w:color w:val="auto"/>
          <w:lang w:bidi="zh-CN"/>
        </w:rPr>
        <w:t>（黑环发〔2019〕153号）符合性分析见</w:t>
      </w:r>
      <w:r>
        <w:rPr>
          <w:color w:val="auto"/>
          <w:lang w:bidi="zh-CN"/>
        </w:rPr>
        <w:fldChar w:fldCharType="begin"/>
      </w:r>
      <w:r>
        <w:rPr>
          <w:color w:val="auto"/>
          <w:lang w:bidi="zh-CN"/>
        </w:rPr>
        <w:instrText xml:space="preserve"> REF _Ref211957112 \h  \* MERGEFORMAT </w:instrText>
      </w:r>
      <w:r>
        <w:rPr>
          <w:color w:val="auto"/>
          <w:lang w:bidi="zh-CN"/>
        </w:rPr>
        <w:fldChar w:fldCharType="separate"/>
      </w:r>
      <w:r>
        <w:rPr>
          <w:rFonts w:hint="eastAsia"/>
          <w:color w:val="auto"/>
        </w:rPr>
        <w:t xml:space="preserve">表 </w:t>
      </w:r>
      <w:r>
        <w:rPr>
          <w:color w:val="auto"/>
        </w:rPr>
        <w:t>1.4</w:t>
      </w:r>
      <w:r>
        <w:rPr>
          <w:color w:val="auto"/>
        </w:rPr>
        <w:noBreakHyphen/>
      </w:r>
      <w:r>
        <w:rPr>
          <w:color w:val="auto"/>
        </w:rPr>
        <w:t>7</w:t>
      </w:r>
      <w:r>
        <w:rPr>
          <w:color w:val="auto"/>
          <w:lang w:bidi="zh-CN"/>
        </w:rPr>
        <w:fldChar w:fldCharType="end"/>
      </w:r>
      <w:r>
        <w:rPr>
          <w:color w:val="auto"/>
          <w:lang w:bidi="zh-CN"/>
        </w:rPr>
        <w:t>。</w:t>
      </w:r>
    </w:p>
    <w:p w14:paraId="68A05F2B">
      <w:pPr>
        <w:pStyle w:val="22"/>
        <w:spacing w:before="156"/>
        <w:rPr>
          <w:color w:val="auto"/>
        </w:rPr>
      </w:pPr>
      <w:bookmarkStart w:id="107" w:name="_Ref211957112"/>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7</w:t>
      </w:r>
      <w:r>
        <w:rPr>
          <w:color w:val="auto"/>
        </w:rPr>
        <w:fldChar w:fldCharType="end"/>
      </w:r>
      <w:bookmarkEnd w:id="107"/>
      <w:r>
        <w:rPr>
          <w:color w:val="auto"/>
        </w:rPr>
        <w:t>与《黑龙江省重点行业挥发性有机物综合治理行动方案》符合性分析</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1252"/>
        <w:gridCol w:w="3523"/>
        <w:gridCol w:w="3081"/>
        <w:gridCol w:w="912"/>
      </w:tblGrid>
      <w:tr w14:paraId="2E68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79" w:type="pct"/>
            <w:shd w:val="clear" w:color="auto" w:fill="auto"/>
            <w:vAlign w:val="center"/>
          </w:tcPr>
          <w:p w14:paraId="6B6FF51F">
            <w:pPr>
              <w:adjustRightInd w:val="0"/>
              <w:snapToGrid w:val="0"/>
              <w:jc w:val="center"/>
              <w:rPr>
                <w:rFonts w:ascii="宋体" w:hAnsi="宋体" w:eastAsia="宋体" w:cs="Times New Roman"/>
                <w:color w:val="auto"/>
              </w:rPr>
            </w:pPr>
            <w:r>
              <w:rPr>
                <w:rFonts w:ascii="宋体" w:hAnsi="宋体" w:eastAsia="宋体" w:cs="Times New Roman"/>
                <w:color w:val="auto"/>
              </w:rPr>
              <w:t>序号</w:t>
            </w:r>
          </w:p>
        </w:tc>
        <w:tc>
          <w:tcPr>
            <w:tcW w:w="674" w:type="pct"/>
            <w:shd w:val="clear" w:color="auto" w:fill="auto"/>
            <w:vAlign w:val="center"/>
          </w:tcPr>
          <w:p w14:paraId="411B93CF">
            <w:pPr>
              <w:adjustRightInd w:val="0"/>
              <w:snapToGrid w:val="0"/>
              <w:jc w:val="center"/>
              <w:rPr>
                <w:rFonts w:ascii="宋体" w:hAnsi="宋体" w:eastAsia="宋体" w:cs="Times New Roman"/>
                <w:color w:val="auto"/>
              </w:rPr>
            </w:pPr>
            <w:r>
              <w:rPr>
                <w:rFonts w:ascii="宋体" w:hAnsi="宋体" w:eastAsia="宋体" w:cs="Times New Roman"/>
                <w:color w:val="auto"/>
              </w:rPr>
              <w:t>类别</w:t>
            </w:r>
          </w:p>
        </w:tc>
        <w:tc>
          <w:tcPr>
            <w:tcW w:w="1897" w:type="pct"/>
            <w:shd w:val="clear" w:color="auto" w:fill="auto"/>
            <w:vAlign w:val="center"/>
          </w:tcPr>
          <w:p w14:paraId="5A023541">
            <w:pPr>
              <w:adjustRightInd w:val="0"/>
              <w:snapToGrid w:val="0"/>
              <w:jc w:val="center"/>
              <w:rPr>
                <w:rFonts w:ascii="宋体" w:hAnsi="宋体" w:eastAsia="宋体" w:cs="Times New Roman"/>
                <w:color w:val="auto"/>
              </w:rPr>
            </w:pPr>
            <w:r>
              <w:rPr>
                <w:rFonts w:ascii="宋体" w:hAnsi="宋体" w:eastAsia="宋体" w:cs="Times New Roman"/>
                <w:color w:val="auto"/>
              </w:rPr>
              <w:t>相关要求</w:t>
            </w:r>
          </w:p>
        </w:tc>
        <w:tc>
          <w:tcPr>
            <w:tcW w:w="1659" w:type="pct"/>
            <w:shd w:val="clear" w:color="auto" w:fill="auto"/>
            <w:vAlign w:val="center"/>
          </w:tcPr>
          <w:p w14:paraId="21C1DC47">
            <w:pPr>
              <w:adjustRightInd w:val="0"/>
              <w:snapToGrid w:val="0"/>
              <w:jc w:val="center"/>
              <w:rPr>
                <w:rFonts w:ascii="宋体" w:hAnsi="宋体" w:eastAsia="宋体" w:cs="Times New Roman"/>
                <w:color w:val="auto"/>
              </w:rPr>
            </w:pPr>
            <w:r>
              <w:rPr>
                <w:rFonts w:ascii="宋体" w:hAnsi="宋体" w:eastAsia="宋体" w:cs="Times New Roman"/>
                <w:color w:val="auto"/>
              </w:rPr>
              <w:t>符合性</w:t>
            </w:r>
            <w:r>
              <w:rPr>
                <w:rFonts w:hint="eastAsia" w:ascii="宋体" w:hAnsi="宋体" w:eastAsia="宋体" w:cs="Times New Roman"/>
                <w:color w:val="auto"/>
              </w:rPr>
              <w:t>分析</w:t>
            </w:r>
          </w:p>
        </w:tc>
        <w:tc>
          <w:tcPr>
            <w:tcW w:w="491" w:type="pct"/>
            <w:shd w:val="clear" w:color="auto" w:fill="auto"/>
            <w:vAlign w:val="center"/>
          </w:tcPr>
          <w:p w14:paraId="252C4538">
            <w:pPr>
              <w:adjustRightInd w:val="0"/>
              <w:snapToGrid w:val="0"/>
              <w:jc w:val="center"/>
              <w:rPr>
                <w:rFonts w:ascii="宋体" w:hAnsi="宋体" w:eastAsia="宋体" w:cs="Times New Roman"/>
                <w:color w:val="auto"/>
              </w:rPr>
            </w:pPr>
            <w:r>
              <w:rPr>
                <w:rFonts w:hint="eastAsia" w:ascii="宋体" w:hAnsi="宋体" w:eastAsia="宋体" w:cs="Times New Roman"/>
                <w:color w:val="auto"/>
              </w:rPr>
              <w:t>符合性</w:t>
            </w:r>
          </w:p>
        </w:tc>
      </w:tr>
      <w:tr w14:paraId="6509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 w:type="pct"/>
            <w:shd w:val="clear" w:color="auto" w:fill="auto"/>
            <w:vAlign w:val="center"/>
          </w:tcPr>
          <w:p w14:paraId="6FE11034">
            <w:pPr>
              <w:adjustRightInd w:val="0"/>
              <w:snapToGrid w:val="0"/>
              <w:jc w:val="center"/>
              <w:rPr>
                <w:rFonts w:ascii="宋体" w:hAnsi="宋体" w:eastAsia="宋体" w:cs="Times New Roman"/>
                <w:color w:val="auto"/>
              </w:rPr>
            </w:pPr>
            <w:r>
              <w:rPr>
                <w:rFonts w:ascii="宋体" w:hAnsi="宋体" w:eastAsia="宋体" w:cs="Times New Roman"/>
                <w:color w:val="auto"/>
              </w:rPr>
              <w:t>1</w:t>
            </w:r>
          </w:p>
        </w:tc>
        <w:tc>
          <w:tcPr>
            <w:tcW w:w="674" w:type="pct"/>
            <w:shd w:val="clear" w:color="auto" w:fill="auto"/>
            <w:vAlign w:val="center"/>
          </w:tcPr>
          <w:p w14:paraId="28379939">
            <w:pPr>
              <w:adjustRightInd w:val="0"/>
              <w:snapToGrid w:val="0"/>
              <w:jc w:val="center"/>
              <w:rPr>
                <w:rFonts w:ascii="宋体" w:hAnsi="宋体" w:eastAsia="宋体" w:cs="Times New Roman"/>
                <w:color w:val="auto"/>
              </w:rPr>
            </w:pPr>
            <w:r>
              <w:rPr>
                <w:rFonts w:ascii="宋体" w:hAnsi="宋体" w:eastAsia="宋体" w:cs="Times New Roman"/>
                <w:color w:val="auto"/>
              </w:rPr>
              <w:t>加强政策引导</w:t>
            </w:r>
          </w:p>
        </w:tc>
        <w:tc>
          <w:tcPr>
            <w:tcW w:w="1897" w:type="pct"/>
            <w:shd w:val="clear" w:color="auto" w:fill="auto"/>
            <w:vAlign w:val="center"/>
          </w:tcPr>
          <w:p w14:paraId="77FDDCC5">
            <w:pPr>
              <w:adjustRightInd w:val="0"/>
              <w:snapToGrid w:val="0"/>
              <w:jc w:val="center"/>
              <w:rPr>
                <w:rFonts w:ascii="宋体" w:hAnsi="宋体" w:eastAsia="宋体" w:cs="Times New Roman"/>
                <w:color w:val="auto"/>
              </w:rPr>
            </w:pPr>
            <w:r>
              <w:rPr>
                <w:rFonts w:ascii="宋体" w:hAnsi="宋体" w:eastAsia="宋体" w:cs="Times New Roman"/>
                <w:color w:val="auto"/>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659" w:type="pct"/>
            <w:vMerge w:val="restart"/>
            <w:shd w:val="clear" w:color="auto" w:fill="auto"/>
            <w:vAlign w:val="center"/>
          </w:tcPr>
          <w:p w14:paraId="610B7331">
            <w:pPr>
              <w:adjustRightInd w:val="0"/>
              <w:snapToGrid w:val="0"/>
              <w:jc w:val="center"/>
              <w:rPr>
                <w:rFonts w:ascii="宋体" w:hAnsi="宋体" w:eastAsia="宋体" w:cs="Times New Roman"/>
                <w:color w:val="auto"/>
              </w:rPr>
            </w:pPr>
            <w:r>
              <w:rPr>
                <w:rFonts w:ascii="宋体" w:hAnsi="宋体" w:eastAsia="宋体" w:cs="Times New Roman"/>
                <w:color w:val="auto"/>
              </w:rPr>
              <w:t>本项目为石油开采工程，在采油井口安装了密封垫，拉油点储罐阀门、法兰等安装密封垫片，油井产液采用管线密闭集输进入拉油点储罐，拉油点储罐密闭收集储存产液，伴生气用于拉油点多功能储罐加热炉自耗，不外排，拉油点储罐储存过程中为密闭状态，采用罐车密闭拉运，可有效控制挥发性有机物无组织排放，在采取了上述措施后，本项目的建设符合《黑龙江省重点行业挥发性有机物综合治理行动方案》。</w:t>
            </w:r>
          </w:p>
        </w:tc>
        <w:tc>
          <w:tcPr>
            <w:tcW w:w="491" w:type="pct"/>
            <w:shd w:val="clear" w:color="auto" w:fill="auto"/>
            <w:vAlign w:val="center"/>
          </w:tcPr>
          <w:p w14:paraId="0F4F01EF">
            <w:pPr>
              <w:adjustRightInd w:val="0"/>
              <w:snapToGrid w:val="0"/>
              <w:jc w:val="center"/>
              <w:rPr>
                <w:rFonts w:ascii="宋体" w:hAnsi="宋体" w:eastAsia="宋体" w:cs="Times New Roman"/>
                <w:color w:val="auto"/>
              </w:rPr>
            </w:pPr>
            <w:r>
              <w:rPr>
                <w:rFonts w:hint="eastAsia" w:ascii="宋体" w:hAnsi="宋体" w:eastAsia="宋体" w:cs="Times New Roman"/>
                <w:color w:val="auto"/>
              </w:rPr>
              <w:t>符合</w:t>
            </w:r>
          </w:p>
        </w:tc>
      </w:tr>
      <w:tr w14:paraId="6BBC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 w:type="pct"/>
            <w:shd w:val="clear" w:color="auto" w:fill="auto"/>
            <w:vAlign w:val="center"/>
          </w:tcPr>
          <w:p w14:paraId="48DE2415">
            <w:pPr>
              <w:adjustRightInd w:val="0"/>
              <w:snapToGrid w:val="0"/>
              <w:jc w:val="center"/>
              <w:rPr>
                <w:rFonts w:ascii="宋体" w:hAnsi="宋体" w:eastAsia="宋体" w:cs="Times New Roman"/>
                <w:color w:val="auto"/>
              </w:rPr>
            </w:pPr>
            <w:r>
              <w:rPr>
                <w:rFonts w:ascii="宋体" w:hAnsi="宋体" w:eastAsia="宋体" w:cs="Times New Roman"/>
                <w:color w:val="auto"/>
              </w:rPr>
              <w:t>2</w:t>
            </w:r>
          </w:p>
        </w:tc>
        <w:tc>
          <w:tcPr>
            <w:tcW w:w="674" w:type="pct"/>
            <w:shd w:val="clear" w:color="auto" w:fill="auto"/>
            <w:vAlign w:val="center"/>
          </w:tcPr>
          <w:p w14:paraId="0D1B0FF3">
            <w:pPr>
              <w:adjustRightInd w:val="0"/>
              <w:snapToGrid w:val="0"/>
              <w:jc w:val="center"/>
              <w:rPr>
                <w:rFonts w:ascii="宋体" w:hAnsi="宋体" w:eastAsia="宋体" w:cs="Times New Roman"/>
                <w:color w:val="auto"/>
              </w:rPr>
            </w:pPr>
            <w:r>
              <w:rPr>
                <w:rFonts w:ascii="宋体" w:hAnsi="宋体" w:eastAsia="宋体" w:cs="Times New Roman"/>
                <w:color w:val="auto"/>
              </w:rPr>
              <w:t>加强设备与场所密闭管理</w:t>
            </w:r>
          </w:p>
        </w:tc>
        <w:tc>
          <w:tcPr>
            <w:tcW w:w="1897" w:type="pct"/>
            <w:shd w:val="clear" w:color="auto" w:fill="auto"/>
            <w:vAlign w:val="center"/>
          </w:tcPr>
          <w:p w14:paraId="623F9A58">
            <w:pPr>
              <w:adjustRightInd w:val="0"/>
              <w:snapToGrid w:val="0"/>
              <w:jc w:val="center"/>
              <w:rPr>
                <w:rFonts w:ascii="宋体" w:hAnsi="宋体" w:eastAsia="宋体" w:cs="Times New Roman"/>
                <w:color w:val="auto"/>
              </w:rPr>
            </w:pPr>
            <w:r>
              <w:rPr>
                <w:rFonts w:ascii="宋体" w:hAnsi="宋体" w:eastAsia="宋体" w:cs="Times New Roman"/>
                <w:color w:val="auto"/>
              </w:rPr>
              <w:t>含 VOCs 物料应储存于密闭容器、包装袋，高效密封储罐，封闭式储库、料仓等。含VOCs 物料转移和输送，应采用密闭管道或密闭容器、罐车等。</w:t>
            </w:r>
          </w:p>
        </w:tc>
        <w:tc>
          <w:tcPr>
            <w:tcW w:w="1659" w:type="pct"/>
            <w:vMerge w:val="continue"/>
            <w:shd w:val="clear" w:color="auto" w:fill="auto"/>
            <w:vAlign w:val="center"/>
          </w:tcPr>
          <w:p w14:paraId="3D10FD3B">
            <w:pPr>
              <w:adjustRightInd w:val="0"/>
              <w:snapToGrid w:val="0"/>
              <w:jc w:val="center"/>
              <w:rPr>
                <w:rFonts w:ascii="宋体" w:hAnsi="宋体" w:eastAsia="宋体" w:cs="Times New Roman"/>
                <w:color w:val="auto"/>
              </w:rPr>
            </w:pPr>
          </w:p>
        </w:tc>
        <w:tc>
          <w:tcPr>
            <w:tcW w:w="491" w:type="pct"/>
            <w:shd w:val="clear" w:color="auto" w:fill="auto"/>
            <w:vAlign w:val="center"/>
          </w:tcPr>
          <w:p w14:paraId="4FCFA36A">
            <w:pPr>
              <w:adjustRightInd w:val="0"/>
              <w:snapToGrid w:val="0"/>
              <w:jc w:val="center"/>
              <w:rPr>
                <w:rFonts w:ascii="宋体" w:hAnsi="宋体" w:eastAsia="宋体" w:cs="Times New Roman"/>
                <w:color w:val="auto"/>
              </w:rPr>
            </w:pPr>
            <w:r>
              <w:rPr>
                <w:rFonts w:hint="eastAsia" w:ascii="宋体" w:hAnsi="宋体" w:eastAsia="宋体" w:cs="Times New Roman"/>
                <w:color w:val="auto"/>
              </w:rPr>
              <w:t>符合</w:t>
            </w:r>
          </w:p>
        </w:tc>
      </w:tr>
      <w:tr w14:paraId="1BAF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 w:type="pct"/>
            <w:shd w:val="clear" w:color="auto" w:fill="auto"/>
            <w:vAlign w:val="center"/>
          </w:tcPr>
          <w:p w14:paraId="4A82D27F">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674" w:type="pct"/>
            <w:shd w:val="clear" w:color="auto" w:fill="auto"/>
            <w:vAlign w:val="center"/>
          </w:tcPr>
          <w:p w14:paraId="17D227C8">
            <w:pPr>
              <w:adjustRightInd w:val="0"/>
              <w:snapToGrid w:val="0"/>
              <w:jc w:val="center"/>
              <w:rPr>
                <w:rFonts w:ascii="宋体" w:hAnsi="宋体" w:eastAsia="宋体" w:cs="Times New Roman"/>
                <w:color w:val="auto"/>
              </w:rPr>
            </w:pPr>
            <w:r>
              <w:rPr>
                <w:rFonts w:ascii="宋体" w:hAnsi="宋体" w:eastAsia="宋体" w:cs="Times New Roman"/>
                <w:color w:val="auto"/>
              </w:rPr>
              <w:t>推进使用先进生产工艺</w:t>
            </w:r>
          </w:p>
        </w:tc>
        <w:tc>
          <w:tcPr>
            <w:tcW w:w="1897" w:type="pct"/>
            <w:shd w:val="clear" w:color="auto" w:fill="auto"/>
            <w:vAlign w:val="center"/>
          </w:tcPr>
          <w:p w14:paraId="744CEEBB">
            <w:pPr>
              <w:adjustRightInd w:val="0"/>
              <w:snapToGrid w:val="0"/>
              <w:jc w:val="center"/>
              <w:rPr>
                <w:rFonts w:ascii="宋体" w:hAnsi="宋体" w:eastAsia="宋体" w:cs="Times New Roman"/>
                <w:color w:val="auto"/>
              </w:rPr>
            </w:pPr>
            <w:r>
              <w:rPr>
                <w:rFonts w:ascii="宋体" w:hAnsi="宋体" w:eastAsia="宋体" w:cs="Times New Roman"/>
                <w:color w:val="auto"/>
              </w:rPr>
              <w:t>通过采用全密闭、连续化、自动化等生产技术，以及高效工艺与设备等，减少工艺过程无组织排放。挥发性有机液体装载优先采用底部装载方式。</w:t>
            </w:r>
          </w:p>
        </w:tc>
        <w:tc>
          <w:tcPr>
            <w:tcW w:w="1659" w:type="pct"/>
            <w:vMerge w:val="continue"/>
            <w:shd w:val="clear" w:color="auto" w:fill="auto"/>
            <w:vAlign w:val="center"/>
          </w:tcPr>
          <w:p w14:paraId="466F7C49">
            <w:pPr>
              <w:adjustRightInd w:val="0"/>
              <w:snapToGrid w:val="0"/>
              <w:jc w:val="center"/>
              <w:rPr>
                <w:rFonts w:ascii="宋体" w:hAnsi="宋体" w:eastAsia="宋体" w:cs="Times New Roman"/>
                <w:color w:val="auto"/>
              </w:rPr>
            </w:pPr>
          </w:p>
        </w:tc>
        <w:tc>
          <w:tcPr>
            <w:tcW w:w="491" w:type="pct"/>
            <w:shd w:val="clear" w:color="auto" w:fill="auto"/>
            <w:vAlign w:val="center"/>
          </w:tcPr>
          <w:p w14:paraId="3DFFDC34">
            <w:pPr>
              <w:adjustRightInd w:val="0"/>
              <w:snapToGrid w:val="0"/>
              <w:jc w:val="center"/>
              <w:rPr>
                <w:rFonts w:ascii="宋体" w:hAnsi="宋体" w:eastAsia="宋体" w:cs="Times New Roman"/>
                <w:color w:val="auto"/>
              </w:rPr>
            </w:pPr>
            <w:r>
              <w:rPr>
                <w:rFonts w:hint="eastAsia" w:ascii="宋体" w:hAnsi="宋体" w:eastAsia="宋体" w:cs="Times New Roman"/>
                <w:color w:val="auto"/>
              </w:rPr>
              <w:t>符合</w:t>
            </w:r>
          </w:p>
        </w:tc>
      </w:tr>
      <w:tr w14:paraId="2BD9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 w:type="pct"/>
            <w:shd w:val="clear" w:color="auto" w:fill="auto"/>
            <w:vAlign w:val="center"/>
          </w:tcPr>
          <w:p w14:paraId="390E0A95">
            <w:pPr>
              <w:adjustRightInd w:val="0"/>
              <w:snapToGrid w:val="0"/>
              <w:jc w:val="center"/>
              <w:rPr>
                <w:rFonts w:ascii="宋体" w:hAnsi="宋体" w:eastAsia="宋体" w:cs="Times New Roman"/>
                <w:color w:val="auto"/>
              </w:rPr>
            </w:pPr>
            <w:r>
              <w:rPr>
                <w:rFonts w:ascii="宋体" w:hAnsi="宋体" w:eastAsia="宋体" w:cs="Times New Roman"/>
                <w:color w:val="auto"/>
              </w:rPr>
              <w:t>4</w:t>
            </w:r>
          </w:p>
        </w:tc>
        <w:tc>
          <w:tcPr>
            <w:tcW w:w="674" w:type="pct"/>
            <w:shd w:val="clear" w:color="auto" w:fill="auto"/>
            <w:vAlign w:val="center"/>
          </w:tcPr>
          <w:p w14:paraId="6AB8BB36">
            <w:pPr>
              <w:adjustRightInd w:val="0"/>
              <w:snapToGrid w:val="0"/>
              <w:jc w:val="center"/>
              <w:rPr>
                <w:rFonts w:ascii="宋体" w:hAnsi="宋体" w:eastAsia="宋体" w:cs="Times New Roman"/>
                <w:color w:val="auto"/>
              </w:rPr>
            </w:pPr>
            <w:r>
              <w:rPr>
                <w:rFonts w:ascii="宋体" w:hAnsi="宋体" w:eastAsia="宋体" w:cs="Times New Roman"/>
                <w:color w:val="auto"/>
              </w:rPr>
              <w:t>加大废水集输系统改造力度</w:t>
            </w:r>
          </w:p>
        </w:tc>
        <w:tc>
          <w:tcPr>
            <w:tcW w:w="1897" w:type="pct"/>
            <w:shd w:val="clear" w:color="auto" w:fill="auto"/>
            <w:vAlign w:val="center"/>
          </w:tcPr>
          <w:p w14:paraId="4BF2F297">
            <w:pPr>
              <w:adjustRightInd w:val="0"/>
              <w:snapToGrid w:val="0"/>
              <w:jc w:val="center"/>
              <w:rPr>
                <w:rFonts w:ascii="宋体" w:hAnsi="宋体" w:eastAsia="宋体" w:cs="Times New Roman"/>
                <w:color w:val="auto"/>
              </w:rPr>
            </w:pPr>
            <w:r>
              <w:rPr>
                <w:rFonts w:ascii="宋体" w:hAnsi="宋体" w:eastAsia="宋体" w:cs="Times New Roman"/>
                <w:color w:val="auto"/>
              </w:rPr>
              <w:t>哈尔滨市、大庆市现有重点企业通过采取密闭管道等措施逐步替代地漏、沟、渠、井等敞开式集输方式。</w:t>
            </w:r>
          </w:p>
        </w:tc>
        <w:tc>
          <w:tcPr>
            <w:tcW w:w="1659" w:type="pct"/>
            <w:vMerge w:val="continue"/>
            <w:shd w:val="clear" w:color="auto" w:fill="auto"/>
            <w:vAlign w:val="center"/>
          </w:tcPr>
          <w:p w14:paraId="42515AE1">
            <w:pPr>
              <w:adjustRightInd w:val="0"/>
              <w:snapToGrid w:val="0"/>
              <w:jc w:val="center"/>
              <w:rPr>
                <w:rFonts w:ascii="宋体" w:hAnsi="宋体" w:eastAsia="宋体" w:cs="Times New Roman"/>
                <w:color w:val="auto"/>
              </w:rPr>
            </w:pPr>
          </w:p>
        </w:tc>
        <w:tc>
          <w:tcPr>
            <w:tcW w:w="491" w:type="pct"/>
            <w:shd w:val="clear" w:color="auto" w:fill="auto"/>
            <w:vAlign w:val="center"/>
          </w:tcPr>
          <w:p w14:paraId="46184347">
            <w:pPr>
              <w:adjustRightInd w:val="0"/>
              <w:snapToGrid w:val="0"/>
              <w:jc w:val="center"/>
              <w:rPr>
                <w:rFonts w:ascii="宋体" w:hAnsi="宋体" w:eastAsia="宋体" w:cs="Times New Roman"/>
                <w:color w:val="auto"/>
              </w:rPr>
            </w:pPr>
            <w:r>
              <w:rPr>
                <w:rFonts w:hint="eastAsia" w:ascii="宋体" w:hAnsi="宋体" w:eastAsia="宋体" w:cs="Times New Roman"/>
                <w:color w:val="auto"/>
              </w:rPr>
              <w:t>符合</w:t>
            </w:r>
          </w:p>
        </w:tc>
      </w:tr>
    </w:tbl>
    <w:p w14:paraId="5F18388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108" w:name="_Toc57203206"/>
      <w:bookmarkStart w:id="109" w:name="_Toc57976631"/>
      <w:bookmarkStart w:id="110" w:name="_Toc61597175"/>
      <w:bookmarkStart w:id="111" w:name="_Toc57707876"/>
      <w:bookmarkStart w:id="112" w:name="_Toc86141891"/>
      <w:bookmarkStart w:id="113" w:name="_Toc78816415"/>
      <w:bookmarkStart w:id="114" w:name="_Toc67860083"/>
      <w:bookmarkStart w:id="115" w:name="_Toc85640708"/>
      <w:bookmarkStart w:id="116" w:name="_Toc77067614"/>
      <w:bookmarkStart w:id="117" w:name="_Toc80588210"/>
      <w:bookmarkStart w:id="118" w:name="_Toc80971332"/>
      <w:bookmarkStart w:id="119" w:name="_Toc84929183"/>
      <w:bookmarkStart w:id="120" w:name="_Toc83209427"/>
      <w:bookmarkStart w:id="121" w:name="_Toc70050130"/>
      <w:bookmarkStart w:id="122" w:name="_Toc76976198"/>
      <w:bookmarkStart w:id="123" w:name="_Toc11277"/>
      <w:bookmarkStart w:id="124" w:name="_Toc527882715"/>
      <w:bookmarkStart w:id="125" w:name="_Toc17898122"/>
      <w:bookmarkStart w:id="126" w:name="_Toc527121316"/>
      <w:bookmarkStart w:id="127" w:name="_Toc502736436"/>
      <w:r>
        <w:rPr>
          <w:rFonts w:ascii="宋体" w:hAnsi="宋体" w:eastAsia="宋体" w:cs="Times New Roman"/>
          <w:b/>
          <w:bCs/>
          <w:color w:val="auto"/>
          <w:szCs w:val="28"/>
        </w:rPr>
        <w:t>与《中华人民共和国黑土地保护法》</w:t>
      </w:r>
      <w:r>
        <w:rPr>
          <w:rFonts w:hint="eastAsia" w:ascii="宋体" w:hAnsi="宋体" w:eastAsia="宋体" w:cs="Times New Roman"/>
          <w:b/>
          <w:bCs/>
          <w:color w:val="auto"/>
          <w:szCs w:val="28"/>
        </w:rPr>
        <w:t>（</w:t>
      </w:r>
      <w:r>
        <w:rPr>
          <w:rFonts w:ascii="宋体" w:hAnsi="宋体" w:eastAsia="宋体" w:cs="Times New Roman"/>
          <w:b/>
          <w:bCs/>
          <w:color w:val="auto"/>
          <w:szCs w:val="28"/>
        </w:rPr>
        <w:t>2022年8月1日起施行</w:t>
      </w:r>
      <w:r>
        <w:rPr>
          <w:rFonts w:hint="eastAsia" w:ascii="宋体" w:hAnsi="宋体" w:eastAsia="宋体" w:cs="Times New Roman"/>
          <w:b/>
          <w:bCs/>
          <w:color w:val="auto"/>
          <w:szCs w:val="28"/>
        </w:rPr>
        <w:t>）</w:t>
      </w:r>
      <w:r>
        <w:rPr>
          <w:rFonts w:ascii="宋体" w:hAnsi="宋体" w:eastAsia="宋体" w:cs="Times New Roman"/>
          <w:b/>
          <w:bCs/>
          <w:color w:val="auto"/>
          <w:szCs w:val="28"/>
        </w:rPr>
        <w:t>的符合性分析</w:t>
      </w:r>
    </w:p>
    <w:p w14:paraId="3F3CECAE">
      <w:pPr>
        <w:pStyle w:val="276"/>
        <w:widowControl w:val="0"/>
        <w:ind w:firstLine="480"/>
        <w:jc w:val="both"/>
        <w:rPr>
          <w:color w:val="auto"/>
        </w:rPr>
      </w:pPr>
      <w:r>
        <w:rPr>
          <w:iCs/>
          <w:color w:val="auto"/>
        </w:rPr>
        <w:t>本项目位于黑龙江省大庆市</w:t>
      </w:r>
      <w:r>
        <w:rPr>
          <w:color w:val="auto"/>
        </w:rPr>
        <w:t>肇源县</w:t>
      </w:r>
      <w:r>
        <w:rPr>
          <w:rFonts w:hint="eastAsia"/>
          <w:color w:val="auto"/>
        </w:rPr>
        <w:t>境内</w:t>
      </w:r>
      <w:r>
        <w:rPr>
          <w:iCs/>
          <w:color w:val="auto"/>
        </w:rPr>
        <w:t>，</w:t>
      </w:r>
      <w:r>
        <w:rPr>
          <w:color w:val="auto"/>
        </w:rPr>
        <w:t>与《中华人民共和国黑土地保护法》相关要求符合性分析详见</w:t>
      </w:r>
      <w:r>
        <w:rPr>
          <w:color w:val="auto"/>
        </w:rPr>
        <w:fldChar w:fldCharType="begin"/>
      </w:r>
      <w:r>
        <w:rPr>
          <w:color w:val="auto"/>
        </w:rPr>
        <w:instrText xml:space="preserve"> REF _Ref211957118 \h  \* MERGEFORMAT </w:instrText>
      </w:r>
      <w:r>
        <w:rPr>
          <w:color w:val="auto"/>
        </w:rPr>
        <w:fldChar w:fldCharType="separate"/>
      </w:r>
      <w:r>
        <w:rPr>
          <w:rFonts w:hint="eastAsia"/>
          <w:color w:val="auto"/>
        </w:rPr>
        <w:t xml:space="preserve">表 </w:t>
      </w:r>
      <w:r>
        <w:rPr>
          <w:color w:val="auto"/>
        </w:rPr>
        <w:t>1.4</w:t>
      </w:r>
      <w:r>
        <w:rPr>
          <w:color w:val="auto"/>
        </w:rPr>
        <w:noBreakHyphen/>
      </w:r>
      <w:r>
        <w:rPr>
          <w:color w:val="auto"/>
        </w:rPr>
        <w:t>8</w:t>
      </w:r>
      <w:r>
        <w:rPr>
          <w:color w:val="auto"/>
        </w:rPr>
        <w:fldChar w:fldCharType="end"/>
      </w:r>
      <w:r>
        <w:rPr>
          <w:color w:val="auto"/>
        </w:rPr>
        <w:t>。</w:t>
      </w:r>
    </w:p>
    <w:p w14:paraId="1F50A90D">
      <w:pPr>
        <w:pStyle w:val="22"/>
        <w:spacing w:before="156"/>
        <w:rPr>
          <w:color w:val="auto"/>
        </w:rPr>
      </w:pPr>
      <w:bookmarkStart w:id="128" w:name="_Ref21195711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8</w:t>
      </w:r>
      <w:r>
        <w:rPr>
          <w:color w:val="auto"/>
        </w:rPr>
        <w:fldChar w:fldCharType="end"/>
      </w:r>
      <w:bookmarkEnd w:id="128"/>
      <w:r>
        <w:rPr>
          <w:color w:val="auto"/>
        </w:rPr>
        <w:t>与《中华人民共和国黑土地保护法》符合性分析</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947"/>
        <w:gridCol w:w="4981"/>
        <w:gridCol w:w="678"/>
      </w:tblGrid>
      <w:tr w14:paraId="394A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shd w:val="clear" w:color="auto" w:fill="auto"/>
            <w:vAlign w:val="center"/>
          </w:tcPr>
          <w:p w14:paraId="74722964">
            <w:pPr>
              <w:jc w:val="center"/>
              <w:rPr>
                <w:rFonts w:ascii="宋体" w:hAnsi="宋体" w:eastAsia="宋体" w:cs="Times New Roman"/>
                <w:color w:val="auto"/>
              </w:rPr>
            </w:pPr>
            <w:r>
              <w:rPr>
                <w:rFonts w:ascii="宋体" w:hAnsi="宋体" w:eastAsia="宋体" w:cs="Times New Roman"/>
                <w:color w:val="auto"/>
              </w:rPr>
              <w:t>序号</w:t>
            </w:r>
          </w:p>
        </w:tc>
        <w:tc>
          <w:tcPr>
            <w:tcW w:w="1587" w:type="pct"/>
            <w:shd w:val="clear" w:color="auto" w:fill="auto"/>
            <w:vAlign w:val="center"/>
          </w:tcPr>
          <w:p w14:paraId="5AAAE114">
            <w:pPr>
              <w:jc w:val="center"/>
              <w:rPr>
                <w:rFonts w:ascii="宋体" w:hAnsi="宋体" w:eastAsia="宋体" w:cs="Times New Roman"/>
                <w:color w:val="auto"/>
              </w:rPr>
            </w:pPr>
            <w:r>
              <w:rPr>
                <w:rFonts w:ascii="宋体" w:hAnsi="宋体" w:eastAsia="宋体" w:cs="Times New Roman"/>
                <w:color w:val="auto"/>
              </w:rPr>
              <w:t>相关要求</w:t>
            </w:r>
          </w:p>
        </w:tc>
        <w:tc>
          <w:tcPr>
            <w:tcW w:w="2682" w:type="pct"/>
            <w:shd w:val="clear" w:color="auto" w:fill="auto"/>
            <w:vAlign w:val="center"/>
          </w:tcPr>
          <w:p w14:paraId="6889B0ED">
            <w:pPr>
              <w:jc w:val="center"/>
              <w:rPr>
                <w:rFonts w:ascii="宋体" w:hAnsi="宋体" w:eastAsia="宋体" w:cs="Times New Roman"/>
                <w:color w:val="auto"/>
              </w:rPr>
            </w:pPr>
            <w:r>
              <w:rPr>
                <w:rFonts w:ascii="宋体" w:hAnsi="宋体" w:eastAsia="宋体" w:cs="Times New Roman"/>
                <w:color w:val="auto"/>
              </w:rPr>
              <w:t>符合性分析</w:t>
            </w:r>
          </w:p>
        </w:tc>
        <w:tc>
          <w:tcPr>
            <w:tcW w:w="365" w:type="pct"/>
            <w:shd w:val="clear" w:color="auto" w:fill="auto"/>
            <w:vAlign w:val="center"/>
          </w:tcPr>
          <w:p w14:paraId="05556D30">
            <w:pPr>
              <w:jc w:val="center"/>
              <w:rPr>
                <w:rFonts w:ascii="宋体" w:hAnsi="宋体" w:eastAsia="宋体" w:cs="Times New Roman"/>
                <w:color w:val="auto"/>
              </w:rPr>
            </w:pPr>
            <w:r>
              <w:rPr>
                <w:rFonts w:ascii="宋体" w:hAnsi="宋体" w:eastAsia="宋体" w:cs="Times New Roman"/>
                <w:color w:val="auto"/>
              </w:rPr>
              <w:t>结论</w:t>
            </w:r>
          </w:p>
        </w:tc>
      </w:tr>
      <w:tr w14:paraId="2940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shd w:val="clear" w:color="auto" w:fill="auto"/>
            <w:vAlign w:val="center"/>
          </w:tcPr>
          <w:p w14:paraId="771B6AB7">
            <w:pPr>
              <w:jc w:val="center"/>
              <w:rPr>
                <w:rFonts w:ascii="宋体" w:hAnsi="宋体" w:eastAsia="宋体" w:cs="Times New Roman"/>
                <w:color w:val="auto"/>
              </w:rPr>
            </w:pPr>
            <w:r>
              <w:rPr>
                <w:rFonts w:ascii="宋体" w:hAnsi="宋体" w:eastAsia="宋体" w:cs="Times New Roman"/>
                <w:color w:val="auto"/>
              </w:rPr>
              <w:t>1</w:t>
            </w:r>
          </w:p>
        </w:tc>
        <w:tc>
          <w:tcPr>
            <w:tcW w:w="1587" w:type="pct"/>
            <w:shd w:val="clear" w:color="auto" w:fill="auto"/>
            <w:vAlign w:val="center"/>
          </w:tcPr>
          <w:p w14:paraId="71D9E5D7">
            <w:pPr>
              <w:jc w:val="center"/>
              <w:rPr>
                <w:rFonts w:ascii="宋体" w:hAnsi="宋体" w:eastAsia="宋体" w:cs="Times New Roman"/>
                <w:color w:val="auto"/>
              </w:rPr>
            </w:pPr>
            <w:r>
              <w:rPr>
                <w:rFonts w:ascii="宋体" w:hAnsi="宋体" w:eastAsia="宋体" w:cs="Times New Roman"/>
                <w:color w:val="auto"/>
                <w:lang w:bidi="zh-CN"/>
              </w:rPr>
              <w:t>建设项目不得占用黑土地；确需占用的，应当依法严格审批，并补充数量和质量相当的耕地。</w:t>
            </w:r>
          </w:p>
        </w:tc>
        <w:tc>
          <w:tcPr>
            <w:tcW w:w="2682" w:type="pct"/>
            <w:shd w:val="clear" w:color="auto" w:fill="auto"/>
            <w:vAlign w:val="center"/>
          </w:tcPr>
          <w:p w14:paraId="4F535095">
            <w:pPr>
              <w:jc w:val="center"/>
              <w:rPr>
                <w:rFonts w:ascii="宋体" w:hAnsi="宋体" w:eastAsia="宋体" w:cs="Times New Roman"/>
                <w:color w:val="auto"/>
              </w:rPr>
            </w:pPr>
            <w:r>
              <w:rPr>
                <w:rFonts w:ascii="宋体" w:hAnsi="宋体" w:eastAsia="宋体" w:cs="Times New Roman"/>
                <w:color w:val="auto"/>
              </w:rPr>
              <w:t>本项目占地类型为耕地（</w:t>
            </w:r>
            <w:r>
              <w:rPr>
                <w:rFonts w:hint="eastAsia" w:ascii="宋体" w:hAnsi="宋体" w:eastAsia="宋体" w:cs="Times New Roman"/>
                <w:color w:val="auto"/>
              </w:rPr>
              <w:t>永久</w:t>
            </w:r>
            <w:r>
              <w:rPr>
                <w:rFonts w:ascii="宋体" w:hAnsi="宋体" w:eastAsia="宋体" w:cs="Times New Roman"/>
                <w:color w:val="auto"/>
              </w:rPr>
              <w:t>基本农田）和草地，占用黑土地，本项目在施工前需要征收土地，应报请相关主管部门同意，取得用地审批。本项目尽可能减少占地，在建设过程中，对临时占地进行表土剥离，施工结束后回填，对永久占地按“占一补一”原则进行补偿，专款用于基本农田补划。</w:t>
            </w:r>
          </w:p>
        </w:tc>
        <w:tc>
          <w:tcPr>
            <w:tcW w:w="365" w:type="pct"/>
            <w:shd w:val="clear" w:color="auto" w:fill="auto"/>
            <w:vAlign w:val="center"/>
          </w:tcPr>
          <w:p w14:paraId="4A473820">
            <w:pPr>
              <w:jc w:val="center"/>
              <w:rPr>
                <w:rFonts w:ascii="宋体" w:hAnsi="宋体" w:eastAsia="宋体" w:cs="Times New Roman"/>
                <w:color w:val="auto"/>
              </w:rPr>
            </w:pPr>
            <w:r>
              <w:rPr>
                <w:rFonts w:ascii="宋体" w:hAnsi="宋体" w:eastAsia="宋体" w:cs="Times New Roman"/>
                <w:color w:val="auto"/>
              </w:rPr>
              <w:t>符合</w:t>
            </w:r>
          </w:p>
        </w:tc>
      </w:tr>
      <w:tr w14:paraId="20A7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shd w:val="clear" w:color="auto" w:fill="auto"/>
            <w:vAlign w:val="center"/>
          </w:tcPr>
          <w:p w14:paraId="3B18091F">
            <w:pPr>
              <w:jc w:val="center"/>
              <w:rPr>
                <w:rFonts w:ascii="宋体" w:hAnsi="宋体" w:eastAsia="宋体" w:cs="Times New Roman"/>
                <w:color w:val="auto"/>
              </w:rPr>
            </w:pPr>
            <w:r>
              <w:rPr>
                <w:rFonts w:ascii="宋体" w:hAnsi="宋体" w:eastAsia="宋体" w:cs="Times New Roman"/>
                <w:color w:val="auto"/>
              </w:rPr>
              <w:t>2</w:t>
            </w:r>
          </w:p>
        </w:tc>
        <w:tc>
          <w:tcPr>
            <w:tcW w:w="1587" w:type="pct"/>
            <w:shd w:val="clear" w:color="auto" w:fill="auto"/>
            <w:vAlign w:val="center"/>
          </w:tcPr>
          <w:p w14:paraId="2422C1A1">
            <w:pPr>
              <w:jc w:val="center"/>
              <w:rPr>
                <w:rFonts w:ascii="宋体" w:hAnsi="宋体" w:eastAsia="宋体" w:cs="Times New Roman"/>
                <w:color w:val="auto"/>
              </w:rPr>
            </w:pPr>
            <w:r>
              <w:rPr>
                <w:rFonts w:ascii="宋体" w:hAnsi="宋体" w:eastAsia="宋体" w:cs="Times New Roman"/>
                <w:color w:val="auto"/>
                <w:lang w:bidi="zh-CN"/>
              </w:rPr>
              <w:t>建设项目占用黑土地的，应当按照规定的标准对耕作层的土壤进行剥离。剥离的黑土应当就近用于新开垦耕地和劣质耕地改良、被污染耕地的治理、高标准农田建设、土地复垦等。</w:t>
            </w:r>
          </w:p>
        </w:tc>
        <w:tc>
          <w:tcPr>
            <w:tcW w:w="2682" w:type="pct"/>
            <w:shd w:val="clear" w:color="auto" w:fill="auto"/>
            <w:vAlign w:val="center"/>
          </w:tcPr>
          <w:p w14:paraId="646B0F62">
            <w:pPr>
              <w:jc w:val="center"/>
              <w:rPr>
                <w:rFonts w:ascii="宋体" w:hAnsi="宋体" w:eastAsia="宋体" w:cs="Times New Roman"/>
                <w:color w:val="auto"/>
              </w:rPr>
            </w:pPr>
            <w:r>
              <w:rPr>
                <w:rFonts w:ascii="宋体" w:hAnsi="宋体" w:eastAsia="宋体" w:cs="Times New Roman"/>
                <w:color w:val="auto"/>
              </w:rPr>
              <w:t>本项目在开工征地前编制表土剥离方案，施工过程中针对临时占地，应剥离占地内0.3m的表土，采用分层开挖，分层堆放，暂存于施工井场或管线两侧的表土剥离临时堆放区，并采取苫布遮盖等措施防止水土流失，定期采取洒水抑尘措施，剥离的表土在施工结束后分层回填，并及时平整地表和植被恢复。</w:t>
            </w:r>
          </w:p>
        </w:tc>
        <w:tc>
          <w:tcPr>
            <w:tcW w:w="365" w:type="pct"/>
            <w:shd w:val="clear" w:color="auto" w:fill="auto"/>
            <w:vAlign w:val="center"/>
          </w:tcPr>
          <w:p w14:paraId="7A3A10E5">
            <w:pPr>
              <w:jc w:val="center"/>
              <w:rPr>
                <w:rFonts w:ascii="宋体" w:hAnsi="宋体" w:eastAsia="宋体" w:cs="Times New Roman"/>
                <w:color w:val="auto"/>
              </w:rPr>
            </w:pPr>
            <w:r>
              <w:rPr>
                <w:rFonts w:ascii="宋体" w:hAnsi="宋体" w:eastAsia="宋体" w:cs="Times New Roman"/>
                <w:color w:val="auto"/>
              </w:rPr>
              <w:t>符合</w:t>
            </w:r>
          </w:p>
        </w:tc>
      </w:tr>
    </w:tbl>
    <w:p w14:paraId="43211AD3">
      <w:pPr>
        <w:pStyle w:val="276"/>
        <w:widowControl w:val="0"/>
        <w:ind w:firstLine="480"/>
        <w:jc w:val="both"/>
        <w:rPr>
          <w:color w:val="auto"/>
        </w:rPr>
      </w:pPr>
      <w:r>
        <w:rPr>
          <w:color w:val="auto"/>
        </w:rPr>
        <w:t>在采取以上措施后，本项目符合</w:t>
      </w:r>
      <w:r>
        <w:rPr>
          <w:snapToGrid w:val="0"/>
          <w:color w:val="auto"/>
        </w:rPr>
        <w:t>《中华人民共和国黑土地保护法》</w:t>
      </w:r>
      <w:r>
        <w:rPr>
          <w:color w:val="auto"/>
        </w:rPr>
        <w:t>中要求。</w:t>
      </w:r>
    </w:p>
    <w:p w14:paraId="680ED90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与《黑龙江省黑土地保护利用条例》（2024年3月1日起施行）符合性分析</w:t>
      </w:r>
    </w:p>
    <w:p w14:paraId="1CA8F395">
      <w:pPr>
        <w:pStyle w:val="276"/>
        <w:widowControl w:val="0"/>
        <w:ind w:firstLine="480"/>
        <w:jc w:val="both"/>
        <w:rPr>
          <w:iCs/>
          <w:color w:val="auto"/>
          <w:kern w:val="2"/>
        </w:rPr>
      </w:pPr>
      <w:r>
        <w:rPr>
          <w:iCs/>
          <w:color w:val="auto"/>
          <w:kern w:val="2"/>
        </w:rPr>
        <w:t>本项目与</w:t>
      </w:r>
      <w:r>
        <w:rPr>
          <w:snapToGrid w:val="0"/>
          <w:color w:val="auto"/>
        </w:rPr>
        <w:t>《黑龙江省黑土地保护利用条例》</w:t>
      </w:r>
      <w:r>
        <w:rPr>
          <w:iCs/>
          <w:color w:val="auto"/>
          <w:kern w:val="2"/>
        </w:rPr>
        <w:t>符合性分析见</w:t>
      </w:r>
      <w:r>
        <w:rPr>
          <w:iCs/>
          <w:color w:val="auto"/>
          <w:kern w:val="2"/>
        </w:rPr>
        <w:fldChar w:fldCharType="begin"/>
      </w:r>
      <w:r>
        <w:rPr>
          <w:iCs/>
          <w:color w:val="auto"/>
          <w:kern w:val="2"/>
        </w:rPr>
        <w:instrText xml:space="preserve"> REF _Ref211957124 \h  \* MERGEFORMAT </w:instrText>
      </w:r>
      <w:r>
        <w:rPr>
          <w:iCs/>
          <w:color w:val="auto"/>
          <w:kern w:val="2"/>
        </w:rPr>
        <w:fldChar w:fldCharType="separate"/>
      </w:r>
      <w:r>
        <w:rPr>
          <w:rFonts w:hint="eastAsia"/>
          <w:color w:val="auto"/>
        </w:rPr>
        <w:t xml:space="preserve">表 </w:t>
      </w:r>
      <w:r>
        <w:rPr>
          <w:color w:val="auto"/>
        </w:rPr>
        <w:t>1.4</w:t>
      </w:r>
      <w:r>
        <w:rPr>
          <w:color w:val="auto"/>
        </w:rPr>
        <w:noBreakHyphen/>
      </w:r>
      <w:r>
        <w:rPr>
          <w:color w:val="auto"/>
        </w:rPr>
        <w:t>9</w:t>
      </w:r>
      <w:r>
        <w:rPr>
          <w:iCs/>
          <w:color w:val="auto"/>
          <w:kern w:val="2"/>
        </w:rPr>
        <w:fldChar w:fldCharType="end"/>
      </w:r>
      <w:r>
        <w:rPr>
          <w:iCs/>
          <w:color w:val="auto"/>
          <w:kern w:val="2"/>
        </w:rPr>
        <w:t>。</w:t>
      </w:r>
    </w:p>
    <w:p w14:paraId="18954F48">
      <w:pPr>
        <w:pStyle w:val="22"/>
        <w:spacing w:before="156"/>
        <w:rPr>
          <w:color w:val="auto"/>
        </w:rPr>
      </w:pPr>
      <w:bookmarkStart w:id="129" w:name="_Ref211957124"/>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9</w:t>
      </w:r>
      <w:r>
        <w:rPr>
          <w:color w:val="auto"/>
        </w:rPr>
        <w:fldChar w:fldCharType="end"/>
      </w:r>
      <w:bookmarkEnd w:id="129"/>
      <w:r>
        <w:rPr>
          <w:color w:val="auto"/>
        </w:rPr>
        <w:t>本项目与《黑龙江省黑土地保护利用条例》相关要求符合性一览表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635"/>
        <w:gridCol w:w="5007"/>
        <w:gridCol w:w="940"/>
      </w:tblGrid>
      <w:tr w14:paraId="1944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330F40D1">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序号</w:t>
            </w:r>
          </w:p>
        </w:tc>
        <w:tc>
          <w:tcPr>
            <w:tcW w:w="1419" w:type="pct"/>
            <w:shd w:val="clear" w:color="auto" w:fill="auto"/>
            <w:vAlign w:val="center"/>
          </w:tcPr>
          <w:p w14:paraId="6B366C96">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文件要求</w:t>
            </w:r>
          </w:p>
        </w:tc>
        <w:tc>
          <w:tcPr>
            <w:tcW w:w="2696" w:type="pct"/>
            <w:shd w:val="clear" w:color="auto" w:fill="auto"/>
            <w:vAlign w:val="center"/>
          </w:tcPr>
          <w:p w14:paraId="21F0AE74">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符合性分析</w:t>
            </w:r>
          </w:p>
        </w:tc>
        <w:tc>
          <w:tcPr>
            <w:tcW w:w="506" w:type="pct"/>
            <w:shd w:val="clear" w:color="auto" w:fill="auto"/>
            <w:vAlign w:val="center"/>
          </w:tcPr>
          <w:p w14:paraId="29616AA3">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w:t>
            </w:r>
          </w:p>
        </w:tc>
      </w:tr>
      <w:tr w14:paraId="5CF5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7ECDD0A9">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1</w:t>
            </w:r>
          </w:p>
        </w:tc>
        <w:tc>
          <w:tcPr>
            <w:tcW w:w="1419" w:type="pct"/>
            <w:shd w:val="clear" w:color="auto" w:fill="auto"/>
            <w:vAlign w:val="center"/>
          </w:tcPr>
          <w:p w14:paraId="38CAD9A2">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第二十四条 黑土地保护利用实行土地用途管制制度。严格限制农用地转为建设用地，严格控制耕地转为非耕地，禁止违法占用耕地。</w:t>
            </w:r>
          </w:p>
        </w:tc>
        <w:tc>
          <w:tcPr>
            <w:tcW w:w="2696" w:type="pct"/>
            <w:shd w:val="clear" w:color="auto" w:fill="auto"/>
            <w:vAlign w:val="center"/>
          </w:tcPr>
          <w:p w14:paraId="590BE79A">
            <w:pPr>
              <w:jc w:val="center"/>
              <w:rPr>
                <w:rFonts w:ascii="宋体" w:hAnsi="宋体" w:eastAsia="宋体" w:cs="Times New Roman"/>
                <w:color w:val="auto"/>
              </w:rPr>
            </w:pPr>
            <w:r>
              <w:rPr>
                <w:rFonts w:ascii="宋体" w:hAnsi="宋体" w:eastAsia="宋体" w:cs="Times New Roman"/>
                <w:color w:val="auto"/>
              </w:rPr>
              <w:t>本项目永久占地及临时占地占用黑土地，本项目在施工前需要征收土地，应报请相关主管部门同意，取得用地审批。本项目尽可能减少占地，在建设过程中，对临时占地进行表土剥离，施工结束后回填，对永久占地按“占一补一”原则进行补偿，专款用于基本农田补划。</w:t>
            </w:r>
          </w:p>
        </w:tc>
        <w:tc>
          <w:tcPr>
            <w:tcW w:w="506" w:type="pct"/>
            <w:shd w:val="clear" w:color="auto" w:fill="auto"/>
            <w:vAlign w:val="center"/>
          </w:tcPr>
          <w:p w14:paraId="38C0F149">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57BA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4C3369F0">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2</w:t>
            </w:r>
          </w:p>
        </w:tc>
        <w:tc>
          <w:tcPr>
            <w:tcW w:w="1419" w:type="pct"/>
            <w:shd w:val="clear" w:color="auto" w:fill="auto"/>
            <w:vAlign w:val="center"/>
          </w:tcPr>
          <w:p w14:paraId="6B73F1D4">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第三十三条 禁止向黑土地排放重金属或者其他有毒有害物质含量超标的污水、污泥，以及可能造成土壤污染的清淤底泥、尾矿、矿渣等；禁止将有毒有害废物用作肥料或者用于造田和土地复垦。</w:t>
            </w:r>
          </w:p>
        </w:tc>
        <w:tc>
          <w:tcPr>
            <w:tcW w:w="2696" w:type="pct"/>
            <w:shd w:val="clear" w:color="auto" w:fill="auto"/>
            <w:vAlign w:val="center"/>
          </w:tcPr>
          <w:p w14:paraId="5A11437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占用黑土地。施工期油基钻井废水排入井场设置的油基钢制泥浆槽中，委托黑龙江迈景环保科技有限公司处理，处理后的污水进入污水罐储存，定期拉运至朝二联含油污水处理站处理达标后回注油层；试油产液通过罐车拉运至朝二联卸油点后，进入朝二联转油脱水站处理系统，朝二联转油脱水站处理后含水油外输至朝二联含油污水处理站处理；压裂返排液由罐车拉运至朝一联压裂返排液无害化处理站处理后，管输进入朝一联含油污水处理站处理，处理后的出水达标后回注油层</w:t>
            </w:r>
            <w:r>
              <w:rPr>
                <w:rFonts w:hint="eastAsia" w:ascii="宋体" w:hAnsi="宋体" w:eastAsia="宋体" w:cs="Times New Roman"/>
                <w:iCs/>
                <w:color w:val="auto"/>
                <w:kern w:val="28"/>
              </w:rPr>
              <w:t>，不外排</w:t>
            </w:r>
            <w:r>
              <w:rPr>
                <w:rFonts w:ascii="宋体" w:hAnsi="宋体" w:eastAsia="宋体" w:cs="Times New Roman"/>
                <w:iCs/>
                <w:color w:val="auto"/>
                <w:kern w:val="28"/>
              </w:rPr>
              <w:t>；油基废钻井液、油基钻井岩屑和含油废射孔液排入井场设置的油基钢制泥浆槽，委托有危废处理资质的黑龙江迈景环保科技有限公司处理满足《油田含油污泥处置与利用污染控制要求》（DB23/T 3104-2022）表1中的限值要求后</w:t>
            </w:r>
            <w:r>
              <w:rPr>
                <w:rFonts w:hint="eastAsia" w:ascii="宋体" w:hAnsi="宋体" w:eastAsia="宋体" w:cs="Times New Roman"/>
                <w:color w:val="auto"/>
                <w:kern w:val="21"/>
              </w:rPr>
              <w:t>综合利用</w:t>
            </w:r>
            <w:r>
              <w:rPr>
                <w:rFonts w:ascii="宋体" w:hAnsi="宋体" w:eastAsia="宋体" w:cs="Times New Roman"/>
                <w:iCs/>
                <w:color w:val="auto"/>
                <w:kern w:val="28"/>
              </w:rPr>
              <w:t>。</w:t>
            </w:r>
          </w:p>
          <w:p w14:paraId="6355B9A4">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运营期产生的油田采出水、作业污水最终均进入朝二联含油污水处理站处理达标后回注油层，不外排。含油污泥、落地油及油砂由罐车拉运至朝一联含油污泥处理站减量化处理后，再委托大庆博昕晶化科技有限公司处理满足《油田含油污泥处置与利用污染控制要求》（DB23/T 3104-2022）表1中的限值要求后</w:t>
            </w:r>
            <w:r>
              <w:rPr>
                <w:rFonts w:hint="eastAsia" w:ascii="宋体" w:hAnsi="宋体" w:eastAsia="宋体" w:cs="Times New Roman"/>
                <w:color w:val="auto"/>
                <w:kern w:val="21"/>
              </w:rPr>
              <w:t>综合利用</w:t>
            </w:r>
            <w:r>
              <w:rPr>
                <w:rFonts w:ascii="宋体" w:hAnsi="宋体" w:eastAsia="宋体" w:cs="Times New Roman"/>
                <w:iCs/>
                <w:color w:val="auto"/>
                <w:kern w:val="28"/>
              </w:rPr>
              <w:t>；含油废防渗布经收集后暂存于第十采油厂综合固废储存库，定期委托有资质单位处理，固体废物处置率100%。</w:t>
            </w:r>
          </w:p>
        </w:tc>
        <w:tc>
          <w:tcPr>
            <w:tcW w:w="506" w:type="pct"/>
            <w:shd w:val="clear" w:color="auto" w:fill="auto"/>
            <w:vAlign w:val="center"/>
          </w:tcPr>
          <w:p w14:paraId="6ABFB61F">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6469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305FDB22">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3</w:t>
            </w:r>
          </w:p>
        </w:tc>
        <w:tc>
          <w:tcPr>
            <w:tcW w:w="1419" w:type="pct"/>
            <w:shd w:val="clear" w:color="auto" w:fill="auto"/>
            <w:vAlign w:val="center"/>
          </w:tcPr>
          <w:p w14:paraId="68666504">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第三十九条 因突发事件造成黑土地污染或者破坏的，当事人应当立即采取补救措施，并向当地县级人民政府生态环境或者自然资源、农业农村、林业和草原主管部门报告。</w:t>
            </w:r>
          </w:p>
        </w:tc>
        <w:tc>
          <w:tcPr>
            <w:tcW w:w="2696" w:type="pct"/>
            <w:shd w:val="clear" w:color="auto" w:fill="auto"/>
            <w:vAlign w:val="center"/>
          </w:tcPr>
          <w:p w14:paraId="3B3E371A">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占地类型包括黑土地，为避免事故状态下对周边黑土地的影响，大庆油田有限责任公司第十采油厂已针对项目运行过程中可能产生的突发环境污染事件制定了《第十采油厂环境突发事件专项应急预案》，预案内容包括应急组织机构及职责明确、监测与预警、应急处置与应急响应、恢复与重建、应急保障与培训、督查与奖惩等内容，应急预案</w:t>
            </w:r>
            <w:r>
              <w:rPr>
                <w:rFonts w:ascii="宋体" w:hAnsi="宋体" w:eastAsia="宋体" w:cs="Times New Roman"/>
                <w:color w:val="auto"/>
              </w:rPr>
              <w:t>并于2023年6月15日在大庆市肇州生态环境局进行了备案，备案编号为 230621-2023-012-L</w:t>
            </w:r>
            <w:r>
              <w:rPr>
                <w:rFonts w:ascii="宋体" w:hAnsi="宋体" w:eastAsia="宋体" w:cs="Times New Roman"/>
                <w:iCs/>
                <w:color w:val="auto"/>
                <w:kern w:val="28"/>
              </w:rPr>
              <w:t>，具体见附件4。</w:t>
            </w:r>
          </w:p>
        </w:tc>
        <w:tc>
          <w:tcPr>
            <w:tcW w:w="506" w:type="pct"/>
            <w:shd w:val="clear" w:color="auto" w:fill="auto"/>
            <w:vAlign w:val="center"/>
          </w:tcPr>
          <w:p w14:paraId="5CD4A27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241A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34622BF6">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4</w:t>
            </w:r>
          </w:p>
        </w:tc>
        <w:tc>
          <w:tcPr>
            <w:tcW w:w="1419" w:type="pct"/>
            <w:shd w:val="clear" w:color="auto" w:fill="auto"/>
            <w:vAlign w:val="center"/>
          </w:tcPr>
          <w:p w14:paraId="353D468C">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第四十三条 在黑土地上禁止下列行为：建窑、建坟；擅自建房、挖砂、采石、采矿等；向黑土地倾倒垃圾；法律、法规规定的其他禁止行为。</w:t>
            </w:r>
          </w:p>
        </w:tc>
        <w:tc>
          <w:tcPr>
            <w:tcW w:w="2696" w:type="pct"/>
            <w:shd w:val="clear" w:color="auto" w:fill="auto"/>
            <w:vAlign w:val="center"/>
          </w:tcPr>
          <w:p w14:paraId="0AC83BF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本项目为油田产能开发项目，项目选址需要占用黑土地，按相关要求开展征地，对永久占地按“占一补一”原则进行补偿，专款用于基本农田补划。对临时占地进行表土剥离，施工结束后回填</w:t>
            </w:r>
            <w:r>
              <w:rPr>
                <w:rFonts w:hint="eastAsia" w:ascii="宋体" w:hAnsi="宋体" w:eastAsia="宋体" w:cs="Times New Roman"/>
                <w:iCs/>
                <w:color w:val="auto"/>
                <w:kern w:val="28"/>
              </w:rPr>
              <w:t>，不向黑土地倾倒垃圾</w:t>
            </w:r>
            <w:r>
              <w:rPr>
                <w:rFonts w:ascii="宋体" w:hAnsi="宋体" w:eastAsia="宋体" w:cs="Times New Roman"/>
                <w:iCs/>
                <w:color w:val="auto"/>
                <w:kern w:val="28"/>
              </w:rPr>
              <w:t xml:space="preserve">。 </w:t>
            </w:r>
          </w:p>
        </w:tc>
        <w:tc>
          <w:tcPr>
            <w:tcW w:w="506" w:type="pct"/>
            <w:shd w:val="clear" w:color="auto" w:fill="auto"/>
            <w:vAlign w:val="center"/>
          </w:tcPr>
          <w:p w14:paraId="3EB0EA57">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29F0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34E72ED9">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5</w:t>
            </w:r>
          </w:p>
        </w:tc>
        <w:tc>
          <w:tcPr>
            <w:tcW w:w="1419" w:type="pct"/>
            <w:shd w:val="clear" w:color="auto" w:fill="auto"/>
            <w:vAlign w:val="center"/>
          </w:tcPr>
          <w:p w14:paraId="23FD10A1">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第四十四条 建设项目不得占用黑土地；确需占用的，应当依法严格审批，并补充数量和质量相当的耕地。基础设施建设应当采取必要措施，避免因建设项目导致水淹耕地或者破坏黑土地生态环境。</w:t>
            </w:r>
          </w:p>
        </w:tc>
        <w:tc>
          <w:tcPr>
            <w:tcW w:w="2696" w:type="pct"/>
            <w:shd w:val="clear" w:color="auto" w:fill="auto"/>
            <w:vAlign w:val="center"/>
          </w:tcPr>
          <w:p w14:paraId="3E73A324">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永久占地及临时占地类型为黑土地。对临时占地进行表土剥离，施工结束后回填，对永久占地按“占一补一”原则进行补偿，专款用于基本农田补划，确保恢复等质等量的耕地。本项目施工前编制表土剥离方案，临时占地采取剥离占地内0.3m的表土，采用分层开挖，分层堆放，暂存于井场或管线两侧内的表土剥离临时堆放区，并采取苫布遮盖、洒水抑尘等措施防止水土流失。</w:t>
            </w:r>
          </w:p>
        </w:tc>
        <w:tc>
          <w:tcPr>
            <w:tcW w:w="506" w:type="pct"/>
            <w:shd w:val="clear" w:color="auto" w:fill="auto"/>
            <w:vAlign w:val="center"/>
          </w:tcPr>
          <w:p w14:paraId="75466DD2">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bl>
    <w:p w14:paraId="7AD5F557">
      <w:pPr>
        <w:pStyle w:val="276"/>
        <w:widowControl w:val="0"/>
        <w:ind w:firstLine="480"/>
        <w:jc w:val="both"/>
        <w:rPr>
          <w:iCs/>
          <w:color w:val="auto"/>
          <w:kern w:val="2"/>
        </w:rPr>
      </w:pPr>
      <w:r>
        <w:rPr>
          <w:iCs/>
          <w:color w:val="auto"/>
          <w:kern w:val="2"/>
        </w:rPr>
        <w:t>根据以上分析，本项目符合《黑龙江省黑土地保护利用条例》（2024年3月1日起施行）中要求。</w:t>
      </w:r>
    </w:p>
    <w:p w14:paraId="7D320B0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与《黑龙江省黑土地保护工程实施方案（2021-2025 年）》符合性分析</w:t>
      </w:r>
    </w:p>
    <w:p w14:paraId="03DE18A3">
      <w:pPr>
        <w:pStyle w:val="276"/>
        <w:widowControl w:val="0"/>
        <w:ind w:firstLine="480"/>
        <w:jc w:val="both"/>
        <w:rPr>
          <w:color w:val="auto"/>
        </w:rPr>
      </w:pPr>
      <w:r>
        <w:rPr>
          <w:color w:val="auto"/>
        </w:rPr>
        <w:t>根据《黑龙江省黑土地保护工程实施方案（2021-2025年）》实施内容：坚持政府引导、社会参与。发挥政府投入引领作用，通过市场化运作，带动社会资本投入，引导农村集体经济组织、农户、新型经营主体、企业积极参与。健全黑土地保护责任体系, 进一步明确省市县乡四级政府及相关部门</w:t>
      </w:r>
      <w:r>
        <w:rPr>
          <w:snapToGrid w:val="0"/>
          <w:color w:val="auto"/>
        </w:rPr>
        <w:t>黑土地</w:t>
      </w:r>
      <w:r>
        <w:rPr>
          <w:color w:val="auto"/>
        </w:rPr>
        <w:t>保护职责，建立黑土地质量监测网络体系，形成黑土地保护建设长效机制。</w:t>
      </w:r>
    </w:p>
    <w:p w14:paraId="7A63D9E3">
      <w:pPr>
        <w:pStyle w:val="276"/>
        <w:widowControl w:val="0"/>
        <w:ind w:firstLine="480"/>
        <w:jc w:val="both"/>
        <w:rPr>
          <w:color w:val="auto"/>
        </w:rPr>
      </w:pPr>
      <w:r>
        <w:rPr>
          <w:iCs/>
          <w:color w:val="auto"/>
        </w:rPr>
        <w:t>本项目永久占地及临时占地类型为耕地（永久基本农田）和草地，占用黑土地。</w:t>
      </w:r>
      <w:r>
        <w:rPr>
          <w:color w:val="auto"/>
        </w:rPr>
        <w:t>本项目施工前编制表土剥离方案，</w:t>
      </w:r>
      <w:r>
        <w:rPr>
          <w:iCs/>
          <w:color w:val="auto"/>
        </w:rPr>
        <w:t>临时占地采取剥离占地内0.3m的表土，采用分层开挖，分层堆放，暂存于井场或管线两侧内的表土剥离临时堆放区，并采取苫布遮盖、洒水抑尘等措施防止水土流失。针对永久占地按当地相关规定缴纳土地补偿费，针对临时占地在将剥离的表土在施工结束后分层回填，确保恢复等质等量耕地。本项目施工过程中，需遵守《大庆油（气）田建设工程用地规范》规定，严格控制施工作业面积，加强施工管理，尽量减少占地面积，并规范行车路线及施工人员行为，严禁随意践踏、碾压施工区范围外的植被及黑土地，不准乱挖、乱采野生植物，确保不影响周边黑土地。</w:t>
      </w:r>
    </w:p>
    <w:p w14:paraId="63AACDE7">
      <w:pPr>
        <w:pStyle w:val="276"/>
        <w:widowControl w:val="0"/>
        <w:spacing w:line="440" w:lineRule="exact"/>
        <w:ind w:firstLine="480"/>
        <w:jc w:val="both"/>
        <w:rPr>
          <w:color w:val="auto"/>
        </w:rPr>
      </w:pPr>
      <w:r>
        <w:rPr>
          <w:color w:val="auto"/>
        </w:rPr>
        <w:t>在政府引导下，建设单位积极参与，并共布设3个土壤跟踪监测点，定期对土壤进行跟踪监测。</w:t>
      </w:r>
    </w:p>
    <w:p w14:paraId="2AA9FB40">
      <w:pPr>
        <w:pStyle w:val="276"/>
        <w:widowControl w:val="0"/>
        <w:spacing w:line="440" w:lineRule="exact"/>
        <w:ind w:firstLine="480"/>
        <w:jc w:val="both"/>
        <w:rPr>
          <w:color w:val="auto"/>
        </w:rPr>
      </w:pPr>
      <w:r>
        <w:rPr>
          <w:color w:val="auto"/>
        </w:rPr>
        <w:t>在采取以上措施后，本项目符合《黑龙江省黑土地保护工程实施方案（2021-2025年）》中要求。</w:t>
      </w:r>
    </w:p>
    <w:p w14:paraId="5618820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与《自然资源部关于规范临时用地管理的通知》</w:t>
      </w:r>
      <w:r>
        <w:rPr>
          <w:rFonts w:hint="eastAsia" w:ascii="宋体" w:hAnsi="宋体" w:eastAsia="宋体" w:cs="Times New Roman"/>
          <w:b/>
          <w:bCs/>
          <w:color w:val="auto"/>
          <w:szCs w:val="28"/>
        </w:rPr>
        <w:t>（</w:t>
      </w:r>
      <w:r>
        <w:rPr>
          <w:rFonts w:ascii="宋体" w:hAnsi="宋体" w:eastAsia="宋体" w:cs="Times New Roman"/>
          <w:b/>
          <w:bCs/>
          <w:color w:val="auto"/>
          <w:szCs w:val="28"/>
        </w:rPr>
        <w:t>自然资规〔2021〕2号</w:t>
      </w:r>
      <w:r>
        <w:rPr>
          <w:rFonts w:hint="eastAsia" w:ascii="宋体" w:hAnsi="宋体" w:eastAsia="宋体" w:cs="Times New Roman"/>
          <w:b/>
          <w:bCs/>
          <w:color w:val="auto"/>
          <w:szCs w:val="28"/>
        </w:rPr>
        <w:t>）</w:t>
      </w:r>
      <w:r>
        <w:rPr>
          <w:rFonts w:ascii="宋体" w:hAnsi="宋体" w:eastAsia="宋体" w:cs="Times New Roman"/>
          <w:b/>
          <w:bCs/>
          <w:color w:val="auto"/>
          <w:szCs w:val="28"/>
        </w:rPr>
        <w:t>符合性分析</w:t>
      </w:r>
    </w:p>
    <w:p w14:paraId="0541B7E4">
      <w:pPr>
        <w:pStyle w:val="276"/>
        <w:widowControl w:val="0"/>
        <w:ind w:firstLine="480"/>
        <w:jc w:val="both"/>
        <w:rPr>
          <w:iCs/>
          <w:color w:val="auto"/>
          <w:kern w:val="2"/>
        </w:rPr>
      </w:pPr>
      <w:r>
        <w:rPr>
          <w:iCs/>
          <w:color w:val="auto"/>
          <w:kern w:val="2"/>
        </w:rPr>
        <w:t>本项目与《自然资源部关于规范临时用地管理的通知》（自然资规〔2021〕2号）符合性分析见</w:t>
      </w:r>
      <w:r>
        <w:rPr>
          <w:iCs/>
          <w:color w:val="auto"/>
          <w:kern w:val="2"/>
        </w:rPr>
        <w:fldChar w:fldCharType="begin"/>
      </w:r>
      <w:r>
        <w:rPr>
          <w:iCs/>
          <w:color w:val="auto"/>
          <w:kern w:val="2"/>
        </w:rPr>
        <w:instrText xml:space="preserve"> REF _Ref211957132 \h  \* MERGEFORMAT </w:instrText>
      </w:r>
      <w:r>
        <w:rPr>
          <w:iCs/>
          <w:color w:val="auto"/>
          <w:kern w:val="2"/>
        </w:rPr>
        <w:fldChar w:fldCharType="separate"/>
      </w:r>
      <w:r>
        <w:rPr>
          <w:rFonts w:hint="eastAsia"/>
          <w:color w:val="auto"/>
        </w:rPr>
        <w:t xml:space="preserve">表 </w:t>
      </w:r>
      <w:r>
        <w:rPr>
          <w:color w:val="auto"/>
        </w:rPr>
        <w:t>1.4</w:t>
      </w:r>
      <w:r>
        <w:rPr>
          <w:color w:val="auto"/>
        </w:rPr>
        <w:noBreakHyphen/>
      </w:r>
      <w:r>
        <w:rPr>
          <w:color w:val="auto"/>
        </w:rPr>
        <w:t>10</w:t>
      </w:r>
      <w:r>
        <w:rPr>
          <w:iCs/>
          <w:color w:val="auto"/>
          <w:kern w:val="2"/>
        </w:rPr>
        <w:fldChar w:fldCharType="end"/>
      </w:r>
      <w:r>
        <w:rPr>
          <w:iCs/>
          <w:color w:val="auto"/>
          <w:kern w:val="2"/>
        </w:rPr>
        <w:t>。</w:t>
      </w:r>
    </w:p>
    <w:p w14:paraId="45385BC7">
      <w:pPr>
        <w:pStyle w:val="22"/>
        <w:spacing w:before="156"/>
        <w:rPr>
          <w:color w:val="auto"/>
        </w:rPr>
      </w:pPr>
      <w:bookmarkStart w:id="130" w:name="_Ref211957132"/>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10</w:t>
      </w:r>
      <w:r>
        <w:rPr>
          <w:color w:val="auto"/>
        </w:rPr>
        <w:fldChar w:fldCharType="end"/>
      </w:r>
      <w:bookmarkEnd w:id="130"/>
      <w:r>
        <w:rPr>
          <w:color w:val="auto"/>
        </w:rPr>
        <w:t xml:space="preserve">  本项目与自然资规〔2021〕2号相关要求符合性一览表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360"/>
        <w:gridCol w:w="4282"/>
        <w:gridCol w:w="940"/>
      </w:tblGrid>
      <w:tr w14:paraId="2A4E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1E25B2BE">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序号</w:t>
            </w:r>
          </w:p>
        </w:tc>
        <w:tc>
          <w:tcPr>
            <w:tcW w:w="1809" w:type="pct"/>
            <w:shd w:val="clear" w:color="auto" w:fill="auto"/>
            <w:vAlign w:val="center"/>
          </w:tcPr>
          <w:p w14:paraId="2746E782">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文件要求</w:t>
            </w:r>
          </w:p>
        </w:tc>
        <w:tc>
          <w:tcPr>
            <w:tcW w:w="2305" w:type="pct"/>
            <w:shd w:val="clear" w:color="auto" w:fill="auto"/>
            <w:vAlign w:val="center"/>
          </w:tcPr>
          <w:p w14:paraId="662C40D0">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符合性分析</w:t>
            </w:r>
          </w:p>
        </w:tc>
        <w:tc>
          <w:tcPr>
            <w:tcW w:w="506" w:type="pct"/>
            <w:shd w:val="clear" w:color="auto" w:fill="auto"/>
            <w:vAlign w:val="center"/>
          </w:tcPr>
          <w:p w14:paraId="4ABF5C8E">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w:t>
            </w:r>
          </w:p>
        </w:tc>
      </w:tr>
      <w:tr w14:paraId="1373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2215E5F6">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1</w:t>
            </w:r>
          </w:p>
        </w:tc>
        <w:tc>
          <w:tcPr>
            <w:tcW w:w="1809" w:type="pct"/>
            <w:shd w:val="clear" w:color="auto" w:fill="auto"/>
            <w:vAlign w:val="center"/>
          </w:tcPr>
          <w:p w14:paraId="3D23DD44">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建设项目施工、地质勘查使用临时用地时应坚持“用多少、批多少、占多少、恢复多少”，尽量不占或者少占耕地。使用后土地复垦难度较大的临时用地，要严格控制占用耕地。</w:t>
            </w:r>
          </w:p>
        </w:tc>
        <w:tc>
          <w:tcPr>
            <w:tcW w:w="2305" w:type="pct"/>
            <w:shd w:val="clear" w:color="auto" w:fill="auto"/>
            <w:vAlign w:val="center"/>
          </w:tcPr>
          <w:p w14:paraId="23EC5DCF">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临时占地包括耕地和草地。本项目临时占地采取剥离占地内0.3m的表土，采用分层开挖，分层堆放，暂存于井场或管线两侧内的表土剥离临时堆放区，并采取苫布遮盖、洒水抑尘等措施防止水土流失。对临时占地进行表土剥离，施工结束后平整回填和植被恢复，对永久占地按“占一补一”原则进行补偿，专款用于基本农田补划，确保恢复等质等量的耕地。</w:t>
            </w:r>
          </w:p>
        </w:tc>
        <w:tc>
          <w:tcPr>
            <w:tcW w:w="506" w:type="pct"/>
            <w:shd w:val="clear" w:color="auto" w:fill="auto"/>
            <w:vAlign w:val="center"/>
          </w:tcPr>
          <w:p w14:paraId="3DD79B73">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6DFE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4E776118">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2</w:t>
            </w:r>
          </w:p>
        </w:tc>
        <w:tc>
          <w:tcPr>
            <w:tcW w:w="1809" w:type="pct"/>
            <w:shd w:val="clear" w:color="auto" w:fill="auto"/>
            <w:vAlign w:val="center"/>
          </w:tcPr>
          <w:p w14:paraId="54D4B1BB">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临时用地使用期限一般不超过两年。建设周期较长的能源、交通、水利等基础设施建设项目施工使用的临时用地，期限不超过四年。</w:t>
            </w:r>
          </w:p>
        </w:tc>
        <w:tc>
          <w:tcPr>
            <w:tcW w:w="2305" w:type="pct"/>
            <w:shd w:val="clear" w:color="auto" w:fill="auto"/>
            <w:vAlign w:val="center"/>
          </w:tcPr>
          <w:p w14:paraId="7EB32EDE">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本项目为陆地石油开采的能源基础设施建设项目，本项目计划施工期不超过1年。</w:t>
            </w:r>
          </w:p>
        </w:tc>
        <w:tc>
          <w:tcPr>
            <w:tcW w:w="506" w:type="pct"/>
            <w:shd w:val="clear" w:color="auto" w:fill="auto"/>
            <w:vAlign w:val="center"/>
          </w:tcPr>
          <w:p w14:paraId="3B19F5FB">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6F90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563850E3">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3</w:t>
            </w:r>
          </w:p>
        </w:tc>
        <w:tc>
          <w:tcPr>
            <w:tcW w:w="1809" w:type="pct"/>
            <w:shd w:val="clear" w:color="auto" w:fill="auto"/>
            <w:vAlign w:val="center"/>
          </w:tcPr>
          <w:p w14:paraId="4983E89C">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2305" w:type="pct"/>
            <w:shd w:val="clear" w:color="auto" w:fill="auto"/>
            <w:vAlign w:val="center"/>
          </w:tcPr>
          <w:p w14:paraId="647F81D6">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本项目施工结束后拆除临时用地内临时建（构）筑物，并等质等量恢复临时占地内的耕地。确保耕地面积不减少、质量不降低。对临时占用草地进行植被恢复。</w:t>
            </w:r>
          </w:p>
        </w:tc>
        <w:tc>
          <w:tcPr>
            <w:tcW w:w="506" w:type="pct"/>
            <w:shd w:val="clear" w:color="auto" w:fill="auto"/>
            <w:vAlign w:val="center"/>
          </w:tcPr>
          <w:p w14:paraId="0AA4CE6E">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bl>
    <w:p w14:paraId="02EB4E57">
      <w:pPr>
        <w:pStyle w:val="276"/>
        <w:widowControl w:val="0"/>
        <w:ind w:firstLine="480"/>
        <w:jc w:val="both"/>
        <w:rPr>
          <w:iCs/>
          <w:color w:val="auto"/>
          <w:kern w:val="2"/>
        </w:rPr>
      </w:pPr>
      <w:r>
        <w:rPr>
          <w:iCs/>
          <w:color w:val="auto"/>
          <w:kern w:val="2"/>
        </w:rPr>
        <w:t>根据以上分析，本项目符合</w:t>
      </w:r>
      <w:r>
        <w:rPr>
          <w:snapToGrid w:val="0"/>
          <w:color w:val="auto"/>
        </w:rPr>
        <w:t>《自然资源部关于规范临时用地管理的通知》</w:t>
      </w:r>
      <w:r>
        <w:rPr>
          <w:iCs/>
          <w:color w:val="auto"/>
          <w:kern w:val="2"/>
        </w:rPr>
        <w:t>（自然资规〔2021〕2号）中要求。</w:t>
      </w:r>
    </w:p>
    <w:p w14:paraId="1828FE6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与《基本农田保护条例》（</w:t>
      </w:r>
      <w:r>
        <w:rPr>
          <w:rFonts w:hint="eastAsia" w:ascii="宋体" w:hAnsi="宋体" w:eastAsia="宋体" w:cs="Times New Roman"/>
          <w:b/>
          <w:bCs/>
          <w:color w:val="auto"/>
          <w:szCs w:val="28"/>
        </w:rPr>
        <w:t>国务院令第</w:t>
      </w:r>
      <w:r>
        <w:rPr>
          <w:rFonts w:ascii="宋体" w:hAnsi="宋体" w:eastAsia="宋体" w:cs="Times New Roman"/>
          <w:b/>
          <w:bCs/>
          <w:color w:val="auto"/>
          <w:szCs w:val="28"/>
        </w:rPr>
        <w:t>257号）符合性判定</w:t>
      </w:r>
    </w:p>
    <w:p w14:paraId="77B481FE">
      <w:pPr>
        <w:pStyle w:val="276"/>
        <w:widowControl w:val="0"/>
        <w:ind w:firstLine="480"/>
        <w:jc w:val="both"/>
        <w:rPr>
          <w:iCs/>
          <w:color w:val="auto"/>
          <w:kern w:val="2"/>
        </w:rPr>
      </w:pPr>
      <w:r>
        <w:rPr>
          <w:iCs/>
          <w:color w:val="auto"/>
          <w:kern w:val="2"/>
        </w:rPr>
        <w:t>根据《基本农田保护条例》，国家能源、交通、水利、军事设施等重点建设项目选址确实无法避开永久基本农田保护区，需要占用永久基本农田，涉及农用地转用或者征收土地的，应报请相关主管部门同意，并补充划入数量和质量相当的永久基本农田或按规定缴纳耕地开垦费，专款用于开垦新的耕地。油田开发工程占地完全避开永久基本农田的</w:t>
      </w:r>
      <w:r>
        <w:rPr>
          <w:snapToGrid w:val="0"/>
          <w:color w:val="auto"/>
        </w:rPr>
        <w:t>可能性</w:t>
      </w:r>
      <w:r>
        <w:rPr>
          <w:iCs/>
          <w:color w:val="auto"/>
          <w:kern w:val="2"/>
        </w:rPr>
        <w:t>较低，在不可避免的条件下需占用永久基本农田时，施工完毕后1年内，临时占地全部恢复原有植被类型，即占用农田全部恢复为耕地。临时占地恢复也可在征地过程中给予农民一定的费用补偿，由农民自行进行土地恢复。本项目井场、拉油点及道路工程永久占用基本农田面积共</w:t>
      </w:r>
      <w:r>
        <w:rPr>
          <w:rFonts w:hint="eastAsia"/>
          <w:iCs/>
          <w:color w:val="auto"/>
          <w:kern w:val="2"/>
        </w:rPr>
        <w:t>1.463</w:t>
      </w:r>
      <w:r>
        <w:rPr>
          <w:iCs/>
          <w:color w:val="auto"/>
          <w:kern w:val="2"/>
        </w:rPr>
        <w:t>hm</w:t>
      </w:r>
      <w:r>
        <w:rPr>
          <w:iCs/>
          <w:color w:val="auto"/>
          <w:kern w:val="2"/>
          <w:vertAlign w:val="superscript"/>
        </w:rPr>
        <w:t>2</w:t>
      </w:r>
      <w:r>
        <w:rPr>
          <w:iCs/>
          <w:color w:val="auto"/>
          <w:kern w:val="2"/>
        </w:rPr>
        <w:t>，对于占用的永久基本农田应按照《中华人民共和国土地管理法》中“占多少、垦多少”的原则，补充数量和质量相当的永久基本农田。</w:t>
      </w:r>
    </w:p>
    <w:p w14:paraId="62EBF68A">
      <w:pPr>
        <w:pStyle w:val="276"/>
        <w:widowControl w:val="0"/>
        <w:ind w:firstLine="480"/>
        <w:jc w:val="both"/>
        <w:rPr>
          <w:iCs/>
          <w:color w:val="auto"/>
          <w:kern w:val="2"/>
        </w:rPr>
      </w:pPr>
      <w:r>
        <w:rPr>
          <w:iCs/>
          <w:color w:val="auto"/>
          <w:kern w:val="2"/>
        </w:rPr>
        <w:t>本项目对农业生产的直接影响主要体现为占用耕地而造成粮食减产，对于临时占地造成的农作物减产，除应对其进行经济补偿外，工程开工前，应先剥离占地范围内表层土，井场范围表层土堆置于井场内设置的表土剥离临时堆放区，并对堆放区做好水保措施，待钻井工程结束后，回填占地范围，并采用表土复耕，增肥作业，恢复临时占用耕地的生产力，本项目的建设对当地土地利用格局影响在可接受范围内。因此本项目符合《基本农田保护条例》。</w:t>
      </w:r>
    </w:p>
    <w:p w14:paraId="115E035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与《黑龙江省耕地保护条例》（2021年10月29日修订，2022年1月1日起施行）符合性判定</w:t>
      </w:r>
    </w:p>
    <w:p w14:paraId="5EB3206E">
      <w:pPr>
        <w:pStyle w:val="276"/>
        <w:widowControl w:val="0"/>
        <w:ind w:firstLine="480"/>
        <w:jc w:val="both"/>
        <w:rPr>
          <w:iCs/>
          <w:color w:val="auto"/>
          <w:kern w:val="2"/>
        </w:rPr>
      </w:pPr>
      <w:r>
        <w:rPr>
          <w:iCs/>
          <w:color w:val="auto"/>
          <w:kern w:val="2"/>
        </w:rPr>
        <w:t>本项目与《黑龙江省耕地保护条例》（</w:t>
      </w:r>
      <w:r>
        <w:rPr>
          <w:snapToGrid w:val="0"/>
          <w:color w:val="auto"/>
        </w:rPr>
        <w:t>2021年10</w:t>
      </w:r>
      <w:r>
        <w:rPr>
          <w:iCs/>
          <w:color w:val="auto"/>
          <w:kern w:val="2"/>
        </w:rPr>
        <w:t>月29日修订，2022年1月1日起施行）符合性分析见</w:t>
      </w:r>
      <w:r>
        <w:rPr>
          <w:iCs/>
          <w:color w:val="auto"/>
          <w:kern w:val="2"/>
        </w:rPr>
        <w:fldChar w:fldCharType="begin"/>
      </w:r>
      <w:r>
        <w:rPr>
          <w:iCs/>
          <w:color w:val="auto"/>
          <w:kern w:val="2"/>
        </w:rPr>
        <w:instrText xml:space="preserve"> REF _Ref211957140 \h  \* MERGEFORMAT </w:instrText>
      </w:r>
      <w:r>
        <w:rPr>
          <w:iCs/>
          <w:color w:val="auto"/>
          <w:kern w:val="2"/>
        </w:rPr>
        <w:fldChar w:fldCharType="separate"/>
      </w:r>
      <w:r>
        <w:rPr>
          <w:rFonts w:hint="eastAsia"/>
          <w:color w:val="auto"/>
        </w:rPr>
        <w:t xml:space="preserve">表 </w:t>
      </w:r>
      <w:r>
        <w:rPr>
          <w:color w:val="auto"/>
        </w:rPr>
        <w:t>1.4</w:t>
      </w:r>
      <w:r>
        <w:rPr>
          <w:color w:val="auto"/>
        </w:rPr>
        <w:noBreakHyphen/>
      </w:r>
      <w:r>
        <w:rPr>
          <w:color w:val="auto"/>
        </w:rPr>
        <w:t>11</w:t>
      </w:r>
      <w:r>
        <w:rPr>
          <w:iCs/>
          <w:color w:val="auto"/>
          <w:kern w:val="2"/>
        </w:rPr>
        <w:fldChar w:fldCharType="end"/>
      </w:r>
      <w:r>
        <w:rPr>
          <w:iCs/>
          <w:color w:val="auto"/>
          <w:kern w:val="2"/>
        </w:rPr>
        <w:t>。</w:t>
      </w:r>
    </w:p>
    <w:p w14:paraId="18F01785">
      <w:pPr>
        <w:pStyle w:val="22"/>
        <w:spacing w:before="156"/>
        <w:rPr>
          <w:color w:val="auto"/>
        </w:rPr>
      </w:pPr>
      <w:bookmarkStart w:id="131" w:name="_Ref211957140"/>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11</w:t>
      </w:r>
      <w:r>
        <w:rPr>
          <w:color w:val="auto"/>
        </w:rPr>
        <w:fldChar w:fldCharType="end"/>
      </w:r>
      <w:bookmarkEnd w:id="131"/>
      <w:r>
        <w:rPr>
          <w:color w:val="auto"/>
        </w:rPr>
        <w:t>本项目与《黑龙江省耕地保护条例》相关要求符合性一览表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651"/>
        <w:gridCol w:w="3991"/>
        <w:gridCol w:w="940"/>
      </w:tblGrid>
      <w:tr w14:paraId="0E1C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4DC310F3">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序号</w:t>
            </w:r>
          </w:p>
        </w:tc>
        <w:tc>
          <w:tcPr>
            <w:tcW w:w="1966" w:type="pct"/>
            <w:shd w:val="clear" w:color="auto" w:fill="auto"/>
            <w:vAlign w:val="center"/>
          </w:tcPr>
          <w:p w14:paraId="4F6E06A1">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文件要求</w:t>
            </w:r>
          </w:p>
        </w:tc>
        <w:tc>
          <w:tcPr>
            <w:tcW w:w="2149" w:type="pct"/>
            <w:shd w:val="clear" w:color="auto" w:fill="auto"/>
            <w:vAlign w:val="center"/>
          </w:tcPr>
          <w:p w14:paraId="4B012BD9">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符合性分析</w:t>
            </w:r>
          </w:p>
        </w:tc>
        <w:tc>
          <w:tcPr>
            <w:tcW w:w="506" w:type="pct"/>
            <w:shd w:val="clear" w:color="auto" w:fill="auto"/>
            <w:vAlign w:val="center"/>
          </w:tcPr>
          <w:p w14:paraId="06FC0A1D">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w:t>
            </w:r>
          </w:p>
        </w:tc>
      </w:tr>
      <w:tr w14:paraId="1EE7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7CF35EC4">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1</w:t>
            </w:r>
          </w:p>
        </w:tc>
        <w:tc>
          <w:tcPr>
            <w:tcW w:w="1966" w:type="pct"/>
            <w:shd w:val="clear" w:color="auto" w:fill="auto"/>
            <w:vAlign w:val="center"/>
          </w:tcPr>
          <w:p w14:paraId="1F87919F">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第二十一条：非农业建设可以利用非耕地的，不得占用耕地。经依法批准占用耕地的，用地单位应当负责开垦与所占用耕地数量、质量相当的耕地；没有条件开垦或者开垦的耕地不符合要求的，应当向县以上自然资源行政主管部门缴纳耕地开垦费，专款用于开垦新的耕地；耕地后备资源不足的，依法实行易地占补。</w:t>
            </w:r>
          </w:p>
        </w:tc>
        <w:tc>
          <w:tcPr>
            <w:tcW w:w="2149" w:type="pct"/>
            <w:shd w:val="clear" w:color="auto" w:fill="auto"/>
            <w:vAlign w:val="center"/>
          </w:tcPr>
          <w:p w14:paraId="2EEA4386">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根据地面工程方案情况，本项目施工无法避免占用耕地，本项目在施工前需要征收土地，应报请相关主管部门同意，取得用地审批。对于永久占地应剥离表层0.3m的耕作土，且按照 “占一补一，质量相等”的要求进行易地补充耕地，按规定缴纳耕地开垦费，开垦新的耕地。</w:t>
            </w:r>
          </w:p>
        </w:tc>
        <w:tc>
          <w:tcPr>
            <w:tcW w:w="506" w:type="pct"/>
            <w:shd w:val="clear" w:color="auto" w:fill="auto"/>
            <w:vAlign w:val="center"/>
          </w:tcPr>
          <w:p w14:paraId="6C2D3F72">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33E3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44A6D23B">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2</w:t>
            </w:r>
          </w:p>
        </w:tc>
        <w:tc>
          <w:tcPr>
            <w:tcW w:w="1966" w:type="pct"/>
            <w:shd w:val="clear" w:color="auto" w:fill="auto"/>
            <w:vAlign w:val="center"/>
          </w:tcPr>
          <w:p w14:paraId="4EDBFEA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第三十六条：因事故或者其他突发事件，造成耕地环境污染的，当事人应当立即采取补救措施，并向当地县级农业农村或者生态环境行政主管部门报告。相关行政主管部门接到报告后，应当及时启动应急预案，并按照规定处理。</w:t>
            </w:r>
          </w:p>
        </w:tc>
        <w:tc>
          <w:tcPr>
            <w:tcW w:w="2149" w:type="pct"/>
            <w:shd w:val="clear" w:color="auto" w:fill="auto"/>
            <w:vAlign w:val="center"/>
          </w:tcPr>
          <w:p w14:paraId="68C4D848">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本项目发现原油及含油污水泄漏渗入土壤时，针对工程可能发生的土壤污染，按照“源头控制、末端防治、污染监控、应急响应”相结合的原则，从污染物的产生、入渗、扩散、应急响应全阶段进行控制。</w:t>
            </w:r>
          </w:p>
        </w:tc>
        <w:tc>
          <w:tcPr>
            <w:tcW w:w="506" w:type="pct"/>
            <w:shd w:val="clear" w:color="auto" w:fill="auto"/>
            <w:vAlign w:val="center"/>
          </w:tcPr>
          <w:p w14:paraId="62AA21EA">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4011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4A0B7873">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3</w:t>
            </w:r>
          </w:p>
        </w:tc>
        <w:tc>
          <w:tcPr>
            <w:tcW w:w="1966" w:type="pct"/>
            <w:shd w:val="clear" w:color="auto" w:fill="auto"/>
            <w:vAlign w:val="center"/>
          </w:tcPr>
          <w:p w14:paraId="3518BF9A">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第四十五条：耕地的耕作层土壤剥离按照国家和省有关规定执行。</w:t>
            </w:r>
          </w:p>
        </w:tc>
        <w:tc>
          <w:tcPr>
            <w:tcW w:w="2149" w:type="pct"/>
            <w:shd w:val="clear" w:color="auto" w:fill="auto"/>
            <w:vAlign w:val="center"/>
          </w:tcPr>
          <w:p w14:paraId="117B3909">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根据《黑龙江省人民政府办公厅关于建设占用耕地耕作层土壤剥离利用工作的指导意见（试行）》（黑政办规〔2021〕18号）要求实施表土剥离制度，本项目在施工过程中针对永久占地及临时占地，应剥离占地内0.3m的表土，采用分层开挖，分层堆放，集中暂存于剥离表土临时堆放区，并采取苫布遮盖等措施防止水土流失，定期采取洒水抑尘措施。针对永久占地将剥离的表土按照 “占一补一，质量相等”的要求进行补偿并易地补充耕地，针对临时占地在将剥离的表土在施工结束后分层回填，并及时平整恢复。</w:t>
            </w:r>
          </w:p>
        </w:tc>
        <w:tc>
          <w:tcPr>
            <w:tcW w:w="506" w:type="pct"/>
            <w:shd w:val="clear" w:color="auto" w:fill="auto"/>
            <w:vAlign w:val="center"/>
          </w:tcPr>
          <w:p w14:paraId="3F47C9B0">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569F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70DE873F">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4</w:t>
            </w:r>
          </w:p>
        </w:tc>
        <w:tc>
          <w:tcPr>
            <w:tcW w:w="1966" w:type="pct"/>
            <w:shd w:val="clear" w:color="auto" w:fill="auto"/>
            <w:vAlign w:val="center"/>
          </w:tcPr>
          <w:p w14:paraId="23F771D3">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第四十六条：经批准占用耕地的非农业建设项目施工时，施工单位应当减少地表扰动范围，避免损坏周边耕地的耕作层。无法避免的，由建设单位及时进行整理、修复或者依法补偿。</w:t>
            </w:r>
          </w:p>
        </w:tc>
        <w:tc>
          <w:tcPr>
            <w:tcW w:w="2149" w:type="pct"/>
            <w:shd w:val="clear" w:color="auto" w:fill="auto"/>
            <w:vAlign w:val="center"/>
          </w:tcPr>
          <w:p w14:paraId="66D681E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在施工过程中严格控制施工作业面积，新钻井组成1座平台和4口单井，减少永久占地。加强施工管理，尽量减少占地面积，并规范行车路线及施工人员行为，严禁随意践踏、碾压施工区范围外的植被，确保尽量少占优质黑土地。针对永久占地按照 “占一补一，质量相等”的要求进行补偿并易地补充耕地，针对临时占地在施工结束后分层回填，及时平整恢复。</w:t>
            </w:r>
          </w:p>
        </w:tc>
        <w:tc>
          <w:tcPr>
            <w:tcW w:w="506" w:type="pct"/>
            <w:shd w:val="clear" w:color="auto" w:fill="auto"/>
            <w:vAlign w:val="center"/>
          </w:tcPr>
          <w:p w14:paraId="4E420AA7">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bl>
    <w:p w14:paraId="41333D54">
      <w:pPr>
        <w:pStyle w:val="276"/>
        <w:widowControl w:val="0"/>
        <w:ind w:firstLine="480"/>
        <w:jc w:val="both"/>
        <w:rPr>
          <w:iCs/>
          <w:color w:val="auto"/>
          <w:kern w:val="2"/>
        </w:rPr>
      </w:pPr>
      <w:r>
        <w:rPr>
          <w:iCs/>
          <w:color w:val="auto"/>
          <w:kern w:val="2"/>
        </w:rPr>
        <w:t>根据以上分析，本项目符合《黑龙江省耕地保护条例》中要求。</w:t>
      </w:r>
    </w:p>
    <w:p w14:paraId="65C49AD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与《关于强化管控落实最严格耕地保护制度的通知》（国土资发〔2014〕18号）符合性判定</w:t>
      </w:r>
    </w:p>
    <w:p w14:paraId="42758725">
      <w:pPr>
        <w:pStyle w:val="276"/>
        <w:widowControl w:val="0"/>
        <w:ind w:firstLine="480"/>
        <w:jc w:val="both"/>
        <w:rPr>
          <w:color w:val="auto"/>
          <w:lang w:bidi="zh-CN"/>
        </w:rPr>
      </w:pPr>
      <w:r>
        <w:rPr>
          <w:color w:val="auto"/>
          <w:lang w:bidi="zh-CN"/>
        </w:rPr>
        <w:t>本项目与《关于强化管控落实最严格耕地保护制度的通知》（国土资发〔2014〕18号）符合性分析见</w:t>
      </w:r>
      <w:r>
        <w:rPr>
          <w:color w:val="auto"/>
          <w:lang w:bidi="zh-CN"/>
        </w:rPr>
        <w:fldChar w:fldCharType="begin"/>
      </w:r>
      <w:r>
        <w:rPr>
          <w:color w:val="auto"/>
          <w:lang w:bidi="zh-CN"/>
        </w:rPr>
        <w:instrText xml:space="preserve"> REF _Ref211957153 \h  \* MERGEFORMAT </w:instrText>
      </w:r>
      <w:r>
        <w:rPr>
          <w:color w:val="auto"/>
          <w:lang w:bidi="zh-CN"/>
        </w:rPr>
        <w:fldChar w:fldCharType="separate"/>
      </w:r>
      <w:r>
        <w:rPr>
          <w:rFonts w:hint="eastAsia"/>
          <w:color w:val="auto"/>
        </w:rPr>
        <w:t xml:space="preserve">表 </w:t>
      </w:r>
      <w:r>
        <w:rPr>
          <w:color w:val="auto"/>
        </w:rPr>
        <w:t>1.4</w:t>
      </w:r>
      <w:r>
        <w:rPr>
          <w:color w:val="auto"/>
        </w:rPr>
        <w:noBreakHyphen/>
      </w:r>
      <w:r>
        <w:rPr>
          <w:color w:val="auto"/>
        </w:rPr>
        <w:t>12</w:t>
      </w:r>
      <w:r>
        <w:rPr>
          <w:color w:val="auto"/>
          <w:lang w:bidi="zh-CN"/>
        </w:rPr>
        <w:fldChar w:fldCharType="end"/>
      </w:r>
      <w:r>
        <w:rPr>
          <w:color w:val="auto"/>
          <w:lang w:bidi="zh-CN"/>
        </w:rPr>
        <w:t>。</w:t>
      </w:r>
    </w:p>
    <w:p w14:paraId="31CE6A23">
      <w:pPr>
        <w:pStyle w:val="22"/>
        <w:spacing w:before="156"/>
        <w:rPr>
          <w:color w:val="auto"/>
        </w:rPr>
      </w:pPr>
      <w:bookmarkStart w:id="132" w:name="_Ref211957153"/>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12</w:t>
      </w:r>
      <w:r>
        <w:rPr>
          <w:color w:val="auto"/>
        </w:rPr>
        <w:fldChar w:fldCharType="end"/>
      </w:r>
      <w:bookmarkEnd w:id="132"/>
      <w:r>
        <w:rPr>
          <w:color w:val="auto"/>
        </w:rPr>
        <w:t>与关于强化管控落实最严格耕地保护制度的通知相关要求符合性判定</w:t>
      </w:r>
    </w:p>
    <w:tbl>
      <w:tblPr>
        <w:tblStyle w:val="81"/>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60"/>
        <w:gridCol w:w="4374"/>
        <w:gridCol w:w="3360"/>
        <w:gridCol w:w="992"/>
      </w:tblGrid>
      <w:tr w14:paraId="7C1D59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2" w:type="pct"/>
            <w:shd w:val="clear" w:color="auto" w:fill="auto"/>
            <w:vAlign w:val="center"/>
          </w:tcPr>
          <w:p w14:paraId="56CA966F">
            <w:pPr>
              <w:ind w:firstLine="29"/>
              <w:jc w:val="center"/>
              <w:rPr>
                <w:rFonts w:ascii="宋体" w:hAnsi="宋体" w:eastAsia="宋体" w:cs="Times New Roman"/>
                <w:color w:val="auto"/>
              </w:rPr>
            </w:pPr>
            <w:r>
              <w:rPr>
                <w:rFonts w:ascii="宋体" w:hAnsi="宋体" w:eastAsia="宋体" w:cs="Times New Roman"/>
                <w:color w:val="auto"/>
              </w:rPr>
              <w:t>序号</w:t>
            </w:r>
          </w:p>
        </w:tc>
        <w:tc>
          <w:tcPr>
            <w:tcW w:w="2355" w:type="pct"/>
            <w:shd w:val="clear" w:color="auto" w:fill="auto"/>
            <w:vAlign w:val="center"/>
          </w:tcPr>
          <w:p w14:paraId="34F9F25F">
            <w:pPr>
              <w:ind w:firstLine="29"/>
              <w:jc w:val="center"/>
              <w:rPr>
                <w:rFonts w:ascii="宋体" w:hAnsi="宋体" w:eastAsia="宋体" w:cs="Times New Roman"/>
                <w:color w:val="auto"/>
              </w:rPr>
            </w:pPr>
            <w:r>
              <w:rPr>
                <w:rFonts w:ascii="宋体" w:hAnsi="宋体" w:eastAsia="宋体" w:cs="Times New Roman"/>
                <w:color w:val="auto"/>
              </w:rPr>
              <w:t>相关要求</w:t>
            </w:r>
          </w:p>
        </w:tc>
        <w:tc>
          <w:tcPr>
            <w:tcW w:w="1809" w:type="pct"/>
            <w:shd w:val="clear" w:color="auto" w:fill="auto"/>
            <w:vAlign w:val="center"/>
          </w:tcPr>
          <w:p w14:paraId="73D3FC60">
            <w:pPr>
              <w:ind w:firstLine="29"/>
              <w:jc w:val="center"/>
              <w:rPr>
                <w:rFonts w:ascii="宋体" w:hAnsi="宋体" w:eastAsia="宋体" w:cs="Times New Roman"/>
                <w:color w:val="auto"/>
              </w:rPr>
            </w:pPr>
            <w:r>
              <w:rPr>
                <w:rFonts w:ascii="宋体" w:hAnsi="宋体" w:eastAsia="宋体" w:cs="Times New Roman"/>
                <w:color w:val="auto"/>
              </w:rPr>
              <w:t>符合性分析</w:t>
            </w:r>
          </w:p>
        </w:tc>
        <w:tc>
          <w:tcPr>
            <w:tcW w:w="534" w:type="pct"/>
            <w:shd w:val="clear" w:color="auto" w:fill="auto"/>
            <w:vAlign w:val="center"/>
          </w:tcPr>
          <w:p w14:paraId="2685F539">
            <w:pPr>
              <w:ind w:firstLine="29"/>
              <w:jc w:val="center"/>
              <w:rPr>
                <w:rFonts w:ascii="宋体" w:hAnsi="宋体" w:eastAsia="宋体" w:cs="Times New Roman"/>
                <w:color w:val="auto"/>
              </w:rPr>
            </w:pPr>
            <w:r>
              <w:rPr>
                <w:rFonts w:ascii="宋体" w:hAnsi="宋体" w:eastAsia="宋体" w:cs="Times New Roman"/>
                <w:color w:val="auto"/>
              </w:rPr>
              <w:t>符合性</w:t>
            </w:r>
          </w:p>
        </w:tc>
      </w:tr>
      <w:tr w14:paraId="1B9770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2" w:type="pct"/>
            <w:shd w:val="clear" w:color="auto" w:fill="auto"/>
            <w:vAlign w:val="center"/>
          </w:tcPr>
          <w:p w14:paraId="0CFBD27C">
            <w:pPr>
              <w:ind w:firstLine="29"/>
              <w:jc w:val="center"/>
              <w:rPr>
                <w:rFonts w:ascii="宋体" w:hAnsi="宋体" w:eastAsia="宋体" w:cs="Times New Roman"/>
                <w:color w:val="auto"/>
              </w:rPr>
            </w:pPr>
            <w:r>
              <w:rPr>
                <w:rFonts w:ascii="宋体" w:hAnsi="宋体" w:eastAsia="宋体" w:cs="Times New Roman"/>
                <w:color w:val="auto"/>
              </w:rPr>
              <w:t>1</w:t>
            </w:r>
          </w:p>
        </w:tc>
        <w:tc>
          <w:tcPr>
            <w:tcW w:w="2355" w:type="pct"/>
            <w:shd w:val="clear" w:color="auto" w:fill="auto"/>
            <w:vAlign w:val="center"/>
          </w:tcPr>
          <w:p w14:paraId="33C6A182">
            <w:pPr>
              <w:ind w:firstLine="29"/>
              <w:jc w:val="center"/>
              <w:rPr>
                <w:rFonts w:ascii="宋体" w:hAnsi="宋体" w:eastAsia="宋体" w:cs="Times New Roman"/>
                <w:color w:val="auto"/>
              </w:rPr>
            </w:pPr>
            <w:r>
              <w:rPr>
                <w:rFonts w:ascii="宋体" w:hAnsi="宋体" w:eastAsia="宋体" w:cs="Times New Roman"/>
                <w:color w:val="auto"/>
              </w:rPr>
              <w:t>进一步严格建设占用耕地审批。强化建设项目预审，严格项目选址把关。凡不符合土地利用总体规划、耕地占补平衡要求、征地补偿安置政策、用地标准、产业和供地政策的项目，不得通过用地预审。对线性工程占用耕地100公顷以上、块状工程70公顷以上的，省级国土资源部门必须组织实地踏勘论证，部组织抽查核实；确需占用的，按照确保粮食生产能力不下降的要求，提出补充耕地安排，补充数量质量相当的耕地，并作为通过预审的必备条件。</w:t>
            </w:r>
          </w:p>
        </w:tc>
        <w:tc>
          <w:tcPr>
            <w:tcW w:w="1809" w:type="pct"/>
            <w:shd w:val="clear" w:color="auto" w:fill="auto"/>
            <w:vAlign w:val="center"/>
          </w:tcPr>
          <w:p w14:paraId="662ED67C">
            <w:pPr>
              <w:ind w:firstLine="29"/>
              <w:jc w:val="center"/>
              <w:rPr>
                <w:rFonts w:ascii="宋体" w:hAnsi="宋体" w:eastAsia="宋体" w:cs="Times New Roman"/>
                <w:color w:val="auto"/>
              </w:rPr>
            </w:pPr>
            <w:r>
              <w:rPr>
                <w:rFonts w:ascii="宋体" w:hAnsi="宋体" w:eastAsia="宋体" w:cs="Times New Roman"/>
                <w:color w:val="auto"/>
              </w:rPr>
              <w:t>本项目占用耕地面积为4.163hm</w:t>
            </w:r>
            <w:r>
              <w:rPr>
                <w:rFonts w:ascii="宋体" w:hAnsi="宋体" w:eastAsia="宋体" w:cs="Times New Roman"/>
                <w:color w:val="auto"/>
                <w:vertAlign w:val="superscript"/>
              </w:rPr>
              <w:t>2</w:t>
            </w:r>
            <w:r>
              <w:rPr>
                <w:rFonts w:ascii="宋体" w:hAnsi="宋体" w:eastAsia="宋体" w:cs="Times New Roman"/>
                <w:color w:val="auto"/>
              </w:rPr>
              <w:t>，其中永久占用耕地为1.463hm</w:t>
            </w:r>
            <w:r>
              <w:rPr>
                <w:rFonts w:ascii="宋体" w:hAnsi="宋体" w:eastAsia="宋体" w:cs="Times New Roman"/>
                <w:color w:val="auto"/>
                <w:vertAlign w:val="superscript"/>
              </w:rPr>
              <w:t>2</w:t>
            </w:r>
            <w:r>
              <w:rPr>
                <w:rFonts w:ascii="宋体" w:hAnsi="宋体" w:eastAsia="宋体" w:cs="Times New Roman"/>
                <w:color w:val="auto"/>
              </w:rPr>
              <w:t>，临时占用耕地为2.7hm</w:t>
            </w:r>
            <w:r>
              <w:rPr>
                <w:rFonts w:ascii="宋体" w:hAnsi="宋体" w:eastAsia="宋体" w:cs="Times New Roman"/>
                <w:color w:val="auto"/>
                <w:vertAlign w:val="superscript"/>
              </w:rPr>
              <w:t>2</w:t>
            </w:r>
            <w:r>
              <w:rPr>
                <w:rFonts w:ascii="宋体" w:hAnsi="宋体" w:eastAsia="宋体" w:cs="Times New Roman"/>
                <w:color w:val="auto"/>
              </w:rPr>
              <w:t>，符合大庆市国土空间总体规划等要求，本项目针对永久占地将剥离的表土按照 “占一补一，质量相等”的要求进行补偿并易地补充耕地，针对临时占地在将剥离的表土在施工结束后分层回填，并及时恢复地表植被。</w:t>
            </w:r>
          </w:p>
        </w:tc>
        <w:tc>
          <w:tcPr>
            <w:tcW w:w="534" w:type="pct"/>
            <w:shd w:val="clear" w:color="auto" w:fill="auto"/>
            <w:vAlign w:val="center"/>
          </w:tcPr>
          <w:p w14:paraId="2DE74038">
            <w:pPr>
              <w:ind w:firstLine="29"/>
              <w:jc w:val="center"/>
              <w:rPr>
                <w:rFonts w:ascii="宋体" w:hAnsi="宋体" w:eastAsia="宋体" w:cs="Times New Roman"/>
                <w:color w:val="auto"/>
              </w:rPr>
            </w:pPr>
            <w:r>
              <w:rPr>
                <w:rFonts w:ascii="宋体" w:hAnsi="宋体" w:eastAsia="宋体" w:cs="Times New Roman"/>
                <w:color w:val="auto"/>
              </w:rPr>
              <w:t>符合</w:t>
            </w:r>
          </w:p>
        </w:tc>
      </w:tr>
      <w:tr w14:paraId="3CB782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2" w:type="pct"/>
            <w:shd w:val="clear" w:color="auto" w:fill="auto"/>
            <w:vAlign w:val="center"/>
          </w:tcPr>
          <w:p w14:paraId="1BCE19E6">
            <w:pPr>
              <w:ind w:firstLine="29"/>
              <w:jc w:val="center"/>
              <w:rPr>
                <w:rFonts w:ascii="宋体" w:hAnsi="宋体" w:eastAsia="宋体" w:cs="Times New Roman"/>
                <w:color w:val="auto"/>
              </w:rPr>
            </w:pPr>
            <w:r>
              <w:rPr>
                <w:rFonts w:ascii="宋体" w:hAnsi="宋体" w:eastAsia="宋体" w:cs="Times New Roman"/>
                <w:color w:val="auto"/>
              </w:rPr>
              <w:t>2</w:t>
            </w:r>
          </w:p>
        </w:tc>
        <w:tc>
          <w:tcPr>
            <w:tcW w:w="2355" w:type="pct"/>
            <w:shd w:val="clear" w:color="auto" w:fill="auto"/>
            <w:vAlign w:val="center"/>
          </w:tcPr>
          <w:p w14:paraId="4CC44859">
            <w:pPr>
              <w:ind w:firstLine="29"/>
              <w:jc w:val="center"/>
              <w:rPr>
                <w:rFonts w:ascii="宋体" w:hAnsi="宋体" w:eastAsia="宋体" w:cs="Times New Roman"/>
                <w:color w:val="auto"/>
              </w:rPr>
            </w:pPr>
            <w:r>
              <w:rPr>
                <w:rFonts w:ascii="宋体" w:hAnsi="宋体" w:eastAsia="宋体" w:cs="Times New Roman"/>
                <w:color w:val="auto"/>
              </w:rPr>
              <w:t>强化耕地数量和质量占补平衡。各地要严格执行以补定占、先补后占规定，引导建设不占或少占耕地。</w:t>
            </w:r>
          </w:p>
        </w:tc>
        <w:tc>
          <w:tcPr>
            <w:tcW w:w="1809" w:type="pct"/>
            <w:vMerge w:val="restart"/>
            <w:shd w:val="clear" w:color="auto" w:fill="auto"/>
            <w:vAlign w:val="center"/>
          </w:tcPr>
          <w:p w14:paraId="2118563A">
            <w:pPr>
              <w:ind w:firstLine="29"/>
              <w:jc w:val="center"/>
              <w:rPr>
                <w:rFonts w:ascii="宋体" w:hAnsi="宋体" w:eastAsia="宋体" w:cs="Times New Roman"/>
                <w:color w:val="auto"/>
              </w:rPr>
            </w:pPr>
            <w:r>
              <w:rPr>
                <w:rFonts w:ascii="宋体" w:hAnsi="宋体" w:eastAsia="宋体" w:cs="Times New Roman"/>
                <w:color w:val="auto"/>
              </w:rPr>
              <w:t>本项目针对永久占地将剥离的表土按照 “占一补一，质量相等”的要求进行补偿并易地补充等质等量耕地，针对临时占地在将剥离的表土在施工结束后分层回填，并及时恢复地表植被。本项目建设过程中，对占用的耕地，按照“占多少，垦多少”的原则，由建设单位负责开垦与所占用耕地的数量和质量相当的耕地；如果没有条件开垦时，按照省的规定缴纳耕地开垦费，专款用于开垦新的耕地。</w:t>
            </w:r>
          </w:p>
        </w:tc>
        <w:tc>
          <w:tcPr>
            <w:tcW w:w="534" w:type="pct"/>
            <w:vMerge w:val="restart"/>
            <w:shd w:val="clear" w:color="auto" w:fill="auto"/>
            <w:vAlign w:val="center"/>
          </w:tcPr>
          <w:p w14:paraId="3DB0A505">
            <w:pPr>
              <w:ind w:firstLine="29"/>
              <w:jc w:val="center"/>
              <w:rPr>
                <w:rFonts w:ascii="宋体" w:hAnsi="宋体" w:eastAsia="宋体" w:cs="Times New Roman"/>
                <w:color w:val="auto"/>
              </w:rPr>
            </w:pPr>
            <w:r>
              <w:rPr>
                <w:rFonts w:ascii="宋体" w:hAnsi="宋体" w:eastAsia="宋体" w:cs="Times New Roman"/>
                <w:color w:val="auto"/>
              </w:rPr>
              <w:t>符合</w:t>
            </w:r>
          </w:p>
        </w:tc>
      </w:tr>
      <w:tr w14:paraId="168D6D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02" w:type="pct"/>
            <w:shd w:val="clear" w:color="auto" w:fill="auto"/>
            <w:vAlign w:val="center"/>
          </w:tcPr>
          <w:p w14:paraId="670D2F2F">
            <w:pPr>
              <w:ind w:firstLine="29"/>
              <w:jc w:val="center"/>
              <w:rPr>
                <w:rFonts w:ascii="宋体" w:hAnsi="宋体" w:eastAsia="宋体" w:cs="Times New Roman"/>
                <w:color w:val="auto"/>
              </w:rPr>
            </w:pPr>
            <w:r>
              <w:rPr>
                <w:rFonts w:ascii="宋体" w:hAnsi="宋体" w:eastAsia="宋体" w:cs="Times New Roman"/>
                <w:color w:val="auto"/>
              </w:rPr>
              <w:t>3</w:t>
            </w:r>
          </w:p>
        </w:tc>
        <w:tc>
          <w:tcPr>
            <w:tcW w:w="2355" w:type="pct"/>
            <w:shd w:val="clear" w:color="auto" w:fill="auto"/>
            <w:vAlign w:val="center"/>
          </w:tcPr>
          <w:p w14:paraId="7FD81F06">
            <w:pPr>
              <w:ind w:firstLine="29"/>
              <w:jc w:val="center"/>
              <w:rPr>
                <w:rFonts w:ascii="宋体" w:hAnsi="宋体" w:eastAsia="宋体" w:cs="Times New Roman"/>
                <w:color w:val="auto"/>
              </w:rPr>
            </w:pPr>
            <w:r>
              <w:rPr>
                <w:rFonts w:ascii="宋体" w:hAnsi="宋体" w:eastAsia="宋体" w:cs="Times New Roman"/>
                <w:color w:val="auto"/>
              </w:rPr>
              <w:t>严格划定和永久保护基本农田。基本农田一经划定，实行严格管理、永久保护，任何单位和个人不得擅自占用或改变用途；建立和完善基本农田保护负面清单，符合法定条件和供地政策，确需占用和改变基本农田的，必须报国务院批准，并优先将同等面积的优质耕地补划为基本农田。</w:t>
            </w:r>
          </w:p>
        </w:tc>
        <w:tc>
          <w:tcPr>
            <w:tcW w:w="1809" w:type="pct"/>
            <w:vMerge w:val="continue"/>
            <w:shd w:val="clear" w:color="auto" w:fill="auto"/>
            <w:vAlign w:val="center"/>
          </w:tcPr>
          <w:p w14:paraId="212B1A2C">
            <w:pPr>
              <w:ind w:firstLine="29"/>
              <w:jc w:val="center"/>
              <w:rPr>
                <w:rFonts w:ascii="宋体" w:hAnsi="宋体" w:eastAsia="宋体" w:cs="Times New Roman"/>
                <w:color w:val="auto"/>
              </w:rPr>
            </w:pPr>
          </w:p>
        </w:tc>
        <w:tc>
          <w:tcPr>
            <w:tcW w:w="534" w:type="pct"/>
            <w:vMerge w:val="continue"/>
            <w:shd w:val="clear" w:color="auto" w:fill="auto"/>
            <w:vAlign w:val="center"/>
          </w:tcPr>
          <w:p w14:paraId="0D97E088">
            <w:pPr>
              <w:ind w:firstLine="29"/>
              <w:jc w:val="center"/>
              <w:rPr>
                <w:rFonts w:ascii="宋体" w:hAnsi="宋体" w:eastAsia="宋体" w:cs="Times New Roman"/>
                <w:color w:val="auto"/>
              </w:rPr>
            </w:pPr>
          </w:p>
        </w:tc>
      </w:tr>
    </w:tbl>
    <w:p w14:paraId="4A9C015A">
      <w:pPr>
        <w:pStyle w:val="276"/>
        <w:widowControl w:val="0"/>
        <w:ind w:firstLine="480"/>
        <w:jc w:val="both"/>
        <w:rPr>
          <w:iCs/>
          <w:color w:val="auto"/>
          <w:kern w:val="2"/>
        </w:rPr>
      </w:pPr>
      <w:r>
        <w:rPr>
          <w:color w:val="auto"/>
          <w:lang w:bidi="zh-CN"/>
        </w:rPr>
        <w:t>根据以上分析，本项目符合</w:t>
      </w:r>
      <w:r>
        <w:rPr>
          <w:snapToGrid w:val="0"/>
          <w:color w:val="auto"/>
        </w:rPr>
        <w:t>《关于强化管控落实最严格耕地保护制度的通知》</w:t>
      </w:r>
      <w:r>
        <w:rPr>
          <w:color w:val="auto"/>
          <w:lang w:bidi="zh-CN"/>
        </w:rPr>
        <w:t>中要求。</w:t>
      </w:r>
    </w:p>
    <w:p w14:paraId="5DECBDC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与《地下水管理条例》（中华人民共和国国务院令第748号）符合性分析</w:t>
      </w:r>
    </w:p>
    <w:p w14:paraId="5E3A2EB9">
      <w:pPr>
        <w:pStyle w:val="276"/>
        <w:widowControl w:val="0"/>
        <w:ind w:firstLine="480"/>
        <w:jc w:val="both"/>
        <w:rPr>
          <w:iCs/>
          <w:color w:val="auto"/>
          <w:kern w:val="2"/>
        </w:rPr>
      </w:pPr>
      <w:r>
        <w:rPr>
          <w:iCs/>
          <w:color w:val="auto"/>
          <w:kern w:val="2"/>
        </w:rPr>
        <w:t>本项目与《地下水管理条例》（中华人民共和国国务院令第748号）符合性分析见</w:t>
      </w:r>
      <w:r>
        <w:rPr>
          <w:iCs/>
          <w:color w:val="auto"/>
          <w:kern w:val="2"/>
        </w:rPr>
        <w:fldChar w:fldCharType="begin"/>
      </w:r>
      <w:r>
        <w:rPr>
          <w:iCs/>
          <w:color w:val="auto"/>
          <w:kern w:val="2"/>
        </w:rPr>
        <w:instrText xml:space="preserve"> REF _Ref211957158 \h  \* MERGEFORMAT </w:instrText>
      </w:r>
      <w:r>
        <w:rPr>
          <w:iCs/>
          <w:color w:val="auto"/>
          <w:kern w:val="2"/>
        </w:rPr>
        <w:fldChar w:fldCharType="separate"/>
      </w:r>
      <w:r>
        <w:rPr>
          <w:rFonts w:hint="eastAsia"/>
          <w:color w:val="auto"/>
        </w:rPr>
        <w:t xml:space="preserve">表 </w:t>
      </w:r>
      <w:r>
        <w:rPr>
          <w:color w:val="auto"/>
        </w:rPr>
        <w:t>1.4</w:t>
      </w:r>
      <w:r>
        <w:rPr>
          <w:color w:val="auto"/>
        </w:rPr>
        <w:noBreakHyphen/>
      </w:r>
      <w:r>
        <w:rPr>
          <w:color w:val="auto"/>
        </w:rPr>
        <w:t>13</w:t>
      </w:r>
      <w:r>
        <w:rPr>
          <w:iCs/>
          <w:color w:val="auto"/>
          <w:kern w:val="2"/>
        </w:rPr>
        <w:fldChar w:fldCharType="end"/>
      </w:r>
      <w:r>
        <w:rPr>
          <w:iCs/>
          <w:color w:val="auto"/>
          <w:kern w:val="2"/>
        </w:rPr>
        <w:t>。</w:t>
      </w:r>
    </w:p>
    <w:p w14:paraId="791F5375">
      <w:pPr>
        <w:pStyle w:val="22"/>
        <w:spacing w:before="156"/>
        <w:rPr>
          <w:color w:val="auto"/>
        </w:rPr>
      </w:pPr>
      <w:bookmarkStart w:id="133" w:name="_Ref21195715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13</w:t>
      </w:r>
      <w:r>
        <w:rPr>
          <w:color w:val="auto"/>
        </w:rPr>
        <w:fldChar w:fldCharType="end"/>
      </w:r>
      <w:bookmarkEnd w:id="133"/>
      <w:r>
        <w:rPr>
          <w:color w:val="auto"/>
        </w:rPr>
        <w:t>本项目与《地下水管理条例》相关要求符合性一览表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506"/>
        <w:gridCol w:w="4136"/>
        <w:gridCol w:w="940"/>
      </w:tblGrid>
      <w:tr w14:paraId="7DF2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41D1B10E">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序号</w:t>
            </w:r>
          </w:p>
        </w:tc>
        <w:tc>
          <w:tcPr>
            <w:tcW w:w="1888" w:type="pct"/>
            <w:shd w:val="clear" w:color="auto" w:fill="auto"/>
            <w:vAlign w:val="center"/>
          </w:tcPr>
          <w:p w14:paraId="2482422D">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文件要求</w:t>
            </w:r>
          </w:p>
        </w:tc>
        <w:tc>
          <w:tcPr>
            <w:tcW w:w="2227" w:type="pct"/>
            <w:shd w:val="clear" w:color="auto" w:fill="auto"/>
            <w:vAlign w:val="center"/>
          </w:tcPr>
          <w:p w14:paraId="343174E4">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符合性分析</w:t>
            </w:r>
          </w:p>
        </w:tc>
        <w:tc>
          <w:tcPr>
            <w:tcW w:w="506" w:type="pct"/>
            <w:shd w:val="clear" w:color="auto" w:fill="auto"/>
            <w:vAlign w:val="center"/>
          </w:tcPr>
          <w:p w14:paraId="685E1FAC">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w:t>
            </w:r>
          </w:p>
        </w:tc>
      </w:tr>
      <w:tr w14:paraId="1479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495C1741">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1</w:t>
            </w:r>
          </w:p>
        </w:tc>
        <w:tc>
          <w:tcPr>
            <w:tcW w:w="1888" w:type="pct"/>
            <w:shd w:val="clear" w:color="auto" w:fill="auto"/>
            <w:vAlign w:val="center"/>
          </w:tcPr>
          <w:p w14:paraId="6CF506AE">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兴建地下工程设施或者进行地下勘探、采矿等活动，依法编制的环境影响评价文件中，应当包括地下水污染防治的内容，并采取防护性措施；</w:t>
            </w:r>
          </w:p>
        </w:tc>
        <w:tc>
          <w:tcPr>
            <w:tcW w:w="2227" w:type="pct"/>
            <w:vMerge w:val="restart"/>
            <w:shd w:val="clear" w:color="auto" w:fill="auto"/>
            <w:vAlign w:val="center"/>
          </w:tcPr>
          <w:p w14:paraId="0F0E3AE6">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施工期和运营期均不开采地下水，施工用水及试压废水、作业废水等均由罐车拉运，已针对项目特点提出针对性地下水污染防治措施，主要包括采取分区防渗措施，根据可能对地下水造成污染的污染源分布制定重点防渗区、一般防渗区；根据区域潜水流向，本项目</w:t>
            </w:r>
            <w:r>
              <w:rPr>
                <w:rFonts w:hint="eastAsia" w:ascii="宋体" w:hAnsi="宋体" w:eastAsia="宋体" w:cs="Times New Roman"/>
                <w:iCs/>
                <w:color w:val="auto"/>
                <w:kern w:val="28"/>
              </w:rPr>
              <w:t>共</w:t>
            </w:r>
            <w:r>
              <w:rPr>
                <w:rFonts w:ascii="宋体" w:hAnsi="宋体" w:eastAsia="宋体" w:cs="Times New Roman"/>
                <w:iCs/>
                <w:color w:val="auto"/>
                <w:kern w:val="28"/>
              </w:rPr>
              <w:t>布设</w:t>
            </w:r>
            <w:r>
              <w:rPr>
                <w:rFonts w:hint="eastAsia" w:ascii="宋体" w:hAnsi="宋体" w:eastAsia="宋体" w:cs="Times New Roman"/>
                <w:iCs/>
                <w:color w:val="auto"/>
                <w:kern w:val="28"/>
              </w:rPr>
              <w:t>7个</w:t>
            </w:r>
            <w:r>
              <w:rPr>
                <w:rFonts w:ascii="宋体" w:hAnsi="宋体" w:eastAsia="宋体" w:cs="Times New Roman"/>
                <w:iCs/>
                <w:color w:val="auto"/>
                <w:kern w:val="28"/>
              </w:rPr>
              <w:t>跟踪监测点，定期对地下水进行跟踪监测。</w:t>
            </w:r>
          </w:p>
        </w:tc>
        <w:tc>
          <w:tcPr>
            <w:tcW w:w="506" w:type="pct"/>
            <w:vMerge w:val="restart"/>
            <w:shd w:val="clear" w:color="auto" w:fill="auto"/>
            <w:vAlign w:val="center"/>
          </w:tcPr>
          <w:p w14:paraId="2FF63C6F">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28F7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07FE1109">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2</w:t>
            </w:r>
          </w:p>
        </w:tc>
        <w:tc>
          <w:tcPr>
            <w:tcW w:w="1888" w:type="pct"/>
            <w:shd w:val="clear" w:color="auto" w:fill="auto"/>
            <w:vAlign w:val="center"/>
          </w:tcPr>
          <w:p w14:paraId="38E02B23">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化学品生产企业以及工业集聚区、矿山开采区、尾矿库、危险废物处置场、垃圾填埋场等的运营、管理单位，应当采取防渗漏等措施，并建设地下水水质监测井进行监测；</w:t>
            </w:r>
          </w:p>
        </w:tc>
        <w:tc>
          <w:tcPr>
            <w:tcW w:w="2227" w:type="pct"/>
            <w:vMerge w:val="continue"/>
            <w:shd w:val="clear" w:color="auto" w:fill="auto"/>
            <w:vAlign w:val="center"/>
          </w:tcPr>
          <w:p w14:paraId="0AE39F48">
            <w:pPr>
              <w:adjustRightInd w:val="0"/>
              <w:snapToGrid w:val="0"/>
              <w:jc w:val="center"/>
              <w:rPr>
                <w:rFonts w:ascii="宋体" w:hAnsi="宋体" w:eastAsia="宋体" w:cs="Times New Roman"/>
                <w:iCs/>
                <w:color w:val="auto"/>
                <w:kern w:val="28"/>
              </w:rPr>
            </w:pPr>
          </w:p>
        </w:tc>
        <w:tc>
          <w:tcPr>
            <w:tcW w:w="506" w:type="pct"/>
            <w:vMerge w:val="continue"/>
            <w:shd w:val="clear" w:color="auto" w:fill="auto"/>
            <w:vAlign w:val="center"/>
          </w:tcPr>
          <w:p w14:paraId="59623E28">
            <w:pPr>
              <w:adjustRightInd w:val="0"/>
              <w:snapToGrid w:val="0"/>
              <w:jc w:val="center"/>
              <w:rPr>
                <w:rFonts w:ascii="宋体" w:hAnsi="宋体" w:eastAsia="宋体" w:cs="Times New Roman"/>
                <w:iCs/>
                <w:color w:val="auto"/>
                <w:kern w:val="28"/>
              </w:rPr>
            </w:pPr>
          </w:p>
        </w:tc>
      </w:tr>
    </w:tbl>
    <w:p w14:paraId="397B3FAE">
      <w:pPr>
        <w:pStyle w:val="276"/>
        <w:widowControl w:val="0"/>
        <w:ind w:firstLine="480"/>
        <w:jc w:val="both"/>
        <w:rPr>
          <w:iCs/>
          <w:color w:val="auto"/>
          <w:kern w:val="2"/>
        </w:rPr>
      </w:pPr>
      <w:r>
        <w:rPr>
          <w:iCs/>
          <w:color w:val="auto"/>
          <w:kern w:val="2"/>
        </w:rPr>
        <w:t>根据以上分析，本项目符合《地下水管理条例》（</w:t>
      </w:r>
      <w:r>
        <w:rPr>
          <w:snapToGrid w:val="0"/>
          <w:color w:val="auto"/>
        </w:rPr>
        <w:t>中华人民共和国</w:t>
      </w:r>
      <w:r>
        <w:rPr>
          <w:iCs/>
          <w:color w:val="auto"/>
          <w:kern w:val="2"/>
        </w:rPr>
        <w:t>国务院令第748号）中要求。</w:t>
      </w:r>
    </w:p>
    <w:p w14:paraId="4846B81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134" w:name="_Toc131167247"/>
      <w:bookmarkStart w:id="135" w:name="_Toc127192296"/>
      <w:bookmarkStart w:id="136" w:name="_Toc126863347"/>
      <w:r>
        <w:rPr>
          <w:rFonts w:ascii="宋体" w:hAnsi="宋体" w:eastAsia="宋体" w:cs="Times New Roman"/>
          <w:b/>
          <w:bCs/>
          <w:color w:val="auto"/>
          <w:szCs w:val="28"/>
        </w:rPr>
        <w:t>与《黑龙江省人民政府办公厅关于建设占用耕地耕作层土壤剥离利用工作的指导意见（试行）》</w:t>
      </w:r>
      <w:r>
        <w:rPr>
          <w:rFonts w:hint="eastAsia" w:ascii="宋体" w:hAnsi="宋体" w:eastAsia="宋体" w:cs="Times New Roman"/>
          <w:b/>
          <w:bCs/>
          <w:color w:val="auto"/>
          <w:szCs w:val="28"/>
        </w:rPr>
        <w:t>（</w:t>
      </w:r>
      <w:r>
        <w:rPr>
          <w:rFonts w:ascii="宋体" w:hAnsi="宋体" w:eastAsia="宋体" w:cs="Times New Roman"/>
          <w:b/>
          <w:bCs/>
          <w:color w:val="auto"/>
          <w:szCs w:val="28"/>
        </w:rPr>
        <w:t>黑政办规〔2021〕18号</w:t>
      </w:r>
      <w:r>
        <w:rPr>
          <w:rFonts w:hint="eastAsia" w:ascii="宋体" w:hAnsi="宋体" w:eastAsia="宋体" w:cs="Times New Roman"/>
          <w:b/>
          <w:bCs/>
          <w:color w:val="auto"/>
          <w:szCs w:val="28"/>
        </w:rPr>
        <w:t>）</w:t>
      </w:r>
      <w:r>
        <w:rPr>
          <w:rFonts w:ascii="宋体" w:hAnsi="宋体" w:eastAsia="宋体" w:cs="Times New Roman"/>
          <w:b/>
          <w:bCs/>
          <w:color w:val="auto"/>
          <w:szCs w:val="28"/>
        </w:rPr>
        <w:t>符合性分析</w:t>
      </w:r>
    </w:p>
    <w:p w14:paraId="5C107DC7">
      <w:pPr>
        <w:pStyle w:val="276"/>
        <w:widowControl w:val="0"/>
        <w:ind w:firstLine="480"/>
        <w:jc w:val="both"/>
        <w:rPr>
          <w:iCs/>
          <w:color w:val="auto"/>
          <w:kern w:val="2"/>
          <w:lang w:val="zh-CN" w:bidi="zh-CN"/>
        </w:rPr>
      </w:pPr>
      <w:r>
        <w:rPr>
          <w:iCs/>
          <w:color w:val="auto"/>
          <w:kern w:val="2"/>
          <w:lang w:val="zh-CN" w:bidi="zh-CN"/>
        </w:rPr>
        <w:t>本项目与《黑龙江省人民政府办公厅关于建设占用耕地耕作层土壤剥离利用工作的指导意见（试行）》（黑政办规〔2021〕18号）符合性分析见</w:t>
      </w:r>
      <w:r>
        <w:rPr>
          <w:iCs/>
          <w:color w:val="auto"/>
          <w:kern w:val="2"/>
          <w:lang w:val="zh-CN" w:bidi="zh-CN"/>
        </w:rPr>
        <w:fldChar w:fldCharType="begin"/>
      </w:r>
      <w:r>
        <w:rPr>
          <w:iCs/>
          <w:color w:val="auto"/>
          <w:kern w:val="2"/>
          <w:lang w:val="zh-CN" w:bidi="zh-CN"/>
        </w:rPr>
        <w:instrText xml:space="preserve"> REF _Ref211957304 \h  \* MERGEFORMAT </w:instrText>
      </w:r>
      <w:r>
        <w:rPr>
          <w:iCs/>
          <w:color w:val="auto"/>
          <w:kern w:val="2"/>
          <w:lang w:val="zh-CN" w:bidi="zh-CN"/>
        </w:rPr>
        <w:fldChar w:fldCharType="separate"/>
      </w:r>
      <w:r>
        <w:rPr>
          <w:rFonts w:hint="eastAsia"/>
          <w:color w:val="auto"/>
        </w:rPr>
        <w:t xml:space="preserve">表 </w:t>
      </w:r>
      <w:r>
        <w:rPr>
          <w:color w:val="auto"/>
        </w:rPr>
        <w:t>1.4</w:t>
      </w:r>
      <w:r>
        <w:rPr>
          <w:color w:val="auto"/>
        </w:rPr>
        <w:noBreakHyphen/>
      </w:r>
      <w:r>
        <w:rPr>
          <w:color w:val="auto"/>
        </w:rPr>
        <w:t>14</w:t>
      </w:r>
      <w:r>
        <w:rPr>
          <w:iCs/>
          <w:color w:val="auto"/>
          <w:kern w:val="2"/>
          <w:lang w:val="zh-CN" w:bidi="zh-CN"/>
        </w:rPr>
        <w:fldChar w:fldCharType="end"/>
      </w:r>
      <w:r>
        <w:rPr>
          <w:iCs/>
          <w:color w:val="auto"/>
          <w:kern w:val="2"/>
          <w:lang w:val="zh-CN" w:bidi="zh-CN"/>
        </w:rPr>
        <w:t>。</w:t>
      </w:r>
    </w:p>
    <w:p w14:paraId="7FB62311">
      <w:pPr>
        <w:pStyle w:val="22"/>
        <w:spacing w:before="156"/>
        <w:rPr>
          <w:rFonts w:hAnsi="宋体" w:cs="Times New Roman"/>
          <w:iCs/>
          <w:color w:val="auto"/>
          <w:lang w:val="zh-CN" w:bidi="zh-CN"/>
        </w:rPr>
      </w:pPr>
      <w:bookmarkStart w:id="137" w:name="_Ref211957304"/>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14</w:t>
      </w:r>
      <w:r>
        <w:rPr>
          <w:color w:val="auto"/>
        </w:rPr>
        <w:fldChar w:fldCharType="end"/>
      </w:r>
      <w:bookmarkEnd w:id="137"/>
      <w:r>
        <w:rPr>
          <w:color w:val="auto"/>
        </w:rPr>
        <w:t>本项目与黑政办规〔2021〕18号相关要求符合性一览表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798"/>
        <w:gridCol w:w="3844"/>
        <w:gridCol w:w="940"/>
      </w:tblGrid>
      <w:tr w14:paraId="69DB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096C32F9">
            <w:pPr>
              <w:autoSpaceDE w:val="0"/>
              <w:autoSpaceDN w:val="0"/>
              <w:adjustRightInd w:val="0"/>
              <w:snapToGrid w:val="0"/>
              <w:jc w:val="center"/>
              <w:rPr>
                <w:rFonts w:ascii="宋体" w:hAnsi="宋体" w:eastAsia="宋体" w:cs="Times New Roman"/>
                <w:iCs/>
                <w:color w:val="auto"/>
                <w:kern w:val="28"/>
                <w:lang w:val="zh-CN" w:bidi="zh-CN"/>
              </w:rPr>
            </w:pPr>
            <w:r>
              <w:rPr>
                <w:rFonts w:ascii="宋体" w:hAnsi="宋体" w:eastAsia="宋体" w:cs="Times New Roman"/>
                <w:iCs/>
                <w:color w:val="auto"/>
                <w:kern w:val="28"/>
                <w:lang w:val="zh-CN" w:bidi="zh-CN"/>
              </w:rPr>
              <w:t>序号</w:t>
            </w:r>
          </w:p>
        </w:tc>
        <w:tc>
          <w:tcPr>
            <w:tcW w:w="2045" w:type="pct"/>
            <w:shd w:val="clear" w:color="auto" w:fill="auto"/>
            <w:vAlign w:val="center"/>
          </w:tcPr>
          <w:p w14:paraId="16EC2E3C">
            <w:pPr>
              <w:autoSpaceDE w:val="0"/>
              <w:autoSpaceDN w:val="0"/>
              <w:adjustRightInd w:val="0"/>
              <w:snapToGrid w:val="0"/>
              <w:jc w:val="center"/>
              <w:rPr>
                <w:rFonts w:ascii="宋体" w:hAnsi="宋体" w:eastAsia="宋体" w:cs="Times New Roman"/>
                <w:iCs/>
                <w:color w:val="auto"/>
                <w:kern w:val="28"/>
                <w:lang w:val="zh-CN" w:bidi="zh-CN"/>
              </w:rPr>
            </w:pPr>
            <w:r>
              <w:rPr>
                <w:rFonts w:ascii="宋体" w:hAnsi="宋体" w:eastAsia="宋体" w:cs="Times New Roman"/>
                <w:iCs/>
                <w:color w:val="auto"/>
                <w:kern w:val="28"/>
                <w:lang w:val="zh-CN" w:bidi="zh-CN"/>
              </w:rPr>
              <w:t>文件要求</w:t>
            </w:r>
          </w:p>
        </w:tc>
        <w:tc>
          <w:tcPr>
            <w:tcW w:w="2070" w:type="pct"/>
            <w:shd w:val="clear" w:color="auto" w:fill="auto"/>
            <w:vAlign w:val="center"/>
          </w:tcPr>
          <w:p w14:paraId="7DB67AFA">
            <w:pPr>
              <w:autoSpaceDE w:val="0"/>
              <w:autoSpaceDN w:val="0"/>
              <w:adjustRightInd w:val="0"/>
              <w:snapToGrid w:val="0"/>
              <w:jc w:val="center"/>
              <w:rPr>
                <w:rFonts w:ascii="宋体" w:hAnsi="宋体" w:eastAsia="宋体" w:cs="Times New Roman"/>
                <w:iCs/>
                <w:color w:val="auto"/>
                <w:kern w:val="28"/>
                <w:lang w:val="zh-CN" w:bidi="zh-CN"/>
              </w:rPr>
            </w:pPr>
            <w:r>
              <w:rPr>
                <w:rFonts w:ascii="宋体" w:hAnsi="宋体" w:eastAsia="宋体" w:cs="Times New Roman"/>
                <w:iCs/>
                <w:color w:val="auto"/>
                <w:kern w:val="28"/>
                <w:lang w:val="zh-CN" w:bidi="zh-CN"/>
              </w:rPr>
              <w:t>符合性分析</w:t>
            </w:r>
          </w:p>
        </w:tc>
        <w:tc>
          <w:tcPr>
            <w:tcW w:w="506" w:type="pct"/>
            <w:shd w:val="clear" w:color="auto" w:fill="auto"/>
            <w:vAlign w:val="center"/>
          </w:tcPr>
          <w:p w14:paraId="5C98B816">
            <w:pPr>
              <w:autoSpaceDE w:val="0"/>
              <w:autoSpaceDN w:val="0"/>
              <w:adjustRightInd w:val="0"/>
              <w:snapToGrid w:val="0"/>
              <w:jc w:val="center"/>
              <w:rPr>
                <w:rFonts w:ascii="宋体" w:hAnsi="宋体" w:eastAsia="宋体" w:cs="Times New Roman"/>
                <w:iCs/>
                <w:color w:val="auto"/>
                <w:kern w:val="28"/>
                <w:lang w:val="zh-CN" w:bidi="zh-CN"/>
              </w:rPr>
            </w:pPr>
            <w:r>
              <w:rPr>
                <w:rFonts w:ascii="宋体" w:hAnsi="宋体" w:eastAsia="宋体" w:cs="Times New Roman"/>
                <w:iCs/>
                <w:color w:val="auto"/>
                <w:kern w:val="28"/>
                <w:lang w:val="zh-CN" w:bidi="zh-CN"/>
              </w:rPr>
              <w:t>符合性</w:t>
            </w:r>
          </w:p>
        </w:tc>
      </w:tr>
      <w:tr w14:paraId="324B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1587352B">
            <w:pPr>
              <w:autoSpaceDE w:val="0"/>
              <w:autoSpaceDN w:val="0"/>
              <w:adjustRightInd w:val="0"/>
              <w:snapToGrid w:val="0"/>
              <w:jc w:val="center"/>
              <w:rPr>
                <w:rFonts w:ascii="宋体" w:hAnsi="宋体" w:eastAsia="宋体" w:cs="Times New Roman"/>
                <w:iCs/>
                <w:color w:val="auto"/>
                <w:kern w:val="28"/>
                <w:lang w:val="zh-CN" w:bidi="zh-CN"/>
              </w:rPr>
            </w:pPr>
            <w:r>
              <w:rPr>
                <w:rFonts w:ascii="宋体" w:hAnsi="宋体" w:eastAsia="宋体" w:cs="Times New Roman"/>
                <w:iCs/>
                <w:color w:val="auto"/>
                <w:kern w:val="28"/>
                <w:lang w:val="zh-CN" w:bidi="zh-CN"/>
              </w:rPr>
              <w:t>1</w:t>
            </w:r>
          </w:p>
        </w:tc>
        <w:tc>
          <w:tcPr>
            <w:tcW w:w="2045" w:type="pct"/>
            <w:shd w:val="clear" w:color="auto" w:fill="auto"/>
            <w:vAlign w:val="center"/>
          </w:tcPr>
          <w:p w14:paraId="7F0F74C7">
            <w:pPr>
              <w:autoSpaceDE w:val="0"/>
              <w:autoSpaceDN w:val="0"/>
              <w:adjustRightInd w:val="0"/>
              <w:snapToGrid w:val="0"/>
              <w:jc w:val="center"/>
              <w:rPr>
                <w:rFonts w:ascii="宋体" w:hAnsi="宋体" w:eastAsia="宋体" w:cs="Times New Roman"/>
                <w:iCs/>
                <w:color w:val="auto"/>
                <w:kern w:val="28"/>
                <w:lang w:val="zh-CN" w:bidi="zh-CN"/>
              </w:rPr>
            </w:pPr>
            <w:r>
              <w:rPr>
                <w:rFonts w:ascii="宋体" w:hAnsi="宋体" w:eastAsia="宋体" w:cs="Times New Roman"/>
                <w:iCs/>
                <w:color w:val="auto"/>
                <w:kern w:val="28"/>
                <w:lang w:val="zh-CN" w:bidi="zh-CN"/>
              </w:rPr>
              <w:t>成片开发和城镇批次用地占用耕地的，应在供地前实施耕作层土壤剥离；单独选址项目及其他需要剥离的项目，应在开工建设前按照剥离利用方案要求实施耕作层土壤剥离，并将剥离土壤存储在指定地点或直接输送到再利用场所。耕作层土壤剥离及运输过程中，应采取水土保持和扬尘防治措施，防止土壤和环境污染。土壤存储点的选取应遵循就近存储、易于存放、专人管理的原则，尽量利用废弃土地、闲置建设用地和未利用地，避让永久基本农田和生态保护红线、水源地等敏感区域。土壤存储要采取必要的工程防护和保育措施，防止出现水土流失、土壤质量退化和安全隐患。</w:t>
            </w:r>
          </w:p>
        </w:tc>
        <w:tc>
          <w:tcPr>
            <w:tcW w:w="2070" w:type="pct"/>
            <w:shd w:val="clear" w:color="auto" w:fill="auto"/>
            <w:vAlign w:val="center"/>
          </w:tcPr>
          <w:p w14:paraId="0F000569">
            <w:pPr>
              <w:autoSpaceDE w:val="0"/>
              <w:autoSpaceDN w:val="0"/>
              <w:adjustRightInd w:val="0"/>
              <w:snapToGrid w:val="0"/>
              <w:jc w:val="center"/>
              <w:rPr>
                <w:rFonts w:ascii="宋体" w:hAnsi="宋体" w:eastAsia="宋体" w:cs="Times New Roman"/>
                <w:iCs/>
                <w:color w:val="auto"/>
                <w:kern w:val="28"/>
                <w:lang w:val="zh-CN" w:bidi="zh-CN"/>
              </w:rPr>
            </w:pPr>
            <w:r>
              <w:rPr>
                <w:rFonts w:ascii="宋体" w:hAnsi="宋体" w:eastAsia="宋体" w:cs="Times New Roman"/>
                <w:iCs/>
                <w:color w:val="auto"/>
                <w:kern w:val="28"/>
                <w:lang w:val="zh-CN" w:bidi="zh-CN"/>
              </w:rPr>
              <w:t>本项目建设占地包括耕地和草地。项目在施工过程中针对临时占地，应剥离占地内0.3m的表土，采用分层开挖，分层堆放，集中暂存于施工井场或管线两侧临时占地内的表土剥离临时堆放区，并采取苫布遮盖等措施防止水土流失，定期采取洒水抑尘措施。针对临时占地在将剥离的表土在施工结束后分层回填，并及时恢复地表植被。</w:t>
            </w:r>
          </w:p>
        </w:tc>
        <w:tc>
          <w:tcPr>
            <w:tcW w:w="506" w:type="pct"/>
            <w:shd w:val="clear" w:color="auto" w:fill="auto"/>
            <w:vAlign w:val="center"/>
          </w:tcPr>
          <w:p w14:paraId="0EDC3E3A">
            <w:pPr>
              <w:autoSpaceDE w:val="0"/>
              <w:autoSpaceDN w:val="0"/>
              <w:adjustRightInd w:val="0"/>
              <w:snapToGrid w:val="0"/>
              <w:jc w:val="center"/>
              <w:rPr>
                <w:rFonts w:ascii="宋体" w:hAnsi="宋体" w:eastAsia="宋体" w:cs="Times New Roman"/>
                <w:iCs/>
                <w:color w:val="auto"/>
                <w:kern w:val="28"/>
                <w:lang w:val="zh-CN" w:bidi="zh-CN"/>
              </w:rPr>
            </w:pPr>
            <w:r>
              <w:rPr>
                <w:rFonts w:ascii="宋体" w:hAnsi="宋体" w:eastAsia="宋体" w:cs="Times New Roman"/>
                <w:iCs/>
                <w:color w:val="auto"/>
                <w:kern w:val="28"/>
                <w:lang w:val="zh-CN" w:bidi="zh-CN"/>
              </w:rPr>
              <w:t>符合</w:t>
            </w:r>
          </w:p>
        </w:tc>
      </w:tr>
    </w:tbl>
    <w:p w14:paraId="254C7037">
      <w:pPr>
        <w:pStyle w:val="276"/>
        <w:widowControl w:val="0"/>
        <w:ind w:firstLine="480"/>
        <w:jc w:val="both"/>
        <w:rPr>
          <w:iCs/>
          <w:color w:val="auto"/>
          <w:kern w:val="2"/>
          <w:lang w:val="zh-CN" w:bidi="zh-CN"/>
        </w:rPr>
      </w:pPr>
      <w:r>
        <w:rPr>
          <w:iCs/>
          <w:color w:val="auto"/>
          <w:kern w:val="2"/>
          <w:lang w:val="zh-CN" w:bidi="zh-CN"/>
        </w:rPr>
        <w:t>根据以上分析，本项目符合《黑龙江省人民政府办公厅关于建设占用耕地耕作层土壤剥离利用工作的指导意见（试行）》（黑政办规〔2021〕18号）中要求。</w:t>
      </w:r>
    </w:p>
    <w:p w14:paraId="0079B03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138" w:name="_Toc77667242"/>
      <w:bookmarkStart w:id="139" w:name="_Toc69690765"/>
      <w:bookmarkStart w:id="140" w:name="_Toc138486401"/>
      <w:bookmarkStart w:id="141" w:name="_Toc67523547"/>
      <w:bookmarkStart w:id="142" w:name="_Toc141283166"/>
      <w:bookmarkStart w:id="143" w:name="_Toc138604879"/>
      <w:bookmarkStart w:id="144" w:name="_Toc74812269"/>
      <w:bookmarkStart w:id="145" w:name="_Toc71371898"/>
      <w:r>
        <w:rPr>
          <w:rFonts w:ascii="宋体" w:hAnsi="宋体" w:eastAsia="宋体" w:cs="Times New Roman"/>
          <w:b/>
          <w:bCs/>
          <w:color w:val="auto"/>
          <w:szCs w:val="28"/>
        </w:rPr>
        <w:t>与《钻前工程及井场布置技术要求》（SY/T5466-2013）符合性分析</w:t>
      </w:r>
      <w:bookmarkEnd w:id="138"/>
      <w:bookmarkEnd w:id="139"/>
      <w:bookmarkEnd w:id="140"/>
      <w:bookmarkEnd w:id="141"/>
      <w:bookmarkEnd w:id="142"/>
      <w:bookmarkEnd w:id="143"/>
      <w:bookmarkEnd w:id="144"/>
      <w:bookmarkEnd w:id="145"/>
    </w:p>
    <w:p w14:paraId="2876F7AB">
      <w:pPr>
        <w:pStyle w:val="276"/>
        <w:widowControl w:val="0"/>
        <w:ind w:firstLine="480"/>
        <w:jc w:val="both"/>
        <w:rPr>
          <w:iCs/>
          <w:color w:val="auto"/>
          <w:kern w:val="2"/>
          <w:lang w:val="zh-CN" w:bidi="zh-CN"/>
        </w:rPr>
      </w:pPr>
      <w:r>
        <w:rPr>
          <w:iCs/>
          <w:color w:val="auto"/>
          <w:kern w:val="2"/>
          <w:lang w:val="zh-CN" w:bidi="zh-CN"/>
        </w:rPr>
        <w:t>本项目与</w:t>
      </w:r>
      <w:r>
        <w:rPr>
          <w:rFonts w:hint="eastAsia"/>
          <w:iCs/>
          <w:color w:val="auto"/>
          <w:kern w:val="2"/>
          <w:lang w:val="zh-CN" w:bidi="zh-CN"/>
        </w:rPr>
        <w:t>《钻前工程及井场布置技术要求》（SY/T5466-2013）</w:t>
      </w:r>
      <w:r>
        <w:rPr>
          <w:iCs/>
          <w:color w:val="auto"/>
          <w:kern w:val="2"/>
          <w:lang w:val="zh-CN" w:bidi="zh-CN"/>
        </w:rPr>
        <w:t>符合性分析见</w:t>
      </w:r>
      <w:r>
        <w:rPr>
          <w:iCs/>
          <w:color w:val="auto"/>
          <w:kern w:val="2"/>
          <w:lang w:val="zh-CN" w:bidi="zh-CN"/>
        </w:rPr>
        <w:fldChar w:fldCharType="begin"/>
      </w:r>
      <w:r>
        <w:rPr>
          <w:iCs/>
          <w:color w:val="auto"/>
          <w:kern w:val="2"/>
          <w:lang w:val="zh-CN" w:bidi="zh-CN"/>
        </w:rPr>
        <w:instrText xml:space="preserve"> REF _Ref211957330 \h  \* MERGEFORMAT </w:instrText>
      </w:r>
      <w:r>
        <w:rPr>
          <w:iCs/>
          <w:color w:val="auto"/>
          <w:kern w:val="2"/>
          <w:lang w:val="zh-CN" w:bidi="zh-CN"/>
        </w:rPr>
        <w:fldChar w:fldCharType="separate"/>
      </w:r>
      <w:r>
        <w:rPr>
          <w:rFonts w:hint="eastAsia"/>
          <w:color w:val="auto"/>
        </w:rPr>
        <w:t xml:space="preserve">表 </w:t>
      </w:r>
      <w:r>
        <w:rPr>
          <w:color w:val="auto"/>
        </w:rPr>
        <w:t>1.4</w:t>
      </w:r>
      <w:r>
        <w:rPr>
          <w:color w:val="auto"/>
        </w:rPr>
        <w:noBreakHyphen/>
      </w:r>
      <w:r>
        <w:rPr>
          <w:color w:val="auto"/>
        </w:rPr>
        <w:t>15</w:t>
      </w:r>
      <w:r>
        <w:rPr>
          <w:iCs/>
          <w:color w:val="auto"/>
          <w:kern w:val="2"/>
          <w:lang w:val="zh-CN" w:bidi="zh-CN"/>
        </w:rPr>
        <w:fldChar w:fldCharType="end"/>
      </w:r>
      <w:r>
        <w:rPr>
          <w:iCs/>
          <w:color w:val="auto"/>
          <w:kern w:val="2"/>
          <w:lang w:val="zh-CN" w:bidi="zh-CN"/>
        </w:rPr>
        <w:t>。</w:t>
      </w:r>
    </w:p>
    <w:p w14:paraId="1D022F34">
      <w:pPr>
        <w:pStyle w:val="22"/>
        <w:spacing w:before="156"/>
        <w:rPr>
          <w:color w:val="auto"/>
        </w:rPr>
      </w:pPr>
      <w:bookmarkStart w:id="146" w:name="_Ref211957330"/>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15</w:t>
      </w:r>
      <w:r>
        <w:rPr>
          <w:color w:val="auto"/>
        </w:rPr>
        <w:fldChar w:fldCharType="end"/>
      </w:r>
      <w:bookmarkEnd w:id="146"/>
      <w:r>
        <w:rPr>
          <w:color w:val="auto"/>
        </w:rPr>
        <w:t>项目与《钻前工程及井场布置技术要求》符合性分析</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0"/>
        <w:gridCol w:w="16"/>
        <w:gridCol w:w="2097"/>
        <w:gridCol w:w="6040"/>
        <w:gridCol w:w="497"/>
      </w:tblGrid>
      <w:tr w14:paraId="0BB7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7" w:type="pct"/>
            <w:shd w:val="clear" w:color="auto" w:fill="auto"/>
            <w:vAlign w:val="center"/>
          </w:tcPr>
          <w:p w14:paraId="77D98E4B">
            <w:pPr>
              <w:jc w:val="center"/>
              <w:rPr>
                <w:rFonts w:ascii="宋体" w:hAnsi="宋体" w:eastAsia="宋体" w:cs="Times New Roman"/>
                <w:color w:val="auto"/>
              </w:rPr>
            </w:pPr>
            <w:r>
              <w:rPr>
                <w:rFonts w:ascii="宋体" w:hAnsi="宋体" w:eastAsia="宋体" w:cs="Times New Roman"/>
                <w:color w:val="auto"/>
              </w:rPr>
              <w:t>序号</w:t>
            </w:r>
          </w:p>
        </w:tc>
        <w:tc>
          <w:tcPr>
            <w:tcW w:w="1163" w:type="pct"/>
            <w:gridSpan w:val="2"/>
            <w:shd w:val="clear" w:color="auto" w:fill="auto"/>
            <w:vAlign w:val="center"/>
          </w:tcPr>
          <w:p w14:paraId="7034BA1F">
            <w:pPr>
              <w:jc w:val="center"/>
              <w:rPr>
                <w:rFonts w:ascii="宋体" w:hAnsi="宋体" w:eastAsia="宋体" w:cs="Times New Roman"/>
                <w:color w:val="auto"/>
              </w:rPr>
            </w:pPr>
            <w:r>
              <w:rPr>
                <w:rFonts w:ascii="宋体" w:hAnsi="宋体" w:eastAsia="宋体" w:cs="Times New Roman"/>
                <w:color w:val="auto"/>
              </w:rPr>
              <w:t>文件要求</w:t>
            </w:r>
          </w:p>
        </w:tc>
        <w:tc>
          <w:tcPr>
            <w:tcW w:w="3326" w:type="pct"/>
            <w:shd w:val="clear" w:color="auto" w:fill="auto"/>
            <w:vAlign w:val="center"/>
          </w:tcPr>
          <w:p w14:paraId="31D5203D">
            <w:pPr>
              <w:jc w:val="center"/>
              <w:rPr>
                <w:rFonts w:ascii="宋体" w:hAnsi="宋体" w:eastAsia="宋体" w:cs="Times New Roman"/>
                <w:color w:val="auto"/>
              </w:rPr>
            </w:pPr>
            <w:r>
              <w:rPr>
                <w:rFonts w:ascii="宋体" w:hAnsi="宋体" w:eastAsia="宋体" w:cs="Times New Roman"/>
                <w:color w:val="auto"/>
              </w:rPr>
              <w:t>拟建项目情况</w:t>
            </w:r>
          </w:p>
        </w:tc>
        <w:tc>
          <w:tcPr>
            <w:tcW w:w="274" w:type="pct"/>
            <w:shd w:val="clear" w:color="auto" w:fill="auto"/>
            <w:vAlign w:val="center"/>
          </w:tcPr>
          <w:p w14:paraId="58428A11">
            <w:pPr>
              <w:jc w:val="center"/>
              <w:rPr>
                <w:rFonts w:ascii="宋体" w:hAnsi="宋体" w:eastAsia="宋体" w:cs="Times New Roman"/>
                <w:color w:val="auto"/>
              </w:rPr>
            </w:pPr>
            <w:r>
              <w:rPr>
                <w:rFonts w:ascii="宋体" w:hAnsi="宋体" w:eastAsia="宋体" w:cs="Times New Roman"/>
                <w:color w:val="auto"/>
              </w:rPr>
              <w:t>符合性</w:t>
            </w:r>
          </w:p>
        </w:tc>
      </w:tr>
      <w:tr w14:paraId="1D24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7" w:type="pct"/>
            <w:shd w:val="clear" w:color="auto" w:fill="auto"/>
            <w:vAlign w:val="center"/>
          </w:tcPr>
          <w:p w14:paraId="1D9E93F6">
            <w:pPr>
              <w:jc w:val="center"/>
              <w:rPr>
                <w:rFonts w:ascii="宋体" w:hAnsi="宋体" w:eastAsia="宋体" w:cs="Times New Roman"/>
                <w:color w:val="auto"/>
              </w:rPr>
            </w:pPr>
            <w:r>
              <w:rPr>
                <w:rFonts w:ascii="宋体" w:hAnsi="宋体" w:eastAsia="宋体" w:cs="Times New Roman"/>
                <w:color w:val="auto"/>
              </w:rPr>
              <w:t>1</w:t>
            </w:r>
          </w:p>
        </w:tc>
        <w:tc>
          <w:tcPr>
            <w:tcW w:w="1163" w:type="pct"/>
            <w:gridSpan w:val="2"/>
            <w:shd w:val="clear" w:color="auto" w:fill="auto"/>
            <w:vAlign w:val="center"/>
          </w:tcPr>
          <w:p w14:paraId="679EFBAA">
            <w:pPr>
              <w:jc w:val="center"/>
              <w:rPr>
                <w:rFonts w:ascii="宋体" w:hAnsi="宋体" w:eastAsia="宋体" w:cs="Times New Roman"/>
                <w:color w:val="auto"/>
              </w:rPr>
            </w:pPr>
            <w:r>
              <w:rPr>
                <w:rFonts w:ascii="宋体" w:hAnsi="宋体" w:eastAsia="宋体" w:cs="Times New Roman"/>
                <w:color w:val="auto"/>
              </w:rPr>
              <w:t>根据自然环境、钻机类型及钻井工艺要求确定钻井设备安放位置。</w:t>
            </w:r>
          </w:p>
        </w:tc>
        <w:tc>
          <w:tcPr>
            <w:tcW w:w="3326" w:type="pct"/>
            <w:shd w:val="clear" w:color="auto" w:fill="auto"/>
            <w:vAlign w:val="center"/>
          </w:tcPr>
          <w:p w14:paraId="5929848B">
            <w:pPr>
              <w:jc w:val="center"/>
              <w:rPr>
                <w:rFonts w:ascii="宋体" w:hAnsi="宋体" w:eastAsia="宋体" w:cs="Times New Roman"/>
                <w:color w:val="auto"/>
              </w:rPr>
            </w:pPr>
            <w:r>
              <w:rPr>
                <w:rFonts w:ascii="宋体" w:hAnsi="宋体" w:eastAsia="宋体" w:cs="Times New Roman"/>
                <w:color w:val="auto"/>
              </w:rPr>
              <w:t>本项目位于大庆市，钻机型号为</w:t>
            </w:r>
            <w:r>
              <w:rPr>
                <w:rFonts w:hint="eastAsia" w:ascii="宋体" w:hAnsi="宋体" w:eastAsia="宋体" w:cs="Times New Roman"/>
                <w:color w:val="auto"/>
              </w:rPr>
              <w:t xml:space="preserve">ZJ-40D/2250 </w:t>
            </w:r>
            <w:r>
              <w:rPr>
                <w:rFonts w:ascii="宋体" w:hAnsi="宋体" w:eastAsia="宋体" w:cs="Times New Roman"/>
                <w:color w:val="auto"/>
              </w:rPr>
              <w:t>型钻机，占地类型主要为耕地（基本农田和一般耕地）和草地（一般草地），钻井设备施工期摆放至远离村屯的位置。</w:t>
            </w:r>
          </w:p>
        </w:tc>
        <w:tc>
          <w:tcPr>
            <w:tcW w:w="274" w:type="pct"/>
            <w:shd w:val="clear" w:color="auto" w:fill="auto"/>
            <w:vAlign w:val="center"/>
          </w:tcPr>
          <w:p w14:paraId="28CEB5E5">
            <w:pPr>
              <w:jc w:val="center"/>
              <w:rPr>
                <w:rFonts w:ascii="宋体" w:hAnsi="宋体" w:eastAsia="宋体" w:cs="Times New Roman"/>
                <w:color w:val="auto"/>
              </w:rPr>
            </w:pPr>
            <w:r>
              <w:rPr>
                <w:rFonts w:ascii="宋体" w:hAnsi="宋体" w:eastAsia="宋体" w:cs="Times New Roman"/>
                <w:color w:val="auto"/>
              </w:rPr>
              <w:t>符合</w:t>
            </w:r>
          </w:p>
        </w:tc>
      </w:tr>
      <w:tr w14:paraId="66BC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7" w:type="pct"/>
            <w:shd w:val="clear" w:color="auto" w:fill="auto"/>
            <w:vAlign w:val="center"/>
          </w:tcPr>
          <w:p w14:paraId="27DF75DD">
            <w:pPr>
              <w:jc w:val="center"/>
              <w:rPr>
                <w:rFonts w:ascii="宋体" w:hAnsi="宋体" w:eastAsia="宋体" w:cs="Times New Roman"/>
                <w:color w:val="auto"/>
              </w:rPr>
            </w:pPr>
            <w:r>
              <w:rPr>
                <w:rFonts w:ascii="宋体" w:hAnsi="宋体" w:eastAsia="宋体" w:cs="Times New Roman"/>
                <w:color w:val="auto"/>
              </w:rPr>
              <w:t>2</w:t>
            </w:r>
          </w:p>
        </w:tc>
        <w:tc>
          <w:tcPr>
            <w:tcW w:w="1163" w:type="pct"/>
            <w:gridSpan w:val="2"/>
            <w:shd w:val="clear" w:color="auto" w:fill="auto"/>
            <w:vAlign w:val="center"/>
          </w:tcPr>
          <w:p w14:paraId="42B95C34">
            <w:pPr>
              <w:jc w:val="center"/>
              <w:rPr>
                <w:rFonts w:ascii="宋体" w:hAnsi="宋体" w:eastAsia="宋体" w:cs="Times New Roman"/>
                <w:color w:val="auto"/>
              </w:rPr>
            </w:pPr>
            <w:r>
              <w:rPr>
                <w:rFonts w:ascii="宋体" w:hAnsi="宋体" w:eastAsia="宋体" w:cs="Times New Roman"/>
                <w:color w:val="auto"/>
              </w:rPr>
              <w:t>井场应避开滑坡、泥石流等不良地质地段，在河滩、河滩地区应避开汛、潮期进行钻前施工。</w:t>
            </w:r>
          </w:p>
        </w:tc>
        <w:tc>
          <w:tcPr>
            <w:tcW w:w="3326" w:type="pct"/>
            <w:shd w:val="clear" w:color="auto" w:fill="auto"/>
            <w:vAlign w:val="center"/>
          </w:tcPr>
          <w:p w14:paraId="5C130437">
            <w:pPr>
              <w:jc w:val="center"/>
              <w:rPr>
                <w:rFonts w:ascii="宋体" w:hAnsi="宋体" w:eastAsia="宋体" w:cs="Times New Roman"/>
                <w:color w:val="auto"/>
              </w:rPr>
            </w:pPr>
            <w:r>
              <w:rPr>
                <w:rFonts w:ascii="宋体" w:hAnsi="宋体" w:eastAsia="宋体" w:cs="Times New Roman"/>
                <w:color w:val="auto"/>
              </w:rPr>
              <w:t>本项目位于松嫩平原中部，非滑坡、泥石流等不良地质地段。</w:t>
            </w:r>
          </w:p>
        </w:tc>
        <w:tc>
          <w:tcPr>
            <w:tcW w:w="274" w:type="pct"/>
            <w:shd w:val="clear" w:color="auto" w:fill="auto"/>
            <w:vAlign w:val="center"/>
          </w:tcPr>
          <w:p w14:paraId="60959D34">
            <w:pPr>
              <w:jc w:val="center"/>
              <w:rPr>
                <w:rFonts w:ascii="宋体" w:hAnsi="宋体" w:eastAsia="宋体" w:cs="Times New Roman"/>
                <w:color w:val="auto"/>
              </w:rPr>
            </w:pPr>
            <w:r>
              <w:rPr>
                <w:rFonts w:ascii="宋体" w:hAnsi="宋体" w:eastAsia="宋体" w:cs="Times New Roman"/>
                <w:color w:val="auto"/>
              </w:rPr>
              <w:t>符合</w:t>
            </w:r>
          </w:p>
        </w:tc>
      </w:tr>
      <w:tr w14:paraId="22F0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7" w:type="pct"/>
            <w:shd w:val="clear" w:color="auto" w:fill="auto"/>
            <w:vAlign w:val="center"/>
          </w:tcPr>
          <w:p w14:paraId="6EF75563">
            <w:pPr>
              <w:jc w:val="center"/>
              <w:rPr>
                <w:rFonts w:ascii="宋体" w:hAnsi="宋体" w:eastAsia="宋体" w:cs="Times New Roman"/>
                <w:color w:val="auto"/>
              </w:rPr>
            </w:pPr>
            <w:r>
              <w:rPr>
                <w:rFonts w:ascii="宋体" w:hAnsi="宋体" w:eastAsia="宋体" w:cs="Times New Roman"/>
                <w:color w:val="auto"/>
              </w:rPr>
              <w:t>3</w:t>
            </w:r>
          </w:p>
        </w:tc>
        <w:tc>
          <w:tcPr>
            <w:tcW w:w="1163" w:type="pct"/>
            <w:gridSpan w:val="2"/>
            <w:shd w:val="clear" w:color="auto" w:fill="auto"/>
            <w:vAlign w:val="center"/>
          </w:tcPr>
          <w:p w14:paraId="2193B5BF">
            <w:pPr>
              <w:jc w:val="center"/>
              <w:rPr>
                <w:rFonts w:ascii="宋体" w:hAnsi="宋体" w:eastAsia="宋体" w:cs="Times New Roman"/>
                <w:color w:val="auto"/>
              </w:rPr>
            </w:pPr>
            <w:r>
              <w:rPr>
                <w:rFonts w:ascii="宋体" w:hAnsi="宋体" w:eastAsia="宋体" w:cs="Times New Roman"/>
                <w:color w:val="auto"/>
              </w:rPr>
              <w:t>充分利用地形、节约用地，方便施工。</w:t>
            </w:r>
          </w:p>
        </w:tc>
        <w:tc>
          <w:tcPr>
            <w:tcW w:w="3326" w:type="pct"/>
            <w:shd w:val="clear" w:color="auto" w:fill="auto"/>
            <w:vAlign w:val="center"/>
          </w:tcPr>
          <w:p w14:paraId="3AB020C0">
            <w:pPr>
              <w:jc w:val="center"/>
              <w:rPr>
                <w:rFonts w:ascii="宋体" w:hAnsi="宋体" w:eastAsia="宋体" w:cs="Times New Roman"/>
                <w:color w:val="auto"/>
                <w:szCs w:val="20"/>
              </w:rPr>
            </w:pPr>
            <w:r>
              <w:rPr>
                <w:rFonts w:ascii="宋体" w:hAnsi="宋体" w:eastAsia="宋体" w:cs="Times New Roman"/>
                <w:color w:val="auto"/>
                <w:lang w:val="zh-CN"/>
              </w:rPr>
              <w:t>本项目在井位的选址和布局上根据“地下决定地上，地下顾及地上”的原则，新钻井位于</w:t>
            </w:r>
            <w:r>
              <w:rPr>
                <w:rFonts w:ascii="宋体" w:hAnsi="宋体" w:eastAsia="宋体" w:cs="Times New Roman"/>
                <w:color w:val="auto"/>
              </w:rPr>
              <w:t>1</w:t>
            </w:r>
            <w:r>
              <w:rPr>
                <w:rFonts w:ascii="宋体" w:hAnsi="宋体" w:eastAsia="宋体" w:cs="Times New Roman"/>
                <w:color w:val="auto"/>
                <w:lang w:val="zh-CN"/>
              </w:rPr>
              <w:t>座平台和</w:t>
            </w:r>
            <w:r>
              <w:rPr>
                <w:rFonts w:ascii="宋体" w:hAnsi="宋体" w:eastAsia="宋体" w:cs="Times New Roman"/>
                <w:color w:val="auto"/>
              </w:rPr>
              <w:t>4</w:t>
            </w:r>
            <w:r>
              <w:rPr>
                <w:rFonts w:ascii="宋体" w:hAnsi="宋体" w:eastAsia="宋体" w:cs="Times New Roman"/>
                <w:color w:val="auto"/>
                <w:lang w:val="zh-CN"/>
              </w:rPr>
              <w:t>口单井，采用了占地面积较小的方案</w:t>
            </w:r>
            <w:r>
              <w:rPr>
                <w:rFonts w:ascii="宋体" w:hAnsi="宋体" w:eastAsia="宋体" w:cs="Times New Roman"/>
                <w:color w:val="auto"/>
              </w:rPr>
              <w:t>。</w:t>
            </w:r>
          </w:p>
        </w:tc>
        <w:tc>
          <w:tcPr>
            <w:tcW w:w="274" w:type="pct"/>
            <w:shd w:val="clear" w:color="auto" w:fill="auto"/>
            <w:vAlign w:val="center"/>
          </w:tcPr>
          <w:p w14:paraId="11E540B7">
            <w:pPr>
              <w:jc w:val="center"/>
              <w:rPr>
                <w:rFonts w:ascii="宋体" w:hAnsi="宋体" w:eastAsia="宋体" w:cs="Times New Roman"/>
                <w:color w:val="auto"/>
              </w:rPr>
            </w:pPr>
            <w:r>
              <w:rPr>
                <w:rFonts w:ascii="宋体" w:hAnsi="宋体" w:eastAsia="宋体" w:cs="Times New Roman"/>
                <w:color w:val="auto"/>
              </w:rPr>
              <w:t>符合</w:t>
            </w:r>
          </w:p>
        </w:tc>
      </w:tr>
      <w:tr w14:paraId="30D4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7" w:type="pct"/>
            <w:shd w:val="clear" w:color="auto" w:fill="auto"/>
            <w:vAlign w:val="center"/>
          </w:tcPr>
          <w:p w14:paraId="7D8F29CA">
            <w:pPr>
              <w:jc w:val="center"/>
              <w:rPr>
                <w:rFonts w:ascii="宋体" w:hAnsi="宋体" w:eastAsia="宋体" w:cs="Times New Roman"/>
                <w:color w:val="auto"/>
              </w:rPr>
            </w:pPr>
            <w:r>
              <w:rPr>
                <w:rFonts w:ascii="宋体" w:hAnsi="宋体" w:eastAsia="宋体" w:cs="Times New Roman"/>
                <w:color w:val="auto"/>
              </w:rPr>
              <w:t>4</w:t>
            </w:r>
          </w:p>
        </w:tc>
        <w:tc>
          <w:tcPr>
            <w:tcW w:w="1163" w:type="pct"/>
            <w:gridSpan w:val="2"/>
            <w:shd w:val="clear" w:color="auto" w:fill="auto"/>
            <w:vAlign w:val="center"/>
          </w:tcPr>
          <w:p w14:paraId="78432496">
            <w:pPr>
              <w:jc w:val="center"/>
              <w:rPr>
                <w:rFonts w:ascii="宋体" w:hAnsi="宋体" w:eastAsia="宋体" w:cs="Times New Roman"/>
                <w:color w:val="auto"/>
              </w:rPr>
            </w:pPr>
            <w:r>
              <w:rPr>
                <w:rFonts w:ascii="宋体" w:hAnsi="宋体" w:eastAsia="宋体" w:cs="Times New Roman"/>
                <w:color w:val="auto"/>
              </w:rPr>
              <w:t>满足防洪、放喷、防爆、防火、防毒、防冻等安全要求。</w:t>
            </w:r>
          </w:p>
        </w:tc>
        <w:tc>
          <w:tcPr>
            <w:tcW w:w="3326" w:type="pct"/>
            <w:shd w:val="clear" w:color="auto" w:fill="auto"/>
            <w:vAlign w:val="center"/>
          </w:tcPr>
          <w:p w14:paraId="42DF9896">
            <w:pPr>
              <w:jc w:val="center"/>
              <w:rPr>
                <w:rFonts w:ascii="宋体" w:hAnsi="宋体" w:eastAsia="宋体" w:cs="Times New Roman"/>
                <w:color w:val="auto"/>
              </w:rPr>
            </w:pPr>
            <w:r>
              <w:rPr>
                <w:rFonts w:ascii="宋体" w:hAnsi="宋体" w:eastAsia="宋体" w:cs="Times New Roman"/>
                <w:color w:val="auto"/>
              </w:rPr>
              <w:t>项目钻井时安装防喷器，防止井喷事故发生，钻台下面和井口周围严禁堆放杂物和易燃品，机泵房下无积油，井场内严禁吸烟和动用明火，应有明显的防火标志。</w:t>
            </w:r>
          </w:p>
        </w:tc>
        <w:tc>
          <w:tcPr>
            <w:tcW w:w="274" w:type="pct"/>
            <w:shd w:val="clear" w:color="auto" w:fill="auto"/>
            <w:vAlign w:val="center"/>
          </w:tcPr>
          <w:p w14:paraId="16ED8358">
            <w:pPr>
              <w:jc w:val="center"/>
              <w:rPr>
                <w:rFonts w:ascii="宋体" w:hAnsi="宋体" w:eastAsia="宋体" w:cs="Times New Roman"/>
                <w:color w:val="auto"/>
              </w:rPr>
            </w:pPr>
            <w:r>
              <w:rPr>
                <w:rFonts w:ascii="宋体" w:hAnsi="宋体" w:eastAsia="宋体" w:cs="Times New Roman"/>
                <w:color w:val="auto"/>
              </w:rPr>
              <w:t>符合</w:t>
            </w:r>
          </w:p>
        </w:tc>
      </w:tr>
      <w:tr w14:paraId="5D7C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 w:type="pct"/>
            <w:gridSpan w:val="2"/>
            <w:shd w:val="clear" w:color="auto" w:fill="auto"/>
            <w:vAlign w:val="center"/>
          </w:tcPr>
          <w:p w14:paraId="625BD9BB">
            <w:pPr>
              <w:jc w:val="center"/>
              <w:rPr>
                <w:rFonts w:ascii="宋体" w:hAnsi="宋体" w:eastAsia="宋体" w:cs="Times New Roman"/>
                <w:color w:val="auto"/>
              </w:rPr>
            </w:pPr>
            <w:r>
              <w:rPr>
                <w:rFonts w:ascii="宋体" w:hAnsi="宋体" w:eastAsia="宋体" w:cs="Times New Roman"/>
                <w:color w:val="auto"/>
              </w:rPr>
              <w:t>5</w:t>
            </w:r>
          </w:p>
        </w:tc>
        <w:tc>
          <w:tcPr>
            <w:tcW w:w="1155" w:type="pct"/>
            <w:shd w:val="clear" w:color="auto" w:fill="auto"/>
            <w:vAlign w:val="center"/>
          </w:tcPr>
          <w:p w14:paraId="78BCC8ED">
            <w:pPr>
              <w:jc w:val="center"/>
              <w:rPr>
                <w:rFonts w:ascii="宋体" w:hAnsi="宋体" w:eastAsia="宋体" w:cs="Times New Roman"/>
                <w:color w:val="auto"/>
              </w:rPr>
            </w:pPr>
            <w:r>
              <w:rPr>
                <w:rFonts w:ascii="宋体" w:hAnsi="宋体" w:eastAsia="宋体" w:cs="Times New Roman"/>
                <w:color w:val="auto"/>
              </w:rPr>
              <w:t>有利废弃物回收处理、声光屏蔽等，防治环境污染。</w:t>
            </w:r>
          </w:p>
        </w:tc>
        <w:tc>
          <w:tcPr>
            <w:tcW w:w="3326" w:type="pct"/>
            <w:shd w:val="clear" w:color="auto" w:fill="auto"/>
            <w:vAlign w:val="center"/>
          </w:tcPr>
          <w:p w14:paraId="7D751ECF">
            <w:pPr>
              <w:jc w:val="center"/>
              <w:rPr>
                <w:rFonts w:ascii="宋体" w:hAnsi="宋体" w:eastAsia="宋体" w:cs="Times New Roman"/>
                <w:color w:val="auto"/>
              </w:rPr>
            </w:pPr>
            <w:r>
              <w:rPr>
                <w:rFonts w:ascii="宋体" w:hAnsi="宋体" w:eastAsia="宋体" w:cs="Times New Roman"/>
                <w:color w:val="auto"/>
              </w:rPr>
              <w:t>本项目施工期水基废钻井液、水基钻井岩屑和不含油射孔液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处理后的泥饼外售给大庆钻探工程公司钻井二公司综合利用垫井场或铺路；油基废钻井液、油基钻井岩屑和含油废射孔液排入井场设置的油基钢制泥浆槽，委托有危废处理资质的黑龙江迈景环保科技有限公司处理满足《油田含油污泥处置与利用污染控制要求》（DB23/T 3104-2022）表1中的限值要求后</w:t>
            </w:r>
            <w:r>
              <w:rPr>
                <w:rFonts w:hint="eastAsia" w:ascii="宋体" w:hAnsi="宋体" w:eastAsia="宋体" w:cs="Times New Roman"/>
                <w:color w:val="auto"/>
                <w:kern w:val="21"/>
              </w:rPr>
              <w:t>综合利用</w:t>
            </w:r>
            <w:r>
              <w:rPr>
                <w:rFonts w:ascii="宋体" w:hAnsi="宋体" w:eastAsia="宋体" w:cs="Times New Roman"/>
                <w:color w:val="auto"/>
              </w:rPr>
              <w:t>；</w:t>
            </w:r>
            <w:r>
              <w:rPr>
                <w:rFonts w:hint="eastAsia" w:ascii="宋体" w:hAnsi="宋体" w:eastAsia="宋体" w:cs="Times New Roman"/>
                <w:color w:val="auto"/>
              </w:rPr>
              <w:t>施工期产生的</w:t>
            </w:r>
            <w:r>
              <w:rPr>
                <w:rFonts w:ascii="宋体" w:hAnsi="宋体" w:eastAsia="宋体" w:cs="Times New Roman"/>
                <w:color w:val="auto"/>
              </w:rPr>
              <w:t>膨润土、纯碱、重晶石粉废包装袋、施工废料</w:t>
            </w:r>
            <w:r>
              <w:rPr>
                <w:rFonts w:hint="eastAsia" w:ascii="宋体" w:hAnsi="宋体" w:eastAsia="宋体" w:cs="Times New Roman"/>
                <w:color w:val="auto"/>
              </w:rPr>
              <w:t>、含油防渗布、建筑垃圾、试油产生的落地油以及运营期产生的含油污泥、落地油、含油防渗布等固体废物均得到有效处置</w:t>
            </w:r>
            <w:r>
              <w:rPr>
                <w:rFonts w:ascii="宋体" w:hAnsi="宋体" w:eastAsia="宋体" w:cs="Times New Roman"/>
                <w:color w:val="auto"/>
              </w:rPr>
              <w:t>。施工过程中产生的噪声主要为重型车辆沿途产生的噪声及钻机振动产生的噪声污染。合理安排施工时间，尽量避免大量高噪声设备同时施工；合理布置施工现场，尽量将高噪声机械布置远离环境敏感点一侧，同时，避免在同一地点安排较多的动力机械；选用低噪声设备，平时注意设备维护和保养，避免设备不正常运行产生的高噪声；运输车辆选择避开居民点路线，尽量不鸣笛。</w:t>
            </w:r>
          </w:p>
        </w:tc>
        <w:tc>
          <w:tcPr>
            <w:tcW w:w="274" w:type="pct"/>
            <w:shd w:val="clear" w:color="auto" w:fill="auto"/>
            <w:vAlign w:val="center"/>
          </w:tcPr>
          <w:p w14:paraId="112BEF00">
            <w:pPr>
              <w:jc w:val="center"/>
              <w:rPr>
                <w:rFonts w:ascii="宋体" w:hAnsi="宋体" w:eastAsia="宋体" w:cs="Times New Roman"/>
                <w:color w:val="auto"/>
              </w:rPr>
            </w:pPr>
            <w:r>
              <w:rPr>
                <w:rFonts w:ascii="宋体" w:hAnsi="宋体" w:eastAsia="宋体" w:cs="Times New Roman"/>
                <w:color w:val="auto"/>
              </w:rPr>
              <w:t>符合</w:t>
            </w:r>
          </w:p>
        </w:tc>
      </w:tr>
    </w:tbl>
    <w:p w14:paraId="102B265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147" w:name="_Toc143099534"/>
      <w:r>
        <w:rPr>
          <w:rFonts w:ascii="宋体" w:hAnsi="宋体" w:eastAsia="宋体" w:cs="Times New Roman"/>
          <w:b/>
          <w:bCs/>
          <w:color w:val="auto"/>
          <w:szCs w:val="28"/>
        </w:rPr>
        <w:t>与《陆上石油天然气开采业绿色矿山建设规范》（DZ∕T 0317-2018）符合性判定</w:t>
      </w:r>
    </w:p>
    <w:p w14:paraId="626BC03C">
      <w:pPr>
        <w:pStyle w:val="276"/>
        <w:widowControl w:val="0"/>
        <w:ind w:firstLine="480"/>
        <w:jc w:val="both"/>
        <w:rPr>
          <w:color w:val="auto"/>
          <w:lang w:bidi="zh-CN"/>
        </w:rPr>
      </w:pPr>
      <w:r>
        <w:rPr>
          <w:color w:val="auto"/>
          <w:lang w:bidi="zh-CN"/>
        </w:rPr>
        <w:t>本项目与</w:t>
      </w:r>
      <w:r>
        <w:rPr>
          <w:snapToGrid w:val="0"/>
          <w:color w:val="auto"/>
        </w:rPr>
        <w:t>《陆上石油天然气开采业绿色矿山建设规范》</w:t>
      </w:r>
      <w:r>
        <w:rPr>
          <w:color w:val="auto"/>
          <w:lang w:bidi="zh-CN"/>
        </w:rPr>
        <w:t>符合性分析见</w:t>
      </w:r>
      <w:r>
        <w:rPr>
          <w:color w:val="auto"/>
          <w:lang w:bidi="zh-CN"/>
        </w:rPr>
        <w:fldChar w:fldCharType="begin"/>
      </w:r>
      <w:r>
        <w:rPr>
          <w:color w:val="auto"/>
          <w:lang w:bidi="zh-CN"/>
        </w:rPr>
        <w:instrText xml:space="preserve"> REF _Ref211957338 \h  \* MERGEFORMAT </w:instrText>
      </w:r>
      <w:r>
        <w:rPr>
          <w:color w:val="auto"/>
          <w:lang w:bidi="zh-CN"/>
        </w:rPr>
        <w:fldChar w:fldCharType="separate"/>
      </w:r>
      <w:r>
        <w:rPr>
          <w:rFonts w:hint="eastAsia"/>
          <w:color w:val="auto"/>
        </w:rPr>
        <w:t xml:space="preserve">表 </w:t>
      </w:r>
      <w:r>
        <w:rPr>
          <w:color w:val="auto"/>
        </w:rPr>
        <w:t>1.4</w:t>
      </w:r>
      <w:r>
        <w:rPr>
          <w:color w:val="auto"/>
        </w:rPr>
        <w:noBreakHyphen/>
      </w:r>
      <w:r>
        <w:rPr>
          <w:color w:val="auto"/>
        </w:rPr>
        <w:t>16</w:t>
      </w:r>
      <w:r>
        <w:rPr>
          <w:color w:val="auto"/>
          <w:lang w:bidi="zh-CN"/>
        </w:rPr>
        <w:fldChar w:fldCharType="end"/>
      </w:r>
      <w:r>
        <w:rPr>
          <w:color w:val="auto"/>
          <w:lang w:bidi="zh-CN"/>
        </w:rPr>
        <w:t>。</w:t>
      </w:r>
    </w:p>
    <w:p w14:paraId="5ABAA0B3">
      <w:pPr>
        <w:pStyle w:val="22"/>
        <w:spacing w:before="156"/>
        <w:rPr>
          <w:color w:val="auto"/>
        </w:rPr>
      </w:pPr>
      <w:bookmarkStart w:id="148" w:name="_Ref21195733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16</w:t>
      </w:r>
      <w:r>
        <w:rPr>
          <w:color w:val="auto"/>
        </w:rPr>
        <w:fldChar w:fldCharType="end"/>
      </w:r>
      <w:bookmarkEnd w:id="148"/>
      <w:r>
        <w:rPr>
          <w:color w:val="auto"/>
        </w:rPr>
        <w:t>与《陆上石油天然气开采业绿色矿山建设规范》相关要求符合性判定</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3618"/>
        <w:gridCol w:w="4117"/>
        <w:gridCol w:w="992"/>
      </w:tblGrid>
      <w:tr w14:paraId="0F95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44B3EA3D">
            <w:pPr>
              <w:adjustRightInd w:val="0"/>
              <w:snapToGrid w:val="0"/>
              <w:jc w:val="center"/>
              <w:rPr>
                <w:rFonts w:ascii="宋体" w:hAnsi="宋体" w:eastAsia="宋体" w:cs="Times New Roman"/>
                <w:color w:val="auto"/>
              </w:rPr>
            </w:pPr>
            <w:r>
              <w:rPr>
                <w:rFonts w:ascii="宋体" w:hAnsi="宋体" w:eastAsia="宋体" w:cs="Times New Roman"/>
                <w:color w:val="auto"/>
              </w:rPr>
              <w:t>序号</w:t>
            </w:r>
          </w:p>
        </w:tc>
        <w:tc>
          <w:tcPr>
            <w:tcW w:w="1948" w:type="pct"/>
            <w:shd w:val="clear" w:color="auto" w:fill="auto"/>
            <w:vAlign w:val="center"/>
          </w:tcPr>
          <w:p w14:paraId="452DFFA0">
            <w:pPr>
              <w:adjustRightInd w:val="0"/>
              <w:snapToGrid w:val="0"/>
              <w:jc w:val="center"/>
              <w:rPr>
                <w:rFonts w:ascii="宋体" w:hAnsi="宋体" w:eastAsia="宋体" w:cs="Times New Roman"/>
                <w:color w:val="auto"/>
              </w:rPr>
            </w:pPr>
            <w:r>
              <w:rPr>
                <w:rFonts w:ascii="宋体" w:hAnsi="宋体" w:eastAsia="宋体" w:cs="Times New Roman"/>
                <w:color w:val="auto"/>
              </w:rPr>
              <w:t>相关要求</w:t>
            </w:r>
          </w:p>
        </w:tc>
        <w:tc>
          <w:tcPr>
            <w:tcW w:w="2217" w:type="pct"/>
            <w:shd w:val="clear" w:color="auto" w:fill="auto"/>
            <w:vAlign w:val="center"/>
          </w:tcPr>
          <w:p w14:paraId="10B47252">
            <w:pPr>
              <w:adjustRightInd w:val="0"/>
              <w:snapToGrid w:val="0"/>
              <w:jc w:val="center"/>
              <w:rPr>
                <w:rFonts w:ascii="宋体" w:hAnsi="宋体" w:eastAsia="宋体" w:cs="Times New Roman"/>
                <w:color w:val="auto"/>
              </w:rPr>
            </w:pPr>
            <w:r>
              <w:rPr>
                <w:rFonts w:ascii="宋体" w:hAnsi="宋体" w:eastAsia="宋体" w:cs="Times New Roman"/>
                <w:color w:val="auto"/>
              </w:rPr>
              <w:t>符合性分析</w:t>
            </w:r>
          </w:p>
        </w:tc>
        <w:tc>
          <w:tcPr>
            <w:tcW w:w="534" w:type="pct"/>
            <w:shd w:val="clear" w:color="auto" w:fill="auto"/>
            <w:vAlign w:val="center"/>
          </w:tcPr>
          <w:p w14:paraId="75927B6B">
            <w:pPr>
              <w:adjustRightInd w:val="0"/>
              <w:snapToGrid w:val="0"/>
              <w:jc w:val="center"/>
              <w:rPr>
                <w:rFonts w:ascii="宋体" w:hAnsi="宋体" w:eastAsia="宋体" w:cs="Times New Roman"/>
                <w:color w:val="auto"/>
              </w:rPr>
            </w:pPr>
            <w:r>
              <w:rPr>
                <w:rFonts w:ascii="宋体" w:hAnsi="宋体" w:eastAsia="宋体" w:cs="Times New Roman"/>
                <w:color w:val="auto"/>
              </w:rPr>
              <w:t>符合性</w:t>
            </w:r>
          </w:p>
        </w:tc>
      </w:tr>
      <w:tr w14:paraId="2955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7BBE19ED">
            <w:pPr>
              <w:adjustRightInd w:val="0"/>
              <w:snapToGrid w:val="0"/>
              <w:jc w:val="center"/>
              <w:rPr>
                <w:rFonts w:ascii="宋体" w:hAnsi="宋体" w:eastAsia="宋体" w:cs="Times New Roman"/>
                <w:color w:val="auto"/>
              </w:rPr>
            </w:pPr>
            <w:r>
              <w:rPr>
                <w:rFonts w:ascii="宋体" w:hAnsi="宋体" w:eastAsia="宋体" w:cs="Times New Roman"/>
                <w:color w:val="auto"/>
              </w:rPr>
              <w:t>1</w:t>
            </w:r>
          </w:p>
        </w:tc>
        <w:tc>
          <w:tcPr>
            <w:tcW w:w="1948" w:type="pct"/>
            <w:shd w:val="clear" w:color="auto" w:fill="auto"/>
            <w:vAlign w:val="center"/>
          </w:tcPr>
          <w:p w14:paraId="46F58658">
            <w:pPr>
              <w:adjustRightInd w:val="0"/>
              <w:snapToGrid w:val="0"/>
              <w:jc w:val="center"/>
              <w:rPr>
                <w:rFonts w:ascii="宋体" w:hAnsi="宋体" w:eastAsia="宋体" w:cs="Times New Roman"/>
                <w:color w:val="auto"/>
              </w:rPr>
            </w:pPr>
            <w:r>
              <w:rPr>
                <w:rFonts w:ascii="宋体" w:hAnsi="宋体" w:eastAsia="宋体" w:cs="Times New Roman"/>
                <w:color w:val="auto"/>
              </w:rPr>
              <w:t>废液、废气、固体废物应建档分类管理，并清洁化、无害化处置，处置率应达到100%</w:t>
            </w:r>
          </w:p>
        </w:tc>
        <w:tc>
          <w:tcPr>
            <w:tcW w:w="2217" w:type="pct"/>
            <w:shd w:val="clear" w:color="auto" w:fill="auto"/>
            <w:vAlign w:val="center"/>
          </w:tcPr>
          <w:p w14:paraId="542FB183">
            <w:pPr>
              <w:adjustRightInd w:val="0"/>
              <w:snapToGrid w:val="0"/>
              <w:jc w:val="center"/>
              <w:rPr>
                <w:rFonts w:ascii="宋体" w:hAnsi="宋体" w:eastAsia="宋体" w:cs="Times New Roman"/>
                <w:color w:val="auto"/>
              </w:rPr>
            </w:pPr>
            <w:r>
              <w:rPr>
                <w:rFonts w:ascii="宋体" w:hAnsi="宋体" w:eastAsia="宋体" w:cs="Times New Roman"/>
                <w:color w:val="auto"/>
              </w:rPr>
              <w:t>本项目施工期及运营期废液、废气、固体废物均无害化处置，处置率100%，水基钻井废水、水基废钻井液、水基钻井岩屑和不含油废射孔液排入井场水基钢制泥浆槽中，及时拉运至大庆油田昆仑集团有限公司环保分公司处理。油基钻井废水、油基废钻井液、油基钻井岩屑和含油废射孔液排入井场设置的油基钢制泥浆槽，委托有危废处理资质的黑龙江迈景环保科技有限公司处理。压裂返排液由罐车拉运至朝一联压裂返排液无害化处理站处理后，管输进入朝一联含油污水处理站处理。膨润土、纯碱、重晶石粉废包装袋、施工废料经收集后拉运至第八采油厂工业固废填埋场处理；含油废防渗布集中收集暂存于第十采油厂综合固废储存库，定期委托有资质单位处理；生活垃圾统一收集拉运至肇源县利民城市垃圾处理有限公司</w:t>
            </w:r>
            <w:r>
              <w:rPr>
                <w:rFonts w:ascii="宋体" w:hAnsi="宋体" w:eastAsia="宋体" w:cs="Times New Roman"/>
                <w:color w:val="auto"/>
                <w:lang w:val="zh-CN"/>
              </w:rPr>
              <w:t>处理</w:t>
            </w:r>
            <w:r>
              <w:rPr>
                <w:rFonts w:ascii="宋体" w:hAnsi="宋体" w:eastAsia="宋体" w:cs="Times New Roman"/>
                <w:color w:val="auto"/>
              </w:rPr>
              <w:t>；封井建筑垃圾统一收集，委托清运至市政部门指定的建筑垃圾调配场处置；勘探井试油产生的落地油由罐车拉运至朝一联含油污泥处理站减量化处理后，再委托大庆博昕晶化科技有限公司处理。在采油井口安装了密封垫，拉油点储罐阀门、法兰等安装密封垫片，油井产液采用管线密闭集输进入拉油点储罐，拉油点储罐密闭收集储存产液，伴生气用于拉油点多功能储罐加热炉自耗，不外排，拉油点储罐储存过程中为密闭状态，采用罐车密闭拉运，可有效控制挥发性有机物无组织排放。</w:t>
            </w:r>
          </w:p>
        </w:tc>
        <w:tc>
          <w:tcPr>
            <w:tcW w:w="534" w:type="pct"/>
            <w:shd w:val="clear" w:color="auto" w:fill="auto"/>
            <w:vAlign w:val="center"/>
          </w:tcPr>
          <w:p w14:paraId="44B9DCBC">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68EE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6148399C">
            <w:pPr>
              <w:adjustRightInd w:val="0"/>
              <w:snapToGrid w:val="0"/>
              <w:jc w:val="center"/>
              <w:rPr>
                <w:rFonts w:ascii="宋体" w:hAnsi="宋体" w:eastAsia="宋体" w:cs="Times New Roman"/>
                <w:color w:val="auto"/>
              </w:rPr>
            </w:pPr>
            <w:r>
              <w:rPr>
                <w:rFonts w:ascii="宋体" w:hAnsi="宋体" w:eastAsia="宋体" w:cs="Times New Roman"/>
                <w:color w:val="auto"/>
              </w:rPr>
              <w:t>2</w:t>
            </w:r>
          </w:p>
        </w:tc>
        <w:tc>
          <w:tcPr>
            <w:tcW w:w="1948" w:type="pct"/>
            <w:shd w:val="clear" w:color="auto" w:fill="auto"/>
            <w:vAlign w:val="center"/>
          </w:tcPr>
          <w:p w14:paraId="2AD6FCB3">
            <w:pPr>
              <w:adjustRightInd w:val="0"/>
              <w:snapToGrid w:val="0"/>
              <w:jc w:val="center"/>
              <w:rPr>
                <w:rFonts w:ascii="宋体" w:hAnsi="宋体" w:eastAsia="宋体" w:cs="Times New Roman"/>
                <w:color w:val="auto"/>
              </w:rPr>
            </w:pPr>
            <w:r>
              <w:rPr>
                <w:rFonts w:ascii="宋体" w:hAnsi="宋体" w:eastAsia="宋体" w:cs="Times New Roman"/>
                <w:color w:val="auto"/>
              </w:rPr>
              <w:t>油气生产过程中的采出水应清洁处理后循环利用；不能循环利用的，应达标排放、回注或采取其他有效利用方式。</w:t>
            </w:r>
          </w:p>
        </w:tc>
        <w:tc>
          <w:tcPr>
            <w:tcW w:w="2217" w:type="pct"/>
            <w:shd w:val="clear" w:color="auto" w:fill="auto"/>
            <w:vAlign w:val="center"/>
          </w:tcPr>
          <w:p w14:paraId="14A92F81">
            <w:pPr>
              <w:adjustRightInd w:val="0"/>
              <w:snapToGrid w:val="0"/>
              <w:jc w:val="center"/>
              <w:rPr>
                <w:rFonts w:ascii="宋体" w:hAnsi="宋体" w:eastAsia="宋体" w:cs="Times New Roman"/>
                <w:color w:val="auto"/>
              </w:rPr>
            </w:pPr>
            <w:r>
              <w:rPr>
                <w:rFonts w:ascii="宋体" w:hAnsi="宋体" w:eastAsia="宋体" w:cs="Times New Roman"/>
                <w:color w:val="auto"/>
              </w:rPr>
              <w:t>本项目油田采出水由罐车拉运至朝二联含油污水处理站处理满足《大庆油田地面工程建设设计规定》（Q/SYDQ0639-2015）及《碎屑岩油藏注水水质指标技术要求及分析方法》（SY/T5329-2022）限值要求后回注油层，不外排。</w:t>
            </w:r>
          </w:p>
        </w:tc>
        <w:tc>
          <w:tcPr>
            <w:tcW w:w="534" w:type="pct"/>
            <w:shd w:val="clear" w:color="auto" w:fill="auto"/>
            <w:vAlign w:val="center"/>
          </w:tcPr>
          <w:p w14:paraId="39901E7D">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1AB6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1C9F9E98">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1948" w:type="pct"/>
            <w:shd w:val="clear" w:color="auto" w:fill="auto"/>
            <w:vAlign w:val="center"/>
          </w:tcPr>
          <w:p w14:paraId="3293E4D1">
            <w:pPr>
              <w:adjustRightInd w:val="0"/>
              <w:snapToGrid w:val="0"/>
              <w:jc w:val="center"/>
              <w:rPr>
                <w:rFonts w:ascii="宋体" w:hAnsi="宋体" w:eastAsia="宋体" w:cs="Times New Roman"/>
                <w:color w:val="auto"/>
              </w:rPr>
            </w:pPr>
            <w:r>
              <w:rPr>
                <w:rFonts w:ascii="宋体" w:hAnsi="宋体" w:eastAsia="宋体" w:cs="Times New Roman"/>
                <w:color w:val="auto"/>
              </w:rPr>
              <w:t>油气开采过程中产生的落地原油应及时全部回收。</w:t>
            </w:r>
          </w:p>
        </w:tc>
        <w:tc>
          <w:tcPr>
            <w:tcW w:w="2217" w:type="pct"/>
            <w:vMerge w:val="restart"/>
            <w:shd w:val="clear" w:color="auto" w:fill="auto"/>
            <w:vAlign w:val="center"/>
          </w:tcPr>
          <w:p w14:paraId="6EBDF738">
            <w:pPr>
              <w:adjustRightInd w:val="0"/>
              <w:snapToGrid w:val="0"/>
              <w:jc w:val="center"/>
              <w:rPr>
                <w:rFonts w:ascii="宋体" w:hAnsi="宋体" w:eastAsia="宋体" w:cs="Times New Roman"/>
                <w:color w:val="auto"/>
              </w:rPr>
            </w:pPr>
            <w:r>
              <w:rPr>
                <w:rFonts w:ascii="宋体" w:hAnsi="宋体" w:eastAsia="宋体" w:cs="Times New Roman"/>
                <w:color w:val="auto"/>
              </w:rPr>
              <w:t>本项目含油污泥及落地油全部回收，由罐车拉运至朝一联含油污泥处理站减量化处理后，再委托大庆博昕晶化科技有限公司处理满足《油田含油污泥处置与利用污染控制要求》（DB23/T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rFonts w:ascii="宋体" w:hAnsi="宋体" w:eastAsia="宋体" w:cs="Times New Roman"/>
                <w:color w:val="auto"/>
              </w:rPr>
              <w:t>。</w:t>
            </w:r>
          </w:p>
        </w:tc>
        <w:tc>
          <w:tcPr>
            <w:tcW w:w="534" w:type="pct"/>
            <w:vMerge w:val="restart"/>
            <w:shd w:val="clear" w:color="auto" w:fill="auto"/>
            <w:vAlign w:val="center"/>
          </w:tcPr>
          <w:p w14:paraId="08C2229F">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58BF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7644A34F">
            <w:pPr>
              <w:adjustRightInd w:val="0"/>
              <w:snapToGrid w:val="0"/>
              <w:jc w:val="center"/>
              <w:rPr>
                <w:rFonts w:ascii="宋体" w:hAnsi="宋体" w:eastAsia="宋体" w:cs="Times New Roman"/>
                <w:color w:val="auto"/>
              </w:rPr>
            </w:pPr>
            <w:r>
              <w:rPr>
                <w:rFonts w:ascii="宋体" w:hAnsi="宋体" w:eastAsia="宋体" w:cs="Times New Roman"/>
                <w:color w:val="auto"/>
              </w:rPr>
              <w:t>4</w:t>
            </w:r>
          </w:p>
        </w:tc>
        <w:tc>
          <w:tcPr>
            <w:tcW w:w="1948" w:type="pct"/>
            <w:shd w:val="clear" w:color="auto" w:fill="auto"/>
            <w:vAlign w:val="center"/>
          </w:tcPr>
          <w:p w14:paraId="423A11A6">
            <w:pPr>
              <w:adjustRightInd w:val="0"/>
              <w:snapToGrid w:val="0"/>
              <w:jc w:val="center"/>
              <w:rPr>
                <w:rFonts w:ascii="宋体" w:hAnsi="宋体" w:eastAsia="宋体" w:cs="Times New Roman"/>
                <w:color w:val="auto"/>
              </w:rPr>
            </w:pPr>
            <w:r>
              <w:rPr>
                <w:rFonts w:ascii="宋体" w:hAnsi="宋体" w:eastAsia="宋体" w:cs="Times New Roman"/>
                <w:color w:val="auto"/>
              </w:rPr>
              <w:t>油气开采过程中产生的含油污泥，采取技术措施进行原油回收处理和利用，处理后固体物含油率低于2%。</w:t>
            </w:r>
          </w:p>
        </w:tc>
        <w:tc>
          <w:tcPr>
            <w:tcW w:w="2217" w:type="pct"/>
            <w:vMerge w:val="continue"/>
            <w:shd w:val="clear" w:color="auto" w:fill="auto"/>
            <w:vAlign w:val="center"/>
          </w:tcPr>
          <w:p w14:paraId="48C3E233">
            <w:pPr>
              <w:adjustRightInd w:val="0"/>
              <w:snapToGrid w:val="0"/>
              <w:jc w:val="center"/>
              <w:rPr>
                <w:rFonts w:ascii="宋体" w:hAnsi="宋体" w:eastAsia="宋体" w:cs="Times New Roman"/>
                <w:color w:val="auto"/>
              </w:rPr>
            </w:pPr>
          </w:p>
        </w:tc>
        <w:tc>
          <w:tcPr>
            <w:tcW w:w="534" w:type="pct"/>
            <w:vMerge w:val="continue"/>
            <w:shd w:val="clear" w:color="auto" w:fill="auto"/>
            <w:vAlign w:val="center"/>
          </w:tcPr>
          <w:p w14:paraId="1DC990A7">
            <w:pPr>
              <w:adjustRightInd w:val="0"/>
              <w:snapToGrid w:val="0"/>
              <w:jc w:val="center"/>
              <w:rPr>
                <w:rFonts w:ascii="宋体" w:hAnsi="宋体" w:eastAsia="宋体" w:cs="Times New Roman"/>
                <w:color w:val="auto"/>
              </w:rPr>
            </w:pPr>
          </w:p>
        </w:tc>
      </w:tr>
    </w:tbl>
    <w:p w14:paraId="3467F9F1">
      <w:pPr>
        <w:pStyle w:val="276"/>
        <w:widowControl w:val="0"/>
        <w:ind w:firstLine="480"/>
        <w:jc w:val="both"/>
        <w:rPr>
          <w:color w:val="auto"/>
        </w:rPr>
      </w:pPr>
      <w:r>
        <w:rPr>
          <w:color w:val="auto"/>
        </w:rPr>
        <w:t>根据以上分析，本项目符合《陆上石油天然气开采业绿色矿山建设规范》（DZ∕T 0317-2018）中要求。</w:t>
      </w:r>
    </w:p>
    <w:p w14:paraId="13EC608E">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与《空气质量持续改善行动计划》（国发〔2023〕24号）符合性判定</w:t>
      </w:r>
    </w:p>
    <w:p w14:paraId="6E40DE6E">
      <w:pPr>
        <w:pStyle w:val="276"/>
        <w:widowControl w:val="0"/>
        <w:ind w:firstLine="480"/>
        <w:jc w:val="both"/>
        <w:rPr>
          <w:color w:val="auto"/>
          <w:lang w:bidi="zh-CN"/>
        </w:rPr>
      </w:pPr>
      <w:r>
        <w:rPr>
          <w:color w:val="auto"/>
          <w:lang w:bidi="zh-CN"/>
        </w:rPr>
        <w:t>本项目与《空气质量持续改善行动计划》（国发〔2023〕24号）符合性分析见</w:t>
      </w:r>
      <w:r>
        <w:rPr>
          <w:color w:val="auto"/>
          <w:lang w:bidi="zh-CN"/>
        </w:rPr>
        <w:fldChar w:fldCharType="begin"/>
      </w:r>
      <w:r>
        <w:rPr>
          <w:color w:val="auto"/>
          <w:lang w:bidi="zh-CN"/>
        </w:rPr>
        <w:instrText xml:space="preserve"> REF _Ref211957345 \h  \* MERGEFORMAT </w:instrText>
      </w:r>
      <w:r>
        <w:rPr>
          <w:color w:val="auto"/>
          <w:lang w:bidi="zh-CN"/>
        </w:rPr>
        <w:fldChar w:fldCharType="separate"/>
      </w:r>
      <w:r>
        <w:rPr>
          <w:rFonts w:hint="eastAsia"/>
          <w:color w:val="auto"/>
        </w:rPr>
        <w:t xml:space="preserve">表 </w:t>
      </w:r>
      <w:r>
        <w:rPr>
          <w:color w:val="auto"/>
        </w:rPr>
        <w:t>1.4</w:t>
      </w:r>
      <w:r>
        <w:rPr>
          <w:color w:val="auto"/>
        </w:rPr>
        <w:noBreakHyphen/>
      </w:r>
      <w:r>
        <w:rPr>
          <w:color w:val="auto"/>
        </w:rPr>
        <w:t>17</w:t>
      </w:r>
      <w:r>
        <w:rPr>
          <w:color w:val="auto"/>
          <w:lang w:bidi="zh-CN"/>
        </w:rPr>
        <w:fldChar w:fldCharType="end"/>
      </w:r>
      <w:r>
        <w:rPr>
          <w:color w:val="auto"/>
          <w:lang w:bidi="zh-CN"/>
        </w:rPr>
        <w:t>。</w:t>
      </w:r>
    </w:p>
    <w:p w14:paraId="49A220AA">
      <w:pPr>
        <w:pStyle w:val="22"/>
        <w:spacing w:before="156"/>
        <w:rPr>
          <w:rFonts w:hAnsi="宋体" w:cs="Times New Roman"/>
          <w:color w:val="auto"/>
        </w:rPr>
      </w:pPr>
      <w:bookmarkStart w:id="149" w:name="_Ref211957345"/>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17</w:t>
      </w:r>
      <w:r>
        <w:rPr>
          <w:color w:val="auto"/>
        </w:rPr>
        <w:fldChar w:fldCharType="end"/>
      </w:r>
      <w:bookmarkEnd w:id="149"/>
      <w:r>
        <w:rPr>
          <w:color w:val="auto"/>
        </w:rPr>
        <w:t>与《空气质量持续改善行动计划》相关要求符合性判定</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3796"/>
        <w:gridCol w:w="3939"/>
        <w:gridCol w:w="992"/>
      </w:tblGrid>
      <w:tr w14:paraId="3748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6BCBF997">
            <w:pPr>
              <w:adjustRightInd w:val="0"/>
              <w:snapToGrid w:val="0"/>
              <w:jc w:val="center"/>
              <w:rPr>
                <w:rFonts w:ascii="宋体" w:hAnsi="宋体" w:eastAsia="宋体" w:cs="Times New Roman"/>
                <w:color w:val="auto"/>
              </w:rPr>
            </w:pPr>
            <w:r>
              <w:rPr>
                <w:rFonts w:ascii="宋体" w:hAnsi="宋体" w:eastAsia="宋体" w:cs="Times New Roman"/>
                <w:color w:val="auto"/>
              </w:rPr>
              <w:t>序号</w:t>
            </w:r>
          </w:p>
        </w:tc>
        <w:tc>
          <w:tcPr>
            <w:tcW w:w="2044" w:type="pct"/>
            <w:shd w:val="clear" w:color="auto" w:fill="auto"/>
            <w:vAlign w:val="center"/>
          </w:tcPr>
          <w:p w14:paraId="0B32FBE9">
            <w:pPr>
              <w:adjustRightInd w:val="0"/>
              <w:snapToGrid w:val="0"/>
              <w:jc w:val="center"/>
              <w:rPr>
                <w:rFonts w:ascii="宋体" w:hAnsi="宋体" w:eastAsia="宋体" w:cs="Times New Roman"/>
                <w:color w:val="auto"/>
              </w:rPr>
            </w:pPr>
            <w:r>
              <w:rPr>
                <w:rFonts w:ascii="宋体" w:hAnsi="宋体" w:eastAsia="宋体" w:cs="Times New Roman"/>
                <w:color w:val="auto"/>
              </w:rPr>
              <w:t>相关要求</w:t>
            </w:r>
          </w:p>
        </w:tc>
        <w:tc>
          <w:tcPr>
            <w:tcW w:w="2121" w:type="pct"/>
            <w:shd w:val="clear" w:color="auto" w:fill="auto"/>
            <w:vAlign w:val="center"/>
          </w:tcPr>
          <w:p w14:paraId="3DF6DC68">
            <w:pPr>
              <w:adjustRightInd w:val="0"/>
              <w:snapToGrid w:val="0"/>
              <w:jc w:val="center"/>
              <w:rPr>
                <w:rFonts w:ascii="宋体" w:hAnsi="宋体" w:eastAsia="宋体" w:cs="Times New Roman"/>
                <w:color w:val="auto"/>
              </w:rPr>
            </w:pPr>
            <w:r>
              <w:rPr>
                <w:rFonts w:ascii="宋体" w:hAnsi="宋体" w:eastAsia="宋体" w:cs="Times New Roman"/>
                <w:color w:val="auto"/>
              </w:rPr>
              <w:t>符合性分析</w:t>
            </w:r>
          </w:p>
        </w:tc>
        <w:tc>
          <w:tcPr>
            <w:tcW w:w="534" w:type="pct"/>
            <w:shd w:val="clear" w:color="auto" w:fill="auto"/>
            <w:vAlign w:val="center"/>
          </w:tcPr>
          <w:p w14:paraId="4272558D">
            <w:pPr>
              <w:adjustRightInd w:val="0"/>
              <w:snapToGrid w:val="0"/>
              <w:jc w:val="center"/>
              <w:rPr>
                <w:rFonts w:ascii="宋体" w:hAnsi="宋体" w:eastAsia="宋体" w:cs="Times New Roman"/>
                <w:color w:val="auto"/>
              </w:rPr>
            </w:pPr>
            <w:r>
              <w:rPr>
                <w:rFonts w:ascii="宋体" w:hAnsi="宋体" w:eastAsia="宋体" w:cs="Times New Roman"/>
                <w:color w:val="auto"/>
              </w:rPr>
              <w:t>符合性</w:t>
            </w:r>
          </w:p>
        </w:tc>
      </w:tr>
      <w:tr w14:paraId="7131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019C5E93">
            <w:pPr>
              <w:adjustRightInd w:val="0"/>
              <w:snapToGrid w:val="0"/>
              <w:jc w:val="center"/>
              <w:rPr>
                <w:rFonts w:ascii="宋体" w:hAnsi="宋体" w:eastAsia="宋体" w:cs="Times New Roman"/>
                <w:color w:val="auto"/>
              </w:rPr>
            </w:pPr>
            <w:r>
              <w:rPr>
                <w:rFonts w:ascii="宋体" w:hAnsi="宋体" w:eastAsia="宋体" w:cs="Times New Roman"/>
                <w:color w:val="auto"/>
              </w:rPr>
              <w:t>1</w:t>
            </w:r>
          </w:p>
        </w:tc>
        <w:tc>
          <w:tcPr>
            <w:tcW w:w="2044" w:type="pct"/>
            <w:shd w:val="clear" w:color="auto" w:fill="auto"/>
            <w:vAlign w:val="center"/>
          </w:tcPr>
          <w:p w14:paraId="66E4DD48">
            <w:pPr>
              <w:adjustRightInd w:val="0"/>
              <w:snapToGrid w:val="0"/>
              <w:jc w:val="center"/>
              <w:rPr>
                <w:rFonts w:ascii="宋体" w:hAnsi="宋体" w:eastAsia="宋体" w:cs="Times New Roman"/>
                <w:color w:val="auto"/>
              </w:rPr>
            </w:pPr>
            <w:r>
              <w:rPr>
                <w:rFonts w:ascii="宋体" w:hAnsi="宋体" w:eastAsia="宋体" w:cs="Times New Roman"/>
                <w:color w:val="auto"/>
              </w:rPr>
              <w:t>以习近平新时代中国特色社会主义思想为指导，全面贯彻党的二十大精神，深入贯彻习近平生态文明思想，落实全国生态环境保护大会部署，坚持稳中求进工作总基调，协同推进降碳、减污、扩绿、增长，以改善空气质量为核心，以减少重污染天气和解决人民群众身边的突出大气环境问题为重点，以降低细颗粒物（PM</w:t>
            </w:r>
            <w:r>
              <w:rPr>
                <w:rFonts w:ascii="宋体" w:hAnsi="宋体" w:eastAsia="宋体" w:cs="Times New Roman"/>
                <w:color w:val="auto"/>
                <w:vertAlign w:val="subscript"/>
              </w:rPr>
              <w:t>2.5</w:t>
            </w:r>
            <w:r>
              <w:rPr>
                <w:rFonts w:ascii="宋体" w:hAnsi="宋体" w:eastAsia="宋体" w:cs="Times New Roman"/>
                <w:color w:val="auto"/>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p>
        </w:tc>
        <w:tc>
          <w:tcPr>
            <w:tcW w:w="2121" w:type="pct"/>
            <w:shd w:val="clear" w:color="auto" w:fill="auto"/>
            <w:vAlign w:val="center"/>
          </w:tcPr>
          <w:p w14:paraId="7509EF9E">
            <w:pPr>
              <w:adjustRightInd w:val="0"/>
              <w:snapToGrid w:val="0"/>
              <w:jc w:val="center"/>
              <w:rPr>
                <w:rFonts w:ascii="宋体" w:hAnsi="宋体" w:eastAsia="宋体" w:cs="Times New Roman"/>
                <w:color w:val="auto"/>
              </w:rPr>
            </w:pPr>
            <w:r>
              <w:rPr>
                <w:rFonts w:ascii="宋体" w:hAnsi="宋体" w:eastAsia="宋体" w:cs="Times New Roman"/>
                <w:color w:val="auto"/>
              </w:rPr>
              <w:t>本项目施工过程中产生的施工扬尘采取运输道路及施工场地定时洒水抑尘，运输车辆采取苫布遮盖措施，土方开挖采取遮盖、围挡、洒水等防尘措施；施工车辆采用清洁燃料，降低污染物排放；柴油机采用节能环保型柴油动力设备，钻井发电机和钻井柴油机采用符合</w:t>
            </w:r>
            <w:r>
              <w:rPr>
                <w:rFonts w:hint="eastAsia" w:ascii="宋体" w:hAnsi="宋体" w:eastAsia="宋体" w:cs="Times New Roman"/>
                <w:color w:val="auto"/>
              </w:rPr>
              <w:t>《车用柴油》（</w:t>
            </w:r>
            <w:r>
              <w:rPr>
                <w:rFonts w:ascii="宋体" w:hAnsi="宋体" w:eastAsia="宋体" w:cs="Times New Roman"/>
                <w:color w:val="auto"/>
              </w:rPr>
              <w:t>GB 19147-2016）的柴油，加强对机械设备的维护、保养，减少不必要的运转时间，以控制尾气的排放。本项目运营期在采油井口安装了密封垫，拉油点储罐阀门、法兰等安装密封垫片，油井产液采用管线密闭集输进入拉油点储罐，拉油点储罐密闭收集储存产液，伴生气用于拉油点多功能储罐加热炉自耗，不外排，拉油点储罐储存过程中为密闭状态，采用罐车密闭拉运，可有效控制挥发性有机物无组织排放。</w:t>
            </w:r>
          </w:p>
        </w:tc>
        <w:tc>
          <w:tcPr>
            <w:tcW w:w="534" w:type="pct"/>
            <w:shd w:val="clear" w:color="auto" w:fill="auto"/>
            <w:vAlign w:val="center"/>
          </w:tcPr>
          <w:p w14:paraId="193A6B40">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bl>
    <w:p w14:paraId="063D14B2">
      <w:pPr>
        <w:pStyle w:val="276"/>
        <w:widowControl w:val="0"/>
        <w:ind w:firstLine="480"/>
        <w:jc w:val="both"/>
        <w:rPr>
          <w:color w:val="auto"/>
        </w:rPr>
      </w:pPr>
      <w:r>
        <w:rPr>
          <w:color w:val="auto"/>
        </w:rPr>
        <w:t>根据以上分析，本项目符合</w:t>
      </w:r>
      <w:r>
        <w:rPr>
          <w:snapToGrid w:val="0"/>
          <w:color w:val="auto"/>
        </w:rPr>
        <w:t>《空气质量持续改善行动计划》</w:t>
      </w:r>
      <w:r>
        <w:rPr>
          <w:color w:val="auto"/>
        </w:rPr>
        <w:t>（国发〔2023〕24号）中要求。</w:t>
      </w:r>
    </w:p>
    <w:p w14:paraId="704F98C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与《黑龙江省空气质量持续改善行动计划实施方案》（黑政发〔2023〕19号）符合性</w:t>
      </w:r>
    </w:p>
    <w:p w14:paraId="38A3DE69">
      <w:pPr>
        <w:pStyle w:val="276"/>
        <w:widowControl w:val="0"/>
        <w:ind w:firstLine="480"/>
        <w:jc w:val="both"/>
        <w:rPr>
          <w:color w:val="auto"/>
          <w:lang w:bidi="zh-CN"/>
        </w:rPr>
      </w:pPr>
      <w:r>
        <w:rPr>
          <w:color w:val="auto"/>
          <w:lang w:bidi="zh-CN"/>
        </w:rPr>
        <w:t>本项目与</w:t>
      </w:r>
      <w:r>
        <w:rPr>
          <w:snapToGrid w:val="0"/>
          <w:color w:val="auto"/>
        </w:rPr>
        <w:t>《黑龙江省空气质量持续改善行动计划实施方案》</w:t>
      </w:r>
      <w:r>
        <w:rPr>
          <w:color w:val="auto"/>
        </w:rPr>
        <w:t>（黑政发〔2023〕19号）</w:t>
      </w:r>
      <w:r>
        <w:rPr>
          <w:color w:val="auto"/>
          <w:lang w:bidi="zh-CN"/>
        </w:rPr>
        <w:t>符合性分析见</w:t>
      </w:r>
      <w:r>
        <w:rPr>
          <w:color w:val="auto"/>
          <w:lang w:bidi="zh-CN"/>
        </w:rPr>
        <w:fldChar w:fldCharType="begin"/>
      </w:r>
      <w:r>
        <w:rPr>
          <w:color w:val="auto"/>
          <w:lang w:bidi="zh-CN"/>
        </w:rPr>
        <w:instrText xml:space="preserve"> REF _Ref211957352 \h  \* MERGEFORMAT </w:instrText>
      </w:r>
      <w:r>
        <w:rPr>
          <w:color w:val="auto"/>
          <w:lang w:bidi="zh-CN"/>
        </w:rPr>
        <w:fldChar w:fldCharType="separate"/>
      </w:r>
      <w:r>
        <w:rPr>
          <w:rFonts w:hint="eastAsia"/>
          <w:color w:val="auto"/>
        </w:rPr>
        <w:t xml:space="preserve">表 </w:t>
      </w:r>
      <w:r>
        <w:rPr>
          <w:color w:val="auto"/>
        </w:rPr>
        <w:t>1.4</w:t>
      </w:r>
      <w:r>
        <w:rPr>
          <w:color w:val="auto"/>
        </w:rPr>
        <w:noBreakHyphen/>
      </w:r>
      <w:r>
        <w:rPr>
          <w:color w:val="auto"/>
        </w:rPr>
        <w:t>18</w:t>
      </w:r>
      <w:r>
        <w:rPr>
          <w:color w:val="auto"/>
          <w:lang w:bidi="zh-CN"/>
        </w:rPr>
        <w:fldChar w:fldCharType="end"/>
      </w:r>
      <w:r>
        <w:rPr>
          <w:color w:val="auto"/>
          <w:lang w:bidi="zh-CN"/>
        </w:rPr>
        <w:t>。</w:t>
      </w:r>
    </w:p>
    <w:p w14:paraId="019821EA">
      <w:pPr>
        <w:pStyle w:val="22"/>
        <w:spacing w:before="156"/>
        <w:rPr>
          <w:rFonts w:hAnsi="宋体" w:cs="Times New Roman"/>
          <w:color w:val="auto"/>
        </w:rPr>
      </w:pPr>
      <w:bookmarkStart w:id="150" w:name="_Ref211957352"/>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18</w:t>
      </w:r>
      <w:r>
        <w:rPr>
          <w:color w:val="auto"/>
        </w:rPr>
        <w:fldChar w:fldCharType="end"/>
      </w:r>
      <w:bookmarkEnd w:id="150"/>
      <w:r>
        <w:rPr>
          <w:color w:val="auto"/>
        </w:rPr>
        <w:t>与《黑龙江省空气质量持续改善行动计划实施方案》符合性判定</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3796"/>
        <w:gridCol w:w="3939"/>
        <w:gridCol w:w="992"/>
      </w:tblGrid>
      <w:tr w14:paraId="61B2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01" w:type="pct"/>
            <w:shd w:val="clear" w:color="auto" w:fill="auto"/>
            <w:vAlign w:val="center"/>
          </w:tcPr>
          <w:p w14:paraId="4459B139">
            <w:pPr>
              <w:adjustRightInd w:val="0"/>
              <w:snapToGrid w:val="0"/>
              <w:jc w:val="center"/>
              <w:rPr>
                <w:rFonts w:ascii="宋体" w:hAnsi="宋体" w:eastAsia="宋体" w:cs="Times New Roman"/>
                <w:color w:val="auto"/>
              </w:rPr>
            </w:pPr>
            <w:r>
              <w:rPr>
                <w:rFonts w:ascii="宋体" w:hAnsi="宋体" w:eastAsia="宋体" w:cs="Times New Roman"/>
                <w:color w:val="auto"/>
              </w:rPr>
              <w:t>序号</w:t>
            </w:r>
          </w:p>
        </w:tc>
        <w:tc>
          <w:tcPr>
            <w:tcW w:w="2044" w:type="pct"/>
            <w:shd w:val="clear" w:color="auto" w:fill="auto"/>
            <w:vAlign w:val="center"/>
          </w:tcPr>
          <w:p w14:paraId="3FF0BFC9">
            <w:pPr>
              <w:adjustRightInd w:val="0"/>
              <w:snapToGrid w:val="0"/>
              <w:jc w:val="center"/>
              <w:rPr>
                <w:rFonts w:ascii="宋体" w:hAnsi="宋体" w:eastAsia="宋体" w:cs="Times New Roman"/>
                <w:color w:val="auto"/>
              </w:rPr>
            </w:pPr>
            <w:r>
              <w:rPr>
                <w:rFonts w:ascii="宋体" w:hAnsi="宋体" w:eastAsia="宋体" w:cs="Times New Roman"/>
                <w:color w:val="auto"/>
              </w:rPr>
              <w:t>相关要求</w:t>
            </w:r>
          </w:p>
        </w:tc>
        <w:tc>
          <w:tcPr>
            <w:tcW w:w="2121" w:type="pct"/>
            <w:shd w:val="clear" w:color="auto" w:fill="auto"/>
            <w:vAlign w:val="center"/>
          </w:tcPr>
          <w:p w14:paraId="11FA4C6D">
            <w:pPr>
              <w:adjustRightInd w:val="0"/>
              <w:snapToGrid w:val="0"/>
              <w:jc w:val="center"/>
              <w:rPr>
                <w:rFonts w:ascii="宋体" w:hAnsi="宋体" w:eastAsia="宋体" w:cs="Times New Roman"/>
                <w:color w:val="auto"/>
              </w:rPr>
            </w:pPr>
            <w:r>
              <w:rPr>
                <w:rFonts w:ascii="宋体" w:hAnsi="宋体" w:eastAsia="宋体" w:cs="Times New Roman"/>
                <w:color w:val="auto"/>
              </w:rPr>
              <w:t>符合性分析</w:t>
            </w:r>
          </w:p>
        </w:tc>
        <w:tc>
          <w:tcPr>
            <w:tcW w:w="534" w:type="pct"/>
            <w:shd w:val="clear" w:color="auto" w:fill="auto"/>
            <w:vAlign w:val="center"/>
          </w:tcPr>
          <w:p w14:paraId="4A52B33C">
            <w:pPr>
              <w:adjustRightInd w:val="0"/>
              <w:snapToGrid w:val="0"/>
              <w:jc w:val="center"/>
              <w:rPr>
                <w:rFonts w:ascii="宋体" w:hAnsi="宋体" w:eastAsia="宋体" w:cs="Times New Roman"/>
                <w:color w:val="auto"/>
              </w:rPr>
            </w:pPr>
            <w:r>
              <w:rPr>
                <w:rFonts w:ascii="宋体" w:hAnsi="宋体" w:eastAsia="宋体" w:cs="Times New Roman"/>
                <w:color w:val="auto"/>
              </w:rPr>
              <w:t>符合性</w:t>
            </w:r>
          </w:p>
        </w:tc>
      </w:tr>
      <w:tr w14:paraId="5935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26C05D21">
            <w:pPr>
              <w:adjustRightInd w:val="0"/>
              <w:snapToGrid w:val="0"/>
              <w:jc w:val="center"/>
              <w:rPr>
                <w:rFonts w:ascii="宋体" w:hAnsi="宋体" w:eastAsia="宋体" w:cs="Times New Roman"/>
                <w:color w:val="auto"/>
              </w:rPr>
            </w:pPr>
            <w:r>
              <w:rPr>
                <w:rFonts w:ascii="宋体" w:hAnsi="宋体" w:eastAsia="宋体" w:cs="Times New Roman"/>
                <w:color w:val="auto"/>
              </w:rPr>
              <w:t>1</w:t>
            </w:r>
          </w:p>
        </w:tc>
        <w:tc>
          <w:tcPr>
            <w:tcW w:w="2044" w:type="pct"/>
            <w:shd w:val="clear" w:color="auto" w:fill="auto"/>
            <w:vAlign w:val="center"/>
          </w:tcPr>
          <w:p w14:paraId="3CC1834B">
            <w:pPr>
              <w:adjustRightInd w:val="0"/>
              <w:snapToGrid w:val="0"/>
              <w:jc w:val="center"/>
              <w:rPr>
                <w:rFonts w:ascii="宋体" w:hAnsi="宋体" w:eastAsia="宋体" w:cs="Times New Roman"/>
                <w:color w:val="auto"/>
              </w:rPr>
            </w:pPr>
            <w:r>
              <w:rPr>
                <w:rFonts w:ascii="宋体" w:hAnsi="宋体" w:eastAsia="宋体" w:cs="Times New Roman"/>
                <w:color w:val="auto"/>
              </w:rPr>
              <w:t>严格环境准入要求。新改扩建高耗能、高排放、低水平项目，要严格遵照产业规划和政策、生态环境分区管控、规划环评、项目环评、节能审查以及产能置换、总量控制、区域污染物削减、碳达峰等相关要求执行，原则上采用清洁运输方式。</w:t>
            </w:r>
          </w:p>
        </w:tc>
        <w:tc>
          <w:tcPr>
            <w:tcW w:w="2121" w:type="pct"/>
            <w:shd w:val="clear" w:color="auto" w:fill="auto"/>
            <w:vAlign w:val="center"/>
          </w:tcPr>
          <w:p w14:paraId="66D6B8F3">
            <w:pPr>
              <w:jc w:val="center"/>
              <w:rPr>
                <w:rFonts w:ascii="宋体" w:hAnsi="宋体" w:eastAsia="宋体" w:cs="Times New Roman"/>
                <w:color w:val="auto"/>
              </w:rPr>
            </w:pPr>
            <w:r>
              <w:rPr>
                <w:rFonts w:ascii="宋体" w:hAnsi="宋体" w:eastAsia="宋体" w:cs="Times New Roman"/>
                <w:color w:val="auto"/>
              </w:rPr>
              <w:t>本项目为石油开采项目，不属于高耗能、高排放、低水平项目。</w:t>
            </w:r>
          </w:p>
        </w:tc>
        <w:tc>
          <w:tcPr>
            <w:tcW w:w="534" w:type="pct"/>
            <w:shd w:val="clear" w:color="auto" w:fill="auto"/>
            <w:vAlign w:val="center"/>
          </w:tcPr>
          <w:p w14:paraId="568220E9">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1E26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72BB3F6E">
            <w:pPr>
              <w:adjustRightInd w:val="0"/>
              <w:snapToGrid w:val="0"/>
              <w:jc w:val="center"/>
              <w:rPr>
                <w:rFonts w:ascii="宋体" w:hAnsi="宋体" w:eastAsia="宋体" w:cs="Times New Roman"/>
                <w:color w:val="auto"/>
              </w:rPr>
            </w:pPr>
            <w:r>
              <w:rPr>
                <w:rFonts w:ascii="宋体" w:hAnsi="宋体" w:eastAsia="宋体" w:cs="Times New Roman"/>
                <w:color w:val="auto"/>
              </w:rPr>
              <w:t>2</w:t>
            </w:r>
          </w:p>
        </w:tc>
        <w:tc>
          <w:tcPr>
            <w:tcW w:w="2044" w:type="pct"/>
            <w:shd w:val="clear" w:color="auto" w:fill="auto"/>
            <w:vAlign w:val="center"/>
          </w:tcPr>
          <w:p w14:paraId="147D452B">
            <w:pPr>
              <w:jc w:val="center"/>
              <w:rPr>
                <w:rFonts w:ascii="宋体" w:hAnsi="宋体" w:eastAsia="宋体" w:cs="Times New Roman"/>
                <w:color w:val="auto"/>
              </w:rPr>
            </w:pPr>
            <w:r>
              <w:rPr>
                <w:rFonts w:ascii="宋体" w:hAnsi="宋体" w:eastAsia="宋体" w:cs="Times New Roman"/>
                <w:color w:val="auto"/>
              </w:rPr>
              <w:t>加快淘汰重点行业落后产能。严格执行《产业结构调整指导目录》要求，加快退出淘汰类产能、工艺、装备，提高限制类产能、工艺、装备淘汰改造引导力度</w:t>
            </w:r>
          </w:p>
        </w:tc>
        <w:tc>
          <w:tcPr>
            <w:tcW w:w="2121" w:type="pct"/>
            <w:shd w:val="clear" w:color="auto" w:fill="auto"/>
            <w:vAlign w:val="center"/>
          </w:tcPr>
          <w:p w14:paraId="24D32CCF">
            <w:pPr>
              <w:adjustRightInd w:val="0"/>
              <w:snapToGrid w:val="0"/>
              <w:jc w:val="center"/>
              <w:rPr>
                <w:rFonts w:ascii="宋体" w:hAnsi="宋体" w:eastAsia="宋体" w:cs="Times New Roman"/>
                <w:color w:val="auto"/>
              </w:rPr>
            </w:pPr>
            <w:r>
              <w:rPr>
                <w:rFonts w:ascii="宋体" w:hAnsi="宋体" w:eastAsia="宋体" w:cs="Times New Roman"/>
                <w:color w:val="auto"/>
              </w:rPr>
              <w:t>本项目为石油开采项目，根据《产业结构调整指导目录（2024 年本）》，本项目属于鼓励类“七、石油天然气”中“1.石油天然气开采：页岩气、页岩油、致密油（气）、油砂、天然气水合物等非常规资源勘探开发”，项目建设符合国家的产业政策。</w:t>
            </w:r>
          </w:p>
        </w:tc>
        <w:tc>
          <w:tcPr>
            <w:tcW w:w="534" w:type="pct"/>
            <w:shd w:val="clear" w:color="auto" w:fill="auto"/>
            <w:vAlign w:val="center"/>
          </w:tcPr>
          <w:p w14:paraId="546ABECA">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3EDD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3A34F8F2">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2044" w:type="pct"/>
            <w:shd w:val="clear" w:color="auto" w:fill="auto"/>
            <w:vAlign w:val="center"/>
          </w:tcPr>
          <w:p w14:paraId="1D3F365B">
            <w:pPr>
              <w:adjustRightInd w:val="0"/>
              <w:snapToGrid w:val="0"/>
              <w:jc w:val="center"/>
              <w:rPr>
                <w:rFonts w:ascii="宋体" w:hAnsi="宋体" w:eastAsia="宋体" w:cs="Times New Roman"/>
                <w:color w:val="auto"/>
              </w:rPr>
            </w:pPr>
            <w:r>
              <w:rPr>
                <w:rFonts w:ascii="宋体" w:hAnsi="宋体" w:eastAsia="宋体" w:cs="Times New Roman"/>
                <w:color w:val="auto"/>
              </w:rPr>
              <w:t>加快推进能源结构优化。到2025年，非化石能源消费比重力争超过15%。持续增加天然气生产供应，进一步优化天然气使用方式，新增天然气优先保障居民生活和清洁取暖需求，在落实气源的前提下加大工业用煤替代力度。</w:t>
            </w:r>
          </w:p>
        </w:tc>
        <w:tc>
          <w:tcPr>
            <w:tcW w:w="2121" w:type="pct"/>
            <w:shd w:val="clear" w:color="auto" w:fill="auto"/>
            <w:vAlign w:val="center"/>
          </w:tcPr>
          <w:p w14:paraId="1D14FDC1">
            <w:pPr>
              <w:jc w:val="center"/>
              <w:rPr>
                <w:rFonts w:ascii="宋体" w:hAnsi="宋体" w:eastAsia="宋体" w:cs="Times New Roman"/>
                <w:color w:val="auto"/>
              </w:rPr>
            </w:pPr>
            <w:r>
              <w:rPr>
                <w:rFonts w:ascii="宋体" w:hAnsi="宋体" w:eastAsia="宋体" w:cs="Times New Roman"/>
                <w:color w:val="auto"/>
              </w:rPr>
              <w:t>本项目为石油开采项目， 运营期依托加热装置均采用清洁天然气作为燃料。</w:t>
            </w:r>
          </w:p>
        </w:tc>
        <w:tc>
          <w:tcPr>
            <w:tcW w:w="534" w:type="pct"/>
            <w:shd w:val="clear" w:color="auto" w:fill="auto"/>
            <w:vAlign w:val="center"/>
          </w:tcPr>
          <w:p w14:paraId="49578D89">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7A26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55369337">
            <w:pPr>
              <w:adjustRightInd w:val="0"/>
              <w:snapToGrid w:val="0"/>
              <w:jc w:val="center"/>
              <w:rPr>
                <w:rFonts w:ascii="宋体" w:hAnsi="宋体" w:eastAsia="宋体" w:cs="Times New Roman"/>
                <w:color w:val="auto"/>
              </w:rPr>
            </w:pPr>
            <w:r>
              <w:rPr>
                <w:rFonts w:ascii="宋体" w:hAnsi="宋体" w:eastAsia="宋体" w:cs="Times New Roman"/>
                <w:color w:val="auto"/>
              </w:rPr>
              <w:t>4</w:t>
            </w:r>
          </w:p>
        </w:tc>
        <w:tc>
          <w:tcPr>
            <w:tcW w:w="2044" w:type="pct"/>
            <w:shd w:val="clear" w:color="auto" w:fill="auto"/>
            <w:vAlign w:val="center"/>
          </w:tcPr>
          <w:p w14:paraId="29BA8BEF">
            <w:pPr>
              <w:adjustRightInd w:val="0"/>
              <w:snapToGrid w:val="0"/>
              <w:jc w:val="center"/>
              <w:rPr>
                <w:rFonts w:ascii="宋体" w:hAnsi="宋体" w:eastAsia="宋体" w:cs="Times New Roman"/>
                <w:color w:val="auto"/>
              </w:rPr>
            </w:pPr>
            <w:r>
              <w:rPr>
                <w:rFonts w:ascii="宋体" w:hAnsi="宋体" w:eastAsia="宋体" w:cs="Times New Roman"/>
                <w:color w:val="auto"/>
              </w:rPr>
              <w:t>深化扬尘污染综合治理。全面推行绿色施工，严格执行“六个百分之百”，将防治扬尘污染费用纳入工程造价。</w:t>
            </w:r>
          </w:p>
        </w:tc>
        <w:tc>
          <w:tcPr>
            <w:tcW w:w="2121" w:type="pct"/>
            <w:shd w:val="clear" w:color="auto" w:fill="auto"/>
            <w:vAlign w:val="center"/>
          </w:tcPr>
          <w:p w14:paraId="74971953">
            <w:pPr>
              <w:jc w:val="center"/>
              <w:rPr>
                <w:rFonts w:ascii="宋体" w:hAnsi="宋体" w:eastAsia="宋体" w:cs="Times New Roman"/>
                <w:color w:val="auto"/>
              </w:rPr>
            </w:pPr>
            <w:r>
              <w:rPr>
                <w:rFonts w:ascii="宋体" w:hAnsi="宋体" w:eastAsia="宋体" w:cs="Times New Roman"/>
                <w:color w:val="auto"/>
              </w:rPr>
              <w:t>本项目施工期通过采取施工场地定时洒水、运输车辆加盖苫布、土方采取防尘网遮盖挡等措施，降低施工扬尘对周围环境的影响。运营期不会产生扬尘。</w:t>
            </w:r>
          </w:p>
        </w:tc>
        <w:tc>
          <w:tcPr>
            <w:tcW w:w="534" w:type="pct"/>
            <w:shd w:val="clear" w:color="auto" w:fill="auto"/>
            <w:vAlign w:val="center"/>
          </w:tcPr>
          <w:p w14:paraId="63B38C9F">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3A77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35CF8FB8">
            <w:pPr>
              <w:adjustRightInd w:val="0"/>
              <w:snapToGrid w:val="0"/>
              <w:jc w:val="center"/>
              <w:rPr>
                <w:rFonts w:ascii="宋体" w:hAnsi="宋体" w:eastAsia="宋体" w:cs="Times New Roman"/>
                <w:color w:val="auto"/>
              </w:rPr>
            </w:pPr>
            <w:r>
              <w:rPr>
                <w:rFonts w:ascii="宋体" w:hAnsi="宋体" w:eastAsia="宋体" w:cs="Times New Roman"/>
                <w:color w:val="auto"/>
              </w:rPr>
              <w:t>5</w:t>
            </w:r>
          </w:p>
        </w:tc>
        <w:tc>
          <w:tcPr>
            <w:tcW w:w="2044" w:type="pct"/>
            <w:shd w:val="clear" w:color="auto" w:fill="auto"/>
            <w:vAlign w:val="center"/>
          </w:tcPr>
          <w:p w14:paraId="76C95231">
            <w:pPr>
              <w:adjustRightInd w:val="0"/>
              <w:snapToGrid w:val="0"/>
              <w:jc w:val="center"/>
              <w:rPr>
                <w:rFonts w:ascii="宋体" w:hAnsi="宋体" w:eastAsia="宋体" w:cs="Times New Roman"/>
                <w:color w:val="auto"/>
              </w:rPr>
            </w:pPr>
            <w:r>
              <w:rPr>
                <w:rFonts w:ascii="宋体" w:hAnsi="宋体" w:eastAsia="宋体" w:cs="Times New Roman"/>
                <w:color w:val="auto"/>
              </w:rPr>
              <w:t>强化VOCs全流程、全环节综合治理。鼓励使用低泄漏的储罐呼吸阀、紧急泄压阀，定期开展储罐部件密封性检测。对装载汽油、煤油等高挥发性化工产品的汽车罐车，推广使用自封式快速接头。污水处理场所高浓度废气要单独收集处理；含VOCs有机废水储罐、装置区集水井（池）废气要密闭收集处理。规范开展泄漏检测与修复（LDAR）。企业开停工、检维修期间，及时收集处理退料、清洗、吹扫等作业产生的VOCs废气。企业不得将火炬燃烧装置作为日常大气污染处理设施。</w:t>
            </w:r>
          </w:p>
        </w:tc>
        <w:tc>
          <w:tcPr>
            <w:tcW w:w="2121" w:type="pct"/>
            <w:shd w:val="clear" w:color="auto" w:fill="auto"/>
            <w:vAlign w:val="center"/>
          </w:tcPr>
          <w:p w14:paraId="24632587">
            <w:pPr>
              <w:adjustRightInd w:val="0"/>
              <w:snapToGrid w:val="0"/>
              <w:jc w:val="center"/>
              <w:rPr>
                <w:rFonts w:ascii="宋体" w:hAnsi="宋体" w:eastAsia="宋体" w:cs="Times New Roman"/>
                <w:color w:val="auto"/>
              </w:rPr>
            </w:pPr>
            <w:r>
              <w:rPr>
                <w:rFonts w:ascii="宋体" w:hAnsi="宋体" w:eastAsia="宋体" w:cs="Times New Roman"/>
                <w:color w:val="auto"/>
              </w:rPr>
              <w:t>本项目运营期在采油井口安装了密封垫，拉油点储罐阀门、法兰等安装密封垫片，油井产液采用管线密闭集输进入拉油点储罐，拉油点储罐密闭收集储存产液，伴生气用于拉油点多功能储罐加热炉自耗，不外排，拉油点储罐储存过程中为密闭状态，采用罐车密闭拉运，可有效控制挥发性有机物无组织排放。</w:t>
            </w:r>
          </w:p>
        </w:tc>
        <w:tc>
          <w:tcPr>
            <w:tcW w:w="534" w:type="pct"/>
            <w:shd w:val="clear" w:color="auto" w:fill="auto"/>
            <w:vAlign w:val="center"/>
          </w:tcPr>
          <w:p w14:paraId="0AA36C1C">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bl>
    <w:p w14:paraId="09103AEF">
      <w:pPr>
        <w:pStyle w:val="276"/>
        <w:widowControl w:val="0"/>
        <w:ind w:firstLine="480"/>
        <w:jc w:val="both"/>
        <w:rPr>
          <w:color w:val="auto"/>
        </w:rPr>
      </w:pPr>
      <w:r>
        <w:rPr>
          <w:color w:val="auto"/>
        </w:rPr>
        <w:t>根据以上分析，本项目符合</w:t>
      </w:r>
      <w:r>
        <w:rPr>
          <w:snapToGrid w:val="0"/>
          <w:color w:val="auto"/>
        </w:rPr>
        <w:t>《黑龙江省空气质量持续改善行动计划实施方案》</w:t>
      </w:r>
      <w:r>
        <w:rPr>
          <w:color w:val="auto"/>
        </w:rPr>
        <w:t>（黑政发〔2023〕19号）中要求。</w:t>
      </w:r>
    </w:p>
    <w:p w14:paraId="4EB1A34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与《甲烷排放控制行动方案》（环气候〔2023〕67号）符合性判定</w:t>
      </w:r>
    </w:p>
    <w:p w14:paraId="0FD12346">
      <w:pPr>
        <w:pStyle w:val="276"/>
        <w:widowControl w:val="0"/>
        <w:ind w:firstLine="480"/>
        <w:jc w:val="both"/>
        <w:rPr>
          <w:color w:val="auto"/>
          <w:lang w:bidi="zh-CN"/>
        </w:rPr>
      </w:pPr>
      <w:r>
        <w:rPr>
          <w:color w:val="auto"/>
          <w:lang w:bidi="zh-CN"/>
        </w:rPr>
        <w:t>本项目与《甲烷排放控制行动方案》（环气候〔2023〕67号）</w:t>
      </w:r>
      <w:r>
        <w:rPr>
          <w:snapToGrid w:val="0"/>
          <w:color w:val="auto"/>
        </w:rPr>
        <w:t>符合</w:t>
      </w:r>
      <w:r>
        <w:rPr>
          <w:color w:val="auto"/>
          <w:lang w:bidi="zh-CN"/>
        </w:rPr>
        <w:t>性分析见</w:t>
      </w:r>
      <w:r>
        <w:rPr>
          <w:color w:val="auto"/>
          <w:lang w:bidi="zh-CN"/>
        </w:rPr>
        <w:fldChar w:fldCharType="begin"/>
      </w:r>
      <w:r>
        <w:rPr>
          <w:color w:val="auto"/>
          <w:lang w:bidi="zh-CN"/>
        </w:rPr>
        <w:instrText xml:space="preserve"> REF _Ref211957358 \h  \* MERGEFORMAT </w:instrText>
      </w:r>
      <w:r>
        <w:rPr>
          <w:color w:val="auto"/>
          <w:lang w:bidi="zh-CN"/>
        </w:rPr>
        <w:fldChar w:fldCharType="separate"/>
      </w:r>
      <w:r>
        <w:rPr>
          <w:rFonts w:hint="eastAsia"/>
          <w:color w:val="auto"/>
        </w:rPr>
        <w:t xml:space="preserve">表 </w:t>
      </w:r>
      <w:r>
        <w:rPr>
          <w:color w:val="auto"/>
        </w:rPr>
        <w:t>1.4</w:t>
      </w:r>
      <w:r>
        <w:rPr>
          <w:color w:val="auto"/>
        </w:rPr>
        <w:noBreakHyphen/>
      </w:r>
      <w:r>
        <w:rPr>
          <w:color w:val="auto"/>
        </w:rPr>
        <w:t>19</w:t>
      </w:r>
      <w:r>
        <w:rPr>
          <w:color w:val="auto"/>
          <w:lang w:bidi="zh-CN"/>
        </w:rPr>
        <w:fldChar w:fldCharType="end"/>
      </w:r>
      <w:r>
        <w:rPr>
          <w:color w:val="auto"/>
          <w:lang w:bidi="zh-CN"/>
        </w:rPr>
        <w:t>。</w:t>
      </w:r>
    </w:p>
    <w:p w14:paraId="6542F76A">
      <w:pPr>
        <w:pStyle w:val="22"/>
        <w:spacing w:before="156"/>
        <w:rPr>
          <w:rFonts w:hAnsi="宋体" w:cs="Times New Roman"/>
          <w:color w:val="auto"/>
        </w:rPr>
      </w:pPr>
      <w:bookmarkStart w:id="151" w:name="_Ref21195735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19</w:t>
      </w:r>
      <w:r>
        <w:rPr>
          <w:color w:val="auto"/>
        </w:rPr>
        <w:fldChar w:fldCharType="end"/>
      </w:r>
      <w:bookmarkEnd w:id="151"/>
      <w:r>
        <w:rPr>
          <w:color w:val="auto"/>
        </w:rPr>
        <w:t>与《甲烷排放控制行动方案》相关要求符合性判定</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4231"/>
        <w:gridCol w:w="3505"/>
        <w:gridCol w:w="992"/>
      </w:tblGrid>
      <w:tr w14:paraId="50FE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01" w:type="pct"/>
            <w:shd w:val="clear" w:color="auto" w:fill="auto"/>
            <w:vAlign w:val="center"/>
          </w:tcPr>
          <w:p w14:paraId="551A862F">
            <w:pPr>
              <w:adjustRightInd w:val="0"/>
              <w:snapToGrid w:val="0"/>
              <w:jc w:val="center"/>
              <w:rPr>
                <w:rFonts w:ascii="宋体" w:hAnsi="宋体" w:eastAsia="宋体" w:cs="Times New Roman"/>
                <w:color w:val="auto"/>
              </w:rPr>
            </w:pPr>
            <w:r>
              <w:rPr>
                <w:rFonts w:ascii="宋体" w:hAnsi="宋体" w:eastAsia="宋体" w:cs="Times New Roman"/>
                <w:color w:val="auto"/>
              </w:rPr>
              <w:t>序号</w:t>
            </w:r>
          </w:p>
        </w:tc>
        <w:tc>
          <w:tcPr>
            <w:tcW w:w="2278" w:type="pct"/>
            <w:shd w:val="clear" w:color="auto" w:fill="auto"/>
            <w:vAlign w:val="center"/>
          </w:tcPr>
          <w:p w14:paraId="759A8965">
            <w:pPr>
              <w:adjustRightInd w:val="0"/>
              <w:snapToGrid w:val="0"/>
              <w:jc w:val="center"/>
              <w:rPr>
                <w:rFonts w:ascii="宋体" w:hAnsi="宋体" w:eastAsia="宋体" w:cs="Times New Roman"/>
                <w:color w:val="auto"/>
              </w:rPr>
            </w:pPr>
            <w:r>
              <w:rPr>
                <w:rFonts w:ascii="宋体" w:hAnsi="宋体" w:eastAsia="宋体" w:cs="Times New Roman"/>
                <w:color w:val="auto"/>
              </w:rPr>
              <w:t>相关要求</w:t>
            </w:r>
          </w:p>
        </w:tc>
        <w:tc>
          <w:tcPr>
            <w:tcW w:w="1887" w:type="pct"/>
            <w:shd w:val="clear" w:color="auto" w:fill="auto"/>
            <w:vAlign w:val="center"/>
          </w:tcPr>
          <w:p w14:paraId="4495DD1B">
            <w:pPr>
              <w:adjustRightInd w:val="0"/>
              <w:snapToGrid w:val="0"/>
              <w:jc w:val="center"/>
              <w:rPr>
                <w:rFonts w:ascii="宋体" w:hAnsi="宋体" w:eastAsia="宋体" w:cs="Times New Roman"/>
                <w:color w:val="auto"/>
              </w:rPr>
            </w:pPr>
            <w:r>
              <w:rPr>
                <w:rFonts w:ascii="宋体" w:hAnsi="宋体" w:eastAsia="宋体" w:cs="Times New Roman"/>
                <w:color w:val="auto"/>
              </w:rPr>
              <w:t>符合性分析</w:t>
            </w:r>
          </w:p>
        </w:tc>
        <w:tc>
          <w:tcPr>
            <w:tcW w:w="534" w:type="pct"/>
            <w:shd w:val="clear" w:color="auto" w:fill="auto"/>
            <w:vAlign w:val="center"/>
          </w:tcPr>
          <w:p w14:paraId="44502090">
            <w:pPr>
              <w:adjustRightInd w:val="0"/>
              <w:snapToGrid w:val="0"/>
              <w:jc w:val="center"/>
              <w:rPr>
                <w:rFonts w:ascii="宋体" w:hAnsi="宋体" w:eastAsia="宋体" w:cs="Times New Roman"/>
                <w:color w:val="auto"/>
              </w:rPr>
            </w:pPr>
            <w:r>
              <w:rPr>
                <w:rFonts w:ascii="宋体" w:hAnsi="宋体" w:eastAsia="宋体" w:cs="Times New Roman"/>
                <w:color w:val="auto"/>
              </w:rPr>
              <w:t>符合性</w:t>
            </w:r>
          </w:p>
        </w:tc>
      </w:tr>
      <w:tr w14:paraId="1E8F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3B5DF7C4">
            <w:pPr>
              <w:adjustRightInd w:val="0"/>
              <w:snapToGrid w:val="0"/>
              <w:jc w:val="center"/>
              <w:rPr>
                <w:rFonts w:ascii="宋体" w:hAnsi="宋体" w:eastAsia="宋体" w:cs="Times New Roman"/>
                <w:color w:val="auto"/>
              </w:rPr>
            </w:pPr>
            <w:r>
              <w:rPr>
                <w:rFonts w:ascii="宋体" w:hAnsi="宋体" w:eastAsia="宋体" w:cs="Times New Roman"/>
                <w:color w:val="auto"/>
              </w:rPr>
              <w:t>1</w:t>
            </w:r>
          </w:p>
        </w:tc>
        <w:tc>
          <w:tcPr>
            <w:tcW w:w="2278" w:type="pct"/>
            <w:shd w:val="clear" w:color="auto" w:fill="auto"/>
            <w:vAlign w:val="center"/>
          </w:tcPr>
          <w:p w14:paraId="1EF6EEB9">
            <w:pPr>
              <w:adjustRightInd w:val="0"/>
              <w:snapToGrid w:val="0"/>
              <w:jc w:val="center"/>
              <w:rPr>
                <w:rFonts w:ascii="宋体" w:hAnsi="宋体" w:eastAsia="宋体" w:cs="Times New Roman"/>
                <w:color w:val="auto"/>
              </w:rPr>
            </w:pPr>
            <w:r>
              <w:rPr>
                <w:rFonts w:ascii="宋体" w:hAnsi="宋体" w:eastAsia="宋体" w:cs="Times New Roman"/>
                <w:color w:val="auto"/>
              </w:rPr>
              <w:t>强化甲烷综合利用。促进油气田放空甲烷排放管控，鼓励企业因地制宜开展伴生气与放空气回收利用，不能回收或难以回收的，应经燃烧后放空。</w:t>
            </w:r>
          </w:p>
        </w:tc>
        <w:tc>
          <w:tcPr>
            <w:tcW w:w="1887" w:type="pct"/>
            <w:shd w:val="clear" w:color="auto" w:fill="auto"/>
            <w:vAlign w:val="center"/>
          </w:tcPr>
          <w:p w14:paraId="023104DB">
            <w:pPr>
              <w:adjustRightInd w:val="0"/>
              <w:snapToGrid w:val="0"/>
              <w:jc w:val="center"/>
              <w:rPr>
                <w:rFonts w:ascii="宋体" w:hAnsi="宋体" w:eastAsia="宋体" w:cs="Times New Roman"/>
                <w:color w:val="auto"/>
              </w:rPr>
            </w:pPr>
            <w:r>
              <w:rPr>
                <w:rFonts w:ascii="宋体" w:hAnsi="宋体" w:eastAsia="宋体" w:cs="Times New Roman"/>
                <w:color w:val="auto"/>
              </w:rPr>
              <w:t>本项目2口勘探井伴生气井进行燃烧防空处理，另外4口油井开采过程中伴生气用于拉油点多功能储罐加热炉自耗，不放空。</w:t>
            </w:r>
          </w:p>
        </w:tc>
        <w:tc>
          <w:tcPr>
            <w:tcW w:w="534" w:type="pct"/>
            <w:shd w:val="clear" w:color="auto" w:fill="auto"/>
            <w:vAlign w:val="center"/>
          </w:tcPr>
          <w:p w14:paraId="2D93EA46">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r w14:paraId="7FC4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shd w:val="clear" w:color="auto" w:fill="auto"/>
            <w:vAlign w:val="center"/>
          </w:tcPr>
          <w:p w14:paraId="7C66547B">
            <w:pPr>
              <w:adjustRightInd w:val="0"/>
              <w:snapToGrid w:val="0"/>
              <w:jc w:val="center"/>
              <w:rPr>
                <w:rFonts w:ascii="宋体" w:hAnsi="宋体" w:eastAsia="宋体" w:cs="Times New Roman"/>
                <w:color w:val="auto"/>
              </w:rPr>
            </w:pPr>
            <w:r>
              <w:rPr>
                <w:rFonts w:ascii="宋体" w:hAnsi="宋体" w:eastAsia="宋体" w:cs="Times New Roman"/>
                <w:color w:val="auto"/>
              </w:rPr>
              <w:t>2</w:t>
            </w:r>
          </w:p>
        </w:tc>
        <w:tc>
          <w:tcPr>
            <w:tcW w:w="2278" w:type="pct"/>
            <w:shd w:val="clear" w:color="auto" w:fill="auto"/>
            <w:vAlign w:val="center"/>
          </w:tcPr>
          <w:p w14:paraId="7CC3E120">
            <w:pPr>
              <w:adjustRightInd w:val="0"/>
              <w:snapToGrid w:val="0"/>
              <w:jc w:val="center"/>
              <w:rPr>
                <w:rFonts w:ascii="宋体" w:hAnsi="宋体" w:eastAsia="宋体" w:cs="Times New Roman"/>
                <w:color w:val="auto"/>
              </w:rPr>
            </w:pPr>
            <w:r>
              <w:rPr>
                <w:rFonts w:ascii="宋体" w:hAnsi="宋体" w:eastAsia="宋体" w:cs="Times New Roman"/>
                <w:color w:val="auto"/>
              </w:rPr>
              <w:t>强化污染物与甲烷协同控制措施。充分利用现有生态环境法规标准政策，构建污染物减排与甲烷排放控制一体推进的治理体系。加强挥发性有机物与甲烷协同控制，妥善处置工业生产产生的含甲烷可燃性气体。</w:t>
            </w:r>
          </w:p>
        </w:tc>
        <w:tc>
          <w:tcPr>
            <w:tcW w:w="1887" w:type="pct"/>
            <w:shd w:val="clear" w:color="auto" w:fill="auto"/>
            <w:vAlign w:val="center"/>
          </w:tcPr>
          <w:p w14:paraId="01A07EF1">
            <w:pPr>
              <w:adjustRightInd w:val="0"/>
              <w:snapToGrid w:val="0"/>
              <w:jc w:val="center"/>
              <w:rPr>
                <w:rFonts w:ascii="宋体" w:hAnsi="宋体" w:eastAsia="宋体" w:cs="Times New Roman"/>
                <w:color w:val="auto"/>
              </w:rPr>
            </w:pPr>
            <w:r>
              <w:rPr>
                <w:rFonts w:ascii="宋体" w:hAnsi="宋体" w:eastAsia="宋体" w:cs="Times New Roman"/>
                <w:color w:val="auto"/>
              </w:rPr>
              <w:t>本项目产生的烃类气体与甲烷协同控制，伴生气用于拉油点多功能储罐加热炉自耗，不放空。井口安装密封垫，罐车密闭运输，集输管线采用密闭管道，定期对设备和管道进行维修保养，保证油气处理设施的平稳运行，控制烃类气体、温室气体的无组织挥发</w:t>
            </w:r>
          </w:p>
        </w:tc>
        <w:tc>
          <w:tcPr>
            <w:tcW w:w="534" w:type="pct"/>
            <w:shd w:val="clear" w:color="auto" w:fill="auto"/>
            <w:vAlign w:val="center"/>
          </w:tcPr>
          <w:p w14:paraId="05328FD6">
            <w:pPr>
              <w:adjustRightInd w:val="0"/>
              <w:snapToGrid w:val="0"/>
              <w:jc w:val="center"/>
              <w:rPr>
                <w:rFonts w:ascii="宋体" w:hAnsi="宋体" w:eastAsia="宋体" w:cs="Times New Roman"/>
                <w:color w:val="auto"/>
              </w:rPr>
            </w:pPr>
            <w:r>
              <w:rPr>
                <w:rFonts w:ascii="宋体" w:hAnsi="宋体" w:eastAsia="宋体" w:cs="Times New Roman"/>
                <w:color w:val="auto"/>
              </w:rPr>
              <w:t>符合</w:t>
            </w:r>
          </w:p>
        </w:tc>
      </w:tr>
    </w:tbl>
    <w:p w14:paraId="3ADEA25D">
      <w:pPr>
        <w:pStyle w:val="276"/>
        <w:widowControl w:val="0"/>
        <w:ind w:firstLine="480"/>
        <w:jc w:val="both"/>
        <w:rPr>
          <w:color w:val="auto"/>
        </w:rPr>
      </w:pPr>
      <w:r>
        <w:rPr>
          <w:color w:val="auto"/>
        </w:rPr>
        <w:t>根据以上分析，本项目符合</w:t>
      </w:r>
      <w:r>
        <w:rPr>
          <w:snapToGrid w:val="0"/>
          <w:color w:val="auto"/>
        </w:rPr>
        <w:t>《甲烷排放控制行动方案》</w:t>
      </w:r>
      <w:r>
        <w:rPr>
          <w:color w:val="auto"/>
        </w:rPr>
        <w:t>（环气候〔2023〕67号）中要求。</w:t>
      </w:r>
    </w:p>
    <w:p w14:paraId="0A07A18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与《中华人民共和国草原法》（中华人民共和国主席令第82号，2021年4月29日修正施行）符合性分析</w:t>
      </w:r>
    </w:p>
    <w:p w14:paraId="61CC866B">
      <w:pPr>
        <w:pStyle w:val="276"/>
        <w:widowControl w:val="0"/>
        <w:ind w:firstLine="480"/>
        <w:jc w:val="both"/>
        <w:rPr>
          <w:iCs/>
          <w:color w:val="auto"/>
          <w:kern w:val="2"/>
        </w:rPr>
      </w:pPr>
      <w:r>
        <w:rPr>
          <w:iCs/>
          <w:color w:val="auto"/>
          <w:kern w:val="2"/>
        </w:rPr>
        <w:t>本项目与《中华人民共和国草原法》（中华人民共和国主席令第82号，2021年4月29日修正施行）符合性分析见</w:t>
      </w:r>
      <w:r>
        <w:rPr>
          <w:iCs/>
          <w:color w:val="auto"/>
          <w:kern w:val="2"/>
        </w:rPr>
        <w:fldChar w:fldCharType="begin"/>
      </w:r>
      <w:r>
        <w:rPr>
          <w:iCs/>
          <w:color w:val="auto"/>
          <w:kern w:val="2"/>
        </w:rPr>
        <w:instrText xml:space="preserve"> REF _Ref211957366 \h  \* MERGEFORMAT </w:instrText>
      </w:r>
      <w:r>
        <w:rPr>
          <w:iCs/>
          <w:color w:val="auto"/>
          <w:kern w:val="2"/>
        </w:rPr>
        <w:fldChar w:fldCharType="separate"/>
      </w:r>
      <w:r>
        <w:rPr>
          <w:rFonts w:hint="eastAsia"/>
          <w:color w:val="auto"/>
        </w:rPr>
        <w:t xml:space="preserve">表 </w:t>
      </w:r>
      <w:r>
        <w:rPr>
          <w:color w:val="auto"/>
        </w:rPr>
        <w:t>1.4</w:t>
      </w:r>
      <w:r>
        <w:rPr>
          <w:color w:val="auto"/>
        </w:rPr>
        <w:noBreakHyphen/>
      </w:r>
      <w:r>
        <w:rPr>
          <w:color w:val="auto"/>
        </w:rPr>
        <w:t>20</w:t>
      </w:r>
      <w:r>
        <w:rPr>
          <w:iCs/>
          <w:color w:val="auto"/>
          <w:kern w:val="2"/>
        </w:rPr>
        <w:fldChar w:fldCharType="end"/>
      </w:r>
      <w:r>
        <w:rPr>
          <w:iCs/>
          <w:color w:val="auto"/>
          <w:kern w:val="2"/>
        </w:rPr>
        <w:t>。</w:t>
      </w:r>
    </w:p>
    <w:p w14:paraId="7E4D908F">
      <w:pPr>
        <w:pStyle w:val="22"/>
        <w:spacing w:before="156"/>
        <w:rPr>
          <w:color w:val="auto"/>
        </w:rPr>
      </w:pPr>
      <w:bookmarkStart w:id="152" w:name="_Ref211957366"/>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20</w:t>
      </w:r>
      <w:r>
        <w:rPr>
          <w:color w:val="auto"/>
        </w:rPr>
        <w:fldChar w:fldCharType="end"/>
      </w:r>
      <w:bookmarkEnd w:id="152"/>
      <w:r>
        <w:rPr>
          <w:color w:val="auto"/>
        </w:rPr>
        <w:t>本项目与《中华人民共和国草原法》相关要求符合性一览表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651"/>
        <w:gridCol w:w="3991"/>
        <w:gridCol w:w="940"/>
      </w:tblGrid>
      <w:tr w14:paraId="4412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00AFA80D">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序号</w:t>
            </w:r>
          </w:p>
        </w:tc>
        <w:tc>
          <w:tcPr>
            <w:tcW w:w="1966" w:type="pct"/>
            <w:shd w:val="clear" w:color="auto" w:fill="auto"/>
            <w:vAlign w:val="center"/>
          </w:tcPr>
          <w:p w14:paraId="6DCEB5FD">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文件要求</w:t>
            </w:r>
          </w:p>
        </w:tc>
        <w:tc>
          <w:tcPr>
            <w:tcW w:w="2149" w:type="pct"/>
            <w:shd w:val="clear" w:color="auto" w:fill="auto"/>
            <w:vAlign w:val="center"/>
          </w:tcPr>
          <w:p w14:paraId="2E289EC0">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符合性分析</w:t>
            </w:r>
          </w:p>
        </w:tc>
        <w:tc>
          <w:tcPr>
            <w:tcW w:w="506" w:type="pct"/>
            <w:shd w:val="clear" w:color="auto" w:fill="auto"/>
            <w:vAlign w:val="center"/>
          </w:tcPr>
          <w:p w14:paraId="675F0A1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w:t>
            </w:r>
          </w:p>
        </w:tc>
      </w:tr>
      <w:tr w14:paraId="0CF5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1DBA3CE0">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1</w:t>
            </w:r>
          </w:p>
        </w:tc>
        <w:tc>
          <w:tcPr>
            <w:tcW w:w="1966" w:type="pct"/>
            <w:shd w:val="clear" w:color="auto" w:fill="auto"/>
            <w:vAlign w:val="center"/>
          </w:tcPr>
          <w:p w14:paraId="0CBE1BB8">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进行矿藏开采和工程建设，应当不占或者少占草原；确需征收、征用或者使用草原的，必须经省级以上人民政府草原行政主管部门审核同意后，依照有关土地管理的法律、行政法规办理建设用地审批手续。</w:t>
            </w:r>
          </w:p>
        </w:tc>
        <w:tc>
          <w:tcPr>
            <w:tcW w:w="2149" w:type="pct"/>
            <w:vMerge w:val="restart"/>
            <w:shd w:val="clear" w:color="auto" w:fill="auto"/>
            <w:vAlign w:val="center"/>
          </w:tcPr>
          <w:p w14:paraId="743A1A1D">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不位于草原区，部分井场建设占用一般草地。临时占地采取剥离占地内0.3m的表土，采用分层开挖，分层堆放，暂存于占地内的表土剥离临时堆放区，并采取苫布遮盖、洒水抑尘等措施防止水土流失。针对永久占地按相关规定缴纳土地补偿费，专款用于占地的恢复及补偿，针对临时占地在将剥离的表土在施工结束后分层回填，恢复植被。</w:t>
            </w:r>
          </w:p>
        </w:tc>
        <w:tc>
          <w:tcPr>
            <w:tcW w:w="506" w:type="pct"/>
            <w:vMerge w:val="restart"/>
            <w:shd w:val="clear" w:color="auto" w:fill="auto"/>
            <w:vAlign w:val="center"/>
          </w:tcPr>
          <w:p w14:paraId="7408B42E">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75A0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39A782FF">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2</w:t>
            </w:r>
          </w:p>
        </w:tc>
        <w:tc>
          <w:tcPr>
            <w:tcW w:w="1966" w:type="pct"/>
            <w:shd w:val="clear" w:color="auto" w:fill="auto"/>
            <w:vAlign w:val="center"/>
          </w:tcPr>
          <w:p w14:paraId="6A593FE9">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因建设征收、征用集体所有的草原的，应当依照《中华人民共和国土地管理法》的规定给予补偿；因建设使用国家所有的草原的，应当依照国务院有关规定对草原承包经营者给予补偿。</w:t>
            </w:r>
          </w:p>
        </w:tc>
        <w:tc>
          <w:tcPr>
            <w:tcW w:w="2149" w:type="pct"/>
            <w:vMerge w:val="continue"/>
            <w:shd w:val="clear" w:color="auto" w:fill="auto"/>
            <w:vAlign w:val="center"/>
          </w:tcPr>
          <w:p w14:paraId="7CF5AE39">
            <w:pPr>
              <w:adjustRightInd w:val="0"/>
              <w:snapToGrid w:val="0"/>
              <w:jc w:val="center"/>
              <w:rPr>
                <w:rFonts w:ascii="宋体" w:hAnsi="宋体" w:eastAsia="宋体" w:cs="Times New Roman"/>
                <w:iCs/>
                <w:color w:val="auto"/>
                <w:kern w:val="28"/>
              </w:rPr>
            </w:pPr>
          </w:p>
        </w:tc>
        <w:tc>
          <w:tcPr>
            <w:tcW w:w="506" w:type="pct"/>
            <w:vMerge w:val="continue"/>
            <w:shd w:val="clear" w:color="auto" w:fill="auto"/>
            <w:vAlign w:val="center"/>
          </w:tcPr>
          <w:p w14:paraId="7829C614">
            <w:pPr>
              <w:adjustRightInd w:val="0"/>
              <w:snapToGrid w:val="0"/>
              <w:jc w:val="center"/>
              <w:rPr>
                <w:rFonts w:ascii="宋体" w:hAnsi="宋体" w:eastAsia="宋体" w:cs="Times New Roman"/>
                <w:iCs/>
                <w:color w:val="auto"/>
                <w:kern w:val="28"/>
              </w:rPr>
            </w:pPr>
          </w:p>
        </w:tc>
      </w:tr>
      <w:tr w14:paraId="7036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35DA9359">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3</w:t>
            </w:r>
          </w:p>
        </w:tc>
        <w:tc>
          <w:tcPr>
            <w:tcW w:w="1966" w:type="pct"/>
            <w:shd w:val="clear" w:color="auto" w:fill="auto"/>
            <w:vAlign w:val="center"/>
          </w:tcPr>
          <w:p w14:paraId="1D538617">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临时占用草原的期限不得超过二年，并不得在临时占用的草原上修建永久性建筑物、构筑物；占用期满，用地单位必须恢复草原植被并及时退还。</w:t>
            </w:r>
          </w:p>
        </w:tc>
        <w:tc>
          <w:tcPr>
            <w:tcW w:w="2149" w:type="pct"/>
            <w:shd w:val="clear" w:color="auto" w:fill="auto"/>
            <w:vAlign w:val="center"/>
          </w:tcPr>
          <w:p w14:paraId="284BE22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本项目计划施工期不超过1年。本项目施工结束后拆除临时用地内临时建（构）筑物，并等质等量恢复临时占地内的草地。</w:t>
            </w:r>
          </w:p>
        </w:tc>
        <w:tc>
          <w:tcPr>
            <w:tcW w:w="506" w:type="pct"/>
            <w:shd w:val="clear" w:color="auto" w:fill="auto"/>
            <w:vAlign w:val="center"/>
          </w:tcPr>
          <w:p w14:paraId="022F6B5B">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bl>
    <w:p w14:paraId="67A59D7D">
      <w:pPr>
        <w:pStyle w:val="276"/>
        <w:widowControl w:val="0"/>
        <w:ind w:firstLine="480"/>
        <w:jc w:val="both"/>
        <w:rPr>
          <w:iCs/>
          <w:color w:val="auto"/>
          <w:kern w:val="2"/>
        </w:rPr>
      </w:pPr>
      <w:r>
        <w:rPr>
          <w:iCs/>
          <w:color w:val="auto"/>
          <w:kern w:val="2"/>
        </w:rPr>
        <w:t>根据以上分析，本项目符合《中华人民共和国草原法》（中华人民共和国主席令第82号，2021年4月29日修正施行）中要求。</w:t>
      </w:r>
    </w:p>
    <w:p w14:paraId="5797B91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与《黑龙江省草原条例》（2018年6月28日修订施行）符合性分析</w:t>
      </w:r>
    </w:p>
    <w:p w14:paraId="72A3E09F">
      <w:pPr>
        <w:pStyle w:val="276"/>
        <w:widowControl w:val="0"/>
        <w:ind w:firstLine="480"/>
        <w:jc w:val="both"/>
        <w:rPr>
          <w:iCs/>
          <w:color w:val="auto"/>
          <w:kern w:val="2"/>
        </w:rPr>
      </w:pPr>
      <w:r>
        <w:rPr>
          <w:iCs/>
          <w:color w:val="auto"/>
          <w:kern w:val="2"/>
        </w:rPr>
        <w:t>本项目与《黑龙江省草原条例》（2018年6月28日修订</w:t>
      </w:r>
      <w:r>
        <w:rPr>
          <w:snapToGrid w:val="0"/>
          <w:color w:val="auto"/>
        </w:rPr>
        <w:t>施行</w:t>
      </w:r>
      <w:r>
        <w:rPr>
          <w:iCs/>
          <w:color w:val="auto"/>
          <w:kern w:val="2"/>
        </w:rPr>
        <w:t>）符合性分析见</w:t>
      </w:r>
      <w:r>
        <w:rPr>
          <w:iCs/>
          <w:color w:val="auto"/>
          <w:kern w:val="2"/>
        </w:rPr>
        <w:fldChar w:fldCharType="begin"/>
      </w:r>
      <w:r>
        <w:rPr>
          <w:iCs/>
          <w:color w:val="auto"/>
          <w:kern w:val="2"/>
        </w:rPr>
        <w:instrText xml:space="preserve"> REF _Ref211957372 \h  \* MERGEFORMAT </w:instrText>
      </w:r>
      <w:r>
        <w:rPr>
          <w:iCs/>
          <w:color w:val="auto"/>
          <w:kern w:val="2"/>
        </w:rPr>
        <w:fldChar w:fldCharType="separate"/>
      </w:r>
      <w:r>
        <w:rPr>
          <w:rFonts w:hint="eastAsia"/>
          <w:color w:val="auto"/>
        </w:rPr>
        <w:t xml:space="preserve">表 </w:t>
      </w:r>
      <w:r>
        <w:rPr>
          <w:color w:val="auto"/>
        </w:rPr>
        <w:t>1.4</w:t>
      </w:r>
      <w:r>
        <w:rPr>
          <w:color w:val="auto"/>
        </w:rPr>
        <w:noBreakHyphen/>
      </w:r>
      <w:r>
        <w:rPr>
          <w:color w:val="auto"/>
        </w:rPr>
        <w:t>21</w:t>
      </w:r>
      <w:r>
        <w:rPr>
          <w:iCs/>
          <w:color w:val="auto"/>
          <w:kern w:val="2"/>
        </w:rPr>
        <w:fldChar w:fldCharType="end"/>
      </w:r>
      <w:r>
        <w:rPr>
          <w:iCs/>
          <w:color w:val="auto"/>
          <w:kern w:val="2"/>
        </w:rPr>
        <w:t>。</w:t>
      </w:r>
    </w:p>
    <w:p w14:paraId="13ED21FC">
      <w:pPr>
        <w:pStyle w:val="22"/>
        <w:spacing w:before="156"/>
        <w:rPr>
          <w:rFonts w:hAnsi="宋体" w:cs="Times New Roman"/>
          <w:iCs/>
          <w:color w:val="auto"/>
        </w:rPr>
      </w:pPr>
      <w:bookmarkStart w:id="153" w:name="_Ref211957372"/>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21</w:t>
      </w:r>
      <w:r>
        <w:rPr>
          <w:color w:val="auto"/>
        </w:rPr>
        <w:fldChar w:fldCharType="end"/>
      </w:r>
      <w:bookmarkEnd w:id="153"/>
      <w:r>
        <w:rPr>
          <w:color w:val="auto"/>
        </w:rPr>
        <w:t xml:space="preserve">  本项目与《黑龙江省草原条例》相关要求符合性一览表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33"/>
        <w:gridCol w:w="3409"/>
        <w:gridCol w:w="940"/>
      </w:tblGrid>
      <w:tr w14:paraId="31C2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0B3D7B8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序号</w:t>
            </w:r>
          </w:p>
        </w:tc>
        <w:tc>
          <w:tcPr>
            <w:tcW w:w="2279" w:type="pct"/>
            <w:shd w:val="clear" w:color="auto" w:fill="auto"/>
            <w:vAlign w:val="center"/>
          </w:tcPr>
          <w:p w14:paraId="50B84EEB">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文件要求</w:t>
            </w:r>
          </w:p>
        </w:tc>
        <w:tc>
          <w:tcPr>
            <w:tcW w:w="1835" w:type="pct"/>
            <w:shd w:val="clear" w:color="auto" w:fill="auto"/>
            <w:vAlign w:val="center"/>
          </w:tcPr>
          <w:p w14:paraId="49B870A7">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符合性分析</w:t>
            </w:r>
          </w:p>
        </w:tc>
        <w:tc>
          <w:tcPr>
            <w:tcW w:w="506" w:type="pct"/>
            <w:shd w:val="clear" w:color="auto" w:fill="auto"/>
            <w:vAlign w:val="center"/>
          </w:tcPr>
          <w:p w14:paraId="43C683FE">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w:t>
            </w:r>
          </w:p>
        </w:tc>
      </w:tr>
      <w:tr w14:paraId="2E77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107AE93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1</w:t>
            </w:r>
          </w:p>
        </w:tc>
        <w:tc>
          <w:tcPr>
            <w:tcW w:w="2279" w:type="pct"/>
            <w:shd w:val="clear" w:color="auto" w:fill="auto"/>
            <w:vAlign w:val="center"/>
          </w:tcPr>
          <w:p w14:paraId="56514C47">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在草原上从事采土、采砂、采石等作业活动，应当报县级草原行政主管部门批准；开采矿产资源的，并应当依法办理有关手续。</w:t>
            </w:r>
          </w:p>
          <w:p w14:paraId="07E81836">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经批准在草原上从事本条第一款所列活动的，应当在规定的时间、区域内，按照准许的采挖方式作业，并采取保护草原植被的措施。</w:t>
            </w:r>
          </w:p>
          <w:p w14:paraId="6DF58FFA">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在他人使用的草原上从事本条第一款所列活动的，还应当事先征得草原使用者的同意。</w:t>
            </w:r>
          </w:p>
        </w:tc>
        <w:tc>
          <w:tcPr>
            <w:tcW w:w="1835" w:type="pct"/>
            <w:vMerge w:val="restart"/>
            <w:shd w:val="clear" w:color="auto" w:fill="auto"/>
            <w:vAlign w:val="center"/>
          </w:tcPr>
          <w:p w14:paraId="00A16B27">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施工前报县级草原行政主管部门征求批准，办理用地审批手续。本项目建设占用草地（一般草地），临时占地采取剥离占地内0.3m的表土，采用分层开挖，分层堆放，暂存于井场或管线两侧内的表土剥离临时堆放区，并采取苫布遮盖、洒水抑尘等措施防止水土流失。针对永久占地按当地相关规定缴纳土地补偿费，专款用于占地的恢复及补偿，针对临时占地在将剥离的表土在施工结束后分层回填，确保恢复等质等量面积的草地。</w:t>
            </w:r>
          </w:p>
        </w:tc>
        <w:tc>
          <w:tcPr>
            <w:tcW w:w="506" w:type="pct"/>
            <w:vMerge w:val="restart"/>
            <w:shd w:val="clear" w:color="auto" w:fill="auto"/>
            <w:vAlign w:val="center"/>
          </w:tcPr>
          <w:p w14:paraId="4B985810">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021B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2D209001">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2</w:t>
            </w:r>
          </w:p>
        </w:tc>
        <w:tc>
          <w:tcPr>
            <w:tcW w:w="2279" w:type="pct"/>
            <w:shd w:val="clear" w:color="auto" w:fill="auto"/>
            <w:vAlign w:val="center"/>
          </w:tcPr>
          <w:p w14:paraId="554152C0">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矿藏开采和工程建设，确需征用或者使用草原的，应当经省草原行政主管部门审核同意后，按照国家土地管理法律、法规的规定办理用地审批手续，在工程实施前由用地单位依法支付补偿费、植被恢复费、附着物补偿费和当年草原应有收益以及承包者进行草原建设和改良的实际投入。</w:t>
            </w:r>
          </w:p>
        </w:tc>
        <w:tc>
          <w:tcPr>
            <w:tcW w:w="1835" w:type="pct"/>
            <w:vMerge w:val="continue"/>
            <w:shd w:val="clear" w:color="auto" w:fill="auto"/>
            <w:vAlign w:val="center"/>
          </w:tcPr>
          <w:p w14:paraId="4610682A">
            <w:pPr>
              <w:adjustRightInd w:val="0"/>
              <w:snapToGrid w:val="0"/>
              <w:jc w:val="center"/>
              <w:rPr>
                <w:rFonts w:ascii="宋体" w:hAnsi="宋体" w:eastAsia="宋体" w:cs="Times New Roman"/>
                <w:iCs/>
                <w:color w:val="auto"/>
                <w:kern w:val="28"/>
              </w:rPr>
            </w:pPr>
          </w:p>
        </w:tc>
        <w:tc>
          <w:tcPr>
            <w:tcW w:w="506" w:type="pct"/>
            <w:vMerge w:val="continue"/>
            <w:shd w:val="clear" w:color="auto" w:fill="auto"/>
            <w:vAlign w:val="center"/>
          </w:tcPr>
          <w:p w14:paraId="7E78F9FB">
            <w:pPr>
              <w:adjustRightInd w:val="0"/>
              <w:snapToGrid w:val="0"/>
              <w:jc w:val="center"/>
              <w:rPr>
                <w:rFonts w:ascii="宋体" w:hAnsi="宋体" w:eastAsia="宋体" w:cs="Times New Roman"/>
                <w:iCs/>
                <w:color w:val="auto"/>
                <w:kern w:val="28"/>
              </w:rPr>
            </w:pPr>
          </w:p>
        </w:tc>
      </w:tr>
      <w:tr w14:paraId="5DE7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63C84FD8">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3</w:t>
            </w:r>
          </w:p>
        </w:tc>
        <w:tc>
          <w:tcPr>
            <w:tcW w:w="2279" w:type="pct"/>
            <w:shd w:val="clear" w:color="auto" w:fill="auto"/>
            <w:vAlign w:val="center"/>
          </w:tcPr>
          <w:p w14:paraId="16AC07B6">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临时使用草原单位应当按照批准的地点、面积、使用方式使用，并给予草原使用权单位补偿。在使用期满后，应当恢复草原植被。县以上草原行政主管部门对恢复植被的，应当及时退还恢复植被保证金；对未恢复植被的，用保证金代为恢复。恢复植被保证金的标准由草原行政主管部门根据恢复草原植被所需费用确定。</w:t>
            </w:r>
          </w:p>
        </w:tc>
        <w:tc>
          <w:tcPr>
            <w:tcW w:w="1835" w:type="pct"/>
            <w:shd w:val="clear" w:color="auto" w:fill="auto"/>
            <w:vAlign w:val="center"/>
          </w:tcPr>
          <w:p w14:paraId="60B08D5C">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本项目在施工阶段加强管理，不占用施工场地外的土地，施工结束后对临时占地内剥离的表土进行分层回填，确保恢复等质等量面积的草地。</w:t>
            </w:r>
          </w:p>
        </w:tc>
        <w:tc>
          <w:tcPr>
            <w:tcW w:w="506" w:type="pct"/>
            <w:shd w:val="clear" w:color="auto" w:fill="auto"/>
            <w:vAlign w:val="center"/>
          </w:tcPr>
          <w:p w14:paraId="702BDDC2">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bl>
    <w:p w14:paraId="0C5F3A72">
      <w:pPr>
        <w:pStyle w:val="276"/>
        <w:widowControl w:val="0"/>
        <w:ind w:firstLine="480"/>
        <w:jc w:val="both"/>
        <w:rPr>
          <w:iCs/>
          <w:color w:val="auto"/>
          <w:kern w:val="2"/>
        </w:rPr>
      </w:pPr>
      <w:r>
        <w:rPr>
          <w:iCs/>
          <w:color w:val="auto"/>
          <w:kern w:val="2"/>
        </w:rPr>
        <w:t>根据以上分析，本项目符合《黑龙江省草原条例》（</w:t>
      </w:r>
      <w:r>
        <w:rPr>
          <w:snapToGrid w:val="0"/>
          <w:color w:val="auto"/>
        </w:rPr>
        <w:t>2018</w:t>
      </w:r>
      <w:r>
        <w:rPr>
          <w:iCs/>
          <w:color w:val="auto"/>
          <w:kern w:val="2"/>
        </w:rPr>
        <w:t>年6月28日修订施行）中要求。</w:t>
      </w:r>
    </w:p>
    <w:p w14:paraId="3C51E4B5">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与《中华人民共和国石油天然气管道保护法》（2010年10月1日起施行）符合性分析</w:t>
      </w:r>
    </w:p>
    <w:p w14:paraId="2CBFBD8F">
      <w:pPr>
        <w:pStyle w:val="276"/>
        <w:widowControl w:val="0"/>
        <w:ind w:firstLine="480"/>
        <w:jc w:val="both"/>
        <w:rPr>
          <w:color w:val="auto"/>
        </w:rPr>
      </w:pPr>
      <w:r>
        <w:rPr>
          <w:color w:val="auto"/>
        </w:rPr>
        <w:t>本项目与《中华人民共和国石油天然气管道保护法》（</w:t>
      </w:r>
      <w:r>
        <w:rPr>
          <w:snapToGrid w:val="0"/>
          <w:color w:val="auto"/>
        </w:rPr>
        <w:t>2010</w:t>
      </w:r>
      <w:r>
        <w:rPr>
          <w:color w:val="auto"/>
        </w:rPr>
        <w:t>年10月1日起施行）符合性分析见</w:t>
      </w:r>
      <w:r>
        <w:rPr>
          <w:color w:val="auto"/>
        </w:rPr>
        <w:fldChar w:fldCharType="begin"/>
      </w:r>
      <w:r>
        <w:rPr>
          <w:color w:val="auto"/>
        </w:rPr>
        <w:instrText xml:space="preserve"> REF _Ref211957379 \h  \* MERGEFORMAT </w:instrText>
      </w:r>
      <w:r>
        <w:rPr>
          <w:color w:val="auto"/>
        </w:rPr>
        <w:fldChar w:fldCharType="separate"/>
      </w:r>
      <w:r>
        <w:rPr>
          <w:rFonts w:hint="eastAsia"/>
          <w:color w:val="auto"/>
        </w:rPr>
        <w:t xml:space="preserve">表 </w:t>
      </w:r>
      <w:r>
        <w:rPr>
          <w:color w:val="auto"/>
        </w:rPr>
        <w:t>1.4</w:t>
      </w:r>
      <w:r>
        <w:rPr>
          <w:color w:val="auto"/>
        </w:rPr>
        <w:noBreakHyphen/>
      </w:r>
      <w:r>
        <w:rPr>
          <w:color w:val="auto"/>
        </w:rPr>
        <w:t>22</w:t>
      </w:r>
      <w:r>
        <w:rPr>
          <w:color w:val="auto"/>
        </w:rPr>
        <w:fldChar w:fldCharType="end"/>
      </w:r>
      <w:r>
        <w:rPr>
          <w:color w:val="auto"/>
        </w:rPr>
        <w:t>。</w:t>
      </w:r>
    </w:p>
    <w:p w14:paraId="52D7ED91">
      <w:pPr>
        <w:pStyle w:val="22"/>
        <w:spacing w:before="156"/>
        <w:rPr>
          <w:color w:val="auto"/>
        </w:rPr>
      </w:pPr>
      <w:bookmarkStart w:id="154" w:name="_Ref211957379"/>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22</w:t>
      </w:r>
      <w:r>
        <w:rPr>
          <w:color w:val="auto"/>
        </w:rPr>
        <w:fldChar w:fldCharType="end"/>
      </w:r>
      <w:bookmarkEnd w:id="154"/>
      <w:r>
        <w:rPr>
          <w:color w:val="auto"/>
        </w:rPr>
        <w:t>本项目与《中华人民共和国石油天然气管道保护法》符合性一览表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33"/>
        <w:gridCol w:w="3409"/>
        <w:gridCol w:w="940"/>
      </w:tblGrid>
      <w:tr w14:paraId="6E38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40C1AC9E">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序号</w:t>
            </w:r>
          </w:p>
        </w:tc>
        <w:tc>
          <w:tcPr>
            <w:tcW w:w="2279" w:type="pct"/>
            <w:shd w:val="clear" w:color="auto" w:fill="auto"/>
            <w:vAlign w:val="center"/>
          </w:tcPr>
          <w:p w14:paraId="6107F42D">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文件要求</w:t>
            </w:r>
          </w:p>
        </w:tc>
        <w:tc>
          <w:tcPr>
            <w:tcW w:w="1835" w:type="pct"/>
            <w:shd w:val="clear" w:color="auto" w:fill="auto"/>
            <w:vAlign w:val="center"/>
          </w:tcPr>
          <w:p w14:paraId="092F46D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符合性分析</w:t>
            </w:r>
          </w:p>
        </w:tc>
        <w:tc>
          <w:tcPr>
            <w:tcW w:w="506" w:type="pct"/>
            <w:shd w:val="clear" w:color="auto" w:fill="auto"/>
            <w:vAlign w:val="center"/>
          </w:tcPr>
          <w:p w14:paraId="75BCFCBE">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符合性</w:t>
            </w:r>
          </w:p>
        </w:tc>
      </w:tr>
      <w:tr w14:paraId="2307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1B036568">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1</w:t>
            </w:r>
          </w:p>
        </w:tc>
        <w:tc>
          <w:tcPr>
            <w:tcW w:w="2279" w:type="pct"/>
            <w:shd w:val="clear" w:color="auto" w:fill="auto"/>
            <w:vAlign w:val="center"/>
          </w:tcPr>
          <w:p w14:paraId="6C56183A">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管道企业应当建立、健全管道巡护制度，配备专门人员对管道线路进行日常巡护。管道巡护人员发现危害管道安全的情形或者隐患，应当按照规定及时处理和报告。</w:t>
            </w:r>
          </w:p>
        </w:tc>
        <w:tc>
          <w:tcPr>
            <w:tcW w:w="1835" w:type="pct"/>
            <w:vMerge w:val="restart"/>
            <w:shd w:val="clear" w:color="auto" w:fill="auto"/>
            <w:vAlign w:val="center"/>
          </w:tcPr>
          <w:p w14:paraId="3DEC53EB">
            <w:pPr>
              <w:adjustRightInd w:val="0"/>
              <w:snapToGrid w:val="0"/>
              <w:jc w:val="center"/>
              <w:rPr>
                <w:rFonts w:ascii="宋体" w:hAnsi="宋体" w:eastAsia="宋体" w:cs="Times New Roman"/>
                <w:iCs/>
                <w:color w:val="auto"/>
                <w:kern w:val="28"/>
              </w:rPr>
            </w:pPr>
            <w:r>
              <w:rPr>
                <w:rFonts w:ascii="宋体" w:hAnsi="宋体" w:eastAsia="宋体" w:cs="Times New Roman"/>
                <w:color w:val="auto"/>
                <w:kern w:val="21"/>
              </w:rPr>
              <w:t>本项目管道由</w:t>
            </w:r>
            <w:r>
              <w:rPr>
                <w:rFonts w:hint="eastAsia" w:ascii="宋体" w:hAnsi="宋体" w:eastAsia="宋体" w:cs="Times New Roman"/>
                <w:color w:val="auto"/>
                <w:kern w:val="21"/>
              </w:rPr>
              <w:t>作业区</w:t>
            </w:r>
            <w:r>
              <w:rPr>
                <w:rFonts w:ascii="宋体" w:hAnsi="宋体" w:eastAsia="宋体" w:cs="Times New Roman"/>
                <w:color w:val="auto"/>
                <w:kern w:val="21"/>
              </w:rPr>
              <w:t>小队人员每日巡检，发现问题按程序上报处理。集输管道采用防腐无缝钢管，泄漏事故具有隐蔽性和灾难性，要加强监控，定期对集输管线防腐及腐蚀情况定期检测，及时维修或更新，防止泄漏事故的发生。</w:t>
            </w:r>
          </w:p>
        </w:tc>
        <w:tc>
          <w:tcPr>
            <w:tcW w:w="506" w:type="pct"/>
            <w:vMerge w:val="restart"/>
            <w:shd w:val="clear" w:color="auto" w:fill="auto"/>
            <w:vAlign w:val="center"/>
          </w:tcPr>
          <w:p w14:paraId="2E5C391C">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tr w14:paraId="2187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7B5383F5">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2</w:t>
            </w:r>
          </w:p>
        </w:tc>
        <w:tc>
          <w:tcPr>
            <w:tcW w:w="2279" w:type="pct"/>
            <w:shd w:val="clear" w:color="auto" w:fill="auto"/>
            <w:vAlign w:val="center"/>
          </w:tcPr>
          <w:p w14:paraId="4DFA4716">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管道企业应当定期对管道进行检测、维修，确保其处于良好状态；对管道安全风险较大的区段和场所应当进行重点监测，采取有效措施防止管道事故的发生。</w:t>
            </w:r>
          </w:p>
        </w:tc>
        <w:tc>
          <w:tcPr>
            <w:tcW w:w="1835" w:type="pct"/>
            <w:vMerge w:val="continue"/>
            <w:shd w:val="clear" w:color="auto" w:fill="auto"/>
            <w:vAlign w:val="center"/>
          </w:tcPr>
          <w:p w14:paraId="15860537">
            <w:pPr>
              <w:adjustRightInd w:val="0"/>
              <w:snapToGrid w:val="0"/>
              <w:jc w:val="center"/>
              <w:rPr>
                <w:rFonts w:ascii="宋体" w:hAnsi="宋体" w:eastAsia="宋体" w:cs="Times New Roman"/>
                <w:iCs/>
                <w:color w:val="auto"/>
                <w:kern w:val="28"/>
              </w:rPr>
            </w:pPr>
          </w:p>
        </w:tc>
        <w:tc>
          <w:tcPr>
            <w:tcW w:w="506" w:type="pct"/>
            <w:vMerge w:val="continue"/>
            <w:shd w:val="clear" w:color="auto" w:fill="auto"/>
            <w:vAlign w:val="center"/>
          </w:tcPr>
          <w:p w14:paraId="5182C9E0">
            <w:pPr>
              <w:adjustRightInd w:val="0"/>
              <w:snapToGrid w:val="0"/>
              <w:jc w:val="center"/>
              <w:rPr>
                <w:rFonts w:ascii="宋体" w:hAnsi="宋体" w:eastAsia="宋体" w:cs="Times New Roman"/>
                <w:iCs/>
                <w:color w:val="auto"/>
                <w:kern w:val="28"/>
              </w:rPr>
            </w:pPr>
          </w:p>
        </w:tc>
      </w:tr>
      <w:tr w14:paraId="3B66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shd w:val="clear" w:color="auto" w:fill="auto"/>
            <w:vAlign w:val="center"/>
          </w:tcPr>
          <w:p w14:paraId="62958EE9">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3</w:t>
            </w:r>
          </w:p>
        </w:tc>
        <w:tc>
          <w:tcPr>
            <w:tcW w:w="2279" w:type="pct"/>
            <w:shd w:val="clear" w:color="auto" w:fill="auto"/>
            <w:vAlign w:val="center"/>
          </w:tcPr>
          <w:p w14:paraId="1E9873F6">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管道企业应当制定本企业管道事故应急预案，并报管道所在地县级人民政府主管管道保护工作的部门备案；配备抢险救援人员和设备，并定期进行管道事故应急救援演练。</w:t>
            </w:r>
          </w:p>
        </w:tc>
        <w:tc>
          <w:tcPr>
            <w:tcW w:w="1835" w:type="pct"/>
            <w:shd w:val="clear" w:color="auto" w:fill="auto"/>
            <w:vAlign w:val="center"/>
          </w:tcPr>
          <w:p w14:paraId="59A56CBF">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第十采油厂已制定油气集输管道突发环境事件专项应急预案，对油气集输管道可能发生的泄漏、火灾等各类事故制定了应急处置措施，并定期演练。应急预案已</w:t>
            </w:r>
            <w:r>
              <w:rPr>
                <w:rFonts w:ascii="宋体" w:hAnsi="宋体" w:eastAsia="宋体" w:cs="Times New Roman"/>
                <w:color w:val="auto"/>
              </w:rPr>
              <w:t>于2023年6月15日在大庆市肇州生态环境局进行了备案，备案编号为 230621-2023-012-L。</w:t>
            </w:r>
          </w:p>
        </w:tc>
        <w:tc>
          <w:tcPr>
            <w:tcW w:w="506" w:type="pct"/>
            <w:shd w:val="clear" w:color="auto" w:fill="auto"/>
            <w:vAlign w:val="center"/>
          </w:tcPr>
          <w:p w14:paraId="3A49C70F">
            <w:pPr>
              <w:adjustRightInd w:val="0"/>
              <w:snapToGrid w:val="0"/>
              <w:jc w:val="center"/>
              <w:rPr>
                <w:rFonts w:ascii="宋体" w:hAnsi="宋体" w:eastAsia="宋体" w:cs="Times New Roman"/>
                <w:iCs/>
                <w:color w:val="auto"/>
                <w:kern w:val="28"/>
              </w:rPr>
            </w:pPr>
            <w:r>
              <w:rPr>
                <w:rFonts w:ascii="宋体" w:hAnsi="宋体" w:eastAsia="宋体" w:cs="Times New Roman"/>
                <w:iCs/>
                <w:color w:val="auto"/>
                <w:kern w:val="28"/>
              </w:rPr>
              <w:t>符合</w:t>
            </w:r>
          </w:p>
        </w:tc>
      </w:tr>
      <w:bookmarkEnd w:id="108"/>
      <w:bookmarkEnd w:id="109"/>
      <w:bookmarkEnd w:id="110"/>
      <w:bookmarkEnd w:id="111"/>
    </w:tbl>
    <w:p w14:paraId="623C1B64">
      <w:pPr>
        <w:pStyle w:val="6"/>
        <w:rPr>
          <w:color w:val="auto"/>
        </w:rPr>
      </w:pPr>
      <w:bookmarkStart w:id="155" w:name="_Toc61597176"/>
      <w:r>
        <w:rPr>
          <w:color w:val="auto"/>
        </w:rPr>
        <w:t xml:space="preserve"> “三线一单”符合性分析</w:t>
      </w:r>
      <w:bookmarkEnd w:id="112"/>
      <w:bookmarkEnd w:id="113"/>
      <w:bookmarkEnd w:id="114"/>
      <w:bookmarkEnd w:id="115"/>
      <w:bookmarkEnd w:id="116"/>
      <w:bookmarkEnd w:id="117"/>
      <w:bookmarkEnd w:id="118"/>
      <w:bookmarkEnd w:id="119"/>
      <w:bookmarkEnd w:id="120"/>
      <w:bookmarkEnd w:id="121"/>
      <w:bookmarkEnd w:id="122"/>
      <w:bookmarkEnd w:id="134"/>
      <w:bookmarkEnd w:id="135"/>
      <w:bookmarkEnd w:id="136"/>
      <w:bookmarkEnd w:id="147"/>
      <w:bookmarkEnd w:id="155"/>
    </w:p>
    <w:p w14:paraId="36F3A5FE">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 xml:space="preserve"> “三区三线”位置关系分析</w:t>
      </w:r>
    </w:p>
    <w:p w14:paraId="3C33D2DF">
      <w:pPr>
        <w:pStyle w:val="276"/>
        <w:widowControl w:val="0"/>
        <w:ind w:firstLine="480"/>
        <w:jc w:val="both"/>
        <w:rPr>
          <w:color w:val="auto"/>
        </w:rPr>
      </w:pPr>
      <w:r>
        <w:rPr>
          <w:color w:val="auto"/>
        </w:rPr>
        <w:t>根据《自然资源部办公厅关于辽宁等省启用“三区三线”划定成果作为报批建设项目用地用海依据的函》，本项目黑龙江省大庆市，属于“三区三线”划定启用的区域，其中的“三区”分别为城镇空间、农业空间、生态空间三种类型的国土空间；</w:t>
      </w:r>
      <w:r>
        <w:rPr>
          <w:snapToGrid w:val="0"/>
          <w:color w:val="auto"/>
        </w:rPr>
        <w:t>“三线”</w:t>
      </w:r>
      <w:r>
        <w:rPr>
          <w:color w:val="auto"/>
        </w:rPr>
        <w:t>分别为城镇开发边界、永久基本农田、生态保护红线三条控制线。</w:t>
      </w:r>
    </w:p>
    <w:p w14:paraId="2B2D876F">
      <w:pPr>
        <w:pStyle w:val="276"/>
        <w:widowControl w:val="0"/>
        <w:ind w:firstLine="480"/>
        <w:jc w:val="both"/>
        <w:rPr>
          <w:color w:val="auto"/>
        </w:rPr>
      </w:pPr>
      <w:r>
        <w:rPr>
          <w:color w:val="auto"/>
        </w:rPr>
        <w:t>结合《黑龙江省国土空间总体规划（2021-2035年）》、《大庆市国土空间总体规划（2021-2035年）》：</w:t>
      </w:r>
    </w:p>
    <w:p w14:paraId="0CB17FAD">
      <w:pPr>
        <w:pStyle w:val="276"/>
        <w:widowControl w:val="0"/>
        <w:ind w:firstLine="480"/>
        <w:jc w:val="both"/>
        <w:rPr>
          <w:color w:val="auto"/>
        </w:rPr>
      </w:pPr>
      <w:r>
        <w:rPr>
          <w:rFonts w:hint="eastAsia"/>
          <w:color w:val="auto"/>
        </w:rPr>
        <w:t>（1）</w:t>
      </w:r>
      <w:r>
        <w:rPr>
          <w:color w:val="auto"/>
        </w:rPr>
        <w:t>永久基本农田：</w:t>
      </w:r>
      <w:r>
        <w:rPr>
          <w:rFonts w:hint="eastAsia"/>
          <w:color w:val="auto"/>
        </w:rPr>
        <w:t>根据永久基本农田查询平台，拟建井场涉及永久基本农田，永久占用1.463hm</w:t>
      </w:r>
      <w:r>
        <w:rPr>
          <w:rFonts w:hint="eastAsia"/>
          <w:color w:val="auto"/>
          <w:vertAlign w:val="superscript"/>
        </w:rPr>
        <w:t>2</w:t>
      </w:r>
      <w:r>
        <w:rPr>
          <w:rFonts w:hint="eastAsia"/>
          <w:color w:val="auto"/>
        </w:rPr>
        <w:t>，临时占用2.7hm</w:t>
      </w:r>
      <w:r>
        <w:rPr>
          <w:rFonts w:hint="eastAsia"/>
          <w:color w:val="auto"/>
          <w:vertAlign w:val="superscript"/>
        </w:rPr>
        <w:t>2</w:t>
      </w:r>
      <w:r>
        <w:rPr>
          <w:color w:val="auto"/>
        </w:rPr>
        <w:t>。</w:t>
      </w:r>
      <w:r>
        <w:rPr>
          <w:rFonts w:hint="eastAsia"/>
          <w:color w:val="auto"/>
        </w:rPr>
        <w:t>查询结果见下图。</w:t>
      </w:r>
    </w:p>
    <w:p w14:paraId="107BB4DE">
      <w:pPr>
        <w:pStyle w:val="79"/>
        <w:ind w:firstLine="0" w:firstLineChars="0"/>
        <w:rPr>
          <w:rFonts w:ascii="宋体" w:hAnsi="宋体"/>
          <w:color w:val="auto"/>
        </w:rPr>
      </w:pPr>
      <w:r>
        <w:rPr>
          <w:rFonts w:hint="eastAsia" w:ascii="宋体" w:hAnsi="宋体"/>
          <w:color w:val="auto"/>
        </w:rPr>
        <w:drawing>
          <wp:inline distT="0" distB="0" distL="114300" distR="114300">
            <wp:extent cx="5755005" cy="2883535"/>
            <wp:effectExtent l="0" t="0" r="17145" b="12065"/>
            <wp:docPr id="50523506" name="图片 50523506" descr="56bf239331f683e655722184d1842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06" name="图片 50523506" descr="56bf239331f683e655722184d18421bd"/>
                    <pic:cNvPicPr>
                      <a:picLocks noChangeAspect="1"/>
                    </pic:cNvPicPr>
                  </pic:nvPicPr>
                  <pic:blipFill>
                    <a:blip r:embed="rId20"/>
                    <a:stretch>
                      <a:fillRect/>
                    </a:stretch>
                  </pic:blipFill>
                  <pic:spPr>
                    <a:xfrm>
                      <a:off x="0" y="0"/>
                      <a:ext cx="5755005" cy="2883535"/>
                    </a:xfrm>
                    <a:prstGeom prst="rect">
                      <a:avLst/>
                    </a:prstGeom>
                  </pic:spPr>
                </pic:pic>
              </a:graphicData>
            </a:graphic>
          </wp:inline>
        </w:drawing>
      </w:r>
    </w:p>
    <w:p w14:paraId="74D651C8">
      <w:pPr>
        <w:pStyle w:val="22"/>
        <w:spacing w:before="156"/>
        <w:rPr>
          <w:rFonts w:hAnsi="宋体"/>
          <w:color w:val="auto"/>
          <w:szCs w:val="24"/>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3</w:t>
      </w:r>
      <w:r>
        <w:rPr>
          <w:color w:val="auto"/>
        </w:rPr>
        <w:fldChar w:fldCharType="end"/>
      </w:r>
      <w:r>
        <w:rPr>
          <w:rFonts w:hint="eastAsia" w:hAnsi="宋体"/>
          <w:color w:val="auto"/>
          <w:szCs w:val="24"/>
        </w:rPr>
        <w:t>拟建源斜2401井场与永久基本农田位置关系</w:t>
      </w:r>
    </w:p>
    <w:p w14:paraId="5D0C5B24">
      <w:pPr>
        <w:rPr>
          <w:rFonts w:ascii="宋体" w:hAnsi="宋体" w:eastAsia="宋体"/>
          <w:color w:val="auto"/>
        </w:rPr>
      </w:pPr>
      <w:r>
        <w:rPr>
          <w:rFonts w:ascii="宋体" w:hAnsi="宋体" w:eastAsia="宋体"/>
          <w:color w:val="auto"/>
        </w:rPr>
        <w:drawing>
          <wp:inline distT="0" distB="0" distL="114300" distR="114300">
            <wp:extent cx="5751830" cy="2907665"/>
            <wp:effectExtent l="0" t="0" r="1270" b="6985"/>
            <wp:docPr id="50523507" name="图片 50523507" descr="6c1ca520105df12e9820cca3b6570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07" name="图片 50523507" descr="6c1ca520105df12e9820cca3b657067d"/>
                    <pic:cNvPicPr>
                      <a:picLocks noChangeAspect="1"/>
                    </pic:cNvPicPr>
                  </pic:nvPicPr>
                  <pic:blipFill>
                    <a:blip r:embed="rId21"/>
                    <a:stretch>
                      <a:fillRect/>
                    </a:stretch>
                  </pic:blipFill>
                  <pic:spPr>
                    <a:xfrm>
                      <a:off x="0" y="0"/>
                      <a:ext cx="5751830" cy="2907665"/>
                    </a:xfrm>
                    <a:prstGeom prst="rect">
                      <a:avLst/>
                    </a:prstGeom>
                  </pic:spPr>
                </pic:pic>
              </a:graphicData>
            </a:graphic>
          </wp:inline>
        </w:drawing>
      </w:r>
    </w:p>
    <w:p w14:paraId="3E116D16">
      <w:pPr>
        <w:pStyle w:val="22"/>
        <w:spacing w:before="156"/>
        <w:rPr>
          <w:rFonts w:hAnsi="宋体"/>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4</w:t>
      </w:r>
      <w:r>
        <w:rPr>
          <w:color w:val="auto"/>
        </w:rPr>
        <w:fldChar w:fldCharType="end"/>
      </w:r>
      <w:r>
        <w:rPr>
          <w:rFonts w:hint="eastAsia" w:hAnsi="宋体"/>
          <w:color w:val="auto"/>
          <w:szCs w:val="24"/>
        </w:rPr>
        <w:t>拟建源212-扶平4井场与永久基本农田位置关系</w:t>
      </w:r>
    </w:p>
    <w:p w14:paraId="3D92CC3E">
      <w:pPr>
        <w:rPr>
          <w:rFonts w:ascii="宋体" w:hAnsi="宋体" w:eastAsia="宋体"/>
          <w:color w:val="auto"/>
        </w:rPr>
      </w:pPr>
      <w:r>
        <w:rPr>
          <w:rFonts w:ascii="宋体" w:hAnsi="宋体" w:eastAsia="宋体"/>
          <w:color w:val="auto"/>
        </w:rPr>
        <w:drawing>
          <wp:inline distT="0" distB="0" distL="114300" distR="114300">
            <wp:extent cx="5751830" cy="2917190"/>
            <wp:effectExtent l="0" t="0" r="1270" b="16510"/>
            <wp:docPr id="55" name="图片 55" descr="c8436a54e825ebe6af18d1ff49bb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8436a54e825ebe6af18d1ff49bb5395"/>
                    <pic:cNvPicPr>
                      <a:picLocks noChangeAspect="1"/>
                    </pic:cNvPicPr>
                  </pic:nvPicPr>
                  <pic:blipFill>
                    <a:blip r:embed="rId22"/>
                    <a:stretch>
                      <a:fillRect/>
                    </a:stretch>
                  </pic:blipFill>
                  <pic:spPr>
                    <a:xfrm>
                      <a:off x="0" y="0"/>
                      <a:ext cx="5751830" cy="2917190"/>
                    </a:xfrm>
                    <a:prstGeom prst="rect">
                      <a:avLst/>
                    </a:prstGeom>
                  </pic:spPr>
                </pic:pic>
              </a:graphicData>
            </a:graphic>
          </wp:inline>
        </w:drawing>
      </w:r>
    </w:p>
    <w:p w14:paraId="43B24BE7">
      <w:pPr>
        <w:pStyle w:val="22"/>
        <w:spacing w:before="156"/>
        <w:rPr>
          <w:rFonts w:hAnsi="宋体"/>
          <w:color w:val="auto"/>
          <w:szCs w:val="24"/>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5</w:t>
      </w:r>
      <w:r>
        <w:rPr>
          <w:color w:val="auto"/>
        </w:rPr>
        <w:fldChar w:fldCharType="end"/>
      </w:r>
      <w:r>
        <w:rPr>
          <w:rFonts w:hint="eastAsia" w:hAnsi="宋体"/>
          <w:color w:val="auto"/>
          <w:szCs w:val="24"/>
        </w:rPr>
        <w:t>拟建3#平台井场与永久基本农田位置关系</w:t>
      </w:r>
    </w:p>
    <w:p w14:paraId="2A16AD8B">
      <w:pPr>
        <w:pStyle w:val="276"/>
        <w:widowControl w:val="0"/>
        <w:ind w:firstLine="480"/>
        <w:jc w:val="both"/>
        <w:rPr>
          <w:color w:val="auto"/>
        </w:rPr>
      </w:pPr>
      <w:r>
        <w:rPr>
          <w:rFonts w:hint="eastAsia"/>
          <w:color w:val="auto"/>
        </w:rPr>
        <w:t>（2）</w:t>
      </w:r>
      <w:r>
        <w:rPr>
          <w:color w:val="auto"/>
        </w:rPr>
        <w:t>生态保护红线：</w:t>
      </w:r>
      <w:r>
        <w:rPr>
          <w:rFonts w:hint="eastAsia"/>
          <w:color w:val="auto"/>
        </w:rPr>
        <w:t>根据黑龙江省生态环境分区管控平台，</w:t>
      </w:r>
      <w:r>
        <w:rPr>
          <w:color w:val="auto"/>
        </w:rPr>
        <w:t>项目不涉及生态保护红线</w:t>
      </w:r>
      <w:r>
        <w:rPr>
          <w:rFonts w:hint="eastAsia"/>
          <w:color w:val="auto"/>
        </w:rPr>
        <w:t>，距离最近的生态红线为</w:t>
      </w:r>
      <w:r>
        <w:rPr>
          <w:color w:val="auto"/>
        </w:rPr>
        <w:t>源1011</w:t>
      </w:r>
      <w:r>
        <w:rPr>
          <w:rFonts w:hint="eastAsia"/>
          <w:color w:val="auto"/>
        </w:rPr>
        <w:t>北侧250m的</w:t>
      </w:r>
      <w:r>
        <w:rPr>
          <w:color w:val="auto"/>
        </w:rPr>
        <w:t>肇源县松嫩平原生物多样性维护功能生态保护红线-水源涵养生态功能重要区</w:t>
      </w:r>
      <w:r>
        <w:rPr>
          <w:rFonts w:hint="eastAsia"/>
          <w:color w:val="auto"/>
        </w:rPr>
        <w:t>，</w:t>
      </w:r>
      <w:r>
        <w:rPr>
          <w:color w:val="auto"/>
        </w:rPr>
        <w:t>分区编码</w:t>
      </w:r>
      <w:r>
        <w:rPr>
          <w:rFonts w:hint="eastAsia"/>
          <w:color w:val="auto"/>
        </w:rPr>
        <w:t>为</w:t>
      </w:r>
      <w:r>
        <w:rPr>
          <w:color w:val="auto"/>
        </w:rPr>
        <w:t>YS2306221110001</w:t>
      </w:r>
      <w:r>
        <w:rPr>
          <w:rFonts w:hint="eastAsia"/>
          <w:color w:val="auto"/>
        </w:rPr>
        <w:t>。项目与生态红线位置关系见附件19。</w:t>
      </w:r>
    </w:p>
    <w:p w14:paraId="430C720E">
      <w:pPr>
        <w:pStyle w:val="276"/>
        <w:widowControl w:val="0"/>
        <w:ind w:firstLine="480"/>
        <w:jc w:val="both"/>
        <w:rPr>
          <w:color w:val="auto"/>
        </w:rPr>
      </w:pPr>
      <w:r>
        <w:rPr>
          <w:rFonts w:hint="eastAsia"/>
          <w:color w:val="auto"/>
        </w:rPr>
        <w:t>（3）</w:t>
      </w:r>
      <w:r>
        <w:rPr>
          <w:color w:val="auto"/>
        </w:rPr>
        <w:t>城镇开发边界：本项目所在区域属于油气资源利用区，不涉及城镇开发边界。</w:t>
      </w:r>
    </w:p>
    <w:p w14:paraId="4F8064A4">
      <w:pPr>
        <w:pStyle w:val="276"/>
        <w:widowControl w:val="0"/>
        <w:ind w:firstLine="480"/>
        <w:jc w:val="both"/>
        <w:rPr>
          <w:color w:val="auto"/>
        </w:rPr>
      </w:pPr>
      <w:r>
        <w:rPr>
          <w:color w:val="auto"/>
        </w:rPr>
        <w:t>综上所述，项目符合</w:t>
      </w:r>
      <w:r>
        <w:rPr>
          <w:snapToGrid w:val="0"/>
          <w:color w:val="auto"/>
        </w:rPr>
        <w:t>《黑龙江省国土空间总体规划（2021-2035 年）》</w:t>
      </w:r>
      <w:r>
        <w:rPr>
          <w:color w:val="auto"/>
        </w:rPr>
        <w:t>、《大庆市国土空间总体规划（2021-2035年）》相关要求。</w:t>
      </w:r>
    </w:p>
    <w:p w14:paraId="0BA1D474">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生态保护红线</w:t>
      </w:r>
    </w:p>
    <w:p w14:paraId="5A6016B1">
      <w:pPr>
        <w:pStyle w:val="276"/>
        <w:widowControl w:val="0"/>
        <w:ind w:firstLine="480"/>
        <w:jc w:val="both"/>
        <w:rPr>
          <w:color w:val="auto"/>
          <w:kern w:val="2"/>
        </w:rPr>
      </w:pPr>
      <w:r>
        <w:rPr>
          <w:color w:val="auto"/>
        </w:rPr>
        <w:t>根据《自然资源部办公厅关于辽宁等省启用“三区三线”划定成果作为报批建设项目用地用海依据的函》，本项目位于黑龙江省大庆市，属于“三区三线”划定启用的区域，其中的“三区”分别为城镇空间、农业空间、生态空间三种类型的国土空间；“三线”分别为城镇开发边界、永久基本农田、生态保护红线三条控制线。按照《大庆市国土空间总体规划（2021-2035 年）》，本项目生态环境分区管控分析报告和黑龙江省生态保护红线分布图，</w:t>
      </w:r>
      <w:r>
        <w:rPr>
          <w:color w:val="auto"/>
          <w:szCs w:val="21"/>
        </w:rPr>
        <w:t>本项目占用永久基本农田、一般耕地和一般草地，不在生态保护红线、城镇开发边界内，且</w:t>
      </w:r>
      <w:r>
        <w:rPr>
          <w:color w:val="auto"/>
        </w:rPr>
        <w:t>本项目</w:t>
      </w:r>
      <w:r>
        <w:rPr>
          <w:rFonts w:hint="eastAsia"/>
          <w:color w:val="auto"/>
        </w:rPr>
        <w:t>占用</w:t>
      </w:r>
      <w:r>
        <w:rPr>
          <w:color w:val="auto"/>
        </w:rPr>
        <w:t>国家、省、市级自然保护区、自然文化遗产、风景名胜区、文物古迹、饮用水水源保护区、重要湿地等区域。根据黑龙江省生态保护红线分布图，本项目不在生态保护红线范围内，</w:t>
      </w:r>
      <w:r>
        <w:rPr>
          <w:rFonts w:hint="eastAsia"/>
          <w:color w:val="auto"/>
        </w:rPr>
        <w:t>距离最近的生态红线为</w:t>
      </w:r>
      <w:r>
        <w:rPr>
          <w:color w:val="auto"/>
        </w:rPr>
        <w:t>源1011</w:t>
      </w:r>
      <w:r>
        <w:rPr>
          <w:rFonts w:hint="eastAsia"/>
          <w:color w:val="auto"/>
        </w:rPr>
        <w:t>北侧250m的</w:t>
      </w:r>
      <w:r>
        <w:rPr>
          <w:color w:val="auto"/>
        </w:rPr>
        <w:t>肇源县松嫩平原生物多样性维护功能生态保护红线-水源涵养生态功能重要区</w:t>
      </w:r>
      <w:r>
        <w:rPr>
          <w:rFonts w:hint="eastAsia"/>
          <w:color w:val="auto"/>
        </w:rPr>
        <w:t>，</w:t>
      </w:r>
      <w:r>
        <w:rPr>
          <w:color w:val="auto"/>
        </w:rPr>
        <w:t>分区编码</w:t>
      </w:r>
      <w:r>
        <w:rPr>
          <w:rFonts w:hint="eastAsia"/>
          <w:color w:val="auto"/>
        </w:rPr>
        <w:t>为</w:t>
      </w:r>
      <w:r>
        <w:rPr>
          <w:color w:val="auto"/>
        </w:rPr>
        <w:t>YS2306221110001</w:t>
      </w:r>
      <w:r>
        <w:rPr>
          <w:rFonts w:hint="eastAsia"/>
          <w:color w:val="auto"/>
        </w:rPr>
        <w:t>。</w:t>
      </w:r>
      <w:r>
        <w:rPr>
          <w:color w:val="auto"/>
        </w:rPr>
        <w:t>本项目与黑龙江省生态保护红线的位置关系见附图19。根据《黑龙江省生态环境分区管控动态更新成果（2023年版）》及《大庆市生态环境准入清单（2023年版）》中划分的环境管控单元内容，本项目占用优先保护单元、重点管控单元和一般管控单元。本项目与分区管控要求符合性分析见</w:t>
      </w:r>
      <w:r>
        <w:rPr>
          <w:color w:val="auto"/>
        </w:rPr>
        <w:fldChar w:fldCharType="begin"/>
      </w:r>
      <w:r>
        <w:rPr>
          <w:color w:val="auto"/>
        </w:rPr>
        <w:instrText xml:space="preserve"> REF _Ref211957418 \h  \* MERGEFORMAT </w:instrText>
      </w:r>
      <w:r>
        <w:rPr>
          <w:color w:val="auto"/>
        </w:rPr>
        <w:fldChar w:fldCharType="separate"/>
      </w:r>
      <w:r>
        <w:rPr>
          <w:rFonts w:hint="eastAsia"/>
          <w:color w:val="auto"/>
        </w:rPr>
        <w:t xml:space="preserve">表 </w:t>
      </w:r>
      <w:r>
        <w:rPr>
          <w:color w:val="auto"/>
        </w:rPr>
        <w:t>1.4</w:t>
      </w:r>
      <w:r>
        <w:rPr>
          <w:color w:val="auto"/>
        </w:rPr>
        <w:noBreakHyphen/>
      </w:r>
      <w:r>
        <w:rPr>
          <w:color w:val="auto"/>
        </w:rPr>
        <w:t>23</w:t>
      </w:r>
      <w:r>
        <w:rPr>
          <w:color w:val="auto"/>
        </w:rPr>
        <w:fldChar w:fldCharType="end"/>
      </w:r>
      <w:r>
        <w:rPr>
          <w:color w:val="auto"/>
        </w:rPr>
        <w:t>。</w:t>
      </w:r>
    </w:p>
    <w:p w14:paraId="3353791D">
      <w:pPr>
        <w:pStyle w:val="22"/>
        <w:spacing w:before="156"/>
        <w:rPr>
          <w:color w:val="auto"/>
        </w:rPr>
      </w:pPr>
      <w:bookmarkStart w:id="156" w:name="_Ref21195741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23</w:t>
      </w:r>
      <w:r>
        <w:rPr>
          <w:color w:val="auto"/>
        </w:rPr>
        <w:fldChar w:fldCharType="end"/>
      </w:r>
      <w:bookmarkEnd w:id="156"/>
      <w:r>
        <w:rPr>
          <w:color w:val="auto"/>
        </w:rPr>
        <w:t>本项目与分区管控要求符合性分析</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2"/>
        <w:gridCol w:w="1847"/>
        <w:gridCol w:w="5966"/>
        <w:gridCol w:w="705"/>
      </w:tblGrid>
      <w:tr w14:paraId="0AF2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0" w:type="pct"/>
            <w:shd w:val="clear" w:color="auto" w:fill="auto"/>
            <w:vAlign w:val="center"/>
          </w:tcPr>
          <w:p w14:paraId="245A2E32">
            <w:pPr>
              <w:jc w:val="center"/>
              <w:rPr>
                <w:rFonts w:ascii="宋体" w:hAnsi="宋体" w:eastAsia="宋体" w:cs="Times New Roman"/>
                <w:color w:val="auto"/>
              </w:rPr>
            </w:pPr>
            <w:r>
              <w:rPr>
                <w:rFonts w:ascii="宋体" w:hAnsi="宋体" w:eastAsia="宋体" w:cs="Times New Roman"/>
                <w:color w:val="auto"/>
              </w:rPr>
              <w:t>环境管控单元</w:t>
            </w:r>
          </w:p>
        </w:tc>
        <w:tc>
          <w:tcPr>
            <w:tcW w:w="1017" w:type="pct"/>
            <w:shd w:val="clear" w:color="auto" w:fill="auto"/>
            <w:vAlign w:val="center"/>
          </w:tcPr>
          <w:p w14:paraId="32AAF3C8">
            <w:pPr>
              <w:jc w:val="center"/>
              <w:rPr>
                <w:rFonts w:ascii="宋体" w:hAnsi="宋体" w:eastAsia="宋体" w:cs="Times New Roman"/>
                <w:color w:val="auto"/>
              </w:rPr>
            </w:pPr>
            <w:r>
              <w:rPr>
                <w:rFonts w:ascii="宋体" w:hAnsi="宋体" w:eastAsia="宋体" w:cs="Times New Roman"/>
                <w:color w:val="auto"/>
              </w:rPr>
              <w:t>分区管控要求</w:t>
            </w:r>
          </w:p>
        </w:tc>
        <w:tc>
          <w:tcPr>
            <w:tcW w:w="3285" w:type="pct"/>
            <w:shd w:val="clear" w:color="auto" w:fill="auto"/>
            <w:vAlign w:val="center"/>
          </w:tcPr>
          <w:p w14:paraId="6356FB4C">
            <w:pPr>
              <w:jc w:val="center"/>
              <w:rPr>
                <w:rFonts w:ascii="宋体" w:hAnsi="宋体" w:eastAsia="宋体" w:cs="Times New Roman"/>
                <w:color w:val="auto"/>
              </w:rPr>
            </w:pPr>
            <w:r>
              <w:rPr>
                <w:rFonts w:ascii="宋体" w:hAnsi="宋体" w:eastAsia="宋体" w:cs="Times New Roman"/>
                <w:color w:val="auto"/>
              </w:rPr>
              <w:t>拟建项目情况</w:t>
            </w:r>
          </w:p>
        </w:tc>
        <w:tc>
          <w:tcPr>
            <w:tcW w:w="388" w:type="pct"/>
            <w:shd w:val="clear" w:color="auto" w:fill="auto"/>
            <w:vAlign w:val="center"/>
          </w:tcPr>
          <w:p w14:paraId="1AF382EE">
            <w:pPr>
              <w:jc w:val="center"/>
              <w:rPr>
                <w:rFonts w:ascii="宋体" w:hAnsi="宋体" w:eastAsia="宋体" w:cs="Times New Roman"/>
                <w:color w:val="auto"/>
              </w:rPr>
            </w:pPr>
            <w:r>
              <w:rPr>
                <w:rFonts w:ascii="宋体" w:hAnsi="宋体" w:eastAsia="宋体" w:cs="Times New Roman"/>
                <w:color w:val="auto"/>
              </w:rPr>
              <w:t>符合性</w:t>
            </w:r>
          </w:p>
        </w:tc>
      </w:tr>
      <w:tr w14:paraId="7F23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0" w:type="pct"/>
            <w:shd w:val="clear" w:color="auto" w:fill="auto"/>
            <w:vAlign w:val="center"/>
          </w:tcPr>
          <w:p w14:paraId="1956B15E">
            <w:pPr>
              <w:jc w:val="center"/>
              <w:rPr>
                <w:rFonts w:ascii="宋体" w:hAnsi="宋体" w:eastAsia="宋体" w:cs="Times New Roman"/>
                <w:color w:val="auto"/>
              </w:rPr>
            </w:pPr>
            <w:r>
              <w:rPr>
                <w:rFonts w:ascii="宋体" w:hAnsi="宋体" w:eastAsia="宋体" w:cs="Times New Roman"/>
                <w:color w:val="auto"/>
              </w:rPr>
              <w:t>优先保护单元</w:t>
            </w:r>
          </w:p>
        </w:tc>
        <w:tc>
          <w:tcPr>
            <w:tcW w:w="1017" w:type="pct"/>
            <w:shd w:val="clear" w:color="auto" w:fill="auto"/>
            <w:vAlign w:val="center"/>
          </w:tcPr>
          <w:p w14:paraId="2DDF2EAD">
            <w:pPr>
              <w:jc w:val="center"/>
              <w:rPr>
                <w:rFonts w:ascii="宋体" w:hAnsi="宋体" w:eastAsia="宋体" w:cs="Times New Roman"/>
                <w:color w:val="auto"/>
              </w:rPr>
            </w:pPr>
            <w:r>
              <w:rPr>
                <w:rFonts w:ascii="宋体" w:hAnsi="宋体" w:eastAsia="宋体" w:cs="Times New Roman"/>
                <w:color w:val="auto"/>
              </w:rPr>
              <w:t>以生态环境保护为主，依法禁止或限制大规模、高强度的工业和城镇建设。在功能受损的优先保护单元，优先开展生态保护修复活动，恢复生态系统服务功能。</w:t>
            </w:r>
          </w:p>
        </w:tc>
        <w:tc>
          <w:tcPr>
            <w:tcW w:w="3285" w:type="pct"/>
            <w:shd w:val="clear" w:color="auto" w:fill="auto"/>
            <w:vAlign w:val="center"/>
          </w:tcPr>
          <w:p w14:paraId="660E8048">
            <w:pPr>
              <w:jc w:val="center"/>
              <w:rPr>
                <w:rFonts w:ascii="宋体" w:hAnsi="宋体" w:eastAsia="宋体" w:cs="Times New Roman"/>
                <w:color w:val="auto"/>
              </w:rPr>
            </w:pPr>
            <w:r>
              <w:rPr>
                <w:rFonts w:hint="eastAsia" w:ascii="宋体" w:hAnsi="宋体" w:eastAsia="宋体" w:cs="Times New Roman"/>
                <w:color w:val="auto"/>
              </w:rPr>
              <w:t>本项目部分井场占用优先管控单元中的一般生态空间，项目区域</w:t>
            </w:r>
          </w:p>
          <w:p w14:paraId="555C3767">
            <w:pPr>
              <w:jc w:val="center"/>
              <w:rPr>
                <w:rFonts w:ascii="宋体" w:hAnsi="宋体" w:eastAsia="宋体" w:cs="Times New Roman"/>
                <w:color w:val="auto"/>
              </w:rPr>
            </w:pPr>
            <w:r>
              <w:rPr>
                <w:rFonts w:hint="eastAsia" w:ascii="宋体" w:hAnsi="宋体" w:eastAsia="宋体" w:cs="Times New Roman"/>
                <w:color w:val="auto"/>
              </w:rPr>
              <w:t>不属于功能受损的优先保护单元，且本项目不在生态保护红线内。</w:t>
            </w:r>
          </w:p>
          <w:p w14:paraId="4DC63DD0">
            <w:pPr>
              <w:jc w:val="center"/>
              <w:rPr>
                <w:rFonts w:ascii="宋体" w:hAnsi="宋体" w:eastAsia="宋体" w:cs="Times New Roman"/>
                <w:color w:val="auto"/>
              </w:rPr>
            </w:pPr>
            <w:r>
              <w:rPr>
                <w:rFonts w:hint="eastAsia" w:ascii="宋体" w:hAnsi="宋体" w:eastAsia="宋体" w:cs="Times New Roman"/>
                <w:color w:val="auto"/>
              </w:rPr>
              <w:t>本项目属于国家能源设施重点建设项目，</w:t>
            </w:r>
            <w:r>
              <w:rPr>
                <w:rFonts w:ascii="宋体" w:hAnsi="宋体" w:eastAsia="宋体" w:cs="Times New Roman"/>
                <w:color w:val="auto"/>
              </w:rPr>
              <w:t>不属于大规模、高强度的工业和城镇建设工程，项目施工期施工场地采取及时洒水、临时土方等加盖苫布等遮盖物来控制扬尘排放。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管线试压废水由罐车拉运至朝二联含油污水处理站处理后回注油层。压裂返排液由罐车拉运至朝一联压裂返排液无害化处理站处理后，管输进入朝一联含油污水处理站处理后回注油层。水基钻井废水排入井场水基钢制泥浆槽中，及时拉运至大庆油田昆仑集团有限公司环保分公司处理。油基钻井废水排入井场设置的油基钢制泥浆槽中，委托黑龙江迈景环保科技有限公司处理。试油产液通过罐车拉运至朝二联卸油点后，进入朝二联转油脱水站处理系统，朝二联转油脱水站处理后含水油外输至朝二联含油污水处理站处理。施工场地噪声采取合理安排施工时间，注意设备维护和保养等措施降低噪声对周边环境的影响；</w:t>
            </w:r>
          </w:p>
          <w:p w14:paraId="493E34C5">
            <w:pPr>
              <w:jc w:val="center"/>
              <w:rPr>
                <w:rFonts w:ascii="宋体" w:hAnsi="宋体" w:eastAsia="宋体" w:cs="Times New Roman"/>
                <w:color w:val="auto"/>
              </w:rPr>
            </w:pPr>
            <w:r>
              <w:rPr>
                <w:rFonts w:ascii="宋体" w:hAnsi="宋体" w:eastAsia="宋体" w:cs="Times New Roman"/>
                <w:color w:val="auto"/>
              </w:rPr>
              <w:t>施工期水基废钻井液、水基钻井岩屑和不含油射孔液排入井场水基钢制泥浆槽中，及时拉运至大庆油田昆仑集团有限公司环保分公司处理，处理后的压滤水定期由罐车拉运至朝二联含油污水处理站处理后回注油层，处理后的泥饼外售给大庆钻探工程公司钻井二公司综合利用垫井场或铺路；油基废钻井液、油基钻井岩屑和含油废射孔液排入井场设置的油基钢制泥浆槽，委托有危废处理资质的黑龙江迈景环保科技有限公司处理；膨润土、纯碱、重晶石粉废包装袋、施工废料经由施工单位安排拉运至第八采油厂工业固废填埋场处理；含油废防渗布集中收集暂存于第十采油厂综合固废储存库，定期委托有资质单位处理；生活垃圾统一收集拉运至肇源县利民城市垃圾处理有限公司</w:t>
            </w:r>
            <w:r>
              <w:rPr>
                <w:rFonts w:ascii="宋体" w:hAnsi="宋体" w:eastAsia="宋体" w:cs="Times New Roman"/>
                <w:color w:val="auto"/>
                <w:lang w:val="zh-CN"/>
              </w:rPr>
              <w:t>处理</w:t>
            </w:r>
            <w:r>
              <w:rPr>
                <w:rFonts w:ascii="宋体" w:hAnsi="宋体" w:eastAsia="宋体" w:cs="Times New Roman"/>
                <w:color w:val="auto"/>
              </w:rPr>
              <w:t>；封井建筑垃圾统一收集，委托清运至市政部门指定的建筑垃圾调配场处置；勘探井试油产生的落地油由罐车拉运至朝一联含油污泥处理站减量化处理后，再委托大庆博昕晶化科技有限公司处理。运营期产生的含油污泥及落地油全部回收，由罐车拉运至朝一联含油污泥处理站减量化处理后，再委托大庆博昕晶化科技有限公司处理；含油废防渗布经收集后暂存于第十采油厂综合固废储存库，定期委托有资质单位处理。采取以上措施可满足以生态环境保护为主的要求。</w:t>
            </w:r>
          </w:p>
        </w:tc>
        <w:tc>
          <w:tcPr>
            <w:tcW w:w="388" w:type="pct"/>
            <w:shd w:val="clear" w:color="auto" w:fill="auto"/>
            <w:vAlign w:val="center"/>
          </w:tcPr>
          <w:p w14:paraId="727B4C18">
            <w:pPr>
              <w:jc w:val="center"/>
              <w:rPr>
                <w:rFonts w:ascii="宋体" w:hAnsi="宋体" w:eastAsia="宋体" w:cs="Times New Roman"/>
                <w:color w:val="auto"/>
              </w:rPr>
            </w:pPr>
            <w:r>
              <w:rPr>
                <w:rFonts w:ascii="宋体" w:hAnsi="宋体" w:eastAsia="宋体" w:cs="Times New Roman"/>
                <w:color w:val="auto"/>
              </w:rPr>
              <w:t>符合</w:t>
            </w:r>
          </w:p>
        </w:tc>
      </w:tr>
      <w:tr w14:paraId="3E64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0" w:type="pct"/>
            <w:shd w:val="clear" w:color="auto" w:fill="auto"/>
            <w:vAlign w:val="center"/>
          </w:tcPr>
          <w:p w14:paraId="03E03D00">
            <w:pPr>
              <w:jc w:val="center"/>
              <w:rPr>
                <w:rFonts w:ascii="宋体" w:hAnsi="宋体" w:eastAsia="宋体" w:cs="Times New Roman"/>
                <w:color w:val="auto"/>
              </w:rPr>
            </w:pPr>
            <w:r>
              <w:rPr>
                <w:rFonts w:ascii="宋体" w:hAnsi="宋体" w:eastAsia="宋体" w:cs="Times New Roman"/>
                <w:color w:val="auto"/>
              </w:rPr>
              <w:t>重点管控单元</w:t>
            </w:r>
          </w:p>
        </w:tc>
        <w:tc>
          <w:tcPr>
            <w:tcW w:w="1017" w:type="pct"/>
            <w:shd w:val="clear" w:color="auto" w:fill="auto"/>
            <w:vAlign w:val="center"/>
          </w:tcPr>
          <w:p w14:paraId="4C90E3F8">
            <w:pPr>
              <w:jc w:val="center"/>
              <w:rPr>
                <w:rFonts w:ascii="宋体" w:hAnsi="宋体" w:eastAsia="宋体" w:cs="Times New Roman"/>
                <w:color w:val="auto"/>
              </w:rPr>
            </w:pPr>
            <w:r>
              <w:rPr>
                <w:rFonts w:ascii="宋体" w:hAnsi="宋体" w:eastAsia="宋体" w:cs="Times New Roman"/>
                <w:color w:val="auto"/>
              </w:rPr>
              <w:t>重点管控单元突出污染物排放控制和环境风险防控，按照差别化的生态环境准入要求，优先空间和产业布局，不断提升资源利用效率，强化环境质量改善目标约束，解决局部生态环境质量不达标、生态环境风险高的问题。</w:t>
            </w:r>
          </w:p>
        </w:tc>
        <w:tc>
          <w:tcPr>
            <w:tcW w:w="3285" w:type="pct"/>
            <w:shd w:val="clear" w:color="auto" w:fill="auto"/>
            <w:vAlign w:val="center"/>
          </w:tcPr>
          <w:p w14:paraId="6D86790F">
            <w:pPr>
              <w:jc w:val="center"/>
              <w:rPr>
                <w:rFonts w:ascii="宋体" w:hAnsi="宋体" w:eastAsia="宋体" w:cs="Times New Roman"/>
                <w:color w:val="auto"/>
              </w:rPr>
            </w:pPr>
            <w:r>
              <w:rPr>
                <w:rFonts w:ascii="宋体" w:hAnsi="宋体" w:eastAsia="宋体" w:cs="Times New Roman"/>
                <w:color w:val="auto"/>
              </w:rPr>
              <w:t>本项目不属于大规模、高强度的工业和城镇建设工程，项目施工期施工场地采取及时洒水、临时土方等加盖苫布等遮盖物来控制扬尘排放。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管线试压废水由罐车拉运至朝二联含油污水处理站处理后回注油层。压裂返排液由罐车拉运至朝一联压裂返排液无害化处理站处理后，管输进入朝一联含油污水处理站处理后回注油层。水基钻井废水排入井场水基钢制泥浆槽中，及时拉运至大庆油田昆仑集团有限公司环保分公司处理。油基钻井废水排入井场设置的油基钢制泥浆槽中，委托黑龙江迈景环保科技有限公司处理。试油产液通过罐车拉运至朝二联卸油点后，进入朝二联转油脱水站处理系统，朝二联转油脱水站处理后含水油外输至朝二联含油污水处理站处理。施工场地噪声采取合理安排施工时间，注意设备维护和保养等措施降低噪声对周边环境的影响；</w:t>
            </w:r>
          </w:p>
          <w:p w14:paraId="5ADF17BA">
            <w:pPr>
              <w:jc w:val="center"/>
              <w:rPr>
                <w:rFonts w:ascii="宋体" w:hAnsi="宋体" w:eastAsia="宋体" w:cs="Times New Roman"/>
                <w:color w:val="auto"/>
              </w:rPr>
            </w:pPr>
            <w:r>
              <w:rPr>
                <w:rFonts w:ascii="宋体" w:hAnsi="宋体" w:eastAsia="宋体" w:cs="Times New Roman"/>
                <w:color w:val="auto"/>
              </w:rPr>
              <w:t>施工期水基废钻井液、水基钻井岩屑和不含油射孔液排入井场水基钢制泥浆槽中，及时拉运至大庆油田昆仑集团有限公司环保分公司处理，处理后的压滤水定期由罐车拉运至朝二联含油污水处理站处理后回注油层，处理后的泥饼外售给大庆钻探工程公司钻井二公司综合利用垫井场或铺路；油基废钻井液、油基钻井岩屑和含油废射孔液排入井场设置的油基钢制泥浆槽，委托有危废处理资质的黑龙江迈景环保科技有限公司处理；膨润土、纯碱、重晶石粉废包装袋、施工废料经由施工单位安排拉运至第八采油厂工业固废填埋场处理；含油废防渗布集中收集暂存于第十采油厂综合固废储存库，定期委托有资质单位处理；生活垃圾统一收集拉运至肇源县利民城市垃圾处理有限公司</w:t>
            </w:r>
            <w:r>
              <w:rPr>
                <w:rFonts w:ascii="宋体" w:hAnsi="宋体" w:eastAsia="宋体" w:cs="Times New Roman"/>
                <w:color w:val="auto"/>
                <w:lang w:val="zh-CN"/>
              </w:rPr>
              <w:t>处理</w:t>
            </w:r>
            <w:r>
              <w:rPr>
                <w:rFonts w:ascii="宋体" w:hAnsi="宋体" w:eastAsia="宋体" w:cs="Times New Roman"/>
                <w:color w:val="auto"/>
              </w:rPr>
              <w:t>；封井建筑垃圾统一收集，委托清运至市政部门指定的建筑垃圾调配场处置；勘探井试油产生的落地油由罐车拉运至朝一联含油污泥处理站减量化处理后，再委托大庆博昕晶化科技有限公司处理。运营期产生的含油污泥及落地油全部回收，由罐车拉运至朝一联含油污泥处理站减量化处理后，再委托大庆博昕晶化科技有限公司处理；含油废防渗布经收集后暂存于第十采油厂综合固废储存库，定期委托有资质单位处理。采取以上措施可满足以生态环境保护为主的要求。在环境风险防控方面采取加强施工管理、制定岗位操作规程并定期培训学习、实行岗位责任制、制定可行的突发环境事件环境应急预案等措施。采取以上措施可有效解决局部生态环境质量不达标、生态环境风险高的问题。</w:t>
            </w:r>
          </w:p>
        </w:tc>
        <w:tc>
          <w:tcPr>
            <w:tcW w:w="388" w:type="pct"/>
            <w:shd w:val="clear" w:color="auto" w:fill="auto"/>
            <w:vAlign w:val="center"/>
          </w:tcPr>
          <w:p w14:paraId="3B9E2E56">
            <w:pPr>
              <w:jc w:val="center"/>
              <w:rPr>
                <w:rFonts w:ascii="宋体" w:hAnsi="宋体" w:eastAsia="宋体" w:cs="Times New Roman"/>
                <w:color w:val="auto"/>
              </w:rPr>
            </w:pPr>
            <w:r>
              <w:rPr>
                <w:rFonts w:ascii="宋体" w:hAnsi="宋体" w:eastAsia="宋体" w:cs="Times New Roman"/>
                <w:color w:val="auto"/>
              </w:rPr>
              <w:t>符合</w:t>
            </w:r>
          </w:p>
        </w:tc>
      </w:tr>
      <w:tr w14:paraId="7EE3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0" w:type="pct"/>
            <w:shd w:val="clear" w:color="auto" w:fill="auto"/>
            <w:vAlign w:val="center"/>
          </w:tcPr>
          <w:p w14:paraId="2C86367C">
            <w:pPr>
              <w:jc w:val="center"/>
              <w:rPr>
                <w:rFonts w:ascii="宋体" w:hAnsi="宋体" w:eastAsia="宋体" w:cs="Times New Roman"/>
                <w:color w:val="auto"/>
              </w:rPr>
            </w:pPr>
            <w:r>
              <w:rPr>
                <w:rFonts w:ascii="宋体" w:hAnsi="宋体" w:eastAsia="宋体" w:cs="Times New Roman"/>
                <w:color w:val="auto"/>
              </w:rPr>
              <w:t>一般管控单元</w:t>
            </w:r>
          </w:p>
        </w:tc>
        <w:tc>
          <w:tcPr>
            <w:tcW w:w="1017" w:type="pct"/>
            <w:shd w:val="clear" w:color="auto" w:fill="auto"/>
            <w:vAlign w:val="center"/>
          </w:tcPr>
          <w:p w14:paraId="33E50FCF">
            <w:pPr>
              <w:jc w:val="center"/>
              <w:rPr>
                <w:rFonts w:ascii="宋体" w:hAnsi="宋体" w:eastAsia="宋体" w:cs="Times New Roman"/>
                <w:color w:val="auto"/>
              </w:rPr>
            </w:pPr>
            <w:r>
              <w:rPr>
                <w:rFonts w:ascii="宋体" w:hAnsi="宋体" w:eastAsia="宋体" w:cs="Times New Roman"/>
                <w:color w:val="auto"/>
              </w:rPr>
              <w:t>以生态环境保护与适度开发相结合为主，落实生态环境管控相关要求，重点加强农业、生活等领域污染治理。</w:t>
            </w:r>
          </w:p>
        </w:tc>
        <w:tc>
          <w:tcPr>
            <w:tcW w:w="3285" w:type="pct"/>
            <w:shd w:val="clear" w:color="auto" w:fill="auto"/>
            <w:vAlign w:val="center"/>
          </w:tcPr>
          <w:p w14:paraId="759C4D17">
            <w:pPr>
              <w:jc w:val="center"/>
              <w:rPr>
                <w:rFonts w:ascii="宋体" w:hAnsi="宋体" w:eastAsia="宋体" w:cs="Times New Roman"/>
                <w:color w:val="auto"/>
              </w:rPr>
            </w:pPr>
            <w:r>
              <w:rPr>
                <w:rFonts w:ascii="宋体" w:hAnsi="宋体" w:eastAsia="宋体" w:cs="Times New Roman"/>
                <w:color w:val="auto"/>
              </w:rPr>
              <w:t>本项目施工期施工场地采取及时洒水、临时土方等加盖苫布等遮盖物来控制扬尘排放。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管线试压废水由罐车拉运至朝二联含油污水处理站处理后回注油层。压裂返排液由罐车拉运至朝一联压裂返排液无害化处理站处理后，管输进入朝一联含油污水处理站处理后回注油层。水基钻井废水排入井场水基钢制泥浆槽中，及时拉运至大庆油田昆仑集团有限公司环保分公司处理。油基钻井废水排入井场设置的油基钢制泥浆槽中，委托黑龙江迈景环保科技有限公司处理。试油产液通过罐车拉运至朝二联卸油点后，进入朝二联转油脱水站处理系统，朝二联转油脱水站处理后含水油外输至朝二联含油污水处理站处理。施工场地噪声采取合理安排施工时间，注意设备维护和保养等措施降低噪声对周边环境的影响；</w:t>
            </w:r>
          </w:p>
          <w:p w14:paraId="084663D8">
            <w:pPr>
              <w:jc w:val="center"/>
              <w:rPr>
                <w:rFonts w:ascii="宋体" w:hAnsi="宋体" w:eastAsia="宋体" w:cs="Times New Roman"/>
                <w:color w:val="auto"/>
              </w:rPr>
            </w:pPr>
            <w:r>
              <w:rPr>
                <w:rFonts w:ascii="宋体" w:hAnsi="宋体" w:eastAsia="宋体" w:cs="Times New Roman"/>
                <w:color w:val="auto"/>
              </w:rPr>
              <w:t>施工期水基废钻井液、水基钻井岩屑和不含油射孔液排入井场水基钢制泥浆槽中，及时拉运至大庆油田昆仑集团有限公司环保分公司处理，处理后的压滤水定期由罐车拉运至朝二联含油污水处理站处理后回注油层，处理后的泥饼外售给大庆钻探工程公司钻井二公司综合利用垫井场或铺路；油基废钻井液、油基钻井岩屑和含油废射孔液排入井场设置的油基钢制泥浆槽，委托有危废处理资质的黑龙江迈景环保科技有限公司处理；膨润土、纯碱、重晶石粉废包装袋、施工废料经由施工单位安排拉运至第八采油厂工业固废填埋场处理；含油废防渗布集中收集暂存于第十采油厂综合固废储存库，定期委托有资质单位处理；生活垃圾统一收集拉运至肇源县利民城市垃圾处理有限公司</w:t>
            </w:r>
            <w:r>
              <w:rPr>
                <w:rFonts w:ascii="宋体" w:hAnsi="宋体" w:eastAsia="宋体" w:cs="Times New Roman"/>
                <w:color w:val="auto"/>
                <w:lang w:val="zh-CN"/>
              </w:rPr>
              <w:t>处理</w:t>
            </w:r>
            <w:r>
              <w:rPr>
                <w:rFonts w:ascii="宋体" w:hAnsi="宋体" w:eastAsia="宋体" w:cs="Times New Roman"/>
                <w:color w:val="auto"/>
              </w:rPr>
              <w:t>；封井建筑垃圾统一收集，委托清运至市政部门指定的建筑垃圾调配场处置；勘探井试油产生的落地油由罐车拉运至朝一联含油污泥处理站减量化处理后，再委托大庆博昕晶化科技有限公司处理。运营期产生的含油污泥及落地油全部回收，由罐车拉运至朝一联含油污泥处理站减量化处理后，再委托大庆博昕晶化科技有限公司处理；含油废防渗布经收集后暂存于第十采油厂综合固废储存库，定期委托有资质单位处理。</w:t>
            </w:r>
          </w:p>
        </w:tc>
        <w:tc>
          <w:tcPr>
            <w:tcW w:w="388" w:type="pct"/>
            <w:shd w:val="clear" w:color="auto" w:fill="auto"/>
            <w:vAlign w:val="center"/>
          </w:tcPr>
          <w:p w14:paraId="0F710BF2">
            <w:pPr>
              <w:jc w:val="center"/>
              <w:rPr>
                <w:rFonts w:ascii="宋体" w:hAnsi="宋体" w:eastAsia="宋体" w:cs="Times New Roman"/>
                <w:color w:val="auto"/>
              </w:rPr>
            </w:pPr>
            <w:r>
              <w:rPr>
                <w:rFonts w:ascii="宋体" w:hAnsi="宋体" w:eastAsia="宋体" w:cs="Times New Roman"/>
                <w:color w:val="auto"/>
              </w:rPr>
              <w:t>符合</w:t>
            </w:r>
          </w:p>
        </w:tc>
      </w:tr>
    </w:tbl>
    <w:p w14:paraId="0ABDC88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环境质量底线</w:t>
      </w:r>
    </w:p>
    <w:p w14:paraId="2DC20084">
      <w:pPr>
        <w:pStyle w:val="276"/>
        <w:widowControl w:val="0"/>
        <w:ind w:firstLine="480"/>
        <w:jc w:val="both"/>
        <w:rPr>
          <w:color w:val="auto"/>
          <w:kern w:val="2"/>
        </w:rPr>
      </w:pPr>
      <w:r>
        <w:rPr>
          <w:color w:val="auto"/>
          <w:kern w:val="2"/>
        </w:rPr>
        <w:t>根据</w:t>
      </w:r>
      <w:r>
        <w:rPr>
          <w:color w:val="auto"/>
          <w:kern w:val="2"/>
          <w:lang w:bidi="zh-CN"/>
        </w:rPr>
        <w:t>《环境影响评价技术导则 大气环境》（HJ2.2-2018）</w:t>
      </w:r>
      <w:r>
        <w:rPr>
          <w:color w:val="auto"/>
          <w:kern w:val="2"/>
        </w:rPr>
        <w:t>要求，依据评价所需环境空气质量现状、气象资料等数据的可获得性、数据质量、代表性等因素，选择近3年中数据相对完整的1个日历年作为评价基准年，根据空气质量自动监测站萨区政府监测点2024年全年的监测资料，项目区域大气环境质量优于《环境空气质量标准》（GB3095-2012）二级标准要求，项目区域属于达标区。根据补充现状监测结果：非甲烷总烃可以达到</w:t>
      </w:r>
      <w:r>
        <w:rPr>
          <w:snapToGrid w:val="0"/>
          <w:color w:val="auto"/>
        </w:rPr>
        <w:t>《大气污染物综合排放标准详解》</w:t>
      </w:r>
      <w:r>
        <w:rPr>
          <w:color w:val="auto"/>
          <w:kern w:val="2"/>
        </w:rPr>
        <w:t>中限值要求；本项目不排放</w:t>
      </w:r>
      <w:r>
        <w:rPr>
          <w:rFonts w:hint="eastAsia"/>
          <w:color w:val="auto"/>
          <w:kern w:val="2"/>
        </w:rPr>
        <w:t>生产</w:t>
      </w:r>
      <w:r>
        <w:rPr>
          <w:color w:val="auto"/>
          <w:kern w:val="2"/>
        </w:rPr>
        <w:t>废水，不会对周边地表水体产生影响；本项目在采取措施后不会对地下水及土壤环境产生影响，区域地下水质量除锰外可以满足《地下水质量标准》（GB/T14848-2017）III类标准，特征因子石油类可以满足《地表水环境质量标准》（GB3838-2002）表1中的</w:t>
      </w:r>
      <w:r>
        <w:rPr>
          <w:color w:val="auto"/>
          <w:kern w:val="2"/>
        </w:rPr>
        <w:fldChar w:fldCharType="begin"/>
      </w:r>
      <w:r>
        <w:rPr>
          <w:color w:val="auto"/>
          <w:kern w:val="2"/>
        </w:rPr>
        <w:instrText xml:space="preserve"> = 2 \* ROMAN </w:instrText>
      </w:r>
      <w:r>
        <w:rPr>
          <w:color w:val="auto"/>
          <w:kern w:val="2"/>
        </w:rPr>
        <w:fldChar w:fldCharType="separate"/>
      </w:r>
      <w:r>
        <w:rPr>
          <w:color w:val="auto"/>
          <w:kern w:val="2"/>
        </w:rPr>
        <w:t>II</w:t>
      </w:r>
      <w:r>
        <w:rPr>
          <w:color w:val="auto"/>
          <w:kern w:val="2"/>
        </w:rPr>
        <w:fldChar w:fldCharType="end"/>
      </w:r>
      <w:r>
        <w:rPr>
          <w:color w:val="auto"/>
          <w:kern w:val="2"/>
        </w:rPr>
        <w:t>类标准限值要求；</w:t>
      </w:r>
      <w:r>
        <w:rPr>
          <w:color w:val="auto"/>
        </w:rPr>
        <w:t>本项目永久占地内土壤可以满足《土壤环境质量 建设用地土壤污染风险管控标准（试行）》（GB36600-2018）中表1建设用地土壤污染风险筛选值（基本项目）中第二类用地筛选值标准，以及表2（其他项目）中第二类用地筛选值标准；评价范围内农用地土壤可以满足《土壤环境质量 农用地土壤污染风险管控标准（试行）》（GB15618-2018）表1农用地土壤风险筛选值（基本项目）中标准</w:t>
      </w:r>
      <w:r>
        <w:rPr>
          <w:color w:val="auto"/>
          <w:kern w:val="2"/>
        </w:rPr>
        <w:t>。因此本项目建设符合环境质量底线要求。</w:t>
      </w:r>
    </w:p>
    <w:p w14:paraId="069A80E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资源利用上线</w:t>
      </w:r>
    </w:p>
    <w:p w14:paraId="704FD330">
      <w:pPr>
        <w:pStyle w:val="276"/>
        <w:widowControl w:val="0"/>
        <w:ind w:firstLine="480"/>
        <w:jc w:val="both"/>
        <w:rPr>
          <w:color w:val="auto"/>
          <w:kern w:val="2"/>
        </w:rPr>
      </w:pPr>
      <w:r>
        <w:rPr>
          <w:color w:val="auto"/>
          <w:kern w:val="2"/>
        </w:rPr>
        <w:t>本项目为陆地石油开采项目，涉及</w:t>
      </w:r>
      <w:r>
        <w:rPr>
          <w:rFonts w:hint="eastAsia"/>
          <w:color w:val="auto"/>
          <w:kern w:val="2"/>
        </w:rPr>
        <w:t>新钻</w:t>
      </w:r>
      <w:r>
        <w:rPr>
          <w:color w:val="auto"/>
          <w:kern w:val="2"/>
        </w:rPr>
        <w:t>井6口和3座拉油点，项目永久占地7.714hm</w:t>
      </w:r>
      <w:r>
        <w:rPr>
          <w:color w:val="auto"/>
          <w:kern w:val="2"/>
          <w:vertAlign w:val="superscript"/>
        </w:rPr>
        <w:t>2</w:t>
      </w:r>
      <w:r>
        <w:rPr>
          <w:color w:val="auto"/>
          <w:kern w:val="2"/>
        </w:rPr>
        <w:t>，临时占地面积</w:t>
      </w:r>
      <w:r>
        <w:rPr>
          <w:rFonts w:hint="eastAsia"/>
          <w:color w:val="auto"/>
          <w:kern w:val="2"/>
        </w:rPr>
        <w:t>4.46</w:t>
      </w:r>
      <w:r>
        <w:rPr>
          <w:color w:val="auto"/>
          <w:kern w:val="2"/>
        </w:rPr>
        <w:t>hm</w:t>
      </w:r>
      <w:r>
        <w:rPr>
          <w:color w:val="auto"/>
          <w:kern w:val="2"/>
          <w:vertAlign w:val="superscript"/>
        </w:rPr>
        <w:t>2</w:t>
      </w:r>
      <w:r>
        <w:rPr>
          <w:color w:val="auto"/>
          <w:kern w:val="2"/>
        </w:rPr>
        <w:t>，占地类型为耕地</w:t>
      </w:r>
      <w:r>
        <w:rPr>
          <w:rFonts w:hint="eastAsia"/>
          <w:color w:val="auto"/>
          <w:kern w:val="2"/>
        </w:rPr>
        <w:t>（永久基本农田）</w:t>
      </w:r>
      <w:r>
        <w:rPr>
          <w:color w:val="auto"/>
          <w:kern w:val="2"/>
        </w:rPr>
        <w:t>和草地</w:t>
      </w:r>
      <w:r>
        <w:rPr>
          <w:rFonts w:hint="eastAsia"/>
          <w:color w:val="auto"/>
          <w:kern w:val="2"/>
        </w:rPr>
        <w:t>（一般草地）</w:t>
      </w:r>
      <w:r>
        <w:rPr>
          <w:color w:val="auto"/>
          <w:kern w:val="2"/>
        </w:rPr>
        <w:t>，占地面积较少，针对永久占地按</w:t>
      </w:r>
      <w:r>
        <w:rPr>
          <w:iCs/>
          <w:color w:val="auto"/>
          <w:kern w:val="2"/>
        </w:rPr>
        <w:t>“占一补一”原则</w:t>
      </w:r>
      <w:r>
        <w:rPr>
          <w:color w:val="auto"/>
          <w:kern w:val="2"/>
        </w:rPr>
        <w:t>进行补偿，临时占地均为施工结束后进行生态恢复，土地资源消耗符合大庆市土地资源利用上线要求；本项目施工期新鲜水消耗量为</w:t>
      </w:r>
      <w:r>
        <w:rPr>
          <w:rFonts w:hint="eastAsia"/>
          <w:color w:val="auto"/>
          <w:kern w:val="2"/>
        </w:rPr>
        <w:t>1459.43</w:t>
      </w:r>
      <w:r>
        <w:rPr>
          <w:color w:val="auto"/>
          <w:kern w:val="2"/>
        </w:rPr>
        <w:t>m</w:t>
      </w:r>
      <w:r>
        <w:rPr>
          <w:color w:val="auto"/>
          <w:kern w:val="2"/>
          <w:vertAlign w:val="superscript"/>
        </w:rPr>
        <w:t>3</w:t>
      </w:r>
      <w:r>
        <w:rPr>
          <w:color w:val="auto"/>
          <w:kern w:val="2"/>
        </w:rPr>
        <w:t>，消耗的水主要用于生活及生产需要，用量较少，运营期作业用水、洗井用水均为处理达标后的含油污水，不增加区域的水资源消耗；井场、依托场站设备能源主要依托油田的电网供电，生产用气主要为油田采出气，拉油点新增耗气量</w:t>
      </w:r>
      <w:r>
        <w:rPr>
          <w:rFonts w:hint="eastAsia"/>
          <w:color w:val="auto"/>
          <w:kern w:val="2"/>
        </w:rPr>
        <w:t>11.6</w:t>
      </w:r>
      <w:r>
        <w:rPr>
          <w:color w:val="auto"/>
          <w:kern w:val="2"/>
        </w:rPr>
        <w:t>万m</w:t>
      </w:r>
      <w:r>
        <w:rPr>
          <w:color w:val="auto"/>
          <w:kern w:val="2"/>
          <w:vertAlign w:val="superscript"/>
        </w:rPr>
        <w:t>3</w:t>
      </w:r>
      <w:r>
        <w:rPr>
          <w:color w:val="auto"/>
          <w:kern w:val="2"/>
        </w:rPr>
        <w:t>/a，不消费煤炭，能源消耗符合大庆市能源利用上线及分区管控要求。因此本项目符合资源利用上限要求。</w:t>
      </w:r>
    </w:p>
    <w:p w14:paraId="4165DE42">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 xml:space="preserve">生态环境准入清单 </w:t>
      </w:r>
    </w:p>
    <w:p w14:paraId="7C0C73B2">
      <w:pPr>
        <w:pStyle w:val="276"/>
        <w:widowControl w:val="0"/>
        <w:ind w:firstLine="480"/>
        <w:jc w:val="both"/>
        <w:rPr>
          <w:color w:val="auto"/>
          <w:kern w:val="2"/>
        </w:rPr>
      </w:pPr>
      <w:r>
        <w:rPr>
          <w:color w:val="auto"/>
          <w:kern w:val="2"/>
        </w:rPr>
        <w:t>本项目与《大庆市生态环境准入清单（2023年版）》中环境管控单元进行对照，本项目位于一般管控单元、重点管控单元和优先保护单元，对照黑龙江省生态环境分区管控数据应用平台，本项目位于肇源县永久基本农田一般管控单元、肇源县城镇空间重点管控单元、肇源县优先保护单元一般生态空间。黑龙江省生态环境分区管控数据应用平台截图见</w:t>
      </w:r>
      <w:r>
        <w:rPr>
          <w:color w:val="auto"/>
          <w:kern w:val="2"/>
        </w:rPr>
        <w:fldChar w:fldCharType="begin"/>
      </w:r>
      <w:r>
        <w:rPr>
          <w:color w:val="auto"/>
          <w:kern w:val="2"/>
        </w:rPr>
        <w:instrText xml:space="preserve"> REF _Ref211957431 \h  \* MERGEFORMAT </w:instrText>
      </w:r>
      <w:r>
        <w:rPr>
          <w:color w:val="auto"/>
          <w:kern w:val="2"/>
        </w:rPr>
        <w:fldChar w:fldCharType="separate"/>
      </w:r>
      <w:r>
        <w:rPr>
          <w:color w:val="auto"/>
          <w:kern w:val="2"/>
        </w:rPr>
        <w:drawing>
          <wp:inline distT="0" distB="0" distL="114300" distR="114300">
            <wp:extent cx="5756275" cy="2948940"/>
            <wp:effectExtent l="0" t="0" r="1587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756275" cy="2948940"/>
                    </a:xfrm>
                    <a:prstGeom prst="rect">
                      <a:avLst/>
                    </a:prstGeom>
                    <a:noFill/>
                    <a:ln>
                      <a:noFill/>
                    </a:ln>
                  </pic:spPr>
                </pic:pic>
              </a:graphicData>
            </a:graphic>
          </wp:inline>
        </w:drawing>
      </w:r>
      <w:r>
        <w:rPr>
          <w:rFonts w:hint="eastAsia"/>
          <w:color w:val="auto"/>
          <w:kern w:val="2"/>
        </w:rPr>
        <w:t xml:space="preserve">图 </w:t>
      </w:r>
      <w:r>
        <w:rPr>
          <w:color w:val="auto"/>
        </w:rPr>
        <w:t>1.4</w:t>
      </w:r>
      <w:r>
        <w:rPr>
          <w:color w:val="auto"/>
        </w:rPr>
        <w:noBreakHyphen/>
      </w:r>
      <w:r>
        <w:rPr>
          <w:color w:val="auto"/>
        </w:rPr>
        <w:t>6</w:t>
      </w:r>
      <w:r>
        <w:rPr>
          <w:color w:val="auto"/>
          <w:kern w:val="2"/>
        </w:rPr>
        <w:fldChar w:fldCharType="end"/>
      </w:r>
      <w:r>
        <w:rPr>
          <w:color w:val="auto"/>
          <w:kern w:val="2"/>
        </w:rPr>
        <w:t>，本项目与生态环境准入清单管控体系符合性分析见</w:t>
      </w:r>
      <w:r>
        <w:rPr>
          <w:color w:val="auto"/>
          <w:kern w:val="2"/>
        </w:rPr>
        <w:fldChar w:fldCharType="begin"/>
      </w:r>
      <w:r>
        <w:rPr>
          <w:color w:val="auto"/>
          <w:kern w:val="2"/>
        </w:rPr>
        <w:instrText xml:space="preserve"> REF _Ref211957440 \h  \* MERGEFORMAT </w:instrText>
      </w:r>
      <w:r>
        <w:rPr>
          <w:color w:val="auto"/>
          <w:kern w:val="2"/>
        </w:rPr>
        <w:fldChar w:fldCharType="separate"/>
      </w:r>
      <w:r>
        <w:rPr>
          <w:rFonts w:hint="eastAsia"/>
          <w:color w:val="auto"/>
          <w:kern w:val="2"/>
        </w:rPr>
        <w:t xml:space="preserve">表 </w:t>
      </w:r>
      <w:r>
        <w:rPr>
          <w:color w:val="auto"/>
          <w:kern w:val="2"/>
        </w:rPr>
        <w:t>1.4</w:t>
      </w:r>
      <w:r>
        <w:rPr>
          <w:color w:val="auto"/>
          <w:kern w:val="2"/>
        </w:rPr>
        <w:noBreakHyphen/>
      </w:r>
      <w:r>
        <w:rPr>
          <w:color w:val="auto"/>
          <w:kern w:val="2"/>
        </w:rPr>
        <w:t>24</w:t>
      </w:r>
      <w:r>
        <w:rPr>
          <w:color w:val="auto"/>
          <w:kern w:val="2"/>
        </w:rPr>
        <w:fldChar w:fldCharType="end"/>
      </w:r>
      <w:r>
        <w:rPr>
          <w:color w:val="auto"/>
          <w:kern w:val="2"/>
        </w:rPr>
        <w:t>。</w:t>
      </w:r>
    </w:p>
    <w:p w14:paraId="04BF7F2F">
      <w:pPr>
        <w:pStyle w:val="22"/>
        <w:spacing w:before="156"/>
        <w:rPr>
          <w:rFonts w:hAnsi="宋体" w:cs="Times New Roman"/>
          <w:color w:val="auto"/>
        </w:rPr>
      </w:pPr>
      <w:bookmarkStart w:id="157" w:name="_Ref211957431"/>
      <w:r>
        <w:rPr>
          <w:rFonts w:hAnsi="宋体" w:cs="Times New Roman"/>
          <w:color w:val="auto"/>
        </w:rPr>
        <mc:AlternateContent>
          <mc:Choice Requires="wps">
            <w:drawing>
              <wp:anchor distT="0" distB="0" distL="114300" distR="114300" simplePos="0" relativeHeight="251669504" behindDoc="0" locked="0" layoutInCell="1" allowOverlap="1">
                <wp:simplePos x="0" y="0"/>
                <wp:positionH relativeFrom="column">
                  <wp:posOffset>3275965</wp:posOffset>
                </wp:positionH>
                <wp:positionV relativeFrom="paragraph">
                  <wp:posOffset>970915</wp:posOffset>
                </wp:positionV>
                <wp:extent cx="997585" cy="312420"/>
                <wp:effectExtent l="6350" t="188595" r="62865" b="13335"/>
                <wp:wrapNone/>
                <wp:docPr id="69" name="矩形标注 69"/>
                <wp:cNvGraphicFramePr/>
                <a:graphic xmlns:a="http://schemas.openxmlformats.org/drawingml/2006/main">
                  <a:graphicData uri="http://schemas.microsoft.com/office/word/2010/wordprocessingShape">
                    <wps:wsp>
                      <wps:cNvSpPr/>
                      <wps:spPr>
                        <a:xfrm>
                          <a:off x="3218180" y="3641090"/>
                          <a:ext cx="997585" cy="312420"/>
                        </a:xfrm>
                        <a:prstGeom prst="wedgeRectCallout">
                          <a:avLst>
                            <a:gd name="adj1" fmla="val 52928"/>
                            <a:gd name="adj2" fmla="val -104471"/>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42CCA2D">
                            <w:pPr>
                              <w:jc w:val="center"/>
                              <w:rPr>
                                <w:color w:val="FF0000"/>
                              </w:rPr>
                            </w:pPr>
                            <w:r>
                              <w:rPr>
                                <w:rFonts w:hint="eastAsia"/>
                                <w:color w:val="FF0000"/>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7.95pt;margin-top:76.45pt;height:24.6pt;width:78.55pt;z-index:251669504;v-text-anchor:middle;mso-width-relative:page;mso-height-relative:page;" filled="f" stroked="t" coordsize="21600,21600" o:gfxdata="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QfiLw9cAAAALAQAADwAAAAAAAAABACAAAAAiAAAAZHJzL2Rvd25yZXYu&#10;eG1sUEsBAhQAFAAAAAgAh07iQJN52oKnAgAAMQUAAA4AAAAAAAAAAQAgAAAAJgEAAGRycy9lMm9E&#10;b2MueG1sUEsFBgAAAAAGAAYAWQEAAD8GAAAAAA==&#10;" adj="22232,-11766">
                <v:fill on="f" focussize="0,0"/>
                <v:stroke weight="2pt" color="#000000 [3213]" joinstyle="round"/>
                <v:imagedata o:title=""/>
                <o:lock v:ext="edit" aspectratio="f"/>
                <v:textbox>
                  <w:txbxContent>
                    <w:p w14:paraId="142CCA2D">
                      <w:pPr>
                        <w:jc w:val="center"/>
                        <w:rPr>
                          <w:color w:val="FF0000"/>
                        </w:rPr>
                      </w:pPr>
                      <w:r>
                        <w:rPr>
                          <w:rFonts w:hint="eastAsia"/>
                          <w:color w:val="FF0000"/>
                        </w:rPr>
                        <w:t>本项目位置</w:t>
                      </w:r>
                    </w:p>
                  </w:txbxContent>
                </v:textbox>
              </v:shape>
            </w:pict>
          </mc:Fallback>
        </mc:AlternateContent>
      </w:r>
      <w:r>
        <w:rPr>
          <w:rFonts w:hAnsi="宋体"/>
          <w:color w:val="auto"/>
        </w:rPr>
        <w:drawing>
          <wp:inline distT="0" distB="0" distL="114300" distR="114300">
            <wp:extent cx="5756275" cy="2948940"/>
            <wp:effectExtent l="0" t="0" r="15875" b="3810"/>
            <wp:docPr id="50523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08" name="图片 1"/>
                    <pic:cNvPicPr>
                      <a:picLocks noChangeAspect="1"/>
                    </pic:cNvPicPr>
                  </pic:nvPicPr>
                  <pic:blipFill>
                    <a:blip r:embed="rId23"/>
                    <a:stretch>
                      <a:fillRect/>
                    </a:stretch>
                  </pic:blipFill>
                  <pic:spPr>
                    <a:xfrm>
                      <a:off x="0" y="0"/>
                      <a:ext cx="5756275" cy="2948940"/>
                    </a:xfrm>
                    <a:prstGeom prst="rect">
                      <a:avLst/>
                    </a:prstGeom>
                    <a:noFill/>
                    <a:ln>
                      <a:noFill/>
                    </a:ln>
                  </pic:spPr>
                </pic:pic>
              </a:graphicData>
            </a:graphic>
          </wp:inline>
        </w:drawing>
      </w: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6</w:t>
      </w:r>
      <w:r>
        <w:rPr>
          <w:color w:val="auto"/>
        </w:rPr>
        <w:fldChar w:fldCharType="end"/>
      </w:r>
      <w:bookmarkEnd w:id="157"/>
      <w:r>
        <w:rPr>
          <w:color w:val="auto"/>
        </w:rPr>
        <w:t xml:space="preserve">  黑龙江省生态环境分区管控数据应用平台截图</w:t>
      </w:r>
    </w:p>
    <w:p w14:paraId="417EE9F1">
      <w:pPr>
        <w:pStyle w:val="22"/>
        <w:spacing w:before="156"/>
        <w:rPr>
          <w:rFonts w:hAnsi="宋体" w:cs="Times New Roman"/>
          <w:color w:val="auto"/>
        </w:rPr>
      </w:pPr>
      <w:bookmarkStart w:id="158" w:name="_Ref211957440"/>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24</w:t>
      </w:r>
      <w:r>
        <w:rPr>
          <w:color w:val="auto"/>
        </w:rPr>
        <w:fldChar w:fldCharType="end"/>
      </w:r>
      <w:bookmarkEnd w:id="158"/>
      <w:r>
        <w:rPr>
          <w:color w:val="auto"/>
        </w:rPr>
        <w:t>本项目与生态环境准入清单管控体系符合性分析</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75"/>
        <w:gridCol w:w="543"/>
        <w:gridCol w:w="372"/>
        <w:gridCol w:w="3245"/>
        <w:gridCol w:w="3545"/>
      </w:tblGrid>
      <w:tr w14:paraId="36FA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5"/>
            <w:shd w:val="clear" w:color="auto" w:fill="auto"/>
            <w:vAlign w:val="center"/>
          </w:tcPr>
          <w:p w14:paraId="3CE1A169">
            <w:pPr>
              <w:jc w:val="center"/>
              <w:rPr>
                <w:rFonts w:ascii="宋体" w:hAnsi="宋体" w:eastAsia="宋体" w:cs="Times New Roman"/>
                <w:color w:val="auto"/>
              </w:rPr>
            </w:pPr>
            <w:r>
              <w:rPr>
                <w:rFonts w:ascii="宋体" w:hAnsi="宋体" w:eastAsia="宋体" w:cs="Times New Roman"/>
                <w:color w:val="auto"/>
              </w:rPr>
              <w:t>大庆市总体准入要求</w:t>
            </w:r>
          </w:p>
        </w:tc>
      </w:tr>
      <w:tr w14:paraId="134E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shd w:val="clear" w:color="auto" w:fill="auto"/>
            <w:vAlign w:val="center"/>
          </w:tcPr>
          <w:p w14:paraId="3277E211">
            <w:pPr>
              <w:jc w:val="center"/>
              <w:rPr>
                <w:rFonts w:ascii="宋体" w:hAnsi="宋体" w:eastAsia="宋体" w:cs="Times New Roman"/>
                <w:color w:val="auto"/>
              </w:rPr>
            </w:pPr>
            <w:r>
              <w:rPr>
                <w:rFonts w:ascii="宋体" w:hAnsi="宋体" w:eastAsia="宋体" w:cs="Times New Roman"/>
                <w:color w:val="auto"/>
              </w:rPr>
              <w:t>适用范围</w:t>
            </w:r>
          </w:p>
        </w:tc>
        <w:tc>
          <w:tcPr>
            <w:tcW w:w="391" w:type="pct"/>
            <w:shd w:val="clear" w:color="auto" w:fill="auto"/>
            <w:vAlign w:val="center"/>
          </w:tcPr>
          <w:p w14:paraId="3C286724">
            <w:pPr>
              <w:jc w:val="center"/>
              <w:rPr>
                <w:rFonts w:ascii="宋体" w:hAnsi="宋体" w:eastAsia="宋体" w:cs="Times New Roman"/>
                <w:color w:val="auto"/>
              </w:rPr>
            </w:pPr>
            <w:r>
              <w:rPr>
                <w:rFonts w:ascii="宋体" w:hAnsi="宋体" w:eastAsia="宋体" w:cs="Times New Roman"/>
                <w:color w:val="auto"/>
              </w:rPr>
              <w:t>管控维度</w:t>
            </w:r>
          </w:p>
        </w:tc>
        <w:tc>
          <w:tcPr>
            <w:tcW w:w="2176" w:type="pct"/>
            <w:gridSpan w:val="2"/>
            <w:shd w:val="clear" w:color="auto" w:fill="auto"/>
            <w:vAlign w:val="center"/>
          </w:tcPr>
          <w:p w14:paraId="7509960F">
            <w:pPr>
              <w:jc w:val="center"/>
              <w:rPr>
                <w:rFonts w:ascii="宋体" w:hAnsi="宋体" w:eastAsia="宋体" w:cs="Times New Roman"/>
                <w:color w:val="auto"/>
              </w:rPr>
            </w:pPr>
            <w:r>
              <w:rPr>
                <w:rFonts w:ascii="宋体" w:hAnsi="宋体" w:eastAsia="宋体" w:cs="Times New Roman"/>
                <w:color w:val="auto"/>
              </w:rPr>
              <w:t>管控要求</w:t>
            </w:r>
          </w:p>
        </w:tc>
        <w:tc>
          <w:tcPr>
            <w:tcW w:w="2044" w:type="pct"/>
            <w:shd w:val="clear" w:color="auto" w:fill="auto"/>
            <w:vAlign w:val="center"/>
          </w:tcPr>
          <w:p w14:paraId="0BCEB051">
            <w:pPr>
              <w:jc w:val="center"/>
              <w:rPr>
                <w:rFonts w:ascii="宋体" w:hAnsi="宋体" w:eastAsia="宋体" w:cs="Times New Roman"/>
                <w:color w:val="auto"/>
              </w:rPr>
            </w:pPr>
            <w:r>
              <w:rPr>
                <w:rFonts w:ascii="宋体" w:hAnsi="宋体" w:eastAsia="宋体" w:cs="Times New Roman"/>
                <w:color w:val="auto"/>
              </w:rPr>
              <w:t>本项目符合性分析</w:t>
            </w:r>
          </w:p>
        </w:tc>
      </w:tr>
      <w:tr w14:paraId="4293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restart"/>
            <w:shd w:val="clear" w:color="auto" w:fill="auto"/>
            <w:vAlign w:val="center"/>
          </w:tcPr>
          <w:p w14:paraId="52D1FF54">
            <w:pPr>
              <w:jc w:val="center"/>
              <w:rPr>
                <w:rFonts w:ascii="宋体" w:hAnsi="宋体" w:eastAsia="宋体" w:cs="Times New Roman"/>
                <w:color w:val="auto"/>
              </w:rPr>
            </w:pPr>
            <w:r>
              <w:rPr>
                <w:rFonts w:ascii="宋体" w:hAnsi="宋体" w:eastAsia="宋体" w:cs="Times New Roman"/>
                <w:color w:val="auto"/>
              </w:rPr>
              <w:t>总体要求</w:t>
            </w:r>
          </w:p>
        </w:tc>
        <w:tc>
          <w:tcPr>
            <w:tcW w:w="391" w:type="pct"/>
            <w:shd w:val="clear" w:color="auto" w:fill="auto"/>
            <w:vAlign w:val="center"/>
          </w:tcPr>
          <w:p w14:paraId="5D3D0DA9">
            <w:pPr>
              <w:jc w:val="center"/>
              <w:rPr>
                <w:rFonts w:ascii="宋体" w:hAnsi="宋体" w:eastAsia="宋体" w:cs="Times New Roman"/>
                <w:color w:val="auto"/>
              </w:rPr>
            </w:pPr>
            <w:r>
              <w:rPr>
                <w:rFonts w:ascii="宋体" w:hAnsi="宋体" w:eastAsia="宋体" w:cs="Times New Roman"/>
                <w:color w:val="auto"/>
              </w:rPr>
              <w:t>空间布局约束</w:t>
            </w:r>
          </w:p>
        </w:tc>
        <w:tc>
          <w:tcPr>
            <w:tcW w:w="2176" w:type="pct"/>
            <w:gridSpan w:val="2"/>
            <w:shd w:val="clear" w:color="auto" w:fill="auto"/>
            <w:vAlign w:val="center"/>
          </w:tcPr>
          <w:p w14:paraId="0A41E590">
            <w:pPr>
              <w:jc w:val="center"/>
              <w:rPr>
                <w:rFonts w:ascii="宋体" w:hAnsi="宋体" w:eastAsia="宋体" w:cs="Times New Roman"/>
                <w:color w:val="auto"/>
              </w:rPr>
            </w:pPr>
            <w:r>
              <w:rPr>
                <w:rFonts w:ascii="宋体" w:hAnsi="宋体" w:eastAsia="宋体" w:cs="Times New Roman"/>
                <w:color w:val="auto"/>
              </w:rPr>
              <w:t>1.禁止在居民区、学校、医疗和养老机构等周边新建有色金属冶炼、焦化等行业企业。</w:t>
            </w:r>
          </w:p>
          <w:p w14:paraId="1D107EA3">
            <w:pPr>
              <w:jc w:val="center"/>
              <w:rPr>
                <w:rFonts w:ascii="宋体" w:hAnsi="宋体" w:eastAsia="宋体" w:cs="Times New Roman"/>
                <w:color w:val="auto"/>
              </w:rPr>
            </w:pPr>
            <w:r>
              <w:rPr>
                <w:rFonts w:ascii="宋体" w:hAnsi="宋体" w:eastAsia="宋体" w:cs="Times New Roman"/>
                <w:color w:val="auto"/>
              </w:rPr>
              <w:t>2. 坚决遏制高耗能高排放项目盲目发展，严禁违规“两高”项目建设、运行。严把“两高”项目审批关和监督关，坚决遏制“两高”项目盲目发展。严格落实污染物排放区域消减要求。以钢铁、煤炭、水泥等行业为重点，依据能耗、环保、质量、安全、技术等五个标准依法依规推动落后产能退出。</w:t>
            </w:r>
          </w:p>
          <w:p w14:paraId="1CD6E4F8">
            <w:pPr>
              <w:jc w:val="center"/>
              <w:rPr>
                <w:rFonts w:ascii="宋体" w:hAnsi="宋体" w:eastAsia="宋体" w:cs="Times New Roman"/>
                <w:color w:val="auto"/>
              </w:rPr>
            </w:pPr>
            <w:r>
              <w:rPr>
                <w:rFonts w:ascii="宋体" w:hAnsi="宋体" w:eastAsia="宋体" w:cs="Times New Roman"/>
                <w:color w:val="auto"/>
              </w:rPr>
              <w:t>3.严格控制在优先保护类耕地集中区域新建有色金属冶炼、石油加工、化工、焦化、电镀、制革等行业企业，现有相关行业企业要采用新技术、新工艺，加快提标升级改造步伐，对超标、超总量排放情形严重的，依法责令其停业、关闭。</w:t>
            </w:r>
          </w:p>
          <w:p w14:paraId="7B1AC8F2">
            <w:pPr>
              <w:jc w:val="center"/>
              <w:rPr>
                <w:rFonts w:ascii="宋体" w:hAnsi="宋体" w:eastAsia="宋体" w:cs="Times New Roman"/>
                <w:color w:val="auto"/>
              </w:rPr>
            </w:pPr>
            <w:r>
              <w:rPr>
                <w:rFonts w:ascii="宋体" w:hAnsi="宋体" w:eastAsia="宋体" w:cs="Times New Roman"/>
                <w:color w:val="auto"/>
              </w:rPr>
              <w:t>4.从严控制高能耗、高物耗、高水耗、低水平重复建设项目，以及涉危、涉重和其他重大环境风险项目。</w:t>
            </w:r>
          </w:p>
          <w:p w14:paraId="4D9BD75C">
            <w:pPr>
              <w:jc w:val="center"/>
              <w:rPr>
                <w:rFonts w:ascii="宋体" w:hAnsi="宋体" w:eastAsia="宋体" w:cs="Times New Roman"/>
                <w:color w:val="auto"/>
              </w:rPr>
            </w:pPr>
            <w:r>
              <w:rPr>
                <w:rFonts w:ascii="宋体" w:hAnsi="宋体" w:eastAsia="宋体" w:cs="Times New Roman"/>
                <w:color w:val="auto"/>
              </w:rPr>
              <w:t>5. 对严格管控类划定为特定农产品禁止生产区域的地块，禁止生产特定农产品。从严管控农药、化学等行业的重度污染地块规划用途，确需开发利用的，鼓励用于拓展生态空间。严格名录内地块的准入管理。未依法完成土壤污染状况调查和风险评估的地块，不得开工建设与风险管控和修复无关的项目。</w:t>
            </w:r>
          </w:p>
          <w:p w14:paraId="6EA1D08A">
            <w:pPr>
              <w:jc w:val="center"/>
              <w:rPr>
                <w:rFonts w:ascii="宋体" w:hAnsi="宋体" w:eastAsia="宋体" w:cs="Times New Roman"/>
                <w:color w:val="auto"/>
              </w:rPr>
            </w:pPr>
            <w:r>
              <w:rPr>
                <w:rFonts w:ascii="宋体" w:hAnsi="宋体" w:eastAsia="宋体" w:cs="Times New Roman"/>
                <w:color w:val="auto"/>
              </w:rPr>
              <w:t>6.禁燃区内禁止新建、改建、扩建燃用高污染燃料的锅炉、炉窑、炉灶等燃烧设施（城市集中供热应急调峰锅炉除外）；禁止销售和燃用高污染燃料。</w:t>
            </w:r>
          </w:p>
          <w:p w14:paraId="50CA4275">
            <w:pPr>
              <w:jc w:val="center"/>
              <w:rPr>
                <w:rFonts w:ascii="宋体" w:hAnsi="宋体" w:eastAsia="宋体" w:cs="Times New Roman"/>
                <w:color w:val="auto"/>
              </w:rPr>
            </w:pPr>
            <w:r>
              <w:rPr>
                <w:rFonts w:ascii="宋体" w:hAnsi="宋体" w:eastAsia="宋体" w:cs="Times New Roman"/>
                <w:color w:val="auto"/>
              </w:rPr>
              <w:t>7. 加大淘汰改造燃煤锅炉力度。一是县级及以上城市建成区原则上不再新建 35 蒸吨/小时及以下燃煤锅炉，其他地区原则上不再新建10蒸吨/小时以下燃煤锅炉。二是积极推进地级及以上城市建成区 35 蒸吨/小时及以下燃煤锅炉淘汰，到 2025 年基本完成淘汰。三是推进建成区65蒸吨及以上供热燃煤锅炉，以及年燃煤量在5万吨以上的燃煤大户实施超低排放改造。四是采取生物质锅炉替代的，需使用专用锅炉，配套布袋等高效除尘设施，若氮氧化物排放不能达标的需配备脱硝设施，使用过程中严禁掺烧煤炭、垃圾等其他物料。实施工业炉窑清洁能源替代，大力推进电能替代煤炭。</w:t>
            </w:r>
          </w:p>
          <w:p w14:paraId="7A6453F3">
            <w:pPr>
              <w:jc w:val="center"/>
              <w:rPr>
                <w:rFonts w:ascii="宋体" w:hAnsi="宋体" w:eastAsia="宋体" w:cs="Times New Roman"/>
                <w:color w:val="auto"/>
              </w:rPr>
            </w:pPr>
            <w:r>
              <w:rPr>
                <w:rFonts w:ascii="宋体" w:hAnsi="宋体" w:eastAsia="宋体" w:cs="Times New Roman"/>
                <w:color w:val="auto"/>
              </w:rPr>
              <w:t>8. 大力发展新能源和清洁能源，逐步实现非化石能源成为能源消费增量主体并实施存量替代。严控煤炭消费增长，推进煤炭清洁高效利用。</w:t>
            </w:r>
          </w:p>
          <w:p w14:paraId="75F57C1F">
            <w:pPr>
              <w:jc w:val="center"/>
              <w:rPr>
                <w:rFonts w:ascii="宋体" w:hAnsi="宋体" w:eastAsia="宋体" w:cs="Times New Roman"/>
                <w:color w:val="auto"/>
              </w:rPr>
            </w:pPr>
            <w:r>
              <w:rPr>
                <w:rFonts w:ascii="宋体" w:hAnsi="宋体" w:eastAsia="宋体" w:cs="Times New Roman"/>
                <w:color w:val="auto"/>
              </w:rPr>
              <w:t>9. 严控煤电项目审批，不再核准自备燃煤电厂项目。</w:t>
            </w:r>
          </w:p>
          <w:p w14:paraId="65A7B25C">
            <w:pPr>
              <w:jc w:val="center"/>
              <w:rPr>
                <w:rFonts w:ascii="宋体" w:hAnsi="宋体" w:eastAsia="宋体" w:cs="Times New Roman"/>
                <w:color w:val="auto"/>
              </w:rPr>
            </w:pPr>
            <w:r>
              <w:rPr>
                <w:rFonts w:ascii="宋体" w:hAnsi="宋体" w:eastAsia="宋体" w:cs="Times New Roman"/>
                <w:color w:val="auto"/>
              </w:rPr>
              <w:t>10. 严格控制生产和使用高挥发性有机物含量溶剂型涂料、油墨、胶粘剂、清洗剂，提高水性、高固体分、无溶剂、粉末等低挥发性有机物含量产品比重。</w:t>
            </w:r>
          </w:p>
        </w:tc>
        <w:tc>
          <w:tcPr>
            <w:tcW w:w="2044" w:type="pct"/>
            <w:shd w:val="clear" w:color="auto" w:fill="auto"/>
            <w:vAlign w:val="center"/>
          </w:tcPr>
          <w:p w14:paraId="6D72726C">
            <w:pPr>
              <w:jc w:val="center"/>
              <w:rPr>
                <w:rFonts w:ascii="宋体" w:hAnsi="宋体" w:eastAsia="宋体" w:cs="Times New Roman"/>
                <w:color w:val="auto"/>
              </w:rPr>
            </w:pPr>
            <w:r>
              <w:rPr>
                <w:rFonts w:ascii="宋体" w:hAnsi="宋体" w:eastAsia="宋体" w:cs="Times New Roman"/>
                <w:color w:val="auto"/>
              </w:rPr>
              <w:t>1.本项目属于石油开采行业，不属于有色金属冶炼、焦化等行业企业。</w:t>
            </w:r>
          </w:p>
          <w:p w14:paraId="5A9C94DD">
            <w:pPr>
              <w:jc w:val="center"/>
              <w:rPr>
                <w:rFonts w:ascii="宋体" w:hAnsi="宋体" w:eastAsia="宋体" w:cs="Times New Roman"/>
                <w:color w:val="auto"/>
              </w:rPr>
            </w:pPr>
            <w:r>
              <w:rPr>
                <w:rFonts w:ascii="宋体" w:hAnsi="宋体" w:eastAsia="宋体" w:cs="Times New Roman"/>
                <w:color w:val="auto"/>
              </w:rPr>
              <w:t>2.本项目不属于钢铁、水泥、电解铝、平板玻璃等行业。</w:t>
            </w:r>
          </w:p>
          <w:p w14:paraId="4407D766">
            <w:pPr>
              <w:jc w:val="center"/>
              <w:rPr>
                <w:rFonts w:ascii="宋体" w:hAnsi="宋体" w:eastAsia="宋体" w:cs="Times New Roman"/>
                <w:color w:val="auto"/>
              </w:rPr>
            </w:pPr>
            <w:r>
              <w:rPr>
                <w:rFonts w:ascii="宋体" w:hAnsi="宋体" w:eastAsia="宋体" w:cs="Times New Roman"/>
                <w:color w:val="auto"/>
              </w:rPr>
              <w:t>3.本项目不属于有色金属冶炼、石油加工、化工、焦化、电镀、制革等行业企业。</w:t>
            </w:r>
          </w:p>
          <w:p w14:paraId="7BDF3A38">
            <w:pPr>
              <w:jc w:val="center"/>
              <w:rPr>
                <w:rFonts w:ascii="宋体" w:hAnsi="宋体" w:eastAsia="宋体" w:cs="Times New Roman"/>
                <w:color w:val="auto"/>
              </w:rPr>
            </w:pPr>
            <w:r>
              <w:rPr>
                <w:rFonts w:ascii="宋体" w:hAnsi="宋体" w:eastAsia="宋体" w:cs="Times New Roman"/>
                <w:color w:val="auto"/>
              </w:rPr>
              <w:t>4.本项目不属于高能耗、高物耗、高水耗、低水平重复建设项目，不属于涉危、涉重和其他重大环境风险项目。</w:t>
            </w:r>
          </w:p>
          <w:p w14:paraId="3DC97233">
            <w:pPr>
              <w:jc w:val="center"/>
              <w:rPr>
                <w:rFonts w:ascii="宋体" w:hAnsi="宋体" w:eastAsia="宋体" w:cs="Times New Roman"/>
                <w:color w:val="auto"/>
              </w:rPr>
            </w:pPr>
            <w:r>
              <w:rPr>
                <w:rFonts w:ascii="宋体" w:hAnsi="宋体" w:eastAsia="宋体" w:cs="Times New Roman"/>
                <w:color w:val="auto"/>
              </w:rPr>
              <w:t>5.本项目不涉及种植食用农产品。</w:t>
            </w:r>
          </w:p>
          <w:p w14:paraId="742EF21B">
            <w:pPr>
              <w:jc w:val="center"/>
              <w:rPr>
                <w:rFonts w:ascii="宋体" w:hAnsi="宋体" w:eastAsia="宋体" w:cs="Times New Roman"/>
                <w:color w:val="auto"/>
              </w:rPr>
            </w:pPr>
            <w:r>
              <w:rPr>
                <w:rFonts w:ascii="宋体" w:hAnsi="宋体" w:eastAsia="宋体" w:cs="Times New Roman"/>
                <w:color w:val="auto"/>
              </w:rPr>
              <w:t>6.根据《大庆市人民政府关于调整高污染燃料禁燃区的通告》（庆政规〔2019〕3号），本项目所在区域不属于禁燃区；同时本项目新建加热炉使用天然气，不燃用高污染燃料。</w:t>
            </w:r>
          </w:p>
          <w:p w14:paraId="480ADF02">
            <w:pPr>
              <w:jc w:val="center"/>
              <w:rPr>
                <w:rFonts w:ascii="宋体" w:hAnsi="宋体" w:eastAsia="宋体" w:cs="Times New Roman"/>
                <w:color w:val="auto"/>
              </w:rPr>
            </w:pPr>
            <w:r>
              <w:rPr>
                <w:rFonts w:ascii="宋体" w:hAnsi="宋体" w:eastAsia="宋体" w:cs="Times New Roman"/>
                <w:color w:val="auto"/>
              </w:rPr>
              <w:t>7.本项目新建拉油点储罐加热炉以天然气为燃料，不涉及燃煤锅炉使用。</w:t>
            </w:r>
          </w:p>
          <w:p w14:paraId="641A2A76">
            <w:pPr>
              <w:jc w:val="center"/>
              <w:rPr>
                <w:rFonts w:ascii="宋体" w:hAnsi="宋体" w:eastAsia="宋体" w:cs="Times New Roman"/>
                <w:color w:val="auto"/>
              </w:rPr>
            </w:pPr>
            <w:r>
              <w:rPr>
                <w:rFonts w:ascii="宋体" w:hAnsi="宋体" w:eastAsia="宋体" w:cs="Times New Roman"/>
                <w:color w:val="auto"/>
              </w:rPr>
              <w:t>8.本项新建拉油点储罐加热炉使用清洁能源天然气为燃料，不使用煤炭。</w:t>
            </w:r>
          </w:p>
          <w:p w14:paraId="5ADBEFCB">
            <w:pPr>
              <w:jc w:val="center"/>
              <w:rPr>
                <w:rFonts w:ascii="宋体" w:hAnsi="宋体" w:eastAsia="宋体" w:cs="Times New Roman"/>
                <w:color w:val="auto"/>
              </w:rPr>
            </w:pPr>
            <w:r>
              <w:rPr>
                <w:rFonts w:ascii="宋体" w:hAnsi="宋体" w:eastAsia="宋体" w:cs="Times New Roman"/>
                <w:color w:val="auto"/>
              </w:rPr>
              <w:t>9.本项目不属于煤电项目。</w:t>
            </w:r>
          </w:p>
          <w:p w14:paraId="428B3369">
            <w:pPr>
              <w:jc w:val="center"/>
              <w:rPr>
                <w:rFonts w:ascii="宋体" w:hAnsi="宋体" w:eastAsia="宋体" w:cs="Times New Roman"/>
                <w:color w:val="auto"/>
              </w:rPr>
            </w:pPr>
            <w:r>
              <w:rPr>
                <w:rFonts w:ascii="宋体" w:hAnsi="宋体" w:eastAsia="宋体" w:cs="Times New Roman"/>
                <w:color w:val="auto"/>
              </w:rPr>
              <w:t>10本项目不使用高挥发性有机物含量溶剂型涂料、油墨、胶粘剂、清洗剂等原料。</w:t>
            </w:r>
          </w:p>
          <w:p w14:paraId="714015DD">
            <w:pPr>
              <w:jc w:val="center"/>
              <w:rPr>
                <w:rFonts w:ascii="宋体" w:hAnsi="宋体" w:eastAsia="宋体" w:cs="Times New Roman"/>
                <w:color w:val="auto"/>
              </w:rPr>
            </w:pPr>
            <w:r>
              <w:rPr>
                <w:rFonts w:ascii="宋体" w:hAnsi="宋体" w:eastAsia="宋体" w:cs="Times New Roman"/>
                <w:color w:val="auto"/>
              </w:rPr>
              <w:t>因此，本项目符合空间布局约束要求。</w:t>
            </w:r>
          </w:p>
        </w:tc>
      </w:tr>
      <w:tr w14:paraId="34B9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shd w:val="clear" w:color="auto" w:fill="auto"/>
            <w:vAlign w:val="center"/>
          </w:tcPr>
          <w:p w14:paraId="36740F32">
            <w:pPr>
              <w:jc w:val="center"/>
              <w:rPr>
                <w:rFonts w:ascii="宋体" w:hAnsi="宋体" w:eastAsia="宋体" w:cs="Times New Roman"/>
                <w:color w:val="auto"/>
              </w:rPr>
            </w:pPr>
          </w:p>
        </w:tc>
        <w:tc>
          <w:tcPr>
            <w:tcW w:w="391" w:type="pct"/>
            <w:shd w:val="clear" w:color="auto" w:fill="auto"/>
            <w:vAlign w:val="center"/>
          </w:tcPr>
          <w:p w14:paraId="1D77C922">
            <w:pPr>
              <w:jc w:val="center"/>
              <w:rPr>
                <w:rFonts w:ascii="宋体" w:hAnsi="宋体" w:eastAsia="宋体" w:cs="Times New Roman"/>
                <w:color w:val="auto"/>
              </w:rPr>
            </w:pPr>
            <w:r>
              <w:rPr>
                <w:rFonts w:ascii="宋体" w:hAnsi="宋体" w:eastAsia="宋体" w:cs="Times New Roman"/>
                <w:color w:val="auto"/>
              </w:rPr>
              <w:t>污染物排放管控</w:t>
            </w:r>
          </w:p>
        </w:tc>
        <w:tc>
          <w:tcPr>
            <w:tcW w:w="2176" w:type="pct"/>
            <w:gridSpan w:val="2"/>
            <w:shd w:val="clear" w:color="auto" w:fill="auto"/>
            <w:vAlign w:val="center"/>
          </w:tcPr>
          <w:p w14:paraId="176BDA45">
            <w:pPr>
              <w:jc w:val="center"/>
              <w:rPr>
                <w:rFonts w:ascii="宋体" w:hAnsi="宋体" w:eastAsia="宋体" w:cs="Times New Roman"/>
                <w:color w:val="auto"/>
              </w:rPr>
            </w:pPr>
            <w:r>
              <w:rPr>
                <w:rFonts w:ascii="宋体" w:hAnsi="宋体" w:eastAsia="宋体" w:cs="Times New Roman"/>
                <w:color w:val="auto"/>
              </w:rPr>
              <w:t>1.2025年和2035年全市大气污染物氮氧化物和VOCs重点工程削减量不低于省政府确定的削减量。</w:t>
            </w:r>
          </w:p>
          <w:p w14:paraId="1FA15665">
            <w:pPr>
              <w:jc w:val="center"/>
              <w:rPr>
                <w:rFonts w:ascii="宋体" w:hAnsi="宋体" w:eastAsia="宋体" w:cs="Times New Roman"/>
                <w:color w:val="auto"/>
              </w:rPr>
            </w:pPr>
            <w:r>
              <w:rPr>
                <w:rFonts w:ascii="宋体" w:hAnsi="宋体" w:eastAsia="宋体" w:cs="Times New Roman"/>
                <w:color w:val="auto"/>
              </w:rPr>
              <w:t>2.2025年和2035年全市水污染物化学需氧量和氨氮削减量不低于省政府确定的削减量。到2025年，全市地表水体消除劣V类，县级城市建成区基本消除黑臭水体。</w:t>
            </w:r>
          </w:p>
        </w:tc>
        <w:tc>
          <w:tcPr>
            <w:tcW w:w="2044" w:type="pct"/>
            <w:shd w:val="clear" w:color="auto" w:fill="auto"/>
            <w:vAlign w:val="center"/>
          </w:tcPr>
          <w:p w14:paraId="0B7C258E">
            <w:pPr>
              <w:jc w:val="center"/>
              <w:rPr>
                <w:rFonts w:ascii="宋体" w:hAnsi="宋体" w:eastAsia="宋体" w:cs="Times New Roman"/>
                <w:color w:val="auto"/>
              </w:rPr>
            </w:pPr>
            <w:r>
              <w:rPr>
                <w:rFonts w:ascii="宋体" w:hAnsi="宋体" w:eastAsia="宋体" w:cs="Times New Roman"/>
                <w:color w:val="auto"/>
              </w:rPr>
              <w:t>符合。本项目施工过程中产生的废气主要为施工扬尘、施工车辆排放的尾气、柴油机废气、焊接烟尘。施工扬尘采取运输道路及施工场地定时洒水抑尘，运输车辆采取苫布遮盖措施，土方开挖采取遮盖、围挡、洒水等防尘措施；施工车辆采用清洁燃料，降低污染物排放；柴油机采用节能环保型柴油动力设备，钻井发电机和钻井柴油机采用符合</w:t>
            </w:r>
            <w:r>
              <w:rPr>
                <w:rFonts w:hint="eastAsia" w:ascii="宋体" w:hAnsi="宋体" w:eastAsia="宋体" w:cs="Times New Roman"/>
                <w:color w:val="auto"/>
              </w:rPr>
              <w:t>《车用柴油》（</w:t>
            </w:r>
            <w:r>
              <w:rPr>
                <w:rFonts w:ascii="宋体" w:hAnsi="宋体" w:eastAsia="宋体" w:cs="Times New Roman"/>
                <w:color w:val="auto"/>
              </w:rPr>
              <w:t>GB 19147-2016）的柴油，加强对机械设备的维护、保养，减少不必要的运转时间，以控制尾气的排放；2口勘探井试油阶段产生的少量伴生气采用试油设备配套放喷管设施点火燃烧，放喷管高为8m（配套防回火与自动点火装置），设置于井口50m以外，且距离发电房等易产生明火的位置20m以上；项目管道焊接主要方式为电焊，由于项目焊接点较少，产生的焊接烟尘量较小，且项目位于室外，空气扩散条件较好，对大气环境影响较小。运营期产生的废气主要为油气集输过程中产生的非甲烷总烃、拉油点储罐和场站油气处理加热炉产生的烟气。本项目井口安装密封垫，集输管线采用密闭管道，拉油点储罐密闭，定期对设备和管道进行维修保养，保证油气处理设施的平稳运行，控制烃类气体的无组织挥发，拉油点储罐和场站加热炉燃料均采用天然气，为清洁能源。本项目施工期及运营期废水均不外排。</w:t>
            </w:r>
          </w:p>
        </w:tc>
      </w:tr>
      <w:tr w14:paraId="243A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shd w:val="clear" w:color="auto" w:fill="auto"/>
            <w:vAlign w:val="center"/>
          </w:tcPr>
          <w:p w14:paraId="48091845">
            <w:pPr>
              <w:jc w:val="center"/>
              <w:rPr>
                <w:rFonts w:ascii="宋体" w:hAnsi="宋体" w:eastAsia="宋体" w:cs="Times New Roman"/>
                <w:color w:val="auto"/>
              </w:rPr>
            </w:pPr>
          </w:p>
        </w:tc>
        <w:tc>
          <w:tcPr>
            <w:tcW w:w="391" w:type="pct"/>
            <w:shd w:val="clear" w:color="auto" w:fill="auto"/>
            <w:vAlign w:val="center"/>
          </w:tcPr>
          <w:p w14:paraId="1FF4E77C">
            <w:pPr>
              <w:jc w:val="center"/>
              <w:rPr>
                <w:rFonts w:ascii="宋体" w:hAnsi="宋体" w:eastAsia="宋体" w:cs="Times New Roman"/>
                <w:color w:val="auto"/>
              </w:rPr>
            </w:pPr>
            <w:r>
              <w:rPr>
                <w:rFonts w:ascii="宋体" w:hAnsi="宋体" w:eastAsia="宋体" w:cs="Times New Roman"/>
                <w:color w:val="auto"/>
              </w:rPr>
              <w:t>资源利用效率要求</w:t>
            </w:r>
          </w:p>
        </w:tc>
        <w:tc>
          <w:tcPr>
            <w:tcW w:w="2176" w:type="pct"/>
            <w:gridSpan w:val="2"/>
            <w:shd w:val="clear" w:color="auto" w:fill="auto"/>
            <w:vAlign w:val="center"/>
          </w:tcPr>
          <w:p w14:paraId="1161406A">
            <w:pPr>
              <w:jc w:val="center"/>
              <w:rPr>
                <w:rFonts w:ascii="宋体" w:hAnsi="宋体" w:eastAsia="宋体" w:cs="Times New Roman"/>
                <w:color w:val="auto"/>
              </w:rPr>
            </w:pPr>
            <w:r>
              <w:rPr>
                <w:rFonts w:ascii="宋体" w:hAnsi="宋体" w:eastAsia="宋体" w:cs="Times New Roman"/>
                <w:color w:val="auto"/>
              </w:rPr>
              <w:t>1.全市2025年用水总量不得超过34.38亿立方米，2030年用水总量控制指标不高于省政府确定的指标。</w:t>
            </w:r>
          </w:p>
          <w:p w14:paraId="5AF0D71B">
            <w:pPr>
              <w:jc w:val="center"/>
              <w:rPr>
                <w:rFonts w:ascii="宋体" w:hAnsi="宋体" w:eastAsia="宋体" w:cs="Times New Roman"/>
                <w:color w:val="auto"/>
              </w:rPr>
            </w:pPr>
            <w:r>
              <w:rPr>
                <w:rFonts w:ascii="宋体" w:hAnsi="宋体" w:eastAsia="宋体" w:cs="Times New Roman"/>
                <w:color w:val="auto"/>
              </w:rPr>
              <w:t>2.全市2025和2035年耕地保有量不低于规划指标。</w:t>
            </w:r>
          </w:p>
          <w:p w14:paraId="64791447">
            <w:pPr>
              <w:jc w:val="center"/>
              <w:rPr>
                <w:rFonts w:ascii="宋体" w:hAnsi="宋体" w:eastAsia="宋体" w:cs="Times New Roman"/>
                <w:color w:val="auto"/>
              </w:rPr>
            </w:pPr>
            <w:r>
              <w:rPr>
                <w:rFonts w:ascii="宋体" w:hAnsi="宋体" w:eastAsia="宋体" w:cs="Times New Roman"/>
                <w:color w:val="auto"/>
              </w:rPr>
              <w:t>3.全市2025年和2035年煤炭消费上线不高于省政府确定的指标。</w:t>
            </w:r>
          </w:p>
        </w:tc>
        <w:tc>
          <w:tcPr>
            <w:tcW w:w="2044" w:type="pct"/>
            <w:shd w:val="clear" w:color="auto" w:fill="auto"/>
            <w:vAlign w:val="center"/>
          </w:tcPr>
          <w:p w14:paraId="140BD019">
            <w:pPr>
              <w:jc w:val="center"/>
              <w:rPr>
                <w:rFonts w:ascii="宋体" w:hAnsi="宋体" w:eastAsia="宋体" w:cs="Times New Roman"/>
                <w:color w:val="auto"/>
              </w:rPr>
            </w:pPr>
            <w:r>
              <w:rPr>
                <w:rFonts w:ascii="宋体" w:hAnsi="宋体" w:eastAsia="宋体" w:cs="Times New Roman"/>
                <w:color w:val="auto"/>
              </w:rPr>
              <w:t>项目永久占地较少，临时占地均为施工结束后进行生态恢复；本项目施工期消耗的水主要用于生活需要，用量较少，运营期作业用水均为处理达标后的含油污水，不新增新鲜水消耗；井场和依托场站设备能源主要依托油田的电网供电，伴生气用于拉油点多功能储罐加热炉自耗，不消费煤炭，能源消耗符合大庆市能源利用上线及分区管控要求。</w:t>
            </w:r>
          </w:p>
        </w:tc>
      </w:tr>
      <w:tr w14:paraId="16BD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5"/>
            <w:shd w:val="clear" w:color="auto" w:fill="auto"/>
            <w:vAlign w:val="center"/>
          </w:tcPr>
          <w:p w14:paraId="05F803F9">
            <w:pPr>
              <w:jc w:val="center"/>
              <w:rPr>
                <w:rFonts w:ascii="宋体" w:hAnsi="宋体" w:eastAsia="宋体" w:cs="Times New Roman"/>
                <w:color w:val="auto"/>
              </w:rPr>
            </w:pPr>
            <w:r>
              <w:rPr>
                <w:rFonts w:ascii="宋体" w:hAnsi="宋体" w:eastAsia="宋体" w:cs="Times New Roman"/>
                <w:color w:val="auto"/>
              </w:rPr>
              <w:t>大庆市肇源县生态环境准入清单</w:t>
            </w:r>
          </w:p>
        </w:tc>
      </w:tr>
      <w:tr w14:paraId="1C4B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shd w:val="clear" w:color="auto" w:fill="auto"/>
            <w:vAlign w:val="center"/>
          </w:tcPr>
          <w:p w14:paraId="6D57F02B">
            <w:pPr>
              <w:jc w:val="center"/>
              <w:rPr>
                <w:rFonts w:ascii="宋体" w:hAnsi="宋体" w:eastAsia="宋体" w:cs="Times New Roman"/>
                <w:color w:val="auto"/>
              </w:rPr>
            </w:pPr>
            <w:r>
              <w:rPr>
                <w:rFonts w:ascii="宋体" w:hAnsi="宋体" w:eastAsia="宋体" w:cs="Times New Roman"/>
                <w:color w:val="auto"/>
              </w:rPr>
              <w:t>环境管控单元编码</w:t>
            </w:r>
          </w:p>
        </w:tc>
        <w:tc>
          <w:tcPr>
            <w:tcW w:w="391" w:type="pct"/>
            <w:shd w:val="clear" w:color="auto" w:fill="auto"/>
            <w:vAlign w:val="center"/>
          </w:tcPr>
          <w:p w14:paraId="61A5A0EC">
            <w:pPr>
              <w:jc w:val="center"/>
              <w:rPr>
                <w:rFonts w:ascii="宋体" w:hAnsi="宋体" w:eastAsia="宋体" w:cs="Times New Roman"/>
                <w:color w:val="auto"/>
              </w:rPr>
            </w:pPr>
            <w:r>
              <w:rPr>
                <w:rFonts w:ascii="宋体" w:hAnsi="宋体" w:eastAsia="宋体" w:cs="Times New Roman"/>
                <w:color w:val="auto"/>
              </w:rPr>
              <w:t>环境管控单元名称</w:t>
            </w:r>
          </w:p>
        </w:tc>
        <w:tc>
          <w:tcPr>
            <w:tcW w:w="297" w:type="pct"/>
            <w:shd w:val="clear" w:color="auto" w:fill="auto"/>
            <w:vAlign w:val="center"/>
          </w:tcPr>
          <w:p w14:paraId="2A1B6EF4">
            <w:pPr>
              <w:jc w:val="center"/>
              <w:rPr>
                <w:rFonts w:ascii="宋体" w:hAnsi="宋体" w:eastAsia="宋体" w:cs="Times New Roman"/>
                <w:color w:val="auto"/>
              </w:rPr>
            </w:pPr>
            <w:r>
              <w:rPr>
                <w:rFonts w:ascii="宋体" w:hAnsi="宋体" w:eastAsia="宋体" w:cs="Times New Roman"/>
                <w:color w:val="auto"/>
              </w:rPr>
              <w:t>管控单元类别</w:t>
            </w:r>
          </w:p>
        </w:tc>
        <w:tc>
          <w:tcPr>
            <w:tcW w:w="1879" w:type="pct"/>
            <w:shd w:val="clear" w:color="auto" w:fill="auto"/>
            <w:vAlign w:val="center"/>
          </w:tcPr>
          <w:p w14:paraId="797C4BB9">
            <w:pPr>
              <w:jc w:val="center"/>
              <w:rPr>
                <w:rFonts w:ascii="宋体" w:hAnsi="宋体" w:eastAsia="宋体" w:cs="Times New Roman"/>
                <w:color w:val="auto"/>
              </w:rPr>
            </w:pPr>
            <w:r>
              <w:rPr>
                <w:rFonts w:ascii="宋体" w:hAnsi="宋体" w:eastAsia="宋体" w:cs="Times New Roman"/>
                <w:color w:val="auto"/>
              </w:rPr>
              <w:t>管控要求</w:t>
            </w:r>
          </w:p>
        </w:tc>
        <w:tc>
          <w:tcPr>
            <w:tcW w:w="2044" w:type="pct"/>
            <w:shd w:val="clear" w:color="auto" w:fill="auto"/>
            <w:vAlign w:val="center"/>
          </w:tcPr>
          <w:p w14:paraId="3071E42E">
            <w:pPr>
              <w:jc w:val="center"/>
              <w:rPr>
                <w:rFonts w:ascii="宋体" w:hAnsi="宋体" w:eastAsia="宋体" w:cs="Times New Roman"/>
                <w:color w:val="auto"/>
              </w:rPr>
            </w:pPr>
            <w:r>
              <w:rPr>
                <w:rFonts w:ascii="宋体" w:hAnsi="宋体" w:eastAsia="宋体" w:cs="Times New Roman"/>
                <w:color w:val="auto"/>
              </w:rPr>
              <w:t>本项目符合性分析</w:t>
            </w:r>
          </w:p>
        </w:tc>
      </w:tr>
      <w:tr w14:paraId="48D8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shd w:val="clear" w:color="auto" w:fill="auto"/>
            <w:vAlign w:val="center"/>
          </w:tcPr>
          <w:p w14:paraId="18CC4DB6">
            <w:pPr>
              <w:jc w:val="center"/>
              <w:rPr>
                <w:rFonts w:ascii="宋体" w:hAnsi="宋体" w:eastAsia="宋体" w:cs="Times New Roman"/>
                <w:color w:val="auto"/>
              </w:rPr>
            </w:pPr>
            <w:r>
              <w:rPr>
                <w:rFonts w:ascii="宋体" w:hAnsi="宋体" w:eastAsia="宋体" w:cs="Times New Roman"/>
                <w:color w:val="auto"/>
              </w:rPr>
              <w:t>ZH23062210002</w:t>
            </w:r>
          </w:p>
          <w:p w14:paraId="70CDF0CB">
            <w:pPr>
              <w:jc w:val="center"/>
              <w:rPr>
                <w:rFonts w:ascii="宋体" w:hAnsi="宋体" w:eastAsia="宋体" w:cs="Times New Roman"/>
                <w:color w:val="auto"/>
              </w:rPr>
            </w:pPr>
          </w:p>
        </w:tc>
        <w:tc>
          <w:tcPr>
            <w:tcW w:w="391" w:type="pct"/>
            <w:shd w:val="clear" w:color="auto" w:fill="auto"/>
            <w:vAlign w:val="center"/>
          </w:tcPr>
          <w:p w14:paraId="279B85FF">
            <w:pPr>
              <w:jc w:val="center"/>
              <w:rPr>
                <w:rFonts w:ascii="宋体" w:hAnsi="宋体" w:eastAsia="宋体" w:cs="Times New Roman"/>
                <w:color w:val="auto"/>
              </w:rPr>
            </w:pPr>
            <w:r>
              <w:rPr>
                <w:rFonts w:ascii="宋体" w:hAnsi="宋体" w:eastAsia="宋体" w:cs="Times New Roman"/>
                <w:color w:val="auto"/>
              </w:rPr>
              <w:t>肇源县一般生态空间</w:t>
            </w:r>
          </w:p>
          <w:p w14:paraId="147050FF">
            <w:pPr>
              <w:jc w:val="center"/>
              <w:rPr>
                <w:rFonts w:ascii="宋体" w:hAnsi="宋体" w:eastAsia="宋体" w:cs="Times New Roman"/>
                <w:color w:val="auto"/>
              </w:rPr>
            </w:pPr>
          </w:p>
        </w:tc>
        <w:tc>
          <w:tcPr>
            <w:tcW w:w="297" w:type="pct"/>
            <w:shd w:val="clear" w:color="auto" w:fill="auto"/>
            <w:vAlign w:val="center"/>
          </w:tcPr>
          <w:p w14:paraId="33DFF372">
            <w:pPr>
              <w:jc w:val="center"/>
              <w:rPr>
                <w:rFonts w:ascii="宋体" w:hAnsi="宋体" w:eastAsia="宋体" w:cs="Times New Roman"/>
                <w:color w:val="auto"/>
              </w:rPr>
            </w:pPr>
            <w:r>
              <w:rPr>
                <w:rFonts w:ascii="宋体" w:hAnsi="宋体" w:eastAsia="宋体" w:cs="Times New Roman"/>
                <w:color w:val="auto"/>
              </w:rPr>
              <w:t>优先保护单元</w:t>
            </w:r>
          </w:p>
          <w:p w14:paraId="318B27B8">
            <w:pPr>
              <w:jc w:val="center"/>
              <w:rPr>
                <w:rFonts w:ascii="宋体" w:hAnsi="宋体" w:eastAsia="宋体" w:cs="Times New Roman"/>
                <w:color w:val="auto"/>
              </w:rPr>
            </w:pPr>
          </w:p>
        </w:tc>
        <w:tc>
          <w:tcPr>
            <w:tcW w:w="1879" w:type="pct"/>
            <w:shd w:val="clear" w:color="auto" w:fill="auto"/>
            <w:vAlign w:val="center"/>
          </w:tcPr>
          <w:p w14:paraId="427F8660">
            <w:pPr>
              <w:jc w:val="center"/>
              <w:rPr>
                <w:rFonts w:ascii="宋体" w:hAnsi="宋体" w:eastAsia="宋体" w:cs="Times New Roman"/>
                <w:color w:val="auto"/>
              </w:rPr>
            </w:pPr>
            <w:r>
              <w:rPr>
                <w:rFonts w:ascii="宋体" w:hAnsi="宋体" w:eastAsia="宋体" w:cs="Times New Roman"/>
                <w:color w:val="auto"/>
              </w:rPr>
              <w:t xml:space="preserve">空间布局约束 </w:t>
            </w:r>
          </w:p>
          <w:p w14:paraId="3152E41F">
            <w:pPr>
              <w:jc w:val="center"/>
              <w:rPr>
                <w:rFonts w:ascii="宋体" w:hAnsi="宋体" w:eastAsia="宋体" w:cs="Times New Roman"/>
                <w:color w:val="auto"/>
              </w:rPr>
            </w:pPr>
            <w:r>
              <w:rPr>
                <w:rFonts w:ascii="宋体" w:hAnsi="宋体" w:eastAsia="宋体" w:cs="Times New Roman"/>
                <w:color w:val="auto"/>
              </w:rPr>
              <w:t xml:space="preserve">1.原则上按限制开发区域的要求进行管理。严格限制与生态功能不一致的开发建设活动。符合区域准入条件的新增建设项目，涉及占用生态空间中的林地、草原等，按有关法律法规规定办理；涉及占用生态空间中其他未作明确规定的用地，应当加强论证和管理。符合条件的农业开发项目，须依法由市县级及以上地方人民政府统筹安排。除符合国家生态退耕条件的耕地，并纳入国家生态退耕总体安排，或因国家重大生态工程建设需要外，不得随意转用。 </w:t>
            </w:r>
          </w:p>
          <w:p w14:paraId="54064B88">
            <w:pPr>
              <w:jc w:val="center"/>
              <w:rPr>
                <w:rFonts w:ascii="宋体" w:hAnsi="宋体" w:eastAsia="宋体" w:cs="Times New Roman"/>
                <w:color w:val="auto"/>
              </w:rPr>
            </w:pPr>
            <w:r>
              <w:rPr>
                <w:rFonts w:ascii="宋体" w:hAnsi="宋体" w:eastAsia="宋体" w:cs="Times New Roman"/>
                <w:color w:val="auto"/>
              </w:rPr>
              <w:t xml:space="preserve">2.对依法保护的生态空间实行承载力控制，防止过度垦殖、放牧、采伐、取水、渔猎、旅游等对生态功能造成损害，确保自然生态系统的稳定。 3.避免开发建设活动损害其生态服务功能和生态产品质量。 4.已经侵占生态空间的，应建立退出机制、制定治理方案及时间表。 5.肇源县大庙风景名胜区同时执行： 禁止开发建设活动要求： 1）禁止在自然保护区内进行砍伐、放牧、狩猎、捕捞、采药、开垦、烧荒、开矿、采石、挖沙等活动；但法律、行政法规等另有规定的除外。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 2）禁止在自然保护区的缓冲区开展旅游和生产经营活动。严禁开设与自然保护区保护方向不一致的参观、旅游项目。 3）禁止在自然保护区的核心区和缓冲区内建设畜禽养殖场、养殖小区。 4）禁止在自然保护区及其外围保护地带建立污染、破坏或者危害自然保护区自然环境和自然资源的设施。 5）核心区和缓冲区内不得建设任何生产设施；实验区不得建设污染环境、破坏资源或者景观的生产设施。 限制开发建设活动要求： 在自然保护区的实验区内，不得建设污染环境、破坏资源或者景观的生产设施；建设其他项目，其污染物排放不得超过国家和地方规定的污染物排放标准。 6.肇源县引嫩入肇饮用水水源地同时执行： 1）饮用水地表水源各级保护区及准保护区内均必须遵守下列规定： （1）禁止一切破坏水环境生态平衡的活动以及破坏水源林、护岸林、与水源保护相关植被的活动。 （2）禁止向水域倾倒工业废渣、城市垃圾、粪便及其它废弃物。 （3）运输有毒有害物质、油类、粪便的船舶和车辆一般不准进入保护区，必须进入者应事先申请并经有关部门批准、登记并设置防渗、防溢、防漏设施。 （4）禁止使用剧毒和高残留农药，不得滥用化肥，不得使用炸药、毒品捕杀鱼类。 （5）禁止建设畜禽养殖场、养殖小区。 （6）禁止设置排污口。 2）饮用水地表水源各级保护区及准保护区内必须分别遵守下列规定： （1）一级保护区内：禁止新建、扩建与供水设施和保护水源无关的建设项目，已建成的与供水设施和保护水源无关的建设项目，由县级以上人民政府责令拆除或者关闭；禁止向水域排放污水，已设置的排污口必须拆除；不得设置与供水需要无关的码头，禁止停靠船舶；禁止堆置和存放工业废渣、城市垃圾、粪便和其他废弃物；禁止设置油库；禁止从事种植、放养畜禽和网箱养殖活动；禁止可能污染水源的旅游活动和其他活动。 （2）二级保护区内：禁止新建、改建、扩建排放污染物的建设项目，已建成的排放污染物的建设项目，由县级以上人民政府责令拆除或者关闭；原有排污口依法拆除或者关闭；禁止设立装卸垃圾、粪便、油类和有毒物品的码头。 （3）准保护区内：禁止新建、扩建对水体污染严重的建设项目；改建建设项目，不得增加排污量。 3）国务院和省、自治区、直辖市人民政府根据水环境保护的需要，可以规定在饮用水水源保护区内，采取禁止或者限制使用含磷洗涤剂、化肥、农药以及限制种植养殖等措施。 4）饮用水地下水源各级保护区及准保护区内均必须遵守下列规定：禁止利用渗坑、渗井、裂隙、溶洞等排放污水和其它有害废弃物；禁止利用透水层孔隙、裂隙、溶洞及废弃矿坑储存石油、天然气、放射性物质、有毒有害化工原料、农药等；实行人工回灌地下水时不得污染当地地下水源。 </w:t>
            </w:r>
          </w:p>
          <w:p w14:paraId="108C8B2F">
            <w:pPr>
              <w:jc w:val="center"/>
              <w:rPr>
                <w:rFonts w:ascii="宋体" w:hAnsi="宋体" w:eastAsia="宋体" w:cs="Times New Roman"/>
                <w:color w:val="auto"/>
              </w:rPr>
            </w:pPr>
            <w:r>
              <w:rPr>
                <w:rFonts w:ascii="宋体" w:hAnsi="宋体" w:eastAsia="宋体" w:cs="Times New Roman"/>
                <w:color w:val="auto"/>
              </w:rPr>
              <w:t>（1）一级保护区内：禁止建设与取水设施无关的建筑物；禁止从事农牧业活动；禁止倾倒、堆放工业废渣及城市垃圾、粪便和其它有害废弃物；禁止输送污水的渠道、管道及输油管道通过本区；禁止建设油库；禁止建立墓地。 （2）二级保护区内：①对于潜水含水层地下水水源地：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②对于承压含水层地下水水源地：禁止承压水和潜水的混合开采，作好潜水的止水措施。（3）准保护区内：禁止建设城市垃圾、粪便和易溶、有毒有害废弃物的堆放场站，因特殊需要设立转运站的，必须经有关部门批准，并采取防渗漏措施；当补给源为地表水体时，该地表水体水质不应低于《地表水环境质量标准》Ⅲ类标准；不得使用不符合《农田灌溉水质标准》的污水进行灌溉，合理使用化肥；保护水源林，禁止毁林开荒，禁止非更新砍伐水源林。 7.嫩江松花江三岔河口鲢、翘嘴鲌国家级水产种质资源保护同时执行： 1）不得损害水产种质资源及其生存环境。 2）禁止在水产种质资源保护区内从事围湖造田工程。 3）禁止在水产种质资源保护区内新建排污口。4）在水产种质资源保护区附近新建、改建、扩建排污口，应当保证保护区水体不受污染。5）特别保护期内不得从事捕捞、爆破作业以及其他可能对保护区内生物资源和生态环境造成损害的活动。 6）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tc>
        <w:tc>
          <w:tcPr>
            <w:tcW w:w="2044" w:type="pct"/>
            <w:shd w:val="clear" w:color="auto" w:fill="auto"/>
            <w:vAlign w:val="center"/>
          </w:tcPr>
          <w:p w14:paraId="7AC43754">
            <w:pPr>
              <w:jc w:val="center"/>
              <w:rPr>
                <w:rFonts w:ascii="宋体" w:hAnsi="宋体" w:eastAsia="宋体" w:cs="Times New Roman"/>
                <w:color w:val="auto"/>
              </w:rPr>
            </w:pPr>
            <w:r>
              <w:rPr>
                <w:rFonts w:ascii="宋体" w:hAnsi="宋体" w:eastAsia="宋体" w:cs="Times New Roman"/>
                <w:color w:val="auto"/>
              </w:rPr>
              <w:t>符合要求。</w:t>
            </w:r>
            <w:r>
              <w:rPr>
                <w:rFonts w:hint="eastAsia" w:ascii="宋体" w:hAnsi="宋体" w:eastAsia="宋体" w:cs="Times New Roman"/>
                <w:color w:val="auto"/>
              </w:rPr>
              <w:t>1、</w:t>
            </w:r>
            <w:r>
              <w:rPr>
                <w:rFonts w:ascii="宋体" w:hAnsi="宋体" w:eastAsia="宋体" w:cs="Times New Roman"/>
                <w:color w:val="auto"/>
              </w:rPr>
              <w:t>本项目属于陆地石油开采行业，井场和拉油点工程永久占用耕地和草地，对占用的耕地，按照“占一补一”的原则，由建设单位负责开垦与所占用耕地的数量和质量相当的耕地，如果没有条件开垦时，按照省的规定缴纳耕地开垦费，专款用于开垦新的耕地。管线工程临时占用耕地和草地按规定办理占地手续，占地前编制表土剥离方案，施工结束后按要求进行土方回填、植被恢复。本项目建设占地不会对生态空间造成损害，不会影响生态系统服务功能。</w:t>
            </w:r>
          </w:p>
          <w:p w14:paraId="548B86A1">
            <w:pPr>
              <w:jc w:val="center"/>
              <w:rPr>
                <w:rFonts w:ascii="宋体" w:hAnsi="宋体" w:eastAsia="宋体" w:cs="Times New Roman"/>
                <w:color w:val="auto"/>
              </w:rPr>
            </w:pPr>
            <w:r>
              <w:rPr>
                <w:rFonts w:hint="eastAsia" w:ascii="宋体" w:hAnsi="宋体" w:eastAsia="宋体" w:cs="Times New Roman"/>
                <w:color w:val="auto"/>
              </w:rPr>
              <w:t>2、项目占地面积较小，且运营期作业、洗井等施工作业均在井场永久占地内进行，不会造成土地退化。同时，在本项目实施过程中加强水土流失措施的实施，车辆运输尽量采用已有道路，管道施工严格控制作业带宽度，施工后立即进行土地原貌的恢复等。项目的建设不会对区域生态功能产生明显影响。</w:t>
            </w:r>
          </w:p>
          <w:p w14:paraId="07B8A4BC">
            <w:pPr>
              <w:numPr>
                <w:ilvl w:val="0"/>
                <w:numId w:val="9"/>
              </w:numPr>
              <w:jc w:val="center"/>
              <w:rPr>
                <w:rFonts w:ascii="宋体" w:hAnsi="宋体" w:eastAsia="宋体" w:cs="Times New Roman"/>
                <w:color w:val="auto"/>
              </w:rPr>
            </w:pPr>
            <w:r>
              <w:rPr>
                <w:rFonts w:ascii="宋体" w:hAnsi="宋体" w:eastAsia="宋体" w:cs="Times New Roman"/>
                <w:color w:val="auto"/>
              </w:rPr>
              <w:t>本项目</w:t>
            </w:r>
            <w:r>
              <w:rPr>
                <w:rFonts w:hint="eastAsia" w:ascii="宋体" w:hAnsi="宋体" w:eastAsia="宋体" w:cs="Times New Roman"/>
                <w:color w:val="auto"/>
              </w:rPr>
              <w:t>施工结束后临时占地及时恢复，永久占地进行经济补偿，保障</w:t>
            </w:r>
            <w:r>
              <w:rPr>
                <w:rFonts w:ascii="宋体" w:hAnsi="宋体" w:eastAsia="宋体" w:cs="Times New Roman"/>
                <w:color w:val="auto"/>
              </w:rPr>
              <w:t>生态服务功能正常发挥。</w:t>
            </w:r>
          </w:p>
          <w:p w14:paraId="51947665">
            <w:pPr>
              <w:numPr>
                <w:ilvl w:val="0"/>
                <w:numId w:val="9"/>
              </w:numPr>
              <w:jc w:val="center"/>
              <w:rPr>
                <w:rFonts w:ascii="宋体" w:hAnsi="宋体" w:eastAsia="宋体" w:cs="Times New Roman"/>
                <w:color w:val="auto"/>
              </w:rPr>
            </w:pPr>
            <w:r>
              <w:rPr>
                <w:rFonts w:hint="eastAsia" w:ascii="宋体" w:hAnsi="宋体" w:eastAsia="宋体" w:cs="Times New Roman"/>
                <w:color w:val="auto"/>
              </w:rPr>
              <w:t>项目不涉及</w:t>
            </w:r>
            <w:r>
              <w:rPr>
                <w:rFonts w:ascii="宋体" w:hAnsi="宋体" w:eastAsia="宋体" w:cs="Times New Roman"/>
                <w:color w:val="auto"/>
              </w:rPr>
              <w:t>侵占生态空间</w:t>
            </w:r>
            <w:r>
              <w:rPr>
                <w:rFonts w:hint="eastAsia" w:ascii="宋体" w:hAnsi="宋体" w:eastAsia="宋体" w:cs="Times New Roman"/>
                <w:color w:val="auto"/>
              </w:rPr>
              <w:t>；</w:t>
            </w:r>
          </w:p>
          <w:p w14:paraId="478EE013">
            <w:pPr>
              <w:numPr>
                <w:ilvl w:val="0"/>
                <w:numId w:val="9"/>
              </w:numPr>
              <w:jc w:val="center"/>
              <w:rPr>
                <w:rFonts w:ascii="宋体" w:hAnsi="宋体" w:eastAsia="宋体" w:cs="Times New Roman"/>
                <w:color w:val="auto"/>
              </w:rPr>
            </w:pPr>
            <w:r>
              <w:rPr>
                <w:rFonts w:hint="eastAsia" w:ascii="宋体" w:hAnsi="宋体" w:eastAsia="宋体" w:cs="Times New Roman"/>
                <w:color w:val="auto"/>
              </w:rPr>
              <w:t>项目未占用</w:t>
            </w:r>
            <w:r>
              <w:rPr>
                <w:rFonts w:ascii="宋体" w:hAnsi="宋体" w:eastAsia="宋体" w:cs="Times New Roman"/>
                <w:color w:val="auto"/>
              </w:rPr>
              <w:t>肇源县大庙风景名胜区</w:t>
            </w:r>
            <w:r>
              <w:rPr>
                <w:rFonts w:hint="eastAsia" w:ascii="宋体" w:hAnsi="宋体" w:eastAsia="宋体" w:cs="Times New Roman"/>
                <w:color w:val="auto"/>
              </w:rPr>
              <w:t>；</w:t>
            </w:r>
          </w:p>
          <w:p w14:paraId="4F371B82">
            <w:pPr>
              <w:numPr>
                <w:ilvl w:val="0"/>
                <w:numId w:val="9"/>
              </w:numPr>
              <w:jc w:val="center"/>
              <w:rPr>
                <w:rFonts w:ascii="宋体" w:hAnsi="宋体" w:eastAsia="宋体" w:cs="Times New Roman"/>
                <w:color w:val="auto"/>
              </w:rPr>
            </w:pPr>
            <w:r>
              <w:rPr>
                <w:rFonts w:hint="eastAsia" w:ascii="宋体" w:hAnsi="宋体" w:eastAsia="宋体" w:cs="Times New Roman"/>
                <w:color w:val="auto"/>
              </w:rPr>
              <w:t>项目未占用</w:t>
            </w:r>
            <w:r>
              <w:rPr>
                <w:rFonts w:ascii="宋体" w:hAnsi="宋体" w:eastAsia="宋体" w:cs="Times New Roman"/>
                <w:color w:val="auto"/>
              </w:rPr>
              <w:t>肇源县引嫩入肇饮用水水源地</w:t>
            </w:r>
            <w:r>
              <w:rPr>
                <w:rFonts w:hint="eastAsia" w:ascii="宋体" w:hAnsi="宋体" w:eastAsia="宋体" w:cs="Times New Roman"/>
                <w:color w:val="auto"/>
              </w:rPr>
              <w:t>；</w:t>
            </w:r>
          </w:p>
          <w:p w14:paraId="10272591">
            <w:pPr>
              <w:numPr>
                <w:ilvl w:val="0"/>
                <w:numId w:val="9"/>
              </w:numPr>
              <w:jc w:val="center"/>
              <w:rPr>
                <w:rFonts w:ascii="宋体" w:hAnsi="宋体" w:eastAsia="宋体" w:cs="Times New Roman"/>
                <w:color w:val="auto"/>
              </w:rPr>
            </w:pPr>
            <w:r>
              <w:rPr>
                <w:rFonts w:hint="eastAsia" w:ascii="宋体" w:hAnsi="宋体" w:eastAsia="宋体" w:cs="Times New Roman"/>
                <w:color w:val="auto"/>
              </w:rPr>
              <w:t>项目未占用</w:t>
            </w:r>
            <w:r>
              <w:rPr>
                <w:rFonts w:ascii="宋体" w:hAnsi="宋体" w:eastAsia="宋体" w:cs="Times New Roman"/>
                <w:color w:val="auto"/>
              </w:rPr>
              <w:t>嫩江松花江三岔河口鲢、翘嘴鲌国家级水产种质资源保护</w:t>
            </w:r>
            <w:r>
              <w:rPr>
                <w:rFonts w:hint="eastAsia" w:ascii="宋体" w:hAnsi="宋体" w:eastAsia="宋体" w:cs="Times New Roman"/>
                <w:color w:val="auto"/>
              </w:rPr>
              <w:t>。</w:t>
            </w:r>
          </w:p>
        </w:tc>
      </w:tr>
      <w:tr w14:paraId="3B9F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restart"/>
            <w:shd w:val="clear" w:color="auto" w:fill="auto"/>
            <w:vAlign w:val="center"/>
          </w:tcPr>
          <w:p w14:paraId="455FB109">
            <w:pPr>
              <w:jc w:val="center"/>
              <w:rPr>
                <w:rFonts w:ascii="宋体" w:hAnsi="宋体" w:eastAsia="宋体" w:cs="Times New Roman"/>
                <w:color w:val="auto"/>
              </w:rPr>
            </w:pPr>
            <w:r>
              <w:rPr>
                <w:rFonts w:ascii="宋体" w:hAnsi="宋体" w:eastAsia="宋体" w:cs="Times New Roman"/>
                <w:color w:val="auto"/>
                <w:lang w:bidi="ar"/>
              </w:rPr>
              <w:t>ZH23062220003</w:t>
            </w:r>
          </w:p>
          <w:p w14:paraId="03177BFE">
            <w:pPr>
              <w:jc w:val="center"/>
              <w:rPr>
                <w:rFonts w:ascii="宋体" w:hAnsi="宋体" w:eastAsia="宋体" w:cs="Times New Roman"/>
                <w:color w:val="auto"/>
              </w:rPr>
            </w:pPr>
          </w:p>
        </w:tc>
        <w:tc>
          <w:tcPr>
            <w:tcW w:w="391" w:type="pct"/>
            <w:vMerge w:val="restart"/>
            <w:shd w:val="clear" w:color="auto" w:fill="auto"/>
            <w:vAlign w:val="center"/>
          </w:tcPr>
          <w:p w14:paraId="36FC6AF5">
            <w:pPr>
              <w:jc w:val="center"/>
              <w:rPr>
                <w:rFonts w:ascii="宋体" w:hAnsi="宋体" w:eastAsia="宋体" w:cs="Times New Roman"/>
                <w:color w:val="auto"/>
              </w:rPr>
            </w:pPr>
            <w:r>
              <w:rPr>
                <w:rFonts w:ascii="宋体" w:hAnsi="宋体" w:eastAsia="宋体" w:cs="Times New Roman"/>
                <w:color w:val="auto"/>
                <w:lang w:bidi="ar"/>
              </w:rPr>
              <w:t>肇源县城镇空间</w:t>
            </w:r>
          </w:p>
          <w:p w14:paraId="0CA00EE1">
            <w:pPr>
              <w:jc w:val="center"/>
              <w:rPr>
                <w:rFonts w:ascii="宋体" w:hAnsi="宋体" w:eastAsia="宋体" w:cs="Times New Roman"/>
                <w:color w:val="auto"/>
              </w:rPr>
            </w:pPr>
          </w:p>
        </w:tc>
        <w:tc>
          <w:tcPr>
            <w:tcW w:w="297" w:type="pct"/>
            <w:vMerge w:val="restart"/>
            <w:shd w:val="clear" w:color="auto" w:fill="auto"/>
            <w:vAlign w:val="center"/>
          </w:tcPr>
          <w:p w14:paraId="736777FF">
            <w:pPr>
              <w:jc w:val="center"/>
              <w:rPr>
                <w:rFonts w:ascii="宋体" w:hAnsi="宋体" w:eastAsia="宋体" w:cs="Times New Roman"/>
                <w:color w:val="auto"/>
              </w:rPr>
            </w:pPr>
            <w:r>
              <w:rPr>
                <w:rFonts w:ascii="宋体" w:hAnsi="宋体" w:eastAsia="宋体" w:cs="Times New Roman"/>
                <w:color w:val="auto"/>
                <w:lang w:bidi="ar"/>
              </w:rPr>
              <w:t>重点管控单元</w:t>
            </w:r>
          </w:p>
          <w:p w14:paraId="63735C8F">
            <w:pPr>
              <w:jc w:val="center"/>
              <w:rPr>
                <w:rFonts w:ascii="宋体" w:hAnsi="宋体" w:eastAsia="宋体" w:cs="Times New Roman"/>
                <w:color w:val="auto"/>
              </w:rPr>
            </w:pPr>
          </w:p>
        </w:tc>
        <w:tc>
          <w:tcPr>
            <w:tcW w:w="1879" w:type="pct"/>
            <w:shd w:val="clear" w:color="auto" w:fill="auto"/>
            <w:vAlign w:val="center"/>
          </w:tcPr>
          <w:p w14:paraId="5BB2BB94">
            <w:pPr>
              <w:jc w:val="center"/>
              <w:rPr>
                <w:rFonts w:ascii="宋体" w:hAnsi="宋体" w:eastAsia="宋体" w:cs="Times New Roman"/>
                <w:color w:val="auto"/>
              </w:rPr>
            </w:pPr>
            <w:r>
              <w:rPr>
                <w:rFonts w:ascii="宋体" w:hAnsi="宋体" w:eastAsia="宋体" w:cs="Times New Roman"/>
                <w:color w:val="auto"/>
                <w:lang w:bidi="ar"/>
              </w:rPr>
              <w:t xml:space="preserve">空间布局约束 </w:t>
            </w:r>
          </w:p>
          <w:p w14:paraId="72D3109A">
            <w:pPr>
              <w:jc w:val="center"/>
              <w:rPr>
                <w:rFonts w:ascii="宋体" w:hAnsi="宋体" w:eastAsia="宋体" w:cs="Times New Roman"/>
                <w:color w:val="auto"/>
              </w:rPr>
            </w:pPr>
            <w:r>
              <w:rPr>
                <w:rFonts w:ascii="宋体" w:hAnsi="宋体" w:eastAsia="宋体" w:cs="Times New Roman"/>
                <w:color w:val="auto"/>
                <w:lang w:bidi="ar"/>
              </w:rPr>
              <w:t xml:space="preserve">1.严禁在人口密集区新建危险化学品生产项目，城镇人口密集区危险化学品生产企业应搬迁改造。 2.禁止在城镇居民区、文化教育科学研究区等人口集中区域建设畜禽养殖场、养殖小区。 </w:t>
            </w:r>
          </w:p>
        </w:tc>
        <w:tc>
          <w:tcPr>
            <w:tcW w:w="2044" w:type="pct"/>
            <w:shd w:val="clear" w:color="auto" w:fill="auto"/>
            <w:vAlign w:val="center"/>
          </w:tcPr>
          <w:p w14:paraId="2630DD1B">
            <w:pPr>
              <w:jc w:val="center"/>
              <w:rPr>
                <w:rFonts w:ascii="宋体" w:hAnsi="宋体" w:eastAsia="宋体" w:cs="Times New Roman"/>
                <w:color w:val="auto"/>
              </w:rPr>
            </w:pPr>
            <w:r>
              <w:rPr>
                <w:rFonts w:ascii="宋体" w:hAnsi="宋体" w:eastAsia="宋体" w:cs="Times New Roman"/>
                <w:color w:val="auto"/>
              </w:rPr>
              <w:t>符合要求。</w:t>
            </w:r>
            <w:r>
              <w:rPr>
                <w:rFonts w:hint="eastAsia" w:ascii="宋体" w:hAnsi="宋体" w:eastAsia="宋体" w:cs="Times New Roman"/>
                <w:color w:val="auto"/>
              </w:rPr>
              <w:t>1、</w:t>
            </w:r>
            <w:r>
              <w:rPr>
                <w:rFonts w:ascii="宋体" w:hAnsi="宋体" w:eastAsia="宋体" w:cs="Times New Roman"/>
                <w:color w:val="auto"/>
              </w:rPr>
              <w:t>本项目为陆地石油开采项目，生产过程中主要危险物质为石油和伴生气，在环境风险防控方面采取加强施工管理、制定岗位操作规程并定期培训学习、实行岗位责任制、制定可行的突发环境事件环境应急预案等措施。</w:t>
            </w:r>
            <w:r>
              <w:rPr>
                <w:rFonts w:hint="eastAsia" w:ascii="宋体" w:hAnsi="宋体" w:eastAsia="宋体" w:cs="Times New Roman"/>
                <w:color w:val="auto"/>
              </w:rPr>
              <w:t>不属于</w:t>
            </w:r>
            <w:r>
              <w:rPr>
                <w:rFonts w:ascii="宋体" w:hAnsi="宋体" w:eastAsia="宋体" w:cs="Times New Roman"/>
                <w:color w:val="auto"/>
                <w:lang w:bidi="ar"/>
              </w:rPr>
              <w:t>危险化学品生产项目</w:t>
            </w:r>
            <w:r>
              <w:rPr>
                <w:rFonts w:hint="eastAsia" w:ascii="宋体" w:hAnsi="宋体" w:eastAsia="宋体" w:cs="Times New Roman"/>
                <w:color w:val="auto"/>
                <w:lang w:bidi="ar"/>
              </w:rPr>
              <w:t>；2、项目不属于</w:t>
            </w:r>
            <w:r>
              <w:rPr>
                <w:rFonts w:ascii="宋体" w:hAnsi="宋体" w:eastAsia="宋体" w:cs="Times New Roman"/>
                <w:color w:val="auto"/>
                <w:lang w:bidi="ar"/>
              </w:rPr>
              <w:t>畜禽养殖</w:t>
            </w:r>
            <w:r>
              <w:rPr>
                <w:rFonts w:hint="eastAsia" w:ascii="宋体" w:hAnsi="宋体" w:eastAsia="宋体" w:cs="Times New Roman"/>
                <w:color w:val="auto"/>
                <w:lang w:bidi="ar"/>
              </w:rPr>
              <w:t>项目。</w:t>
            </w:r>
          </w:p>
        </w:tc>
      </w:tr>
      <w:tr w14:paraId="7773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shd w:val="clear" w:color="auto" w:fill="auto"/>
            <w:vAlign w:val="center"/>
          </w:tcPr>
          <w:p w14:paraId="6329BADB">
            <w:pPr>
              <w:jc w:val="center"/>
              <w:rPr>
                <w:rFonts w:ascii="宋体" w:hAnsi="宋体" w:eastAsia="宋体" w:cs="Times New Roman"/>
                <w:color w:val="auto"/>
              </w:rPr>
            </w:pPr>
          </w:p>
        </w:tc>
        <w:tc>
          <w:tcPr>
            <w:tcW w:w="391" w:type="pct"/>
            <w:vMerge w:val="continue"/>
            <w:shd w:val="clear" w:color="auto" w:fill="auto"/>
            <w:vAlign w:val="center"/>
          </w:tcPr>
          <w:p w14:paraId="52F2572C">
            <w:pPr>
              <w:jc w:val="center"/>
              <w:rPr>
                <w:rFonts w:ascii="宋体" w:hAnsi="宋体" w:eastAsia="宋体" w:cs="Times New Roman"/>
                <w:color w:val="auto"/>
              </w:rPr>
            </w:pPr>
          </w:p>
        </w:tc>
        <w:tc>
          <w:tcPr>
            <w:tcW w:w="297" w:type="pct"/>
            <w:vMerge w:val="continue"/>
            <w:shd w:val="clear" w:color="auto" w:fill="auto"/>
            <w:vAlign w:val="center"/>
          </w:tcPr>
          <w:p w14:paraId="3607173D">
            <w:pPr>
              <w:jc w:val="center"/>
              <w:rPr>
                <w:rFonts w:ascii="宋体" w:hAnsi="宋体" w:eastAsia="宋体" w:cs="Times New Roman"/>
                <w:color w:val="auto"/>
              </w:rPr>
            </w:pPr>
          </w:p>
        </w:tc>
        <w:tc>
          <w:tcPr>
            <w:tcW w:w="1879" w:type="pct"/>
            <w:shd w:val="clear" w:color="auto" w:fill="auto"/>
            <w:vAlign w:val="center"/>
          </w:tcPr>
          <w:p w14:paraId="49135A59">
            <w:pPr>
              <w:jc w:val="center"/>
              <w:rPr>
                <w:rFonts w:ascii="宋体" w:hAnsi="宋体" w:eastAsia="宋体" w:cs="Times New Roman"/>
                <w:color w:val="auto"/>
              </w:rPr>
            </w:pPr>
            <w:r>
              <w:rPr>
                <w:rFonts w:ascii="宋体" w:hAnsi="宋体" w:eastAsia="宋体" w:cs="Times New Roman"/>
                <w:color w:val="auto"/>
                <w:lang w:bidi="ar"/>
              </w:rPr>
              <w:t xml:space="preserve">污染物排放管控 </w:t>
            </w:r>
          </w:p>
          <w:p w14:paraId="067DE459">
            <w:pPr>
              <w:jc w:val="center"/>
              <w:rPr>
                <w:rFonts w:ascii="宋体" w:hAnsi="宋体" w:eastAsia="宋体" w:cs="Times New Roman"/>
                <w:color w:val="auto"/>
              </w:rPr>
            </w:pPr>
            <w:r>
              <w:rPr>
                <w:rFonts w:ascii="宋体" w:hAnsi="宋体" w:eastAsia="宋体" w:cs="Times New Roman"/>
                <w:color w:val="auto"/>
                <w:lang w:bidi="ar"/>
              </w:rPr>
              <w:t>加快 65t</w:t>
            </w:r>
            <w:r>
              <w:rPr>
                <w:rFonts w:hint="eastAsia" w:ascii="宋体" w:hAnsi="宋体" w:eastAsia="宋体" w:cs="Times New Roman"/>
                <w:color w:val="auto"/>
                <w:lang w:bidi="ar"/>
              </w:rPr>
              <w:t>/</w:t>
            </w:r>
            <w:r>
              <w:rPr>
                <w:rFonts w:ascii="宋体" w:hAnsi="宋体" w:eastAsia="宋体" w:cs="Times New Roman"/>
                <w:color w:val="auto"/>
                <w:lang w:bidi="ar"/>
              </w:rPr>
              <w:t>h 以上燃煤锅炉（含电力）超低排放改造。</w:t>
            </w:r>
          </w:p>
        </w:tc>
        <w:tc>
          <w:tcPr>
            <w:tcW w:w="2044" w:type="pct"/>
            <w:shd w:val="clear" w:color="auto" w:fill="auto"/>
            <w:vAlign w:val="center"/>
          </w:tcPr>
          <w:p w14:paraId="26ADDFE8">
            <w:pPr>
              <w:jc w:val="center"/>
              <w:rPr>
                <w:rFonts w:ascii="宋体" w:hAnsi="宋体" w:eastAsia="宋体" w:cs="Times New Roman"/>
                <w:color w:val="auto"/>
              </w:rPr>
            </w:pPr>
            <w:r>
              <w:rPr>
                <w:rFonts w:hint="eastAsia" w:ascii="宋体" w:hAnsi="宋体" w:eastAsia="宋体" w:cs="Times New Roman"/>
                <w:color w:val="auto"/>
              </w:rPr>
              <w:t>项目不涉及燃煤锅炉。</w:t>
            </w:r>
          </w:p>
        </w:tc>
      </w:tr>
      <w:tr w14:paraId="0356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shd w:val="clear" w:color="auto" w:fill="auto"/>
            <w:vAlign w:val="center"/>
          </w:tcPr>
          <w:p w14:paraId="293E1C57">
            <w:pPr>
              <w:jc w:val="center"/>
              <w:rPr>
                <w:rFonts w:ascii="宋体" w:hAnsi="宋体" w:eastAsia="宋体" w:cs="Times New Roman"/>
                <w:color w:val="auto"/>
              </w:rPr>
            </w:pPr>
          </w:p>
        </w:tc>
        <w:tc>
          <w:tcPr>
            <w:tcW w:w="391" w:type="pct"/>
            <w:vMerge w:val="continue"/>
            <w:shd w:val="clear" w:color="auto" w:fill="auto"/>
            <w:vAlign w:val="center"/>
          </w:tcPr>
          <w:p w14:paraId="4ED20E65">
            <w:pPr>
              <w:jc w:val="center"/>
              <w:rPr>
                <w:rFonts w:ascii="宋体" w:hAnsi="宋体" w:eastAsia="宋体" w:cs="Times New Roman"/>
                <w:color w:val="auto"/>
              </w:rPr>
            </w:pPr>
          </w:p>
        </w:tc>
        <w:tc>
          <w:tcPr>
            <w:tcW w:w="297" w:type="pct"/>
            <w:vMerge w:val="continue"/>
            <w:shd w:val="clear" w:color="auto" w:fill="auto"/>
            <w:vAlign w:val="center"/>
          </w:tcPr>
          <w:p w14:paraId="6B7F1BE5">
            <w:pPr>
              <w:jc w:val="center"/>
              <w:rPr>
                <w:rFonts w:ascii="宋体" w:hAnsi="宋体" w:eastAsia="宋体" w:cs="Times New Roman"/>
                <w:color w:val="auto"/>
              </w:rPr>
            </w:pPr>
          </w:p>
        </w:tc>
        <w:tc>
          <w:tcPr>
            <w:tcW w:w="1879" w:type="pct"/>
            <w:shd w:val="clear" w:color="auto" w:fill="auto"/>
            <w:vAlign w:val="center"/>
          </w:tcPr>
          <w:p w14:paraId="065E0CEB">
            <w:pPr>
              <w:jc w:val="center"/>
              <w:rPr>
                <w:rFonts w:ascii="宋体" w:hAnsi="宋体" w:eastAsia="宋体" w:cs="Times New Roman"/>
                <w:color w:val="auto"/>
              </w:rPr>
            </w:pPr>
            <w:r>
              <w:rPr>
                <w:rFonts w:ascii="宋体" w:hAnsi="宋体" w:eastAsia="宋体" w:cs="Times New Roman"/>
                <w:color w:val="auto"/>
                <w:lang w:bidi="ar"/>
              </w:rPr>
              <w:t xml:space="preserve">环境风险防控 </w:t>
            </w:r>
          </w:p>
          <w:p w14:paraId="61223610">
            <w:pPr>
              <w:jc w:val="center"/>
              <w:rPr>
                <w:rFonts w:ascii="宋体" w:hAnsi="宋体" w:eastAsia="宋体" w:cs="Times New Roman"/>
                <w:color w:val="auto"/>
              </w:rPr>
            </w:pPr>
            <w:r>
              <w:rPr>
                <w:rFonts w:ascii="宋体" w:hAnsi="宋体" w:eastAsia="宋体" w:cs="Times New Roman"/>
                <w:color w:val="auto"/>
                <w:lang w:bidi="ar"/>
              </w:rPr>
              <w:t>化工园区与城市建成区、人员密集场所、重要设施、敏感目标等应当保持规定的安全距离，相对封闭，不应保留常住居民，非关联企业和产业要逐步搬迁或退出，妥善防范化解“邻避”问题。严禁在松花江干流及一级支流沿岸 1 公里范围内布局化工园区。</w:t>
            </w:r>
          </w:p>
        </w:tc>
        <w:tc>
          <w:tcPr>
            <w:tcW w:w="2044" w:type="pct"/>
            <w:shd w:val="clear" w:color="auto" w:fill="auto"/>
            <w:vAlign w:val="center"/>
          </w:tcPr>
          <w:p w14:paraId="7880E178">
            <w:pPr>
              <w:jc w:val="center"/>
              <w:rPr>
                <w:rFonts w:ascii="宋体" w:hAnsi="宋体" w:eastAsia="宋体" w:cs="Times New Roman"/>
                <w:color w:val="auto"/>
              </w:rPr>
            </w:pPr>
            <w:r>
              <w:rPr>
                <w:rFonts w:hint="eastAsia" w:ascii="宋体" w:hAnsi="宋体" w:eastAsia="宋体" w:cs="Times New Roman"/>
                <w:color w:val="auto"/>
              </w:rPr>
              <w:t>项目为陆地石油开采项目，不属于化工园区建设。</w:t>
            </w:r>
          </w:p>
        </w:tc>
      </w:tr>
      <w:tr w14:paraId="6AEC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vMerge w:val="continue"/>
            <w:shd w:val="clear" w:color="auto" w:fill="auto"/>
            <w:vAlign w:val="center"/>
          </w:tcPr>
          <w:p w14:paraId="3146F87F">
            <w:pPr>
              <w:jc w:val="center"/>
              <w:rPr>
                <w:rFonts w:ascii="宋体" w:hAnsi="宋体" w:eastAsia="宋体" w:cs="Times New Roman"/>
                <w:color w:val="auto"/>
              </w:rPr>
            </w:pPr>
          </w:p>
        </w:tc>
        <w:tc>
          <w:tcPr>
            <w:tcW w:w="391" w:type="pct"/>
            <w:vMerge w:val="continue"/>
            <w:shd w:val="clear" w:color="auto" w:fill="auto"/>
            <w:vAlign w:val="center"/>
          </w:tcPr>
          <w:p w14:paraId="0AB7E214">
            <w:pPr>
              <w:jc w:val="center"/>
              <w:rPr>
                <w:rFonts w:ascii="宋体" w:hAnsi="宋体" w:eastAsia="宋体" w:cs="Times New Roman"/>
                <w:color w:val="auto"/>
              </w:rPr>
            </w:pPr>
          </w:p>
        </w:tc>
        <w:tc>
          <w:tcPr>
            <w:tcW w:w="297" w:type="pct"/>
            <w:vMerge w:val="continue"/>
            <w:shd w:val="clear" w:color="auto" w:fill="auto"/>
            <w:vAlign w:val="center"/>
          </w:tcPr>
          <w:p w14:paraId="4B68C6BF">
            <w:pPr>
              <w:jc w:val="center"/>
              <w:rPr>
                <w:rFonts w:ascii="宋体" w:hAnsi="宋体" w:eastAsia="宋体" w:cs="Times New Roman"/>
                <w:color w:val="auto"/>
              </w:rPr>
            </w:pPr>
          </w:p>
        </w:tc>
        <w:tc>
          <w:tcPr>
            <w:tcW w:w="1879" w:type="pct"/>
            <w:shd w:val="clear" w:color="auto" w:fill="auto"/>
            <w:vAlign w:val="center"/>
          </w:tcPr>
          <w:p w14:paraId="0D9D710B">
            <w:pPr>
              <w:jc w:val="center"/>
              <w:rPr>
                <w:rFonts w:ascii="宋体" w:hAnsi="宋体" w:eastAsia="宋体" w:cs="Times New Roman"/>
                <w:color w:val="auto"/>
              </w:rPr>
            </w:pPr>
            <w:r>
              <w:rPr>
                <w:rFonts w:ascii="宋体" w:hAnsi="宋体" w:eastAsia="宋体" w:cs="Times New Roman"/>
                <w:color w:val="auto"/>
                <w:lang w:bidi="ar"/>
              </w:rPr>
              <w:t xml:space="preserve">资源开发效率要求 </w:t>
            </w:r>
          </w:p>
          <w:p w14:paraId="6C067CCC">
            <w:pPr>
              <w:jc w:val="center"/>
              <w:rPr>
                <w:rFonts w:ascii="宋体" w:hAnsi="宋体" w:eastAsia="宋体" w:cs="Times New Roman"/>
                <w:color w:val="auto"/>
              </w:rPr>
            </w:pPr>
            <w:r>
              <w:rPr>
                <w:rFonts w:ascii="宋体" w:hAnsi="宋体" w:eastAsia="宋体" w:cs="Times New Roman"/>
                <w:color w:val="auto"/>
                <w:lang w:bidi="ar"/>
              </w:rPr>
              <w:t>1.推进污水再生利用设施建设。 2.公共建筑必须采用节水器具，限期淘汰公共建筑中不符合节水标准的水嘴、便器水箱等生活用水器具。</w:t>
            </w:r>
          </w:p>
        </w:tc>
        <w:tc>
          <w:tcPr>
            <w:tcW w:w="2044" w:type="pct"/>
            <w:shd w:val="clear" w:color="auto" w:fill="auto"/>
            <w:vAlign w:val="center"/>
          </w:tcPr>
          <w:p w14:paraId="4FEE9B17">
            <w:pPr>
              <w:jc w:val="center"/>
              <w:rPr>
                <w:rFonts w:ascii="宋体" w:hAnsi="宋体" w:eastAsia="宋体" w:cs="Times New Roman"/>
                <w:color w:val="auto"/>
              </w:rPr>
            </w:pPr>
            <w:r>
              <w:rPr>
                <w:rFonts w:hint="eastAsia" w:ascii="宋体" w:hAnsi="宋体" w:eastAsia="宋体" w:cs="Times New Roman"/>
                <w:color w:val="auto"/>
              </w:rPr>
              <w:t>1、项目不涉及</w:t>
            </w:r>
            <w:r>
              <w:rPr>
                <w:rFonts w:ascii="宋体" w:hAnsi="宋体" w:eastAsia="宋体" w:cs="Times New Roman"/>
                <w:color w:val="auto"/>
                <w:lang w:bidi="ar"/>
              </w:rPr>
              <w:t>污水再生利用设施建设</w:t>
            </w:r>
            <w:r>
              <w:rPr>
                <w:rFonts w:hint="eastAsia" w:ascii="宋体" w:hAnsi="宋体" w:eastAsia="宋体" w:cs="Times New Roman"/>
                <w:color w:val="auto"/>
                <w:lang w:bidi="ar"/>
              </w:rPr>
              <w:t>。</w:t>
            </w:r>
            <w:r>
              <w:rPr>
                <w:rFonts w:ascii="宋体" w:hAnsi="宋体" w:eastAsia="宋体" w:cs="Times New Roman"/>
                <w:color w:val="auto"/>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管线试压废水由罐车拉运至朝二联含油污水处理站处理后回注油层。压裂返排液由罐车拉运至朝一联压裂返排液无害化处理站处理后，管输进入朝一联含油污水处理站处理后回注油层。水基钻井废水排入井场水基钢制泥浆槽中，及时拉运至大庆油田昆仑集团有限公司环保分公司处理。油基钻井废水排入井场设置的油基钢制泥浆槽中，委托黑龙江迈景环保科技有限公司处理。运营期作业污水、洗井污水、油田采出水最终进入朝二联含油污水处理站处理达标后回注油层；本项目施工期和运营期废水均不外排。</w:t>
            </w:r>
          </w:p>
          <w:p w14:paraId="0FC09A4C">
            <w:pPr>
              <w:pStyle w:val="79"/>
              <w:ind w:firstLine="210"/>
              <w:jc w:val="center"/>
              <w:rPr>
                <w:rFonts w:ascii="宋体" w:hAnsi="宋体"/>
                <w:color w:val="auto"/>
                <w:sz w:val="21"/>
              </w:rPr>
            </w:pPr>
            <w:r>
              <w:rPr>
                <w:rFonts w:hint="eastAsia" w:ascii="宋体" w:hAnsi="宋体"/>
                <w:color w:val="auto"/>
                <w:sz w:val="21"/>
                <w:szCs w:val="21"/>
              </w:rPr>
              <w:t>2、项目不涉及需要淘汰的公共建筑以及不符合要求的</w:t>
            </w:r>
            <w:r>
              <w:rPr>
                <w:rFonts w:ascii="宋体" w:hAnsi="宋体"/>
                <w:color w:val="auto"/>
                <w:sz w:val="21"/>
                <w:szCs w:val="21"/>
                <w:lang w:bidi="ar"/>
              </w:rPr>
              <w:t>节水标准的水嘴、便器水箱等生活用水器具。</w:t>
            </w:r>
          </w:p>
        </w:tc>
      </w:tr>
      <w:tr w14:paraId="6290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9" w:type="pct"/>
            <w:shd w:val="clear" w:color="auto" w:fill="auto"/>
            <w:vAlign w:val="center"/>
          </w:tcPr>
          <w:p w14:paraId="7FA35A71">
            <w:pPr>
              <w:jc w:val="center"/>
              <w:rPr>
                <w:rFonts w:ascii="宋体" w:hAnsi="宋体" w:eastAsia="宋体" w:cs="Times New Roman"/>
                <w:color w:val="auto"/>
              </w:rPr>
            </w:pPr>
            <w:r>
              <w:rPr>
                <w:rFonts w:ascii="宋体" w:hAnsi="宋体" w:eastAsia="宋体" w:cs="Times New Roman"/>
                <w:color w:val="auto"/>
                <w:lang w:bidi="ar"/>
              </w:rPr>
              <w:t>ZH23062230001</w:t>
            </w:r>
          </w:p>
          <w:p w14:paraId="38D19138">
            <w:pPr>
              <w:jc w:val="center"/>
              <w:rPr>
                <w:rFonts w:ascii="宋体" w:hAnsi="宋体" w:eastAsia="宋体" w:cs="Times New Roman"/>
                <w:color w:val="auto"/>
              </w:rPr>
            </w:pPr>
          </w:p>
        </w:tc>
        <w:tc>
          <w:tcPr>
            <w:tcW w:w="391" w:type="pct"/>
            <w:shd w:val="clear" w:color="auto" w:fill="auto"/>
            <w:vAlign w:val="center"/>
          </w:tcPr>
          <w:p w14:paraId="5ABCE809">
            <w:pPr>
              <w:jc w:val="center"/>
              <w:rPr>
                <w:rFonts w:ascii="宋体" w:hAnsi="宋体" w:eastAsia="宋体" w:cs="Times New Roman"/>
                <w:color w:val="auto"/>
              </w:rPr>
            </w:pPr>
            <w:r>
              <w:rPr>
                <w:rFonts w:ascii="宋体" w:hAnsi="宋体" w:eastAsia="宋体" w:cs="Times New Roman"/>
                <w:color w:val="auto"/>
                <w:lang w:bidi="ar"/>
              </w:rPr>
              <w:t>肇源县永久基本农田</w:t>
            </w:r>
          </w:p>
          <w:p w14:paraId="1C1E812E">
            <w:pPr>
              <w:jc w:val="center"/>
              <w:rPr>
                <w:rFonts w:ascii="宋体" w:hAnsi="宋体" w:eastAsia="宋体" w:cs="Times New Roman"/>
                <w:color w:val="auto"/>
              </w:rPr>
            </w:pPr>
          </w:p>
        </w:tc>
        <w:tc>
          <w:tcPr>
            <w:tcW w:w="297" w:type="pct"/>
            <w:shd w:val="clear" w:color="auto" w:fill="auto"/>
            <w:vAlign w:val="center"/>
          </w:tcPr>
          <w:p w14:paraId="594E885E">
            <w:pPr>
              <w:jc w:val="center"/>
              <w:rPr>
                <w:rFonts w:ascii="宋体" w:hAnsi="宋体" w:eastAsia="宋体" w:cs="Times New Roman"/>
                <w:color w:val="auto"/>
              </w:rPr>
            </w:pPr>
            <w:r>
              <w:rPr>
                <w:rFonts w:ascii="宋体" w:hAnsi="宋体" w:eastAsia="宋体" w:cs="Times New Roman"/>
                <w:color w:val="auto"/>
                <w:lang w:bidi="ar"/>
              </w:rPr>
              <w:t>一般管控单元</w:t>
            </w:r>
          </w:p>
          <w:p w14:paraId="34D26301">
            <w:pPr>
              <w:jc w:val="center"/>
              <w:rPr>
                <w:rFonts w:ascii="宋体" w:hAnsi="宋体" w:eastAsia="宋体" w:cs="Times New Roman"/>
                <w:color w:val="auto"/>
              </w:rPr>
            </w:pPr>
          </w:p>
        </w:tc>
        <w:tc>
          <w:tcPr>
            <w:tcW w:w="1879" w:type="pct"/>
            <w:shd w:val="clear" w:color="auto" w:fill="auto"/>
            <w:vAlign w:val="center"/>
          </w:tcPr>
          <w:p w14:paraId="062CE393">
            <w:pPr>
              <w:jc w:val="center"/>
              <w:rPr>
                <w:rFonts w:ascii="宋体" w:hAnsi="宋体" w:eastAsia="宋体" w:cs="Times New Roman"/>
                <w:color w:val="auto"/>
              </w:rPr>
            </w:pPr>
            <w:r>
              <w:rPr>
                <w:rFonts w:ascii="宋体" w:hAnsi="宋体" w:eastAsia="宋体" w:cs="Times New Roman"/>
                <w:color w:val="auto"/>
                <w:lang w:bidi="ar"/>
              </w:rPr>
              <w:t xml:space="preserve">资源开发效率要求 </w:t>
            </w:r>
          </w:p>
          <w:p w14:paraId="03233973">
            <w:pPr>
              <w:jc w:val="center"/>
              <w:rPr>
                <w:rFonts w:ascii="宋体" w:hAnsi="宋体" w:eastAsia="宋体" w:cs="Times New Roman"/>
                <w:color w:val="auto"/>
              </w:rPr>
            </w:pPr>
            <w:r>
              <w:rPr>
                <w:rFonts w:ascii="宋体" w:hAnsi="宋体" w:eastAsia="宋体" w:cs="Times New Roman"/>
                <w:color w:val="auto"/>
                <w:lang w:bidi="ar"/>
              </w:rPr>
              <w:t xml:space="preserve">1.严格永久基本农田占用和补划，永久基本农田经依法划定后，任何单位和个人不得擅自占用或者改变其用途。 2.在永久基本农田集中区域，不得新建可能造成土壤污染的建设项 </w:t>
            </w:r>
          </w:p>
          <w:p w14:paraId="795FA958">
            <w:pPr>
              <w:jc w:val="center"/>
              <w:rPr>
                <w:rFonts w:ascii="宋体" w:hAnsi="宋体" w:eastAsia="宋体" w:cs="Times New Roman"/>
                <w:color w:val="auto"/>
              </w:rPr>
            </w:pPr>
            <w:r>
              <w:rPr>
                <w:rFonts w:ascii="宋体" w:hAnsi="宋体" w:eastAsia="宋体" w:cs="Times New Roman"/>
                <w:color w:val="auto"/>
                <w:lang w:bidi="ar"/>
              </w:rPr>
              <w:t xml:space="preserve">目；已经建成的，应当限期关闭拆除。 3.严禁占用永久基本农田发展林果业和挖塘养鱼； </w:t>
            </w:r>
          </w:p>
          <w:p w14:paraId="65F09A7E">
            <w:pPr>
              <w:jc w:val="center"/>
              <w:rPr>
                <w:rFonts w:ascii="宋体" w:hAnsi="宋体" w:eastAsia="宋体" w:cs="Times New Roman"/>
                <w:color w:val="auto"/>
              </w:rPr>
            </w:pPr>
            <w:r>
              <w:rPr>
                <w:rFonts w:ascii="宋体" w:hAnsi="宋体" w:eastAsia="宋体" w:cs="Times New Roman"/>
                <w:color w:val="auto"/>
                <w:lang w:bidi="ar"/>
              </w:rPr>
              <w:t>严禁占用永久基本农田种植苗木、草皮等用于绿化装饰以及其他破坏耕作层的植物；严禁占用永久基本农田挖湖造景、建设绿化带；严禁新增占用永久基本农田建设畜禽养殖设施、水产养殖设施和破坏耕作层的种植业设施。 4.禁止任何单位和个人破坏永久基本农田耕作层。 5.禁止以设施农用地为名违规占用永久基本农田建设休闲旅游、仓储厂房等设施。 6. 禁止向农用地排放重金属或者其他有毒有害物质含量超标的污水、污泥，以及可能造成土壤污染的清淤底泥、尾矿、矿渣等。 7.国家能源、交通、水利、军事设施等重点项目确实难以避让永久基本农田的，涉及农用地转用或者土地征收的，必须经过国务院批准。 8.一 般建设项目不得占用永久基本农田；重大建设项目选址确实难以避让永久基本农田的，要按照“数量不减、质量不降、布局稳定”的要求，在储备区内选择数量相等、质量相当的地块进行补划。 9.非农业建设依法占用永久基本农田的，建设单位应当将所占用耕地耕作层的土壤用于新开垦的耕地、劣质地或其他耕地的土壤改良。 位于优先保护单元和重点管控单元内永久基本农田也同时执行此要求。</w:t>
            </w:r>
          </w:p>
        </w:tc>
        <w:tc>
          <w:tcPr>
            <w:tcW w:w="2044" w:type="pct"/>
            <w:shd w:val="clear" w:color="auto" w:fill="auto"/>
            <w:vAlign w:val="center"/>
          </w:tcPr>
          <w:p w14:paraId="5A63B88D">
            <w:pPr>
              <w:jc w:val="center"/>
              <w:rPr>
                <w:rFonts w:ascii="宋体" w:hAnsi="宋体" w:eastAsia="宋体" w:cs="Times New Roman"/>
                <w:color w:val="auto"/>
              </w:rPr>
            </w:pPr>
            <w:r>
              <w:rPr>
                <w:rFonts w:ascii="宋体" w:hAnsi="宋体" w:eastAsia="宋体" w:cs="Times New Roman"/>
                <w:color w:val="auto"/>
              </w:rPr>
              <w:t>符合要求。本项目为陆地石油开采项目，</w:t>
            </w:r>
          </w:p>
          <w:p w14:paraId="3EABDED3">
            <w:pPr>
              <w:jc w:val="center"/>
              <w:rPr>
                <w:rFonts w:ascii="宋体" w:hAnsi="宋体" w:eastAsia="宋体" w:cs="Times New Roman"/>
                <w:color w:val="auto"/>
              </w:rPr>
            </w:pPr>
            <w:r>
              <w:rPr>
                <w:rFonts w:ascii="宋体" w:hAnsi="宋体" w:eastAsia="宋体" w:cs="Times New Roman"/>
                <w:color w:val="auto"/>
              </w:rPr>
              <w:t>项目在施工前需要征收土地，应报请相关主管部门同意，取得用地审批。本项目新钻井位于1座平台，尽可能减少占地。本项目建设过程中，对占用的耕地，按照“占一补一”的原则，由建设单位负责开垦与所占用耕地的数量和质量相当的耕地，如果没有条件开垦时，按照省的规定缴纳耕地开垦费，专款用于开垦新的耕地。针对临时占地在将剥离的表土在施工结束后分层回填，确保恢复等质等量面积的耕地。同时项目在施工建设过程中严格控制污染物排放，不在占地范围外进行施工。本项目根据《黑龙江省人民政府办公厅关于建设占用耕地耕作层土壤剥离利用工作的指导意见（试行）》（黑政办规〔2021〕18号）要求实施表土剥离制度，编制表土剥离方案，本项目在施工过程中针对永久占地及临时占地，应剥离0.3m表土，采用分层开挖，分层堆放，剥离表土暂存于临时占地内的表土剥离临时堆放区，并采取苫布遮盖，表土剥离临时堆放区周围设置排水沟等措施防止水土流失，并定期采取洒水抑尘措施，剥离的表土在施工结束后分层回填，永久占地剥离表土用于当地高标准农田建设。</w:t>
            </w:r>
          </w:p>
        </w:tc>
      </w:tr>
    </w:tbl>
    <w:p w14:paraId="4FAF0545">
      <w:pPr>
        <w:pStyle w:val="276"/>
        <w:widowControl w:val="0"/>
        <w:ind w:firstLine="480"/>
        <w:jc w:val="both"/>
        <w:rPr>
          <w:color w:val="auto"/>
          <w:kern w:val="2"/>
          <w:szCs w:val="20"/>
          <w:lang w:val="zh-CN" w:bidi="zh-CN"/>
        </w:rPr>
      </w:pPr>
      <w:r>
        <w:rPr>
          <w:color w:val="auto"/>
          <w:kern w:val="2"/>
        </w:rPr>
        <w:t>根据上表分析，本项目符合《大庆市生态环境准入清单（2023年版）》中生态环境准入清单要求，本项目为环境准入允许类别。</w:t>
      </w:r>
    </w:p>
    <w:p w14:paraId="086A0AC0">
      <w:pPr>
        <w:pStyle w:val="6"/>
        <w:rPr>
          <w:color w:val="auto"/>
        </w:rPr>
      </w:pPr>
      <w:bookmarkStart w:id="159" w:name="_Toc77067615"/>
      <w:bookmarkStart w:id="160" w:name="_Toc126863348"/>
      <w:bookmarkStart w:id="161" w:name="_Toc78816416"/>
      <w:bookmarkStart w:id="162" w:name="_Toc67860084"/>
      <w:bookmarkStart w:id="163" w:name="_Toc70050131"/>
      <w:bookmarkStart w:id="164" w:name="_Toc127192297"/>
      <w:bookmarkStart w:id="165" w:name="_Toc57976632"/>
      <w:bookmarkStart w:id="166" w:name="_Toc57707877"/>
      <w:bookmarkStart w:id="167" w:name="_Toc143099535"/>
      <w:bookmarkStart w:id="168" w:name="_Toc80588211"/>
      <w:bookmarkStart w:id="169" w:name="_Toc84929184"/>
      <w:bookmarkStart w:id="170" w:name="_Toc131167248"/>
      <w:bookmarkStart w:id="171" w:name="_Toc83209428"/>
      <w:bookmarkStart w:id="172" w:name="_Toc85640709"/>
      <w:bookmarkStart w:id="173" w:name="_Toc57203207"/>
      <w:bookmarkStart w:id="174" w:name="_Toc61597177"/>
      <w:bookmarkStart w:id="175" w:name="_Toc86141892"/>
      <w:bookmarkStart w:id="176" w:name="_Toc76976199"/>
      <w:bookmarkStart w:id="177" w:name="_Toc80971333"/>
      <w:r>
        <w:rPr>
          <w:color w:val="auto"/>
        </w:rPr>
        <w:t>选址合理性分析</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72B23B1">
      <w:pPr>
        <w:pStyle w:val="276"/>
        <w:widowControl w:val="0"/>
        <w:ind w:firstLine="480"/>
        <w:jc w:val="both"/>
        <w:rPr>
          <w:color w:val="auto"/>
        </w:rPr>
      </w:pPr>
      <w:r>
        <w:rPr>
          <w:color w:val="auto"/>
        </w:rPr>
        <w:t>本项目位于大庆市肇源县和平乡后欧力马屯西侧及东侧、四方山村北侧以及肇源镇刘兽医屯东侧，本项目新钻井6口</w:t>
      </w:r>
      <w:r>
        <w:rPr>
          <w:rFonts w:hint="eastAsia"/>
          <w:color w:val="auto"/>
        </w:rPr>
        <w:t>（其中：油井4口、探井2口）</w:t>
      </w:r>
      <w:r>
        <w:rPr>
          <w:color w:val="auto"/>
        </w:rPr>
        <w:t>，</w:t>
      </w:r>
      <w:r>
        <w:rPr>
          <w:rFonts w:hint="eastAsia"/>
          <w:color w:val="auto"/>
        </w:rPr>
        <w:t>新建</w:t>
      </w:r>
      <w:r>
        <w:rPr>
          <w:color w:val="auto"/>
        </w:rPr>
        <w:t>1座平台井场和4口单井井场，采取射孔和压裂完井；地面工程</w:t>
      </w:r>
      <w:r>
        <w:rPr>
          <w:rFonts w:hint="eastAsia"/>
          <w:color w:val="auto"/>
        </w:rPr>
        <w:t>新建</w:t>
      </w:r>
      <w:r>
        <w:rPr>
          <w:color w:val="auto"/>
        </w:rPr>
        <w:t>3座拉油点，配套新建井场集油管道0.06km。建设内容包括钻井、井场建设、拉油点建设、集油管线、通井路、供配电等，项目周围敏感点主要为居住区和耕地，与本项目</w:t>
      </w:r>
      <w:r>
        <w:rPr>
          <w:snapToGrid w:val="0"/>
          <w:color w:val="auto"/>
        </w:rPr>
        <w:t>最近</w:t>
      </w:r>
      <w:r>
        <w:rPr>
          <w:color w:val="auto"/>
        </w:rPr>
        <w:t>的居住区为</w:t>
      </w:r>
      <w:r>
        <w:rPr>
          <w:color w:val="auto"/>
          <w:kern w:val="2"/>
          <w:szCs w:val="28"/>
        </w:rPr>
        <w:t>源1011</w:t>
      </w:r>
      <w:r>
        <w:rPr>
          <w:rFonts w:hint="eastAsia"/>
          <w:color w:val="auto"/>
          <w:kern w:val="2"/>
          <w:szCs w:val="28"/>
        </w:rPr>
        <w:t>井场</w:t>
      </w:r>
      <w:r>
        <w:rPr>
          <w:color w:val="auto"/>
          <w:kern w:val="2"/>
          <w:szCs w:val="28"/>
        </w:rPr>
        <w:t>西侧140m处的刘兽医屯</w:t>
      </w:r>
      <w:r>
        <w:rPr>
          <w:color w:val="auto"/>
        </w:rPr>
        <w:t>。</w:t>
      </w:r>
    </w:p>
    <w:p w14:paraId="7D052320">
      <w:pPr>
        <w:pStyle w:val="276"/>
        <w:widowControl w:val="0"/>
        <w:ind w:firstLine="480"/>
        <w:jc w:val="both"/>
        <w:rPr>
          <w:color w:val="auto"/>
        </w:rPr>
      </w:pPr>
      <w:r>
        <w:rPr>
          <w:color w:val="auto"/>
        </w:rPr>
        <w:t>本项目新增占地类型为耕地（永久基本农田）和草地（一般草地），结合《黑龙江省国土空间规划（2021-2035年）》、《大庆市国土空间总体规划（2021-2035 年）》以及本项目生态环境分区管控分析报告，本项目评价范围内无国家公园、自然保护区、风景名胜区、世界文化和自然遗产地、海洋特别保护区、饮用水源保护区、基本草原、自然公园（森林公园、地质公园、海洋公园等）、重要湿地、天然林、生态红线管控范围、重点保护野生动物栖息地，重点保护野生植物生长繁殖地，重要水生生物的自然产卵场、索饵场、越冬场和洄游通道，天然渔场、沙化</w:t>
      </w:r>
      <w:r>
        <w:rPr>
          <w:snapToGrid w:val="0"/>
          <w:color w:val="auto"/>
        </w:rPr>
        <w:t>土地</w:t>
      </w:r>
      <w:r>
        <w:rPr>
          <w:color w:val="auto"/>
        </w:rPr>
        <w:t>封禁保护区、封闭及半封闭海域等重要保护目标。</w:t>
      </w:r>
    </w:p>
    <w:p w14:paraId="49217D0F">
      <w:pPr>
        <w:pStyle w:val="276"/>
        <w:widowControl w:val="0"/>
        <w:ind w:firstLine="480"/>
        <w:jc w:val="both"/>
        <w:rPr>
          <w:color w:val="auto"/>
        </w:rPr>
      </w:pPr>
      <w:r>
        <w:rPr>
          <w:rFonts w:hint="eastAsia"/>
          <w:iCs/>
          <w:color w:val="auto"/>
          <w:kern w:val="2"/>
        </w:rPr>
        <w:t>根据分析，经采取相关措施后，项目占地符合</w:t>
      </w:r>
      <w:r>
        <w:rPr>
          <w:iCs/>
          <w:color w:val="auto"/>
          <w:kern w:val="2"/>
        </w:rPr>
        <w:t>《基本农田保护条例》</w:t>
      </w:r>
      <w:r>
        <w:rPr>
          <w:rFonts w:hint="eastAsia"/>
          <w:iCs/>
          <w:color w:val="auto"/>
          <w:kern w:val="2"/>
        </w:rPr>
        <w:t>、</w:t>
      </w:r>
      <w:r>
        <w:rPr>
          <w:color w:val="auto"/>
        </w:rPr>
        <w:t>《黑龙江省湿地保护条例》（2016年1月1日）</w:t>
      </w:r>
      <w:r>
        <w:rPr>
          <w:rFonts w:hint="eastAsia"/>
          <w:color w:val="auto"/>
        </w:rPr>
        <w:t>、</w:t>
      </w:r>
      <w:r>
        <w:rPr>
          <w:color w:val="auto"/>
        </w:rPr>
        <w:t>《大庆市水土保持规划（2015-2030 年）》</w:t>
      </w:r>
      <w:r>
        <w:rPr>
          <w:rFonts w:hint="eastAsia"/>
          <w:color w:val="auto"/>
        </w:rPr>
        <w:t>以及</w:t>
      </w:r>
      <w:r>
        <w:rPr>
          <w:color w:val="auto"/>
        </w:rPr>
        <w:t>生态环境分区管控</w:t>
      </w:r>
      <w:r>
        <w:rPr>
          <w:rFonts w:hint="eastAsia"/>
          <w:color w:val="auto"/>
        </w:rPr>
        <w:t>等相关要求。</w:t>
      </w:r>
    </w:p>
    <w:p w14:paraId="24C77ACC">
      <w:pPr>
        <w:pStyle w:val="276"/>
        <w:widowControl w:val="0"/>
        <w:ind w:firstLine="480"/>
        <w:jc w:val="both"/>
        <w:rPr>
          <w:color w:val="auto"/>
          <w:kern w:val="2"/>
          <w:szCs w:val="28"/>
        </w:rPr>
      </w:pPr>
      <w:r>
        <w:rPr>
          <w:color w:val="auto"/>
          <w:kern w:val="2"/>
          <w:szCs w:val="28"/>
        </w:rPr>
        <w:t>根据黑龙江省防沙治沙工作领导小组《关于印发&lt;关于贯彻落实《沙化土地封禁保护修复制度方案》的实施意见&gt;的通知》，肇源</w:t>
      </w:r>
      <w:r>
        <w:rPr>
          <w:color w:val="auto"/>
          <w:kern w:val="2"/>
          <w:szCs w:val="28"/>
          <w:lang w:val="en"/>
        </w:rPr>
        <w:t>县</w:t>
      </w:r>
      <w:r>
        <w:rPr>
          <w:color w:val="auto"/>
          <w:kern w:val="2"/>
          <w:szCs w:val="28"/>
        </w:rPr>
        <w:t>属于沙化土地所在县（区），根据现场调查，项目占地区域未出现沙漠化现象，为保护区域生态环境，本项目施工尽量缩小占地面积，划定施工活动范围，严格控制和管理车辆及重型机械的运行范围，所有车辆采用“一”字型作业法，避免并行开辟新路，以减少风蚀沙化活动的范围；对施工期临时堆存的表土</w:t>
      </w:r>
      <w:r>
        <w:rPr>
          <w:color w:val="auto"/>
          <w:szCs w:val="28"/>
        </w:rPr>
        <w:t>采取苫布遮盖等，</w:t>
      </w:r>
      <w:r>
        <w:rPr>
          <w:color w:val="auto"/>
        </w:rPr>
        <w:t>在采取以上措施后，可有限减少土地沙化</w:t>
      </w:r>
      <w:r>
        <w:rPr>
          <w:color w:val="auto"/>
          <w:kern w:val="2"/>
          <w:szCs w:val="28"/>
        </w:rPr>
        <w:t>。</w:t>
      </w:r>
    </w:p>
    <w:p w14:paraId="13BEAF7E">
      <w:pPr>
        <w:pStyle w:val="276"/>
        <w:widowControl w:val="0"/>
        <w:ind w:firstLine="480"/>
        <w:jc w:val="both"/>
        <w:rPr>
          <w:color w:val="auto"/>
        </w:rPr>
      </w:pPr>
      <w:r>
        <w:rPr>
          <w:color w:val="auto"/>
        </w:rPr>
        <w:t>根据《大庆市生态环境准入清单（2023年版）》，</w:t>
      </w:r>
      <w:r>
        <w:rPr>
          <w:color w:val="auto"/>
          <w:kern w:val="2"/>
        </w:rPr>
        <w:t>本项目位于一般管控单元、重点管控单元和优先保护单元，对照黑龙江省生态环境分区管控数据应用平台，本项目位于肇源县永久基本农田一般管控单元、肇源县城镇空间重点管控单元、肇源县优先保护单元一般生态空间</w:t>
      </w:r>
      <w:r>
        <w:rPr>
          <w:color w:val="auto"/>
        </w:rPr>
        <w:t>，根据项目与生态环境准入清单管控体系符合性分析，本项目建设符合分区管控要求。</w:t>
      </w:r>
    </w:p>
    <w:p w14:paraId="155F1DE9">
      <w:pPr>
        <w:pStyle w:val="276"/>
        <w:widowControl w:val="0"/>
        <w:ind w:firstLine="480"/>
        <w:jc w:val="both"/>
        <w:rPr>
          <w:color w:val="auto"/>
        </w:rPr>
      </w:pPr>
      <w:r>
        <w:rPr>
          <w:color w:val="auto"/>
        </w:rPr>
        <w:t>本项目井场布置1座平台井场和4口单井井场，采用占地面积小、环境影响小的布局方案，新建集油管线沿农田路和新建通井路敷设，尽量避绕周围环境敏感目标，减少对耕地和草地的占用，并对占地采取生态恢复及补偿措施，把对生态环境的影响降至最小。工程建设对周围的主要环境影响为生态环境影响、大气环境影响、地下水环境影响、声环境影响和固体废物对周围的环境影响。通过环境影响预测与环境影响分析，工程建设实施后，通过采取相应的废气、废水、噪声、固体废物等污染控制措施，周围环境质量均满足相关标准要求，工程建设对周围的环境影响均在可接受的范围。</w:t>
      </w:r>
    </w:p>
    <w:p w14:paraId="7D0B42C4">
      <w:pPr>
        <w:pStyle w:val="276"/>
        <w:widowControl w:val="0"/>
        <w:ind w:firstLine="480"/>
        <w:jc w:val="both"/>
        <w:rPr>
          <w:color w:val="auto"/>
        </w:rPr>
      </w:pPr>
      <w:r>
        <w:rPr>
          <w:color w:val="auto"/>
        </w:rPr>
        <w:t>同时项目选址满足《钻前工程及井场布置技术要求》（SY/T5466-2013）中选址要求。综合分析，项目周边不涉及制约本项目建设的环境影响因素，工程选址在环境保护方面较合理。</w:t>
      </w:r>
    </w:p>
    <w:bookmarkEnd w:id="123"/>
    <w:bookmarkEnd w:id="124"/>
    <w:bookmarkEnd w:id="125"/>
    <w:bookmarkEnd w:id="126"/>
    <w:bookmarkEnd w:id="127"/>
    <w:p w14:paraId="340D5237">
      <w:pPr>
        <w:pStyle w:val="5"/>
        <w:rPr>
          <w:bCs w:val="0"/>
          <w:color w:val="auto"/>
        </w:rPr>
      </w:pPr>
      <w:bookmarkStart w:id="178" w:name="_Toc212033000"/>
      <w:bookmarkStart w:id="179" w:name="_Toc10896"/>
      <w:bookmarkStart w:id="180" w:name="_Toc502736437"/>
      <w:bookmarkStart w:id="181" w:name="_Toc61597178"/>
      <w:r>
        <w:rPr>
          <w:bCs w:val="0"/>
          <w:color w:val="auto"/>
        </w:rPr>
        <w:t>关注的主要环境问题及环境影响</w:t>
      </w:r>
      <w:bookmarkEnd w:id="178"/>
      <w:bookmarkEnd w:id="179"/>
      <w:bookmarkEnd w:id="180"/>
      <w:bookmarkEnd w:id="181"/>
    </w:p>
    <w:p w14:paraId="7E17C8F1">
      <w:pPr>
        <w:pStyle w:val="276"/>
        <w:widowControl w:val="0"/>
        <w:ind w:firstLine="480"/>
        <w:jc w:val="both"/>
        <w:rPr>
          <w:color w:val="auto"/>
        </w:rPr>
      </w:pPr>
      <w:r>
        <w:rPr>
          <w:color w:val="auto"/>
        </w:rPr>
        <w:t>本项目为致密油开采项目，环境影响主要来源于钻井施工、井场建设、原油集输、井下作业、管道和道路施工等工艺过程，环境影响包括施工期和运营期污染物排放造成的环境污染影响和占地及施工造成的生态影响。根据现状调查，本区块未在自然保护区、风景名胜区等环境敏感区域内，主要环境敏感保护目标为评价范围内的生态环境、区块周边分布的居民区。本次评价重点关注施工期各种施工活动和工程占地对土壤、生态环境的影响，施工过程中产生的废气、废水、固体废物、噪声等对周围环境的影响；</w:t>
      </w:r>
      <w:r>
        <w:rPr>
          <w:rFonts w:hint="eastAsia"/>
          <w:color w:val="auto"/>
        </w:rPr>
        <w:t>运营期</w:t>
      </w:r>
      <w:r>
        <w:rPr>
          <w:color w:val="auto"/>
        </w:rPr>
        <w:t>井场及拉油点无组织挥发的非甲烷总烃、井场抽油机和拉油点的噪声、含油污泥等对环境产生的影响。</w:t>
      </w:r>
    </w:p>
    <w:p w14:paraId="7184B1E5">
      <w:pPr>
        <w:pStyle w:val="276"/>
        <w:widowControl w:val="0"/>
        <w:ind w:firstLine="480"/>
        <w:jc w:val="both"/>
        <w:rPr>
          <w:color w:val="auto"/>
        </w:rPr>
      </w:pPr>
      <w:r>
        <w:rPr>
          <w:color w:val="auto"/>
        </w:rPr>
        <w:t>（1）环境空气</w:t>
      </w:r>
    </w:p>
    <w:p w14:paraId="0AA99136">
      <w:pPr>
        <w:pStyle w:val="276"/>
        <w:widowControl w:val="0"/>
        <w:ind w:firstLine="480"/>
        <w:jc w:val="both"/>
        <w:rPr>
          <w:color w:val="auto"/>
        </w:rPr>
      </w:pPr>
      <w:r>
        <w:rPr>
          <w:color w:val="auto"/>
        </w:rPr>
        <w:t>本项目施工过程中产生的废气</w:t>
      </w:r>
      <w:r>
        <w:rPr>
          <w:snapToGrid w:val="0"/>
          <w:color w:val="auto"/>
        </w:rPr>
        <w:t>主要</w:t>
      </w:r>
      <w:r>
        <w:rPr>
          <w:color w:val="auto"/>
        </w:rPr>
        <w:t>为施工扬尘、施工车辆排放的尾气、柴油机废气、焊接烟尘</w:t>
      </w:r>
      <w:r>
        <w:rPr>
          <w:color w:val="auto"/>
          <w:kern w:val="2"/>
          <w:szCs w:val="20"/>
        </w:rPr>
        <w:t>以及试油伴生气</w:t>
      </w:r>
      <w:r>
        <w:rPr>
          <w:color w:val="auto"/>
        </w:rPr>
        <w:t>。施工扬尘采取运输道路及施工场地定时洒水抑尘，运输车辆采取苫布遮盖措施，土方开挖采取遮盖、围挡、洒水等防尘措施；施工车辆采用清洁燃料，降低污染物排放；柴油机采用节能环保型柴油动力设备，钻井发电机和钻井柴油机采用符合</w:t>
      </w:r>
      <w:r>
        <w:rPr>
          <w:rFonts w:hint="eastAsia"/>
          <w:color w:val="auto"/>
        </w:rPr>
        <w:t>《车用柴油》（</w:t>
      </w:r>
      <w:r>
        <w:rPr>
          <w:color w:val="auto"/>
        </w:rPr>
        <w:t>GB 19147-2016）的柴油，加强对机械设备的维护、保养，减少不必要的运转时间，以控制尾气的排放；2口勘探井试油阶段产生的少量伴生气采用试油设备配套放喷管设施点火燃烧，放喷管高为8m（配套防回火与自动点火装置），设置于井口50m以外，且距离发电房等易产生明火的位置20m以上；项目管道焊接主要方式为电焊，由于项目焊接点较少，产生的焊接烟尘量较小，且项目位于室外，空气扩散条件较好，对大气环境影响较小。</w:t>
      </w:r>
    </w:p>
    <w:p w14:paraId="26347134">
      <w:pPr>
        <w:pStyle w:val="276"/>
        <w:widowControl w:val="0"/>
        <w:ind w:firstLine="480"/>
        <w:jc w:val="both"/>
        <w:rPr>
          <w:color w:val="auto"/>
        </w:rPr>
      </w:pPr>
      <w:r>
        <w:rPr>
          <w:color w:val="auto"/>
        </w:rPr>
        <w:t>运营期产生的废气主要为油气集输过程中产生的非甲烷总烃、拉油点储罐和场站油气处理加热炉产生的烟气。</w:t>
      </w:r>
      <w:r>
        <w:rPr>
          <w:color w:val="auto"/>
          <w:kern w:val="2"/>
          <w:szCs w:val="20"/>
        </w:rPr>
        <w:t>本项目</w:t>
      </w:r>
      <w:r>
        <w:rPr>
          <w:snapToGrid w:val="0"/>
          <w:color w:val="auto"/>
        </w:rPr>
        <w:t>油气集输</w:t>
      </w:r>
      <w:r>
        <w:rPr>
          <w:color w:val="auto"/>
          <w:kern w:val="2"/>
          <w:szCs w:val="20"/>
        </w:rPr>
        <w:t>全部采用密闭集油工艺流程，根据预测分析非甲烷总烃小时值对环境敏感点最大浓度贡献值占标率为</w:t>
      </w:r>
      <w:r>
        <w:rPr>
          <w:rFonts w:hint="eastAsia"/>
          <w:color w:val="auto"/>
          <w:kern w:val="2"/>
          <w:szCs w:val="20"/>
        </w:rPr>
        <w:t>52.91</w:t>
      </w:r>
      <w:r>
        <w:rPr>
          <w:color w:val="auto"/>
          <w:kern w:val="2"/>
          <w:szCs w:val="20"/>
        </w:rPr>
        <w:t>%，小于100%，叠加现状浓度后，环境敏感点处非甲烷总烃的小时浓度最大为</w:t>
      </w:r>
      <w:r>
        <w:rPr>
          <w:color w:val="auto"/>
        </w:rPr>
        <w:t>57.69842</w:t>
      </w:r>
      <w:r>
        <w:rPr>
          <w:color w:val="auto"/>
          <w:kern w:val="2"/>
          <w:szCs w:val="20"/>
        </w:rPr>
        <w:t>μg/m</w:t>
      </w:r>
      <w:r>
        <w:rPr>
          <w:color w:val="auto"/>
          <w:kern w:val="2"/>
          <w:szCs w:val="20"/>
          <w:vertAlign w:val="superscript"/>
        </w:rPr>
        <w:t>3</w:t>
      </w:r>
      <w:r>
        <w:rPr>
          <w:color w:val="auto"/>
          <w:kern w:val="2"/>
          <w:szCs w:val="20"/>
        </w:rPr>
        <w:t>，满足《大气污染物综合排放标准详解》2.0mg/m</w:t>
      </w:r>
      <w:r>
        <w:rPr>
          <w:color w:val="auto"/>
          <w:kern w:val="2"/>
          <w:szCs w:val="20"/>
          <w:vertAlign w:val="superscript"/>
        </w:rPr>
        <w:t>3</w:t>
      </w:r>
      <w:r>
        <w:rPr>
          <w:color w:val="auto"/>
          <w:kern w:val="2"/>
          <w:szCs w:val="20"/>
        </w:rPr>
        <w:t>要求。井场、拉油点及依托场站排放的非甲烷总烃在厂界可以满足</w:t>
      </w:r>
      <w:r>
        <w:rPr>
          <w:color w:val="auto"/>
        </w:rPr>
        <w:t>《陆上石油天然气开采工业大气污染物排放标准》（GB39728-2020）5.9中规定要求</w:t>
      </w:r>
      <w:r>
        <w:rPr>
          <w:color w:val="auto"/>
          <w:kern w:val="2"/>
          <w:szCs w:val="20"/>
        </w:rPr>
        <w:t>，依托场站排放的非甲烷总烃厂区内满足《挥发性有机物无组织排放控制标准》（GB 37822-2019）附录A 中VOCs 无组织排放限值要求；拉油点储罐和依托场站加热炉燃料均采用天然气，为清洁能源，并采用低氮燃烧器，拉油点储罐加热炉烟气经15m烟囱排放，满足《工业炉窑大气污染物排放标准》（GB9078-1996）表2中的二级标准限值要求。依托场站加热炉烟气经8m烟囱排放，满足</w:t>
      </w:r>
      <w:r>
        <w:rPr>
          <w:color w:val="auto"/>
          <w:kern w:val="2"/>
        </w:rPr>
        <w:t>《锅炉大气污染物排放标准》（GB13271-2014）表2中新建燃气锅炉标准限值，</w:t>
      </w:r>
      <w:r>
        <w:rPr>
          <w:color w:val="auto"/>
          <w:kern w:val="2"/>
          <w:szCs w:val="20"/>
        </w:rPr>
        <w:t>对大气环境影响较小。</w:t>
      </w:r>
    </w:p>
    <w:p w14:paraId="44E78E4A">
      <w:pPr>
        <w:pStyle w:val="276"/>
        <w:widowControl w:val="0"/>
        <w:ind w:firstLine="480"/>
        <w:jc w:val="both"/>
        <w:rPr>
          <w:color w:val="auto"/>
        </w:rPr>
      </w:pPr>
      <w:r>
        <w:rPr>
          <w:color w:val="auto"/>
        </w:rPr>
        <w:t>（2）水环境</w:t>
      </w:r>
    </w:p>
    <w:p w14:paraId="024A81C8">
      <w:pPr>
        <w:pStyle w:val="276"/>
        <w:widowControl w:val="0"/>
        <w:ind w:firstLine="480"/>
        <w:jc w:val="both"/>
        <w:rPr>
          <w:color w:val="auto"/>
        </w:rPr>
      </w:pPr>
      <w:r>
        <w:rPr>
          <w:color w:val="auto"/>
        </w:rPr>
        <w:t>本项目施工过程中产生的废水主要为水基钻井废水、油基钻井废水、压裂返排液、试压废水、试油产液、生活污水。水基钻井废水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油基钻井废水排入井场设置的油基钢制泥浆槽中，委托黑龙江迈景环保科技有限公司处理，处理后的污水进入污水罐储存，定期拉运至朝二联含油污水处理站处理满足《大庆油田地面工程建设设计规定》（Q/SYDQ0639-2015）及《碎屑岩油藏注水水质指标技术要求及分析方法》（SY/T5329-2022）限值要求后回注油层；压裂返排液由罐车拉运至朝一联压裂返排液无害化处理站处理后，管输进入朝一联含油污水处理站处理，处理后的出水满足《大庆油田地面工程建设设计规定》（Q/SYDQ0639-2015）及《碎屑岩油藏注水水质指标技术要求及分析方法》（SY/T5329-2022）限值要求后回注油层；管线试压废水由罐车拉运至朝二联含油污水处理站处理达标后回注油层；试油产液通过罐车拉运至朝二联卸油点后</w:t>
      </w:r>
      <w:r>
        <w:rPr>
          <w:color w:val="auto"/>
          <w:kern w:val="2"/>
        </w:rPr>
        <w:t>，进入朝二联转油脱水站处理系统，朝二联转油脱水站处理后含水油外输至朝二联含油污水处理站处理达到《大庆油田地面工程建设设计规定》（Q/SYDQ0639-2015）及《碎屑岩油藏注水水质指标技术要求及分析方法》（SY/T5329-2022）限值要求后用于回注油层注水驱油</w:t>
      </w:r>
      <w:r>
        <w:rPr>
          <w:color w:val="auto"/>
        </w:rPr>
        <w:t>；施工期施工人员产生的生活污水排入施工营地设置的临时防渗旱厕内，定期拉运至第十采油厂厂区污水</w:t>
      </w:r>
      <w:r>
        <w:rPr>
          <w:snapToGrid w:val="0"/>
          <w:color w:val="auto"/>
        </w:rPr>
        <w:t>泵房</w:t>
      </w:r>
      <w:r>
        <w:rPr>
          <w:color w:val="auto"/>
        </w:rPr>
        <w:t>，经地下管网输至第十采油厂厂区生活污水处理站处理达标后排入牛毛沟，施工结束后临时防渗旱厕进行卫生处理，场地进行平整。</w:t>
      </w:r>
    </w:p>
    <w:p w14:paraId="7F618169">
      <w:pPr>
        <w:pStyle w:val="276"/>
        <w:widowControl w:val="0"/>
        <w:ind w:firstLine="480"/>
        <w:jc w:val="both"/>
        <w:rPr>
          <w:color w:val="auto"/>
        </w:rPr>
      </w:pPr>
      <w:r>
        <w:rPr>
          <w:color w:val="auto"/>
          <w:kern w:val="2"/>
          <w:szCs w:val="20"/>
        </w:rPr>
        <w:t>本项目运营期产生的废水主要为油田采出水、</w:t>
      </w:r>
      <w:r>
        <w:rPr>
          <w:color w:val="auto"/>
        </w:rPr>
        <w:t>作业污水和洗井污水。拉油点产液由罐车拉运至朝二联卸油点进入朝二联</w:t>
      </w:r>
      <w:r>
        <w:rPr>
          <w:color w:val="auto"/>
          <w:kern w:val="2"/>
        </w:rPr>
        <w:t>转油脱水站</w:t>
      </w:r>
      <w:r>
        <w:rPr>
          <w:color w:val="auto"/>
        </w:rPr>
        <w:t>处理，朝二联</w:t>
      </w:r>
      <w:r>
        <w:rPr>
          <w:color w:val="auto"/>
          <w:kern w:val="2"/>
        </w:rPr>
        <w:t>转油脱水站</w:t>
      </w:r>
      <w:r>
        <w:rPr>
          <w:color w:val="auto"/>
        </w:rPr>
        <w:t>分离的采出水管输进入朝二联含油污水处理站处理满足《大庆油田地面工程建设设计规定》（Q/SYDQ0639-2015）及《碎屑岩油藏注水水质指标技术要求及分析方法》（SY/T5329-2022）限值要求后回注油层。作业污水和洗井污水通过罐车回收后拉运至朝二联含油污水处理站处理满足《大庆油田地面工程建设设计规定》（Q/SYDQ0639-2015）及《碎屑岩油藏注水水质指标技术要求及分析方法》（SY/T5329-2022）限值要求后回注油层。本项目废水均不外排，不会对周边地表水环境产生影响。</w:t>
      </w:r>
    </w:p>
    <w:p w14:paraId="5AAE9C58">
      <w:pPr>
        <w:pStyle w:val="276"/>
        <w:widowControl w:val="0"/>
        <w:ind w:firstLine="480"/>
        <w:jc w:val="both"/>
        <w:rPr>
          <w:color w:val="auto"/>
        </w:rPr>
      </w:pPr>
      <w:r>
        <w:rPr>
          <w:color w:val="auto"/>
        </w:rPr>
        <w:t>本项目可能对地下水产生影响的因素主要为施工期废水、钻井泥浆及</w:t>
      </w:r>
      <w:r>
        <w:rPr>
          <w:rFonts w:hint="eastAsia"/>
          <w:color w:val="auto"/>
        </w:rPr>
        <w:t>运营期</w:t>
      </w:r>
      <w:r>
        <w:rPr>
          <w:color w:val="auto"/>
        </w:rPr>
        <w:t>作业污水、落地油及油田采出水等。在采取源头控制、过程防控、分区防渗、跟踪监测后对区域的地下水环境影响较小。</w:t>
      </w:r>
    </w:p>
    <w:p w14:paraId="77B0CED5">
      <w:pPr>
        <w:pStyle w:val="276"/>
        <w:widowControl w:val="0"/>
        <w:ind w:firstLine="480"/>
        <w:jc w:val="both"/>
        <w:rPr>
          <w:color w:val="auto"/>
        </w:rPr>
      </w:pPr>
      <w:r>
        <w:rPr>
          <w:color w:val="auto"/>
        </w:rPr>
        <w:t>（3）声环境</w:t>
      </w:r>
    </w:p>
    <w:p w14:paraId="54FBACAD">
      <w:pPr>
        <w:pStyle w:val="276"/>
        <w:widowControl w:val="0"/>
        <w:ind w:firstLine="480"/>
        <w:jc w:val="both"/>
        <w:rPr>
          <w:color w:val="auto"/>
        </w:rPr>
      </w:pPr>
      <w:r>
        <w:rPr>
          <w:color w:val="auto"/>
        </w:rPr>
        <w:t>施工过程中产生的噪声主要为钻井、</w:t>
      </w:r>
      <w:r>
        <w:rPr>
          <w:snapToGrid w:val="0"/>
          <w:color w:val="auto"/>
        </w:rPr>
        <w:t>压裂</w:t>
      </w:r>
      <w:r>
        <w:rPr>
          <w:color w:val="auto"/>
        </w:rPr>
        <w:t>和地面建设施工机械、车辆运营噪声。采取合理安排施工时间，尽量避免大量高噪声设备同时施工；合理布置施工现场，尽量将高噪声机械布置远离环境敏感点一侧，同时，避免在同一地点安排较多的动力机械；选用低噪声设备，平时注意设备维护和保养，避免设备不正常运行产生的高噪声；运输车辆选择避开居民点路线，尽量不鸣笛。对周边声环境敏感点影响较小。</w:t>
      </w:r>
    </w:p>
    <w:p w14:paraId="561C46E2">
      <w:pPr>
        <w:pStyle w:val="276"/>
        <w:widowControl w:val="0"/>
        <w:ind w:firstLine="480"/>
        <w:jc w:val="both"/>
        <w:rPr>
          <w:color w:val="auto"/>
        </w:rPr>
      </w:pPr>
      <w:r>
        <w:rPr>
          <w:color w:val="auto"/>
          <w:kern w:val="2"/>
          <w:szCs w:val="20"/>
        </w:rPr>
        <w:t>本项目运营期噪声源主要来自抽油机和拉油点储罐燃烧器，</w:t>
      </w:r>
      <w:r>
        <w:rPr>
          <w:color w:val="auto"/>
        </w:rPr>
        <w:t>抽油机电机、燃烧器等发声设备尽可能选用低噪声设备，注意对设备的维护保养，保证设备保持在最佳运行状态，降低噪声源强度，采取以上措施后井场和拉油点厂界噪声能够达到《工业企业厂界环境噪声排放标准》（GB12348-2008）2类标准的要求。对周边声环境敏感点影响较小。</w:t>
      </w:r>
    </w:p>
    <w:p w14:paraId="15D8245F">
      <w:pPr>
        <w:pStyle w:val="276"/>
        <w:widowControl w:val="0"/>
        <w:ind w:firstLine="480"/>
        <w:jc w:val="both"/>
        <w:rPr>
          <w:color w:val="auto"/>
        </w:rPr>
      </w:pPr>
      <w:r>
        <w:rPr>
          <w:color w:val="auto"/>
        </w:rPr>
        <w:t>（4）固体废物</w:t>
      </w:r>
    </w:p>
    <w:p w14:paraId="1FF802F1">
      <w:pPr>
        <w:pStyle w:val="276"/>
        <w:widowControl w:val="0"/>
        <w:ind w:firstLine="480"/>
        <w:jc w:val="both"/>
        <w:rPr>
          <w:color w:val="auto"/>
        </w:rPr>
      </w:pPr>
      <w:r>
        <w:rPr>
          <w:color w:val="auto"/>
        </w:rPr>
        <w:t>施工过程中产生的固体废物主要为水基废钻井液、水基钻井岩屑、不含油废射孔液、含油废射孔液、油基废钻井液、油基钻井岩屑、膨润土等废包装袋、含油废防渗布、施工废料、生活垃圾、落地油等。水基废钻井液、水基钻井岩屑和不含油废射孔液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处理后的泥饼外售给大庆钻探工程公司钻井二公司综合利用垫井场或铺路；油基废钻井液、油基钻井岩屑和</w:t>
      </w:r>
      <w:r>
        <w:rPr>
          <w:color w:val="auto"/>
          <w:kern w:val="21"/>
        </w:rPr>
        <w:t>含油废射孔液</w:t>
      </w:r>
      <w:r>
        <w:rPr>
          <w:color w:val="auto"/>
        </w:rPr>
        <w:t>排入井场设置的油基钢制泥浆槽，委托有危废处理资质的</w:t>
      </w:r>
      <w:r>
        <w:rPr>
          <w:snapToGrid w:val="0"/>
          <w:color w:val="auto"/>
        </w:rPr>
        <w:t>黑龙江迈景环保科技有限公司</w:t>
      </w:r>
      <w:r>
        <w:rPr>
          <w:color w:val="auto"/>
        </w:rPr>
        <w:t>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膨润土、纯碱、重晶石粉废包装袋、</w:t>
      </w:r>
      <w:r>
        <w:rPr>
          <w:color w:val="auto"/>
          <w:kern w:val="2"/>
        </w:rPr>
        <w:t>施工废料由钻井单位统一安排拉运至</w:t>
      </w:r>
      <w:r>
        <w:rPr>
          <w:color w:val="auto"/>
          <w:kern w:val="2"/>
          <w:lang w:bidi="zh-CN"/>
        </w:rPr>
        <w:t>第八采油厂工业固废填埋场处理</w:t>
      </w:r>
      <w:r>
        <w:rPr>
          <w:color w:val="auto"/>
          <w:kern w:val="2"/>
        </w:rPr>
        <w:t>；含油废防渗布集中收集暂存于第十采油厂综合固废储存库，定期委托有资质单位处理；生活垃圾统一收集拉运至肇源县利民城市垃圾处理有限公司</w:t>
      </w:r>
      <w:r>
        <w:rPr>
          <w:color w:val="auto"/>
          <w:szCs w:val="21"/>
          <w:lang w:val="zh-CN" w:bidi="ar"/>
        </w:rPr>
        <w:t>处理</w:t>
      </w:r>
      <w:r>
        <w:rPr>
          <w:color w:val="auto"/>
          <w:kern w:val="2"/>
        </w:rPr>
        <w:t>；</w:t>
      </w:r>
      <w:r>
        <w:rPr>
          <w:snapToGrid w:val="0"/>
          <w:color w:val="auto"/>
          <w:szCs w:val="21"/>
        </w:rPr>
        <w:t>封井建筑垃圾统一收集，委托清运至市政部门指定的建筑垃圾调配场处置；勘探井试油产生的落地油</w:t>
      </w:r>
      <w:r>
        <w:rPr>
          <w:color w:val="auto"/>
          <w:kern w:val="2"/>
          <w:szCs w:val="20"/>
        </w:rPr>
        <w:t>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p w14:paraId="08959465">
      <w:pPr>
        <w:pStyle w:val="276"/>
        <w:widowControl w:val="0"/>
        <w:ind w:firstLine="480"/>
        <w:jc w:val="both"/>
        <w:rPr>
          <w:color w:val="auto"/>
        </w:rPr>
      </w:pPr>
      <w:r>
        <w:rPr>
          <w:color w:val="auto"/>
          <w:kern w:val="2"/>
          <w:szCs w:val="20"/>
        </w:rPr>
        <w:t>项目运营期产生的固体废物主要有正常工况下产生的含油污泥，非正常工况下产生的落地油、含油废防渗布。含油污泥及落地油全部回收，由罐车拉运至朝一联含油污泥处理站减量化处理后，再委托大庆博昕晶化科技有限公司处理满足《油田含油污泥处置与利用污染控制要求》（DB23/T 3104-2022）表1中的限值</w:t>
      </w:r>
      <w:r>
        <w:rPr>
          <w:snapToGrid w:val="0"/>
          <w:color w:val="auto"/>
        </w:rPr>
        <w:t>要求</w:t>
      </w:r>
      <w:r>
        <w:rPr>
          <w:color w:val="auto"/>
          <w:kern w:val="2"/>
          <w:szCs w:val="20"/>
        </w:rPr>
        <w:t>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含油废防渗布经收集后暂存于第十采油厂综合固废储存库，定期委托有资质单位处理。</w:t>
      </w:r>
    </w:p>
    <w:p w14:paraId="6D6AAD0C">
      <w:pPr>
        <w:pStyle w:val="276"/>
        <w:widowControl w:val="0"/>
        <w:ind w:firstLine="480"/>
        <w:jc w:val="both"/>
        <w:rPr>
          <w:color w:val="auto"/>
        </w:rPr>
      </w:pPr>
      <w:r>
        <w:rPr>
          <w:color w:val="auto"/>
        </w:rPr>
        <w:t>本项目施工期及运营期固体废物均合理处置，不会对</w:t>
      </w:r>
      <w:r>
        <w:rPr>
          <w:snapToGrid w:val="0"/>
          <w:color w:val="auto"/>
        </w:rPr>
        <w:t>周边</w:t>
      </w:r>
      <w:r>
        <w:rPr>
          <w:color w:val="auto"/>
        </w:rPr>
        <w:t>环境产生影响。</w:t>
      </w:r>
    </w:p>
    <w:p w14:paraId="307D94B4">
      <w:pPr>
        <w:pStyle w:val="276"/>
        <w:widowControl w:val="0"/>
        <w:ind w:firstLine="480"/>
        <w:jc w:val="both"/>
        <w:rPr>
          <w:color w:val="auto"/>
        </w:rPr>
      </w:pPr>
      <w:r>
        <w:rPr>
          <w:color w:val="auto"/>
        </w:rPr>
        <w:t>（5）生态环境</w:t>
      </w:r>
    </w:p>
    <w:p w14:paraId="5CBE943B">
      <w:pPr>
        <w:pStyle w:val="276"/>
        <w:widowControl w:val="0"/>
        <w:ind w:firstLine="480"/>
        <w:jc w:val="both"/>
        <w:rPr>
          <w:color w:val="auto"/>
        </w:rPr>
      </w:pPr>
      <w:r>
        <w:rPr>
          <w:color w:val="auto"/>
        </w:rPr>
        <w:t>本项目井场钻井施工、道路修建和管道铺设发生的永久和临时占地，以及因机械设备、车辆的碾压、人员的践踏等活动将会对地表植被造成一定程度的破坏。临时占地暂时改变了土地利用形式，使区域的生产能力受到暂时性影响。施工结束后，及时恢复被破坏的地表形态，对临时占用耕地进行表土留存，分层回填，整平翻松，确保恢复等质等量面积的耕地，对于永久占地应按“占一补一”原则进行补偿，项目建设对生态环境影响较小。</w:t>
      </w:r>
    </w:p>
    <w:p w14:paraId="16498948">
      <w:pPr>
        <w:pStyle w:val="276"/>
        <w:widowControl w:val="0"/>
        <w:ind w:firstLine="480"/>
        <w:jc w:val="both"/>
        <w:rPr>
          <w:color w:val="auto"/>
        </w:rPr>
      </w:pPr>
      <w:r>
        <w:rPr>
          <w:color w:val="auto"/>
        </w:rPr>
        <w:t>（6）土壤</w:t>
      </w:r>
    </w:p>
    <w:p w14:paraId="1E244D93">
      <w:pPr>
        <w:pStyle w:val="276"/>
        <w:widowControl w:val="0"/>
        <w:ind w:firstLine="480"/>
        <w:jc w:val="both"/>
        <w:rPr>
          <w:color w:val="auto"/>
        </w:rPr>
      </w:pPr>
      <w:r>
        <w:rPr>
          <w:color w:val="auto"/>
        </w:rPr>
        <w:t>油田生产过程中，石油类进入土壤的途径主要通过油井作业和事故时产生的落地油、含油污水。</w:t>
      </w:r>
    </w:p>
    <w:p w14:paraId="71C0BFA4">
      <w:pPr>
        <w:pStyle w:val="276"/>
        <w:widowControl w:val="0"/>
        <w:ind w:firstLine="480"/>
        <w:jc w:val="both"/>
        <w:rPr>
          <w:color w:val="auto"/>
        </w:rPr>
      </w:pPr>
      <w:r>
        <w:rPr>
          <w:color w:val="auto"/>
        </w:rPr>
        <w:t>针对工程可能发生的土壤污染，按照“源头控制、末端防治、污染监控、应急响应”相结合的原则，从污染物的产生、入渗、扩散、应急响应全阶段进行控制后对区域的土壤环境影响较小。</w:t>
      </w:r>
    </w:p>
    <w:p w14:paraId="0A84DC1C">
      <w:pPr>
        <w:pStyle w:val="276"/>
        <w:widowControl w:val="0"/>
        <w:ind w:firstLine="480"/>
        <w:jc w:val="both"/>
        <w:rPr>
          <w:color w:val="auto"/>
        </w:rPr>
      </w:pPr>
      <w:r>
        <w:rPr>
          <w:color w:val="auto"/>
        </w:rPr>
        <w:t>（7）环境风险</w:t>
      </w:r>
    </w:p>
    <w:p w14:paraId="25FCD672">
      <w:pPr>
        <w:pStyle w:val="276"/>
        <w:widowControl w:val="0"/>
        <w:ind w:firstLine="480"/>
        <w:jc w:val="both"/>
        <w:rPr>
          <w:color w:val="auto"/>
        </w:rPr>
      </w:pPr>
      <w:r>
        <w:rPr>
          <w:color w:val="auto"/>
        </w:rPr>
        <w:t>本项目的主要环境风险是原油泄漏和火灾爆炸，对区域内的大气、地表水、地下水环境和生态环境有潜在危害性。集油管道、拉油点储罐产生的原油泄漏会对大气环境造成直接影响，事故会造成局部大气污染，但具有发生机率小、持续时间短的特性。由于该区块所处地势平坦，一次性事故形成的局部大气污染在一定的气象条件下会逐步自然净化，对周围大气环境的影响很小。本项目事故状态下对地表水污染途径主要是油水的事故泄漏。泄漏污油污水在雨季期间可能随地表径流流向下游。集输管道事故泄漏可以通过站内仪表监控或巡检及时发现事故，及时关闭管道阀门或筑堤限制事故影响范围，然后彻底清理周边粘滞原油和被油水污染的土壤、树枝、杂草等含油废弃物，同时展开对事故管段或设备的抢修。只要溢出事故按相应的环境风险事故预案严格控制并彻底清理溢出的石油类污染物，泄漏事故不会对地表水体造成污染影响。油水的事故泄漏存在对潜水含水层造成影响的可能，但影响范围有限，一般在几百米范围。而承压含水层一般都有隔水顶板，与潜水层相互隔离，其透水性很差，因此对承压水层产生影响的可能性很小。</w:t>
      </w:r>
    </w:p>
    <w:p w14:paraId="6FBB96B2">
      <w:pPr>
        <w:pStyle w:val="5"/>
        <w:rPr>
          <w:bCs w:val="0"/>
          <w:color w:val="auto"/>
        </w:rPr>
      </w:pPr>
      <w:bookmarkStart w:id="182" w:name="_Toc502736438"/>
      <w:bookmarkStart w:id="183" w:name="_Toc554"/>
      <w:bookmarkStart w:id="184" w:name="_Toc212033001"/>
      <w:r>
        <w:rPr>
          <w:bCs w:val="0"/>
          <w:color w:val="auto"/>
        </w:rPr>
        <w:t>环境影响评价主要结论</w:t>
      </w:r>
      <w:bookmarkEnd w:id="182"/>
      <w:bookmarkEnd w:id="183"/>
      <w:bookmarkEnd w:id="184"/>
    </w:p>
    <w:p w14:paraId="0A912F37">
      <w:pPr>
        <w:pStyle w:val="276"/>
        <w:widowControl w:val="0"/>
        <w:ind w:firstLine="480"/>
        <w:jc w:val="both"/>
        <w:rPr>
          <w:snapToGrid w:val="0"/>
          <w:color w:val="auto"/>
        </w:rPr>
      </w:pPr>
      <w:bookmarkStart w:id="185" w:name="_Toc502736439"/>
      <w:r>
        <w:rPr>
          <w:snapToGrid w:val="0"/>
          <w:color w:val="auto"/>
        </w:rPr>
        <w:t>根据</w:t>
      </w:r>
      <w:r>
        <w:rPr>
          <w:color w:val="auto"/>
        </w:rPr>
        <w:t>《产业结构调整指导目录（2024 年本）》</w:t>
      </w:r>
      <w:r>
        <w:rPr>
          <w:snapToGrid w:val="0"/>
          <w:color w:val="auto"/>
        </w:rPr>
        <w:t>，石油、天然气勘探及开采属于鼓励类项目，本项目符合国家产业政策。本项目符合</w:t>
      </w:r>
      <w:r>
        <w:rPr>
          <w:color w:val="auto"/>
        </w:rPr>
        <w:t>《黑龙江省生态环境分区管控动态更新成果（2023年版）》及</w:t>
      </w:r>
      <w:r>
        <w:rPr>
          <w:snapToGrid w:val="0"/>
          <w:color w:val="auto"/>
        </w:rPr>
        <w:t>《大庆市生态环境准入清单（2023年版）》</w:t>
      </w:r>
      <w:r>
        <w:rPr>
          <w:color w:val="auto"/>
        </w:rPr>
        <w:t>中要求</w:t>
      </w:r>
      <w:r>
        <w:rPr>
          <w:snapToGrid w:val="0"/>
          <w:color w:val="auto"/>
        </w:rPr>
        <w:t>。按照《环境影响评价公众参与办法》（生态环境部令第 4 号，2019.1.1）的要求，本项目环评进行的过程中建设单位开展了公众参与调查，具体见《肇源油田源212区块扶余油层水平井提产试验产能建设地面工程项目环境影响评价公众参与说明》。</w:t>
      </w:r>
    </w:p>
    <w:p w14:paraId="7ECD10E4">
      <w:pPr>
        <w:pStyle w:val="276"/>
        <w:widowControl w:val="0"/>
        <w:ind w:firstLine="480"/>
        <w:jc w:val="both"/>
        <w:rPr>
          <w:snapToGrid w:val="0"/>
          <w:color w:val="auto"/>
        </w:rPr>
        <w:sectPr>
          <w:headerReference r:id="rId5" w:type="default"/>
          <w:footerReference r:id="rId6" w:type="default"/>
          <w:pgSz w:w="11906" w:h="16838"/>
          <w:pgMar w:top="1418" w:right="1418" w:bottom="1418" w:left="1418" w:header="851" w:footer="850" w:gutter="0"/>
          <w:pgNumType w:start="1"/>
          <w:cols w:space="720" w:num="1"/>
          <w:docGrid w:type="lines" w:linePitch="312" w:charSpace="0"/>
        </w:sectPr>
      </w:pPr>
      <w:r>
        <w:rPr>
          <w:snapToGrid w:val="0"/>
          <w:color w:val="auto"/>
        </w:rPr>
        <w:t xml:space="preserve">本报告书较为详细地论述了建设项目环境概况、主要环境问题、施工过程的各项污染物产生以及可能发生的风险对区域环境产生的影响、生态环境问题以及生态恢复措施； </w:t>
      </w:r>
      <w:r>
        <w:rPr>
          <w:rFonts w:hint="eastAsia"/>
          <w:snapToGrid w:val="0"/>
          <w:color w:val="auto"/>
        </w:rPr>
        <w:t>运营期</w:t>
      </w:r>
      <w:r>
        <w:rPr>
          <w:snapToGrid w:val="0"/>
          <w:color w:val="auto"/>
        </w:rPr>
        <w:t>井场无组织挥发的非甲烷总烃、拉油点储罐加热炉产生的燃烧烟气及井场抽油机的噪声、含油污泥、废含油防渗布等对环境产生的影响，并对各环境要素进行环境影响预测分析，提出一系列拟采取的环保措施。主要结论为：肇源油田源212区块扶余油层水平井提产试验产能建设地面工程项目选址于</w:t>
      </w:r>
      <w:r>
        <w:rPr>
          <w:color w:val="auto"/>
        </w:rPr>
        <w:t>大庆市肇源县和平乡后欧力马屯西侧及东侧、四方山村北侧以及肇源镇刘兽医屯东侧</w:t>
      </w:r>
      <w:r>
        <w:rPr>
          <w:snapToGrid w:val="0"/>
          <w:color w:val="auto"/>
        </w:rPr>
        <w:t>，项目选址合理；项目符合现行产业政策；对产生的污染物采取行之有效的环保措施后，可以做到达标排放，满足总量控制要求，环境风险可防控，对区域环境影响较小；公众参与调查结果表明，公众参与对该项目无反对意见。在确保落实好各项环保措施并保证其正常运行的前提下，从环境保护角度分析，本项目的建设可行。</w:t>
      </w:r>
    </w:p>
    <w:p w14:paraId="1C0DF8B6">
      <w:pPr>
        <w:pStyle w:val="3"/>
        <w:rPr>
          <w:rFonts w:ascii="宋体" w:hAnsi="宋体" w:eastAsia="宋体"/>
          <w:bCs/>
          <w:color w:val="auto"/>
        </w:rPr>
      </w:pPr>
      <w:bookmarkStart w:id="186" w:name="_Toc212033002"/>
      <w:bookmarkStart w:id="187" w:name="_Toc12668"/>
      <w:r>
        <w:rPr>
          <w:rFonts w:ascii="宋体" w:hAnsi="宋体" w:eastAsia="宋体"/>
          <w:bCs/>
          <w:color w:val="auto"/>
        </w:rPr>
        <w:t>总则</w:t>
      </w:r>
      <w:bookmarkEnd w:id="186"/>
      <w:bookmarkEnd w:id="187"/>
    </w:p>
    <w:p w14:paraId="5F0B1796">
      <w:pPr>
        <w:pStyle w:val="5"/>
        <w:rPr>
          <w:bCs w:val="0"/>
          <w:color w:val="auto"/>
        </w:rPr>
      </w:pPr>
      <w:bookmarkStart w:id="188" w:name="_Toc29019"/>
      <w:bookmarkStart w:id="189" w:name="_Toc212033003"/>
      <w:r>
        <w:rPr>
          <w:bCs w:val="0"/>
          <w:color w:val="auto"/>
        </w:rPr>
        <w:t>评价目的</w:t>
      </w:r>
      <w:bookmarkEnd w:id="188"/>
      <w:bookmarkEnd w:id="189"/>
    </w:p>
    <w:p w14:paraId="4794BB8B">
      <w:pPr>
        <w:pStyle w:val="276"/>
        <w:widowControl w:val="0"/>
        <w:spacing w:line="440" w:lineRule="exact"/>
        <w:ind w:firstLine="480"/>
        <w:jc w:val="both"/>
        <w:rPr>
          <w:snapToGrid w:val="0"/>
          <w:color w:val="auto"/>
        </w:rPr>
      </w:pPr>
      <w:r>
        <w:rPr>
          <w:snapToGrid w:val="0"/>
          <w:color w:val="auto"/>
        </w:rPr>
        <w:t>根据本项目特性及工程所在地的环境特点，确定建设项目环境影响评价目的：</w:t>
      </w:r>
    </w:p>
    <w:p w14:paraId="2FEBAC79">
      <w:pPr>
        <w:pStyle w:val="276"/>
        <w:widowControl w:val="0"/>
        <w:spacing w:line="440" w:lineRule="exact"/>
        <w:ind w:firstLine="480"/>
        <w:jc w:val="both"/>
        <w:rPr>
          <w:snapToGrid w:val="0"/>
          <w:color w:val="auto"/>
        </w:rPr>
      </w:pPr>
      <w:r>
        <w:rPr>
          <w:snapToGrid w:val="0"/>
          <w:color w:val="auto"/>
        </w:rPr>
        <w:t>（1）贯彻“预防为主，防治结合，综合利用”环境管理方针，要求在开发建设活动实施之前预计可能产生的环境污染与破坏，再据此采取防治对策，做到防患于未然。</w:t>
      </w:r>
    </w:p>
    <w:p w14:paraId="7F4463C9">
      <w:pPr>
        <w:pStyle w:val="276"/>
        <w:widowControl w:val="0"/>
        <w:spacing w:line="440" w:lineRule="exact"/>
        <w:ind w:firstLine="480"/>
        <w:jc w:val="both"/>
        <w:rPr>
          <w:snapToGrid w:val="0"/>
          <w:color w:val="auto"/>
        </w:rPr>
      </w:pPr>
      <w:r>
        <w:rPr>
          <w:snapToGrid w:val="0"/>
          <w:color w:val="auto"/>
        </w:rPr>
        <w:t>（2）本次环评将在工程分析的基础上，分析论证本项目“三废”排放情况及从环保角度确认工艺过程的先进性，为环境影响预测提供基础数据，并为今后的环境管理工作提供科学依据。</w:t>
      </w:r>
    </w:p>
    <w:p w14:paraId="7DB5214F">
      <w:pPr>
        <w:pStyle w:val="276"/>
        <w:widowControl w:val="0"/>
        <w:spacing w:line="440" w:lineRule="exact"/>
        <w:ind w:firstLine="480"/>
        <w:jc w:val="both"/>
        <w:rPr>
          <w:snapToGrid w:val="0"/>
          <w:color w:val="auto"/>
        </w:rPr>
      </w:pPr>
      <w:r>
        <w:rPr>
          <w:snapToGrid w:val="0"/>
          <w:color w:val="auto"/>
        </w:rPr>
        <w:t>（3）通过对建设地点及周围环境的综合现状调查和现场监测，了解和掌握该地区的环境质量现状及污染现状，并确定环境保护目标。</w:t>
      </w:r>
    </w:p>
    <w:p w14:paraId="28CBC751">
      <w:pPr>
        <w:pStyle w:val="276"/>
        <w:widowControl w:val="0"/>
        <w:spacing w:line="440" w:lineRule="exact"/>
        <w:ind w:firstLine="480"/>
        <w:jc w:val="both"/>
        <w:rPr>
          <w:snapToGrid w:val="0"/>
          <w:color w:val="auto"/>
        </w:rPr>
      </w:pPr>
      <w:r>
        <w:rPr>
          <w:snapToGrid w:val="0"/>
          <w:color w:val="auto"/>
        </w:rPr>
        <w:t>（4）采用适当的预测模式，预测和评价工程投产后对该地区的环境影响程度和范围，提出经济上合理，技术上可行的环境保护措施。</w:t>
      </w:r>
    </w:p>
    <w:p w14:paraId="2CAA2C65">
      <w:pPr>
        <w:pStyle w:val="276"/>
        <w:widowControl w:val="0"/>
        <w:spacing w:line="440" w:lineRule="exact"/>
        <w:ind w:firstLine="480"/>
        <w:jc w:val="both"/>
        <w:rPr>
          <w:snapToGrid w:val="0"/>
          <w:color w:val="auto"/>
        </w:rPr>
      </w:pPr>
      <w:r>
        <w:rPr>
          <w:snapToGrid w:val="0"/>
          <w:color w:val="auto"/>
        </w:rPr>
        <w:t>（5）通过对环境、经济的损益分析，论证本项目社会效益、环境效益和经济效益的统一性。</w:t>
      </w:r>
    </w:p>
    <w:p w14:paraId="1775DA7D">
      <w:pPr>
        <w:pStyle w:val="276"/>
        <w:widowControl w:val="0"/>
        <w:spacing w:line="440" w:lineRule="exact"/>
        <w:ind w:firstLine="480"/>
        <w:jc w:val="both"/>
        <w:rPr>
          <w:snapToGrid w:val="0"/>
          <w:color w:val="auto"/>
        </w:rPr>
      </w:pPr>
      <w:r>
        <w:rPr>
          <w:snapToGrid w:val="0"/>
          <w:color w:val="auto"/>
        </w:rPr>
        <w:t>（6）从环境功能规划、环境容量及周围环境敏感保护目标等方面，论证本项目选址的合理性，为项目实现优化选址、合理布局、最佳设计提供科学依据。</w:t>
      </w:r>
    </w:p>
    <w:p w14:paraId="1F4B9EF1">
      <w:pPr>
        <w:pStyle w:val="5"/>
        <w:rPr>
          <w:bCs w:val="0"/>
          <w:color w:val="auto"/>
        </w:rPr>
      </w:pPr>
      <w:bookmarkStart w:id="190" w:name="_Toc212033004"/>
      <w:bookmarkStart w:id="191" w:name="_Toc14253"/>
      <w:r>
        <w:rPr>
          <w:bCs w:val="0"/>
          <w:color w:val="auto"/>
        </w:rPr>
        <w:t>评价原则</w:t>
      </w:r>
      <w:bookmarkEnd w:id="190"/>
      <w:bookmarkEnd w:id="191"/>
    </w:p>
    <w:p w14:paraId="331D3980">
      <w:pPr>
        <w:pStyle w:val="276"/>
        <w:widowControl w:val="0"/>
        <w:spacing w:line="440" w:lineRule="exact"/>
        <w:ind w:firstLine="480"/>
        <w:jc w:val="both"/>
        <w:rPr>
          <w:snapToGrid w:val="0"/>
          <w:color w:val="auto"/>
        </w:rPr>
      </w:pPr>
      <w:r>
        <w:rPr>
          <w:snapToGrid w:val="0"/>
          <w:color w:val="auto"/>
        </w:rPr>
        <w:t xml:space="preserve">突出环境影响评价的源头预防作用，坚持保护和改善环境质量。 </w:t>
      </w:r>
    </w:p>
    <w:p w14:paraId="0333B4F3">
      <w:pPr>
        <w:pStyle w:val="276"/>
        <w:widowControl w:val="0"/>
        <w:spacing w:line="440" w:lineRule="exact"/>
        <w:ind w:firstLine="480"/>
        <w:jc w:val="both"/>
        <w:rPr>
          <w:snapToGrid w:val="0"/>
          <w:color w:val="auto"/>
        </w:rPr>
      </w:pPr>
      <w:r>
        <w:rPr>
          <w:snapToGrid w:val="0"/>
          <w:color w:val="auto"/>
        </w:rPr>
        <w:t>（1）依法评价</w:t>
      </w:r>
    </w:p>
    <w:p w14:paraId="71B192C2">
      <w:pPr>
        <w:pStyle w:val="276"/>
        <w:widowControl w:val="0"/>
        <w:spacing w:line="440" w:lineRule="exact"/>
        <w:ind w:firstLine="480"/>
        <w:jc w:val="both"/>
        <w:rPr>
          <w:snapToGrid w:val="0"/>
          <w:color w:val="auto"/>
        </w:rPr>
      </w:pPr>
      <w:r>
        <w:rPr>
          <w:snapToGrid w:val="0"/>
          <w:color w:val="auto"/>
        </w:rPr>
        <w:t>贯彻执行我国环境保护相关法律法规、标准、政策和规划等，优化项目建设，服务环境管理。</w:t>
      </w:r>
    </w:p>
    <w:p w14:paraId="44581D6E">
      <w:pPr>
        <w:pStyle w:val="276"/>
        <w:widowControl w:val="0"/>
        <w:spacing w:line="440" w:lineRule="exact"/>
        <w:ind w:firstLine="480"/>
        <w:jc w:val="both"/>
        <w:rPr>
          <w:snapToGrid w:val="0"/>
          <w:color w:val="auto"/>
        </w:rPr>
      </w:pPr>
      <w:r>
        <w:rPr>
          <w:snapToGrid w:val="0"/>
          <w:color w:val="auto"/>
        </w:rPr>
        <w:t>（2）科学评价</w:t>
      </w:r>
    </w:p>
    <w:p w14:paraId="036DE699">
      <w:pPr>
        <w:pStyle w:val="276"/>
        <w:widowControl w:val="0"/>
        <w:spacing w:line="440" w:lineRule="exact"/>
        <w:ind w:firstLine="480"/>
        <w:jc w:val="both"/>
        <w:rPr>
          <w:snapToGrid w:val="0"/>
          <w:color w:val="auto"/>
        </w:rPr>
      </w:pPr>
      <w:r>
        <w:rPr>
          <w:snapToGrid w:val="0"/>
          <w:color w:val="auto"/>
        </w:rPr>
        <w:t>规范环境影响评价方法，科学分析项目建设对环境质量的影响。</w:t>
      </w:r>
    </w:p>
    <w:p w14:paraId="2A3422B2">
      <w:pPr>
        <w:pStyle w:val="276"/>
        <w:widowControl w:val="0"/>
        <w:spacing w:line="440" w:lineRule="exact"/>
        <w:ind w:firstLine="480"/>
        <w:jc w:val="both"/>
        <w:rPr>
          <w:snapToGrid w:val="0"/>
          <w:color w:val="auto"/>
        </w:rPr>
      </w:pPr>
      <w:r>
        <w:rPr>
          <w:snapToGrid w:val="0"/>
          <w:color w:val="auto"/>
        </w:rPr>
        <w:t>（3）突出重点</w:t>
      </w:r>
    </w:p>
    <w:p w14:paraId="2D23D976">
      <w:pPr>
        <w:pStyle w:val="276"/>
        <w:widowControl w:val="0"/>
        <w:spacing w:line="440" w:lineRule="exact"/>
        <w:ind w:firstLine="480"/>
        <w:jc w:val="both"/>
        <w:rPr>
          <w:snapToGrid w:val="0"/>
          <w:color w:val="auto"/>
        </w:rPr>
      </w:pPr>
      <w:r>
        <w:rPr>
          <w:snapToGrid w:val="0"/>
          <w:color w:val="auto"/>
        </w:rPr>
        <w:t>根据建设项目的工程内容及其特点，明确与环境要素间的作用效应关系，充分利用符合时效的数据资料及成果，对建设项目主要环境影响予以重点分析和评价。</w:t>
      </w:r>
    </w:p>
    <w:p w14:paraId="535A52B1">
      <w:pPr>
        <w:pStyle w:val="5"/>
        <w:rPr>
          <w:bCs w:val="0"/>
          <w:color w:val="auto"/>
        </w:rPr>
      </w:pPr>
      <w:bookmarkStart w:id="192" w:name="_Toc212033005"/>
      <w:bookmarkStart w:id="193" w:name="_Toc17557"/>
      <w:r>
        <w:rPr>
          <w:bCs w:val="0"/>
          <w:color w:val="auto"/>
        </w:rPr>
        <w:t>编制依据</w:t>
      </w:r>
      <w:bookmarkEnd w:id="192"/>
      <w:bookmarkEnd w:id="193"/>
    </w:p>
    <w:p w14:paraId="4B232D70">
      <w:pPr>
        <w:pStyle w:val="6"/>
        <w:rPr>
          <w:color w:val="auto"/>
        </w:rPr>
      </w:pPr>
      <w:bookmarkStart w:id="194" w:name="_Toc70050138"/>
      <w:bookmarkStart w:id="195" w:name="_Toc78816423"/>
      <w:bookmarkStart w:id="196" w:name="_Toc61597184"/>
      <w:bookmarkStart w:id="197" w:name="_Toc84929191"/>
      <w:bookmarkStart w:id="198" w:name="_Toc77067622"/>
      <w:bookmarkStart w:id="199" w:name="_Toc80588218"/>
      <w:bookmarkStart w:id="200" w:name="_Toc83209435"/>
      <w:bookmarkStart w:id="201" w:name="_Toc67860091"/>
      <w:bookmarkStart w:id="202" w:name="_Toc76976206"/>
      <w:bookmarkStart w:id="203" w:name="_Toc80971340"/>
      <w:bookmarkStart w:id="204" w:name="_Toc86141899"/>
      <w:bookmarkStart w:id="205" w:name="_Toc126863355"/>
      <w:bookmarkStart w:id="206" w:name="_Toc127192304"/>
      <w:bookmarkStart w:id="207" w:name="_Toc85640716"/>
      <w:bookmarkStart w:id="208" w:name="_Toc131167255"/>
      <w:bookmarkStart w:id="209" w:name="_Toc143099542"/>
      <w:r>
        <w:rPr>
          <w:color w:val="auto"/>
        </w:rPr>
        <w:t>环境保护相关法律</w:t>
      </w:r>
      <w:bookmarkEnd w:id="194"/>
      <w:bookmarkEnd w:id="195"/>
      <w:bookmarkEnd w:id="196"/>
      <w:bookmarkEnd w:id="197"/>
      <w:bookmarkEnd w:id="198"/>
      <w:bookmarkEnd w:id="199"/>
      <w:bookmarkEnd w:id="200"/>
      <w:bookmarkEnd w:id="201"/>
      <w:bookmarkEnd w:id="202"/>
      <w:bookmarkEnd w:id="203"/>
      <w:r>
        <w:rPr>
          <w:color w:val="auto"/>
        </w:rPr>
        <w:t>、法规</w:t>
      </w:r>
      <w:bookmarkEnd w:id="204"/>
      <w:bookmarkEnd w:id="205"/>
      <w:bookmarkEnd w:id="206"/>
      <w:bookmarkEnd w:id="207"/>
      <w:bookmarkEnd w:id="208"/>
      <w:bookmarkEnd w:id="209"/>
    </w:p>
    <w:p w14:paraId="1F92F310">
      <w:pPr>
        <w:pStyle w:val="276"/>
        <w:widowControl w:val="0"/>
        <w:spacing w:line="440" w:lineRule="exact"/>
        <w:ind w:firstLine="480"/>
        <w:jc w:val="both"/>
        <w:rPr>
          <w:snapToGrid w:val="0"/>
          <w:color w:val="auto"/>
        </w:rPr>
      </w:pPr>
      <w:r>
        <w:rPr>
          <w:snapToGrid w:val="0"/>
          <w:color w:val="auto"/>
        </w:rPr>
        <w:t>（1）《中华人民共和国环境保护法》（</w:t>
      </w:r>
      <w:r>
        <w:rPr>
          <w:color w:val="auto"/>
        </w:rPr>
        <w:t>2015年1月1日</w:t>
      </w:r>
      <w:r>
        <w:rPr>
          <w:snapToGrid w:val="0"/>
          <w:color w:val="auto"/>
        </w:rPr>
        <w:t>）；</w:t>
      </w:r>
    </w:p>
    <w:p w14:paraId="63836A54">
      <w:pPr>
        <w:pStyle w:val="276"/>
        <w:widowControl w:val="0"/>
        <w:spacing w:line="440" w:lineRule="exact"/>
        <w:ind w:firstLine="480"/>
        <w:jc w:val="both"/>
        <w:rPr>
          <w:snapToGrid w:val="0"/>
          <w:color w:val="auto"/>
        </w:rPr>
      </w:pPr>
      <w:r>
        <w:rPr>
          <w:snapToGrid w:val="0"/>
          <w:color w:val="auto"/>
        </w:rPr>
        <w:t>（2）《中华人民共和国环境影响评价法》（</w:t>
      </w:r>
      <w:r>
        <w:rPr>
          <w:color w:val="auto"/>
        </w:rPr>
        <w:t>2018年12月29日修正</w:t>
      </w:r>
      <w:r>
        <w:rPr>
          <w:snapToGrid w:val="0"/>
          <w:color w:val="auto"/>
        </w:rPr>
        <w:t>）；</w:t>
      </w:r>
    </w:p>
    <w:p w14:paraId="4392F73A">
      <w:pPr>
        <w:pStyle w:val="276"/>
        <w:widowControl w:val="0"/>
        <w:spacing w:line="440" w:lineRule="exact"/>
        <w:ind w:firstLine="480"/>
        <w:jc w:val="both"/>
        <w:rPr>
          <w:snapToGrid w:val="0"/>
          <w:color w:val="auto"/>
        </w:rPr>
      </w:pPr>
      <w:r>
        <w:rPr>
          <w:snapToGrid w:val="0"/>
          <w:color w:val="auto"/>
        </w:rPr>
        <w:t>（3）《中华人民共和国大气污染防治法》（</w:t>
      </w:r>
      <w:r>
        <w:rPr>
          <w:color w:val="auto"/>
        </w:rPr>
        <w:t>2018年10月26日</w:t>
      </w:r>
      <w:r>
        <w:rPr>
          <w:snapToGrid w:val="0"/>
          <w:color w:val="auto"/>
        </w:rPr>
        <w:t>）；</w:t>
      </w:r>
    </w:p>
    <w:p w14:paraId="78233652">
      <w:pPr>
        <w:pStyle w:val="276"/>
        <w:widowControl w:val="0"/>
        <w:spacing w:line="440" w:lineRule="exact"/>
        <w:ind w:firstLine="480"/>
        <w:jc w:val="both"/>
        <w:rPr>
          <w:snapToGrid w:val="0"/>
          <w:color w:val="auto"/>
        </w:rPr>
      </w:pPr>
      <w:r>
        <w:rPr>
          <w:snapToGrid w:val="0"/>
          <w:color w:val="auto"/>
        </w:rPr>
        <w:t>（4）《中华人民共和国水污染防治法》（2018年1月1日）；</w:t>
      </w:r>
    </w:p>
    <w:p w14:paraId="79E7E837">
      <w:pPr>
        <w:pStyle w:val="276"/>
        <w:widowControl w:val="0"/>
        <w:spacing w:line="440" w:lineRule="exact"/>
        <w:ind w:firstLine="480"/>
        <w:jc w:val="both"/>
        <w:rPr>
          <w:snapToGrid w:val="0"/>
          <w:color w:val="auto"/>
        </w:rPr>
      </w:pPr>
      <w:r>
        <w:rPr>
          <w:snapToGrid w:val="0"/>
          <w:color w:val="auto"/>
        </w:rPr>
        <w:t>（5）《中华人民共和国噪声污染防治法》（</w:t>
      </w:r>
      <w:r>
        <w:rPr>
          <w:color w:val="auto"/>
        </w:rPr>
        <w:t>2022年6月5日</w:t>
      </w:r>
      <w:r>
        <w:rPr>
          <w:snapToGrid w:val="0"/>
          <w:color w:val="auto"/>
        </w:rPr>
        <w:t>）；</w:t>
      </w:r>
    </w:p>
    <w:p w14:paraId="50C46CB5">
      <w:pPr>
        <w:pStyle w:val="276"/>
        <w:widowControl w:val="0"/>
        <w:spacing w:line="440" w:lineRule="exact"/>
        <w:ind w:firstLine="480"/>
        <w:jc w:val="both"/>
        <w:rPr>
          <w:color w:val="auto"/>
        </w:rPr>
      </w:pPr>
      <w:r>
        <w:rPr>
          <w:snapToGrid w:val="0"/>
          <w:color w:val="auto"/>
        </w:rPr>
        <w:t>（6）《中华人民共和国土壤污染防治法》（</w:t>
      </w:r>
      <w:r>
        <w:rPr>
          <w:color w:val="auto"/>
        </w:rPr>
        <w:t>2019年1月1日</w:t>
      </w:r>
      <w:r>
        <w:rPr>
          <w:snapToGrid w:val="0"/>
          <w:color w:val="auto"/>
        </w:rPr>
        <w:t>）；</w:t>
      </w:r>
    </w:p>
    <w:p w14:paraId="1A8B36CB">
      <w:pPr>
        <w:pStyle w:val="276"/>
        <w:widowControl w:val="0"/>
        <w:spacing w:line="440" w:lineRule="exact"/>
        <w:ind w:firstLine="480"/>
        <w:jc w:val="both"/>
        <w:rPr>
          <w:snapToGrid w:val="0"/>
          <w:color w:val="auto"/>
        </w:rPr>
      </w:pPr>
      <w:r>
        <w:rPr>
          <w:snapToGrid w:val="0"/>
          <w:color w:val="auto"/>
        </w:rPr>
        <w:t>（7）《中华人民共和国固体废物污染环境防治法》（2020年4月29日修订，2020年9月1日起施行）；</w:t>
      </w:r>
    </w:p>
    <w:p w14:paraId="69C1D7D2">
      <w:pPr>
        <w:pStyle w:val="164"/>
        <w:tabs>
          <w:tab w:val="left" w:pos="1560"/>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（8）《中华人民共和国黑土地保护法》（2022年8月1日起施行）；</w:t>
      </w:r>
    </w:p>
    <w:p w14:paraId="4C817778">
      <w:pPr>
        <w:pStyle w:val="276"/>
        <w:widowControl w:val="0"/>
        <w:spacing w:line="440" w:lineRule="exact"/>
        <w:ind w:firstLine="480"/>
        <w:jc w:val="both"/>
        <w:rPr>
          <w:snapToGrid w:val="0"/>
          <w:color w:val="auto"/>
        </w:rPr>
      </w:pPr>
      <w:r>
        <w:rPr>
          <w:snapToGrid w:val="0"/>
          <w:color w:val="auto"/>
        </w:rPr>
        <w:t>（9）《中华人民共和国水土保持法》（中华人民共和国主席令第 39 号，2011年3月1日）。</w:t>
      </w:r>
    </w:p>
    <w:p w14:paraId="1DD10AD1">
      <w:pPr>
        <w:pStyle w:val="276"/>
        <w:spacing w:line="440" w:lineRule="exact"/>
        <w:ind w:firstLine="480"/>
        <w:jc w:val="both"/>
        <w:rPr>
          <w:snapToGrid w:val="0"/>
          <w:color w:val="auto"/>
        </w:rPr>
      </w:pPr>
      <w:r>
        <w:rPr>
          <w:snapToGrid w:val="0"/>
          <w:color w:val="auto"/>
        </w:rPr>
        <w:t>（10）《中华人民共和国清洁生产促进法》（中华人民共和国主席令第54号，2012年7月1日起施行）；</w:t>
      </w:r>
    </w:p>
    <w:p w14:paraId="7798ADB1">
      <w:pPr>
        <w:pStyle w:val="276"/>
        <w:spacing w:line="440" w:lineRule="exact"/>
        <w:ind w:firstLine="480"/>
        <w:jc w:val="both"/>
        <w:rPr>
          <w:snapToGrid w:val="0"/>
          <w:color w:val="auto"/>
        </w:rPr>
      </w:pPr>
      <w:r>
        <w:rPr>
          <w:snapToGrid w:val="0"/>
          <w:color w:val="auto"/>
        </w:rPr>
        <w:t>（11）《中华人民共和国野生动物保护法》（中华人民共和国主席令第47号，2018年10月26日修正施行）；</w:t>
      </w:r>
    </w:p>
    <w:p w14:paraId="374C613A">
      <w:pPr>
        <w:pStyle w:val="276"/>
        <w:spacing w:line="440" w:lineRule="exact"/>
        <w:ind w:firstLine="480"/>
        <w:jc w:val="both"/>
        <w:rPr>
          <w:snapToGrid w:val="0"/>
          <w:color w:val="auto"/>
        </w:rPr>
      </w:pPr>
      <w:r>
        <w:rPr>
          <w:snapToGrid w:val="0"/>
          <w:color w:val="auto"/>
        </w:rPr>
        <w:t>（12）《中华人民共和国草原法》（中华人民共和国主席令〔2021〕81号，2021年4月29日修正施行）；</w:t>
      </w:r>
    </w:p>
    <w:p w14:paraId="083AC6B7">
      <w:pPr>
        <w:pStyle w:val="276"/>
        <w:widowControl w:val="0"/>
        <w:spacing w:line="440" w:lineRule="exact"/>
        <w:ind w:firstLine="480"/>
        <w:jc w:val="both"/>
        <w:rPr>
          <w:snapToGrid w:val="0"/>
          <w:color w:val="auto"/>
        </w:rPr>
      </w:pPr>
      <w:r>
        <w:rPr>
          <w:snapToGrid w:val="0"/>
          <w:color w:val="auto"/>
        </w:rPr>
        <w:t>（13）《中华人民共和国防沙治沙法》（主席令2018年第16号（3），2018年10月26日修正施行）；</w:t>
      </w:r>
    </w:p>
    <w:p w14:paraId="51E60963">
      <w:pPr>
        <w:tabs>
          <w:tab w:val="left" w:pos="4154"/>
          <w:tab w:val="center" w:pos="8305"/>
        </w:tabs>
        <w:spacing w:line="440" w:lineRule="exact"/>
        <w:ind w:firstLine="420" w:firstLineChars="200"/>
        <w:rPr>
          <w:rFonts w:ascii="宋体" w:hAnsi="宋体" w:eastAsia="宋体" w:cs="Times New Roman"/>
          <w:snapToGrid w:val="0"/>
          <w:color w:val="auto"/>
        </w:rPr>
      </w:pPr>
      <w:r>
        <w:rPr>
          <w:rFonts w:ascii="宋体" w:hAnsi="宋体" w:eastAsia="宋体" w:cs="Times New Roman"/>
          <w:iCs/>
          <w:color w:val="auto"/>
        </w:rPr>
        <w:t>（14）《中华人民共和国石油天然气管道保护法》（2010年10月1日起施行）</w:t>
      </w:r>
      <w:r>
        <w:rPr>
          <w:rFonts w:ascii="宋体" w:hAnsi="宋体" w:eastAsia="宋体" w:cs="Times New Roman"/>
          <w:snapToGrid w:val="0"/>
          <w:color w:val="auto"/>
        </w:rPr>
        <w:t>。</w:t>
      </w:r>
    </w:p>
    <w:p w14:paraId="0102E992">
      <w:pPr>
        <w:pStyle w:val="276"/>
        <w:widowControl w:val="0"/>
        <w:spacing w:line="440" w:lineRule="exact"/>
        <w:ind w:firstLine="480"/>
        <w:jc w:val="both"/>
        <w:rPr>
          <w:snapToGrid w:val="0"/>
          <w:color w:val="auto"/>
        </w:rPr>
      </w:pPr>
      <w:r>
        <w:rPr>
          <w:snapToGrid w:val="0"/>
          <w:color w:val="auto"/>
        </w:rPr>
        <w:t>（15）《建设项目环境保护管理条例》（中华人民共和国国务院令第 682号，2017.10.01）；</w:t>
      </w:r>
    </w:p>
    <w:p w14:paraId="67C727E8">
      <w:pPr>
        <w:pStyle w:val="276"/>
        <w:spacing w:line="440" w:lineRule="exact"/>
        <w:ind w:firstLine="480"/>
        <w:jc w:val="both"/>
        <w:rPr>
          <w:snapToGrid w:val="0"/>
          <w:color w:val="auto"/>
        </w:rPr>
      </w:pPr>
      <w:r>
        <w:rPr>
          <w:snapToGrid w:val="0"/>
          <w:color w:val="auto"/>
        </w:rPr>
        <w:t>（16）《排污许可管理条例》（国令第736号，2021年3月1日起施行）；</w:t>
      </w:r>
    </w:p>
    <w:p w14:paraId="5E52CD04">
      <w:pPr>
        <w:pStyle w:val="276"/>
        <w:spacing w:line="440" w:lineRule="exact"/>
        <w:ind w:firstLine="480"/>
        <w:jc w:val="both"/>
        <w:rPr>
          <w:snapToGrid w:val="0"/>
          <w:color w:val="auto"/>
        </w:rPr>
      </w:pPr>
      <w:r>
        <w:rPr>
          <w:snapToGrid w:val="0"/>
          <w:color w:val="auto"/>
        </w:rPr>
        <w:t>（17）《中华人民共和国土地管理法》（2019修订），2019年8月26日修订，2020年1月1日起施行；</w:t>
      </w:r>
    </w:p>
    <w:p w14:paraId="299000AD">
      <w:pPr>
        <w:pStyle w:val="276"/>
        <w:widowControl w:val="0"/>
        <w:spacing w:line="440" w:lineRule="exact"/>
        <w:ind w:firstLine="480"/>
        <w:jc w:val="both"/>
        <w:rPr>
          <w:snapToGrid w:val="0"/>
          <w:color w:val="auto"/>
        </w:rPr>
      </w:pPr>
      <w:r>
        <w:rPr>
          <w:snapToGrid w:val="0"/>
          <w:color w:val="auto"/>
        </w:rPr>
        <w:t>（19）《中华人民共和国湿地保护法》（2022年6月1日起施行）；</w:t>
      </w:r>
    </w:p>
    <w:p w14:paraId="1476A7BF">
      <w:pPr>
        <w:pStyle w:val="276"/>
        <w:widowControl w:val="0"/>
        <w:spacing w:line="440" w:lineRule="exact"/>
        <w:ind w:firstLine="480"/>
        <w:jc w:val="both"/>
        <w:rPr>
          <w:snapToGrid w:val="0"/>
          <w:color w:val="auto"/>
        </w:rPr>
      </w:pPr>
      <w:r>
        <w:rPr>
          <w:snapToGrid w:val="0"/>
          <w:color w:val="auto"/>
        </w:rPr>
        <w:t>（20）《地下水管理条例》（2021年10月29日公布，自2021年12月1日起施行）；</w:t>
      </w:r>
    </w:p>
    <w:p w14:paraId="270DF506">
      <w:pPr>
        <w:pStyle w:val="276"/>
        <w:widowControl w:val="0"/>
        <w:spacing w:line="440" w:lineRule="exact"/>
        <w:ind w:firstLine="480"/>
        <w:jc w:val="both"/>
        <w:rPr>
          <w:iCs/>
          <w:snapToGrid w:val="0"/>
          <w:color w:val="auto"/>
        </w:rPr>
      </w:pPr>
      <w:r>
        <w:rPr>
          <w:snapToGrid w:val="0"/>
          <w:color w:val="auto"/>
        </w:rPr>
        <w:t>（21）</w:t>
      </w:r>
      <w:r>
        <w:rPr>
          <w:iCs/>
          <w:snapToGrid w:val="0"/>
          <w:color w:val="auto"/>
        </w:rPr>
        <w:t>《基本农田保护条例》（</w:t>
      </w:r>
      <w:r>
        <w:rPr>
          <w:rFonts w:hint="eastAsia"/>
          <w:iCs/>
          <w:snapToGrid w:val="0"/>
          <w:color w:val="auto"/>
        </w:rPr>
        <w:t>国务院令第</w:t>
      </w:r>
      <w:r>
        <w:rPr>
          <w:iCs/>
          <w:snapToGrid w:val="0"/>
          <w:color w:val="auto"/>
        </w:rPr>
        <w:t>257号）；</w:t>
      </w:r>
    </w:p>
    <w:p w14:paraId="5D7DA837">
      <w:pPr>
        <w:pStyle w:val="276"/>
        <w:widowControl w:val="0"/>
        <w:spacing w:line="440" w:lineRule="exact"/>
        <w:ind w:firstLine="480"/>
        <w:jc w:val="both"/>
        <w:rPr>
          <w:snapToGrid w:val="0"/>
          <w:color w:val="auto"/>
        </w:rPr>
      </w:pPr>
      <w:r>
        <w:rPr>
          <w:iCs/>
          <w:snapToGrid w:val="0"/>
          <w:color w:val="auto"/>
        </w:rPr>
        <w:t>（22）</w:t>
      </w:r>
      <w:r>
        <w:rPr>
          <w:snapToGrid w:val="0"/>
          <w:color w:val="auto"/>
        </w:rPr>
        <w:t>《黑龙江省环境保护条例》（2018.04.26修正）；</w:t>
      </w:r>
    </w:p>
    <w:p w14:paraId="38AB394C">
      <w:pPr>
        <w:pStyle w:val="276"/>
        <w:widowControl w:val="0"/>
        <w:spacing w:line="440" w:lineRule="exact"/>
        <w:ind w:firstLine="480"/>
        <w:jc w:val="both"/>
        <w:rPr>
          <w:snapToGrid w:val="0"/>
          <w:color w:val="auto"/>
        </w:rPr>
      </w:pPr>
      <w:r>
        <w:rPr>
          <w:snapToGrid w:val="0"/>
          <w:color w:val="auto"/>
        </w:rPr>
        <w:t>（23）《黑龙江省大气污染防治条例》（2018.12.27）；</w:t>
      </w:r>
    </w:p>
    <w:p w14:paraId="1BC1E0FE">
      <w:pPr>
        <w:pStyle w:val="276"/>
        <w:widowControl w:val="0"/>
        <w:spacing w:line="440" w:lineRule="exact"/>
        <w:ind w:firstLine="480"/>
        <w:jc w:val="both"/>
        <w:rPr>
          <w:snapToGrid w:val="0"/>
          <w:color w:val="auto"/>
        </w:rPr>
      </w:pPr>
      <w:r>
        <w:rPr>
          <w:snapToGrid w:val="0"/>
          <w:color w:val="auto"/>
        </w:rPr>
        <w:t>（24）《黑龙江省黑土地保护利用条例》（2024年3月1日起施行）；</w:t>
      </w:r>
    </w:p>
    <w:p w14:paraId="77E13594">
      <w:pPr>
        <w:pStyle w:val="276"/>
        <w:widowControl w:val="0"/>
        <w:spacing w:line="440" w:lineRule="exact"/>
        <w:ind w:firstLine="480"/>
        <w:jc w:val="both"/>
        <w:rPr>
          <w:snapToGrid w:val="0"/>
          <w:color w:val="auto"/>
        </w:rPr>
      </w:pPr>
      <w:r>
        <w:rPr>
          <w:snapToGrid w:val="0"/>
          <w:color w:val="auto"/>
        </w:rPr>
        <w:t>（25）《黑龙江省耕地保护条例》（2021年10月29日修订，2022年1月1日起施行）；</w:t>
      </w:r>
    </w:p>
    <w:p w14:paraId="15D16FA5">
      <w:pPr>
        <w:pStyle w:val="276"/>
        <w:widowControl w:val="0"/>
        <w:spacing w:line="440" w:lineRule="exact"/>
        <w:ind w:firstLine="480"/>
        <w:jc w:val="both"/>
        <w:rPr>
          <w:snapToGrid w:val="0"/>
          <w:color w:val="auto"/>
        </w:rPr>
      </w:pPr>
      <w:r>
        <w:rPr>
          <w:snapToGrid w:val="0"/>
          <w:color w:val="auto"/>
        </w:rPr>
        <w:t>（26）《黑龙江省水污染防治条例》（2023年12月1日施行）；</w:t>
      </w:r>
    </w:p>
    <w:p w14:paraId="1EB4D09B">
      <w:pPr>
        <w:pStyle w:val="276"/>
        <w:ind w:firstLine="480"/>
        <w:rPr>
          <w:iCs/>
          <w:color w:val="auto"/>
          <w:kern w:val="2"/>
        </w:rPr>
      </w:pPr>
      <w:r>
        <w:rPr>
          <w:iCs/>
          <w:color w:val="auto"/>
          <w:kern w:val="2"/>
        </w:rPr>
        <w:t>（27）《黑龙江省防沙治沙条例》（2018年修正）；</w:t>
      </w:r>
    </w:p>
    <w:p w14:paraId="19B37E9C">
      <w:pPr>
        <w:pStyle w:val="276"/>
        <w:widowControl w:val="0"/>
        <w:spacing w:line="440" w:lineRule="exact"/>
        <w:ind w:firstLine="480"/>
        <w:jc w:val="both"/>
        <w:rPr>
          <w:iCs/>
          <w:color w:val="auto"/>
          <w:kern w:val="2"/>
        </w:rPr>
      </w:pPr>
      <w:r>
        <w:rPr>
          <w:iCs/>
          <w:color w:val="auto"/>
          <w:kern w:val="2"/>
        </w:rPr>
        <w:t>（28）《黑龙江省草原条例》（2018年6月28日修订施行）；</w:t>
      </w:r>
    </w:p>
    <w:p w14:paraId="160CF846">
      <w:pPr>
        <w:pStyle w:val="276"/>
        <w:widowControl w:val="0"/>
        <w:spacing w:line="440" w:lineRule="exact"/>
        <w:ind w:firstLine="480"/>
        <w:jc w:val="both"/>
        <w:rPr>
          <w:snapToGrid w:val="0"/>
          <w:color w:val="auto"/>
        </w:rPr>
      </w:pPr>
      <w:r>
        <w:rPr>
          <w:iCs/>
          <w:color w:val="auto"/>
          <w:kern w:val="2"/>
        </w:rPr>
        <w:t>（29）《黑龙江省湿地保护条例》（2018年6月28日修订施行）。</w:t>
      </w:r>
    </w:p>
    <w:p w14:paraId="0A9D417E">
      <w:pPr>
        <w:pStyle w:val="6"/>
        <w:rPr>
          <w:color w:val="auto"/>
        </w:rPr>
      </w:pPr>
      <w:bookmarkStart w:id="210" w:name="_Toc80971342"/>
      <w:bookmarkStart w:id="211" w:name="_Toc76976208"/>
      <w:bookmarkStart w:id="212" w:name="_Toc70050140"/>
      <w:bookmarkStart w:id="213" w:name="_Toc126863356"/>
      <w:bookmarkStart w:id="214" w:name="_Toc83209437"/>
      <w:bookmarkStart w:id="215" w:name="_Toc78816425"/>
      <w:bookmarkStart w:id="216" w:name="_Toc143099543"/>
      <w:bookmarkStart w:id="217" w:name="_Toc61597186"/>
      <w:bookmarkStart w:id="218" w:name="_Toc86141900"/>
      <w:bookmarkStart w:id="219" w:name="_Toc67860093"/>
      <w:bookmarkStart w:id="220" w:name="_Toc127192305"/>
      <w:bookmarkStart w:id="221" w:name="_Toc77067624"/>
      <w:bookmarkStart w:id="222" w:name="_Toc131167256"/>
      <w:bookmarkStart w:id="223" w:name="_Toc80588220"/>
      <w:bookmarkStart w:id="224" w:name="_Toc84929193"/>
      <w:bookmarkStart w:id="225" w:name="_Toc85640717"/>
      <w:r>
        <w:rPr>
          <w:color w:val="auto"/>
        </w:rPr>
        <w:t>环境保护相关部门规章及规范性文件</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4DE62AC1">
      <w:pPr>
        <w:pStyle w:val="276"/>
        <w:widowControl w:val="0"/>
        <w:spacing w:line="440" w:lineRule="exact"/>
        <w:ind w:firstLine="480"/>
        <w:jc w:val="both"/>
        <w:rPr>
          <w:snapToGrid w:val="0"/>
          <w:color w:val="auto"/>
        </w:rPr>
      </w:pPr>
      <w:r>
        <w:rPr>
          <w:snapToGrid w:val="0"/>
          <w:color w:val="auto"/>
        </w:rPr>
        <w:t>（1）《建设项目环境影响评价分类管理名录（2021年版）》（</w:t>
      </w:r>
      <w:r>
        <w:rPr>
          <w:rFonts w:hint="eastAsia"/>
          <w:snapToGrid w:val="0"/>
          <w:color w:val="auto"/>
        </w:rPr>
        <w:t>生态环境部</w:t>
      </w:r>
      <w:r>
        <w:rPr>
          <w:snapToGrid w:val="0"/>
          <w:color w:val="auto"/>
        </w:rPr>
        <w:t>令第16号），2021年1月1日起施行</w:t>
      </w:r>
      <w:r>
        <w:rPr>
          <w:iCs/>
          <w:color w:val="auto"/>
          <w:kern w:val="2"/>
        </w:rPr>
        <w:t>；</w:t>
      </w:r>
    </w:p>
    <w:p w14:paraId="12031FDC">
      <w:pPr>
        <w:pStyle w:val="276"/>
        <w:widowControl w:val="0"/>
        <w:spacing w:line="440" w:lineRule="exact"/>
        <w:ind w:firstLine="480"/>
        <w:jc w:val="both"/>
        <w:rPr>
          <w:snapToGrid w:val="0"/>
          <w:color w:val="auto"/>
        </w:rPr>
      </w:pPr>
      <w:r>
        <w:rPr>
          <w:snapToGrid w:val="0"/>
          <w:color w:val="auto"/>
        </w:rPr>
        <w:t>（2）《产业结构调整指导目录（2024 年本）》（中华人民共和国国家发展和改革委员会令第7号）；</w:t>
      </w:r>
    </w:p>
    <w:p w14:paraId="1CE9E40F">
      <w:pPr>
        <w:pStyle w:val="276"/>
        <w:widowControl w:val="0"/>
        <w:spacing w:line="440" w:lineRule="exact"/>
        <w:ind w:firstLine="480"/>
        <w:jc w:val="both"/>
        <w:rPr>
          <w:snapToGrid w:val="0"/>
          <w:color w:val="auto"/>
        </w:rPr>
      </w:pPr>
      <w:r>
        <w:rPr>
          <w:snapToGrid w:val="0"/>
          <w:color w:val="auto"/>
        </w:rPr>
        <w:t>（3）《国家危险废物名录（2025年版）》（部令第36号，2025年1月1日期施行）；</w:t>
      </w:r>
    </w:p>
    <w:p w14:paraId="53DEE293">
      <w:pPr>
        <w:pStyle w:val="276"/>
        <w:widowControl w:val="0"/>
        <w:spacing w:line="440" w:lineRule="exact"/>
        <w:ind w:firstLine="480"/>
        <w:jc w:val="both"/>
        <w:rPr>
          <w:snapToGrid w:val="0"/>
          <w:color w:val="auto"/>
        </w:rPr>
      </w:pPr>
      <w:r>
        <w:rPr>
          <w:snapToGrid w:val="0"/>
          <w:color w:val="auto"/>
        </w:rPr>
        <w:t>（4）《危险废物排除管理清单（2021年版）》（生态环境部公告2021年第66号）；</w:t>
      </w:r>
    </w:p>
    <w:p w14:paraId="28A6F40D">
      <w:pPr>
        <w:pStyle w:val="276"/>
        <w:widowControl w:val="0"/>
        <w:spacing w:line="440" w:lineRule="exact"/>
        <w:ind w:firstLine="480"/>
        <w:jc w:val="both"/>
        <w:rPr>
          <w:snapToGrid w:val="0"/>
          <w:color w:val="auto"/>
        </w:rPr>
      </w:pPr>
      <w:r>
        <w:rPr>
          <w:snapToGrid w:val="0"/>
          <w:color w:val="auto"/>
        </w:rPr>
        <w:t>（5）《危险废物转移管理办法》（2022年1月1日起施行）；</w:t>
      </w:r>
    </w:p>
    <w:p w14:paraId="27ED579D">
      <w:pPr>
        <w:pStyle w:val="276"/>
        <w:widowControl w:val="0"/>
        <w:spacing w:line="440" w:lineRule="exact"/>
        <w:ind w:firstLine="480"/>
        <w:jc w:val="both"/>
        <w:rPr>
          <w:snapToGrid w:val="0"/>
          <w:color w:val="auto"/>
        </w:rPr>
      </w:pPr>
      <w:r>
        <w:rPr>
          <w:snapToGrid w:val="0"/>
          <w:color w:val="auto"/>
        </w:rPr>
        <w:t>（6）《关于进一步加强环境影响评价管理防范环境风险的通知》（环发[2012]77 号，2012.07.03）；</w:t>
      </w:r>
    </w:p>
    <w:p w14:paraId="5746E10C">
      <w:pPr>
        <w:pStyle w:val="276"/>
        <w:widowControl w:val="0"/>
        <w:spacing w:line="440" w:lineRule="exact"/>
        <w:ind w:firstLine="480"/>
        <w:jc w:val="both"/>
        <w:rPr>
          <w:snapToGrid w:val="0"/>
          <w:color w:val="auto"/>
        </w:rPr>
      </w:pPr>
      <w:r>
        <w:rPr>
          <w:snapToGrid w:val="0"/>
          <w:color w:val="auto"/>
        </w:rPr>
        <w:t>（7）《关于切实加强风险防范严格环境影响评价管理的通知》（环发[2012]98 号，2012.08.07）；</w:t>
      </w:r>
    </w:p>
    <w:p w14:paraId="55348058">
      <w:pPr>
        <w:pStyle w:val="276"/>
        <w:widowControl w:val="0"/>
        <w:spacing w:line="440" w:lineRule="exact"/>
        <w:ind w:firstLine="480"/>
        <w:jc w:val="both"/>
        <w:rPr>
          <w:snapToGrid w:val="0"/>
          <w:color w:val="auto"/>
        </w:rPr>
      </w:pPr>
      <w:r>
        <w:rPr>
          <w:snapToGrid w:val="0"/>
          <w:color w:val="auto"/>
        </w:rPr>
        <w:t>（8） 《环境影响评价公众参与办法》 （生态环境部令第4号，2019.01.01）；</w:t>
      </w:r>
    </w:p>
    <w:p w14:paraId="5A2C9AE4">
      <w:pPr>
        <w:pStyle w:val="276"/>
        <w:spacing w:line="440" w:lineRule="exact"/>
        <w:ind w:firstLine="480"/>
        <w:jc w:val="both"/>
        <w:rPr>
          <w:snapToGrid w:val="0"/>
          <w:color w:val="auto"/>
        </w:rPr>
      </w:pPr>
      <w:r>
        <w:rPr>
          <w:snapToGrid w:val="0"/>
          <w:color w:val="auto"/>
        </w:rPr>
        <w:t>（9）《关于进一步加强石油天然气行业环境影响评价管理的通知》（环办环评函〔2019〕910号）；</w:t>
      </w:r>
    </w:p>
    <w:p w14:paraId="7C3EFE62">
      <w:pPr>
        <w:pStyle w:val="276"/>
        <w:widowControl w:val="0"/>
        <w:spacing w:line="440" w:lineRule="exact"/>
        <w:ind w:firstLine="480"/>
        <w:jc w:val="both"/>
        <w:rPr>
          <w:snapToGrid w:val="0"/>
          <w:color w:val="auto"/>
        </w:rPr>
      </w:pPr>
      <w:r>
        <w:rPr>
          <w:snapToGrid w:val="0"/>
          <w:color w:val="auto"/>
        </w:rPr>
        <w:t>（10） 《石油天然气开采业污染防治技术政策》（环保部公告2012年第18号）；</w:t>
      </w:r>
    </w:p>
    <w:p w14:paraId="17B1E27A">
      <w:pPr>
        <w:pStyle w:val="276"/>
        <w:widowControl w:val="0"/>
        <w:spacing w:line="440" w:lineRule="exact"/>
        <w:ind w:firstLine="480"/>
        <w:jc w:val="both"/>
        <w:rPr>
          <w:snapToGrid w:val="0"/>
          <w:color w:val="auto"/>
        </w:rPr>
      </w:pPr>
      <w:r>
        <w:rPr>
          <w:snapToGrid w:val="0"/>
          <w:color w:val="auto"/>
        </w:rPr>
        <w:t>（11）</w:t>
      </w:r>
      <w:r>
        <w:rPr>
          <w:color w:val="auto"/>
          <w:szCs w:val="21"/>
        </w:rPr>
        <w:t>《2020年挥发性有机物治理攻坚方案》（环大气〔2020〕33号，2020.06.24）</w:t>
      </w:r>
      <w:r>
        <w:rPr>
          <w:snapToGrid w:val="0"/>
          <w:color w:val="auto"/>
        </w:rPr>
        <w:t>；</w:t>
      </w:r>
    </w:p>
    <w:p w14:paraId="1E4A12F3">
      <w:pPr>
        <w:pStyle w:val="276"/>
        <w:widowControl w:val="0"/>
        <w:spacing w:line="440" w:lineRule="exact"/>
        <w:ind w:firstLine="480"/>
        <w:jc w:val="both"/>
        <w:rPr>
          <w:snapToGrid w:val="0"/>
          <w:color w:val="auto"/>
        </w:rPr>
      </w:pPr>
      <w:r>
        <w:rPr>
          <w:snapToGrid w:val="0"/>
          <w:color w:val="auto"/>
        </w:rPr>
        <w:t>（12）《自然资源部关于规范临时用地管理的通知》（自然资规〔2021〕2号）；</w:t>
      </w:r>
    </w:p>
    <w:p w14:paraId="1AC5C9B3">
      <w:pPr>
        <w:pStyle w:val="276"/>
        <w:widowControl w:val="0"/>
        <w:spacing w:line="440" w:lineRule="exact"/>
        <w:ind w:left="420" w:leftChars="200" w:firstLine="0" w:firstLineChars="0"/>
        <w:jc w:val="both"/>
        <w:rPr>
          <w:snapToGrid w:val="0"/>
          <w:color w:val="auto"/>
        </w:rPr>
      </w:pPr>
      <w:r>
        <w:rPr>
          <w:snapToGrid w:val="0"/>
          <w:color w:val="auto"/>
        </w:rPr>
        <w:t>（13）《排污许可管理办法》（生态环境部令第32号，2024年7月1日起施行）；（14）《沙化土地封禁保护修复制度方案》（林涵沙字〔2016〕167号）；</w:t>
      </w:r>
    </w:p>
    <w:p w14:paraId="30D78E34">
      <w:pPr>
        <w:pStyle w:val="276"/>
        <w:ind w:left="420" w:leftChars="200" w:firstLine="0" w:firstLineChars="0"/>
        <w:rPr>
          <w:snapToGrid w:val="0"/>
          <w:color w:val="auto"/>
        </w:rPr>
      </w:pPr>
      <w:r>
        <w:rPr>
          <w:snapToGrid w:val="0"/>
          <w:color w:val="auto"/>
        </w:rPr>
        <w:t>（15）《关于印发&lt;关于贯彻落实《沙化土地封禁保护修复制度方案》的实施意见&gt;的通知》（2020.05.21）；</w:t>
      </w:r>
    </w:p>
    <w:p w14:paraId="587720E1">
      <w:pPr>
        <w:pStyle w:val="276"/>
        <w:widowControl w:val="0"/>
        <w:spacing w:line="440" w:lineRule="exact"/>
        <w:ind w:left="420" w:leftChars="200" w:firstLine="0" w:firstLineChars="0"/>
        <w:jc w:val="both"/>
        <w:rPr>
          <w:snapToGrid w:val="0"/>
          <w:color w:val="auto"/>
        </w:rPr>
      </w:pPr>
      <w:r>
        <w:rPr>
          <w:snapToGrid w:val="0"/>
          <w:color w:val="auto"/>
        </w:rPr>
        <w:t>（16）关于印发《生态环境分区管控管理暂行规定》的通知（环环评〔2024〕41号）；</w:t>
      </w:r>
    </w:p>
    <w:p w14:paraId="6D353638">
      <w:pPr>
        <w:pStyle w:val="276"/>
        <w:widowControl w:val="0"/>
        <w:spacing w:line="440" w:lineRule="exact"/>
        <w:ind w:left="420" w:leftChars="200" w:firstLine="0" w:firstLineChars="0"/>
        <w:jc w:val="both"/>
        <w:rPr>
          <w:snapToGrid w:val="0"/>
          <w:color w:val="auto"/>
        </w:rPr>
      </w:pPr>
      <w:r>
        <w:rPr>
          <w:snapToGrid w:val="0"/>
          <w:color w:val="auto"/>
        </w:rPr>
        <w:t>（17）《黑龙江省重点行业挥发性有机物综合治理行动方案》（黑环发〔2019〕153</w:t>
      </w:r>
      <w:r>
        <w:rPr>
          <w:rFonts w:hint="eastAsia"/>
          <w:snapToGrid w:val="0"/>
          <w:color w:val="auto"/>
        </w:rPr>
        <w:t>号）；</w:t>
      </w:r>
    </w:p>
    <w:p w14:paraId="2D6E046C">
      <w:pPr>
        <w:pStyle w:val="276"/>
        <w:spacing w:line="440" w:lineRule="exact"/>
        <w:ind w:firstLine="480"/>
        <w:jc w:val="both"/>
        <w:rPr>
          <w:snapToGrid w:val="0"/>
          <w:color w:val="auto"/>
        </w:rPr>
      </w:pPr>
      <w:r>
        <w:rPr>
          <w:rFonts w:hint="eastAsia"/>
          <w:snapToGrid w:val="0"/>
          <w:color w:val="auto"/>
        </w:rPr>
        <w:t>（18）《黑龙江省主体功能区规划》</w:t>
      </w:r>
      <w:r>
        <w:rPr>
          <w:color w:val="auto"/>
        </w:rPr>
        <w:t>（黑政发〔2012〕29 号）</w:t>
      </w:r>
      <w:r>
        <w:rPr>
          <w:rFonts w:hint="eastAsia"/>
          <w:snapToGrid w:val="0"/>
          <w:color w:val="auto"/>
        </w:rPr>
        <w:t>；</w:t>
      </w:r>
    </w:p>
    <w:p w14:paraId="70AC634C">
      <w:pPr>
        <w:pStyle w:val="276"/>
        <w:spacing w:line="440" w:lineRule="exact"/>
        <w:ind w:firstLine="480"/>
        <w:jc w:val="both"/>
        <w:rPr>
          <w:snapToGrid w:val="0"/>
          <w:color w:val="auto"/>
        </w:rPr>
      </w:pPr>
      <w:r>
        <w:rPr>
          <w:rFonts w:hint="eastAsia"/>
          <w:snapToGrid w:val="0"/>
          <w:color w:val="auto"/>
        </w:rPr>
        <w:t>（19）《黑龙江省生态功能区规划》（黑政函〔20</w:t>
      </w:r>
      <w:r>
        <w:rPr>
          <w:snapToGrid w:val="0"/>
          <w:color w:val="auto"/>
        </w:rPr>
        <w:t>06</w:t>
      </w:r>
      <w:r>
        <w:rPr>
          <w:rFonts w:hint="eastAsia"/>
          <w:snapToGrid w:val="0"/>
          <w:color w:val="auto"/>
        </w:rPr>
        <w:t>〕75号）；</w:t>
      </w:r>
    </w:p>
    <w:p w14:paraId="206A4011">
      <w:pPr>
        <w:pStyle w:val="276"/>
        <w:widowControl w:val="0"/>
        <w:spacing w:line="440" w:lineRule="exact"/>
        <w:ind w:firstLine="480"/>
        <w:jc w:val="both"/>
        <w:rPr>
          <w:snapToGrid w:val="0"/>
          <w:color w:val="auto"/>
        </w:rPr>
      </w:pPr>
      <w:r>
        <w:rPr>
          <w:rFonts w:hint="eastAsia"/>
          <w:snapToGrid w:val="0"/>
          <w:color w:val="auto"/>
        </w:rPr>
        <w:t>（20）《黑龙江省“十四五”黑土地保护规划》</w:t>
      </w:r>
      <w:r>
        <w:rPr>
          <w:rFonts w:hint="eastAsia"/>
          <w:color w:val="auto"/>
          <w:lang w:bidi="zh-CN"/>
        </w:rPr>
        <w:t>（2021～2025年）</w:t>
      </w:r>
      <w:r>
        <w:rPr>
          <w:rFonts w:hint="eastAsia"/>
          <w:snapToGrid w:val="0"/>
          <w:color w:val="auto"/>
        </w:rPr>
        <w:t>；</w:t>
      </w:r>
    </w:p>
    <w:p w14:paraId="27287D8E">
      <w:pPr>
        <w:pStyle w:val="276"/>
        <w:widowControl w:val="0"/>
        <w:spacing w:line="440" w:lineRule="exact"/>
        <w:ind w:firstLine="480"/>
        <w:jc w:val="both"/>
        <w:rPr>
          <w:snapToGrid w:val="0"/>
          <w:color w:val="auto"/>
        </w:rPr>
      </w:pPr>
      <w:r>
        <w:rPr>
          <w:rFonts w:hint="eastAsia"/>
          <w:snapToGrid w:val="0"/>
          <w:color w:val="auto"/>
        </w:rPr>
        <w:t>（21）《黑龙江省黑土地保护工程实施方案（2021-2025</w:t>
      </w:r>
      <w:r>
        <w:rPr>
          <w:snapToGrid w:val="0"/>
          <w:color w:val="auto"/>
        </w:rPr>
        <w:t xml:space="preserve"> </w:t>
      </w:r>
      <w:r>
        <w:rPr>
          <w:rFonts w:hint="eastAsia"/>
          <w:snapToGrid w:val="0"/>
          <w:color w:val="auto"/>
        </w:rPr>
        <w:t>年）》；</w:t>
      </w:r>
    </w:p>
    <w:p w14:paraId="57657EF6">
      <w:pPr>
        <w:pStyle w:val="276"/>
        <w:widowControl w:val="0"/>
        <w:spacing w:line="440" w:lineRule="exact"/>
        <w:ind w:firstLine="480"/>
        <w:jc w:val="both"/>
        <w:rPr>
          <w:snapToGrid w:val="0"/>
          <w:color w:val="auto"/>
        </w:rPr>
      </w:pPr>
      <w:r>
        <w:rPr>
          <w:rFonts w:hint="eastAsia"/>
          <w:snapToGrid w:val="0"/>
          <w:color w:val="auto"/>
        </w:rPr>
        <w:t>（22）《黑龙江省人民政府办公厅关于建设占用耕地耕作层土壤剥离利用工作的指导意见（试行）》（黑政办规〔2021〕18号）；</w:t>
      </w:r>
    </w:p>
    <w:p w14:paraId="6BC47D0E">
      <w:pPr>
        <w:pStyle w:val="276"/>
        <w:widowControl w:val="0"/>
        <w:spacing w:line="440" w:lineRule="exact"/>
        <w:ind w:firstLine="480"/>
        <w:jc w:val="both"/>
        <w:rPr>
          <w:snapToGrid w:val="0"/>
          <w:color w:val="auto"/>
        </w:rPr>
      </w:pPr>
      <w:r>
        <w:rPr>
          <w:rFonts w:hint="eastAsia"/>
          <w:snapToGrid w:val="0"/>
          <w:color w:val="auto"/>
        </w:rPr>
        <w:t>（23）《黑龙江省生态环境分区管控动态更新成果（2023年版）》；</w:t>
      </w:r>
    </w:p>
    <w:p w14:paraId="6BFE6C2F">
      <w:pPr>
        <w:pStyle w:val="276"/>
        <w:widowControl w:val="0"/>
        <w:spacing w:line="440" w:lineRule="exact"/>
        <w:ind w:firstLine="480"/>
        <w:jc w:val="both"/>
        <w:rPr>
          <w:snapToGrid w:val="0"/>
          <w:color w:val="auto"/>
        </w:rPr>
      </w:pPr>
      <w:r>
        <w:rPr>
          <w:rFonts w:hint="eastAsia"/>
          <w:snapToGrid w:val="0"/>
          <w:color w:val="auto"/>
        </w:rPr>
        <w:t>（24）《大庆市人民政府关于印发大庆市声环境功能区划分、大庆市环境空气质量功能区划分、大庆市地表水环境功能区划分的通知》（庆政发〔2019〕11号）；</w:t>
      </w:r>
    </w:p>
    <w:p w14:paraId="1A8928B5">
      <w:pPr>
        <w:pStyle w:val="276"/>
        <w:widowControl w:val="0"/>
        <w:spacing w:line="440" w:lineRule="exact"/>
        <w:ind w:firstLine="480"/>
        <w:jc w:val="both"/>
        <w:rPr>
          <w:snapToGrid w:val="0"/>
          <w:color w:val="auto"/>
        </w:rPr>
      </w:pPr>
      <w:r>
        <w:rPr>
          <w:rFonts w:hint="eastAsia"/>
          <w:snapToGrid w:val="0"/>
          <w:color w:val="auto"/>
        </w:rPr>
        <w:t>（25）《大庆市生态环境准入清单（2023年版）》；</w:t>
      </w:r>
    </w:p>
    <w:p w14:paraId="1AEB754F">
      <w:pPr>
        <w:pStyle w:val="276"/>
        <w:widowControl w:val="0"/>
        <w:spacing w:line="440" w:lineRule="exact"/>
        <w:ind w:firstLine="480"/>
        <w:jc w:val="both"/>
        <w:rPr>
          <w:snapToGrid w:val="0"/>
          <w:color w:val="auto"/>
        </w:rPr>
      </w:pPr>
      <w:r>
        <w:rPr>
          <w:rFonts w:hint="eastAsia"/>
          <w:snapToGrid w:val="0"/>
          <w:color w:val="auto"/>
        </w:rPr>
        <w:t>（26）《大庆市水土保持规划》（2015～2030年）；</w:t>
      </w:r>
    </w:p>
    <w:p w14:paraId="56000B19">
      <w:pPr>
        <w:pStyle w:val="276"/>
        <w:spacing w:line="440" w:lineRule="exact"/>
        <w:ind w:firstLine="480"/>
        <w:jc w:val="both"/>
        <w:rPr>
          <w:snapToGrid w:val="0"/>
          <w:color w:val="auto"/>
        </w:rPr>
      </w:pPr>
      <w:r>
        <w:rPr>
          <w:rFonts w:hint="eastAsia"/>
          <w:snapToGrid w:val="0"/>
          <w:color w:val="auto"/>
        </w:rPr>
        <w:t>（27）《大庆油气田地面工程“十四五”规划》</w:t>
      </w:r>
      <w:r>
        <w:rPr>
          <w:rFonts w:hint="eastAsia"/>
          <w:color w:val="auto"/>
          <w:lang w:bidi="zh-CN"/>
        </w:rPr>
        <w:t>（2021～2025年）</w:t>
      </w:r>
      <w:r>
        <w:rPr>
          <w:rFonts w:hint="eastAsia"/>
          <w:snapToGrid w:val="0"/>
          <w:color w:val="auto"/>
        </w:rPr>
        <w:t>；</w:t>
      </w:r>
    </w:p>
    <w:p w14:paraId="5AB6AF26">
      <w:pPr>
        <w:pStyle w:val="276"/>
        <w:spacing w:line="440" w:lineRule="exact"/>
        <w:ind w:firstLine="480"/>
        <w:jc w:val="both"/>
        <w:rPr>
          <w:snapToGrid w:val="0"/>
          <w:color w:val="auto"/>
        </w:rPr>
      </w:pPr>
      <w:r>
        <w:rPr>
          <w:snapToGrid w:val="0"/>
          <w:color w:val="auto"/>
        </w:rPr>
        <w:t>（28）《陆上石油天然气开采业绿色矿山建设规范》（DZ∕T 0317-2018）。</w:t>
      </w:r>
    </w:p>
    <w:p w14:paraId="2D6A2251">
      <w:pPr>
        <w:pStyle w:val="6"/>
        <w:rPr>
          <w:color w:val="auto"/>
        </w:rPr>
      </w:pPr>
      <w:bookmarkStart w:id="226" w:name="_Toc67860094"/>
      <w:bookmarkStart w:id="227" w:name="_Toc80971343"/>
      <w:bookmarkStart w:id="228" w:name="_Toc77067625"/>
      <w:bookmarkStart w:id="229" w:name="_Toc86141901"/>
      <w:bookmarkStart w:id="230" w:name="_Toc70050141"/>
      <w:bookmarkStart w:id="231" w:name="_Toc76976209"/>
      <w:bookmarkStart w:id="232" w:name="_Toc85640718"/>
      <w:bookmarkStart w:id="233" w:name="_Toc78816426"/>
      <w:bookmarkStart w:id="234" w:name="_Toc127192306"/>
      <w:bookmarkStart w:id="235" w:name="_Toc83209438"/>
      <w:bookmarkStart w:id="236" w:name="_Toc126863357"/>
      <w:bookmarkStart w:id="237" w:name="_Toc80588221"/>
      <w:bookmarkStart w:id="238" w:name="_Toc143099544"/>
      <w:bookmarkStart w:id="239" w:name="_Toc131167257"/>
      <w:bookmarkStart w:id="240" w:name="_Toc61597187"/>
      <w:bookmarkStart w:id="241" w:name="_Toc84929194"/>
      <w:r>
        <w:rPr>
          <w:color w:val="auto"/>
        </w:rPr>
        <w:t>技术依据</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5BB34B46">
      <w:pPr>
        <w:pStyle w:val="276"/>
        <w:widowControl w:val="0"/>
        <w:spacing w:line="440" w:lineRule="exact"/>
        <w:ind w:firstLine="480"/>
        <w:jc w:val="both"/>
        <w:rPr>
          <w:snapToGrid w:val="0"/>
          <w:color w:val="auto"/>
        </w:rPr>
      </w:pPr>
      <w:r>
        <w:rPr>
          <w:snapToGrid w:val="0"/>
          <w:color w:val="auto"/>
        </w:rPr>
        <w:t>（1）《建设项目环境影响评价技术导则 总纲》（HJ2.1-2016）；</w:t>
      </w:r>
    </w:p>
    <w:p w14:paraId="085BB212">
      <w:pPr>
        <w:pStyle w:val="276"/>
        <w:widowControl w:val="0"/>
        <w:spacing w:line="440" w:lineRule="exact"/>
        <w:ind w:firstLine="480"/>
        <w:jc w:val="both"/>
        <w:rPr>
          <w:snapToGrid w:val="0"/>
          <w:color w:val="auto"/>
        </w:rPr>
      </w:pPr>
      <w:r>
        <w:rPr>
          <w:snapToGrid w:val="0"/>
          <w:color w:val="auto"/>
        </w:rPr>
        <w:t>（2）《环境影响评价技术导则 大气环境》（HJ2.2-2018）；</w:t>
      </w:r>
    </w:p>
    <w:p w14:paraId="40CB16C2">
      <w:pPr>
        <w:pStyle w:val="276"/>
        <w:widowControl w:val="0"/>
        <w:spacing w:line="440" w:lineRule="exact"/>
        <w:ind w:firstLine="480"/>
        <w:jc w:val="both"/>
        <w:rPr>
          <w:snapToGrid w:val="0"/>
          <w:color w:val="auto"/>
        </w:rPr>
      </w:pPr>
      <w:r>
        <w:rPr>
          <w:snapToGrid w:val="0"/>
          <w:color w:val="auto"/>
        </w:rPr>
        <w:t>（3）《环境影响评价技术导则 地表水环境》（HJ2.3-2018）；</w:t>
      </w:r>
    </w:p>
    <w:p w14:paraId="4A34EF7C">
      <w:pPr>
        <w:pStyle w:val="276"/>
        <w:widowControl w:val="0"/>
        <w:spacing w:line="440" w:lineRule="exact"/>
        <w:ind w:firstLine="480"/>
        <w:jc w:val="both"/>
        <w:rPr>
          <w:snapToGrid w:val="0"/>
          <w:color w:val="auto"/>
        </w:rPr>
      </w:pPr>
      <w:r>
        <w:rPr>
          <w:snapToGrid w:val="0"/>
          <w:color w:val="auto"/>
        </w:rPr>
        <w:t>（4）《环境影响评价技术导则 声环境》（HJ2.4-2021）；</w:t>
      </w:r>
    </w:p>
    <w:p w14:paraId="6BD44E2C">
      <w:pPr>
        <w:pStyle w:val="276"/>
        <w:widowControl w:val="0"/>
        <w:spacing w:line="440" w:lineRule="exact"/>
        <w:ind w:firstLine="480"/>
        <w:jc w:val="both"/>
        <w:rPr>
          <w:snapToGrid w:val="0"/>
          <w:color w:val="auto"/>
        </w:rPr>
      </w:pPr>
      <w:r>
        <w:rPr>
          <w:snapToGrid w:val="0"/>
          <w:color w:val="auto"/>
        </w:rPr>
        <w:t>（5）《环境影响评价技术导则 地下水环境》（HJ610-2016）；</w:t>
      </w:r>
    </w:p>
    <w:p w14:paraId="4AC7DDED">
      <w:pPr>
        <w:pStyle w:val="276"/>
        <w:widowControl w:val="0"/>
        <w:spacing w:line="440" w:lineRule="exact"/>
        <w:ind w:firstLine="480"/>
        <w:jc w:val="both"/>
        <w:rPr>
          <w:snapToGrid w:val="0"/>
          <w:color w:val="auto"/>
        </w:rPr>
      </w:pPr>
      <w:r>
        <w:rPr>
          <w:snapToGrid w:val="0"/>
          <w:color w:val="auto"/>
        </w:rPr>
        <w:t>（6）《环境影响评价技术导则 生态影响》（HJ19-2022）；</w:t>
      </w:r>
    </w:p>
    <w:p w14:paraId="7099B552">
      <w:pPr>
        <w:pStyle w:val="276"/>
        <w:widowControl w:val="0"/>
        <w:spacing w:line="440" w:lineRule="exact"/>
        <w:ind w:firstLine="480"/>
        <w:jc w:val="both"/>
        <w:rPr>
          <w:snapToGrid w:val="0"/>
          <w:color w:val="auto"/>
        </w:rPr>
      </w:pPr>
      <w:r>
        <w:rPr>
          <w:snapToGrid w:val="0"/>
          <w:color w:val="auto"/>
        </w:rPr>
        <w:t>（7）《环境影响评价技术导则 土壤环境（试行）》（HJ964-2018）；</w:t>
      </w:r>
    </w:p>
    <w:p w14:paraId="53CDFE07">
      <w:pPr>
        <w:pStyle w:val="276"/>
        <w:widowControl w:val="0"/>
        <w:spacing w:line="440" w:lineRule="exact"/>
        <w:ind w:firstLine="480"/>
        <w:jc w:val="both"/>
        <w:rPr>
          <w:snapToGrid w:val="0"/>
          <w:color w:val="auto"/>
        </w:rPr>
      </w:pPr>
      <w:r>
        <w:rPr>
          <w:snapToGrid w:val="0"/>
          <w:color w:val="auto"/>
        </w:rPr>
        <w:t>（8）《建设项目环境风险评价技术导则》（HJ169-2018）；</w:t>
      </w:r>
    </w:p>
    <w:p w14:paraId="20973A79">
      <w:pPr>
        <w:pStyle w:val="276"/>
        <w:widowControl w:val="0"/>
        <w:spacing w:line="440" w:lineRule="exact"/>
        <w:ind w:firstLine="480"/>
        <w:jc w:val="both"/>
        <w:rPr>
          <w:snapToGrid w:val="0"/>
          <w:color w:val="auto"/>
        </w:rPr>
      </w:pPr>
      <w:r>
        <w:rPr>
          <w:snapToGrid w:val="0"/>
          <w:color w:val="auto"/>
        </w:rPr>
        <w:t>（9）《环境影响评价技术导则 陆地石油天然气开发建设项目》（HJ349-2023）；</w:t>
      </w:r>
    </w:p>
    <w:p w14:paraId="64AAE4F5">
      <w:pPr>
        <w:pStyle w:val="276"/>
        <w:widowControl w:val="0"/>
        <w:spacing w:line="440" w:lineRule="exact"/>
        <w:ind w:firstLine="480"/>
        <w:jc w:val="both"/>
        <w:rPr>
          <w:snapToGrid w:val="0"/>
          <w:color w:val="auto"/>
        </w:rPr>
      </w:pPr>
      <w:r>
        <w:rPr>
          <w:snapToGrid w:val="0"/>
          <w:color w:val="auto"/>
        </w:rPr>
        <w:t>（10）《排污许可证申请与核发技术规范 总则》（HJ942-2018）；</w:t>
      </w:r>
    </w:p>
    <w:p w14:paraId="0B1E8344">
      <w:pPr>
        <w:pStyle w:val="276"/>
        <w:widowControl w:val="0"/>
        <w:spacing w:line="440" w:lineRule="exact"/>
        <w:ind w:firstLine="480"/>
        <w:jc w:val="both"/>
        <w:rPr>
          <w:snapToGrid w:val="0"/>
          <w:color w:val="auto"/>
        </w:rPr>
      </w:pPr>
      <w:r>
        <w:rPr>
          <w:snapToGrid w:val="0"/>
          <w:color w:val="auto"/>
        </w:rPr>
        <w:t>（11）《排污单位自行监测技术指南 总则》（HJ819-2017）；</w:t>
      </w:r>
    </w:p>
    <w:p w14:paraId="2C9E8FA3">
      <w:pPr>
        <w:pStyle w:val="276"/>
        <w:widowControl w:val="0"/>
        <w:spacing w:line="440" w:lineRule="exact"/>
        <w:ind w:firstLine="480"/>
        <w:jc w:val="both"/>
        <w:rPr>
          <w:snapToGrid w:val="0"/>
          <w:color w:val="auto"/>
        </w:rPr>
      </w:pPr>
      <w:r>
        <w:rPr>
          <w:snapToGrid w:val="0"/>
          <w:color w:val="auto"/>
        </w:rPr>
        <w:t>（12）《排污单位自行监测技术指南 陆上石油天然气开采工业》（HJ1248-2022）；</w:t>
      </w:r>
    </w:p>
    <w:p w14:paraId="59F92213">
      <w:pPr>
        <w:pStyle w:val="276"/>
        <w:widowControl w:val="0"/>
        <w:spacing w:line="440" w:lineRule="exact"/>
        <w:ind w:firstLine="480"/>
        <w:jc w:val="both"/>
        <w:rPr>
          <w:snapToGrid w:val="0"/>
          <w:color w:val="auto"/>
        </w:rPr>
      </w:pPr>
      <w:r>
        <w:rPr>
          <w:snapToGrid w:val="0"/>
          <w:color w:val="auto"/>
        </w:rPr>
        <w:t>（13）《工业企业土壤和地下水自行监测技术指南（试行）》（HJ1209-2021）；</w:t>
      </w:r>
    </w:p>
    <w:p w14:paraId="459D2624">
      <w:pPr>
        <w:pStyle w:val="276"/>
        <w:widowControl w:val="0"/>
        <w:spacing w:line="440" w:lineRule="exact"/>
        <w:ind w:firstLine="480"/>
        <w:jc w:val="both"/>
        <w:rPr>
          <w:snapToGrid w:val="0"/>
          <w:color w:val="auto"/>
        </w:rPr>
      </w:pPr>
      <w:r>
        <w:rPr>
          <w:snapToGrid w:val="0"/>
          <w:color w:val="auto"/>
        </w:rPr>
        <w:t>（14）《建设项目危险废物环境影响评价指南》（环境保护部公告2017年第43号，2017.10.1）；</w:t>
      </w:r>
    </w:p>
    <w:p w14:paraId="38CD1ADB">
      <w:pPr>
        <w:pStyle w:val="276"/>
        <w:widowControl w:val="0"/>
        <w:spacing w:line="440" w:lineRule="exact"/>
        <w:ind w:firstLine="480"/>
        <w:jc w:val="both"/>
        <w:rPr>
          <w:snapToGrid w:val="0"/>
          <w:color w:val="auto"/>
        </w:rPr>
      </w:pPr>
      <w:r>
        <w:rPr>
          <w:snapToGrid w:val="0"/>
          <w:color w:val="auto"/>
        </w:rPr>
        <w:t>（15）《危险废物环境管理指南 陆上石油天然气开采》（生态环境部公告2021年第74号，2021.12.21）；</w:t>
      </w:r>
    </w:p>
    <w:p w14:paraId="2F8C0CFD">
      <w:pPr>
        <w:pStyle w:val="276"/>
        <w:widowControl w:val="0"/>
        <w:spacing w:line="440" w:lineRule="exact"/>
        <w:ind w:firstLine="480"/>
        <w:jc w:val="both"/>
        <w:rPr>
          <w:snapToGrid w:val="0"/>
          <w:color w:val="auto"/>
        </w:rPr>
      </w:pPr>
      <w:r>
        <w:rPr>
          <w:snapToGrid w:val="0"/>
          <w:color w:val="auto"/>
        </w:rPr>
        <w:t>（16）《污染源源强核算技术指南 准则》（HJ884-2018）。</w:t>
      </w:r>
    </w:p>
    <w:p w14:paraId="2ADB200D">
      <w:pPr>
        <w:pStyle w:val="276"/>
        <w:widowControl w:val="0"/>
        <w:spacing w:line="440" w:lineRule="exact"/>
        <w:ind w:firstLine="480"/>
        <w:jc w:val="both"/>
        <w:rPr>
          <w:snapToGrid w:val="0"/>
          <w:color w:val="auto"/>
        </w:rPr>
      </w:pPr>
      <w:r>
        <w:rPr>
          <w:snapToGrid w:val="0"/>
          <w:color w:val="auto"/>
        </w:rPr>
        <w:t>（17）《危险废物收集 贮存 运输技术规范》（HJ2025-2012）；</w:t>
      </w:r>
    </w:p>
    <w:p w14:paraId="336959E8">
      <w:pPr>
        <w:pStyle w:val="276"/>
        <w:widowControl w:val="0"/>
        <w:spacing w:line="440" w:lineRule="exact"/>
        <w:ind w:firstLine="480"/>
        <w:jc w:val="both"/>
        <w:rPr>
          <w:snapToGrid w:val="0"/>
          <w:color w:val="auto"/>
        </w:rPr>
      </w:pPr>
      <w:r>
        <w:rPr>
          <w:snapToGrid w:val="0"/>
          <w:color w:val="auto"/>
        </w:rPr>
        <w:t>（18）《油田注水工程施工技术规范》（SY/T4122-2020）；</w:t>
      </w:r>
    </w:p>
    <w:p w14:paraId="6BAAE22F">
      <w:pPr>
        <w:pStyle w:val="276"/>
        <w:widowControl w:val="0"/>
        <w:spacing w:line="440" w:lineRule="exact"/>
        <w:ind w:firstLine="480"/>
        <w:jc w:val="both"/>
        <w:rPr>
          <w:snapToGrid w:val="0"/>
          <w:color w:val="auto"/>
        </w:rPr>
      </w:pPr>
      <w:r>
        <w:rPr>
          <w:snapToGrid w:val="0"/>
          <w:color w:val="auto"/>
        </w:rPr>
        <w:t>（19）《碎屑岩油藏注水水质指标技术要求及分析方法》（SY/T5329-2022）；</w:t>
      </w:r>
    </w:p>
    <w:p w14:paraId="15B41B2A">
      <w:pPr>
        <w:pStyle w:val="276"/>
        <w:widowControl w:val="0"/>
        <w:spacing w:line="440" w:lineRule="exact"/>
        <w:ind w:firstLine="480"/>
        <w:jc w:val="both"/>
        <w:rPr>
          <w:snapToGrid w:val="0"/>
          <w:color w:val="auto"/>
        </w:rPr>
      </w:pPr>
      <w:r>
        <w:rPr>
          <w:snapToGrid w:val="0"/>
          <w:color w:val="auto"/>
        </w:rPr>
        <w:t>（20）《陆上石油天然气生产环境保护推荐</w:t>
      </w:r>
      <w:r>
        <w:rPr>
          <w:rFonts w:hint="eastAsia"/>
          <w:snapToGrid w:val="0"/>
          <w:color w:val="auto"/>
        </w:rPr>
        <w:t>作</w:t>
      </w:r>
      <w:r>
        <w:rPr>
          <w:snapToGrid w:val="0"/>
          <w:color w:val="auto"/>
        </w:rPr>
        <w:t>法》（SY/T6628-2016）；</w:t>
      </w:r>
    </w:p>
    <w:p w14:paraId="3982D7ED">
      <w:pPr>
        <w:pStyle w:val="276"/>
        <w:widowControl w:val="0"/>
        <w:spacing w:line="440" w:lineRule="exact"/>
        <w:ind w:firstLine="480"/>
        <w:jc w:val="both"/>
        <w:rPr>
          <w:snapToGrid w:val="0"/>
          <w:color w:val="auto"/>
        </w:rPr>
      </w:pPr>
      <w:r>
        <w:rPr>
          <w:snapToGrid w:val="0"/>
          <w:color w:val="auto"/>
        </w:rPr>
        <w:t>（21）《石油天然气项目土地复垦与生态修复技术规范》（GB/T43936-2024）；</w:t>
      </w:r>
    </w:p>
    <w:p w14:paraId="6BA26561">
      <w:pPr>
        <w:pStyle w:val="276"/>
        <w:widowControl w:val="0"/>
        <w:spacing w:line="440" w:lineRule="exact"/>
        <w:ind w:firstLine="480"/>
        <w:jc w:val="both"/>
        <w:rPr>
          <w:snapToGrid w:val="0"/>
          <w:color w:val="auto"/>
        </w:rPr>
      </w:pPr>
      <w:r>
        <w:rPr>
          <w:snapToGrid w:val="0"/>
          <w:color w:val="auto"/>
        </w:rPr>
        <w:t>（22）《固体废物分类与代码目录》（生态环境部公告2024年第4号）；</w:t>
      </w:r>
    </w:p>
    <w:p w14:paraId="5018229D">
      <w:pPr>
        <w:pStyle w:val="276"/>
        <w:widowControl w:val="0"/>
        <w:spacing w:line="440" w:lineRule="exact"/>
        <w:ind w:firstLine="480"/>
        <w:jc w:val="both"/>
        <w:rPr>
          <w:snapToGrid w:val="0"/>
          <w:color w:val="auto"/>
        </w:rPr>
      </w:pPr>
      <w:r>
        <w:rPr>
          <w:snapToGrid w:val="0"/>
          <w:color w:val="auto"/>
        </w:rPr>
        <w:t>（23）《建设项目竣工环境保护验收技术规范 石油天然气开采》（HJ 612-2011）；</w:t>
      </w:r>
    </w:p>
    <w:p w14:paraId="48F4BBEC">
      <w:pPr>
        <w:pStyle w:val="276"/>
        <w:widowControl w:val="0"/>
        <w:spacing w:line="440" w:lineRule="exact"/>
        <w:ind w:firstLine="480"/>
        <w:jc w:val="both"/>
        <w:rPr>
          <w:snapToGrid w:val="0"/>
          <w:color w:val="auto"/>
        </w:rPr>
      </w:pPr>
      <w:r>
        <w:rPr>
          <w:snapToGrid w:val="0"/>
          <w:color w:val="auto"/>
        </w:rPr>
        <w:t>（24）《石油和天然气开采行业清洁生产评价指标体系（试行）》（国家发展改革委、工业和信息化部公告2009年第3号）。</w:t>
      </w:r>
    </w:p>
    <w:p w14:paraId="6FDA333C">
      <w:pPr>
        <w:pStyle w:val="6"/>
        <w:rPr>
          <w:color w:val="auto"/>
        </w:rPr>
      </w:pPr>
      <w:bookmarkStart w:id="242" w:name="_Toc84929195"/>
      <w:bookmarkStart w:id="243" w:name="_Toc83209439"/>
      <w:bookmarkStart w:id="244" w:name="_Toc85640719"/>
      <w:bookmarkStart w:id="245" w:name="_Toc67860095"/>
      <w:bookmarkStart w:id="246" w:name="_Toc76976210"/>
      <w:bookmarkStart w:id="247" w:name="_Toc77067626"/>
      <w:bookmarkStart w:id="248" w:name="_Toc78816427"/>
      <w:bookmarkStart w:id="249" w:name="_Toc127192307"/>
      <w:bookmarkStart w:id="250" w:name="_Toc126863358"/>
      <w:bookmarkStart w:id="251" w:name="_Toc70050142"/>
      <w:bookmarkStart w:id="252" w:name="_Toc80971344"/>
      <w:bookmarkStart w:id="253" w:name="_Toc80588222"/>
      <w:bookmarkStart w:id="254" w:name="_Toc131167258"/>
      <w:bookmarkStart w:id="255" w:name="_Toc143099545"/>
      <w:bookmarkStart w:id="256" w:name="_Toc86141902"/>
      <w:bookmarkStart w:id="257" w:name="_Toc61597188"/>
      <w:r>
        <w:rPr>
          <w:color w:val="auto"/>
        </w:rPr>
        <w:t>其它相关依据及支持性文件</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0EC7138">
      <w:pPr>
        <w:pStyle w:val="276"/>
        <w:widowControl w:val="0"/>
        <w:spacing w:line="440" w:lineRule="exact"/>
        <w:ind w:firstLine="480"/>
        <w:jc w:val="both"/>
        <w:rPr>
          <w:snapToGrid w:val="0"/>
          <w:color w:val="auto"/>
        </w:rPr>
      </w:pPr>
      <w:r>
        <w:rPr>
          <w:snapToGrid w:val="0"/>
          <w:color w:val="auto"/>
        </w:rPr>
        <w:t>（1）《肇源油田源212区块扶余油层水平井提产试验产能建设地面工程方案》（2025年7月）；</w:t>
      </w:r>
    </w:p>
    <w:p w14:paraId="29C044E4">
      <w:pPr>
        <w:pStyle w:val="276"/>
        <w:widowControl w:val="0"/>
        <w:spacing w:line="440" w:lineRule="exact"/>
        <w:ind w:firstLine="480"/>
        <w:jc w:val="both"/>
        <w:rPr>
          <w:snapToGrid w:val="0"/>
          <w:color w:val="auto"/>
        </w:rPr>
      </w:pPr>
      <w:r>
        <w:rPr>
          <w:snapToGrid w:val="0"/>
          <w:color w:val="auto"/>
        </w:rPr>
        <w:t>（2）《源212-扶平3井钻井地质设计》（2025年7月）；</w:t>
      </w:r>
    </w:p>
    <w:p w14:paraId="501FA69C">
      <w:pPr>
        <w:pStyle w:val="276"/>
        <w:widowControl w:val="0"/>
        <w:spacing w:line="440" w:lineRule="exact"/>
        <w:ind w:firstLine="480"/>
        <w:jc w:val="both"/>
        <w:rPr>
          <w:snapToGrid w:val="0"/>
          <w:color w:val="auto"/>
        </w:rPr>
      </w:pPr>
      <w:r>
        <w:rPr>
          <w:rFonts w:hint="eastAsia"/>
          <w:snapToGrid w:val="0"/>
          <w:color w:val="auto"/>
        </w:rPr>
        <w:t>（3）《源212-扶平3井钻井工程设计》</w:t>
      </w:r>
      <w:r>
        <w:rPr>
          <w:snapToGrid w:val="0"/>
          <w:color w:val="auto"/>
        </w:rPr>
        <w:t>（202</w:t>
      </w:r>
      <w:r>
        <w:rPr>
          <w:rFonts w:hint="eastAsia"/>
          <w:snapToGrid w:val="0"/>
          <w:color w:val="auto"/>
        </w:rPr>
        <w:t>4</w:t>
      </w:r>
      <w:r>
        <w:rPr>
          <w:snapToGrid w:val="0"/>
          <w:color w:val="auto"/>
        </w:rPr>
        <w:t>年</w:t>
      </w:r>
      <w:r>
        <w:rPr>
          <w:rFonts w:hint="eastAsia"/>
          <w:snapToGrid w:val="0"/>
          <w:color w:val="auto"/>
        </w:rPr>
        <w:t>9</w:t>
      </w:r>
      <w:r>
        <w:rPr>
          <w:snapToGrid w:val="0"/>
          <w:color w:val="auto"/>
        </w:rPr>
        <w:t>月）；</w:t>
      </w:r>
    </w:p>
    <w:p w14:paraId="694788F5">
      <w:pPr>
        <w:pStyle w:val="276"/>
        <w:widowControl w:val="0"/>
        <w:spacing w:line="440" w:lineRule="exact"/>
        <w:ind w:firstLine="480"/>
        <w:jc w:val="both"/>
        <w:rPr>
          <w:snapToGrid w:val="0"/>
          <w:color w:val="auto"/>
        </w:rPr>
      </w:pPr>
      <w:r>
        <w:rPr>
          <w:snapToGrid w:val="0"/>
          <w:color w:val="auto"/>
        </w:rPr>
        <w:t>（</w:t>
      </w:r>
      <w:r>
        <w:rPr>
          <w:rFonts w:hint="eastAsia"/>
          <w:snapToGrid w:val="0"/>
          <w:color w:val="auto"/>
        </w:rPr>
        <w:t>4</w:t>
      </w:r>
      <w:r>
        <w:rPr>
          <w:snapToGrid w:val="0"/>
          <w:color w:val="auto"/>
        </w:rPr>
        <w:t>）《源212-扶平</w:t>
      </w:r>
      <w:r>
        <w:rPr>
          <w:rFonts w:hint="eastAsia"/>
          <w:snapToGrid w:val="0"/>
          <w:color w:val="auto"/>
        </w:rPr>
        <w:t>4</w:t>
      </w:r>
      <w:r>
        <w:rPr>
          <w:snapToGrid w:val="0"/>
          <w:color w:val="auto"/>
        </w:rPr>
        <w:t>井钻井地质设计》（2025年7月）；</w:t>
      </w:r>
    </w:p>
    <w:p w14:paraId="785E1A7C">
      <w:pPr>
        <w:pStyle w:val="276"/>
        <w:widowControl w:val="0"/>
        <w:spacing w:line="440" w:lineRule="exact"/>
        <w:ind w:firstLine="480"/>
        <w:jc w:val="both"/>
        <w:rPr>
          <w:snapToGrid w:val="0"/>
          <w:color w:val="auto"/>
        </w:rPr>
      </w:pPr>
      <w:r>
        <w:rPr>
          <w:rFonts w:hint="eastAsia"/>
          <w:snapToGrid w:val="0"/>
          <w:color w:val="auto"/>
        </w:rPr>
        <w:t>（5）《源212-扶平4井钻井工程设计》</w:t>
      </w:r>
      <w:r>
        <w:rPr>
          <w:snapToGrid w:val="0"/>
          <w:color w:val="auto"/>
        </w:rPr>
        <w:t>（202</w:t>
      </w:r>
      <w:r>
        <w:rPr>
          <w:rFonts w:hint="eastAsia"/>
          <w:snapToGrid w:val="0"/>
          <w:color w:val="auto"/>
        </w:rPr>
        <w:t>4</w:t>
      </w:r>
      <w:r>
        <w:rPr>
          <w:snapToGrid w:val="0"/>
          <w:color w:val="auto"/>
        </w:rPr>
        <w:t>年</w:t>
      </w:r>
      <w:r>
        <w:rPr>
          <w:rFonts w:hint="eastAsia"/>
          <w:snapToGrid w:val="0"/>
          <w:color w:val="auto"/>
        </w:rPr>
        <w:t>9</w:t>
      </w:r>
      <w:r>
        <w:rPr>
          <w:snapToGrid w:val="0"/>
          <w:color w:val="auto"/>
        </w:rPr>
        <w:t>月）；</w:t>
      </w:r>
    </w:p>
    <w:p w14:paraId="4D2AEE13">
      <w:pPr>
        <w:pStyle w:val="276"/>
        <w:widowControl w:val="0"/>
        <w:spacing w:line="440" w:lineRule="exact"/>
        <w:ind w:firstLine="480"/>
        <w:jc w:val="both"/>
        <w:rPr>
          <w:snapToGrid w:val="0"/>
          <w:color w:val="auto"/>
        </w:rPr>
      </w:pPr>
      <w:r>
        <w:rPr>
          <w:snapToGrid w:val="0"/>
          <w:color w:val="auto"/>
        </w:rPr>
        <w:t>（</w:t>
      </w:r>
      <w:r>
        <w:rPr>
          <w:rFonts w:hint="eastAsia"/>
          <w:snapToGrid w:val="0"/>
          <w:color w:val="auto"/>
        </w:rPr>
        <w:t>6</w:t>
      </w:r>
      <w:r>
        <w:rPr>
          <w:snapToGrid w:val="0"/>
          <w:color w:val="auto"/>
        </w:rPr>
        <w:t>）《源212-扶平</w:t>
      </w:r>
      <w:r>
        <w:rPr>
          <w:rFonts w:hint="eastAsia"/>
          <w:snapToGrid w:val="0"/>
          <w:color w:val="auto"/>
        </w:rPr>
        <w:t>5</w:t>
      </w:r>
      <w:r>
        <w:rPr>
          <w:snapToGrid w:val="0"/>
          <w:color w:val="auto"/>
        </w:rPr>
        <w:t>井钻井地质设计》（2025年7月）；</w:t>
      </w:r>
    </w:p>
    <w:p w14:paraId="02FC1F74">
      <w:pPr>
        <w:pStyle w:val="276"/>
        <w:widowControl w:val="0"/>
        <w:spacing w:line="440" w:lineRule="exact"/>
        <w:ind w:firstLine="480"/>
        <w:jc w:val="both"/>
        <w:rPr>
          <w:snapToGrid w:val="0"/>
          <w:color w:val="auto"/>
        </w:rPr>
      </w:pPr>
      <w:r>
        <w:rPr>
          <w:rFonts w:hint="eastAsia"/>
          <w:snapToGrid w:val="0"/>
          <w:color w:val="auto"/>
        </w:rPr>
        <w:t>（7）《源212-扶平5井钻井工程设计》</w:t>
      </w:r>
      <w:r>
        <w:rPr>
          <w:snapToGrid w:val="0"/>
          <w:color w:val="auto"/>
        </w:rPr>
        <w:t>（202</w:t>
      </w:r>
      <w:r>
        <w:rPr>
          <w:rFonts w:hint="eastAsia"/>
          <w:snapToGrid w:val="0"/>
          <w:color w:val="auto"/>
        </w:rPr>
        <w:t>4</w:t>
      </w:r>
      <w:r>
        <w:rPr>
          <w:snapToGrid w:val="0"/>
          <w:color w:val="auto"/>
        </w:rPr>
        <w:t>年</w:t>
      </w:r>
      <w:r>
        <w:rPr>
          <w:rFonts w:hint="eastAsia"/>
          <w:snapToGrid w:val="0"/>
          <w:color w:val="auto"/>
        </w:rPr>
        <w:t>9</w:t>
      </w:r>
      <w:r>
        <w:rPr>
          <w:snapToGrid w:val="0"/>
          <w:color w:val="auto"/>
        </w:rPr>
        <w:t>月）；</w:t>
      </w:r>
    </w:p>
    <w:p w14:paraId="1D4F62BC">
      <w:pPr>
        <w:pStyle w:val="276"/>
        <w:widowControl w:val="0"/>
        <w:spacing w:line="440" w:lineRule="exact"/>
        <w:ind w:firstLine="480"/>
        <w:jc w:val="both"/>
        <w:rPr>
          <w:snapToGrid w:val="0"/>
          <w:color w:val="auto"/>
        </w:rPr>
      </w:pPr>
      <w:r>
        <w:rPr>
          <w:snapToGrid w:val="0"/>
          <w:color w:val="auto"/>
        </w:rPr>
        <w:t>（</w:t>
      </w:r>
      <w:r>
        <w:rPr>
          <w:rFonts w:hint="eastAsia"/>
          <w:snapToGrid w:val="0"/>
          <w:color w:val="auto"/>
        </w:rPr>
        <w:t>8</w:t>
      </w:r>
      <w:r>
        <w:rPr>
          <w:snapToGrid w:val="0"/>
          <w:color w:val="auto"/>
        </w:rPr>
        <w:t>）《源212-扶平</w:t>
      </w:r>
      <w:r>
        <w:rPr>
          <w:rFonts w:hint="eastAsia"/>
          <w:snapToGrid w:val="0"/>
          <w:color w:val="auto"/>
        </w:rPr>
        <w:t>6</w:t>
      </w:r>
      <w:r>
        <w:rPr>
          <w:snapToGrid w:val="0"/>
          <w:color w:val="auto"/>
        </w:rPr>
        <w:t>井钻井地质设计》（2025年7月）；</w:t>
      </w:r>
    </w:p>
    <w:p w14:paraId="098B859E">
      <w:pPr>
        <w:pStyle w:val="276"/>
        <w:widowControl w:val="0"/>
        <w:spacing w:line="440" w:lineRule="exact"/>
        <w:ind w:firstLine="480"/>
        <w:jc w:val="both"/>
        <w:rPr>
          <w:snapToGrid w:val="0"/>
          <w:color w:val="auto"/>
        </w:rPr>
      </w:pPr>
      <w:r>
        <w:rPr>
          <w:rFonts w:hint="eastAsia"/>
          <w:snapToGrid w:val="0"/>
          <w:color w:val="auto"/>
        </w:rPr>
        <w:t>（9）《源212-扶平6井钻井工程设计》</w:t>
      </w:r>
      <w:r>
        <w:rPr>
          <w:snapToGrid w:val="0"/>
          <w:color w:val="auto"/>
        </w:rPr>
        <w:t>（202</w:t>
      </w:r>
      <w:r>
        <w:rPr>
          <w:rFonts w:hint="eastAsia"/>
          <w:snapToGrid w:val="0"/>
          <w:color w:val="auto"/>
        </w:rPr>
        <w:t>4</w:t>
      </w:r>
      <w:r>
        <w:rPr>
          <w:snapToGrid w:val="0"/>
          <w:color w:val="auto"/>
        </w:rPr>
        <w:t>年</w:t>
      </w:r>
      <w:r>
        <w:rPr>
          <w:rFonts w:hint="eastAsia"/>
          <w:snapToGrid w:val="0"/>
          <w:color w:val="auto"/>
        </w:rPr>
        <w:t>9</w:t>
      </w:r>
      <w:r>
        <w:rPr>
          <w:snapToGrid w:val="0"/>
          <w:color w:val="auto"/>
        </w:rPr>
        <w:t>月）；</w:t>
      </w:r>
    </w:p>
    <w:p w14:paraId="4891B52C">
      <w:pPr>
        <w:pStyle w:val="276"/>
        <w:widowControl w:val="0"/>
        <w:spacing w:line="440" w:lineRule="exact"/>
        <w:ind w:firstLine="480"/>
        <w:jc w:val="both"/>
        <w:rPr>
          <w:snapToGrid w:val="0"/>
          <w:color w:val="auto"/>
        </w:rPr>
      </w:pPr>
      <w:r>
        <w:rPr>
          <w:snapToGrid w:val="0"/>
          <w:color w:val="auto"/>
        </w:rPr>
        <w:t>（</w:t>
      </w:r>
      <w:r>
        <w:rPr>
          <w:rFonts w:hint="eastAsia"/>
          <w:snapToGrid w:val="0"/>
          <w:color w:val="auto"/>
        </w:rPr>
        <w:t>10</w:t>
      </w:r>
      <w:r>
        <w:rPr>
          <w:snapToGrid w:val="0"/>
          <w:color w:val="auto"/>
        </w:rPr>
        <w:t>）《肇源油田源212区块扶余油层水平井提产试验产能建设投资估算及经济评价》（2025年2月）；</w:t>
      </w:r>
    </w:p>
    <w:p w14:paraId="18E02A5C">
      <w:pPr>
        <w:pStyle w:val="276"/>
        <w:widowControl w:val="0"/>
        <w:spacing w:line="440" w:lineRule="exact"/>
        <w:ind w:firstLine="480"/>
        <w:jc w:val="both"/>
        <w:rPr>
          <w:snapToGrid w:val="0"/>
          <w:color w:val="auto"/>
        </w:rPr>
      </w:pPr>
      <w:r>
        <w:rPr>
          <w:snapToGrid w:val="0"/>
          <w:color w:val="auto"/>
        </w:rPr>
        <w:t>（</w:t>
      </w:r>
      <w:r>
        <w:rPr>
          <w:rFonts w:hint="eastAsia"/>
          <w:snapToGrid w:val="0"/>
          <w:color w:val="auto"/>
        </w:rPr>
        <w:t>11</w:t>
      </w:r>
      <w:r>
        <w:rPr>
          <w:snapToGrid w:val="0"/>
          <w:color w:val="auto"/>
        </w:rPr>
        <w:t>）《2026年永乐南扶余油层评价控制井区块环评方案》（2025年7月）；</w:t>
      </w:r>
    </w:p>
    <w:p w14:paraId="6AC5C8F0">
      <w:pPr>
        <w:pStyle w:val="276"/>
        <w:widowControl w:val="0"/>
        <w:spacing w:line="440" w:lineRule="exact"/>
        <w:ind w:firstLine="480"/>
        <w:jc w:val="both"/>
        <w:rPr>
          <w:snapToGrid w:val="0"/>
          <w:color w:val="auto"/>
        </w:rPr>
      </w:pPr>
      <w:r>
        <w:rPr>
          <w:snapToGrid w:val="0"/>
          <w:color w:val="auto"/>
        </w:rPr>
        <w:t>（</w:t>
      </w:r>
      <w:r>
        <w:rPr>
          <w:rFonts w:hint="eastAsia"/>
          <w:snapToGrid w:val="0"/>
          <w:color w:val="auto"/>
        </w:rPr>
        <w:t>12</w:t>
      </w:r>
      <w:r>
        <w:rPr>
          <w:snapToGrid w:val="0"/>
          <w:color w:val="auto"/>
        </w:rPr>
        <w:t>）《2026年永乐南扶余油层评价控制井部署方案》（2025年7月）</w:t>
      </w:r>
    </w:p>
    <w:p w14:paraId="40BA7DE6">
      <w:pPr>
        <w:pStyle w:val="276"/>
        <w:widowControl w:val="0"/>
        <w:spacing w:line="440" w:lineRule="exact"/>
        <w:ind w:firstLine="480"/>
        <w:jc w:val="both"/>
        <w:rPr>
          <w:snapToGrid w:val="0"/>
          <w:color w:val="auto"/>
        </w:rPr>
      </w:pPr>
      <w:r>
        <w:rPr>
          <w:snapToGrid w:val="0"/>
          <w:color w:val="auto"/>
        </w:rPr>
        <w:t>（</w:t>
      </w:r>
      <w:r>
        <w:rPr>
          <w:rFonts w:hint="eastAsia"/>
          <w:snapToGrid w:val="0"/>
          <w:color w:val="auto"/>
        </w:rPr>
        <w:t>13</w:t>
      </w:r>
      <w:r>
        <w:rPr>
          <w:snapToGrid w:val="0"/>
          <w:color w:val="auto"/>
        </w:rPr>
        <w:t>）《肇源油田源212区块扶余油层2022年产能建设地面工程项目环境影响报告表》（202</w:t>
      </w:r>
      <w:r>
        <w:rPr>
          <w:rFonts w:hint="eastAsia"/>
          <w:snapToGrid w:val="0"/>
          <w:color w:val="auto"/>
        </w:rPr>
        <w:t>2</w:t>
      </w:r>
      <w:r>
        <w:rPr>
          <w:snapToGrid w:val="0"/>
          <w:color w:val="auto"/>
        </w:rPr>
        <w:t>年</w:t>
      </w:r>
      <w:r>
        <w:rPr>
          <w:rFonts w:hint="eastAsia"/>
          <w:snapToGrid w:val="0"/>
          <w:color w:val="auto"/>
        </w:rPr>
        <w:t>10</w:t>
      </w:r>
      <w:r>
        <w:rPr>
          <w:snapToGrid w:val="0"/>
          <w:color w:val="auto"/>
        </w:rPr>
        <w:t>月）；</w:t>
      </w:r>
    </w:p>
    <w:p w14:paraId="4D7CAACF">
      <w:pPr>
        <w:pStyle w:val="276"/>
        <w:widowControl w:val="0"/>
        <w:spacing w:line="440" w:lineRule="exact"/>
        <w:ind w:firstLine="480"/>
        <w:jc w:val="both"/>
        <w:rPr>
          <w:snapToGrid w:val="0"/>
          <w:color w:val="auto"/>
        </w:rPr>
      </w:pPr>
      <w:r>
        <w:rPr>
          <w:snapToGrid w:val="0"/>
          <w:color w:val="auto"/>
        </w:rPr>
        <w:t>（</w:t>
      </w:r>
      <w:r>
        <w:rPr>
          <w:rFonts w:hint="eastAsia"/>
          <w:snapToGrid w:val="0"/>
          <w:color w:val="auto"/>
        </w:rPr>
        <w:t>14</w:t>
      </w:r>
      <w:r>
        <w:rPr>
          <w:snapToGrid w:val="0"/>
          <w:color w:val="auto"/>
        </w:rPr>
        <w:t>）《关于肇源油田源212区块扶余油层2022年产能建设地面工程项目环境影响报告书的批复》（庆环审【2022】197号，202</w:t>
      </w:r>
      <w:r>
        <w:rPr>
          <w:rFonts w:hint="eastAsia"/>
          <w:snapToGrid w:val="0"/>
          <w:color w:val="auto"/>
        </w:rPr>
        <w:t>2</w:t>
      </w:r>
      <w:r>
        <w:rPr>
          <w:snapToGrid w:val="0"/>
          <w:color w:val="auto"/>
        </w:rPr>
        <w:t>年</w:t>
      </w:r>
      <w:r>
        <w:rPr>
          <w:rFonts w:hint="eastAsia"/>
          <w:snapToGrid w:val="0"/>
          <w:color w:val="auto"/>
        </w:rPr>
        <w:t>12</w:t>
      </w:r>
      <w:r>
        <w:rPr>
          <w:snapToGrid w:val="0"/>
          <w:color w:val="auto"/>
        </w:rPr>
        <w:t>月</w:t>
      </w:r>
      <w:r>
        <w:rPr>
          <w:rFonts w:hint="eastAsia"/>
          <w:snapToGrid w:val="0"/>
          <w:color w:val="auto"/>
        </w:rPr>
        <w:t>22</w:t>
      </w:r>
      <w:r>
        <w:rPr>
          <w:snapToGrid w:val="0"/>
          <w:color w:val="auto"/>
        </w:rPr>
        <w:t>日）。</w:t>
      </w:r>
    </w:p>
    <w:p w14:paraId="42B1A143">
      <w:pPr>
        <w:pStyle w:val="5"/>
        <w:rPr>
          <w:bCs w:val="0"/>
          <w:color w:val="auto"/>
        </w:rPr>
      </w:pPr>
      <w:bookmarkStart w:id="258" w:name="_Toc12054"/>
      <w:bookmarkStart w:id="259" w:name="_Toc26931"/>
      <w:bookmarkStart w:id="260" w:name="_Toc212033006"/>
      <w:r>
        <w:rPr>
          <w:bCs w:val="0"/>
          <w:color w:val="auto"/>
        </w:rPr>
        <w:t>环境影响识别与评价因子筛选</w:t>
      </w:r>
      <w:bookmarkEnd w:id="258"/>
      <w:bookmarkEnd w:id="259"/>
      <w:bookmarkEnd w:id="260"/>
    </w:p>
    <w:p w14:paraId="33846DEB">
      <w:pPr>
        <w:pStyle w:val="6"/>
        <w:rPr>
          <w:color w:val="auto"/>
        </w:rPr>
      </w:pPr>
      <w:bookmarkStart w:id="261" w:name="_Toc143099547"/>
      <w:bookmarkStart w:id="262" w:name="_Toc83209441"/>
      <w:bookmarkStart w:id="263" w:name="_Toc86141904"/>
      <w:bookmarkStart w:id="264" w:name="_Toc127192309"/>
      <w:bookmarkStart w:id="265" w:name="_Toc70050144"/>
      <w:bookmarkStart w:id="266" w:name="_Toc67860097"/>
      <w:bookmarkStart w:id="267" w:name="_Toc126863360"/>
      <w:bookmarkStart w:id="268" w:name="_Toc80588224"/>
      <w:bookmarkStart w:id="269" w:name="_Toc76976212"/>
      <w:bookmarkStart w:id="270" w:name="_Toc80971346"/>
      <w:bookmarkStart w:id="271" w:name="_Toc131167260"/>
      <w:bookmarkStart w:id="272" w:name="_Toc61597190"/>
      <w:bookmarkStart w:id="273" w:name="_Toc85640721"/>
      <w:bookmarkStart w:id="274" w:name="_Toc77067628"/>
      <w:bookmarkStart w:id="275" w:name="_Toc78816429"/>
      <w:bookmarkStart w:id="276" w:name="_Toc84929197"/>
      <w:bookmarkStart w:id="277" w:name="_Toc57976644"/>
      <w:bookmarkStart w:id="278" w:name="_Toc57203219"/>
      <w:bookmarkStart w:id="279" w:name="_Toc57707889"/>
      <w:bookmarkStart w:id="280" w:name="_Toc17898134"/>
      <w:bookmarkStart w:id="281" w:name="_Toc6028"/>
      <w:r>
        <w:rPr>
          <w:color w:val="auto"/>
        </w:rPr>
        <w:t>评价时段</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7A799D65">
      <w:pPr>
        <w:pStyle w:val="276"/>
        <w:widowControl w:val="0"/>
        <w:spacing w:line="440" w:lineRule="exact"/>
        <w:ind w:firstLine="480"/>
        <w:jc w:val="both"/>
        <w:rPr>
          <w:color w:val="auto"/>
        </w:rPr>
      </w:pPr>
      <w:r>
        <w:rPr>
          <w:color w:val="auto"/>
        </w:rPr>
        <w:t>施工期、</w:t>
      </w:r>
      <w:r>
        <w:rPr>
          <w:rFonts w:hint="eastAsia"/>
          <w:color w:val="auto"/>
        </w:rPr>
        <w:t>运营期</w:t>
      </w:r>
      <w:r>
        <w:rPr>
          <w:color w:val="auto"/>
        </w:rPr>
        <w:t>和退役期。</w:t>
      </w:r>
    </w:p>
    <w:p w14:paraId="26982168">
      <w:pPr>
        <w:pStyle w:val="6"/>
        <w:rPr>
          <w:color w:val="auto"/>
        </w:rPr>
      </w:pPr>
      <w:bookmarkStart w:id="282" w:name="_Toc61597191"/>
      <w:bookmarkStart w:id="283" w:name="_Toc80588225"/>
      <w:bookmarkStart w:id="284" w:name="_Toc127192310"/>
      <w:bookmarkStart w:id="285" w:name="_Toc131167261"/>
      <w:bookmarkStart w:id="286" w:name="_Toc76976213"/>
      <w:bookmarkStart w:id="287" w:name="_Toc70050145"/>
      <w:bookmarkStart w:id="288" w:name="_Toc143099548"/>
      <w:bookmarkStart w:id="289" w:name="_Toc80971347"/>
      <w:bookmarkStart w:id="290" w:name="_Toc77067629"/>
      <w:bookmarkStart w:id="291" w:name="_Toc83209442"/>
      <w:bookmarkStart w:id="292" w:name="_Toc67860098"/>
      <w:bookmarkStart w:id="293" w:name="_Toc85640722"/>
      <w:bookmarkStart w:id="294" w:name="_Toc84929198"/>
      <w:bookmarkStart w:id="295" w:name="_Toc78816430"/>
      <w:bookmarkStart w:id="296" w:name="_Toc126863361"/>
      <w:bookmarkStart w:id="297" w:name="_Toc86141905"/>
      <w:r>
        <w:rPr>
          <w:color w:val="auto"/>
        </w:rPr>
        <w:t>环境影响因素识别</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3546540B">
      <w:pPr>
        <w:pStyle w:val="276"/>
        <w:widowControl w:val="0"/>
        <w:spacing w:line="440" w:lineRule="exact"/>
        <w:ind w:firstLine="480"/>
        <w:jc w:val="both"/>
        <w:rPr>
          <w:snapToGrid w:val="0"/>
          <w:color w:val="auto"/>
        </w:rPr>
      </w:pPr>
      <w:r>
        <w:rPr>
          <w:snapToGrid w:val="0"/>
          <w:color w:val="auto"/>
        </w:rPr>
        <w:t>本项目建设对环境的影响，根据其特征可分为施工期影响、生产运营期影响和退役期影响。</w:t>
      </w:r>
    </w:p>
    <w:p w14:paraId="66130BDA">
      <w:pPr>
        <w:pStyle w:val="276"/>
        <w:widowControl w:val="0"/>
        <w:spacing w:line="440" w:lineRule="exact"/>
        <w:ind w:firstLine="480"/>
        <w:jc w:val="both"/>
        <w:rPr>
          <w:snapToGrid w:val="0"/>
          <w:color w:val="auto"/>
        </w:rPr>
      </w:pPr>
      <w:r>
        <w:rPr>
          <w:snapToGrid w:val="0"/>
          <w:color w:val="auto"/>
        </w:rPr>
        <w:t>施工期的环境影响主要为地面工程施工过程中施工活动对周围环境产生的不利影响。一种影响是对土壤扰动和自然植被等的破坏，这种影响是比较持久的，在施工完成后的一段时间内仍将存在；另一种是在施工过程中产生的污染物排放对环境造成的不利影响，这种影响是短暂的，待施工结束后将随之消失。</w:t>
      </w:r>
    </w:p>
    <w:p w14:paraId="03BA8C95">
      <w:pPr>
        <w:pStyle w:val="276"/>
        <w:widowControl w:val="0"/>
        <w:spacing w:line="440" w:lineRule="exact"/>
        <w:ind w:firstLine="480"/>
        <w:jc w:val="both"/>
        <w:rPr>
          <w:snapToGrid w:val="0"/>
          <w:color w:val="auto"/>
        </w:rPr>
      </w:pPr>
      <w:r>
        <w:rPr>
          <w:snapToGrid w:val="0"/>
          <w:color w:val="auto"/>
        </w:rPr>
        <w:t>运营期的环境影响主要为井场产生的污染物排放对环境造成的不利影响，这种影响是长期的。运营期事故状态的环境影响包括输油管线、拉油点储罐和井场发生原油泄漏、火灾、爆炸等事故对周围环境和人员的影响，同时还涉及社会经济等问题。</w:t>
      </w:r>
    </w:p>
    <w:p w14:paraId="26AFD033">
      <w:pPr>
        <w:pStyle w:val="276"/>
        <w:widowControl w:val="0"/>
        <w:spacing w:line="440" w:lineRule="exact"/>
        <w:ind w:firstLine="480"/>
        <w:jc w:val="both"/>
        <w:rPr>
          <w:snapToGrid w:val="0"/>
          <w:color w:val="auto"/>
        </w:rPr>
      </w:pPr>
      <w:r>
        <w:rPr>
          <w:snapToGrid w:val="0"/>
          <w:color w:val="auto"/>
        </w:rPr>
        <w:t>退役期的环境影响主要是拆除工程的废气、噪声、废弃管道清管废水、废旧设备、封井建筑垃圾，这种影响是短暂的，待施工结束后将随之消失。</w:t>
      </w:r>
    </w:p>
    <w:p w14:paraId="41D3047A">
      <w:pPr>
        <w:pStyle w:val="276"/>
        <w:widowControl w:val="0"/>
        <w:spacing w:line="440" w:lineRule="exact"/>
        <w:ind w:firstLine="480"/>
        <w:jc w:val="both"/>
        <w:rPr>
          <w:snapToGrid w:val="0"/>
          <w:color w:val="auto"/>
        </w:rPr>
      </w:pPr>
      <w:r>
        <w:rPr>
          <w:snapToGrid w:val="0"/>
          <w:color w:val="auto"/>
        </w:rPr>
        <w:t>根据工程实际情况，结合工程区域的自然环境特征，采用矩阵法对工程建设期间和运营期产生的影响进行识别，具体见</w:t>
      </w:r>
      <w:r>
        <w:rPr>
          <w:snapToGrid w:val="0"/>
          <w:color w:val="auto"/>
        </w:rPr>
        <w:fldChar w:fldCharType="begin"/>
      </w:r>
      <w:r>
        <w:rPr>
          <w:snapToGrid w:val="0"/>
          <w:color w:val="auto"/>
        </w:rPr>
        <w:instrText xml:space="preserve"> REF _Ref211957467 \h  \* MERGEFORMAT </w:instrText>
      </w:r>
      <w:r>
        <w:rPr>
          <w:snapToGrid w:val="0"/>
          <w:color w:val="auto"/>
        </w:rPr>
        <w:fldChar w:fldCharType="separate"/>
      </w:r>
      <w:r>
        <w:rPr>
          <w:rFonts w:hint="eastAsia"/>
          <w:color w:val="auto"/>
        </w:rPr>
        <w:t xml:space="preserve">表 </w:t>
      </w:r>
      <w:r>
        <w:rPr>
          <w:color w:val="auto"/>
        </w:rPr>
        <w:t>2.4</w:t>
      </w:r>
      <w:r>
        <w:rPr>
          <w:color w:val="auto"/>
        </w:rPr>
        <w:noBreakHyphen/>
      </w:r>
      <w:r>
        <w:rPr>
          <w:color w:val="auto"/>
        </w:rPr>
        <w:t>1</w:t>
      </w:r>
      <w:r>
        <w:rPr>
          <w:snapToGrid w:val="0"/>
          <w:color w:val="auto"/>
        </w:rPr>
        <w:fldChar w:fldCharType="end"/>
      </w:r>
      <w:r>
        <w:rPr>
          <w:snapToGrid w:val="0"/>
          <w:color w:val="auto"/>
        </w:rPr>
        <w:t>。</w:t>
      </w:r>
    </w:p>
    <w:p w14:paraId="575F8EE4">
      <w:pPr>
        <w:pStyle w:val="22"/>
        <w:spacing w:before="156"/>
        <w:rPr>
          <w:color w:val="auto"/>
        </w:rPr>
      </w:pPr>
      <w:bookmarkStart w:id="298" w:name="_Ref211957467"/>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bookmarkEnd w:id="298"/>
      <w:r>
        <w:rPr>
          <w:color w:val="auto"/>
        </w:rPr>
        <w:t>环境影响因素矩阵识别表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1"/>
        <w:gridCol w:w="1276"/>
        <w:gridCol w:w="1272"/>
        <w:gridCol w:w="1987"/>
        <w:gridCol w:w="1276"/>
        <w:gridCol w:w="1380"/>
      </w:tblGrid>
      <w:tr w14:paraId="0B44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restart"/>
            <w:tcBorders>
              <w:tl2br w:val="single" w:color="auto" w:sz="4" w:space="0"/>
            </w:tcBorders>
            <w:shd w:val="clear" w:color="auto" w:fill="auto"/>
            <w:vAlign w:val="center"/>
          </w:tcPr>
          <w:p w14:paraId="07F9A11D">
            <w:pPr>
              <w:ind w:firstLine="210" w:firstLineChars="100"/>
              <w:jc w:val="center"/>
              <w:rPr>
                <w:rFonts w:ascii="宋体" w:hAnsi="宋体" w:eastAsia="宋体"/>
                <w:snapToGrid w:val="0"/>
                <w:color w:val="auto"/>
                <w:kern w:val="0"/>
              </w:rPr>
            </w:pPr>
            <w:r>
              <w:rPr>
                <w:rFonts w:ascii="宋体" w:hAnsi="宋体" w:eastAsia="宋体"/>
                <w:snapToGrid w:val="0"/>
                <w:color w:val="auto"/>
                <w:kern w:val="0"/>
              </w:rPr>
              <w:t>影响因素</w:t>
            </w:r>
          </w:p>
          <w:p w14:paraId="0EA698AD">
            <w:pPr>
              <w:jc w:val="center"/>
              <w:rPr>
                <w:rFonts w:ascii="宋体" w:hAnsi="宋体" w:eastAsia="宋体"/>
                <w:snapToGrid w:val="0"/>
                <w:color w:val="auto"/>
                <w:kern w:val="0"/>
              </w:rPr>
            </w:pPr>
          </w:p>
          <w:p w14:paraId="283BCEBC">
            <w:pPr>
              <w:jc w:val="center"/>
              <w:rPr>
                <w:rFonts w:ascii="宋体" w:hAnsi="宋体" w:eastAsia="宋体"/>
                <w:snapToGrid w:val="0"/>
                <w:color w:val="auto"/>
                <w:kern w:val="0"/>
              </w:rPr>
            </w:pPr>
          </w:p>
          <w:p w14:paraId="1976CA61">
            <w:pPr>
              <w:jc w:val="center"/>
              <w:rPr>
                <w:rFonts w:ascii="宋体" w:hAnsi="宋体" w:eastAsia="宋体"/>
                <w:snapToGrid w:val="0"/>
                <w:color w:val="auto"/>
                <w:kern w:val="0"/>
              </w:rPr>
            </w:pPr>
          </w:p>
          <w:p w14:paraId="6A9A3344">
            <w:pPr>
              <w:jc w:val="center"/>
              <w:rPr>
                <w:rFonts w:ascii="宋体" w:hAnsi="宋体" w:eastAsia="宋体"/>
                <w:snapToGrid w:val="0"/>
                <w:color w:val="auto"/>
                <w:kern w:val="0"/>
              </w:rPr>
            </w:pPr>
          </w:p>
          <w:p w14:paraId="0E13B812">
            <w:pPr>
              <w:jc w:val="center"/>
              <w:rPr>
                <w:rFonts w:ascii="宋体" w:hAnsi="宋体" w:eastAsia="宋体"/>
                <w:snapToGrid w:val="0"/>
                <w:color w:val="auto"/>
                <w:kern w:val="0"/>
              </w:rPr>
            </w:pPr>
          </w:p>
          <w:p w14:paraId="1E6D41FF">
            <w:pPr>
              <w:jc w:val="center"/>
              <w:rPr>
                <w:rFonts w:ascii="宋体" w:hAnsi="宋体" w:eastAsia="宋体"/>
                <w:snapToGrid w:val="0"/>
                <w:color w:val="auto"/>
                <w:kern w:val="0"/>
              </w:rPr>
            </w:pPr>
          </w:p>
          <w:p w14:paraId="197B3968">
            <w:pPr>
              <w:jc w:val="center"/>
              <w:rPr>
                <w:rFonts w:ascii="宋体" w:hAnsi="宋体" w:eastAsia="宋体"/>
                <w:snapToGrid w:val="0"/>
                <w:color w:val="auto"/>
                <w:kern w:val="0"/>
              </w:rPr>
            </w:pPr>
          </w:p>
          <w:p w14:paraId="3C7F87BD">
            <w:pPr>
              <w:jc w:val="center"/>
              <w:rPr>
                <w:rFonts w:ascii="宋体" w:hAnsi="宋体" w:eastAsia="宋体"/>
                <w:snapToGrid w:val="0"/>
                <w:color w:val="auto"/>
                <w:kern w:val="0"/>
              </w:rPr>
            </w:pPr>
          </w:p>
          <w:p w14:paraId="38ADA03B">
            <w:pPr>
              <w:jc w:val="center"/>
              <w:rPr>
                <w:rFonts w:ascii="宋体" w:hAnsi="宋体" w:eastAsia="宋体"/>
                <w:snapToGrid w:val="0"/>
                <w:color w:val="auto"/>
                <w:kern w:val="0"/>
              </w:rPr>
            </w:pPr>
            <w:r>
              <w:rPr>
                <w:rFonts w:ascii="宋体" w:hAnsi="宋体" w:eastAsia="宋体"/>
                <w:snapToGrid w:val="0"/>
                <w:color w:val="auto"/>
                <w:kern w:val="0"/>
              </w:rPr>
              <w:t>环境因素</w:t>
            </w:r>
          </w:p>
        </w:tc>
        <w:tc>
          <w:tcPr>
            <w:tcW w:w="383" w:type="pct"/>
            <w:vMerge w:val="restart"/>
            <w:shd w:val="clear" w:color="auto" w:fill="auto"/>
            <w:vAlign w:val="center"/>
          </w:tcPr>
          <w:p w14:paraId="77E8B9D1">
            <w:pPr>
              <w:jc w:val="center"/>
              <w:rPr>
                <w:rFonts w:ascii="宋体" w:hAnsi="宋体" w:eastAsia="宋体"/>
                <w:snapToGrid w:val="0"/>
                <w:color w:val="auto"/>
                <w:kern w:val="0"/>
              </w:rPr>
            </w:pPr>
            <w:r>
              <w:rPr>
                <w:rFonts w:ascii="宋体" w:hAnsi="宋体" w:eastAsia="宋体"/>
                <w:snapToGrid w:val="0"/>
                <w:color w:val="auto"/>
                <w:kern w:val="0"/>
              </w:rPr>
              <w:t>工程占地</w:t>
            </w:r>
          </w:p>
        </w:tc>
        <w:tc>
          <w:tcPr>
            <w:tcW w:w="3872" w:type="pct"/>
            <w:gridSpan w:val="5"/>
            <w:shd w:val="clear" w:color="auto" w:fill="auto"/>
            <w:vAlign w:val="center"/>
          </w:tcPr>
          <w:p w14:paraId="362D8495">
            <w:pPr>
              <w:jc w:val="center"/>
              <w:rPr>
                <w:rFonts w:ascii="宋体" w:hAnsi="宋体" w:eastAsia="宋体"/>
                <w:snapToGrid w:val="0"/>
                <w:color w:val="auto"/>
                <w:kern w:val="0"/>
              </w:rPr>
            </w:pPr>
            <w:r>
              <w:rPr>
                <w:rFonts w:ascii="宋体" w:hAnsi="宋体" w:eastAsia="宋体"/>
                <w:snapToGrid w:val="0"/>
                <w:color w:val="auto"/>
                <w:kern w:val="0"/>
              </w:rPr>
              <w:t>施工期</w:t>
            </w:r>
          </w:p>
        </w:tc>
      </w:tr>
      <w:tr w14:paraId="7FEB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continue"/>
            <w:tcBorders>
              <w:tl2br w:val="single" w:color="auto" w:sz="4" w:space="0"/>
            </w:tcBorders>
            <w:shd w:val="clear" w:color="auto" w:fill="auto"/>
            <w:vAlign w:val="center"/>
          </w:tcPr>
          <w:p w14:paraId="4D9ED25F">
            <w:pPr>
              <w:jc w:val="center"/>
              <w:rPr>
                <w:rFonts w:ascii="宋体" w:hAnsi="宋体" w:eastAsia="宋体"/>
                <w:snapToGrid w:val="0"/>
                <w:color w:val="auto"/>
                <w:kern w:val="0"/>
              </w:rPr>
            </w:pPr>
          </w:p>
        </w:tc>
        <w:tc>
          <w:tcPr>
            <w:tcW w:w="383" w:type="pct"/>
            <w:vMerge w:val="continue"/>
            <w:shd w:val="clear" w:color="auto" w:fill="auto"/>
            <w:vAlign w:val="center"/>
          </w:tcPr>
          <w:p w14:paraId="60F96A3D">
            <w:pPr>
              <w:jc w:val="center"/>
              <w:rPr>
                <w:rFonts w:ascii="宋体" w:hAnsi="宋体" w:eastAsia="宋体"/>
                <w:snapToGrid w:val="0"/>
                <w:color w:val="auto"/>
                <w:kern w:val="0"/>
              </w:rPr>
            </w:pPr>
          </w:p>
        </w:tc>
        <w:tc>
          <w:tcPr>
            <w:tcW w:w="687" w:type="pct"/>
            <w:shd w:val="clear" w:color="auto" w:fill="auto"/>
            <w:vAlign w:val="center"/>
          </w:tcPr>
          <w:p w14:paraId="5B6D9D4B">
            <w:pPr>
              <w:jc w:val="center"/>
              <w:rPr>
                <w:rFonts w:ascii="宋体" w:hAnsi="宋体" w:eastAsia="宋体"/>
                <w:snapToGrid w:val="0"/>
                <w:color w:val="auto"/>
                <w:kern w:val="0"/>
              </w:rPr>
            </w:pPr>
            <w:r>
              <w:rPr>
                <w:rFonts w:ascii="宋体" w:hAnsi="宋体" w:eastAsia="宋体"/>
                <w:snapToGrid w:val="0"/>
                <w:color w:val="auto"/>
                <w:kern w:val="0"/>
              </w:rPr>
              <w:t>废气</w:t>
            </w:r>
          </w:p>
        </w:tc>
        <w:tc>
          <w:tcPr>
            <w:tcW w:w="685" w:type="pct"/>
            <w:shd w:val="clear" w:color="auto" w:fill="auto"/>
            <w:vAlign w:val="center"/>
          </w:tcPr>
          <w:p w14:paraId="17383F1C">
            <w:pPr>
              <w:jc w:val="center"/>
              <w:rPr>
                <w:rFonts w:ascii="宋体" w:hAnsi="宋体" w:eastAsia="宋体"/>
                <w:snapToGrid w:val="0"/>
                <w:color w:val="auto"/>
                <w:kern w:val="0"/>
              </w:rPr>
            </w:pPr>
            <w:r>
              <w:rPr>
                <w:rFonts w:ascii="宋体" w:hAnsi="宋体" w:eastAsia="宋体"/>
                <w:snapToGrid w:val="0"/>
                <w:color w:val="auto"/>
                <w:kern w:val="0"/>
              </w:rPr>
              <w:t>废水</w:t>
            </w:r>
          </w:p>
        </w:tc>
        <w:tc>
          <w:tcPr>
            <w:tcW w:w="1070" w:type="pct"/>
            <w:shd w:val="clear" w:color="auto" w:fill="auto"/>
            <w:vAlign w:val="center"/>
          </w:tcPr>
          <w:p w14:paraId="63D9C81F">
            <w:pPr>
              <w:jc w:val="center"/>
              <w:rPr>
                <w:rFonts w:ascii="宋体" w:hAnsi="宋体" w:eastAsia="宋体"/>
                <w:snapToGrid w:val="0"/>
                <w:color w:val="auto"/>
                <w:kern w:val="0"/>
              </w:rPr>
            </w:pPr>
            <w:r>
              <w:rPr>
                <w:rFonts w:ascii="宋体" w:hAnsi="宋体" w:eastAsia="宋体"/>
                <w:snapToGrid w:val="0"/>
                <w:color w:val="auto"/>
                <w:kern w:val="0"/>
              </w:rPr>
              <w:t>固体废物</w:t>
            </w:r>
          </w:p>
        </w:tc>
        <w:tc>
          <w:tcPr>
            <w:tcW w:w="687" w:type="pct"/>
            <w:shd w:val="clear" w:color="auto" w:fill="auto"/>
            <w:vAlign w:val="center"/>
          </w:tcPr>
          <w:p w14:paraId="34DF3AE2">
            <w:pPr>
              <w:jc w:val="center"/>
              <w:rPr>
                <w:rFonts w:ascii="宋体" w:hAnsi="宋体" w:eastAsia="宋体"/>
                <w:snapToGrid w:val="0"/>
                <w:color w:val="auto"/>
                <w:kern w:val="0"/>
              </w:rPr>
            </w:pPr>
            <w:r>
              <w:rPr>
                <w:rFonts w:ascii="宋体" w:hAnsi="宋体" w:eastAsia="宋体"/>
                <w:snapToGrid w:val="0"/>
                <w:color w:val="auto"/>
                <w:kern w:val="0"/>
              </w:rPr>
              <w:t>噪声</w:t>
            </w:r>
          </w:p>
        </w:tc>
        <w:tc>
          <w:tcPr>
            <w:tcW w:w="743" w:type="pct"/>
            <w:shd w:val="clear" w:color="auto" w:fill="auto"/>
            <w:vAlign w:val="center"/>
          </w:tcPr>
          <w:p w14:paraId="72E2BFF9">
            <w:pPr>
              <w:jc w:val="center"/>
              <w:rPr>
                <w:rFonts w:ascii="宋体" w:hAnsi="宋体" w:eastAsia="宋体"/>
                <w:snapToGrid w:val="0"/>
                <w:color w:val="auto"/>
                <w:kern w:val="0"/>
              </w:rPr>
            </w:pPr>
            <w:r>
              <w:rPr>
                <w:rFonts w:ascii="宋体" w:hAnsi="宋体" w:eastAsia="宋体"/>
                <w:snapToGrid w:val="0"/>
                <w:color w:val="auto"/>
                <w:kern w:val="0"/>
              </w:rPr>
              <w:t>风险</w:t>
            </w:r>
          </w:p>
        </w:tc>
      </w:tr>
      <w:tr w14:paraId="621C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continue"/>
            <w:tcBorders>
              <w:tl2br w:val="single" w:color="auto" w:sz="4" w:space="0"/>
            </w:tcBorders>
            <w:shd w:val="clear" w:color="auto" w:fill="auto"/>
            <w:vAlign w:val="center"/>
          </w:tcPr>
          <w:p w14:paraId="0E3604B7">
            <w:pPr>
              <w:jc w:val="center"/>
              <w:rPr>
                <w:rFonts w:ascii="宋体" w:hAnsi="宋体" w:eastAsia="宋体"/>
                <w:snapToGrid w:val="0"/>
                <w:color w:val="auto"/>
                <w:kern w:val="0"/>
              </w:rPr>
            </w:pPr>
          </w:p>
        </w:tc>
        <w:tc>
          <w:tcPr>
            <w:tcW w:w="383" w:type="pct"/>
            <w:vMerge w:val="continue"/>
            <w:shd w:val="clear" w:color="auto" w:fill="auto"/>
            <w:vAlign w:val="center"/>
          </w:tcPr>
          <w:p w14:paraId="495FAA49">
            <w:pPr>
              <w:jc w:val="center"/>
              <w:rPr>
                <w:rFonts w:ascii="宋体" w:hAnsi="宋体" w:eastAsia="宋体"/>
                <w:snapToGrid w:val="0"/>
                <w:color w:val="auto"/>
                <w:kern w:val="0"/>
              </w:rPr>
            </w:pPr>
          </w:p>
        </w:tc>
        <w:tc>
          <w:tcPr>
            <w:tcW w:w="687" w:type="pct"/>
            <w:shd w:val="clear" w:color="auto" w:fill="auto"/>
            <w:vAlign w:val="center"/>
          </w:tcPr>
          <w:p w14:paraId="76148922">
            <w:pPr>
              <w:kinsoku w:val="0"/>
              <w:overflowPunct w:val="0"/>
              <w:jc w:val="center"/>
              <w:rPr>
                <w:rFonts w:ascii="宋体" w:hAnsi="宋体" w:eastAsia="宋体"/>
                <w:snapToGrid w:val="0"/>
                <w:color w:val="auto"/>
                <w:kern w:val="0"/>
              </w:rPr>
            </w:pPr>
            <w:r>
              <w:rPr>
                <w:rFonts w:ascii="宋体" w:hAnsi="宋体" w:eastAsia="宋体"/>
                <w:color w:val="auto"/>
              </w:rPr>
              <w:t>施工扬尘、车辆尾气、柴油机废气、焊接烟尘、试油废气</w:t>
            </w:r>
          </w:p>
        </w:tc>
        <w:tc>
          <w:tcPr>
            <w:tcW w:w="685" w:type="pct"/>
            <w:shd w:val="clear" w:color="auto" w:fill="auto"/>
            <w:vAlign w:val="center"/>
          </w:tcPr>
          <w:p w14:paraId="0CDDDCA8">
            <w:pPr>
              <w:kinsoku w:val="0"/>
              <w:overflowPunct w:val="0"/>
              <w:jc w:val="center"/>
              <w:rPr>
                <w:rFonts w:ascii="宋体" w:hAnsi="宋体" w:eastAsia="宋体"/>
                <w:snapToGrid w:val="0"/>
                <w:color w:val="auto"/>
                <w:kern w:val="0"/>
              </w:rPr>
            </w:pPr>
            <w:r>
              <w:rPr>
                <w:rFonts w:ascii="宋体" w:hAnsi="宋体" w:eastAsia="宋体"/>
                <w:color w:val="auto"/>
              </w:rPr>
              <w:t>水基钻井废水、油基钻井废水、压裂返排液、试压废水、生活污水、试油产液</w:t>
            </w:r>
          </w:p>
        </w:tc>
        <w:tc>
          <w:tcPr>
            <w:tcW w:w="1070" w:type="pct"/>
            <w:shd w:val="clear" w:color="auto" w:fill="auto"/>
            <w:vAlign w:val="center"/>
          </w:tcPr>
          <w:p w14:paraId="3666E3E3">
            <w:pPr>
              <w:kinsoku w:val="0"/>
              <w:overflowPunct w:val="0"/>
              <w:jc w:val="center"/>
              <w:rPr>
                <w:rFonts w:ascii="宋体" w:hAnsi="宋体" w:eastAsia="宋体"/>
                <w:snapToGrid w:val="0"/>
                <w:color w:val="auto"/>
                <w:kern w:val="0"/>
              </w:rPr>
            </w:pPr>
            <w:r>
              <w:rPr>
                <w:rFonts w:ascii="宋体" w:hAnsi="宋体" w:eastAsia="宋体"/>
                <w:color w:val="auto"/>
              </w:rPr>
              <w:t>水基钻井岩屑、水基废钻井液、含油废射孔液、油基钻井岩屑、油基废钻井液、含油废防渗布、一般废包装袋、施工废料、生活垃圾、落地油</w:t>
            </w:r>
          </w:p>
        </w:tc>
        <w:tc>
          <w:tcPr>
            <w:tcW w:w="687" w:type="pct"/>
            <w:shd w:val="clear" w:color="auto" w:fill="auto"/>
            <w:vAlign w:val="center"/>
          </w:tcPr>
          <w:p w14:paraId="2441408D">
            <w:pPr>
              <w:kinsoku w:val="0"/>
              <w:overflowPunct w:val="0"/>
              <w:jc w:val="center"/>
              <w:rPr>
                <w:rFonts w:ascii="宋体" w:hAnsi="宋体" w:eastAsia="宋体"/>
                <w:snapToGrid w:val="0"/>
                <w:color w:val="auto"/>
                <w:kern w:val="0"/>
              </w:rPr>
            </w:pPr>
            <w:r>
              <w:rPr>
                <w:rFonts w:ascii="宋体" w:hAnsi="宋体" w:eastAsia="宋体"/>
                <w:snapToGrid w:val="0"/>
                <w:color w:val="auto"/>
                <w:kern w:val="0"/>
              </w:rPr>
              <w:t>施工车辆、钻机、柴油发电机、压裂设备等施工机械噪声</w:t>
            </w:r>
          </w:p>
        </w:tc>
        <w:tc>
          <w:tcPr>
            <w:tcW w:w="743" w:type="pct"/>
            <w:shd w:val="clear" w:color="auto" w:fill="auto"/>
            <w:vAlign w:val="center"/>
          </w:tcPr>
          <w:p w14:paraId="765626D4">
            <w:pPr>
              <w:kinsoku w:val="0"/>
              <w:overflowPunct w:val="0"/>
              <w:jc w:val="center"/>
              <w:rPr>
                <w:rFonts w:ascii="宋体" w:hAnsi="宋体" w:eastAsia="宋体"/>
                <w:snapToGrid w:val="0"/>
                <w:color w:val="auto"/>
                <w:kern w:val="0"/>
              </w:rPr>
            </w:pPr>
            <w:r>
              <w:rPr>
                <w:rFonts w:ascii="宋体" w:hAnsi="宋体" w:eastAsia="宋体"/>
                <w:snapToGrid w:val="0"/>
                <w:color w:val="auto"/>
                <w:kern w:val="0"/>
              </w:rPr>
              <w:t>井喷、井漏、套管连接不及时泥浆泄漏、泥浆循环罐区泄漏、柴油罐泄漏、试油拉运罐车</w:t>
            </w:r>
            <w:r>
              <w:rPr>
                <w:rFonts w:hint="eastAsia" w:ascii="宋体" w:hAnsi="宋体" w:eastAsia="宋体"/>
                <w:snapToGrid w:val="0"/>
                <w:color w:val="auto"/>
                <w:kern w:val="0"/>
              </w:rPr>
              <w:t>泄漏</w:t>
            </w:r>
          </w:p>
        </w:tc>
      </w:tr>
      <w:tr w14:paraId="5496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shd w:val="clear" w:color="auto" w:fill="auto"/>
            <w:vAlign w:val="center"/>
          </w:tcPr>
          <w:p w14:paraId="7BD00DF4">
            <w:pPr>
              <w:jc w:val="center"/>
              <w:rPr>
                <w:rFonts w:ascii="宋体" w:hAnsi="宋体" w:eastAsia="宋体"/>
                <w:snapToGrid w:val="0"/>
                <w:color w:val="auto"/>
                <w:kern w:val="0"/>
              </w:rPr>
            </w:pPr>
            <w:r>
              <w:rPr>
                <w:rFonts w:ascii="宋体" w:hAnsi="宋体" w:eastAsia="宋体"/>
                <w:snapToGrid w:val="0"/>
                <w:color w:val="auto"/>
                <w:kern w:val="0"/>
              </w:rPr>
              <w:t>环境空气</w:t>
            </w:r>
          </w:p>
        </w:tc>
        <w:tc>
          <w:tcPr>
            <w:tcW w:w="383" w:type="pct"/>
            <w:shd w:val="clear" w:color="auto" w:fill="auto"/>
            <w:vAlign w:val="center"/>
          </w:tcPr>
          <w:p w14:paraId="77B44C2A">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5ADAD148">
            <w:pPr>
              <w:jc w:val="center"/>
              <w:rPr>
                <w:rFonts w:ascii="宋体" w:hAnsi="宋体" w:eastAsia="宋体"/>
                <w:snapToGrid w:val="0"/>
                <w:color w:val="auto"/>
                <w:kern w:val="0"/>
              </w:rPr>
            </w:pPr>
            <w:r>
              <w:rPr>
                <w:rFonts w:ascii="宋体" w:hAnsi="宋体" w:eastAsia="宋体"/>
                <w:snapToGrid w:val="0"/>
                <w:color w:val="auto"/>
                <w:kern w:val="0"/>
              </w:rPr>
              <w:t>-S</w:t>
            </w:r>
          </w:p>
        </w:tc>
        <w:tc>
          <w:tcPr>
            <w:tcW w:w="685" w:type="pct"/>
            <w:shd w:val="clear" w:color="auto" w:fill="auto"/>
            <w:vAlign w:val="center"/>
          </w:tcPr>
          <w:p w14:paraId="179B91E6">
            <w:pPr>
              <w:jc w:val="center"/>
              <w:rPr>
                <w:rFonts w:ascii="宋体" w:hAnsi="宋体" w:eastAsia="宋体"/>
                <w:snapToGrid w:val="0"/>
                <w:color w:val="auto"/>
                <w:kern w:val="0"/>
              </w:rPr>
            </w:pPr>
            <w:r>
              <w:rPr>
                <w:rFonts w:ascii="宋体" w:hAnsi="宋体" w:eastAsia="宋体"/>
                <w:snapToGrid w:val="0"/>
                <w:color w:val="auto"/>
                <w:kern w:val="0"/>
              </w:rPr>
              <w:t>/</w:t>
            </w:r>
          </w:p>
        </w:tc>
        <w:tc>
          <w:tcPr>
            <w:tcW w:w="1070" w:type="pct"/>
            <w:shd w:val="clear" w:color="auto" w:fill="auto"/>
            <w:vAlign w:val="center"/>
          </w:tcPr>
          <w:p w14:paraId="4638D6C2">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0D939EC8">
            <w:pPr>
              <w:jc w:val="center"/>
              <w:rPr>
                <w:rFonts w:ascii="宋体" w:hAnsi="宋体" w:eastAsia="宋体"/>
                <w:snapToGrid w:val="0"/>
                <w:color w:val="auto"/>
                <w:kern w:val="0"/>
              </w:rPr>
            </w:pPr>
            <w:r>
              <w:rPr>
                <w:rFonts w:ascii="宋体" w:hAnsi="宋体" w:eastAsia="宋体"/>
                <w:snapToGrid w:val="0"/>
                <w:color w:val="auto"/>
                <w:kern w:val="0"/>
              </w:rPr>
              <w:t>/</w:t>
            </w:r>
          </w:p>
        </w:tc>
        <w:tc>
          <w:tcPr>
            <w:tcW w:w="743" w:type="pct"/>
            <w:shd w:val="clear" w:color="auto" w:fill="auto"/>
            <w:vAlign w:val="center"/>
          </w:tcPr>
          <w:p w14:paraId="733F0B03">
            <w:pPr>
              <w:jc w:val="center"/>
              <w:rPr>
                <w:rFonts w:ascii="宋体" w:hAnsi="宋体" w:eastAsia="宋体"/>
                <w:snapToGrid w:val="0"/>
                <w:color w:val="auto"/>
                <w:kern w:val="0"/>
              </w:rPr>
            </w:pPr>
            <w:r>
              <w:rPr>
                <w:rFonts w:ascii="宋体" w:hAnsi="宋体" w:eastAsia="宋体"/>
                <w:snapToGrid w:val="0"/>
                <w:color w:val="auto"/>
                <w:kern w:val="0"/>
              </w:rPr>
              <w:t>-S</w:t>
            </w:r>
          </w:p>
        </w:tc>
      </w:tr>
      <w:tr w14:paraId="4469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shd w:val="clear" w:color="auto" w:fill="auto"/>
            <w:vAlign w:val="center"/>
          </w:tcPr>
          <w:p w14:paraId="27F99808">
            <w:pPr>
              <w:jc w:val="center"/>
              <w:rPr>
                <w:rFonts w:ascii="宋体" w:hAnsi="宋体" w:eastAsia="宋体"/>
                <w:snapToGrid w:val="0"/>
                <w:color w:val="auto"/>
                <w:kern w:val="0"/>
              </w:rPr>
            </w:pPr>
            <w:r>
              <w:rPr>
                <w:rFonts w:ascii="宋体" w:hAnsi="宋体" w:eastAsia="宋体"/>
                <w:snapToGrid w:val="0"/>
                <w:color w:val="auto"/>
                <w:kern w:val="0"/>
              </w:rPr>
              <w:t>地表水</w:t>
            </w:r>
          </w:p>
        </w:tc>
        <w:tc>
          <w:tcPr>
            <w:tcW w:w="383" w:type="pct"/>
            <w:shd w:val="clear" w:color="auto" w:fill="auto"/>
            <w:vAlign w:val="center"/>
          </w:tcPr>
          <w:p w14:paraId="2D4A42E0">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14F4484B">
            <w:pPr>
              <w:jc w:val="center"/>
              <w:rPr>
                <w:rFonts w:ascii="宋体" w:hAnsi="宋体" w:eastAsia="宋体"/>
                <w:snapToGrid w:val="0"/>
                <w:color w:val="auto"/>
                <w:kern w:val="0"/>
              </w:rPr>
            </w:pPr>
            <w:r>
              <w:rPr>
                <w:rFonts w:ascii="宋体" w:hAnsi="宋体" w:eastAsia="宋体"/>
                <w:snapToGrid w:val="0"/>
                <w:color w:val="auto"/>
                <w:kern w:val="0"/>
              </w:rPr>
              <w:t>/</w:t>
            </w:r>
          </w:p>
        </w:tc>
        <w:tc>
          <w:tcPr>
            <w:tcW w:w="685" w:type="pct"/>
            <w:shd w:val="clear" w:color="auto" w:fill="auto"/>
            <w:vAlign w:val="center"/>
          </w:tcPr>
          <w:p w14:paraId="7A863292">
            <w:pPr>
              <w:jc w:val="center"/>
              <w:rPr>
                <w:rFonts w:ascii="宋体" w:hAnsi="宋体" w:eastAsia="宋体"/>
                <w:snapToGrid w:val="0"/>
                <w:color w:val="auto"/>
                <w:kern w:val="0"/>
              </w:rPr>
            </w:pPr>
            <w:r>
              <w:rPr>
                <w:rFonts w:ascii="宋体" w:hAnsi="宋体" w:eastAsia="宋体"/>
                <w:snapToGrid w:val="0"/>
                <w:color w:val="auto"/>
                <w:kern w:val="0"/>
              </w:rPr>
              <w:t>-S</w:t>
            </w:r>
          </w:p>
        </w:tc>
        <w:tc>
          <w:tcPr>
            <w:tcW w:w="1070" w:type="pct"/>
            <w:shd w:val="clear" w:color="auto" w:fill="auto"/>
            <w:vAlign w:val="center"/>
          </w:tcPr>
          <w:p w14:paraId="094EF644">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354A3F7C">
            <w:pPr>
              <w:jc w:val="center"/>
              <w:rPr>
                <w:rFonts w:ascii="宋体" w:hAnsi="宋体" w:eastAsia="宋体"/>
                <w:snapToGrid w:val="0"/>
                <w:color w:val="auto"/>
                <w:kern w:val="0"/>
              </w:rPr>
            </w:pPr>
            <w:r>
              <w:rPr>
                <w:rFonts w:ascii="宋体" w:hAnsi="宋体" w:eastAsia="宋体"/>
                <w:snapToGrid w:val="0"/>
                <w:color w:val="auto"/>
                <w:kern w:val="0"/>
              </w:rPr>
              <w:t>/</w:t>
            </w:r>
          </w:p>
        </w:tc>
        <w:tc>
          <w:tcPr>
            <w:tcW w:w="743" w:type="pct"/>
            <w:shd w:val="clear" w:color="auto" w:fill="auto"/>
            <w:vAlign w:val="center"/>
          </w:tcPr>
          <w:p w14:paraId="7C723509">
            <w:pPr>
              <w:jc w:val="center"/>
              <w:rPr>
                <w:rFonts w:ascii="宋体" w:hAnsi="宋体" w:eastAsia="宋体"/>
                <w:snapToGrid w:val="0"/>
                <w:color w:val="auto"/>
                <w:kern w:val="0"/>
              </w:rPr>
            </w:pPr>
            <w:r>
              <w:rPr>
                <w:rFonts w:ascii="宋体" w:hAnsi="宋体" w:eastAsia="宋体"/>
                <w:snapToGrid w:val="0"/>
                <w:color w:val="auto"/>
                <w:kern w:val="0"/>
              </w:rPr>
              <w:t>-SA</w:t>
            </w:r>
          </w:p>
        </w:tc>
      </w:tr>
      <w:tr w14:paraId="1857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shd w:val="clear" w:color="auto" w:fill="auto"/>
            <w:vAlign w:val="center"/>
          </w:tcPr>
          <w:p w14:paraId="21832F47">
            <w:pPr>
              <w:jc w:val="center"/>
              <w:rPr>
                <w:rFonts w:ascii="宋体" w:hAnsi="宋体" w:eastAsia="宋体"/>
                <w:snapToGrid w:val="0"/>
                <w:color w:val="auto"/>
                <w:kern w:val="0"/>
              </w:rPr>
            </w:pPr>
            <w:r>
              <w:rPr>
                <w:rFonts w:ascii="宋体" w:hAnsi="宋体" w:eastAsia="宋体"/>
                <w:snapToGrid w:val="0"/>
                <w:color w:val="auto"/>
                <w:kern w:val="0"/>
              </w:rPr>
              <w:t>地下水</w:t>
            </w:r>
          </w:p>
        </w:tc>
        <w:tc>
          <w:tcPr>
            <w:tcW w:w="383" w:type="pct"/>
            <w:shd w:val="clear" w:color="auto" w:fill="auto"/>
            <w:vAlign w:val="center"/>
          </w:tcPr>
          <w:p w14:paraId="40B96ED7">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24DE02DA">
            <w:pPr>
              <w:jc w:val="center"/>
              <w:rPr>
                <w:rFonts w:ascii="宋体" w:hAnsi="宋体" w:eastAsia="宋体"/>
                <w:snapToGrid w:val="0"/>
                <w:color w:val="auto"/>
                <w:kern w:val="0"/>
              </w:rPr>
            </w:pPr>
            <w:r>
              <w:rPr>
                <w:rFonts w:ascii="宋体" w:hAnsi="宋体" w:eastAsia="宋体"/>
                <w:snapToGrid w:val="0"/>
                <w:color w:val="auto"/>
                <w:kern w:val="0"/>
              </w:rPr>
              <w:t>/</w:t>
            </w:r>
          </w:p>
        </w:tc>
        <w:tc>
          <w:tcPr>
            <w:tcW w:w="685" w:type="pct"/>
            <w:shd w:val="clear" w:color="auto" w:fill="auto"/>
            <w:vAlign w:val="center"/>
          </w:tcPr>
          <w:p w14:paraId="74202961">
            <w:pPr>
              <w:jc w:val="center"/>
              <w:rPr>
                <w:rFonts w:ascii="宋体" w:hAnsi="宋体" w:eastAsia="宋体"/>
                <w:snapToGrid w:val="0"/>
                <w:color w:val="auto"/>
                <w:kern w:val="0"/>
              </w:rPr>
            </w:pPr>
            <w:r>
              <w:rPr>
                <w:rFonts w:ascii="宋体" w:hAnsi="宋体" w:eastAsia="宋体"/>
                <w:snapToGrid w:val="0"/>
                <w:color w:val="auto"/>
                <w:kern w:val="0"/>
              </w:rPr>
              <w:t>-S</w:t>
            </w:r>
          </w:p>
        </w:tc>
        <w:tc>
          <w:tcPr>
            <w:tcW w:w="1070" w:type="pct"/>
            <w:shd w:val="clear" w:color="auto" w:fill="auto"/>
            <w:vAlign w:val="center"/>
          </w:tcPr>
          <w:p w14:paraId="10E05352">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08E9259E">
            <w:pPr>
              <w:jc w:val="center"/>
              <w:rPr>
                <w:rFonts w:ascii="宋体" w:hAnsi="宋体" w:eastAsia="宋体"/>
                <w:snapToGrid w:val="0"/>
                <w:color w:val="auto"/>
                <w:kern w:val="0"/>
              </w:rPr>
            </w:pPr>
            <w:r>
              <w:rPr>
                <w:rFonts w:ascii="宋体" w:hAnsi="宋体" w:eastAsia="宋体"/>
                <w:snapToGrid w:val="0"/>
                <w:color w:val="auto"/>
                <w:kern w:val="0"/>
              </w:rPr>
              <w:t>/</w:t>
            </w:r>
          </w:p>
        </w:tc>
        <w:tc>
          <w:tcPr>
            <w:tcW w:w="743" w:type="pct"/>
            <w:shd w:val="clear" w:color="auto" w:fill="auto"/>
            <w:vAlign w:val="center"/>
          </w:tcPr>
          <w:p w14:paraId="7354D40B">
            <w:pPr>
              <w:jc w:val="center"/>
              <w:rPr>
                <w:rFonts w:ascii="宋体" w:hAnsi="宋体" w:eastAsia="宋体"/>
                <w:snapToGrid w:val="0"/>
                <w:color w:val="auto"/>
                <w:kern w:val="0"/>
              </w:rPr>
            </w:pPr>
            <w:r>
              <w:rPr>
                <w:rFonts w:ascii="宋体" w:hAnsi="宋体" w:eastAsia="宋体"/>
                <w:snapToGrid w:val="0"/>
                <w:color w:val="auto"/>
                <w:kern w:val="0"/>
              </w:rPr>
              <w:t>-SA</w:t>
            </w:r>
          </w:p>
        </w:tc>
      </w:tr>
      <w:tr w14:paraId="1388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shd w:val="clear" w:color="auto" w:fill="auto"/>
            <w:vAlign w:val="center"/>
          </w:tcPr>
          <w:p w14:paraId="7679B4A6">
            <w:pPr>
              <w:jc w:val="center"/>
              <w:rPr>
                <w:rFonts w:ascii="宋体" w:hAnsi="宋体" w:eastAsia="宋体"/>
                <w:snapToGrid w:val="0"/>
                <w:color w:val="auto"/>
                <w:kern w:val="0"/>
              </w:rPr>
            </w:pPr>
            <w:r>
              <w:rPr>
                <w:rFonts w:ascii="宋体" w:hAnsi="宋体" w:eastAsia="宋体"/>
                <w:snapToGrid w:val="0"/>
                <w:color w:val="auto"/>
                <w:kern w:val="0"/>
              </w:rPr>
              <w:t>声环境</w:t>
            </w:r>
          </w:p>
        </w:tc>
        <w:tc>
          <w:tcPr>
            <w:tcW w:w="383" w:type="pct"/>
            <w:shd w:val="clear" w:color="auto" w:fill="auto"/>
            <w:vAlign w:val="center"/>
          </w:tcPr>
          <w:p w14:paraId="36144ABA">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43839650">
            <w:pPr>
              <w:jc w:val="center"/>
              <w:rPr>
                <w:rFonts w:ascii="宋体" w:hAnsi="宋体" w:eastAsia="宋体"/>
                <w:snapToGrid w:val="0"/>
                <w:color w:val="auto"/>
                <w:kern w:val="0"/>
              </w:rPr>
            </w:pPr>
            <w:r>
              <w:rPr>
                <w:rFonts w:ascii="宋体" w:hAnsi="宋体" w:eastAsia="宋体"/>
                <w:snapToGrid w:val="0"/>
                <w:color w:val="auto"/>
                <w:kern w:val="0"/>
              </w:rPr>
              <w:t>/</w:t>
            </w:r>
          </w:p>
        </w:tc>
        <w:tc>
          <w:tcPr>
            <w:tcW w:w="685" w:type="pct"/>
            <w:shd w:val="clear" w:color="auto" w:fill="auto"/>
            <w:vAlign w:val="center"/>
          </w:tcPr>
          <w:p w14:paraId="2A2A659D">
            <w:pPr>
              <w:jc w:val="center"/>
              <w:rPr>
                <w:rFonts w:ascii="宋体" w:hAnsi="宋体" w:eastAsia="宋体"/>
                <w:snapToGrid w:val="0"/>
                <w:color w:val="auto"/>
                <w:kern w:val="0"/>
              </w:rPr>
            </w:pPr>
            <w:r>
              <w:rPr>
                <w:rFonts w:ascii="宋体" w:hAnsi="宋体" w:eastAsia="宋体"/>
                <w:snapToGrid w:val="0"/>
                <w:color w:val="auto"/>
                <w:kern w:val="0"/>
              </w:rPr>
              <w:t>/</w:t>
            </w:r>
          </w:p>
        </w:tc>
        <w:tc>
          <w:tcPr>
            <w:tcW w:w="1070" w:type="pct"/>
            <w:shd w:val="clear" w:color="auto" w:fill="auto"/>
            <w:vAlign w:val="center"/>
          </w:tcPr>
          <w:p w14:paraId="3788F6C0">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1C6EFEDE">
            <w:pPr>
              <w:jc w:val="center"/>
              <w:rPr>
                <w:rFonts w:ascii="宋体" w:hAnsi="宋体" w:eastAsia="宋体"/>
                <w:snapToGrid w:val="0"/>
                <w:color w:val="auto"/>
                <w:kern w:val="0"/>
              </w:rPr>
            </w:pPr>
            <w:r>
              <w:rPr>
                <w:rFonts w:ascii="宋体" w:hAnsi="宋体" w:eastAsia="宋体"/>
                <w:snapToGrid w:val="0"/>
                <w:color w:val="auto"/>
                <w:kern w:val="0"/>
              </w:rPr>
              <w:t>-S</w:t>
            </w:r>
          </w:p>
        </w:tc>
        <w:tc>
          <w:tcPr>
            <w:tcW w:w="743" w:type="pct"/>
            <w:shd w:val="clear" w:color="auto" w:fill="auto"/>
            <w:vAlign w:val="center"/>
          </w:tcPr>
          <w:p w14:paraId="69343954">
            <w:pPr>
              <w:jc w:val="center"/>
              <w:rPr>
                <w:rFonts w:ascii="宋体" w:hAnsi="宋体" w:eastAsia="宋体"/>
                <w:snapToGrid w:val="0"/>
                <w:color w:val="auto"/>
                <w:kern w:val="0"/>
              </w:rPr>
            </w:pPr>
            <w:r>
              <w:rPr>
                <w:rFonts w:ascii="宋体" w:hAnsi="宋体" w:eastAsia="宋体"/>
                <w:snapToGrid w:val="0"/>
                <w:color w:val="auto"/>
                <w:kern w:val="0"/>
              </w:rPr>
              <w:t>/</w:t>
            </w:r>
          </w:p>
        </w:tc>
      </w:tr>
      <w:tr w14:paraId="7DF0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shd w:val="clear" w:color="auto" w:fill="auto"/>
            <w:vAlign w:val="center"/>
          </w:tcPr>
          <w:p w14:paraId="69FC7AFF">
            <w:pPr>
              <w:jc w:val="center"/>
              <w:rPr>
                <w:rFonts w:ascii="宋体" w:hAnsi="宋体" w:eastAsia="宋体"/>
                <w:snapToGrid w:val="0"/>
                <w:color w:val="auto"/>
                <w:kern w:val="0"/>
              </w:rPr>
            </w:pPr>
            <w:r>
              <w:rPr>
                <w:rFonts w:ascii="宋体" w:hAnsi="宋体" w:eastAsia="宋体"/>
                <w:snapToGrid w:val="0"/>
                <w:color w:val="auto"/>
                <w:kern w:val="0"/>
              </w:rPr>
              <w:t>土壤</w:t>
            </w:r>
          </w:p>
        </w:tc>
        <w:tc>
          <w:tcPr>
            <w:tcW w:w="383" w:type="pct"/>
            <w:shd w:val="clear" w:color="auto" w:fill="auto"/>
            <w:vAlign w:val="center"/>
          </w:tcPr>
          <w:p w14:paraId="16076540">
            <w:pPr>
              <w:jc w:val="center"/>
              <w:rPr>
                <w:rFonts w:ascii="宋体" w:hAnsi="宋体" w:eastAsia="宋体"/>
                <w:snapToGrid w:val="0"/>
                <w:color w:val="auto"/>
                <w:kern w:val="0"/>
              </w:rPr>
            </w:pPr>
            <w:r>
              <w:rPr>
                <w:rFonts w:ascii="宋体" w:hAnsi="宋体" w:eastAsia="宋体"/>
                <w:snapToGrid w:val="0"/>
                <w:color w:val="auto"/>
                <w:kern w:val="0"/>
              </w:rPr>
              <w:t>-</w:t>
            </w:r>
            <w:r>
              <w:rPr>
                <w:rFonts w:ascii="宋体" w:hAnsi="宋体" w:eastAsia="宋体"/>
                <w:color w:val="auto"/>
              </w:rPr>
              <w:t xml:space="preserve"> S</w:t>
            </w:r>
          </w:p>
        </w:tc>
        <w:tc>
          <w:tcPr>
            <w:tcW w:w="687" w:type="pct"/>
            <w:shd w:val="clear" w:color="auto" w:fill="auto"/>
            <w:vAlign w:val="center"/>
          </w:tcPr>
          <w:p w14:paraId="34C40F35">
            <w:pPr>
              <w:jc w:val="center"/>
              <w:rPr>
                <w:rFonts w:ascii="宋体" w:hAnsi="宋体" w:eastAsia="宋体"/>
                <w:snapToGrid w:val="0"/>
                <w:color w:val="auto"/>
                <w:kern w:val="0"/>
              </w:rPr>
            </w:pPr>
            <w:r>
              <w:rPr>
                <w:rFonts w:ascii="宋体" w:hAnsi="宋体" w:eastAsia="宋体"/>
                <w:snapToGrid w:val="0"/>
                <w:color w:val="auto"/>
                <w:kern w:val="0"/>
              </w:rPr>
              <w:t>/</w:t>
            </w:r>
          </w:p>
        </w:tc>
        <w:tc>
          <w:tcPr>
            <w:tcW w:w="685" w:type="pct"/>
            <w:shd w:val="clear" w:color="auto" w:fill="auto"/>
            <w:vAlign w:val="center"/>
          </w:tcPr>
          <w:p w14:paraId="60883E9E">
            <w:pPr>
              <w:jc w:val="center"/>
              <w:rPr>
                <w:rFonts w:ascii="宋体" w:hAnsi="宋体" w:eastAsia="宋体"/>
                <w:snapToGrid w:val="0"/>
                <w:color w:val="auto"/>
                <w:kern w:val="0"/>
              </w:rPr>
            </w:pPr>
            <w:r>
              <w:rPr>
                <w:rFonts w:ascii="宋体" w:hAnsi="宋体" w:eastAsia="宋体"/>
                <w:snapToGrid w:val="0"/>
                <w:color w:val="auto"/>
                <w:kern w:val="0"/>
              </w:rPr>
              <w:t>/</w:t>
            </w:r>
          </w:p>
        </w:tc>
        <w:tc>
          <w:tcPr>
            <w:tcW w:w="1070" w:type="pct"/>
            <w:shd w:val="clear" w:color="auto" w:fill="auto"/>
            <w:vAlign w:val="center"/>
          </w:tcPr>
          <w:p w14:paraId="65D70F7C">
            <w:pPr>
              <w:jc w:val="center"/>
              <w:rPr>
                <w:rFonts w:ascii="宋体" w:hAnsi="宋体" w:eastAsia="宋体"/>
                <w:snapToGrid w:val="0"/>
                <w:color w:val="auto"/>
                <w:kern w:val="0"/>
              </w:rPr>
            </w:pPr>
            <w:r>
              <w:rPr>
                <w:rFonts w:ascii="宋体" w:hAnsi="宋体" w:eastAsia="宋体"/>
                <w:snapToGrid w:val="0"/>
                <w:color w:val="auto"/>
                <w:kern w:val="0"/>
              </w:rPr>
              <w:t>-</w:t>
            </w:r>
            <w:r>
              <w:rPr>
                <w:rFonts w:ascii="宋体" w:hAnsi="宋体" w:eastAsia="宋体"/>
                <w:color w:val="auto"/>
              </w:rPr>
              <w:t xml:space="preserve"> S</w:t>
            </w:r>
          </w:p>
        </w:tc>
        <w:tc>
          <w:tcPr>
            <w:tcW w:w="687" w:type="pct"/>
            <w:shd w:val="clear" w:color="auto" w:fill="auto"/>
            <w:vAlign w:val="center"/>
          </w:tcPr>
          <w:p w14:paraId="0679EAF5">
            <w:pPr>
              <w:jc w:val="center"/>
              <w:rPr>
                <w:rFonts w:ascii="宋体" w:hAnsi="宋体" w:eastAsia="宋体"/>
                <w:snapToGrid w:val="0"/>
                <w:color w:val="auto"/>
                <w:kern w:val="0"/>
              </w:rPr>
            </w:pPr>
            <w:r>
              <w:rPr>
                <w:rFonts w:ascii="宋体" w:hAnsi="宋体" w:eastAsia="宋体"/>
                <w:snapToGrid w:val="0"/>
                <w:color w:val="auto"/>
                <w:kern w:val="0"/>
              </w:rPr>
              <w:t>/</w:t>
            </w:r>
          </w:p>
        </w:tc>
        <w:tc>
          <w:tcPr>
            <w:tcW w:w="743" w:type="pct"/>
            <w:shd w:val="clear" w:color="auto" w:fill="auto"/>
            <w:vAlign w:val="center"/>
          </w:tcPr>
          <w:p w14:paraId="0E37637E">
            <w:pPr>
              <w:jc w:val="center"/>
              <w:rPr>
                <w:rFonts w:ascii="宋体" w:hAnsi="宋体" w:eastAsia="宋体"/>
                <w:snapToGrid w:val="0"/>
                <w:color w:val="auto"/>
                <w:kern w:val="0"/>
              </w:rPr>
            </w:pPr>
            <w:r>
              <w:rPr>
                <w:rFonts w:ascii="宋体" w:hAnsi="宋体" w:eastAsia="宋体"/>
                <w:snapToGrid w:val="0"/>
                <w:color w:val="auto"/>
                <w:kern w:val="0"/>
              </w:rPr>
              <w:t>-S</w:t>
            </w:r>
          </w:p>
        </w:tc>
      </w:tr>
      <w:tr w14:paraId="1C2D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shd w:val="clear" w:color="auto" w:fill="auto"/>
            <w:vAlign w:val="center"/>
          </w:tcPr>
          <w:p w14:paraId="1032E592">
            <w:pPr>
              <w:jc w:val="center"/>
              <w:rPr>
                <w:rFonts w:ascii="宋体" w:hAnsi="宋体" w:eastAsia="宋体"/>
                <w:snapToGrid w:val="0"/>
                <w:color w:val="auto"/>
                <w:kern w:val="0"/>
              </w:rPr>
            </w:pPr>
            <w:r>
              <w:rPr>
                <w:rFonts w:ascii="宋体" w:hAnsi="宋体" w:eastAsia="宋体"/>
                <w:snapToGrid w:val="0"/>
                <w:color w:val="auto"/>
                <w:kern w:val="0"/>
              </w:rPr>
              <w:t>植被</w:t>
            </w:r>
          </w:p>
        </w:tc>
        <w:tc>
          <w:tcPr>
            <w:tcW w:w="383" w:type="pct"/>
            <w:shd w:val="clear" w:color="auto" w:fill="auto"/>
            <w:vAlign w:val="center"/>
          </w:tcPr>
          <w:p w14:paraId="0B9DD9C0">
            <w:pPr>
              <w:jc w:val="center"/>
              <w:rPr>
                <w:rFonts w:ascii="宋体" w:hAnsi="宋体" w:eastAsia="宋体"/>
                <w:snapToGrid w:val="0"/>
                <w:color w:val="auto"/>
                <w:kern w:val="0"/>
              </w:rPr>
            </w:pPr>
            <w:r>
              <w:rPr>
                <w:rFonts w:ascii="宋体" w:hAnsi="宋体" w:eastAsia="宋体"/>
                <w:snapToGrid w:val="0"/>
                <w:color w:val="auto"/>
                <w:kern w:val="0"/>
              </w:rPr>
              <w:t>-</w:t>
            </w:r>
            <w:r>
              <w:rPr>
                <w:rFonts w:ascii="宋体" w:hAnsi="宋体" w:eastAsia="宋体"/>
                <w:color w:val="auto"/>
              </w:rPr>
              <w:t xml:space="preserve"> S</w:t>
            </w:r>
          </w:p>
        </w:tc>
        <w:tc>
          <w:tcPr>
            <w:tcW w:w="687" w:type="pct"/>
            <w:shd w:val="clear" w:color="auto" w:fill="auto"/>
            <w:vAlign w:val="center"/>
          </w:tcPr>
          <w:p w14:paraId="41B747B5">
            <w:pPr>
              <w:jc w:val="center"/>
              <w:rPr>
                <w:rFonts w:ascii="宋体" w:hAnsi="宋体" w:eastAsia="宋体"/>
                <w:snapToGrid w:val="0"/>
                <w:color w:val="auto"/>
                <w:kern w:val="0"/>
              </w:rPr>
            </w:pPr>
            <w:r>
              <w:rPr>
                <w:rFonts w:ascii="宋体" w:hAnsi="宋体" w:eastAsia="宋体"/>
                <w:snapToGrid w:val="0"/>
                <w:color w:val="auto"/>
                <w:kern w:val="0"/>
              </w:rPr>
              <w:t>/</w:t>
            </w:r>
          </w:p>
        </w:tc>
        <w:tc>
          <w:tcPr>
            <w:tcW w:w="685" w:type="pct"/>
            <w:shd w:val="clear" w:color="auto" w:fill="auto"/>
            <w:vAlign w:val="center"/>
          </w:tcPr>
          <w:p w14:paraId="2F46C3FF">
            <w:pPr>
              <w:jc w:val="center"/>
              <w:rPr>
                <w:rFonts w:ascii="宋体" w:hAnsi="宋体" w:eastAsia="宋体"/>
                <w:snapToGrid w:val="0"/>
                <w:color w:val="auto"/>
                <w:kern w:val="0"/>
              </w:rPr>
            </w:pPr>
            <w:r>
              <w:rPr>
                <w:rFonts w:ascii="宋体" w:hAnsi="宋体" w:eastAsia="宋体"/>
                <w:snapToGrid w:val="0"/>
                <w:color w:val="auto"/>
                <w:kern w:val="0"/>
              </w:rPr>
              <w:t>/</w:t>
            </w:r>
          </w:p>
        </w:tc>
        <w:tc>
          <w:tcPr>
            <w:tcW w:w="1070" w:type="pct"/>
            <w:shd w:val="clear" w:color="auto" w:fill="auto"/>
            <w:vAlign w:val="center"/>
          </w:tcPr>
          <w:p w14:paraId="48D9CDED">
            <w:pPr>
              <w:jc w:val="center"/>
              <w:rPr>
                <w:rFonts w:ascii="宋体" w:hAnsi="宋体" w:eastAsia="宋体"/>
                <w:snapToGrid w:val="0"/>
                <w:color w:val="auto"/>
                <w:kern w:val="0"/>
              </w:rPr>
            </w:pPr>
            <w:r>
              <w:rPr>
                <w:rFonts w:ascii="宋体" w:hAnsi="宋体" w:eastAsia="宋体"/>
                <w:snapToGrid w:val="0"/>
                <w:color w:val="auto"/>
                <w:kern w:val="0"/>
              </w:rPr>
              <w:t>-</w:t>
            </w:r>
            <w:r>
              <w:rPr>
                <w:rFonts w:ascii="宋体" w:hAnsi="宋体" w:eastAsia="宋体"/>
                <w:color w:val="auto"/>
              </w:rPr>
              <w:t xml:space="preserve"> S</w:t>
            </w:r>
          </w:p>
        </w:tc>
        <w:tc>
          <w:tcPr>
            <w:tcW w:w="687" w:type="pct"/>
            <w:shd w:val="clear" w:color="auto" w:fill="auto"/>
            <w:vAlign w:val="center"/>
          </w:tcPr>
          <w:p w14:paraId="66BDD117">
            <w:pPr>
              <w:jc w:val="center"/>
              <w:rPr>
                <w:rFonts w:ascii="宋体" w:hAnsi="宋体" w:eastAsia="宋体"/>
                <w:snapToGrid w:val="0"/>
                <w:color w:val="auto"/>
                <w:kern w:val="0"/>
              </w:rPr>
            </w:pPr>
            <w:r>
              <w:rPr>
                <w:rFonts w:ascii="宋体" w:hAnsi="宋体" w:eastAsia="宋体"/>
                <w:snapToGrid w:val="0"/>
                <w:color w:val="auto"/>
                <w:kern w:val="0"/>
              </w:rPr>
              <w:t>/</w:t>
            </w:r>
          </w:p>
        </w:tc>
        <w:tc>
          <w:tcPr>
            <w:tcW w:w="743" w:type="pct"/>
            <w:shd w:val="clear" w:color="auto" w:fill="auto"/>
            <w:vAlign w:val="center"/>
          </w:tcPr>
          <w:p w14:paraId="1B0B50F3">
            <w:pPr>
              <w:jc w:val="center"/>
              <w:rPr>
                <w:rFonts w:ascii="宋体" w:hAnsi="宋体" w:eastAsia="宋体"/>
                <w:snapToGrid w:val="0"/>
                <w:color w:val="auto"/>
                <w:kern w:val="0"/>
              </w:rPr>
            </w:pPr>
            <w:r>
              <w:rPr>
                <w:rFonts w:ascii="宋体" w:hAnsi="宋体" w:eastAsia="宋体"/>
                <w:snapToGrid w:val="0"/>
                <w:color w:val="auto"/>
                <w:kern w:val="0"/>
              </w:rPr>
              <w:t>-S</w:t>
            </w:r>
          </w:p>
        </w:tc>
      </w:tr>
      <w:tr w14:paraId="33C9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shd w:val="clear" w:color="auto" w:fill="auto"/>
            <w:vAlign w:val="center"/>
          </w:tcPr>
          <w:p w14:paraId="0E5D7E7A">
            <w:pPr>
              <w:jc w:val="center"/>
              <w:rPr>
                <w:rFonts w:ascii="宋体" w:hAnsi="宋体" w:eastAsia="宋体"/>
                <w:snapToGrid w:val="0"/>
                <w:color w:val="auto"/>
              </w:rPr>
            </w:pPr>
            <w:r>
              <w:rPr>
                <w:rFonts w:ascii="宋体" w:hAnsi="宋体" w:eastAsia="宋体"/>
                <w:snapToGrid w:val="0"/>
                <w:color w:val="auto"/>
              </w:rPr>
              <w:t>注：-：不利影响   +：有利影响   L：长期影响   S：短期影响   A：显著影响    /：表示此项环境因子不存在或与工程活动无关</w:t>
            </w:r>
          </w:p>
        </w:tc>
      </w:tr>
    </w:tbl>
    <w:p w14:paraId="5CEBCE7D">
      <w:pPr>
        <w:pStyle w:val="22"/>
        <w:spacing w:before="156"/>
        <w:rPr>
          <w:color w:val="auto"/>
        </w:rPr>
      </w:pPr>
      <w:r>
        <w:rPr>
          <w:color w:val="auto"/>
        </w:rPr>
        <w:t>续表2.4-1 环境影响因素矩阵识别表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748"/>
        <w:gridCol w:w="1276"/>
        <w:gridCol w:w="1133"/>
        <w:gridCol w:w="1419"/>
        <w:gridCol w:w="1200"/>
        <w:gridCol w:w="1881"/>
      </w:tblGrid>
      <w:tr w14:paraId="027A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77" w:type="pct"/>
            <w:vMerge w:val="restart"/>
            <w:tcBorders>
              <w:tl2br w:val="single" w:color="auto" w:sz="4" w:space="0"/>
            </w:tcBorders>
            <w:shd w:val="clear" w:color="auto" w:fill="auto"/>
            <w:vAlign w:val="center"/>
          </w:tcPr>
          <w:p w14:paraId="5D5D79A2">
            <w:pPr>
              <w:ind w:firstLine="525" w:firstLineChars="250"/>
              <w:jc w:val="center"/>
              <w:rPr>
                <w:rFonts w:ascii="宋体" w:hAnsi="宋体" w:eastAsia="宋体"/>
                <w:snapToGrid w:val="0"/>
                <w:color w:val="auto"/>
                <w:kern w:val="0"/>
              </w:rPr>
            </w:pPr>
            <w:r>
              <w:rPr>
                <w:rFonts w:ascii="宋体" w:hAnsi="宋体" w:eastAsia="宋体"/>
                <w:snapToGrid w:val="0"/>
                <w:color w:val="auto"/>
                <w:kern w:val="0"/>
              </w:rPr>
              <w:t>影响因素</w:t>
            </w:r>
          </w:p>
          <w:p w14:paraId="66102F17">
            <w:pPr>
              <w:jc w:val="center"/>
              <w:rPr>
                <w:rFonts w:ascii="宋体" w:hAnsi="宋体" w:eastAsia="宋体"/>
                <w:snapToGrid w:val="0"/>
                <w:color w:val="auto"/>
                <w:kern w:val="0"/>
              </w:rPr>
            </w:pPr>
          </w:p>
          <w:p w14:paraId="15EB6D22">
            <w:pPr>
              <w:jc w:val="center"/>
              <w:rPr>
                <w:rFonts w:ascii="宋体" w:hAnsi="宋体" w:eastAsia="宋体"/>
                <w:snapToGrid w:val="0"/>
                <w:color w:val="auto"/>
                <w:kern w:val="0"/>
              </w:rPr>
            </w:pPr>
          </w:p>
          <w:p w14:paraId="73947BB7">
            <w:pPr>
              <w:jc w:val="center"/>
              <w:rPr>
                <w:rFonts w:ascii="宋体" w:hAnsi="宋体" w:eastAsia="宋体"/>
                <w:snapToGrid w:val="0"/>
                <w:color w:val="auto"/>
                <w:kern w:val="0"/>
              </w:rPr>
            </w:pPr>
          </w:p>
          <w:p w14:paraId="03C67AC9">
            <w:pPr>
              <w:jc w:val="center"/>
              <w:rPr>
                <w:rFonts w:ascii="宋体" w:hAnsi="宋体" w:eastAsia="宋体"/>
                <w:snapToGrid w:val="0"/>
                <w:color w:val="auto"/>
                <w:kern w:val="0"/>
              </w:rPr>
            </w:pPr>
          </w:p>
          <w:p w14:paraId="706124CB">
            <w:pPr>
              <w:jc w:val="center"/>
              <w:rPr>
                <w:rFonts w:ascii="宋体" w:hAnsi="宋体" w:eastAsia="宋体"/>
                <w:snapToGrid w:val="0"/>
                <w:color w:val="auto"/>
                <w:kern w:val="0"/>
              </w:rPr>
            </w:pPr>
            <w:r>
              <w:rPr>
                <w:rFonts w:ascii="宋体" w:hAnsi="宋体" w:eastAsia="宋体"/>
                <w:snapToGrid w:val="0"/>
                <w:color w:val="auto"/>
                <w:kern w:val="0"/>
              </w:rPr>
              <w:t>环境因素</w:t>
            </w:r>
          </w:p>
        </w:tc>
        <w:tc>
          <w:tcPr>
            <w:tcW w:w="403" w:type="pct"/>
            <w:vMerge w:val="restart"/>
            <w:shd w:val="clear" w:color="auto" w:fill="auto"/>
            <w:vAlign w:val="center"/>
          </w:tcPr>
          <w:p w14:paraId="59CD6D4A">
            <w:pPr>
              <w:jc w:val="center"/>
              <w:rPr>
                <w:rFonts w:ascii="宋体" w:hAnsi="宋体" w:eastAsia="宋体"/>
                <w:snapToGrid w:val="0"/>
                <w:color w:val="auto"/>
                <w:kern w:val="0"/>
              </w:rPr>
            </w:pPr>
            <w:r>
              <w:rPr>
                <w:rFonts w:ascii="宋体" w:hAnsi="宋体" w:eastAsia="宋体"/>
                <w:snapToGrid w:val="0"/>
                <w:color w:val="auto"/>
                <w:kern w:val="0"/>
              </w:rPr>
              <w:t>工程占地</w:t>
            </w:r>
          </w:p>
        </w:tc>
        <w:tc>
          <w:tcPr>
            <w:tcW w:w="3720" w:type="pct"/>
            <w:gridSpan w:val="5"/>
            <w:shd w:val="clear" w:color="auto" w:fill="auto"/>
            <w:vAlign w:val="center"/>
          </w:tcPr>
          <w:p w14:paraId="38E69F4D">
            <w:pPr>
              <w:jc w:val="center"/>
              <w:rPr>
                <w:rFonts w:ascii="宋体" w:hAnsi="宋体" w:eastAsia="宋体"/>
                <w:snapToGrid w:val="0"/>
                <w:color w:val="auto"/>
                <w:kern w:val="0"/>
              </w:rPr>
            </w:pPr>
            <w:r>
              <w:rPr>
                <w:rFonts w:ascii="宋体" w:hAnsi="宋体" w:eastAsia="宋体"/>
                <w:snapToGrid w:val="0"/>
                <w:color w:val="auto"/>
                <w:kern w:val="0"/>
              </w:rPr>
              <w:t>运营期</w:t>
            </w:r>
          </w:p>
        </w:tc>
      </w:tr>
      <w:tr w14:paraId="7652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vMerge w:val="continue"/>
            <w:tcBorders>
              <w:tl2br w:val="single" w:color="auto" w:sz="4" w:space="0"/>
            </w:tcBorders>
            <w:shd w:val="clear" w:color="auto" w:fill="auto"/>
            <w:vAlign w:val="center"/>
          </w:tcPr>
          <w:p w14:paraId="23C264A4">
            <w:pPr>
              <w:jc w:val="center"/>
              <w:rPr>
                <w:rFonts w:ascii="宋体" w:hAnsi="宋体" w:eastAsia="宋体"/>
                <w:snapToGrid w:val="0"/>
                <w:color w:val="auto"/>
                <w:kern w:val="0"/>
              </w:rPr>
            </w:pPr>
          </w:p>
        </w:tc>
        <w:tc>
          <w:tcPr>
            <w:tcW w:w="403" w:type="pct"/>
            <w:vMerge w:val="continue"/>
            <w:shd w:val="clear" w:color="auto" w:fill="auto"/>
            <w:vAlign w:val="center"/>
          </w:tcPr>
          <w:p w14:paraId="739BAE9C">
            <w:pPr>
              <w:jc w:val="center"/>
              <w:rPr>
                <w:rFonts w:ascii="宋体" w:hAnsi="宋体" w:eastAsia="宋体"/>
                <w:snapToGrid w:val="0"/>
                <w:color w:val="auto"/>
                <w:kern w:val="0"/>
              </w:rPr>
            </w:pPr>
          </w:p>
        </w:tc>
        <w:tc>
          <w:tcPr>
            <w:tcW w:w="687" w:type="pct"/>
            <w:shd w:val="clear" w:color="auto" w:fill="auto"/>
            <w:vAlign w:val="center"/>
          </w:tcPr>
          <w:p w14:paraId="36868F02">
            <w:pPr>
              <w:jc w:val="center"/>
              <w:rPr>
                <w:rFonts w:ascii="宋体" w:hAnsi="宋体" w:eastAsia="宋体"/>
                <w:snapToGrid w:val="0"/>
                <w:color w:val="auto"/>
                <w:kern w:val="0"/>
              </w:rPr>
            </w:pPr>
            <w:r>
              <w:rPr>
                <w:rFonts w:ascii="宋体" w:hAnsi="宋体" w:eastAsia="宋体"/>
                <w:snapToGrid w:val="0"/>
                <w:color w:val="auto"/>
                <w:kern w:val="0"/>
              </w:rPr>
              <w:t>废气</w:t>
            </w:r>
          </w:p>
        </w:tc>
        <w:tc>
          <w:tcPr>
            <w:tcW w:w="610" w:type="pct"/>
            <w:shd w:val="clear" w:color="auto" w:fill="auto"/>
            <w:vAlign w:val="center"/>
          </w:tcPr>
          <w:p w14:paraId="63290EC6">
            <w:pPr>
              <w:jc w:val="center"/>
              <w:rPr>
                <w:rFonts w:ascii="宋体" w:hAnsi="宋体" w:eastAsia="宋体"/>
                <w:snapToGrid w:val="0"/>
                <w:color w:val="auto"/>
                <w:kern w:val="0"/>
              </w:rPr>
            </w:pPr>
            <w:r>
              <w:rPr>
                <w:rFonts w:ascii="宋体" w:hAnsi="宋体" w:eastAsia="宋体"/>
                <w:snapToGrid w:val="0"/>
                <w:color w:val="auto"/>
                <w:kern w:val="0"/>
              </w:rPr>
              <w:t>废水</w:t>
            </w:r>
          </w:p>
        </w:tc>
        <w:tc>
          <w:tcPr>
            <w:tcW w:w="764" w:type="pct"/>
            <w:shd w:val="clear" w:color="auto" w:fill="auto"/>
            <w:vAlign w:val="center"/>
          </w:tcPr>
          <w:p w14:paraId="3928B3F9">
            <w:pPr>
              <w:jc w:val="center"/>
              <w:rPr>
                <w:rFonts w:ascii="宋体" w:hAnsi="宋体" w:eastAsia="宋体"/>
                <w:snapToGrid w:val="0"/>
                <w:color w:val="auto"/>
                <w:kern w:val="0"/>
              </w:rPr>
            </w:pPr>
            <w:r>
              <w:rPr>
                <w:rFonts w:ascii="宋体" w:hAnsi="宋体" w:eastAsia="宋体"/>
                <w:snapToGrid w:val="0"/>
                <w:color w:val="auto"/>
                <w:kern w:val="0"/>
              </w:rPr>
              <w:t>固体废物</w:t>
            </w:r>
          </w:p>
        </w:tc>
        <w:tc>
          <w:tcPr>
            <w:tcW w:w="646" w:type="pct"/>
            <w:shd w:val="clear" w:color="auto" w:fill="auto"/>
            <w:vAlign w:val="center"/>
          </w:tcPr>
          <w:p w14:paraId="698D1C77">
            <w:pPr>
              <w:jc w:val="center"/>
              <w:rPr>
                <w:rFonts w:ascii="宋体" w:hAnsi="宋体" w:eastAsia="宋体"/>
                <w:snapToGrid w:val="0"/>
                <w:color w:val="auto"/>
                <w:kern w:val="0"/>
              </w:rPr>
            </w:pPr>
            <w:r>
              <w:rPr>
                <w:rFonts w:ascii="宋体" w:hAnsi="宋体" w:eastAsia="宋体"/>
                <w:snapToGrid w:val="0"/>
                <w:color w:val="auto"/>
                <w:kern w:val="0"/>
              </w:rPr>
              <w:t>噪声</w:t>
            </w:r>
          </w:p>
        </w:tc>
        <w:tc>
          <w:tcPr>
            <w:tcW w:w="1013" w:type="pct"/>
            <w:shd w:val="clear" w:color="auto" w:fill="auto"/>
            <w:vAlign w:val="center"/>
          </w:tcPr>
          <w:p w14:paraId="6589E63B">
            <w:pPr>
              <w:jc w:val="center"/>
              <w:rPr>
                <w:rFonts w:ascii="宋体" w:hAnsi="宋体" w:eastAsia="宋体"/>
                <w:snapToGrid w:val="0"/>
                <w:color w:val="auto"/>
                <w:kern w:val="0"/>
              </w:rPr>
            </w:pPr>
            <w:r>
              <w:rPr>
                <w:rFonts w:ascii="宋体" w:hAnsi="宋体" w:eastAsia="宋体"/>
                <w:snapToGrid w:val="0"/>
                <w:color w:val="auto"/>
                <w:kern w:val="0"/>
              </w:rPr>
              <w:t>风险</w:t>
            </w:r>
          </w:p>
        </w:tc>
      </w:tr>
      <w:tr w14:paraId="2E2A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vMerge w:val="continue"/>
            <w:tcBorders>
              <w:tl2br w:val="single" w:color="auto" w:sz="4" w:space="0"/>
            </w:tcBorders>
            <w:shd w:val="clear" w:color="auto" w:fill="auto"/>
            <w:vAlign w:val="center"/>
          </w:tcPr>
          <w:p w14:paraId="513779B7">
            <w:pPr>
              <w:jc w:val="center"/>
              <w:rPr>
                <w:rFonts w:ascii="宋体" w:hAnsi="宋体" w:eastAsia="宋体"/>
                <w:snapToGrid w:val="0"/>
                <w:color w:val="auto"/>
                <w:kern w:val="0"/>
              </w:rPr>
            </w:pPr>
          </w:p>
        </w:tc>
        <w:tc>
          <w:tcPr>
            <w:tcW w:w="403" w:type="pct"/>
            <w:vMerge w:val="continue"/>
            <w:shd w:val="clear" w:color="auto" w:fill="auto"/>
            <w:vAlign w:val="center"/>
          </w:tcPr>
          <w:p w14:paraId="58454150">
            <w:pPr>
              <w:jc w:val="center"/>
              <w:rPr>
                <w:rFonts w:ascii="宋体" w:hAnsi="宋体" w:eastAsia="宋体"/>
                <w:snapToGrid w:val="0"/>
                <w:color w:val="auto"/>
                <w:kern w:val="0"/>
              </w:rPr>
            </w:pPr>
          </w:p>
        </w:tc>
        <w:tc>
          <w:tcPr>
            <w:tcW w:w="687" w:type="pct"/>
            <w:shd w:val="clear" w:color="auto" w:fill="auto"/>
            <w:vAlign w:val="center"/>
          </w:tcPr>
          <w:p w14:paraId="73E7801D">
            <w:pPr>
              <w:kinsoku w:val="0"/>
              <w:overflowPunct w:val="0"/>
              <w:jc w:val="center"/>
              <w:rPr>
                <w:rFonts w:ascii="宋体" w:hAnsi="宋体" w:eastAsia="宋体"/>
                <w:snapToGrid w:val="0"/>
                <w:color w:val="auto"/>
                <w:kern w:val="0"/>
              </w:rPr>
            </w:pPr>
            <w:r>
              <w:rPr>
                <w:rFonts w:ascii="宋体" w:hAnsi="宋体" w:eastAsia="宋体"/>
                <w:snapToGrid w:val="0"/>
                <w:color w:val="auto"/>
                <w:kern w:val="0"/>
              </w:rPr>
              <w:t>加热炉烟气、无组织挥发的烃类</w:t>
            </w:r>
          </w:p>
        </w:tc>
        <w:tc>
          <w:tcPr>
            <w:tcW w:w="610" w:type="pct"/>
            <w:shd w:val="clear" w:color="auto" w:fill="auto"/>
            <w:vAlign w:val="center"/>
          </w:tcPr>
          <w:p w14:paraId="132AC183">
            <w:pPr>
              <w:kinsoku w:val="0"/>
              <w:overflowPunct w:val="0"/>
              <w:jc w:val="center"/>
              <w:rPr>
                <w:rFonts w:ascii="宋体" w:hAnsi="宋体" w:eastAsia="宋体"/>
                <w:snapToGrid w:val="0"/>
                <w:color w:val="auto"/>
                <w:kern w:val="0"/>
              </w:rPr>
            </w:pPr>
            <w:r>
              <w:rPr>
                <w:rFonts w:ascii="宋体" w:hAnsi="宋体" w:eastAsia="宋体"/>
                <w:snapToGrid w:val="0"/>
                <w:color w:val="auto"/>
                <w:kern w:val="0"/>
              </w:rPr>
              <w:t>作业污水、洗井污水、油田采出水</w:t>
            </w:r>
          </w:p>
        </w:tc>
        <w:tc>
          <w:tcPr>
            <w:tcW w:w="764" w:type="pct"/>
            <w:shd w:val="clear" w:color="auto" w:fill="auto"/>
            <w:vAlign w:val="center"/>
          </w:tcPr>
          <w:p w14:paraId="6A4E847F">
            <w:pPr>
              <w:kinsoku w:val="0"/>
              <w:overflowPunct w:val="0"/>
              <w:jc w:val="center"/>
              <w:rPr>
                <w:rFonts w:ascii="宋体" w:hAnsi="宋体" w:eastAsia="宋体"/>
                <w:snapToGrid w:val="0"/>
                <w:color w:val="auto"/>
                <w:kern w:val="0"/>
              </w:rPr>
            </w:pPr>
            <w:r>
              <w:rPr>
                <w:rFonts w:ascii="宋体" w:hAnsi="宋体" w:eastAsia="宋体"/>
                <w:snapToGrid w:val="0"/>
                <w:color w:val="auto"/>
                <w:kern w:val="0"/>
              </w:rPr>
              <w:t>含油污泥、落地油、含油废防渗布</w:t>
            </w:r>
          </w:p>
        </w:tc>
        <w:tc>
          <w:tcPr>
            <w:tcW w:w="646" w:type="pct"/>
            <w:shd w:val="clear" w:color="auto" w:fill="auto"/>
            <w:vAlign w:val="center"/>
          </w:tcPr>
          <w:p w14:paraId="613DE808">
            <w:pPr>
              <w:kinsoku w:val="0"/>
              <w:overflowPunct w:val="0"/>
              <w:jc w:val="center"/>
              <w:rPr>
                <w:rFonts w:ascii="宋体" w:hAnsi="宋体" w:eastAsia="宋体"/>
                <w:snapToGrid w:val="0"/>
                <w:color w:val="auto"/>
                <w:kern w:val="0"/>
              </w:rPr>
            </w:pPr>
            <w:r>
              <w:rPr>
                <w:rFonts w:ascii="宋体" w:hAnsi="宋体" w:eastAsia="宋体"/>
                <w:snapToGrid w:val="0"/>
                <w:color w:val="auto"/>
                <w:kern w:val="0"/>
              </w:rPr>
              <w:t>抽油机、储罐燃烧器、罐车噪声</w:t>
            </w:r>
          </w:p>
        </w:tc>
        <w:tc>
          <w:tcPr>
            <w:tcW w:w="1013" w:type="pct"/>
            <w:shd w:val="clear" w:color="auto" w:fill="auto"/>
            <w:vAlign w:val="center"/>
          </w:tcPr>
          <w:p w14:paraId="1EFB6A54">
            <w:pPr>
              <w:kinsoku w:val="0"/>
              <w:overflowPunct w:val="0"/>
              <w:jc w:val="center"/>
              <w:rPr>
                <w:rFonts w:ascii="宋体" w:hAnsi="宋体" w:eastAsia="宋体"/>
                <w:snapToGrid w:val="0"/>
                <w:color w:val="auto"/>
                <w:kern w:val="0"/>
              </w:rPr>
            </w:pPr>
            <w:r>
              <w:rPr>
                <w:rFonts w:ascii="宋体" w:hAnsi="宋体" w:eastAsia="宋体"/>
                <w:snapToGrid w:val="0"/>
                <w:color w:val="auto"/>
                <w:kern w:val="0"/>
              </w:rPr>
              <w:t>输油管线、拉油点储罐、场站火灾爆炸、井漏、套损和井喷、火灾、爆炸</w:t>
            </w:r>
          </w:p>
        </w:tc>
      </w:tr>
      <w:tr w14:paraId="1AE3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shd w:val="clear" w:color="auto" w:fill="auto"/>
            <w:vAlign w:val="center"/>
          </w:tcPr>
          <w:p w14:paraId="3B733A5A">
            <w:pPr>
              <w:jc w:val="center"/>
              <w:rPr>
                <w:rFonts w:ascii="宋体" w:hAnsi="宋体" w:eastAsia="宋体"/>
                <w:snapToGrid w:val="0"/>
                <w:color w:val="auto"/>
                <w:kern w:val="0"/>
              </w:rPr>
            </w:pPr>
            <w:r>
              <w:rPr>
                <w:rFonts w:ascii="宋体" w:hAnsi="宋体" w:eastAsia="宋体"/>
                <w:snapToGrid w:val="0"/>
                <w:color w:val="auto"/>
                <w:kern w:val="0"/>
              </w:rPr>
              <w:t>环境空气</w:t>
            </w:r>
          </w:p>
        </w:tc>
        <w:tc>
          <w:tcPr>
            <w:tcW w:w="403" w:type="pct"/>
            <w:shd w:val="clear" w:color="auto" w:fill="auto"/>
            <w:vAlign w:val="center"/>
          </w:tcPr>
          <w:p w14:paraId="4E9255BA">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5EEFA1E7">
            <w:pPr>
              <w:jc w:val="center"/>
              <w:rPr>
                <w:rFonts w:ascii="宋体" w:hAnsi="宋体" w:eastAsia="宋体"/>
                <w:snapToGrid w:val="0"/>
                <w:color w:val="auto"/>
                <w:kern w:val="0"/>
              </w:rPr>
            </w:pPr>
            <w:r>
              <w:rPr>
                <w:rFonts w:ascii="宋体" w:hAnsi="宋体" w:eastAsia="宋体"/>
                <w:snapToGrid w:val="0"/>
                <w:color w:val="auto"/>
                <w:kern w:val="0"/>
              </w:rPr>
              <w:t>-L</w:t>
            </w:r>
          </w:p>
        </w:tc>
        <w:tc>
          <w:tcPr>
            <w:tcW w:w="610" w:type="pct"/>
            <w:shd w:val="clear" w:color="auto" w:fill="auto"/>
            <w:vAlign w:val="center"/>
          </w:tcPr>
          <w:p w14:paraId="2A22F2E3">
            <w:pPr>
              <w:jc w:val="center"/>
              <w:rPr>
                <w:rFonts w:ascii="宋体" w:hAnsi="宋体" w:eastAsia="宋体"/>
                <w:snapToGrid w:val="0"/>
                <w:color w:val="auto"/>
                <w:kern w:val="0"/>
              </w:rPr>
            </w:pPr>
            <w:r>
              <w:rPr>
                <w:rFonts w:ascii="宋体" w:hAnsi="宋体" w:eastAsia="宋体"/>
                <w:snapToGrid w:val="0"/>
                <w:color w:val="auto"/>
                <w:kern w:val="0"/>
              </w:rPr>
              <w:t>/</w:t>
            </w:r>
          </w:p>
        </w:tc>
        <w:tc>
          <w:tcPr>
            <w:tcW w:w="764" w:type="pct"/>
            <w:shd w:val="clear" w:color="auto" w:fill="auto"/>
            <w:vAlign w:val="center"/>
          </w:tcPr>
          <w:p w14:paraId="19CCAB62">
            <w:pPr>
              <w:jc w:val="center"/>
              <w:rPr>
                <w:rFonts w:ascii="宋体" w:hAnsi="宋体" w:eastAsia="宋体"/>
                <w:snapToGrid w:val="0"/>
                <w:color w:val="auto"/>
                <w:kern w:val="0"/>
              </w:rPr>
            </w:pPr>
            <w:r>
              <w:rPr>
                <w:rFonts w:ascii="宋体" w:hAnsi="宋体" w:eastAsia="宋体"/>
                <w:snapToGrid w:val="0"/>
                <w:color w:val="auto"/>
                <w:kern w:val="0"/>
              </w:rPr>
              <w:t>-S</w:t>
            </w:r>
          </w:p>
        </w:tc>
        <w:tc>
          <w:tcPr>
            <w:tcW w:w="646" w:type="pct"/>
            <w:shd w:val="clear" w:color="auto" w:fill="auto"/>
            <w:vAlign w:val="center"/>
          </w:tcPr>
          <w:p w14:paraId="5BD79BED">
            <w:pPr>
              <w:jc w:val="center"/>
              <w:rPr>
                <w:rFonts w:ascii="宋体" w:hAnsi="宋体" w:eastAsia="宋体"/>
                <w:snapToGrid w:val="0"/>
                <w:color w:val="auto"/>
                <w:kern w:val="0"/>
              </w:rPr>
            </w:pPr>
            <w:r>
              <w:rPr>
                <w:rFonts w:ascii="宋体" w:hAnsi="宋体" w:eastAsia="宋体"/>
                <w:snapToGrid w:val="0"/>
                <w:color w:val="auto"/>
                <w:kern w:val="0"/>
              </w:rPr>
              <w:t>/</w:t>
            </w:r>
          </w:p>
        </w:tc>
        <w:tc>
          <w:tcPr>
            <w:tcW w:w="1013" w:type="pct"/>
            <w:shd w:val="clear" w:color="auto" w:fill="auto"/>
            <w:vAlign w:val="center"/>
          </w:tcPr>
          <w:p w14:paraId="7985BE51">
            <w:pPr>
              <w:jc w:val="center"/>
              <w:rPr>
                <w:rFonts w:ascii="宋体" w:hAnsi="宋体" w:eastAsia="宋体"/>
                <w:snapToGrid w:val="0"/>
                <w:color w:val="auto"/>
                <w:kern w:val="0"/>
              </w:rPr>
            </w:pPr>
            <w:r>
              <w:rPr>
                <w:rFonts w:ascii="宋体" w:hAnsi="宋体" w:eastAsia="宋体"/>
                <w:snapToGrid w:val="0"/>
                <w:color w:val="auto"/>
                <w:kern w:val="0"/>
              </w:rPr>
              <w:t>-SA</w:t>
            </w:r>
          </w:p>
        </w:tc>
      </w:tr>
      <w:tr w14:paraId="1153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shd w:val="clear" w:color="auto" w:fill="auto"/>
            <w:vAlign w:val="center"/>
          </w:tcPr>
          <w:p w14:paraId="17567C19">
            <w:pPr>
              <w:jc w:val="center"/>
              <w:rPr>
                <w:rFonts w:ascii="宋体" w:hAnsi="宋体" w:eastAsia="宋体"/>
                <w:snapToGrid w:val="0"/>
                <w:color w:val="auto"/>
                <w:kern w:val="0"/>
              </w:rPr>
            </w:pPr>
            <w:r>
              <w:rPr>
                <w:rFonts w:ascii="宋体" w:hAnsi="宋体" w:eastAsia="宋体"/>
                <w:snapToGrid w:val="0"/>
                <w:color w:val="auto"/>
                <w:kern w:val="0"/>
              </w:rPr>
              <w:t>地表水</w:t>
            </w:r>
          </w:p>
        </w:tc>
        <w:tc>
          <w:tcPr>
            <w:tcW w:w="403" w:type="pct"/>
            <w:shd w:val="clear" w:color="auto" w:fill="auto"/>
            <w:vAlign w:val="center"/>
          </w:tcPr>
          <w:p w14:paraId="6BE38B12">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135B1007">
            <w:pPr>
              <w:jc w:val="center"/>
              <w:rPr>
                <w:rFonts w:ascii="宋体" w:hAnsi="宋体" w:eastAsia="宋体"/>
                <w:snapToGrid w:val="0"/>
                <w:color w:val="auto"/>
                <w:kern w:val="0"/>
              </w:rPr>
            </w:pPr>
            <w:r>
              <w:rPr>
                <w:rFonts w:ascii="宋体" w:hAnsi="宋体" w:eastAsia="宋体"/>
                <w:snapToGrid w:val="0"/>
                <w:color w:val="auto"/>
                <w:kern w:val="0"/>
              </w:rPr>
              <w:t>/</w:t>
            </w:r>
          </w:p>
        </w:tc>
        <w:tc>
          <w:tcPr>
            <w:tcW w:w="610" w:type="pct"/>
            <w:shd w:val="clear" w:color="auto" w:fill="auto"/>
            <w:vAlign w:val="center"/>
          </w:tcPr>
          <w:p w14:paraId="278291F8">
            <w:pPr>
              <w:jc w:val="center"/>
              <w:rPr>
                <w:rFonts w:ascii="宋体" w:hAnsi="宋体" w:eastAsia="宋体"/>
                <w:snapToGrid w:val="0"/>
                <w:color w:val="auto"/>
                <w:kern w:val="0"/>
              </w:rPr>
            </w:pPr>
            <w:r>
              <w:rPr>
                <w:rFonts w:ascii="宋体" w:hAnsi="宋体" w:eastAsia="宋体"/>
                <w:snapToGrid w:val="0"/>
                <w:color w:val="auto"/>
                <w:kern w:val="0"/>
              </w:rPr>
              <w:t>-SA</w:t>
            </w:r>
          </w:p>
        </w:tc>
        <w:tc>
          <w:tcPr>
            <w:tcW w:w="764" w:type="pct"/>
            <w:shd w:val="clear" w:color="auto" w:fill="auto"/>
            <w:vAlign w:val="center"/>
          </w:tcPr>
          <w:p w14:paraId="57269E20">
            <w:pPr>
              <w:jc w:val="center"/>
              <w:rPr>
                <w:rFonts w:ascii="宋体" w:hAnsi="宋体" w:eastAsia="宋体"/>
                <w:snapToGrid w:val="0"/>
                <w:color w:val="auto"/>
                <w:kern w:val="0"/>
              </w:rPr>
            </w:pPr>
            <w:r>
              <w:rPr>
                <w:rFonts w:ascii="宋体" w:hAnsi="宋体" w:eastAsia="宋体"/>
                <w:snapToGrid w:val="0"/>
                <w:color w:val="auto"/>
                <w:kern w:val="0"/>
              </w:rPr>
              <w:t>/</w:t>
            </w:r>
          </w:p>
        </w:tc>
        <w:tc>
          <w:tcPr>
            <w:tcW w:w="646" w:type="pct"/>
            <w:shd w:val="clear" w:color="auto" w:fill="auto"/>
            <w:vAlign w:val="center"/>
          </w:tcPr>
          <w:p w14:paraId="7F8D12F4">
            <w:pPr>
              <w:jc w:val="center"/>
              <w:rPr>
                <w:rFonts w:ascii="宋体" w:hAnsi="宋体" w:eastAsia="宋体"/>
                <w:snapToGrid w:val="0"/>
                <w:color w:val="auto"/>
                <w:kern w:val="0"/>
              </w:rPr>
            </w:pPr>
            <w:r>
              <w:rPr>
                <w:rFonts w:ascii="宋体" w:hAnsi="宋体" w:eastAsia="宋体"/>
                <w:snapToGrid w:val="0"/>
                <w:color w:val="auto"/>
                <w:kern w:val="0"/>
              </w:rPr>
              <w:t>/</w:t>
            </w:r>
          </w:p>
        </w:tc>
        <w:tc>
          <w:tcPr>
            <w:tcW w:w="1013" w:type="pct"/>
            <w:shd w:val="clear" w:color="auto" w:fill="auto"/>
            <w:vAlign w:val="center"/>
          </w:tcPr>
          <w:p w14:paraId="621D18F8">
            <w:pPr>
              <w:jc w:val="center"/>
              <w:rPr>
                <w:rFonts w:ascii="宋体" w:hAnsi="宋体" w:eastAsia="宋体"/>
                <w:snapToGrid w:val="0"/>
                <w:color w:val="auto"/>
                <w:kern w:val="0"/>
              </w:rPr>
            </w:pPr>
            <w:r>
              <w:rPr>
                <w:rFonts w:ascii="宋体" w:hAnsi="宋体" w:eastAsia="宋体"/>
                <w:snapToGrid w:val="0"/>
                <w:color w:val="auto"/>
                <w:kern w:val="0"/>
              </w:rPr>
              <w:t>-SA</w:t>
            </w:r>
          </w:p>
        </w:tc>
      </w:tr>
      <w:tr w14:paraId="6FCF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shd w:val="clear" w:color="auto" w:fill="auto"/>
            <w:vAlign w:val="center"/>
          </w:tcPr>
          <w:p w14:paraId="55CD80F1">
            <w:pPr>
              <w:jc w:val="center"/>
              <w:rPr>
                <w:rFonts w:ascii="宋体" w:hAnsi="宋体" w:eastAsia="宋体"/>
                <w:snapToGrid w:val="0"/>
                <w:color w:val="auto"/>
                <w:kern w:val="0"/>
              </w:rPr>
            </w:pPr>
            <w:r>
              <w:rPr>
                <w:rFonts w:ascii="宋体" w:hAnsi="宋体" w:eastAsia="宋体"/>
                <w:snapToGrid w:val="0"/>
                <w:color w:val="auto"/>
                <w:kern w:val="0"/>
              </w:rPr>
              <w:t>地下水</w:t>
            </w:r>
          </w:p>
        </w:tc>
        <w:tc>
          <w:tcPr>
            <w:tcW w:w="403" w:type="pct"/>
            <w:shd w:val="clear" w:color="auto" w:fill="auto"/>
            <w:vAlign w:val="center"/>
          </w:tcPr>
          <w:p w14:paraId="47D88088">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57C7B939">
            <w:pPr>
              <w:jc w:val="center"/>
              <w:rPr>
                <w:rFonts w:ascii="宋体" w:hAnsi="宋体" w:eastAsia="宋体"/>
                <w:snapToGrid w:val="0"/>
                <w:color w:val="auto"/>
                <w:kern w:val="0"/>
              </w:rPr>
            </w:pPr>
            <w:r>
              <w:rPr>
                <w:rFonts w:ascii="宋体" w:hAnsi="宋体" w:eastAsia="宋体"/>
                <w:snapToGrid w:val="0"/>
                <w:color w:val="auto"/>
                <w:kern w:val="0"/>
              </w:rPr>
              <w:t>/</w:t>
            </w:r>
          </w:p>
        </w:tc>
        <w:tc>
          <w:tcPr>
            <w:tcW w:w="610" w:type="pct"/>
            <w:shd w:val="clear" w:color="auto" w:fill="auto"/>
            <w:vAlign w:val="center"/>
          </w:tcPr>
          <w:p w14:paraId="2419950D">
            <w:pPr>
              <w:jc w:val="center"/>
              <w:rPr>
                <w:rFonts w:ascii="宋体" w:hAnsi="宋体" w:eastAsia="宋体"/>
                <w:snapToGrid w:val="0"/>
                <w:color w:val="auto"/>
                <w:kern w:val="0"/>
              </w:rPr>
            </w:pPr>
            <w:r>
              <w:rPr>
                <w:rFonts w:ascii="宋体" w:hAnsi="宋体" w:eastAsia="宋体"/>
                <w:snapToGrid w:val="0"/>
                <w:color w:val="auto"/>
                <w:kern w:val="0"/>
              </w:rPr>
              <w:t>/</w:t>
            </w:r>
          </w:p>
        </w:tc>
        <w:tc>
          <w:tcPr>
            <w:tcW w:w="764" w:type="pct"/>
            <w:shd w:val="clear" w:color="auto" w:fill="auto"/>
            <w:vAlign w:val="center"/>
          </w:tcPr>
          <w:p w14:paraId="0477E94B">
            <w:pPr>
              <w:jc w:val="center"/>
              <w:rPr>
                <w:rFonts w:ascii="宋体" w:hAnsi="宋体" w:eastAsia="宋体"/>
                <w:snapToGrid w:val="0"/>
                <w:color w:val="auto"/>
                <w:kern w:val="0"/>
              </w:rPr>
            </w:pPr>
            <w:r>
              <w:rPr>
                <w:rFonts w:ascii="宋体" w:hAnsi="宋体" w:eastAsia="宋体"/>
                <w:snapToGrid w:val="0"/>
                <w:color w:val="auto"/>
                <w:kern w:val="0"/>
              </w:rPr>
              <w:t>-S</w:t>
            </w:r>
          </w:p>
        </w:tc>
        <w:tc>
          <w:tcPr>
            <w:tcW w:w="646" w:type="pct"/>
            <w:shd w:val="clear" w:color="auto" w:fill="auto"/>
            <w:vAlign w:val="center"/>
          </w:tcPr>
          <w:p w14:paraId="073DA65C">
            <w:pPr>
              <w:jc w:val="center"/>
              <w:rPr>
                <w:rFonts w:ascii="宋体" w:hAnsi="宋体" w:eastAsia="宋体"/>
                <w:snapToGrid w:val="0"/>
                <w:color w:val="auto"/>
                <w:kern w:val="0"/>
              </w:rPr>
            </w:pPr>
            <w:r>
              <w:rPr>
                <w:rFonts w:ascii="宋体" w:hAnsi="宋体" w:eastAsia="宋体"/>
                <w:snapToGrid w:val="0"/>
                <w:color w:val="auto"/>
                <w:kern w:val="0"/>
              </w:rPr>
              <w:t>/</w:t>
            </w:r>
          </w:p>
        </w:tc>
        <w:tc>
          <w:tcPr>
            <w:tcW w:w="1013" w:type="pct"/>
            <w:shd w:val="clear" w:color="auto" w:fill="auto"/>
            <w:vAlign w:val="center"/>
          </w:tcPr>
          <w:p w14:paraId="6323CF2B">
            <w:pPr>
              <w:jc w:val="center"/>
              <w:rPr>
                <w:rFonts w:ascii="宋体" w:hAnsi="宋体" w:eastAsia="宋体"/>
                <w:snapToGrid w:val="0"/>
                <w:color w:val="auto"/>
                <w:kern w:val="0"/>
              </w:rPr>
            </w:pPr>
            <w:r>
              <w:rPr>
                <w:rFonts w:ascii="宋体" w:hAnsi="宋体" w:eastAsia="宋体"/>
                <w:snapToGrid w:val="0"/>
                <w:color w:val="auto"/>
                <w:kern w:val="0"/>
              </w:rPr>
              <w:t>-SA</w:t>
            </w:r>
          </w:p>
        </w:tc>
      </w:tr>
      <w:tr w14:paraId="70CE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shd w:val="clear" w:color="auto" w:fill="auto"/>
            <w:vAlign w:val="center"/>
          </w:tcPr>
          <w:p w14:paraId="07023D3B">
            <w:pPr>
              <w:jc w:val="center"/>
              <w:rPr>
                <w:rFonts w:ascii="宋体" w:hAnsi="宋体" w:eastAsia="宋体"/>
                <w:snapToGrid w:val="0"/>
                <w:color w:val="auto"/>
                <w:kern w:val="0"/>
              </w:rPr>
            </w:pPr>
            <w:r>
              <w:rPr>
                <w:rFonts w:ascii="宋体" w:hAnsi="宋体" w:eastAsia="宋体"/>
                <w:snapToGrid w:val="0"/>
                <w:color w:val="auto"/>
                <w:kern w:val="0"/>
              </w:rPr>
              <w:t>声环境</w:t>
            </w:r>
          </w:p>
        </w:tc>
        <w:tc>
          <w:tcPr>
            <w:tcW w:w="403" w:type="pct"/>
            <w:shd w:val="clear" w:color="auto" w:fill="auto"/>
            <w:vAlign w:val="center"/>
          </w:tcPr>
          <w:p w14:paraId="7BF3BDCC">
            <w:pPr>
              <w:jc w:val="center"/>
              <w:rPr>
                <w:rFonts w:ascii="宋体" w:hAnsi="宋体" w:eastAsia="宋体"/>
                <w:snapToGrid w:val="0"/>
                <w:color w:val="auto"/>
                <w:kern w:val="0"/>
              </w:rPr>
            </w:pPr>
            <w:r>
              <w:rPr>
                <w:rFonts w:ascii="宋体" w:hAnsi="宋体" w:eastAsia="宋体"/>
                <w:snapToGrid w:val="0"/>
                <w:color w:val="auto"/>
                <w:kern w:val="0"/>
              </w:rPr>
              <w:t>/</w:t>
            </w:r>
          </w:p>
        </w:tc>
        <w:tc>
          <w:tcPr>
            <w:tcW w:w="687" w:type="pct"/>
            <w:shd w:val="clear" w:color="auto" w:fill="auto"/>
            <w:vAlign w:val="center"/>
          </w:tcPr>
          <w:p w14:paraId="50C5323F">
            <w:pPr>
              <w:jc w:val="center"/>
              <w:rPr>
                <w:rFonts w:ascii="宋体" w:hAnsi="宋体" w:eastAsia="宋体"/>
                <w:snapToGrid w:val="0"/>
                <w:color w:val="auto"/>
                <w:kern w:val="0"/>
              </w:rPr>
            </w:pPr>
            <w:r>
              <w:rPr>
                <w:rFonts w:ascii="宋体" w:hAnsi="宋体" w:eastAsia="宋体"/>
                <w:snapToGrid w:val="0"/>
                <w:color w:val="auto"/>
                <w:kern w:val="0"/>
              </w:rPr>
              <w:t>/</w:t>
            </w:r>
          </w:p>
        </w:tc>
        <w:tc>
          <w:tcPr>
            <w:tcW w:w="610" w:type="pct"/>
            <w:shd w:val="clear" w:color="auto" w:fill="auto"/>
            <w:vAlign w:val="center"/>
          </w:tcPr>
          <w:p w14:paraId="38256D89">
            <w:pPr>
              <w:jc w:val="center"/>
              <w:rPr>
                <w:rFonts w:ascii="宋体" w:hAnsi="宋体" w:eastAsia="宋体"/>
                <w:snapToGrid w:val="0"/>
                <w:color w:val="auto"/>
                <w:kern w:val="0"/>
              </w:rPr>
            </w:pPr>
            <w:r>
              <w:rPr>
                <w:rFonts w:ascii="宋体" w:hAnsi="宋体" w:eastAsia="宋体"/>
                <w:snapToGrid w:val="0"/>
                <w:color w:val="auto"/>
                <w:kern w:val="0"/>
              </w:rPr>
              <w:t>/</w:t>
            </w:r>
          </w:p>
        </w:tc>
        <w:tc>
          <w:tcPr>
            <w:tcW w:w="764" w:type="pct"/>
            <w:shd w:val="clear" w:color="auto" w:fill="auto"/>
            <w:vAlign w:val="center"/>
          </w:tcPr>
          <w:p w14:paraId="0EE7E1A9">
            <w:pPr>
              <w:jc w:val="center"/>
              <w:rPr>
                <w:rFonts w:ascii="宋体" w:hAnsi="宋体" w:eastAsia="宋体"/>
                <w:snapToGrid w:val="0"/>
                <w:color w:val="auto"/>
                <w:kern w:val="0"/>
              </w:rPr>
            </w:pPr>
            <w:r>
              <w:rPr>
                <w:rFonts w:ascii="宋体" w:hAnsi="宋体" w:eastAsia="宋体"/>
                <w:snapToGrid w:val="0"/>
                <w:color w:val="auto"/>
                <w:kern w:val="0"/>
              </w:rPr>
              <w:t>/</w:t>
            </w:r>
          </w:p>
        </w:tc>
        <w:tc>
          <w:tcPr>
            <w:tcW w:w="646" w:type="pct"/>
            <w:shd w:val="clear" w:color="auto" w:fill="auto"/>
            <w:vAlign w:val="center"/>
          </w:tcPr>
          <w:p w14:paraId="70C8CF68">
            <w:pPr>
              <w:jc w:val="center"/>
              <w:rPr>
                <w:rFonts w:ascii="宋体" w:hAnsi="宋体" w:eastAsia="宋体"/>
                <w:snapToGrid w:val="0"/>
                <w:color w:val="auto"/>
                <w:kern w:val="0"/>
              </w:rPr>
            </w:pPr>
            <w:r>
              <w:rPr>
                <w:rFonts w:ascii="宋体" w:hAnsi="宋体" w:eastAsia="宋体"/>
                <w:snapToGrid w:val="0"/>
                <w:color w:val="auto"/>
                <w:kern w:val="0"/>
              </w:rPr>
              <w:t>-L</w:t>
            </w:r>
          </w:p>
        </w:tc>
        <w:tc>
          <w:tcPr>
            <w:tcW w:w="1013" w:type="pct"/>
            <w:shd w:val="clear" w:color="auto" w:fill="auto"/>
            <w:vAlign w:val="center"/>
          </w:tcPr>
          <w:p w14:paraId="62C9BFC4">
            <w:pPr>
              <w:jc w:val="center"/>
              <w:rPr>
                <w:rFonts w:ascii="宋体" w:hAnsi="宋体" w:eastAsia="宋体"/>
                <w:snapToGrid w:val="0"/>
                <w:color w:val="auto"/>
                <w:kern w:val="0"/>
              </w:rPr>
            </w:pPr>
            <w:r>
              <w:rPr>
                <w:rFonts w:ascii="宋体" w:hAnsi="宋体" w:eastAsia="宋体"/>
                <w:snapToGrid w:val="0"/>
                <w:color w:val="auto"/>
                <w:kern w:val="0"/>
              </w:rPr>
              <w:t>/</w:t>
            </w:r>
          </w:p>
        </w:tc>
      </w:tr>
      <w:tr w14:paraId="715D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shd w:val="clear" w:color="auto" w:fill="auto"/>
            <w:vAlign w:val="center"/>
          </w:tcPr>
          <w:p w14:paraId="43D4862F">
            <w:pPr>
              <w:jc w:val="center"/>
              <w:rPr>
                <w:rFonts w:ascii="宋体" w:hAnsi="宋体" w:eastAsia="宋体"/>
                <w:snapToGrid w:val="0"/>
                <w:color w:val="auto"/>
                <w:kern w:val="0"/>
              </w:rPr>
            </w:pPr>
            <w:r>
              <w:rPr>
                <w:rFonts w:ascii="宋体" w:hAnsi="宋体" w:eastAsia="宋体"/>
                <w:snapToGrid w:val="0"/>
                <w:color w:val="auto"/>
                <w:kern w:val="0"/>
              </w:rPr>
              <w:t>土壤</w:t>
            </w:r>
          </w:p>
        </w:tc>
        <w:tc>
          <w:tcPr>
            <w:tcW w:w="403" w:type="pct"/>
            <w:shd w:val="clear" w:color="auto" w:fill="auto"/>
            <w:vAlign w:val="center"/>
          </w:tcPr>
          <w:p w14:paraId="4B2C7FBB">
            <w:pPr>
              <w:jc w:val="center"/>
              <w:rPr>
                <w:rFonts w:ascii="宋体" w:hAnsi="宋体" w:eastAsia="宋体"/>
                <w:snapToGrid w:val="0"/>
                <w:color w:val="auto"/>
                <w:kern w:val="0"/>
              </w:rPr>
            </w:pPr>
            <w:r>
              <w:rPr>
                <w:rFonts w:ascii="宋体" w:hAnsi="宋体" w:eastAsia="宋体"/>
                <w:snapToGrid w:val="0"/>
                <w:color w:val="auto"/>
                <w:kern w:val="0"/>
              </w:rPr>
              <w:t>-</w:t>
            </w:r>
            <w:r>
              <w:rPr>
                <w:rFonts w:ascii="宋体" w:hAnsi="宋体" w:eastAsia="宋体"/>
                <w:color w:val="auto"/>
              </w:rPr>
              <w:t xml:space="preserve"> S</w:t>
            </w:r>
          </w:p>
        </w:tc>
        <w:tc>
          <w:tcPr>
            <w:tcW w:w="687" w:type="pct"/>
            <w:shd w:val="clear" w:color="auto" w:fill="auto"/>
            <w:vAlign w:val="center"/>
          </w:tcPr>
          <w:p w14:paraId="052D0DCA">
            <w:pPr>
              <w:jc w:val="center"/>
              <w:rPr>
                <w:rFonts w:ascii="宋体" w:hAnsi="宋体" w:eastAsia="宋体"/>
                <w:snapToGrid w:val="0"/>
                <w:color w:val="auto"/>
                <w:kern w:val="0"/>
              </w:rPr>
            </w:pPr>
            <w:r>
              <w:rPr>
                <w:rFonts w:ascii="宋体" w:hAnsi="宋体" w:eastAsia="宋体"/>
                <w:snapToGrid w:val="0"/>
                <w:color w:val="auto"/>
                <w:kern w:val="0"/>
              </w:rPr>
              <w:t>/</w:t>
            </w:r>
          </w:p>
        </w:tc>
        <w:tc>
          <w:tcPr>
            <w:tcW w:w="610" w:type="pct"/>
            <w:shd w:val="clear" w:color="auto" w:fill="auto"/>
            <w:vAlign w:val="center"/>
          </w:tcPr>
          <w:p w14:paraId="2C76C498">
            <w:pPr>
              <w:jc w:val="center"/>
              <w:rPr>
                <w:rFonts w:ascii="宋体" w:hAnsi="宋体" w:eastAsia="宋体"/>
                <w:snapToGrid w:val="0"/>
                <w:color w:val="auto"/>
                <w:kern w:val="0"/>
              </w:rPr>
            </w:pPr>
            <w:r>
              <w:rPr>
                <w:rFonts w:ascii="宋体" w:hAnsi="宋体" w:eastAsia="宋体"/>
                <w:snapToGrid w:val="0"/>
                <w:color w:val="auto"/>
                <w:kern w:val="0"/>
              </w:rPr>
              <w:t>/</w:t>
            </w:r>
          </w:p>
        </w:tc>
        <w:tc>
          <w:tcPr>
            <w:tcW w:w="764" w:type="pct"/>
            <w:shd w:val="clear" w:color="auto" w:fill="auto"/>
            <w:vAlign w:val="center"/>
          </w:tcPr>
          <w:p w14:paraId="6360B643">
            <w:pPr>
              <w:jc w:val="center"/>
              <w:rPr>
                <w:rFonts w:ascii="宋体" w:hAnsi="宋体" w:eastAsia="宋体"/>
                <w:snapToGrid w:val="0"/>
                <w:color w:val="auto"/>
                <w:kern w:val="0"/>
              </w:rPr>
            </w:pPr>
            <w:r>
              <w:rPr>
                <w:rFonts w:ascii="宋体" w:hAnsi="宋体" w:eastAsia="宋体"/>
                <w:snapToGrid w:val="0"/>
                <w:color w:val="auto"/>
                <w:kern w:val="0"/>
              </w:rPr>
              <w:t>-S</w:t>
            </w:r>
          </w:p>
        </w:tc>
        <w:tc>
          <w:tcPr>
            <w:tcW w:w="646" w:type="pct"/>
            <w:shd w:val="clear" w:color="auto" w:fill="auto"/>
            <w:vAlign w:val="center"/>
          </w:tcPr>
          <w:p w14:paraId="103D0747">
            <w:pPr>
              <w:jc w:val="center"/>
              <w:rPr>
                <w:rFonts w:ascii="宋体" w:hAnsi="宋体" w:eastAsia="宋体"/>
                <w:snapToGrid w:val="0"/>
                <w:color w:val="auto"/>
                <w:kern w:val="0"/>
              </w:rPr>
            </w:pPr>
            <w:r>
              <w:rPr>
                <w:rFonts w:ascii="宋体" w:hAnsi="宋体" w:eastAsia="宋体"/>
                <w:snapToGrid w:val="0"/>
                <w:color w:val="auto"/>
                <w:kern w:val="0"/>
              </w:rPr>
              <w:t>/</w:t>
            </w:r>
          </w:p>
        </w:tc>
        <w:tc>
          <w:tcPr>
            <w:tcW w:w="1013" w:type="pct"/>
            <w:shd w:val="clear" w:color="auto" w:fill="auto"/>
            <w:vAlign w:val="center"/>
          </w:tcPr>
          <w:p w14:paraId="104CE798">
            <w:pPr>
              <w:jc w:val="center"/>
              <w:rPr>
                <w:rFonts w:ascii="宋体" w:hAnsi="宋体" w:eastAsia="宋体"/>
                <w:snapToGrid w:val="0"/>
                <w:color w:val="auto"/>
                <w:kern w:val="0"/>
              </w:rPr>
            </w:pPr>
            <w:r>
              <w:rPr>
                <w:rFonts w:ascii="宋体" w:hAnsi="宋体" w:eastAsia="宋体"/>
                <w:snapToGrid w:val="0"/>
                <w:color w:val="auto"/>
                <w:kern w:val="0"/>
              </w:rPr>
              <w:t>-SA</w:t>
            </w:r>
          </w:p>
        </w:tc>
      </w:tr>
      <w:tr w14:paraId="05AE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7" w:type="pct"/>
            <w:shd w:val="clear" w:color="auto" w:fill="auto"/>
            <w:vAlign w:val="center"/>
          </w:tcPr>
          <w:p w14:paraId="2541844A">
            <w:pPr>
              <w:jc w:val="center"/>
              <w:rPr>
                <w:rFonts w:ascii="宋体" w:hAnsi="宋体" w:eastAsia="宋体"/>
                <w:snapToGrid w:val="0"/>
                <w:color w:val="auto"/>
                <w:kern w:val="0"/>
              </w:rPr>
            </w:pPr>
            <w:r>
              <w:rPr>
                <w:rFonts w:ascii="宋体" w:hAnsi="宋体" w:eastAsia="宋体"/>
                <w:snapToGrid w:val="0"/>
                <w:color w:val="auto"/>
                <w:kern w:val="0"/>
              </w:rPr>
              <w:t>植被</w:t>
            </w:r>
          </w:p>
        </w:tc>
        <w:tc>
          <w:tcPr>
            <w:tcW w:w="403" w:type="pct"/>
            <w:shd w:val="clear" w:color="auto" w:fill="auto"/>
            <w:vAlign w:val="center"/>
          </w:tcPr>
          <w:p w14:paraId="5D7CCD58">
            <w:pPr>
              <w:jc w:val="center"/>
              <w:rPr>
                <w:rFonts w:ascii="宋体" w:hAnsi="宋体" w:eastAsia="宋体"/>
                <w:snapToGrid w:val="0"/>
                <w:color w:val="auto"/>
                <w:kern w:val="0"/>
              </w:rPr>
            </w:pPr>
            <w:r>
              <w:rPr>
                <w:rFonts w:ascii="宋体" w:hAnsi="宋体" w:eastAsia="宋体"/>
                <w:snapToGrid w:val="0"/>
                <w:color w:val="auto"/>
                <w:kern w:val="0"/>
              </w:rPr>
              <w:t>-</w:t>
            </w:r>
            <w:r>
              <w:rPr>
                <w:rFonts w:ascii="宋体" w:hAnsi="宋体" w:eastAsia="宋体"/>
                <w:color w:val="auto"/>
              </w:rPr>
              <w:t xml:space="preserve"> S</w:t>
            </w:r>
          </w:p>
        </w:tc>
        <w:tc>
          <w:tcPr>
            <w:tcW w:w="687" w:type="pct"/>
            <w:shd w:val="clear" w:color="auto" w:fill="auto"/>
            <w:vAlign w:val="center"/>
          </w:tcPr>
          <w:p w14:paraId="17DE873B">
            <w:pPr>
              <w:jc w:val="center"/>
              <w:rPr>
                <w:rFonts w:ascii="宋体" w:hAnsi="宋体" w:eastAsia="宋体"/>
                <w:snapToGrid w:val="0"/>
                <w:color w:val="auto"/>
                <w:kern w:val="0"/>
              </w:rPr>
            </w:pPr>
            <w:r>
              <w:rPr>
                <w:rFonts w:ascii="宋体" w:hAnsi="宋体" w:eastAsia="宋体"/>
                <w:snapToGrid w:val="0"/>
                <w:color w:val="auto"/>
                <w:kern w:val="0"/>
              </w:rPr>
              <w:t>/</w:t>
            </w:r>
          </w:p>
        </w:tc>
        <w:tc>
          <w:tcPr>
            <w:tcW w:w="610" w:type="pct"/>
            <w:shd w:val="clear" w:color="auto" w:fill="auto"/>
            <w:vAlign w:val="center"/>
          </w:tcPr>
          <w:p w14:paraId="4EF6A93E">
            <w:pPr>
              <w:jc w:val="center"/>
              <w:rPr>
                <w:rFonts w:ascii="宋体" w:hAnsi="宋体" w:eastAsia="宋体"/>
                <w:snapToGrid w:val="0"/>
                <w:color w:val="auto"/>
                <w:kern w:val="0"/>
              </w:rPr>
            </w:pPr>
            <w:r>
              <w:rPr>
                <w:rFonts w:ascii="宋体" w:hAnsi="宋体" w:eastAsia="宋体"/>
                <w:snapToGrid w:val="0"/>
                <w:color w:val="auto"/>
                <w:kern w:val="0"/>
              </w:rPr>
              <w:t>/</w:t>
            </w:r>
          </w:p>
        </w:tc>
        <w:tc>
          <w:tcPr>
            <w:tcW w:w="764" w:type="pct"/>
            <w:shd w:val="clear" w:color="auto" w:fill="auto"/>
            <w:vAlign w:val="center"/>
          </w:tcPr>
          <w:p w14:paraId="67C77BF3">
            <w:pPr>
              <w:jc w:val="center"/>
              <w:rPr>
                <w:rFonts w:ascii="宋体" w:hAnsi="宋体" w:eastAsia="宋体"/>
                <w:snapToGrid w:val="0"/>
                <w:color w:val="auto"/>
                <w:kern w:val="0"/>
              </w:rPr>
            </w:pPr>
            <w:r>
              <w:rPr>
                <w:rFonts w:ascii="宋体" w:hAnsi="宋体" w:eastAsia="宋体"/>
                <w:snapToGrid w:val="0"/>
                <w:color w:val="auto"/>
                <w:kern w:val="0"/>
              </w:rPr>
              <w:t>-S</w:t>
            </w:r>
          </w:p>
        </w:tc>
        <w:tc>
          <w:tcPr>
            <w:tcW w:w="646" w:type="pct"/>
            <w:shd w:val="clear" w:color="auto" w:fill="auto"/>
            <w:vAlign w:val="center"/>
          </w:tcPr>
          <w:p w14:paraId="6AEAFD9B">
            <w:pPr>
              <w:jc w:val="center"/>
              <w:rPr>
                <w:rFonts w:ascii="宋体" w:hAnsi="宋体" w:eastAsia="宋体"/>
                <w:snapToGrid w:val="0"/>
                <w:color w:val="auto"/>
                <w:kern w:val="0"/>
              </w:rPr>
            </w:pPr>
            <w:r>
              <w:rPr>
                <w:rFonts w:ascii="宋体" w:hAnsi="宋体" w:eastAsia="宋体"/>
                <w:snapToGrid w:val="0"/>
                <w:color w:val="auto"/>
                <w:kern w:val="0"/>
              </w:rPr>
              <w:t>/</w:t>
            </w:r>
          </w:p>
        </w:tc>
        <w:tc>
          <w:tcPr>
            <w:tcW w:w="1013" w:type="pct"/>
            <w:shd w:val="clear" w:color="auto" w:fill="auto"/>
            <w:vAlign w:val="center"/>
          </w:tcPr>
          <w:p w14:paraId="54100577">
            <w:pPr>
              <w:jc w:val="center"/>
              <w:rPr>
                <w:rFonts w:ascii="宋体" w:hAnsi="宋体" w:eastAsia="宋体"/>
                <w:snapToGrid w:val="0"/>
                <w:color w:val="auto"/>
                <w:kern w:val="0"/>
              </w:rPr>
            </w:pPr>
            <w:r>
              <w:rPr>
                <w:rFonts w:ascii="宋体" w:hAnsi="宋体" w:eastAsia="宋体"/>
                <w:snapToGrid w:val="0"/>
                <w:color w:val="auto"/>
                <w:kern w:val="0"/>
              </w:rPr>
              <w:t>-SA</w:t>
            </w:r>
          </w:p>
        </w:tc>
      </w:tr>
      <w:tr w14:paraId="3138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shd w:val="clear" w:color="auto" w:fill="auto"/>
            <w:vAlign w:val="center"/>
          </w:tcPr>
          <w:p w14:paraId="122F0751">
            <w:pPr>
              <w:jc w:val="center"/>
              <w:rPr>
                <w:rFonts w:ascii="宋体" w:hAnsi="宋体" w:eastAsia="宋体"/>
                <w:snapToGrid w:val="0"/>
                <w:color w:val="auto"/>
              </w:rPr>
            </w:pPr>
            <w:r>
              <w:rPr>
                <w:rFonts w:ascii="宋体" w:hAnsi="宋体" w:eastAsia="宋体"/>
                <w:snapToGrid w:val="0"/>
                <w:color w:val="auto"/>
              </w:rPr>
              <w:t>注：-：不利影响   +：有利影响   L：长期影响   S：短期影响   A：显著影响    /：表示此项环境因子不存在或与工程活动无关</w:t>
            </w:r>
          </w:p>
        </w:tc>
      </w:tr>
    </w:tbl>
    <w:p w14:paraId="5E524715">
      <w:pPr>
        <w:pStyle w:val="22"/>
        <w:spacing w:before="156"/>
        <w:rPr>
          <w:color w:val="auto"/>
        </w:rPr>
      </w:pPr>
      <w:r>
        <w:rPr>
          <w:color w:val="auto"/>
        </w:rPr>
        <w:t>续表2.4-1    环境影响因素矩阵识别表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174"/>
        <w:gridCol w:w="1450"/>
        <w:gridCol w:w="1306"/>
        <w:gridCol w:w="2030"/>
        <w:gridCol w:w="1593"/>
        <w:gridCol w:w="8"/>
      </w:tblGrid>
      <w:tr w14:paraId="4408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Merge w:val="restart"/>
            <w:tcBorders>
              <w:tl2br w:val="single" w:color="auto" w:sz="4" w:space="0"/>
            </w:tcBorders>
            <w:shd w:val="clear" w:color="auto" w:fill="auto"/>
            <w:vAlign w:val="center"/>
          </w:tcPr>
          <w:p w14:paraId="157DEA8A">
            <w:pPr>
              <w:jc w:val="center"/>
              <w:rPr>
                <w:rFonts w:ascii="宋体" w:hAnsi="宋体" w:eastAsia="宋体"/>
                <w:snapToGrid w:val="0"/>
                <w:color w:val="auto"/>
                <w:kern w:val="0"/>
              </w:rPr>
            </w:pPr>
            <w:r>
              <w:rPr>
                <w:rFonts w:ascii="宋体" w:hAnsi="宋体" w:eastAsia="宋体"/>
                <w:snapToGrid w:val="0"/>
                <w:color w:val="auto"/>
                <w:kern w:val="0"/>
              </w:rPr>
              <w:t xml:space="preserve">      影响因素</w:t>
            </w:r>
          </w:p>
          <w:p w14:paraId="1A9B77EB">
            <w:pPr>
              <w:jc w:val="center"/>
              <w:rPr>
                <w:rFonts w:ascii="宋体" w:hAnsi="宋体" w:eastAsia="宋体"/>
                <w:snapToGrid w:val="0"/>
                <w:color w:val="auto"/>
                <w:kern w:val="0"/>
              </w:rPr>
            </w:pPr>
          </w:p>
          <w:p w14:paraId="5954264C">
            <w:pPr>
              <w:jc w:val="center"/>
              <w:rPr>
                <w:rFonts w:ascii="宋体" w:hAnsi="宋体" w:eastAsia="宋体"/>
                <w:snapToGrid w:val="0"/>
                <w:color w:val="auto"/>
                <w:kern w:val="0"/>
              </w:rPr>
            </w:pPr>
            <w:r>
              <w:rPr>
                <w:rFonts w:ascii="宋体" w:hAnsi="宋体" w:eastAsia="宋体"/>
                <w:snapToGrid w:val="0"/>
                <w:color w:val="auto"/>
                <w:kern w:val="0"/>
              </w:rPr>
              <w:t>环境因素</w:t>
            </w:r>
          </w:p>
        </w:tc>
        <w:tc>
          <w:tcPr>
            <w:tcW w:w="632" w:type="pct"/>
            <w:vMerge w:val="restart"/>
            <w:shd w:val="clear" w:color="auto" w:fill="auto"/>
            <w:vAlign w:val="center"/>
          </w:tcPr>
          <w:p w14:paraId="0C4E06BB">
            <w:pPr>
              <w:jc w:val="center"/>
              <w:rPr>
                <w:rFonts w:ascii="宋体" w:hAnsi="宋体" w:eastAsia="宋体"/>
                <w:snapToGrid w:val="0"/>
                <w:color w:val="auto"/>
                <w:kern w:val="0"/>
              </w:rPr>
            </w:pPr>
            <w:r>
              <w:rPr>
                <w:rFonts w:ascii="宋体" w:hAnsi="宋体" w:eastAsia="宋体"/>
                <w:snapToGrid w:val="0"/>
                <w:color w:val="auto"/>
                <w:kern w:val="0"/>
              </w:rPr>
              <w:t>占地恢复</w:t>
            </w:r>
          </w:p>
        </w:tc>
        <w:tc>
          <w:tcPr>
            <w:tcW w:w="3435" w:type="pct"/>
            <w:gridSpan w:val="4"/>
            <w:shd w:val="clear" w:color="auto" w:fill="auto"/>
            <w:vAlign w:val="center"/>
          </w:tcPr>
          <w:p w14:paraId="2864F499">
            <w:pPr>
              <w:jc w:val="center"/>
              <w:rPr>
                <w:rFonts w:ascii="宋体" w:hAnsi="宋体" w:eastAsia="宋体"/>
                <w:snapToGrid w:val="0"/>
                <w:color w:val="auto"/>
                <w:kern w:val="0"/>
              </w:rPr>
            </w:pPr>
            <w:r>
              <w:rPr>
                <w:rFonts w:ascii="宋体" w:hAnsi="宋体" w:eastAsia="宋体"/>
                <w:snapToGrid w:val="0"/>
                <w:color w:val="auto"/>
                <w:kern w:val="0"/>
              </w:rPr>
              <w:t>退役期</w:t>
            </w:r>
          </w:p>
        </w:tc>
      </w:tr>
      <w:tr w14:paraId="631F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Merge w:val="continue"/>
            <w:tcBorders>
              <w:tl2br w:val="single" w:color="auto" w:sz="4" w:space="0"/>
            </w:tcBorders>
            <w:shd w:val="clear" w:color="auto" w:fill="auto"/>
            <w:vAlign w:val="center"/>
          </w:tcPr>
          <w:p w14:paraId="10A69013">
            <w:pPr>
              <w:jc w:val="center"/>
              <w:rPr>
                <w:rFonts w:ascii="宋体" w:hAnsi="宋体" w:eastAsia="宋体"/>
                <w:snapToGrid w:val="0"/>
                <w:color w:val="auto"/>
                <w:kern w:val="0"/>
              </w:rPr>
            </w:pPr>
          </w:p>
        </w:tc>
        <w:tc>
          <w:tcPr>
            <w:tcW w:w="632" w:type="pct"/>
            <w:vMerge w:val="continue"/>
            <w:shd w:val="clear" w:color="auto" w:fill="auto"/>
            <w:vAlign w:val="center"/>
          </w:tcPr>
          <w:p w14:paraId="60F1EC56">
            <w:pPr>
              <w:jc w:val="center"/>
              <w:rPr>
                <w:rFonts w:ascii="宋体" w:hAnsi="宋体" w:eastAsia="宋体"/>
                <w:snapToGrid w:val="0"/>
                <w:color w:val="auto"/>
                <w:kern w:val="0"/>
              </w:rPr>
            </w:pPr>
          </w:p>
        </w:tc>
        <w:tc>
          <w:tcPr>
            <w:tcW w:w="781" w:type="pct"/>
            <w:shd w:val="clear" w:color="auto" w:fill="auto"/>
            <w:vAlign w:val="center"/>
          </w:tcPr>
          <w:p w14:paraId="3C048B5D">
            <w:pPr>
              <w:jc w:val="center"/>
              <w:rPr>
                <w:rFonts w:ascii="宋体" w:hAnsi="宋体" w:eastAsia="宋体"/>
                <w:snapToGrid w:val="0"/>
                <w:color w:val="auto"/>
                <w:kern w:val="0"/>
              </w:rPr>
            </w:pPr>
            <w:r>
              <w:rPr>
                <w:rFonts w:ascii="宋体" w:hAnsi="宋体" w:eastAsia="宋体"/>
                <w:snapToGrid w:val="0"/>
                <w:color w:val="auto"/>
                <w:kern w:val="0"/>
              </w:rPr>
              <w:t>废气</w:t>
            </w:r>
          </w:p>
        </w:tc>
        <w:tc>
          <w:tcPr>
            <w:tcW w:w="703" w:type="pct"/>
            <w:shd w:val="clear" w:color="auto" w:fill="auto"/>
            <w:vAlign w:val="center"/>
          </w:tcPr>
          <w:p w14:paraId="15634CC0">
            <w:pPr>
              <w:jc w:val="center"/>
              <w:rPr>
                <w:rFonts w:ascii="宋体" w:hAnsi="宋体" w:eastAsia="宋体"/>
                <w:snapToGrid w:val="0"/>
                <w:color w:val="auto"/>
                <w:kern w:val="0"/>
              </w:rPr>
            </w:pPr>
            <w:r>
              <w:rPr>
                <w:rFonts w:ascii="宋体" w:hAnsi="宋体" w:eastAsia="宋体"/>
                <w:snapToGrid w:val="0"/>
                <w:color w:val="auto"/>
                <w:kern w:val="0"/>
              </w:rPr>
              <w:t>废水</w:t>
            </w:r>
          </w:p>
        </w:tc>
        <w:tc>
          <w:tcPr>
            <w:tcW w:w="1093" w:type="pct"/>
            <w:shd w:val="clear" w:color="auto" w:fill="auto"/>
            <w:vAlign w:val="center"/>
          </w:tcPr>
          <w:p w14:paraId="1D840CB0">
            <w:pPr>
              <w:jc w:val="center"/>
              <w:rPr>
                <w:rFonts w:ascii="宋体" w:hAnsi="宋体" w:eastAsia="宋体"/>
                <w:snapToGrid w:val="0"/>
                <w:color w:val="auto"/>
                <w:kern w:val="0"/>
              </w:rPr>
            </w:pPr>
            <w:r>
              <w:rPr>
                <w:rFonts w:ascii="宋体" w:hAnsi="宋体" w:eastAsia="宋体"/>
                <w:snapToGrid w:val="0"/>
                <w:color w:val="auto"/>
                <w:kern w:val="0"/>
              </w:rPr>
              <w:t>固体废物</w:t>
            </w:r>
          </w:p>
        </w:tc>
        <w:tc>
          <w:tcPr>
            <w:tcW w:w="858" w:type="pct"/>
            <w:shd w:val="clear" w:color="auto" w:fill="auto"/>
            <w:vAlign w:val="center"/>
          </w:tcPr>
          <w:p w14:paraId="6DE7727C">
            <w:pPr>
              <w:jc w:val="center"/>
              <w:rPr>
                <w:rFonts w:ascii="宋体" w:hAnsi="宋体" w:eastAsia="宋体"/>
                <w:snapToGrid w:val="0"/>
                <w:color w:val="auto"/>
                <w:kern w:val="0"/>
              </w:rPr>
            </w:pPr>
            <w:r>
              <w:rPr>
                <w:rFonts w:ascii="宋体" w:hAnsi="宋体" w:eastAsia="宋体"/>
                <w:snapToGrid w:val="0"/>
                <w:color w:val="auto"/>
                <w:kern w:val="0"/>
              </w:rPr>
              <w:t>噪声</w:t>
            </w:r>
          </w:p>
        </w:tc>
      </w:tr>
      <w:tr w14:paraId="4668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vMerge w:val="continue"/>
            <w:tcBorders>
              <w:tl2br w:val="single" w:color="auto" w:sz="4" w:space="0"/>
            </w:tcBorders>
            <w:shd w:val="clear" w:color="auto" w:fill="auto"/>
            <w:vAlign w:val="center"/>
          </w:tcPr>
          <w:p w14:paraId="59293EB1">
            <w:pPr>
              <w:jc w:val="center"/>
              <w:rPr>
                <w:rFonts w:ascii="宋体" w:hAnsi="宋体" w:eastAsia="宋体"/>
                <w:snapToGrid w:val="0"/>
                <w:color w:val="auto"/>
                <w:kern w:val="0"/>
              </w:rPr>
            </w:pPr>
          </w:p>
        </w:tc>
        <w:tc>
          <w:tcPr>
            <w:tcW w:w="632" w:type="pct"/>
            <w:vMerge w:val="continue"/>
            <w:shd w:val="clear" w:color="auto" w:fill="auto"/>
            <w:vAlign w:val="center"/>
          </w:tcPr>
          <w:p w14:paraId="1E56F0DB">
            <w:pPr>
              <w:jc w:val="center"/>
              <w:rPr>
                <w:rFonts w:ascii="宋体" w:hAnsi="宋体" w:eastAsia="宋体"/>
                <w:snapToGrid w:val="0"/>
                <w:color w:val="auto"/>
                <w:kern w:val="0"/>
              </w:rPr>
            </w:pPr>
          </w:p>
        </w:tc>
        <w:tc>
          <w:tcPr>
            <w:tcW w:w="781" w:type="pct"/>
            <w:shd w:val="clear" w:color="auto" w:fill="auto"/>
            <w:vAlign w:val="center"/>
          </w:tcPr>
          <w:p w14:paraId="0862D243">
            <w:pPr>
              <w:kinsoku w:val="0"/>
              <w:overflowPunct w:val="0"/>
              <w:jc w:val="center"/>
              <w:rPr>
                <w:rFonts w:ascii="宋体" w:hAnsi="宋体" w:eastAsia="宋体"/>
                <w:snapToGrid w:val="0"/>
                <w:color w:val="auto"/>
                <w:kern w:val="0"/>
              </w:rPr>
            </w:pPr>
            <w:r>
              <w:rPr>
                <w:rFonts w:ascii="宋体" w:hAnsi="宋体" w:eastAsia="宋体"/>
                <w:color w:val="auto"/>
              </w:rPr>
              <w:t>施工扬尘、车辆尾气</w:t>
            </w:r>
          </w:p>
        </w:tc>
        <w:tc>
          <w:tcPr>
            <w:tcW w:w="703" w:type="pct"/>
            <w:shd w:val="clear" w:color="auto" w:fill="auto"/>
            <w:vAlign w:val="center"/>
          </w:tcPr>
          <w:p w14:paraId="5228F981">
            <w:pPr>
              <w:kinsoku w:val="0"/>
              <w:overflowPunct w:val="0"/>
              <w:jc w:val="center"/>
              <w:rPr>
                <w:rFonts w:ascii="宋体" w:hAnsi="宋体" w:eastAsia="宋体"/>
                <w:snapToGrid w:val="0"/>
                <w:color w:val="auto"/>
                <w:kern w:val="0"/>
              </w:rPr>
            </w:pPr>
            <w:r>
              <w:rPr>
                <w:rFonts w:ascii="宋体" w:hAnsi="宋体" w:eastAsia="宋体"/>
                <w:color w:val="auto"/>
              </w:rPr>
              <w:t>生活污水</w:t>
            </w:r>
          </w:p>
        </w:tc>
        <w:tc>
          <w:tcPr>
            <w:tcW w:w="1093" w:type="pct"/>
            <w:shd w:val="clear" w:color="auto" w:fill="auto"/>
            <w:vAlign w:val="center"/>
          </w:tcPr>
          <w:p w14:paraId="08F8A74D">
            <w:pPr>
              <w:kinsoku w:val="0"/>
              <w:overflowPunct w:val="0"/>
              <w:jc w:val="center"/>
              <w:rPr>
                <w:rFonts w:ascii="宋体" w:hAnsi="宋体" w:eastAsia="宋体"/>
                <w:snapToGrid w:val="0"/>
                <w:color w:val="auto"/>
                <w:kern w:val="0"/>
              </w:rPr>
            </w:pPr>
            <w:r>
              <w:rPr>
                <w:rFonts w:ascii="宋体" w:hAnsi="宋体" w:eastAsia="宋体"/>
                <w:color w:val="auto"/>
              </w:rPr>
              <w:t>废旧设备、封井建筑垃圾、生活垃圾</w:t>
            </w:r>
          </w:p>
        </w:tc>
        <w:tc>
          <w:tcPr>
            <w:tcW w:w="858" w:type="pct"/>
            <w:shd w:val="clear" w:color="auto" w:fill="auto"/>
            <w:vAlign w:val="center"/>
          </w:tcPr>
          <w:p w14:paraId="4636FBDB">
            <w:pPr>
              <w:kinsoku w:val="0"/>
              <w:overflowPunct w:val="0"/>
              <w:jc w:val="center"/>
              <w:rPr>
                <w:rFonts w:ascii="宋体" w:hAnsi="宋体" w:eastAsia="宋体"/>
                <w:snapToGrid w:val="0"/>
                <w:color w:val="auto"/>
                <w:kern w:val="0"/>
              </w:rPr>
            </w:pPr>
            <w:r>
              <w:rPr>
                <w:rFonts w:ascii="宋体" w:hAnsi="宋体" w:eastAsia="宋体"/>
                <w:snapToGrid w:val="0"/>
                <w:color w:val="auto"/>
                <w:kern w:val="0"/>
              </w:rPr>
              <w:t>施工车辆、施工机械噪声</w:t>
            </w:r>
          </w:p>
        </w:tc>
      </w:tr>
      <w:tr w14:paraId="5444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shd w:val="clear" w:color="auto" w:fill="auto"/>
            <w:vAlign w:val="center"/>
          </w:tcPr>
          <w:p w14:paraId="3E9817D9">
            <w:pPr>
              <w:jc w:val="center"/>
              <w:rPr>
                <w:rFonts w:ascii="宋体" w:hAnsi="宋体" w:eastAsia="宋体"/>
                <w:snapToGrid w:val="0"/>
                <w:color w:val="auto"/>
                <w:kern w:val="0"/>
              </w:rPr>
            </w:pPr>
            <w:r>
              <w:rPr>
                <w:rFonts w:ascii="宋体" w:hAnsi="宋体" w:eastAsia="宋体"/>
                <w:snapToGrid w:val="0"/>
                <w:color w:val="auto"/>
                <w:kern w:val="0"/>
              </w:rPr>
              <w:t>环境空气</w:t>
            </w:r>
          </w:p>
        </w:tc>
        <w:tc>
          <w:tcPr>
            <w:tcW w:w="632" w:type="pct"/>
            <w:shd w:val="clear" w:color="auto" w:fill="auto"/>
            <w:vAlign w:val="center"/>
          </w:tcPr>
          <w:p w14:paraId="6BD7C25C">
            <w:pPr>
              <w:jc w:val="center"/>
              <w:rPr>
                <w:rFonts w:ascii="宋体" w:hAnsi="宋体" w:eastAsia="宋体"/>
                <w:snapToGrid w:val="0"/>
                <w:color w:val="auto"/>
                <w:kern w:val="0"/>
              </w:rPr>
            </w:pPr>
            <w:r>
              <w:rPr>
                <w:rFonts w:ascii="宋体" w:hAnsi="宋体" w:eastAsia="宋体"/>
                <w:snapToGrid w:val="0"/>
                <w:color w:val="auto"/>
                <w:kern w:val="0"/>
              </w:rPr>
              <w:t>/</w:t>
            </w:r>
          </w:p>
        </w:tc>
        <w:tc>
          <w:tcPr>
            <w:tcW w:w="781" w:type="pct"/>
            <w:shd w:val="clear" w:color="auto" w:fill="auto"/>
            <w:vAlign w:val="center"/>
          </w:tcPr>
          <w:p w14:paraId="4F483E27">
            <w:pPr>
              <w:jc w:val="center"/>
              <w:rPr>
                <w:rFonts w:ascii="宋体" w:hAnsi="宋体" w:eastAsia="宋体"/>
                <w:snapToGrid w:val="0"/>
                <w:color w:val="auto"/>
                <w:kern w:val="0"/>
              </w:rPr>
            </w:pPr>
            <w:r>
              <w:rPr>
                <w:rFonts w:ascii="宋体" w:hAnsi="宋体" w:eastAsia="宋体"/>
                <w:snapToGrid w:val="0"/>
                <w:color w:val="auto"/>
                <w:kern w:val="0"/>
              </w:rPr>
              <w:t>-S</w:t>
            </w:r>
          </w:p>
        </w:tc>
        <w:tc>
          <w:tcPr>
            <w:tcW w:w="703" w:type="pct"/>
            <w:shd w:val="clear" w:color="auto" w:fill="auto"/>
            <w:vAlign w:val="center"/>
          </w:tcPr>
          <w:p w14:paraId="21854C64">
            <w:pPr>
              <w:jc w:val="center"/>
              <w:rPr>
                <w:rFonts w:ascii="宋体" w:hAnsi="宋体" w:eastAsia="宋体"/>
                <w:snapToGrid w:val="0"/>
                <w:color w:val="auto"/>
                <w:kern w:val="0"/>
              </w:rPr>
            </w:pPr>
            <w:r>
              <w:rPr>
                <w:rFonts w:ascii="宋体" w:hAnsi="宋体" w:eastAsia="宋体"/>
                <w:snapToGrid w:val="0"/>
                <w:color w:val="auto"/>
                <w:kern w:val="0"/>
              </w:rPr>
              <w:t>/</w:t>
            </w:r>
          </w:p>
        </w:tc>
        <w:tc>
          <w:tcPr>
            <w:tcW w:w="1093" w:type="pct"/>
            <w:shd w:val="clear" w:color="auto" w:fill="auto"/>
            <w:vAlign w:val="center"/>
          </w:tcPr>
          <w:p w14:paraId="11D0533A">
            <w:pPr>
              <w:jc w:val="center"/>
              <w:rPr>
                <w:rFonts w:ascii="宋体" w:hAnsi="宋体" w:eastAsia="宋体"/>
                <w:snapToGrid w:val="0"/>
                <w:color w:val="auto"/>
                <w:kern w:val="0"/>
              </w:rPr>
            </w:pPr>
            <w:r>
              <w:rPr>
                <w:rFonts w:ascii="宋体" w:hAnsi="宋体" w:eastAsia="宋体"/>
                <w:snapToGrid w:val="0"/>
                <w:color w:val="auto"/>
                <w:kern w:val="0"/>
              </w:rPr>
              <w:t>/</w:t>
            </w:r>
          </w:p>
        </w:tc>
        <w:tc>
          <w:tcPr>
            <w:tcW w:w="858" w:type="pct"/>
            <w:shd w:val="clear" w:color="auto" w:fill="auto"/>
            <w:vAlign w:val="center"/>
          </w:tcPr>
          <w:p w14:paraId="001582B5">
            <w:pPr>
              <w:jc w:val="center"/>
              <w:rPr>
                <w:rFonts w:ascii="宋体" w:hAnsi="宋体" w:eastAsia="宋体"/>
                <w:snapToGrid w:val="0"/>
                <w:color w:val="auto"/>
                <w:kern w:val="0"/>
              </w:rPr>
            </w:pPr>
            <w:r>
              <w:rPr>
                <w:rFonts w:ascii="宋体" w:hAnsi="宋体" w:eastAsia="宋体"/>
                <w:snapToGrid w:val="0"/>
                <w:color w:val="auto"/>
                <w:kern w:val="0"/>
              </w:rPr>
              <w:t>/</w:t>
            </w:r>
          </w:p>
        </w:tc>
      </w:tr>
      <w:tr w14:paraId="5EE3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shd w:val="clear" w:color="auto" w:fill="auto"/>
            <w:vAlign w:val="center"/>
          </w:tcPr>
          <w:p w14:paraId="53C4AAB3">
            <w:pPr>
              <w:jc w:val="center"/>
              <w:rPr>
                <w:rFonts w:ascii="宋体" w:hAnsi="宋体" w:eastAsia="宋体"/>
                <w:snapToGrid w:val="0"/>
                <w:color w:val="auto"/>
                <w:kern w:val="0"/>
              </w:rPr>
            </w:pPr>
            <w:r>
              <w:rPr>
                <w:rFonts w:ascii="宋体" w:hAnsi="宋体" w:eastAsia="宋体"/>
                <w:snapToGrid w:val="0"/>
                <w:color w:val="auto"/>
                <w:kern w:val="0"/>
              </w:rPr>
              <w:t>地表水</w:t>
            </w:r>
          </w:p>
        </w:tc>
        <w:tc>
          <w:tcPr>
            <w:tcW w:w="632" w:type="pct"/>
            <w:shd w:val="clear" w:color="auto" w:fill="auto"/>
            <w:vAlign w:val="center"/>
          </w:tcPr>
          <w:p w14:paraId="3AD56B0C">
            <w:pPr>
              <w:jc w:val="center"/>
              <w:rPr>
                <w:rFonts w:ascii="宋体" w:hAnsi="宋体" w:eastAsia="宋体"/>
                <w:snapToGrid w:val="0"/>
                <w:color w:val="auto"/>
                <w:kern w:val="0"/>
              </w:rPr>
            </w:pPr>
            <w:r>
              <w:rPr>
                <w:rFonts w:ascii="宋体" w:hAnsi="宋体" w:eastAsia="宋体"/>
                <w:snapToGrid w:val="0"/>
                <w:color w:val="auto"/>
                <w:kern w:val="0"/>
              </w:rPr>
              <w:t>/</w:t>
            </w:r>
          </w:p>
        </w:tc>
        <w:tc>
          <w:tcPr>
            <w:tcW w:w="781" w:type="pct"/>
            <w:shd w:val="clear" w:color="auto" w:fill="auto"/>
            <w:vAlign w:val="center"/>
          </w:tcPr>
          <w:p w14:paraId="287872EB">
            <w:pPr>
              <w:jc w:val="center"/>
              <w:rPr>
                <w:rFonts w:ascii="宋体" w:hAnsi="宋体" w:eastAsia="宋体"/>
                <w:snapToGrid w:val="0"/>
                <w:color w:val="auto"/>
                <w:kern w:val="0"/>
              </w:rPr>
            </w:pPr>
            <w:r>
              <w:rPr>
                <w:rFonts w:ascii="宋体" w:hAnsi="宋体" w:eastAsia="宋体"/>
                <w:snapToGrid w:val="0"/>
                <w:color w:val="auto"/>
                <w:kern w:val="0"/>
              </w:rPr>
              <w:t>/</w:t>
            </w:r>
          </w:p>
        </w:tc>
        <w:tc>
          <w:tcPr>
            <w:tcW w:w="703" w:type="pct"/>
            <w:shd w:val="clear" w:color="auto" w:fill="auto"/>
            <w:vAlign w:val="center"/>
          </w:tcPr>
          <w:p w14:paraId="2FDD66C2">
            <w:pPr>
              <w:jc w:val="center"/>
              <w:rPr>
                <w:rFonts w:ascii="宋体" w:hAnsi="宋体" w:eastAsia="宋体"/>
                <w:snapToGrid w:val="0"/>
                <w:color w:val="auto"/>
                <w:kern w:val="0"/>
              </w:rPr>
            </w:pPr>
            <w:r>
              <w:rPr>
                <w:rFonts w:ascii="宋体" w:hAnsi="宋体" w:eastAsia="宋体"/>
                <w:snapToGrid w:val="0"/>
                <w:color w:val="auto"/>
                <w:kern w:val="0"/>
              </w:rPr>
              <w:t>-S</w:t>
            </w:r>
          </w:p>
        </w:tc>
        <w:tc>
          <w:tcPr>
            <w:tcW w:w="1093" w:type="pct"/>
            <w:shd w:val="clear" w:color="auto" w:fill="auto"/>
            <w:vAlign w:val="center"/>
          </w:tcPr>
          <w:p w14:paraId="5BBBDB98">
            <w:pPr>
              <w:jc w:val="center"/>
              <w:rPr>
                <w:rFonts w:ascii="宋体" w:hAnsi="宋体" w:eastAsia="宋体"/>
                <w:snapToGrid w:val="0"/>
                <w:color w:val="auto"/>
                <w:kern w:val="0"/>
              </w:rPr>
            </w:pPr>
            <w:r>
              <w:rPr>
                <w:rFonts w:ascii="宋体" w:hAnsi="宋体" w:eastAsia="宋体"/>
                <w:snapToGrid w:val="0"/>
                <w:color w:val="auto"/>
                <w:kern w:val="0"/>
              </w:rPr>
              <w:t>/</w:t>
            </w:r>
          </w:p>
        </w:tc>
        <w:tc>
          <w:tcPr>
            <w:tcW w:w="858" w:type="pct"/>
            <w:shd w:val="clear" w:color="auto" w:fill="auto"/>
            <w:vAlign w:val="center"/>
          </w:tcPr>
          <w:p w14:paraId="50E43C1F">
            <w:pPr>
              <w:jc w:val="center"/>
              <w:rPr>
                <w:rFonts w:ascii="宋体" w:hAnsi="宋体" w:eastAsia="宋体"/>
                <w:snapToGrid w:val="0"/>
                <w:color w:val="auto"/>
                <w:kern w:val="0"/>
              </w:rPr>
            </w:pPr>
            <w:r>
              <w:rPr>
                <w:rFonts w:ascii="宋体" w:hAnsi="宋体" w:eastAsia="宋体"/>
                <w:snapToGrid w:val="0"/>
                <w:color w:val="auto"/>
                <w:kern w:val="0"/>
              </w:rPr>
              <w:t>/</w:t>
            </w:r>
          </w:p>
        </w:tc>
      </w:tr>
      <w:tr w14:paraId="2EBD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shd w:val="clear" w:color="auto" w:fill="auto"/>
            <w:vAlign w:val="center"/>
          </w:tcPr>
          <w:p w14:paraId="50F2F40C">
            <w:pPr>
              <w:jc w:val="center"/>
              <w:rPr>
                <w:rFonts w:ascii="宋体" w:hAnsi="宋体" w:eastAsia="宋体"/>
                <w:snapToGrid w:val="0"/>
                <w:color w:val="auto"/>
                <w:kern w:val="0"/>
              </w:rPr>
            </w:pPr>
            <w:r>
              <w:rPr>
                <w:rFonts w:ascii="宋体" w:hAnsi="宋体" w:eastAsia="宋体"/>
                <w:snapToGrid w:val="0"/>
                <w:color w:val="auto"/>
                <w:kern w:val="0"/>
              </w:rPr>
              <w:t>地下水</w:t>
            </w:r>
          </w:p>
        </w:tc>
        <w:tc>
          <w:tcPr>
            <w:tcW w:w="632" w:type="pct"/>
            <w:shd w:val="clear" w:color="auto" w:fill="auto"/>
            <w:vAlign w:val="center"/>
          </w:tcPr>
          <w:p w14:paraId="1389548B">
            <w:pPr>
              <w:jc w:val="center"/>
              <w:rPr>
                <w:rFonts w:ascii="宋体" w:hAnsi="宋体" w:eastAsia="宋体"/>
                <w:snapToGrid w:val="0"/>
                <w:color w:val="auto"/>
                <w:kern w:val="0"/>
              </w:rPr>
            </w:pPr>
            <w:r>
              <w:rPr>
                <w:rFonts w:ascii="宋体" w:hAnsi="宋体" w:eastAsia="宋体"/>
                <w:snapToGrid w:val="0"/>
                <w:color w:val="auto"/>
                <w:kern w:val="0"/>
              </w:rPr>
              <w:t>/</w:t>
            </w:r>
          </w:p>
        </w:tc>
        <w:tc>
          <w:tcPr>
            <w:tcW w:w="781" w:type="pct"/>
            <w:shd w:val="clear" w:color="auto" w:fill="auto"/>
            <w:vAlign w:val="center"/>
          </w:tcPr>
          <w:p w14:paraId="167D065B">
            <w:pPr>
              <w:jc w:val="center"/>
              <w:rPr>
                <w:rFonts w:ascii="宋体" w:hAnsi="宋体" w:eastAsia="宋体"/>
                <w:snapToGrid w:val="0"/>
                <w:color w:val="auto"/>
                <w:kern w:val="0"/>
              </w:rPr>
            </w:pPr>
            <w:r>
              <w:rPr>
                <w:rFonts w:ascii="宋体" w:hAnsi="宋体" w:eastAsia="宋体"/>
                <w:snapToGrid w:val="0"/>
                <w:color w:val="auto"/>
                <w:kern w:val="0"/>
              </w:rPr>
              <w:t>/</w:t>
            </w:r>
          </w:p>
        </w:tc>
        <w:tc>
          <w:tcPr>
            <w:tcW w:w="703" w:type="pct"/>
            <w:shd w:val="clear" w:color="auto" w:fill="auto"/>
            <w:vAlign w:val="center"/>
          </w:tcPr>
          <w:p w14:paraId="55698AD4">
            <w:pPr>
              <w:jc w:val="center"/>
              <w:rPr>
                <w:rFonts w:ascii="宋体" w:hAnsi="宋体" w:eastAsia="宋体"/>
                <w:snapToGrid w:val="0"/>
                <w:color w:val="auto"/>
                <w:kern w:val="0"/>
              </w:rPr>
            </w:pPr>
            <w:r>
              <w:rPr>
                <w:rFonts w:ascii="宋体" w:hAnsi="宋体" w:eastAsia="宋体"/>
                <w:snapToGrid w:val="0"/>
                <w:color w:val="auto"/>
                <w:kern w:val="0"/>
              </w:rPr>
              <w:t>/</w:t>
            </w:r>
          </w:p>
        </w:tc>
        <w:tc>
          <w:tcPr>
            <w:tcW w:w="1093" w:type="pct"/>
            <w:shd w:val="clear" w:color="auto" w:fill="auto"/>
            <w:vAlign w:val="center"/>
          </w:tcPr>
          <w:p w14:paraId="4CFFC294">
            <w:pPr>
              <w:jc w:val="center"/>
              <w:rPr>
                <w:rFonts w:ascii="宋体" w:hAnsi="宋体" w:eastAsia="宋体"/>
                <w:snapToGrid w:val="0"/>
                <w:color w:val="auto"/>
                <w:kern w:val="0"/>
              </w:rPr>
            </w:pPr>
            <w:r>
              <w:rPr>
                <w:rFonts w:ascii="宋体" w:hAnsi="宋体" w:eastAsia="宋体"/>
                <w:snapToGrid w:val="0"/>
                <w:color w:val="auto"/>
                <w:kern w:val="0"/>
              </w:rPr>
              <w:t>/</w:t>
            </w:r>
          </w:p>
        </w:tc>
        <w:tc>
          <w:tcPr>
            <w:tcW w:w="858" w:type="pct"/>
            <w:shd w:val="clear" w:color="auto" w:fill="auto"/>
            <w:vAlign w:val="center"/>
          </w:tcPr>
          <w:p w14:paraId="0AD88042">
            <w:pPr>
              <w:jc w:val="center"/>
              <w:rPr>
                <w:rFonts w:ascii="宋体" w:hAnsi="宋体" w:eastAsia="宋体"/>
                <w:snapToGrid w:val="0"/>
                <w:color w:val="auto"/>
                <w:kern w:val="0"/>
              </w:rPr>
            </w:pPr>
            <w:r>
              <w:rPr>
                <w:rFonts w:ascii="宋体" w:hAnsi="宋体" w:eastAsia="宋体"/>
                <w:snapToGrid w:val="0"/>
                <w:color w:val="auto"/>
                <w:kern w:val="0"/>
              </w:rPr>
              <w:t>/</w:t>
            </w:r>
          </w:p>
        </w:tc>
      </w:tr>
      <w:tr w14:paraId="0AE9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shd w:val="clear" w:color="auto" w:fill="auto"/>
            <w:vAlign w:val="center"/>
          </w:tcPr>
          <w:p w14:paraId="2A334C8B">
            <w:pPr>
              <w:jc w:val="center"/>
              <w:rPr>
                <w:rFonts w:ascii="宋体" w:hAnsi="宋体" w:eastAsia="宋体"/>
                <w:snapToGrid w:val="0"/>
                <w:color w:val="auto"/>
                <w:kern w:val="0"/>
              </w:rPr>
            </w:pPr>
            <w:r>
              <w:rPr>
                <w:rFonts w:ascii="宋体" w:hAnsi="宋体" w:eastAsia="宋体"/>
                <w:snapToGrid w:val="0"/>
                <w:color w:val="auto"/>
                <w:kern w:val="0"/>
              </w:rPr>
              <w:t>声环境</w:t>
            </w:r>
          </w:p>
        </w:tc>
        <w:tc>
          <w:tcPr>
            <w:tcW w:w="632" w:type="pct"/>
            <w:shd w:val="clear" w:color="auto" w:fill="auto"/>
            <w:vAlign w:val="center"/>
          </w:tcPr>
          <w:p w14:paraId="0D0C37FB">
            <w:pPr>
              <w:jc w:val="center"/>
              <w:rPr>
                <w:rFonts w:ascii="宋体" w:hAnsi="宋体" w:eastAsia="宋体"/>
                <w:snapToGrid w:val="0"/>
                <w:color w:val="auto"/>
                <w:kern w:val="0"/>
              </w:rPr>
            </w:pPr>
            <w:r>
              <w:rPr>
                <w:rFonts w:ascii="宋体" w:hAnsi="宋体" w:eastAsia="宋体"/>
                <w:snapToGrid w:val="0"/>
                <w:color w:val="auto"/>
                <w:kern w:val="0"/>
              </w:rPr>
              <w:t>/</w:t>
            </w:r>
          </w:p>
        </w:tc>
        <w:tc>
          <w:tcPr>
            <w:tcW w:w="781" w:type="pct"/>
            <w:shd w:val="clear" w:color="auto" w:fill="auto"/>
            <w:vAlign w:val="center"/>
          </w:tcPr>
          <w:p w14:paraId="28CC569A">
            <w:pPr>
              <w:jc w:val="center"/>
              <w:rPr>
                <w:rFonts w:ascii="宋体" w:hAnsi="宋体" w:eastAsia="宋体"/>
                <w:snapToGrid w:val="0"/>
                <w:color w:val="auto"/>
                <w:kern w:val="0"/>
              </w:rPr>
            </w:pPr>
            <w:r>
              <w:rPr>
                <w:rFonts w:ascii="宋体" w:hAnsi="宋体" w:eastAsia="宋体"/>
                <w:snapToGrid w:val="0"/>
                <w:color w:val="auto"/>
                <w:kern w:val="0"/>
              </w:rPr>
              <w:t>/</w:t>
            </w:r>
          </w:p>
        </w:tc>
        <w:tc>
          <w:tcPr>
            <w:tcW w:w="703" w:type="pct"/>
            <w:shd w:val="clear" w:color="auto" w:fill="auto"/>
            <w:vAlign w:val="center"/>
          </w:tcPr>
          <w:p w14:paraId="4223112F">
            <w:pPr>
              <w:jc w:val="center"/>
              <w:rPr>
                <w:rFonts w:ascii="宋体" w:hAnsi="宋体" w:eastAsia="宋体"/>
                <w:snapToGrid w:val="0"/>
                <w:color w:val="auto"/>
                <w:kern w:val="0"/>
              </w:rPr>
            </w:pPr>
            <w:r>
              <w:rPr>
                <w:rFonts w:ascii="宋体" w:hAnsi="宋体" w:eastAsia="宋体"/>
                <w:snapToGrid w:val="0"/>
                <w:color w:val="auto"/>
                <w:kern w:val="0"/>
              </w:rPr>
              <w:t>/</w:t>
            </w:r>
          </w:p>
        </w:tc>
        <w:tc>
          <w:tcPr>
            <w:tcW w:w="1093" w:type="pct"/>
            <w:shd w:val="clear" w:color="auto" w:fill="auto"/>
            <w:vAlign w:val="center"/>
          </w:tcPr>
          <w:p w14:paraId="56571D9A">
            <w:pPr>
              <w:jc w:val="center"/>
              <w:rPr>
                <w:rFonts w:ascii="宋体" w:hAnsi="宋体" w:eastAsia="宋体"/>
                <w:snapToGrid w:val="0"/>
                <w:color w:val="auto"/>
                <w:kern w:val="0"/>
              </w:rPr>
            </w:pPr>
            <w:r>
              <w:rPr>
                <w:rFonts w:ascii="宋体" w:hAnsi="宋体" w:eastAsia="宋体"/>
                <w:snapToGrid w:val="0"/>
                <w:color w:val="auto"/>
                <w:kern w:val="0"/>
              </w:rPr>
              <w:t>/</w:t>
            </w:r>
          </w:p>
        </w:tc>
        <w:tc>
          <w:tcPr>
            <w:tcW w:w="858" w:type="pct"/>
            <w:shd w:val="clear" w:color="auto" w:fill="auto"/>
            <w:vAlign w:val="center"/>
          </w:tcPr>
          <w:p w14:paraId="67177B81">
            <w:pPr>
              <w:jc w:val="center"/>
              <w:rPr>
                <w:rFonts w:ascii="宋体" w:hAnsi="宋体" w:eastAsia="宋体"/>
                <w:snapToGrid w:val="0"/>
                <w:color w:val="auto"/>
                <w:kern w:val="0"/>
              </w:rPr>
            </w:pPr>
            <w:r>
              <w:rPr>
                <w:rFonts w:ascii="宋体" w:hAnsi="宋体" w:eastAsia="宋体"/>
                <w:snapToGrid w:val="0"/>
                <w:color w:val="auto"/>
                <w:kern w:val="0"/>
              </w:rPr>
              <w:t>-S</w:t>
            </w:r>
          </w:p>
        </w:tc>
      </w:tr>
      <w:tr w14:paraId="200A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shd w:val="clear" w:color="auto" w:fill="auto"/>
            <w:vAlign w:val="center"/>
          </w:tcPr>
          <w:p w14:paraId="4A3E44CD">
            <w:pPr>
              <w:jc w:val="center"/>
              <w:rPr>
                <w:rFonts w:ascii="宋体" w:hAnsi="宋体" w:eastAsia="宋体"/>
                <w:snapToGrid w:val="0"/>
                <w:color w:val="auto"/>
                <w:kern w:val="0"/>
              </w:rPr>
            </w:pPr>
            <w:r>
              <w:rPr>
                <w:rFonts w:ascii="宋体" w:hAnsi="宋体" w:eastAsia="宋体"/>
                <w:snapToGrid w:val="0"/>
                <w:color w:val="auto"/>
                <w:kern w:val="0"/>
              </w:rPr>
              <w:t>土壤</w:t>
            </w:r>
          </w:p>
        </w:tc>
        <w:tc>
          <w:tcPr>
            <w:tcW w:w="632" w:type="pct"/>
            <w:shd w:val="clear" w:color="auto" w:fill="auto"/>
            <w:vAlign w:val="center"/>
          </w:tcPr>
          <w:p w14:paraId="51E2524D">
            <w:pPr>
              <w:jc w:val="center"/>
              <w:rPr>
                <w:rFonts w:ascii="宋体" w:hAnsi="宋体" w:eastAsia="宋体"/>
                <w:snapToGrid w:val="0"/>
                <w:color w:val="auto"/>
                <w:kern w:val="0"/>
              </w:rPr>
            </w:pPr>
            <w:r>
              <w:rPr>
                <w:rFonts w:ascii="宋体" w:hAnsi="宋体" w:eastAsia="宋体"/>
                <w:snapToGrid w:val="0"/>
                <w:color w:val="auto"/>
                <w:kern w:val="0"/>
              </w:rPr>
              <w:t>+</w:t>
            </w:r>
            <w:r>
              <w:rPr>
                <w:rFonts w:ascii="宋体" w:hAnsi="宋体" w:eastAsia="宋体"/>
                <w:color w:val="auto"/>
              </w:rPr>
              <w:t>S</w:t>
            </w:r>
          </w:p>
        </w:tc>
        <w:tc>
          <w:tcPr>
            <w:tcW w:w="781" w:type="pct"/>
            <w:shd w:val="clear" w:color="auto" w:fill="auto"/>
            <w:vAlign w:val="center"/>
          </w:tcPr>
          <w:p w14:paraId="727C280A">
            <w:pPr>
              <w:jc w:val="center"/>
              <w:rPr>
                <w:rFonts w:ascii="宋体" w:hAnsi="宋体" w:eastAsia="宋体"/>
                <w:snapToGrid w:val="0"/>
                <w:color w:val="auto"/>
                <w:kern w:val="0"/>
              </w:rPr>
            </w:pPr>
            <w:r>
              <w:rPr>
                <w:rFonts w:ascii="宋体" w:hAnsi="宋体" w:eastAsia="宋体"/>
                <w:snapToGrid w:val="0"/>
                <w:color w:val="auto"/>
                <w:kern w:val="0"/>
              </w:rPr>
              <w:t>/</w:t>
            </w:r>
          </w:p>
        </w:tc>
        <w:tc>
          <w:tcPr>
            <w:tcW w:w="703" w:type="pct"/>
            <w:shd w:val="clear" w:color="auto" w:fill="auto"/>
            <w:vAlign w:val="center"/>
          </w:tcPr>
          <w:p w14:paraId="20190032">
            <w:pPr>
              <w:jc w:val="center"/>
              <w:rPr>
                <w:rFonts w:ascii="宋体" w:hAnsi="宋体" w:eastAsia="宋体"/>
                <w:snapToGrid w:val="0"/>
                <w:color w:val="auto"/>
                <w:kern w:val="0"/>
              </w:rPr>
            </w:pPr>
            <w:r>
              <w:rPr>
                <w:rFonts w:ascii="宋体" w:hAnsi="宋体" w:eastAsia="宋体"/>
                <w:snapToGrid w:val="0"/>
                <w:color w:val="auto"/>
                <w:kern w:val="0"/>
              </w:rPr>
              <w:t>/</w:t>
            </w:r>
          </w:p>
        </w:tc>
        <w:tc>
          <w:tcPr>
            <w:tcW w:w="1093" w:type="pct"/>
            <w:shd w:val="clear" w:color="auto" w:fill="auto"/>
            <w:vAlign w:val="center"/>
          </w:tcPr>
          <w:p w14:paraId="7A293BAD">
            <w:pPr>
              <w:jc w:val="center"/>
              <w:rPr>
                <w:rFonts w:ascii="宋体" w:hAnsi="宋体" w:eastAsia="宋体"/>
                <w:snapToGrid w:val="0"/>
                <w:color w:val="auto"/>
                <w:kern w:val="0"/>
              </w:rPr>
            </w:pPr>
            <w:r>
              <w:rPr>
                <w:rFonts w:ascii="宋体" w:hAnsi="宋体" w:eastAsia="宋体"/>
                <w:snapToGrid w:val="0"/>
                <w:color w:val="auto"/>
                <w:kern w:val="0"/>
              </w:rPr>
              <w:t>-S</w:t>
            </w:r>
          </w:p>
        </w:tc>
        <w:tc>
          <w:tcPr>
            <w:tcW w:w="858" w:type="pct"/>
            <w:shd w:val="clear" w:color="auto" w:fill="auto"/>
            <w:vAlign w:val="center"/>
          </w:tcPr>
          <w:p w14:paraId="1AE360EC">
            <w:pPr>
              <w:jc w:val="center"/>
              <w:rPr>
                <w:rFonts w:ascii="宋体" w:hAnsi="宋体" w:eastAsia="宋体"/>
                <w:snapToGrid w:val="0"/>
                <w:color w:val="auto"/>
                <w:kern w:val="0"/>
              </w:rPr>
            </w:pPr>
            <w:r>
              <w:rPr>
                <w:rFonts w:ascii="宋体" w:hAnsi="宋体" w:eastAsia="宋体"/>
                <w:snapToGrid w:val="0"/>
                <w:color w:val="auto"/>
                <w:kern w:val="0"/>
              </w:rPr>
              <w:t>/</w:t>
            </w:r>
          </w:p>
        </w:tc>
      </w:tr>
      <w:tr w14:paraId="5E17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shd w:val="clear" w:color="auto" w:fill="auto"/>
            <w:vAlign w:val="center"/>
          </w:tcPr>
          <w:p w14:paraId="3BE14EF9">
            <w:pPr>
              <w:jc w:val="center"/>
              <w:rPr>
                <w:rFonts w:ascii="宋体" w:hAnsi="宋体" w:eastAsia="宋体"/>
                <w:snapToGrid w:val="0"/>
                <w:color w:val="auto"/>
                <w:kern w:val="0"/>
              </w:rPr>
            </w:pPr>
            <w:r>
              <w:rPr>
                <w:rFonts w:ascii="宋体" w:hAnsi="宋体" w:eastAsia="宋体"/>
                <w:snapToGrid w:val="0"/>
                <w:color w:val="auto"/>
                <w:kern w:val="0"/>
              </w:rPr>
              <w:t>植被</w:t>
            </w:r>
          </w:p>
        </w:tc>
        <w:tc>
          <w:tcPr>
            <w:tcW w:w="632" w:type="pct"/>
            <w:shd w:val="clear" w:color="auto" w:fill="auto"/>
            <w:vAlign w:val="center"/>
          </w:tcPr>
          <w:p w14:paraId="4D9F8D09">
            <w:pPr>
              <w:jc w:val="center"/>
              <w:rPr>
                <w:rFonts w:ascii="宋体" w:hAnsi="宋体" w:eastAsia="宋体"/>
                <w:snapToGrid w:val="0"/>
                <w:color w:val="auto"/>
                <w:kern w:val="0"/>
              </w:rPr>
            </w:pPr>
            <w:r>
              <w:rPr>
                <w:rFonts w:ascii="宋体" w:hAnsi="宋体" w:eastAsia="宋体"/>
                <w:snapToGrid w:val="0"/>
                <w:color w:val="auto"/>
                <w:kern w:val="0"/>
              </w:rPr>
              <w:t>+</w:t>
            </w:r>
            <w:r>
              <w:rPr>
                <w:rFonts w:ascii="宋体" w:hAnsi="宋体" w:eastAsia="宋体"/>
                <w:color w:val="auto"/>
              </w:rPr>
              <w:t>S</w:t>
            </w:r>
          </w:p>
        </w:tc>
        <w:tc>
          <w:tcPr>
            <w:tcW w:w="781" w:type="pct"/>
            <w:shd w:val="clear" w:color="auto" w:fill="auto"/>
            <w:vAlign w:val="center"/>
          </w:tcPr>
          <w:p w14:paraId="7CF25F4B">
            <w:pPr>
              <w:jc w:val="center"/>
              <w:rPr>
                <w:rFonts w:ascii="宋体" w:hAnsi="宋体" w:eastAsia="宋体"/>
                <w:snapToGrid w:val="0"/>
                <w:color w:val="auto"/>
                <w:kern w:val="0"/>
              </w:rPr>
            </w:pPr>
            <w:r>
              <w:rPr>
                <w:rFonts w:ascii="宋体" w:hAnsi="宋体" w:eastAsia="宋体"/>
                <w:snapToGrid w:val="0"/>
                <w:color w:val="auto"/>
                <w:kern w:val="0"/>
              </w:rPr>
              <w:t>/</w:t>
            </w:r>
          </w:p>
        </w:tc>
        <w:tc>
          <w:tcPr>
            <w:tcW w:w="703" w:type="pct"/>
            <w:shd w:val="clear" w:color="auto" w:fill="auto"/>
            <w:vAlign w:val="center"/>
          </w:tcPr>
          <w:p w14:paraId="793EB5F5">
            <w:pPr>
              <w:jc w:val="center"/>
              <w:rPr>
                <w:rFonts w:ascii="宋体" w:hAnsi="宋体" w:eastAsia="宋体"/>
                <w:snapToGrid w:val="0"/>
                <w:color w:val="auto"/>
                <w:kern w:val="0"/>
              </w:rPr>
            </w:pPr>
            <w:r>
              <w:rPr>
                <w:rFonts w:ascii="宋体" w:hAnsi="宋体" w:eastAsia="宋体"/>
                <w:snapToGrid w:val="0"/>
                <w:color w:val="auto"/>
                <w:kern w:val="0"/>
              </w:rPr>
              <w:t>/</w:t>
            </w:r>
          </w:p>
        </w:tc>
        <w:tc>
          <w:tcPr>
            <w:tcW w:w="1093" w:type="pct"/>
            <w:shd w:val="clear" w:color="auto" w:fill="auto"/>
            <w:vAlign w:val="center"/>
          </w:tcPr>
          <w:p w14:paraId="75D75FA0">
            <w:pPr>
              <w:jc w:val="center"/>
              <w:rPr>
                <w:rFonts w:ascii="宋体" w:hAnsi="宋体" w:eastAsia="宋体"/>
                <w:snapToGrid w:val="0"/>
                <w:color w:val="auto"/>
                <w:kern w:val="0"/>
              </w:rPr>
            </w:pPr>
            <w:r>
              <w:rPr>
                <w:rFonts w:ascii="宋体" w:hAnsi="宋体" w:eastAsia="宋体"/>
                <w:snapToGrid w:val="0"/>
                <w:color w:val="auto"/>
                <w:kern w:val="0"/>
              </w:rPr>
              <w:t>-S</w:t>
            </w:r>
          </w:p>
        </w:tc>
        <w:tc>
          <w:tcPr>
            <w:tcW w:w="858" w:type="pct"/>
            <w:shd w:val="clear" w:color="auto" w:fill="auto"/>
            <w:vAlign w:val="center"/>
          </w:tcPr>
          <w:p w14:paraId="627C856B">
            <w:pPr>
              <w:jc w:val="center"/>
              <w:rPr>
                <w:rFonts w:ascii="宋体" w:hAnsi="宋体" w:eastAsia="宋体"/>
                <w:snapToGrid w:val="0"/>
                <w:color w:val="auto"/>
                <w:kern w:val="0"/>
              </w:rPr>
            </w:pPr>
            <w:r>
              <w:rPr>
                <w:rFonts w:ascii="宋体" w:hAnsi="宋体" w:eastAsia="宋体"/>
                <w:snapToGrid w:val="0"/>
                <w:color w:val="auto"/>
                <w:kern w:val="0"/>
              </w:rPr>
              <w:t>/</w:t>
            </w:r>
          </w:p>
        </w:tc>
      </w:tr>
      <w:tr w14:paraId="3889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40" w:hRule="atLeast"/>
          <w:jc w:val="center"/>
        </w:trPr>
        <w:tc>
          <w:tcPr>
            <w:tcW w:w="929" w:type="pct"/>
            <w:shd w:val="clear" w:color="auto" w:fill="auto"/>
            <w:vAlign w:val="center"/>
          </w:tcPr>
          <w:p w14:paraId="3D7D83E4">
            <w:pPr>
              <w:jc w:val="center"/>
              <w:rPr>
                <w:rFonts w:ascii="宋体" w:hAnsi="宋体" w:eastAsia="宋体"/>
                <w:snapToGrid w:val="0"/>
                <w:color w:val="auto"/>
                <w:kern w:val="0"/>
              </w:rPr>
            </w:pPr>
            <w:r>
              <w:rPr>
                <w:rFonts w:ascii="宋体" w:hAnsi="宋体" w:eastAsia="宋体"/>
                <w:snapToGrid w:val="0"/>
                <w:color w:val="auto"/>
                <w:kern w:val="0"/>
              </w:rPr>
              <w:t>动物</w:t>
            </w:r>
          </w:p>
        </w:tc>
        <w:tc>
          <w:tcPr>
            <w:tcW w:w="632" w:type="pct"/>
            <w:shd w:val="clear" w:color="auto" w:fill="auto"/>
            <w:vAlign w:val="center"/>
          </w:tcPr>
          <w:p w14:paraId="13398E09">
            <w:pPr>
              <w:jc w:val="center"/>
              <w:rPr>
                <w:rFonts w:ascii="宋体" w:hAnsi="宋体" w:eastAsia="宋体"/>
                <w:snapToGrid w:val="0"/>
                <w:color w:val="auto"/>
                <w:kern w:val="0"/>
              </w:rPr>
            </w:pPr>
            <w:r>
              <w:rPr>
                <w:rFonts w:ascii="宋体" w:hAnsi="宋体" w:eastAsia="宋体"/>
                <w:snapToGrid w:val="0"/>
                <w:color w:val="auto"/>
                <w:kern w:val="0"/>
              </w:rPr>
              <w:t>/</w:t>
            </w:r>
          </w:p>
        </w:tc>
        <w:tc>
          <w:tcPr>
            <w:tcW w:w="781" w:type="pct"/>
            <w:shd w:val="clear" w:color="auto" w:fill="auto"/>
            <w:vAlign w:val="center"/>
          </w:tcPr>
          <w:p w14:paraId="220A9855">
            <w:pPr>
              <w:jc w:val="center"/>
              <w:rPr>
                <w:rFonts w:ascii="宋体" w:hAnsi="宋体" w:eastAsia="宋体"/>
                <w:snapToGrid w:val="0"/>
                <w:color w:val="auto"/>
                <w:kern w:val="0"/>
              </w:rPr>
            </w:pPr>
            <w:r>
              <w:rPr>
                <w:rFonts w:ascii="宋体" w:hAnsi="宋体" w:eastAsia="宋体"/>
                <w:snapToGrid w:val="0"/>
                <w:color w:val="auto"/>
                <w:kern w:val="0"/>
              </w:rPr>
              <w:t>/</w:t>
            </w:r>
          </w:p>
        </w:tc>
        <w:tc>
          <w:tcPr>
            <w:tcW w:w="703" w:type="pct"/>
            <w:shd w:val="clear" w:color="auto" w:fill="auto"/>
            <w:vAlign w:val="center"/>
          </w:tcPr>
          <w:p w14:paraId="0B82BD0A">
            <w:pPr>
              <w:jc w:val="center"/>
              <w:rPr>
                <w:rFonts w:ascii="宋体" w:hAnsi="宋体" w:eastAsia="宋体"/>
                <w:snapToGrid w:val="0"/>
                <w:color w:val="auto"/>
                <w:kern w:val="0"/>
              </w:rPr>
            </w:pPr>
            <w:r>
              <w:rPr>
                <w:rFonts w:ascii="宋体" w:hAnsi="宋体" w:eastAsia="宋体"/>
                <w:snapToGrid w:val="0"/>
                <w:color w:val="auto"/>
                <w:kern w:val="0"/>
              </w:rPr>
              <w:t>/</w:t>
            </w:r>
          </w:p>
        </w:tc>
        <w:tc>
          <w:tcPr>
            <w:tcW w:w="1093" w:type="pct"/>
            <w:shd w:val="clear" w:color="auto" w:fill="auto"/>
            <w:vAlign w:val="center"/>
          </w:tcPr>
          <w:p w14:paraId="319AD90A">
            <w:pPr>
              <w:jc w:val="center"/>
              <w:rPr>
                <w:rFonts w:ascii="宋体" w:hAnsi="宋体" w:eastAsia="宋体"/>
                <w:snapToGrid w:val="0"/>
                <w:color w:val="auto"/>
                <w:kern w:val="0"/>
              </w:rPr>
            </w:pPr>
            <w:r>
              <w:rPr>
                <w:rFonts w:ascii="宋体" w:hAnsi="宋体" w:eastAsia="宋体"/>
                <w:snapToGrid w:val="0"/>
                <w:color w:val="auto"/>
                <w:kern w:val="0"/>
              </w:rPr>
              <w:t>/</w:t>
            </w:r>
          </w:p>
        </w:tc>
        <w:tc>
          <w:tcPr>
            <w:tcW w:w="858" w:type="pct"/>
            <w:shd w:val="clear" w:color="auto" w:fill="auto"/>
            <w:vAlign w:val="center"/>
          </w:tcPr>
          <w:p w14:paraId="1C851526">
            <w:pPr>
              <w:jc w:val="center"/>
              <w:rPr>
                <w:rFonts w:ascii="宋体" w:hAnsi="宋体" w:eastAsia="宋体"/>
                <w:snapToGrid w:val="0"/>
                <w:color w:val="auto"/>
                <w:kern w:val="0"/>
              </w:rPr>
            </w:pPr>
            <w:r>
              <w:rPr>
                <w:rFonts w:ascii="宋体" w:hAnsi="宋体" w:eastAsia="宋体"/>
                <w:snapToGrid w:val="0"/>
                <w:color w:val="auto"/>
                <w:kern w:val="0"/>
              </w:rPr>
              <w:t>/</w:t>
            </w:r>
          </w:p>
        </w:tc>
      </w:tr>
      <w:tr w14:paraId="100E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shd w:val="clear" w:color="auto" w:fill="auto"/>
            <w:vAlign w:val="center"/>
          </w:tcPr>
          <w:p w14:paraId="7E048FD5">
            <w:pPr>
              <w:jc w:val="center"/>
              <w:rPr>
                <w:rFonts w:ascii="宋体" w:hAnsi="宋体" w:eastAsia="宋体"/>
                <w:snapToGrid w:val="0"/>
                <w:color w:val="auto"/>
                <w:kern w:val="0"/>
              </w:rPr>
            </w:pPr>
            <w:r>
              <w:rPr>
                <w:rFonts w:ascii="宋体" w:hAnsi="宋体" w:eastAsia="宋体"/>
                <w:snapToGrid w:val="0"/>
                <w:color w:val="auto"/>
                <w:kern w:val="0"/>
              </w:rPr>
              <w:t>注：-：不利影响   +：有利影响   L：长期影响   S：短期影响   A：显著影响    /：表示此项环境因子不存在或与工程活动无关</w:t>
            </w:r>
          </w:p>
        </w:tc>
      </w:tr>
    </w:tbl>
    <w:p w14:paraId="220593EA">
      <w:pPr>
        <w:pStyle w:val="276"/>
        <w:widowControl w:val="0"/>
        <w:spacing w:line="440" w:lineRule="exact"/>
        <w:ind w:firstLine="480"/>
        <w:jc w:val="both"/>
        <w:rPr>
          <w:snapToGrid w:val="0"/>
          <w:color w:val="auto"/>
        </w:rPr>
      </w:pPr>
      <w:r>
        <w:rPr>
          <w:snapToGrid w:val="0"/>
          <w:color w:val="auto"/>
        </w:rPr>
        <w:t>从上表可知，本项目的主要环境影响表现在工程占地对土壤、植被的影响，环境风险对地表水、地下水、土壤、植被的影响等方面。</w:t>
      </w:r>
    </w:p>
    <w:p w14:paraId="4B084063">
      <w:pPr>
        <w:pStyle w:val="6"/>
        <w:rPr>
          <w:color w:val="auto"/>
        </w:rPr>
      </w:pPr>
      <w:bookmarkStart w:id="299" w:name="_Toc77067630"/>
      <w:bookmarkStart w:id="300" w:name="_Toc84929199"/>
      <w:bookmarkStart w:id="301" w:name="_Toc78816431"/>
      <w:bookmarkStart w:id="302" w:name="_Toc85640723"/>
      <w:bookmarkStart w:id="303" w:name="_Toc80971348"/>
      <w:bookmarkStart w:id="304" w:name="_Toc70050146"/>
      <w:bookmarkStart w:id="305" w:name="_Toc57976645"/>
      <w:bookmarkStart w:id="306" w:name="_Toc126863362"/>
      <w:bookmarkStart w:id="307" w:name="_Toc86141906"/>
      <w:bookmarkStart w:id="308" w:name="_Toc67860099"/>
      <w:bookmarkStart w:id="309" w:name="_Toc127192311"/>
      <w:bookmarkStart w:id="310" w:name="_Toc80588226"/>
      <w:bookmarkStart w:id="311" w:name="_Toc131167262"/>
      <w:bookmarkStart w:id="312" w:name="_Toc61597192"/>
      <w:bookmarkStart w:id="313" w:name="_Toc57707890"/>
      <w:bookmarkStart w:id="314" w:name="_Toc17898135"/>
      <w:bookmarkStart w:id="315" w:name="_Toc76976214"/>
      <w:bookmarkStart w:id="316" w:name="_Toc21320"/>
      <w:bookmarkStart w:id="317" w:name="_Toc57203220"/>
      <w:bookmarkStart w:id="318" w:name="_Toc83209443"/>
      <w:bookmarkStart w:id="319" w:name="_Toc143099549"/>
      <w:r>
        <w:rPr>
          <w:color w:val="auto"/>
        </w:rPr>
        <w:t>评价因子筛选</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169B01A4">
      <w:pPr>
        <w:pStyle w:val="276"/>
        <w:widowControl w:val="0"/>
        <w:spacing w:line="440" w:lineRule="exact"/>
        <w:ind w:firstLine="480"/>
        <w:jc w:val="both"/>
        <w:rPr>
          <w:color w:val="auto"/>
        </w:rPr>
      </w:pPr>
      <w:r>
        <w:rPr>
          <w:color w:val="auto"/>
        </w:rPr>
        <w:t>经过对油田产生污染物排放特点及油田周围环境情况进行分析后，确定本项目评价因子详见</w:t>
      </w:r>
      <w:r>
        <w:rPr>
          <w:color w:val="auto"/>
        </w:rPr>
        <w:fldChar w:fldCharType="begin"/>
      </w:r>
      <w:r>
        <w:rPr>
          <w:color w:val="auto"/>
        </w:rPr>
        <w:instrText xml:space="preserve"> REF _Ref211957566 \h  \* MERGEFORMAT </w:instrText>
      </w:r>
      <w:r>
        <w:rPr>
          <w:color w:val="auto"/>
        </w:rPr>
        <w:fldChar w:fldCharType="separate"/>
      </w:r>
      <w:r>
        <w:rPr>
          <w:color w:val="auto"/>
        </w:rPr>
        <w:t>表 2.4</w:t>
      </w:r>
      <w:r>
        <w:rPr>
          <w:color w:val="auto"/>
        </w:rPr>
        <w:noBreakHyphen/>
      </w:r>
      <w:r>
        <w:rPr>
          <w:color w:val="auto"/>
        </w:rPr>
        <w:t>2</w:t>
      </w:r>
      <w:r>
        <w:rPr>
          <w:color w:val="auto"/>
        </w:rPr>
        <w:fldChar w:fldCharType="end"/>
      </w:r>
      <w:r>
        <w:rPr>
          <w:color w:val="auto"/>
        </w:rPr>
        <w:t>。</w:t>
      </w:r>
    </w:p>
    <w:p w14:paraId="539AA4BA">
      <w:pPr>
        <w:pStyle w:val="22"/>
        <w:spacing w:before="156"/>
        <w:rPr>
          <w:color w:val="auto"/>
        </w:rPr>
      </w:pPr>
      <w:bookmarkStart w:id="320" w:name="_Ref211957566"/>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2.4</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bookmarkEnd w:id="320"/>
      <w:r>
        <w:rPr>
          <w:color w:val="auto"/>
        </w:rPr>
        <w:t>建设项目环境影响评价因子一览表</w:t>
      </w:r>
    </w:p>
    <w:tbl>
      <w:tblPr>
        <w:tblStyle w:val="8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567"/>
        <w:gridCol w:w="850"/>
        <w:gridCol w:w="1276"/>
        <w:gridCol w:w="1700"/>
        <w:gridCol w:w="1558"/>
        <w:gridCol w:w="1276"/>
        <w:gridCol w:w="1127"/>
      </w:tblGrid>
      <w:tr w14:paraId="5207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Align w:val="center"/>
          </w:tcPr>
          <w:p w14:paraId="6EAE5D97">
            <w:pPr>
              <w:spacing w:line="320" w:lineRule="exact"/>
              <w:jc w:val="center"/>
              <w:rPr>
                <w:rFonts w:ascii="宋体" w:hAnsi="宋体" w:eastAsia="宋体"/>
                <w:color w:val="auto"/>
              </w:rPr>
            </w:pPr>
            <w:r>
              <w:rPr>
                <w:rFonts w:ascii="宋体" w:hAnsi="宋体" w:eastAsia="宋体"/>
                <w:color w:val="auto"/>
              </w:rPr>
              <w:t>环境要素</w:t>
            </w:r>
          </w:p>
          <w:p w14:paraId="32496AE2">
            <w:pPr>
              <w:spacing w:line="320" w:lineRule="exact"/>
              <w:jc w:val="center"/>
              <w:rPr>
                <w:rFonts w:ascii="宋体" w:hAnsi="宋体" w:eastAsia="宋体"/>
                <w:color w:val="auto"/>
              </w:rPr>
            </w:pPr>
            <w:r>
              <w:rPr>
                <w:rFonts w:ascii="宋体" w:hAnsi="宋体" w:eastAsia="宋体"/>
                <w:color w:val="auto"/>
              </w:rPr>
              <w:t>单项工程</w:t>
            </w:r>
          </w:p>
        </w:tc>
        <w:tc>
          <w:tcPr>
            <w:tcW w:w="567" w:type="dxa"/>
            <w:vAlign w:val="center"/>
          </w:tcPr>
          <w:p w14:paraId="459631D9">
            <w:pPr>
              <w:spacing w:line="320" w:lineRule="exact"/>
              <w:jc w:val="center"/>
              <w:rPr>
                <w:rFonts w:ascii="宋体" w:hAnsi="宋体" w:eastAsia="宋体"/>
                <w:color w:val="auto"/>
              </w:rPr>
            </w:pPr>
            <w:r>
              <w:rPr>
                <w:rFonts w:ascii="宋体" w:hAnsi="宋体" w:eastAsia="宋体"/>
                <w:color w:val="auto"/>
              </w:rPr>
              <w:t>时期</w:t>
            </w:r>
          </w:p>
        </w:tc>
        <w:tc>
          <w:tcPr>
            <w:tcW w:w="850" w:type="dxa"/>
            <w:vAlign w:val="center"/>
          </w:tcPr>
          <w:p w14:paraId="2E033231">
            <w:pPr>
              <w:spacing w:line="320" w:lineRule="exact"/>
              <w:jc w:val="center"/>
              <w:rPr>
                <w:rFonts w:ascii="宋体" w:hAnsi="宋体" w:eastAsia="宋体"/>
                <w:color w:val="auto"/>
              </w:rPr>
            </w:pPr>
            <w:r>
              <w:rPr>
                <w:rFonts w:ascii="宋体" w:hAnsi="宋体" w:eastAsia="宋体"/>
                <w:color w:val="auto"/>
              </w:rPr>
              <w:t>大气</w:t>
            </w:r>
          </w:p>
        </w:tc>
        <w:tc>
          <w:tcPr>
            <w:tcW w:w="1276" w:type="dxa"/>
            <w:vAlign w:val="center"/>
          </w:tcPr>
          <w:p w14:paraId="4BA94BE8">
            <w:pPr>
              <w:spacing w:line="320" w:lineRule="exact"/>
              <w:jc w:val="center"/>
              <w:rPr>
                <w:rFonts w:ascii="宋体" w:hAnsi="宋体" w:eastAsia="宋体"/>
                <w:color w:val="auto"/>
              </w:rPr>
            </w:pPr>
            <w:r>
              <w:rPr>
                <w:rFonts w:ascii="宋体" w:hAnsi="宋体" w:eastAsia="宋体"/>
                <w:color w:val="auto"/>
              </w:rPr>
              <w:t>地表水</w:t>
            </w:r>
          </w:p>
        </w:tc>
        <w:tc>
          <w:tcPr>
            <w:tcW w:w="1700" w:type="dxa"/>
            <w:vAlign w:val="center"/>
          </w:tcPr>
          <w:p w14:paraId="38D1CF69">
            <w:pPr>
              <w:spacing w:line="320" w:lineRule="exact"/>
              <w:jc w:val="center"/>
              <w:rPr>
                <w:rFonts w:ascii="宋体" w:hAnsi="宋体" w:eastAsia="宋体"/>
                <w:color w:val="auto"/>
              </w:rPr>
            </w:pPr>
            <w:r>
              <w:rPr>
                <w:rFonts w:ascii="宋体" w:hAnsi="宋体" w:eastAsia="宋体"/>
                <w:color w:val="auto"/>
              </w:rPr>
              <w:t>地下水</w:t>
            </w:r>
          </w:p>
        </w:tc>
        <w:tc>
          <w:tcPr>
            <w:tcW w:w="1558" w:type="dxa"/>
            <w:vAlign w:val="center"/>
          </w:tcPr>
          <w:p w14:paraId="640EB799">
            <w:pPr>
              <w:spacing w:line="320" w:lineRule="exact"/>
              <w:jc w:val="center"/>
              <w:rPr>
                <w:rFonts w:ascii="宋体" w:hAnsi="宋体" w:eastAsia="宋体"/>
                <w:color w:val="auto"/>
              </w:rPr>
            </w:pPr>
            <w:r>
              <w:rPr>
                <w:rFonts w:ascii="宋体" w:hAnsi="宋体" w:eastAsia="宋体"/>
                <w:color w:val="auto"/>
              </w:rPr>
              <w:t>土壤</w:t>
            </w:r>
          </w:p>
        </w:tc>
        <w:tc>
          <w:tcPr>
            <w:tcW w:w="1276" w:type="dxa"/>
            <w:vAlign w:val="center"/>
          </w:tcPr>
          <w:p w14:paraId="23A65B39">
            <w:pPr>
              <w:spacing w:line="320" w:lineRule="exact"/>
              <w:jc w:val="center"/>
              <w:rPr>
                <w:rFonts w:ascii="宋体" w:hAnsi="宋体" w:eastAsia="宋体"/>
                <w:color w:val="auto"/>
              </w:rPr>
            </w:pPr>
            <w:r>
              <w:rPr>
                <w:rFonts w:ascii="宋体" w:hAnsi="宋体" w:eastAsia="宋体"/>
                <w:color w:val="auto"/>
              </w:rPr>
              <w:t>生态</w:t>
            </w:r>
          </w:p>
        </w:tc>
        <w:tc>
          <w:tcPr>
            <w:tcW w:w="1127" w:type="dxa"/>
            <w:vAlign w:val="center"/>
          </w:tcPr>
          <w:p w14:paraId="4006701A">
            <w:pPr>
              <w:spacing w:line="320" w:lineRule="exact"/>
              <w:jc w:val="center"/>
              <w:rPr>
                <w:rFonts w:ascii="宋体" w:hAnsi="宋体" w:eastAsia="宋体"/>
                <w:color w:val="auto"/>
              </w:rPr>
            </w:pPr>
            <w:r>
              <w:rPr>
                <w:rFonts w:ascii="宋体" w:hAnsi="宋体" w:eastAsia="宋体"/>
                <w:color w:val="auto"/>
              </w:rPr>
              <w:t>噪声</w:t>
            </w:r>
          </w:p>
        </w:tc>
      </w:tr>
      <w:tr w14:paraId="4821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Align w:val="center"/>
          </w:tcPr>
          <w:p w14:paraId="7F009AD2">
            <w:pPr>
              <w:spacing w:line="320" w:lineRule="exact"/>
              <w:jc w:val="center"/>
              <w:rPr>
                <w:rFonts w:ascii="宋体" w:hAnsi="宋体" w:eastAsia="宋体"/>
                <w:color w:val="auto"/>
              </w:rPr>
            </w:pPr>
            <w:r>
              <w:rPr>
                <w:rFonts w:ascii="宋体" w:hAnsi="宋体" w:eastAsia="宋体"/>
                <w:color w:val="auto"/>
              </w:rPr>
              <w:t>钻前工程</w:t>
            </w:r>
          </w:p>
        </w:tc>
        <w:tc>
          <w:tcPr>
            <w:tcW w:w="567" w:type="dxa"/>
            <w:vAlign w:val="center"/>
          </w:tcPr>
          <w:p w14:paraId="55407402">
            <w:pPr>
              <w:spacing w:line="320" w:lineRule="exact"/>
              <w:jc w:val="center"/>
              <w:rPr>
                <w:rFonts w:ascii="宋体" w:hAnsi="宋体" w:eastAsia="宋体"/>
                <w:color w:val="auto"/>
              </w:rPr>
            </w:pPr>
            <w:r>
              <w:rPr>
                <w:rFonts w:ascii="宋体" w:hAnsi="宋体" w:eastAsia="宋体"/>
                <w:color w:val="auto"/>
              </w:rPr>
              <w:t>施工期</w:t>
            </w:r>
          </w:p>
        </w:tc>
        <w:tc>
          <w:tcPr>
            <w:tcW w:w="850" w:type="dxa"/>
            <w:vAlign w:val="center"/>
          </w:tcPr>
          <w:p w14:paraId="24AF452C">
            <w:pPr>
              <w:spacing w:line="320" w:lineRule="exact"/>
              <w:jc w:val="center"/>
              <w:rPr>
                <w:rFonts w:ascii="宋体" w:hAnsi="宋体" w:eastAsia="宋体"/>
                <w:color w:val="auto"/>
              </w:rPr>
            </w:pPr>
            <w:r>
              <w:rPr>
                <w:rFonts w:ascii="宋体" w:hAnsi="宋体" w:eastAsia="宋体"/>
                <w:color w:val="auto"/>
              </w:rPr>
              <w:t>颗粒物</w:t>
            </w:r>
          </w:p>
        </w:tc>
        <w:tc>
          <w:tcPr>
            <w:tcW w:w="1276" w:type="dxa"/>
            <w:vAlign w:val="center"/>
          </w:tcPr>
          <w:p w14:paraId="72FD77A8">
            <w:pPr>
              <w:spacing w:line="320" w:lineRule="exact"/>
              <w:jc w:val="center"/>
              <w:rPr>
                <w:rFonts w:ascii="宋体" w:hAnsi="宋体" w:eastAsia="宋体"/>
                <w:color w:val="auto"/>
              </w:rPr>
            </w:pPr>
            <w:r>
              <w:rPr>
                <w:rFonts w:ascii="宋体" w:hAnsi="宋体" w:eastAsia="宋体"/>
                <w:color w:val="auto"/>
              </w:rPr>
              <w:t>BOD</w:t>
            </w:r>
            <w:r>
              <w:rPr>
                <w:rFonts w:ascii="宋体" w:hAnsi="宋体" w:eastAsia="宋体"/>
                <w:color w:val="auto"/>
                <w:vertAlign w:val="subscript"/>
              </w:rPr>
              <w:t>5</w:t>
            </w:r>
            <w:r>
              <w:rPr>
                <w:rFonts w:ascii="宋体" w:hAnsi="宋体" w:eastAsia="宋体"/>
                <w:color w:val="auto"/>
              </w:rPr>
              <w:t>、COD、悬浮物、氨</w:t>
            </w:r>
          </w:p>
          <w:p w14:paraId="00E45D99">
            <w:pPr>
              <w:spacing w:line="320" w:lineRule="exact"/>
              <w:jc w:val="center"/>
              <w:rPr>
                <w:rFonts w:ascii="宋体" w:hAnsi="宋体" w:eastAsia="宋体"/>
                <w:color w:val="auto"/>
              </w:rPr>
            </w:pPr>
            <w:r>
              <w:rPr>
                <w:rFonts w:ascii="宋体" w:hAnsi="宋体" w:eastAsia="宋体"/>
                <w:color w:val="auto"/>
              </w:rPr>
              <w:t>氮等</w:t>
            </w:r>
          </w:p>
        </w:tc>
        <w:tc>
          <w:tcPr>
            <w:tcW w:w="1700" w:type="dxa"/>
            <w:vAlign w:val="center"/>
          </w:tcPr>
          <w:p w14:paraId="53E769E8">
            <w:pPr>
              <w:spacing w:line="320" w:lineRule="exact"/>
              <w:jc w:val="center"/>
              <w:rPr>
                <w:rFonts w:ascii="宋体" w:hAnsi="宋体" w:eastAsia="宋体"/>
                <w:color w:val="auto"/>
              </w:rPr>
            </w:pPr>
            <w:r>
              <w:rPr>
                <w:rFonts w:ascii="宋体" w:hAnsi="宋体" w:eastAsia="宋体"/>
                <w:color w:val="auto"/>
              </w:rPr>
              <w:t>耗氧量、氨氮、石油类等</w:t>
            </w:r>
          </w:p>
        </w:tc>
        <w:tc>
          <w:tcPr>
            <w:tcW w:w="1558" w:type="dxa"/>
            <w:vAlign w:val="center"/>
          </w:tcPr>
          <w:p w14:paraId="6FD6D361">
            <w:pPr>
              <w:spacing w:line="320" w:lineRule="exact"/>
              <w:jc w:val="center"/>
              <w:rPr>
                <w:rFonts w:ascii="宋体" w:hAnsi="宋体" w:eastAsia="宋体"/>
                <w:color w:val="auto"/>
              </w:rPr>
            </w:pPr>
            <w:r>
              <w:rPr>
                <w:rFonts w:ascii="宋体" w:hAnsi="宋体" w:eastAsia="宋体"/>
                <w:color w:val="auto"/>
              </w:rPr>
              <w:t>/</w:t>
            </w:r>
          </w:p>
        </w:tc>
        <w:tc>
          <w:tcPr>
            <w:tcW w:w="1276" w:type="dxa"/>
            <w:vAlign w:val="center"/>
          </w:tcPr>
          <w:p w14:paraId="1F781D56">
            <w:pPr>
              <w:spacing w:line="320" w:lineRule="exact"/>
              <w:jc w:val="center"/>
              <w:rPr>
                <w:rFonts w:ascii="宋体" w:hAnsi="宋体" w:eastAsia="宋体"/>
                <w:color w:val="auto"/>
              </w:rPr>
            </w:pPr>
            <w:r>
              <w:rPr>
                <w:rFonts w:ascii="宋体" w:hAnsi="宋体" w:eastAsia="宋体"/>
                <w:color w:val="auto"/>
              </w:rPr>
              <w:t>地表扰动面积及类型、生态系统完整性</w:t>
            </w:r>
          </w:p>
        </w:tc>
        <w:tc>
          <w:tcPr>
            <w:tcW w:w="1127" w:type="dxa"/>
            <w:vAlign w:val="center"/>
          </w:tcPr>
          <w:p w14:paraId="5E0A31B3">
            <w:pPr>
              <w:spacing w:line="320" w:lineRule="exact"/>
              <w:jc w:val="center"/>
              <w:rPr>
                <w:rFonts w:ascii="宋体" w:hAnsi="宋体" w:eastAsia="宋体"/>
                <w:color w:val="auto"/>
              </w:rPr>
            </w:pPr>
            <w:r>
              <w:rPr>
                <w:rFonts w:ascii="宋体" w:hAnsi="宋体" w:eastAsia="宋体"/>
                <w:color w:val="auto"/>
              </w:rPr>
              <w:t>/</w:t>
            </w:r>
          </w:p>
        </w:tc>
      </w:tr>
      <w:tr w14:paraId="2F20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Align w:val="center"/>
          </w:tcPr>
          <w:p w14:paraId="497D921A">
            <w:pPr>
              <w:spacing w:line="320" w:lineRule="exact"/>
              <w:jc w:val="center"/>
              <w:rPr>
                <w:rFonts w:ascii="宋体" w:hAnsi="宋体" w:eastAsia="宋体"/>
                <w:color w:val="auto"/>
              </w:rPr>
            </w:pPr>
            <w:r>
              <w:rPr>
                <w:rFonts w:ascii="宋体" w:hAnsi="宋体" w:eastAsia="宋体"/>
                <w:color w:val="auto"/>
              </w:rPr>
              <w:t>钻井工程</w:t>
            </w:r>
          </w:p>
        </w:tc>
        <w:tc>
          <w:tcPr>
            <w:tcW w:w="567" w:type="dxa"/>
            <w:vAlign w:val="center"/>
          </w:tcPr>
          <w:p w14:paraId="715ACADB">
            <w:pPr>
              <w:spacing w:line="320" w:lineRule="exact"/>
              <w:jc w:val="center"/>
              <w:rPr>
                <w:rFonts w:ascii="宋体" w:hAnsi="宋体" w:eastAsia="宋体"/>
                <w:color w:val="auto"/>
              </w:rPr>
            </w:pPr>
            <w:r>
              <w:rPr>
                <w:rFonts w:ascii="宋体" w:hAnsi="宋体" w:eastAsia="宋体"/>
                <w:color w:val="auto"/>
              </w:rPr>
              <w:t>施工期</w:t>
            </w:r>
          </w:p>
        </w:tc>
        <w:tc>
          <w:tcPr>
            <w:tcW w:w="850" w:type="dxa"/>
            <w:vAlign w:val="center"/>
          </w:tcPr>
          <w:p w14:paraId="4325247A">
            <w:pPr>
              <w:spacing w:line="320" w:lineRule="exact"/>
              <w:jc w:val="center"/>
              <w:rPr>
                <w:rFonts w:ascii="宋体" w:hAnsi="宋体" w:eastAsia="宋体"/>
                <w:color w:val="auto"/>
              </w:rPr>
            </w:pPr>
            <w:r>
              <w:rPr>
                <w:rFonts w:ascii="宋体" w:hAnsi="宋体" w:eastAsia="宋体"/>
                <w:color w:val="auto"/>
              </w:rPr>
              <w:t>SO</w:t>
            </w:r>
            <w:r>
              <w:rPr>
                <w:rFonts w:ascii="宋体" w:hAnsi="宋体" w:eastAsia="宋体"/>
                <w:color w:val="auto"/>
                <w:vertAlign w:val="subscript"/>
              </w:rPr>
              <w:t>2</w:t>
            </w:r>
            <w:r>
              <w:rPr>
                <w:rFonts w:ascii="宋体" w:hAnsi="宋体" w:eastAsia="宋体"/>
                <w:color w:val="auto"/>
              </w:rPr>
              <w:t>、NO</w:t>
            </w:r>
            <w:r>
              <w:rPr>
                <w:rFonts w:ascii="宋体" w:hAnsi="宋体" w:eastAsia="宋体"/>
                <w:color w:val="auto"/>
                <w:vertAlign w:val="subscript"/>
              </w:rPr>
              <w:t>X</w:t>
            </w:r>
            <w:r>
              <w:rPr>
                <w:rFonts w:ascii="宋体" w:hAnsi="宋体" w:eastAsia="宋体"/>
                <w:color w:val="auto"/>
              </w:rPr>
              <w:t>、非甲烷总烃</w:t>
            </w:r>
          </w:p>
        </w:tc>
        <w:tc>
          <w:tcPr>
            <w:tcW w:w="1276" w:type="dxa"/>
            <w:vAlign w:val="center"/>
          </w:tcPr>
          <w:p w14:paraId="02F52BF9">
            <w:pPr>
              <w:spacing w:line="320" w:lineRule="exact"/>
              <w:jc w:val="center"/>
              <w:rPr>
                <w:rFonts w:ascii="宋体" w:hAnsi="宋体" w:eastAsia="宋体"/>
                <w:color w:val="auto"/>
              </w:rPr>
            </w:pPr>
            <w:r>
              <w:rPr>
                <w:rFonts w:ascii="宋体" w:hAnsi="宋体" w:eastAsia="宋体"/>
                <w:color w:val="auto"/>
              </w:rPr>
              <w:t>pH、COD、高锰酸盐指数、氨氮、BOD</w:t>
            </w:r>
            <w:r>
              <w:rPr>
                <w:rFonts w:ascii="宋体" w:hAnsi="宋体" w:eastAsia="宋体"/>
                <w:color w:val="auto"/>
                <w:vertAlign w:val="subscript"/>
              </w:rPr>
              <w:t>5</w:t>
            </w:r>
            <w:r>
              <w:rPr>
                <w:rFonts w:ascii="宋体" w:hAnsi="宋体" w:eastAsia="宋体"/>
                <w:color w:val="auto"/>
              </w:rPr>
              <w:t>、总磷、总氮、石油类、溶解氧、水温</w:t>
            </w:r>
          </w:p>
        </w:tc>
        <w:tc>
          <w:tcPr>
            <w:tcW w:w="1700" w:type="dxa"/>
            <w:vAlign w:val="center"/>
          </w:tcPr>
          <w:p w14:paraId="12A4A628">
            <w:pPr>
              <w:spacing w:line="320" w:lineRule="exact"/>
              <w:jc w:val="center"/>
              <w:rPr>
                <w:rFonts w:ascii="宋体" w:hAnsi="宋体" w:eastAsia="宋体"/>
                <w:color w:val="auto"/>
              </w:rPr>
            </w:pPr>
            <w:r>
              <w:rPr>
                <w:rFonts w:ascii="宋体" w:hAnsi="宋体" w:eastAsia="宋体"/>
                <w:color w:val="auto"/>
              </w:rPr>
              <w:t>pH值、挥发酚、耗氧量、氨氮、硫化物、氯化物、石油类、总硬度、溶解性总固体、钡、汞、砷、六价铬等</w:t>
            </w:r>
          </w:p>
        </w:tc>
        <w:tc>
          <w:tcPr>
            <w:tcW w:w="1558" w:type="dxa"/>
            <w:vAlign w:val="center"/>
          </w:tcPr>
          <w:p w14:paraId="518716F0">
            <w:pPr>
              <w:spacing w:line="320" w:lineRule="exact"/>
              <w:jc w:val="center"/>
              <w:rPr>
                <w:rFonts w:ascii="宋体" w:hAnsi="宋体" w:eastAsia="宋体"/>
                <w:color w:val="auto"/>
              </w:rPr>
            </w:pPr>
            <w:r>
              <w:rPr>
                <w:rFonts w:ascii="宋体" w:hAnsi="宋体" w:eastAsia="宋体"/>
                <w:color w:val="auto"/>
              </w:rPr>
              <w:t>pH值、石油类、石油烃（C</w:t>
            </w:r>
            <w:r>
              <w:rPr>
                <w:rFonts w:ascii="宋体" w:hAnsi="宋体" w:eastAsia="宋体"/>
                <w:color w:val="auto"/>
                <w:vertAlign w:val="subscript"/>
              </w:rPr>
              <w:t>6</w:t>
            </w:r>
            <w:r>
              <w:rPr>
                <w:rFonts w:ascii="宋体" w:hAnsi="宋体" w:eastAsia="宋体"/>
                <w:color w:val="auto"/>
              </w:rPr>
              <w:t>～C</w:t>
            </w:r>
            <w:r>
              <w:rPr>
                <w:rFonts w:ascii="宋体" w:hAnsi="宋体" w:eastAsia="宋体"/>
                <w:color w:val="auto"/>
                <w:vertAlign w:val="subscript"/>
              </w:rPr>
              <w:t>9</w:t>
            </w:r>
            <w:r>
              <w:rPr>
                <w:rFonts w:ascii="宋体" w:hAnsi="宋体" w:eastAsia="宋体"/>
                <w:color w:val="auto"/>
              </w:rPr>
              <w:t>）、石油烃（C</w:t>
            </w:r>
            <w:r>
              <w:rPr>
                <w:rFonts w:ascii="宋体" w:hAnsi="宋体" w:eastAsia="宋体"/>
                <w:color w:val="auto"/>
                <w:vertAlign w:val="subscript"/>
              </w:rPr>
              <w:t>10</w:t>
            </w:r>
            <w:r>
              <w:rPr>
                <w:rFonts w:ascii="宋体" w:hAnsi="宋体" w:eastAsia="宋体"/>
                <w:color w:val="auto"/>
              </w:rPr>
              <w:t>～C</w:t>
            </w:r>
            <w:r>
              <w:rPr>
                <w:rFonts w:ascii="宋体" w:hAnsi="宋体" w:eastAsia="宋体"/>
                <w:color w:val="auto"/>
                <w:vertAlign w:val="subscript"/>
              </w:rPr>
              <w:t>40</w:t>
            </w:r>
            <w:r>
              <w:rPr>
                <w:rFonts w:ascii="宋体" w:hAnsi="宋体" w:eastAsia="宋体"/>
                <w:color w:val="auto"/>
              </w:rPr>
              <w:t>）、汞、砷、六价铬、土壤盐分含量等</w:t>
            </w:r>
          </w:p>
        </w:tc>
        <w:tc>
          <w:tcPr>
            <w:tcW w:w="1276" w:type="dxa"/>
            <w:vAlign w:val="center"/>
          </w:tcPr>
          <w:p w14:paraId="4687CDD4">
            <w:pPr>
              <w:spacing w:line="320" w:lineRule="exact"/>
              <w:jc w:val="center"/>
              <w:rPr>
                <w:rFonts w:ascii="宋体" w:hAnsi="宋体" w:eastAsia="宋体"/>
                <w:color w:val="auto"/>
              </w:rPr>
            </w:pPr>
            <w:r>
              <w:rPr>
                <w:rFonts w:ascii="宋体" w:hAnsi="宋体" w:eastAsia="宋体"/>
                <w:color w:val="auto"/>
              </w:rPr>
              <w:t>/</w:t>
            </w:r>
          </w:p>
        </w:tc>
        <w:tc>
          <w:tcPr>
            <w:tcW w:w="1127" w:type="dxa"/>
            <w:vAlign w:val="center"/>
          </w:tcPr>
          <w:p w14:paraId="62F01348">
            <w:pPr>
              <w:spacing w:line="320" w:lineRule="exact"/>
              <w:jc w:val="center"/>
              <w:rPr>
                <w:rFonts w:ascii="宋体" w:hAnsi="宋体" w:eastAsia="宋体"/>
                <w:color w:val="auto"/>
              </w:rPr>
            </w:pPr>
            <w:r>
              <w:rPr>
                <w:rFonts w:ascii="宋体" w:hAnsi="宋体" w:eastAsia="宋体"/>
                <w:color w:val="auto"/>
              </w:rPr>
              <w:t>昼间等效声级（Ld）、夜间等效声级（Ln）</w:t>
            </w:r>
          </w:p>
        </w:tc>
      </w:tr>
      <w:tr w14:paraId="15C4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Align w:val="center"/>
          </w:tcPr>
          <w:p w14:paraId="1291BB7F">
            <w:pPr>
              <w:spacing w:line="320" w:lineRule="exact"/>
              <w:jc w:val="center"/>
              <w:rPr>
                <w:rFonts w:ascii="宋体" w:hAnsi="宋体" w:eastAsia="宋体"/>
                <w:color w:val="auto"/>
              </w:rPr>
            </w:pPr>
            <w:r>
              <w:rPr>
                <w:rFonts w:ascii="宋体" w:hAnsi="宋体" w:eastAsia="宋体"/>
                <w:color w:val="auto"/>
              </w:rPr>
              <w:t>储层改造工程</w:t>
            </w:r>
          </w:p>
        </w:tc>
        <w:tc>
          <w:tcPr>
            <w:tcW w:w="567" w:type="dxa"/>
            <w:vAlign w:val="center"/>
          </w:tcPr>
          <w:p w14:paraId="7BD2AE81">
            <w:pPr>
              <w:spacing w:line="320" w:lineRule="exact"/>
              <w:jc w:val="center"/>
              <w:rPr>
                <w:rFonts w:ascii="宋体" w:hAnsi="宋体" w:eastAsia="宋体"/>
                <w:color w:val="auto"/>
              </w:rPr>
            </w:pPr>
            <w:r>
              <w:rPr>
                <w:rFonts w:ascii="宋体" w:hAnsi="宋体" w:eastAsia="宋体"/>
                <w:color w:val="auto"/>
              </w:rPr>
              <w:t>施工期</w:t>
            </w:r>
          </w:p>
        </w:tc>
        <w:tc>
          <w:tcPr>
            <w:tcW w:w="850" w:type="dxa"/>
            <w:vAlign w:val="center"/>
          </w:tcPr>
          <w:p w14:paraId="5C7D93FB">
            <w:pPr>
              <w:spacing w:line="320" w:lineRule="exact"/>
              <w:jc w:val="center"/>
              <w:rPr>
                <w:rFonts w:ascii="宋体" w:hAnsi="宋体" w:eastAsia="宋体"/>
                <w:color w:val="auto"/>
              </w:rPr>
            </w:pPr>
            <w:r>
              <w:rPr>
                <w:rFonts w:ascii="宋体" w:hAnsi="宋体" w:eastAsia="宋体"/>
                <w:color w:val="auto"/>
              </w:rPr>
              <w:t>SO</w:t>
            </w:r>
            <w:r>
              <w:rPr>
                <w:rFonts w:ascii="宋体" w:hAnsi="宋体" w:eastAsia="宋体"/>
                <w:color w:val="auto"/>
                <w:vertAlign w:val="subscript"/>
              </w:rPr>
              <w:t>2</w:t>
            </w:r>
            <w:r>
              <w:rPr>
                <w:rFonts w:ascii="宋体" w:hAnsi="宋体" w:eastAsia="宋体"/>
                <w:color w:val="auto"/>
              </w:rPr>
              <w:t>、NO</w:t>
            </w:r>
            <w:r>
              <w:rPr>
                <w:rFonts w:ascii="宋体" w:hAnsi="宋体" w:eastAsia="宋体"/>
                <w:color w:val="auto"/>
                <w:vertAlign w:val="subscript"/>
              </w:rPr>
              <w:t>X</w:t>
            </w:r>
            <w:r>
              <w:rPr>
                <w:rFonts w:ascii="宋体" w:hAnsi="宋体" w:eastAsia="宋体"/>
                <w:color w:val="auto"/>
              </w:rPr>
              <w:t>、</w:t>
            </w:r>
          </w:p>
          <w:p w14:paraId="58A2ED9B">
            <w:pPr>
              <w:spacing w:line="320" w:lineRule="exact"/>
              <w:jc w:val="center"/>
              <w:rPr>
                <w:rFonts w:ascii="宋体" w:hAnsi="宋体" w:eastAsia="宋体"/>
                <w:color w:val="auto"/>
              </w:rPr>
            </w:pPr>
            <w:r>
              <w:rPr>
                <w:rFonts w:ascii="宋体" w:hAnsi="宋体" w:eastAsia="宋体"/>
                <w:color w:val="auto"/>
              </w:rPr>
              <w:t>非甲烷总烃</w:t>
            </w:r>
          </w:p>
        </w:tc>
        <w:tc>
          <w:tcPr>
            <w:tcW w:w="1276" w:type="dxa"/>
            <w:vAlign w:val="center"/>
          </w:tcPr>
          <w:p w14:paraId="7D8242F3">
            <w:pPr>
              <w:spacing w:line="320" w:lineRule="exact"/>
              <w:jc w:val="center"/>
              <w:rPr>
                <w:rFonts w:ascii="宋体" w:hAnsi="宋体" w:eastAsia="宋体"/>
                <w:color w:val="auto"/>
              </w:rPr>
            </w:pPr>
            <w:r>
              <w:rPr>
                <w:rFonts w:ascii="宋体" w:hAnsi="宋体" w:eastAsia="宋体"/>
                <w:color w:val="auto"/>
              </w:rPr>
              <w:t>pH、COD、高锰酸盐指数、氨氮、BOD</w:t>
            </w:r>
            <w:r>
              <w:rPr>
                <w:rFonts w:ascii="宋体" w:hAnsi="宋体" w:eastAsia="宋体"/>
                <w:color w:val="auto"/>
                <w:vertAlign w:val="subscript"/>
              </w:rPr>
              <w:t>5</w:t>
            </w:r>
            <w:r>
              <w:rPr>
                <w:rFonts w:ascii="宋体" w:hAnsi="宋体" w:eastAsia="宋体"/>
                <w:color w:val="auto"/>
              </w:rPr>
              <w:t>、总磷、总氮、石油类、溶解氧、水温</w:t>
            </w:r>
          </w:p>
        </w:tc>
        <w:tc>
          <w:tcPr>
            <w:tcW w:w="1700" w:type="dxa"/>
            <w:vAlign w:val="center"/>
          </w:tcPr>
          <w:p w14:paraId="094F56D9">
            <w:pPr>
              <w:spacing w:line="320" w:lineRule="exact"/>
              <w:jc w:val="center"/>
              <w:rPr>
                <w:rFonts w:ascii="宋体" w:hAnsi="宋体" w:eastAsia="宋体"/>
                <w:color w:val="auto"/>
              </w:rPr>
            </w:pPr>
            <w:r>
              <w:rPr>
                <w:rFonts w:ascii="宋体" w:hAnsi="宋体" w:eastAsia="宋体"/>
                <w:color w:val="auto"/>
              </w:rPr>
              <w:t>pH值、挥发酚、耗氧量、氨氮、硫化物、氯化物、石油类、总硬度、溶解性总固体、钡、汞、砷、六价铬等</w:t>
            </w:r>
          </w:p>
        </w:tc>
        <w:tc>
          <w:tcPr>
            <w:tcW w:w="1558" w:type="dxa"/>
            <w:vAlign w:val="center"/>
          </w:tcPr>
          <w:p w14:paraId="43C36BF8">
            <w:pPr>
              <w:spacing w:line="320" w:lineRule="exact"/>
              <w:jc w:val="center"/>
              <w:rPr>
                <w:rFonts w:ascii="宋体" w:hAnsi="宋体" w:eastAsia="宋体"/>
                <w:color w:val="auto"/>
              </w:rPr>
            </w:pPr>
            <w:r>
              <w:rPr>
                <w:rFonts w:ascii="宋体" w:hAnsi="宋体" w:eastAsia="宋体"/>
                <w:color w:val="auto"/>
              </w:rPr>
              <w:t>pH值、石油类、石油烃</w:t>
            </w:r>
          </w:p>
          <w:p w14:paraId="3B11D838">
            <w:pPr>
              <w:spacing w:line="320" w:lineRule="exact"/>
              <w:jc w:val="center"/>
              <w:rPr>
                <w:rFonts w:ascii="宋体" w:hAnsi="宋体" w:eastAsia="宋体"/>
                <w:color w:val="auto"/>
              </w:rPr>
            </w:pPr>
            <w:r>
              <w:rPr>
                <w:rFonts w:ascii="宋体" w:hAnsi="宋体" w:eastAsia="宋体"/>
                <w:color w:val="auto"/>
              </w:rPr>
              <w:t>（C</w:t>
            </w:r>
            <w:r>
              <w:rPr>
                <w:rFonts w:ascii="宋体" w:hAnsi="宋体" w:eastAsia="宋体"/>
                <w:color w:val="auto"/>
                <w:vertAlign w:val="subscript"/>
              </w:rPr>
              <w:t>6</w:t>
            </w:r>
            <w:r>
              <w:rPr>
                <w:rFonts w:ascii="宋体" w:hAnsi="宋体" w:eastAsia="宋体"/>
                <w:color w:val="auto"/>
              </w:rPr>
              <w:t>～C</w:t>
            </w:r>
            <w:r>
              <w:rPr>
                <w:rFonts w:ascii="宋体" w:hAnsi="宋体" w:eastAsia="宋体"/>
                <w:color w:val="auto"/>
                <w:vertAlign w:val="subscript"/>
              </w:rPr>
              <w:t>9</w:t>
            </w:r>
            <w:r>
              <w:rPr>
                <w:rFonts w:ascii="宋体" w:hAnsi="宋体" w:eastAsia="宋体"/>
                <w:color w:val="auto"/>
              </w:rPr>
              <w:t>）、石油烃</w:t>
            </w:r>
          </w:p>
          <w:p w14:paraId="36A0AEFE">
            <w:pPr>
              <w:spacing w:line="320" w:lineRule="exact"/>
              <w:jc w:val="center"/>
              <w:rPr>
                <w:rFonts w:ascii="宋体" w:hAnsi="宋体" w:eastAsia="宋体"/>
                <w:color w:val="auto"/>
              </w:rPr>
            </w:pPr>
            <w:r>
              <w:rPr>
                <w:rFonts w:ascii="宋体" w:hAnsi="宋体" w:eastAsia="宋体"/>
                <w:color w:val="auto"/>
              </w:rPr>
              <w:t>（C</w:t>
            </w:r>
            <w:r>
              <w:rPr>
                <w:rFonts w:ascii="宋体" w:hAnsi="宋体" w:eastAsia="宋体"/>
                <w:color w:val="auto"/>
                <w:vertAlign w:val="subscript"/>
              </w:rPr>
              <w:t>10</w:t>
            </w:r>
            <w:r>
              <w:rPr>
                <w:rFonts w:ascii="宋体" w:hAnsi="宋体" w:eastAsia="宋体"/>
                <w:color w:val="auto"/>
              </w:rPr>
              <w:t>～C</w:t>
            </w:r>
            <w:r>
              <w:rPr>
                <w:rFonts w:ascii="宋体" w:hAnsi="宋体" w:eastAsia="宋体"/>
                <w:color w:val="auto"/>
                <w:vertAlign w:val="subscript"/>
              </w:rPr>
              <w:t>40</w:t>
            </w:r>
            <w:r>
              <w:rPr>
                <w:rFonts w:ascii="宋体" w:hAnsi="宋体" w:eastAsia="宋体"/>
                <w:color w:val="auto"/>
              </w:rPr>
              <w:t>）、汞、砷、六价铬、土壤盐分含量等</w:t>
            </w:r>
          </w:p>
        </w:tc>
        <w:tc>
          <w:tcPr>
            <w:tcW w:w="1276" w:type="dxa"/>
            <w:vAlign w:val="center"/>
          </w:tcPr>
          <w:p w14:paraId="4D660729">
            <w:pPr>
              <w:spacing w:line="320" w:lineRule="exact"/>
              <w:jc w:val="center"/>
              <w:rPr>
                <w:rFonts w:ascii="宋体" w:hAnsi="宋体" w:eastAsia="宋体"/>
                <w:color w:val="auto"/>
              </w:rPr>
            </w:pPr>
            <w:r>
              <w:rPr>
                <w:rFonts w:ascii="宋体" w:hAnsi="宋体" w:eastAsia="宋体"/>
                <w:color w:val="auto"/>
              </w:rPr>
              <w:t>/</w:t>
            </w:r>
          </w:p>
        </w:tc>
        <w:tc>
          <w:tcPr>
            <w:tcW w:w="1127" w:type="dxa"/>
            <w:vAlign w:val="center"/>
          </w:tcPr>
          <w:p w14:paraId="5E2D9545">
            <w:pPr>
              <w:spacing w:line="320" w:lineRule="exact"/>
              <w:jc w:val="center"/>
              <w:rPr>
                <w:rFonts w:ascii="宋体" w:hAnsi="宋体" w:eastAsia="宋体"/>
                <w:color w:val="auto"/>
              </w:rPr>
            </w:pPr>
            <w:r>
              <w:rPr>
                <w:rFonts w:ascii="宋体" w:hAnsi="宋体" w:eastAsia="宋体"/>
                <w:color w:val="auto"/>
              </w:rPr>
              <w:t>昼间等效声级（Ld）、夜间等效声级（Ln）</w:t>
            </w:r>
          </w:p>
        </w:tc>
      </w:tr>
      <w:tr w14:paraId="0E72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Align w:val="center"/>
          </w:tcPr>
          <w:p w14:paraId="2BE530A6">
            <w:pPr>
              <w:spacing w:line="320" w:lineRule="exact"/>
              <w:jc w:val="center"/>
              <w:rPr>
                <w:rFonts w:ascii="宋体" w:hAnsi="宋体" w:eastAsia="宋体"/>
                <w:color w:val="auto"/>
              </w:rPr>
            </w:pPr>
            <w:r>
              <w:rPr>
                <w:rFonts w:ascii="宋体" w:hAnsi="宋体" w:eastAsia="宋体"/>
                <w:color w:val="auto"/>
              </w:rPr>
              <w:t>试油过程</w:t>
            </w:r>
          </w:p>
        </w:tc>
        <w:tc>
          <w:tcPr>
            <w:tcW w:w="567" w:type="dxa"/>
            <w:vAlign w:val="center"/>
          </w:tcPr>
          <w:p w14:paraId="12880B80">
            <w:pPr>
              <w:spacing w:line="320" w:lineRule="exact"/>
              <w:jc w:val="center"/>
              <w:rPr>
                <w:rFonts w:ascii="宋体" w:hAnsi="宋体" w:eastAsia="宋体"/>
                <w:color w:val="auto"/>
              </w:rPr>
            </w:pPr>
            <w:r>
              <w:rPr>
                <w:rFonts w:ascii="宋体" w:hAnsi="宋体" w:eastAsia="宋体"/>
                <w:color w:val="auto"/>
              </w:rPr>
              <w:t>施工期</w:t>
            </w:r>
          </w:p>
        </w:tc>
        <w:tc>
          <w:tcPr>
            <w:tcW w:w="850" w:type="dxa"/>
            <w:vAlign w:val="center"/>
          </w:tcPr>
          <w:p w14:paraId="082DF403">
            <w:pPr>
              <w:spacing w:line="320" w:lineRule="exact"/>
              <w:jc w:val="center"/>
              <w:rPr>
                <w:rFonts w:ascii="宋体" w:hAnsi="宋体" w:eastAsia="宋体"/>
                <w:color w:val="auto"/>
              </w:rPr>
            </w:pPr>
            <w:r>
              <w:rPr>
                <w:rFonts w:ascii="宋体" w:hAnsi="宋体" w:eastAsia="宋体"/>
                <w:color w:val="auto"/>
              </w:rPr>
              <w:t>SO</w:t>
            </w:r>
            <w:r>
              <w:rPr>
                <w:rFonts w:ascii="宋体" w:hAnsi="宋体" w:eastAsia="宋体"/>
                <w:color w:val="auto"/>
                <w:vertAlign w:val="subscript"/>
              </w:rPr>
              <w:t>2</w:t>
            </w:r>
            <w:r>
              <w:rPr>
                <w:rFonts w:ascii="宋体" w:hAnsi="宋体" w:eastAsia="宋体"/>
                <w:color w:val="auto"/>
              </w:rPr>
              <w:t>、NO</w:t>
            </w:r>
            <w:r>
              <w:rPr>
                <w:rFonts w:ascii="宋体" w:hAnsi="宋体" w:eastAsia="宋体"/>
                <w:color w:val="auto"/>
                <w:vertAlign w:val="subscript"/>
              </w:rPr>
              <w:t>X</w:t>
            </w:r>
            <w:r>
              <w:rPr>
                <w:rFonts w:ascii="宋体" w:hAnsi="宋体" w:eastAsia="宋体"/>
                <w:color w:val="auto"/>
              </w:rPr>
              <w:t>、</w:t>
            </w:r>
          </w:p>
          <w:p w14:paraId="65F6C7A4">
            <w:pPr>
              <w:spacing w:line="320" w:lineRule="exact"/>
              <w:jc w:val="center"/>
              <w:rPr>
                <w:rFonts w:ascii="宋体" w:hAnsi="宋体" w:eastAsia="宋体"/>
                <w:color w:val="auto"/>
              </w:rPr>
            </w:pPr>
            <w:r>
              <w:rPr>
                <w:rFonts w:ascii="宋体" w:hAnsi="宋体" w:eastAsia="宋体"/>
                <w:color w:val="auto"/>
              </w:rPr>
              <w:t>非甲烷总烃</w:t>
            </w:r>
          </w:p>
        </w:tc>
        <w:tc>
          <w:tcPr>
            <w:tcW w:w="1276" w:type="dxa"/>
            <w:vAlign w:val="center"/>
          </w:tcPr>
          <w:p w14:paraId="4755D364">
            <w:pPr>
              <w:spacing w:line="320" w:lineRule="exact"/>
              <w:jc w:val="center"/>
              <w:rPr>
                <w:rFonts w:ascii="宋体" w:hAnsi="宋体" w:eastAsia="宋体"/>
                <w:color w:val="auto"/>
              </w:rPr>
            </w:pPr>
            <w:r>
              <w:rPr>
                <w:rFonts w:ascii="宋体" w:hAnsi="宋体" w:eastAsia="宋体"/>
                <w:color w:val="auto"/>
              </w:rPr>
              <w:t>pH、COD、高锰酸盐指数、氨氮、BOD</w:t>
            </w:r>
            <w:r>
              <w:rPr>
                <w:rFonts w:ascii="宋体" w:hAnsi="宋体" w:eastAsia="宋体"/>
                <w:color w:val="auto"/>
                <w:vertAlign w:val="subscript"/>
              </w:rPr>
              <w:t>5</w:t>
            </w:r>
            <w:r>
              <w:rPr>
                <w:rFonts w:ascii="宋体" w:hAnsi="宋体" w:eastAsia="宋体"/>
                <w:color w:val="auto"/>
              </w:rPr>
              <w:t>、总磷、总氮、石油类、溶解氧、水温</w:t>
            </w:r>
          </w:p>
        </w:tc>
        <w:tc>
          <w:tcPr>
            <w:tcW w:w="1700" w:type="dxa"/>
            <w:vAlign w:val="center"/>
          </w:tcPr>
          <w:p w14:paraId="429B83FC">
            <w:pPr>
              <w:spacing w:line="320" w:lineRule="exact"/>
              <w:jc w:val="center"/>
              <w:rPr>
                <w:rFonts w:ascii="宋体" w:hAnsi="宋体" w:eastAsia="宋体"/>
                <w:color w:val="auto"/>
              </w:rPr>
            </w:pPr>
            <w:r>
              <w:rPr>
                <w:rFonts w:ascii="宋体" w:hAnsi="宋体" w:eastAsia="宋体"/>
                <w:color w:val="auto"/>
              </w:rPr>
              <w:t>pH值、挥发酚、耗氧量、氨氮、硫化物、氯化物、石油类、总硬度、溶解性总固体、钡、汞、砷、六价铬等</w:t>
            </w:r>
          </w:p>
        </w:tc>
        <w:tc>
          <w:tcPr>
            <w:tcW w:w="1558" w:type="dxa"/>
            <w:vAlign w:val="center"/>
          </w:tcPr>
          <w:p w14:paraId="63234086">
            <w:pPr>
              <w:spacing w:line="320" w:lineRule="exact"/>
              <w:jc w:val="center"/>
              <w:rPr>
                <w:rFonts w:ascii="宋体" w:hAnsi="宋体" w:eastAsia="宋体"/>
                <w:color w:val="auto"/>
              </w:rPr>
            </w:pPr>
            <w:r>
              <w:rPr>
                <w:rFonts w:ascii="宋体" w:hAnsi="宋体" w:eastAsia="宋体"/>
                <w:color w:val="auto"/>
              </w:rPr>
              <w:t>pH值、石油类、石油烃</w:t>
            </w:r>
          </w:p>
          <w:p w14:paraId="5A6F36AF">
            <w:pPr>
              <w:spacing w:line="320" w:lineRule="exact"/>
              <w:jc w:val="center"/>
              <w:rPr>
                <w:rFonts w:ascii="宋体" w:hAnsi="宋体" w:eastAsia="宋体"/>
                <w:color w:val="auto"/>
              </w:rPr>
            </w:pPr>
            <w:r>
              <w:rPr>
                <w:rFonts w:ascii="宋体" w:hAnsi="宋体" w:eastAsia="宋体"/>
                <w:color w:val="auto"/>
              </w:rPr>
              <w:t>（C</w:t>
            </w:r>
            <w:r>
              <w:rPr>
                <w:rFonts w:ascii="宋体" w:hAnsi="宋体" w:eastAsia="宋体"/>
                <w:color w:val="auto"/>
                <w:vertAlign w:val="subscript"/>
              </w:rPr>
              <w:t>6</w:t>
            </w:r>
            <w:r>
              <w:rPr>
                <w:rFonts w:ascii="宋体" w:hAnsi="宋体" w:eastAsia="宋体"/>
                <w:color w:val="auto"/>
              </w:rPr>
              <w:t>～C</w:t>
            </w:r>
            <w:r>
              <w:rPr>
                <w:rFonts w:ascii="宋体" w:hAnsi="宋体" w:eastAsia="宋体"/>
                <w:color w:val="auto"/>
                <w:vertAlign w:val="subscript"/>
              </w:rPr>
              <w:t>9</w:t>
            </w:r>
            <w:r>
              <w:rPr>
                <w:rFonts w:ascii="宋体" w:hAnsi="宋体" w:eastAsia="宋体"/>
                <w:color w:val="auto"/>
              </w:rPr>
              <w:t>）、石油烃</w:t>
            </w:r>
          </w:p>
          <w:p w14:paraId="7791C7E3">
            <w:pPr>
              <w:spacing w:line="320" w:lineRule="exact"/>
              <w:jc w:val="center"/>
              <w:rPr>
                <w:rFonts w:ascii="宋体" w:hAnsi="宋体" w:eastAsia="宋体"/>
                <w:color w:val="auto"/>
              </w:rPr>
            </w:pPr>
            <w:r>
              <w:rPr>
                <w:rFonts w:ascii="宋体" w:hAnsi="宋体" w:eastAsia="宋体"/>
                <w:color w:val="auto"/>
              </w:rPr>
              <w:t>（C</w:t>
            </w:r>
            <w:r>
              <w:rPr>
                <w:rFonts w:ascii="宋体" w:hAnsi="宋体" w:eastAsia="宋体"/>
                <w:color w:val="auto"/>
                <w:vertAlign w:val="subscript"/>
              </w:rPr>
              <w:t>10</w:t>
            </w:r>
            <w:r>
              <w:rPr>
                <w:rFonts w:ascii="宋体" w:hAnsi="宋体" w:eastAsia="宋体"/>
                <w:color w:val="auto"/>
              </w:rPr>
              <w:t>～C</w:t>
            </w:r>
            <w:r>
              <w:rPr>
                <w:rFonts w:ascii="宋体" w:hAnsi="宋体" w:eastAsia="宋体"/>
                <w:color w:val="auto"/>
                <w:vertAlign w:val="subscript"/>
              </w:rPr>
              <w:t>40</w:t>
            </w:r>
            <w:r>
              <w:rPr>
                <w:rFonts w:ascii="宋体" w:hAnsi="宋体" w:eastAsia="宋体"/>
                <w:color w:val="auto"/>
              </w:rPr>
              <w:t>）、汞、砷、六价铬、土壤盐分含量等</w:t>
            </w:r>
          </w:p>
        </w:tc>
        <w:tc>
          <w:tcPr>
            <w:tcW w:w="1276" w:type="dxa"/>
            <w:vAlign w:val="center"/>
          </w:tcPr>
          <w:p w14:paraId="2EAE5A62">
            <w:pPr>
              <w:spacing w:line="320" w:lineRule="exact"/>
              <w:jc w:val="center"/>
              <w:rPr>
                <w:rFonts w:ascii="宋体" w:hAnsi="宋体" w:eastAsia="宋体"/>
                <w:color w:val="auto"/>
              </w:rPr>
            </w:pPr>
            <w:r>
              <w:rPr>
                <w:rFonts w:ascii="宋体" w:hAnsi="宋体" w:eastAsia="宋体"/>
                <w:color w:val="auto"/>
              </w:rPr>
              <w:t>/</w:t>
            </w:r>
          </w:p>
        </w:tc>
        <w:tc>
          <w:tcPr>
            <w:tcW w:w="1127" w:type="dxa"/>
            <w:vAlign w:val="center"/>
          </w:tcPr>
          <w:p w14:paraId="71CE3272">
            <w:pPr>
              <w:spacing w:line="320" w:lineRule="exact"/>
              <w:jc w:val="center"/>
              <w:rPr>
                <w:rFonts w:ascii="宋体" w:hAnsi="宋体" w:eastAsia="宋体"/>
                <w:color w:val="auto"/>
              </w:rPr>
            </w:pPr>
            <w:r>
              <w:rPr>
                <w:rFonts w:ascii="宋体" w:hAnsi="宋体" w:eastAsia="宋体"/>
                <w:color w:val="auto"/>
              </w:rPr>
              <w:t>昼间等效声级（Ld）、夜间等效声级（Ln）</w:t>
            </w:r>
          </w:p>
        </w:tc>
      </w:tr>
      <w:tr w14:paraId="77D2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vAlign w:val="center"/>
          </w:tcPr>
          <w:p w14:paraId="4FF102DE">
            <w:pPr>
              <w:spacing w:line="320" w:lineRule="exact"/>
              <w:jc w:val="center"/>
              <w:rPr>
                <w:rFonts w:ascii="宋体" w:hAnsi="宋体" w:eastAsia="宋体"/>
                <w:color w:val="auto"/>
              </w:rPr>
            </w:pPr>
            <w:r>
              <w:rPr>
                <w:rFonts w:ascii="宋体" w:hAnsi="宋体" w:eastAsia="宋体"/>
                <w:color w:val="auto"/>
              </w:rPr>
              <w:t>油气集输工程</w:t>
            </w:r>
          </w:p>
        </w:tc>
        <w:tc>
          <w:tcPr>
            <w:tcW w:w="567" w:type="dxa"/>
            <w:vAlign w:val="center"/>
          </w:tcPr>
          <w:p w14:paraId="6C07D437">
            <w:pPr>
              <w:spacing w:line="320" w:lineRule="exact"/>
              <w:jc w:val="center"/>
              <w:rPr>
                <w:rFonts w:ascii="宋体" w:hAnsi="宋体" w:eastAsia="宋体"/>
                <w:color w:val="auto"/>
              </w:rPr>
            </w:pPr>
            <w:r>
              <w:rPr>
                <w:rFonts w:ascii="宋体" w:hAnsi="宋体" w:eastAsia="宋体"/>
                <w:color w:val="auto"/>
              </w:rPr>
              <w:t>施工期</w:t>
            </w:r>
          </w:p>
        </w:tc>
        <w:tc>
          <w:tcPr>
            <w:tcW w:w="850" w:type="dxa"/>
            <w:vAlign w:val="center"/>
          </w:tcPr>
          <w:p w14:paraId="03652C75">
            <w:pPr>
              <w:spacing w:line="320" w:lineRule="exact"/>
              <w:jc w:val="center"/>
              <w:rPr>
                <w:rFonts w:ascii="宋体" w:hAnsi="宋体" w:eastAsia="宋体"/>
                <w:color w:val="auto"/>
              </w:rPr>
            </w:pPr>
            <w:r>
              <w:rPr>
                <w:rFonts w:ascii="宋体" w:hAnsi="宋体" w:eastAsia="宋体"/>
                <w:color w:val="auto"/>
              </w:rPr>
              <w:t>颗粒物</w:t>
            </w:r>
          </w:p>
        </w:tc>
        <w:tc>
          <w:tcPr>
            <w:tcW w:w="1276" w:type="dxa"/>
            <w:vAlign w:val="center"/>
          </w:tcPr>
          <w:p w14:paraId="5B673C53">
            <w:pPr>
              <w:spacing w:line="320" w:lineRule="exact"/>
              <w:jc w:val="center"/>
              <w:rPr>
                <w:rFonts w:ascii="宋体" w:hAnsi="宋体" w:eastAsia="宋体"/>
                <w:color w:val="auto"/>
              </w:rPr>
            </w:pPr>
            <w:r>
              <w:rPr>
                <w:rFonts w:ascii="宋体" w:hAnsi="宋体" w:eastAsia="宋体"/>
                <w:color w:val="auto"/>
              </w:rPr>
              <w:t>BOD</w:t>
            </w:r>
            <w:r>
              <w:rPr>
                <w:rFonts w:ascii="宋体" w:hAnsi="宋体" w:eastAsia="宋体"/>
                <w:color w:val="auto"/>
                <w:vertAlign w:val="subscript"/>
              </w:rPr>
              <w:t>5</w:t>
            </w:r>
            <w:r>
              <w:rPr>
                <w:rFonts w:ascii="宋体" w:hAnsi="宋体" w:eastAsia="宋体"/>
                <w:color w:val="auto"/>
              </w:rPr>
              <w:t>、COD、悬浮物、氨氮等</w:t>
            </w:r>
          </w:p>
        </w:tc>
        <w:tc>
          <w:tcPr>
            <w:tcW w:w="1700" w:type="dxa"/>
            <w:vAlign w:val="center"/>
          </w:tcPr>
          <w:p w14:paraId="2282225B">
            <w:pPr>
              <w:spacing w:line="320" w:lineRule="exact"/>
              <w:jc w:val="center"/>
              <w:rPr>
                <w:rFonts w:ascii="宋体" w:hAnsi="宋体" w:eastAsia="宋体"/>
                <w:color w:val="auto"/>
                <w:kern w:val="0"/>
              </w:rPr>
            </w:pPr>
            <w:r>
              <w:rPr>
                <w:rFonts w:ascii="宋体" w:hAnsi="宋体" w:eastAsia="宋体"/>
                <w:color w:val="auto"/>
                <w:kern w:val="0"/>
              </w:rPr>
              <w:t>耗氧量、氨氮、石油类等</w:t>
            </w:r>
          </w:p>
        </w:tc>
        <w:tc>
          <w:tcPr>
            <w:tcW w:w="1558" w:type="dxa"/>
            <w:vAlign w:val="center"/>
          </w:tcPr>
          <w:p w14:paraId="756CCD9B">
            <w:pPr>
              <w:spacing w:line="320" w:lineRule="exact"/>
              <w:jc w:val="center"/>
              <w:rPr>
                <w:rFonts w:ascii="宋体" w:hAnsi="宋体" w:eastAsia="宋体"/>
                <w:color w:val="auto"/>
              </w:rPr>
            </w:pPr>
            <w:r>
              <w:rPr>
                <w:rFonts w:ascii="宋体" w:hAnsi="宋体" w:eastAsia="宋体"/>
                <w:color w:val="auto"/>
              </w:rPr>
              <w:t>/</w:t>
            </w:r>
          </w:p>
        </w:tc>
        <w:tc>
          <w:tcPr>
            <w:tcW w:w="1276" w:type="dxa"/>
            <w:vAlign w:val="center"/>
          </w:tcPr>
          <w:p w14:paraId="6A189743">
            <w:pPr>
              <w:spacing w:line="320" w:lineRule="exact"/>
              <w:jc w:val="center"/>
              <w:rPr>
                <w:rFonts w:ascii="宋体" w:hAnsi="宋体" w:eastAsia="宋体"/>
                <w:color w:val="auto"/>
              </w:rPr>
            </w:pPr>
            <w:r>
              <w:rPr>
                <w:rFonts w:ascii="宋体" w:hAnsi="宋体" w:eastAsia="宋体"/>
                <w:color w:val="auto"/>
              </w:rPr>
              <w:t>地表扰动面积及类型、植被覆盖度、生物量损失、物种多样性、生态系统完整性</w:t>
            </w:r>
          </w:p>
        </w:tc>
        <w:tc>
          <w:tcPr>
            <w:tcW w:w="1127" w:type="dxa"/>
            <w:vAlign w:val="center"/>
          </w:tcPr>
          <w:p w14:paraId="4C6FCB2B">
            <w:pPr>
              <w:spacing w:line="320" w:lineRule="exact"/>
              <w:jc w:val="center"/>
              <w:rPr>
                <w:rFonts w:ascii="宋体" w:hAnsi="宋体" w:eastAsia="宋体"/>
                <w:color w:val="auto"/>
              </w:rPr>
            </w:pPr>
            <w:r>
              <w:rPr>
                <w:rFonts w:ascii="宋体" w:hAnsi="宋体" w:eastAsia="宋体"/>
                <w:color w:val="auto"/>
              </w:rPr>
              <w:t>/</w:t>
            </w:r>
          </w:p>
        </w:tc>
      </w:tr>
      <w:tr w14:paraId="4CF3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vAlign w:val="center"/>
          </w:tcPr>
          <w:p w14:paraId="4F0ACC7F">
            <w:pPr>
              <w:spacing w:line="320" w:lineRule="exact"/>
              <w:jc w:val="center"/>
              <w:rPr>
                <w:rFonts w:ascii="宋体" w:hAnsi="宋体" w:eastAsia="宋体"/>
                <w:color w:val="auto"/>
              </w:rPr>
            </w:pPr>
          </w:p>
        </w:tc>
        <w:tc>
          <w:tcPr>
            <w:tcW w:w="567" w:type="dxa"/>
            <w:vAlign w:val="center"/>
          </w:tcPr>
          <w:p w14:paraId="6C540804">
            <w:pPr>
              <w:spacing w:line="320" w:lineRule="exact"/>
              <w:jc w:val="center"/>
              <w:rPr>
                <w:rFonts w:ascii="宋体" w:hAnsi="宋体" w:eastAsia="宋体"/>
                <w:color w:val="auto"/>
              </w:rPr>
            </w:pPr>
            <w:r>
              <w:rPr>
                <w:rFonts w:ascii="宋体" w:hAnsi="宋体" w:eastAsia="宋体"/>
                <w:color w:val="auto"/>
              </w:rPr>
              <w:t>运营期</w:t>
            </w:r>
          </w:p>
        </w:tc>
        <w:tc>
          <w:tcPr>
            <w:tcW w:w="850" w:type="dxa"/>
            <w:vAlign w:val="center"/>
          </w:tcPr>
          <w:p w14:paraId="6EC46029">
            <w:pPr>
              <w:spacing w:line="320" w:lineRule="exact"/>
              <w:jc w:val="center"/>
              <w:rPr>
                <w:rStyle w:val="116"/>
                <w:rFonts w:ascii="宋体" w:hAnsi="宋体" w:eastAsia="宋体"/>
                <w:color w:val="auto"/>
                <w:kern w:val="0"/>
              </w:rPr>
            </w:pPr>
            <w:r>
              <w:rPr>
                <w:rFonts w:ascii="宋体" w:hAnsi="宋体" w:eastAsia="宋体"/>
                <w:color w:val="auto"/>
              </w:rPr>
              <w:t>非甲烷总烃</w:t>
            </w:r>
            <w:r>
              <w:rPr>
                <w:rStyle w:val="116"/>
                <w:rFonts w:hint="eastAsia" w:ascii="宋体" w:hAnsi="宋体" w:eastAsia="宋体"/>
                <w:color w:val="auto"/>
                <w:kern w:val="0"/>
              </w:rPr>
              <w:t>、SO</w:t>
            </w:r>
            <w:r>
              <w:rPr>
                <w:rStyle w:val="116"/>
                <w:rFonts w:hint="eastAsia" w:ascii="宋体" w:hAnsi="宋体" w:eastAsia="宋体"/>
                <w:color w:val="auto"/>
                <w:kern w:val="0"/>
                <w:vertAlign w:val="subscript"/>
              </w:rPr>
              <w:t>2</w:t>
            </w:r>
          </w:p>
          <w:p w14:paraId="7EA9F582">
            <w:pPr>
              <w:spacing w:line="320" w:lineRule="exact"/>
              <w:jc w:val="center"/>
              <w:rPr>
                <w:rStyle w:val="116"/>
                <w:rFonts w:ascii="宋体" w:hAnsi="宋体" w:eastAsia="宋体"/>
                <w:color w:val="auto"/>
                <w:kern w:val="0"/>
              </w:rPr>
            </w:pPr>
            <w:r>
              <w:rPr>
                <w:rStyle w:val="116"/>
                <w:rFonts w:hint="eastAsia" w:ascii="宋体" w:hAnsi="宋体" w:eastAsia="宋体"/>
                <w:color w:val="auto"/>
                <w:kern w:val="0"/>
              </w:rPr>
              <w:t>、NO</w:t>
            </w:r>
            <w:r>
              <w:rPr>
                <w:rStyle w:val="116"/>
                <w:rFonts w:hint="eastAsia" w:ascii="宋体" w:hAnsi="宋体" w:eastAsia="宋体"/>
                <w:color w:val="auto"/>
                <w:kern w:val="0"/>
                <w:vertAlign w:val="subscript"/>
              </w:rPr>
              <w:t>X</w:t>
            </w:r>
          </w:p>
          <w:p w14:paraId="593C7CBA">
            <w:pPr>
              <w:spacing w:line="320" w:lineRule="exact"/>
              <w:rPr>
                <w:rStyle w:val="116"/>
                <w:rFonts w:ascii="宋体" w:hAnsi="宋体" w:eastAsia="宋体"/>
                <w:color w:val="auto"/>
                <w:kern w:val="0"/>
              </w:rPr>
            </w:pPr>
            <w:r>
              <w:rPr>
                <w:rStyle w:val="116"/>
                <w:rFonts w:hint="eastAsia" w:ascii="宋体" w:hAnsi="宋体" w:eastAsia="宋体"/>
                <w:color w:val="auto"/>
                <w:kern w:val="0"/>
              </w:rPr>
              <w:t>、颗粒物</w:t>
            </w:r>
          </w:p>
          <w:p w14:paraId="0089D932">
            <w:pPr>
              <w:spacing w:line="320" w:lineRule="exact"/>
              <w:jc w:val="center"/>
              <w:rPr>
                <w:rFonts w:ascii="宋体" w:hAnsi="宋体" w:eastAsia="宋体"/>
                <w:color w:val="auto"/>
              </w:rPr>
            </w:pPr>
            <w:r>
              <w:rPr>
                <w:rFonts w:hint="eastAsia" w:ascii="宋体" w:hAnsi="宋体" w:eastAsia="宋体"/>
                <w:color w:val="auto"/>
              </w:rPr>
              <w:t xml:space="preserve"> </w:t>
            </w:r>
          </w:p>
        </w:tc>
        <w:tc>
          <w:tcPr>
            <w:tcW w:w="1276" w:type="dxa"/>
            <w:vAlign w:val="center"/>
          </w:tcPr>
          <w:p w14:paraId="435DFCAD">
            <w:pPr>
              <w:spacing w:line="320" w:lineRule="exact"/>
              <w:jc w:val="center"/>
              <w:rPr>
                <w:rFonts w:ascii="宋体" w:hAnsi="宋体" w:eastAsia="宋体"/>
                <w:color w:val="auto"/>
              </w:rPr>
            </w:pPr>
            <w:r>
              <w:rPr>
                <w:rFonts w:ascii="宋体" w:hAnsi="宋体" w:eastAsia="宋体"/>
                <w:color w:val="auto"/>
              </w:rPr>
              <w:t>pH、COD、高锰酸盐指数、氨氮、BOD</w:t>
            </w:r>
            <w:r>
              <w:rPr>
                <w:rFonts w:ascii="宋体" w:hAnsi="宋体" w:eastAsia="宋体"/>
                <w:color w:val="auto"/>
                <w:vertAlign w:val="subscript"/>
              </w:rPr>
              <w:t>5</w:t>
            </w:r>
            <w:r>
              <w:rPr>
                <w:rFonts w:ascii="宋体" w:hAnsi="宋体" w:eastAsia="宋体"/>
                <w:color w:val="auto"/>
              </w:rPr>
              <w:t>、总磷、总氮、石油类、溶解氧、水温</w:t>
            </w:r>
          </w:p>
        </w:tc>
        <w:tc>
          <w:tcPr>
            <w:tcW w:w="1700" w:type="dxa"/>
            <w:vAlign w:val="center"/>
          </w:tcPr>
          <w:p w14:paraId="07B34475">
            <w:pPr>
              <w:spacing w:line="320" w:lineRule="exact"/>
              <w:jc w:val="center"/>
              <w:rPr>
                <w:rFonts w:ascii="宋体" w:hAnsi="宋体" w:eastAsia="宋体"/>
                <w:color w:val="auto"/>
              </w:rPr>
            </w:pPr>
            <w:r>
              <w:rPr>
                <w:rFonts w:ascii="宋体" w:hAnsi="宋体" w:eastAsia="宋体"/>
                <w:color w:val="auto"/>
              </w:rPr>
              <w:t>耗氧量、氨氮、石油类等</w:t>
            </w:r>
          </w:p>
        </w:tc>
        <w:tc>
          <w:tcPr>
            <w:tcW w:w="1558" w:type="dxa"/>
            <w:vAlign w:val="center"/>
          </w:tcPr>
          <w:p w14:paraId="0355DFA6">
            <w:pPr>
              <w:spacing w:line="320" w:lineRule="exact"/>
              <w:jc w:val="center"/>
              <w:rPr>
                <w:rFonts w:ascii="宋体" w:hAnsi="宋体" w:eastAsia="宋体"/>
                <w:color w:val="auto"/>
              </w:rPr>
            </w:pPr>
            <w:r>
              <w:rPr>
                <w:rFonts w:ascii="宋体" w:hAnsi="宋体" w:eastAsia="宋体"/>
                <w:color w:val="auto"/>
              </w:rPr>
              <w:t>/</w:t>
            </w:r>
          </w:p>
        </w:tc>
        <w:tc>
          <w:tcPr>
            <w:tcW w:w="1276" w:type="dxa"/>
            <w:vAlign w:val="center"/>
          </w:tcPr>
          <w:p w14:paraId="10719E0D">
            <w:pPr>
              <w:spacing w:line="320" w:lineRule="exact"/>
              <w:jc w:val="center"/>
              <w:rPr>
                <w:rFonts w:ascii="宋体" w:hAnsi="宋体" w:eastAsia="宋体"/>
                <w:color w:val="auto"/>
              </w:rPr>
            </w:pPr>
            <w:r>
              <w:rPr>
                <w:rFonts w:ascii="宋体" w:hAnsi="宋体" w:eastAsia="宋体"/>
                <w:color w:val="auto"/>
              </w:rPr>
              <w:t>土壤肥力</w:t>
            </w:r>
          </w:p>
          <w:p w14:paraId="71C91BC8">
            <w:pPr>
              <w:spacing w:line="320" w:lineRule="exact"/>
              <w:jc w:val="center"/>
              <w:rPr>
                <w:rFonts w:ascii="宋体" w:hAnsi="宋体" w:eastAsia="宋体"/>
                <w:color w:val="auto"/>
              </w:rPr>
            </w:pPr>
            <w:r>
              <w:rPr>
                <w:rFonts w:ascii="宋体" w:hAnsi="宋体" w:eastAsia="宋体"/>
                <w:color w:val="auto"/>
              </w:rPr>
              <w:t>、生物多样性、生态系统完整性</w:t>
            </w:r>
          </w:p>
        </w:tc>
        <w:tc>
          <w:tcPr>
            <w:tcW w:w="1127" w:type="dxa"/>
            <w:vAlign w:val="center"/>
          </w:tcPr>
          <w:p w14:paraId="4B3BB74D">
            <w:pPr>
              <w:spacing w:line="320" w:lineRule="exact"/>
              <w:jc w:val="center"/>
              <w:rPr>
                <w:rFonts w:ascii="宋体" w:hAnsi="宋体" w:eastAsia="宋体"/>
                <w:color w:val="auto"/>
              </w:rPr>
            </w:pPr>
            <w:r>
              <w:rPr>
                <w:rFonts w:ascii="宋体" w:hAnsi="宋体" w:eastAsia="宋体"/>
                <w:color w:val="auto"/>
              </w:rPr>
              <w:t>昼间等效声级（Ld）、夜间等效声级（Ln）</w:t>
            </w:r>
          </w:p>
        </w:tc>
      </w:tr>
    </w:tbl>
    <w:p w14:paraId="40B23A83">
      <w:pPr>
        <w:ind w:firstLine="420" w:firstLineChars="200"/>
        <w:rPr>
          <w:rFonts w:ascii="宋体" w:hAnsi="宋体" w:eastAsia="宋体" w:cs="Times New Roman"/>
          <w:color w:val="auto"/>
        </w:rPr>
      </w:pPr>
      <w:bookmarkStart w:id="321" w:name="_Toc6278"/>
      <w:r>
        <w:rPr>
          <w:rFonts w:ascii="宋体" w:hAnsi="宋体" w:eastAsia="宋体" w:cs="Times New Roman"/>
          <w:color w:val="auto"/>
        </w:rPr>
        <w:t>注：根据3.12.3源强核算</w:t>
      </w:r>
      <w:r>
        <w:rPr>
          <w:rFonts w:hint="eastAsia" w:ascii="宋体" w:hAnsi="宋体" w:eastAsia="宋体" w:cs="Times New Roman"/>
          <w:color w:val="auto"/>
        </w:rPr>
        <w:t>章节</w:t>
      </w:r>
      <w:r>
        <w:rPr>
          <w:rFonts w:ascii="宋体" w:hAnsi="宋体" w:eastAsia="宋体" w:cs="Times New Roman"/>
          <w:color w:val="auto"/>
        </w:rPr>
        <w:t>，本项目排放的SO</w:t>
      </w:r>
      <w:r>
        <w:rPr>
          <w:rFonts w:ascii="宋体" w:hAnsi="宋体" w:eastAsia="宋体" w:cs="Times New Roman"/>
          <w:color w:val="auto"/>
          <w:vertAlign w:val="subscript"/>
        </w:rPr>
        <w:t>2</w:t>
      </w:r>
      <w:r>
        <w:rPr>
          <w:rFonts w:ascii="宋体" w:hAnsi="宋体" w:eastAsia="宋体" w:cs="Times New Roman"/>
          <w:color w:val="auto"/>
        </w:rPr>
        <w:t>和NOx年排放量小于500t/a，</w:t>
      </w:r>
      <w:r>
        <w:rPr>
          <w:rFonts w:hint="eastAsia" w:ascii="宋体" w:hAnsi="宋体" w:eastAsia="宋体" w:cs="Times New Roman"/>
          <w:color w:val="auto"/>
        </w:rPr>
        <w:t>故</w:t>
      </w:r>
      <w:r>
        <w:rPr>
          <w:rFonts w:ascii="宋体" w:hAnsi="宋体" w:eastAsia="宋体" w:cs="Times New Roman"/>
          <w:color w:val="auto"/>
        </w:rPr>
        <w:t>评价因子无需增加二次PM</w:t>
      </w:r>
      <w:r>
        <w:rPr>
          <w:rFonts w:ascii="宋体" w:hAnsi="宋体" w:eastAsia="宋体" w:cs="Times New Roman"/>
          <w:color w:val="auto"/>
          <w:vertAlign w:val="subscript"/>
        </w:rPr>
        <w:t>2.5</w:t>
      </w:r>
      <w:r>
        <w:rPr>
          <w:rFonts w:hint="eastAsia" w:ascii="宋体" w:hAnsi="宋体" w:eastAsia="宋体" w:cs="Times New Roman"/>
          <w:color w:val="auto"/>
          <w:vertAlign w:val="subscript"/>
        </w:rPr>
        <w:t>。</w:t>
      </w:r>
    </w:p>
    <w:p w14:paraId="107B99DF">
      <w:pPr>
        <w:pStyle w:val="5"/>
        <w:rPr>
          <w:bCs w:val="0"/>
          <w:color w:val="auto"/>
        </w:rPr>
      </w:pPr>
      <w:bookmarkStart w:id="322" w:name="_Toc212033007"/>
      <w:r>
        <w:rPr>
          <w:bCs w:val="0"/>
          <w:color w:val="auto"/>
        </w:rPr>
        <w:t>评价标准</w:t>
      </w:r>
      <w:bookmarkEnd w:id="321"/>
      <w:bookmarkEnd w:id="322"/>
    </w:p>
    <w:p w14:paraId="70CAB129">
      <w:pPr>
        <w:pStyle w:val="6"/>
        <w:rPr>
          <w:color w:val="auto"/>
        </w:rPr>
      </w:pPr>
      <w:bookmarkStart w:id="323" w:name="_Toc78816433"/>
      <w:bookmarkStart w:id="324" w:name="_Toc4125"/>
      <w:bookmarkStart w:id="325" w:name="_Toc57203222"/>
      <w:bookmarkStart w:id="326" w:name="_Toc70050148"/>
      <w:bookmarkStart w:id="327" w:name="_Toc61597194"/>
      <w:bookmarkStart w:id="328" w:name="_Toc57707892"/>
      <w:bookmarkStart w:id="329" w:name="_Toc85640725"/>
      <w:bookmarkStart w:id="330" w:name="_Toc76976216"/>
      <w:bookmarkStart w:id="331" w:name="_Toc86141908"/>
      <w:bookmarkStart w:id="332" w:name="_Toc143099551"/>
      <w:bookmarkStart w:id="333" w:name="_Toc131167264"/>
      <w:bookmarkStart w:id="334" w:name="_Toc126863364"/>
      <w:bookmarkStart w:id="335" w:name="_Toc80588228"/>
      <w:bookmarkStart w:id="336" w:name="_Toc67860101"/>
      <w:bookmarkStart w:id="337" w:name="_Toc84929201"/>
      <w:bookmarkStart w:id="338" w:name="_Toc127192313"/>
      <w:bookmarkStart w:id="339" w:name="_Toc57976647"/>
      <w:bookmarkStart w:id="340" w:name="_Toc77067632"/>
      <w:bookmarkStart w:id="341" w:name="_Toc83209445"/>
      <w:bookmarkStart w:id="342" w:name="_Toc17898137"/>
      <w:bookmarkStart w:id="343" w:name="_Toc80971350"/>
      <w:r>
        <w:rPr>
          <w:color w:val="auto"/>
        </w:rPr>
        <w:t>环境质量标准</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Pr>
          <w:color w:val="auto"/>
        </w:rPr>
        <w:t>及环境功能区域</w:t>
      </w:r>
    </w:p>
    <w:p w14:paraId="2AFB781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环境空气质量标准</w:t>
      </w:r>
    </w:p>
    <w:p w14:paraId="1795BEE8">
      <w:pPr>
        <w:pStyle w:val="276"/>
        <w:widowControl w:val="0"/>
        <w:spacing w:line="440" w:lineRule="exact"/>
        <w:ind w:firstLine="480"/>
        <w:jc w:val="both"/>
        <w:rPr>
          <w:color w:val="auto"/>
          <w:kern w:val="2"/>
          <w:szCs w:val="20"/>
        </w:rPr>
      </w:pPr>
      <w:r>
        <w:rPr>
          <w:color w:val="auto"/>
          <w:kern w:val="2"/>
          <w:szCs w:val="22"/>
        </w:rPr>
        <w:t>根据《大庆市人民政府关于印发大庆市声环境功能区划分、大庆市环境空气质量功能区划分、大庆市地表水环境功能区划分的通知》（庆政发[2019]11号），评价区域未划分环境空气质量功能区，本项目所在区域内无自然保护区、风景名胜区和其它需要特殊保护的地区，项目所在区域主要为居住区、商业交通居民混合区、文化区、一般工业区和农村地区，因此本项目所在地环境空气属于二类功能区，其环境空气质量执行《环境空气质量标准》（GB3095-2012）及其修改单中的二级标准。</w:t>
      </w:r>
      <w:r>
        <w:rPr>
          <w:color w:val="auto"/>
          <w:kern w:val="2"/>
          <w:szCs w:val="20"/>
        </w:rPr>
        <w:t>环境空气中非甲烷总烃允许浓度参考执行《大气污染物综合排放标准详解》中非甲烷总烃浓度限值。</w:t>
      </w:r>
    </w:p>
    <w:p w14:paraId="4C288EA0">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评价区域内各项污染物的浓度限值</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1201"/>
        <w:gridCol w:w="794"/>
        <w:gridCol w:w="841"/>
        <w:gridCol w:w="794"/>
        <w:gridCol w:w="794"/>
        <w:gridCol w:w="794"/>
        <w:gridCol w:w="794"/>
        <w:gridCol w:w="689"/>
        <w:gridCol w:w="794"/>
      </w:tblGrid>
      <w:tr w14:paraId="095F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4" w:type="pct"/>
            <w:gridSpan w:val="2"/>
            <w:vAlign w:val="center"/>
          </w:tcPr>
          <w:p w14:paraId="4AF47833">
            <w:pPr>
              <w:spacing w:line="360" w:lineRule="exact"/>
              <w:jc w:val="center"/>
              <w:rPr>
                <w:rFonts w:ascii="宋体" w:hAnsi="宋体" w:eastAsia="宋体" w:cs="Times New Roman"/>
                <w:color w:val="auto"/>
              </w:rPr>
            </w:pPr>
            <w:r>
              <w:rPr>
                <w:rFonts w:ascii="宋体" w:hAnsi="宋体" w:eastAsia="宋体" w:cs="Times New Roman"/>
                <w:color w:val="auto"/>
              </w:rPr>
              <w:t>污染物名称</w:t>
            </w:r>
          </w:p>
        </w:tc>
        <w:tc>
          <w:tcPr>
            <w:tcW w:w="488" w:type="pct"/>
            <w:vAlign w:val="center"/>
          </w:tcPr>
          <w:p w14:paraId="1FB421D5">
            <w:pPr>
              <w:spacing w:line="360" w:lineRule="exact"/>
              <w:jc w:val="center"/>
              <w:rPr>
                <w:rFonts w:ascii="宋体" w:hAnsi="宋体" w:eastAsia="宋体" w:cs="Times New Roman"/>
                <w:color w:val="auto"/>
              </w:rPr>
            </w:pPr>
            <w:r>
              <w:rPr>
                <w:rFonts w:ascii="宋体" w:hAnsi="宋体" w:eastAsia="宋体" w:cs="Times New Roman"/>
                <w:color w:val="auto"/>
              </w:rPr>
              <w:t>TSP</w:t>
            </w:r>
          </w:p>
        </w:tc>
        <w:tc>
          <w:tcPr>
            <w:tcW w:w="548" w:type="pct"/>
            <w:vAlign w:val="center"/>
          </w:tcPr>
          <w:p w14:paraId="5C82B208">
            <w:pPr>
              <w:spacing w:line="360" w:lineRule="exact"/>
              <w:jc w:val="center"/>
              <w:rPr>
                <w:rFonts w:ascii="宋体" w:hAnsi="宋体" w:eastAsia="宋体" w:cs="Times New Roman"/>
                <w:color w:val="auto"/>
              </w:rPr>
            </w:pPr>
            <w:r>
              <w:rPr>
                <w:rFonts w:ascii="宋体" w:hAnsi="宋体" w:eastAsia="宋体" w:cs="Times New Roman"/>
                <w:color w:val="auto"/>
              </w:rPr>
              <w:t>NOx</w:t>
            </w:r>
          </w:p>
        </w:tc>
        <w:tc>
          <w:tcPr>
            <w:tcW w:w="466" w:type="pct"/>
            <w:vAlign w:val="center"/>
          </w:tcPr>
          <w:p w14:paraId="1CF4CBF4">
            <w:pPr>
              <w:spacing w:line="360" w:lineRule="exact"/>
              <w:jc w:val="center"/>
              <w:rPr>
                <w:rFonts w:ascii="宋体" w:hAnsi="宋体" w:eastAsia="宋体" w:cs="Times New Roman"/>
                <w:color w:val="auto"/>
              </w:rPr>
            </w:pPr>
            <w:r>
              <w:rPr>
                <w:rFonts w:ascii="宋体" w:hAnsi="宋体" w:eastAsia="宋体" w:cs="Times New Roman"/>
                <w:color w:val="auto"/>
              </w:rPr>
              <w:t>PM</w:t>
            </w:r>
            <w:r>
              <w:rPr>
                <w:rFonts w:ascii="宋体" w:hAnsi="宋体" w:eastAsia="宋体" w:cs="Times New Roman"/>
                <w:color w:val="auto"/>
                <w:vertAlign w:val="subscript"/>
              </w:rPr>
              <w:t>10</w:t>
            </w:r>
          </w:p>
        </w:tc>
        <w:tc>
          <w:tcPr>
            <w:tcW w:w="401" w:type="pct"/>
            <w:vAlign w:val="center"/>
          </w:tcPr>
          <w:p w14:paraId="76410A75">
            <w:pPr>
              <w:spacing w:line="360" w:lineRule="exact"/>
              <w:jc w:val="center"/>
              <w:rPr>
                <w:rFonts w:ascii="宋体" w:hAnsi="宋体" w:eastAsia="宋体" w:cs="Times New Roman"/>
                <w:color w:val="auto"/>
              </w:rPr>
            </w:pPr>
            <w:r>
              <w:rPr>
                <w:rFonts w:ascii="宋体" w:hAnsi="宋体" w:eastAsia="宋体" w:cs="Times New Roman"/>
                <w:color w:val="auto"/>
              </w:rPr>
              <w:t>PM</w:t>
            </w:r>
            <w:r>
              <w:rPr>
                <w:rFonts w:ascii="宋体" w:hAnsi="宋体" w:eastAsia="宋体" w:cs="Times New Roman"/>
                <w:color w:val="auto"/>
                <w:vertAlign w:val="subscript"/>
              </w:rPr>
              <w:t>2.5</w:t>
            </w:r>
          </w:p>
        </w:tc>
        <w:tc>
          <w:tcPr>
            <w:tcW w:w="401" w:type="pct"/>
            <w:vAlign w:val="center"/>
          </w:tcPr>
          <w:p w14:paraId="383B1AE6">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401" w:type="pct"/>
            <w:vAlign w:val="center"/>
          </w:tcPr>
          <w:p w14:paraId="4E83AEB7">
            <w:pPr>
              <w:spacing w:line="360" w:lineRule="exact"/>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2</w:t>
            </w:r>
          </w:p>
        </w:tc>
        <w:tc>
          <w:tcPr>
            <w:tcW w:w="429" w:type="pct"/>
            <w:vAlign w:val="center"/>
          </w:tcPr>
          <w:p w14:paraId="2CD26F0F">
            <w:pPr>
              <w:spacing w:line="360" w:lineRule="exact"/>
              <w:jc w:val="center"/>
              <w:rPr>
                <w:rFonts w:ascii="宋体" w:hAnsi="宋体" w:eastAsia="宋体" w:cs="Times New Roman"/>
                <w:color w:val="auto"/>
              </w:rPr>
            </w:pPr>
            <w:r>
              <w:rPr>
                <w:rFonts w:ascii="宋体" w:hAnsi="宋体" w:eastAsia="宋体" w:cs="Times New Roman"/>
                <w:color w:val="auto"/>
              </w:rPr>
              <w:t>CO</w:t>
            </w:r>
          </w:p>
        </w:tc>
        <w:tc>
          <w:tcPr>
            <w:tcW w:w="401" w:type="pct"/>
            <w:vAlign w:val="center"/>
          </w:tcPr>
          <w:p w14:paraId="1FFB5E5B">
            <w:pPr>
              <w:spacing w:line="360" w:lineRule="exact"/>
              <w:jc w:val="center"/>
              <w:rPr>
                <w:rFonts w:ascii="宋体" w:hAnsi="宋体" w:eastAsia="宋体" w:cs="Times New Roman"/>
                <w:color w:val="auto"/>
              </w:rPr>
            </w:pPr>
            <w:r>
              <w:rPr>
                <w:rFonts w:ascii="宋体" w:hAnsi="宋体" w:eastAsia="宋体" w:cs="Times New Roman"/>
                <w:color w:val="auto"/>
              </w:rPr>
              <w:t>O</w:t>
            </w:r>
            <w:r>
              <w:rPr>
                <w:rFonts w:ascii="宋体" w:hAnsi="宋体" w:eastAsia="宋体" w:cs="Times New Roman"/>
                <w:color w:val="auto"/>
                <w:vertAlign w:val="subscript"/>
              </w:rPr>
              <w:t>3</w:t>
            </w:r>
          </w:p>
        </w:tc>
      </w:tr>
      <w:tr w14:paraId="5F8E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4" w:type="pct"/>
            <w:gridSpan w:val="2"/>
            <w:vAlign w:val="center"/>
          </w:tcPr>
          <w:p w14:paraId="2F3C4550">
            <w:pPr>
              <w:spacing w:line="360" w:lineRule="exact"/>
              <w:jc w:val="center"/>
              <w:rPr>
                <w:rFonts w:ascii="宋体" w:hAnsi="宋体" w:eastAsia="宋体" w:cs="Times New Roman"/>
                <w:color w:val="auto"/>
              </w:rPr>
            </w:pPr>
            <w:r>
              <w:rPr>
                <w:rFonts w:ascii="宋体" w:hAnsi="宋体" w:eastAsia="宋体" w:cs="Times New Roman"/>
                <w:color w:val="auto"/>
              </w:rPr>
              <w:t>单位</w:t>
            </w:r>
          </w:p>
        </w:tc>
        <w:tc>
          <w:tcPr>
            <w:tcW w:w="488" w:type="pct"/>
            <w:vAlign w:val="center"/>
          </w:tcPr>
          <w:p w14:paraId="363BE355">
            <w:pPr>
              <w:spacing w:line="360" w:lineRule="exact"/>
              <w:jc w:val="center"/>
              <w:rPr>
                <w:rFonts w:ascii="宋体" w:hAnsi="宋体" w:eastAsia="宋体" w:cs="Times New Roman"/>
                <w:color w:val="auto"/>
              </w:rPr>
            </w:pPr>
            <w:r>
              <w:rPr>
                <w:rFonts w:ascii="宋体" w:hAnsi="宋体" w:eastAsia="宋体" w:cs="Times New Roman"/>
                <w:color w:val="auto"/>
              </w:rPr>
              <w:t>μg/m</w:t>
            </w:r>
            <w:r>
              <w:rPr>
                <w:rFonts w:ascii="宋体" w:hAnsi="宋体" w:eastAsia="宋体" w:cs="Times New Roman"/>
                <w:color w:val="auto"/>
                <w:vertAlign w:val="superscript"/>
              </w:rPr>
              <w:t>3</w:t>
            </w:r>
          </w:p>
        </w:tc>
        <w:tc>
          <w:tcPr>
            <w:tcW w:w="548" w:type="pct"/>
            <w:vAlign w:val="center"/>
          </w:tcPr>
          <w:p w14:paraId="328D027B">
            <w:pPr>
              <w:spacing w:line="360" w:lineRule="exact"/>
              <w:jc w:val="center"/>
              <w:rPr>
                <w:rFonts w:ascii="宋体" w:hAnsi="宋体" w:eastAsia="宋体" w:cs="Times New Roman"/>
                <w:color w:val="auto"/>
              </w:rPr>
            </w:pPr>
            <w:r>
              <w:rPr>
                <w:rFonts w:ascii="宋体" w:hAnsi="宋体" w:eastAsia="宋体" w:cs="Times New Roman"/>
                <w:color w:val="auto"/>
              </w:rPr>
              <w:t>μg/m</w:t>
            </w:r>
            <w:r>
              <w:rPr>
                <w:rFonts w:ascii="宋体" w:hAnsi="宋体" w:eastAsia="宋体" w:cs="Times New Roman"/>
                <w:color w:val="auto"/>
                <w:vertAlign w:val="superscript"/>
              </w:rPr>
              <w:t>3</w:t>
            </w:r>
          </w:p>
        </w:tc>
        <w:tc>
          <w:tcPr>
            <w:tcW w:w="466" w:type="pct"/>
            <w:vAlign w:val="center"/>
          </w:tcPr>
          <w:p w14:paraId="66A4F0EA">
            <w:pPr>
              <w:spacing w:line="360" w:lineRule="exact"/>
              <w:jc w:val="center"/>
              <w:rPr>
                <w:rFonts w:ascii="宋体" w:hAnsi="宋体" w:eastAsia="宋体" w:cs="Times New Roman"/>
                <w:color w:val="auto"/>
              </w:rPr>
            </w:pPr>
            <w:r>
              <w:rPr>
                <w:rFonts w:ascii="宋体" w:hAnsi="宋体" w:eastAsia="宋体" w:cs="Times New Roman"/>
                <w:color w:val="auto"/>
              </w:rPr>
              <w:t>μg/m</w:t>
            </w:r>
            <w:r>
              <w:rPr>
                <w:rFonts w:ascii="宋体" w:hAnsi="宋体" w:eastAsia="宋体" w:cs="Times New Roman"/>
                <w:color w:val="auto"/>
                <w:vertAlign w:val="superscript"/>
              </w:rPr>
              <w:t>3</w:t>
            </w:r>
          </w:p>
        </w:tc>
        <w:tc>
          <w:tcPr>
            <w:tcW w:w="401" w:type="pct"/>
            <w:vAlign w:val="center"/>
          </w:tcPr>
          <w:p w14:paraId="60BB1EBE">
            <w:pPr>
              <w:spacing w:line="360" w:lineRule="exact"/>
              <w:jc w:val="center"/>
              <w:rPr>
                <w:rFonts w:ascii="宋体" w:hAnsi="宋体" w:eastAsia="宋体" w:cs="Times New Roman"/>
                <w:color w:val="auto"/>
              </w:rPr>
            </w:pPr>
            <w:r>
              <w:rPr>
                <w:rFonts w:ascii="宋体" w:hAnsi="宋体" w:eastAsia="宋体" w:cs="Times New Roman"/>
                <w:color w:val="auto"/>
              </w:rPr>
              <w:t>μg/m</w:t>
            </w:r>
            <w:r>
              <w:rPr>
                <w:rFonts w:ascii="宋体" w:hAnsi="宋体" w:eastAsia="宋体" w:cs="Times New Roman"/>
                <w:color w:val="auto"/>
                <w:vertAlign w:val="superscript"/>
              </w:rPr>
              <w:t>3</w:t>
            </w:r>
          </w:p>
        </w:tc>
        <w:tc>
          <w:tcPr>
            <w:tcW w:w="401" w:type="pct"/>
            <w:vAlign w:val="center"/>
          </w:tcPr>
          <w:p w14:paraId="059741C8">
            <w:pPr>
              <w:spacing w:line="360" w:lineRule="exact"/>
              <w:jc w:val="center"/>
              <w:rPr>
                <w:rFonts w:ascii="宋体" w:hAnsi="宋体" w:eastAsia="宋体" w:cs="Times New Roman"/>
                <w:color w:val="auto"/>
              </w:rPr>
            </w:pPr>
            <w:r>
              <w:rPr>
                <w:rFonts w:ascii="宋体" w:hAnsi="宋体" w:eastAsia="宋体" w:cs="Times New Roman"/>
                <w:color w:val="auto"/>
              </w:rPr>
              <w:t>μg/m</w:t>
            </w:r>
            <w:r>
              <w:rPr>
                <w:rFonts w:ascii="宋体" w:hAnsi="宋体" w:eastAsia="宋体" w:cs="Times New Roman"/>
                <w:color w:val="auto"/>
                <w:vertAlign w:val="superscript"/>
              </w:rPr>
              <w:t>3</w:t>
            </w:r>
          </w:p>
        </w:tc>
        <w:tc>
          <w:tcPr>
            <w:tcW w:w="401" w:type="pct"/>
            <w:vAlign w:val="center"/>
          </w:tcPr>
          <w:p w14:paraId="16C35892">
            <w:pPr>
              <w:spacing w:line="360" w:lineRule="exact"/>
              <w:jc w:val="center"/>
              <w:rPr>
                <w:rFonts w:ascii="宋体" w:hAnsi="宋体" w:eastAsia="宋体" w:cs="Times New Roman"/>
                <w:color w:val="auto"/>
              </w:rPr>
            </w:pPr>
            <w:r>
              <w:rPr>
                <w:rFonts w:ascii="宋体" w:hAnsi="宋体" w:eastAsia="宋体" w:cs="Times New Roman"/>
                <w:color w:val="auto"/>
              </w:rPr>
              <w:t>μg/m</w:t>
            </w:r>
            <w:r>
              <w:rPr>
                <w:rFonts w:ascii="宋体" w:hAnsi="宋体" w:eastAsia="宋体" w:cs="Times New Roman"/>
                <w:color w:val="auto"/>
                <w:vertAlign w:val="superscript"/>
              </w:rPr>
              <w:t>3</w:t>
            </w:r>
          </w:p>
        </w:tc>
        <w:tc>
          <w:tcPr>
            <w:tcW w:w="429" w:type="pct"/>
            <w:vAlign w:val="center"/>
          </w:tcPr>
          <w:p w14:paraId="5F299461">
            <w:pPr>
              <w:spacing w:line="360" w:lineRule="exact"/>
              <w:jc w:val="center"/>
              <w:rPr>
                <w:rFonts w:ascii="宋体" w:hAnsi="宋体" w:eastAsia="宋体" w:cs="Times New Roman"/>
                <w:color w:val="auto"/>
              </w:rPr>
            </w:pPr>
            <w:r>
              <w:rPr>
                <w:rFonts w:ascii="宋体" w:hAnsi="宋体" w:eastAsia="宋体" w:cs="Times New Roman"/>
                <w:color w:val="auto"/>
              </w:rPr>
              <w:t>mg/m</w:t>
            </w:r>
            <w:r>
              <w:rPr>
                <w:rFonts w:ascii="宋体" w:hAnsi="宋体" w:eastAsia="宋体" w:cs="Times New Roman"/>
                <w:color w:val="auto"/>
                <w:vertAlign w:val="superscript"/>
              </w:rPr>
              <w:t>3</w:t>
            </w:r>
          </w:p>
        </w:tc>
        <w:tc>
          <w:tcPr>
            <w:tcW w:w="401" w:type="pct"/>
            <w:vAlign w:val="center"/>
          </w:tcPr>
          <w:p w14:paraId="592E480B">
            <w:pPr>
              <w:spacing w:line="360" w:lineRule="exact"/>
              <w:jc w:val="center"/>
              <w:rPr>
                <w:rFonts w:ascii="宋体" w:hAnsi="宋体" w:eastAsia="宋体" w:cs="Times New Roman"/>
                <w:color w:val="auto"/>
              </w:rPr>
            </w:pPr>
            <w:r>
              <w:rPr>
                <w:rFonts w:ascii="宋体" w:hAnsi="宋体" w:eastAsia="宋体" w:cs="Times New Roman"/>
                <w:color w:val="auto"/>
              </w:rPr>
              <w:t>μg/m</w:t>
            </w:r>
            <w:r>
              <w:rPr>
                <w:rFonts w:ascii="宋体" w:hAnsi="宋体" w:eastAsia="宋体" w:cs="Times New Roman"/>
                <w:color w:val="auto"/>
                <w:vertAlign w:val="superscript"/>
              </w:rPr>
              <w:t>3</w:t>
            </w:r>
          </w:p>
        </w:tc>
      </w:tr>
      <w:tr w14:paraId="23D6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pct"/>
            <w:vMerge w:val="restart"/>
            <w:vAlign w:val="center"/>
          </w:tcPr>
          <w:p w14:paraId="02DCFF79">
            <w:pPr>
              <w:spacing w:line="360" w:lineRule="exact"/>
              <w:jc w:val="center"/>
              <w:rPr>
                <w:rFonts w:ascii="宋体" w:hAnsi="宋体" w:eastAsia="宋体" w:cs="Times New Roman"/>
                <w:color w:val="auto"/>
              </w:rPr>
            </w:pPr>
            <w:r>
              <w:rPr>
                <w:rFonts w:ascii="宋体" w:hAnsi="宋体" w:eastAsia="宋体" w:cs="Times New Roman"/>
                <w:color w:val="auto"/>
              </w:rPr>
              <w:t>（GB3095-2012）中二级浓度限值</w:t>
            </w:r>
          </w:p>
        </w:tc>
        <w:tc>
          <w:tcPr>
            <w:tcW w:w="735" w:type="pct"/>
            <w:vAlign w:val="center"/>
          </w:tcPr>
          <w:p w14:paraId="73417835">
            <w:pPr>
              <w:spacing w:line="360" w:lineRule="exact"/>
              <w:jc w:val="center"/>
              <w:rPr>
                <w:rFonts w:ascii="宋体" w:hAnsi="宋体" w:eastAsia="宋体" w:cs="Times New Roman"/>
                <w:color w:val="auto"/>
              </w:rPr>
            </w:pPr>
            <w:r>
              <w:rPr>
                <w:rFonts w:ascii="宋体" w:hAnsi="宋体" w:eastAsia="宋体" w:cs="Times New Roman"/>
                <w:color w:val="auto"/>
              </w:rPr>
              <w:t>年平均</w:t>
            </w:r>
          </w:p>
        </w:tc>
        <w:tc>
          <w:tcPr>
            <w:tcW w:w="488" w:type="pct"/>
            <w:vAlign w:val="center"/>
          </w:tcPr>
          <w:p w14:paraId="31AD6C63">
            <w:pPr>
              <w:spacing w:line="360" w:lineRule="exact"/>
              <w:jc w:val="center"/>
              <w:rPr>
                <w:rFonts w:ascii="宋体" w:hAnsi="宋体" w:eastAsia="宋体" w:cs="Times New Roman"/>
                <w:color w:val="auto"/>
              </w:rPr>
            </w:pPr>
            <w:r>
              <w:rPr>
                <w:rFonts w:ascii="宋体" w:hAnsi="宋体" w:eastAsia="宋体" w:cs="Times New Roman"/>
                <w:color w:val="auto"/>
              </w:rPr>
              <w:t>200</w:t>
            </w:r>
          </w:p>
        </w:tc>
        <w:tc>
          <w:tcPr>
            <w:tcW w:w="548" w:type="pct"/>
            <w:vAlign w:val="center"/>
          </w:tcPr>
          <w:p w14:paraId="6523E85B">
            <w:pPr>
              <w:spacing w:line="360" w:lineRule="exact"/>
              <w:jc w:val="center"/>
              <w:rPr>
                <w:rFonts w:ascii="宋体" w:hAnsi="宋体" w:eastAsia="宋体" w:cs="Times New Roman"/>
                <w:color w:val="auto"/>
              </w:rPr>
            </w:pPr>
            <w:r>
              <w:rPr>
                <w:rFonts w:ascii="宋体" w:hAnsi="宋体" w:eastAsia="宋体" w:cs="Times New Roman"/>
                <w:color w:val="auto"/>
              </w:rPr>
              <w:t>50</w:t>
            </w:r>
          </w:p>
        </w:tc>
        <w:tc>
          <w:tcPr>
            <w:tcW w:w="466" w:type="pct"/>
            <w:vAlign w:val="center"/>
          </w:tcPr>
          <w:p w14:paraId="2D95D575">
            <w:pPr>
              <w:spacing w:line="360" w:lineRule="exact"/>
              <w:jc w:val="center"/>
              <w:rPr>
                <w:rFonts w:ascii="宋体" w:hAnsi="宋体" w:eastAsia="宋体" w:cs="Times New Roman"/>
                <w:color w:val="auto"/>
              </w:rPr>
            </w:pPr>
            <w:r>
              <w:rPr>
                <w:rFonts w:ascii="宋体" w:hAnsi="宋体" w:eastAsia="宋体" w:cs="Times New Roman"/>
                <w:color w:val="auto"/>
              </w:rPr>
              <w:t>70</w:t>
            </w:r>
          </w:p>
        </w:tc>
        <w:tc>
          <w:tcPr>
            <w:tcW w:w="401" w:type="pct"/>
            <w:vAlign w:val="center"/>
          </w:tcPr>
          <w:p w14:paraId="682AC0A5">
            <w:pPr>
              <w:spacing w:line="360" w:lineRule="exact"/>
              <w:jc w:val="center"/>
              <w:rPr>
                <w:rFonts w:ascii="宋体" w:hAnsi="宋体" w:eastAsia="宋体" w:cs="Times New Roman"/>
                <w:color w:val="auto"/>
              </w:rPr>
            </w:pPr>
            <w:r>
              <w:rPr>
                <w:rFonts w:ascii="宋体" w:hAnsi="宋体" w:eastAsia="宋体" w:cs="Times New Roman"/>
                <w:color w:val="auto"/>
              </w:rPr>
              <w:t>35</w:t>
            </w:r>
          </w:p>
        </w:tc>
        <w:tc>
          <w:tcPr>
            <w:tcW w:w="401" w:type="pct"/>
            <w:vAlign w:val="center"/>
          </w:tcPr>
          <w:p w14:paraId="4B2D5D4C">
            <w:pPr>
              <w:spacing w:line="360" w:lineRule="exact"/>
              <w:jc w:val="center"/>
              <w:rPr>
                <w:rFonts w:ascii="宋体" w:hAnsi="宋体" w:eastAsia="宋体" w:cs="Times New Roman"/>
                <w:color w:val="auto"/>
              </w:rPr>
            </w:pPr>
            <w:r>
              <w:rPr>
                <w:rFonts w:ascii="宋体" w:hAnsi="宋体" w:eastAsia="宋体" w:cs="Times New Roman"/>
                <w:color w:val="auto"/>
              </w:rPr>
              <w:t>60</w:t>
            </w:r>
          </w:p>
        </w:tc>
        <w:tc>
          <w:tcPr>
            <w:tcW w:w="401" w:type="pct"/>
            <w:vAlign w:val="center"/>
          </w:tcPr>
          <w:p w14:paraId="266100E8">
            <w:pPr>
              <w:spacing w:line="360" w:lineRule="exact"/>
              <w:jc w:val="center"/>
              <w:rPr>
                <w:rFonts w:ascii="宋体" w:hAnsi="宋体" w:eastAsia="宋体" w:cs="Times New Roman"/>
                <w:color w:val="auto"/>
              </w:rPr>
            </w:pPr>
            <w:r>
              <w:rPr>
                <w:rFonts w:ascii="宋体" w:hAnsi="宋体" w:eastAsia="宋体" w:cs="Times New Roman"/>
                <w:color w:val="auto"/>
              </w:rPr>
              <w:t>40</w:t>
            </w:r>
          </w:p>
        </w:tc>
        <w:tc>
          <w:tcPr>
            <w:tcW w:w="429" w:type="pct"/>
            <w:vAlign w:val="center"/>
          </w:tcPr>
          <w:p w14:paraId="726C8504">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401" w:type="pct"/>
            <w:vAlign w:val="center"/>
          </w:tcPr>
          <w:p w14:paraId="4837E842">
            <w:pPr>
              <w:spacing w:line="360" w:lineRule="exact"/>
              <w:jc w:val="center"/>
              <w:rPr>
                <w:rFonts w:ascii="宋体" w:hAnsi="宋体" w:eastAsia="宋体" w:cs="Times New Roman"/>
                <w:color w:val="auto"/>
              </w:rPr>
            </w:pPr>
          </w:p>
        </w:tc>
      </w:tr>
      <w:tr w14:paraId="266A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pct"/>
            <w:vMerge w:val="continue"/>
            <w:vAlign w:val="center"/>
          </w:tcPr>
          <w:p w14:paraId="64877626">
            <w:pPr>
              <w:spacing w:line="360" w:lineRule="exact"/>
              <w:jc w:val="center"/>
              <w:rPr>
                <w:rFonts w:ascii="宋体" w:hAnsi="宋体" w:eastAsia="宋体" w:cs="Times New Roman"/>
                <w:color w:val="auto"/>
              </w:rPr>
            </w:pPr>
          </w:p>
        </w:tc>
        <w:tc>
          <w:tcPr>
            <w:tcW w:w="735" w:type="pct"/>
            <w:vAlign w:val="center"/>
          </w:tcPr>
          <w:p w14:paraId="3BCC7449">
            <w:pPr>
              <w:spacing w:line="360" w:lineRule="exact"/>
              <w:jc w:val="center"/>
              <w:rPr>
                <w:rFonts w:ascii="宋体" w:hAnsi="宋体" w:eastAsia="宋体" w:cs="Times New Roman"/>
                <w:color w:val="auto"/>
              </w:rPr>
            </w:pPr>
            <w:r>
              <w:rPr>
                <w:rFonts w:ascii="宋体" w:hAnsi="宋体" w:eastAsia="宋体" w:cs="Times New Roman"/>
                <w:color w:val="auto"/>
              </w:rPr>
              <w:t>24小时平均</w:t>
            </w:r>
          </w:p>
        </w:tc>
        <w:tc>
          <w:tcPr>
            <w:tcW w:w="488" w:type="pct"/>
            <w:vAlign w:val="center"/>
          </w:tcPr>
          <w:p w14:paraId="2D95DE40">
            <w:pPr>
              <w:spacing w:line="360" w:lineRule="exact"/>
              <w:jc w:val="center"/>
              <w:rPr>
                <w:rFonts w:ascii="宋体" w:hAnsi="宋体" w:eastAsia="宋体" w:cs="Times New Roman"/>
                <w:color w:val="auto"/>
              </w:rPr>
            </w:pPr>
            <w:r>
              <w:rPr>
                <w:rFonts w:ascii="宋体" w:hAnsi="宋体" w:eastAsia="宋体" w:cs="Times New Roman"/>
                <w:color w:val="auto"/>
              </w:rPr>
              <w:t>300</w:t>
            </w:r>
          </w:p>
        </w:tc>
        <w:tc>
          <w:tcPr>
            <w:tcW w:w="548" w:type="pct"/>
            <w:vAlign w:val="center"/>
          </w:tcPr>
          <w:p w14:paraId="697C0CE6">
            <w:pPr>
              <w:spacing w:line="360" w:lineRule="exact"/>
              <w:jc w:val="center"/>
              <w:rPr>
                <w:rFonts w:ascii="宋体" w:hAnsi="宋体" w:eastAsia="宋体" w:cs="Times New Roman"/>
                <w:color w:val="auto"/>
              </w:rPr>
            </w:pPr>
            <w:r>
              <w:rPr>
                <w:rFonts w:ascii="宋体" w:hAnsi="宋体" w:eastAsia="宋体" w:cs="Times New Roman"/>
                <w:color w:val="auto"/>
              </w:rPr>
              <w:t>100</w:t>
            </w:r>
          </w:p>
        </w:tc>
        <w:tc>
          <w:tcPr>
            <w:tcW w:w="466" w:type="pct"/>
            <w:vAlign w:val="center"/>
          </w:tcPr>
          <w:p w14:paraId="5707B09D">
            <w:pPr>
              <w:spacing w:line="360" w:lineRule="exact"/>
              <w:jc w:val="center"/>
              <w:rPr>
                <w:rFonts w:ascii="宋体" w:hAnsi="宋体" w:eastAsia="宋体" w:cs="Times New Roman"/>
                <w:color w:val="auto"/>
              </w:rPr>
            </w:pPr>
            <w:r>
              <w:rPr>
                <w:rFonts w:ascii="宋体" w:hAnsi="宋体" w:eastAsia="宋体" w:cs="Times New Roman"/>
                <w:color w:val="auto"/>
              </w:rPr>
              <w:t>150</w:t>
            </w:r>
          </w:p>
        </w:tc>
        <w:tc>
          <w:tcPr>
            <w:tcW w:w="401" w:type="pct"/>
            <w:vAlign w:val="center"/>
          </w:tcPr>
          <w:p w14:paraId="5D0F67CD">
            <w:pPr>
              <w:spacing w:line="360" w:lineRule="exact"/>
              <w:jc w:val="center"/>
              <w:rPr>
                <w:rFonts w:ascii="宋体" w:hAnsi="宋体" w:eastAsia="宋体" w:cs="Times New Roman"/>
                <w:color w:val="auto"/>
              </w:rPr>
            </w:pPr>
            <w:r>
              <w:rPr>
                <w:rFonts w:ascii="宋体" w:hAnsi="宋体" w:eastAsia="宋体" w:cs="Times New Roman"/>
                <w:color w:val="auto"/>
              </w:rPr>
              <w:t>75</w:t>
            </w:r>
          </w:p>
        </w:tc>
        <w:tc>
          <w:tcPr>
            <w:tcW w:w="401" w:type="pct"/>
            <w:vAlign w:val="center"/>
          </w:tcPr>
          <w:p w14:paraId="330E0B79">
            <w:pPr>
              <w:spacing w:line="360" w:lineRule="exact"/>
              <w:jc w:val="center"/>
              <w:rPr>
                <w:rFonts w:ascii="宋体" w:hAnsi="宋体" w:eastAsia="宋体" w:cs="Times New Roman"/>
                <w:color w:val="auto"/>
              </w:rPr>
            </w:pPr>
            <w:r>
              <w:rPr>
                <w:rFonts w:ascii="宋体" w:hAnsi="宋体" w:eastAsia="宋体" w:cs="Times New Roman"/>
                <w:color w:val="auto"/>
              </w:rPr>
              <w:t>150</w:t>
            </w:r>
          </w:p>
        </w:tc>
        <w:tc>
          <w:tcPr>
            <w:tcW w:w="401" w:type="pct"/>
            <w:vAlign w:val="center"/>
          </w:tcPr>
          <w:p w14:paraId="3CDAFF4B">
            <w:pPr>
              <w:spacing w:line="360" w:lineRule="exact"/>
              <w:jc w:val="center"/>
              <w:rPr>
                <w:rFonts w:ascii="宋体" w:hAnsi="宋体" w:eastAsia="宋体" w:cs="Times New Roman"/>
                <w:color w:val="auto"/>
              </w:rPr>
            </w:pPr>
            <w:r>
              <w:rPr>
                <w:rFonts w:ascii="宋体" w:hAnsi="宋体" w:eastAsia="宋体" w:cs="Times New Roman"/>
                <w:color w:val="auto"/>
              </w:rPr>
              <w:t>80</w:t>
            </w:r>
          </w:p>
        </w:tc>
        <w:tc>
          <w:tcPr>
            <w:tcW w:w="429" w:type="pct"/>
            <w:vAlign w:val="center"/>
          </w:tcPr>
          <w:p w14:paraId="3880AE06">
            <w:pPr>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401" w:type="pct"/>
            <w:vAlign w:val="center"/>
          </w:tcPr>
          <w:p w14:paraId="3BA0E47C">
            <w:pPr>
              <w:spacing w:line="360" w:lineRule="exact"/>
              <w:jc w:val="center"/>
              <w:rPr>
                <w:rFonts w:ascii="宋体" w:hAnsi="宋体" w:eastAsia="宋体" w:cs="Times New Roman"/>
                <w:color w:val="auto"/>
              </w:rPr>
            </w:pPr>
          </w:p>
        </w:tc>
      </w:tr>
      <w:tr w14:paraId="58F4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pct"/>
            <w:vMerge w:val="continue"/>
            <w:vAlign w:val="center"/>
          </w:tcPr>
          <w:p w14:paraId="57359D62">
            <w:pPr>
              <w:spacing w:line="360" w:lineRule="exact"/>
              <w:jc w:val="center"/>
              <w:rPr>
                <w:rFonts w:ascii="宋体" w:hAnsi="宋体" w:eastAsia="宋体" w:cs="Times New Roman"/>
                <w:color w:val="auto"/>
              </w:rPr>
            </w:pPr>
          </w:p>
        </w:tc>
        <w:tc>
          <w:tcPr>
            <w:tcW w:w="735" w:type="pct"/>
            <w:vAlign w:val="center"/>
          </w:tcPr>
          <w:p w14:paraId="3EE3A240">
            <w:pPr>
              <w:spacing w:line="360" w:lineRule="exact"/>
              <w:jc w:val="center"/>
              <w:rPr>
                <w:rFonts w:ascii="宋体" w:hAnsi="宋体" w:eastAsia="宋体" w:cs="Times New Roman"/>
                <w:color w:val="auto"/>
              </w:rPr>
            </w:pPr>
            <w:r>
              <w:rPr>
                <w:rFonts w:ascii="宋体" w:hAnsi="宋体" w:eastAsia="宋体" w:cs="Times New Roman"/>
                <w:color w:val="auto"/>
              </w:rPr>
              <w:t>8小时平均</w:t>
            </w:r>
          </w:p>
        </w:tc>
        <w:tc>
          <w:tcPr>
            <w:tcW w:w="488" w:type="pct"/>
            <w:vAlign w:val="center"/>
          </w:tcPr>
          <w:p w14:paraId="3DD44F6F">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548" w:type="pct"/>
            <w:vAlign w:val="center"/>
          </w:tcPr>
          <w:p w14:paraId="14F83B88">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466" w:type="pct"/>
            <w:vAlign w:val="center"/>
          </w:tcPr>
          <w:p w14:paraId="12107A98">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401" w:type="pct"/>
            <w:vAlign w:val="center"/>
          </w:tcPr>
          <w:p w14:paraId="1D3BD6D0">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401" w:type="pct"/>
            <w:vAlign w:val="center"/>
          </w:tcPr>
          <w:p w14:paraId="1BACA8E1">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401" w:type="pct"/>
            <w:vAlign w:val="center"/>
          </w:tcPr>
          <w:p w14:paraId="49D785DF">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429" w:type="pct"/>
            <w:vAlign w:val="center"/>
          </w:tcPr>
          <w:p w14:paraId="6C379673">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401" w:type="pct"/>
            <w:vAlign w:val="center"/>
          </w:tcPr>
          <w:p w14:paraId="2B939CD6">
            <w:pPr>
              <w:spacing w:line="360" w:lineRule="exact"/>
              <w:jc w:val="center"/>
              <w:rPr>
                <w:rFonts w:ascii="宋体" w:hAnsi="宋体" w:eastAsia="宋体" w:cs="Times New Roman"/>
                <w:color w:val="auto"/>
              </w:rPr>
            </w:pPr>
            <w:r>
              <w:rPr>
                <w:rFonts w:ascii="宋体" w:hAnsi="宋体" w:eastAsia="宋体" w:cs="Times New Roman"/>
                <w:color w:val="auto"/>
              </w:rPr>
              <w:t>160</w:t>
            </w:r>
          </w:p>
        </w:tc>
      </w:tr>
      <w:tr w14:paraId="7D0D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0" w:type="pct"/>
            <w:vMerge w:val="continue"/>
            <w:vAlign w:val="center"/>
          </w:tcPr>
          <w:p w14:paraId="356BBA39">
            <w:pPr>
              <w:spacing w:line="360" w:lineRule="exact"/>
              <w:jc w:val="center"/>
              <w:rPr>
                <w:rFonts w:ascii="宋体" w:hAnsi="宋体" w:eastAsia="宋体" w:cs="Times New Roman"/>
                <w:color w:val="auto"/>
              </w:rPr>
            </w:pPr>
          </w:p>
        </w:tc>
        <w:tc>
          <w:tcPr>
            <w:tcW w:w="735" w:type="pct"/>
            <w:vAlign w:val="center"/>
          </w:tcPr>
          <w:p w14:paraId="00D3EA69">
            <w:pPr>
              <w:spacing w:line="360" w:lineRule="exact"/>
              <w:jc w:val="center"/>
              <w:rPr>
                <w:rFonts w:ascii="宋体" w:hAnsi="宋体" w:eastAsia="宋体" w:cs="Times New Roman"/>
                <w:color w:val="auto"/>
              </w:rPr>
            </w:pPr>
            <w:r>
              <w:rPr>
                <w:rFonts w:ascii="宋体" w:hAnsi="宋体" w:eastAsia="宋体" w:cs="Times New Roman"/>
                <w:color w:val="auto"/>
              </w:rPr>
              <w:t>1小时平均</w:t>
            </w:r>
          </w:p>
        </w:tc>
        <w:tc>
          <w:tcPr>
            <w:tcW w:w="488" w:type="pct"/>
            <w:vAlign w:val="center"/>
          </w:tcPr>
          <w:p w14:paraId="5CD47F7B">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548" w:type="pct"/>
            <w:vAlign w:val="center"/>
          </w:tcPr>
          <w:p w14:paraId="5F2B7A82">
            <w:pPr>
              <w:spacing w:line="360" w:lineRule="exact"/>
              <w:jc w:val="center"/>
              <w:rPr>
                <w:rFonts w:ascii="宋体" w:hAnsi="宋体" w:eastAsia="宋体" w:cs="Times New Roman"/>
                <w:color w:val="auto"/>
              </w:rPr>
            </w:pPr>
            <w:r>
              <w:rPr>
                <w:rFonts w:ascii="宋体" w:hAnsi="宋体" w:eastAsia="宋体" w:cs="Times New Roman"/>
                <w:color w:val="auto"/>
              </w:rPr>
              <w:t>250</w:t>
            </w:r>
          </w:p>
        </w:tc>
        <w:tc>
          <w:tcPr>
            <w:tcW w:w="466" w:type="pct"/>
            <w:vAlign w:val="center"/>
          </w:tcPr>
          <w:p w14:paraId="2207B6F4">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401" w:type="pct"/>
            <w:vAlign w:val="center"/>
          </w:tcPr>
          <w:p w14:paraId="1D026D6F">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401" w:type="pct"/>
            <w:vAlign w:val="center"/>
          </w:tcPr>
          <w:p w14:paraId="012CF70C">
            <w:pPr>
              <w:spacing w:line="360" w:lineRule="exact"/>
              <w:jc w:val="center"/>
              <w:rPr>
                <w:rFonts w:ascii="宋体" w:hAnsi="宋体" w:eastAsia="宋体" w:cs="Times New Roman"/>
                <w:color w:val="auto"/>
              </w:rPr>
            </w:pPr>
            <w:r>
              <w:rPr>
                <w:rFonts w:ascii="宋体" w:hAnsi="宋体" w:eastAsia="宋体" w:cs="Times New Roman"/>
                <w:color w:val="auto"/>
              </w:rPr>
              <w:t>500</w:t>
            </w:r>
          </w:p>
        </w:tc>
        <w:tc>
          <w:tcPr>
            <w:tcW w:w="401" w:type="pct"/>
            <w:vAlign w:val="center"/>
          </w:tcPr>
          <w:p w14:paraId="350E31EB">
            <w:pPr>
              <w:spacing w:line="360" w:lineRule="exact"/>
              <w:jc w:val="center"/>
              <w:rPr>
                <w:rFonts w:ascii="宋体" w:hAnsi="宋体" w:eastAsia="宋体" w:cs="Times New Roman"/>
                <w:color w:val="auto"/>
              </w:rPr>
            </w:pPr>
            <w:r>
              <w:rPr>
                <w:rFonts w:ascii="宋体" w:hAnsi="宋体" w:eastAsia="宋体" w:cs="Times New Roman"/>
                <w:color w:val="auto"/>
              </w:rPr>
              <w:t>200</w:t>
            </w:r>
          </w:p>
        </w:tc>
        <w:tc>
          <w:tcPr>
            <w:tcW w:w="429" w:type="pct"/>
            <w:vAlign w:val="center"/>
          </w:tcPr>
          <w:p w14:paraId="7C9DE4CD">
            <w:pPr>
              <w:spacing w:line="360" w:lineRule="exact"/>
              <w:jc w:val="center"/>
              <w:rPr>
                <w:rFonts w:ascii="宋体" w:hAnsi="宋体" w:eastAsia="宋体" w:cs="Times New Roman"/>
                <w:color w:val="auto"/>
              </w:rPr>
            </w:pPr>
            <w:r>
              <w:rPr>
                <w:rFonts w:ascii="宋体" w:hAnsi="宋体" w:eastAsia="宋体" w:cs="Times New Roman"/>
                <w:color w:val="auto"/>
              </w:rPr>
              <w:t>10</w:t>
            </w:r>
          </w:p>
        </w:tc>
        <w:tc>
          <w:tcPr>
            <w:tcW w:w="401" w:type="pct"/>
            <w:vAlign w:val="center"/>
          </w:tcPr>
          <w:p w14:paraId="505F8F69">
            <w:pPr>
              <w:spacing w:line="360" w:lineRule="exact"/>
              <w:jc w:val="center"/>
              <w:rPr>
                <w:rFonts w:ascii="宋体" w:hAnsi="宋体" w:eastAsia="宋体" w:cs="Times New Roman"/>
                <w:color w:val="auto"/>
              </w:rPr>
            </w:pPr>
            <w:r>
              <w:rPr>
                <w:rFonts w:ascii="宋体" w:hAnsi="宋体" w:eastAsia="宋体" w:cs="Times New Roman"/>
                <w:color w:val="auto"/>
              </w:rPr>
              <w:t>200</w:t>
            </w:r>
          </w:p>
        </w:tc>
      </w:tr>
    </w:tbl>
    <w:p w14:paraId="0C0DC754">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rFonts w:hAnsi="宋体" w:cs="Times New Roman"/>
          <w:color w:val="auto"/>
        </w:rPr>
        <w:t>大气污染物综合排放标准详解    单位：mg/m</w:t>
      </w:r>
      <w:r>
        <w:rPr>
          <w:rFonts w:hAnsi="宋体" w:cs="Times New Roman"/>
          <w:color w:val="auto"/>
          <w:vertAlign w:val="superscript"/>
        </w:rPr>
        <w:t>3</w:t>
      </w:r>
    </w:p>
    <w:tbl>
      <w:tblPr>
        <w:tblStyle w:val="8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2"/>
        <w:gridCol w:w="2198"/>
        <w:gridCol w:w="2390"/>
      </w:tblGrid>
      <w:tr w14:paraId="2AF6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2" w:type="dxa"/>
            <w:vAlign w:val="center"/>
          </w:tcPr>
          <w:p w14:paraId="07A4A002">
            <w:pPr>
              <w:spacing w:line="360" w:lineRule="exact"/>
              <w:jc w:val="center"/>
              <w:rPr>
                <w:rFonts w:ascii="宋体" w:hAnsi="宋体" w:eastAsia="宋体" w:cs="Times New Roman"/>
                <w:color w:val="auto"/>
              </w:rPr>
            </w:pPr>
            <w:r>
              <w:rPr>
                <w:rFonts w:ascii="宋体" w:hAnsi="宋体" w:eastAsia="宋体" w:cs="Times New Roman"/>
                <w:color w:val="auto"/>
              </w:rPr>
              <w:t>标准</w:t>
            </w:r>
          </w:p>
        </w:tc>
        <w:tc>
          <w:tcPr>
            <w:tcW w:w="2198" w:type="dxa"/>
            <w:vAlign w:val="center"/>
          </w:tcPr>
          <w:p w14:paraId="519B32EF">
            <w:pPr>
              <w:spacing w:line="360" w:lineRule="exact"/>
              <w:jc w:val="center"/>
              <w:rPr>
                <w:rFonts w:ascii="宋体" w:hAnsi="宋体" w:eastAsia="宋体" w:cs="Times New Roman"/>
                <w:color w:val="auto"/>
              </w:rPr>
            </w:pPr>
            <w:r>
              <w:rPr>
                <w:rFonts w:ascii="宋体" w:hAnsi="宋体" w:eastAsia="宋体" w:cs="Times New Roman"/>
                <w:color w:val="auto"/>
              </w:rPr>
              <w:t>污染物名称</w:t>
            </w:r>
          </w:p>
        </w:tc>
        <w:tc>
          <w:tcPr>
            <w:tcW w:w="2390" w:type="dxa"/>
            <w:vAlign w:val="center"/>
          </w:tcPr>
          <w:p w14:paraId="49FDDC3B">
            <w:pPr>
              <w:spacing w:line="360" w:lineRule="exact"/>
              <w:jc w:val="center"/>
              <w:rPr>
                <w:rFonts w:ascii="宋体" w:hAnsi="宋体" w:eastAsia="宋体" w:cs="Times New Roman"/>
                <w:color w:val="auto"/>
              </w:rPr>
            </w:pPr>
            <w:r>
              <w:rPr>
                <w:rFonts w:ascii="宋体" w:hAnsi="宋体" w:eastAsia="宋体" w:cs="Times New Roman"/>
                <w:color w:val="auto"/>
              </w:rPr>
              <w:t>最高允许浓度</w:t>
            </w:r>
          </w:p>
        </w:tc>
      </w:tr>
      <w:tr w14:paraId="0B6B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72" w:type="dxa"/>
            <w:vAlign w:val="center"/>
          </w:tcPr>
          <w:p w14:paraId="52BFCF4E">
            <w:pPr>
              <w:spacing w:line="360" w:lineRule="exact"/>
              <w:jc w:val="center"/>
              <w:rPr>
                <w:rFonts w:ascii="宋体" w:hAnsi="宋体" w:eastAsia="宋体" w:cs="Times New Roman"/>
                <w:color w:val="auto"/>
              </w:rPr>
            </w:pPr>
            <w:r>
              <w:rPr>
                <w:rFonts w:ascii="宋体" w:hAnsi="宋体" w:eastAsia="宋体" w:cs="Times New Roman"/>
                <w:color w:val="auto"/>
              </w:rPr>
              <w:t>《大气污染物综合排放标准详解》</w:t>
            </w:r>
          </w:p>
        </w:tc>
        <w:tc>
          <w:tcPr>
            <w:tcW w:w="2198" w:type="dxa"/>
            <w:vAlign w:val="center"/>
          </w:tcPr>
          <w:p w14:paraId="2380D767">
            <w:pPr>
              <w:spacing w:line="360" w:lineRule="exact"/>
              <w:jc w:val="center"/>
              <w:rPr>
                <w:rFonts w:ascii="宋体" w:hAnsi="宋体" w:eastAsia="宋体" w:cs="Times New Roman"/>
                <w:color w:val="auto"/>
              </w:rPr>
            </w:pPr>
            <w:r>
              <w:rPr>
                <w:rFonts w:ascii="宋体" w:hAnsi="宋体" w:eastAsia="宋体" w:cs="Times New Roman"/>
                <w:color w:val="auto"/>
              </w:rPr>
              <w:t>非甲烷总烃</w:t>
            </w:r>
          </w:p>
        </w:tc>
        <w:tc>
          <w:tcPr>
            <w:tcW w:w="2390" w:type="dxa"/>
            <w:vAlign w:val="center"/>
          </w:tcPr>
          <w:p w14:paraId="20D44BC2">
            <w:pPr>
              <w:spacing w:line="360" w:lineRule="exact"/>
              <w:jc w:val="center"/>
              <w:rPr>
                <w:rFonts w:ascii="宋体" w:hAnsi="宋体" w:eastAsia="宋体" w:cs="Times New Roman"/>
                <w:color w:val="auto"/>
              </w:rPr>
            </w:pPr>
            <w:r>
              <w:rPr>
                <w:rFonts w:ascii="宋体" w:hAnsi="宋体" w:eastAsia="宋体" w:cs="Times New Roman"/>
                <w:color w:val="auto"/>
              </w:rPr>
              <w:t>2.0</w:t>
            </w:r>
          </w:p>
        </w:tc>
      </w:tr>
    </w:tbl>
    <w:p w14:paraId="25E8BC7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地表水环境质量标准</w:t>
      </w:r>
    </w:p>
    <w:p w14:paraId="6C924E95">
      <w:pPr>
        <w:pStyle w:val="276"/>
        <w:widowControl w:val="0"/>
        <w:spacing w:line="440" w:lineRule="exact"/>
        <w:ind w:firstLine="480"/>
        <w:jc w:val="both"/>
        <w:rPr>
          <w:color w:val="auto"/>
          <w:kern w:val="2"/>
          <w:lang w:bidi="zh-CN"/>
        </w:rPr>
      </w:pPr>
      <w:r>
        <w:rPr>
          <w:color w:val="auto"/>
          <w:kern w:val="2"/>
          <w:lang w:bidi="zh-CN"/>
        </w:rPr>
        <w:t>项目区域附近地表水体根据</w:t>
      </w:r>
      <w:r>
        <w:rPr>
          <w:color w:val="auto"/>
          <w:kern w:val="2"/>
          <w:szCs w:val="20"/>
        </w:rPr>
        <w:t>《大庆市人民政府关于印发大庆市声环境功能区划分、大庆市环境空气质量功能区划分、大庆市地表水环境功能区划分的通知》（庆政发[2019]11号）</w:t>
      </w:r>
      <w:r>
        <w:rPr>
          <w:color w:val="auto"/>
          <w:kern w:val="2"/>
          <w:lang w:bidi="zh-CN"/>
        </w:rPr>
        <w:t>，以上地表水体均无环境功能区划，不执行《地表水环境质量标准》（</w:t>
      </w:r>
      <w:r>
        <w:rPr>
          <w:snapToGrid w:val="0"/>
          <w:color w:val="auto"/>
        </w:rPr>
        <w:t>GB3838</w:t>
      </w:r>
      <w:r>
        <w:rPr>
          <w:color w:val="auto"/>
          <w:kern w:val="2"/>
          <w:lang w:bidi="zh-CN"/>
        </w:rPr>
        <w:t>-2002）。</w:t>
      </w:r>
    </w:p>
    <w:p w14:paraId="43DD9CE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地下水质量标准</w:t>
      </w:r>
    </w:p>
    <w:p w14:paraId="27D9C7B4">
      <w:pPr>
        <w:pStyle w:val="276"/>
        <w:widowControl w:val="0"/>
        <w:spacing w:line="440" w:lineRule="exact"/>
        <w:ind w:firstLine="480"/>
        <w:jc w:val="both"/>
        <w:rPr>
          <w:color w:val="auto"/>
        </w:rPr>
      </w:pPr>
      <w:r>
        <w:rPr>
          <w:color w:val="auto"/>
          <w:kern w:val="2"/>
        </w:rPr>
        <w:t>根据调查，评价区域地下水使用功能为农业灌溉用水、牲畜用水及村民饮用水，地下水质量执行</w:t>
      </w:r>
      <w:r>
        <w:rPr>
          <w:snapToGrid w:val="0"/>
          <w:color w:val="auto"/>
        </w:rPr>
        <w:t>《地下水质量标准》</w:t>
      </w:r>
      <w:r>
        <w:rPr>
          <w:color w:val="auto"/>
          <w:kern w:val="2"/>
        </w:rPr>
        <w:t>（GB/T14848-2017）III类标准，石油类参考执行《地表水环境质量标准》（GB3838-2002）表1中的II类标准限值要求。</w:t>
      </w:r>
    </w:p>
    <w:p w14:paraId="68CF002E">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r>
        <w:rPr>
          <w:rFonts w:hAnsi="宋体" w:cs="Times New Roman"/>
          <w:color w:val="auto"/>
        </w:rPr>
        <w:t xml:space="preserve">  地下水质量标准</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2938"/>
        <w:gridCol w:w="3213"/>
      </w:tblGrid>
      <w:tr w14:paraId="1E39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l2br w:val="single" w:color="auto" w:sz="4" w:space="0"/>
            </w:tcBorders>
            <w:shd w:val="clear" w:color="auto" w:fill="auto"/>
            <w:vAlign w:val="center"/>
          </w:tcPr>
          <w:p w14:paraId="6846E2F7">
            <w:pPr>
              <w:jc w:val="center"/>
              <w:rPr>
                <w:rFonts w:ascii="宋体" w:hAnsi="宋体" w:eastAsia="宋体" w:cs="Times New Roman"/>
                <w:color w:val="auto"/>
              </w:rPr>
            </w:pPr>
            <w:r>
              <w:rPr>
                <w:rFonts w:ascii="宋体" w:hAnsi="宋体" w:eastAsia="宋体" w:cs="Times New Roman"/>
                <w:color w:val="auto"/>
              </w:rPr>
              <w:t xml:space="preserve">          类别</w:t>
            </w:r>
          </w:p>
          <w:p w14:paraId="027DFA0C">
            <w:pPr>
              <w:ind w:firstLine="840" w:firstLineChars="400"/>
              <w:jc w:val="center"/>
              <w:rPr>
                <w:rFonts w:ascii="宋体" w:hAnsi="宋体" w:eastAsia="宋体" w:cs="Times New Roman"/>
                <w:color w:val="auto"/>
              </w:rPr>
            </w:pPr>
            <w:r>
              <w:rPr>
                <w:rFonts w:ascii="宋体" w:hAnsi="宋体" w:eastAsia="宋体" w:cs="Times New Roman"/>
                <w:color w:val="auto"/>
              </w:rPr>
              <w:t>项目</w:t>
            </w:r>
          </w:p>
        </w:tc>
        <w:tc>
          <w:tcPr>
            <w:tcW w:w="1582" w:type="pct"/>
            <w:shd w:val="clear" w:color="auto" w:fill="auto"/>
            <w:vAlign w:val="center"/>
          </w:tcPr>
          <w:p w14:paraId="35EE4972">
            <w:pPr>
              <w:jc w:val="center"/>
              <w:rPr>
                <w:rFonts w:ascii="宋体" w:hAnsi="宋体" w:eastAsia="宋体" w:cs="Times New Roman"/>
                <w:color w:val="auto"/>
              </w:rPr>
            </w:pPr>
            <w:r>
              <w:rPr>
                <w:rFonts w:ascii="宋体" w:hAnsi="宋体" w:eastAsia="宋体" w:cs="Times New Roman"/>
                <w:color w:val="auto"/>
              </w:rPr>
              <w:t>标准</w:t>
            </w:r>
          </w:p>
        </w:tc>
        <w:tc>
          <w:tcPr>
            <w:tcW w:w="1730" w:type="pct"/>
            <w:shd w:val="clear" w:color="auto" w:fill="auto"/>
            <w:vAlign w:val="center"/>
          </w:tcPr>
          <w:p w14:paraId="11845EE7">
            <w:pPr>
              <w:jc w:val="center"/>
              <w:rPr>
                <w:rFonts w:ascii="宋体" w:hAnsi="宋体" w:eastAsia="宋体" w:cs="Times New Roman"/>
                <w:color w:val="auto"/>
              </w:rPr>
            </w:pPr>
            <w:r>
              <w:rPr>
                <w:rFonts w:ascii="宋体" w:hAnsi="宋体" w:eastAsia="宋体" w:cs="Times New Roman"/>
                <w:color w:val="auto"/>
              </w:rPr>
              <w:t>标准来源</w:t>
            </w:r>
          </w:p>
        </w:tc>
      </w:tr>
      <w:tr w14:paraId="3893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2135665F">
            <w:pPr>
              <w:jc w:val="center"/>
              <w:rPr>
                <w:rFonts w:ascii="宋体" w:hAnsi="宋体" w:eastAsia="宋体" w:cs="Times New Roman"/>
                <w:color w:val="auto"/>
              </w:rPr>
            </w:pPr>
            <w:r>
              <w:rPr>
                <w:rFonts w:ascii="宋体" w:hAnsi="宋体" w:eastAsia="宋体" w:cs="Times New Roman"/>
                <w:color w:val="auto"/>
              </w:rPr>
              <w:t>pH</w:t>
            </w:r>
          </w:p>
        </w:tc>
        <w:tc>
          <w:tcPr>
            <w:tcW w:w="1582" w:type="pct"/>
            <w:shd w:val="clear" w:color="auto" w:fill="auto"/>
            <w:vAlign w:val="center"/>
          </w:tcPr>
          <w:p w14:paraId="18A4FB84">
            <w:pPr>
              <w:jc w:val="center"/>
              <w:rPr>
                <w:rFonts w:ascii="宋体" w:hAnsi="宋体" w:eastAsia="宋体" w:cs="Times New Roman"/>
                <w:color w:val="auto"/>
              </w:rPr>
            </w:pPr>
            <w:r>
              <w:rPr>
                <w:rFonts w:ascii="宋体" w:hAnsi="宋体" w:eastAsia="宋体" w:cs="Times New Roman"/>
                <w:color w:val="auto"/>
              </w:rPr>
              <w:t>6.5～8.5（无纲量）</w:t>
            </w:r>
          </w:p>
        </w:tc>
        <w:tc>
          <w:tcPr>
            <w:tcW w:w="1730" w:type="pct"/>
            <w:vMerge w:val="restart"/>
            <w:shd w:val="clear" w:color="auto" w:fill="auto"/>
            <w:vAlign w:val="center"/>
          </w:tcPr>
          <w:p w14:paraId="0C51C8DA">
            <w:pPr>
              <w:jc w:val="center"/>
              <w:rPr>
                <w:rFonts w:ascii="宋体" w:hAnsi="宋体" w:eastAsia="宋体" w:cs="Times New Roman"/>
                <w:color w:val="auto"/>
              </w:rPr>
            </w:pPr>
            <w:r>
              <w:rPr>
                <w:rFonts w:ascii="宋体" w:hAnsi="宋体" w:eastAsia="宋体" w:cs="Times New Roman"/>
                <w:color w:val="auto"/>
              </w:rPr>
              <w:t>《地下水质量标准》（GB/T14848-2017）中Ⅲ类标准</w:t>
            </w:r>
          </w:p>
        </w:tc>
      </w:tr>
      <w:tr w14:paraId="5517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7E8482D9">
            <w:pPr>
              <w:jc w:val="center"/>
              <w:rPr>
                <w:rFonts w:ascii="宋体" w:hAnsi="宋体" w:eastAsia="宋体" w:cs="Times New Roman"/>
                <w:color w:val="auto"/>
              </w:rPr>
            </w:pPr>
            <w:r>
              <w:rPr>
                <w:rFonts w:ascii="宋体" w:hAnsi="宋体" w:eastAsia="宋体" w:cs="Times New Roman"/>
                <w:color w:val="auto"/>
              </w:rPr>
              <w:t>氨氮（mg/L）</w:t>
            </w:r>
          </w:p>
        </w:tc>
        <w:tc>
          <w:tcPr>
            <w:tcW w:w="1582" w:type="pct"/>
            <w:shd w:val="clear" w:color="auto" w:fill="auto"/>
            <w:vAlign w:val="center"/>
          </w:tcPr>
          <w:p w14:paraId="3C9CB213">
            <w:pPr>
              <w:jc w:val="center"/>
              <w:rPr>
                <w:rFonts w:ascii="宋体" w:hAnsi="宋体" w:eastAsia="宋体" w:cs="Times New Roman"/>
                <w:color w:val="auto"/>
              </w:rPr>
            </w:pPr>
            <w:r>
              <w:rPr>
                <w:rFonts w:ascii="宋体" w:hAnsi="宋体" w:eastAsia="宋体" w:cs="Times New Roman"/>
                <w:color w:val="auto"/>
              </w:rPr>
              <w:t>≤0.5</w:t>
            </w:r>
          </w:p>
        </w:tc>
        <w:tc>
          <w:tcPr>
            <w:tcW w:w="1730" w:type="pct"/>
            <w:vMerge w:val="continue"/>
            <w:shd w:val="clear" w:color="auto" w:fill="auto"/>
            <w:vAlign w:val="center"/>
          </w:tcPr>
          <w:p w14:paraId="62684476">
            <w:pPr>
              <w:jc w:val="center"/>
              <w:rPr>
                <w:rFonts w:ascii="宋体" w:hAnsi="宋体" w:eastAsia="宋体" w:cs="Times New Roman"/>
                <w:color w:val="auto"/>
              </w:rPr>
            </w:pPr>
          </w:p>
        </w:tc>
      </w:tr>
      <w:tr w14:paraId="41CC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7CE19F7A">
            <w:pPr>
              <w:jc w:val="center"/>
              <w:rPr>
                <w:rFonts w:ascii="宋体" w:hAnsi="宋体" w:eastAsia="宋体" w:cs="Times New Roman"/>
                <w:color w:val="auto"/>
              </w:rPr>
            </w:pPr>
            <w:r>
              <w:rPr>
                <w:rFonts w:ascii="宋体" w:hAnsi="宋体" w:eastAsia="宋体" w:cs="Times New Roman"/>
                <w:color w:val="auto"/>
              </w:rPr>
              <w:t>硝酸盐(以N计)（mg/L）</w:t>
            </w:r>
          </w:p>
        </w:tc>
        <w:tc>
          <w:tcPr>
            <w:tcW w:w="1582" w:type="pct"/>
            <w:shd w:val="clear" w:color="auto" w:fill="auto"/>
            <w:vAlign w:val="center"/>
          </w:tcPr>
          <w:p w14:paraId="76AFF99D">
            <w:pPr>
              <w:jc w:val="center"/>
              <w:rPr>
                <w:rFonts w:ascii="宋体" w:hAnsi="宋体" w:eastAsia="宋体" w:cs="Times New Roman"/>
                <w:color w:val="auto"/>
              </w:rPr>
            </w:pPr>
            <w:r>
              <w:rPr>
                <w:rFonts w:ascii="宋体" w:hAnsi="宋体" w:eastAsia="宋体" w:cs="Times New Roman"/>
                <w:color w:val="auto"/>
              </w:rPr>
              <w:t>≤20</w:t>
            </w:r>
          </w:p>
        </w:tc>
        <w:tc>
          <w:tcPr>
            <w:tcW w:w="1730" w:type="pct"/>
            <w:vMerge w:val="continue"/>
            <w:shd w:val="clear" w:color="auto" w:fill="auto"/>
            <w:vAlign w:val="center"/>
          </w:tcPr>
          <w:p w14:paraId="5807E442">
            <w:pPr>
              <w:jc w:val="center"/>
              <w:rPr>
                <w:rFonts w:ascii="宋体" w:hAnsi="宋体" w:eastAsia="宋体" w:cs="Times New Roman"/>
                <w:color w:val="auto"/>
              </w:rPr>
            </w:pPr>
          </w:p>
        </w:tc>
      </w:tr>
      <w:tr w14:paraId="2F40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63D424A0">
            <w:pPr>
              <w:jc w:val="center"/>
              <w:rPr>
                <w:rFonts w:ascii="宋体" w:hAnsi="宋体" w:eastAsia="宋体" w:cs="Times New Roman"/>
                <w:color w:val="auto"/>
              </w:rPr>
            </w:pPr>
            <w:r>
              <w:rPr>
                <w:rFonts w:ascii="宋体" w:hAnsi="宋体" w:eastAsia="宋体" w:cs="Times New Roman"/>
                <w:color w:val="auto"/>
              </w:rPr>
              <w:t>亚硝酸盐(以N计)（mg/L）</w:t>
            </w:r>
          </w:p>
        </w:tc>
        <w:tc>
          <w:tcPr>
            <w:tcW w:w="1582" w:type="pct"/>
            <w:shd w:val="clear" w:color="auto" w:fill="auto"/>
            <w:vAlign w:val="center"/>
          </w:tcPr>
          <w:p w14:paraId="5C8DF9CC">
            <w:pPr>
              <w:jc w:val="center"/>
              <w:rPr>
                <w:rFonts w:ascii="宋体" w:hAnsi="宋体" w:eastAsia="宋体" w:cs="Times New Roman"/>
                <w:color w:val="auto"/>
              </w:rPr>
            </w:pPr>
            <w:r>
              <w:rPr>
                <w:rFonts w:ascii="宋体" w:hAnsi="宋体" w:eastAsia="宋体" w:cs="Times New Roman"/>
                <w:color w:val="auto"/>
              </w:rPr>
              <w:t>≤1.0</w:t>
            </w:r>
          </w:p>
        </w:tc>
        <w:tc>
          <w:tcPr>
            <w:tcW w:w="1730" w:type="pct"/>
            <w:vMerge w:val="continue"/>
            <w:shd w:val="clear" w:color="auto" w:fill="auto"/>
            <w:vAlign w:val="center"/>
          </w:tcPr>
          <w:p w14:paraId="4DB4E19F">
            <w:pPr>
              <w:jc w:val="center"/>
              <w:rPr>
                <w:rFonts w:ascii="宋体" w:hAnsi="宋体" w:eastAsia="宋体" w:cs="Times New Roman"/>
                <w:color w:val="auto"/>
              </w:rPr>
            </w:pPr>
          </w:p>
        </w:tc>
      </w:tr>
      <w:tr w14:paraId="46C5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57B34BAF">
            <w:pPr>
              <w:jc w:val="center"/>
              <w:rPr>
                <w:rFonts w:ascii="宋体" w:hAnsi="宋体" w:eastAsia="宋体" w:cs="Times New Roman"/>
                <w:color w:val="auto"/>
              </w:rPr>
            </w:pPr>
            <w:r>
              <w:rPr>
                <w:rFonts w:ascii="宋体" w:hAnsi="宋体" w:eastAsia="宋体" w:cs="Times New Roman"/>
                <w:color w:val="auto"/>
              </w:rPr>
              <w:t>挥发性酚类（mg/L）</w:t>
            </w:r>
          </w:p>
        </w:tc>
        <w:tc>
          <w:tcPr>
            <w:tcW w:w="1582" w:type="pct"/>
            <w:shd w:val="clear" w:color="auto" w:fill="auto"/>
            <w:vAlign w:val="center"/>
          </w:tcPr>
          <w:p w14:paraId="146B4A2D">
            <w:pPr>
              <w:jc w:val="center"/>
              <w:rPr>
                <w:rFonts w:ascii="宋体" w:hAnsi="宋体" w:eastAsia="宋体" w:cs="Times New Roman"/>
                <w:color w:val="auto"/>
              </w:rPr>
            </w:pPr>
            <w:r>
              <w:rPr>
                <w:rFonts w:ascii="宋体" w:hAnsi="宋体" w:eastAsia="宋体" w:cs="Times New Roman"/>
                <w:color w:val="auto"/>
              </w:rPr>
              <w:t>≤0.002</w:t>
            </w:r>
          </w:p>
        </w:tc>
        <w:tc>
          <w:tcPr>
            <w:tcW w:w="1730" w:type="pct"/>
            <w:vMerge w:val="continue"/>
            <w:shd w:val="clear" w:color="auto" w:fill="auto"/>
            <w:vAlign w:val="center"/>
          </w:tcPr>
          <w:p w14:paraId="73094C67">
            <w:pPr>
              <w:jc w:val="center"/>
              <w:rPr>
                <w:rFonts w:ascii="宋体" w:hAnsi="宋体" w:eastAsia="宋体" w:cs="Times New Roman"/>
                <w:color w:val="auto"/>
              </w:rPr>
            </w:pPr>
          </w:p>
        </w:tc>
      </w:tr>
      <w:tr w14:paraId="46B7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0F3C3172">
            <w:pPr>
              <w:jc w:val="center"/>
              <w:rPr>
                <w:rFonts w:ascii="宋体" w:hAnsi="宋体" w:eastAsia="宋体" w:cs="Times New Roman"/>
                <w:color w:val="auto"/>
              </w:rPr>
            </w:pPr>
            <w:r>
              <w:rPr>
                <w:rFonts w:ascii="宋体" w:hAnsi="宋体" w:eastAsia="宋体" w:cs="Times New Roman"/>
                <w:color w:val="auto"/>
              </w:rPr>
              <w:t>氰化物（mg/L）</w:t>
            </w:r>
          </w:p>
        </w:tc>
        <w:tc>
          <w:tcPr>
            <w:tcW w:w="1582" w:type="pct"/>
            <w:shd w:val="clear" w:color="auto" w:fill="auto"/>
            <w:vAlign w:val="center"/>
          </w:tcPr>
          <w:p w14:paraId="13419285">
            <w:pPr>
              <w:jc w:val="center"/>
              <w:rPr>
                <w:rFonts w:ascii="宋体" w:hAnsi="宋体" w:eastAsia="宋体" w:cs="Times New Roman"/>
                <w:color w:val="auto"/>
              </w:rPr>
            </w:pPr>
            <w:r>
              <w:rPr>
                <w:rFonts w:ascii="宋体" w:hAnsi="宋体" w:eastAsia="宋体" w:cs="Times New Roman"/>
                <w:color w:val="auto"/>
              </w:rPr>
              <w:t>≤0.05</w:t>
            </w:r>
          </w:p>
        </w:tc>
        <w:tc>
          <w:tcPr>
            <w:tcW w:w="1730" w:type="pct"/>
            <w:vMerge w:val="continue"/>
            <w:shd w:val="clear" w:color="auto" w:fill="auto"/>
            <w:vAlign w:val="center"/>
          </w:tcPr>
          <w:p w14:paraId="559EC352">
            <w:pPr>
              <w:jc w:val="center"/>
              <w:rPr>
                <w:rFonts w:ascii="宋体" w:hAnsi="宋体" w:eastAsia="宋体" w:cs="Times New Roman"/>
                <w:color w:val="auto"/>
              </w:rPr>
            </w:pPr>
          </w:p>
        </w:tc>
      </w:tr>
      <w:tr w14:paraId="43D2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1A112FEE">
            <w:pPr>
              <w:jc w:val="center"/>
              <w:rPr>
                <w:rFonts w:ascii="宋体" w:hAnsi="宋体" w:eastAsia="宋体" w:cs="Times New Roman"/>
                <w:color w:val="auto"/>
              </w:rPr>
            </w:pPr>
            <w:r>
              <w:rPr>
                <w:rFonts w:ascii="宋体" w:hAnsi="宋体" w:eastAsia="宋体" w:cs="Times New Roman"/>
                <w:color w:val="auto"/>
              </w:rPr>
              <w:t>砷（mg/L）</w:t>
            </w:r>
          </w:p>
        </w:tc>
        <w:tc>
          <w:tcPr>
            <w:tcW w:w="1582" w:type="pct"/>
            <w:shd w:val="clear" w:color="auto" w:fill="auto"/>
            <w:vAlign w:val="center"/>
          </w:tcPr>
          <w:p w14:paraId="20688E3C">
            <w:pPr>
              <w:jc w:val="center"/>
              <w:rPr>
                <w:rFonts w:ascii="宋体" w:hAnsi="宋体" w:eastAsia="宋体" w:cs="Times New Roman"/>
                <w:color w:val="auto"/>
              </w:rPr>
            </w:pPr>
            <w:r>
              <w:rPr>
                <w:rFonts w:ascii="宋体" w:hAnsi="宋体" w:eastAsia="宋体" w:cs="Times New Roman"/>
                <w:color w:val="auto"/>
              </w:rPr>
              <w:t>≤0.01</w:t>
            </w:r>
          </w:p>
        </w:tc>
        <w:tc>
          <w:tcPr>
            <w:tcW w:w="1730" w:type="pct"/>
            <w:vMerge w:val="continue"/>
            <w:shd w:val="clear" w:color="auto" w:fill="auto"/>
            <w:vAlign w:val="center"/>
          </w:tcPr>
          <w:p w14:paraId="6625664A">
            <w:pPr>
              <w:jc w:val="center"/>
              <w:rPr>
                <w:rFonts w:ascii="宋体" w:hAnsi="宋体" w:eastAsia="宋体" w:cs="Times New Roman"/>
                <w:color w:val="auto"/>
              </w:rPr>
            </w:pPr>
          </w:p>
        </w:tc>
      </w:tr>
      <w:tr w14:paraId="1B30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6FD16F91">
            <w:pPr>
              <w:jc w:val="center"/>
              <w:rPr>
                <w:rFonts w:ascii="宋体" w:hAnsi="宋体" w:eastAsia="宋体" w:cs="Times New Roman"/>
                <w:color w:val="auto"/>
              </w:rPr>
            </w:pPr>
            <w:r>
              <w:rPr>
                <w:rFonts w:ascii="宋体" w:hAnsi="宋体" w:eastAsia="宋体" w:cs="Times New Roman"/>
                <w:color w:val="auto"/>
              </w:rPr>
              <w:t>汞（mg/L）</w:t>
            </w:r>
          </w:p>
        </w:tc>
        <w:tc>
          <w:tcPr>
            <w:tcW w:w="1582" w:type="pct"/>
            <w:shd w:val="clear" w:color="auto" w:fill="auto"/>
            <w:vAlign w:val="center"/>
          </w:tcPr>
          <w:p w14:paraId="50B203E9">
            <w:pPr>
              <w:jc w:val="center"/>
              <w:rPr>
                <w:rFonts w:ascii="宋体" w:hAnsi="宋体" w:eastAsia="宋体" w:cs="Times New Roman"/>
                <w:color w:val="auto"/>
              </w:rPr>
            </w:pPr>
            <w:r>
              <w:rPr>
                <w:rFonts w:ascii="宋体" w:hAnsi="宋体" w:eastAsia="宋体" w:cs="Times New Roman"/>
                <w:color w:val="auto"/>
              </w:rPr>
              <w:t>≤0.001</w:t>
            </w:r>
          </w:p>
        </w:tc>
        <w:tc>
          <w:tcPr>
            <w:tcW w:w="1730" w:type="pct"/>
            <w:vMerge w:val="continue"/>
            <w:shd w:val="clear" w:color="auto" w:fill="auto"/>
            <w:vAlign w:val="center"/>
          </w:tcPr>
          <w:p w14:paraId="584CF3C2">
            <w:pPr>
              <w:jc w:val="center"/>
              <w:rPr>
                <w:rFonts w:ascii="宋体" w:hAnsi="宋体" w:eastAsia="宋体" w:cs="Times New Roman"/>
                <w:color w:val="auto"/>
              </w:rPr>
            </w:pPr>
          </w:p>
        </w:tc>
      </w:tr>
      <w:tr w14:paraId="5966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26D971CF">
            <w:pPr>
              <w:jc w:val="center"/>
              <w:rPr>
                <w:rFonts w:ascii="宋体" w:hAnsi="宋体" w:eastAsia="宋体" w:cs="Times New Roman"/>
                <w:color w:val="auto"/>
              </w:rPr>
            </w:pPr>
            <w:r>
              <w:rPr>
                <w:rFonts w:ascii="宋体" w:hAnsi="宋体" w:eastAsia="宋体" w:cs="Times New Roman"/>
                <w:color w:val="auto"/>
              </w:rPr>
              <w:t>铬（六价）（mg/L）</w:t>
            </w:r>
          </w:p>
        </w:tc>
        <w:tc>
          <w:tcPr>
            <w:tcW w:w="1582" w:type="pct"/>
            <w:shd w:val="clear" w:color="auto" w:fill="auto"/>
            <w:vAlign w:val="center"/>
          </w:tcPr>
          <w:p w14:paraId="7EEFE6B7">
            <w:pPr>
              <w:jc w:val="center"/>
              <w:rPr>
                <w:rFonts w:ascii="宋体" w:hAnsi="宋体" w:eastAsia="宋体" w:cs="Times New Roman"/>
                <w:color w:val="auto"/>
              </w:rPr>
            </w:pPr>
            <w:r>
              <w:rPr>
                <w:rFonts w:ascii="宋体" w:hAnsi="宋体" w:eastAsia="宋体" w:cs="Times New Roman"/>
                <w:color w:val="auto"/>
              </w:rPr>
              <w:t>≤0.05</w:t>
            </w:r>
          </w:p>
        </w:tc>
        <w:tc>
          <w:tcPr>
            <w:tcW w:w="1730" w:type="pct"/>
            <w:vMerge w:val="continue"/>
            <w:shd w:val="clear" w:color="auto" w:fill="auto"/>
            <w:vAlign w:val="center"/>
          </w:tcPr>
          <w:p w14:paraId="5472F67C">
            <w:pPr>
              <w:jc w:val="center"/>
              <w:rPr>
                <w:rFonts w:ascii="宋体" w:hAnsi="宋体" w:eastAsia="宋体" w:cs="Times New Roman"/>
                <w:color w:val="auto"/>
              </w:rPr>
            </w:pPr>
          </w:p>
        </w:tc>
      </w:tr>
      <w:tr w14:paraId="7E1A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5B5B4945">
            <w:pPr>
              <w:jc w:val="center"/>
              <w:rPr>
                <w:rFonts w:ascii="宋体" w:hAnsi="宋体" w:eastAsia="宋体" w:cs="Times New Roman"/>
                <w:color w:val="auto"/>
              </w:rPr>
            </w:pPr>
            <w:r>
              <w:rPr>
                <w:rFonts w:ascii="宋体" w:hAnsi="宋体" w:eastAsia="宋体" w:cs="Times New Roman"/>
                <w:color w:val="auto"/>
              </w:rPr>
              <w:t>总硬度（mg/L）</w:t>
            </w:r>
          </w:p>
        </w:tc>
        <w:tc>
          <w:tcPr>
            <w:tcW w:w="1582" w:type="pct"/>
            <w:shd w:val="clear" w:color="auto" w:fill="auto"/>
            <w:vAlign w:val="center"/>
          </w:tcPr>
          <w:p w14:paraId="5816B78D">
            <w:pPr>
              <w:jc w:val="center"/>
              <w:rPr>
                <w:rFonts w:ascii="宋体" w:hAnsi="宋体" w:eastAsia="宋体" w:cs="Times New Roman"/>
                <w:color w:val="auto"/>
              </w:rPr>
            </w:pPr>
            <w:r>
              <w:rPr>
                <w:rFonts w:ascii="宋体" w:hAnsi="宋体" w:eastAsia="宋体" w:cs="Times New Roman"/>
                <w:color w:val="auto"/>
              </w:rPr>
              <w:t>≤450</w:t>
            </w:r>
          </w:p>
        </w:tc>
        <w:tc>
          <w:tcPr>
            <w:tcW w:w="1730" w:type="pct"/>
            <w:vMerge w:val="continue"/>
            <w:shd w:val="clear" w:color="auto" w:fill="auto"/>
            <w:vAlign w:val="center"/>
          </w:tcPr>
          <w:p w14:paraId="7A8C941B">
            <w:pPr>
              <w:jc w:val="center"/>
              <w:rPr>
                <w:rFonts w:ascii="宋体" w:hAnsi="宋体" w:eastAsia="宋体" w:cs="Times New Roman"/>
                <w:color w:val="auto"/>
              </w:rPr>
            </w:pPr>
          </w:p>
        </w:tc>
      </w:tr>
      <w:tr w14:paraId="20BA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6382EDAA">
            <w:pPr>
              <w:jc w:val="center"/>
              <w:rPr>
                <w:rFonts w:ascii="宋体" w:hAnsi="宋体" w:eastAsia="宋体" w:cs="Times New Roman"/>
                <w:color w:val="auto"/>
              </w:rPr>
            </w:pPr>
            <w:r>
              <w:rPr>
                <w:rFonts w:ascii="宋体" w:hAnsi="宋体" w:eastAsia="宋体" w:cs="Times New Roman"/>
                <w:color w:val="auto"/>
              </w:rPr>
              <w:t>铅（mg/L）</w:t>
            </w:r>
          </w:p>
        </w:tc>
        <w:tc>
          <w:tcPr>
            <w:tcW w:w="1582" w:type="pct"/>
            <w:shd w:val="clear" w:color="auto" w:fill="auto"/>
            <w:vAlign w:val="center"/>
          </w:tcPr>
          <w:p w14:paraId="30E48B2B">
            <w:pPr>
              <w:jc w:val="center"/>
              <w:rPr>
                <w:rFonts w:ascii="宋体" w:hAnsi="宋体" w:eastAsia="宋体" w:cs="Times New Roman"/>
                <w:color w:val="auto"/>
              </w:rPr>
            </w:pPr>
            <w:r>
              <w:rPr>
                <w:rFonts w:ascii="宋体" w:hAnsi="宋体" w:eastAsia="宋体" w:cs="Times New Roman"/>
                <w:color w:val="auto"/>
              </w:rPr>
              <w:t>≤0.01</w:t>
            </w:r>
          </w:p>
        </w:tc>
        <w:tc>
          <w:tcPr>
            <w:tcW w:w="1730" w:type="pct"/>
            <w:vMerge w:val="continue"/>
            <w:shd w:val="clear" w:color="auto" w:fill="auto"/>
            <w:vAlign w:val="center"/>
          </w:tcPr>
          <w:p w14:paraId="4ABBC67D">
            <w:pPr>
              <w:jc w:val="center"/>
              <w:rPr>
                <w:rFonts w:ascii="宋体" w:hAnsi="宋体" w:eastAsia="宋体" w:cs="Times New Roman"/>
                <w:color w:val="auto"/>
              </w:rPr>
            </w:pPr>
          </w:p>
        </w:tc>
      </w:tr>
      <w:tr w14:paraId="0AED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2F35B552">
            <w:pPr>
              <w:jc w:val="center"/>
              <w:rPr>
                <w:rFonts w:ascii="宋体" w:hAnsi="宋体" w:eastAsia="宋体" w:cs="Times New Roman"/>
                <w:color w:val="auto"/>
              </w:rPr>
            </w:pPr>
            <w:r>
              <w:rPr>
                <w:rFonts w:ascii="宋体" w:hAnsi="宋体" w:eastAsia="宋体" w:cs="Times New Roman"/>
                <w:color w:val="auto"/>
              </w:rPr>
              <w:t>氟化物（mg/L）</w:t>
            </w:r>
          </w:p>
        </w:tc>
        <w:tc>
          <w:tcPr>
            <w:tcW w:w="1582" w:type="pct"/>
            <w:shd w:val="clear" w:color="auto" w:fill="auto"/>
            <w:vAlign w:val="center"/>
          </w:tcPr>
          <w:p w14:paraId="3A79C529">
            <w:pPr>
              <w:jc w:val="center"/>
              <w:rPr>
                <w:rFonts w:ascii="宋体" w:hAnsi="宋体" w:eastAsia="宋体" w:cs="Times New Roman"/>
                <w:color w:val="auto"/>
              </w:rPr>
            </w:pPr>
            <w:r>
              <w:rPr>
                <w:rFonts w:ascii="宋体" w:hAnsi="宋体" w:eastAsia="宋体" w:cs="Times New Roman"/>
                <w:color w:val="auto"/>
              </w:rPr>
              <w:t>≤1.0</w:t>
            </w:r>
          </w:p>
        </w:tc>
        <w:tc>
          <w:tcPr>
            <w:tcW w:w="1730" w:type="pct"/>
            <w:vMerge w:val="continue"/>
            <w:shd w:val="clear" w:color="auto" w:fill="auto"/>
            <w:vAlign w:val="center"/>
          </w:tcPr>
          <w:p w14:paraId="6C8D7C79">
            <w:pPr>
              <w:jc w:val="center"/>
              <w:rPr>
                <w:rFonts w:ascii="宋体" w:hAnsi="宋体" w:eastAsia="宋体" w:cs="Times New Roman"/>
                <w:color w:val="auto"/>
              </w:rPr>
            </w:pPr>
          </w:p>
        </w:tc>
      </w:tr>
      <w:tr w14:paraId="1463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48ABE5A8">
            <w:pPr>
              <w:jc w:val="center"/>
              <w:rPr>
                <w:rFonts w:ascii="宋体" w:hAnsi="宋体" w:eastAsia="宋体" w:cs="Times New Roman"/>
                <w:color w:val="auto"/>
              </w:rPr>
            </w:pPr>
            <w:r>
              <w:rPr>
                <w:rFonts w:ascii="宋体" w:hAnsi="宋体" w:eastAsia="宋体" w:cs="Times New Roman"/>
                <w:color w:val="auto"/>
              </w:rPr>
              <w:t>镉（mg/L）</w:t>
            </w:r>
          </w:p>
        </w:tc>
        <w:tc>
          <w:tcPr>
            <w:tcW w:w="1582" w:type="pct"/>
            <w:shd w:val="clear" w:color="auto" w:fill="auto"/>
            <w:vAlign w:val="center"/>
          </w:tcPr>
          <w:p w14:paraId="05964609">
            <w:pPr>
              <w:jc w:val="center"/>
              <w:rPr>
                <w:rFonts w:ascii="宋体" w:hAnsi="宋体" w:eastAsia="宋体" w:cs="Times New Roman"/>
                <w:color w:val="auto"/>
              </w:rPr>
            </w:pPr>
            <w:r>
              <w:rPr>
                <w:rFonts w:ascii="宋体" w:hAnsi="宋体" w:eastAsia="宋体" w:cs="Times New Roman"/>
                <w:color w:val="auto"/>
              </w:rPr>
              <w:t>≤0.005</w:t>
            </w:r>
          </w:p>
        </w:tc>
        <w:tc>
          <w:tcPr>
            <w:tcW w:w="1730" w:type="pct"/>
            <w:vMerge w:val="continue"/>
            <w:shd w:val="clear" w:color="auto" w:fill="auto"/>
            <w:vAlign w:val="center"/>
          </w:tcPr>
          <w:p w14:paraId="71097F3D">
            <w:pPr>
              <w:jc w:val="center"/>
              <w:rPr>
                <w:rFonts w:ascii="宋体" w:hAnsi="宋体" w:eastAsia="宋体" w:cs="Times New Roman"/>
                <w:color w:val="auto"/>
              </w:rPr>
            </w:pPr>
          </w:p>
        </w:tc>
      </w:tr>
      <w:tr w14:paraId="64A9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3DE6C16E">
            <w:pPr>
              <w:jc w:val="center"/>
              <w:rPr>
                <w:rFonts w:ascii="宋体" w:hAnsi="宋体" w:eastAsia="宋体" w:cs="Times New Roman"/>
                <w:color w:val="auto"/>
              </w:rPr>
            </w:pPr>
            <w:r>
              <w:rPr>
                <w:rFonts w:ascii="宋体" w:hAnsi="宋体" w:eastAsia="宋体" w:cs="Times New Roman"/>
                <w:color w:val="auto"/>
              </w:rPr>
              <w:t>钠（mg/L）</w:t>
            </w:r>
          </w:p>
        </w:tc>
        <w:tc>
          <w:tcPr>
            <w:tcW w:w="1582" w:type="pct"/>
            <w:shd w:val="clear" w:color="auto" w:fill="auto"/>
            <w:vAlign w:val="center"/>
          </w:tcPr>
          <w:p w14:paraId="5897653D">
            <w:pPr>
              <w:jc w:val="center"/>
              <w:rPr>
                <w:rFonts w:ascii="宋体" w:hAnsi="宋体" w:eastAsia="宋体" w:cs="Times New Roman"/>
                <w:color w:val="auto"/>
              </w:rPr>
            </w:pPr>
            <w:r>
              <w:rPr>
                <w:rFonts w:ascii="宋体" w:hAnsi="宋体" w:eastAsia="宋体" w:cs="Times New Roman"/>
                <w:color w:val="auto"/>
              </w:rPr>
              <w:t>≤200</w:t>
            </w:r>
          </w:p>
        </w:tc>
        <w:tc>
          <w:tcPr>
            <w:tcW w:w="1730" w:type="pct"/>
            <w:vMerge w:val="continue"/>
            <w:shd w:val="clear" w:color="auto" w:fill="auto"/>
            <w:vAlign w:val="center"/>
          </w:tcPr>
          <w:p w14:paraId="4313AB8D">
            <w:pPr>
              <w:jc w:val="center"/>
              <w:rPr>
                <w:rFonts w:ascii="宋体" w:hAnsi="宋体" w:eastAsia="宋体" w:cs="Times New Roman"/>
                <w:color w:val="auto"/>
              </w:rPr>
            </w:pPr>
          </w:p>
        </w:tc>
      </w:tr>
      <w:tr w14:paraId="5AB8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48D4ECE7">
            <w:pPr>
              <w:jc w:val="center"/>
              <w:rPr>
                <w:rFonts w:ascii="宋体" w:hAnsi="宋体" w:eastAsia="宋体" w:cs="Times New Roman"/>
                <w:color w:val="auto"/>
              </w:rPr>
            </w:pPr>
            <w:r>
              <w:rPr>
                <w:rFonts w:ascii="宋体" w:hAnsi="宋体" w:eastAsia="宋体" w:cs="Times New Roman"/>
                <w:color w:val="auto"/>
              </w:rPr>
              <w:t>铁（mg/L）</w:t>
            </w:r>
          </w:p>
        </w:tc>
        <w:tc>
          <w:tcPr>
            <w:tcW w:w="1582" w:type="pct"/>
            <w:shd w:val="clear" w:color="auto" w:fill="auto"/>
            <w:vAlign w:val="center"/>
          </w:tcPr>
          <w:p w14:paraId="2B913D46">
            <w:pPr>
              <w:jc w:val="center"/>
              <w:rPr>
                <w:rFonts w:ascii="宋体" w:hAnsi="宋体" w:eastAsia="宋体" w:cs="Times New Roman"/>
                <w:color w:val="auto"/>
              </w:rPr>
            </w:pPr>
            <w:r>
              <w:rPr>
                <w:rFonts w:ascii="宋体" w:hAnsi="宋体" w:eastAsia="宋体" w:cs="Times New Roman"/>
                <w:color w:val="auto"/>
              </w:rPr>
              <w:t>≤0.3</w:t>
            </w:r>
          </w:p>
        </w:tc>
        <w:tc>
          <w:tcPr>
            <w:tcW w:w="1730" w:type="pct"/>
            <w:vMerge w:val="continue"/>
            <w:shd w:val="clear" w:color="auto" w:fill="auto"/>
            <w:vAlign w:val="center"/>
          </w:tcPr>
          <w:p w14:paraId="7DE87AB8">
            <w:pPr>
              <w:jc w:val="center"/>
              <w:rPr>
                <w:rFonts w:ascii="宋体" w:hAnsi="宋体" w:eastAsia="宋体" w:cs="Times New Roman"/>
                <w:color w:val="auto"/>
              </w:rPr>
            </w:pPr>
          </w:p>
        </w:tc>
      </w:tr>
      <w:tr w14:paraId="7224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04349825">
            <w:pPr>
              <w:jc w:val="center"/>
              <w:rPr>
                <w:rFonts w:ascii="宋体" w:hAnsi="宋体" w:eastAsia="宋体" w:cs="Times New Roman"/>
                <w:color w:val="auto"/>
              </w:rPr>
            </w:pPr>
            <w:r>
              <w:rPr>
                <w:rFonts w:ascii="宋体" w:hAnsi="宋体" w:eastAsia="宋体" w:cs="Times New Roman"/>
                <w:color w:val="auto"/>
              </w:rPr>
              <w:t>锰（mg/L）</w:t>
            </w:r>
          </w:p>
        </w:tc>
        <w:tc>
          <w:tcPr>
            <w:tcW w:w="1582" w:type="pct"/>
            <w:shd w:val="clear" w:color="auto" w:fill="auto"/>
            <w:vAlign w:val="center"/>
          </w:tcPr>
          <w:p w14:paraId="70BD75F1">
            <w:pPr>
              <w:jc w:val="center"/>
              <w:rPr>
                <w:rFonts w:ascii="宋体" w:hAnsi="宋体" w:eastAsia="宋体" w:cs="Times New Roman"/>
                <w:color w:val="auto"/>
              </w:rPr>
            </w:pPr>
            <w:r>
              <w:rPr>
                <w:rFonts w:ascii="宋体" w:hAnsi="宋体" w:eastAsia="宋体" w:cs="Times New Roman"/>
                <w:color w:val="auto"/>
              </w:rPr>
              <w:t>≤0.1</w:t>
            </w:r>
          </w:p>
        </w:tc>
        <w:tc>
          <w:tcPr>
            <w:tcW w:w="1730" w:type="pct"/>
            <w:vMerge w:val="continue"/>
            <w:shd w:val="clear" w:color="auto" w:fill="auto"/>
            <w:vAlign w:val="center"/>
          </w:tcPr>
          <w:p w14:paraId="2F6288BA">
            <w:pPr>
              <w:jc w:val="center"/>
              <w:rPr>
                <w:rFonts w:ascii="宋体" w:hAnsi="宋体" w:eastAsia="宋体" w:cs="Times New Roman"/>
                <w:color w:val="auto"/>
              </w:rPr>
            </w:pPr>
          </w:p>
        </w:tc>
      </w:tr>
      <w:tr w14:paraId="719F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6B9BF36C">
            <w:pPr>
              <w:jc w:val="center"/>
              <w:rPr>
                <w:rFonts w:ascii="宋体" w:hAnsi="宋体" w:eastAsia="宋体" w:cs="Times New Roman"/>
                <w:color w:val="auto"/>
              </w:rPr>
            </w:pPr>
            <w:r>
              <w:rPr>
                <w:rFonts w:ascii="宋体" w:hAnsi="宋体" w:eastAsia="宋体" w:cs="Times New Roman"/>
                <w:color w:val="auto"/>
              </w:rPr>
              <w:t>溶解性总固体（mg/L）</w:t>
            </w:r>
          </w:p>
        </w:tc>
        <w:tc>
          <w:tcPr>
            <w:tcW w:w="1582" w:type="pct"/>
            <w:shd w:val="clear" w:color="auto" w:fill="auto"/>
            <w:vAlign w:val="center"/>
          </w:tcPr>
          <w:p w14:paraId="58D66BA5">
            <w:pPr>
              <w:jc w:val="center"/>
              <w:rPr>
                <w:rFonts w:ascii="宋体" w:hAnsi="宋体" w:eastAsia="宋体" w:cs="Times New Roman"/>
                <w:color w:val="auto"/>
              </w:rPr>
            </w:pPr>
            <w:r>
              <w:rPr>
                <w:rFonts w:ascii="宋体" w:hAnsi="宋体" w:eastAsia="宋体" w:cs="Times New Roman"/>
                <w:color w:val="auto"/>
              </w:rPr>
              <w:t>≤1000</w:t>
            </w:r>
          </w:p>
        </w:tc>
        <w:tc>
          <w:tcPr>
            <w:tcW w:w="1730" w:type="pct"/>
            <w:vMerge w:val="continue"/>
            <w:shd w:val="clear" w:color="auto" w:fill="auto"/>
            <w:vAlign w:val="center"/>
          </w:tcPr>
          <w:p w14:paraId="34EC8B0F">
            <w:pPr>
              <w:jc w:val="center"/>
              <w:rPr>
                <w:rFonts w:ascii="宋体" w:hAnsi="宋体" w:eastAsia="宋体" w:cs="Times New Roman"/>
                <w:color w:val="auto"/>
              </w:rPr>
            </w:pPr>
          </w:p>
        </w:tc>
      </w:tr>
      <w:tr w14:paraId="5C30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108E587C">
            <w:pPr>
              <w:jc w:val="center"/>
              <w:rPr>
                <w:rFonts w:ascii="宋体" w:hAnsi="宋体" w:eastAsia="宋体" w:cs="Times New Roman"/>
                <w:color w:val="auto"/>
              </w:rPr>
            </w:pPr>
            <w:r>
              <w:rPr>
                <w:rFonts w:ascii="宋体" w:hAnsi="宋体" w:eastAsia="宋体" w:cs="Times New Roman"/>
                <w:color w:val="auto"/>
              </w:rPr>
              <w:t>耗氧量（mg/L）</w:t>
            </w:r>
          </w:p>
        </w:tc>
        <w:tc>
          <w:tcPr>
            <w:tcW w:w="1582" w:type="pct"/>
            <w:shd w:val="clear" w:color="auto" w:fill="auto"/>
            <w:vAlign w:val="center"/>
          </w:tcPr>
          <w:p w14:paraId="3FE53B47">
            <w:pPr>
              <w:jc w:val="center"/>
              <w:rPr>
                <w:rFonts w:ascii="宋体" w:hAnsi="宋体" w:eastAsia="宋体" w:cs="Times New Roman"/>
                <w:color w:val="auto"/>
              </w:rPr>
            </w:pPr>
            <w:r>
              <w:rPr>
                <w:rFonts w:ascii="宋体" w:hAnsi="宋体" w:eastAsia="宋体" w:cs="Times New Roman"/>
                <w:color w:val="auto"/>
              </w:rPr>
              <w:t>≤3.0</w:t>
            </w:r>
          </w:p>
        </w:tc>
        <w:tc>
          <w:tcPr>
            <w:tcW w:w="1730" w:type="pct"/>
            <w:vMerge w:val="continue"/>
            <w:shd w:val="clear" w:color="auto" w:fill="auto"/>
            <w:vAlign w:val="center"/>
          </w:tcPr>
          <w:p w14:paraId="581FEF67">
            <w:pPr>
              <w:jc w:val="center"/>
              <w:rPr>
                <w:rFonts w:ascii="宋体" w:hAnsi="宋体" w:eastAsia="宋体" w:cs="Times New Roman"/>
                <w:color w:val="auto"/>
              </w:rPr>
            </w:pPr>
          </w:p>
        </w:tc>
      </w:tr>
      <w:tr w14:paraId="5394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3FA44006">
            <w:pPr>
              <w:jc w:val="center"/>
              <w:rPr>
                <w:rFonts w:ascii="宋体" w:hAnsi="宋体" w:eastAsia="宋体" w:cs="Times New Roman"/>
                <w:color w:val="auto"/>
              </w:rPr>
            </w:pPr>
            <w:r>
              <w:rPr>
                <w:rFonts w:ascii="宋体" w:hAnsi="宋体" w:eastAsia="宋体" w:cs="Times New Roman"/>
                <w:color w:val="auto"/>
              </w:rPr>
              <w:t>硫酸盐（mg/L）</w:t>
            </w:r>
          </w:p>
        </w:tc>
        <w:tc>
          <w:tcPr>
            <w:tcW w:w="1582" w:type="pct"/>
            <w:shd w:val="clear" w:color="auto" w:fill="auto"/>
            <w:vAlign w:val="center"/>
          </w:tcPr>
          <w:p w14:paraId="1B390245">
            <w:pPr>
              <w:jc w:val="center"/>
              <w:rPr>
                <w:rFonts w:ascii="宋体" w:hAnsi="宋体" w:eastAsia="宋体" w:cs="Times New Roman"/>
                <w:color w:val="auto"/>
              </w:rPr>
            </w:pPr>
            <w:r>
              <w:rPr>
                <w:rFonts w:ascii="宋体" w:hAnsi="宋体" w:eastAsia="宋体" w:cs="Times New Roman"/>
                <w:color w:val="auto"/>
              </w:rPr>
              <w:t>≤250</w:t>
            </w:r>
          </w:p>
        </w:tc>
        <w:tc>
          <w:tcPr>
            <w:tcW w:w="1730" w:type="pct"/>
            <w:vMerge w:val="continue"/>
            <w:shd w:val="clear" w:color="auto" w:fill="auto"/>
            <w:vAlign w:val="center"/>
          </w:tcPr>
          <w:p w14:paraId="7518CD9B">
            <w:pPr>
              <w:jc w:val="center"/>
              <w:rPr>
                <w:rFonts w:ascii="宋体" w:hAnsi="宋体" w:eastAsia="宋体" w:cs="Times New Roman"/>
                <w:color w:val="auto"/>
              </w:rPr>
            </w:pPr>
          </w:p>
        </w:tc>
      </w:tr>
      <w:tr w14:paraId="12BB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095E89DC">
            <w:pPr>
              <w:jc w:val="center"/>
              <w:rPr>
                <w:rFonts w:ascii="宋体" w:hAnsi="宋体" w:eastAsia="宋体" w:cs="Times New Roman"/>
                <w:color w:val="auto"/>
              </w:rPr>
            </w:pPr>
            <w:r>
              <w:rPr>
                <w:rFonts w:ascii="宋体" w:hAnsi="宋体" w:eastAsia="宋体" w:cs="Times New Roman"/>
                <w:color w:val="auto"/>
              </w:rPr>
              <w:t>氯化物（mg/L）</w:t>
            </w:r>
          </w:p>
        </w:tc>
        <w:tc>
          <w:tcPr>
            <w:tcW w:w="1582" w:type="pct"/>
            <w:shd w:val="clear" w:color="auto" w:fill="auto"/>
            <w:vAlign w:val="center"/>
          </w:tcPr>
          <w:p w14:paraId="0ADB72B9">
            <w:pPr>
              <w:jc w:val="center"/>
              <w:rPr>
                <w:rFonts w:ascii="宋体" w:hAnsi="宋体" w:eastAsia="宋体" w:cs="Times New Roman"/>
                <w:color w:val="auto"/>
              </w:rPr>
            </w:pPr>
            <w:r>
              <w:rPr>
                <w:rFonts w:ascii="宋体" w:hAnsi="宋体" w:eastAsia="宋体" w:cs="Times New Roman"/>
                <w:color w:val="auto"/>
              </w:rPr>
              <w:t>≤250</w:t>
            </w:r>
          </w:p>
        </w:tc>
        <w:tc>
          <w:tcPr>
            <w:tcW w:w="1730" w:type="pct"/>
            <w:vMerge w:val="continue"/>
            <w:shd w:val="clear" w:color="auto" w:fill="auto"/>
            <w:vAlign w:val="center"/>
          </w:tcPr>
          <w:p w14:paraId="1FCCE6B8">
            <w:pPr>
              <w:jc w:val="center"/>
              <w:rPr>
                <w:rFonts w:ascii="宋体" w:hAnsi="宋体" w:eastAsia="宋体" w:cs="Times New Roman"/>
                <w:color w:val="auto"/>
              </w:rPr>
            </w:pPr>
          </w:p>
        </w:tc>
      </w:tr>
      <w:tr w14:paraId="1B15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4E95D3E1">
            <w:pPr>
              <w:jc w:val="center"/>
              <w:rPr>
                <w:rFonts w:ascii="宋体" w:hAnsi="宋体" w:eastAsia="宋体" w:cs="Times New Roman"/>
                <w:color w:val="auto"/>
              </w:rPr>
            </w:pPr>
            <w:r>
              <w:rPr>
                <w:rFonts w:ascii="宋体" w:hAnsi="宋体" w:eastAsia="宋体" w:cs="Times New Roman"/>
                <w:color w:val="auto"/>
              </w:rPr>
              <w:t>总大肠菌群（MPN/100mL）</w:t>
            </w:r>
          </w:p>
        </w:tc>
        <w:tc>
          <w:tcPr>
            <w:tcW w:w="1582" w:type="pct"/>
            <w:shd w:val="clear" w:color="auto" w:fill="auto"/>
            <w:vAlign w:val="center"/>
          </w:tcPr>
          <w:p w14:paraId="64EE3068">
            <w:pPr>
              <w:jc w:val="center"/>
              <w:rPr>
                <w:rFonts w:ascii="宋体" w:hAnsi="宋体" w:eastAsia="宋体" w:cs="Times New Roman"/>
                <w:color w:val="auto"/>
              </w:rPr>
            </w:pPr>
            <w:r>
              <w:rPr>
                <w:rFonts w:ascii="宋体" w:hAnsi="宋体" w:eastAsia="宋体" w:cs="Times New Roman"/>
                <w:color w:val="auto"/>
              </w:rPr>
              <w:t>≤3.0</w:t>
            </w:r>
          </w:p>
        </w:tc>
        <w:tc>
          <w:tcPr>
            <w:tcW w:w="1730" w:type="pct"/>
            <w:vMerge w:val="continue"/>
            <w:shd w:val="clear" w:color="auto" w:fill="auto"/>
            <w:vAlign w:val="center"/>
          </w:tcPr>
          <w:p w14:paraId="20C40589">
            <w:pPr>
              <w:jc w:val="center"/>
              <w:rPr>
                <w:rFonts w:ascii="宋体" w:hAnsi="宋体" w:eastAsia="宋体" w:cs="Times New Roman"/>
                <w:color w:val="auto"/>
              </w:rPr>
            </w:pPr>
          </w:p>
        </w:tc>
      </w:tr>
      <w:tr w14:paraId="021C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1585D064">
            <w:pPr>
              <w:jc w:val="center"/>
              <w:rPr>
                <w:rFonts w:ascii="宋体" w:hAnsi="宋体" w:eastAsia="宋体" w:cs="Times New Roman"/>
                <w:color w:val="auto"/>
              </w:rPr>
            </w:pPr>
            <w:r>
              <w:rPr>
                <w:rFonts w:ascii="宋体" w:hAnsi="宋体" w:eastAsia="宋体" w:cs="Times New Roman"/>
                <w:color w:val="auto"/>
              </w:rPr>
              <w:t>菌落总数（CFU/mL）</w:t>
            </w:r>
          </w:p>
        </w:tc>
        <w:tc>
          <w:tcPr>
            <w:tcW w:w="1582" w:type="pct"/>
            <w:shd w:val="clear" w:color="auto" w:fill="auto"/>
            <w:vAlign w:val="center"/>
          </w:tcPr>
          <w:p w14:paraId="4998584E">
            <w:pPr>
              <w:jc w:val="center"/>
              <w:rPr>
                <w:rFonts w:ascii="宋体" w:hAnsi="宋体" w:eastAsia="宋体" w:cs="Times New Roman"/>
                <w:color w:val="auto"/>
              </w:rPr>
            </w:pPr>
            <w:r>
              <w:rPr>
                <w:rFonts w:ascii="宋体" w:hAnsi="宋体" w:eastAsia="宋体" w:cs="Times New Roman"/>
                <w:color w:val="auto"/>
              </w:rPr>
              <w:t>≤100</w:t>
            </w:r>
          </w:p>
        </w:tc>
        <w:tc>
          <w:tcPr>
            <w:tcW w:w="1730" w:type="pct"/>
            <w:vMerge w:val="continue"/>
            <w:shd w:val="clear" w:color="auto" w:fill="auto"/>
            <w:vAlign w:val="center"/>
          </w:tcPr>
          <w:p w14:paraId="74808937">
            <w:pPr>
              <w:jc w:val="center"/>
              <w:rPr>
                <w:rFonts w:ascii="宋体" w:hAnsi="宋体" w:eastAsia="宋体" w:cs="Times New Roman"/>
                <w:color w:val="auto"/>
              </w:rPr>
            </w:pPr>
          </w:p>
        </w:tc>
      </w:tr>
      <w:tr w14:paraId="1882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2D43DCEE">
            <w:pPr>
              <w:jc w:val="center"/>
              <w:rPr>
                <w:rFonts w:ascii="宋体" w:hAnsi="宋体" w:eastAsia="宋体" w:cs="Times New Roman"/>
                <w:color w:val="auto"/>
              </w:rPr>
            </w:pPr>
            <w:r>
              <w:rPr>
                <w:rFonts w:ascii="宋体" w:hAnsi="宋体" w:eastAsia="宋体" w:cs="Times New Roman"/>
                <w:color w:val="auto"/>
              </w:rPr>
              <w:t>硫化物（mg/L）</w:t>
            </w:r>
          </w:p>
        </w:tc>
        <w:tc>
          <w:tcPr>
            <w:tcW w:w="1582" w:type="pct"/>
            <w:shd w:val="clear" w:color="auto" w:fill="auto"/>
            <w:vAlign w:val="center"/>
          </w:tcPr>
          <w:p w14:paraId="1F7F618B">
            <w:pPr>
              <w:jc w:val="center"/>
              <w:rPr>
                <w:rFonts w:ascii="宋体" w:hAnsi="宋体" w:eastAsia="宋体" w:cs="Times New Roman"/>
                <w:color w:val="auto"/>
              </w:rPr>
            </w:pPr>
            <w:r>
              <w:rPr>
                <w:rFonts w:ascii="宋体" w:hAnsi="宋体" w:eastAsia="宋体" w:cs="Times New Roman"/>
                <w:color w:val="auto"/>
              </w:rPr>
              <w:t>≤0.02</w:t>
            </w:r>
          </w:p>
        </w:tc>
        <w:tc>
          <w:tcPr>
            <w:tcW w:w="1730" w:type="pct"/>
            <w:vMerge w:val="continue"/>
            <w:shd w:val="clear" w:color="auto" w:fill="auto"/>
            <w:vAlign w:val="center"/>
          </w:tcPr>
          <w:p w14:paraId="74CDDC1F">
            <w:pPr>
              <w:jc w:val="center"/>
              <w:rPr>
                <w:rFonts w:ascii="宋体" w:hAnsi="宋体" w:eastAsia="宋体" w:cs="Times New Roman"/>
                <w:color w:val="auto"/>
              </w:rPr>
            </w:pPr>
          </w:p>
        </w:tc>
      </w:tr>
      <w:tr w14:paraId="1D7B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6394D9AA">
            <w:pPr>
              <w:jc w:val="center"/>
              <w:rPr>
                <w:rFonts w:ascii="宋体" w:hAnsi="宋体" w:eastAsia="宋体" w:cs="Times New Roman"/>
                <w:color w:val="auto"/>
              </w:rPr>
            </w:pPr>
            <w:r>
              <w:rPr>
                <w:rFonts w:ascii="宋体" w:hAnsi="宋体" w:eastAsia="宋体" w:cs="Times New Roman"/>
                <w:color w:val="auto"/>
              </w:rPr>
              <w:t>钡（mg/L）</w:t>
            </w:r>
          </w:p>
        </w:tc>
        <w:tc>
          <w:tcPr>
            <w:tcW w:w="1582" w:type="pct"/>
            <w:shd w:val="clear" w:color="auto" w:fill="auto"/>
            <w:vAlign w:val="center"/>
          </w:tcPr>
          <w:p w14:paraId="606F4AFD">
            <w:pPr>
              <w:jc w:val="center"/>
              <w:rPr>
                <w:rFonts w:ascii="宋体" w:hAnsi="宋体" w:eastAsia="宋体" w:cs="Times New Roman"/>
                <w:color w:val="auto"/>
              </w:rPr>
            </w:pPr>
            <w:r>
              <w:rPr>
                <w:rFonts w:ascii="宋体" w:hAnsi="宋体" w:eastAsia="宋体" w:cs="Times New Roman"/>
                <w:color w:val="auto"/>
              </w:rPr>
              <w:t>≤0.70</w:t>
            </w:r>
          </w:p>
        </w:tc>
        <w:tc>
          <w:tcPr>
            <w:tcW w:w="1730" w:type="pct"/>
            <w:vMerge w:val="continue"/>
            <w:shd w:val="clear" w:color="auto" w:fill="auto"/>
            <w:vAlign w:val="center"/>
          </w:tcPr>
          <w:p w14:paraId="289CABE5">
            <w:pPr>
              <w:jc w:val="center"/>
              <w:rPr>
                <w:rFonts w:ascii="宋体" w:hAnsi="宋体" w:eastAsia="宋体" w:cs="Times New Roman"/>
                <w:color w:val="auto"/>
              </w:rPr>
            </w:pPr>
          </w:p>
        </w:tc>
      </w:tr>
      <w:tr w14:paraId="195B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shd w:val="clear" w:color="auto" w:fill="auto"/>
            <w:vAlign w:val="center"/>
          </w:tcPr>
          <w:p w14:paraId="1BFF5BA9">
            <w:pPr>
              <w:jc w:val="center"/>
              <w:rPr>
                <w:rFonts w:ascii="宋体" w:hAnsi="宋体" w:eastAsia="宋体" w:cs="Times New Roman"/>
                <w:color w:val="auto"/>
              </w:rPr>
            </w:pPr>
            <w:r>
              <w:rPr>
                <w:rFonts w:ascii="宋体" w:hAnsi="宋体" w:eastAsia="宋体" w:cs="Times New Roman"/>
                <w:color w:val="auto"/>
              </w:rPr>
              <w:t>石油类</w:t>
            </w:r>
          </w:p>
        </w:tc>
        <w:tc>
          <w:tcPr>
            <w:tcW w:w="1582" w:type="pct"/>
            <w:shd w:val="clear" w:color="auto" w:fill="auto"/>
            <w:vAlign w:val="center"/>
          </w:tcPr>
          <w:p w14:paraId="2E6C28FA">
            <w:pPr>
              <w:jc w:val="center"/>
              <w:rPr>
                <w:rFonts w:ascii="宋体" w:hAnsi="宋体" w:eastAsia="宋体" w:cs="Times New Roman"/>
                <w:color w:val="auto"/>
              </w:rPr>
            </w:pPr>
            <w:r>
              <w:rPr>
                <w:rFonts w:ascii="宋体" w:hAnsi="宋体" w:eastAsia="宋体" w:cs="Times New Roman"/>
                <w:color w:val="auto"/>
              </w:rPr>
              <w:t>≤0.05</w:t>
            </w:r>
          </w:p>
        </w:tc>
        <w:tc>
          <w:tcPr>
            <w:tcW w:w="1730" w:type="pct"/>
            <w:shd w:val="clear" w:color="auto" w:fill="auto"/>
            <w:vAlign w:val="center"/>
          </w:tcPr>
          <w:p w14:paraId="066CDCB6">
            <w:pPr>
              <w:jc w:val="center"/>
              <w:rPr>
                <w:rFonts w:ascii="宋体" w:hAnsi="宋体" w:eastAsia="宋体" w:cs="Times New Roman"/>
                <w:color w:val="auto"/>
              </w:rPr>
            </w:pPr>
            <w:r>
              <w:rPr>
                <w:rFonts w:ascii="宋体" w:hAnsi="宋体" w:eastAsia="宋体" w:cs="Times New Roman"/>
                <w:color w:val="auto"/>
              </w:rPr>
              <w:t>《地表水环境质量标准》（GB3838-2002）表1中的II类标准限值要求</w:t>
            </w:r>
          </w:p>
        </w:tc>
      </w:tr>
    </w:tbl>
    <w:p w14:paraId="7330C4A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声环境</w:t>
      </w:r>
    </w:p>
    <w:p w14:paraId="30F569DA">
      <w:pPr>
        <w:pStyle w:val="276"/>
        <w:widowControl w:val="0"/>
        <w:spacing w:line="440" w:lineRule="exact"/>
        <w:ind w:firstLine="480"/>
        <w:jc w:val="both"/>
        <w:rPr>
          <w:color w:val="auto"/>
          <w:kern w:val="2"/>
        </w:rPr>
      </w:pPr>
      <w:r>
        <w:rPr>
          <w:color w:val="auto"/>
          <w:kern w:val="2"/>
          <w:lang w:bidi="zh-CN"/>
        </w:rPr>
        <w:t>根据《大庆市人民政府关于印发大庆市声环境功能区划分、大庆市环境空气质量功能区划分、大庆市地表水环境功能区划分的通知》（庆政发[2019]11号），本项目所在区域未</w:t>
      </w:r>
      <w:r>
        <w:rPr>
          <w:color w:val="auto"/>
          <w:szCs w:val="21"/>
        </w:rPr>
        <w:t>划分声功能区，本项目位于居住、工业混杂区域，且项目周边200m范围内无声环境敏感点，</w:t>
      </w:r>
      <w:r>
        <w:rPr>
          <w:color w:val="auto"/>
          <w:kern w:val="2"/>
          <w:lang w:bidi="zh-CN"/>
        </w:rPr>
        <w:t>根据《声环境质量标准》（GB3096-2008），项目区域声环境执行</w:t>
      </w:r>
      <w:r>
        <w:rPr>
          <w:snapToGrid w:val="0"/>
          <w:color w:val="auto"/>
        </w:rPr>
        <w:t>《声环境质量标准》</w:t>
      </w:r>
      <w:r>
        <w:rPr>
          <w:color w:val="auto"/>
          <w:kern w:val="2"/>
          <w:lang w:bidi="zh-CN"/>
        </w:rPr>
        <w:t>（GB3096-2008）中2类区标准</w:t>
      </w:r>
      <w:r>
        <w:rPr>
          <w:color w:val="auto"/>
          <w:kern w:val="2"/>
        </w:rPr>
        <w:t>。村屯声环境执行《声环境质量标准》（GB3096-2008）中1类区标准。</w:t>
      </w:r>
    </w:p>
    <w:p w14:paraId="51EA9DBF">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r>
        <w:rPr>
          <w:rFonts w:hAnsi="宋体" w:cs="Times New Roman"/>
          <w:color w:val="auto"/>
        </w:rPr>
        <w:t>声环境质量标准    单位：dB（A）</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4"/>
        <w:gridCol w:w="1291"/>
        <w:gridCol w:w="1551"/>
      </w:tblGrid>
      <w:tr w14:paraId="49E8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shd w:val="clear" w:color="auto" w:fill="auto"/>
            <w:vAlign w:val="center"/>
          </w:tcPr>
          <w:p w14:paraId="30B28227">
            <w:pPr>
              <w:jc w:val="center"/>
              <w:rPr>
                <w:rFonts w:ascii="宋体" w:hAnsi="宋体" w:eastAsia="宋体" w:cs="Times New Roman"/>
                <w:color w:val="auto"/>
              </w:rPr>
            </w:pPr>
            <w:r>
              <w:rPr>
                <w:rFonts w:ascii="宋体" w:hAnsi="宋体" w:eastAsia="宋体" w:cs="Times New Roman"/>
                <w:color w:val="auto"/>
              </w:rPr>
              <w:t>项  目</w:t>
            </w:r>
          </w:p>
        </w:tc>
        <w:tc>
          <w:tcPr>
            <w:tcW w:w="695" w:type="pct"/>
            <w:shd w:val="clear" w:color="auto" w:fill="auto"/>
            <w:vAlign w:val="center"/>
          </w:tcPr>
          <w:p w14:paraId="4B37DCDF">
            <w:pPr>
              <w:jc w:val="center"/>
              <w:rPr>
                <w:rFonts w:ascii="宋体" w:hAnsi="宋体" w:eastAsia="宋体" w:cs="Times New Roman"/>
                <w:color w:val="auto"/>
              </w:rPr>
            </w:pPr>
            <w:r>
              <w:rPr>
                <w:rFonts w:ascii="宋体" w:hAnsi="宋体" w:eastAsia="宋体" w:cs="Times New Roman"/>
                <w:color w:val="auto"/>
              </w:rPr>
              <w:t>昼  间</w:t>
            </w:r>
          </w:p>
        </w:tc>
        <w:tc>
          <w:tcPr>
            <w:tcW w:w="835" w:type="pct"/>
            <w:shd w:val="clear" w:color="auto" w:fill="auto"/>
            <w:vAlign w:val="center"/>
          </w:tcPr>
          <w:p w14:paraId="39213486">
            <w:pPr>
              <w:jc w:val="center"/>
              <w:rPr>
                <w:rFonts w:ascii="宋体" w:hAnsi="宋体" w:eastAsia="宋体" w:cs="Times New Roman"/>
                <w:color w:val="auto"/>
              </w:rPr>
            </w:pPr>
            <w:r>
              <w:rPr>
                <w:rFonts w:ascii="宋体" w:hAnsi="宋体" w:eastAsia="宋体" w:cs="Times New Roman"/>
                <w:color w:val="auto"/>
              </w:rPr>
              <w:t>夜  间</w:t>
            </w:r>
          </w:p>
        </w:tc>
      </w:tr>
      <w:tr w14:paraId="0AB5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shd w:val="clear" w:color="auto" w:fill="auto"/>
            <w:vAlign w:val="center"/>
          </w:tcPr>
          <w:p w14:paraId="02151EAF">
            <w:pPr>
              <w:jc w:val="center"/>
              <w:rPr>
                <w:rFonts w:ascii="宋体" w:hAnsi="宋体" w:eastAsia="宋体" w:cs="Times New Roman"/>
                <w:color w:val="auto"/>
              </w:rPr>
            </w:pPr>
            <w:r>
              <w:rPr>
                <w:rFonts w:ascii="宋体" w:hAnsi="宋体" w:eastAsia="宋体" w:cs="Times New Roman"/>
                <w:color w:val="auto"/>
              </w:rPr>
              <w:t>《声环境质量标准》（GB3096-2008）中2类标准</w:t>
            </w:r>
          </w:p>
        </w:tc>
        <w:tc>
          <w:tcPr>
            <w:tcW w:w="695" w:type="pct"/>
            <w:shd w:val="clear" w:color="auto" w:fill="auto"/>
            <w:vAlign w:val="center"/>
          </w:tcPr>
          <w:p w14:paraId="7F46D9CA">
            <w:pPr>
              <w:jc w:val="center"/>
              <w:rPr>
                <w:rFonts w:ascii="宋体" w:hAnsi="宋体" w:eastAsia="宋体" w:cs="Times New Roman"/>
                <w:color w:val="auto"/>
              </w:rPr>
            </w:pPr>
            <w:r>
              <w:rPr>
                <w:rFonts w:ascii="宋体" w:hAnsi="宋体" w:eastAsia="宋体" w:cs="Times New Roman"/>
                <w:color w:val="auto"/>
              </w:rPr>
              <w:t>60</w:t>
            </w:r>
          </w:p>
        </w:tc>
        <w:tc>
          <w:tcPr>
            <w:tcW w:w="835" w:type="pct"/>
            <w:shd w:val="clear" w:color="auto" w:fill="auto"/>
            <w:vAlign w:val="center"/>
          </w:tcPr>
          <w:p w14:paraId="5C1E1FC2">
            <w:pPr>
              <w:jc w:val="center"/>
              <w:rPr>
                <w:rFonts w:ascii="宋体" w:hAnsi="宋体" w:eastAsia="宋体" w:cs="Times New Roman"/>
                <w:color w:val="auto"/>
              </w:rPr>
            </w:pPr>
            <w:r>
              <w:rPr>
                <w:rFonts w:ascii="宋体" w:hAnsi="宋体" w:eastAsia="宋体" w:cs="Times New Roman"/>
                <w:color w:val="auto"/>
              </w:rPr>
              <w:t>50</w:t>
            </w:r>
          </w:p>
        </w:tc>
      </w:tr>
      <w:tr w14:paraId="65C7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shd w:val="clear" w:color="auto" w:fill="auto"/>
            <w:vAlign w:val="center"/>
          </w:tcPr>
          <w:p w14:paraId="63720D45">
            <w:pPr>
              <w:jc w:val="center"/>
              <w:rPr>
                <w:rFonts w:ascii="宋体" w:hAnsi="宋体" w:eastAsia="宋体" w:cs="Times New Roman"/>
                <w:color w:val="auto"/>
              </w:rPr>
            </w:pPr>
            <w:r>
              <w:rPr>
                <w:rFonts w:ascii="宋体" w:hAnsi="宋体" w:eastAsia="宋体" w:cs="Times New Roman"/>
                <w:color w:val="auto"/>
              </w:rPr>
              <w:t>《声环境质量标准》（GB3096-2008）中1类标准</w:t>
            </w:r>
          </w:p>
        </w:tc>
        <w:tc>
          <w:tcPr>
            <w:tcW w:w="695" w:type="pct"/>
            <w:shd w:val="clear" w:color="auto" w:fill="auto"/>
            <w:vAlign w:val="center"/>
          </w:tcPr>
          <w:p w14:paraId="2973F4D9">
            <w:pPr>
              <w:jc w:val="center"/>
              <w:rPr>
                <w:rFonts w:ascii="宋体" w:hAnsi="宋体" w:eastAsia="宋体" w:cs="Times New Roman"/>
                <w:color w:val="auto"/>
              </w:rPr>
            </w:pPr>
            <w:r>
              <w:rPr>
                <w:rFonts w:ascii="宋体" w:hAnsi="宋体" w:eastAsia="宋体" w:cs="Times New Roman"/>
                <w:color w:val="auto"/>
              </w:rPr>
              <w:t>55</w:t>
            </w:r>
          </w:p>
        </w:tc>
        <w:tc>
          <w:tcPr>
            <w:tcW w:w="835" w:type="pct"/>
            <w:shd w:val="clear" w:color="auto" w:fill="auto"/>
            <w:vAlign w:val="center"/>
          </w:tcPr>
          <w:p w14:paraId="6084E812">
            <w:pPr>
              <w:jc w:val="center"/>
              <w:rPr>
                <w:rFonts w:ascii="宋体" w:hAnsi="宋体" w:eastAsia="宋体" w:cs="Times New Roman"/>
                <w:color w:val="auto"/>
              </w:rPr>
            </w:pPr>
            <w:r>
              <w:rPr>
                <w:rFonts w:ascii="宋体" w:hAnsi="宋体" w:eastAsia="宋体" w:cs="Times New Roman"/>
                <w:color w:val="auto"/>
              </w:rPr>
              <w:t>45</w:t>
            </w:r>
          </w:p>
        </w:tc>
      </w:tr>
    </w:tbl>
    <w:p w14:paraId="3FEBCAB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土壤环境</w:t>
      </w:r>
    </w:p>
    <w:p w14:paraId="53CD70FA">
      <w:pPr>
        <w:pStyle w:val="276"/>
        <w:widowControl w:val="0"/>
        <w:spacing w:line="440" w:lineRule="exact"/>
        <w:ind w:firstLine="480"/>
        <w:jc w:val="both"/>
        <w:rPr>
          <w:color w:val="auto"/>
          <w:kern w:val="2"/>
          <w:szCs w:val="20"/>
        </w:rPr>
      </w:pPr>
      <w:r>
        <w:rPr>
          <w:color w:val="auto"/>
          <w:kern w:val="2"/>
          <w:szCs w:val="20"/>
        </w:rPr>
        <w:t>本项目拟建井场和拉油点永久占地内土壤执行《土壤环境质量 建设用地土壤污染风险管控标准（试行）》（GB36600-2018）表1（基本项目）中第二类用地筛选值标准，以及表2（其他项目）中第二类用地</w:t>
      </w:r>
      <w:r>
        <w:rPr>
          <w:color w:val="auto"/>
          <w:kern w:val="2"/>
          <w:lang w:bidi="ar"/>
        </w:rPr>
        <w:t>石油烃</w:t>
      </w:r>
      <w:r>
        <w:rPr>
          <w:color w:val="auto"/>
          <w:kern w:val="2"/>
          <w:szCs w:val="20"/>
        </w:rPr>
        <w:t>筛选值标准，永久占地外村屯内土壤执行</w:t>
      </w:r>
      <w:r>
        <w:rPr>
          <w:snapToGrid w:val="0"/>
          <w:color w:val="auto"/>
        </w:rPr>
        <w:t>《土壤环境质量 建设用地土壤污染风险管控标准（试行）》</w:t>
      </w:r>
      <w:r>
        <w:rPr>
          <w:color w:val="auto"/>
          <w:kern w:val="2"/>
          <w:szCs w:val="20"/>
        </w:rPr>
        <w:t>（GB36600-2018）表1（基本项目）中第一类用地筛选值标准，以及表2（其他项目）中第一类用地</w:t>
      </w:r>
      <w:r>
        <w:rPr>
          <w:color w:val="auto"/>
          <w:kern w:val="2"/>
          <w:lang w:bidi="ar"/>
        </w:rPr>
        <w:t>石油烃</w:t>
      </w:r>
      <w:r>
        <w:rPr>
          <w:color w:val="auto"/>
          <w:kern w:val="2"/>
          <w:szCs w:val="20"/>
        </w:rPr>
        <w:t>筛选值标准，具体见</w:t>
      </w:r>
      <w:r>
        <w:rPr>
          <w:color w:val="auto"/>
          <w:kern w:val="2"/>
          <w:szCs w:val="20"/>
        </w:rPr>
        <w:fldChar w:fldCharType="begin"/>
      </w:r>
      <w:r>
        <w:rPr>
          <w:color w:val="auto"/>
          <w:kern w:val="2"/>
          <w:szCs w:val="20"/>
        </w:rPr>
        <w:instrText xml:space="preserve"> REF _Ref211957601 \h  \* MERGEFORMAT </w:instrText>
      </w:r>
      <w:r>
        <w:rPr>
          <w:color w:val="auto"/>
          <w:kern w:val="2"/>
          <w:szCs w:val="20"/>
        </w:rPr>
        <w:fldChar w:fldCharType="separate"/>
      </w:r>
      <w:r>
        <w:rPr>
          <w:rFonts w:hint="eastAsia"/>
          <w:color w:val="auto"/>
        </w:rPr>
        <w:t xml:space="preserve">表 </w:t>
      </w:r>
      <w:r>
        <w:rPr>
          <w:color w:val="auto"/>
        </w:rPr>
        <w:t>2.5</w:t>
      </w:r>
      <w:r>
        <w:rPr>
          <w:color w:val="auto"/>
        </w:rPr>
        <w:noBreakHyphen/>
      </w:r>
      <w:r>
        <w:rPr>
          <w:color w:val="auto"/>
        </w:rPr>
        <w:t>5</w:t>
      </w:r>
      <w:r>
        <w:rPr>
          <w:color w:val="auto"/>
          <w:kern w:val="2"/>
          <w:szCs w:val="20"/>
        </w:rPr>
        <w:fldChar w:fldCharType="end"/>
      </w:r>
      <w:r>
        <w:rPr>
          <w:color w:val="auto"/>
          <w:kern w:val="2"/>
          <w:szCs w:val="20"/>
        </w:rPr>
        <w:t>。</w:t>
      </w:r>
    </w:p>
    <w:p w14:paraId="0B740921">
      <w:pPr>
        <w:pStyle w:val="22"/>
        <w:spacing w:before="156"/>
        <w:rPr>
          <w:rFonts w:hAnsi="宋体" w:cs="Times New Roman"/>
          <w:color w:val="auto"/>
        </w:rPr>
      </w:pPr>
      <w:bookmarkStart w:id="344" w:name="_Ref211957601"/>
      <w:r>
        <w:rPr>
          <w:rFonts w:hint="eastAsia" w:hAnsi="宋体" w:cs="Times New Roman"/>
          <w:color w:val="auto"/>
        </w:rPr>
        <w:t xml:space="preserve">表 </w:t>
      </w:r>
      <w:r>
        <w:rPr>
          <w:rFonts w:hAnsi="宋体" w:cs="Times New Roman"/>
          <w:color w:val="auto"/>
        </w:rPr>
        <w:fldChar w:fldCharType="begin"/>
      </w:r>
      <w:r>
        <w:rPr>
          <w:rFonts w:hAnsi="宋体" w:cs="Times New Roman"/>
          <w:color w:val="auto"/>
        </w:rPr>
        <w:instrText xml:space="preserve"> </w:instrText>
      </w:r>
      <w:r>
        <w:rPr>
          <w:rFonts w:hint="eastAsia" w:hAnsi="宋体" w:cs="Times New Roman"/>
          <w:color w:val="auto"/>
        </w:rPr>
        <w:instrText xml:space="preserve">STYLEREF 2 \s</w:instrText>
      </w:r>
      <w:r>
        <w:rPr>
          <w:rFonts w:hAnsi="宋体" w:cs="Times New Roman"/>
          <w:color w:val="auto"/>
        </w:rPr>
        <w:instrText xml:space="preserve"> </w:instrText>
      </w:r>
      <w:r>
        <w:rPr>
          <w:rFonts w:hAnsi="宋体" w:cs="Times New Roman"/>
          <w:color w:val="auto"/>
        </w:rPr>
        <w:fldChar w:fldCharType="separate"/>
      </w:r>
      <w:r>
        <w:rPr>
          <w:rFonts w:hAnsi="宋体" w:cs="Times New Roman"/>
          <w:color w:val="auto"/>
        </w:rPr>
        <w:t>2.5</w:t>
      </w:r>
      <w:r>
        <w:rPr>
          <w:rFonts w:hAnsi="宋体" w:cs="Times New Roman"/>
          <w:color w:val="auto"/>
        </w:rPr>
        <w:fldChar w:fldCharType="end"/>
      </w:r>
      <w:r>
        <w:rPr>
          <w:rFonts w:hAnsi="宋体" w:cs="Times New Roman"/>
          <w:color w:val="auto"/>
        </w:rPr>
        <w:noBreakHyphen/>
      </w:r>
      <w:r>
        <w:rPr>
          <w:rFonts w:hAnsi="宋体" w:cs="Times New Roman"/>
          <w:color w:val="auto"/>
        </w:rPr>
        <w:fldChar w:fldCharType="begin"/>
      </w:r>
      <w:r>
        <w:rPr>
          <w:rFonts w:hAnsi="宋体" w:cs="Times New Roman"/>
          <w:color w:val="auto"/>
        </w:rPr>
        <w:instrText xml:space="preserve"> </w:instrText>
      </w:r>
      <w:r>
        <w:rPr>
          <w:rFonts w:hint="eastAsia" w:hAnsi="宋体" w:cs="Times New Roman"/>
          <w:color w:val="auto"/>
        </w:rPr>
        <w:instrText xml:space="preserve">SEQ 表 \* ARABIC \s 2</w:instrText>
      </w:r>
      <w:r>
        <w:rPr>
          <w:rFonts w:hAnsi="宋体" w:cs="Times New Roman"/>
          <w:color w:val="auto"/>
        </w:rPr>
        <w:instrText xml:space="preserve"> </w:instrText>
      </w:r>
      <w:r>
        <w:rPr>
          <w:rFonts w:hAnsi="宋体" w:cs="Times New Roman"/>
          <w:color w:val="auto"/>
        </w:rPr>
        <w:fldChar w:fldCharType="separate"/>
      </w:r>
      <w:r>
        <w:rPr>
          <w:rFonts w:hAnsi="宋体" w:cs="Times New Roman"/>
          <w:color w:val="auto"/>
        </w:rPr>
        <w:t>5</w:t>
      </w:r>
      <w:r>
        <w:rPr>
          <w:rFonts w:hAnsi="宋体" w:cs="Times New Roman"/>
          <w:color w:val="auto"/>
        </w:rPr>
        <w:fldChar w:fldCharType="end"/>
      </w:r>
      <w:bookmarkEnd w:id="344"/>
      <w:r>
        <w:rPr>
          <w:rFonts w:hAnsi="宋体" w:cs="Times New Roman"/>
          <w:color w:val="auto"/>
        </w:rPr>
        <w:t>土壤环境执行标准    单位：mg/kg</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099"/>
        <w:gridCol w:w="1306"/>
        <w:gridCol w:w="1307"/>
        <w:gridCol w:w="3770"/>
      </w:tblGrid>
      <w:tr w14:paraId="55CD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restart"/>
            <w:shd w:val="clear" w:color="auto" w:fill="auto"/>
            <w:vAlign w:val="center"/>
          </w:tcPr>
          <w:p w14:paraId="7D8EF673">
            <w:pPr>
              <w:jc w:val="center"/>
              <w:rPr>
                <w:rFonts w:ascii="宋体" w:hAnsi="宋体" w:eastAsia="宋体" w:cs="Times New Roman"/>
                <w:color w:val="auto"/>
                <w:szCs w:val="22"/>
                <w:lang w:bidi="ar"/>
              </w:rPr>
            </w:pPr>
            <w:r>
              <w:rPr>
                <w:rFonts w:ascii="宋体" w:hAnsi="宋体" w:eastAsia="宋体" w:cs="Times New Roman"/>
                <w:color w:val="auto"/>
                <w:szCs w:val="22"/>
                <w:lang w:bidi="ar"/>
              </w:rPr>
              <w:t>序号</w:t>
            </w:r>
          </w:p>
        </w:tc>
        <w:tc>
          <w:tcPr>
            <w:tcW w:w="1130" w:type="pct"/>
            <w:vMerge w:val="restart"/>
            <w:shd w:val="clear" w:color="auto" w:fill="auto"/>
            <w:vAlign w:val="center"/>
          </w:tcPr>
          <w:p w14:paraId="70919435">
            <w:pPr>
              <w:jc w:val="center"/>
              <w:rPr>
                <w:rFonts w:ascii="宋体" w:hAnsi="宋体" w:eastAsia="宋体" w:cs="Times New Roman"/>
                <w:color w:val="auto"/>
                <w:szCs w:val="22"/>
                <w:lang w:bidi="ar"/>
              </w:rPr>
            </w:pPr>
            <w:r>
              <w:rPr>
                <w:rFonts w:ascii="宋体" w:hAnsi="宋体" w:eastAsia="宋体" w:cs="Times New Roman"/>
                <w:color w:val="auto"/>
                <w:szCs w:val="22"/>
                <w:lang w:bidi="ar"/>
              </w:rPr>
              <w:t>监测项目</w:t>
            </w:r>
          </w:p>
        </w:tc>
        <w:tc>
          <w:tcPr>
            <w:tcW w:w="1407" w:type="pct"/>
            <w:gridSpan w:val="2"/>
            <w:shd w:val="clear" w:color="auto" w:fill="auto"/>
            <w:vAlign w:val="center"/>
          </w:tcPr>
          <w:p w14:paraId="1BEFADF7">
            <w:pPr>
              <w:jc w:val="center"/>
              <w:rPr>
                <w:rFonts w:ascii="宋体" w:hAnsi="宋体" w:eastAsia="宋体" w:cs="Times New Roman"/>
                <w:color w:val="auto"/>
                <w:szCs w:val="22"/>
                <w:lang w:bidi="ar"/>
              </w:rPr>
            </w:pPr>
            <w:r>
              <w:rPr>
                <w:rFonts w:ascii="宋体" w:hAnsi="宋体" w:eastAsia="宋体" w:cs="Times New Roman"/>
                <w:color w:val="auto"/>
                <w:szCs w:val="22"/>
                <w:lang w:bidi="ar"/>
              </w:rPr>
              <w:t>筛选值</w:t>
            </w:r>
          </w:p>
        </w:tc>
        <w:tc>
          <w:tcPr>
            <w:tcW w:w="2030" w:type="pct"/>
            <w:vMerge w:val="restart"/>
            <w:shd w:val="clear" w:color="auto" w:fill="auto"/>
            <w:vAlign w:val="center"/>
          </w:tcPr>
          <w:p w14:paraId="54F1A82F">
            <w:pPr>
              <w:jc w:val="center"/>
              <w:rPr>
                <w:rFonts w:ascii="宋体" w:hAnsi="宋体" w:eastAsia="宋体" w:cs="Times New Roman"/>
                <w:color w:val="auto"/>
                <w:szCs w:val="22"/>
                <w:lang w:bidi="ar"/>
              </w:rPr>
            </w:pPr>
            <w:r>
              <w:rPr>
                <w:rFonts w:ascii="宋体" w:hAnsi="宋体" w:eastAsia="宋体" w:cs="Times New Roman"/>
                <w:color w:val="auto"/>
                <w:szCs w:val="22"/>
                <w:lang w:bidi="ar"/>
              </w:rPr>
              <w:t>标准名称</w:t>
            </w:r>
          </w:p>
        </w:tc>
      </w:tr>
      <w:tr w14:paraId="4859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continue"/>
            <w:shd w:val="clear" w:color="auto" w:fill="auto"/>
            <w:vAlign w:val="center"/>
          </w:tcPr>
          <w:p w14:paraId="57854480">
            <w:pPr>
              <w:jc w:val="center"/>
              <w:rPr>
                <w:rFonts w:ascii="宋体" w:hAnsi="宋体" w:eastAsia="宋体" w:cs="Times New Roman"/>
                <w:color w:val="auto"/>
                <w:szCs w:val="22"/>
                <w:lang w:bidi="ar"/>
              </w:rPr>
            </w:pPr>
          </w:p>
        </w:tc>
        <w:tc>
          <w:tcPr>
            <w:tcW w:w="1130" w:type="pct"/>
            <w:vMerge w:val="continue"/>
            <w:shd w:val="clear" w:color="auto" w:fill="auto"/>
            <w:vAlign w:val="center"/>
          </w:tcPr>
          <w:p w14:paraId="2EA1B586">
            <w:pPr>
              <w:jc w:val="center"/>
              <w:rPr>
                <w:rFonts w:ascii="宋体" w:hAnsi="宋体" w:eastAsia="宋体" w:cs="Times New Roman"/>
                <w:color w:val="auto"/>
                <w:szCs w:val="22"/>
                <w:lang w:bidi="ar"/>
              </w:rPr>
            </w:pPr>
          </w:p>
        </w:tc>
        <w:tc>
          <w:tcPr>
            <w:tcW w:w="703" w:type="pct"/>
            <w:shd w:val="clear" w:color="auto" w:fill="auto"/>
            <w:vAlign w:val="center"/>
          </w:tcPr>
          <w:p w14:paraId="0CBD930D">
            <w:pPr>
              <w:jc w:val="center"/>
              <w:rPr>
                <w:rFonts w:ascii="宋体" w:hAnsi="宋体" w:eastAsia="宋体" w:cs="Times New Roman"/>
                <w:color w:val="auto"/>
                <w:szCs w:val="22"/>
                <w:lang w:bidi="ar"/>
              </w:rPr>
            </w:pPr>
            <w:r>
              <w:rPr>
                <w:rFonts w:ascii="宋体" w:hAnsi="宋体" w:eastAsia="宋体" w:cs="Times New Roman"/>
                <w:color w:val="auto"/>
                <w:szCs w:val="22"/>
                <w:lang w:bidi="ar"/>
              </w:rPr>
              <w:t>第一类用地</w:t>
            </w:r>
          </w:p>
        </w:tc>
        <w:tc>
          <w:tcPr>
            <w:tcW w:w="704" w:type="pct"/>
            <w:shd w:val="clear" w:color="auto" w:fill="auto"/>
            <w:vAlign w:val="center"/>
          </w:tcPr>
          <w:p w14:paraId="5FBF0421">
            <w:pPr>
              <w:jc w:val="center"/>
              <w:rPr>
                <w:rFonts w:ascii="宋体" w:hAnsi="宋体" w:eastAsia="宋体" w:cs="Times New Roman"/>
                <w:color w:val="auto"/>
                <w:szCs w:val="22"/>
                <w:lang w:bidi="ar"/>
              </w:rPr>
            </w:pPr>
            <w:r>
              <w:rPr>
                <w:rFonts w:ascii="宋体" w:hAnsi="宋体" w:eastAsia="宋体" w:cs="Times New Roman"/>
                <w:color w:val="auto"/>
                <w:szCs w:val="22"/>
                <w:lang w:bidi="ar"/>
              </w:rPr>
              <w:t>第二类用地</w:t>
            </w:r>
          </w:p>
        </w:tc>
        <w:tc>
          <w:tcPr>
            <w:tcW w:w="2030" w:type="pct"/>
            <w:vMerge w:val="continue"/>
            <w:shd w:val="clear" w:color="auto" w:fill="auto"/>
            <w:vAlign w:val="center"/>
          </w:tcPr>
          <w:p w14:paraId="3E0E5ED9">
            <w:pPr>
              <w:jc w:val="center"/>
              <w:rPr>
                <w:rFonts w:ascii="宋体" w:hAnsi="宋体" w:eastAsia="宋体" w:cs="Times New Roman"/>
                <w:color w:val="auto"/>
                <w:szCs w:val="22"/>
                <w:lang w:bidi="ar"/>
              </w:rPr>
            </w:pPr>
          </w:p>
        </w:tc>
      </w:tr>
      <w:tr w14:paraId="1827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D2F6D10">
            <w:pPr>
              <w:jc w:val="center"/>
              <w:rPr>
                <w:rFonts w:ascii="宋体" w:hAnsi="宋体" w:eastAsia="宋体" w:cs="Times New Roman"/>
                <w:color w:val="auto"/>
                <w:szCs w:val="22"/>
                <w:lang w:bidi="ar"/>
              </w:rPr>
            </w:pPr>
            <w:r>
              <w:rPr>
                <w:rFonts w:ascii="宋体" w:hAnsi="宋体" w:eastAsia="宋体" w:cs="Times New Roman"/>
                <w:color w:val="auto"/>
                <w:szCs w:val="22"/>
                <w:lang w:bidi="ar"/>
              </w:rPr>
              <w:t>1</w:t>
            </w:r>
          </w:p>
        </w:tc>
        <w:tc>
          <w:tcPr>
            <w:tcW w:w="1130" w:type="pct"/>
            <w:shd w:val="clear" w:color="auto" w:fill="auto"/>
            <w:vAlign w:val="center"/>
          </w:tcPr>
          <w:p w14:paraId="0F77CEB0">
            <w:pPr>
              <w:jc w:val="center"/>
              <w:rPr>
                <w:rFonts w:ascii="宋体" w:hAnsi="宋体" w:eastAsia="宋体" w:cs="Times New Roman"/>
                <w:color w:val="auto"/>
                <w:szCs w:val="22"/>
                <w:lang w:bidi="ar"/>
              </w:rPr>
            </w:pPr>
            <w:r>
              <w:rPr>
                <w:rFonts w:ascii="宋体" w:hAnsi="宋体" w:eastAsia="宋体" w:cs="Times New Roman"/>
                <w:color w:val="auto"/>
                <w:szCs w:val="22"/>
                <w:lang w:bidi="ar"/>
              </w:rPr>
              <w:t>As</w:t>
            </w:r>
          </w:p>
        </w:tc>
        <w:tc>
          <w:tcPr>
            <w:tcW w:w="703" w:type="pct"/>
            <w:shd w:val="clear" w:color="auto" w:fill="auto"/>
            <w:vAlign w:val="center"/>
          </w:tcPr>
          <w:p w14:paraId="0241018B">
            <w:pPr>
              <w:jc w:val="center"/>
              <w:rPr>
                <w:rFonts w:ascii="宋体" w:hAnsi="宋体" w:eastAsia="宋体" w:cs="Times New Roman"/>
                <w:color w:val="auto"/>
                <w:szCs w:val="22"/>
                <w:lang w:bidi="ar"/>
              </w:rPr>
            </w:pPr>
            <w:r>
              <w:rPr>
                <w:rFonts w:ascii="宋体" w:hAnsi="宋体" w:eastAsia="宋体" w:cs="Times New Roman"/>
                <w:color w:val="auto"/>
                <w:szCs w:val="22"/>
                <w:lang w:bidi="ar"/>
              </w:rPr>
              <w:t>20</w:t>
            </w:r>
          </w:p>
        </w:tc>
        <w:tc>
          <w:tcPr>
            <w:tcW w:w="704" w:type="pct"/>
            <w:shd w:val="clear" w:color="auto" w:fill="auto"/>
            <w:vAlign w:val="center"/>
          </w:tcPr>
          <w:p w14:paraId="12E4EF8A">
            <w:pPr>
              <w:jc w:val="center"/>
              <w:rPr>
                <w:rFonts w:ascii="宋体" w:hAnsi="宋体" w:eastAsia="宋体" w:cs="Times New Roman"/>
                <w:color w:val="auto"/>
                <w:szCs w:val="22"/>
                <w:lang w:bidi="ar"/>
              </w:rPr>
            </w:pPr>
            <w:r>
              <w:rPr>
                <w:rFonts w:ascii="宋体" w:hAnsi="宋体" w:eastAsia="宋体" w:cs="Times New Roman"/>
                <w:color w:val="auto"/>
                <w:szCs w:val="22"/>
                <w:lang w:bidi="ar"/>
              </w:rPr>
              <w:t>60</w:t>
            </w:r>
          </w:p>
        </w:tc>
        <w:tc>
          <w:tcPr>
            <w:tcW w:w="2030" w:type="pct"/>
            <w:vMerge w:val="restart"/>
            <w:shd w:val="clear" w:color="auto" w:fill="auto"/>
            <w:vAlign w:val="center"/>
          </w:tcPr>
          <w:p w14:paraId="73C643E5">
            <w:pPr>
              <w:jc w:val="center"/>
              <w:rPr>
                <w:rFonts w:ascii="宋体" w:hAnsi="宋体" w:eastAsia="宋体" w:cs="Times New Roman"/>
                <w:color w:val="auto"/>
                <w:szCs w:val="22"/>
                <w:lang w:bidi="ar"/>
              </w:rPr>
            </w:pPr>
            <w:r>
              <w:rPr>
                <w:rFonts w:ascii="宋体" w:hAnsi="宋体" w:eastAsia="宋体" w:cs="Times New Roman"/>
                <w:color w:val="auto"/>
                <w:szCs w:val="22"/>
                <w:lang w:bidi="ar"/>
              </w:rPr>
              <w:t>《土壤环境质量 建设用地土壤污染风险管控标准（试行）》（GB36600-2018）基本项目</w:t>
            </w:r>
          </w:p>
        </w:tc>
      </w:tr>
      <w:tr w14:paraId="6E7B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413DE16D">
            <w:pPr>
              <w:jc w:val="center"/>
              <w:rPr>
                <w:rFonts w:ascii="宋体" w:hAnsi="宋体" w:eastAsia="宋体" w:cs="Times New Roman"/>
                <w:color w:val="auto"/>
                <w:szCs w:val="22"/>
                <w:lang w:bidi="ar"/>
              </w:rPr>
            </w:pPr>
            <w:r>
              <w:rPr>
                <w:rFonts w:ascii="宋体" w:hAnsi="宋体" w:eastAsia="宋体" w:cs="Times New Roman"/>
                <w:color w:val="auto"/>
                <w:szCs w:val="22"/>
                <w:lang w:bidi="ar"/>
              </w:rPr>
              <w:t>2</w:t>
            </w:r>
          </w:p>
        </w:tc>
        <w:tc>
          <w:tcPr>
            <w:tcW w:w="1130" w:type="pct"/>
            <w:shd w:val="clear" w:color="auto" w:fill="auto"/>
            <w:vAlign w:val="center"/>
          </w:tcPr>
          <w:p w14:paraId="7DFDE850">
            <w:pPr>
              <w:jc w:val="center"/>
              <w:rPr>
                <w:rFonts w:ascii="宋体" w:hAnsi="宋体" w:eastAsia="宋体" w:cs="Times New Roman"/>
                <w:color w:val="auto"/>
                <w:szCs w:val="22"/>
                <w:lang w:bidi="ar"/>
              </w:rPr>
            </w:pPr>
            <w:r>
              <w:rPr>
                <w:rFonts w:ascii="宋体" w:hAnsi="宋体" w:eastAsia="宋体" w:cs="Times New Roman"/>
                <w:color w:val="auto"/>
                <w:szCs w:val="22"/>
                <w:lang w:bidi="ar"/>
              </w:rPr>
              <w:t>Cd</w:t>
            </w:r>
          </w:p>
        </w:tc>
        <w:tc>
          <w:tcPr>
            <w:tcW w:w="703" w:type="pct"/>
            <w:shd w:val="clear" w:color="auto" w:fill="auto"/>
            <w:vAlign w:val="center"/>
          </w:tcPr>
          <w:p w14:paraId="10C63D7A">
            <w:pPr>
              <w:jc w:val="center"/>
              <w:rPr>
                <w:rFonts w:ascii="宋体" w:hAnsi="宋体" w:eastAsia="宋体" w:cs="Times New Roman"/>
                <w:color w:val="auto"/>
                <w:szCs w:val="22"/>
                <w:lang w:bidi="ar"/>
              </w:rPr>
            </w:pPr>
            <w:r>
              <w:rPr>
                <w:rFonts w:ascii="宋体" w:hAnsi="宋体" w:eastAsia="宋体" w:cs="Times New Roman"/>
                <w:color w:val="auto"/>
                <w:szCs w:val="22"/>
                <w:lang w:bidi="ar"/>
              </w:rPr>
              <w:t>20</w:t>
            </w:r>
          </w:p>
        </w:tc>
        <w:tc>
          <w:tcPr>
            <w:tcW w:w="704" w:type="pct"/>
            <w:shd w:val="clear" w:color="auto" w:fill="auto"/>
            <w:vAlign w:val="center"/>
          </w:tcPr>
          <w:p w14:paraId="203120E7">
            <w:pPr>
              <w:jc w:val="center"/>
              <w:rPr>
                <w:rFonts w:ascii="宋体" w:hAnsi="宋体" w:eastAsia="宋体" w:cs="Times New Roman"/>
                <w:color w:val="auto"/>
                <w:szCs w:val="22"/>
                <w:lang w:bidi="ar"/>
              </w:rPr>
            </w:pPr>
            <w:r>
              <w:rPr>
                <w:rFonts w:ascii="宋体" w:hAnsi="宋体" w:eastAsia="宋体" w:cs="Times New Roman"/>
                <w:color w:val="auto"/>
                <w:szCs w:val="22"/>
                <w:lang w:bidi="ar"/>
              </w:rPr>
              <w:t>65</w:t>
            </w:r>
          </w:p>
        </w:tc>
        <w:tc>
          <w:tcPr>
            <w:tcW w:w="2030" w:type="pct"/>
            <w:vMerge w:val="continue"/>
            <w:shd w:val="clear" w:color="auto" w:fill="auto"/>
            <w:vAlign w:val="center"/>
          </w:tcPr>
          <w:p w14:paraId="17C7FE82">
            <w:pPr>
              <w:jc w:val="center"/>
              <w:rPr>
                <w:rFonts w:ascii="宋体" w:hAnsi="宋体" w:eastAsia="宋体" w:cs="Times New Roman"/>
                <w:color w:val="auto"/>
                <w:szCs w:val="22"/>
                <w:lang w:bidi="ar"/>
              </w:rPr>
            </w:pPr>
          </w:p>
        </w:tc>
      </w:tr>
      <w:tr w14:paraId="0C99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1486090B">
            <w:pPr>
              <w:jc w:val="center"/>
              <w:rPr>
                <w:rFonts w:ascii="宋体" w:hAnsi="宋体" w:eastAsia="宋体" w:cs="Times New Roman"/>
                <w:color w:val="auto"/>
                <w:szCs w:val="22"/>
                <w:lang w:bidi="ar"/>
              </w:rPr>
            </w:pPr>
            <w:r>
              <w:rPr>
                <w:rFonts w:ascii="宋体" w:hAnsi="宋体" w:eastAsia="宋体" w:cs="Times New Roman"/>
                <w:color w:val="auto"/>
                <w:szCs w:val="22"/>
                <w:lang w:bidi="ar"/>
              </w:rPr>
              <w:t>3</w:t>
            </w:r>
          </w:p>
        </w:tc>
        <w:tc>
          <w:tcPr>
            <w:tcW w:w="1130" w:type="pct"/>
            <w:shd w:val="clear" w:color="auto" w:fill="auto"/>
            <w:vAlign w:val="center"/>
          </w:tcPr>
          <w:p w14:paraId="7515AE0E">
            <w:pPr>
              <w:jc w:val="center"/>
              <w:rPr>
                <w:rFonts w:ascii="宋体" w:hAnsi="宋体" w:eastAsia="宋体" w:cs="Times New Roman"/>
                <w:color w:val="auto"/>
                <w:szCs w:val="22"/>
                <w:lang w:bidi="ar"/>
              </w:rPr>
            </w:pPr>
            <w:r>
              <w:rPr>
                <w:rFonts w:ascii="宋体" w:hAnsi="宋体" w:eastAsia="宋体" w:cs="Times New Roman"/>
                <w:color w:val="auto"/>
                <w:szCs w:val="22"/>
                <w:lang w:bidi="ar"/>
              </w:rPr>
              <w:t>Cr（六价）</w:t>
            </w:r>
          </w:p>
        </w:tc>
        <w:tc>
          <w:tcPr>
            <w:tcW w:w="703" w:type="pct"/>
            <w:shd w:val="clear" w:color="auto" w:fill="auto"/>
            <w:vAlign w:val="center"/>
          </w:tcPr>
          <w:p w14:paraId="5BC33EBA">
            <w:pPr>
              <w:jc w:val="center"/>
              <w:rPr>
                <w:rFonts w:ascii="宋体" w:hAnsi="宋体" w:eastAsia="宋体" w:cs="Times New Roman"/>
                <w:color w:val="auto"/>
                <w:szCs w:val="22"/>
                <w:lang w:bidi="ar"/>
              </w:rPr>
            </w:pPr>
            <w:r>
              <w:rPr>
                <w:rFonts w:ascii="宋体" w:hAnsi="宋体" w:eastAsia="宋体" w:cs="Times New Roman"/>
                <w:color w:val="auto"/>
                <w:szCs w:val="22"/>
                <w:lang w:bidi="ar"/>
              </w:rPr>
              <w:t>3.0</w:t>
            </w:r>
          </w:p>
        </w:tc>
        <w:tc>
          <w:tcPr>
            <w:tcW w:w="704" w:type="pct"/>
            <w:shd w:val="clear" w:color="auto" w:fill="auto"/>
            <w:vAlign w:val="center"/>
          </w:tcPr>
          <w:p w14:paraId="6C4A5848">
            <w:pPr>
              <w:jc w:val="center"/>
              <w:rPr>
                <w:rFonts w:ascii="宋体" w:hAnsi="宋体" w:eastAsia="宋体" w:cs="Times New Roman"/>
                <w:color w:val="auto"/>
                <w:szCs w:val="22"/>
                <w:lang w:bidi="ar"/>
              </w:rPr>
            </w:pPr>
            <w:r>
              <w:rPr>
                <w:rFonts w:ascii="宋体" w:hAnsi="宋体" w:eastAsia="宋体" w:cs="Times New Roman"/>
                <w:color w:val="auto"/>
                <w:szCs w:val="22"/>
                <w:lang w:bidi="ar"/>
              </w:rPr>
              <w:t>5.7</w:t>
            </w:r>
          </w:p>
        </w:tc>
        <w:tc>
          <w:tcPr>
            <w:tcW w:w="2030" w:type="pct"/>
            <w:vMerge w:val="continue"/>
            <w:shd w:val="clear" w:color="auto" w:fill="auto"/>
            <w:vAlign w:val="center"/>
          </w:tcPr>
          <w:p w14:paraId="7B29C5E0">
            <w:pPr>
              <w:jc w:val="center"/>
              <w:rPr>
                <w:rFonts w:ascii="宋体" w:hAnsi="宋体" w:eastAsia="宋体" w:cs="Times New Roman"/>
                <w:color w:val="auto"/>
                <w:szCs w:val="22"/>
                <w:lang w:bidi="ar"/>
              </w:rPr>
            </w:pPr>
          </w:p>
        </w:tc>
      </w:tr>
      <w:tr w14:paraId="4E60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6BB343C9">
            <w:pPr>
              <w:jc w:val="center"/>
              <w:rPr>
                <w:rFonts w:ascii="宋体" w:hAnsi="宋体" w:eastAsia="宋体" w:cs="Times New Roman"/>
                <w:color w:val="auto"/>
                <w:szCs w:val="22"/>
                <w:lang w:bidi="ar"/>
              </w:rPr>
            </w:pPr>
            <w:r>
              <w:rPr>
                <w:rFonts w:ascii="宋体" w:hAnsi="宋体" w:eastAsia="宋体" w:cs="Times New Roman"/>
                <w:color w:val="auto"/>
                <w:szCs w:val="22"/>
                <w:lang w:bidi="ar"/>
              </w:rPr>
              <w:t>4</w:t>
            </w:r>
          </w:p>
        </w:tc>
        <w:tc>
          <w:tcPr>
            <w:tcW w:w="1130" w:type="pct"/>
            <w:shd w:val="clear" w:color="auto" w:fill="auto"/>
            <w:vAlign w:val="center"/>
          </w:tcPr>
          <w:p w14:paraId="573C5494">
            <w:pPr>
              <w:jc w:val="center"/>
              <w:rPr>
                <w:rFonts w:ascii="宋体" w:hAnsi="宋体" w:eastAsia="宋体" w:cs="Times New Roman"/>
                <w:color w:val="auto"/>
                <w:szCs w:val="22"/>
                <w:lang w:bidi="ar"/>
              </w:rPr>
            </w:pPr>
            <w:r>
              <w:rPr>
                <w:rFonts w:ascii="宋体" w:hAnsi="宋体" w:eastAsia="宋体" w:cs="Times New Roman"/>
                <w:color w:val="auto"/>
                <w:szCs w:val="22"/>
                <w:lang w:bidi="ar"/>
              </w:rPr>
              <w:t>Cu</w:t>
            </w:r>
          </w:p>
        </w:tc>
        <w:tc>
          <w:tcPr>
            <w:tcW w:w="703" w:type="pct"/>
            <w:shd w:val="clear" w:color="auto" w:fill="auto"/>
            <w:vAlign w:val="center"/>
          </w:tcPr>
          <w:p w14:paraId="40859499">
            <w:pPr>
              <w:jc w:val="center"/>
              <w:rPr>
                <w:rFonts w:ascii="宋体" w:hAnsi="宋体" w:eastAsia="宋体" w:cs="Times New Roman"/>
                <w:color w:val="auto"/>
                <w:szCs w:val="22"/>
                <w:lang w:bidi="ar"/>
              </w:rPr>
            </w:pPr>
            <w:r>
              <w:rPr>
                <w:rFonts w:ascii="宋体" w:hAnsi="宋体" w:eastAsia="宋体" w:cs="Times New Roman"/>
                <w:color w:val="auto"/>
                <w:szCs w:val="22"/>
                <w:lang w:bidi="ar"/>
              </w:rPr>
              <w:t>2000</w:t>
            </w:r>
          </w:p>
        </w:tc>
        <w:tc>
          <w:tcPr>
            <w:tcW w:w="704" w:type="pct"/>
            <w:shd w:val="clear" w:color="auto" w:fill="auto"/>
            <w:vAlign w:val="center"/>
          </w:tcPr>
          <w:p w14:paraId="5FA27B76">
            <w:pPr>
              <w:jc w:val="center"/>
              <w:rPr>
                <w:rFonts w:ascii="宋体" w:hAnsi="宋体" w:eastAsia="宋体" w:cs="Times New Roman"/>
                <w:color w:val="auto"/>
                <w:szCs w:val="22"/>
                <w:lang w:bidi="ar"/>
              </w:rPr>
            </w:pPr>
            <w:r>
              <w:rPr>
                <w:rFonts w:ascii="宋体" w:hAnsi="宋体" w:eastAsia="宋体" w:cs="Times New Roman"/>
                <w:color w:val="auto"/>
                <w:szCs w:val="22"/>
                <w:lang w:bidi="ar"/>
              </w:rPr>
              <w:t>18000</w:t>
            </w:r>
          </w:p>
        </w:tc>
        <w:tc>
          <w:tcPr>
            <w:tcW w:w="2030" w:type="pct"/>
            <w:vMerge w:val="continue"/>
            <w:shd w:val="clear" w:color="auto" w:fill="auto"/>
            <w:vAlign w:val="center"/>
          </w:tcPr>
          <w:p w14:paraId="77673B73">
            <w:pPr>
              <w:jc w:val="center"/>
              <w:rPr>
                <w:rFonts w:ascii="宋体" w:hAnsi="宋体" w:eastAsia="宋体" w:cs="Times New Roman"/>
                <w:color w:val="auto"/>
                <w:szCs w:val="22"/>
                <w:lang w:bidi="ar"/>
              </w:rPr>
            </w:pPr>
          </w:p>
        </w:tc>
      </w:tr>
      <w:tr w14:paraId="06C1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6CCB9985">
            <w:pPr>
              <w:jc w:val="center"/>
              <w:rPr>
                <w:rFonts w:ascii="宋体" w:hAnsi="宋体" w:eastAsia="宋体" w:cs="Times New Roman"/>
                <w:color w:val="auto"/>
                <w:szCs w:val="22"/>
                <w:lang w:bidi="ar"/>
              </w:rPr>
            </w:pPr>
            <w:r>
              <w:rPr>
                <w:rFonts w:ascii="宋体" w:hAnsi="宋体" w:eastAsia="宋体" w:cs="Times New Roman"/>
                <w:color w:val="auto"/>
                <w:szCs w:val="22"/>
                <w:lang w:bidi="ar"/>
              </w:rPr>
              <w:t>5</w:t>
            </w:r>
          </w:p>
        </w:tc>
        <w:tc>
          <w:tcPr>
            <w:tcW w:w="1130" w:type="pct"/>
            <w:shd w:val="clear" w:color="auto" w:fill="auto"/>
            <w:vAlign w:val="center"/>
          </w:tcPr>
          <w:p w14:paraId="59CD6446">
            <w:pPr>
              <w:jc w:val="center"/>
              <w:rPr>
                <w:rFonts w:ascii="宋体" w:hAnsi="宋体" w:eastAsia="宋体" w:cs="Times New Roman"/>
                <w:color w:val="auto"/>
                <w:szCs w:val="22"/>
                <w:lang w:bidi="ar"/>
              </w:rPr>
            </w:pPr>
            <w:r>
              <w:rPr>
                <w:rFonts w:ascii="宋体" w:hAnsi="宋体" w:eastAsia="宋体" w:cs="Times New Roman"/>
                <w:color w:val="auto"/>
                <w:szCs w:val="22"/>
                <w:lang w:bidi="ar"/>
              </w:rPr>
              <w:t>Pb</w:t>
            </w:r>
          </w:p>
        </w:tc>
        <w:tc>
          <w:tcPr>
            <w:tcW w:w="703" w:type="pct"/>
            <w:shd w:val="clear" w:color="auto" w:fill="auto"/>
            <w:vAlign w:val="center"/>
          </w:tcPr>
          <w:p w14:paraId="378CAD11">
            <w:pPr>
              <w:jc w:val="center"/>
              <w:rPr>
                <w:rFonts w:ascii="宋体" w:hAnsi="宋体" w:eastAsia="宋体" w:cs="Times New Roman"/>
                <w:color w:val="auto"/>
                <w:szCs w:val="22"/>
                <w:lang w:bidi="ar"/>
              </w:rPr>
            </w:pPr>
            <w:r>
              <w:rPr>
                <w:rFonts w:ascii="宋体" w:hAnsi="宋体" w:eastAsia="宋体" w:cs="Times New Roman"/>
                <w:color w:val="auto"/>
                <w:szCs w:val="22"/>
                <w:lang w:bidi="ar"/>
              </w:rPr>
              <w:t>400</w:t>
            </w:r>
          </w:p>
        </w:tc>
        <w:tc>
          <w:tcPr>
            <w:tcW w:w="704" w:type="pct"/>
            <w:shd w:val="clear" w:color="auto" w:fill="auto"/>
            <w:vAlign w:val="center"/>
          </w:tcPr>
          <w:p w14:paraId="2AD844A3">
            <w:pPr>
              <w:jc w:val="center"/>
              <w:rPr>
                <w:rFonts w:ascii="宋体" w:hAnsi="宋体" w:eastAsia="宋体" w:cs="Times New Roman"/>
                <w:color w:val="auto"/>
                <w:szCs w:val="22"/>
                <w:lang w:bidi="ar"/>
              </w:rPr>
            </w:pPr>
            <w:r>
              <w:rPr>
                <w:rFonts w:ascii="宋体" w:hAnsi="宋体" w:eastAsia="宋体" w:cs="Times New Roman"/>
                <w:color w:val="auto"/>
                <w:szCs w:val="22"/>
                <w:lang w:bidi="ar"/>
              </w:rPr>
              <w:t>800</w:t>
            </w:r>
          </w:p>
        </w:tc>
        <w:tc>
          <w:tcPr>
            <w:tcW w:w="2030" w:type="pct"/>
            <w:vMerge w:val="continue"/>
            <w:shd w:val="clear" w:color="auto" w:fill="auto"/>
            <w:vAlign w:val="center"/>
          </w:tcPr>
          <w:p w14:paraId="45CDE46D">
            <w:pPr>
              <w:jc w:val="center"/>
              <w:rPr>
                <w:rFonts w:ascii="宋体" w:hAnsi="宋体" w:eastAsia="宋体" w:cs="Times New Roman"/>
                <w:color w:val="auto"/>
                <w:szCs w:val="22"/>
                <w:lang w:bidi="ar"/>
              </w:rPr>
            </w:pPr>
          </w:p>
        </w:tc>
      </w:tr>
      <w:tr w14:paraId="5CD1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354915E3">
            <w:pPr>
              <w:jc w:val="center"/>
              <w:rPr>
                <w:rFonts w:ascii="宋体" w:hAnsi="宋体" w:eastAsia="宋体" w:cs="Times New Roman"/>
                <w:color w:val="auto"/>
                <w:szCs w:val="22"/>
                <w:lang w:bidi="ar"/>
              </w:rPr>
            </w:pPr>
            <w:r>
              <w:rPr>
                <w:rFonts w:ascii="宋体" w:hAnsi="宋体" w:eastAsia="宋体" w:cs="Times New Roman"/>
                <w:color w:val="auto"/>
                <w:szCs w:val="22"/>
                <w:lang w:bidi="ar"/>
              </w:rPr>
              <w:t>6</w:t>
            </w:r>
          </w:p>
        </w:tc>
        <w:tc>
          <w:tcPr>
            <w:tcW w:w="1130" w:type="pct"/>
            <w:shd w:val="clear" w:color="auto" w:fill="auto"/>
            <w:vAlign w:val="center"/>
          </w:tcPr>
          <w:p w14:paraId="4FD975A3">
            <w:pPr>
              <w:jc w:val="center"/>
              <w:rPr>
                <w:rFonts w:ascii="宋体" w:hAnsi="宋体" w:eastAsia="宋体" w:cs="Times New Roman"/>
                <w:color w:val="auto"/>
                <w:szCs w:val="22"/>
                <w:lang w:bidi="ar"/>
              </w:rPr>
            </w:pPr>
            <w:r>
              <w:rPr>
                <w:rFonts w:ascii="宋体" w:hAnsi="宋体" w:eastAsia="宋体" w:cs="Times New Roman"/>
                <w:color w:val="auto"/>
                <w:szCs w:val="22"/>
                <w:lang w:bidi="ar"/>
              </w:rPr>
              <w:t>Hg</w:t>
            </w:r>
          </w:p>
        </w:tc>
        <w:tc>
          <w:tcPr>
            <w:tcW w:w="703" w:type="pct"/>
            <w:shd w:val="clear" w:color="auto" w:fill="auto"/>
            <w:vAlign w:val="center"/>
          </w:tcPr>
          <w:p w14:paraId="6482D5B0">
            <w:pPr>
              <w:jc w:val="center"/>
              <w:rPr>
                <w:rFonts w:ascii="宋体" w:hAnsi="宋体" w:eastAsia="宋体" w:cs="Times New Roman"/>
                <w:color w:val="auto"/>
                <w:szCs w:val="22"/>
                <w:lang w:bidi="ar"/>
              </w:rPr>
            </w:pPr>
            <w:r>
              <w:rPr>
                <w:rFonts w:ascii="宋体" w:hAnsi="宋体" w:eastAsia="宋体" w:cs="Times New Roman"/>
                <w:color w:val="auto"/>
                <w:szCs w:val="22"/>
                <w:lang w:bidi="ar"/>
              </w:rPr>
              <w:t>8</w:t>
            </w:r>
          </w:p>
        </w:tc>
        <w:tc>
          <w:tcPr>
            <w:tcW w:w="704" w:type="pct"/>
            <w:shd w:val="clear" w:color="auto" w:fill="auto"/>
            <w:vAlign w:val="center"/>
          </w:tcPr>
          <w:p w14:paraId="0A4CBB39">
            <w:pPr>
              <w:jc w:val="center"/>
              <w:rPr>
                <w:rFonts w:ascii="宋体" w:hAnsi="宋体" w:eastAsia="宋体" w:cs="Times New Roman"/>
                <w:color w:val="auto"/>
                <w:szCs w:val="22"/>
                <w:lang w:bidi="ar"/>
              </w:rPr>
            </w:pPr>
            <w:r>
              <w:rPr>
                <w:rFonts w:ascii="宋体" w:hAnsi="宋体" w:eastAsia="宋体" w:cs="Times New Roman"/>
                <w:color w:val="auto"/>
                <w:szCs w:val="22"/>
                <w:lang w:bidi="ar"/>
              </w:rPr>
              <w:t>38</w:t>
            </w:r>
          </w:p>
        </w:tc>
        <w:tc>
          <w:tcPr>
            <w:tcW w:w="2030" w:type="pct"/>
            <w:vMerge w:val="continue"/>
            <w:shd w:val="clear" w:color="auto" w:fill="auto"/>
            <w:vAlign w:val="center"/>
          </w:tcPr>
          <w:p w14:paraId="3CB73DF8">
            <w:pPr>
              <w:jc w:val="center"/>
              <w:rPr>
                <w:rFonts w:ascii="宋体" w:hAnsi="宋体" w:eastAsia="宋体" w:cs="Times New Roman"/>
                <w:color w:val="auto"/>
                <w:szCs w:val="22"/>
                <w:lang w:bidi="ar"/>
              </w:rPr>
            </w:pPr>
          </w:p>
        </w:tc>
      </w:tr>
      <w:tr w14:paraId="1666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5CB06149">
            <w:pPr>
              <w:jc w:val="center"/>
              <w:rPr>
                <w:rFonts w:ascii="宋体" w:hAnsi="宋体" w:eastAsia="宋体" w:cs="Times New Roman"/>
                <w:color w:val="auto"/>
                <w:szCs w:val="22"/>
                <w:lang w:bidi="ar"/>
              </w:rPr>
            </w:pPr>
            <w:r>
              <w:rPr>
                <w:rFonts w:ascii="宋体" w:hAnsi="宋体" w:eastAsia="宋体" w:cs="Times New Roman"/>
                <w:color w:val="auto"/>
                <w:szCs w:val="22"/>
                <w:lang w:bidi="ar"/>
              </w:rPr>
              <w:t>7</w:t>
            </w:r>
          </w:p>
        </w:tc>
        <w:tc>
          <w:tcPr>
            <w:tcW w:w="1130" w:type="pct"/>
            <w:shd w:val="clear" w:color="auto" w:fill="auto"/>
            <w:vAlign w:val="center"/>
          </w:tcPr>
          <w:p w14:paraId="759102EF">
            <w:pPr>
              <w:jc w:val="center"/>
              <w:rPr>
                <w:rFonts w:ascii="宋体" w:hAnsi="宋体" w:eastAsia="宋体" w:cs="Times New Roman"/>
                <w:color w:val="auto"/>
                <w:szCs w:val="22"/>
                <w:lang w:bidi="ar"/>
              </w:rPr>
            </w:pPr>
            <w:r>
              <w:rPr>
                <w:rFonts w:ascii="宋体" w:hAnsi="宋体" w:eastAsia="宋体" w:cs="Times New Roman"/>
                <w:color w:val="auto"/>
                <w:szCs w:val="22"/>
                <w:lang w:bidi="ar"/>
              </w:rPr>
              <w:t>Ni</w:t>
            </w:r>
          </w:p>
        </w:tc>
        <w:tc>
          <w:tcPr>
            <w:tcW w:w="703" w:type="pct"/>
            <w:shd w:val="clear" w:color="auto" w:fill="auto"/>
            <w:vAlign w:val="center"/>
          </w:tcPr>
          <w:p w14:paraId="572A8DB9">
            <w:pPr>
              <w:jc w:val="center"/>
              <w:rPr>
                <w:rFonts w:ascii="宋体" w:hAnsi="宋体" w:eastAsia="宋体" w:cs="Times New Roman"/>
                <w:color w:val="auto"/>
                <w:szCs w:val="22"/>
                <w:lang w:bidi="ar"/>
              </w:rPr>
            </w:pPr>
            <w:r>
              <w:rPr>
                <w:rFonts w:ascii="宋体" w:hAnsi="宋体" w:eastAsia="宋体" w:cs="Times New Roman"/>
                <w:color w:val="auto"/>
                <w:szCs w:val="22"/>
                <w:lang w:bidi="ar"/>
              </w:rPr>
              <w:t>150</w:t>
            </w:r>
          </w:p>
        </w:tc>
        <w:tc>
          <w:tcPr>
            <w:tcW w:w="704" w:type="pct"/>
            <w:shd w:val="clear" w:color="auto" w:fill="auto"/>
            <w:vAlign w:val="center"/>
          </w:tcPr>
          <w:p w14:paraId="168BD8A3">
            <w:pPr>
              <w:jc w:val="center"/>
              <w:rPr>
                <w:rFonts w:ascii="宋体" w:hAnsi="宋体" w:eastAsia="宋体" w:cs="Times New Roman"/>
                <w:color w:val="auto"/>
                <w:szCs w:val="22"/>
                <w:lang w:bidi="ar"/>
              </w:rPr>
            </w:pPr>
            <w:r>
              <w:rPr>
                <w:rFonts w:ascii="宋体" w:hAnsi="宋体" w:eastAsia="宋体" w:cs="Times New Roman"/>
                <w:color w:val="auto"/>
                <w:szCs w:val="22"/>
                <w:lang w:bidi="ar"/>
              </w:rPr>
              <w:t>900</w:t>
            </w:r>
          </w:p>
        </w:tc>
        <w:tc>
          <w:tcPr>
            <w:tcW w:w="2030" w:type="pct"/>
            <w:vMerge w:val="continue"/>
            <w:shd w:val="clear" w:color="auto" w:fill="auto"/>
            <w:vAlign w:val="center"/>
          </w:tcPr>
          <w:p w14:paraId="0E02A44F">
            <w:pPr>
              <w:jc w:val="center"/>
              <w:rPr>
                <w:rFonts w:ascii="宋体" w:hAnsi="宋体" w:eastAsia="宋体" w:cs="Times New Roman"/>
                <w:color w:val="auto"/>
                <w:szCs w:val="22"/>
                <w:lang w:bidi="ar"/>
              </w:rPr>
            </w:pPr>
          </w:p>
        </w:tc>
      </w:tr>
      <w:tr w14:paraId="7143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664A39E6">
            <w:pPr>
              <w:jc w:val="center"/>
              <w:rPr>
                <w:rFonts w:ascii="宋体" w:hAnsi="宋体" w:eastAsia="宋体" w:cs="Times New Roman"/>
                <w:color w:val="auto"/>
                <w:szCs w:val="22"/>
                <w:lang w:bidi="ar"/>
              </w:rPr>
            </w:pPr>
            <w:r>
              <w:rPr>
                <w:rFonts w:ascii="宋体" w:hAnsi="宋体" w:eastAsia="宋体" w:cs="Times New Roman"/>
                <w:color w:val="auto"/>
                <w:szCs w:val="22"/>
                <w:lang w:bidi="ar"/>
              </w:rPr>
              <w:t>8</w:t>
            </w:r>
          </w:p>
        </w:tc>
        <w:tc>
          <w:tcPr>
            <w:tcW w:w="1130" w:type="pct"/>
            <w:shd w:val="clear" w:color="auto" w:fill="auto"/>
            <w:vAlign w:val="center"/>
          </w:tcPr>
          <w:p w14:paraId="489C0E7C">
            <w:pPr>
              <w:jc w:val="center"/>
              <w:rPr>
                <w:rFonts w:ascii="宋体" w:hAnsi="宋体" w:eastAsia="宋体" w:cs="Times New Roman"/>
                <w:color w:val="auto"/>
                <w:szCs w:val="22"/>
                <w:lang w:bidi="ar"/>
              </w:rPr>
            </w:pPr>
            <w:r>
              <w:rPr>
                <w:rFonts w:ascii="宋体" w:hAnsi="宋体" w:eastAsia="宋体" w:cs="Times New Roman"/>
                <w:color w:val="auto"/>
                <w:szCs w:val="22"/>
                <w:lang w:bidi="ar"/>
              </w:rPr>
              <w:t>四氯化碳</w:t>
            </w:r>
          </w:p>
        </w:tc>
        <w:tc>
          <w:tcPr>
            <w:tcW w:w="703" w:type="pct"/>
            <w:shd w:val="clear" w:color="auto" w:fill="auto"/>
            <w:vAlign w:val="center"/>
          </w:tcPr>
          <w:p w14:paraId="25E49466">
            <w:pPr>
              <w:jc w:val="center"/>
              <w:rPr>
                <w:rFonts w:ascii="宋体" w:hAnsi="宋体" w:eastAsia="宋体" w:cs="Times New Roman"/>
                <w:color w:val="auto"/>
                <w:szCs w:val="22"/>
                <w:lang w:bidi="ar"/>
              </w:rPr>
            </w:pPr>
            <w:r>
              <w:rPr>
                <w:rFonts w:ascii="宋体" w:hAnsi="宋体" w:eastAsia="宋体" w:cs="Times New Roman"/>
                <w:color w:val="auto"/>
                <w:szCs w:val="22"/>
                <w:lang w:bidi="ar"/>
              </w:rPr>
              <w:t>0.9</w:t>
            </w:r>
          </w:p>
        </w:tc>
        <w:tc>
          <w:tcPr>
            <w:tcW w:w="704" w:type="pct"/>
            <w:shd w:val="clear" w:color="auto" w:fill="auto"/>
            <w:vAlign w:val="center"/>
          </w:tcPr>
          <w:p w14:paraId="4D1DCF5E">
            <w:pPr>
              <w:jc w:val="center"/>
              <w:rPr>
                <w:rFonts w:ascii="宋体" w:hAnsi="宋体" w:eastAsia="宋体" w:cs="Times New Roman"/>
                <w:color w:val="auto"/>
                <w:szCs w:val="22"/>
                <w:lang w:bidi="ar"/>
              </w:rPr>
            </w:pPr>
            <w:r>
              <w:rPr>
                <w:rFonts w:ascii="宋体" w:hAnsi="宋体" w:eastAsia="宋体" w:cs="Times New Roman"/>
                <w:color w:val="auto"/>
                <w:szCs w:val="22"/>
                <w:lang w:bidi="ar"/>
              </w:rPr>
              <w:t>2.8</w:t>
            </w:r>
          </w:p>
        </w:tc>
        <w:tc>
          <w:tcPr>
            <w:tcW w:w="2030" w:type="pct"/>
            <w:vMerge w:val="continue"/>
            <w:shd w:val="clear" w:color="auto" w:fill="auto"/>
            <w:vAlign w:val="center"/>
          </w:tcPr>
          <w:p w14:paraId="0BA9197A">
            <w:pPr>
              <w:jc w:val="center"/>
              <w:rPr>
                <w:rFonts w:ascii="宋体" w:hAnsi="宋体" w:eastAsia="宋体" w:cs="Times New Roman"/>
                <w:color w:val="auto"/>
                <w:szCs w:val="22"/>
                <w:lang w:bidi="ar"/>
              </w:rPr>
            </w:pPr>
          </w:p>
        </w:tc>
      </w:tr>
      <w:tr w14:paraId="5499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334A4668">
            <w:pPr>
              <w:jc w:val="center"/>
              <w:rPr>
                <w:rFonts w:ascii="宋体" w:hAnsi="宋体" w:eastAsia="宋体" w:cs="Times New Roman"/>
                <w:color w:val="auto"/>
                <w:szCs w:val="22"/>
                <w:lang w:bidi="ar"/>
              </w:rPr>
            </w:pPr>
            <w:r>
              <w:rPr>
                <w:rFonts w:ascii="宋体" w:hAnsi="宋体" w:eastAsia="宋体" w:cs="Times New Roman"/>
                <w:color w:val="auto"/>
                <w:szCs w:val="22"/>
                <w:lang w:bidi="ar"/>
              </w:rPr>
              <w:t>9</w:t>
            </w:r>
          </w:p>
        </w:tc>
        <w:tc>
          <w:tcPr>
            <w:tcW w:w="1130" w:type="pct"/>
            <w:shd w:val="clear" w:color="auto" w:fill="auto"/>
            <w:vAlign w:val="center"/>
          </w:tcPr>
          <w:p w14:paraId="437BC8F1">
            <w:pPr>
              <w:jc w:val="center"/>
              <w:rPr>
                <w:rFonts w:ascii="宋体" w:hAnsi="宋体" w:eastAsia="宋体" w:cs="Times New Roman"/>
                <w:color w:val="auto"/>
                <w:szCs w:val="22"/>
                <w:lang w:bidi="ar"/>
              </w:rPr>
            </w:pPr>
            <w:r>
              <w:rPr>
                <w:rFonts w:ascii="宋体" w:hAnsi="宋体" w:eastAsia="宋体" w:cs="Times New Roman"/>
                <w:color w:val="auto"/>
                <w:szCs w:val="22"/>
                <w:lang w:bidi="ar"/>
              </w:rPr>
              <w:t>氯仿</w:t>
            </w:r>
          </w:p>
        </w:tc>
        <w:tc>
          <w:tcPr>
            <w:tcW w:w="703" w:type="pct"/>
            <w:shd w:val="clear" w:color="auto" w:fill="auto"/>
            <w:vAlign w:val="center"/>
          </w:tcPr>
          <w:p w14:paraId="7ED89220">
            <w:pPr>
              <w:jc w:val="center"/>
              <w:rPr>
                <w:rFonts w:ascii="宋体" w:hAnsi="宋体" w:eastAsia="宋体" w:cs="Times New Roman"/>
                <w:color w:val="auto"/>
                <w:szCs w:val="22"/>
                <w:lang w:bidi="ar"/>
              </w:rPr>
            </w:pPr>
            <w:r>
              <w:rPr>
                <w:rFonts w:ascii="宋体" w:hAnsi="宋体" w:eastAsia="宋体" w:cs="Times New Roman"/>
                <w:color w:val="auto"/>
                <w:szCs w:val="22"/>
                <w:lang w:bidi="ar"/>
              </w:rPr>
              <w:t>0.3</w:t>
            </w:r>
          </w:p>
        </w:tc>
        <w:tc>
          <w:tcPr>
            <w:tcW w:w="704" w:type="pct"/>
            <w:shd w:val="clear" w:color="auto" w:fill="auto"/>
            <w:vAlign w:val="center"/>
          </w:tcPr>
          <w:p w14:paraId="556AC7E4">
            <w:pPr>
              <w:jc w:val="center"/>
              <w:rPr>
                <w:rFonts w:ascii="宋体" w:hAnsi="宋体" w:eastAsia="宋体" w:cs="Times New Roman"/>
                <w:color w:val="auto"/>
                <w:szCs w:val="22"/>
                <w:lang w:bidi="ar"/>
              </w:rPr>
            </w:pPr>
            <w:r>
              <w:rPr>
                <w:rFonts w:ascii="宋体" w:hAnsi="宋体" w:eastAsia="宋体" w:cs="Times New Roman"/>
                <w:color w:val="auto"/>
                <w:szCs w:val="22"/>
                <w:lang w:bidi="ar"/>
              </w:rPr>
              <w:t>0.9</w:t>
            </w:r>
          </w:p>
        </w:tc>
        <w:tc>
          <w:tcPr>
            <w:tcW w:w="2030" w:type="pct"/>
            <w:vMerge w:val="continue"/>
            <w:shd w:val="clear" w:color="auto" w:fill="auto"/>
            <w:vAlign w:val="center"/>
          </w:tcPr>
          <w:p w14:paraId="7C834FD0">
            <w:pPr>
              <w:jc w:val="center"/>
              <w:rPr>
                <w:rFonts w:ascii="宋体" w:hAnsi="宋体" w:eastAsia="宋体" w:cs="Times New Roman"/>
                <w:color w:val="auto"/>
                <w:szCs w:val="22"/>
                <w:lang w:bidi="ar"/>
              </w:rPr>
            </w:pPr>
          </w:p>
        </w:tc>
      </w:tr>
      <w:tr w14:paraId="64EA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EE12CEB">
            <w:pPr>
              <w:jc w:val="center"/>
              <w:rPr>
                <w:rFonts w:ascii="宋体" w:hAnsi="宋体" w:eastAsia="宋体" w:cs="Times New Roman"/>
                <w:color w:val="auto"/>
                <w:szCs w:val="22"/>
                <w:lang w:bidi="ar"/>
              </w:rPr>
            </w:pPr>
            <w:r>
              <w:rPr>
                <w:rFonts w:ascii="宋体" w:hAnsi="宋体" w:eastAsia="宋体" w:cs="Times New Roman"/>
                <w:color w:val="auto"/>
                <w:szCs w:val="22"/>
                <w:lang w:bidi="ar"/>
              </w:rPr>
              <w:t>10</w:t>
            </w:r>
          </w:p>
        </w:tc>
        <w:tc>
          <w:tcPr>
            <w:tcW w:w="1130" w:type="pct"/>
            <w:shd w:val="clear" w:color="auto" w:fill="auto"/>
            <w:vAlign w:val="center"/>
          </w:tcPr>
          <w:p w14:paraId="0F850259">
            <w:pPr>
              <w:jc w:val="center"/>
              <w:rPr>
                <w:rFonts w:ascii="宋体" w:hAnsi="宋体" w:eastAsia="宋体" w:cs="Times New Roman"/>
                <w:color w:val="auto"/>
                <w:szCs w:val="22"/>
                <w:lang w:bidi="ar"/>
              </w:rPr>
            </w:pPr>
            <w:r>
              <w:rPr>
                <w:rFonts w:ascii="宋体" w:hAnsi="宋体" w:eastAsia="宋体" w:cs="Times New Roman"/>
                <w:color w:val="auto"/>
                <w:szCs w:val="22"/>
                <w:lang w:bidi="ar"/>
              </w:rPr>
              <w:t>氯甲烷</w:t>
            </w:r>
          </w:p>
        </w:tc>
        <w:tc>
          <w:tcPr>
            <w:tcW w:w="703" w:type="pct"/>
            <w:shd w:val="clear" w:color="auto" w:fill="auto"/>
            <w:vAlign w:val="center"/>
          </w:tcPr>
          <w:p w14:paraId="7CB7D50A">
            <w:pPr>
              <w:jc w:val="center"/>
              <w:rPr>
                <w:rFonts w:ascii="宋体" w:hAnsi="宋体" w:eastAsia="宋体" w:cs="Times New Roman"/>
                <w:color w:val="auto"/>
                <w:szCs w:val="22"/>
                <w:lang w:bidi="ar"/>
              </w:rPr>
            </w:pPr>
            <w:r>
              <w:rPr>
                <w:rFonts w:ascii="宋体" w:hAnsi="宋体" w:eastAsia="宋体" w:cs="Times New Roman"/>
                <w:color w:val="auto"/>
                <w:szCs w:val="22"/>
                <w:lang w:bidi="ar"/>
              </w:rPr>
              <w:t>12</w:t>
            </w:r>
          </w:p>
        </w:tc>
        <w:tc>
          <w:tcPr>
            <w:tcW w:w="704" w:type="pct"/>
            <w:shd w:val="clear" w:color="auto" w:fill="auto"/>
            <w:vAlign w:val="center"/>
          </w:tcPr>
          <w:p w14:paraId="3374D021">
            <w:pPr>
              <w:jc w:val="center"/>
              <w:rPr>
                <w:rFonts w:ascii="宋体" w:hAnsi="宋体" w:eastAsia="宋体" w:cs="Times New Roman"/>
                <w:color w:val="auto"/>
                <w:szCs w:val="22"/>
                <w:lang w:bidi="ar"/>
              </w:rPr>
            </w:pPr>
            <w:r>
              <w:rPr>
                <w:rFonts w:ascii="宋体" w:hAnsi="宋体" w:eastAsia="宋体" w:cs="Times New Roman"/>
                <w:color w:val="auto"/>
                <w:szCs w:val="22"/>
                <w:lang w:bidi="ar"/>
              </w:rPr>
              <w:t>37</w:t>
            </w:r>
          </w:p>
        </w:tc>
        <w:tc>
          <w:tcPr>
            <w:tcW w:w="2030" w:type="pct"/>
            <w:vMerge w:val="continue"/>
            <w:shd w:val="clear" w:color="auto" w:fill="auto"/>
            <w:vAlign w:val="center"/>
          </w:tcPr>
          <w:p w14:paraId="23614041">
            <w:pPr>
              <w:jc w:val="center"/>
              <w:rPr>
                <w:rFonts w:ascii="宋体" w:hAnsi="宋体" w:eastAsia="宋体" w:cs="Times New Roman"/>
                <w:color w:val="auto"/>
                <w:szCs w:val="22"/>
                <w:lang w:bidi="ar"/>
              </w:rPr>
            </w:pPr>
          </w:p>
        </w:tc>
      </w:tr>
      <w:tr w14:paraId="3203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004F291">
            <w:pPr>
              <w:jc w:val="center"/>
              <w:rPr>
                <w:rFonts w:ascii="宋体" w:hAnsi="宋体" w:eastAsia="宋体" w:cs="Times New Roman"/>
                <w:color w:val="auto"/>
                <w:szCs w:val="22"/>
                <w:lang w:bidi="ar"/>
              </w:rPr>
            </w:pPr>
            <w:r>
              <w:rPr>
                <w:rFonts w:ascii="宋体" w:hAnsi="宋体" w:eastAsia="宋体" w:cs="Times New Roman"/>
                <w:color w:val="auto"/>
                <w:szCs w:val="22"/>
                <w:lang w:bidi="ar"/>
              </w:rPr>
              <w:t>11</w:t>
            </w:r>
          </w:p>
        </w:tc>
        <w:tc>
          <w:tcPr>
            <w:tcW w:w="1130" w:type="pct"/>
            <w:shd w:val="clear" w:color="auto" w:fill="auto"/>
            <w:vAlign w:val="center"/>
          </w:tcPr>
          <w:p w14:paraId="78DA5C1F">
            <w:pPr>
              <w:jc w:val="center"/>
              <w:rPr>
                <w:rFonts w:ascii="宋体" w:hAnsi="宋体" w:eastAsia="宋体" w:cs="Times New Roman"/>
                <w:color w:val="auto"/>
                <w:szCs w:val="22"/>
                <w:lang w:bidi="ar"/>
              </w:rPr>
            </w:pPr>
            <w:r>
              <w:rPr>
                <w:rFonts w:ascii="宋体" w:hAnsi="宋体" w:eastAsia="宋体" w:cs="Times New Roman"/>
                <w:color w:val="auto"/>
                <w:szCs w:val="22"/>
                <w:lang w:bidi="ar"/>
              </w:rPr>
              <w:t>1,1-二氯乙烷</w:t>
            </w:r>
          </w:p>
        </w:tc>
        <w:tc>
          <w:tcPr>
            <w:tcW w:w="703" w:type="pct"/>
            <w:shd w:val="clear" w:color="auto" w:fill="auto"/>
            <w:vAlign w:val="center"/>
          </w:tcPr>
          <w:p w14:paraId="6C0CFAFC">
            <w:pPr>
              <w:jc w:val="center"/>
              <w:rPr>
                <w:rFonts w:ascii="宋体" w:hAnsi="宋体" w:eastAsia="宋体" w:cs="Times New Roman"/>
                <w:color w:val="auto"/>
                <w:szCs w:val="22"/>
                <w:lang w:bidi="ar"/>
              </w:rPr>
            </w:pPr>
            <w:r>
              <w:rPr>
                <w:rFonts w:ascii="宋体" w:hAnsi="宋体" w:eastAsia="宋体" w:cs="Times New Roman"/>
                <w:color w:val="auto"/>
                <w:szCs w:val="22"/>
                <w:lang w:bidi="ar"/>
              </w:rPr>
              <w:t>3</w:t>
            </w:r>
          </w:p>
        </w:tc>
        <w:tc>
          <w:tcPr>
            <w:tcW w:w="704" w:type="pct"/>
            <w:shd w:val="clear" w:color="auto" w:fill="auto"/>
            <w:vAlign w:val="center"/>
          </w:tcPr>
          <w:p w14:paraId="49057AC6">
            <w:pPr>
              <w:jc w:val="center"/>
              <w:rPr>
                <w:rFonts w:ascii="宋体" w:hAnsi="宋体" w:eastAsia="宋体" w:cs="Times New Roman"/>
                <w:color w:val="auto"/>
                <w:szCs w:val="22"/>
                <w:lang w:bidi="ar"/>
              </w:rPr>
            </w:pPr>
            <w:r>
              <w:rPr>
                <w:rFonts w:ascii="宋体" w:hAnsi="宋体" w:eastAsia="宋体" w:cs="Times New Roman"/>
                <w:color w:val="auto"/>
                <w:szCs w:val="22"/>
                <w:lang w:bidi="ar"/>
              </w:rPr>
              <w:t>9</w:t>
            </w:r>
          </w:p>
        </w:tc>
        <w:tc>
          <w:tcPr>
            <w:tcW w:w="2030" w:type="pct"/>
            <w:vMerge w:val="continue"/>
            <w:shd w:val="clear" w:color="auto" w:fill="auto"/>
            <w:vAlign w:val="center"/>
          </w:tcPr>
          <w:p w14:paraId="7243E70D">
            <w:pPr>
              <w:jc w:val="center"/>
              <w:rPr>
                <w:rFonts w:ascii="宋体" w:hAnsi="宋体" w:eastAsia="宋体" w:cs="Times New Roman"/>
                <w:color w:val="auto"/>
                <w:szCs w:val="22"/>
                <w:lang w:bidi="ar"/>
              </w:rPr>
            </w:pPr>
          </w:p>
        </w:tc>
      </w:tr>
      <w:tr w14:paraId="79E0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587CC965">
            <w:pPr>
              <w:jc w:val="center"/>
              <w:rPr>
                <w:rFonts w:ascii="宋体" w:hAnsi="宋体" w:eastAsia="宋体" w:cs="Times New Roman"/>
                <w:color w:val="auto"/>
                <w:szCs w:val="22"/>
                <w:lang w:bidi="ar"/>
              </w:rPr>
            </w:pPr>
            <w:r>
              <w:rPr>
                <w:rFonts w:ascii="宋体" w:hAnsi="宋体" w:eastAsia="宋体" w:cs="Times New Roman"/>
                <w:color w:val="auto"/>
                <w:szCs w:val="22"/>
                <w:lang w:bidi="ar"/>
              </w:rPr>
              <w:t>12</w:t>
            </w:r>
          </w:p>
        </w:tc>
        <w:tc>
          <w:tcPr>
            <w:tcW w:w="1130" w:type="pct"/>
            <w:shd w:val="clear" w:color="auto" w:fill="auto"/>
            <w:vAlign w:val="center"/>
          </w:tcPr>
          <w:p w14:paraId="4647038E">
            <w:pPr>
              <w:jc w:val="center"/>
              <w:rPr>
                <w:rFonts w:ascii="宋体" w:hAnsi="宋体" w:eastAsia="宋体" w:cs="Times New Roman"/>
                <w:color w:val="auto"/>
                <w:szCs w:val="22"/>
                <w:lang w:bidi="ar"/>
              </w:rPr>
            </w:pPr>
            <w:r>
              <w:rPr>
                <w:rFonts w:ascii="宋体" w:hAnsi="宋体" w:eastAsia="宋体" w:cs="Times New Roman"/>
                <w:color w:val="auto"/>
                <w:szCs w:val="22"/>
                <w:lang w:bidi="ar"/>
              </w:rPr>
              <w:t>1,2-二氯乙烷</w:t>
            </w:r>
          </w:p>
        </w:tc>
        <w:tc>
          <w:tcPr>
            <w:tcW w:w="703" w:type="pct"/>
            <w:shd w:val="clear" w:color="auto" w:fill="auto"/>
            <w:vAlign w:val="center"/>
          </w:tcPr>
          <w:p w14:paraId="2D602C96">
            <w:pPr>
              <w:jc w:val="center"/>
              <w:rPr>
                <w:rFonts w:ascii="宋体" w:hAnsi="宋体" w:eastAsia="宋体" w:cs="Times New Roman"/>
                <w:color w:val="auto"/>
                <w:szCs w:val="22"/>
                <w:lang w:bidi="ar"/>
              </w:rPr>
            </w:pPr>
            <w:r>
              <w:rPr>
                <w:rFonts w:ascii="宋体" w:hAnsi="宋体" w:eastAsia="宋体" w:cs="Times New Roman"/>
                <w:color w:val="auto"/>
                <w:szCs w:val="22"/>
                <w:lang w:bidi="ar"/>
              </w:rPr>
              <w:t>0.52</w:t>
            </w:r>
          </w:p>
        </w:tc>
        <w:tc>
          <w:tcPr>
            <w:tcW w:w="704" w:type="pct"/>
            <w:shd w:val="clear" w:color="auto" w:fill="auto"/>
            <w:vAlign w:val="center"/>
          </w:tcPr>
          <w:p w14:paraId="5D9B53B4">
            <w:pPr>
              <w:jc w:val="center"/>
              <w:rPr>
                <w:rFonts w:ascii="宋体" w:hAnsi="宋体" w:eastAsia="宋体" w:cs="Times New Roman"/>
                <w:color w:val="auto"/>
                <w:szCs w:val="22"/>
                <w:lang w:bidi="ar"/>
              </w:rPr>
            </w:pPr>
            <w:r>
              <w:rPr>
                <w:rFonts w:ascii="宋体" w:hAnsi="宋体" w:eastAsia="宋体" w:cs="Times New Roman"/>
                <w:color w:val="auto"/>
                <w:szCs w:val="22"/>
                <w:lang w:bidi="ar"/>
              </w:rPr>
              <w:t>5</w:t>
            </w:r>
          </w:p>
        </w:tc>
        <w:tc>
          <w:tcPr>
            <w:tcW w:w="2030" w:type="pct"/>
            <w:vMerge w:val="continue"/>
            <w:shd w:val="clear" w:color="auto" w:fill="auto"/>
            <w:vAlign w:val="center"/>
          </w:tcPr>
          <w:p w14:paraId="2AE6F8BC">
            <w:pPr>
              <w:jc w:val="center"/>
              <w:rPr>
                <w:rFonts w:ascii="宋体" w:hAnsi="宋体" w:eastAsia="宋体" w:cs="Times New Roman"/>
                <w:color w:val="auto"/>
                <w:szCs w:val="22"/>
                <w:lang w:bidi="ar"/>
              </w:rPr>
            </w:pPr>
          </w:p>
        </w:tc>
      </w:tr>
      <w:tr w14:paraId="6005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47714E62">
            <w:pPr>
              <w:jc w:val="center"/>
              <w:rPr>
                <w:rFonts w:ascii="宋体" w:hAnsi="宋体" w:eastAsia="宋体" w:cs="Times New Roman"/>
                <w:color w:val="auto"/>
                <w:szCs w:val="22"/>
                <w:lang w:bidi="ar"/>
              </w:rPr>
            </w:pPr>
            <w:r>
              <w:rPr>
                <w:rFonts w:ascii="宋体" w:hAnsi="宋体" w:eastAsia="宋体" w:cs="Times New Roman"/>
                <w:color w:val="auto"/>
                <w:szCs w:val="22"/>
                <w:lang w:bidi="ar"/>
              </w:rPr>
              <w:t>13</w:t>
            </w:r>
          </w:p>
        </w:tc>
        <w:tc>
          <w:tcPr>
            <w:tcW w:w="1130" w:type="pct"/>
            <w:shd w:val="clear" w:color="auto" w:fill="auto"/>
            <w:vAlign w:val="center"/>
          </w:tcPr>
          <w:p w14:paraId="60D8F2C5">
            <w:pPr>
              <w:jc w:val="center"/>
              <w:rPr>
                <w:rFonts w:ascii="宋体" w:hAnsi="宋体" w:eastAsia="宋体" w:cs="Times New Roman"/>
                <w:color w:val="auto"/>
                <w:szCs w:val="22"/>
                <w:lang w:bidi="ar"/>
              </w:rPr>
            </w:pPr>
            <w:r>
              <w:rPr>
                <w:rFonts w:ascii="宋体" w:hAnsi="宋体" w:eastAsia="宋体" w:cs="Times New Roman"/>
                <w:color w:val="auto"/>
                <w:szCs w:val="22"/>
                <w:lang w:bidi="ar"/>
              </w:rPr>
              <w:t>1,1-二氯乙烯</w:t>
            </w:r>
          </w:p>
        </w:tc>
        <w:tc>
          <w:tcPr>
            <w:tcW w:w="703" w:type="pct"/>
            <w:shd w:val="clear" w:color="auto" w:fill="auto"/>
            <w:vAlign w:val="center"/>
          </w:tcPr>
          <w:p w14:paraId="7DE6625A">
            <w:pPr>
              <w:jc w:val="center"/>
              <w:rPr>
                <w:rFonts w:ascii="宋体" w:hAnsi="宋体" w:eastAsia="宋体" w:cs="Times New Roman"/>
                <w:color w:val="auto"/>
                <w:szCs w:val="22"/>
                <w:lang w:bidi="ar"/>
              </w:rPr>
            </w:pPr>
            <w:r>
              <w:rPr>
                <w:rFonts w:ascii="宋体" w:hAnsi="宋体" w:eastAsia="宋体" w:cs="Times New Roman"/>
                <w:color w:val="auto"/>
                <w:szCs w:val="22"/>
                <w:lang w:bidi="ar"/>
              </w:rPr>
              <w:t>12</w:t>
            </w:r>
          </w:p>
        </w:tc>
        <w:tc>
          <w:tcPr>
            <w:tcW w:w="704" w:type="pct"/>
            <w:shd w:val="clear" w:color="auto" w:fill="auto"/>
            <w:vAlign w:val="center"/>
          </w:tcPr>
          <w:p w14:paraId="0A582164">
            <w:pPr>
              <w:jc w:val="center"/>
              <w:rPr>
                <w:rFonts w:ascii="宋体" w:hAnsi="宋体" w:eastAsia="宋体" w:cs="Times New Roman"/>
                <w:color w:val="auto"/>
                <w:szCs w:val="22"/>
                <w:lang w:bidi="ar"/>
              </w:rPr>
            </w:pPr>
            <w:r>
              <w:rPr>
                <w:rFonts w:ascii="宋体" w:hAnsi="宋体" w:eastAsia="宋体" w:cs="Times New Roman"/>
                <w:color w:val="auto"/>
                <w:szCs w:val="22"/>
                <w:lang w:bidi="ar"/>
              </w:rPr>
              <w:t>66</w:t>
            </w:r>
          </w:p>
        </w:tc>
        <w:tc>
          <w:tcPr>
            <w:tcW w:w="2030" w:type="pct"/>
            <w:vMerge w:val="continue"/>
            <w:shd w:val="clear" w:color="auto" w:fill="auto"/>
            <w:vAlign w:val="center"/>
          </w:tcPr>
          <w:p w14:paraId="7205B531">
            <w:pPr>
              <w:jc w:val="center"/>
              <w:rPr>
                <w:rFonts w:ascii="宋体" w:hAnsi="宋体" w:eastAsia="宋体" w:cs="Times New Roman"/>
                <w:color w:val="auto"/>
                <w:szCs w:val="22"/>
                <w:lang w:bidi="ar"/>
              </w:rPr>
            </w:pPr>
          </w:p>
        </w:tc>
      </w:tr>
      <w:tr w14:paraId="4163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3F5DA485">
            <w:pPr>
              <w:jc w:val="center"/>
              <w:rPr>
                <w:rFonts w:ascii="宋体" w:hAnsi="宋体" w:eastAsia="宋体" w:cs="Times New Roman"/>
                <w:color w:val="auto"/>
                <w:szCs w:val="22"/>
                <w:lang w:bidi="ar"/>
              </w:rPr>
            </w:pPr>
            <w:r>
              <w:rPr>
                <w:rFonts w:ascii="宋体" w:hAnsi="宋体" w:eastAsia="宋体" w:cs="Times New Roman"/>
                <w:color w:val="auto"/>
                <w:szCs w:val="22"/>
                <w:lang w:bidi="ar"/>
              </w:rPr>
              <w:t>14</w:t>
            </w:r>
          </w:p>
        </w:tc>
        <w:tc>
          <w:tcPr>
            <w:tcW w:w="1130" w:type="pct"/>
            <w:shd w:val="clear" w:color="auto" w:fill="auto"/>
            <w:vAlign w:val="center"/>
          </w:tcPr>
          <w:p w14:paraId="067D6214">
            <w:pPr>
              <w:jc w:val="center"/>
              <w:rPr>
                <w:rFonts w:ascii="宋体" w:hAnsi="宋体" w:eastAsia="宋体" w:cs="Times New Roman"/>
                <w:color w:val="auto"/>
                <w:szCs w:val="22"/>
                <w:lang w:bidi="ar"/>
              </w:rPr>
            </w:pPr>
            <w:r>
              <w:rPr>
                <w:rFonts w:ascii="宋体" w:hAnsi="宋体" w:eastAsia="宋体" w:cs="Times New Roman"/>
                <w:color w:val="auto"/>
                <w:szCs w:val="22"/>
                <w:lang w:bidi="ar"/>
              </w:rPr>
              <w:t>顺-1,2-二氯乙烯</w:t>
            </w:r>
          </w:p>
        </w:tc>
        <w:tc>
          <w:tcPr>
            <w:tcW w:w="703" w:type="pct"/>
            <w:shd w:val="clear" w:color="auto" w:fill="auto"/>
            <w:vAlign w:val="center"/>
          </w:tcPr>
          <w:p w14:paraId="132851FD">
            <w:pPr>
              <w:jc w:val="center"/>
              <w:rPr>
                <w:rFonts w:ascii="宋体" w:hAnsi="宋体" w:eastAsia="宋体" w:cs="Times New Roman"/>
                <w:color w:val="auto"/>
                <w:szCs w:val="22"/>
                <w:lang w:bidi="ar"/>
              </w:rPr>
            </w:pPr>
            <w:r>
              <w:rPr>
                <w:rFonts w:ascii="宋体" w:hAnsi="宋体" w:eastAsia="宋体" w:cs="Times New Roman"/>
                <w:color w:val="auto"/>
                <w:szCs w:val="22"/>
                <w:lang w:bidi="ar"/>
              </w:rPr>
              <w:t>66</w:t>
            </w:r>
          </w:p>
        </w:tc>
        <w:tc>
          <w:tcPr>
            <w:tcW w:w="704" w:type="pct"/>
            <w:shd w:val="clear" w:color="auto" w:fill="auto"/>
            <w:vAlign w:val="center"/>
          </w:tcPr>
          <w:p w14:paraId="0CDE1DA5">
            <w:pPr>
              <w:jc w:val="center"/>
              <w:rPr>
                <w:rFonts w:ascii="宋体" w:hAnsi="宋体" w:eastAsia="宋体" w:cs="Times New Roman"/>
                <w:color w:val="auto"/>
                <w:szCs w:val="22"/>
                <w:lang w:bidi="ar"/>
              </w:rPr>
            </w:pPr>
            <w:r>
              <w:rPr>
                <w:rFonts w:ascii="宋体" w:hAnsi="宋体" w:eastAsia="宋体" w:cs="Times New Roman"/>
                <w:color w:val="auto"/>
                <w:szCs w:val="22"/>
                <w:lang w:bidi="ar"/>
              </w:rPr>
              <w:t>596</w:t>
            </w:r>
          </w:p>
        </w:tc>
        <w:tc>
          <w:tcPr>
            <w:tcW w:w="2030" w:type="pct"/>
            <w:vMerge w:val="continue"/>
            <w:shd w:val="clear" w:color="auto" w:fill="auto"/>
            <w:vAlign w:val="center"/>
          </w:tcPr>
          <w:p w14:paraId="40240866">
            <w:pPr>
              <w:jc w:val="center"/>
              <w:rPr>
                <w:rFonts w:ascii="宋体" w:hAnsi="宋体" w:eastAsia="宋体" w:cs="Times New Roman"/>
                <w:color w:val="auto"/>
                <w:szCs w:val="22"/>
                <w:lang w:bidi="ar"/>
              </w:rPr>
            </w:pPr>
          </w:p>
        </w:tc>
      </w:tr>
      <w:tr w14:paraId="6D20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11D64BA6">
            <w:pPr>
              <w:jc w:val="center"/>
              <w:rPr>
                <w:rFonts w:ascii="宋体" w:hAnsi="宋体" w:eastAsia="宋体" w:cs="Times New Roman"/>
                <w:color w:val="auto"/>
                <w:szCs w:val="22"/>
                <w:lang w:bidi="ar"/>
              </w:rPr>
            </w:pPr>
            <w:r>
              <w:rPr>
                <w:rFonts w:ascii="宋体" w:hAnsi="宋体" w:eastAsia="宋体" w:cs="Times New Roman"/>
                <w:color w:val="auto"/>
                <w:szCs w:val="22"/>
                <w:lang w:bidi="ar"/>
              </w:rPr>
              <w:t>15</w:t>
            </w:r>
          </w:p>
        </w:tc>
        <w:tc>
          <w:tcPr>
            <w:tcW w:w="1130" w:type="pct"/>
            <w:shd w:val="clear" w:color="auto" w:fill="auto"/>
            <w:vAlign w:val="center"/>
          </w:tcPr>
          <w:p w14:paraId="6520D45A">
            <w:pPr>
              <w:jc w:val="center"/>
              <w:rPr>
                <w:rFonts w:ascii="宋体" w:hAnsi="宋体" w:eastAsia="宋体" w:cs="Times New Roman"/>
                <w:color w:val="auto"/>
                <w:szCs w:val="22"/>
                <w:lang w:bidi="ar"/>
              </w:rPr>
            </w:pPr>
            <w:r>
              <w:rPr>
                <w:rFonts w:ascii="宋体" w:hAnsi="宋体" w:eastAsia="宋体" w:cs="Times New Roman"/>
                <w:color w:val="auto"/>
                <w:szCs w:val="22"/>
                <w:lang w:bidi="ar"/>
              </w:rPr>
              <w:t>反-1,2-二氯乙烯</w:t>
            </w:r>
          </w:p>
        </w:tc>
        <w:tc>
          <w:tcPr>
            <w:tcW w:w="703" w:type="pct"/>
            <w:shd w:val="clear" w:color="auto" w:fill="auto"/>
            <w:vAlign w:val="center"/>
          </w:tcPr>
          <w:p w14:paraId="377F719D">
            <w:pPr>
              <w:jc w:val="center"/>
              <w:rPr>
                <w:rFonts w:ascii="宋体" w:hAnsi="宋体" w:eastAsia="宋体" w:cs="Times New Roman"/>
                <w:color w:val="auto"/>
                <w:szCs w:val="22"/>
                <w:lang w:bidi="ar"/>
              </w:rPr>
            </w:pPr>
            <w:r>
              <w:rPr>
                <w:rFonts w:ascii="宋体" w:hAnsi="宋体" w:eastAsia="宋体" w:cs="Times New Roman"/>
                <w:color w:val="auto"/>
                <w:szCs w:val="22"/>
                <w:lang w:bidi="ar"/>
              </w:rPr>
              <w:t>10</w:t>
            </w:r>
          </w:p>
        </w:tc>
        <w:tc>
          <w:tcPr>
            <w:tcW w:w="704" w:type="pct"/>
            <w:shd w:val="clear" w:color="auto" w:fill="auto"/>
            <w:vAlign w:val="center"/>
          </w:tcPr>
          <w:p w14:paraId="2F36639C">
            <w:pPr>
              <w:jc w:val="center"/>
              <w:rPr>
                <w:rFonts w:ascii="宋体" w:hAnsi="宋体" w:eastAsia="宋体" w:cs="Times New Roman"/>
                <w:color w:val="auto"/>
                <w:szCs w:val="22"/>
                <w:lang w:bidi="ar"/>
              </w:rPr>
            </w:pPr>
            <w:r>
              <w:rPr>
                <w:rFonts w:ascii="宋体" w:hAnsi="宋体" w:eastAsia="宋体" w:cs="Times New Roman"/>
                <w:color w:val="auto"/>
                <w:szCs w:val="22"/>
                <w:lang w:bidi="ar"/>
              </w:rPr>
              <w:t>54</w:t>
            </w:r>
          </w:p>
        </w:tc>
        <w:tc>
          <w:tcPr>
            <w:tcW w:w="2030" w:type="pct"/>
            <w:vMerge w:val="continue"/>
            <w:shd w:val="clear" w:color="auto" w:fill="auto"/>
            <w:vAlign w:val="center"/>
          </w:tcPr>
          <w:p w14:paraId="54982DC3">
            <w:pPr>
              <w:jc w:val="center"/>
              <w:rPr>
                <w:rFonts w:ascii="宋体" w:hAnsi="宋体" w:eastAsia="宋体" w:cs="Times New Roman"/>
                <w:color w:val="auto"/>
                <w:szCs w:val="22"/>
                <w:lang w:bidi="ar"/>
              </w:rPr>
            </w:pPr>
          </w:p>
        </w:tc>
      </w:tr>
      <w:tr w14:paraId="5BC4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13DD7533">
            <w:pPr>
              <w:jc w:val="center"/>
              <w:rPr>
                <w:rFonts w:ascii="宋体" w:hAnsi="宋体" w:eastAsia="宋体" w:cs="Times New Roman"/>
                <w:color w:val="auto"/>
                <w:szCs w:val="22"/>
                <w:lang w:bidi="ar"/>
              </w:rPr>
            </w:pPr>
            <w:r>
              <w:rPr>
                <w:rFonts w:ascii="宋体" w:hAnsi="宋体" w:eastAsia="宋体" w:cs="Times New Roman"/>
                <w:color w:val="auto"/>
                <w:szCs w:val="22"/>
                <w:lang w:bidi="ar"/>
              </w:rPr>
              <w:t>16</w:t>
            </w:r>
          </w:p>
        </w:tc>
        <w:tc>
          <w:tcPr>
            <w:tcW w:w="1130" w:type="pct"/>
            <w:shd w:val="clear" w:color="auto" w:fill="auto"/>
            <w:vAlign w:val="center"/>
          </w:tcPr>
          <w:p w14:paraId="31E5E119">
            <w:pPr>
              <w:jc w:val="center"/>
              <w:rPr>
                <w:rFonts w:ascii="宋体" w:hAnsi="宋体" w:eastAsia="宋体" w:cs="Times New Roman"/>
                <w:color w:val="auto"/>
                <w:szCs w:val="22"/>
                <w:lang w:bidi="ar"/>
              </w:rPr>
            </w:pPr>
            <w:r>
              <w:rPr>
                <w:rFonts w:ascii="宋体" w:hAnsi="宋体" w:eastAsia="宋体" w:cs="Times New Roman"/>
                <w:color w:val="auto"/>
                <w:szCs w:val="22"/>
                <w:lang w:bidi="ar"/>
              </w:rPr>
              <w:t>二氯甲烷</w:t>
            </w:r>
          </w:p>
        </w:tc>
        <w:tc>
          <w:tcPr>
            <w:tcW w:w="703" w:type="pct"/>
            <w:shd w:val="clear" w:color="auto" w:fill="auto"/>
            <w:vAlign w:val="center"/>
          </w:tcPr>
          <w:p w14:paraId="5AF93F11">
            <w:pPr>
              <w:jc w:val="center"/>
              <w:rPr>
                <w:rFonts w:ascii="宋体" w:hAnsi="宋体" w:eastAsia="宋体" w:cs="Times New Roman"/>
                <w:color w:val="auto"/>
                <w:szCs w:val="22"/>
                <w:lang w:bidi="ar"/>
              </w:rPr>
            </w:pPr>
            <w:r>
              <w:rPr>
                <w:rFonts w:ascii="宋体" w:hAnsi="宋体" w:eastAsia="宋体" w:cs="Times New Roman"/>
                <w:color w:val="auto"/>
                <w:szCs w:val="22"/>
                <w:lang w:bidi="ar"/>
              </w:rPr>
              <w:t>94</w:t>
            </w:r>
          </w:p>
        </w:tc>
        <w:tc>
          <w:tcPr>
            <w:tcW w:w="704" w:type="pct"/>
            <w:shd w:val="clear" w:color="auto" w:fill="auto"/>
            <w:vAlign w:val="center"/>
          </w:tcPr>
          <w:p w14:paraId="26F557DA">
            <w:pPr>
              <w:jc w:val="center"/>
              <w:rPr>
                <w:rFonts w:ascii="宋体" w:hAnsi="宋体" w:eastAsia="宋体" w:cs="Times New Roman"/>
                <w:color w:val="auto"/>
                <w:szCs w:val="22"/>
                <w:lang w:bidi="ar"/>
              </w:rPr>
            </w:pPr>
            <w:r>
              <w:rPr>
                <w:rFonts w:ascii="宋体" w:hAnsi="宋体" w:eastAsia="宋体" w:cs="Times New Roman"/>
                <w:color w:val="auto"/>
                <w:szCs w:val="22"/>
                <w:lang w:bidi="ar"/>
              </w:rPr>
              <w:t>616</w:t>
            </w:r>
          </w:p>
        </w:tc>
        <w:tc>
          <w:tcPr>
            <w:tcW w:w="2030" w:type="pct"/>
            <w:vMerge w:val="continue"/>
            <w:shd w:val="clear" w:color="auto" w:fill="auto"/>
            <w:vAlign w:val="center"/>
          </w:tcPr>
          <w:p w14:paraId="2D381685">
            <w:pPr>
              <w:jc w:val="center"/>
              <w:rPr>
                <w:rFonts w:ascii="宋体" w:hAnsi="宋体" w:eastAsia="宋体" w:cs="Times New Roman"/>
                <w:color w:val="auto"/>
                <w:szCs w:val="22"/>
                <w:lang w:bidi="ar"/>
              </w:rPr>
            </w:pPr>
          </w:p>
        </w:tc>
      </w:tr>
      <w:tr w14:paraId="1A26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554D0D4">
            <w:pPr>
              <w:jc w:val="center"/>
              <w:rPr>
                <w:rFonts w:ascii="宋体" w:hAnsi="宋体" w:eastAsia="宋体" w:cs="Times New Roman"/>
                <w:color w:val="auto"/>
                <w:szCs w:val="22"/>
                <w:lang w:bidi="ar"/>
              </w:rPr>
            </w:pPr>
            <w:r>
              <w:rPr>
                <w:rFonts w:ascii="宋体" w:hAnsi="宋体" w:eastAsia="宋体" w:cs="Times New Roman"/>
                <w:color w:val="auto"/>
                <w:szCs w:val="22"/>
                <w:lang w:bidi="ar"/>
              </w:rPr>
              <w:t>17</w:t>
            </w:r>
          </w:p>
        </w:tc>
        <w:tc>
          <w:tcPr>
            <w:tcW w:w="1130" w:type="pct"/>
            <w:shd w:val="clear" w:color="auto" w:fill="auto"/>
            <w:vAlign w:val="center"/>
          </w:tcPr>
          <w:p w14:paraId="41DC1A06">
            <w:pPr>
              <w:jc w:val="center"/>
              <w:rPr>
                <w:rFonts w:ascii="宋体" w:hAnsi="宋体" w:eastAsia="宋体" w:cs="Times New Roman"/>
                <w:color w:val="auto"/>
                <w:szCs w:val="22"/>
                <w:lang w:bidi="ar"/>
              </w:rPr>
            </w:pPr>
            <w:r>
              <w:rPr>
                <w:rFonts w:ascii="宋体" w:hAnsi="宋体" w:eastAsia="宋体" w:cs="Times New Roman"/>
                <w:color w:val="auto"/>
                <w:szCs w:val="22"/>
                <w:lang w:bidi="ar"/>
              </w:rPr>
              <w:t>1,2-二氯丙烷</w:t>
            </w:r>
          </w:p>
        </w:tc>
        <w:tc>
          <w:tcPr>
            <w:tcW w:w="703" w:type="pct"/>
            <w:shd w:val="clear" w:color="auto" w:fill="auto"/>
            <w:vAlign w:val="center"/>
          </w:tcPr>
          <w:p w14:paraId="33DF3D2F">
            <w:pPr>
              <w:jc w:val="center"/>
              <w:rPr>
                <w:rFonts w:ascii="宋体" w:hAnsi="宋体" w:eastAsia="宋体" w:cs="Times New Roman"/>
                <w:color w:val="auto"/>
                <w:szCs w:val="22"/>
                <w:lang w:bidi="ar"/>
              </w:rPr>
            </w:pPr>
            <w:r>
              <w:rPr>
                <w:rFonts w:ascii="宋体" w:hAnsi="宋体" w:eastAsia="宋体" w:cs="Times New Roman"/>
                <w:color w:val="auto"/>
                <w:szCs w:val="22"/>
                <w:lang w:bidi="ar"/>
              </w:rPr>
              <w:t>1</w:t>
            </w:r>
          </w:p>
        </w:tc>
        <w:tc>
          <w:tcPr>
            <w:tcW w:w="704" w:type="pct"/>
            <w:shd w:val="clear" w:color="auto" w:fill="auto"/>
            <w:vAlign w:val="center"/>
          </w:tcPr>
          <w:p w14:paraId="163B0839">
            <w:pPr>
              <w:jc w:val="center"/>
              <w:rPr>
                <w:rFonts w:ascii="宋体" w:hAnsi="宋体" w:eastAsia="宋体" w:cs="Times New Roman"/>
                <w:color w:val="auto"/>
                <w:szCs w:val="22"/>
                <w:lang w:bidi="ar"/>
              </w:rPr>
            </w:pPr>
            <w:r>
              <w:rPr>
                <w:rFonts w:ascii="宋体" w:hAnsi="宋体" w:eastAsia="宋体" w:cs="Times New Roman"/>
                <w:color w:val="auto"/>
                <w:szCs w:val="22"/>
                <w:lang w:bidi="ar"/>
              </w:rPr>
              <w:t>5</w:t>
            </w:r>
          </w:p>
        </w:tc>
        <w:tc>
          <w:tcPr>
            <w:tcW w:w="2030" w:type="pct"/>
            <w:vMerge w:val="continue"/>
            <w:shd w:val="clear" w:color="auto" w:fill="auto"/>
            <w:vAlign w:val="center"/>
          </w:tcPr>
          <w:p w14:paraId="71B72581">
            <w:pPr>
              <w:jc w:val="center"/>
              <w:rPr>
                <w:rFonts w:ascii="宋体" w:hAnsi="宋体" w:eastAsia="宋体" w:cs="Times New Roman"/>
                <w:color w:val="auto"/>
                <w:szCs w:val="22"/>
                <w:lang w:bidi="ar"/>
              </w:rPr>
            </w:pPr>
          </w:p>
        </w:tc>
      </w:tr>
      <w:tr w14:paraId="7617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5D6981D5">
            <w:pPr>
              <w:jc w:val="center"/>
              <w:rPr>
                <w:rFonts w:ascii="宋体" w:hAnsi="宋体" w:eastAsia="宋体" w:cs="Times New Roman"/>
                <w:color w:val="auto"/>
                <w:szCs w:val="22"/>
                <w:lang w:bidi="ar"/>
              </w:rPr>
            </w:pPr>
            <w:r>
              <w:rPr>
                <w:rFonts w:ascii="宋体" w:hAnsi="宋体" w:eastAsia="宋体" w:cs="Times New Roman"/>
                <w:color w:val="auto"/>
                <w:szCs w:val="22"/>
                <w:lang w:bidi="ar"/>
              </w:rPr>
              <w:t>18</w:t>
            </w:r>
          </w:p>
        </w:tc>
        <w:tc>
          <w:tcPr>
            <w:tcW w:w="1130" w:type="pct"/>
            <w:shd w:val="clear" w:color="auto" w:fill="auto"/>
            <w:vAlign w:val="center"/>
          </w:tcPr>
          <w:p w14:paraId="33A6C091">
            <w:pPr>
              <w:jc w:val="center"/>
              <w:rPr>
                <w:rFonts w:ascii="宋体" w:hAnsi="宋体" w:eastAsia="宋体" w:cs="Times New Roman"/>
                <w:color w:val="auto"/>
                <w:szCs w:val="22"/>
                <w:lang w:bidi="ar"/>
              </w:rPr>
            </w:pPr>
            <w:r>
              <w:rPr>
                <w:rFonts w:ascii="宋体" w:hAnsi="宋体" w:eastAsia="宋体" w:cs="Times New Roman"/>
                <w:color w:val="auto"/>
                <w:szCs w:val="22"/>
                <w:lang w:bidi="ar"/>
              </w:rPr>
              <w:t>1,1,1,2-四氯乙烷</w:t>
            </w:r>
          </w:p>
        </w:tc>
        <w:tc>
          <w:tcPr>
            <w:tcW w:w="703" w:type="pct"/>
            <w:shd w:val="clear" w:color="auto" w:fill="auto"/>
            <w:vAlign w:val="center"/>
          </w:tcPr>
          <w:p w14:paraId="1F363BA4">
            <w:pPr>
              <w:jc w:val="center"/>
              <w:rPr>
                <w:rFonts w:ascii="宋体" w:hAnsi="宋体" w:eastAsia="宋体" w:cs="Times New Roman"/>
                <w:color w:val="auto"/>
                <w:szCs w:val="22"/>
                <w:lang w:bidi="ar"/>
              </w:rPr>
            </w:pPr>
            <w:r>
              <w:rPr>
                <w:rFonts w:ascii="宋体" w:hAnsi="宋体" w:eastAsia="宋体" w:cs="Times New Roman"/>
                <w:color w:val="auto"/>
                <w:szCs w:val="22"/>
                <w:lang w:bidi="ar"/>
              </w:rPr>
              <w:t>2.6</w:t>
            </w:r>
          </w:p>
        </w:tc>
        <w:tc>
          <w:tcPr>
            <w:tcW w:w="704" w:type="pct"/>
            <w:shd w:val="clear" w:color="auto" w:fill="auto"/>
            <w:vAlign w:val="center"/>
          </w:tcPr>
          <w:p w14:paraId="7E9AC88F">
            <w:pPr>
              <w:jc w:val="center"/>
              <w:rPr>
                <w:rFonts w:ascii="宋体" w:hAnsi="宋体" w:eastAsia="宋体" w:cs="Times New Roman"/>
                <w:color w:val="auto"/>
                <w:szCs w:val="22"/>
                <w:lang w:bidi="ar"/>
              </w:rPr>
            </w:pPr>
            <w:r>
              <w:rPr>
                <w:rFonts w:ascii="宋体" w:hAnsi="宋体" w:eastAsia="宋体" w:cs="Times New Roman"/>
                <w:color w:val="auto"/>
                <w:szCs w:val="22"/>
                <w:lang w:bidi="ar"/>
              </w:rPr>
              <w:t>10</w:t>
            </w:r>
          </w:p>
        </w:tc>
        <w:tc>
          <w:tcPr>
            <w:tcW w:w="2030" w:type="pct"/>
            <w:vMerge w:val="continue"/>
            <w:shd w:val="clear" w:color="auto" w:fill="auto"/>
            <w:vAlign w:val="center"/>
          </w:tcPr>
          <w:p w14:paraId="130D08D1">
            <w:pPr>
              <w:jc w:val="center"/>
              <w:rPr>
                <w:rFonts w:ascii="宋体" w:hAnsi="宋体" w:eastAsia="宋体" w:cs="Times New Roman"/>
                <w:color w:val="auto"/>
                <w:szCs w:val="22"/>
                <w:lang w:bidi="ar"/>
              </w:rPr>
            </w:pPr>
          </w:p>
        </w:tc>
      </w:tr>
      <w:tr w14:paraId="1087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119BFBD5">
            <w:pPr>
              <w:jc w:val="center"/>
              <w:rPr>
                <w:rFonts w:ascii="宋体" w:hAnsi="宋体" w:eastAsia="宋体" w:cs="Times New Roman"/>
                <w:color w:val="auto"/>
                <w:szCs w:val="22"/>
                <w:lang w:bidi="ar"/>
              </w:rPr>
            </w:pPr>
            <w:r>
              <w:rPr>
                <w:rFonts w:ascii="宋体" w:hAnsi="宋体" w:eastAsia="宋体" w:cs="Times New Roman"/>
                <w:color w:val="auto"/>
                <w:szCs w:val="22"/>
                <w:lang w:bidi="ar"/>
              </w:rPr>
              <w:t>19</w:t>
            </w:r>
          </w:p>
        </w:tc>
        <w:tc>
          <w:tcPr>
            <w:tcW w:w="1130" w:type="pct"/>
            <w:shd w:val="clear" w:color="auto" w:fill="auto"/>
            <w:vAlign w:val="center"/>
          </w:tcPr>
          <w:p w14:paraId="2818C829">
            <w:pPr>
              <w:jc w:val="center"/>
              <w:rPr>
                <w:rFonts w:ascii="宋体" w:hAnsi="宋体" w:eastAsia="宋体" w:cs="Times New Roman"/>
                <w:color w:val="auto"/>
                <w:szCs w:val="22"/>
                <w:lang w:bidi="ar"/>
              </w:rPr>
            </w:pPr>
            <w:r>
              <w:rPr>
                <w:rFonts w:ascii="宋体" w:hAnsi="宋体" w:eastAsia="宋体" w:cs="Times New Roman"/>
                <w:color w:val="auto"/>
                <w:szCs w:val="22"/>
                <w:lang w:bidi="ar"/>
              </w:rPr>
              <w:t>1,1,2,2-四氯乙烷</w:t>
            </w:r>
          </w:p>
        </w:tc>
        <w:tc>
          <w:tcPr>
            <w:tcW w:w="703" w:type="pct"/>
            <w:shd w:val="clear" w:color="auto" w:fill="auto"/>
            <w:vAlign w:val="center"/>
          </w:tcPr>
          <w:p w14:paraId="59C3A60F">
            <w:pPr>
              <w:jc w:val="center"/>
              <w:rPr>
                <w:rFonts w:ascii="宋体" w:hAnsi="宋体" w:eastAsia="宋体" w:cs="Times New Roman"/>
                <w:color w:val="auto"/>
                <w:szCs w:val="22"/>
                <w:lang w:bidi="ar"/>
              </w:rPr>
            </w:pPr>
            <w:r>
              <w:rPr>
                <w:rFonts w:ascii="宋体" w:hAnsi="宋体" w:eastAsia="宋体" w:cs="Times New Roman"/>
                <w:color w:val="auto"/>
                <w:szCs w:val="22"/>
                <w:lang w:bidi="ar"/>
              </w:rPr>
              <w:t>1.6</w:t>
            </w:r>
          </w:p>
        </w:tc>
        <w:tc>
          <w:tcPr>
            <w:tcW w:w="704" w:type="pct"/>
            <w:shd w:val="clear" w:color="auto" w:fill="auto"/>
            <w:vAlign w:val="center"/>
          </w:tcPr>
          <w:p w14:paraId="41C66D22">
            <w:pPr>
              <w:jc w:val="center"/>
              <w:rPr>
                <w:rFonts w:ascii="宋体" w:hAnsi="宋体" w:eastAsia="宋体" w:cs="Times New Roman"/>
                <w:color w:val="auto"/>
                <w:szCs w:val="22"/>
                <w:lang w:bidi="ar"/>
              </w:rPr>
            </w:pPr>
            <w:r>
              <w:rPr>
                <w:rFonts w:ascii="宋体" w:hAnsi="宋体" w:eastAsia="宋体" w:cs="Times New Roman"/>
                <w:color w:val="auto"/>
                <w:szCs w:val="22"/>
                <w:lang w:bidi="ar"/>
              </w:rPr>
              <w:t>6.8</w:t>
            </w:r>
          </w:p>
        </w:tc>
        <w:tc>
          <w:tcPr>
            <w:tcW w:w="2030" w:type="pct"/>
            <w:vMerge w:val="continue"/>
            <w:shd w:val="clear" w:color="auto" w:fill="auto"/>
            <w:vAlign w:val="center"/>
          </w:tcPr>
          <w:p w14:paraId="74558977">
            <w:pPr>
              <w:jc w:val="center"/>
              <w:rPr>
                <w:rFonts w:ascii="宋体" w:hAnsi="宋体" w:eastAsia="宋体" w:cs="Times New Roman"/>
                <w:color w:val="auto"/>
                <w:szCs w:val="22"/>
                <w:lang w:bidi="ar"/>
              </w:rPr>
            </w:pPr>
          </w:p>
        </w:tc>
      </w:tr>
      <w:tr w14:paraId="4666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3AFD7FF0">
            <w:pPr>
              <w:jc w:val="center"/>
              <w:rPr>
                <w:rFonts w:ascii="宋体" w:hAnsi="宋体" w:eastAsia="宋体" w:cs="Times New Roman"/>
                <w:color w:val="auto"/>
                <w:szCs w:val="22"/>
                <w:lang w:bidi="ar"/>
              </w:rPr>
            </w:pPr>
            <w:r>
              <w:rPr>
                <w:rFonts w:ascii="宋体" w:hAnsi="宋体" w:eastAsia="宋体" w:cs="Times New Roman"/>
                <w:color w:val="auto"/>
                <w:szCs w:val="22"/>
                <w:lang w:bidi="ar"/>
              </w:rPr>
              <w:t>20</w:t>
            </w:r>
          </w:p>
        </w:tc>
        <w:tc>
          <w:tcPr>
            <w:tcW w:w="1130" w:type="pct"/>
            <w:shd w:val="clear" w:color="auto" w:fill="auto"/>
            <w:vAlign w:val="center"/>
          </w:tcPr>
          <w:p w14:paraId="2A21E6C4">
            <w:pPr>
              <w:jc w:val="center"/>
              <w:rPr>
                <w:rFonts w:ascii="宋体" w:hAnsi="宋体" w:eastAsia="宋体" w:cs="Times New Roman"/>
                <w:color w:val="auto"/>
                <w:szCs w:val="22"/>
                <w:lang w:bidi="ar"/>
              </w:rPr>
            </w:pPr>
            <w:r>
              <w:rPr>
                <w:rFonts w:ascii="宋体" w:hAnsi="宋体" w:eastAsia="宋体" w:cs="Times New Roman"/>
                <w:color w:val="auto"/>
                <w:szCs w:val="22"/>
                <w:lang w:bidi="ar"/>
              </w:rPr>
              <w:t>四氯乙烯</w:t>
            </w:r>
          </w:p>
        </w:tc>
        <w:tc>
          <w:tcPr>
            <w:tcW w:w="703" w:type="pct"/>
            <w:shd w:val="clear" w:color="auto" w:fill="auto"/>
            <w:vAlign w:val="center"/>
          </w:tcPr>
          <w:p w14:paraId="719EB91A">
            <w:pPr>
              <w:jc w:val="center"/>
              <w:rPr>
                <w:rFonts w:ascii="宋体" w:hAnsi="宋体" w:eastAsia="宋体" w:cs="Times New Roman"/>
                <w:color w:val="auto"/>
                <w:szCs w:val="22"/>
                <w:lang w:bidi="ar"/>
              </w:rPr>
            </w:pPr>
            <w:r>
              <w:rPr>
                <w:rFonts w:ascii="宋体" w:hAnsi="宋体" w:eastAsia="宋体" w:cs="Times New Roman"/>
                <w:color w:val="auto"/>
                <w:szCs w:val="22"/>
                <w:lang w:bidi="ar"/>
              </w:rPr>
              <w:t>11</w:t>
            </w:r>
          </w:p>
        </w:tc>
        <w:tc>
          <w:tcPr>
            <w:tcW w:w="704" w:type="pct"/>
            <w:shd w:val="clear" w:color="auto" w:fill="auto"/>
            <w:vAlign w:val="center"/>
          </w:tcPr>
          <w:p w14:paraId="71301AB8">
            <w:pPr>
              <w:jc w:val="center"/>
              <w:rPr>
                <w:rFonts w:ascii="宋体" w:hAnsi="宋体" w:eastAsia="宋体" w:cs="Times New Roman"/>
                <w:color w:val="auto"/>
                <w:szCs w:val="22"/>
                <w:lang w:bidi="ar"/>
              </w:rPr>
            </w:pPr>
            <w:r>
              <w:rPr>
                <w:rFonts w:ascii="宋体" w:hAnsi="宋体" w:eastAsia="宋体" w:cs="Times New Roman"/>
                <w:color w:val="auto"/>
                <w:szCs w:val="22"/>
                <w:lang w:bidi="ar"/>
              </w:rPr>
              <w:t>53</w:t>
            </w:r>
          </w:p>
        </w:tc>
        <w:tc>
          <w:tcPr>
            <w:tcW w:w="2030" w:type="pct"/>
            <w:vMerge w:val="continue"/>
            <w:shd w:val="clear" w:color="auto" w:fill="auto"/>
            <w:vAlign w:val="center"/>
          </w:tcPr>
          <w:p w14:paraId="5D7E03D9">
            <w:pPr>
              <w:jc w:val="center"/>
              <w:rPr>
                <w:rFonts w:ascii="宋体" w:hAnsi="宋体" w:eastAsia="宋体" w:cs="Times New Roman"/>
                <w:color w:val="auto"/>
                <w:szCs w:val="22"/>
                <w:lang w:bidi="ar"/>
              </w:rPr>
            </w:pPr>
          </w:p>
        </w:tc>
      </w:tr>
      <w:tr w14:paraId="24EF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6310A0EA">
            <w:pPr>
              <w:jc w:val="center"/>
              <w:rPr>
                <w:rFonts w:ascii="宋体" w:hAnsi="宋体" w:eastAsia="宋体" w:cs="Times New Roman"/>
                <w:color w:val="auto"/>
                <w:szCs w:val="22"/>
                <w:lang w:bidi="ar"/>
              </w:rPr>
            </w:pPr>
            <w:r>
              <w:rPr>
                <w:rFonts w:ascii="宋体" w:hAnsi="宋体" w:eastAsia="宋体" w:cs="Times New Roman"/>
                <w:color w:val="auto"/>
                <w:szCs w:val="22"/>
                <w:lang w:bidi="ar"/>
              </w:rPr>
              <w:t>21</w:t>
            </w:r>
          </w:p>
        </w:tc>
        <w:tc>
          <w:tcPr>
            <w:tcW w:w="1130" w:type="pct"/>
            <w:shd w:val="clear" w:color="auto" w:fill="auto"/>
            <w:vAlign w:val="center"/>
          </w:tcPr>
          <w:p w14:paraId="0FFA1B7C">
            <w:pPr>
              <w:jc w:val="center"/>
              <w:rPr>
                <w:rFonts w:ascii="宋体" w:hAnsi="宋体" w:eastAsia="宋体" w:cs="Times New Roman"/>
                <w:color w:val="auto"/>
                <w:szCs w:val="22"/>
                <w:lang w:bidi="ar"/>
              </w:rPr>
            </w:pPr>
            <w:r>
              <w:rPr>
                <w:rFonts w:ascii="宋体" w:hAnsi="宋体" w:eastAsia="宋体" w:cs="Times New Roman"/>
                <w:color w:val="auto"/>
                <w:szCs w:val="22"/>
                <w:lang w:bidi="ar"/>
              </w:rPr>
              <w:t>1,1,1-三氯乙烷</w:t>
            </w:r>
          </w:p>
        </w:tc>
        <w:tc>
          <w:tcPr>
            <w:tcW w:w="703" w:type="pct"/>
            <w:shd w:val="clear" w:color="auto" w:fill="auto"/>
            <w:vAlign w:val="center"/>
          </w:tcPr>
          <w:p w14:paraId="08FD1BCC">
            <w:pPr>
              <w:jc w:val="center"/>
              <w:rPr>
                <w:rFonts w:ascii="宋体" w:hAnsi="宋体" w:eastAsia="宋体" w:cs="Times New Roman"/>
                <w:color w:val="auto"/>
                <w:szCs w:val="22"/>
                <w:lang w:bidi="ar"/>
              </w:rPr>
            </w:pPr>
            <w:r>
              <w:rPr>
                <w:rFonts w:ascii="宋体" w:hAnsi="宋体" w:eastAsia="宋体" w:cs="Times New Roman"/>
                <w:color w:val="auto"/>
                <w:szCs w:val="22"/>
                <w:lang w:bidi="ar"/>
              </w:rPr>
              <w:t>701</w:t>
            </w:r>
          </w:p>
        </w:tc>
        <w:tc>
          <w:tcPr>
            <w:tcW w:w="704" w:type="pct"/>
            <w:shd w:val="clear" w:color="auto" w:fill="auto"/>
            <w:vAlign w:val="center"/>
          </w:tcPr>
          <w:p w14:paraId="712019FA">
            <w:pPr>
              <w:jc w:val="center"/>
              <w:rPr>
                <w:rFonts w:ascii="宋体" w:hAnsi="宋体" w:eastAsia="宋体" w:cs="Times New Roman"/>
                <w:color w:val="auto"/>
                <w:szCs w:val="22"/>
                <w:lang w:bidi="ar"/>
              </w:rPr>
            </w:pPr>
            <w:r>
              <w:rPr>
                <w:rFonts w:ascii="宋体" w:hAnsi="宋体" w:eastAsia="宋体" w:cs="Times New Roman"/>
                <w:color w:val="auto"/>
                <w:szCs w:val="22"/>
                <w:lang w:bidi="ar"/>
              </w:rPr>
              <w:t>840</w:t>
            </w:r>
          </w:p>
        </w:tc>
        <w:tc>
          <w:tcPr>
            <w:tcW w:w="2030" w:type="pct"/>
            <w:vMerge w:val="continue"/>
            <w:shd w:val="clear" w:color="auto" w:fill="auto"/>
            <w:vAlign w:val="center"/>
          </w:tcPr>
          <w:p w14:paraId="779186D9">
            <w:pPr>
              <w:jc w:val="center"/>
              <w:rPr>
                <w:rFonts w:ascii="宋体" w:hAnsi="宋体" w:eastAsia="宋体" w:cs="Times New Roman"/>
                <w:color w:val="auto"/>
                <w:szCs w:val="22"/>
                <w:lang w:bidi="ar"/>
              </w:rPr>
            </w:pPr>
          </w:p>
        </w:tc>
      </w:tr>
      <w:tr w14:paraId="0F6C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090120F3">
            <w:pPr>
              <w:jc w:val="center"/>
              <w:rPr>
                <w:rFonts w:ascii="宋体" w:hAnsi="宋体" w:eastAsia="宋体" w:cs="Times New Roman"/>
                <w:color w:val="auto"/>
                <w:szCs w:val="22"/>
                <w:lang w:bidi="ar"/>
              </w:rPr>
            </w:pPr>
            <w:r>
              <w:rPr>
                <w:rFonts w:ascii="宋体" w:hAnsi="宋体" w:eastAsia="宋体" w:cs="Times New Roman"/>
                <w:color w:val="auto"/>
                <w:szCs w:val="22"/>
                <w:lang w:bidi="ar"/>
              </w:rPr>
              <w:t>22</w:t>
            </w:r>
          </w:p>
        </w:tc>
        <w:tc>
          <w:tcPr>
            <w:tcW w:w="1130" w:type="pct"/>
            <w:shd w:val="clear" w:color="auto" w:fill="auto"/>
            <w:vAlign w:val="center"/>
          </w:tcPr>
          <w:p w14:paraId="0B59BD62">
            <w:pPr>
              <w:jc w:val="center"/>
              <w:rPr>
                <w:rFonts w:ascii="宋体" w:hAnsi="宋体" w:eastAsia="宋体" w:cs="Times New Roman"/>
                <w:color w:val="auto"/>
                <w:szCs w:val="22"/>
                <w:lang w:bidi="ar"/>
              </w:rPr>
            </w:pPr>
            <w:r>
              <w:rPr>
                <w:rFonts w:ascii="宋体" w:hAnsi="宋体" w:eastAsia="宋体" w:cs="Times New Roman"/>
                <w:color w:val="auto"/>
                <w:szCs w:val="22"/>
                <w:lang w:bidi="ar"/>
              </w:rPr>
              <w:t>1,1,2-三氯乙烷</w:t>
            </w:r>
          </w:p>
        </w:tc>
        <w:tc>
          <w:tcPr>
            <w:tcW w:w="703" w:type="pct"/>
            <w:shd w:val="clear" w:color="auto" w:fill="auto"/>
            <w:vAlign w:val="center"/>
          </w:tcPr>
          <w:p w14:paraId="0CC3076F">
            <w:pPr>
              <w:jc w:val="center"/>
              <w:rPr>
                <w:rFonts w:ascii="宋体" w:hAnsi="宋体" w:eastAsia="宋体" w:cs="Times New Roman"/>
                <w:color w:val="auto"/>
                <w:szCs w:val="22"/>
                <w:lang w:bidi="ar"/>
              </w:rPr>
            </w:pPr>
            <w:r>
              <w:rPr>
                <w:rFonts w:ascii="宋体" w:hAnsi="宋体" w:eastAsia="宋体" w:cs="Times New Roman"/>
                <w:color w:val="auto"/>
                <w:szCs w:val="22"/>
                <w:lang w:bidi="ar"/>
              </w:rPr>
              <w:t>0.6</w:t>
            </w:r>
          </w:p>
        </w:tc>
        <w:tc>
          <w:tcPr>
            <w:tcW w:w="704" w:type="pct"/>
            <w:shd w:val="clear" w:color="auto" w:fill="auto"/>
            <w:vAlign w:val="center"/>
          </w:tcPr>
          <w:p w14:paraId="3100F4F5">
            <w:pPr>
              <w:jc w:val="center"/>
              <w:rPr>
                <w:rFonts w:ascii="宋体" w:hAnsi="宋体" w:eastAsia="宋体" w:cs="Times New Roman"/>
                <w:color w:val="auto"/>
                <w:szCs w:val="22"/>
                <w:lang w:bidi="ar"/>
              </w:rPr>
            </w:pPr>
            <w:r>
              <w:rPr>
                <w:rFonts w:ascii="宋体" w:hAnsi="宋体" w:eastAsia="宋体" w:cs="Times New Roman"/>
                <w:color w:val="auto"/>
                <w:szCs w:val="22"/>
                <w:lang w:bidi="ar"/>
              </w:rPr>
              <w:t>2.8</w:t>
            </w:r>
          </w:p>
        </w:tc>
        <w:tc>
          <w:tcPr>
            <w:tcW w:w="2030" w:type="pct"/>
            <w:vMerge w:val="continue"/>
            <w:shd w:val="clear" w:color="auto" w:fill="auto"/>
            <w:vAlign w:val="center"/>
          </w:tcPr>
          <w:p w14:paraId="0CC2275C">
            <w:pPr>
              <w:jc w:val="center"/>
              <w:rPr>
                <w:rFonts w:ascii="宋体" w:hAnsi="宋体" w:eastAsia="宋体" w:cs="Times New Roman"/>
                <w:color w:val="auto"/>
                <w:szCs w:val="22"/>
                <w:lang w:bidi="ar"/>
              </w:rPr>
            </w:pPr>
          </w:p>
        </w:tc>
      </w:tr>
      <w:tr w14:paraId="1127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56F90E26">
            <w:pPr>
              <w:jc w:val="center"/>
              <w:rPr>
                <w:rFonts w:ascii="宋体" w:hAnsi="宋体" w:eastAsia="宋体" w:cs="Times New Roman"/>
                <w:color w:val="auto"/>
                <w:szCs w:val="22"/>
                <w:lang w:bidi="ar"/>
              </w:rPr>
            </w:pPr>
            <w:r>
              <w:rPr>
                <w:rFonts w:ascii="宋体" w:hAnsi="宋体" w:eastAsia="宋体" w:cs="Times New Roman"/>
                <w:color w:val="auto"/>
                <w:szCs w:val="22"/>
                <w:lang w:bidi="ar"/>
              </w:rPr>
              <w:t>23</w:t>
            </w:r>
          </w:p>
        </w:tc>
        <w:tc>
          <w:tcPr>
            <w:tcW w:w="1130" w:type="pct"/>
            <w:shd w:val="clear" w:color="auto" w:fill="auto"/>
            <w:vAlign w:val="center"/>
          </w:tcPr>
          <w:p w14:paraId="2BA09F53">
            <w:pPr>
              <w:jc w:val="center"/>
              <w:rPr>
                <w:rFonts w:ascii="宋体" w:hAnsi="宋体" w:eastAsia="宋体" w:cs="Times New Roman"/>
                <w:color w:val="auto"/>
                <w:szCs w:val="22"/>
                <w:lang w:bidi="ar"/>
              </w:rPr>
            </w:pPr>
            <w:r>
              <w:rPr>
                <w:rFonts w:ascii="宋体" w:hAnsi="宋体" w:eastAsia="宋体" w:cs="Times New Roman"/>
                <w:color w:val="auto"/>
                <w:szCs w:val="22"/>
                <w:lang w:bidi="ar"/>
              </w:rPr>
              <w:t>三氯乙烯</w:t>
            </w:r>
          </w:p>
        </w:tc>
        <w:tc>
          <w:tcPr>
            <w:tcW w:w="703" w:type="pct"/>
            <w:shd w:val="clear" w:color="auto" w:fill="auto"/>
            <w:vAlign w:val="center"/>
          </w:tcPr>
          <w:p w14:paraId="4C0CEC9F">
            <w:pPr>
              <w:jc w:val="center"/>
              <w:rPr>
                <w:rFonts w:ascii="宋体" w:hAnsi="宋体" w:eastAsia="宋体" w:cs="Times New Roman"/>
                <w:color w:val="auto"/>
                <w:szCs w:val="22"/>
                <w:lang w:bidi="ar"/>
              </w:rPr>
            </w:pPr>
            <w:r>
              <w:rPr>
                <w:rFonts w:ascii="宋体" w:hAnsi="宋体" w:eastAsia="宋体" w:cs="Times New Roman"/>
                <w:color w:val="auto"/>
                <w:szCs w:val="22"/>
                <w:lang w:bidi="ar"/>
              </w:rPr>
              <w:t>0.7</w:t>
            </w:r>
          </w:p>
        </w:tc>
        <w:tc>
          <w:tcPr>
            <w:tcW w:w="704" w:type="pct"/>
            <w:shd w:val="clear" w:color="auto" w:fill="auto"/>
            <w:vAlign w:val="center"/>
          </w:tcPr>
          <w:p w14:paraId="26DE75D1">
            <w:pPr>
              <w:jc w:val="center"/>
              <w:rPr>
                <w:rFonts w:ascii="宋体" w:hAnsi="宋体" w:eastAsia="宋体" w:cs="Times New Roman"/>
                <w:color w:val="auto"/>
                <w:szCs w:val="22"/>
                <w:lang w:bidi="ar"/>
              </w:rPr>
            </w:pPr>
            <w:r>
              <w:rPr>
                <w:rFonts w:ascii="宋体" w:hAnsi="宋体" w:eastAsia="宋体" w:cs="Times New Roman"/>
                <w:color w:val="auto"/>
                <w:szCs w:val="22"/>
                <w:lang w:bidi="ar"/>
              </w:rPr>
              <w:t>2.8</w:t>
            </w:r>
          </w:p>
        </w:tc>
        <w:tc>
          <w:tcPr>
            <w:tcW w:w="2030" w:type="pct"/>
            <w:vMerge w:val="continue"/>
            <w:shd w:val="clear" w:color="auto" w:fill="auto"/>
            <w:vAlign w:val="center"/>
          </w:tcPr>
          <w:p w14:paraId="3F5A958A">
            <w:pPr>
              <w:jc w:val="center"/>
              <w:rPr>
                <w:rFonts w:ascii="宋体" w:hAnsi="宋体" w:eastAsia="宋体" w:cs="Times New Roman"/>
                <w:color w:val="auto"/>
                <w:szCs w:val="22"/>
                <w:lang w:bidi="ar"/>
              </w:rPr>
            </w:pPr>
          </w:p>
        </w:tc>
      </w:tr>
      <w:tr w14:paraId="6A6E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368AACA9">
            <w:pPr>
              <w:jc w:val="center"/>
              <w:rPr>
                <w:rFonts w:ascii="宋体" w:hAnsi="宋体" w:eastAsia="宋体" w:cs="Times New Roman"/>
                <w:color w:val="auto"/>
                <w:szCs w:val="22"/>
                <w:lang w:bidi="ar"/>
              </w:rPr>
            </w:pPr>
            <w:r>
              <w:rPr>
                <w:rFonts w:ascii="宋体" w:hAnsi="宋体" w:eastAsia="宋体" w:cs="Times New Roman"/>
                <w:color w:val="auto"/>
                <w:szCs w:val="22"/>
                <w:lang w:bidi="ar"/>
              </w:rPr>
              <w:t>24</w:t>
            </w:r>
          </w:p>
        </w:tc>
        <w:tc>
          <w:tcPr>
            <w:tcW w:w="1130" w:type="pct"/>
            <w:shd w:val="clear" w:color="auto" w:fill="auto"/>
            <w:vAlign w:val="center"/>
          </w:tcPr>
          <w:p w14:paraId="010E9C93">
            <w:pPr>
              <w:jc w:val="center"/>
              <w:rPr>
                <w:rFonts w:ascii="宋体" w:hAnsi="宋体" w:eastAsia="宋体" w:cs="Times New Roman"/>
                <w:color w:val="auto"/>
                <w:szCs w:val="22"/>
                <w:lang w:bidi="ar"/>
              </w:rPr>
            </w:pPr>
            <w:r>
              <w:rPr>
                <w:rFonts w:ascii="宋体" w:hAnsi="宋体" w:eastAsia="宋体" w:cs="Times New Roman"/>
                <w:color w:val="auto"/>
                <w:szCs w:val="22"/>
                <w:lang w:bidi="ar"/>
              </w:rPr>
              <w:t>1,2,3-三氯丙烷</w:t>
            </w:r>
          </w:p>
        </w:tc>
        <w:tc>
          <w:tcPr>
            <w:tcW w:w="703" w:type="pct"/>
            <w:shd w:val="clear" w:color="auto" w:fill="auto"/>
            <w:vAlign w:val="center"/>
          </w:tcPr>
          <w:p w14:paraId="28996A54">
            <w:pPr>
              <w:jc w:val="center"/>
              <w:rPr>
                <w:rFonts w:ascii="宋体" w:hAnsi="宋体" w:eastAsia="宋体" w:cs="Times New Roman"/>
                <w:color w:val="auto"/>
                <w:szCs w:val="22"/>
                <w:lang w:bidi="ar"/>
              </w:rPr>
            </w:pPr>
            <w:r>
              <w:rPr>
                <w:rFonts w:ascii="宋体" w:hAnsi="宋体" w:eastAsia="宋体" w:cs="Times New Roman"/>
                <w:color w:val="auto"/>
                <w:szCs w:val="22"/>
                <w:lang w:bidi="ar"/>
              </w:rPr>
              <w:t>0.05</w:t>
            </w:r>
          </w:p>
        </w:tc>
        <w:tc>
          <w:tcPr>
            <w:tcW w:w="704" w:type="pct"/>
            <w:shd w:val="clear" w:color="auto" w:fill="auto"/>
            <w:vAlign w:val="center"/>
          </w:tcPr>
          <w:p w14:paraId="2090D177">
            <w:pPr>
              <w:jc w:val="center"/>
              <w:rPr>
                <w:rFonts w:ascii="宋体" w:hAnsi="宋体" w:eastAsia="宋体" w:cs="Times New Roman"/>
                <w:color w:val="auto"/>
                <w:szCs w:val="22"/>
                <w:lang w:bidi="ar"/>
              </w:rPr>
            </w:pPr>
            <w:r>
              <w:rPr>
                <w:rFonts w:ascii="宋体" w:hAnsi="宋体" w:eastAsia="宋体" w:cs="Times New Roman"/>
                <w:color w:val="auto"/>
                <w:szCs w:val="22"/>
                <w:lang w:bidi="ar"/>
              </w:rPr>
              <w:t>0.5</w:t>
            </w:r>
          </w:p>
        </w:tc>
        <w:tc>
          <w:tcPr>
            <w:tcW w:w="2030" w:type="pct"/>
            <w:vMerge w:val="continue"/>
            <w:shd w:val="clear" w:color="auto" w:fill="auto"/>
            <w:vAlign w:val="center"/>
          </w:tcPr>
          <w:p w14:paraId="6EC08301">
            <w:pPr>
              <w:jc w:val="center"/>
              <w:rPr>
                <w:rFonts w:ascii="宋体" w:hAnsi="宋体" w:eastAsia="宋体" w:cs="Times New Roman"/>
                <w:color w:val="auto"/>
                <w:szCs w:val="22"/>
                <w:lang w:bidi="ar"/>
              </w:rPr>
            </w:pPr>
          </w:p>
        </w:tc>
      </w:tr>
      <w:tr w14:paraId="1B1E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32B5049E">
            <w:pPr>
              <w:jc w:val="center"/>
              <w:rPr>
                <w:rFonts w:ascii="宋体" w:hAnsi="宋体" w:eastAsia="宋体" w:cs="Times New Roman"/>
                <w:color w:val="auto"/>
                <w:szCs w:val="22"/>
                <w:lang w:bidi="ar"/>
              </w:rPr>
            </w:pPr>
            <w:r>
              <w:rPr>
                <w:rFonts w:ascii="宋体" w:hAnsi="宋体" w:eastAsia="宋体" w:cs="Times New Roman"/>
                <w:color w:val="auto"/>
                <w:szCs w:val="22"/>
                <w:lang w:bidi="ar"/>
              </w:rPr>
              <w:t>25</w:t>
            </w:r>
          </w:p>
        </w:tc>
        <w:tc>
          <w:tcPr>
            <w:tcW w:w="1130" w:type="pct"/>
            <w:shd w:val="clear" w:color="auto" w:fill="auto"/>
            <w:vAlign w:val="center"/>
          </w:tcPr>
          <w:p w14:paraId="657EFC0F">
            <w:pPr>
              <w:jc w:val="center"/>
              <w:rPr>
                <w:rFonts w:ascii="宋体" w:hAnsi="宋体" w:eastAsia="宋体" w:cs="Times New Roman"/>
                <w:color w:val="auto"/>
                <w:szCs w:val="22"/>
                <w:lang w:bidi="ar"/>
              </w:rPr>
            </w:pPr>
            <w:r>
              <w:rPr>
                <w:rFonts w:ascii="宋体" w:hAnsi="宋体" w:eastAsia="宋体" w:cs="Times New Roman"/>
                <w:color w:val="auto"/>
                <w:szCs w:val="22"/>
                <w:lang w:bidi="ar"/>
              </w:rPr>
              <w:t>氯乙烯</w:t>
            </w:r>
          </w:p>
        </w:tc>
        <w:tc>
          <w:tcPr>
            <w:tcW w:w="703" w:type="pct"/>
            <w:shd w:val="clear" w:color="auto" w:fill="auto"/>
            <w:vAlign w:val="center"/>
          </w:tcPr>
          <w:p w14:paraId="5398C369">
            <w:pPr>
              <w:jc w:val="center"/>
              <w:rPr>
                <w:rFonts w:ascii="宋体" w:hAnsi="宋体" w:eastAsia="宋体" w:cs="Times New Roman"/>
                <w:color w:val="auto"/>
                <w:szCs w:val="22"/>
                <w:lang w:bidi="ar"/>
              </w:rPr>
            </w:pPr>
            <w:r>
              <w:rPr>
                <w:rFonts w:ascii="宋体" w:hAnsi="宋体" w:eastAsia="宋体" w:cs="Times New Roman"/>
                <w:color w:val="auto"/>
                <w:szCs w:val="22"/>
                <w:lang w:bidi="ar"/>
              </w:rPr>
              <w:t>0.12</w:t>
            </w:r>
          </w:p>
        </w:tc>
        <w:tc>
          <w:tcPr>
            <w:tcW w:w="704" w:type="pct"/>
            <w:shd w:val="clear" w:color="auto" w:fill="auto"/>
            <w:vAlign w:val="center"/>
          </w:tcPr>
          <w:p w14:paraId="268D6591">
            <w:pPr>
              <w:jc w:val="center"/>
              <w:rPr>
                <w:rFonts w:ascii="宋体" w:hAnsi="宋体" w:eastAsia="宋体" w:cs="Times New Roman"/>
                <w:color w:val="auto"/>
                <w:szCs w:val="22"/>
                <w:lang w:bidi="ar"/>
              </w:rPr>
            </w:pPr>
            <w:r>
              <w:rPr>
                <w:rFonts w:ascii="宋体" w:hAnsi="宋体" w:eastAsia="宋体" w:cs="Times New Roman"/>
                <w:color w:val="auto"/>
                <w:szCs w:val="22"/>
                <w:lang w:bidi="ar"/>
              </w:rPr>
              <w:t>0.43</w:t>
            </w:r>
          </w:p>
        </w:tc>
        <w:tc>
          <w:tcPr>
            <w:tcW w:w="2030" w:type="pct"/>
            <w:vMerge w:val="continue"/>
            <w:shd w:val="clear" w:color="auto" w:fill="auto"/>
            <w:vAlign w:val="center"/>
          </w:tcPr>
          <w:p w14:paraId="197E3E06">
            <w:pPr>
              <w:jc w:val="center"/>
              <w:rPr>
                <w:rFonts w:ascii="宋体" w:hAnsi="宋体" w:eastAsia="宋体" w:cs="Times New Roman"/>
                <w:color w:val="auto"/>
                <w:szCs w:val="22"/>
                <w:lang w:bidi="ar"/>
              </w:rPr>
            </w:pPr>
          </w:p>
        </w:tc>
      </w:tr>
      <w:tr w14:paraId="7CA5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71463872">
            <w:pPr>
              <w:jc w:val="center"/>
              <w:rPr>
                <w:rFonts w:ascii="宋体" w:hAnsi="宋体" w:eastAsia="宋体" w:cs="Times New Roman"/>
                <w:color w:val="auto"/>
                <w:szCs w:val="22"/>
                <w:lang w:bidi="ar"/>
              </w:rPr>
            </w:pPr>
            <w:r>
              <w:rPr>
                <w:rFonts w:ascii="宋体" w:hAnsi="宋体" w:eastAsia="宋体" w:cs="Times New Roman"/>
                <w:color w:val="auto"/>
                <w:szCs w:val="22"/>
                <w:lang w:bidi="ar"/>
              </w:rPr>
              <w:t>26</w:t>
            </w:r>
          </w:p>
        </w:tc>
        <w:tc>
          <w:tcPr>
            <w:tcW w:w="1130" w:type="pct"/>
            <w:shd w:val="clear" w:color="auto" w:fill="auto"/>
            <w:vAlign w:val="center"/>
          </w:tcPr>
          <w:p w14:paraId="2DF062E7">
            <w:pPr>
              <w:jc w:val="center"/>
              <w:rPr>
                <w:rFonts w:ascii="宋体" w:hAnsi="宋体" w:eastAsia="宋体" w:cs="Times New Roman"/>
                <w:color w:val="auto"/>
                <w:szCs w:val="22"/>
                <w:lang w:bidi="ar"/>
              </w:rPr>
            </w:pPr>
            <w:r>
              <w:rPr>
                <w:rFonts w:ascii="宋体" w:hAnsi="宋体" w:eastAsia="宋体" w:cs="Times New Roman"/>
                <w:color w:val="auto"/>
                <w:szCs w:val="22"/>
                <w:lang w:bidi="ar"/>
              </w:rPr>
              <w:t>苯</w:t>
            </w:r>
          </w:p>
        </w:tc>
        <w:tc>
          <w:tcPr>
            <w:tcW w:w="703" w:type="pct"/>
            <w:shd w:val="clear" w:color="auto" w:fill="auto"/>
            <w:vAlign w:val="center"/>
          </w:tcPr>
          <w:p w14:paraId="7A0F0A90">
            <w:pPr>
              <w:jc w:val="center"/>
              <w:rPr>
                <w:rFonts w:ascii="宋体" w:hAnsi="宋体" w:eastAsia="宋体" w:cs="Times New Roman"/>
                <w:color w:val="auto"/>
                <w:szCs w:val="22"/>
                <w:lang w:bidi="ar"/>
              </w:rPr>
            </w:pPr>
            <w:r>
              <w:rPr>
                <w:rFonts w:ascii="宋体" w:hAnsi="宋体" w:eastAsia="宋体" w:cs="Times New Roman"/>
                <w:color w:val="auto"/>
                <w:szCs w:val="22"/>
                <w:lang w:bidi="ar"/>
              </w:rPr>
              <w:t>1</w:t>
            </w:r>
          </w:p>
        </w:tc>
        <w:tc>
          <w:tcPr>
            <w:tcW w:w="704" w:type="pct"/>
            <w:shd w:val="clear" w:color="auto" w:fill="auto"/>
            <w:vAlign w:val="center"/>
          </w:tcPr>
          <w:p w14:paraId="2E151D91">
            <w:pPr>
              <w:jc w:val="center"/>
              <w:rPr>
                <w:rFonts w:ascii="宋体" w:hAnsi="宋体" w:eastAsia="宋体" w:cs="Times New Roman"/>
                <w:color w:val="auto"/>
                <w:szCs w:val="22"/>
                <w:lang w:bidi="ar"/>
              </w:rPr>
            </w:pPr>
            <w:r>
              <w:rPr>
                <w:rFonts w:ascii="宋体" w:hAnsi="宋体" w:eastAsia="宋体" w:cs="Times New Roman"/>
                <w:color w:val="auto"/>
                <w:szCs w:val="22"/>
                <w:lang w:bidi="ar"/>
              </w:rPr>
              <w:t>4</w:t>
            </w:r>
          </w:p>
        </w:tc>
        <w:tc>
          <w:tcPr>
            <w:tcW w:w="2030" w:type="pct"/>
            <w:vMerge w:val="continue"/>
            <w:shd w:val="clear" w:color="auto" w:fill="auto"/>
            <w:vAlign w:val="center"/>
          </w:tcPr>
          <w:p w14:paraId="7B1C02D6">
            <w:pPr>
              <w:jc w:val="center"/>
              <w:rPr>
                <w:rFonts w:ascii="宋体" w:hAnsi="宋体" w:eastAsia="宋体" w:cs="Times New Roman"/>
                <w:color w:val="auto"/>
                <w:szCs w:val="22"/>
                <w:lang w:bidi="ar"/>
              </w:rPr>
            </w:pPr>
          </w:p>
        </w:tc>
      </w:tr>
      <w:tr w14:paraId="70CA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0042EC98">
            <w:pPr>
              <w:jc w:val="center"/>
              <w:rPr>
                <w:rFonts w:ascii="宋体" w:hAnsi="宋体" w:eastAsia="宋体" w:cs="Times New Roman"/>
                <w:color w:val="auto"/>
                <w:szCs w:val="22"/>
                <w:lang w:bidi="ar"/>
              </w:rPr>
            </w:pPr>
            <w:r>
              <w:rPr>
                <w:rFonts w:ascii="宋体" w:hAnsi="宋体" w:eastAsia="宋体" w:cs="Times New Roman"/>
                <w:color w:val="auto"/>
                <w:szCs w:val="22"/>
                <w:lang w:bidi="ar"/>
              </w:rPr>
              <w:t>27</w:t>
            </w:r>
          </w:p>
        </w:tc>
        <w:tc>
          <w:tcPr>
            <w:tcW w:w="1130" w:type="pct"/>
            <w:shd w:val="clear" w:color="auto" w:fill="auto"/>
            <w:vAlign w:val="center"/>
          </w:tcPr>
          <w:p w14:paraId="227B26D0">
            <w:pPr>
              <w:jc w:val="center"/>
              <w:rPr>
                <w:rFonts w:ascii="宋体" w:hAnsi="宋体" w:eastAsia="宋体" w:cs="Times New Roman"/>
                <w:color w:val="auto"/>
                <w:szCs w:val="22"/>
                <w:lang w:bidi="ar"/>
              </w:rPr>
            </w:pPr>
            <w:r>
              <w:rPr>
                <w:rFonts w:ascii="宋体" w:hAnsi="宋体" w:eastAsia="宋体" w:cs="Times New Roman"/>
                <w:color w:val="auto"/>
                <w:szCs w:val="22"/>
                <w:lang w:bidi="ar"/>
              </w:rPr>
              <w:t>氯苯</w:t>
            </w:r>
          </w:p>
        </w:tc>
        <w:tc>
          <w:tcPr>
            <w:tcW w:w="703" w:type="pct"/>
            <w:shd w:val="clear" w:color="auto" w:fill="auto"/>
            <w:vAlign w:val="center"/>
          </w:tcPr>
          <w:p w14:paraId="698CB7C1">
            <w:pPr>
              <w:jc w:val="center"/>
              <w:rPr>
                <w:rFonts w:ascii="宋体" w:hAnsi="宋体" w:eastAsia="宋体" w:cs="Times New Roman"/>
                <w:color w:val="auto"/>
                <w:szCs w:val="22"/>
                <w:lang w:bidi="ar"/>
              </w:rPr>
            </w:pPr>
            <w:r>
              <w:rPr>
                <w:rFonts w:ascii="宋体" w:hAnsi="宋体" w:eastAsia="宋体" w:cs="Times New Roman"/>
                <w:color w:val="auto"/>
                <w:szCs w:val="22"/>
                <w:lang w:bidi="ar"/>
              </w:rPr>
              <w:t>68</w:t>
            </w:r>
          </w:p>
        </w:tc>
        <w:tc>
          <w:tcPr>
            <w:tcW w:w="704" w:type="pct"/>
            <w:shd w:val="clear" w:color="auto" w:fill="auto"/>
            <w:vAlign w:val="center"/>
          </w:tcPr>
          <w:p w14:paraId="56724632">
            <w:pPr>
              <w:jc w:val="center"/>
              <w:rPr>
                <w:rFonts w:ascii="宋体" w:hAnsi="宋体" w:eastAsia="宋体" w:cs="Times New Roman"/>
                <w:color w:val="auto"/>
                <w:szCs w:val="22"/>
                <w:lang w:bidi="ar"/>
              </w:rPr>
            </w:pPr>
            <w:r>
              <w:rPr>
                <w:rFonts w:ascii="宋体" w:hAnsi="宋体" w:eastAsia="宋体" w:cs="Times New Roman"/>
                <w:color w:val="auto"/>
                <w:szCs w:val="22"/>
                <w:lang w:bidi="ar"/>
              </w:rPr>
              <w:t>270</w:t>
            </w:r>
          </w:p>
        </w:tc>
        <w:tc>
          <w:tcPr>
            <w:tcW w:w="2030" w:type="pct"/>
            <w:vMerge w:val="continue"/>
            <w:shd w:val="clear" w:color="auto" w:fill="auto"/>
            <w:vAlign w:val="center"/>
          </w:tcPr>
          <w:p w14:paraId="78FBD942">
            <w:pPr>
              <w:jc w:val="center"/>
              <w:rPr>
                <w:rFonts w:ascii="宋体" w:hAnsi="宋体" w:eastAsia="宋体" w:cs="Times New Roman"/>
                <w:color w:val="auto"/>
                <w:szCs w:val="22"/>
                <w:lang w:bidi="ar"/>
              </w:rPr>
            </w:pPr>
          </w:p>
        </w:tc>
      </w:tr>
      <w:tr w14:paraId="2882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9210EA3">
            <w:pPr>
              <w:jc w:val="center"/>
              <w:rPr>
                <w:rFonts w:ascii="宋体" w:hAnsi="宋体" w:eastAsia="宋体" w:cs="Times New Roman"/>
                <w:color w:val="auto"/>
                <w:szCs w:val="22"/>
                <w:lang w:bidi="ar"/>
              </w:rPr>
            </w:pPr>
            <w:r>
              <w:rPr>
                <w:rFonts w:ascii="宋体" w:hAnsi="宋体" w:eastAsia="宋体" w:cs="Times New Roman"/>
                <w:color w:val="auto"/>
                <w:szCs w:val="22"/>
                <w:lang w:bidi="ar"/>
              </w:rPr>
              <w:t>28</w:t>
            </w:r>
          </w:p>
        </w:tc>
        <w:tc>
          <w:tcPr>
            <w:tcW w:w="1130" w:type="pct"/>
            <w:shd w:val="clear" w:color="auto" w:fill="auto"/>
            <w:vAlign w:val="center"/>
          </w:tcPr>
          <w:p w14:paraId="743B45AC">
            <w:pPr>
              <w:jc w:val="center"/>
              <w:rPr>
                <w:rFonts w:ascii="宋体" w:hAnsi="宋体" w:eastAsia="宋体" w:cs="Times New Roman"/>
                <w:color w:val="auto"/>
                <w:szCs w:val="22"/>
                <w:lang w:bidi="ar"/>
              </w:rPr>
            </w:pPr>
            <w:r>
              <w:rPr>
                <w:rFonts w:ascii="宋体" w:hAnsi="宋体" w:eastAsia="宋体" w:cs="Times New Roman"/>
                <w:color w:val="auto"/>
                <w:szCs w:val="22"/>
                <w:lang w:bidi="ar"/>
              </w:rPr>
              <w:t>1,2-二氯苯</w:t>
            </w:r>
          </w:p>
        </w:tc>
        <w:tc>
          <w:tcPr>
            <w:tcW w:w="703" w:type="pct"/>
            <w:shd w:val="clear" w:color="auto" w:fill="auto"/>
            <w:vAlign w:val="center"/>
          </w:tcPr>
          <w:p w14:paraId="20ECDC1C">
            <w:pPr>
              <w:jc w:val="center"/>
              <w:rPr>
                <w:rFonts w:ascii="宋体" w:hAnsi="宋体" w:eastAsia="宋体" w:cs="Times New Roman"/>
                <w:color w:val="auto"/>
                <w:szCs w:val="22"/>
                <w:lang w:bidi="ar"/>
              </w:rPr>
            </w:pPr>
            <w:r>
              <w:rPr>
                <w:rFonts w:ascii="宋体" w:hAnsi="宋体" w:eastAsia="宋体" w:cs="Times New Roman"/>
                <w:color w:val="auto"/>
                <w:szCs w:val="22"/>
                <w:lang w:bidi="ar"/>
              </w:rPr>
              <w:t>560</w:t>
            </w:r>
          </w:p>
        </w:tc>
        <w:tc>
          <w:tcPr>
            <w:tcW w:w="704" w:type="pct"/>
            <w:shd w:val="clear" w:color="auto" w:fill="auto"/>
            <w:vAlign w:val="center"/>
          </w:tcPr>
          <w:p w14:paraId="39C4E521">
            <w:pPr>
              <w:jc w:val="center"/>
              <w:rPr>
                <w:rFonts w:ascii="宋体" w:hAnsi="宋体" w:eastAsia="宋体" w:cs="Times New Roman"/>
                <w:color w:val="auto"/>
                <w:szCs w:val="22"/>
                <w:lang w:bidi="ar"/>
              </w:rPr>
            </w:pPr>
            <w:r>
              <w:rPr>
                <w:rFonts w:ascii="宋体" w:hAnsi="宋体" w:eastAsia="宋体" w:cs="Times New Roman"/>
                <w:color w:val="auto"/>
                <w:szCs w:val="22"/>
                <w:lang w:bidi="ar"/>
              </w:rPr>
              <w:t>560</w:t>
            </w:r>
          </w:p>
        </w:tc>
        <w:tc>
          <w:tcPr>
            <w:tcW w:w="2030" w:type="pct"/>
            <w:vMerge w:val="continue"/>
            <w:shd w:val="clear" w:color="auto" w:fill="auto"/>
            <w:vAlign w:val="center"/>
          </w:tcPr>
          <w:p w14:paraId="5196FD5A">
            <w:pPr>
              <w:jc w:val="center"/>
              <w:rPr>
                <w:rFonts w:ascii="宋体" w:hAnsi="宋体" w:eastAsia="宋体" w:cs="Times New Roman"/>
                <w:color w:val="auto"/>
                <w:szCs w:val="22"/>
                <w:lang w:bidi="ar"/>
              </w:rPr>
            </w:pPr>
          </w:p>
        </w:tc>
      </w:tr>
      <w:tr w14:paraId="0EC6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8227890">
            <w:pPr>
              <w:jc w:val="center"/>
              <w:rPr>
                <w:rFonts w:ascii="宋体" w:hAnsi="宋体" w:eastAsia="宋体" w:cs="Times New Roman"/>
                <w:color w:val="auto"/>
                <w:szCs w:val="22"/>
                <w:lang w:bidi="ar"/>
              </w:rPr>
            </w:pPr>
            <w:r>
              <w:rPr>
                <w:rFonts w:ascii="宋体" w:hAnsi="宋体" w:eastAsia="宋体" w:cs="Times New Roman"/>
                <w:color w:val="auto"/>
                <w:szCs w:val="22"/>
                <w:lang w:bidi="ar"/>
              </w:rPr>
              <w:t>29</w:t>
            </w:r>
          </w:p>
        </w:tc>
        <w:tc>
          <w:tcPr>
            <w:tcW w:w="1130" w:type="pct"/>
            <w:shd w:val="clear" w:color="auto" w:fill="auto"/>
            <w:vAlign w:val="center"/>
          </w:tcPr>
          <w:p w14:paraId="4D77FD29">
            <w:pPr>
              <w:jc w:val="center"/>
              <w:rPr>
                <w:rFonts w:ascii="宋体" w:hAnsi="宋体" w:eastAsia="宋体" w:cs="Times New Roman"/>
                <w:color w:val="auto"/>
                <w:szCs w:val="22"/>
                <w:lang w:bidi="ar"/>
              </w:rPr>
            </w:pPr>
            <w:r>
              <w:rPr>
                <w:rFonts w:ascii="宋体" w:hAnsi="宋体" w:eastAsia="宋体" w:cs="Times New Roman"/>
                <w:color w:val="auto"/>
                <w:szCs w:val="22"/>
                <w:lang w:bidi="ar"/>
              </w:rPr>
              <w:t>1,4-二氯苯</w:t>
            </w:r>
          </w:p>
        </w:tc>
        <w:tc>
          <w:tcPr>
            <w:tcW w:w="703" w:type="pct"/>
            <w:shd w:val="clear" w:color="auto" w:fill="auto"/>
            <w:vAlign w:val="center"/>
          </w:tcPr>
          <w:p w14:paraId="0F37E75D">
            <w:pPr>
              <w:jc w:val="center"/>
              <w:rPr>
                <w:rFonts w:ascii="宋体" w:hAnsi="宋体" w:eastAsia="宋体" w:cs="Times New Roman"/>
                <w:color w:val="auto"/>
                <w:szCs w:val="22"/>
                <w:lang w:bidi="ar"/>
              </w:rPr>
            </w:pPr>
            <w:r>
              <w:rPr>
                <w:rFonts w:ascii="宋体" w:hAnsi="宋体" w:eastAsia="宋体" w:cs="Times New Roman"/>
                <w:color w:val="auto"/>
                <w:szCs w:val="22"/>
                <w:lang w:bidi="ar"/>
              </w:rPr>
              <w:t>5.6</w:t>
            </w:r>
          </w:p>
        </w:tc>
        <w:tc>
          <w:tcPr>
            <w:tcW w:w="704" w:type="pct"/>
            <w:shd w:val="clear" w:color="auto" w:fill="auto"/>
            <w:vAlign w:val="center"/>
          </w:tcPr>
          <w:p w14:paraId="6EB3899D">
            <w:pPr>
              <w:jc w:val="center"/>
              <w:rPr>
                <w:rFonts w:ascii="宋体" w:hAnsi="宋体" w:eastAsia="宋体" w:cs="Times New Roman"/>
                <w:color w:val="auto"/>
                <w:szCs w:val="22"/>
                <w:lang w:bidi="ar"/>
              </w:rPr>
            </w:pPr>
            <w:r>
              <w:rPr>
                <w:rFonts w:ascii="宋体" w:hAnsi="宋体" w:eastAsia="宋体" w:cs="Times New Roman"/>
                <w:color w:val="auto"/>
                <w:szCs w:val="22"/>
                <w:lang w:bidi="ar"/>
              </w:rPr>
              <w:t>20</w:t>
            </w:r>
          </w:p>
        </w:tc>
        <w:tc>
          <w:tcPr>
            <w:tcW w:w="2030" w:type="pct"/>
            <w:vMerge w:val="continue"/>
            <w:shd w:val="clear" w:color="auto" w:fill="auto"/>
            <w:vAlign w:val="center"/>
          </w:tcPr>
          <w:p w14:paraId="78B33A07">
            <w:pPr>
              <w:jc w:val="center"/>
              <w:rPr>
                <w:rFonts w:ascii="宋体" w:hAnsi="宋体" w:eastAsia="宋体" w:cs="Times New Roman"/>
                <w:color w:val="auto"/>
                <w:szCs w:val="22"/>
                <w:lang w:bidi="ar"/>
              </w:rPr>
            </w:pPr>
          </w:p>
        </w:tc>
      </w:tr>
      <w:tr w14:paraId="0131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5F90EE69">
            <w:pPr>
              <w:jc w:val="center"/>
              <w:rPr>
                <w:rFonts w:ascii="宋体" w:hAnsi="宋体" w:eastAsia="宋体" w:cs="Times New Roman"/>
                <w:color w:val="auto"/>
                <w:szCs w:val="22"/>
                <w:lang w:bidi="ar"/>
              </w:rPr>
            </w:pPr>
            <w:r>
              <w:rPr>
                <w:rFonts w:ascii="宋体" w:hAnsi="宋体" w:eastAsia="宋体" w:cs="Times New Roman"/>
                <w:color w:val="auto"/>
                <w:szCs w:val="22"/>
                <w:lang w:bidi="ar"/>
              </w:rPr>
              <w:t>30</w:t>
            </w:r>
          </w:p>
        </w:tc>
        <w:tc>
          <w:tcPr>
            <w:tcW w:w="1130" w:type="pct"/>
            <w:shd w:val="clear" w:color="auto" w:fill="auto"/>
            <w:vAlign w:val="center"/>
          </w:tcPr>
          <w:p w14:paraId="56171F64">
            <w:pPr>
              <w:jc w:val="center"/>
              <w:rPr>
                <w:rFonts w:ascii="宋体" w:hAnsi="宋体" w:eastAsia="宋体" w:cs="Times New Roman"/>
                <w:color w:val="auto"/>
                <w:szCs w:val="22"/>
                <w:lang w:bidi="ar"/>
              </w:rPr>
            </w:pPr>
            <w:r>
              <w:rPr>
                <w:rFonts w:ascii="宋体" w:hAnsi="宋体" w:eastAsia="宋体" w:cs="Times New Roman"/>
                <w:color w:val="auto"/>
                <w:szCs w:val="22"/>
                <w:lang w:bidi="ar"/>
              </w:rPr>
              <w:t>乙苯</w:t>
            </w:r>
          </w:p>
        </w:tc>
        <w:tc>
          <w:tcPr>
            <w:tcW w:w="703" w:type="pct"/>
            <w:shd w:val="clear" w:color="auto" w:fill="auto"/>
            <w:vAlign w:val="center"/>
          </w:tcPr>
          <w:p w14:paraId="501C12B9">
            <w:pPr>
              <w:jc w:val="center"/>
              <w:rPr>
                <w:rFonts w:ascii="宋体" w:hAnsi="宋体" w:eastAsia="宋体" w:cs="Times New Roman"/>
                <w:color w:val="auto"/>
                <w:szCs w:val="22"/>
                <w:lang w:bidi="ar"/>
              </w:rPr>
            </w:pPr>
            <w:r>
              <w:rPr>
                <w:rFonts w:ascii="宋体" w:hAnsi="宋体" w:eastAsia="宋体" w:cs="Times New Roman"/>
                <w:color w:val="auto"/>
                <w:szCs w:val="22"/>
                <w:lang w:bidi="ar"/>
              </w:rPr>
              <w:t>7.2</w:t>
            </w:r>
          </w:p>
        </w:tc>
        <w:tc>
          <w:tcPr>
            <w:tcW w:w="704" w:type="pct"/>
            <w:shd w:val="clear" w:color="auto" w:fill="auto"/>
            <w:vAlign w:val="center"/>
          </w:tcPr>
          <w:p w14:paraId="6007236A">
            <w:pPr>
              <w:jc w:val="center"/>
              <w:rPr>
                <w:rFonts w:ascii="宋体" w:hAnsi="宋体" w:eastAsia="宋体" w:cs="Times New Roman"/>
                <w:color w:val="auto"/>
                <w:szCs w:val="22"/>
                <w:lang w:bidi="ar"/>
              </w:rPr>
            </w:pPr>
            <w:r>
              <w:rPr>
                <w:rFonts w:ascii="宋体" w:hAnsi="宋体" w:eastAsia="宋体" w:cs="Times New Roman"/>
                <w:color w:val="auto"/>
                <w:szCs w:val="22"/>
                <w:lang w:bidi="ar"/>
              </w:rPr>
              <w:t>28</w:t>
            </w:r>
          </w:p>
        </w:tc>
        <w:tc>
          <w:tcPr>
            <w:tcW w:w="2030" w:type="pct"/>
            <w:vMerge w:val="continue"/>
            <w:shd w:val="clear" w:color="auto" w:fill="auto"/>
            <w:vAlign w:val="center"/>
          </w:tcPr>
          <w:p w14:paraId="0CE67C0B">
            <w:pPr>
              <w:jc w:val="center"/>
              <w:rPr>
                <w:rFonts w:ascii="宋体" w:hAnsi="宋体" w:eastAsia="宋体" w:cs="Times New Roman"/>
                <w:color w:val="auto"/>
                <w:szCs w:val="22"/>
                <w:lang w:bidi="ar"/>
              </w:rPr>
            </w:pPr>
          </w:p>
        </w:tc>
      </w:tr>
      <w:tr w14:paraId="6FA6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5E3CCE11">
            <w:pPr>
              <w:jc w:val="center"/>
              <w:rPr>
                <w:rFonts w:ascii="宋体" w:hAnsi="宋体" w:eastAsia="宋体" w:cs="Times New Roman"/>
                <w:color w:val="auto"/>
                <w:szCs w:val="22"/>
                <w:lang w:bidi="ar"/>
              </w:rPr>
            </w:pPr>
            <w:r>
              <w:rPr>
                <w:rFonts w:ascii="宋体" w:hAnsi="宋体" w:eastAsia="宋体" w:cs="Times New Roman"/>
                <w:color w:val="auto"/>
                <w:szCs w:val="22"/>
                <w:lang w:bidi="ar"/>
              </w:rPr>
              <w:t>31</w:t>
            </w:r>
          </w:p>
        </w:tc>
        <w:tc>
          <w:tcPr>
            <w:tcW w:w="1130" w:type="pct"/>
            <w:shd w:val="clear" w:color="auto" w:fill="auto"/>
            <w:vAlign w:val="center"/>
          </w:tcPr>
          <w:p w14:paraId="5DBA5BDC">
            <w:pPr>
              <w:jc w:val="center"/>
              <w:rPr>
                <w:rFonts w:ascii="宋体" w:hAnsi="宋体" w:eastAsia="宋体" w:cs="Times New Roman"/>
                <w:color w:val="auto"/>
                <w:szCs w:val="22"/>
                <w:lang w:bidi="ar"/>
              </w:rPr>
            </w:pPr>
            <w:r>
              <w:rPr>
                <w:rFonts w:ascii="宋体" w:hAnsi="宋体" w:eastAsia="宋体" w:cs="Times New Roman"/>
                <w:color w:val="auto"/>
                <w:szCs w:val="22"/>
                <w:lang w:bidi="ar"/>
              </w:rPr>
              <w:t>苯乙烯</w:t>
            </w:r>
          </w:p>
        </w:tc>
        <w:tc>
          <w:tcPr>
            <w:tcW w:w="703" w:type="pct"/>
            <w:shd w:val="clear" w:color="auto" w:fill="auto"/>
            <w:vAlign w:val="center"/>
          </w:tcPr>
          <w:p w14:paraId="5162EBA0">
            <w:pPr>
              <w:jc w:val="center"/>
              <w:rPr>
                <w:rFonts w:ascii="宋体" w:hAnsi="宋体" w:eastAsia="宋体" w:cs="Times New Roman"/>
                <w:color w:val="auto"/>
                <w:szCs w:val="22"/>
                <w:lang w:bidi="ar"/>
              </w:rPr>
            </w:pPr>
            <w:r>
              <w:rPr>
                <w:rFonts w:ascii="宋体" w:hAnsi="宋体" w:eastAsia="宋体" w:cs="Times New Roman"/>
                <w:color w:val="auto"/>
                <w:szCs w:val="22"/>
                <w:lang w:bidi="ar"/>
              </w:rPr>
              <w:t>1290</w:t>
            </w:r>
          </w:p>
        </w:tc>
        <w:tc>
          <w:tcPr>
            <w:tcW w:w="704" w:type="pct"/>
            <w:shd w:val="clear" w:color="auto" w:fill="auto"/>
            <w:vAlign w:val="center"/>
          </w:tcPr>
          <w:p w14:paraId="5AF637C2">
            <w:pPr>
              <w:jc w:val="center"/>
              <w:rPr>
                <w:rFonts w:ascii="宋体" w:hAnsi="宋体" w:eastAsia="宋体" w:cs="Times New Roman"/>
                <w:color w:val="auto"/>
                <w:szCs w:val="22"/>
                <w:lang w:bidi="ar"/>
              </w:rPr>
            </w:pPr>
            <w:r>
              <w:rPr>
                <w:rFonts w:ascii="宋体" w:hAnsi="宋体" w:eastAsia="宋体" w:cs="Times New Roman"/>
                <w:color w:val="auto"/>
                <w:szCs w:val="22"/>
                <w:lang w:bidi="ar"/>
              </w:rPr>
              <w:t>1290</w:t>
            </w:r>
          </w:p>
        </w:tc>
        <w:tc>
          <w:tcPr>
            <w:tcW w:w="2030" w:type="pct"/>
            <w:vMerge w:val="continue"/>
            <w:shd w:val="clear" w:color="auto" w:fill="auto"/>
            <w:vAlign w:val="center"/>
          </w:tcPr>
          <w:p w14:paraId="32C5F720">
            <w:pPr>
              <w:jc w:val="center"/>
              <w:rPr>
                <w:rFonts w:ascii="宋体" w:hAnsi="宋体" w:eastAsia="宋体" w:cs="Times New Roman"/>
                <w:color w:val="auto"/>
                <w:szCs w:val="22"/>
                <w:lang w:bidi="ar"/>
              </w:rPr>
            </w:pPr>
          </w:p>
        </w:tc>
      </w:tr>
      <w:tr w14:paraId="15F9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5D763F66">
            <w:pPr>
              <w:jc w:val="center"/>
              <w:rPr>
                <w:rFonts w:ascii="宋体" w:hAnsi="宋体" w:eastAsia="宋体" w:cs="Times New Roman"/>
                <w:color w:val="auto"/>
                <w:szCs w:val="22"/>
                <w:lang w:bidi="ar"/>
              </w:rPr>
            </w:pPr>
            <w:r>
              <w:rPr>
                <w:rFonts w:ascii="宋体" w:hAnsi="宋体" w:eastAsia="宋体" w:cs="Times New Roman"/>
                <w:color w:val="auto"/>
                <w:szCs w:val="22"/>
                <w:lang w:bidi="ar"/>
              </w:rPr>
              <w:t>32</w:t>
            </w:r>
          </w:p>
        </w:tc>
        <w:tc>
          <w:tcPr>
            <w:tcW w:w="1130" w:type="pct"/>
            <w:shd w:val="clear" w:color="auto" w:fill="auto"/>
            <w:vAlign w:val="center"/>
          </w:tcPr>
          <w:p w14:paraId="1C6B22F8">
            <w:pPr>
              <w:jc w:val="center"/>
              <w:rPr>
                <w:rFonts w:ascii="宋体" w:hAnsi="宋体" w:eastAsia="宋体" w:cs="Times New Roman"/>
                <w:color w:val="auto"/>
                <w:szCs w:val="22"/>
                <w:lang w:bidi="ar"/>
              </w:rPr>
            </w:pPr>
            <w:r>
              <w:rPr>
                <w:rFonts w:ascii="宋体" w:hAnsi="宋体" w:eastAsia="宋体" w:cs="Times New Roman"/>
                <w:color w:val="auto"/>
                <w:szCs w:val="22"/>
                <w:lang w:bidi="ar"/>
              </w:rPr>
              <w:t>甲苯</w:t>
            </w:r>
          </w:p>
        </w:tc>
        <w:tc>
          <w:tcPr>
            <w:tcW w:w="703" w:type="pct"/>
            <w:shd w:val="clear" w:color="auto" w:fill="auto"/>
            <w:vAlign w:val="center"/>
          </w:tcPr>
          <w:p w14:paraId="552941AF">
            <w:pPr>
              <w:jc w:val="center"/>
              <w:rPr>
                <w:rFonts w:ascii="宋体" w:hAnsi="宋体" w:eastAsia="宋体" w:cs="Times New Roman"/>
                <w:color w:val="auto"/>
                <w:szCs w:val="22"/>
                <w:lang w:bidi="ar"/>
              </w:rPr>
            </w:pPr>
            <w:r>
              <w:rPr>
                <w:rFonts w:ascii="宋体" w:hAnsi="宋体" w:eastAsia="宋体" w:cs="Times New Roman"/>
                <w:color w:val="auto"/>
                <w:szCs w:val="22"/>
                <w:lang w:bidi="ar"/>
              </w:rPr>
              <w:t>1200</w:t>
            </w:r>
          </w:p>
        </w:tc>
        <w:tc>
          <w:tcPr>
            <w:tcW w:w="704" w:type="pct"/>
            <w:shd w:val="clear" w:color="auto" w:fill="auto"/>
            <w:vAlign w:val="center"/>
          </w:tcPr>
          <w:p w14:paraId="2AC9BC41">
            <w:pPr>
              <w:jc w:val="center"/>
              <w:rPr>
                <w:rFonts w:ascii="宋体" w:hAnsi="宋体" w:eastAsia="宋体" w:cs="Times New Roman"/>
                <w:color w:val="auto"/>
                <w:szCs w:val="22"/>
                <w:lang w:bidi="ar"/>
              </w:rPr>
            </w:pPr>
            <w:r>
              <w:rPr>
                <w:rFonts w:ascii="宋体" w:hAnsi="宋体" w:eastAsia="宋体" w:cs="Times New Roman"/>
                <w:color w:val="auto"/>
                <w:szCs w:val="22"/>
                <w:lang w:bidi="ar"/>
              </w:rPr>
              <w:t>1200</w:t>
            </w:r>
          </w:p>
        </w:tc>
        <w:tc>
          <w:tcPr>
            <w:tcW w:w="2030" w:type="pct"/>
            <w:vMerge w:val="continue"/>
            <w:shd w:val="clear" w:color="auto" w:fill="auto"/>
            <w:vAlign w:val="center"/>
          </w:tcPr>
          <w:p w14:paraId="1847CFC0">
            <w:pPr>
              <w:jc w:val="center"/>
              <w:rPr>
                <w:rFonts w:ascii="宋体" w:hAnsi="宋体" w:eastAsia="宋体" w:cs="Times New Roman"/>
                <w:color w:val="auto"/>
                <w:szCs w:val="22"/>
                <w:lang w:bidi="ar"/>
              </w:rPr>
            </w:pPr>
          </w:p>
        </w:tc>
      </w:tr>
      <w:tr w14:paraId="37EB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667FDB6">
            <w:pPr>
              <w:jc w:val="center"/>
              <w:rPr>
                <w:rFonts w:ascii="宋体" w:hAnsi="宋体" w:eastAsia="宋体" w:cs="Times New Roman"/>
                <w:color w:val="auto"/>
                <w:szCs w:val="22"/>
                <w:lang w:bidi="ar"/>
              </w:rPr>
            </w:pPr>
            <w:r>
              <w:rPr>
                <w:rFonts w:ascii="宋体" w:hAnsi="宋体" w:eastAsia="宋体" w:cs="Times New Roman"/>
                <w:color w:val="auto"/>
                <w:szCs w:val="22"/>
                <w:lang w:bidi="ar"/>
              </w:rPr>
              <w:t>33</w:t>
            </w:r>
          </w:p>
        </w:tc>
        <w:tc>
          <w:tcPr>
            <w:tcW w:w="1130" w:type="pct"/>
            <w:shd w:val="clear" w:color="auto" w:fill="auto"/>
            <w:vAlign w:val="center"/>
          </w:tcPr>
          <w:p w14:paraId="7E7CE789">
            <w:pPr>
              <w:jc w:val="center"/>
              <w:rPr>
                <w:rFonts w:ascii="宋体" w:hAnsi="宋体" w:eastAsia="宋体" w:cs="Times New Roman"/>
                <w:color w:val="auto"/>
                <w:szCs w:val="22"/>
                <w:lang w:bidi="ar"/>
              </w:rPr>
            </w:pPr>
            <w:r>
              <w:rPr>
                <w:rFonts w:ascii="宋体" w:hAnsi="宋体" w:eastAsia="宋体" w:cs="Times New Roman"/>
                <w:color w:val="auto"/>
                <w:szCs w:val="22"/>
                <w:lang w:bidi="ar"/>
              </w:rPr>
              <w:t>间二甲苯+对二甲苯</w:t>
            </w:r>
          </w:p>
        </w:tc>
        <w:tc>
          <w:tcPr>
            <w:tcW w:w="703" w:type="pct"/>
            <w:shd w:val="clear" w:color="auto" w:fill="auto"/>
            <w:vAlign w:val="center"/>
          </w:tcPr>
          <w:p w14:paraId="18CB6A5C">
            <w:pPr>
              <w:jc w:val="center"/>
              <w:rPr>
                <w:rFonts w:ascii="宋体" w:hAnsi="宋体" w:eastAsia="宋体" w:cs="Times New Roman"/>
                <w:color w:val="auto"/>
                <w:szCs w:val="22"/>
                <w:lang w:bidi="ar"/>
              </w:rPr>
            </w:pPr>
            <w:r>
              <w:rPr>
                <w:rFonts w:ascii="宋体" w:hAnsi="宋体" w:eastAsia="宋体" w:cs="Times New Roman"/>
                <w:color w:val="auto"/>
                <w:szCs w:val="22"/>
                <w:lang w:bidi="ar"/>
              </w:rPr>
              <w:t>163</w:t>
            </w:r>
          </w:p>
        </w:tc>
        <w:tc>
          <w:tcPr>
            <w:tcW w:w="704" w:type="pct"/>
            <w:shd w:val="clear" w:color="auto" w:fill="auto"/>
            <w:vAlign w:val="center"/>
          </w:tcPr>
          <w:p w14:paraId="4EBBFB00">
            <w:pPr>
              <w:jc w:val="center"/>
              <w:rPr>
                <w:rFonts w:ascii="宋体" w:hAnsi="宋体" w:eastAsia="宋体" w:cs="Times New Roman"/>
                <w:color w:val="auto"/>
                <w:szCs w:val="22"/>
                <w:lang w:bidi="ar"/>
              </w:rPr>
            </w:pPr>
            <w:r>
              <w:rPr>
                <w:rFonts w:ascii="宋体" w:hAnsi="宋体" w:eastAsia="宋体" w:cs="Times New Roman"/>
                <w:color w:val="auto"/>
                <w:szCs w:val="22"/>
                <w:lang w:bidi="ar"/>
              </w:rPr>
              <w:t>570</w:t>
            </w:r>
          </w:p>
        </w:tc>
        <w:tc>
          <w:tcPr>
            <w:tcW w:w="2030" w:type="pct"/>
            <w:vMerge w:val="continue"/>
            <w:shd w:val="clear" w:color="auto" w:fill="auto"/>
            <w:vAlign w:val="center"/>
          </w:tcPr>
          <w:p w14:paraId="1C9915F4">
            <w:pPr>
              <w:jc w:val="center"/>
              <w:rPr>
                <w:rFonts w:ascii="宋体" w:hAnsi="宋体" w:eastAsia="宋体" w:cs="Times New Roman"/>
                <w:color w:val="auto"/>
                <w:szCs w:val="22"/>
                <w:lang w:bidi="ar"/>
              </w:rPr>
            </w:pPr>
          </w:p>
        </w:tc>
      </w:tr>
      <w:tr w14:paraId="19BB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730E9B8C">
            <w:pPr>
              <w:jc w:val="center"/>
              <w:rPr>
                <w:rFonts w:ascii="宋体" w:hAnsi="宋体" w:eastAsia="宋体" w:cs="Times New Roman"/>
                <w:color w:val="auto"/>
                <w:szCs w:val="22"/>
                <w:lang w:bidi="ar"/>
              </w:rPr>
            </w:pPr>
            <w:r>
              <w:rPr>
                <w:rFonts w:ascii="宋体" w:hAnsi="宋体" w:eastAsia="宋体" w:cs="Times New Roman"/>
                <w:color w:val="auto"/>
                <w:szCs w:val="22"/>
                <w:lang w:bidi="ar"/>
              </w:rPr>
              <w:t>34</w:t>
            </w:r>
          </w:p>
        </w:tc>
        <w:tc>
          <w:tcPr>
            <w:tcW w:w="1130" w:type="pct"/>
            <w:shd w:val="clear" w:color="auto" w:fill="auto"/>
            <w:vAlign w:val="center"/>
          </w:tcPr>
          <w:p w14:paraId="12723349">
            <w:pPr>
              <w:jc w:val="center"/>
              <w:rPr>
                <w:rFonts w:ascii="宋体" w:hAnsi="宋体" w:eastAsia="宋体" w:cs="Times New Roman"/>
                <w:color w:val="auto"/>
                <w:szCs w:val="22"/>
                <w:lang w:bidi="ar"/>
              </w:rPr>
            </w:pPr>
            <w:r>
              <w:rPr>
                <w:rFonts w:ascii="宋体" w:hAnsi="宋体" w:eastAsia="宋体" w:cs="Times New Roman"/>
                <w:color w:val="auto"/>
                <w:szCs w:val="22"/>
                <w:lang w:bidi="ar"/>
              </w:rPr>
              <w:t>邻二甲苯</w:t>
            </w:r>
          </w:p>
        </w:tc>
        <w:tc>
          <w:tcPr>
            <w:tcW w:w="703" w:type="pct"/>
            <w:shd w:val="clear" w:color="auto" w:fill="auto"/>
            <w:vAlign w:val="center"/>
          </w:tcPr>
          <w:p w14:paraId="422640E0">
            <w:pPr>
              <w:jc w:val="center"/>
              <w:rPr>
                <w:rFonts w:ascii="宋体" w:hAnsi="宋体" w:eastAsia="宋体" w:cs="Times New Roman"/>
                <w:color w:val="auto"/>
                <w:szCs w:val="22"/>
                <w:lang w:bidi="ar"/>
              </w:rPr>
            </w:pPr>
            <w:r>
              <w:rPr>
                <w:rFonts w:ascii="宋体" w:hAnsi="宋体" w:eastAsia="宋体" w:cs="Times New Roman"/>
                <w:color w:val="auto"/>
                <w:szCs w:val="22"/>
                <w:lang w:bidi="ar"/>
              </w:rPr>
              <w:t>222</w:t>
            </w:r>
          </w:p>
        </w:tc>
        <w:tc>
          <w:tcPr>
            <w:tcW w:w="704" w:type="pct"/>
            <w:shd w:val="clear" w:color="auto" w:fill="auto"/>
            <w:vAlign w:val="center"/>
          </w:tcPr>
          <w:p w14:paraId="5093A48B">
            <w:pPr>
              <w:jc w:val="center"/>
              <w:rPr>
                <w:rFonts w:ascii="宋体" w:hAnsi="宋体" w:eastAsia="宋体" w:cs="Times New Roman"/>
                <w:color w:val="auto"/>
                <w:szCs w:val="22"/>
                <w:lang w:bidi="ar"/>
              </w:rPr>
            </w:pPr>
            <w:r>
              <w:rPr>
                <w:rFonts w:ascii="宋体" w:hAnsi="宋体" w:eastAsia="宋体" w:cs="Times New Roman"/>
                <w:color w:val="auto"/>
                <w:szCs w:val="22"/>
                <w:lang w:bidi="ar"/>
              </w:rPr>
              <w:t>640</w:t>
            </w:r>
          </w:p>
        </w:tc>
        <w:tc>
          <w:tcPr>
            <w:tcW w:w="2030" w:type="pct"/>
            <w:vMerge w:val="continue"/>
            <w:shd w:val="clear" w:color="auto" w:fill="auto"/>
            <w:vAlign w:val="center"/>
          </w:tcPr>
          <w:p w14:paraId="4B1C5A29">
            <w:pPr>
              <w:jc w:val="center"/>
              <w:rPr>
                <w:rFonts w:ascii="宋体" w:hAnsi="宋体" w:eastAsia="宋体" w:cs="Times New Roman"/>
                <w:color w:val="auto"/>
                <w:szCs w:val="22"/>
                <w:lang w:bidi="ar"/>
              </w:rPr>
            </w:pPr>
          </w:p>
        </w:tc>
      </w:tr>
      <w:tr w14:paraId="6A32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539FA9A1">
            <w:pPr>
              <w:jc w:val="center"/>
              <w:rPr>
                <w:rFonts w:ascii="宋体" w:hAnsi="宋体" w:eastAsia="宋体" w:cs="Times New Roman"/>
                <w:color w:val="auto"/>
                <w:szCs w:val="22"/>
                <w:lang w:bidi="ar"/>
              </w:rPr>
            </w:pPr>
            <w:r>
              <w:rPr>
                <w:rFonts w:ascii="宋体" w:hAnsi="宋体" w:eastAsia="宋体" w:cs="Times New Roman"/>
                <w:color w:val="auto"/>
                <w:szCs w:val="22"/>
                <w:lang w:bidi="ar"/>
              </w:rPr>
              <w:t>35</w:t>
            </w:r>
          </w:p>
        </w:tc>
        <w:tc>
          <w:tcPr>
            <w:tcW w:w="1130" w:type="pct"/>
            <w:shd w:val="clear" w:color="auto" w:fill="auto"/>
            <w:vAlign w:val="center"/>
          </w:tcPr>
          <w:p w14:paraId="2F3B57C3">
            <w:pPr>
              <w:jc w:val="center"/>
              <w:rPr>
                <w:rFonts w:ascii="宋体" w:hAnsi="宋体" w:eastAsia="宋体" w:cs="Times New Roman"/>
                <w:color w:val="auto"/>
                <w:szCs w:val="22"/>
                <w:lang w:bidi="ar"/>
              </w:rPr>
            </w:pPr>
            <w:r>
              <w:rPr>
                <w:rFonts w:ascii="宋体" w:hAnsi="宋体" w:eastAsia="宋体" w:cs="Times New Roman"/>
                <w:color w:val="auto"/>
                <w:szCs w:val="22"/>
                <w:lang w:bidi="ar"/>
              </w:rPr>
              <w:t>硝基苯</w:t>
            </w:r>
          </w:p>
        </w:tc>
        <w:tc>
          <w:tcPr>
            <w:tcW w:w="703" w:type="pct"/>
            <w:shd w:val="clear" w:color="auto" w:fill="auto"/>
            <w:vAlign w:val="center"/>
          </w:tcPr>
          <w:p w14:paraId="12A29841">
            <w:pPr>
              <w:jc w:val="center"/>
              <w:rPr>
                <w:rFonts w:ascii="宋体" w:hAnsi="宋体" w:eastAsia="宋体" w:cs="Times New Roman"/>
                <w:color w:val="auto"/>
                <w:szCs w:val="22"/>
                <w:lang w:bidi="ar"/>
              </w:rPr>
            </w:pPr>
            <w:r>
              <w:rPr>
                <w:rFonts w:ascii="宋体" w:hAnsi="宋体" w:eastAsia="宋体" w:cs="Times New Roman"/>
                <w:color w:val="auto"/>
                <w:szCs w:val="22"/>
                <w:lang w:bidi="ar"/>
              </w:rPr>
              <w:t>34</w:t>
            </w:r>
          </w:p>
        </w:tc>
        <w:tc>
          <w:tcPr>
            <w:tcW w:w="704" w:type="pct"/>
            <w:shd w:val="clear" w:color="auto" w:fill="auto"/>
            <w:vAlign w:val="center"/>
          </w:tcPr>
          <w:p w14:paraId="02B7A2E0">
            <w:pPr>
              <w:jc w:val="center"/>
              <w:rPr>
                <w:rFonts w:ascii="宋体" w:hAnsi="宋体" w:eastAsia="宋体" w:cs="Times New Roman"/>
                <w:color w:val="auto"/>
                <w:szCs w:val="22"/>
                <w:lang w:bidi="ar"/>
              </w:rPr>
            </w:pPr>
            <w:r>
              <w:rPr>
                <w:rFonts w:ascii="宋体" w:hAnsi="宋体" w:eastAsia="宋体" w:cs="Times New Roman"/>
                <w:color w:val="auto"/>
                <w:szCs w:val="22"/>
                <w:lang w:bidi="ar"/>
              </w:rPr>
              <w:t>76</w:t>
            </w:r>
          </w:p>
        </w:tc>
        <w:tc>
          <w:tcPr>
            <w:tcW w:w="2030" w:type="pct"/>
            <w:vMerge w:val="continue"/>
            <w:shd w:val="clear" w:color="auto" w:fill="auto"/>
            <w:vAlign w:val="center"/>
          </w:tcPr>
          <w:p w14:paraId="59F013C3">
            <w:pPr>
              <w:jc w:val="center"/>
              <w:rPr>
                <w:rFonts w:ascii="宋体" w:hAnsi="宋体" w:eastAsia="宋体" w:cs="Times New Roman"/>
                <w:color w:val="auto"/>
                <w:szCs w:val="22"/>
                <w:lang w:bidi="ar"/>
              </w:rPr>
            </w:pPr>
          </w:p>
        </w:tc>
      </w:tr>
      <w:tr w14:paraId="7547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40149739">
            <w:pPr>
              <w:jc w:val="center"/>
              <w:rPr>
                <w:rFonts w:ascii="宋体" w:hAnsi="宋体" w:eastAsia="宋体" w:cs="Times New Roman"/>
                <w:color w:val="auto"/>
                <w:szCs w:val="22"/>
                <w:lang w:bidi="ar"/>
              </w:rPr>
            </w:pPr>
            <w:r>
              <w:rPr>
                <w:rFonts w:ascii="宋体" w:hAnsi="宋体" w:eastAsia="宋体" w:cs="Times New Roman"/>
                <w:color w:val="auto"/>
                <w:szCs w:val="22"/>
                <w:lang w:bidi="ar"/>
              </w:rPr>
              <w:t>36</w:t>
            </w:r>
          </w:p>
        </w:tc>
        <w:tc>
          <w:tcPr>
            <w:tcW w:w="1130" w:type="pct"/>
            <w:shd w:val="clear" w:color="auto" w:fill="auto"/>
            <w:vAlign w:val="center"/>
          </w:tcPr>
          <w:p w14:paraId="70FA4025">
            <w:pPr>
              <w:jc w:val="center"/>
              <w:rPr>
                <w:rFonts w:ascii="宋体" w:hAnsi="宋体" w:eastAsia="宋体" w:cs="Times New Roman"/>
                <w:color w:val="auto"/>
                <w:szCs w:val="22"/>
                <w:lang w:bidi="ar"/>
              </w:rPr>
            </w:pPr>
            <w:r>
              <w:rPr>
                <w:rFonts w:ascii="宋体" w:hAnsi="宋体" w:eastAsia="宋体" w:cs="Times New Roman"/>
                <w:color w:val="auto"/>
                <w:szCs w:val="22"/>
                <w:lang w:bidi="ar"/>
              </w:rPr>
              <w:t>苯胺</w:t>
            </w:r>
          </w:p>
        </w:tc>
        <w:tc>
          <w:tcPr>
            <w:tcW w:w="703" w:type="pct"/>
            <w:shd w:val="clear" w:color="auto" w:fill="auto"/>
            <w:vAlign w:val="center"/>
          </w:tcPr>
          <w:p w14:paraId="4B7BAE7F">
            <w:pPr>
              <w:jc w:val="center"/>
              <w:rPr>
                <w:rFonts w:ascii="宋体" w:hAnsi="宋体" w:eastAsia="宋体" w:cs="Times New Roman"/>
                <w:color w:val="auto"/>
                <w:szCs w:val="22"/>
                <w:lang w:bidi="ar"/>
              </w:rPr>
            </w:pPr>
            <w:r>
              <w:rPr>
                <w:rFonts w:ascii="宋体" w:hAnsi="宋体" w:eastAsia="宋体" w:cs="Times New Roman"/>
                <w:color w:val="auto"/>
                <w:szCs w:val="22"/>
                <w:lang w:bidi="ar"/>
              </w:rPr>
              <w:t>92</w:t>
            </w:r>
          </w:p>
        </w:tc>
        <w:tc>
          <w:tcPr>
            <w:tcW w:w="704" w:type="pct"/>
            <w:shd w:val="clear" w:color="auto" w:fill="auto"/>
            <w:vAlign w:val="center"/>
          </w:tcPr>
          <w:p w14:paraId="62E21D12">
            <w:pPr>
              <w:jc w:val="center"/>
              <w:rPr>
                <w:rFonts w:ascii="宋体" w:hAnsi="宋体" w:eastAsia="宋体" w:cs="Times New Roman"/>
                <w:color w:val="auto"/>
                <w:szCs w:val="22"/>
                <w:lang w:bidi="ar"/>
              </w:rPr>
            </w:pPr>
            <w:r>
              <w:rPr>
                <w:rFonts w:ascii="宋体" w:hAnsi="宋体" w:eastAsia="宋体" w:cs="Times New Roman"/>
                <w:color w:val="auto"/>
                <w:szCs w:val="22"/>
                <w:lang w:bidi="ar"/>
              </w:rPr>
              <w:t>260</w:t>
            </w:r>
          </w:p>
        </w:tc>
        <w:tc>
          <w:tcPr>
            <w:tcW w:w="2030" w:type="pct"/>
            <w:vMerge w:val="continue"/>
            <w:shd w:val="clear" w:color="auto" w:fill="auto"/>
            <w:vAlign w:val="center"/>
          </w:tcPr>
          <w:p w14:paraId="17821AB3">
            <w:pPr>
              <w:jc w:val="center"/>
              <w:rPr>
                <w:rFonts w:ascii="宋体" w:hAnsi="宋体" w:eastAsia="宋体" w:cs="Times New Roman"/>
                <w:color w:val="auto"/>
                <w:szCs w:val="22"/>
                <w:lang w:bidi="ar"/>
              </w:rPr>
            </w:pPr>
          </w:p>
        </w:tc>
      </w:tr>
      <w:tr w14:paraId="78CB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42A65145">
            <w:pPr>
              <w:jc w:val="center"/>
              <w:rPr>
                <w:rFonts w:ascii="宋体" w:hAnsi="宋体" w:eastAsia="宋体" w:cs="Times New Roman"/>
                <w:color w:val="auto"/>
                <w:szCs w:val="22"/>
                <w:lang w:bidi="ar"/>
              </w:rPr>
            </w:pPr>
            <w:r>
              <w:rPr>
                <w:rFonts w:ascii="宋体" w:hAnsi="宋体" w:eastAsia="宋体" w:cs="Times New Roman"/>
                <w:color w:val="auto"/>
                <w:szCs w:val="22"/>
                <w:lang w:bidi="ar"/>
              </w:rPr>
              <w:t>37</w:t>
            </w:r>
          </w:p>
        </w:tc>
        <w:tc>
          <w:tcPr>
            <w:tcW w:w="1130" w:type="pct"/>
            <w:shd w:val="clear" w:color="auto" w:fill="auto"/>
            <w:vAlign w:val="center"/>
          </w:tcPr>
          <w:p w14:paraId="0188ACE5">
            <w:pPr>
              <w:jc w:val="center"/>
              <w:rPr>
                <w:rFonts w:ascii="宋体" w:hAnsi="宋体" w:eastAsia="宋体" w:cs="Times New Roman"/>
                <w:color w:val="auto"/>
                <w:szCs w:val="22"/>
                <w:lang w:bidi="ar"/>
              </w:rPr>
            </w:pPr>
            <w:r>
              <w:rPr>
                <w:rFonts w:ascii="宋体" w:hAnsi="宋体" w:eastAsia="宋体" w:cs="Times New Roman"/>
                <w:color w:val="auto"/>
                <w:szCs w:val="22"/>
                <w:lang w:bidi="ar"/>
              </w:rPr>
              <w:t>2-氯酚</w:t>
            </w:r>
          </w:p>
        </w:tc>
        <w:tc>
          <w:tcPr>
            <w:tcW w:w="703" w:type="pct"/>
            <w:shd w:val="clear" w:color="auto" w:fill="auto"/>
            <w:vAlign w:val="center"/>
          </w:tcPr>
          <w:p w14:paraId="735D8516">
            <w:pPr>
              <w:jc w:val="center"/>
              <w:rPr>
                <w:rFonts w:ascii="宋体" w:hAnsi="宋体" w:eastAsia="宋体" w:cs="Times New Roman"/>
                <w:color w:val="auto"/>
                <w:szCs w:val="22"/>
                <w:lang w:bidi="ar"/>
              </w:rPr>
            </w:pPr>
            <w:r>
              <w:rPr>
                <w:rFonts w:ascii="宋体" w:hAnsi="宋体" w:eastAsia="宋体" w:cs="Times New Roman"/>
                <w:color w:val="auto"/>
                <w:szCs w:val="22"/>
                <w:lang w:bidi="ar"/>
              </w:rPr>
              <w:t>250</w:t>
            </w:r>
          </w:p>
        </w:tc>
        <w:tc>
          <w:tcPr>
            <w:tcW w:w="704" w:type="pct"/>
            <w:shd w:val="clear" w:color="auto" w:fill="auto"/>
            <w:vAlign w:val="center"/>
          </w:tcPr>
          <w:p w14:paraId="65C78A29">
            <w:pPr>
              <w:jc w:val="center"/>
              <w:rPr>
                <w:rFonts w:ascii="宋体" w:hAnsi="宋体" w:eastAsia="宋体" w:cs="Times New Roman"/>
                <w:color w:val="auto"/>
                <w:szCs w:val="22"/>
                <w:lang w:bidi="ar"/>
              </w:rPr>
            </w:pPr>
            <w:r>
              <w:rPr>
                <w:rFonts w:ascii="宋体" w:hAnsi="宋体" w:eastAsia="宋体" w:cs="Times New Roman"/>
                <w:color w:val="auto"/>
                <w:szCs w:val="22"/>
                <w:lang w:bidi="ar"/>
              </w:rPr>
              <w:t>2256</w:t>
            </w:r>
          </w:p>
        </w:tc>
        <w:tc>
          <w:tcPr>
            <w:tcW w:w="2030" w:type="pct"/>
            <w:vMerge w:val="continue"/>
            <w:shd w:val="clear" w:color="auto" w:fill="auto"/>
            <w:vAlign w:val="center"/>
          </w:tcPr>
          <w:p w14:paraId="330C454D">
            <w:pPr>
              <w:jc w:val="center"/>
              <w:rPr>
                <w:rFonts w:ascii="宋体" w:hAnsi="宋体" w:eastAsia="宋体" w:cs="Times New Roman"/>
                <w:color w:val="auto"/>
                <w:szCs w:val="22"/>
                <w:lang w:bidi="ar"/>
              </w:rPr>
            </w:pPr>
          </w:p>
        </w:tc>
      </w:tr>
      <w:tr w14:paraId="5E8B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D02E721">
            <w:pPr>
              <w:jc w:val="center"/>
              <w:rPr>
                <w:rFonts w:ascii="宋体" w:hAnsi="宋体" w:eastAsia="宋体" w:cs="Times New Roman"/>
                <w:color w:val="auto"/>
                <w:szCs w:val="22"/>
                <w:lang w:bidi="ar"/>
              </w:rPr>
            </w:pPr>
            <w:r>
              <w:rPr>
                <w:rFonts w:ascii="宋体" w:hAnsi="宋体" w:eastAsia="宋体" w:cs="Times New Roman"/>
                <w:color w:val="auto"/>
                <w:szCs w:val="22"/>
                <w:lang w:bidi="ar"/>
              </w:rPr>
              <w:t>38</w:t>
            </w:r>
          </w:p>
        </w:tc>
        <w:tc>
          <w:tcPr>
            <w:tcW w:w="1130" w:type="pct"/>
            <w:shd w:val="clear" w:color="auto" w:fill="auto"/>
            <w:vAlign w:val="center"/>
          </w:tcPr>
          <w:p w14:paraId="6369A24C">
            <w:pPr>
              <w:jc w:val="center"/>
              <w:rPr>
                <w:rFonts w:ascii="宋体" w:hAnsi="宋体" w:eastAsia="宋体" w:cs="Times New Roman"/>
                <w:color w:val="auto"/>
                <w:szCs w:val="22"/>
                <w:lang w:bidi="ar"/>
              </w:rPr>
            </w:pPr>
            <w:r>
              <w:rPr>
                <w:rFonts w:ascii="宋体" w:hAnsi="宋体" w:eastAsia="宋体" w:cs="Times New Roman"/>
                <w:color w:val="auto"/>
                <w:szCs w:val="22"/>
                <w:lang w:bidi="ar"/>
              </w:rPr>
              <w:t>苯并［a］蒽</w:t>
            </w:r>
          </w:p>
        </w:tc>
        <w:tc>
          <w:tcPr>
            <w:tcW w:w="703" w:type="pct"/>
            <w:shd w:val="clear" w:color="auto" w:fill="auto"/>
            <w:vAlign w:val="center"/>
          </w:tcPr>
          <w:p w14:paraId="6684181F">
            <w:pPr>
              <w:jc w:val="center"/>
              <w:rPr>
                <w:rFonts w:ascii="宋体" w:hAnsi="宋体" w:eastAsia="宋体" w:cs="Times New Roman"/>
                <w:color w:val="auto"/>
                <w:szCs w:val="22"/>
                <w:lang w:bidi="ar"/>
              </w:rPr>
            </w:pPr>
            <w:r>
              <w:rPr>
                <w:rFonts w:ascii="宋体" w:hAnsi="宋体" w:eastAsia="宋体" w:cs="Times New Roman"/>
                <w:color w:val="auto"/>
                <w:szCs w:val="22"/>
                <w:lang w:bidi="ar"/>
              </w:rPr>
              <w:t>5.5</w:t>
            </w:r>
          </w:p>
        </w:tc>
        <w:tc>
          <w:tcPr>
            <w:tcW w:w="704" w:type="pct"/>
            <w:shd w:val="clear" w:color="auto" w:fill="auto"/>
            <w:vAlign w:val="center"/>
          </w:tcPr>
          <w:p w14:paraId="749E4748">
            <w:pPr>
              <w:jc w:val="center"/>
              <w:rPr>
                <w:rFonts w:ascii="宋体" w:hAnsi="宋体" w:eastAsia="宋体" w:cs="Times New Roman"/>
                <w:color w:val="auto"/>
                <w:szCs w:val="22"/>
                <w:lang w:bidi="ar"/>
              </w:rPr>
            </w:pPr>
            <w:r>
              <w:rPr>
                <w:rFonts w:ascii="宋体" w:hAnsi="宋体" w:eastAsia="宋体" w:cs="Times New Roman"/>
                <w:color w:val="auto"/>
                <w:szCs w:val="22"/>
                <w:lang w:bidi="ar"/>
              </w:rPr>
              <w:t>15</w:t>
            </w:r>
          </w:p>
        </w:tc>
        <w:tc>
          <w:tcPr>
            <w:tcW w:w="2030" w:type="pct"/>
            <w:vMerge w:val="continue"/>
            <w:shd w:val="clear" w:color="auto" w:fill="auto"/>
            <w:vAlign w:val="center"/>
          </w:tcPr>
          <w:p w14:paraId="7721962E">
            <w:pPr>
              <w:jc w:val="center"/>
              <w:rPr>
                <w:rFonts w:ascii="宋体" w:hAnsi="宋体" w:eastAsia="宋体" w:cs="Times New Roman"/>
                <w:color w:val="auto"/>
                <w:szCs w:val="22"/>
                <w:lang w:bidi="ar"/>
              </w:rPr>
            </w:pPr>
          </w:p>
        </w:tc>
      </w:tr>
      <w:tr w14:paraId="5F05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3280AB9">
            <w:pPr>
              <w:jc w:val="center"/>
              <w:rPr>
                <w:rFonts w:ascii="宋体" w:hAnsi="宋体" w:eastAsia="宋体" w:cs="Times New Roman"/>
                <w:color w:val="auto"/>
                <w:szCs w:val="22"/>
                <w:lang w:bidi="ar"/>
              </w:rPr>
            </w:pPr>
            <w:r>
              <w:rPr>
                <w:rFonts w:ascii="宋体" w:hAnsi="宋体" w:eastAsia="宋体" w:cs="Times New Roman"/>
                <w:color w:val="auto"/>
                <w:szCs w:val="22"/>
                <w:lang w:bidi="ar"/>
              </w:rPr>
              <w:t>39</w:t>
            </w:r>
          </w:p>
        </w:tc>
        <w:tc>
          <w:tcPr>
            <w:tcW w:w="1130" w:type="pct"/>
            <w:shd w:val="clear" w:color="auto" w:fill="auto"/>
            <w:vAlign w:val="center"/>
          </w:tcPr>
          <w:p w14:paraId="52302C47">
            <w:pPr>
              <w:jc w:val="center"/>
              <w:rPr>
                <w:rFonts w:ascii="宋体" w:hAnsi="宋体" w:eastAsia="宋体" w:cs="Times New Roman"/>
                <w:color w:val="auto"/>
                <w:szCs w:val="22"/>
                <w:lang w:bidi="ar"/>
              </w:rPr>
            </w:pPr>
            <w:r>
              <w:rPr>
                <w:rFonts w:ascii="宋体" w:hAnsi="宋体" w:eastAsia="宋体" w:cs="Times New Roman"/>
                <w:color w:val="auto"/>
                <w:szCs w:val="22"/>
                <w:lang w:bidi="ar"/>
              </w:rPr>
              <w:t>苯并［a］芘</w:t>
            </w:r>
          </w:p>
        </w:tc>
        <w:tc>
          <w:tcPr>
            <w:tcW w:w="703" w:type="pct"/>
            <w:shd w:val="clear" w:color="auto" w:fill="auto"/>
            <w:vAlign w:val="center"/>
          </w:tcPr>
          <w:p w14:paraId="1D1F8E2A">
            <w:pPr>
              <w:jc w:val="center"/>
              <w:rPr>
                <w:rFonts w:ascii="宋体" w:hAnsi="宋体" w:eastAsia="宋体" w:cs="Times New Roman"/>
                <w:color w:val="auto"/>
                <w:szCs w:val="22"/>
                <w:lang w:bidi="ar"/>
              </w:rPr>
            </w:pPr>
            <w:r>
              <w:rPr>
                <w:rFonts w:ascii="宋体" w:hAnsi="宋体" w:eastAsia="宋体" w:cs="Times New Roman"/>
                <w:color w:val="auto"/>
                <w:szCs w:val="22"/>
                <w:lang w:bidi="ar"/>
              </w:rPr>
              <w:t>0.55</w:t>
            </w:r>
          </w:p>
        </w:tc>
        <w:tc>
          <w:tcPr>
            <w:tcW w:w="704" w:type="pct"/>
            <w:shd w:val="clear" w:color="auto" w:fill="auto"/>
            <w:vAlign w:val="center"/>
          </w:tcPr>
          <w:p w14:paraId="5E9DAA16">
            <w:pPr>
              <w:jc w:val="center"/>
              <w:rPr>
                <w:rFonts w:ascii="宋体" w:hAnsi="宋体" w:eastAsia="宋体" w:cs="Times New Roman"/>
                <w:color w:val="auto"/>
                <w:szCs w:val="22"/>
                <w:lang w:bidi="ar"/>
              </w:rPr>
            </w:pPr>
            <w:r>
              <w:rPr>
                <w:rFonts w:ascii="宋体" w:hAnsi="宋体" w:eastAsia="宋体" w:cs="Times New Roman"/>
                <w:color w:val="auto"/>
                <w:szCs w:val="22"/>
                <w:lang w:bidi="ar"/>
              </w:rPr>
              <w:t>1.5</w:t>
            </w:r>
          </w:p>
        </w:tc>
        <w:tc>
          <w:tcPr>
            <w:tcW w:w="2030" w:type="pct"/>
            <w:vMerge w:val="continue"/>
            <w:shd w:val="clear" w:color="auto" w:fill="auto"/>
            <w:vAlign w:val="center"/>
          </w:tcPr>
          <w:p w14:paraId="6192FD1C">
            <w:pPr>
              <w:jc w:val="center"/>
              <w:rPr>
                <w:rFonts w:ascii="宋体" w:hAnsi="宋体" w:eastAsia="宋体" w:cs="Times New Roman"/>
                <w:color w:val="auto"/>
                <w:szCs w:val="22"/>
                <w:lang w:bidi="ar"/>
              </w:rPr>
            </w:pPr>
          </w:p>
        </w:tc>
      </w:tr>
      <w:tr w14:paraId="7D6B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5E5D4D0F">
            <w:pPr>
              <w:jc w:val="center"/>
              <w:rPr>
                <w:rFonts w:ascii="宋体" w:hAnsi="宋体" w:eastAsia="宋体" w:cs="Times New Roman"/>
                <w:color w:val="auto"/>
                <w:szCs w:val="22"/>
                <w:lang w:bidi="ar"/>
              </w:rPr>
            </w:pPr>
            <w:r>
              <w:rPr>
                <w:rFonts w:ascii="宋体" w:hAnsi="宋体" w:eastAsia="宋体" w:cs="Times New Roman"/>
                <w:color w:val="auto"/>
                <w:szCs w:val="22"/>
                <w:lang w:bidi="ar"/>
              </w:rPr>
              <w:t>40</w:t>
            </w:r>
          </w:p>
        </w:tc>
        <w:tc>
          <w:tcPr>
            <w:tcW w:w="1130" w:type="pct"/>
            <w:shd w:val="clear" w:color="auto" w:fill="auto"/>
            <w:vAlign w:val="center"/>
          </w:tcPr>
          <w:p w14:paraId="3C622459">
            <w:pPr>
              <w:jc w:val="center"/>
              <w:rPr>
                <w:rFonts w:ascii="宋体" w:hAnsi="宋体" w:eastAsia="宋体" w:cs="Times New Roman"/>
                <w:color w:val="auto"/>
                <w:szCs w:val="22"/>
                <w:lang w:bidi="ar"/>
              </w:rPr>
            </w:pPr>
            <w:r>
              <w:rPr>
                <w:rFonts w:ascii="宋体" w:hAnsi="宋体" w:eastAsia="宋体" w:cs="Times New Roman"/>
                <w:color w:val="auto"/>
                <w:szCs w:val="22"/>
                <w:lang w:bidi="ar"/>
              </w:rPr>
              <w:t>苯并［b］荧蒽</w:t>
            </w:r>
          </w:p>
        </w:tc>
        <w:tc>
          <w:tcPr>
            <w:tcW w:w="703" w:type="pct"/>
            <w:shd w:val="clear" w:color="auto" w:fill="auto"/>
            <w:vAlign w:val="center"/>
          </w:tcPr>
          <w:p w14:paraId="1C193364">
            <w:pPr>
              <w:jc w:val="center"/>
              <w:rPr>
                <w:rFonts w:ascii="宋体" w:hAnsi="宋体" w:eastAsia="宋体" w:cs="Times New Roman"/>
                <w:color w:val="auto"/>
                <w:szCs w:val="22"/>
                <w:lang w:bidi="ar"/>
              </w:rPr>
            </w:pPr>
            <w:r>
              <w:rPr>
                <w:rFonts w:ascii="宋体" w:hAnsi="宋体" w:eastAsia="宋体" w:cs="Times New Roman"/>
                <w:color w:val="auto"/>
                <w:szCs w:val="22"/>
                <w:lang w:bidi="ar"/>
              </w:rPr>
              <w:t>5.5</w:t>
            </w:r>
          </w:p>
        </w:tc>
        <w:tc>
          <w:tcPr>
            <w:tcW w:w="704" w:type="pct"/>
            <w:shd w:val="clear" w:color="auto" w:fill="auto"/>
            <w:vAlign w:val="center"/>
          </w:tcPr>
          <w:p w14:paraId="0DD53AA1">
            <w:pPr>
              <w:jc w:val="center"/>
              <w:rPr>
                <w:rFonts w:ascii="宋体" w:hAnsi="宋体" w:eastAsia="宋体" w:cs="Times New Roman"/>
                <w:color w:val="auto"/>
                <w:szCs w:val="22"/>
                <w:lang w:bidi="ar"/>
              </w:rPr>
            </w:pPr>
            <w:r>
              <w:rPr>
                <w:rFonts w:ascii="宋体" w:hAnsi="宋体" w:eastAsia="宋体" w:cs="Times New Roman"/>
                <w:color w:val="auto"/>
                <w:szCs w:val="22"/>
                <w:lang w:bidi="ar"/>
              </w:rPr>
              <w:t>15</w:t>
            </w:r>
          </w:p>
        </w:tc>
        <w:tc>
          <w:tcPr>
            <w:tcW w:w="2030" w:type="pct"/>
            <w:vMerge w:val="continue"/>
            <w:shd w:val="clear" w:color="auto" w:fill="auto"/>
            <w:vAlign w:val="center"/>
          </w:tcPr>
          <w:p w14:paraId="4836E7E9">
            <w:pPr>
              <w:jc w:val="center"/>
              <w:rPr>
                <w:rFonts w:ascii="宋体" w:hAnsi="宋体" w:eastAsia="宋体" w:cs="Times New Roman"/>
                <w:color w:val="auto"/>
                <w:szCs w:val="22"/>
                <w:lang w:bidi="ar"/>
              </w:rPr>
            </w:pPr>
          </w:p>
        </w:tc>
      </w:tr>
      <w:tr w14:paraId="6820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A2637F7">
            <w:pPr>
              <w:jc w:val="center"/>
              <w:rPr>
                <w:rFonts w:ascii="宋体" w:hAnsi="宋体" w:eastAsia="宋体" w:cs="Times New Roman"/>
                <w:color w:val="auto"/>
                <w:szCs w:val="22"/>
                <w:lang w:bidi="ar"/>
              </w:rPr>
            </w:pPr>
            <w:r>
              <w:rPr>
                <w:rFonts w:ascii="宋体" w:hAnsi="宋体" w:eastAsia="宋体" w:cs="Times New Roman"/>
                <w:color w:val="auto"/>
                <w:szCs w:val="22"/>
                <w:lang w:bidi="ar"/>
              </w:rPr>
              <w:t>41</w:t>
            </w:r>
          </w:p>
        </w:tc>
        <w:tc>
          <w:tcPr>
            <w:tcW w:w="1130" w:type="pct"/>
            <w:shd w:val="clear" w:color="auto" w:fill="auto"/>
            <w:vAlign w:val="center"/>
          </w:tcPr>
          <w:p w14:paraId="173DD6C6">
            <w:pPr>
              <w:jc w:val="center"/>
              <w:rPr>
                <w:rFonts w:ascii="宋体" w:hAnsi="宋体" w:eastAsia="宋体" w:cs="Times New Roman"/>
                <w:color w:val="auto"/>
                <w:szCs w:val="22"/>
                <w:lang w:bidi="ar"/>
              </w:rPr>
            </w:pPr>
            <w:r>
              <w:rPr>
                <w:rFonts w:ascii="宋体" w:hAnsi="宋体" w:eastAsia="宋体" w:cs="Times New Roman"/>
                <w:color w:val="auto"/>
                <w:szCs w:val="22"/>
                <w:lang w:bidi="ar"/>
              </w:rPr>
              <w:t>苯并［k］荧蒽</w:t>
            </w:r>
          </w:p>
        </w:tc>
        <w:tc>
          <w:tcPr>
            <w:tcW w:w="703" w:type="pct"/>
            <w:shd w:val="clear" w:color="auto" w:fill="auto"/>
            <w:vAlign w:val="center"/>
          </w:tcPr>
          <w:p w14:paraId="3A652DD1">
            <w:pPr>
              <w:jc w:val="center"/>
              <w:rPr>
                <w:rFonts w:ascii="宋体" w:hAnsi="宋体" w:eastAsia="宋体" w:cs="Times New Roman"/>
                <w:color w:val="auto"/>
                <w:szCs w:val="22"/>
                <w:lang w:bidi="ar"/>
              </w:rPr>
            </w:pPr>
            <w:r>
              <w:rPr>
                <w:rFonts w:ascii="宋体" w:hAnsi="宋体" w:eastAsia="宋体" w:cs="Times New Roman"/>
                <w:color w:val="auto"/>
                <w:szCs w:val="22"/>
                <w:lang w:bidi="ar"/>
              </w:rPr>
              <w:t>55</w:t>
            </w:r>
          </w:p>
        </w:tc>
        <w:tc>
          <w:tcPr>
            <w:tcW w:w="704" w:type="pct"/>
            <w:shd w:val="clear" w:color="auto" w:fill="auto"/>
            <w:vAlign w:val="center"/>
          </w:tcPr>
          <w:p w14:paraId="569B7421">
            <w:pPr>
              <w:jc w:val="center"/>
              <w:rPr>
                <w:rFonts w:ascii="宋体" w:hAnsi="宋体" w:eastAsia="宋体" w:cs="Times New Roman"/>
                <w:color w:val="auto"/>
                <w:szCs w:val="22"/>
                <w:lang w:bidi="ar"/>
              </w:rPr>
            </w:pPr>
            <w:r>
              <w:rPr>
                <w:rFonts w:ascii="宋体" w:hAnsi="宋体" w:eastAsia="宋体" w:cs="Times New Roman"/>
                <w:color w:val="auto"/>
                <w:szCs w:val="22"/>
                <w:lang w:bidi="ar"/>
              </w:rPr>
              <w:t>151</w:t>
            </w:r>
          </w:p>
        </w:tc>
        <w:tc>
          <w:tcPr>
            <w:tcW w:w="2030" w:type="pct"/>
            <w:vMerge w:val="continue"/>
            <w:shd w:val="clear" w:color="auto" w:fill="auto"/>
            <w:vAlign w:val="center"/>
          </w:tcPr>
          <w:p w14:paraId="24C30196">
            <w:pPr>
              <w:jc w:val="center"/>
              <w:rPr>
                <w:rFonts w:ascii="宋体" w:hAnsi="宋体" w:eastAsia="宋体" w:cs="Times New Roman"/>
                <w:color w:val="auto"/>
                <w:szCs w:val="22"/>
                <w:lang w:bidi="ar"/>
              </w:rPr>
            </w:pPr>
          </w:p>
        </w:tc>
      </w:tr>
      <w:tr w14:paraId="64E5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484E666A">
            <w:pPr>
              <w:jc w:val="center"/>
              <w:rPr>
                <w:rFonts w:ascii="宋体" w:hAnsi="宋体" w:eastAsia="宋体" w:cs="Times New Roman"/>
                <w:color w:val="auto"/>
                <w:szCs w:val="22"/>
                <w:lang w:bidi="ar"/>
              </w:rPr>
            </w:pPr>
            <w:r>
              <w:rPr>
                <w:rFonts w:ascii="宋体" w:hAnsi="宋体" w:eastAsia="宋体" w:cs="Times New Roman"/>
                <w:color w:val="auto"/>
                <w:szCs w:val="22"/>
                <w:lang w:bidi="ar"/>
              </w:rPr>
              <w:t>42</w:t>
            </w:r>
          </w:p>
        </w:tc>
        <w:tc>
          <w:tcPr>
            <w:tcW w:w="1130" w:type="pct"/>
            <w:shd w:val="clear" w:color="auto" w:fill="auto"/>
            <w:vAlign w:val="center"/>
          </w:tcPr>
          <w:p w14:paraId="02BBCACD">
            <w:pPr>
              <w:jc w:val="center"/>
              <w:rPr>
                <w:rFonts w:ascii="宋体" w:hAnsi="宋体" w:eastAsia="宋体" w:cs="Times New Roman"/>
                <w:color w:val="auto"/>
                <w:szCs w:val="22"/>
                <w:lang w:bidi="ar"/>
              </w:rPr>
            </w:pPr>
            <w:r>
              <w:rPr>
                <w:rFonts w:ascii="宋体" w:hAnsi="宋体" w:eastAsia="宋体" w:cs="Times New Roman"/>
                <w:color w:val="auto"/>
                <w:szCs w:val="22"/>
                <w:lang w:bidi="ar"/>
              </w:rPr>
              <w:t>䓛</w:t>
            </w:r>
          </w:p>
        </w:tc>
        <w:tc>
          <w:tcPr>
            <w:tcW w:w="703" w:type="pct"/>
            <w:shd w:val="clear" w:color="auto" w:fill="auto"/>
            <w:vAlign w:val="center"/>
          </w:tcPr>
          <w:p w14:paraId="795FC93A">
            <w:pPr>
              <w:jc w:val="center"/>
              <w:rPr>
                <w:rFonts w:ascii="宋体" w:hAnsi="宋体" w:eastAsia="宋体" w:cs="Times New Roman"/>
                <w:color w:val="auto"/>
                <w:szCs w:val="22"/>
                <w:lang w:bidi="ar"/>
              </w:rPr>
            </w:pPr>
            <w:r>
              <w:rPr>
                <w:rFonts w:ascii="宋体" w:hAnsi="宋体" w:eastAsia="宋体" w:cs="Times New Roman"/>
                <w:color w:val="auto"/>
                <w:szCs w:val="22"/>
                <w:lang w:bidi="ar"/>
              </w:rPr>
              <w:t>490</w:t>
            </w:r>
          </w:p>
        </w:tc>
        <w:tc>
          <w:tcPr>
            <w:tcW w:w="704" w:type="pct"/>
            <w:shd w:val="clear" w:color="auto" w:fill="auto"/>
            <w:vAlign w:val="center"/>
          </w:tcPr>
          <w:p w14:paraId="6AB79D19">
            <w:pPr>
              <w:jc w:val="center"/>
              <w:rPr>
                <w:rFonts w:ascii="宋体" w:hAnsi="宋体" w:eastAsia="宋体" w:cs="Times New Roman"/>
                <w:color w:val="auto"/>
                <w:szCs w:val="22"/>
                <w:lang w:bidi="ar"/>
              </w:rPr>
            </w:pPr>
            <w:r>
              <w:rPr>
                <w:rFonts w:ascii="宋体" w:hAnsi="宋体" w:eastAsia="宋体" w:cs="Times New Roman"/>
                <w:color w:val="auto"/>
                <w:szCs w:val="22"/>
                <w:lang w:bidi="ar"/>
              </w:rPr>
              <w:t>1293</w:t>
            </w:r>
          </w:p>
        </w:tc>
        <w:tc>
          <w:tcPr>
            <w:tcW w:w="2030" w:type="pct"/>
            <w:vMerge w:val="continue"/>
            <w:shd w:val="clear" w:color="auto" w:fill="auto"/>
            <w:vAlign w:val="center"/>
          </w:tcPr>
          <w:p w14:paraId="2112AF8F">
            <w:pPr>
              <w:jc w:val="center"/>
              <w:rPr>
                <w:rFonts w:ascii="宋体" w:hAnsi="宋体" w:eastAsia="宋体" w:cs="Times New Roman"/>
                <w:color w:val="auto"/>
                <w:szCs w:val="22"/>
                <w:lang w:bidi="ar"/>
              </w:rPr>
            </w:pPr>
          </w:p>
        </w:tc>
      </w:tr>
      <w:tr w14:paraId="6F94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60243345">
            <w:pPr>
              <w:jc w:val="center"/>
              <w:rPr>
                <w:rFonts w:ascii="宋体" w:hAnsi="宋体" w:eastAsia="宋体" w:cs="Times New Roman"/>
                <w:color w:val="auto"/>
                <w:szCs w:val="22"/>
                <w:lang w:bidi="ar"/>
              </w:rPr>
            </w:pPr>
            <w:r>
              <w:rPr>
                <w:rFonts w:ascii="宋体" w:hAnsi="宋体" w:eastAsia="宋体" w:cs="Times New Roman"/>
                <w:color w:val="auto"/>
                <w:szCs w:val="22"/>
                <w:lang w:bidi="ar"/>
              </w:rPr>
              <w:t>43</w:t>
            </w:r>
          </w:p>
        </w:tc>
        <w:tc>
          <w:tcPr>
            <w:tcW w:w="1130" w:type="pct"/>
            <w:shd w:val="clear" w:color="auto" w:fill="auto"/>
            <w:vAlign w:val="center"/>
          </w:tcPr>
          <w:p w14:paraId="67CFCA1C">
            <w:pPr>
              <w:jc w:val="center"/>
              <w:rPr>
                <w:rFonts w:ascii="宋体" w:hAnsi="宋体" w:eastAsia="宋体" w:cs="Times New Roman"/>
                <w:color w:val="auto"/>
                <w:szCs w:val="22"/>
                <w:lang w:bidi="ar"/>
              </w:rPr>
            </w:pPr>
            <w:r>
              <w:rPr>
                <w:rFonts w:ascii="宋体" w:hAnsi="宋体" w:eastAsia="宋体" w:cs="Times New Roman"/>
                <w:color w:val="auto"/>
                <w:szCs w:val="22"/>
                <w:lang w:bidi="ar"/>
              </w:rPr>
              <w:t>二苯并［a,h］蒽</w:t>
            </w:r>
          </w:p>
        </w:tc>
        <w:tc>
          <w:tcPr>
            <w:tcW w:w="703" w:type="pct"/>
            <w:shd w:val="clear" w:color="auto" w:fill="auto"/>
            <w:vAlign w:val="center"/>
          </w:tcPr>
          <w:p w14:paraId="29899187">
            <w:pPr>
              <w:jc w:val="center"/>
              <w:rPr>
                <w:rFonts w:ascii="宋体" w:hAnsi="宋体" w:eastAsia="宋体" w:cs="Times New Roman"/>
                <w:color w:val="auto"/>
                <w:szCs w:val="22"/>
                <w:lang w:bidi="ar"/>
              </w:rPr>
            </w:pPr>
            <w:r>
              <w:rPr>
                <w:rFonts w:ascii="宋体" w:hAnsi="宋体" w:eastAsia="宋体" w:cs="Times New Roman"/>
                <w:color w:val="auto"/>
                <w:szCs w:val="22"/>
                <w:lang w:bidi="ar"/>
              </w:rPr>
              <w:t>0.55</w:t>
            </w:r>
          </w:p>
        </w:tc>
        <w:tc>
          <w:tcPr>
            <w:tcW w:w="704" w:type="pct"/>
            <w:shd w:val="clear" w:color="auto" w:fill="auto"/>
            <w:vAlign w:val="center"/>
          </w:tcPr>
          <w:p w14:paraId="1DA0BD77">
            <w:pPr>
              <w:jc w:val="center"/>
              <w:rPr>
                <w:rFonts w:ascii="宋体" w:hAnsi="宋体" w:eastAsia="宋体" w:cs="Times New Roman"/>
                <w:color w:val="auto"/>
                <w:szCs w:val="22"/>
                <w:lang w:bidi="ar"/>
              </w:rPr>
            </w:pPr>
            <w:r>
              <w:rPr>
                <w:rFonts w:ascii="宋体" w:hAnsi="宋体" w:eastAsia="宋体" w:cs="Times New Roman"/>
                <w:color w:val="auto"/>
                <w:szCs w:val="22"/>
                <w:lang w:bidi="ar"/>
              </w:rPr>
              <w:t>1.5</w:t>
            </w:r>
          </w:p>
        </w:tc>
        <w:tc>
          <w:tcPr>
            <w:tcW w:w="2030" w:type="pct"/>
            <w:vMerge w:val="continue"/>
            <w:shd w:val="clear" w:color="auto" w:fill="auto"/>
            <w:vAlign w:val="center"/>
          </w:tcPr>
          <w:p w14:paraId="3A913467">
            <w:pPr>
              <w:jc w:val="center"/>
              <w:rPr>
                <w:rFonts w:ascii="宋体" w:hAnsi="宋体" w:eastAsia="宋体" w:cs="Times New Roman"/>
                <w:color w:val="auto"/>
                <w:szCs w:val="22"/>
                <w:lang w:bidi="ar"/>
              </w:rPr>
            </w:pPr>
          </w:p>
        </w:tc>
      </w:tr>
      <w:tr w14:paraId="6285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479190E">
            <w:pPr>
              <w:jc w:val="center"/>
              <w:rPr>
                <w:rFonts w:ascii="宋体" w:hAnsi="宋体" w:eastAsia="宋体" w:cs="Times New Roman"/>
                <w:color w:val="auto"/>
                <w:szCs w:val="22"/>
                <w:lang w:bidi="ar"/>
              </w:rPr>
            </w:pPr>
            <w:r>
              <w:rPr>
                <w:rFonts w:ascii="宋体" w:hAnsi="宋体" w:eastAsia="宋体" w:cs="Times New Roman"/>
                <w:color w:val="auto"/>
                <w:szCs w:val="22"/>
                <w:lang w:bidi="ar"/>
              </w:rPr>
              <w:t>44</w:t>
            </w:r>
          </w:p>
        </w:tc>
        <w:tc>
          <w:tcPr>
            <w:tcW w:w="1130" w:type="pct"/>
            <w:shd w:val="clear" w:color="auto" w:fill="auto"/>
            <w:vAlign w:val="center"/>
          </w:tcPr>
          <w:p w14:paraId="54C2E382">
            <w:pPr>
              <w:jc w:val="center"/>
              <w:rPr>
                <w:rFonts w:ascii="宋体" w:hAnsi="宋体" w:eastAsia="宋体" w:cs="Times New Roman"/>
                <w:color w:val="auto"/>
                <w:szCs w:val="22"/>
                <w:lang w:bidi="ar"/>
              </w:rPr>
            </w:pPr>
            <w:r>
              <w:rPr>
                <w:rFonts w:ascii="宋体" w:hAnsi="宋体" w:eastAsia="宋体" w:cs="Times New Roman"/>
                <w:color w:val="auto"/>
                <w:szCs w:val="22"/>
                <w:lang w:bidi="ar"/>
              </w:rPr>
              <w:t>茚并［1,2,3-cd］芘</w:t>
            </w:r>
          </w:p>
        </w:tc>
        <w:tc>
          <w:tcPr>
            <w:tcW w:w="703" w:type="pct"/>
            <w:shd w:val="clear" w:color="auto" w:fill="auto"/>
            <w:vAlign w:val="center"/>
          </w:tcPr>
          <w:p w14:paraId="539EDF9F">
            <w:pPr>
              <w:jc w:val="center"/>
              <w:rPr>
                <w:rFonts w:ascii="宋体" w:hAnsi="宋体" w:eastAsia="宋体" w:cs="Times New Roman"/>
                <w:color w:val="auto"/>
                <w:szCs w:val="22"/>
                <w:lang w:bidi="ar"/>
              </w:rPr>
            </w:pPr>
            <w:r>
              <w:rPr>
                <w:rFonts w:ascii="宋体" w:hAnsi="宋体" w:eastAsia="宋体" w:cs="Times New Roman"/>
                <w:color w:val="auto"/>
                <w:szCs w:val="22"/>
                <w:lang w:bidi="ar"/>
              </w:rPr>
              <w:t>5.5</w:t>
            </w:r>
          </w:p>
        </w:tc>
        <w:tc>
          <w:tcPr>
            <w:tcW w:w="704" w:type="pct"/>
            <w:shd w:val="clear" w:color="auto" w:fill="auto"/>
            <w:vAlign w:val="center"/>
          </w:tcPr>
          <w:p w14:paraId="10F5B819">
            <w:pPr>
              <w:jc w:val="center"/>
              <w:rPr>
                <w:rFonts w:ascii="宋体" w:hAnsi="宋体" w:eastAsia="宋体" w:cs="Times New Roman"/>
                <w:color w:val="auto"/>
                <w:szCs w:val="22"/>
                <w:lang w:bidi="ar"/>
              </w:rPr>
            </w:pPr>
            <w:r>
              <w:rPr>
                <w:rFonts w:ascii="宋体" w:hAnsi="宋体" w:eastAsia="宋体" w:cs="Times New Roman"/>
                <w:color w:val="auto"/>
                <w:szCs w:val="22"/>
                <w:lang w:bidi="ar"/>
              </w:rPr>
              <w:t>15</w:t>
            </w:r>
          </w:p>
        </w:tc>
        <w:tc>
          <w:tcPr>
            <w:tcW w:w="2030" w:type="pct"/>
            <w:vMerge w:val="continue"/>
            <w:shd w:val="clear" w:color="auto" w:fill="auto"/>
            <w:vAlign w:val="center"/>
          </w:tcPr>
          <w:p w14:paraId="3DA448AF">
            <w:pPr>
              <w:jc w:val="center"/>
              <w:rPr>
                <w:rFonts w:ascii="宋体" w:hAnsi="宋体" w:eastAsia="宋体" w:cs="Times New Roman"/>
                <w:color w:val="auto"/>
                <w:szCs w:val="22"/>
                <w:lang w:bidi="ar"/>
              </w:rPr>
            </w:pPr>
          </w:p>
        </w:tc>
      </w:tr>
      <w:tr w14:paraId="7564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DAF52E3">
            <w:pPr>
              <w:jc w:val="center"/>
              <w:rPr>
                <w:rFonts w:ascii="宋体" w:hAnsi="宋体" w:eastAsia="宋体" w:cs="Times New Roman"/>
                <w:color w:val="auto"/>
                <w:szCs w:val="22"/>
                <w:lang w:bidi="ar"/>
              </w:rPr>
            </w:pPr>
            <w:r>
              <w:rPr>
                <w:rFonts w:ascii="宋体" w:hAnsi="宋体" w:eastAsia="宋体" w:cs="Times New Roman"/>
                <w:color w:val="auto"/>
                <w:szCs w:val="22"/>
                <w:lang w:bidi="ar"/>
              </w:rPr>
              <w:t>45</w:t>
            </w:r>
          </w:p>
        </w:tc>
        <w:tc>
          <w:tcPr>
            <w:tcW w:w="1130" w:type="pct"/>
            <w:shd w:val="clear" w:color="auto" w:fill="auto"/>
            <w:vAlign w:val="center"/>
          </w:tcPr>
          <w:p w14:paraId="3A0B9353">
            <w:pPr>
              <w:jc w:val="center"/>
              <w:rPr>
                <w:rFonts w:ascii="宋体" w:hAnsi="宋体" w:eastAsia="宋体" w:cs="Times New Roman"/>
                <w:color w:val="auto"/>
                <w:szCs w:val="22"/>
                <w:lang w:bidi="ar"/>
              </w:rPr>
            </w:pPr>
            <w:r>
              <w:rPr>
                <w:rFonts w:ascii="宋体" w:hAnsi="宋体" w:eastAsia="宋体" w:cs="Times New Roman"/>
                <w:color w:val="auto"/>
                <w:szCs w:val="22"/>
                <w:lang w:bidi="ar"/>
              </w:rPr>
              <w:t>萘</w:t>
            </w:r>
          </w:p>
        </w:tc>
        <w:tc>
          <w:tcPr>
            <w:tcW w:w="703" w:type="pct"/>
            <w:shd w:val="clear" w:color="auto" w:fill="auto"/>
            <w:vAlign w:val="center"/>
          </w:tcPr>
          <w:p w14:paraId="691FAE38">
            <w:pPr>
              <w:jc w:val="center"/>
              <w:rPr>
                <w:rFonts w:ascii="宋体" w:hAnsi="宋体" w:eastAsia="宋体" w:cs="Times New Roman"/>
                <w:color w:val="auto"/>
                <w:szCs w:val="22"/>
                <w:lang w:bidi="ar"/>
              </w:rPr>
            </w:pPr>
            <w:r>
              <w:rPr>
                <w:rFonts w:ascii="宋体" w:hAnsi="宋体" w:eastAsia="宋体" w:cs="Times New Roman"/>
                <w:color w:val="auto"/>
                <w:szCs w:val="22"/>
                <w:lang w:bidi="ar"/>
              </w:rPr>
              <w:t>25</w:t>
            </w:r>
          </w:p>
        </w:tc>
        <w:tc>
          <w:tcPr>
            <w:tcW w:w="704" w:type="pct"/>
            <w:shd w:val="clear" w:color="auto" w:fill="auto"/>
            <w:vAlign w:val="center"/>
          </w:tcPr>
          <w:p w14:paraId="7F6B76BA">
            <w:pPr>
              <w:jc w:val="center"/>
              <w:rPr>
                <w:rFonts w:ascii="宋体" w:hAnsi="宋体" w:eastAsia="宋体" w:cs="Times New Roman"/>
                <w:color w:val="auto"/>
                <w:szCs w:val="22"/>
                <w:lang w:bidi="ar"/>
              </w:rPr>
            </w:pPr>
            <w:r>
              <w:rPr>
                <w:rFonts w:ascii="宋体" w:hAnsi="宋体" w:eastAsia="宋体" w:cs="Times New Roman"/>
                <w:color w:val="auto"/>
                <w:szCs w:val="22"/>
                <w:lang w:bidi="ar"/>
              </w:rPr>
              <w:t>70</w:t>
            </w:r>
          </w:p>
        </w:tc>
        <w:tc>
          <w:tcPr>
            <w:tcW w:w="2030" w:type="pct"/>
            <w:vMerge w:val="continue"/>
            <w:shd w:val="clear" w:color="auto" w:fill="auto"/>
            <w:vAlign w:val="center"/>
          </w:tcPr>
          <w:p w14:paraId="58B6BC59">
            <w:pPr>
              <w:jc w:val="center"/>
              <w:rPr>
                <w:rFonts w:ascii="宋体" w:hAnsi="宋体" w:eastAsia="宋体" w:cs="Times New Roman"/>
                <w:color w:val="auto"/>
                <w:szCs w:val="22"/>
                <w:lang w:bidi="ar"/>
              </w:rPr>
            </w:pPr>
          </w:p>
        </w:tc>
      </w:tr>
      <w:tr w14:paraId="1995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shd w:val="clear" w:color="auto" w:fill="auto"/>
            <w:vAlign w:val="center"/>
          </w:tcPr>
          <w:p w14:paraId="2CEADF6A">
            <w:pPr>
              <w:jc w:val="center"/>
              <w:rPr>
                <w:rFonts w:ascii="宋体" w:hAnsi="宋体" w:eastAsia="宋体" w:cs="Times New Roman"/>
                <w:color w:val="auto"/>
                <w:szCs w:val="22"/>
                <w:lang w:bidi="ar"/>
              </w:rPr>
            </w:pPr>
            <w:r>
              <w:rPr>
                <w:rFonts w:ascii="宋体" w:hAnsi="宋体" w:eastAsia="宋体" w:cs="Times New Roman"/>
                <w:color w:val="auto"/>
                <w:szCs w:val="22"/>
                <w:lang w:bidi="ar"/>
              </w:rPr>
              <w:t>46</w:t>
            </w:r>
          </w:p>
        </w:tc>
        <w:tc>
          <w:tcPr>
            <w:tcW w:w="1130" w:type="pct"/>
            <w:shd w:val="clear" w:color="auto" w:fill="auto"/>
            <w:vAlign w:val="center"/>
          </w:tcPr>
          <w:p w14:paraId="4989ACC4">
            <w:pPr>
              <w:jc w:val="center"/>
              <w:rPr>
                <w:rFonts w:ascii="宋体" w:hAnsi="宋体" w:eastAsia="宋体" w:cs="Times New Roman"/>
                <w:color w:val="auto"/>
                <w:szCs w:val="22"/>
                <w:lang w:bidi="ar"/>
              </w:rPr>
            </w:pPr>
            <w:r>
              <w:rPr>
                <w:rFonts w:ascii="宋体" w:hAnsi="宋体" w:eastAsia="宋体" w:cs="Times New Roman"/>
                <w:color w:val="auto"/>
                <w:szCs w:val="22"/>
                <w:lang w:bidi="ar"/>
              </w:rPr>
              <w:t>石油烃（C</w:t>
            </w:r>
            <w:r>
              <w:rPr>
                <w:rFonts w:ascii="宋体" w:hAnsi="宋体" w:eastAsia="宋体" w:cs="Times New Roman"/>
                <w:color w:val="auto"/>
                <w:szCs w:val="22"/>
                <w:vertAlign w:val="subscript"/>
                <w:lang w:bidi="ar"/>
              </w:rPr>
              <w:t>10</w:t>
            </w:r>
            <w:r>
              <w:rPr>
                <w:rFonts w:ascii="宋体" w:hAnsi="宋体" w:eastAsia="宋体" w:cs="Times New Roman"/>
                <w:color w:val="auto"/>
                <w:szCs w:val="22"/>
                <w:lang w:bidi="ar"/>
              </w:rPr>
              <w:t>-C</w:t>
            </w:r>
            <w:r>
              <w:rPr>
                <w:rFonts w:ascii="宋体" w:hAnsi="宋体" w:eastAsia="宋体" w:cs="Times New Roman"/>
                <w:color w:val="auto"/>
                <w:szCs w:val="22"/>
                <w:vertAlign w:val="subscript"/>
                <w:lang w:bidi="ar"/>
              </w:rPr>
              <w:t>40</w:t>
            </w:r>
            <w:r>
              <w:rPr>
                <w:rFonts w:ascii="宋体" w:hAnsi="宋体" w:eastAsia="宋体" w:cs="Times New Roman"/>
                <w:color w:val="auto"/>
                <w:szCs w:val="22"/>
                <w:lang w:bidi="ar"/>
              </w:rPr>
              <w:t>）</w:t>
            </w:r>
          </w:p>
        </w:tc>
        <w:tc>
          <w:tcPr>
            <w:tcW w:w="703" w:type="pct"/>
            <w:shd w:val="clear" w:color="auto" w:fill="auto"/>
            <w:vAlign w:val="center"/>
          </w:tcPr>
          <w:p w14:paraId="41B5AB14">
            <w:pPr>
              <w:jc w:val="center"/>
              <w:rPr>
                <w:rFonts w:ascii="宋体" w:hAnsi="宋体" w:eastAsia="宋体" w:cs="Times New Roman"/>
                <w:color w:val="auto"/>
                <w:szCs w:val="22"/>
                <w:lang w:bidi="ar"/>
              </w:rPr>
            </w:pPr>
            <w:r>
              <w:rPr>
                <w:rFonts w:ascii="宋体" w:hAnsi="宋体" w:eastAsia="宋体" w:cs="Times New Roman"/>
                <w:color w:val="auto"/>
                <w:szCs w:val="22"/>
                <w:lang w:bidi="ar"/>
              </w:rPr>
              <w:t>826</w:t>
            </w:r>
          </w:p>
        </w:tc>
        <w:tc>
          <w:tcPr>
            <w:tcW w:w="704" w:type="pct"/>
            <w:shd w:val="clear" w:color="auto" w:fill="auto"/>
            <w:vAlign w:val="center"/>
          </w:tcPr>
          <w:p w14:paraId="7170E9DE">
            <w:pPr>
              <w:jc w:val="center"/>
              <w:rPr>
                <w:rFonts w:ascii="宋体" w:hAnsi="宋体" w:eastAsia="宋体" w:cs="Times New Roman"/>
                <w:color w:val="auto"/>
                <w:szCs w:val="22"/>
                <w:lang w:bidi="ar"/>
              </w:rPr>
            </w:pPr>
            <w:r>
              <w:rPr>
                <w:rFonts w:ascii="宋体" w:hAnsi="宋体" w:eastAsia="宋体" w:cs="Times New Roman"/>
                <w:color w:val="auto"/>
                <w:szCs w:val="22"/>
                <w:lang w:bidi="ar"/>
              </w:rPr>
              <w:t>4500</w:t>
            </w:r>
          </w:p>
        </w:tc>
        <w:tc>
          <w:tcPr>
            <w:tcW w:w="2030" w:type="pct"/>
            <w:shd w:val="clear" w:color="auto" w:fill="auto"/>
            <w:vAlign w:val="center"/>
          </w:tcPr>
          <w:p w14:paraId="13C8CE0E">
            <w:pPr>
              <w:jc w:val="center"/>
              <w:rPr>
                <w:rFonts w:ascii="宋体" w:hAnsi="宋体" w:eastAsia="宋体" w:cs="Times New Roman"/>
                <w:color w:val="auto"/>
                <w:szCs w:val="22"/>
                <w:lang w:bidi="ar"/>
              </w:rPr>
            </w:pPr>
            <w:r>
              <w:rPr>
                <w:rFonts w:ascii="宋体" w:hAnsi="宋体" w:eastAsia="宋体" w:cs="Times New Roman"/>
                <w:color w:val="auto"/>
                <w:szCs w:val="22"/>
                <w:lang w:bidi="ar"/>
              </w:rPr>
              <w:t>《土壤环境质量 建设用地土壤污染风险管控标准（试行）》（GB36600-2018）其他项目</w:t>
            </w:r>
          </w:p>
        </w:tc>
      </w:tr>
    </w:tbl>
    <w:p w14:paraId="1ED4A59B">
      <w:pPr>
        <w:pStyle w:val="276"/>
        <w:widowControl w:val="0"/>
        <w:spacing w:line="440" w:lineRule="exact"/>
        <w:ind w:firstLine="480"/>
        <w:jc w:val="both"/>
        <w:rPr>
          <w:color w:val="auto"/>
          <w:kern w:val="2"/>
          <w:szCs w:val="20"/>
        </w:rPr>
      </w:pPr>
      <w:r>
        <w:rPr>
          <w:color w:val="auto"/>
          <w:kern w:val="2"/>
          <w:szCs w:val="20"/>
        </w:rPr>
        <w:t>本项目井场周边农用地执行《土壤环境质量 农用地土壤污染风险管控标准（试行）》（GB15618-2018）表1基本项目筛选值标准，稻田地执行水田标准，旱地和草地执行其他标准。具体标准详见</w:t>
      </w:r>
      <w:r>
        <w:rPr>
          <w:color w:val="auto"/>
          <w:kern w:val="2"/>
          <w:szCs w:val="20"/>
        </w:rPr>
        <w:fldChar w:fldCharType="begin"/>
      </w:r>
      <w:r>
        <w:rPr>
          <w:color w:val="auto"/>
          <w:kern w:val="2"/>
          <w:szCs w:val="20"/>
        </w:rPr>
        <w:instrText xml:space="preserve"> REF _Ref211957609 \h  \* MERGEFORMAT </w:instrText>
      </w:r>
      <w:r>
        <w:rPr>
          <w:color w:val="auto"/>
          <w:kern w:val="2"/>
          <w:szCs w:val="20"/>
        </w:rPr>
        <w:fldChar w:fldCharType="separate"/>
      </w:r>
      <w:r>
        <w:rPr>
          <w:rFonts w:hint="eastAsia"/>
          <w:color w:val="auto"/>
        </w:rPr>
        <w:t xml:space="preserve">表 </w:t>
      </w:r>
      <w:r>
        <w:rPr>
          <w:color w:val="auto"/>
        </w:rPr>
        <w:t>2.5</w:t>
      </w:r>
      <w:r>
        <w:rPr>
          <w:color w:val="auto"/>
        </w:rPr>
        <w:noBreakHyphen/>
      </w:r>
      <w:r>
        <w:rPr>
          <w:color w:val="auto"/>
        </w:rPr>
        <w:t>6</w:t>
      </w:r>
      <w:r>
        <w:rPr>
          <w:color w:val="auto"/>
          <w:kern w:val="2"/>
          <w:szCs w:val="20"/>
        </w:rPr>
        <w:fldChar w:fldCharType="end"/>
      </w:r>
      <w:r>
        <w:rPr>
          <w:color w:val="auto"/>
          <w:kern w:val="2"/>
          <w:szCs w:val="20"/>
        </w:rPr>
        <w:t>。</w:t>
      </w:r>
    </w:p>
    <w:p w14:paraId="5EE1E1A1">
      <w:pPr>
        <w:pStyle w:val="22"/>
        <w:spacing w:before="156"/>
        <w:rPr>
          <w:rFonts w:hAnsi="宋体" w:cs="Times New Roman"/>
          <w:color w:val="auto"/>
        </w:rPr>
      </w:pPr>
      <w:bookmarkStart w:id="345" w:name="_Ref211957609"/>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rFonts w:hAnsi="宋体" w:cs="Times New Roman"/>
          <w:color w:val="auto"/>
        </w:rPr>
        <w:fldChar w:fldCharType="begin"/>
      </w:r>
      <w:r>
        <w:rPr>
          <w:rFonts w:hAnsi="宋体" w:cs="Times New Roman"/>
          <w:color w:val="auto"/>
        </w:rPr>
        <w:instrText xml:space="preserve"> </w:instrText>
      </w:r>
      <w:r>
        <w:rPr>
          <w:rFonts w:hint="eastAsia" w:hAnsi="宋体" w:cs="Times New Roman"/>
          <w:color w:val="auto"/>
        </w:rPr>
        <w:instrText xml:space="preserve">SEQ 表 \* ARABIC \s 2</w:instrText>
      </w:r>
      <w:r>
        <w:rPr>
          <w:rFonts w:hAnsi="宋体" w:cs="Times New Roman"/>
          <w:color w:val="auto"/>
        </w:rPr>
        <w:instrText xml:space="preserve"> </w:instrText>
      </w:r>
      <w:r>
        <w:rPr>
          <w:rFonts w:hAnsi="宋体" w:cs="Times New Roman"/>
          <w:color w:val="auto"/>
        </w:rPr>
        <w:fldChar w:fldCharType="separate"/>
      </w:r>
      <w:r>
        <w:rPr>
          <w:rFonts w:hAnsi="宋体" w:cs="Times New Roman"/>
          <w:color w:val="auto"/>
        </w:rPr>
        <w:t>6</w:t>
      </w:r>
      <w:r>
        <w:rPr>
          <w:rFonts w:hAnsi="宋体" w:cs="Times New Roman"/>
          <w:color w:val="auto"/>
        </w:rPr>
        <w:fldChar w:fldCharType="end"/>
      </w:r>
      <w:bookmarkEnd w:id="345"/>
      <w:r>
        <w:rPr>
          <w:rFonts w:hAnsi="宋体" w:cs="Times New Roman"/>
          <w:color w:val="auto"/>
        </w:rPr>
        <w:t>农用地土壤环境执行标准    单位：mg/kg</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2032"/>
        <w:gridCol w:w="2466"/>
        <w:gridCol w:w="3627"/>
      </w:tblGrid>
      <w:tr w14:paraId="08DE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1A99D1C8">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序号</w:t>
            </w:r>
          </w:p>
        </w:tc>
        <w:tc>
          <w:tcPr>
            <w:tcW w:w="2422" w:type="pct"/>
            <w:gridSpan w:val="2"/>
            <w:vMerge w:val="restart"/>
            <w:shd w:val="clear" w:color="auto" w:fill="auto"/>
            <w:vAlign w:val="center"/>
          </w:tcPr>
          <w:p w14:paraId="1A11958A">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污染物项目</w:t>
            </w:r>
          </w:p>
        </w:tc>
        <w:tc>
          <w:tcPr>
            <w:tcW w:w="1953" w:type="pct"/>
            <w:shd w:val="clear" w:color="auto" w:fill="auto"/>
            <w:vAlign w:val="center"/>
          </w:tcPr>
          <w:p w14:paraId="2FA2853B">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筛选值</w:t>
            </w:r>
          </w:p>
        </w:tc>
      </w:tr>
      <w:tr w14:paraId="16BC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48DEBF88">
            <w:pPr>
              <w:adjustRightInd w:val="0"/>
              <w:snapToGrid w:val="0"/>
              <w:jc w:val="center"/>
              <w:textAlignment w:val="center"/>
              <w:rPr>
                <w:rFonts w:ascii="宋体" w:hAnsi="宋体" w:eastAsia="宋体" w:cs="Times New Roman"/>
                <w:color w:val="auto"/>
              </w:rPr>
            </w:pPr>
          </w:p>
        </w:tc>
        <w:tc>
          <w:tcPr>
            <w:tcW w:w="2422" w:type="pct"/>
            <w:gridSpan w:val="2"/>
            <w:vMerge w:val="continue"/>
            <w:shd w:val="clear" w:color="auto" w:fill="auto"/>
            <w:vAlign w:val="center"/>
          </w:tcPr>
          <w:p w14:paraId="24669FBF">
            <w:pPr>
              <w:adjustRightInd w:val="0"/>
              <w:snapToGrid w:val="0"/>
              <w:jc w:val="center"/>
              <w:textAlignment w:val="center"/>
              <w:rPr>
                <w:rFonts w:ascii="宋体" w:hAnsi="宋体" w:eastAsia="宋体" w:cs="Times New Roman"/>
                <w:color w:val="auto"/>
              </w:rPr>
            </w:pPr>
          </w:p>
        </w:tc>
        <w:tc>
          <w:tcPr>
            <w:tcW w:w="1953" w:type="pct"/>
            <w:shd w:val="clear" w:color="auto" w:fill="auto"/>
            <w:vAlign w:val="center"/>
          </w:tcPr>
          <w:p w14:paraId="100B25FA">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pH&gt;7.5</w:t>
            </w:r>
          </w:p>
        </w:tc>
      </w:tr>
      <w:tr w14:paraId="14EF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5BB2CEE2">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1</w:t>
            </w:r>
          </w:p>
        </w:tc>
        <w:tc>
          <w:tcPr>
            <w:tcW w:w="1094" w:type="pct"/>
            <w:vMerge w:val="restart"/>
            <w:shd w:val="clear" w:color="auto" w:fill="auto"/>
            <w:vAlign w:val="center"/>
          </w:tcPr>
          <w:p w14:paraId="75B7AC82">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镉</w:t>
            </w:r>
          </w:p>
        </w:tc>
        <w:tc>
          <w:tcPr>
            <w:tcW w:w="1328" w:type="pct"/>
            <w:shd w:val="clear" w:color="auto" w:fill="auto"/>
            <w:vAlign w:val="center"/>
          </w:tcPr>
          <w:p w14:paraId="2261F376">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水田</w:t>
            </w:r>
          </w:p>
        </w:tc>
        <w:tc>
          <w:tcPr>
            <w:tcW w:w="1953" w:type="pct"/>
            <w:shd w:val="clear" w:color="auto" w:fill="auto"/>
            <w:vAlign w:val="center"/>
          </w:tcPr>
          <w:p w14:paraId="22C5AFA4">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0.8</w:t>
            </w:r>
          </w:p>
        </w:tc>
      </w:tr>
      <w:tr w14:paraId="283F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50CF39C8">
            <w:pPr>
              <w:adjustRightInd w:val="0"/>
              <w:snapToGrid w:val="0"/>
              <w:jc w:val="center"/>
              <w:textAlignment w:val="center"/>
              <w:rPr>
                <w:rFonts w:ascii="宋体" w:hAnsi="宋体" w:eastAsia="宋体" w:cs="Times New Roman"/>
                <w:color w:val="auto"/>
              </w:rPr>
            </w:pPr>
          </w:p>
        </w:tc>
        <w:tc>
          <w:tcPr>
            <w:tcW w:w="1094" w:type="pct"/>
            <w:vMerge w:val="continue"/>
            <w:shd w:val="clear" w:color="auto" w:fill="auto"/>
            <w:vAlign w:val="center"/>
          </w:tcPr>
          <w:p w14:paraId="38E89B5A">
            <w:pPr>
              <w:adjustRightInd w:val="0"/>
              <w:snapToGrid w:val="0"/>
              <w:jc w:val="center"/>
              <w:textAlignment w:val="center"/>
              <w:rPr>
                <w:rFonts w:ascii="宋体" w:hAnsi="宋体" w:eastAsia="宋体" w:cs="Times New Roman"/>
                <w:color w:val="auto"/>
              </w:rPr>
            </w:pPr>
          </w:p>
        </w:tc>
        <w:tc>
          <w:tcPr>
            <w:tcW w:w="1328" w:type="pct"/>
            <w:shd w:val="clear" w:color="auto" w:fill="auto"/>
            <w:vAlign w:val="center"/>
          </w:tcPr>
          <w:p w14:paraId="4E9CA289">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其它</w:t>
            </w:r>
          </w:p>
        </w:tc>
        <w:tc>
          <w:tcPr>
            <w:tcW w:w="1953" w:type="pct"/>
            <w:shd w:val="clear" w:color="auto" w:fill="auto"/>
            <w:vAlign w:val="center"/>
          </w:tcPr>
          <w:p w14:paraId="6A144F9D">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0.6</w:t>
            </w:r>
          </w:p>
        </w:tc>
      </w:tr>
      <w:tr w14:paraId="1EEC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188DF72B">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2</w:t>
            </w:r>
          </w:p>
        </w:tc>
        <w:tc>
          <w:tcPr>
            <w:tcW w:w="1094" w:type="pct"/>
            <w:vMerge w:val="restart"/>
            <w:shd w:val="clear" w:color="auto" w:fill="auto"/>
            <w:vAlign w:val="center"/>
          </w:tcPr>
          <w:p w14:paraId="194FEBCA">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汞</w:t>
            </w:r>
          </w:p>
        </w:tc>
        <w:tc>
          <w:tcPr>
            <w:tcW w:w="1328" w:type="pct"/>
            <w:shd w:val="clear" w:color="auto" w:fill="auto"/>
            <w:vAlign w:val="center"/>
          </w:tcPr>
          <w:p w14:paraId="2A155C95">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水田</w:t>
            </w:r>
          </w:p>
        </w:tc>
        <w:tc>
          <w:tcPr>
            <w:tcW w:w="1953" w:type="pct"/>
            <w:shd w:val="clear" w:color="auto" w:fill="auto"/>
            <w:vAlign w:val="center"/>
          </w:tcPr>
          <w:p w14:paraId="108D7C73">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1.0</w:t>
            </w:r>
          </w:p>
        </w:tc>
      </w:tr>
      <w:tr w14:paraId="06A8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25" w:type="pct"/>
            <w:vMerge w:val="continue"/>
            <w:shd w:val="clear" w:color="auto" w:fill="auto"/>
            <w:vAlign w:val="center"/>
          </w:tcPr>
          <w:p w14:paraId="5F578FAB">
            <w:pPr>
              <w:adjustRightInd w:val="0"/>
              <w:snapToGrid w:val="0"/>
              <w:jc w:val="center"/>
              <w:textAlignment w:val="center"/>
              <w:rPr>
                <w:rFonts w:ascii="宋体" w:hAnsi="宋体" w:eastAsia="宋体" w:cs="Times New Roman"/>
                <w:color w:val="auto"/>
              </w:rPr>
            </w:pPr>
          </w:p>
        </w:tc>
        <w:tc>
          <w:tcPr>
            <w:tcW w:w="1094" w:type="pct"/>
            <w:vMerge w:val="continue"/>
            <w:shd w:val="clear" w:color="auto" w:fill="auto"/>
            <w:vAlign w:val="center"/>
          </w:tcPr>
          <w:p w14:paraId="3D2F8D8E">
            <w:pPr>
              <w:adjustRightInd w:val="0"/>
              <w:snapToGrid w:val="0"/>
              <w:jc w:val="center"/>
              <w:textAlignment w:val="center"/>
              <w:rPr>
                <w:rFonts w:ascii="宋体" w:hAnsi="宋体" w:eastAsia="宋体" w:cs="Times New Roman"/>
                <w:color w:val="auto"/>
              </w:rPr>
            </w:pPr>
          </w:p>
        </w:tc>
        <w:tc>
          <w:tcPr>
            <w:tcW w:w="1328" w:type="pct"/>
            <w:shd w:val="clear" w:color="auto" w:fill="auto"/>
            <w:vAlign w:val="center"/>
          </w:tcPr>
          <w:p w14:paraId="645652C8">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其它</w:t>
            </w:r>
          </w:p>
        </w:tc>
        <w:tc>
          <w:tcPr>
            <w:tcW w:w="1953" w:type="pct"/>
            <w:shd w:val="clear" w:color="auto" w:fill="auto"/>
            <w:vAlign w:val="center"/>
          </w:tcPr>
          <w:p w14:paraId="5EB2A676">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3.4</w:t>
            </w:r>
          </w:p>
        </w:tc>
      </w:tr>
      <w:tr w14:paraId="7E2E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15F1330D">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3</w:t>
            </w:r>
          </w:p>
        </w:tc>
        <w:tc>
          <w:tcPr>
            <w:tcW w:w="1094" w:type="pct"/>
            <w:vMerge w:val="restart"/>
            <w:shd w:val="clear" w:color="auto" w:fill="auto"/>
            <w:vAlign w:val="center"/>
          </w:tcPr>
          <w:p w14:paraId="61402D0C">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砷</w:t>
            </w:r>
          </w:p>
        </w:tc>
        <w:tc>
          <w:tcPr>
            <w:tcW w:w="1328" w:type="pct"/>
            <w:shd w:val="clear" w:color="auto" w:fill="auto"/>
            <w:vAlign w:val="center"/>
          </w:tcPr>
          <w:p w14:paraId="760D0F74">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水田</w:t>
            </w:r>
          </w:p>
        </w:tc>
        <w:tc>
          <w:tcPr>
            <w:tcW w:w="1953" w:type="pct"/>
            <w:shd w:val="clear" w:color="auto" w:fill="auto"/>
            <w:vAlign w:val="center"/>
          </w:tcPr>
          <w:p w14:paraId="6E16DD22">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20</w:t>
            </w:r>
          </w:p>
        </w:tc>
      </w:tr>
      <w:tr w14:paraId="42DE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5289EB8B">
            <w:pPr>
              <w:adjustRightInd w:val="0"/>
              <w:snapToGrid w:val="0"/>
              <w:jc w:val="center"/>
              <w:textAlignment w:val="center"/>
              <w:rPr>
                <w:rFonts w:ascii="宋体" w:hAnsi="宋体" w:eastAsia="宋体" w:cs="Times New Roman"/>
                <w:color w:val="auto"/>
              </w:rPr>
            </w:pPr>
          </w:p>
        </w:tc>
        <w:tc>
          <w:tcPr>
            <w:tcW w:w="1094" w:type="pct"/>
            <w:vMerge w:val="continue"/>
            <w:shd w:val="clear" w:color="auto" w:fill="auto"/>
            <w:vAlign w:val="center"/>
          </w:tcPr>
          <w:p w14:paraId="101E053F">
            <w:pPr>
              <w:adjustRightInd w:val="0"/>
              <w:snapToGrid w:val="0"/>
              <w:jc w:val="center"/>
              <w:textAlignment w:val="center"/>
              <w:rPr>
                <w:rFonts w:ascii="宋体" w:hAnsi="宋体" w:eastAsia="宋体" w:cs="Times New Roman"/>
                <w:color w:val="auto"/>
              </w:rPr>
            </w:pPr>
          </w:p>
        </w:tc>
        <w:tc>
          <w:tcPr>
            <w:tcW w:w="1328" w:type="pct"/>
            <w:shd w:val="clear" w:color="auto" w:fill="auto"/>
            <w:vAlign w:val="center"/>
          </w:tcPr>
          <w:p w14:paraId="6ABBFBE1">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其它</w:t>
            </w:r>
          </w:p>
        </w:tc>
        <w:tc>
          <w:tcPr>
            <w:tcW w:w="1953" w:type="pct"/>
            <w:shd w:val="clear" w:color="auto" w:fill="auto"/>
            <w:vAlign w:val="center"/>
          </w:tcPr>
          <w:p w14:paraId="48BAD735">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25</w:t>
            </w:r>
          </w:p>
        </w:tc>
      </w:tr>
      <w:tr w14:paraId="0E73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7A1FF00E">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4</w:t>
            </w:r>
          </w:p>
        </w:tc>
        <w:tc>
          <w:tcPr>
            <w:tcW w:w="1094" w:type="pct"/>
            <w:vMerge w:val="restart"/>
            <w:shd w:val="clear" w:color="auto" w:fill="auto"/>
            <w:vAlign w:val="center"/>
          </w:tcPr>
          <w:p w14:paraId="36493BBA">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铅</w:t>
            </w:r>
          </w:p>
        </w:tc>
        <w:tc>
          <w:tcPr>
            <w:tcW w:w="1328" w:type="pct"/>
            <w:shd w:val="clear" w:color="auto" w:fill="auto"/>
            <w:vAlign w:val="center"/>
          </w:tcPr>
          <w:p w14:paraId="3285251D">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水田</w:t>
            </w:r>
          </w:p>
        </w:tc>
        <w:tc>
          <w:tcPr>
            <w:tcW w:w="1953" w:type="pct"/>
            <w:shd w:val="clear" w:color="auto" w:fill="auto"/>
            <w:vAlign w:val="center"/>
          </w:tcPr>
          <w:p w14:paraId="38ED9B82">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240</w:t>
            </w:r>
          </w:p>
        </w:tc>
      </w:tr>
      <w:tr w14:paraId="3523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03C644BC">
            <w:pPr>
              <w:adjustRightInd w:val="0"/>
              <w:snapToGrid w:val="0"/>
              <w:jc w:val="center"/>
              <w:textAlignment w:val="center"/>
              <w:rPr>
                <w:rFonts w:ascii="宋体" w:hAnsi="宋体" w:eastAsia="宋体" w:cs="Times New Roman"/>
                <w:color w:val="auto"/>
              </w:rPr>
            </w:pPr>
          </w:p>
        </w:tc>
        <w:tc>
          <w:tcPr>
            <w:tcW w:w="1094" w:type="pct"/>
            <w:vMerge w:val="continue"/>
            <w:shd w:val="clear" w:color="auto" w:fill="auto"/>
            <w:vAlign w:val="center"/>
          </w:tcPr>
          <w:p w14:paraId="6847872F">
            <w:pPr>
              <w:adjustRightInd w:val="0"/>
              <w:snapToGrid w:val="0"/>
              <w:jc w:val="center"/>
              <w:textAlignment w:val="center"/>
              <w:rPr>
                <w:rFonts w:ascii="宋体" w:hAnsi="宋体" w:eastAsia="宋体" w:cs="Times New Roman"/>
                <w:color w:val="auto"/>
              </w:rPr>
            </w:pPr>
          </w:p>
        </w:tc>
        <w:tc>
          <w:tcPr>
            <w:tcW w:w="1328" w:type="pct"/>
            <w:shd w:val="clear" w:color="auto" w:fill="auto"/>
            <w:vAlign w:val="center"/>
          </w:tcPr>
          <w:p w14:paraId="1B19FA55">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其它</w:t>
            </w:r>
          </w:p>
        </w:tc>
        <w:tc>
          <w:tcPr>
            <w:tcW w:w="1953" w:type="pct"/>
            <w:shd w:val="clear" w:color="auto" w:fill="auto"/>
            <w:vAlign w:val="center"/>
          </w:tcPr>
          <w:p w14:paraId="4EA543B4">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170</w:t>
            </w:r>
          </w:p>
        </w:tc>
      </w:tr>
      <w:tr w14:paraId="449C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restart"/>
            <w:shd w:val="clear" w:color="auto" w:fill="auto"/>
            <w:vAlign w:val="center"/>
          </w:tcPr>
          <w:p w14:paraId="216B475B">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5</w:t>
            </w:r>
          </w:p>
        </w:tc>
        <w:tc>
          <w:tcPr>
            <w:tcW w:w="1094" w:type="pct"/>
            <w:vMerge w:val="restart"/>
            <w:shd w:val="clear" w:color="auto" w:fill="auto"/>
            <w:vAlign w:val="center"/>
          </w:tcPr>
          <w:p w14:paraId="2B9D4307">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铬</w:t>
            </w:r>
          </w:p>
        </w:tc>
        <w:tc>
          <w:tcPr>
            <w:tcW w:w="1328" w:type="pct"/>
            <w:shd w:val="clear" w:color="auto" w:fill="auto"/>
            <w:vAlign w:val="center"/>
          </w:tcPr>
          <w:p w14:paraId="4B213CA2">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水田</w:t>
            </w:r>
          </w:p>
        </w:tc>
        <w:tc>
          <w:tcPr>
            <w:tcW w:w="1953" w:type="pct"/>
            <w:shd w:val="clear" w:color="auto" w:fill="auto"/>
            <w:vAlign w:val="center"/>
          </w:tcPr>
          <w:p w14:paraId="551FEB91">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350</w:t>
            </w:r>
          </w:p>
        </w:tc>
      </w:tr>
      <w:tr w14:paraId="39FE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vMerge w:val="continue"/>
            <w:shd w:val="clear" w:color="auto" w:fill="auto"/>
            <w:vAlign w:val="center"/>
          </w:tcPr>
          <w:p w14:paraId="5492DC7C">
            <w:pPr>
              <w:adjustRightInd w:val="0"/>
              <w:snapToGrid w:val="0"/>
              <w:jc w:val="center"/>
              <w:textAlignment w:val="center"/>
              <w:rPr>
                <w:rFonts w:ascii="宋体" w:hAnsi="宋体" w:eastAsia="宋体" w:cs="Times New Roman"/>
                <w:color w:val="auto"/>
              </w:rPr>
            </w:pPr>
          </w:p>
        </w:tc>
        <w:tc>
          <w:tcPr>
            <w:tcW w:w="1094" w:type="pct"/>
            <w:vMerge w:val="continue"/>
            <w:shd w:val="clear" w:color="auto" w:fill="auto"/>
            <w:vAlign w:val="center"/>
          </w:tcPr>
          <w:p w14:paraId="21217005">
            <w:pPr>
              <w:adjustRightInd w:val="0"/>
              <w:snapToGrid w:val="0"/>
              <w:jc w:val="center"/>
              <w:textAlignment w:val="center"/>
              <w:rPr>
                <w:rFonts w:ascii="宋体" w:hAnsi="宋体" w:eastAsia="宋体" w:cs="Times New Roman"/>
                <w:color w:val="auto"/>
              </w:rPr>
            </w:pPr>
          </w:p>
        </w:tc>
        <w:tc>
          <w:tcPr>
            <w:tcW w:w="1328" w:type="pct"/>
            <w:shd w:val="clear" w:color="auto" w:fill="auto"/>
            <w:vAlign w:val="center"/>
          </w:tcPr>
          <w:p w14:paraId="1AD323AB">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其它</w:t>
            </w:r>
          </w:p>
        </w:tc>
        <w:tc>
          <w:tcPr>
            <w:tcW w:w="1953" w:type="pct"/>
            <w:shd w:val="clear" w:color="auto" w:fill="auto"/>
            <w:vAlign w:val="center"/>
          </w:tcPr>
          <w:p w14:paraId="310C2546">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250</w:t>
            </w:r>
          </w:p>
        </w:tc>
      </w:tr>
      <w:tr w14:paraId="54F4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shd w:val="clear" w:color="auto" w:fill="auto"/>
            <w:vAlign w:val="center"/>
          </w:tcPr>
          <w:p w14:paraId="7B2E1513">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6</w:t>
            </w:r>
          </w:p>
        </w:tc>
        <w:tc>
          <w:tcPr>
            <w:tcW w:w="1094" w:type="pct"/>
            <w:shd w:val="clear" w:color="auto" w:fill="auto"/>
            <w:vAlign w:val="center"/>
          </w:tcPr>
          <w:p w14:paraId="31EB80C6">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铜</w:t>
            </w:r>
          </w:p>
        </w:tc>
        <w:tc>
          <w:tcPr>
            <w:tcW w:w="1328" w:type="pct"/>
            <w:shd w:val="clear" w:color="auto" w:fill="auto"/>
            <w:vAlign w:val="center"/>
          </w:tcPr>
          <w:p w14:paraId="32B803F9">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其它</w:t>
            </w:r>
          </w:p>
        </w:tc>
        <w:tc>
          <w:tcPr>
            <w:tcW w:w="1953" w:type="pct"/>
            <w:shd w:val="clear" w:color="auto" w:fill="auto"/>
            <w:vAlign w:val="center"/>
          </w:tcPr>
          <w:p w14:paraId="587D2B57">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100</w:t>
            </w:r>
          </w:p>
        </w:tc>
      </w:tr>
      <w:tr w14:paraId="15E2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shd w:val="clear" w:color="auto" w:fill="auto"/>
            <w:vAlign w:val="center"/>
          </w:tcPr>
          <w:p w14:paraId="467EBB95">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7</w:t>
            </w:r>
          </w:p>
        </w:tc>
        <w:tc>
          <w:tcPr>
            <w:tcW w:w="2422" w:type="pct"/>
            <w:gridSpan w:val="2"/>
            <w:shd w:val="clear" w:color="auto" w:fill="auto"/>
            <w:vAlign w:val="center"/>
          </w:tcPr>
          <w:p w14:paraId="06EF16AE">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镍</w:t>
            </w:r>
          </w:p>
        </w:tc>
        <w:tc>
          <w:tcPr>
            <w:tcW w:w="1953" w:type="pct"/>
            <w:shd w:val="clear" w:color="auto" w:fill="auto"/>
            <w:vAlign w:val="center"/>
          </w:tcPr>
          <w:p w14:paraId="1D45B2A2">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190</w:t>
            </w:r>
          </w:p>
        </w:tc>
      </w:tr>
      <w:tr w14:paraId="6ABF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pct"/>
            <w:shd w:val="clear" w:color="auto" w:fill="auto"/>
            <w:vAlign w:val="center"/>
          </w:tcPr>
          <w:p w14:paraId="32D83B6A">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8</w:t>
            </w:r>
          </w:p>
        </w:tc>
        <w:tc>
          <w:tcPr>
            <w:tcW w:w="2422" w:type="pct"/>
            <w:gridSpan w:val="2"/>
            <w:shd w:val="clear" w:color="auto" w:fill="auto"/>
            <w:vAlign w:val="center"/>
          </w:tcPr>
          <w:p w14:paraId="2C6C122C">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锌</w:t>
            </w:r>
          </w:p>
        </w:tc>
        <w:tc>
          <w:tcPr>
            <w:tcW w:w="1953" w:type="pct"/>
            <w:shd w:val="clear" w:color="auto" w:fill="auto"/>
            <w:vAlign w:val="center"/>
          </w:tcPr>
          <w:p w14:paraId="4901F275">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300</w:t>
            </w:r>
          </w:p>
        </w:tc>
      </w:tr>
    </w:tbl>
    <w:p w14:paraId="48595835">
      <w:pPr>
        <w:pStyle w:val="6"/>
        <w:rPr>
          <w:color w:val="auto"/>
        </w:rPr>
      </w:pPr>
      <w:bookmarkStart w:id="346" w:name="_Toc77067633"/>
      <w:bookmarkStart w:id="347" w:name="_Toc86141909"/>
      <w:bookmarkStart w:id="348" w:name="_Toc83209446"/>
      <w:bookmarkStart w:id="349" w:name="_Toc57707893"/>
      <w:bookmarkStart w:id="350" w:name="_Toc78816434"/>
      <w:bookmarkStart w:id="351" w:name="_Toc57203223"/>
      <w:bookmarkStart w:id="352" w:name="_Toc17898138"/>
      <w:bookmarkStart w:id="353" w:name="_Toc85640726"/>
      <w:bookmarkStart w:id="354" w:name="_Toc80971351"/>
      <w:bookmarkStart w:id="355" w:name="_Toc127192314"/>
      <w:bookmarkStart w:id="356" w:name="_Toc84929202"/>
      <w:bookmarkStart w:id="357" w:name="_Toc61597195"/>
      <w:bookmarkStart w:id="358" w:name="_Toc131167265"/>
      <w:bookmarkStart w:id="359" w:name="_Toc57976648"/>
      <w:bookmarkStart w:id="360" w:name="_Toc70050149"/>
      <w:bookmarkStart w:id="361" w:name="_Toc21176"/>
      <w:bookmarkStart w:id="362" w:name="_Toc143099552"/>
      <w:bookmarkStart w:id="363" w:name="_Toc80588229"/>
      <w:bookmarkStart w:id="364" w:name="_Toc126863365"/>
      <w:bookmarkStart w:id="365" w:name="_Toc76976217"/>
      <w:bookmarkStart w:id="366" w:name="_Toc67860102"/>
      <w:r>
        <w:rPr>
          <w:color w:val="auto"/>
        </w:rPr>
        <w:t>污染物排放标准</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2699D56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废气</w:t>
      </w:r>
    </w:p>
    <w:p w14:paraId="769BA1D5">
      <w:pPr>
        <w:pStyle w:val="276"/>
        <w:widowControl w:val="0"/>
        <w:spacing w:line="440" w:lineRule="exact"/>
        <w:ind w:firstLine="480"/>
        <w:jc w:val="both"/>
        <w:rPr>
          <w:color w:val="auto"/>
          <w:kern w:val="2"/>
          <w:szCs w:val="20"/>
        </w:rPr>
      </w:pPr>
      <w:r>
        <w:rPr>
          <w:color w:val="auto"/>
          <w:kern w:val="21"/>
        </w:rPr>
        <w:t>（1）项目施工期扬尘（颗粒物）执行《大气污染物综合排放标准》（GB 16297-1996）表2中</w:t>
      </w:r>
      <w:r>
        <w:rPr>
          <w:color w:val="auto"/>
          <w:kern w:val="21"/>
          <w:lang w:bidi="zh-CN"/>
        </w:rPr>
        <w:t>无组织排放监控浓度限值</w:t>
      </w:r>
      <w:r>
        <w:rPr>
          <w:color w:val="auto"/>
          <w:kern w:val="21"/>
        </w:rPr>
        <w:t>，见</w:t>
      </w:r>
      <w:r>
        <w:rPr>
          <w:color w:val="auto"/>
          <w:kern w:val="2"/>
          <w:szCs w:val="20"/>
        </w:rPr>
        <w:t>表2.5-7；</w:t>
      </w:r>
    </w:p>
    <w:p w14:paraId="4B9C600A">
      <w:pPr>
        <w:pStyle w:val="276"/>
        <w:widowControl w:val="0"/>
        <w:spacing w:line="440" w:lineRule="exact"/>
        <w:ind w:firstLine="480"/>
        <w:jc w:val="both"/>
        <w:rPr>
          <w:color w:val="auto"/>
        </w:rPr>
      </w:pPr>
      <w:r>
        <w:rPr>
          <w:color w:val="auto"/>
          <w:kern w:val="2"/>
          <w:szCs w:val="20"/>
        </w:rPr>
        <w:t>（2）施工期井场试油、</w:t>
      </w:r>
      <w:r>
        <w:rPr>
          <w:rFonts w:hint="eastAsia"/>
          <w:color w:val="auto"/>
          <w:kern w:val="2"/>
          <w:szCs w:val="20"/>
        </w:rPr>
        <w:t>运营期</w:t>
      </w:r>
      <w:r>
        <w:rPr>
          <w:color w:val="auto"/>
        </w:rPr>
        <w:t>井场、拉油点、依托场站排放的VOCs（以非甲烷总烃计）执行</w:t>
      </w:r>
      <w:r>
        <w:rPr>
          <w:snapToGrid w:val="0"/>
          <w:color w:val="auto"/>
        </w:rPr>
        <w:t>《陆上石油天然气开采工业大气污染物排放标准》</w:t>
      </w:r>
      <w:r>
        <w:rPr>
          <w:color w:val="auto"/>
        </w:rPr>
        <w:t>（GB39728-2020）5.9中规定要求</w:t>
      </w:r>
      <w:r>
        <w:rPr>
          <w:color w:val="auto"/>
          <w:kern w:val="21"/>
        </w:rPr>
        <w:t>，见</w:t>
      </w:r>
      <w:r>
        <w:rPr>
          <w:color w:val="auto"/>
          <w:kern w:val="2"/>
          <w:szCs w:val="20"/>
        </w:rPr>
        <w:t>表2.5-8</w:t>
      </w:r>
      <w:r>
        <w:rPr>
          <w:color w:val="auto"/>
        </w:rPr>
        <w:t>；</w:t>
      </w:r>
    </w:p>
    <w:p w14:paraId="491D3C9E">
      <w:pPr>
        <w:pStyle w:val="276"/>
        <w:widowControl w:val="0"/>
        <w:spacing w:line="440" w:lineRule="exact"/>
        <w:ind w:firstLine="480"/>
        <w:jc w:val="both"/>
        <w:rPr>
          <w:color w:val="auto"/>
          <w:kern w:val="2"/>
          <w:szCs w:val="20"/>
        </w:rPr>
      </w:pPr>
      <w:r>
        <w:rPr>
          <w:color w:val="auto"/>
        </w:rPr>
        <w:t>（3）依托场站排放的VOCs（以非甲烷总烃计）厂区内执行</w:t>
      </w:r>
      <w:r>
        <w:rPr>
          <w:snapToGrid w:val="0"/>
          <w:color w:val="auto"/>
        </w:rPr>
        <w:t>《挥发性有机物无组织排放控制标准》</w:t>
      </w:r>
      <w:r>
        <w:rPr>
          <w:color w:val="auto"/>
        </w:rPr>
        <w:t>（GB 37822-2019）附录A 中VOCs 无组织排放限值要求，</w:t>
      </w:r>
      <w:r>
        <w:rPr>
          <w:color w:val="auto"/>
          <w:kern w:val="21"/>
        </w:rPr>
        <w:t>见</w:t>
      </w:r>
      <w:r>
        <w:rPr>
          <w:color w:val="auto"/>
          <w:kern w:val="2"/>
          <w:szCs w:val="20"/>
        </w:rPr>
        <w:t>表2.5-9。</w:t>
      </w:r>
    </w:p>
    <w:p w14:paraId="01AB6334">
      <w:pPr>
        <w:pStyle w:val="276"/>
        <w:widowControl w:val="0"/>
        <w:spacing w:line="440" w:lineRule="exact"/>
        <w:ind w:firstLine="480"/>
        <w:jc w:val="both"/>
        <w:rPr>
          <w:color w:val="auto"/>
          <w:kern w:val="2"/>
        </w:rPr>
      </w:pPr>
      <w:r>
        <w:rPr>
          <w:color w:val="auto"/>
          <w:kern w:val="2"/>
          <w:szCs w:val="20"/>
        </w:rPr>
        <w:t>（4）本项目不在重点地区，</w:t>
      </w:r>
      <w:r>
        <w:rPr>
          <w:color w:val="auto"/>
          <w:kern w:val="2"/>
        </w:rPr>
        <w:t>运营期</w:t>
      </w:r>
      <w:r>
        <w:rPr>
          <w:color w:val="auto"/>
          <w:kern w:val="2"/>
          <w:szCs w:val="20"/>
        </w:rPr>
        <w:t>拉油点储罐加热装置（窑炉）采用清洁能源天然气，采用低氮燃烧器，排放的烟（粉）尘和烟气黑度经15m高排气筒排放，满足《工业炉窑大气污染物排放标准》（GB9078-1996）表2中的二级标准，拉油点储罐加热装置（窑炉）无组织排放烟（粉）尘最高允许排放浓度执行</w:t>
      </w:r>
      <w:r>
        <w:rPr>
          <w:snapToGrid w:val="0"/>
          <w:color w:val="auto"/>
        </w:rPr>
        <w:t>《工业炉窑大气污染物排放标准》</w:t>
      </w:r>
      <w:r>
        <w:rPr>
          <w:color w:val="auto"/>
          <w:kern w:val="2"/>
          <w:szCs w:val="20"/>
        </w:rPr>
        <w:t>（GB9078-1996）表3规定；</w:t>
      </w:r>
      <w:r>
        <w:rPr>
          <w:color w:val="auto"/>
          <w:kern w:val="2"/>
        </w:rPr>
        <w:t>依托场站朝二联合站等场站站内加热装置采用低氮燃烧器，排放的烟气执行《锅炉大气污染物排放标准》（GB13271-2014）表2中新建燃气锅炉标准限值，具体见表2.5-10～表2.5-12。</w:t>
      </w:r>
    </w:p>
    <w:p w14:paraId="2709614A">
      <w:pPr>
        <w:pStyle w:val="22"/>
        <w:spacing w:before="156"/>
        <w:rPr>
          <w:rFonts w:hAnsi="宋体" w:cs="Times New Roman"/>
          <w:color w:val="auto"/>
          <w:kern w:val="21"/>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7</w:t>
      </w:r>
      <w:r>
        <w:rPr>
          <w:color w:val="auto"/>
        </w:rPr>
        <w:fldChar w:fldCharType="end"/>
      </w:r>
      <w:r>
        <w:rPr>
          <w:rFonts w:hAnsi="宋体" w:cs="Times New Roman"/>
          <w:color w:val="auto"/>
          <w:kern w:val="21"/>
        </w:rPr>
        <w:t xml:space="preserve">  大气污染物综合排放标准    单位：mg/m</w:t>
      </w:r>
      <w:r>
        <w:rPr>
          <w:rFonts w:hAnsi="宋体" w:cs="Times New Roman"/>
          <w:color w:val="auto"/>
          <w:kern w:val="21"/>
          <w:vertAlign w:val="superscript"/>
        </w:rPr>
        <w:t>3</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4"/>
        <w:gridCol w:w="3035"/>
        <w:gridCol w:w="3297"/>
      </w:tblGrid>
      <w:tr w14:paraId="3116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Merge w:val="restart"/>
            <w:shd w:val="clear" w:color="auto" w:fill="auto"/>
            <w:vAlign w:val="center"/>
          </w:tcPr>
          <w:p w14:paraId="2DE60B7C">
            <w:pPr>
              <w:tabs>
                <w:tab w:val="left" w:pos="5262"/>
              </w:tabs>
              <w:jc w:val="center"/>
              <w:rPr>
                <w:rFonts w:ascii="宋体" w:hAnsi="宋体" w:eastAsia="宋体" w:cs="Times New Roman"/>
                <w:color w:val="auto"/>
                <w:kern w:val="21"/>
              </w:rPr>
            </w:pPr>
            <w:r>
              <w:rPr>
                <w:rFonts w:ascii="宋体" w:hAnsi="宋体" w:eastAsia="宋体" w:cs="Times New Roman"/>
                <w:color w:val="auto"/>
                <w:kern w:val="21"/>
              </w:rPr>
              <w:t>污染物</w:t>
            </w:r>
          </w:p>
        </w:tc>
        <w:tc>
          <w:tcPr>
            <w:tcW w:w="3409" w:type="pct"/>
            <w:gridSpan w:val="2"/>
            <w:shd w:val="clear" w:color="auto" w:fill="auto"/>
            <w:vAlign w:val="center"/>
          </w:tcPr>
          <w:p w14:paraId="6D5355FB">
            <w:pPr>
              <w:tabs>
                <w:tab w:val="left" w:pos="5262"/>
              </w:tabs>
              <w:jc w:val="center"/>
              <w:rPr>
                <w:rFonts w:ascii="宋体" w:hAnsi="宋体" w:eastAsia="宋体" w:cs="Times New Roman"/>
                <w:color w:val="auto"/>
                <w:kern w:val="21"/>
              </w:rPr>
            </w:pPr>
            <w:r>
              <w:rPr>
                <w:rFonts w:ascii="宋体" w:hAnsi="宋体" w:eastAsia="宋体" w:cs="Times New Roman"/>
                <w:color w:val="auto"/>
                <w:kern w:val="21"/>
              </w:rPr>
              <w:t>无组织排放监控浓度限值</w:t>
            </w:r>
          </w:p>
        </w:tc>
      </w:tr>
      <w:tr w14:paraId="7774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Merge w:val="continue"/>
            <w:shd w:val="clear" w:color="auto" w:fill="auto"/>
            <w:vAlign w:val="center"/>
          </w:tcPr>
          <w:p w14:paraId="4615780F">
            <w:pPr>
              <w:tabs>
                <w:tab w:val="left" w:pos="5262"/>
              </w:tabs>
              <w:jc w:val="center"/>
              <w:rPr>
                <w:rFonts w:ascii="宋体" w:hAnsi="宋体" w:eastAsia="宋体" w:cs="Times New Roman"/>
                <w:color w:val="auto"/>
                <w:kern w:val="21"/>
              </w:rPr>
            </w:pPr>
          </w:p>
        </w:tc>
        <w:tc>
          <w:tcPr>
            <w:tcW w:w="1634" w:type="pct"/>
            <w:shd w:val="clear" w:color="auto" w:fill="auto"/>
            <w:vAlign w:val="center"/>
          </w:tcPr>
          <w:p w14:paraId="40ABA839">
            <w:pPr>
              <w:tabs>
                <w:tab w:val="left" w:pos="5262"/>
              </w:tabs>
              <w:jc w:val="center"/>
              <w:rPr>
                <w:rFonts w:ascii="宋体" w:hAnsi="宋体" w:eastAsia="宋体" w:cs="Times New Roman"/>
                <w:color w:val="auto"/>
                <w:kern w:val="21"/>
              </w:rPr>
            </w:pPr>
            <w:r>
              <w:rPr>
                <w:rFonts w:ascii="宋体" w:hAnsi="宋体" w:eastAsia="宋体" w:cs="Times New Roman"/>
                <w:color w:val="auto"/>
                <w:kern w:val="21"/>
              </w:rPr>
              <w:t>监控点</w:t>
            </w:r>
          </w:p>
        </w:tc>
        <w:tc>
          <w:tcPr>
            <w:tcW w:w="1775" w:type="pct"/>
            <w:shd w:val="clear" w:color="auto" w:fill="auto"/>
            <w:vAlign w:val="center"/>
          </w:tcPr>
          <w:p w14:paraId="14616535">
            <w:pPr>
              <w:tabs>
                <w:tab w:val="left" w:pos="5262"/>
              </w:tabs>
              <w:jc w:val="center"/>
              <w:rPr>
                <w:rFonts w:ascii="宋体" w:hAnsi="宋体" w:eastAsia="宋体" w:cs="Times New Roman"/>
                <w:color w:val="auto"/>
                <w:kern w:val="21"/>
              </w:rPr>
            </w:pPr>
            <w:r>
              <w:rPr>
                <w:rFonts w:ascii="宋体" w:hAnsi="宋体" w:eastAsia="宋体" w:cs="Times New Roman"/>
                <w:color w:val="auto"/>
                <w:kern w:val="21"/>
              </w:rPr>
              <w:t>浓度</w:t>
            </w:r>
          </w:p>
        </w:tc>
      </w:tr>
      <w:tr w14:paraId="518D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shd w:val="clear" w:color="auto" w:fill="auto"/>
            <w:vAlign w:val="center"/>
          </w:tcPr>
          <w:p w14:paraId="44F59983">
            <w:pPr>
              <w:tabs>
                <w:tab w:val="left" w:pos="5262"/>
              </w:tabs>
              <w:jc w:val="center"/>
              <w:rPr>
                <w:rFonts w:ascii="宋体" w:hAnsi="宋体" w:eastAsia="宋体" w:cs="Times New Roman"/>
                <w:color w:val="auto"/>
                <w:kern w:val="21"/>
              </w:rPr>
            </w:pPr>
            <w:r>
              <w:rPr>
                <w:rFonts w:ascii="宋体" w:hAnsi="宋体" w:eastAsia="宋体" w:cs="Times New Roman"/>
                <w:color w:val="auto"/>
                <w:kern w:val="21"/>
              </w:rPr>
              <w:t>颗粒物</w:t>
            </w:r>
          </w:p>
        </w:tc>
        <w:tc>
          <w:tcPr>
            <w:tcW w:w="1634" w:type="pct"/>
            <w:shd w:val="clear" w:color="auto" w:fill="auto"/>
            <w:vAlign w:val="center"/>
          </w:tcPr>
          <w:p w14:paraId="1D0F068A">
            <w:pPr>
              <w:tabs>
                <w:tab w:val="left" w:pos="5262"/>
              </w:tabs>
              <w:jc w:val="center"/>
              <w:rPr>
                <w:rFonts w:ascii="宋体" w:hAnsi="宋体" w:eastAsia="宋体" w:cs="Times New Roman"/>
                <w:color w:val="auto"/>
                <w:kern w:val="21"/>
              </w:rPr>
            </w:pPr>
            <w:r>
              <w:rPr>
                <w:rFonts w:ascii="宋体" w:hAnsi="宋体" w:eastAsia="宋体" w:cs="Times New Roman"/>
                <w:color w:val="auto"/>
                <w:kern w:val="21"/>
              </w:rPr>
              <w:t>周界外浓度最高点</w:t>
            </w:r>
          </w:p>
        </w:tc>
        <w:tc>
          <w:tcPr>
            <w:tcW w:w="1775" w:type="pct"/>
            <w:shd w:val="clear" w:color="auto" w:fill="auto"/>
            <w:vAlign w:val="center"/>
          </w:tcPr>
          <w:p w14:paraId="647AAEB4">
            <w:pPr>
              <w:tabs>
                <w:tab w:val="left" w:pos="5262"/>
              </w:tabs>
              <w:jc w:val="center"/>
              <w:rPr>
                <w:rFonts w:ascii="宋体" w:hAnsi="宋体" w:eastAsia="宋体" w:cs="Times New Roman"/>
                <w:color w:val="auto"/>
                <w:kern w:val="21"/>
              </w:rPr>
            </w:pPr>
            <w:r>
              <w:rPr>
                <w:rFonts w:ascii="宋体" w:hAnsi="宋体" w:eastAsia="宋体" w:cs="Times New Roman"/>
                <w:color w:val="auto"/>
                <w:kern w:val="21"/>
              </w:rPr>
              <w:t>1.0</w:t>
            </w:r>
          </w:p>
        </w:tc>
      </w:tr>
    </w:tbl>
    <w:p w14:paraId="2B9F22FC">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8</w:t>
      </w:r>
      <w:r>
        <w:rPr>
          <w:color w:val="auto"/>
        </w:rPr>
        <w:fldChar w:fldCharType="end"/>
      </w:r>
      <w:r>
        <w:rPr>
          <w:rFonts w:hAnsi="宋体" w:cs="Times New Roman"/>
          <w:color w:val="auto"/>
        </w:rPr>
        <w:t xml:space="preserve">  陆上石油天然气开采工业大气污染物排放标准</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6450"/>
      </w:tblGrid>
      <w:tr w14:paraId="7A17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7" w:type="pct"/>
            <w:shd w:val="clear" w:color="auto" w:fill="auto"/>
            <w:vAlign w:val="center"/>
          </w:tcPr>
          <w:p w14:paraId="130DEDCC">
            <w:pPr>
              <w:snapToGrid w:val="0"/>
              <w:jc w:val="center"/>
              <w:rPr>
                <w:rFonts w:ascii="宋体" w:hAnsi="宋体" w:eastAsia="宋体" w:cs="Times New Roman"/>
                <w:color w:val="auto"/>
              </w:rPr>
            </w:pPr>
            <w:r>
              <w:rPr>
                <w:rFonts w:ascii="宋体" w:hAnsi="宋体" w:eastAsia="宋体" w:cs="Times New Roman"/>
                <w:color w:val="auto"/>
              </w:rPr>
              <w:t>标准</w:t>
            </w:r>
          </w:p>
        </w:tc>
        <w:tc>
          <w:tcPr>
            <w:tcW w:w="3473" w:type="pct"/>
            <w:shd w:val="clear" w:color="auto" w:fill="auto"/>
            <w:vAlign w:val="center"/>
          </w:tcPr>
          <w:p w14:paraId="18687331">
            <w:pPr>
              <w:snapToGrid w:val="0"/>
              <w:jc w:val="center"/>
              <w:rPr>
                <w:rFonts w:ascii="宋体" w:hAnsi="宋体" w:eastAsia="宋体" w:cs="Times New Roman"/>
                <w:color w:val="auto"/>
              </w:rPr>
            </w:pPr>
            <w:r>
              <w:rPr>
                <w:rFonts w:ascii="宋体" w:hAnsi="宋体" w:eastAsia="宋体" w:cs="Times New Roman"/>
                <w:color w:val="auto"/>
              </w:rPr>
              <w:t>规定要求</w:t>
            </w:r>
          </w:p>
        </w:tc>
      </w:tr>
      <w:tr w14:paraId="581F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7" w:type="pct"/>
            <w:shd w:val="clear" w:color="auto" w:fill="auto"/>
            <w:vAlign w:val="center"/>
          </w:tcPr>
          <w:p w14:paraId="03294E95">
            <w:pPr>
              <w:snapToGrid w:val="0"/>
              <w:jc w:val="center"/>
              <w:rPr>
                <w:rFonts w:ascii="宋体" w:hAnsi="宋体" w:eastAsia="宋体" w:cs="Times New Roman"/>
                <w:color w:val="auto"/>
              </w:rPr>
            </w:pPr>
            <w:r>
              <w:rPr>
                <w:rFonts w:ascii="宋体" w:hAnsi="宋体" w:eastAsia="宋体" w:cs="Times New Roman"/>
                <w:color w:val="auto"/>
              </w:rPr>
              <w:t>《陆上石油天然气开采工业大气污染物排放标准》（GB39728-2020）</w:t>
            </w:r>
          </w:p>
        </w:tc>
        <w:tc>
          <w:tcPr>
            <w:tcW w:w="3473" w:type="pct"/>
            <w:shd w:val="clear" w:color="auto" w:fill="auto"/>
            <w:vAlign w:val="center"/>
          </w:tcPr>
          <w:p w14:paraId="62B86C4A">
            <w:pPr>
              <w:snapToGrid w:val="0"/>
              <w:jc w:val="center"/>
              <w:rPr>
                <w:rFonts w:ascii="宋体" w:hAnsi="宋体" w:eastAsia="宋体" w:cs="Times New Roman"/>
                <w:color w:val="auto"/>
              </w:rPr>
            </w:pPr>
            <w:r>
              <w:rPr>
                <w:rFonts w:ascii="宋体" w:hAnsi="宋体" w:eastAsia="宋体" w:cs="Times New Roman"/>
                <w:color w:val="auto"/>
              </w:rPr>
              <w:t>油气集中处理站、涉及凝析油或天然气凝液的天然气处理厂、储油库边界非甲烷总烃浓度不应超过4.0 mg/m</w:t>
            </w:r>
            <w:r>
              <w:rPr>
                <w:rFonts w:ascii="宋体" w:hAnsi="宋体" w:eastAsia="宋体" w:cs="Times New Roman"/>
                <w:color w:val="auto"/>
                <w:vertAlign w:val="superscript"/>
              </w:rPr>
              <w:t>3</w:t>
            </w:r>
            <w:r>
              <w:rPr>
                <w:rFonts w:ascii="宋体" w:hAnsi="宋体" w:eastAsia="宋体" w:cs="Times New Roman"/>
                <w:color w:val="auto"/>
              </w:rPr>
              <w:t>。</w:t>
            </w:r>
          </w:p>
        </w:tc>
      </w:tr>
    </w:tbl>
    <w:p w14:paraId="413FA425">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9</w:t>
      </w:r>
      <w:r>
        <w:rPr>
          <w:color w:val="auto"/>
        </w:rPr>
        <w:fldChar w:fldCharType="end"/>
      </w:r>
      <w:r>
        <w:rPr>
          <w:rFonts w:hAnsi="宋体" w:cs="Times New Roman"/>
          <w:color w:val="auto"/>
        </w:rPr>
        <w:t xml:space="preserve">  场站内非甲烷总烃排放浓度限值    单位：mg/m</w:t>
      </w:r>
      <w:r>
        <w:rPr>
          <w:rFonts w:hAnsi="宋体" w:cs="Times New Roman"/>
          <w:color w:val="auto"/>
          <w:vertAlign w:val="superscript"/>
        </w:rPr>
        <w:t>3</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1463"/>
        <w:gridCol w:w="3573"/>
        <w:gridCol w:w="2172"/>
      </w:tblGrid>
      <w:tr w14:paraId="4315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shd w:val="clear" w:color="auto" w:fill="auto"/>
            <w:vAlign w:val="center"/>
          </w:tcPr>
          <w:p w14:paraId="418907AB">
            <w:pPr>
              <w:snapToGrid w:val="0"/>
              <w:jc w:val="center"/>
              <w:rPr>
                <w:rFonts w:ascii="宋体" w:hAnsi="宋体" w:eastAsia="宋体" w:cs="Times New Roman"/>
                <w:color w:val="auto"/>
              </w:rPr>
            </w:pPr>
            <w:r>
              <w:rPr>
                <w:rFonts w:ascii="宋体" w:hAnsi="宋体" w:eastAsia="宋体" w:cs="Times New Roman"/>
                <w:color w:val="auto"/>
              </w:rPr>
              <w:t>污染物项目</w:t>
            </w:r>
          </w:p>
        </w:tc>
        <w:tc>
          <w:tcPr>
            <w:tcW w:w="788" w:type="pct"/>
            <w:shd w:val="clear" w:color="auto" w:fill="auto"/>
            <w:vAlign w:val="center"/>
          </w:tcPr>
          <w:p w14:paraId="40F7F7FF">
            <w:pPr>
              <w:snapToGrid w:val="0"/>
              <w:jc w:val="center"/>
              <w:rPr>
                <w:rFonts w:ascii="宋体" w:hAnsi="宋体" w:eastAsia="宋体" w:cs="Times New Roman"/>
                <w:color w:val="auto"/>
              </w:rPr>
            </w:pPr>
            <w:r>
              <w:rPr>
                <w:rFonts w:ascii="宋体" w:hAnsi="宋体" w:eastAsia="宋体" w:cs="Times New Roman"/>
                <w:color w:val="auto"/>
              </w:rPr>
              <w:t>排放限值</w:t>
            </w:r>
          </w:p>
        </w:tc>
        <w:tc>
          <w:tcPr>
            <w:tcW w:w="1924" w:type="pct"/>
            <w:shd w:val="clear" w:color="auto" w:fill="auto"/>
            <w:vAlign w:val="center"/>
          </w:tcPr>
          <w:p w14:paraId="03F1D96B">
            <w:pPr>
              <w:snapToGrid w:val="0"/>
              <w:jc w:val="center"/>
              <w:rPr>
                <w:rFonts w:ascii="宋体" w:hAnsi="宋体" w:eastAsia="宋体" w:cs="Times New Roman"/>
                <w:color w:val="auto"/>
              </w:rPr>
            </w:pPr>
            <w:r>
              <w:rPr>
                <w:rFonts w:ascii="宋体" w:hAnsi="宋体" w:eastAsia="宋体" w:cs="Times New Roman"/>
                <w:color w:val="auto"/>
              </w:rPr>
              <w:t>限值含义</w:t>
            </w:r>
          </w:p>
        </w:tc>
        <w:tc>
          <w:tcPr>
            <w:tcW w:w="1169" w:type="pct"/>
            <w:shd w:val="clear" w:color="auto" w:fill="auto"/>
            <w:vAlign w:val="center"/>
          </w:tcPr>
          <w:p w14:paraId="702E80EF">
            <w:pPr>
              <w:snapToGrid w:val="0"/>
              <w:jc w:val="center"/>
              <w:rPr>
                <w:rFonts w:ascii="宋体" w:hAnsi="宋体" w:eastAsia="宋体" w:cs="Times New Roman"/>
                <w:color w:val="auto"/>
              </w:rPr>
            </w:pPr>
            <w:r>
              <w:rPr>
                <w:rFonts w:ascii="宋体" w:hAnsi="宋体" w:eastAsia="宋体" w:cs="Times New Roman"/>
                <w:color w:val="auto"/>
              </w:rPr>
              <w:t>无组织排放监控位置</w:t>
            </w:r>
          </w:p>
        </w:tc>
      </w:tr>
      <w:tr w14:paraId="6C19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119" w:type="pct"/>
            <w:vMerge w:val="restart"/>
            <w:shd w:val="clear" w:color="auto" w:fill="auto"/>
            <w:vAlign w:val="center"/>
          </w:tcPr>
          <w:p w14:paraId="23DDCAC6">
            <w:pPr>
              <w:snapToGrid w:val="0"/>
              <w:jc w:val="center"/>
              <w:rPr>
                <w:rFonts w:ascii="宋体" w:hAnsi="宋体" w:eastAsia="宋体" w:cs="Times New Roman"/>
                <w:color w:val="auto"/>
              </w:rPr>
            </w:pPr>
            <w:r>
              <w:rPr>
                <w:rFonts w:ascii="宋体" w:hAnsi="宋体" w:eastAsia="宋体" w:cs="Times New Roman"/>
                <w:color w:val="auto"/>
              </w:rPr>
              <w:t>非甲烷总烃</w:t>
            </w:r>
          </w:p>
        </w:tc>
        <w:tc>
          <w:tcPr>
            <w:tcW w:w="788" w:type="pct"/>
            <w:shd w:val="clear" w:color="auto" w:fill="auto"/>
            <w:vAlign w:val="center"/>
          </w:tcPr>
          <w:p w14:paraId="0EB8DDCE">
            <w:pPr>
              <w:snapToGrid w:val="0"/>
              <w:jc w:val="center"/>
              <w:rPr>
                <w:rFonts w:ascii="宋体" w:hAnsi="宋体" w:eastAsia="宋体" w:cs="Times New Roman"/>
                <w:color w:val="auto"/>
              </w:rPr>
            </w:pPr>
            <w:r>
              <w:rPr>
                <w:rFonts w:ascii="宋体" w:hAnsi="宋体" w:eastAsia="宋体" w:cs="Times New Roman"/>
                <w:color w:val="auto"/>
              </w:rPr>
              <w:t>10</w:t>
            </w:r>
          </w:p>
        </w:tc>
        <w:tc>
          <w:tcPr>
            <w:tcW w:w="1924" w:type="pct"/>
            <w:shd w:val="clear" w:color="auto" w:fill="auto"/>
            <w:vAlign w:val="center"/>
          </w:tcPr>
          <w:p w14:paraId="6521F370">
            <w:pPr>
              <w:snapToGrid w:val="0"/>
              <w:jc w:val="center"/>
              <w:rPr>
                <w:rFonts w:ascii="宋体" w:hAnsi="宋体" w:eastAsia="宋体" w:cs="Times New Roman"/>
                <w:color w:val="auto"/>
              </w:rPr>
            </w:pPr>
            <w:r>
              <w:rPr>
                <w:rFonts w:ascii="宋体" w:hAnsi="宋体" w:eastAsia="宋体" w:cs="Times New Roman"/>
                <w:color w:val="auto"/>
              </w:rPr>
              <w:t>监控点处 1 h 平均浓度值</w:t>
            </w:r>
          </w:p>
        </w:tc>
        <w:tc>
          <w:tcPr>
            <w:tcW w:w="1169" w:type="pct"/>
            <w:vMerge w:val="restart"/>
            <w:shd w:val="clear" w:color="auto" w:fill="auto"/>
            <w:vAlign w:val="center"/>
          </w:tcPr>
          <w:p w14:paraId="6284F417">
            <w:pPr>
              <w:snapToGrid w:val="0"/>
              <w:jc w:val="center"/>
              <w:rPr>
                <w:rFonts w:ascii="宋体" w:hAnsi="宋体" w:eastAsia="宋体" w:cs="Times New Roman"/>
                <w:color w:val="auto"/>
              </w:rPr>
            </w:pPr>
            <w:r>
              <w:rPr>
                <w:rFonts w:ascii="宋体" w:hAnsi="宋体" w:eastAsia="宋体" w:cs="Times New Roman"/>
                <w:color w:val="auto"/>
              </w:rPr>
              <w:t>在厂房外设置</w:t>
            </w:r>
          </w:p>
          <w:p w14:paraId="2194FF7B">
            <w:pPr>
              <w:snapToGrid w:val="0"/>
              <w:jc w:val="center"/>
              <w:rPr>
                <w:rFonts w:ascii="宋体" w:hAnsi="宋体" w:eastAsia="宋体" w:cs="Times New Roman"/>
                <w:color w:val="auto"/>
              </w:rPr>
            </w:pPr>
            <w:r>
              <w:rPr>
                <w:rFonts w:ascii="宋体" w:hAnsi="宋体" w:eastAsia="宋体" w:cs="Times New Roman"/>
                <w:color w:val="auto"/>
              </w:rPr>
              <w:t>监控点</w:t>
            </w:r>
          </w:p>
        </w:tc>
      </w:tr>
      <w:tr w14:paraId="3056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vMerge w:val="continue"/>
            <w:shd w:val="clear" w:color="auto" w:fill="auto"/>
            <w:vAlign w:val="center"/>
          </w:tcPr>
          <w:p w14:paraId="38846FD4">
            <w:pPr>
              <w:snapToGrid w:val="0"/>
              <w:jc w:val="center"/>
              <w:rPr>
                <w:rFonts w:ascii="宋体" w:hAnsi="宋体" w:eastAsia="宋体" w:cs="Times New Roman"/>
                <w:color w:val="auto"/>
              </w:rPr>
            </w:pPr>
          </w:p>
        </w:tc>
        <w:tc>
          <w:tcPr>
            <w:tcW w:w="788" w:type="pct"/>
            <w:shd w:val="clear" w:color="auto" w:fill="auto"/>
            <w:vAlign w:val="center"/>
          </w:tcPr>
          <w:p w14:paraId="4BC2E604">
            <w:pPr>
              <w:snapToGrid w:val="0"/>
              <w:jc w:val="center"/>
              <w:rPr>
                <w:rFonts w:ascii="宋体" w:hAnsi="宋体" w:eastAsia="宋体" w:cs="Times New Roman"/>
                <w:color w:val="auto"/>
              </w:rPr>
            </w:pPr>
            <w:r>
              <w:rPr>
                <w:rFonts w:ascii="宋体" w:hAnsi="宋体" w:eastAsia="宋体" w:cs="Times New Roman"/>
                <w:color w:val="auto"/>
              </w:rPr>
              <w:t>30</w:t>
            </w:r>
          </w:p>
        </w:tc>
        <w:tc>
          <w:tcPr>
            <w:tcW w:w="1924" w:type="pct"/>
            <w:shd w:val="clear" w:color="auto" w:fill="auto"/>
            <w:vAlign w:val="center"/>
          </w:tcPr>
          <w:p w14:paraId="0EFF04AB">
            <w:pPr>
              <w:snapToGrid w:val="0"/>
              <w:jc w:val="center"/>
              <w:rPr>
                <w:rFonts w:ascii="宋体" w:hAnsi="宋体" w:eastAsia="宋体" w:cs="Times New Roman"/>
                <w:color w:val="auto"/>
              </w:rPr>
            </w:pPr>
            <w:r>
              <w:rPr>
                <w:rFonts w:ascii="宋体" w:hAnsi="宋体" w:eastAsia="宋体" w:cs="Times New Roman"/>
                <w:color w:val="auto"/>
              </w:rPr>
              <w:t>监控点处任意一次浓度值</w:t>
            </w:r>
          </w:p>
        </w:tc>
        <w:tc>
          <w:tcPr>
            <w:tcW w:w="1169" w:type="pct"/>
            <w:vMerge w:val="continue"/>
            <w:shd w:val="clear" w:color="auto" w:fill="auto"/>
            <w:vAlign w:val="center"/>
          </w:tcPr>
          <w:p w14:paraId="6862C619">
            <w:pPr>
              <w:snapToGrid w:val="0"/>
              <w:jc w:val="center"/>
              <w:rPr>
                <w:rFonts w:ascii="宋体" w:hAnsi="宋体" w:eastAsia="宋体" w:cs="Times New Roman"/>
                <w:color w:val="auto"/>
              </w:rPr>
            </w:pPr>
          </w:p>
        </w:tc>
      </w:tr>
    </w:tbl>
    <w:p w14:paraId="0365F332">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10</w:t>
      </w:r>
      <w:r>
        <w:rPr>
          <w:color w:val="auto"/>
        </w:rPr>
        <w:fldChar w:fldCharType="end"/>
      </w:r>
      <w:r>
        <w:rPr>
          <w:rFonts w:hAnsi="宋体" w:cs="Times New Roman"/>
          <w:color w:val="auto"/>
        </w:rPr>
        <w:t>工业炉窑大气污染物排放标准    单位：mg/m</w:t>
      </w:r>
      <w:r>
        <w:rPr>
          <w:rFonts w:hAnsi="宋体" w:cs="Times New Roman"/>
          <w:color w:val="auto"/>
          <w:vertAlign w:val="superscript"/>
        </w:rPr>
        <w:t>3</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2710"/>
        <w:gridCol w:w="1731"/>
        <w:gridCol w:w="3395"/>
      </w:tblGrid>
      <w:tr w14:paraId="442F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shd w:val="clear" w:color="auto" w:fill="auto"/>
            <w:vAlign w:val="center"/>
          </w:tcPr>
          <w:p w14:paraId="792F6588">
            <w:pPr>
              <w:snapToGrid w:val="0"/>
              <w:jc w:val="center"/>
              <w:rPr>
                <w:rFonts w:ascii="宋体" w:hAnsi="宋体" w:eastAsia="宋体" w:cs="Times New Roman"/>
                <w:color w:val="auto"/>
              </w:rPr>
            </w:pPr>
            <w:r>
              <w:rPr>
                <w:rFonts w:ascii="宋体" w:hAnsi="宋体" w:eastAsia="宋体" w:cs="Times New Roman"/>
                <w:color w:val="auto"/>
              </w:rPr>
              <w:t>标准</w:t>
            </w:r>
          </w:p>
        </w:tc>
        <w:tc>
          <w:tcPr>
            <w:tcW w:w="1459" w:type="pct"/>
            <w:shd w:val="clear" w:color="auto" w:fill="auto"/>
            <w:vAlign w:val="center"/>
          </w:tcPr>
          <w:p w14:paraId="2A56FE3B">
            <w:pPr>
              <w:snapToGrid w:val="0"/>
              <w:jc w:val="center"/>
              <w:rPr>
                <w:rFonts w:ascii="宋体" w:hAnsi="宋体" w:eastAsia="宋体" w:cs="Times New Roman"/>
                <w:color w:val="auto"/>
              </w:rPr>
            </w:pPr>
            <w:r>
              <w:rPr>
                <w:rFonts w:ascii="宋体" w:hAnsi="宋体" w:eastAsia="宋体" w:cs="Times New Roman"/>
                <w:color w:val="auto"/>
              </w:rPr>
              <w:t>炉窑类别</w:t>
            </w:r>
          </w:p>
        </w:tc>
        <w:tc>
          <w:tcPr>
            <w:tcW w:w="932" w:type="pct"/>
            <w:shd w:val="clear" w:color="auto" w:fill="auto"/>
            <w:vAlign w:val="center"/>
          </w:tcPr>
          <w:p w14:paraId="6663DF98">
            <w:pPr>
              <w:snapToGrid w:val="0"/>
              <w:jc w:val="center"/>
              <w:rPr>
                <w:rFonts w:ascii="宋体" w:hAnsi="宋体" w:eastAsia="宋体" w:cs="Times New Roman"/>
                <w:color w:val="auto"/>
              </w:rPr>
            </w:pPr>
            <w:r>
              <w:rPr>
                <w:rFonts w:ascii="宋体" w:hAnsi="宋体" w:eastAsia="宋体" w:cs="Times New Roman"/>
                <w:color w:val="auto"/>
              </w:rPr>
              <w:t>烟（粉）尘</w:t>
            </w:r>
          </w:p>
        </w:tc>
        <w:tc>
          <w:tcPr>
            <w:tcW w:w="1828" w:type="pct"/>
            <w:shd w:val="clear" w:color="auto" w:fill="auto"/>
            <w:vAlign w:val="center"/>
          </w:tcPr>
          <w:p w14:paraId="2085B2F9">
            <w:pPr>
              <w:snapToGrid w:val="0"/>
              <w:jc w:val="center"/>
              <w:rPr>
                <w:rFonts w:ascii="宋体" w:hAnsi="宋体" w:eastAsia="宋体" w:cs="Times New Roman"/>
                <w:color w:val="auto"/>
              </w:rPr>
            </w:pPr>
            <w:r>
              <w:rPr>
                <w:rFonts w:ascii="宋体" w:hAnsi="宋体" w:eastAsia="宋体" w:cs="Times New Roman"/>
                <w:color w:val="auto"/>
              </w:rPr>
              <w:t>烟气黑度（林格曼级）</w:t>
            </w:r>
          </w:p>
        </w:tc>
      </w:tr>
      <w:tr w14:paraId="395F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shd w:val="clear" w:color="auto" w:fill="auto"/>
            <w:vAlign w:val="center"/>
          </w:tcPr>
          <w:p w14:paraId="73CEBFE4">
            <w:pPr>
              <w:snapToGrid w:val="0"/>
              <w:jc w:val="center"/>
              <w:rPr>
                <w:rFonts w:ascii="宋体" w:hAnsi="宋体" w:eastAsia="宋体" w:cs="Times New Roman"/>
                <w:color w:val="auto"/>
              </w:rPr>
            </w:pPr>
            <w:r>
              <w:rPr>
                <w:rFonts w:ascii="宋体" w:hAnsi="宋体" w:eastAsia="宋体" w:cs="Times New Roman"/>
                <w:color w:val="auto"/>
              </w:rPr>
              <w:t>二级标准</w:t>
            </w:r>
          </w:p>
        </w:tc>
        <w:tc>
          <w:tcPr>
            <w:tcW w:w="1459" w:type="pct"/>
            <w:shd w:val="clear" w:color="auto" w:fill="auto"/>
            <w:vAlign w:val="center"/>
          </w:tcPr>
          <w:p w14:paraId="5DA4803E">
            <w:pPr>
              <w:snapToGrid w:val="0"/>
              <w:jc w:val="center"/>
              <w:rPr>
                <w:rFonts w:ascii="宋体" w:hAnsi="宋体" w:eastAsia="宋体" w:cs="Times New Roman"/>
                <w:color w:val="auto"/>
              </w:rPr>
            </w:pPr>
            <w:r>
              <w:rPr>
                <w:rFonts w:ascii="宋体" w:hAnsi="宋体" w:eastAsia="宋体" w:cs="Times New Roman"/>
                <w:color w:val="auto"/>
              </w:rPr>
              <w:t>加热炉（非金属加热炉）</w:t>
            </w:r>
          </w:p>
        </w:tc>
        <w:tc>
          <w:tcPr>
            <w:tcW w:w="932" w:type="pct"/>
            <w:shd w:val="clear" w:color="auto" w:fill="auto"/>
            <w:vAlign w:val="center"/>
          </w:tcPr>
          <w:p w14:paraId="0AD8B274">
            <w:pPr>
              <w:snapToGrid w:val="0"/>
              <w:jc w:val="center"/>
              <w:rPr>
                <w:rFonts w:ascii="宋体" w:hAnsi="宋体" w:eastAsia="宋体" w:cs="Times New Roman"/>
                <w:color w:val="auto"/>
              </w:rPr>
            </w:pPr>
            <w:r>
              <w:rPr>
                <w:rFonts w:ascii="宋体" w:hAnsi="宋体" w:eastAsia="宋体" w:cs="Times New Roman"/>
                <w:color w:val="auto"/>
              </w:rPr>
              <w:t>≤200</w:t>
            </w:r>
          </w:p>
        </w:tc>
        <w:tc>
          <w:tcPr>
            <w:tcW w:w="1828" w:type="pct"/>
            <w:shd w:val="clear" w:color="auto" w:fill="auto"/>
            <w:vAlign w:val="center"/>
          </w:tcPr>
          <w:p w14:paraId="3642BD25">
            <w:pPr>
              <w:snapToGrid w:val="0"/>
              <w:jc w:val="center"/>
              <w:rPr>
                <w:rFonts w:ascii="宋体" w:hAnsi="宋体" w:eastAsia="宋体" w:cs="Times New Roman"/>
                <w:color w:val="auto"/>
              </w:rPr>
            </w:pPr>
            <w:r>
              <w:rPr>
                <w:rFonts w:ascii="宋体" w:hAnsi="宋体" w:eastAsia="宋体" w:cs="Times New Roman"/>
                <w:color w:val="auto"/>
              </w:rPr>
              <w:t>≤1</w:t>
            </w:r>
          </w:p>
        </w:tc>
      </w:tr>
    </w:tbl>
    <w:p w14:paraId="0D82FF8A">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11</w:t>
      </w:r>
      <w:r>
        <w:rPr>
          <w:color w:val="auto"/>
        </w:rPr>
        <w:fldChar w:fldCharType="end"/>
      </w:r>
      <w:r>
        <w:rPr>
          <w:rFonts w:hAnsi="宋体" w:cs="Times New Roman"/>
          <w:color w:val="auto"/>
        </w:rPr>
        <w:t xml:space="preserve">  工业炉窑大气污染物排放标准    单位：mg/m</w:t>
      </w:r>
      <w:r>
        <w:rPr>
          <w:rFonts w:hAnsi="宋体" w:cs="Times New Roman"/>
          <w:color w:val="auto"/>
          <w:vertAlign w:val="superscript"/>
        </w:rPr>
        <w:t>3</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3"/>
        <w:gridCol w:w="3330"/>
        <w:gridCol w:w="4173"/>
      </w:tblGrid>
      <w:tr w14:paraId="4B77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0" w:type="pct"/>
            <w:shd w:val="clear" w:color="auto" w:fill="auto"/>
            <w:vAlign w:val="center"/>
          </w:tcPr>
          <w:p w14:paraId="759212FE">
            <w:pPr>
              <w:snapToGrid w:val="0"/>
              <w:jc w:val="center"/>
              <w:rPr>
                <w:rFonts w:ascii="宋体" w:hAnsi="宋体" w:eastAsia="宋体" w:cs="Times New Roman"/>
                <w:color w:val="auto"/>
              </w:rPr>
            </w:pPr>
            <w:r>
              <w:rPr>
                <w:rFonts w:ascii="宋体" w:hAnsi="宋体" w:eastAsia="宋体" w:cs="Times New Roman"/>
                <w:color w:val="auto"/>
              </w:rPr>
              <w:t>设置方式</w:t>
            </w:r>
          </w:p>
        </w:tc>
        <w:tc>
          <w:tcPr>
            <w:tcW w:w="1793" w:type="pct"/>
            <w:shd w:val="clear" w:color="auto" w:fill="auto"/>
            <w:vAlign w:val="center"/>
          </w:tcPr>
          <w:p w14:paraId="7FEF8D82">
            <w:pPr>
              <w:snapToGrid w:val="0"/>
              <w:jc w:val="center"/>
              <w:rPr>
                <w:rFonts w:ascii="宋体" w:hAnsi="宋体" w:eastAsia="宋体" w:cs="Times New Roman"/>
                <w:color w:val="auto"/>
              </w:rPr>
            </w:pPr>
            <w:r>
              <w:rPr>
                <w:rFonts w:ascii="宋体" w:hAnsi="宋体" w:eastAsia="宋体" w:cs="Times New Roman"/>
                <w:color w:val="auto"/>
              </w:rPr>
              <w:t>炉窑类别</w:t>
            </w:r>
          </w:p>
        </w:tc>
        <w:tc>
          <w:tcPr>
            <w:tcW w:w="2247" w:type="pct"/>
            <w:shd w:val="clear" w:color="auto" w:fill="auto"/>
            <w:vAlign w:val="center"/>
          </w:tcPr>
          <w:p w14:paraId="2414C284">
            <w:pPr>
              <w:snapToGrid w:val="0"/>
              <w:jc w:val="center"/>
              <w:rPr>
                <w:rFonts w:ascii="宋体" w:hAnsi="宋体" w:eastAsia="宋体" w:cs="Times New Roman"/>
                <w:color w:val="auto"/>
              </w:rPr>
            </w:pPr>
            <w:r>
              <w:rPr>
                <w:rFonts w:ascii="宋体" w:hAnsi="宋体" w:eastAsia="宋体" w:cs="Times New Roman"/>
                <w:color w:val="auto"/>
              </w:rPr>
              <w:t>无组织排放烟（粉）尘最高允许浓度</w:t>
            </w:r>
          </w:p>
        </w:tc>
      </w:tr>
      <w:tr w14:paraId="3B85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0" w:type="pct"/>
            <w:shd w:val="clear" w:color="auto" w:fill="auto"/>
            <w:vAlign w:val="center"/>
          </w:tcPr>
          <w:p w14:paraId="3316108F">
            <w:pPr>
              <w:snapToGrid w:val="0"/>
              <w:jc w:val="center"/>
              <w:rPr>
                <w:rFonts w:ascii="宋体" w:hAnsi="宋体" w:eastAsia="宋体" w:cs="Times New Roman"/>
                <w:color w:val="auto"/>
              </w:rPr>
            </w:pPr>
            <w:r>
              <w:rPr>
                <w:rFonts w:ascii="宋体" w:hAnsi="宋体" w:eastAsia="宋体" w:cs="Times New Roman"/>
                <w:color w:val="auto"/>
              </w:rPr>
              <w:t>露天</w:t>
            </w:r>
          </w:p>
        </w:tc>
        <w:tc>
          <w:tcPr>
            <w:tcW w:w="1793" w:type="pct"/>
            <w:shd w:val="clear" w:color="auto" w:fill="auto"/>
            <w:vAlign w:val="center"/>
          </w:tcPr>
          <w:p w14:paraId="708601C2">
            <w:pPr>
              <w:snapToGrid w:val="0"/>
              <w:jc w:val="center"/>
              <w:rPr>
                <w:rFonts w:ascii="宋体" w:hAnsi="宋体" w:eastAsia="宋体" w:cs="Times New Roman"/>
                <w:color w:val="auto"/>
              </w:rPr>
            </w:pPr>
            <w:r>
              <w:rPr>
                <w:rFonts w:ascii="宋体" w:hAnsi="宋体" w:eastAsia="宋体" w:cs="Times New Roman"/>
                <w:color w:val="auto"/>
              </w:rPr>
              <w:t>各种工业炉窑</w:t>
            </w:r>
          </w:p>
        </w:tc>
        <w:tc>
          <w:tcPr>
            <w:tcW w:w="2247" w:type="pct"/>
            <w:shd w:val="clear" w:color="auto" w:fill="auto"/>
            <w:vAlign w:val="center"/>
          </w:tcPr>
          <w:p w14:paraId="5FFE5813">
            <w:pPr>
              <w:snapToGrid w:val="0"/>
              <w:jc w:val="center"/>
              <w:rPr>
                <w:rFonts w:ascii="宋体" w:hAnsi="宋体" w:eastAsia="宋体" w:cs="Times New Roman"/>
                <w:color w:val="auto"/>
              </w:rPr>
            </w:pPr>
            <w:r>
              <w:rPr>
                <w:rFonts w:ascii="宋体" w:hAnsi="宋体" w:eastAsia="宋体" w:cs="Times New Roman"/>
                <w:color w:val="auto"/>
              </w:rPr>
              <w:t>≤5</w:t>
            </w:r>
          </w:p>
        </w:tc>
      </w:tr>
    </w:tbl>
    <w:p w14:paraId="153B66EF">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12</w:t>
      </w:r>
      <w:r>
        <w:rPr>
          <w:color w:val="auto"/>
        </w:rPr>
        <w:fldChar w:fldCharType="end"/>
      </w:r>
      <w:r>
        <w:rPr>
          <w:rFonts w:hAnsi="宋体" w:cs="Times New Roman"/>
          <w:color w:val="auto"/>
        </w:rPr>
        <w:t xml:space="preserve">  锅炉大气污染物排放标准    单位：mg/m</w:t>
      </w:r>
      <w:r>
        <w:rPr>
          <w:rFonts w:hAnsi="宋体" w:cs="Times New Roman"/>
          <w:color w:val="auto"/>
          <w:vertAlign w:val="superscript"/>
        </w:rPr>
        <w:t>3</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7"/>
        <w:gridCol w:w="1287"/>
        <w:gridCol w:w="1135"/>
        <w:gridCol w:w="1246"/>
        <w:gridCol w:w="2524"/>
      </w:tblGrid>
      <w:tr w14:paraId="4D2F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shd w:val="clear" w:color="auto" w:fill="auto"/>
            <w:vAlign w:val="center"/>
          </w:tcPr>
          <w:p w14:paraId="22E8AA21">
            <w:pPr>
              <w:snapToGrid w:val="0"/>
              <w:jc w:val="center"/>
              <w:rPr>
                <w:rFonts w:ascii="宋体" w:hAnsi="宋体" w:eastAsia="宋体" w:cs="Times New Roman"/>
                <w:color w:val="auto"/>
              </w:rPr>
            </w:pPr>
            <w:r>
              <w:rPr>
                <w:rFonts w:ascii="宋体" w:hAnsi="宋体" w:eastAsia="宋体" w:cs="Times New Roman"/>
                <w:color w:val="auto"/>
              </w:rPr>
              <w:t>区域</w:t>
            </w:r>
          </w:p>
        </w:tc>
        <w:tc>
          <w:tcPr>
            <w:tcW w:w="833" w:type="pct"/>
            <w:shd w:val="clear" w:color="auto" w:fill="auto"/>
            <w:vAlign w:val="center"/>
          </w:tcPr>
          <w:p w14:paraId="52D37C85">
            <w:pPr>
              <w:snapToGrid w:val="0"/>
              <w:jc w:val="center"/>
              <w:rPr>
                <w:rFonts w:ascii="宋体" w:hAnsi="宋体" w:eastAsia="宋体" w:cs="Times New Roman"/>
                <w:color w:val="auto"/>
              </w:rPr>
            </w:pPr>
            <w:r>
              <w:rPr>
                <w:rFonts w:ascii="宋体" w:hAnsi="宋体" w:eastAsia="宋体" w:cs="Times New Roman"/>
                <w:color w:val="auto"/>
              </w:rPr>
              <w:t>污染物项目</w:t>
            </w:r>
          </w:p>
        </w:tc>
        <w:tc>
          <w:tcPr>
            <w:tcW w:w="693" w:type="pct"/>
            <w:shd w:val="clear" w:color="auto" w:fill="auto"/>
            <w:vAlign w:val="center"/>
          </w:tcPr>
          <w:p w14:paraId="165CCD91">
            <w:pPr>
              <w:snapToGrid w:val="0"/>
              <w:jc w:val="center"/>
              <w:rPr>
                <w:rFonts w:ascii="宋体" w:hAnsi="宋体" w:eastAsia="宋体" w:cs="Times New Roman"/>
                <w:color w:val="auto"/>
              </w:rPr>
            </w:pPr>
            <w:r>
              <w:rPr>
                <w:rFonts w:ascii="宋体" w:hAnsi="宋体" w:eastAsia="宋体" w:cs="Times New Roman"/>
                <w:color w:val="auto"/>
              </w:rPr>
              <w:t>颗粒物</w:t>
            </w:r>
          </w:p>
        </w:tc>
        <w:tc>
          <w:tcPr>
            <w:tcW w:w="611" w:type="pct"/>
            <w:shd w:val="clear" w:color="auto" w:fill="auto"/>
            <w:vAlign w:val="center"/>
          </w:tcPr>
          <w:p w14:paraId="0146DF97">
            <w:pPr>
              <w:snapToGrid w:val="0"/>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671" w:type="pct"/>
            <w:shd w:val="clear" w:color="auto" w:fill="auto"/>
            <w:vAlign w:val="center"/>
          </w:tcPr>
          <w:p w14:paraId="16FC41E8">
            <w:pPr>
              <w:snapToGrid w:val="0"/>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x</w:t>
            </w:r>
          </w:p>
        </w:tc>
        <w:tc>
          <w:tcPr>
            <w:tcW w:w="1359" w:type="pct"/>
            <w:shd w:val="clear" w:color="auto" w:fill="auto"/>
            <w:vAlign w:val="center"/>
          </w:tcPr>
          <w:p w14:paraId="66790E89">
            <w:pPr>
              <w:snapToGrid w:val="0"/>
              <w:jc w:val="center"/>
              <w:rPr>
                <w:rFonts w:ascii="宋体" w:hAnsi="宋体" w:eastAsia="宋体" w:cs="Times New Roman"/>
                <w:color w:val="auto"/>
              </w:rPr>
            </w:pPr>
            <w:r>
              <w:rPr>
                <w:rFonts w:ascii="宋体" w:hAnsi="宋体" w:eastAsia="宋体" w:cs="Times New Roman"/>
                <w:color w:val="auto"/>
              </w:rPr>
              <w:t>烟气黑度（林格曼级）</w:t>
            </w:r>
          </w:p>
        </w:tc>
      </w:tr>
      <w:tr w14:paraId="46BE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shd w:val="clear" w:color="auto" w:fill="auto"/>
            <w:vAlign w:val="center"/>
          </w:tcPr>
          <w:p w14:paraId="36DBFA75">
            <w:pPr>
              <w:snapToGrid w:val="0"/>
              <w:jc w:val="center"/>
              <w:rPr>
                <w:rFonts w:ascii="宋体" w:hAnsi="宋体" w:eastAsia="宋体" w:cs="Times New Roman"/>
                <w:color w:val="auto"/>
              </w:rPr>
            </w:pPr>
            <w:r>
              <w:rPr>
                <w:rFonts w:ascii="宋体" w:hAnsi="宋体" w:eastAsia="宋体" w:cs="Times New Roman"/>
                <w:color w:val="auto"/>
              </w:rPr>
              <w:t>非重点地区</w:t>
            </w:r>
          </w:p>
        </w:tc>
        <w:tc>
          <w:tcPr>
            <w:tcW w:w="833" w:type="pct"/>
            <w:shd w:val="clear" w:color="auto" w:fill="auto"/>
            <w:vAlign w:val="center"/>
          </w:tcPr>
          <w:p w14:paraId="302420B7">
            <w:pPr>
              <w:snapToGrid w:val="0"/>
              <w:jc w:val="center"/>
              <w:rPr>
                <w:rFonts w:ascii="宋体" w:hAnsi="宋体" w:eastAsia="宋体" w:cs="Times New Roman"/>
                <w:color w:val="auto"/>
              </w:rPr>
            </w:pPr>
            <w:r>
              <w:rPr>
                <w:rFonts w:ascii="宋体" w:hAnsi="宋体" w:eastAsia="宋体" w:cs="Times New Roman"/>
                <w:color w:val="auto"/>
              </w:rPr>
              <w:t>加热炉（新建、燃气）</w:t>
            </w:r>
          </w:p>
        </w:tc>
        <w:tc>
          <w:tcPr>
            <w:tcW w:w="693" w:type="pct"/>
            <w:shd w:val="clear" w:color="auto" w:fill="auto"/>
            <w:vAlign w:val="center"/>
          </w:tcPr>
          <w:p w14:paraId="7507C785">
            <w:pPr>
              <w:snapToGrid w:val="0"/>
              <w:jc w:val="center"/>
              <w:rPr>
                <w:rFonts w:ascii="宋体" w:hAnsi="宋体" w:eastAsia="宋体" w:cs="Times New Roman"/>
                <w:color w:val="auto"/>
              </w:rPr>
            </w:pPr>
            <w:r>
              <w:rPr>
                <w:rFonts w:ascii="宋体" w:hAnsi="宋体" w:eastAsia="宋体" w:cs="Times New Roman"/>
                <w:color w:val="auto"/>
              </w:rPr>
              <w:t>≤20</w:t>
            </w:r>
          </w:p>
        </w:tc>
        <w:tc>
          <w:tcPr>
            <w:tcW w:w="611" w:type="pct"/>
            <w:shd w:val="clear" w:color="auto" w:fill="auto"/>
            <w:vAlign w:val="center"/>
          </w:tcPr>
          <w:p w14:paraId="467E3E9D">
            <w:pPr>
              <w:snapToGrid w:val="0"/>
              <w:jc w:val="center"/>
              <w:rPr>
                <w:rFonts w:ascii="宋体" w:hAnsi="宋体" w:eastAsia="宋体" w:cs="Times New Roman"/>
                <w:color w:val="auto"/>
              </w:rPr>
            </w:pPr>
            <w:r>
              <w:rPr>
                <w:rFonts w:ascii="宋体" w:hAnsi="宋体" w:eastAsia="宋体" w:cs="Times New Roman"/>
                <w:color w:val="auto"/>
              </w:rPr>
              <w:t>≤50</w:t>
            </w:r>
          </w:p>
        </w:tc>
        <w:tc>
          <w:tcPr>
            <w:tcW w:w="671" w:type="pct"/>
            <w:shd w:val="clear" w:color="auto" w:fill="auto"/>
            <w:vAlign w:val="center"/>
          </w:tcPr>
          <w:p w14:paraId="7434EC44">
            <w:pPr>
              <w:snapToGrid w:val="0"/>
              <w:jc w:val="center"/>
              <w:rPr>
                <w:rFonts w:ascii="宋体" w:hAnsi="宋体" w:eastAsia="宋体" w:cs="Times New Roman"/>
                <w:color w:val="auto"/>
              </w:rPr>
            </w:pPr>
            <w:r>
              <w:rPr>
                <w:rFonts w:ascii="宋体" w:hAnsi="宋体" w:eastAsia="宋体" w:cs="Times New Roman"/>
                <w:color w:val="auto"/>
              </w:rPr>
              <w:t>≤200</w:t>
            </w:r>
          </w:p>
        </w:tc>
        <w:tc>
          <w:tcPr>
            <w:tcW w:w="1359" w:type="pct"/>
            <w:shd w:val="clear" w:color="auto" w:fill="auto"/>
            <w:vAlign w:val="center"/>
          </w:tcPr>
          <w:p w14:paraId="2D58E7BD">
            <w:pPr>
              <w:snapToGrid w:val="0"/>
              <w:jc w:val="center"/>
              <w:rPr>
                <w:rFonts w:ascii="宋体" w:hAnsi="宋体" w:eastAsia="宋体" w:cs="Times New Roman"/>
                <w:color w:val="auto"/>
              </w:rPr>
            </w:pPr>
            <w:r>
              <w:rPr>
                <w:rFonts w:ascii="宋体" w:hAnsi="宋体" w:eastAsia="宋体" w:cs="Times New Roman"/>
                <w:color w:val="auto"/>
              </w:rPr>
              <w:t>≤1</w:t>
            </w:r>
          </w:p>
        </w:tc>
      </w:tr>
    </w:tbl>
    <w:p w14:paraId="27B10C51">
      <w:pPr>
        <w:pStyle w:val="276"/>
        <w:widowControl w:val="0"/>
        <w:spacing w:line="440" w:lineRule="exact"/>
        <w:ind w:firstLine="480"/>
        <w:jc w:val="both"/>
        <w:rPr>
          <w:color w:val="auto"/>
          <w:kern w:val="2"/>
        </w:rPr>
      </w:pPr>
      <w:r>
        <w:rPr>
          <w:color w:val="auto"/>
          <w:kern w:val="2"/>
        </w:rPr>
        <w:t>施工期柴油发电机燃烧废气排放标准执行《非道路移动机械用柴油机排气污染物排放限值及测量方法》（中国第三、四阶段）（</w:t>
      </w:r>
      <w:r>
        <w:rPr>
          <w:snapToGrid w:val="0"/>
          <w:color w:val="auto"/>
        </w:rPr>
        <w:t>GB20891</w:t>
      </w:r>
      <w:r>
        <w:rPr>
          <w:color w:val="auto"/>
          <w:kern w:val="2"/>
        </w:rPr>
        <w:t>-2014）及2020修改单中第三阶段标准限值及《非道路移动柴油机械排气烟度限值及测量方法》（GB 36886-2018）表1中Ⅱ类限值要求，具体见表2.5-13、表2.5-14。</w:t>
      </w:r>
    </w:p>
    <w:p w14:paraId="4E3251EC">
      <w:pPr>
        <w:pStyle w:val="22"/>
        <w:spacing w:before="156"/>
        <w:rPr>
          <w:rFonts w:hAnsi="宋体" w:cs="Times New Roman"/>
          <w:color w:val="auto"/>
          <w:kern w:val="21"/>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13</w:t>
      </w:r>
      <w:r>
        <w:rPr>
          <w:color w:val="auto"/>
        </w:rPr>
        <w:fldChar w:fldCharType="end"/>
      </w:r>
      <w:r>
        <w:rPr>
          <w:rFonts w:hAnsi="宋体" w:cs="Times New Roman"/>
          <w:color w:val="auto"/>
          <w:kern w:val="21"/>
        </w:rPr>
        <w:t xml:space="preserve">  非道路移动机械用柴油机排气污染物排放限值</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899"/>
        <w:gridCol w:w="2132"/>
        <w:gridCol w:w="1824"/>
        <w:gridCol w:w="1536"/>
      </w:tblGrid>
      <w:tr w14:paraId="1FCD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shd w:val="clear" w:color="auto" w:fill="auto"/>
            <w:vAlign w:val="center"/>
          </w:tcPr>
          <w:p w14:paraId="7B7DA40C">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阶段</w:t>
            </w:r>
          </w:p>
        </w:tc>
        <w:tc>
          <w:tcPr>
            <w:tcW w:w="1561" w:type="pct"/>
            <w:shd w:val="clear" w:color="auto" w:fill="auto"/>
            <w:vAlign w:val="center"/>
          </w:tcPr>
          <w:p w14:paraId="1E0B4DFB">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额定净功率</w:t>
            </w:r>
          </w:p>
          <w:p w14:paraId="32BB6622">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（max）（kW）</w:t>
            </w:r>
          </w:p>
        </w:tc>
        <w:tc>
          <w:tcPr>
            <w:tcW w:w="1148" w:type="pct"/>
            <w:shd w:val="clear" w:color="auto" w:fill="auto"/>
            <w:vAlign w:val="center"/>
          </w:tcPr>
          <w:p w14:paraId="5A49F8EC">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CO</w:t>
            </w:r>
          </w:p>
          <w:p w14:paraId="62DF5604">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(g/kWh)</w:t>
            </w:r>
          </w:p>
        </w:tc>
        <w:tc>
          <w:tcPr>
            <w:tcW w:w="982" w:type="pct"/>
            <w:shd w:val="clear" w:color="auto" w:fill="auto"/>
            <w:vAlign w:val="center"/>
          </w:tcPr>
          <w:p w14:paraId="2CF3C0F4">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HC+ NOx</w:t>
            </w:r>
          </w:p>
          <w:p w14:paraId="1E3E20E4">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(g/kWh)</w:t>
            </w:r>
          </w:p>
        </w:tc>
        <w:tc>
          <w:tcPr>
            <w:tcW w:w="827" w:type="pct"/>
            <w:shd w:val="clear" w:color="auto" w:fill="auto"/>
            <w:vAlign w:val="center"/>
          </w:tcPr>
          <w:p w14:paraId="508092E9">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PM</w:t>
            </w:r>
          </w:p>
          <w:p w14:paraId="6F90C471">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(g/kWh)</w:t>
            </w:r>
          </w:p>
        </w:tc>
      </w:tr>
      <w:tr w14:paraId="561D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restart"/>
            <w:shd w:val="clear" w:color="auto" w:fill="auto"/>
            <w:vAlign w:val="center"/>
          </w:tcPr>
          <w:p w14:paraId="18A0CAE3">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第三</w:t>
            </w:r>
          </w:p>
          <w:p w14:paraId="6B9428D9">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阶段</w:t>
            </w:r>
          </w:p>
        </w:tc>
        <w:tc>
          <w:tcPr>
            <w:tcW w:w="1561" w:type="pct"/>
            <w:shd w:val="clear" w:color="auto" w:fill="auto"/>
            <w:vAlign w:val="center"/>
          </w:tcPr>
          <w:p w14:paraId="2DF00A7D">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P</w:t>
            </w:r>
            <w:r>
              <w:rPr>
                <w:rFonts w:ascii="宋体" w:hAnsi="宋体" w:eastAsia="宋体" w:cs="Times New Roman"/>
                <w:color w:val="auto"/>
                <w:vertAlign w:val="subscript"/>
                <w:lang w:bidi="ar"/>
              </w:rPr>
              <w:t>max</w:t>
            </w:r>
            <w:r>
              <w:rPr>
                <w:rFonts w:ascii="宋体" w:hAnsi="宋体" w:eastAsia="宋体" w:cs="Times New Roman"/>
                <w:color w:val="auto"/>
                <w:lang w:bidi="ar"/>
              </w:rPr>
              <w:t>＞560</w:t>
            </w:r>
          </w:p>
        </w:tc>
        <w:tc>
          <w:tcPr>
            <w:tcW w:w="1148" w:type="pct"/>
            <w:shd w:val="clear" w:color="auto" w:fill="auto"/>
            <w:vAlign w:val="center"/>
          </w:tcPr>
          <w:p w14:paraId="6CCF2869">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3.5</w:t>
            </w:r>
          </w:p>
        </w:tc>
        <w:tc>
          <w:tcPr>
            <w:tcW w:w="982" w:type="pct"/>
            <w:shd w:val="clear" w:color="auto" w:fill="auto"/>
            <w:vAlign w:val="center"/>
          </w:tcPr>
          <w:p w14:paraId="624E3D87">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6.4</w:t>
            </w:r>
          </w:p>
        </w:tc>
        <w:tc>
          <w:tcPr>
            <w:tcW w:w="827" w:type="pct"/>
            <w:shd w:val="clear" w:color="auto" w:fill="auto"/>
            <w:vAlign w:val="center"/>
          </w:tcPr>
          <w:p w14:paraId="6E9B47C5">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0.2</w:t>
            </w:r>
          </w:p>
        </w:tc>
      </w:tr>
      <w:tr w14:paraId="3CA6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shd w:val="clear" w:color="auto" w:fill="auto"/>
            <w:vAlign w:val="center"/>
          </w:tcPr>
          <w:p w14:paraId="3C549709">
            <w:pPr>
              <w:adjustRightInd w:val="0"/>
              <w:snapToGrid w:val="0"/>
              <w:jc w:val="center"/>
              <w:rPr>
                <w:rFonts w:ascii="宋体" w:hAnsi="宋体" w:eastAsia="宋体" w:cs="Times New Roman"/>
                <w:color w:val="auto"/>
                <w:lang w:bidi="ar"/>
              </w:rPr>
            </w:pPr>
          </w:p>
        </w:tc>
        <w:tc>
          <w:tcPr>
            <w:tcW w:w="1561" w:type="pct"/>
            <w:shd w:val="clear" w:color="auto" w:fill="auto"/>
            <w:vAlign w:val="center"/>
          </w:tcPr>
          <w:p w14:paraId="14331B86">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130≤P</w:t>
            </w:r>
            <w:r>
              <w:rPr>
                <w:rFonts w:ascii="宋体" w:hAnsi="宋体" w:eastAsia="宋体" w:cs="Times New Roman"/>
                <w:color w:val="auto"/>
                <w:vertAlign w:val="subscript"/>
                <w:lang w:bidi="ar"/>
              </w:rPr>
              <w:t>max</w:t>
            </w:r>
            <w:r>
              <w:rPr>
                <w:rFonts w:ascii="宋体" w:hAnsi="宋体" w:eastAsia="宋体" w:cs="Times New Roman"/>
                <w:color w:val="auto"/>
                <w:lang w:bidi="ar"/>
              </w:rPr>
              <w:t>≤560</w:t>
            </w:r>
          </w:p>
        </w:tc>
        <w:tc>
          <w:tcPr>
            <w:tcW w:w="1148" w:type="pct"/>
            <w:shd w:val="clear" w:color="auto" w:fill="auto"/>
            <w:vAlign w:val="center"/>
          </w:tcPr>
          <w:p w14:paraId="07B3A2B3">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3.5</w:t>
            </w:r>
          </w:p>
        </w:tc>
        <w:tc>
          <w:tcPr>
            <w:tcW w:w="982" w:type="pct"/>
            <w:shd w:val="clear" w:color="auto" w:fill="auto"/>
            <w:vAlign w:val="center"/>
          </w:tcPr>
          <w:p w14:paraId="1175574A">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4.0</w:t>
            </w:r>
          </w:p>
        </w:tc>
        <w:tc>
          <w:tcPr>
            <w:tcW w:w="827" w:type="pct"/>
            <w:shd w:val="clear" w:color="auto" w:fill="auto"/>
            <w:vAlign w:val="center"/>
          </w:tcPr>
          <w:p w14:paraId="5DA27671">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0.2</w:t>
            </w:r>
          </w:p>
        </w:tc>
      </w:tr>
      <w:tr w14:paraId="697F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shd w:val="clear" w:color="auto" w:fill="auto"/>
            <w:vAlign w:val="center"/>
          </w:tcPr>
          <w:p w14:paraId="61855D2D">
            <w:pPr>
              <w:adjustRightInd w:val="0"/>
              <w:snapToGrid w:val="0"/>
              <w:jc w:val="center"/>
              <w:rPr>
                <w:rFonts w:ascii="宋体" w:hAnsi="宋体" w:eastAsia="宋体" w:cs="Times New Roman"/>
                <w:color w:val="auto"/>
                <w:lang w:bidi="ar"/>
              </w:rPr>
            </w:pPr>
          </w:p>
        </w:tc>
        <w:tc>
          <w:tcPr>
            <w:tcW w:w="1561" w:type="pct"/>
            <w:shd w:val="clear" w:color="auto" w:fill="auto"/>
            <w:vAlign w:val="center"/>
          </w:tcPr>
          <w:p w14:paraId="545484A0">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75≤P</w:t>
            </w:r>
            <w:r>
              <w:rPr>
                <w:rFonts w:ascii="宋体" w:hAnsi="宋体" w:eastAsia="宋体" w:cs="Times New Roman"/>
                <w:color w:val="auto"/>
                <w:vertAlign w:val="subscript"/>
                <w:lang w:bidi="ar"/>
              </w:rPr>
              <w:t>max</w:t>
            </w:r>
            <w:r>
              <w:rPr>
                <w:rFonts w:ascii="宋体" w:hAnsi="宋体" w:eastAsia="宋体" w:cs="Times New Roman"/>
                <w:color w:val="auto"/>
                <w:lang w:bidi="ar"/>
              </w:rPr>
              <w:t>＜130</w:t>
            </w:r>
          </w:p>
        </w:tc>
        <w:tc>
          <w:tcPr>
            <w:tcW w:w="1148" w:type="pct"/>
            <w:shd w:val="clear" w:color="auto" w:fill="auto"/>
            <w:vAlign w:val="center"/>
          </w:tcPr>
          <w:p w14:paraId="4970E2F0">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5.0</w:t>
            </w:r>
          </w:p>
        </w:tc>
        <w:tc>
          <w:tcPr>
            <w:tcW w:w="982" w:type="pct"/>
            <w:shd w:val="clear" w:color="auto" w:fill="auto"/>
            <w:vAlign w:val="center"/>
          </w:tcPr>
          <w:p w14:paraId="0ABEF1D9">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4.0</w:t>
            </w:r>
          </w:p>
        </w:tc>
        <w:tc>
          <w:tcPr>
            <w:tcW w:w="827" w:type="pct"/>
            <w:shd w:val="clear" w:color="auto" w:fill="auto"/>
            <w:vAlign w:val="center"/>
          </w:tcPr>
          <w:p w14:paraId="5A50D172">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0.3</w:t>
            </w:r>
          </w:p>
        </w:tc>
      </w:tr>
      <w:tr w14:paraId="7DDF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shd w:val="clear" w:color="auto" w:fill="auto"/>
            <w:vAlign w:val="center"/>
          </w:tcPr>
          <w:p w14:paraId="6A6ACD30">
            <w:pPr>
              <w:adjustRightInd w:val="0"/>
              <w:snapToGrid w:val="0"/>
              <w:jc w:val="center"/>
              <w:rPr>
                <w:rFonts w:ascii="宋体" w:hAnsi="宋体" w:eastAsia="宋体" w:cs="Times New Roman"/>
                <w:color w:val="auto"/>
                <w:lang w:bidi="ar"/>
              </w:rPr>
            </w:pPr>
          </w:p>
        </w:tc>
        <w:tc>
          <w:tcPr>
            <w:tcW w:w="1561" w:type="pct"/>
            <w:shd w:val="clear" w:color="auto" w:fill="auto"/>
            <w:vAlign w:val="center"/>
          </w:tcPr>
          <w:p w14:paraId="1E4E8EFE">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37≤P</w:t>
            </w:r>
            <w:r>
              <w:rPr>
                <w:rFonts w:ascii="宋体" w:hAnsi="宋体" w:eastAsia="宋体" w:cs="Times New Roman"/>
                <w:color w:val="auto"/>
                <w:vertAlign w:val="subscript"/>
                <w:lang w:bidi="ar"/>
              </w:rPr>
              <w:t>max</w:t>
            </w:r>
            <w:r>
              <w:rPr>
                <w:rFonts w:ascii="宋体" w:hAnsi="宋体" w:eastAsia="宋体" w:cs="Times New Roman"/>
                <w:color w:val="auto"/>
                <w:lang w:bidi="ar"/>
              </w:rPr>
              <w:t>＜75</w:t>
            </w:r>
          </w:p>
        </w:tc>
        <w:tc>
          <w:tcPr>
            <w:tcW w:w="1148" w:type="pct"/>
            <w:shd w:val="clear" w:color="auto" w:fill="auto"/>
            <w:vAlign w:val="center"/>
          </w:tcPr>
          <w:p w14:paraId="46D076F9">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5.0</w:t>
            </w:r>
          </w:p>
        </w:tc>
        <w:tc>
          <w:tcPr>
            <w:tcW w:w="982" w:type="pct"/>
            <w:shd w:val="clear" w:color="auto" w:fill="auto"/>
            <w:vAlign w:val="center"/>
          </w:tcPr>
          <w:p w14:paraId="4670F9FC">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4.7</w:t>
            </w:r>
          </w:p>
        </w:tc>
        <w:tc>
          <w:tcPr>
            <w:tcW w:w="827" w:type="pct"/>
            <w:shd w:val="clear" w:color="auto" w:fill="auto"/>
            <w:vAlign w:val="center"/>
          </w:tcPr>
          <w:p w14:paraId="773315FB">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0.4</w:t>
            </w:r>
          </w:p>
        </w:tc>
      </w:tr>
      <w:tr w14:paraId="0C3D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shd w:val="clear" w:color="auto" w:fill="auto"/>
            <w:vAlign w:val="center"/>
          </w:tcPr>
          <w:p w14:paraId="7591EE81">
            <w:pPr>
              <w:adjustRightInd w:val="0"/>
              <w:snapToGrid w:val="0"/>
              <w:jc w:val="center"/>
              <w:rPr>
                <w:rFonts w:ascii="宋体" w:hAnsi="宋体" w:eastAsia="宋体" w:cs="Times New Roman"/>
                <w:color w:val="auto"/>
                <w:lang w:bidi="ar"/>
              </w:rPr>
            </w:pPr>
          </w:p>
        </w:tc>
        <w:tc>
          <w:tcPr>
            <w:tcW w:w="1561" w:type="pct"/>
            <w:shd w:val="clear" w:color="auto" w:fill="auto"/>
            <w:vAlign w:val="center"/>
          </w:tcPr>
          <w:p w14:paraId="7A77B914">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P</w:t>
            </w:r>
            <w:r>
              <w:rPr>
                <w:rFonts w:ascii="宋体" w:hAnsi="宋体" w:eastAsia="宋体" w:cs="Times New Roman"/>
                <w:color w:val="auto"/>
                <w:vertAlign w:val="subscript"/>
                <w:lang w:bidi="ar"/>
              </w:rPr>
              <w:t>max</w:t>
            </w:r>
            <w:r>
              <w:rPr>
                <w:rFonts w:ascii="宋体" w:hAnsi="宋体" w:eastAsia="宋体" w:cs="Times New Roman"/>
                <w:color w:val="auto"/>
                <w:lang w:bidi="ar"/>
              </w:rPr>
              <w:t>＜37</w:t>
            </w:r>
          </w:p>
        </w:tc>
        <w:tc>
          <w:tcPr>
            <w:tcW w:w="1148" w:type="pct"/>
            <w:shd w:val="clear" w:color="auto" w:fill="auto"/>
            <w:vAlign w:val="center"/>
          </w:tcPr>
          <w:p w14:paraId="5E043BF6">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5.5</w:t>
            </w:r>
          </w:p>
        </w:tc>
        <w:tc>
          <w:tcPr>
            <w:tcW w:w="982" w:type="pct"/>
            <w:shd w:val="clear" w:color="auto" w:fill="auto"/>
            <w:vAlign w:val="center"/>
          </w:tcPr>
          <w:p w14:paraId="637D2468">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7.5</w:t>
            </w:r>
          </w:p>
        </w:tc>
        <w:tc>
          <w:tcPr>
            <w:tcW w:w="827" w:type="pct"/>
            <w:shd w:val="clear" w:color="auto" w:fill="auto"/>
            <w:vAlign w:val="center"/>
          </w:tcPr>
          <w:p w14:paraId="52EA9407">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0.6</w:t>
            </w:r>
          </w:p>
        </w:tc>
      </w:tr>
    </w:tbl>
    <w:p w14:paraId="37FFDDC5">
      <w:pPr>
        <w:pStyle w:val="22"/>
        <w:spacing w:before="156"/>
        <w:rPr>
          <w:rFonts w:hAnsi="宋体" w:cs="Times New Roman"/>
          <w:color w:val="auto"/>
          <w:kern w:val="21"/>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14</w:t>
      </w:r>
      <w:r>
        <w:rPr>
          <w:color w:val="auto"/>
        </w:rPr>
        <w:fldChar w:fldCharType="end"/>
      </w:r>
      <w:r>
        <w:rPr>
          <w:rFonts w:hAnsi="宋体" w:cs="Times New Roman"/>
          <w:color w:val="auto"/>
          <w:kern w:val="21"/>
        </w:rPr>
        <w:t xml:space="preserve">  排气烟度限值</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3854"/>
        <w:gridCol w:w="2175"/>
        <w:gridCol w:w="2186"/>
      </w:tblGrid>
      <w:tr w14:paraId="5F40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shd w:val="clear" w:color="auto" w:fill="auto"/>
            <w:vAlign w:val="center"/>
          </w:tcPr>
          <w:p w14:paraId="6DEBA21C">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阶段</w:t>
            </w:r>
          </w:p>
        </w:tc>
        <w:tc>
          <w:tcPr>
            <w:tcW w:w="2075" w:type="pct"/>
            <w:shd w:val="clear" w:color="auto" w:fill="auto"/>
            <w:vAlign w:val="center"/>
          </w:tcPr>
          <w:p w14:paraId="03B6FA52">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额定净功率（P</w:t>
            </w:r>
            <w:r>
              <w:rPr>
                <w:rFonts w:ascii="宋体" w:hAnsi="宋体" w:eastAsia="宋体" w:cs="Times New Roman"/>
                <w:color w:val="auto"/>
                <w:vertAlign w:val="subscript"/>
                <w:lang w:bidi="ar"/>
              </w:rPr>
              <w:t>max</w:t>
            </w:r>
            <w:r>
              <w:rPr>
                <w:rFonts w:ascii="宋体" w:hAnsi="宋体" w:eastAsia="宋体" w:cs="Times New Roman"/>
                <w:color w:val="auto"/>
                <w:lang w:bidi="ar"/>
              </w:rPr>
              <w:t>）/（kW）</w:t>
            </w:r>
          </w:p>
        </w:tc>
        <w:tc>
          <w:tcPr>
            <w:tcW w:w="1171" w:type="pct"/>
            <w:shd w:val="clear" w:color="auto" w:fill="auto"/>
            <w:vAlign w:val="center"/>
          </w:tcPr>
          <w:p w14:paraId="1DADCFDE">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光吸收系数/m</w:t>
            </w:r>
            <w:r>
              <w:rPr>
                <w:rFonts w:hint="eastAsia" w:ascii="微软雅黑" w:hAnsi="微软雅黑" w:eastAsia="微软雅黑" w:cs="微软雅黑"/>
                <w:color w:val="auto"/>
                <w:vertAlign w:val="superscript"/>
                <w:lang w:bidi="ar"/>
              </w:rPr>
              <w:t>−</w:t>
            </w:r>
            <w:r>
              <w:rPr>
                <w:rFonts w:ascii="宋体" w:hAnsi="宋体" w:eastAsia="宋体" w:cs="Times New Roman"/>
                <w:color w:val="auto"/>
                <w:vertAlign w:val="superscript"/>
                <w:lang w:bidi="ar"/>
              </w:rPr>
              <w:t>1</w:t>
            </w:r>
          </w:p>
        </w:tc>
        <w:tc>
          <w:tcPr>
            <w:tcW w:w="1177" w:type="pct"/>
            <w:shd w:val="clear" w:color="auto" w:fill="auto"/>
            <w:vAlign w:val="center"/>
          </w:tcPr>
          <w:p w14:paraId="300C3457">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林格曼黑度级数</w:t>
            </w:r>
          </w:p>
        </w:tc>
      </w:tr>
      <w:tr w14:paraId="4AA5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Merge w:val="restart"/>
            <w:shd w:val="clear" w:color="auto" w:fill="auto"/>
            <w:vAlign w:val="center"/>
          </w:tcPr>
          <w:p w14:paraId="53EDE98D">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Ⅱ类</w:t>
            </w:r>
          </w:p>
        </w:tc>
        <w:tc>
          <w:tcPr>
            <w:tcW w:w="2075" w:type="pct"/>
            <w:shd w:val="clear" w:color="auto" w:fill="auto"/>
            <w:vAlign w:val="center"/>
          </w:tcPr>
          <w:p w14:paraId="69259C2A">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P</w:t>
            </w:r>
            <w:r>
              <w:rPr>
                <w:rFonts w:ascii="宋体" w:hAnsi="宋体" w:eastAsia="宋体" w:cs="Times New Roman"/>
                <w:color w:val="auto"/>
                <w:vertAlign w:val="subscript"/>
                <w:lang w:bidi="ar"/>
              </w:rPr>
              <w:t>max</w:t>
            </w:r>
            <w:r>
              <w:rPr>
                <w:rFonts w:ascii="宋体" w:hAnsi="宋体" w:eastAsia="宋体" w:cs="Times New Roman"/>
                <w:color w:val="auto"/>
                <w:lang w:bidi="ar"/>
              </w:rPr>
              <w:t>＜19</w:t>
            </w:r>
          </w:p>
        </w:tc>
        <w:tc>
          <w:tcPr>
            <w:tcW w:w="1171" w:type="pct"/>
            <w:shd w:val="clear" w:color="auto" w:fill="auto"/>
            <w:vAlign w:val="center"/>
          </w:tcPr>
          <w:p w14:paraId="62E4DE35">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2.00</w:t>
            </w:r>
          </w:p>
        </w:tc>
        <w:tc>
          <w:tcPr>
            <w:tcW w:w="1177" w:type="pct"/>
            <w:shd w:val="clear" w:color="auto" w:fill="auto"/>
            <w:vAlign w:val="center"/>
          </w:tcPr>
          <w:p w14:paraId="012D8720">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1</w:t>
            </w:r>
          </w:p>
        </w:tc>
      </w:tr>
      <w:tr w14:paraId="6914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Merge w:val="continue"/>
            <w:shd w:val="clear" w:color="auto" w:fill="auto"/>
            <w:vAlign w:val="center"/>
          </w:tcPr>
          <w:p w14:paraId="4CC6AC93">
            <w:pPr>
              <w:adjustRightInd w:val="0"/>
              <w:snapToGrid w:val="0"/>
              <w:jc w:val="center"/>
              <w:rPr>
                <w:rFonts w:ascii="宋体" w:hAnsi="宋体" w:eastAsia="宋体" w:cs="Times New Roman"/>
                <w:color w:val="auto"/>
                <w:lang w:bidi="ar"/>
              </w:rPr>
            </w:pPr>
          </w:p>
        </w:tc>
        <w:tc>
          <w:tcPr>
            <w:tcW w:w="2075" w:type="pct"/>
            <w:shd w:val="clear" w:color="auto" w:fill="auto"/>
            <w:vAlign w:val="center"/>
          </w:tcPr>
          <w:p w14:paraId="7CD75825">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19≤P</w:t>
            </w:r>
            <w:r>
              <w:rPr>
                <w:rFonts w:ascii="宋体" w:hAnsi="宋体" w:eastAsia="宋体" w:cs="Times New Roman"/>
                <w:color w:val="auto"/>
                <w:vertAlign w:val="subscript"/>
                <w:lang w:bidi="ar"/>
              </w:rPr>
              <w:t>max</w:t>
            </w:r>
            <w:r>
              <w:rPr>
                <w:rFonts w:ascii="宋体" w:hAnsi="宋体" w:eastAsia="宋体" w:cs="Times New Roman"/>
                <w:color w:val="auto"/>
                <w:lang w:bidi="ar"/>
              </w:rPr>
              <w:t>＜37</w:t>
            </w:r>
          </w:p>
        </w:tc>
        <w:tc>
          <w:tcPr>
            <w:tcW w:w="1171" w:type="pct"/>
            <w:shd w:val="clear" w:color="auto" w:fill="auto"/>
            <w:vAlign w:val="center"/>
          </w:tcPr>
          <w:p w14:paraId="6C5D6DFD">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1.00</w:t>
            </w:r>
          </w:p>
        </w:tc>
        <w:tc>
          <w:tcPr>
            <w:tcW w:w="1177" w:type="pct"/>
            <w:vMerge w:val="restart"/>
            <w:shd w:val="clear" w:color="auto" w:fill="auto"/>
            <w:vAlign w:val="center"/>
          </w:tcPr>
          <w:p w14:paraId="57516823">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1</w:t>
            </w:r>
          </w:p>
        </w:tc>
      </w:tr>
      <w:tr w14:paraId="5A99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7" w:type="pct"/>
            <w:vMerge w:val="continue"/>
            <w:shd w:val="clear" w:color="auto" w:fill="auto"/>
            <w:vAlign w:val="center"/>
          </w:tcPr>
          <w:p w14:paraId="6341DEE0">
            <w:pPr>
              <w:adjustRightInd w:val="0"/>
              <w:snapToGrid w:val="0"/>
              <w:jc w:val="center"/>
              <w:rPr>
                <w:rFonts w:ascii="宋体" w:hAnsi="宋体" w:eastAsia="宋体" w:cs="Times New Roman"/>
                <w:color w:val="auto"/>
                <w:lang w:bidi="ar"/>
              </w:rPr>
            </w:pPr>
          </w:p>
        </w:tc>
        <w:tc>
          <w:tcPr>
            <w:tcW w:w="2075" w:type="pct"/>
            <w:shd w:val="clear" w:color="auto" w:fill="auto"/>
            <w:vAlign w:val="center"/>
          </w:tcPr>
          <w:p w14:paraId="7110140F">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P</w:t>
            </w:r>
            <w:r>
              <w:rPr>
                <w:rFonts w:ascii="宋体" w:hAnsi="宋体" w:eastAsia="宋体" w:cs="Times New Roman"/>
                <w:color w:val="auto"/>
                <w:vertAlign w:val="subscript"/>
                <w:lang w:bidi="ar"/>
              </w:rPr>
              <w:t>max</w:t>
            </w:r>
            <w:r>
              <w:rPr>
                <w:rFonts w:ascii="宋体" w:hAnsi="宋体" w:eastAsia="宋体" w:cs="Times New Roman"/>
                <w:color w:val="auto"/>
                <w:lang w:bidi="ar"/>
              </w:rPr>
              <w:t>≥37</w:t>
            </w:r>
          </w:p>
        </w:tc>
        <w:tc>
          <w:tcPr>
            <w:tcW w:w="1171" w:type="pct"/>
            <w:shd w:val="clear" w:color="auto" w:fill="auto"/>
            <w:vAlign w:val="center"/>
          </w:tcPr>
          <w:p w14:paraId="10DE77BE">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0.80</w:t>
            </w:r>
          </w:p>
        </w:tc>
        <w:tc>
          <w:tcPr>
            <w:tcW w:w="1177" w:type="pct"/>
            <w:vMerge w:val="continue"/>
            <w:shd w:val="clear" w:color="auto" w:fill="auto"/>
            <w:vAlign w:val="center"/>
          </w:tcPr>
          <w:p w14:paraId="41A463E7">
            <w:pPr>
              <w:adjustRightInd w:val="0"/>
              <w:snapToGrid w:val="0"/>
              <w:jc w:val="center"/>
              <w:rPr>
                <w:rFonts w:ascii="宋体" w:hAnsi="宋体" w:eastAsia="宋体" w:cs="Times New Roman"/>
                <w:color w:val="auto"/>
                <w:lang w:bidi="ar"/>
              </w:rPr>
            </w:pPr>
          </w:p>
        </w:tc>
      </w:tr>
    </w:tbl>
    <w:p w14:paraId="4B9F759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废水</w:t>
      </w:r>
    </w:p>
    <w:p w14:paraId="3F70375E">
      <w:pPr>
        <w:pStyle w:val="276"/>
        <w:widowControl w:val="0"/>
        <w:spacing w:line="440" w:lineRule="exact"/>
        <w:ind w:firstLine="480"/>
        <w:jc w:val="both"/>
        <w:rPr>
          <w:color w:val="auto"/>
        </w:rPr>
      </w:pPr>
      <w:r>
        <w:rPr>
          <w:color w:val="auto"/>
          <w:kern w:val="21"/>
          <w:lang w:bidi="zh-CN"/>
        </w:rPr>
        <w:t>本项目水基钻井废水、水基废钻井液、水基钻井岩屑依托大庆油田昆仑集团有限公司环保分公司处理，处理后的压滤水由罐车拉运至朝二联含油污水处理站处理达标后回注油层。</w:t>
      </w:r>
      <w:r>
        <w:rPr>
          <w:color w:val="auto"/>
        </w:rPr>
        <w:t>试压废水、作业污水、洗井污水依托朝二联含油污水处理站处理达标后回注油层。油田采出水依托朝二联含油污水处理站处理达标后回注油层；压裂返排液由罐车拉运至朝一联压裂返排液无害化处理站处理后，管输进入朝一联含油污水处理站处理。朝二联含油污水处理站和朝一联含油污水处理站进水指标要求为含油量≤1000mg/L、悬浮固体含量≤100mg/L，出水指标为含油量≤5mg/L、悬浮固体含量≤1mg/L、粒径中值≤1μm。处理后的污水同时满足《大庆油田地面工程建设设计规定》（Q/SYDQ0639-2015）、《碎屑岩油藏注水水质指标技术要求及分析方法》（SY/T5329-2022）限值要求后回注油层。《大庆油田地面工程建设设计规定》（Q/SYDQ0639-2015）标准限值见表2.5-15，《碎屑岩油藏注水水质指标技术要求及分析方法》（SY/T5329-2022）标准限值见表2.5-16。</w:t>
      </w:r>
    </w:p>
    <w:p w14:paraId="4F08EC7C">
      <w:pPr>
        <w:pStyle w:val="276"/>
        <w:widowControl w:val="0"/>
        <w:spacing w:line="440" w:lineRule="exact"/>
        <w:ind w:firstLine="480"/>
        <w:jc w:val="both"/>
        <w:rPr>
          <w:color w:val="auto"/>
        </w:rPr>
      </w:pPr>
      <w:r>
        <w:rPr>
          <w:color w:val="auto"/>
        </w:rPr>
        <w:t>施工期生活污水定期拉运至第十采油厂厂区污水泵房，经地下管网输至第十采油厂厂区生活污水处理站处理达标后排入牛毛沟，生活污水排放执行第十采油厂厂区生活污水处理站进水标准，排水执行《城镇污水处理</w:t>
      </w:r>
      <w:r>
        <w:rPr>
          <w:rFonts w:hint="eastAsia"/>
          <w:color w:val="auto"/>
        </w:rPr>
        <w:t>厂</w:t>
      </w:r>
      <w:r>
        <w:rPr>
          <w:color w:val="auto"/>
        </w:rPr>
        <w:t>污染物排放标准》(</w:t>
      </w:r>
      <w:r>
        <w:rPr>
          <w:snapToGrid w:val="0"/>
          <w:color w:val="auto"/>
        </w:rPr>
        <w:t>GB18918</w:t>
      </w:r>
      <w:r>
        <w:rPr>
          <w:color w:val="auto"/>
        </w:rPr>
        <w:t>-2002)中表1一级A标准，具体见表2.5-17。</w:t>
      </w:r>
    </w:p>
    <w:p w14:paraId="24653AFF">
      <w:pPr>
        <w:pStyle w:val="22"/>
        <w:spacing w:before="156"/>
        <w:rPr>
          <w:snapToGrid w:val="0"/>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15</w:t>
      </w:r>
      <w:r>
        <w:rPr>
          <w:color w:val="auto"/>
        </w:rPr>
        <w:fldChar w:fldCharType="end"/>
      </w:r>
      <w:r>
        <w:rPr>
          <w:snapToGrid w:val="0"/>
          <w:color w:val="auto"/>
        </w:rPr>
        <w:t>大庆油田水驱注水水质主要控制指标</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566"/>
        <w:gridCol w:w="1285"/>
        <w:gridCol w:w="1283"/>
        <w:gridCol w:w="1287"/>
        <w:gridCol w:w="1285"/>
        <w:gridCol w:w="1420"/>
      </w:tblGrid>
      <w:tr w14:paraId="57D8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vMerge w:val="restart"/>
            <w:shd w:val="clear" w:color="auto" w:fill="auto"/>
            <w:vAlign w:val="center"/>
          </w:tcPr>
          <w:p w14:paraId="5A951C55">
            <w:pPr>
              <w:jc w:val="center"/>
              <w:rPr>
                <w:rFonts w:ascii="宋体" w:hAnsi="宋体" w:eastAsia="宋体" w:cs="Times New Roman"/>
                <w:color w:val="auto"/>
              </w:rPr>
            </w:pPr>
            <w:r>
              <w:rPr>
                <w:rFonts w:ascii="宋体" w:hAnsi="宋体" w:eastAsia="宋体" w:cs="Times New Roman"/>
                <w:color w:val="auto"/>
              </w:rPr>
              <w:t>项目</w:t>
            </w:r>
          </w:p>
        </w:tc>
        <w:tc>
          <w:tcPr>
            <w:tcW w:w="3594" w:type="pct"/>
            <w:gridSpan w:val="5"/>
            <w:shd w:val="clear" w:color="auto" w:fill="auto"/>
            <w:vAlign w:val="center"/>
          </w:tcPr>
          <w:p w14:paraId="256CBE99">
            <w:pPr>
              <w:jc w:val="center"/>
              <w:rPr>
                <w:rFonts w:ascii="宋体" w:hAnsi="宋体" w:eastAsia="宋体" w:cs="Times New Roman"/>
                <w:color w:val="auto"/>
              </w:rPr>
            </w:pPr>
            <w:r>
              <w:rPr>
                <w:rFonts w:ascii="宋体" w:hAnsi="宋体" w:eastAsia="宋体" w:cs="Times New Roman"/>
                <w:color w:val="auto"/>
              </w:rPr>
              <w:t>空气渗透率μm</w:t>
            </w:r>
            <w:r>
              <w:rPr>
                <w:rFonts w:ascii="宋体" w:hAnsi="宋体" w:eastAsia="宋体" w:cs="Times New Roman"/>
                <w:color w:val="auto"/>
                <w:vertAlign w:val="superscript"/>
              </w:rPr>
              <w:t>2</w:t>
            </w:r>
          </w:p>
        </w:tc>
      </w:tr>
      <w:tr w14:paraId="6805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vMerge w:val="continue"/>
            <w:shd w:val="clear" w:color="auto" w:fill="auto"/>
            <w:vAlign w:val="center"/>
          </w:tcPr>
          <w:p w14:paraId="3222875B">
            <w:pPr>
              <w:jc w:val="center"/>
              <w:rPr>
                <w:rFonts w:ascii="宋体" w:hAnsi="宋体" w:eastAsia="宋体" w:cs="Times New Roman"/>
                <w:color w:val="auto"/>
              </w:rPr>
            </w:pPr>
          </w:p>
        </w:tc>
        <w:tc>
          <w:tcPr>
            <w:tcW w:w="704" w:type="pct"/>
            <w:shd w:val="clear" w:color="auto" w:fill="auto"/>
            <w:vAlign w:val="center"/>
          </w:tcPr>
          <w:p w14:paraId="71AF8E0A">
            <w:pPr>
              <w:jc w:val="center"/>
              <w:rPr>
                <w:rFonts w:ascii="宋体" w:hAnsi="宋体" w:eastAsia="宋体" w:cs="Times New Roman"/>
                <w:color w:val="auto"/>
              </w:rPr>
            </w:pPr>
            <w:r>
              <w:rPr>
                <w:rFonts w:ascii="宋体" w:hAnsi="宋体" w:eastAsia="宋体" w:cs="Times New Roman"/>
                <w:color w:val="auto"/>
              </w:rPr>
              <w:t>＜0.02</w:t>
            </w:r>
          </w:p>
        </w:tc>
        <w:tc>
          <w:tcPr>
            <w:tcW w:w="703" w:type="pct"/>
            <w:shd w:val="clear" w:color="auto" w:fill="auto"/>
            <w:vAlign w:val="center"/>
          </w:tcPr>
          <w:p w14:paraId="76E9099E">
            <w:pPr>
              <w:jc w:val="center"/>
              <w:rPr>
                <w:rFonts w:ascii="宋体" w:hAnsi="宋体" w:eastAsia="宋体" w:cs="Times New Roman"/>
                <w:color w:val="auto"/>
              </w:rPr>
            </w:pPr>
            <w:r>
              <w:rPr>
                <w:rFonts w:ascii="宋体" w:hAnsi="宋体" w:eastAsia="宋体" w:cs="Times New Roman"/>
                <w:color w:val="auto"/>
              </w:rPr>
              <w:t>0.02-0.1</w:t>
            </w:r>
          </w:p>
        </w:tc>
        <w:tc>
          <w:tcPr>
            <w:tcW w:w="705" w:type="pct"/>
            <w:shd w:val="clear" w:color="auto" w:fill="auto"/>
            <w:vAlign w:val="center"/>
          </w:tcPr>
          <w:p w14:paraId="6522F97E">
            <w:pPr>
              <w:jc w:val="center"/>
              <w:rPr>
                <w:rFonts w:ascii="宋体" w:hAnsi="宋体" w:eastAsia="宋体" w:cs="Times New Roman"/>
                <w:color w:val="auto"/>
              </w:rPr>
            </w:pPr>
            <w:r>
              <w:rPr>
                <w:rFonts w:ascii="宋体" w:hAnsi="宋体" w:eastAsia="宋体" w:cs="Times New Roman"/>
                <w:color w:val="auto"/>
              </w:rPr>
              <w:t>0.1-0.3</w:t>
            </w:r>
          </w:p>
        </w:tc>
        <w:tc>
          <w:tcPr>
            <w:tcW w:w="704" w:type="pct"/>
            <w:shd w:val="clear" w:color="auto" w:fill="auto"/>
            <w:vAlign w:val="center"/>
          </w:tcPr>
          <w:p w14:paraId="09CA43CC">
            <w:pPr>
              <w:jc w:val="center"/>
              <w:rPr>
                <w:rFonts w:ascii="宋体" w:hAnsi="宋体" w:eastAsia="宋体" w:cs="Times New Roman"/>
                <w:color w:val="auto"/>
              </w:rPr>
            </w:pPr>
            <w:r>
              <w:rPr>
                <w:rFonts w:ascii="宋体" w:hAnsi="宋体" w:eastAsia="宋体" w:cs="Times New Roman"/>
                <w:color w:val="auto"/>
              </w:rPr>
              <w:t>0.3-0.6</w:t>
            </w:r>
          </w:p>
        </w:tc>
        <w:tc>
          <w:tcPr>
            <w:tcW w:w="778" w:type="pct"/>
            <w:shd w:val="clear" w:color="auto" w:fill="auto"/>
            <w:vAlign w:val="center"/>
          </w:tcPr>
          <w:p w14:paraId="2F97A79A">
            <w:pPr>
              <w:jc w:val="center"/>
              <w:rPr>
                <w:rFonts w:ascii="宋体" w:hAnsi="宋体" w:eastAsia="宋体" w:cs="Times New Roman"/>
                <w:color w:val="auto"/>
              </w:rPr>
            </w:pPr>
            <w:r>
              <w:rPr>
                <w:rFonts w:ascii="宋体" w:hAnsi="宋体" w:eastAsia="宋体" w:cs="Times New Roman"/>
                <w:color w:val="auto"/>
              </w:rPr>
              <w:t>＞0.6</w:t>
            </w:r>
          </w:p>
        </w:tc>
      </w:tr>
      <w:tr w14:paraId="6000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shd w:val="clear" w:color="auto" w:fill="auto"/>
            <w:vAlign w:val="center"/>
          </w:tcPr>
          <w:p w14:paraId="36D20A93">
            <w:pPr>
              <w:jc w:val="center"/>
              <w:rPr>
                <w:rFonts w:ascii="宋体" w:hAnsi="宋体" w:eastAsia="宋体" w:cs="Times New Roman"/>
                <w:color w:val="auto"/>
              </w:rPr>
            </w:pPr>
            <w:r>
              <w:rPr>
                <w:rFonts w:ascii="宋体" w:hAnsi="宋体" w:eastAsia="宋体" w:cs="Times New Roman"/>
                <w:color w:val="auto"/>
              </w:rPr>
              <w:t>含油量，mg/L</w:t>
            </w:r>
          </w:p>
        </w:tc>
        <w:tc>
          <w:tcPr>
            <w:tcW w:w="704" w:type="pct"/>
            <w:shd w:val="clear" w:color="auto" w:fill="auto"/>
            <w:vAlign w:val="center"/>
          </w:tcPr>
          <w:p w14:paraId="32EC8856">
            <w:pPr>
              <w:jc w:val="center"/>
              <w:rPr>
                <w:rFonts w:ascii="宋体" w:hAnsi="宋体" w:eastAsia="宋体" w:cs="Times New Roman"/>
                <w:color w:val="auto"/>
              </w:rPr>
            </w:pPr>
            <w:r>
              <w:rPr>
                <w:rFonts w:ascii="宋体" w:hAnsi="宋体" w:eastAsia="宋体" w:cs="Times New Roman"/>
                <w:color w:val="auto"/>
              </w:rPr>
              <w:t>≤5.0</w:t>
            </w:r>
          </w:p>
        </w:tc>
        <w:tc>
          <w:tcPr>
            <w:tcW w:w="703" w:type="pct"/>
            <w:shd w:val="clear" w:color="auto" w:fill="auto"/>
            <w:vAlign w:val="center"/>
          </w:tcPr>
          <w:p w14:paraId="37372A67">
            <w:pPr>
              <w:jc w:val="center"/>
              <w:rPr>
                <w:rFonts w:ascii="宋体" w:hAnsi="宋体" w:eastAsia="宋体" w:cs="Times New Roman"/>
                <w:color w:val="auto"/>
              </w:rPr>
            </w:pPr>
            <w:r>
              <w:rPr>
                <w:rFonts w:ascii="宋体" w:hAnsi="宋体" w:eastAsia="宋体" w:cs="Times New Roman"/>
                <w:color w:val="auto"/>
              </w:rPr>
              <w:t>≤8.0</w:t>
            </w:r>
          </w:p>
        </w:tc>
        <w:tc>
          <w:tcPr>
            <w:tcW w:w="705" w:type="pct"/>
            <w:shd w:val="clear" w:color="auto" w:fill="auto"/>
            <w:vAlign w:val="center"/>
          </w:tcPr>
          <w:p w14:paraId="5A627F1E">
            <w:pPr>
              <w:jc w:val="center"/>
              <w:rPr>
                <w:rFonts w:ascii="宋体" w:hAnsi="宋体" w:eastAsia="宋体" w:cs="Times New Roman"/>
                <w:color w:val="auto"/>
              </w:rPr>
            </w:pPr>
            <w:r>
              <w:rPr>
                <w:rFonts w:ascii="宋体" w:hAnsi="宋体" w:eastAsia="宋体" w:cs="Times New Roman"/>
                <w:color w:val="auto"/>
              </w:rPr>
              <w:t>≤10.0</w:t>
            </w:r>
          </w:p>
        </w:tc>
        <w:tc>
          <w:tcPr>
            <w:tcW w:w="704" w:type="pct"/>
            <w:shd w:val="clear" w:color="auto" w:fill="auto"/>
            <w:vAlign w:val="center"/>
          </w:tcPr>
          <w:p w14:paraId="0FB3899A">
            <w:pPr>
              <w:jc w:val="center"/>
              <w:rPr>
                <w:rFonts w:ascii="宋体" w:hAnsi="宋体" w:eastAsia="宋体" w:cs="Times New Roman"/>
                <w:color w:val="auto"/>
              </w:rPr>
            </w:pPr>
            <w:r>
              <w:rPr>
                <w:rFonts w:ascii="宋体" w:hAnsi="宋体" w:eastAsia="宋体" w:cs="Times New Roman"/>
                <w:color w:val="auto"/>
              </w:rPr>
              <w:t>≤15.0</w:t>
            </w:r>
          </w:p>
        </w:tc>
        <w:tc>
          <w:tcPr>
            <w:tcW w:w="778" w:type="pct"/>
            <w:shd w:val="clear" w:color="auto" w:fill="auto"/>
            <w:vAlign w:val="center"/>
          </w:tcPr>
          <w:p w14:paraId="75B29B67">
            <w:pPr>
              <w:jc w:val="center"/>
              <w:rPr>
                <w:rFonts w:ascii="宋体" w:hAnsi="宋体" w:eastAsia="宋体" w:cs="Times New Roman"/>
                <w:color w:val="auto"/>
              </w:rPr>
            </w:pPr>
            <w:r>
              <w:rPr>
                <w:rFonts w:ascii="宋体" w:hAnsi="宋体" w:eastAsia="宋体" w:cs="Times New Roman"/>
                <w:color w:val="auto"/>
              </w:rPr>
              <w:t>≤20.0</w:t>
            </w:r>
          </w:p>
        </w:tc>
      </w:tr>
      <w:tr w14:paraId="5474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shd w:val="clear" w:color="auto" w:fill="auto"/>
            <w:vAlign w:val="center"/>
          </w:tcPr>
          <w:p w14:paraId="184743F5">
            <w:pPr>
              <w:jc w:val="center"/>
              <w:rPr>
                <w:rFonts w:ascii="宋体" w:hAnsi="宋体" w:eastAsia="宋体" w:cs="Times New Roman"/>
                <w:color w:val="auto"/>
              </w:rPr>
            </w:pPr>
            <w:r>
              <w:rPr>
                <w:rFonts w:ascii="宋体" w:hAnsi="宋体" w:eastAsia="宋体" w:cs="Times New Roman"/>
                <w:color w:val="auto"/>
              </w:rPr>
              <w:t>悬浮固体含量，mg/L</w:t>
            </w:r>
          </w:p>
        </w:tc>
        <w:tc>
          <w:tcPr>
            <w:tcW w:w="704" w:type="pct"/>
            <w:shd w:val="clear" w:color="auto" w:fill="auto"/>
            <w:vAlign w:val="center"/>
          </w:tcPr>
          <w:p w14:paraId="0106C202">
            <w:pPr>
              <w:jc w:val="center"/>
              <w:rPr>
                <w:rFonts w:ascii="宋体" w:hAnsi="宋体" w:eastAsia="宋体" w:cs="Times New Roman"/>
                <w:color w:val="auto"/>
              </w:rPr>
            </w:pPr>
            <w:r>
              <w:rPr>
                <w:rFonts w:ascii="宋体" w:hAnsi="宋体" w:eastAsia="宋体" w:cs="Times New Roman"/>
                <w:color w:val="auto"/>
              </w:rPr>
              <w:t>≤1.0</w:t>
            </w:r>
          </w:p>
        </w:tc>
        <w:tc>
          <w:tcPr>
            <w:tcW w:w="703" w:type="pct"/>
            <w:shd w:val="clear" w:color="auto" w:fill="auto"/>
            <w:vAlign w:val="center"/>
          </w:tcPr>
          <w:p w14:paraId="7B4D7C72">
            <w:pPr>
              <w:jc w:val="center"/>
              <w:rPr>
                <w:rFonts w:ascii="宋体" w:hAnsi="宋体" w:eastAsia="宋体" w:cs="Times New Roman"/>
                <w:color w:val="auto"/>
              </w:rPr>
            </w:pPr>
            <w:r>
              <w:rPr>
                <w:rFonts w:ascii="宋体" w:hAnsi="宋体" w:eastAsia="宋体" w:cs="Times New Roman"/>
                <w:color w:val="auto"/>
              </w:rPr>
              <w:t>≤3.0</w:t>
            </w:r>
          </w:p>
        </w:tc>
        <w:tc>
          <w:tcPr>
            <w:tcW w:w="705" w:type="pct"/>
            <w:shd w:val="clear" w:color="auto" w:fill="auto"/>
            <w:vAlign w:val="center"/>
          </w:tcPr>
          <w:p w14:paraId="66AC2AAF">
            <w:pPr>
              <w:jc w:val="center"/>
              <w:rPr>
                <w:rFonts w:ascii="宋体" w:hAnsi="宋体" w:eastAsia="宋体" w:cs="Times New Roman"/>
                <w:color w:val="auto"/>
              </w:rPr>
            </w:pPr>
            <w:r>
              <w:rPr>
                <w:rFonts w:ascii="宋体" w:hAnsi="宋体" w:eastAsia="宋体" w:cs="Times New Roman"/>
                <w:color w:val="auto"/>
              </w:rPr>
              <w:t>≤5.0</w:t>
            </w:r>
          </w:p>
        </w:tc>
        <w:tc>
          <w:tcPr>
            <w:tcW w:w="704" w:type="pct"/>
            <w:shd w:val="clear" w:color="auto" w:fill="auto"/>
            <w:vAlign w:val="center"/>
          </w:tcPr>
          <w:p w14:paraId="75EE57F5">
            <w:pPr>
              <w:jc w:val="center"/>
              <w:rPr>
                <w:rFonts w:ascii="宋体" w:hAnsi="宋体" w:eastAsia="宋体" w:cs="Times New Roman"/>
                <w:color w:val="auto"/>
              </w:rPr>
            </w:pPr>
            <w:r>
              <w:rPr>
                <w:rFonts w:ascii="宋体" w:hAnsi="宋体" w:eastAsia="宋体" w:cs="Times New Roman"/>
                <w:color w:val="auto"/>
              </w:rPr>
              <w:t>≤5.0</w:t>
            </w:r>
          </w:p>
        </w:tc>
        <w:tc>
          <w:tcPr>
            <w:tcW w:w="778" w:type="pct"/>
            <w:shd w:val="clear" w:color="auto" w:fill="auto"/>
            <w:vAlign w:val="center"/>
          </w:tcPr>
          <w:p w14:paraId="53B150C8">
            <w:pPr>
              <w:jc w:val="center"/>
              <w:rPr>
                <w:rFonts w:ascii="宋体" w:hAnsi="宋体" w:eastAsia="宋体" w:cs="Times New Roman"/>
                <w:color w:val="auto"/>
              </w:rPr>
            </w:pPr>
            <w:r>
              <w:rPr>
                <w:rFonts w:ascii="宋体" w:hAnsi="宋体" w:eastAsia="宋体" w:cs="Times New Roman"/>
                <w:color w:val="auto"/>
              </w:rPr>
              <w:t>≤10.0</w:t>
            </w:r>
          </w:p>
        </w:tc>
      </w:tr>
      <w:tr w14:paraId="5E74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shd w:val="clear" w:color="auto" w:fill="auto"/>
            <w:vAlign w:val="center"/>
          </w:tcPr>
          <w:p w14:paraId="25105D91">
            <w:pPr>
              <w:jc w:val="center"/>
              <w:rPr>
                <w:rFonts w:ascii="宋体" w:hAnsi="宋体" w:eastAsia="宋体" w:cs="Times New Roman"/>
                <w:color w:val="auto"/>
              </w:rPr>
            </w:pPr>
            <w:r>
              <w:rPr>
                <w:rFonts w:ascii="宋体" w:hAnsi="宋体" w:eastAsia="宋体" w:cs="Times New Roman"/>
                <w:color w:val="auto"/>
              </w:rPr>
              <w:t>悬浮物颗粒直径中值，μm</w:t>
            </w:r>
          </w:p>
        </w:tc>
        <w:tc>
          <w:tcPr>
            <w:tcW w:w="704" w:type="pct"/>
            <w:shd w:val="clear" w:color="auto" w:fill="auto"/>
            <w:vAlign w:val="center"/>
          </w:tcPr>
          <w:p w14:paraId="7FE24AC7">
            <w:pPr>
              <w:jc w:val="center"/>
              <w:rPr>
                <w:rFonts w:ascii="宋体" w:hAnsi="宋体" w:eastAsia="宋体" w:cs="Times New Roman"/>
                <w:color w:val="auto"/>
              </w:rPr>
            </w:pPr>
            <w:r>
              <w:rPr>
                <w:rFonts w:ascii="宋体" w:hAnsi="宋体" w:eastAsia="宋体" w:cs="Times New Roman"/>
                <w:color w:val="auto"/>
              </w:rPr>
              <w:t>≤1.0</w:t>
            </w:r>
          </w:p>
        </w:tc>
        <w:tc>
          <w:tcPr>
            <w:tcW w:w="703" w:type="pct"/>
            <w:shd w:val="clear" w:color="auto" w:fill="auto"/>
            <w:vAlign w:val="center"/>
          </w:tcPr>
          <w:p w14:paraId="275BC2F5">
            <w:pPr>
              <w:jc w:val="center"/>
              <w:rPr>
                <w:rFonts w:ascii="宋体" w:hAnsi="宋体" w:eastAsia="宋体" w:cs="Times New Roman"/>
                <w:color w:val="auto"/>
              </w:rPr>
            </w:pPr>
            <w:r>
              <w:rPr>
                <w:rFonts w:ascii="宋体" w:hAnsi="宋体" w:eastAsia="宋体" w:cs="Times New Roman"/>
                <w:color w:val="auto"/>
              </w:rPr>
              <w:t>≤2.0</w:t>
            </w:r>
          </w:p>
        </w:tc>
        <w:tc>
          <w:tcPr>
            <w:tcW w:w="705" w:type="pct"/>
            <w:shd w:val="clear" w:color="auto" w:fill="auto"/>
            <w:vAlign w:val="center"/>
          </w:tcPr>
          <w:p w14:paraId="065304DA">
            <w:pPr>
              <w:jc w:val="center"/>
              <w:rPr>
                <w:rFonts w:ascii="宋体" w:hAnsi="宋体" w:eastAsia="宋体" w:cs="Times New Roman"/>
                <w:color w:val="auto"/>
              </w:rPr>
            </w:pPr>
            <w:r>
              <w:rPr>
                <w:rFonts w:ascii="宋体" w:hAnsi="宋体" w:eastAsia="宋体" w:cs="Times New Roman"/>
                <w:color w:val="auto"/>
              </w:rPr>
              <w:t>≤2.0</w:t>
            </w:r>
          </w:p>
        </w:tc>
        <w:tc>
          <w:tcPr>
            <w:tcW w:w="704" w:type="pct"/>
            <w:shd w:val="clear" w:color="auto" w:fill="auto"/>
            <w:vAlign w:val="center"/>
          </w:tcPr>
          <w:p w14:paraId="39EDDC7D">
            <w:pPr>
              <w:jc w:val="center"/>
              <w:rPr>
                <w:rFonts w:ascii="宋体" w:hAnsi="宋体" w:eastAsia="宋体" w:cs="Times New Roman"/>
                <w:color w:val="auto"/>
              </w:rPr>
            </w:pPr>
            <w:r>
              <w:rPr>
                <w:rFonts w:ascii="宋体" w:hAnsi="宋体" w:eastAsia="宋体" w:cs="Times New Roman"/>
                <w:color w:val="auto"/>
              </w:rPr>
              <w:t>≤3.0</w:t>
            </w:r>
          </w:p>
        </w:tc>
        <w:tc>
          <w:tcPr>
            <w:tcW w:w="778" w:type="pct"/>
            <w:shd w:val="clear" w:color="auto" w:fill="auto"/>
            <w:vAlign w:val="center"/>
          </w:tcPr>
          <w:p w14:paraId="75307136">
            <w:pPr>
              <w:jc w:val="center"/>
              <w:rPr>
                <w:rFonts w:ascii="宋体" w:hAnsi="宋体" w:eastAsia="宋体" w:cs="Times New Roman"/>
                <w:color w:val="auto"/>
              </w:rPr>
            </w:pPr>
            <w:r>
              <w:rPr>
                <w:rFonts w:ascii="宋体" w:hAnsi="宋体" w:eastAsia="宋体" w:cs="Times New Roman"/>
                <w:color w:val="auto"/>
              </w:rPr>
              <w:t>≤3.0</w:t>
            </w:r>
          </w:p>
        </w:tc>
      </w:tr>
    </w:tbl>
    <w:p w14:paraId="2839C386">
      <w:pPr>
        <w:pStyle w:val="22"/>
        <w:spacing w:before="156"/>
        <w:rPr>
          <w:snapToGrid w:val="0"/>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16</w:t>
      </w:r>
      <w:r>
        <w:rPr>
          <w:color w:val="auto"/>
        </w:rPr>
        <w:fldChar w:fldCharType="end"/>
      </w:r>
      <w:r>
        <w:rPr>
          <w:color w:val="auto"/>
        </w:rPr>
        <w:t>水质主要控制指标</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559"/>
        <w:gridCol w:w="1278"/>
        <w:gridCol w:w="1316"/>
        <w:gridCol w:w="1280"/>
        <w:gridCol w:w="1279"/>
        <w:gridCol w:w="1414"/>
      </w:tblGrid>
      <w:tr w14:paraId="778E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shd w:val="clear" w:color="auto" w:fill="auto"/>
            <w:vAlign w:val="center"/>
          </w:tcPr>
          <w:p w14:paraId="4B0EB675">
            <w:pPr>
              <w:jc w:val="center"/>
              <w:rPr>
                <w:rFonts w:ascii="宋体" w:hAnsi="宋体" w:eastAsia="宋体" w:cs="Times New Roman"/>
                <w:color w:val="auto"/>
              </w:rPr>
            </w:pPr>
            <w:r>
              <w:rPr>
                <w:rFonts w:ascii="宋体" w:hAnsi="宋体" w:eastAsia="宋体" w:cs="Times New Roman"/>
                <w:color w:val="auto"/>
              </w:rPr>
              <w:t>储层空气渗透率，μm</w:t>
            </w:r>
            <w:r>
              <w:rPr>
                <w:rFonts w:ascii="宋体" w:hAnsi="宋体" w:eastAsia="宋体" w:cs="Times New Roman"/>
                <w:color w:val="auto"/>
                <w:vertAlign w:val="superscript"/>
              </w:rPr>
              <w:t>2</w:t>
            </w:r>
          </w:p>
        </w:tc>
        <w:tc>
          <w:tcPr>
            <w:tcW w:w="704" w:type="pct"/>
            <w:shd w:val="clear" w:color="auto" w:fill="auto"/>
            <w:vAlign w:val="center"/>
          </w:tcPr>
          <w:p w14:paraId="0E7A8AFC">
            <w:pPr>
              <w:jc w:val="center"/>
              <w:rPr>
                <w:rFonts w:ascii="宋体" w:hAnsi="宋体" w:eastAsia="宋体" w:cs="Times New Roman"/>
                <w:color w:val="auto"/>
              </w:rPr>
            </w:pPr>
            <w:r>
              <w:rPr>
                <w:rFonts w:ascii="宋体" w:hAnsi="宋体" w:eastAsia="宋体" w:cs="Times New Roman"/>
                <w:color w:val="auto"/>
              </w:rPr>
              <w:t>＜0.01</w:t>
            </w:r>
          </w:p>
        </w:tc>
        <w:tc>
          <w:tcPr>
            <w:tcW w:w="703" w:type="pct"/>
            <w:shd w:val="clear" w:color="auto" w:fill="auto"/>
            <w:vAlign w:val="center"/>
          </w:tcPr>
          <w:p w14:paraId="0E32AF48">
            <w:pPr>
              <w:jc w:val="center"/>
              <w:rPr>
                <w:rFonts w:ascii="宋体" w:hAnsi="宋体" w:eastAsia="宋体" w:cs="Times New Roman"/>
                <w:color w:val="auto"/>
              </w:rPr>
            </w:pPr>
            <w:r>
              <w:rPr>
                <w:rFonts w:ascii="宋体" w:hAnsi="宋体" w:eastAsia="宋体" w:cs="Times New Roman"/>
                <w:color w:val="auto"/>
              </w:rPr>
              <w:t>[0.01-0.05）</w:t>
            </w:r>
          </w:p>
        </w:tc>
        <w:tc>
          <w:tcPr>
            <w:tcW w:w="705" w:type="pct"/>
            <w:shd w:val="clear" w:color="auto" w:fill="auto"/>
            <w:vAlign w:val="center"/>
          </w:tcPr>
          <w:p w14:paraId="497B0671">
            <w:pPr>
              <w:jc w:val="center"/>
              <w:rPr>
                <w:rFonts w:ascii="宋体" w:hAnsi="宋体" w:eastAsia="宋体" w:cs="Times New Roman"/>
                <w:color w:val="auto"/>
              </w:rPr>
            </w:pPr>
            <w:r>
              <w:rPr>
                <w:rFonts w:ascii="宋体" w:hAnsi="宋体" w:eastAsia="宋体" w:cs="Times New Roman"/>
                <w:color w:val="auto"/>
              </w:rPr>
              <w:t>[0.05-0.5）</w:t>
            </w:r>
          </w:p>
        </w:tc>
        <w:tc>
          <w:tcPr>
            <w:tcW w:w="704" w:type="pct"/>
            <w:shd w:val="clear" w:color="auto" w:fill="auto"/>
            <w:vAlign w:val="center"/>
          </w:tcPr>
          <w:p w14:paraId="0FB2FA1D">
            <w:pPr>
              <w:jc w:val="center"/>
              <w:rPr>
                <w:rFonts w:ascii="宋体" w:hAnsi="宋体" w:eastAsia="宋体" w:cs="Times New Roman"/>
                <w:color w:val="auto"/>
              </w:rPr>
            </w:pPr>
            <w:r>
              <w:rPr>
                <w:rFonts w:ascii="宋体" w:hAnsi="宋体" w:eastAsia="宋体" w:cs="Times New Roman"/>
                <w:color w:val="auto"/>
              </w:rPr>
              <w:t>[0.5-2.0）</w:t>
            </w:r>
          </w:p>
        </w:tc>
        <w:tc>
          <w:tcPr>
            <w:tcW w:w="778" w:type="pct"/>
            <w:shd w:val="clear" w:color="auto" w:fill="auto"/>
            <w:vAlign w:val="center"/>
          </w:tcPr>
          <w:p w14:paraId="6031F4F0">
            <w:pPr>
              <w:jc w:val="center"/>
              <w:rPr>
                <w:rFonts w:ascii="宋体" w:hAnsi="宋体" w:eastAsia="宋体" w:cs="Times New Roman"/>
                <w:color w:val="auto"/>
              </w:rPr>
            </w:pPr>
            <w:r>
              <w:rPr>
                <w:rFonts w:ascii="宋体" w:hAnsi="宋体" w:eastAsia="宋体" w:cs="Times New Roman"/>
                <w:color w:val="auto"/>
              </w:rPr>
              <w:t>≥2.0</w:t>
            </w:r>
          </w:p>
        </w:tc>
      </w:tr>
      <w:tr w14:paraId="7435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shd w:val="clear" w:color="auto" w:fill="auto"/>
            <w:vAlign w:val="center"/>
          </w:tcPr>
          <w:p w14:paraId="314BA6C6">
            <w:pPr>
              <w:jc w:val="center"/>
              <w:rPr>
                <w:rFonts w:ascii="宋体" w:hAnsi="宋体" w:eastAsia="宋体" w:cs="Times New Roman"/>
                <w:color w:val="auto"/>
              </w:rPr>
            </w:pPr>
            <w:r>
              <w:rPr>
                <w:rFonts w:ascii="宋体" w:hAnsi="宋体" w:eastAsia="宋体" w:cs="Times New Roman"/>
                <w:color w:val="auto"/>
              </w:rPr>
              <w:t>悬浮固体含量，mg/L</w:t>
            </w:r>
          </w:p>
        </w:tc>
        <w:tc>
          <w:tcPr>
            <w:tcW w:w="704" w:type="pct"/>
            <w:shd w:val="clear" w:color="auto" w:fill="auto"/>
            <w:vAlign w:val="center"/>
          </w:tcPr>
          <w:p w14:paraId="3E49C7C8">
            <w:pPr>
              <w:jc w:val="center"/>
              <w:rPr>
                <w:rFonts w:ascii="宋体" w:hAnsi="宋体" w:eastAsia="宋体" w:cs="Times New Roman"/>
                <w:color w:val="auto"/>
              </w:rPr>
            </w:pPr>
            <w:r>
              <w:rPr>
                <w:rFonts w:ascii="宋体" w:hAnsi="宋体" w:eastAsia="宋体" w:cs="Times New Roman"/>
                <w:color w:val="auto"/>
              </w:rPr>
              <w:t>≤8.0</w:t>
            </w:r>
          </w:p>
        </w:tc>
        <w:tc>
          <w:tcPr>
            <w:tcW w:w="703" w:type="pct"/>
            <w:shd w:val="clear" w:color="auto" w:fill="auto"/>
            <w:vAlign w:val="center"/>
          </w:tcPr>
          <w:p w14:paraId="2F8212EF">
            <w:pPr>
              <w:jc w:val="center"/>
              <w:rPr>
                <w:rFonts w:ascii="宋体" w:hAnsi="宋体" w:eastAsia="宋体" w:cs="Times New Roman"/>
                <w:color w:val="auto"/>
              </w:rPr>
            </w:pPr>
            <w:r>
              <w:rPr>
                <w:rFonts w:ascii="宋体" w:hAnsi="宋体" w:eastAsia="宋体" w:cs="Times New Roman"/>
                <w:color w:val="auto"/>
              </w:rPr>
              <w:t>≤15.0</w:t>
            </w:r>
          </w:p>
        </w:tc>
        <w:tc>
          <w:tcPr>
            <w:tcW w:w="705" w:type="pct"/>
            <w:shd w:val="clear" w:color="auto" w:fill="auto"/>
            <w:vAlign w:val="center"/>
          </w:tcPr>
          <w:p w14:paraId="2C1D150C">
            <w:pPr>
              <w:jc w:val="center"/>
              <w:rPr>
                <w:rFonts w:ascii="宋体" w:hAnsi="宋体" w:eastAsia="宋体" w:cs="Times New Roman"/>
                <w:color w:val="auto"/>
              </w:rPr>
            </w:pPr>
            <w:r>
              <w:rPr>
                <w:rFonts w:ascii="宋体" w:hAnsi="宋体" w:eastAsia="宋体" w:cs="Times New Roman"/>
                <w:color w:val="auto"/>
              </w:rPr>
              <w:t>≤20.0</w:t>
            </w:r>
          </w:p>
        </w:tc>
        <w:tc>
          <w:tcPr>
            <w:tcW w:w="704" w:type="pct"/>
            <w:shd w:val="clear" w:color="auto" w:fill="auto"/>
            <w:vAlign w:val="center"/>
          </w:tcPr>
          <w:p w14:paraId="72BD2601">
            <w:pPr>
              <w:jc w:val="center"/>
              <w:rPr>
                <w:rFonts w:ascii="宋体" w:hAnsi="宋体" w:eastAsia="宋体" w:cs="Times New Roman"/>
                <w:color w:val="auto"/>
              </w:rPr>
            </w:pPr>
            <w:r>
              <w:rPr>
                <w:rFonts w:ascii="宋体" w:hAnsi="宋体" w:eastAsia="宋体" w:cs="Times New Roman"/>
                <w:color w:val="auto"/>
              </w:rPr>
              <w:t>≤25.0</w:t>
            </w:r>
          </w:p>
        </w:tc>
        <w:tc>
          <w:tcPr>
            <w:tcW w:w="778" w:type="pct"/>
            <w:shd w:val="clear" w:color="auto" w:fill="auto"/>
            <w:vAlign w:val="center"/>
          </w:tcPr>
          <w:p w14:paraId="5D67DA7D">
            <w:pPr>
              <w:jc w:val="center"/>
              <w:rPr>
                <w:rFonts w:ascii="宋体" w:hAnsi="宋体" w:eastAsia="宋体" w:cs="Times New Roman"/>
                <w:color w:val="auto"/>
              </w:rPr>
            </w:pPr>
            <w:r>
              <w:rPr>
                <w:rFonts w:ascii="宋体" w:hAnsi="宋体" w:eastAsia="宋体" w:cs="Times New Roman"/>
                <w:color w:val="auto"/>
              </w:rPr>
              <w:t>≤35.0</w:t>
            </w:r>
          </w:p>
        </w:tc>
      </w:tr>
      <w:tr w14:paraId="35C2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shd w:val="clear" w:color="auto" w:fill="auto"/>
            <w:vAlign w:val="center"/>
          </w:tcPr>
          <w:p w14:paraId="517C8DA4">
            <w:pPr>
              <w:jc w:val="center"/>
              <w:rPr>
                <w:rFonts w:ascii="宋体" w:hAnsi="宋体" w:eastAsia="宋体" w:cs="Times New Roman"/>
                <w:color w:val="auto"/>
              </w:rPr>
            </w:pPr>
            <w:r>
              <w:rPr>
                <w:rFonts w:ascii="宋体" w:hAnsi="宋体" w:eastAsia="宋体" w:cs="Times New Roman"/>
                <w:color w:val="auto"/>
              </w:rPr>
              <w:t>悬浮物颗粒直径中值，μm</w:t>
            </w:r>
          </w:p>
        </w:tc>
        <w:tc>
          <w:tcPr>
            <w:tcW w:w="704" w:type="pct"/>
            <w:shd w:val="clear" w:color="auto" w:fill="auto"/>
            <w:vAlign w:val="center"/>
          </w:tcPr>
          <w:p w14:paraId="3252ADE9">
            <w:pPr>
              <w:jc w:val="center"/>
              <w:rPr>
                <w:rFonts w:ascii="宋体" w:hAnsi="宋体" w:eastAsia="宋体" w:cs="Times New Roman"/>
                <w:color w:val="auto"/>
              </w:rPr>
            </w:pPr>
            <w:r>
              <w:rPr>
                <w:rFonts w:ascii="宋体" w:hAnsi="宋体" w:eastAsia="宋体" w:cs="Times New Roman"/>
                <w:color w:val="auto"/>
              </w:rPr>
              <w:t>≤3.0</w:t>
            </w:r>
          </w:p>
        </w:tc>
        <w:tc>
          <w:tcPr>
            <w:tcW w:w="703" w:type="pct"/>
            <w:shd w:val="clear" w:color="auto" w:fill="auto"/>
            <w:vAlign w:val="center"/>
          </w:tcPr>
          <w:p w14:paraId="28E69B9D">
            <w:pPr>
              <w:jc w:val="center"/>
              <w:rPr>
                <w:rFonts w:ascii="宋体" w:hAnsi="宋体" w:eastAsia="宋体" w:cs="Times New Roman"/>
                <w:color w:val="auto"/>
              </w:rPr>
            </w:pPr>
            <w:r>
              <w:rPr>
                <w:rFonts w:ascii="宋体" w:hAnsi="宋体" w:eastAsia="宋体" w:cs="Times New Roman"/>
                <w:color w:val="auto"/>
              </w:rPr>
              <w:t>≤5.0</w:t>
            </w:r>
          </w:p>
        </w:tc>
        <w:tc>
          <w:tcPr>
            <w:tcW w:w="705" w:type="pct"/>
            <w:shd w:val="clear" w:color="auto" w:fill="auto"/>
            <w:vAlign w:val="center"/>
          </w:tcPr>
          <w:p w14:paraId="31EC92F4">
            <w:pPr>
              <w:jc w:val="center"/>
              <w:rPr>
                <w:rFonts w:ascii="宋体" w:hAnsi="宋体" w:eastAsia="宋体" w:cs="Times New Roman"/>
                <w:color w:val="auto"/>
              </w:rPr>
            </w:pPr>
            <w:r>
              <w:rPr>
                <w:rFonts w:ascii="宋体" w:hAnsi="宋体" w:eastAsia="宋体" w:cs="Times New Roman"/>
                <w:color w:val="auto"/>
              </w:rPr>
              <w:t>≤5.0</w:t>
            </w:r>
          </w:p>
        </w:tc>
        <w:tc>
          <w:tcPr>
            <w:tcW w:w="704" w:type="pct"/>
            <w:shd w:val="clear" w:color="auto" w:fill="auto"/>
            <w:vAlign w:val="center"/>
          </w:tcPr>
          <w:p w14:paraId="5BCE67F7">
            <w:pPr>
              <w:jc w:val="center"/>
              <w:rPr>
                <w:rFonts w:ascii="宋体" w:hAnsi="宋体" w:eastAsia="宋体" w:cs="Times New Roman"/>
                <w:color w:val="auto"/>
              </w:rPr>
            </w:pPr>
            <w:r>
              <w:rPr>
                <w:rFonts w:ascii="宋体" w:hAnsi="宋体" w:eastAsia="宋体" w:cs="Times New Roman"/>
                <w:color w:val="auto"/>
              </w:rPr>
              <w:t>≤5.0</w:t>
            </w:r>
          </w:p>
        </w:tc>
        <w:tc>
          <w:tcPr>
            <w:tcW w:w="778" w:type="pct"/>
            <w:shd w:val="clear" w:color="auto" w:fill="auto"/>
            <w:vAlign w:val="center"/>
          </w:tcPr>
          <w:p w14:paraId="187759F5">
            <w:pPr>
              <w:jc w:val="center"/>
              <w:rPr>
                <w:rFonts w:ascii="宋体" w:hAnsi="宋体" w:eastAsia="宋体" w:cs="Times New Roman"/>
                <w:color w:val="auto"/>
              </w:rPr>
            </w:pPr>
            <w:r>
              <w:rPr>
                <w:rFonts w:ascii="宋体" w:hAnsi="宋体" w:eastAsia="宋体" w:cs="Times New Roman"/>
                <w:color w:val="auto"/>
              </w:rPr>
              <w:t>≤5.5</w:t>
            </w:r>
          </w:p>
        </w:tc>
      </w:tr>
      <w:tr w14:paraId="733C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406" w:type="pct"/>
            <w:shd w:val="clear" w:color="auto" w:fill="auto"/>
            <w:vAlign w:val="center"/>
          </w:tcPr>
          <w:p w14:paraId="0ACE4825">
            <w:pPr>
              <w:jc w:val="center"/>
              <w:rPr>
                <w:rFonts w:ascii="宋体" w:hAnsi="宋体" w:eastAsia="宋体" w:cs="Times New Roman"/>
                <w:color w:val="auto"/>
              </w:rPr>
            </w:pPr>
            <w:r>
              <w:rPr>
                <w:rFonts w:ascii="宋体" w:hAnsi="宋体" w:eastAsia="宋体" w:cs="Times New Roman"/>
                <w:color w:val="auto"/>
              </w:rPr>
              <w:t>含油量，mg/L</w:t>
            </w:r>
          </w:p>
        </w:tc>
        <w:tc>
          <w:tcPr>
            <w:tcW w:w="704" w:type="pct"/>
            <w:shd w:val="clear" w:color="auto" w:fill="auto"/>
            <w:vAlign w:val="center"/>
          </w:tcPr>
          <w:p w14:paraId="26B2657F">
            <w:pPr>
              <w:jc w:val="center"/>
              <w:rPr>
                <w:rFonts w:ascii="宋体" w:hAnsi="宋体" w:eastAsia="宋体" w:cs="Times New Roman"/>
                <w:color w:val="auto"/>
              </w:rPr>
            </w:pPr>
            <w:r>
              <w:rPr>
                <w:rFonts w:ascii="宋体" w:hAnsi="宋体" w:eastAsia="宋体" w:cs="Times New Roman"/>
                <w:color w:val="auto"/>
              </w:rPr>
              <w:t>≤5.0</w:t>
            </w:r>
          </w:p>
        </w:tc>
        <w:tc>
          <w:tcPr>
            <w:tcW w:w="703" w:type="pct"/>
            <w:shd w:val="clear" w:color="auto" w:fill="auto"/>
            <w:vAlign w:val="center"/>
          </w:tcPr>
          <w:p w14:paraId="24EC7981">
            <w:pPr>
              <w:jc w:val="center"/>
              <w:rPr>
                <w:rFonts w:ascii="宋体" w:hAnsi="宋体" w:eastAsia="宋体" w:cs="Times New Roman"/>
                <w:color w:val="auto"/>
              </w:rPr>
            </w:pPr>
            <w:r>
              <w:rPr>
                <w:rFonts w:ascii="宋体" w:hAnsi="宋体" w:eastAsia="宋体" w:cs="Times New Roman"/>
                <w:color w:val="auto"/>
              </w:rPr>
              <w:t>≤10.0</w:t>
            </w:r>
          </w:p>
        </w:tc>
        <w:tc>
          <w:tcPr>
            <w:tcW w:w="705" w:type="pct"/>
            <w:shd w:val="clear" w:color="auto" w:fill="auto"/>
            <w:vAlign w:val="center"/>
          </w:tcPr>
          <w:p w14:paraId="1EFDFE77">
            <w:pPr>
              <w:jc w:val="center"/>
              <w:rPr>
                <w:rFonts w:ascii="宋体" w:hAnsi="宋体" w:eastAsia="宋体" w:cs="Times New Roman"/>
                <w:color w:val="auto"/>
              </w:rPr>
            </w:pPr>
            <w:r>
              <w:rPr>
                <w:rFonts w:ascii="宋体" w:hAnsi="宋体" w:eastAsia="宋体" w:cs="Times New Roman"/>
                <w:color w:val="auto"/>
              </w:rPr>
              <w:t>≤15.0</w:t>
            </w:r>
          </w:p>
        </w:tc>
        <w:tc>
          <w:tcPr>
            <w:tcW w:w="704" w:type="pct"/>
            <w:shd w:val="clear" w:color="auto" w:fill="auto"/>
            <w:vAlign w:val="center"/>
          </w:tcPr>
          <w:p w14:paraId="1117E257">
            <w:pPr>
              <w:jc w:val="center"/>
              <w:rPr>
                <w:rFonts w:ascii="宋体" w:hAnsi="宋体" w:eastAsia="宋体" w:cs="Times New Roman"/>
                <w:color w:val="auto"/>
              </w:rPr>
            </w:pPr>
            <w:r>
              <w:rPr>
                <w:rFonts w:ascii="宋体" w:hAnsi="宋体" w:eastAsia="宋体" w:cs="Times New Roman"/>
                <w:color w:val="auto"/>
              </w:rPr>
              <w:t>≤30.0</w:t>
            </w:r>
          </w:p>
        </w:tc>
        <w:tc>
          <w:tcPr>
            <w:tcW w:w="778" w:type="pct"/>
            <w:shd w:val="clear" w:color="auto" w:fill="auto"/>
            <w:vAlign w:val="center"/>
          </w:tcPr>
          <w:p w14:paraId="5C52E58A">
            <w:pPr>
              <w:jc w:val="center"/>
              <w:rPr>
                <w:rFonts w:ascii="宋体" w:hAnsi="宋体" w:eastAsia="宋体" w:cs="Times New Roman"/>
                <w:color w:val="auto"/>
              </w:rPr>
            </w:pPr>
            <w:r>
              <w:rPr>
                <w:rFonts w:ascii="宋体" w:hAnsi="宋体" w:eastAsia="宋体" w:cs="Times New Roman"/>
                <w:color w:val="auto"/>
              </w:rPr>
              <w:t>≤100.0</w:t>
            </w:r>
          </w:p>
        </w:tc>
      </w:tr>
    </w:tbl>
    <w:p w14:paraId="006AC244">
      <w:pPr>
        <w:pStyle w:val="22"/>
        <w:spacing w:before="156"/>
        <w:rPr>
          <w:snapToGrid w:val="0"/>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17</w:t>
      </w:r>
      <w:r>
        <w:rPr>
          <w:color w:val="auto"/>
        </w:rPr>
        <w:fldChar w:fldCharType="end"/>
      </w:r>
      <w:r>
        <w:rPr>
          <w:color w:val="auto"/>
        </w:rPr>
        <w:t>十厂厂区生活污水处理站进水指标</w:t>
      </w:r>
    </w:p>
    <w:tbl>
      <w:tblPr>
        <w:tblStyle w:val="81"/>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71"/>
        <w:gridCol w:w="951"/>
        <w:gridCol w:w="964"/>
        <w:gridCol w:w="1069"/>
        <w:gridCol w:w="866"/>
        <w:gridCol w:w="957"/>
        <w:gridCol w:w="1487"/>
        <w:gridCol w:w="1511"/>
      </w:tblGrid>
      <w:tr w14:paraId="5F7BD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0" w:type="pct"/>
            <w:shd w:val="clear" w:color="auto" w:fill="auto"/>
            <w:vAlign w:val="center"/>
          </w:tcPr>
          <w:p w14:paraId="1AAB4E4C">
            <w:pPr>
              <w:jc w:val="center"/>
              <w:rPr>
                <w:rFonts w:ascii="宋体" w:hAnsi="宋体" w:eastAsia="宋体" w:cs="Times New Roman"/>
                <w:color w:val="auto"/>
              </w:rPr>
            </w:pPr>
            <w:r>
              <w:rPr>
                <w:rFonts w:ascii="宋体" w:hAnsi="宋体" w:eastAsia="宋体" w:cs="Times New Roman"/>
                <w:color w:val="auto"/>
              </w:rPr>
              <w:t>项目</w:t>
            </w:r>
          </w:p>
        </w:tc>
        <w:tc>
          <w:tcPr>
            <w:tcW w:w="524" w:type="pct"/>
            <w:shd w:val="clear" w:color="auto" w:fill="auto"/>
            <w:vAlign w:val="center"/>
          </w:tcPr>
          <w:p w14:paraId="38E777CD">
            <w:pPr>
              <w:jc w:val="center"/>
              <w:rPr>
                <w:rFonts w:ascii="宋体" w:hAnsi="宋体" w:eastAsia="宋体" w:cs="Times New Roman"/>
                <w:color w:val="auto"/>
              </w:rPr>
            </w:pPr>
            <w:r>
              <w:rPr>
                <w:rFonts w:ascii="宋体" w:hAnsi="宋体" w:eastAsia="宋体" w:cs="Times New Roman"/>
                <w:color w:val="auto"/>
              </w:rPr>
              <w:t>pH</w:t>
            </w:r>
          </w:p>
        </w:tc>
        <w:tc>
          <w:tcPr>
            <w:tcW w:w="531" w:type="pct"/>
            <w:shd w:val="clear" w:color="auto" w:fill="auto"/>
            <w:vAlign w:val="center"/>
          </w:tcPr>
          <w:p w14:paraId="22EBCFAD">
            <w:pPr>
              <w:jc w:val="center"/>
              <w:rPr>
                <w:rFonts w:ascii="宋体" w:hAnsi="宋体" w:eastAsia="宋体" w:cs="Times New Roman"/>
                <w:color w:val="auto"/>
              </w:rPr>
            </w:pPr>
            <w:r>
              <w:rPr>
                <w:rFonts w:ascii="宋体" w:hAnsi="宋体" w:eastAsia="宋体" w:cs="Times New Roman"/>
                <w:color w:val="auto"/>
              </w:rPr>
              <w:t>COD</w:t>
            </w:r>
          </w:p>
        </w:tc>
        <w:tc>
          <w:tcPr>
            <w:tcW w:w="589" w:type="pct"/>
            <w:shd w:val="clear" w:color="auto" w:fill="auto"/>
            <w:vAlign w:val="center"/>
          </w:tcPr>
          <w:p w14:paraId="4B8AD3B3">
            <w:pPr>
              <w:jc w:val="center"/>
              <w:rPr>
                <w:rFonts w:ascii="宋体" w:hAnsi="宋体" w:eastAsia="宋体" w:cs="Times New Roman"/>
                <w:color w:val="auto"/>
              </w:rPr>
            </w:pPr>
            <w:r>
              <w:rPr>
                <w:rFonts w:ascii="宋体" w:hAnsi="宋体" w:eastAsia="宋体" w:cs="Times New Roman"/>
                <w:color w:val="auto"/>
              </w:rPr>
              <w:t>BOD</w:t>
            </w:r>
            <w:r>
              <w:rPr>
                <w:rFonts w:ascii="宋体" w:hAnsi="宋体" w:eastAsia="宋体" w:cs="Times New Roman"/>
                <w:color w:val="auto"/>
                <w:vertAlign w:val="subscript"/>
              </w:rPr>
              <w:t>5</w:t>
            </w:r>
          </w:p>
        </w:tc>
        <w:tc>
          <w:tcPr>
            <w:tcW w:w="477" w:type="pct"/>
            <w:shd w:val="clear" w:color="auto" w:fill="auto"/>
            <w:vAlign w:val="center"/>
          </w:tcPr>
          <w:p w14:paraId="27E8482E">
            <w:pPr>
              <w:jc w:val="center"/>
              <w:rPr>
                <w:rFonts w:ascii="宋体" w:hAnsi="宋体" w:eastAsia="宋体" w:cs="Times New Roman"/>
                <w:color w:val="auto"/>
              </w:rPr>
            </w:pPr>
            <w:r>
              <w:rPr>
                <w:rFonts w:ascii="宋体" w:hAnsi="宋体" w:eastAsia="宋体" w:cs="Times New Roman"/>
                <w:color w:val="auto"/>
              </w:rPr>
              <w:t>SS</w:t>
            </w:r>
          </w:p>
        </w:tc>
        <w:tc>
          <w:tcPr>
            <w:tcW w:w="527" w:type="pct"/>
            <w:shd w:val="clear" w:color="auto" w:fill="auto"/>
            <w:vAlign w:val="center"/>
          </w:tcPr>
          <w:p w14:paraId="1525D180">
            <w:pPr>
              <w:jc w:val="center"/>
              <w:rPr>
                <w:rFonts w:ascii="宋体" w:hAnsi="宋体" w:eastAsia="宋体" w:cs="Times New Roman"/>
                <w:color w:val="auto"/>
              </w:rPr>
            </w:pPr>
            <w:r>
              <w:rPr>
                <w:rFonts w:ascii="宋体" w:hAnsi="宋体" w:eastAsia="宋体" w:cs="Times New Roman"/>
                <w:color w:val="auto"/>
              </w:rPr>
              <w:t>NH</w:t>
            </w:r>
            <w:r>
              <w:rPr>
                <w:rFonts w:ascii="宋体" w:hAnsi="宋体" w:eastAsia="宋体" w:cs="Times New Roman"/>
                <w:color w:val="auto"/>
                <w:vertAlign w:val="subscript"/>
              </w:rPr>
              <w:t>3</w:t>
            </w:r>
            <w:r>
              <w:rPr>
                <w:rFonts w:ascii="宋体" w:hAnsi="宋体" w:eastAsia="宋体" w:cs="Times New Roman"/>
                <w:color w:val="auto"/>
              </w:rPr>
              <w:t>-N</w:t>
            </w:r>
          </w:p>
        </w:tc>
        <w:tc>
          <w:tcPr>
            <w:tcW w:w="819" w:type="pct"/>
            <w:shd w:val="clear" w:color="auto" w:fill="auto"/>
            <w:vAlign w:val="center"/>
          </w:tcPr>
          <w:p w14:paraId="66E2C53C">
            <w:pPr>
              <w:jc w:val="center"/>
              <w:rPr>
                <w:rFonts w:ascii="宋体" w:hAnsi="宋体" w:eastAsia="宋体" w:cs="Times New Roman"/>
                <w:color w:val="auto"/>
              </w:rPr>
            </w:pPr>
            <w:r>
              <w:rPr>
                <w:rFonts w:ascii="宋体" w:hAnsi="宋体" w:eastAsia="宋体" w:cs="Times New Roman"/>
                <w:color w:val="auto"/>
              </w:rPr>
              <w:t>总磷（以P计）</w:t>
            </w:r>
          </w:p>
        </w:tc>
        <w:tc>
          <w:tcPr>
            <w:tcW w:w="832" w:type="pct"/>
            <w:shd w:val="clear" w:color="auto" w:fill="auto"/>
            <w:vAlign w:val="center"/>
          </w:tcPr>
          <w:p w14:paraId="24B56F4E">
            <w:pPr>
              <w:jc w:val="center"/>
              <w:rPr>
                <w:rFonts w:ascii="宋体" w:hAnsi="宋体" w:eastAsia="宋体" w:cs="Times New Roman"/>
                <w:color w:val="auto"/>
              </w:rPr>
            </w:pPr>
            <w:r>
              <w:rPr>
                <w:rFonts w:ascii="宋体" w:hAnsi="宋体" w:eastAsia="宋体" w:cs="Times New Roman"/>
                <w:color w:val="auto"/>
              </w:rPr>
              <w:t>总氮（以N计）</w:t>
            </w:r>
          </w:p>
        </w:tc>
      </w:tr>
      <w:tr w14:paraId="63FF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00" w:type="pct"/>
            <w:shd w:val="clear" w:color="auto" w:fill="auto"/>
            <w:vAlign w:val="center"/>
          </w:tcPr>
          <w:p w14:paraId="2D9BDC20">
            <w:pPr>
              <w:jc w:val="center"/>
              <w:rPr>
                <w:rFonts w:ascii="宋体" w:hAnsi="宋体" w:eastAsia="宋体" w:cs="Times New Roman"/>
                <w:color w:val="auto"/>
              </w:rPr>
            </w:pPr>
            <w:r>
              <w:rPr>
                <w:rFonts w:ascii="宋体" w:hAnsi="宋体" w:eastAsia="宋体" w:cs="Times New Roman"/>
                <w:color w:val="auto"/>
              </w:rPr>
              <w:t>执行标准</w:t>
            </w:r>
          </w:p>
        </w:tc>
        <w:tc>
          <w:tcPr>
            <w:tcW w:w="524" w:type="pct"/>
            <w:shd w:val="clear" w:color="auto" w:fill="auto"/>
            <w:vAlign w:val="center"/>
          </w:tcPr>
          <w:p w14:paraId="4F5880D4">
            <w:pPr>
              <w:jc w:val="center"/>
              <w:rPr>
                <w:rFonts w:ascii="宋体" w:hAnsi="宋体" w:eastAsia="宋体" w:cs="Times New Roman"/>
                <w:color w:val="auto"/>
              </w:rPr>
            </w:pPr>
            <w:r>
              <w:rPr>
                <w:rFonts w:ascii="宋体" w:hAnsi="宋体" w:eastAsia="宋体" w:cs="Times New Roman"/>
                <w:color w:val="auto"/>
              </w:rPr>
              <w:t>6～9</w:t>
            </w:r>
          </w:p>
        </w:tc>
        <w:tc>
          <w:tcPr>
            <w:tcW w:w="531" w:type="pct"/>
            <w:shd w:val="clear" w:color="auto" w:fill="auto"/>
            <w:vAlign w:val="center"/>
          </w:tcPr>
          <w:p w14:paraId="1153309E">
            <w:pPr>
              <w:jc w:val="center"/>
              <w:rPr>
                <w:rFonts w:ascii="宋体" w:hAnsi="宋体" w:eastAsia="宋体" w:cs="Times New Roman"/>
                <w:color w:val="auto"/>
              </w:rPr>
            </w:pPr>
            <w:r>
              <w:rPr>
                <w:rFonts w:ascii="宋体" w:hAnsi="宋体" w:eastAsia="宋体" w:cs="Times New Roman"/>
                <w:color w:val="auto"/>
              </w:rPr>
              <w:t>350</w:t>
            </w:r>
          </w:p>
        </w:tc>
        <w:tc>
          <w:tcPr>
            <w:tcW w:w="589" w:type="pct"/>
            <w:shd w:val="clear" w:color="auto" w:fill="auto"/>
            <w:vAlign w:val="center"/>
          </w:tcPr>
          <w:p w14:paraId="3F7CCA95">
            <w:pPr>
              <w:jc w:val="center"/>
              <w:rPr>
                <w:rFonts w:ascii="宋体" w:hAnsi="宋体" w:eastAsia="宋体" w:cs="Times New Roman"/>
                <w:color w:val="auto"/>
              </w:rPr>
            </w:pPr>
            <w:r>
              <w:rPr>
                <w:rFonts w:ascii="宋体" w:hAnsi="宋体" w:eastAsia="宋体" w:cs="Times New Roman"/>
                <w:color w:val="auto"/>
              </w:rPr>
              <w:t>200</w:t>
            </w:r>
          </w:p>
        </w:tc>
        <w:tc>
          <w:tcPr>
            <w:tcW w:w="477" w:type="pct"/>
            <w:shd w:val="clear" w:color="auto" w:fill="auto"/>
            <w:vAlign w:val="center"/>
          </w:tcPr>
          <w:p w14:paraId="31747DE9">
            <w:pPr>
              <w:jc w:val="center"/>
              <w:rPr>
                <w:rFonts w:ascii="宋体" w:hAnsi="宋体" w:eastAsia="宋体" w:cs="Times New Roman"/>
                <w:color w:val="auto"/>
              </w:rPr>
            </w:pPr>
            <w:r>
              <w:rPr>
                <w:rFonts w:ascii="宋体" w:hAnsi="宋体" w:eastAsia="宋体" w:cs="Times New Roman"/>
                <w:color w:val="auto"/>
              </w:rPr>
              <w:t>200</w:t>
            </w:r>
          </w:p>
        </w:tc>
        <w:tc>
          <w:tcPr>
            <w:tcW w:w="527" w:type="pct"/>
            <w:shd w:val="clear" w:color="auto" w:fill="auto"/>
            <w:vAlign w:val="center"/>
          </w:tcPr>
          <w:p w14:paraId="5D0F2DEF">
            <w:pPr>
              <w:jc w:val="center"/>
              <w:rPr>
                <w:rFonts w:ascii="宋体" w:hAnsi="宋体" w:eastAsia="宋体" w:cs="Times New Roman"/>
                <w:color w:val="auto"/>
              </w:rPr>
            </w:pPr>
            <w:r>
              <w:rPr>
                <w:rFonts w:ascii="宋体" w:hAnsi="宋体" w:eastAsia="宋体" w:cs="Times New Roman"/>
                <w:color w:val="auto"/>
              </w:rPr>
              <w:t>30</w:t>
            </w:r>
          </w:p>
        </w:tc>
        <w:tc>
          <w:tcPr>
            <w:tcW w:w="819" w:type="pct"/>
            <w:shd w:val="clear" w:color="auto" w:fill="auto"/>
            <w:vAlign w:val="center"/>
          </w:tcPr>
          <w:p w14:paraId="2A61FEF2">
            <w:pPr>
              <w:jc w:val="center"/>
              <w:rPr>
                <w:rFonts w:ascii="宋体" w:hAnsi="宋体" w:eastAsia="宋体" w:cs="Times New Roman"/>
                <w:color w:val="auto"/>
              </w:rPr>
            </w:pPr>
            <w:r>
              <w:rPr>
                <w:rFonts w:ascii="宋体" w:hAnsi="宋体" w:eastAsia="宋体" w:cs="Times New Roman"/>
                <w:color w:val="auto"/>
              </w:rPr>
              <w:t>6</w:t>
            </w:r>
          </w:p>
        </w:tc>
        <w:tc>
          <w:tcPr>
            <w:tcW w:w="832" w:type="pct"/>
            <w:shd w:val="clear" w:color="auto" w:fill="auto"/>
            <w:vAlign w:val="center"/>
          </w:tcPr>
          <w:p w14:paraId="0C7E4A95">
            <w:pPr>
              <w:jc w:val="center"/>
              <w:rPr>
                <w:rFonts w:ascii="宋体" w:hAnsi="宋体" w:eastAsia="宋体" w:cs="Times New Roman"/>
                <w:color w:val="auto"/>
              </w:rPr>
            </w:pPr>
            <w:r>
              <w:rPr>
                <w:rFonts w:ascii="宋体" w:hAnsi="宋体" w:eastAsia="宋体" w:cs="Times New Roman"/>
                <w:color w:val="auto"/>
              </w:rPr>
              <w:t>40</w:t>
            </w:r>
          </w:p>
        </w:tc>
      </w:tr>
    </w:tbl>
    <w:p w14:paraId="6A4A6125">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噪声</w:t>
      </w:r>
    </w:p>
    <w:p w14:paraId="427DB23E">
      <w:pPr>
        <w:pStyle w:val="276"/>
        <w:widowControl w:val="0"/>
        <w:spacing w:line="440" w:lineRule="exact"/>
        <w:ind w:firstLine="480"/>
        <w:jc w:val="both"/>
        <w:rPr>
          <w:snapToGrid w:val="0"/>
          <w:color w:val="auto"/>
        </w:rPr>
      </w:pPr>
      <w:r>
        <w:rPr>
          <w:snapToGrid w:val="0"/>
          <w:color w:val="auto"/>
        </w:rPr>
        <w:t>项目施工期噪声排放执行《建筑施工场界环境噪声排放标准》（GB12523-2011），见表2.5-18。</w:t>
      </w:r>
      <w:r>
        <w:rPr>
          <w:color w:val="auto"/>
          <w:lang w:val="zh-CN" w:bidi="zh-CN"/>
        </w:rPr>
        <w:t>运营期井场和拉油点噪声执行《工业企业厂界环境噪声排放标准》（GB12348-2008）中2类标准</w:t>
      </w:r>
      <w:r>
        <w:rPr>
          <w:rFonts w:hint="eastAsia"/>
          <w:color w:val="auto"/>
          <w:lang w:val="zh-CN" w:bidi="zh-CN"/>
        </w:rPr>
        <w:t>，详见</w:t>
      </w:r>
      <w:r>
        <w:rPr>
          <w:color w:val="auto"/>
          <w:lang w:val="zh-CN" w:bidi="zh-CN"/>
        </w:rPr>
        <w:fldChar w:fldCharType="begin"/>
      </w:r>
      <w:r>
        <w:rPr>
          <w:color w:val="auto"/>
          <w:lang w:val="zh-CN" w:bidi="zh-CN"/>
        </w:rPr>
        <w:instrText xml:space="preserve"> </w:instrText>
      </w:r>
      <w:r>
        <w:rPr>
          <w:rFonts w:hint="eastAsia"/>
          <w:color w:val="auto"/>
          <w:lang w:val="zh-CN" w:bidi="zh-CN"/>
        </w:rPr>
        <w:instrText xml:space="preserve">REF _Ref31999107 \h</w:instrText>
      </w:r>
      <w:r>
        <w:rPr>
          <w:color w:val="auto"/>
          <w:lang w:val="zh-CN" w:bidi="zh-CN"/>
        </w:rPr>
        <w:instrText xml:space="preserve"> </w:instrText>
      </w:r>
      <w:r>
        <w:rPr>
          <w:color w:val="auto"/>
          <w:lang w:val="zh-CN" w:bidi="zh-CN"/>
        </w:rPr>
        <w:fldChar w:fldCharType="separate"/>
      </w:r>
      <w:r>
        <w:rPr>
          <w:rFonts w:hint="eastAsia" w:hAnsiTheme="majorHAnsi" w:cstheme="majorBidi"/>
          <w:color w:val="auto"/>
          <w:szCs w:val="20"/>
        </w:rPr>
        <w:t xml:space="preserve">表 </w:t>
      </w:r>
      <w:r>
        <w:rPr>
          <w:color w:val="auto"/>
        </w:rPr>
        <w:t>2.5</w:t>
      </w:r>
      <w:r>
        <w:rPr>
          <w:rFonts w:hAnsiTheme="majorHAnsi" w:cstheme="majorBidi"/>
          <w:color w:val="auto"/>
          <w:szCs w:val="20"/>
        </w:rPr>
        <w:noBreakHyphen/>
      </w:r>
      <w:r>
        <w:rPr>
          <w:color w:val="auto"/>
        </w:rPr>
        <w:t>19</w:t>
      </w:r>
      <w:r>
        <w:rPr>
          <w:color w:val="auto"/>
          <w:lang w:val="zh-CN" w:bidi="zh-CN"/>
        </w:rPr>
        <w:fldChar w:fldCharType="end"/>
      </w:r>
      <w:r>
        <w:rPr>
          <w:rFonts w:hint="eastAsia"/>
          <w:color w:val="auto"/>
          <w:lang w:val="zh-CN" w:bidi="zh-CN"/>
        </w:rPr>
        <w:t>。</w:t>
      </w:r>
    </w:p>
    <w:p w14:paraId="6B2BBA48">
      <w:pPr>
        <w:pStyle w:val="22"/>
        <w:spacing w:before="156"/>
        <w:rPr>
          <w:snapToGrid w:val="0"/>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18</w:t>
      </w:r>
      <w:r>
        <w:rPr>
          <w:color w:val="auto"/>
        </w:rPr>
        <w:fldChar w:fldCharType="end"/>
      </w:r>
      <w:r>
        <w:rPr>
          <w:color w:val="auto"/>
        </w:rPr>
        <w:t>建筑施工场界环境噪声排放标准    单位：dB（A）</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2"/>
        <w:gridCol w:w="3081"/>
        <w:gridCol w:w="3083"/>
      </w:tblGrid>
      <w:tr w14:paraId="2609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Merge w:val="restart"/>
            <w:shd w:val="clear" w:color="auto" w:fill="auto"/>
            <w:vAlign w:val="center"/>
          </w:tcPr>
          <w:p w14:paraId="07963A1F">
            <w:pPr>
              <w:jc w:val="center"/>
              <w:rPr>
                <w:rFonts w:ascii="宋体" w:hAnsi="宋体" w:eastAsia="宋体"/>
                <w:snapToGrid w:val="0"/>
                <w:color w:val="auto"/>
                <w:kern w:val="0"/>
                <w:szCs w:val="24"/>
              </w:rPr>
            </w:pPr>
            <w:r>
              <w:rPr>
                <w:rFonts w:ascii="宋体" w:hAnsi="宋体" w:eastAsia="宋体"/>
                <w:snapToGrid w:val="0"/>
                <w:color w:val="auto"/>
                <w:kern w:val="0"/>
                <w:szCs w:val="24"/>
              </w:rPr>
              <w:t>主要噪声源</w:t>
            </w:r>
          </w:p>
        </w:tc>
        <w:tc>
          <w:tcPr>
            <w:tcW w:w="3319" w:type="pct"/>
            <w:gridSpan w:val="2"/>
            <w:shd w:val="clear" w:color="auto" w:fill="auto"/>
            <w:vAlign w:val="center"/>
          </w:tcPr>
          <w:p w14:paraId="29406259">
            <w:pPr>
              <w:jc w:val="center"/>
              <w:rPr>
                <w:rFonts w:ascii="宋体" w:hAnsi="宋体" w:eastAsia="宋体"/>
                <w:snapToGrid w:val="0"/>
                <w:color w:val="auto"/>
                <w:kern w:val="0"/>
                <w:szCs w:val="24"/>
              </w:rPr>
            </w:pPr>
            <w:r>
              <w:rPr>
                <w:rFonts w:ascii="宋体" w:hAnsi="宋体" w:eastAsia="宋体"/>
                <w:snapToGrid w:val="0"/>
                <w:color w:val="auto"/>
                <w:kern w:val="0"/>
                <w:szCs w:val="24"/>
              </w:rPr>
              <w:t>噪声限值</w:t>
            </w:r>
          </w:p>
        </w:tc>
      </w:tr>
      <w:tr w14:paraId="391A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Merge w:val="continue"/>
            <w:shd w:val="clear" w:color="auto" w:fill="auto"/>
            <w:vAlign w:val="center"/>
          </w:tcPr>
          <w:p w14:paraId="5D6A9083">
            <w:pPr>
              <w:jc w:val="center"/>
              <w:rPr>
                <w:rFonts w:ascii="宋体" w:hAnsi="宋体" w:eastAsia="宋体"/>
                <w:snapToGrid w:val="0"/>
                <w:color w:val="auto"/>
                <w:kern w:val="0"/>
                <w:szCs w:val="24"/>
              </w:rPr>
            </w:pPr>
          </w:p>
        </w:tc>
        <w:tc>
          <w:tcPr>
            <w:tcW w:w="1659" w:type="pct"/>
            <w:shd w:val="clear" w:color="auto" w:fill="auto"/>
            <w:vAlign w:val="center"/>
          </w:tcPr>
          <w:p w14:paraId="5C36E295">
            <w:pPr>
              <w:jc w:val="center"/>
              <w:rPr>
                <w:rFonts w:ascii="宋体" w:hAnsi="宋体" w:eastAsia="宋体"/>
                <w:snapToGrid w:val="0"/>
                <w:color w:val="auto"/>
                <w:kern w:val="0"/>
                <w:szCs w:val="24"/>
              </w:rPr>
            </w:pPr>
            <w:r>
              <w:rPr>
                <w:rFonts w:ascii="宋体" w:hAnsi="宋体" w:eastAsia="宋体"/>
                <w:snapToGrid w:val="0"/>
                <w:color w:val="auto"/>
                <w:kern w:val="0"/>
                <w:szCs w:val="24"/>
              </w:rPr>
              <w:t>昼间</w:t>
            </w:r>
          </w:p>
        </w:tc>
        <w:tc>
          <w:tcPr>
            <w:tcW w:w="1660" w:type="pct"/>
            <w:shd w:val="clear" w:color="auto" w:fill="auto"/>
            <w:vAlign w:val="center"/>
          </w:tcPr>
          <w:p w14:paraId="409F44AC">
            <w:pPr>
              <w:jc w:val="center"/>
              <w:rPr>
                <w:rFonts w:ascii="宋体" w:hAnsi="宋体" w:eastAsia="宋体"/>
                <w:snapToGrid w:val="0"/>
                <w:color w:val="auto"/>
                <w:kern w:val="0"/>
                <w:szCs w:val="24"/>
              </w:rPr>
            </w:pPr>
            <w:r>
              <w:rPr>
                <w:rFonts w:ascii="宋体" w:hAnsi="宋体" w:eastAsia="宋体"/>
                <w:snapToGrid w:val="0"/>
                <w:color w:val="auto"/>
                <w:kern w:val="0"/>
                <w:szCs w:val="24"/>
              </w:rPr>
              <w:t>夜间</w:t>
            </w:r>
          </w:p>
        </w:tc>
      </w:tr>
      <w:tr w14:paraId="1AA8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shd w:val="clear" w:color="auto" w:fill="auto"/>
            <w:vAlign w:val="center"/>
          </w:tcPr>
          <w:p w14:paraId="40F3F367">
            <w:pPr>
              <w:jc w:val="center"/>
              <w:rPr>
                <w:rFonts w:ascii="宋体" w:hAnsi="宋体" w:eastAsia="宋体"/>
                <w:snapToGrid w:val="0"/>
                <w:color w:val="auto"/>
                <w:kern w:val="0"/>
                <w:szCs w:val="24"/>
              </w:rPr>
            </w:pPr>
            <w:r>
              <w:rPr>
                <w:rFonts w:ascii="宋体" w:hAnsi="宋体" w:eastAsia="宋体"/>
                <w:snapToGrid w:val="0"/>
                <w:color w:val="auto"/>
                <w:kern w:val="0"/>
                <w:szCs w:val="24"/>
              </w:rPr>
              <w:t>建筑施工</w:t>
            </w:r>
          </w:p>
        </w:tc>
        <w:tc>
          <w:tcPr>
            <w:tcW w:w="1659" w:type="pct"/>
            <w:shd w:val="clear" w:color="auto" w:fill="auto"/>
            <w:vAlign w:val="center"/>
          </w:tcPr>
          <w:p w14:paraId="69CD9A85">
            <w:pPr>
              <w:jc w:val="center"/>
              <w:rPr>
                <w:rFonts w:ascii="宋体" w:hAnsi="宋体" w:eastAsia="宋体"/>
                <w:snapToGrid w:val="0"/>
                <w:color w:val="auto"/>
                <w:kern w:val="0"/>
                <w:szCs w:val="24"/>
              </w:rPr>
            </w:pPr>
            <w:r>
              <w:rPr>
                <w:rFonts w:ascii="宋体" w:hAnsi="宋体" w:eastAsia="宋体"/>
                <w:snapToGrid w:val="0"/>
                <w:color w:val="auto"/>
                <w:kern w:val="0"/>
                <w:szCs w:val="24"/>
              </w:rPr>
              <w:t>70</w:t>
            </w:r>
          </w:p>
        </w:tc>
        <w:tc>
          <w:tcPr>
            <w:tcW w:w="1660" w:type="pct"/>
            <w:shd w:val="clear" w:color="auto" w:fill="auto"/>
            <w:vAlign w:val="center"/>
          </w:tcPr>
          <w:p w14:paraId="0FADD3EF">
            <w:pPr>
              <w:jc w:val="center"/>
              <w:rPr>
                <w:rFonts w:ascii="宋体" w:hAnsi="宋体" w:eastAsia="宋体"/>
                <w:snapToGrid w:val="0"/>
                <w:color w:val="auto"/>
                <w:kern w:val="0"/>
                <w:szCs w:val="24"/>
              </w:rPr>
            </w:pPr>
            <w:r>
              <w:rPr>
                <w:rFonts w:ascii="宋体" w:hAnsi="宋体" w:eastAsia="宋体"/>
                <w:snapToGrid w:val="0"/>
                <w:color w:val="auto"/>
                <w:kern w:val="0"/>
                <w:szCs w:val="24"/>
              </w:rPr>
              <w:t>55</w:t>
            </w:r>
          </w:p>
        </w:tc>
      </w:tr>
    </w:tbl>
    <w:p w14:paraId="4C6E40C2">
      <w:pPr>
        <w:pStyle w:val="22"/>
        <w:spacing w:before="156"/>
        <w:rPr>
          <w:rFonts w:hAnsi="等线 Light" w:cs="Times New Roman"/>
          <w:color w:val="auto"/>
        </w:rPr>
      </w:pPr>
      <w:r>
        <w:rPr>
          <w:rFonts w:hint="eastAsia"/>
          <w:color w:val="auto"/>
          <w:lang w:val="zh-CN" w:bidi="zh-CN"/>
        </w:rPr>
        <w:t xml:space="preserve"> </w:t>
      </w:r>
      <w:bookmarkStart w:id="367" w:name="_Ref31999107"/>
      <w:bookmarkStart w:id="368" w:name="_Ref3396982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19</w:t>
      </w:r>
      <w:r>
        <w:rPr>
          <w:color w:val="auto"/>
        </w:rPr>
        <w:fldChar w:fldCharType="end"/>
      </w:r>
      <w:bookmarkEnd w:id="367"/>
      <w:bookmarkEnd w:id="368"/>
      <w:r>
        <w:rPr>
          <w:rFonts w:hint="eastAsia"/>
          <w:color w:val="auto"/>
        </w:rPr>
        <w:t xml:space="preserve">  工业企业厂界环境噪声排放标准    单位：dB（A）</w:t>
      </w:r>
    </w:p>
    <w:tbl>
      <w:tblPr>
        <w:tblStyle w:val="81"/>
        <w:tblW w:w="5000" w:type="pct"/>
        <w:jc w:val="center"/>
        <w:tblLayout w:type="autofit"/>
        <w:tblCellMar>
          <w:top w:w="0" w:type="dxa"/>
          <w:left w:w="108" w:type="dxa"/>
          <w:bottom w:w="0" w:type="dxa"/>
          <w:right w:w="108" w:type="dxa"/>
        </w:tblCellMar>
      </w:tblPr>
      <w:tblGrid>
        <w:gridCol w:w="2187"/>
        <w:gridCol w:w="3180"/>
        <w:gridCol w:w="3919"/>
      </w:tblGrid>
      <w:tr w14:paraId="29C90C27">
        <w:tblPrEx>
          <w:tblCellMar>
            <w:top w:w="0" w:type="dxa"/>
            <w:left w:w="108" w:type="dxa"/>
            <w:bottom w:w="0" w:type="dxa"/>
            <w:right w:w="108" w:type="dxa"/>
          </w:tblCellMar>
        </w:tblPrEx>
        <w:trPr>
          <w:trHeight w:val="340" w:hRule="atLeast"/>
          <w:jc w:val="center"/>
        </w:trPr>
        <w:tc>
          <w:tcPr>
            <w:tcW w:w="1178" w:type="pct"/>
            <w:tcBorders>
              <w:top w:val="single" w:color="auto" w:sz="4" w:space="0"/>
              <w:left w:val="single" w:color="auto" w:sz="4" w:space="0"/>
              <w:bottom w:val="single" w:color="auto" w:sz="4" w:space="0"/>
              <w:right w:val="single" w:color="auto" w:sz="4" w:space="0"/>
            </w:tcBorders>
            <w:vAlign w:val="center"/>
          </w:tcPr>
          <w:p w14:paraId="3CB73648">
            <w:pPr>
              <w:adjustRightInd w:val="0"/>
              <w:snapToGrid w:val="0"/>
              <w:jc w:val="center"/>
              <w:rPr>
                <w:rFonts w:ascii="宋体" w:hAnsi="Times New Roman" w:eastAsia="宋体" w:cs="Times New Roman"/>
                <w:color w:val="auto"/>
              </w:rPr>
            </w:pPr>
            <w:r>
              <w:rPr>
                <w:rFonts w:hint="eastAsia" w:ascii="宋体" w:hAnsi="Times New Roman" w:eastAsia="宋体" w:cs="Times New Roman"/>
                <w:color w:val="auto"/>
              </w:rPr>
              <w:t>类别</w:t>
            </w:r>
          </w:p>
        </w:tc>
        <w:tc>
          <w:tcPr>
            <w:tcW w:w="1712" w:type="pct"/>
            <w:tcBorders>
              <w:top w:val="single" w:color="auto" w:sz="4" w:space="0"/>
              <w:left w:val="single" w:color="auto" w:sz="4" w:space="0"/>
              <w:bottom w:val="single" w:color="auto" w:sz="4" w:space="0"/>
              <w:right w:val="single" w:color="auto" w:sz="4" w:space="0"/>
            </w:tcBorders>
            <w:vAlign w:val="center"/>
          </w:tcPr>
          <w:p w14:paraId="5BAA3FE5">
            <w:pPr>
              <w:adjustRightInd w:val="0"/>
              <w:snapToGrid w:val="0"/>
              <w:jc w:val="center"/>
              <w:rPr>
                <w:rFonts w:ascii="宋体" w:hAnsi="Times New Roman" w:eastAsia="宋体" w:cs="Times New Roman"/>
                <w:color w:val="auto"/>
              </w:rPr>
            </w:pPr>
            <w:r>
              <w:rPr>
                <w:rFonts w:hint="eastAsia" w:ascii="宋体" w:hAnsi="Times New Roman" w:eastAsia="宋体" w:cs="Times New Roman"/>
                <w:color w:val="auto"/>
              </w:rPr>
              <w:t>昼间</w:t>
            </w:r>
          </w:p>
        </w:tc>
        <w:tc>
          <w:tcPr>
            <w:tcW w:w="2110" w:type="pct"/>
            <w:tcBorders>
              <w:top w:val="single" w:color="auto" w:sz="4" w:space="0"/>
              <w:left w:val="single" w:color="auto" w:sz="4" w:space="0"/>
              <w:bottom w:val="single" w:color="auto" w:sz="4" w:space="0"/>
              <w:right w:val="single" w:color="auto" w:sz="4" w:space="0"/>
            </w:tcBorders>
            <w:vAlign w:val="center"/>
          </w:tcPr>
          <w:p w14:paraId="2D6228EE">
            <w:pPr>
              <w:adjustRightInd w:val="0"/>
              <w:snapToGrid w:val="0"/>
              <w:jc w:val="center"/>
              <w:rPr>
                <w:rFonts w:ascii="宋体" w:hAnsi="Times New Roman" w:eastAsia="宋体" w:cs="Times New Roman"/>
                <w:color w:val="auto"/>
              </w:rPr>
            </w:pPr>
            <w:r>
              <w:rPr>
                <w:rFonts w:hint="eastAsia" w:ascii="宋体" w:hAnsi="Times New Roman" w:eastAsia="宋体" w:cs="Times New Roman"/>
                <w:color w:val="auto"/>
              </w:rPr>
              <w:t>夜间</w:t>
            </w:r>
          </w:p>
        </w:tc>
      </w:tr>
      <w:tr w14:paraId="7C48A5D2">
        <w:tblPrEx>
          <w:tblCellMar>
            <w:top w:w="0" w:type="dxa"/>
            <w:left w:w="108" w:type="dxa"/>
            <w:bottom w:w="0" w:type="dxa"/>
            <w:right w:w="108" w:type="dxa"/>
          </w:tblCellMar>
        </w:tblPrEx>
        <w:trPr>
          <w:trHeight w:val="340" w:hRule="atLeast"/>
          <w:jc w:val="center"/>
        </w:trPr>
        <w:tc>
          <w:tcPr>
            <w:tcW w:w="1178" w:type="pct"/>
            <w:tcBorders>
              <w:top w:val="single" w:color="auto" w:sz="4" w:space="0"/>
              <w:left w:val="single" w:color="auto" w:sz="4" w:space="0"/>
              <w:bottom w:val="single" w:color="auto" w:sz="4" w:space="0"/>
              <w:right w:val="single" w:color="auto" w:sz="4" w:space="0"/>
            </w:tcBorders>
            <w:vAlign w:val="center"/>
          </w:tcPr>
          <w:p w14:paraId="20E3F7E8">
            <w:pPr>
              <w:adjustRightInd w:val="0"/>
              <w:snapToGrid w:val="0"/>
              <w:jc w:val="center"/>
              <w:rPr>
                <w:rFonts w:ascii="宋体" w:hAnsi="Times New Roman" w:eastAsia="宋体" w:cs="Times New Roman"/>
                <w:color w:val="auto"/>
              </w:rPr>
            </w:pPr>
            <w:r>
              <w:rPr>
                <w:rFonts w:hint="eastAsia" w:ascii="宋体" w:hAnsi="Times New Roman" w:eastAsia="宋体" w:cs="Times New Roman"/>
                <w:color w:val="auto"/>
              </w:rPr>
              <w:t>运营期</w:t>
            </w:r>
          </w:p>
        </w:tc>
        <w:tc>
          <w:tcPr>
            <w:tcW w:w="1712" w:type="pct"/>
            <w:tcBorders>
              <w:top w:val="single" w:color="auto" w:sz="4" w:space="0"/>
              <w:left w:val="single" w:color="auto" w:sz="4" w:space="0"/>
              <w:bottom w:val="single" w:color="auto" w:sz="4" w:space="0"/>
              <w:right w:val="single" w:color="auto" w:sz="4" w:space="0"/>
            </w:tcBorders>
            <w:vAlign w:val="center"/>
          </w:tcPr>
          <w:p w14:paraId="64AA3A8C">
            <w:pPr>
              <w:adjustRightInd w:val="0"/>
              <w:snapToGrid w:val="0"/>
              <w:jc w:val="center"/>
              <w:rPr>
                <w:rFonts w:ascii="宋体" w:hAnsi="Times New Roman" w:eastAsia="宋体" w:cs="Times New Roman"/>
                <w:color w:val="auto"/>
              </w:rPr>
            </w:pPr>
            <w:r>
              <w:rPr>
                <w:rFonts w:ascii="宋体" w:hAnsi="Times New Roman" w:eastAsia="宋体" w:cs="Times New Roman"/>
                <w:color w:val="auto"/>
              </w:rPr>
              <w:t>60</w:t>
            </w:r>
          </w:p>
        </w:tc>
        <w:tc>
          <w:tcPr>
            <w:tcW w:w="2110" w:type="pct"/>
            <w:tcBorders>
              <w:top w:val="single" w:color="auto" w:sz="4" w:space="0"/>
              <w:left w:val="single" w:color="auto" w:sz="4" w:space="0"/>
              <w:bottom w:val="single" w:color="auto" w:sz="4" w:space="0"/>
              <w:right w:val="single" w:color="auto" w:sz="4" w:space="0"/>
            </w:tcBorders>
            <w:vAlign w:val="center"/>
          </w:tcPr>
          <w:p w14:paraId="719500B2">
            <w:pPr>
              <w:adjustRightInd w:val="0"/>
              <w:snapToGrid w:val="0"/>
              <w:jc w:val="center"/>
              <w:rPr>
                <w:rFonts w:ascii="宋体" w:hAnsi="Times New Roman" w:eastAsia="宋体" w:cs="Times New Roman"/>
                <w:color w:val="auto"/>
              </w:rPr>
            </w:pPr>
            <w:r>
              <w:rPr>
                <w:rFonts w:ascii="宋体" w:hAnsi="Times New Roman" w:eastAsia="宋体" w:cs="Times New Roman"/>
                <w:color w:val="auto"/>
              </w:rPr>
              <w:t>50</w:t>
            </w:r>
          </w:p>
        </w:tc>
      </w:tr>
    </w:tbl>
    <w:p w14:paraId="3B411FD0">
      <w:pPr>
        <w:rPr>
          <w:rFonts w:hint="eastAsia"/>
          <w:color w:val="auto"/>
          <w:lang w:val="zh-CN" w:bidi="zh-CN"/>
        </w:rPr>
      </w:pPr>
    </w:p>
    <w:p w14:paraId="02A4879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固体废物</w:t>
      </w:r>
    </w:p>
    <w:p w14:paraId="7CF14FA3">
      <w:pPr>
        <w:pStyle w:val="276"/>
        <w:widowControl w:val="0"/>
        <w:spacing w:line="440" w:lineRule="exact"/>
        <w:ind w:firstLine="480"/>
        <w:jc w:val="both"/>
        <w:rPr>
          <w:color w:val="auto"/>
          <w:lang w:val="zh-CN" w:bidi="zh-CN"/>
        </w:rPr>
      </w:pPr>
      <w:r>
        <w:rPr>
          <w:color w:val="auto"/>
          <w:lang w:val="zh-CN" w:bidi="zh-CN"/>
        </w:rPr>
        <w:t>（</w:t>
      </w:r>
      <w:r>
        <w:rPr>
          <w:color w:val="auto"/>
          <w:lang w:bidi="zh-CN"/>
        </w:rPr>
        <w:t>1</w:t>
      </w:r>
      <w:r>
        <w:rPr>
          <w:color w:val="auto"/>
          <w:lang w:val="zh-CN" w:bidi="zh-CN"/>
        </w:rPr>
        <w:t>）施工期管道敷设产生的施工废料、</w:t>
      </w:r>
      <w:r>
        <w:rPr>
          <w:color w:val="auto"/>
          <w:lang w:bidi="zh-CN"/>
        </w:rPr>
        <w:t>膨润土、纯碱、</w:t>
      </w:r>
      <w:r>
        <w:rPr>
          <w:snapToGrid w:val="0"/>
          <w:color w:val="auto"/>
        </w:rPr>
        <w:t>重晶石</w:t>
      </w:r>
      <w:r>
        <w:rPr>
          <w:color w:val="auto"/>
          <w:lang w:bidi="zh-CN"/>
        </w:rPr>
        <w:t>粉</w:t>
      </w:r>
      <w:r>
        <w:rPr>
          <w:color w:val="auto"/>
          <w:lang w:val="zh-CN" w:bidi="zh-CN"/>
        </w:rPr>
        <w:t>废包装袋、</w:t>
      </w:r>
      <w:r>
        <w:rPr>
          <w:color w:val="auto"/>
          <w:lang w:bidi="zh-CN"/>
        </w:rPr>
        <w:t>封井建筑垃圾</w:t>
      </w:r>
      <w:r>
        <w:rPr>
          <w:color w:val="auto"/>
          <w:lang w:val="zh-CN" w:bidi="zh-CN"/>
        </w:rPr>
        <w:t>参照执行《一般工业固体废物贮存和填埋污染控制标准》（GB18599-20</w:t>
      </w:r>
      <w:r>
        <w:rPr>
          <w:color w:val="auto"/>
          <w:lang w:bidi="zh-CN"/>
        </w:rPr>
        <w:t>20</w:t>
      </w:r>
      <w:r>
        <w:rPr>
          <w:color w:val="auto"/>
          <w:lang w:val="zh-CN" w:bidi="zh-CN"/>
        </w:rPr>
        <w:t>）中I类场标准。</w:t>
      </w:r>
    </w:p>
    <w:p w14:paraId="5089267D">
      <w:pPr>
        <w:pStyle w:val="276"/>
        <w:widowControl w:val="0"/>
        <w:spacing w:line="440" w:lineRule="exact"/>
        <w:ind w:firstLine="480"/>
        <w:jc w:val="both"/>
        <w:rPr>
          <w:color w:val="auto"/>
          <w:lang w:val="zh-CN" w:bidi="zh-CN"/>
        </w:rPr>
      </w:pPr>
      <w:r>
        <w:rPr>
          <w:color w:val="auto"/>
          <w:lang w:val="zh-CN" w:bidi="zh-CN"/>
        </w:rPr>
        <w:t>（2）钻井期油基钻井岩屑、油基废钻井液</w:t>
      </w:r>
      <w:r>
        <w:rPr>
          <w:color w:val="auto"/>
          <w:kern w:val="21"/>
          <w:lang w:bidi="zh-CN"/>
        </w:rPr>
        <w:t>、含油废射孔液、</w:t>
      </w:r>
      <w:r>
        <w:rPr>
          <w:color w:val="auto"/>
          <w:lang w:val="zh-CN" w:bidi="zh-CN"/>
        </w:rPr>
        <w:t>含油废防渗布、</w:t>
      </w:r>
      <w:r>
        <w:rPr>
          <w:color w:val="auto"/>
          <w:lang w:bidi="zh-CN"/>
        </w:rPr>
        <w:t>落地油</w:t>
      </w:r>
      <w:r>
        <w:rPr>
          <w:color w:val="auto"/>
          <w:lang w:val="zh-CN" w:bidi="zh-CN"/>
        </w:rPr>
        <w:t>和</w:t>
      </w:r>
      <w:r>
        <w:rPr>
          <w:color w:val="auto"/>
          <w:lang w:bidi="zh-CN"/>
        </w:rPr>
        <w:t>运营期产生的含油污泥、落地油、作业废防渗布等危险废物执行</w:t>
      </w:r>
      <w:r>
        <w:rPr>
          <w:snapToGrid w:val="0"/>
          <w:color w:val="auto"/>
        </w:rPr>
        <w:t>《危险废物贮存污染控制标准》</w:t>
      </w:r>
      <w:r>
        <w:rPr>
          <w:color w:val="auto"/>
          <w:lang w:bidi="zh-CN"/>
        </w:rPr>
        <w:t>（GB18597-2023）中的相关规定。</w:t>
      </w:r>
    </w:p>
    <w:p w14:paraId="38966725">
      <w:pPr>
        <w:pStyle w:val="276"/>
        <w:widowControl w:val="0"/>
        <w:spacing w:line="440" w:lineRule="exact"/>
        <w:ind w:firstLine="480"/>
        <w:jc w:val="both"/>
        <w:rPr>
          <w:color w:val="auto"/>
          <w:lang w:bidi="zh-CN"/>
        </w:rPr>
      </w:pPr>
      <w:r>
        <w:rPr>
          <w:color w:val="auto"/>
          <w:lang w:val="zh-CN" w:bidi="zh-CN"/>
        </w:rPr>
        <w:t>（</w:t>
      </w:r>
      <w:r>
        <w:rPr>
          <w:color w:val="auto"/>
          <w:lang w:bidi="zh-CN"/>
        </w:rPr>
        <w:t>3</w:t>
      </w:r>
      <w:r>
        <w:rPr>
          <w:color w:val="auto"/>
          <w:lang w:val="zh-CN" w:bidi="zh-CN"/>
        </w:rPr>
        <w:t>）项目</w:t>
      </w:r>
      <w:r>
        <w:rPr>
          <w:rFonts w:hint="eastAsia"/>
          <w:color w:val="auto"/>
          <w:lang w:val="zh-CN" w:bidi="zh-CN"/>
        </w:rPr>
        <w:t>运营期</w:t>
      </w:r>
      <w:r>
        <w:rPr>
          <w:color w:val="auto"/>
          <w:lang w:val="zh-CN" w:bidi="zh-CN"/>
        </w:rPr>
        <w:t>产生的含油污泥</w:t>
      </w:r>
      <w:r>
        <w:rPr>
          <w:color w:val="auto"/>
          <w:lang w:bidi="zh-CN"/>
        </w:rPr>
        <w:t>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color w:val="auto"/>
          <w:lang w:val="zh-CN" w:bidi="zh-CN"/>
        </w:rPr>
        <w:t>，具体标准值见</w:t>
      </w:r>
      <w:r>
        <w:rPr>
          <w:color w:val="auto"/>
          <w:lang w:val="zh-CN" w:bidi="zh-CN"/>
        </w:rPr>
        <w:fldChar w:fldCharType="begin"/>
      </w:r>
      <w:r>
        <w:rPr>
          <w:color w:val="auto"/>
          <w:lang w:val="zh-CN" w:bidi="zh-CN"/>
        </w:rPr>
        <w:instrText xml:space="preserve"> REF _Ref211957743 \h  \* MERGEFORMAT </w:instrText>
      </w:r>
      <w:r>
        <w:rPr>
          <w:color w:val="auto"/>
          <w:lang w:val="zh-CN" w:bidi="zh-CN"/>
        </w:rPr>
        <w:fldChar w:fldCharType="separate"/>
      </w:r>
      <w:r>
        <w:rPr>
          <w:color w:val="auto"/>
        </w:rPr>
        <w:t>表 2.5</w:t>
      </w:r>
      <w:r>
        <w:rPr>
          <w:color w:val="auto"/>
        </w:rPr>
        <w:noBreakHyphen/>
      </w:r>
      <w:r>
        <w:rPr>
          <w:color w:val="auto"/>
        </w:rPr>
        <w:t>20</w:t>
      </w:r>
      <w:r>
        <w:rPr>
          <w:color w:val="auto"/>
          <w:lang w:val="zh-CN" w:bidi="zh-CN"/>
        </w:rPr>
        <w:fldChar w:fldCharType="end"/>
      </w:r>
      <w:r>
        <w:rPr>
          <w:color w:val="auto"/>
          <w:lang w:bidi="zh-CN"/>
        </w:rPr>
        <w:t>。</w:t>
      </w:r>
    </w:p>
    <w:p w14:paraId="7CFFD932">
      <w:pPr>
        <w:pStyle w:val="22"/>
        <w:spacing w:before="156"/>
        <w:rPr>
          <w:snapToGrid w:val="0"/>
          <w:color w:val="auto"/>
        </w:rPr>
      </w:pPr>
      <w:bookmarkStart w:id="369" w:name="_Ref211957743"/>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20</w:t>
      </w:r>
      <w:r>
        <w:rPr>
          <w:color w:val="auto"/>
        </w:rPr>
        <w:fldChar w:fldCharType="end"/>
      </w:r>
      <w:bookmarkEnd w:id="369"/>
      <w:r>
        <w:rPr>
          <w:color w:val="auto"/>
        </w:rPr>
        <w:t>油田含油污泥经处置后泥渣利用污染物控制限值</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4207"/>
        <w:gridCol w:w="3480"/>
      </w:tblGrid>
      <w:tr w14:paraId="0A07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shd w:val="clear" w:color="auto" w:fill="auto"/>
            <w:vAlign w:val="center"/>
          </w:tcPr>
          <w:p w14:paraId="7E3C3C6F">
            <w:pPr>
              <w:snapToGrid w:val="0"/>
              <w:jc w:val="center"/>
              <w:rPr>
                <w:rFonts w:ascii="宋体" w:hAnsi="宋体" w:eastAsia="宋体" w:cs="Times New Roman"/>
                <w:color w:val="auto"/>
              </w:rPr>
            </w:pPr>
            <w:r>
              <w:rPr>
                <w:rFonts w:ascii="宋体" w:hAnsi="宋体" w:eastAsia="宋体" w:cs="Times New Roman"/>
                <w:color w:val="auto"/>
              </w:rPr>
              <w:t>序号</w:t>
            </w:r>
          </w:p>
        </w:tc>
        <w:tc>
          <w:tcPr>
            <w:tcW w:w="2265" w:type="pct"/>
            <w:shd w:val="clear" w:color="auto" w:fill="auto"/>
            <w:vAlign w:val="center"/>
          </w:tcPr>
          <w:p w14:paraId="67E77678">
            <w:pPr>
              <w:snapToGrid w:val="0"/>
              <w:jc w:val="center"/>
              <w:rPr>
                <w:rFonts w:ascii="宋体" w:hAnsi="宋体" w:eastAsia="宋体" w:cs="Times New Roman"/>
                <w:color w:val="auto"/>
              </w:rPr>
            </w:pPr>
            <w:r>
              <w:rPr>
                <w:rFonts w:ascii="宋体" w:hAnsi="宋体" w:eastAsia="宋体" w:cs="Times New Roman"/>
                <w:color w:val="auto"/>
              </w:rPr>
              <w:t>控制项目</w:t>
            </w:r>
          </w:p>
        </w:tc>
        <w:tc>
          <w:tcPr>
            <w:tcW w:w="1874" w:type="pct"/>
            <w:shd w:val="clear" w:color="auto" w:fill="auto"/>
            <w:vAlign w:val="center"/>
          </w:tcPr>
          <w:p w14:paraId="35B8B515">
            <w:pPr>
              <w:snapToGrid w:val="0"/>
              <w:jc w:val="center"/>
              <w:rPr>
                <w:rFonts w:ascii="宋体" w:hAnsi="宋体" w:eastAsia="宋体" w:cs="Times New Roman"/>
                <w:color w:val="auto"/>
              </w:rPr>
            </w:pPr>
            <w:r>
              <w:rPr>
                <w:rFonts w:ascii="宋体" w:hAnsi="宋体" w:eastAsia="宋体" w:cs="Times New Roman"/>
                <w:color w:val="auto"/>
              </w:rPr>
              <w:t>控制限值</w:t>
            </w:r>
          </w:p>
        </w:tc>
      </w:tr>
      <w:tr w14:paraId="1A5B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shd w:val="clear" w:color="auto" w:fill="auto"/>
            <w:vAlign w:val="center"/>
          </w:tcPr>
          <w:p w14:paraId="65307B9E">
            <w:pPr>
              <w:snapToGrid w:val="0"/>
              <w:jc w:val="center"/>
              <w:rPr>
                <w:rFonts w:ascii="宋体" w:hAnsi="宋体" w:eastAsia="宋体" w:cs="Times New Roman"/>
                <w:color w:val="auto"/>
              </w:rPr>
            </w:pPr>
            <w:r>
              <w:rPr>
                <w:rFonts w:ascii="宋体" w:hAnsi="宋体" w:eastAsia="宋体" w:cs="Times New Roman"/>
                <w:color w:val="auto"/>
              </w:rPr>
              <w:t>1</w:t>
            </w:r>
          </w:p>
        </w:tc>
        <w:tc>
          <w:tcPr>
            <w:tcW w:w="2265" w:type="pct"/>
            <w:shd w:val="clear" w:color="auto" w:fill="auto"/>
            <w:vAlign w:val="center"/>
          </w:tcPr>
          <w:p w14:paraId="1003593B">
            <w:pPr>
              <w:snapToGrid w:val="0"/>
              <w:jc w:val="center"/>
              <w:rPr>
                <w:rFonts w:ascii="宋体" w:hAnsi="宋体" w:eastAsia="宋体" w:cs="Times New Roman"/>
                <w:color w:val="auto"/>
              </w:rPr>
            </w:pPr>
            <w:r>
              <w:rPr>
                <w:rFonts w:ascii="宋体" w:hAnsi="宋体" w:eastAsia="宋体" w:cs="Times New Roman"/>
                <w:color w:val="auto"/>
              </w:rPr>
              <w:t>As（以干基计）（mg/kg）</w:t>
            </w:r>
          </w:p>
        </w:tc>
        <w:tc>
          <w:tcPr>
            <w:tcW w:w="1874" w:type="pct"/>
            <w:shd w:val="clear" w:color="auto" w:fill="auto"/>
            <w:vAlign w:val="center"/>
          </w:tcPr>
          <w:p w14:paraId="6B82F76F">
            <w:pPr>
              <w:snapToGrid w:val="0"/>
              <w:jc w:val="center"/>
              <w:rPr>
                <w:rFonts w:ascii="宋体" w:hAnsi="宋体" w:eastAsia="宋体" w:cs="Times New Roman"/>
                <w:color w:val="auto"/>
              </w:rPr>
            </w:pPr>
            <w:r>
              <w:rPr>
                <w:rFonts w:ascii="宋体" w:hAnsi="宋体" w:eastAsia="宋体" w:cs="Times New Roman"/>
                <w:color w:val="auto"/>
              </w:rPr>
              <w:t>≤30</w:t>
            </w:r>
          </w:p>
        </w:tc>
      </w:tr>
      <w:tr w14:paraId="28C0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1" w:type="pct"/>
            <w:shd w:val="clear" w:color="auto" w:fill="auto"/>
            <w:vAlign w:val="center"/>
          </w:tcPr>
          <w:p w14:paraId="3D1A417C">
            <w:pPr>
              <w:snapToGrid w:val="0"/>
              <w:jc w:val="center"/>
              <w:rPr>
                <w:rFonts w:ascii="宋体" w:hAnsi="宋体" w:eastAsia="宋体" w:cs="Times New Roman"/>
                <w:color w:val="auto"/>
              </w:rPr>
            </w:pPr>
            <w:r>
              <w:rPr>
                <w:rFonts w:ascii="宋体" w:hAnsi="宋体" w:eastAsia="宋体" w:cs="Times New Roman"/>
                <w:color w:val="auto"/>
              </w:rPr>
              <w:t>2</w:t>
            </w:r>
          </w:p>
        </w:tc>
        <w:tc>
          <w:tcPr>
            <w:tcW w:w="2265" w:type="pct"/>
            <w:shd w:val="clear" w:color="auto" w:fill="auto"/>
            <w:vAlign w:val="center"/>
          </w:tcPr>
          <w:p w14:paraId="334F02D2">
            <w:pPr>
              <w:snapToGrid w:val="0"/>
              <w:jc w:val="center"/>
              <w:rPr>
                <w:rFonts w:ascii="宋体" w:hAnsi="宋体" w:eastAsia="宋体" w:cs="Times New Roman"/>
                <w:color w:val="auto"/>
              </w:rPr>
            </w:pPr>
            <w:r>
              <w:rPr>
                <w:rFonts w:ascii="宋体" w:hAnsi="宋体" w:eastAsia="宋体" w:cs="Times New Roman"/>
                <w:color w:val="auto"/>
              </w:rPr>
              <w:t>Hg（以干基计）（mg/kg）</w:t>
            </w:r>
          </w:p>
        </w:tc>
        <w:tc>
          <w:tcPr>
            <w:tcW w:w="1874" w:type="pct"/>
            <w:shd w:val="clear" w:color="auto" w:fill="auto"/>
            <w:vAlign w:val="center"/>
          </w:tcPr>
          <w:p w14:paraId="792C04C8">
            <w:pPr>
              <w:snapToGrid w:val="0"/>
              <w:jc w:val="center"/>
              <w:rPr>
                <w:rFonts w:ascii="宋体" w:hAnsi="宋体" w:eastAsia="宋体" w:cs="Times New Roman"/>
                <w:color w:val="auto"/>
              </w:rPr>
            </w:pPr>
            <w:r>
              <w:rPr>
                <w:rFonts w:ascii="宋体" w:hAnsi="宋体" w:eastAsia="宋体" w:cs="Times New Roman"/>
                <w:color w:val="auto"/>
              </w:rPr>
              <w:t>≤0.8</w:t>
            </w:r>
          </w:p>
        </w:tc>
      </w:tr>
      <w:tr w14:paraId="4C59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shd w:val="clear" w:color="auto" w:fill="auto"/>
            <w:vAlign w:val="center"/>
          </w:tcPr>
          <w:p w14:paraId="7908E67F">
            <w:pPr>
              <w:snapToGrid w:val="0"/>
              <w:jc w:val="center"/>
              <w:rPr>
                <w:rFonts w:ascii="宋体" w:hAnsi="宋体" w:eastAsia="宋体" w:cs="Times New Roman"/>
                <w:color w:val="auto"/>
              </w:rPr>
            </w:pPr>
            <w:r>
              <w:rPr>
                <w:rFonts w:ascii="宋体" w:hAnsi="宋体" w:eastAsia="宋体" w:cs="Times New Roman"/>
                <w:color w:val="auto"/>
              </w:rPr>
              <w:t>3</w:t>
            </w:r>
          </w:p>
        </w:tc>
        <w:tc>
          <w:tcPr>
            <w:tcW w:w="2265" w:type="pct"/>
            <w:shd w:val="clear" w:color="auto" w:fill="auto"/>
            <w:vAlign w:val="center"/>
          </w:tcPr>
          <w:p w14:paraId="657F8C5F">
            <w:pPr>
              <w:snapToGrid w:val="0"/>
              <w:jc w:val="center"/>
              <w:rPr>
                <w:rFonts w:ascii="宋体" w:hAnsi="宋体" w:eastAsia="宋体" w:cs="Times New Roman"/>
                <w:color w:val="auto"/>
              </w:rPr>
            </w:pPr>
            <w:r>
              <w:rPr>
                <w:rFonts w:ascii="宋体" w:hAnsi="宋体" w:eastAsia="宋体" w:cs="Times New Roman"/>
                <w:color w:val="auto"/>
              </w:rPr>
              <w:t>Cr</w:t>
            </w:r>
            <w:r>
              <w:rPr>
                <w:rFonts w:ascii="宋体" w:hAnsi="宋体" w:eastAsia="宋体" w:cs="Times New Roman"/>
                <w:color w:val="auto"/>
                <w:vertAlign w:val="superscript"/>
              </w:rPr>
              <w:t>6+</w:t>
            </w:r>
            <w:r>
              <w:rPr>
                <w:rFonts w:ascii="宋体" w:hAnsi="宋体" w:eastAsia="宋体" w:cs="Times New Roman"/>
                <w:color w:val="auto"/>
              </w:rPr>
              <w:t>（以干基计）（mg/kg）</w:t>
            </w:r>
          </w:p>
        </w:tc>
        <w:tc>
          <w:tcPr>
            <w:tcW w:w="1874" w:type="pct"/>
            <w:shd w:val="clear" w:color="auto" w:fill="auto"/>
            <w:vAlign w:val="center"/>
          </w:tcPr>
          <w:p w14:paraId="69390AA0">
            <w:pPr>
              <w:snapToGrid w:val="0"/>
              <w:jc w:val="center"/>
              <w:rPr>
                <w:rFonts w:ascii="宋体" w:hAnsi="宋体" w:eastAsia="宋体" w:cs="Times New Roman"/>
                <w:color w:val="auto"/>
              </w:rPr>
            </w:pPr>
            <w:r>
              <w:rPr>
                <w:rFonts w:ascii="宋体" w:hAnsi="宋体" w:eastAsia="宋体" w:cs="Times New Roman"/>
                <w:color w:val="auto"/>
              </w:rPr>
              <w:t>≤5</w:t>
            </w:r>
          </w:p>
        </w:tc>
      </w:tr>
      <w:tr w14:paraId="4DA7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shd w:val="clear" w:color="auto" w:fill="auto"/>
            <w:vAlign w:val="center"/>
          </w:tcPr>
          <w:p w14:paraId="22BB4C1D">
            <w:pPr>
              <w:snapToGrid w:val="0"/>
              <w:jc w:val="center"/>
              <w:rPr>
                <w:rFonts w:ascii="宋体" w:hAnsi="宋体" w:eastAsia="宋体" w:cs="Times New Roman"/>
                <w:color w:val="auto"/>
              </w:rPr>
            </w:pPr>
            <w:r>
              <w:rPr>
                <w:rFonts w:ascii="宋体" w:hAnsi="宋体" w:eastAsia="宋体" w:cs="Times New Roman"/>
                <w:color w:val="auto"/>
              </w:rPr>
              <w:t>4</w:t>
            </w:r>
          </w:p>
        </w:tc>
        <w:tc>
          <w:tcPr>
            <w:tcW w:w="2265" w:type="pct"/>
            <w:shd w:val="clear" w:color="auto" w:fill="auto"/>
            <w:vAlign w:val="center"/>
          </w:tcPr>
          <w:p w14:paraId="0663C90F">
            <w:pPr>
              <w:snapToGrid w:val="0"/>
              <w:jc w:val="center"/>
              <w:rPr>
                <w:rFonts w:ascii="宋体" w:hAnsi="宋体" w:eastAsia="宋体" w:cs="Times New Roman"/>
                <w:color w:val="auto"/>
              </w:rPr>
            </w:pPr>
            <w:r>
              <w:rPr>
                <w:rFonts w:ascii="宋体" w:hAnsi="宋体" w:eastAsia="宋体" w:cs="Times New Roman"/>
                <w:color w:val="auto"/>
              </w:rPr>
              <w:t>Cu（以干基计）（mg/kg）</w:t>
            </w:r>
          </w:p>
        </w:tc>
        <w:tc>
          <w:tcPr>
            <w:tcW w:w="1874" w:type="pct"/>
            <w:shd w:val="clear" w:color="auto" w:fill="auto"/>
            <w:vAlign w:val="center"/>
          </w:tcPr>
          <w:p w14:paraId="3D24F3BB">
            <w:pPr>
              <w:snapToGrid w:val="0"/>
              <w:jc w:val="center"/>
              <w:rPr>
                <w:rFonts w:ascii="宋体" w:hAnsi="宋体" w:eastAsia="宋体" w:cs="Times New Roman"/>
                <w:color w:val="auto"/>
              </w:rPr>
            </w:pPr>
            <w:r>
              <w:rPr>
                <w:rFonts w:ascii="宋体" w:hAnsi="宋体" w:eastAsia="宋体" w:cs="Times New Roman"/>
                <w:color w:val="auto"/>
              </w:rPr>
              <w:t>≤150</w:t>
            </w:r>
          </w:p>
        </w:tc>
      </w:tr>
      <w:tr w14:paraId="785E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shd w:val="clear" w:color="auto" w:fill="auto"/>
            <w:vAlign w:val="center"/>
          </w:tcPr>
          <w:p w14:paraId="1E510515">
            <w:pPr>
              <w:snapToGrid w:val="0"/>
              <w:jc w:val="center"/>
              <w:rPr>
                <w:rFonts w:ascii="宋体" w:hAnsi="宋体" w:eastAsia="宋体" w:cs="Times New Roman"/>
                <w:color w:val="auto"/>
              </w:rPr>
            </w:pPr>
            <w:r>
              <w:rPr>
                <w:rFonts w:ascii="宋体" w:hAnsi="宋体" w:eastAsia="宋体" w:cs="Times New Roman"/>
                <w:color w:val="auto"/>
              </w:rPr>
              <w:t>5</w:t>
            </w:r>
          </w:p>
        </w:tc>
        <w:tc>
          <w:tcPr>
            <w:tcW w:w="2265" w:type="pct"/>
            <w:shd w:val="clear" w:color="auto" w:fill="auto"/>
            <w:vAlign w:val="center"/>
          </w:tcPr>
          <w:p w14:paraId="253CAFE0">
            <w:pPr>
              <w:snapToGrid w:val="0"/>
              <w:jc w:val="center"/>
              <w:rPr>
                <w:rFonts w:ascii="宋体" w:hAnsi="宋体" w:eastAsia="宋体" w:cs="Times New Roman"/>
                <w:color w:val="auto"/>
              </w:rPr>
            </w:pPr>
            <w:r>
              <w:rPr>
                <w:rFonts w:ascii="宋体" w:hAnsi="宋体" w:eastAsia="宋体" w:cs="Times New Roman"/>
                <w:color w:val="auto"/>
              </w:rPr>
              <w:t>Zn（以干基计）（mg/kg）</w:t>
            </w:r>
          </w:p>
        </w:tc>
        <w:tc>
          <w:tcPr>
            <w:tcW w:w="1874" w:type="pct"/>
            <w:shd w:val="clear" w:color="auto" w:fill="auto"/>
            <w:vAlign w:val="center"/>
          </w:tcPr>
          <w:p w14:paraId="2433F586">
            <w:pPr>
              <w:snapToGrid w:val="0"/>
              <w:jc w:val="center"/>
              <w:rPr>
                <w:rFonts w:ascii="宋体" w:hAnsi="宋体" w:eastAsia="宋体" w:cs="Times New Roman"/>
                <w:color w:val="auto"/>
              </w:rPr>
            </w:pPr>
            <w:r>
              <w:rPr>
                <w:rFonts w:ascii="宋体" w:hAnsi="宋体" w:eastAsia="宋体" w:cs="Times New Roman"/>
                <w:color w:val="auto"/>
              </w:rPr>
              <w:t>≤600</w:t>
            </w:r>
          </w:p>
        </w:tc>
      </w:tr>
      <w:tr w14:paraId="7083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61" w:type="pct"/>
            <w:shd w:val="clear" w:color="auto" w:fill="auto"/>
            <w:vAlign w:val="center"/>
          </w:tcPr>
          <w:p w14:paraId="6B76C5BD">
            <w:pPr>
              <w:snapToGrid w:val="0"/>
              <w:jc w:val="center"/>
              <w:rPr>
                <w:rFonts w:ascii="宋体" w:hAnsi="宋体" w:eastAsia="宋体" w:cs="Times New Roman"/>
                <w:color w:val="auto"/>
              </w:rPr>
            </w:pPr>
            <w:r>
              <w:rPr>
                <w:rFonts w:ascii="宋体" w:hAnsi="宋体" w:eastAsia="宋体" w:cs="Times New Roman"/>
                <w:color w:val="auto"/>
              </w:rPr>
              <w:t>6</w:t>
            </w:r>
          </w:p>
        </w:tc>
        <w:tc>
          <w:tcPr>
            <w:tcW w:w="2265" w:type="pct"/>
            <w:shd w:val="clear" w:color="auto" w:fill="auto"/>
            <w:vAlign w:val="center"/>
          </w:tcPr>
          <w:p w14:paraId="468CD33A">
            <w:pPr>
              <w:snapToGrid w:val="0"/>
              <w:jc w:val="center"/>
              <w:rPr>
                <w:rFonts w:ascii="宋体" w:hAnsi="宋体" w:eastAsia="宋体" w:cs="Times New Roman"/>
                <w:color w:val="auto"/>
              </w:rPr>
            </w:pPr>
            <w:r>
              <w:rPr>
                <w:rFonts w:ascii="宋体" w:hAnsi="宋体" w:eastAsia="宋体" w:cs="Times New Roman"/>
                <w:color w:val="auto"/>
              </w:rPr>
              <w:t>Ni（以干基计）（mg/kg）</w:t>
            </w:r>
          </w:p>
        </w:tc>
        <w:tc>
          <w:tcPr>
            <w:tcW w:w="1874" w:type="pct"/>
            <w:shd w:val="clear" w:color="auto" w:fill="auto"/>
            <w:vAlign w:val="center"/>
          </w:tcPr>
          <w:p w14:paraId="239043BF">
            <w:pPr>
              <w:snapToGrid w:val="0"/>
              <w:jc w:val="center"/>
              <w:rPr>
                <w:rFonts w:ascii="宋体" w:hAnsi="宋体" w:eastAsia="宋体" w:cs="Times New Roman"/>
                <w:color w:val="auto"/>
              </w:rPr>
            </w:pPr>
            <w:r>
              <w:rPr>
                <w:rFonts w:ascii="宋体" w:hAnsi="宋体" w:eastAsia="宋体" w:cs="Times New Roman"/>
                <w:color w:val="auto"/>
              </w:rPr>
              <w:t>≤150</w:t>
            </w:r>
          </w:p>
        </w:tc>
      </w:tr>
      <w:tr w14:paraId="0137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shd w:val="clear" w:color="auto" w:fill="auto"/>
            <w:vAlign w:val="center"/>
          </w:tcPr>
          <w:p w14:paraId="063233CC">
            <w:pPr>
              <w:snapToGrid w:val="0"/>
              <w:jc w:val="center"/>
              <w:rPr>
                <w:rFonts w:ascii="宋体" w:hAnsi="宋体" w:eastAsia="宋体" w:cs="Times New Roman"/>
                <w:color w:val="auto"/>
              </w:rPr>
            </w:pPr>
            <w:r>
              <w:rPr>
                <w:rFonts w:ascii="宋体" w:hAnsi="宋体" w:eastAsia="宋体" w:cs="Times New Roman"/>
                <w:color w:val="auto"/>
              </w:rPr>
              <w:t>7</w:t>
            </w:r>
          </w:p>
        </w:tc>
        <w:tc>
          <w:tcPr>
            <w:tcW w:w="2265" w:type="pct"/>
            <w:shd w:val="clear" w:color="auto" w:fill="auto"/>
            <w:vAlign w:val="center"/>
          </w:tcPr>
          <w:p w14:paraId="4EF9CD7C">
            <w:pPr>
              <w:snapToGrid w:val="0"/>
              <w:jc w:val="center"/>
              <w:rPr>
                <w:rFonts w:ascii="宋体" w:hAnsi="宋体" w:eastAsia="宋体" w:cs="Times New Roman"/>
                <w:color w:val="auto"/>
              </w:rPr>
            </w:pPr>
            <w:r>
              <w:rPr>
                <w:rFonts w:ascii="宋体" w:hAnsi="宋体" w:eastAsia="宋体" w:cs="Times New Roman"/>
                <w:color w:val="auto"/>
              </w:rPr>
              <w:t>Pb（以干基计）（mg/kg）</w:t>
            </w:r>
          </w:p>
        </w:tc>
        <w:tc>
          <w:tcPr>
            <w:tcW w:w="1874" w:type="pct"/>
            <w:shd w:val="clear" w:color="auto" w:fill="auto"/>
            <w:vAlign w:val="center"/>
          </w:tcPr>
          <w:p w14:paraId="604CE69C">
            <w:pPr>
              <w:snapToGrid w:val="0"/>
              <w:jc w:val="center"/>
              <w:rPr>
                <w:rFonts w:ascii="宋体" w:hAnsi="宋体" w:eastAsia="宋体" w:cs="Times New Roman"/>
                <w:color w:val="auto"/>
              </w:rPr>
            </w:pPr>
            <w:r>
              <w:rPr>
                <w:rFonts w:ascii="宋体" w:hAnsi="宋体" w:eastAsia="宋体" w:cs="Times New Roman"/>
                <w:color w:val="auto"/>
              </w:rPr>
              <w:t>≤375</w:t>
            </w:r>
          </w:p>
        </w:tc>
      </w:tr>
      <w:tr w14:paraId="7110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shd w:val="clear" w:color="auto" w:fill="auto"/>
            <w:vAlign w:val="center"/>
          </w:tcPr>
          <w:p w14:paraId="58192CF6">
            <w:pPr>
              <w:snapToGrid w:val="0"/>
              <w:jc w:val="center"/>
              <w:rPr>
                <w:rFonts w:ascii="宋体" w:hAnsi="宋体" w:eastAsia="宋体" w:cs="Times New Roman"/>
                <w:color w:val="auto"/>
              </w:rPr>
            </w:pPr>
            <w:r>
              <w:rPr>
                <w:rFonts w:ascii="宋体" w:hAnsi="宋体" w:eastAsia="宋体" w:cs="Times New Roman"/>
                <w:color w:val="auto"/>
              </w:rPr>
              <w:t>8</w:t>
            </w:r>
          </w:p>
        </w:tc>
        <w:tc>
          <w:tcPr>
            <w:tcW w:w="2265" w:type="pct"/>
            <w:shd w:val="clear" w:color="auto" w:fill="auto"/>
            <w:vAlign w:val="center"/>
          </w:tcPr>
          <w:p w14:paraId="58DEC796">
            <w:pPr>
              <w:snapToGrid w:val="0"/>
              <w:jc w:val="center"/>
              <w:rPr>
                <w:rFonts w:ascii="宋体" w:hAnsi="宋体" w:eastAsia="宋体" w:cs="Times New Roman"/>
                <w:color w:val="auto"/>
              </w:rPr>
            </w:pPr>
            <w:r>
              <w:rPr>
                <w:rFonts w:ascii="宋体" w:hAnsi="宋体" w:eastAsia="宋体" w:cs="Times New Roman"/>
                <w:color w:val="auto"/>
              </w:rPr>
              <w:t>Cd（以干基计）（mg/kg）</w:t>
            </w:r>
          </w:p>
        </w:tc>
        <w:tc>
          <w:tcPr>
            <w:tcW w:w="1874" w:type="pct"/>
            <w:shd w:val="clear" w:color="auto" w:fill="auto"/>
            <w:vAlign w:val="center"/>
          </w:tcPr>
          <w:p w14:paraId="759BB236">
            <w:pPr>
              <w:snapToGrid w:val="0"/>
              <w:jc w:val="center"/>
              <w:rPr>
                <w:rFonts w:ascii="宋体" w:hAnsi="宋体" w:eastAsia="宋体" w:cs="Times New Roman"/>
                <w:color w:val="auto"/>
              </w:rPr>
            </w:pPr>
            <w:r>
              <w:rPr>
                <w:rFonts w:ascii="宋体" w:hAnsi="宋体" w:eastAsia="宋体" w:cs="Times New Roman"/>
                <w:color w:val="auto"/>
              </w:rPr>
              <w:t>≤3</w:t>
            </w:r>
          </w:p>
        </w:tc>
      </w:tr>
      <w:tr w14:paraId="21BF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shd w:val="clear" w:color="auto" w:fill="auto"/>
            <w:vAlign w:val="center"/>
          </w:tcPr>
          <w:p w14:paraId="2861A436">
            <w:pPr>
              <w:snapToGrid w:val="0"/>
              <w:jc w:val="center"/>
              <w:rPr>
                <w:rFonts w:ascii="宋体" w:hAnsi="宋体" w:eastAsia="宋体" w:cs="Times New Roman"/>
                <w:color w:val="auto"/>
              </w:rPr>
            </w:pPr>
            <w:r>
              <w:rPr>
                <w:rFonts w:ascii="宋体" w:hAnsi="宋体" w:eastAsia="宋体" w:cs="Times New Roman"/>
                <w:color w:val="auto"/>
              </w:rPr>
              <w:t>9</w:t>
            </w:r>
          </w:p>
        </w:tc>
        <w:tc>
          <w:tcPr>
            <w:tcW w:w="2265" w:type="pct"/>
            <w:shd w:val="clear" w:color="auto" w:fill="auto"/>
            <w:vAlign w:val="center"/>
          </w:tcPr>
          <w:p w14:paraId="44E5732C">
            <w:pPr>
              <w:snapToGrid w:val="0"/>
              <w:jc w:val="center"/>
              <w:rPr>
                <w:rFonts w:ascii="宋体" w:hAnsi="宋体" w:eastAsia="宋体" w:cs="Times New Roman"/>
                <w:color w:val="auto"/>
              </w:rPr>
            </w:pPr>
            <w:r>
              <w:rPr>
                <w:rFonts w:ascii="宋体" w:hAnsi="宋体" w:eastAsia="宋体" w:cs="Times New Roman"/>
                <w:color w:val="auto"/>
              </w:rPr>
              <w:t>石油类（以干基计）（mg/kg）</w:t>
            </w:r>
          </w:p>
        </w:tc>
        <w:tc>
          <w:tcPr>
            <w:tcW w:w="1874" w:type="pct"/>
            <w:shd w:val="clear" w:color="auto" w:fill="auto"/>
            <w:vAlign w:val="center"/>
          </w:tcPr>
          <w:p w14:paraId="31804ABC">
            <w:pPr>
              <w:snapToGrid w:val="0"/>
              <w:jc w:val="center"/>
              <w:rPr>
                <w:rFonts w:ascii="宋体" w:hAnsi="宋体" w:eastAsia="宋体" w:cs="Times New Roman"/>
                <w:color w:val="auto"/>
              </w:rPr>
            </w:pPr>
            <w:r>
              <w:rPr>
                <w:rFonts w:ascii="宋体" w:hAnsi="宋体" w:eastAsia="宋体" w:cs="Times New Roman"/>
                <w:color w:val="auto"/>
              </w:rPr>
              <w:t>≤3000</w:t>
            </w:r>
          </w:p>
        </w:tc>
      </w:tr>
      <w:tr w14:paraId="24AD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shd w:val="clear" w:color="auto" w:fill="auto"/>
            <w:vAlign w:val="center"/>
          </w:tcPr>
          <w:p w14:paraId="559ECD69">
            <w:pPr>
              <w:snapToGrid w:val="0"/>
              <w:jc w:val="center"/>
              <w:rPr>
                <w:rFonts w:ascii="宋体" w:hAnsi="宋体" w:eastAsia="宋体" w:cs="Times New Roman"/>
                <w:color w:val="auto"/>
              </w:rPr>
            </w:pPr>
            <w:r>
              <w:rPr>
                <w:rFonts w:ascii="宋体" w:hAnsi="宋体" w:eastAsia="宋体" w:cs="Times New Roman"/>
                <w:color w:val="auto"/>
              </w:rPr>
              <w:t>10</w:t>
            </w:r>
          </w:p>
        </w:tc>
        <w:tc>
          <w:tcPr>
            <w:tcW w:w="2265" w:type="pct"/>
            <w:shd w:val="clear" w:color="auto" w:fill="auto"/>
            <w:vAlign w:val="center"/>
          </w:tcPr>
          <w:p w14:paraId="483B102F">
            <w:pPr>
              <w:snapToGrid w:val="0"/>
              <w:jc w:val="center"/>
              <w:rPr>
                <w:rFonts w:ascii="宋体" w:hAnsi="宋体" w:eastAsia="宋体" w:cs="Times New Roman"/>
                <w:color w:val="auto"/>
              </w:rPr>
            </w:pPr>
            <w:r>
              <w:rPr>
                <w:rFonts w:ascii="宋体" w:hAnsi="宋体" w:eastAsia="宋体" w:cs="Times New Roman"/>
                <w:color w:val="auto"/>
              </w:rPr>
              <w:t>pH值</w:t>
            </w:r>
          </w:p>
        </w:tc>
        <w:tc>
          <w:tcPr>
            <w:tcW w:w="1874" w:type="pct"/>
            <w:shd w:val="clear" w:color="auto" w:fill="auto"/>
            <w:vAlign w:val="center"/>
          </w:tcPr>
          <w:p w14:paraId="1CE8A927">
            <w:pPr>
              <w:snapToGrid w:val="0"/>
              <w:jc w:val="center"/>
              <w:rPr>
                <w:rFonts w:ascii="宋体" w:hAnsi="宋体" w:eastAsia="宋体" w:cs="Times New Roman"/>
                <w:color w:val="auto"/>
              </w:rPr>
            </w:pPr>
            <w:r>
              <w:rPr>
                <w:rFonts w:ascii="宋体" w:hAnsi="宋体" w:eastAsia="宋体" w:cs="Times New Roman"/>
                <w:color w:val="auto"/>
              </w:rPr>
              <w:t>6.5～9</w:t>
            </w:r>
          </w:p>
        </w:tc>
      </w:tr>
      <w:tr w14:paraId="7FFC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 w:type="pct"/>
            <w:shd w:val="clear" w:color="auto" w:fill="auto"/>
            <w:vAlign w:val="center"/>
          </w:tcPr>
          <w:p w14:paraId="418269C4">
            <w:pPr>
              <w:snapToGrid w:val="0"/>
              <w:jc w:val="center"/>
              <w:rPr>
                <w:rFonts w:ascii="宋体" w:hAnsi="宋体" w:eastAsia="宋体" w:cs="Times New Roman"/>
                <w:color w:val="auto"/>
              </w:rPr>
            </w:pPr>
            <w:r>
              <w:rPr>
                <w:rFonts w:ascii="宋体" w:hAnsi="宋体" w:eastAsia="宋体" w:cs="Times New Roman"/>
                <w:color w:val="auto"/>
              </w:rPr>
              <w:t>11</w:t>
            </w:r>
          </w:p>
        </w:tc>
        <w:tc>
          <w:tcPr>
            <w:tcW w:w="2265" w:type="pct"/>
            <w:shd w:val="clear" w:color="auto" w:fill="auto"/>
            <w:vAlign w:val="center"/>
          </w:tcPr>
          <w:p w14:paraId="43206456">
            <w:pPr>
              <w:snapToGrid w:val="0"/>
              <w:jc w:val="center"/>
              <w:rPr>
                <w:rFonts w:ascii="宋体" w:hAnsi="宋体" w:eastAsia="宋体" w:cs="Times New Roman"/>
                <w:color w:val="auto"/>
              </w:rPr>
            </w:pPr>
            <w:r>
              <w:rPr>
                <w:rFonts w:ascii="宋体" w:hAnsi="宋体" w:eastAsia="宋体" w:cs="Times New Roman"/>
                <w:color w:val="auto"/>
              </w:rPr>
              <w:t>含水率（质量百分比）</w:t>
            </w:r>
          </w:p>
        </w:tc>
        <w:tc>
          <w:tcPr>
            <w:tcW w:w="1874" w:type="pct"/>
            <w:shd w:val="clear" w:color="auto" w:fill="auto"/>
            <w:vAlign w:val="center"/>
          </w:tcPr>
          <w:p w14:paraId="4CB612CE">
            <w:pPr>
              <w:snapToGrid w:val="0"/>
              <w:jc w:val="center"/>
              <w:rPr>
                <w:rFonts w:ascii="宋体" w:hAnsi="宋体" w:eastAsia="宋体" w:cs="Times New Roman"/>
                <w:color w:val="auto"/>
              </w:rPr>
            </w:pPr>
            <w:r>
              <w:rPr>
                <w:rFonts w:ascii="宋体" w:hAnsi="宋体" w:eastAsia="宋体" w:cs="Times New Roman"/>
                <w:color w:val="auto"/>
              </w:rPr>
              <w:t>≤40%</w:t>
            </w:r>
          </w:p>
        </w:tc>
      </w:tr>
    </w:tbl>
    <w:p w14:paraId="0B62FADA">
      <w:pPr>
        <w:pStyle w:val="5"/>
        <w:rPr>
          <w:bCs w:val="0"/>
          <w:color w:val="auto"/>
        </w:rPr>
      </w:pPr>
      <w:bookmarkStart w:id="370" w:name="_Toc30068"/>
      <w:bookmarkStart w:id="371" w:name="_Toc212033008"/>
      <w:r>
        <w:rPr>
          <w:bCs w:val="0"/>
          <w:color w:val="auto"/>
        </w:rPr>
        <w:t>评价等级及评价范围</w:t>
      </w:r>
      <w:bookmarkEnd w:id="370"/>
      <w:bookmarkEnd w:id="371"/>
    </w:p>
    <w:p w14:paraId="6F3E2DAC">
      <w:pPr>
        <w:pStyle w:val="6"/>
        <w:rPr>
          <w:color w:val="auto"/>
        </w:rPr>
      </w:pPr>
      <w:bookmarkStart w:id="372" w:name="_Toc84929204"/>
      <w:bookmarkStart w:id="373" w:name="_Toc80588231"/>
      <w:bookmarkStart w:id="374" w:name="_Toc17898140"/>
      <w:bookmarkStart w:id="375" w:name="_Toc76976219"/>
      <w:bookmarkStart w:id="376" w:name="_Toc78816436"/>
      <w:bookmarkStart w:id="377" w:name="_Toc67860104"/>
      <w:bookmarkStart w:id="378" w:name="_Toc83209448"/>
      <w:bookmarkStart w:id="379" w:name="_Toc77067635"/>
      <w:bookmarkStart w:id="380" w:name="_Toc131167267"/>
      <w:bookmarkStart w:id="381" w:name="_Toc70050151"/>
      <w:bookmarkStart w:id="382" w:name="_Toc12000"/>
      <w:bookmarkStart w:id="383" w:name="_Toc126863367"/>
      <w:bookmarkStart w:id="384" w:name="_Toc143099554"/>
      <w:bookmarkStart w:id="385" w:name="_Toc57976650"/>
      <w:bookmarkStart w:id="386" w:name="_Toc86141911"/>
      <w:bookmarkStart w:id="387" w:name="_Toc57707895"/>
      <w:bookmarkStart w:id="388" w:name="_Toc80971353"/>
      <w:bookmarkStart w:id="389" w:name="_Toc127192316"/>
      <w:bookmarkStart w:id="390" w:name="_Toc61597197"/>
      <w:bookmarkStart w:id="391" w:name="_Toc57203225"/>
      <w:bookmarkStart w:id="392" w:name="_Toc85640728"/>
      <w:r>
        <w:rPr>
          <w:color w:val="auto"/>
        </w:rPr>
        <w:t>环境空气</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3F6B0D54">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评价等级</w:t>
      </w:r>
    </w:p>
    <w:p w14:paraId="08EB3473">
      <w:pPr>
        <w:pStyle w:val="276"/>
        <w:widowControl w:val="0"/>
        <w:spacing w:line="440" w:lineRule="exact"/>
        <w:ind w:firstLine="480"/>
        <w:jc w:val="both"/>
        <w:rPr>
          <w:color w:val="auto"/>
          <w:lang w:bidi="zh-CN"/>
        </w:rPr>
      </w:pPr>
      <w:r>
        <w:rPr>
          <w:color w:val="auto"/>
          <w:lang w:val="zh-CN" w:bidi="zh-CN"/>
        </w:rPr>
        <w:t>根据对本项目的性质和环境要素分析可知，本项目</w:t>
      </w:r>
      <w:r>
        <w:rPr>
          <w:rFonts w:hint="eastAsia"/>
          <w:color w:val="auto"/>
          <w:lang w:val="zh-CN" w:bidi="zh-CN"/>
        </w:rPr>
        <w:t>运营期</w:t>
      </w:r>
      <w:r>
        <w:rPr>
          <w:color w:val="auto"/>
          <w:lang w:val="zh-CN" w:bidi="zh-CN"/>
        </w:rPr>
        <w:t>大气污染源主要为新建拉油点储罐和依托场站加热炉产生的燃烧烟气、新建油井产液集输过程中无组织排放的烃类气体。</w:t>
      </w:r>
    </w:p>
    <w:p w14:paraId="4247C697">
      <w:pPr>
        <w:pStyle w:val="276"/>
        <w:widowControl w:val="0"/>
        <w:spacing w:line="440" w:lineRule="exact"/>
        <w:ind w:firstLine="480"/>
        <w:jc w:val="both"/>
        <w:rPr>
          <w:color w:val="auto"/>
          <w:lang w:val="zh-CN" w:bidi="zh-CN"/>
        </w:rPr>
      </w:pPr>
      <w:r>
        <w:rPr>
          <w:rFonts w:hint="eastAsia"/>
          <w:color w:val="auto"/>
          <w:lang w:val="zh-CN" w:bidi="zh-CN"/>
        </w:rPr>
        <w:t>（1）</w:t>
      </w:r>
      <w:r>
        <w:rPr>
          <w:color w:val="auto"/>
          <w:lang w:val="zh-CN" w:bidi="zh-CN"/>
        </w:rPr>
        <w:t>点源情况：依托朝二联合站加热炉均满足</w:t>
      </w:r>
      <w:r>
        <w:rPr>
          <w:snapToGrid w:val="0"/>
          <w:color w:val="auto"/>
        </w:rPr>
        <w:t>相应</w:t>
      </w:r>
      <w:r>
        <w:rPr>
          <w:color w:val="auto"/>
          <w:lang w:val="zh-CN" w:bidi="zh-CN"/>
        </w:rPr>
        <w:t>的负荷状态下运行，且大气污染物总量在原申请总量范围内，故不对锅炉烟气进行预测。</w:t>
      </w:r>
    </w:p>
    <w:p w14:paraId="569A6C24">
      <w:pPr>
        <w:pStyle w:val="276"/>
        <w:widowControl w:val="0"/>
        <w:spacing w:line="440" w:lineRule="exact"/>
        <w:ind w:firstLine="480"/>
        <w:jc w:val="both"/>
        <w:rPr>
          <w:color w:val="auto"/>
        </w:rPr>
      </w:pPr>
      <w:r>
        <w:rPr>
          <w:color w:val="auto"/>
        </w:rPr>
        <w:t>本项目采取集中拉油工艺，新建3座集中拉油点，拉油点共新建4台多功能储罐，配套4台0.5MW加热装置，拉油点加热装置燃烧原料均为天然气，烟气中预测因子为颗粒物、SO</w:t>
      </w:r>
      <w:r>
        <w:rPr>
          <w:color w:val="auto"/>
          <w:vertAlign w:val="subscript"/>
        </w:rPr>
        <w:t>2</w:t>
      </w:r>
      <w:r>
        <w:rPr>
          <w:color w:val="auto"/>
        </w:rPr>
        <w:t>、NOx。根据工程分析，集中拉油点污染物点源参数见</w:t>
      </w:r>
      <w:r>
        <w:rPr>
          <w:color w:val="auto"/>
        </w:rPr>
        <w:fldChar w:fldCharType="begin"/>
      </w:r>
      <w:r>
        <w:rPr>
          <w:color w:val="auto"/>
        </w:rPr>
        <w:instrText xml:space="preserve"> REF _Ref211957754 \h  \* MERGEFORMAT </w:instrText>
      </w:r>
      <w:r>
        <w:rPr>
          <w:color w:val="auto"/>
        </w:rPr>
        <w:fldChar w:fldCharType="separate"/>
      </w:r>
      <w:r>
        <w:rPr>
          <w:color w:val="auto"/>
        </w:rPr>
        <w:t>表 2.6</w:t>
      </w:r>
      <w:r>
        <w:rPr>
          <w:color w:val="auto"/>
        </w:rPr>
        <w:noBreakHyphen/>
      </w:r>
      <w:r>
        <w:rPr>
          <w:color w:val="auto"/>
        </w:rPr>
        <w:t>1</w:t>
      </w:r>
      <w:r>
        <w:rPr>
          <w:color w:val="auto"/>
        </w:rPr>
        <w:fldChar w:fldCharType="end"/>
      </w:r>
      <w:r>
        <w:rPr>
          <w:color w:val="auto"/>
        </w:rPr>
        <w:t>。</w:t>
      </w:r>
    </w:p>
    <w:p w14:paraId="7D338062">
      <w:pPr>
        <w:pStyle w:val="22"/>
        <w:spacing w:before="156"/>
        <w:rPr>
          <w:color w:val="auto"/>
        </w:rPr>
      </w:pPr>
      <w:bookmarkStart w:id="393" w:name="_Ref211957754"/>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393"/>
      <w:r>
        <w:rPr>
          <w:color w:val="auto"/>
        </w:rPr>
        <w:t>污染物点源参数调查清单</w:t>
      </w:r>
    </w:p>
    <w:tbl>
      <w:tblPr>
        <w:tblStyle w:val="8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667"/>
        <w:gridCol w:w="670"/>
        <w:gridCol w:w="671"/>
        <w:gridCol w:w="667"/>
        <w:gridCol w:w="667"/>
        <w:gridCol w:w="750"/>
        <w:gridCol w:w="584"/>
        <w:gridCol w:w="669"/>
        <w:gridCol w:w="525"/>
        <w:gridCol w:w="757"/>
        <w:gridCol w:w="641"/>
        <w:gridCol w:w="843"/>
      </w:tblGrid>
      <w:tr w14:paraId="74B9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vMerge w:val="restart"/>
            <w:vAlign w:val="center"/>
          </w:tcPr>
          <w:p w14:paraId="3BD1319A">
            <w:pPr>
              <w:adjustRightInd w:val="0"/>
              <w:snapToGrid w:val="0"/>
              <w:jc w:val="center"/>
              <w:rPr>
                <w:rFonts w:ascii="宋体" w:hAnsi="宋体" w:eastAsia="宋体" w:cs="Times New Roman"/>
                <w:color w:val="auto"/>
              </w:rPr>
            </w:pPr>
            <w:r>
              <w:rPr>
                <w:rFonts w:ascii="宋体" w:hAnsi="宋体" w:eastAsia="宋体" w:cs="Times New Roman"/>
                <w:color w:val="auto"/>
              </w:rPr>
              <w:t>污染源名称</w:t>
            </w:r>
          </w:p>
        </w:tc>
        <w:tc>
          <w:tcPr>
            <w:tcW w:w="1337" w:type="dxa"/>
            <w:gridSpan w:val="2"/>
            <w:vAlign w:val="center"/>
          </w:tcPr>
          <w:p w14:paraId="6368C07A">
            <w:pPr>
              <w:adjustRightInd w:val="0"/>
              <w:snapToGrid w:val="0"/>
              <w:jc w:val="center"/>
              <w:rPr>
                <w:rFonts w:ascii="宋体" w:hAnsi="宋体" w:eastAsia="宋体" w:cs="Times New Roman"/>
                <w:color w:val="auto"/>
              </w:rPr>
            </w:pPr>
            <w:r>
              <w:rPr>
                <w:rFonts w:ascii="宋体" w:hAnsi="宋体" w:eastAsia="宋体" w:cs="Times New Roman"/>
                <w:color w:val="auto"/>
              </w:rPr>
              <w:t>排气筒底部中心坐标</w:t>
            </w:r>
            <w:r>
              <w:rPr>
                <w:rFonts w:hint="eastAsia" w:ascii="宋体" w:hAnsi="宋体" w:eastAsia="宋体" w:cs="Times New Roman"/>
                <w:color w:val="auto"/>
              </w:rPr>
              <w:t>/°</w:t>
            </w:r>
          </w:p>
        </w:tc>
        <w:tc>
          <w:tcPr>
            <w:tcW w:w="671" w:type="dxa"/>
            <w:vMerge w:val="restart"/>
            <w:vAlign w:val="center"/>
          </w:tcPr>
          <w:p w14:paraId="44ACF8DD">
            <w:pPr>
              <w:adjustRightInd w:val="0"/>
              <w:snapToGrid w:val="0"/>
              <w:jc w:val="center"/>
              <w:rPr>
                <w:rFonts w:ascii="宋体" w:hAnsi="宋体" w:eastAsia="宋体" w:cs="Times New Roman"/>
                <w:color w:val="auto"/>
              </w:rPr>
            </w:pPr>
            <w:r>
              <w:rPr>
                <w:rFonts w:ascii="宋体" w:hAnsi="宋体" w:eastAsia="宋体" w:cs="Times New Roman"/>
                <w:color w:val="auto"/>
              </w:rPr>
              <w:t>海拔高度/m</w:t>
            </w:r>
          </w:p>
        </w:tc>
        <w:tc>
          <w:tcPr>
            <w:tcW w:w="667" w:type="dxa"/>
            <w:vMerge w:val="restart"/>
            <w:vAlign w:val="center"/>
          </w:tcPr>
          <w:p w14:paraId="3AD40962">
            <w:pPr>
              <w:adjustRightInd w:val="0"/>
              <w:snapToGrid w:val="0"/>
              <w:jc w:val="center"/>
              <w:rPr>
                <w:rFonts w:ascii="宋体" w:hAnsi="宋体" w:eastAsia="宋体" w:cs="Times New Roman"/>
                <w:color w:val="auto"/>
              </w:rPr>
            </w:pPr>
            <w:r>
              <w:rPr>
                <w:rFonts w:ascii="宋体" w:hAnsi="宋体" w:eastAsia="宋体" w:cs="Times New Roman"/>
                <w:color w:val="auto"/>
              </w:rPr>
              <w:t>排气筒高度/m</w:t>
            </w:r>
          </w:p>
        </w:tc>
        <w:tc>
          <w:tcPr>
            <w:tcW w:w="667" w:type="dxa"/>
            <w:vMerge w:val="restart"/>
            <w:vAlign w:val="center"/>
          </w:tcPr>
          <w:p w14:paraId="7378B8EF">
            <w:pPr>
              <w:adjustRightInd w:val="0"/>
              <w:snapToGrid w:val="0"/>
              <w:jc w:val="center"/>
              <w:rPr>
                <w:rFonts w:ascii="宋体" w:hAnsi="宋体" w:eastAsia="宋体" w:cs="Times New Roman"/>
                <w:color w:val="auto"/>
              </w:rPr>
            </w:pPr>
            <w:r>
              <w:rPr>
                <w:rFonts w:ascii="宋体" w:hAnsi="宋体" w:eastAsia="宋体" w:cs="Times New Roman"/>
                <w:color w:val="auto"/>
              </w:rPr>
              <w:t>排气筒内径/m</w:t>
            </w:r>
          </w:p>
        </w:tc>
        <w:tc>
          <w:tcPr>
            <w:tcW w:w="750" w:type="dxa"/>
            <w:vMerge w:val="restart"/>
            <w:vAlign w:val="center"/>
          </w:tcPr>
          <w:p w14:paraId="795B9BD6">
            <w:pPr>
              <w:adjustRightInd w:val="0"/>
              <w:snapToGrid w:val="0"/>
              <w:jc w:val="center"/>
              <w:rPr>
                <w:rFonts w:ascii="宋体" w:hAnsi="宋体" w:eastAsia="宋体" w:cs="Times New Roman"/>
                <w:color w:val="auto"/>
              </w:rPr>
            </w:pPr>
            <w:r>
              <w:rPr>
                <w:rFonts w:ascii="宋体" w:hAnsi="宋体" w:eastAsia="宋体" w:cs="Times New Roman"/>
                <w:color w:val="auto"/>
              </w:rPr>
              <w:t>烟气流</w:t>
            </w:r>
            <w:r>
              <w:rPr>
                <w:rFonts w:hint="eastAsia" w:ascii="宋体" w:hAnsi="宋体" w:eastAsia="宋体" w:cs="Times New Roman"/>
                <w:color w:val="auto"/>
              </w:rPr>
              <w:t>速</w:t>
            </w:r>
            <w:r>
              <w:rPr>
                <w:rFonts w:ascii="宋体" w:hAnsi="宋体" w:eastAsia="宋体" w:cs="Times New Roman"/>
                <w:color w:val="auto"/>
              </w:rPr>
              <w:t>/m/</w:t>
            </w:r>
            <w:r>
              <w:rPr>
                <w:rFonts w:hint="eastAsia" w:ascii="宋体" w:hAnsi="宋体" w:eastAsia="宋体" w:cs="Times New Roman"/>
                <w:color w:val="auto"/>
              </w:rPr>
              <w:t>s</w:t>
            </w:r>
          </w:p>
        </w:tc>
        <w:tc>
          <w:tcPr>
            <w:tcW w:w="584" w:type="dxa"/>
            <w:vMerge w:val="restart"/>
            <w:vAlign w:val="center"/>
          </w:tcPr>
          <w:p w14:paraId="4A765A0D">
            <w:pPr>
              <w:adjustRightInd w:val="0"/>
              <w:snapToGrid w:val="0"/>
              <w:jc w:val="center"/>
              <w:rPr>
                <w:rFonts w:ascii="宋体" w:hAnsi="宋体" w:eastAsia="宋体" w:cs="Times New Roman"/>
                <w:color w:val="auto"/>
              </w:rPr>
            </w:pPr>
            <w:r>
              <w:rPr>
                <w:rFonts w:ascii="宋体" w:hAnsi="宋体" w:eastAsia="宋体" w:cs="Times New Roman"/>
                <w:color w:val="auto"/>
              </w:rPr>
              <w:t>烟气温度/℃</w:t>
            </w:r>
          </w:p>
        </w:tc>
        <w:tc>
          <w:tcPr>
            <w:tcW w:w="669" w:type="dxa"/>
            <w:vMerge w:val="restart"/>
            <w:vAlign w:val="center"/>
          </w:tcPr>
          <w:p w14:paraId="3969818F">
            <w:pPr>
              <w:adjustRightInd w:val="0"/>
              <w:snapToGrid w:val="0"/>
              <w:jc w:val="center"/>
              <w:rPr>
                <w:rFonts w:ascii="宋体" w:hAnsi="宋体" w:eastAsia="宋体" w:cs="Times New Roman"/>
                <w:color w:val="auto"/>
              </w:rPr>
            </w:pPr>
            <w:r>
              <w:rPr>
                <w:rFonts w:ascii="宋体" w:hAnsi="宋体" w:eastAsia="宋体" w:cs="Times New Roman"/>
                <w:color w:val="auto"/>
              </w:rPr>
              <w:t>年排放小时数/h</w:t>
            </w:r>
          </w:p>
        </w:tc>
        <w:tc>
          <w:tcPr>
            <w:tcW w:w="525" w:type="dxa"/>
            <w:vMerge w:val="restart"/>
            <w:vAlign w:val="center"/>
          </w:tcPr>
          <w:p w14:paraId="1F9C26D0">
            <w:pPr>
              <w:adjustRightInd w:val="0"/>
              <w:snapToGrid w:val="0"/>
              <w:jc w:val="center"/>
              <w:rPr>
                <w:rFonts w:ascii="宋体" w:hAnsi="宋体" w:eastAsia="宋体" w:cs="Times New Roman"/>
                <w:color w:val="auto"/>
              </w:rPr>
            </w:pPr>
            <w:r>
              <w:rPr>
                <w:rFonts w:ascii="宋体" w:hAnsi="宋体" w:eastAsia="宋体" w:cs="Times New Roman"/>
                <w:color w:val="auto"/>
              </w:rPr>
              <w:t>排放工况</w:t>
            </w:r>
          </w:p>
        </w:tc>
        <w:tc>
          <w:tcPr>
            <w:tcW w:w="2241" w:type="dxa"/>
            <w:gridSpan w:val="3"/>
            <w:vAlign w:val="center"/>
          </w:tcPr>
          <w:p w14:paraId="4489C790">
            <w:pPr>
              <w:adjustRightInd w:val="0"/>
              <w:snapToGrid w:val="0"/>
              <w:jc w:val="center"/>
              <w:rPr>
                <w:rFonts w:ascii="宋体" w:hAnsi="宋体" w:eastAsia="宋体" w:cs="Times New Roman"/>
                <w:color w:val="auto"/>
              </w:rPr>
            </w:pPr>
            <w:r>
              <w:rPr>
                <w:rFonts w:ascii="宋体" w:hAnsi="宋体" w:eastAsia="宋体" w:cs="Times New Roman"/>
                <w:color w:val="auto"/>
              </w:rPr>
              <w:t>污染物排放速率/kg/h</w:t>
            </w:r>
          </w:p>
        </w:tc>
      </w:tr>
      <w:tr w14:paraId="09E9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vMerge w:val="continue"/>
            <w:vAlign w:val="center"/>
          </w:tcPr>
          <w:p w14:paraId="14823906">
            <w:pPr>
              <w:adjustRightInd w:val="0"/>
              <w:snapToGrid w:val="0"/>
              <w:jc w:val="center"/>
              <w:rPr>
                <w:rFonts w:ascii="宋体" w:hAnsi="宋体" w:eastAsia="宋体" w:cs="Times New Roman"/>
                <w:color w:val="auto"/>
              </w:rPr>
            </w:pPr>
          </w:p>
        </w:tc>
        <w:tc>
          <w:tcPr>
            <w:tcW w:w="667" w:type="dxa"/>
            <w:vAlign w:val="center"/>
          </w:tcPr>
          <w:p w14:paraId="62D254A6">
            <w:pPr>
              <w:adjustRightInd w:val="0"/>
              <w:snapToGrid w:val="0"/>
              <w:jc w:val="center"/>
              <w:rPr>
                <w:rFonts w:ascii="宋体" w:hAnsi="宋体" w:eastAsia="宋体" w:cs="Times New Roman"/>
                <w:color w:val="auto"/>
              </w:rPr>
            </w:pPr>
            <w:r>
              <w:rPr>
                <w:rFonts w:ascii="宋体" w:hAnsi="宋体" w:eastAsia="宋体" w:cs="Times New Roman"/>
                <w:color w:val="auto"/>
              </w:rPr>
              <w:t>经度</w:t>
            </w:r>
          </w:p>
        </w:tc>
        <w:tc>
          <w:tcPr>
            <w:tcW w:w="670" w:type="dxa"/>
            <w:vAlign w:val="center"/>
          </w:tcPr>
          <w:p w14:paraId="3A064A5C">
            <w:pPr>
              <w:adjustRightInd w:val="0"/>
              <w:snapToGrid w:val="0"/>
              <w:jc w:val="center"/>
              <w:rPr>
                <w:rFonts w:ascii="宋体" w:hAnsi="宋体" w:eastAsia="宋体" w:cs="Times New Roman"/>
                <w:color w:val="auto"/>
              </w:rPr>
            </w:pPr>
            <w:r>
              <w:rPr>
                <w:rFonts w:ascii="宋体" w:hAnsi="宋体" w:eastAsia="宋体" w:cs="Times New Roman"/>
                <w:color w:val="auto"/>
              </w:rPr>
              <w:t>纬度</w:t>
            </w:r>
          </w:p>
        </w:tc>
        <w:tc>
          <w:tcPr>
            <w:tcW w:w="671" w:type="dxa"/>
            <w:vMerge w:val="continue"/>
            <w:vAlign w:val="center"/>
          </w:tcPr>
          <w:p w14:paraId="1E5F6E09">
            <w:pPr>
              <w:adjustRightInd w:val="0"/>
              <w:snapToGrid w:val="0"/>
              <w:jc w:val="center"/>
              <w:rPr>
                <w:rFonts w:ascii="宋体" w:hAnsi="宋体" w:eastAsia="宋体" w:cs="Times New Roman"/>
                <w:color w:val="auto"/>
              </w:rPr>
            </w:pPr>
          </w:p>
        </w:tc>
        <w:tc>
          <w:tcPr>
            <w:tcW w:w="667" w:type="dxa"/>
            <w:vMerge w:val="continue"/>
            <w:vAlign w:val="center"/>
          </w:tcPr>
          <w:p w14:paraId="4E0D151A">
            <w:pPr>
              <w:adjustRightInd w:val="0"/>
              <w:snapToGrid w:val="0"/>
              <w:jc w:val="center"/>
              <w:rPr>
                <w:rFonts w:ascii="宋体" w:hAnsi="宋体" w:eastAsia="宋体" w:cs="Times New Roman"/>
                <w:color w:val="auto"/>
              </w:rPr>
            </w:pPr>
          </w:p>
        </w:tc>
        <w:tc>
          <w:tcPr>
            <w:tcW w:w="667" w:type="dxa"/>
            <w:vMerge w:val="continue"/>
            <w:vAlign w:val="center"/>
          </w:tcPr>
          <w:p w14:paraId="66EF6B5F">
            <w:pPr>
              <w:adjustRightInd w:val="0"/>
              <w:snapToGrid w:val="0"/>
              <w:jc w:val="center"/>
              <w:rPr>
                <w:rFonts w:ascii="宋体" w:hAnsi="宋体" w:eastAsia="宋体" w:cs="Times New Roman"/>
                <w:color w:val="auto"/>
              </w:rPr>
            </w:pPr>
          </w:p>
        </w:tc>
        <w:tc>
          <w:tcPr>
            <w:tcW w:w="750" w:type="dxa"/>
            <w:vMerge w:val="continue"/>
            <w:vAlign w:val="center"/>
          </w:tcPr>
          <w:p w14:paraId="09F70F0E">
            <w:pPr>
              <w:adjustRightInd w:val="0"/>
              <w:snapToGrid w:val="0"/>
              <w:jc w:val="center"/>
              <w:rPr>
                <w:rFonts w:ascii="宋体" w:hAnsi="宋体" w:eastAsia="宋体" w:cs="Times New Roman"/>
                <w:color w:val="auto"/>
              </w:rPr>
            </w:pPr>
          </w:p>
        </w:tc>
        <w:tc>
          <w:tcPr>
            <w:tcW w:w="584" w:type="dxa"/>
            <w:vMerge w:val="continue"/>
            <w:vAlign w:val="center"/>
          </w:tcPr>
          <w:p w14:paraId="66094302">
            <w:pPr>
              <w:adjustRightInd w:val="0"/>
              <w:snapToGrid w:val="0"/>
              <w:jc w:val="center"/>
              <w:rPr>
                <w:rFonts w:ascii="宋体" w:hAnsi="宋体" w:eastAsia="宋体" w:cs="Times New Roman"/>
                <w:color w:val="auto"/>
              </w:rPr>
            </w:pPr>
          </w:p>
        </w:tc>
        <w:tc>
          <w:tcPr>
            <w:tcW w:w="669" w:type="dxa"/>
            <w:vMerge w:val="continue"/>
            <w:vAlign w:val="center"/>
          </w:tcPr>
          <w:p w14:paraId="0C5C830A">
            <w:pPr>
              <w:adjustRightInd w:val="0"/>
              <w:snapToGrid w:val="0"/>
              <w:jc w:val="center"/>
              <w:rPr>
                <w:rFonts w:ascii="宋体" w:hAnsi="宋体" w:eastAsia="宋体" w:cs="Times New Roman"/>
                <w:color w:val="auto"/>
              </w:rPr>
            </w:pPr>
          </w:p>
        </w:tc>
        <w:tc>
          <w:tcPr>
            <w:tcW w:w="525" w:type="dxa"/>
            <w:vMerge w:val="continue"/>
            <w:vAlign w:val="center"/>
          </w:tcPr>
          <w:p w14:paraId="541BCBE8">
            <w:pPr>
              <w:adjustRightInd w:val="0"/>
              <w:snapToGrid w:val="0"/>
              <w:jc w:val="center"/>
              <w:rPr>
                <w:rFonts w:ascii="宋体" w:hAnsi="宋体" w:eastAsia="宋体" w:cs="Times New Roman"/>
                <w:color w:val="auto"/>
              </w:rPr>
            </w:pPr>
          </w:p>
        </w:tc>
        <w:tc>
          <w:tcPr>
            <w:tcW w:w="757" w:type="dxa"/>
            <w:vAlign w:val="center"/>
          </w:tcPr>
          <w:p w14:paraId="496A62BD">
            <w:pPr>
              <w:adjustRightInd w:val="0"/>
              <w:snapToGrid w:val="0"/>
              <w:jc w:val="center"/>
              <w:rPr>
                <w:rFonts w:ascii="宋体" w:hAnsi="宋体" w:eastAsia="宋体" w:cs="Times New Roman"/>
                <w:color w:val="auto"/>
              </w:rPr>
            </w:pPr>
            <w:r>
              <w:rPr>
                <w:rFonts w:ascii="宋体" w:hAnsi="宋体" w:eastAsia="宋体" w:cs="Times New Roman"/>
                <w:color w:val="auto"/>
              </w:rPr>
              <w:t>颗粒物</w:t>
            </w:r>
          </w:p>
        </w:tc>
        <w:tc>
          <w:tcPr>
            <w:tcW w:w="641" w:type="dxa"/>
            <w:vAlign w:val="center"/>
          </w:tcPr>
          <w:p w14:paraId="115AD63D">
            <w:pPr>
              <w:adjustRightInd w:val="0"/>
              <w:snapToGrid w:val="0"/>
              <w:jc w:val="center"/>
              <w:rPr>
                <w:rFonts w:ascii="宋体" w:hAnsi="宋体" w:eastAsia="宋体" w:cs="Times New Roman"/>
                <w:color w:val="auto"/>
              </w:rPr>
            </w:pPr>
            <w:r>
              <w:rPr>
                <w:rFonts w:ascii="宋体" w:hAnsi="宋体" w:eastAsia="宋体" w:cs="Times New Roman"/>
                <w:color w:val="auto"/>
              </w:rPr>
              <w:t>NOx</w:t>
            </w:r>
          </w:p>
        </w:tc>
        <w:tc>
          <w:tcPr>
            <w:tcW w:w="843" w:type="dxa"/>
            <w:vAlign w:val="center"/>
          </w:tcPr>
          <w:p w14:paraId="64D99303">
            <w:pPr>
              <w:adjustRightInd w:val="0"/>
              <w:snapToGrid w:val="0"/>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r>
      <w:tr w14:paraId="2E7B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Pr>
          <w:p w14:paraId="6820E6AE">
            <w:pPr>
              <w:adjustRightInd w:val="0"/>
              <w:snapToGrid w:val="0"/>
              <w:jc w:val="center"/>
              <w:rPr>
                <w:rFonts w:ascii="宋体" w:hAnsi="宋体" w:eastAsia="宋体" w:cs="Times New Roman"/>
                <w:color w:val="auto"/>
              </w:rPr>
            </w:pPr>
            <w:r>
              <w:rPr>
                <w:rFonts w:ascii="宋体" w:hAnsi="宋体" w:eastAsia="宋体" w:cs="Times New Roman"/>
                <w:color w:val="auto"/>
              </w:rPr>
              <w:t>储罐加热炉</w:t>
            </w:r>
            <w:r>
              <w:rPr>
                <w:rFonts w:hint="eastAsia" w:ascii="宋体" w:hAnsi="宋体" w:eastAsia="宋体" w:cs="Times New Roman"/>
                <w:color w:val="auto"/>
              </w:rPr>
              <w:t>1</w:t>
            </w:r>
            <w:r>
              <w:rPr>
                <w:rFonts w:ascii="宋体" w:hAnsi="宋体" w:eastAsia="宋体" w:cs="Times New Roman"/>
                <w:color w:val="auto"/>
              </w:rPr>
              <w:t>#</w:t>
            </w:r>
          </w:p>
        </w:tc>
        <w:tc>
          <w:tcPr>
            <w:tcW w:w="667" w:type="dxa"/>
            <w:vAlign w:val="center"/>
          </w:tcPr>
          <w:p w14:paraId="513E88B0">
            <w:pPr>
              <w:adjustRightInd w:val="0"/>
              <w:snapToGrid w:val="0"/>
              <w:jc w:val="center"/>
              <w:rPr>
                <w:rFonts w:ascii="宋体" w:hAnsi="宋体" w:eastAsia="宋体" w:cs="Times New Roman"/>
                <w:color w:val="auto"/>
              </w:rPr>
            </w:pPr>
            <w:r>
              <w:rPr>
                <w:rFonts w:ascii="宋体" w:hAnsi="宋体" w:eastAsia="宋体" w:cs="Times New Roman"/>
                <w:color w:val="auto"/>
              </w:rPr>
              <w:t>125.15301</w:t>
            </w:r>
          </w:p>
        </w:tc>
        <w:tc>
          <w:tcPr>
            <w:tcW w:w="670" w:type="dxa"/>
            <w:vAlign w:val="center"/>
          </w:tcPr>
          <w:p w14:paraId="670E9BDB">
            <w:pPr>
              <w:adjustRightInd w:val="0"/>
              <w:snapToGrid w:val="0"/>
              <w:jc w:val="center"/>
              <w:rPr>
                <w:rFonts w:ascii="宋体" w:hAnsi="宋体" w:eastAsia="宋体" w:cs="Times New Roman"/>
                <w:color w:val="auto"/>
              </w:rPr>
            </w:pPr>
            <w:r>
              <w:rPr>
                <w:rFonts w:ascii="宋体" w:hAnsi="宋体" w:eastAsia="宋体" w:cs="Times New Roman"/>
                <w:color w:val="auto"/>
              </w:rPr>
              <w:t>45.57005</w:t>
            </w:r>
          </w:p>
        </w:tc>
        <w:tc>
          <w:tcPr>
            <w:tcW w:w="671" w:type="dxa"/>
            <w:vAlign w:val="center"/>
          </w:tcPr>
          <w:p w14:paraId="367E0B2F">
            <w:pPr>
              <w:adjustRightInd w:val="0"/>
              <w:snapToGrid w:val="0"/>
              <w:jc w:val="center"/>
              <w:rPr>
                <w:rFonts w:ascii="宋体" w:hAnsi="宋体" w:eastAsia="宋体" w:cs="Times New Roman"/>
                <w:color w:val="auto"/>
              </w:rPr>
            </w:pPr>
            <w:r>
              <w:rPr>
                <w:rFonts w:ascii="宋体" w:hAnsi="宋体" w:eastAsia="宋体" w:cs="Times New Roman"/>
                <w:color w:val="auto"/>
              </w:rPr>
              <w:t>125</w:t>
            </w:r>
          </w:p>
        </w:tc>
        <w:tc>
          <w:tcPr>
            <w:tcW w:w="667" w:type="dxa"/>
            <w:vAlign w:val="center"/>
          </w:tcPr>
          <w:p w14:paraId="1C7FCFC3">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667" w:type="dxa"/>
            <w:vAlign w:val="center"/>
          </w:tcPr>
          <w:p w14:paraId="6E521C77">
            <w:pPr>
              <w:adjustRightInd w:val="0"/>
              <w:snapToGrid w:val="0"/>
              <w:jc w:val="center"/>
              <w:rPr>
                <w:rFonts w:ascii="宋体" w:hAnsi="宋体" w:eastAsia="宋体" w:cs="Times New Roman"/>
                <w:color w:val="auto"/>
              </w:rPr>
            </w:pPr>
            <w:r>
              <w:rPr>
                <w:rFonts w:ascii="宋体" w:hAnsi="宋体" w:eastAsia="宋体" w:cs="Times New Roman"/>
                <w:color w:val="auto"/>
              </w:rPr>
              <w:t>0.3</w:t>
            </w:r>
          </w:p>
        </w:tc>
        <w:tc>
          <w:tcPr>
            <w:tcW w:w="750" w:type="dxa"/>
            <w:vAlign w:val="center"/>
          </w:tcPr>
          <w:p w14:paraId="5F1AFD03">
            <w:pPr>
              <w:adjustRightInd w:val="0"/>
              <w:snapToGrid w:val="0"/>
              <w:jc w:val="center"/>
              <w:rPr>
                <w:rFonts w:ascii="宋体" w:hAnsi="宋体" w:eastAsia="宋体" w:cs="Times New Roman"/>
                <w:color w:val="auto"/>
              </w:rPr>
            </w:pPr>
            <w:r>
              <w:rPr>
                <w:rFonts w:hint="eastAsia" w:ascii="宋体" w:hAnsi="宋体" w:eastAsia="宋体" w:cs="Times New Roman"/>
                <w:color w:val="auto"/>
              </w:rPr>
              <w:t>1.79</w:t>
            </w:r>
          </w:p>
        </w:tc>
        <w:tc>
          <w:tcPr>
            <w:tcW w:w="584" w:type="dxa"/>
            <w:vAlign w:val="center"/>
          </w:tcPr>
          <w:p w14:paraId="296938A1">
            <w:pPr>
              <w:adjustRightInd w:val="0"/>
              <w:snapToGrid w:val="0"/>
              <w:jc w:val="center"/>
              <w:rPr>
                <w:rFonts w:ascii="宋体" w:hAnsi="宋体" w:eastAsia="宋体" w:cs="Times New Roman"/>
                <w:color w:val="auto"/>
              </w:rPr>
            </w:pPr>
            <w:r>
              <w:rPr>
                <w:rFonts w:ascii="宋体" w:hAnsi="宋体" w:eastAsia="宋体" w:cs="Times New Roman"/>
                <w:color w:val="auto"/>
              </w:rPr>
              <w:t>98</w:t>
            </w:r>
          </w:p>
        </w:tc>
        <w:tc>
          <w:tcPr>
            <w:tcW w:w="669" w:type="dxa"/>
            <w:vAlign w:val="center"/>
          </w:tcPr>
          <w:p w14:paraId="44AE387A">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525" w:type="dxa"/>
            <w:vMerge w:val="restart"/>
            <w:vAlign w:val="center"/>
          </w:tcPr>
          <w:p w14:paraId="6AB97ECD">
            <w:pPr>
              <w:adjustRightInd w:val="0"/>
              <w:snapToGrid w:val="0"/>
              <w:jc w:val="center"/>
              <w:rPr>
                <w:rFonts w:ascii="宋体" w:hAnsi="宋体" w:eastAsia="宋体" w:cs="Times New Roman"/>
                <w:color w:val="auto"/>
              </w:rPr>
            </w:pPr>
            <w:r>
              <w:rPr>
                <w:rFonts w:ascii="宋体" w:hAnsi="宋体" w:eastAsia="宋体" w:cs="Times New Roman"/>
                <w:color w:val="auto"/>
              </w:rPr>
              <w:t>正常排放</w:t>
            </w:r>
          </w:p>
        </w:tc>
        <w:tc>
          <w:tcPr>
            <w:tcW w:w="757" w:type="dxa"/>
            <w:vAlign w:val="center"/>
          </w:tcPr>
          <w:p w14:paraId="6942808C">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0.0009 </w:t>
            </w:r>
          </w:p>
        </w:tc>
        <w:tc>
          <w:tcPr>
            <w:tcW w:w="641" w:type="dxa"/>
            <w:vAlign w:val="center"/>
          </w:tcPr>
          <w:p w14:paraId="374A614A">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0.0031 </w:t>
            </w:r>
          </w:p>
        </w:tc>
        <w:tc>
          <w:tcPr>
            <w:tcW w:w="843" w:type="dxa"/>
            <w:vAlign w:val="center"/>
          </w:tcPr>
          <w:p w14:paraId="3B8312F9">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0.0013 </w:t>
            </w:r>
          </w:p>
        </w:tc>
      </w:tr>
      <w:tr w14:paraId="35B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Pr>
          <w:p w14:paraId="5A6A5D29">
            <w:pPr>
              <w:adjustRightInd w:val="0"/>
              <w:snapToGrid w:val="0"/>
              <w:jc w:val="center"/>
              <w:rPr>
                <w:rFonts w:ascii="宋体" w:hAnsi="宋体" w:eastAsia="宋体" w:cs="Times New Roman"/>
                <w:color w:val="auto"/>
              </w:rPr>
            </w:pPr>
            <w:r>
              <w:rPr>
                <w:rFonts w:ascii="宋体" w:hAnsi="宋体" w:eastAsia="宋体" w:cs="Times New Roman"/>
                <w:color w:val="auto"/>
              </w:rPr>
              <w:t>储罐加热炉</w:t>
            </w:r>
            <w:r>
              <w:rPr>
                <w:rFonts w:hint="eastAsia" w:ascii="宋体" w:hAnsi="宋体" w:eastAsia="宋体" w:cs="Times New Roman"/>
                <w:color w:val="auto"/>
              </w:rPr>
              <w:t>2</w:t>
            </w:r>
            <w:r>
              <w:rPr>
                <w:rFonts w:ascii="宋体" w:hAnsi="宋体" w:eastAsia="宋体" w:cs="Times New Roman"/>
                <w:color w:val="auto"/>
              </w:rPr>
              <w:t>#</w:t>
            </w:r>
          </w:p>
        </w:tc>
        <w:tc>
          <w:tcPr>
            <w:tcW w:w="667" w:type="dxa"/>
            <w:vAlign w:val="center"/>
          </w:tcPr>
          <w:p w14:paraId="3D84CFD4">
            <w:pPr>
              <w:adjustRightInd w:val="0"/>
              <w:snapToGrid w:val="0"/>
              <w:jc w:val="center"/>
              <w:rPr>
                <w:rFonts w:ascii="宋体" w:hAnsi="宋体" w:eastAsia="宋体" w:cs="Times New Roman"/>
                <w:color w:val="auto"/>
              </w:rPr>
            </w:pPr>
            <w:r>
              <w:rPr>
                <w:rFonts w:ascii="宋体" w:hAnsi="宋体" w:eastAsia="宋体" w:cs="Times New Roman"/>
                <w:color w:val="auto"/>
              </w:rPr>
              <w:t>125.16228</w:t>
            </w:r>
          </w:p>
        </w:tc>
        <w:tc>
          <w:tcPr>
            <w:tcW w:w="670" w:type="dxa"/>
            <w:vAlign w:val="center"/>
          </w:tcPr>
          <w:p w14:paraId="2B25BB01">
            <w:pPr>
              <w:adjustRightInd w:val="0"/>
              <w:snapToGrid w:val="0"/>
              <w:jc w:val="center"/>
              <w:rPr>
                <w:rFonts w:ascii="宋体" w:hAnsi="宋体" w:eastAsia="宋体" w:cs="Times New Roman"/>
                <w:color w:val="auto"/>
              </w:rPr>
            </w:pPr>
            <w:r>
              <w:rPr>
                <w:rFonts w:ascii="宋体" w:hAnsi="宋体" w:eastAsia="宋体" w:cs="Times New Roman"/>
                <w:color w:val="auto"/>
              </w:rPr>
              <w:t>45.56775</w:t>
            </w:r>
          </w:p>
        </w:tc>
        <w:tc>
          <w:tcPr>
            <w:tcW w:w="671" w:type="dxa"/>
            <w:vAlign w:val="center"/>
          </w:tcPr>
          <w:p w14:paraId="6183D7AC">
            <w:pPr>
              <w:adjustRightInd w:val="0"/>
              <w:snapToGrid w:val="0"/>
              <w:jc w:val="center"/>
              <w:rPr>
                <w:rFonts w:ascii="宋体" w:hAnsi="宋体" w:eastAsia="宋体" w:cs="Times New Roman"/>
                <w:color w:val="auto"/>
              </w:rPr>
            </w:pPr>
            <w:r>
              <w:rPr>
                <w:rFonts w:ascii="宋体" w:hAnsi="宋体" w:eastAsia="宋体" w:cs="Times New Roman"/>
                <w:color w:val="auto"/>
              </w:rPr>
              <w:t>126</w:t>
            </w:r>
          </w:p>
        </w:tc>
        <w:tc>
          <w:tcPr>
            <w:tcW w:w="667" w:type="dxa"/>
            <w:vAlign w:val="center"/>
          </w:tcPr>
          <w:p w14:paraId="19F5D82C">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667" w:type="dxa"/>
            <w:vAlign w:val="center"/>
          </w:tcPr>
          <w:p w14:paraId="0772DF0A">
            <w:pPr>
              <w:adjustRightInd w:val="0"/>
              <w:snapToGrid w:val="0"/>
              <w:jc w:val="center"/>
              <w:rPr>
                <w:rFonts w:ascii="宋体" w:hAnsi="宋体" w:eastAsia="宋体" w:cs="Times New Roman"/>
                <w:color w:val="auto"/>
              </w:rPr>
            </w:pPr>
            <w:r>
              <w:rPr>
                <w:rFonts w:ascii="宋体" w:hAnsi="宋体" w:eastAsia="宋体" w:cs="Times New Roman"/>
                <w:color w:val="auto"/>
              </w:rPr>
              <w:t>0.3</w:t>
            </w:r>
          </w:p>
        </w:tc>
        <w:tc>
          <w:tcPr>
            <w:tcW w:w="750" w:type="dxa"/>
            <w:vAlign w:val="center"/>
          </w:tcPr>
          <w:p w14:paraId="5CE327F2">
            <w:pPr>
              <w:adjustRightInd w:val="0"/>
              <w:snapToGrid w:val="0"/>
              <w:jc w:val="center"/>
              <w:rPr>
                <w:rFonts w:ascii="宋体" w:hAnsi="宋体" w:eastAsia="宋体" w:cs="Times New Roman"/>
                <w:color w:val="auto"/>
              </w:rPr>
            </w:pPr>
            <w:r>
              <w:rPr>
                <w:rFonts w:hint="eastAsia" w:ascii="宋体" w:hAnsi="宋体" w:eastAsia="宋体" w:cs="Times New Roman"/>
                <w:color w:val="auto"/>
              </w:rPr>
              <w:t>1.79</w:t>
            </w:r>
          </w:p>
        </w:tc>
        <w:tc>
          <w:tcPr>
            <w:tcW w:w="584" w:type="dxa"/>
            <w:vAlign w:val="center"/>
          </w:tcPr>
          <w:p w14:paraId="11805A4A">
            <w:pPr>
              <w:adjustRightInd w:val="0"/>
              <w:snapToGrid w:val="0"/>
              <w:jc w:val="center"/>
              <w:rPr>
                <w:rFonts w:ascii="宋体" w:hAnsi="宋体" w:eastAsia="宋体" w:cs="Times New Roman"/>
                <w:color w:val="auto"/>
              </w:rPr>
            </w:pPr>
            <w:r>
              <w:rPr>
                <w:rFonts w:ascii="宋体" w:hAnsi="宋体" w:eastAsia="宋体" w:cs="Times New Roman"/>
                <w:color w:val="auto"/>
              </w:rPr>
              <w:t>98</w:t>
            </w:r>
          </w:p>
        </w:tc>
        <w:tc>
          <w:tcPr>
            <w:tcW w:w="669" w:type="dxa"/>
            <w:vAlign w:val="center"/>
          </w:tcPr>
          <w:p w14:paraId="04148787">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525" w:type="dxa"/>
            <w:vMerge w:val="continue"/>
            <w:vAlign w:val="center"/>
          </w:tcPr>
          <w:p w14:paraId="229FF3D4">
            <w:pPr>
              <w:adjustRightInd w:val="0"/>
              <w:snapToGrid w:val="0"/>
              <w:jc w:val="center"/>
              <w:rPr>
                <w:rFonts w:ascii="宋体" w:hAnsi="宋体" w:eastAsia="宋体" w:cs="Times New Roman"/>
                <w:color w:val="auto"/>
              </w:rPr>
            </w:pPr>
          </w:p>
        </w:tc>
        <w:tc>
          <w:tcPr>
            <w:tcW w:w="757" w:type="dxa"/>
            <w:vAlign w:val="center"/>
          </w:tcPr>
          <w:p w14:paraId="6D59BED1">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0.0009 </w:t>
            </w:r>
          </w:p>
        </w:tc>
        <w:tc>
          <w:tcPr>
            <w:tcW w:w="641" w:type="dxa"/>
            <w:vAlign w:val="center"/>
          </w:tcPr>
          <w:p w14:paraId="26FA379C">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0.0031 </w:t>
            </w:r>
          </w:p>
        </w:tc>
        <w:tc>
          <w:tcPr>
            <w:tcW w:w="843" w:type="dxa"/>
            <w:vAlign w:val="center"/>
          </w:tcPr>
          <w:p w14:paraId="683433DC">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0.0013 </w:t>
            </w:r>
          </w:p>
        </w:tc>
      </w:tr>
      <w:tr w14:paraId="135A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vAlign w:val="center"/>
          </w:tcPr>
          <w:p w14:paraId="34042E23">
            <w:pPr>
              <w:adjustRightInd w:val="0"/>
              <w:snapToGrid w:val="0"/>
              <w:jc w:val="center"/>
              <w:rPr>
                <w:rFonts w:ascii="宋体" w:hAnsi="宋体" w:eastAsia="宋体" w:cs="Times New Roman"/>
                <w:color w:val="auto"/>
              </w:rPr>
            </w:pPr>
            <w:r>
              <w:rPr>
                <w:rFonts w:ascii="宋体" w:hAnsi="宋体" w:eastAsia="宋体" w:cs="Times New Roman"/>
                <w:color w:val="auto"/>
              </w:rPr>
              <w:t>储罐加热炉</w:t>
            </w:r>
            <w:r>
              <w:rPr>
                <w:rFonts w:hint="eastAsia" w:ascii="宋体" w:hAnsi="宋体" w:eastAsia="宋体" w:cs="Times New Roman"/>
                <w:color w:val="auto"/>
              </w:rPr>
              <w:t>3</w:t>
            </w:r>
            <w:r>
              <w:rPr>
                <w:rFonts w:ascii="宋体" w:hAnsi="宋体" w:eastAsia="宋体" w:cs="Times New Roman"/>
                <w:color w:val="auto"/>
              </w:rPr>
              <w:t>#</w:t>
            </w:r>
          </w:p>
        </w:tc>
        <w:tc>
          <w:tcPr>
            <w:tcW w:w="667" w:type="dxa"/>
            <w:vAlign w:val="center"/>
          </w:tcPr>
          <w:p w14:paraId="1F6ABAB3">
            <w:pPr>
              <w:adjustRightInd w:val="0"/>
              <w:snapToGrid w:val="0"/>
              <w:jc w:val="center"/>
              <w:rPr>
                <w:rFonts w:ascii="宋体" w:hAnsi="宋体" w:eastAsia="宋体" w:cs="Times New Roman"/>
                <w:color w:val="auto"/>
              </w:rPr>
            </w:pPr>
            <w:r>
              <w:rPr>
                <w:rFonts w:ascii="宋体" w:hAnsi="宋体" w:eastAsia="宋体" w:cs="Times New Roman"/>
                <w:color w:val="auto"/>
              </w:rPr>
              <w:t>125.17298</w:t>
            </w:r>
          </w:p>
        </w:tc>
        <w:tc>
          <w:tcPr>
            <w:tcW w:w="670" w:type="dxa"/>
            <w:vAlign w:val="center"/>
          </w:tcPr>
          <w:p w14:paraId="5C893187">
            <w:pPr>
              <w:adjustRightInd w:val="0"/>
              <w:snapToGrid w:val="0"/>
              <w:jc w:val="center"/>
              <w:rPr>
                <w:rFonts w:ascii="宋体" w:hAnsi="宋体" w:eastAsia="宋体" w:cs="Times New Roman"/>
                <w:color w:val="auto"/>
              </w:rPr>
            </w:pPr>
            <w:r>
              <w:rPr>
                <w:rFonts w:ascii="宋体" w:hAnsi="宋体" w:eastAsia="宋体" w:cs="Times New Roman"/>
                <w:color w:val="auto"/>
              </w:rPr>
              <w:t>45.56549</w:t>
            </w:r>
          </w:p>
        </w:tc>
        <w:tc>
          <w:tcPr>
            <w:tcW w:w="671" w:type="dxa"/>
            <w:vAlign w:val="center"/>
          </w:tcPr>
          <w:p w14:paraId="163DF358">
            <w:pPr>
              <w:adjustRightInd w:val="0"/>
              <w:snapToGrid w:val="0"/>
              <w:jc w:val="center"/>
              <w:rPr>
                <w:rFonts w:ascii="宋体" w:hAnsi="宋体" w:eastAsia="宋体" w:cs="Times New Roman"/>
                <w:color w:val="auto"/>
              </w:rPr>
            </w:pPr>
            <w:r>
              <w:rPr>
                <w:rFonts w:ascii="宋体" w:hAnsi="宋体" w:eastAsia="宋体" w:cs="Times New Roman"/>
                <w:color w:val="auto"/>
              </w:rPr>
              <w:t>136</w:t>
            </w:r>
          </w:p>
        </w:tc>
        <w:tc>
          <w:tcPr>
            <w:tcW w:w="667" w:type="dxa"/>
            <w:vAlign w:val="center"/>
          </w:tcPr>
          <w:p w14:paraId="61AD2EA4">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667" w:type="dxa"/>
            <w:vAlign w:val="center"/>
          </w:tcPr>
          <w:p w14:paraId="4BE321D8">
            <w:pPr>
              <w:adjustRightInd w:val="0"/>
              <w:snapToGrid w:val="0"/>
              <w:jc w:val="center"/>
              <w:rPr>
                <w:rFonts w:ascii="宋体" w:hAnsi="宋体" w:eastAsia="宋体" w:cs="Times New Roman"/>
                <w:color w:val="auto"/>
              </w:rPr>
            </w:pPr>
            <w:r>
              <w:rPr>
                <w:rFonts w:ascii="宋体" w:hAnsi="宋体" w:eastAsia="宋体" w:cs="Times New Roman"/>
                <w:color w:val="auto"/>
              </w:rPr>
              <w:t>0.3</w:t>
            </w:r>
          </w:p>
        </w:tc>
        <w:tc>
          <w:tcPr>
            <w:tcW w:w="750" w:type="dxa"/>
            <w:vAlign w:val="center"/>
          </w:tcPr>
          <w:p w14:paraId="63963442">
            <w:pPr>
              <w:adjustRightInd w:val="0"/>
              <w:snapToGrid w:val="0"/>
              <w:jc w:val="center"/>
              <w:rPr>
                <w:rFonts w:ascii="宋体" w:hAnsi="宋体" w:eastAsia="宋体" w:cs="Times New Roman"/>
                <w:color w:val="auto"/>
              </w:rPr>
            </w:pPr>
            <w:r>
              <w:rPr>
                <w:rFonts w:hint="eastAsia" w:ascii="宋体" w:hAnsi="宋体" w:eastAsia="宋体" w:cs="Times New Roman"/>
                <w:color w:val="auto"/>
              </w:rPr>
              <w:t>1.18</w:t>
            </w:r>
          </w:p>
        </w:tc>
        <w:tc>
          <w:tcPr>
            <w:tcW w:w="584" w:type="dxa"/>
            <w:vAlign w:val="center"/>
          </w:tcPr>
          <w:p w14:paraId="145FAB2F">
            <w:pPr>
              <w:adjustRightInd w:val="0"/>
              <w:snapToGrid w:val="0"/>
              <w:jc w:val="center"/>
              <w:rPr>
                <w:rFonts w:ascii="宋体" w:hAnsi="宋体" w:eastAsia="宋体" w:cs="Times New Roman"/>
                <w:color w:val="auto"/>
              </w:rPr>
            </w:pPr>
            <w:r>
              <w:rPr>
                <w:rFonts w:ascii="宋体" w:hAnsi="宋体" w:eastAsia="宋体" w:cs="Times New Roman"/>
                <w:color w:val="auto"/>
              </w:rPr>
              <w:t>98</w:t>
            </w:r>
          </w:p>
        </w:tc>
        <w:tc>
          <w:tcPr>
            <w:tcW w:w="669" w:type="dxa"/>
            <w:vAlign w:val="center"/>
          </w:tcPr>
          <w:p w14:paraId="3536F06F">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525" w:type="dxa"/>
            <w:vMerge w:val="continue"/>
            <w:vAlign w:val="center"/>
          </w:tcPr>
          <w:p w14:paraId="17B29B4F">
            <w:pPr>
              <w:adjustRightInd w:val="0"/>
              <w:snapToGrid w:val="0"/>
              <w:jc w:val="center"/>
              <w:rPr>
                <w:rFonts w:ascii="宋体" w:hAnsi="宋体" w:eastAsia="宋体" w:cs="Times New Roman"/>
                <w:color w:val="auto"/>
              </w:rPr>
            </w:pPr>
          </w:p>
        </w:tc>
        <w:tc>
          <w:tcPr>
            <w:tcW w:w="757" w:type="dxa"/>
            <w:vAlign w:val="center"/>
          </w:tcPr>
          <w:p w14:paraId="39FCD607">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0.0006 </w:t>
            </w:r>
          </w:p>
        </w:tc>
        <w:tc>
          <w:tcPr>
            <w:tcW w:w="641" w:type="dxa"/>
            <w:vAlign w:val="center"/>
          </w:tcPr>
          <w:p w14:paraId="33ABAA74">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0.0020 </w:t>
            </w:r>
          </w:p>
        </w:tc>
        <w:tc>
          <w:tcPr>
            <w:tcW w:w="843" w:type="dxa"/>
            <w:vAlign w:val="center"/>
          </w:tcPr>
          <w:p w14:paraId="5BB6EACC">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0.0009 </w:t>
            </w:r>
          </w:p>
        </w:tc>
      </w:tr>
      <w:tr w14:paraId="5BA4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Pr>
          <w:p w14:paraId="10DF61F1">
            <w:pPr>
              <w:adjustRightInd w:val="0"/>
              <w:snapToGrid w:val="0"/>
              <w:jc w:val="center"/>
              <w:rPr>
                <w:rFonts w:ascii="宋体" w:hAnsi="宋体" w:eastAsia="宋体" w:cs="Times New Roman"/>
                <w:color w:val="auto"/>
              </w:rPr>
            </w:pPr>
            <w:r>
              <w:rPr>
                <w:rFonts w:ascii="宋体" w:hAnsi="宋体" w:eastAsia="宋体" w:cs="Times New Roman"/>
                <w:color w:val="auto"/>
              </w:rPr>
              <w:t>储罐加热炉</w:t>
            </w:r>
            <w:r>
              <w:rPr>
                <w:rFonts w:hint="eastAsia" w:ascii="宋体" w:hAnsi="宋体" w:eastAsia="宋体" w:cs="Times New Roman"/>
                <w:color w:val="auto"/>
              </w:rPr>
              <w:t>4</w:t>
            </w:r>
            <w:r>
              <w:rPr>
                <w:rFonts w:ascii="宋体" w:hAnsi="宋体" w:eastAsia="宋体" w:cs="Times New Roman"/>
                <w:color w:val="auto"/>
              </w:rPr>
              <w:t>#</w:t>
            </w:r>
          </w:p>
        </w:tc>
        <w:tc>
          <w:tcPr>
            <w:tcW w:w="667" w:type="dxa"/>
            <w:vAlign w:val="center"/>
          </w:tcPr>
          <w:p w14:paraId="64BD1598">
            <w:pPr>
              <w:adjustRightInd w:val="0"/>
              <w:snapToGrid w:val="0"/>
              <w:jc w:val="center"/>
              <w:rPr>
                <w:rFonts w:ascii="宋体" w:hAnsi="宋体" w:eastAsia="宋体" w:cs="Times New Roman"/>
                <w:color w:val="auto"/>
              </w:rPr>
            </w:pPr>
            <w:r>
              <w:rPr>
                <w:rFonts w:ascii="宋体" w:hAnsi="宋体" w:eastAsia="宋体" w:cs="Times New Roman"/>
                <w:color w:val="auto"/>
              </w:rPr>
              <w:t>125.17332</w:t>
            </w:r>
          </w:p>
        </w:tc>
        <w:tc>
          <w:tcPr>
            <w:tcW w:w="670" w:type="dxa"/>
            <w:vAlign w:val="center"/>
          </w:tcPr>
          <w:p w14:paraId="44F24727">
            <w:pPr>
              <w:adjustRightInd w:val="0"/>
              <w:snapToGrid w:val="0"/>
              <w:jc w:val="center"/>
              <w:rPr>
                <w:rFonts w:ascii="宋体" w:hAnsi="宋体" w:eastAsia="宋体" w:cs="Times New Roman"/>
                <w:color w:val="auto"/>
              </w:rPr>
            </w:pPr>
            <w:r>
              <w:rPr>
                <w:rFonts w:ascii="宋体" w:hAnsi="宋体" w:eastAsia="宋体" w:cs="Times New Roman"/>
                <w:color w:val="auto"/>
              </w:rPr>
              <w:t>45.56550</w:t>
            </w:r>
          </w:p>
        </w:tc>
        <w:tc>
          <w:tcPr>
            <w:tcW w:w="671" w:type="dxa"/>
            <w:vAlign w:val="center"/>
          </w:tcPr>
          <w:p w14:paraId="1DA08254">
            <w:pPr>
              <w:adjustRightInd w:val="0"/>
              <w:snapToGrid w:val="0"/>
              <w:jc w:val="center"/>
              <w:rPr>
                <w:rFonts w:ascii="宋体" w:hAnsi="宋体" w:eastAsia="宋体" w:cs="Times New Roman"/>
                <w:color w:val="auto"/>
              </w:rPr>
            </w:pPr>
            <w:r>
              <w:rPr>
                <w:rFonts w:ascii="宋体" w:hAnsi="宋体" w:eastAsia="宋体" w:cs="Times New Roman"/>
                <w:color w:val="auto"/>
              </w:rPr>
              <w:t>138</w:t>
            </w:r>
          </w:p>
        </w:tc>
        <w:tc>
          <w:tcPr>
            <w:tcW w:w="667" w:type="dxa"/>
            <w:vAlign w:val="center"/>
          </w:tcPr>
          <w:p w14:paraId="31B49E38">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667" w:type="dxa"/>
            <w:vAlign w:val="center"/>
          </w:tcPr>
          <w:p w14:paraId="79268BAE">
            <w:pPr>
              <w:adjustRightInd w:val="0"/>
              <w:snapToGrid w:val="0"/>
              <w:jc w:val="center"/>
              <w:rPr>
                <w:rFonts w:ascii="宋体" w:hAnsi="宋体" w:eastAsia="宋体" w:cs="Times New Roman"/>
                <w:color w:val="auto"/>
              </w:rPr>
            </w:pPr>
            <w:r>
              <w:rPr>
                <w:rFonts w:ascii="宋体" w:hAnsi="宋体" w:eastAsia="宋体" w:cs="Times New Roman"/>
                <w:color w:val="auto"/>
              </w:rPr>
              <w:t>0.3</w:t>
            </w:r>
          </w:p>
        </w:tc>
        <w:tc>
          <w:tcPr>
            <w:tcW w:w="750" w:type="dxa"/>
            <w:vAlign w:val="center"/>
          </w:tcPr>
          <w:p w14:paraId="56C97B09">
            <w:pPr>
              <w:adjustRightInd w:val="0"/>
              <w:snapToGrid w:val="0"/>
              <w:jc w:val="center"/>
              <w:rPr>
                <w:rFonts w:ascii="宋体" w:hAnsi="宋体" w:eastAsia="宋体" w:cs="Times New Roman"/>
                <w:color w:val="auto"/>
              </w:rPr>
            </w:pPr>
            <w:r>
              <w:rPr>
                <w:rFonts w:hint="eastAsia" w:ascii="宋体" w:hAnsi="宋体" w:eastAsia="宋体" w:cs="Times New Roman"/>
                <w:color w:val="auto"/>
              </w:rPr>
              <w:t>2.41</w:t>
            </w:r>
          </w:p>
        </w:tc>
        <w:tc>
          <w:tcPr>
            <w:tcW w:w="584" w:type="dxa"/>
            <w:vAlign w:val="center"/>
          </w:tcPr>
          <w:p w14:paraId="0A81E69C">
            <w:pPr>
              <w:adjustRightInd w:val="0"/>
              <w:snapToGrid w:val="0"/>
              <w:jc w:val="center"/>
              <w:rPr>
                <w:rFonts w:ascii="宋体" w:hAnsi="宋体" w:eastAsia="宋体" w:cs="Times New Roman"/>
                <w:color w:val="auto"/>
              </w:rPr>
            </w:pPr>
            <w:r>
              <w:rPr>
                <w:rFonts w:ascii="宋体" w:hAnsi="宋体" w:eastAsia="宋体" w:cs="Times New Roman"/>
                <w:color w:val="auto"/>
              </w:rPr>
              <w:t>98</w:t>
            </w:r>
          </w:p>
        </w:tc>
        <w:tc>
          <w:tcPr>
            <w:tcW w:w="669" w:type="dxa"/>
            <w:vAlign w:val="center"/>
          </w:tcPr>
          <w:p w14:paraId="34789616">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525" w:type="dxa"/>
            <w:vMerge w:val="continue"/>
            <w:vAlign w:val="center"/>
          </w:tcPr>
          <w:p w14:paraId="1122924D">
            <w:pPr>
              <w:adjustRightInd w:val="0"/>
              <w:snapToGrid w:val="0"/>
              <w:jc w:val="center"/>
              <w:rPr>
                <w:rFonts w:ascii="宋体" w:hAnsi="宋体" w:eastAsia="宋体" w:cs="Times New Roman"/>
                <w:color w:val="auto"/>
              </w:rPr>
            </w:pPr>
          </w:p>
        </w:tc>
        <w:tc>
          <w:tcPr>
            <w:tcW w:w="757" w:type="dxa"/>
            <w:vAlign w:val="center"/>
          </w:tcPr>
          <w:p w14:paraId="7653524F">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0.0013 </w:t>
            </w:r>
          </w:p>
        </w:tc>
        <w:tc>
          <w:tcPr>
            <w:tcW w:w="641" w:type="dxa"/>
            <w:vAlign w:val="center"/>
          </w:tcPr>
          <w:p w14:paraId="7589A5B2">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0.0042 </w:t>
            </w:r>
          </w:p>
        </w:tc>
        <w:tc>
          <w:tcPr>
            <w:tcW w:w="843" w:type="dxa"/>
            <w:vAlign w:val="center"/>
          </w:tcPr>
          <w:p w14:paraId="3CA68763">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0.0018 </w:t>
            </w:r>
          </w:p>
        </w:tc>
      </w:tr>
    </w:tbl>
    <w:p w14:paraId="5B542ED9">
      <w:pPr>
        <w:pStyle w:val="276"/>
        <w:widowControl w:val="0"/>
        <w:spacing w:line="440" w:lineRule="exact"/>
        <w:ind w:firstLine="480"/>
        <w:jc w:val="both"/>
        <w:rPr>
          <w:color w:val="auto"/>
        </w:rPr>
      </w:pPr>
      <w:r>
        <w:rPr>
          <w:rFonts w:hint="eastAsia"/>
          <w:color w:val="auto"/>
        </w:rPr>
        <w:t>（2）</w:t>
      </w:r>
      <w:r>
        <w:rPr>
          <w:color w:val="auto"/>
        </w:rPr>
        <w:t>面源情况：本项目排放的无组织挥发非甲烷总烃为面源形式排放，油气集输采用密闭流程，可有效控制烃类物质的排放，</w:t>
      </w:r>
      <w:r>
        <w:rPr>
          <w:color w:val="auto"/>
          <w:kern w:val="2"/>
          <w:szCs w:val="20"/>
        </w:rPr>
        <w:t>根据工程分析可知整个原油集输过程中非甲烷总烃挥发量为</w:t>
      </w:r>
      <w:r>
        <w:rPr>
          <w:color w:val="auto"/>
          <w:kern w:val="2"/>
          <w:szCs w:val="20"/>
          <w:lang w:bidi="zh-CN"/>
        </w:rPr>
        <w:t>16.44t/a</w:t>
      </w:r>
      <w:r>
        <w:rPr>
          <w:color w:val="auto"/>
          <w:kern w:val="2"/>
          <w:szCs w:val="20"/>
        </w:rPr>
        <w:t>，主要排放位置有油井井场、集输管道阀门、转油站、联合站等位置，其中油井井场占比约30%，经核算本项目井场非甲烷总烃逸散量为</w:t>
      </w:r>
      <w:r>
        <w:rPr>
          <w:rFonts w:hint="eastAsia"/>
          <w:color w:val="auto"/>
          <w:kern w:val="2"/>
          <w:szCs w:val="20"/>
        </w:rPr>
        <w:t>4.932</w:t>
      </w:r>
      <w:r>
        <w:rPr>
          <w:color w:val="auto"/>
          <w:kern w:val="2"/>
          <w:szCs w:val="20"/>
        </w:rPr>
        <w:t>t/a、0.</w:t>
      </w:r>
      <w:r>
        <w:rPr>
          <w:rFonts w:hint="eastAsia"/>
          <w:color w:val="auto"/>
          <w:kern w:val="2"/>
          <w:szCs w:val="20"/>
        </w:rPr>
        <w:t>685</w:t>
      </w:r>
      <w:r>
        <w:rPr>
          <w:color w:val="auto"/>
          <w:kern w:val="2"/>
          <w:szCs w:val="20"/>
        </w:rPr>
        <w:t>kg/h</w:t>
      </w:r>
      <w:r>
        <w:rPr>
          <w:rFonts w:hint="eastAsia"/>
          <w:color w:val="auto"/>
          <w:kern w:val="2"/>
          <w:szCs w:val="20"/>
        </w:rPr>
        <w:t>，即单井</w:t>
      </w:r>
      <w:r>
        <w:rPr>
          <w:color w:val="auto"/>
          <w:kern w:val="2"/>
          <w:szCs w:val="20"/>
        </w:rPr>
        <w:t>井场非甲烷总烃逸散量为</w:t>
      </w:r>
      <w:r>
        <w:rPr>
          <w:rFonts w:hint="eastAsia"/>
          <w:color w:val="auto"/>
          <w:kern w:val="2"/>
          <w:szCs w:val="20"/>
        </w:rPr>
        <w:t>1.233</w:t>
      </w:r>
      <w:r>
        <w:rPr>
          <w:color w:val="auto"/>
          <w:kern w:val="2"/>
          <w:szCs w:val="20"/>
        </w:rPr>
        <w:t>t/a、0.</w:t>
      </w:r>
      <w:r>
        <w:rPr>
          <w:rFonts w:hint="eastAsia"/>
          <w:color w:val="auto"/>
          <w:kern w:val="2"/>
          <w:szCs w:val="20"/>
        </w:rPr>
        <w:t>17</w:t>
      </w:r>
      <w:r>
        <w:rPr>
          <w:color w:val="auto"/>
          <w:kern w:val="2"/>
          <w:szCs w:val="20"/>
        </w:rPr>
        <w:t>kg/h。本项目共基建4口油井，形成1座平台井和2座单井</w:t>
      </w:r>
      <w:r>
        <w:rPr>
          <w:rFonts w:hint="eastAsia"/>
          <w:color w:val="auto"/>
          <w:kern w:val="2"/>
          <w:szCs w:val="20"/>
        </w:rPr>
        <w:t>井场</w:t>
      </w:r>
      <w:r>
        <w:rPr>
          <w:color w:val="auto"/>
          <w:kern w:val="2"/>
          <w:szCs w:val="20"/>
        </w:rPr>
        <w:t>；</w:t>
      </w:r>
      <w:r>
        <w:rPr>
          <w:color w:val="auto"/>
        </w:rPr>
        <w:t>本项目新建3座拉油点，拉油点非甲烷总烃挥发量按《大气挥发性有机物源排放清单编制技术指南（试行）》中的规定，油品存储为0.123g/kg原油，本项目建成后年产</w:t>
      </w:r>
      <w:r>
        <w:rPr>
          <w:snapToGrid w:val="0"/>
          <w:color w:val="auto"/>
        </w:rPr>
        <w:t>原油</w:t>
      </w:r>
      <w:r>
        <w:rPr>
          <w:color w:val="auto"/>
        </w:rPr>
        <w:t>1.16×10</w:t>
      </w:r>
      <w:r>
        <w:rPr>
          <w:color w:val="auto"/>
          <w:vertAlign w:val="superscript"/>
        </w:rPr>
        <w:t>4</w:t>
      </w:r>
      <w:r>
        <w:rPr>
          <w:color w:val="auto"/>
        </w:rPr>
        <w:t>t/a，则拉油点非甲烷总烃挥发量为1.4t/a。</w:t>
      </w:r>
    </w:p>
    <w:p w14:paraId="47962DFF">
      <w:pPr>
        <w:pStyle w:val="276"/>
        <w:widowControl w:val="0"/>
        <w:spacing w:line="440" w:lineRule="exact"/>
        <w:ind w:firstLine="480"/>
        <w:jc w:val="both"/>
        <w:rPr>
          <w:color w:val="auto"/>
          <w:kern w:val="2"/>
          <w:szCs w:val="20"/>
        </w:rPr>
      </w:pPr>
      <w:r>
        <w:rPr>
          <w:color w:val="auto"/>
          <w:kern w:val="2"/>
          <w:szCs w:val="20"/>
        </w:rPr>
        <w:t>结合项目井场和拉油点分布、产能建设情况及</w:t>
      </w:r>
      <w:r>
        <w:rPr>
          <w:snapToGrid w:val="0"/>
          <w:color w:val="auto"/>
        </w:rPr>
        <w:t>实际</w:t>
      </w:r>
      <w:r>
        <w:rPr>
          <w:color w:val="auto"/>
          <w:kern w:val="2"/>
          <w:szCs w:val="20"/>
        </w:rPr>
        <w:t>占地情况，根据油井数量和平台面积每种类型的井场分别选取1座进行估算分析，即选取</w:t>
      </w:r>
      <w:r>
        <w:rPr>
          <w:rFonts w:hint="eastAsia"/>
          <w:color w:val="auto"/>
          <w:kern w:val="2"/>
          <w:szCs w:val="20"/>
        </w:rPr>
        <w:t>3</w:t>
      </w:r>
      <w:r>
        <w:rPr>
          <w:color w:val="auto"/>
          <w:kern w:val="2"/>
          <w:szCs w:val="20"/>
        </w:rPr>
        <w:t>#平台井场（2口油井）、源212-扶平3井场（单井）、1号拉油点（2台储罐，容积分别为80m</w:t>
      </w:r>
      <w:r>
        <w:rPr>
          <w:color w:val="auto"/>
          <w:kern w:val="2"/>
          <w:szCs w:val="20"/>
          <w:vertAlign w:val="superscript"/>
        </w:rPr>
        <w:t>3</w:t>
      </w:r>
      <w:r>
        <w:rPr>
          <w:color w:val="auto"/>
          <w:kern w:val="2"/>
          <w:szCs w:val="20"/>
        </w:rPr>
        <w:t>和40m</w:t>
      </w:r>
      <w:r>
        <w:rPr>
          <w:color w:val="auto"/>
          <w:kern w:val="2"/>
          <w:szCs w:val="20"/>
          <w:vertAlign w:val="superscript"/>
        </w:rPr>
        <w:t>3</w:t>
      </w:r>
      <w:r>
        <w:rPr>
          <w:color w:val="auto"/>
          <w:kern w:val="2"/>
          <w:szCs w:val="20"/>
        </w:rPr>
        <w:t>）、2号拉油点（1台40m</w:t>
      </w:r>
      <w:r>
        <w:rPr>
          <w:color w:val="auto"/>
          <w:kern w:val="2"/>
          <w:szCs w:val="20"/>
          <w:vertAlign w:val="superscript"/>
        </w:rPr>
        <w:t>3</w:t>
      </w:r>
      <w:r>
        <w:rPr>
          <w:color w:val="auto"/>
          <w:kern w:val="2"/>
          <w:szCs w:val="20"/>
        </w:rPr>
        <w:t>储罐）分别进行预测。面源长宽根据井场和拉油点永久占地面积进行选取。</w:t>
      </w:r>
    </w:p>
    <w:p w14:paraId="676F7071">
      <w:pPr>
        <w:pStyle w:val="276"/>
        <w:widowControl w:val="0"/>
        <w:spacing w:line="440" w:lineRule="exact"/>
        <w:ind w:firstLine="480"/>
        <w:jc w:val="both"/>
        <w:rPr>
          <w:color w:val="auto"/>
          <w:lang w:bidi="zh-CN"/>
        </w:rPr>
      </w:pPr>
      <w:r>
        <w:rPr>
          <w:color w:val="auto"/>
          <w:kern w:val="2"/>
          <w:szCs w:val="20"/>
        </w:rPr>
        <w:t>本项目</w:t>
      </w:r>
      <w:r>
        <w:rPr>
          <w:color w:val="auto"/>
        </w:rPr>
        <w:t>污染物面源参数调查</w:t>
      </w:r>
      <w:r>
        <w:rPr>
          <w:snapToGrid w:val="0"/>
          <w:color w:val="auto"/>
        </w:rPr>
        <w:t>清单</w:t>
      </w:r>
      <w:r>
        <w:rPr>
          <w:color w:val="auto"/>
        </w:rPr>
        <w:t>见</w:t>
      </w:r>
      <w:r>
        <w:rPr>
          <w:color w:val="auto"/>
        </w:rPr>
        <w:fldChar w:fldCharType="begin"/>
      </w:r>
      <w:r>
        <w:rPr>
          <w:color w:val="auto"/>
        </w:rPr>
        <w:instrText xml:space="preserve"> REF _Ref211957765 \h  \* MERGEFORMAT </w:instrText>
      </w:r>
      <w:r>
        <w:rPr>
          <w:color w:val="auto"/>
        </w:rPr>
        <w:fldChar w:fldCharType="separate"/>
      </w:r>
      <w:r>
        <w:rPr>
          <w:color w:val="auto"/>
        </w:rPr>
        <w:t>表 2.6</w:t>
      </w:r>
      <w:r>
        <w:rPr>
          <w:color w:val="auto"/>
        </w:rPr>
        <w:noBreakHyphen/>
      </w:r>
      <w:r>
        <w:rPr>
          <w:color w:val="auto"/>
        </w:rPr>
        <w:t>2</w:t>
      </w:r>
      <w:r>
        <w:rPr>
          <w:color w:val="auto"/>
        </w:rPr>
        <w:fldChar w:fldCharType="end"/>
      </w:r>
      <w:r>
        <w:rPr>
          <w:color w:val="auto"/>
        </w:rPr>
        <w:t>。</w:t>
      </w:r>
    </w:p>
    <w:p w14:paraId="393992F7">
      <w:pPr>
        <w:pStyle w:val="22"/>
        <w:spacing w:before="156"/>
        <w:rPr>
          <w:color w:val="auto"/>
        </w:rPr>
      </w:pPr>
      <w:bookmarkStart w:id="394" w:name="_Ref211957765"/>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bookmarkEnd w:id="394"/>
      <w:r>
        <w:rPr>
          <w:color w:val="auto"/>
        </w:rPr>
        <w:t>污染物面源参数调查清单</w:t>
      </w:r>
    </w:p>
    <w:tbl>
      <w:tblPr>
        <w:tblStyle w:val="8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722"/>
        <w:gridCol w:w="887"/>
        <w:gridCol w:w="723"/>
        <w:gridCol w:w="845"/>
        <w:gridCol w:w="641"/>
        <w:gridCol w:w="695"/>
        <w:gridCol w:w="873"/>
        <w:gridCol w:w="709"/>
        <w:gridCol w:w="409"/>
        <w:gridCol w:w="1130"/>
      </w:tblGrid>
      <w:tr w14:paraId="3A8E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426" w:type="dxa"/>
            <w:vMerge w:val="restart"/>
            <w:vAlign w:val="center"/>
          </w:tcPr>
          <w:p w14:paraId="70C7E77E">
            <w:pPr>
              <w:adjustRightInd w:val="0"/>
              <w:snapToGrid w:val="0"/>
              <w:jc w:val="center"/>
              <w:rPr>
                <w:rFonts w:ascii="宋体" w:hAnsi="宋体" w:eastAsia="宋体" w:cs="Times New Roman"/>
                <w:color w:val="auto"/>
              </w:rPr>
            </w:pPr>
            <w:r>
              <w:rPr>
                <w:rFonts w:ascii="宋体" w:hAnsi="宋体" w:eastAsia="宋体" w:cs="Times New Roman"/>
                <w:color w:val="auto"/>
              </w:rPr>
              <w:t>污染源名称</w:t>
            </w:r>
          </w:p>
        </w:tc>
        <w:tc>
          <w:tcPr>
            <w:tcW w:w="1609" w:type="dxa"/>
            <w:gridSpan w:val="2"/>
            <w:vAlign w:val="center"/>
          </w:tcPr>
          <w:p w14:paraId="4008BDD7">
            <w:pPr>
              <w:adjustRightInd w:val="0"/>
              <w:snapToGrid w:val="0"/>
              <w:jc w:val="center"/>
              <w:rPr>
                <w:rFonts w:ascii="宋体" w:hAnsi="宋体" w:eastAsia="宋体" w:cs="Times New Roman"/>
                <w:color w:val="auto"/>
              </w:rPr>
            </w:pPr>
            <w:r>
              <w:rPr>
                <w:rFonts w:ascii="宋体" w:hAnsi="宋体" w:eastAsia="宋体" w:cs="Times New Roman"/>
                <w:color w:val="auto"/>
              </w:rPr>
              <w:t>面源起点坐标</w:t>
            </w:r>
            <w:r>
              <w:rPr>
                <w:rStyle w:val="116"/>
                <w:rFonts w:hint="eastAsia" w:ascii="宋体" w:hAnsi="宋体" w:eastAsia="宋体" w:cs="Times New Roman"/>
                <w:color w:val="auto"/>
              </w:rPr>
              <w:t>/°</w:t>
            </w:r>
          </w:p>
        </w:tc>
        <w:tc>
          <w:tcPr>
            <w:tcW w:w="723" w:type="dxa"/>
            <w:vMerge w:val="restart"/>
            <w:vAlign w:val="center"/>
          </w:tcPr>
          <w:p w14:paraId="2A67BEB1">
            <w:pPr>
              <w:adjustRightInd w:val="0"/>
              <w:snapToGrid w:val="0"/>
              <w:jc w:val="center"/>
              <w:rPr>
                <w:rFonts w:ascii="宋体" w:hAnsi="宋体" w:eastAsia="宋体" w:cs="Times New Roman"/>
                <w:color w:val="auto"/>
              </w:rPr>
            </w:pPr>
            <w:r>
              <w:rPr>
                <w:rFonts w:ascii="宋体" w:hAnsi="宋体" w:eastAsia="宋体" w:cs="Times New Roman"/>
                <w:color w:val="auto"/>
              </w:rPr>
              <w:t>海拔高度/m</w:t>
            </w:r>
          </w:p>
        </w:tc>
        <w:tc>
          <w:tcPr>
            <w:tcW w:w="845" w:type="dxa"/>
            <w:vMerge w:val="restart"/>
            <w:vAlign w:val="center"/>
          </w:tcPr>
          <w:p w14:paraId="690B611E">
            <w:pPr>
              <w:adjustRightInd w:val="0"/>
              <w:snapToGrid w:val="0"/>
              <w:jc w:val="center"/>
              <w:rPr>
                <w:rFonts w:ascii="宋体" w:hAnsi="宋体" w:eastAsia="宋体" w:cs="Times New Roman"/>
                <w:color w:val="auto"/>
              </w:rPr>
            </w:pPr>
            <w:r>
              <w:rPr>
                <w:rFonts w:ascii="宋体" w:hAnsi="宋体" w:eastAsia="宋体" w:cs="Times New Roman"/>
                <w:color w:val="auto"/>
              </w:rPr>
              <w:t>与正北方向夹角/°</w:t>
            </w:r>
          </w:p>
        </w:tc>
        <w:tc>
          <w:tcPr>
            <w:tcW w:w="641" w:type="dxa"/>
            <w:vMerge w:val="restart"/>
            <w:vAlign w:val="center"/>
          </w:tcPr>
          <w:p w14:paraId="7499AD69">
            <w:pPr>
              <w:adjustRightInd w:val="0"/>
              <w:snapToGrid w:val="0"/>
              <w:jc w:val="center"/>
              <w:rPr>
                <w:rFonts w:ascii="宋体" w:hAnsi="宋体" w:eastAsia="宋体" w:cs="Times New Roman"/>
                <w:color w:val="auto"/>
              </w:rPr>
            </w:pPr>
            <w:r>
              <w:rPr>
                <w:rFonts w:ascii="宋体" w:hAnsi="宋体" w:eastAsia="宋体" w:cs="Times New Roman"/>
                <w:color w:val="auto"/>
              </w:rPr>
              <w:t>面源长度/m</w:t>
            </w:r>
          </w:p>
        </w:tc>
        <w:tc>
          <w:tcPr>
            <w:tcW w:w="695" w:type="dxa"/>
            <w:vMerge w:val="restart"/>
            <w:vAlign w:val="center"/>
          </w:tcPr>
          <w:p w14:paraId="469E9C77">
            <w:pPr>
              <w:adjustRightInd w:val="0"/>
              <w:snapToGrid w:val="0"/>
              <w:jc w:val="center"/>
              <w:rPr>
                <w:rFonts w:ascii="宋体" w:hAnsi="宋体" w:eastAsia="宋体" w:cs="Times New Roman"/>
                <w:color w:val="auto"/>
              </w:rPr>
            </w:pPr>
            <w:r>
              <w:rPr>
                <w:rFonts w:ascii="宋体" w:hAnsi="宋体" w:eastAsia="宋体" w:cs="Times New Roman"/>
                <w:color w:val="auto"/>
              </w:rPr>
              <w:t>面源宽度/m</w:t>
            </w:r>
          </w:p>
        </w:tc>
        <w:tc>
          <w:tcPr>
            <w:tcW w:w="873" w:type="dxa"/>
            <w:vMerge w:val="restart"/>
            <w:vAlign w:val="center"/>
          </w:tcPr>
          <w:p w14:paraId="4DE55CDE">
            <w:pPr>
              <w:adjustRightInd w:val="0"/>
              <w:snapToGrid w:val="0"/>
              <w:jc w:val="center"/>
              <w:rPr>
                <w:rFonts w:ascii="宋体" w:hAnsi="宋体" w:eastAsia="宋体" w:cs="Times New Roman"/>
                <w:color w:val="auto"/>
              </w:rPr>
            </w:pPr>
            <w:r>
              <w:rPr>
                <w:rFonts w:ascii="宋体" w:hAnsi="宋体" w:eastAsia="宋体" w:cs="Times New Roman"/>
                <w:color w:val="auto"/>
              </w:rPr>
              <w:t>面源有效排放高度/m</w:t>
            </w:r>
          </w:p>
        </w:tc>
        <w:tc>
          <w:tcPr>
            <w:tcW w:w="709" w:type="dxa"/>
            <w:vMerge w:val="restart"/>
            <w:vAlign w:val="center"/>
          </w:tcPr>
          <w:p w14:paraId="7328901B">
            <w:pPr>
              <w:adjustRightInd w:val="0"/>
              <w:snapToGrid w:val="0"/>
              <w:jc w:val="center"/>
              <w:rPr>
                <w:rFonts w:ascii="宋体" w:hAnsi="宋体" w:eastAsia="宋体" w:cs="Times New Roman"/>
                <w:color w:val="auto"/>
              </w:rPr>
            </w:pPr>
            <w:r>
              <w:rPr>
                <w:rFonts w:ascii="宋体" w:hAnsi="宋体" w:eastAsia="宋体" w:cs="Times New Roman"/>
                <w:color w:val="auto"/>
              </w:rPr>
              <w:t>年排放小时数/h</w:t>
            </w:r>
          </w:p>
        </w:tc>
        <w:tc>
          <w:tcPr>
            <w:tcW w:w="409" w:type="dxa"/>
            <w:vMerge w:val="restart"/>
            <w:vAlign w:val="center"/>
          </w:tcPr>
          <w:p w14:paraId="762D4561">
            <w:pPr>
              <w:adjustRightInd w:val="0"/>
              <w:snapToGrid w:val="0"/>
              <w:jc w:val="center"/>
              <w:rPr>
                <w:rFonts w:ascii="宋体" w:hAnsi="宋体" w:eastAsia="宋体" w:cs="Times New Roman"/>
                <w:color w:val="auto"/>
              </w:rPr>
            </w:pPr>
            <w:r>
              <w:rPr>
                <w:rFonts w:ascii="宋体" w:hAnsi="宋体" w:eastAsia="宋体" w:cs="Times New Roman"/>
                <w:color w:val="auto"/>
              </w:rPr>
              <w:t>排放工况</w:t>
            </w:r>
          </w:p>
        </w:tc>
        <w:tc>
          <w:tcPr>
            <w:tcW w:w="1130" w:type="dxa"/>
            <w:vAlign w:val="center"/>
          </w:tcPr>
          <w:p w14:paraId="41CB97E5">
            <w:pPr>
              <w:adjustRightInd w:val="0"/>
              <w:snapToGrid w:val="0"/>
              <w:jc w:val="center"/>
              <w:rPr>
                <w:rFonts w:ascii="宋体" w:hAnsi="宋体" w:eastAsia="宋体" w:cs="Times New Roman"/>
                <w:color w:val="auto"/>
              </w:rPr>
            </w:pPr>
            <w:r>
              <w:rPr>
                <w:rFonts w:ascii="宋体" w:hAnsi="宋体" w:eastAsia="宋体" w:cs="Times New Roman"/>
                <w:color w:val="auto"/>
              </w:rPr>
              <w:t>污染物排放速率/kg/h</w:t>
            </w:r>
          </w:p>
        </w:tc>
      </w:tr>
      <w:tr w14:paraId="73B4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Merge w:val="continue"/>
            <w:vAlign w:val="center"/>
          </w:tcPr>
          <w:p w14:paraId="19AE0C30">
            <w:pPr>
              <w:adjustRightInd w:val="0"/>
              <w:snapToGrid w:val="0"/>
              <w:jc w:val="center"/>
              <w:rPr>
                <w:rFonts w:ascii="宋体" w:hAnsi="宋体" w:eastAsia="宋体" w:cs="Times New Roman"/>
                <w:color w:val="auto"/>
              </w:rPr>
            </w:pPr>
          </w:p>
        </w:tc>
        <w:tc>
          <w:tcPr>
            <w:tcW w:w="722" w:type="dxa"/>
            <w:vAlign w:val="center"/>
          </w:tcPr>
          <w:p w14:paraId="45164ACE">
            <w:pPr>
              <w:adjustRightInd w:val="0"/>
              <w:snapToGrid w:val="0"/>
              <w:jc w:val="center"/>
              <w:rPr>
                <w:rFonts w:ascii="宋体" w:hAnsi="宋体" w:eastAsia="宋体" w:cs="Times New Roman"/>
                <w:color w:val="auto"/>
              </w:rPr>
            </w:pPr>
            <w:r>
              <w:rPr>
                <w:rFonts w:ascii="宋体" w:hAnsi="宋体" w:eastAsia="宋体" w:cs="Times New Roman"/>
                <w:color w:val="auto"/>
              </w:rPr>
              <w:t>经度</w:t>
            </w:r>
          </w:p>
        </w:tc>
        <w:tc>
          <w:tcPr>
            <w:tcW w:w="887" w:type="dxa"/>
            <w:vAlign w:val="center"/>
          </w:tcPr>
          <w:p w14:paraId="0340919D">
            <w:pPr>
              <w:adjustRightInd w:val="0"/>
              <w:snapToGrid w:val="0"/>
              <w:jc w:val="center"/>
              <w:rPr>
                <w:rFonts w:ascii="宋体" w:hAnsi="宋体" w:eastAsia="宋体" w:cs="Times New Roman"/>
                <w:color w:val="auto"/>
              </w:rPr>
            </w:pPr>
            <w:r>
              <w:rPr>
                <w:rFonts w:ascii="宋体" w:hAnsi="宋体" w:eastAsia="宋体" w:cs="Times New Roman"/>
                <w:color w:val="auto"/>
              </w:rPr>
              <w:t>纬度</w:t>
            </w:r>
          </w:p>
        </w:tc>
        <w:tc>
          <w:tcPr>
            <w:tcW w:w="723" w:type="dxa"/>
            <w:vMerge w:val="continue"/>
            <w:vAlign w:val="center"/>
          </w:tcPr>
          <w:p w14:paraId="5F1EE02B">
            <w:pPr>
              <w:adjustRightInd w:val="0"/>
              <w:snapToGrid w:val="0"/>
              <w:jc w:val="center"/>
              <w:rPr>
                <w:rFonts w:ascii="宋体" w:hAnsi="宋体" w:eastAsia="宋体" w:cs="Times New Roman"/>
                <w:color w:val="auto"/>
              </w:rPr>
            </w:pPr>
          </w:p>
        </w:tc>
        <w:tc>
          <w:tcPr>
            <w:tcW w:w="845" w:type="dxa"/>
            <w:vMerge w:val="continue"/>
            <w:vAlign w:val="center"/>
          </w:tcPr>
          <w:p w14:paraId="3E8AAAF0">
            <w:pPr>
              <w:adjustRightInd w:val="0"/>
              <w:snapToGrid w:val="0"/>
              <w:jc w:val="center"/>
              <w:rPr>
                <w:rFonts w:ascii="宋体" w:hAnsi="宋体" w:eastAsia="宋体" w:cs="Times New Roman"/>
                <w:color w:val="auto"/>
              </w:rPr>
            </w:pPr>
          </w:p>
        </w:tc>
        <w:tc>
          <w:tcPr>
            <w:tcW w:w="641" w:type="dxa"/>
            <w:vMerge w:val="continue"/>
            <w:vAlign w:val="center"/>
          </w:tcPr>
          <w:p w14:paraId="68CC9772">
            <w:pPr>
              <w:adjustRightInd w:val="0"/>
              <w:snapToGrid w:val="0"/>
              <w:jc w:val="center"/>
              <w:rPr>
                <w:rFonts w:ascii="宋体" w:hAnsi="宋体" w:eastAsia="宋体" w:cs="Times New Roman"/>
                <w:color w:val="auto"/>
              </w:rPr>
            </w:pPr>
          </w:p>
        </w:tc>
        <w:tc>
          <w:tcPr>
            <w:tcW w:w="695" w:type="dxa"/>
            <w:vMerge w:val="continue"/>
            <w:vAlign w:val="center"/>
          </w:tcPr>
          <w:p w14:paraId="0BDADD97">
            <w:pPr>
              <w:adjustRightInd w:val="0"/>
              <w:snapToGrid w:val="0"/>
              <w:jc w:val="center"/>
              <w:rPr>
                <w:rFonts w:ascii="宋体" w:hAnsi="宋体" w:eastAsia="宋体" w:cs="Times New Roman"/>
                <w:color w:val="auto"/>
              </w:rPr>
            </w:pPr>
          </w:p>
        </w:tc>
        <w:tc>
          <w:tcPr>
            <w:tcW w:w="873" w:type="dxa"/>
            <w:vMerge w:val="continue"/>
            <w:vAlign w:val="center"/>
          </w:tcPr>
          <w:p w14:paraId="66738FEB">
            <w:pPr>
              <w:adjustRightInd w:val="0"/>
              <w:snapToGrid w:val="0"/>
              <w:jc w:val="center"/>
              <w:rPr>
                <w:rFonts w:ascii="宋体" w:hAnsi="宋体" w:eastAsia="宋体" w:cs="Times New Roman"/>
                <w:color w:val="auto"/>
              </w:rPr>
            </w:pPr>
          </w:p>
        </w:tc>
        <w:tc>
          <w:tcPr>
            <w:tcW w:w="709" w:type="dxa"/>
            <w:vMerge w:val="continue"/>
            <w:vAlign w:val="center"/>
          </w:tcPr>
          <w:p w14:paraId="7A650EB2">
            <w:pPr>
              <w:adjustRightInd w:val="0"/>
              <w:snapToGrid w:val="0"/>
              <w:jc w:val="center"/>
              <w:rPr>
                <w:rFonts w:ascii="宋体" w:hAnsi="宋体" w:eastAsia="宋体" w:cs="Times New Roman"/>
                <w:color w:val="auto"/>
              </w:rPr>
            </w:pPr>
          </w:p>
        </w:tc>
        <w:tc>
          <w:tcPr>
            <w:tcW w:w="409" w:type="dxa"/>
            <w:vMerge w:val="continue"/>
            <w:vAlign w:val="center"/>
          </w:tcPr>
          <w:p w14:paraId="11F1CB30">
            <w:pPr>
              <w:adjustRightInd w:val="0"/>
              <w:snapToGrid w:val="0"/>
              <w:jc w:val="center"/>
              <w:rPr>
                <w:rFonts w:ascii="宋体" w:hAnsi="宋体" w:eastAsia="宋体" w:cs="Times New Roman"/>
                <w:color w:val="auto"/>
              </w:rPr>
            </w:pPr>
          </w:p>
        </w:tc>
        <w:tc>
          <w:tcPr>
            <w:tcW w:w="1130" w:type="dxa"/>
            <w:vAlign w:val="center"/>
          </w:tcPr>
          <w:p w14:paraId="040CA21E">
            <w:pPr>
              <w:adjustRightInd w:val="0"/>
              <w:snapToGrid w:val="0"/>
              <w:jc w:val="center"/>
              <w:rPr>
                <w:rFonts w:ascii="宋体" w:hAnsi="宋体" w:eastAsia="宋体" w:cs="Times New Roman"/>
                <w:color w:val="auto"/>
              </w:rPr>
            </w:pPr>
            <w:r>
              <w:rPr>
                <w:rFonts w:ascii="宋体" w:hAnsi="宋体" w:eastAsia="宋体" w:cs="Times New Roman"/>
                <w:color w:val="auto"/>
              </w:rPr>
              <w:t>NMHC</w:t>
            </w:r>
          </w:p>
        </w:tc>
      </w:tr>
      <w:tr w14:paraId="4211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426" w:type="dxa"/>
            <w:vAlign w:val="center"/>
          </w:tcPr>
          <w:p w14:paraId="5FC11439">
            <w:pPr>
              <w:adjustRightInd w:val="0"/>
              <w:snapToGrid w:val="0"/>
              <w:spacing w:line="360" w:lineRule="exact"/>
              <w:jc w:val="center"/>
              <w:rPr>
                <w:rFonts w:ascii="宋体" w:hAnsi="宋体" w:eastAsia="宋体" w:cs="Times New Roman"/>
                <w:color w:val="auto"/>
                <w:kern w:val="24"/>
              </w:rPr>
            </w:pPr>
            <w:r>
              <w:rPr>
                <w:rFonts w:hint="eastAsia" w:ascii="宋体" w:hAnsi="宋体" w:eastAsia="宋体" w:cs="Times New Roman"/>
                <w:color w:val="auto"/>
              </w:rPr>
              <w:t>3</w:t>
            </w:r>
            <w:r>
              <w:rPr>
                <w:rFonts w:ascii="宋体" w:hAnsi="宋体" w:eastAsia="宋体" w:cs="Times New Roman"/>
                <w:color w:val="auto"/>
              </w:rPr>
              <w:t>号平台井场（2口油井）</w:t>
            </w:r>
          </w:p>
        </w:tc>
        <w:tc>
          <w:tcPr>
            <w:tcW w:w="722" w:type="dxa"/>
            <w:vAlign w:val="center"/>
          </w:tcPr>
          <w:p w14:paraId="0D31BA6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szCs w:val="23"/>
              </w:rPr>
              <w:t>125.17320</w:t>
            </w:r>
          </w:p>
        </w:tc>
        <w:tc>
          <w:tcPr>
            <w:tcW w:w="887" w:type="dxa"/>
            <w:vAlign w:val="center"/>
          </w:tcPr>
          <w:p w14:paraId="47C7F5C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szCs w:val="23"/>
              </w:rPr>
              <w:t>45.56462</w:t>
            </w:r>
          </w:p>
        </w:tc>
        <w:tc>
          <w:tcPr>
            <w:tcW w:w="723" w:type="dxa"/>
            <w:vAlign w:val="center"/>
          </w:tcPr>
          <w:p w14:paraId="5D2BB0C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szCs w:val="23"/>
              </w:rPr>
              <w:t>135</w:t>
            </w:r>
          </w:p>
        </w:tc>
        <w:tc>
          <w:tcPr>
            <w:tcW w:w="845" w:type="dxa"/>
            <w:vAlign w:val="center"/>
          </w:tcPr>
          <w:p w14:paraId="7029769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641" w:type="dxa"/>
            <w:vAlign w:val="center"/>
          </w:tcPr>
          <w:p w14:paraId="01B776D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40</w:t>
            </w:r>
          </w:p>
        </w:tc>
        <w:tc>
          <w:tcPr>
            <w:tcW w:w="695" w:type="dxa"/>
            <w:vAlign w:val="center"/>
          </w:tcPr>
          <w:p w14:paraId="7656026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40</w:t>
            </w:r>
          </w:p>
        </w:tc>
        <w:tc>
          <w:tcPr>
            <w:tcW w:w="873" w:type="dxa"/>
            <w:vAlign w:val="center"/>
          </w:tcPr>
          <w:p w14:paraId="5CA7C28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709" w:type="dxa"/>
            <w:vAlign w:val="center"/>
          </w:tcPr>
          <w:p w14:paraId="2ADF798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7200</w:t>
            </w:r>
          </w:p>
        </w:tc>
        <w:tc>
          <w:tcPr>
            <w:tcW w:w="409" w:type="dxa"/>
            <w:vMerge w:val="restart"/>
            <w:vAlign w:val="center"/>
          </w:tcPr>
          <w:p w14:paraId="5A4730B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正常排放</w:t>
            </w:r>
          </w:p>
        </w:tc>
        <w:tc>
          <w:tcPr>
            <w:tcW w:w="1130" w:type="dxa"/>
            <w:vAlign w:val="center"/>
          </w:tcPr>
          <w:p w14:paraId="782517D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0.34</w:t>
            </w:r>
          </w:p>
        </w:tc>
      </w:tr>
      <w:tr w14:paraId="0B3F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408ECAE6">
            <w:pPr>
              <w:adjustRightInd w:val="0"/>
              <w:snapToGrid w:val="0"/>
              <w:spacing w:line="320" w:lineRule="exact"/>
              <w:jc w:val="center"/>
              <w:rPr>
                <w:rFonts w:ascii="宋体" w:hAnsi="宋体" w:eastAsia="宋体" w:cs="Times New Roman"/>
                <w:color w:val="auto"/>
                <w:kern w:val="24"/>
              </w:rPr>
            </w:pPr>
            <w:r>
              <w:rPr>
                <w:rFonts w:ascii="宋体" w:hAnsi="宋体" w:eastAsia="宋体" w:cs="Times New Roman"/>
                <w:color w:val="auto"/>
              </w:rPr>
              <w:t>源212-扶平4井场</w:t>
            </w:r>
          </w:p>
        </w:tc>
        <w:tc>
          <w:tcPr>
            <w:tcW w:w="722" w:type="dxa"/>
            <w:vAlign w:val="center"/>
          </w:tcPr>
          <w:p w14:paraId="410AC33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szCs w:val="23"/>
              </w:rPr>
              <w:t>125.16246</w:t>
            </w:r>
          </w:p>
        </w:tc>
        <w:tc>
          <w:tcPr>
            <w:tcW w:w="887" w:type="dxa"/>
            <w:vAlign w:val="center"/>
          </w:tcPr>
          <w:p w14:paraId="54EF801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szCs w:val="23"/>
              </w:rPr>
              <w:t>45.56705</w:t>
            </w:r>
          </w:p>
        </w:tc>
        <w:tc>
          <w:tcPr>
            <w:tcW w:w="723" w:type="dxa"/>
            <w:vAlign w:val="center"/>
          </w:tcPr>
          <w:p w14:paraId="03113F1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szCs w:val="23"/>
              </w:rPr>
              <w:t>132</w:t>
            </w:r>
          </w:p>
        </w:tc>
        <w:tc>
          <w:tcPr>
            <w:tcW w:w="845" w:type="dxa"/>
            <w:vAlign w:val="center"/>
          </w:tcPr>
          <w:p w14:paraId="47AEBF5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641" w:type="dxa"/>
            <w:vAlign w:val="center"/>
          </w:tcPr>
          <w:p w14:paraId="15EFEA0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40</w:t>
            </w:r>
          </w:p>
        </w:tc>
        <w:tc>
          <w:tcPr>
            <w:tcW w:w="695" w:type="dxa"/>
            <w:vAlign w:val="center"/>
          </w:tcPr>
          <w:p w14:paraId="2FF171C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30</w:t>
            </w:r>
          </w:p>
        </w:tc>
        <w:tc>
          <w:tcPr>
            <w:tcW w:w="873" w:type="dxa"/>
            <w:vAlign w:val="center"/>
          </w:tcPr>
          <w:p w14:paraId="5CA675F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709" w:type="dxa"/>
            <w:vAlign w:val="center"/>
          </w:tcPr>
          <w:p w14:paraId="790992E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7200</w:t>
            </w:r>
          </w:p>
        </w:tc>
        <w:tc>
          <w:tcPr>
            <w:tcW w:w="409" w:type="dxa"/>
            <w:vMerge w:val="continue"/>
            <w:vAlign w:val="center"/>
          </w:tcPr>
          <w:p w14:paraId="7F556488">
            <w:pPr>
              <w:adjustRightInd w:val="0"/>
              <w:snapToGrid w:val="0"/>
              <w:spacing w:line="360" w:lineRule="exact"/>
              <w:jc w:val="center"/>
              <w:rPr>
                <w:rFonts w:ascii="宋体" w:hAnsi="宋体" w:eastAsia="宋体" w:cs="Times New Roman"/>
                <w:color w:val="auto"/>
              </w:rPr>
            </w:pPr>
          </w:p>
        </w:tc>
        <w:tc>
          <w:tcPr>
            <w:tcW w:w="1130" w:type="dxa"/>
            <w:vAlign w:val="center"/>
          </w:tcPr>
          <w:p w14:paraId="09FEB3A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0.17</w:t>
            </w:r>
          </w:p>
        </w:tc>
      </w:tr>
      <w:tr w14:paraId="20E6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13256F13">
            <w:pPr>
              <w:adjustRightInd w:val="0"/>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#拉油点（2台储罐）</w:t>
            </w:r>
          </w:p>
        </w:tc>
        <w:tc>
          <w:tcPr>
            <w:tcW w:w="722" w:type="dxa"/>
            <w:vAlign w:val="center"/>
          </w:tcPr>
          <w:p w14:paraId="1E22EC4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szCs w:val="23"/>
              </w:rPr>
              <w:t>125.17324</w:t>
            </w:r>
          </w:p>
        </w:tc>
        <w:tc>
          <w:tcPr>
            <w:tcW w:w="887" w:type="dxa"/>
            <w:vAlign w:val="center"/>
          </w:tcPr>
          <w:p w14:paraId="3CCEC7A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szCs w:val="23"/>
              </w:rPr>
              <w:t>45.56538</w:t>
            </w:r>
          </w:p>
        </w:tc>
        <w:tc>
          <w:tcPr>
            <w:tcW w:w="723" w:type="dxa"/>
            <w:vAlign w:val="center"/>
          </w:tcPr>
          <w:p w14:paraId="63CEB23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szCs w:val="23"/>
              </w:rPr>
              <w:t>136</w:t>
            </w:r>
          </w:p>
        </w:tc>
        <w:tc>
          <w:tcPr>
            <w:tcW w:w="845" w:type="dxa"/>
            <w:vAlign w:val="center"/>
          </w:tcPr>
          <w:p w14:paraId="0B98436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641" w:type="dxa"/>
            <w:vAlign w:val="center"/>
          </w:tcPr>
          <w:p w14:paraId="6B5D675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100</w:t>
            </w:r>
          </w:p>
        </w:tc>
        <w:tc>
          <w:tcPr>
            <w:tcW w:w="695" w:type="dxa"/>
            <w:vAlign w:val="center"/>
          </w:tcPr>
          <w:p w14:paraId="7952F1B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55</w:t>
            </w:r>
          </w:p>
        </w:tc>
        <w:tc>
          <w:tcPr>
            <w:tcW w:w="873" w:type="dxa"/>
            <w:vAlign w:val="center"/>
          </w:tcPr>
          <w:p w14:paraId="7E0FC36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709" w:type="dxa"/>
            <w:vAlign w:val="center"/>
          </w:tcPr>
          <w:p w14:paraId="3DC95DF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8760</w:t>
            </w:r>
          </w:p>
        </w:tc>
        <w:tc>
          <w:tcPr>
            <w:tcW w:w="409" w:type="dxa"/>
            <w:vMerge w:val="continue"/>
            <w:vAlign w:val="center"/>
          </w:tcPr>
          <w:p w14:paraId="71263161">
            <w:pPr>
              <w:adjustRightInd w:val="0"/>
              <w:snapToGrid w:val="0"/>
              <w:spacing w:line="360" w:lineRule="exact"/>
              <w:jc w:val="center"/>
              <w:rPr>
                <w:rFonts w:ascii="宋体" w:hAnsi="宋体" w:eastAsia="宋体" w:cs="Times New Roman"/>
                <w:color w:val="auto"/>
              </w:rPr>
            </w:pPr>
          </w:p>
        </w:tc>
        <w:tc>
          <w:tcPr>
            <w:tcW w:w="1130" w:type="dxa"/>
            <w:vAlign w:val="center"/>
          </w:tcPr>
          <w:p w14:paraId="61414AF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0.09</w:t>
            </w:r>
          </w:p>
        </w:tc>
      </w:tr>
      <w:tr w14:paraId="3E7E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3A324F1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2#拉油点（1台储罐）</w:t>
            </w:r>
          </w:p>
        </w:tc>
        <w:tc>
          <w:tcPr>
            <w:tcW w:w="722" w:type="dxa"/>
            <w:vAlign w:val="center"/>
          </w:tcPr>
          <w:p w14:paraId="3710189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szCs w:val="23"/>
              </w:rPr>
              <w:t>125.16228</w:t>
            </w:r>
          </w:p>
        </w:tc>
        <w:tc>
          <w:tcPr>
            <w:tcW w:w="887" w:type="dxa"/>
            <w:vAlign w:val="center"/>
          </w:tcPr>
          <w:p w14:paraId="7F8B40E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szCs w:val="23"/>
              </w:rPr>
              <w:t>45.56775</w:t>
            </w:r>
          </w:p>
        </w:tc>
        <w:tc>
          <w:tcPr>
            <w:tcW w:w="723" w:type="dxa"/>
            <w:vAlign w:val="center"/>
          </w:tcPr>
          <w:p w14:paraId="1C45A9A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szCs w:val="23"/>
              </w:rPr>
              <w:t>127</w:t>
            </w:r>
          </w:p>
        </w:tc>
        <w:tc>
          <w:tcPr>
            <w:tcW w:w="845" w:type="dxa"/>
            <w:vAlign w:val="center"/>
          </w:tcPr>
          <w:p w14:paraId="378AF78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641" w:type="dxa"/>
            <w:vAlign w:val="center"/>
          </w:tcPr>
          <w:p w14:paraId="69472A9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100</w:t>
            </w:r>
          </w:p>
        </w:tc>
        <w:tc>
          <w:tcPr>
            <w:tcW w:w="695" w:type="dxa"/>
            <w:vAlign w:val="center"/>
          </w:tcPr>
          <w:p w14:paraId="6A3AE62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55</w:t>
            </w:r>
          </w:p>
        </w:tc>
        <w:tc>
          <w:tcPr>
            <w:tcW w:w="873" w:type="dxa"/>
            <w:vAlign w:val="center"/>
          </w:tcPr>
          <w:p w14:paraId="709C88E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709" w:type="dxa"/>
            <w:vAlign w:val="center"/>
          </w:tcPr>
          <w:p w14:paraId="403D409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8760</w:t>
            </w:r>
          </w:p>
        </w:tc>
        <w:tc>
          <w:tcPr>
            <w:tcW w:w="409" w:type="dxa"/>
            <w:vMerge w:val="continue"/>
            <w:vAlign w:val="center"/>
          </w:tcPr>
          <w:p w14:paraId="08E2C023">
            <w:pPr>
              <w:adjustRightInd w:val="0"/>
              <w:snapToGrid w:val="0"/>
              <w:spacing w:line="360" w:lineRule="exact"/>
              <w:jc w:val="center"/>
              <w:rPr>
                <w:rFonts w:ascii="宋体" w:hAnsi="宋体" w:eastAsia="宋体" w:cs="Times New Roman"/>
                <w:color w:val="auto"/>
              </w:rPr>
            </w:pPr>
          </w:p>
        </w:tc>
        <w:tc>
          <w:tcPr>
            <w:tcW w:w="1130" w:type="dxa"/>
            <w:vAlign w:val="center"/>
          </w:tcPr>
          <w:p w14:paraId="7DF1C0C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0.03</w:t>
            </w:r>
          </w:p>
        </w:tc>
      </w:tr>
    </w:tbl>
    <w:p w14:paraId="10594B1B">
      <w:pPr>
        <w:pStyle w:val="164"/>
        <w:tabs>
          <w:tab w:val="left" w:pos="1571"/>
        </w:tabs>
        <w:spacing w:line="440" w:lineRule="exact"/>
        <w:ind w:firstLine="320" w:firstLineChars="200"/>
        <w:jc w:val="both"/>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根据《环境影响评价技术导则 大气环境》（HJ2.2-2018）规定，采用估算模式计算本项目正常排放情况下主要污染物的最大影响程度和最远影响范围，按照评价工作分级判据进行分级。</w:t>
      </w:r>
    </w:p>
    <w:p w14:paraId="4CA2F5F8">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（1）根据《环境影响评价技术导则 大气环境》(HJ2.2-2018)附录B的 B.6.1城市/农村选项，“当项目周边3km半径范围内一半以上属于城市建成区或者规划区时选择城市，否则选择农村”。本项目位于周边3km半径范围内一半以上为农村区域，故选取农村选项。</w:t>
      </w:r>
    </w:p>
    <w:p w14:paraId="22C2F68C">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（2）环境温度取值来源于大庆市气象站二十年气象数据统计。</w:t>
      </w:r>
    </w:p>
    <w:p w14:paraId="2C792F54">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（3）拟建井场多数位于耕地中，本次评价的土地利用类型选取耕地。</w:t>
      </w:r>
    </w:p>
    <w:p w14:paraId="40197485">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（4）根据中国干湿度分布图判断，本地区属于中等湿润气候。根据EIA2018大气预测软件的DEM地形文件，地形数据分辨率90m。估算模型具体参数见下表2.6-2。</w:t>
      </w:r>
    </w:p>
    <w:p w14:paraId="2B97E557">
      <w:pPr>
        <w:pStyle w:val="22"/>
        <w:spacing w:before="156"/>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3</w:t>
      </w:r>
      <w:r>
        <w:rPr>
          <w:color w:val="auto"/>
        </w:rPr>
        <w:fldChar w:fldCharType="end"/>
      </w:r>
      <w:r>
        <w:rPr>
          <w:color w:val="auto"/>
        </w:rPr>
        <w:t>估算模型参数一览表</w:t>
      </w:r>
    </w:p>
    <w:tbl>
      <w:tblPr>
        <w:tblStyle w:val="8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9"/>
        <w:gridCol w:w="7"/>
        <w:gridCol w:w="3013"/>
        <w:gridCol w:w="3021"/>
      </w:tblGrid>
      <w:tr w14:paraId="397B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9" w:type="dxa"/>
            <w:gridSpan w:val="3"/>
            <w:vAlign w:val="center"/>
          </w:tcPr>
          <w:p w14:paraId="7D45F7F8">
            <w:pPr>
              <w:spacing w:line="320" w:lineRule="exact"/>
              <w:jc w:val="center"/>
              <w:rPr>
                <w:rFonts w:ascii="宋体" w:hAnsi="宋体" w:eastAsia="宋体" w:cs="Times New Roman"/>
                <w:color w:val="auto"/>
              </w:rPr>
            </w:pPr>
            <w:r>
              <w:rPr>
                <w:rFonts w:ascii="宋体" w:hAnsi="宋体" w:eastAsia="宋体" w:cs="Times New Roman"/>
                <w:color w:val="auto"/>
              </w:rPr>
              <w:t>参数</w:t>
            </w:r>
          </w:p>
        </w:tc>
        <w:tc>
          <w:tcPr>
            <w:tcW w:w="3021" w:type="dxa"/>
            <w:vAlign w:val="center"/>
          </w:tcPr>
          <w:p w14:paraId="0046DC3C">
            <w:pPr>
              <w:spacing w:line="320" w:lineRule="exact"/>
              <w:jc w:val="center"/>
              <w:rPr>
                <w:rFonts w:ascii="宋体" w:hAnsi="宋体" w:eastAsia="宋体" w:cs="Times New Roman"/>
                <w:color w:val="auto"/>
              </w:rPr>
            </w:pPr>
            <w:r>
              <w:rPr>
                <w:rFonts w:ascii="宋体" w:hAnsi="宋体" w:eastAsia="宋体" w:cs="Times New Roman"/>
                <w:color w:val="auto"/>
              </w:rPr>
              <w:t>取值</w:t>
            </w:r>
          </w:p>
        </w:tc>
      </w:tr>
      <w:tr w14:paraId="5EC5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9" w:type="dxa"/>
            <w:vMerge w:val="restart"/>
            <w:vAlign w:val="center"/>
          </w:tcPr>
          <w:p w14:paraId="55396484">
            <w:pPr>
              <w:spacing w:line="320" w:lineRule="exact"/>
              <w:jc w:val="center"/>
              <w:rPr>
                <w:rFonts w:ascii="宋体" w:hAnsi="宋体" w:eastAsia="宋体" w:cs="Times New Roman"/>
                <w:color w:val="auto"/>
              </w:rPr>
            </w:pPr>
            <w:r>
              <w:rPr>
                <w:rFonts w:ascii="宋体" w:hAnsi="宋体" w:eastAsia="宋体" w:cs="Times New Roman"/>
                <w:color w:val="auto"/>
              </w:rPr>
              <w:t>城市/农村选项</w:t>
            </w:r>
          </w:p>
        </w:tc>
        <w:tc>
          <w:tcPr>
            <w:tcW w:w="3020" w:type="dxa"/>
            <w:gridSpan w:val="2"/>
            <w:vAlign w:val="center"/>
          </w:tcPr>
          <w:p w14:paraId="15D20FB8">
            <w:pPr>
              <w:spacing w:line="320" w:lineRule="exact"/>
              <w:jc w:val="center"/>
              <w:rPr>
                <w:rFonts w:ascii="宋体" w:hAnsi="宋体" w:eastAsia="宋体" w:cs="Times New Roman"/>
                <w:color w:val="auto"/>
              </w:rPr>
            </w:pPr>
            <w:r>
              <w:rPr>
                <w:rFonts w:ascii="宋体" w:hAnsi="宋体" w:eastAsia="宋体" w:cs="Times New Roman"/>
                <w:color w:val="auto"/>
              </w:rPr>
              <w:t>城市/农村</w:t>
            </w:r>
          </w:p>
        </w:tc>
        <w:tc>
          <w:tcPr>
            <w:tcW w:w="3021" w:type="dxa"/>
            <w:vAlign w:val="center"/>
          </w:tcPr>
          <w:p w14:paraId="36B1D1AC">
            <w:pPr>
              <w:spacing w:line="320" w:lineRule="exact"/>
              <w:jc w:val="center"/>
              <w:rPr>
                <w:rFonts w:ascii="宋体" w:hAnsi="宋体" w:eastAsia="宋体" w:cs="Times New Roman"/>
                <w:color w:val="auto"/>
              </w:rPr>
            </w:pPr>
            <w:r>
              <w:rPr>
                <w:rFonts w:ascii="宋体" w:hAnsi="宋体" w:eastAsia="宋体" w:cs="Times New Roman"/>
                <w:color w:val="auto"/>
              </w:rPr>
              <w:t>农村</w:t>
            </w:r>
          </w:p>
        </w:tc>
      </w:tr>
      <w:tr w14:paraId="358B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9" w:type="dxa"/>
            <w:vMerge w:val="continue"/>
            <w:vAlign w:val="center"/>
          </w:tcPr>
          <w:p w14:paraId="5AC306B9">
            <w:pPr>
              <w:spacing w:line="320" w:lineRule="exact"/>
              <w:jc w:val="center"/>
              <w:rPr>
                <w:rFonts w:ascii="宋体" w:hAnsi="宋体" w:eastAsia="宋体" w:cs="Times New Roman"/>
                <w:color w:val="auto"/>
              </w:rPr>
            </w:pPr>
          </w:p>
        </w:tc>
        <w:tc>
          <w:tcPr>
            <w:tcW w:w="3020" w:type="dxa"/>
            <w:gridSpan w:val="2"/>
            <w:vAlign w:val="center"/>
          </w:tcPr>
          <w:p w14:paraId="06E5BC1B">
            <w:pPr>
              <w:spacing w:line="320" w:lineRule="exact"/>
              <w:jc w:val="center"/>
              <w:rPr>
                <w:rFonts w:ascii="宋体" w:hAnsi="宋体" w:eastAsia="宋体" w:cs="Times New Roman"/>
                <w:color w:val="auto"/>
              </w:rPr>
            </w:pPr>
            <w:r>
              <w:rPr>
                <w:rFonts w:ascii="宋体" w:hAnsi="宋体" w:eastAsia="宋体" w:cs="Times New Roman"/>
                <w:color w:val="auto"/>
              </w:rPr>
              <w:t>人口数（城市选项时）</w:t>
            </w:r>
          </w:p>
        </w:tc>
        <w:tc>
          <w:tcPr>
            <w:tcW w:w="3021" w:type="dxa"/>
            <w:vAlign w:val="center"/>
          </w:tcPr>
          <w:p w14:paraId="366E0391">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119F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9" w:type="dxa"/>
            <w:gridSpan w:val="3"/>
            <w:vAlign w:val="center"/>
          </w:tcPr>
          <w:p w14:paraId="4AB2B374">
            <w:pPr>
              <w:spacing w:line="320" w:lineRule="exact"/>
              <w:jc w:val="center"/>
              <w:rPr>
                <w:rFonts w:ascii="宋体" w:hAnsi="宋体" w:eastAsia="宋体" w:cs="Times New Roman"/>
                <w:color w:val="auto"/>
              </w:rPr>
            </w:pPr>
            <w:r>
              <w:rPr>
                <w:rFonts w:ascii="宋体" w:hAnsi="宋体" w:eastAsia="宋体" w:cs="Times New Roman"/>
                <w:color w:val="auto"/>
              </w:rPr>
              <w:t>最高环境温度/℃</w:t>
            </w:r>
          </w:p>
        </w:tc>
        <w:tc>
          <w:tcPr>
            <w:tcW w:w="3021" w:type="dxa"/>
            <w:vAlign w:val="center"/>
          </w:tcPr>
          <w:p w14:paraId="449B3724">
            <w:pPr>
              <w:spacing w:line="320" w:lineRule="exact"/>
              <w:jc w:val="center"/>
              <w:rPr>
                <w:rFonts w:ascii="宋体" w:hAnsi="宋体" w:eastAsia="宋体" w:cs="Times New Roman"/>
                <w:color w:val="auto"/>
              </w:rPr>
            </w:pPr>
            <w:r>
              <w:rPr>
                <w:rFonts w:hint="eastAsia" w:ascii="宋体" w:hAnsi="宋体" w:eastAsia="宋体" w:cs="Times New Roman"/>
                <w:color w:val="auto"/>
              </w:rPr>
              <w:t>38.9</w:t>
            </w:r>
          </w:p>
        </w:tc>
      </w:tr>
      <w:tr w14:paraId="68A4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9" w:type="dxa"/>
            <w:gridSpan w:val="3"/>
            <w:vAlign w:val="center"/>
          </w:tcPr>
          <w:p w14:paraId="24FF183A">
            <w:pPr>
              <w:spacing w:line="320" w:lineRule="exact"/>
              <w:jc w:val="center"/>
              <w:rPr>
                <w:rFonts w:ascii="宋体" w:hAnsi="宋体" w:eastAsia="宋体" w:cs="Times New Roman"/>
                <w:color w:val="auto"/>
              </w:rPr>
            </w:pPr>
            <w:r>
              <w:rPr>
                <w:rFonts w:ascii="宋体" w:hAnsi="宋体" w:eastAsia="宋体" w:cs="Times New Roman"/>
                <w:color w:val="auto"/>
              </w:rPr>
              <w:t>最低环境温度/℃</w:t>
            </w:r>
          </w:p>
        </w:tc>
        <w:tc>
          <w:tcPr>
            <w:tcW w:w="3021" w:type="dxa"/>
            <w:vAlign w:val="center"/>
          </w:tcPr>
          <w:p w14:paraId="69512277">
            <w:pPr>
              <w:spacing w:line="320" w:lineRule="exact"/>
              <w:jc w:val="center"/>
              <w:rPr>
                <w:rFonts w:ascii="宋体" w:hAnsi="宋体" w:eastAsia="宋体" w:cs="Times New Roman"/>
                <w:color w:val="auto"/>
              </w:rPr>
            </w:pPr>
            <w:r>
              <w:rPr>
                <w:rFonts w:ascii="宋体" w:hAnsi="宋体" w:eastAsia="宋体" w:cs="Times New Roman"/>
                <w:color w:val="auto"/>
              </w:rPr>
              <w:t>-</w:t>
            </w:r>
            <w:r>
              <w:rPr>
                <w:rFonts w:hint="eastAsia" w:ascii="宋体" w:hAnsi="宋体" w:eastAsia="宋体" w:cs="Times New Roman"/>
                <w:color w:val="auto"/>
              </w:rPr>
              <w:t>36.2</w:t>
            </w:r>
          </w:p>
        </w:tc>
      </w:tr>
      <w:tr w14:paraId="412B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9" w:type="dxa"/>
            <w:gridSpan w:val="3"/>
            <w:vAlign w:val="center"/>
          </w:tcPr>
          <w:p w14:paraId="78C60028">
            <w:pPr>
              <w:spacing w:line="320" w:lineRule="exact"/>
              <w:jc w:val="center"/>
              <w:rPr>
                <w:rFonts w:ascii="宋体" w:hAnsi="宋体" w:eastAsia="宋体" w:cs="Times New Roman"/>
                <w:color w:val="auto"/>
              </w:rPr>
            </w:pPr>
            <w:r>
              <w:rPr>
                <w:rFonts w:ascii="宋体" w:hAnsi="宋体" w:eastAsia="宋体" w:cs="Times New Roman"/>
                <w:color w:val="auto"/>
              </w:rPr>
              <w:t>土地利用类型</w:t>
            </w:r>
          </w:p>
        </w:tc>
        <w:tc>
          <w:tcPr>
            <w:tcW w:w="3021" w:type="dxa"/>
            <w:vAlign w:val="center"/>
          </w:tcPr>
          <w:p w14:paraId="5F00EA5A">
            <w:pPr>
              <w:spacing w:line="320" w:lineRule="exact"/>
              <w:jc w:val="center"/>
              <w:rPr>
                <w:rFonts w:ascii="宋体" w:hAnsi="宋体" w:eastAsia="宋体" w:cs="Times New Roman"/>
                <w:color w:val="auto"/>
              </w:rPr>
            </w:pPr>
            <w:r>
              <w:rPr>
                <w:rFonts w:ascii="宋体" w:hAnsi="宋体" w:eastAsia="宋体" w:cs="Times New Roman"/>
                <w:color w:val="auto"/>
              </w:rPr>
              <w:t>耕地</w:t>
            </w:r>
          </w:p>
        </w:tc>
      </w:tr>
      <w:tr w14:paraId="6489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9" w:type="dxa"/>
            <w:gridSpan w:val="3"/>
            <w:vAlign w:val="center"/>
          </w:tcPr>
          <w:p w14:paraId="3923B818">
            <w:pPr>
              <w:spacing w:line="320" w:lineRule="exact"/>
              <w:jc w:val="center"/>
              <w:rPr>
                <w:rFonts w:ascii="宋体" w:hAnsi="宋体" w:eastAsia="宋体" w:cs="Times New Roman"/>
                <w:color w:val="auto"/>
              </w:rPr>
            </w:pPr>
            <w:r>
              <w:rPr>
                <w:rFonts w:ascii="宋体" w:hAnsi="宋体" w:eastAsia="宋体" w:cs="Times New Roman"/>
                <w:color w:val="auto"/>
              </w:rPr>
              <w:t>区域湿度条件</w:t>
            </w:r>
          </w:p>
        </w:tc>
        <w:tc>
          <w:tcPr>
            <w:tcW w:w="3021" w:type="dxa"/>
            <w:vAlign w:val="center"/>
          </w:tcPr>
          <w:p w14:paraId="2A5A4803">
            <w:pPr>
              <w:spacing w:line="320" w:lineRule="exact"/>
              <w:jc w:val="center"/>
              <w:rPr>
                <w:rFonts w:ascii="宋体" w:hAnsi="宋体" w:eastAsia="宋体" w:cs="Times New Roman"/>
                <w:color w:val="auto"/>
              </w:rPr>
            </w:pPr>
            <w:r>
              <w:rPr>
                <w:rFonts w:ascii="宋体" w:hAnsi="宋体" w:eastAsia="宋体" w:cs="Times New Roman"/>
                <w:color w:val="auto"/>
              </w:rPr>
              <w:t>中等湿度</w:t>
            </w:r>
          </w:p>
        </w:tc>
      </w:tr>
      <w:tr w14:paraId="40511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6" w:type="dxa"/>
            <w:gridSpan w:val="2"/>
            <w:vMerge w:val="restart"/>
            <w:vAlign w:val="center"/>
          </w:tcPr>
          <w:p w14:paraId="061B99DF">
            <w:pPr>
              <w:spacing w:line="320" w:lineRule="exact"/>
              <w:jc w:val="center"/>
              <w:rPr>
                <w:rFonts w:ascii="宋体" w:hAnsi="宋体" w:eastAsia="宋体" w:cs="Times New Roman"/>
                <w:color w:val="auto"/>
              </w:rPr>
            </w:pPr>
            <w:r>
              <w:rPr>
                <w:rFonts w:ascii="宋体" w:hAnsi="宋体" w:eastAsia="宋体" w:cs="Times New Roman"/>
                <w:color w:val="auto"/>
              </w:rPr>
              <w:t>是否考虑地形</w:t>
            </w:r>
          </w:p>
        </w:tc>
        <w:tc>
          <w:tcPr>
            <w:tcW w:w="3013" w:type="dxa"/>
          </w:tcPr>
          <w:p w14:paraId="6BEAC17F">
            <w:pPr>
              <w:spacing w:line="320" w:lineRule="exact"/>
              <w:jc w:val="center"/>
              <w:rPr>
                <w:rFonts w:ascii="宋体" w:hAnsi="宋体" w:eastAsia="宋体" w:cs="Times New Roman"/>
                <w:color w:val="auto"/>
              </w:rPr>
            </w:pPr>
            <w:r>
              <w:rPr>
                <w:rFonts w:ascii="宋体" w:hAnsi="宋体" w:eastAsia="宋体" w:cs="Times New Roman"/>
                <w:color w:val="auto"/>
              </w:rPr>
              <w:t>考虑地形</w:t>
            </w:r>
          </w:p>
        </w:tc>
        <w:tc>
          <w:tcPr>
            <w:tcW w:w="3021" w:type="dxa"/>
            <w:vAlign w:val="center"/>
          </w:tcPr>
          <w:p w14:paraId="280E1BE6">
            <w:pPr>
              <w:spacing w:line="320" w:lineRule="exact"/>
              <w:jc w:val="center"/>
              <w:rPr>
                <w:rFonts w:ascii="宋体" w:hAnsi="宋体" w:eastAsia="宋体" w:cs="Times New Roman"/>
                <w:color w:val="auto"/>
              </w:rPr>
            </w:pPr>
            <w:r>
              <w:rPr>
                <w:rFonts w:ascii="宋体" w:hAnsi="宋体" w:eastAsia="宋体" w:cs="Times New Roman"/>
                <w:color w:val="auto"/>
              </w:rPr>
              <w:t>是</w:t>
            </w:r>
          </w:p>
        </w:tc>
      </w:tr>
      <w:tr w14:paraId="324E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6" w:type="dxa"/>
            <w:gridSpan w:val="2"/>
            <w:vMerge w:val="continue"/>
            <w:vAlign w:val="center"/>
          </w:tcPr>
          <w:p w14:paraId="02C4DAD5">
            <w:pPr>
              <w:spacing w:line="320" w:lineRule="exact"/>
              <w:jc w:val="center"/>
              <w:rPr>
                <w:rFonts w:ascii="宋体" w:hAnsi="宋体" w:eastAsia="宋体" w:cs="Times New Roman"/>
                <w:color w:val="auto"/>
              </w:rPr>
            </w:pPr>
          </w:p>
        </w:tc>
        <w:tc>
          <w:tcPr>
            <w:tcW w:w="3013" w:type="dxa"/>
          </w:tcPr>
          <w:p w14:paraId="550BDEA4">
            <w:pPr>
              <w:spacing w:line="320" w:lineRule="exact"/>
              <w:jc w:val="center"/>
              <w:rPr>
                <w:rFonts w:ascii="宋体" w:hAnsi="宋体" w:eastAsia="宋体" w:cs="Times New Roman"/>
                <w:color w:val="auto"/>
              </w:rPr>
            </w:pPr>
            <w:r>
              <w:rPr>
                <w:rFonts w:ascii="宋体" w:hAnsi="宋体" w:eastAsia="宋体" w:cs="Times New Roman"/>
                <w:color w:val="auto"/>
              </w:rPr>
              <w:t>地形数据分辨率 / m</w:t>
            </w:r>
          </w:p>
        </w:tc>
        <w:tc>
          <w:tcPr>
            <w:tcW w:w="3021" w:type="dxa"/>
            <w:vAlign w:val="center"/>
          </w:tcPr>
          <w:p w14:paraId="43691B70">
            <w:pPr>
              <w:spacing w:line="320" w:lineRule="exact"/>
              <w:jc w:val="center"/>
              <w:rPr>
                <w:rFonts w:ascii="宋体" w:hAnsi="宋体" w:eastAsia="宋体" w:cs="Times New Roman"/>
                <w:color w:val="auto"/>
              </w:rPr>
            </w:pPr>
            <w:r>
              <w:rPr>
                <w:rFonts w:ascii="宋体" w:hAnsi="宋体" w:eastAsia="宋体" w:cs="Times New Roman"/>
                <w:color w:val="auto"/>
              </w:rPr>
              <w:t>90</w:t>
            </w:r>
          </w:p>
        </w:tc>
      </w:tr>
      <w:tr w14:paraId="548B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9" w:type="dxa"/>
            <w:gridSpan w:val="3"/>
            <w:vAlign w:val="center"/>
          </w:tcPr>
          <w:p w14:paraId="0560857D">
            <w:pPr>
              <w:spacing w:line="320" w:lineRule="exact"/>
              <w:jc w:val="center"/>
              <w:rPr>
                <w:rFonts w:ascii="宋体" w:hAnsi="宋体" w:eastAsia="宋体" w:cs="Times New Roman"/>
                <w:color w:val="auto"/>
              </w:rPr>
            </w:pPr>
            <w:r>
              <w:rPr>
                <w:rFonts w:ascii="宋体" w:hAnsi="宋体" w:eastAsia="宋体" w:cs="Times New Roman"/>
                <w:color w:val="auto"/>
              </w:rPr>
              <w:t>是否考虑岸线熏烟</w:t>
            </w:r>
          </w:p>
        </w:tc>
        <w:tc>
          <w:tcPr>
            <w:tcW w:w="3021" w:type="dxa"/>
            <w:vAlign w:val="center"/>
          </w:tcPr>
          <w:p w14:paraId="62EDB6D1">
            <w:pPr>
              <w:spacing w:line="320" w:lineRule="exact"/>
              <w:jc w:val="center"/>
              <w:rPr>
                <w:rFonts w:ascii="宋体" w:hAnsi="宋体" w:eastAsia="宋体" w:cs="Times New Roman"/>
                <w:color w:val="auto"/>
              </w:rPr>
            </w:pPr>
            <w:r>
              <w:rPr>
                <w:rFonts w:ascii="宋体" w:hAnsi="宋体" w:eastAsia="宋体" w:cs="Times New Roman"/>
                <w:color w:val="auto"/>
              </w:rPr>
              <w:t>否</w:t>
            </w:r>
          </w:p>
        </w:tc>
      </w:tr>
    </w:tbl>
    <w:p w14:paraId="033FC057">
      <w:pPr>
        <w:pStyle w:val="276"/>
        <w:widowControl w:val="0"/>
        <w:spacing w:line="440" w:lineRule="exact"/>
        <w:ind w:firstLine="480"/>
        <w:jc w:val="both"/>
        <w:rPr>
          <w:color w:val="auto"/>
        </w:rPr>
      </w:pPr>
      <w:r>
        <w:rPr>
          <w:color w:val="auto"/>
        </w:rPr>
        <w:t>根据《环境影响评价技术导则 大气环境》（HJ2.2-2018）中的有关规定，评价工作等级由项目主要污染物的最大地面空气质量浓度占标率P</w:t>
      </w:r>
      <w:r>
        <w:rPr>
          <w:color w:val="auto"/>
          <w:vertAlign w:val="subscript"/>
        </w:rPr>
        <w:t>i</w:t>
      </w:r>
      <w:r>
        <w:rPr>
          <w:color w:val="auto"/>
        </w:rPr>
        <w:t>及第i个污染物的地面空气质量浓度达到标准值的10%时所对应的最远距离D</w:t>
      </w:r>
      <w:r>
        <w:rPr>
          <w:color w:val="auto"/>
          <w:vertAlign w:val="subscript"/>
        </w:rPr>
        <w:t>10%</w:t>
      </w:r>
      <w:r>
        <w:rPr>
          <w:color w:val="auto"/>
        </w:rPr>
        <w:t>进行</w:t>
      </w:r>
      <w:r>
        <w:rPr>
          <w:snapToGrid w:val="0"/>
          <w:color w:val="auto"/>
        </w:rPr>
        <w:t>等级</w:t>
      </w:r>
      <w:r>
        <w:rPr>
          <w:color w:val="auto"/>
        </w:rPr>
        <w:t>划分。其中，P</w:t>
      </w:r>
      <w:r>
        <w:rPr>
          <w:color w:val="auto"/>
          <w:vertAlign w:val="subscript"/>
        </w:rPr>
        <w:t>i</w:t>
      </w:r>
      <w:r>
        <w:rPr>
          <w:color w:val="auto"/>
        </w:rPr>
        <w:t>定义为：</w:t>
      </w:r>
    </w:p>
    <w:p w14:paraId="3FC26A80">
      <w:pPr>
        <w:tabs>
          <w:tab w:val="left" w:pos="1571"/>
        </w:tabs>
        <w:spacing w:line="440" w:lineRule="exact"/>
        <w:ind w:left="529" w:hanging="529" w:hangingChars="252"/>
        <w:jc w:val="center"/>
        <w:rPr>
          <w:rFonts w:ascii="宋体" w:hAnsi="宋体" w:eastAsia="宋体" w:cs="Times New Roman"/>
          <w:color w:val="auto"/>
        </w:rPr>
      </w:pPr>
      <w:r>
        <w:rPr>
          <w:rFonts w:ascii="宋体" w:hAnsi="宋体" w:eastAsia="宋体" w:cs="Times New Roman"/>
          <w:color w:val="auto"/>
        </w:rPr>
        <w:t>P</w:t>
      </w:r>
      <w:r>
        <w:rPr>
          <w:rFonts w:ascii="宋体" w:hAnsi="宋体" w:eastAsia="宋体" w:cs="Times New Roman"/>
          <w:color w:val="auto"/>
          <w:vertAlign w:val="subscript"/>
        </w:rPr>
        <w:t>i</w:t>
      </w:r>
      <w:r>
        <w:rPr>
          <w:rFonts w:ascii="宋体" w:hAnsi="宋体" w:eastAsia="宋体" w:cs="Times New Roman"/>
          <w:color w:val="auto"/>
        </w:rPr>
        <w:t>=C</w:t>
      </w:r>
      <w:r>
        <w:rPr>
          <w:rFonts w:ascii="宋体" w:hAnsi="宋体" w:eastAsia="宋体" w:cs="Times New Roman"/>
          <w:color w:val="auto"/>
          <w:vertAlign w:val="subscript"/>
        </w:rPr>
        <w:t>i</w:t>
      </w:r>
      <w:r>
        <w:rPr>
          <w:rFonts w:ascii="宋体" w:hAnsi="宋体" w:eastAsia="宋体" w:cs="Times New Roman"/>
          <w:color w:val="auto"/>
        </w:rPr>
        <w:t>/C</w:t>
      </w:r>
      <w:r>
        <w:rPr>
          <w:rFonts w:ascii="宋体" w:hAnsi="宋体" w:eastAsia="宋体" w:cs="Times New Roman"/>
          <w:color w:val="auto"/>
          <w:vertAlign w:val="subscript"/>
        </w:rPr>
        <w:t>0i</w:t>
      </w:r>
      <w:r>
        <w:rPr>
          <w:rFonts w:ascii="宋体" w:hAnsi="宋体" w:eastAsia="宋体" w:cs="Times New Roman"/>
          <w:color w:val="auto"/>
        </w:rPr>
        <w:t>×100%</w:t>
      </w:r>
    </w:p>
    <w:p w14:paraId="207C8061">
      <w:pPr>
        <w:pStyle w:val="276"/>
        <w:widowControl w:val="0"/>
        <w:spacing w:line="440" w:lineRule="exact"/>
        <w:ind w:firstLine="480"/>
        <w:jc w:val="both"/>
        <w:rPr>
          <w:color w:val="auto"/>
        </w:rPr>
      </w:pPr>
      <w:r>
        <w:rPr>
          <w:color w:val="auto"/>
        </w:rPr>
        <w:t>式中：P</w:t>
      </w:r>
      <w:r>
        <w:rPr>
          <w:color w:val="auto"/>
          <w:vertAlign w:val="subscript"/>
        </w:rPr>
        <w:t>i</w:t>
      </w:r>
      <w:r>
        <w:rPr>
          <w:color w:val="auto"/>
        </w:rPr>
        <w:t>——第 i 个污染物的最大地面空气质量浓度占标率，%；</w:t>
      </w:r>
    </w:p>
    <w:p w14:paraId="6355C57B">
      <w:pPr>
        <w:pStyle w:val="276"/>
        <w:widowControl w:val="0"/>
        <w:spacing w:line="440" w:lineRule="exact"/>
        <w:ind w:firstLine="480"/>
        <w:jc w:val="both"/>
        <w:rPr>
          <w:color w:val="auto"/>
        </w:rPr>
      </w:pPr>
      <w:r>
        <w:rPr>
          <w:color w:val="auto"/>
        </w:rPr>
        <w:t>C</w:t>
      </w:r>
      <w:r>
        <w:rPr>
          <w:color w:val="auto"/>
          <w:vertAlign w:val="subscript"/>
        </w:rPr>
        <w:t>i</w:t>
      </w:r>
      <w:r>
        <w:rPr>
          <w:color w:val="auto"/>
        </w:rPr>
        <w:t>——采用估算模式计算出的第i个污染物的最大1h地面空气质量浓度，μg/m</w:t>
      </w:r>
      <w:r>
        <w:rPr>
          <w:color w:val="auto"/>
          <w:vertAlign w:val="superscript"/>
        </w:rPr>
        <w:t>3</w:t>
      </w:r>
      <w:r>
        <w:rPr>
          <w:color w:val="auto"/>
        </w:rPr>
        <w:t>；</w:t>
      </w:r>
    </w:p>
    <w:p w14:paraId="6C85DB05">
      <w:pPr>
        <w:pStyle w:val="276"/>
        <w:widowControl w:val="0"/>
        <w:spacing w:line="440" w:lineRule="exact"/>
        <w:ind w:firstLine="480"/>
        <w:jc w:val="both"/>
        <w:rPr>
          <w:color w:val="auto"/>
        </w:rPr>
      </w:pPr>
      <w:r>
        <w:rPr>
          <w:color w:val="auto"/>
        </w:rPr>
        <w:t>C</w:t>
      </w:r>
      <w:r>
        <w:rPr>
          <w:color w:val="auto"/>
          <w:vertAlign w:val="subscript"/>
        </w:rPr>
        <w:t>0i</w:t>
      </w:r>
      <w:r>
        <w:rPr>
          <w:color w:val="auto"/>
        </w:rPr>
        <w:t>——第 i 个污染物的环境空气质量浓度标准，μg/m</w:t>
      </w:r>
      <w:r>
        <w:rPr>
          <w:color w:val="auto"/>
          <w:vertAlign w:val="superscript"/>
        </w:rPr>
        <w:t>3</w:t>
      </w:r>
      <w:r>
        <w:rPr>
          <w:color w:val="auto"/>
        </w:rPr>
        <w:t>。</w:t>
      </w:r>
    </w:p>
    <w:p w14:paraId="663038C3">
      <w:pPr>
        <w:pStyle w:val="276"/>
        <w:widowControl w:val="0"/>
        <w:spacing w:line="440" w:lineRule="exact"/>
        <w:ind w:firstLine="480"/>
        <w:jc w:val="both"/>
        <w:rPr>
          <w:color w:val="auto"/>
        </w:rPr>
      </w:pPr>
      <w:r>
        <w:rPr>
          <w:color w:val="auto"/>
          <w:lang w:val="zh-CN" w:bidi="zh-CN"/>
        </w:rPr>
        <w:t>根据</w:t>
      </w:r>
      <w:r>
        <w:rPr>
          <w:color w:val="auto"/>
          <w:lang w:bidi="zh-CN"/>
        </w:rPr>
        <w:t>AERSCREEN</w:t>
      </w:r>
      <w:r>
        <w:rPr>
          <w:color w:val="auto"/>
          <w:lang w:val="zh-CN" w:bidi="zh-CN"/>
        </w:rPr>
        <w:t>估算模式预测</w:t>
      </w:r>
      <w:r>
        <w:rPr>
          <w:color w:val="auto"/>
          <w:lang w:bidi="zh-CN"/>
        </w:rPr>
        <w:t>，</w:t>
      </w:r>
      <w:r>
        <w:rPr>
          <w:color w:val="auto"/>
        </w:rPr>
        <w:t>估算模式的计算结果见</w:t>
      </w:r>
      <w:r>
        <w:rPr>
          <w:color w:val="auto"/>
        </w:rPr>
        <w:fldChar w:fldCharType="begin"/>
      </w:r>
      <w:r>
        <w:rPr>
          <w:color w:val="auto"/>
        </w:rPr>
        <w:instrText xml:space="preserve"> REF _Ref211957784 \h  \* MERGEFORMAT </w:instrText>
      </w:r>
      <w:r>
        <w:rPr>
          <w:color w:val="auto"/>
        </w:rPr>
        <w:fldChar w:fldCharType="separate"/>
      </w:r>
      <w:r>
        <w:rPr>
          <w:rFonts w:hint="eastAsia"/>
          <w:color w:val="auto"/>
        </w:rPr>
        <w:t xml:space="preserve">表 </w:t>
      </w:r>
      <w:r>
        <w:rPr>
          <w:color w:val="auto"/>
        </w:rPr>
        <w:t>2.6</w:t>
      </w:r>
      <w:r>
        <w:rPr>
          <w:color w:val="auto"/>
        </w:rPr>
        <w:noBreakHyphen/>
      </w:r>
      <w:r>
        <w:rPr>
          <w:color w:val="auto"/>
        </w:rPr>
        <w:t>4</w:t>
      </w:r>
      <w:r>
        <w:rPr>
          <w:color w:val="auto"/>
        </w:rPr>
        <w:fldChar w:fldCharType="end"/>
      </w:r>
      <w:r>
        <w:rPr>
          <w:color w:val="auto"/>
        </w:rPr>
        <w:t>。</w:t>
      </w:r>
    </w:p>
    <w:p w14:paraId="62FE8B0C">
      <w:pPr>
        <w:pStyle w:val="22"/>
        <w:spacing w:before="156"/>
        <w:rPr>
          <w:rFonts w:hAnsi="宋体" w:cs="Times New Roman"/>
          <w:color w:val="auto"/>
        </w:rPr>
      </w:pPr>
      <w:bookmarkStart w:id="395" w:name="_Ref211957784"/>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bookmarkEnd w:id="395"/>
      <w:r>
        <w:rPr>
          <w:color w:val="auto"/>
        </w:rPr>
        <w:t>拉油点储罐加热炉烟气估算模式计算结果</w:t>
      </w:r>
    </w:p>
    <w:tbl>
      <w:tblPr>
        <w:tblStyle w:val="81"/>
        <w:tblW w:w="5000" w:type="pct"/>
        <w:tblInd w:w="0" w:type="dxa"/>
        <w:tblLayout w:type="autofit"/>
        <w:tblCellMar>
          <w:top w:w="0" w:type="dxa"/>
          <w:left w:w="108" w:type="dxa"/>
          <w:bottom w:w="0" w:type="dxa"/>
          <w:right w:w="108" w:type="dxa"/>
        </w:tblCellMar>
      </w:tblPr>
      <w:tblGrid>
        <w:gridCol w:w="548"/>
        <w:gridCol w:w="748"/>
        <w:gridCol w:w="616"/>
        <w:gridCol w:w="749"/>
        <w:gridCol w:w="616"/>
        <w:gridCol w:w="749"/>
        <w:gridCol w:w="616"/>
        <w:gridCol w:w="549"/>
        <w:gridCol w:w="749"/>
        <w:gridCol w:w="616"/>
        <w:gridCol w:w="749"/>
        <w:gridCol w:w="616"/>
        <w:gridCol w:w="749"/>
        <w:gridCol w:w="616"/>
      </w:tblGrid>
      <w:tr w14:paraId="361167AD">
        <w:tblPrEx>
          <w:tblCellMar>
            <w:top w:w="0" w:type="dxa"/>
            <w:left w:w="108" w:type="dxa"/>
            <w:bottom w:w="0" w:type="dxa"/>
            <w:right w:w="108" w:type="dxa"/>
          </w:tblCellMar>
        </w:tblPrEx>
        <w:trPr>
          <w:trHeight w:val="285" w:hRule="atLeast"/>
        </w:trPr>
        <w:tc>
          <w:tcPr>
            <w:tcW w:w="33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A292F0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下风向距离</w:t>
            </w:r>
          </w:p>
        </w:tc>
        <w:tc>
          <w:tcPr>
            <w:tcW w:w="2168" w:type="pct"/>
            <w:gridSpan w:val="6"/>
            <w:tcBorders>
              <w:top w:val="single" w:color="000000" w:sz="8" w:space="0"/>
              <w:left w:val="single" w:color="000000" w:sz="8" w:space="0"/>
              <w:bottom w:val="single" w:color="000000" w:sz="8" w:space="0"/>
              <w:right w:val="single" w:color="000000" w:sz="8" w:space="0"/>
            </w:tcBorders>
            <w:shd w:val="clear" w:color="auto" w:fill="auto"/>
            <w:vAlign w:val="center"/>
          </w:tcPr>
          <w:p w14:paraId="78FD764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1号加热炉</w:t>
            </w:r>
          </w:p>
        </w:tc>
        <w:tc>
          <w:tcPr>
            <w:tcW w:w="33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EAE989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下风向距离</w:t>
            </w:r>
          </w:p>
        </w:tc>
        <w:tc>
          <w:tcPr>
            <w:tcW w:w="2168" w:type="pct"/>
            <w:gridSpan w:val="6"/>
            <w:tcBorders>
              <w:top w:val="single" w:color="000000" w:sz="8" w:space="0"/>
              <w:left w:val="single" w:color="000000" w:sz="8" w:space="0"/>
              <w:bottom w:val="single" w:color="000000" w:sz="8" w:space="0"/>
              <w:right w:val="single" w:color="000000" w:sz="8" w:space="0"/>
            </w:tcBorders>
            <w:shd w:val="clear" w:color="auto" w:fill="auto"/>
            <w:vAlign w:val="center"/>
          </w:tcPr>
          <w:p w14:paraId="7B20D82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2号加热炉</w:t>
            </w:r>
          </w:p>
        </w:tc>
      </w:tr>
      <w:tr w14:paraId="128529D7">
        <w:tblPrEx>
          <w:tblCellMar>
            <w:top w:w="0" w:type="dxa"/>
            <w:left w:w="108" w:type="dxa"/>
            <w:bottom w:w="0" w:type="dxa"/>
            <w:right w:w="108" w:type="dxa"/>
          </w:tblCellMar>
        </w:tblPrEx>
        <w:trPr>
          <w:trHeight w:val="555" w:hRule="atLeast"/>
        </w:trPr>
        <w:tc>
          <w:tcPr>
            <w:tcW w:w="33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4C3161D">
            <w:pPr>
              <w:jc w:val="center"/>
              <w:rPr>
                <w:rFonts w:ascii="宋体" w:hAnsi="宋体" w:eastAsia="宋体" w:cs="Times New Roman"/>
                <w:color w:val="auto"/>
                <w:sz w:val="18"/>
                <w:szCs w:val="18"/>
              </w:rPr>
            </w:pP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B342E3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PM</w:t>
            </w:r>
            <w:r>
              <w:rPr>
                <w:rFonts w:ascii="宋体" w:hAnsi="宋体" w:eastAsia="宋体" w:cs="Times New Roman"/>
                <w:color w:val="auto"/>
                <w:sz w:val="18"/>
                <w:szCs w:val="18"/>
                <w:vertAlign w:val="subscript"/>
                <w:lang w:bidi="ar"/>
              </w:rPr>
              <w:t>10</w:t>
            </w:r>
            <w:r>
              <w:rPr>
                <w:rFonts w:ascii="宋体" w:hAnsi="宋体" w:eastAsia="宋体" w:cs="Times New Roman"/>
                <w:color w:val="auto"/>
                <w:sz w:val="18"/>
                <w:szCs w:val="18"/>
                <w:lang w:bidi="ar"/>
              </w:rPr>
              <w:t>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BDD484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PM</w:t>
            </w:r>
            <w:r>
              <w:rPr>
                <w:rFonts w:ascii="宋体" w:hAnsi="宋体" w:eastAsia="宋体" w:cs="Times New Roman"/>
                <w:color w:val="auto"/>
                <w:sz w:val="18"/>
                <w:szCs w:val="18"/>
                <w:vertAlign w:val="subscript"/>
                <w:lang w:bidi="ar"/>
              </w:rPr>
              <w:t>10</w:t>
            </w:r>
            <w:r>
              <w:rPr>
                <w:rFonts w:ascii="宋体" w:hAnsi="宋体" w:eastAsia="宋体" w:cs="Times New Roman"/>
                <w:color w:val="auto"/>
                <w:sz w:val="18"/>
                <w:szCs w:val="18"/>
                <w:lang w:bidi="ar"/>
              </w:rPr>
              <w:t>占标率(%)</w:t>
            </w:r>
          </w:p>
        </w:tc>
        <w:tc>
          <w:tcPr>
            <w:tcW w:w="3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2B696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NOx浓度(μg/m³)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378179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NOx占标率(%)</w:t>
            </w:r>
          </w:p>
        </w:tc>
        <w:tc>
          <w:tcPr>
            <w:tcW w:w="3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2E077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SO</w:t>
            </w:r>
            <w:r>
              <w:rPr>
                <w:rFonts w:ascii="宋体" w:hAnsi="宋体" w:eastAsia="宋体" w:cs="Times New Roman"/>
                <w:color w:val="auto"/>
                <w:sz w:val="18"/>
                <w:szCs w:val="18"/>
                <w:vertAlign w:val="subscript"/>
                <w:lang w:bidi="ar"/>
              </w:rPr>
              <w:t>2</w:t>
            </w:r>
            <w:r>
              <w:rPr>
                <w:rFonts w:ascii="宋体" w:hAnsi="宋体" w:eastAsia="宋体" w:cs="Times New Roman"/>
                <w:color w:val="auto"/>
                <w:sz w:val="18"/>
                <w:szCs w:val="18"/>
                <w:lang w:bidi="ar"/>
              </w:rPr>
              <w:t>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E0897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SO</w:t>
            </w:r>
            <w:r>
              <w:rPr>
                <w:rFonts w:ascii="宋体" w:hAnsi="宋体" w:eastAsia="宋体" w:cs="Times New Roman"/>
                <w:color w:val="auto"/>
                <w:sz w:val="18"/>
                <w:szCs w:val="18"/>
                <w:vertAlign w:val="subscript"/>
                <w:lang w:bidi="ar"/>
              </w:rPr>
              <w:t>2</w:t>
            </w:r>
            <w:r>
              <w:rPr>
                <w:rFonts w:ascii="宋体" w:hAnsi="宋体" w:eastAsia="宋体" w:cs="Times New Roman"/>
                <w:color w:val="auto"/>
                <w:sz w:val="18"/>
                <w:szCs w:val="18"/>
                <w:lang w:bidi="ar"/>
              </w:rPr>
              <w:t>占标率(%)</w:t>
            </w:r>
          </w:p>
        </w:tc>
        <w:tc>
          <w:tcPr>
            <w:tcW w:w="33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A066709">
            <w:pPr>
              <w:jc w:val="center"/>
              <w:rPr>
                <w:rFonts w:ascii="宋体" w:hAnsi="宋体" w:eastAsia="宋体" w:cs="Times New Roman"/>
                <w:color w:val="auto"/>
                <w:sz w:val="18"/>
                <w:szCs w:val="18"/>
              </w:rPr>
            </w:pP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2AB7EB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PM</w:t>
            </w:r>
            <w:r>
              <w:rPr>
                <w:rFonts w:ascii="宋体" w:hAnsi="宋体" w:eastAsia="宋体" w:cs="Times New Roman"/>
                <w:color w:val="auto"/>
                <w:sz w:val="18"/>
                <w:szCs w:val="18"/>
                <w:vertAlign w:val="subscript"/>
                <w:lang w:bidi="ar"/>
              </w:rPr>
              <w:t>10</w:t>
            </w:r>
            <w:r>
              <w:rPr>
                <w:rFonts w:ascii="宋体" w:hAnsi="宋体" w:eastAsia="宋体" w:cs="Times New Roman"/>
                <w:color w:val="auto"/>
                <w:sz w:val="18"/>
                <w:szCs w:val="18"/>
                <w:lang w:bidi="ar"/>
              </w:rPr>
              <w:t>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829000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PM</w:t>
            </w:r>
            <w:r>
              <w:rPr>
                <w:rFonts w:ascii="宋体" w:hAnsi="宋体" w:eastAsia="宋体" w:cs="Times New Roman"/>
                <w:color w:val="auto"/>
                <w:sz w:val="18"/>
                <w:szCs w:val="18"/>
                <w:vertAlign w:val="subscript"/>
                <w:lang w:bidi="ar"/>
              </w:rPr>
              <w:t>10</w:t>
            </w:r>
            <w:r>
              <w:rPr>
                <w:rFonts w:ascii="宋体" w:hAnsi="宋体" w:eastAsia="宋体" w:cs="Times New Roman"/>
                <w:color w:val="auto"/>
                <w:sz w:val="18"/>
                <w:szCs w:val="18"/>
                <w:lang w:bidi="ar"/>
              </w:rPr>
              <w:t>占标率(%)</w:t>
            </w:r>
          </w:p>
        </w:tc>
        <w:tc>
          <w:tcPr>
            <w:tcW w:w="3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F30CA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NOx浓度(μg/m³)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3A042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NOx占标率(%)</w:t>
            </w:r>
          </w:p>
        </w:tc>
        <w:tc>
          <w:tcPr>
            <w:tcW w:w="3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BF444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SO</w:t>
            </w:r>
            <w:r>
              <w:rPr>
                <w:rFonts w:ascii="宋体" w:hAnsi="宋体" w:eastAsia="宋体" w:cs="Times New Roman"/>
                <w:color w:val="auto"/>
                <w:sz w:val="18"/>
                <w:szCs w:val="18"/>
                <w:vertAlign w:val="subscript"/>
                <w:lang w:bidi="ar"/>
              </w:rPr>
              <w:t>2</w:t>
            </w:r>
            <w:r>
              <w:rPr>
                <w:rFonts w:ascii="宋体" w:hAnsi="宋体" w:eastAsia="宋体" w:cs="Times New Roman"/>
                <w:color w:val="auto"/>
                <w:sz w:val="18"/>
                <w:szCs w:val="18"/>
                <w:lang w:bidi="ar"/>
              </w:rPr>
              <w:t>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AAEE5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SO</w:t>
            </w:r>
            <w:r>
              <w:rPr>
                <w:rFonts w:ascii="宋体" w:hAnsi="宋体" w:eastAsia="宋体" w:cs="Times New Roman"/>
                <w:color w:val="auto"/>
                <w:sz w:val="18"/>
                <w:szCs w:val="18"/>
                <w:vertAlign w:val="subscript"/>
                <w:lang w:bidi="ar"/>
              </w:rPr>
              <w:t>2</w:t>
            </w:r>
            <w:r>
              <w:rPr>
                <w:rFonts w:ascii="宋体" w:hAnsi="宋体" w:eastAsia="宋体" w:cs="Times New Roman"/>
                <w:color w:val="auto"/>
                <w:sz w:val="18"/>
                <w:szCs w:val="18"/>
                <w:lang w:bidi="ar"/>
              </w:rPr>
              <w:t>占标率(%)</w:t>
            </w:r>
          </w:p>
        </w:tc>
      </w:tr>
      <w:tr w14:paraId="796D8EE6">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19A2C81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4E3E46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5BE953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B6F4F9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0.224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84D7AA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0.0896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F66F2A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0.0939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B78652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0.0188</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14CDA3F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018454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E2662A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1A35A7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0.2239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2D1564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0.0896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3E6ADB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0.0939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3A4195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0.0188</w:t>
            </w:r>
          </w:p>
        </w:tc>
      </w:tr>
      <w:tr w14:paraId="02D8CBAF">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7B0FFB7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F2F3CC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0.0652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23B86D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0AFE8A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0.2246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77E0C2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0.0898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9A48C0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0.0942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89C005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0.0188</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13C50A3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926350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0.0653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9CC2A5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881810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0.2248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B3EFA0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0.0899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A0B93C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0.0943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930DE9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0.0189</w:t>
            </w:r>
          </w:p>
        </w:tc>
      </w:tr>
      <w:tr w14:paraId="0526C762">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520AB73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0238D2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0.0401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EE9F4C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060E65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0.138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072651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0.0552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F9DCF8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0.0579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42EEDD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0.0116</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7766564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C09869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0.0401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47E092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23302D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0.138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A022B0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0.0552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03AB6A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0.0579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77D836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0.0116</w:t>
            </w:r>
          </w:p>
        </w:tc>
      </w:tr>
      <w:tr w14:paraId="368C803E">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3BBBC09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1600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CD806F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691299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9F4A41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0.0919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947453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0.0368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E383B4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0.0386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E47186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0.0077</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587F88F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1600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FB7823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0.0293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E0B612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59BFC7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0.1008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C30A05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0.0403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0841E4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0.0423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78A0FC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0.0085</w:t>
            </w:r>
          </w:p>
        </w:tc>
      </w:tr>
      <w:tr w14:paraId="71204B3D">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472090E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762F71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0.0641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AADB75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55EA4B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0.2206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AE12DB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0.0883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BA2776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0.0925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2CC7D2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0.0185</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19EABC1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D3F175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0.0211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86F8C5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A68E69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0.0727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562ECA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0.0291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F1E56B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0.0305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9F1178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0.0061</w:t>
            </w:r>
          </w:p>
        </w:tc>
      </w:tr>
      <w:tr w14:paraId="7BF61664">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7EF3620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A03FAD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5BBA7C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B217A8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0.0637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E666E1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0.0255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A99B16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538C3C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0.0053</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5DBB2B3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076B8B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0.0166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5996AD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9A3DD6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0.0573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E72379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0.0229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ECCC23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044016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0.0048</w:t>
            </w:r>
          </w:p>
        </w:tc>
      </w:tr>
      <w:tr w14:paraId="37E3638C">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2AC5FC0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3000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862829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0.0324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637CF5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61A0E3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0.1115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09FB35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0.0446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9AED66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364458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0.0093</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58CBF52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3000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389B4D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4EB486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144E53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B1A548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C28DDC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6D1562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0.0038</w:t>
            </w:r>
          </w:p>
        </w:tc>
      </w:tr>
      <w:tr w14:paraId="220CC271">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296EC6F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3500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9D44BD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06E944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D3C515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0.0409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E08A09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0.0164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C05921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0.0172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CC34F4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0.0034</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1BC45FF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3500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7A210D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F6D1C4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7E40DD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0.0409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2F3D6C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0.0164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F83A32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0.0172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816E99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0.0034</w:t>
            </w:r>
          </w:p>
        </w:tc>
      </w:tr>
      <w:tr w14:paraId="190129F2">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5E8C288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4000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1FB240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AA1CC6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C2A62A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11884F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4B1530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0.0155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1CA9A2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0.0031</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2488412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4000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A393CF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0E536A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46EC43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8695A9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CC6894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0.0155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78CA0C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0.0031</w:t>
            </w:r>
          </w:p>
        </w:tc>
      </w:tr>
      <w:tr w14:paraId="59967BC5">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5CB2E41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4500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5E5CCA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BEA062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BF9EE7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0.0339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E3D1F6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9EB38D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FEF87D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0.0028</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133A00E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4500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3410BD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170D96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1502BA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0.0339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BA6FE6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07AAEB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D8DF25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0.0028</w:t>
            </w:r>
          </w:p>
        </w:tc>
      </w:tr>
      <w:tr w14:paraId="3FC03536">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7D172D0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D28288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8A8D1E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F88C68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0.0318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D34494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0.0127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9EC4A1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8E4172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0.0027</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5158D3C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7C0BA3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7B438F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7FAB1B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0.0318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780FD6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0.0127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A86CB6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036575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0.0027</w:t>
            </w:r>
          </w:p>
        </w:tc>
      </w:tr>
      <w:tr w14:paraId="6031D1D9">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4BC6255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10000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B93893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603100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E8B376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DD9809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C26618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778D8A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0.0018</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321D541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10000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A30D2A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E0D01C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40A8F0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0.0264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41DE7E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A56FD2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63BD39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0.0022</w:t>
            </w:r>
          </w:p>
        </w:tc>
      </w:tr>
      <w:tr w14:paraId="2E2BC765">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724C6B4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11000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8BCE09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10080C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B594B9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0.0236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BB62FB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751132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C5879B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0941297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11000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3E0432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D7CD3E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8D95F1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0.0279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621D50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AF6B8C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61A689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0.0023</w:t>
            </w:r>
          </w:p>
        </w:tc>
      </w:tr>
      <w:tr w14:paraId="21FFB60E">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608D334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12000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3F5E10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AC5702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36D4A8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0.0252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2D0471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B447D3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D85BAB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0.0021</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2E580C3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12000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2D973C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B3A311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27A1CD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0.0248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1B2559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189DBF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0C789D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0.0021</w:t>
            </w:r>
          </w:p>
        </w:tc>
      </w:tr>
      <w:tr w14:paraId="04D758E0">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69F7F7D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13000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8ECA10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8EA737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55D7C7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0.0225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E7CDD4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743181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400C00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0.0019</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0BD41FC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13000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3D37DC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38CA0B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4FD940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0.0225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F23747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E385A2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2E7E20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0.0019</w:t>
            </w:r>
          </w:p>
        </w:tc>
      </w:tr>
      <w:tr w14:paraId="61050149">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5479488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14000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BE0B4B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680CCF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6449B7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0.0211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10DF03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EC6283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30231A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0.0018</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4636D15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14000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00AE1D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C877F2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526BB6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0.0209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9F091D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D18F30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13107C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0.0018</w:t>
            </w:r>
          </w:p>
        </w:tc>
      </w:tr>
      <w:tr w14:paraId="077D45A4">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180F481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D4DED9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1A0225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751C90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0.0194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799190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7632B4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280A3B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0.0016</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0C15FB8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25E2AA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1980C2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11653A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0.0175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094560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5B5505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7D8E95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0.0015</w:t>
            </w:r>
          </w:p>
        </w:tc>
      </w:tr>
      <w:tr w14:paraId="315237E0">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6BE5688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20000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AE8464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BDE05F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F97903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484BD1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356E1C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720D25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0.0012</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5131D97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20000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06FF11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17FB5F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B73FB8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B853D9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19891B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51AD46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0.0012</w:t>
            </w:r>
          </w:p>
        </w:tc>
      </w:tr>
      <w:tr w14:paraId="087FF179">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3A364D6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044A87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4FF7F3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8C17F9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2476B8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8F557C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734AA6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0.0009</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4A795A9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C94499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FD7E25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812540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22E947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0037A9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082E46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0.0009</w:t>
            </w:r>
          </w:p>
        </w:tc>
      </w:tr>
      <w:tr w14:paraId="7C3BF010">
        <w:tblPrEx>
          <w:tblCellMar>
            <w:top w:w="0" w:type="dxa"/>
            <w:left w:w="108" w:type="dxa"/>
            <w:bottom w:w="0" w:type="dxa"/>
            <w:right w:w="108" w:type="dxa"/>
          </w:tblCellMar>
        </w:tblPrEx>
        <w:trPr>
          <w:trHeight w:val="55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2F5F641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下风向最大浓度</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98F4B2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0.0689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942E2A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0.0153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5FCC44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0.2374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D03B64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0.0949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275C39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0.0995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ADDA8A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0.0199</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249D353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下风向最大浓度</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E0E6DB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0.0689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A9317C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0.0153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80456D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0.2374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984EB6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0.0949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B485C3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0.0995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207470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0.0199</w:t>
            </w:r>
          </w:p>
        </w:tc>
      </w:tr>
      <w:tr w14:paraId="19DD33A7">
        <w:tblPrEx>
          <w:tblCellMar>
            <w:top w:w="0" w:type="dxa"/>
            <w:left w:w="108" w:type="dxa"/>
            <w:bottom w:w="0" w:type="dxa"/>
            <w:right w:w="108" w:type="dxa"/>
          </w:tblCellMar>
        </w:tblPrEx>
        <w:trPr>
          <w:trHeight w:val="82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22759BF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下风向最大浓度出现距离</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4EBFF1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CA4B71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611DD7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66A7A8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DEB1B0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F79C0A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3CE0951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下风向最大浓度出现距离</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EC5808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9E1AD9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1CC4F5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60BC6B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CD44BA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7671D5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r>
      <w:tr w14:paraId="0E730D35">
        <w:tblPrEx>
          <w:tblCellMar>
            <w:top w:w="0" w:type="dxa"/>
            <w:left w:w="108" w:type="dxa"/>
            <w:bottom w:w="0" w:type="dxa"/>
            <w:right w:w="108" w:type="dxa"/>
          </w:tblCellMar>
        </w:tblPrEx>
        <w:trPr>
          <w:trHeight w:val="55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5613451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D10%最远距离</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C4F534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A39F02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BBE041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3AEF77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A584A4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8273D0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645DBD5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D10%最远距离</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B3687F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60B70F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FF88F6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DA2A27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33F514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F1CC9B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r>
      <w:tr w14:paraId="63CFA0DE">
        <w:tblPrEx>
          <w:tblCellMar>
            <w:top w:w="0" w:type="dxa"/>
            <w:left w:w="108" w:type="dxa"/>
            <w:bottom w:w="0" w:type="dxa"/>
            <w:right w:w="108" w:type="dxa"/>
          </w:tblCellMar>
        </w:tblPrEx>
        <w:trPr>
          <w:trHeight w:val="285" w:hRule="atLeast"/>
        </w:trPr>
        <w:tc>
          <w:tcPr>
            <w:tcW w:w="33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ECE65D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下风向距离</w:t>
            </w:r>
          </w:p>
        </w:tc>
        <w:tc>
          <w:tcPr>
            <w:tcW w:w="2168" w:type="pct"/>
            <w:gridSpan w:val="6"/>
            <w:tcBorders>
              <w:top w:val="single" w:color="000000" w:sz="8" w:space="0"/>
              <w:left w:val="single" w:color="000000" w:sz="8" w:space="0"/>
              <w:bottom w:val="single" w:color="000000" w:sz="8" w:space="0"/>
              <w:right w:val="single" w:color="000000" w:sz="8" w:space="0"/>
            </w:tcBorders>
            <w:shd w:val="clear" w:color="auto" w:fill="auto"/>
            <w:vAlign w:val="center"/>
          </w:tcPr>
          <w:p w14:paraId="7F2512A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3号加热炉</w:t>
            </w:r>
          </w:p>
        </w:tc>
        <w:tc>
          <w:tcPr>
            <w:tcW w:w="33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C48E00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下风向距离</w:t>
            </w:r>
          </w:p>
        </w:tc>
        <w:tc>
          <w:tcPr>
            <w:tcW w:w="2168" w:type="pct"/>
            <w:gridSpan w:val="6"/>
            <w:tcBorders>
              <w:top w:val="single" w:color="000000" w:sz="8" w:space="0"/>
              <w:left w:val="single" w:color="000000" w:sz="8" w:space="0"/>
              <w:bottom w:val="single" w:color="000000" w:sz="8" w:space="0"/>
              <w:right w:val="single" w:color="000000" w:sz="8" w:space="0"/>
            </w:tcBorders>
            <w:shd w:val="clear" w:color="auto" w:fill="auto"/>
            <w:vAlign w:val="center"/>
          </w:tcPr>
          <w:p w14:paraId="22C7BDF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4号加热炉</w:t>
            </w:r>
          </w:p>
        </w:tc>
      </w:tr>
      <w:tr w14:paraId="541C1290">
        <w:tblPrEx>
          <w:tblCellMar>
            <w:top w:w="0" w:type="dxa"/>
            <w:left w:w="108" w:type="dxa"/>
            <w:bottom w:w="0" w:type="dxa"/>
            <w:right w:w="108" w:type="dxa"/>
          </w:tblCellMar>
        </w:tblPrEx>
        <w:trPr>
          <w:trHeight w:val="555" w:hRule="atLeast"/>
        </w:trPr>
        <w:tc>
          <w:tcPr>
            <w:tcW w:w="33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F5B5352">
            <w:pPr>
              <w:jc w:val="center"/>
              <w:rPr>
                <w:rFonts w:ascii="宋体" w:hAnsi="宋体" w:eastAsia="宋体" w:cs="Times New Roman"/>
                <w:color w:val="auto"/>
                <w:sz w:val="18"/>
                <w:szCs w:val="18"/>
              </w:rPr>
            </w:pP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D982F2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PM</w:t>
            </w:r>
            <w:r>
              <w:rPr>
                <w:rFonts w:ascii="宋体" w:hAnsi="宋体" w:eastAsia="宋体" w:cs="Times New Roman"/>
                <w:color w:val="auto"/>
                <w:sz w:val="18"/>
                <w:szCs w:val="18"/>
                <w:vertAlign w:val="subscript"/>
                <w:lang w:bidi="ar"/>
              </w:rPr>
              <w:t>10</w:t>
            </w:r>
            <w:r>
              <w:rPr>
                <w:rFonts w:ascii="宋体" w:hAnsi="宋体" w:eastAsia="宋体" w:cs="Times New Roman"/>
                <w:color w:val="auto"/>
                <w:sz w:val="18"/>
                <w:szCs w:val="18"/>
                <w:lang w:bidi="ar"/>
              </w:rPr>
              <w:t>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54E3A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PM</w:t>
            </w:r>
            <w:r>
              <w:rPr>
                <w:rFonts w:ascii="宋体" w:hAnsi="宋体" w:eastAsia="宋体" w:cs="Times New Roman"/>
                <w:color w:val="auto"/>
                <w:sz w:val="18"/>
                <w:szCs w:val="18"/>
                <w:vertAlign w:val="subscript"/>
                <w:lang w:bidi="ar"/>
              </w:rPr>
              <w:t>10</w:t>
            </w:r>
            <w:r>
              <w:rPr>
                <w:rFonts w:ascii="宋体" w:hAnsi="宋体" w:eastAsia="宋体" w:cs="Times New Roman"/>
                <w:color w:val="auto"/>
                <w:sz w:val="18"/>
                <w:szCs w:val="18"/>
                <w:lang w:bidi="ar"/>
              </w:rPr>
              <w:t>占标率(%)</w:t>
            </w:r>
          </w:p>
        </w:tc>
        <w:tc>
          <w:tcPr>
            <w:tcW w:w="3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AD346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NOx浓度(μg/m³)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C07E5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NOx占标率(%)</w:t>
            </w:r>
          </w:p>
        </w:tc>
        <w:tc>
          <w:tcPr>
            <w:tcW w:w="3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BB42C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SO</w:t>
            </w:r>
            <w:r>
              <w:rPr>
                <w:rFonts w:ascii="宋体" w:hAnsi="宋体" w:eastAsia="宋体" w:cs="Times New Roman"/>
                <w:color w:val="auto"/>
                <w:sz w:val="18"/>
                <w:szCs w:val="18"/>
                <w:vertAlign w:val="subscript"/>
                <w:lang w:bidi="ar"/>
              </w:rPr>
              <w:t>2</w:t>
            </w:r>
            <w:r>
              <w:rPr>
                <w:rFonts w:ascii="宋体" w:hAnsi="宋体" w:eastAsia="宋体" w:cs="Times New Roman"/>
                <w:color w:val="auto"/>
                <w:sz w:val="18"/>
                <w:szCs w:val="18"/>
                <w:lang w:bidi="ar"/>
              </w:rPr>
              <w:t>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FE3D5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SO</w:t>
            </w:r>
            <w:r>
              <w:rPr>
                <w:rFonts w:ascii="宋体" w:hAnsi="宋体" w:eastAsia="宋体" w:cs="Times New Roman"/>
                <w:color w:val="auto"/>
                <w:sz w:val="18"/>
                <w:szCs w:val="18"/>
                <w:vertAlign w:val="subscript"/>
                <w:lang w:bidi="ar"/>
              </w:rPr>
              <w:t>2</w:t>
            </w:r>
            <w:r>
              <w:rPr>
                <w:rFonts w:ascii="宋体" w:hAnsi="宋体" w:eastAsia="宋体" w:cs="Times New Roman"/>
                <w:color w:val="auto"/>
                <w:sz w:val="18"/>
                <w:szCs w:val="18"/>
                <w:lang w:bidi="ar"/>
              </w:rPr>
              <w:t>占标率(%)</w:t>
            </w:r>
          </w:p>
        </w:tc>
        <w:tc>
          <w:tcPr>
            <w:tcW w:w="33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983F30C">
            <w:pPr>
              <w:jc w:val="center"/>
              <w:rPr>
                <w:rFonts w:ascii="宋体" w:hAnsi="宋体" w:eastAsia="宋体" w:cs="Times New Roman"/>
                <w:color w:val="auto"/>
                <w:sz w:val="18"/>
                <w:szCs w:val="18"/>
              </w:rPr>
            </w:pP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60FCEE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PM</w:t>
            </w:r>
            <w:r>
              <w:rPr>
                <w:rFonts w:ascii="宋体" w:hAnsi="宋体" w:eastAsia="宋体" w:cs="Times New Roman"/>
                <w:color w:val="auto"/>
                <w:sz w:val="18"/>
                <w:szCs w:val="18"/>
                <w:vertAlign w:val="subscript"/>
                <w:lang w:bidi="ar"/>
              </w:rPr>
              <w:t>10</w:t>
            </w:r>
            <w:r>
              <w:rPr>
                <w:rFonts w:ascii="宋体" w:hAnsi="宋体" w:eastAsia="宋体" w:cs="Times New Roman"/>
                <w:color w:val="auto"/>
                <w:sz w:val="18"/>
                <w:szCs w:val="18"/>
                <w:lang w:bidi="ar"/>
              </w:rPr>
              <w:t>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82437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PM</w:t>
            </w:r>
            <w:r>
              <w:rPr>
                <w:rFonts w:ascii="宋体" w:hAnsi="宋体" w:eastAsia="宋体" w:cs="Times New Roman"/>
                <w:color w:val="auto"/>
                <w:sz w:val="18"/>
                <w:szCs w:val="18"/>
                <w:vertAlign w:val="subscript"/>
                <w:lang w:bidi="ar"/>
              </w:rPr>
              <w:t>10</w:t>
            </w:r>
            <w:r>
              <w:rPr>
                <w:rFonts w:ascii="宋体" w:hAnsi="宋体" w:eastAsia="宋体" w:cs="Times New Roman"/>
                <w:color w:val="auto"/>
                <w:sz w:val="18"/>
                <w:szCs w:val="18"/>
                <w:lang w:bidi="ar"/>
              </w:rPr>
              <w:t>占标率(%)</w:t>
            </w:r>
          </w:p>
        </w:tc>
        <w:tc>
          <w:tcPr>
            <w:tcW w:w="3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62553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NOx浓度(μg/m³)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6CE36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NOx占标率(%)</w:t>
            </w:r>
          </w:p>
        </w:tc>
        <w:tc>
          <w:tcPr>
            <w:tcW w:w="3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5D6D0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SO</w:t>
            </w:r>
            <w:r>
              <w:rPr>
                <w:rFonts w:ascii="宋体" w:hAnsi="宋体" w:eastAsia="宋体" w:cs="Times New Roman"/>
                <w:color w:val="auto"/>
                <w:sz w:val="18"/>
                <w:szCs w:val="18"/>
                <w:vertAlign w:val="subscript"/>
                <w:lang w:bidi="ar"/>
              </w:rPr>
              <w:t>2</w:t>
            </w:r>
            <w:r>
              <w:rPr>
                <w:rFonts w:ascii="宋体" w:hAnsi="宋体" w:eastAsia="宋体" w:cs="Times New Roman"/>
                <w:color w:val="auto"/>
                <w:sz w:val="18"/>
                <w:szCs w:val="18"/>
                <w:lang w:bidi="ar"/>
              </w:rPr>
              <w:t>浓度(μg/m³)</w:t>
            </w:r>
          </w:p>
        </w:tc>
        <w:tc>
          <w:tcPr>
            <w:tcW w:w="34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2D0B6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SO</w:t>
            </w:r>
            <w:r>
              <w:rPr>
                <w:rFonts w:ascii="宋体" w:hAnsi="宋体" w:eastAsia="宋体" w:cs="Times New Roman"/>
                <w:color w:val="auto"/>
                <w:sz w:val="18"/>
                <w:szCs w:val="18"/>
                <w:vertAlign w:val="subscript"/>
                <w:lang w:bidi="ar"/>
              </w:rPr>
              <w:t>2</w:t>
            </w:r>
            <w:r>
              <w:rPr>
                <w:rFonts w:ascii="宋体" w:hAnsi="宋体" w:eastAsia="宋体" w:cs="Times New Roman"/>
                <w:color w:val="auto"/>
                <w:sz w:val="18"/>
                <w:szCs w:val="18"/>
                <w:lang w:bidi="ar"/>
              </w:rPr>
              <w:t>占标率(%)</w:t>
            </w:r>
          </w:p>
        </w:tc>
      </w:tr>
      <w:tr w14:paraId="41858343">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5401007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57BD37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0.0438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A6D185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64C52D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0.1458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913F97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0.0583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E5757B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0.0656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7CD453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0.0131</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68E48C1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2DE608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0.0853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829507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401AF8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0.2757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FB7283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0.1103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08E373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0.1182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AE9419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0.0236</w:t>
            </w:r>
          </w:p>
        </w:tc>
      </w:tr>
      <w:tr w14:paraId="3F2F5064">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3A09798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888283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0.0435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A7C206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6F3AF0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0.1449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D8EDF2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D1306A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0.0652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DF2EC5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0B619DE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AF24CC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0.0835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C7937A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159D49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0.2697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E3CAE1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0.1079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8EFAC6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0.1156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DB4E12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0.0231</w:t>
            </w:r>
          </w:p>
        </w:tc>
      </w:tr>
      <w:tr w14:paraId="67D885D9">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152BEC6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118668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023589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709534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0.0891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BCC586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0.0356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969500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0.0401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830BF4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7126648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8EC4EA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0.0555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C938B4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0.0123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3531EB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0.1792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6CE89A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0.0717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C84B65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0.0768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A53470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0.0154</w:t>
            </w:r>
          </w:p>
        </w:tc>
      </w:tr>
      <w:tr w14:paraId="562CF0D0">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7893B98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6429A1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0.0171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41E10A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071247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F90CE9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0.0228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153074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0.0256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94BB32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0.0051</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78255A2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C015D3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0.0341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B62045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A4D2CA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0.1101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DB72BE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71D2FD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0.0472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5C01D3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0.0094</w:t>
            </w:r>
          </w:p>
        </w:tc>
      </w:tr>
      <w:tr w14:paraId="3ECDE7A1">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151F39C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1600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9F73A9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C8F836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8B0EA6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0.0442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61C243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0.0177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0A531E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0.0199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C79784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6B07856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1600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A95527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0.0273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D89E39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DEE014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0.0881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EB5168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0.0352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42E294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0.0378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9F2B31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0.0076</w:t>
            </w:r>
          </w:p>
        </w:tc>
      </w:tr>
      <w:tr w14:paraId="6D4E6E99">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7C3BD6A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EA6328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8ED8D6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C56AE3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0.0384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46743B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0.0153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89E5A9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0.0173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E061DC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0.0035</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2BB1741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1BEBE6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0.0234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D9AD2B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792FF9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0.0756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D640B6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0.0302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216A6E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0.0324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A0D5A4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0.0065</w:t>
            </w:r>
          </w:p>
        </w:tc>
      </w:tr>
      <w:tr w14:paraId="499B37C5">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74F5E4F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85E65B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87048E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6A9038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0.0336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CF954F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43C87E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0.0151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136876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63F5562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5F6166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0.0209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CC6C5F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0A545F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0.0674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F79AEC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A33F6C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0.0289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68EA6A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0.0058</w:t>
            </w:r>
          </w:p>
        </w:tc>
      </w:tr>
      <w:tr w14:paraId="55CCE2F8">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62B74CC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3000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D08F0F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B12086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DDA3AB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0.0291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80BD87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97B765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076C04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0.0026</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06BBBFF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3000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BBF00A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987DAE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BE6D06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0.0585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0D4CCA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0.0234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EBB7A4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0.0251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94EF9A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w:t>
            </w:r>
          </w:p>
        </w:tc>
      </w:tr>
      <w:tr w14:paraId="42B7BCA3">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302C39B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3500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BAF9B8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AEDF5F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601C47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0.0264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CDC05B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FD4258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8B19DF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0.0024</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7105DD5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3500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909B09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0.0162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3C97F0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41B236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0.0522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029396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0.0209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88BCCF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0.0224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64290C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0.0045</w:t>
            </w:r>
          </w:p>
        </w:tc>
      </w:tr>
      <w:tr w14:paraId="5229E4D7">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1DCC9D7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4000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DC1DFC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1B2D7A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508970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0.0236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597EF6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0C8B4F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ED31A1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0.0021</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739C73D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4000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415E1A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67DB4C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F8D279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534718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7F4C96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4E00B9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w:t>
            </w:r>
          </w:p>
        </w:tc>
      </w:tr>
      <w:tr w14:paraId="3F4B2732">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2C3CFA7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4500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A61E32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85417E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D26A0E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0.0218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DF6EA6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48A2A6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389C73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57ABCD3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4500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4EB863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A89261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A8794C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0.0437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E636E4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0.0175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789BD4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0.0187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A2E5A4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0.0037</w:t>
            </w:r>
          </w:p>
        </w:tc>
      </w:tr>
      <w:tr w14:paraId="09393BC9">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412B803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CE333D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347D7B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62AFB1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0.0205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9F088E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BC22D4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34F478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0.0018</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73778D9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C8080C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0.0125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8D9035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8632C6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0.0404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FAA493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0.0162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2C6F9B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0.0173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6662F8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0.0035</w:t>
            </w:r>
          </w:p>
        </w:tc>
      </w:tr>
      <w:tr w14:paraId="54D2DD4F">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73B7524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10000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ADC59D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26F643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665A83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4F426D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582070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8546EF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0.0012</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3A32926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10000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127B05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AA3FC0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00861E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0.0263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CA087B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583B60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8EADAA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0.0023</w:t>
            </w:r>
          </w:p>
        </w:tc>
      </w:tr>
      <w:tr w14:paraId="4418F932">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3880F2B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11000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5EC609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841B82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C4368D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0.0125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119FFC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D76894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77D38A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0.0011</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79F3C3B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11000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7A8749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48E6DC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716FEE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83CDA6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194558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2A1CBE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0.0021</w:t>
            </w:r>
          </w:p>
        </w:tc>
      </w:tr>
      <w:tr w14:paraId="39154519">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0D1CD2B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12000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5CBE73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A71AF5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660D40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0.0158</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BB3038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0.0063</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D9C57D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1E1E91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0.0014</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42B7A3A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12000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A0DC2B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CF2BA4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6E1BFB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0.0313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D849B9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0.0125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352782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DD7564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0.0027</w:t>
            </w:r>
          </w:p>
        </w:tc>
      </w:tr>
      <w:tr w14:paraId="69A9F984">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0008941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13000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4271A0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B1ED4F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8DDCFD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07B547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663CEF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E07B81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0.0012</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092D31F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13000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5E2261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FDC595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35CF4D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0.0263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028BA0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575C97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2BE4D5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0.0023</w:t>
            </w:r>
          </w:p>
        </w:tc>
      </w:tr>
      <w:tr w14:paraId="0DD4D230">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38D620E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14000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9B949F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457288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EB990F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FFA2A3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0.0054</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B336B4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EA886F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0.0012</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124FC1A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14000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8C3DA9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0.0085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CA48C1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F9E6C8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0.0274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BB53BC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2C3DE0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0.0117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F2948A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0.0023</w:t>
            </w:r>
          </w:p>
        </w:tc>
      </w:tr>
      <w:tr w14:paraId="3FF97793">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389032A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EF4523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E02D32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D6AA04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0.0122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E94D22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E504CF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9A544D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0.0011</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144E02C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15000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FCC977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6DC1CB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546091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0.0241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AD8BB0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78C1AC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4EBAA8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0.0021</w:t>
            </w:r>
          </w:p>
        </w:tc>
      </w:tr>
      <w:tr w14:paraId="403D30B1">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606D124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20000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362F96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7067C1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ED38DD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4F56B3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161FE00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FE1157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0.0008</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59029D8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20000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46114B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B64627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522024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0.0177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4BDA36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A33535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E10A95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0.0015</w:t>
            </w:r>
          </w:p>
        </w:tc>
      </w:tr>
      <w:tr w14:paraId="77E215EE">
        <w:tblPrEx>
          <w:tblCellMar>
            <w:top w:w="0" w:type="dxa"/>
            <w:left w:w="108" w:type="dxa"/>
            <w:bottom w:w="0" w:type="dxa"/>
            <w:right w:w="108" w:type="dxa"/>
          </w:tblCellMar>
        </w:tblPrEx>
        <w:trPr>
          <w:trHeight w:val="28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0681D81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E4B790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0.0022</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06F658C">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0.0005</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C97A1C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0.0073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026E55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0.0029</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F398A3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0.0033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D78DFC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0.0007</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512E008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25000</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CD630A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0.0045</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70153DB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9ECDD5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0.0146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EF4EA7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0.0058</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4D39B3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0.0063</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4F576FA">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0.0013</w:t>
            </w:r>
          </w:p>
        </w:tc>
      </w:tr>
      <w:tr w14:paraId="4BBC8778">
        <w:tblPrEx>
          <w:tblCellMar>
            <w:top w:w="0" w:type="dxa"/>
            <w:left w:w="108" w:type="dxa"/>
            <w:bottom w:w="0" w:type="dxa"/>
            <w:right w:w="108" w:type="dxa"/>
          </w:tblCellMar>
        </w:tblPrEx>
        <w:trPr>
          <w:trHeight w:val="55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377045B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下风向最大浓度</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93074A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0.0459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2F7C9F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0.0102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770CC5E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0.1531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011045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0.0612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7E04AD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0.0689</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2A497D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0.0138</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1F60E1C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下风向最大浓度</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2C15EC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0.0884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F5D3AC7">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0.0196</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6A4B94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0.2856</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864186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0.1142</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30A0CAD">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0.1224</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395251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0.0245</w:t>
            </w:r>
          </w:p>
        </w:tc>
      </w:tr>
      <w:tr w14:paraId="7850BF78">
        <w:tblPrEx>
          <w:tblCellMar>
            <w:top w:w="0" w:type="dxa"/>
            <w:left w:w="108" w:type="dxa"/>
            <w:bottom w:w="0" w:type="dxa"/>
            <w:right w:w="108" w:type="dxa"/>
          </w:tblCellMar>
        </w:tblPrEx>
        <w:trPr>
          <w:trHeight w:val="82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1AA5F59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下风向最大浓度出现距离</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BCA6F8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0255C3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44EAF0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99D504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31C5D4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2331ED9">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67</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6E332B3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下风向最大浓度出现距离</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3C0CF82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71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897D13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71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3432DC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71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33F5D71">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71</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0F09C7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71</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9AEF743">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71</w:t>
            </w:r>
          </w:p>
        </w:tc>
      </w:tr>
      <w:tr w14:paraId="50895B86">
        <w:tblPrEx>
          <w:tblCellMar>
            <w:top w:w="0" w:type="dxa"/>
            <w:left w:w="108" w:type="dxa"/>
            <w:bottom w:w="0" w:type="dxa"/>
            <w:right w:w="108" w:type="dxa"/>
          </w:tblCellMar>
        </w:tblPrEx>
        <w:trPr>
          <w:trHeight w:val="555" w:hRule="atLeast"/>
        </w:trPr>
        <w:tc>
          <w:tcPr>
            <w:tcW w:w="332" w:type="pct"/>
            <w:tcBorders>
              <w:top w:val="nil"/>
              <w:left w:val="single" w:color="000000" w:sz="8" w:space="0"/>
              <w:bottom w:val="single" w:color="000000" w:sz="8" w:space="0"/>
              <w:right w:val="single" w:color="000000" w:sz="8" w:space="0"/>
            </w:tcBorders>
            <w:shd w:val="clear" w:color="auto" w:fill="auto"/>
            <w:vAlign w:val="center"/>
          </w:tcPr>
          <w:p w14:paraId="4CCE61A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D10%最远距离</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484C4F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4842EC4">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2E02C72F">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BA00F7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067E4DAE">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676D2F2">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32" w:type="pct"/>
            <w:tcBorders>
              <w:top w:val="nil"/>
              <w:left w:val="single" w:color="000000" w:sz="8" w:space="0"/>
              <w:bottom w:val="single" w:color="000000" w:sz="8" w:space="0"/>
              <w:right w:val="single" w:color="000000" w:sz="8" w:space="0"/>
            </w:tcBorders>
            <w:shd w:val="clear" w:color="auto" w:fill="auto"/>
            <w:vAlign w:val="center"/>
          </w:tcPr>
          <w:p w14:paraId="07875360">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D10%最远距离</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6D964BF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39ECFE26">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53DED34B">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265CB5C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74" w:type="pct"/>
            <w:tcBorders>
              <w:top w:val="nil"/>
              <w:left w:val="single" w:color="000000" w:sz="8" w:space="0"/>
              <w:bottom w:val="single" w:color="000000" w:sz="8" w:space="0"/>
              <w:right w:val="single" w:color="000000" w:sz="8" w:space="0"/>
            </w:tcBorders>
            <w:shd w:val="clear" w:color="auto" w:fill="auto"/>
            <w:vAlign w:val="center"/>
          </w:tcPr>
          <w:p w14:paraId="4DB61205">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c>
          <w:tcPr>
            <w:tcW w:w="349" w:type="pct"/>
            <w:tcBorders>
              <w:top w:val="nil"/>
              <w:left w:val="single" w:color="000000" w:sz="8" w:space="0"/>
              <w:bottom w:val="single" w:color="000000" w:sz="8" w:space="0"/>
              <w:right w:val="single" w:color="000000" w:sz="8" w:space="0"/>
            </w:tcBorders>
            <w:shd w:val="clear" w:color="auto" w:fill="auto"/>
            <w:vAlign w:val="center"/>
          </w:tcPr>
          <w:p w14:paraId="5CDE2048">
            <w:pPr>
              <w:jc w:val="center"/>
              <w:textAlignment w:val="center"/>
              <w:rPr>
                <w:rFonts w:ascii="宋体" w:hAnsi="宋体" w:eastAsia="宋体" w:cs="Times New Roman"/>
                <w:color w:val="auto"/>
                <w:sz w:val="18"/>
                <w:szCs w:val="18"/>
              </w:rPr>
            </w:pPr>
            <w:r>
              <w:rPr>
                <w:rFonts w:ascii="宋体" w:hAnsi="宋体" w:eastAsia="宋体" w:cs="Times New Roman"/>
                <w:color w:val="auto"/>
                <w:sz w:val="18"/>
                <w:szCs w:val="18"/>
                <w:lang w:bidi="ar"/>
              </w:rPr>
              <w:t>/</w:t>
            </w:r>
          </w:p>
        </w:tc>
      </w:tr>
    </w:tbl>
    <w:p w14:paraId="4088F6B3">
      <w:pPr>
        <w:pStyle w:val="22"/>
        <w:spacing w:before="156"/>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5</w:t>
      </w:r>
      <w:r>
        <w:rPr>
          <w:color w:val="auto"/>
        </w:rPr>
        <w:fldChar w:fldCharType="end"/>
      </w:r>
      <w:r>
        <w:rPr>
          <w:color w:val="auto"/>
        </w:rPr>
        <w:t>项目采油井场烃类气体估算模式计算结果</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1992"/>
        <w:gridCol w:w="1797"/>
        <w:gridCol w:w="1850"/>
        <w:gridCol w:w="1850"/>
      </w:tblGrid>
      <w:tr w14:paraId="7E1F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Merge w:val="restart"/>
            <w:vAlign w:val="center"/>
          </w:tcPr>
          <w:p w14:paraId="616D14C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下风向距离</w:t>
            </w:r>
          </w:p>
        </w:tc>
        <w:tc>
          <w:tcPr>
            <w:tcW w:w="3790" w:type="dxa"/>
            <w:gridSpan w:val="2"/>
            <w:vAlign w:val="center"/>
          </w:tcPr>
          <w:p w14:paraId="30C22740">
            <w:pPr>
              <w:adjustRightInd w:val="0"/>
              <w:snapToGrid w:val="0"/>
              <w:spacing w:line="360" w:lineRule="exact"/>
              <w:jc w:val="center"/>
              <w:rPr>
                <w:rFonts w:ascii="宋体" w:hAnsi="宋体" w:eastAsia="宋体" w:cs="Times New Roman"/>
                <w:color w:val="auto"/>
                <w:kern w:val="24"/>
              </w:rPr>
            </w:pPr>
            <w:r>
              <w:rPr>
                <w:rFonts w:hint="eastAsia" w:ascii="宋体" w:hAnsi="宋体" w:eastAsia="宋体" w:cs="Times New Roman"/>
                <w:color w:val="auto"/>
                <w:kern w:val="24"/>
              </w:rPr>
              <w:t>3</w:t>
            </w:r>
            <w:r>
              <w:rPr>
                <w:rFonts w:ascii="宋体" w:hAnsi="宋体" w:eastAsia="宋体" w:cs="Times New Roman"/>
                <w:color w:val="auto"/>
                <w:kern w:val="24"/>
              </w:rPr>
              <w:t>#平台井场</w:t>
            </w:r>
          </w:p>
        </w:tc>
        <w:tc>
          <w:tcPr>
            <w:tcW w:w="3700" w:type="dxa"/>
            <w:gridSpan w:val="2"/>
            <w:vAlign w:val="center"/>
          </w:tcPr>
          <w:p w14:paraId="236894C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源212-扶平4井场</w:t>
            </w:r>
          </w:p>
        </w:tc>
      </w:tr>
      <w:tr w14:paraId="0ED0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Merge w:val="continue"/>
            <w:vAlign w:val="center"/>
          </w:tcPr>
          <w:p w14:paraId="0F688CA7">
            <w:pPr>
              <w:adjustRightInd w:val="0"/>
              <w:snapToGrid w:val="0"/>
              <w:spacing w:line="360" w:lineRule="exact"/>
              <w:jc w:val="center"/>
              <w:rPr>
                <w:rFonts w:ascii="宋体" w:hAnsi="宋体" w:eastAsia="宋体" w:cs="Times New Roman"/>
                <w:color w:val="auto"/>
                <w:kern w:val="24"/>
              </w:rPr>
            </w:pPr>
          </w:p>
        </w:tc>
        <w:tc>
          <w:tcPr>
            <w:tcW w:w="1993" w:type="dxa"/>
            <w:vAlign w:val="center"/>
          </w:tcPr>
          <w:p w14:paraId="38E88C4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NMHC浓度(μg/m</w:t>
            </w:r>
            <w:r>
              <w:rPr>
                <w:rFonts w:ascii="宋体" w:hAnsi="宋体" w:eastAsia="宋体" w:cs="Times New Roman"/>
                <w:color w:val="auto"/>
                <w:kern w:val="24"/>
                <w:vertAlign w:val="superscript"/>
              </w:rPr>
              <w:t>3</w:t>
            </w:r>
            <w:r>
              <w:rPr>
                <w:rFonts w:ascii="宋体" w:hAnsi="宋体" w:eastAsia="宋体" w:cs="Times New Roman"/>
                <w:color w:val="auto"/>
                <w:kern w:val="24"/>
              </w:rPr>
              <w:t>)</w:t>
            </w:r>
          </w:p>
        </w:tc>
        <w:tc>
          <w:tcPr>
            <w:tcW w:w="1797" w:type="dxa"/>
            <w:vAlign w:val="center"/>
          </w:tcPr>
          <w:p w14:paraId="4C596C2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NMHC占标率(%)</w:t>
            </w:r>
          </w:p>
        </w:tc>
        <w:tc>
          <w:tcPr>
            <w:tcW w:w="1850" w:type="dxa"/>
            <w:vAlign w:val="center"/>
          </w:tcPr>
          <w:p w14:paraId="1D98275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NMHC浓度(μg/m</w:t>
            </w:r>
            <w:r>
              <w:rPr>
                <w:rFonts w:ascii="宋体" w:hAnsi="宋体" w:eastAsia="宋体" w:cs="Times New Roman"/>
                <w:color w:val="auto"/>
                <w:kern w:val="24"/>
                <w:vertAlign w:val="superscript"/>
              </w:rPr>
              <w:t>3</w:t>
            </w:r>
            <w:r>
              <w:rPr>
                <w:rFonts w:ascii="宋体" w:hAnsi="宋体" w:eastAsia="宋体" w:cs="Times New Roman"/>
                <w:color w:val="auto"/>
                <w:kern w:val="24"/>
              </w:rPr>
              <w:t>)</w:t>
            </w:r>
          </w:p>
        </w:tc>
        <w:tc>
          <w:tcPr>
            <w:tcW w:w="1850" w:type="dxa"/>
            <w:vAlign w:val="center"/>
          </w:tcPr>
          <w:p w14:paraId="712AB78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NMHC占标率(%)</w:t>
            </w:r>
          </w:p>
        </w:tc>
      </w:tr>
      <w:tr w14:paraId="2C0A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785DA1A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50.0</w:t>
            </w:r>
          </w:p>
        </w:tc>
        <w:tc>
          <w:tcPr>
            <w:tcW w:w="1993" w:type="dxa"/>
            <w:vAlign w:val="center"/>
          </w:tcPr>
          <w:p w14:paraId="3B108D5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1237.8000</w:t>
            </w:r>
          </w:p>
        </w:tc>
        <w:tc>
          <w:tcPr>
            <w:tcW w:w="1797" w:type="dxa"/>
            <w:vAlign w:val="center"/>
          </w:tcPr>
          <w:p w14:paraId="050B29A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61.8900</w:t>
            </w:r>
          </w:p>
        </w:tc>
        <w:tc>
          <w:tcPr>
            <w:tcW w:w="1850" w:type="dxa"/>
            <w:vAlign w:val="center"/>
          </w:tcPr>
          <w:p w14:paraId="1848FC5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695.4800</w:t>
            </w:r>
          </w:p>
        </w:tc>
        <w:tc>
          <w:tcPr>
            <w:tcW w:w="1850" w:type="dxa"/>
            <w:vAlign w:val="center"/>
          </w:tcPr>
          <w:p w14:paraId="4304D92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34.7740</w:t>
            </w:r>
          </w:p>
        </w:tc>
      </w:tr>
      <w:tr w14:paraId="54F1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3CAC76B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100.0</w:t>
            </w:r>
          </w:p>
        </w:tc>
        <w:tc>
          <w:tcPr>
            <w:tcW w:w="1993" w:type="dxa"/>
            <w:vAlign w:val="center"/>
          </w:tcPr>
          <w:p w14:paraId="3F53021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1032.2000</w:t>
            </w:r>
          </w:p>
        </w:tc>
        <w:tc>
          <w:tcPr>
            <w:tcW w:w="1797" w:type="dxa"/>
            <w:vAlign w:val="center"/>
          </w:tcPr>
          <w:p w14:paraId="6E838A8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51.6100</w:t>
            </w:r>
          </w:p>
        </w:tc>
        <w:tc>
          <w:tcPr>
            <w:tcW w:w="1850" w:type="dxa"/>
            <w:vAlign w:val="center"/>
          </w:tcPr>
          <w:p w14:paraId="4767933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560.7800</w:t>
            </w:r>
          </w:p>
        </w:tc>
        <w:tc>
          <w:tcPr>
            <w:tcW w:w="1850" w:type="dxa"/>
            <w:vAlign w:val="center"/>
          </w:tcPr>
          <w:p w14:paraId="6B87D48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28.0390</w:t>
            </w:r>
          </w:p>
        </w:tc>
      </w:tr>
      <w:tr w14:paraId="0609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4F2F5CD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200.0</w:t>
            </w:r>
          </w:p>
        </w:tc>
        <w:tc>
          <w:tcPr>
            <w:tcW w:w="1993" w:type="dxa"/>
            <w:vAlign w:val="center"/>
          </w:tcPr>
          <w:p w14:paraId="6708ED6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827.3000</w:t>
            </w:r>
          </w:p>
        </w:tc>
        <w:tc>
          <w:tcPr>
            <w:tcW w:w="1797" w:type="dxa"/>
            <w:vAlign w:val="center"/>
          </w:tcPr>
          <w:p w14:paraId="5C88980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41.3650</w:t>
            </w:r>
          </w:p>
        </w:tc>
        <w:tc>
          <w:tcPr>
            <w:tcW w:w="1850" w:type="dxa"/>
            <w:vAlign w:val="center"/>
          </w:tcPr>
          <w:p w14:paraId="7F3E32C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433.7500</w:t>
            </w:r>
          </w:p>
        </w:tc>
        <w:tc>
          <w:tcPr>
            <w:tcW w:w="1850" w:type="dxa"/>
            <w:vAlign w:val="center"/>
          </w:tcPr>
          <w:p w14:paraId="102F6A3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21.6875</w:t>
            </w:r>
          </w:p>
        </w:tc>
      </w:tr>
      <w:tr w14:paraId="00EF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3B93FF6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300.0</w:t>
            </w:r>
          </w:p>
        </w:tc>
        <w:tc>
          <w:tcPr>
            <w:tcW w:w="1993" w:type="dxa"/>
            <w:vAlign w:val="center"/>
          </w:tcPr>
          <w:p w14:paraId="37B974D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653.9400</w:t>
            </w:r>
          </w:p>
        </w:tc>
        <w:tc>
          <w:tcPr>
            <w:tcW w:w="1797" w:type="dxa"/>
            <w:vAlign w:val="center"/>
          </w:tcPr>
          <w:p w14:paraId="60C37FC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32.6970</w:t>
            </w:r>
          </w:p>
        </w:tc>
        <w:tc>
          <w:tcPr>
            <w:tcW w:w="1850" w:type="dxa"/>
            <w:vAlign w:val="center"/>
          </w:tcPr>
          <w:p w14:paraId="470A70F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336.6300</w:t>
            </w:r>
          </w:p>
        </w:tc>
        <w:tc>
          <w:tcPr>
            <w:tcW w:w="1850" w:type="dxa"/>
            <w:vAlign w:val="center"/>
          </w:tcPr>
          <w:p w14:paraId="769D05A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16.8315</w:t>
            </w:r>
          </w:p>
        </w:tc>
      </w:tr>
      <w:tr w14:paraId="1547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081B8D5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400.0</w:t>
            </w:r>
          </w:p>
        </w:tc>
        <w:tc>
          <w:tcPr>
            <w:tcW w:w="1993" w:type="dxa"/>
            <w:vAlign w:val="center"/>
          </w:tcPr>
          <w:p w14:paraId="2409245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534.8100</w:t>
            </w:r>
          </w:p>
        </w:tc>
        <w:tc>
          <w:tcPr>
            <w:tcW w:w="1797" w:type="dxa"/>
            <w:vAlign w:val="center"/>
          </w:tcPr>
          <w:p w14:paraId="0DC4AAC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26.7405</w:t>
            </w:r>
          </w:p>
        </w:tc>
        <w:tc>
          <w:tcPr>
            <w:tcW w:w="1850" w:type="dxa"/>
            <w:vAlign w:val="center"/>
          </w:tcPr>
          <w:p w14:paraId="4CD8BC8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272.9900</w:t>
            </w:r>
          </w:p>
        </w:tc>
        <w:tc>
          <w:tcPr>
            <w:tcW w:w="1850" w:type="dxa"/>
            <w:vAlign w:val="center"/>
          </w:tcPr>
          <w:p w14:paraId="31C608A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13.6495</w:t>
            </w:r>
          </w:p>
        </w:tc>
      </w:tr>
      <w:tr w14:paraId="1C32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05EF3E6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500.0</w:t>
            </w:r>
          </w:p>
        </w:tc>
        <w:tc>
          <w:tcPr>
            <w:tcW w:w="1993" w:type="dxa"/>
            <w:vAlign w:val="center"/>
          </w:tcPr>
          <w:p w14:paraId="4639830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448.5800</w:t>
            </w:r>
          </w:p>
        </w:tc>
        <w:tc>
          <w:tcPr>
            <w:tcW w:w="1797" w:type="dxa"/>
            <w:vAlign w:val="center"/>
          </w:tcPr>
          <w:p w14:paraId="27658C2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22.4290</w:t>
            </w:r>
          </w:p>
        </w:tc>
        <w:tc>
          <w:tcPr>
            <w:tcW w:w="1850" w:type="dxa"/>
            <w:vAlign w:val="center"/>
          </w:tcPr>
          <w:p w14:paraId="7DBF56E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227.6500</w:t>
            </w:r>
          </w:p>
        </w:tc>
        <w:tc>
          <w:tcPr>
            <w:tcW w:w="1850" w:type="dxa"/>
            <w:vAlign w:val="center"/>
          </w:tcPr>
          <w:p w14:paraId="307539A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11.3825</w:t>
            </w:r>
          </w:p>
        </w:tc>
      </w:tr>
      <w:tr w14:paraId="075F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57B4612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600.0</w:t>
            </w:r>
          </w:p>
        </w:tc>
        <w:tc>
          <w:tcPr>
            <w:tcW w:w="1993" w:type="dxa"/>
            <w:vAlign w:val="center"/>
          </w:tcPr>
          <w:p w14:paraId="3DFEF28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383.2700</w:t>
            </w:r>
          </w:p>
        </w:tc>
        <w:tc>
          <w:tcPr>
            <w:tcW w:w="1797" w:type="dxa"/>
            <w:vAlign w:val="center"/>
          </w:tcPr>
          <w:p w14:paraId="78A9E53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19.1635</w:t>
            </w:r>
          </w:p>
        </w:tc>
        <w:tc>
          <w:tcPr>
            <w:tcW w:w="1850" w:type="dxa"/>
            <w:vAlign w:val="center"/>
          </w:tcPr>
          <w:p w14:paraId="28CBBBE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194.3100</w:t>
            </w:r>
          </w:p>
        </w:tc>
        <w:tc>
          <w:tcPr>
            <w:tcW w:w="1850" w:type="dxa"/>
            <w:vAlign w:val="center"/>
          </w:tcPr>
          <w:p w14:paraId="2AF4AB6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9.7155</w:t>
            </w:r>
          </w:p>
        </w:tc>
      </w:tr>
      <w:tr w14:paraId="52C9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0847590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700.0</w:t>
            </w:r>
          </w:p>
        </w:tc>
        <w:tc>
          <w:tcPr>
            <w:tcW w:w="1993" w:type="dxa"/>
            <w:vAlign w:val="center"/>
          </w:tcPr>
          <w:p w14:paraId="342FC72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345.7400</w:t>
            </w:r>
          </w:p>
        </w:tc>
        <w:tc>
          <w:tcPr>
            <w:tcW w:w="1797" w:type="dxa"/>
            <w:vAlign w:val="center"/>
          </w:tcPr>
          <w:p w14:paraId="27F6DF1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17.2870</w:t>
            </w:r>
          </w:p>
        </w:tc>
        <w:tc>
          <w:tcPr>
            <w:tcW w:w="1850" w:type="dxa"/>
            <w:vAlign w:val="center"/>
          </w:tcPr>
          <w:p w14:paraId="44D8F4E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175.1100</w:t>
            </w:r>
          </w:p>
        </w:tc>
        <w:tc>
          <w:tcPr>
            <w:tcW w:w="1850" w:type="dxa"/>
            <w:vAlign w:val="center"/>
          </w:tcPr>
          <w:p w14:paraId="52383EA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8.7555</w:t>
            </w:r>
          </w:p>
        </w:tc>
      </w:tr>
      <w:tr w14:paraId="7EA4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0C4B533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800.0</w:t>
            </w:r>
          </w:p>
        </w:tc>
        <w:tc>
          <w:tcPr>
            <w:tcW w:w="1993" w:type="dxa"/>
            <w:vAlign w:val="center"/>
          </w:tcPr>
          <w:p w14:paraId="40C554E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314.4000</w:t>
            </w:r>
          </w:p>
        </w:tc>
        <w:tc>
          <w:tcPr>
            <w:tcW w:w="1797" w:type="dxa"/>
            <w:vAlign w:val="center"/>
          </w:tcPr>
          <w:p w14:paraId="6D56100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15.7200</w:t>
            </w:r>
          </w:p>
        </w:tc>
        <w:tc>
          <w:tcPr>
            <w:tcW w:w="1850" w:type="dxa"/>
            <w:vAlign w:val="center"/>
          </w:tcPr>
          <w:p w14:paraId="19B1EA0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158.9100</w:t>
            </w:r>
          </w:p>
        </w:tc>
        <w:tc>
          <w:tcPr>
            <w:tcW w:w="1850" w:type="dxa"/>
            <w:vAlign w:val="center"/>
          </w:tcPr>
          <w:p w14:paraId="596B262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7.9455</w:t>
            </w:r>
          </w:p>
        </w:tc>
      </w:tr>
      <w:tr w14:paraId="6AB6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784C373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900.0</w:t>
            </w:r>
          </w:p>
        </w:tc>
        <w:tc>
          <w:tcPr>
            <w:tcW w:w="1993" w:type="dxa"/>
            <w:vAlign w:val="center"/>
          </w:tcPr>
          <w:p w14:paraId="1EEF480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287.2300</w:t>
            </w:r>
          </w:p>
        </w:tc>
        <w:tc>
          <w:tcPr>
            <w:tcW w:w="1797" w:type="dxa"/>
            <w:vAlign w:val="center"/>
          </w:tcPr>
          <w:p w14:paraId="5CAAB83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14.3615</w:t>
            </w:r>
          </w:p>
        </w:tc>
        <w:tc>
          <w:tcPr>
            <w:tcW w:w="1850" w:type="dxa"/>
            <w:vAlign w:val="center"/>
          </w:tcPr>
          <w:p w14:paraId="1C69EC0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146.8300</w:t>
            </w:r>
          </w:p>
        </w:tc>
        <w:tc>
          <w:tcPr>
            <w:tcW w:w="1850" w:type="dxa"/>
            <w:vAlign w:val="center"/>
          </w:tcPr>
          <w:p w14:paraId="268F838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7.3415</w:t>
            </w:r>
          </w:p>
        </w:tc>
      </w:tr>
      <w:tr w14:paraId="41BB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017D005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1000.0</w:t>
            </w:r>
          </w:p>
        </w:tc>
        <w:tc>
          <w:tcPr>
            <w:tcW w:w="1993" w:type="dxa"/>
            <w:vAlign w:val="center"/>
          </w:tcPr>
          <w:p w14:paraId="3383AF5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264.6200</w:t>
            </w:r>
          </w:p>
        </w:tc>
        <w:tc>
          <w:tcPr>
            <w:tcW w:w="1797" w:type="dxa"/>
            <w:vAlign w:val="center"/>
          </w:tcPr>
          <w:p w14:paraId="5DE9DE3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13.2310</w:t>
            </w:r>
          </w:p>
        </w:tc>
        <w:tc>
          <w:tcPr>
            <w:tcW w:w="1850" w:type="dxa"/>
            <w:vAlign w:val="center"/>
          </w:tcPr>
          <w:p w14:paraId="6FFDD76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135.0400</w:t>
            </w:r>
          </w:p>
        </w:tc>
        <w:tc>
          <w:tcPr>
            <w:tcW w:w="1850" w:type="dxa"/>
            <w:vAlign w:val="center"/>
          </w:tcPr>
          <w:p w14:paraId="783C70A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6.7520</w:t>
            </w:r>
          </w:p>
        </w:tc>
      </w:tr>
      <w:tr w14:paraId="5A85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4018443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1200.0</w:t>
            </w:r>
          </w:p>
        </w:tc>
        <w:tc>
          <w:tcPr>
            <w:tcW w:w="1993" w:type="dxa"/>
            <w:vAlign w:val="center"/>
          </w:tcPr>
          <w:p w14:paraId="7DFE1D9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233.5200</w:t>
            </w:r>
          </w:p>
        </w:tc>
        <w:tc>
          <w:tcPr>
            <w:tcW w:w="1797" w:type="dxa"/>
            <w:vAlign w:val="center"/>
          </w:tcPr>
          <w:p w14:paraId="18C11BD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11.6760</w:t>
            </w:r>
          </w:p>
        </w:tc>
        <w:tc>
          <w:tcPr>
            <w:tcW w:w="1850" w:type="dxa"/>
            <w:vAlign w:val="center"/>
          </w:tcPr>
          <w:p w14:paraId="4356E58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116.7500</w:t>
            </w:r>
          </w:p>
        </w:tc>
        <w:tc>
          <w:tcPr>
            <w:tcW w:w="1850" w:type="dxa"/>
            <w:vAlign w:val="center"/>
          </w:tcPr>
          <w:p w14:paraId="77B0F3C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5.8375</w:t>
            </w:r>
          </w:p>
        </w:tc>
      </w:tr>
      <w:tr w14:paraId="73C2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4CD7519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1400.0</w:t>
            </w:r>
          </w:p>
        </w:tc>
        <w:tc>
          <w:tcPr>
            <w:tcW w:w="1993" w:type="dxa"/>
            <w:vAlign w:val="center"/>
          </w:tcPr>
          <w:p w14:paraId="7B632F8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206.4000</w:t>
            </w:r>
          </w:p>
        </w:tc>
        <w:tc>
          <w:tcPr>
            <w:tcW w:w="1797" w:type="dxa"/>
            <w:vAlign w:val="center"/>
          </w:tcPr>
          <w:p w14:paraId="2722538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10.3200</w:t>
            </w:r>
          </w:p>
        </w:tc>
        <w:tc>
          <w:tcPr>
            <w:tcW w:w="1850" w:type="dxa"/>
            <w:vAlign w:val="center"/>
          </w:tcPr>
          <w:p w14:paraId="6AEB895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103.1900</w:t>
            </w:r>
          </w:p>
        </w:tc>
        <w:tc>
          <w:tcPr>
            <w:tcW w:w="1850" w:type="dxa"/>
            <w:vAlign w:val="center"/>
          </w:tcPr>
          <w:p w14:paraId="6901590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5.1595</w:t>
            </w:r>
          </w:p>
        </w:tc>
      </w:tr>
      <w:tr w14:paraId="3C20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790FE8A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1600.0</w:t>
            </w:r>
          </w:p>
        </w:tc>
        <w:tc>
          <w:tcPr>
            <w:tcW w:w="1993" w:type="dxa"/>
            <w:vAlign w:val="center"/>
          </w:tcPr>
          <w:p w14:paraId="725E03E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185.4900</w:t>
            </w:r>
          </w:p>
        </w:tc>
        <w:tc>
          <w:tcPr>
            <w:tcW w:w="1797" w:type="dxa"/>
            <w:vAlign w:val="center"/>
          </w:tcPr>
          <w:p w14:paraId="1BC85A4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9.2745</w:t>
            </w:r>
          </w:p>
        </w:tc>
        <w:tc>
          <w:tcPr>
            <w:tcW w:w="1850" w:type="dxa"/>
            <w:vAlign w:val="center"/>
          </w:tcPr>
          <w:p w14:paraId="703D54C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92.7380</w:t>
            </w:r>
          </w:p>
        </w:tc>
        <w:tc>
          <w:tcPr>
            <w:tcW w:w="1850" w:type="dxa"/>
            <w:vAlign w:val="center"/>
          </w:tcPr>
          <w:p w14:paraId="7BE9319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4.6369</w:t>
            </w:r>
          </w:p>
        </w:tc>
      </w:tr>
      <w:tr w14:paraId="038E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4D4612C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1800.0</w:t>
            </w:r>
          </w:p>
        </w:tc>
        <w:tc>
          <w:tcPr>
            <w:tcW w:w="1993" w:type="dxa"/>
            <w:vAlign w:val="center"/>
          </w:tcPr>
          <w:p w14:paraId="144C2F1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168.0100</w:t>
            </w:r>
          </w:p>
        </w:tc>
        <w:tc>
          <w:tcPr>
            <w:tcW w:w="1797" w:type="dxa"/>
            <w:vAlign w:val="center"/>
          </w:tcPr>
          <w:p w14:paraId="49B87A4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8.4005</w:t>
            </w:r>
          </w:p>
        </w:tc>
        <w:tc>
          <w:tcPr>
            <w:tcW w:w="1850" w:type="dxa"/>
            <w:vAlign w:val="center"/>
          </w:tcPr>
          <w:p w14:paraId="4537AA3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83.9980</w:t>
            </w:r>
          </w:p>
        </w:tc>
        <w:tc>
          <w:tcPr>
            <w:tcW w:w="1850" w:type="dxa"/>
            <w:vAlign w:val="center"/>
          </w:tcPr>
          <w:p w14:paraId="038AEC1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4.1999</w:t>
            </w:r>
          </w:p>
        </w:tc>
      </w:tr>
      <w:tr w14:paraId="5D93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1740849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2000.0</w:t>
            </w:r>
          </w:p>
        </w:tc>
        <w:tc>
          <w:tcPr>
            <w:tcW w:w="1993" w:type="dxa"/>
            <w:vAlign w:val="center"/>
          </w:tcPr>
          <w:p w14:paraId="212B32D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153.1900</w:t>
            </w:r>
          </w:p>
        </w:tc>
        <w:tc>
          <w:tcPr>
            <w:tcW w:w="1797" w:type="dxa"/>
            <w:vAlign w:val="center"/>
          </w:tcPr>
          <w:p w14:paraId="1149BBA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7.6595</w:t>
            </w:r>
          </w:p>
        </w:tc>
        <w:tc>
          <w:tcPr>
            <w:tcW w:w="1850" w:type="dxa"/>
            <w:vAlign w:val="center"/>
          </w:tcPr>
          <w:p w14:paraId="54B161F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76.5900</w:t>
            </w:r>
          </w:p>
        </w:tc>
        <w:tc>
          <w:tcPr>
            <w:tcW w:w="1850" w:type="dxa"/>
            <w:vAlign w:val="center"/>
          </w:tcPr>
          <w:p w14:paraId="3409231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3.8295</w:t>
            </w:r>
          </w:p>
        </w:tc>
      </w:tr>
      <w:tr w14:paraId="568C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6FAD558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2500.0</w:t>
            </w:r>
          </w:p>
        </w:tc>
        <w:tc>
          <w:tcPr>
            <w:tcW w:w="1993" w:type="dxa"/>
            <w:vAlign w:val="center"/>
          </w:tcPr>
          <w:p w14:paraId="67B7BC3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124.6100</w:t>
            </w:r>
          </w:p>
        </w:tc>
        <w:tc>
          <w:tcPr>
            <w:tcW w:w="1797" w:type="dxa"/>
            <w:vAlign w:val="center"/>
          </w:tcPr>
          <w:p w14:paraId="0EBC7A9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6.2305</w:t>
            </w:r>
          </w:p>
        </w:tc>
        <w:tc>
          <w:tcPr>
            <w:tcW w:w="1850" w:type="dxa"/>
            <w:vAlign w:val="center"/>
          </w:tcPr>
          <w:p w14:paraId="6FB819A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62.3020</w:t>
            </w:r>
          </w:p>
        </w:tc>
        <w:tc>
          <w:tcPr>
            <w:tcW w:w="1850" w:type="dxa"/>
            <w:vAlign w:val="center"/>
          </w:tcPr>
          <w:p w14:paraId="04BCB58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3.1151</w:t>
            </w:r>
          </w:p>
        </w:tc>
      </w:tr>
      <w:tr w14:paraId="118A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668DEB3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3000.0</w:t>
            </w:r>
          </w:p>
        </w:tc>
        <w:tc>
          <w:tcPr>
            <w:tcW w:w="1993" w:type="dxa"/>
            <w:vAlign w:val="center"/>
          </w:tcPr>
          <w:p w14:paraId="6D8473D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104.2200</w:t>
            </w:r>
          </w:p>
        </w:tc>
        <w:tc>
          <w:tcPr>
            <w:tcW w:w="1797" w:type="dxa"/>
            <w:vAlign w:val="center"/>
          </w:tcPr>
          <w:p w14:paraId="0D5DE6E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5.2110</w:t>
            </w:r>
          </w:p>
        </w:tc>
        <w:tc>
          <w:tcPr>
            <w:tcW w:w="1850" w:type="dxa"/>
            <w:vAlign w:val="center"/>
          </w:tcPr>
          <w:p w14:paraId="66705BC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52.1060</w:t>
            </w:r>
          </w:p>
        </w:tc>
        <w:tc>
          <w:tcPr>
            <w:tcW w:w="1850" w:type="dxa"/>
            <w:vAlign w:val="center"/>
          </w:tcPr>
          <w:p w14:paraId="7F7DA0A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2.6053</w:t>
            </w:r>
          </w:p>
        </w:tc>
      </w:tr>
      <w:tr w14:paraId="66C8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7BFA913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3500.0</w:t>
            </w:r>
          </w:p>
        </w:tc>
        <w:tc>
          <w:tcPr>
            <w:tcW w:w="1993" w:type="dxa"/>
            <w:vAlign w:val="center"/>
          </w:tcPr>
          <w:p w14:paraId="56A2BB8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89.0510</w:t>
            </w:r>
          </w:p>
        </w:tc>
        <w:tc>
          <w:tcPr>
            <w:tcW w:w="1797" w:type="dxa"/>
            <w:vAlign w:val="center"/>
          </w:tcPr>
          <w:p w14:paraId="3C02341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4.4526</w:t>
            </w:r>
          </w:p>
        </w:tc>
        <w:tc>
          <w:tcPr>
            <w:tcW w:w="1850" w:type="dxa"/>
            <w:vAlign w:val="center"/>
          </w:tcPr>
          <w:p w14:paraId="3B9539B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44.5220</w:t>
            </w:r>
          </w:p>
        </w:tc>
        <w:tc>
          <w:tcPr>
            <w:tcW w:w="1850" w:type="dxa"/>
            <w:vAlign w:val="center"/>
          </w:tcPr>
          <w:p w14:paraId="66D3CF6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2.2261</w:t>
            </w:r>
          </w:p>
        </w:tc>
      </w:tr>
      <w:tr w14:paraId="2D00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41D0065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4000.0</w:t>
            </w:r>
          </w:p>
        </w:tc>
        <w:tc>
          <w:tcPr>
            <w:tcW w:w="1993" w:type="dxa"/>
            <w:vAlign w:val="center"/>
          </w:tcPr>
          <w:p w14:paraId="648F9D6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77.3900</w:t>
            </w:r>
          </w:p>
        </w:tc>
        <w:tc>
          <w:tcPr>
            <w:tcW w:w="1797" w:type="dxa"/>
            <w:vAlign w:val="center"/>
          </w:tcPr>
          <w:p w14:paraId="74957C6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3.8695</w:t>
            </w:r>
          </w:p>
        </w:tc>
        <w:tc>
          <w:tcPr>
            <w:tcW w:w="1850" w:type="dxa"/>
            <w:vAlign w:val="center"/>
          </w:tcPr>
          <w:p w14:paraId="25D2B0B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38.6920</w:t>
            </w:r>
          </w:p>
        </w:tc>
        <w:tc>
          <w:tcPr>
            <w:tcW w:w="1850" w:type="dxa"/>
            <w:vAlign w:val="center"/>
          </w:tcPr>
          <w:p w14:paraId="1ED358B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1.9346</w:t>
            </w:r>
          </w:p>
        </w:tc>
      </w:tr>
      <w:tr w14:paraId="0448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7E44FD7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4500.0</w:t>
            </w:r>
          </w:p>
        </w:tc>
        <w:tc>
          <w:tcPr>
            <w:tcW w:w="1993" w:type="dxa"/>
            <w:vAlign w:val="center"/>
          </w:tcPr>
          <w:p w14:paraId="37BCAD2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68.1840</w:t>
            </w:r>
          </w:p>
        </w:tc>
        <w:tc>
          <w:tcPr>
            <w:tcW w:w="1797" w:type="dxa"/>
            <w:vAlign w:val="center"/>
          </w:tcPr>
          <w:p w14:paraId="5C4A77D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3.4092</w:t>
            </w:r>
          </w:p>
        </w:tc>
        <w:tc>
          <w:tcPr>
            <w:tcW w:w="1850" w:type="dxa"/>
            <w:vAlign w:val="center"/>
          </w:tcPr>
          <w:p w14:paraId="2FE5784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34.0890</w:t>
            </w:r>
          </w:p>
        </w:tc>
        <w:tc>
          <w:tcPr>
            <w:tcW w:w="1850" w:type="dxa"/>
            <w:vAlign w:val="center"/>
          </w:tcPr>
          <w:p w14:paraId="11444CE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1.7045</w:t>
            </w:r>
          </w:p>
        </w:tc>
      </w:tr>
      <w:tr w14:paraId="6D63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5D1D666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5000.0</w:t>
            </w:r>
          </w:p>
        </w:tc>
        <w:tc>
          <w:tcPr>
            <w:tcW w:w="1993" w:type="dxa"/>
            <w:vAlign w:val="center"/>
          </w:tcPr>
          <w:p w14:paraId="4BED6D6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60.7560</w:t>
            </w:r>
          </w:p>
        </w:tc>
        <w:tc>
          <w:tcPr>
            <w:tcW w:w="1797" w:type="dxa"/>
            <w:vAlign w:val="center"/>
          </w:tcPr>
          <w:p w14:paraId="6E8B044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3.0378</w:t>
            </w:r>
          </w:p>
        </w:tc>
        <w:tc>
          <w:tcPr>
            <w:tcW w:w="1850" w:type="dxa"/>
            <w:vAlign w:val="center"/>
          </w:tcPr>
          <w:p w14:paraId="662FD4E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30.3760</w:t>
            </w:r>
          </w:p>
        </w:tc>
        <w:tc>
          <w:tcPr>
            <w:tcW w:w="1850" w:type="dxa"/>
            <w:vAlign w:val="center"/>
          </w:tcPr>
          <w:p w14:paraId="5408B70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1.5188</w:t>
            </w:r>
          </w:p>
        </w:tc>
      </w:tr>
      <w:tr w14:paraId="5909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1B3D861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10000.0</w:t>
            </w:r>
          </w:p>
        </w:tc>
        <w:tc>
          <w:tcPr>
            <w:tcW w:w="1993" w:type="dxa"/>
            <w:vAlign w:val="center"/>
          </w:tcPr>
          <w:p w14:paraId="224E8BB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27.3970</w:t>
            </w:r>
          </w:p>
        </w:tc>
        <w:tc>
          <w:tcPr>
            <w:tcW w:w="1797" w:type="dxa"/>
            <w:vAlign w:val="center"/>
          </w:tcPr>
          <w:p w14:paraId="3A5266B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1.3698</w:t>
            </w:r>
          </w:p>
        </w:tc>
        <w:tc>
          <w:tcPr>
            <w:tcW w:w="1850" w:type="dxa"/>
            <w:vAlign w:val="center"/>
          </w:tcPr>
          <w:p w14:paraId="063A2FC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13.6970</w:t>
            </w:r>
          </w:p>
        </w:tc>
        <w:tc>
          <w:tcPr>
            <w:tcW w:w="1850" w:type="dxa"/>
            <w:vAlign w:val="center"/>
          </w:tcPr>
          <w:p w14:paraId="0148985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0.6848</w:t>
            </w:r>
          </w:p>
        </w:tc>
      </w:tr>
      <w:tr w14:paraId="1472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5B04D99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11000.0</w:t>
            </w:r>
          </w:p>
        </w:tc>
        <w:tc>
          <w:tcPr>
            <w:tcW w:w="1993" w:type="dxa"/>
            <w:vAlign w:val="center"/>
          </w:tcPr>
          <w:p w14:paraId="641CCE8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24.4590</w:t>
            </w:r>
          </w:p>
        </w:tc>
        <w:tc>
          <w:tcPr>
            <w:tcW w:w="1797" w:type="dxa"/>
            <w:vAlign w:val="center"/>
          </w:tcPr>
          <w:p w14:paraId="402CB66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1.2229</w:t>
            </w:r>
          </w:p>
        </w:tc>
        <w:tc>
          <w:tcPr>
            <w:tcW w:w="1850" w:type="dxa"/>
            <w:vAlign w:val="center"/>
          </w:tcPr>
          <w:p w14:paraId="0E5DD28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12.2290</w:t>
            </w:r>
          </w:p>
        </w:tc>
        <w:tc>
          <w:tcPr>
            <w:tcW w:w="1850" w:type="dxa"/>
            <w:vAlign w:val="center"/>
          </w:tcPr>
          <w:p w14:paraId="4062415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0.6114</w:t>
            </w:r>
          </w:p>
        </w:tc>
      </w:tr>
      <w:tr w14:paraId="20C2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7F5CED6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12000.0</w:t>
            </w:r>
          </w:p>
        </w:tc>
        <w:tc>
          <w:tcPr>
            <w:tcW w:w="1993" w:type="dxa"/>
            <w:vAlign w:val="center"/>
          </w:tcPr>
          <w:p w14:paraId="2B0C362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22.0390</w:t>
            </w:r>
          </w:p>
        </w:tc>
        <w:tc>
          <w:tcPr>
            <w:tcW w:w="1797" w:type="dxa"/>
            <w:vAlign w:val="center"/>
          </w:tcPr>
          <w:p w14:paraId="0E853BF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1.1020</w:t>
            </w:r>
          </w:p>
        </w:tc>
        <w:tc>
          <w:tcPr>
            <w:tcW w:w="1850" w:type="dxa"/>
            <w:vAlign w:val="center"/>
          </w:tcPr>
          <w:p w14:paraId="285A8AD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11.0190</w:t>
            </w:r>
          </w:p>
        </w:tc>
        <w:tc>
          <w:tcPr>
            <w:tcW w:w="1850" w:type="dxa"/>
            <w:vAlign w:val="center"/>
          </w:tcPr>
          <w:p w14:paraId="348D033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0.5509</w:t>
            </w:r>
          </w:p>
        </w:tc>
      </w:tr>
      <w:tr w14:paraId="5006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54D122F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13000.0</w:t>
            </w:r>
          </w:p>
        </w:tc>
        <w:tc>
          <w:tcPr>
            <w:tcW w:w="1993" w:type="dxa"/>
            <w:vAlign w:val="center"/>
          </w:tcPr>
          <w:p w14:paraId="7636AB8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20.0150</w:t>
            </w:r>
          </w:p>
        </w:tc>
        <w:tc>
          <w:tcPr>
            <w:tcW w:w="1797" w:type="dxa"/>
            <w:vAlign w:val="center"/>
          </w:tcPr>
          <w:p w14:paraId="2A5F3F6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1.0008</w:t>
            </w:r>
          </w:p>
        </w:tc>
        <w:tc>
          <w:tcPr>
            <w:tcW w:w="1850" w:type="dxa"/>
            <w:vAlign w:val="center"/>
          </w:tcPr>
          <w:p w14:paraId="2310E2E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10.0070</w:t>
            </w:r>
          </w:p>
        </w:tc>
        <w:tc>
          <w:tcPr>
            <w:tcW w:w="1850" w:type="dxa"/>
            <w:vAlign w:val="center"/>
          </w:tcPr>
          <w:p w14:paraId="59DEB65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0.5003</w:t>
            </w:r>
          </w:p>
        </w:tc>
      </w:tr>
      <w:tr w14:paraId="0634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233B773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14000.0</w:t>
            </w:r>
          </w:p>
        </w:tc>
        <w:tc>
          <w:tcPr>
            <w:tcW w:w="1993" w:type="dxa"/>
            <w:vAlign w:val="center"/>
          </w:tcPr>
          <w:p w14:paraId="3B5A0C3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18.3000</w:t>
            </w:r>
          </w:p>
        </w:tc>
        <w:tc>
          <w:tcPr>
            <w:tcW w:w="1797" w:type="dxa"/>
            <w:vAlign w:val="center"/>
          </w:tcPr>
          <w:p w14:paraId="0892940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0.9150</w:t>
            </w:r>
          </w:p>
        </w:tc>
        <w:tc>
          <w:tcPr>
            <w:tcW w:w="1850" w:type="dxa"/>
            <w:vAlign w:val="center"/>
          </w:tcPr>
          <w:p w14:paraId="7A44F34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9.1495</w:t>
            </w:r>
          </w:p>
        </w:tc>
        <w:tc>
          <w:tcPr>
            <w:tcW w:w="1850" w:type="dxa"/>
            <w:vAlign w:val="center"/>
          </w:tcPr>
          <w:p w14:paraId="4234FF5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0.4575</w:t>
            </w:r>
          </w:p>
        </w:tc>
      </w:tr>
      <w:tr w14:paraId="14F7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30E42FB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15000.0</w:t>
            </w:r>
          </w:p>
        </w:tc>
        <w:tc>
          <w:tcPr>
            <w:tcW w:w="1993" w:type="dxa"/>
            <w:vAlign w:val="center"/>
          </w:tcPr>
          <w:p w14:paraId="3D0690A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16.8310</w:t>
            </w:r>
          </w:p>
        </w:tc>
        <w:tc>
          <w:tcPr>
            <w:tcW w:w="1797" w:type="dxa"/>
            <w:vAlign w:val="center"/>
          </w:tcPr>
          <w:p w14:paraId="3FE88AC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0.8415</w:t>
            </w:r>
          </w:p>
        </w:tc>
        <w:tc>
          <w:tcPr>
            <w:tcW w:w="1850" w:type="dxa"/>
            <w:vAlign w:val="center"/>
          </w:tcPr>
          <w:p w14:paraId="5721810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8.4148</w:t>
            </w:r>
          </w:p>
        </w:tc>
        <w:tc>
          <w:tcPr>
            <w:tcW w:w="1850" w:type="dxa"/>
            <w:vAlign w:val="center"/>
          </w:tcPr>
          <w:p w14:paraId="3B610B3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0.4207</w:t>
            </w:r>
          </w:p>
        </w:tc>
      </w:tr>
      <w:tr w14:paraId="7546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6CBDF67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20000.0</w:t>
            </w:r>
          </w:p>
        </w:tc>
        <w:tc>
          <w:tcPr>
            <w:tcW w:w="1993" w:type="dxa"/>
            <w:vAlign w:val="center"/>
          </w:tcPr>
          <w:p w14:paraId="4EA5439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11.8390</w:t>
            </w:r>
          </w:p>
        </w:tc>
        <w:tc>
          <w:tcPr>
            <w:tcW w:w="1797" w:type="dxa"/>
            <w:vAlign w:val="center"/>
          </w:tcPr>
          <w:p w14:paraId="351FDF2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0.5919</w:t>
            </w:r>
          </w:p>
        </w:tc>
        <w:tc>
          <w:tcPr>
            <w:tcW w:w="1850" w:type="dxa"/>
            <w:vAlign w:val="center"/>
          </w:tcPr>
          <w:p w14:paraId="22C01A4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5.9190</w:t>
            </w:r>
          </w:p>
        </w:tc>
        <w:tc>
          <w:tcPr>
            <w:tcW w:w="1850" w:type="dxa"/>
            <w:vAlign w:val="center"/>
          </w:tcPr>
          <w:p w14:paraId="3EBD0A7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0.2959</w:t>
            </w:r>
          </w:p>
        </w:tc>
      </w:tr>
      <w:tr w14:paraId="0EEF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3F6D61E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25000.0</w:t>
            </w:r>
          </w:p>
        </w:tc>
        <w:tc>
          <w:tcPr>
            <w:tcW w:w="1993" w:type="dxa"/>
            <w:vAlign w:val="center"/>
          </w:tcPr>
          <w:p w14:paraId="6252A26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8.9874</w:t>
            </w:r>
          </w:p>
        </w:tc>
        <w:tc>
          <w:tcPr>
            <w:tcW w:w="1797" w:type="dxa"/>
            <w:vAlign w:val="center"/>
          </w:tcPr>
          <w:p w14:paraId="172E2DE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0.4494</w:t>
            </w:r>
          </w:p>
        </w:tc>
        <w:tc>
          <w:tcPr>
            <w:tcW w:w="1850" w:type="dxa"/>
            <w:vAlign w:val="center"/>
          </w:tcPr>
          <w:p w14:paraId="61A4C06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4.4934</w:t>
            </w:r>
          </w:p>
        </w:tc>
        <w:tc>
          <w:tcPr>
            <w:tcW w:w="1850" w:type="dxa"/>
            <w:vAlign w:val="center"/>
          </w:tcPr>
          <w:p w14:paraId="0875169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0.2247</w:t>
            </w:r>
          </w:p>
        </w:tc>
      </w:tr>
      <w:tr w14:paraId="7825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14AFC7D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下风向最大浓度</w:t>
            </w:r>
          </w:p>
        </w:tc>
        <w:tc>
          <w:tcPr>
            <w:tcW w:w="1993" w:type="dxa"/>
            <w:vAlign w:val="center"/>
          </w:tcPr>
          <w:p w14:paraId="3692392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1238.2000</w:t>
            </w:r>
          </w:p>
        </w:tc>
        <w:tc>
          <w:tcPr>
            <w:tcW w:w="1797" w:type="dxa"/>
            <w:vAlign w:val="center"/>
          </w:tcPr>
          <w:p w14:paraId="22A67F6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61.9100</w:t>
            </w:r>
          </w:p>
        </w:tc>
        <w:tc>
          <w:tcPr>
            <w:tcW w:w="1850" w:type="dxa"/>
            <w:vAlign w:val="center"/>
          </w:tcPr>
          <w:p w14:paraId="6872792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697.5000</w:t>
            </w:r>
          </w:p>
        </w:tc>
        <w:tc>
          <w:tcPr>
            <w:tcW w:w="1850" w:type="dxa"/>
            <w:vAlign w:val="center"/>
          </w:tcPr>
          <w:p w14:paraId="0A9E5B6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34.8750</w:t>
            </w:r>
          </w:p>
        </w:tc>
      </w:tr>
      <w:tr w14:paraId="28B4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4EA8CBC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下风向最大浓度出现距离</w:t>
            </w:r>
          </w:p>
        </w:tc>
        <w:tc>
          <w:tcPr>
            <w:tcW w:w="1993" w:type="dxa"/>
            <w:vAlign w:val="center"/>
          </w:tcPr>
          <w:p w14:paraId="3C9DF20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48.0</w:t>
            </w:r>
          </w:p>
        </w:tc>
        <w:tc>
          <w:tcPr>
            <w:tcW w:w="1797" w:type="dxa"/>
            <w:vAlign w:val="center"/>
          </w:tcPr>
          <w:p w14:paraId="125B9A0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48.0</w:t>
            </w:r>
          </w:p>
        </w:tc>
        <w:tc>
          <w:tcPr>
            <w:tcW w:w="1850" w:type="dxa"/>
            <w:vAlign w:val="center"/>
          </w:tcPr>
          <w:p w14:paraId="5F30554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47.0</w:t>
            </w:r>
          </w:p>
        </w:tc>
        <w:tc>
          <w:tcPr>
            <w:tcW w:w="1850" w:type="dxa"/>
            <w:vAlign w:val="center"/>
          </w:tcPr>
          <w:p w14:paraId="5C439B9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47.0</w:t>
            </w:r>
          </w:p>
        </w:tc>
      </w:tr>
      <w:tr w14:paraId="0F5C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96" w:type="dxa"/>
            <w:vAlign w:val="center"/>
          </w:tcPr>
          <w:p w14:paraId="4047C2A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D10%最远距离</w:t>
            </w:r>
          </w:p>
        </w:tc>
        <w:tc>
          <w:tcPr>
            <w:tcW w:w="1993" w:type="dxa"/>
            <w:vAlign w:val="center"/>
          </w:tcPr>
          <w:p w14:paraId="1C0424F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1475.0</w:t>
            </w:r>
          </w:p>
        </w:tc>
        <w:tc>
          <w:tcPr>
            <w:tcW w:w="1797" w:type="dxa"/>
            <w:vAlign w:val="center"/>
          </w:tcPr>
          <w:p w14:paraId="660AE17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1475.0</w:t>
            </w:r>
          </w:p>
        </w:tc>
        <w:tc>
          <w:tcPr>
            <w:tcW w:w="1850" w:type="dxa"/>
            <w:vAlign w:val="center"/>
          </w:tcPr>
          <w:p w14:paraId="4A783B8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600.0</w:t>
            </w:r>
          </w:p>
        </w:tc>
        <w:tc>
          <w:tcPr>
            <w:tcW w:w="1850" w:type="dxa"/>
            <w:vAlign w:val="center"/>
          </w:tcPr>
          <w:p w14:paraId="0190140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600.0</w:t>
            </w:r>
          </w:p>
        </w:tc>
      </w:tr>
    </w:tbl>
    <w:p w14:paraId="70A0648F">
      <w:pPr>
        <w:pStyle w:val="22"/>
        <w:spacing w:before="156"/>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6</w:t>
      </w:r>
      <w:r>
        <w:rPr>
          <w:color w:val="auto"/>
        </w:rPr>
        <w:fldChar w:fldCharType="end"/>
      </w:r>
      <w:r>
        <w:rPr>
          <w:color w:val="auto"/>
        </w:rPr>
        <w:t>项目拉油点烃类气体估算模式计算结果</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2101"/>
        <w:gridCol w:w="1725"/>
        <w:gridCol w:w="2050"/>
        <w:gridCol w:w="1685"/>
      </w:tblGrid>
      <w:tr w14:paraId="6A28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Merge w:val="restart"/>
            <w:vAlign w:val="center"/>
          </w:tcPr>
          <w:p w14:paraId="543EABC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下风向距离</w:t>
            </w:r>
          </w:p>
        </w:tc>
        <w:tc>
          <w:tcPr>
            <w:tcW w:w="3827" w:type="dxa"/>
            <w:gridSpan w:val="2"/>
            <w:vAlign w:val="center"/>
          </w:tcPr>
          <w:p w14:paraId="03511A8F">
            <w:pPr>
              <w:adjustRightInd w:val="0"/>
              <w:snapToGrid w:val="0"/>
              <w:spacing w:line="360" w:lineRule="exact"/>
              <w:jc w:val="center"/>
              <w:rPr>
                <w:rFonts w:ascii="宋体" w:hAnsi="宋体" w:eastAsia="宋体" w:cs="Times New Roman"/>
                <w:color w:val="auto"/>
                <w:kern w:val="24"/>
              </w:rPr>
            </w:pPr>
            <w:r>
              <w:rPr>
                <w:rFonts w:hint="eastAsia" w:ascii="宋体" w:hAnsi="宋体" w:eastAsia="宋体" w:cs="Times New Roman"/>
                <w:color w:val="auto"/>
                <w:kern w:val="24"/>
              </w:rPr>
              <w:t>3</w:t>
            </w:r>
            <w:r>
              <w:rPr>
                <w:rFonts w:ascii="宋体" w:hAnsi="宋体" w:eastAsia="宋体" w:cs="Times New Roman"/>
                <w:color w:val="auto"/>
                <w:kern w:val="24"/>
              </w:rPr>
              <w:t>#拉油点</w:t>
            </w:r>
          </w:p>
        </w:tc>
        <w:tc>
          <w:tcPr>
            <w:tcW w:w="3735" w:type="dxa"/>
            <w:gridSpan w:val="2"/>
            <w:vAlign w:val="center"/>
          </w:tcPr>
          <w:p w14:paraId="59749FF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2#拉油点</w:t>
            </w:r>
          </w:p>
        </w:tc>
      </w:tr>
      <w:tr w14:paraId="0DA4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Merge w:val="continue"/>
            <w:vAlign w:val="center"/>
          </w:tcPr>
          <w:p w14:paraId="3275F133">
            <w:pPr>
              <w:adjustRightInd w:val="0"/>
              <w:snapToGrid w:val="0"/>
              <w:spacing w:line="360" w:lineRule="exact"/>
              <w:jc w:val="center"/>
              <w:rPr>
                <w:rFonts w:ascii="宋体" w:hAnsi="宋体" w:eastAsia="宋体" w:cs="Times New Roman"/>
                <w:color w:val="auto"/>
                <w:kern w:val="24"/>
              </w:rPr>
            </w:pPr>
          </w:p>
        </w:tc>
        <w:tc>
          <w:tcPr>
            <w:tcW w:w="2102" w:type="dxa"/>
            <w:vAlign w:val="center"/>
          </w:tcPr>
          <w:p w14:paraId="71B30EE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NMHC浓度(μg/m</w:t>
            </w:r>
            <w:r>
              <w:rPr>
                <w:rFonts w:ascii="宋体" w:hAnsi="宋体" w:eastAsia="宋体" w:cs="Times New Roman"/>
                <w:color w:val="auto"/>
                <w:kern w:val="24"/>
                <w:vertAlign w:val="superscript"/>
              </w:rPr>
              <w:t>3</w:t>
            </w:r>
            <w:r>
              <w:rPr>
                <w:rFonts w:ascii="宋体" w:hAnsi="宋体" w:eastAsia="宋体" w:cs="Times New Roman"/>
                <w:color w:val="auto"/>
                <w:kern w:val="24"/>
              </w:rPr>
              <w:t>)</w:t>
            </w:r>
          </w:p>
        </w:tc>
        <w:tc>
          <w:tcPr>
            <w:tcW w:w="1725" w:type="dxa"/>
            <w:vAlign w:val="center"/>
          </w:tcPr>
          <w:p w14:paraId="7D4F00B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NMHC占标率(%)</w:t>
            </w:r>
          </w:p>
        </w:tc>
        <w:tc>
          <w:tcPr>
            <w:tcW w:w="2051" w:type="dxa"/>
            <w:vAlign w:val="center"/>
          </w:tcPr>
          <w:p w14:paraId="5ADC509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NMHC浓度(μg/m</w:t>
            </w:r>
            <w:r>
              <w:rPr>
                <w:rFonts w:ascii="宋体" w:hAnsi="宋体" w:eastAsia="宋体" w:cs="Times New Roman"/>
                <w:color w:val="auto"/>
                <w:kern w:val="24"/>
                <w:vertAlign w:val="superscript"/>
              </w:rPr>
              <w:t>3</w:t>
            </w:r>
            <w:r>
              <w:rPr>
                <w:rFonts w:ascii="宋体" w:hAnsi="宋体" w:eastAsia="宋体" w:cs="Times New Roman"/>
                <w:color w:val="auto"/>
                <w:kern w:val="24"/>
              </w:rPr>
              <w:t>)</w:t>
            </w:r>
          </w:p>
        </w:tc>
        <w:tc>
          <w:tcPr>
            <w:tcW w:w="1684" w:type="dxa"/>
            <w:vAlign w:val="center"/>
          </w:tcPr>
          <w:p w14:paraId="510D7DE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NMHC占标率(%)</w:t>
            </w:r>
          </w:p>
        </w:tc>
      </w:tr>
      <w:tr w14:paraId="011F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70B385B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50.0</w:t>
            </w:r>
          </w:p>
        </w:tc>
        <w:tc>
          <w:tcPr>
            <w:tcW w:w="2102" w:type="dxa"/>
            <w:vAlign w:val="center"/>
          </w:tcPr>
          <w:p w14:paraId="321DF34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209.3100</w:t>
            </w:r>
          </w:p>
        </w:tc>
        <w:tc>
          <w:tcPr>
            <w:tcW w:w="1725" w:type="dxa"/>
            <w:vAlign w:val="center"/>
          </w:tcPr>
          <w:p w14:paraId="4209F7E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10.4655</w:t>
            </w:r>
          </w:p>
        </w:tc>
        <w:tc>
          <w:tcPr>
            <w:tcW w:w="2051" w:type="dxa"/>
            <w:vAlign w:val="center"/>
          </w:tcPr>
          <w:p w14:paraId="13792DD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69.7680</w:t>
            </w:r>
          </w:p>
        </w:tc>
        <w:tc>
          <w:tcPr>
            <w:tcW w:w="1684" w:type="dxa"/>
            <w:vAlign w:val="center"/>
          </w:tcPr>
          <w:p w14:paraId="2AE07CC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3.4884</w:t>
            </w:r>
          </w:p>
        </w:tc>
      </w:tr>
      <w:tr w14:paraId="1B88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3901A0D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100.0</w:t>
            </w:r>
          </w:p>
        </w:tc>
        <w:tc>
          <w:tcPr>
            <w:tcW w:w="2102" w:type="dxa"/>
            <w:vAlign w:val="center"/>
          </w:tcPr>
          <w:p w14:paraId="0E84F29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220.6200</w:t>
            </w:r>
          </w:p>
        </w:tc>
        <w:tc>
          <w:tcPr>
            <w:tcW w:w="1725" w:type="dxa"/>
            <w:vAlign w:val="center"/>
          </w:tcPr>
          <w:p w14:paraId="1D5B418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11.0310</w:t>
            </w:r>
          </w:p>
        </w:tc>
        <w:tc>
          <w:tcPr>
            <w:tcW w:w="2051" w:type="dxa"/>
            <w:vAlign w:val="center"/>
          </w:tcPr>
          <w:p w14:paraId="50EEAEF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73.5400</w:t>
            </w:r>
          </w:p>
        </w:tc>
        <w:tc>
          <w:tcPr>
            <w:tcW w:w="1684" w:type="dxa"/>
            <w:vAlign w:val="center"/>
          </w:tcPr>
          <w:p w14:paraId="6FBC07E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3.6770</w:t>
            </w:r>
          </w:p>
        </w:tc>
      </w:tr>
      <w:tr w14:paraId="5966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580A920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200.0</w:t>
            </w:r>
          </w:p>
        </w:tc>
        <w:tc>
          <w:tcPr>
            <w:tcW w:w="2102" w:type="dxa"/>
            <w:vAlign w:val="center"/>
          </w:tcPr>
          <w:p w14:paraId="2891328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197.5200</w:t>
            </w:r>
          </w:p>
        </w:tc>
        <w:tc>
          <w:tcPr>
            <w:tcW w:w="1725" w:type="dxa"/>
            <w:vAlign w:val="center"/>
          </w:tcPr>
          <w:p w14:paraId="654CDF1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9.8760</w:t>
            </w:r>
          </w:p>
        </w:tc>
        <w:tc>
          <w:tcPr>
            <w:tcW w:w="2051" w:type="dxa"/>
            <w:vAlign w:val="center"/>
          </w:tcPr>
          <w:p w14:paraId="5116E14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65.8380</w:t>
            </w:r>
          </w:p>
        </w:tc>
        <w:tc>
          <w:tcPr>
            <w:tcW w:w="1684" w:type="dxa"/>
            <w:vAlign w:val="center"/>
          </w:tcPr>
          <w:p w14:paraId="75CD208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3.2919</w:t>
            </w:r>
          </w:p>
        </w:tc>
      </w:tr>
      <w:tr w14:paraId="235B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59673E4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300.0</w:t>
            </w:r>
          </w:p>
        </w:tc>
        <w:tc>
          <w:tcPr>
            <w:tcW w:w="2102" w:type="dxa"/>
            <w:vAlign w:val="center"/>
          </w:tcPr>
          <w:p w14:paraId="68CCA9F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163.2100</w:t>
            </w:r>
          </w:p>
        </w:tc>
        <w:tc>
          <w:tcPr>
            <w:tcW w:w="1725" w:type="dxa"/>
            <w:vAlign w:val="center"/>
          </w:tcPr>
          <w:p w14:paraId="0EA06A5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8.1605</w:t>
            </w:r>
          </w:p>
        </w:tc>
        <w:tc>
          <w:tcPr>
            <w:tcW w:w="2051" w:type="dxa"/>
            <w:vAlign w:val="center"/>
          </w:tcPr>
          <w:p w14:paraId="3B1BE1F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54.4040</w:t>
            </w:r>
          </w:p>
        </w:tc>
        <w:tc>
          <w:tcPr>
            <w:tcW w:w="1684" w:type="dxa"/>
            <w:vAlign w:val="center"/>
          </w:tcPr>
          <w:p w14:paraId="37B7DB0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2.7202</w:t>
            </w:r>
          </w:p>
        </w:tc>
      </w:tr>
      <w:tr w14:paraId="0C8B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05C872F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400.0</w:t>
            </w:r>
          </w:p>
        </w:tc>
        <w:tc>
          <w:tcPr>
            <w:tcW w:w="2102" w:type="dxa"/>
            <w:vAlign w:val="center"/>
          </w:tcPr>
          <w:p w14:paraId="75EF8A2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135.8600</w:t>
            </w:r>
          </w:p>
        </w:tc>
        <w:tc>
          <w:tcPr>
            <w:tcW w:w="1725" w:type="dxa"/>
            <w:vAlign w:val="center"/>
          </w:tcPr>
          <w:p w14:paraId="0194EAB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6.7930</w:t>
            </w:r>
          </w:p>
        </w:tc>
        <w:tc>
          <w:tcPr>
            <w:tcW w:w="2051" w:type="dxa"/>
            <w:vAlign w:val="center"/>
          </w:tcPr>
          <w:p w14:paraId="48FE416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45.2860</w:t>
            </w:r>
          </w:p>
        </w:tc>
        <w:tc>
          <w:tcPr>
            <w:tcW w:w="1684" w:type="dxa"/>
            <w:vAlign w:val="center"/>
          </w:tcPr>
          <w:p w14:paraId="5D1F159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2.2643</w:t>
            </w:r>
          </w:p>
        </w:tc>
      </w:tr>
      <w:tr w14:paraId="70C4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6BCEE36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500.0</w:t>
            </w:r>
          </w:p>
        </w:tc>
        <w:tc>
          <w:tcPr>
            <w:tcW w:w="2102" w:type="dxa"/>
            <w:vAlign w:val="center"/>
          </w:tcPr>
          <w:p w14:paraId="7AF70F7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115.2000</w:t>
            </w:r>
          </w:p>
        </w:tc>
        <w:tc>
          <w:tcPr>
            <w:tcW w:w="1725" w:type="dxa"/>
            <w:vAlign w:val="center"/>
          </w:tcPr>
          <w:p w14:paraId="7318CCF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5.7600</w:t>
            </w:r>
          </w:p>
        </w:tc>
        <w:tc>
          <w:tcPr>
            <w:tcW w:w="2051" w:type="dxa"/>
            <w:vAlign w:val="center"/>
          </w:tcPr>
          <w:p w14:paraId="197B713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38.4010</w:t>
            </w:r>
          </w:p>
        </w:tc>
        <w:tc>
          <w:tcPr>
            <w:tcW w:w="1684" w:type="dxa"/>
            <w:vAlign w:val="center"/>
          </w:tcPr>
          <w:p w14:paraId="2FB2932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1.9201</w:t>
            </w:r>
          </w:p>
        </w:tc>
      </w:tr>
      <w:tr w14:paraId="1E96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37A5644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600.0</w:t>
            </w:r>
          </w:p>
        </w:tc>
        <w:tc>
          <w:tcPr>
            <w:tcW w:w="2102" w:type="dxa"/>
            <w:vAlign w:val="center"/>
          </w:tcPr>
          <w:p w14:paraId="5F05F99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99.0720</w:t>
            </w:r>
          </w:p>
        </w:tc>
        <w:tc>
          <w:tcPr>
            <w:tcW w:w="1725" w:type="dxa"/>
            <w:vAlign w:val="center"/>
          </w:tcPr>
          <w:p w14:paraId="034546B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4.9536</w:t>
            </w:r>
          </w:p>
        </w:tc>
        <w:tc>
          <w:tcPr>
            <w:tcW w:w="2051" w:type="dxa"/>
            <w:vAlign w:val="center"/>
          </w:tcPr>
          <w:p w14:paraId="13B59B3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33.0250</w:t>
            </w:r>
          </w:p>
        </w:tc>
        <w:tc>
          <w:tcPr>
            <w:tcW w:w="1684" w:type="dxa"/>
            <w:vAlign w:val="center"/>
          </w:tcPr>
          <w:p w14:paraId="390F64B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1.6512</w:t>
            </w:r>
          </w:p>
        </w:tc>
      </w:tr>
      <w:tr w14:paraId="22F3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1A2FD0B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700.0</w:t>
            </w:r>
          </w:p>
        </w:tc>
        <w:tc>
          <w:tcPr>
            <w:tcW w:w="2102" w:type="dxa"/>
            <w:vAlign w:val="center"/>
          </w:tcPr>
          <w:p w14:paraId="3766FF9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89.0240</w:t>
            </w:r>
          </w:p>
        </w:tc>
        <w:tc>
          <w:tcPr>
            <w:tcW w:w="1725" w:type="dxa"/>
            <w:vAlign w:val="center"/>
          </w:tcPr>
          <w:p w14:paraId="0568B23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4.4512</w:t>
            </w:r>
          </w:p>
        </w:tc>
        <w:tc>
          <w:tcPr>
            <w:tcW w:w="2051" w:type="dxa"/>
            <w:vAlign w:val="center"/>
          </w:tcPr>
          <w:p w14:paraId="1C89470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29.6750</w:t>
            </w:r>
          </w:p>
        </w:tc>
        <w:tc>
          <w:tcPr>
            <w:tcW w:w="1684" w:type="dxa"/>
            <w:vAlign w:val="center"/>
          </w:tcPr>
          <w:p w14:paraId="59761AE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1.4837</w:t>
            </w:r>
          </w:p>
        </w:tc>
      </w:tr>
      <w:tr w14:paraId="717B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7ECA985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800.0</w:t>
            </w:r>
          </w:p>
        </w:tc>
        <w:tc>
          <w:tcPr>
            <w:tcW w:w="2102" w:type="dxa"/>
            <w:vAlign w:val="center"/>
          </w:tcPr>
          <w:p w14:paraId="3D442B5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81.2680</w:t>
            </w:r>
          </w:p>
        </w:tc>
        <w:tc>
          <w:tcPr>
            <w:tcW w:w="1725" w:type="dxa"/>
            <w:vAlign w:val="center"/>
          </w:tcPr>
          <w:p w14:paraId="7B4040C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4.0634</w:t>
            </w:r>
          </w:p>
        </w:tc>
        <w:tc>
          <w:tcPr>
            <w:tcW w:w="2051" w:type="dxa"/>
            <w:vAlign w:val="center"/>
          </w:tcPr>
          <w:p w14:paraId="6B01589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27.0900</w:t>
            </w:r>
          </w:p>
        </w:tc>
        <w:tc>
          <w:tcPr>
            <w:tcW w:w="1684" w:type="dxa"/>
            <w:vAlign w:val="center"/>
          </w:tcPr>
          <w:p w14:paraId="2DB0C4D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1.3545</w:t>
            </w:r>
          </w:p>
        </w:tc>
      </w:tr>
      <w:tr w14:paraId="4EB3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24523CA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900.0</w:t>
            </w:r>
          </w:p>
        </w:tc>
        <w:tc>
          <w:tcPr>
            <w:tcW w:w="2102" w:type="dxa"/>
            <w:vAlign w:val="center"/>
          </w:tcPr>
          <w:p w14:paraId="01EE515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74.5650</w:t>
            </w:r>
          </w:p>
        </w:tc>
        <w:tc>
          <w:tcPr>
            <w:tcW w:w="1725" w:type="dxa"/>
            <w:vAlign w:val="center"/>
          </w:tcPr>
          <w:p w14:paraId="2EB3AC6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3.7282</w:t>
            </w:r>
          </w:p>
        </w:tc>
        <w:tc>
          <w:tcPr>
            <w:tcW w:w="2051" w:type="dxa"/>
            <w:vAlign w:val="center"/>
          </w:tcPr>
          <w:p w14:paraId="3DE8F86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24.8550</w:t>
            </w:r>
          </w:p>
        </w:tc>
        <w:tc>
          <w:tcPr>
            <w:tcW w:w="1684" w:type="dxa"/>
            <w:vAlign w:val="center"/>
          </w:tcPr>
          <w:p w14:paraId="2D8E7F3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1.2428</w:t>
            </w:r>
          </w:p>
        </w:tc>
      </w:tr>
      <w:tr w14:paraId="0225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60B017F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1000.0</w:t>
            </w:r>
          </w:p>
        </w:tc>
        <w:tc>
          <w:tcPr>
            <w:tcW w:w="2102" w:type="dxa"/>
            <w:vAlign w:val="center"/>
          </w:tcPr>
          <w:p w14:paraId="5E9402F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68.7740</w:t>
            </w:r>
          </w:p>
        </w:tc>
        <w:tc>
          <w:tcPr>
            <w:tcW w:w="1725" w:type="dxa"/>
            <w:vAlign w:val="center"/>
          </w:tcPr>
          <w:p w14:paraId="6F43C72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3.4387</w:t>
            </w:r>
          </w:p>
        </w:tc>
        <w:tc>
          <w:tcPr>
            <w:tcW w:w="2051" w:type="dxa"/>
            <w:vAlign w:val="center"/>
          </w:tcPr>
          <w:p w14:paraId="163D01A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22.9250</w:t>
            </w:r>
          </w:p>
        </w:tc>
        <w:tc>
          <w:tcPr>
            <w:tcW w:w="1684" w:type="dxa"/>
            <w:vAlign w:val="center"/>
          </w:tcPr>
          <w:p w14:paraId="3D7665A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1.1462</w:t>
            </w:r>
          </w:p>
        </w:tc>
      </w:tr>
      <w:tr w14:paraId="5F5D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724B81D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1200.0</w:t>
            </w:r>
          </w:p>
        </w:tc>
        <w:tc>
          <w:tcPr>
            <w:tcW w:w="2102" w:type="dxa"/>
            <w:vAlign w:val="center"/>
          </w:tcPr>
          <w:p w14:paraId="55C1207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59.7840</w:t>
            </w:r>
          </w:p>
        </w:tc>
        <w:tc>
          <w:tcPr>
            <w:tcW w:w="1725" w:type="dxa"/>
            <w:vAlign w:val="center"/>
          </w:tcPr>
          <w:p w14:paraId="6D07AD2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2.9892</w:t>
            </w:r>
          </w:p>
        </w:tc>
        <w:tc>
          <w:tcPr>
            <w:tcW w:w="2051" w:type="dxa"/>
            <w:vAlign w:val="center"/>
          </w:tcPr>
          <w:p w14:paraId="5A8B94C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19.9280</w:t>
            </w:r>
          </w:p>
        </w:tc>
        <w:tc>
          <w:tcPr>
            <w:tcW w:w="1684" w:type="dxa"/>
            <w:vAlign w:val="center"/>
          </w:tcPr>
          <w:p w14:paraId="37D772D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0.9964</w:t>
            </w:r>
          </w:p>
        </w:tc>
      </w:tr>
      <w:tr w14:paraId="7B6B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110995A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1400.0</w:t>
            </w:r>
          </w:p>
        </w:tc>
        <w:tc>
          <w:tcPr>
            <w:tcW w:w="2102" w:type="dxa"/>
            <w:vAlign w:val="center"/>
          </w:tcPr>
          <w:p w14:paraId="37BE439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53.1350</w:t>
            </w:r>
          </w:p>
        </w:tc>
        <w:tc>
          <w:tcPr>
            <w:tcW w:w="1725" w:type="dxa"/>
            <w:vAlign w:val="center"/>
          </w:tcPr>
          <w:p w14:paraId="1932D1B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2.6567</w:t>
            </w:r>
          </w:p>
        </w:tc>
        <w:tc>
          <w:tcPr>
            <w:tcW w:w="2051" w:type="dxa"/>
            <w:vAlign w:val="center"/>
          </w:tcPr>
          <w:p w14:paraId="4DA5251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17.7120</w:t>
            </w:r>
          </w:p>
        </w:tc>
        <w:tc>
          <w:tcPr>
            <w:tcW w:w="1684" w:type="dxa"/>
            <w:vAlign w:val="center"/>
          </w:tcPr>
          <w:p w14:paraId="538DA12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0.8856</w:t>
            </w:r>
          </w:p>
        </w:tc>
      </w:tr>
      <w:tr w14:paraId="34C3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5A074A8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1600.0</w:t>
            </w:r>
          </w:p>
        </w:tc>
        <w:tc>
          <w:tcPr>
            <w:tcW w:w="2102" w:type="dxa"/>
            <w:vAlign w:val="center"/>
          </w:tcPr>
          <w:p w14:paraId="64C3067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49.0930</w:t>
            </w:r>
          </w:p>
        </w:tc>
        <w:tc>
          <w:tcPr>
            <w:tcW w:w="1725" w:type="dxa"/>
            <w:vAlign w:val="center"/>
          </w:tcPr>
          <w:p w14:paraId="28DBF2E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2.4547</w:t>
            </w:r>
          </w:p>
        </w:tc>
        <w:tc>
          <w:tcPr>
            <w:tcW w:w="2051" w:type="dxa"/>
            <w:vAlign w:val="center"/>
          </w:tcPr>
          <w:p w14:paraId="1901479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16.3650</w:t>
            </w:r>
          </w:p>
        </w:tc>
        <w:tc>
          <w:tcPr>
            <w:tcW w:w="1684" w:type="dxa"/>
            <w:vAlign w:val="center"/>
          </w:tcPr>
          <w:p w14:paraId="6123C83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0.8182</w:t>
            </w:r>
          </w:p>
        </w:tc>
      </w:tr>
      <w:tr w14:paraId="3EDB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55DAD8C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1800.0</w:t>
            </w:r>
          </w:p>
        </w:tc>
        <w:tc>
          <w:tcPr>
            <w:tcW w:w="2102" w:type="dxa"/>
            <w:vAlign w:val="center"/>
          </w:tcPr>
          <w:p w14:paraId="47BAE47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44.4670</w:t>
            </w:r>
          </w:p>
        </w:tc>
        <w:tc>
          <w:tcPr>
            <w:tcW w:w="1725" w:type="dxa"/>
            <w:vAlign w:val="center"/>
          </w:tcPr>
          <w:p w14:paraId="67DAABF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2.2233</w:t>
            </w:r>
          </w:p>
        </w:tc>
        <w:tc>
          <w:tcPr>
            <w:tcW w:w="2051" w:type="dxa"/>
            <w:vAlign w:val="center"/>
          </w:tcPr>
          <w:p w14:paraId="4B036E8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14.8230</w:t>
            </w:r>
          </w:p>
        </w:tc>
        <w:tc>
          <w:tcPr>
            <w:tcW w:w="1684" w:type="dxa"/>
            <w:vAlign w:val="center"/>
          </w:tcPr>
          <w:p w14:paraId="5DB333E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0.7412</w:t>
            </w:r>
          </w:p>
        </w:tc>
      </w:tr>
      <w:tr w14:paraId="321B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01B73A0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2000.0</w:t>
            </w:r>
          </w:p>
        </w:tc>
        <w:tc>
          <w:tcPr>
            <w:tcW w:w="2102" w:type="dxa"/>
            <w:vAlign w:val="center"/>
          </w:tcPr>
          <w:p w14:paraId="6D392C4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40.5450</w:t>
            </w:r>
          </w:p>
        </w:tc>
        <w:tc>
          <w:tcPr>
            <w:tcW w:w="1725" w:type="dxa"/>
            <w:vAlign w:val="center"/>
          </w:tcPr>
          <w:p w14:paraId="4564798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2.0273</w:t>
            </w:r>
          </w:p>
        </w:tc>
        <w:tc>
          <w:tcPr>
            <w:tcW w:w="2051" w:type="dxa"/>
            <w:vAlign w:val="center"/>
          </w:tcPr>
          <w:p w14:paraId="3A9844B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13.5150</w:t>
            </w:r>
          </w:p>
        </w:tc>
        <w:tc>
          <w:tcPr>
            <w:tcW w:w="1684" w:type="dxa"/>
            <w:vAlign w:val="center"/>
          </w:tcPr>
          <w:p w14:paraId="7E91955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0.6758</w:t>
            </w:r>
          </w:p>
        </w:tc>
      </w:tr>
      <w:tr w14:paraId="322A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5ABB711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2500.0</w:t>
            </w:r>
          </w:p>
        </w:tc>
        <w:tc>
          <w:tcPr>
            <w:tcW w:w="2102" w:type="dxa"/>
            <w:vAlign w:val="center"/>
          </w:tcPr>
          <w:p w14:paraId="63EF429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32.9810</w:t>
            </w:r>
          </w:p>
        </w:tc>
        <w:tc>
          <w:tcPr>
            <w:tcW w:w="1725" w:type="dxa"/>
            <w:vAlign w:val="center"/>
          </w:tcPr>
          <w:p w14:paraId="6CDAB1F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1.6491</w:t>
            </w:r>
          </w:p>
        </w:tc>
        <w:tc>
          <w:tcPr>
            <w:tcW w:w="2051" w:type="dxa"/>
            <w:vAlign w:val="center"/>
          </w:tcPr>
          <w:p w14:paraId="1CEAF88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10.9940</w:t>
            </w:r>
          </w:p>
        </w:tc>
        <w:tc>
          <w:tcPr>
            <w:tcW w:w="1684" w:type="dxa"/>
            <w:vAlign w:val="center"/>
          </w:tcPr>
          <w:p w14:paraId="7D4DF13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0.5497</w:t>
            </w:r>
          </w:p>
        </w:tc>
      </w:tr>
      <w:tr w14:paraId="489F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30D15E0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3000.0</w:t>
            </w:r>
          </w:p>
        </w:tc>
        <w:tc>
          <w:tcPr>
            <w:tcW w:w="2102" w:type="dxa"/>
            <w:vAlign w:val="center"/>
          </w:tcPr>
          <w:p w14:paraId="6B103F0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27.5830</w:t>
            </w:r>
          </w:p>
        </w:tc>
        <w:tc>
          <w:tcPr>
            <w:tcW w:w="1725" w:type="dxa"/>
            <w:vAlign w:val="center"/>
          </w:tcPr>
          <w:p w14:paraId="694DDFC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1.3792</w:t>
            </w:r>
          </w:p>
        </w:tc>
        <w:tc>
          <w:tcPr>
            <w:tcW w:w="2051" w:type="dxa"/>
            <w:vAlign w:val="center"/>
          </w:tcPr>
          <w:p w14:paraId="6B8DD99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9.1948</w:t>
            </w:r>
          </w:p>
        </w:tc>
        <w:tc>
          <w:tcPr>
            <w:tcW w:w="1684" w:type="dxa"/>
            <w:vAlign w:val="center"/>
          </w:tcPr>
          <w:p w14:paraId="3BE12D9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0.4597</w:t>
            </w:r>
          </w:p>
        </w:tc>
      </w:tr>
      <w:tr w14:paraId="3D27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223A556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3500.0</w:t>
            </w:r>
          </w:p>
        </w:tc>
        <w:tc>
          <w:tcPr>
            <w:tcW w:w="2102" w:type="dxa"/>
            <w:vAlign w:val="center"/>
          </w:tcPr>
          <w:p w14:paraId="32EA4DD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23.5690</w:t>
            </w:r>
          </w:p>
        </w:tc>
        <w:tc>
          <w:tcPr>
            <w:tcW w:w="1725" w:type="dxa"/>
            <w:vAlign w:val="center"/>
          </w:tcPr>
          <w:p w14:paraId="61B8342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1.1784</w:t>
            </w:r>
          </w:p>
        </w:tc>
        <w:tc>
          <w:tcPr>
            <w:tcW w:w="2051" w:type="dxa"/>
            <w:vAlign w:val="center"/>
          </w:tcPr>
          <w:p w14:paraId="72B48A5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7.8565</w:t>
            </w:r>
          </w:p>
        </w:tc>
        <w:tc>
          <w:tcPr>
            <w:tcW w:w="1684" w:type="dxa"/>
            <w:vAlign w:val="center"/>
          </w:tcPr>
          <w:p w14:paraId="132CEA5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0.3928</w:t>
            </w:r>
          </w:p>
        </w:tc>
      </w:tr>
      <w:tr w14:paraId="3374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27C7651A">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4000.0</w:t>
            </w:r>
          </w:p>
        </w:tc>
        <w:tc>
          <w:tcPr>
            <w:tcW w:w="2102" w:type="dxa"/>
            <w:vAlign w:val="center"/>
          </w:tcPr>
          <w:p w14:paraId="277E561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20.4820</w:t>
            </w:r>
          </w:p>
        </w:tc>
        <w:tc>
          <w:tcPr>
            <w:tcW w:w="1725" w:type="dxa"/>
            <w:vAlign w:val="center"/>
          </w:tcPr>
          <w:p w14:paraId="34B85F7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1.0241</w:t>
            </w:r>
          </w:p>
        </w:tc>
        <w:tc>
          <w:tcPr>
            <w:tcW w:w="2051" w:type="dxa"/>
            <w:vAlign w:val="center"/>
          </w:tcPr>
          <w:p w14:paraId="2032D57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6.8277</w:t>
            </w:r>
          </w:p>
        </w:tc>
        <w:tc>
          <w:tcPr>
            <w:tcW w:w="1684" w:type="dxa"/>
            <w:vAlign w:val="center"/>
          </w:tcPr>
          <w:p w14:paraId="5933CE0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0.3414</w:t>
            </w:r>
          </w:p>
        </w:tc>
      </w:tr>
      <w:tr w14:paraId="32C5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26AE0B5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4500.0</w:t>
            </w:r>
          </w:p>
        </w:tc>
        <w:tc>
          <w:tcPr>
            <w:tcW w:w="2102" w:type="dxa"/>
            <w:vAlign w:val="center"/>
          </w:tcPr>
          <w:p w14:paraId="7DF5995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18.0460</w:t>
            </w:r>
          </w:p>
        </w:tc>
        <w:tc>
          <w:tcPr>
            <w:tcW w:w="1725" w:type="dxa"/>
            <w:vAlign w:val="center"/>
          </w:tcPr>
          <w:p w14:paraId="52077F4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0.9023</w:t>
            </w:r>
          </w:p>
        </w:tc>
        <w:tc>
          <w:tcPr>
            <w:tcW w:w="2051" w:type="dxa"/>
            <w:vAlign w:val="center"/>
          </w:tcPr>
          <w:p w14:paraId="04ABCD4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6.0155</w:t>
            </w:r>
          </w:p>
        </w:tc>
        <w:tc>
          <w:tcPr>
            <w:tcW w:w="1684" w:type="dxa"/>
            <w:vAlign w:val="center"/>
          </w:tcPr>
          <w:p w14:paraId="4DEDB1A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0.3008</w:t>
            </w:r>
          </w:p>
        </w:tc>
      </w:tr>
      <w:tr w14:paraId="1B18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687FDC4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5000.0</w:t>
            </w:r>
          </w:p>
        </w:tc>
        <w:tc>
          <w:tcPr>
            <w:tcW w:w="2102" w:type="dxa"/>
            <w:vAlign w:val="center"/>
          </w:tcPr>
          <w:p w14:paraId="0C31DD5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16.0800</w:t>
            </w:r>
          </w:p>
        </w:tc>
        <w:tc>
          <w:tcPr>
            <w:tcW w:w="1725" w:type="dxa"/>
            <w:vAlign w:val="center"/>
          </w:tcPr>
          <w:p w14:paraId="70062F9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0.8040</w:t>
            </w:r>
          </w:p>
        </w:tc>
        <w:tc>
          <w:tcPr>
            <w:tcW w:w="2051" w:type="dxa"/>
            <w:vAlign w:val="center"/>
          </w:tcPr>
          <w:p w14:paraId="385DC3C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5.3602</w:t>
            </w:r>
          </w:p>
        </w:tc>
        <w:tc>
          <w:tcPr>
            <w:tcW w:w="1684" w:type="dxa"/>
            <w:vAlign w:val="center"/>
          </w:tcPr>
          <w:p w14:paraId="002B604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0.2680</w:t>
            </w:r>
          </w:p>
        </w:tc>
      </w:tr>
      <w:tr w14:paraId="59FB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1E33E10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10000.0</w:t>
            </w:r>
          </w:p>
        </w:tc>
        <w:tc>
          <w:tcPr>
            <w:tcW w:w="2102" w:type="dxa"/>
            <w:vAlign w:val="center"/>
          </w:tcPr>
          <w:p w14:paraId="474C368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7.2509</w:t>
            </w:r>
          </w:p>
        </w:tc>
        <w:tc>
          <w:tcPr>
            <w:tcW w:w="1725" w:type="dxa"/>
            <w:vAlign w:val="center"/>
          </w:tcPr>
          <w:p w14:paraId="51D4142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0.3625</w:t>
            </w:r>
          </w:p>
        </w:tc>
        <w:tc>
          <w:tcPr>
            <w:tcW w:w="2051" w:type="dxa"/>
            <w:vAlign w:val="center"/>
          </w:tcPr>
          <w:p w14:paraId="50172BA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2.4171</w:t>
            </w:r>
          </w:p>
        </w:tc>
        <w:tc>
          <w:tcPr>
            <w:tcW w:w="1684" w:type="dxa"/>
            <w:vAlign w:val="center"/>
          </w:tcPr>
          <w:p w14:paraId="23F3C5E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0.1209</w:t>
            </w:r>
          </w:p>
        </w:tc>
      </w:tr>
      <w:tr w14:paraId="6BE8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297D6FA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11000.0</w:t>
            </w:r>
          </w:p>
        </w:tc>
        <w:tc>
          <w:tcPr>
            <w:tcW w:w="2102" w:type="dxa"/>
            <w:vAlign w:val="center"/>
          </w:tcPr>
          <w:p w14:paraId="4C31FC6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6.4733</w:t>
            </w:r>
          </w:p>
        </w:tc>
        <w:tc>
          <w:tcPr>
            <w:tcW w:w="1725" w:type="dxa"/>
            <w:vAlign w:val="center"/>
          </w:tcPr>
          <w:p w14:paraId="34AC592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0.3237</w:t>
            </w:r>
          </w:p>
        </w:tc>
        <w:tc>
          <w:tcPr>
            <w:tcW w:w="2051" w:type="dxa"/>
            <w:vAlign w:val="center"/>
          </w:tcPr>
          <w:p w14:paraId="52E5ECD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2.1579</w:t>
            </w:r>
          </w:p>
        </w:tc>
        <w:tc>
          <w:tcPr>
            <w:tcW w:w="1684" w:type="dxa"/>
            <w:vAlign w:val="center"/>
          </w:tcPr>
          <w:p w14:paraId="59BABCC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0.1079</w:t>
            </w:r>
          </w:p>
        </w:tc>
      </w:tr>
      <w:tr w14:paraId="3FD5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440ACC8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12000.0</w:t>
            </w:r>
          </w:p>
        </w:tc>
        <w:tc>
          <w:tcPr>
            <w:tcW w:w="2102" w:type="dxa"/>
            <w:vAlign w:val="center"/>
          </w:tcPr>
          <w:p w14:paraId="6D550E1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5.8329</w:t>
            </w:r>
          </w:p>
        </w:tc>
        <w:tc>
          <w:tcPr>
            <w:tcW w:w="1725" w:type="dxa"/>
            <w:vAlign w:val="center"/>
          </w:tcPr>
          <w:p w14:paraId="730B5BC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0.2916</w:t>
            </w:r>
          </w:p>
        </w:tc>
        <w:tc>
          <w:tcPr>
            <w:tcW w:w="2051" w:type="dxa"/>
            <w:vAlign w:val="center"/>
          </w:tcPr>
          <w:p w14:paraId="15CCDB3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1.9444</w:t>
            </w:r>
          </w:p>
        </w:tc>
        <w:tc>
          <w:tcPr>
            <w:tcW w:w="1684" w:type="dxa"/>
            <w:vAlign w:val="center"/>
          </w:tcPr>
          <w:p w14:paraId="6F0221B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0.0972</w:t>
            </w:r>
          </w:p>
        </w:tc>
      </w:tr>
      <w:tr w14:paraId="2C48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7C41F41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13000.0</w:t>
            </w:r>
          </w:p>
        </w:tc>
        <w:tc>
          <w:tcPr>
            <w:tcW w:w="2102" w:type="dxa"/>
            <w:vAlign w:val="center"/>
          </w:tcPr>
          <w:p w14:paraId="093DE55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5.2972</w:t>
            </w:r>
          </w:p>
        </w:tc>
        <w:tc>
          <w:tcPr>
            <w:tcW w:w="1725" w:type="dxa"/>
            <w:vAlign w:val="center"/>
          </w:tcPr>
          <w:p w14:paraId="2693B2B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0.2649</w:t>
            </w:r>
          </w:p>
        </w:tc>
        <w:tc>
          <w:tcPr>
            <w:tcW w:w="2051" w:type="dxa"/>
            <w:vAlign w:val="center"/>
          </w:tcPr>
          <w:p w14:paraId="0B3CD3B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1.7658</w:t>
            </w:r>
          </w:p>
        </w:tc>
        <w:tc>
          <w:tcPr>
            <w:tcW w:w="1684" w:type="dxa"/>
            <w:vAlign w:val="center"/>
          </w:tcPr>
          <w:p w14:paraId="379362F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0.0883</w:t>
            </w:r>
          </w:p>
        </w:tc>
      </w:tr>
      <w:tr w14:paraId="615C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6769D49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14000.0</w:t>
            </w:r>
          </w:p>
        </w:tc>
        <w:tc>
          <w:tcPr>
            <w:tcW w:w="2102" w:type="dxa"/>
            <w:vAlign w:val="center"/>
          </w:tcPr>
          <w:p w14:paraId="620DCC8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4.8434</w:t>
            </w:r>
          </w:p>
        </w:tc>
        <w:tc>
          <w:tcPr>
            <w:tcW w:w="1725" w:type="dxa"/>
            <w:vAlign w:val="center"/>
          </w:tcPr>
          <w:p w14:paraId="466CDDF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0.2422</w:t>
            </w:r>
          </w:p>
        </w:tc>
        <w:tc>
          <w:tcPr>
            <w:tcW w:w="2051" w:type="dxa"/>
            <w:vAlign w:val="center"/>
          </w:tcPr>
          <w:p w14:paraId="598C350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1.6145</w:t>
            </w:r>
          </w:p>
        </w:tc>
        <w:tc>
          <w:tcPr>
            <w:tcW w:w="1684" w:type="dxa"/>
            <w:vAlign w:val="center"/>
          </w:tcPr>
          <w:p w14:paraId="72DB47C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0.0807</w:t>
            </w:r>
          </w:p>
        </w:tc>
      </w:tr>
      <w:tr w14:paraId="0551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32EA83BD">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15000.0</w:t>
            </w:r>
          </w:p>
        </w:tc>
        <w:tc>
          <w:tcPr>
            <w:tcW w:w="2102" w:type="dxa"/>
            <w:vAlign w:val="center"/>
          </w:tcPr>
          <w:p w14:paraId="69CCA7D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4.4545</w:t>
            </w:r>
          </w:p>
        </w:tc>
        <w:tc>
          <w:tcPr>
            <w:tcW w:w="1725" w:type="dxa"/>
            <w:vAlign w:val="center"/>
          </w:tcPr>
          <w:p w14:paraId="6B5026E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0.2227</w:t>
            </w:r>
          </w:p>
        </w:tc>
        <w:tc>
          <w:tcPr>
            <w:tcW w:w="2051" w:type="dxa"/>
            <w:vAlign w:val="center"/>
          </w:tcPr>
          <w:p w14:paraId="7CF0EAB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1.4849</w:t>
            </w:r>
          </w:p>
        </w:tc>
        <w:tc>
          <w:tcPr>
            <w:tcW w:w="1684" w:type="dxa"/>
            <w:vAlign w:val="center"/>
          </w:tcPr>
          <w:p w14:paraId="41697248">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0.0742</w:t>
            </w:r>
          </w:p>
        </w:tc>
      </w:tr>
      <w:tr w14:paraId="2D43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351B61E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20000.0</w:t>
            </w:r>
          </w:p>
        </w:tc>
        <w:tc>
          <w:tcPr>
            <w:tcW w:w="2102" w:type="dxa"/>
            <w:vAlign w:val="center"/>
          </w:tcPr>
          <w:p w14:paraId="768790A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3.1333</w:t>
            </w:r>
          </w:p>
        </w:tc>
        <w:tc>
          <w:tcPr>
            <w:tcW w:w="1725" w:type="dxa"/>
            <w:vAlign w:val="center"/>
          </w:tcPr>
          <w:p w14:paraId="49C4C67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0.1567</w:t>
            </w:r>
          </w:p>
        </w:tc>
        <w:tc>
          <w:tcPr>
            <w:tcW w:w="2051" w:type="dxa"/>
            <w:vAlign w:val="center"/>
          </w:tcPr>
          <w:p w14:paraId="1CFF53E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1.0445</w:t>
            </w:r>
          </w:p>
        </w:tc>
        <w:tc>
          <w:tcPr>
            <w:tcW w:w="1684" w:type="dxa"/>
            <w:vAlign w:val="center"/>
          </w:tcPr>
          <w:p w14:paraId="0A4251A9">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0.0522</w:t>
            </w:r>
          </w:p>
        </w:tc>
      </w:tr>
      <w:tr w14:paraId="7D62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0F0ECBB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25000.0</w:t>
            </w:r>
          </w:p>
        </w:tc>
        <w:tc>
          <w:tcPr>
            <w:tcW w:w="2102" w:type="dxa"/>
            <w:vAlign w:val="center"/>
          </w:tcPr>
          <w:p w14:paraId="45A984B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2.3786</w:t>
            </w:r>
          </w:p>
        </w:tc>
        <w:tc>
          <w:tcPr>
            <w:tcW w:w="1725" w:type="dxa"/>
            <w:vAlign w:val="center"/>
          </w:tcPr>
          <w:p w14:paraId="13564A6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0.1189</w:t>
            </w:r>
          </w:p>
        </w:tc>
        <w:tc>
          <w:tcPr>
            <w:tcW w:w="2051" w:type="dxa"/>
            <w:vAlign w:val="center"/>
          </w:tcPr>
          <w:p w14:paraId="707077E0">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0.7929</w:t>
            </w:r>
          </w:p>
        </w:tc>
        <w:tc>
          <w:tcPr>
            <w:tcW w:w="1684" w:type="dxa"/>
            <w:vAlign w:val="center"/>
          </w:tcPr>
          <w:p w14:paraId="25B3CA42">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0.0396</w:t>
            </w:r>
          </w:p>
        </w:tc>
      </w:tr>
      <w:tr w14:paraId="622D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59EE9E7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下风向最大浓度</w:t>
            </w:r>
          </w:p>
        </w:tc>
        <w:tc>
          <w:tcPr>
            <w:tcW w:w="2102" w:type="dxa"/>
            <w:vAlign w:val="center"/>
          </w:tcPr>
          <w:p w14:paraId="3242245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228.9900</w:t>
            </w:r>
          </w:p>
        </w:tc>
        <w:tc>
          <w:tcPr>
            <w:tcW w:w="1725" w:type="dxa"/>
            <w:vAlign w:val="center"/>
          </w:tcPr>
          <w:p w14:paraId="2E798AD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11.4495</w:t>
            </w:r>
          </w:p>
        </w:tc>
        <w:tc>
          <w:tcPr>
            <w:tcW w:w="2051" w:type="dxa"/>
            <w:vAlign w:val="center"/>
          </w:tcPr>
          <w:p w14:paraId="07CFC3B5">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76.3310</w:t>
            </w:r>
          </w:p>
        </w:tc>
        <w:tc>
          <w:tcPr>
            <w:tcW w:w="1684" w:type="dxa"/>
            <w:vAlign w:val="center"/>
          </w:tcPr>
          <w:p w14:paraId="48939E5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3.8166</w:t>
            </w:r>
          </w:p>
        </w:tc>
      </w:tr>
      <w:tr w14:paraId="0FC9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01BBFF96">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下风向最大浓度出现距离</w:t>
            </w:r>
          </w:p>
        </w:tc>
        <w:tc>
          <w:tcPr>
            <w:tcW w:w="2102" w:type="dxa"/>
            <w:vAlign w:val="center"/>
          </w:tcPr>
          <w:p w14:paraId="2448D684">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76.0</w:t>
            </w:r>
          </w:p>
        </w:tc>
        <w:tc>
          <w:tcPr>
            <w:tcW w:w="1725" w:type="dxa"/>
            <w:vAlign w:val="center"/>
          </w:tcPr>
          <w:p w14:paraId="195A4233">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76.0</w:t>
            </w:r>
          </w:p>
        </w:tc>
        <w:tc>
          <w:tcPr>
            <w:tcW w:w="2051" w:type="dxa"/>
            <w:vAlign w:val="center"/>
          </w:tcPr>
          <w:p w14:paraId="36AA6A81">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76.0</w:t>
            </w:r>
          </w:p>
        </w:tc>
        <w:tc>
          <w:tcPr>
            <w:tcW w:w="1684" w:type="dxa"/>
            <w:vAlign w:val="center"/>
          </w:tcPr>
          <w:p w14:paraId="42C4B7BF">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76.0</w:t>
            </w:r>
          </w:p>
        </w:tc>
      </w:tr>
      <w:tr w14:paraId="445B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4" w:type="dxa"/>
            <w:vAlign w:val="center"/>
          </w:tcPr>
          <w:p w14:paraId="50DF0FEC">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D10%最远距离</w:t>
            </w:r>
          </w:p>
        </w:tc>
        <w:tc>
          <w:tcPr>
            <w:tcW w:w="2102" w:type="dxa"/>
            <w:vAlign w:val="center"/>
          </w:tcPr>
          <w:p w14:paraId="1872C22E">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200.0</w:t>
            </w:r>
          </w:p>
        </w:tc>
        <w:tc>
          <w:tcPr>
            <w:tcW w:w="1725" w:type="dxa"/>
            <w:vAlign w:val="center"/>
          </w:tcPr>
          <w:p w14:paraId="0590125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200.0</w:t>
            </w:r>
          </w:p>
        </w:tc>
        <w:tc>
          <w:tcPr>
            <w:tcW w:w="2051" w:type="dxa"/>
            <w:vAlign w:val="center"/>
          </w:tcPr>
          <w:p w14:paraId="031C4CDB">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w:t>
            </w:r>
          </w:p>
        </w:tc>
        <w:tc>
          <w:tcPr>
            <w:tcW w:w="1684" w:type="dxa"/>
            <w:vAlign w:val="center"/>
          </w:tcPr>
          <w:p w14:paraId="6FBD1857">
            <w:pPr>
              <w:adjustRightInd w:val="0"/>
              <w:snapToGrid w:val="0"/>
              <w:spacing w:line="360" w:lineRule="exact"/>
              <w:jc w:val="center"/>
              <w:rPr>
                <w:rFonts w:ascii="宋体" w:hAnsi="宋体" w:eastAsia="宋体" w:cs="Times New Roman"/>
                <w:color w:val="auto"/>
                <w:kern w:val="24"/>
              </w:rPr>
            </w:pPr>
            <w:r>
              <w:rPr>
                <w:rFonts w:ascii="宋体" w:hAnsi="宋体" w:eastAsia="宋体" w:cs="Times New Roman"/>
                <w:color w:val="auto"/>
                <w:kern w:val="24"/>
              </w:rPr>
              <w:t>/</w:t>
            </w:r>
          </w:p>
        </w:tc>
      </w:tr>
    </w:tbl>
    <w:p w14:paraId="0D863DB4">
      <w:pPr>
        <w:pStyle w:val="276"/>
        <w:widowControl w:val="0"/>
        <w:spacing w:line="440" w:lineRule="exact"/>
        <w:ind w:firstLine="480"/>
        <w:jc w:val="both"/>
        <w:rPr>
          <w:color w:val="auto"/>
          <w:lang w:bidi="zh-CN"/>
        </w:rPr>
      </w:pPr>
      <w:r>
        <w:rPr>
          <w:color w:val="auto"/>
          <w:lang w:val="zh-CN" w:bidi="zh-CN"/>
        </w:rPr>
        <w:t>本项目最大地面浓度占标率统计结果见</w:t>
      </w:r>
      <w:r>
        <w:rPr>
          <w:color w:val="auto"/>
          <w:lang w:val="zh-CN" w:bidi="zh-CN"/>
        </w:rPr>
        <w:fldChar w:fldCharType="begin"/>
      </w:r>
      <w:r>
        <w:rPr>
          <w:color w:val="auto"/>
          <w:lang w:val="zh-CN" w:bidi="zh-CN"/>
        </w:rPr>
        <w:instrText xml:space="preserve"> REF _Ref211957847 \h  \* MERGEFORMAT </w:instrText>
      </w:r>
      <w:r>
        <w:rPr>
          <w:color w:val="auto"/>
          <w:lang w:val="zh-CN" w:bidi="zh-CN"/>
        </w:rPr>
        <w:fldChar w:fldCharType="separate"/>
      </w:r>
      <w:r>
        <w:rPr>
          <w:rFonts w:hint="eastAsia"/>
          <w:color w:val="auto"/>
        </w:rPr>
        <w:t xml:space="preserve">表 </w:t>
      </w:r>
      <w:r>
        <w:rPr>
          <w:color w:val="auto"/>
        </w:rPr>
        <w:t>2.6</w:t>
      </w:r>
      <w:r>
        <w:rPr>
          <w:color w:val="auto"/>
        </w:rPr>
        <w:noBreakHyphen/>
      </w:r>
      <w:r>
        <w:rPr>
          <w:color w:val="auto"/>
        </w:rPr>
        <w:t>7</w:t>
      </w:r>
      <w:r>
        <w:rPr>
          <w:color w:val="auto"/>
          <w:lang w:val="zh-CN" w:bidi="zh-CN"/>
        </w:rPr>
        <w:fldChar w:fldCharType="end"/>
      </w:r>
      <w:r>
        <w:rPr>
          <w:color w:val="auto"/>
          <w:lang w:bidi="zh-CN"/>
        </w:rPr>
        <w:t>。</w:t>
      </w:r>
    </w:p>
    <w:p w14:paraId="71F9E96C">
      <w:pPr>
        <w:pStyle w:val="22"/>
        <w:spacing w:before="156"/>
        <w:rPr>
          <w:rFonts w:hAnsi="宋体" w:cs="Times New Roman"/>
          <w:color w:val="auto"/>
          <w:sz w:val="28"/>
          <w:szCs w:val="22"/>
          <w:lang w:bidi="zh-CN"/>
        </w:rPr>
      </w:pPr>
      <w:bookmarkStart w:id="396" w:name="_Ref211957847"/>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7</w:t>
      </w:r>
      <w:r>
        <w:rPr>
          <w:color w:val="auto"/>
        </w:rPr>
        <w:fldChar w:fldCharType="end"/>
      </w:r>
      <w:bookmarkEnd w:id="396"/>
      <w:r>
        <w:rPr>
          <w:rFonts w:hAnsi="宋体" w:cs="Times New Roman"/>
          <w:color w:val="auto"/>
          <w:lang w:bidi="zh-CN"/>
        </w:rPr>
        <w:t xml:space="preserve">  </w:t>
      </w:r>
      <w:r>
        <w:rPr>
          <w:color w:val="auto"/>
        </w:rPr>
        <w:t>主要污染物最大地面浓度占标率统计结果</w:t>
      </w:r>
    </w:p>
    <w:tbl>
      <w:tblPr>
        <w:tblStyle w:val="8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8"/>
        <w:gridCol w:w="1620"/>
        <w:gridCol w:w="1140"/>
        <w:gridCol w:w="1710"/>
        <w:gridCol w:w="1290"/>
        <w:gridCol w:w="842"/>
      </w:tblGrid>
      <w:tr w14:paraId="18CF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Align w:val="center"/>
          </w:tcPr>
          <w:p w14:paraId="1B7CB592">
            <w:pPr>
              <w:spacing w:line="360" w:lineRule="exact"/>
              <w:jc w:val="center"/>
              <w:rPr>
                <w:rFonts w:ascii="宋体" w:hAnsi="宋体" w:eastAsia="宋体" w:cs="Times New Roman"/>
                <w:color w:val="auto"/>
              </w:rPr>
            </w:pPr>
            <w:r>
              <w:rPr>
                <w:rFonts w:ascii="宋体" w:hAnsi="宋体" w:eastAsia="宋体" w:cs="Times New Roman"/>
                <w:color w:val="auto"/>
              </w:rPr>
              <w:t>污染源</w:t>
            </w:r>
          </w:p>
        </w:tc>
        <w:tc>
          <w:tcPr>
            <w:tcW w:w="1620" w:type="dxa"/>
            <w:vAlign w:val="center"/>
          </w:tcPr>
          <w:p w14:paraId="1A4E53B8">
            <w:pPr>
              <w:spacing w:line="360" w:lineRule="exact"/>
              <w:jc w:val="center"/>
              <w:rPr>
                <w:rFonts w:ascii="宋体" w:hAnsi="宋体" w:eastAsia="宋体" w:cs="Times New Roman"/>
                <w:color w:val="auto"/>
              </w:rPr>
            </w:pPr>
            <w:r>
              <w:rPr>
                <w:rFonts w:ascii="宋体" w:hAnsi="宋体" w:eastAsia="宋体" w:cs="Times New Roman"/>
                <w:color w:val="auto"/>
              </w:rPr>
              <w:t>预测因子</w:t>
            </w:r>
          </w:p>
        </w:tc>
        <w:tc>
          <w:tcPr>
            <w:tcW w:w="1140" w:type="dxa"/>
            <w:vAlign w:val="center"/>
          </w:tcPr>
          <w:p w14:paraId="49EE7DBA">
            <w:pPr>
              <w:spacing w:line="360" w:lineRule="exact"/>
              <w:jc w:val="center"/>
              <w:rPr>
                <w:rFonts w:ascii="宋体" w:hAnsi="宋体" w:eastAsia="宋体" w:cs="Times New Roman"/>
                <w:color w:val="auto"/>
              </w:rPr>
            </w:pPr>
            <w:r>
              <w:rPr>
                <w:rFonts w:ascii="宋体" w:hAnsi="宋体" w:eastAsia="宋体" w:cs="Times New Roman"/>
                <w:color w:val="auto"/>
              </w:rPr>
              <w:t>评价标准(μg/m</w:t>
            </w:r>
            <w:r>
              <w:rPr>
                <w:rFonts w:ascii="宋体" w:hAnsi="宋体" w:eastAsia="宋体" w:cs="Times New Roman"/>
                <w:color w:val="auto"/>
                <w:vertAlign w:val="superscript"/>
              </w:rPr>
              <w:t>3</w:t>
            </w:r>
            <w:r>
              <w:rPr>
                <w:rFonts w:ascii="宋体" w:hAnsi="宋体" w:eastAsia="宋体" w:cs="Times New Roman"/>
                <w:color w:val="auto"/>
              </w:rPr>
              <w:t>)</w:t>
            </w:r>
          </w:p>
        </w:tc>
        <w:tc>
          <w:tcPr>
            <w:tcW w:w="1710" w:type="dxa"/>
            <w:vAlign w:val="center"/>
          </w:tcPr>
          <w:p w14:paraId="5D5A3823">
            <w:pPr>
              <w:spacing w:line="360" w:lineRule="exact"/>
              <w:jc w:val="center"/>
              <w:rPr>
                <w:rFonts w:ascii="宋体" w:hAnsi="宋体" w:eastAsia="宋体" w:cs="Times New Roman"/>
                <w:color w:val="auto"/>
              </w:rPr>
            </w:pPr>
            <w:r>
              <w:rPr>
                <w:rFonts w:ascii="宋体" w:hAnsi="宋体" w:eastAsia="宋体" w:cs="Times New Roman"/>
                <w:color w:val="auto"/>
              </w:rPr>
              <w:t>最大地面空气质量浓度（μg/m³）</w:t>
            </w:r>
          </w:p>
        </w:tc>
        <w:tc>
          <w:tcPr>
            <w:tcW w:w="1290" w:type="dxa"/>
            <w:vAlign w:val="center"/>
          </w:tcPr>
          <w:p w14:paraId="6928824F">
            <w:pPr>
              <w:spacing w:line="360" w:lineRule="exact"/>
              <w:jc w:val="center"/>
              <w:rPr>
                <w:rFonts w:ascii="宋体" w:hAnsi="宋体" w:eastAsia="宋体" w:cs="Times New Roman"/>
                <w:color w:val="auto"/>
              </w:rPr>
            </w:pPr>
            <w:r>
              <w:rPr>
                <w:rFonts w:ascii="宋体" w:hAnsi="宋体" w:eastAsia="宋体" w:cs="Times New Roman"/>
                <w:color w:val="auto"/>
              </w:rPr>
              <w:t>最大浓度占标率（%）</w:t>
            </w:r>
          </w:p>
        </w:tc>
        <w:tc>
          <w:tcPr>
            <w:tcW w:w="842" w:type="dxa"/>
            <w:vAlign w:val="center"/>
          </w:tcPr>
          <w:p w14:paraId="521C0A9B">
            <w:pPr>
              <w:spacing w:line="360" w:lineRule="exact"/>
              <w:jc w:val="center"/>
              <w:rPr>
                <w:rFonts w:ascii="宋体" w:hAnsi="宋体" w:eastAsia="宋体" w:cs="Times New Roman"/>
                <w:color w:val="auto"/>
              </w:rPr>
            </w:pPr>
            <w:r>
              <w:rPr>
                <w:rFonts w:ascii="宋体" w:hAnsi="宋体" w:eastAsia="宋体" w:cs="Times New Roman"/>
                <w:color w:val="auto"/>
              </w:rPr>
              <w:t>D10%(m)</w:t>
            </w:r>
          </w:p>
        </w:tc>
      </w:tr>
      <w:tr w14:paraId="7754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Merge w:val="restart"/>
            <w:vAlign w:val="center"/>
          </w:tcPr>
          <w:p w14:paraId="76969E6D">
            <w:pPr>
              <w:spacing w:line="360" w:lineRule="exact"/>
              <w:jc w:val="center"/>
              <w:rPr>
                <w:rFonts w:ascii="宋体" w:hAnsi="宋体" w:eastAsia="宋体" w:cs="Times New Roman"/>
                <w:color w:val="auto"/>
              </w:rPr>
            </w:pPr>
            <w:r>
              <w:rPr>
                <w:rFonts w:ascii="宋体" w:hAnsi="宋体" w:eastAsia="宋体" w:cs="Times New Roman"/>
                <w:color w:val="auto"/>
              </w:rPr>
              <w:t>拉油点</w:t>
            </w:r>
            <w:r>
              <w:rPr>
                <w:rFonts w:hint="eastAsia" w:ascii="宋体" w:hAnsi="宋体" w:eastAsia="宋体" w:cs="Times New Roman"/>
                <w:color w:val="auto"/>
              </w:rPr>
              <w:t>3</w:t>
            </w:r>
            <w:r>
              <w:rPr>
                <w:rFonts w:ascii="宋体" w:hAnsi="宋体" w:eastAsia="宋体" w:cs="Times New Roman"/>
                <w:color w:val="auto"/>
              </w:rPr>
              <w:t>#储罐加热炉</w:t>
            </w:r>
          </w:p>
        </w:tc>
        <w:tc>
          <w:tcPr>
            <w:tcW w:w="1620" w:type="dxa"/>
            <w:vAlign w:val="center"/>
          </w:tcPr>
          <w:p w14:paraId="0B48B715">
            <w:pPr>
              <w:spacing w:line="360" w:lineRule="exact"/>
              <w:jc w:val="center"/>
              <w:rPr>
                <w:rFonts w:ascii="宋体" w:hAnsi="宋体" w:eastAsia="宋体" w:cs="Times New Roman"/>
                <w:color w:val="auto"/>
              </w:rPr>
            </w:pPr>
            <w:r>
              <w:rPr>
                <w:rFonts w:ascii="宋体" w:hAnsi="宋体" w:eastAsia="宋体" w:cs="Times New Roman"/>
                <w:color w:val="auto"/>
              </w:rPr>
              <w:t>颗粒物（PM</w:t>
            </w:r>
            <w:r>
              <w:rPr>
                <w:rFonts w:ascii="宋体" w:hAnsi="宋体" w:eastAsia="宋体" w:cs="Times New Roman"/>
                <w:color w:val="auto"/>
                <w:vertAlign w:val="subscript"/>
              </w:rPr>
              <w:t>10</w:t>
            </w:r>
            <w:r>
              <w:rPr>
                <w:rFonts w:ascii="宋体" w:hAnsi="宋体" w:eastAsia="宋体" w:cs="Times New Roman"/>
                <w:color w:val="auto"/>
              </w:rPr>
              <w:t>）</w:t>
            </w:r>
          </w:p>
        </w:tc>
        <w:tc>
          <w:tcPr>
            <w:tcW w:w="1140" w:type="dxa"/>
            <w:vAlign w:val="center"/>
          </w:tcPr>
          <w:p w14:paraId="7FA4614A">
            <w:pPr>
              <w:spacing w:line="360" w:lineRule="exact"/>
              <w:jc w:val="center"/>
              <w:rPr>
                <w:rFonts w:ascii="宋体" w:hAnsi="宋体" w:eastAsia="宋体" w:cs="Times New Roman"/>
                <w:color w:val="auto"/>
              </w:rPr>
            </w:pPr>
            <w:r>
              <w:rPr>
                <w:rFonts w:ascii="宋体" w:hAnsi="宋体" w:eastAsia="宋体" w:cs="Times New Roman"/>
                <w:color w:val="auto"/>
              </w:rPr>
              <w:t>450</w:t>
            </w:r>
          </w:p>
        </w:tc>
        <w:tc>
          <w:tcPr>
            <w:tcW w:w="1710" w:type="dxa"/>
            <w:vAlign w:val="center"/>
          </w:tcPr>
          <w:p w14:paraId="60354AB8">
            <w:pPr>
              <w:spacing w:line="360" w:lineRule="exact"/>
              <w:jc w:val="center"/>
              <w:rPr>
                <w:rFonts w:ascii="宋体" w:hAnsi="宋体" w:eastAsia="宋体" w:cs="Times New Roman"/>
                <w:color w:val="auto"/>
              </w:rPr>
            </w:pPr>
            <w:r>
              <w:rPr>
                <w:rFonts w:ascii="宋体" w:hAnsi="宋体" w:eastAsia="宋体" w:cs="Times New Roman"/>
                <w:color w:val="auto"/>
              </w:rPr>
              <w:t>0.0459</w:t>
            </w:r>
          </w:p>
        </w:tc>
        <w:tc>
          <w:tcPr>
            <w:tcW w:w="1290" w:type="dxa"/>
            <w:vAlign w:val="center"/>
          </w:tcPr>
          <w:p w14:paraId="778051FA">
            <w:pPr>
              <w:spacing w:line="360" w:lineRule="exact"/>
              <w:jc w:val="center"/>
              <w:rPr>
                <w:rFonts w:ascii="宋体" w:hAnsi="宋体" w:eastAsia="宋体" w:cs="Times New Roman"/>
                <w:color w:val="auto"/>
              </w:rPr>
            </w:pPr>
            <w:r>
              <w:rPr>
                <w:rFonts w:ascii="宋体" w:hAnsi="宋体" w:eastAsia="宋体" w:cs="Times New Roman"/>
                <w:color w:val="auto"/>
              </w:rPr>
              <w:t>0.0102</w:t>
            </w:r>
          </w:p>
        </w:tc>
        <w:tc>
          <w:tcPr>
            <w:tcW w:w="842" w:type="dxa"/>
            <w:vAlign w:val="center"/>
          </w:tcPr>
          <w:p w14:paraId="10D5DB8F">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62F4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Merge w:val="continue"/>
            <w:vAlign w:val="center"/>
          </w:tcPr>
          <w:p w14:paraId="088805AF">
            <w:pPr>
              <w:spacing w:line="360" w:lineRule="exact"/>
              <w:jc w:val="center"/>
              <w:rPr>
                <w:rFonts w:ascii="宋体" w:hAnsi="宋体" w:eastAsia="宋体" w:cs="Times New Roman"/>
                <w:color w:val="auto"/>
              </w:rPr>
            </w:pPr>
          </w:p>
        </w:tc>
        <w:tc>
          <w:tcPr>
            <w:tcW w:w="1620" w:type="dxa"/>
            <w:vAlign w:val="center"/>
          </w:tcPr>
          <w:p w14:paraId="654ECCBC">
            <w:pPr>
              <w:spacing w:line="360" w:lineRule="exact"/>
              <w:jc w:val="center"/>
              <w:rPr>
                <w:rFonts w:ascii="宋体" w:hAnsi="宋体" w:eastAsia="宋体" w:cs="Times New Roman"/>
                <w:color w:val="auto"/>
              </w:rPr>
            </w:pPr>
            <w:r>
              <w:rPr>
                <w:rFonts w:ascii="宋体" w:hAnsi="宋体" w:eastAsia="宋体" w:cs="Times New Roman"/>
                <w:color w:val="auto"/>
              </w:rPr>
              <w:t>NOx</w:t>
            </w:r>
          </w:p>
        </w:tc>
        <w:tc>
          <w:tcPr>
            <w:tcW w:w="1140" w:type="dxa"/>
            <w:vAlign w:val="center"/>
          </w:tcPr>
          <w:p w14:paraId="1B11310D">
            <w:pPr>
              <w:spacing w:line="360" w:lineRule="exact"/>
              <w:jc w:val="center"/>
              <w:rPr>
                <w:rFonts w:ascii="宋体" w:hAnsi="宋体" w:eastAsia="宋体" w:cs="Times New Roman"/>
                <w:color w:val="auto"/>
              </w:rPr>
            </w:pPr>
            <w:r>
              <w:rPr>
                <w:rFonts w:hint="eastAsia" w:ascii="宋体" w:hAnsi="宋体" w:eastAsia="宋体" w:cs="Times New Roman"/>
                <w:color w:val="auto"/>
              </w:rPr>
              <w:t>250</w:t>
            </w:r>
          </w:p>
        </w:tc>
        <w:tc>
          <w:tcPr>
            <w:tcW w:w="1710" w:type="dxa"/>
            <w:vAlign w:val="center"/>
          </w:tcPr>
          <w:p w14:paraId="7D9370A6">
            <w:pPr>
              <w:spacing w:line="360" w:lineRule="exact"/>
              <w:jc w:val="center"/>
              <w:rPr>
                <w:rFonts w:ascii="宋体" w:hAnsi="宋体" w:eastAsia="宋体" w:cs="Times New Roman"/>
                <w:color w:val="auto"/>
              </w:rPr>
            </w:pPr>
            <w:r>
              <w:rPr>
                <w:rFonts w:ascii="宋体" w:hAnsi="宋体" w:eastAsia="宋体" w:cs="Times New Roman"/>
                <w:color w:val="auto"/>
              </w:rPr>
              <w:t>0.1531</w:t>
            </w:r>
          </w:p>
        </w:tc>
        <w:tc>
          <w:tcPr>
            <w:tcW w:w="1290" w:type="dxa"/>
            <w:vAlign w:val="center"/>
          </w:tcPr>
          <w:p w14:paraId="1C558199">
            <w:pPr>
              <w:spacing w:line="360" w:lineRule="exact"/>
              <w:jc w:val="center"/>
              <w:rPr>
                <w:rFonts w:ascii="宋体" w:hAnsi="宋体" w:eastAsia="宋体" w:cs="Times New Roman"/>
                <w:color w:val="auto"/>
              </w:rPr>
            </w:pPr>
            <w:r>
              <w:rPr>
                <w:rFonts w:ascii="宋体" w:hAnsi="宋体" w:eastAsia="宋体" w:cs="Times New Roman"/>
                <w:color w:val="auto"/>
              </w:rPr>
              <w:t>0.0612</w:t>
            </w:r>
          </w:p>
        </w:tc>
        <w:tc>
          <w:tcPr>
            <w:tcW w:w="842" w:type="dxa"/>
            <w:vAlign w:val="center"/>
          </w:tcPr>
          <w:p w14:paraId="175996A3">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7AF0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Align w:val="center"/>
          </w:tcPr>
          <w:p w14:paraId="5F9245C9">
            <w:pPr>
              <w:spacing w:line="360" w:lineRule="exact"/>
              <w:jc w:val="center"/>
              <w:rPr>
                <w:rFonts w:ascii="宋体" w:hAnsi="宋体" w:eastAsia="宋体" w:cs="Times New Roman"/>
                <w:color w:val="auto"/>
              </w:rPr>
            </w:pPr>
            <w:r>
              <w:rPr>
                <w:rFonts w:ascii="宋体" w:hAnsi="宋体" w:eastAsia="宋体" w:cs="Times New Roman"/>
                <w:color w:val="auto"/>
              </w:rPr>
              <w:t>拉油点2#储罐加热炉</w:t>
            </w:r>
          </w:p>
        </w:tc>
        <w:tc>
          <w:tcPr>
            <w:tcW w:w="1620" w:type="dxa"/>
            <w:vAlign w:val="center"/>
          </w:tcPr>
          <w:p w14:paraId="098C2C67">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1140" w:type="dxa"/>
            <w:vAlign w:val="center"/>
          </w:tcPr>
          <w:p w14:paraId="619032F9">
            <w:pPr>
              <w:spacing w:line="360" w:lineRule="exact"/>
              <w:jc w:val="center"/>
              <w:rPr>
                <w:rFonts w:ascii="宋体" w:hAnsi="宋体" w:eastAsia="宋体" w:cs="Times New Roman"/>
                <w:color w:val="auto"/>
              </w:rPr>
            </w:pPr>
            <w:r>
              <w:rPr>
                <w:rFonts w:hint="eastAsia" w:ascii="宋体" w:hAnsi="宋体" w:eastAsia="宋体" w:cs="Times New Roman"/>
                <w:color w:val="auto"/>
              </w:rPr>
              <w:t>50</w:t>
            </w:r>
            <w:r>
              <w:rPr>
                <w:rFonts w:ascii="宋体" w:hAnsi="宋体" w:eastAsia="宋体" w:cs="Times New Roman"/>
                <w:color w:val="auto"/>
              </w:rPr>
              <w:t>0</w:t>
            </w:r>
          </w:p>
        </w:tc>
        <w:tc>
          <w:tcPr>
            <w:tcW w:w="1710" w:type="dxa"/>
            <w:vAlign w:val="center"/>
          </w:tcPr>
          <w:p w14:paraId="74006633">
            <w:pPr>
              <w:spacing w:line="360" w:lineRule="exact"/>
              <w:jc w:val="center"/>
              <w:rPr>
                <w:rFonts w:ascii="宋体" w:hAnsi="宋体" w:eastAsia="宋体" w:cs="Times New Roman"/>
                <w:color w:val="auto"/>
              </w:rPr>
            </w:pPr>
            <w:r>
              <w:rPr>
                <w:rFonts w:ascii="宋体" w:hAnsi="宋体" w:eastAsia="宋体" w:cs="Times New Roman"/>
                <w:color w:val="auto"/>
              </w:rPr>
              <w:t>0.0689</w:t>
            </w:r>
          </w:p>
        </w:tc>
        <w:tc>
          <w:tcPr>
            <w:tcW w:w="1290" w:type="dxa"/>
            <w:vAlign w:val="center"/>
          </w:tcPr>
          <w:p w14:paraId="4E5DBA5F">
            <w:pPr>
              <w:spacing w:line="360" w:lineRule="exact"/>
              <w:jc w:val="center"/>
              <w:rPr>
                <w:rFonts w:ascii="宋体" w:hAnsi="宋体" w:eastAsia="宋体" w:cs="Times New Roman"/>
                <w:color w:val="auto"/>
              </w:rPr>
            </w:pPr>
            <w:r>
              <w:rPr>
                <w:rFonts w:ascii="宋体" w:hAnsi="宋体" w:eastAsia="宋体" w:cs="Times New Roman"/>
                <w:color w:val="auto"/>
              </w:rPr>
              <w:t>0.0138</w:t>
            </w:r>
          </w:p>
        </w:tc>
        <w:tc>
          <w:tcPr>
            <w:tcW w:w="842" w:type="dxa"/>
            <w:vAlign w:val="center"/>
          </w:tcPr>
          <w:p w14:paraId="7CC3B47C">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1B9D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458" w:type="dxa"/>
            <w:vMerge w:val="restart"/>
            <w:vAlign w:val="center"/>
          </w:tcPr>
          <w:p w14:paraId="64732FD3">
            <w:pPr>
              <w:spacing w:line="360" w:lineRule="exact"/>
              <w:jc w:val="center"/>
              <w:rPr>
                <w:rFonts w:ascii="宋体" w:hAnsi="宋体" w:eastAsia="宋体" w:cs="Times New Roman"/>
                <w:color w:val="auto"/>
              </w:rPr>
            </w:pPr>
            <w:r>
              <w:rPr>
                <w:rFonts w:ascii="宋体" w:hAnsi="宋体" w:eastAsia="宋体" w:cs="Times New Roman"/>
                <w:color w:val="auto"/>
              </w:rPr>
              <w:t>拉油点</w:t>
            </w:r>
            <w:r>
              <w:rPr>
                <w:rFonts w:hint="eastAsia" w:ascii="宋体" w:hAnsi="宋体" w:eastAsia="宋体" w:cs="Times New Roman"/>
                <w:color w:val="auto"/>
              </w:rPr>
              <w:t>4</w:t>
            </w:r>
            <w:r>
              <w:rPr>
                <w:rFonts w:ascii="宋体" w:hAnsi="宋体" w:eastAsia="宋体" w:cs="Times New Roman"/>
                <w:color w:val="auto"/>
              </w:rPr>
              <w:t>#储罐加热炉</w:t>
            </w:r>
          </w:p>
        </w:tc>
        <w:tc>
          <w:tcPr>
            <w:tcW w:w="1620" w:type="dxa"/>
            <w:vAlign w:val="center"/>
          </w:tcPr>
          <w:p w14:paraId="31FE9648">
            <w:pPr>
              <w:spacing w:line="360" w:lineRule="exact"/>
              <w:jc w:val="center"/>
              <w:rPr>
                <w:rFonts w:ascii="宋体" w:hAnsi="宋体" w:eastAsia="宋体" w:cs="Times New Roman"/>
                <w:color w:val="auto"/>
              </w:rPr>
            </w:pPr>
            <w:r>
              <w:rPr>
                <w:rFonts w:ascii="宋体" w:hAnsi="宋体" w:eastAsia="宋体" w:cs="Times New Roman"/>
                <w:color w:val="auto"/>
              </w:rPr>
              <w:t>颗粒物（PM</w:t>
            </w:r>
            <w:r>
              <w:rPr>
                <w:rFonts w:ascii="宋体" w:hAnsi="宋体" w:eastAsia="宋体" w:cs="Times New Roman"/>
                <w:color w:val="auto"/>
                <w:vertAlign w:val="subscript"/>
              </w:rPr>
              <w:t>10</w:t>
            </w:r>
            <w:r>
              <w:rPr>
                <w:rFonts w:ascii="宋体" w:hAnsi="宋体" w:eastAsia="宋体" w:cs="Times New Roman"/>
                <w:color w:val="auto"/>
              </w:rPr>
              <w:t>）</w:t>
            </w:r>
          </w:p>
        </w:tc>
        <w:tc>
          <w:tcPr>
            <w:tcW w:w="1140" w:type="dxa"/>
            <w:vAlign w:val="center"/>
          </w:tcPr>
          <w:p w14:paraId="0ED81FD3">
            <w:pPr>
              <w:spacing w:line="360" w:lineRule="exact"/>
              <w:jc w:val="center"/>
              <w:rPr>
                <w:rFonts w:ascii="宋体" w:hAnsi="宋体" w:eastAsia="宋体" w:cs="Times New Roman"/>
                <w:color w:val="auto"/>
              </w:rPr>
            </w:pPr>
            <w:r>
              <w:rPr>
                <w:rFonts w:ascii="宋体" w:hAnsi="宋体" w:eastAsia="宋体" w:cs="Times New Roman"/>
                <w:color w:val="auto"/>
              </w:rPr>
              <w:t>450</w:t>
            </w:r>
          </w:p>
        </w:tc>
        <w:tc>
          <w:tcPr>
            <w:tcW w:w="1710" w:type="dxa"/>
            <w:vAlign w:val="center"/>
          </w:tcPr>
          <w:p w14:paraId="1449A910">
            <w:pPr>
              <w:spacing w:line="360" w:lineRule="exact"/>
              <w:jc w:val="center"/>
              <w:rPr>
                <w:rFonts w:ascii="宋体" w:hAnsi="宋体" w:eastAsia="宋体" w:cs="Times New Roman"/>
                <w:color w:val="auto"/>
              </w:rPr>
            </w:pPr>
            <w:r>
              <w:rPr>
                <w:rFonts w:ascii="宋体" w:hAnsi="宋体" w:eastAsia="宋体" w:cs="Times New Roman"/>
                <w:color w:val="auto"/>
              </w:rPr>
              <w:t>0.0884</w:t>
            </w:r>
          </w:p>
        </w:tc>
        <w:tc>
          <w:tcPr>
            <w:tcW w:w="1290" w:type="dxa"/>
            <w:vAlign w:val="center"/>
          </w:tcPr>
          <w:p w14:paraId="68E78242">
            <w:pPr>
              <w:spacing w:line="360" w:lineRule="exact"/>
              <w:jc w:val="center"/>
              <w:rPr>
                <w:rFonts w:ascii="宋体" w:hAnsi="宋体" w:eastAsia="宋体" w:cs="Times New Roman"/>
                <w:color w:val="auto"/>
              </w:rPr>
            </w:pPr>
            <w:r>
              <w:rPr>
                <w:rFonts w:ascii="宋体" w:hAnsi="宋体" w:eastAsia="宋体" w:cs="Times New Roman"/>
                <w:color w:val="auto"/>
              </w:rPr>
              <w:t>0.0196</w:t>
            </w:r>
          </w:p>
        </w:tc>
        <w:tc>
          <w:tcPr>
            <w:tcW w:w="842" w:type="dxa"/>
            <w:vAlign w:val="center"/>
          </w:tcPr>
          <w:p w14:paraId="147D07B4">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6552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Merge w:val="continue"/>
            <w:vAlign w:val="center"/>
          </w:tcPr>
          <w:p w14:paraId="7B271DCA">
            <w:pPr>
              <w:spacing w:line="360" w:lineRule="exact"/>
              <w:jc w:val="center"/>
              <w:rPr>
                <w:rFonts w:ascii="宋体" w:hAnsi="宋体" w:eastAsia="宋体" w:cs="Times New Roman"/>
                <w:color w:val="auto"/>
              </w:rPr>
            </w:pPr>
          </w:p>
        </w:tc>
        <w:tc>
          <w:tcPr>
            <w:tcW w:w="1620" w:type="dxa"/>
            <w:vAlign w:val="center"/>
          </w:tcPr>
          <w:p w14:paraId="26AEC5AC">
            <w:pPr>
              <w:spacing w:line="360" w:lineRule="exact"/>
              <w:jc w:val="center"/>
              <w:rPr>
                <w:rFonts w:ascii="宋体" w:hAnsi="宋体" w:eastAsia="宋体" w:cs="Times New Roman"/>
                <w:color w:val="auto"/>
              </w:rPr>
            </w:pPr>
            <w:r>
              <w:rPr>
                <w:rFonts w:ascii="宋体" w:hAnsi="宋体" w:eastAsia="宋体" w:cs="Times New Roman"/>
                <w:color w:val="auto"/>
              </w:rPr>
              <w:t>NOx</w:t>
            </w:r>
          </w:p>
        </w:tc>
        <w:tc>
          <w:tcPr>
            <w:tcW w:w="1140" w:type="dxa"/>
            <w:vAlign w:val="center"/>
          </w:tcPr>
          <w:p w14:paraId="19E2118E">
            <w:pPr>
              <w:spacing w:line="360" w:lineRule="exact"/>
              <w:jc w:val="center"/>
              <w:rPr>
                <w:rFonts w:ascii="宋体" w:hAnsi="宋体" w:eastAsia="宋体" w:cs="Times New Roman"/>
                <w:color w:val="auto"/>
              </w:rPr>
            </w:pPr>
            <w:r>
              <w:rPr>
                <w:rFonts w:hint="eastAsia" w:ascii="宋体" w:hAnsi="宋体" w:eastAsia="宋体" w:cs="Times New Roman"/>
                <w:color w:val="auto"/>
              </w:rPr>
              <w:t>250</w:t>
            </w:r>
          </w:p>
        </w:tc>
        <w:tc>
          <w:tcPr>
            <w:tcW w:w="1710" w:type="dxa"/>
            <w:vAlign w:val="center"/>
          </w:tcPr>
          <w:p w14:paraId="10C845A9">
            <w:pPr>
              <w:spacing w:line="360" w:lineRule="exact"/>
              <w:jc w:val="center"/>
              <w:rPr>
                <w:rFonts w:ascii="宋体" w:hAnsi="宋体" w:eastAsia="宋体" w:cs="Times New Roman"/>
                <w:color w:val="auto"/>
              </w:rPr>
            </w:pPr>
            <w:r>
              <w:rPr>
                <w:rFonts w:ascii="宋体" w:hAnsi="宋体" w:eastAsia="宋体" w:cs="Times New Roman"/>
                <w:color w:val="auto"/>
              </w:rPr>
              <w:t>0.2856</w:t>
            </w:r>
          </w:p>
        </w:tc>
        <w:tc>
          <w:tcPr>
            <w:tcW w:w="1290" w:type="dxa"/>
            <w:vAlign w:val="center"/>
          </w:tcPr>
          <w:p w14:paraId="6E252C66">
            <w:pPr>
              <w:spacing w:line="360" w:lineRule="exact"/>
              <w:jc w:val="center"/>
              <w:rPr>
                <w:rFonts w:ascii="宋体" w:hAnsi="宋体" w:eastAsia="宋体" w:cs="Times New Roman"/>
                <w:color w:val="auto"/>
              </w:rPr>
            </w:pPr>
            <w:r>
              <w:rPr>
                <w:rFonts w:ascii="宋体" w:hAnsi="宋体" w:eastAsia="宋体" w:cs="Times New Roman"/>
                <w:color w:val="auto"/>
              </w:rPr>
              <w:t>0.1142</w:t>
            </w:r>
          </w:p>
        </w:tc>
        <w:tc>
          <w:tcPr>
            <w:tcW w:w="842" w:type="dxa"/>
            <w:vAlign w:val="center"/>
          </w:tcPr>
          <w:p w14:paraId="23253440">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727D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Merge w:val="continue"/>
            <w:vAlign w:val="center"/>
          </w:tcPr>
          <w:p w14:paraId="2007C284">
            <w:pPr>
              <w:spacing w:line="360" w:lineRule="exact"/>
              <w:jc w:val="center"/>
              <w:rPr>
                <w:rFonts w:ascii="宋体" w:hAnsi="宋体" w:eastAsia="宋体" w:cs="Times New Roman"/>
                <w:color w:val="auto"/>
              </w:rPr>
            </w:pPr>
          </w:p>
        </w:tc>
        <w:tc>
          <w:tcPr>
            <w:tcW w:w="1620" w:type="dxa"/>
            <w:vAlign w:val="center"/>
          </w:tcPr>
          <w:p w14:paraId="64BE07DC">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1140" w:type="dxa"/>
            <w:vAlign w:val="center"/>
          </w:tcPr>
          <w:p w14:paraId="69406ED1">
            <w:pPr>
              <w:spacing w:line="360" w:lineRule="exact"/>
              <w:jc w:val="center"/>
              <w:rPr>
                <w:rFonts w:ascii="宋体" w:hAnsi="宋体" w:eastAsia="宋体" w:cs="Times New Roman"/>
                <w:color w:val="auto"/>
              </w:rPr>
            </w:pPr>
            <w:r>
              <w:rPr>
                <w:rFonts w:hint="eastAsia" w:ascii="宋体" w:hAnsi="宋体" w:eastAsia="宋体" w:cs="Times New Roman"/>
                <w:color w:val="auto"/>
              </w:rPr>
              <w:t>50</w:t>
            </w:r>
            <w:r>
              <w:rPr>
                <w:rFonts w:ascii="宋体" w:hAnsi="宋体" w:eastAsia="宋体" w:cs="Times New Roman"/>
                <w:color w:val="auto"/>
              </w:rPr>
              <w:t>0</w:t>
            </w:r>
          </w:p>
        </w:tc>
        <w:tc>
          <w:tcPr>
            <w:tcW w:w="1710" w:type="dxa"/>
            <w:vAlign w:val="center"/>
          </w:tcPr>
          <w:p w14:paraId="67E83758">
            <w:pPr>
              <w:spacing w:line="360" w:lineRule="exact"/>
              <w:jc w:val="center"/>
              <w:rPr>
                <w:rFonts w:ascii="宋体" w:hAnsi="宋体" w:eastAsia="宋体" w:cs="Times New Roman"/>
                <w:color w:val="auto"/>
              </w:rPr>
            </w:pPr>
            <w:r>
              <w:rPr>
                <w:rFonts w:ascii="宋体" w:hAnsi="宋体" w:eastAsia="宋体" w:cs="Times New Roman"/>
                <w:color w:val="auto"/>
              </w:rPr>
              <w:t>0.1224</w:t>
            </w:r>
          </w:p>
        </w:tc>
        <w:tc>
          <w:tcPr>
            <w:tcW w:w="1290" w:type="dxa"/>
            <w:vAlign w:val="center"/>
          </w:tcPr>
          <w:p w14:paraId="52A008A1">
            <w:pPr>
              <w:spacing w:line="360" w:lineRule="exact"/>
              <w:jc w:val="center"/>
              <w:rPr>
                <w:rFonts w:ascii="宋体" w:hAnsi="宋体" w:eastAsia="宋体" w:cs="Times New Roman"/>
                <w:color w:val="auto"/>
              </w:rPr>
            </w:pPr>
            <w:r>
              <w:rPr>
                <w:rFonts w:ascii="宋体" w:hAnsi="宋体" w:eastAsia="宋体" w:cs="Times New Roman"/>
                <w:color w:val="auto"/>
              </w:rPr>
              <w:t>0.0245</w:t>
            </w:r>
          </w:p>
        </w:tc>
        <w:tc>
          <w:tcPr>
            <w:tcW w:w="842" w:type="dxa"/>
            <w:vAlign w:val="center"/>
          </w:tcPr>
          <w:p w14:paraId="6077E446">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5D70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8" w:type="dxa"/>
            <w:vMerge w:val="restart"/>
            <w:vAlign w:val="center"/>
          </w:tcPr>
          <w:p w14:paraId="49E005FC">
            <w:pPr>
              <w:spacing w:line="360" w:lineRule="exact"/>
              <w:jc w:val="center"/>
              <w:rPr>
                <w:rFonts w:ascii="宋体" w:hAnsi="宋体" w:eastAsia="宋体" w:cs="Times New Roman"/>
                <w:color w:val="auto"/>
              </w:rPr>
            </w:pPr>
            <w:r>
              <w:rPr>
                <w:rFonts w:ascii="宋体" w:hAnsi="宋体" w:eastAsia="宋体" w:cs="Times New Roman"/>
                <w:color w:val="auto"/>
              </w:rPr>
              <w:t>拉油点</w:t>
            </w:r>
            <w:r>
              <w:rPr>
                <w:rFonts w:hint="eastAsia" w:ascii="宋体" w:hAnsi="宋体" w:eastAsia="宋体" w:cs="Times New Roman"/>
                <w:color w:val="auto"/>
              </w:rPr>
              <w:t>1</w:t>
            </w:r>
            <w:r>
              <w:rPr>
                <w:rFonts w:ascii="宋体" w:hAnsi="宋体" w:eastAsia="宋体" w:cs="Times New Roman"/>
                <w:color w:val="auto"/>
              </w:rPr>
              <w:t>#储罐加热炉</w:t>
            </w:r>
          </w:p>
        </w:tc>
        <w:tc>
          <w:tcPr>
            <w:tcW w:w="1620" w:type="dxa"/>
            <w:vAlign w:val="center"/>
          </w:tcPr>
          <w:p w14:paraId="32526C97">
            <w:pPr>
              <w:spacing w:line="360" w:lineRule="exact"/>
              <w:jc w:val="center"/>
              <w:rPr>
                <w:rFonts w:ascii="宋体" w:hAnsi="宋体" w:eastAsia="宋体" w:cs="Times New Roman"/>
                <w:color w:val="auto"/>
              </w:rPr>
            </w:pPr>
            <w:r>
              <w:rPr>
                <w:rFonts w:ascii="宋体" w:hAnsi="宋体" w:eastAsia="宋体" w:cs="Times New Roman"/>
                <w:color w:val="auto"/>
              </w:rPr>
              <w:t>颗粒物（PM</w:t>
            </w:r>
            <w:r>
              <w:rPr>
                <w:rFonts w:ascii="宋体" w:hAnsi="宋体" w:eastAsia="宋体" w:cs="Times New Roman"/>
                <w:color w:val="auto"/>
                <w:vertAlign w:val="subscript"/>
              </w:rPr>
              <w:t>10</w:t>
            </w:r>
            <w:r>
              <w:rPr>
                <w:rFonts w:ascii="宋体" w:hAnsi="宋体" w:eastAsia="宋体" w:cs="Times New Roman"/>
                <w:color w:val="auto"/>
              </w:rPr>
              <w:t>）</w:t>
            </w:r>
          </w:p>
        </w:tc>
        <w:tc>
          <w:tcPr>
            <w:tcW w:w="1140" w:type="dxa"/>
            <w:vAlign w:val="center"/>
          </w:tcPr>
          <w:p w14:paraId="1F1CA0BE">
            <w:pPr>
              <w:spacing w:line="360" w:lineRule="exact"/>
              <w:jc w:val="center"/>
              <w:rPr>
                <w:rFonts w:ascii="宋体" w:hAnsi="宋体" w:eastAsia="宋体" w:cs="Times New Roman"/>
                <w:color w:val="auto"/>
              </w:rPr>
            </w:pPr>
            <w:r>
              <w:rPr>
                <w:rFonts w:ascii="宋体" w:hAnsi="宋体" w:eastAsia="宋体" w:cs="Times New Roman"/>
                <w:color w:val="auto"/>
              </w:rPr>
              <w:t>450</w:t>
            </w:r>
          </w:p>
        </w:tc>
        <w:tc>
          <w:tcPr>
            <w:tcW w:w="1710" w:type="dxa"/>
            <w:vAlign w:val="center"/>
          </w:tcPr>
          <w:p w14:paraId="284F623B">
            <w:pPr>
              <w:spacing w:line="360" w:lineRule="exact"/>
              <w:jc w:val="center"/>
              <w:rPr>
                <w:rFonts w:ascii="宋体" w:hAnsi="宋体" w:eastAsia="宋体" w:cs="Times New Roman"/>
                <w:color w:val="auto"/>
              </w:rPr>
            </w:pPr>
            <w:r>
              <w:rPr>
                <w:rFonts w:ascii="宋体" w:hAnsi="宋体" w:eastAsia="宋体" w:cs="Times New Roman"/>
                <w:color w:val="auto"/>
              </w:rPr>
              <w:t>0.0689</w:t>
            </w:r>
          </w:p>
        </w:tc>
        <w:tc>
          <w:tcPr>
            <w:tcW w:w="1290" w:type="dxa"/>
            <w:vAlign w:val="center"/>
          </w:tcPr>
          <w:p w14:paraId="087836AC">
            <w:pPr>
              <w:spacing w:line="360" w:lineRule="exact"/>
              <w:jc w:val="center"/>
              <w:rPr>
                <w:rFonts w:ascii="宋体" w:hAnsi="宋体" w:eastAsia="宋体" w:cs="Times New Roman"/>
                <w:color w:val="auto"/>
              </w:rPr>
            </w:pPr>
            <w:r>
              <w:rPr>
                <w:rFonts w:ascii="宋体" w:hAnsi="宋体" w:eastAsia="宋体" w:cs="Times New Roman"/>
                <w:color w:val="auto"/>
              </w:rPr>
              <w:t>0.0153</w:t>
            </w:r>
          </w:p>
        </w:tc>
        <w:tc>
          <w:tcPr>
            <w:tcW w:w="842" w:type="dxa"/>
            <w:vAlign w:val="center"/>
          </w:tcPr>
          <w:p w14:paraId="06D611AC">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023E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Merge w:val="continue"/>
            <w:vAlign w:val="center"/>
          </w:tcPr>
          <w:p w14:paraId="430D3C35">
            <w:pPr>
              <w:spacing w:line="360" w:lineRule="exact"/>
              <w:jc w:val="center"/>
              <w:rPr>
                <w:rFonts w:ascii="宋体" w:hAnsi="宋体" w:eastAsia="宋体" w:cs="Times New Roman"/>
                <w:color w:val="auto"/>
              </w:rPr>
            </w:pPr>
          </w:p>
        </w:tc>
        <w:tc>
          <w:tcPr>
            <w:tcW w:w="1620" w:type="dxa"/>
            <w:vAlign w:val="center"/>
          </w:tcPr>
          <w:p w14:paraId="6DCB925F">
            <w:pPr>
              <w:spacing w:line="360" w:lineRule="exact"/>
              <w:jc w:val="center"/>
              <w:rPr>
                <w:rFonts w:ascii="宋体" w:hAnsi="宋体" w:eastAsia="宋体" w:cs="Times New Roman"/>
                <w:color w:val="auto"/>
              </w:rPr>
            </w:pPr>
            <w:r>
              <w:rPr>
                <w:rFonts w:ascii="宋体" w:hAnsi="宋体" w:eastAsia="宋体" w:cs="Times New Roman"/>
                <w:color w:val="auto"/>
              </w:rPr>
              <w:t>NOx</w:t>
            </w:r>
          </w:p>
        </w:tc>
        <w:tc>
          <w:tcPr>
            <w:tcW w:w="1140" w:type="dxa"/>
            <w:vAlign w:val="center"/>
          </w:tcPr>
          <w:p w14:paraId="35BB2D8A">
            <w:pPr>
              <w:spacing w:line="360" w:lineRule="exact"/>
              <w:jc w:val="center"/>
              <w:rPr>
                <w:rFonts w:ascii="宋体" w:hAnsi="宋体" w:eastAsia="宋体" w:cs="Times New Roman"/>
                <w:color w:val="auto"/>
              </w:rPr>
            </w:pPr>
            <w:r>
              <w:rPr>
                <w:rFonts w:hint="eastAsia" w:ascii="宋体" w:hAnsi="宋体" w:eastAsia="宋体" w:cs="Times New Roman"/>
                <w:color w:val="auto"/>
              </w:rPr>
              <w:t>250</w:t>
            </w:r>
          </w:p>
        </w:tc>
        <w:tc>
          <w:tcPr>
            <w:tcW w:w="1710" w:type="dxa"/>
            <w:vAlign w:val="center"/>
          </w:tcPr>
          <w:p w14:paraId="68CED7AE">
            <w:pPr>
              <w:spacing w:line="360" w:lineRule="exact"/>
              <w:jc w:val="center"/>
              <w:rPr>
                <w:rFonts w:ascii="宋体" w:hAnsi="宋体" w:eastAsia="宋体" w:cs="Times New Roman"/>
                <w:color w:val="auto"/>
              </w:rPr>
            </w:pPr>
            <w:r>
              <w:rPr>
                <w:rFonts w:ascii="宋体" w:hAnsi="宋体" w:eastAsia="宋体" w:cs="Times New Roman"/>
                <w:color w:val="auto"/>
              </w:rPr>
              <w:t>0.2374</w:t>
            </w:r>
          </w:p>
        </w:tc>
        <w:tc>
          <w:tcPr>
            <w:tcW w:w="1290" w:type="dxa"/>
            <w:vAlign w:val="center"/>
          </w:tcPr>
          <w:p w14:paraId="6235122A">
            <w:pPr>
              <w:spacing w:line="360" w:lineRule="exact"/>
              <w:jc w:val="center"/>
              <w:rPr>
                <w:rFonts w:ascii="宋体" w:hAnsi="宋体" w:eastAsia="宋体" w:cs="Times New Roman"/>
                <w:color w:val="auto"/>
              </w:rPr>
            </w:pPr>
            <w:r>
              <w:rPr>
                <w:rFonts w:ascii="宋体" w:hAnsi="宋体" w:eastAsia="宋体" w:cs="Times New Roman"/>
                <w:color w:val="auto"/>
              </w:rPr>
              <w:t>0.0949</w:t>
            </w:r>
          </w:p>
        </w:tc>
        <w:tc>
          <w:tcPr>
            <w:tcW w:w="842" w:type="dxa"/>
            <w:vAlign w:val="center"/>
          </w:tcPr>
          <w:p w14:paraId="2906BAF0">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41E5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Merge w:val="continue"/>
            <w:vAlign w:val="center"/>
          </w:tcPr>
          <w:p w14:paraId="2B75D73B">
            <w:pPr>
              <w:spacing w:line="360" w:lineRule="exact"/>
              <w:jc w:val="center"/>
              <w:rPr>
                <w:rFonts w:ascii="宋体" w:hAnsi="宋体" w:eastAsia="宋体" w:cs="Times New Roman"/>
                <w:color w:val="auto"/>
              </w:rPr>
            </w:pPr>
          </w:p>
        </w:tc>
        <w:tc>
          <w:tcPr>
            <w:tcW w:w="1620" w:type="dxa"/>
            <w:vAlign w:val="center"/>
          </w:tcPr>
          <w:p w14:paraId="62CEAF20">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1140" w:type="dxa"/>
            <w:vAlign w:val="center"/>
          </w:tcPr>
          <w:p w14:paraId="2E21546A">
            <w:pPr>
              <w:spacing w:line="360" w:lineRule="exact"/>
              <w:jc w:val="center"/>
              <w:rPr>
                <w:rFonts w:ascii="宋体" w:hAnsi="宋体" w:eastAsia="宋体" w:cs="Times New Roman"/>
                <w:color w:val="auto"/>
              </w:rPr>
            </w:pPr>
            <w:r>
              <w:rPr>
                <w:rFonts w:hint="eastAsia" w:ascii="宋体" w:hAnsi="宋体" w:eastAsia="宋体" w:cs="Times New Roman"/>
                <w:color w:val="auto"/>
              </w:rPr>
              <w:t>50</w:t>
            </w:r>
            <w:r>
              <w:rPr>
                <w:rFonts w:ascii="宋体" w:hAnsi="宋体" w:eastAsia="宋体" w:cs="Times New Roman"/>
                <w:color w:val="auto"/>
              </w:rPr>
              <w:t>0</w:t>
            </w:r>
          </w:p>
        </w:tc>
        <w:tc>
          <w:tcPr>
            <w:tcW w:w="1710" w:type="dxa"/>
            <w:vAlign w:val="center"/>
          </w:tcPr>
          <w:p w14:paraId="4FB02EAA">
            <w:pPr>
              <w:spacing w:line="360" w:lineRule="exact"/>
              <w:jc w:val="center"/>
              <w:rPr>
                <w:rFonts w:ascii="宋体" w:hAnsi="宋体" w:eastAsia="宋体" w:cs="Times New Roman"/>
                <w:color w:val="auto"/>
              </w:rPr>
            </w:pPr>
            <w:r>
              <w:rPr>
                <w:rFonts w:ascii="宋体" w:hAnsi="宋体" w:eastAsia="宋体" w:cs="Times New Roman"/>
                <w:color w:val="auto"/>
              </w:rPr>
              <w:t>0.0995</w:t>
            </w:r>
          </w:p>
        </w:tc>
        <w:tc>
          <w:tcPr>
            <w:tcW w:w="1290" w:type="dxa"/>
            <w:vAlign w:val="center"/>
          </w:tcPr>
          <w:p w14:paraId="34FB0687">
            <w:pPr>
              <w:spacing w:line="360" w:lineRule="exact"/>
              <w:jc w:val="center"/>
              <w:rPr>
                <w:rFonts w:ascii="宋体" w:hAnsi="宋体" w:eastAsia="宋体" w:cs="Times New Roman"/>
                <w:color w:val="auto"/>
              </w:rPr>
            </w:pPr>
            <w:r>
              <w:rPr>
                <w:rFonts w:ascii="宋体" w:hAnsi="宋体" w:eastAsia="宋体" w:cs="Times New Roman"/>
                <w:color w:val="auto"/>
              </w:rPr>
              <w:t>0.0199</w:t>
            </w:r>
          </w:p>
        </w:tc>
        <w:tc>
          <w:tcPr>
            <w:tcW w:w="842" w:type="dxa"/>
            <w:vAlign w:val="center"/>
          </w:tcPr>
          <w:p w14:paraId="1D36298F">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0984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Merge w:val="restart"/>
            <w:vAlign w:val="center"/>
          </w:tcPr>
          <w:p w14:paraId="0C761B47">
            <w:pPr>
              <w:spacing w:line="360" w:lineRule="exact"/>
              <w:jc w:val="center"/>
              <w:rPr>
                <w:rFonts w:ascii="宋体" w:hAnsi="宋体" w:eastAsia="宋体" w:cs="Times New Roman"/>
                <w:color w:val="auto"/>
              </w:rPr>
            </w:pPr>
            <w:r>
              <w:rPr>
                <w:rFonts w:ascii="宋体" w:hAnsi="宋体" w:eastAsia="宋体" w:cs="Times New Roman"/>
                <w:color w:val="auto"/>
              </w:rPr>
              <w:t>拉油点</w:t>
            </w:r>
            <w:r>
              <w:rPr>
                <w:rFonts w:hint="eastAsia" w:ascii="宋体" w:hAnsi="宋体" w:eastAsia="宋体" w:cs="Times New Roman"/>
                <w:color w:val="auto"/>
              </w:rPr>
              <w:t>2</w:t>
            </w:r>
            <w:r>
              <w:rPr>
                <w:rFonts w:ascii="宋体" w:hAnsi="宋体" w:eastAsia="宋体" w:cs="Times New Roman"/>
                <w:color w:val="auto"/>
              </w:rPr>
              <w:t>#储罐加热炉</w:t>
            </w:r>
          </w:p>
        </w:tc>
        <w:tc>
          <w:tcPr>
            <w:tcW w:w="1620" w:type="dxa"/>
            <w:vAlign w:val="center"/>
          </w:tcPr>
          <w:p w14:paraId="2A01357B">
            <w:pPr>
              <w:spacing w:line="360" w:lineRule="exact"/>
              <w:jc w:val="center"/>
              <w:rPr>
                <w:rFonts w:ascii="宋体" w:hAnsi="宋体" w:eastAsia="宋体" w:cs="Times New Roman"/>
                <w:color w:val="auto"/>
              </w:rPr>
            </w:pPr>
            <w:r>
              <w:rPr>
                <w:rFonts w:ascii="宋体" w:hAnsi="宋体" w:eastAsia="宋体" w:cs="Times New Roman"/>
                <w:color w:val="auto"/>
              </w:rPr>
              <w:t>颗粒物（PM</w:t>
            </w:r>
            <w:r>
              <w:rPr>
                <w:rFonts w:ascii="宋体" w:hAnsi="宋体" w:eastAsia="宋体" w:cs="Times New Roman"/>
                <w:color w:val="auto"/>
                <w:vertAlign w:val="subscript"/>
              </w:rPr>
              <w:t>10</w:t>
            </w:r>
            <w:r>
              <w:rPr>
                <w:rFonts w:ascii="宋体" w:hAnsi="宋体" w:eastAsia="宋体" w:cs="Times New Roman"/>
                <w:color w:val="auto"/>
              </w:rPr>
              <w:t>）</w:t>
            </w:r>
          </w:p>
        </w:tc>
        <w:tc>
          <w:tcPr>
            <w:tcW w:w="1140" w:type="dxa"/>
            <w:vAlign w:val="center"/>
          </w:tcPr>
          <w:p w14:paraId="0B6D7C7D">
            <w:pPr>
              <w:spacing w:line="360" w:lineRule="exact"/>
              <w:jc w:val="center"/>
              <w:rPr>
                <w:rFonts w:ascii="宋体" w:hAnsi="宋体" w:eastAsia="宋体" w:cs="Times New Roman"/>
                <w:color w:val="auto"/>
              </w:rPr>
            </w:pPr>
            <w:r>
              <w:rPr>
                <w:rFonts w:ascii="宋体" w:hAnsi="宋体" w:eastAsia="宋体" w:cs="Times New Roman"/>
                <w:color w:val="auto"/>
              </w:rPr>
              <w:t>450</w:t>
            </w:r>
          </w:p>
        </w:tc>
        <w:tc>
          <w:tcPr>
            <w:tcW w:w="1710" w:type="dxa"/>
            <w:vAlign w:val="center"/>
          </w:tcPr>
          <w:p w14:paraId="024D81DC">
            <w:pPr>
              <w:spacing w:line="360" w:lineRule="exact"/>
              <w:jc w:val="center"/>
              <w:rPr>
                <w:rFonts w:ascii="宋体" w:hAnsi="宋体" w:eastAsia="宋体" w:cs="Times New Roman"/>
                <w:color w:val="auto"/>
              </w:rPr>
            </w:pPr>
            <w:r>
              <w:rPr>
                <w:rFonts w:ascii="宋体" w:hAnsi="宋体" w:eastAsia="宋体" w:cs="Times New Roman"/>
                <w:color w:val="auto"/>
              </w:rPr>
              <w:t>0.0689</w:t>
            </w:r>
          </w:p>
        </w:tc>
        <w:tc>
          <w:tcPr>
            <w:tcW w:w="1290" w:type="dxa"/>
            <w:vAlign w:val="center"/>
          </w:tcPr>
          <w:p w14:paraId="727B7C1B">
            <w:pPr>
              <w:spacing w:line="360" w:lineRule="exact"/>
              <w:jc w:val="center"/>
              <w:rPr>
                <w:rFonts w:ascii="宋体" w:hAnsi="宋体" w:eastAsia="宋体" w:cs="Times New Roman"/>
                <w:color w:val="auto"/>
              </w:rPr>
            </w:pPr>
            <w:r>
              <w:rPr>
                <w:rFonts w:ascii="宋体" w:hAnsi="宋体" w:eastAsia="宋体" w:cs="Times New Roman"/>
                <w:color w:val="auto"/>
              </w:rPr>
              <w:t>0.0153</w:t>
            </w:r>
          </w:p>
        </w:tc>
        <w:tc>
          <w:tcPr>
            <w:tcW w:w="842" w:type="dxa"/>
            <w:vAlign w:val="center"/>
          </w:tcPr>
          <w:p w14:paraId="065517F1">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225B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Merge w:val="continue"/>
            <w:vAlign w:val="center"/>
          </w:tcPr>
          <w:p w14:paraId="2FCA8C82">
            <w:pPr>
              <w:spacing w:line="360" w:lineRule="exact"/>
              <w:jc w:val="center"/>
              <w:rPr>
                <w:rFonts w:ascii="宋体" w:hAnsi="宋体" w:eastAsia="宋体" w:cs="Times New Roman"/>
                <w:color w:val="auto"/>
              </w:rPr>
            </w:pPr>
          </w:p>
        </w:tc>
        <w:tc>
          <w:tcPr>
            <w:tcW w:w="1620" w:type="dxa"/>
            <w:vAlign w:val="center"/>
          </w:tcPr>
          <w:p w14:paraId="087D21C9">
            <w:pPr>
              <w:spacing w:line="360" w:lineRule="exact"/>
              <w:jc w:val="center"/>
              <w:rPr>
                <w:rFonts w:ascii="宋体" w:hAnsi="宋体" w:eastAsia="宋体" w:cs="Times New Roman"/>
                <w:color w:val="auto"/>
              </w:rPr>
            </w:pPr>
            <w:r>
              <w:rPr>
                <w:rFonts w:ascii="宋体" w:hAnsi="宋体" w:eastAsia="宋体" w:cs="Times New Roman"/>
                <w:color w:val="auto"/>
              </w:rPr>
              <w:t>NOx</w:t>
            </w:r>
          </w:p>
        </w:tc>
        <w:tc>
          <w:tcPr>
            <w:tcW w:w="1140" w:type="dxa"/>
            <w:vAlign w:val="center"/>
          </w:tcPr>
          <w:p w14:paraId="4385C53B">
            <w:pPr>
              <w:spacing w:line="360" w:lineRule="exact"/>
              <w:jc w:val="center"/>
              <w:rPr>
                <w:rFonts w:ascii="宋体" w:hAnsi="宋体" w:eastAsia="宋体" w:cs="Times New Roman"/>
                <w:color w:val="auto"/>
              </w:rPr>
            </w:pPr>
            <w:r>
              <w:rPr>
                <w:rFonts w:hint="eastAsia" w:ascii="宋体" w:hAnsi="宋体" w:eastAsia="宋体" w:cs="Times New Roman"/>
                <w:color w:val="auto"/>
              </w:rPr>
              <w:t>250</w:t>
            </w:r>
          </w:p>
        </w:tc>
        <w:tc>
          <w:tcPr>
            <w:tcW w:w="1710" w:type="dxa"/>
            <w:vAlign w:val="center"/>
          </w:tcPr>
          <w:p w14:paraId="7DEC3E86">
            <w:pPr>
              <w:spacing w:line="360" w:lineRule="exact"/>
              <w:jc w:val="center"/>
              <w:rPr>
                <w:rFonts w:ascii="宋体" w:hAnsi="宋体" w:eastAsia="宋体" w:cs="Times New Roman"/>
                <w:color w:val="auto"/>
              </w:rPr>
            </w:pPr>
            <w:r>
              <w:rPr>
                <w:rFonts w:ascii="宋体" w:hAnsi="宋体" w:eastAsia="宋体" w:cs="Times New Roman"/>
                <w:color w:val="auto"/>
              </w:rPr>
              <w:t>0.2374</w:t>
            </w:r>
          </w:p>
        </w:tc>
        <w:tc>
          <w:tcPr>
            <w:tcW w:w="1290" w:type="dxa"/>
            <w:vAlign w:val="center"/>
          </w:tcPr>
          <w:p w14:paraId="6B278F91">
            <w:pPr>
              <w:spacing w:line="360" w:lineRule="exact"/>
              <w:jc w:val="center"/>
              <w:rPr>
                <w:rFonts w:ascii="宋体" w:hAnsi="宋体" w:eastAsia="宋体" w:cs="Times New Roman"/>
                <w:color w:val="auto"/>
              </w:rPr>
            </w:pPr>
            <w:r>
              <w:rPr>
                <w:rFonts w:ascii="宋体" w:hAnsi="宋体" w:eastAsia="宋体" w:cs="Times New Roman"/>
                <w:color w:val="auto"/>
              </w:rPr>
              <w:t>0.0949</w:t>
            </w:r>
          </w:p>
        </w:tc>
        <w:tc>
          <w:tcPr>
            <w:tcW w:w="842" w:type="dxa"/>
            <w:vAlign w:val="center"/>
          </w:tcPr>
          <w:p w14:paraId="67BB954D">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4C0B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Merge w:val="continue"/>
            <w:vAlign w:val="center"/>
          </w:tcPr>
          <w:p w14:paraId="2D396345">
            <w:pPr>
              <w:spacing w:line="360" w:lineRule="exact"/>
              <w:jc w:val="center"/>
              <w:rPr>
                <w:rFonts w:ascii="宋体" w:hAnsi="宋体" w:eastAsia="宋体" w:cs="Times New Roman"/>
                <w:color w:val="auto"/>
              </w:rPr>
            </w:pPr>
          </w:p>
        </w:tc>
        <w:tc>
          <w:tcPr>
            <w:tcW w:w="1620" w:type="dxa"/>
            <w:vAlign w:val="center"/>
          </w:tcPr>
          <w:p w14:paraId="0DA21062">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1140" w:type="dxa"/>
            <w:vAlign w:val="center"/>
          </w:tcPr>
          <w:p w14:paraId="1D5B2990">
            <w:pPr>
              <w:spacing w:line="360" w:lineRule="exact"/>
              <w:jc w:val="center"/>
              <w:rPr>
                <w:rFonts w:ascii="宋体" w:hAnsi="宋体" w:eastAsia="宋体" w:cs="Times New Roman"/>
                <w:color w:val="auto"/>
              </w:rPr>
            </w:pPr>
            <w:r>
              <w:rPr>
                <w:rFonts w:hint="eastAsia" w:ascii="宋体" w:hAnsi="宋体" w:eastAsia="宋体" w:cs="Times New Roman"/>
                <w:color w:val="auto"/>
              </w:rPr>
              <w:t>50</w:t>
            </w:r>
            <w:r>
              <w:rPr>
                <w:rFonts w:ascii="宋体" w:hAnsi="宋体" w:eastAsia="宋体" w:cs="Times New Roman"/>
                <w:color w:val="auto"/>
              </w:rPr>
              <w:t>0</w:t>
            </w:r>
          </w:p>
        </w:tc>
        <w:tc>
          <w:tcPr>
            <w:tcW w:w="1710" w:type="dxa"/>
            <w:vAlign w:val="center"/>
          </w:tcPr>
          <w:p w14:paraId="4D56485D">
            <w:pPr>
              <w:spacing w:line="360" w:lineRule="exact"/>
              <w:jc w:val="center"/>
              <w:rPr>
                <w:rFonts w:ascii="宋体" w:hAnsi="宋体" w:eastAsia="宋体" w:cs="Times New Roman"/>
                <w:color w:val="auto"/>
              </w:rPr>
            </w:pPr>
            <w:r>
              <w:rPr>
                <w:rFonts w:ascii="宋体" w:hAnsi="宋体" w:eastAsia="宋体" w:cs="Times New Roman"/>
                <w:color w:val="auto"/>
              </w:rPr>
              <w:t>0.0995</w:t>
            </w:r>
          </w:p>
        </w:tc>
        <w:tc>
          <w:tcPr>
            <w:tcW w:w="1290" w:type="dxa"/>
            <w:vAlign w:val="center"/>
          </w:tcPr>
          <w:p w14:paraId="0222E378">
            <w:pPr>
              <w:spacing w:line="360" w:lineRule="exact"/>
              <w:jc w:val="center"/>
              <w:rPr>
                <w:rFonts w:ascii="宋体" w:hAnsi="宋体" w:eastAsia="宋体" w:cs="Times New Roman"/>
                <w:color w:val="auto"/>
              </w:rPr>
            </w:pPr>
            <w:r>
              <w:rPr>
                <w:rFonts w:ascii="宋体" w:hAnsi="宋体" w:eastAsia="宋体" w:cs="Times New Roman"/>
                <w:color w:val="auto"/>
              </w:rPr>
              <w:t>0.0199</w:t>
            </w:r>
          </w:p>
        </w:tc>
        <w:tc>
          <w:tcPr>
            <w:tcW w:w="842" w:type="dxa"/>
            <w:vAlign w:val="center"/>
          </w:tcPr>
          <w:p w14:paraId="0F7D113E">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5321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Align w:val="center"/>
          </w:tcPr>
          <w:p w14:paraId="6529D467">
            <w:pPr>
              <w:adjustRightInd w:val="0"/>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号平台井场（2口油井）</w:t>
            </w:r>
          </w:p>
        </w:tc>
        <w:tc>
          <w:tcPr>
            <w:tcW w:w="1620" w:type="dxa"/>
            <w:vAlign w:val="center"/>
          </w:tcPr>
          <w:p w14:paraId="10C669E2">
            <w:pPr>
              <w:spacing w:line="360" w:lineRule="exact"/>
              <w:jc w:val="center"/>
              <w:rPr>
                <w:rFonts w:ascii="宋体" w:hAnsi="宋体" w:eastAsia="宋体" w:cs="Times New Roman"/>
                <w:color w:val="auto"/>
              </w:rPr>
            </w:pPr>
            <w:r>
              <w:rPr>
                <w:rFonts w:ascii="宋体" w:hAnsi="宋体" w:eastAsia="宋体" w:cs="Times New Roman"/>
                <w:color w:val="auto"/>
              </w:rPr>
              <w:t>非甲烷总烃</w:t>
            </w:r>
          </w:p>
        </w:tc>
        <w:tc>
          <w:tcPr>
            <w:tcW w:w="1140" w:type="dxa"/>
            <w:vAlign w:val="center"/>
          </w:tcPr>
          <w:p w14:paraId="26D8BD3F">
            <w:pPr>
              <w:spacing w:line="360" w:lineRule="exact"/>
              <w:jc w:val="center"/>
              <w:rPr>
                <w:rFonts w:ascii="宋体" w:hAnsi="宋体" w:eastAsia="宋体" w:cs="Times New Roman"/>
                <w:color w:val="auto"/>
              </w:rPr>
            </w:pPr>
            <w:r>
              <w:rPr>
                <w:rFonts w:ascii="宋体" w:hAnsi="宋体" w:eastAsia="宋体" w:cs="Times New Roman"/>
                <w:color w:val="auto"/>
              </w:rPr>
              <w:t>2000</w:t>
            </w:r>
          </w:p>
        </w:tc>
        <w:tc>
          <w:tcPr>
            <w:tcW w:w="1710" w:type="dxa"/>
            <w:vAlign w:val="center"/>
          </w:tcPr>
          <w:p w14:paraId="63E0F1ED">
            <w:pPr>
              <w:spacing w:line="360" w:lineRule="exact"/>
              <w:jc w:val="center"/>
              <w:rPr>
                <w:rFonts w:ascii="宋体" w:hAnsi="宋体" w:eastAsia="宋体" w:cs="Times New Roman"/>
                <w:color w:val="auto"/>
              </w:rPr>
            </w:pPr>
            <w:r>
              <w:rPr>
                <w:rFonts w:ascii="宋体" w:hAnsi="宋体" w:eastAsia="宋体" w:cs="Times New Roman"/>
                <w:color w:val="auto"/>
              </w:rPr>
              <w:t>1238.2000</w:t>
            </w:r>
          </w:p>
        </w:tc>
        <w:tc>
          <w:tcPr>
            <w:tcW w:w="1290" w:type="dxa"/>
            <w:vAlign w:val="center"/>
          </w:tcPr>
          <w:p w14:paraId="47ADFB59">
            <w:pPr>
              <w:spacing w:line="360" w:lineRule="exact"/>
              <w:jc w:val="center"/>
              <w:rPr>
                <w:rFonts w:ascii="宋体" w:hAnsi="宋体" w:eastAsia="宋体" w:cs="Times New Roman"/>
                <w:color w:val="auto"/>
              </w:rPr>
            </w:pPr>
            <w:r>
              <w:rPr>
                <w:rFonts w:ascii="宋体" w:hAnsi="宋体" w:eastAsia="宋体" w:cs="Times New Roman"/>
                <w:color w:val="auto"/>
              </w:rPr>
              <w:t>61.9100</w:t>
            </w:r>
          </w:p>
        </w:tc>
        <w:tc>
          <w:tcPr>
            <w:tcW w:w="842" w:type="dxa"/>
            <w:vAlign w:val="center"/>
          </w:tcPr>
          <w:p w14:paraId="78904E89">
            <w:pPr>
              <w:spacing w:line="360" w:lineRule="exact"/>
              <w:jc w:val="center"/>
              <w:rPr>
                <w:rFonts w:ascii="宋体" w:hAnsi="宋体" w:eastAsia="宋体" w:cs="Times New Roman"/>
                <w:color w:val="auto"/>
              </w:rPr>
            </w:pPr>
            <w:r>
              <w:rPr>
                <w:rFonts w:ascii="宋体" w:hAnsi="宋体" w:eastAsia="宋体" w:cs="Times New Roman"/>
                <w:color w:val="auto"/>
              </w:rPr>
              <w:t>1475.0</w:t>
            </w:r>
          </w:p>
        </w:tc>
      </w:tr>
      <w:tr w14:paraId="5C99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Align w:val="center"/>
          </w:tcPr>
          <w:p w14:paraId="5236EEB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源212-扶平4</w:t>
            </w:r>
          </w:p>
        </w:tc>
        <w:tc>
          <w:tcPr>
            <w:tcW w:w="1620" w:type="dxa"/>
            <w:vAlign w:val="center"/>
          </w:tcPr>
          <w:p w14:paraId="206FEA73">
            <w:pPr>
              <w:spacing w:line="360" w:lineRule="exact"/>
              <w:jc w:val="center"/>
              <w:rPr>
                <w:rFonts w:ascii="宋体" w:hAnsi="宋体" w:eastAsia="宋体" w:cs="Times New Roman"/>
                <w:color w:val="auto"/>
              </w:rPr>
            </w:pPr>
            <w:r>
              <w:rPr>
                <w:rFonts w:ascii="宋体" w:hAnsi="宋体" w:eastAsia="宋体" w:cs="Times New Roman"/>
                <w:color w:val="auto"/>
              </w:rPr>
              <w:t>非甲烷总烃</w:t>
            </w:r>
          </w:p>
        </w:tc>
        <w:tc>
          <w:tcPr>
            <w:tcW w:w="1140" w:type="dxa"/>
            <w:vAlign w:val="center"/>
          </w:tcPr>
          <w:p w14:paraId="0081F1B5">
            <w:pPr>
              <w:spacing w:line="360" w:lineRule="exact"/>
              <w:jc w:val="center"/>
              <w:rPr>
                <w:rFonts w:ascii="宋体" w:hAnsi="宋体" w:eastAsia="宋体" w:cs="Times New Roman"/>
                <w:color w:val="auto"/>
              </w:rPr>
            </w:pPr>
            <w:r>
              <w:rPr>
                <w:rFonts w:ascii="宋体" w:hAnsi="宋体" w:eastAsia="宋体" w:cs="Times New Roman"/>
                <w:color w:val="auto"/>
              </w:rPr>
              <w:t>2000</w:t>
            </w:r>
          </w:p>
        </w:tc>
        <w:tc>
          <w:tcPr>
            <w:tcW w:w="1710" w:type="dxa"/>
            <w:vAlign w:val="center"/>
          </w:tcPr>
          <w:p w14:paraId="14225B83">
            <w:pPr>
              <w:spacing w:line="360" w:lineRule="exact"/>
              <w:jc w:val="center"/>
              <w:rPr>
                <w:rFonts w:ascii="宋体" w:hAnsi="宋体" w:eastAsia="宋体" w:cs="Times New Roman"/>
                <w:color w:val="auto"/>
              </w:rPr>
            </w:pPr>
            <w:r>
              <w:rPr>
                <w:rFonts w:ascii="宋体" w:hAnsi="宋体" w:eastAsia="宋体" w:cs="Times New Roman"/>
                <w:color w:val="auto"/>
              </w:rPr>
              <w:t>697.5000</w:t>
            </w:r>
          </w:p>
        </w:tc>
        <w:tc>
          <w:tcPr>
            <w:tcW w:w="1290" w:type="dxa"/>
            <w:vAlign w:val="center"/>
          </w:tcPr>
          <w:p w14:paraId="051D7142">
            <w:pPr>
              <w:spacing w:line="360" w:lineRule="exact"/>
              <w:jc w:val="center"/>
              <w:rPr>
                <w:rFonts w:ascii="宋体" w:hAnsi="宋体" w:eastAsia="宋体" w:cs="Times New Roman"/>
                <w:color w:val="auto"/>
              </w:rPr>
            </w:pPr>
            <w:r>
              <w:rPr>
                <w:rFonts w:ascii="宋体" w:hAnsi="宋体" w:eastAsia="宋体" w:cs="Times New Roman"/>
                <w:color w:val="auto"/>
              </w:rPr>
              <w:t>34.8750</w:t>
            </w:r>
          </w:p>
        </w:tc>
        <w:tc>
          <w:tcPr>
            <w:tcW w:w="842" w:type="dxa"/>
            <w:vAlign w:val="center"/>
          </w:tcPr>
          <w:p w14:paraId="558EA696">
            <w:pPr>
              <w:spacing w:line="360" w:lineRule="exact"/>
              <w:jc w:val="center"/>
              <w:rPr>
                <w:rFonts w:ascii="宋体" w:hAnsi="宋体" w:eastAsia="宋体" w:cs="Times New Roman"/>
                <w:color w:val="auto"/>
              </w:rPr>
            </w:pPr>
            <w:r>
              <w:rPr>
                <w:rFonts w:ascii="宋体" w:hAnsi="宋体" w:eastAsia="宋体" w:cs="Times New Roman"/>
                <w:color w:val="auto"/>
              </w:rPr>
              <w:t>600.0</w:t>
            </w:r>
          </w:p>
        </w:tc>
      </w:tr>
      <w:tr w14:paraId="31FE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Align w:val="center"/>
          </w:tcPr>
          <w:p w14:paraId="0FA019E0">
            <w:pPr>
              <w:adjustRightInd w:val="0"/>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#拉油点（2台储罐）</w:t>
            </w:r>
          </w:p>
        </w:tc>
        <w:tc>
          <w:tcPr>
            <w:tcW w:w="1620" w:type="dxa"/>
            <w:vAlign w:val="center"/>
          </w:tcPr>
          <w:p w14:paraId="0C0D6F95">
            <w:pPr>
              <w:spacing w:line="360" w:lineRule="exact"/>
              <w:jc w:val="center"/>
              <w:rPr>
                <w:rFonts w:ascii="宋体" w:hAnsi="宋体" w:eastAsia="宋体" w:cs="Times New Roman"/>
                <w:color w:val="auto"/>
              </w:rPr>
            </w:pPr>
            <w:r>
              <w:rPr>
                <w:rFonts w:ascii="宋体" w:hAnsi="宋体" w:eastAsia="宋体" w:cs="Times New Roman"/>
                <w:color w:val="auto"/>
              </w:rPr>
              <w:t>非甲烷总烃</w:t>
            </w:r>
          </w:p>
        </w:tc>
        <w:tc>
          <w:tcPr>
            <w:tcW w:w="1140" w:type="dxa"/>
            <w:vAlign w:val="center"/>
          </w:tcPr>
          <w:p w14:paraId="7A7E6C5C">
            <w:pPr>
              <w:spacing w:line="360" w:lineRule="exact"/>
              <w:jc w:val="center"/>
              <w:rPr>
                <w:rFonts w:ascii="宋体" w:hAnsi="宋体" w:eastAsia="宋体" w:cs="Times New Roman"/>
                <w:color w:val="auto"/>
              </w:rPr>
            </w:pPr>
            <w:r>
              <w:rPr>
                <w:rFonts w:ascii="宋体" w:hAnsi="宋体" w:eastAsia="宋体" w:cs="Times New Roman"/>
                <w:color w:val="auto"/>
              </w:rPr>
              <w:t>2000</w:t>
            </w:r>
          </w:p>
        </w:tc>
        <w:tc>
          <w:tcPr>
            <w:tcW w:w="1710" w:type="dxa"/>
            <w:vAlign w:val="center"/>
          </w:tcPr>
          <w:p w14:paraId="5F0FFF54">
            <w:pPr>
              <w:spacing w:line="360" w:lineRule="exact"/>
              <w:jc w:val="center"/>
              <w:rPr>
                <w:rFonts w:ascii="宋体" w:hAnsi="宋体" w:eastAsia="宋体" w:cs="Times New Roman"/>
                <w:color w:val="auto"/>
              </w:rPr>
            </w:pPr>
            <w:r>
              <w:rPr>
                <w:rFonts w:ascii="宋体" w:hAnsi="宋体" w:eastAsia="宋体" w:cs="Times New Roman"/>
                <w:color w:val="auto"/>
              </w:rPr>
              <w:t>229.0100</w:t>
            </w:r>
          </w:p>
        </w:tc>
        <w:tc>
          <w:tcPr>
            <w:tcW w:w="1290" w:type="dxa"/>
            <w:vAlign w:val="center"/>
          </w:tcPr>
          <w:p w14:paraId="03C327BD">
            <w:pPr>
              <w:spacing w:line="360" w:lineRule="exact"/>
              <w:jc w:val="center"/>
              <w:rPr>
                <w:rFonts w:ascii="宋体" w:hAnsi="宋体" w:eastAsia="宋体" w:cs="Times New Roman"/>
                <w:color w:val="auto"/>
              </w:rPr>
            </w:pPr>
            <w:r>
              <w:rPr>
                <w:rFonts w:ascii="宋体" w:hAnsi="宋体" w:eastAsia="宋体" w:cs="Times New Roman"/>
                <w:color w:val="auto"/>
              </w:rPr>
              <w:t>11.4505</w:t>
            </w:r>
          </w:p>
        </w:tc>
        <w:tc>
          <w:tcPr>
            <w:tcW w:w="842" w:type="dxa"/>
            <w:vAlign w:val="center"/>
          </w:tcPr>
          <w:p w14:paraId="70D8388D">
            <w:pPr>
              <w:spacing w:line="360" w:lineRule="exact"/>
              <w:jc w:val="center"/>
              <w:rPr>
                <w:rFonts w:ascii="宋体" w:hAnsi="宋体" w:eastAsia="宋体" w:cs="Times New Roman"/>
                <w:color w:val="auto"/>
              </w:rPr>
            </w:pPr>
            <w:r>
              <w:rPr>
                <w:rFonts w:ascii="宋体" w:hAnsi="宋体" w:eastAsia="宋体" w:cs="Times New Roman"/>
                <w:color w:val="auto"/>
              </w:rPr>
              <w:t>200.0</w:t>
            </w:r>
          </w:p>
        </w:tc>
      </w:tr>
      <w:tr w14:paraId="08A3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8" w:type="dxa"/>
            <w:vAlign w:val="center"/>
          </w:tcPr>
          <w:p w14:paraId="0931EB9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2#拉油点（1台储罐）</w:t>
            </w:r>
          </w:p>
        </w:tc>
        <w:tc>
          <w:tcPr>
            <w:tcW w:w="1620" w:type="dxa"/>
            <w:vAlign w:val="center"/>
          </w:tcPr>
          <w:p w14:paraId="5B286D3A">
            <w:pPr>
              <w:spacing w:line="360" w:lineRule="exact"/>
              <w:jc w:val="center"/>
              <w:rPr>
                <w:rFonts w:ascii="宋体" w:hAnsi="宋体" w:eastAsia="宋体" w:cs="Times New Roman"/>
                <w:color w:val="auto"/>
              </w:rPr>
            </w:pPr>
            <w:r>
              <w:rPr>
                <w:rFonts w:ascii="宋体" w:hAnsi="宋体" w:eastAsia="宋体" w:cs="Times New Roman"/>
                <w:color w:val="auto"/>
              </w:rPr>
              <w:t>非甲烷总烃</w:t>
            </w:r>
          </w:p>
        </w:tc>
        <w:tc>
          <w:tcPr>
            <w:tcW w:w="1140" w:type="dxa"/>
            <w:vAlign w:val="center"/>
          </w:tcPr>
          <w:p w14:paraId="38F334B2">
            <w:pPr>
              <w:spacing w:line="360" w:lineRule="exact"/>
              <w:jc w:val="center"/>
              <w:rPr>
                <w:rFonts w:ascii="宋体" w:hAnsi="宋体" w:eastAsia="宋体" w:cs="Times New Roman"/>
                <w:color w:val="auto"/>
              </w:rPr>
            </w:pPr>
            <w:r>
              <w:rPr>
                <w:rFonts w:ascii="宋体" w:hAnsi="宋体" w:eastAsia="宋体" w:cs="Times New Roman"/>
                <w:color w:val="auto"/>
              </w:rPr>
              <w:t>2000</w:t>
            </w:r>
          </w:p>
        </w:tc>
        <w:tc>
          <w:tcPr>
            <w:tcW w:w="1710" w:type="dxa"/>
            <w:vAlign w:val="center"/>
          </w:tcPr>
          <w:p w14:paraId="65395658">
            <w:pPr>
              <w:spacing w:line="360" w:lineRule="exact"/>
              <w:jc w:val="center"/>
              <w:rPr>
                <w:rFonts w:ascii="宋体" w:hAnsi="宋体" w:eastAsia="宋体" w:cs="Times New Roman"/>
                <w:color w:val="auto"/>
              </w:rPr>
            </w:pPr>
            <w:r>
              <w:rPr>
                <w:rFonts w:ascii="宋体" w:hAnsi="宋体" w:eastAsia="宋体" w:cs="Times New Roman"/>
                <w:color w:val="auto"/>
              </w:rPr>
              <w:t>76.3310</w:t>
            </w:r>
          </w:p>
        </w:tc>
        <w:tc>
          <w:tcPr>
            <w:tcW w:w="1290" w:type="dxa"/>
            <w:vAlign w:val="center"/>
          </w:tcPr>
          <w:p w14:paraId="63B26B52">
            <w:pPr>
              <w:spacing w:line="360" w:lineRule="exact"/>
              <w:jc w:val="center"/>
              <w:rPr>
                <w:rFonts w:ascii="宋体" w:hAnsi="宋体" w:eastAsia="宋体" w:cs="Times New Roman"/>
                <w:color w:val="auto"/>
              </w:rPr>
            </w:pPr>
            <w:r>
              <w:rPr>
                <w:rFonts w:ascii="宋体" w:hAnsi="宋体" w:eastAsia="宋体" w:cs="Times New Roman"/>
                <w:color w:val="auto"/>
              </w:rPr>
              <w:t>3.8166</w:t>
            </w:r>
          </w:p>
        </w:tc>
        <w:tc>
          <w:tcPr>
            <w:tcW w:w="842" w:type="dxa"/>
            <w:vAlign w:val="center"/>
          </w:tcPr>
          <w:p w14:paraId="4ECC2492">
            <w:pPr>
              <w:spacing w:line="360" w:lineRule="exact"/>
              <w:jc w:val="center"/>
              <w:rPr>
                <w:rFonts w:ascii="宋体" w:hAnsi="宋体" w:eastAsia="宋体" w:cs="Times New Roman"/>
                <w:color w:val="auto"/>
              </w:rPr>
            </w:pPr>
            <w:r>
              <w:rPr>
                <w:rFonts w:ascii="宋体" w:hAnsi="宋体" w:eastAsia="宋体" w:cs="Times New Roman"/>
                <w:color w:val="auto"/>
              </w:rPr>
              <w:t>/</w:t>
            </w:r>
          </w:p>
        </w:tc>
      </w:tr>
    </w:tbl>
    <w:p w14:paraId="0FABDAC2">
      <w:pPr>
        <w:pStyle w:val="276"/>
        <w:widowControl w:val="0"/>
        <w:spacing w:line="440" w:lineRule="exact"/>
        <w:ind w:firstLine="480"/>
        <w:jc w:val="both"/>
        <w:rPr>
          <w:color w:val="auto"/>
          <w:lang w:val="zh-CN" w:bidi="zh-CN"/>
        </w:rPr>
      </w:pPr>
      <w:r>
        <w:rPr>
          <w:color w:val="auto"/>
          <w:lang w:val="zh-CN" w:bidi="zh-CN"/>
        </w:rPr>
        <w:t>《环境影响评价技术导则 大气环境》（HJ2.2-2018）中评价等级的划分原则见</w:t>
      </w:r>
      <w:r>
        <w:rPr>
          <w:color w:val="auto"/>
          <w:lang w:val="zh-CN" w:bidi="zh-CN"/>
        </w:rPr>
        <w:fldChar w:fldCharType="begin"/>
      </w:r>
      <w:r>
        <w:rPr>
          <w:color w:val="auto"/>
          <w:lang w:val="zh-CN" w:bidi="zh-CN"/>
        </w:rPr>
        <w:instrText xml:space="preserve"> REF _Ref211957887 \h  \* MERGEFORMAT </w:instrText>
      </w:r>
      <w:r>
        <w:rPr>
          <w:color w:val="auto"/>
          <w:lang w:val="zh-CN" w:bidi="zh-CN"/>
        </w:rPr>
        <w:fldChar w:fldCharType="separate"/>
      </w:r>
      <w:r>
        <w:rPr>
          <w:rFonts w:hint="eastAsia"/>
          <w:color w:val="auto"/>
        </w:rPr>
        <w:t xml:space="preserve">表 </w:t>
      </w:r>
      <w:r>
        <w:rPr>
          <w:color w:val="auto"/>
        </w:rPr>
        <w:t>2.6</w:t>
      </w:r>
      <w:r>
        <w:rPr>
          <w:color w:val="auto"/>
        </w:rPr>
        <w:noBreakHyphen/>
      </w:r>
      <w:r>
        <w:rPr>
          <w:color w:val="auto"/>
        </w:rPr>
        <w:t>8</w:t>
      </w:r>
      <w:r>
        <w:rPr>
          <w:color w:val="auto"/>
          <w:lang w:val="zh-CN" w:bidi="zh-CN"/>
        </w:rPr>
        <w:fldChar w:fldCharType="end"/>
      </w:r>
      <w:r>
        <w:rPr>
          <w:color w:val="auto"/>
          <w:lang w:val="zh-CN" w:bidi="zh-CN"/>
        </w:rPr>
        <w:t>。</w:t>
      </w:r>
    </w:p>
    <w:p w14:paraId="4EF3FC99">
      <w:pPr>
        <w:pStyle w:val="22"/>
        <w:spacing w:before="156"/>
        <w:rPr>
          <w:rFonts w:hAnsi="宋体" w:cs="Times New Roman"/>
          <w:color w:val="auto"/>
          <w:lang w:bidi="zh-CN"/>
        </w:rPr>
      </w:pPr>
      <w:bookmarkStart w:id="397" w:name="_Ref211957887"/>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8</w:t>
      </w:r>
      <w:r>
        <w:rPr>
          <w:color w:val="auto"/>
        </w:rPr>
        <w:fldChar w:fldCharType="end"/>
      </w:r>
      <w:bookmarkEnd w:id="397"/>
      <w:r>
        <w:rPr>
          <w:rFonts w:hAnsi="宋体" w:cs="Times New Roman"/>
          <w:color w:val="auto"/>
          <w:lang w:bidi="zh-CN"/>
        </w:rPr>
        <w:t xml:space="preserve">  </w:t>
      </w:r>
      <w:r>
        <w:rPr>
          <w:color w:val="auto"/>
        </w:rPr>
        <w:t>评价等级判别表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153F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shd w:val="clear" w:color="auto" w:fill="auto"/>
            <w:vAlign w:val="center"/>
          </w:tcPr>
          <w:p w14:paraId="012E554C">
            <w:pPr>
              <w:jc w:val="center"/>
              <w:rPr>
                <w:rFonts w:ascii="宋体" w:hAnsi="宋体" w:eastAsia="宋体" w:cs="Times New Roman"/>
                <w:color w:val="auto"/>
              </w:rPr>
            </w:pPr>
            <w:r>
              <w:rPr>
                <w:rFonts w:ascii="宋体" w:hAnsi="宋体" w:eastAsia="宋体" w:cs="Times New Roman"/>
                <w:color w:val="auto"/>
              </w:rPr>
              <w:t>评价工作等级</w:t>
            </w:r>
          </w:p>
        </w:tc>
        <w:tc>
          <w:tcPr>
            <w:tcW w:w="2500" w:type="pct"/>
            <w:shd w:val="clear" w:color="auto" w:fill="auto"/>
            <w:vAlign w:val="center"/>
          </w:tcPr>
          <w:p w14:paraId="698B04AC">
            <w:pPr>
              <w:jc w:val="center"/>
              <w:rPr>
                <w:rFonts w:ascii="宋体" w:hAnsi="宋体" w:eastAsia="宋体" w:cs="Times New Roman"/>
                <w:color w:val="auto"/>
              </w:rPr>
            </w:pPr>
            <w:r>
              <w:rPr>
                <w:rFonts w:ascii="宋体" w:hAnsi="宋体" w:eastAsia="宋体" w:cs="Times New Roman"/>
                <w:color w:val="auto"/>
              </w:rPr>
              <w:t>烟尘</w:t>
            </w:r>
          </w:p>
        </w:tc>
      </w:tr>
      <w:tr w14:paraId="13FC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shd w:val="clear" w:color="auto" w:fill="auto"/>
            <w:vAlign w:val="center"/>
          </w:tcPr>
          <w:p w14:paraId="31B91D3E">
            <w:pPr>
              <w:jc w:val="center"/>
              <w:rPr>
                <w:rFonts w:ascii="宋体" w:hAnsi="宋体" w:eastAsia="宋体" w:cs="Times New Roman"/>
                <w:color w:val="auto"/>
              </w:rPr>
            </w:pPr>
            <w:r>
              <w:rPr>
                <w:rFonts w:ascii="宋体" w:hAnsi="宋体" w:eastAsia="宋体" w:cs="Times New Roman"/>
                <w:color w:val="auto"/>
              </w:rPr>
              <w:t>一级</w:t>
            </w:r>
          </w:p>
        </w:tc>
        <w:tc>
          <w:tcPr>
            <w:tcW w:w="2500" w:type="pct"/>
            <w:shd w:val="clear" w:color="auto" w:fill="auto"/>
            <w:vAlign w:val="center"/>
          </w:tcPr>
          <w:p w14:paraId="25A3B24F">
            <w:pPr>
              <w:jc w:val="center"/>
              <w:rPr>
                <w:rFonts w:ascii="宋体" w:hAnsi="宋体" w:eastAsia="宋体" w:cs="Times New Roman"/>
                <w:color w:val="auto"/>
              </w:rPr>
            </w:pPr>
            <w:r>
              <w:rPr>
                <w:rFonts w:ascii="宋体" w:hAnsi="宋体" w:eastAsia="宋体" w:cs="Times New Roman"/>
                <w:color w:val="auto"/>
              </w:rPr>
              <w:t>P</w:t>
            </w:r>
            <w:r>
              <w:rPr>
                <w:rFonts w:ascii="宋体" w:hAnsi="宋体" w:eastAsia="宋体" w:cs="Times New Roman"/>
                <w:color w:val="auto"/>
                <w:vertAlign w:val="subscript"/>
              </w:rPr>
              <w:t>max</w:t>
            </w:r>
            <w:r>
              <w:rPr>
                <w:rFonts w:ascii="宋体" w:hAnsi="宋体" w:eastAsia="宋体" w:cs="Times New Roman"/>
                <w:color w:val="auto"/>
              </w:rPr>
              <w:t>≥10%</w:t>
            </w:r>
          </w:p>
        </w:tc>
      </w:tr>
      <w:tr w14:paraId="7D4C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shd w:val="clear" w:color="auto" w:fill="auto"/>
            <w:vAlign w:val="center"/>
          </w:tcPr>
          <w:p w14:paraId="51DFA0AD">
            <w:pPr>
              <w:jc w:val="center"/>
              <w:rPr>
                <w:rFonts w:ascii="宋体" w:hAnsi="宋体" w:eastAsia="宋体" w:cs="Times New Roman"/>
                <w:color w:val="auto"/>
              </w:rPr>
            </w:pPr>
            <w:r>
              <w:rPr>
                <w:rFonts w:ascii="宋体" w:hAnsi="宋体" w:eastAsia="宋体" w:cs="Times New Roman"/>
                <w:color w:val="auto"/>
              </w:rPr>
              <w:t>二级</w:t>
            </w:r>
          </w:p>
        </w:tc>
        <w:tc>
          <w:tcPr>
            <w:tcW w:w="2500" w:type="pct"/>
            <w:shd w:val="clear" w:color="auto" w:fill="auto"/>
            <w:vAlign w:val="center"/>
          </w:tcPr>
          <w:p w14:paraId="0B23F3CD">
            <w:pPr>
              <w:jc w:val="center"/>
              <w:rPr>
                <w:rFonts w:ascii="宋体" w:hAnsi="宋体" w:eastAsia="宋体" w:cs="Times New Roman"/>
                <w:color w:val="auto"/>
              </w:rPr>
            </w:pPr>
            <w:r>
              <w:rPr>
                <w:rFonts w:ascii="宋体" w:hAnsi="宋体" w:eastAsia="宋体" w:cs="Times New Roman"/>
                <w:color w:val="auto"/>
              </w:rPr>
              <w:t>1%≤P</w:t>
            </w:r>
            <w:r>
              <w:rPr>
                <w:rFonts w:ascii="宋体" w:hAnsi="宋体" w:eastAsia="宋体" w:cs="Times New Roman"/>
                <w:color w:val="auto"/>
                <w:vertAlign w:val="subscript"/>
              </w:rPr>
              <w:t>max</w:t>
            </w:r>
            <w:r>
              <w:rPr>
                <w:rFonts w:ascii="宋体" w:hAnsi="宋体" w:eastAsia="宋体" w:cs="Times New Roman"/>
                <w:color w:val="auto"/>
              </w:rPr>
              <w:t>＜10%</w:t>
            </w:r>
          </w:p>
        </w:tc>
      </w:tr>
      <w:tr w14:paraId="6067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shd w:val="clear" w:color="auto" w:fill="auto"/>
            <w:vAlign w:val="center"/>
          </w:tcPr>
          <w:p w14:paraId="05C6FFEE">
            <w:pPr>
              <w:jc w:val="center"/>
              <w:rPr>
                <w:rFonts w:ascii="宋体" w:hAnsi="宋体" w:eastAsia="宋体" w:cs="Times New Roman"/>
                <w:color w:val="auto"/>
              </w:rPr>
            </w:pPr>
            <w:r>
              <w:rPr>
                <w:rFonts w:ascii="宋体" w:hAnsi="宋体" w:eastAsia="宋体" w:cs="Times New Roman"/>
                <w:color w:val="auto"/>
              </w:rPr>
              <w:t>三级</w:t>
            </w:r>
          </w:p>
        </w:tc>
        <w:tc>
          <w:tcPr>
            <w:tcW w:w="2500" w:type="pct"/>
            <w:shd w:val="clear" w:color="auto" w:fill="auto"/>
            <w:vAlign w:val="center"/>
          </w:tcPr>
          <w:p w14:paraId="3E551086">
            <w:pPr>
              <w:jc w:val="center"/>
              <w:rPr>
                <w:rFonts w:ascii="宋体" w:hAnsi="宋体" w:eastAsia="宋体" w:cs="Times New Roman"/>
                <w:color w:val="auto"/>
              </w:rPr>
            </w:pPr>
            <w:r>
              <w:rPr>
                <w:rFonts w:ascii="宋体" w:hAnsi="宋体" w:eastAsia="宋体" w:cs="Times New Roman"/>
                <w:color w:val="auto"/>
              </w:rPr>
              <w:t>P</w:t>
            </w:r>
            <w:r>
              <w:rPr>
                <w:rFonts w:ascii="宋体" w:hAnsi="宋体" w:eastAsia="宋体" w:cs="Times New Roman"/>
                <w:color w:val="auto"/>
                <w:vertAlign w:val="subscript"/>
              </w:rPr>
              <w:t>max</w:t>
            </w:r>
            <w:r>
              <w:rPr>
                <w:rFonts w:ascii="宋体" w:hAnsi="宋体" w:eastAsia="宋体" w:cs="Times New Roman"/>
                <w:color w:val="auto"/>
              </w:rPr>
              <w:t>＜1%</w:t>
            </w:r>
          </w:p>
        </w:tc>
      </w:tr>
    </w:tbl>
    <w:p w14:paraId="04898293">
      <w:pPr>
        <w:pStyle w:val="276"/>
        <w:widowControl w:val="0"/>
        <w:spacing w:line="440" w:lineRule="exact"/>
        <w:ind w:firstLine="480"/>
        <w:jc w:val="both"/>
        <w:rPr>
          <w:color w:val="auto"/>
          <w:lang w:val="zh-CN" w:bidi="zh-CN"/>
        </w:rPr>
      </w:pPr>
      <w:r>
        <w:rPr>
          <w:color w:val="auto"/>
          <w:lang w:val="zh-CN" w:bidi="zh-CN"/>
        </w:rPr>
        <w:t>计算结果可以看出，本项目Pmax最大值出现为</w:t>
      </w:r>
      <w:r>
        <w:rPr>
          <w:rFonts w:hint="eastAsia"/>
          <w:color w:val="auto"/>
          <w:lang w:bidi="zh-CN"/>
        </w:rPr>
        <w:t>3</w:t>
      </w:r>
      <w:r>
        <w:rPr>
          <w:color w:val="auto"/>
          <w:lang w:val="zh-CN" w:bidi="zh-CN"/>
        </w:rPr>
        <w:t>号平台排放的非甲烷总烃， Pmax=61.86%，Cmax为123</w:t>
      </w:r>
      <w:r>
        <w:rPr>
          <w:rFonts w:hint="eastAsia"/>
          <w:color w:val="auto"/>
          <w:lang w:bidi="zh-CN"/>
        </w:rPr>
        <w:t>8.2</w:t>
      </w:r>
      <w:r>
        <w:rPr>
          <w:color w:val="auto"/>
          <w:lang w:val="zh-CN" w:bidi="zh-CN"/>
        </w:rPr>
        <w:t>μg/m³，Pmax≥10%，评价等级为一级。</w:t>
      </w:r>
    </w:p>
    <w:p w14:paraId="2A62EA7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评价范围</w:t>
      </w:r>
    </w:p>
    <w:p w14:paraId="2FC99F63">
      <w:pPr>
        <w:pStyle w:val="276"/>
        <w:widowControl w:val="0"/>
        <w:spacing w:line="440" w:lineRule="exact"/>
        <w:ind w:firstLine="480"/>
        <w:jc w:val="both"/>
        <w:rPr>
          <w:color w:val="auto"/>
          <w:lang w:bidi="zh-CN"/>
        </w:rPr>
      </w:pPr>
      <w:r>
        <w:rPr>
          <w:snapToGrid w:val="0"/>
          <w:color w:val="auto"/>
          <w:lang w:val="en-GB"/>
        </w:rPr>
        <w:t>本项目大气评价等级为一级，根据《环境影响评价技术导则 大气环境》（HJ2.2-2018）</w:t>
      </w:r>
      <w:r>
        <w:rPr>
          <w:snapToGrid w:val="0"/>
          <w:color w:val="auto"/>
        </w:rPr>
        <w:t>，大气一级评价项目自厂界外延D10%的矩形区域作为大气环境影响评价范围，当D10%小于2.5km时，评价范围边长取5km，本项目</w:t>
      </w:r>
      <w:r>
        <w:rPr>
          <w:rFonts w:hint="eastAsia"/>
          <w:snapToGrid w:val="0"/>
          <w:color w:val="auto"/>
        </w:rPr>
        <w:t>3</w:t>
      </w:r>
      <w:r>
        <w:rPr>
          <w:snapToGrid w:val="0"/>
          <w:color w:val="auto"/>
        </w:rPr>
        <w:t>号平台井场D10%为1475m，因此本项目大气</w:t>
      </w:r>
      <w:r>
        <w:rPr>
          <w:snapToGrid w:val="0"/>
          <w:color w:val="auto"/>
          <w:lang w:val="en-GB" w:bidi="zh-CN"/>
        </w:rPr>
        <w:t>评价范围为</w:t>
      </w:r>
      <w:r>
        <w:rPr>
          <w:snapToGrid w:val="0"/>
          <w:color w:val="auto"/>
        </w:rPr>
        <w:t>拟建平台和单井井场边界外扩2.5km范围的矩形区域的包络范围，评价范围总面积约</w:t>
      </w:r>
      <w:r>
        <w:rPr>
          <w:rFonts w:hint="eastAsia"/>
          <w:snapToGrid w:val="0"/>
          <w:color w:val="auto"/>
        </w:rPr>
        <w:t>8</w:t>
      </w:r>
      <w:r>
        <w:rPr>
          <w:snapToGrid w:val="0"/>
          <w:color w:val="auto"/>
        </w:rPr>
        <w:t>0km</w:t>
      </w:r>
      <w:r>
        <w:rPr>
          <w:snapToGrid w:val="0"/>
          <w:color w:val="auto"/>
          <w:vertAlign w:val="superscript"/>
        </w:rPr>
        <w:t>2</w:t>
      </w:r>
      <w:r>
        <w:rPr>
          <w:snapToGrid w:val="0"/>
          <w:color w:val="auto"/>
          <w:lang w:val="en-GB"/>
        </w:rPr>
        <w:t>。大气评价范围见附图5-1。</w:t>
      </w:r>
    </w:p>
    <w:p w14:paraId="64F46FBB">
      <w:pPr>
        <w:pStyle w:val="6"/>
        <w:rPr>
          <w:color w:val="auto"/>
        </w:rPr>
      </w:pPr>
      <w:bookmarkStart w:id="398" w:name="_Toc77067636"/>
      <w:bookmarkStart w:id="399" w:name="_Toc143099555"/>
      <w:bookmarkStart w:id="400" w:name="_Toc70050152"/>
      <w:bookmarkStart w:id="401" w:name="_Toc61597198"/>
      <w:bookmarkStart w:id="402" w:name="_Toc17898141"/>
      <w:bookmarkStart w:id="403" w:name="_Toc76976220"/>
      <w:bookmarkStart w:id="404" w:name="_Toc78816437"/>
      <w:bookmarkStart w:id="405" w:name="_Toc24214"/>
      <w:bookmarkStart w:id="406" w:name="_Toc57203226"/>
      <w:bookmarkStart w:id="407" w:name="_Toc127192317"/>
      <w:bookmarkStart w:id="408" w:name="_Toc83209449"/>
      <w:bookmarkStart w:id="409" w:name="_Toc85640729"/>
      <w:bookmarkStart w:id="410" w:name="_Toc126863368"/>
      <w:bookmarkStart w:id="411" w:name="_Toc57976651"/>
      <w:bookmarkStart w:id="412" w:name="_Toc67860105"/>
      <w:bookmarkStart w:id="413" w:name="_Toc57707896"/>
      <w:bookmarkStart w:id="414" w:name="_Toc131167268"/>
      <w:bookmarkStart w:id="415" w:name="_Toc80971354"/>
      <w:bookmarkStart w:id="416" w:name="_Toc86141912"/>
      <w:bookmarkStart w:id="417" w:name="_Toc84929205"/>
      <w:bookmarkStart w:id="418" w:name="_Toc80588232"/>
      <w:r>
        <w:rPr>
          <w:color w:val="auto"/>
        </w:rPr>
        <w:t>地表水</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106F3FD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评价等级</w:t>
      </w:r>
    </w:p>
    <w:p w14:paraId="16EFD11A">
      <w:pPr>
        <w:pStyle w:val="276"/>
        <w:widowControl w:val="0"/>
        <w:spacing w:line="440" w:lineRule="exact"/>
        <w:ind w:firstLine="480"/>
        <w:jc w:val="both"/>
        <w:rPr>
          <w:snapToGrid w:val="0"/>
          <w:color w:val="auto"/>
        </w:rPr>
      </w:pPr>
      <w:r>
        <w:rPr>
          <w:snapToGrid w:val="0"/>
          <w:color w:val="auto"/>
        </w:rPr>
        <w:t>《环境影响评价技术导则 地表水环境》（HJ2.3-2018）规定，建设项目地表水环境影响评价等级按照影响类型、排放方式、排放量或影响情况、受纳水体环境质量现状、水环境保护目标等综合确定。</w:t>
      </w:r>
    </w:p>
    <w:p w14:paraId="09359150">
      <w:pPr>
        <w:pStyle w:val="276"/>
        <w:widowControl w:val="0"/>
        <w:spacing w:line="440" w:lineRule="exact"/>
        <w:ind w:firstLine="480"/>
        <w:jc w:val="both"/>
        <w:rPr>
          <w:snapToGrid w:val="0"/>
          <w:color w:val="auto"/>
        </w:rPr>
      </w:pPr>
      <w:r>
        <w:rPr>
          <w:snapToGrid w:val="0"/>
          <w:color w:val="auto"/>
        </w:rPr>
        <w:t>本项目为水污染影响型建设项目，其分级是根据排放方式和废水排放量划定排放等级。</w:t>
      </w:r>
    </w:p>
    <w:p w14:paraId="67146CBF">
      <w:pPr>
        <w:pStyle w:val="276"/>
        <w:widowControl w:val="0"/>
        <w:spacing w:line="440" w:lineRule="exact"/>
        <w:ind w:firstLine="480"/>
        <w:jc w:val="both"/>
        <w:rPr>
          <w:snapToGrid w:val="0"/>
          <w:color w:val="auto"/>
        </w:rPr>
      </w:pPr>
      <w:r>
        <w:rPr>
          <w:snapToGrid w:val="0"/>
          <w:color w:val="auto"/>
        </w:rPr>
        <w:t>直接排放建设项目评价等级分为一级、二级和三级A，根据废水排放量、水污染物污染当量数确定；间接排放建设项目评价等级为三级B。</w:t>
      </w:r>
    </w:p>
    <w:p w14:paraId="159CCE8E">
      <w:pPr>
        <w:pStyle w:val="276"/>
        <w:widowControl w:val="0"/>
        <w:spacing w:line="440" w:lineRule="exact"/>
        <w:ind w:firstLine="480"/>
        <w:jc w:val="both"/>
        <w:rPr>
          <w:snapToGrid w:val="0"/>
          <w:color w:val="auto"/>
        </w:rPr>
      </w:pPr>
      <w:r>
        <w:rPr>
          <w:snapToGrid w:val="0"/>
          <w:color w:val="auto"/>
        </w:rPr>
        <w:t>地表水环境评价等级判据见</w:t>
      </w:r>
      <w:r>
        <w:rPr>
          <w:snapToGrid w:val="0"/>
          <w:color w:val="auto"/>
        </w:rPr>
        <w:fldChar w:fldCharType="begin"/>
      </w:r>
      <w:r>
        <w:rPr>
          <w:snapToGrid w:val="0"/>
          <w:color w:val="auto"/>
        </w:rPr>
        <w:instrText xml:space="preserve"> REF _Ref211958425 \h  \* MERGEFORMAT </w:instrText>
      </w:r>
      <w:r>
        <w:rPr>
          <w:snapToGrid w:val="0"/>
          <w:color w:val="auto"/>
        </w:rPr>
        <w:fldChar w:fldCharType="separate"/>
      </w:r>
      <w:r>
        <w:rPr>
          <w:rFonts w:hint="eastAsia"/>
          <w:color w:val="auto"/>
        </w:rPr>
        <w:t xml:space="preserve">表 </w:t>
      </w:r>
      <w:r>
        <w:rPr>
          <w:color w:val="auto"/>
        </w:rPr>
        <w:t>2.6</w:t>
      </w:r>
      <w:r>
        <w:rPr>
          <w:color w:val="auto"/>
        </w:rPr>
        <w:noBreakHyphen/>
      </w:r>
      <w:r>
        <w:rPr>
          <w:color w:val="auto"/>
        </w:rPr>
        <w:t>9</w:t>
      </w:r>
      <w:r>
        <w:rPr>
          <w:snapToGrid w:val="0"/>
          <w:color w:val="auto"/>
        </w:rPr>
        <w:fldChar w:fldCharType="end"/>
      </w:r>
      <w:r>
        <w:rPr>
          <w:snapToGrid w:val="0"/>
          <w:color w:val="auto"/>
        </w:rPr>
        <w:t>。</w:t>
      </w:r>
    </w:p>
    <w:p w14:paraId="3BACD808">
      <w:pPr>
        <w:pStyle w:val="276"/>
        <w:widowControl w:val="0"/>
        <w:spacing w:line="440" w:lineRule="exact"/>
        <w:ind w:firstLine="480"/>
        <w:jc w:val="both"/>
        <w:rPr>
          <w:snapToGrid w:val="0"/>
          <w:color w:val="auto"/>
        </w:rPr>
      </w:pPr>
      <w:r>
        <w:rPr>
          <w:snapToGrid w:val="0"/>
          <w:color w:val="auto"/>
        </w:rPr>
        <w:t>本项目排放的生活污水属于间接排放，其它废水均不外排，根据《环境影响评价技术导则 地表水环境》（HJ2.3-2018）中关于地表水环境影响评价工作分级要求，建设项目生产工艺中有废水产生，但作为回水利用，不排放到外环境的，按三级B评价，因此本项目评价等级为三级B。</w:t>
      </w:r>
    </w:p>
    <w:p w14:paraId="70E87874">
      <w:pPr>
        <w:pStyle w:val="22"/>
        <w:spacing w:before="156"/>
        <w:rPr>
          <w:rFonts w:hAnsi="宋体" w:cs="Times New Roman"/>
          <w:color w:val="auto"/>
        </w:rPr>
      </w:pPr>
      <w:bookmarkStart w:id="419" w:name="_Ref211958425"/>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9</w:t>
      </w:r>
      <w:r>
        <w:rPr>
          <w:color w:val="auto"/>
        </w:rPr>
        <w:fldChar w:fldCharType="end"/>
      </w:r>
      <w:bookmarkEnd w:id="419"/>
      <w:r>
        <w:rPr>
          <w:color w:val="auto"/>
        </w:rPr>
        <w:t>地表水环境影响评价分级判据</w:t>
      </w:r>
    </w:p>
    <w:tbl>
      <w:tblPr>
        <w:tblStyle w:val="8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5"/>
        <w:gridCol w:w="1390"/>
        <w:gridCol w:w="5095"/>
      </w:tblGrid>
      <w:tr w14:paraId="72FC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5" w:type="dxa"/>
            <w:vMerge w:val="restart"/>
            <w:vAlign w:val="center"/>
          </w:tcPr>
          <w:p w14:paraId="2161FA45">
            <w:pPr>
              <w:autoSpaceDE w:val="0"/>
              <w:adjustRightInd w:val="0"/>
              <w:snapToGrid w:val="0"/>
              <w:spacing w:line="320" w:lineRule="exact"/>
              <w:jc w:val="center"/>
              <w:textAlignment w:val="center"/>
              <w:rPr>
                <w:rFonts w:ascii="宋体" w:hAnsi="宋体" w:eastAsia="宋体" w:cs="Times New Roman"/>
                <w:snapToGrid w:val="0"/>
                <w:color w:val="auto"/>
                <w:lang w:val="zh-CN"/>
              </w:rPr>
            </w:pPr>
            <w:r>
              <w:rPr>
                <w:rFonts w:ascii="宋体" w:hAnsi="宋体" w:eastAsia="宋体" w:cs="Times New Roman"/>
                <w:snapToGrid w:val="0"/>
                <w:color w:val="auto"/>
              </w:rPr>
              <w:t>评价等级</w:t>
            </w:r>
          </w:p>
        </w:tc>
        <w:tc>
          <w:tcPr>
            <w:tcW w:w="6485" w:type="dxa"/>
            <w:gridSpan w:val="2"/>
            <w:vAlign w:val="center"/>
          </w:tcPr>
          <w:p w14:paraId="46CAF3EB">
            <w:pPr>
              <w:autoSpaceDE w:val="0"/>
              <w:adjustRightInd w:val="0"/>
              <w:snapToGrid w:val="0"/>
              <w:spacing w:line="320" w:lineRule="exact"/>
              <w:jc w:val="center"/>
              <w:textAlignment w:val="center"/>
              <w:rPr>
                <w:rFonts w:ascii="宋体" w:hAnsi="宋体" w:eastAsia="宋体" w:cs="Times New Roman"/>
                <w:snapToGrid w:val="0"/>
                <w:color w:val="auto"/>
              </w:rPr>
            </w:pPr>
            <w:r>
              <w:rPr>
                <w:rFonts w:ascii="宋体" w:hAnsi="宋体" w:eastAsia="宋体" w:cs="Times New Roman"/>
                <w:snapToGrid w:val="0"/>
                <w:color w:val="auto"/>
              </w:rPr>
              <w:t>判定依据</w:t>
            </w:r>
          </w:p>
        </w:tc>
      </w:tr>
      <w:tr w14:paraId="3D82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5" w:type="dxa"/>
            <w:vMerge w:val="continue"/>
            <w:vAlign w:val="center"/>
          </w:tcPr>
          <w:p w14:paraId="587462E5">
            <w:pPr>
              <w:autoSpaceDE w:val="0"/>
              <w:adjustRightInd w:val="0"/>
              <w:snapToGrid w:val="0"/>
              <w:spacing w:line="320" w:lineRule="exact"/>
              <w:jc w:val="center"/>
              <w:textAlignment w:val="center"/>
              <w:rPr>
                <w:rFonts w:ascii="宋体" w:hAnsi="宋体" w:eastAsia="宋体" w:cs="Times New Roman"/>
                <w:snapToGrid w:val="0"/>
                <w:color w:val="auto"/>
                <w:lang w:val="zh-CN"/>
              </w:rPr>
            </w:pPr>
          </w:p>
        </w:tc>
        <w:tc>
          <w:tcPr>
            <w:tcW w:w="1390" w:type="dxa"/>
            <w:vAlign w:val="center"/>
          </w:tcPr>
          <w:p w14:paraId="0402E1A8">
            <w:pPr>
              <w:autoSpaceDE w:val="0"/>
              <w:adjustRightInd w:val="0"/>
              <w:snapToGrid w:val="0"/>
              <w:spacing w:line="320" w:lineRule="exact"/>
              <w:jc w:val="center"/>
              <w:textAlignment w:val="center"/>
              <w:rPr>
                <w:rFonts w:ascii="宋体" w:hAnsi="宋体" w:eastAsia="宋体" w:cs="Times New Roman"/>
                <w:snapToGrid w:val="0"/>
                <w:color w:val="auto"/>
                <w:lang w:val="zh-CN"/>
              </w:rPr>
            </w:pPr>
            <w:r>
              <w:rPr>
                <w:rFonts w:ascii="宋体" w:hAnsi="宋体" w:eastAsia="宋体" w:cs="Times New Roman"/>
                <w:snapToGrid w:val="0"/>
                <w:color w:val="auto"/>
              </w:rPr>
              <w:t>排放方式</w:t>
            </w:r>
          </w:p>
        </w:tc>
        <w:tc>
          <w:tcPr>
            <w:tcW w:w="5095" w:type="dxa"/>
            <w:vAlign w:val="center"/>
          </w:tcPr>
          <w:p w14:paraId="7D97A42C">
            <w:pPr>
              <w:autoSpaceDE w:val="0"/>
              <w:adjustRightInd w:val="0"/>
              <w:snapToGrid w:val="0"/>
              <w:spacing w:line="320" w:lineRule="exact"/>
              <w:jc w:val="center"/>
              <w:textAlignment w:val="center"/>
              <w:rPr>
                <w:rFonts w:ascii="宋体" w:hAnsi="宋体" w:eastAsia="宋体" w:cs="Times New Roman"/>
                <w:snapToGrid w:val="0"/>
                <w:color w:val="auto"/>
              </w:rPr>
            </w:pPr>
            <w:r>
              <w:rPr>
                <w:rFonts w:ascii="宋体" w:hAnsi="宋体" w:eastAsia="宋体" w:cs="Times New Roman"/>
                <w:snapToGrid w:val="0"/>
                <w:color w:val="auto"/>
              </w:rPr>
              <w:t>废水排放量Q/（m</w:t>
            </w:r>
            <w:r>
              <w:rPr>
                <w:rFonts w:ascii="宋体" w:hAnsi="宋体" w:eastAsia="宋体" w:cs="Times New Roman"/>
                <w:snapToGrid w:val="0"/>
                <w:color w:val="auto"/>
                <w:vertAlign w:val="superscript"/>
              </w:rPr>
              <w:t>3</w:t>
            </w:r>
            <w:r>
              <w:rPr>
                <w:rFonts w:ascii="宋体" w:hAnsi="宋体" w:eastAsia="宋体" w:cs="Times New Roman"/>
                <w:snapToGrid w:val="0"/>
                <w:color w:val="auto"/>
              </w:rPr>
              <w:t>/d）;水污染物当量数W/（无量纲）</w:t>
            </w:r>
          </w:p>
        </w:tc>
      </w:tr>
      <w:tr w14:paraId="3999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5" w:type="dxa"/>
            <w:vAlign w:val="center"/>
          </w:tcPr>
          <w:p w14:paraId="45A1024A">
            <w:pPr>
              <w:autoSpaceDE w:val="0"/>
              <w:adjustRightInd w:val="0"/>
              <w:snapToGrid w:val="0"/>
              <w:spacing w:line="320" w:lineRule="exact"/>
              <w:jc w:val="center"/>
              <w:textAlignment w:val="center"/>
              <w:rPr>
                <w:rFonts w:ascii="宋体" w:hAnsi="宋体" w:eastAsia="宋体" w:cs="Times New Roman"/>
                <w:snapToGrid w:val="0"/>
                <w:color w:val="auto"/>
                <w:lang w:val="zh-CN"/>
              </w:rPr>
            </w:pPr>
            <w:r>
              <w:rPr>
                <w:rFonts w:ascii="宋体" w:hAnsi="宋体" w:eastAsia="宋体" w:cs="Times New Roman"/>
                <w:snapToGrid w:val="0"/>
                <w:color w:val="auto"/>
              </w:rPr>
              <w:t>一级</w:t>
            </w:r>
          </w:p>
        </w:tc>
        <w:tc>
          <w:tcPr>
            <w:tcW w:w="1390" w:type="dxa"/>
            <w:vAlign w:val="center"/>
          </w:tcPr>
          <w:p w14:paraId="4CE1A10E">
            <w:pPr>
              <w:pStyle w:val="49"/>
              <w:autoSpaceDE w:val="0"/>
              <w:adjustRightInd w:val="0"/>
              <w:snapToGrid w:val="0"/>
              <w:spacing w:line="320" w:lineRule="exact"/>
              <w:ind w:firstLine="420"/>
              <w:jc w:val="center"/>
              <w:textAlignment w:val="center"/>
              <w:rPr>
                <w:rFonts w:ascii="宋体" w:hAnsi="宋体" w:eastAsia="宋体"/>
                <w:snapToGrid w:val="0"/>
                <w:color w:val="auto"/>
                <w:sz w:val="21"/>
                <w:lang w:val="zh-CN"/>
              </w:rPr>
            </w:pPr>
            <w:r>
              <w:rPr>
                <w:rFonts w:ascii="宋体" w:hAnsi="宋体" w:eastAsia="宋体"/>
                <w:snapToGrid w:val="0"/>
                <w:color w:val="auto"/>
                <w:sz w:val="21"/>
                <w:lang w:val="zh-CN"/>
              </w:rPr>
              <w:t>直接排放</w:t>
            </w:r>
          </w:p>
        </w:tc>
        <w:tc>
          <w:tcPr>
            <w:tcW w:w="5095" w:type="dxa"/>
            <w:vAlign w:val="center"/>
          </w:tcPr>
          <w:p w14:paraId="06EC7D91">
            <w:pPr>
              <w:pStyle w:val="49"/>
              <w:autoSpaceDE w:val="0"/>
              <w:adjustRightInd w:val="0"/>
              <w:snapToGrid w:val="0"/>
              <w:spacing w:line="320" w:lineRule="exact"/>
              <w:ind w:firstLine="420"/>
              <w:jc w:val="center"/>
              <w:textAlignment w:val="center"/>
              <w:rPr>
                <w:rFonts w:ascii="宋体" w:hAnsi="宋体" w:eastAsia="宋体"/>
                <w:snapToGrid w:val="0"/>
                <w:color w:val="auto"/>
                <w:sz w:val="21"/>
                <w:lang w:val="zh-CN"/>
              </w:rPr>
            </w:pPr>
            <w:r>
              <w:rPr>
                <w:rFonts w:ascii="宋体" w:hAnsi="宋体" w:eastAsia="宋体"/>
                <w:snapToGrid w:val="0"/>
                <w:color w:val="auto"/>
                <w:sz w:val="21"/>
                <w:lang w:val="zh-CN"/>
              </w:rPr>
              <w:t>Q≥20000或W≥600000</w:t>
            </w:r>
          </w:p>
        </w:tc>
      </w:tr>
      <w:tr w14:paraId="213B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5" w:type="dxa"/>
            <w:vAlign w:val="center"/>
          </w:tcPr>
          <w:p w14:paraId="5CFCAF0E">
            <w:pPr>
              <w:autoSpaceDE w:val="0"/>
              <w:adjustRightInd w:val="0"/>
              <w:snapToGrid w:val="0"/>
              <w:spacing w:line="320" w:lineRule="exact"/>
              <w:jc w:val="center"/>
              <w:textAlignment w:val="center"/>
              <w:rPr>
                <w:rFonts w:ascii="宋体" w:hAnsi="宋体" w:eastAsia="宋体" w:cs="Times New Roman"/>
                <w:snapToGrid w:val="0"/>
                <w:color w:val="auto"/>
                <w:lang w:val="zh-CN"/>
              </w:rPr>
            </w:pPr>
            <w:r>
              <w:rPr>
                <w:rFonts w:ascii="宋体" w:hAnsi="宋体" w:eastAsia="宋体" w:cs="Times New Roman"/>
                <w:snapToGrid w:val="0"/>
                <w:color w:val="auto"/>
              </w:rPr>
              <w:t>二级</w:t>
            </w:r>
          </w:p>
        </w:tc>
        <w:tc>
          <w:tcPr>
            <w:tcW w:w="1390" w:type="dxa"/>
            <w:vAlign w:val="center"/>
          </w:tcPr>
          <w:p w14:paraId="64D49821">
            <w:pPr>
              <w:spacing w:line="320" w:lineRule="exact"/>
              <w:jc w:val="center"/>
              <w:rPr>
                <w:rFonts w:ascii="宋体" w:hAnsi="宋体" w:eastAsia="宋体" w:cs="Times New Roman"/>
                <w:color w:val="auto"/>
              </w:rPr>
            </w:pPr>
            <w:r>
              <w:rPr>
                <w:rFonts w:ascii="宋体" w:hAnsi="宋体" w:eastAsia="宋体" w:cs="Times New Roman"/>
                <w:snapToGrid w:val="0"/>
                <w:color w:val="auto"/>
                <w:lang w:val="zh-CN"/>
              </w:rPr>
              <w:t>直接排放</w:t>
            </w:r>
          </w:p>
        </w:tc>
        <w:tc>
          <w:tcPr>
            <w:tcW w:w="5095" w:type="dxa"/>
            <w:vAlign w:val="center"/>
          </w:tcPr>
          <w:p w14:paraId="4ADD2758">
            <w:pPr>
              <w:autoSpaceDE w:val="0"/>
              <w:adjustRightInd w:val="0"/>
              <w:snapToGrid w:val="0"/>
              <w:spacing w:line="320" w:lineRule="exact"/>
              <w:jc w:val="center"/>
              <w:textAlignment w:val="center"/>
              <w:rPr>
                <w:rFonts w:ascii="宋体" w:hAnsi="宋体" w:eastAsia="宋体" w:cs="Times New Roman"/>
                <w:snapToGrid w:val="0"/>
                <w:color w:val="auto"/>
              </w:rPr>
            </w:pPr>
            <w:r>
              <w:rPr>
                <w:rFonts w:ascii="宋体" w:hAnsi="宋体" w:eastAsia="宋体" w:cs="Times New Roman"/>
                <w:snapToGrid w:val="0"/>
                <w:color w:val="auto"/>
              </w:rPr>
              <w:t>其他</w:t>
            </w:r>
          </w:p>
        </w:tc>
      </w:tr>
      <w:tr w14:paraId="763D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5" w:type="dxa"/>
            <w:vAlign w:val="center"/>
          </w:tcPr>
          <w:p w14:paraId="76BC2280">
            <w:pPr>
              <w:autoSpaceDE w:val="0"/>
              <w:adjustRightInd w:val="0"/>
              <w:snapToGrid w:val="0"/>
              <w:spacing w:line="320" w:lineRule="exact"/>
              <w:jc w:val="center"/>
              <w:textAlignment w:val="center"/>
              <w:rPr>
                <w:rFonts w:ascii="宋体" w:hAnsi="宋体" w:eastAsia="宋体" w:cs="Times New Roman"/>
                <w:snapToGrid w:val="0"/>
                <w:color w:val="auto"/>
                <w:lang w:val="zh-CN"/>
              </w:rPr>
            </w:pPr>
            <w:r>
              <w:rPr>
                <w:rFonts w:ascii="宋体" w:hAnsi="宋体" w:eastAsia="宋体" w:cs="Times New Roman"/>
                <w:snapToGrid w:val="0"/>
                <w:color w:val="auto"/>
              </w:rPr>
              <w:t>三级A</w:t>
            </w:r>
          </w:p>
        </w:tc>
        <w:tc>
          <w:tcPr>
            <w:tcW w:w="1390" w:type="dxa"/>
            <w:vAlign w:val="center"/>
          </w:tcPr>
          <w:p w14:paraId="2A846EDB">
            <w:pPr>
              <w:spacing w:line="320" w:lineRule="exact"/>
              <w:jc w:val="center"/>
              <w:rPr>
                <w:rFonts w:ascii="宋体" w:hAnsi="宋体" w:eastAsia="宋体" w:cs="Times New Roman"/>
                <w:color w:val="auto"/>
              </w:rPr>
            </w:pPr>
            <w:r>
              <w:rPr>
                <w:rFonts w:ascii="宋体" w:hAnsi="宋体" w:eastAsia="宋体" w:cs="Times New Roman"/>
                <w:snapToGrid w:val="0"/>
                <w:color w:val="auto"/>
                <w:lang w:val="zh-CN"/>
              </w:rPr>
              <w:t>直接排放</w:t>
            </w:r>
          </w:p>
        </w:tc>
        <w:tc>
          <w:tcPr>
            <w:tcW w:w="5095" w:type="dxa"/>
            <w:vAlign w:val="center"/>
          </w:tcPr>
          <w:p w14:paraId="359D7FD5">
            <w:pPr>
              <w:autoSpaceDE w:val="0"/>
              <w:adjustRightInd w:val="0"/>
              <w:snapToGrid w:val="0"/>
              <w:spacing w:line="320" w:lineRule="exact"/>
              <w:jc w:val="center"/>
              <w:textAlignment w:val="center"/>
              <w:rPr>
                <w:rFonts w:ascii="宋体" w:hAnsi="宋体" w:eastAsia="宋体" w:cs="Times New Roman"/>
                <w:snapToGrid w:val="0"/>
                <w:color w:val="auto"/>
              </w:rPr>
            </w:pPr>
            <w:r>
              <w:rPr>
                <w:rFonts w:ascii="宋体" w:hAnsi="宋体" w:eastAsia="宋体" w:cs="Times New Roman"/>
                <w:snapToGrid w:val="0"/>
                <w:color w:val="auto"/>
              </w:rPr>
              <w:t>Q＜200且W＜6000</w:t>
            </w:r>
          </w:p>
        </w:tc>
      </w:tr>
      <w:tr w14:paraId="1776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5" w:type="dxa"/>
            <w:vAlign w:val="center"/>
          </w:tcPr>
          <w:p w14:paraId="3CA144F1">
            <w:pPr>
              <w:autoSpaceDE w:val="0"/>
              <w:adjustRightInd w:val="0"/>
              <w:snapToGrid w:val="0"/>
              <w:spacing w:line="320" w:lineRule="exact"/>
              <w:jc w:val="center"/>
              <w:textAlignment w:val="center"/>
              <w:rPr>
                <w:rFonts w:ascii="宋体" w:hAnsi="宋体" w:eastAsia="宋体" w:cs="Times New Roman"/>
                <w:snapToGrid w:val="0"/>
                <w:color w:val="auto"/>
              </w:rPr>
            </w:pPr>
            <w:r>
              <w:rPr>
                <w:rFonts w:ascii="宋体" w:hAnsi="宋体" w:eastAsia="宋体" w:cs="Times New Roman"/>
                <w:snapToGrid w:val="0"/>
                <w:color w:val="auto"/>
              </w:rPr>
              <w:t>三级B</w:t>
            </w:r>
          </w:p>
        </w:tc>
        <w:tc>
          <w:tcPr>
            <w:tcW w:w="1390" w:type="dxa"/>
            <w:vAlign w:val="center"/>
          </w:tcPr>
          <w:p w14:paraId="11DEB7D5">
            <w:pPr>
              <w:autoSpaceDE w:val="0"/>
              <w:adjustRightInd w:val="0"/>
              <w:snapToGrid w:val="0"/>
              <w:spacing w:line="320" w:lineRule="exact"/>
              <w:jc w:val="center"/>
              <w:textAlignment w:val="center"/>
              <w:rPr>
                <w:rFonts w:ascii="宋体" w:hAnsi="宋体" w:eastAsia="宋体" w:cs="Times New Roman"/>
                <w:snapToGrid w:val="0"/>
                <w:color w:val="auto"/>
              </w:rPr>
            </w:pPr>
            <w:r>
              <w:rPr>
                <w:rFonts w:ascii="宋体" w:hAnsi="宋体" w:eastAsia="宋体" w:cs="Times New Roman"/>
                <w:snapToGrid w:val="0"/>
                <w:color w:val="auto"/>
                <w:lang w:val="zh-CN"/>
              </w:rPr>
              <w:t>间接排放</w:t>
            </w:r>
          </w:p>
        </w:tc>
        <w:tc>
          <w:tcPr>
            <w:tcW w:w="5095" w:type="dxa"/>
            <w:vAlign w:val="center"/>
          </w:tcPr>
          <w:p w14:paraId="283F1789">
            <w:pPr>
              <w:autoSpaceDE w:val="0"/>
              <w:adjustRightInd w:val="0"/>
              <w:snapToGrid w:val="0"/>
              <w:spacing w:line="320" w:lineRule="exact"/>
              <w:jc w:val="center"/>
              <w:textAlignment w:val="center"/>
              <w:rPr>
                <w:rFonts w:ascii="宋体" w:hAnsi="宋体" w:eastAsia="宋体" w:cs="Times New Roman"/>
                <w:snapToGrid w:val="0"/>
                <w:color w:val="auto"/>
              </w:rPr>
            </w:pPr>
            <w:r>
              <w:rPr>
                <w:rFonts w:ascii="宋体" w:hAnsi="宋体" w:eastAsia="宋体" w:cs="Times New Roman"/>
                <w:snapToGrid w:val="0"/>
                <w:color w:val="auto"/>
              </w:rPr>
              <w:t>—</w:t>
            </w:r>
          </w:p>
        </w:tc>
      </w:tr>
      <w:tr w14:paraId="5E6C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0" w:type="dxa"/>
            <w:gridSpan w:val="3"/>
            <w:vAlign w:val="center"/>
          </w:tcPr>
          <w:p w14:paraId="3C54B637">
            <w:pPr>
              <w:autoSpaceDE w:val="0"/>
              <w:adjustRightInd w:val="0"/>
              <w:snapToGrid w:val="0"/>
              <w:spacing w:line="320" w:lineRule="exact"/>
              <w:textAlignment w:val="center"/>
              <w:rPr>
                <w:rFonts w:ascii="宋体" w:hAnsi="宋体" w:eastAsia="宋体" w:cs="Times New Roman"/>
                <w:snapToGrid w:val="0"/>
                <w:color w:val="auto"/>
              </w:rPr>
            </w:pPr>
            <w:r>
              <w:rPr>
                <w:rFonts w:ascii="宋体" w:hAnsi="宋体" w:eastAsia="宋体" w:cs="Times New Roman"/>
                <w:snapToGrid w:val="0"/>
                <w:color w:val="auto"/>
              </w:rPr>
              <w:t>注1：水污染物当量数等于该污染物的年排放量除以该污染物的污染当量值（见附录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18DF1E98">
            <w:pPr>
              <w:autoSpaceDE w:val="0"/>
              <w:adjustRightInd w:val="0"/>
              <w:snapToGrid w:val="0"/>
              <w:spacing w:line="320" w:lineRule="exact"/>
              <w:textAlignment w:val="center"/>
              <w:rPr>
                <w:rFonts w:ascii="宋体" w:hAnsi="宋体" w:eastAsia="宋体" w:cs="Times New Roman"/>
                <w:snapToGrid w:val="0"/>
                <w:color w:val="auto"/>
              </w:rPr>
            </w:pPr>
            <w:r>
              <w:rPr>
                <w:rFonts w:ascii="宋体" w:hAnsi="宋体" w:eastAsia="宋体" w:cs="Times New Roman"/>
                <w:snapToGrid w:val="0"/>
                <w:color w:val="auto"/>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42A5730D">
            <w:pPr>
              <w:autoSpaceDE w:val="0"/>
              <w:adjustRightInd w:val="0"/>
              <w:snapToGrid w:val="0"/>
              <w:spacing w:line="320" w:lineRule="exact"/>
              <w:textAlignment w:val="center"/>
              <w:rPr>
                <w:rFonts w:ascii="宋体" w:hAnsi="宋体" w:eastAsia="宋体" w:cs="Times New Roman"/>
                <w:snapToGrid w:val="0"/>
                <w:color w:val="auto"/>
              </w:rPr>
            </w:pPr>
            <w:r>
              <w:rPr>
                <w:rFonts w:ascii="宋体" w:hAnsi="宋体" w:eastAsia="宋体" w:cs="Times New Roman"/>
                <w:snapToGrid w:val="0"/>
                <w:color w:val="auto"/>
              </w:rPr>
              <w:t>注3：厂区存在堆积物（露天堆放的原料、燃料、废渣等以及垃圾堆放场）、降尘污染的，应将初期雨污水纳入废水排放量，相应的主要污染物纳入水污染当量计算。</w:t>
            </w:r>
          </w:p>
          <w:p w14:paraId="603B9EA6">
            <w:pPr>
              <w:autoSpaceDE w:val="0"/>
              <w:adjustRightInd w:val="0"/>
              <w:snapToGrid w:val="0"/>
              <w:spacing w:line="320" w:lineRule="exact"/>
              <w:textAlignment w:val="center"/>
              <w:rPr>
                <w:rFonts w:ascii="宋体" w:hAnsi="宋体" w:eastAsia="宋体" w:cs="Times New Roman"/>
                <w:snapToGrid w:val="0"/>
                <w:color w:val="auto"/>
              </w:rPr>
            </w:pPr>
            <w:r>
              <w:rPr>
                <w:rFonts w:ascii="宋体" w:hAnsi="宋体" w:eastAsia="宋体" w:cs="Times New Roman"/>
                <w:snapToGrid w:val="0"/>
                <w:color w:val="auto"/>
              </w:rPr>
              <w:t>注4：建设项目直接排放第一类污染物的，其评价等级为一级；建设项目直接排放的污染物为受纳水体超标因子的，评价等级不低于二级。</w:t>
            </w:r>
          </w:p>
          <w:p w14:paraId="6A4239D8">
            <w:pPr>
              <w:autoSpaceDE w:val="0"/>
              <w:adjustRightInd w:val="0"/>
              <w:snapToGrid w:val="0"/>
              <w:spacing w:line="320" w:lineRule="exact"/>
              <w:textAlignment w:val="center"/>
              <w:rPr>
                <w:rFonts w:ascii="宋体" w:hAnsi="宋体" w:eastAsia="宋体" w:cs="Times New Roman"/>
                <w:snapToGrid w:val="0"/>
                <w:color w:val="auto"/>
              </w:rPr>
            </w:pPr>
            <w:r>
              <w:rPr>
                <w:rFonts w:ascii="宋体" w:hAnsi="宋体" w:eastAsia="宋体" w:cs="Times New Roman"/>
                <w:snapToGrid w:val="0"/>
                <w:color w:val="auto"/>
              </w:rPr>
              <w:t>注5：直接排放受纳水体影响范围涉及饮用水水源保护区、饮用水取水口、重点保护与珍稀水生生物的栖息地、重要水生生物的自然产卵场等保护目标时，评价等级不低于二级。</w:t>
            </w:r>
          </w:p>
          <w:p w14:paraId="09B1F0C2">
            <w:pPr>
              <w:autoSpaceDE w:val="0"/>
              <w:adjustRightInd w:val="0"/>
              <w:snapToGrid w:val="0"/>
              <w:spacing w:line="320" w:lineRule="exact"/>
              <w:textAlignment w:val="center"/>
              <w:rPr>
                <w:rFonts w:ascii="宋体" w:hAnsi="宋体" w:eastAsia="宋体" w:cs="Times New Roman"/>
                <w:snapToGrid w:val="0"/>
                <w:color w:val="auto"/>
              </w:rPr>
            </w:pPr>
            <w:r>
              <w:rPr>
                <w:rFonts w:ascii="宋体" w:hAnsi="宋体" w:eastAsia="宋体" w:cs="Times New Roman"/>
                <w:snapToGrid w:val="0"/>
                <w:color w:val="auto"/>
              </w:rPr>
              <w:t>注6：建设项目向河流、湖库排放温排水引起受纳水体水温变化超过水环境质量标准要求，且评价范围有水温敏感目标时，评价等级为一级。</w:t>
            </w:r>
          </w:p>
          <w:p w14:paraId="0A6DFB6D">
            <w:pPr>
              <w:autoSpaceDE w:val="0"/>
              <w:adjustRightInd w:val="0"/>
              <w:snapToGrid w:val="0"/>
              <w:spacing w:line="320" w:lineRule="exact"/>
              <w:textAlignment w:val="center"/>
              <w:rPr>
                <w:rFonts w:ascii="宋体" w:hAnsi="宋体" w:eastAsia="宋体" w:cs="Times New Roman"/>
                <w:snapToGrid w:val="0"/>
                <w:color w:val="auto"/>
              </w:rPr>
            </w:pPr>
            <w:r>
              <w:rPr>
                <w:rFonts w:ascii="宋体" w:hAnsi="宋体" w:eastAsia="宋体" w:cs="Times New Roman"/>
                <w:snapToGrid w:val="0"/>
                <w:color w:val="auto"/>
              </w:rPr>
              <w:t>注7：建设项目利用海水作为调节温度介质，排水量≥500万m</w:t>
            </w:r>
            <w:r>
              <w:rPr>
                <w:rFonts w:ascii="宋体" w:hAnsi="宋体" w:eastAsia="宋体" w:cs="Times New Roman"/>
                <w:snapToGrid w:val="0"/>
                <w:color w:val="auto"/>
                <w:vertAlign w:val="superscript"/>
              </w:rPr>
              <w:t>3</w:t>
            </w:r>
            <w:r>
              <w:rPr>
                <w:rFonts w:ascii="宋体" w:hAnsi="宋体" w:eastAsia="宋体" w:cs="Times New Roman"/>
                <w:snapToGrid w:val="0"/>
                <w:color w:val="auto"/>
              </w:rPr>
              <w:t>/d，评价等级为一级；排水量＜500 万m</w:t>
            </w:r>
            <w:r>
              <w:rPr>
                <w:rFonts w:ascii="宋体" w:hAnsi="宋体" w:eastAsia="宋体" w:cs="Times New Roman"/>
                <w:snapToGrid w:val="0"/>
                <w:color w:val="auto"/>
                <w:vertAlign w:val="superscript"/>
              </w:rPr>
              <w:t>3</w:t>
            </w:r>
            <w:r>
              <w:rPr>
                <w:rFonts w:ascii="宋体" w:hAnsi="宋体" w:eastAsia="宋体" w:cs="Times New Roman"/>
                <w:snapToGrid w:val="0"/>
                <w:color w:val="auto"/>
              </w:rPr>
              <w:t>/d，评价等级为二级。</w:t>
            </w:r>
          </w:p>
          <w:p w14:paraId="385339DF">
            <w:pPr>
              <w:autoSpaceDE w:val="0"/>
              <w:adjustRightInd w:val="0"/>
              <w:snapToGrid w:val="0"/>
              <w:spacing w:line="320" w:lineRule="exact"/>
              <w:textAlignment w:val="center"/>
              <w:rPr>
                <w:rFonts w:ascii="宋体" w:hAnsi="宋体" w:eastAsia="宋体" w:cs="Times New Roman"/>
                <w:snapToGrid w:val="0"/>
                <w:color w:val="auto"/>
              </w:rPr>
            </w:pPr>
            <w:r>
              <w:rPr>
                <w:rFonts w:ascii="宋体" w:hAnsi="宋体" w:eastAsia="宋体" w:cs="Times New Roman"/>
                <w:snapToGrid w:val="0"/>
                <w:color w:val="auto"/>
              </w:rPr>
              <w:t>注8：仅涉及清净下水排放的，如其排放水质满足受纳水体水环境质量标准要求的，评价等级为三级A。</w:t>
            </w:r>
          </w:p>
          <w:p w14:paraId="6BDFFF78">
            <w:pPr>
              <w:autoSpaceDE w:val="0"/>
              <w:adjustRightInd w:val="0"/>
              <w:snapToGrid w:val="0"/>
              <w:spacing w:line="320" w:lineRule="exact"/>
              <w:textAlignment w:val="center"/>
              <w:rPr>
                <w:rFonts w:ascii="宋体" w:hAnsi="宋体" w:eastAsia="宋体" w:cs="Times New Roman"/>
                <w:snapToGrid w:val="0"/>
                <w:color w:val="auto"/>
              </w:rPr>
            </w:pPr>
            <w:r>
              <w:rPr>
                <w:rFonts w:ascii="宋体" w:hAnsi="宋体" w:eastAsia="宋体" w:cs="Times New Roman"/>
                <w:snapToGrid w:val="0"/>
                <w:color w:val="auto"/>
              </w:rPr>
              <w:t>注9：依托现有排放口，且对外环境未新增排放污染物的直接排放建设项目，评价等级参照间接排放，定为三级 B。</w:t>
            </w:r>
          </w:p>
          <w:p w14:paraId="0B58882C">
            <w:pPr>
              <w:autoSpaceDE w:val="0"/>
              <w:adjustRightInd w:val="0"/>
              <w:snapToGrid w:val="0"/>
              <w:spacing w:line="320" w:lineRule="exact"/>
              <w:textAlignment w:val="center"/>
              <w:rPr>
                <w:rFonts w:ascii="宋体" w:hAnsi="宋体" w:eastAsia="宋体" w:cs="Times New Roman"/>
                <w:snapToGrid w:val="0"/>
                <w:color w:val="auto"/>
              </w:rPr>
            </w:pPr>
            <w:r>
              <w:rPr>
                <w:rFonts w:ascii="宋体" w:hAnsi="宋体" w:eastAsia="宋体" w:cs="Times New Roman"/>
                <w:snapToGrid w:val="0"/>
                <w:color w:val="auto"/>
              </w:rPr>
              <w:t>注10：建设项目生产工艺中有废水产生，但作为回水利用，不排放到外环境的，按三级B评价。</w:t>
            </w:r>
          </w:p>
        </w:tc>
      </w:tr>
    </w:tbl>
    <w:p w14:paraId="0ACBCBF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420" w:name="_Toc77067637"/>
      <w:bookmarkStart w:id="421" w:name="_Toc57976652"/>
      <w:bookmarkStart w:id="422" w:name="_Toc84929206"/>
      <w:bookmarkStart w:id="423" w:name="_Toc18486"/>
      <w:bookmarkStart w:id="424" w:name="_Toc17898142"/>
      <w:bookmarkStart w:id="425" w:name="_Toc85640730"/>
      <w:bookmarkStart w:id="426" w:name="_Toc80588233"/>
      <w:bookmarkStart w:id="427" w:name="_Toc67860106"/>
      <w:bookmarkStart w:id="428" w:name="_Toc76976221"/>
      <w:bookmarkStart w:id="429" w:name="_Toc61597199"/>
      <w:bookmarkStart w:id="430" w:name="_Toc80971355"/>
      <w:bookmarkStart w:id="431" w:name="_Toc83209450"/>
      <w:bookmarkStart w:id="432" w:name="_Toc70050153"/>
      <w:bookmarkStart w:id="433" w:name="_Toc78816438"/>
      <w:bookmarkStart w:id="434" w:name="_Toc57707897"/>
      <w:bookmarkStart w:id="435" w:name="_Toc57203227"/>
      <w:r>
        <w:rPr>
          <w:rFonts w:ascii="宋体" w:hAnsi="宋体" w:eastAsia="宋体" w:cs="Times New Roman"/>
          <w:b/>
          <w:bCs/>
          <w:color w:val="auto"/>
          <w:szCs w:val="28"/>
        </w:rPr>
        <w:t>评价范围</w:t>
      </w:r>
    </w:p>
    <w:p w14:paraId="475B823D">
      <w:pPr>
        <w:pStyle w:val="276"/>
        <w:widowControl w:val="0"/>
        <w:spacing w:line="440" w:lineRule="exact"/>
        <w:ind w:firstLine="480"/>
        <w:jc w:val="both"/>
        <w:rPr>
          <w:snapToGrid w:val="0"/>
          <w:color w:val="auto"/>
        </w:rPr>
      </w:pPr>
      <w:r>
        <w:rPr>
          <w:snapToGrid w:val="0"/>
          <w:color w:val="auto"/>
        </w:rPr>
        <w:t>根据《环境影响评价技术导则 地表水环境》（HJ2.3-2018）中关于地表水评价等级为三级B的评价范围要求，涉及地表水环境风险的，其评价范围应覆盖环境风险影响范围所涉及的地表水环境保护目标水域，包括西大海、</w:t>
      </w:r>
      <w:r>
        <w:rPr>
          <w:rFonts w:hint="eastAsia"/>
          <w:snapToGrid w:val="0"/>
          <w:color w:val="auto"/>
        </w:rPr>
        <w:t>中心西干渠、中心东四支渠</w:t>
      </w:r>
      <w:r>
        <w:rPr>
          <w:snapToGrid w:val="0"/>
          <w:color w:val="auto"/>
        </w:rPr>
        <w:t>等。</w:t>
      </w:r>
      <w:r>
        <w:rPr>
          <w:snapToGrid w:val="0"/>
          <w:color w:val="auto"/>
          <w:lang w:val="en-GB"/>
        </w:rPr>
        <w:t>地表水评价范围见附图5-1</w:t>
      </w:r>
      <w:r>
        <w:rPr>
          <w:snapToGrid w:val="0"/>
          <w:color w:val="auto"/>
        </w:rPr>
        <w:t>。</w:t>
      </w:r>
    </w:p>
    <w:p w14:paraId="1CA04603">
      <w:pPr>
        <w:pStyle w:val="6"/>
        <w:rPr>
          <w:color w:val="auto"/>
        </w:rPr>
      </w:pPr>
      <w:bookmarkStart w:id="436" w:name="_Toc143099556"/>
      <w:bookmarkStart w:id="437" w:name="_Toc131167269"/>
      <w:bookmarkStart w:id="438" w:name="_Toc127192318"/>
      <w:bookmarkStart w:id="439" w:name="_Toc86141913"/>
      <w:bookmarkStart w:id="440" w:name="_Toc126863369"/>
      <w:r>
        <w:rPr>
          <w:color w:val="auto"/>
        </w:rPr>
        <w:t>地下水</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BAAB17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评价等级</w:t>
      </w:r>
    </w:p>
    <w:p w14:paraId="6E67DE6D">
      <w:pPr>
        <w:pStyle w:val="276"/>
        <w:widowControl w:val="0"/>
        <w:spacing w:line="440" w:lineRule="exact"/>
        <w:ind w:firstLine="480"/>
        <w:jc w:val="both"/>
        <w:rPr>
          <w:snapToGrid w:val="0"/>
          <w:color w:val="auto"/>
        </w:rPr>
      </w:pPr>
      <w:r>
        <w:rPr>
          <w:snapToGrid w:val="0"/>
          <w:color w:val="auto"/>
        </w:rPr>
        <w:t>根据《环境影响评价技术导则 地下水环境》（HJ610-2016）中要求，评价工作等级的划分应依据建设项目行业分类和地下水环境敏感程度分级进行判定，同时满足《环境影响评价技术导则 陆地石油天然气开发建设项目》（HJ349-2023）中关于评价等级的相关要求。</w:t>
      </w:r>
    </w:p>
    <w:p w14:paraId="21CCE985">
      <w:pPr>
        <w:pStyle w:val="276"/>
        <w:widowControl w:val="0"/>
        <w:spacing w:line="440" w:lineRule="exact"/>
        <w:ind w:firstLine="480"/>
        <w:jc w:val="both"/>
        <w:rPr>
          <w:snapToGrid w:val="0"/>
          <w:color w:val="auto"/>
        </w:rPr>
      </w:pPr>
      <w:r>
        <w:rPr>
          <w:snapToGrid w:val="0"/>
          <w:color w:val="auto"/>
        </w:rPr>
        <w:t>（1）地下水环境影响评价行业分类</w:t>
      </w:r>
    </w:p>
    <w:p w14:paraId="4D2758C6">
      <w:pPr>
        <w:pStyle w:val="276"/>
        <w:widowControl w:val="0"/>
        <w:spacing w:line="440" w:lineRule="exact"/>
        <w:ind w:firstLine="480"/>
        <w:jc w:val="both"/>
        <w:rPr>
          <w:snapToGrid w:val="0"/>
          <w:color w:val="auto"/>
        </w:rPr>
      </w:pPr>
      <w:r>
        <w:rPr>
          <w:snapToGrid w:val="0"/>
          <w:color w:val="auto"/>
        </w:rPr>
        <w:t>根据《环境影响评价技术导则 陆地石油天然气开发建设项目》（HJ349-2023），项目类别判定应依据《环境影响评价技术导则 地下水环境》（HJ610-2016）附录A的规定，按照场站和内部集输管道分别判断行业类别，并分别判断项目类别。本项目涉及新建采油井场、集油管线，根据《环境影响评价技术导则 陆地石油天然气开发建设项目》（HJ349-2023）中关于项目类别的要求，致密油等非常规石油开采井场、站场等工程按照I类建设项目开展地下水环境影响评价，油类和废水等输送管道按照Ⅱ类建设项目开展地下水环境影响评价。</w:t>
      </w:r>
    </w:p>
    <w:p w14:paraId="79858C60">
      <w:pPr>
        <w:pStyle w:val="276"/>
        <w:widowControl w:val="0"/>
        <w:spacing w:line="440" w:lineRule="exact"/>
        <w:ind w:firstLine="480"/>
        <w:jc w:val="both"/>
        <w:rPr>
          <w:snapToGrid w:val="0"/>
          <w:color w:val="auto"/>
        </w:rPr>
      </w:pPr>
      <w:r>
        <w:rPr>
          <w:snapToGrid w:val="0"/>
          <w:color w:val="auto"/>
        </w:rPr>
        <w:t>（2）地下水环境敏感程度</w:t>
      </w:r>
    </w:p>
    <w:p w14:paraId="13674706">
      <w:pPr>
        <w:pStyle w:val="276"/>
        <w:widowControl w:val="0"/>
        <w:spacing w:line="440" w:lineRule="exact"/>
        <w:ind w:firstLine="480"/>
        <w:jc w:val="both"/>
        <w:rPr>
          <w:snapToGrid w:val="0"/>
          <w:color w:val="auto"/>
        </w:rPr>
      </w:pPr>
      <w:r>
        <w:rPr>
          <w:snapToGrid w:val="0"/>
          <w:color w:val="auto"/>
        </w:rPr>
        <w:t>建设项目场地的地下水环境敏感程度可分为敏感、较敏感、不敏感三级，分级原则见</w:t>
      </w:r>
      <w:r>
        <w:rPr>
          <w:color w:val="auto"/>
        </w:rPr>
        <w:fldChar w:fldCharType="begin"/>
      </w:r>
      <w:r>
        <w:rPr>
          <w:snapToGrid w:val="0"/>
          <w:color w:val="auto"/>
        </w:rPr>
        <w:instrText xml:space="preserve"> REF _Ref211958436 \h </w:instrText>
      </w:r>
      <w:r>
        <w:rPr>
          <w:color w:val="auto"/>
        </w:rPr>
        <w:instrText xml:space="preserve"> \* MERGEFORMAT </w:instrText>
      </w:r>
      <w:r>
        <w:rPr>
          <w:color w:val="auto"/>
        </w:rPr>
        <w:fldChar w:fldCharType="separate"/>
      </w:r>
      <w:r>
        <w:rPr>
          <w:color w:val="auto"/>
        </w:rPr>
        <w:t>表 2.6</w:t>
      </w:r>
      <w:r>
        <w:rPr>
          <w:color w:val="auto"/>
        </w:rPr>
        <w:noBreakHyphen/>
      </w:r>
      <w:r>
        <w:rPr>
          <w:color w:val="auto"/>
        </w:rPr>
        <w:t>10</w:t>
      </w:r>
      <w:r>
        <w:rPr>
          <w:color w:val="auto"/>
        </w:rPr>
        <w:fldChar w:fldCharType="end"/>
      </w:r>
      <w:r>
        <w:rPr>
          <w:snapToGrid w:val="0"/>
          <w:color w:val="auto"/>
        </w:rPr>
        <w:t>。</w:t>
      </w:r>
    </w:p>
    <w:p w14:paraId="7C1C664D">
      <w:pPr>
        <w:pStyle w:val="22"/>
        <w:spacing w:before="156"/>
        <w:rPr>
          <w:snapToGrid w:val="0"/>
          <w:color w:val="auto"/>
        </w:rPr>
      </w:pPr>
      <w:bookmarkStart w:id="441" w:name="_Ref211958436"/>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10</w:t>
      </w:r>
      <w:r>
        <w:rPr>
          <w:color w:val="auto"/>
        </w:rPr>
        <w:fldChar w:fldCharType="end"/>
      </w:r>
      <w:bookmarkEnd w:id="441"/>
      <w:r>
        <w:rPr>
          <w:color w:val="auto"/>
        </w:rPr>
        <w:t>地下水环境敏感程度分级</w:t>
      </w:r>
    </w:p>
    <w:tbl>
      <w:tblPr>
        <w:tblStyle w:val="8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931"/>
      </w:tblGrid>
      <w:tr w14:paraId="1065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Align w:val="center"/>
          </w:tcPr>
          <w:p w14:paraId="688D8FDB">
            <w:pPr>
              <w:spacing w:line="360" w:lineRule="exact"/>
              <w:rPr>
                <w:rFonts w:ascii="宋体" w:hAnsi="宋体" w:eastAsia="宋体"/>
                <w:snapToGrid w:val="0"/>
                <w:color w:val="auto"/>
                <w:kern w:val="0"/>
                <w:szCs w:val="24"/>
              </w:rPr>
            </w:pPr>
            <w:r>
              <w:rPr>
                <w:rFonts w:ascii="宋体" w:hAnsi="宋体" w:eastAsia="宋体"/>
                <w:snapToGrid w:val="0"/>
                <w:color w:val="auto"/>
                <w:kern w:val="0"/>
                <w:szCs w:val="24"/>
              </w:rPr>
              <w:t>敏感程度</w:t>
            </w:r>
          </w:p>
        </w:tc>
        <w:tc>
          <w:tcPr>
            <w:tcW w:w="7931" w:type="dxa"/>
            <w:vAlign w:val="center"/>
          </w:tcPr>
          <w:p w14:paraId="19D4B661">
            <w:pPr>
              <w:spacing w:line="360" w:lineRule="exact"/>
              <w:rPr>
                <w:rFonts w:ascii="宋体" w:hAnsi="宋体" w:eastAsia="宋体"/>
                <w:snapToGrid w:val="0"/>
                <w:color w:val="auto"/>
                <w:kern w:val="0"/>
                <w:szCs w:val="24"/>
              </w:rPr>
            </w:pPr>
            <w:r>
              <w:rPr>
                <w:rFonts w:ascii="宋体" w:hAnsi="宋体" w:eastAsia="宋体"/>
                <w:snapToGrid w:val="0"/>
                <w:color w:val="auto"/>
                <w:kern w:val="0"/>
                <w:szCs w:val="24"/>
              </w:rPr>
              <w:t>地下水环境敏感特征</w:t>
            </w:r>
          </w:p>
        </w:tc>
      </w:tr>
      <w:tr w14:paraId="1B71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Align w:val="center"/>
          </w:tcPr>
          <w:p w14:paraId="1AD495F9">
            <w:pPr>
              <w:spacing w:line="360" w:lineRule="exact"/>
              <w:rPr>
                <w:rFonts w:ascii="宋体" w:hAnsi="宋体" w:eastAsia="宋体"/>
                <w:snapToGrid w:val="0"/>
                <w:color w:val="auto"/>
                <w:kern w:val="0"/>
                <w:szCs w:val="24"/>
              </w:rPr>
            </w:pPr>
            <w:r>
              <w:rPr>
                <w:rFonts w:ascii="宋体" w:hAnsi="宋体" w:eastAsia="宋体"/>
                <w:snapToGrid w:val="0"/>
                <w:color w:val="auto"/>
                <w:kern w:val="0"/>
                <w:szCs w:val="24"/>
              </w:rPr>
              <w:t>敏感</w:t>
            </w:r>
          </w:p>
        </w:tc>
        <w:tc>
          <w:tcPr>
            <w:tcW w:w="7931" w:type="dxa"/>
            <w:vAlign w:val="center"/>
          </w:tcPr>
          <w:p w14:paraId="688A447A">
            <w:pPr>
              <w:spacing w:line="360" w:lineRule="exact"/>
              <w:rPr>
                <w:rFonts w:ascii="宋体" w:hAnsi="宋体" w:eastAsia="宋体"/>
                <w:snapToGrid w:val="0"/>
                <w:color w:val="auto"/>
                <w:kern w:val="0"/>
                <w:szCs w:val="24"/>
              </w:rPr>
            </w:pPr>
            <w:r>
              <w:rPr>
                <w:rFonts w:ascii="宋体" w:hAnsi="宋体" w:eastAsia="宋体"/>
                <w:snapToGrid w:val="0"/>
                <w:color w:val="auto"/>
                <w:kern w:val="0"/>
                <w:szCs w:val="24"/>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71DA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Align w:val="center"/>
          </w:tcPr>
          <w:p w14:paraId="7AAD237E">
            <w:pPr>
              <w:spacing w:line="360" w:lineRule="exact"/>
              <w:rPr>
                <w:rFonts w:ascii="宋体" w:hAnsi="宋体" w:eastAsia="宋体"/>
                <w:snapToGrid w:val="0"/>
                <w:color w:val="auto"/>
                <w:kern w:val="0"/>
                <w:szCs w:val="24"/>
              </w:rPr>
            </w:pPr>
            <w:r>
              <w:rPr>
                <w:rFonts w:ascii="宋体" w:hAnsi="宋体" w:eastAsia="宋体"/>
                <w:snapToGrid w:val="0"/>
                <w:color w:val="auto"/>
                <w:kern w:val="0"/>
                <w:szCs w:val="24"/>
              </w:rPr>
              <w:t>较敏感</w:t>
            </w:r>
          </w:p>
        </w:tc>
        <w:tc>
          <w:tcPr>
            <w:tcW w:w="7931" w:type="dxa"/>
            <w:vAlign w:val="center"/>
          </w:tcPr>
          <w:p w14:paraId="5F3791A2">
            <w:pPr>
              <w:spacing w:line="360" w:lineRule="exact"/>
              <w:rPr>
                <w:rFonts w:ascii="宋体" w:hAnsi="宋体" w:eastAsia="宋体"/>
                <w:snapToGrid w:val="0"/>
                <w:color w:val="auto"/>
                <w:kern w:val="0"/>
                <w:szCs w:val="24"/>
              </w:rPr>
            </w:pPr>
            <w:r>
              <w:rPr>
                <w:rFonts w:ascii="宋体" w:hAnsi="宋体" w:eastAsia="宋体"/>
                <w:snapToGrid w:val="0"/>
                <w:color w:val="auto"/>
                <w:kern w:val="0"/>
                <w:szCs w:val="24"/>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ascii="宋体" w:hAnsi="宋体" w:eastAsia="宋体"/>
                <w:snapToGrid w:val="0"/>
                <w:color w:val="auto"/>
                <w:kern w:val="0"/>
                <w:szCs w:val="24"/>
                <w:vertAlign w:val="superscript"/>
              </w:rPr>
              <w:t>a</w:t>
            </w:r>
            <w:r>
              <w:rPr>
                <w:rFonts w:ascii="宋体" w:hAnsi="宋体" w:eastAsia="宋体"/>
                <w:snapToGrid w:val="0"/>
                <w:color w:val="auto"/>
                <w:kern w:val="0"/>
                <w:szCs w:val="24"/>
              </w:rPr>
              <w:t>。</w:t>
            </w:r>
          </w:p>
        </w:tc>
      </w:tr>
      <w:tr w14:paraId="413E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Align w:val="center"/>
          </w:tcPr>
          <w:p w14:paraId="720091BF">
            <w:pPr>
              <w:spacing w:line="360" w:lineRule="exact"/>
              <w:rPr>
                <w:rFonts w:ascii="宋体" w:hAnsi="宋体" w:eastAsia="宋体"/>
                <w:snapToGrid w:val="0"/>
                <w:color w:val="auto"/>
                <w:kern w:val="0"/>
                <w:szCs w:val="24"/>
              </w:rPr>
            </w:pPr>
            <w:r>
              <w:rPr>
                <w:rFonts w:ascii="宋体" w:hAnsi="宋体" w:eastAsia="宋体"/>
                <w:snapToGrid w:val="0"/>
                <w:color w:val="auto"/>
                <w:kern w:val="0"/>
                <w:szCs w:val="24"/>
              </w:rPr>
              <w:t>不敏感</w:t>
            </w:r>
          </w:p>
        </w:tc>
        <w:tc>
          <w:tcPr>
            <w:tcW w:w="7931" w:type="dxa"/>
            <w:vAlign w:val="center"/>
          </w:tcPr>
          <w:p w14:paraId="1AE43E81">
            <w:pPr>
              <w:spacing w:line="360" w:lineRule="exact"/>
              <w:rPr>
                <w:rFonts w:ascii="宋体" w:hAnsi="宋体" w:eastAsia="宋体"/>
                <w:snapToGrid w:val="0"/>
                <w:color w:val="auto"/>
                <w:kern w:val="0"/>
                <w:szCs w:val="24"/>
              </w:rPr>
            </w:pPr>
            <w:r>
              <w:rPr>
                <w:rFonts w:ascii="宋体" w:hAnsi="宋体" w:eastAsia="宋体"/>
                <w:snapToGrid w:val="0"/>
                <w:color w:val="auto"/>
                <w:kern w:val="0"/>
                <w:szCs w:val="24"/>
              </w:rPr>
              <w:t>上述地区之外的其它地区。</w:t>
            </w:r>
          </w:p>
        </w:tc>
      </w:tr>
      <w:tr w14:paraId="6F29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2"/>
            <w:vAlign w:val="center"/>
          </w:tcPr>
          <w:p w14:paraId="1B9646DC">
            <w:pPr>
              <w:spacing w:line="360" w:lineRule="exact"/>
              <w:rPr>
                <w:rFonts w:ascii="宋体" w:hAnsi="宋体" w:eastAsia="宋体"/>
                <w:snapToGrid w:val="0"/>
                <w:color w:val="auto"/>
                <w:kern w:val="0"/>
                <w:szCs w:val="24"/>
              </w:rPr>
            </w:pPr>
            <w:r>
              <w:rPr>
                <w:rFonts w:ascii="宋体" w:hAnsi="宋体" w:eastAsia="宋体"/>
                <w:snapToGrid w:val="0"/>
                <w:color w:val="auto"/>
                <w:kern w:val="0"/>
                <w:szCs w:val="24"/>
              </w:rPr>
              <w:t>注：a“环境敏感区”是指《建设项目环境影响评价分类管理目录》中所界定的涉及地下水的环境敏感区。</w:t>
            </w:r>
          </w:p>
        </w:tc>
      </w:tr>
    </w:tbl>
    <w:p w14:paraId="1B15BDCF">
      <w:pPr>
        <w:pStyle w:val="276"/>
        <w:widowControl w:val="0"/>
        <w:spacing w:line="440" w:lineRule="exact"/>
        <w:ind w:firstLine="480"/>
        <w:jc w:val="both"/>
        <w:rPr>
          <w:color w:val="auto"/>
        </w:rPr>
      </w:pPr>
      <w:r>
        <w:rPr>
          <w:color w:val="auto"/>
        </w:rPr>
        <w:t>根据《全省县区级饮用水水源保护区基础信息名录（2022年）》和《全省在用饮用水水源保护区基础信息名录（2020年）》</w:t>
      </w:r>
      <w:r>
        <w:rPr>
          <w:rFonts w:hint="eastAsia"/>
          <w:color w:val="auto"/>
        </w:rPr>
        <w:t>、《黑龙江省人民政府关于调整撤销新建哈尔滨市等市(地)45个集中式饮用水水源保护区范围的批复》(黑政函﹝2020﹞74号)</w:t>
      </w:r>
      <w:r>
        <w:rPr>
          <w:color w:val="auto"/>
        </w:rPr>
        <w:t>，经现场调查，本项目</w:t>
      </w:r>
      <w:r>
        <w:rPr>
          <w:rFonts w:hint="eastAsia"/>
          <w:color w:val="auto"/>
        </w:rPr>
        <w:t>位于肇源县肇源镇、和平乡范围内。</w:t>
      </w:r>
    </w:p>
    <w:p w14:paraId="2C1F75C2">
      <w:pPr>
        <w:pStyle w:val="276"/>
        <w:widowControl w:val="0"/>
        <w:spacing w:line="440" w:lineRule="exact"/>
        <w:ind w:firstLine="480"/>
        <w:jc w:val="both"/>
        <w:rPr>
          <w:color w:val="auto"/>
        </w:rPr>
      </w:pPr>
      <w:r>
        <w:rPr>
          <w:rFonts w:hint="eastAsia"/>
          <w:color w:val="auto"/>
        </w:rPr>
        <w:t>肇源镇</w:t>
      </w:r>
      <w:r>
        <w:rPr>
          <w:color w:val="auto"/>
        </w:rPr>
        <w:t>所有村屯饮用水源全部由肇</w:t>
      </w:r>
      <w:r>
        <w:rPr>
          <w:rFonts w:hint="eastAsia"/>
          <w:color w:val="auto"/>
        </w:rPr>
        <w:t>源</w:t>
      </w:r>
      <w:r>
        <w:rPr>
          <w:color w:val="auto"/>
        </w:rPr>
        <w:t>镇地下水饮用水水源供给，肇</w:t>
      </w:r>
      <w:r>
        <w:rPr>
          <w:rFonts w:hint="eastAsia"/>
          <w:color w:val="auto"/>
        </w:rPr>
        <w:t>源</w:t>
      </w:r>
      <w:r>
        <w:rPr>
          <w:color w:val="auto"/>
        </w:rPr>
        <w:t>镇饮用水源包括1</w:t>
      </w:r>
      <w:r>
        <w:rPr>
          <w:rFonts w:hint="eastAsia"/>
          <w:color w:val="auto"/>
        </w:rPr>
        <w:t>3</w:t>
      </w:r>
      <w:r>
        <w:rPr>
          <w:color w:val="auto"/>
        </w:rPr>
        <w:t>口饮用水井，使用状态为在用，开采层位为承压水含水层，属于集中式饮用水源地。13眼取水井，均为承压水型，只划一级水源保护区，1#水源井为以井口为圆心，30米为半径的圆形区域，东侧不超过S201县道，面积2694平方米</w:t>
      </w:r>
      <w:r>
        <w:rPr>
          <w:rFonts w:hint="eastAsia"/>
          <w:color w:val="auto"/>
        </w:rPr>
        <w:t>；</w:t>
      </w:r>
      <w:r>
        <w:rPr>
          <w:color w:val="auto"/>
        </w:rPr>
        <w:t>老2#水源井、2#水源井2眼井作为一个井群考虑，以两口井的外包线为边界，向外径向距离30米的矩形区域，面积6213平方米</w:t>
      </w:r>
      <w:r>
        <w:rPr>
          <w:rFonts w:hint="eastAsia"/>
          <w:color w:val="auto"/>
        </w:rPr>
        <w:t>；</w:t>
      </w:r>
      <w:r>
        <w:rPr>
          <w:color w:val="auto"/>
        </w:rPr>
        <w:t>其余10眼水源井分别以井口为圆心，30米为半径的10个圆形区域每眼井保护区面积2826平方米</w:t>
      </w:r>
      <w:r>
        <w:rPr>
          <w:rFonts w:hint="eastAsia"/>
          <w:color w:val="auto"/>
        </w:rPr>
        <w:t>；</w:t>
      </w:r>
      <w:r>
        <w:rPr>
          <w:color w:val="auto"/>
        </w:rPr>
        <w:t>13眼井一级保护区总面积37167平方米。</w:t>
      </w:r>
    </w:p>
    <w:p w14:paraId="4DF558DC">
      <w:pPr>
        <w:pStyle w:val="276"/>
        <w:widowControl w:val="0"/>
        <w:spacing w:line="440" w:lineRule="exact"/>
        <w:ind w:firstLine="480"/>
        <w:jc w:val="both"/>
        <w:rPr>
          <w:color w:val="auto"/>
        </w:rPr>
      </w:pPr>
      <w:r>
        <w:rPr>
          <w:rFonts w:hint="eastAsia"/>
          <w:color w:val="auto"/>
        </w:rPr>
        <w:t>和平乡</w:t>
      </w:r>
      <w:r>
        <w:rPr>
          <w:color w:val="auto"/>
        </w:rPr>
        <w:t>周边村屯</w:t>
      </w:r>
      <w:r>
        <w:rPr>
          <w:rFonts w:hint="eastAsia"/>
          <w:color w:val="auto"/>
        </w:rPr>
        <w:t>主要包括张家围子、赵家围子、王家粉坊等，</w:t>
      </w:r>
      <w:r>
        <w:rPr>
          <w:color w:val="auto"/>
        </w:rPr>
        <w:t>饮用水源为</w:t>
      </w:r>
      <w:r>
        <w:rPr>
          <w:rFonts w:hint="eastAsia"/>
          <w:color w:val="auto"/>
        </w:rPr>
        <w:t>村屯内承压水井提供，属于</w:t>
      </w:r>
      <w:r>
        <w:rPr>
          <w:color w:val="auto"/>
        </w:rPr>
        <w:t>分散式水源地</w:t>
      </w:r>
      <w:r>
        <w:rPr>
          <w:rFonts w:hint="eastAsia"/>
          <w:color w:val="auto"/>
        </w:rPr>
        <w:t>。</w:t>
      </w:r>
    </w:p>
    <w:p w14:paraId="585ED167">
      <w:pPr>
        <w:pStyle w:val="276"/>
        <w:widowControl w:val="0"/>
        <w:spacing w:line="440" w:lineRule="exact"/>
        <w:ind w:firstLine="480"/>
        <w:jc w:val="both"/>
        <w:rPr>
          <w:color w:val="auto"/>
        </w:rPr>
      </w:pPr>
      <w:r>
        <w:rPr>
          <w:rFonts w:hint="eastAsia"/>
          <w:color w:val="auto"/>
        </w:rPr>
        <w:t>根据现场调查，</w:t>
      </w:r>
      <w:r>
        <w:rPr>
          <w:color w:val="auto"/>
        </w:rPr>
        <w:t>本项目距离水源井最近的工程设施为肇</w:t>
      </w:r>
      <w:r>
        <w:rPr>
          <w:rFonts w:hint="eastAsia"/>
          <w:color w:val="auto"/>
        </w:rPr>
        <w:t>源</w:t>
      </w:r>
      <w:r>
        <w:rPr>
          <w:color w:val="auto"/>
        </w:rPr>
        <w:t>镇</w:t>
      </w:r>
      <w:r>
        <w:rPr>
          <w:rFonts w:hint="eastAsia"/>
          <w:color w:val="auto"/>
        </w:rPr>
        <w:t>新</w:t>
      </w:r>
      <w:r>
        <w:rPr>
          <w:color w:val="auto"/>
        </w:rPr>
        <w:t>1#水源井南侧（下游）</w:t>
      </w:r>
      <w:r>
        <w:rPr>
          <w:rFonts w:hint="eastAsia"/>
          <w:color w:val="auto"/>
        </w:rPr>
        <w:t>38</w:t>
      </w:r>
      <w:r>
        <w:rPr>
          <w:color w:val="auto"/>
        </w:rPr>
        <w:t>00m</w:t>
      </w:r>
      <w:r>
        <w:rPr>
          <w:rFonts w:hint="eastAsia"/>
          <w:color w:val="auto"/>
        </w:rPr>
        <w:t>处的源1011</w:t>
      </w:r>
      <w:r>
        <w:rPr>
          <w:color w:val="auto"/>
        </w:rPr>
        <w:t>井场</w:t>
      </w:r>
      <w:r>
        <w:rPr>
          <w:rFonts w:hint="eastAsia"/>
          <w:color w:val="auto"/>
        </w:rPr>
        <w:t>以及后欧力马屯分散式水源井东侧（侧向）500m的3#平台</w:t>
      </w:r>
      <w:r>
        <w:rPr>
          <w:color w:val="auto"/>
        </w:rPr>
        <w:t>。</w:t>
      </w:r>
    </w:p>
    <w:p w14:paraId="48944252">
      <w:pPr>
        <w:pStyle w:val="276"/>
        <w:widowControl w:val="0"/>
        <w:spacing w:line="440" w:lineRule="exact"/>
        <w:ind w:firstLine="480"/>
        <w:jc w:val="both"/>
        <w:rPr>
          <w:color w:val="auto"/>
        </w:rPr>
      </w:pPr>
      <w:r>
        <w:rPr>
          <w:color w:val="auto"/>
        </w:rPr>
        <w:t>根据</w:t>
      </w:r>
      <w:r>
        <w:rPr>
          <w:snapToGrid w:val="0"/>
          <w:color w:val="auto"/>
        </w:rPr>
        <w:t>《地下水型饮用水水源补给区划定技术指南（试行）》</w:t>
      </w:r>
      <w:r>
        <w:rPr>
          <w:color w:val="auto"/>
        </w:rPr>
        <w:t>划定饮用水源井补给径流区，地下水饮用水源井补给径流区判定依据见</w:t>
      </w:r>
      <w:r>
        <w:rPr>
          <w:color w:val="auto"/>
        </w:rPr>
        <w:fldChar w:fldCharType="begin"/>
      </w:r>
      <w:r>
        <w:rPr>
          <w:color w:val="auto"/>
        </w:rPr>
        <w:instrText xml:space="preserve"> REF _Ref211958444 \h  \* MERGEFORMAT </w:instrText>
      </w:r>
      <w:r>
        <w:rPr>
          <w:color w:val="auto"/>
        </w:rPr>
        <w:fldChar w:fldCharType="separate"/>
      </w:r>
      <w:r>
        <w:rPr>
          <w:color w:val="auto"/>
        </w:rPr>
        <w:t>表 2.6</w:t>
      </w:r>
      <w:r>
        <w:rPr>
          <w:color w:val="auto"/>
        </w:rPr>
        <w:noBreakHyphen/>
      </w:r>
      <w:r>
        <w:rPr>
          <w:color w:val="auto"/>
        </w:rPr>
        <w:t>11</w:t>
      </w:r>
      <w:r>
        <w:rPr>
          <w:color w:val="auto"/>
        </w:rPr>
        <w:fldChar w:fldCharType="end"/>
      </w:r>
      <w:r>
        <w:rPr>
          <w:color w:val="auto"/>
        </w:rPr>
        <w:t>。</w:t>
      </w:r>
    </w:p>
    <w:p w14:paraId="7AC11ED3">
      <w:pPr>
        <w:pStyle w:val="22"/>
        <w:spacing w:before="156"/>
        <w:rPr>
          <w:color w:val="auto"/>
        </w:rPr>
      </w:pPr>
      <w:bookmarkStart w:id="442" w:name="_Ref211958444"/>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11</w:t>
      </w:r>
      <w:r>
        <w:rPr>
          <w:color w:val="auto"/>
        </w:rPr>
        <w:fldChar w:fldCharType="end"/>
      </w:r>
      <w:bookmarkEnd w:id="442"/>
      <w:r>
        <w:rPr>
          <w:color w:val="auto"/>
        </w:rPr>
        <w:t>地下水饮用水源井补给径流区判定表</w:t>
      </w:r>
    </w:p>
    <w:tbl>
      <w:tblPr>
        <w:tblStyle w:val="8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303"/>
        <w:gridCol w:w="2075"/>
        <w:gridCol w:w="4943"/>
      </w:tblGrid>
      <w:tr w14:paraId="4796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7" w:type="dxa"/>
            <w:gridSpan w:val="3"/>
            <w:vAlign w:val="center"/>
          </w:tcPr>
          <w:p w14:paraId="5DC87917">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地下水型饮用水水源划定保护区情况</w:t>
            </w:r>
          </w:p>
        </w:tc>
        <w:tc>
          <w:tcPr>
            <w:tcW w:w="4943" w:type="dxa"/>
            <w:vAlign w:val="center"/>
          </w:tcPr>
          <w:p w14:paraId="6EDA4BAF">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补给区范围</w:t>
            </w:r>
          </w:p>
        </w:tc>
      </w:tr>
      <w:tr w14:paraId="443D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vMerge w:val="restart"/>
            <w:vAlign w:val="center"/>
          </w:tcPr>
          <w:p w14:paraId="6E238FF9">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水源开采规模</w:t>
            </w:r>
          </w:p>
        </w:tc>
        <w:tc>
          <w:tcPr>
            <w:tcW w:w="1303" w:type="dxa"/>
            <w:vMerge w:val="restart"/>
            <w:vAlign w:val="center"/>
          </w:tcPr>
          <w:p w14:paraId="65572DB4">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大型≥5万m</w:t>
            </w:r>
            <w:r>
              <w:rPr>
                <w:rFonts w:ascii="宋体" w:hAnsi="宋体" w:eastAsia="宋体"/>
                <w:snapToGrid w:val="0"/>
                <w:color w:val="auto"/>
                <w:kern w:val="0"/>
                <w:szCs w:val="24"/>
                <w:vertAlign w:val="superscript"/>
              </w:rPr>
              <w:t>3</w:t>
            </w:r>
            <w:r>
              <w:rPr>
                <w:rFonts w:ascii="宋体" w:hAnsi="宋体" w:eastAsia="宋体"/>
                <w:snapToGrid w:val="0"/>
                <w:color w:val="auto"/>
                <w:kern w:val="0"/>
                <w:szCs w:val="24"/>
              </w:rPr>
              <w:t>/d</w:t>
            </w:r>
          </w:p>
        </w:tc>
        <w:tc>
          <w:tcPr>
            <w:tcW w:w="2075" w:type="dxa"/>
            <w:vAlign w:val="center"/>
          </w:tcPr>
          <w:p w14:paraId="5C81421B">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已划定二级保护区的</w:t>
            </w:r>
          </w:p>
        </w:tc>
        <w:tc>
          <w:tcPr>
            <w:tcW w:w="4943" w:type="dxa"/>
            <w:vAlign w:val="center"/>
          </w:tcPr>
          <w:p w14:paraId="65D1FF57">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以二级保护区边界为基准，按大型水源30年流程圈定的范围</w:t>
            </w:r>
          </w:p>
        </w:tc>
      </w:tr>
      <w:tr w14:paraId="7B90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vMerge w:val="continue"/>
            <w:vAlign w:val="center"/>
          </w:tcPr>
          <w:p w14:paraId="0AEDABF7">
            <w:pPr>
              <w:spacing w:line="320" w:lineRule="exact"/>
              <w:rPr>
                <w:rFonts w:ascii="宋体" w:hAnsi="宋体" w:eastAsia="宋体"/>
                <w:snapToGrid w:val="0"/>
                <w:color w:val="auto"/>
                <w:kern w:val="0"/>
                <w:szCs w:val="24"/>
              </w:rPr>
            </w:pPr>
          </w:p>
        </w:tc>
        <w:tc>
          <w:tcPr>
            <w:tcW w:w="1303" w:type="dxa"/>
            <w:vMerge w:val="continue"/>
            <w:vAlign w:val="center"/>
          </w:tcPr>
          <w:p w14:paraId="5AEACF9C">
            <w:pPr>
              <w:spacing w:line="320" w:lineRule="exact"/>
              <w:rPr>
                <w:rFonts w:ascii="宋体" w:hAnsi="宋体" w:eastAsia="宋体"/>
                <w:snapToGrid w:val="0"/>
                <w:color w:val="auto"/>
                <w:kern w:val="0"/>
                <w:szCs w:val="24"/>
              </w:rPr>
            </w:pPr>
          </w:p>
        </w:tc>
        <w:tc>
          <w:tcPr>
            <w:tcW w:w="2075" w:type="dxa"/>
            <w:vAlign w:val="center"/>
          </w:tcPr>
          <w:p w14:paraId="7D2B8C4E">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仅划定了一级保护区的</w:t>
            </w:r>
          </w:p>
        </w:tc>
        <w:tc>
          <w:tcPr>
            <w:tcW w:w="4943" w:type="dxa"/>
            <w:vAlign w:val="center"/>
          </w:tcPr>
          <w:p w14:paraId="0AB2771D">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以水源一级保护区边界为基准，按大型水源30年+1000天流程圈定的范围</w:t>
            </w:r>
          </w:p>
        </w:tc>
      </w:tr>
      <w:tr w14:paraId="0C5C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vMerge w:val="continue"/>
            <w:vAlign w:val="center"/>
          </w:tcPr>
          <w:p w14:paraId="68155A5D">
            <w:pPr>
              <w:spacing w:line="320" w:lineRule="exact"/>
              <w:rPr>
                <w:rFonts w:ascii="宋体" w:hAnsi="宋体" w:eastAsia="宋体"/>
                <w:snapToGrid w:val="0"/>
                <w:color w:val="auto"/>
                <w:kern w:val="0"/>
                <w:szCs w:val="24"/>
              </w:rPr>
            </w:pPr>
          </w:p>
        </w:tc>
        <w:tc>
          <w:tcPr>
            <w:tcW w:w="1303" w:type="dxa"/>
            <w:vMerge w:val="continue"/>
            <w:vAlign w:val="center"/>
          </w:tcPr>
          <w:p w14:paraId="16389A33">
            <w:pPr>
              <w:spacing w:line="320" w:lineRule="exact"/>
              <w:rPr>
                <w:rFonts w:ascii="宋体" w:hAnsi="宋体" w:eastAsia="宋体"/>
                <w:snapToGrid w:val="0"/>
                <w:color w:val="auto"/>
                <w:kern w:val="0"/>
                <w:szCs w:val="24"/>
              </w:rPr>
            </w:pPr>
          </w:p>
        </w:tc>
        <w:tc>
          <w:tcPr>
            <w:tcW w:w="2075" w:type="dxa"/>
            <w:vAlign w:val="center"/>
          </w:tcPr>
          <w:p w14:paraId="14804609">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未划定保护区的</w:t>
            </w:r>
          </w:p>
        </w:tc>
        <w:tc>
          <w:tcPr>
            <w:tcW w:w="4943" w:type="dxa"/>
            <w:vAlign w:val="center"/>
          </w:tcPr>
          <w:p w14:paraId="180B80E4">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以水源开采井为基准，按大型水源30年+1100天流程圈定的范围</w:t>
            </w:r>
          </w:p>
        </w:tc>
      </w:tr>
      <w:tr w14:paraId="3E90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vMerge w:val="continue"/>
            <w:vAlign w:val="center"/>
          </w:tcPr>
          <w:p w14:paraId="5285DADF">
            <w:pPr>
              <w:spacing w:line="320" w:lineRule="exact"/>
              <w:rPr>
                <w:rFonts w:ascii="宋体" w:hAnsi="宋体" w:eastAsia="宋体"/>
                <w:snapToGrid w:val="0"/>
                <w:color w:val="auto"/>
                <w:kern w:val="0"/>
                <w:szCs w:val="24"/>
              </w:rPr>
            </w:pPr>
          </w:p>
        </w:tc>
        <w:tc>
          <w:tcPr>
            <w:tcW w:w="1303" w:type="dxa"/>
            <w:vMerge w:val="restart"/>
            <w:vAlign w:val="center"/>
          </w:tcPr>
          <w:p w14:paraId="742A89F4">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中小型＜5万m</w:t>
            </w:r>
            <w:r>
              <w:rPr>
                <w:rFonts w:ascii="宋体" w:hAnsi="宋体" w:eastAsia="宋体"/>
                <w:snapToGrid w:val="0"/>
                <w:color w:val="auto"/>
                <w:kern w:val="0"/>
                <w:szCs w:val="24"/>
                <w:vertAlign w:val="superscript"/>
              </w:rPr>
              <w:t>3</w:t>
            </w:r>
            <w:r>
              <w:rPr>
                <w:rFonts w:ascii="宋体" w:hAnsi="宋体" w:eastAsia="宋体"/>
                <w:snapToGrid w:val="0"/>
                <w:color w:val="auto"/>
                <w:kern w:val="0"/>
                <w:szCs w:val="24"/>
              </w:rPr>
              <w:t>/d</w:t>
            </w:r>
          </w:p>
        </w:tc>
        <w:tc>
          <w:tcPr>
            <w:tcW w:w="2075" w:type="dxa"/>
            <w:vAlign w:val="center"/>
          </w:tcPr>
          <w:p w14:paraId="1EFB59E4">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已划定二级保护区的</w:t>
            </w:r>
          </w:p>
        </w:tc>
        <w:tc>
          <w:tcPr>
            <w:tcW w:w="4943" w:type="dxa"/>
            <w:vAlign w:val="center"/>
          </w:tcPr>
          <w:p w14:paraId="2BB44A3C">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以二级保护区边界为基准，按中小型水源15年流程圈定的范围</w:t>
            </w:r>
          </w:p>
        </w:tc>
      </w:tr>
      <w:tr w14:paraId="486F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vMerge w:val="continue"/>
            <w:vAlign w:val="center"/>
          </w:tcPr>
          <w:p w14:paraId="4D8DFDA9">
            <w:pPr>
              <w:spacing w:line="320" w:lineRule="exact"/>
              <w:rPr>
                <w:rFonts w:ascii="宋体" w:hAnsi="宋体" w:eastAsia="宋体"/>
                <w:snapToGrid w:val="0"/>
                <w:color w:val="auto"/>
                <w:kern w:val="0"/>
                <w:szCs w:val="24"/>
              </w:rPr>
            </w:pPr>
          </w:p>
        </w:tc>
        <w:tc>
          <w:tcPr>
            <w:tcW w:w="1303" w:type="dxa"/>
            <w:vMerge w:val="continue"/>
            <w:vAlign w:val="center"/>
          </w:tcPr>
          <w:p w14:paraId="5B490A2B">
            <w:pPr>
              <w:spacing w:line="320" w:lineRule="exact"/>
              <w:rPr>
                <w:rFonts w:ascii="宋体" w:hAnsi="宋体" w:eastAsia="宋体"/>
                <w:snapToGrid w:val="0"/>
                <w:color w:val="auto"/>
                <w:kern w:val="0"/>
                <w:szCs w:val="24"/>
              </w:rPr>
            </w:pPr>
          </w:p>
        </w:tc>
        <w:tc>
          <w:tcPr>
            <w:tcW w:w="2075" w:type="dxa"/>
            <w:vAlign w:val="center"/>
          </w:tcPr>
          <w:p w14:paraId="1C18024B">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仅划定了一级保护区的</w:t>
            </w:r>
          </w:p>
        </w:tc>
        <w:tc>
          <w:tcPr>
            <w:tcW w:w="4943" w:type="dxa"/>
            <w:vAlign w:val="center"/>
          </w:tcPr>
          <w:p w14:paraId="601CB596">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以水源一级保护区边界为基准，按中小型水源15年+1000天流程圈定的范围</w:t>
            </w:r>
          </w:p>
        </w:tc>
      </w:tr>
      <w:tr w14:paraId="2E33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vMerge w:val="continue"/>
            <w:vAlign w:val="center"/>
          </w:tcPr>
          <w:p w14:paraId="694A2746">
            <w:pPr>
              <w:spacing w:line="320" w:lineRule="exact"/>
              <w:rPr>
                <w:rFonts w:ascii="宋体" w:hAnsi="宋体" w:eastAsia="宋体"/>
                <w:snapToGrid w:val="0"/>
                <w:color w:val="auto"/>
                <w:kern w:val="0"/>
                <w:szCs w:val="24"/>
              </w:rPr>
            </w:pPr>
          </w:p>
        </w:tc>
        <w:tc>
          <w:tcPr>
            <w:tcW w:w="1303" w:type="dxa"/>
            <w:vMerge w:val="continue"/>
            <w:vAlign w:val="center"/>
          </w:tcPr>
          <w:p w14:paraId="5CD1869D">
            <w:pPr>
              <w:spacing w:line="320" w:lineRule="exact"/>
              <w:rPr>
                <w:rFonts w:ascii="宋体" w:hAnsi="宋体" w:eastAsia="宋体"/>
                <w:snapToGrid w:val="0"/>
                <w:color w:val="auto"/>
                <w:kern w:val="0"/>
                <w:szCs w:val="24"/>
              </w:rPr>
            </w:pPr>
          </w:p>
        </w:tc>
        <w:tc>
          <w:tcPr>
            <w:tcW w:w="2075" w:type="dxa"/>
            <w:vAlign w:val="center"/>
          </w:tcPr>
          <w:p w14:paraId="6D261B3C">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未划定保护区的</w:t>
            </w:r>
          </w:p>
        </w:tc>
        <w:tc>
          <w:tcPr>
            <w:tcW w:w="4943" w:type="dxa"/>
            <w:vAlign w:val="center"/>
          </w:tcPr>
          <w:p w14:paraId="69EFC3B5">
            <w:pPr>
              <w:spacing w:line="320" w:lineRule="exact"/>
              <w:rPr>
                <w:rFonts w:ascii="宋体" w:hAnsi="宋体" w:eastAsia="宋体"/>
                <w:snapToGrid w:val="0"/>
                <w:color w:val="auto"/>
                <w:kern w:val="0"/>
                <w:szCs w:val="24"/>
              </w:rPr>
            </w:pPr>
            <w:r>
              <w:rPr>
                <w:rFonts w:ascii="宋体" w:hAnsi="宋体" w:eastAsia="宋体"/>
                <w:snapToGrid w:val="0"/>
                <w:color w:val="auto"/>
                <w:kern w:val="0"/>
                <w:szCs w:val="24"/>
              </w:rPr>
              <w:t>以水源开采井为基准，按中小型水源15年+1100天流程圈定的范围</w:t>
            </w:r>
          </w:p>
        </w:tc>
      </w:tr>
    </w:tbl>
    <w:p w14:paraId="165D174E">
      <w:pPr>
        <w:pStyle w:val="276"/>
        <w:widowControl w:val="0"/>
        <w:spacing w:line="440" w:lineRule="exact"/>
        <w:ind w:firstLine="480"/>
        <w:jc w:val="both"/>
        <w:rPr>
          <w:color w:val="auto"/>
        </w:rPr>
      </w:pPr>
      <w:r>
        <w:rPr>
          <w:color w:val="auto"/>
        </w:rPr>
        <w:t>质点运移距离采用下述公式计算：</w:t>
      </w:r>
    </w:p>
    <w:p w14:paraId="0C53CD5A">
      <w:pPr>
        <w:spacing w:line="440" w:lineRule="exact"/>
        <w:jc w:val="center"/>
        <w:rPr>
          <w:rFonts w:ascii="宋体" w:hAnsi="宋体" w:eastAsia="宋体" w:cs="Times New Roman"/>
          <w:color w:val="auto"/>
          <w:vertAlign w:val="subscript"/>
          <w:lang w:val="de-DE"/>
        </w:rPr>
      </w:pPr>
      <w:r>
        <w:rPr>
          <w:rFonts w:ascii="宋体" w:hAnsi="宋体" w:eastAsia="宋体" w:cs="Times New Roman"/>
          <w:color w:val="auto"/>
        </w:rPr>
        <w:t>L=α</w:t>
      </w:r>
      <w:r>
        <w:rPr>
          <w:rFonts w:ascii="宋体" w:hAnsi="宋体" w:eastAsia="宋体" w:cs="Times New Roman"/>
          <w:color w:val="auto"/>
          <w:lang w:val="de-DE"/>
        </w:rPr>
        <w:t>×K×I×T/n</w:t>
      </w:r>
      <w:r>
        <w:rPr>
          <w:rFonts w:ascii="宋体" w:hAnsi="宋体" w:eastAsia="宋体" w:cs="Times New Roman"/>
          <w:color w:val="auto"/>
          <w:vertAlign w:val="subscript"/>
          <w:lang w:val="de-DE"/>
        </w:rPr>
        <w:t>e</w:t>
      </w:r>
    </w:p>
    <w:p w14:paraId="05F9AA26">
      <w:pPr>
        <w:pStyle w:val="276"/>
        <w:widowControl w:val="0"/>
        <w:spacing w:line="440" w:lineRule="exact"/>
        <w:ind w:firstLine="480"/>
        <w:jc w:val="both"/>
        <w:rPr>
          <w:color w:val="auto"/>
        </w:rPr>
      </w:pPr>
      <w:r>
        <w:rPr>
          <w:color w:val="auto"/>
        </w:rPr>
        <w:t>式中：L—下游迁移距离，m；</w:t>
      </w:r>
    </w:p>
    <w:p w14:paraId="56012CF9">
      <w:pPr>
        <w:pStyle w:val="276"/>
        <w:widowControl w:val="0"/>
        <w:spacing w:line="440" w:lineRule="exact"/>
        <w:ind w:firstLine="480"/>
        <w:jc w:val="both"/>
        <w:rPr>
          <w:color w:val="auto"/>
        </w:rPr>
      </w:pPr>
      <w:r>
        <w:rPr>
          <w:color w:val="auto"/>
        </w:rPr>
        <w:t>α—变化系数，α≥1，一般取2；</w:t>
      </w:r>
    </w:p>
    <w:p w14:paraId="06273D01">
      <w:pPr>
        <w:pStyle w:val="276"/>
        <w:widowControl w:val="0"/>
        <w:spacing w:line="440" w:lineRule="exact"/>
        <w:ind w:firstLine="480"/>
        <w:jc w:val="both"/>
        <w:rPr>
          <w:color w:val="auto"/>
        </w:rPr>
      </w:pPr>
      <w:r>
        <w:rPr>
          <w:color w:val="auto"/>
        </w:rPr>
        <w:t>K—渗透系数，m/d；</w:t>
      </w:r>
    </w:p>
    <w:p w14:paraId="2A5BFC19">
      <w:pPr>
        <w:pStyle w:val="276"/>
        <w:widowControl w:val="0"/>
        <w:spacing w:line="440" w:lineRule="exact"/>
        <w:ind w:firstLine="480"/>
        <w:jc w:val="both"/>
        <w:rPr>
          <w:color w:val="auto"/>
        </w:rPr>
      </w:pPr>
      <w:r>
        <w:rPr>
          <w:color w:val="auto"/>
        </w:rPr>
        <w:t>I—水力坡度，无量纲；</w:t>
      </w:r>
    </w:p>
    <w:p w14:paraId="25E30F6B">
      <w:pPr>
        <w:pStyle w:val="276"/>
        <w:widowControl w:val="0"/>
        <w:spacing w:line="440" w:lineRule="exact"/>
        <w:ind w:firstLine="480"/>
        <w:jc w:val="both"/>
        <w:rPr>
          <w:color w:val="auto"/>
        </w:rPr>
      </w:pPr>
      <w:r>
        <w:rPr>
          <w:color w:val="auto"/>
        </w:rPr>
        <w:t>T—质点迁移天数；</w:t>
      </w:r>
    </w:p>
    <w:p w14:paraId="12D34887">
      <w:pPr>
        <w:spacing w:line="440" w:lineRule="exact"/>
        <w:ind w:firstLine="420" w:firstLineChars="200"/>
        <w:rPr>
          <w:rFonts w:ascii="宋体" w:hAnsi="宋体" w:eastAsia="宋体" w:cs="Times New Roman"/>
          <w:color w:val="auto"/>
        </w:rPr>
      </w:pPr>
      <w:r>
        <w:rPr>
          <w:rFonts w:ascii="宋体" w:hAnsi="宋体" w:eastAsia="宋体" w:cs="Times New Roman"/>
          <w:color w:val="auto"/>
        </w:rPr>
        <w:t>n</w:t>
      </w:r>
      <w:r>
        <w:rPr>
          <w:rFonts w:ascii="宋体" w:hAnsi="宋体" w:eastAsia="宋体" w:cs="Times New Roman"/>
          <w:color w:val="auto"/>
          <w:vertAlign w:val="subscript"/>
        </w:rPr>
        <w:t>e</w:t>
      </w:r>
      <w:r>
        <w:rPr>
          <w:rFonts w:ascii="宋体" w:hAnsi="宋体" w:eastAsia="宋体" w:cs="Times New Roman"/>
          <w:color w:val="auto"/>
        </w:rPr>
        <w:t xml:space="preserve"> —有效孔隙度，无量纲。</w:t>
      </w:r>
    </w:p>
    <w:p w14:paraId="4E920F8D">
      <w:pPr>
        <w:pStyle w:val="276"/>
        <w:widowControl w:val="0"/>
        <w:spacing w:line="440" w:lineRule="exact"/>
        <w:ind w:firstLine="480"/>
        <w:jc w:val="both"/>
        <w:rPr>
          <w:color w:val="auto"/>
        </w:rPr>
      </w:pPr>
      <w:r>
        <w:rPr>
          <w:color w:val="auto"/>
        </w:rPr>
        <w:t>参照</w:t>
      </w:r>
      <w:r>
        <w:rPr>
          <w:snapToGrid w:val="0"/>
          <w:color w:val="auto"/>
        </w:rPr>
        <w:t>《环境影响评价技术导则</w:t>
      </w:r>
      <w:r>
        <w:rPr>
          <w:rFonts w:hint="eastAsia"/>
          <w:snapToGrid w:val="0"/>
          <w:color w:val="auto"/>
        </w:rPr>
        <w:t xml:space="preserve"> </w:t>
      </w:r>
      <w:r>
        <w:rPr>
          <w:snapToGrid w:val="0"/>
          <w:color w:val="auto"/>
        </w:rPr>
        <w:t>地下水</w:t>
      </w:r>
      <w:r>
        <w:rPr>
          <w:rFonts w:hint="eastAsia"/>
          <w:snapToGrid w:val="0"/>
          <w:color w:val="auto"/>
        </w:rPr>
        <w:t>环境</w:t>
      </w:r>
      <w:r>
        <w:rPr>
          <w:snapToGrid w:val="0"/>
          <w:color w:val="auto"/>
        </w:rPr>
        <w:t>》</w:t>
      </w:r>
      <w:r>
        <w:rPr>
          <w:color w:val="auto"/>
        </w:rPr>
        <w:t>（HJ610-2016）附录B水文地质参数经验值表以及该地区《大庆市水文地质勘察报告》（石油管理局），K</w:t>
      </w:r>
      <w:r>
        <w:rPr>
          <w:color w:val="auto"/>
          <w:vertAlign w:val="subscript"/>
        </w:rPr>
        <w:t>承压水</w:t>
      </w:r>
      <w:r>
        <w:rPr>
          <w:color w:val="auto"/>
        </w:rPr>
        <w:t>=25m/d，K</w:t>
      </w:r>
      <w:r>
        <w:rPr>
          <w:color w:val="auto"/>
          <w:vertAlign w:val="subscript"/>
        </w:rPr>
        <w:t>潜水</w:t>
      </w:r>
      <w:r>
        <w:rPr>
          <w:color w:val="auto"/>
        </w:rPr>
        <w:t>=5m/d，根据区域等水位线与距离计算确定I</w:t>
      </w:r>
      <w:r>
        <w:rPr>
          <w:color w:val="auto"/>
          <w:vertAlign w:val="subscript"/>
        </w:rPr>
        <w:t>承压水</w:t>
      </w:r>
      <w:r>
        <w:rPr>
          <w:color w:val="auto"/>
        </w:rPr>
        <w:t>=0.0004，I</w:t>
      </w:r>
      <w:r>
        <w:rPr>
          <w:color w:val="auto"/>
          <w:vertAlign w:val="subscript"/>
        </w:rPr>
        <w:t>潜水</w:t>
      </w:r>
      <w:r>
        <w:rPr>
          <w:color w:val="auto"/>
        </w:rPr>
        <w:t>=0.0003，ne</w:t>
      </w:r>
      <w:r>
        <w:rPr>
          <w:color w:val="auto"/>
          <w:vertAlign w:val="subscript"/>
        </w:rPr>
        <w:t>承压水</w:t>
      </w:r>
      <w:r>
        <w:rPr>
          <w:color w:val="auto"/>
        </w:rPr>
        <w:t>=0.3，ne</w:t>
      </w:r>
      <w:r>
        <w:rPr>
          <w:color w:val="auto"/>
          <w:vertAlign w:val="subscript"/>
        </w:rPr>
        <w:t>潜水</w:t>
      </w:r>
      <w:r>
        <w:rPr>
          <w:color w:val="auto"/>
        </w:rPr>
        <w:t xml:space="preserve">=0.34。  </w:t>
      </w:r>
    </w:p>
    <w:p w14:paraId="546B6A04">
      <w:pPr>
        <w:pStyle w:val="276"/>
        <w:widowControl w:val="0"/>
        <w:spacing w:line="440" w:lineRule="exact"/>
        <w:ind w:firstLine="480"/>
        <w:jc w:val="both"/>
        <w:rPr>
          <w:snapToGrid w:val="0"/>
          <w:color w:val="auto"/>
        </w:rPr>
      </w:pPr>
      <w:r>
        <w:rPr>
          <w:snapToGrid w:val="0"/>
          <w:color w:val="auto"/>
        </w:rPr>
        <w:t>经上述公式计算得出：</w:t>
      </w:r>
    </w:p>
    <w:p w14:paraId="37CEF478">
      <w:pPr>
        <w:pStyle w:val="276"/>
        <w:widowControl w:val="0"/>
        <w:spacing w:line="440" w:lineRule="exact"/>
        <w:ind w:firstLine="480"/>
        <w:jc w:val="both"/>
        <w:rPr>
          <w:snapToGrid w:val="0"/>
          <w:color w:val="auto"/>
        </w:rPr>
      </w:pPr>
      <w:r>
        <w:rPr>
          <w:snapToGrid w:val="0"/>
          <w:color w:val="auto"/>
        </w:rPr>
        <w:t>1</w:t>
      </w:r>
      <w:r>
        <w:rPr>
          <w:rFonts w:hint="eastAsia"/>
          <w:snapToGrid w:val="0"/>
          <w:color w:val="auto"/>
        </w:rPr>
        <w:t>）</w:t>
      </w:r>
      <w:r>
        <w:rPr>
          <w:snapToGrid w:val="0"/>
          <w:color w:val="auto"/>
        </w:rPr>
        <w:t>集中式饮用水源（中小型，承压水，划定一级保护区）</w:t>
      </w:r>
    </w:p>
    <w:p w14:paraId="19857158">
      <w:pPr>
        <w:pStyle w:val="276"/>
        <w:widowControl w:val="0"/>
        <w:spacing w:line="440" w:lineRule="exact"/>
        <w:ind w:firstLine="480"/>
        <w:jc w:val="both"/>
        <w:rPr>
          <w:snapToGrid w:val="0"/>
          <w:color w:val="auto"/>
        </w:rPr>
      </w:pPr>
      <w:r>
        <w:rPr>
          <w:snapToGrid w:val="0"/>
          <w:color w:val="auto"/>
        </w:rPr>
        <w:t>补给区L为以水源井为基准外扩L=30+2×25×0.0004×（15×365+1000）/0.3=461.7m的区域；</w:t>
      </w:r>
    </w:p>
    <w:p w14:paraId="2F59F6F7">
      <w:pPr>
        <w:pStyle w:val="276"/>
        <w:widowControl w:val="0"/>
        <w:spacing w:line="440" w:lineRule="exact"/>
        <w:ind w:firstLine="480"/>
        <w:jc w:val="both"/>
        <w:rPr>
          <w:snapToGrid w:val="0"/>
          <w:color w:val="auto"/>
        </w:rPr>
      </w:pPr>
      <w:r>
        <w:rPr>
          <w:snapToGrid w:val="0"/>
          <w:color w:val="auto"/>
        </w:rPr>
        <w:t>不敏感区为461.7m以外的区域。</w:t>
      </w:r>
    </w:p>
    <w:p w14:paraId="29642BD6">
      <w:pPr>
        <w:pStyle w:val="276"/>
        <w:widowControl w:val="0"/>
        <w:spacing w:line="440" w:lineRule="exact"/>
        <w:ind w:firstLine="480"/>
        <w:jc w:val="both"/>
        <w:rPr>
          <w:snapToGrid w:val="0"/>
          <w:color w:val="auto"/>
        </w:rPr>
      </w:pPr>
      <w:r>
        <w:rPr>
          <w:snapToGrid w:val="0"/>
          <w:color w:val="auto"/>
        </w:rPr>
        <w:t>2</w:t>
      </w:r>
      <w:r>
        <w:rPr>
          <w:rFonts w:hint="eastAsia"/>
          <w:snapToGrid w:val="0"/>
          <w:color w:val="auto"/>
        </w:rPr>
        <w:t>）</w:t>
      </w:r>
      <w:r>
        <w:rPr>
          <w:snapToGrid w:val="0"/>
          <w:color w:val="auto"/>
        </w:rPr>
        <w:t>集中式饮用水源（中小型，潜水，划定一级保护区）</w:t>
      </w:r>
    </w:p>
    <w:p w14:paraId="02F27CE0">
      <w:pPr>
        <w:pStyle w:val="276"/>
        <w:widowControl w:val="0"/>
        <w:spacing w:line="440" w:lineRule="exact"/>
        <w:ind w:firstLine="480"/>
        <w:jc w:val="both"/>
        <w:rPr>
          <w:snapToGrid w:val="0"/>
          <w:color w:val="auto"/>
        </w:rPr>
      </w:pPr>
      <w:r>
        <w:rPr>
          <w:snapToGrid w:val="0"/>
          <w:color w:val="auto"/>
        </w:rPr>
        <w:t>补给区L为以水源井为基准外扩L=30+2×5×0.0003×（15×365+1000）/0.34=87.1m的区域；</w:t>
      </w:r>
    </w:p>
    <w:p w14:paraId="2BAD3F78">
      <w:pPr>
        <w:pStyle w:val="276"/>
        <w:widowControl w:val="0"/>
        <w:spacing w:line="440" w:lineRule="exact"/>
        <w:ind w:firstLine="480"/>
        <w:jc w:val="both"/>
        <w:rPr>
          <w:snapToGrid w:val="0"/>
          <w:color w:val="auto"/>
        </w:rPr>
      </w:pPr>
      <w:r>
        <w:rPr>
          <w:snapToGrid w:val="0"/>
          <w:color w:val="auto"/>
        </w:rPr>
        <w:t>不敏感区为87.1m以外的区域。</w:t>
      </w:r>
    </w:p>
    <w:p w14:paraId="3068AAE0">
      <w:pPr>
        <w:pStyle w:val="276"/>
        <w:widowControl w:val="0"/>
        <w:spacing w:line="440" w:lineRule="exact"/>
        <w:ind w:firstLine="480"/>
        <w:jc w:val="both"/>
        <w:rPr>
          <w:snapToGrid w:val="0"/>
          <w:color w:val="auto"/>
        </w:rPr>
      </w:pPr>
      <w:r>
        <w:rPr>
          <w:snapToGrid w:val="0"/>
          <w:color w:val="auto"/>
        </w:rPr>
        <w:t>3</w:t>
      </w:r>
      <w:r>
        <w:rPr>
          <w:rFonts w:hint="eastAsia"/>
          <w:snapToGrid w:val="0"/>
          <w:color w:val="auto"/>
        </w:rPr>
        <w:t>）</w:t>
      </w:r>
      <w:r>
        <w:rPr>
          <w:snapToGrid w:val="0"/>
          <w:color w:val="auto"/>
        </w:rPr>
        <w:t>分散式饮用水源（中小型，承压水，未划定保护区）</w:t>
      </w:r>
    </w:p>
    <w:p w14:paraId="3A701A68">
      <w:pPr>
        <w:pStyle w:val="276"/>
        <w:widowControl w:val="0"/>
        <w:spacing w:line="440" w:lineRule="exact"/>
        <w:ind w:firstLine="480"/>
        <w:jc w:val="both"/>
        <w:rPr>
          <w:snapToGrid w:val="0"/>
          <w:color w:val="auto"/>
        </w:rPr>
      </w:pPr>
      <w:r>
        <w:rPr>
          <w:snapToGrid w:val="0"/>
          <w:color w:val="auto"/>
        </w:rPr>
        <w:t>补给区L为以水源井为基准外扩L=2×25×0.0004×（15×365+1100）/0.3=438.33m的区域；</w:t>
      </w:r>
    </w:p>
    <w:p w14:paraId="79B1E91C">
      <w:pPr>
        <w:pStyle w:val="276"/>
        <w:widowControl w:val="0"/>
        <w:spacing w:line="440" w:lineRule="exact"/>
        <w:ind w:firstLine="480"/>
        <w:jc w:val="both"/>
        <w:rPr>
          <w:snapToGrid w:val="0"/>
          <w:color w:val="auto"/>
        </w:rPr>
      </w:pPr>
      <w:r>
        <w:rPr>
          <w:snapToGrid w:val="0"/>
          <w:color w:val="auto"/>
        </w:rPr>
        <w:t>不敏感区为438.33m以外的区域。</w:t>
      </w:r>
    </w:p>
    <w:p w14:paraId="3948D580">
      <w:pPr>
        <w:pStyle w:val="276"/>
        <w:widowControl w:val="0"/>
        <w:spacing w:line="440" w:lineRule="exact"/>
        <w:ind w:firstLine="480"/>
        <w:jc w:val="both"/>
        <w:rPr>
          <w:snapToGrid w:val="0"/>
          <w:color w:val="auto"/>
        </w:rPr>
      </w:pPr>
      <w:r>
        <w:rPr>
          <w:snapToGrid w:val="0"/>
          <w:color w:val="auto"/>
        </w:rPr>
        <w:t>4</w:t>
      </w:r>
      <w:r>
        <w:rPr>
          <w:rFonts w:hint="eastAsia"/>
          <w:snapToGrid w:val="0"/>
          <w:color w:val="auto"/>
        </w:rPr>
        <w:t>）</w:t>
      </w:r>
      <w:r>
        <w:rPr>
          <w:snapToGrid w:val="0"/>
          <w:color w:val="auto"/>
        </w:rPr>
        <w:t>分散式饮用水源（中小型，潜水，未划定保护区）</w:t>
      </w:r>
    </w:p>
    <w:p w14:paraId="3A3372EE">
      <w:pPr>
        <w:pStyle w:val="276"/>
        <w:widowControl w:val="0"/>
        <w:spacing w:line="440" w:lineRule="exact"/>
        <w:ind w:firstLine="480"/>
        <w:jc w:val="both"/>
        <w:rPr>
          <w:snapToGrid w:val="0"/>
          <w:color w:val="auto"/>
        </w:rPr>
      </w:pPr>
      <w:r>
        <w:rPr>
          <w:snapToGrid w:val="0"/>
          <w:color w:val="auto"/>
        </w:rPr>
        <w:t>补给区L为以水源井为基准外扩L=2×5×0.0003×（15×365+1100）/0.34=58.01m的区域；</w:t>
      </w:r>
    </w:p>
    <w:p w14:paraId="62CCEFB9">
      <w:pPr>
        <w:pStyle w:val="276"/>
        <w:widowControl w:val="0"/>
        <w:spacing w:line="440" w:lineRule="exact"/>
        <w:ind w:firstLine="480"/>
        <w:jc w:val="both"/>
        <w:rPr>
          <w:snapToGrid w:val="0"/>
          <w:color w:val="auto"/>
        </w:rPr>
      </w:pPr>
      <w:r>
        <w:rPr>
          <w:snapToGrid w:val="0"/>
          <w:color w:val="auto"/>
        </w:rPr>
        <w:t>不敏感区为</w:t>
      </w:r>
      <w:r>
        <w:rPr>
          <w:rFonts w:hint="eastAsia"/>
          <w:snapToGrid w:val="0"/>
          <w:color w:val="auto"/>
        </w:rPr>
        <w:t>58.01</w:t>
      </w:r>
      <w:r>
        <w:rPr>
          <w:snapToGrid w:val="0"/>
          <w:color w:val="auto"/>
        </w:rPr>
        <w:t>m以外的区域。</w:t>
      </w:r>
    </w:p>
    <w:p w14:paraId="6B156F2F">
      <w:pPr>
        <w:pStyle w:val="276"/>
        <w:widowControl w:val="0"/>
        <w:spacing w:line="440" w:lineRule="exact"/>
        <w:ind w:firstLine="480"/>
        <w:jc w:val="both"/>
        <w:rPr>
          <w:color w:val="auto"/>
        </w:rPr>
      </w:pPr>
      <w:r>
        <w:rPr>
          <w:snapToGrid w:val="0"/>
          <w:color w:val="auto"/>
        </w:rPr>
        <w:t>根据现场调查，项目周边村屯饮用水由肇州镇饮用水井供给。本项目距离水源井最近为</w:t>
      </w:r>
      <w:r>
        <w:rPr>
          <w:rFonts w:hint="eastAsia"/>
          <w:snapToGrid w:val="0"/>
          <w:color w:val="auto"/>
        </w:rPr>
        <w:t>源1011</w:t>
      </w:r>
      <w:r>
        <w:rPr>
          <w:snapToGrid w:val="0"/>
          <w:color w:val="auto"/>
        </w:rPr>
        <w:t>井场北侧</w:t>
      </w:r>
      <w:r>
        <w:rPr>
          <w:rFonts w:hint="eastAsia"/>
          <w:snapToGrid w:val="0"/>
          <w:color w:val="auto"/>
        </w:rPr>
        <w:t>3</w:t>
      </w:r>
      <w:r>
        <w:rPr>
          <w:snapToGrid w:val="0"/>
          <w:color w:val="auto"/>
        </w:rPr>
        <w:t>800m肇</w:t>
      </w:r>
      <w:r>
        <w:rPr>
          <w:rFonts w:hint="eastAsia"/>
          <w:snapToGrid w:val="0"/>
          <w:color w:val="auto"/>
        </w:rPr>
        <w:t>源</w:t>
      </w:r>
      <w:r>
        <w:rPr>
          <w:snapToGrid w:val="0"/>
          <w:color w:val="auto"/>
        </w:rPr>
        <w:t>镇</w:t>
      </w:r>
      <w:r>
        <w:rPr>
          <w:rFonts w:hint="eastAsia"/>
          <w:snapToGrid w:val="0"/>
          <w:color w:val="auto"/>
        </w:rPr>
        <w:t>新</w:t>
      </w:r>
      <w:r>
        <w:rPr>
          <w:snapToGrid w:val="0"/>
          <w:color w:val="auto"/>
        </w:rPr>
        <w:t>1#水源井</w:t>
      </w:r>
      <w:r>
        <w:rPr>
          <w:rFonts w:hint="eastAsia"/>
          <w:snapToGrid w:val="0"/>
          <w:color w:val="auto"/>
        </w:rPr>
        <w:t>以及后欧力马屯分散式水源井东侧500m的3#平台。</w:t>
      </w:r>
      <w:r>
        <w:rPr>
          <w:snapToGrid w:val="0"/>
          <w:color w:val="auto"/>
        </w:rPr>
        <w:t>根据计算结果可知，本项目所有工程内容均不在肇</w:t>
      </w:r>
      <w:r>
        <w:rPr>
          <w:rFonts w:hint="eastAsia"/>
          <w:snapToGrid w:val="0"/>
          <w:color w:val="auto"/>
        </w:rPr>
        <w:t>源</w:t>
      </w:r>
      <w:r>
        <w:rPr>
          <w:snapToGrid w:val="0"/>
          <w:color w:val="auto"/>
        </w:rPr>
        <w:t>镇水源井</w:t>
      </w:r>
      <w:r>
        <w:rPr>
          <w:rFonts w:hint="eastAsia"/>
          <w:snapToGrid w:val="0"/>
          <w:color w:val="auto"/>
        </w:rPr>
        <w:t>及分散式水源井的</w:t>
      </w:r>
      <w:r>
        <w:rPr>
          <w:snapToGrid w:val="0"/>
          <w:color w:val="auto"/>
        </w:rPr>
        <w:t>地下水敏感区及较敏感区内。</w:t>
      </w:r>
      <w:r>
        <w:rPr>
          <w:color w:val="auto"/>
        </w:rPr>
        <w:t>因此评价区域地下水环境属于“不敏感”区域。</w:t>
      </w:r>
    </w:p>
    <w:p w14:paraId="30575C41">
      <w:pPr>
        <w:pStyle w:val="276"/>
        <w:widowControl w:val="0"/>
        <w:spacing w:line="440" w:lineRule="exact"/>
        <w:ind w:firstLine="480"/>
        <w:jc w:val="both"/>
        <w:rPr>
          <w:snapToGrid w:val="0"/>
          <w:color w:val="auto"/>
        </w:rPr>
      </w:pPr>
      <w:r>
        <w:rPr>
          <w:snapToGrid w:val="0"/>
          <w:color w:val="auto"/>
        </w:rPr>
        <w:t>（3）评价等级判别</w:t>
      </w:r>
    </w:p>
    <w:p w14:paraId="227AFEF5">
      <w:pPr>
        <w:pStyle w:val="276"/>
        <w:widowControl w:val="0"/>
        <w:spacing w:line="440" w:lineRule="exact"/>
        <w:ind w:firstLine="480"/>
        <w:jc w:val="both"/>
        <w:rPr>
          <w:snapToGrid w:val="0"/>
          <w:color w:val="auto"/>
        </w:rPr>
      </w:pPr>
      <w:r>
        <w:rPr>
          <w:snapToGrid w:val="0"/>
          <w:color w:val="auto"/>
        </w:rPr>
        <w:t>建设项目地下水环境影响评价工作等级划分见</w:t>
      </w:r>
      <w:r>
        <w:rPr>
          <w:color w:val="auto"/>
        </w:rPr>
        <w:fldChar w:fldCharType="begin"/>
      </w:r>
      <w:r>
        <w:rPr>
          <w:snapToGrid w:val="0"/>
          <w:color w:val="auto"/>
        </w:rPr>
        <w:instrText xml:space="preserve"> REF _Ref211958453 \h </w:instrText>
      </w:r>
      <w:r>
        <w:rPr>
          <w:color w:val="auto"/>
        </w:rPr>
        <w:instrText xml:space="preserve"> \* MERGEFORMAT </w:instrText>
      </w:r>
      <w:r>
        <w:rPr>
          <w:color w:val="auto"/>
        </w:rPr>
        <w:fldChar w:fldCharType="separate"/>
      </w:r>
      <w:r>
        <w:rPr>
          <w:color w:val="auto"/>
        </w:rPr>
        <w:t>表 2.6</w:t>
      </w:r>
      <w:r>
        <w:rPr>
          <w:color w:val="auto"/>
        </w:rPr>
        <w:noBreakHyphen/>
      </w:r>
      <w:r>
        <w:rPr>
          <w:color w:val="auto"/>
        </w:rPr>
        <w:t>12</w:t>
      </w:r>
      <w:r>
        <w:rPr>
          <w:color w:val="auto"/>
        </w:rPr>
        <w:fldChar w:fldCharType="end"/>
      </w:r>
      <w:r>
        <w:rPr>
          <w:snapToGrid w:val="0"/>
          <w:color w:val="auto"/>
        </w:rPr>
        <w:t>。</w:t>
      </w:r>
    </w:p>
    <w:p w14:paraId="6393D292">
      <w:pPr>
        <w:pStyle w:val="22"/>
        <w:spacing w:before="156"/>
        <w:rPr>
          <w:color w:val="auto"/>
        </w:rPr>
      </w:pPr>
      <w:bookmarkStart w:id="443" w:name="_Ref211958453"/>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12</w:t>
      </w:r>
      <w:r>
        <w:rPr>
          <w:color w:val="auto"/>
        </w:rPr>
        <w:fldChar w:fldCharType="end"/>
      </w:r>
      <w:bookmarkEnd w:id="443"/>
      <w:r>
        <w:rPr>
          <w:color w:val="auto"/>
        </w:rPr>
        <w:t xml:space="preserve">  评价工作等级表</w:t>
      </w:r>
    </w:p>
    <w:tbl>
      <w:tblPr>
        <w:tblStyle w:val="8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3"/>
        <w:gridCol w:w="2267"/>
        <w:gridCol w:w="2265"/>
        <w:gridCol w:w="2265"/>
      </w:tblGrid>
      <w:tr w14:paraId="5A6B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63" w:type="dxa"/>
            <w:tcBorders>
              <w:tl2br w:val="single" w:color="auto" w:sz="4" w:space="0"/>
            </w:tcBorders>
            <w:vAlign w:val="center"/>
          </w:tcPr>
          <w:p w14:paraId="39021583">
            <w:pPr>
              <w:spacing w:line="360" w:lineRule="exact"/>
              <w:jc w:val="center"/>
              <w:rPr>
                <w:rFonts w:ascii="宋体" w:hAnsi="宋体" w:eastAsia="宋体" w:cs="Times New Roman"/>
                <w:color w:val="auto"/>
              </w:rPr>
            </w:pPr>
            <w:r>
              <w:rPr>
                <w:rFonts w:ascii="宋体" w:hAnsi="宋体" w:eastAsia="宋体" w:cs="Times New Roman"/>
                <w:color w:val="auto"/>
              </w:rPr>
              <w:t xml:space="preserve">       项目类别</w:t>
            </w:r>
          </w:p>
          <w:p w14:paraId="200020B4">
            <w:pPr>
              <w:spacing w:line="360" w:lineRule="exact"/>
              <w:rPr>
                <w:rFonts w:ascii="宋体" w:hAnsi="宋体" w:eastAsia="宋体" w:cs="Times New Roman"/>
                <w:color w:val="auto"/>
              </w:rPr>
            </w:pPr>
            <w:r>
              <w:rPr>
                <w:rFonts w:ascii="宋体" w:hAnsi="宋体" w:eastAsia="宋体" w:cs="Times New Roman"/>
                <w:color w:val="auto"/>
              </w:rPr>
              <w:t>环境敏感程度</w:t>
            </w:r>
          </w:p>
        </w:tc>
        <w:tc>
          <w:tcPr>
            <w:tcW w:w="2267" w:type="dxa"/>
            <w:tcBorders>
              <w:tl2br w:val="nil"/>
            </w:tcBorders>
            <w:vAlign w:val="center"/>
          </w:tcPr>
          <w:p w14:paraId="3FF35243">
            <w:pPr>
              <w:spacing w:line="360" w:lineRule="exact"/>
              <w:jc w:val="center"/>
              <w:rPr>
                <w:rFonts w:ascii="宋体" w:hAnsi="宋体" w:eastAsia="宋体" w:cs="Times New Roman"/>
                <w:color w:val="auto"/>
              </w:rPr>
            </w:pPr>
            <w:r>
              <w:rPr>
                <w:rFonts w:ascii="宋体" w:hAnsi="宋体" w:eastAsia="宋体" w:cs="Times New Roman"/>
                <w:color w:val="auto"/>
              </w:rPr>
              <w:t>Ⅰ类项目</w:t>
            </w:r>
          </w:p>
        </w:tc>
        <w:tc>
          <w:tcPr>
            <w:tcW w:w="2265" w:type="dxa"/>
            <w:vAlign w:val="center"/>
          </w:tcPr>
          <w:p w14:paraId="74A7A902">
            <w:pPr>
              <w:spacing w:line="360" w:lineRule="exact"/>
              <w:jc w:val="center"/>
              <w:rPr>
                <w:rFonts w:ascii="宋体" w:hAnsi="宋体" w:eastAsia="宋体" w:cs="Times New Roman"/>
                <w:color w:val="auto"/>
              </w:rPr>
            </w:pPr>
            <w:r>
              <w:rPr>
                <w:rFonts w:ascii="宋体" w:hAnsi="宋体" w:eastAsia="宋体" w:cs="Times New Roman"/>
                <w:color w:val="auto"/>
              </w:rPr>
              <w:t>Ⅱ类项目</w:t>
            </w:r>
          </w:p>
        </w:tc>
        <w:tc>
          <w:tcPr>
            <w:tcW w:w="2265" w:type="dxa"/>
            <w:vAlign w:val="center"/>
          </w:tcPr>
          <w:p w14:paraId="5F0B954E">
            <w:pPr>
              <w:spacing w:line="360" w:lineRule="exact"/>
              <w:jc w:val="center"/>
              <w:rPr>
                <w:rFonts w:ascii="宋体" w:hAnsi="宋体" w:eastAsia="宋体" w:cs="Times New Roman"/>
                <w:color w:val="auto"/>
              </w:rPr>
            </w:pPr>
            <w:r>
              <w:rPr>
                <w:rFonts w:ascii="宋体" w:hAnsi="宋体" w:eastAsia="宋体" w:cs="Times New Roman"/>
                <w:color w:val="auto"/>
              </w:rPr>
              <w:t>Ⅲ类项目</w:t>
            </w:r>
          </w:p>
        </w:tc>
      </w:tr>
      <w:tr w14:paraId="1AE4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63" w:type="dxa"/>
            <w:vAlign w:val="center"/>
          </w:tcPr>
          <w:p w14:paraId="71E2D460">
            <w:pPr>
              <w:spacing w:line="360" w:lineRule="exact"/>
              <w:jc w:val="center"/>
              <w:rPr>
                <w:rFonts w:ascii="宋体" w:hAnsi="宋体" w:eastAsia="宋体" w:cs="Times New Roman"/>
                <w:color w:val="auto"/>
              </w:rPr>
            </w:pPr>
            <w:r>
              <w:rPr>
                <w:rFonts w:ascii="宋体" w:hAnsi="宋体" w:eastAsia="宋体" w:cs="Times New Roman"/>
                <w:color w:val="auto"/>
              </w:rPr>
              <w:t>敏感</w:t>
            </w:r>
          </w:p>
        </w:tc>
        <w:tc>
          <w:tcPr>
            <w:tcW w:w="2267" w:type="dxa"/>
            <w:vAlign w:val="center"/>
          </w:tcPr>
          <w:p w14:paraId="25FA61AF">
            <w:pPr>
              <w:spacing w:line="360" w:lineRule="exact"/>
              <w:jc w:val="center"/>
              <w:rPr>
                <w:rFonts w:ascii="宋体" w:hAnsi="宋体" w:eastAsia="宋体" w:cs="Times New Roman"/>
                <w:color w:val="auto"/>
              </w:rPr>
            </w:pPr>
            <w:r>
              <w:rPr>
                <w:rFonts w:ascii="宋体" w:hAnsi="宋体" w:eastAsia="宋体" w:cs="Times New Roman"/>
                <w:color w:val="auto"/>
              </w:rPr>
              <w:t>一</w:t>
            </w:r>
          </w:p>
        </w:tc>
        <w:tc>
          <w:tcPr>
            <w:tcW w:w="2265" w:type="dxa"/>
            <w:vAlign w:val="center"/>
          </w:tcPr>
          <w:p w14:paraId="11824554">
            <w:pPr>
              <w:spacing w:line="360" w:lineRule="exact"/>
              <w:jc w:val="center"/>
              <w:rPr>
                <w:rFonts w:ascii="宋体" w:hAnsi="宋体" w:eastAsia="宋体" w:cs="Times New Roman"/>
                <w:color w:val="auto"/>
              </w:rPr>
            </w:pPr>
            <w:r>
              <w:rPr>
                <w:rFonts w:ascii="宋体" w:hAnsi="宋体" w:eastAsia="宋体" w:cs="Times New Roman"/>
                <w:color w:val="auto"/>
              </w:rPr>
              <w:t>一</w:t>
            </w:r>
          </w:p>
        </w:tc>
        <w:tc>
          <w:tcPr>
            <w:tcW w:w="2265" w:type="dxa"/>
            <w:vAlign w:val="center"/>
          </w:tcPr>
          <w:p w14:paraId="4DAA5752">
            <w:pPr>
              <w:spacing w:line="360" w:lineRule="exact"/>
              <w:jc w:val="center"/>
              <w:rPr>
                <w:rFonts w:ascii="宋体" w:hAnsi="宋体" w:eastAsia="宋体" w:cs="Times New Roman"/>
                <w:color w:val="auto"/>
              </w:rPr>
            </w:pPr>
            <w:r>
              <w:rPr>
                <w:rFonts w:ascii="宋体" w:hAnsi="宋体" w:eastAsia="宋体" w:cs="Times New Roman"/>
                <w:color w:val="auto"/>
              </w:rPr>
              <w:t>二</w:t>
            </w:r>
          </w:p>
        </w:tc>
      </w:tr>
      <w:tr w14:paraId="4A61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63" w:type="dxa"/>
            <w:vAlign w:val="center"/>
          </w:tcPr>
          <w:p w14:paraId="53CB3FA9">
            <w:pPr>
              <w:spacing w:line="360" w:lineRule="exact"/>
              <w:jc w:val="center"/>
              <w:rPr>
                <w:rFonts w:ascii="宋体" w:hAnsi="宋体" w:eastAsia="宋体" w:cs="Times New Roman"/>
                <w:color w:val="auto"/>
              </w:rPr>
            </w:pPr>
            <w:r>
              <w:rPr>
                <w:rFonts w:ascii="宋体" w:hAnsi="宋体" w:eastAsia="宋体" w:cs="Times New Roman"/>
                <w:color w:val="auto"/>
              </w:rPr>
              <w:t>较敏感</w:t>
            </w:r>
          </w:p>
        </w:tc>
        <w:tc>
          <w:tcPr>
            <w:tcW w:w="2267" w:type="dxa"/>
            <w:vAlign w:val="center"/>
          </w:tcPr>
          <w:p w14:paraId="375618A0">
            <w:pPr>
              <w:spacing w:line="360" w:lineRule="exact"/>
              <w:jc w:val="center"/>
              <w:rPr>
                <w:rFonts w:ascii="宋体" w:hAnsi="宋体" w:eastAsia="宋体" w:cs="Times New Roman"/>
                <w:color w:val="auto"/>
              </w:rPr>
            </w:pPr>
            <w:r>
              <w:rPr>
                <w:rFonts w:ascii="宋体" w:hAnsi="宋体" w:eastAsia="宋体" w:cs="Times New Roman"/>
                <w:color w:val="auto"/>
              </w:rPr>
              <w:t>一</w:t>
            </w:r>
          </w:p>
        </w:tc>
        <w:tc>
          <w:tcPr>
            <w:tcW w:w="2265" w:type="dxa"/>
            <w:vAlign w:val="center"/>
          </w:tcPr>
          <w:p w14:paraId="7CFB90FB">
            <w:pPr>
              <w:spacing w:line="360" w:lineRule="exact"/>
              <w:jc w:val="center"/>
              <w:rPr>
                <w:rFonts w:ascii="宋体" w:hAnsi="宋体" w:eastAsia="宋体" w:cs="Times New Roman"/>
                <w:color w:val="auto"/>
              </w:rPr>
            </w:pPr>
            <w:r>
              <w:rPr>
                <w:rFonts w:ascii="宋体" w:hAnsi="宋体" w:eastAsia="宋体" w:cs="Times New Roman"/>
                <w:color w:val="auto"/>
              </w:rPr>
              <w:t>二</w:t>
            </w:r>
          </w:p>
        </w:tc>
        <w:tc>
          <w:tcPr>
            <w:tcW w:w="2265" w:type="dxa"/>
            <w:vAlign w:val="center"/>
          </w:tcPr>
          <w:p w14:paraId="59F5EBBC">
            <w:pPr>
              <w:spacing w:line="360" w:lineRule="exact"/>
              <w:jc w:val="center"/>
              <w:rPr>
                <w:rFonts w:ascii="宋体" w:hAnsi="宋体" w:eastAsia="宋体" w:cs="Times New Roman"/>
                <w:color w:val="auto"/>
              </w:rPr>
            </w:pPr>
            <w:r>
              <w:rPr>
                <w:rFonts w:ascii="宋体" w:hAnsi="宋体" w:eastAsia="宋体" w:cs="Times New Roman"/>
                <w:color w:val="auto"/>
              </w:rPr>
              <w:t>三</w:t>
            </w:r>
          </w:p>
        </w:tc>
      </w:tr>
      <w:tr w14:paraId="32C4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63" w:type="dxa"/>
            <w:vAlign w:val="center"/>
          </w:tcPr>
          <w:p w14:paraId="1A00CCE2">
            <w:pPr>
              <w:spacing w:line="360" w:lineRule="exact"/>
              <w:jc w:val="center"/>
              <w:rPr>
                <w:rFonts w:ascii="宋体" w:hAnsi="宋体" w:eastAsia="宋体" w:cs="Times New Roman"/>
                <w:color w:val="auto"/>
              </w:rPr>
            </w:pPr>
            <w:r>
              <w:rPr>
                <w:rFonts w:ascii="宋体" w:hAnsi="宋体" w:eastAsia="宋体" w:cs="Times New Roman"/>
                <w:color w:val="auto"/>
              </w:rPr>
              <w:t>不敏感</w:t>
            </w:r>
          </w:p>
        </w:tc>
        <w:tc>
          <w:tcPr>
            <w:tcW w:w="2267" w:type="dxa"/>
            <w:vAlign w:val="center"/>
          </w:tcPr>
          <w:p w14:paraId="2BC0BBF7">
            <w:pPr>
              <w:spacing w:line="360" w:lineRule="exact"/>
              <w:jc w:val="center"/>
              <w:rPr>
                <w:rFonts w:ascii="宋体" w:hAnsi="宋体" w:eastAsia="宋体" w:cs="Times New Roman"/>
                <w:color w:val="auto"/>
              </w:rPr>
            </w:pPr>
            <w:r>
              <w:rPr>
                <w:rFonts w:ascii="宋体" w:hAnsi="宋体" w:eastAsia="宋体" w:cs="Times New Roman"/>
                <w:color w:val="auto"/>
                <w:shd w:val="pct10" w:color="auto" w:fill="FFFFFF"/>
              </w:rPr>
              <w:t>二</w:t>
            </w:r>
          </w:p>
        </w:tc>
        <w:tc>
          <w:tcPr>
            <w:tcW w:w="2265" w:type="dxa"/>
            <w:vAlign w:val="center"/>
          </w:tcPr>
          <w:p w14:paraId="1BF7BF9C">
            <w:pPr>
              <w:spacing w:line="360" w:lineRule="exact"/>
              <w:jc w:val="center"/>
              <w:rPr>
                <w:rFonts w:ascii="宋体" w:hAnsi="宋体" w:eastAsia="宋体" w:cs="Times New Roman"/>
                <w:color w:val="auto"/>
              </w:rPr>
            </w:pPr>
            <w:r>
              <w:rPr>
                <w:rFonts w:ascii="宋体" w:hAnsi="宋体" w:eastAsia="宋体" w:cs="Times New Roman"/>
                <w:color w:val="auto"/>
              </w:rPr>
              <w:t>三</w:t>
            </w:r>
          </w:p>
        </w:tc>
        <w:tc>
          <w:tcPr>
            <w:tcW w:w="2265" w:type="dxa"/>
            <w:vAlign w:val="center"/>
          </w:tcPr>
          <w:p w14:paraId="0A7E8516">
            <w:pPr>
              <w:spacing w:line="360" w:lineRule="exact"/>
              <w:jc w:val="center"/>
              <w:rPr>
                <w:rFonts w:ascii="宋体" w:hAnsi="宋体" w:eastAsia="宋体" w:cs="Times New Roman"/>
                <w:color w:val="auto"/>
              </w:rPr>
            </w:pPr>
            <w:r>
              <w:rPr>
                <w:rFonts w:ascii="宋体" w:hAnsi="宋体" w:eastAsia="宋体" w:cs="Times New Roman"/>
                <w:color w:val="auto"/>
              </w:rPr>
              <w:t>三</w:t>
            </w:r>
          </w:p>
        </w:tc>
      </w:tr>
    </w:tbl>
    <w:p w14:paraId="339A1760">
      <w:pPr>
        <w:pStyle w:val="276"/>
        <w:widowControl w:val="0"/>
        <w:spacing w:line="440" w:lineRule="exact"/>
        <w:ind w:firstLine="480"/>
        <w:jc w:val="both"/>
        <w:rPr>
          <w:color w:val="auto"/>
        </w:rPr>
      </w:pPr>
      <w:r>
        <w:rPr>
          <w:color w:val="auto"/>
        </w:rPr>
        <w:t>1</w:t>
      </w:r>
      <w:r>
        <w:rPr>
          <w:rFonts w:hint="eastAsia"/>
          <w:color w:val="auto"/>
        </w:rPr>
        <w:t>）</w:t>
      </w:r>
      <w:r>
        <w:rPr>
          <w:color w:val="auto"/>
        </w:rPr>
        <w:t>井场及拉油点</w:t>
      </w:r>
    </w:p>
    <w:p w14:paraId="397F850F">
      <w:pPr>
        <w:pStyle w:val="276"/>
        <w:widowControl w:val="0"/>
        <w:spacing w:line="440" w:lineRule="exact"/>
        <w:ind w:firstLine="480"/>
        <w:jc w:val="both"/>
        <w:rPr>
          <w:color w:val="auto"/>
        </w:rPr>
      </w:pPr>
      <w:r>
        <w:rPr>
          <w:color w:val="auto"/>
        </w:rPr>
        <w:t>根据以上分析，本项目拟建井场项目类别为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color w:val="auto"/>
        </w:rPr>
        <w:t>类，环境敏感程度为不敏感，同时根据</w:t>
      </w:r>
      <w:r>
        <w:rPr>
          <w:snapToGrid w:val="0"/>
          <w:color w:val="auto"/>
        </w:rPr>
        <w:t>《环境影响评价技术导则 陆地石油天然气开发建设项目》</w:t>
      </w:r>
      <w:r>
        <w:rPr>
          <w:color w:val="auto"/>
        </w:rPr>
        <w:t>（HJ349-2023）要求，新建回注井（含开采井转回注井）的场地，地下水评价等级不低于二级。本项目不涉及新建回注井，因此本项目采油井场和拉油点地下水环境影响评价等级为“二级”。</w:t>
      </w:r>
    </w:p>
    <w:p w14:paraId="6C20595A">
      <w:pPr>
        <w:pStyle w:val="276"/>
        <w:widowControl w:val="0"/>
        <w:spacing w:line="440" w:lineRule="exact"/>
        <w:ind w:firstLine="480"/>
        <w:jc w:val="both"/>
        <w:rPr>
          <w:color w:val="auto"/>
        </w:rPr>
      </w:pPr>
      <w:r>
        <w:rPr>
          <w:color w:val="auto"/>
        </w:rPr>
        <w:t>2</w:t>
      </w:r>
      <w:r>
        <w:rPr>
          <w:rFonts w:hint="eastAsia"/>
          <w:color w:val="auto"/>
        </w:rPr>
        <w:t>）</w:t>
      </w:r>
      <w:r>
        <w:rPr>
          <w:color w:val="auto"/>
        </w:rPr>
        <w:t>集输管线</w:t>
      </w:r>
    </w:p>
    <w:p w14:paraId="3010C7C9">
      <w:pPr>
        <w:pStyle w:val="276"/>
        <w:widowControl w:val="0"/>
        <w:spacing w:line="440" w:lineRule="exact"/>
        <w:ind w:firstLine="480"/>
        <w:jc w:val="both"/>
        <w:rPr>
          <w:color w:val="auto"/>
        </w:rPr>
      </w:pPr>
      <w:r>
        <w:rPr>
          <w:color w:val="auto"/>
        </w:rPr>
        <w:t>根据</w:t>
      </w:r>
      <w:r>
        <w:rPr>
          <w:snapToGrid w:val="0"/>
          <w:color w:val="auto"/>
        </w:rPr>
        <w:t>《环境影响评价技术导则 陆地石油天然气开发建设项目》</w:t>
      </w:r>
      <w:r>
        <w:rPr>
          <w:color w:val="auto"/>
        </w:rPr>
        <w:t>（HJ349-2023）要求：集输管道按照主要站场位置（输油站、联合站、集气站、泵站和截断阀室等）分段判定评价等级，并按相应等级开展评价工作。本项目仅新建</w:t>
      </w:r>
      <w:r>
        <w:rPr>
          <w:rFonts w:hint="eastAsia"/>
          <w:color w:val="auto"/>
        </w:rPr>
        <w:t>井场内</w:t>
      </w:r>
      <w:r>
        <w:rPr>
          <w:color w:val="auto"/>
        </w:rPr>
        <w:t>集油管线，集油管线项目类别为</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color w:val="auto"/>
        </w:rPr>
        <w:t>类，环境敏感程度为不敏感，因此集油管线地下水环境影响评价工作等级均为“三级”。</w:t>
      </w:r>
    </w:p>
    <w:p w14:paraId="0ECD27B0">
      <w:pPr>
        <w:pStyle w:val="276"/>
        <w:widowControl w:val="0"/>
        <w:spacing w:line="440" w:lineRule="exact"/>
        <w:ind w:firstLine="480"/>
        <w:jc w:val="both"/>
        <w:rPr>
          <w:color w:val="auto"/>
        </w:rPr>
      </w:pPr>
      <w:r>
        <w:rPr>
          <w:color w:val="auto"/>
        </w:rPr>
        <w:t>综上所述，本项目采油井场地下水环境影响评价工作等级为“二级”， 集油管线地下水环境影响评价工作等级均为“三级”。 本项目按照项目类别、评价等级分别开展评价工作。</w:t>
      </w:r>
    </w:p>
    <w:p w14:paraId="6F78513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444" w:name="_Toc85640731"/>
      <w:bookmarkStart w:id="445" w:name="_Toc57707898"/>
      <w:bookmarkStart w:id="446" w:name="_Toc80588234"/>
      <w:bookmarkStart w:id="447" w:name="_Toc80971356"/>
      <w:bookmarkStart w:id="448" w:name="_Toc70050154"/>
      <w:bookmarkStart w:id="449" w:name="_Toc83209451"/>
      <w:bookmarkStart w:id="450" w:name="_Toc84929207"/>
      <w:bookmarkStart w:id="451" w:name="_Toc17898143"/>
      <w:bookmarkStart w:id="452" w:name="_Toc57976653"/>
      <w:bookmarkStart w:id="453" w:name="_Toc67860107"/>
      <w:bookmarkStart w:id="454" w:name="_Toc76976222"/>
      <w:bookmarkStart w:id="455" w:name="_Toc77067638"/>
      <w:bookmarkStart w:id="456" w:name="_Toc57203228"/>
      <w:bookmarkStart w:id="457" w:name="_Toc61597200"/>
      <w:bookmarkStart w:id="458" w:name="_Toc78816439"/>
      <w:bookmarkStart w:id="459" w:name="_Toc12541"/>
      <w:r>
        <w:rPr>
          <w:rFonts w:ascii="宋体" w:hAnsi="宋体" w:eastAsia="宋体" w:cs="Times New Roman"/>
          <w:b/>
          <w:bCs/>
          <w:color w:val="auto"/>
          <w:szCs w:val="28"/>
        </w:rPr>
        <w:t>评价范围</w:t>
      </w:r>
    </w:p>
    <w:p w14:paraId="75D0B9B7">
      <w:pPr>
        <w:pStyle w:val="276"/>
        <w:widowControl w:val="0"/>
        <w:spacing w:line="440" w:lineRule="exact"/>
        <w:ind w:firstLine="480"/>
        <w:jc w:val="both"/>
        <w:rPr>
          <w:snapToGrid w:val="0"/>
          <w:color w:val="auto"/>
        </w:rPr>
      </w:pPr>
      <w:r>
        <w:rPr>
          <w:snapToGrid w:val="0"/>
          <w:color w:val="auto"/>
        </w:rPr>
        <w:t>根据《环境影响评价技术导则 陆地石油天然气开发建设项目》（HJ349-2023）要求：井场、站场等工程评价范围应包括与建设项目相关的地下水保护目标，结合水文地质条件情况，依据HJ 610的规定，采用公式计算法、查表法或自定义法等确定。回注井调查评价范围应根据回注层位所在区域地层构造发育情况确定，包括回注空间及回注水可能影响的范围。油类和废水等输送管道以工程边界两侧各向外延伸200米作为调查评价范围，管道穿越饮用水水源准保护区时，调查范围应至少包含水源保护区。</w:t>
      </w:r>
    </w:p>
    <w:p w14:paraId="6371A2BB">
      <w:pPr>
        <w:pStyle w:val="276"/>
        <w:widowControl w:val="0"/>
        <w:spacing w:line="440" w:lineRule="exact"/>
        <w:ind w:firstLine="480"/>
        <w:jc w:val="both"/>
        <w:rPr>
          <w:snapToGrid w:val="0"/>
          <w:color w:val="auto"/>
        </w:rPr>
      </w:pPr>
      <w:r>
        <w:rPr>
          <w:snapToGrid w:val="0"/>
          <w:color w:val="auto"/>
        </w:rPr>
        <w:t>根据《环境影响评价技术导则 地下水环境》（HJ610-2016），采用公式法确定本项目井场区域地下水评价范围。计算公式如下：</w:t>
      </w:r>
    </w:p>
    <w:p w14:paraId="197CC683">
      <w:pPr>
        <w:pStyle w:val="276"/>
        <w:widowControl w:val="0"/>
        <w:spacing w:line="440" w:lineRule="exact"/>
        <w:ind w:firstLine="0" w:firstLineChars="0"/>
        <w:jc w:val="center"/>
        <w:rPr>
          <w:snapToGrid w:val="0"/>
          <w:color w:val="auto"/>
        </w:rPr>
      </w:pPr>
      <w:r>
        <w:rPr>
          <w:color w:val="auto"/>
        </w:rPr>
        <w:t>L=α</w:t>
      </w:r>
      <w:r>
        <w:rPr>
          <w:color w:val="auto"/>
          <w:lang w:val="de-DE"/>
        </w:rPr>
        <w:t>×K×I×T/n</w:t>
      </w:r>
      <w:r>
        <w:rPr>
          <w:color w:val="auto"/>
          <w:vertAlign w:val="subscript"/>
          <w:lang w:val="de-DE"/>
        </w:rPr>
        <w:t>e</w:t>
      </w:r>
    </w:p>
    <w:p w14:paraId="62D85C9D">
      <w:pPr>
        <w:pStyle w:val="276"/>
        <w:widowControl w:val="0"/>
        <w:spacing w:line="440" w:lineRule="exact"/>
        <w:ind w:firstLine="480"/>
        <w:jc w:val="both"/>
        <w:rPr>
          <w:snapToGrid w:val="0"/>
          <w:color w:val="auto"/>
        </w:rPr>
      </w:pPr>
      <w:r>
        <w:rPr>
          <w:snapToGrid w:val="0"/>
          <w:color w:val="auto"/>
        </w:rPr>
        <w:t>式中：L——下游迁移距离，m；</w:t>
      </w:r>
    </w:p>
    <w:p w14:paraId="2165E8C0">
      <w:pPr>
        <w:pStyle w:val="276"/>
        <w:widowControl w:val="0"/>
        <w:spacing w:line="440" w:lineRule="exact"/>
        <w:ind w:firstLine="1200" w:firstLineChars="500"/>
        <w:jc w:val="both"/>
        <w:rPr>
          <w:snapToGrid w:val="0"/>
          <w:color w:val="auto"/>
        </w:rPr>
      </w:pPr>
      <w:r>
        <w:rPr>
          <w:snapToGrid w:val="0"/>
          <w:color w:val="auto"/>
        </w:rPr>
        <w:t>a——变化系数，a≥1，一般取2，取2；</w:t>
      </w:r>
    </w:p>
    <w:p w14:paraId="5D9ECEF0">
      <w:pPr>
        <w:pStyle w:val="276"/>
        <w:widowControl w:val="0"/>
        <w:spacing w:line="440" w:lineRule="exact"/>
        <w:ind w:firstLine="1200" w:firstLineChars="500"/>
        <w:jc w:val="both"/>
        <w:rPr>
          <w:snapToGrid w:val="0"/>
          <w:color w:val="auto"/>
        </w:rPr>
      </w:pPr>
      <w:r>
        <w:rPr>
          <w:snapToGrid w:val="0"/>
          <w:color w:val="auto"/>
        </w:rPr>
        <w:t>K——渗透系数；</w:t>
      </w:r>
    </w:p>
    <w:p w14:paraId="3075A814">
      <w:pPr>
        <w:pStyle w:val="276"/>
        <w:widowControl w:val="0"/>
        <w:spacing w:line="440" w:lineRule="exact"/>
        <w:ind w:firstLine="1200" w:firstLineChars="500"/>
        <w:jc w:val="both"/>
        <w:rPr>
          <w:snapToGrid w:val="0"/>
          <w:color w:val="auto"/>
        </w:rPr>
      </w:pPr>
      <w:r>
        <w:rPr>
          <w:snapToGrid w:val="0"/>
          <w:color w:val="auto"/>
        </w:rPr>
        <w:t>I——水力坡度，无量纲；</w:t>
      </w:r>
    </w:p>
    <w:p w14:paraId="2CBDC768">
      <w:pPr>
        <w:pStyle w:val="276"/>
        <w:widowControl w:val="0"/>
        <w:spacing w:line="440" w:lineRule="exact"/>
        <w:ind w:firstLine="1200" w:firstLineChars="500"/>
        <w:jc w:val="both"/>
        <w:rPr>
          <w:snapToGrid w:val="0"/>
          <w:color w:val="auto"/>
        </w:rPr>
      </w:pPr>
      <w:r>
        <w:rPr>
          <w:snapToGrid w:val="0"/>
          <w:color w:val="auto"/>
        </w:rPr>
        <w:t>T——质点迁移天数，取值不小于5000d；</w:t>
      </w:r>
    </w:p>
    <w:p w14:paraId="0797A6D8">
      <w:pPr>
        <w:pStyle w:val="276"/>
        <w:widowControl w:val="0"/>
        <w:spacing w:line="440" w:lineRule="exact"/>
        <w:ind w:firstLine="1200" w:firstLineChars="500"/>
        <w:jc w:val="both"/>
        <w:rPr>
          <w:snapToGrid w:val="0"/>
          <w:color w:val="auto"/>
        </w:rPr>
      </w:pPr>
      <w:r>
        <w:rPr>
          <w:snapToGrid w:val="0"/>
          <w:color w:val="auto"/>
        </w:rPr>
        <w:t>n</w:t>
      </w:r>
      <w:r>
        <w:rPr>
          <w:snapToGrid w:val="0"/>
          <w:color w:val="auto"/>
          <w:vertAlign w:val="subscript"/>
        </w:rPr>
        <w:t>e</w:t>
      </w:r>
      <w:r>
        <w:rPr>
          <w:snapToGrid w:val="0"/>
          <w:color w:val="auto"/>
        </w:rPr>
        <w:t>——有效孔隙度，无量纲。</w:t>
      </w:r>
    </w:p>
    <w:p w14:paraId="5FE85993">
      <w:pPr>
        <w:pStyle w:val="276"/>
        <w:widowControl w:val="0"/>
        <w:spacing w:line="440" w:lineRule="exact"/>
        <w:ind w:firstLine="480"/>
        <w:jc w:val="both"/>
        <w:rPr>
          <w:snapToGrid w:val="0"/>
          <w:color w:val="auto"/>
        </w:rPr>
      </w:pPr>
      <w:r>
        <w:rPr>
          <w:rFonts w:hint="eastAsia"/>
          <w:color w:val="auto"/>
        </w:rPr>
        <w:t>参照《环境影响评价技术导则 地下水环境》（</w:t>
      </w:r>
      <w:r>
        <w:rPr>
          <w:color w:val="auto"/>
        </w:rPr>
        <w:t>HJ610-2016）附录B水文地质参数经验值表以及该地区《大庆市水文地质勘察报告》（石油管理局）</w:t>
      </w:r>
      <w:r>
        <w:rPr>
          <w:rFonts w:hint="eastAsia"/>
          <w:color w:val="auto"/>
        </w:rPr>
        <w:t>，</w:t>
      </w:r>
      <w:r>
        <w:rPr>
          <w:color w:val="auto"/>
        </w:rPr>
        <w:t>K</w:t>
      </w:r>
      <w:r>
        <w:rPr>
          <w:color w:val="auto"/>
          <w:vertAlign w:val="subscript"/>
        </w:rPr>
        <w:t>承压水</w:t>
      </w:r>
      <w:r>
        <w:rPr>
          <w:color w:val="auto"/>
        </w:rPr>
        <w:t>=</w:t>
      </w:r>
      <w:r>
        <w:rPr>
          <w:rFonts w:hint="eastAsia"/>
          <w:color w:val="auto"/>
        </w:rPr>
        <w:t>2</w:t>
      </w:r>
      <w:r>
        <w:rPr>
          <w:color w:val="auto"/>
        </w:rPr>
        <w:t>5m/d，K</w:t>
      </w:r>
      <w:r>
        <w:rPr>
          <w:color w:val="auto"/>
          <w:vertAlign w:val="subscript"/>
        </w:rPr>
        <w:t>潜水</w:t>
      </w:r>
      <w:r>
        <w:rPr>
          <w:color w:val="auto"/>
        </w:rPr>
        <w:t>=5m/d，根据区域等水位线与距离计算确</w:t>
      </w:r>
      <w:r>
        <w:rPr>
          <w:rFonts w:hint="eastAsia"/>
          <w:color w:val="auto"/>
        </w:rPr>
        <w:t>定</w:t>
      </w:r>
      <w:r>
        <w:rPr>
          <w:color w:val="auto"/>
        </w:rPr>
        <w:t>I</w:t>
      </w:r>
      <w:r>
        <w:rPr>
          <w:color w:val="auto"/>
          <w:vertAlign w:val="subscript"/>
        </w:rPr>
        <w:t>承压水</w:t>
      </w:r>
      <w:r>
        <w:rPr>
          <w:color w:val="auto"/>
        </w:rPr>
        <w:t>=0.000</w:t>
      </w:r>
      <w:r>
        <w:rPr>
          <w:rFonts w:hint="eastAsia"/>
          <w:color w:val="auto"/>
        </w:rPr>
        <w:t>4</w:t>
      </w:r>
      <w:r>
        <w:rPr>
          <w:color w:val="auto"/>
        </w:rPr>
        <w:t>，I</w:t>
      </w:r>
      <w:r>
        <w:rPr>
          <w:color w:val="auto"/>
          <w:vertAlign w:val="subscript"/>
        </w:rPr>
        <w:t>潜水</w:t>
      </w:r>
      <w:r>
        <w:rPr>
          <w:color w:val="auto"/>
        </w:rPr>
        <w:t>=0.000</w:t>
      </w:r>
      <w:r>
        <w:rPr>
          <w:rFonts w:hint="eastAsia"/>
          <w:color w:val="auto"/>
        </w:rPr>
        <w:t>3</w:t>
      </w:r>
      <w:r>
        <w:rPr>
          <w:color w:val="auto"/>
        </w:rPr>
        <w:t>，ne</w:t>
      </w:r>
      <w:r>
        <w:rPr>
          <w:color w:val="auto"/>
          <w:vertAlign w:val="subscript"/>
        </w:rPr>
        <w:t>承压水</w:t>
      </w:r>
      <w:r>
        <w:rPr>
          <w:color w:val="auto"/>
        </w:rPr>
        <w:t>=0.3，ne</w:t>
      </w:r>
      <w:r>
        <w:rPr>
          <w:color w:val="auto"/>
          <w:vertAlign w:val="subscript"/>
        </w:rPr>
        <w:t>潜水</w:t>
      </w:r>
      <w:r>
        <w:rPr>
          <w:color w:val="auto"/>
        </w:rPr>
        <w:t>=0.3</w:t>
      </w:r>
      <w:r>
        <w:rPr>
          <w:rFonts w:hint="eastAsia"/>
          <w:color w:val="auto"/>
        </w:rPr>
        <w:t>4。</w:t>
      </w:r>
      <w:r>
        <w:rPr>
          <w:color w:val="auto"/>
        </w:rPr>
        <w:t xml:space="preserve"> </w:t>
      </w:r>
    </w:p>
    <w:p w14:paraId="6FC14393">
      <w:pPr>
        <w:pStyle w:val="276"/>
        <w:widowControl w:val="0"/>
        <w:spacing w:line="440" w:lineRule="exact"/>
        <w:ind w:firstLine="480"/>
        <w:jc w:val="both"/>
        <w:rPr>
          <w:snapToGrid w:val="0"/>
          <w:color w:val="auto"/>
        </w:rPr>
      </w:pPr>
      <w:r>
        <w:rPr>
          <w:snapToGrid w:val="0"/>
          <w:color w:val="auto"/>
        </w:rPr>
        <w:t>本项目</w:t>
      </w:r>
      <w:r>
        <w:rPr>
          <w:rFonts w:hint="eastAsia"/>
          <w:snapToGrid w:val="0"/>
          <w:color w:val="auto"/>
        </w:rPr>
        <w:t>区域承压水层下游迁移距离为L承压水=2×25×0.0004×5000/0.3=333.33m</w:t>
      </w:r>
      <w:r>
        <w:rPr>
          <w:snapToGrid w:val="0"/>
          <w:color w:val="auto"/>
        </w:rPr>
        <w:t>；</w:t>
      </w:r>
      <w:r>
        <w:rPr>
          <w:rFonts w:hint="eastAsia"/>
          <w:snapToGrid w:val="0"/>
          <w:color w:val="auto"/>
        </w:rPr>
        <w:t>区域潜水层下游迁移距离为</w:t>
      </w:r>
      <w:r>
        <w:rPr>
          <w:snapToGrid w:val="0"/>
          <w:color w:val="auto"/>
        </w:rPr>
        <w:t>L</w:t>
      </w:r>
      <w:r>
        <w:rPr>
          <w:rFonts w:hint="eastAsia"/>
          <w:snapToGrid w:val="0"/>
          <w:color w:val="auto"/>
          <w:vertAlign w:val="subscript"/>
        </w:rPr>
        <w:t>潜水</w:t>
      </w:r>
      <w:r>
        <w:rPr>
          <w:snapToGrid w:val="0"/>
          <w:color w:val="auto"/>
        </w:rPr>
        <w:t>=2×</w:t>
      </w:r>
      <w:r>
        <w:rPr>
          <w:rFonts w:hint="eastAsia"/>
          <w:snapToGrid w:val="0"/>
          <w:color w:val="auto"/>
        </w:rPr>
        <w:t>5</w:t>
      </w:r>
      <w:r>
        <w:rPr>
          <w:snapToGrid w:val="0"/>
          <w:color w:val="auto"/>
        </w:rPr>
        <w:t>×0.000</w:t>
      </w:r>
      <w:r>
        <w:rPr>
          <w:rFonts w:hint="eastAsia"/>
          <w:snapToGrid w:val="0"/>
          <w:color w:val="auto"/>
        </w:rPr>
        <w:t>3</w:t>
      </w:r>
      <w:r>
        <w:rPr>
          <w:snapToGrid w:val="0"/>
          <w:color w:val="auto"/>
        </w:rPr>
        <w:t>×5000/0.3</w:t>
      </w:r>
      <w:r>
        <w:rPr>
          <w:rFonts w:hint="eastAsia"/>
          <w:snapToGrid w:val="0"/>
          <w:color w:val="auto"/>
        </w:rPr>
        <w:t>4</w:t>
      </w:r>
      <w:r>
        <w:rPr>
          <w:snapToGrid w:val="0"/>
          <w:color w:val="auto"/>
        </w:rPr>
        <w:t>=</w:t>
      </w:r>
      <w:r>
        <w:rPr>
          <w:rFonts w:hint="eastAsia"/>
          <w:snapToGrid w:val="0"/>
          <w:color w:val="auto"/>
        </w:rPr>
        <w:t>44.12</w:t>
      </w:r>
      <w:r>
        <w:rPr>
          <w:snapToGrid w:val="0"/>
          <w:color w:val="auto"/>
        </w:rPr>
        <w:t>m</w:t>
      </w:r>
      <w:r>
        <w:rPr>
          <w:rFonts w:hint="eastAsia"/>
          <w:snapToGrid w:val="0"/>
          <w:color w:val="auto"/>
        </w:rPr>
        <w:t>。</w:t>
      </w:r>
    </w:p>
    <w:p w14:paraId="644A632C">
      <w:pPr>
        <w:pStyle w:val="276"/>
        <w:widowControl w:val="0"/>
        <w:spacing w:line="440" w:lineRule="exact"/>
        <w:ind w:firstLine="480"/>
        <w:jc w:val="both"/>
        <w:rPr>
          <w:snapToGrid w:val="0"/>
          <w:color w:val="auto"/>
        </w:rPr>
      </w:pPr>
      <w:r>
        <w:rPr>
          <w:snapToGrid w:val="0"/>
          <w:color w:val="auto"/>
        </w:rPr>
        <w:t>以最大迁移距离考虑评价范围，根据《环境影响评价技术导则 地下水环境》（HJ610-2016），本项目井场地下水调查评价范围应为下游不小于</w:t>
      </w:r>
      <w:r>
        <w:rPr>
          <w:rFonts w:hint="eastAsia"/>
          <w:snapToGrid w:val="0"/>
          <w:color w:val="auto"/>
        </w:rPr>
        <w:t>333</w:t>
      </w:r>
      <w:r>
        <w:rPr>
          <w:snapToGrid w:val="0"/>
          <w:color w:val="auto"/>
        </w:rPr>
        <w:t>m、两侧及上游不小于</w:t>
      </w:r>
      <w:r>
        <w:rPr>
          <w:rFonts w:hint="eastAsia"/>
          <w:snapToGrid w:val="0"/>
          <w:color w:val="auto"/>
        </w:rPr>
        <w:t>175</w:t>
      </w:r>
      <w:r>
        <w:rPr>
          <w:snapToGrid w:val="0"/>
          <w:color w:val="auto"/>
        </w:rPr>
        <w:t>m的区域，并包含拟建管线工程边界两侧各向外延伸200m的范围。</w:t>
      </w:r>
    </w:p>
    <w:p w14:paraId="14CB8A18">
      <w:pPr>
        <w:pStyle w:val="276"/>
        <w:ind w:firstLine="480"/>
        <w:jc w:val="both"/>
        <w:rPr>
          <w:snapToGrid w:val="0"/>
          <w:color w:val="auto"/>
        </w:rPr>
      </w:pPr>
      <w:r>
        <w:rPr>
          <w:snapToGrid w:val="0"/>
          <w:color w:val="auto"/>
        </w:rPr>
        <w:t>本项目不涉及回注井，不考虑回注空间及回注水可能影响的范围。结合地下水影响预测分析，井场区域地下水影响最远距离为井场下游</w:t>
      </w:r>
      <w:r>
        <w:rPr>
          <w:rFonts w:hint="eastAsia"/>
          <w:snapToGrid w:val="0"/>
          <w:color w:val="auto"/>
        </w:rPr>
        <w:t>447</w:t>
      </w:r>
      <w:r>
        <w:rPr>
          <w:snapToGrid w:val="0"/>
          <w:color w:val="auto"/>
        </w:rPr>
        <w:t>m。</w:t>
      </w:r>
    </w:p>
    <w:p w14:paraId="5F7D7EE7">
      <w:pPr>
        <w:pStyle w:val="276"/>
        <w:widowControl w:val="0"/>
        <w:spacing w:line="440" w:lineRule="exact"/>
        <w:ind w:firstLine="480"/>
        <w:jc w:val="both"/>
        <w:rPr>
          <w:color w:val="auto"/>
        </w:rPr>
      </w:pPr>
      <w:r>
        <w:rPr>
          <w:snapToGrid w:val="0"/>
          <w:color w:val="auto"/>
        </w:rPr>
        <w:t>根据公式计算法的计算结果，同时综合考虑周边的地下水环境保护目标分布情况、现状布点情况，结合该区域地下水流向，最终确定本项目地下水评价范围为拟建井场两侧及上游不小于250m、管线工程边界两侧各向外延伸不小于200m，且包含现状监测点位东北→西南走向的合围区域，共计约</w:t>
      </w:r>
      <w:r>
        <w:rPr>
          <w:rFonts w:hint="eastAsia"/>
          <w:snapToGrid w:val="0"/>
          <w:color w:val="auto"/>
        </w:rPr>
        <w:t>5</w:t>
      </w:r>
      <w:r>
        <w:rPr>
          <w:snapToGrid w:val="0"/>
          <w:color w:val="auto"/>
        </w:rPr>
        <w:t>0km</w:t>
      </w:r>
      <w:r>
        <w:rPr>
          <w:snapToGrid w:val="0"/>
          <w:color w:val="auto"/>
          <w:vertAlign w:val="superscript"/>
        </w:rPr>
        <w:t>2</w:t>
      </w:r>
      <w:r>
        <w:rPr>
          <w:snapToGrid w:val="0"/>
          <w:color w:val="auto"/>
        </w:rPr>
        <w:t>。地下水评价范围见附图5-</w:t>
      </w:r>
      <w:r>
        <w:rPr>
          <w:rFonts w:hint="eastAsia"/>
          <w:snapToGrid w:val="0"/>
          <w:color w:val="auto"/>
        </w:rPr>
        <w:t>3</w:t>
      </w:r>
      <w:r>
        <w:rPr>
          <w:snapToGrid w:val="0"/>
          <w:color w:val="auto"/>
        </w:rPr>
        <w:t>。</w:t>
      </w:r>
    </w:p>
    <w:p w14:paraId="6C7A48FE">
      <w:pPr>
        <w:pStyle w:val="6"/>
        <w:rPr>
          <w:color w:val="auto"/>
        </w:rPr>
      </w:pPr>
      <w:bookmarkStart w:id="460" w:name="_Toc131167270"/>
      <w:bookmarkStart w:id="461" w:name="_Toc86141914"/>
      <w:bookmarkStart w:id="462" w:name="_Toc126863370"/>
      <w:bookmarkStart w:id="463" w:name="_Toc127192319"/>
      <w:bookmarkStart w:id="464" w:name="_Toc143099557"/>
      <w:r>
        <w:rPr>
          <w:color w:val="auto"/>
        </w:rPr>
        <w:t>声环境</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2A4F39C0">
      <w:pPr>
        <w:keepNext/>
        <w:numPr>
          <w:ilvl w:val="3"/>
          <w:numId w:val="1"/>
        </w:numPr>
        <w:adjustRightInd w:val="0"/>
        <w:snapToGrid w:val="0"/>
        <w:spacing w:before="100" w:beforeAutospacing="1" w:line="360" w:lineRule="auto"/>
        <w:jc w:val="left"/>
        <w:outlineLvl w:val="3"/>
        <w:rPr>
          <w:color w:val="auto"/>
        </w:rPr>
      </w:pPr>
      <w:r>
        <w:rPr>
          <w:rFonts w:ascii="宋体" w:hAnsi="宋体" w:eastAsia="宋体" w:cs="Times New Roman"/>
          <w:b/>
          <w:bCs/>
          <w:color w:val="auto"/>
          <w:szCs w:val="28"/>
        </w:rPr>
        <w:t>评价等级</w:t>
      </w:r>
    </w:p>
    <w:p w14:paraId="3C674FCB">
      <w:pPr>
        <w:pStyle w:val="276"/>
        <w:widowControl w:val="0"/>
        <w:spacing w:line="440" w:lineRule="exact"/>
        <w:ind w:firstLine="480"/>
        <w:jc w:val="both"/>
        <w:rPr>
          <w:snapToGrid w:val="0"/>
          <w:color w:val="auto"/>
        </w:rPr>
      </w:pPr>
      <w:r>
        <w:rPr>
          <w:snapToGrid w:val="0"/>
          <w:color w:val="auto"/>
        </w:rPr>
        <w:t>根据《环境影响评价技术导则 声环境》（HJ2.4-2021）中规定的声环境影响评价工作等级划分原则：建设项目所处的声环境功能区为GB3096规定的1类、2类地区，或建设项目建设前后评价范围内声环境保护目标噪声级增高量达3dB(A)～5dB(A)，或受噪声影响人口数量增加较多时，评价等级为二级评价。</w:t>
      </w:r>
    </w:p>
    <w:p w14:paraId="626CFECD">
      <w:pPr>
        <w:pStyle w:val="276"/>
        <w:widowControl w:val="0"/>
        <w:spacing w:line="440" w:lineRule="exact"/>
        <w:ind w:firstLine="480"/>
        <w:jc w:val="both"/>
        <w:rPr>
          <w:snapToGrid w:val="0"/>
          <w:color w:val="auto"/>
        </w:rPr>
      </w:pPr>
      <w:r>
        <w:rPr>
          <w:snapToGrid w:val="0"/>
          <w:color w:val="auto"/>
        </w:rPr>
        <w:t>本项目主要噪声源主要为生产</w:t>
      </w:r>
      <w:r>
        <w:rPr>
          <w:rFonts w:hint="eastAsia"/>
          <w:snapToGrid w:val="0"/>
          <w:color w:val="auto"/>
        </w:rPr>
        <w:t>运营期</w:t>
      </w:r>
      <w:r>
        <w:rPr>
          <w:snapToGrid w:val="0"/>
          <w:color w:val="auto"/>
        </w:rPr>
        <w:t>井场抽油机和拉油点加热炉产生的持续性噪声源，噪声源的种类及数量较少，</w:t>
      </w:r>
      <w:r>
        <w:rPr>
          <w:rFonts w:hint="eastAsia"/>
          <w:snapToGrid w:val="0"/>
          <w:color w:val="auto"/>
        </w:rPr>
        <w:t>运营期</w:t>
      </w:r>
      <w:r>
        <w:rPr>
          <w:snapToGrid w:val="0"/>
          <w:color w:val="auto"/>
        </w:rPr>
        <w:t>噪声源强度不高，周围居民受影响人口数量增加不多，敏感目标噪声级增高量在 5dB(A)以下，且项目所处的声环境功能区为2类地区，项目周边村屯所处的声环境功能区为1类地区，因此，声环境评价等级为二级。</w:t>
      </w:r>
      <w:bookmarkStart w:id="465" w:name="_Toc57203229"/>
      <w:bookmarkStart w:id="466" w:name="_Toc5605"/>
      <w:bookmarkStart w:id="467" w:name="_Toc17898144"/>
      <w:bookmarkStart w:id="468" w:name="_Toc57707899"/>
      <w:bookmarkStart w:id="469" w:name="_Toc57976654"/>
    </w:p>
    <w:p w14:paraId="0A77F96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470" w:name="_Toc70050155"/>
      <w:bookmarkStart w:id="471" w:name="_Toc77067639"/>
      <w:bookmarkStart w:id="472" w:name="_Toc67860108"/>
      <w:bookmarkStart w:id="473" w:name="_Toc85640732"/>
      <w:bookmarkStart w:id="474" w:name="_Toc76976223"/>
      <w:bookmarkStart w:id="475" w:name="_Toc84929208"/>
      <w:bookmarkStart w:id="476" w:name="_Toc80971357"/>
      <w:bookmarkStart w:id="477" w:name="_Toc80588235"/>
      <w:bookmarkStart w:id="478" w:name="_Toc83209452"/>
      <w:bookmarkStart w:id="479" w:name="_Toc78816440"/>
      <w:bookmarkStart w:id="480" w:name="_Toc61597201"/>
      <w:r>
        <w:rPr>
          <w:rFonts w:ascii="宋体" w:hAnsi="宋体" w:eastAsia="宋体" w:cs="Times New Roman"/>
          <w:b/>
          <w:bCs/>
          <w:color w:val="auto"/>
          <w:szCs w:val="28"/>
        </w:rPr>
        <w:t>评价范围</w:t>
      </w:r>
    </w:p>
    <w:p w14:paraId="37A8CD93">
      <w:pPr>
        <w:pStyle w:val="276"/>
        <w:widowControl w:val="0"/>
        <w:spacing w:line="440" w:lineRule="exact"/>
        <w:ind w:firstLine="480"/>
        <w:jc w:val="both"/>
        <w:rPr>
          <w:snapToGrid w:val="0"/>
          <w:color w:val="auto"/>
        </w:rPr>
      </w:pPr>
      <w:r>
        <w:rPr>
          <w:snapToGrid w:val="0"/>
          <w:color w:val="auto"/>
        </w:rPr>
        <w:t>本项目是以固定声源为主的建设项目，声环境评价等级为二级，根据《环境影响评价技术导则 声环境》（HJ2.4-2021）中要求，一级评价的要求一般以建设项目边界向外200m为评价范围，二级评价范围可根据建设项目所在区域和相邻区域的声环境功能区类别及敏感目标等实际情况适当缩小，且经后续预测分析，项目声源计算得到的贡献值到200 m处可以满足《声环境质量标准》中的二级标准，因此，本项目声环境影响评价范围为拟建井场、拉油点边界外延至200m及管线、</w:t>
      </w:r>
      <w:r>
        <w:rPr>
          <w:snapToGrid w:val="0"/>
          <w:color w:val="auto"/>
          <w:lang w:bidi="zh-CN"/>
        </w:rPr>
        <w:t>道路中心线两侧各200m范围内的声环境</w:t>
      </w:r>
      <w:r>
        <w:rPr>
          <w:snapToGrid w:val="0"/>
          <w:color w:val="auto"/>
        </w:rPr>
        <w:t>。声环境评价范围见附图5-</w:t>
      </w:r>
      <w:r>
        <w:rPr>
          <w:rFonts w:hint="eastAsia"/>
          <w:snapToGrid w:val="0"/>
          <w:color w:val="auto"/>
        </w:rPr>
        <w:t>2</w:t>
      </w:r>
      <w:r>
        <w:rPr>
          <w:snapToGrid w:val="0"/>
          <w:color w:val="auto"/>
        </w:rPr>
        <w:t>。</w:t>
      </w:r>
    </w:p>
    <w:p w14:paraId="61E3475C">
      <w:pPr>
        <w:pStyle w:val="6"/>
        <w:rPr>
          <w:color w:val="auto"/>
        </w:rPr>
      </w:pPr>
      <w:bookmarkStart w:id="481" w:name="_Toc86141915"/>
      <w:bookmarkStart w:id="482" w:name="_Toc131167271"/>
      <w:bookmarkStart w:id="483" w:name="_Toc143099558"/>
      <w:bookmarkStart w:id="484" w:name="_Toc126863371"/>
      <w:bookmarkStart w:id="485" w:name="_Toc127192320"/>
      <w:r>
        <w:rPr>
          <w:color w:val="auto"/>
        </w:rPr>
        <w:t>生态环境</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67356EC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评价等级</w:t>
      </w:r>
    </w:p>
    <w:p w14:paraId="07E7F11C">
      <w:pPr>
        <w:pStyle w:val="276"/>
        <w:widowControl w:val="0"/>
        <w:spacing w:line="440" w:lineRule="exact"/>
        <w:ind w:firstLine="480"/>
        <w:jc w:val="both"/>
        <w:rPr>
          <w:snapToGrid w:val="0"/>
          <w:color w:val="auto"/>
        </w:rPr>
      </w:pPr>
      <w:r>
        <w:rPr>
          <w:snapToGrid w:val="0"/>
          <w:color w:val="auto"/>
        </w:rPr>
        <w:t>本项目</w:t>
      </w:r>
      <w:r>
        <w:rPr>
          <w:color w:val="auto"/>
        </w:rPr>
        <w:t>新增永久占地</w:t>
      </w:r>
      <w:r>
        <w:rPr>
          <w:rFonts w:hint="eastAsia"/>
          <w:color w:val="auto"/>
        </w:rPr>
        <w:t>3.254</w:t>
      </w:r>
      <w:r>
        <w:rPr>
          <w:color w:val="auto"/>
        </w:rPr>
        <w:t>hm</w:t>
      </w:r>
      <w:r>
        <w:rPr>
          <w:color w:val="auto"/>
          <w:vertAlign w:val="superscript"/>
        </w:rPr>
        <w:t>2</w:t>
      </w:r>
      <w:r>
        <w:rPr>
          <w:color w:val="auto"/>
        </w:rPr>
        <w:t>，新增临时占地</w:t>
      </w:r>
      <w:r>
        <w:rPr>
          <w:rFonts w:hint="eastAsia"/>
          <w:color w:val="auto"/>
        </w:rPr>
        <w:t>4.46</w:t>
      </w:r>
      <w:r>
        <w:rPr>
          <w:color w:val="auto"/>
        </w:rPr>
        <w:t>hm</w:t>
      </w:r>
      <w:r>
        <w:rPr>
          <w:color w:val="auto"/>
          <w:vertAlign w:val="superscript"/>
        </w:rPr>
        <w:t>2</w:t>
      </w:r>
      <w:r>
        <w:rPr>
          <w:color w:val="auto"/>
        </w:rPr>
        <w:t>，新增总占地面积</w:t>
      </w:r>
      <w:r>
        <w:rPr>
          <w:rFonts w:hint="eastAsia"/>
          <w:color w:val="auto"/>
        </w:rPr>
        <w:t>7.714</w:t>
      </w:r>
      <w:r>
        <w:rPr>
          <w:color w:val="auto"/>
        </w:rPr>
        <w:t>hm</w:t>
      </w:r>
      <w:r>
        <w:rPr>
          <w:color w:val="auto"/>
          <w:vertAlign w:val="superscript"/>
        </w:rPr>
        <w:t>2</w:t>
      </w:r>
      <w:r>
        <w:rPr>
          <w:snapToGrid w:val="0"/>
          <w:color w:val="auto"/>
        </w:rPr>
        <w:t>（0.</w:t>
      </w:r>
      <w:r>
        <w:rPr>
          <w:rFonts w:hint="eastAsia"/>
          <w:snapToGrid w:val="0"/>
          <w:color w:val="auto"/>
        </w:rPr>
        <w:t>07714</w:t>
      </w:r>
      <w:r>
        <w:rPr>
          <w:snapToGrid w:val="0"/>
          <w:color w:val="auto"/>
        </w:rPr>
        <w:t>km</w:t>
      </w:r>
      <w:r>
        <w:rPr>
          <w:snapToGrid w:val="0"/>
          <w:color w:val="auto"/>
          <w:vertAlign w:val="superscript"/>
        </w:rPr>
        <w:t>2</w:t>
      </w:r>
      <w:r>
        <w:rPr>
          <w:snapToGrid w:val="0"/>
          <w:color w:val="auto"/>
        </w:rPr>
        <w:t>），占地面积小于20km</w:t>
      </w:r>
      <w:r>
        <w:rPr>
          <w:snapToGrid w:val="0"/>
          <w:color w:val="auto"/>
          <w:vertAlign w:val="superscript"/>
        </w:rPr>
        <w:t>2</w:t>
      </w:r>
      <w:r>
        <w:rPr>
          <w:snapToGrid w:val="0"/>
          <w:color w:val="auto"/>
        </w:rPr>
        <w:t>，本项目占地类型为耕地</w:t>
      </w:r>
      <w:r>
        <w:rPr>
          <w:rFonts w:hint="eastAsia"/>
          <w:snapToGrid w:val="0"/>
          <w:color w:val="auto"/>
        </w:rPr>
        <w:t>（永久基本农田）</w:t>
      </w:r>
      <w:r>
        <w:rPr>
          <w:snapToGrid w:val="0"/>
          <w:color w:val="auto"/>
        </w:rPr>
        <w:t>和草地</w:t>
      </w:r>
      <w:r>
        <w:rPr>
          <w:rFonts w:hint="eastAsia"/>
          <w:snapToGrid w:val="0"/>
          <w:color w:val="auto"/>
        </w:rPr>
        <w:t>（一般草地）</w:t>
      </w:r>
      <w:r>
        <w:rPr>
          <w:snapToGrid w:val="0"/>
          <w:color w:val="auto"/>
        </w:rPr>
        <w:t>，占地范围内没有自然保护区、世界文化和自然遗产地、风景名胜区、森林公园、地质公园、重要湿地、珍稀濒危野生动植物天然集中分布区等，项目不在生态保护红线内；本项目建设不影响地下水水位，项目土壤影响范围内无天然林、公益林等生态保护目标，根据《黑龙江省湿地名录》，项目土壤影响范围内分布有</w:t>
      </w:r>
      <w:r>
        <w:rPr>
          <w:rFonts w:hint="eastAsia"/>
          <w:snapToGrid w:val="0"/>
          <w:color w:val="auto"/>
        </w:rPr>
        <w:t>8</w:t>
      </w:r>
      <w:r>
        <w:rPr>
          <w:snapToGrid w:val="0"/>
          <w:color w:val="auto"/>
        </w:rPr>
        <w:t>处沼泽地类型的一般湿地（湿地图斑标识码分别为230622211000087145、230622211000087564、230622211000094779、230622211000094780、230622211000095057、230622211000096083</w:t>
      </w:r>
      <w:r>
        <w:rPr>
          <w:rFonts w:hint="eastAsia"/>
          <w:snapToGrid w:val="0"/>
          <w:color w:val="auto"/>
        </w:rPr>
        <w:t xml:space="preserve">、230622211000098103、230622211000098110 </w:t>
      </w:r>
      <w:r>
        <w:rPr>
          <w:snapToGrid w:val="0"/>
          <w:color w:val="auto"/>
        </w:rPr>
        <w:t>）</w:t>
      </w:r>
      <w:r>
        <w:rPr>
          <w:color w:val="auto"/>
          <w:kern w:val="2"/>
        </w:rPr>
        <w:t>，因此</w:t>
      </w:r>
      <w:r>
        <w:rPr>
          <w:snapToGrid w:val="0"/>
          <w:color w:val="auto"/>
        </w:rPr>
        <w:t>根据《环境影响评价技术导则 生态影响》（HJ19-2022）规定，本项目生态环境评价等级为二级。</w:t>
      </w:r>
    </w:p>
    <w:p w14:paraId="68197BB6">
      <w:pPr>
        <w:pStyle w:val="276"/>
        <w:widowControl w:val="0"/>
        <w:spacing w:line="440" w:lineRule="exact"/>
        <w:ind w:firstLine="480"/>
        <w:jc w:val="both"/>
        <w:rPr>
          <w:snapToGrid w:val="0"/>
          <w:color w:val="auto"/>
        </w:rPr>
      </w:pPr>
      <w:bookmarkStart w:id="486" w:name="_Toc61597202"/>
      <w:bookmarkStart w:id="487" w:name="_Toc78816441"/>
      <w:bookmarkStart w:id="488" w:name="_Toc85640733"/>
      <w:bookmarkStart w:id="489" w:name="_Toc57976655"/>
      <w:bookmarkStart w:id="490" w:name="_Toc77067640"/>
      <w:bookmarkStart w:id="491" w:name="_Toc70050156"/>
      <w:bookmarkStart w:id="492" w:name="_Toc76976224"/>
      <w:bookmarkStart w:id="493" w:name="_Toc57707900"/>
      <w:bookmarkStart w:id="494" w:name="_Toc84929209"/>
      <w:bookmarkStart w:id="495" w:name="_Toc17898145"/>
      <w:bookmarkStart w:id="496" w:name="_Toc80971358"/>
      <w:bookmarkStart w:id="497" w:name="_Toc57203230"/>
      <w:bookmarkStart w:id="498" w:name="_Toc67860109"/>
      <w:bookmarkStart w:id="499" w:name="_Toc80588236"/>
      <w:bookmarkStart w:id="500" w:name="_Toc83209453"/>
      <w:r>
        <w:rPr>
          <w:snapToGrid w:val="0"/>
          <w:color w:val="auto"/>
        </w:rPr>
        <w:t>本项目生态环境影响评价工作等级判定见</w:t>
      </w:r>
      <w:r>
        <w:rPr>
          <w:snapToGrid w:val="0"/>
          <w:color w:val="auto"/>
        </w:rPr>
        <w:fldChar w:fldCharType="begin"/>
      </w:r>
      <w:r>
        <w:rPr>
          <w:snapToGrid w:val="0"/>
          <w:color w:val="auto"/>
        </w:rPr>
        <w:instrText xml:space="preserve"> REF _Ref211958463 \h  \* MERGEFORMAT </w:instrText>
      </w:r>
      <w:r>
        <w:rPr>
          <w:snapToGrid w:val="0"/>
          <w:color w:val="auto"/>
        </w:rPr>
        <w:fldChar w:fldCharType="separate"/>
      </w:r>
      <w:r>
        <w:rPr>
          <w:color w:val="auto"/>
        </w:rPr>
        <w:t>表 2.6</w:t>
      </w:r>
      <w:r>
        <w:rPr>
          <w:color w:val="auto"/>
        </w:rPr>
        <w:noBreakHyphen/>
      </w:r>
      <w:r>
        <w:rPr>
          <w:color w:val="auto"/>
        </w:rPr>
        <w:t>13</w:t>
      </w:r>
      <w:r>
        <w:rPr>
          <w:snapToGrid w:val="0"/>
          <w:color w:val="auto"/>
        </w:rPr>
        <w:fldChar w:fldCharType="end"/>
      </w:r>
      <w:r>
        <w:rPr>
          <w:snapToGrid w:val="0"/>
          <w:color w:val="auto"/>
        </w:rPr>
        <w:t>。</w:t>
      </w:r>
    </w:p>
    <w:p w14:paraId="34ABEC54">
      <w:pPr>
        <w:pStyle w:val="22"/>
        <w:spacing w:before="156"/>
        <w:rPr>
          <w:color w:val="auto"/>
        </w:rPr>
      </w:pPr>
      <w:bookmarkStart w:id="501" w:name="_Ref211958463"/>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13</w:t>
      </w:r>
      <w:r>
        <w:rPr>
          <w:color w:val="auto"/>
        </w:rPr>
        <w:fldChar w:fldCharType="end"/>
      </w:r>
      <w:bookmarkEnd w:id="501"/>
      <w:r>
        <w:rPr>
          <w:color w:val="auto"/>
        </w:rPr>
        <w:t>生态影响评价工作等级划分表</w:t>
      </w:r>
    </w:p>
    <w:tbl>
      <w:tblPr>
        <w:tblStyle w:val="81"/>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5811"/>
        <w:gridCol w:w="2544"/>
      </w:tblGrid>
      <w:tr w14:paraId="3846A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tcMar>
              <w:left w:w="85" w:type="dxa"/>
            </w:tcMar>
            <w:vAlign w:val="center"/>
          </w:tcPr>
          <w:p w14:paraId="42962BFB">
            <w:pPr>
              <w:spacing w:line="360" w:lineRule="exact"/>
              <w:jc w:val="center"/>
              <w:rPr>
                <w:rFonts w:ascii="宋体" w:hAnsi="宋体" w:eastAsia="宋体" w:cs="Times New Roman"/>
                <w:color w:val="auto"/>
              </w:rPr>
            </w:pPr>
            <w:r>
              <w:rPr>
                <w:rFonts w:ascii="宋体" w:hAnsi="宋体" w:eastAsia="宋体" w:cs="Times New Roman"/>
                <w:color w:val="auto"/>
              </w:rPr>
              <w:t>评价等级</w:t>
            </w:r>
          </w:p>
        </w:tc>
        <w:tc>
          <w:tcPr>
            <w:tcW w:w="5811" w:type="dxa"/>
            <w:tcMar>
              <w:left w:w="85" w:type="dxa"/>
            </w:tcMar>
            <w:vAlign w:val="center"/>
          </w:tcPr>
          <w:p w14:paraId="16221161">
            <w:pPr>
              <w:spacing w:line="360" w:lineRule="exact"/>
              <w:jc w:val="center"/>
              <w:rPr>
                <w:rFonts w:ascii="宋体" w:hAnsi="宋体" w:eastAsia="宋体" w:cs="Times New Roman"/>
                <w:color w:val="auto"/>
              </w:rPr>
            </w:pPr>
            <w:r>
              <w:rPr>
                <w:rFonts w:ascii="宋体" w:hAnsi="宋体" w:eastAsia="宋体" w:cs="Times New Roman"/>
                <w:color w:val="auto"/>
              </w:rPr>
              <w:t>判定内容</w:t>
            </w:r>
          </w:p>
        </w:tc>
        <w:tc>
          <w:tcPr>
            <w:tcW w:w="2544" w:type="dxa"/>
            <w:tcMar>
              <w:left w:w="85" w:type="dxa"/>
            </w:tcMar>
            <w:vAlign w:val="center"/>
          </w:tcPr>
          <w:p w14:paraId="34017DDF">
            <w:pPr>
              <w:spacing w:line="360" w:lineRule="exact"/>
              <w:jc w:val="center"/>
              <w:rPr>
                <w:rFonts w:ascii="宋体" w:hAnsi="宋体" w:eastAsia="宋体" w:cs="Times New Roman"/>
                <w:color w:val="auto"/>
              </w:rPr>
            </w:pPr>
            <w:r>
              <w:rPr>
                <w:rFonts w:ascii="宋体" w:hAnsi="宋体" w:eastAsia="宋体" w:cs="Times New Roman"/>
                <w:color w:val="auto"/>
              </w:rPr>
              <w:t>本项目</w:t>
            </w:r>
          </w:p>
        </w:tc>
      </w:tr>
      <w:tr w14:paraId="71238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tcMar>
              <w:left w:w="85" w:type="dxa"/>
            </w:tcMar>
            <w:vAlign w:val="center"/>
          </w:tcPr>
          <w:p w14:paraId="0882ED26">
            <w:pPr>
              <w:spacing w:line="360" w:lineRule="exact"/>
              <w:jc w:val="center"/>
              <w:rPr>
                <w:rFonts w:ascii="宋体" w:hAnsi="宋体" w:eastAsia="宋体" w:cs="Times New Roman"/>
                <w:color w:val="auto"/>
              </w:rPr>
            </w:pPr>
            <w:r>
              <w:rPr>
                <w:rFonts w:ascii="宋体" w:hAnsi="宋体" w:eastAsia="宋体" w:cs="Times New Roman"/>
                <w:color w:val="auto"/>
              </w:rPr>
              <w:t>一级</w:t>
            </w:r>
          </w:p>
        </w:tc>
        <w:tc>
          <w:tcPr>
            <w:tcW w:w="5811" w:type="dxa"/>
            <w:tcMar>
              <w:left w:w="85" w:type="dxa"/>
            </w:tcMar>
            <w:vAlign w:val="center"/>
          </w:tcPr>
          <w:p w14:paraId="21D08AB8">
            <w:pPr>
              <w:spacing w:line="360" w:lineRule="exact"/>
              <w:jc w:val="center"/>
              <w:rPr>
                <w:rFonts w:ascii="宋体" w:hAnsi="宋体" w:eastAsia="宋体" w:cs="Times New Roman"/>
                <w:color w:val="auto"/>
              </w:rPr>
            </w:pPr>
            <w:r>
              <w:rPr>
                <w:rFonts w:ascii="宋体" w:hAnsi="宋体" w:eastAsia="宋体" w:cs="Times New Roman"/>
                <w:color w:val="auto"/>
              </w:rPr>
              <w:t>涉及国家公园、自然保护区、世界自然遗产、重要生境时</w:t>
            </w:r>
          </w:p>
        </w:tc>
        <w:tc>
          <w:tcPr>
            <w:tcW w:w="2544" w:type="dxa"/>
            <w:tcMar>
              <w:left w:w="85" w:type="dxa"/>
            </w:tcMar>
            <w:vAlign w:val="center"/>
          </w:tcPr>
          <w:p w14:paraId="58668C5C">
            <w:pPr>
              <w:spacing w:line="360" w:lineRule="exact"/>
              <w:jc w:val="center"/>
              <w:rPr>
                <w:rFonts w:ascii="宋体" w:hAnsi="宋体" w:eastAsia="宋体" w:cs="Times New Roman"/>
                <w:color w:val="auto"/>
              </w:rPr>
            </w:pPr>
            <w:r>
              <w:rPr>
                <w:rFonts w:ascii="宋体" w:hAnsi="宋体" w:eastAsia="宋体" w:cs="Times New Roman"/>
                <w:color w:val="auto"/>
              </w:rPr>
              <w:t>不涉及</w:t>
            </w:r>
          </w:p>
        </w:tc>
      </w:tr>
      <w:tr w14:paraId="07362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tcMar>
              <w:left w:w="85" w:type="dxa"/>
            </w:tcMar>
            <w:vAlign w:val="center"/>
          </w:tcPr>
          <w:p w14:paraId="7ABBF4AA">
            <w:pPr>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5811" w:type="dxa"/>
            <w:tcMar>
              <w:left w:w="85" w:type="dxa"/>
            </w:tcMar>
            <w:vAlign w:val="center"/>
          </w:tcPr>
          <w:p w14:paraId="17A606E3">
            <w:pPr>
              <w:spacing w:line="360" w:lineRule="exact"/>
              <w:jc w:val="center"/>
              <w:rPr>
                <w:rFonts w:ascii="宋体" w:hAnsi="宋体" w:eastAsia="宋体" w:cs="Times New Roman"/>
                <w:color w:val="auto"/>
              </w:rPr>
            </w:pPr>
            <w:r>
              <w:rPr>
                <w:rFonts w:ascii="宋体" w:hAnsi="宋体" w:eastAsia="宋体" w:cs="Times New Roman"/>
                <w:color w:val="auto"/>
              </w:rPr>
              <w:t>涉及自然公园</w:t>
            </w:r>
          </w:p>
        </w:tc>
        <w:tc>
          <w:tcPr>
            <w:tcW w:w="2544" w:type="dxa"/>
            <w:tcMar>
              <w:left w:w="85" w:type="dxa"/>
            </w:tcMar>
            <w:vAlign w:val="center"/>
          </w:tcPr>
          <w:p w14:paraId="5762DFF2">
            <w:pPr>
              <w:spacing w:line="360" w:lineRule="exact"/>
              <w:jc w:val="center"/>
              <w:rPr>
                <w:rFonts w:ascii="宋体" w:hAnsi="宋体" w:eastAsia="宋体" w:cs="Times New Roman"/>
                <w:color w:val="auto"/>
              </w:rPr>
            </w:pPr>
            <w:r>
              <w:rPr>
                <w:rFonts w:ascii="宋体" w:hAnsi="宋体" w:eastAsia="宋体" w:cs="Times New Roman"/>
                <w:color w:val="auto"/>
              </w:rPr>
              <w:t>不涉及</w:t>
            </w:r>
          </w:p>
        </w:tc>
      </w:tr>
      <w:tr w14:paraId="3FA0E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tcMar>
              <w:left w:w="85" w:type="dxa"/>
            </w:tcMar>
            <w:vAlign w:val="center"/>
          </w:tcPr>
          <w:p w14:paraId="440BECD8">
            <w:pPr>
              <w:spacing w:line="360" w:lineRule="exact"/>
              <w:jc w:val="center"/>
              <w:rPr>
                <w:rFonts w:ascii="宋体" w:hAnsi="宋体" w:eastAsia="宋体" w:cs="Times New Roman"/>
                <w:color w:val="auto"/>
              </w:rPr>
            </w:pPr>
            <w:r>
              <w:rPr>
                <w:rFonts w:ascii="宋体" w:hAnsi="宋体" w:eastAsia="宋体" w:cs="Times New Roman"/>
                <w:color w:val="auto"/>
              </w:rPr>
              <w:t>不低于二级</w:t>
            </w:r>
          </w:p>
        </w:tc>
        <w:tc>
          <w:tcPr>
            <w:tcW w:w="5811" w:type="dxa"/>
            <w:tcMar>
              <w:left w:w="85" w:type="dxa"/>
            </w:tcMar>
            <w:vAlign w:val="center"/>
          </w:tcPr>
          <w:p w14:paraId="1889F117">
            <w:pPr>
              <w:spacing w:line="360" w:lineRule="exact"/>
              <w:jc w:val="center"/>
              <w:rPr>
                <w:rFonts w:ascii="宋体" w:hAnsi="宋体" w:eastAsia="宋体" w:cs="Times New Roman"/>
                <w:color w:val="auto"/>
              </w:rPr>
            </w:pPr>
            <w:r>
              <w:rPr>
                <w:rFonts w:ascii="宋体" w:hAnsi="宋体" w:eastAsia="宋体" w:cs="Times New Roman"/>
                <w:color w:val="auto"/>
              </w:rPr>
              <w:t>①涉及生态保护红线时；根据HJ2.3判断属于水文要素影响型且地表水评价等级不低于二级的建设项目；②根据HJ610、HJ964判断地下水水位或土壤影响范围内分布有天然林、公益林、湿地等生态保护目标的建设项目；③当工程占地规模大于20km</w:t>
            </w:r>
            <w:r>
              <w:rPr>
                <w:rFonts w:ascii="宋体" w:hAnsi="宋体" w:eastAsia="宋体" w:cs="Times New Roman"/>
                <w:color w:val="auto"/>
                <w:vertAlign w:val="superscript"/>
              </w:rPr>
              <w:t>2</w:t>
            </w:r>
            <w:r>
              <w:rPr>
                <w:rFonts w:ascii="宋体" w:hAnsi="宋体" w:eastAsia="宋体" w:cs="Times New Roman"/>
                <w:color w:val="auto"/>
              </w:rPr>
              <w:t>时（包括永久和临时占用陆域和水域）。</w:t>
            </w:r>
          </w:p>
        </w:tc>
        <w:tc>
          <w:tcPr>
            <w:tcW w:w="2544" w:type="dxa"/>
            <w:tcMar>
              <w:left w:w="85" w:type="dxa"/>
            </w:tcMar>
            <w:vAlign w:val="center"/>
          </w:tcPr>
          <w:p w14:paraId="7EF2B1EE">
            <w:pPr>
              <w:spacing w:line="360" w:lineRule="exact"/>
              <w:rPr>
                <w:rFonts w:ascii="宋体" w:hAnsi="宋体" w:eastAsia="宋体" w:cs="Times New Roman"/>
                <w:color w:val="auto"/>
              </w:rPr>
            </w:pPr>
            <w:r>
              <w:rPr>
                <w:rFonts w:ascii="宋体" w:hAnsi="宋体" w:eastAsia="宋体" w:cs="Times New Roman"/>
                <w:color w:val="auto"/>
              </w:rPr>
              <w:t>涉及。本项目不涉及生态保护红线，地表水为水污染影响型，评价等级为三级B；</w:t>
            </w:r>
            <w:r>
              <w:rPr>
                <w:rFonts w:ascii="宋体" w:hAnsi="宋体" w:eastAsia="宋体" w:cs="Times New Roman"/>
                <w:color w:val="auto"/>
                <w:lang w:bidi="zh-CN"/>
              </w:rPr>
              <w:t>项目建设不影响地下水水位，项目占地0.</w:t>
            </w:r>
            <w:r>
              <w:rPr>
                <w:rFonts w:hint="eastAsia" w:ascii="宋体" w:hAnsi="宋体" w:eastAsia="宋体" w:cs="Times New Roman"/>
                <w:color w:val="auto"/>
                <w:lang w:bidi="zh-CN"/>
              </w:rPr>
              <w:t>07714</w:t>
            </w:r>
            <w:r>
              <w:rPr>
                <w:rFonts w:ascii="宋体" w:hAnsi="宋体" w:eastAsia="宋体" w:cs="Times New Roman"/>
                <w:color w:val="auto"/>
                <w:lang w:bidi="zh-CN"/>
              </w:rPr>
              <w:t>km</w:t>
            </w:r>
            <w:r>
              <w:rPr>
                <w:rFonts w:ascii="宋体" w:hAnsi="宋体" w:eastAsia="宋体" w:cs="Times New Roman"/>
                <w:color w:val="auto"/>
                <w:vertAlign w:val="superscript"/>
                <w:lang w:bidi="zh-CN"/>
              </w:rPr>
              <w:t>2</w:t>
            </w:r>
            <w:r>
              <w:rPr>
                <w:rFonts w:ascii="宋体" w:hAnsi="宋体" w:eastAsia="宋体" w:cs="Times New Roman"/>
                <w:color w:val="auto"/>
                <w:lang w:bidi="zh-CN"/>
              </w:rPr>
              <w:t>，小于20km</w:t>
            </w:r>
            <w:r>
              <w:rPr>
                <w:rFonts w:ascii="宋体" w:hAnsi="宋体" w:eastAsia="宋体" w:cs="Times New Roman"/>
                <w:color w:val="auto"/>
                <w:vertAlign w:val="superscript"/>
                <w:lang w:bidi="zh-CN"/>
              </w:rPr>
              <w:t>2</w:t>
            </w:r>
            <w:r>
              <w:rPr>
                <w:rFonts w:ascii="宋体" w:hAnsi="宋体" w:eastAsia="宋体" w:cs="Times New Roman"/>
                <w:color w:val="auto"/>
                <w:lang w:bidi="zh-CN"/>
              </w:rPr>
              <w:t>。土壤</w:t>
            </w:r>
            <w:r>
              <w:rPr>
                <w:rFonts w:hint="eastAsia" w:ascii="宋体" w:hAnsi="宋体" w:eastAsia="宋体" w:cs="Times New Roman"/>
                <w:color w:val="auto"/>
                <w:lang w:bidi="zh-CN"/>
              </w:rPr>
              <w:t>评价</w:t>
            </w:r>
            <w:r>
              <w:rPr>
                <w:rFonts w:ascii="宋体" w:hAnsi="宋体" w:eastAsia="宋体" w:cs="Times New Roman"/>
                <w:color w:val="auto"/>
                <w:lang w:bidi="zh-CN"/>
              </w:rPr>
              <w:t>范围内分布一般湿地。</w:t>
            </w:r>
          </w:p>
        </w:tc>
      </w:tr>
      <w:tr w14:paraId="62F36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tcMar>
              <w:left w:w="85" w:type="dxa"/>
            </w:tcMar>
            <w:vAlign w:val="center"/>
          </w:tcPr>
          <w:p w14:paraId="1B084094">
            <w:pPr>
              <w:spacing w:line="360" w:lineRule="exact"/>
              <w:jc w:val="center"/>
              <w:rPr>
                <w:rFonts w:ascii="宋体" w:hAnsi="宋体" w:eastAsia="宋体" w:cs="Times New Roman"/>
                <w:color w:val="auto"/>
              </w:rPr>
            </w:pPr>
            <w:r>
              <w:rPr>
                <w:rFonts w:ascii="宋体" w:hAnsi="宋体" w:eastAsia="宋体" w:cs="Times New Roman"/>
                <w:color w:val="auto"/>
              </w:rPr>
              <w:t>三级</w:t>
            </w:r>
          </w:p>
        </w:tc>
        <w:tc>
          <w:tcPr>
            <w:tcW w:w="5811" w:type="dxa"/>
            <w:tcMar>
              <w:left w:w="85" w:type="dxa"/>
            </w:tcMar>
            <w:vAlign w:val="center"/>
          </w:tcPr>
          <w:p w14:paraId="26A21F12">
            <w:pPr>
              <w:spacing w:line="360" w:lineRule="exact"/>
              <w:jc w:val="center"/>
              <w:rPr>
                <w:rFonts w:ascii="宋体" w:hAnsi="宋体" w:eastAsia="宋体" w:cs="Times New Roman"/>
                <w:color w:val="auto"/>
              </w:rPr>
            </w:pPr>
            <w:r>
              <w:rPr>
                <w:rFonts w:ascii="宋体" w:hAnsi="宋体" w:eastAsia="宋体" w:cs="Times New Roman"/>
                <w:color w:val="auto"/>
              </w:rPr>
              <w:t>以上之外的</w:t>
            </w:r>
          </w:p>
        </w:tc>
        <w:tc>
          <w:tcPr>
            <w:tcW w:w="2544" w:type="dxa"/>
            <w:tcMar>
              <w:left w:w="85" w:type="dxa"/>
            </w:tcMar>
            <w:vAlign w:val="center"/>
          </w:tcPr>
          <w:p w14:paraId="348EBCF2">
            <w:pPr>
              <w:spacing w:line="360" w:lineRule="exact"/>
              <w:jc w:val="center"/>
              <w:rPr>
                <w:rFonts w:ascii="宋体" w:hAnsi="宋体" w:eastAsia="宋体" w:cs="Times New Roman"/>
                <w:color w:val="auto"/>
              </w:rPr>
            </w:pPr>
            <w:r>
              <w:rPr>
                <w:rFonts w:ascii="宋体" w:hAnsi="宋体" w:eastAsia="宋体" w:cs="Times New Roman"/>
                <w:color w:val="auto"/>
              </w:rPr>
              <w:t>涉及</w:t>
            </w:r>
          </w:p>
        </w:tc>
      </w:tr>
      <w:tr w14:paraId="6886E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tcMar>
              <w:left w:w="85" w:type="dxa"/>
            </w:tcMar>
            <w:vAlign w:val="center"/>
          </w:tcPr>
          <w:p w14:paraId="2FC53BEF">
            <w:pPr>
              <w:spacing w:line="360" w:lineRule="exact"/>
              <w:jc w:val="center"/>
              <w:rPr>
                <w:rFonts w:ascii="宋体" w:hAnsi="宋体" w:eastAsia="宋体" w:cs="Times New Roman"/>
                <w:color w:val="auto"/>
              </w:rPr>
            </w:pPr>
            <w:r>
              <w:rPr>
                <w:rFonts w:ascii="宋体" w:hAnsi="宋体" w:eastAsia="宋体" w:cs="Times New Roman"/>
                <w:color w:val="auto"/>
              </w:rPr>
              <w:t>说明</w:t>
            </w:r>
          </w:p>
        </w:tc>
        <w:tc>
          <w:tcPr>
            <w:tcW w:w="5811" w:type="dxa"/>
            <w:tcMar>
              <w:left w:w="85" w:type="dxa"/>
            </w:tcMar>
            <w:vAlign w:val="center"/>
          </w:tcPr>
          <w:p w14:paraId="3C98FE9D">
            <w:pPr>
              <w:spacing w:line="360" w:lineRule="exact"/>
              <w:jc w:val="center"/>
              <w:rPr>
                <w:rFonts w:ascii="宋体" w:hAnsi="宋体" w:eastAsia="宋体" w:cs="Times New Roman"/>
                <w:color w:val="auto"/>
              </w:rPr>
            </w:pPr>
            <w:r>
              <w:rPr>
                <w:rFonts w:ascii="宋体" w:hAnsi="宋体" w:eastAsia="宋体" w:cs="Times New Roman"/>
                <w:color w:val="auto"/>
              </w:rPr>
              <w:t>①改扩建项目的占地范围以新增占地（包括陆域和水域）确定；②当评价等级判定同时符合上述多种情况时，应采用其中最高的评价等级；③建设项目涉及经论证对保护生物多样性具有重要意义的区域时，可适当上调评价等级。④建设项目同时涉及陆生、水生生态影响时，可针对陆生生态、水生生态分别判定评价等级。⑤在矿山开采可能导致矿区土地利用类型明显改变，或拦河闸坝建设可能明显改变水文情势等情况下，评价等级应上调一级。⑥线性工程可分段确定评价等级。线性工程地下穿越或地表跨越生态敏感区，在生态敏感区范围内无永久、临时占地时，评价等级可下调一级。⑦涉海工程评价等级判定参照 GB/T 19485。</w:t>
            </w:r>
          </w:p>
        </w:tc>
        <w:tc>
          <w:tcPr>
            <w:tcW w:w="2544" w:type="dxa"/>
            <w:tcMar>
              <w:left w:w="85" w:type="dxa"/>
            </w:tcMar>
            <w:vAlign w:val="center"/>
          </w:tcPr>
          <w:p w14:paraId="546CAF1E">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38AFB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tcMar>
              <w:left w:w="85" w:type="dxa"/>
            </w:tcMar>
            <w:vAlign w:val="center"/>
          </w:tcPr>
          <w:p w14:paraId="19B872B9">
            <w:pPr>
              <w:spacing w:line="360" w:lineRule="exact"/>
              <w:jc w:val="center"/>
              <w:rPr>
                <w:rFonts w:ascii="宋体" w:hAnsi="宋体" w:eastAsia="宋体" w:cs="Times New Roman"/>
                <w:color w:val="auto"/>
              </w:rPr>
            </w:pPr>
            <w:r>
              <w:rPr>
                <w:rFonts w:ascii="宋体" w:hAnsi="宋体" w:eastAsia="宋体" w:cs="Times New Roman"/>
                <w:color w:val="auto"/>
              </w:rPr>
              <w:t>简单分析</w:t>
            </w:r>
          </w:p>
        </w:tc>
        <w:tc>
          <w:tcPr>
            <w:tcW w:w="5811" w:type="dxa"/>
            <w:tcMar>
              <w:left w:w="85" w:type="dxa"/>
            </w:tcMar>
            <w:vAlign w:val="center"/>
          </w:tcPr>
          <w:p w14:paraId="5415F447">
            <w:pPr>
              <w:spacing w:line="360" w:lineRule="exact"/>
              <w:jc w:val="center"/>
              <w:rPr>
                <w:rFonts w:ascii="宋体" w:hAnsi="宋体" w:eastAsia="宋体" w:cs="Times New Roman"/>
                <w:color w:val="auto"/>
              </w:rPr>
            </w:pPr>
            <w:r>
              <w:rPr>
                <w:rFonts w:ascii="宋体" w:hAnsi="宋体" w:eastAsia="宋体" w:cs="Times New Roman"/>
                <w:color w:val="auto"/>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2544" w:type="dxa"/>
            <w:tcMar>
              <w:left w:w="85" w:type="dxa"/>
            </w:tcMar>
            <w:vAlign w:val="center"/>
          </w:tcPr>
          <w:p w14:paraId="69493629">
            <w:pPr>
              <w:spacing w:line="360" w:lineRule="exact"/>
              <w:jc w:val="center"/>
              <w:rPr>
                <w:rFonts w:ascii="宋体" w:hAnsi="宋体" w:eastAsia="宋体" w:cs="Times New Roman"/>
                <w:color w:val="auto"/>
              </w:rPr>
            </w:pPr>
            <w:r>
              <w:rPr>
                <w:rFonts w:ascii="宋体" w:hAnsi="宋体" w:eastAsia="宋体" w:cs="Times New Roman"/>
                <w:color w:val="auto"/>
              </w:rPr>
              <w:t>不涉及，本项目为生态影响类项目</w:t>
            </w:r>
          </w:p>
        </w:tc>
      </w:tr>
    </w:tbl>
    <w:p w14:paraId="474FE51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评价范围</w:t>
      </w:r>
    </w:p>
    <w:p w14:paraId="5F154B52">
      <w:pPr>
        <w:pStyle w:val="276"/>
        <w:widowControl w:val="0"/>
        <w:spacing w:line="440" w:lineRule="exact"/>
        <w:ind w:firstLine="480"/>
        <w:jc w:val="both"/>
        <w:rPr>
          <w:color w:val="auto"/>
        </w:rPr>
      </w:pPr>
      <w:r>
        <w:rPr>
          <w:snapToGrid w:val="0"/>
          <w:color w:val="auto"/>
        </w:rPr>
        <w:t>根据《环境影响评价技术导则 陆地石油天然气开发建设项目》（HJ349-2023）要求，本项目评价范围为拟建井场和拉油点边界外扩50m范围及新建管线、道路沿线两侧外扩300m区域的生态环境，评价范围总面积</w:t>
      </w:r>
      <w:r>
        <w:rPr>
          <w:rFonts w:hint="eastAsia"/>
          <w:color w:val="auto"/>
          <w:kern w:val="2"/>
          <w:lang w:bidi="ar"/>
        </w:rPr>
        <w:t>151.3</w:t>
      </w:r>
      <w:r>
        <w:rPr>
          <w:color w:val="auto"/>
          <w:kern w:val="2"/>
          <w:lang w:bidi="ar"/>
        </w:rPr>
        <w:t>hm</w:t>
      </w:r>
      <w:r>
        <w:rPr>
          <w:color w:val="auto"/>
          <w:kern w:val="2"/>
          <w:vertAlign w:val="superscript"/>
          <w:lang w:bidi="ar"/>
        </w:rPr>
        <w:t>2</w:t>
      </w:r>
      <w:r>
        <w:rPr>
          <w:color w:val="auto"/>
          <w:kern w:val="2"/>
          <w:lang w:bidi="ar"/>
        </w:rPr>
        <w:t>。</w:t>
      </w:r>
      <w:r>
        <w:rPr>
          <w:snapToGrid w:val="0"/>
          <w:color w:val="auto"/>
        </w:rPr>
        <w:t>生态环境评价范围见附图5-</w:t>
      </w:r>
      <w:r>
        <w:rPr>
          <w:rFonts w:hint="eastAsia"/>
          <w:snapToGrid w:val="0"/>
          <w:color w:val="auto"/>
        </w:rPr>
        <w:t>2</w:t>
      </w:r>
      <w:r>
        <w:rPr>
          <w:snapToGrid w:val="0"/>
          <w:color w:val="auto"/>
        </w:rPr>
        <w:t>。</w:t>
      </w:r>
    </w:p>
    <w:p w14:paraId="4EF7750F">
      <w:pPr>
        <w:pStyle w:val="6"/>
        <w:rPr>
          <w:color w:val="auto"/>
        </w:rPr>
      </w:pPr>
      <w:bookmarkStart w:id="502" w:name="_Toc131167272"/>
      <w:bookmarkStart w:id="503" w:name="_Toc127192321"/>
      <w:bookmarkStart w:id="504" w:name="_Toc143099559"/>
      <w:bookmarkStart w:id="505" w:name="_Toc86141916"/>
      <w:bookmarkStart w:id="506" w:name="_Toc126863372"/>
      <w:r>
        <w:rPr>
          <w:color w:val="auto"/>
        </w:rPr>
        <w:t>土壤环境</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2"/>
      <w:bookmarkEnd w:id="503"/>
      <w:bookmarkEnd w:id="504"/>
      <w:bookmarkEnd w:id="505"/>
      <w:bookmarkEnd w:id="506"/>
    </w:p>
    <w:p w14:paraId="0652AC5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评价等级</w:t>
      </w:r>
    </w:p>
    <w:p w14:paraId="2CAA9B63">
      <w:pPr>
        <w:pStyle w:val="276"/>
        <w:widowControl w:val="0"/>
        <w:spacing w:line="440" w:lineRule="exact"/>
        <w:ind w:firstLine="480"/>
        <w:jc w:val="both"/>
        <w:rPr>
          <w:snapToGrid w:val="0"/>
          <w:color w:val="auto"/>
        </w:rPr>
      </w:pPr>
      <w:r>
        <w:rPr>
          <w:snapToGrid w:val="0"/>
          <w:color w:val="auto"/>
        </w:rPr>
        <w:t>（1）土壤环境影响评价项目类别</w:t>
      </w:r>
    </w:p>
    <w:p w14:paraId="281802A1">
      <w:pPr>
        <w:pStyle w:val="276"/>
        <w:widowControl w:val="0"/>
        <w:spacing w:line="440" w:lineRule="exact"/>
        <w:ind w:firstLine="480"/>
        <w:jc w:val="both"/>
        <w:rPr>
          <w:snapToGrid w:val="0"/>
          <w:color w:val="auto"/>
        </w:rPr>
      </w:pPr>
      <w:r>
        <w:rPr>
          <w:snapToGrid w:val="0"/>
          <w:color w:val="auto"/>
        </w:rPr>
        <w:t>根据2025年</w:t>
      </w:r>
      <w:r>
        <w:rPr>
          <w:rFonts w:hint="eastAsia"/>
          <w:snapToGrid w:val="0"/>
          <w:color w:val="auto"/>
        </w:rPr>
        <w:t>8</w:t>
      </w:r>
      <w:r>
        <w:rPr>
          <w:snapToGrid w:val="0"/>
          <w:color w:val="auto"/>
        </w:rPr>
        <w:t>月1</w:t>
      </w:r>
      <w:r>
        <w:rPr>
          <w:rFonts w:hint="eastAsia"/>
          <w:snapToGrid w:val="0"/>
          <w:color w:val="auto"/>
        </w:rPr>
        <w:t>7</w:t>
      </w:r>
      <w:r>
        <w:rPr>
          <w:snapToGrid w:val="0"/>
          <w:color w:val="auto"/>
        </w:rPr>
        <w:t>日对项目区域土壤监测结果，区域土壤</w:t>
      </w:r>
      <w:r>
        <w:rPr>
          <w:color w:val="auto"/>
        </w:rPr>
        <w:t>pH 值在7.7</w:t>
      </w:r>
      <w:r>
        <w:rPr>
          <w:rFonts w:hint="eastAsia"/>
          <w:color w:val="auto"/>
        </w:rPr>
        <w:t>8</w:t>
      </w:r>
      <w:r>
        <w:rPr>
          <w:color w:val="auto"/>
        </w:rPr>
        <w:t>～8.</w:t>
      </w:r>
      <w:r>
        <w:rPr>
          <w:rFonts w:hint="eastAsia"/>
          <w:color w:val="auto"/>
        </w:rPr>
        <w:t>23</w:t>
      </w:r>
      <w:r>
        <w:rPr>
          <w:color w:val="auto"/>
        </w:rPr>
        <w:t>之间，土壤含盐量在0.5～0.</w:t>
      </w:r>
      <w:r>
        <w:rPr>
          <w:rFonts w:hint="eastAsia"/>
          <w:color w:val="auto"/>
        </w:rPr>
        <w:t>8</w:t>
      </w:r>
      <w:r>
        <w:rPr>
          <w:color w:val="auto"/>
        </w:rPr>
        <w:t>g/kg之间</w:t>
      </w:r>
      <w:r>
        <w:rPr>
          <w:snapToGrid w:val="0"/>
          <w:color w:val="auto"/>
        </w:rPr>
        <w:t>，对照《环境影响评价技术导则 土壤环境（试行）》（HJ964-2018）中附录D，本项目区域属于非土壤盐化、酸化和碱化地区，本项目按照土壤污染影响型开展土壤评价。</w:t>
      </w:r>
    </w:p>
    <w:p w14:paraId="3C298FEA">
      <w:pPr>
        <w:pStyle w:val="276"/>
        <w:widowControl w:val="0"/>
        <w:spacing w:line="440" w:lineRule="exact"/>
        <w:ind w:firstLine="480"/>
        <w:jc w:val="both"/>
        <w:rPr>
          <w:snapToGrid w:val="0"/>
          <w:color w:val="auto"/>
        </w:rPr>
      </w:pPr>
      <w:r>
        <w:rPr>
          <w:snapToGrid w:val="0"/>
          <w:color w:val="auto"/>
        </w:rPr>
        <w:t>根据《环境影响评价技术导则 陆地石油天然气开发建设项目》（HJ349-2023）要求，建设项目按照站场和内部集输管道分别判断行业分类。本项目涉及新建采油井场、拉油点、集油管线，致密油等非常规石油开采井场、站场等工程按照I类建设项目开展土壤环境影响评价，油类和废水等输送管道按照Ⅱ类建设项目开展土壤环境影响评价。</w:t>
      </w:r>
    </w:p>
    <w:p w14:paraId="2182CB0B">
      <w:pPr>
        <w:pStyle w:val="276"/>
        <w:widowControl w:val="0"/>
        <w:spacing w:line="440" w:lineRule="exact"/>
        <w:ind w:firstLine="480"/>
        <w:jc w:val="both"/>
        <w:rPr>
          <w:snapToGrid w:val="0"/>
          <w:color w:val="auto"/>
        </w:rPr>
      </w:pPr>
      <w:r>
        <w:rPr>
          <w:snapToGrid w:val="0"/>
          <w:color w:val="auto"/>
        </w:rPr>
        <w:t>（2）污染影响型敏感程度分级</w:t>
      </w:r>
    </w:p>
    <w:p w14:paraId="31B41FF7">
      <w:pPr>
        <w:pStyle w:val="276"/>
        <w:widowControl w:val="0"/>
        <w:spacing w:line="440" w:lineRule="exact"/>
        <w:ind w:firstLine="480"/>
        <w:jc w:val="both"/>
        <w:rPr>
          <w:snapToGrid w:val="0"/>
          <w:color w:val="auto"/>
        </w:rPr>
      </w:pPr>
      <w:r>
        <w:rPr>
          <w:snapToGrid w:val="0"/>
          <w:color w:val="auto"/>
        </w:rPr>
        <w:t>根据建设项目所在地周边的土壤环境敏感程度分级判据见</w:t>
      </w:r>
      <w:r>
        <w:rPr>
          <w:snapToGrid w:val="0"/>
          <w:color w:val="auto"/>
        </w:rPr>
        <w:fldChar w:fldCharType="begin"/>
      </w:r>
      <w:r>
        <w:rPr>
          <w:snapToGrid w:val="0"/>
          <w:color w:val="auto"/>
        </w:rPr>
        <w:instrText xml:space="preserve"> REF _Ref211958473 \h  \* MERGEFORMAT </w:instrText>
      </w:r>
      <w:r>
        <w:rPr>
          <w:snapToGrid w:val="0"/>
          <w:color w:val="auto"/>
        </w:rPr>
        <w:fldChar w:fldCharType="separate"/>
      </w:r>
      <w:r>
        <w:rPr>
          <w:color w:val="auto"/>
        </w:rPr>
        <w:t>表 2.6</w:t>
      </w:r>
      <w:r>
        <w:rPr>
          <w:color w:val="auto"/>
        </w:rPr>
        <w:noBreakHyphen/>
      </w:r>
      <w:r>
        <w:rPr>
          <w:color w:val="auto"/>
        </w:rPr>
        <w:t>14</w:t>
      </w:r>
      <w:r>
        <w:rPr>
          <w:snapToGrid w:val="0"/>
          <w:color w:val="auto"/>
        </w:rPr>
        <w:fldChar w:fldCharType="end"/>
      </w:r>
      <w:r>
        <w:rPr>
          <w:snapToGrid w:val="0"/>
          <w:color w:val="auto"/>
        </w:rPr>
        <w:t>。</w:t>
      </w:r>
    </w:p>
    <w:p w14:paraId="663B1EB2">
      <w:pPr>
        <w:pStyle w:val="22"/>
        <w:spacing w:before="156"/>
        <w:rPr>
          <w:color w:val="auto"/>
        </w:rPr>
      </w:pPr>
      <w:bookmarkStart w:id="507" w:name="_Ref211958473"/>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14</w:t>
      </w:r>
      <w:r>
        <w:rPr>
          <w:color w:val="auto"/>
        </w:rPr>
        <w:fldChar w:fldCharType="end"/>
      </w:r>
      <w:bookmarkEnd w:id="507"/>
      <w:r>
        <w:rPr>
          <w:color w:val="auto"/>
        </w:rPr>
        <w:t>污染影响型敏感程度分级表</w:t>
      </w:r>
    </w:p>
    <w:tbl>
      <w:tblPr>
        <w:tblStyle w:val="81"/>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3"/>
        <w:gridCol w:w="7507"/>
      </w:tblGrid>
      <w:tr w14:paraId="64A91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3" w:type="dxa"/>
            <w:vAlign w:val="center"/>
          </w:tcPr>
          <w:p w14:paraId="051575F3">
            <w:pPr>
              <w:spacing w:line="360" w:lineRule="exact"/>
              <w:jc w:val="center"/>
              <w:rPr>
                <w:rFonts w:ascii="宋体" w:hAnsi="宋体" w:eastAsia="宋体" w:cs="Times New Roman"/>
                <w:color w:val="auto"/>
              </w:rPr>
            </w:pPr>
            <w:r>
              <w:rPr>
                <w:rFonts w:ascii="宋体" w:hAnsi="宋体" w:eastAsia="宋体" w:cs="Times New Roman"/>
                <w:color w:val="auto"/>
              </w:rPr>
              <w:t>敏感程度</w:t>
            </w:r>
          </w:p>
        </w:tc>
        <w:tc>
          <w:tcPr>
            <w:tcW w:w="7507" w:type="dxa"/>
            <w:vAlign w:val="center"/>
          </w:tcPr>
          <w:p w14:paraId="235A923E">
            <w:pPr>
              <w:spacing w:line="360" w:lineRule="exact"/>
              <w:jc w:val="center"/>
              <w:rPr>
                <w:rFonts w:ascii="宋体" w:hAnsi="宋体" w:eastAsia="宋体" w:cs="Times New Roman"/>
                <w:color w:val="auto"/>
              </w:rPr>
            </w:pPr>
            <w:r>
              <w:rPr>
                <w:rFonts w:ascii="宋体" w:hAnsi="宋体" w:eastAsia="宋体" w:cs="Times New Roman"/>
                <w:color w:val="auto"/>
              </w:rPr>
              <w:t>判别依据</w:t>
            </w:r>
          </w:p>
        </w:tc>
      </w:tr>
      <w:tr w14:paraId="70E31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3" w:type="dxa"/>
            <w:vAlign w:val="center"/>
          </w:tcPr>
          <w:p w14:paraId="463F9BAB">
            <w:pPr>
              <w:spacing w:line="360" w:lineRule="exact"/>
              <w:jc w:val="center"/>
              <w:rPr>
                <w:rFonts w:ascii="宋体" w:hAnsi="宋体" w:eastAsia="宋体" w:cs="Times New Roman"/>
                <w:color w:val="auto"/>
              </w:rPr>
            </w:pPr>
            <w:r>
              <w:rPr>
                <w:rFonts w:ascii="宋体" w:hAnsi="宋体" w:eastAsia="宋体" w:cs="Times New Roman"/>
                <w:color w:val="auto"/>
              </w:rPr>
              <w:t>敏感</w:t>
            </w:r>
          </w:p>
        </w:tc>
        <w:tc>
          <w:tcPr>
            <w:tcW w:w="7507" w:type="dxa"/>
            <w:vAlign w:val="center"/>
          </w:tcPr>
          <w:p w14:paraId="1143CB83">
            <w:pPr>
              <w:spacing w:line="360" w:lineRule="exact"/>
              <w:rPr>
                <w:rFonts w:ascii="宋体" w:hAnsi="宋体" w:eastAsia="宋体" w:cs="Times New Roman"/>
                <w:color w:val="auto"/>
              </w:rPr>
            </w:pPr>
            <w:r>
              <w:rPr>
                <w:rFonts w:ascii="宋体" w:hAnsi="宋体" w:eastAsia="宋体" w:cs="Times New Roman"/>
                <w:color w:val="auto"/>
              </w:rPr>
              <w:t>建设项目周边存在耕地、园地、牧草地、饮用水水源地或居民区、学校、医院、疗养院、养老院等土壤环境敏感目标的</w:t>
            </w:r>
          </w:p>
        </w:tc>
      </w:tr>
      <w:tr w14:paraId="09A5D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3" w:type="dxa"/>
            <w:vAlign w:val="center"/>
          </w:tcPr>
          <w:p w14:paraId="524F044E">
            <w:pPr>
              <w:spacing w:line="360" w:lineRule="exact"/>
              <w:jc w:val="center"/>
              <w:rPr>
                <w:rFonts w:ascii="宋体" w:hAnsi="宋体" w:eastAsia="宋体" w:cs="Times New Roman"/>
                <w:color w:val="auto"/>
              </w:rPr>
            </w:pPr>
            <w:r>
              <w:rPr>
                <w:rFonts w:ascii="宋体" w:hAnsi="宋体" w:eastAsia="宋体" w:cs="Times New Roman"/>
                <w:color w:val="auto"/>
              </w:rPr>
              <w:t>较敏感</w:t>
            </w:r>
          </w:p>
        </w:tc>
        <w:tc>
          <w:tcPr>
            <w:tcW w:w="7507" w:type="dxa"/>
            <w:vAlign w:val="center"/>
          </w:tcPr>
          <w:p w14:paraId="3C64FF60">
            <w:pPr>
              <w:spacing w:line="360" w:lineRule="exact"/>
              <w:rPr>
                <w:rFonts w:ascii="宋体" w:hAnsi="宋体" w:eastAsia="宋体" w:cs="Times New Roman"/>
                <w:color w:val="auto"/>
              </w:rPr>
            </w:pPr>
            <w:r>
              <w:rPr>
                <w:rFonts w:ascii="宋体" w:hAnsi="宋体" w:eastAsia="宋体" w:cs="Times New Roman"/>
                <w:color w:val="auto"/>
              </w:rPr>
              <w:t>建设项目周边存在其他土壤环境敏感目标的</w:t>
            </w:r>
          </w:p>
        </w:tc>
      </w:tr>
      <w:tr w14:paraId="0F396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3" w:type="dxa"/>
            <w:vAlign w:val="center"/>
          </w:tcPr>
          <w:p w14:paraId="39C0F575">
            <w:pPr>
              <w:spacing w:line="360" w:lineRule="exact"/>
              <w:jc w:val="center"/>
              <w:rPr>
                <w:rFonts w:ascii="宋体" w:hAnsi="宋体" w:eastAsia="宋体" w:cs="Times New Roman"/>
                <w:color w:val="auto"/>
              </w:rPr>
            </w:pPr>
            <w:r>
              <w:rPr>
                <w:rFonts w:ascii="宋体" w:hAnsi="宋体" w:eastAsia="宋体" w:cs="Times New Roman"/>
                <w:color w:val="auto"/>
              </w:rPr>
              <w:t>不敏感</w:t>
            </w:r>
          </w:p>
        </w:tc>
        <w:tc>
          <w:tcPr>
            <w:tcW w:w="7507" w:type="dxa"/>
            <w:vAlign w:val="center"/>
          </w:tcPr>
          <w:p w14:paraId="3A955DB9">
            <w:pPr>
              <w:spacing w:line="360" w:lineRule="exact"/>
              <w:rPr>
                <w:rFonts w:ascii="宋体" w:hAnsi="宋体" w:eastAsia="宋体" w:cs="Times New Roman"/>
                <w:color w:val="auto"/>
              </w:rPr>
            </w:pPr>
            <w:r>
              <w:rPr>
                <w:rFonts w:ascii="宋体" w:hAnsi="宋体" w:eastAsia="宋体" w:cs="Times New Roman"/>
                <w:color w:val="auto"/>
              </w:rPr>
              <w:t>其他情况</w:t>
            </w:r>
          </w:p>
        </w:tc>
      </w:tr>
    </w:tbl>
    <w:p w14:paraId="277E7F2B">
      <w:pPr>
        <w:pStyle w:val="276"/>
        <w:widowControl w:val="0"/>
        <w:spacing w:line="440" w:lineRule="exact"/>
        <w:ind w:firstLine="480"/>
        <w:jc w:val="both"/>
        <w:rPr>
          <w:snapToGrid w:val="0"/>
          <w:color w:val="auto"/>
        </w:rPr>
      </w:pPr>
      <w:r>
        <w:rPr>
          <w:snapToGrid w:val="0"/>
          <w:color w:val="auto"/>
        </w:rPr>
        <w:t>本项目拟建井场及管线占地类型为耕地和草地，由此判定，本项目土壤环境敏感程度分级为“敏感”。</w:t>
      </w:r>
    </w:p>
    <w:p w14:paraId="3AE16D1D">
      <w:pPr>
        <w:pStyle w:val="276"/>
        <w:widowControl w:val="0"/>
        <w:spacing w:line="440" w:lineRule="exact"/>
        <w:ind w:firstLine="480"/>
        <w:jc w:val="both"/>
        <w:rPr>
          <w:snapToGrid w:val="0"/>
          <w:color w:val="auto"/>
        </w:rPr>
      </w:pPr>
      <w:r>
        <w:rPr>
          <w:snapToGrid w:val="0"/>
          <w:color w:val="auto"/>
        </w:rPr>
        <w:t>（3）土壤环境影响评价等级</w:t>
      </w:r>
    </w:p>
    <w:p w14:paraId="7523B8DD">
      <w:pPr>
        <w:pStyle w:val="276"/>
        <w:widowControl w:val="0"/>
        <w:spacing w:line="440" w:lineRule="exact"/>
        <w:ind w:firstLine="480"/>
        <w:jc w:val="both"/>
        <w:rPr>
          <w:snapToGrid w:val="0"/>
          <w:color w:val="auto"/>
        </w:rPr>
      </w:pPr>
      <w:r>
        <w:rPr>
          <w:snapToGrid w:val="0"/>
          <w:color w:val="auto"/>
        </w:rPr>
        <w:t>本项目拟建井场、拉油点及单井集油管线均位于同一区块内，因此按同一场地确定评价等级，污染影响型评价工作等级划分依据见</w:t>
      </w:r>
      <w:r>
        <w:rPr>
          <w:color w:val="auto"/>
          <w:kern w:val="21"/>
          <w:lang w:val="zh-CN" w:bidi="zh-CN"/>
        </w:rPr>
        <w:fldChar w:fldCharType="begin"/>
      </w:r>
      <w:r>
        <w:rPr>
          <w:snapToGrid w:val="0"/>
          <w:color w:val="auto"/>
        </w:rPr>
        <w:instrText xml:space="preserve"> REF _Ref211958480 \h </w:instrText>
      </w:r>
      <w:r>
        <w:rPr>
          <w:color w:val="auto"/>
          <w:kern w:val="21"/>
          <w:lang w:val="zh-CN" w:bidi="zh-CN"/>
        </w:rPr>
        <w:instrText xml:space="preserve"> \* MERGEFORMAT </w:instrText>
      </w:r>
      <w:r>
        <w:rPr>
          <w:color w:val="auto"/>
          <w:kern w:val="21"/>
          <w:lang w:val="zh-CN" w:bidi="zh-CN"/>
        </w:rPr>
        <w:fldChar w:fldCharType="separate"/>
      </w:r>
      <w:r>
        <w:rPr>
          <w:color w:val="auto"/>
        </w:rPr>
        <w:t>表 2.6</w:t>
      </w:r>
      <w:r>
        <w:rPr>
          <w:color w:val="auto"/>
        </w:rPr>
        <w:noBreakHyphen/>
      </w:r>
      <w:r>
        <w:rPr>
          <w:color w:val="auto"/>
        </w:rPr>
        <w:t>15</w:t>
      </w:r>
      <w:r>
        <w:rPr>
          <w:color w:val="auto"/>
          <w:kern w:val="21"/>
          <w:lang w:val="zh-CN" w:bidi="zh-CN"/>
        </w:rPr>
        <w:fldChar w:fldCharType="end"/>
      </w:r>
      <w:r>
        <w:rPr>
          <w:snapToGrid w:val="0"/>
          <w:color w:val="auto"/>
        </w:rPr>
        <w:t>。</w:t>
      </w:r>
    </w:p>
    <w:p w14:paraId="0844B257">
      <w:pPr>
        <w:pStyle w:val="22"/>
        <w:spacing w:before="156"/>
        <w:rPr>
          <w:color w:val="auto"/>
        </w:rPr>
      </w:pPr>
      <w:bookmarkStart w:id="508" w:name="_Ref211958480"/>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15</w:t>
      </w:r>
      <w:r>
        <w:rPr>
          <w:color w:val="auto"/>
        </w:rPr>
        <w:fldChar w:fldCharType="end"/>
      </w:r>
      <w:bookmarkEnd w:id="508"/>
      <w:r>
        <w:rPr>
          <w:color w:val="auto"/>
        </w:rPr>
        <w:t xml:space="preserve">  污染影响型评价工作等级划分表</w:t>
      </w:r>
    </w:p>
    <w:tbl>
      <w:tblPr>
        <w:tblStyle w:val="81"/>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799"/>
        <w:gridCol w:w="799"/>
        <w:gridCol w:w="799"/>
        <w:gridCol w:w="799"/>
        <w:gridCol w:w="800"/>
        <w:gridCol w:w="799"/>
        <w:gridCol w:w="799"/>
        <w:gridCol w:w="799"/>
        <w:gridCol w:w="800"/>
      </w:tblGrid>
      <w:tr w14:paraId="4F572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93" w:type="dxa"/>
            <w:vMerge w:val="restart"/>
            <w:vAlign w:val="center"/>
          </w:tcPr>
          <w:p w14:paraId="4E7A75C4">
            <w:pPr>
              <w:spacing w:line="360" w:lineRule="exact"/>
              <w:jc w:val="center"/>
              <w:rPr>
                <w:rFonts w:ascii="宋体" w:hAnsi="宋体" w:eastAsia="宋体" w:cs="Times New Roman"/>
                <w:color w:val="auto"/>
              </w:rPr>
            </w:pPr>
            <w:r>
              <w:rPr>
                <w:rFonts w:ascii="宋体" w:hAnsi="宋体" w:eastAsia="宋体" w:cs="Times New Roman"/>
                <w:color w:val="auto"/>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-15875</wp:posOffset>
                      </wp:positionV>
                      <wp:extent cx="590550" cy="676275"/>
                      <wp:effectExtent l="0" t="0" r="19050" b="28575"/>
                      <wp:wrapNone/>
                      <wp:docPr id="50523479" name="Line 11"/>
                      <wp:cNvGraphicFramePr/>
                      <a:graphic xmlns:a="http://schemas.openxmlformats.org/drawingml/2006/main">
                        <a:graphicData uri="http://schemas.microsoft.com/office/word/2010/wordprocessingShape">
                          <wps:wsp>
                            <wps:cNvCnPr>
                              <a:cxnSpLocks noChangeShapeType="1"/>
                            </wps:cNvCnPr>
                            <wps:spPr bwMode="auto">
                              <a:xfrm>
                                <a:off x="0" y="0"/>
                                <a:ext cx="590550" cy="676275"/>
                              </a:xfrm>
                              <a:prstGeom prst="line">
                                <a:avLst/>
                              </a:prstGeom>
                              <a:noFill/>
                              <a:ln w="6350">
                                <a:solidFill>
                                  <a:schemeClr val="tx1">
                                    <a:lumMod val="100000"/>
                                    <a:lumOff val="0"/>
                                  </a:schemeClr>
                                </a:solidFill>
                                <a:miter lim="800000"/>
                              </a:ln>
                            </wps:spPr>
                            <wps:bodyPr/>
                          </wps:wsp>
                        </a:graphicData>
                      </a:graphic>
                    </wp:anchor>
                  </w:drawing>
                </mc:Choice>
                <mc:Fallback>
                  <w:pict>
                    <v:line id="Line 11" o:spid="_x0000_s1026" o:spt="20" style="position:absolute;left:0pt;margin-left:-4pt;margin-top:-1.25pt;height:53.25pt;width:46.5pt;z-index:251664384;mso-width-relative:page;mso-height-relative:page;" filled="f" stroked="t" coordsize="21600,21600" o:gfxdata="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kgmaNYAAAAIAQAADwAAAAAAAAABACAAAAAiAAAAZHJzL2Rvd25yZXYueG1sUEsBAhQAFAAAAAgA&#10;h07iQAAW0rHuAQAA7gMAAA4AAAAAAAAAAQAgAAAAJQEAAGRycy9lMm9Eb2MueG1sUEsFBgAAAAAG&#10;AAYAWQEAAIUFAAAAAA==&#10;">
                      <v:fill on="f" focussize="0,0"/>
                      <v:stroke weight="0.5pt" color="#000000 [3229]" miterlimit="8" joinstyle="miter"/>
                      <v:imagedata o:title=""/>
                      <o:lock v:ext="edit" aspectratio="f"/>
                    </v:line>
                  </w:pict>
                </mc:Fallback>
              </mc:AlternateContent>
            </w:r>
            <w:r>
              <w:rPr>
                <w:rFonts w:ascii="宋体" w:hAnsi="宋体" w:eastAsia="宋体" w:cs="Times New Roman"/>
                <w:color w:val="auto"/>
              </w:rPr>
              <mc:AlternateContent>
                <mc:Choice Requires="wps">
                  <w:drawing>
                    <wp:anchor distT="0" distB="0" distL="114300" distR="114300" simplePos="0" relativeHeight="251663360" behindDoc="0" locked="0" layoutInCell="1" allowOverlap="1">
                      <wp:simplePos x="0" y="0"/>
                      <wp:positionH relativeFrom="column">
                        <wp:posOffset>-41275</wp:posOffset>
                      </wp:positionH>
                      <wp:positionV relativeFrom="paragraph">
                        <wp:posOffset>-5715</wp:posOffset>
                      </wp:positionV>
                      <wp:extent cx="1285875" cy="523875"/>
                      <wp:effectExtent l="0" t="0" r="28575" b="28575"/>
                      <wp:wrapNone/>
                      <wp:docPr id="50523480" name="Line 12"/>
                      <wp:cNvGraphicFramePr/>
                      <a:graphic xmlns:a="http://schemas.openxmlformats.org/drawingml/2006/main">
                        <a:graphicData uri="http://schemas.microsoft.com/office/word/2010/wordprocessingShape">
                          <wps:wsp>
                            <wps:cNvCnPr>
                              <a:cxnSpLocks noChangeShapeType="1"/>
                            </wps:cNvCnPr>
                            <wps:spPr bwMode="auto">
                              <a:xfrm>
                                <a:off x="0" y="0"/>
                                <a:ext cx="1285875" cy="523875"/>
                              </a:xfrm>
                              <a:prstGeom prst="line">
                                <a:avLst/>
                              </a:prstGeom>
                              <a:noFill/>
                              <a:ln w="6350">
                                <a:solidFill>
                                  <a:schemeClr val="dk1">
                                    <a:lumMod val="100000"/>
                                    <a:lumOff val="0"/>
                                  </a:schemeClr>
                                </a:solidFill>
                                <a:miter lim="800000"/>
                              </a:ln>
                            </wps:spPr>
                            <wps:bodyPr/>
                          </wps:wsp>
                        </a:graphicData>
                      </a:graphic>
                    </wp:anchor>
                  </w:drawing>
                </mc:Choice>
                <mc:Fallback>
                  <w:pict>
                    <v:line id="Line 12" o:spid="_x0000_s1026" o:spt="20" style="position:absolute;left:0pt;margin-left:-3.25pt;margin-top:-0.45pt;height:41.25pt;width:101.25pt;z-index:251663360;mso-width-relative:page;mso-height-relative:page;" filled="f" stroked="t" coordsize="21600,21600" o:gfxdata="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B3J8NYAAAAHAQAADwAAAAAAAAABACAAAAAiAAAAZHJzL2Rvd25yZXYueG1sUEsBAhQAFAAAAAgA&#10;h07iQMysYLbuAQAA7wMAAA4AAAAAAAAAAQAgAAAAJQEAAGRycy9lMm9Eb2MueG1sUEsFBgAAAAAG&#10;AAYAWQEAAIUFAAAAAA==&#10;">
                      <v:fill on="f" focussize="0,0"/>
                      <v:stroke weight="0.5pt" color="#000000 [3216]" miterlimit="8" joinstyle="miter"/>
                      <v:imagedata o:title=""/>
                      <o:lock v:ext="edit" aspectratio="f"/>
                    </v:line>
                  </w:pict>
                </mc:Fallback>
              </mc:AlternateContent>
            </w:r>
            <w:r>
              <w:rPr>
                <w:rFonts w:ascii="宋体" w:hAnsi="宋体" w:eastAsia="宋体" w:cs="Times New Roman"/>
                <w:color w:val="auto"/>
              </w:rPr>
              <w:t xml:space="preserve">         占地规模</w:t>
            </w:r>
          </w:p>
          <w:p w14:paraId="4B04C8F4">
            <w:pPr>
              <w:spacing w:line="360" w:lineRule="exact"/>
              <w:rPr>
                <w:rFonts w:ascii="宋体" w:hAnsi="宋体" w:eastAsia="宋体" w:cs="Times New Roman"/>
                <w:color w:val="auto"/>
              </w:rPr>
            </w:pPr>
            <w:r>
              <w:rPr>
                <w:rFonts w:ascii="宋体" w:hAnsi="宋体" w:eastAsia="宋体" w:cs="Times New Roman"/>
                <w:color w:val="auto"/>
              </w:rPr>
              <w:t>敏感    评价</w:t>
            </w:r>
          </w:p>
          <w:p w14:paraId="119E0FEF">
            <w:pPr>
              <w:spacing w:line="360" w:lineRule="exact"/>
              <w:rPr>
                <w:rFonts w:ascii="宋体" w:hAnsi="宋体" w:eastAsia="宋体" w:cs="Times New Roman"/>
                <w:color w:val="auto"/>
              </w:rPr>
            </w:pPr>
            <w:r>
              <w:rPr>
                <w:rFonts w:ascii="宋体" w:hAnsi="宋体" w:eastAsia="宋体" w:cs="Times New Roman"/>
                <w:color w:val="auto"/>
              </w:rPr>
              <w:t>程度    等级</w:t>
            </w:r>
          </w:p>
        </w:tc>
        <w:tc>
          <w:tcPr>
            <w:tcW w:w="2397" w:type="dxa"/>
            <w:gridSpan w:val="3"/>
            <w:vAlign w:val="center"/>
          </w:tcPr>
          <w:p w14:paraId="77D60EC0">
            <w:pPr>
              <w:spacing w:line="360" w:lineRule="exact"/>
              <w:jc w:val="center"/>
              <w:rPr>
                <w:rFonts w:ascii="宋体" w:hAnsi="宋体" w:eastAsia="宋体" w:cs="Times New Roman"/>
                <w:color w:val="auto"/>
              </w:rPr>
            </w:pPr>
            <w:r>
              <w:rPr>
                <w:rFonts w:ascii="宋体" w:hAnsi="宋体" w:eastAsia="宋体" w:cs="Times New Roman"/>
                <w:color w:val="auto"/>
              </w:rPr>
              <w:t>Ⅰ类</w:t>
            </w:r>
          </w:p>
        </w:tc>
        <w:tc>
          <w:tcPr>
            <w:tcW w:w="2398" w:type="dxa"/>
            <w:gridSpan w:val="3"/>
            <w:vAlign w:val="center"/>
          </w:tcPr>
          <w:p w14:paraId="6A00CE2A">
            <w:pPr>
              <w:spacing w:line="360" w:lineRule="exact"/>
              <w:jc w:val="center"/>
              <w:rPr>
                <w:rFonts w:ascii="宋体" w:hAnsi="宋体" w:eastAsia="宋体" w:cs="Times New Roman"/>
                <w:color w:val="auto"/>
              </w:rPr>
            </w:pPr>
            <w:r>
              <w:rPr>
                <w:rFonts w:ascii="宋体" w:hAnsi="宋体" w:eastAsia="宋体" w:cs="Times New Roman"/>
                <w:color w:val="auto"/>
              </w:rPr>
              <w:t>Ⅱ类</w:t>
            </w:r>
          </w:p>
        </w:tc>
        <w:tc>
          <w:tcPr>
            <w:tcW w:w="2398" w:type="dxa"/>
            <w:gridSpan w:val="3"/>
            <w:vAlign w:val="center"/>
          </w:tcPr>
          <w:p w14:paraId="3BF2092F">
            <w:pPr>
              <w:spacing w:line="360" w:lineRule="exact"/>
              <w:jc w:val="center"/>
              <w:rPr>
                <w:rFonts w:ascii="宋体" w:hAnsi="宋体" w:eastAsia="宋体" w:cs="Times New Roman"/>
                <w:color w:val="auto"/>
              </w:rPr>
            </w:pPr>
            <w:r>
              <w:rPr>
                <w:rFonts w:ascii="宋体" w:hAnsi="宋体" w:eastAsia="宋体" w:cs="Times New Roman"/>
                <w:color w:val="auto"/>
              </w:rPr>
              <w:t>Ⅲ类</w:t>
            </w:r>
          </w:p>
        </w:tc>
      </w:tr>
      <w:tr w14:paraId="64B5E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93" w:type="dxa"/>
            <w:vMerge w:val="continue"/>
            <w:vAlign w:val="center"/>
          </w:tcPr>
          <w:p w14:paraId="5D90EBF2">
            <w:pPr>
              <w:spacing w:line="360" w:lineRule="exact"/>
              <w:jc w:val="center"/>
              <w:rPr>
                <w:rFonts w:ascii="宋体" w:hAnsi="宋体" w:eastAsia="宋体" w:cs="Times New Roman"/>
                <w:color w:val="auto"/>
              </w:rPr>
            </w:pPr>
          </w:p>
        </w:tc>
        <w:tc>
          <w:tcPr>
            <w:tcW w:w="799" w:type="dxa"/>
            <w:vAlign w:val="center"/>
          </w:tcPr>
          <w:p w14:paraId="1BB89136">
            <w:pPr>
              <w:spacing w:line="360" w:lineRule="exact"/>
              <w:jc w:val="center"/>
              <w:rPr>
                <w:rFonts w:ascii="宋体" w:hAnsi="宋体" w:eastAsia="宋体" w:cs="Times New Roman"/>
                <w:color w:val="auto"/>
              </w:rPr>
            </w:pPr>
            <w:r>
              <w:rPr>
                <w:rFonts w:ascii="宋体" w:hAnsi="宋体" w:eastAsia="宋体" w:cs="Times New Roman"/>
                <w:color w:val="auto"/>
              </w:rPr>
              <w:t>大</w:t>
            </w:r>
          </w:p>
        </w:tc>
        <w:tc>
          <w:tcPr>
            <w:tcW w:w="799" w:type="dxa"/>
            <w:vAlign w:val="center"/>
          </w:tcPr>
          <w:p w14:paraId="12A7867B">
            <w:pPr>
              <w:spacing w:line="360" w:lineRule="exact"/>
              <w:jc w:val="center"/>
              <w:rPr>
                <w:rFonts w:ascii="宋体" w:hAnsi="宋体" w:eastAsia="宋体" w:cs="Times New Roman"/>
                <w:color w:val="auto"/>
              </w:rPr>
            </w:pPr>
            <w:r>
              <w:rPr>
                <w:rFonts w:ascii="宋体" w:hAnsi="宋体" w:eastAsia="宋体" w:cs="Times New Roman"/>
                <w:color w:val="auto"/>
              </w:rPr>
              <w:t>中</w:t>
            </w:r>
          </w:p>
        </w:tc>
        <w:tc>
          <w:tcPr>
            <w:tcW w:w="799" w:type="dxa"/>
            <w:vAlign w:val="center"/>
          </w:tcPr>
          <w:p w14:paraId="3FDEE98F">
            <w:pPr>
              <w:spacing w:line="360" w:lineRule="exact"/>
              <w:jc w:val="center"/>
              <w:rPr>
                <w:rFonts w:ascii="宋体" w:hAnsi="宋体" w:eastAsia="宋体" w:cs="Times New Roman"/>
                <w:color w:val="auto"/>
              </w:rPr>
            </w:pPr>
            <w:r>
              <w:rPr>
                <w:rFonts w:ascii="宋体" w:hAnsi="宋体" w:eastAsia="宋体" w:cs="Times New Roman"/>
                <w:color w:val="auto"/>
              </w:rPr>
              <w:t>小</w:t>
            </w:r>
          </w:p>
        </w:tc>
        <w:tc>
          <w:tcPr>
            <w:tcW w:w="799" w:type="dxa"/>
            <w:vAlign w:val="center"/>
          </w:tcPr>
          <w:p w14:paraId="65B2FAB9">
            <w:pPr>
              <w:spacing w:line="360" w:lineRule="exact"/>
              <w:jc w:val="center"/>
              <w:rPr>
                <w:rFonts w:ascii="宋体" w:hAnsi="宋体" w:eastAsia="宋体" w:cs="Times New Roman"/>
                <w:color w:val="auto"/>
              </w:rPr>
            </w:pPr>
            <w:r>
              <w:rPr>
                <w:rFonts w:ascii="宋体" w:hAnsi="宋体" w:eastAsia="宋体" w:cs="Times New Roman"/>
                <w:color w:val="auto"/>
              </w:rPr>
              <w:t>大</w:t>
            </w:r>
          </w:p>
        </w:tc>
        <w:tc>
          <w:tcPr>
            <w:tcW w:w="800" w:type="dxa"/>
            <w:vAlign w:val="center"/>
          </w:tcPr>
          <w:p w14:paraId="1E497B01">
            <w:pPr>
              <w:spacing w:line="360" w:lineRule="exact"/>
              <w:jc w:val="center"/>
              <w:rPr>
                <w:rFonts w:ascii="宋体" w:hAnsi="宋体" w:eastAsia="宋体" w:cs="Times New Roman"/>
                <w:color w:val="auto"/>
              </w:rPr>
            </w:pPr>
            <w:r>
              <w:rPr>
                <w:rFonts w:ascii="宋体" w:hAnsi="宋体" w:eastAsia="宋体" w:cs="Times New Roman"/>
                <w:color w:val="auto"/>
              </w:rPr>
              <w:t>中</w:t>
            </w:r>
          </w:p>
        </w:tc>
        <w:tc>
          <w:tcPr>
            <w:tcW w:w="799" w:type="dxa"/>
            <w:vAlign w:val="center"/>
          </w:tcPr>
          <w:p w14:paraId="04008925">
            <w:pPr>
              <w:spacing w:line="360" w:lineRule="exact"/>
              <w:jc w:val="center"/>
              <w:rPr>
                <w:rFonts w:ascii="宋体" w:hAnsi="宋体" w:eastAsia="宋体" w:cs="Times New Roman"/>
                <w:color w:val="auto"/>
              </w:rPr>
            </w:pPr>
            <w:r>
              <w:rPr>
                <w:rFonts w:ascii="宋体" w:hAnsi="宋体" w:eastAsia="宋体" w:cs="Times New Roman"/>
                <w:color w:val="auto"/>
              </w:rPr>
              <w:t>小</w:t>
            </w:r>
          </w:p>
        </w:tc>
        <w:tc>
          <w:tcPr>
            <w:tcW w:w="799" w:type="dxa"/>
            <w:vAlign w:val="center"/>
          </w:tcPr>
          <w:p w14:paraId="2399F143">
            <w:pPr>
              <w:spacing w:line="360" w:lineRule="exact"/>
              <w:jc w:val="center"/>
              <w:rPr>
                <w:rFonts w:ascii="宋体" w:hAnsi="宋体" w:eastAsia="宋体" w:cs="Times New Roman"/>
                <w:color w:val="auto"/>
              </w:rPr>
            </w:pPr>
            <w:r>
              <w:rPr>
                <w:rFonts w:ascii="宋体" w:hAnsi="宋体" w:eastAsia="宋体" w:cs="Times New Roman"/>
                <w:color w:val="auto"/>
              </w:rPr>
              <w:t>大</w:t>
            </w:r>
          </w:p>
        </w:tc>
        <w:tc>
          <w:tcPr>
            <w:tcW w:w="799" w:type="dxa"/>
            <w:vAlign w:val="center"/>
          </w:tcPr>
          <w:p w14:paraId="63C9603E">
            <w:pPr>
              <w:spacing w:line="360" w:lineRule="exact"/>
              <w:jc w:val="center"/>
              <w:rPr>
                <w:rFonts w:ascii="宋体" w:hAnsi="宋体" w:eastAsia="宋体" w:cs="Times New Roman"/>
                <w:color w:val="auto"/>
              </w:rPr>
            </w:pPr>
            <w:r>
              <w:rPr>
                <w:rFonts w:ascii="宋体" w:hAnsi="宋体" w:eastAsia="宋体" w:cs="Times New Roman"/>
                <w:color w:val="auto"/>
              </w:rPr>
              <w:t>中</w:t>
            </w:r>
          </w:p>
        </w:tc>
        <w:tc>
          <w:tcPr>
            <w:tcW w:w="800" w:type="dxa"/>
            <w:vAlign w:val="center"/>
          </w:tcPr>
          <w:p w14:paraId="3F7E209C">
            <w:pPr>
              <w:spacing w:line="360" w:lineRule="exact"/>
              <w:jc w:val="center"/>
              <w:rPr>
                <w:rFonts w:ascii="宋体" w:hAnsi="宋体" w:eastAsia="宋体" w:cs="Times New Roman"/>
                <w:color w:val="auto"/>
              </w:rPr>
            </w:pPr>
            <w:r>
              <w:rPr>
                <w:rFonts w:ascii="宋体" w:hAnsi="宋体" w:eastAsia="宋体" w:cs="Times New Roman"/>
                <w:color w:val="auto"/>
              </w:rPr>
              <w:t>小</w:t>
            </w:r>
          </w:p>
        </w:tc>
      </w:tr>
      <w:tr w14:paraId="2623E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93" w:type="dxa"/>
            <w:vAlign w:val="center"/>
          </w:tcPr>
          <w:p w14:paraId="311393AD">
            <w:pPr>
              <w:spacing w:line="360" w:lineRule="exact"/>
              <w:jc w:val="center"/>
              <w:rPr>
                <w:rFonts w:ascii="宋体" w:hAnsi="宋体" w:eastAsia="宋体" w:cs="Times New Roman"/>
                <w:color w:val="auto"/>
              </w:rPr>
            </w:pPr>
            <w:r>
              <w:rPr>
                <w:rFonts w:ascii="宋体" w:hAnsi="宋体" w:eastAsia="宋体" w:cs="Times New Roman"/>
                <w:color w:val="auto"/>
              </w:rPr>
              <w:t>敏感</w:t>
            </w:r>
          </w:p>
        </w:tc>
        <w:tc>
          <w:tcPr>
            <w:tcW w:w="799" w:type="dxa"/>
            <w:vAlign w:val="center"/>
          </w:tcPr>
          <w:p w14:paraId="571515DC">
            <w:pPr>
              <w:spacing w:line="360" w:lineRule="exact"/>
              <w:jc w:val="center"/>
              <w:rPr>
                <w:rFonts w:ascii="宋体" w:hAnsi="宋体" w:eastAsia="宋体" w:cs="Times New Roman"/>
                <w:color w:val="auto"/>
              </w:rPr>
            </w:pPr>
            <w:r>
              <w:rPr>
                <w:rFonts w:ascii="宋体" w:hAnsi="宋体" w:eastAsia="宋体" w:cs="Times New Roman"/>
                <w:color w:val="auto"/>
              </w:rPr>
              <w:t>一级</w:t>
            </w:r>
          </w:p>
        </w:tc>
        <w:tc>
          <w:tcPr>
            <w:tcW w:w="799" w:type="dxa"/>
            <w:vAlign w:val="center"/>
          </w:tcPr>
          <w:p w14:paraId="5EF473BC">
            <w:pPr>
              <w:spacing w:line="360" w:lineRule="exact"/>
              <w:jc w:val="center"/>
              <w:rPr>
                <w:rFonts w:ascii="宋体" w:hAnsi="宋体" w:eastAsia="宋体" w:cs="Times New Roman"/>
                <w:color w:val="auto"/>
              </w:rPr>
            </w:pPr>
            <w:r>
              <w:rPr>
                <w:rFonts w:ascii="宋体" w:hAnsi="宋体" w:eastAsia="宋体" w:cs="Times New Roman"/>
                <w:color w:val="auto"/>
              </w:rPr>
              <w:t>一级</w:t>
            </w:r>
          </w:p>
        </w:tc>
        <w:tc>
          <w:tcPr>
            <w:tcW w:w="799" w:type="dxa"/>
            <w:vAlign w:val="center"/>
          </w:tcPr>
          <w:p w14:paraId="6308D2D4">
            <w:pPr>
              <w:spacing w:line="360" w:lineRule="exact"/>
              <w:jc w:val="center"/>
              <w:rPr>
                <w:rFonts w:ascii="宋体" w:hAnsi="宋体" w:eastAsia="宋体" w:cs="Times New Roman"/>
                <w:color w:val="auto"/>
              </w:rPr>
            </w:pPr>
            <w:r>
              <w:rPr>
                <w:rFonts w:ascii="宋体" w:hAnsi="宋体" w:eastAsia="宋体" w:cs="Times New Roman"/>
                <w:color w:val="auto"/>
              </w:rPr>
              <w:t>一级</w:t>
            </w:r>
          </w:p>
        </w:tc>
        <w:tc>
          <w:tcPr>
            <w:tcW w:w="799" w:type="dxa"/>
            <w:vAlign w:val="center"/>
          </w:tcPr>
          <w:p w14:paraId="648CFF8E">
            <w:pPr>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800" w:type="dxa"/>
            <w:vAlign w:val="center"/>
          </w:tcPr>
          <w:p w14:paraId="1034E40C">
            <w:pPr>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799" w:type="dxa"/>
            <w:vAlign w:val="center"/>
          </w:tcPr>
          <w:p w14:paraId="581D64B1">
            <w:pPr>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799" w:type="dxa"/>
            <w:vAlign w:val="center"/>
          </w:tcPr>
          <w:p w14:paraId="7AACCD50">
            <w:pPr>
              <w:spacing w:line="360" w:lineRule="exact"/>
              <w:jc w:val="center"/>
              <w:rPr>
                <w:rFonts w:ascii="宋体" w:hAnsi="宋体" w:eastAsia="宋体" w:cs="Times New Roman"/>
                <w:color w:val="auto"/>
              </w:rPr>
            </w:pPr>
            <w:r>
              <w:rPr>
                <w:rFonts w:ascii="宋体" w:hAnsi="宋体" w:eastAsia="宋体" w:cs="Times New Roman"/>
                <w:color w:val="auto"/>
              </w:rPr>
              <w:t>三级</w:t>
            </w:r>
          </w:p>
        </w:tc>
        <w:tc>
          <w:tcPr>
            <w:tcW w:w="799" w:type="dxa"/>
            <w:vAlign w:val="center"/>
          </w:tcPr>
          <w:p w14:paraId="524D6F4C">
            <w:pPr>
              <w:spacing w:line="360" w:lineRule="exact"/>
              <w:jc w:val="center"/>
              <w:rPr>
                <w:rFonts w:ascii="宋体" w:hAnsi="宋体" w:eastAsia="宋体" w:cs="Times New Roman"/>
                <w:color w:val="auto"/>
              </w:rPr>
            </w:pPr>
            <w:r>
              <w:rPr>
                <w:rFonts w:ascii="宋体" w:hAnsi="宋体" w:eastAsia="宋体" w:cs="Times New Roman"/>
                <w:color w:val="auto"/>
              </w:rPr>
              <w:t>三级</w:t>
            </w:r>
          </w:p>
        </w:tc>
        <w:tc>
          <w:tcPr>
            <w:tcW w:w="800" w:type="dxa"/>
            <w:vAlign w:val="center"/>
          </w:tcPr>
          <w:p w14:paraId="7FB38C8C">
            <w:pPr>
              <w:spacing w:line="360" w:lineRule="exact"/>
              <w:jc w:val="center"/>
              <w:rPr>
                <w:rFonts w:ascii="宋体" w:hAnsi="宋体" w:eastAsia="宋体" w:cs="Times New Roman"/>
                <w:color w:val="auto"/>
              </w:rPr>
            </w:pPr>
            <w:r>
              <w:rPr>
                <w:rFonts w:ascii="宋体" w:hAnsi="宋体" w:eastAsia="宋体" w:cs="Times New Roman"/>
                <w:color w:val="auto"/>
              </w:rPr>
              <w:t>三级</w:t>
            </w:r>
          </w:p>
        </w:tc>
      </w:tr>
      <w:tr w14:paraId="212B2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93" w:type="dxa"/>
            <w:vAlign w:val="center"/>
          </w:tcPr>
          <w:p w14:paraId="49F55C00">
            <w:pPr>
              <w:spacing w:line="360" w:lineRule="exact"/>
              <w:jc w:val="center"/>
              <w:rPr>
                <w:rFonts w:ascii="宋体" w:hAnsi="宋体" w:eastAsia="宋体" w:cs="Times New Roman"/>
                <w:color w:val="auto"/>
              </w:rPr>
            </w:pPr>
            <w:r>
              <w:rPr>
                <w:rFonts w:ascii="宋体" w:hAnsi="宋体" w:eastAsia="宋体" w:cs="Times New Roman"/>
                <w:color w:val="auto"/>
              </w:rPr>
              <w:t>较敏感</w:t>
            </w:r>
          </w:p>
        </w:tc>
        <w:tc>
          <w:tcPr>
            <w:tcW w:w="799" w:type="dxa"/>
            <w:vAlign w:val="center"/>
          </w:tcPr>
          <w:p w14:paraId="64D75B0B">
            <w:pPr>
              <w:spacing w:line="360" w:lineRule="exact"/>
              <w:jc w:val="center"/>
              <w:rPr>
                <w:rFonts w:ascii="宋体" w:hAnsi="宋体" w:eastAsia="宋体" w:cs="Times New Roman"/>
                <w:color w:val="auto"/>
              </w:rPr>
            </w:pPr>
            <w:r>
              <w:rPr>
                <w:rFonts w:ascii="宋体" w:hAnsi="宋体" w:eastAsia="宋体" w:cs="Times New Roman"/>
                <w:color w:val="auto"/>
              </w:rPr>
              <w:t>一级</w:t>
            </w:r>
          </w:p>
        </w:tc>
        <w:tc>
          <w:tcPr>
            <w:tcW w:w="799" w:type="dxa"/>
            <w:vAlign w:val="center"/>
          </w:tcPr>
          <w:p w14:paraId="34CC962E">
            <w:pPr>
              <w:spacing w:line="360" w:lineRule="exact"/>
              <w:jc w:val="center"/>
              <w:rPr>
                <w:rFonts w:ascii="宋体" w:hAnsi="宋体" w:eastAsia="宋体" w:cs="Times New Roman"/>
                <w:color w:val="auto"/>
              </w:rPr>
            </w:pPr>
            <w:r>
              <w:rPr>
                <w:rFonts w:ascii="宋体" w:hAnsi="宋体" w:eastAsia="宋体" w:cs="Times New Roman"/>
                <w:color w:val="auto"/>
              </w:rPr>
              <w:t>一级</w:t>
            </w:r>
          </w:p>
        </w:tc>
        <w:tc>
          <w:tcPr>
            <w:tcW w:w="799" w:type="dxa"/>
            <w:vAlign w:val="center"/>
          </w:tcPr>
          <w:p w14:paraId="27AA2CBE">
            <w:pPr>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799" w:type="dxa"/>
            <w:vAlign w:val="center"/>
          </w:tcPr>
          <w:p w14:paraId="46833A2F">
            <w:pPr>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800" w:type="dxa"/>
            <w:vAlign w:val="center"/>
          </w:tcPr>
          <w:p w14:paraId="335BE9A7">
            <w:pPr>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799" w:type="dxa"/>
            <w:vAlign w:val="center"/>
          </w:tcPr>
          <w:p w14:paraId="681F7791">
            <w:pPr>
              <w:spacing w:line="360" w:lineRule="exact"/>
              <w:jc w:val="center"/>
              <w:rPr>
                <w:rFonts w:ascii="宋体" w:hAnsi="宋体" w:eastAsia="宋体" w:cs="Times New Roman"/>
                <w:color w:val="auto"/>
              </w:rPr>
            </w:pPr>
            <w:r>
              <w:rPr>
                <w:rFonts w:ascii="宋体" w:hAnsi="宋体" w:eastAsia="宋体" w:cs="Times New Roman"/>
                <w:color w:val="auto"/>
              </w:rPr>
              <w:t>三级</w:t>
            </w:r>
          </w:p>
        </w:tc>
        <w:tc>
          <w:tcPr>
            <w:tcW w:w="799" w:type="dxa"/>
            <w:vAlign w:val="center"/>
          </w:tcPr>
          <w:p w14:paraId="1A3AF5F5">
            <w:pPr>
              <w:spacing w:line="360" w:lineRule="exact"/>
              <w:jc w:val="center"/>
              <w:rPr>
                <w:rFonts w:ascii="宋体" w:hAnsi="宋体" w:eastAsia="宋体" w:cs="Times New Roman"/>
                <w:color w:val="auto"/>
              </w:rPr>
            </w:pPr>
            <w:r>
              <w:rPr>
                <w:rFonts w:ascii="宋体" w:hAnsi="宋体" w:eastAsia="宋体" w:cs="Times New Roman"/>
                <w:color w:val="auto"/>
              </w:rPr>
              <w:t>三级</w:t>
            </w:r>
          </w:p>
        </w:tc>
        <w:tc>
          <w:tcPr>
            <w:tcW w:w="799" w:type="dxa"/>
            <w:vAlign w:val="center"/>
          </w:tcPr>
          <w:p w14:paraId="62FA6A47">
            <w:pPr>
              <w:spacing w:line="360" w:lineRule="exact"/>
              <w:jc w:val="center"/>
              <w:rPr>
                <w:rFonts w:ascii="宋体" w:hAnsi="宋体" w:eastAsia="宋体" w:cs="Times New Roman"/>
                <w:color w:val="auto"/>
              </w:rPr>
            </w:pPr>
            <w:r>
              <w:rPr>
                <w:rFonts w:ascii="宋体" w:hAnsi="宋体" w:eastAsia="宋体" w:cs="Times New Roman"/>
                <w:color w:val="auto"/>
              </w:rPr>
              <w:t>三级</w:t>
            </w:r>
          </w:p>
        </w:tc>
        <w:tc>
          <w:tcPr>
            <w:tcW w:w="800" w:type="dxa"/>
            <w:vAlign w:val="center"/>
          </w:tcPr>
          <w:p w14:paraId="3BCC216D">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15D72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093" w:type="dxa"/>
            <w:vAlign w:val="center"/>
          </w:tcPr>
          <w:p w14:paraId="0EA569C3">
            <w:pPr>
              <w:spacing w:line="360" w:lineRule="exact"/>
              <w:jc w:val="center"/>
              <w:rPr>
                <w:rFonts w:ascii="宋体" w:hAnsi="宋体" w:eastAsia="宋体" w:cs="Times New Roman"/>
                <w:color w:val="auto"/>
              </w:rPr>
            </w:pPr>
            <w:r>
              <w:rPr>
                <w:rFonts w:ascii="宋体" w:hAnsi="宋体" w:eastAsia="宋体" w:cs="Times New Roman"/>
                <w:color w:val="auto"/>
              </w:rPr>
              <w:t>不敏感</w:t>
            </w:r>
          </w:p>
        </w:tc>
        <w:tc>
          <w:tcPr>
            <w:tcW w:w="799" w:type="dxa"/>
            <w:vAlign w:val="center"/>
          </w:tcPr>
          <w:p w14:paraId="7AD71535">
            <w:pPr>
              <w:spacing w:line="360" w:lineRule="exact"/>
              <w:jc w:val="center"/>
              <w:rPr>
                <w:rFonts w:ascii="宋体" w:hAnsi="宋体" w:eastAsia="宋体" w:cs="Times New Roman"/>
                <w:color w:val="auto"/>
              </w:rPr>
            </w:pPr>
            <w:r>
              <w:rPr>
                <w:rFonts w:ascii="宋体" w:hAnsi="宋体" w:eastAsia="宋体" w:cs="Times New Roman"/>
                <w:color w:val="auto"/>
              </w:rPr>
              <w:t>一级</w:t>
            </w:r>
          </w:p>
        </w:tc>
        <w:tc>
          <w:tcPr>
            <w:tcW w:w="799" w:type="dxa"/>
            <w:vAlign w:val="center"/>
          </w:tcPr>
          <w:p w14:paraId="28559B60">
            <w:pPr>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799" w:type="dxa"/>
            <w:vAlign w:val="center"/>
          </w:tcPr>
          <w:p w14:paraId="773674EF">
            <w:pPr>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799" w:type="dxa"/>
            <w:vAlign w:val="center"/>
          </w:tcPr>
          <w:p w14:paraId="7F30E477">
            <w:pPr>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800" w:type="dxa"/>
            <w:vAlign w:val="center"/>
          </w:tcPr>
          <w:p w14:paraId="11B99BF3">
            <w:pPr>
              <w:spacing w:line="360" w:lineRule="exact"/>
              <w:jc w:val="center"/>
              <w:rPr>
                <w:rFonts w:ascii="宋体" w:hAnsi="宋体" w:eastAsia="宋体" w:cs="Times New Roman"/>
                <w:color w:val="auto"/>
              </w:rPr>
            </w:pPr>
            <w:r>
              <w:rPr>
                <w:rFonts w:ascii="宋体" w:hAnsi="宋体" w:eastAsia="宋体" w:cs="Times New Roman"/>
                <w:color w:val="auto"/>
              </w:rPr>
              <w:t>三级</w:t>
            </w:r>
          </w:p>
        </w:tc>
        <w:tc>
          <w:tcPr>
            <w:tcW w:w="799" w:type="dxa"/>
            <w:vAlign w:val="center"/>
          </w:tcPr>
          <w:p w14:paraId="18A0705A">
            <w:pPr>
              <w:spacing w:line="360" w:lineRule="exact"/>
              <w:jc w:val="center"/>
              <w:rPr>
                <w:rFonts w:ascii="宋体" w:hAnsi="宋体" w:eastAsia="宋体" w:cs="Times New Roman"/>
                <w:color w:val="auto"/>
              </w:rPr>
            </w:pPr>
            <w:r>
              <w:rPr>
                <w:rFonts w:ascii="宋体" w:hAnsi="宋体" w:eastAsia="宋体" w:cs="Times New Roman"/>
                <w:color w:val="auto"/>
              </w:rPr>
              <w:t>三级</w:t>
            </w:r>
          </w:p>
        </w:tc>
        <w:tc>
          <w:tcPr>
            <w:tcW w:w="799" w:type="dxa"/>
            <w:vAlign w:val="center"/>
          </w:tcPr>
          <w:p w14:paraId="5E02F393">
            <w:pPr>
              <w:spacing w:line="360" w:lineRule="exact"/>
              <w:jc w:val="center"/>
              <w:rPr>
                <w:rFonts w:ascii="宋体" w:hAnsi="宋体" w:eastAsia="宋体" w:cs="Times New Roman"/>
                <w:color w:val="auto"/>
              </w:rPr>
            </w:pPr>
            <w:r>
              <w:rPr>
                <w:rFonts w:ascii="宋体" w:hAnsi="宋体" w:eastAsia="宋体" w:cs="Times New Roman"/>
                <w:color w:val="auto"/>
              </w:rPr>
              <w:t>三级</w:t>
            </w:r>
          </w:p>
        </w:tc>
        <w:tc>
          <w:tcPr>
            <w:tcW w:w="799" w:type="dxa"/>
            <w:vAlign w:val="center"/>
          </w:tcPr>
          <w:p w14:paraId="32474829">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800" w:type="dxa"/>
            <w:vAlign w:val="center"/>
          </w:tcPr>
          <w:p w14:paraId="73A82D1A">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4C065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286" w:type="dxa"/>
            <w:gridSpan w:val="10"/>
            <w:vAlign w:val="center"/>
          </w:tcPr>
          <w:p w14:paraId="7918EB43">
            <w:pPr>
              <w:spacing w:line="360" w:lineRule="exact"/>
              <w:rPr>
                <w:rFonts w:ascii="宋体" w:hAnsi="宋体" w:eastAsia="宋体" w:cs="Times New Roman"/>
                <w:color w:val="auto"/>
              </w:rPr>
            </w:pPr>
            <w:r>
              <w:rPr>
                <w:rFonts w:ascii="宋体" w:hAnsi="宋体" w:eastAsia="宋体" w:cs="Times New Roman"/>
                <w:color w:val="auto"/>
              </w:rPr>
              <w:t>注：“-”表示可不开展土壤环境影响评价工作</w:t>
            </w:r>
          </w:p>
        </w:tc>
      </w:tr>
    </w:tbl>
    <w:p w14:paraId="2B5F7E97">
      <w:pPr>
        <w:pStyle w:val="276"/>
        <w:widowControl w:val="0"/>
        <w:spacing w:line="440" w:lineRule="exact"/>
        <w:ind w:firstLine="480"/>
        <w:jc w:val="both"/>
        <w:rPr>
          <w:color w:val="auto"/>
        </w:rPr>
      </w:pPr>
      <w:r>
        <w:rPr>
          <w:color w:val="auto"/>
        </w:rPr>
        <w:t>1</w:t>
      </w:r>
      <w:r>
        <w:rPr>
          <w:rFonts w:hint="eastAsia"/>
          <w:color w:val="auto"/>
        </w:rPr>
        <w:t>）</w:t>
      </w:r>
      <w:r>
        <w:rPr>
          <w:color w:val="auto"/>
        </w:rPr>
        <w:t>井场及场站</w:t>
      </w:r>
    </w:p>
    <w:p w14:paraId="0988280C">
      <w:pPr>
        <w:pStyle w:val="276"/>
        <w:widowControl w:val="0"/>
        <w:spacing w:line="440" w:lineRule="exact"/>
        <w:ind w:firstLine="480"/>
        <w:jc w:val="both"/>
        <w:rPr>
          <w:color w:val="auto"/>
        </w:rPr>
      </w:pPr>
      <w:r>
        <w:rPr>
          <w:color w:val="auto"/>
        </w:rPr>
        <w:t>本项目拟建井场、拉油点等工程新增永久占地</w:t>
      </w:r>
      <w:r>
        <w:rPr>
          <w:rFonts w:hint="eastAsia"/>
          <w:color w:val="auto"/>
        </w:rPr>
        <w:t>2.36</w:t>
      </w:r>
      <w:r>
        <w:rPr>
          <w:color w:val="auto"/>
        </w:rPr>
        <w:t>hm</w:t>
      </w:r>
      <w:r>
        <w:rPr>
          <w:color w:val="auto"/>
          <w:vertAlign w:val="superscript"/>
        </w:rPr>
        <w:t>2</w:t>
      </w:r>
      <w:r>
        <w:rPr>
          <w:color w:val="auto"/>
        </w:rPr>
        <w:t>，</w:t>
      </w:r>
      <w:r>
        <w:rPr>
          <w:rFonts w:hint="eastAsia"/>
          <w:color w:val="auto"/>
        </w:rPr>
        <w:t>小于</w:t>
      </w:r>
      <w:r>
        <w:rPr>
          <w:color w:val="auto"/>
        </w:rPr>
        <w:t>5hm</w:t>
      </w:r>
      <w:r>
        <w:rPr>
          <w:color w:val="auto"/>
          <w:vertAlign w:val="superscript"/>
        </w:rPr>
        <w:t>2</w:t>
      </w:r>
      <w:r>
        <w:rPr>
          <w:color w:val="auto"/>
        </w:rPr>
        <w:t>，占地面积属于“</w:t>
      </w:r>
      <w:r>
        <w:rPr>
          <w:rFonts w:hint="eastAsia"/>
          <w:color w:val="auto"/>
        </w:rPr>
        <w:t>小</w:t>
      </w:r>
      <w:r>
        <w:rPr>
          <w:color w:val="auto"/>
        </w:rPr>
        <w:t>型”规模，敏感程度为“敏感”，项目类别为“I类”，因此井场及拉油点土壤评价工作等级为“一级”。</w:t>
      </w:r>
    </w:p>
    <w:p w14:paraId="477508E2">
      <w:pPr>
        <w:pStyle w:val="276"/>
        <w:widowControl w:val="0"/>
        <w:spacing w:line="440" w:lineRule="exact"/>
        <w:ind w:firstLine="480"/>
        <w:jc w:val="both"/>
        <w:rPr>
          <w:color w:val="auto"/>
        </w:rPr>
      </w:pPr>
      <w:r>
        <w:rPr>
          <w:color w:val="auto"/>
        </w:rPr>
        <w:t>2</w:t>
      </w:r>
      <w:r>
        <w:rPr>
          <w:rFonts w:hint="eastAsia"/>
          <w:color w:val="auto"/>
        </w:rPr>
        <w:t>）</w:t>
      </w:r>
      <w:r>
        <w:rPr>
          <w:color w:val="auto"/>
        </w:rPr>
        <w:t>集输管线</w:t>
      </w:r>
    </w:p>
    <w:p w14:paraId="6FE2AC9A">
      <w:pPr>
        <w:spacing w:line="440" w:lineRule="exact"/>
        <w:ind w:firstLine="480" w:firstLineChars="200"/>
        <w:rPr>
          <w:rFonts w:ascii="宋体" w:hAnsi="宋体" w:eastAsia="宋体"/>
          <w:color w:val="auto"/>
          <w:sz w:val="24"/>
        </w:rPr>
      </w:pPr>
      <w:r>
        <w:rPr>
          <w:rFonts w:ascii="宋体" w:hAnsi="宋体" w:eastAsia="宋体"/>
          <w:color w:val="auto"/>
          <w:sz w:val="24"/>
        </w:rPr>
        <w:t>根据《环境影响评价技术导则 陆地石油天然气开发建设项目》（HJ349-2023）要求：集输管道按照主要站场位置（输油站、联合站、集气站、泵站和截断阀室等）分段判定评价等级，并按相应等级开展评价工作。本项目新建</w:t>
      </w:r>
      <w:r>
        <w:rPr>
          <w:rFonts w:hint="eastAsia" w:ascii="宋体" w:hAnsi="宋体" w:eastAsia="宋体"/>
          <w:color w:val="auto"/>
          <w:sz w:val="24"/>
        </w:rPr>
        <w:t>井场</w:t>
      </w:r>
      <w:r>
        <w:rPr>
          <w:rFonts w:ascii="宋体" w:hAnsi="宋体" w:eastAsia="宋体"/>
          <w:color w:val="auto"/>
          <w:sz w:val="24"/>
        </w:rPr>
        <w:t>集油管线</w:t>
      </w:r>
      <w:r>
        <w:rPr>
          <w:rFonts w:hint="eastAsia" w:ascii="宋体" w:hAnsi="宋体" w:eastAsia="宋体"/>
          <w:color w:val="auto"/>
          <w:sz w:val="24"/>
        </w:rPr>
        <w:t>0.06km</w:t>
      </w:r>
      <w:r>
        <w:rPr>
          <w:rFonts w:ascii="宋体" w:hAnsi="宋体" w:eastAsia="宋体"/>
          <w:color w:val="auto"/>
          <w:sz w:val="24"/>
        </w:rPr>
        <w:t>，集油管线项目类别为“</w:t>
      </w:r>
      <w:r>
        <w:rPr>
          <w:rFonts w:ascii="宋体" w:hAnsi="宋体" w:eastAsia="宋体"/>
          <w:color w:val="auto"/>
          <w:sz w:val="24"/>
        </w:rPr>
        <w:fldChar w:fldCharType="begin"/>
      </w:r>
      <w:r>
        <w:rPr>
          <w:rFonts w:ascii="宋体" w:hAnsi="宋体" w:eastAsia="宋体"/>
          <w:color w:val="auto"/>
          <w:sz w:val="24"/>
        </w:rPr>
        <w:instrText xml:space="preserve"> = 2 \* ROMAN </w:instrText>
      </w:r>
      <w:r>
        <w:rPr>
          <w:rFonts w:ascii="宋体" w:hAnsi="宋体" w:eastAsia="宋体"/>
          <w:color w:val="auto"/>
          <w:sz w:val="24"/>
        </w:rPr>
        <w:fldChar w:fldCharType="separate"/>
      </w:r>
      <w:r>
        <w:rPr>
          <w:rFonts w:ascii="宋体" w:hAnsi="宋体" w:eastAsia="宋体"/>
          <w:color w:val="auto"/>
          <w:sz w:val="24"/>
        </w:rPr>
        <w:t>II</w:t>
      </w:r>
      <w:r>
        <w:rPr>
          <w:rFonts w:ascii="宋体" w:hAnsi="宋体" w:eastAsia="宋体"/>
          <w:color w:val="auto"/>
          <w:sz w:val="24"/>
        </w:rPr>
        <w:fldChar w:fldCharType="end"/>
      </w:r>
      <w:r>
        <w:rPr>
          <w:rFonts w:ascii="宋体" w:hAnsi="宋体" w:eastAsia="宋体"/>
          <w:color w:val="auto"/>
          <w:sz w:val="24"/>
        </w:rPr>
        <w:t>类”，环境敏感程度均为“敏感”，新建管线不新增永久占地，集油管线占地规模5</w:t>
      </w:r>
      <w:r>
        <w:rPr>
          <w:rFonts w:hint="eastAsia" w:ascii="宋体" w:hAnsi="宋体" w:eastAsia="宋体"/>
          <w:color w:val="auto"/>
          <w:sz w:val="24"/>
        </w:rPr>
        <w:t>～50</w:t>
      </w:r>
      <w:r>
        <w:rPr>
          <w:rFonts w:ascii="宋体" w:hAnsi="宋体" w:eastAsia="宋体"/>
          <w:color w:val="auto"/>
          <w:sz w:val="24"/>
        </w:rPr>
        <w:t>hm</w:t>
      </w:r>
      <w:r>
        <w:rPr>
          <w:rFonts w:ascii="宋体" w:hAnsi="宋体" w:eastAsia="宋体"/>
          <w:color w:val="auto"/>
          <w:sz w:val="24"/>
          <w:vertAlign w:val="superscript"/>
        </w:rPr>
        <w:t>2</w:t>
      </w:r>
      <w:r>
        <w:rPr>
          <w:rFonts w:ascii="宋体" w:hAnsi="宋体" w:eastAsia="宋体"/>
          <w:color w:val="auto"/>
          <w:sz w:val="24"/>
        </w:rPr>
        <w:t>，因此集油管线土壤环境影响评价工作等级为“二级”。</w:t>
      </w:r>
    </w:p>
    <w:p w14:paraId="66047C5D">
      <w:pPr>
        <w:pStyle w:val="276"/>
        <w:widowControl w:val="0"/>
        <w:spacing w:line="440" w:lineRule="exact"/>
        <w:ind w:firstLine="480"/>
        <w:jc w:val="both"/>
        <w:rPr>
          <w:color w:val="auto"/>
        </w:rPr>
      </w:pPr>
      <w:r>
        <w:rPr>
          <w:color w:val="auto"/>
        </w:rPr>
        <w:t>综上所述，本项目井场土壤环境影响评价工作等级为“一级”，集油管线土壤环境影响评价工作等级为“二级”。 本项目按照项目类别、评价等级分别开展评价工作。</w:t>
      </w:r>
    </w:p>
    <w:p w14:paraId="5523F5B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509" w:name="_Toc70050157"/>
      <w:bookmarkStart w:id="510" w:name="_Toc80971359"/>
      <w:bookmarkStart w:id="511" w:name="_Toc78816442"/>
      <w:bookmarkStart w:id="512" w:name="_Toc67860110"/>
      <w:bookmarkStart w:id="513" w:name="_Toc61597203"/>
      <w:bookmarkStart w:id="514" w:name="_Toc84929210"/>
      <w:bookmarkStart w:id="515" w:name="_Toc80588237"/>
      <w:bookmarkStart w:id="516" w:name="_Toc77067641"/>
      <w:bookmarkStart w:id="517" w:name="_Toc83209454"/>
      <w:bookmarkStart w:id="518" w:name="_Toc76976225"/>
      <w:bookmarkStart w:id="519" w:name="_Toc85640734"/>
      <w:r>
        <w:rPr>
          <w:rFonts w:ascii="宋体" w:hAnsi="宋体" w:eastAsia="宋体" w:cs="Times New Roman"/>
          <w:b/>
          <w:bCs/>
          <w:color w:val="auto"/>
          <w:szCs w:val="28"/>
        </w:rPr>
        <w:t>评价范围</w:t>
      </w:r>
    </w:p>
    <w:p w14:paraId="5F957572">
      <w:pPr>
        <w:pStyle w:val="276"/>
        <w:widowControl w:val="0"/>
        <w:spacing w:line="440" w:lineRule="exact"/>
        <w:ind w:firstLine="480"/>
        <w:jc w:val="both"/>
        <w:rPr>
          <w:snapToGrid w:val="0"/>
          <w:color w:val="auto"/>
          <w:lang w:bidi="zh-CN"/>
        </w:rPr>
      </w:pPr>
      <w:r>
        <w:rPr>
          <w:snapToGrid w:val="0"/>
          <w:color w:val="auto"/>
          <w:lang w:bidi="zh-CN"/>
        </w:rPr>
        <w:t>根据《环境影响评价技术导则 土壤环境（试行）》（HJ964-2018）中“表5现状调查范围”，确定本项目土壤环境评价范围为拟建井场和拉油点边界外扩</w:t>
      </w:r>
      <w:r>
        <w:rPr>
          <w:color w:val="auto"/>
        </w:rPr>
        <w:t>1km</w:t>
      </w:r>
      <w:r>
        <w:rPr>
          <w:snapToGrid w:val="0"/>
          <w:color w:val="auto"/>
          <w:lang w:bidi="zh-CN"/>
        </w:rPr>
        <w:t>及集油管线工程边界两侧向外延伸0.2km的土壤环境。</w:t>
      </w:r>
      <w:r>
        <w:rPr>
          <w:snapToGrid w:val="0"/>
          <w:color w:val="auto"/>
        </w:rPr>
        <w:t>土壤环境评价范围见附图5-</w:t>
      </w:r>
      <w:r>
        <w:rPr>
          <w:rFonts w:hint="eastAsia"/>
          <w:snapToGrid w:val="0"/>
          <w:color w:val="auto"/>
        </w:rPr>
        <w:t>2</w:t>
      </w:r>
      <w:r>
        <w:rPr>
          <w:snapToGrid w:val="0"/>
          <w:color w:val="auto"/>
        </w:rPr>
        <w:t>。</w:t>
      </w:r>
    </w:p>
    <w:p w14:paraId="03C770B5">
      <w:pPr>
        <w:pStyle w:val="6"/>
        <w:rPr>
          <w:color w:val="auto"/>
        </w:rPr>
      </w:pPr>
      <w:bookmarkStart w:id="520" w:name="_Toc131167273"/>
      <w:bookmarkStart w:id="521" w:name="_Toc126863373"/>
      <w:bookmarkStart w:id="522" w:name="_Toc86141917"/>
      <w:bookmarkStart w:id="523" w:name="_Toc127192322"/>
      <w:bookmarkStart w:id="524" w:name="_Toc143099560"/>
      <w:r>
        <w:rPr>
          <w:color w:val="auto"/>
        </w:rPr>
        <w:t>环境风险</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153B7E8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评价等级</w:t>
      </w:r>
    </w:p>
    <w:p w14:paraId="26712841">
      <w:pPr>
        <w:pStyle w:val="276"/>
        <w:widowControl w:val="0"/>
        <w:spacing w:line="440" w:lineRule="exact"/>
        <w:ind w:firstLine="480"/>
        <w:jc w:val="both"/>
        <w:rPr>
          <w:snapToGrid w:val="0"/>
          <w:color w:val="auto"/>
          <w:lang w:bidi="zh-CN"/>
        </w:rPr>
      </w:pPr>
      <w:r>
        <w:rPr>
          <w:snapToGrid w:val="0"/>
          <w:color w:val="auto"/>
          <w:lang w:bidi="zh-CN"/>
        </w:rPr>
        <w:t>（1）风险潜势初判</w:t>
      </w:r>
    </w:p>
    <w:p w14:paraId="5E221616">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本项目施工期主要将井场柴油罐、试油罐车划分为危险单元。</w:t>
      </w:r>
    </w:p>
    <w:p w14:paraId="5CB626FA">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井场施工期设置柴油罐2座（单座有效容积30m</w:t>
      </w:r>
      <w:r>
        <w:rPr>
          <w:rFonts w:ascii="宋体" w:hAnsi="宋体" w:eastAsia="宋体" w:cs="Times New Roman"/>
          <w:color w:val="auto"/>
          <w:vertAlign w:val="superscript"/>
        </w:rPr>
        <w:t>3</w:t>
      </w:r>
      <w:r>
        <w:rPr>
          <w:rFonts w:ascii="宋体" w:hAnsi="宋体" w:eastAsia="宋体" w:cs="Times New Roman"/>
          <w:color w:val="auto"/>
        </w:rPr>
        <w:t>），柴油密度为 0.835t/m</w:t>
      </w:r>
      <w:r>
        <w:rPr>
          <w:rFonts w:ascii="宋体" w:hAnsi="宋体" w:eastAsia="宋体" w:cs="Times New Roman"/>
          <w:color w:val="auto"/>
          <w:vertAlign w:val="superscript"/>
        </w:rPr>
        <w:t>3</w:t>
      </w:r>
      <w:r>
        <w:rPr>
          <w:rFonts w:ascii="宋体" w:hAnsi="宋体" w:eastAsia="宋体" w:cs="Times New Roman"/>
          <w:color w:val="auto"/>
        </w:rPr>
        <w:t>，因此施工期井场柴油最大总储量为50.1t。</w:t>
      </w:r>
    </w:p>
    <w:p w14:paraId="53022E9E">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本项目试油产液储存于井场内罐车，试油时单井井场设2个25m</w:t>
      </w:r>
      <w:r>
        <w:rPr>
          <w:rFonts w:ascii="宋体" w:hAnsi="宋体" w:eastAsia="宋体" w:cs="Times New Roman"/>
          <w:color w:val="auto"/>
          <w:vertAlign w:val="superscript"/>
        </w:rPr>
        <w:t>3</w:t>
      </w:r>
      <w:r>
        <w:rPr>
          <w:rFonts w:ascii="宋体" w:hAnsi="宋体" w:eastAsia="宋体" w:cs="Times New Roman"/>
          <w:color w:val="auto"/>
        </w:rPr>
        <w:t>罐车，轮流作业，不同时在井场作业，且项目井场间距离较远，属于不在同一厂界范围内。原油密度为0.87g/cm</w:t>
      </w:r>
      <w:r>
        <w:rPr>
          <w:rFonts w:ascii="宋体" w:hAnsi="宋体" w:eastAsia="宋体" w:cs="Times New Roman"/>
          <w:color w:val="auto"/>
          <w:vertAlign w:val="superscript"/>
        </w:rPr>
        <w:t>3</w:t>
      </w:r>
      <w:r>
        <w:rPr>
          <w:rFonts w:ascii="宋体" w:hAnsi="宋体" w:eastAsia="宋体" w:cs="Times New Roman"/>
          <w:color w:val="auto"/>
        </w:rPr>
        <w:t>，原油综合含水最小为40%，则拉油罐车最大储油量为25×0.87×（1-40%）=13.05t，以最不利情况判定即储罐中全是伴生气情况，伴生气标态密度0.823kg/m</w:t>
      </w:r>
      <w:r>
        <w:rPr>
          <w:rFonts w:ascii="宋体" w:hAnsi="宋体" w:eastAsia="宋体" w:cs="Times New Roman"/>
          <w:color w:val="auto"/>
          <w:vertAlign w:val="superscript"/>
        </w:rPr>
        <w:t>3</w:t>
      </w:r>
      <w:r>
        <w:rPr>
          <w:rFonts w:ascii="宋体" w:hAnsi="宋体" w:eastAsia="宋体" w:cs="Times New Roman"/>
          <w:color w:val="auto"/>
        </w:rPr>
        <w:t>，则拉油罐车中天然气最大储量为25×0.823/1000=0.021t。</w:t>
      </w:r>
    </w:p>
    <w:p w14:paraId="15C34F86">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运营期主要将拉油点和集输管道作为危险单元，涉及的物质主要为原油和石油气（天然气），本项目</w:t>
      </w:r>
      <w:r>
        <w:rPr>
          <w:rFonts w:hint="eastAsia" w:ascii="宋体" w:hAnsi="宋体" w:eastAsia="宋体" w:cs="Times New Roman"/>
          <w:color w:val="auto"/>
        </w:rPr>
        <w:t>3</w:t>
      </w:r>
      <w:r>
        <w:rPr>
          <w:rFonts w:ascii="宋体" w:hAnsi="宋体" w:eastAsia="宋体" w:cs="Times New Roman"/>
          <w:color w:val="auto"/>
        </w:rPr>
        <w:t>座拉油点共建设1台80m</w:t>
      </w:r>
      <w:r>
        <w:rPr>
          <w:rFonts w:ascii="宋体" w:hAnsi="宋体" w:eastAsia="宋体" w:cs="Times New Roman"/>
          <w:color w:val="auto"/>
          <w:vertAlign w:val="superscript"/>
        </w:rPr>
        <w:t>3</w:t>
      </w:r>
      <w:r>
        <w:rPr>
          <w:rFonts w:ascii="宋体" w:hAnsi="宋体" w:eastAsia="宋体" w:cs="Times New Roman"/>
          <w:color w:val="auto"/>
        </w:rPr>
        <w:t>储罐，3台40m</w:t>
      </w:r>
      <w:r>
        <w:rPr>
          <w:rFonts w:ascii="宋体" w:hAnsi="宋体" w:eastAsia="宋体" w:cs="Times New Roman"/>
          <w:color w:val="auto"/>
          <w:vertAlign w:val="superscript"/>
        </w:rPr>
        <w:t>3</w:t>
      </w:r>
      <w:r>
        <w:rPr>
          <w:rFonts w:ascii="宋体" w:hAnsi="宋体" w:eastAsia="宋体" w:cs="Times New Roman"/>
          <w:color w:val="auto"/>
        </w:rPr>
        <w:t>储罐。原油密度为0.87g/cm</w:t>
      </w:r>
      <w:r>
        <w:rPr>
          <w:rFonts w:ascii="宋体" w:hAnsi="宋体" w:eastAsia="宋体" w:cs="Times New Roman"/>
          <w:color w:val="auto"/>
          <w:vertAlign w:val="superscript"/>
        </w:rPr>
        <w:t>3</w:t>
      </w:r>
      <w:r>
        <w:rPr>
          <w:rFonts w:ascii="宋体" w:hAnsi="宋体" w:eastAsia="宋体" w:cs="Times New Roman"/>
          <w:color w:val="auto"/>
        </w:rPr>
        <w:t>，原油综合含水最小为40%，则拉油点80m</w:t>
      </w:r>
      <w:r>
        <w:rPr>
          <w:rFonts w:ascii="宋体" w:hAnsi="宋体" w:eastAsia="宋体" w:cs="Times New Roman"/>
          <w:color w:val="auto"/>
          <w:vertAlign w:val="superscript"/>
        </w:rPr>
        <w:t>3</w:t>
      </w:r>
      <w:r>
        <w:rPr>
          <w:rFonts w:ascii="宋体" w:hAnsi="宋体" w:eastAsia="宋体" w:cs="Times New Roman"/>
          <w:color w:val="auto"/>
        </w:rPr>
        <w:t>储罐最大储油量为80×0.87×（1-40%）=41.76t，40m</w:t>
      </w:r>
      <w:r>
        <w:rPr>
          <w:rFonts w:ascii="宋体" w:hAnsi="宋体" w:eastAsia="宋体" w:cs="Times New Roman"/>
          <w:color w:val="auto"/>
          <w:vertAlign w:val="superscript"/>
        </w:rPr>
        <w:t>3</w:t>
      </w:r>
      <w:r>
        <w:rPr>
          <w:rFonts w:ascii="宋体" w:hAnsi="宋体" w:eastAsia="宋体" w:cs="Times New Roman"/>
          <w:color w:val="auto"/>
        </w:rPr>
        <w:t>储罐最大储油量为40×0.87×（1-40%）=20.88t。</w:t>
      </w:r>
    </w:p>
    <w:p w14:paraId="00CE7F48">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以最不利情况判定即储罐中全是伴生气情况，伴生气标态密度0.823kg/m</w:t>
      </w:r>
      <w:r>
        <w:rPr>
          <w:rFonts w:ascii="宋体" w:hAnsi="宋体" w:eastAsia="宋体" w:cs="Times New Roman"/>
          <w:color w:val="auto"/>
          <w:vertAlign w:val="superscript"/>
        </w:rPr>
        <w:t>3</w:t>
      </w:r>
      <w:r>
        <w:rPr>
          <w:rFonts w:ascii="宋体" w:hAnsi="宋体" w:eastAsia="宋体" w:cs="Times New Roman"/>
          <w:color w:val="auto"/>
        </w:rPr>
        <w:t>，则单个80m</w:t>
      </w:r>
      <w:r>
        <w:rPr>
          <w:rFonts w:ascii="宋体" w:hAnsi="宋体" w:eastAsia="宋体" w:cs="Times New Roman"/>
          <w:color w:val="auto"/>
          <w:vertAlign w:val="superscript"/>
        </w:rPr>
        <w:t>3</w:t>
      </w:r>
      <w:r>
        <w:rPr>
          <w:rFonts w:ascii="宋体" w:hAnsi="宋体" w:eastAsia="宋体" w:cs="Times New Roman"/>
          <w:color w:val="auto"/>
        </w:rPr>
        <w:t>储罐中天然气最大储量为80×0.823/1000=0.066t，单个40m</w:t>
      </w:r>
      <w:r>
        <w:rPr>
          <w:rFonts w:ascii="宋体" w:hAnsi="宋体" w:eastAsia="宋体" w:cs="Times New Roman"/>
          <w:color w:val="auto"/>
          <w:vertAlign w:val="superscript"/>
        </w:rPr>
        <w:t>3</w:t>
      </w:r>
      <w:r>
        <w:rPr>
          <w:rFonts w:ascii="宋体" w:hAnsi="宋体" w:eastAsia="宋体" w:cs="Times New Roman"/>
          <w:color w:val="auto"/>
        </w:rPr>
        <w:t>储罐中天然气最大储量为40×0.823/1000=0.033t，经计算，</w:t>
      </w:r>
      <w:r>
        <w:rPr>
          <w:rFonts w:hint="eastAsia" w:ascii="宋体" w:hAnsi="宋体" w:eastAsia="宋体" w:cs="Times New Roman"/>
          <w:color w:val="auto"/>
        </w:rPr>
        <w:t>3</w:t>
      </w:r>
      <w:r>
        <w:rPr>
          <w:rFonts w:ascii="宋体" w:hAnsi="宋体" w:eastAsia="宋体" w:cs="Times New Roman"/>
          <w:color w:val="auto"/>
        </w:rPr>
        <w:t>号拉油点2台储罐中最大储油量62.64t、最大储气量0.099t；单井拉油点均为1座储罐，最大储油量20.88t、最大储气量0.033t。</w:t>
      </w:r>
    </w:p>
    <w:p w14:paraId="0CF59818">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根据《建设项目环境风险评价技术导则》（HJ169-2018）附录C中要求，对于长输管线项目，按照两个截断阀室之间管段危险物质最大存在总量计算。本项目新建集油管道φ60×3.5-0.06km，位于两个截断阀之间最大管线为</w:t>
      </w:r>
      <w:r>
        <w:rPr>
          <w:rFonts w:hint="eastAsia" w:ascii="宋体" w:hAnsi="宋体" w:eastAsia="宋体" w:cs="Times New Roman"/>
          <w:color w:val="auto"/>
        </w:rPr>
        <w:t>3</w:t>
      </w:r>
      <w:r>
        <w:rPr>
          <w:rFonts w:ascii="宋体" w:hAnsi="宋体" w:eastAsia="宋体" w:cs="Times New Roman"/>
          <w:color w:val="auto"/>
        </w:rPr>
        <w:t>号平台井场至</w:t>
      </w:r>
      <w:r>
        <w:rPr>
          <w:rFonts w:hint="eastAsia" w:ascii="宋体" w:hAnsi="宋体" w:eastAsia="宋体" w:cs="Times New Roman"/>
          <w:color w:val="auto"/>
        </w:rPr>
        <w:t>3</w:t>
      </w:r>
      <w:r>
        <w:rPr>
          <w:rFonts w:ascii="宋体" w:hAnsi="宋体" w:eastAsia="宋体" w:cs="Times New Roman"/>
          <w:color w:val="auto"/>
        </w:rPr>
        <w:t>号拉油点管线φφ60×3.5-0.02km，原油密度为0.87g/cm</w:t>
      </w:r>
      <w:r>
        <w:rPr>
          <w:rFonts w:ascii="宋体" w:hAnsi="宋体" w:eastAsia="宋体" w:cs="Times New Roman"/>
          <w:color w:val="auto"/>
          <w:vertAlign w:val="superscript"/>
        </w:rPr>
        <w:t>3</w:t>
      </w:r>
      <w:r>
        <w:rPr>
          <w:rFonts w:ascii="宋体" w:hAnsi="宋体" w:eastAsia="宋体" w:cs="Times New Roman"/>
          <w:color w:val="auto"/>
        </w:rPr>
        <w:t>，原油综合含水最小为40%，则集油管线最大储油量为π(0.0265)</w:t>
      </w:r>
      <w:r>
        <w:rPr>
          <w:rFonts w:ascii="宋体" w:hAnsi="宋体" w:eastAsia="宋体" w:cs="Times New Roman"/>
          <w:color w:val="auto"/>
          <w:vertAlign w:val="superscript"/>
        </w:rPr>
        <w:t>2</w:t>
      </w:r>
      <w:r>
        <w:rPr>
          <w:rFonts w:ascii="宋体" w:hAnsi="宋体" w:eastAsia="宋体" w:cs="Times New Roman"/>
          <w:color w:val="auto"/>
        </w:rPr>
        <w:t>×20×0.87×（1-40%）=0.023t。伴生气标态密度0.823kg/m</w:t>
      </w:r>
      <w:r>
        <w:rPr>
          <w:rFonts w:ascii="宋体" w:hAnsi="宋体" w:eastAsia="宋体" w:cs="Times New Roman"/>
          <w:color w:val="auto"/>
          <w:vertAlign w:val="superscript"/>
        </w:rPr>
        <w:t>3</w:t>
      </w:r>
      <w:r>
        <w:rPr>
          <w:rFonts w:ascii="宋体" w:hAnsi="宋体" w:eastAsia="宋体" w:cs="Times New Roman"/>
          <w:color w:val="auto"/>
        </w:rPr>
        <w:t>，则管道中天然气最大储气量（以最不利情况考虑）为π(0.0265)</w:t>
      </w:r>
      <w:r>
        <w:rPr>
          <w:rFonts w:ascii="宋体" w:hAnsi="宋体" w:eastAsia="宋体" w:cs="Times New Roman"/>
          <w:color w:val="auto"/>
          <w:vertAlign w:val="superscript"/>
        </w:rPr>
        <w:t>2</w:t>
      </w:r>
      <w:r>
        <w:rPr>
          <w:rFonts w:ascii="宋体" w:hAnsi="宋体" w:eastAsia="宋体" w:cs="Times New Roman"/>
          <w:color w:val="auto"/>
        </w:rPr>
        <w:t>×20×0.823/1000=0.00003t。</w:t>
      </w:r>
    </w:p>
    <w:p w14:paraId="44D88745">
      <w:pPr>
        <w:pStyle w:val="276"/>
        <w:widowControl w:val="0"/>
        <w:spacing w:line="440" w:lineRule="exact"/>
        <w:ind w:firstLine="480"/>
        <w:jc w:val="both"/>
        <w:rPr>
          <w:color w:val="auto"/>
        </w:rPr>
      </w:pPr>
      <w:r>
        <w:rPr>
          <w:color w:val="auto"/>
          <w:kern w:val="2"/>
          <w:szCs w:val="20"/>
        </w:rPr>
        <w:t>根据</w:t>
      </w:r>
      <w:r>
        <w:rPr>
          <w:snapToGrid w:val="0"/>
          <w:color w:val="auto"/>
        </w:rPr>
        <w:t>《建设项目环境风险评价技术导则》</w:t>
      </w:r>
      <w:r>
        <w:rPr>
          <w:color w:val="auto"/>
          <w:kern w:val="2"/>
          <w:szCs w:val="20"/>
        </w:rPr>
        <w:t>（HJ169-2018），危险物质数量与临界量的比值（Q）计算式如下：</w:t>
      </w:r>
    </w:p>
    <w:p w14:paraId="41CA2A09">
      <w:pPr>
        <w:spacing w:line="440" w:lineRule="exact"/>
        <w:jc w:val="center"/>
        <w:rPr>
          <w:rFonts w:ascii="宋体" w:hAnsi="宋体" w:eastAsia="宋体" w:cs="Times New Roman"/>
          <w:color w:val="auto"/>
          <w:szCs w:val="20"/>
        </w:rPr>
      </w:pPr>
      <w:r>
        <w:rPr>
          <w:rFonts w:ascii="宋体" w:hAnsi="宋体" w:eastAsia="宋体" w:cs="Times New Roman"/>
          <w:color w:val="auto"/>
          <w:szCs w:val="20"/>
        </w:rPr>
        <w:t>Q＝q</w:t>
      </w:r>
      <w:r>
        <w:rPr>
          <w:rFonts w:ascii="宋体" w:hAnsi="宋体" w:eastAsia="宋体" w:cs="Times New Roman"/>
          <w:color w:val="auto"/>
          <w:szCs w:val="20"/>
          <w:vertAlign w:val="subscript"/>
        </w:rPr>
        <w:t>1</w:t>
      </w:r>
      <w:r>
        <w:rPr>
          <w:rFonts w:ascii="宋体" w:hAnsi="宋体" w:eastAsia="宋体" w:cs="Times New Roman"/>
          <w:color w:val="auto"/>
          <w:szCs w:val="20"/>
        </w:rPr>
        <w:t>/Q</w:t>
      </w:r>
      <w:r>
        <w:rPr>
          <w:rFonts w:ascii="宋体" w:hAnsi="宋体" w:eastAsia="宋体" w:cs="Times New Roman"/>
          <w:color w:val="auto"/>
          <w:szCs w:val="20"/>
          <w:vertAlign w:val="subscript"/>
        </w:rPr>
        <w:t>1</w:t>
      </w:r>
      <w:r>
        <w:rPr>
          <w:rFonts w:ascii="宋体" w:hAnsi="宋体" w:eastAsia="宋体" w:cs="Times New Roman"/>
          <w:color w:val="auto"/>
          <w:szCs w:val="20"/>
        </w:rPr>
        <w:t>＋q</w:t>
      </w:r>
      <w:r>
        <w:rPr>
          <w:rFonts w:ascii="宋体" w:hAnsi="宋体" w:eastAsia="宋体" w:cs="Times New Roman"/>
          <w:color w:val="auto"/>
          <w:szCs w:val="20"/>
          <w:vertAlign w:val="subscript"/>
        </w:rPr>
        <w:t>2</w:t>
      </w:r>
      <w:r>
        <w:rPr>
          <w:rFonts w:ascii="宋体" w:hAnsi="宋体" w:eastAsia="宋体" w:cs="Times New Roman"/>
          <w:color w:val="auto"/>
          <w:szCs w:val="20"/>
        </w:rPr>
        <w:t>/Q</w:t>
      </w:r>
      <w:r>
        <w:rPr>
          <w:rFonts w:ascii="宋体" w:hAnsi="宋体" w:eastAsia="宋体" w:cs="Times New Roman"/>
          <w:color w:val="auto"/>
          <w:szCs w:val="20"/>
          <w:vertAlign w:val="subscript"/>
        </w:rPr>
        <w:t>2</w:t>
      </w:r>
      <w:r>
        <w:rPr>
          <w:rFonts w:ascii="宋体" w:hAnsi="宋体" w:eastAsia="宋体" w:cs="Times New Roman"/>
          <w:color w:val="auto"/>
          <w:szCs w:val="20"/>
        </w:rPr>
        <w:t>＋…q</w:t>
      </w:r>
      <w:r>
        <w:rPr>
          <w:rFonts w:ascii="宋体" w:hAnsi="宋体" w:eastAsia="宋体" w:cs="Times New Roman"/>
          <w:color w:val="auto"/>
          <w:szCs w:val="20"/>
          <w:vertAlign w:val="subscript"/>
        </w:rPr>
        <w:t>n</w:t>
      </w:r>
      <w:r>
        <w:rPr>
          <w:rFonts w:ascii="宋体" w:hAnsi="宋体" w:eastAsia="宋体" w:cs="Times New Roman"/>
          <w:color w:val="auto"/>
          <w:szCs w:val="20"/>
        </w:rPr>
        <w:t>/Q</w:t>
      </w:r>
      <w:r>
        <w:rPr>
          <w:rFonts w:ascii="宋体" w:hAnsi="宋体" w:eastAsia="宋体" w:cs="Times New Roman"/>
          <w:color w:val="auto"/>
          <w:szCs w:val="20"/>
          <w:vertAlign w:val="subscript"/>
        </w:rPr>
        <w:t>n</w:t>
      </w:r>
    </w:p>
    <w:p w14:paraId="03BB73D7">
      <w:pPr>
        <w:pStyle w:val="276"/>
        <w:widowControl w:val="0"/>
        <w:spacing w:line="440" w:lineRule="exact"/>
        <w:ind w:firstLine="480"/>
        <w:jc w:val="both"/>
        <w:rPr>
          <w:color w:val="auto"/>
          <w:kern w:val="2"/>
          <w:szCs w:val="20"/>
        </w:rPr>
      </w:pPr>
      <w:r>
        <w:rPr>
          <w:color w:val="auto"/>
          <w:kern w:val="2"/>
          <w:szCs w:val="20"/>
        </w:rPr>
        <w:t>式中：q</w:t>
      </w:r>
      <w:r>
        <w:rPr>
          <w:color w:val="auto"/>
          <w:kern w:val="2"/>
          <w:szCs w:val="20"/>
          <w:vertAlign w:val="subscript"/>
        </w:rPr>
        <w:t>1</w:t>
      </w:r>
      <w:r>
        <w:rPr>
          <w:color w:val="auto"/>
          <w:kern w:val="2"/>
          <w:szCs w:val="20"/>
        </w:rPr>
        <w:t>，q</w:t>
      </w:r>
      <w:r>
        <w:rPr>
          <w:color w:val="auto"/>
          <w:kern w:val="2"/>
          <w:szCs w:val="20"/>
          <w:vertAlign w:val="subscript"/>
        </w:rPr>
        <w:t>2</w:t>
      </w:r>
      <w:r>
        <w:rPr>
          <w:color w:val="auto"/>
          <w:kern w:val="2"/>
          <w:szCs w:val="20"/>
        </w:rPr>
        <w:t>，…，q</w:t>
      </w:r>
      <w:r>
        <w:rPr>
          <w:color w:val="auto"/>
          <w:kern w:val="2"/>
          <w:szCs w:val="20"/>
          <w:vertAlign w:val="subscript"/>
        </w:rPr>
        <w:t>n</w:t>
      </w:r>
      <w:r>
        <w:rPr>
          <w:color w:val="auto"/>
          <w:kern w:val="2"/>
          <w:szCs w:val="20"/>
        </w:rPr>
        <w:t>——每种危险物质的最大存在总量，t；</w:t>
      </w:r>
    </w:p>
    <w:p w14:paraId="4957A70B">
      <w:pPr>
        <w:pStyle w:val="276"/>
        <w:widowControl w:val="0"/>
        <w:spacing w:line="440" w:lineRule="exact"/>
        <w:ind w:firstLine="480"/>
        <w:jc w:val="both"/>
        <w:rPr>
          <w:color w:val="auto"/>
          <w:kern w:val="2"/>
          <w:szCs w:val="20"/>
        </w:rPr>
      </w:pPr>
      <w:r>
        <w:rPr>
          <w:color w:val="auto"/>
          <w:kern w:val="2"/>
          <w:szCs w:val="20"/>
        </w:rPr>
        <w:t>Q</w:t>
      </w:r>
      <w:r>
        <w:rPr>
          <w:color w:val="auto"/>
          <w:kern w:val="2"/>
          <w:szCs w:val="20"/>
          <w:vertAlign w:val="subscript"/>
        </w:rPr>
        <w:t>1</w:t>
      </w:r>
      <w:r>
        <w:rPr>
          <w:color w:val="auto"/>
          <w:kern w:val="2"/>
          <w:szCs w:val="20"/>
        </w:rPr>
        <w:t>，Q</w:t>
      </w:r>
      <w:r>
        <w:rPr>
          <w:color w:val="auto"/>
          <w:kern w:val="2"/>
          <w:szCs w:val="20"/>
          <w:vertAlign w:val="subscript"/>
        </w:rPr>
        <w:t>2</w:t>
      </w:r>
      <w:r>
        <w:rPr>
          <w:color w:val="auto"/>
          <w:kern w:val="2"/>
          <w:szCs w:val="20"/>
        </w:rPr>
        <w:t>，…，Q</w:t>
      </w:r>
      <w:r>
        <w:rPr>
          <w:color w:val="auto"/>
          <w:kern w:val="2"/>
          <w:szCs w:val="20"/>
          <w:vertAlign w:val="subscript"/>
        </w:rPr>
        <w:t>n</w:t>
      </w:r>
      <w:r>
        <w:rPr>
          <w:color w:val="auto"/>
          <w:kern w:val="2"/>
          <w:szCs w:val="20"/>
        </w:rPr>
        <w:t>——每种危险物质的临界量，t；</w:t>
      </w:r>
    </w:p>
    <w:p w14:paraId="42B023B8">
      <w:pPr>
        <w:pStyle w:val="276"/>
        <w:widowControl w:val="0"/>
        <w:spacing w:line="440" w:lineRule="exact"/>
        <w:ind w:firstLine="480"/>
        <w:jc w:val="both"/>
        <w:rPr>
          <w:color w:val="auto"/>
          <w:kern w:val="2"/>
          <w:szCs w:val="20"/>
        </w:rPr>
      </w:pPr>
      <w:r>
        <w:rPr>
          <w:color w:val="auto"/>
          <w:kern w:val="2"/>
          <w:szCs w:val="20"/>
        </w:rPr>
        <w:t>项目所涉及的危险物质数量与临界量的比值计算结果及环境风险潜势判定见</w:t>
      </w:r>
      <w:r>
        <w:rPr>
          <w:color w:val="auto"/>
          <w:kern w:val="21"/>
          <w:lang w:val="zh-CN" w:bidi="zh-CN"/>
        </w:rPr>
        <w:fldChar w:fldCharType="begin"/>
      </w:r>
      <w:r>
        <w:rPr>
          <w:color w:val="auto"/>
          <w:kern w:val="2"/>
          <w:szCs w:val="20"/>
        </w:rPr>
        <w:instrText xml:space="preserve"> REF _Ref211958494 \h </w:instrText>
      </w:r>
      <w:r>
        <w:rPr>
          <w:color w:val="auto"/>
          <w:kern w:val="21"/>
          <w:lang w:val="zh-CN" w:bidi="zh-CN"/>
        </w:rPr>
        <w:instrText xml:space="preserve"> \* MERGEFORMAT </w:instrText>
      </w:r>
      <w:r>
        <w:rPr>
          <w:color w:val="auto"/>
          <w:kern w:val="21"/>
          <w:lang w:val="zh-CN" w:bidi="zh-CN"/>
        </w:rPr>
        <w:fldChar w:fldCharType="separate"/>
      </w:r>
      <w:r>
        <w:rPr>
          <w:color w:val="auto"/>
        </w:rPr>
        <w:t>表 2.6</w:t>
      </w:r>
      <w:r>
        <w:rPr>
          <w:color w:val="auto"/>
        </w:rPr>
        <w:noBreakHyphen/>
      </w:r>
      <w:r>
        <w:rPr>
          <w:color w:val="auto"/>
        </w:rPr>
        <w:t>16</w:t>
      </w:r>
      <w:r>
        <w:rPr>
          <w:color w:val="auto"/>
          <w:kern w:val="21"/>
          <w:lang w:val="zh-CN" w:bidi="zh-CN"/>
        </w:rPr>
        <w:fldChar w:fldCharType="end"/>
      </w:r>
      <w:r>
        <w:rPr>
          <w:color w:val="auto"/>
          <w:kern w:val="21"/>
          <w:lang w:bidi="zh-CN"/>
        </w:rPr>
        <w:t>、</w:t>
      </w:r>
      <w:r>
        <w:rPr>
          <w:color w:val="auto"/>
          <w:kern w:val="21"/>
          <w:lang w:bidi="zh-CN"/>
        </w:rPr>
        <w:fldChar w:fldCharType="begin"/>
      </w:r>
      <w:r>
        <w:rPr>
          <w:color w:val="auto"/>
          <w:kern w:val="21"/>
          <w:lang w:bidi="zh-CN"/>
        </w:rPr>
        <w:instrText xml:space="preserve"> REF _Ref211958497 \h  \* MERGEFORMAT </w:instrText>
      </w:r>
      <w:r>
        <w:rPr>
          <w:color w:val="auto"/>
          <w:kern w:val="21"/>
          <w:lang w:bidi="zh-CN"/>
        </w:rPr>
        <w:fldChar w:fldCharType="separate"/>
      </w:r>
      <w:r>
        <w:rPr>
          <w:color w:val="auto"/>
        </w:rPr>
        <w:t>表 2.6</w:t>
      </w:r>
      <w:r>
        <w:rPr>
          <w:color w:val="auto"/>
        </w:rPr>
        <w:noBreakHyphen/>
      </w:r>
      <w:r>
        <w:rPr>
          <w:color w:val="auto"/>
        </w:rPr>
        <w:t>17</w:t>
      </w:r>
      <w:r>
        <w:rPr>
          <w:color w:val="auto"/>
          <w:kern w:val="21"/>
          <w:lang w:bidi="zh-CN"/>
        </w:rPr>
        <w:fldChar w:fldCharType="end"/>
      </w:r>
      <w:r>
        <w:rPr>
          <w:color w:val="auto"/>
          <w:kern w:val="2"/>
          <w:szCs w:val="20"/>
        </w:rPr>
        <w:t>。</w:t>
      </w:r>
    </w:p>
    <w:p w14:paraId="7A5711B2">
      <w:pPr>
        <w:pStyle w:val="22"/>
        <w:spacing w:before="156"/>
        <w:rPr>
          <w:color w:val="auto"/>
        </w:rPr>
      </w:pPr>
      <w:bookmarkStart w:id="525" w:name="_Ref211958494"/>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16</w:t>
      </w:r>
      <w:r>
        <w:rPr>
          <w:color w:val="auto"/>
        </w:rPr>
        <w:fldChar w:fldCharType="end"/>
      </w:r>
      <w:bookmarkEnd w:id="525"/>
      <w:r>
        <w:rPr>
          <w:color w:val="auto"/>
        </w:rPr>
        <w:t>施工期危险物质数量与临界量的比值</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610"/>
        <w:gridCol w:w="1770"/>
        <w:gridCol w:w="1230"/>
        <w:gridCol w:w="2380"/>
        <w:gridCol w:w="1462"/>
        <w:gridCol w:w="1674"/>
      </w:tblGrid>
      <w:tr w14:paraId="5E573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40" w:hRule="atLeast"/>
          <w:tblHeader/>
          <w:jc w:val="center"/>
        </w:trPr>
        <w:tc>
          <w:tcPr>
            <w:tcW w:w="334" w:type="pct"/>
            <w:shd w:val="clear" w:color="auto" w:fill="auto"/>
            <w:tcMar>
              <w:left w:w="28" w:type="dxa"/>
              <w:right w:w="28" w:type="dxa"/>
            </w:tcMar>
            <w:vAlign w:val="center"/>
          </w:tcPr>
          <w:p w14:paraId="794EE148">
            <w:pPr>
              <w:jc w:val="center"/>
              <w:rPr>
                <w:rFonts w:ascii="宋体" w:hAnsi="宋体" w:eastAsia="宋体" w:cs="Times New Roman"/>
                <w:color w:val="auto"/>
              </w:rPr>
            </w:pPr>
            <w:r>
              <w:rPr>
                <w:rFonts w:ascii="宋体" w:hAnsi="宋体" w:eastAsia="宋体" w:cs="Times New Roman"/>
                <w:color w:val="auto"/>
              </w:rPr>
              <w:t>序号</w:t>
            </w:r>
          </w:p>
        </w:tc>
        <w:tc>
          <w:tcPr>
            <w:tcW w:w="970" w:type="pct"/>
            <w:shd w:val="clear" w:color="auto" w:fill="auto"/>
            <w:vAlign w:val="center"/>
          </w:tcPr>
          <w:p w14:paraId="62257EAA">
            <w:pPr>
              <w:jc w:val="center"/>
              <w:rPr>
                <w:rFonts w:ascii="宋体" w:hAnsi="宋体" w:eastAsia="宋体" w:cs="Times New Roman"/>
                <w:color w:val="auto"/>
              </w:rPr>
            </w:pPr>
            <w:r>
              <w:rPr>
                <w:rFonts w:ascii="宋体" w:hAnsi="宋体" w:eastAsia="宋体" w:cs="Times New Roman"/>
                <w:color w:val="auto"/>
              </w:rPr>
              <w:t>危险物质</w:t>
            </w:r>
          </w:p>
        </w:tc>
        <w:tc>
          <w:tcPr>
            <w:tcW w:w="674" w:type="pct"/>
            <w:shd w:val="clear" w:color="auto" w:fill="auto"/>
            <w:vAlign w:val="center"/>
          </w:tcPr>
          <w:p w14:paraId="5379352B">
            <w:pPr>
              <w:jc w:val="center"/>
              <w:rPr>
                <w:rFonts w:ascii="宋体" w:hAnsi="宋体" w:eastAsia="宋体" w:cs="Times New Roman"/>
                <w:color w:val="auto"/>
              </w:rPr>
            </w:pPr>
            <w:r>
              <w:rPr>
                <w:rFonts w:ascii="宋体" w:hAnsi="宋体" w:eastAsia="宋体" w:cs="Times New Roman"/>
                <w:color w:val="auto"/>
              </w:rPr>
              <w:t>CAS号</w:t>
            </w:r>
          </w:p>
        </w:tc>
        <w:tc>
          <w:tcPr>
            <w:tcW w:w="1304" w:type="pct"/>
            <w:shd w:val="clear" w:color="auto" w:fill="auto"/>
            <w:vAlign w:val="center"/>
          </w:tcPr>
          <w:p w14:paraId="6BF9A4A9">
            <w:pPr>
              <w:jc w:val="center"/>
              <w:rPr>
                <w:rFonts w:ascii="宋体" w:hAnsi="宋体" w:eastAsia="宋体" w:cs="Times New Roman"/>
                <w:color w:val="auto"/>
              </w:rPr>
            </w:pPr>
            <w:r>
              <w:rPr>
                <w:rFonts w:ascii="宋体" w:hAnsi="宋体" w:eastAsia="宋体" w:cs="Times New Roman"/>
                <w:color w:val="auto"/>
              </w:rPr>
              <w:t>最大存在总量</w:t>
            </w:r>
            <w:r>
              <w:rPr>
                <w:rFonts w:ascii="宋体" w:hAnsi="宋体" w:eastAsia="宋体" w:cs="Times New Roman"/>
                <w:color w:val="auto"/>
                <w:szCs w:val="20"/>
              </w:rPr>
              <w:t>q</w:t>
            </w:r>
            <w:r>
              <w:rPr>
                <w:rFonts w:ascii="宋体" w:hAnsi="宋体" w:eastAsia="宋体" w:cs="Times New Roman"/>
                <w:color w:val="auto"/>
                <w:vertAlign w:val="subscript"/>
              </w:rPr>
              <w:t>n</w:t>
            </w:r>
            <w:r>
              <w:rPr>
                <w:rFonts w:ascii="宋体" w:hAnsi="宋体" w:eastAsia="宋体" w:cs="Times New Roman"/>
                <w:color w:val="auto"/>
              </w:rPr>
              <w:t>（t）</w:t>
            </w:r>
          </w:p>
        </w:tc>
        <w:tc>
          <w:tcPr>
            <w:tcW w:w="801" w:type="pct"/>
            <w:shd w:val="clear" w:color="auto" w:fill="auto"/>
            <w:vAlign w:val="center"/>
          </w:tcPr>
          <w:p w14:paraId="632ED2C4">
            <w:pPr>
              <w:jc w:val="center"/>
              <w:rPr>
                <w:rFonts w:ascii="宋体" w:hAnsi="宋体" w:eastAsia="宋体" w:cs="Times New Roman"/>
                <w:color w:val="auto"/>
              </w:rPr>
            </w:pPr>
            <w:r>
              <w:rPr>
                <w:rFonts w:ascii="宋体" w:hAnsi="宋体" w:eastAsia="宋体" w:cs="Times New Roman"/>
                <w:color w:val="auto"/>
              </w:rPr>
              <w:t>临界量Q</w:t>
            </w:r>
            <w:r>
              <w:rPr>
                <w:rFonts w:ascii="宋体" w:hAnsi="宋体" w:eastAsia="宋体" w:cs="Times New Roman"/>
                <w:color w:val="auto"/>
                <w:vertAlign w:val="subscript"/>
              </w:rPr>
              <w:t>n</w:t>
            </w:r>
            <w:r>
              <w:rPr>
                <w:rFonts w:ascii="宋体" w:hAnsi="宋体" w:eastAsia="宋体" w:cs="Times New Roman"/>
                <w:color w:val="auto"/>
              </w:rPr>
              <w:t>（t）</w:t>
            </w:r>
          </w:p>
        </w:tc>
        <w:tc>
          <w:tcPr>
            <w:tcW w:w="917" w:type="pct"/>
            <w:shd w:val="clear" w:color="auto" w:fill="auto"/>
            <w:vAlign w:val="center"/>
          </w:tcPr>
          <w:p w14:paraId="16588E49">
            <w:pPr>
              <w:jc w:val="center"/>
              <w:rPr>
                <w:rFonts w:ascii="宋体" w:hAnsi="宋体" w:eastAsia="宋体" w:cs="Times New Roman"/>
                <w:color w:val="auto"/>
              </w:rPr>
            </w:pPr>
            <w:r>
              <w:rPr>
                <w:rFonts w:ascii="宋体" w:hAnsi="宋体" w:eastAsia="宋体" w:cs="Times New Roman"/>
                <w:color w:val="auto"/>
              </w:rPr>
              <w:t>物质Q值</w:t>
            </w:r>
          </w:p>
        </w:tc>
      </w:tr>
      <w:tr w14:paraId="54881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40" w:hRule="atLeast"/>
          <w:jc w:val="center"/>
        </w:trPr>
        <w:tc>
          <w:tcPr>
            <w:tcW w:w="334" w:type="pct"/>
            <w:shd w:val="clear" w:color="auto" w:fill="auto"/>
            <w:tcMar>
              <w:left w:w="28" w:type="dxa"/>
              <w:right w:w="28" w:type="dxa"/>
            </w:tcMar>
            <w:vAlign w:val="center"/>
          </w:tcPr>
          <w:p w14:paraId="53899B1C">
            <w:pPr>
              <w:jc w:val="center"/>
              <w:rPr>
                <w:rFonts w:ascii="宋体" w:hAnsi="宋体" w:eastAsia="宋体" w:cs="Times New Roman"/>
                <w:color w:val="auto"/>
              </w:rPr>
            </w:pPr>
            <w:r>
              <w:rPr>
                <w:rFonts w:ascii="宋体" w:hAnsi="宋体" w:eastAsia="宋体" w:cs="Times New Roman"/>
                <w:color w:val="auto"/>
              </w:rPr>
              <w:t>1</w:t>
            </w:r>
          </w:p>
        </w:tc>
        <w:tc>
          <w:tcPr>
            <w:tcW w:w="970" w:type="pct"/>
            <w:shd w:val="clear" w:color="auto" w:fill="auto"/>
            <w:vAlign w:val="center"/>
          </w:tcPr>
          <w:p w14:paraId="6110613A">
            <w:pPr>
              <w:jc w:val="center"/>
              <w:rPr>
                <w:rFonts w:ascii="宋体" w:hAnsi="宋体" w:eastAsia="宋体" w:cs="Times New Roman"/>
                <w:color w:val="auto"/>
              </w:rPr>
            </w:pPr>
            <w:r>
              <w:rPr>
                <w:rFonts w:ascii="宋体" w:hAnsi="宋体" w:eastAsia="宋体" w:cs="Times New Roman"/>
                <w:color w:val="auto"/>
              </w:rPr>
              <w:t>柴油</w:t>
            </w:r>
          </w:p>
        </w:tc>
        <w:tc>
          <w:tcPr>
            <w:tcW w:w="674" w:type="pct"/>
            <w:shd w:val="clear" w:color="auto" w:fill="auto"/>
            <w:vAlign w:val="center"/>
          </w:tcPr>
          <w:p w14:paraId="4C6EE907">
            <w:pPr>
              <w:jc w:val="center"/>
              <w:rPr>
                <w:rFonts w:ascii="宋体" w:hAnsi="宋体" w:eastAsia="宋体" w:cs="Times New Roman"/>
                <w:color w:val="auto"/>
              </w:rPr>
            </w:pPr>
            <w:r>
              <w:rPr>
                <w:rFonts w:ascii="宋体" w:hAnsi="宋体" w:eastAsia="宋体" w:cs="Times New Roman"/>
                <w:color w:val="auto"/>
              </w:rPr>
              <w:t>/</w:t>
            </w:r>
          </w:p>
        </w:tc>
        <w:tc>
          <w:tcPr>
            <w:tcW w:w="1304" w:type="pct"/>
            <w:shd w:val="clear" w:color="auto" w:fill="auto"/>
            <w:vAlign w:val="center"/>
          </w:tcPr>
          <w:p w14:paraId="55EE8E27">
            <w:pPr>
              <w:jc w:val="center"/>
              <w:rPr>
                <w:rFonts w:ascii="宋体" w:hAnsi="宋体" w:eastAsia="宋体" w:cs="Times New Roman"/>
                <w:color w:val="auto"/>
              </w:rPr>
            </w:pPr>
            <w:r>
              <w:rPr>
                <w:rFonts w:ascii="宋体" w:hAnsi="宋体" w:eastAsia="宋体" w:cs="Times New Roman"/>
                <w:color w:val="auto"/>
              </w:rPr>
              <w:t>50.1</w:t>
            </w:r>
          </w:p>
        </w:tc>
        <w:tc>
          <w:tcPr>
            <w:tcW w:w="801" w:type="pct"/>
            <w:shd w:val="clear" w:color="auto" w:fill="auto"/>
            <w:vAlign w:val="center"/>
          </w:tcPr>
          <w:p w14:paraId="3BD05B7D">
            <w:pPr>
              <w:jc w:val="center"/>
              <w:rPr>
                <w:rFonts w:ascii="宋体" w:hAnsi="宋体" w:eastAsia="宋体" w:cs="Times New Roman"/>
                <w:color w:val="auto"/>
              </w:rPr>
            </w:pPr>
            <w:r>
              <w:rPr>
                <w:rFonts w:ascii="宋体" w:hAnsi="宋体" w:eastAsia="宋体" w:cs="Times New Roman"/>
                <w:color w:val="auto"/>
              </w:rPr>
              <w:t>2500</w:t>
            </w:r>
          </w:p>
        </w:tc>
        <w:tc>
          <w:tcPr>
            <w:tcW w:w="917" w:type="pct"/>
            <w:shd w:val="clear" w:color="auto" w:fill="auto"/>
            <w:vAlign w:val="center"/>
          </w:tcPr>
          <w:p w14:paraId="4352A4C6">
            <w:pPr>
              <w:jc w:val="center"/>
              <w:rPr>
                <w:rFonts w:ascii="宋体" w:hAnsi="宋体" w:eastAsia="宋体" w:cs="Times New Roman"/>
                <w:color w:val="auto"/>
              </w:rPr>
            </w:pPr>
            <w:r>
              <w:rPr>
                <w:rFonts w:ascii="宋体" w:hAnsi="宋体" w:eastAsia="宋体" w:cs="Times New Roman"/>
                <w:color w:val="auto"/>
              </w:rPr>
              <w:t>0.02</w:t>
            </w:r>
          </w:p>
        </w:tc>
      </w:tr>
      <w:tr w14:paraId="04645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40" w:hRule="atLeast"/>
          <w:jc w:val="center"/>
        </w:trPr>
        <w:tc>
          <w:tcPr>
            <w:tcW w:w="334" w:type="pct"/>
            <w:shd w:val="clear" w:color="auto" w:fill="auto"/>
            <w:tcMar>
              <w:left w:w="28" w:type="dxa"/>
              <w:right w:w="28" w:type="dxa"/>
            </w:tcMar>
            <w:vAlign w:val="center"/>
          </w:tcPr>
          <w:p w14:paraId="04A7A85D">
            <w:pPr>
              <w:jc w:val="center"/>
              <w:rPr>
                <w:rFonts w:ascii="宋体" w:hAnsi="宋体" w:eastAsia="宋体" w:cs="Times New Roman"/>
                <w:color w:val="auto"/>
              </w:rPr>
            </w:pPr>
            <w:r>
              <w:rPr>
                <w:rFonts w:ascii="宋体" w:hAnsi="宋体" w:eastAsia="宋体" w:cs="Times New Roman"/>
                <w:color w:val="auto"/>
              </w:rPr>
              <w:t>2</w:t>
            </w:r>
          </w:p>
        </w:tc>
        <w:tc>
          <w:tcPr>
            <w:tcW w:w="970" w:type="pct"/>
            <w:shd w:val="clear" w:color="auto" w:fill="auto"/>
            <w:vAlign w:val="center"/>
          </w:tcPr>
          <w:p w14:paraId="2EF2A245">
            <w:pPr>
              <w:jc w:val="center"/>
              <w:rPr>
                <w:rFonts w:ascii="宋体" w:hAnsi="宋体" w:eastAsia="宋体" w:cs="Times New Roman"/>
                <w:color w:val="auto"/>
              </w:rPr>
            </w:pPr>
            <w:r>
              <w:rPr>
                <w:rFonts w:ascii="宋体" w:hAnsi="宋体" w:eastAsia="宋体" w:cs="Times New Roman"/>
                <w:color w:val="auto"/>
              </w:rPr>
              <w:t>原油（石油）</w:t>
            </w:r>
          </w:p>
        </w:tc>
        <w:tc>
          <w:tcPr>
            <w:tcW w:w="674" w:type="pct"/>
            <w:shd w:val="clear" w:color="auto" w:fill="auto"/>
            <w:vAlign w:val="center"/>
          </w:tcPr>
          <w:p w14:paraId="2D480A88">
            <w:pPr>
              <w:jc w:val="center"/>
              <w:rPr>
                <w:rFonts w:ascii="宋体" w:hAnsi="宋体" w:eastAsia="宋体" w:cs="Times New Roman"/>
                <w:color w:val="auto"/>
              </w:rPr>
            </w:pPr>
            <w:r>
              <w:rPr>
                <w:rFonts w:ascii="宋体" w:hAnsi="宋体" w:eastAsia="宋体" w:cs="Times New Roman"/>
                <w:color w:val="auto"/>
              </w:rPr>
              <w:t>/</w:t>
            </w:r>
          </w:p>
        </w:tc>
        <w:tc>
          <w:tcPr>
            <w:tcW w:w="1304" w:type="pct"/>
            <w:shd w:val="clear" w:color="auto" w:fill="auto"/>
            <w:vAlign w:val="center"/>
          </w:tcPr>
          <w:p w14:paraId="3FC8D89A">
            <w:pPr>
              <w:jc w:val="center"/>
              <w:rPr>
                <w:rFonts w:ascii="宋体" w:hAnsi="宋体" w:eastAsia="宋体" w:cs="Times New Roman"/>
                <w:color w:val="auto"/>
              </w:rPr>
            </w:pPr>
            <w:r>
              <w:rPr>
                <w:rFonts w:ascii="宋体" w:hAnsi="宋体" w:eastAsia="宋体" w:cs="Times New Roman"/>
                <w:color w:val="auto"/>
              </w:rPr>
              <w:t>13.05</w:t>
            </w:r>
          </w:p>
        </w:tc>
        <w:tc>
          <w:tcPr>
            <w:tcW w:w="801" w:type="pct"/>
            <w:shd w:val="clear" w:color="auto" w:fill="auto"/>
            <w:vAlign w:val="center"/>
          </w:tcPr>
          <w:p w14:paraId="172A5394">
            <w:pPr>
              <w:jc w:val="center"/>
              <w:rPr>
                <w:rFonts w:ascii="宋体" w:hAnsi="宋体" w:eastAsia="宋体" w:cs="Times New Roman"/>
                <w:color w:val="auto"/>
              </w:rPr>
            </w:pPr>
            <w:r>
              <w:rPr>
                <w:rFonts w:ascii="宋体" w:hAnsi="宋体" w:eastAsia="宋体" w:cs="Times New Roman"/>
                <w:color w:val="auto"/>
              </w:rPr>
              <w:t>2500</w:t>
            </w:r>
          </w:p>
        </w:tc>
        <w:tc>
          <w:tcPr>
            <w:tcW w:w="917" w:type="pct"/>
            <w:shd w:val="clear" w:color="auto" w:fill="auto"/>
            <w:vAlign w:val="center"/>
          </w:tcPr>
          <w:p w14:paraId="4DD5211E">
            <w:pPr>
              <w:jc w:val="center"/>
              <w:rPr>
                <w:rFonts w:ascii="宋体" w:hAnsi="宋体" w:eastAsia="宋体" w:cs="Times New Roman"/>
                <w:color w:val="auto"/>
              </w:rPr>
            </w:pPr>
            <w:r>
              <w:rPr>
                <w:rFonts w:ascii="宋体" w:hAnsi="宋体" w:eastAsia="宋体" w:cs="Times New Roman"/>
                <w:color w:val="auto"/>
              </w:rPr>
              <w:t>0.005</w:t>
            </w:r>
          </w:p>
        </w:tc>
      </w:tr>
      <w:tr w14:paraId="748E1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40" w:hRule="atLeast"/>
          <w:jc w:val="center"/>
        </w:trPr>
        <w:tc>
          <w:tcPr>
            <w:tcW w:w="334" w:type="pct"/>
            <w:shd w:val="clear" w:color="auto" w:fill="auto"/>
            <w:tcMar>
              <w:left w:w="28" w:type="dxa"/>
              <w:right w:w="28" w:type="dxa"/>
            </w:tcMar>
            <w:vAlign w:val="center"/>
          </w:tcPr>
          <w:p w14:paraId="18C11F42">
            <w:pPr>
              <w:jc w:val="center"/>
              <w:rPr>
                <w:rFonts w:ascii="宋体" w:hAnsi="宋体" w:eastAsia="宋体" w:cs="Times New Roman"/>
                <w:color w:val="auto"/>
              </w:rPr>
            </w:pPr>
            <w:r>
              <w:rPr>
                <w:rFonts w:ascii="宋体" w:hAnsi="宋体" w:eastAsia="宋体" w:cs="Times New Roman"/>
                <w:color w:val="auto"/>
              </w:rPr>
              <w:t>3</w:t>
            </w:r>
          </w:p>
        </w:tc>
        <w:tc>
          <w:tcPr>
            <w:tcW w:w="970" w:type="pct"/>
            <w:shd w:val="clear" w:color="auto" w:fill="auto"/>
            <w:vAlign w:val="center"/>
          </w:tcPr>
          <w:p w14:paraId="43D8D821">
            <w:pPr>
              <w:jc w:val="center"/>
              <w:rPr>
                <w:rFonts w:ascii="宋体" w:hAnsi="宋体" w:eastAsia="宋体" w:cs="Times New Roman"/>
                <w:color w:val="auto"/>
              </w:rPr>
            </w:pPr>
            <w:r>
              <w:rPr>
                <w:rFonts w:ascii="宋体" w:hAnsi="宋体" w:eastAsia="宋体" w:cs="Times New Roman"/>
                <w:color w:val="auto"/>
              </w:rPr>
              <w:t>天然气（甲烷）</w:t>
            </w:r>
          </w:p>
        </w:tc>
        <w:tc>
          <w:tcPr>
            <w:tcW w:w="674" w:type="pct"/>
            <w:shd w:val="clear" w:color="auto" w:fill="auto"/>
            <w:vAlign w:val="center"/>
          </w:tcPr>
          <w:p w14:paraId="70E849D2">
            <w:pPr>
              <w:jc w:val="center"/>
              <w:rPr>
                <w:rFonts w:ascii="宋体" w:hAnsi="宋体" w:eastAsia="宋体" w:cs="Times New Roman"/>
                <w:color w:val="auto"/>
              </w:rPr>
            </w:pPr>
            <w:r>
              <w:rPr>
                <w:rFonts w:ascii="宋体" w:hAnsi="宋体" w:eastAsia="宋体" w:cs="Times New Roman"/>
                <w:color w:val="auto"/>
              </w:rPr>
              <w:t>74-82-8</w:t>
            </w:r>
          </w:p>
        </w:tc>
        <w:tc>
          <w:tcPr>
            <w:tcW w:w="1304" w:type="pct"/>
            <w:shd w:val="clear" w:color="auto" w:fill="auto"/>
            <w:vAlign w:val="center"/>
          </w:tcPr>
          <w:p w14:paraId="1A64E358">
            <w:pPr>
              <w:jc w:val="center"/>
              <w:rPr>
                <w:rFonts w:ascii="宋体" w:hAnsi="宋体" w:eastAsia="宋体" w:cs="Times New Roman"/>
                <w:color w:val="auto"/>
              </w:rPr>
            </w:pPr>
            <w:r>
              <w:rPr>
                <w:rFonts w:ascii="宋体" w:hAnsi="宋体" w:eastAsia="宋体" w:cs="Times New Roman"/>
                <w:color w:val="auto"/>
              </w:rPr>
              <w:t>0.021</w:t>
            </w:r>
          </w:p>
        </w:tc>
        <w:tc>
          <w:tcPr>
            <w:tcW w:w="801" w:type="pct"/>
            <w:shd w:val="clear" w:color="auto" w:fill="auto"/>
            <w:vAlign w:val="center"/>
          </w:tcPr>
          <w:p w14:paraId="2B7269BB">
            <w:pPr>
              <w:jc w:val="center"/>
              <w:rPr>
                <w:rFonts w:ascii="宋体" w:hAnsi="宋体" w:eastAsia="宋体" w:cs="Times New Roman"/>
                <w:color w:val="auto"/>
              </w:rPr>
            </w:pPr>
            <w:r>
              <w:rPr>
                <w:rFonts w:ascii="宋体" w:hAnsi="宋体" w:eastAsia="宋体" w:cs="Times New Roman"/>
                <w:color w:val="auto"/>
              </w:rPr>
              <w:t>10</w:t>
            </w:r>
          </w:p>
        </w:tc>
        <w:tc>
          <w:tcPr>
            <w:tcW w:w="917" w:type="pct"/>
            <w:shd w:val="clear" w:color="auto" w:fill="auto"/>
            <w:vAlign w:val="center"/>
          </w:tcPr>
          <w:p w14:paraId="5F4EFEB4">
            <w:pPr>
              <w:jc w:val="center"/>
              <w:rPr>
                <w:rFonts w:ascii="宋体" w:hAnsi="宋体" w:eastAsia="宋体" w:cs="Times New Roman"/>
                <w:color w:val="auto"/>
              </w:rPr>
            </w:pPr>
            <w:r>
              <w:rPr>
                <w:rFonts w:ascii="宋体" w:hAnsi="宋体" w:eastAsia="宋体" w:cs="Times New Roman"/>
                <w:color w:val="auto"/>
              </w:rPr>
              <w:t>0.0021</w:t>
            </w:r>
          </w:p>
        </w:tc>
      </w:tr>
      <w:tr w14:paraId="2D9EB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40" w:hRule="atLeast"/>
          <w:jc w:val="center"/>
        </w:trPr>
        <w:tc>
          <w:tcPr>
            <w:tcW w:w="4083" w:type="pct"/>
            <w:gridSpan w:val="5"/>
            <w:shd w:val="clear" w:color="auto" w:fill="auto"/>
            <w:vAlign w:val="center"/>
          </w:tcPr>
          <w:p w14:paraId="0AD7F932">
            <w:pPr>
              <w:jc w:val="center"/>
              <w:rPr>
                <w:rFonts w:ascii="宋体" w:hAnsi="宋体" w:eastAsia="宋体" w:cs="Times New Roman"/>
                <w:color w:val="auto"/>
              </w:rPr>
            </w:pPr>
            <w:r>
              <w:rPr>
                <w:rFonts w:ascii="宋体" w:hAnsi="宋体" w:eastAsia="宋体" w:cs="Times New Roman"/>
                <w:color w:val="auto"/>
              </w:rPr>
              <w:t>项目Q=Σq</w:t>
            </w:r>
            <w:r>
              <w:rPr>
                <w:rFonts w:ascii="宋体" w:hAnsi="宋体" w:eastAsia="宋体" w:cs="Times New Roman"/>
                <w:color w:val="auto"/>
                <w:vertAlign w:val="subscript"/>
              </w:rPr>
              <w:t>n</w:t>
            </w:r>
            <w:r>
              <w:rPr>
                <w:rFonts w:ascii="宋体" w:hAnsi="宋体" w:eastAsia="宋体" w:cs="Times New Roman"/>
                <w:color w:val="auto"/>
              </w:rPr>
              <w:t>/Q</w:t>
            </w:r>
            <w:r>
              <w:rPr>
                <w:rFonts w:ascii="宋体" w:hAnsi="宋体" w:eastAsia="宋体" w:cs="Times New Roman"/>
                <w:color w:val="auto"/>
                <w:vertAlign w:val="subscript"/>
              </w:rPr>
              <w:t>n</w:t>
            </w:r>
          </w:p>
        </w:tc>
        <w:tc>
          <w:tcPr>
            <w:tcW w:w="917" w:type="pct"/>
            <w:shd w:val="clear" w:color="auto" w:fill="auto"/>
            <w:vAlign w:val="center"/>
          </w:tcPr>
          <w:p w14:paraId="1A7FA30C">
            <w:pPr>
              <w:jc w:val="center"/>
              <w:rPr>
                <w:rFonts w:ascii="宋体" w:hAnsi="宋体" w:eastAsia="宋体" w:cs="Times New Roman"/>
                <w:color w:val="auto"/>
              </w:rPr>
            </w:pPr>
            <w:r>
              <w:rPr>
                <w:rFonts w:ascii="宋体" w:hAnsi="宋体" w:eastAsia="宋体" w:cs="Times New Roman"/>
                <w:color w:val="auto"/>
              </w:rPr>
              <w:t>0.0271</w:t>
            </w:r>
          </w:p>
        </w:tc>
      </w:tr>
    </w:tbl>
    <w:p w14:paraId="66EEF4E0">
      <w:pPr>
        <w:pStyle w:val="22"/>
        <w:spacing w:before="156"/>
        <w:rPr>
          <w:color w:val="auto"/>
        </w:rPr>
      </w:pPr>
      <w:bookmarkStart w:id="526" w:name="_Ref211958497"/>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17</w:t>
      </w:r>
      <w:r>
        <w:rPr>
          <w:color w:val="auto"/>
        </w:rPr>
        <w:fldChar w:fldCharType="end"/>
      </w:r>
      <w:bookmarkEnd w:id="526"/>
      <w:r>
        <w:rPr>
          <w:color w:val="auto"/>
        </w:rPr>
        <w:t>运营期危险物质数量与临界量的比值</w:t>
      </w:r>
    </w:p>
    <w:tbl>
      <w:tblPr>
        <w:tblStyle w:val="81"/>
        <w:tblW w:w="5000" w:type="pct"/>
        <w:jc w:val="center"/>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8"/>
        <w:gridCol w:w="1385"/>
        <w:gridCol w:w="1570"/>
        <w:gridCol w:w="998"/>
        <w:gridCol w:w="1425"/>
        <w:gridCol w:w="1466"/>
        <w:gridCol w:w="1674"/>
      </w:tblGrid>
      <w:tr w14:paraId="6682D31E">
        <w:tblPrEx>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33" w:type="pct"/>
            <w:shd w:val="clear" w:color="auto" w:fill="auto"/>
            <w:tcMar>
              <w:left w:w="28" w:type="dxa"/>
              <w:right w:w="28" w:type="dxa"/>
            </w:tcMar>
            <w:vAlign w:val="center"/>
          </w:tcPr>
          <w:p w14:paraId="78351F65">
            <w:pPr>
              <w:jc w:val="center"/>
              <w:rPr>
                <w:rFonts w:ascii="宋体" w:hAnsi="宋体" w:eastAsia="宋体" w:cs="Times New Roman"/>
                <w:color w:val="auto"/>
              </w:rPr>
            </w:pPr>
            <w:r>
              <w:rPr>
                <w:rFonts w:ascii="宋体" w:hAnsi="宋体" w:eastAsia="宋体" w:cs="Times New Roman"/>
                <w:color w:val="auto"/>
              </w:rPr>
              <w:t>序号</w:t>
            </w:r>
          </w:p>
        </w:tc>
        <w:tc>
          <w:tcPr>
            <w:tcW w:w="759" w:type="pct"/>
            <w:shd w:val="clear" w:color="auto" w:fill="auto"/>
            <w:vAlign w:val="center"/>
          </w:tcPr>
          <w:p w14:paraId="290266B8">
            <w:pPr>
              <w:jc w:val="center"/>
              <w:rPr>
                <w:rFonts w:ascii="宋体" w:hAnsi="宋体" w:eastAsia="宋体" w:cs="Times New Roman"/>
                <w:color w:val="auto"/>
              </w:rPr>
            </w:pPr>
            <w:r>
              <w:rPr>
                <w:rFonts w:ascii="宋体" w:hAnsi="宋体" w:eastAsia="宋体" w:cs="Times New Roman"/>
                <w:color w:val="auto"/>
              </w:rPr>
              <w:t>危险单元</w:t>
            </w:r>
          </w:p>
        </w:tc>
        <w:tc>
          <w:tcPr>
            <w:tcW w:w="860" w:type="pct"/>
            <w:shd w:val="clear" w:color="auto" w:fill="auto"/>
            <w:vAlign w:val="center"/>
          </w:tcPr>
          <w:p w14:paraId="5C2B7297">
            <w:pPr>
              <w:jc w:val="center"/>
              <w:rPr>
                <w:rFonts w:ascii="宋体" w:hAnsi="宋体" w:eastAsia="宋体" w:cs="Times New Roman"/>
                <w:color w:val="auto"/>
              </w:rPr>
            </w:pPr>
            <w:r>
              <w:rPr>
                <w:rFonts w:ascii="宋体" w:hAnsi="宋体" w:eastAsia="宋体" w:cs="Times New Roman"/>
                <w:color w:val="auto"/>
              </w:rPr>
              <w:t>危险物质</w:t>
            </w:r>
          </w:p>
        </w:tc>
        <w:tc>
          <w:tcPr>
            <w:tcW w:w="547" w:type="pct"/>
            <w:shd w:val="clear" w:color="auto" w:fill="auto"/>
            <w:vAlign w:val="center"/>
          </w:tcPr>
          <w:p w14:paraId="09D7EB38">
            <w:pPr>
              <w:jc w:val="center"/>
              <w:rPr>
                <w:rFonts w:ascii="宋体" w:hAnsi="宋体" w:eastAsia="宋体" w:cs="Times New Roman"/>
                <w:color w:val="auto"/>
              </w:rPr>
            </w:pPr>
            <w:r>
              <w:rPr>
                <w:rFonts w:ascii="宋体" w:hAnsi="宋体" w:eastAsia="宋体" w:cs="Times New Roman"/>
                <w:color w:val="auto"/>
              </w:rPr>
              <w:t>CAS号</w:t>
            </w:r>
          </w:p>
        </w:tc>
        <w:tc>
          <w:tcPr>
            <w:tcW w:w="781" w:type="pct"/>
            <w:shd w:val="clear" w:color="auto" w:fill="auto"/>
            <w:vAlign w:val="center"/>
          </w:tcPr>
          <w:p w14:paraId="3B676716">
            <w:pPr>
              <w:jc w:val="center"/>
              <w:rPr>
                <w:rFonts w:ascii="宋体" w:hAnsi="宋体" w:eastAsia="宋体" w:cs="Times New Roman"/>
                <w:color w:val="auto"/>
              </w:rPr>
            </w:pPr>
            <w:r>
              <w:rPr>
                <w:rFonts w:ascii="宋体" w:hAnsi="宋体" w:eastAsia="宋体" w:cs="Times New Roman"/>
                <w:color w:val="auto"/>
              </w:rPr>
              <w:t>最大存在总量</w:t>
            </w:r>
            <w:r>
              <w:rPr>
                <w:rFonts w:ascii="宋体" w:hAnsi="宋体" w:eastAsia="宋体" w:cs="Times New Roman"/>
                <w:color w:val="auto"/>
                <w:szCs w:val="20"/>
              </w:rPr>
              <w:t>q</w:t>
            </w:r>
            <w:r>
              <w:rPr>
                <w:rFonts w:ascii="宋体" w:hAnsi="宋体" w:eastAsia="宋体" w:cs="Times New Roman"/>
                <w:color w:val="auto"/>
                <w:vertAlign w:val="subscript"/>
              </w:rPr>
              <w:t>n</w:t>
            </w:r>
            <w:r>
              <w:rPr>
                <w:rFonts w:ascii="宋体" w:hAnsi="宋体" w:eastAsia="宋体" w:cs="Times New Roman"/>
                <w:color w:val="auto"/>
              </w:rPr>
              <w:t>（t）</w:t>
            </w:r>
          </w:p>
        </w:tc>
        <w:tc>
          <w:tcPr>
            <w:tcW w:w="801" w:type="pct"/>
            <w:shd w:val="clear" w:color="auto" w:fill="auto"/>
            <w:vAlign w:val="center"/>
          </w:tcPr>
          <w:p w14:paraId="08EA831F">
            <w:pPr>
              <w:jc w:val="center"/>
              <w:rPr>
                <w:rFonts w:ascii="宋体" w:hAnsi="宋体" w:eastAsia="宋体" w:cs="Times New Roman"/>
                <w:color w:val="auto"/>
              </w:rPr>
            </w:pPr>
            <w:r>
              <w:rPr>
                <w:rFonts w:ascii="宋体" w:hAnsi="宋体" w:eastAsia="宋体" w:cs="Times New Roman"/>
                <w:color w:val="auto"/>
              </w:rPr>
              <w:t>临界量Q</w:t>
            </w:r>
            <w:r>
              <w:rPr>
                <w:rFonts w:ascii="宋体" w:hAnsi="宋体" w:eastAsia="宋体" w:cs="Times New Roman"/>
                <w:color w:val="auto"/>
                <w:vertAlign w:val="subscript"/>
              </w:rPr>
              <w:t>n</w:t>
            </w:r>
            <w:r>
              <w:rPr>
                <w:rFonts w:ascii="宋体" w:hAnsi="宋体" w:eastAsia="宋体" w:cs="Times New Roman"/>
                <w:color w:val="auto"/>
              </w:rPr>
              <w:t>（t）</w:t>
            </w:r>
          </w:p>
        </w:tc>
        <w:tc>
          <w:tcPr>
            <w:tcW w:w="917" w:type="pct"/>
            <w:shd w:val="clear" w:color="auto" w:fill="auto"/>
            <w:vAlign w:val="center"/>
          </w:tcPr>
          <w:p w14:paraId="27B504B8">
            <w:pPr>
              <w:jc w:val="center"/>
              <w:rPr>
                <w:rFonts w:ascii="宋体" w:hAnsi="宋体" w:eastAsia="宋体" w:cs="Times New Roman"/>
                <w:color w:val="auto"/>
              </w:rPr>
            </w:pPr>
            <w:r>
              <w:rPr>
                <w:rFonts w:ascii="宋体" w:hAnsi="宋体" w:eastAsia="宋体" w:cs="Times New Roman"/>
                <w:color w:val="auto"/>
              </w:rPr>
              <w:t>物质Q值</w:t>
            </w:r>
          </w:p>
        </w:tc>
      </w:tr>
      <w:tr w14:paraId="68164113">
        <w:tblPrEx>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33" w:type="pct"/>
            <w:vMerge w:val="restart"/>
            <w:shd w:val="clear" w:color="auto" w:fill="auto"/>
            <w:tcMar>
              <w:left w:w="28" w:type="dxa"/>
              <w:right w:w="28" w:type="dxa"/>
            </w:tcMar>
            <w:vAlign w:val="center"/>
          </w:tcPr>
          <w:p w14:paraId="43EA22A7">
            <w:pPr>
              <w:jc w:val="center"/>
              <w:rPr>
                <w:rFonts w:ascii="宋体" w:hAnsi="宋体" w:eastAsia="宋体" w:cs="Times New Roman"/>
                <w:color w:val="auto"/>
              </w:rPr>
            </w:pPr>
            <w:r>
              <w:rPr>
                <w:rFonts w:ascii="宋体" w:hAnsi="宋体" w:eastAsia="宋体" w:cs="Times New Roman"/>
                <w:color w:val="auto"/>
              </w:rPr>
              <w:t>1</w:t>
            </w:r>
          </w:p>
        </w:tc>
        <w:tc>
          <w:tcPr>
            <w:tcW w:w="759" w:type="pct"/>
            <w:vMerge w:val="restart"/>
            <w:shd w:val="clear" w:color="auto" w:fill="auto"/>
            <w:vAlign w:val="center"/>
          </w:tcPr>
          <w:p w14:paraId="08404B12">
            <w:pPr>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号拉油点</w:t>
            </w:r>
          </w:p>
        </w:tc>
        <w:tc>
          <w:tcPr>
            <w:tcW w:w="860" w:type="pct"/>
            <w:shd w:val="clear" w:color="auto" w:fill="auto"/>
            <w:vAlign w:val="center"/>
          </w:tcPr>
          <w:p w14:paraId="258CA252">
            <w:pPr>
              <w:jc w:val="center"/>
              <w:rPr>
                <w:rFonts w:ascii="宋体" w:hAnsi="宋体" w:eastAsia="宋体" w:cs="Times New Roman"/>
                <w:color w:val="auto"/>
              </w:rPr>
            </w:pPr>
            <w:r>
              <w:rPr>
                <w:rFonts w:ascii="宋体" w:hAnsi="宋体" w:eastAsia="宋体" w:cs="Times New Roman"/>
                <w:color w:val="auto"/>
              </w:rPr>
              <w:t>原油（石油）</w:t>
            </w:r>
          </w:p>
        </w:tc>
        <w:tc>
          <w:tcPr>
            <w:tcW w:w="547" w:type="pct"/>
            <w:shd w:val="clear" w:color="auto" w:fill="auto"/>
            <w:vAlign w:val="center"/>
          </w:tcPr>
          <w:p w14:paraId="1F3BE0C8">
            <w:pPr>
              <w:jc w:val="center"/>
              <w:rPr>
                <w:rFonts w:ascii="宋体" w:hAnsi="宋体" w:eastAsia="宋体" w:cs="Times New Roman"/>
                <w:color w:val="auto"/>
              </w:rPr>
            </w:pPr>
            <w:r>
              <w:rPr>
                <w:rFonts w:ascii="宋体" w:hAnsi="宋体" w:eastAsia="宋体" w:cs="Times New Roman"/>
                <w:color w:val="auto"/>
              </w:rPr>
              <w:t>/</w:t>
            </w:r>
          </w:p>
        </w:tc>
        <w:tc>
          <w:tcPr>
            <w:tcW w:w="781" w:type="pct"/>
            <w:shd w:val="clear" w:color="auto" w:fill="auto"/>
            <w:vAlign w:val="center"/>
          </w:tcPr>
          <w:p w14:paraId="572B2CF3">
            <w:pPr>
              <w:jc w:val="center"/>
              <w:rPr>
                <w:rFonts w:ascii="宋体" w:hAnsi="宋体" w:eastAsia="宋体" w:cs="Times New Roman"/>
                <w:color w:val="auto"/>
              </w:rPr>
            </w:pPr>
            <w:r>
              <w:rPr>
                <w:rFonts w:ascii="宋体" w:hAnsi="宋体" w:eastAsia="宋体" w:cs="Times New Roman"/>
                <w:color w:val="auto"/>
              </w:rPr>
              <w:t>62.64</w:t>
            </w:r>
          </w:p>
        </w:tc>
        <w:tc>
          <w:tcPr>
            <w:tcW w:w="801" w:type="pct"/>
            <w:shd w:val="clear" w:color="auto" w:fill="auto"/>
            <w:vAlign w:val="center"/>
          </w:tcPr>
          <w:p w14:paraId="2E684D61">
            <w:pPr>
              <w:jc w:val="center"/>
              <w:rPr>
                <w:rFonts w:ascii="宋体" w:hAnsi="宋体" w:eastAsia="宋体" w:cs="Times New Roman"/>
                <w:color w:val="auto"/>
              </w:rPr>
            </w:pPr>
            <w:r>
              <w:rPr>
                <w:rFonts w:ascii="宋体" w:hAnsi="宋体" w:eastAsia="宋体" w:cs="Times New Roman"/>
                <w:color w:val="auto"/>
              </w:rPr>
              <w:t>2500</w:t>
            </w:r>
          </w:p>
        </w:tc>
        <w:tc>
          <w:tcPr>
            <w:tcW w:w="917" w:type="pct"/>
            <w:shd w:val="clear" w:color="auto" w:fill="auto"/>
            <w:vAlign w:val="center"/>
          </w:tcPr>
          <w:p w14:paraId="726D59AD">
            <w:pPr>
              <w:jc w:val="center"/>
              <w:rPr>
                <w:rFonts w:ascii="宋体" w:hAnsi="宋体" w:eastAsia="宋体" w:cs="Times New Roman"/>
                <w:color w:val="auto"/>
              </w:rPr>
            </w:pPr>
            <w:r>
              <w:rPr>
                <w:rFonts w:ascii="宋体" w:hAnsi="宋体" w:eastAsia="宋体" w:cs="Times New Roman"/>
                <w:color w:val="auto"/>
              </w:rPr>
              <w:t>0.025</w:t>
            </w:r>
          </w:p>
        </w:tc>
      </w:tr>
      <w:tr w14:paraId="7D6815B6">
        <w:tblPrEx>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33" w:type="pct"/>
            <w:vMerge w:val="continue"/>
            <w:shd w:val="clear" w:color="auto" w:fill="auto"/>
            <w:tcMar>
              <w:left w:w="28" w:type="dxa"/>
              <w:right w:w="28" w:type="dxa"/>
            </w:tcMar>
            <w:vAlign w:val="center"/>
          </w:tcPr>
          <w:p w14:paraId="38CB603A">
            <w:pPr>
              <w:jc w:val="center"/>
              <w:rPr>
                <w:rFonts w:ascii="宋体" w:hAnsi="宋体" w:eastAsia="宋体" w:cs="Times New Roman"/>
                <w:color w:val="auto"/>
              </w:rPr>
            </w:pPr>
          </w:p>
        </w:tc>
        <w:tc>
          <w:tcPr>
            <w:tcW w:w="759" w:type="pct"/>
            <w:vMerge w:val="continue"/>
            <w:shd w:val="clear" w:color="auto" w:fill="auto"/>
            <w:vAlign w:val="center"/>
          </w:tcPr>
          <w:p w14:paraId="6D37613E">
            <w:pPr>
              <w:jc w:val="center"/>
              <w:rPr>
                <w:rFonts w:ascii="宋体" w:hAnsi="宋体" w:eastAsia="宋体" w:cs="Times New Roman"/>
                <w:color w:val="auto"/>
              </w:rPr>
            </w:pPr>
          </w:p>
        </w:tc>
        <w:tc>
          <w:tcPr>
            <w:tcW w:w="860" w:type="pct"/>
            <w:shd w:val="clear" w:color="auto" w:fill="auto"/>
            <w:vAlign w:val="center"/>
          </w:tcPr>
          <w:p w14:paraId="009A6F01">
            <w:pPr>
              <w:jc w:val="center"/>
              <w:rPr>
                <w:rFonts w:ascii="宋体" w:hAnsi="宋体" w:eastAsia="宋体" w:cs="Times New Roman"/>
                <w:color w:val="auto"/>
              </w:rPr>
            </w:pPr>
            <w:r>
              <w:rPr>
                <w:rFonts w:ascii="宋体" w:hAnsi="宋体" w:eastAsia="宋体" w:cs="Times New Roman"/>
                <w:color w:val="auto"/>
              </w:rPr>
              <w:t>天然气（甲烷）</w:t>
            </w:r>
          </w:p>
        </w:tc>
        <w:tc>
          <w:tcPr>
            <w:tcW w:w="547" w:type="pct"/>
            <w:shd w:val="clear" w:color="auto" w:fill="auto"/>
            <w:vAlign w:val="center"/>
          </w:tcPr>
          <w:p w14:paraId="3FA126FF">
            <w:pPr>
              <w:jc w:val="center"/>
              <w:rPr>
                <w:rFonts w:ascii="宋体" w:hAnsi="宋体" w:eastAsia="宋体" w:cs="Times New Roman"/>
                <w:color w:val="auto"/>
              </w:rPr>
            </w:pPr>
            <w:r>
              <w:rPr>
                <w:rFonts w:ascii="宋体" w:hAnsi="宋体" w:eastAsia="宋体" w:cs="Times New Roman"/>
                <w:color w:val="auto"/>
              </w:rPr>
              <w:t>74-82-8</w:t>
            </w:r>
          </w:p>
        </w:tc>
        <w:tc>
          <w:tcPr>
            <w:tcW w:w="781" w:type="pct"/>
            <w:shd w:val="clear" w:color="auto" w:fill="auto"/>
            <w:vAlign w:val="center"/>
          </w:tcPr>
          <w:p w14:paraId="2461CFDE">
            <w:pPr>
              <w:jc w:val="center"/>
              <w:rPr>
                <w:rFonts w:ascii="宋体" w:hAnsi="宋体" w:eastAsia="宋体" w:cs="Times New Roman"/>
                <w:color w:val="auto"/>
              </w:rPr>
            </w:pPr>
            <w:r>
              <w:rPr>
                <w:rFonts w:ascii="宋体" w:hAnsi="宋体" w:eastAsia="宋体" w:cs="Times New Roman"/>
                <w:color w:val="auto"/>
              </w:rPr>
              <w:t>0.099</w:t>
            </w:r>
          </w:p>
        </w:tc>
        <w:tc>
          <w:tcPr>
            <w:tcW w:w="801" w:type="pct"/>
            <w:shd w:val="clear" w:color="auto" w:fill="auto"/>
            <w:vAlign w:val="center"/>
          </w:tcPr>
          <w:p w14:paraId="577044AC">
            <w:pPr>
              <w:jc w:val="center"/>
              <w:rPr>
                <w:rFonts w:ascii="宋体" w:hAnsi="宋体" w:eastAsia="宋体" w:cs="Times New Roman"/>
                <w:color w:val="auto"/>
              </w:rPr>
            </w:pPr>
            <w:r>
              <w:rPr>
                <w:rFonts w:ascii="宋体" w:hAnsi="宋体" w:eastAsia="宋体" w:cs="Times New Roman"/>
                <w:color w:val="auto"/>
              </w:rPr>
              <w:t>10</w:t>
            </w:r>
          </w:p>
        </w:tc>
        <w:tc>
          <w:tcPr>
            <w:tcW w:w="917" w:type="pct"/>
            <w:shd w:val="clear" w:color="auto" w:fill="auto"/>
            <w:vAlign w:val="center"/>
          </w:tcPr>
          <w:p w14:paraId="09077033">
            <w:pPr>
              <w:jc w:val="center"/>
              <w:rPr>
                <w:rFonts w:ascii="宋体" w:hAnsi="宋体" w:eastAsia="宋体" w:cs="Times New Roman"/>
                <w:color w:val="auto"/>
              </w:rPr>
            </w:pPr>
            <w:r>
              <w:rPr>
                <w:rFonts w:ascii="宋体" w:hAnsi="宋体" w:eastAsia="宋体" w:cs="Times New Roman"/>
                <w:color w:val="auto"/>
              </w:rPr>
              <w:t>0.0099</w:t>
            </w:r>
          </w:p>
        </w:tc>
      </w:tr>
      <w:tr w14:paraId="600EAA35">
        <w:tblPrEx>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33" w:type="pct"/>
            <w:vMerge w:val="restart"/>
            <w:shd w:val="clear" w:color="auto" w:fill="auto"/>
            <w:tcMar>
              <w:left w:w="28" w:type="dxa"/>
              <w:right w:w="28" w:type="dxa"/>
            </w:tcMar>
            <w:vAlign w:val="center"/>
          </w:tcPr>
          <w:p w14:paraId="1D15E85F">
            <w:pPr>
              <w:jc w:val="center"/>
              <w:rPr>
                <w:rFonts w:ascii="宋体" w:hAnsi="宋体" w:eastAsia="宋体" w:cs="Times New Roman"/>
                <w:color w:val="auto"/>
              </w:rPr>
            </w:pPr>
            <w:r>
              <w:rPr>
                <w:rFonts w:ascii="宋体" w:hAnsi="宋体" w:eastAsia="宋体" w:cs="Times New Roman"/>
                <w:color w:val="auto"/>
              </w:rPr>
              <w:t>2</w:t>
            </w:r>
          </w:p>
        </w:tc>
        <w:tc>
          <w:tcPr>
            <w:tcW w:w="759" w:type="pct"/>
            <w:vMerge w:val="restart"/>
            <w:shd w:val="clear" w:color="auto" w:fill="auto"/>
            <w:vAlign w:val="center"/>
          </w:tcPr>
          <w:p w14:paraId="6C8044B9">
            <w:pPr>
              <w:jc w:val="center"/>
              <w:rPr>
                <w:rFonts w:ascii="宋体" w:hAnsi="宋体" w:eastAsia="宋体" w:cs="Times New Roman"/>
                <w:color w:val="auto"/>
              </w:rPr>
            </w:pPr>
            <w:r>
              <w:rPr>
                <w:rFonts w:ascii="宋体" w:hAnsi="宋体" w:eastAsia="宋体" w:cs="Times New Roman"/>
                <w:color w:val="auto"/>
              </w:rPr>
              <w:t>2号拉油点</w:t>
            </w:r>
          </w:p>
        </w:tc>
        <w:tc>
          <w:tcPr>
            <w:tcW w:w="860" w:type="pct"/>
            <w:shd w:val="clear" w:color="auto" w:fill="auto"/>
            <w:vAlign w:val="center"/>
          </w:tcPr>
          <w:p w14:paraId="0FD9609A">
            <w:pPr>
              <w:jc w:val="center"/>
              <w:rPr>
                <w:rFonts w:ascii="宋体" w:hAnsi="宋体" w:eastAsia="宋体" w:cs="Times New Roman"/>
                <w:color w:val="auto"/>
              </w:rPr>
            </w:pPr>
            <w:r>
              <w:rPr>
                <w:rFonts w:ascii="宋体" w:hAnsi="宋体" w:eastAsia="宋体" w:cs="Times New Roman"/>
                <w:color w:val="auto"/>
              </w:rPr>
              <w:t>原油（石油）</w:t>
            </w:r>
          </w:p>
        </w:tc>
        <w:tc>
          <w:tcPr>
            <w:tcW w:w="547" w:type="pct"/>
            <w:shd w:val="clear" w:color="auto" w:fill="auto"/>
            <w:vAlign w:val="center"/>
          </w:tcPr>
          <w:p w14:paraId="215B9CEF">
            <w:pPr>
              <w:jc w:val="center"/>
              <w:rPr>
                <w:rFonts w:ascii="宋体" w:hAnsi="宋体" w:eastAsia="宋体" w:cs="Times New Roman"/>
                <w:color w:val="auto"/>
              </w:rPr>
            </w:pPr>
            <w:r>
              <w:rPr>
                <w:rFonts w:ascii="宋体" w:hAnsi="宋体" w:eastAsia="宋体" w:cs="Times New Roman"/>
                <w:color w:val="auto"/>
              </w:rPr>
              <w:t>/</w:t>
            </w:r>
          </w:p>
        </w:tc>
        <w:tc>
          <w:tcPr>
            <w:tcW w:w="781" w:type="pct"/>
            <w:shd w:val="clear" w:color="auto" w:fill="auto"/>
            <w:vAlign w:val="center"/>
          </w:tcPr>
          <w:p w14:paraId="52A03E03">
            <w:pPr>
              <w:jc w:val="center"/>
              <w:rPr>
                <w:rFonts w:ascii="宋体" w:hAnsi="宋体" w:eastAsia="宋体" w:cs="Times New Roman"/>
                <w:color w:val="auto"/>
              </w:rPr>
            </w:pPr>
            <w:r>
              <w:rPr>
                <w:rFonts w:ascii="宋体" w:hAnsi="宋体" w:eastAsia="宋体" w:cs="Times New Roman"/>
                <w:color w:val="auto"/>
              </w:rPr>
              <w:t>20.88</w:t>
            </w:r>
          </w:p>
        </w:tc>
        <w:tc>
          <w:tcPr>
            <w:tcW w:w="801" w:type="pct"/>
            <w:shd w:val="clear" w:color="auto" w:fill="auto"/>
            <w:vAlign w:val="center"/>
          </w:tcPr>
          <w:p w14:paraId="6877D3FA">
            <w:pPr>
              <w:jc w:val="center"/>
              <w:rPr>
                <w:rFonts w:ascii="宋体" w:hAnsi="宋体" w:eastAsia="宋体" w:cs="Times New Roman"/>
                <w:color w:val="auto"/>
              </w:rPr>
            </w:pPr>
            <w:r>
              <w:rPr>
                <w:rFonts w:ascii="宋体" w:hAnsi="宋体" w:eastAsia="宋体" w:cs="Times New Roman"/>
                <w:color w:val="auto"/>
              </w:rPr>
              <w:t>2500</w:t>
            </w:r>
          </w:p>
        </w:tc>
        <w:tc>
          <w:tcPr>
            <w:tcW w:w="917" w:type="pct"/>
            <w:shd w:val="clear" w:color="auto" w:fill="auto"/>
            <w:vAlign w:val="center"/>
          </w:tcPr>
          <w:p w14:paraId="580C0452">
            <w:pPr>
              <w:jc w:val="center"/>
              <w:rPr>
                <w:rFonts w:ascii="宋体" w:hAnsi="宋体" w:eastAsia="宋体" w:cs="Times New Roman"/>
                <w:color w:val="auto"/>
              </w:rPr>
            </w:pPr>
            <w:r>
              <w:rPr>
                <w:rFonts w:ascii="宋体" w:hAnsi="宋体" w:eastAsia="宋体" w:cs="Times New Roman"/>
                <w:color w:val="auto"/>
              </w:rPr>
              <w:t>0.008</w:t>
            </w:r>
          </w:p>
        </w:tc>
      </w:tr>
      <w:tr w14:paraId="771F9689">
        <w:tblPrEx>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33" w:type="pct"/>
            <w:vMerge w:val="continue"/>
            <w:shd w:val="clear" w:color="auto" w:fill="auto"/>
            <w:tcMar>
              <w:left w:w="28" w:type="dxa"/>
              <w:right w:w="28" w:type="dxa"/>
            </w:tcMar>
            <w:vAlign w:val="center"/>
          </w:tcPr>
          <w:p w14:paraId="2DA4AD17">
            <w:pPr>
              <w:jc w:val="center"/>
              <w:rPr>
                <w:rFonts w:ascii="宋体" w:hAnsi="宋体" w:eastAsia="宋体" w:cs="Times New Roman"/>
                <w:color w:val="auto"/>
              </w:rPr>
            </w:pPr>
          </w:p>
        </w:tc>
        <w:tc>
          <w:tcPr>
            <w:tcW w:w="759" w:type="pct"/>
            <w:vMerge w:val="continue"/>
            <w:shd w:val="clear" w:color="auto" w:fill="auto"/>
            <w:vAlign w:val="center"/>
          </w:tcPr>
          <w:p w14:paraId="21910C2C">
            <w:pPr>
              <w:jc w:val="center"/>
              <w:rPr>
                <w:rFonts w:ascii="宋体" w:hAnsi="宋体" w:eastAsia="宋体" w:cs="Times New Roman"/>
                <w:color w:val="auto"/>
              </w:rPr>
            </w:pPr>
          </w:p>
        </w:tc>
        <w:tc>
          <w:tcPr>
            <w:tcW w:w="860" w:type="pct"/>
            <w:shd w:val="clear" w:color="auto" w:fill="auto"/>
            <w:vAlign w:val="center"/>
          </w:tcPr>
          <w:p w14:paraId="548CAC08">
            <w:pPr>
              <w:jc w:val="center"/>
              <w:rPr>
                <w:rFonts w:ascii="宋体" w:hAnsi="宋体" w:eastAsia="宋体" w:cs="Times New Roman"/>
                <w:color w:val="auto"/>
              </w:rPr>
            </w:pPr>
            <w:r>
              <w:rPr>
                <w:rFonts w:ascii="宋体" w:hAnsi="宋体" w:eastAsia="宋体" w:cs="Times New Roman"/>
                <w:color w:val="auto"/>
              </w:rPr>
              <w:t>天然气（甲烷）</w:t>
            </w:r>
          </w:p>
        </w:tc>
        <w:tc>
          <w:tcPr>
            <w:tcW w:w="547" w:type="pct"/>
            <w:shd w:val="clear" w:color="auto" w:fill="auto"/>
            <w:vAlign w:val="center"/>
          </w:tcPr>
          <w:p w14:paraId="33B083A7">
            <w:pPr>
              <w:jc w:val="center"/>
              <w:rPr>
                <w:rFonts w:ascii="宋体" w:hAnsi="宋体" w:eastAsia="宋体" w:cs="Times New Roman"/>
                <w:color w:val="auto"/>
              </w:rPr>
            </w:pPr>
            <w:r>
              <w:rPr>
                <w:rFonts w:ascii="宋体" w:hAnsi="宋体" w:eastAsia="宋体" w:cs="Times New Roman"/>
                <w:color w:val="auto"/>
              </w:rPr>
              <w:t>74-82-8</w:t>
            </w:r>
          </w:p>
        </w:tc>
        <w:tc>
          <w:tcPr>
            <w:tcW w:w="781" w:type="pct"/>
            <w:shd w:val="clear" w:color="auto" w:fill="auto"/>
            <w:vAlign w:val="center"/>
          </w:tcPr>
          <w:p w14:paraId="15B761DB">
            <w:pPr>
              <w:jc w:val="center"/>
              <w:rPr>
                <w:rFonts w:ascii="宋体" w:hAnsi="宋体" w:eastAsia="宋体" w:cs="Times New Roman"/>
                <w:color w:val="auto"/>
              </w:rPr>
            </w:pPr>
            <w:r>
              <w:rPr>
                <w:rFonts w:ascii="宋体" w:hAnsi="宋体" w:eastAsia="宋体" w:cs="Times New Roman"/>
                <w:color w:val="auto"/>
              </w:rPr>
              <w:t>0.033</w:t>
            </w:r>
          </w:p>
        </w:tc>
        <w:tc>
          <w:tcPr>
            <w:tcW w:w="801" w:type="pct"/>
            <w:shd w:val="clear" w:color="auto" w:fill="auto"/>
            <w:vAlign w:val="center"/>
          </w:tcPr>
          <w:p w14:paraId="3731CD46">
            <w:pPr>
              <w:jc w:val="center"/>
              <w:rPr>
                <w:rFonts w:ascii="宋体" w:hAnsi="宋体" w:eastAsia="宋体" w:cs="Times New Roman"/>
                <w:color w:val="auto"/>
              </w:rPr>
            </w:pPr>
            <w:r>
              <w:rPr>
                <w:rFonts w:ascii="宋体" w:hAnsi="宋体" w:eastAsia="宋体" w:cs="Times New Roman"/>
                <w:color w:val="auto"/>
              </w:rPr>
              <w:t>10</w:t>
            </w:r>
          </w:p>
        </w:tc>
        <w:tc>
          <w:tcPr>
            <w:tcW w:w="917" w:type="pct"/>
            <w:shd w:val="clear" w:color="auto" w:fill="auto"/>
            <w:vAlign w:val="center"/>
          </w:tcPr>
          <w:p w14:paraId="0C9CD18C">
            <w:pPr>
              <w:jc w:val="center"/>
              <w:rPr>
                <w:rFonts w:ascii="宋体" w:hAnsi="宋体" w:eastAsia="宋体" w:cs="Times New Roman"/>
                <w:color w:val="auto"/>
              </w:rPr>
            </w:pPr>
            <w:r>
              <w:rPr>
                <w:rFonts w:ascii="宋体" w:hAnsi="宋体" w:eastAsia="宋体" w:cs="Times New Roman"/>
                <w:color w:val="auto"/>
              </w:rPr>
              <w:t>0.0033</w:t>
            </w:r>
          </w:p>
        </w:tc>
      </w:tr>
      <w:tr w14:paraId="4DD212E8">
        <w:tblPrEx>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33" w:type="pct"/>
            <w:vMerge w:val="restart"/>
            <w:shd w:val="clear" w:color="auto" w:fill="auto"/>
            <w:tcMar>
              <w:left w:w="28" w:type="dxa"/>
              <w:right w:w="28" w:type="dxa"/>
            </w:tcMar>
            <w:vAlign w:val="center"/>
          </w:tcPr>
          <w:p w14:paraId="11DF0C32">
            <w:pPr>
              <w:jc w:val="center"/>
              <w:rPr>
                <w:rFonts w:ascii="宋体" w:hAnsi="宋体" w:eastAsia="宋体" w:cs="Times New Roman"/>
                <w:color w:val="auto"/>
              </w:rPr>
            </w:pPr>
            <w:r>
              <w:rPr>
                <w:rFonts w:ascii="宋体" w:hAnsi="宋体" w:eastAsia="宋体" w:cs="Times New Roman"/>
                <w:color w:val="auto"/>
              </w:rPr>
              <w:t>3</w:t>
            </w:r>
          </w:p>
        </w:tc>
        <w:tc>
          <w:tcPr>
            <w:tcW w:w="759" w:type="pct"/>
            <w:vMerge w:val="restart"/>
            <w:shd w:val="clear" w:color="auto" w:fill="auto"/>
            <w:vAlign w:val="center"/>
          </w:tcPr>
          <w:p w14:paraId="34E3888C">
            <w:pPr>
              <w:jc w:val="center"/>
              <w:rPr>
                <w:rFonts w:ascii="宋体" w:hAnsi="宋体" w:eastAsia="宋体" w:cs="Times New Roman"/>
                <w:color w:val="auto"/>
              </w:rPr>
            </w:pPr>
            <w:r>
              <w:rPr>
                <w:rFonts w:hint="eastAsia" w:ascii="宋体" w:hAnsi="宋体" w:eastAsia="宋体" w:cs="Times New Roman"/>
                <w:color w:val="auto"/>
              </w:rPr>
              <w:t>1</w:t>
            </w:r>
            <w:r>
              <w:rPr>
                <w:rFonts w:ascii="宋体" w:hAnsi="宋体" w:eastAsia="宋体" w:cs="Times New Roman"/>
                <w:color w:val="auto"/>
              </w:rPr>
              <w:t>号拉油点</w:t>
            </w:r>
          </w:p>
        </w:tc>
        <w:tc>
          <w:tcPr>
            <w:tcW w:w="860" w:type="pct"/>
            <w:shd w:val="clear" w:color="auto" w:fill="auto"/>
            <w:vAlign w:val="center"/>
          </w:tcPr>
          <w:p w14:paraId="17FA270C">
            <w:pPr>
              <w:jc w:val="center"/>
              <w:rPr>
                <w:rFonts w:ascii="宋体" w:hAnsi="宋体" w:eastAsia="宋体" w:cs="Times New Roman"/>
                <w:color w:val="auto"/>
              </w:rPr>
            </w:pPr>
            <w:r>
              <w:rPr>
                <w:rFonts w:ascii="宋体" w:hAnsi="宋体" w:eastAsia="宋体" w:cs="Times New Roman"/>
                <w:color w:val="auto"/>
              </w:rPr>
              <w:t>原油（石油）</w:t>
            </w:r>
          </w:p>
        </w:tc>
        <w:tc>
          <w:tcPr>
            <w:tcW w:w="547" w:type="pct"/>
            <w:shd w:val="clear" w:color="auto" w:fill="auto"/>
            <w:vAlign w:val="center"/>
          </w:tcPr>
          <w:p w14:paraId="72B8B612">
            <w:pPr>
              <w:jc w:val="center"/>
              <w:rPr>
                <w:rFonts w:ascii="宋体" w:hAnsi="宋体" w:eastAsia="宋体" w:cs="Times New Roman"/>
                <w:color w:val="auto"/>
              </w:rPr>
            </w:pPr>
            <w:r>
              <w:rPr>
                <w:rFonts w:ascii="宋体" w:hAnsi="宋体" w:eastAsia="宋体" w:cs="Times New Roman"/>
                <w:color w:val="auto"/>
              </w:rPr>
              <w:t>/</w:t>
            </w:r>
          </w:p>
        </w:tc>
        <w:tc>
          <w:tcPr>
            <w:tcW w:w="781" w:type="pct"/>
            <w:shd w:val="clear" w:color="auto" w:fill="auto"/>
            <w:vAlign w:val="center"/>
          </w:tcPr>
          <w:p w14:paraId="332DD204">
            <w:pPr>
              <w:jc w:val="center"/>
              <w:rPr>
                <w:rFonts w:ascii="宋体" w:hAnsi="宋体" w:eastAsia="宋体" w:cs="Times New Roman"/>
                <w:color w:val="auto"/>
              </w:rPr>
            </w:pPr>
            <w:r>
              <w:rPr>
                <w:rFonts w:ascii="宋体" w:hAnsi="宋体" w:eastAsia="宋体" w:cs="Times New Roman"/>
                <w:color w:val="auto"/>
              </w:rPr>
              <w:t>20.88</w:t>
            </w:r>
          </w:p>
        </w:tc>
        <w:tc>
          <w:tcPr>
            <w:tcW w:w="801" w:type="pct"/>
            <w:shd w:val="clear" w:color="auto" w:fill="auto"/>
            <w:vAlign w:val="center"/>
          </w:tcPr>
          <w:p w14:paraId="7FDEB87E">
            <w:pPr>
              <w:jc w:val="center"/>
              <w:rPr>
                <w:rFonts w:ascii="宋体" w:hAnsi="宋体" w:eastAsia="宋体" w:cs="Times New Roman"/>
                <w:color w:val="auto"/>
              </w:rPr>
            </w:pPr>
            <w:r>
              <w:rPr>
                <w:rFonts w:ascii="宋体" w:hAnsi="宋体" w:eastAsia="宋体" w:cs="Times New Roman"/>
                <w:color w:val="auto"/>
              </w:rPr>
              <w:t>2500</w:t>
            </w:r>
          </w:p>
        </w:tc>
        <w:tc>
          <w:tcPr>
            <w:tcW w:w="917" w:type="pct"/>
            <w:shd w:val="clear" w:color="auto" w:fill="auto"/>
            <w:vAlign w:val="center"/>
          </w:tcPr>
          <w:p w14:paraId="1E58C032">
            <w:pPr>
              <w:jc w:val="center"/>
              <w:rPr>
                <w:rFonts w:ascii="宋体" w:hAnsi="宋体" w:eastAsia="宋体" w:cs="Times New Roman"/>
                <w:color w:val="auto"/>
              </w:rPr>
            </w:pPr>
            <w:r>
              <w:rPr>
                <w:rFonts w:ascii="宋体" w:hAnsi="宋体" w:eastAsia="宋体" w:cs="Times New Roman"/>
                <w:color w:val="auto"/>
              </w:rPr>
              <w:t>0.008</w:t>
            </w:r>
          </w:p>
        </w:tc>
      </w:tr>
      <w:tr w14:paraId="2564FB01">
        <w:tblPrEx>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33" w:type="pct"/>
            <w:vMerge w:val="continue"/>
            <w:shd w:val="clear" w:color="auto" w:fill="auto"/>
            <w:tcMar>
              <w:left w:w="28" w:type="dxa"/>
              <w:right w:w="28" w:type="dxa"/>
            </w:tcMar>
            <w:vAlign w:val="center"/>
          </w:tcPr>
          <w:p w14:paraId="0F2C38D5">
            <w:pPr>
              <w:jc w:val="center"/>
              <w:rPr>
                <w:rFonts w:ascii="宋体" w:hAnsi="宋体" w:eastAsia="宋体" w:cs="Times New Roman"/>
                <w:color w:val="auto"/>
              </w:rPr>
            </w:pPr>
          </w:p>
        </w:tc>
        <w:tc>
          <w:tcPr>
            <w:tcW w:w="759" w:type="pct"/>
            <w:vMerge w:val="continue"/>
            <w:shd w:val="clear" w:color="auto" w:fill="auto"/>
            <w:vAlign w:val="center"/>
          </w:tcPr>
          <w:p w14:paraId="2E8D0218">
            <w:pPr>
              <w:jc w:val="center"/>
              <w:rPr>
                <w:rFonts w:ascii="宋体" w:hAnsi="宋体" w:eastAsia="宋体" w:cs="Times New Roman"/>
                <w:color w:val="auto"/>
              </w:rPr>
            </w:pPr>
          </w:p>
        </w:tc>
        <w:tc>
          <w:tcPr>
            <w:tcW w:w="860" w:type="pct"/>
            <w:shd w:val="clear" w:color="auto" w:fill="auto"/>
            <w:vAlign w:val="center"/>
          </w:tcPr>
          <w:p w14:paraId="72962DD4">
            <w:pPr>
              <w:jc w:val="center"/>
              <w:rPr>
                <w:rFonts w:ascii="宋体" w:hAnsi="宋体" w:eastAsia="宋体" w:cs="Times New Roman"/>
                <w:color w:val="auto"/>
              </w:rPr>
            </w:pPr>
            <w:r>
              <w:rPr>
                <w:rFonts w:ascii="宋体" w:hAnsi="宋体" w:eastAsia="宋体" w:cs="Times New Roman"/>
                <w:color w:val="auto"/>
              </w:rPr>
              <w:t>天然气（甲烷）</w:t>
            </w:r>
          </w:p>
        </w:tc>
        <w:tc>
          <w:tcPr>
            <w:tcW w:w="547" w:type="pct"/>
            <w:shd w:val="clear" w:color="auto" w:fill="auto"/>
            <w:vAlign w:val="center"/>
          </w:tcPr>
          <w:p w14:paraId="0669196D">
            <w:pPr>
              <w:jc w:val="center"/>
              <w:rPr>
                <w:rFonts w:ascii="宋体" w:hAnsi="宋体" w:eastAsia="宋体" w:cs="Times New Roman"/>
                <w:color w:val="auto"/>
              </w:rPr>
            </w:pPr>
            <w:r>
              <w:rPr>
                <w:rFonts w:ascii="宋体" w:hAnsi="宋体" w:eastAsia="宋体" w:cs="Times New Roman"/>
                <w:color w:val="auto"/>
              </w:rPr>
              <w:t>74-82-8</w:t>
            </w:r>
          </w:p>
        </w:tc>
        <w:tc>
          <w:tcPr>
            <w:tcW w:w="781" w:type="pct"/>
            <w:shd w:val="clear" w:color="auto" w:fill="auto"/>
            <w:vAlign w:val="center"/>
          </w:tcPr>
          <w:p w14:paraId="0901245F">
            <w:pPr>
              <w:jc w:val="center"/>
              <w:rPr>
                <w:rFonts w:ascii="宋体" w:hAnsi="宋体" w:eastAsia="宋体" w:cs="Times New Roman"/>
                <w:color w:val="auto"/>
              </w:rPr>
            </w:pPr>
            <w:r>
              <w:rPr>
                <w:rFonts w:ascii="宋体" w:hAnsi="宋体" w:eastAsia="宋体" w:cs="Times New Roman"/>
                <w:color w:val="auto"/>
              </w:rPr>
              <w:t>0.033</w:t>
            </w:r>
          </w:p>
        </w:tc>
        <w:tc>
          <w:tcPr>
            <w:tcW w:w="801" w:type="pct"/>
            <w:shd w:val="clear" w:color="auto" w:fill="auto"/>
            <w:vAlign w:val="center"/>
          </w:tcPr>
          <w:p w14:paraId="0BDD05B7">
            <w:pPr>
              <w:jc w:val="center"/>
              <w:rPr>
                <w:rFonts w:ascii="宋体" w:hAnsi="宋体" w:eastAsia="宋体" w:cs="Times New Roman"/>
                <w:color w:val="auto"/>
              </w:rPr>
            </w:pPr>
            <w:r>
              <w:rPr>
                <w:rFonts w:ascii="宋体" w:hAnsi="宋体" w:eastAsia="宋体" w:cs="Times New Roman"/>
                <w:color w:val="auto"/>
              </w:rPr>
              <w:t>10</w:t>
            </w:r>
          </w:p>
        </w:tc>
        <w:tc>
          <w:tcPr>
            <w:tcW w:w="917" w:type="pct"/>
            <w:shd w:val="clear" w:color="auto" w:fill="auto"/>
            <w:vAlign w:val="center"/>
          </w:tcPr>
          <w:p w14:paraId="3930EF9C">
            <w:pPr>
              <w:jc w:val="center"/>
              <w:rPr>
                <w:rFonts w:ascii="宋体" w:hAnsi="宋体" w:eastAsia="宋体" w:cs="Times New Roman"/>
                <w:color w:val="auto"/>
              </w:rPr>
            </w:pPr>
            <w:r>
              <w:rPr>
                <w:rFonts w:ascii="宋体" w:hAnsi="宋体" w:eastAsia="宋体" w:cs="Times New Roman"/>
                <w:color w:val="auto"/>
              </w:rPr>
              <w:t>0.0033</w:t>
            </w:r>
          </w:p>
        </w:tc>
      </w:tr>
      <w:tr w14:paraId="43E813BF">
        <w:tblPrEx>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33" w:type="pct"/>
            <w:vMerge w:val="restart"/>
            <w:shd w:val="clear" w:color="auto" w:fill="auto"/>
            <w:tcMar>
              <w:left w:w="28" w:type="dxa"/>
              <w:right w:w="28" w:type="dxa"/>
            </w:tcMar>
            <w:vAlign w:val="center"/>
          </w:tcPr>
          <w:p w14:paraId="2DFE2C35">
            <w:pPr>
              <w:jc w:val="center"/>
              <w:rPr>
                <w:rFonts w:ascii="宋体" w:hAnsi="宋体" w:eastAsia="宋体" w:cs="Times New Roman"/>
                <w:color w:val="auto"/>
              </w:rPr>
            </w:pPr>
            <w:r>
              <w:rPr>
                <w:rFonts w:ascii="宋体" w:hAnsi="宋体" w:eastAsia="宋体" w:cs="Times New Roman"/>
                <w:color w:val="auto"/>
              </w:rPr>
              <w:t>4</w:t>
            </w:r>
          </w:p>
        </w:tc>
        <w:tc>
          <w:tcPr>
            <w:tcW w:w="759" w:type="pct"/>
            <w:vMerge w:val="restart"/>
            <w:shd w:val="clear" w:color="auto" w:fill="auto"/>
            <w:vAlign w:val="center"/>
          </w:tcPr>
          <w:p w14:paraId="0AF2B4BD">
            <w:pPr>
              <w:jc w:val="center"/>
              <w:rPr>
                <w:rFonts w:ascii="宋体" w:hAnsi="宋体" w:eastAsia="宋体" w:cs="Times New Roman"/>
                <w:color w:val="auto"/>
              </w:rPr>
            </w:pPr>
            <w:r>
              <w:rPr>
                <w:rFonts w:ascii="宋体" w:hAnsi="宋体" w:eastAsia="宋体" w:cs="Times New Roman"/>
                <w:color w:val="auto"/>
              </w:rPr>
              <w:t>集油管线</w:t>
            </w:r>
          </w:p>
        </w:tc>
        <w:tc>
          <w:tcPr>
            <w:tcW w:w="860" w:type="pct"/>
            <w:shd w:val="clear" w:color="auto" w:fill="auto"/>
            <w:vAlign w:val="center"/>
          </w:tcPr>
          <w:p w14:paraId="1C0C7514">
            <w:pPr>
              <w:jc w:val="center"/>
              <w:rPr>
                <w:rFonts w:ascii="宋体" w:hAnsi="宋体" w:eastAsia="宋体" w:cs="Times New Roman"/>
                <w:color w:val="auto"/>
              </w:rPr>
            </w:pPr>
            <w:r>
              <w:rPr>
                <w:rFonts w:ascii="宋体" w:hAnsi="宋体" w:eastAsia="宋体" w:cs="Times New Roman"/>
                <w:color w:val="auto"/>
              </w:rPr>
              <w:t>原油（石油）</w:t>
            </w:r>
          </w:p>
        </w:tc>
        <w:tc>
          <w:tcPr>
            <w:tcW w:w="547" w:type="pct"/>
            <w:shd w:val="clear" w:color="auto" w:fill="auto"/>
            <w:vAlign w:val="center"/>
          </w:tcPr>
          <w:p w14:paraId="24F43F82">
            <w:pPr>
              <w:jc w:val="center"/>
              <w:rPr>
                <w:rFonts w:ascii="宋体" w:hAnsi="宋体" w:eastAsia="宋体" w:cs="Times New Roman"/>
                <w:color w:val="auto"/>
              </w:rPr>
            </w:pPr>
            <w:r>
              <w:rPr>
                <w:rFonts w:ascii="宋体" w:hAnsi="宋体" w:eastAsia="宋体" w:cs="Times New Roman"/>
                <w:color w:val="auto"/>
              </w:rPr>
              <w:t>/</w:t>
            </w:r>
          </w:p>
        </w:tc>
        <w:tc>
          <w:tcPr>
            <w:tcW w:w="781" w:type="pct"/>
            <w:shd w:val="clear" w:color="auto" w:fill="auto"/>
            <w:vAlign w:val="center"/>
          </w:tcPr>
          <w:p w14:paraId="49351D64">
            <w:pPr>
              <w:jc w:val="center"/>
              <w:rPr>
                <w:rFonts w:ascii="宋体" w:hAnsi="宋体" w:eastAsia="宋体" w:cs="Times New Roman"/>
                <w:color w:val="auto"/>
              </w:rPr>
            </w:pPr>
            <w:r>
              <w:rPr>
                <w:rFonts w:ascii="宋体" w:hAnsi="宋体" w:eastAsia="宋体" w:cs="Times New Roman"/>
                <w:color w:val="auto"/>
              </w:rPr>
              <w:t>0.023</w:t>
            </w:r>
          </w:p>
        </w:tc>
        <w:tc>
          <w:tcPr>
            <w:tcW w:w="801" w:type="pct"/>
            <w:shd w:val="clear" w:color="auto" w:fill="auto"/>
            <w:vAlign w:val="center"/>
          </w:tcPr>
          <w:p w14:paraId="15B563E4">
            <w:pPr>
              <w:jc w:val="center"/>
              <w:rPr>
                <w:rFonts w:ascii="宋体" w:hAnsi="宋体" w:eastAsia="宋体" w:cs="Times New Roman"/>
                <w:color w:val="auto"/>
              </w:rPr>
            </w:pPr>
            <w:r>
              <w:rPr>
                <w:rFonts w:ascii="宋体" w:hAnsi="宋体" w:eastAsia="宋体" w:cs="Times New Roman"/>
                <w:color w:val="auto"/>
              </w:rPr>
              <w:t>2500</w:t>
            </w:r>
          </w:p>
        </w:tc>
        <w:tc>
          <w:tcPr>
            <w:tcW w:w="917" w:type="pct"/>
            <w:shd w:val="clear" w:color="auto" w:fill="auto"/>
            <w:vAlign w:val="center"/>
          </w:tcPr>
          <w:p w14:paraId="6AC5DE25">
            <w:pPr>
              <w:jc w:val="center"/>
              <w:rPr>
                <w:rFonts w:ascii="宋体" w:hAnsi="宋体" w:eastAsia="宋体" w:cs="Times New Roman"/>
                <w:color w:val="auto"/>
              </w:rPr>
            </w:pPr>
            <w:r>
              <w:rPr>
                <w:rFonts w:ascii="宋体" w:hAnsi="宋体" w:eastAsia="宋体" w:cs="Times New Roman"/>
                <w:color w:val="auto"/>
              </w:rPr>
              <w:t>0.00001</w:t>
            </w:r>
          </w:p>
        </w:tc>
      </w:tr>
      <w:tr w14:paraId="5828E33A">
        <w:tblPrEx>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33" w:type="pct"/>
            <w:vMerge w:val="continue"/>
            <w:shd w:val="clear" w:color="auto" w:fill="auto"/>
            <w:tcMar>
              <w:left w:w="28" w:type="dxa"/>
              <w:right w:w="28" w:type="dxa"/>
            </w:tcMar>
            <w:vAlign w:val="center"/>
          </w:tcPr>
          <w:p w14:paraId="394A6C37">
            <w:pPr>
              <w:jc w:val="center"/>
              <w:rPr>
                <w:rFonts w:ascii="宋体" w:hAnsi="宋体" w:eastAsia="宋体" w:cs="Times New Roman"/>
                <w:color w:val="auto"/>
              </w:rPr>
            </w:pPr>
          </w:p>
        </w:tc>
        <w:tc>
          <w:tcPr>
            <w:tcW w:w="759" w:type="pct"/>
            <w:vMerge w:val="continue"/>
            <w:shd w:val="clear" w:color="auto" w:fill="auto"/>
            <w:vAlign w:val="center"/>
          </w:tcPr>
          <w:p w14:paraId="77264E0C">
            <w:pPr>
              <w:jc w:val="center"/>
              <w:rPr>
                <w:rFonts w:ascii="宋体" w:hAnsi="宋体" w:eastAsia="宋体" w:cs="Times New Roman"/>
                <w:color w:val="auto"/>
              </w:rPr>
            </w:pPr>
          </w:p>
        </w:tc>
        <w:tc>
          <w:tcPr>
            <w:tcW w:w="860" w:type="pct"/>
            <w:shd w:val="clear" w:color="auto" w:fill="auto"/>
            <w:vAlign w:val="center"/>
          </w:tcPr>
          <w:p w14:paraId="138D1AEC">
            <w:pPr>
              <w:jc w:val="center"/>
              <w:rPr>
                <w:rFonts w:ascii="宋体" w:hAnsi="宋体" w:eastAsia="宋体" w:cs="Times New Roman"/>
                <w:color w:val="auto"/>
              </w:rPr>
            </w:pPr>
            <w:r>
              <w:rPr>
                <w:rFonts w:ascii="宋体" w:hAnsi="宋体" w:eastAsia="宋体" w:cs="Times New Roman"/>
                <w:color w:val="auto"/>
              </w:rPr>
              <w:t>天然气（甲烷）</w:t>
            </w:r>
          </w:p>
        </w:tc>
        <w:tc>
          <w:tcPr>
            <w:tcW w:w="547" w:type="pct"/>
            <w:shd w:val="clear" w:color="auto" w:fill="auto"/>
            <w:vAlign w:val="center"/>
          </w:tcPr>
          <w:p w14:paraId="274E8D41">
            <w:pPr>
              <w:jc w:val="center"/>
              <w:rPr>
                <w:rFonts w:ascii="宋体" w:hAnsi="宋体" w:eastAsia="宋体" w:cs="Times New Roman"/>
                <w:color w:val="auto"/>
              </w:rPr>
            </w:pPr>
            <w:r>
              <w:rPr>
                <w:rFonts w:ascii="宋体" w:hAnsi="宋体" w:eastAsia="宋体" w:cs="Times New Roman"/>
                <w:color w:val="auto"/>
              </w:rPr>
              <w:t>74-82-8</w:t>
            </w:r>
          </w:p>
        </w:tc>
        <w:tc>
          <w:tcPr>
            <w:tcW w:w="781" w:type="pct"/>
            <w:shd w:val="clear" w:color="auto" w:fill="auto"/>
            <w:vAlign w:val="center"/>
          </w:tcPr>
          <w:p w14:paraId="0B8DAEF6">
            <w:pPr>
              <w:jc w:val="center"/>
              <w:rPr>
                <w:rFonts w:ascii="宋体" w:hAnsi="宋体" w:eastAsia="宋体" w:cs="Times New Roman"/>
                <w:color w:val="auto"/>
              </w:rPr>
            </w:pPr>
            <w:r>
              <w:rPr>
                <w:rFonts w:ascii="宋体" w:hAnsi="宋体" w:eastAsia="宋体" w:cs="Times New Roman"/>
                <w:color w:val="auto"/>
              </w:rPr>
              <w:t>0.00003</w:t>
            </w:r>
          </w:p>
        </w:tc>
        <w:tc>
          <w:tcPr>
            <w:tcW w:w="801" w:type="pct"/>
            <w:shd w:val="clear" w:color="auto" w:fill="auto"/>
            <w:vAlign w:val="center"/>
          </w:tcPr>
          <w:p w14:paraId="557DDD9F">
            <w:pPr>
              <w:jc w:val="center"/>
              <w:rPr>
                <w:rFonts w:ascii="宋体" w:hAnsi="宋体" w:eastAsia="宋体" w:cs="Times New Roman"/>
                <w:color w:val="auto"/>
              </w:rPr>
            </w:pPr>
            <w:r>
              <w:rPr>
                <w:rFonts w:ascii="宋体" w:hAnsi="宋体" w:eastAsia="宋体" w:cs="Times New Roman"/>
                <w:color w:val="auto"/>
              </w:rPr>
              <w:t>10</w:t>
            </w:r>
          </w:p>
        </w:tc>
        <w:tc>
          <w:tcPr>
            <w:tcW w:w="917" w:type="pct"/>
            <w:shd w:val="clear" w:color="auto" w:fill="auto"/>
            <w:vAlign w:val="center"/>
          </w:tcPr>
          <w:p w14:paraId="58ABF6D3">
            <w:pPr>
              <w:jc w:val="center"/>
              <w:rPr>
                <w:rFonts w:ascii="宋体" w:hAnsi="宋体" w:eastAsia="宋体" w:cs="Times New Roman"/>
                <w:color w:val="auto"/>
              </w:rPr>
            </w:pPr>
            <w:r>
              <w:rPr>
                <w:rFonts w:ascii="宋体" w:hAnsi="宋体" w:eastAsia="宋体" w:cs="Times New Roman"/>
                <w:color w:val="auto"/>
              </w:rPr>
              <w:t>0.000003</w:t>
            </w:r>
          </w:p>
        </w:tc>
      </w:tr>
      <w:tr w14:paraId="59131E88">
        <w:tblPrEx>
          <w:tblBorders>
            <w:top w:val="single" w:color="000000"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083" w:type="pct"/>
            <w:gridSpan w:val="6"/>
            <w:shd w:val="clear" w:color="auto" w:fill="auto"/>
            <w:vAlign w:val="center"/>
          </w:tcPr>
          <w:p w14:paraId="33A21B76">
            <w:pPr>
              <w:jc w:val="center"/>
              <w:rPr>
                <w:rFonts w:ascii="宋体" w:hAnsi="宋体" w:eastAsia="宋体" w:cs="Times New Roman"/>
                <w:color w:val="auto"/>
              </w:rPr>
            </w:pPr>
            <w:r>
              <w:rPr>
                <w:rFonts w:ascii="宋体" w:hAnsi="宋体" w:eastAsia="宋体" w:cs="Times New Roman"/>
                <w:color w:val="auto"/>
              </w:rPr>
              <w:t>项目Q=Σq</w:t>
            </w:r>
            <w:r>
              <w:rPr>
                <w:rFonts w:ascii="宋体" w:hAnsi="宋体" w:eastAsia="宋体" w:cs="Times New Roman"/>
                <w:color w:val="auto"/>
                <w:vertAlign w:val="subscript"/>
              </w:rPr>
              <w:t>n</w:t>
            </w:r>
            <w:r>
              <w:rPr>
                <w:rFonts w:ascii="宋体" w:hAnsi="宋体" w:eastAsia="宋体" w:cs="Times New Roman"/>
                <w:color w:val="auto"/>
              </w:rPr>
              <w:t>/Q</w:t>
            </w:r>
            <w:r>
              <w:rPr>
                <w:rFonts w:ascii="宋体" w:hAnsi="宋体" w:eastAsia="宋体" w:cs="Times New Roman"/>
                <w:color w:val="auto"/>
                <w:vertAlign w:val="subscript"/>
              </w:rPr>
              <w:t>n</w:t>
            </w:r>
          </w:p>
        </w:tc>
        <w:tc>
          <w:tcPr>
            <w:tcW w:w="917" w:type="pct"/>
            <w:shd w:val="clear" w:color="auto" w:fill="auto"/>
            <w:vAlign w:val="center"/>
          </w:tcPr>
          <w:p w14:paraId="6D044D37">
            <w:pPr>
              <w:jc w:val="center"/>
              <w:rPr>
                <w:rFonts w:ascii="宋体" w:hAnsi="宋体" w:eastAsia="宋体" w:cs="Times New Roman"/>
                <w:color w:val="auto"/>
              </w:rPr>
            </w:pPr>
            <w:r>
              <w:rPr>
                <w:rFonts w:ascii="宋体" w:hAnsi="宋体" w:eastAsia="宋体" w:cs="Times New Roman"/>
                <w:color w:val="auto"/>
              </w:rPr>
              <w:t>0.0575</w:t>
            </w:r>
          </w:p>
        </w:tc>
      </w:tr>
    </w:tbl>
    <w:p w14:paraId="4D872272">
      <w:pPr>
        <w:pStyle w:val="164"/>
        <w:tabs>
          <w:tab w:val="left" w:pos="1571"/>
        </w:tabs>
        <w:spacing w:line="440" w:lineRule="exact"/>
        <w:ind w:firstLine="320" w:firstLineChars="200"/>
        <w:jc w:val="both"/>
        <w:rPr>
          <w:rFonts w:ascii="宋体" w:hAnsi="宋体" w:eastAsia="宋体" w:cs="Times New Roman"/>
          <w:color w:val="auto"/>
        </w:rPr>
      </w:pPr>
      <w:r>
        <w:rPr>
          <w:rFonts w:ascii="宋体" w:hAnsi="宋体" w:eastAsia="宋体" w:cs="Times New Roman"/>
          <w:color w:val="auto"/>
        </w:rPr>
        <w:t>根据《建设项目环境风险评价技术导则》（HJ169-2018）中评价等级的判定方法，本项目施工期Q=0.0271＜1，运营期Q=0.0575＜1，环境风险潜势为Ⅰ。</w:t>
      </w:r>
    </w:p>
    <w:p w14:paraId="54413D7D">
      <w:pPr>
        <w:pStyle w:val="276"/>
        <w:widowControl w:val="0"/>
        <w:spacing w:line="440" w:lineRule="exact"/>
        <w:ind w:firstLine="480"/>
        <w:jc w:val="both"/>
        <w:rPr>
          <w:snapToGrid w:val="0"/>
          <w:color w:val="auto"/>
          <w:lang w:bidi="zh-CN"/>
        </w:rPr>
      </w:pPr>
      <w:r>
        <w:rPr>
          <w:snapToGrid w:val="0"/>
          <w:color w:val="auto"/>
          <w:lang w:bidi="zh-CN"/>
        </w:rPr>
        <w:t>（2）评价等级</w:t>
      </w:r>
    </w:p>
    <w:p w14:paraId="65E0C896">
      <w:pPr>
        <w:pStyle w:val="276"/>
        <w:widowControl w:val="0"/>
        <w:spacing w:line="440" w:lineRule="exact"/>
        <w:ind w:firstLine="480"/>
        <w:jc w:val="both"/>
        <w:rPr>
          <w:color w:val="auto"/>
          <w:kern w:val="2"/>
        </w:rPr>
      </w:pPr>
      <w:r>
        <w:rPr>
          <w:color w:val="auto"/>
          <w:kern w:val="2"/>
        </w:rPr>
        <w:t>根据《建设项目环境风险评价技术导则》（HJ169-2018）中关于环境风险评价工作等级的划分，具体见</w:t>
      </w:r>
      <w:r>
        <w:rPr>
          <w:color w:val="auto"/>
          <w:kern w:val="21"/>
          <w:lang w:val="zh-CN" w:bidi="zh-CN"/>
        </w:rPr>
        <w:fldChar w:fldCharType="begin"/>
      </w:r>
      <w:r>
        <w:rPr>
          <w:color w:val="auto"/>
          <w:kern w:val="2"/>
        </w:rPr>
        <w:instrText xml:space="preserve"> REF _Ref211958506 \h </w:instrText>
      </w:r>
      <w:r>
        <w:rPr>
          <w:color w:val="auto"/>
          <w:kern w:val="21"/>
          <w:lang w:val="zh-CN" w:bidi="zh-CN"/>
        </w:rPr>
        <w:instrText xml:space="preserve"> \* MERGEFORMAT </w:instrText>
      </w:r>
      <w:r>
        <w:rPr>
          <w:color w:val="auto"/>
          <w:kern w:val="21"/>
          <w:lang w:val="zh-CN" w:bidi="zh-CN"/>
        </w:rPr>
        <w:fldChar w:fldCharType="separate"/>
      </w:r>
      <w:r>
        <w:rPr>
          <w:color w:val="auto"/>
        </w:rPr>
        <w:t>表 2.6</w:t>
      </w:r>
      <w:r>
        <w:rPr>
          <w:color w:val="auto"/>
        </w:rPr>
        <w:noBreakHyphen/>
      </w:r>
      <w:r>
        <w:rPr>
          <w:color w:val="auto"/>
        </w:rPr>
        <w:t>18</w:t>
      </w:r>
      <w:r>
        <w:rPr>
          <w:color w:val="auto"/>
          <w:kern w:val="21"/>
          <w:lang w:val="zh-CN" w:bidi="zh-CN"/>
        </w:rPr>
        <w:fldChar w:fldCharType="end"/>
      </w:r>
      <w:r>
        <w:rPr>
          <w:color w:val="auto"/>
          <w:kern w:val="2"/>
        </w:rPr>
        <w:t>，本项目风险潜势为I，应进行简单分析。</w:t>
      </w:r>
    </w:p>
    <w:p w14:paraId="7B7C1D12">
      <w:pPr>
        <w:pStyle w:val="22"/>
        <w:spacing w:before="156"/>
        <w:rPr>
          <w:color w:val="auto"/>
        </w:rPr>
      </w:pPr>
      <w:bookmarkStart w:id="527" w:name="_Ref211958506"/>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18</w:t>
      </w:r>
      <w:r>
        <w:rPr>
          <w:color w:val="auto"/>
        </w:rPr>
        <w:fldChar w:fldCharType="end"/>
      </w:r>
      <w:bookmarkEnd w:id="527"/>
      <w:r>
        <w:rPr>
          <w:color w:val="auto"/>
        </w:rPr>
        <w:t>环境风险评价工作等级</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90"/>
        <w:gridCol w:w="1785"/>
        <w:gridCol w:w="1785"/>
        <w:gridCol w:w="1785"/>
        <w:gridCol w:w="2141"/>
      </w:tblGrid>
      <w:tr w14:paraId="49B66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964" w:type="pct"/>
            <w:shd w:val="clear" w:color="auto" w:fill="auto"/>
            <w:vAlign w:val="center"/>
          </w:tcPr>
          <w:p w14:paraId="63744209">
            <w:pPr>
              <w:adjustRightInd w:val="0"/>
              <w:jc w:val="center"/>
              <w:rPr>
                <w:rFonts w:ascii="宋体" w:hAnsi="宋体" w:eastAsia="宋体" w:cs="Times New Roman"/>
                <w:color w:val="auto"/>
              </w:rPr>
            </w:pPr>
            <w:r>
              <w:rPr>
                <w:rFonts w:ascii="宋体" w:hAnsi="宋体" w:eastAsia="宋体" w:cs="Times New Roman"/>
                <w:color w:val="auto"/>
              </w:rPr>
              <w:t>环境风险潜势</w:t>
            </w:r>
          </w:p>
        </w:tc>
        <w:tc>
          <w:tcPr>
            <w:tcW w:w="961" w:type="pct"/>
            <w:shd w:val="clear" w:color="auto" w:fill="auto"/>
            <w:vAlign w:val="center"/>
          </w:tcPr>
          <w:p w14:paraId="7E162EE7">
            <w:pPr>
              <w:adjustRightInd w:val="0"/>
              <w:jc w:val="center"/>
              <w:rPr>
                <w:rFonts w:ascii="宋体" w:hAnsi="宋体" w:eastAsia="宋体" w:cs="Times New Roman"/>
                <w:color w:val="auto"/>
              </w:rPr>
            </w:pPr>
            <w:r>
              <w:rPr>
                <w:rFonts w:ascii="宋体" w:hAnsi="宋体" w:eastAsia="宋体" w:cs="Times New Roman"/>
                <w:color w:val="auto"/>
              </w:rPr>
              <w:t>IV、IV</w:t>
            </w:r>
            <w:r>
              <w:rPr>
                <w:rFonts w:ascii="宋体" w:hAnsi="宋体" w:eastAsia="宋体" w:cs="Times New Roman"/>
                <w:color w:val="auto"/>
                <w:vertAlign w:val="superscript"/>
              </w:rPr>
              <w:t>+</w:t>
            </w:r>
          </w:p>
        </w:tc>
        <w:tc>
          <w:tcPr>
            <w:tcW w:w="961" w:type="pct"/>
            <w:shd w:val="clear" w:color="auto" w:fill="auto"/>
            <w:vAlign w:val="center"/>
          </w:tcPr>
          <w:p w14:paraId="341259BE">
            <w:pPr>
              <w:adjustRightInd w:val="0"/>
              <w:jc w:val="center"/>
              <w:rPr>
                <w:rFonts w:ascii="宋体" w:hAnsi="宋体" w:eastAsia="宋体" w:cs="Times New Roman"/>
                <w:color w:val="auto"/>
              </w:rPr>
            </w:pPr>
            <w:r>
              <w:rPr>
                <w:rFonts w:ascii="宋体" w:hAnsi="宋体" w:eastAsia="宋体" w:cs="Times New Roman"/>
                <w:color w:val="auto"/>
              </w:rPr>
              <w:t>III</w:t>
            </w:r>
          </w:p>
        </w:tc>
        <w:tc>
          <w:tcPr>
            <w:tcW w:w="961" w:type="pct"/>
            <w:shd w:val="clear" w:color="auto" w:fill="auto"/>
            <w:vAlign w:val="center"/>
          </w:tcPr>
          <w:p w14:paraId="3F099162">
            <w:pPr>
              <w:adjustRightInd w:val="0"/>
              <w:jc w:val="center"/>
              <w:rPr>
                <w:rFonts w:ascii="宋体" w:hAnsi="宋体" w:eastAsia="宋体" w:cs="Times New Roman"/>
                <w:color w:val="auto"/>
              </w:rPr>
            </w:pPr>
            <w:r>
              <w:rPr>
                <w:rFonts w:ascii="宋体" w:hAnsi="宋体" w:eastAsia="宋体" w:cs="Times New Roman"/>
                <w:color w:val="auto"/>
              </w:rPr>
              <w:t>II</w:t>
            </w:r>
          </w:p>
        </w:tc>
        <w:tc>
          <w:tcPr>
            <w:tcW w:w="1154" w:type="pct"/>
            <w:shd w:val="clear" w:color="auto" w:fill="auto"/>
            <w:vAlign w:val="center"/>
          </w:tcPr>
          <w:p w14:paraId="6D1B41C1">
            <w:pPr>
              <w:adjustRightInd w:val="0"/>
              <w:jc w:val="center"/>
              <w:rPr>
                <w:rFonts w:ascii="宋体" w:hAnsi="宋体" w:eastAsia="宋体" w:cs="Times New Roman"/>
                <w:color w:val="auto"/>
              </w:rPr>
            </w:pPr>
            <w:r>
              <w:rPr>
                <w:rFonts w:ascii="宋体" w:hAnsi="宋体" w:eastAsia="宋体" w:cs="Times New Roman"/>
                <w:color w:val="auto"/>
              </w:rPr>
              <w:t>I</w:t>
            </w:r>
          </w:p>
        </w:tc>
      </w:tr>
      <w:tr w14:paraId="131DC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64" w:type="pct"/>
            <w:shd w:val="clear" w:color="auto" w:fill="auto"/>
            <w:vAlign w:val="center"/>
          </w:tcPr>
          <w:p w14:paraId="763B2E29">
            <w:pPr>
              <w:adjustRightInd w:val="0"/>
              <w:jc w:val="center"/>
              <w:rPr>
                <w:rFonts w:ascii="宋体" w:hAnsi="宋体" w:eastAsia="宋体" w:cs="Times New Roman"/>
                <w:color w:val="auto"/>
              </w:rPr>
            </w:pPr>
            <w:r>
              <w:rPr>
                <w:rFonts w:ascii="宋体" w:hAnsi="宋体" w:eastAsia="宋体" w:cs="Times New Roman"/>
                <w:color w:val="auto"/>
              </w:rPr>
              <w:t>评价工作等级</w:t>
            </w:r>
          </w:p>
        </w:tc>
        <w:tc>
          <w:tcPr>
            <w:tcW w:w="961" w:type="pct"/>
            <w:shd w:val="clear" w:color="auto" w:fill="auto"/>
            <w:vAlign w:val="center"/>
          </w:tcPr>
          <w:p w14:paraId="5766C24B">
            <w:pPr>
              <w:adjustRightInd w:val="0"/>
              <w:jc w:val="center"/>
              <w:rPr>
                <w:rFonts w:ascii="宋体" w:hAnsi="宋体" w:eastAsia="宋体" w:cs="Times New Roman"/>
                <w:color w:val="auto"/>
              </w:rPr>
            </w:pPr>
            <w:r>
              <w:rPr>
                <w:rFonts w:ascii="宋体" w:hAnsi="宋体" w:eastAsia="宋体" w:cs="Times New Roman"/>
                <w:color w:val="auto"/>
              </w:rPr>
              <w:t>一</w:t>
            </w:r>
          </w:p>
        </w:tc>
        <w:tc>
          <w:tcPr>
            <w:tcW w:w="961" w:type="pct"/>
            <w:shd w:val="clear" w:color="auto" w:fill="auto"/>
            <w:vAlign w:val="center"/>
          </w:tcPr>
          <w:p w14:paraId="1C38AA90">
            <w:pPr>
              <w:adjustRightInd w:val="0"/>
              <w:jc w:val="center"/>
              <w:rPr>
                <w:rFonts w:ascii="宋体" w:hAnsi="宋体" w:eastAsia="宋体" w:cs="Times New Roman"/>
                <w:color w:val="auto"/>
              </w:rPr>
            </w:pPr>
            <w:r>
              <w:rPr>
                <w:rFonts w:ascii="宋体" w:hAnsi="宋体" w:eastAsia="宋体" w:cs="Times New Roman"/>
                <w:color w:val="auto"/>
              </w:rPr>
              <w:t>二</w:t>
            </w:r>
          </w:p>
        </w:tc>
        <w:tc>
          <w:tcPr>
            <w:tcW w:w="961" w:type="pct"/>
            <w:shd w:val="clear" w:color="auto" w:fill="auto"/>
            <w:vAlign w:val="center"/>
          </w:tcPr>
          <w:p w14:paraId="44F41EB1">
            <w:pPr>
              <w:adjustRightInd w:val="0"/>
              <w:jc w:val="center"/>
              <w:rPr>
                <w:rFonts w:ascii="宋体" w:hAnsi="宋体" w:eastAsia="宋体" w:cs="Times New Roman"/>
                <w:color w:val="auto"/>
              </w:rPr>
            </w:pPr>
            <w:r>
              <w:rPr>
                <w:rFonts w:ascii="宋体" w:hAnsi="宋体" w:eastAsia="宋体" w:cs="Times New Roman"/>
                <w:color w:val="auto"/>
              </w:rPr>
              <w:t>三</w:t>
            </w:r>
          </w:p>
        </w:tc>
        <w:tc>
          <w:tcPr>
            <w:tcW w:w="1154" w:type="pct"/>
            <w:shd w:val="clear" w:color="auto" w:fill="auto"/>
            <w:vAlign w:val="center"/>
          </w:tcPr>
          <w:p w14:paraId="644A57F9">
            <w:pPr>
              <w:adjustRightInd w:val="0"/>
              <w:jc w:val="center"/>
              <w:rPr>
                <w:rFonts w:ascii="宋体" w:hAnsi="宋体" w:eastAsia="宋体" w:cs="Times New Roman"/>
                <w:color w:val="auto"/>
              </w:rPr>
            </w:pPr>
            <w:r>
              <w:rPr>
                <w:rFonts w:ascii="宋体" w:hAnsi="宋体" w:eastAsia="宋体" w:cs="Times New Roman"/>
                <w:color w:val="auto"/>
                <w:shd w:val="pct10" w:color="auto" w:fill="FFFFFF"/>
              </w:rPr>
              <w:t>简单分析</w:t>
            </w:r>
            <w:r>
              <w:rPr>
                <w:rFonts w:ascii="宋体" w:hAnsi="宋体" w:eastAsia="宋体" w:cs="Times New Roman"/>
                <w:color w:val="auto"/>
                <w:shd w:val="pct10" w:color="auto" w:fill="FFFFFF"/>
                <w:vertAlign w:val="superscript"/>
              </w:rPr>
              <w:t>a</w:t>
            </w:r>
          </w:p>
        </w:tc>
      </w:tr>
      <w:tr w14:paraId="630B4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5"/>
            <w:shd w:val="clear" w:color="auto" w:fill="auto"/>
            <w:vAlign w:val="center"/>
          </w:tcPr>
          <w:p w14:paraId="7840A51D">
            <w:pPr>
              <w:adjustRightInd w:val="0"/>
              <w:jc w:val="center"/>
              <w:rPr>
                <w:rFonts w:ascii="宋体" w:hAnsi="宋体" w:eastAsia="宋体" w:cs="Times New Roman"/>
                <w:color w:val="auto"/>
              </w:rPr>
            </w:pPr>
            <w:r>
              <w:rPr>
                <w:rFonts w:ascii="宋体" w:hAnsi="宋体" w:eastAsia="宋体" w:cs="Times New Roman"/>
                <w:color w:val="auto"/>
                <w:vertAlign w:val="superscript"/>
              </w:rPr>
              <w:t>a</w:t>
            </w:r>
            <w:r>
              <w:rPr>
                <w:rFonts w:ascii="宋体" w:hAnsi="宋体" w:eastAsia="宋体" w:cs="Times New Roman"/>
                <w:color w:val="auto"/>
              </w:rPr>
              <w:t>是相对于详细评价工作内容而言，在描述危险物质、环境影响途径、环境危害后果、风险防范措施等方面给出定性的说明。</w:t>
            </w:r>
          </w:p>
        </w:tc>
      </w:tr>
    </w:tbl>
    <w:p w14:paraId="4338480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评价范围</w:t>
      </w:r>
    </w:p>
    <w:p w14:paraId="613147CE">
      <w:pPr>
        <w:pStyle w:val="276"/>
        <w:widowControl w:val="0"/>
        <w:spacing w:line="440" w:lineRule="exact"/>
        <w:ind w:firstLine="480"/>
        <w:jc w:val="both"/>
        <w:rPr>
          <w:snapToGrid w:val="0"/>
          <w:color w:val="auto"/>
        </w:rPr>
      </w:pPr>
      <w:r>
        <w:rPr>
          <w:snapToGrid w:val="0"/>
          <w:color w:val="auto"/>
        </w:rPr>
        <w:t>本项目风险评价等级为简单分析，根据</w:t>
      </w:r>
      <w:r>
        <w:rPr>
          <w:snapToGrid w:val="0"/>
          <w:color w:val="auto"/>
          <w:lang w:bidi="zh-CN"/>
        </w:rPr>
        <w:t>《建设项目环境风险评价技术导则》（HJ169-2018）</w:t>
      </w:r>
      <w:r>
        <w:rPr>
          <w:snapToGrid w:val="0"/>
          <w:color w:val="auto"/>
        </w:rPr>
        <w:t>，无关于简单分析的评价范围说明，结合大气环境、地表水环境、地下水环境的评价范围及保护目标分布情况，拟定环境风险评价范围包括地表水、地下水、大气评价范围，因此本项目环境风险评价范围为拟建平台和单井井场边界外扩2.5km及新建管线、道路沿线两侧外扩200m范围的区域。</w:t>
      </w:r>
    </w:p>
    <w:p w14:paraId="3A9C9A4E">
      <w:pPr>
        <w:pStyle w:val="6"/>
        <w:rPr>
          <w:color w:val="auto"/>
        </w:rPr>
      </w:pPr>
      <w:bookmarkStart w:id="528" w:name="_Toc86141918"/>
      <w:bookmarkStart w:id="529" w:name="_Toc61597212"/>
      <w:bookmarkStart w:id="530" w:name="_Toc126863374"/>
      <w:bookmarkStart w:id="531" w:name="_Toc83209463"/>
      <w:bookmarkStart w:id="532" w:name="_Toc80971368"/>
      <w:bookmarkStart w:id="533" w:name="_Toc76976234"/>
      <w:bookmarkStart w:id="534" w:name="_Toc80588246"/>
      <w:bookmarkStart w:id="535" w:name="_Toc77067650"/>
      <w:bookmarkStart w:id="536" w:name="_Toc70050166"/>
      <w:bookmarkStart w:id="537" w:name="_Toc127192323"/>
      <w:bookmarkStart w:id="538" w:name="_Toc67860119"/>
      <w:bookmarkStart w:id="539" w:name="_Toc131167274"/>
      <w:bookmarkStart w:id="540" w:name="_Toc85640743"/>
      <w:bookmarkStart w:id="541" w:name="_Toc143099561"/>
      <w:bookmarkStart w:id="542" w:name="_Toc78816451"/>
      <w:bookmarkStart w:id="543" w:name="_Toc84929219"/>
      <w:r>
        <w:rPr>
          <w:color w:val="auto"/>
        </w:rPr>
        <w:t>各环境要素评价等级及评价范围汇总</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24D86E77">
      <w:pPr>
        <w:pStyle w:val="276"/>
        <w:widowControl w:val="0"/>
        <w:spacing w:line="440" w:lineRule="exact"/>
        <w:ind w:firstLine="480"/>
        <w:jc w:val="both"/>
        <w:rPr>
          <w:snapToGrid w:val="0"/>
          <w:color w:val="auto"/>
        </w:rPr>
      </w:pPr>
      <w:r>
        <w:rPr>
          <w:snapToGrid w:val="0"/>
          <w:color w:val="auto"/>
        </w:rPr>
        <w:t>各环境要素评价等级及评价范围详见</w:t>
      </w:r>
      <w:r>
        <w:rPr>
          <w:snapToGrid w:val="0"/>
          <w:color w:val="auto"/>
        </w:rPr>
        <w:fldChar w:fldCharType="begin"/>
      </w:r>
      <w:r>
        <w:rPr>
          <w:snapToGrid w:val="0"/>
          <w:color w:val="auto"/>
        </w:rPr>
        <w:instrText xml:space="preserve"> REF _Ref211958515 \h  \* MERGEFORMAT </w:instrText>
      </w:r>
      <w:r>
        <w:rPr>
          <w:snapToGrid w:val="0"/>
          <w:color w:val="auto"/>
        </w:rPr>
        <w:fldChar w:fldCharType="separate"/>
      </w:r>
      <w:r>
        <w:rPr>
          <w:color w:val="auto"/>
        </w:rPr>
        <w:t>表 2.6</w:t>
      </w:r>
      <w:r>
        <w:rPr>
          <w:color w:val="auto"/>
        </w:rPr>
        <w:noBreakHyphen/>
      </w:r>
      <w:r>
        <w:rPr>
          <w:color w:val="auto"/>
        </w:rPr>
        <w:t>19</w:t>
      </w:r>
      <w:r>
        <w:rPr>
          <w:snapToGrid w:val="0"/>
          <w:color w:val="auto"/>
        </w:rPr>
        <w:fldChar w:fldCharType="end"/>
      </w:r>
      <w:r>
        <w:rPr>
          <w:snapToGrid w:val="0"/>
          <w:color w:val="auto"/>
        </w:rPr>
        <w:t>，各环境要素评价范围图见附图5-1～附图5-3。</w:t>
      </w:r>
    </w:p>
    <w:p w14:paraId="1E1293B0">
      <w:pPr>
        <w:pStyle w:val="22"/>
        <w:spacing w:before="156"/>
        <w:rPr>
          <w:color w:val="auto"/>
        </w:rPr>
      </w:pPr>
      <w:bookmarkStart w:id="544" w:name="_Ref211958515"/>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19</w:t>
      </w:r>
      <w:r>
        <w:rPr>
          <w:color w:val="auto"/>
        </w:rPr>
        <w:fldChar w:fldCharType="end"/>
      </w:r>
      <w:bookmarkEnd w:id="544"/>
      <w:r>
        <w:rPr>
          <w:color w:val="auto"/>
        </w:rPr>
        <w:t>评价范围表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Layout w:type="autofit"/>
        <w:tblCellMar>
          <w:top w:w="0" w:type="dxa"/>
          <w:left w:w="108" w:type="dxa"/>
          <w:bottom w:w="0" w:type="dxa"/>
          <w:right w:w="108" w:type="dxa"/>
        </w:tblCellMar>
      </w:tblPr>
      <w:tblGrid>
        <w:gridCol w:w="1101"/>
        <w:gridCol w:w="1274"/>
        <w:gridCol w:w="709"/>
        <w:gridCol w:w="6202"/>
      </w:tblGrid>
      <w:tr w14:paraId="077422CA">
        <w:tblPrEx>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CellMar>
            <w:top w:w="0" w:type="dxa"/>
            <w:left w:w="108" w:type="dxa"/>
            <w:bottom w:w="0" w:type="dxa"/>
            <w:right w:w="108" w:type="dxa"/>
          </w:tblCellMar>
        </w:tblPrEx>
        <w:trPr>
          <w:cantSplit/>
          <w:trHeight w:val="340" w:hRule="atLeast"/>
        </w:trPr>
        <w:tc>
          <w:tcPr>
            <w:tcW w:w="593" w:type="pct"/>
            <w:shd w:val="clear" w:color="auto" w:fill="auto"/>
            <w:vAlign w:val="center"/>
          </w:tcPr>
          <w:p w14:paraId="49B89337">
            <w:pPr>
              <w:adjustRightInd w:val="0"/>
              <w:snapToGrid w:val="0"/>
              <w:jc w:val="center"/>
              <w:rPr>
                <w:rFonts w:ascii="宋体" w:hAnsi="宋体" w:eastAsia="宋体" w:cs="Times New Roman"/>
                <w:color w:val="auto"/>
              </w:rPr>
            </w:pPr>
            <w:r>
              <w:rPr>
                <w:rFonts w:ascii="宋体" w:hAnsi="宋体" w:eastAsia="宋体" w:cs="Times New Roman"/>
                <w:color w:val="auto"/>
              </w:rPr>
              <w:t>项目</w:t>
            </w:r>
          </w:p>
        </w:tc>
        <w:tc>
          <w:tcPr>
            <w:tcW w:w="1068" w:type="pct"/>
            <w:gridSpan w:val="2"/>
            <w:shd w:val="clear" w:color="auto" w:fill="auto"/>
            <w:vAlign w:val="center"/>
          </w:tcPr>
          <w:p w14:paraId="48F47B5F">
            <w:pPr>
              <w:adjustRightInd w:val="0"/>
              <w:snapToGrid w:val="0"/>
              <w:jc w:val="center"/>
              <w:rPr>
                <w:rFonts w:ascii="宋体" w:hAnsi="宋体" w:eastAsia="宋体" w:cs="Times New Roman"/>
                <w:color w:val="auto"/>
              </w:rPr>
            </w:pPr>
            <w:r>
              <w:rPr>
                <w:rFonts w:ascii="宋体" w:hAnsi="宋体" w:eastAsia="宋体" w:cs="Times New Roman"/>
                <w:color w:val="auto"/>
              </w:rPr>
              <w:t>评价等级</w:t>
            </w:r>
          </w:p>
        </w:tc>
        <w:tc>
          <w:tcPr>
            <w:tcW w:w="3339" w:type="pct"/>
            <w:shd w:val="clear" w:color="auto" w:fill="auto"/>
            <w:vAlign w:val="center"/>
          </w:tcPr>
          <w:p w14:paraId="662DD5E8">
            <w:pPr>
              <w:adjustRightInd w:val="0"/>
              <w:snapToGrid w:val="0"/>
              <w:jc w:val="center"/>
              <w:rPr>
                <w:rFonts w:ascii="宋体" w:hAnsi="宋体" w:eastAsia="宋体" w:cs="Times New Roman"/>
                <w:color w:val="auto"/>
              </w:rPr>
            </w:pPr>
            <w:r>
              <w:rPr>
                <w:rFonts w:ascii="宋体" w:hAnsi="宋体" w:eastAsia="宋体" w:cs="Times New Roman"/>
                <w:color w:val="auto"/>
              </w:rPr>
              <w:t>评价范围</w:t>
            </w:r>
          </w:p>
        </w:tc>
      </w:tr>
      <w:tr w14:paraId="101D83A7">
        <w:tblPrEx>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CellMar>
            <w:top w:w="0" w:type="dxa"/>
            <w:left w:w="108" w:type="dxa"/>
            <w:bottom w:w="0" w:type="dxa"/>
            <w:right w:w="108" w:type="dxa"/>
          </w:tblCellMar>
        </w:tblPrEx>
        <w:trPr>
          <w:cantSplit/>
          <w:trHeight w:val="340" w:hRule="atLeast"/>
        </w:trPr>
        <w:tc>
          <w:tcPr>
            <w:tcW w:w="593" w:type="pct"/>
            <w:shd w:val="clear" w:color="auto" w:fill="auto"/>
            <w:vAlign w:val="center"/>
          </w:tcPr>
          <w:p w14:paraId="0D675C61">
            <w:pPr>
              <w:adjustRightInd w:val="0"/>
              <w:snapToGrid w:val="0"/>
              <w:jc w:val="center"/>
              <w:rPr>
                <w:rFonts w:ascii="宋体" w:hAnsi="宋体" w:eastAsia="宋体" w:cs="Times New Roman"/>
                <w:color w:val="auto"/>
              </w:rPr>
            </w:pPr>
            <w:r>
              <w:rPr>
                <w:rFonts w:ascii="宋体" w:hAnsi="宋体" w:eastAsia="宋体" w:cs="Times New Roman"/>
                <w:color w:val="auto"/>
              </w:rPr>
              <w:t>大气环境</w:t>
            </w:r>
          </w:p>
        </w:tc>
        <w:tc>
          <w:tcPr>
            <w:tcW w:w="1068" w:type="pct"/>
            <w:gridSpan w:val="2"/>
            <w:shd w:val="clear" w:color="auto" w:fill="auto"/>
            <w:vAlign w:val="center"/>
          </w:tcPr>
          <w:p w14:paraId="514FA32B">
            <w:pPr>
              <w:adjustRightInd w:val="0"/>
              <w:snapToGrid w:val="0"/>
              <w:jc w:val="center"/>
              <w:rPr>
                <w:rFonts w:ascii="宋体" w:hAnsi="宋体" w:eastAsia="宋体" w:cs="Times New Roman"/>
                <w:color w:val="auto"/>
              </w:rPr>
            </w:pPr>
            <w:r>
              <w:rPr>
                <w:rFonts w:ascii="宋体" w:hAnsi="宋体" w:eastAsia="宋体" w:cs="Times New Roman"/>
                <w:color w:val="auto"/>
              </w:rPr>
              <w:t>一级</w:t>
            </w:r>
          </w:p>
        </w:tc>
        <w:tc>
          <w:tcPr>
            <w:tcW w:w="3339" w:type="pct"/>
            <w:shd w:val="clear" w:color="auto" w:fill="auto"/>
            <w:vAlign w:val="center"/>
          </w:tcPr>
          <w:p w14:paraId="77338FB8">
            <w:pPr>
              <w:adjustRightInd w:val="0"/>
              <w:snapToGrid w:val="0"/>
              <w:jc w:val="center"/>
              <w:rPr>
                <w:rFonts w:ascii="宋体" w:hAnsi="宋体" w:eastAsia="宋体" w:cs="Times New Roman"/>
                <w:color w:val="auto"/>
              </w:rPr>
            </w:pPr>
            <w:r>
              <w:rPr>
                <w:rFonts w:ascii="宋体" w:hAnsi="宋体" w:eastAsia="宋体" w:cs="Times New Roman"/>
                <w:color w:val="auto"/>
                <w:lang w:bidi="zh-CN"/>
              </w:rPr>
              <w:t>拟建井场和拉油点边界外扩2.5km范围的矩形区域的包络范围，评价范围总面积约</w:t>
            </w:r>
            <w:r>
              <w:rPr>
                <w:rFonts w:hint="eastAsia" w:ascii="宋体" w:hAnsi="宋体" w:eastAsia="宋体" w:cs="Times New Roman"/>
                <w:color w:val="auto"/>
                <w:lang w:bidi="zh-CN"/>
              </w:rPr>
              <w:t>80</w:t>
            </w:r>
            <w:r>
              <w:rPr>
                <w:rFonts w:ascii="宋体" w:hAnsi="宋体" w:eastAsia="宋体" w:cs="Times New Roman"/>
                <w:color w:val="auto"/>
                <w:lang w:bidi="zh-CN"/>
              </w:rPr>
              <w:t>km</w:t>
            </w:r>
            <w:r>
              <w:rPr>
                <w:rFonts w:ascii="宋体" w:hAnsi="宋体" w:eastAsia="宋体" w:cs="Times New Roman"/>
                <w:color w:val="auto"/>
                <w:vertAlign w:val="superscript"/>
                <w:lang w:bidi="zh-CN"/>
              </w:rPr>
              <w:t>2</w:t>
            </w:r>
          </w:p>
        </w:tc>
      </w:tr>
      <w:tr w14:paraId="400EF6E4">
        <w:tblPrEx>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CellMar>
            <w:top w:w="0" w:type="dxa"/>
            <w:left w:w="108" w:type="dxa"/>
            <w:bottom w:w="0" w:type="dxa"/>
            <w:right w:w="108" w:type="dxa"/>
          </w:tblCellMar>
        </w:tblPrEx>
        <w:trPr>
          <w:cantSplit/>
          <w:trHeight w:val="340" w:hRule="atLeast"/>
        </w:trPr>
        <w:tc>
          <w:tcPr>
            <w:tcW w:w="593" w:type="pct"/>
            <w:shd w:val="clear" w:color="auto" w:fill="auto"/>
            <w:vAlign w:val="center"/>
          </w:tcPr>
          <w:p w14:paraId="5750503E">
            <w:pPr>
              <w:adjustRightInd w:val="0"/>
              <w:snapToGrid w:val="0"/>
              <w:jc w:val="center"/>
              <w:rPr>
                <w:rFonts w:ascii="宋体" w:hAnsi="宋体" w:eastAsia="宋体" w:cs="Times New Roman"/>
                <w:color w:val="auto"/>
              </w:rPr>
            </w:pPr>
            <w:r>
              <w:rPr>
                <w:rFonts w:ascii="宋体" w:hAnsi="宋体" w:eastAsia="宋体" w:cs="Times New Roman"/>
                <w:color w:val="auto"/>
              </w:rPr>
              <w:t>声环境</w:t>
            </w:r>
          </w:p>
        </w:tc>
        <w:tc>
          <w:tcPr>
            <w:tcW w:w="1068" w:type="pct"/>
            <w:gridSpan w:val="2"/>
            <w:shd w:val="clear" w:color="auto" w:fill="auto"/>
            <w:vAlign w:val="center"/>
          </w:tcPr>
          <w:p w14:paraId="3F234BAA">
            <w:pPr>
              <w:adjustRightInd w:val="0"/>
              <w:snapToGrid w:val="0"/>
              <w:jc w:val="center"/>
              <w:rPr>
                <w:rFonts w:ascii="宋体" w:hAnsi="宋体" w:eastAsia="宋体" w:cs="Times New Roman"/>
                <w:color w:val="auto"/>
              </w:rPr>
            </w:pPr>
            <w:r>
              <w:rPr>
                <w:rFonts w:ascii="宋体" w:hAnsi="宋体" w:eastAsia="宋体" w:cs="Times New Roman"/>
                <w:color w:val="auto"/>
              </w:rPr>
              <w:t>二级</w:t>
            </w:r>
          </w:p>
        </w:tc>
        <w:tc>
          <w:tcPr>
            <w:tcW w:w="3339" w:type="pct"/>
            <w:shd w:val="clear" w:color="auto" w:fill="auto"/>
            <w:vAlign w:val="center"/>
          </w:tcPr>
          <w:p w14:paraId="481A9D3D">
            <w:pPr>
              <w:adjustRightInd w:val="0"/>
              <w:snapToGrid w:val="0"/>
              <w:jc w:val="center"/>
              <w:rPr>
                <w:rFonts w:ascii="宋体" w:hAnsi="宋体" w:eastAsia="宋体" w:cs="Times New Roman"/>
                <w:color w:val="auto"/>
              </w:rPr>
            </w:pPr>
            <w:r>
              <w:rPr>
                <w:rFonts w:ascii="宋体" w:hAnsi="宋体" w:eastAsia="宋体" w:cs="Times New Roman"/>
                <w:color w:val="auto"/>
              </w:rPr>
              <w:t>拟建井场和拉油点边界外延至200m及管线、道路中心线两侧各200m范围内</w:t>
            </w:r>
          </w:p>
        </w:tc>
      </w:tr>
      <w:tr w14:paraId="4755255D">
        <w:tblPrEx>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CellMar>
            <w:top w:w="0" w:type="dxa"/>
            <w:left w:w="108" w:type="dxa"/>
            <w:bottom w:w="0" w:type="dxa"/>
            <w:right w:w="108" w:type="dxa"/>
          </w:tblCellMar>
        </w:tblPrEx>
        <w:trPr>
          <w:cantSplit/>
          <w:trHeight w:val="340" w:hRule="atLeast"/>
        </w:trPr>
        <w:tc>
          <w:tcPr>
            <w:tcW w:w="593" w:type="pct"/>
            <w:shd w:val="clear" w:color="auto" w:fill="auto"/>
            <w:vAlign w:val="center"/>
          </w:tcPr>
          <w:p w14:paraId="1922587B">
            <w:pPr>
              <w:adjustRightInd w:val="0"/>
              <w:snapToGrid w:val="0"/>
              <w:jc w:val="center"/>
              <w:rPr>
                <w:rFonts w:ascii="宋体" w:hAnsi="宋体" w:eastAsia="宋体" w:cs="Times New Roman"/>
                <w:color w:val="auto"/>
              </w:rPr>
            </w:pPr>
            <w:r>
              <w:rPr>
                <w:rFonts w:ascii="宋体" w:hAnsi="宋体" w:eastAsia="宋体" w:cs="Times New Roman"/>
                <w:color w:val="auto"/>
              </w:rPr>
              <w:t>地表水环境</w:t>
            </w:r>
          </w:p>
        </w:tc>
        <w:tc>
          <w:tcPr>
            <w:tcW w:w="1068" w:type="pct"/>
            <w:gridSpan w:val="2"/>
            <w:shd w:val="clear" w:color="auto" w:fill="auto"/>
            <w:vAlign w:val="center"/>
          </w:tcPr>
          <w:p w14:paraId="55A91D61">
            <w:pPr>
              <w:adjustRightInd w:val="0"/>
              <w:snapToGrid w:val="0"/>
              <w:jc w:val="center"/>
              <w:rPr>
                <w:rFonts w:ascii="宋体" w:hAnsi="宋体" w:eastAsia="宋体" w:cs="Times New Roman"/>
                <w:color w:val="auto"/>
              </w:rPr>
            </w:pPr>
            <w:r>
              <w:rPr>
                <w:rFonts w:ascii="宋体" w:hAnsi="宋体" w:eastAsia="宋体" w:cs="Times New Roman"/>
                <w:color w:val="auto"/>
              </w:rPr>
              <w:t>三级B</w:t>
            </w:r>
          </w:p>
        </w:tc>
        <w:tc>
          <w:tcPr>
            <w:tcW w:w="3339" w:type="pct"/>
            <w:shd w:val="clear" w:color="auto" w:fill="auto"/>
            <w:vAlign w:val="center"/>
          </w:tcPr>
          <w:p w14:paraId="53D90301">
            <w:pPr>
              <w:adjustRightInd w:val="0"/>
              <w:snapToGrid w:val="0"/>
              <w:jc w:val="center"/>
              <w:rPr>
                <w:rFonts w:ascii="宋体" w:hAnsi="宋体" w:eastAsia="宋体" w:cs="Times New Roman"/>
                <w:color w:val="auto"/>
              </w:rPr>
            </w:pPr>
            <w:r>
              <w:rPr>
                <w:rFonts w:hint="eastAsia" w:ascii="宋体" w:hAnsi="宋体" w:eastAsia="宋体" w:cs="Times New Roman"/>
                <w:color w:val="auto"/>
              </w:rPr>
              <w:t>中心西干渠、中心东四支渠</w:t>
            </w:r>
            <w:r>
              <w:rPr>
                <w:rFonts w:ascii="宋体" w:hAnsi="宋体" w:eastAsia="宋体" w:cs="Times New Roman"/>
                <w:color w:val="auto"/>
              </w:rPr>
              <w:t>、</w:t>
            </w:r>
            <w:r>
              <w:rPr>
                <w:rFonts w:hint="eastAsia" w:ascii="宋体" w:hAnsi="宋体" w:eastAsia="宋体" w:cs="Times New Roman"/>
                <w:color w:val="auto"/>
              </w:rPr>
              <w:t>西大海</w:t>
            </w:r>
          </w:p>
        </w:tc>
      </w:tr>
      <w:tr w14:paraId="51040576">
        <w:tblPrEx>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CellMar>
            <w:top w:w="0" w:type="dxa"/>
            <w:left w:w="108" w:type="dxa"/>
            <w:bottom w:w="0" w:type="dxa"/>
            <w:right w:w="108" w:type="dxa"/>
          </w:tblCellMar>
        </w:tblPrEx>
        <w:trPr>
          <w:cantSplit/>
          <w:trHeight w:val="340" w:hRule="atLeast"/>
        </w:trPr>
        <w:tc>
          <w:tcPr>
            <w:tcW w:w="593" w:type="pct"/>
            <w:vMerge w:val="restart"/>
            <w:shd w:val="clear" w:color="auto" w:fill="auto"/>
            <w:vAlign w:val="center"/>
          </w:tcPr>
          <w:p w14:paraId="28873F1F">
            <w:pPr>
              <w:adjustRightInd w:val="0"/>
              <w:snapToGrid w:val="0"/>
              <w:jc w:val="center"/>
              <w:rPr>
                <w:rFonts w:ascii="宋体" w:hAnsi="宋体" w:eastAsia="宋体" w:cs="Times New Roman"/>
                <w:color w:val="auto"/>
              </w:rPr>
            </w:pPr>
            <w:r>
              <w:rPr>
                <w:rFonts w:ascii="宋体" w:hAnsi="宋体" w:eastAsia="宋体" w:cs="Times New Roman"/>
                <w:color w:val="auto"/>
              </w:rPr>
              <w:t>地下水环境</w:t>
            </w:r>
          </w:p>
        </w:tc>
        <w:tc>
          <w:tcPr>
            <w:tcW w:w="686" w:type="pct"/>
            <w:shd w:val="clear" w:color="auto" w:fill="auto"/>
            <w:vAlign w:val="center"/>
          </w:tcPr>
          <w:p w14:paraId="678D5609">
            <w:pPr>
              <w:adjustRightInd w:val="0"/>
              <w:snapToGrid w:val="0"/>
              <w:jc w:val="center"/>
              <w:rPr>
                <w:rFonts w:ascii="宋体" w:hAnsi="宋体" w:eastAsia="宋体" w:cs="Times New Roman"/>
                <w:color w:val="auto"/>
              </w:rPr>
            </w:pPr>
            <w:r>
              <w:rPr>
                <w:rFonts w:ascii="宋体" w:hAnsi="宋体" w:eastAsia="宋体" w:cs="Times New Roman"/>
                <w:color w:val="auto"/>
              </w:rPr>
              <w:t>井场及拉油点</w:t>
            </w:r>
          </w:p>
        </w:tc>
        <w:tc>
          <w:tcPr>
            <w:tcW w:w="382" w:type="pct"/>
            <w:shd w:val="clear" w:color="auto" w:fill="auto"/>
            <w:vAlign w:val="center"/>
          </w:tcPr>
          <w:p w14:paraId="342A85F1">
            <w:pPr>
              <w:adjustRightInd w:val="0"/>
              <w:snapToGrid w:val="0"/>
              <w:jc w:val="center"/>
              <w:rPr>
                <w:rFonts w:ascii="宋体" w:hAnsi="宋体" w:eastAsia="宋体" w:cs="Times New Roman"/>
                <w:color w:val="auto"/>
              </w:rPr>
            </w:pPr>
            <w:r>
              <w:rPr>
                <w:rFonts w:ascii="宋体" w:hAnsi="宋体" w:eastAsia="宋体" w:cs="Times New Roman"/>
                <w:color w:val="auto"/>
              </w:rPr>
              <w:t>二级</w:t>
            </w:r>
          </w:p>
        </w:tc>
        <w:tc>
          <w:tcPr>
            <w:tcW w:w="3339" w:type="pct"/>
            <w:vMerge w:val="restart"/>
            <w:shd w:val="clear" w:color="auto" w:fill="auto"/>
            <w:vAlign w:val="center"/>
          </w:tcPr>
          <w:p w14:paraId="5E612CE4">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拟建井场两侧及上游不小于250m、管线工程边界两侧各向外延伸不小于200m，且包含现状监测点位东北→西南走向的合围区域，共计约</w:t>
            </w:r>
            <w:r>
              <w:rPr>
                <w:rFonts w:hint="eastAsia" w:ascii="宋体" w:hAnsi="宋体" w:eastAsia="宋体" w:cs="Times New Roman"/>
                <w:snapToGrid w:val="0"/>
                <w:color w:val="auto"/>
              </w:rPr>
              <w:t>50</w:t>
            </w:r>
            <w:r>
              <w:rPr>
                <w:rFonts w:ascii="宋体" w:hAnsi="宋体" w:eastAsia="宋体" w:cs="Times New Roman"/>
                <w:snapToGrid w:val="0"/>
                <w:color w:val="auto"/>
              </w:rPr>
              <w:t>km</w:t>
            </w:r>
            <w:r>
              <w:rPr>
                <w:rFonts w:ascii="宋体" w:hAnsi="宋体" w:eastAsia="宋体" w:cs="Times New Roman"/>
                <w:snapToGrid w:val="0"/>
                <w:color w:val="auto"/>
                <w:vertAlign w:val="superscript"/>
              </w:rPr>
              <w:t>2</w:t>
            </w:r>
          </w:p>
        </w:tc>
      </w:tr>
      <w:tr w14:paraId="4758E166">
        <w:tblPrEx>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CellMar>
            <w:top w:w="0" w:type="dxa"/>
            <w:left w:w="108" w:type="dxa"/>
            <w:bottom w:w="0" w:type="dxa"/>
            <w:right w:w="108" w:type="dxa"/>
          </w:tblCellMar>
        </w:tblPrEx>
        <w:trPr>
          <w:cantSplit/>
          <w:trHeight w:val="340" w:hRule="atLeast"/>
        </w:trPr>
        <w:tc>
          <w:tcPr>
            <w:tcW w:w="593" w:type="pct"/>
            <w:vMerge w:val="continue"/>
            <w:shd w:val="clear" w:color="auto" w:fill="auto"/>
            <w:vAlign w:val="center"/>
          </w:tcPr>
          <w:p w14:paraId="22526985">
            <w:pPr>
              <w:adjustRightInd w:val="0"/>
              <w:snapToGrid w:val="0"/>
              <w:jc w:val="center"/>
              <w:rPr>
                <w:rFonts w:ascii="宋体" w:hAnsi="宋体" w:eastAsia="宋体" w:cs="Times New Roman"/>
                <w:color w:val="auto"/>
              </w:rPr>
            </w:pPr>
          </w:p>
        </w:tc>
        <w:tc>
          <w:tcPr>
            <w:tcW w:w="686" w:type="pct"/>
            <w:shd w:val="clear" w:color="auto" w:fill="auto"/>
            <w:vAlign w:val="center"/>
          </w:tcPr>
          <w:p w14:paraId="4EA6CB23">
            <w:pPr>
              <w:adjustRightInd w:val="0"/>
              <w:snapToGrid w:val="0"/>
              <w:jc w:val="center"/>
              <w:rPr>
                <w:rFonts w:ascii="宋体" w:hAnsi="宋体" w:eastAsia="宋体" w:cs="Times New Roman"/>
                <w:color w:val="auto"/>
              </w:rPr>
            </w:pPr>
            <w:r>
              <w:rPr>
                <w:rFonts w:ascii="宋体" w:hAnsi="宋体" w:eastAsia="宋体" w:cs="Times New Roman"/>
                <w:color w:val="auto"/>
              </w:rPr>
              <w:t>集输管线</w:t>
            </w:r>
          </w:p>
        </w:tc>
        <w:tc>
          <w:tcPr>
            <w:tcW w:w="382" w:type="pct"/>
            <w:shd w:val="clear" w:color="auto" w:fill="auto"/>
            <w:vAlign w:val="center"/>
          </w:tcPr>
          <w:p w14:paraId="6FCBE3EA">
            <w:pPr>
              <w:adjustRightInd w:val="0"/>
              <w:snapToGrid w:val="0"/>
              <w:jc w:val="center"/>
              <w:rPr>
                <w:rFonts w:ascii="宋体" w:hAnsi="宋体" w:eastAsia="宋体" w:cs="Times New Roman"/>
                <w:color w:val="auto"/>
              </w:rPr>
            </w:pPr>
            <w:r>
              <w:rPr>
                <w:rFonts w:ascii="宋体" w:hAnsi="宋体" w:eastAsia="宋体" w:cs="Times New Roman"/>
                <w:color w:val="auto"/>
              </w:rPr>
              <w:t>三级</w:t>
            </w:r>
          </w:p>
        </w:tc>
        <w:tc>
          <w:tcPr>
            <w:tcW w:w="3339" w:type="pct"/>
            <w:vMerge w:val="continue"/>
            <w:shd w:val="clear" w:color="auto" w:fill="auto"/>
            <w:vAlign w:val="center"/>
          </w:tcPr>
          <w:p w14:paraId="7BF37EEA">
            <w:pPr>
              <w:adjustRightInd w:val="0"/>
              <w:snapToGrid w:val="0"/>
              <w:jc w:val="center"/>
              <w:rPr>
                <w:rFonts w:ascii="宋体" w:hAnsi="宋体" w:eastAsia="宋体" w:cs="Times New Roman"/>
                <w:color w:val="auto"/>
              </w:rPr>
            </w:pPr>
          </w:p>
        </w:tc>
      </w:tr>
      <w:tr w14:paraId="224F3CA5">
        <w:tblPrEx>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CellMar>
            <w:top w:w="0" w:type="dxa"/>
            <w:left w:w="108" w:type="dxa"/>
            <w:bottom w:w="0" w:type="dxa"/>
            <w:right w:w="108" w:type="dxa"/>
          </w:tblCellMar>
        </w:tblPrEx>
        <w:trPr>
          <w:cantSplit/>
          <w:trHeight w:val="340" w:hRule="atLeast"/>
        </w:trPr>
        <w:tc>
          <w:tcPr>
            <w:tcW w:w="593" w:type="pct"/>
            <w:vMerge w:val="restart"/>
            <w:shd w:val="clear" w:color="auto" w:fill="auto"/>
            <w:vAlign w:val="center"/>
          </w:tcPr>
          <w:p w14:paraId="37CBF2C7">
            <w:pPr>
              <w:adjustRightInd w:val="0"/>
              <w:snapToGrid w:val="0"/>
              <w:jc w:val="center"/>
              <w:rPr>
                <w:rFonts w:ascii="宋体" w:hAnsi="宋体" w:eastAsia="宋体" w:cs="Times New Roman"/>
                <w:color w:val="auto"/>
              </w:rPr>
            </w:pPr>
            <w:r>
              <w:rPr>
                <w:rFonts w:ascii="宋体" w:hAnsi="宋体" w:eastAsia="宋体" w:cs="Times New Roman"/>
                <w:color w:val="auto"/>
              </w:rPr>
              <w:t>土壤环境</w:t>
            </w:r>
          </w:p>
        </w:tc>
        <w:tc>
          <w:tcPr>
            <w:tcW w:w="686" w:type="pct"/>
            <w:shd w:val="clear" w:color="auto" w:fill="auto"/>
            <w:vAlign w:val="center"/>
          </w:tcPr>
          <w:p w14:paraId="262D8546">
            <w:pPr>
              <w:adjustRightInd w:val="0"/>
              <w:snapToGrid w:val="0"/>
              <w:jc w:val="center"/>
              <w:rPr>
                <w:rFonts w:ascii="宋体" w:hAnsi="宋体" w:eastAsia="宋体" w:cs="Times New Roman"/>
                <w:color w:val="auto"/>
              </w:rPr>
            </w:pPr>
            <w:r>
              <w:rPr>
                <w:rFonts w:ascii="宋体" w:hAnsi="宋体" w:eastAsia="宋体" w:cs="Times New Roman"/>
                <w:color w:val="auto"/>
              </w:rPr>
              <w:t>井场及拉油点</w:t>
            </w:r>
          </w:p>
        </w:tc>
        <w:tc>
          <w:tcPr>
            <w:tcW w:w="382" w:type="pct"/>
            <w:shd w:val="clear" w:color="auto" w:fill="auto"/>
            <w:vAlign w:val="center"/>
          </w:tcPr>
          <w:p w14:paraId="3B5EA51F">
            <w:pPr>
              <w:adjustRightInd w:val="0"/>
              <w:snapToGrid w:val="0"/>
              <w:jc w:val="center"/>
              <w:rPr>
                <w:rFonts w:ascii="宋体" w:hAnsi="宋体" w:eastAsia="宋体" w:cs="Times New Roman"/>
                <w:color w:val="auto"/>
              </w:rPr>
            </w:pPr>
            <w:r>
              <w:rPr>
                <w:rFonts w:ascii="宋体" w:hAnsi="宋体" w:eastAsia="宋体" w:cs="Times New Roman"/>
                <w:color w:val="auto"/>
              </w:rPr>
              <w:t>一级</w:t>
            </w:r>
          </w:p>
        </w:tc>
        <w:tc>
          <w:tcPr>
            <w:tcW w:w="3339" w:type="pct"/>
            <w:vMerge w:val="restart"/>
            <w:shd w:val="clear" w:color="auto" w:fill="auto"/>
            <w:vAlign w:val="center"/>
          </w:tcPr>
          <w:p w14:paraId="38F1762C">
            <w:pPr>
              <w:adjustRightInd w:val="0"/>
              <w:snapToGrid w:val="0"/>
              <w:jc w:val="center"/>
              <w:rPr>
                <w:rFonts w:ascii="宋体" w:hAnsi="宋体" w:eastAsia="宋体" w:cs="Times New Roman"/>
                <w:color w:val="auto"/>
              </w:rPr>
            </w:pPr>
            <w:r>
              <w:rPr>
                <w:rFonts w:ascii="宋体" w:hAnsi="宋体" w:eastAsia="宋体" w:cs="Times New Roman"/>
                <w:color w:val="auto"/>
              </w:rPr>
              <w:t>拟建井场和拉油点边界外扩1km及集油管线工程边界两侧向外延伸0.2km的土壤环境</w:t>
            </w:r>
          </w:p>
        </w:tc>
      </w:tr>
      <w:tr w14:paraId="4D8EE74C">
        <w:tblPrEx>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CellMar>
            <w:top w:w="0" w:type="dxa"/>
            <w:left w:w="108" w:type="dxa"/>
            <w:bottom w:w="0" w:type="dxa"/>
            <w:right w:w="108" w:type="dxa"/>
          </w:tblCellMar>
        </w:tblPrEx>
        <w:trPr>
          <w:cantSplit/>
          <w:trHeight w:val="340" w:hRule="atLeast"/>
        </w:trPr>
        <w:tc>
          <w:tcPr>
            <w:tcW w:w="593" w:type="pct"/>
            <w:vMerge w:val="continue"/>
            <w:shd w:val="clear" w:color="auto" w:fill="auto"/>
            <w:vAlign w:val="center"/>
          </w:tcPr>
          <w:p w14:paraId="54D6446E">
            <w:pPr>
              <w:adjustRightInd w:val="0"/>
              <w:snapToGrid w:val="0"/>
              <w:jc w:val="center"/>
              <w:rPr>
                <w:rFonts w:ascii="宋体" w:hAnsi="宋体" w:eastAsia="宋体" w:cs="Times New Roman"/>
                <w:color w:val="auto"/>
              </w:rPr>
            </w:pPr>
          </w:p>
        </w:tc>
        <w:tc>
          <w:tcPr>
            <w:tcW w:w="686" w:type="pct"/>
            <w:shd w:val="clear" w:color="auto" w:fill="auto"/>
            <w:vAlign w:val="center"/>
          </w:tcPr>
          <w:p w14:paraId="3B0C1C88">
            <w:pPr>
              <w:adjustRightInd w:val="0"/>
              <w:snapToGrid w:val="0"/>
              <w:jc w:val="center"/>
              <w:rPr>
                <w:rFonts w:ascii="宋体" w:hAnsi="宋体" w:eastAsia="宋体" w:cs="Times New Roman"/>
                <w:color w:val="auto"/>
              </w:rPr>
            </w:pPr>
            <w:r>
              <w:rPr>
                <w:rFonts w:ascii="宋体" w:hAnsi="宋体" w:eastAsia="宋体" w:cs="Times New Roman"/>
                <w:color w:val="auto"/>
              </w:rPr>
              <w:t>集输管线</w:t>
            </w:r>
          </w:p>
        </w:tc>
        <w:tc>
          <w:tcPr>
            <w:tcW w:w="382" w:type="pct"/>
            <w:shd w:val="clear" w:color="auto" w:fill="auto"/>
            <w:vAlign w:val="center"/>
          </w:tcPr>
          <w:p w14:paraId="5AAF6ED0">
            <w:pPr>
              <w:adjustRightInd w:val="0"/>
              <w:snapToGrid w:val="0"/>
              <w:jc w:val="center"/>
              <w:rPr>
                <w:rFonts w:ascii="宋体" w:hAnsi="宋体" w:eastAsia="宋体" w:cs="Times New Roman"/>
                <w:color w:val="auto"/>
              </w:rPr>
            </w:pPr>
            <w:r>
              <w:rPr>
                <w:rFonts w:ascii="宋体" w:hAnsi="宋体" w:eastAsia="宋体" w:cs="Times New Roman"/>
                <w:color w:val="auto"/>
              </w:rPr>
              <w:t>二级</w:t>
            </w:r>
          </w:p>
        </w:tc>
        <w:tc>
          <w:tcPr>
            <w:tcW w:w="3339" w:type="pct"/>
            <w:vMerge w:val="continue"/>
            <w:shd w:val="clear" w:color="auto" w:fill="auto"/>
            <w:vAlign w:val="center"/>
          </w:tcPr>
          <w:p w14:paraId="173B0080">
            <w:pPr>
              <w:adjustRightInd w:val="0"/>
              <w:snapToGrid w:val="0"/>
              <w:jc w:val="center"/>
              <w:rPr>
                <w:rFonts w:ascii="宋体" w:hAnsi="宋体" w:eastAsia="宋体" w:cs="Times New Roman"/>
                <w:color w:val="auto"/>
              </w:rPr>
            </w:pPr>
          </w:p>
        </w:tc>
      </w:tr>
      <w:tr w14:paraId="71C21CFF">
        <w:tblPrEx>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CellMar>
            <w:top w:w="0" w:type="dxa"/>
            <w:left w:w="108" w:type="dxa"/>
            <w:bottom w:w="0" w:type="dxa"/>
            <w:right w:w="108" w:type="dxa"/>
          </w:tblCellMar>
        </w:tblPrEx>
        <w:trPr>
          <w:cantSplit/>
          <w:trHeight w:val="340" w:hRule="atLeast"/>
        </w:trPr>
        <w:tc>
          <w:tcPr>
            <w:tcW w:w="593" w:type="pct"/>
            <w:shd w:val="clear" w:color="auto" w:fill="auto"/>
            <w:vAlign w:val="center"/>
          </w:tcPr>
          <w:p w14:paraId="7E4C1C4E">
            <w:pPr>
              <w:adjustRightInd w:val="0"/>
              <w:snapToGrid w:val="0"/>
              <w:jc w:val="center"/>
              <w:rPr>
                <w:rFonts w:ascii="宋体" w:hAnsi="宋体" w:eastAsia="宋体" w:cs="Times New Roman"/>
                <w:color w:val="auto"/>
              </w:rPr>
            </w:pPr>
            <w:r>
              <w:rPr>
                <w:rFonts w:ascii="宋体" w:hAnsi="宋体" w:eastAsia="宋体" w:cs="Times New Roman"/>
                <w:color w:val="auto"/>
              </w:rPr>
              <w:t>生态环境</w:t>
            </w:r>
          </w:p>
        </w:tc>
        <w:tc>
          <w:tcPr>
            <w:tcW w:w="1068" w:type="pct"/>
            <w:gridSpan w:val="2"/>
            <w:shd w:val="clear" w:color="auto" w:fill="auto"/>
            <w:vAlign w:val="center"/>
          </w:tcPr>
          <w:p w14:paraId="48E6EA66">
            <w:pPr>
              <w:adjustRightInd w:val="0"/>
              <w:snapToGrid w:val="0"/>
              <w:jc w:val="center"/>
              <w:rPr>
                <w:rFonts w:ascii="宋体" w:hAnsi="宋体" w:eastAsia="宋体" w:cs="Times New Roman"/>
                <w:color w:val="auto"/>
              </w:rPr>
            </w:pPr>
            <w:r>
              <w:rPr>
                <w:rFonts w:ascii="宋体" w:hAnsi="宋体" w:eastAsia="宋体" w:cs="Times New Roman"/>
                <w:color w:val="auto"/>
              </w:rPr>
              <w:t>二级</w:t>
            </w:r>
          </w:p>
        </w:tc>
        <w:tc>
          <w:tcPr>
            <w:tcW w:w="3339" w:type="pct"/>
            <w:shd w:val="clear" w:color="auto" w:fill="auto"/>
            <w:vAlign w:val="center"/>
          </w:tcPr>
          <w:p w14:paraId="5DBB33E1">
            <w:pPr>
              <w:adjustRightInd w:val="0"/>
              <w:snapToGrid w:val="0"/>
              <w:jc w:val="center"/>
              <w:rPr>
                <w:rFonts w:ascii="宋体" w:hAnsi="宋体" w:eastAsia="宋体" w:cs="Times New Roman"/>
                <w:color w:val="auto"/>
              </w:rPr>
            </w:pPr>
            <w:r>
              <w:rPr>
                <w:rFonts w:ascii="宋体" w:hAnsi="宋体" w:eastAsia="宋体" w:cs="Times New Roman"/>
                <w:color w:val="auto"/>
              </w:rPr>
              <w:t>拟建井场和拉油点边界外扩50m范围及新建管线、道路沿线两侧外扩300m区域的生态环境，</w:t>
            </w:r>
            <w:r>
              <w:rPr>
                <w:rFonts w:ascii="宋体" w:hAnsi="宋体" w:eastAsia="宋体" w:cs="Times New Roman"/>
                <w:snapToGrid w:val="0"/>
                <w:color w:val="auto"/>
              </w:rPr>
              <w:t>评价范围总面积</w:t>
            </w:r>
            <w:r>
              <w:rPr>
                <w:rFonts w:hint="eastAsia" w:ascii="宋体" w:hAnsi="宋体" w:eastAsia="宋体" w:cs="Times New Roman"/>
                <w:color w:val="auto"/>
                <w:lang w:bidi="ar"/>
              </w:rPr>
              <w:t>151.3</w:t>
            </w:r>
            <w:r>
              <w:rPr>
                <w:rFonts w:ascii="宋体" w:hAnsi="宋体" w:eastAsia="宋体" w:cs="Times New Roman"/>
                <w:color w:val="auto"/>
                <w:lang w:bidi="ar"/>
              </w:rPr>
              <w:t>hm</w:t>
            </w:r>
            <w:r>
              <w:rPr>
                <w:rFonts w:ascii="宋体" w:hAnsi="宋体" w:eastAsia="宋体" w:cs="Times New Roman"/>
                <w:color w:val="auto"/>
                <w:vertAlign w:val="superscript"/>
                <w:lang w:bidi="ar"/>
              </w:rPr>
              <w:t>2</w:t>
            </w:r>
            <w:r>
              <w:rPr>
                <w:rFonts w:ascii="宋体" w:hAnsi="宋体" w:eastAsia="宋体" w:cs="Times New Roman"/>
                <w:color w:val="auto"/>
                <w:lang w:bidi="ar"/>
              </w:rPr>
              <w:t>。</w:t>
            </w:r>
          </w:p>
        </w:tc>
      </w:tr>
      <w:tr w14:paraId="4985F830">
        <w:tblPrEx>
          <w:tblBorders>
            <w:top w:val="single" w:color="000000" w:sz="4" w:space="0"/>
            <w:left w:val="single" w:color="000000" w:sz="4" w:space="0"/>
            <w:bottom w:val="single" w:color="000000" w:sz="4" w:space="0"/>
            <w:right w:val="single" w:color="000000" w:sz="4" w:space="0"/>
            <w:insideH w:val="single" w:color="000000" w:sz="4" w:space="0"/>
            <w:insideV w:val="single" w:color="auto" w:sz="4" w:space="0"/>
          </w:tblBorders>
          <w:tblCellMar>
            <w:top w:w="0" w:type="dxa"/>
            <w:left w:w="108" w:type="dxa"/>
            <w:bottom w:w="0" w:type="dxa"/>
            <w:right w:w="108" w:type="dxa"/>
          </w:tblCellMar>
        </w:tblPrEx>
        <w:trPr>
          <w:cantSplit/>
          <w:trHeight w:val="340" w:hRule="atLeast"/>
        </w:trPr>
        <w:tc>
          <w:tcPr>
            <w:tcW w:w="593" w:type="pct"/>
            <w:shd w:val="clear" w:color="auto" w:fill="auto"/>
            <w:vAlign w:val="center"/>
          </w:tcPr>
          <w:p w14:paraId="3EDF4FCF">
            <w:pPr>
              <w:adjustRightInd w:val="0"/>
              <w:snapToGrid w:val="0"/>
              <w:jc w:val="center"/>
              <w:rPr>
                <w:rFonts w:ascii="宋体" w:hAnsi="宋体" w:eastAsia="宋体" w:cs="Times New Roman"/>
                <w:color w:val="auto"/>
              </w:rPr>
            </w:pPr>
            <w:r>
              <w:rPr>
                <w:rFonts w:ascii="宋体" w:hAnsi="宋体" w:eastAsia="宋体" w:cs="Times New Roman"/>
                <w:color w:val="auto"/>
              </w:rPr>
              <w:t>环境风险</w:t>
            </w:r>
          </w:p>
        </w:tc>
        <w:tc>
          <w:tcPr>
            <w:tcW w:w="1068" w:type="pct"/>
            <w:gridSpan w:val="2"/>
            <w:shd w:val="clear" w:color="auto" w:fill="auto"/>
            <w:vAlign w:val="center"/>
          </w:tcPr>
          <w:p w14:paraId="180584B4">
            <w:pPr>
              <w:adjustRightInd w:val="0"/>
              <w:snapToGrid w:val="0"/>
              <w:jc w:val="center"/>
              <w:rPr>
                <w:rFonts w:ascii="宋体" w:hAnsi="宋体" w:eastAsia="宋体" w:cs="Times New Roman"/>
                <w:color w:val="auto"/>
              </w:rPr>
            </w:pPr>
            <w:r>
              <w:rPr>
                <w:rFonts w:ascii="宋体" w:hAnsi="宋体" w:eastAsia="宋体" w:cs="Times New Roman"/>
                <w:color w:val="auto"/>
              </w:rPr>
              <w:t>简单分析</w:t>
            </w:r>
          </w:p>
        </w:tc>
        <w:tc>
          <w:tcPr>
            <w:tcW w:w="3339" w:type="pct"/>
            <w:shd w:val="clear" w:color="auto" w:fill="auto"/>
            <w:vAlign w:val="center"/>
          </w:tcPr>
          <w:p w14:paraId="26C0B254">
            <w:pPr>
              <w:adjustRightInd w:val="0"/>
              <w:snapToGrid w:val="0"/>
              <w:jc w:val="center"/>
              <w:rPr>
                <w:rFonts w:ascii="宋体" w:hAnsi="宋体" w:eastAsia="宋体" w:cs="Times New Roman"/>
                <w:color w:val="auto"/>
              </w:rPr>
            </w:pPr>
            <w:r>
              <w:rPr>
                <w:rFonts w:ascii="宋体" w:hAnsi="宋体" w:eastAsia="宋体" w:cs="Times New Roman"/>
                <w:color w:val="auto"/>
              </w:rPr>
              <w:t>拟建井场和拉油点边界外扩2.5km及新建管线、道路沿线两侧外扩200m范围的区域</w:t>
            </w:r>
          </w:p>
        </w:tc>
      </w:tr>
    </w:tbl>
    <w:p w14:paraId="338F21B4">
      <w:pPr>
        <w:pStyle w:val="5"/>
        <w:rPr>
          <w:bCs w:val="0"/>
          <w:color w:val="auto"/>
        </w:rPr>
      </w:pPr>
      <w:bookmarkStart w:id="545" w:name="_Toc212033009"/>
      <w:bookmarkStart w:id="546" w:name="_Toc5799"/>
      <w:r>
        <w:rPr>
          <w:bCs w:val="0"/>
          <w:color w:val="auto"/>
        </w:rPr>
        <w:t>环境保护目标</w:t>
      </w:r>
      <w:bookmarkEnd w:id="545"/>
      <w:bookmarkEnd w:id="546"/>
    </w:p>
    <w:p w14:paraId="150CCF2F">
      <w:pPr>
        <w:pStyle w:val="276"/>
        <w:widowControl w:val="0"/>
        <w:spacing w:line="440" w:lineRule="exact"/>
        <w:ind w:firstLine="480"/>
        <w:jc w:val="both"/>
        <w:rPr>
          <w:color w:val="auto"/>
          <w:kern w:val="21"/>
        </w:rPr>
      </w:pPr>
      <w:bookmarkStart w:id="547" w:name="_Toc11047822"/>
      <w:r>
        <w:rPr>
          <w:color w:val="auto"/>
          <w:kern w:val="21"/>
        </w:rPr>
        <w:t>本项目位于</w:t>
      </w:r>
      <w:r>
        <w:rPr>
          <w:snapToGrid w:val="0"/>
          <w:color w:val="auto"/>
        </w:rPr>
        <w:t>大庆市肇源县和平乡后欧力马屯西侧及东侧、四方山村北侧以及肇源镇刘兽医屯东侧</w:t>
      </w:r>
      <w:r>
        <w:rPr>
          <w:color w:val="auto"/>
          <w:kern w:val="21"/>
        </w:rPr>
        <w:t>，根据调查，本项目不涉及国家公园、自然保护区、风景名胜区、世界文化和自然遗产地、海洋特别保护区、基本草原、自然公园、重要湿地、天然林、重点保护野生动物栖息地、重点保护野生植物生长繁殖地、重要水生生物的自然产卵场、索饵场、越冬场和洄游通道、天然渔场、沙化土地封禁保护区、封闭及半封闭海域、文物保护单位等环境敏感区。</w:t>
      </w:r>
    </w:p>
    <w:bookmarkEnd w:id="547"/>
    <w:p w14:paraId="2774FAEB">
      <w:pPr>
        <w:pStyle w:val="276"/>
        <w:widowControl w:val="0"/>
        <w:spacing w:line="440" w:lineRule="exact"/>
        <w:ind w:firstLine="480"/>
        <w:jc w:val="both"/>
        <w:rPr>
          <w:color w:val="auto"/>
          <w:kern w:val="21"/>
        </w:rPr>
      </w:pPr>
      <w:r>
        <w:rPr>
          <w:color w:val="auto"/>
          <w:kern w:val="21"/>
        </w:rPr>
        <w:t>项目主要大气环境保护目标见表2.7-1，环境风险保护目标见表2.7-2，</w:t>
      </w:r>
      <w:r>
        <w:rPr>
          <w:rFonts w:hint="eastAsia"/>
          <w:color w:val="auto"/>
          <w:kern w:val="21"/>
        </w:rPr>
        <w:t>声环境</w:t>
      </w:r>
      <w:r>
        <w:rPr>
          <w:color w:val="auto"/>
          <w:kern w:val="21"/>
        </w:rPr>
        <w:t>保护目标见表2.7-3，</w:t>
      </w:r>
      <w:r>
        <w:rPr>
          <w:rFonts w:hint="eastAsia"/>
          <w:color w:val="auto"/>
          <w:kern w:val="21"/>
        </w:rPr>
        <w:t>土壤环境</w:t>
      </w:r>
      <w:r>
        <w:rPr>
          <w:color w:val="auto"/>
          <w:kern w:val="21"/>
        </w:rPr>
        <w:t>保护目标见表2.7-4，环境风险保护</w:t>
      </w:r>
      <w:r>
        <w:rPr>
          <w:snapToGrid w:val="0"/>
          <w:color w:val="auto"/>
        </w:rPr>
        <w:t>目标</w:t>
      </w:r>
      <w:r>
        <w:rPr>
          <w:color w:val="auto"/>
          <w:kern w:val="21"/>
        </w:rPr>
        <w:t>见表2.7-5，主要环境保护目标分布图见附图5-1。</w:t>
      </w:r>
    </w:p>
    <w:p w14:paraId="4DCACFBA">
      <w:pPr>
        <w:pStyle w:val="22"/>
        <w:spacing w:before="156"/>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2.7</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大气主要环境保护目标表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7"/>
        <w:gridCol w:w="1161"/>
        <w:gridCol w:w="1056"/>
        <w:gridCol w:w="717"/>
        <w:gridCol w:w="1536"/>
        <w:gridCol w:w="1103"/>
        <w:gridCol w:w="1349"/>
        <w:gridCol w:w="1097"/>
      </w:tblGrid>
      <w:tr w14:paraId="1C31D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vMerge w:val="restart"/>
            <w:shd w:val="clear" w:color="auto" w:fill="auto"/>
            <w:vAlign w:val="center"/>
          </w:tcPr>
          <w:p w14:paraId="789001E9">
            <w:pPr>
              <w:jc w:val="center"/>
              <w:rPr>
                <w:rFonts w:ascii="宋体" w:hAnsi="宋体" w:eastAsia="宋体" w:cs="Times New Roman"/>
                <w:color w:val="auto"/>
              </w:rPr>
            </w:pPr>
            <w:r>
              <w:rPr>
                <w:rFonts w:ascii="宋体" w:hAnsi="宋体" w:eastAsia="宋体" w:cs="Times New Roman"/>
                <w:color w:val="auto"/>
              </w:rPr>
              <w:t>名称</w:t>
            </w:r>
          </w:p>
        </w:tc>
        <w:tc>
          <w:tcPr>
            <w:tcW w:w="1098" w:type="pct"/>
            <w:gridSpan w:val="2"/>
            <w:shd w:val="clear" w:color="auto" w:fill="auto"/>
            <w:vAlign w:val="center"/>
          </w:tcPr>
          <w:p w14:paraId="47A644B3">
            <w:pPr>
              <w:jc w:val="center"/>
              <w:rPr>
                <w:rFonts w:ascii="宋体" w:hAnsi="宋体" w:eastAsia="宋体" w:cs="Times New Roman"/>
                <w:color w:val="auto"/>
              </w:rPr>
            </w:pPr>
            <w:r>
              <w:rPr>
                <w:rFonts w:ascii="宋体" w:hAnsi="宋体" w:eastAsia="宋体" w:cs="Times New Roman"/>
                <w:color w:val="auto"/>
              </w:rPr>
              <w:t>坐标</w:t>
            </w:r>
            <w:r>
              <w:rPr>
                <w:rStyle w:val="116"/>
                <w:rFonts w:hint="eastAsia" w:ascii="宋体" w:hAnsi="宋体" w:eastAsia="宋体" w:cs="Times New Roman"/>
                <w:color w:val="auto"/>
              </w:rPr>
              <w:t>/°</w:t>
            </w:r>
          </w:p>
        </w:tc>
        <w:tc>
          <w:tcPr>
            <w:tcW w:w="402" w:type="pct"/>
            <w:vMerge w:val="restart"/>
            <w:shd w:val="clear" w:color="auto" w:fill="auto"/>
            <w:vAlign w:val="center"/>
          </w:tcPr>
          <w:p w14:paraId="50A66703">
            <w:pPr>
              <w:jc w:val="center"/>
              <w:rPr>
                <w:rFonts w:ascii="宋体" w:hAnsi="宋体" w:eastAsia="宋体" w:cs="Times New Roman"/>
                <w:color w:val="auto"/>
              </w:rPr>
            </w:pPr>
            <w:r>
              <w:rPr>
                <w:rFonts w:ascii="宋体" w:hAnsi="宋体" w:eastAsia="宋体" w:cs="Times New Roman"/>
                <w:color w:val="auto"/>
              </w:rPr>
              <w:t>保护对象</w:t>
            </w:r>
          </w:p>
        </w:tc>
        <w:tc>
          <w:tcPr>
            <w:tcW w:w="843" w:type="pct"/>
            <w:vMerge w:val="restart"/>
            <w:shd w:val="clear" w:color="auto" w:fill="auto"/>
            <w:vAlign w:val="center"/>
          </w:tcPr>
          <w:p w14:paraId="1ACAABB8">
            <w:pPr>
              <w:jc w:val="center"/>
              <w:rPr>
                <w:rFonts w:ascii="宋体" w:hAnsi="宋体" w:eastAsia="宋体" w:cs="Times New Roman"/>
                <w:color w:val="auto"/>
              </w:rPr>
            </w:pPr>
            <w:r>
              <w:rPr>
                <w:rFonts w:ascii="宋体" w:hAnsi="宋体" w:eastAsia="宋体" w:cs="Times New Roman"/>
                <w:color w:val="auto"/>
              </w:rPr>
              <w:t>保护内容</w:t>
            </w:r>
          </w:p>
        </w:tc>
        <w:tc>
          <w:tcPr>
            <w:tcW w:w="610" w:type="pct"/>
            <w:vMerge w:val="restart"/>
            <w:shd w:val="clear" w:color="auto" w:fill="auto"/>
            <w:vAlign w:val="center"/>
          </w:tcPr>
          <w:p w14:paraId="6C2A6C36">
            <w:pPr>
              <w:jc w:val="center"/>
              <w:rPr>
                <w:rFonts w:ascii="宋体" w:hAnsi="宋体" w:eastAsia="宋体" w:cs="Times New Roman"/>
                <w:color w:val="auto"/>
              </w:rPr>
            </w:pPr>
            <w:r>
              <w:rPr>
                <w:rFonts w:ascii="宋体" w:hAnsi="宋体" w:eastAsia="宋体" w:cs="Times New Roman"/>
                <w:color w:val="auto"/>
              </w:rPr>
              <w:t>环境功能区</w:t>
            </w:r>
          </w:p>
        </w:tc>
        <w:tc>
          <w:tcPr>
            <w:tcW w:w="742" w:type="pct"/>
            <w:vMerge w:val="restart"/>
            <w:shd w:val="clear" w:color="auto" w:fill="auto"/>
            <w:vAlign w:val="center"/>
          </w:tcPr>
          <w:p w14:paraId="32864090">
            <w:pPr>
              <w:jc w:val="center"/>
              <w:rPr>
                <w:rFonts w:ascii="宋体" w:hAnsi="宋体" w:eastAsia="宋体" w:cs="Times New Roman"/>
                <w:color w:val="auto"/>
              </w:rPr>
            </w:pPr>
            <w:r>
              <w:rPr>
                <w:rFonts w:ascii="宋体" w:hAnsi="宋体" w:eastAsia="宋体" w:cs="Times New Roman"/>
                <w:color w:val="auto"/>
              </w:rPr>
              <w:t>相对厂址方位</w:t>
            </w:r>
          </w:p>
        </w:tc>
        <w:tc>
          <w:tcPr>
            <w:tcW w:w="606" w:type="pct"/>
            <w:vMerge w:val="restart"/>
            <w:shd w:val="clear" w:color="auto" w:fill="auto"/>
            <w:vAlign w:val="center"/>
          </w:tcPr>
          <w:p w14:paraId="6367B258">
            <w:pPr>
              <w:jc w:val="center"/>
              <w:rPr>
                <w:rFonts w:ascii="宋体" w:hAnsi="宋体" w:eastAsia="宋体" w:cs="Times New Roman"/>
                <w:color w:val="auto"/>
              </w:rPr>
            </w:pPr>
            <w:r>
              <w:rPr>
                <w:rFonts w:ascii="宋体" w:hAnsi="宋体" w:eastAsia="宋体" w:cs="Times New Roman"/>
                <w:color w:val="auto"/>
              </w:rPr>
              <w:t>相对厂界距离/m</w:t>
            </w:r>
          </w:p>
        </w:tc>
      </w:tr>
      <w:tr w14:paraId="751DE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vMerge w:val="continue"/>
            <w:shd w:val="clear" w:color="auto" w:fill="auto"/>
            <w:vAlign w:val="center"/>
          </w:tcPr>
          <w:p w14:paraId="3F4F3E5F">
            <w:pPr>
              <w:jc w:val="center"/>
              <w:rPr>
                <w:rFonts w:ascii="宋体" w:hAnsi="宋体" w:eastAsia="宋体" w:cs="Times New Roman"/>
                <w:color w:val="auto"/>
              </w:rPr>
            </w:pPr>
          </w:p>
        </w:tc>
        <w:tc>
          <w:tcPr>
            <w:tcW w:w="531" w:type="pct"/>
            <w:shd w:val="clear" w:color="auto" w:fill="auto"/>
            <w:vAlign w:val="center"/>
          </w:tcPr>
          <w:p w14:paraId="5E18A5B7">
            <w:pPr>
              <w:jc w:val="center"/>
              <w:rPr>
                <w:rFonts w:ascii="宋体" w:hAnsi="宋体" w:eastAsia="宋体" w:cs="Times New Roman"/>
                <w:color w:val="auto"/>
              </w:rPr>
            </w:pPr>
            <w:r>
              <w:rPr>
                <w:rFonts w:ascii="宋体" w:hAnsi="宋体" w:eastAsia="宋体" w:cs="Times New Roman"/>
                <w:color w:val="auto"/>
              </w:rPr>
              <w:t>经度</w:t>
            </w:r>
          </w:p>
        </w:tc>
        <w:tc>
          <w:tcPr>
            <w:tcW w:w="567" w:type="pct"/>
            <w:shd w:val="clear" w:color="auto" w:fill="auto"/>
            <w:vAlign w:val="center"/>
          </w:tcPr>
          <w:p w14:paraId="729A4A33">
            <w:pPr>
              <w:jc w:val="center"/>
              <w:rPr>
                <w:rFonts w:ascii="宋体" w:hAnsi="宋体" w:eastAsia="宋体" w:cs="Times New Roman"/>
                <w:color w:val="auto"/>
              </w:rPr>
            </w:pPr>
            <w:r>
              <w:rPr>
                <w:rFonts w:ascii="宋体" w:hAnsi="宋体" w:eastAsia="宋体" w:cs="Times New Roman"/>
                <w:color w:val="auto"/>
              </w:rPr>
              <w:t>纬度</w:t>
            </w:r>
          </w:p>
        </w:tc>
        <w:tc>
          <w:tcPr>
            <w:tcW w:w="402" w:type="pct"/>
            <w:vMerge w:val="continue"/>
            <w:shd w:val="clear" w:color="auto" w:fill="auto"/>
            <w:vAlign w:val="center"/>
          </w:tcPr>
          <w:p w14:paraId="241D75DF">
            <w:pPr>
              <w:jc w:val="center"/>
              <w:rPr>
                <w:rFonts w:ascii="宋体" w:hAnsi="宋体" w:eastAsia="宋体" w:cs="Times New Roman"/>
                <w:color w:val="auto"/>
              </w:rPr>
            </w:pPr>
          </w:p>
        </w:tc>
        <w:tc>
          <w:tcPr>
            <w:tcW w:w="843" w:type="pct"/>
            <w:vMerge w:val="continue"/>
            <w:shd w:val="clear" w:color="auto" w:fill="auto"/>
            <w:vAlign w:val="center"/>
          </w:tcPr>
          <w:p w14:paraId="193FC2DB">
            <w:pPr>
              <w:jc w:val="center"/>
              <w:rPr>
                <w:rFonts w:ascii="宋体" w:hAnsi="宋体" w:eastAsia="宋体" w:cs="Times New Roman"/>
                <w:color w:val="auto"/>
              </w:rPr>
            </w:pPr>
          </w:p>
        </w:tc>
        <w:tc>
          <w:tcPr>
            <w:tcW w:w="610" w:type="pct"/>
            <w:vMerge w:val="continue"/>
            <w:shd w:val="clear" w:color="auto" w:fill="auto"/>
            <w:vAlign w:val="center"/>
          </w:tcPr>
          <w:p w14:paraId="3E23130A">
            <w:pPr>
              <w:jc w:val="center"/>
              <w:rPr>
                <w:rFonts w:ascii="宋体" w:hAnsi="宋体" w:eastAsia="宋体" w:cs="Times New Roman"/>
                <w:color w:val="auto"/>
              </w:rPr>
            </w:pPr>
          </w:p>
        </w:tc>
        <w:tc>
          <w:tcPr>
            <w:tcW w:w="742" w:type="pct"/>
            <w:vMerge w:val="continue"/>
            <w:shd w:val="clear" w:color="auto" w:fill="auto"/>
            <w:vAlign w:val="center"/>
          </w:tcPr>
          <w:p w14:paraId="629E4B69">
            <w:pPr>
              <w:jc w:val="center"/>
              <w:rPr>
                <w:rFonts w:ascii="宋体" w:hAnsi="宋体" w:eastAsia="宋体" w:cs="Times New Roman"/>
                <w:color w:val="auto"/>
              </w:rPr>
            </w:pPr>
          </w:p>
        </w:tc>
        <w:tc>
          <w:tcPr>
            <w:tcW w:w="606" w:type="pct"/>
            <w:vMerge w:val="continue"/>
            <w:shd w:val="clear" w:color="auto" w:fill="auto"/>
            <w:vAlign w:val="center"/>
          </w:tcPr>
          <w:p w14:paraId="6DBFE0BF">
            <w:pPr>
              <w:jc w:val="center"/>
              <w:rPr>
                <w:rFonts w:ascii="宋体" w:hAnsi="宋体" w:eastAsia="宋体" w:cs="Times New Roman"/>
                <w:color w:val="auto"/>
              </w:rPr>
            </w:pPr>
          </w:p>
        </w:tc>
      </w:tr>
      <w:tr w14:paraId="7F070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16E3C3A5">
            <w:pPr>
              <w:jc w:val="center"/>
              <w:rPr>
                <w:rFonts w:ascii="宋体" w:hAnsi="宋体" w:eastAsia="宋体" w:cs="Times New Roman"/>
                <w:color w:val="auto"/>
              </w:rPr>
            </w:pPr>
            <w:r>
              <w:rPr>
                <w:rFonts w:hint="eastAsia" w:ascii="宋体" w:hAnsi="宋体" w:eastAsia="宋体" w:cs="Times New Roman"/>
                <w:color w:val="auto"/>
              </w:rPr>
              <w:t>小欧力马屯</w:t>
            </w:r>
          </w:p>
        </w:tc>
        <w:tc>
          <w:tcPr>
            <w:tcW w:w="531" w:type="pct"/>
            <w:shd w:val="clear" w:color="auto" w:fill="auto"/>
            <w:vAlign w:val="center"/>
          </w:tcPr>
          <w:p w14:paraId="3AD5544D">
            <w:pPr>
              <w:jc w:val="center"/>
              <w:rPr>
                <w:rFonts w:ascii="宋体" w:hAnsi="宋体" w:eastAsia="宋体" w:cs="Times New Roman"/>
                <w:color w:val="auto"/>
              </w:rPr>
            </w:pPr>
            <w:r>
              <w:rPr>
                <w:rFonts w:ascii="宋体" w:hAnsi="宋体" w:eastAsia="宋体" w:cs="Times New Roman"/>
                <w:color w:val="auto"/>
              </w:rPr>
              <w:t>125.18909</w:t>
            </w:r>
          </w:p>
        </w:tc>
        <w:tc>
          <w:tcPr>
            <w:tcW w:w="567" w:type="pct"/>
            <w:shd w:val="clear" w:color="auto" w:fill="auto"/>
            <w:vAlign w:val="center"/>
          </w:tcPr>
          <w:p w14:paraId="250FF321">
            <w:pPr>
              <w:jc w:val="center"/>
              <w:rPr>
                <w:rFonts w:ascii="宋体" w:hAnsi="宋体" w:eastAsia="宋体" w:cs="Times New Roman"/>
                <w:color w:val="auto"/>
              </w:rPr>
            </w:pPr>
            <w:r>
              <w:rPr>
                <w:rFonts w:ascii="宋体" w:hAnsi="宋体" w:eastAsia="宋体" w:cs="Times New Roman"/>
                <w:color w:val="auto"/>
              </w:rPr>
              <w:t>45.57461</w:t>
            </w:r>
          </w:p>
        </w:tc>
        <w:tc>
          <w:tcPr>
            <w:tcW w:w="402" w:type="pct"/>
            <w:shd w:val="clear" w:color="auto" w:fill="auto"/>
            <w:vAlign w:val="center"/>
          </w:tcPr>
          <w:p w14:paraId="6FEEF4B4">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3D2E94AD">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30</w:t>
            </w:r>
            <w:r>
              <w:rPr>
                <w:rFonts w:ascii="宋体" w:hAnsi="宋体" w:eastAsia="宋体" w:cs="Times New Roman"/>
                <w:color w:val="auto"/>
              </w:rPr>
              <w:t>户，1</w:t>
            </w:r>
            <w:r>
              <w:rPr>
                <w:rFonts w:hint="eastAsia" w:ascii="宋体" w:hAnsi="宋体" w:eastAsia="宋体" w:cs="Times New Roman"/>
                <w:color w:val="auto"/>
              </w:rPr>
              <w:t>5</w:t>
            </w:r>
            <w:r>
              <w:rPr>
                <w:rFonts w:ascii="宋体" w:hAnsi="宋体" w:eastAsia="宋体" w:cs="Times New Roman"/>
                <w:color w:val="auto"/>
              </w:rPr>
              <w:t>0人</w:t>
            </w:r>
          </w:p>
        </w:tc>
        <w:tc>
          <w:tcPr>
            <w:tcW w:w="610" w:type="pct"/>
            <w:shd w:val="clear" w:color="auto" w:fill="auto"/>
            <w:vAlign w:val="center"/>
          </w:tcPr>
          <w:p w14:paraId="3F0A9148">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1374483B">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3#平台东北</w:t>
            </w:r>
          </w:p>
        </w:tc>
        <w:tc>
          <w:tcPr>
            <w:tcW w:w="606" w:type="pct"/>
            <w:shd w:val="clear" w:color="auto" w:fill="auto"/>
            <w:vAlign w:val="center"/>
          </w:tcPr>
          <w:p w14:paraId="6F03C770">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1500</w:t>
            </w:r>
          </w:p>
        </w:tc>
      </w:tr>
      <w:tr w14:paraId="62BD1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4B0660DB">
            <w:pPr>
              <w:jc w:val="center"/>
              <w:rPr>
                <w:rFonts w:ascii="宋体" w:hAnsi="宋体" w:eastAsia="宋体" w:cs="Times New Roman"/>
                <w:color w:val="auto"/>
              </w:rPr>
            </w:pPr>
            <w:r>
              <w:rPr>
                <w:rFonts w:hint="eastAsia" w:ascii="宋体" w:hAnsi="宋体" w:eastAsia="宋体" w:cs="Times New Roman"/>
                <w:color w:val="auto"/>
              </w:rPr>
              <w:t>立功村</w:t>
            </w:r>
          </w:p>
        </w:tc>
        <w:tc>
          <w:tcPr>
            <w:tcW w:w="531" w:type="pct"/>
            <w:shd w:val="clear" w:color="auto" w:fill="auto"/>
            <w:vAlign w:val="center"/>
          </w:tcPr>
          <w:p w14:paraId="4EBE99C9">
            <w:pPr>
              <w:jc w:val="center"/>
              <w:rPr>
                <w:rFonts w:ascii="宋体" w:hAnsi="宋体" w:eastAsia="宋体" w:cs="Times New Roman"/>
                <w:color w:val="auto"/>
              </w:rPr>
            </w:pPr>
            <w:r>
              <w:rPr>
                <w:rFonts w:ascii="宋体" w:hAnsi="宋体" w:eastAsia="宋体" w:cs="Times New Roman"/>
                <w:color w:val="auto"/>
              </w:rPr>
              <w:t>125.19969</w:t>
            </w:r>
          </w:p>
        </w:tc>
        <w:tc>
          <w:tcPr>
            <w:tcW w:w="567" w:type="pct"/>
            <w:shd w:val="clear" w:color="auto" w:fill="auto"/>
            <w:vAlign w:val="center"/>
          </w:tcPr>
          <w:p w14:paraId="011E80E6">
            <w:pPr>
              <w:jc w:val="center"/>
              <w:rPr>
                <w:rFonts w:ascii="宋体" w:hAnsi="宋体" w:eastAsia="宋体" w:cs="Times New Roman"/>
                <w:color w:val="auto"/>
              </w:rPr>
            </w:pPr>
            <w:r>
              <w:rPr>
                <w:rFonts w:ascii="宋体" w:hAnsi="宋体" w:eastAsia="宋体" w:cs="Times New Roman"/>
                <w:color w:val="auto"/>
              </w:rPr>
              <w:t>45.56472</w:t>
            </w:r>
          </w:p>
        </w:tc>
        <w:tc>
          <w:tcPr>
            <w:tcW w:w="402" w:type="pct"/>
            <w:shd w:val="clear" w:color="auto" w:fill="auto"/>
            <w:vAlign w:val="center"/>
          </w:tcPr>
          <w:p w14:paraId="0A43B8F8">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631BCB86">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30</w:t>
            </w:r>
            <w:r>
              <w:rPr>
                <w:rFonts w:ascii="宋体" w:hAnsi="宋体" w:eastAsia="宋体" w:cs="Times New Roman"/>
                <w:color w:val="auto"/>
              </w:rPr>
              <w:t>户，1</w:t>
            </w:r>
            <w:r>
              <w:rPr>
                <w:rFonts w:hint="eastAsia" w:ascii="宋体" w:hAnsi="宋体" w:eastAsia="宋体" w:cs="Times New Roman"/>
                <w:color w:val="auto"/>
              </w:rPr>
              <w:t>5</w:t>
            </w:r>
            <w:r>
              <w:rPr>
                <w:rFonts w:ascii="宋体" w:hAnsi="宋体" w:eastAsia="宋体" w:cs="Times New Roman"/>
                <w:color w:val="auto"/>
              </w:rPr>
              <w:t>0人</w:t>
            </w:r>
          </w:p>
        </w:tc>
        <w:tc>
          <w:tcPr>
            <w:tcW w:w="610" w:type="pct"/>
            <w:shd w:val="clear" w:color="auto" w:fill="auto"/>
            <w:vAlign w:val="center"/>
          </w:tcPr>
          <w:p w14:paraId="3C5BB952">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25E154A9">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3#平台东</w:t>
            </w:r>
          </w:p>
        </w:tc>
        <w:tc>
          <w:tcPr>
            <w:tcW w:w="606" w:type="pct"/>
            <w:shd w:val="clear" w:color="auto" w:fill="auto"/>
            <w:vAlign w:val="center"/>
          </w:tcPr>
          <w:p w14:paraId="50799104">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2000</w:t>
            </w:r>
          </w:p>
        </w:tc>
      </w:tr>
      <w:tr w14:paraId="29296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0AB82400">
            <w:pPr>
              <w:jc w:val="center"/>
              <w:rPr>
                <w:rFonts w:ascii="宋体" w:hAnsi="宋体" w:eastAsia="宋体" w:cs="Times New Roman"/>
                <w:color w:val="auto"/>
              </w:rPr>
            </w:pPr>
            <w:r>
              <w:rPr>
                <w:rFonts w:hint="eastAsia" w:ascii="宋体" w:hAnsi="宋体" w:eastAsia="宋体" w:cs="Times New Roman"/>
                <w:color w:val="auto"/>
              </w:rPr>
              <w:t>腰欧力马屯</w:t>
            </w:r>
          </w:p>
        </w:tc>
        <w:tc>
          <w:tcPr>
            <w:tcW w:w="531" w:type="pct"/>
            <w:shd w:val="clear" w:color="auto" w:fill="auto"/>
            <w:vAlign w:val="center"/>
          </w:tcPr>
          <w:p w14:paraId="5549DA95">
            <w:pPr>
              <w:jc w:val="center"/>
              <w:rPr>
                <w:rFonts w:ascii="宋体" w:hAnsi="宋体" w:eastAsia="宋体" w:cs="Times New Roman"/>
                <w:color w:val="auto"/>
              </w:rPr>
            </w:pPr>
            <w:r>
              <w:rPr>
                <w:rFonts w:ascii="宋体" w:hAnsi="宋体" w:eastAsia="宋体" w:cs="Times New Roman"/>
                <w:color w:val="auto"/>
              </w:rPr>
              <w:t>125.18685</w:t>
            </w:r>
          </w:p>
        </w:tc>
        <w:tc>
          <w:tcPr>
            <w:tcW w:w="567" w:type="pct"/>
            <w:shd w:val="clear" w:color="auto" w:fill="auto"/>
            <w:vAlign w:val="center"/>
          </w:tcPr>
          <w:p w14:paraId="0D536404">
            <w:pPr>
              <w:jc w:val="center"/>
              <w:rPr>
                <w:rFonts w:ascii="宋体" w:hAnsi="宋体" w:eastAsia="宋体" w:cs="Times New Roman"/>
                <w:color w:val="auto"/>
              </w:rPr>
            </w:pPr>
            <w:r>
              <w:rPr>
                <w:rFonts w:ascii="宋体" w:hAnsi="宋体" w:eastAsia="宋体" w:cs="Times New Roman"/>
                <w:color w:val="auto"/>
              </w:rPr>
              <w:t>45.56647</w:t>
            </w:r>
          </w:p>
        </w:tc>
        <w:tc>
          <w:tcPr>
            <w:tcW w:w="402" w:type="pct"/>
            <w:shd w:val="clear" w:color="auto" w:fill="auto"/>
            <w:vAlign w:val="center"/>
          </w:tcPr>
          <w:p w14:paraId="5330B7C8">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0F0754B1">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35</w:t>
            </w:r>
            <w:r>
              <w:rPr>
                <w:rFonts w:ascii="宋体" w:hAnsi="宋体" w:eastAsia="宋体" w:cs="Times New Roman"/>
                <w:color w:val="auto"/>
              </w:rPr>
              <w:t>户，1</w:t>
            </w:r>
            <w:r>
              <w:rPr>
                <w:rFonts w:hint="eastAsia" w:ascii="宋体" w:hAnsi="宋体" w:eastAsia="宋体" w:cs="Times New Roman"/>
                <w:color w:val="auto"/>
              </w:rPr>
              <w:t>75</w:t>
            </w:r>
            <w:r>
              <w:rPr>
                <w:rFonts w:ascii="宋体" w:hAnsi="宋体" w:eastAsia="宋体" w:cs="Times New Roman"/>
                <w:color w:val="auto"/>
              </w:rPr>
              <w:t>人</w:t>
            </w:r>
          </w:p>
        </w:tc>
        <w:tc>
          <w:tcPr>
            <w:tcW w:w="610" w:type="pct"/>
            <w:shd w:val="clear" w:color="auto" w:fill="auto"/>
            <w:vAlign w:val="center"/>
          </w:tcPr>
          <w:p w14:paraId="2748C665">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2DEFDE18">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3#平台东</w:t>
            </w:r>
          </w:p>
        </w:tc>
        <w:tc>
          <w:tcPr>
            <w:tcW w:w="606" w:type="pct"/>
            <w:shd w:val="clear" w:color="auto" w:fill="auto"/>
            <w:vAlign w:val="center"/>
          </w:tcPr>
          <w:p w14:paraId="66280A8B">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850</w:t>
            </w:r>
          </w:p>
        </w:tc>
      </w:tr>
      <w:tr w14:paraId="05589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35B30E99">
            <w:pPr>
              <w:jc w:val="center"/>
              <w:rPr>
                <w:rFonts w:ascii="宋体" w:hAnsi="宋体" w:eastAsia="宋体" w:cs="Times New Roman"/>
                <w:color w:val="auto"/>
              </w:rPr>
            </w:pPr>
            <w:r>
              <w:rPr>
                <w:rFonts w:hint="eastAsia" w:ascii="宋体" w:hAnsi="宋体" w:eastAsia="宋体" w:cs="Times New Roman"/>
                <w:color w:val="auto"/>
              </w:rPr>
              <w:t>华南屯</w:t>
            </w:r>
          </w:p>
        </w:tc>
        <w:tc>
          <w:tcPr>
            <w:tcW w:w="531" w:type="pct"/>
            <w:shd w:val="clear" w:color="auto" w:fill="auto"/>
            <w:vAlign w:val="center"/>
          </w:tcPr>
          <w:p w14:paraId="3143D87A">
            <w:pPr>
              <w:jc w:val="center"/>
              <w:rPr>
                <w:rFonts w:ascii="宋体" w:hAnsi="宋体" w:eastAsia="宋体" w:cs="Times New Roman"/>
                <w:color w:val="auto"/>
              </w:rPr>
            </w:pPr>
            <w:r>
              <w:rPr>
                <w:rFonts w:ascii="宋体" w:hAnsi="宋体" w:eastAsia="宋体" w:cs="Times New Roman"/>
                <w:color w:val="auto"/>
              </w:rPr>
              <w:t>125.16807</w:t>
            </w:r>
          </w:p>
        </w:tc>
        <w:tc>
          <w:tcPr>
            <w:tcW w:w="567" w:type="pct"/>
            <w:shd w:val="clear" w:color="auto" w:fill="auto"/>
            <w:vAlign w:val="center"/>
          </w:tcPr>
          <w:p w14:paraId="12D49272">
            <w:pPr>
              <w:jc w:val="center"/>
              <w:rPr>
                <w:rFonts w:ascii="宋体" w:hAnsi="宋体" w:eastAsia="宋体" w:cs="Times New Roman"/>
                <w:color w:val="auto"/>
              </w:rPr>
            </w:pPr>
            <w:r>
              <w:rPr>
                <w:rFonts w:ascii="宋体" w:hAnsi="宋体" w:eastAsia="宋体" w:cs="Times New Roman"/>
                <w:color w:val="auto"/>
              </w:rPr>
              <w:t>45.58643</w:t>
            </w:r>
          </w:p>
        </w:tc>
        <w:tc>
          <w:tcPr>
            <w:tcW w:w="402" w:type="pct"/>
            <w:shd w:val="clear" w:color="auto" w:fill="auto"/>
            <w:vAlign w:val="center"/>
          </w:tcPr>
          <w:p w14:paraId="0002D5E4">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07D44155">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10</w:t>
            </w:r>
            <w:r>
              <w:rPr>
                <w:rFonts w:ascii="宋体" w:hAnsi="宋体" w:eastAsia="宋体" w:cs="Times New Roman"/>
                <w:color w:val="auto"/>
              </w:rPr>
              <w:t>户，</w:t>
            </w:r>
            <w:r>
              <w:rPr>
                <w:rFonts w:hint="eastAsia" w:ascii="宋体" w:hAnsi="宋体" w:eastAsia="宋体" w:cs="Times New Roman"/>
                <w:color w:val="auto"/>
              </w:rPr>
              <w:t>5</w:t>
            </w:r>
            <w:r>
              <w:rPr>
                <w:rFonts w:ascii="宋体" w:hAnsi="宋体" w:eastAsia="宋体" w:cs="Times New Roman"/>
                <w:color w:val="auto"/>
              </w:rPr>
              <w:t>0人</w:t>
            </w:r>
          </w:p>
        </w:tc>
        <w:tc>
          <w:tcPr>
            <w:tcW w:w="610" w:type="pct"/>
            <w:shd w:val="clear" w:color="auto" w:fill="auto"/>
            <w:vAlign w:val="center"/>
          </w:tcPr>
          <w:p w14:paraId="74DB0184">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10D61000">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源212-扶平4</w:t>
            </w:r>
            <w:r>
              <w:rPr>
                <w:rFonts w:hint="eastAsia" w:ascii="宋体" w:hAnsi="宋体" w:eastAsia="宋体"/>
                <w:b w:val="0"/>
                <w:color w:val="auto"/>
                <w:sz w:val="21"/>
                <w:szCs w:val="21"/>
              </w:rPr>
              <w:t>北</w:t>
            </w:r>
          </w:p>
        </w:tc>
        <w:tc>
          <w:tcPr>
            <w:tcW w:w="606" w:type="pct"/>
            <w:shd w:val="clear" w:color="auto" w:fill="auto"/>
            <w:vAlign w:val="center"/>
          </w:tcPr>
          <w:p w14:paraId="7F3091DC">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2100</w:t>
            </w:r>
          </w:p>
        </w:tc>
      </w:tr>
      <w:tr w14:paraId="72029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32D244D2">
            <w:pPr>
              <w:jc w:val="center"/>
              <w:rPr>
                <w:rFonts w:ascii="宋体" w:hAnsi="宋体" w:eastAsia="宋体" w:cs="Times New Roman"/>
                <w:color w:val="auto"/>
              </w:rPr>
            </w:pPr>
            <w:r>
              <w:rPr>
                <w:rFonts w:hint="eastAsia" w:ascii="宋体" w:hAnsi="宋体" w:eastAsia="宋体" w:cs="Times New Roman"/>
                <w:color w:val="auto"/>
              </w:rPr>
              <w:t>李彦和屯</w:t>
            </w:r>
          </w:p>
        </w:tc>
        <w:tc>
          <w:tcPr>
            <w:tcW w:w="531" w:type="pct"/>
            <w:shd w:val="clear" w:color="auto" w:fill="auto"/>
            <w:vAlign w:val="center"/>
          </w:tcPr>
          <w:p w14:paraId="47A703A8">
            <w:pPr>
              <w:jc w:val="center"/>
              <w:rPr>
                <w:rFonts w:ascii="宋体" w:hAnsi="宋体" w:eastAsia="宋体" w:cs="Times New Roman"/>
                <w:color w:val="auto"/>
              </w:rPr>
            </w:pPr>
            <w:r>
              <w:rPr>
                <w:rFonts w:ascii="宋体" w:hAnsi="宋体" w:eastAsia="宋体" w:cs="Times New Roman"/>
                <w:color w:val="auto"/>
              </w:rPr>
              <w:t>125.16710</w:t>
            </w:r>
          </w:p>
        </w:tc>
        <w:tc>
          <w:tcPr>
            <w:tcW w:w="567" w:type="pct"/>
            <w:shd w:val="clear" w:color="auto" w:fill="auto"/>
            <w:vAlign w:val="center"/>
          </w:tcPr>
          <w:p w14:paraId="6D4415ED">
            <w:pPr>
              <w:jc w:val="center"/>
              <w:rPr>
                <w:rFonts w:ascii="宋体" w:hAnsi="宋体" w:eastAsia="宋体" w:cs="Times New Roman"/>
                <w:color w:val="auto"/>
              </w:rPr>
            </w:pPr>
            <w:r>
              <w:rPr>
                <w:rFonts w:ascii="宋体" w:hAnsi="宋体" w:eastAsia="宋体" w:cs="Times New Roman"/>
                <w:color w:val="auto"/>
              </w:rPr>
              <w:t>45.58629</w:t>
            </w:r>
          </w:p>
        </w:tc>
        <w:tc>
          <w:tcPr>
            <w:tcW w:w="402" w:type="pct"/>
            <w:shd w:val="clear" w:color="auto" w:fill="auto"/>
            <w:vAlign w:val="center"/>
          </w:tcPr>
          <w:p w14:paraId="680A1364">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6596CB8D">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610" w:type="pct"/>
            <w:shd w:val="clear" w:color="auto" w:fill="auto"/>
            <w:vAlign w:val="center"/>
          </w:tcPr>
          <w:p w14:paraId="650BD376">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11BC3DA5">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源212-扶平4</w:t>
            </w:r>
            <w:r>
              <w:rPr>
                <w:rFonts w:hint="eastAsia" w:ascii="宋体" w:hAnsi="宋体" w:eastAsia="宋体"/>
                <w:b w:val="0"/>
                <w:color w:val="auto"/>
                <w:sz w:val="21"/>
                <w:szCs w:val="21"/>
              </w:rPr>
              <w:t>北</w:t>
            </w:r>
          </w:p>
        </w:tc>
        <w:tc>
          <w:tcPr>
            <w:tcW w:w="606" w:type="pct"/>
            <w:shd w:val="clear" w:color="auto" w:fill="auto"/>
            <w:vAlign w:val="center"/>
          </w:tcPr>
          <w:p w14:paraId="7D95AC5E">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2000</w:t>
            </w:r>
          </w:p>
        </w:tc>
      </w:tr>
      <w:tr w14:paraId="7B4B8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67C0D7EC">
            <w:pPr>
              <w:jc w:val="center"/>
              <w:rPr>
                <w:rFonts w:ascii="宋体" w:hAnsi="宋体" w:eastAsia="宋体" w:cs="Times New Roman"/>
                <w:color w:val="auto"/>
              </w:rPr>
            </w:pPr>
            <w:r>
              <w:rPr>
                <w:rFonts w:hint="eastAsia" w:ascii="宋体" w:hAnsi="宋体" w:eastAsia="宋体" w:cs="Times New Roman"/>
                <w:color w:val="auto"/>
              </w:rPr>
              <w:t>王家粉坊屯</w:t>
            </w:r>
          </w:p>
        </w:tc>
        <w:tc>
          <w:tcPr>
            <w:tcW w:w="531" w:type="pct"/>
            <w:shd w:val="clear" w:color="auto" w:fill="auto"/>
            <w:vAlign w:val="center"/>
          </w:tcPr>
          <w:p w14:paraId="6C286F0B">
            <w:pPr>
              <w:jc w:val="center"/>
              <w:rPr>
                <w:rFonts w:ascii="宋体" w:hAnsi="宋体" w:eastAsia="宋体" w:cs="Times New Roman"/>
                <w:color w:val="auto"/>
              </w:rPr>
            </w:pPr>
            <w:r>
              <w:rPr>
                <w:rFonts w:ascii="宋体" w:hAnsi="宋体" w:eastAsia="宋体" w:cs="Times New Roman"/>
                <w:color w:val="auto"/>
              </w:rPr>
              <w:t>125.16543</w:t>
            </w:r>
          </w:p>
        </w:tc>
        <w:tc>
          <w:tcPr>
            <w:tcW w:w="567" w:type="pct"/>
            <w:shd w:val="clear" w:color="auto" w:fill="auto"/>
            <w:vAlign w:val="center"/>
          </w:tcPr>
          <w:p w14:paraId="6638F1EE">
            <w:pPr>
              <w:jc w:val="center"/>
              <w:rPr>
                <w:rFonts w:ascii="宋体" w:hAnsi="宋体" w:eastAsia="宋体" w:cs="Times New Roman"/>
                <w:color w:val="auto"/>
              </w:rPr>
            </w:pPr>
            <w:r>
              <w:rPr>
                <w:rFonts w:ascii="宋体" w:hAnsi="宋体" w:eastAsia="宋体" w:cs="Times New Roman"/>
                <w:color w:val="auto"/>
              </w:rPr>
              <w:t>45.57953</w:t>
            </w:r>
          </w:p>
        </w:tc>
        <w:tc>
          <w:tcPr>
            <w:tcW w:w="402" w:type="pct"/>
            <w:shd w:val="clear" w:color="auto" w:fill="auto"/>
            <w:vAlign w:val="center"/>
          </w:tcPr>
          <w:p w14:paraId="31A617E5">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4BEF7D43">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610" w:type="pct"/>
            <w:shd w:val="clear" w:color="auto" w:fill="auto"/>
            <w:vAlign w:val="center"/>
          </w:tcPr>
          <w:p w14:paraId="3DA561B6">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0CA24BF3">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源212-扶平4</w:t>
            </w:r>
            <w:r>
              <w:rPr>
                <w:rFonts w:hint="eastAsia" w:ascii="宋体" w:hAnsi="宋体" w:eastAsia="宋体"/>
                <w:b w:val="0"/>
                <w:color w:val="auto"/>
                <w:sz w:val="21"/>
                <w:szCs w:val="21"/>
              </w:rPr>
              <w:t>北</w:t>
            </w:r>
          </w:p>
        </w:tc>
        <w:tc>
          <w:tcPr>
            <w:tcW w:w="606" w:type="pct"/>
            <w:shd w:val="clear" w:color="auto" w:fill="auto"/>
            <w:vAlign w:val="center"/>
          </w:tcPr>
          <w:p w14:paraId="49487208">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1200</w:t>
            </w:r>
          </w:p>
        </w:tc>
      </w:tr>
      <w:tr w14:paraId="739BC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1B3C565C">
            <w:pPr>
              <w:jc w:val="center"/>
              <w:rPr>
                <w:rFonts w:ascii="宋体" w:hAnsi="宋体" w:eastAsia="宋体" w:cs="Times New Roman"/>
                <w:color w:val="auto"/>
              </w:rPr>
            </w:pPr>
            <w:r>
              <w:rPr>
                <w:rFonts w:hint="eastAsia" w:ascii="宋体" w:hAnsi="宋体" w:eastAsia="宋体" w:cs="Times New Roman"/>
                <w:color w:val="auto"/>
              </w:rPr>
              <w:t>后欧力马屯</w:t>
            </w:r>
          </w:p>
        </w:tc>
        <w:tc>
          <w:tcPr>
            <w:tcW w:w="531" w:type="pct"/>
            <w:shd w:val="clear" w:color="auto" w:fill="auto"/>
            <w:vAlign w:val="center"/>
          </w:tcPr>
          <w:p w14:paraId="74C9CD07">
            <w:pPr>
              <w:jc w:val="center"/>
              <w:rPr>
                <w:rFonts w:ascii="宋体" w:hAnsi="宋体" w:eastAsia="宋体" w:cs="Times New Roman"/>
                <w:color w:val="auto"/>
              </w:rPr>
            </w:pPr>
            <w:r>
              <w:rPr>
                <w:rFonts w:ascii="宋体" w:hAnsi="宋体" w:eastAsia="宋体" w:cs="Times New Roman"/>
                <w:color w:val="auto"/>
              </w:rPr>
              <w:t>125.17016</w:t>
            </w:r>
          </w:p>
        </w:tc>
        <w:tc>
          <w:tcPr>
            <w:tcW w:w="567" w:type="pct"/>
            <w:shd w:val="clear" w:color="auto" w:fill="auto"/>
            <w:vAlign w:val="center"/>
          </w:tcPr>
          <w:p w14:paraId="7CCB7BED">
            <w:pPr>
              <w:jc w:val="center"/>
              <w:rPr>
                <w:rFonts w:ascii="宋体" w:hAnsi="宋体" w:eastAsia="宋体" w:cs="Times New Roman"/>
                <w:color w:val="auto"/>
              </w:rPr>
            </w:pPr>
            <w:r>
              <w:rPr>
                <w:rFonts w:ascii="宋体" w:hAnsi="宋体" w:eastAsia="宋体" w:cs="Times New Roman"/>
                <w:color w:val="auto"/>
              </w:rPr>
              <w:t>45.56740</w:t>
            </w:r>
          </w:p>
        </w:tc>
        <w:tc>
          <w:tcPr>
            <w:tcW w:w="402" w:type="pct"/>
            <w:shd w:val="clear" w:color="auto" w:fill="auto"/>
            <w:vAlign w:val="center"/>
          </w:tcPr>
          <w:p w14:paraId="255E3301">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29D7633D">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35</w:t>
            </w:r>
            <w:r>
              <w:rPr>
                <w:rFonts w:ascii="宋体" w:hAnsi="宋体" w:eastAsia="宋体" w:cs="Times New Roman"/>
                <w:color w:val="auto"/>
              </w:rPr>
              <w:t>户，1</w:t>
            </w:r>
            <w:r>
              <w:rPr>
                <w:rFonts w:hint="eastAsia" w:ascii="宋体" w:hAnsi="宋体" w:eastAsia="宋体" w:cs="Times New Roman"/>
                <w:color w:val="auto"/>
              </w:rPr>
              <w:t>75</w:t>
            </w:r>
            <w:r>
              <w:rPr>
                <w:rFonts w:ascii="宋体" w:hAnsi="宋体" w:eastAsia="宋体" w:cs="Times New Roman"/>
                <w:color w:val="auto"/>
              </w:rPr>
              <w:t>人</w:t>
            </w:r>
          </w:p>
        </w:tc>
        <w:tc>
          <w:tcPr>
            <w:tcW w:w="610" w:type="pct"/>
            <w:shd w:val="clear" w:color="auto" w:fill="auto"/>
            <w:vAlign w:val="center"/>
          </w:tcPr>
          <w:p w14:paraId="4706E5A4">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6EA48D2E">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3#平台西北</w:t>
            </w:r>
          </w:p>
        </w:tc>
        <w:tc>
          <w:tcPr>
            <w:tcW w:w="606" w:type="pct"/>
            <w:shd w:val="clear" w:color="auto" w:fill="auto"/>
            <w:vAlign w:val="center"/>
          </w:tcPr>
          <w:p w14:paraId="39C91E4A">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250</w:t>
            </w:r>
          </w:p>
        </w:tc>
      </w:tr>
      <w:tr w14:paraId="61369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3AC8DD0E">
            <w:pPr>
              <w:jc w:val="center"/>
              <w:rPr>
                <w:rFonts w:ascii="宋体" w:hAnsi="宋体" w:eastAsia="宋体" w:cs="Times New Roman"/>
                <w:color w:val="auto"/>
              </w:rPr>
            </w:pPr>
            <w:r>
              <w:rPr>
                <w:rFonts w:hint="eastAsia" w:ascii="宋体" w:hAnsi="宋体" w:eastAsia="宋体" w:cs="Times New Roman"/>
                <w:color w:val="auto"/>
              </w:rPr>
              <w:t>对青岗子屯</w:t>
            </w:r>
          </w:p>
        </w:tc>
        <w:tc>
          <w:tcPr>
            <w:tcW w:w="531" w:type="pct"/>
            <w:shd w:val="clear" w:color="auto" w:fill="auto"/>
            <w:vAlign w:val="center"/>
          </w:tcPr>
          <w:p w14:paraId="46D53256">
            <w:pPr>
              <w:jc w:val="center"/>
              <w:rPr>
                <w:rFonts w:ascii="宋体" w:hAnsi="宋体" w:eastAsia="宋体" w:cs="Times New Roman"/>
                <w:color w:val="auto"/>
              </w:rPr>
            </w:pPr>
            <w:r>
              <w:rPr>
                <w:rFonts w:ascii="宋体" w:hAnsi="宋体" w:eastAsia="宋体" w:cs="Times New Roman"/>
                <w:color w:val="auto"/>
              </w:rPr>
              <w:t>125.18978</w:t>
            </w:r>
          </w:p>
        </w:tc>
        <w:tc>
          <w:tcPr>
            <w:tcW w:w="567" w:type="pct"/>
            <w:shd w:val="clear" w:color="auto" w:fill="auto"/>
            <w:vAlign w:val="center"/>
          </w:tcPr>
          <w:p w14:paraId="7BF8D552">
            <w:pPr>
              <w:jc w:val="center"/>
              <w:rPr>
                <w:rFonts w:ascii="宋体" w:hAnsi="宋体" w:eastAsia="宋体" w:cs="Times New Roman"/>
                <w:color w:val="auto"/>
              </w:rPr>
            </w:pPr>
            <w:r>
              <w:rPr>
                <w:rFonts w:ascii="宋体" w:hAnsi="宋体" w:eastAsia="宋体" w:cs="Times New Roman"/>
                <w:color w:val="auto"/>
              </w:rPr>
              <w:t>45.55325</w:t>
            </w:r>
          </w:p>
        </w:tc>
        <w:tc>
          <w:tcPr>
            <w:tcW w:w="402" w:type="pct"/>
            <w:shd w:val="clear" w:color="auto" w:fill="auto"/>
            <w:vAlign w:val="center"/>
          </w:tcPr>
          <w:p w14:paraId="141CA0F4">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2957755A">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40</w:t>
            </w:r>
            <w:r>
              <w:rPr>
                <w:rFonts w:ascii="宋体" w:hAnsi="宋体" w:eastAsia="宋体" w:cs="Times New Roman"/>
                <w:color w:val="auto"/>
              </w:rPr>
              <w:t>户，</w:t>
            </w:r>
            <w:r>
              <w:rPr>
                <w:rFonts w:hint="eastAsia" w:ascii="宋体" w:hAnsi="宋体" w:eastAsia="宋体" w:cs="Times New Roman"/>
                <w:color w:val="auto"/>
              </w:rPr>
              <w:t>200</w:t>
            </w:r>
            <w:r>
              <w:rPr>
                <w:rFonts w:ascii="宋体" w:hAnsi="宋体" w:eastAsia="宋体" w:cs="Times New Roman"/>
                <w:color w:val="auto"/>
              </w:rPr>
              <w:t>人</w:t>
            </w:r>
          </w:p>
        </w:tc>
        <w:tc>
          <w:tcPr>
            <w:tcW w:w="610" w:type="pct"/>
            <w:shd w:val="clear" w:color="auto" w:fill="auto"/>
            <w:vAlign w:val="center"/>
          </w:tcPr>
          <w:p w14:paraId="1B3DC6D4">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2C017148">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3#平台东南</w:t>
            </w:r>
          </w:p>
        </w:tc>
        <w:tc>
          <w:tcPr>
            <w:tcW w:w="606" w:type="pct"/>
            <w:shd w:val="clear" w:color="auto" w:fill="auto"/>
            <w:vAlign w:val="center"/>
          </w:tcPr>
          <w:p w14:paraId="4E63AED2">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1600</w:t>
            </w:r>
          </w:p>
        </w:tc>
      </w:tr>
      <w:tr w14:paraId="0BF05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070DC943">
            <w:pPr>
              <w:jc w:val="center"/>
              <w:rPr>
                <w:rFonts w:ascii="宋体" w:hAnsi="宋体" w:eastAsia="宋体" w:cs="Times New Roman"/>
                <w:color w:val="auto"/>
              </w:rPr>
            </w:pPr>
            <w:r>
              <w:rPr>
                <w:rFonts w:hint="eastAsia" w:ascii="宋体" w:hAnsi="宋体" w:eastAsia="宋体" w:cs="Times New Roman"/>
                <w:color w:val="auto"/>
              </w:rPr>
              <w:t>蒙古屯</w:t>
            </w:r>
          </w:p>
        </w:tc>
        <w:tc>
          <w:tcPr>
            <w:tcW w:w="531" w:type="pct"/>
            <w:shd w:val="clear" w:color="auto" w:fill="auto"/>
            <w:vAlign w:val="center"/>
          </w:tcPr>
          <w:p w14:paraId="36EED2B4">
            <w:pPr>
              <w:jc w:val="center"/>
              <w:rPr>
                <w:rFonts w:ascii="宋体" w:hAnsi="宋体" w:eastAsia="宋体" w:cs="Times New Roman"/>
                <w:color w:val="auto"/>
              </w:rPr>
            </w:pPr>
            <w:r>
              <w:rPr>
                <w:rFonts w:ascii="宋体" w:hAnsi="宋体" w:eastAsia="宋体" w:cs="Times New Roman"/>
                <w:color w:val="auto"/>
              </w:rPr>
              <w:t>125.17176</w:t>
            </w:r>
          </w:p>
        </w:tc>
        <w:tc>
          <w:tcPr>
            <w:tcW w:w="567" w:type="pct"/>
            <w:shd w:val="clear" w:color="auto" w:fill="auto"/>
            <w:vAlign w:val="center"/>
          </w:tcPr>
          <w:p w14:paraId="0316022F">
            <w:pPr>
              <w:jc w:val="center"/>
              <w:rPr>
                <w:rFonts w:ascii="宋体" w:hAnsi="宋体" w:eastAsia="宋体" w:cs="Times New Roman"/>
                <w:color w:val="auto"/>
              </w:rPr>
            </w:pPr>
            <w:r>
              <w:rPr>
                <w:rFonts w:ascii="宋体" w:hAnsi="宋体" w:eastAsia="宋体" w:cs="Times New Roman"/>
                <w:color w:val="auto"/>
              </w:rPr>
              <w:t>45.54309</w:t>
            </w:r>
          </w:p>
        </w:tc>
        <w:tc>
          <w:tcPr>
            <w:tcW w:w="402" w:type="pct"/>
            <w:shd w:val="clear" w:color="auto" w:fill="auto"/>
            <w:vAlign w:val="center"/>
          </w:tcPr>
          <w:p w14:paraId="7E5E80CA">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0A7FBCAD">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610" w:type="pct"/>
            <w:shd w:val="clear" w:color="auto" w:fill="auto"/>
            <w:vAlign w:val="center"/>
          </w:tcPr>
          <w:p w14:paraId="6175E3A1">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02AA8CD4">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东北</w:t>
            </w:r>
          </w:p>
        </w:tc>
        <w:tc>
          <w:tcPr>
            <w:tcW w:w="606" w:type="pct"/>
            <w:shd w:val="clear" w:color="auto" w:fill="auto"/>
            <w:vAlign w:val="center"/>
          </w:tcPr>
          <w:p w14:paraId="63E965B9">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2000</w:t>
            </w:r>
          </w:p>
        </w:tc>
      </w:tr>
      <w:tr w14:paraId="7EE41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1EAE23A9">
            <w:pPr>
              <w:jc w:val="center"/>
              <w:rPr>
                <w:rFonts w:ascii="宋体" w:hAnsi="宋体" w:eastAsia="宋体" w:cs="Times New Roman"/>
                <w:color w:val="auto"/>
              </w:rPr>
            </w:pPr>
            <w:r>
              <w:rPr>
                <w:rFonts w:hint="eastAsia" w:ascii="宋体" w:hAnsi="宋体" w:eastAsia="宋体" w:cs="Times New Roman"/>
                <w:color w:val="auto"/>
              </w:rPr>
              <w:t>王家园子屯</w:t>
            </w:r>
          </w:p>
        </w:tc>
        <w:tc>
          <w:tcPr>
            <w:tcW w:w="531" w:type="pct"/>
            <w:shd w:val="clear" w:color="auto" w:fill="auto"/>
            <w:vAlign w:val="center"/>
          </w:tcPr>
          <w:p w14:paraId="199AD8FF">
            <w:pPr>
              <w:jc w:val="center"/>
              <w:rPr>
                <w:rFonts w:ascii="宋体" w:hAnsi="宋体" w:eastAsia="宋体" w:cs="Times New Roman"/>
                <w:color w:val="auto"/>
              </w:rPr>
            </w:pPr>
            <w:r>
              <w:rPr>
                <w:rFonts w:ascii="宋体" w:hAnsi="宋体" w:eastAsia="宋体" w:cs="Times New Roman"/>
                <w:color w:val="auto"/>
              </w:rPr>
              <w:t>125.16079</w:t>
            </w:r>
          </w:p>
        </w:tc>
        <w:tc>
          <w:tcPr>
            <w:tcW w:w="567" w:type="pct"/>
            <w:shd w:val="clear" w:color="auto" w:fill="auto"/>
            <w:vAlign w:val="center"/>
          </w:tcPr>
          <w:p w14:paraId="648376DE">
            <w:pPr>
              <w:jc w:val="center"/>
              <w:rPr>
                <w:rFonts w:ascii="宋体" w:hAnsi="宋体" w:eastAsia="宋体" w:cs="Times New Roman"/>
                <w:color w:val="auto"/>
              </w:rPr>
            </w:pPr>
            <w:r>
              <w:rPr>
                <w:rFonts w:ascii="宋体" w:hAnsi="宋体" w:eastAsia="宋体" w:cs="Times New Roman"/>
                <w:color w:val="auto"/>
              </w:rPr>
              <w:t>45.55614</w:t>
            </w:r>
          </w:p>
        </w:tc>
        <w:tc>
          <w:tcPr>
            <w:tcW w:w="402" w:type="pct"/>
            <w:shd w:val="clear" w:color="auto" w:fill="auto"/>
            <w:vAlign w:val="center"/>
          </w:tcPr>
          <w:p w14:paraId="22740063">
            <w:pPr>
              <w:jc w:val="center"/>
              <w:rPr>
                <w:rFonts w:ascii="宋体" w:hAnsi="宋体" w:eastAsia="宋体" w:cs="Times New Roman"/>
                <w:color w:val="auto"/>
              </w:rPr>
            </w:pPr>
            <w:r>
              <w:rPr>
                <w:rFonts w:ascii="宋体" w:hAnsi="宋体" w:eastAsia="宋体" w:cs="Times New Roman"/>
                <w:color w:val="auto"/>
              </w:rPr>
              <w:t>师生</w:t>
            </w:r>
          </w:p>
        </w:tc>
        <w:tc>
          <w:tcPr>
            <w:tcW w:w="843" w:type="pct"/>
            <w:shd w:val="clear" w:color="auto" w:fill="auto"/>
            <w:vAlign w:val="center"/>
          </w:tcPr>
          <w:p w14:paraId="573F925B">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35</w:t>
            </w:r>
            <w:r>
              <w:rPr>
                <w:rFonts w:ascii="宋体" w:hAnsi="宋体" w:eastAsia="宋体" w:cs="Times New Roman"/>
                <w:color w:val="auto"/>
              </w:rPr>
              <w:t>户，1</w:t>
            </w:r>
            <w:r>
              <w:rPr>
                <w:rFonts w:hint="eastAsia" w:ascii="宋体" w:hAnsi="宋体" w:eastAsia="宋体" w:cs="Times New Roman"/>
                <w:color w:val="auto"/>
              </w:rPr>
              <w:t>75</w:t>
            </w:r>
            <w:r>
              <w:rPr>
                <w:rFonts w:ascii="宋体" w:hAnsi="宋体" w:eastAsia="宋体" w:cs="Times New Roman"/>
                <w:color w:val="auto"/>
              </w:rPr>
              <w:t>人</w:t>
            </w:r>
          </w:p>
        </w:tc>
        <w:tc>
          <w:tcPr>
            <w:tcW w:w="610" w:type="pct"/>
            <w:shd w:val="clear" w:color="auto" w:fill="auto"/>
            <w:vAlign w:val="center"/>
          </w:tcPr>
          <w:p w14:paraId="3CDE9655">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423A1C96">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源212-扶平4</w:t>
            </w:r>
            <w:r>
              <w:rPr>
                <w:rFonts w:hint="eastAsia" w:ascii="宋体" w:hAnsi="宋体" w:eastAsia="宋体"/>
                <w:b w:val="0"/>
                <w:color w:val="auto"/>
                <w:sz w:val="21"/>
                <w:szCs w:val="21"/>
              </w:rPr>
              <w:t>南</w:t>
            </w:r>
          </w:p>
        </w:tc>
        <w:tc>
          <w:tcPr>
            <w:tcW w:w="606" w:type="pct"/>
            <w:shd w:val="clear" w:color="auto" w:fill="auto"/>
            <w:vAlign w:val="center"/>
          </w:tcPr>
          <w:p w14:paraId="4A677AF0">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1000</w:t>
            </w:r>
          </w:p>
        </w:tc>
      </w:tr>
      <w:tr w14:paraId="59FE4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0F74487D">
            <w:pPr>
              <w:jc w:val="center"/>
              <w:rPr>
                <w:rFonts w:ascii="宋体" w:hAnsi="宋体" w:eastAsia="宋体" w:cs="Times New Roman"/>
                <w:color w:val="auto"/>
              </w:rPr>
            </w:pPr>
            <w:r>
              <w:rPr>
                <w:rFonts w:hint="eastAsia" w:ascii="宋体" w:hAnsi="宋体" w:eastAsia="宋体" w:cs="Times New Roman"/>
                <w:color w:val="auto"/>
              </w:rPr>
              <w:t>大何家窝棚屯</w:t>
            </w:r>
          </w:p>
        </w:tc>
        <w:tc>
          <w:tcPr>
            <w:tcW w:w="531" w:type="pct"/>
            <w:shd w:val="clear" w:color="auto" w:fill="auto"/>
            <w:vAlign w:val="center"/>
          </w:tcPr>
          <w:p w14:paraId="7B0D96BC">
            <w:pPr>
              <w:jc w:val="center"/>
              <w:rPr>
                <w:rFonts w:ascii="宋体" w:hAnsi="宋体" w:eastAsia="宋体" w:cs="Times New Roman"/>
                <w:color w:val="auto"/>
              </w:rPr>
            </w:pPr>
            <w:r>
              <w:rPr>
                <w:rFonts w:ascii="宋体" w:hAnsi="宋体" w:eastAsia="宋体" w:cs="Times New Roman"/>
                <w:color w:val="auto"/>
              </w:rPr>
              <w:t>125.15393</w:t>
            </w:r>
          </w:p>
        </w:tc>
        <w:tc>
          <w:tcPr>
            <w:tcW w:w="567" w:type="pct"/>
            <w:shd w:val="clear" w:color="auto" w:fill="auto"/>
            <w:vAlign w:val="center"/>
          </w:tcPr>
          <w:p w14:paraId="535C9465">
            <w:pPr>
              <w:jc w:val="center"/>
              <w:rPr>
                <w:rFonts w:ascii="宋体" w:hAnsi="宋体" w:eastAsia="宋体" w:cs="Times New Roman"/>
                <w:color w:val="auto"/>
              </w:rPr>
            </w:pPr>
            <w:r>
              <w:rPr>
                <w:rFonts w:ascii="宋体" w:hAnsi="宋体" w:eastAsia="宋体" w:cs="Times New Roman"/>
                <w:color w:val="auto"/>
              </w:rPr>
              <w:t>45.55259</w:t>
            </w:r>
          </w:p>
        </w:tc>
        <w:tc>
          <w:tcPr>
            <w:tcW w:w="402" w:type="pct"/>
            <w:shd w:val="clear" w:color="auto" w:fill="auto"/>
            <w:vAlign w:val="center"/>
          </w:tcPr>
          <w:p w14:paraId="21B5C853">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55D2E5A1">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610" w:type="pct"/>
            <w:shd w:val="clear" w:color="auto" w:fill="auto"/>
            <w:vAlign w:val="center"/>
          </w:tcPr>
          <w:p w14:paraId="16C02449">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643CD358">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源212-扶平4</w:t>
            </w:r>
            <w:r>
              <w:rPr>
                <w:rFonts w:hint="eastAsia" w:ascii="宋体" w:hAnsi="宋体" w:eastAsia="宋体"/>
                <w:b w:val="0"/>
                <w:color w:val="auto"/>
                <w:sz w:val="21"/>
                <w:szCs w:val="21"/>
              </w:rPr>
              <w:t>西南</w:t>
            </w:r>
          </w:p>
        </w:tc>
        <w:tc>
          <w:tcPr>
            <w:tcW w:w="606" w:type="pct"/>
            <w:shd w:val="clear" w:color="auto" w:fill="auto"/>
            <w:vAlign w:val="center"/>
          </w:tcPr>
          <w:p w14:paraId="0C84B41C">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1600</w:t>
            </w:r>
          </w:p>
        </w:tc>
      </w:tr>
      <w:tr w14:paraId="239F9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0A176598">
            <w:pPr>
              <w:jc w:val="center"/>
              <w:rPr>
                <w:rFonts w:ascii="宋体" w:hAnsi="宋体" w:eastAsia="宋体" w:cs="Times New Roman"/>
                <w:color w:val="auto"/>
              </w:rPr>
            </w:pPr>
            <w:r>
              <w:rPr>
                <w:rFonts w:hint="eastAsia" w:ascii="宋体" w:hAnsi="宋体" w:eastAsia="宋体" w:cs="Times New Roman"/>
                <w:color w:val="auto"/>
              </w:rPr>
              <w:t>和平乡</w:t>
            </w:r>
          </w:p>
        </w:tc>
        <w:tc>
          <w:tcPr>
            <w:tcW w:w="531" w:type="pct"/>
            <w:shd w:val="clear" w:color="auto" w:fill="auto"/>
            <w:vAlign w:val="center"/>
          </w:tcPr>
          <w:p w14:paraId="3EA13091">
            <w:pPr>
              <w:jc w:val="center"/>
              <w:rPr>
                <w:rFonts w:ascii="宋体" w:hAnsi="宋体" w:eastAsia="宋体" w:cs="Times New Roman"/>
                <w:color w:val="auto"/>
              </w:rPr>
            </w:pPr>
            <w:r>
              <w:rPr>
                <w:rFonts w:ascii="宋体" w:hAnsi="宋体" w:eastAsia="宋体" w:cs="Times New Roman"/>
                <w:color w:val="auto"/>
              </w:rPr>
              <w:t>125.13898</w:t>
            </w:r>
          </w:p>
        </w:tc>
        <w:tc>
          <w:tcPr>
            <w:tcW w:w="567" w:type="pct"/>
            <w:shd w:val="clear" w:color="auto" w:fill="auto"/>
            <w:vAlign w:val="center"/>
          </w:tcPr>
          <w:p w14:paraId="48D0F4EE">
            <w:pPr>
              <w:jc w:val="center"/>
              <w:rPr>
                <w:rFonts w:ascii="宋体" w:hAnsi="宋体" w:eastAsia="宋体" w:cs="Times New Roman"/>
                <w:color w:val="auto"/>
              </w:rPr>
            </w:pPr>
            <w:r>
              <w:rPr>
                <w:rFonts w:ascii="宋体" w:hAnsi="宋体" w:eastAsia="宋体" w:cs="Times New Roman"/>
                <w:color w:val="auto"/>
              </w:rPr>
              <w:t>45.55421</w:t>
            </w:r>
          </w:p>
        </w:tc>
        <w:tc>
          <w:tcPr>
            <w:tcW w:w="402" w:type="pct"/>
            <w:shd w:val="clear" w:color="auto" w:fill="auto"/>
            <w:vAlign w:val="center"/>
          </w:tcPr>
          <w:p w14:paraId="13512887">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2B8C8342">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8</w:t>
            </w:r>
            <w:r>
              <w:rPr>
                <w:rFonts w:ascii="宋体" w:hAnsi="宋体" w:eastAsia="宋体" w:cs="Times New Roman"/>
                <w:color w:val="auto"/>
              </w:rPr>
              <w:t>0户，</w:t>
            </w:r>
            <w:r>
              <w:rPr>
                <w:rFonts w:hint="eastAsia" w:ascii="宋体" w:hAnsi="宋体" w:eastAsia="宋体" w:cs="Times New Roman"/>
                <w:color w:val="auto"/>
              </w:rPr>
              <w:t>40</w:t>
            </w:r>
            <w:r>
              <w:rPr>
                <w:rFonts w:ascii="宋体" w:hAnsi="宋体" w:eastAsia="宋体" w:cs="Times New Roman"/>
                <w:color w:val="auto"/>
              </w:rPr>
              <w:t>0人</w:t>
            </w:r>
          </w:p>
        </w:tc>
        <w:tc>
          <w:tcPr>
            <w:tcW w:w="610" w:type="pct"/>
            <w:shd w:val="clear" w:color="auto" w:fill="auto"/>
            <w:vAlign w:val="center"/>
          </w:tcPr>
          <w:p w14:paraId="48944801">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7B9B1DB6">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w:t>
            </w:r>
            <w:r>
              <w:rPr>
                <w:rFonts w:hint="eastAsia" w:ascii="宋体" w:hAnsi="宋体" w:eastAsia="宋体"/>
                <w:b w:val="0"/>
                <w:color w:val="auto"/>
                <w:sz w:val="21"/>
                <w:szCs w:val="21"/>
              </w:rPr>
              <w:t>3西南</w:t>
            </w:r>
          </w:p>
        </w:tc>
        <w:tc>
          <w:tcPr>
            <w:tcW w:w="606" w:type="pct"/>
            <w:shd w:val="clear" w:color="auto" w:fill="auto"/>
            <w:vAlign w:val="center"/>
          </w:tcPr>
          <w:p w14:paraId="08CFB6AC">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1500</w:t>
            </w:r>
          </w:p>
        </w:tc>
      </w:tr>
      <w:tr w14:paraId="59145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3CC387F8">
            <w:pPr>
              <w:jc w:val="center"/>
              <w:rPr>
                <w:rFonts w:ascii="宋体" w:hAnsi="宋体" w:eastAsia="宋体" w:cs="Times New Roman"/>
                <w:color w:val="auto"/>
              </w:rPr>
            </w:pPr>
            <w:r>
              <w:rPr>
                <w:rFonts w:hint="eastAsia" w:ascii="宋体" w:hAnsi="宋体" w:eastAsia="宋体" w:cs="Times New Roman"/>
                <w:color w:val="auto"/>
              </w:rPr>
              <w:t>赵家围子屯</w:t>
            </w:r>
          </w:p>
        </w:tc>
        <w:tc>
          <w:tcPr>
            <w:tcW w:w="531" w:type="pct"/>
            <w:shd w:val="clear" w:color="auto" w:fill="auto"/>
            <w:vAlign w:val="center"/>
          </w:tcPr>
          <w:p w14:paraId="34441946">
            <w:pPr>
              <w:jc w:val="center"/>
              <w:rPr>
                <w:rFonts w:ascii="宋体" w:hAnsi="宋体" w:eastAsia="宋体" w:cs="Times New Roman"/>
                <w:color w:val="auto"/>
              </w:rPr>
            </w:pPr>
            <w:r>
              <w:rPr>
                <w:rFonts w:ascii="宋体" w:hAnsi="宋体" w:eastAsia="宋体" w:cs="Times New Roman"/>
                <w:color w:val="auto"/>
              </w:rPr>
              <w:t>125.13150</w:t>
            </w:r>
          </w:p>
        </w:tc>
        <w:tc>
          <w:tcPr>
            <w:tcW w:w="567" w:type="pct"/>
            <w:shd w:val="clear" w:color="auto" w:fill="auto"/>
            <w:vAlign w:val="center"/>
          </w:tcPr>
          <w:p w14:paraId="338A66A6">
            <w:pPr>
              <w:jc w:val="center"/>
              <w:rPr>
                <w:rFonts w:ascii="宋体" w:hAnsi="宋体" w:eastAsia="宋体" w:cs="Times New Roman"/>
                <w:color w:val="auto"/>
              </w:rPr>
            </w:pPr>
            <w:r>
              <w:rPr>
                <w:rFonts w:ascii="宋体" w:hAnsi="宋体" w:eastAsia="宋体" w:cs="Times New Roman"/>
                <w:color w:val="auto"/>
              </w:rPr>
              <w:t>45.57211</w:t>
            </w:r>
          </w:p>
        </w:tc>
        <w:tc>
          <w:tcPr>
            <w:tcW w:w="402" w:type="pct"/>
            <w:shd w:val="clear" w:color="auto" w:fill="auto"/>
            <w:vAlign w:val="center"/>
          </w:tcPr>
          <w:p w14:paraId="5F90CE70">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514C7A40">
            <w:pPr>
              <w:snapToGrid w:val="0"/>
              <w:jc w:val="center"/>
              <w:rPr>
                <w:rFonts w:ascii="宋体" w:hAnsi="宋体" w:eastAsia="宋体" w:cs="Times New Roman"/>
                <w:color w:val="auto"/>
              </w:rPr>
            </w:pPr>
            <w:r>
              <w:rPr>
                <w:rFonts w:ascii="宋体" w:hAnsi="宋体" w:eastAsia="宋体" w:cs="Times New Roman"/>
                <w:color w:val="auto"/>
              </w:rPr>
              <w:t>约50户，150人</w:t>
            </w:r>
          </w:p>
        </w:tc>
        <w:tc>
          <w:tcPr>
            <w:tcW w:w="610" w:type="pct"/>
            <w:shd w:val="clear" w:color="auto" w:fill="auto"/>
            <w:vAlign w:val="center"/>
          </w:tcPr>
          <w:p w14:paraId="7DFAC1BD">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17E75D5C">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w:t>
            </w:r>
            <w:r>
              <w:rPr>
                <w:rFonts w:hint="eastAsia" w:ascii="宋体" w:hAnsi="宋体" w:eastAsia="宋体"/>
                <w:b w:val="0"/>
                <w:color w:val="auto"/>
                <w:sz w:val="21"/>
                <w:szCs w:val="21"/>
              </w:rPr>
              <w:t>3西</w:t>
            </w:r>
          </w:p>
        </w:tc>
        <w:tc>
          <w:tcPr>
            <w:tcW w:w="606" w:type="pct"/>
            <w:shd w:val="clear" w:color="auto" w:fill="auto"/>
            <w:vAlign w:val="center"/>
          </w:tcPr>
          <w:p w14:paraId="21F542E7">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1400</w:t>
            </w:r>
          </w:p>
        </w:tc>
      </w:tr>
      <w:tr w14:paraId="2E86A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7D9CB0D4">
            <w:pPr>
              <w:jc w:val="center"/>
              <w:rPr>
                <w:rFonts w:ascii="宋体" w:hAnsi="宋体" w:eastAsia="宋体" w:cs="Times New Roman"/>
                <w:color w:val="auto"/>
              </w:rPr>
            </w:pPr>
            <w:r>
              <w:rPr>
                <w:rFonts w:hint="eastAsia" w:ascii="宋体" w:hAnsi="宋体" w:eastAsia="宋体" w:cs="Times New Roman"/>
                <w:color w:val="auto"/>
              </w:rPr>
              <w:t>吴家围子屯</w:t>
            </w:r>
          </w:p>
        </w:tc>
        <w:tc>
          <w:tcPr>
            <w:tcW w:w="531" w:type="pct"/>
            <w:shd w:val="clear" w:color="auto" w:fill="auto"/>
            <w:vAlign w:val="center"/>
          </w:tcPr>
          <w:p w14:paraId="7F38C0FA">
            <w:pPr>
              <w:jc w:val="center"/>
              <w:rPr>
                <w:rFonts w:ascii="宋体" w:hAnsi="宋体" w:eastAsia="宋体" w:cs="Times New Roman"/>
                <w:color w:val="auto"/>
              </w:rPr>
            </w:pPr>
            <w:r>
              <w:rPr>
                <w:rFonts w:ascii="宋体" w:hAnsi="宋体" w:eastAsia="宋体" w:cs="Times New Roman"/>
                <w:color w:val="auto"/>
              </w:rPr>
              <w:t>125.14108</w:t>
            </w:r>
          </w:p>
        </w:tc>
        <w:tc>
          <w:tcPr>
            <w:tcW w:w="567" w:type="pct"/>
            <w:shd w:val="clear" w:color="auto" w:fill="auto"/>
            <w:vAlign w:val="center"/>
          </w:tcPr>
          <w:p w14:paraId="3F5042B6">
            <w:pPr>
              <w:jc w:val="center"/>
              <w:rPr>
                <w:rFonts w:ascii="宋体" w:hAnsi="宋体" w:eastAsia="宋体" w:cs="Times New Roman"/>
                <w:color w:val="auto"/>
              </w:rPr>
            </w:pPr>
            <w:r>
              <w:rPr>
                <w:rFonts w:ascii="宋体" w:hAnsi="宋体" w:eastAsia="宋体" w:cs="Times New Roman"/>
                <w:color w:val="auto"/>
              </w:rPr>
              <w:t>45.58790</w:t>
            </w:r>
          </w:p>
        </w:tc>
        <w:tc>
          <w:tcPr>
            <w:tcW w:w="402" w:type="pct"/>
            <w:shd w:val="clear" w:color="auto" w:fill="auto"/>
            <w:vAlign w:val="center"/>
          </w:tcPr>
          <w:p w14:paraId="051C1EC1">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22D49567">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610" w:type="pct"/>
            <w:shd w:val="clear" w:color="auto" w:fill="auto"/>
            <w:vAlign w:val="center"/>
          </w:tcPr>
          <w:p w14:paraId="5074483D">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1804325D">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w:t>
            </w:r>
            <w:r>
              <w:rPr>
                <w:rFonts w:hint="eastAsia" w:ascii="宋体" w:hAnsi="宋体" w:eastAsia="宋体"/>
                <w:b w:val="0"/>
                <w:color w:val="auto"/>
                <w:sz w:val="21"/>
                <w:szCs w:val="21"/>
              </w:rPr>
              <w:t>3西北</w:t>
            </w:r>
          </w:p>
        </w:tc>
        <w:tc>
          <w:tcPr>
            <w:tcW w:w="606" w:type="pct"/>
            <w:shd w:val="clear" w:color="auto" w:fill="auto"/>
            <w:vAlign w:val="center"/>
          </w:tcPr>
          <w:p w14:paraId="740CEA55">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1900</w:t>
            </w:r>
          </w:p>
        </w:tc>
      </w:tr>
      <w:tr w14:paraId="44917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7E21AB34">
            <w:pPr>
              <w:jc w:val="center"/>
              <w:rPr>
                <w:rFonts w:ascii="宋体" w:hAnsi="宋体" w:eastAsia="宋体" w:cs="Times New Roman"/>
                <w:color w:val="auto"/>
              </w:rPr>
            </w:pPr>
            <w:r>
              <w:rPr>
                <w:rFonts w:hint="eastAsia" w:ascii="宋体" w:hAnsi="宋体" w:eastAsia="宋体" w:cs="Times New Roman"/>
                <w:color w:val="auto"/>
              </w:rPr>
              <w:t>张家围子屯</w:t>
            </w:r>
          </w:p>
        </w:tc>
        <w:tc>
          <w:tcPr>
            <w:tcW w:w="531" w:type="pct"/>
            <w:shd w:val="clear" w:color="auto" w:fill="auto"/>
            <w:vAlign w:val="center"/>
          </w:tcPr>
          <w:p w14:paraId="6CB1E452">
            <w:pPr>
              <w:jc w:val="center"/>
              <w:rPr>
                <w:rFonts w:ascii="宋体" w:hAnsi="宋体" w:eastAsia="宋体" w:cs="Times New Roman"/>
                <w:color w:val="auto"/>
              </w:rPr>
            </w:pPr>
            <w:r>
              <w:rPr>
                <w:rFonts w:ascii="宋体" w:hAnsi="宋体" w:eastAsia="宋体" w:cs="Times New Roman"/>
                <w:color w:val="auto"/>
              </w:rPr>
              <w:t>125.13352</w:t>
            </w:r>
          </w:p>
        </w:tc>
        <w:tc>
          <w:tcPr>
            <w:tcW w:w="567" w:type="pct"/>
            <w:shd w:val="clear" w:color="auto" w:fill="auto"/>
            <w:vAlign w:val="center"/>
          </w:tcPr>
          <w:p w14:paraId="7F91167F">
            <w:pPr>
              <w:jc w:val="center"/>
              <w:rPr>
                <w:rFonts w:ascii="宋体" w:hAnsi="宋体" w:eastAsia="宋体" w:cs="Times New Roman"/>
                <w:color w:val="auto"/>
              </w:rPr>
            </w:pPr>
            <w:r>
              <w:rPr>
                <w:rFonts w:ascii="宋体" w:hAnsi="宋体" w:eastAsia="宋体" w:cs="Times New Roman"/>
                <w:color w:val="auto"/>
              </w:rPr>
              <w:t>45.57830</w:t>
            </w:r>
          </w:p>
        </w:tc>
        <w:tc>
          <w:tcPr>
            <w:tcW w:w="402" w:type="pct"/>
            <w:shd w:val="clear" w:color="auto" w:fill="auto"/>
            <w:vAlign w:val="center"/>
          </w:tcPr>
          <w:p w14:paraId="7C18F7F3">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64ED222E">
            <w:pPr>
              <w:snapToGrid w:val="0"/>
              <w:jc w:val="center"/>
              <w:rPr>
                <w:rFonts w:ascii="宋体" w:hAnsi="宋体" w:eastAsia="宋体" w:cs="Times New Roman"/>
                <w:color w:val="auto"/>
              </w:rPr>
            </w:pPr>
            <w:r>
              <w:rPr>
                <w:rFonts w:ascii="宋体" w:hAnsi="宋体" w:eastAsia="宋体" w:cs="Times New Roman"/>
                <w:color w:val="auto"/>
              </w:rPr>
              <w:t>约45户，140人</w:t>
            </w:r>
          </w:p>
        </w:tc>
        <w:tc>
          <w:tcPr>
            <w:tcW w:w="610" w:type="pct"/>
            <w:shd w:val="clear" w:color="auto" w:fill="auto"/>
            <w:vAlign w:val="center"/>
          </w:tcPr>
          <w:p w14:paraId="7845371E">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12607622">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w:t>
            </w:r>
            <w:r>
              <w:rPr>
                <w:rFonts w:hint="eastAsia" w:ascii="宋体" w:hAnsi="宋体" w:eastAsia="宋体"/>
                <w:b w:val="0"/>
                <w:color w:val="auto"/>
                <w:sz w:val="21"/>
                <w:szCs w:val="21"/>
              </w:rPr>
              <w:t>3西北</w:t>
            </w:r>
          </w:p>
        </w:tc>
        <w:tc>
          <w:tcPr>
            <w:tcW w:w="606" w:type="pct"/>
            <w:shd w:val="clear" w:color="auto" w:fill="auto"/>
            <w:vAlign w:val="center"/>
          </w:tcPr>
          <w:p w14:paraId="19A0B020">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1600</w:t>
            </w:r>
          </w:p>
        </w:tc>
      </w:tr>
      <w:tr w14:paraId="1F766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1AA22725">
            <w:pPr>
              <w:jc w:val="center"/>
              <w:rPr>
                <w:rFonts w:ascii="宋体" w:hAnsi="宋体" w:eastAsia="宋体" w:cs="Times New Roman"/>
                <w:color w:val="auto"/>
              </w:rPr>
            </w:pPr>
            <w:r>
              <w:rPr>
                <w:rFonts w:hint="eastAsia" w:ascii="宋体" w:hAnsi="宋体" w:eastAsia="宋体" w:cs="Times New Roman"/>
                <w:color w:val="auto"/>
              </w:rPr>
              <w:t>孙家围子屯</w:t>
            </w:r>
          </w:p>
        </w:tc>
        <w:tc>
          <w:tcPr>
            <w:tcW w:w="531" w:type="pct"/>
            <w:shd w:val="clear" w:color="auto" w:fill="auto"/>
            <w:vAlign w:val="center"/>
          </w:tcPr>
          <w:p w14:paraId="59C47DC6">
            <w:pPr>
              <w:jc w:val="center"/>
              <w:rPr>
                <w:rFonts w:ascii="宋体" w:hAnsi="宋体" w:eastAsia="宋体" w:cs="Times New Roman"/>
                <w:color w:val="auto"/>
              </w:rPr>
            </w:pPr>
            <w:r>
              <w:rPr>
                <w:rFonts w:ascii="宋体" w:hAnsi="宋体" w:eastAsia="宋体" w:cs="Times New Roman"/>
                <w:color w:val="auto"/>
              </w:rPr>
              <w:t>125.12213</w:t>
            </w:r>
          </w:p>
        </w:tc>
        <w:tc>
          <w:tcPr>
            <w:tcW w:w="567" w:type="pct"/>
            <w:shd w:val="clear" w:color="auto" w:fill="auto"/>
            <w:vAlign w:val="center"/>
          </w:tcPr>
          <w:p w14:paraId="6219EBC5">
            <w:pPr>
              <w:jc w:val="center"/>
              <w:rPr>
                <w:rFonts w:ascii="宋体" w:hAnsi="宋体" w:eastAsia="宋体" w:cs="Times New Roman"/>
                <w:color w:val="auto"/>
              </w:rPr>
            </w:pPr>
            <w:r>
              <w:rPr>
                <w:rFonts w:ascii="宋体" w:hAnsi="宋体" w:eastAsia="宋体" w:cs="Times New Roman"/>
                <w:color w:val="auto"/>
              </w:rPr>
              <w:t>45.57925</w:t>
            </w:r>
          </w:p>
        </w:tc>
        <w:tc>
          <w:tcPr>
            <w:tcW w:w="402" w:type="pct"/>
            <w:shd w:val="clear" w:color="auto" w:fill="auto"/>
            <w:vAlign w:val="center"/>
          </w:tcPr>
          <w:p w14:paraId="1776D26A">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4472EAEC">
            <w:pPr>
              <w:snapToGrid w:val="0"/>
              <w:jc w:val="center"/>
              <w:rPr>
                <w:rFonts w:ascii="宋体" w:hAnsi="宋体" w:eastAsia="宋体" w:cs="Times New Roman"/>
                <w:color w:val="auto"/>
              </w:rPr>
            </w:pPr>
            <w:r>
              <w:rPr>
                <w:rFonts w:ascii="宋体" w:hAnsi="宋体" w:eastAsia="宋体" w:cs="Times New Roman"/>
                <w:color w:val="auto"/>
              </w:rPr>
              <w:t>约30户，110人</w:t>
            </w:r>
          </w:p>
        </w:tc>
        <w:tc>
          <w:tcPr>
            <w:tcW w:w="610" w:type="pct"/>
            <w:shd w:val="clear" w:color="auto" w:fill="auto"/>
            <w:vAlign w:val="center"/>
          </w:tcPr>
          <w:p w14:paraId="07AB4557">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508FD9C5">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w:t>
            </w:r>
            <w:r>
              <w:rPr>
                <w:rFonts w:hint="eastAsia" w:ascii="宋体" w:hAnsi="宋体" w:eastAsia="宋体"/>
                <w:b w:val="0"/>
                <w:color w:val="auto"/>
                <w:sz w:val="21"/>
                <w:szCs w:val="21"/>
              </w:rPr>
              <w:t>3西北</w:t>
            </w:r>
          </w:p>
        </w:tc>
        <w:tc>
          <w:tcPr>
            <w:tcW w:w="606" w:type="pct"/>
            <w:shd w:val="clear" w:color="auto" w:fill="auto"/>
            <w:vAlign w:val="center"/>
          </w:tcPr>
          <w:p w14:paraId="39A23920">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2400</w:t>
            </w:r>
          </w:p>
        </w:tc>
      </w:tr>
      <w:tr w14:paraId="0195B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1BCC89A5">
            <w:pPr>
              <w:jc w:val="center"/>
              <w:rPr>
                <w:rFonts w:ascii="宋体" w:hAnsi="宋体" w:eastAsia="宋体" w:cs="Times New Roman"/>
                <w:color w:val="auto"/>
              </w:rPr>
            </w:pPr>
            <w:r>
              <w:rPr>
                <w:rFonts w:hint="eastAsia" w:ascii="宋体" w:hAnsi="宋体" w:eastAsia="宋体" w:cs="Times New Roman"/>
                <w:color w:val="auto"/>
              </w:rPr>
              <w:t>四方山屯</w:t>
            </w:r>
          </w:p>
        </w:tc>
        <w:tc>
          <w:tcPr>
            <w:tcW w:w="531" w:type="pct"/>
            <w:shd w:val="clear" w:color="auto" w:fill="auto"/>
            <w:vAlign w:val="center"/>
          </w:tcPr>
          <w:p w14:paraId="10C93E69">
            <w:pPr>
              <w:jc w:val="center"/>
              <w:rPr>
                <w:rFonts w:ascii="宋体" w:hAnsi="宋体" w:eastAsia="宋体" w:cs="Times New Roman"/>
                <w:color w:val="auto"/>
              </w:rPr>
            </w:pPr>
            <w:r>
              <w:rPr>
                <w:rFonts w:ascii="宋体" w:hAnsi="宋体" w:eastAsia="宋体" w:cs="Times New Roman"/>
                <w:color w:val="auto"/>
              </w:rPr>
              <w:t>125.13263</w:t>
            </w:r>
          </w:p>
        </w:tc>
        <w:tc>
          <w:tcPr>
            <w:tcW w:w="567" w:type="pct"/>
            <w:shd w:val="clear" w:color="auto" w:fill="auto"/>
            <w:vAlign w:val="center"/>
          </w:tcPr>
          <w:p w14:paraId="136BEFDB">
            <w:pPr>
              <w:jc w:val="center"/>
              <w:rPr>
                <w:rFonts w:ascii="宋体" w:hAnsi="宋体" w:eastAsia="宋体" w:cs="Times New Roman"/>
                <w:color w:val="auto"/>
              </w:rPr>
            </w:pPr>
            <w:r>
              <w:rPr>
                <w:rFonts w:ascii="宋体" w:hAnsi="宋体" w:eastAsia="宋体" w:cs="Times New Roman"/>
                <w:color w:val="auto"/>
              </w:rPr>
              <w:t>45.52261</w:t>
            </w:r>
          </w:p>
        </w:tc>
        <w:tc>
          <w:tcPr>
            <w:tcW w:w="402" w:type="pct"/>
            <w:shd w:val="clear" w:color="auto" w:fill="auto"/>
            <w:vAlign w:val="center"/>
          </w:tcPr>
          <w:p w14:paraId="2EDD5065">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7B61F021">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610" w:type="pct"/>
            <w:shd w:val="clear" w:color="auto" w:fill="auto"/>
            <w:vAlign w:val="center"/>
          </w:tcPr>
          <w:p w14:paraId="77462017">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584A072B">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西南</w:t>
            </w:r>
          </w:p>
        </w:tc>
        <w:tc>
          <w:tcPr>
            <w:tcW w:w="606" w:type="pct"/>
            <w:shd w:val="clear" w:color="auto" w:fill="auto"/>
            <w:vAlign w:val="center"/>
          </w:tcPr>
          <w:p w14:paraId="2B01DD5B">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700</w:t>
            </w:r>
          </w:p>
        </w:tc>
      </w:tr>
      <w:tr w14:paraId="780EC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66F31B76">
            <w:pPr>
              <w:jc w:val="center"/>
              <w:rPr>
                <w:rFonts w:ascii="宋体" w:hAnsi="宋体" w:eastAsia="宋体" w:cs="Times New Roman"/>
                <w:color w:val="auto"/>
              </w:rPr>
            </w:pPr>
            <w:r>
              <w:rPr>
                <w:rFonts w:hint="eastAsia" w:ascii="宋体" w:hAnsi="宋体" w:eastAsia="宋体" w:cs="Times New Roman"/>
                <w:color w:val="auto"/>
              </w:rPr>
              <w:t>小东屯</w:t>
            </w:r>
          </w:p>
        </w:tc>
        <w:tc>
          <w:tcPr>
            <w:tcW w:w="531" w:type="pct"/>
            <w:shd w:val="clear" w:color="auto" w:fill="auto"/>
            <w:vAlign w:val="center"/>
          </w:tcPr>
          <w:p w14:paraId="17716E90">
            <w:pPr>
              <w:jc w:val="center"/>
              <w:rPr>
                <w:rFonts w:ascii="宋体" w:hAnsi="宋体" w:eastAsia="宋体" w:cs="Times New Roman"/>
                <w:color w:val="auto"/>
              </w:rPr>
            </w:pPr>
            <w:r>
              <w:rPr>
                <w:rFonts w:ascii="宋体" w:hAnsi="宋体" w:eastAsia="宋体" w:cs="Times New Roman"/>
                <w:color w:val="auto"/>
              </w:rPr>
              <w:t>125.13964</w:t>
            </w:r>
          </w:p>
        </w:tc>
        <w:tc>
          <w:tcPr>
            <w:tcW w:w="567" w:type="pct"/>
            <w:shd w:val="clear" w:color="auto" w:fill="auto"/>
            <w:vAlign w:val="center"/>
          </w:tcPr>
          <w:p w14:paraId="75AB5071">
            <w:pPr>
              <w:jc w:val="center"/>
              <w:rPr>
                <w:rFonts w:ascii="宋体" w:hAnsi="宋体" w:eastAsia="宋体" w:cs="Times New Roman"/>
                <w:color w:val="auto"/>
              </w:rPr>
            </w:pPr>
            <w:r>
              <w:rPr>
                <w:rFonts w:ascii="宋体" w:hAnsi="宋体" w:eastAsia="宋体" w:cs="Times New Roman"/>
                <w:color w:val="auto"/>
              </w:rPr>
              <w:t>45.51234</w:t>
            </w:r>
          </w:p>
        </w:tc>
        <w:tc>
          <w:tcPr>
            <w:tcW w:w="402" w:type="pct"/>
            <w:shd w:val="clear" w:color="auto" w:fill="auto"/>
            <w:vAlign w:val="center"/>
          </w:tcPr>
          <w:p w14:paraId="4839FFDA">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74193153">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610" w:type="pct"/>
            <w:shd w:val="clear" w:color="auto" w:fill="auto"/>
            <w:vAlign w:val="center"/>
          </w:tcPr>
          <w:p w14:paraId="058622E9">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05F5EB89">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南</w:t>
            </w:r>
          </w:p>
        </w:tc>
        <w:tc>
          <w:tcPr>
            <w:tcW w:w="606" w:type="pct"/>
            <w:shd w:val="clear" w:color="auto" w:fill="auto"/>
            <w:vAlign w:val="center"/>
          </w:tcPr>
          <w:p w14:paraId="4659A4A9">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2200</w:t>
            </w:r>
          </w:p>
        </w:tc>
      </w:tr>
      <w:tr w14:paraId="2F892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694BAA23">
            <w:pPr>
              <w:jc w:val="center"/>
              <w:rPr>
                <w:rFonts w:ascii="宋体" w:hAnsi="宋体" w:eastAsia="宋体" w:cs="Times New Roman"/>
                <w:color w:val="auto"/>
              </w:rPr>
            </w:pPr>
            <w:r>
              <w:rPr>
                <w:rFonts w:hint="eastAsia" w:ascii="宋体" w:hAnsi="宋体" w:eastAsia="宋体" w:cs="Times New Roman"/>
                <w:color w:val="auto"/>
              </w:rPr>
              <w:t>奎中里屯</w:t>
            </w:r>
          </w:p>
        </w:tc>
        <w:tc>
          <w:tcPr>
            <w:tcW w:w="531" w:type="pct"/>
            <w:shd w:val="clear" w:color="auto" w:fill="auto"/>
            <w:vAlign w:val="center"/>
          </w:tcPr>
          <w:p w14:paraId="16CB0305">
            <w:pPr>
              <w:jc w:val="center"/>
              <w:rPr>
                <w:rFonts w:ascii="宋体" w:hAnsi="宋体" w:eastAsia="宋体" w:cs="Times New Roman"/>
                <w:color w:val="auto"/>
              </w:rPr>
            </w:pPr>
            <w:r>
              <w:rPr>
                <w:rFonts w:ascii="宋体" w:hAnsi="宋体" w:eastAsia="宋体" w:cs="Times New Roman"/>
                <w:color w:val="auto"/>
              </w:rPr>
              <w:t>125.15628</w:t>
            </w:r>
          </w:p>
        </w:tc>
        <w:tc>
          <w:tcPr>
            <w:tcW w:w="567" w:type="pct"/>
            <w:shd w:val="clear" w:color="auto" w:fill="auto"/>
            <w:vAlign w:val="center"/>
          </w:tcPr>
          <w:p w14:paraId="053F856D">
            <w:pPr>
              <w:jc w:val="center"/>
              <w:rPr>
                <w:rFonts w:ascii="宋体" w:hAnsi="宋体" w:eastAsia="宋体" w:cs="Times New Roman"/>
                <w:color w:val="auto"/>
              </w:rPr>
            </w:pPr>
            <w:r>
              <w:rPr>
                <w:rFonts w:ascii="宋体" w:hAnsi="宋体" w:eastAsia="宋体" w:cs="Times New Roman"/>
                <w:color w:val="auto"/>
              </w:rPr>
              <w:t>45.51654</w:t>
            </w:r>
          </w:p>
        </w:tc>
        <w:tc>
          <w:tcPr>
            <w:tcW w:w="402" w:type="pct"/>
            <w:shd w:val="clear" w:color="auto" w:fill="auto"/>
            <w:vAlign w:val="center"/>
          </w:tcPr>
          <w:p w14:paraId="70EE5952">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02E59DDF">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610" w:type="pct"/>
            <w:shd w:val="clear" w:color="auto" w:fill="auto"/>
            <w:vAlign w:val="center"/>
          </w:tcPr>
          <w:p w14:paraId="3DE629E3">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41E1B3F2">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东南</w:t>
            </w:r>
          </w:p>
        </w:tc>
        <w:tc>
          <w:tcPr>
            <w:tcW w:w="606" w:type="pct"/>
            <w:shd w:val="clear" w:color="auto" w:fill="auto"/>
            <w:vAlign w:val="center"/>
          </w:tcPr>
          <w:p w14:paraId="0AC12A87">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1800</w:t>
            </w:r>
          </w:p>
        </w:tc>
      </w:tr>
      <w:tr w14:paraId="3660F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3BC9BEFE">
            <w:pPr>
              <w:jc w:val="center"/>
              <w:rPr>
                <w:rFonts w:ascii="宋体" w:hAnsi="宋体" w:eastAsia="宋体" w:cs="Times New Roman"/>
                <w:color w:val="auto"/>
              </w:rPr>
            </w:pPr>
            <w:r>
              <w:rPr>
                <w:rFonts w:hint="eastAsia" w:ascii="宋体" w:hAnsi="宋体" w:eastAsia="宋体" w:cs="Times New Roman"/>
                <w:color w:val="auto"/>
              </w:rPr>
              <w:t>东兴村</w:t>
            </w:r>
          </w:p>
        </w:tc>
        <w:tc>
          <w:tcPr>
            <w:tcW w:w="531" w:type="pct"/>
            <w:shd w:val="clear" w:color="auto" w:fill="auto"/>
            <w:vAlign w:val="center"/>
          </w:tcPr>
          <w:p w14:paraId="45B0DAFC">
            <w:pPr>
              <w:jc w:val="center"/>
              <w:rPr>
                <w:rFonts w:ascii="宋体" w:hAnsi="宋体" w:eastAsia="宋体" w:cs="Times New Roman"/>
                <w:color w:val="auto"/>
              </w:rPr>
            </w:pPr>
            <w:r>
              <w:rPr>
                <w:rFonts w:ascii="宋体" w:hAnsi="宋体" w:eastAsia="宋体" w:cs="Times New Roman"/>
                <w:color w:val="auto"/>
              </w:rPr>
              <w:t>125.12502</w:t>
            </w:r>
          </w:p>
        </w:tc>
        <w:tc>
          <w:tcPr>
            <w:tcW w:w="567" w:type="pct"/>
            <w:shd w:val="clear" w:color="auto" w:fill="auto"/>
            <w:vAlign w:val="center"/>
          </w:tcPr>
          <w:p w14:paraId="2CCDBEAE">
            <w:pPr>
              <w:jc w:val="center"/>
              <w:rPr>
                <w:rFonts w:ascii="宋体" w:hAnsi="宋体" w:eastAsia="宋体" w:cs="Times New Roman"/>
                <w:color w:val="auto"/>
              </w:rPr>
            </w:pPr>
            <w:r>
              <w:rPr>
                <w:rFonts w:ascii="宋体" w:hAnsi="宋体" w:eastAsia="宋体" w:cs="Times New Roman"/>
                <w:color w:val="auto"/>
              </w:rPr>
              <w:t>45.51027</w:t>
            </w:r>
          </w:p>
        </w:tc>
        <w:tc>
          <w:tcPr>
            <w:tcW w:w="402" w:type="pct"/>
            <w:shd w:val="clear" w:color="auto" w:fill="auto"/>
            <w:vAlign w:val="center"/>
          </w:tcPr>
          <w:p w14:paraId="6C18D779">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100F3AFD">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40</w:t>
            </w:r>
            <w:r>
              <w:rPr>
                <w:rFonts w:ascii="宋体" w:hAnsi="宋体" w:eastAsia="宋体" w:cs="Times New Roman"/>
                <w:color w:val="auto"/>
              </w:rPr>
              <w:t>户，</w:t>
            </w:r>
            <w:r>
              <w:rPr>
                <w:rFonts w:hint="eastAsia" w:ascii="宋体" w:hAnsi="宋体" w:eastAsia="宋体" w:cs="Times New Roman"/>
                <w:color w:val="auto"/>
              </w:rPr>
              <w:t>200</w:t>
            </w:r>
            <w:r>
              <w:rPr>
                <w:rFonts w:ascii="宋体" w:hAnsi="宋体" w:eastAsia="宋体" w:cs="Times New Roman"/>
                <w:color w:val="auto"/>
              </w:rPr>
              <w:t>人</w:t>
            </w:r>
          </w:p>
        </w:tc>
        <w:tc>
          <w:tcPr>
            <w:tcW w:w="610" w:type="pct"/>
            <w:shd w:val="clear" w:color="auto" w:fill="auto"/>
            <w:vAlign w:val="center"/>
          </w:tcPr>
          <w:p w14:paraId="3356C378">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229597FB">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西南</w:t>
            </w:r>
          </w:p>
        </w:tc>
        <w:tc>
          <w:tcPr>
            <w:tcW w:w="606" w:type="pct"/>
            <w:shd w:val="clear" w:color="auto" w:fill="auto"/>
            <w:vAlign w:val="center"/>
          </w:tcPr>
          <w:p w14:paraId="5FF4334D">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2600</w:t>
            </w:r>
          </w:p>
        </w:tc>
      </w:tr>
      <w:tr w14:paraId="5A546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40EBCA6A">
            <w:pPr>
              <w:jc w:val="center"/>
              <w:rPr>
                <w:rFonts w:ascii="宋体" w:hAnsi="宋体" w:eastAsia="宋体" w:cs="Times New Roman"/>
                <w:color w:val="auto"/>
              </w:rPr>
            </w:pPr>
            <w:r>
              <w:rPr>
                <w:rFonts w:hint="eastAsia" w:ascii="宋体" w:hAnsi="宋体" w:eastAsia="宋体" w:cs="Times New Roman"/>
                <w:color w:val="auto"/>
              </w:rPr>
              <w:t>迟家屯</w:t>
            </w:r>
          </w:p>
        </w:tc>
        <w:tc>
          <w:tcPr>
            <w:tcW w:w="531" w:type="pct"/>
            <w:shd w:val="clear" w:color="auto" w:fill="auto"/>
            <w:vAlign w:val="center"/>
          </w:tcPr>
          <w:p w14:paraId="30C11296">
            <w:pPr>
              <w:jc w:val="center"/>
              <w:rPr>
                <w:rFonts w:ascii="宋体" w:hAnsi="宋体" w:eastAsia="宋体" w:cs="Times New Roman"/>
                <w:color w:val="auto"/>
              </w:rPr>
            </w:pPr>
            <w:r>
              <w:rPr>
                <w:rFonts w:ascii="宋体" w:hAnsi="宋体" w:eastAsia="宋体" w:cs="Times New Roman"/>
                <w:color w:val="auto"/>
              </w:rPr>
              <w:t>125.11600</w:t>
            </w:r>
          </w:p>
        </w:tc>
        <w:tc>
          <w:tcPr>
            <w:tcW w:w="567" w:type="pct"/>
            <w:shd w:val="clear" w:color="auto" w:fill="auto"/>
            <w:vAlign w:val="center"/>
          </w:tcPr>
          <w:p w14:paraId="79F2C24E">
            <w:pPr>
              <w:jc w:val="center"/>
              <w:rPr>
                <w:rFonts w:ascii="宋体" w:hAnsi="宋体" w:eastAsia="宋体" w:cs="Times New Roman"/>
                <w:color w:val="auto"/>
              </w:rPr>
            </w:pPr>
            <w:r>
              <w:rPr>
                <w:rFonts w:ascii="宋体" w:hAnsi="宋体" w:eastAsia="宋体" w:cs="Times New Roman"/>
                <w:color w:val="auto"/>
              </w:rPr>
              <w:t>45.51243</w:t>
            </w:r>
          </w:p>
        </w:tc>
        <w:tc>
          <w:tcPr>
            <w:tcW w:w="402" w:type="pct"/>
            <w:shd w:val="clear" w:color="auto" w:fill="auto"/>
            <w:vAlign w:val="center"/>
          </w:tcPr>
          <w:p w14:paraId="711524EA">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53362B81">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610" w:type="pct"/>
            <w:shd w:val="clear" w:color="auto" w:fill="auto"/>
            <w:vAlign w:val="center"/>
          </w:tcPr>
          <w:p w14:paraId="602FCF80">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253840F6">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西南</w:t>
            </w:r>
          </w:p>
        </w:tc>
        <w:tc>
          <w:tcPr>
            <w:tcW w:w="606" w:type="pct"/>
            <w:shd w:val="clear" w:color="auto" w:fill="auto"/>
            <w:vAlign w:val="center"/>
          </w:tcPr>
          <w:p w14:paraId="7A20E093">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3000</w:t>
            </w:r>
          </w:p>
        </w:tc>
      </w:tr>
      <w:tr w14:paraId="20DE7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72B2DB81">
            <w:pPr>
              <w:jc w:val="center"/>
              <w:rPr>
                <w:rFonts w:ascii="宋体" w:hAnsi="宋体" w:eastAsia="宋体" w:cs="Times New Roman"/>
                <w:color w:val="auto"/>
              </w:rPr>
            </w:pPr>
            <w:r>
              <w:rPr>
                <w:rFonts w:hint="eastAsia" w:ascii="宋体" w:hAnsi="宋体" w:eastAsia="宋体" w:cs="Times New Roman"/>
                <w:color w:val="auto"/>
              </w:rPr>
              <w:t>肇源镇</w:t>
            </w:r>
          </w:p>
        </w:tc>
        <w:tc>
          <w:tcPr>
            <w:tcW w:w="531" w:type="pct"/>
            <w:shd w:val="clear" w:color="auto" w:fill="auto"/>
            <w:vAlign w:val="center"/>
          </w:tcPr>
          <w:p w14:paraId="529BDA66">
            <w:pPr>
              <w:jc w:val="center"/>
              <w:rPr>
                <w:rFonts w:ascii="宋体" w:hAnsi="宋体" w:eastAsia="宋体" w:cs="Times New Roman"/>
                <w:color w:val="auto"/>
              </w:rPr>
            </w:pPr>
            <w:r>
              <w:rPr>
                <w:rFonts w:ascii="宋体" w:hAnsi="宋体" w:eastAsia="宋体" w:cs="Times New Roman"/>
                <w:color w:val="auto"/>
              </w:rPr>
              <w:t>125.07873</w:t>
            </w:r>
          </w:p>
        </w:tc>
        <w:tc>
          <w:tcPr>
            <w:tcW w:w="567" w:type="pct"/>
            <w:shd w:val="clear" w:color="auto" w:fill="auto"/>
            <w:vAlign w:val="center"/>
          </w:tcPr>
          <w:p w14:paraId="401662AE">
            <w:pPr>
              <w:jc w:val="center"/>
              <w:rPr>
                <w:rFonts w:ascii="宋体" w:hAnsi="宋体" w:eastAsia="宋体" w:cs="Times New Roman"/>
                <w:color w:val="auto"/>
              </w:rPr>
            </w:pPr>
            <w:r>
              <w:rPr>
                <w:rFonts w:ascii="宋体" w:hAnsi="宋体" w:eastAsia="宋体" w:cs="Times New Roman"/>
                <w:color w:val="auto"/>
              </w:rPr>
              <w:t>45.51809</w:t>
            </w:r>
          </w:p>
        </w:tc>
        <w:tc>
          <w:tcPr>
            <w:tcW w:w="402" w:type="pct"/>
            <w:shd w:val="clear" w:color="auto" w:fill="auto"/>
            <w:vAlign w:val="center"/>
          </w:tcPr>
          <w:p w14:paraId="35D48F11">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3681618F">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600</w:t>
            </w:r>
            <w:r>
              <w:rPr>
                <w:rFonts w:ascii="宋体" w:hAnsi="宋体" w:eastAsia="宋体" w:cs="Times New Roman"/>
                <w:color w:val="auto"/>
              </w:rPr>
              <w:t>户，</w:t>
            </w:r>
            <w:r>
              <w:rPr>
                <w:rFonts w:hint="eastAsia" w:ascii="宋体" w:hAnsi="宋体" w:eastAsia="宋体" w:cs="Times New Roman"/>
                <w:color w:val="auto"/>
              </w:rPr>
              <w:t>300</w:t>
            </w:r>
            <w:r>
              <w:rPr>
                <w:rFonts w:ascii="宋体" w:hAnsi="宋体" w:eastAsia="宋体" w:cs="Times New Roman"/>
                <w:color w:val="auto"/>
              </w:rPr>
              <w:t>0人</w:t>
            </w:r>
          </w:p>
        </w:tc>
        <w:tc>
          <w:tcPr>
            <w:tcW w:w="610" w:type="pct"/>
            <w:shd w:val="clear" w:color="auto" w:fill="auto"/>
            <w:vAlign w:val="center"/>
          </w:tcPr>
          <w:p w14:paraId="1C887162">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39728C8D">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东</w:t>
            </w:r>
          </w:p>
        </w:tc>
        <w:tc>
          <w:tcPr>
            <w:tcW w:w="606" w:type="pct"/>
            <w:shd w:val="clear" w:color="auto" w:fill="auto"/>
            <w:vAlign w:val="center"/>
          </w:tcPr>
          <w:p w14:paraId="7A86CFCA">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900</w:t>
            </w:r>
          </w:p>
        </w:tc>
      </w:tr>
      <w:tr w14:paraId="7B80B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12BC191F">
            <w:pPr>
              <w:jc w:val="center"/>
              <w:rPr>
                <w:rFonts w:ascii="宋体" w:hAnsi="宋体" w:eastAsia="宋体" w:cs="Times New Roman"/>
                <w:color w:val="auto"/>
              </w:rPr>
            </w:pPr>
            <w:r>
              <w:rPr>
                <w:rFonts w:hint="eastAsia" w:ascii="宋体" w:hAnsi="宋体" w:eastAsia="宋体" w:cs="Times New Roman"/>
                <w:color w:val="auto"/>
              </w:rPr>
              <w:t>大姚屯</w:t>
            </w:r>
          </w:p>
        </w:tc>
        <w:tc>
          <w:tcPr>
            <w:tcW w:w="531" w:type="pct"/>
            <w:shd w:val="clear" w:color="auto" w:fill="auto"/>
            <w:vAlign w:val="center"/>
          </w:tcPr>
          <w:p w14:paraId="551C6B1D">
            <w:pPr>
              <w:jc w:val="center"/>
              <w:rPr>
                <w:rFonts w:ascii="宋体" w:hAnsi="宋体" w:eastAsia="宋体" w:cs="Times New Roman"/>
                <w:color w:val="auto"/>
              </w:rPr>
            </w:pPr>
            <w:r>
              <w:rPr>
                <w:rFonts w:ascii="宋体" w:hAnsi="宋体" w:eastAsia="宋体" w:cs="Times New Roman"/>
                <w:color w:val="auto"/>
              </w:rPr>
              <w:t>125.05029</w:t>
            </w:r>
          </w:p>
        </w:tc>
        <w:tc>
          <w:tcPr>
            <w:tcW w:w="567" w:type="pct"/>
            <w:shd w:val="clear" w:color="auto" w:fill="auto"/>
            <w:vAlign w:val="center"/>
          </w:tcPr>
          <w:p w14:paraId="3E4621DC">
            <w:pPr>
              <w:jc w:val="center"/>
              <w:rPr>
                <w:rFonts w:ascii="宋体" w:hAnsi="宋体" w:eastAsia="宋体" w:cs="Times New Roman"/>
                <w:color w:val="auto"/>
              </w:rPr>
            </w:pPr>
            <w:r>
              <w:rPr>
                <w:rFonts w:ascii="宋体" w:hAnsi="宋体" w:eastAsia="宋体" w:cs="Times New Roman"/>
                <w:color w:val="auto"/>
              </w:rPr>
              <w:t>45.51362</w:t>
            </w:r>
          </w:p>
        </w:tc>
        <w:tc>
          <w:tcPr>
            <w:tcW w:w="402" w:type="pct"/>
            <w:shd w:val="clear" w:color="auto" w:fill="auto"/>
            <w:vAlign w:val="center"/>
          </w:tcPr>
          <w:p w14:paraId="238DC519">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10CF1133">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610" w:type="pct"/>
            <w:shd w:val="clear" w:color="auto" w:fill="auto"/>
            <w:vAlign w:val="center"/>
          </w:tcPr>
          <w:p w14:paraId="72D37F15">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36BF3341">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东</w:t>
            </w:r>
          </w:p>
        </w:tc>
        <w:tc>
          <w:tcPr>
            <w:tcW w:w="606" w:type="pct"/>
            <w:shd w:val="clear" w:color="auto" w:fill="auto"/>
            <w:vAlign w:val="center"/>
          </w:tcPr>
          <w:p w14:paraId="601E0A5F">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300</w:t>
            </w:r>
          </w:p>
        </w:tc>
      </w:tr>
      <w:tr w14:paraId="105AC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14CB3F42">
            <w:pPr>
              <w:jc w:val="center"/>
              <w:rPr>
                <w:rFonts w:ascii="宋体" w:hAnsi="宋体" w:eastAsia="宋体" w:cs="Times New Roman"/>
                <w:color w:val="auto"/>
              </w:rPr>
            </w:pPr>
            <w:r>
              <w:rPr>
                <w:rFonts w:hint="eastAsia" w:ascii="宋体" w:hAnsi="宋体" w:eastAsia="宋体" w:cs="Times New Roman"/>
                <w:color w:val="auto"/>
              </w:rPr>
              <w:t>科技屯</w:t>
            </w:r>
          </w:p>
        </w:tc>
        <w:tc>
          <w:tcPr>
            <w:tcW w:w="531" w:type="pct"/>
            <w:shd w:val="clear" w:color="auto" w:fill="auto"/>
            <w:vAlign w:val="center"/>
          </w:tcPr>
          <w:p w14:paraId="54467D99">
            <w:pPr>
              <w:jc w:val="center"/>
              <w:rPr>
                <w:rFonts w:ascii="宋体" w:hAnsi="宋体" w:eastAsia="宋体" w:cs="Times New Roman"/>
                <w:color w:val="auto"/>
              </w:rPr>
            </w:pPr>
            <w:r>
              <w:rPr>
                <w:rFonts w:ascii="宋体" w:hAnsi="宋体" w:eastAsia="宋体" w:cs="Times New Roman"/>
                <w:color w:val="auto"/>
              </w:rPr>
              <w:t>125.07821</w:t>
            </w:r>
          </w:p>
        </w:tc>
        <w:tc>
          <w:tcPr>
            <w:tcW w:w="567" w:type="pct"/>
            <w:shd w:val="clear" w:color="auto" w:fill="auto"/>
            <w:vAlign w:val="center"/>
          </w:tcPr>
          <w:p w14:paraId="2F4D4062">
            <w:pPr>
              <w:jc w:val="center"/>
              <w:rPr>
                <w:rFonts w:ascii="宋体" w:hAnsi="宋体" w:eastAsia="宋体" w:cs="Times New Roman"/>
                <w:color w:val="auto"/>
              </w:rPr>
            </w:pPr>
            <w:r>
              <w:rPr>
                <w:rFonts w:ascii="宋体" w:hAnsi="宋体" w:eastAsia="宋体" w:cs="Times New Roman"/>
                <w:color w:val="auto"/>
              </w:rPr>
              <w:t>45.50293</w:t>
            </w:r>
          </w:p>
        </w:tc>
        <w:tc>
          <w:tcPr>
            <w:tcW w:w="402" w:type="pct"/>
            <w:shd w:val="clear" w:color="auto" w:fill="auto"/>
            <w:vAlign w:val="center"/>
          </w:tcPr>
          <w:p w14:paraId="41ABB55C">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73596861">
            <w:pPr>
              <w:snapToGrid w:val="0"/>
              <w:jc w:val="center"/>
              <w:rPr>
                <w:rFonts w:ascii="宋体" w:hAnsi="宋体" w:eastAsia="宋体" w:cs="Times New Roman"/>
                <w:color w:val="auto"/>
              </w:rPr>
            </w:pPr>
            <w:r>
              <w:rPr>
                <w:rFonts w:ascii="宋体" w:hAnsi="宋体" w:eastAsia="宋体" w:cs="Times New Roman"/>
                <w:color w:val="auto"/>
              </w:rPr>
              <w:t>约30户，110人</w:t>
            </w:r>
          </w:p>
        </w:tc>
        <w:tc>
          <w:tcPr>
            <w:tcW w:w="610" w:type="pct"/>
            <w:shd w:val="clear" w:color="auto" w:fill="auto"/>
            <w:vAlign w:val="center"/>
          </w:tcPr>
          <w:p w14:paraId="480648E6">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34277C8B">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东南</w:t>
            </w:r>
          </w:p>
        </w:tc>
        <w:tc>
          <w:tcPr>
            <w:tcW w:w="606" w:type="pct"/>
            <w:shd w:val="clear" w:color="auto" w:fill="auto"/>
            <w:vAlign w:val="center"/>
          </w:tcPr>
          <w:p w14:paraId="69E1A3EE">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2600</w:t>
            </w:r>
          </w:p>
        </w:tc>
      </w:tr>
      <w:tr w14:paraId="5078A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068DAB18">
            <w:pPr>
              <w:jc w:val="center"/>
              <w:rPr>
                <w:rFonts w:ascii="宋体" w:hAnsi="宋体" w:eastAsia="宋体" w:cs="Times New Roman"/>
                <w:color w:val="auto"/>
              </w:rPr>
            </w:pPr>
            <w:r>
              <w:rPr>
                <w:rFonts w:hint="eastAsia" w:ascii="宋体" w:hAnsi="宋体" w:eastAsia="宋体" w:cs="Times New Roman"/>
                <w:color w:val="auto"/>
              </w:rPr>
              <w:t>东小山屯</w:t>
            </w:r>
          </w:p>
        </w:tc>
        <w:tc>
          <w:tcPr>
            <w:tcW w:w="531" w:type="pct"/>
            <w:shd w:val="clear" w:color="auto" w:fill="auto"/>
            <w:vAlign w:val="center"/>
          </w:tcPr>
          <w:p w14:paraId="03E962A8">
            <w:pPr>
              <w:jc w:val="center"/>
              <w:rPr>
                <w:rFonts w:ascii="宋体" w:hAnsi="宋体" w:eastAsia="宋体" w:cs="Times New Roman"/>
                <w:color w:val="auto"/>
              </w:rPr>
            </w:pPr>
            <w:r>
              <w:rPr>
                <w:rFonts w:ascii="宋体" w:hAnsi="宋体" w:eastAsia="宋体" w:cs="Times New Roman"/>
                <w:color w:val="auto"/>
              </w:rPr>
              <w:t>125.07029</w:t>
            </w:r>
          </w:p>
        </w:tc>
        <w:tc>
          <w:tcPr>
            <w:tcW w:w="567" w:type="pct"/>
            <w:shd w:val="clear" w:color="auto" w:fill="auto"/>
            <w:vAlign w:val="center"/>
          </w:tcPr>
          <w:p w14:paraId="2B7A7D95">
            <w:pPr>
              <w:jc w:val="center"/>
              <w:rPr>
                <w:rFonts w:ascii="宋体" w:hAnsi="宋体" w:eastAsia="宋体" w:cs="Times New Roman"/>
                <w:color w:val="auto"/>
              </w:rPr>
            </w:pPr>
            <w:r>
              <w:rPr>
                <w:rFonts w:ascii="宋体" w:hAnsi="宋体" w:eastAsia="宋体" w:cs="Times New Roman"/>
                <w:color w:val="auto"/>
              </w:rPr>
              <w:t>45.49834</w:t>
            </w:r>
          </w:p>
        </w:tc>
        <w:tc>
          <w:tcPr>
            <w:tcW w:w="402" w:type="pct"/>
            <w:shd w:val="clear" w:color="auto" w:fill="auto"/>
            <w:vAlign w:val="center"/>
          </w:tcPr>
          <w:p w14:paraId="15307999">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7FB5AC75">
            <w:pPr>
              <w:snapToGrid w:val="0"/>
              <w:jc w:val="center"/>
              <w:rPr>
                <w:rFonts w:ascii="宋体" w:hAnsi="宋体" w:eastAsia="宋体" w:cs="Times New Roman"/>
                <w:color w:val="auto"/>
              </w:rPr>
            </w:pPr>
            <w:r>
              <w:rPr>
                <w:rFonts w:ascii="宋体" w:hAnsi="宋体" w:eastAsia="宋体" w:cs="Times New Roman"/>
                <w:color w:val="auto"/>
              </w:rPr>
              <w:t>约30户，110人</w:t>
            </w:r>
          </w:p>
        </w:tc>
        <w:tc>
          <w:tcPr>
            <w:tcW w:w="610" w:type="pct"/>
            <w:shd w:val="clear" w:color="auto" w:fill="auto"/>
            <w:vAlign w:val="center"/>
          </w:tcPr>
          <w:p w14:paraId="77A60873">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379F1F09">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东南</w:t>
            </w:r>
          </w:p>
        </w:tc>
        <w:tc>
          <w:tcPr>
            <w:tcW w:w="606" w:type="pct"/>
            <w:shd w:val="clear" w:color="auto" w:fill="auto"/>
            <w:vAlign w:val="center"/>
          </w:tcPr>
          <w:p w14:paraId="6E766E77">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2200</w:t>
            </w:r>
          </w:p>
        </w:tc>
      </w:tr>
      <w:tr w14:paraId="2380D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40DFC403">
            <w:pPr>
              <w:jc w:val="center"/>
              <w:rPr>
                <w:rFonts w:ascii="宋体" w:hAnsi="宋体" w:eastAsia="宋体" w:cs="Times New Roman"/>
                <w:color w:val="auto"/>
              </w:rPr>
            </w:pPr>
            <w:r>
              <w:rPr>
                <w:rFonts w:hint="eastAsia" w:ascii="宋体" w:hAnsi="宋体" w:eastAsia="宋体" w:cs="Times New Roman"/>
                <w:color w:val="auto"/>
              </w:rPr>
              <w:t>协力屯</w:t>
            </w:r>
          </w:p>
        </w:tc>
        <w:tc>
          <w:tcPr>
            <w:tcW w:w="531" w:type="pct"/>
            <w:shd w:val="clear" w:color="auto" w:fill="auto"/>
            <w:vAlign w:val="center"/>
          </w:tcPr>
          <w:p w14:paraId="636F7577">
            <w:pPr>
              <w:jc w:val="center"/>
              <w:rPr>
                <w:rFonts w:ascii="宋体" w:hAnsi="宋体" w:eastAsia="宋体" w:cs="Times New Roman"/>
                <w:color w:val="auto"/>
              </w:rPr>
            </w:pPr>
            <w:r>
              <w:rPr>
                <w:rFonts w:ascii="宋体" w:hAnsi="宋体" w:eastAsia="宋体" w:cs="Times New Roman"/>
                <w:color w:val="auto"/>
              </w:rPr>
              <w:t>125.03487</w:t>
            </w:r>
          </w:p>
        </w:tc>
        <w:tc>
          <w:tcPr>
            <w:tcW w:w="567" w:type="pct"/>
            <w:shd w:val="clear" w:color="auto" w:fill="auto"/>
            <w:vAlign w:val="center"/>
          </w:tcPr>
          <w:p w14:paraId="45FA2FEB">
            <w:pPr>
              <w:jc w:val="center"/>
              <w:rPr>
                <w:rFonts w:ascii="宋体" w:hAnsi="宋体" w:eastAsia="宋体" w:cs="Times New Roman"/>
                <w:color w:val="auto"/>
              </w:rPr>
            </w:pPr>
            <w:r>
              <w:rPr>
                <w:rFonts w:ascii="宋体" w:hAnsi="宋体" w:eastAsia="宋体" w:cs="Times New Roman"/>
                <w:color w:val="auto"/>
              </w:rPr>
              <w:t>45.50611</w:t>
            </w:r>
          </w:p>
        </w:tc>
        <w:tc>
          <w:tcPr>
            <w:tcW w:w="402" w:type="pct"/>
            <w:shd w:val="clear" w:color="auto" w:fill="auto"/>
            <w:vAlign w:val="center"/>
          </w:tcPr>
          <w:p w14:paraId="2A0D3479">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57A2C139">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610" w:type="pct"/>
            <w:shd w:val="clear" w:color="auto" w:fill="auto"/>
            <w:vAlign w:val="center"/>
          </w:tcPr>
          <w:p w14:paraId="19DB9B8C">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18EB1CA8">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西南</w:t>
            </w:r>
          </w:p>
        </w:tc>
        <w:tc>
          <w:tcPr>
            <w:tcW w:w="606" w:type="pct"/>
            <w:shd w:val="clear" w:color="auto" w:fill="auto"/>
            <w:vAlign w:val="center"/>
          </w:tcPr>
          <w:p w14:paraId="0EB727DC">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800</w:t>
            </w:r>
          </w:p>
        </w:tc>
      </w:tr>
      <w:tr w14:paraId="65FCB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212C530A">
            <w:pPr>
              <w:jc w:val="center"/>
              <w:rPr>
                <w:rFonts w:ascii="宋体" w:hAnsi="宋体" w:eastAsia="宋体" w:cs="Times New Roman"/>
                <w:color w:val="auto"/>
              </w:rPr>
            </w:pPr>
            <w:r>
              <w:rPr>
                <w:rFonts w:hint="eastAsia" w:ascii="宋体" w:hAnsi="宋体" w:eastAsia="宋体" w:cs="Times New Roman"/>
                <w:color w:val="auto"/>
              </w:rPr>
              <w:t>友谊村</w:t>
            </w:r>
          </w:p>
        </w:tc>
        <w:tc>
          <w:tcPr>
            <w:tcW w:w="531" w:type="pct"/>
            <w:shd w:val="clear" w:color="auto" w:fill="auto"/>
            <w:vAlign w:val="center"/>
          </w:tcPr>
          <w:p w14:paraId="3C7A6426">
            <w:pPr>
              <w:jc w:val="center"/>
              <w:rPr>
                <w:rFonts w:ascii="宋体" w:hAnsi="宋体" w:eastAsia="宋体" w:cs="Times New Roman"/>
                <w:color w:val="auto"/>
              </w:rPr>
            </w:pPr>
            <w:r>
              <w:rPr>
                <w:rFonts w:ascii="宋体" w:hAnsi="宋体" w:eastAsia="宋体" w:cs="Times New Roman"/>
                <w:color w:val="auto"/>
              </w:rPr>
              <w:t>125.04167</w:t>
            </w:r>
          </w:p>
        </w:tc>
        <w:tc>
          <w:tcPr>
            <w:tcW w:w="567" w:type="pct"/>
            <w:shd w:val="clear" w:color="auto" w:fill="auto"/>
            <w:vAlign w:val="center"/>
          </w:tcPr>
          <w:p w14:paraId="3E60E484">
            <w:pPr>
              <w:jc w:val="center"/>
              <w:rPr>
                <w:rFonts w:ascii="宋体" w:hAnsi="宋体" w:eastAsia="宋体" w:cs="Times New Roman"/>
                <w:color w:val="auto"/>
              </w:rPr>
            </w:pPr>
            <w:r>
              <w:rPr>
                <w:rFonts w:ascii="宋体" w:hAnsi="宋体" w:eastAsia="宋体" w:cs="Times New Roman"/>
                <w:color w:val="auto"/>
              </w:rPr>
              <w:t>45.50696</w:t>
            </w:r>
          </w:p>
        </w:tc>
        <w:tc>
          <w:tcPr>
            <w:tcW w:w="402" w:type="pct"/>
            <w:shd w:val="clear" w:color="auto" w:fill="auto"/>
            <w:vAlign w:val="center"/>
          </w:tcPr>
          <w:p w14:paraId="262B6635">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69FCD951">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610" w:type="pct"/>
            <w:shd w:val="clear" w:color="auto" w:fill="auto"/>
            <w:vAlign w:val="center"/>
          </w:tcPr>
          <w:p w14:paraId="2429DF01">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755CF663">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西南</w:t>
            </w:r>
          </w:p>
        </w:tc>
        <w:tc>
          <w:tcPr>
            <w:tcW w:w="606" w:type="pct"/>
            <w:shd w:val="clear" w:color="auto" w:fill="auto"/>
            <w:vAlign w:val="center"/>
          </w:tcPr>
          <w:p w14:paraId="0A6529AE">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400</w:t>
            </w:r>
          </w:p>
        </w:tc>
      </w:tr>
      <w:tr w14:paraId="1AF9A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2B6438D1">
            <w:pPr>
              <w:jc w:val="center"/>
              <w:rPr>
                <w:rFonts w:ascii="宋体" w:hAnsi="宋体" w:eastAsia="宋体" w:cs="Times New Roman"/>
                <w:color w:val="auto"/>
              </w:rPr>
            </w:pPr>
            <w:r>
              <w:rPr>
                <w:rFonts w:hint="eastAsia" w:ascii="宋体" w:hAnsi="宋体" w:eastAsia="宋体" w:cs="Times New Roman"/>
                <w:color w:val="auto"/>
              </w:rPr>
              <w:t>刘兽医屯</w:t>
            </w:r>
          </w:p>
        </w:tc>
        <w:tc>
          <w:tcPr>
            <w:tcW w:w="531" w:type="pct"/>
            <w:shd w:val="clear" w:color="auto" w:fill="auto"/>
            <w:vAlign w:val="center"/>
          </w:tcPr>
          <w:p w14:paraId="3EE465F2">
            <w:pPr>
              <w:jc w:val="center"/>
              <w:rPr>
                <w:rFonts w:ascii="宋体" w:hAnsi="宋体" w:eastAsia="宋体" w:cs="Times New Roman"/>
                <w:color w:val="auto"/>
              </w:rPr>
            </w:pPr>
            <w:r>
              <w:rPr>
                <w:rFonts w:ascii="宋体" w:hAnsi="宋体" w:eastAsia="宋体" w:cs="Times New Roman"/>
                <w:color w:val="auto"/>
              </w:rPr>
              <w:t>125.04265</w:t>
            </w:r>
          </w:p>
        </w:tc>
        <w:tc>
          <w:tcPr>
            <w:tcW w:w="567" w:type="pct"/>
            <w:shd w:val="clear" w:color="auto" w:fill="auto"/>
            <w:vAlign w:val="center"/>
          </w:tcPr>
          <w:p w14:paraId="5B27BB58">
            <w:pPr>
              <w:jc w:val="center"/>
              <w:rPr>
                <w:rFonts w:ascii="宋体" w:hAnsi="宋体" w:eastAsia="宋体" w:cs="Times New Roman"/>
                <w:color w:val="auto"/>
              </w:rPr>
            </w:pPr>
            <w:r>
              <w:rPr>
                <w:rFonts w:ascii="宋体" w:hAnsi="宋体" w:eastAsia="宋体" w:cs="Times New Roman"/>
                <w:color w:val="auto"/>
              </w:rPr>
              <w:t>45.51045</w:t>
            </w:r>
          </w:p>
        </w:tc>
        <w:tc>
          <w:tcPr>
            <w:tcW w:w="402" w:type="pct"/>
            <w:shd w:val="clear" w:color="auto" w:fill="auto"/>
            <w:vAlign w:val="center"/>
          </w:tcPr>
          <w:p w14:paraId="1E4B1548">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417C3DBA">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610" w:type="pct"/>
            <w:shd w:val="clear" w:color="auto" w:fill="auto"/>
            <w:vAlign w:val="center"/>
          </w:tcPr>
          <w:p w14:paraId="5658E8DA">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2BE9DCB2">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w:t>
            </w:r>
          </w:p>
        </w:tc>
        <w:tc>
          <w:tcPr>
            <w:tcW w:w="606" w:type="pct"/>
            <w:shd w:val="clear" w:color="auto" w:fill="auto"/>
            <w:vAlign w:val="center"/>
          </w:tcPr>
          <w:p w14:paraId="45C468EA">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140</w:t>
            </w:r>
          </w:p>
        </w:tc>
      </w:tr>
      <w:tr w14:paraId="5BD96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75A5BF27">
            <w:pPr>
              <w:jc w:val="center"/>
              <w:rPr>
                <w:rFonts w:ascii="宋体" w:hAnsi="宋体" w:eastAsia="宋体" w:cs="Times New Roman"/>
                <w:color w:val="auto"/>
              </w:rPr>
            </w:pPr>
            <w:r>
              <w:rPr>
                <w:rFonts w:hint="eastAsia" w:ascii="宋体" w:hAnsi="宋体" w:eastAsia="宋体" w:cs="Times New Roman"/>
                <w:color w:val="auto"/>
              </w:rPr>
              <w:t>大三马架屯</w:t>
            </w:r>
          </w:p>
        </w:tc>
        <w:tc>
          <w:tcPr>
            <w:tcW w:w="531" w:type="pct"/>
            <w:shd w:val="clear" w:color="auto" w:fill="auto"/>
            <w:vAlign w:val="center"/>
          </w:tcPr>
          <w:p w14:paraId="72A3262A">
            <w:pPr>
              <w:jc w:val="center"/>
              <w:rPr>
                <w:rFonts w:ascii="宋体" w:hAnsi="宋体" w:eastAsia="宋体" w:cs="Times New Roman"/>
                <w:color w:val="auto"/>
              </w:rPr>
            </w:pPr>
            <w:r>
              <w:rPr>
                <w:rFonts w:ascii="宋体" w:hAnsi="宋体" w:eastAsia="宋体" w:cs="Times New Roman"/>
                <w:color w:val="auto"/>
              </w:rPr>
              <w:t>125.01863</w:t>
            </w:r>
          </w:p>
        </w:tc>
        <w:tc>
          <w:tcPr>
            <w:tcW w:w="567" w:type="pct"/>
            <w:shd w:val="clear" w:color="auto" w:fill="auto"/>
            <w:vAlign w:val="center"/>
          </w:tcPr>
          <w:p w14:paraId="77FC01C8">
            <w:pPr>
              <w:jc w:val="center"/>
              <w:rPr>
                <w:rFonts w:ascii="宋体" w:hAnsi="宋体" w:eastAsia="宋体" w:cs="Times New Roman"/>
                <w:color w:val="auto"/>
              </w:rPr>
            </w:pPr>
            <w:r>
              <w:rPr>
                <w:rFonts w:ascii="宋体" w:hAnsi="宋体" w:eastAsia="宋体" w:cs="Times New Roman"/>
                <w:color w:val="auto"/>
              </w:rPr>
              <w:t>45.50895</w:t>
            </w:r>
          </w:p>
        </w:tc>
        <w:tc>
          <w:tcPr>
            <w:tcW w:w="402" w:type="pct"/>
            <w:shd w:val="clear" w:color="auto" w:fill="auto"/>
            <w:vAlign w:val="center"/>
          </w:tcPr>
          <w:p w14:paraId="19DD3E7C">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57B2D304">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610" w:type="pct"/>
            <w:shd w:val="clear" w:color="auto" w:fill="auto"/>
            <w:vAlign w:val="center"/>
          </w:tcPr>
          <w:p w14:paraId="02563499">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402C7386">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w:t>
            </w:r>
          </w:p>
        </w:tc>
        <w:tc>
          <w:tcPr>
            <w:tcW w:w="606" w:type="pct"/>
            <w:shd w:val="clear" w:color="auto" w:fill="auto"/>
            <w:vAlign w:val="center"/>
          </w:tcPr>
          <w:p w14:paraId="0458C064">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1600</w:t>
            </w:r>
          </w:p>
        </w:tc>
      </w:tr>
      <w:tr w14:paraId="51C51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3E0DB5BE">
            <w:pPr>
              <w:jc w:val="center"/>
              <w:rPr>
                <w:rFonts w:ascii="宋体" w:hAnsi="宋体" w:eastAsia="宋体" w:cs="Times New Roman"/>
                <w:color w:val="auto"/>
              </w:rPr>
            </w:pPr>
            <w:r>
              <w:rPr>
                <w:rFonts w:hint="eastAsia" w:ascii="宋体" w:hAnsi="宋体" w:eastAsia="宋体" w:cs="Times New Roman"/>
                <w:color w:val="auto"/>
              </w:rPr>
              <w:t>黑岗子屯</w:t>
            </w:r>
          </w:p>
        </w:tc>
        <w:tc>
          <w:tcPr>
            <w:tcW w:w="531" w:type="pct"/>
            <w:shd w:val="clear" w:color="auto" w:fill="auto"/>
            <w:vAlign w:val="center"/>
          </w:tcPr>
          <w:p w14:paraId="2F021909">
            <w:pPr>
              <w:jc w:val="center"/>
              <w:rPr>
                <w:rFonts w:ascii="宋体" w:hAnsi="宋体" w:eastAsia="宋体" w:cs="Times New Roman"/>
                <w:color w:val="auto"/>
              </w:rPr>
            </w:pPr>
            <w:r>
              <w:rPr>
                <w:rFonts w:ascii="宋体" w:hAnsi="宋体" w:eastAsia="宋体" w:cs="Times New Roman"/>
                <w:color w:val="auto"/>
              </w:rPr>
              <w:t>125.02487</w:t>
            </w:r>
          </w:p>
        </w:tc>
        <w:tc>
          <w:tcPr>
            <w:tcW w:w="567" w:type="pct"/>
            <w:shd w:val="clear" w:color="auto" w:fill="auto"/>
            <w:vAlign w:val="center"/>
          </w:tcPr>
          <w:p w14:paraId="7E872E08">
            <w:pPr>
              <w:jc w:val="center"/>
              <w:rPr>
                <w:rFonts w:ascii="宋体" w:hAnsi="宋体" w:eastAsia="宋体" w:cs="Times New Roman"/>
                <w:color w:val="auto"/>
              </w:rPr>
            </w:pPr>
            <w:r>
              <w:rPr>
                <w:rFonts w:ascii="宋体" w:hAnsi="宋体" w:eastAsia="宋体" w:cs="Times New Roman"/>
                <w:color w:val="auto"/>
              </w:rPr>
              <w:t>45.51861</w:t>
            </w:r>
          </w:p>
        </w:tc>
        <w:tc>
          <w:tcPr>
            <w:tcW w:w="402" w:type="pct"/>
            <w:shd w:val="clear" w:color="auto" w:fill="auto"/>
            <w:vAlign w:val="center"/>
          </w:tcPr>
          <w:p w14:paraId="22FDD8DA">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7F74E50E">
            <w:pPr>
              <w:snapToGrid w:val="0"/>
              <w:jc w:val="center"/>
              <w:rPr>
                <w:rFonts w:ascii="宋体" w:hAnsi="宋体" w:eastAsia="宋体" w:cs="Times New Roman"/>
                <w:color w:val="auto"/>
              </w:rPr>
            </w:pPr>
            <w:r>
              <w:rPr>
                <w:rFonts w:ascii="宋体" w:hAnsi="宋体" w:eastAsia="宋体" w:cs="Times New Roman"/>
                <w:color w:val="auto"/>
              </w:rPr>
              <w:t>约30户，110人</w:t>
            </w:r>
          </w:p>
        </w:tc>
        <w:tc>
          <w:tcPr>
            <w:tcW w:w="610" w:type="pct"/>
            <w:shd w:val="clear" w:color="auto" w:fill="auto"/>
            <w:vAlign w:val="center"/>
          </w:tcPr>
          <w:p w14:paraId="42843D53">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66318113">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西北</w:t>
            </w:r>
          </w:p>
        </w:tc>
        <w:tc>
          <w:tcPr>
            <w:tcW w:w="606" w:type="pct"/>
            <w:shd w:val="clear" w:color="auto" w:fill="auto"/>
            <w:vAlign w:val="center"/>
          </w:tcPr>
          <w:p w14:paraId="1431B3A3">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1600</w:t>
            </w:r>
          </w:p>
        </w:tc>
      </w:tr>
      <w:tr w14:paraId="6C171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125FD0AF">
            <w:pPr>
              <w:jc w:val="center"/>
              <w:rPr>
                <w:rFonts w:ascii="宋体" w:hAnsi="宋体" w:eastAsia="宋体" w:cs="Times New Roman"/>
                <w:color w:val="auto"/>
              </w:rPr>
            </w:pPr>
            <w:r>
              <w:rPr>
                <w:rFonts w:hint="eastAsia" w:ascii="宋体" w:hAnsi="宋体" w:eastAsia="宋体" w:cs="Times New Roman"/>
                <w:color w:val="auto"/>
              </w:rPr>
              <w:t>前永利村</w:t>
            </w:r>
          </w:p>
        </w:tc>
        <w:tc>
          <w:tcPr>
            <w:tcW w:w="531" w:type="pct"/>
            <w:shd w:val="clear" w:color="auto" w:fill="auto"/>
            <w:vAlign w:val="center"/>
          </w:tcPr>
          <w:p w14:paraId="00D58B71">
            <w:pPr>
              <w:jc w:val="center"/>
              <w:rPr>
                <w:rFonts w:ascii="宋体" w:hAnsi="宋体" w:eastAsia="宋体" w:cs="Times New Roman"/>
                <w:color w:val="auto"/>
              </w:rPr>
            </w:pPr>
            <w:r>
              <w:rPr>
                <w:rFonts w:ascii="宋体" w:hAnsi="宋体" w:eastAsia="宋体" w:cs="Times New Roman"/>
                <w:color w:val="auto"/>
              </w:rPr>
              <w:t>125.0079</w:t>
            </w:r>
          </w:p>
        </w:tc>
        <w:tc>
          <w:tcPr>
            <w:tcW w:w="567" w:type="pct"/>
            <w:shd w:val="clear" w:color="auto" w:fill="auto"/>
            <w:vAlign w:val="center"/>
          </w:tcPr>
          <w:p w14:paraId="1B531491">
            <w:pPr>
              <w:jc w:val="center"/>
              <w:rPr>
                <w:rFonts w:ascii="宋体" w:hAnsi="宋体" w:eastAsia="宋体" w:cs="Times New Roman"/>
                <w:color w:val="auto"/>
              </w:rPr>
            </w:pPr>
            <w:r>
              <w:rPr>
                <w:rFonts w:ascii="宋体" w:hAnsi="宋体" w:eastAsia="宋体" w:cs="Times New Roman"/>
                <w:color w:val="auto"/>
              </w:rPr>
              <w:t>45.52389</w:t>
            </w:r>
          </w:p>
        </w:tc>
        <w:tc>
          <w:tcPr>
            <w:tcW w:w="402" w:type="pct"/>
            <w:shd w:val="clear" w:color="auto" w:fill="auto"/>
            <w:vAlign w:val="center"/>
          </w:tcPr>
          <w:p w14:paraId="5D48C017">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4AFE0749">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8</w:t>
            </w:r>
            <w:r>
              <w:rPr>
                <w:rFonts w:ascii="宋体" w:hAnsi="宋体" w:eastAsia="宋体" w:cs="Times New Roman"/>
                <w:color w:val="auto"/>
              </w:rPr>
              <w:t>0户，</w:t>
            </w:r>
            <w:r>
              <w:rPr>
                <w:rFonts w:hint="eastAsia" w:ascii="宋体" w:hAnsi="宋体" w:eastAsia="宋体" w:cs="Times New Roman"/>
                <w:color w:val="auto"/>
              </w:rPr>
              <w:t>40</w:t>
            </w:r>
            <w:r>
              <w:rPr>
                <w:rFonts w:ascii="宋体" w:hAnsi="宋体" w:eastAsia="宋体" w:cs="Times New Roman"/>
                <w:color w:val="auto"/>
              </w:rPr>
              <w:t>0人</w:t>
            </w:r>
          </w:p>
        </w:tc>
        <w:tc>
          <w:tcPr>
            <w:tcW w:w="610" w:type="pct"/>
            <w:shd w:val="clear" w:color="auto" w:fill="auto"/>
            <w:vAlign w:val="center"/>
          </w:tcPr>
          <w:p w14:paraId="0E6A6446">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2295825C">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西北</w:t>
            </w:r>
          </w:p>
        </w:tc>
        <w:tc>
          <w:tcPr>
            <w:tcW w:w="606" w:type="pct"/>
            <w:shd w:val="clear" w:color="auto" w:fill="auto"/>
            <w:vAlign w:val="center"/>
          </w:tcPr>
          <w:p w14:paraId="5CB6CE59">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2300</w:t>
            </w:r>
          </w:p>
        </w:tc>
      </w:tr>
      <w:tr w14:paraId="5F535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4E036D3D">
            <w:pPr>
              <w:jc w:val="center"/>
              <w:rPr>
                <w:rFonts w:ascii="宋体" w:hAnsi="宋体" w:eastAsia="宋体" w:cs="Times New Roman"/>
                <w:color w:val="auto"/>
              </w:rPr>
            </w:pPr>
            <w:r>
              <w:rPr>
                <w:rFonts w:hint="eastAsia" w:ascii="宋体" w:hAnsi="宋体" w:eastAsia="宋体" w:cs="Times New Roman"/>
                <w:color w:val="auto"/>
              </w:rPr>
              <w:t>代龙村</w:t>
            </w:r>
          </w:p>
        </w:tc>
        <w:tc>
          <w:tcPr>
            <w:tcW w:w="531" w:type="pct"/>
            <w:shd w:val="clear" w:color="auto" w:fill="auto"/>
            <w:vAlign w:val="center"/>
          </w:tcPr>
          <w:p w14:paraId="74828DB5">
            <w:pPr>
              <w:jc w:val="center"/>
              <w:rPr>
                <w:rFonts w:ascii="宋体" w:hAnsi="宋体" w:eastAsia="宋体" w:cs="Times New Roman"/>
                <w:color w:val="auto"/>
              </w:rPr>
            </w:pPr>
            <w:r>
              <w:rPr>
                <w:rFonts w:ascii="宋体" w:hAnsi="宋体" w:eastAsia="宋体" w:cs="Times New Roman"/>
                <w:color w:val="auto"/>
              </w:rPr>
              <w:t>125.03089</w:t>
            </w:r>
          </w:p>
        </w:tc>
        <w:tc>
          <w:tcPr>
            <w:tcW w:w="567" w:type="pct"/>
            <w:shd w:val="clear" w:color="auto" w:fill="auto"/>
            <w:vAlign w:val="center"/>
          </w:tcPr>
          <w:p w14:paraId="4F833CB5">
            <w:pPr>
              <w:jc w:val="center"/>
              <w:rPr>
                <w:rFonts w:ascii="宋体" w:hAnsi="宋体" w:eastAsia="宋体" w:cs="Times New Roman"/>
                <w:color w:val="auto"/>
              </w:rPr>
            </w:pPr>
            <w:r>
              <w:rPr>
                <w:rFonts w:ascii="宋体" w:hAnsi="宋体" w:eastAsia="宋体" w:cs="Times New Roman"/>
                <w:color w:val="auto"/>
              </w:rPr>
              <w:t>45.53619</w:t>
            </w:r>
          </w:p>
        </w:tc>
        <w:tc>
          <w:tcPr>
            <w:tcW w:w="402" w:type="pct"/>
            <w:shd w:val="clear" w:color="auto" w:fill="auto"/>
            <w:vAlign w:val="center"/>
          </w:tcPr>
          <w:p w14:paraId="78BCD194">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7EC11532">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6</w:t>
            </w:r>
            <w:r>
              <w:rPr>
                <w:rFonts w:ascii="宋体" w:hAnsi="宋体" w:eastAsia="宋体" w:cs="Times New Roman"/>
                <w:color w:val="auto"/>
              </w:rPr>
              <w:t>0户，</w:t>
            </w:r>
            <w:r>
              <w:rPr>
                <w:rFonts w:hint="eastAsia" w:ascii="宋体" w:hAnsi="宋体" w:eastAsia="宋体" w:cs="Times New Roman"/>
                <w:color w:val="auto"/>
              </w:rPr>
              <w:t>30</w:t>
            </w:r>
            <w:r>
              <w:rPr>
                <w:rFonts w:ascii="宋体" w:hAnsi="宋体" w:eastAsia="宋体" w:cs="Times New Roman"/>
                <w:color w:val="auto"/>
              </w:rPr>
              <w:t>0人</w:t>
            </w:r>
          </w:p>
        </w:tc>
        <w:tc>
          <w:tcPr>
            <w:tcW w:w="610" w:type="pct"/>
            <w:shd w:val="clear" w:color="auto" w:fill="auto"/>
            <w:vAlign w:val="center"/>
          </w:tcPr>
          <w:p w14:paraId="505717DF">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383BB7D4">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北</w:t>
            </w:r>
          </w:p>
        </w:tc>
        <w:tc>
          <w:tcPr>
            <w:tcW w:w="606" w:type="pct"/>
            <w:shd w:val="clear" w:color="auto" w:fill="auto"/>
            <w:vAlign w:val="center"/>
          </w:tcPr>
          <w:p w14:paraId="6608167B">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2600</w:t>
            </w:r>
          </w:p>
        </w:tc>
      </w:tr>
      <w:tr w14:paraId="69822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98" w:type="pct"/>
            <w:shd w:val="clear" w:color="auto" w:fill="auto"/>
            <w:vAlign w:val="center"/>
          </w:tcPr>
          <w:p w14:paraId="1C4BEBBF">
            <w:pPr>
              <w:jc w:val="center"/>
              <w:rPr>
                <w:rFonts w:ascii="宋体" w:hAnsi="宋体" w:eastAsia="宋体" w:cs="Times New Roman"/>
                <w:color w:val="auto"/>
              </w:rPr>
            </w:pPr>
            <w:r>
              <w:rPr>
                <w:rFonts w:hint="eastAsia" w:ascii="宋体" w:hAnsi="宋体" w:eastAsia="宋体" w:cs="Times New Roman"/>
                <w:color w:val="auto"/>
              </w:rPr>
              <w:t>刘喜屯</w:t>
            </w:r>
          </w:p>
        </w:tc>
        <w:tc>
          <w:tcPr>
            <w:tcW w:w="531" w:type="pct"/>
            <w:shd w:val="clear" w:color="auto" w:fill="auto"/>
            <w:vAlign w:val="center"/>
          </w:tcPr>
          <w:p w14:paraId="279FBBC1">
            <w:pPr>
              <w:jc w:val="center"/>
              <w:rPr>
                <w:rFonts w:ascii="宋体" w:hAnsi="宋体" w:eastAsia="宋体" w:cs="Times New Roman"/>
                <w:color w:val="auto"/>
              </w:rPr>
            </w:pPr>
            <w:r>
              <w:rPr>
                <w:rFonts w:ascii="宋体" w:hAnsi="宋体" w:eastAsia="宋体" w:cs="Times New Roman"/>
                <w:color w:val="auto"/>
              </w:rPr>
              <w:t>125.04286</w:t>
            </w:r>
          </w:p>
        </w:tc>
        <w:tc>
          <w:tcPr>
            <w:tcW w:w="567" w:type="pct"/>
            <w:shd w:val="clear" w:color="auto" w:fill="auto"/>
            <w:vAlign w:val="center"/>
          </w:tcPr>
          <w:p w14:paraId="35F2ABE3">
            <w:pPr>
              <w:jc w:val="center"/>
              <w:rPr>
                <w:rFonts w:ascii="宋体" w:hAnsi="宋体" w:eastAsia="宋体" w:cs="Times New Roman"/>
                <w:color w:val="auto"/>
              </w:rPr>
            </w:pPr>
            <w:r>
              <w:rPr>
                <w:rFonts w:ascii="宋体" w:hAnsi="宋体" w:eastAsia="宋体" w:cs="Times New Roman"/>
                <w:color w:val="auto"/>
              </w:rPr>
              <w:t>45.53492</w:t>
            </w:r>
          </w:p>
        </w:tc>
        <w:tc>
          <w:tcPr>
            <w:tcW w:w="402" w:type="pct"/>
            <w:shd w:val="clear" w:color="auto" w:fill="auto"/>
            <w:vAlign w:val="center"/>
          </w:tcPr>
          <w:p w14:paraId="39B8F5F6">
            <w:pPr>
              <w:jc w:val="center"/>
              <w:rPr>
                <w:rFonts w:ascii="宋体" w:hAnsi="宋体" w:eastAsia="宋体" w:cs="Times New Roman"/>
                <w:color w:val="auto"/>
              </w:rPr>
            </w:pPr>
            <w:r>
              <w:rPr>
                <w:rFonts w:ascii="宋体" w:hAnsi="宋体" w:eastAsia="宋体" w:cs="Times New Roman"/>
                <w:color w:val="auto"/>
              </w:rPr>
              <w:t>居民</w:t>
            </w:r>
          </w:p>
        </w:tc>
        <w:tc>
          <w:tcPr>
            <w:tcW w:w="843" w:type="pct"/>
            <w:shd w:val="clear" w:color="auto" w:fill="auto"/>
            <w:vAlign w:val="center"/>
          </w:tcPr>
          <w:p w14:paraId="07C0B7AF">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610" w:type="pct"/>
            <w:shd w:val="clear" w:color="auto" w:fill="auto"/>
            <w:vAlign w:val="center"/>
          </w:tcPr>
          <w:p w14:paraId="07537BD6">
            <w:pPr>
              <w:jc w:val="center"/>
              <w:rPr>
                <w:rFonts w:ascii="宋体" w:hAnsi="宋体" w:eastAsia="宋体" w:cs="Times New Roman"/>
                <w:color w:val="auto"/>
              </w:rPr>
            </w:pPr>
            <w:r>
              <w:rPr>
                <w:rFonts w:ascii="宋体" w:hAnsi="宋体" w:eastAsia="宋体" w:cs="Times New Roman"/>
                <w:color w:val="auto"/>
              </w:rPr>
              <w:t>二类</w:t>
            </w:r>
          </w:p>
        </w:tc>
        <w:tc>
          <w:tcPr>
            <w:tcW w:w="742" w:type="pct"/>
            <w:shd w:val="clear" w:color="auto" w:fill="auto"/>
            <w:vAlign w:val="center"/>
          </w:tcPr>
          <w:p w14:paraId="28C26A41">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北</w:t>
            </w:r>
          </w:p>
        </w:tc>
        <w:tc>
          <w:tcPr>
            <w:tcW w:w="606" w:type="pct"/>
            <w:shd w:val="clear" w:color="auto" w:fill="auto"/>
            <w:vAlign w:val="center"/>
          </w:tcPr>
          <w:p w14:paraId="45730B37">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2400</w:t>
            </w:r>
          </w:p>
        </w:tc>
      </w:tr>
    </w:tbl>
    <w:p w14:paraId="404795BA">
      <w:pPr>
        <w:pStyle w:val="22"/>
        <w:spacing w:before="156"/>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2.7</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环境风险保护目标</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1"/>
        <w:gridCol w:w="1161"/>
        <w:gridCol w:w="1307"/>
        <w:gridCol w:w="3053"/>
        <w:gridCol w:w="3044"/>
      </w:tblGrid>
      <w:tr w14:paraId="09491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restart"/>
            <w:shd w:val="clear" w:color="auto" w:fill="auto"/>
            <w:vAlign w:val="center"/>
          </w:tcPr>
          <w:p w14:paraId="1547D458">
            <w:pPr>
              <w:jc w:val="center"/>
              <w:rPr>
                <w:rFonts w:ascii="宋体" w:hAnsi="宋体" w:eastAsia="宋体" w:cs="Times New Roman"/>
                <w:color w:val="auto"/>
                <w:lang w:bidi="ar"/>
              </w:rPr>
            </w:pPr>
            <w:r>
              <w:rPr>
                <w:rFonts w:ascii="宋体" w:hAnsi="宋体" w:eastAsia="宋体" w:cs="Times New Roman"/>
                <w:color w:val="auto"/>
                <w:lang w:bidi="ar"/>
              </w:rPr>
              <w:t>环境要素</w:t>
            </w:r>
          </w:p>
        </w:tc>
        <w:tc>
          <w:tcPr>
            <w:tcW w:w="625" w:type="pct"/>
            <w:vMerge w:val="restart"/>
            <w:shd w:val="clear" w:color="auto" w:fill="auto"/>
            <w:vAlign w:val="center"/>
          </w:tcPr>
          <w:p w14:paraId="7FA9EA4A">
            <w:pPr>
              <w:jc w:val="center"/>
              <w:rPr>
                <w:rFonts w:ascii="宋体" w:hAnsi="宋体" w:eastAsia="宋体" w:cs="Times New Roman"/>
                <w:color w:val="auto"/>
                <w:lang w:bidi="ar"/>
              </w:rPr>
            </w:pPr>
            <w:r>
              <w:rPr>
                <w:rFonts w:ascii="宋体" w:hAnsi="宋体" w:eastAsia="宋体" w:cs="Times New Roman"/>
                <w:color w:val="auto"/>
                <w:lang w:bidi="ar"/>
              </w:rPr>
              <w:t>保护属性</w:t>
            </w:r>
          </w:p>
        </w:tc>
        <w:tc>
          <w:tcPr>
            <w:tcW w:w="704" w:type="pct"/>
            <w:vMerge w:val="restart"/>
            <w:shd w:val="clear" w:color="auto" w:fill="auto"/>
            <w:vAlign w:val="center"/>
          </w:tcPr>
          <w:p w14:paraId="348E0D2C">
            <w:pPr>
              <w:jc w:val="center"/>
              <w:rPr>
                <w:rFonts w:ascii="宋体" w:hAnsi="宋体" w:eastAsia="宋体" w:cs="Times New Roman"/>
                <w:color w:val="auto"/>
                <w:lang w:bidi="ar"/>
              </w:rPr>
            </w:pPr>
            <w:r>
              <w:rPr>
                <w:rFonts w:ascii="宋体" w:hAnsi="宋体" w:eastAsia="宋体" w:cs="Times New Roman"/>
                <w:color w:val="auto"/>
                <w:lang w:bidi="ar"/>
              </w:rPr>
              <w:t>保护目标</w:t>
            </w:r>
          </w:p>
        </w:tc>
        <w:tc>
          <w:tcPr>
            <w:tcW w:w="1644" w:type="pct"/>
            <w:vMerge w:val="restart"/>
            <w:shd w:val="clear" w:color="auto" w:fill="auto"/>
            <w:vAlign w:val="center"/>
          </w:tcPr>
          <w:p w14:paraId="489C273A">
            <w:pPr>
              <w:jc w:val="center"/>
              <w:rPr>
                <w:rFonts w:ascii="宋体" w:hAnsi="宋体" w:eastAsia="宋体" w:cs="Times New Roman"/>
                <w:color w:val="auto"/>
                <w:lang w:bidi="ar"/>
              </w:rPr>
            </w:pPr>
            <w:r>
              <w:rPr>
                <w:rFonts w:ascii="宋体" w:hAnsi="宋体" w:eastAsia="宋体" w:cs="Times New Roman"/>
                <w:color w:val="auto"/>
                <w:lang w:bidi="ar"/>
              </w:rPr>
              <w:t>保护对象</w:t>
            </w:r>
          </w:p>
        </w:tc>
        <w:tc>
          <w:tcPr>
            <w:tcW w:w="1639" w:type="pct"/>
            <w:vMerge w:val="restart"/>
            <w:shd w:val="clear" w:color="auto" w:fill="auto"/>
            <w:vAlign w:val="center"/>
          </w:tcPr>
          <w:p w14:paraId="2999B889">
            <w:pPr>
              <w:jc w:val="center"/>
              <w:rPr>
                <w:rFonts w:ascii="宋体" w:hAnsi="宋体" w:eastAsia="宋体" w:cs="Times New Roman"/>
                <w:color w:val="auto"/>
              </w:rPr>
            </w:pPr>
            <w:r>
              <w:rPr>
                <w:rFonts w:ascii="宋体" w:hAnsi="宋体" w:eastAsia="宋体" w:cs="Times New Roman"/>
                <w:color w:val="auto"/>
                <w:lang w:bidi="ar"/>
              </w:rPr>
              <w:t>相对方位及距离</w:t>
            </w:r>
          </w:p>
        </w:tc>
      </w:tr>
      <w:tr w14:paraId="3B53A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5448DFFD">
            <w:pPr>
              <w:jc w:val="center"/>
              <w:rPr>
                <w:rFonts w:ascii="宋体" w:hAnsi="宋体" w:eastAsia="宋体" w:cs="Times New Roman"/>
                <w:color w:val="auto"/>
                <w:lang w:bidi="ar"/>
              </w:rPr>
            </w:pPr>
          </w:p>
        </w:tc>
        <w:tc>
          <w:tcPr>
            <w:tcW w:w="625" w:type="pct"/>
            <w:vMerge w:val="continue"/>
            <w:shd w:val="clear" w:color="auto" w:fill="auto"/>
            <w:vAlign w:val="center"/>
          </w:tcPr>
          <w:p w14:paraId="0AC5C840">
            <w:pPr>
              <w:jc w:val="center"/>
              <w:rPr>
                <w:rFonts w:ascii="宋体" w:hAnsi="宋体" w:eastAsia="宋体" w:cs="Times New Roman"/>
                <w:color w:val="auto"/>
                <w:lang w:bidi="ar"/>
              </w:rPr>
            </w:pPr>
          </w:p>
        </w:tc>
        <w:tc>
          <w:tcPr>
            <w:tcW w:w="704" w:type="pct"/>
            <w:vMerge w:val="continue"/>
            <w:shd w:val="clear" w:color="auto" w:fill="auto"/>
            <w:vAlign w:val="center"/>
          </w:tcPr>
          <w:p w14:paraId="60A002D5">
            <w:pPr>
              <w:jc w:val="center"/>
              <w:rPr>
                <w:rFonts w:ascii="宋体" w:hAnsi="宋体" w:eastAsia="宋体" w:cs="Times New Roman"/>
                <w:color w:val="auto"/>
                <w:lang w:bidi="ar"/>
              </w:rPr>
            </w:pPr>
          </w:p>
        </w:tc>
        <w:tc>
          <w:tcPr>
            <w:tcW w:w="1644" w:type="pct"/>
            <w:vMerge w:val="continue"/>
            <w:shd w:val="clear" w:color="auto" w:fill="auto"/>
            <w:vAlign w:val="center"/>
          </w:tcPr>
          <w:p w14:paraId="75999F6F">
            <w:pPr>
              <w:jc w:val="center"/>
              <w:rPr>
                <w:rFonts w:ascii="宋体" w:hAnsi="宋体" w:eastAsia="宋体" w:cs="Times New Roman"/>
                <w:color w:val="auto"/>
                <w:lang w:bidi="ar"/>
              </w:rPr>
            </w:pPr>
          </w:p>
        </w:tc>
        <w:tc>
          <w:tcPr>
            <w:tcW w:w="1639" w:type="pct"/>
            <w:vMerge w:val="continue"/>
            <w:shd w:val="clear" w:color="auto" w:fill="auto"/>
            <w:vAlign w:val="center"/>
          </w:tcPr>
          <w:p w14:paraId="21866168">
            <w:pPr>
              <w:jc w:val="center"/>
              <w:rPr>
                <w:rFonts w:ascii="宋体" w:hAnsi="宋体" w:eastAsia="宋体" w:cs="Times New Roman"/>
                <w:color w:val="auto"/>
                <w:lang w:bidi="ar"/>
              </w:rPr>
            </w:pPr>
          </w:p>
        </w:tc>
      </w:tr>
      <w:tr w14:paraId="556D0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restart"/>
            <w:shd w:val="clear" w:color="auto" w:fill="auto"/>
            <w:vAlign w:val="center"/>
          </w:tcPr>
          <w:p w14:paraId="12E72EE3">
            <w:pPr>
              <w:jc w:val="center"/>
              <w:rPr>
                <w:rFonts w:ascii="宋体" w:hAnsi="宋体" w:eastAsia="宋体" w:cs="Times New Roman"/>
                <w:color w:val="auto"/>
                <w:lang w:bidi="ar"/>
              </w:rPr>
            </w:pPr>
            <w:r>
              <w:rPr>
                <w:rFonts w:ascii="宋体" w:hAnsi="宋体" w:eastAsia="宋体" w:cs="Times New Roman"/>
                <w:color w:val="auto"/>
                <w:lang w:bidi="ar"/>
              </w:rPr>
              <w:t>环境风险</w:t>
            </w:r>
          </w:p>
        </w:tc>
        <w:tc>
          <w:tcPr>
            <w:tcW w:w="625" w:type="pct"/>
            <w:vMerge w:val="restart"/>
            <w:shd w:val="clear" w:color="auto" w:fill="auto"/>
            <w:vAlign w:val="center"/>
          </w:tcPr>
          <w:p w14:paraId="49FE7416">
            <w:pPr>
              <w:jc w:val="center"/>
              <w:rPr>
                <w:rFonts w:ascii="宋体" w:hAnsi="宋体" w:eastAsia="宋体" w:cs="Times New Roman"/>
                <w:color w:val="auto"/>
              </w:rPr>
            </w:pPr>
            <w:r>
              <w:rPr>
                <w:rFonts w:ascii="宋体" w:hAnsi="宋体" w:eastAsia="宋体" w:cs="Times New Roman"/>
                <w:color w:val="auto"/>
              </w:rPr>
              <w:t>大气</w:t>
            </w:r>
          </w:p>
        </w:tc>
        <w:tc>
          <w:tcPr>
            <w:tcW w:w="704" w:type="pct"/>
            <w:shd w:val="clear" w:color="auto" w:fill="auto"/>
            <w:vAlign w:val="center"/>
          </w:tcPr>
          <w:p w14:paraId="41B83D9E">
            <w:pPr>
              <w:jc w:val="center"/>
              <w:rPr>
                <w:rFonts w:ascii="宋体" w:hAnsi="宋体" w:eastAsia="宋体" w:cs="Times New Roman"/>
                <w:color w:val="auto"/>
              </w:rPr>
            </w:pPr>
            <w:r>
              <w:rPr>
                <w:rFonts w:hint="eastAsia" w:ascii="宋体" w:hAnsi="宋体" w:eastAsia="宋体" w:cs="Times New Roman"/>
                <w:color w:val="auto"/>
              </w:rPr>
              <w:t>小欧力马屯</w:t>
            </w:r>
          </w:p>
        </w:tc>
        <w:tc>
          <w:tcPr>
            <w:tcW w:w="1644" w:type="pct"/>
            <w:shd w:val="clear" w:color="auto" w:fill="auto"/>
            <w:vAlign w:val="center"/>
          </w:tcPr>
          <w:p w14:paraId="5420B721">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30</w:t>
            </w:r>
            <w:r>
              <w:rPr>
                <w:rFonts w:ascii="宋体" w:hAnsi="宋体" w:eastAsia="宋体" w:cs="Times New Roman"/>
                <w:color w:val="auto"/>
              </w:rPr>
              <w:t>户，1</w:t>
            </w:r>
            <w:r>
              <w:rPr>
                <w:rFonts w:hint="eastAsia" w:ascii="宋体" w:hAnsi="宋体" w:eastAsia="宋体" w:cs="Times New Roman"/>
                <w:color w:val="auto"/>
              </w:rPr>
              <w:t>5</w:t>
            </w:r>
            <w:r>
              <w:rPr>
                <w:rFonts w:ascii="宋体" w:hAnsi="宋体" w:eastAsia="宋体" w:cs="Times New Roman"/>
                <w:color w:val="auto"/>
              </w:rPr>
              <w:t>0人</w:t>
            </w:r>
          </w:p>
        </w:tc>
        <w:tc>
          <w:tcPr>
            <w:tcW w:w="1639" w:type="pct"/>
            <w:shd w:val="clear" w:color="auto" w:fill="auto"/>
            <w:vAlign w:val="center"/>
          </w:tcPr>
          <w:p w14:paraId="061E59F0">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3#平台东北1500m</w:t>
            </w:r>
          </w:p>
        </w:tc>
      </w:tr>
      <w:tr w14:paraId="54E4A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52342772">
            <w:pPr>
              <w:jc w:val="center"/>
              <w:rPr>
                <w:rFonts w:ascii="宋体" w:hAnsi="宋体" w:eastAsia="宋体" w:cs="Times New Roman"/>
                <w:color w:val="auto"/>
                <w:lang w:bidi="ar"/>
              </w:rPr>
            </w:pPr>
          </w:p>
        </w:tc>
        <w:tc>
          <w:tcPr>
            <w:tcW w:w="625" w:type="pct"/>
            <w:vMerge w:val="continue"/>
            <w:shd w:val="clear" w:color="auto" w:fill="auto"/>
            <w:vAlign w:val="center"/>
          </w:tcPr>
          <w:p w14:paraId="35DA2172">
            <w:pPr>
              <w:jc w:val="center"/>
              <w:rPr>
                <w:rFonts w:ascii="宋体" w:hAnsi="宋体" w:eastAsia="宋体" w:cs="Times New Roman"/>
                <w:color w:val="auto"/>
              </w:rPr>
            </w:pPr>
          </w:p>
        </w:tc>
        <w:tc>
          <w:tcPr>
            <w:tcW w:w="704" w:type="pct"/>
            <w:shd w:val="clear" w:color="auto" w:fill="auto"/>
            <w:vAlign w:val="center"/>
          </w:tcPr>
          <w:p w14:paraId="0C41F4E0">
            <w:pPr>
              <w:jc w:val="center"/>
              <w:rPr>
                <w:rFonts w:ascii="宋体" w:hAnsi="宋体" w:eastAsia="宋体" w:cs="Times New Roman"/>
                <w:color w:val="auto"/>
              </w:rPr>
            </w:pPr>
            <w:r>
              <w:rPr>
                <w:rFonts w:hint="eastAsia" w:ascii="宋体" w:hAnsi="宋体" w:eastAsia="宋体" w:cs="Times New Roman"/>
                <w:color w:val="auto"/>
              </w:rPr>
              <w:t>立功村</w:t>
            </w:r>
          </w:p>
        </w:tc>
        <w:tc>
          <w:tcPr>
            <w:tcW w:w="1644" w:type="pct"/>
            <w:shd w:val="clear" w:color="auto" w:fill="auto"/>
            <w:vAlign w:val="center"/>
          </w:tcPr>
          <w:p w14:paraId="595BDC69">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30</w:t>
            </w:r>
            <w:r>
              <w:rPr>
                <w:rFonts w:ascii="宋体" w:hAnsi="宋体" w:eastAsia="宋体" w:cs="Times New Roman"/>
                <w:color w:val="auto"/>
              </w:rPr>
              <w:t>户，1</w:t>
            </w:r>
            <w:r>
              <w:rPr>
                <w:rFonts w:hint="eastAsia" w:ascii="宋体" w:hAnsi="宋体" w:eastAsia="宋体" w:cs="Times New Roman"/>
                <w:color w:val="auto"/>
              </w:rPr>
              <w:t>5</w:t>
            </w:r>
            <w:r>
              <w:rPr>
                <w:rFonts w:ascii="宋体" w:hAnsi="宋体" w:eastAsia="宋体" w:cs="Times New Roman"/>
                <w:color w:val="auto"/>
              </w:rPr>
              <w:t>0人</w:t>
            </w:r>
          </w:p>
        </w:tc>
        <w:tc>
          <w:tcPr>
            <w:tcW w:w="1639" w:type="pct"/>
            <w:shd w:val="clear" w:color="auto" w:fill="auto"/>
            <w:vAlign w:val="center"/>
          </w:tcPr>
          <w:p w14:paraId="34239A56">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3#平台东2000m</w:t>
            </w:r>
          </w:p>
        </w:tc>
      </w:tr>
      <w:tr w14:paraId="3ADD2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63151632">
            <w:pPr>
              <w:jc w:val="center"/>
              <w:rPr>
                <w:rFonts w:ascii="宋体" w:hAnsi="宋体" w:eastAsia="宋体" w:cs="Times New Roman"/>
                <w:color w:val="auto"/>
                <w:lang w:bidi="ar"/>
              </w:rPr>
            </w:pPr>
          </w:p>
        </w:tc>
        <w:tc>
          <w:tcPr>
            <w:tcW w:w="625" w:type="pct"/>
            <w:vMerge w:val="continue"/>
            <w:shd w:val="clear" w:color="auto" w:fill="auto"/>
            <w:vAlign w:val="center"/>
          </w:tcPr>
          <w:p w14:paraId="3B01776C">
            <w:pPr>
              <w:jc w:val="center"/>
              <w:rPr>
                <w:rFonts w:ascii="宋体" w:hAnsi="宋体" w:eastAsia="宋体" w:cs="Times New Roman"/>
                <w:color w:val="auto"/>
              </w:rPr>
            </w:pPr>
          </w:p>
        </w:tc>
        <w:tc>
          <w:tcPr>
            <w:tcW w:w="704" w:type="pct"/>
            <w:shd w:val="clear" w:color="auto" w:fill="auto"/>
            <w:vAlign w:val="center"/>
          </w:tcPr>
          <w:p w14:paraId="424F3C5B">
            <w:pPr>
              <w:jc w:val="center"/>
              <w:rPr>
                <w:rFonts w:ascii="宋体" w:hAnsi="宋体" w:eastAsia="宋体" w:cs="Times New Roman"/>
                <w:color w:val="auto"/>
              </w:rPr>
            </w:pPr>
            <w:r>
              <w:rPr>
                <w:rFonts w:hint="eastAsia" w:ascii="宋体" w:hAnsi="宋体" w:eastAsia="宋体" w:cs="Times New Roman"/>
                <w:color w:val="auto"/>
              </w:rPr>
              <w:t>腰欧力马屯</w:t>
            </w:r>
          </w:p>
        </w:tc>
        <w:tc>
          <w:tcPr>
            <w:tcW w:w="1644" w:type="pct"/>
            <w:shd w:val="clear" w:color="auto" w:fill="auto"/>
            <w:vAlign w:val="center"/>
          </w:tcPr>
          <w:p w14:paraId="74CB4BE4">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35</w:t>
            </w:r>
            <w:r>
              <w:rPr>
                <w:rFonts w:ascii="宋体" w:hAnsi="宋体" w:eastAsia="宋体" w:cs="Times New Roman"/>
                <w:color w:val="auto"/>
              </w:rPr>
              <w:t>户，1</w:t>
            </w:r>
            <w:r>
              <w:rPr>
                <w:rFonts w:hint="eastAsia" w:ascii="宋体" w:hAnsi="宋体" w:eastAsia="宋体" w:cs="Times New Roman"/>
                <w:color w:val="auto"/>
              </w:rPr>
              <w:t>75</w:t>
            </w:r>
            <w:r>
              <w:rPr>
                <w:rFonts w:ascii="宋体" w:hAnsi="宋体" w:eastAsia="宋体" w:cs="Times New Roman"/>
                <w:color w:val="auto"/>
              </w:rPr>
              <w:t>人</w:t>
            </w:r>
          </w:p>
        </w:tc>
        <w:tc>
          <w:tcPr>
            <w:tcW w:w="1639" w:type="pct"/>
            <w:shd w:val="clear" w:color="auto" w:fill="auto"/>
            <w:vAlign w:val="center"/>
          </w:tcPr>
          <w:p w14:paraId="362B6C0E">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3#平台东850m</w:t>
            </w:r>
          </w:p>
        </w:tc>
      </w:tr>
      <w:tr w14:paraId="5E091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509D9FF2">
            <w:pPr>
              <w:jc w:val="center"/>
              <w:rPr>
                <w:rFonts w:ascii="宋体" w:hAnsi="宋体" w:eastAsia="宋体" w:cs="Times New Roman"/>
                <w:color w:val="auto"/>
                <w:lang w:bidi="ar"/>
              </w:rPr>
            </w:pPr>
          </w:p>
        </w:tc>
        <w:tc>
          <w:tcPr>
            <w:tcW w:w="625" w:type="pct"/>
            <w:vMerge w:val="continue"/>
            <w:shd w:val="clear" w:color="auto" w:fill="auto"/>
            <w:vAlign w:val="center"/>
          </w:tcPr>
          <w:p w14:paraId="4A0DD703">
            <w:pPr>
              <w:jc w:val="center"/>
              <w:rPr>
                <w:rFonts w:ascii="宋体" w:hAnsi="宋体" w:eastAsia="宋体" w:cs="Times New Roman"/>
                <w:color w:val="auto"/>
              </w:rPr>
            </w:pPr>
          </w:p>
        </w:tc>
        <w:tc>
          <w:tcPr>
            <w:tcW w:w="704" w:type="pct"/>
            <w:shd w:val="clear" w:color="auto" w:fill="auto"/>
            <w:vAlign w:val="center"/>
          </w:tcPr>
          <w:p w14:paraId="0FFE6E9A">
            <w:pPr>
              <w:jc w:val="center"/>
              <w:rPr>
                <w:rFonts w:ascii="宋体" w:hAnsi="宋体" w:eastAsia="宋体" w:cs="Times New Roman"/>
                <w:color w:val="auto"/>
              </w:rPr>
            </w:pPr>
            <w:r>
              <w:rPr>
                <w:rFonts w:hint="eastAsia" w:ascii="宋体" w:hAnsi="宋体" w:eastAsia="宋体" w:cs="Times New Roman"/>
                <w:color w:val="auto"/>
              </w:rPr>
              <w:t>华南屯</w:t>
            </w:r>
          </w:p>
        </w:tc>
        <w:tc>
          <w:tcPr>
            <w:tcW w:w="1644" w:type="pct"/>
            <w:shd w:val="clear" w:color="auto" w:fill="auto"/>
            <w:vAlign w:val="center"/>
          </w:tcPr>
          <w:p w14:paraId="2EE5BBA0">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10</w:t>
            </w:r>
            <w:r>
              <w:rPr>
                <w:rFonts w:ascii="宋体" w:hAnsi="宋体" w:eastAsia="宋体" w:cs="Times New Roman"/>
                <w:color w:val="auto"/>
              </w:rPr>
              <w:t>户，</w:t>
            </w:r>
            <w:r>
              <w:rPr>
                <w:rFonts w:hint="eastAsia" w:ascii="宋体" w:hAnsi="宋体" w:eastAsia="宋体" w:cs="Times New Roman"/>
                <w:color w:val="auto"/>
              </w:rPr>
              <w:t>5</w:t>
            </w:r>
            <w:r>
              <w:rPr>
                <w:rFonts w:ascii="宋体" w:hAnsi="宋体" w:eastAsia="宋体" w:cs="Times New Roman"/>
                <w:color w:val="auto"/>
              </w:rPr>
              <w:t>0人</w:t>
            </w:r>
          </w:p>
        </w:tc>
        <w:tc>
          <w:tcPr>
            <w:tcW w:w="1639" w:type="pct"/>
            <w:shd w:val="clear" w:color="auto" w:fill="auto"/>
            <w:vAlign w:val="center"/>
          </w:tcPr>
          <w:p w14:paraId="3E5BAD03">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源212-扶平4</w:t>
            </w:r>
            <w:r>
              <w:rPr>
                <w:rFonts w:hint="eastAsia" w:ascii="宋体" w:hAnsi="宋体" w:eastAsia="宋体"/>
                <w:b w:val="0"/>
                <w:color w:val="auto"/>
                <w:sz w:val="21"/>
                <w:szCs w:val="21"/>
              </w:rPr>
              <w:t>北2100m</w:t>
            </w:r>
          </w:p>
        </w:tc>
      </w:tr>
      <w:tr w14:paraId="6A307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1D82C9D8">
            <w:pPr>
              <w:jc w:val="center"/>
              <w:rPr>
                <w:rFonts w:ascii="宋体" w:hAnsi="宋体" w:eastAsia="宋体" w:cs="Times New Roman"/>
                <w:color w:val="auto"/>
                <w:lang w:bidi="ar"/>
              </w:rPr>
            </w:pPr>
          </w:p>
        </w:tc>
        <w:tc>
          <w:tcPr>
            <w:tcW w:w="625" w:type="pct"/>
            <w:vMerge w:val="continue"/>
            <w:shd w:val="clear" w:color="auto" w:fill="auto"/>
            <w:vAlign w:val="center"/>
          </w:tcPr>
          <w:p w14:paraId="3D863704">
            <w:pPr>
              <w:jc w:val="center"/>
              <w:rPr>
                <w:rFonts w:ascii="宋体" w:hAnsi="宋体" w:eastAsia="宋体" w:cs="Times New Roman"/>
                <w:color w:val="auto"/>
              </w:rPr>
            </w:pPr>
          </w:p>
        </w:tc>
        <w:tc>
          <w:tcPr>
            <w:tcW w:w="704" w:type="pct"/>
            <w:shd w:val="clear" w:color="auto" w:fill="auto"/>
            <w:vAlign w:val="center"/>
          </w:tcPr>
          <w:p w14:paraId="60F95C3C">
            <w:pPr>
              <w:jc w:val="center"/>
              <w:rPr>
                <w:rFonts w:ascii="宋体" w:hAnsi="宋体" w:eastAsia="宋体" w:cs="Times New Roman"/>
                <w:color w:val="auto"/>
              </w:rPr>
            </w:pPr>
            <w:r>
              <w:rPr>
                <w:rFonts w:hint="eastAsia" w:ascii="宋体" w:hAnsi="宋体" w:eastAsia="宋体" w:cs="Times New Roman"/>
                <w:color w:val="auto"/>
              </w:rPr>
              <w:t>李彦和屯</w:t>
            </w:r>
          </w:p>
        </w:tc>
        <w:tc>
          <w:tcPr>
            <w:tcW w:w="1644" w:type="pct"/>
            <w:shd w:val="clear" w:color="auto" w:fill="auto"/>
            <w:vAlign w:val="center"/>
          </w:tcPr>
          <w:p w14:paraId="59544416">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1639" w:type="pct"/>
            <w:shd w:val="clear" w:color="auto" w:fill="auto"/>
            <w:vAlign w:val="center"/>
          </w:tcPr>
          <w:p w14:paraId="10C4D51D">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源212-扶平4</w:t>
            </w:r>
            <w:r>
              <w:rPr>
                <w:rFonts w:hint="eastAsia" w:ascii="宋体" w:hAnsi="宋体" w:eastAsia="宋体"/>
                <w:b w:val="0"/>
                <w:color w:val="auto"/>
                <w:sz w:val="21"/>
                <w:szCs w:val="21"/>
              </w:rPr>
              <w:t>北2000m</w:t>
            </w:r>
          </w:p>
        </w:tc>
      </w:tr>
      <w:tr w14:paraId="07F34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60CCC700">
            <w:pPr>
              <w:jc w:val="center"/>
              <w:rPr>
                <w:rFonts w:ascii="宋体" w:hAnsi="宋体" w:eastAsia="宋体" w:cs="Times New Roman"/>
                <w:color w:val="auto"/>
                <w:lang w:bidi="ar"/>
              </w:rPr>
            </w:pPr>
          </w:p>
        </w:tc>
        <w:tc>
          <w:tcPr>
            <w:tcW w:w="625" w:type="pct"/>
            <w:vMerge w:val="continue"/>
            <w:shd w:val="clear" w:color="auto" w:fill="auto"/>
            <w:vAlign w:val="center"/>
          </w:tcPr>
          <w:p w14:paraId="2AFB27FD">
            <w:pPr>
              <w:jc w:val="center"/>
              <w:rPr>
                <w:rFonts w:ascii="宋体" w:hAnsi="宋体" w:eastAsia="宋体" w:cs="Times New Roman"/>
                <w:color w:val="auto"/>
              </w:rPr>
            </w:pPr>
          </w:p>
        </w:tc>
        <w:tc>
          <w:tcPr>
            <w:tcW w:w="704" w:type="pct"/>
            <w:shd w:val="clear" w:color="auto" w:fill="auto"/>
            <w:vAlign w:val="center"/>
          </w:tcPr>
          <w:p w14:paraId="0039D85A">
            <w:pPr>
              <w:jc w:val="center"/>
              <w:rPr>
                <w:rFonts w:ascii="宋体" w:hAnsi="宋体" w:eastAsia="宋体" w:cs="Times New Roman"/>
                <w:color w:val="auto"/>
              </w:rPr>
            </w:pPr>
            <w:r>
              <w:rPr>
                <w:rFonts w:hint="eastAsia" w:ascii="宋体" w:hAnsi="宋体" w:eastAsia="宋体" w:cs="Times New Roman"/>
                <w:color w:val="auto"/>
              </w:rPr>
              <w:t>王家粉坊屯</w:t>
            </w:r>
          </w:p>
        </w:tc>
        <w:tc>
          <w:tcPr>
            <w:tcW w:w="1644" w:type="pct"/>
            <w:shd w:val="clear" w:color="auto" w:fill="auto"/>
            <w:vAlign w:val="center"/>
          </w:tcPr>
          <w:p w14:paraId="462D9417">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1639" w:type="pct"/>
            <w:shd w:val="clear" w:color="auto" w:fill="auto"/>
            <w:vAlign w:val="center"/>
          </w:tcPr>
          <w:p w14:paraId="5D971451">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源212-扶平4</w:t>
            </w:r>
            <w:r>
              <w:rPr>
                <w:rFonts w:hint="eastAsia" w:ascii="宋体" w:hAnsi="宋体" w:eastAsia="宋体"/>
                <w:b w:val="0"/>
                <w:color w:val="auto"/>
                <w:sz w:val="21"/>
                <w:szCs w:val="21"/>
              </w:rPr>
              <w:t>北1200</w:t>
            </w:r>
          </w:p>
        </w:tc>
      </w:tr>
      <w:tr w14:paraId="30423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1AFBD54A">
            <w:pPr>
              <w:jc w:val="center"/>
              <w:rPr>
                <w:rFonts w:ascii="宋体" w:hAnsi="宋体" w:eastAsia="宋体" w:cs="Times New Roman"/>
                <w:color w:val="auto"/>
                <w:lang w:bidi="ar"/>
              </w:rPr>
            </w:pPr>
          </w:p>
        </w:tc>
        <w:tc>
          <w:tcPr>
            <w:tcW w:w="625" w:type="pct"/>
            <w:vMerge w:val="continue"/>
            <w:shd w:val="clear" w:color="auto" w:fill="auto"/>
            <w:vAlign w:val="center"/>
          </w:tcPr>
          <w:p w14:paraId="4A3242BC">
            <w:pPr>
              <w:jc w:val="center"/>
              <w:rPr>
                <w:rFonts w:ascii="宋体" w:hAnsi="宋体" w:eastAsia="宋体" w:cs="Times New Roman"/>
                <w:color w:val="auto"/>
              </w:rPr>
            </w:pPr>
          </w:p>
        </w:tc>
        <w:tc>
          <w:tcPr>
            <w:tcW w:w="704" w:type="pct"/>
            <w:shd w:val="clear" w:color="auto" w:fill="auto"/>
            <w:vAlign w:val="center"/>
          </w:tcPr>
          <w:p w14:paraId="053711BF">
            <w:pPr>
              <w:jc w:val="center"/>
              <w:rPr>
                <w:rFonts w:ascii="宋体" w:hAnsi="宋体" w:eastAsia="宋体" w:cs="Times New Roman"/>
                <w:color w:val="auto"/>
              </w:rPr>
            </w:pPr>
            <w:r>
              <w:rPr>
                <w:rFonts w:hint="eastAsia" w:ascii="宋体" w:hAnsi="宋体" w:eastAsia="宋体" w:cs="Times New Roman"/>
                <w:color w:val="auto"/>
              </w:rPr>
              <w:t>后欧力马屯</w:t>
            </w:r>
          </w:p>
        </w:tc>
        <w:tc>
          <w:tcPr>
            <w:tcW w:w="1644" w:type="pct"/>
            <w:shd w:val="clear" w:color="auto" w:fill="auto"/>
            <w:vAlign w:val="center"/>
          </w:tcPr>
          <w:p w14:paraId="2CB091FF">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35</w:t>
            </w:r>
            <w:r>
              <w:rPr>
                <w:rFonts w:ascii="宋体" w:hAnsi="宋体" w:eastAsia="宋体" w:cs="Times New Roman"/>
                <w:color w:val="auto"/>
              </w:rPr>
              <w:t>户，1</w:t>
            </w:r>
            <w:r>
              <w:rPr>
                <w:rFonts w:hint="eastAsia" w:ascii="宋体" w:hAnsi="宋体" w:eastAsia="宋体" w:cs="Times New Roman"/>
                <w:color w:val="auto"/>
              </w:rPr>
              <w:t>75</w:t>
            </w:r>
            <w:r>
              <w:rPr>
                <w:rFonts w:ascii="宋体" w:hAnsi="宋体" w:eastAsia="宋体" w:cs="Times New Roman"/>
                <w:color w:val="auto"/>
              </w:rPr>
              <w:t>人</w:t>
            </w:r>
          </w:p>
        </w:tc>
        <w:tc>
          <w:tcPr>
            <w:tcW w:w="1639" w:type="pct"/>
            <w:shd w:val="clear" w:color="auto" w:fill="auto"/>
            <w:vAlign w:val="center"/>
          </w:tcPr>
          <w:p w14:paraId="0CDDB3AA">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3#平台西北250m</w:t>
            </w:r>
          </w:p>
        </w:tc>
      </w:tr>
      <w:tr w14:paraId="36E03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76CF33FC">
            <w:pPr>
              <w:jc w:val="center"/>
              <w:rPr>
                <w:rFonts w:ascii="宋体" w:hAnsi="宋体" w:eastAsia="宋体" w:cs="Times New Roman"/>
                <w:color w:val="auto"/>
                <w:lang w:bidi="ar"/>
              </w:rPr>
            </w:pPr>
          </w:p>
        </w:tc>
        <w:tc>
          <w:tcPr>
            <w:tcW w:w="625" w:type="pct"/>
            <w:vMerge w:val="continue"/>
            <w:shd w:val="clear" w:color="auto" w:fill="auto"/>
            <w:vAlign w:val="center"/>
          </w:tcPr>
          <w:p w14:paraId="060A346D">
            <w:pPr>
              <w:jc w:val="center"/>
              <w:rPr>
                <w:rFonts w:ascii="宋体" w:hAnsi="宋体" w:eastAsia="宋体" w:cs="Times New Roman"/>
                <w:color w:val="auto"/>
              </w:rPr>
            </w:pPr>
          </w:p>
        </w:tc>
        <w:tc>
          <w:tcPr>
            <w:tcW w:w="704" w:type="pct"/>
            <w:shd w:val="clear" w:color="auto" w:fill="auto"/>
            <w:vAlign w:val="center"/>
          </w:tcPr>
          <w:p w14:paraId="5089E009">
            <w:pPr>
              <w:jc w:val="center"/>
              <w:rPr>
                <w:rFonts w:ascii="宋体" w:hAnsi="宋体" w:eastAsia="宋体" w:cs="Times New Roman"/>
                <w:color w:val="auto"/>
              </w:rPr>
            </w:pPr>
            <w:r>
              <w:rPr>
                <w:rFonts w:hint="eastAsia" w:ascii="宋体" w:hAnsi="宋体" w:eastAsia="宋体" w:cs="Times New Roman"/>
                <w:color w:val="auto"/>
              </w:rPr>
              <w:t>对青岗子屯</w:t>
            </w:r>
          </w:p>
        </w:tc>
        <w:tc>
          <w:tcPr>
            <w:tcW w:w="1644" w:type="pct"/>
            <w:shd w:val="clear" w:color="auto" w:fill="auto"/>
            <w:vAlign w:val="center"/>
          </w:tcPr>
          <w:p w14:paraId="54649A13">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40</w:t>
            </w:r>
            <w:r>
              <w:rPr>
                <w:rFonts w:ascii="宋体" w:hAnsi="宋体" w:eastAsia="宋体" w:cs="Times New Roman"/>
                <w:color w:val="auto"/>
              </w:rPr>
              <w:t>户，</w:t>
            </w:r>
            <w:r>
              <w:rPr>
                <w:rFonts w:hint="eastAsia" w:ascii="宋体" w:hAnsi="宋体" w:eastAsia="宋体" w:cs="Times New Roman"/>
                <w:color w:val="auto"/>
              </w:rPr>
              <w:t>200</w:t>
            </w:r>
            <w:r>
              <w:rPr>
                <w:rFonts w:ascii="宋体" w:hAnsi="宋体" w:eastAsia="宋体" w:cs="Times New Roman"/>
                <w:color w:val="auto"/>
              </w:rPr>
              <w:t>人</w:t>
            </w:r>
          </w:p>
        </w:tc>
        <w:tc>
          <w:tcPr>
            <w:tcW w:w="1639" w:type="pct"/>
            <w:shd w:val="clear" w:color="auto" w:fill="auto"/>
            <w:vAlign w:val="center"/>
          </w:tcPr>
          <w:p w14:paraId="3277BED1">
            <w:pPr>
              <w:pStyle w:val="202"/>
              <w:spacing w:before="156" w:after="62" w:line="240" w:lineRule="auto"/>
              <w:rPr>
                <w:rFonts w:ascii="宋体" w:hAnsi="宋体" w:eastAsia="宋体"/>
                <w:b w:val="0"/>
                <w:smallCaps/>
                <w:color w:val="auto"/>
                <w:sz w:val="21"/>
                <w:szCs w:val="21"/>
              </w:rPr>
            </w:pPr>
            <w:r>
              <w:rPr>
                <w:rFonts w:hint="eastAsia" w:ascii="宋体" w:hAnsi="宋体" w:eastAsia="宋体"/>
                <w:b w:val="0"/>
                <w:color w:val="auto"/>
                <w:sz w:val="21"/>
                <w:szCs w:val="21"/>
              </w:rPr>
              <w:t>3#平台东南1600m</w:t>
            </w:r>
          </w:p>
        </w:tc>
      </w:tr>
      <w:tr w14:paraId="2E2CC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51DF1E01">
            <w:pPr>
              <w:jc w:val="center"/>
              <w:rPr>
                <w:rFonts w:ascii="宋体" w:hAnsi="宋体" w:eastAsia="宋体" w:cs="Times New Roman"/>
                <w:color w:val="auto"/>
                <w:lang w:bidi="ar"/>
              </w:rPr>
            </w:pPr>
          </w:p>
        </w:tc>
        <w:tc>
          <w:tcPr>
            <w:tcW w:w="625" w:type="pct"/>
            <w:vMerge w:val="continue"/>
            <w:shd w:val="clear" w:color="auto" w:fill="auto"/>
            <w:vAlign w:val="center"/>
          </w:tcPr>
          <w:p w14:paraId="778EE9DF">
            <w:pPr>
              <w:jc w:val="center"/>
              <w:rPr>
                <w:rFonts w:ascii="宋体" w:hAnsi="宋体" w:eastAsia="宋体" w:cs="Times New Roman"/>
                <w:color w:val="auto"/>
              </w:rPr>
            </w:pPr>
          </w:p>
        </w:tc>
        <w:tc>
          <w:tcPr>
            <w:tcW w:w="704" w:type="pct"/>
            <w:shd w:val="clear" w:color="auto" w:fill="auto"/>
            <w:vAlign w:val="center"/>
          </w:tcPr>
          <w:p w14:paraId="40AF043A">
            <w:pPr>
              <w:jc w:val="center"/>
              <w:rPr>
                <w:rFonts w:ascii="宋体" w:hAnsi="宋体" w:eastAsia="宋体" w:cs="Times New Roman"/>
                <w:color w:val="auto"/>
              </w:rPr>
            </w:pPr>
            <w:r>
              <w:rPr>
                <w:rFonts w:hint="eastAsia" w:ascii="宋体" w:hAnsi="宋体" w:eastAsia="宋体" w:cs="Times New Roman"/>
                <w:color w:val="auto"/>
              </w:rPr>
              <w:t>蒙古屯</w:t>
            </w:r>
          </w:p>
        </w:tc>
        <w:tc>
          <w:tcPr>
            <w:tcW w:w="1644" w:type="pct"/>
            <w:shd w:val="clear" w:color="auto" w:fill="auto"/>
            <w:vAlign w:val="center"/>
          </w:tcPr>
          <w:p w14:paraId="1541F46C">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1639" w:type="pct"/>
            <w:shd w:val="clear" w:color="auto" w:fill="auto"/>
            <w:vAlign w:val="center"/>
          </w:tcPr>
          <w:p w14:paraId="1E4A946D">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东北2000m</w:t>
            </w:r>
          </w:p>
        </w:tc>
      </w:tr>
      <w:tr w14:paraId="7ED40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07EC61C4">
            <w:pPr>
              <w:jc w:val="center"/>
              <w:rPr>
                <w:rFonts w:ascii="宋体" w:hAnsi="宋体" w:eastAsia="宋体" w:cs="Times New Roman"/>
                <w:color w:val="auto"/>
                <w:lang w:bidi="ar"/>
              </w:rPr>
            </w:pPr>
          </w:p>
        </w:tc>
        <w:tc>
          <w:tcPr>
            <w:tcW w:w="625" w:type="pct"/>
            <w:vMerge w:val="continue"/>
            <w:shd w:val="clear" w:color="auto" w:fill="auto"/>
            <w:vAlign w:val="center"/>
          </w:tcPr>
          <w:p w14:paraId="126F6244">
            <w:pPr>
              <w:jc w:val="center"/>
              <w:rPr>
                <w:rFonts w:ascii="宋体" w:hAnsi="宋体" w:eastAsia="宋体" w:cs="Times New Roman"/>
                <w:color w:val="auto"/>
              </w:rPr>
            </w:pPr>
          </w:p>
        </w:tc>
        <w:tc>
          <w:tcPr>
            <w:tcW w:w="704" w:type="pct"/>
            <w:shd w:val="clear" w:color="auto" w:fill="auto"/>
            <w:vAlign w:val="center"/>
          </w:tcPr>
          <w:p w14:paraId="561977CF">
            <w:pPr>
              <w:jc w:val="center"/>
              <w:rPr>
                <w:rFonts w:ascii="宋体" w:hAnsi="宋体" w:eastAsia="宋体" w:cs="Times New Roman"/>
                <w:color w:val="auto"/>
              </w:rPr>
            </w:pPr>
            <w:r>
              <w:rPr>
                <w:rFonts w:hint="eastAsia" w:ascii="宋体" w:hAnsi="宋体" w:eastAsia="宋体" w:cs="Times New Roman"/>
                <w:color w:val="auto"/>
              </w:rPr>
              <w:t>王家园子屯</w:t>
            </w:r>
          </w:p>
        </w:tc>
        <w:tc>
          <w:tcPr>
            <w:tcW w:w="1644" w:type="pct"/>
            <w:shd w:val="clear" w:color="auto" w:fill="auto"/>
            <w:vAlign w:val="center"/>
          </w:tcPr>
          <w:p w14:paraId="2A162761">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35</w:t>
            </w:r>
            <w:r>
              <w:rPr>
                <w:rFonts w:ascii="宋体" w:hAnsi="宋体" w:eastAsia="宋体" w:cs="Times New Roman"/>
                <w:color w:val="auto"/>
              </w:rPr>
              <w:t>户，1</w:t>
            </w:r>
            <w:r>
              <w:rPr>
                <w:rFonts w:hint="eastAsia" w:ascii="宋体" w:hAnsi="宋体" w:eastAsia="宋体" w:cs="Times New Roman"/>
                <w:color w:val="auto"/>
              </w:rPr>
              <w:t>75</w:t>
            </w:r>
            <w:r>
              <w:rPr>
                <w:rFonts w:ascii="宋体" w:hAnsi="宋体" w:eastAsia="宋体" w:cs="Times New Roman"/>
                <w:color w:val="auto"/>
              </w:rPr>
              <w:t>人</w:t>
            </w:r>
          </w:p>
        </w:tc>
        <w:tc>
          <w:tcPr>
            <w:tcW w:w="1639" w:type="pct"/>
            <w:shd w:val="clear" w:color="auto" w:fill="auto"/>
            <w:vAlign w:val="center"/>
          </w:tcPr>
          <w:p w14:paraId="2EF16C49">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源212-扶平4</w:t>
            </w:r>
            <w:r>
              <w:rPr>
                <w:rFonts w:hint="eastAsia" w:ascii="宋体" w:hAnsi="宋体" w:eastAsia="宋体"/>
                <w:b w:val="0"/>
                <w:color w:val="auto"/>
                <w:sz w:val="21"/>
                <w:szCs w:val="21"/>
              </w:rPr>
              <w:t>南1000m</w:t>
            </w:r>
          </w:p>
        </w:tc>
      </w:tr>
      <w:tr w14:paraId="4D3D0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264151E4">
            <w:pPr>
              <w:jc w:val="center"/>
              <w:rPr>
                <w:rFonts w:ascii="宋体" w:hAnsi="宋体" w:eastAsia="宋体" w:cs="Times New Roman"/>
                <w:color w:val="auto"/>
                <w:lang w:bidi="ar"/>
              </w:rPr>
            </w:pPr>
          </w:p>
        </w:tc>
        <w:tc>
          <w:tcPr>
            <w:tcW w:w="625" w:type="pct"/>
            <w:vMerge w:val="continue"/>
            <w:shd w:val="clear" w:color="auto" w:fill="auto"/>
            <w:vAlign w:val="center"/>
          </w:tcPr>
          <w:p w14:paraId="32EF56B2">
            <w:pPr>
              <w:jc w:val="center"/>
              <w:rPr>
                <w:rFonts w:ascii="宋体" w:hAnsi="宋体" w:eastAsia="宋体" w:cs="Times New Roman"/>
                <w:color w:val="auto"/>
              </w:rPr>
            </w:pPr>
          </w:p>
        </w:tc>
        <w:tc>
          <w:tcPr>
            <w:tcW w:w="704" w:type="pct"/>
            <w:shd w:val="clear" w:color="auto" w:fill="auto"/>
            <w:vAlign w:val="center"/>
          </w:tcPr>
          <w:p w14:paraId="22DDAD5A">
            <w:pPr>
              <w:jc w:val="center"/>
              <w:rPr>
                <w:rFonts w:ascii="宋体" w:hAnsi="宋体" w:eastAsia="宋体" w:cs="Times New Roman"/>
                <w:color w:val="auto"/>
              </w:rPr>
            </w:pPr>
            <w:r>
              <w:rPr>
                <w:rFonts w:hint="eastAsia" w:ascii="宋体" w:hAnsi="宋体" w:eastAsia="宋体" w:cs="Times New Roman"/>
                <w:color w:val="auto"/>
              </w:rPr>
              <w:t>大何家窝棚屯</w:t>
            </w:r>
          </w:p>
        </w:tc>
        <w:tc>
          <w:tcPr>
            <w:tcW w:w="1644" w:type="pct"/>
            <w:shd w:val="clear" w:color="auto" w:fill="auto"/>
            <w:vAlign w:val="center"/>
          </w:tcPr>
          <w:p w14:paraId="2D502280">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1639" w:type="pct"/>
            <w:shd w:val="clear" w:color="auto" w:fill="auto"/>
            <w:vAlign w:val="center"/>
          </w:tcPr>
          <w:p w14:paraId="764842F1">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源212-扶平4</w:t>
            </w:r>
            <w:r>
              <w:rPr>
                <w:rFonts w:hint="eastAsia" w:ascii="宋体" w:hAnsi="宋体" w:eastAsia="宋体"/>
                <w:b w:val="0"/>
                <w:color w:val="auto"/>
                <w:sz w:val="21"/>
                <w:szCs w:val="21"/>
              </w:rPr>
              <w:t>西南1600</w:t>
            </w:r>
          </w:p>
        </w:tc>
      </w:tr>
      <w:tr w14:paraId="5ABDB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9EDAE12">
            <w:pPr>
              <w:jc w:val="center"/>
              <w:rPr>
                <w:rFonts w:ascii="宋体" w:hAnsi="宋体" w:eastAsia="宋体" w:cs="Times New Roman"/>
                <w:color w:val="auto"/>
                <w:lang w:bidi="ar"/>
              </w:rPr>
            </w:pPr>
          </w:p>
        </w:tc>
        <w:tc>
          <w:tcPr>
            <w:tcW w:w="625" w:type="pct"/>
            <w:vMerge w:val="continue"/>
            <w:shd w:val="clear" w:color="auto" w:fill="auto"/>
            <w:vAlign w:val="center"/>
          </w:tcPr>
          <w:p w14:paraId="6E3BBA35">
            <w:pPr>
              <w:jc w:val="center"/>
              <w:rPr>
                <w:rFonts w:ascii="宋体" w:hAnsi="宋体" w:eastAsia="宋体" w:cs="Times New Roman"/>
                <w:color w:val="auto"/>
              </w:rPr>
            </w:pPr>
          </w:p>
        </w:tc>
        <w:tc>
          <w:tcPr>
            <w:tcW w:w="704" w:type="pct"/>
            <w:shd w:val="clear" w:color="auto" w:fill="auto"/>
            <w:vAlign w:val="center"/>
          </w:tcPr>
          <w:p w14:paraId="04638303">
            <w:pPr>
              <w:jc w:val="center"/>
              <w:rPr>
                <w:rFonts w:ascii="宋体" w:hAnsi="宋体" w:eastAsia="宋体" w:cs="Times New Roman"/>
                <w:color w:val="auto"/>
              </w:rPr>
            </w:pPr>
            <w:r>
              <w:rPr>
                <w:rFonts w:hint="eastAsia" w:ascii="宋体" w:hAnsi="宋体" w:eastAsia="宋体" w:cs="Times New Roman"/>
                <w:color w:val="auto"/>
              </w:rPr>
              <w:t>和平乡</w:t>
            </w:r>
          </w:p>
        </w:tc>
        <w:tc>
          <w:tcPr>
            <w:tcW w:w="1644" w:type="pct"/>
            <w:shd w:val="clear" w:color="auto" w:fill="auto"/>
            <w:vAlign w:val="center"/>
          </w:tcPr>
          <w:p w14:paraId="78A5B206">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8</w:t>
            </w:r>
            <w:r>
              <w:rPr>
                <w:rFonts w:ascii="宋体" w:hAnsi="宋体" w:eastAsia="宋体" w:cs="Times New Roman"/>
                <w:color w:val="auto"/>
              </w:rPr>
              <w:t>0户，</w:t>
            </w:r>
            <w:r>
              <w:rPr>
                <w:rFonts w:hint="eastAsia" w:ascii="宋体" w:hAnsi="宋体" w:eastAsia="宋体" w:cs="Times New Roman"/>
                <w:color w:val="auto"/>
              </w:rPr>
              <w:t>40</w:t>
            </w:r>
            <w:r>
              <w:rPr>
                <w:rFonts w:ascii="宋体" w:hAnsi="宋体" w:eastAsia="宋体" w:cs="Times New Roman"/>
                <w:color w:val="auto"/>
              </w:rPr>
              <w:t>0人</w:t>
            </w:r>
          </w:p>
        </w:tc>
        <w:tc>
          <w:tcPr>
            <w:tcW w:w="1639" w:type="pct"/>
            <w:shd w:val="clear" w:color="auto" w:fill="auto"/>
            <w:vAlign w:val="center"/>
          </w:tcPr>
          <w:p w14:paraId="07AB8944">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w:t>
            </w:r>
            <w:r>
              <w:rPr>
                <w:rFonts w:hint="eastAsia" w:ascii="宋体" w:hAnsi="宋体" w:eastAsia="宋体"/>
                <w:b w:val="0"/>
                <w:color w:val="auto"/>
                <w:sz w:val="21"/>
                <w:szCs w:val="21"/>
              </w:rPr>
              <w:t>3西南1500</w:t>
            </w:r>
          </w:p>
        </w:tc>
      </w:tr>
      <w:tr w14:paraId="74C01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C1DF835">
            <w:pPr>
              <w:jc w:val="center"/>
              <w:rPr>
                <w:rFonts w:ascii="宋体" w:hAnsi="宋体" w:eastAsia="宋体" w:cs="Times New Roman"/>
                <w:color w:val="auto"/>
                <w:lang w:bidi="ar"/>
              </w:rPr>
            </w:pPr>
          </w:p>
        </w:tc>
        <w:tc>
          <w:tcPr>
            <w:tcW w:w="625" w:type="pct"/>
            <w:vMerge w:val="continue"/>
            <w:shd w:val="clear" w:color="auto" w:fill="auto"/>
            <w:vAlign w:val="center"/>
          </w:tcPr>
          <w:p w14:paraId="64C7DA40">
            <w:pPr>
              <w:jc w:val="center"/>
              <w:rPr>
                <w:rFonts w:ascii="宋体" w:hAnsi="宋体" w:eastAsia="宋体" w:cs="Times New Roman"/>
                <w:color w:val="auto"/>
              </w:rPr>
            </w:pPr>
          </w:p>
        </w:tc>
        <w:tc>
          <w:tcPr>
            <w:tcW w:w="704" w:type="pct"/>
            <w:shd w:val="clear" w:color="auto" w:fill="auto"/>
            <w:vAlign w:val="center"/>
          </w:tcPr>
          <w:p w14:paraId="620CB0A6">
            <w:pPr>
              <w:jc w:val="center"/>
              <w:rPr>
                <w:rFonts w:ascii="宋体" w:hAnsi="宋体" w:eastAsia="宋体" w:cs="Times New Roman"/>
                <w:color w:val="auto"/>
              </w:rPr>
            </w:pPr>
            <w:r>
              <w:rPr>
                <w:rFonts w:hint="eastAsia" w:ascii="宋体" w:hAnsi="宋体" w:eastAsia="宋体" w:cs="Times New Roman"/>
                <w:color w:val="auto"/>
              </w:rPr>
              <w:t>赵家围子屯</w:t>
            </w:r>
          </w:p>
        </w:tc>
        <w:tc>
          <w:tcPr>
            <w:tcW w:w="1644" w:type="pct"/>
            <w:shd w:val="clear" w:color="auto" w:fill="auto"/>
            <w:vAlign w:val="center"/>
          </w:tcPr>
          <w:p w14:paraId="1BE1C39F">
            <w:pPr>
              <w:snapToGrid w:val="0"/>
              <w:jc w:val="center"/>
              <w:rPr>
                <w:rFonts w:ascii="宋体" w:hAnsi="宋体" w:eastAsia="宋体" w:cs="Times New Roman"/>
                <w:color w:val="auto"/>
              </w:rPr>
            </w:pPr>
            <w:r>
              <w:rPr>
                <w:rFonts w:ascii="宋体" w:hAnsi="宋体" w:eastAsia="宋体" w:cs="Times New Roman"/>
                <w:color w:val="auto"/>
              </w:rPr>
              <w:t>约50户，150人</w:t>
            </w:r>
          </w:p>
        </w:tc>
        <w:tc>
          <w:tcPr>
            <w:tcW w:w="1639" w:type="pct"/>
            <w:shd w:val="clear" w:color="auto" w:fill="auto"/>
            <w:vAlign w:val="center"/>
          </w:tcPr>
          <w:p w14:paraId="3F1A7325">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w:t>
            </w:r>
            <w:r>
              <w:rPr>
                <w:rFonts w:hint="eastAsia" w:ascii="宋体" w:hAnsi="宋体" w:eastAsia="宋体"/>
                <w:b w:val="0"/>
                <w:color w:val="auto"/>
                <w:sz w:val="21"/>
                <w:szCs w:val="21"/>
              </w:rPr>
              <w:t>3西1400m</w:t>
            </w:r>
          </w:p>
        </w:tc>
      </w:tr>
      <w:tr w14:paraId="5BC43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085BFB44">
            <w:pPr>
              <w:jc w:val="center"/>
              <w:rPr>
                <w:rFonts w:ascii="宋体" w:hAnsi="宋体" w:eastAsia="宋体" w:cs="Times New Roman"/>
                <w:color w:val="auto"/>
                <w:lang w:bidi="ar"/>
              </w:rPr>
            </w:pPr>
          </w:p>
        </w:tc>
        <w:tc>
          <w:tcPr>
            <w:tcW w:w="625" w:type="pct"/>
            <w:vMerge w:val="continue"/>
            <w:shd w:val="clear" w:color="auto" w:fill="auto"/>
            <w:vAlign w:val="center"/>
          </w:tcPr>
          <w:p w14:paraId="4BC3235D">
            <w:pPr>
              <w:jc w:val="center"/>
              <w:rPr>
                <w:rFonts w:ascii="宋体" w:hAnsi="宋体" w:eastAsia="宋体" w:cs="Times New Roman"/>
                <w:color w:val="auto"/>
              </w:rPr>
            </w:pPr>
          </w:p>
        </w:tc>
        <w:tc>
          <w:tcPr>
            <w:tcW w:w="704" w:type="pct"/>
            <w:shd w:val="clear" w:color="auto" w:fill="auto"/>
            <w:vAlign w:val="center"/>
          </w:tcPr>
          <w:p w14:paraId="18308173">
            <w:pPr>
              <w:jc w:val="center"/>
              <w:rPr>
                <w:rFonts w:ascii="宋体" w:hAnsi="宋体" w:eastAsia="宋体" w:cs="Times New Roman"/>
                <w:color w:val="auto"/>
              </w:rPr>
            </w:pPr>
            <w:r>
              <w:rPr>
                <w:rFonts w:hint="eastAsia" w:ascii="宋体" w:hAnsi="宋体" w:eastAsia="宋体" w:cs="Times New Roman"/>
                <w:color w:val="auto"/>
              </w:rPr>
              <w:t>吴家围子屯</w:t>
            </w:r>
          </w:p>
        </w:tc>
        <w:tc>
          <w:tcPr>
            <w:tcW w:w="1644" w:type="pct"/>
            <w:shd w:val="clear" w:color="auto" w:fill="auto"/>
            <w:vAlign w:val="center"/>
          </w:tcPr>
          <w:p w14:paraId="17E2EA61">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1639" w:type="pct"/>
            <w:shd w:val="clear" w:color="auto" w:fill="auto"/>
            <w:vAlign w:val="center"/>
          </w:tcPr>
          <w:p w14:paraId="7746374B">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w:t>
            </w:r>
            <w:r>
              <w:rPr>
                <w:rFonts w:hint="eastAsia" w:ascii="宋体" w:hAnsi="宋体" w:eastAsia="宋体"/>
                <w:b w:val="0"/>
                <w:color w:val="auto"/>
                <w:sz w:val="21"/>
                <w:szCs w:val="21"/>
              </w:rPr>
              <w:t>3西北1900m</w:t>
            </w:r>
          </w:p>
        </w:tc>
      </w:tr>
      <w:tr w14:paraId="3BE42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1096F276">
            <w:pPr>
              <w:jc w:val="center"/>
              <w:rPr>
                <w:rFonts w:ascii="宋体" w:hAnsi="宋体" w:eastAsia="宋体" w:cs="Times New Roman"/>
                <w:color w:val="auto"/>
                <w:lang w:bidi="ar"/>
              </w:rPr>
            </w:pPr>
          </w:p>
        </w:tc>
        <w:tc>
          <w:tcPr>
            <w:tcW w:w="625" w:type="pct"/>
            <w:vMerge w:val="continue"/>
            <w:shd w:val="clear" w:color="auto" w:fill="auto"/>
            <w:vAlign w:val="center"/>
          </w:tcPr>
          <w:p w14:paraId="09E048FA">
            <w:pPr>
              <w:jc w:val="center"/>
              <w:rPr>
                <w:rFonts w:ascii="宋体" w:hAnsi="宋体" w:eastAsia="宋体" w:cs="Times New Roman"/>
                <w:color w:val="auto"/>
              </w:rPr>
            </w:pPr>
          </w:p>
        </w:tc>
        <w:tc>
          <w:tcPr>
            <w:tcW w:w="704" w:type="pct"/>
            <w:shd w:val="clear" w:color="auto" w:fill="auto"/>
            <w:vAlign w:val="center"/>
          </w:tcPr>
          <w:p w14:paraId="7C5C4375">
            <w:pPr>
              <w:jc w:val="center"/>
              <w:rPr>
                <w:rFonts w:ascii="宋体" w:hAnsi="宋体" w:eastAsia="宋体" w:cs="Times New Roman"/>
                <w:color w:val="auto"/>
              </w:rPr>
            </w:pPr>
            <w:r>
              <w:rPr>
                <w:rFonts w:hint="eastAsia" w:ascii="宋体" w:hAnsi="宋体" w:eastAsia="宋体" w:cs="Times New Roman"/>
                <w:color w:val="auto"/>
              </w:rPr>
              <w:t>张家围子屯</w:t>
            </w:r>
          </w:p>
        </w:tc>
        <w:tc>
          <w:tcPr>
            <w:tcW w:w="1644" w:type="pct"/>
            <w:shd w:val="clear" w:color="auto" w:fill="auto"/>
            <w:vAlign w:val="center"/>
          </w:tcPr>
          <w:p w14:paraId="7A94D8E2">
            <w:pPr>
              <w:snapToGrid w:val="0"/>
              <w:jc w:val="center"/>
              <w:rPr>
                <w:rFonts w:ascii="宋体" w:hAnsi="宋体" w:eastAsia="宋体" w:cs="Times New Roman"/>
                <w:color w:val="auto"/>
              </w:rPr>
            </w:pPr>
            <w:r>
              <w:rPr>
                <w:rFonts w:ascii="宋体" w:hAnsi="宋体" w:eastAsia="宋体" w:cs="Times New Roman"/>
                <w:color w:val="auto"/>
              </w:rPr>
              <w:t>约45户，140人</w:t>
            </w:r>
          </w:p>
        </w:tc>
        <w:tc>
          <w:tcPr>
            <w:tcW w:w="1639" w:type="pct"/>
            <w:shd w:val="clear" w:color="auto" w:fill="auto"/>
            <w:vAlign w:val="center"/>
          </w:tcPr>
          <w:p w14:paraId="3B516032">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w:t>
            </w:r>
            <w:r>
              <w:rPr>
                <w:rFonts w:hint="eastAsia" w:ascii="宋体" w:hAnsi="宋体" w:eastAsia="宋体"/>
                <w:b w:val="0"/>
                <w:color w:val="auto"/>
                <w:sz w:val="21"/>
                <w:szCs w:val="21"/>
              </w:rPr>
              <w:t>3西北1600m</w:t>
            </w:r>
          </w:p>
        </w:tc>
      </w:tr>
      <w:tr w14:paraId="256B1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BEC5F8E">
            <w:pPr>
              <w:jc w:val="center"/>
              <w:rPr>
                <w:rFonts w:ascii="宋体" w:hAnsi="宋体" w:eastAsia="宋体" w:cs="Times New Roman"/>
                <w:color w:val="auto"/>
                <w:lang w:bidi="ar"/>
              </w:rPr>
            </w:pPr>
          </w:p>
        </w:tc>
        <w:tc>
          <w:tcPr>
            <w:tcW w:w="625" w:type="pct"/>
            <w:vMerge w:val="continue"/>
            <w:shd w:val="clear" w:color="auto" w:fill="auto"/>
            <w:vAlign w:val="center"/>
          </w:tcPr>
          <w:p w14:paraId="761A9FC7">
            <w:pPr>
              <w:jc w:val="center"/>
              <w:rPr>
                <w:rFonts w:ascii="宋体" w:hAnsi="宋体" w:eastAsia="宋体" w:cs="Times New Roman"/>
                <w:color w:val="auto"/>
              </w:rPr>
            </w:pPr>
          </w:p>
        </w:tc>
        <w:tc>
          <w:tcPr>
            <w:tcW w:w="704" w:type="pct"/>
            <w:shd w:val="clear" w:color="auto" w:fill="auto"/>
            <w:vAlign w:val="center"/>
          </w:tcPr>
          <w:p w14:paraId="76708349">
            <w:pPr>
              <w:jc w:val="center"/>
              <w:rPr>
                <w:rFonts w:ascii="宋体" w:hAnsi="宋体" w:eastAsia="宋体" w:cs="Times New Roman"/>
                <w:color w:val="auto"/>
              </w:rPr>
            </w:pPr>
            <w:r>
              <w:rPr>
                <w:rFonts w:hint="eastAsia" w:ascii="宋体" w:hAnsi="宋体" w:eastAsia="宋体" w:cs="Times New Roman"/>
                <w:color w:val="auto"/>
              </w:rPr>
              <w:t>孙家围子屯</w:t>
            </w:r>
          </w:p>
        </w:tc>
        <w:tc>
          <w:tcPr>
            <w:tcW w:w="1644" w:type="pct"/>
            <w:shd w:val="clear" w:color="auto" w:fill="auto"/>
            <w:vAlign w:val="center"/>
          </w:tcPr>
          <w:p w14:paraId="55697A3C">
            <w:pPr>
              <w:snapToGrid w:val="0"/>
              <w:jc w:val="center"/>
              <w:rPr>
                <w:rFonts w:ascii="宋体" w:hAnsi="宋体" w:eastAsia="宋体" w:cs="Times New Roman"/>
                <w:color w:val="auto"/>
              </w:rPr>
            </w:pPr>
            <w:r>
              <w:rPr>
                <w:rFonts w:ascii="宋体" w:hAnsi="宋体" w:eastAsia="宋体" w:cs="Times New Roman"/>
                <w:color w:val="auto"/>
              </w:rPr>
              <w:t>约30户，110人</w:t>
            </w:r>
          </w:p>
        </w:tc>
        <w:tc>
          <w:tcPr>
            <w:tcW w:w="1639" w:type="pct"/>
            <w:shd w:val="clear" w:color="auto" w:fill="auto"/>
            <w:vAlign w:val="center"/>
          </w:tcPr>
          <w:p w14:paraId="4A832D3B">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源212-扶平</w:t>
            </w:r>
            <w:r>
              <w:rPr>
                <w:rFonts w:hint="eastAsia" w:ascii="宋体" w:hAnsi="宋体" w:eastAsia="宋体"/>
                <w:b w:val="0"/>
                <w:color w:val="auto"/>
                <w:sz w:val="21"/>
                <w:szCs w:val="21"/>
              </w:rPr>
              <w:t>3西北2400m</w:t>
            </w:r>
          </w:p>
        </w:tc>
      </w:tr>
      <w:tr w14:paraId="6FFC5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195E6F9C">
            <w:pPr>
              <w:jc w:val="center"/>
              <w:rPr>
                <w:rFonts w:ascii="宋体" w:hAnsi="宋体" w:eastAsia="宋体" w:cs="Times New Roman"/>
                <w:color w:val="auto"/>
                <w:lang w:bidi="ar"/>
              </w:rPr>
            </w:pPr>
          </w:p>
        </w:tc>
        <w:tc>
          <w:tcPr>
            <w:tcW w:w="625" w:type="pct"/>
            <w:vMerge w:val="continue"/>
            <w:shd w:val="clear" w:color="auto" w:fill="auto"/>
            <w:vAlign w:val="center"/>
          </w:tcPr>
          <w:p w14:paraId="56EC6D84">
            <w:pPr>
              <w:jc w:val="center"/>
              <w:rPr>
                <w:rFonts w:ascii="宋体" w:hAnsi="宋体" w:eastAsia="宋体" w:cs="Times New Roman"/>
                <w:color w:val="auto"/>
              </w:rPr>
            </w:pPr>
          </w:p>
        </w:tc>
        <w:tc>
          <w:tcPr>
            <w:tcW w:w="704" w:type="pct"/>
            <w:shd w:val="clear" w:color="auto" w:fill="auto"/>
            <w:vAlign w:val="center"/>
          </w:tcPr>
          <w:p w14:paraId="4732437C">
            <w:pPr>
              <w:jc w:val="center"/>
              <w:rPr>
                <w:rFonts w:ascii="宋体" w:hAnsi="宋体" w:eastAsia="宋体" w:cs="Times New Roman"/>
                <w:color w:val="auto"/>
              </w:rPr>
            </w:pPr>
            <w:r>
              <w:rPr>
                <w:rFonts w:hint="eastAsia" w:ascii="宋体" w:hAnsi="宋体" w:eastAsia="宋体" w:cs="Times New Roman"/>
                <w:color w:val="auto"/>
              </w:rPr>
              <w:t>四方山屯</w:t>
            </w:r>
          </w:p>
        </w:tc>
        <w:tc>
          <w:tcPr>
            <w:tcW w:w="1644" w:type="pct"/>
            <w:shd w:val="clear" w:color="auto" w:fill="auto"/>
            <w:vAlign w:val="center"/>
          </w:tcPr>
          <w:p w14:paraId="6E53C06A">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1639" w:type="pct"/>
            <w:shd w:val="clear" w:color="auto" w:fill="auto"/>
            <w:vAlign w:val="center"/>
          </w:tcPr>
          <w:p w14:paraId="1E099094">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西南700m</w:t>
            </w:r>
          </w:p>
        </w:tc>
      </w:tr>
      <w:tr w14:paraId="5133F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DC2721A">
            <w:pPr>
              <w:jc w:val="center"/>
              <w:rPr>
                <w:rFonts w:ascii="宋体" w:hAnsi="宋体" w:eastAsia="宋体" w:cs="Times New Roman"/>
                <w:color w:val="auto"/>
                <w:lang w:bidi="ar"/>
              </w:rPr>
            </w:pPr>
          </w:p>
        </w:tc>
        <w:tc>
          <w:tcPr>
            <w:tcW w:w="625" w:type="pct"/>
            <w:vMerge w:val="continue"/>
            <w:shd w:val="clear" w:color="auto" w:fill="auto"/>
            <w:vAlign w:val="center"/>
          </w:tcPr>
          <w:p w14:paraId="67A031F9">
            <w:pPr>
              <w:jc w:val="center"/>
              <w:rPr>
                <w:rFonts w:ascii="宋体" w:hAnsi="宋体" w:eastAsia="宋体" w:cs="Times New Roman"/>
                <w:color w:val="auto"/>
              </w:rPr>
            </w:pPr>
          </w:p>
        </w:tc>
        <w:tc>
          <w:tcPr>
            <w:tcW w:w="704" w:type="pct"/>
            <w:shd w:val="clear" w:color="auto" w:fill="auto"/>
            <w:vAlign w:val="center"/>
          </w:tcPr>
          <w:p w14:paraId="07AA1831">
            <w:pPr>
              <w:jc w:val="center"/>
              <w:rPr>
                <w:rFonts w:ascii="宋体" w:hAnsi="宋体" w:eastAsia="宋体" w:cs="Times New Roman"/>
                <w:color w:val="auto"/>
              </w:rPr>
            </w:pPr>
            <w:r>
              <w:rPr>
                <w:rFonts w:hint="eastAsia" w:ascii="宋体" w:hAnsi="宋体" w:eastAsia="宋体" w:cs="Times New Roman"/>
                <w:color w:val="auto"/>
              </w:rPr>
              <w:t>小东屯</w:t>
            </w:r>
          </w:p>
        </w:tc>
        <w:tc>
          <w:tcPr>
            <w:tcW w:w="1644" w:type="pct"/>
            <w:shd w:val="clear" w:color="auto" w:fill="auto"/>
            <w:vAlign w:val="center"/>
          </w:tcPr>
          <w:p w14:paraId="236ED782">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1639" w:type="pct"/>
            <w:shd w:val="clear" w:color="auto" w:fill="auto"/>
            <w:vAlign w:val="center"/>
          </w:tcPr>
          <w:p w14:paraId="6E4E698B">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南2200m</w:t>
            </w:r>
          </w:p>
        </w:tc>
      </w:tr>
      <w:tr w14:paraId="22871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51E81ACF">
            <w:pPr>
              <w:jc w:val="center"/>
              <w:rPr>
                <w:rFonts w:ascii="宋体" w:hAnsi="宋体" w:eastAsia="宋体" w:cs="Times New Roman"/>
                <w:color w:val="auto"/>
                <w:lang w:bidi="ar"/>
              </w:rPr>
            </w:pPr>
          </w:p>
        </w:tc>
        <w:tc>
          <w:tcPr>
            <w:tcW w:w="625" w:type="pct"/>
            <w:vMerge w:val="continue"/>
            <w:shd w:val="clear" w:color="auto" w:fill="auto"/>
            <w:vAlign w:val="center"/>
          </w:tcPr>
          <w:p w14:paraId="50595229">
            <w:pPr>
              <w:jc w:val="center"/>
              <w:rPr>
                <w:rFonts w:ascii="宋体" w:hAnsi="宋体" w:eastAsia="宋体" w:cs="Times New Roman"/>
                <w:color w:val="auto"/>
              </w:rPr>
            </w:pPr>
          </w:p>
        </w:tc>
        <w:tc>
          <w:tcPr>
            <w:tcW w:w="704" w:type="pct"/>
            <w:shd w:val="clear" w:color="auto" w:fill="auto"/>
            <w:vAlign w:val="center"/>
          </w:tcPr>
          <w:p w14:paraId="0DB1DC5E">
            <w:pPr>
              <w:jc w:val="center"/>
              <w:rPr>
                <w:rFonts w:ascii="宋体" w:hAnsi="宋体" w:eastAsia="宋体" w:cs="Times New Roman"/>
                <w:color w:val="auto"/>
              </w:rPr>
            </w:pPr>
            <w:r>
              <w:rPr>
                <w:rFonts w:hint="eastAsia" w:ascii="宋体" w:hAnsi="宋体" w:eastAsia="宋体" w:cs="Times New Roman"/>
                <w:color w:val="auto"/>
              </w:rPr>
              <w:t>奎中里屯</w:t>
            </w:r>
          </w:p>
        </w:tc>
        <w:tc>
          <w:tcPr>
            <w:tcW w:w="1644" w:type="pct"/>
            <w:shd w:val="clear" w:color="auto" w:fill="auto"/>
            <w:vAlign w:val="center"/>
          </w:tcPr>
          <w:p w14:paraId="7B5FC415">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1639" w:type="pct"/>
            <w:shd w:val="clear" w:color="auto" w:fill="auto"/>
            <w:vAlign w:val="center"/>
          </w:tcPr>
          <w:p w14:paraId="23F253D7">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东南1800m</w:t>
            </w:r>
          </w:p>
        </w:tc>
      </w:tr>
      <w:tr w14:paraId="2438F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45C1EBB">
            <w:pPr>
              <w:jc w:val="center"/>
              <w:rPr>
                <w:rFonts w:ascii="宋体" w:hAnsi="宋体" w:eastAsia="宋体" w:cs="Times New Roman"/>
                <w:color w:val="auto"/>
                <w:lang w:bidi="ar"/>
              </w:rPr>
            </w:pPr>
          </w:p>
        </w:tc>
        <w:tc>
          <w:tcPr>
            <w:tcW w:w="625" w:type="pct"/>
            <w:vMerge w:val="continue"/>
            <w:shd w:val="clear" w:color="auto" w:fill="auto"/>
            <w:vAlign w:val="center"/>
          </w:tcPr>
          <w:p w14:paraId="4D13BE6E">
            <w:pPr>
              <w:jc w:val="center"/>
              <w:rPr>
                <w:rFonts w:ascii="宋体" w:hAnsi="宋体" w:eastAsia="宋体" w:cs="Times New Roman"/>
                <w:color w:val="auto"/>
              </w:rPr>
            </w:pPr>
          </w:p>
        </w:tc>
        <w:tc>
          <w:tcPr>
            <w:tcW w:w="704" w:type="pct"/>
            <w:shd w:val="clear" w:color="auto" w:fill="auto"/>
            <w:vAlign w:val="center"/>
          </w:tcPr>
          <w:p w14:paraId="097D5B47">
            <w:pPr>
              <w:jc w:val="center"/>
              <w:rPr>
                <w:rFonts w:ascii="宋体" w:hAnsi="宋体" w:eastAsia="宋体" w:cs="Times New Roman"/>
                <w:color w:val="auto"/>
              </w:rPr>
            </w:pPr>
            <w:r>
              <w:rPr>
                <w:rFonts w:hint="eastAsia" w:ascii="宋体" w:hAnsi="宋体" w:eastAsia="宋体" w:cs="Times New Roman"/>
                <w:color w:val="auto"/>
              </w:rPr>
              <w:t>东兴村</w:t>
            </w:r>
          </w:p>
        </w:tc>
        <w:tc>
          <w:tcPr>
            <w:tcW w:w="1644" w:type="pct"/>
            <w:shd w:val="clear" w:color="auto" w:fill="auto"/>
            <w:vAlign w:val="center"/>
          </w:tcPr>
          <w:p w14:paraId="29237A0D">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40</w:t>
            </w:r>
            <w:r>
              <w:rPr>
                <w:rFonts w:ascii="宋体" w:hAnsi="宋体" w:eastAsia="宋体" w:cs="Times New Roman"/>
                <w:color w:val="auto"/>
              </w:rPr>
              <w:t>户，</w:t>
            </w:r>
            <w:r>
              <w:rPr>
                <w:rFonts w:hint="eastAsia" w:ascii="宋体" w:hAnsi="宋体" w:eastAsia="宋体" w:cs="Times New Roman"/>
                <w:color w:val="auto"/>
              </w:rPr>
              <w:t>200</w:t>
            </w:r>
            <w:r>
              <w:rPr>
                <w:rFonts w:ascii="宋体" w:hAnsi="宋体" w:eastAsia="宋体" w:cs="Times New Roman"/>
                <w:color w:val="auto"/>
              </w:rPr>
              <w:t>人</w:t>
            </w:r>
          </w:p>
        </w:tc>
        <w:tc>
          <w:tcPr>
            <w:tcW w:w="1639" w:type="pct"/>
            <w:shd w:val="clear" w:color="auto" w:fill="auto"/>
            <w:vAlign w:val="center"/>
          </w:tcPr>
          <w:p w14:paraId="510E1498">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西南2600m</w:t>
            </w:r>
          </w:p>
        </w:tc>
      </w:tr>
      <w:tr w14:paraId="34624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955D87B">
            <w:pPr>
              <w:jc w:val="center"/>
              <w:rPr>
                <w:rFonts w:ascii="宋体" w:hAnsi="宋体" w:eastAsia="宋体" w:cs="Times New Roman"/>
                <w:color w:val="auto"/>
                <w:lang w:bidi="ar"/>
              </w:rPr>
            </w:pPr>
          </w:p>
        </w:tc>
        <w:tc>
          <w:tcPr>
            <w:tcW w:w="625" w:type="pct"/>
            <w:vMerge w:val="continue"/>
            <w:shd w:val="clear" w:color="auto" w:fill="auto"/>
            <w:vAlign w:val="center"/>
          </w:tcPr>
          <w:p w14:paraId="2D5EA972">
            <w:pPr>
              <w:jc w:val="center"/>
              <w:rPr>
                <w:rFonts w:ascii="宋体" w:hAnsi="宋体" w:eastAsia="宋体" w:cs="Times New Roman"/>
                <w:color w:val="auto"/>
              </w:rPr>
            </w:pPr>
          </w:p>
        </w:tc>
        <w:tc>
          <w:tcPr>
            <w:tcW w:w="704" w:type="pct"/>
            <w:shd w:val="clear" w:color="auto" w:fill="auto"/>
            <w:vAlign w:val="center"/>
          </w:tcPr>
          <w:p w14:paraId="23974E30">
            <w:pPr>
              <w:jc w:val="center"/>
              <w:rPr>
                <w:rFonts w:ascii="宋体" w:hAnsi="宋体" w:eastAsia="宋体" w:cs="Times New Roman"/>
                <w:color w:val="auto"/>
              </w:rPr>
            </w:pPr>
            <w:r>
              <w:rPr>
                <w:rFonts w:hint="eastAsia" w:ascii="宋体" w:hAnsi="宋体" w:eastAsia="宋体" w:cs="Times New Roman"/>
                <w:color w:val="auto"/>
              </w:rPr>
              <w:t>迟家屯</w:t>
            </w:r>
          </w:p>
        </w:tc>
        <w:tc>
          <w:tcPr>
            <w:tcW w:w="1644" w:type="pct"/>
            <w:shd w:val="clear" w:color="auto" w:fill="auto"/>
            <w:vAlign w:val="center"/>
          </w:tcPr>
          <w:p w14:paraId="7E9F3DC2">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1639" w:type="pct"/>
            <w:shd w:val="clear" w:color="auto" w:fill="auto"/>
            <w:vAlign w:val="center"/>
          </w:tcPr>
          <w:p w14:paraId="3E112FC4">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源斜2401</w:t>
            </w:r>
            <w:r>
              <w:rPr>
                <w:rFonts w:hint="eastAsia" w:ascii="宋体" w:hAnsi="宋体" w:eastAsia="宋体"/>
                <w:b w:val="0"/>
                <w:color w:val="auto"/>
                <w:sz w:val="21"/>
                <w:szCs w:val="21"/>
              </w:rPr>
              <w:t>西南3000m</w:t>
            </w:r>
          </w:p>
        </w:tc>
      </w:tr>
      <w:tr w14:paraId="59085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98219E0">
            <w:pPr>
              <w:jc w:val="center"/>
              <w:rPr>
                <w:rFonts w:ascii="宋体" w:hAnsi="宋体" w:eastAsia="宋体" w:cs="Times New Roman"/>
                <w:color w:val="auto"/>
                <w:lang w:bidi="ar"/>
              </w:rPr>
            </w:pPr>
          </w:p>
        </w:tc>
        <w:tc>
          <w:tcPr>
            <w:tcW w:w="625" w:type="pct"/>
            <w:vMerge w:val="continue"/>
            <w:shd w:val="clear" w:color="auto" w:fill="auto"/>
            <w:vAlign w:val="center"/>
          </w:tcPr>
          <w:p w14:paraId="4F2785C2">
            <w:pPr>
              <w:jc w:val="center"/>
              <w:rPr>
                <w:rFonts w:ascii="宋体" w:hAnsi="宋体" w:eastAsia="宋体" w:cs="Times New Roman"/>
                <w:color w:val="auto"/>
              </w:rPr>
            </w:pPr>
          </w:p>
        </w:tc>
        <w:tc>
          <w:tcPr>
            <w:tcW w:w="704" w:type="pct"/>
            <w:shd w:val="clear" w:color="auto" w:fill="auto"/>
            <w:vAlign w:val="center"/>
          </w:tcPr>
          <w:p w14:paraId="3A434615">
            <w:pPr>
              <w:jc w:val="center"/>
              <w:rPr>
                <w:rFonts w:ascii="宋体" w:hAnsi="宋体" w:eastAsia="宋体" w:cs="Times New Roman"/>
                <w:color w:val="auto"/>
              </w:rPr>
            </w:pPr>
            <w:r>
              <w:rPr>
                <w:rFonts w:hint="eastAsia" w:ascii="宋体" w:hAnsi="宋体" w:eastAsia="宋体" w:cs="Times New Roman"/>
                <w:color w:val="auto"/>
              </w:rPr>
              <w:t>肇源镇</w:t>
            </w:r>
          </w:p>
        </w:tc>
        <w:tc>
          <w:tcPr>
            <w:tcW w:w="1644" w:type="pct"/>
            <w:shd w:val="clear" w:color="auto" w:fill="auto"/>
            <w:vAlign w:val="center"/>
          </w:tcPr>
          <w:p w14:paraId="41E46EF7">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600</w:t>
            </w:r>
            <w:r>
              <w:rPr>
                <w:rFonts w:ascii="宋体" w:hAnsi="宋体" w:eastAsia="宋体" w:cs="Times New Roman"/>
                <w:color w:val="auto"/>
              </w:rPr>
              <w:t>户，</w:t>
            </w:r>
            <w:r>
              <w:rPr>
                <w:rFonts w:hint="eastAsia" w:ascii="宋体" w:hAnsi="宋体" w:eastAsia="宋体" w:cs="Times New Roman"/>
                <w:color w:val="auto"/>
              </w:rPr>
              <w:t>300</w:t>
            </w:r>
            <w:r>
              <w:rPr>
                <w:rFonts w:ascii="宋体" w:hAnsi="宋体" w:eastAsia="宋体" w:cs="Times New Roman"/>
                <w:color w:val="auto"/>
              </w:rPr>
              <w:t>0人</w:t>
            </w:r>
          </w:p>
        </w:tc>
        <w:tc>
          <w:tcPr>
            <w:tcW w:w="1639" w:type="pct"/>
            <w:shd w:val="clear" w:color="auto" w:fill="auto"/>
            <w:vAlign w:val="center"/>
          </w:tcPr>
          <w:p w14:paraId="7381E3AD">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东900m</w:t>
            </w:r>
          </w:p>
        </w:tc>
      </w:tr>
      <w:tr w14:paraId="61711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1076313">
            <w:pPr>
              <w:jc w:val="center"/>
              <w:rPr>
                <w:rFonts w:ascii="宋体" w:hAnsi="宋体" w:eastAsia="宋体" w:cs="Times New Roman"/>
                <w:color w:val="auto"/>
                <w:lang w:bidi="ar"/>
              </w:rPr>
            </w:pPr>
          </w:p>
        </w:tc>
        <w:tc>
          <w:tcPr>
            <w:tcW w:w="625" w:type="pct"/>
            <w:vMerge w:val="continue"/>
            <w:shd w:val="clear" w:color="auto" w:fill="auto"/>
            <w:vAlign w:val="center"/>
          </w:tcPr>
          <w:p w14:paraId="0370A8EC">
            <w:pPr>
              <w:jc w:val="center"/>
              <w:rPr>
                <w:rFonts w:ascii="宋体" w:hAnsi="宋体" w:eastAsia="宋体" w:cs="Times New Roman"/>
                <w:color w:val="auto"/>
              </w:rPr>
            </w:pPr>
          </w:p>
        </w:tc>
        <w:tc>
          <w:tcPr>
            <w:tcW w:w="704" w:type="pct"/>
            <w:shd w:val="clear" w:color="auto" w:fill="auto"/>
            <w:vAlign w:val="center"/>
          </w:tcPr>
          <w:p w14:paraId="140D111F">
            <w:pPr>
              <w:jc w:val="center"/>
              <w:rPr>
                <w:rFonts w:ascii="宋体" w:hAnsi="宋体" w:eastAsia="宋体" w:cs="Times New Roman"/>
                <w:color w:val="auto"/>
              </w:rPr>
            </w:pPr>
            <w:r>
              <w:rPr>
                <w:rFonts w:hint="eastAsia" w:ascii="宋体" w:hAnsi="宋体" w:eastAsia="宋体" w:cs="Times New Roman"/>
                <w:color w:val="auto"/>
              </w:rPr>
              <w:t>大姚屯</w:t>
            </w:r>
          </w:p>
        </w:tc>
        <w:tc>
          <w:tcPr>
            <w:tcW w:w="1644" w:type="pct"/>
            <w:shd w:val="clear" w:color="auto" w:fill="auto"/>
            <w:vAlign w:val="center"/>
          </w:tcPr>
          <w:p w14:paraId="54568C41">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1639" w:type="pct"/>
            <w:shd w:val="clear" w:color="auto" w:fill="auto"/>
            <w:vAlign w:val="center"/>
          </w:tcPr>
          <w:p w14:paraId="174F8A15">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东300m</w:t>
            </w:r>
          </w:p>
        </w:tc>
      </w:tr>
      <w:tr w14:paraId="22937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4A0FC1EF">
            <w:pPr>
              <w:jc w:val="center"/>
              <w:rPr>
                <w:rFonts w:ascii="宋体" w:hAnsi="宋体" w:eastAsia="宋体" w:cs="Times New Roman"/>
                <w:color w:val="auto"/>
                <w:lang w:bidi="ar"/>
              </w:rPr>
            </w:pPr>
          </w:p>
        </w:tc>
        <w:tc>
          <w:tcPr>
            <w:tcW w:w="625" w:type="pct"/>
            <w:vMerge w:val="continue"/>
            <w:shd w:val="clear" w:color="auto" w:fill="auto"/>
            <w:vAlign w:val="center"/>
          </w:tcPr>
          <w:p w14:paraId="598FBA1A">
            <w:pPr>
              <w:jc w:val="center"/>
              <w:rPr>
                <w:rFonts w:ascii="宋体" w:hAnsi="宋体" w:eastAsia="宋体" w:cs="Times New Roman"/>
                <w:color w:val="auto"/>
              </w:rPr>
            </w:pPr>
          </w:p>
        </w:tc>
        <w:tc>
          <w:tcPr>
            <w:tcW w:w="704" w:type="pct"/>
            <w:shd w:val="clear" w:color="auto" w:fill="auto"/>
            <w:vAlign w:val="center"/>
          </w:tcPr>
          <w:p w14:paraId="79E34DD6">
            <w:pPr>
              <w:jc w:val="center"/>
              <w:rPr>
                <w:rFonts w:ascii="宋体" w:hAnsi="宋体" w:eastAsia="宋体" w:cs="Times New Roman"/>
                <w:color w:val="auto"/>
              </w:rPr>
            </w:pPr>
            <w:r>
              <w:rPr>
                <w:rFonts w:hint="eastAsia" w:ascii="宋体" w:hAnsi="宋体" w:eastAsia="宋体" w:cs="Times New Roman"/>
                <w:color w:val="auto"/>
              </w:rPr>
              <w:t>科技屯</w:t>
            </w:r>
          </w:p>
        </w:tc>
        <w:tc>
          <w:tcPr>
            <w:tcW w:w="1644" w:type="pct"/>
            <w:shd w:val="clear" w:color="auto" w:fill="auto"/>
            <w:vAlign w:val="center"/>
          </w:tcPr>
          <w:p w14:paraId="202DF525">
            <w:pPr>
              <w:snapToGrid w:val="0"/>
              <w:jc w:val="center"/>
              <w:rPr>
                <w:rFonts w:ascii="宋体" w:hAnsi="宋体" w:eastAsia="宋体" w:cs="Times New Roman"/>
                <w:color w:val="auto"/>
              </w:rPr>
            </w:pPr>
            <w:r>
              <w:rPr>
                <w:rFonts w:ascii="宋体" w:hAnsi="宋体" w:eastAsia="宋体" w:cs="Times New Roman"/>
                <w:color w:val="auto"/>
              </w:rPr>
              <w:t>约30户，110人</w:t>
            </w:r>
          </w:p>
        </w:tc>
        <w:tc>
          <w:tcPr>
            <w:tcW w:w="1639" w:type="pct"/>
            <w:shd w:val="clear" w:color="auto" w:fill="auto"/>
            <w:vAlign w:val="center"/>
          </w:tcPr>
          <w:p w14:paraId="1E223D39">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东南2600m</w:t>
            </w:r>
          </w:p>
        </w:tc>
      </w:tr>
      <w:tr w14:paraId="6EC49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0D575753">
            <w:pPr>
              <w:jc w:val="center"/>
              <w:rPr>
                <w:rFonts w:ascii="宋体" w:hAnsi="宋体" w:eastAsia="宋体" w:cs="Times New Roman"/>
                <w:color w:val="auto"/>
                <w:lang w:bidi="ar"/>
              </w:rPr>
            </w:pPr>
          </w:p>
        </w:tc>
        <w:tc>
          <w:tcPr>
            <w:tcW w:w="625" w:type="pct"/>
            <w:vMerge w:val="continue"/>
            <w:shd w:val="clear" w:color="auto" w:fill="auto"/>
            <w:vAlign w:val="center"/>
          </w:tcPr>
          <w:p w14:paraId="6ABDCBE3">
            <w:pPr>
              <w:jc w:val="center"/>
              <w:rPr>
                <w:rFonts w:ascii="宋体" w:hAnsi="宋体" w:eastAsia="宋体" w:cs="Times New Roman"/>
                <w:color w:val="auto"/>
              </w:rPr>
            </w:pPr>
          </w:p>
        </w:tc>
        <w:tc>
          <w:tcPr>
            <w:tcW w:w="704" w:type="pct"/>
            <w:shd w:val="clear" w:color="auto" w:fill="auto"/>
            <w:vAlign w:val="center"/>
          </w:tcPr>
          <w:p w14:paraId="0E43C146">
            <w:pPr>
              <w:jc w:val="center"/>
              <w:rPr>
                <w:rFonts w:ascii="宋体" w:hAnsi="宋体" w:eastAsia="宋体" w:cs="Times New Roman"/>
                <w:color w:val="auto"/>
              </w:rPr>
            </w:pPr>
            <w:r>
              <w:rPr>
                <w:rFonts w:hint="eastAsia" w:ascii="宋体" w:hAnsi="宋体" w:eastAsia="宋体" w:cs="Times New Roman"/>
                <w:color w:val="auto"/>
              </w:rPr>
              <w:t>东小山屯</w:t>
            </w:r>
          </w:p>
        </w:tc>
        <w:tc>
          <w:tcPr>
            <w:tcW w:w="1644" w:type="pct"/>
            <w:shd w:val="clear" w:color="auto" w:fill="auto"/>
            <w:vAlign w:val="center"/>
          </w:tcPr>
          <w:p w14:paraId="585A4CEE">
            <w:pPr>
              <w:snapToGrid w:val="0"/>
              <w:jc w:val="center"/>
              <w:rPr>
                <w:rFonts w:ascii="宋体" w:hAnsi="宋体" w:eastAsia="宋体" w:cs="Times New Roman"/>
                <w:color w:val="auto"/>
              </w:rPr>
            </w:pPr>
            <w:r>
              <w:rPr>
                <w:rFonts w:ascii="宋体" w:hAnsi="宋体" w:eastAsia="宋体" w:cs="Times New Roman"/>
                <w:color w:val="auto"/>
              </w:rPr>
              <w:t>约30户，110人</w:t>
            </w:r>
          </w:p>
        </w:tc>
        <w:tc>
          <w:tcPr>
            <w:tcW w:w="1639" w:type="pct"/>
            <w:shd w:val="clear" w:color="auto" w:fill="auto"/>
            <w:vAlign w:val="center"/>
          </w:tcPr>
          <w:p w14:paraId="1B4630A3">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东南2200m</w:t>
            </w:r>
          </w:p>
        </w:tc>
      </w:tr>
      <w:tr w14:paraId="2822A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0825EE80">
            <w:pPr>
              <w:jc w:val="center"/>
              <w:rPr>
                <w:rFonts w:ascii="宋体" w:hAnsi="宋体" w:eastAsia="宋体" w:cs="Times New Roman"/>
                <w:color w:val="auto"/>
                <w:lang w:bidi="ar"/>
              </w:rPr>
            </w:pPr>
          </w:p>
        </w:tc>
        <w:tc>
          <w:tcPr>
            <w:tcW w:w="625" w:type="pct"/>
            <w:vMerge w:val="continue"/>
            <w:shd w:val="clear" w:color="auto" w:fill="auto"/>
            <w:vAlign w:val="center"/>
          </w:tcPr>
          <w:p w14:paraId="323B5162">
            <w:pPr>
              <w:jc w:val="center"/>
              <w:rPr>
                <w:rFonts w:ascii="宋体" w:hAnsi="宋体" w:eastAsia="宋体" w:cs="Times New Roman"/>
                <w:color w:val="auto"/>
              </w:rPr>
            </w:pPr>
          </w:p>
        </w:tc>
        <w:tc>
          <w:tcPr>
            <w:tcW w:w="704" w:type="pct"/>
            <w:shd w:val="clear" w:color="auto" w:fill="auto"/>
            <w:vAlign w:val="center"/>
          </w:tcPr>
          <w:p w14:paraId="28ADEEE0">
            <w:pPr>
              <w:jc w:val="center"/>
              <w:rPr>
                <w:rFonts w:ascii="宋体" w:hAnsi="宋体" w:eastAsia="宋体" w:cs="Times New Roman"/>
                <w:color w:val="auto"/>
              </w:rPr>
            </w:pPr>
            <w:r>
              <w:rPr>
                <w:rFonts w:hint="eastAsia" w:ascii="宋体" w:hAnsi="宋体" w:eastAsia="宋体" w:cs="Times New Roman"/>
                <w:color w:val="auto"/>
              </w:rPr>
              <w:t>协力村</w:t>
            </w:r>
          </w:p>
        </w:tc>
        <w:tc>
          <w:tcPr>
            <w:tcW w:w="1644" w:type="pct"/>
            <w:shd w:val="clear" w:color="auto" w:fill="auto"/>
            <w:vAlign w:val="center"/>
          </w:tcPr>
          <w:p w14:paraId="33B1CBC9">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1639" w:type="pct"/>
            <w:shd w:val="clear" w:color="auto" w:fill="auto"/>
            <w:vAlign w:val="center"/>
          </w:tcPr>
          <w:p w14:paraId="46E3B1A4">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西南800m</w:t>
            </w:r>
          </w:p>
        </w:tc>
      </w:tr>
      <w:tr w14:paraId="44462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55ACFFAF">
            <w:pPr>
              <w:jc w:val="center"/>
              <w:rPr>
                <w:rFonts w:ascii="宋体" w:hAnsi="宋体" w:eastAsia="宋体" w:cs="Times New Roman"/>
                <w:color w:val="auto"/>
                <w:lang w:bidi="ar"/>
              </w:rPr>
            </w:pPr>
          </w:p>
        </w:tc>
        <w:tc>
          <w:tcPr>
            <w:tcW w:w="625" w:type="pct"/>
            <w:vMerge w:val="continue"/>
            <w:shd w:val="clear" w:color="auto" w:fill="auto"/>
            <w:vAlign w:val="center"/>
          </w:tcPr>
          <w:p w14:paraId="68D9B211">
            <w:pPr>
              <w:jc w:val="center"/>
              <w:rPr>
                <w:rFonts w:ascii="宋体" w:hAnsi="宋体" w:eastAsia="宋体" w:cs="Times New Roman"/>
                <w:color w:val="auto"/>
              </w:rPr>
            </w:pPr>
          </w:p>
        </w:tc>
        <w:tc>
          <w:tcPr>
            <w:tcW w:w="704" w:type="pct"/>
            <w:shd w:val="clear" w:color="auto" w:fill="auto"/>
            <w:vAlign w:val="center"/>
          </w:tcPr>
          <w:p w14:paraId="029119AF">
            <w:pPr>
              <w:jc w:val="center"/>
              <w:rPr>
                <w:rFonts w:ascii="宋体" w:hAnsi="宋体" w:eastAsia="宋体" w:cs="Times New Roman"/>
                <w:color w:val="auto"/>
              </w:rPr>
            </w:pPr>
            <w:r>
              <w:rPr>
                <w:rFonts w:hint="eastAsia" w:ascii="宋体" w:hAnsi="宋体" w:eastAsia="宋体" w:cs="Times New Roman"/>
                <w:color w:val="auto"/>
              </w:rPr>
              <w:t>友谊村</w:t>
            </w:r>
          </w:p>
        </w:tc>
        <w:tc>
          <w:tcPr>
            <w:tcW w:w="1644" w:type="pct"/>
            <w:shd w:val="clear" w:color="auto" w:fill="auto"/>
            <w:vAlign w:val="center"/>
          </w:tcPr>
          <w:p w14:paraId="13930A72">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1639" w:type="pct"/>
            <w:shd w:val="clear" w:color="auto" w:fill="auto"/>
            <w:vAlign w:val="center"/>
          </w:tcPr>
          <w:p w14:paraId="0B046FEA">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西南400m</w:t>
            </w:r>
          </w:p>
        </w:tc>
      </w:tr>
      <w:tr w14:paraId="5345F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5332FCDC">
            <w:pPr>
              <w:jc w:val="center"/>
              <w:rPr>
                <w:rFonts w:ascii="宋体" w:hAnsi="宋体" w:eastAsia="宋体" w:cs="Times New Roman"/>
                <w:color w:val="auto"/>
                <w:lang w:bidi="ar"/>
              </w:rPr>
            </w:pPr>
          </w:p>
        </w:tc>
        <w:tc>
          <w:tcPr>
            <w:tcW w:w="625" w:type="pct"/>
            <w:vMerge w:val="continue"/>
            <w:shd w:val="clear" w:color="auto" w:fill="auto"/>
            <w:vAlign w:val="center"/>
          </w:tcPr>
          <w:p w14:paraId="661B6C12">
            <w:pPr>
              <w:jc w:val="center"/>
              <w:rPr>
                <w:rFonts w:ascii="宋体" w:hAnsi="宋体" w:eastAsia="宋体" w:cs="Times New Roman"/>
                <w:color w:val="auto"/>
              </w:rPr>
            </w:pPr>
          </w:p>
        </w:tc>
        <w:tc>
          <w:tcPr>
            <w:tcW w:w="704" w:type="pct"/>
            <w:shd w:val="clear" w:color="auto" w:fill="auto"/>
            <w:vAlign w:val="center"/>
          </w:tcPr>
          <w:p w14:paraId="450DDACF">
            <w:pPr>
              <w:jc w:val="center"/>
              <w:rPr>
                <w:rFonts w:ascii="宋体" w:hAnsi="宋体" w:eastAsia="宋体" w:cs="Times New Roman"/>
                <w:color w:val="auto"/>
              </w:rPr>
            </w:pPr>
            <w:r>
              <w:rPr>
                <w:rFonts w:hint="eastAsia" w:ascii="宋体" w:hAnsi="宋体" w:eastAsia="宋体" w:cs="Times New Roman"/>
                <w:color w:val="auto"/>
              </w:rPr>
              <w:t>刘兽医屯</w:t>
            </w:r>
          </w:p>
        </w:tc>
        <w:tc>
          <w:tcPr>
            <w:tcW w:w="1644" w:type="pct"/>
            <w:shd w:val="clear" w:color="auto" w:fill="auto"/>
            <w:vAlign w:val="center"/>
          </w:tcPr>
          <w:p w14:paraId="3F902319">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1639" w:type="pct"/>
            <w:shd w:val="clear" w:color="auto" w:fill="auto"/>
            <w:vAlign w:val="center"/>
          </w:tcPr>
          <w:p w14:paraId="179F3F24">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西140m</w:t>
            </w:r>
          </w:p>
        </w:tc>
      </w:tr>
      <w:tr w14:paraId="07F44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F62E1AA">
            <w:pPr>
              <w:jc w:val="center"/>
              <w:rPr>
                <w:rFonts w:ascii="宋体" w:hAnsi="宋体" w:eastAsia="宋体" w:cs="Times New Roman"/>
                <w:color w:val="auto"/>
                <w:lang w:bidi="ar"/>
              </w:rPr>
            </w:pPr>
          </w:p>
        </w:tc>
        <w:tc>
          <w:tcPr>
            <w:tcW w:w="625" w:type="pct"/>
            <w:vMerge w:val="continue"/>
            <w:shd w:val="clear" w:color="auto" w:fill="auto"/>
            <w:vAlign w:val="center"/>
          </w:tcPr>
          <w:p w14:paraId="4F77FDCA">
            <w:pPr>
              <w:jc w:val="center"/>
              <w:rPr>
                <w:rFonts w:ascii="宋体" w:hAnsi="宋体" w:eastAsia="宋体" w:cs="Times New Roman"/>
                <w:color w:val="auto"/>
              </w:rPr>
            </w:pPr>
          </w:p>
        </w:tc>
        <w:tc>
          <w:tcPr>
            <w:tcW w:w="704" w:type="pct"/>
            <w:shd w:val="clear" w:color="auto" w:fill="auto"/>
            <w:vAlign w:val="center"/>
          </w:tcPr>
          <w:p w14:paraId="49500FB7">
            <w:pPr>
              <w:jc w:val="center"/>
              <w:rPr>
                <w:rFonts w:ascii="宋体" w:hAnsi="宋体" w:eastAsia="宋体" w:cs="Times New Roman"/>
                <w:color w:val="auto"/>
              </w:rPr>
            </w:pPr>
            <w:r>
              <w:rPr>
                <w:rFonts w:hint="eastAsia" w:ascii="宋体" w:hAnsi="宋体" w:eastAsia="宋体" w:cs="Times New Roman"/>
                <w:color w:val="auto"/>
              </w:rPr>
              <w:t>大三马架屯</w:t>
            </w:r>
          </w:p>
        </w:tc>
        <w:tc>
          <w:tcPr>
            <w:tcW w:w="1644" w:type="pct"/>
            <w:shd w:val="clear" w:color="auto" w:fill="auto"/>
            <w:vAlign w:val="center"/>
          </w:tcPr>
          <w:p w14:paraId="1F77B773">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w:t>
            </w:r>
          </w:p>
        </w:tc>
        <w:tc>
          <w:tcPr>
            <w:tcW w:w="1639" w:type="pct"/>
            <w:shd w:val="clear" w:color="auto" w:fill="auto"/>
            <w:vAlign w:val="center"/>
          </w:tcPr>
          <w:p w14:paraId="4EC573B2">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西1600m</w:t>
            </w:r>
          </w:p>
        </w:tc>
      </w:tr>
      <w:tr w14:paraId="37231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406E1522">
            <w:pPr>
              <w:jc w:val="center"/>
              <w:rPr>
                <w:rFonts w:ascii="宋体" w:hAnsi="宋体" w:eastAsia="宋体" w:cs="Times New Roman"/>
                <w:color w:val="auto"/>
                <w:lang w:bidi="ar"/>
              </w:rPr>
            </w:pPr>
          </w:p>
        </w:tc>
        <w:tc>
          <w:tcPr>
            <w:tcW w:w="625" w:type="pct"/>
            <w:vMerge w:val="continue"/>
            <w:shd w:val="clear" w:color="auto" w:fill="auto"/>
            <w:vAlign w:val="center"/>
          </w:tcPr>
          <w:p w14:paraId="5A2D906B">
            <w:pPr>
              <w:jc w:val="center"/>
              <w:rPr>
                <w:rFonts w:ascii="宋体" w:hAnsi="宋体" w:eastAsia="宋体" w:cs="Times New Roman"/>
                <w:color w:val="auto"/>
              </w:rPr>
            </w:pPr>
          </w:p>
        </w:tc>
        <w:tc>
          <w:tcPr>
            <w:tcW w:w="704" w:type="pct"/>
            <w:shd w:val="clear" w:color="auto" w:fill="auto"/>
            <w:vAlign w:val="center"/>
          </w:tcPr>
          <w:p w14:paraId="210A3543">
            <w:pPr>
              <w:jc w:val="center"/>
              <w:rPr>
                <w:rFonts w:ascii="宋体" w:hAnsi="宋体" w:eastAsia="宋体" w:cs="Times New Roman"/>
                <w:color w:val="auto"/>
              </w:rPr>
            </w:pPr>
            <w:r>
              <w:rPr>
                <w:rFonts w:hint="eastAsia" w:ascii="宋体" w:hAnsi="宋体" w:eastAsia="宋体" w:cs="Times New Roman"/>
                <w:color w:val="auto"/>
              </w:rPr>
              <w:t>黑岗子屯</w:t>
            </w:r>
          </w:p>
        </w:tc>
        <w:tc>
          <w:tcPr>
            <w:tcW w:w="1644" w:type="pct"/>
            <w:shd w:val="clear" w:color="auto" w:fill="auto"/>
            <w:vAlign w:val="center"/>
          </w:tcPr>
          <w:p w14:paraId="1FA9FD65">
            <w:pPr>
              <w:snapToGrid w:val="0"/>
              <w:jc w:val="center"/>
              <w:rPr>
                <w:rFonts w:ascii="宋体" w:hAnsi="宋体" w:eastAsia="宋体" w:cs="Times New Roman"/>
                <w:color w:val="auto"/>
              </w:rPr>
            </w:pPr>
            <w:r>
              <w:rPr>
                <w:rFonts w:ascii="宋体" w:hAnsi="宋体" w:eastAsia="宋体" w:cs="Times New Roman"/>
                <w:color w:val="auto"/>
              </w:rPr>
              <w:t>约30户，110人</w:t>
            </w:r>
          </w:p>
        </w:tc>
        <w:tc>
          <w:tcPr>
            <w:tcW w:w="1639" w:type="pct"/>
            <w:shd w:val="clear" w:color="auto" w:fill="auto"/>
            <w:vAlign w:val="center"/>
          </w:tcPr>
          <w:p w14:paraId="576ACC0E">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西北1600m</w:t>
            </w:r>
          </w:p>
        </w:tc>
      </w:tr>
      <w:tr w14:paraId="5DB84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572B89D4">
            <w:pPr>
              <w:jc w:val="center"/>
              <w:rPr>
                <w:rFonts w:ascii="宋体" w:hAnsi="宋体" w:eastAsia="宋体" w:cs="Times New Roman"/>
                <w:color w:val="auto"/>
                <w:lang w:bidi="ar"/>
              </w:rPr>
            </w:pPr>
          </w:p>
        </w:tc>
        <w:tc>
          <w:tcPr>
            <w:tcW w:w="625" w:type="pct"/>
            <w:vMerge w:val="continue"/>
            <w:shd w:val="clear" w:color="auto" w:fill="auto"/>
            <w:vAlign w:val="center"/>
          </w:tcPr>
          <w:p w14:paraId="3C537251">
            <w:pPr>
              <w:jc w:val="center"/>
              <w:rPr>
                <w:rFonts w:ascii="宋体" w:hAnsi="宋体" w:eastAsia="宋体" w:cs="Times New Roman"/>
                <w:color w:val="auto"/>
              </w:rPr>
            </w:pPr>
          </w:p>
        </w:tc>
        <w:tc>
          <w:tcPr>
            <w:tcW w:w="704" w:type="pct"/>
            <w:shd w:val="clear" w:color="auto" w:fill="auto"/>
            <w:vAlign w:val="center"/>
          </w:tcPr>
          <w:p w14:paraId="68556145">
            <w:pPr>
              <w:jc w:val="center"/>
              <w:rPr>
                <w:rFonts w:ascii="宋体" w:hAnsi="宋体" w:eastAsia="宋体" w:cs="Times New Roman"/>
                <w:color w:val="auto"/>
              </w:rPr>
            </w:pPr>
            <w:r>
              <w:rPr>
                <w:rFonts w:hint="eastAsia" w:ascii="宋体" w:hAnsi="宋体" w:eastAsia="宋体" w:cs="Times New Roman"/>
                <w:color w:val="auto"/>
              </w:rPr>
              <w:t>前永利村</w:t>
            </w:r>
          </w:p>
        </w:tc>
        <w:tc>
          <w:tcPr>
            <w:tcW w:w="1644" w:type="pct"/>
            <w:shd w:val="clear" w:color="auto" w:fill="auto"/>
            <w:vAlign w:val="center"/>
          </w:tcPr>
          <w:p w14:paraId="2E8177B9">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8</w:t>
            </w:r>
            <w:r>
              <w:rPr>
                <w:rFonts w:ascii="宋体" w:hAnsi="宋体" w:eastAsia="宋体" w:cs="Times New Roman"/>
                <w:color w:val="auto"/>
              </w:rPr>
              <w:t>0户，</w:t>
            </w:r>
            <w:r>
              <w:rPr>
                <w:rFonts w:hint="eastAsia" w:ascii="宋体" w:hAnsi="宋体" w:eastAsia="宋体" w:cs="Times New Roman"/>
                <w:color w:val="auto"/>
              </w:rPr>
              <w:t>40</w:t>
            </w:r>
            <w:r>
              <w:rPr>
                <w:rFonts w:ascii="宋体" w:hAnsi="宋体" w:eastAsia="宋体" w:cs="Times New Roman"/>
                <w:color w:val="auto"/>
              </w:rPr>
              <w:t>0人</w:t>
            </w:r>
          </w:p>
        </w:tc>
        <w:tc>
          <w:tcPr>
            <w:tcW w:w="1639" w:type="pct"/>
            <w:shd w:val="clear" w:color="auto" w:fill="auto"/>
            <w:vAlign w:val="center"/>
          </w:tcPr>
          <w:p w14:paraId="37DABE03">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西北2300m</w:t>
            </w:r>
          </w:p>
        </w:tc>
      </w:tr>
      <w:tr w14:paraId="5D310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02D6ABB3">
            <w:pPr>
              <w:jc w:val="center"/>
              <w:rPr>
                <w:rFonts w:ascii="宋体" w:hAnsi="宋体" w:eastAsia="宋体" w:cs="Times New Roman"/>
                <w:color w:val="auto"/>
                <w:lang w:bidi="ar"/>
              </w:rPr>
            </w:pPr>
          </w:p>
        </w:tc>
        <w:tc>
          <w:tcPr>
            <w:tcW w:w="625" w:type="pct"/>
            <w:vMerge w:val="continue"/>
            <w:shd w:val="clear" w:color="auto" w:fill="auto"/>
            <w:vAlign w:val="center"/>
          </w:tcPr>
          <w:p w14:paraId="00859672">
            <w:pPr>
              <w:jc w:val="center"/>
              <w:rPr>
                <w:rFonts w:ascii="宋体" w:hAnsi="宋体" w:eastAsia="宋体" w:cs="Times New Roman"/>
                <w:color w:val="auto"/>
              </w:rPr>
            </w:pPr>
          </w:p>
        </w:tc>
        <w:tc>
          <w:tcPr>
            <w:tcW w:w="704" w:type="pct"/>
            <w:shd w:val="clear" w:color="auto" w:fill="auto"/>
            <w:vAlign w:val="center"/>
          </w:tcPr>
          <w:p w14:paraId="1FE95189">
            <w:pPr>
              <w:jc w:val="center"/>
              <w:rPr>
                <w:rFonts w:ascii="宋体" w:hAnsi="宋体" w:eastAsia="宋体" w:cs="Times New Roman"/>
                <w:color w:val="auto"/>
              </w:rPr>
            </w:pPr>
            <w:r>
              <w:rPr>
                <w:rFonts w:hint="eastAsia" w:ascii="宋体" w:hAnsi="宋体" w:eastAsia="宋体" w:cs="Times New Roman"/>
                <w:color w:val="auto"/>
              </w:rPr>
              <w:t>代龙村</w:t>
            </w:r>
          </w:p>
        </w:tc>
        <w:tc>
          <w:tcPr>
            <w:tcW w:w="1644" w:type="pct"/>
            <w:shd w:val="clear" w:color="auto" w:fill="auto"/>
            <w:vAlign w:val="center"/>
          </w:tcPr>
          <w:p w14:paraId="54E9AF22">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6</w:t>
            </w:r>
            <w:r>
              <w:rPr>
                <w:rFonts w:ascii="宋体" w:hAnsi="宋体" w:eastAsia="宋体" w:cs="Times New Roman"/>
                <w:color w:val="auto"/>
              </w:rPr>
              <w:t>0户，</w:t>
            </w:r>
            <w:r>
              <w:rPr>
                <w:rFonts w:hint="eastAsia" w:ascii="宋体" w:hAnsi="宋体" w:eastAsia="宋体" w:cs="Times New Roman"/>
                <w:color w:val="auto"/>
              </w:rPr>
              <w:t>30</w:t>
            </w:r>
            <w:r>
              <w:rPr>
                <w:rFonts w:ascii="宋体" w:hAnsi="宋体" w:eastAsia="宋体" w:cs="Times New Roman"/>
                <w:color w:val="auto"/>
              </w:rPr>
              <w:t>0人</w:t>
            </w:r>
          </w:p>
        </w:tc>
        <w:tc>
          <w:tcPr>
            <w:tcW w:w="1639" w:type="pct"/>
            <w:shd w:val="clear" w:color="auto" w:fill="auto"/>
            <w:vAlign w:val="center"/>
          </w:tcPr>
          <w:p w14:paraId="23F08528">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北2600m</w:t>
            </w:r>
          </w:p>
        </w:tc>
      </w:tr>
      <w:tr w14:paraId="3D8E2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D6F8856">
            <w:pPr>
              <w:jc w:val="center"/>
              <w:rPr>
                <w:rFonts w:ascii="宋体" w:hAnsi="宋体" w:eastAsia="宋体" w:cs="Times New Roman"/>
                <w:color w:val="auto"/>
                <w:lang w:bidi="ar"/>
              </w:rPr>
            </w:pPr>
          </w:p>
        </w:tc>
        <w:tc>
          <w:tcPr>
            <w:tcW w:w="625" w:type="pct"/>
            <w:vMerge w:val="continue"/>
            <w:shd w:val="clear" w:color="auto" w:fill="auto"/>
            <w:vAlign w:val="center"/>
          </w:tcPr>
          <w:p w14:paraId="7ACE2A66">
            <w:pPr>
              <w:jc w:val="center"/>
              <w:rPr>
                <w:rFonts w:ascii="宋体" w:hAnsi="宋体" w:eastAsia="宋体" w:cs="Times New Roman"/>
                <w:color w:val="auto"/>
              </w:rPr>
            </w:pPr>
          </w:p>
        </w:tc>
        <w:tc>
          <w:tcPr>
            <w:tcW w:w="704" w:type="pct"/>
            <w:shd w:val="clear" w:color="auto" w:fill="auto"/>
            <w:vAlign w:val="center"/>
          </w:tcPr>
          <w:p w14:paraId="523D7F1E">
            <w:pPr>
              <w:jc w:val="center"/>
              <w:rPr>
                <w:rFonts w:ascii="宋体" w:hAnsi="宋体" w:eastAsia="宋体" w:cs="Times New Roman"/>
                <w:color w:val="auto"/>
              </w:rPr>
            </w:pPr>
            <w:r>
              <w:rPr>
                <w:rFonts w:hint="eastAsia" w:ascii="宋体" w:hAnsi="宋体" w:eastAsia="宋体" w:cs="Times New Roman"/>
                <w:color w:val="auto"/>
              </w:rPr>
              <w:t>刘喜屯</w:t>
            </w:r>
          </w:p>
        </w:tc>
        <w:tc>
          <w:tcPr>
            <w:tcW w:w="1644" w:type="pct"/>
            <w:shd w:val="clear" w:color="auto" w:fill="auto"/>
            <w:vAlign w:val="center"/>
          </w:tcPr>
          <w:p w14:paraId="1C4289AD">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20</w:t>
            </w:r>
            <w:r>
              <w:rPr>
                <w:rFonts w:ascii="宋体" w:hAnsi="宋体" w:eastAsia="宋体" w:cs="Times New Roman"/>
                <w:color w:val="auto"/>
              </w:rPr>
              <w:t>户，</w:t>
            </w:r>
            <w:r>
              <w:rPr>
                <w:rFonts w:hint="eastAsia" w:ascii="宋体" w:hAnsi="宋体" w:eastAsia="宋体" w:cs="Times New Roman"/>
                <w:color w:val="auto"/>
              </w:rPr>
              <w:t>10</w:t>
            </w:r>
            <w:r>
              <w:rPr>
                <w:rFonts w:ascii="宋体" w:hAnsi="宋体" w:eastAsia="宋体" w:cs="Times New Roman"/>
                <w:color w:val="auto"/>
              </w:rPr>
              <w:t>0人</w:t>
            </w:r>
          </w:p>
        </w:tc>
        <w:tc>
          <w:tcPr>
            <w:tcW w:w="1639" w:type="pct"/>
            <w:shd w:val="clear" w:color="auto" w:fill="auto"/>
            <w:vAlign w:val="center"/>
          </w:tcPr>
          <w:p w14:paraId="3FA87B47">
            <w:pPr>
              <w:pStyle w:val="202"/>
              <w:spacing w:before="156" w:after="62" w:line="240" w:lineRule="auto"/>
              <w:rPr>
                <w:rFonts w:ascii="宋体" w:hAnsi="宋体" w:eastAsia="宋体"/>
                <w:b w:val="0"/>
                <w:smallCaps/>
                <w:color w:val="auto"/>
                <w:sz w:val="21"/>
                <w:szCs w:val="21"/>
              </w:rPr>
            </w:pPr>
            <w:r>
              <w:rPr>
                <w:rFonts w:ascii="宋体" w:hAnsi="宋体" w:eastAsia="宋体"/>
                <w:b w:val="0"/>
                <w:color w:val="auto"/>
                <w:sz w:val="21"/>
                <w:szCs w:val="21"/>
              </w:rPr>
              <w:t>源1011</w:t>
            </w:r>
            <w:r>
              <w:rPr>
                <w:rFonts w:hint="eastAsia" w:ascii="宋体" w:hAnsi="宋体" w:eastAsia="宋体"/>
                <w:b w:val="0"/>
                <w:color w:val="auto"/>
                <w:sz w:val="21"/>
                <w:szCs w:val="21"/>
              </w:rPr>
              <w:t>北2400m</w:t>
            </w:r>
          </w:p>
        </w:tc>
      </w:tr>
      <w:tr w14:paraId="67760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125E9402">
            <w:pPr>
              <w:jc w:val="center"/>
              <w:rPr>
                <w:rFonts w:ascii="宋体" w:hAnsi="宋体" w:eastAsia="宋体" w:cs="Times New Roman"/>
                <w:color w:val="auto"/>
                <w:lang w:bidi="ar"/>
              </w:rPr>
            </w:pPr>
          </w:p>
        </w:tc>
        <w:tc>
          <w:tcPr>
            <w:tcW w:w="625" w:type="pct"/>
            <w:vMerge w:val="restart"/>
            <w:shd w:val="clear" w:color="auto" w:fill="auto"/>
            <w:vAlign w:val="center"/>
          </w:tcPr>
          <w:p w14:paraId="5160D9A2">
            <w:pPr>
              <w:snapToGrid w:val="0"/>
              <w:jc w:val="center"/>
              <w:rPr>
                <w:rFonts w:ascii="宋体" w:hAnsi="宋体" w:eastAsia="宋体" w:cs="Times New Roman"/>
                <w:color w:val="auto"/>
              </w:rPr>
            </w:pPr>
            <w:r>
              <w:rPr>
                <w:rFonts w:ascii="宋体" w:hAnsi="宋体" w:eastAsia="宋体" w:cs="Times New Roman"/>
                <w:color w:val="auto"/>
              </w:rPr>
              <w:t>地表水</w:t>
            </w:r>
          </w:p>
        </w:tc>
        <w:tc>
          <w:tcPr>
            <w:tcW w:w="704" w:type="pct"/>
            <w:shd w:val="clear" w:color="auto" w:fill="auto"/>
            <w:vAlign w:val="center"/>
          </w:tcPr>
          <w:p w14:paraId="0B89EB94">
            <w:pPr>
              <w:snapToGrid w:val="0"/>
              <w:jc w:val="center"/>
              <w:rPr>
                <w:rFonts w:ascii="宋体" w:hAnsi="宋体" w:eastAsia="宋体" w:cs="Times New Roman"/>
                <w:color w:val="auto"/>
              </w:rPr>
            </w:pPr>
            <w:r>
              <w:rPr>
                <w:rFonts w:hint="eastAsia" w:ascii="宋体" w:hAnsi="宋体" w:eastAsia="宋体" w:cs="Times New Roman"/>
                <w:color w:val="auto"/>
              </w:rPr>
              <w:t>中心东四支渠</w:t>
            </w:r>
          </w:p>
        </w:tc>
        <w:tc>
          <w:tcPr>
            <w:tcW w:w="1644" w:type="pct"/>
            <w:shd w:val="clear" w:color="auto" w:fill="auto"/>
            <w:vAlign w:val="center"/>
          </w:tcPr>
          <w:p w14:paraId="451F4A6E">
            <w:pPr>
              <w:snapToGrid w:val="0"/>
              <w:jc w:val="center"/>
              <w:rPr>
                <w:rFonts w:ascii="宋体" w:hAnsi="宋体" w:eastAsia="宋体" w:cs="Times New Roman"/>
                <w:color w:val="auto"/>
              </w:rPr>
            </w:pPr>
            <w:r>
              <w:rPr>
                <w:rFonts w:ascii="宋体" w:hAnsi="宋体" w:eastAsia="宋体" w:cs="Times New Roman"/>
                <w:color w:val="auto"/>
              </w:rPr>
              <w:t>排涝渠</w:t>
            </w:r>
          </w:p>
        </w:tc>
        <w:tc>
          <w:tcPr>
            <w:tcW w:w="1639" w:type="pct"/>
            <w:shd w:val="clear" w:color="auto" w:fill="auto"/>
            <w:vAlign w:val="center"/>
          </w:tcPr>
          <w:p w14:paraId="5C774A9B">
            <w:pPr>
              <w:snapToGrid w:val="0"/>
              <w:jc w:val="center"/>
              <w:rPr>
                <w:rFonts w:ascii="宋体" w:hAnsi="宋体" w:eastAsia="宋体" w:cs="Times New Roman"/>
                <w:color w:val="auto"/>
              </w:rPr>
            </w:pPr>
            <w:r>
              <w:rPr>
                <w:rFonts w:hint="eastAsia" w:ascii="宋体" w:hAnsi="宋体" w:eastAsia="宋体" w:cs="Times New Roman"/>
                <w:color w:val="auto"/>
              </w:rPr>
              <w:t>源斜2401东侧200m</w:t>
            </w:r>
          </w:p>
        </w:tc>
      </w:tr>
      <w:tr w14:paraId="0DCE8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359E8863">
            <w:pPr>
              <w:jc w:val="center"/>
              <w:rPr>
                <w:rFonts w:ascii="宋体" w:hAnsi="宋体" w:eastAsia="宋体" w:cs="Times New Roman"/>
                <w:color w:val="auto"/>
                <w:lang w:bidi="ar"/>
              </w:rPr>
            </w:pPr>
          </w:p>
        </w:tc>
        <w:tc>
          <w:tcPr>
            <w:tcW w:w="625" w:type="pct"/>
            <w:vMerge w:val="continue"/>
            <w:shd w:val="clear" w:color="auto" w:fill="auto"/>
            <w:vAlign w:val="center"/>
          </w:tcPr>
          <w:p w14:paraId="1DE31D80">
            <w:pPr>
              <w:snapToGrid w:val="0"/>
              <w:jc w:val="center"/>
              <w:rPr>
                <w:rFonts w:ascii="宋体" w:hAnsi="宋体" w:eastAsia="宋体" w:cs="Times New Roman"/>
                <w:color w:val="auto"/>
              </w:rPr>
            </w:pPr>
          </w:p>
        </w:tc>
        <w:tc>
          <w:tcPr>
            <w:tcW w:w="704" w:type="pct"/>
            <w:shd w:val="clear" w:color="auto" w:fill="auto"/>
            <w:vAlign w:val="center"/>
          </w:tcPr>
          <w:p w14:paraId="2CEF81AE">
            <w:pPr>
              <w:snapToGrid w:val="0"/>
              <w:jc w:val="center"/>
              <w:rPr>
                <w:rFonts w:ascii="宋体" w:hAnsi="宋体" w:eastAsia="宋体" w:cs="Times New Roman"/>
                <w:color w:val="auto"/>
              </w:rPr>
            </w:pPr>
            <w:r>
              <w:rPr>
                <w:rFonts w:hint="eastAsia" w:ascii="宋体" w:hAnsi="宋体" w:eastAsia="宋体" w:cs="Times New Roman"/>
                <w:color w:val="auto"/>
              </w:rPr>
              <w:t>中心西干渠</w:t>
            </w:r>
          </w:p>
        </w:tc>
        <w:tc>
          <w:tcPr>
            <w:tcW w:w="1644" w:type="pct"/>
            <w:shd w:val="clear" w:color="auto" w:fill="auto"/>
            <w:vAlign w:val="center"/>
          </w:tcPr>
          <w:p w14:paraId="7B4EC34E">
            <w:pPr>
              <w:snapToGrid w:val="0"/>
              <w:jc w:val="center"/>
              <w:rPr>
                <w:rFonts w:ascii="宋体" w:hAnsi="宋体" w:eastAsia="宋体" w:cs="Times New Roman"/>
                <w:color w:val="auto"/>
              </w:rPr>
            </w:pPr>
            <w:r>
              <w:rPr>
                <w:rFonts w:ascii="宋体" w:hAnsi="宋体" w:eastAsia="宋体" w:cs="Times New Roman"/>
                <w:color w:val="auto"/>
              </w:rPr>
              <w:t>排涝渠</w:t>
            </w:r>
          </w:p>
        </w:tc>
        <w:tc>
          <w:tcPr>
            <w:tcW w:w="1639" w:type="pct"/>
            <w:shd w:val="clear" w:color="auto" w:fill="auto"/>
            <w:vAlign w:val="center"/>
          </w:tcPr>
          <w:p w14:paraId="17A77209">
            <w:pPr>
              <w:snapToGrid w:val="0"/>
              <w:jc w:val="center"/>
              <w:rPr>
                <w:rFonts w:ascii="宋体" w:hAnsi="宋体" w:eastAsia="宋体" w:cs="Times New Roman"/>
                <w:color w:val="auto"/>
              </w:rPr>
            </w:pPr>
            <w:r>
              <w:rPr>
                <w:rFonts w:hint="eastAsia" w:ascii="宋体" w:hAnsi="宋体" w:eastAsia="宋体" w:cs="Times New Roman"/>
                <w:color w:val="auto"/>
              </w:rPr>
              <w:t>源斜2401井场东</w:t>
            </w:r>
            <w:r>
              <w:rPr>
                <w:rFonts w:ascii="宋体" w:hAnsi="宋体" w:eastAsia="宋体" w:cs="Times New Roman"/>
                <w:color w:val="auto"/>
              </w:rPr>
              <w:t>侧</w:t>
            </w:r>
            <w:r>
              <w:rPr>
                <w:rFonts w:hint="eastAsia" w:ascii="宋体" w:hAnsi="宋体" w:eastAsia="宋体" w:cs="Times New Roman"/>
                <w:color w:val="auto"/>
              </w:rPr>
              <w:t>200m</w:t>
            </w:r>
          </w:p>
        </w:tc>
      </w:tr>
      <w:tr w14:paraId="35EF0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4874239B">
            <w:pPr>
              <w:jc w:val="center"/>
              <w:rPr>
                <w:rFonts w:ascii="宋体" w:hAnsi="宋体" w:eastAsia="宋体" w:cs="Times New Roman"/>
                <w:color w:val="auto"/>
                <w:lang w:bidi="ar"/>
              </w:rPr>
            </w:pPr>
          </w:p>
        </w:tc>
        <w:tc>
          <w:tcPr>
            <w:tcW w:w="625" w:type="pct"/>
            <w:vMerge w:val="continue"/>
            <w:shd w:val="clear" w:color="auto" w:fill="auto"/>
            <w:vAlign w:val="center"/>
          </w:tcPr>
          <w:p w14:paraId="2A86C71A">
            <w:pPr>
              <w:snapToGrid w:val="0"/>
              <w:jc w:val="center"/>
              <w:rPr>
                <w:rFonts w:ascii="宋体" w:hAnsi="宋体" w:eastAsia="宋体" w:cs="Times New Roman"/>
                <w:color w:val="auto"/>
              </w:rPr>
            </w:pPr>
          </w:p>
        </w:tc>
        <w:tc>
          <w:tcPr>
            <w:tcW w:w="704" w:type="pct"/>
            <w:shd w:val="clear" w:color="auto" w:fill="auto"/>
            <w:vAlign w:val="center"/>
          </w:tcPr>
          <w:p w14:paraId="0F910977">
            <w:pPr>
              <w:snapToGrid w:val="0"/>
              <w:jc w:val="center"/>
              <w:rPr>
                <w:rFonts w:ascii="宋体" w:hAnsi="宋体" w:eastAsia="宋体" w:cs="Times New Roman"/>
                <w:color w:val="auto"/>
              </w:rPr>
            </w:pPr>
            <w:r>
              <w:rPr>
                <w:rFonts w:hint="eastAsia" w:ascii="宋体" w:hAnsi="宋体" w:eastAsia="宋体" w:cs="Times New Roman"/>
                <w:color w:val="auto"/>
              </w:rPr>
              <w:t>西大海</w:t>
            </w:r>
          </w:p>
        </w:tc>
        <w:tc>
          <w:tcPr>
            <w:tcW w:w="1644" w:type="pct"/>
            <w:shd w:val="clear" w:color="auto" w:fill="auto"/>
            <w:vAlign w:val="center"/>
          </w:tcPr>
          <w:p w14:paraId="4A24C59D">
            <w:pPr>
              <w:snapToGrid w:val="0"/>
              <w:jc w:val="center"/>
              <w:rPr>
                <w:rFonts w:ascii="宋体" w:hAnsi="宋体" w:eastAsia="宋体" w:cs="Times New Roman"/>
                <w:color w:val="auto"/>
              </w:rPr>
            </w:pPr>
            <w:r>
              <w:rPr>
                <w:rFonts w:ascii="宋体" w:hAnsi="宋体" w:eastAsia="宋体" w:cs="Times New Roman"/>
                <w:color w:val="auto"/>
              </w:rPr>
              <w:t>微咸水湖，面积约为23.13</w:t>
            </w:r>
            <w:r>
              <w:rPr>
                <w:rFonts w:hint="eastAsia" w:ascii="宋体" w:hAnsi="宋体" w:eastAsia="宋体" w:cs="Times New Roman"/>
                <w:color w:val="auto"/>
              </w:rPr>
              <w:t>km</w:t>
            </w:r>
            <w:r>
              <w:rPr>
                <w:rFonts w:hint="eastAsia" w:ascii="宋体" w:hAnsi="宋体" w:eastAsia="宋体" w:cs="Times New Roman"/>
                <w:color w:val="auto"/>
                <w:vertAlign w:val="superscript"/>
              </w:rPr>
              <w:t>2</w:t>
            </w:r>
          </w:p>
        </w:tc>
        <w:tc>
          <w:tcPr>
            <w:tcW w:w="1639" w:type="pct"/>
            <w:shd w:val="clear" w:color="auto" w:fill="auto"/>
            <w:vAlign w:val="center"/>
          </w:tcPr>
          <w:p w14:paraId="7FBDF864">
            <w:pPr>
              <w:snapToGrid w:val="0"/>
              <w:jc w:val="center"/>
              <w:rPr>
                <w:rFonts w:ascii="宋体" w:hAnsi="宋体" w:eastAsia="宋体" w:cs="Times New Roman"/>
                <w:color w:val="auto"/>
              </w:rPr>
            </w:pPr>
            <w:r>
              <w:rPr>
                <w:rFonts w:ascii="宋体" w:hAnsi="宋体" w:eastAsia="宋体" w:cs="Times New Roman"/>
                <w:color w:val="auto"/>
              </w:rPr>
              <w:t>源1011</w:t>
            </w:r>
            <w:r>
              <w:rPr>
                <w:rFonts w:hint="eastAsia" w:ascii="宋体" w:hAnsi="宋体" w:eastAsia="宋体" w:cs="Times New Roman"/>
                <w:color w:val="auto"/>
              </w:rPr>
              <w:t>北侧250m</w:t>
            </w:r>
          </w:p>
        </w:tc>
      </w:tr>
      <w:tr w14:paraId="7DF3C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388" w:type="pct"/>
            <w:vMerge w:val="continue"/>
            <w:shd w:val="clear" w:color="auto" w:fill="auto"/>
            <w:vAlign w:val="center"/>
          </w:tcPr>
          <w:p w14:paraId="2D97D250">
            <w:pPr>
              <w:jc w:val="center"/>
              <w:rPr>
                <w:rFonts w:ascii="宋体" w:hAnsi="宋体" w:eastAsia="宋体" w:cs="Times New Roman"/>
                <w:color w:val="auto"/>
                <w:lang w:bidi="ar"/>
              </w:rPr>
            </w:pPr>
          </w:p>
        </w:tc>
        <w:tc>
          <w:tcPr>
            <w:tcW w:w="625" w:type="pct"/>
            <w:shd w:val="clear" w:color="auto" w:fill="auto"/>
            <w:vAlign w:val="center"/>
          </w:tcPr>
          <w:p w14:paraId="346C167D">
            <w:pPr>
              <w:snapToGrid w:val="0"/>
              <w:jc w:val="center"/>
              <w:rPr>
                <w:rFonts w:ascii="宋体" w:hAnsi="宋体" w:eastAsia="宋体" w:cs="Times New Roman"/>
                <w:color w:val="auto"/>
              </w:rPr>
            </w:pPr>
            <w:r>
              <w:rPr>
                <w:rFonts w:ascii="宋体" w:hAnsi="宋体" w:eastAsia="宋体" w:cs="Times New Roman"/>
                <w:color w:val="auto"/>
              </w:rPr>
              <w:t>地下水</w:t>
            </w:r>
          </w:p>
        </w:tc>
        <w:tc>
          <w:tcPr>
            <w:tcW w:w="2347" w:type="pct"/>
            <w:gridSpan w:val="2"/>
            <w:shd w:val="clear" w:color="auto" w:fill="auto"/>
            <w:vAlign w:val="center"/>
          </w:tcPr>
          <w:p w14:paraId="31A78191">
            <w:pPr>
              <w:snapToGrid w:val="0"/>
              <w:jc w:val="center"/>
              <w:rPr>
                <w:rFonts w:ascii="宋体" w:hAnsi="宋体" w:eastAsia="宋体" w:cs="Times New Roman"/>
                <w:color w:val="auto"/>
              </w:rPr>
            </w:pPr>
            <w:r>
              <w:rPr>
                <w:rFonts w:ascii="宋体" w:hAnsi="宋体" w:eastAsia="宋体" w:cs="Times New Roman"/>
                <w:color w:val="auto"/>
              </w:rPr>
              <w:t>评价范围内潜水含水层、具有饮用价值的承压水含水层</w:t>
            </w:r>
          </w:p>
        </w:tc>
        <w:tc>
          <w:tcPr>
            <w:tcW w:w="1639" w:type="pct"/>
            <w:shd w:val="clear" w:color="auto" w:fill="auto"/>
            <w:vAlign w:val="center"/>
          </w:tcPr>
          <w:p w14:paraId="02226E72">
            <w:pPr>
              <w:snapToGrid w:val="0"/>
              <w:jc w:val="center"/>
              <w:rPr>
                <w:rFonts w:ascii="宋体" w:hAnsi="宋体" w:eastAsia="宋体" w:cs="Times New Roman"/>
                <w:color w:val="auto"/>
              </w:rPr>
            </w:pPr>
            <w:r>
              <w:rPr>
                <w:rFonts w:ascii="宋体" w:hAnsi="宋体" w:eastAsia="宋体" w:cs="Times New Roman"/>
                <w:color w:val="auto"/>
              </w:rPr>
              <w:t>《地下水质量标准》（GB/T14848-2017）Ⅲ类标准</w:t>
            </w:r>
          </w:p>
        </w:tc>
      </w:tr>
    </w:tbl>
    <w:p w14:paraId="0CE32C01">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r>
        <w:rPr>
          <w:rFonts w:hAnsi="宋体" w:cs="Times New Roman"/>
          <w:color w:val="auto"/>
        </w:rPr>
        <w:t xml:space="preserve">  </w:t>
      </w:r>
      <w:r>
        <w:rPr>
          <w:color w:val="auto"/>
        </w:rPr>
        <w:t>声环境保护目标调查表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509"/>
        <w:gridCol w:w="814"/>
        <w:gridCol w:w="645"/>
        <w:gridCol w:w="656"/>
        <w:gridCol w:w="429"/>
        <w:gridCol w:w="943"/>
        <w:gridCol w:w="1226"/>
        <w:gridCol w:w="1733"/>
        <w:gridCol w:w="2229"/>
      </w:tblGrid>
      <w:tr w14:paraId="4718D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280" w:type="pct"/>
            <w:vMerge w:val="restart"/>
            <w:shd w:val="clear" w:color="auto" w:fill="auto"/>
            <w:vAlign w:val="center"/>
          </w:tcPr>
          <w:p w14:paraId="021BD1F2">
            <w:pPr>
              <w:snapToGrid w:val="0"/>
              <w:jc w:val="center"/>
              <w:rPr>
                <w:rFonts w:ascii="宋体" w:hAnsi="宋体" w:eastAsia="宋体" w:cs="Times New Roman"/>
                <w:color w:val="auto"/>
              </w:rPr>
            </w:pPr>
            <w:r>
              <w:rPr>
                <w:rFonts w:ascii="宋体" w:hAnsi="宋体" w:eastAsia="宋体" w:cs="Times New Roman"/>
                <w:color w:val="auto"/>
              </w:rPr>
              <w:t>序号</w:t>
            </w:r>
          </w:p>
        </w:tc>
        <w:tc>
          <w:tcPr>
            <w:tcW w:w="446" w:type="pct"/>
            <w:vMerge w:val="restart"/>
            <w:shd w:val="clear" w:color="auto" w:fill="auto"/>
            <w:vAlign w:val="center"/>
          </w:tcPr>
          <w:p w14:paraId="0051F182">
            <w:pPr>
              <w:snapToGrid w:val="0"/>
              <w:jc w:val="center"/>
              <w:rPr>
                <w:rFonts w:ascii="宋体" w:hAnsi="宋体" w:eastAsia="宋体" w:cs="Times New Roman"/>
                <w:color w:val="auto"/>
              </w:rPr>
            </w:pPr>
            <w:r>
              <w:rPr>
                <w:rFonts w:ascii="宋体" w:hAnsi="宋体" w:eastAsia="宋体" w:cs="Times New Roman"/>
                <w:color w:val="auto"/>
              </w:rPr>
              <w:t>声环境保护目标名称</w:t>
            </w:r>
          </w:p>
        </w:tc>
        <w:tc>
          <w:tcPr>
            <w:tcW w:w="925" w:type="pct"/>
            <w:gridSpan w:val="3"/>
            <w:shd w:val="clear" w:color="auto" w:fill="auto"/>
            <w:vAlign w:val="center"/>
          </w:tcPr>
          <w:p w14:paraId="62AAAB5E">
            <w:pPr>
              <w:snapToGrid w:val="0"/>
              <w:jc w:val="center"/>
              <w:rPr>
                <w:rFonts w:ascii="宋体" w:hAnsi="宋体" w:eastAsia="宋体" w:cs="Times New Roman"/>
                <w:color w:val="auto"/>
              </w:rPr>
            </w:pPr>
            <w:r>
              <w:rPr>
                <w:rFonts w:ascii="宋体" w:hAnsi="宋体" w:eastAsia="宋体" w:cs="Times New Roman"/>
                <w:color w:val="auto"/>
              </w:rPr>
              <w:t>空间相对位置/m</w:t>
            </w:r>
          </w:p>
        </w:tc>
        <w:tc>
          <w:tcPr>
            <w:tcW w:w="516" w:type="pct"/>
            <w:vMerge w:val="restart"/>
            <w:shd w:val="clear" w:color="auto" w:fill="auto"/>
            <w:vAlign w:val="center"/>
          </w:tcPr>
          <w:p w14:paraId="487D2D41">
            <w:pPr>
              <w:snapToGrid w:val="0"/>
              <w:jc w:val="center"/>
              <w:rPr>
                <w:rFonts w:ascii="宋体" w:hAnsi="宋体" w:eastAsia="宋体" w:cs="Times New Roman"/>
                <w:color w:val="auto"/>
              </w:rPr>
            </w:pPr>
            <w:r>
              <w:rPr>
                <w:rFonts w:ascii="宋体" w:hAnsi="宋体" w:eastAsia="宋体" w:cs="Times New Roman"/>
                <w:color w:val="auto"/>
              </w:rPr>
              <w:t>距厂界最近距离/m</w:t>
            </w:r>
          </w:p>
        </w:tc>
        <w:tc>
          <w:tcPr>
            <w:tcW w:w="670" w:type="pct"/>
            <w:vMerge w:val="restart"/>
            <w:shd w:val="clear" w:color="auto" w:fill="auto"/>
            <w:vAlign w:val="center"/>
          </w:tcPr>
          <w:p w14:paraId="053DE6B7">
            <w:pPr>
              <w:snapToGrid w:val="0"/>
              <w:jc w:val="center"/>
              <w:rPr>
                <w:rFonts w:ascii="宋体" w:hAnsi="宋体" w:eastAsia="宋体" w:cs="Times New Roman"/>
                <w:color w:val="auto"/>
              </w:rPr>
            </w:pPr>
            <w:r>
              <w:rPr>
                <w:rFonts w:ascii="宋体" w:hAnsi="宋体" w:eastAsia="宋体" w:cs="Times New Roman"/>
                <w:color w:val="auto"/>
              </w:rPr>
              <w:t>方位</w:t>
            </w:r>
          </w:p>
        </w:tc>
        <w:tc>
          <w:tcPr>
            <w:tcW w:w="946" w:type="pct"/>
            <w:vMerge w:val="restart"/>
            <w:shd w:val="clear" w:color="auto" w:fill="auto"/>
            <w:vAlign w:val="center"/>
          </w:tcPr>
          <w:p w14:paraId="32C8B4A0">
            <w:pPr>
              <w:snapToGrid w:val="0"/>
              <w:jc w:val="center"/>
              <w:rPr>
                <w:rFonts w:ascii="宋体" w:hAnsi="宋体" w:eastAsia="宋体" w:cs="Times New Roman"/>
                <w:color w:val="auto"/>
              </w:rPr>
            </w:pPr>
            <w:r>
              <w:rPr>
                <w:rFonts w:ascii="宋体" w:hAnsi="宋体" w:eastAsia="宋体" w:cs="Times New Roman"/>
                <w:color w:val="auto"/>
              </w:rPr>
              <w:t>执行标准/功能区类别</w:t>
            </w:r>
          </w:p>
        </w:tc>
        <w:tc>
          <w:tcPr>
            <w:tcW w:w="1217" w:type="pct"/>
            <w:vMerge w:val="restart"/>
            <w:shd w:val="clear" w:color="auto" w:fill="auto"/>
            <w:vAlign w:val="center"/>
          </w:tcPr>
          <w:p w14:paraId="58C6362A">
            <w:pPr>
              <w:snapToGrid w:val="0"/>
              <w:jc w:val="center"/>
              <w:rPr>
                <w:rFonts w:ascii="宋体" w:hAnsi="宋体" w:eastAsia="宋体" w:cs="Times New Roman"/>
                <w:color w:val="auto"/>
              </w:rPr>
            </w:pPr>
            <w:r>
              <w:rPr>
                <w:rFonts w:ascii="宋体" w:hAnsi="宋体" w:eastAsia="宋体" w:cs="Times New Roman"/>
                <w:color w:val="auto"/>
              </w:rPr>
              <w:t>声环境保护目标情况说明</w:t>
            </w:r>
          </w:p>
        </w:tc>
      </w:tr>
      <w:tr w14:paraId="45C12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280" w:type="pct"/>
            <w:vMerge w:val="continue"/>
            <w:shd w:val="clear" w:color="auto" w:fill="auto"/>
            <w:vAlign w:val="center"/>
          </w:tcPr>
          <w:p w14:paraId="1E76EB6F">
            <w:pPr>
              <w:snapToGrid w:val="0"/>
              <w:jc w:val="center"/>
              <w:rPr>
                <w:rFonts w:ascii="宋体" w:hAnsi="宋体" w:eastAsia="宋体" w:cs="Times New Roman"/>
                <w:color w:val="auto"/>
              </w:rPr>
            </w:pPr>
          </w:p>
        </w:tc>
        <w:tc>
          <w:tcPr>
            <w:tcW w:w="446" w:type="pct"/>
            <w:vMerge w:val="continue"/>
            <w:shd w:val="clear" w:color="auto" w:fill="auto"/>
            <w:vAlign w:val="center"/>
          </w:tcPr>
          <w:p w14:paraId="5332C68F">
            <w:pPr>
              <w:snapToGrid w:val="0"/>
              <w:jc w:val="center"/>
              <w:rPr>
                <w:rFonts w:ascii="宋体" w:hAnsi="宋体" w:eastAsia="宋体" w:cs="Times New Roman"/>
                <w:color w:val="auto"/>
              </w:rPr>
            </w:pPr>
          </w:p>
        </w:tc>
        <w:tc>
          <w:tcPr>
            <w:tcW w:w="354" w:type="pct"/>
            <w:shd w:val="clear" w:color="auto" w:fill="auto"/>
            <w:vAlign w:val="center"/>
          </w:tcPr>
          <w:p w14:paraId="5DF82F7E">
            <w:pPr>
              <w:snapToGrid w:val="0"/>
              <w:jc w:val="center"/>
              <w:rPr>
                <w:rFonts w:ascii="宋体" w:hAnsi="宋体" w:eastAsia="宋体" w:cs="Times New Roman"/>
                <w:color w:val="auto"/>
              </w:rPr>
            </w:pPr>
            <w:r>
              <w:rPr>
                <w:rFonts w:ascii="宋体" w:hAnsi="宋体" w:eastAsia="宋体" w:cs="Times New Roman"/>
                <w:color w:val="auto"/>
              </w:rPr>
              <w:t>X</w:t>
            </w:r>
          </w:p>
        </w:tc>
        <w:tc>
          <w:tcPr>
            <w:tcW w:w="360" w:type="pct"/>
            <w:shd w:val="clear" w:color="auto" w:fill="auto"/>
            <w:vAlign w:val="center"/>
          </w:tcPr>
          <w:p w14:paraId="1542E2EC">
            <w:pPr>
              <w:snapToGrid w:val="0"/>
              <w:jc w:val="center"/>
              <w:rPr>
                <w:rFonts w:ascii="宋体" w:hAnsi="宋体" w:eastAsia="宋体" w:cs="Times New Roman"/>
                <w:color w:val="auto"/>
              </w:rPr>
            </w:pPr>
            <w:r>
              <w:rPr>
                <w:rFonts w:ascii="宋体" w:hAnsi="宋体" w:eastAsia="宋体" w:cs="Times New Roman"/>
                <w:color w:val="auto"/>
              </w:rPr>
              <w:t>Y</w:t>
            </w:r>
          </w:p>
        </w:tc>
        <w:tc>
          <w:tcPr>
            <w:tcW w:w="212" w:type="pct"/>
            <w:shd w:val="clear" w:color="auto" w:fill="auto"/>
            <w:vAlign w:val="center"/>
          </w:tcPr>
          <w:p w14:paraId="42082BA9">
            <w:pPr>
              <w:snapToGrid w:val="0"/>
              <w:jc w:val="center"/>
              <w:rPr>
                <w:rFonts w:ascii="宋体" w:hAnsi="宋体" w:eastAsia="宋体" w:cs="Times New Roman"/>
                <w:color w:val="auto"/>
              </w:rPr>
            </w:pPr>
            <w:r>
              <w:rPr>
                <w:rFonts w:ascii="宋体" w:hAnsi="宋体" w:eastAsia="宋体" w:cs="Times New Roman"/>
                <w:color w:val="auto"/>
              </w:rPr>
              <w:t>Z</w:t>
            </w:r>
          </w:p>
        </w:tc>
        <w:tc>
          <w:tcPr>
            <w:tcW w:w="516" w:type="pct"/>
            <w:vMerge w:val="continue"/>
            <w:shd w:val="clear" w:color="auto" w:fill="auto"/>
            <w:vAlign w:val="center"/>
          </w:tcPr>
          <w:p w14:paraId="4E7FC783">
            <w:pPr>
              <w:snapToGrid w:val="0"/>
              <w:jc w:val="center"/>
              <w:rPr>
                <w:rFonts w:ascii="宋体" w:hAnsi="宋体" w:eastAsia="宋体" w:cs="Times New Roman"/>
                <w:color w:val="auto"/>
              </w:rPr>
            </w:pPr>
          </w:p>
        </w:tc>
        <w:tc>
          <w:tcPr>
            <w:tcW w:w="670" w:type="pct"/>
            <w:vMerge w:val="continue"/>
            <w:shd w:val="clear" w:color="auto" w:fill="auto"/>
            <w:vAlign w:val="center"/>
          </w:tcPr>
          <w:p w14:paraId="1715D39E">
            <w:pPr>
              <w:snapToGrid w:val="0"/>
              <w:jc w:val="center"/>
              <w:rPr>
                <w:rFonts w:ascii="宋体" w:hAnsi="宋体" w:eastAsia="宋体" w:cs="Times New Roman"/>
                <w:color w:val="auto"/>
              </w:rPr>
            </w:pPr>
          </w:p>
        </w:tc>
        <w:tc>
          <w:tcPr>
            <w:tcW w:w="946" w:type="pct"/>
            <w:vMerge w:val="continue"/>
            <w:shd w:val="clear" w:color="auto" w:fill="auto"/>
            <w:vAlign w:val="center"/>
          </w:tcPr>
          <w:p w14:paraId="3B6424DF">
            <w:pPr>
              <w:snapToGrid w:val="0"/>
              <w:jc w:val="center"/>
              <w:rPr>
                <w:rFonts w:ascii="宋体" w:hAnsi="宋体" w:eastAsia="宋体" w:cs="Times New Roman"/>
                <w:color w:val="auto"/>
              </w:rPr>
            </w:pPr>
          </w:p>
        </w:tc>
        <w:tc>
          <w:tcPr>
            <w:tcW w:w="1217" w:type="pct"/>
            <w:vMerge w:val="continue"/>
            <w:shd w:val="clear" w:color="auto" w:fill="auto"/>
            <w:vAlign w:val="center"/>
          </w:tcPr>
          <w:p w14:paraId="0BE75C00">
            <w:pPr>
              <w:snapToGrid w:val="0"/>
              <w:jc w:val="center"/>
              <w:rPr>
                <w:rFonts w:ascii="宋体" w:hAnsi="宋体" w:eastAsia="宋体" w:cs="Times New Roman"/>
                <w:color w:val="auto"/>
              </w:rPr>
            </w:pPr>
          </w:p>
        </w:tc>
      </w:tr>
      <w:tr w14:paraId="4DE31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280" w:type="pct"/>
            <w:shd w:val="clear" w:color="auto" w:fill="auto"/>
            <w:vAlign w:val="center"/>
          </w:tcPr>
          <w:p w14:paraId="1F45A173">
            <w:pPr>
              <w:snapToGrid w:val="0"/>
              <w:jc w:val="center"/>
              <w:rPr>
                <w:rFonts w:ascii="宋体" w:hAnsi="宋体" w:eastAsia="宋体" w:cs="Times New Roman"/>
                <w:color w:val="auto"/>
              </w:rPr>
            </w:pPr>
            <w:r>
              <w:rPr>
                <w:rFonts w:ascii="宋体" w:hAnsi="宋体" w:eastAsia="宋体" w:cs="Times New Roman"/>
                <w:color w:val="auto"/>
              </w:rPr>
              <w:t>1</w:t>
            </w:r>
          </w:p>
        </w:tc>
        <w:tc>
          <w:tcPr>
            <w:tcW w:w="446" w:type="pct"/>
            <w:shd w:val="clear" w:color="auto" w:fill="auto"/>
            <w:vAlign w:val="center"/>
          </w:tcPr>
          <w:p w14:paraId="4D4F7060">
            <w:pPr>
              <w:snapToGrid w:val="0"/>
              <w:jc w:val="center"/>
              <w:rPr>
                <w:rFonts w:ascii="宋体" w:hAnsi="宋体" w:eastAsia="宋体" w:cs="Times New Roman"/>
                <w:color w:val="auto"/>
              </w:rPr>
            </w:pPr>
            <w:r>
              <w:rPr>
                <w:rFonts w:hint="eastAsia" w:ascii="宋体" w:hAnsi="宋体" w:eastAsia="宋体" w:cs="Times New Roman"/>
                <w:color w:val="auto"/>
              </w:rPr>
              <w:t>刘兽医屯</w:t>
            </w:r>
          </w:p>
        </w:tc>
        <w:tc>
          <w:tcPr>
            <w:tcW w:w="354" w:type="pct"/>
            <w:shd w:val="clear" w:color="auto" w:fill="auto"/>
            <w:vAlign w:val="center"/>
          </w:tcPr>
          <w:p w14:paraId="7B96E42B">
            <w:pPr>
              <w:snapToGrid w:val="0"/>
              <w:jc w:val="center"/>
              <w:rPr>
                <w:rFonts w:ascii="宋体" w:hAnsi="宋体" w:eastAsia="宋体" w:cs="Times New Roman"/>
                <w:color w:val="auto"/>
                <w:szCs w:val="18"/>
              </w:rPr>
            </w:pPr>
            <w:r>
              <w:rPr>
                <w:rFonts w:hint="eastAsia" w:ascii="宋体" w:hAnsi="宋体" w:eastAsia="宋体" w:cs="Times New Roman"/>
                <w:color w:val="auto"/>
                <w:szCs w:val="18"/>
              </w:rPr>
              <w:t>-140</w:t>
            </w:r>
          </w:p>
        </w:tc>
        <w:tc>
          <w:tcPr>
            <w:tcW w:w="360" w:type="pct"/>
            <w:shd w:val="clear" w:color="auto" w:fill="auto"/>
            <w:vAlign w:val="center"/>
          </w:tcPr>
          <w:p w14:paraId="66BC48E5">
            <w:pPr>
              <w:snapToGrid w:val="0"/>
              <w:jc w:val="center"/>
              <w:rPr>
                <w:rFonts w:ascii="宋体" w:hAnsi="宋体" w:eastAsia="宋体" w:cs="Times New Roman"/>
                <w:color w:val="auto"/>
                <w:szCs w:val="18"/>
              </w:rPr>
            </w:pPr>
            <w:r>
              <w:rPr>
                <w:rFonts w:hint="eastAsia" w:ascii="宋体" w:hAnsi="宋体" w:eastAsia="宋体" w:cs="Times New Roman"/>
                <w:color w:val="auto"/>
                <w:szCs w:val="18"/>
              </w:rPr>
              <w:t>0</w:t>
            </w:r>
          </w:p>
        </w:tc>
        <w:tc>
          <w:tcPr>
            <w:tcW w:w="212" w:type="pct"/>
            <w:shd w:val="clear" w:color="auto" w:fill="auto"/>
            <w:vAlign w:val="center"/>
          </w:tcPr>
          <w:p w14:paraId="60455C05">
            <w:pPr>
              <w:snapToGrid w:val="0"/>
              <w:jc w:val="center"/>
              <w:rPr>
                <w:rFonts w:ascii="宋体" w:hAnsi="宋体" w:eastAsia="宋体" w:cs="Times New Roman"/>
                <w:color w:val="auto"/>
                <w:szCs w:val="18"/>
              </w:rPr>
            </w:pPr>
            <w:r>
              <w:rPr>
                <w:rFonts w:ascii="宋体" w:hAnsi="宋体" w:eastAsia="宋体" w:cs="Times New Roman"/>
                <w:color w:val="auto"/>
                <w:szCs w:val="18"/>
              </w:rPr>
              <w:t>1.2</w:t>
            </w:r>
          </w:p>
        </w:tc>
        <w:tc>
          <w:tcPr>
            <w:tcW w:w="516" w:type="pct"/>
            <w:shd w:val="clear" w:color="auto" w:fill="auto"/>
            <w:vAlign w:val="center"/>
          </w:tcPr>
          <w:p w14:paraId="5FE81C0F">
            <w:pPr>
              <w:snapToGrid w:val="0"/>
              <w:jc w:val="center"/>
              <w:rPr>
                <w:rFonts w:ascii="宋体" w:hAnsi="宋体" w:eastAsia="宋体" w:cs="Times New Roman"/>
                <w:color w:val="auto"/>
              </w:rPr>
            </w:pPr>
            <w:r>
              <w:rPr>
                <w:rFonts w:hint="eastAsia" w:ascii="宋体" w:hAnsi="宋体" w:eastAsia="宋体" w:cs="Times New Roman"/>
                <w:color w:val="auto"/>
              </w:rPr>
              <w:t>140</w:t>
            </w:r>
          </w:p>
        </w:tc>
        <w:tc>
          <w:tcPr>
            <w:tcW w:w="670" w:type="pct"/>
            <w:shd w:val="clear" w:color="auto" w:fill="auto"/>
            <w:vAlign w:val="center"/>
          </w:tcPr>
          <w:p w14:paraId="66894908">
            <w:pPr>
              <w:snapToGrid w:val="0"/>
              <w:jc w:val="center"/>
              <w:rPr>
                <w:rFonts w:ascii="宋体" w:hAnsi="宋体" w:eastAsia="宋体" w:cs="Times New Roman"/>
                <w:color w:val="auto"/>
              </w:rPr>
            </w:pPr>
            <w:r>
              <w:rPr>
                <w:rFonts w:ascii="宋体" w:hAnsi="宋体" w:eastAsia="宋体" w:cs="Times New Roman"/>
                <w:color w:val="auto"/>
              </w:rPr>
              <w:t>源1011</w:t>
            </w:r>
            <w:r>
              <w:rPr>
                <w:rFonts w:hint="eastAsia" w:ascii="宋体" w:hAnsi="宋体" w:eastAsia="宋体" w:cs="Times New Roman"/>
                <w:color w:val="auto"/>
              </w:rPr>
              <w:t>西</w:t>
            </w:r>
          </w:p>
        </w:tc>
        <w:tc>
          <w:tcPr>
            <w:tcW w:w="946" w:type="pct"/>
            <w:shd w:val="clear" w:color="auto" w:fill="auto"/>
            <w:vAlign w:val="center"/>
          </w:tcPr>
          <w:p w14:paraId="3BC3B317">
            <w:pPr>
              <w:snapToGrid w:val="0"/>
              <w:jc w:val="center"/>
              <w:rPr>
                <w:rFonts w:ascii="宋体" w:hAnsi="宋体" w:eastAsia="宋体" w:cs="Times New Roman"/>
                <w:color w:val="auto"/>
              </w:rPr>
            </w:pPr>
            <w:r>
              <w:rPr>
                <w:rFonts w:ascii="宋体" w:hAnsi="宋体" w:eastAsia="宋体" w:cs="Times New Roman"/>
                <w:color w:val="auto"/>
              </w:rPr>
              <w:t>《声环境质量标准》（GB3096-2008）中1类标准</w:t>
            </w:r>
          </w:p>
        </w:tc>
        <w:tc>
          <w:tcPr>
            <w:tcW w:w="1217" w:type="pct"/>
            <w:shd w:val="clear" w:color="auto" w:fill="auto"/>
            <w:vAlign w:val="center"/>
          </w:tcPr>
          <w:p w14:paraId="5DBA4482">
            <w:pPr>
              <w:snapToGrid w:val="0"/>
              <w:jc w:val="center"/>
              <w:rPr>
                <w:rFonts w:ascii="宋体" w:hAnsi="宋体" w:eastAsia="宋体" w:cs="Times New Roman"/>
                <w:color w:val="auto"/>
              </w:rPr>
            </w:pPr>
            <w:r>
              <w:rPr>
                <w:rFonts w:ascii="宋体" w:hAnsi="宋体" w:eastAsia="宋体" w:cs="Times New Roman"/>
                <w:color w:val="auto"/>
              </w:rPr>
              <w:t>约</w:t>
            </w:r>
            <w:r>
              <w:rPr>
                <w:rFonts w:hint="eastAsia" w:ascii="宋体" w:hAnsi="宋体" w:eastAsia="宋体" w:cs="Times New Roman"/>
                <w:color w:val="auto"/>
              </w:rPr>
              <w:t>45</w:t>
            </w:r>
            <w:r>
              <w:rPr>
                <w:rFonts w:ascii="宋体" w:hAnsi="宋体" w:eastAsia="宋体" w:cs="Times New Roman"/>
                <w:color w:val="auto"/>
              </w:rPr>
              <w:t>户，</w:t>
            </w:r>
            <w:r>
              <w:rPr>
                <w:rFonts w:hint="eastAsia" w:ascii="宋体" w:hAnsi="宋体" w:eastAsia="宋体" w:cs="Times New Roman"/>
                <w:color w:val="auto"/>
              </w:rPr>
              <w:t>225</w:t>
            </w:r>
            <w:r>
              <w:rPr>
                <w:rFonts w:ascii="宋体" w:hAnsi="宋体" w:eastAsia="宋体" w:cs="Times New Roman"/>
                <w:color w:val="auto"/>
              </w:rPr>
              <w:t>人，单层砖混结构，朝南，四周为耕地、草地</w:t>
            </w:r>
          </w:p>
        </w:tc>
      </w:tr>
    </w:tbl>
    <w:p w14:paraId="1AF0B690">
      <w:pPr>
        <w:pStyle w:val="22"/>
        <w:spacing w:before="156"/>
        <w:rPr>
          <w:color w:val="auto"/>
          <w:kern w:val="21"/>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2.7</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4</w:t>
      </w:r>
      <w:r>
        <w:rPr>
          <w:color w:val="auto"/>
        </w:rPr>
        <w:fldChar w:fldCharType="end"/>
      </w:r>
      <w:r>
        <w:rPr>
          <w:rFonts w:hint="eastAsia"/>
          <w:color w:val="auto"/>
        </w:rPr>
        <w:t>土壤环境</w:t>
      </w:r>
      <w:r>
        <w:rPr>
          <w:color w:val="auto"/>
        </w:rPr>
        <w:t>保护目标表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77"/>
        <w:gridCol w:w="1241"/>
        <w:gridCol w:w="1050"/>
        <w:gridCol w:w="1638"/>
        <w:gridCol w:w="1647"/>
        <w:gridCol w:w="2477"/>
        <w:gridCol w:w="323"/>
        <w:gridCol w:w="430"/>
      </w:tblGrid>
      <w:tr w14:paraId="6583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05" w:type="pct"/>
            <w:vAlign w:val="center"/>
          </w:tcPr>
          <w:p w14:paraId="1F9883D6">
            <w:pPr>
              <w:snapToGrid w:val="0"/>
              <w:jc w:val="center"/>
              <w:rPr>
                <w:rFonts w:ascii="宋体" w:hAnsi="宋体" w:eastAsia="宋体" w:cs="Times New Roman"/>
                <w:color w:val="auto"/>
              </w:rPr>
            </w:pPr>
            <w:r>
              <w:rPr>
                <w:rFonts w:hint="eastAsia" w:ascii="宋体" w:hAnsi="宋体" w:eastAsia="宋体" w:cs="Times New Roman"/>
                <w:color w:val="auto"/>
              </w:rPr>
              <w:t>环境要素</w:t>
            </w:r>
          </w:p>
        </w:tc>
        <w:tc>
          <w:tcPr>
            <w:tcW w:w="675" w:type="pct"/>
            <w:vAlign w:val="center"/>
          </w:tcPr>
          <w:p w14:paraId="39067432">
            <w:pPr>
              <w:snapToGrid w:val="0"/>
              <w:jc w:val="center"/>
              <w:rPr>
                <w:rFonts w:ascii="宋体" w:hAnsi="宋体" w:eastAsia="宋体" w:cs="Times New Roman"/>
                <w:color w:val="auto"/>
              </w:rPr>
            </w:pPr>
            <w:r>
              <w:rPr>
                <w:rFonts w:hint="eastAsia" w:ascii="宋体" w:hAnsi="宋体" w:eastAsia="宋体" w:cs="Times New Roman"/>
                <w:color w:val="auto"/>
              </w:rPr>
              <w:t>名称</w:t>
            </w:r>
          </w:p>
        </w:tc>
        <w:tc>
          <w:tcPr>
            <w:tcW w:w="572" w:type="pct"/>
            <w:vAlign w:val="center"/>
          </w:tcPr>
          <w:p w14:paraId="47A478A2">
            <w:pPr>
              <w:snapToGrid w:val="0"/>
              <w:jc w:val="center"/>
              <w:rPr>
                <w:rFonts w:ascii="宋体" w:hAnsi="宋体" w:eastAsia="宋体" w:cs="Times New Roman"/>
                <w:color w:val="auto"/>
              </w:rPr>
            </w:pPr>
            <w:r>
              <w:rPr>
                <w:rFonts w:hint="eastAsia" w:ascii="宋体" w:hAnsi="宋体" w:eastAsia="宋体" w:cs="Times New Roman"/>
                <w:color w:val="auto"/>
              </w:rPr>
              <w:t>保护对象</w:t>
            </w:r>
          </w:p>
        </w:tc>
        <w:tc>
          <w:tcPr>
            <w:tcW w:w="892" w:type="pct"/>
            <w:vAlign w:val="center"/>
          </w:tcPr>
          <w:p w14:paraId="0BB4A9DC">
            <w:pPr>
              <w:snapToGrid w:val="0"/>
              <w:jc w:val="center"/>
              <w:rPr>
                <w:rFonts w:ascii="宋体" w:hAnsi="宋体" w:eastAsia="宋体" w:cs="Times New Roman"/>
                <w:color w:val="auto"/>
              </w:rPr>
            </w:pPr>
            <w:r>
              <w:rPr>
                <w:rFonts w:hint="eastAsia" w:ascii="宋体" w:hAnsi="宋体" w:eastAsia="宋体" w:cs="Times New Roman"/>
                <w:color w:val="auto"/>
              </w:rPr>
              <w:t>保护内容（人）</w:t>
            </w:r>
          </w:p>
        </w:tc>
        <w:tc>
          <w:tcPr>
            <w:tcW w:w="897" w:type="pct"/>
            <w:noWrap/>
            <w:vAlign w:val="center"/>
          </w:tcPr>
          <w:p w14:paraId="2CE50995">
            <w:pPr>
              <w:snapToGrid w:val="0"/>
              <w:jc w:val="center"/>
              <w:rPr>
                <w:rFonts w:ascii="宋体" w:hAnsi="宋体" w:eastAsia="宋体" w:cs="Times New Roman"/>
                <w:color w:val="auto"/>
              </w:rPr>
            </w:pPr>
            <w:r>
              <w:rPr>
                <w:rFonts w:hint="eastAsia" w:ascii="宋体" w:hAnsi="宋体" w:eastAsia="宋体" w:cs="Times New Roman"/>
                <w:color w:val="auto"/>
              </w:rPr>
              <w:t>环境功能区</w:t>
            </w:r>
          </w:p>
        </w:tc>
        <w:tc>
          <w:tcPr>
            <w:tcW w:w="1349" w:type="pct"/>
            <w:vAlign w:val="center"/>
          </w:tcPr>
          <w:p w14:paraId="69AD567E">
            <w:pPr>
              <w:snapToGrid w:val="0"/>
              <w:jc w:val="center"/>
              <w:rPr>
                <w:rFonts w:ascii="宋体" w:hAnsi="宋体" w:eastAsia="宋体" w:cs="Times New Roman"/>
                <w:color w:val="auto"/>
              </w:rPr>
            </w:pPr>
            <w:r>
              <w:rPr>
                <w:rFonts w:hint="eastAsia" w:ascii="宋体" w:hAnsi="宋体" w:eastAsia="宋体" w:cs="Times New Roman"/>
                <w:color w:val="auto"/>
              </w:rPr>
              <w:t>参考工程内容</w:t>
            </w:r>
          </w:p>
        </w:tc>
        <w:tc>
          <w:tcPr>
            <w:tcW w:w="176" w:type="pct"/>
            <w:vAlign w:val="center"/>
          </w:tcPr>
          <w:p w14:paraId="39DC16E9">
            <w:pPr>
              <w:snapToGrid w:val="0"/>
              <w:jc w:val="center"/>
              <w:rPr>
                <w:rFonts w:ascii="宋体" w:hAnsi="宋体" w:eastAsia="宋体" w:cs="Times New Roman"/>
                <w:color w:val="auto"/>
              </w:rPr>
            </w:pPr>
            <w:r>
              <w:rPr>
                <w:rFonts w:hint="eastAsia" w:ascii="宋体" w:hAnsi="宋体" w:eastAsia="宋体" w:cs="Times New Roman"/>
                <w:color w:val="auto"/>
              </w:rPr>
              <w:t>相对方位</w:t>
            </w:r>
          </w:p>
        </w:tc>
        <w:tc>
          <w:tcPr>
            <w:tcW w:w="234" w:type="pct"/>
            <w:vAlign w:val="center"/>
          </w:tcPr>
          <w:p w14:paraId="4B67BB24">
            <w:pPr>
              <w:snapToGrid w:val="0"/>
              <w:jc w:val="center"/>
              <w:rPr>
                <w:rFonts w:ascii="宋体" w:hAnsi="宋体" w:eastAsia="宋体" w:cs="Times New Roman"/>
                <w:color w:val="auto"/>
              </w:rPr>
            </w:pPr>
            <w:r>
              <w:rPr>
                <w:rFonts w:hint="eastAsia" w:ascii="宋体" w:hAnsi="宋体" w:eastAsia="宋体" w:cs="Times New Roman"/>
                <w:color w:val="auto"/>
              </w:rPr>
              <w:t>相对距离（m）</w:t>
            </w:r>
          </w:p>
        </w:tc>
      </w:tr>
      <w:tr w14:paraId="59F2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5" w:type="pct"/>
            <w:vMerge w:val="restart"/>
            <w:vAlign w:val="center"/>
          </w:tcPr>
          <w:p w14:paraId="747142F2">
            <w:pPr>
              <w:snapToGrid w:val="0"/>
              <w:jc w:val="center"/>
              <w:rPr>
                <w:rFonts w:ascii="宋体" w:hAnsi="宋体" w:eastAsia="宋体" w:cs="Times New Roman"/>
                <w:color w:val="auto"/>
              </w:rPr>
            </w:pPr>
            <w:r>
              <w:rPr>
                <w:rFonts w:hint="eastAsia" w:ascii="宋体" w:hAnsi="宋体" w:eastAsia="宋体" w:cs="Times New Roman"/>
                <w:color w:val="auto"/>
              </w:rPr>
              <w:t>土壤</w:t>
            </w:r>
          </w:p>
        </w:tc>
        <w:tc>
          <w:tcPr>
            <w:tcW w:w="675" w:type="pct"/>
            <w:vAlign w:val="center"/>
          </w:tcPr>
          <w:p w14:paraId="38223427">
            <w:pPr>
              <w:snapToGrid w:val="0"/>
              <w:jc w:val="center"/>
              <w:rPr>
                <w:rFonts w:ascii="宋体" w:hAnsi="宋体" w:eastAsia="宋体" w:cs="Times New Roman"/>
                <w:color w:val="auto"/>
              </w:rPr>
            </w:pPr>
            <w:r>
              <w:rPr>
                <w:rFonts w:hint="eastAsia" w:ascii="宋体" w:hAnsi="宋体" w:eastAsia="宋体" w:cs="Times New Roman"/>
                <w:color w:val="auto"/>
              </w:rPr>
              <w:t>后欧力马屯</w:t>
            </w:r>
          </w:p>
        </w:tc>
        <w:tc>
          <w:tcPr>
            <w:tcW w:w="572" w:type="pct"/>
            <w:vMerge w:val="restart"/>
            <w:vAlign w:val="center"/>
          </w:tcPr>
          <w:p w14:paraId="133787EC">
            <w:pPr>
              <w:snapToGrid w:val="0"/>
              <w:jc w:val="center"/>
              <w:rPr>
                <w:rFonts w:ascii="宋体" w:hAnsi="宋体" w:eastAsia="宋体" w:cs="Times New Roman"/>
                <w:color w:val="auto"/>
              </w:rPr>
            </w:pPr>
            <w:r>
              <w:rPr>
                <w:rFonts w:hint="eastAsia" w:ascii="宋体" w:hAnsi="宋体" w:eastAsia="宋体" w:cs="Times New Roman"/>
                <w:color w:val="auto"/>
              </w:rPr>
              <w:t>居民</w:t>
            </w:r>
          </w:p>
        </w:tc>
        <w:tc>
          <w:tcPr>
            <w:tcW w:w="892" w:type="pct"/>
            <w:vAlign w:val="center"/>
          </w:tcPr>
          <w:p w14:paraId="546634B6">
            <w:pPr>
              <w:snapToGrid w:val="0"/>
              <w:jc w:val="center"/>
              <w:rPr>
                <w:rFonts w:ascii="宋体" w:hAnsi="宋体" w:eastAsia="宋体" w:cs="Times New Roman"/>
                <w:color w:val="auto"/>
              </w:rPr>
            </w:pPr>
            <w:r>
              <w:rPr>
                <w:rFonts w:hint="eastAsia" w:ascii="宋体" w:hAnsi="宋体" w:eastAsia="宋体" w:cs="Times New Roman"/>
                <w:color w:val="auto"/>
              </w:rPr>
              <w:t>约</w:t>
            </w:r>
            <w:r>
              <w:rPr>
                <w:rFonts w:ascii="宋体" w:hAnsi="宋体" w:eastAsia="宋体" w:cs="Times New Roman"/>
                <w:color w:val="auto"/>
              </w:rPr>
              <w:t>35</w:t>
            </w:r>
            <w:r>
              <w:rPr>
                <w:rFonts w:hint="eastAsia" w:ascii="宋体" w:hAnsi="宋体" w:eastAsia="宋体" w:cs="Times New Roman"/>
                <w:color w:val="auto"/>
              </w:rPr>
              <w:t>户，</w:t>
            </w:r>
            <w:r>
              <w:rPr>
                <w:rFonts w:ascii="宋体" w:hAnsi="宋体" w:eastAsia="宋体" w:cs="Times New Roman"/>
                <w:color w:val="auto"/>
              </w:rPr>
              <w:t>175</w:t>
            </w:r>
            <w:r>
              <w:rPr>
                <w:rFonts w:hint="eastAsia" w:ascii="宋体" w:hAnsi="宋体" w:eastAsia="宋体" w:cs="Times New Roman"/>
                <w:color w:val="auto"/>
              </w:rPr>
              <w:t>人</w:t>
            </w:r>
          </w:p>
        </w:tc>
        <w:tc>
          <w:tcPr>
            <w:tcW w:w="897" w:type="pct"/>
            <w:vMerge w:val="restart"/>
            <w:noWrap/>
            <w:vAlign w:val="center"/>
          </w:tcPr>
          <w:p w14:paraId="70010AFF">
            <w:pPr>
              <w:snapToGrid w:val="0"/>
              <w:jc w:val="center"/>
              <w:rPr>
                <w:rFonts w:ascii="宋体" w:hAnsi="宋体" w:eastAsia="宋体" w:cs="Times New Roman"/>
                <w:color w:val="auto"/>
              </w:rPr>
            </w:pPr>
            <w:r>
              <w:rPr>
                <w:rFonts w:hint="eastAsia" w:ascii="宋体" w:hAnsi="宋体" w:eastAsia="宋体" w:cs="Times New Roman"/>
                <w:color w:val="auto"/>
              </w:rPr>
              <w:t>《土壤环境质量 建设用地土壤污染风险管控标准（试行）》（GB 36600-2018）</w:t>
            </w:r>
          </w:p>
        </w:tc>
        <w:tc>
          <w:tcPr>
            <w:tcW w:w="1349" w:type="pct"/>
            <w:vAlign w:val="center"/>
          </w:tcPr>
          <w:p w14:paraId="730FD384">
            <w:pPr>
              <w:snapToGrid w:val="0"/>
              <w:jc w:val="center"/>
              <w:rPr>
                <w:rFonts w:ascii="宋体" w:hAnsi="宋体" w:eastAsia="宋体" w:cs="Times New Roman"/>
                <w:color w:val="auto"/>
              </w:rPr>
            </w:pPr>
            <w:r>
              <w:rPr>
                <w:rFonts w:ascii="宋体" w:hAnsi="宋体" w:eastAsia="宋体" w:cs="Times New Roman"/>
                <w:color w:val="auto"/>
              </w:rPr>
              <w:t>3#</w:t>
            </w:r>
            <w:r>
              <w:rPr>
                <w:rFonts w:hint="eastAsia" w:ascii="宋体" w:hAnsi="宋体" w:eastAsia="宋体" w:cs="Times New Roman"/>
                <w:color w:val="auto"/>
              </w:rPr>
              <w:t>平台</w:t>
            </w:r>
          </w:p>
        </w:tc>
        <w:tc>
          <w:tcPr>
            <w:tcW w:w="176" w:type="pct"/>
            <w:vAlign w:val="center"/>
          </w:tcPr>
          <w:p w14:paraId="41326AF6">
            <w:pPr>
              <w:snapToGrid w:val="0"/>
              <w:jc w:val="center"/>
              <w:rPr>
                <w:rFonts w:ascii="宋体" w:hAnsi="宋体" w:eastAsia="宋体" w:cs="Times New Roman"/>
                <w:color w:val="auto"/>
              </w:rPr>
            </w:pPr>
            <w:r>
              <w:rPr>
                <w:rFonts w:ascii="宋体" w:hAnsi="宋体" w:eastAsia="宋体" w:cs="Times New Roman"/>
                <w:color w:val="auto"/>
              </w:rPr>
              <w:t>NW</w:t>
            </w:r>
          </w:p>
        </w:tc>
        <w:tc>
          <w:tcPr>
            <w:tcW w:w="234" w:type="pct"/>
            <w:vAlign w:val="center"/>
          </w:tcPr>
          <w:p w14:paraId="463E2A85">
            <w:pPr>
              <w:snapToGrid w:val="0"/>
              <w:jc w:val="center"/>
              <w:rPr>
                <w:rFonts w:ascii="宋体" w:hAnsi="宋体" w:eastAsia="宋体" w:cs="Times New Roman"/>
                <w:color w:val="auto"/>
              </w:rPr>
            </w:pPr>
            <w:r>
              <w:rPr>
                <w:rFonts w:ascii="宋体" w:hAnsi="宋体" w:eastAsia="宋体" w:cs="Times New Roman"/>
                <w:color w:val="auto"/>
              </w:rPr>
              <w:t>250</w:t>
            </w:r>
          </w:p>
        </w:tc>
      </w:tr>
      <w:tr w14:paraId="629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5" w:type="pct"/>
            <w:vMerge w:val="continue"/>
            <w:vAlign w:val="center"/>
          </w:tcPr>
          <w:p w14:paraId="368D85EB">
            <w:pPr>
              <w:snapToGrid w:val="0"/>
              <w:jc w:val="center"/>
              <w:rPr>
                <w:rFonts w:ascii="宋体" w:hAnsi="宋体" w:eastAsia="宋体" w:cs="Times New Roman"/>
                <w:color w:val="auto"/>
              </w:rPr>
            </w:pPr>
          </w:p>
        </w:tc>
        <w:tc>
          <w:tcPr>
            <w:tcW w:w="675" w:type="pct"/>
            <w:vAlign w:val="center"/>
          </w:tcPr>
          <w:p w14:paraId="6E5759E4">
            <w:pPr>
              <w:snapToGrid w:val="0"/>
              <w:jc w:val="center"/>
              <w:rPr>
                <w:rFonts w:ascii="宋体" w:hAnsi="宋体" w:eastAsia="宋体" w:cs="Times New Roman"/>
                <w:color w:val="auto"/>
              </w:rPr>
            </w:pPr>
            <w:r>
              <w:rPr>
                <w:rFonts w:hint="eastAsia" w:ascii="宋体" w:hAnsi="宋体" w:eastAsia="宋体" w:cs="Times New Roman"/>
                <w:color w:val="auto"/>
              </w:rPr>
              <w:t>四方山屯</w:t>
            </w:r>
          </w:p>
        </w:tc>
        <w:tc>
          <w:tcPr>
            <w:tcW w:w="572" w:type="pct"/>
            <w:vMerge w:val="continue"/>
            <w:vAlign w:val="center"/>
          </w:tcPr>
          <w:p w14:paraId="282071A5">
            <w:pPr>
              <w:snapToGrid w:val="0"/>
              <w:jc w:val="center"/>
              <w:rPr>
                <w:rFonts w:ascii="宋体" w:hAnsi="宋体" w:eastAsia="宋体" w:cs="Times New Roman"/>
                <w:color w:val="auto"/>
              </w:rPr>
            </w:pPr>
          </w:p>
        </w:tc>
        <w:tc>
          <w:tcPr>
            <w:tcW w:w="892" w:type="pct"/>
            <w:vAlign w:val="center"/>
          </w:tcPr>
          <w:p w14:paraId="7FB49D7B">
            <w:pPr>
              <w:snapToGrid w:val="0"/>
              <w:jc w:val="center"/>
              <w:rPr>
                <w:rFonts w:ascii="宋体" w:hAnsi="宋体" w:eastAsia="宋体" w:cs="Times New Roman"/>
                <w:color w:val="auto"/>
              </w:rPr>
            </w:pPr>
            <w:r>
              <w:rPr>
                <w:rFonts w:hint="eastAsia" w:ascii="宋体" w:hAnsi="宋体" w:eastAsia="宋体" w:cs="Times New Roman"/>
                <w:color w:val="auto"/>
              </w:rPr>
              <w:t>约</w:t>
            </w:r>
            <w:r>
              <w:rPr>
                <w:rFonts w:ascii="宋体" w:hAnsi="宋体" w:eastAsia="宋体" w:cs="Times New Roman"/>
                <w:color w:val="auto"/>
              </w:rPr>
              <w:t>45</w:t>
            </w:r>
            <w:r>
              <w:rPr>
                <w:rFonts w:hint="eastAsia" w:ascii="宋体" w:hAnsi="宋体" w:eastAsia="宋体" w:cs="Times New Roman"/>
                <w:color w:val="auto"/>
              </w:rPr>
              <w:t>户，</w:t>
            </w:r>
            <w:r>
              <w:rPr>
                <w:rFonts w:ascii="宋体" w:hAnsi="宋体" w:eastAsia="宋体" w:cs="Times New Roman"/>
                <w:color w:val="auto"/>
              </w:rPr>
              <w:t>225</w:t>
            </w:r>
            <w:r>
              <w:rPr>
                <w:rFonts w:hint="eastAsia" w:ascii="宋体" w:hAnsi="宋体" w:eastAsia="宋体" w:cs="Times New Roman"/>
                <w:color w:val="auto"/>
              </w:rPr>
              <w:t>人</w:t>
            </w:r>
          </w:p>
        </w:tc>
        <w:tc>
          <w:tcPr>
            <w:tcW w:w="897" w:type="pct"/>
            <w:vMerge w:val="continue"/>
            <w:noWrap/>
            <w:vAlign w:val="center"/>
          </w:tcPr>
          <w:p w14:paraId="4F0A7005">
            <w:pPr>
              <w:snapToGrid w:val="0"/>
              <w:jc w:val="center"/>
              <w:rPr>
                <w:rFonts w:ascii="宋体" w:hAnsi="宋体" w:eastAsia="宋体" w:cs="Times New Roman"/>
                <w:color w:val="auto"/>
              </w:rPr>
            </w:pPr>
          </w:p>
        </w:tc>
        <w:tc>
          <w:tcPr>
            <w:tcW w:w="1349" w:type="pct"/>
            <w:vAlign w:val="center"/>
          </w:tcPr>
          <w:p w14:paraId="5E783EDD">
            <w:pPr>
              <w:snapToGrid w:val="0"/>
              <w:jc w:val="center"/>
              <w:rPr>
                <w:rFonts w:ascii="宋体" w:hAnsi="宋体" w:eastAsia="宋体" w:cs="Times New Roman"/>
                <w:color w:val="auto"/>
              </w:rPr>
            </w:pPr>
            <w:r>
              <w:rPr>
                <w:rFonts w:hint="eastAsia" w:ascii="宋体" w:hAnsi="宋体" w:eastAsia="宋体" w:cs="Times New Roman"/>
                <w:color w:val="auto"/>
              </w:rPr>
              <w:t>源斜</w:t>
            </w:r>
            <w:r>
              <w:rPr>
                <w:rFonts w:ascii="宋体" w:hAnsi="宋体" w:eastAsia="宋体" w:cs="Times New Roman"/>
                <w:color w:val="auto"/>
              </w:rPr>
              <w:t>2401</w:t>
            </w:r>
            <w:r>
              <w:rPr>
                <w:rFonts w:hint="eastAsia" w:ascii="宋体" w:hAnsi="宋体" w:eastAsia="宋体" w:cs="Times New Roman"/>
                <w:color w:val="auto"/>
              </w:rPr>
              <w:t>井场</w:t>
            </w:r>
          </w:p>
        </w:tc>
        <w:tc>
          <w:tcPr>
            <w:tcW w:w="176" w:type="pct"/>
            <w:vAlign w:val="center"/>
          </w:tcPr>
          <w:p w14:paraId="46109653">
            <w:pPr>
              <w:snapToGrid w:val="0"/>
              <w:jc w:val="center"/>
              <w:rPr>
                <w:rFonts w:ascii="宋体" w:hAnsi="宋体" w:eastAsia="宋体" w:cs="Times New Roman"/>
                <w:color w:val="auto"/>
              </w:rPr>
            </w:pPr>
            <w:r>
              <w:rPr>
                <w:rFonts w:hint="eastAsia" w:ascii="宋体" w:hAnsi="宋体" w:eastAsia="宋体" w:cs="Times New Roman"/>
                <w:color w:val="auto"/>
              </w:rPr>
              <w:t>S</w:t>
            </w:r>
            <w:r>
              <w:rPr>
                <w:rFonts w:ascii="宋体" w:hAnsi="宋体" w:eastAsia="宋体" w:cs="Times New Roman"/>
                <w:color w:val="auto"/>
              </w:rPr>
              <w:t>W</w:t>
            </w:r>
          </w:p>
        </w:tc>
        <w:tc>
          <w:tcPr>
            <w:tcW w:w="234" w:type="pct"/>
            <w:vAlign w:val="center"/>
          </w:tcPr>
          <w:p w14:paraId="0563D987">
            <w:pPr>
              <w:snapToGrid w:val="0"/>
              <w:jc w:val="center"/>
              <w:rPr>
                <w:rFonts w:ascii="宋体" w:hAnsi="宋体" w:eastAsia="宋体" w:cs="Times New Roman"/>
                <w:color w:val="auto"/>
              </w:rPr>
            </w:pPr>
            <w:r>
              <w:rPr>
                <w:rFonts w:ascii="宋体" w:hAnsi="宋体" w:eastAsia="宋体" w:cs="Times New Roman"/>
                <w:color w:val="auto"/>
              </w:rPr>
              <w:t>700</w:t>
            </w:r>
          </w:p>
        </w:tc>
      </w:tr>
      <w:tr w14:paraId="6F25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5" w:type="pct"/>
            <w:vMerge w:val="continue"/>
            <w:vAlign w:val="center"/>
          </w:tcPr>
          <w:p w14:paraId="34B1E3B8">
            <w:pPr>
              <w:snapToGrid w:val="0"/>
              <w:jc w:val="center"/>
              <w:rPr>
                <w:rFonts w:ascii="宋体" w:hAnsi="宋体" w:eastAsia="宋体" w:cs="Times New Roman"/>
                <w:color w:val="auto"/>
              </w:rPr>
            </w:pPr>
          </w:p>
        </w:tc>
        <w:tc>
          <w:tcPr>
            <w:tcW w:w="675" w:type="pct"/>
            <w:vAlign w:val="center"/>
          </w:tcPr>
          <w:p w14:paraId="2779E303">
            <w:pPr>
              <w:snapToGrid w:val="0"/>
              <w:jc w:val="center"/>
              <w:rPr>
                <w:rFonts w:ascii="宋体" w:hAnsi="宋体" w:eastAsia="宋体" w:cs="Times New Roman"/>
                <w:color w:val="auto"/>
              </w:rPr>
            </w:pPr>
            <w:r>
              <w:rPr>
                <w:rFonts w:hint="eastAsia" w:ascii="宋体" w:hAnsi="宋体" w:eastAsia="宋体" w:cs="Times New Roman"/>
                <w:color w:val="auto"/>
              </w:rPr>
              <w:t>肇源镇</w:t>
            </w:r>
          </w:p>
        </w:tc>
        <w:tc>
          <w:tcPr>
            <w:tcW w:w="572" w:type="pct"/>
            <w:vMerge w:val="continue"/>
            <w:vAlign w:val="center"/>
          </w:tcPr>
          <w:p w14:paraId="0A06A36A">
            <w:pPr>
              <w:snapToGrid w:val="0"/>
              <w:jc w:val="center"/>
              <w:rPr>
                <w:rFonts w:ascii="宋体" w:hAnsi="宋体" w:eastAsia="宋体" w:cs="Times New Roman"/>
                <w:color w:val="auto"/>
              </w:rPr>
            </w:pPr>
          </w:p>
        </w:tc>
        <w:tc>
          <w:tcPr>
            <w:tcW w:w="892" w:type="pct"/>
            <w:vAlign w:val="center"/>
          </w:tcPr>
          <w:p w14:paraId="3BB7CB43">
            <w:pPr>
              <w:snapToGrid w:val="0"/>
              <w:jc w:val="center"/>
              <w:rPr>
                <w:rFonts w:ascii="宋体" w:hAnsi="宋体" w:eastAsia="宋体" w:cs="Times New Roman"/>
                <w:color w:val="auto"/>
              </w:rPr>
            </w:pPr>
            <w:r>
              <w:rPr>
                <w:rFonts w:hint="eastAsia" w:ascii="宋体" w:hAnsi="宋体" w:eastAsia="宋体" w:cs="Times New Roman"/>
                <w:color w:val="auto"/>
              </w:rPr>
              <w:t>约</w:t>
            </w:r>
            <w:r>
              <w:rPr>
                <w:rFonts w:ascii="宋体" w:hAnsi="宋体" w:eastAsia="宋体" w:cs="Times New Roman"/>
                <w:color w:val="auto"/>
              </w:rPr>
              <w:t>600</w:t>
            </w:r>
            <w:r>
              <w:rPr>
                <w:rFonts w:hint="eastAsia" w:ascii="宋体" w:hAnsi="宋体" w:eastAsia="宋体" w:cs="Times New Roman"/>
                <w:color w:val="auto"/>
              </w:rPr>
              <w:t>户，</w:t>
            </w:r>
            <w:r>
              <w:rPr>
                <w:rFonts w:ascii="宋体" w:hAnsi="宋体" w:eastAsia="宋体" w:cs="Times New Roman"/>
                <w:color w:val="auto"/>
              </w:rPr>
              <w:t>3000</w:t>
            </w:r>
            <w:r>
              <w:rPr>
                <w:rFonts w:hint="eastAsia" w:ascii="宋体" w:hAnsi="宋体" w:eastAsia="宋体" w:cs="Times New Roman"/>
                <w:color w:val="auto"/>
              </w:rPr>
              <w:t>人</w:t>
            </w:r>
          </w:p>
        </w:tc>
        <w:tc>
          <w:tcPr>
            <w:tcW w:w="897" w:type="pct"/>
            <w:vMerge w:val="continue"/>
            <w:noWrap/>
            <w:vAlign w:val="center"/>
          </w:tcPr>
          <w:p w14:paraId="14FD9432">
            <w:pPr>
              <w:snapToGrid w:val="0"/>
              <w:jc w:val="center"/>
              <w:rPr>
                <w:rFonts w:ascii="宋体" w:hAnsi="宋体" w:eastAsia="宋体" w:cs="Times New Roman"/>
                <w:color w:val="auto"/>
              </w:rPr>
            </w:pPr>
          </w:p>
        </w:tc>
        <w:tc>
          <w:tcPr>
            <w:tcW w:w="1349" w:type="pct"/>
            <w:vAlign w:val="center"/>
          </w:tcPr>
          <w:p w14:paraId="5F2B073F">
            <w:pPr>
              <w:snapToGrid w:val="0"/>
              <w:jc w:val="center"/>
              <w:rPr>
                <w:rFonts w:ascii="宋体" w:hAnsi="宋体" w:eastAsia="宋体" w:cs="Times New Roman"/>
                <w:color w:val="auto"/>
              </w:rPr>
            </w:pPr>
            <w:r>
              <w:rPr>
                <w:rFonts w:hint="eastAsia" w:ascii="宋体" w:hAnsi="宋体" w:eastAsia="宋体" w:cs="Times New Roman"/>
                <w:color w:val="auto"/>
              </w:rPr>
              <w:t>源</w:t>
            </w:r>
            <w:r>
              <w:rPr>
                <w:rFonts w:ascii="宋体" w:hAnsi="宋体" w:eastAsia="宋体" w:cs="Times New Roman"/>
                <w:color w:val="auto"/>
              </w:rPr>
              <w:t>1011</w:t>
            </w:r>
            <w:r>
              <w:rPr>
                <w:rFonts w:hint="eastAsia" w:ascii="宋体" w:hAnsi="宋体" w:eastAsia="宋体" w:cs="Times New Roman"/>
                <w:color w:val="auto"/>
              </w:rPr>
              <w:t>井场</w:t>
            </w:r>
          </w:p>
        </w:tc>
        <w:tc>
          <w:tcPr>
            <w:tcW w:w="176" w:type="pct"/>
            <w:vAlign w:val="center"/>
          </w:tcPr>
          <w:p w14:paraId="10C1E7DD">
            <w:pPr>
              <w:snapToGrid w:val="0"/>
              <w:jc w:val="center"/>
              <w:rPr>
                <w:rFonts w:ascii="宋体" w:hAnsi="宋体" w:eastAsia="宋体" w:cs="Times New Roman"/>
                <w:color w:val="auto"/>
              </w:rPr>
            </w:pPr>
            <w:r>
              <w:rPr>
                <w:rFonts w:hint="eastAsia" w:ascii="宋体" w:hAnsi="宋体" w:eastAsia="宋体" w:cs="Times New Roman"/>
                <w:color w:val="auto"/>
              </w:rPr>
              <w:t>E</w:t>
            </w:r>
          </w:p>
        </w:tc>
        <w:tc>
          <w:tcPr>
            <w:tcW w:w="234" w:type="pct"/>
            <w:vAlign w:val="center"/>
          </w:tcPr>
          <w:p w14:paraId="79E8B2F1">
            <w:pPr>
              <w:snapToGrid w:val="0"/>
              <w:jc w:val="center"/>
              <w:rPr>
                <w:rFonts w:ascii="宋体" w:hAnsi="宋体" w:eastAsia="宋体" w:cs="Times New Roman"/>
                <w:color w:val="auto"/>
              </w:rPr>
            </w:pPr>
            <w:r>
              <w:rPr>
                <w:rFonts w:ascii="宋体" w:hAnsi="宋体" w:eastAsia="宋体" w:cs="Times New Roman"/>
                <w:color w:val="auto"/>
              </w:rPr>
              <w:t>900</w:t>
            </w:r>
          </w:p>
        </w:tc>
      </w:tr>
      <w:tr w14:paraId="1533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5" w:type="pct"/>
            <w:vMerge w:val="continue"/>
            <w:vAlign w:val="center"/>
          </w:tcPr>
          <w:p w14:paraId="17618961">
            <w:pPr>
              <w:snapToGrid w:val="0"/>
              <w:jc w:val="center"/>
              <w:rPr>
                <w:rFonts w:ascii="宋体" w:hAnsi="宋体" w:eastAsia="宋体" w:cs="Times New Roman"/>
                <w:color w:val="auto"/>
              </w:rPr>
            </w:pPr>
          </w:p>
        </w:tc>
        <w:tc>
          <w:tcPr>
            <w:tcW w:w="675" w:type="pct"/>
            <w:vAlign w:val="center"/>
          </w:tcPr>
          <w:p w14:paraId="13E018CC">
            <w:pPr>
              <w:snapToGrid w:val="0"/>
              <w:jc w:val="center"/>
              <w:rPr>
                <w:rFonts w:ascii="宋体" w:hAnsi="宋体" w:eastAsia="宋体" w:cs="Times New Roman"/>
                <w:color w:val="auto"/>
              </w:rPr>
            </w:pPr>
            <w:r>
              <w:rPr>
                <w:rFonts w:hint="eastAsia" w:ascii="宋体" w:hAnsi="宋体" w:eastAsia="宋体" w:cs="Times New Roman"/>
                <w:color w:val="auto"/>
              </w:rPr>
              <w:t>大姚屯</w:t>
            </w:r>
          </w:p>
        </w:tc>
        <w:tc>
          <w:tcPr>
            <w:tcW w:w="572" w:type="pct"/>
            <w:vMerge w:val="continue"/>
            <w:vAlign w:val="center"/>
          </w:tcPr>
          <w:p w14:paraId="1723F353">
            <w:pPr>
              <w:snapToGrid w:val="0"/>
              <w:jc w:val="center"/>
              <w:rPr>
                <w:rFonts w:ascii="宋体" w:hAnsi="宋体" w:eastAsia="宋体" w:cs="Times New Roman"/>
                <w:color w:val="auto"/>
              </w:rPr>
            </w:pPr>
          </w:p>
        </w:tc>
        <w:tc>
          <w:tcPr>
            <w:tcW w:w="892" w:type="pct"/>
            <w:vAlign w:val="center"/>
          </w:tcPr>
          <w:p w14:paraId="593A66E1">
            <w:pPr>
              <w:snapToGrid w:val="0"/>
              <w:jc w:val="center"/>
              <w:rPr>
                <w:rFonts w:ascii="宋体" w:hAnsi="宋体" w:eastAsia="宋体" w:cs="Times New Roman"/>
                <w:color w:val="auto"/>
              </w:rPr>
            </w:pPr>
            <w:r>
              <w:rPr>
                <w:rFonts w:hint="eastAsia" w:ascii="宋体" w:hAnsi="宋体" w:eastAsia="宋体" w:cs="Times New Roman"/>
                <w:color w:val="auto"/>
              </w:rPr>
              <w:t>约</w:t>
            </w:r>
            <w:r>
              <w:rPr>
                <w:rFonts w:ascii="宋体" w:hAnsi="宋体" w:eastAsia="宋体" w:cs="Times New Roman"/>
                <w:color w:val="auto"/>
              </w:rPr>
              <w:t>20</w:t>
            </w:r>
            <w:r>
              <w:rPr>
                <w:rFonts w:hint="eastAsia" w:ascii="宋体" w:hAnsi="宋体" w:eastAsia="宋体" w:cs="Times New Roman"/>
                <w:color w:val="auto"/>
              </w:rPr>
              <w:t>户，</w:t>
            </w:r>
            <w:r>
              <w:rPr>
                <w:rFonts w:ascii="宋体" w:hAnsi="宋体" w:eastAsia="宋体" w:cs="Times New Roman"/>
                <w:color w:val="auto"/>
              </w:rPr>
              <w:t>100</w:t>
            </w:r>
            <w:r>
              <w:rPr>
                <w:rFonts w:hint="eastAsia" w:ascii="宋体" w:hAnsi="宋体" w:eastAsia="宋体" w:cs="Times New Roman"/>
                <w:color w:val="auto"/>
              </w:rPr>
              <w:t>人</w:t>
            </w:r>
          </w:p>
        </w:tc>
        <w:tc>
          <w:tcPr>
            <w:tcW w:w="897" w:type="pct"/>
            <w:vMerge w:val="continue"/>
            <w:noWrap/>
            <w:vAlign w:val="center"/>
          </w:tcPr>
          <w:p w14:paraId="3089BAA1">
            <w:pPr>
              <w:snapToGrid w:val="0"/>
              <w:jc w:val="center"/>
              <w:rPr>
                <w:rFonts w:ascii="宋体" w:hAnsi="宋体" w:eastAsia="宋体" w:cs="Times New Roman"/>
                <w:color w:val="auto"/>
              </w:rPr>
            </w:pPr>
          </w:p>
        </w:tc>
        <w:tc>
          <w:tcPr>
            <w:tcW w:w="1349" w:type="pct"/>
            <w:vAlign w:val="center"/>
          </w:tcPr>
          <w:p w14:paraId="2EC973C1">
            <w:pPr>
              <w:snapToGrid w:val="0"/>
              <w:jc w:val="center"/>
              <w:rPr>
                <w:rFonts w:ascii="宋体" w:hAnsi="宋体" w:eastAsia="宋体" w:cs="Times New Roman"/>
                <w:color w:val="auto"/>
              </w:rPr>
            </w:pPr>
            <w:r>
              <w:rPr>
                <w:rFonts w:hint="eastAsia" w:ascii="宋体" w:hAnsi="宋体" w:eastAsia="宋体" w:cs="Times New Roman"/>
                <w:color w:val="auto"/>
              </w:rPr>
              <w:t>源</w:t>
            </w:r>
            <w:r>
              <w:rPr>
                <w:rFonts w:ascii="宋体" w:hAnsi="宋体" w:eastAsia="宋体" w:cs="Times New Roman"/>
                <w:color w:val="auto"/>
              </w:rPr>
              <w:t>1011</w:t>
            </w:r>
            <w:r>
              <w:rPr>
                <w:rFonts w:hint="eastAsia" w:ascii="宋体" w:hAnsi="宋体" w:eastAsia="宋体" w:cs="Times New Roman"/>
                <w:color w:val="auto"/>
              </w:rPr>
              <w:t>井场</w:t>
            </w:r>
          </w:p>
        </w:tc>
        <w:tc>
          <w:tcPr>
            <w:tcW w:w="176" w:type="pct"/>
            <w:vAlign w:val="center"/>
          </w:tcPr>
          <w:p w14:paraId="016A6E9C">
            <w:pPr>
              <w:snapToGrid w:val="0"/>
              <w:jc w:val="center"/>
              <w:rPr>
                <w:rFonts w:ascii="宋体" w:hAnsi="宋体" w:eastAsia="宋体" w:cs="Times New Roman"/>
                <w:color w:val="auto"/>
              </w:rPr>
            </w:pPr>
            <w:r>
              <w:rPr>
                <w:rFonts w:hint="eastAsia" w:ascii="宋体" w:hAnsi="宋体" w:eastAsia="宋体" w:cs="Times New Roman"/>
                <w:color w:val="auto"/>
              </w:rPr>
              <w:t>E</w:t>
            </w:r>
          </w:p>
        </w:tc>
        <w:tc>
          <w:tcPr>
            <w:tcW w:w="234" w:type="pct"/>
            <w:vAlign w:val="center"/>
          </w:tcPr>
          <w:p w14:paraId="6B2212B0">
            <w:pPr>
              <w:snapToGrid w:val="0"/>
              <w:jc w:val="center"/>
              <w:rPr>
                <w:rFonts w:ascii="宋体" w:hAnsi="宋体" w:eastAsia="宋体" w:cs="Times New Roman"/>
                <w:color w:val="auto"/>
              </w:rPr>
            </w:pPr>
            <w:r>
              <w:rPr>
                <w:rFonts w:ascii="宋体" w:hAnsi="宋体" w:eastAsia="宋体" w:cs="Times New Roman"/>
                <w:color w:val="auto"/>
              </w:rPr>
              <w:t>300</w:t>
            </w:r>
          </w:p>
        </w:tc>
      </w:tr>
      <w:tr w14:paraId="572C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5" w:type="pct"/>
            <w:vMerge w:val="continue"/>
            <w:vAlign w:val="center"/>
          </w:tcPr>
          <w:p w14:paraId="00C1C5CA">
            <w:pPr>
              <w:snapToGrid w:val="0"/>
              <w:jc w:val="center"/>
              <w:rPr>
                <w:rFonts w:ascii="宋体" w:hAnsi="宋体" w:eastAsia="宋体" w:cs="Times New Roman"/>
                <w:color w:val="auto"/>
              </w:rPr>
            </w:pPr>
          </w:p>
        </w:tc>
        <w:tc>
          <w:tcPr>
            <w:tcW w:w="675" w:type="pct"/>
            <w:vAlign w:val="center"/>
          </w:tcPr>
          <w:p w14:paraId="24CD818B">
            <w:pPr>
              <w:snapToGrid w:val="0"/>
              <w:jc w:val="center"/>
              <w:rPr>
                <w:rFonts w:ascii="宋体" w:hAnsi="宋体" w:eastAsia="宋体" w:cs="Times New Roman"/>
                <w:color w:val="auto"/>
              </w:rPr>
            </w:pPr>
            <w:r>
              <w:rPr>
                <w:rFonts w:hint="eastAsia" w:ascii="宋体" w:hAnsi="宋体" w:eastAsia="宋体" w:cs="Times New Roman"/>
                <w:color w:val="auto"/>
              </w:rPr>
              <w:t>腰欧力马屯</w:t>
            </w:r>
          </w:p>
        </w:tc>
        <w:tc>
          <w:tcPr>
            <w:tcW w:w="572" w:type="pct"/>
            <w:vMerge w:val="continue"/>
            <w:vAlign w:val="center"/>
          </w:tcPr>
          <w:p w14:paraId="7AEF7CF2">
            <w:pPr>
              <w:snapToGrid w:val="0"/>
              <w:jc w:val="center"/>
              <w:rPr>
                <w:rFonts w:ascii="宋体" w:hAnsi="宋体" w:eastAsia="宋体" w:cs="Times New Roman"/>
                <w:color w:val="auto"/>
              </w:rPr>
            </w:pPr>
          </w:p>
        </w:tc>
        <w:tc>
          <w:tcPr>
            <w:tcW w:w="892" w:type="pct"/>
            <w:vAlign w:val="center"/>
          </w:tcPr>
          <w:p w14:paraId="5099583F">
            <w:pPr>
              <w:snapToGrid w:val="0"/>
              <w:jc w:val="center"/>
              <w:rPr>
                <w:rFonts w:ascii="宋体" w:hAnsi="宋体" w:eastAsia="宋体" w:cs="Times New Roman"/>
                <w:color w:val="auto"/>
              </w:rPr>
            </w:pPr>
            <w:r>
              <w:rPr>
                <w:rFonts w:hint="eastAsia" w:ascii="宋体" w:hAnsi="宋体" w:eastAsia="宋体" w:cs="Times New Roman"/>
                <w:color w:val="auto"/>
              </w:rPr>
              <w:t>约</w:t>
            </w:r>
            <w:r>
              <w:rPr>
                <w:rFonts w:ascii="宋体" w:hAnsi="宋体" w:eastAsia="宋体" w:cs="Times New Roman"/>
                <w:color w:val="auto"/>
              </w:rPr>
              <w:t>35</w:t>
            </w:r>
            <w:r>
              <w:rPr>
                <w:rFonts w:hint="eastAsia" w:ascii="宋体" w:hAnsi="宋体" w:eastAsia="宋体" w:cs="Times New Roman"/>
                <w:color w:val="auto"/>
              </w:rPr>
              <w:t>户，</w:t>
            </w:r>
            <w:r>
              <w:rPr>
                <w:rFonts w:ascii="宋体" w:hAnsi="宋体" w:eastAsia="宋体" w:cs="Times New Roman"/>
                <w:color w:val="auto"/>
              </w:rPr>
              <w:t>175</w:t>
            </w:r>
            <w:r>
              <w:rPr>
                <w:rFonts w:hint="eastAsia" w:ascii="宋体" w:hAnsi="宋体" w:eastAsia="宋体" w:cs="Times New Roman"/>
                <w:color w:val="auto"/>
              </w:rPr>
              <w:t>人</w:t>
            </w:r>
          </w:p>
        </w:tc>
        <w:tc>
          <w:tcPr>
            <w:tcW w:w="897" w:type="pct"/>
            <w:vMerge w:val="continue"/>
            <w:noWrap/>
            <w:vAlign w:val="center"/>
          </w:tcPr>
          <w:p w14:paraId="25DB4294">
            <w:pPr>
              <w:snapToGrid w:val="0"/>
              <w:jc w:val="center"/>
              <w:rPr>
                <w:rFonts w:ascii="宋体" w:hAnsi="宋体" w:eastAsia="宋体" w:cs="Times New Roman"/>
                <w:color w:val="auto"/>
              </w:rPr>
            </w:pPr>
          </w:p>
        </w:tc>
        <w:tc>
          <w:tcPr>
            <w:tcW w:w="1349" w:type="pct"/>
            <w:vAlign w:val="center"/>
          </w:tcPr>
          <w:p w14:paraId="6795EB80">
            <w:pPr>
              <w:snapToGrid w:val="0"/>
              <w:jc w:val="center"/>
              <w:rPr>
                <w:rFonts w:ascii="宋体" w:hAnsi="宋体" w:eastAsia="宋体" w:cs="Times New Roman"/>
                <w:color w:val="auto"/>
              </w:rPr>
            </w:pPr>
            <w:r>
              <w:rPr>
                <w:rFonts w:ascii="宋体" w:hAnsi="宋体" w:eastAsia="宋体" w:cs="Times New Roman"/>
                <w:color w:val="auto"/>
              </w:rPr>
              <w:t>3#</w:t>
            </w:r>
            <w:r>
              <w:rPr>
                <w:rFonts w:hint="eastAsia" w:ascii="宋体" w:hAnsi="宋体" w:eastAsia="宋体" w:cs="Times New Roman"/>
                <w:color w:val="auto"/>
              </w:rPr>
              <w:t>平台</w:t>
            </w:r>
          </w:p>
        </w:tc>
        <w:tc>
          <w:tcPr>
            <w:tcW w:w="176" w:type="pct"/>
            <w:vAlign w:val="center"/>
          </w:tcPr>
          <w:p w14:paraId="7D786F21">
            <w:pPr>
              <w:snapToGrid w:val="0"/>
              <w:jc w:val="center"/>
              <w:rPr>
                <w:rFonts w:ascii="宋体" w:hAnsi="宋体" w:eastAsia="宋体" w:cs="Times New Roman"/>
                <w:color w:val="auto"/>
              </w:rPr>
            </w:pPr>
            <w:r>
              <w:rPr>
                <w:rFonts w:hint="eastAsia" w:ascii="宋体" w:hAnsi="宋体" w:eastAsia="宋体" w:cs="Times New Roman"/>
                <w:color w:val="auto"/>
              </w:rPr>
              <w:t>E</w:t>
            </w:r>
          </w:p>
        </w:tc>
        <w:tc>
          <w:tcPr>
            <w:tcW w:w="234" w:type="pct"/>
            <w:vAlign w:val="center"/>
          </w:tcPr>
          <w:p w14:paraId="104C38D5">
            <w:pPr>
              <w:snapToGrid w:val="0"/>
              <w:jc w:val="center"/>
              <w:rPr>
                <w:rFonts w:ascii="宋体" w:hAnsi="宋体" w:eastAsia="宋体" w:cs="Times New Roman"/>
                <w:color w:val="auto"/>
              </w:rPr>
            </w:pPr>
            <w:r>
              <w:rPr>
                <w:rFonts w:ascii="宋体" w:hAnsi="宋体" w:eastAsia="宋体" w:cs="Times New Roman"/>
                <w:color w:val="auto"/>
              </w:rPr>
              <w:t>850</w:t>
            </w:r>
          </w:p>
        </w:tc>
      </w:tr>
      <w:tr w14:paraId="0C65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5" w:type="pct"/>
            <w:vMerge w:val="continue"/>
            <w:vAlign w:val="center"/>
          </w:tcPr>
          <w:p w14:paraId="71FE8D20">
            <w:pPr>
              <w:snapToGrid w:val="0"/>
              <w:jc w:val="center"/>
              <w:rPr>
                <w:rFonts w:ascii="宋体" w:hAnsi="宋体" w:eastAsia="宋体" w:cs="Times New Roman"/>
                <w:color w:val="auto"/>
              </w:rPr>
            </w:pPr>
          </w:p>
        </w:tc>
        <w:tc>
          <w:tcPr>
            <w:tcW w:w="675" w:type="pct"/>
            <w:vAlign w:val="center"/>
          </w:tcPr>
          <w:p w14:paraId="4D78FFE2">
            <w:pPr>
              <w:snapToGrid w:val="0"/>
              <w:jc w:val="center"/>
              <w:rPr>
                <w:rFonts w:ascii="宋体" w:hAnsi="宋体" w:eastAsia="宋体" w:cs="Times New Roman"/>
                <w:color w:val="auto"/>
              </w:rPr>
            </w:pPr>
            <w:r>
              <w:rPr>
                <w:rFonts w:hint="eastAsia" w:ascii="宋体" w:hAnsi="宋体" w:eastAsia="宋体" w:cs="Times New Roman"/>
                <w:color w:val="auto"/>
              </w:rPr>
              <w:t>协力屯</w:t>
            </w:r>
          </w:p>
        </w:tc>
        <w:tc>
          <w:tcPr>
            <w:tcW w:w="572" w:type="pct"/>
            <w:vMerge w:val="continue"/>
            <w:vAlign w:val="center"/>
          </w:tcPr>
          <w:p w14:paraId="35FD534D">
            <w:pPr>
              <w:snapToGrid w:val="0"/>
              <w:jc w:val="center"/>
              <w:rPr>
                <w:rFonts w:ascii="宋体" w:hAnsi="宋体" w:eastAsia="宋体" w:cs="Times New Roman"/>
                <w:color w:val="auto"/>
              </w:rPr>
            </w:pPr>
          </w:p>
        </w:tc>
        <w:tc>
          <w:tcPr>
            <w:tcW w:w="892" w:type="pct"/>
            <w:vAlign w:val="center"/>
          </w:tcPr>
          <w:p w14:paraId="52716E6A">
            <w:pPr>
              <w:snapToGrid w:val="0"/>
              <w:jc w:val="center"/>
              <w:rPr>
                <w:rFonts w:ascii="宋体" w:hAnsi="宋体" w:eastAsia="宋体" w:cs="Times New Roman"/>
                <w:color w:val="auto"/>
              </w:rPr>
            </w:pPr>
            <w:r>
              <w:rPr>
                <w:rFonts w:hint="eastAsia" w:ascii="宋体" w:hAnsi="宋体" w:eastAsia="宋体" w:cs="Times New Roman"/>
                <w:color w:val="auto"/>
              </w:rPr>
              <w:t>约</w:t>
            </w:r>
            <w:r>
              <w:rPr>
                <w:rFonts w:ascii="宋体" w:hAnsi="宋体" w:eastAsia="宋体" w:cs="Times New Roman"/>
                <w:color w:val="auto"/>
              </w:rPr>
              <w:t>45</w:t>
            </w:r>
            <w:r>
              <w:rPr>
                <w:rFonts w:hint="eastAsia" w:ascii="宋体" w:hAnsi="宋体" w:eastAsia="宋体" w:cs="Times New Roman"/>
                <w:color w:val="auto"/>
              </w:rPr>
              <w:t>户，</w:t>
            </w:r>
            <w:r>
              <w:rPr>
                <w:rFonts w:ascii="宋体" w:hAnsi="宋体" w:eastAsia="宋体" w:cs="Times New Roman"/>
                <w:color w:val="auto"/>
              </w:rPr>
              <w:t>225</w:t>
            </w:r>
            <w:r>
              <w:rPr>
                <w:rFonts w:hint="eastAsia" w:ascii="宋体" w:hAnsi="宋体" w:eastAsia="宋体" w:cs="Times New Roman"/>
                <w:color w:val="auto"/>
              </w:rPr>
              <w:t>人</w:t>
            </w:r>
          </w:p>
        </w:tc>
        <w:tc>
          <w:tcPr>
            <w:tcW w:w="897" w:type="pct"/>
            <w:vMerge w:val="continue"/>
            <w:noWrap/>
            <w:vAlign w:val="center"/>
          </w:tcPr>
          <w:p w14:paraId="64A5B03F">
            <w:pPr>
              <w:snapToGrid w:val="0"/>
              <w:jc w:val="center"/>
              <w:rPr>
                <w:rFonts w:ascii="宋体" w:hAnsi="宋体" w:eastAsia="宋体" w:cs="Times New Roman"/>
                <w:color w:val="auto"/>
              </w:rPr>
            </w:pPr>
          </w:p>
        </w:tc>
        <w:tc>
          <w:tcPr>
            <w:tcW w:w="1349" w:type="pct"/>
            <w:vAlign w:val="center"/>
          </w:tcPr>
          <w:p w14:paraId="436755A0">
            <w:pPr>
              <w:snapToGrid w:val="0"/>
              <w:jc w:val="center"/>
              <w:rPr>
                <w:rFonts w:ascii="宋体" w:hAnsi="宋体" w:eastAsia="宋体" w:cs="Times New Roman"/>
                <w:color w:val="auto"/>
              </w:rPr>
            </w:pPr>
            <w:r>
              <w:rPr>
                <w:rFonts w:hint="eastAsia" w:ascii="宋体" w:hAnsi="宋体" w:eastAsia="宋体" w:cs="Times New Roman"/>
                <w:color w:val="auto"/>
              </w:rPr>
              <w:t>源</w:t>
            </w:r>
            <w:r>
              <w:rPr>
                <w:rFonts w:ascii="宋体" w:hAnsi="宋体" w:eastAsia="宋体" w:cs="Times New Roman"/>
                <w:color w:val="auto"/>
              </w:rPr>
              <w:t>1011</w:t>
            </w:r>
            <w:r>
              <w:rPr>
                <w:rFonts w:hint="eastAsia" w:ascii="宋体" w:hAnsi="宋体" w:eastAsia="宋体" w:cs="Times New Roman"/>
                <w:color w:val="auto"/>
              </w:rPr>
              <w:t>井场</w:t>
            </w:r>
          </w:p>
        </w:tc>
        <w:tc>
          <w:tcPr>
            <w:tcW w:w="176" w:type="pct"/>
            <w:vAlign w:val="center"/>
          </w:tcPr>
          <w:p w14:paraId="6E4CB4D0">
            <w:pPr>
              <w:snapToGrid w:val="0"/>
              <w:jc w:val="center"/>
              <w:rPr>
                <w:rFonts w:ascii="宋体" w:hAnsi="宋体" w:eastAsia="宋体" w:cs="Times New Roman"/>
                <w:color w:val="auto"/>
              </w:rPr>
            </w:pPr>
            <w:r>
              <w:rPr>
                <w:rFonts w:hint="eastAsia" w:ascii="宋体" w:hAnsi="宋体" w:eastAsia="宋体" w:cs="Times New Roman"/>
                <w:color w:val="auto"/>
              </w:rPr>
              <w:t>S</w:t>
            </w:r>
            <w:r>
              <w:rPr>
                <w:rFonts w:ascii="宋体" w:hAnsi="宋体" w:eastAsia="宋体" w:cs="Times New Roman"/>
                <w:color w:val="auto"/>
              </w:rPr>
              <w:t>W</w:t>
            </w:r>
          </w:p>
        </w:tc>
        <w:tc>
          <w:tcPr>
            <w:tcW w:w="234" w:type="pct"/>
            <w:vAlign w:val="center"/>
          </w:tcPr>
          <w:p w14:paraId="0FC179AA">
            <w:pPr>
              <w:snapToGrid w:val="0"/>
              <w:jc w:val="center"/>
              <w:rPr>
                <w:rFonts w:ascii="宋体" w:hAnsi="宋体" w:eastAsia="宋体" w:cs="Times New Roman"/>
                <w:color w:val="auto"/>
              </w:rPr>
            </w:pPr>
            <w:r>
              <w:rPr>
                <w:rFonts w:ascii="宋体" w:hAnsi="宋体" w:eastAsia="宋体" w:cs="Times New Roman"/>
                <w:color w:val="auto"/>
              </w:rPr>
              <w:t>800</w:t>
            </w:r>
          </w:p>
        </w:tc>
      </w:tr>
      <w:tr w14:paraId="6153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5" w:type="pct"/>
            <w:vMerge w:val="continue"/>
            <w:vAlign w:val="center"/>
          </w:tcPr>
          <w:p w14:paraId="200A1C05">
            <w:pPr>
              <w:snapToGrid w:val="0"/>
              <w:jc w:val="center"/>
              <w:rPr>
                <w:rFonts w:ascii="宋体" w:hAnsi="宋体" w:eastAsia="宋体" w:cs="Times New Roman"/>
                <w:color w:val="auto"/>
              </w:rPr>
            </w:pPr>
          </w:p>
        </w:tc>
        <w:tc>
          <w:tcPr>
            <w:tcW w:w="675" w:type="pct"/>
            <w:vAlign w:val="center"/>
          </w:tcPr>
          <w:p w14:paraId="3EE1BE9D">
            <w:pPr>
              <w:snapToGrid w:val="0"/>
              <w:jc w:val="center"/>
              <w:rPr>
                <w:rFonts w:ascii="宋体" w:hAnsi="宋体" w:eastAsia="宋体" w:cs="Times New Roman"/>
                <w:color w:val="auto"/>
              </w:rPr>
            </w:pPr>
            <w:r>
              <w:rPr>
                <w:rFonts w:hint="eastAsia" w:ascii="宋体" w:hAnsi="宋体" w:eastAsia="宋体" w:cs="Times New Roman"/>
                <w:color w:val="auto"/>
              </w:rPr>
              <w:t>友谊村</w:t>
            </w:r>
          </w:p>
        </w:tc>
        <w:tc>
          <w:tcPr>
            <w:tcW w:w="572" w:type="pct"/>
            <w:vMerge w:val="continue"/>
            <w:vAlign w:val="center"/>
          </w:tcPr>
          <w:p w14:paraId="755A5BDB">
            <w:pPr>
              <w:snapToGrid w:val="0"/>
              <w:jc w:val="center"/>
              <w:rPr>
                <w:rFonts w:ascii="宋体" w:hAnsi="宋体" w:eastAsia="宋体" w:cs="Times New Roman"/>
                <w:color w:val="auto"/>
              </w:rPr>
            </w:pPr>
          </w:p>
        </w:tc>
        <w:tc>
          <w:tcPr>
            <w:tcW w:w="892" w:type="pct"/>
            <w:vAlign w:val="center"/>
          </w:tcPr>
          <w:p w14:paraId="2682E40F">
            <w:pPr>
              <w:snapToGrid w:val="0"/>
              <w:jc w:val="center"/>
              <w:rPr>
                <w:rFonts w:ascii="宋体" w:hAnsi="宋体" w:eastAsia="宋体" w:cs="Times New Roman"/>
                <w:color w:val="auto"/>
              </w:rPr>
            </w:pPr>
            <w:r>
              <w:rPr>
                <w:rFonts w:hint="eastAsia" w:ascii="宋体" w:hAnsi="宋体" w:eastAsia="宋体" w:cs="Times New Roman"/>
                <w:color w:val="auto"/>
              </w:rPr>
              <w:t>约</w:t>
            </w:r>
            <w:r>
              <w:rPr>
                <w:rFonts w:ascii="宋体" w:hAnsi="宋体" w:eastAsia="宋体" w:cs="Times New Roman"/>
                <w:color w:val="auto"/>
              </w:rPr>
              <w:t>45</w:t>
            </w:r>
            <w:r>
              <w:rPr>
                <w:rFonts w:hint="eastAsia" w:ascii="宋体" w:hAnsi="宋体" w:eastAsia="宋体" w:cs="Times New Roman"/>
                <w:color w:val="auto"/>
              </w:rPr>
              <w:t>户，</w:t>
            </w:r>
            <w:r>
              <w:rPr>
                <w:rFonts w:ascii="宋体" w:hAnsi="宋体" w:eastAsia="宋体" w:cs="Times New Roman"/>
                <w:color w:val="auto"/>
              </w:rPr>
              <w:t>225</w:t>
            </w:r>
            <w:r>
              <w:rPr>
                <w:rFonts w:hint="eastAsia" w:ascii="宋体" w:hAnsi="宋体" w:eastAsia="宋体" w:cs="Times New Roman"/>
                <w:color w:val="auto"/>
              </w:rPr>
              <w:t>人</w:t>
            </w:r>
          </w:p>
        </w:tc>
        <w:tc>
          <w:tcPr>
            <w:tcW w:w="897" w:type="pct"/>
            <w:vMerge w:val="continue"/>
            <w:noWrap/>
            <w:vAlign w:val="center"/>
          </w:tcPr>
          <w:p w14:paraId="0673E4E6">
            <w:pPr>
              <w:snapToGrid w:val="0"/>
              <w:jc w:val="center"/>
              <w:rPr>
                <w:rFonts w:ascii="宋体" w:hAnsi="宋体" w:eastAsia="宋体" w:cs="Times New Roman"/>
                <w:color w:val="auto"/>
              </w:rPr>
            </w:pPr>
          </w:p>
        </w:tc>
        <w:tc>
          <w:tcPr>
            <w:tcW w:w="1349" w:type="pct"/>
            <w:vAlign w:val="center"/>
          </w:tcPr>
          <w:p w14:paraId="2721100A">
            <w:pPr>
              <w:snapToGrid w:val="0"/>
              <w:jc w:val="center"/>
              <w:rPr>
                <w:rFonts w:ascii="宋体" w:hAnsi="宋体" w:eastAsia="宋体" w:cs="Times New Roman"/>
                <w:color w:val="auto"/>
              </w:rPr>
            </w:pPr>
            <w:r>
              <w:rPr>
                <w:rFonts w:hint="eastAsia" w:ascii="宋体" w:hAnsi="宋体" w:eastAsia="宋体" w:cs="Times New Roman"/>
                <w:color w:val="auto"/>
              </w:rPr>
              <w:t>源</w:t>
            </w:r>
            <w:r>
              <w:rPr>
                <w:rFonts w:ascii="宋体" w:hAnsi="宋体" w:eastAsia="宋体" w:cs="Times New Roman"/>
                <w:color w:val="auto"/>
              </w:rPr>
              <w:t>1011</w:t>
            </w:r>
            <w:r>
              <w:rPr>
                <w:rFonts w:hint="eastAsia" w:ascii="宋体" w:hAnsi="宋体" w:eastAsia="宋体" w:cs="Times New Roman"/>
                <w:color w:val="auto"/>
              </w:rPr>
              <w:t>井场</w:t>
            </w:r>
          </w:p>
        </w:tc>
        <w:tc>
          <w:tcPr>
            <w:tcW w:w="176" w:type="pct"/>
            <w:vAlign w:val="center"/>
          </w:tcPr>
          <w:p w14:paraId="3A712A39">
            <w:pPr>
              <w:snapToGrid w:val="0"/>
              <w:jc w:val="center"/>
              <w:rPr>
                <w:rFonts w:ascii="宋体" w:hAnsi="宋体" w:eastAsia="宋体" w:cs="Times New Roman"/>
                <w:color w:val="auto"/>
              </w:rPr>
            </w:pPr>
            <w:r>
              <w:rPr>
                <w:rFonts w:hint="eastAsia" w:ascii="宋体" w:hAnsi="宋体" w:eastAsia="宋体" w:cs="Times New Roman"/>
                <w:color w:val="auto"/>
              </w:rPr>
              <w:t>S</w:t>
            </w:r>
            <w:r>
              <w:rPr>
                <w:rFonts w:ascii="宋体" w:hAnsi="宋体" w:eastAsia="宋体" w:cs="Times New Roman"/>
                <w:color w:val="auto"/>
              </w:rPr>
              <w:t>W</w:t>
            </w:r>
          </w:p>
        </w:tc>
        <w:tc>
          <w:tcPr>
            <w:tcW w:w="234" w:type="pct"/>
            <w:vAlign w:val="center"/>
          </w:tcPr>
          <w:p w14:paraId="226D9756">
            <w:pPr>
              <w:snapToGrid w:val="0"/>
              <w:jc w:val="center"/>
              <w:rPr>
                <w:rFonts w:ascii="宋体" w:hAnsi="宋体" w:eastAsia="宋体" w:cs="Times New Roman"/>
                <w:color w:val="auto"/>
              </w:rPr>
            </w:pPr>
            <w:r>
              <w:rPr>
                <w:rFonts w:ascii="宋体" w:hAnsi="宋体" w:eastAsia="宋体" w:cs="Times New Roman"/>
                <w:color w:val="auto"/>
              </w:rPr>
              <w:t>400</w:t>
            </w:r>
          </w:p>
        </w:tc>
      </w:tr>
      <w:tr w14:paraId="721B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5" w:type="pct"/>
            <w:vMerge w:val="continue"/>
            <w:vAlign w:val="center"/>
          </w:tcPr>
          <w:p w14:paraId="5E7FB4FD">
            <w:pPr>
              <w:snapToGrid w:val="0"/>
              <w:jc w:val="center"/>
              <w:rPr>
                <w:rFonts w:ascii="宋体" w:hAnsi="宋体" w:eastAsia="宋体" w:cs="Times New Roman"/>
                <w:color w:val="auto"/>
              </w:rPr>
            </w:pPr>
          </w:p>
        </w:tc>
        <w:tc>
          <w:tcPr>
            <w:tcW w:w="675" w:type="pct"/>
            <w:vAlign w:val="center"/>
          </w:tcPr>
          <w:p w14:paraId="644F432C">
            <w:pPr>
              <w:snapToGrid w:val="0"/>
              <w:jc w:val="center"/>
              <w:rPr>
                <w:rFonts w:ascii="宋体" w:hAnsi="宋体" w:eastAsia="宋体" w:cs="Times New Roman"/>
                <w:color w:val="auto"/>
              </w:rPr>
            </w:pPr>
            <w:r>
              <w:rPr>
                <w:rFonts w:hint="eastAsia" w:ascii="宋体" w:hAnsi="宋体" w:eastAsia="宋体" w:cs="Times New Roman"/>
                <w:color w:val="auto"/>
              </w:rPr>
              <w:t>刘兽医屯</w:t>
            </w:r>
          </w:p>
        </w:tc>
        <w:tc>
          <w:tcPr>
            <w:tcW w:w="572" w:type="pct"/>
            <w:vMerge w:val="continue"/>
            <w:vAlign w:val="center"/>
          </w:tcPr>
          <w:p w14:paraId="4FD0D317">
            <w:pPr>
              <w:snapToGrid w:val="0"/>
              <w:jc w:val="center"/>
              <w:rPr>
                <w:rFonts w:ascii="宋体" w:hAnsi="宋体" w:eastAsia="宋体" w:cs="Times New Roman"/>
                <w:color w:val="auto"/>
              </w:rPr>
            </w:pPr>
          </w:p>
        </w:tc>
        <w:tc>
          <w:tcPr>
            <w:tcW w:w="892" w:type="pct"/>
            <w:vAlign w:val="center"/>
          </w:tcPr>
          <w:p w14:paraId="193EE69C">
            <w:pPr>
              <w:snapToGrid w:val="0"/>
              <w:jc w:val="center"/>
              <w:rPr>
                <w:rFonts w:ascii="宋体" w:hAnsi="宋体" w:eastAsia="宋体" w:cs="Times New Roman"/>
                <w:color w:val="auto"/>
              </w:rPr>
            </w:pPr>
            <w:r>
              <w:rPr>
                <w:rFonts w:hint="eastAsia" w:ascii="宋体" w:hAnsi="宋体" w:eastAsia="宋体" w:cs="Times New Roman"/>
                <w:color w:val="auto"/>
              </w:rPr>
              <w:t>约</w:t>
            </w:r>
            <w:r>
              <w:rPr>
                <w:rFonts w:ascii="宋体" w:hAnsi="宋体" w:eastAsia="宋体" w:cs="Times New Roman"/>
                <w:color w:val="auto"/>
              </w:rPr>
              <w:t>45</w:t>
            </w:r>
            <w:r>
              <w:rPr>
                <w:rFonts w:hint="eastAsia" w:ascii="宋体" w:hAnsi="宋体" w:eastAsia="宋体" w:cs="Times New Roman"/>
                <w:color w:val="auto"/>
              </w:rPr>
              <w:t>户，</w:t>
            </w:r>
            <w:r>
              <w:rPr>
                <w:rFonts w:ascii="宋体" w:hAnsi="宋体" w:eastAsia="宋体" w:cs="Times New Roman"/>
                <w:color w:val="auto"/>
              </w:rPr>
              <w:t>225</w:t>
            </w:r>
            <w:r>
              <w:rPr>
                <w:rFonts w:hint="eastAsia" w:ascii="宋体" w:hAnsi="宋体" w:eastAsia="宋体" w:cs="Times New Roman"/>
                <w:color w:val="auto"/>
              </w:rPr>
              <w:t>人</w:t>
            </w:r>
          </w:p>
        </w:tc>
        <w:tc>
          <w:tcPr>
            <w:tcW w:w="897" w:type="pct"/>
            <w:vMerge w:val="continue"/>
            <w:noWrap/>
            <w:vAlign w:val="center"/>
          </w:tcPr>
          <w:p w14:paraId="1D21AC91">
            <w:pPr>
              <w:snapToGrid w:val="0"/>
              <w:jc w:val="center"/>
              <w:rPr>
                <w:rFonts w:ascii="宋体" w:hAnsi="宋体" w:eastAsia="宋体" w:cs="Times New Roman"/>
                <w:color w:val="auto"/>
              </w:rPr>
            </w:pPr>
          </w:p>
        </w:tc>
        <w:tc>
          <w:tcPr>
            <w:tcW w:w="1349" w:type="pct"/>
            <w:vAlign w:val="center"/>
          </w:tcPr>
          <w:p w14:paraId="2FE5EB80">
            <w:pPr>
              <w:snapToGrid w:val="0"/>
              <w:jc w:val="center"/>
              <w:rPr>
                <w:rFonts w:ascii="宋体" w:hAnsi="宋体" w:eastAsia="宋体" w:cs="Times New Roman"/>
                <w:color w:val="auto"/>
              </w:rPr>
            </w:pPr>
            <w:r>
              <w:rPr>
                <w:rFonts w:hint="eastAsia" w:ascii="宋体" w:hAnsi="宋体" w:eastAsia="宋体" w:cs="Times New Roman"/>
                <w:color w:val="auto"/>
              </w:rPr>
              <w:t>源</w:t>
            </w:r>
            <w:r>
              <w:rPr>
                <w:rFonts w:ascii="宋体" w:hAnsi="宋体" w:eastAsia="宋体" w:cs="Times New Roman"/>
                <w:color w:val="auto"/>
              </w:rPr>
              <w:t>1011</w:t>
            </w:r>
            <w:r>
              <w:rPr>
                <w:rFonts w:hint="eastAsia" w:ascii="宋体" w:hAnsi="宋体" w:eastAsia="宋体" w:cs="Times New Roman"/>
                <w:color w:val="auto"/>
              </w:rPr>
              <w:t>井场</w:t>
            </w:r>
          </w:p>
        </w:tc>
        <w:tc>
          <w:tcPr>
            <w:tcW w:w="176" w:type="pct"/>
            <w:vAlign w:val="center"/>
          </w:tcPr>
          <w:p w14:paraId="22886984">
            <w:pPr>
              <w:snapToGrid w:val="0"/>
              <w:jc w:val="center"/>
              <w:rPr>
                <w:rFonts w:ascii="宋体" w:hAnsi="宋体" w:eastAsia="宋体" w:cs="Times New Roman"/>
                <w:color w:val="auto"/>
              </w:rPr>
            </w:pPr>
            <w:r>
              <w:rPr>
                <w:rFonts w:hint="eastAsia" w:ascii="宋体" w:hAnsi="宋体" w:eastAsia="宋体" w:cs="Times New Roman"/>
                <w:color w:val="auto"/>
              </w:rPr>
              <w:t>W</w:t>
            </w:r>
          </w:p>
        </w:tc>
        <w:tc>
          <w:tcPr>
            <w:tcW w:w="234" w:type="pct"/>
            <w:vAlign w:val="center"/>
          </w:tcPr>
          <w:p w14:paraId="6644A286">
            <w:pPr>
              <w:snapToGrid w:val="0"/>
              <w:jc w:val="center"/>
              <w:rPr>
                <w:rFonts w:ascii="宋体" w:hAnsi="宋体" w:eastAsia="宋体" w:cs="Times New Roman"/>
                <w:color w:val="auto"/>
              </w:rPr>
            </w:pPr>
            <w:r>
              <w:rPr>
                <w:rFonts w:ascii="宋体" w:hAnsi="宋体" w:eastAsia="宋体" w:cs="Times New Roman"/>
                <w:color w:val="auto"/>
              </w:rPr>
              <w:t>140</w:t>
            </w:r>
          </w:p>
        </w:tc>
      </w:tr>
      <w:tr w14:paraId="6B0E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14" w:hRule="atLeast"/>
          <w:jc w:val="center"/>
        </w:trPr>
        <w:tc>
          <w:tcPr>
            <w:tcW w:w="205" w:type="pct"/>
            <w:vMerge w:val="continue"/>
            <w:vAlign w:val="center"/>
          </w:tcPr>
          <w:p w14:paraId="33ED4E2E">
            <w:pPr>
              <w:snapToGrid w:val="0"/>
              <w:jc w:val="center"/>
              <w:rPr>
                <w:rFonts w:ascii="宋体" w:hAnsi="宋体" w:eastAsia="宋体" w:cs="Times New Roman"/>
                <w:color w:val="auto"/>
              </w:rPr>
            </w:pPr>
          </w:p>
        </w:tc>
        <w:tc>
          <w:tcPr>
            <w:tcW w:w="675" w:type="pct"/>
            <w:vAlign w:val="center"/>
          </w:tcPr>
          <w:p w14:paraId="31DD1381">
            <w:pPr>
              <w:snapToGrid w:val="0"/>
              <w:jc w:val="center"/>
              <w:rPr>
                <w:rFonts w:ascii="宋体" w:hAnsi="宋体" w:eastAsia="宋体" w:cs="Times New Roman"/>
                <w:color w:val="auto"/>
              </w:rPr>
            </w:pPr>
            <w:r>
              <w:rPr>
                <w:rFonts w:hint="eastAsia" w:ascii="宋体" w:hAnsi="宋体" w:eastAsia="宋体" w:cs="Times New Roman"/>
                <w:color w:val="auto"/>
              </w:rPr>
              <w:t>周边农田</w:t>
            </w:r>
          </w:p>
        </w:tc>
        <w:tc>
          <w:tcPr>
            <w:tcW w:w="572" w:type="pct"/>
            <w:vAlign w:val="center"/>
          </w:tcPr>
          <w:p w14:paraId="0941F8B5">
            <w:pPr>
              <w:snapToGrid w:val="0"/>
              <w:jc w:val="center"/>
              <w:rPr>
                <w:rFonts w:ascii="宋体" w:hAnsi="宋体" w:eastAsia="宋体" w:cs="Times New Roman"/>
                <w:color w:val="auto"/>
              </w:rPr>
            </w:pPr>
            <w:r>
              <w:rPr>
                <w:rFonts w:hint="eastAsia" w:ascii="宋体" w:hAnsi="宋体" w:eastAsia="宋体" w:cs="Times New Roman"/>
                <w:color w:val="auto"/>
              </w:rPr>
              <w:t>农田、草地</w:t>
            </w:r>
          </w:p>
        </w:tc>
        <w:tc>
          <w:tcPr>
            <w:tcW w:w="892" w:type="pct"/>
            <w:vAlign w:val="center"/>
          </w:tcPr>
          <w:p w14:paraId="42EEFE1D">
            <w:pPr>
              <w:snapToGrid w:val="0"/>
              <w:jc w:val="center"/>
              <w:rPr>
                <w:rFonts w:ascii="宋体" w:hAnsi="宋体" w:eastAsia="宋体" w:cs="Times New Roman"/>
                <w:color w:val="auto"/>
              </w:rPr>
            </w:pPr>
            <w:r>
              <w:rPr>
                <w:rFonts w:hint="eastAsia" w:ascii="宋体" w:hAnsi="宋体" w:eastAsia="宋体" w:cs="Times New Roman"/>
                <w:color w:val="auto"/>
              </w:rPr>
              <w:t>/</w:t>
            </w:r>
          </w:p>
        </w:tc>
        <w:tc>
          <w:tcPr>
            <w:tcW w:w="897" w:type="pct"/>
            <w:noWrap/>
            <w:vAlign w:val="center"/>
          </w:tcPr>
          <w:p w14:paraId="65976783">
            <w:pPr>
              <w:snapToGrid w:val="0"/>
              <w:jc w:val="center"/>
              <w:rPr>
                <w:rFonts w:ascii="宋体" w:hAnsi="宋体" w:eastAsia="宋体" w:cs="Times New Roman"/>
                <w:color w:val="auto"/>
              </w:rPr>
            </w:pPr>
            <w:r>
              <w:rPr>
                <w:rFonts w:hint="eastAsia" w:ascii="宋体" w:hAnsi="宋体" w:eastAsia="宋体" w:cs="Times New Roman"/>
                <w:color w:val="auto"/>
              </w:rPr>
              <w:t>《土壤环境质量 农用地土壤污染风险管控标准（试行）》（GB</w:t>
            </w:r>
            <w:r>
              <w:rPr>
                <w:rFonts w:ascii="宋体" w:hAnsi="宋体" w:eastAsia="宋体" w:cs="Times New Roman"/>
                <w:color w:val="auto"/>
              </w:rPr>
              <w:t xml:space="preserve"> 15618</w:t>
            </w:r>
            <w:r>
              <w:rPr>
                <w:rFonts w:hint="eastAsia" w:ascii="宋体" w:hAnsi="宋体" w:eastAsia="宋体" w:cs="Times New Roman"/>
                <w:color w:val="auto"/>
              </w:rPr>
              <w:t>-</w:t>
            </w:r>
            <w:r>
              <w:rPr>
                <w:rFonts w:ascii="宋体" w:hAnsi="宋体" w:eastAsia="宋体" w:cs="Times New Roman"/>
                <w:color w:val="auto"/>
              </w:rPr>
              <w:t>2018</w:t>
            </w:r>
            <w:r>
              <w:rPr>
                <w:rFonts w:hint="eastAsia" w:ascii="宋体" w:hAnsi="宋体" w:eastAsia="宋体" w:cs="Times New Roman"/>
                <w:color w:val="auto"/>
              </w:rPr>
              <w:t>）</w:t>
            </w:r>
          </w:p>
        </w:tc>
        <w:tc>
          <w:tcPr>
            <w:tcW w:w="1349" w:type="pct"/>
            <w:vAlign w:val="center"/>
          </w:tcPr>
          <w:p w14:paraId="7C6B09A4">
            <w:pPr>
              <w:snapToGrid w:val="0"/>
              <w:jc w:val="center"/>
              <w:rPr>
                <w:rFonts w:ascii="宋体" w:hAnsi="宋体" w:eastAsia="宋体" w:cs="Times New Roman"/>
                <w:color w:val="auto"/>
              </w:rPr>
            </w:pPr>
            <w:r>
              <w:rPr>
                <w:rFonts w:hint="eastAsia" w:ascii="宋体" w:hAnsi="宋体" w:eastAsia="宋体" w:cs="Times New Roman"/>
                <w:color w:val="auto"/>
              </w:rPr>
              <w:t>井场</w:t>
            </w:r>
          </w:p>
        </w:tc>
        <w:tc>
          <w:tcPr>
            <w:tcW w:w="176" w:type="pct"/>
            <w:vAlign w:val="center"/>
          </w:tcPr>
          <w:p w14:paraId="315DDEDA">
            <w:pPr>
              <w:snapToGrid w:val="0"/>
              <w:jc w:val="center"/>
              <w:rPr>
                <w:rFonts w:ascii="宋体" w:hAnsi="宋体" w:eastAsia="宋体" w:cs="Times New Roman"/>
                <w:color w:val="auto"/>
              </w:rPr>
            </w:pPr>
            <w:r>
              <w:rPr>
                <w:rFonts w:ascii="宋体" w:hAnsi="宋体" w:eastAsia="宋体" w:cs="Times New Roman"/>
                <w:color w:val="auto"/>
              </w:rPr>
              <w:t>/</w:t>
            </w:r>
          </w:p>
        </w:tc>
        <w:tc>
          <w:tcPr>
            <w:tcW w:w="234" w:type="pct"/>
            <w:vAlign w:val="center"/>
          </w:tcPr>
          <w:p w14:paraId="793B17D9">
            <w:pPr>
              <w:snapToGrid w:val="0"/>
              <w:jc w:val="center"/>
              <w:rPr>
                <w:rFonts w:ascii="宋体" w:hAnsi="宋体" w:eastAsia="宋体" w:cs="Times New Roman"/>
                <w:color w:val="auto"/>
              </w:rPr>
            </w:pPr>
            <w:r>
              <w:rPr>
                <w:rFonts w:ascii="宋体" w:hAnsi="宋体" w:eastAsia="宋体" w:cs="Times New Roman"/>
                <w:color w:val="auto"/>
              </w:rPr>
              <w:t>0</w:t>
            </w:r>
          </w:p>
        </w:tc>
      </w:tr>
    </w:tbl>
    <w:p w14:paraId="365C1815">
      <w:pPr>
        <w:pStyle w:val="22"/>
        <w:spacing w:before="156"/>
        <w:rPr>
          <w:color w:val="auto"/>
          <w:kern w:val="21"/>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2.7</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5</w:t>
      </w:r>
      <w:r>
        <w:rPr>
          <w:color w:val="auto"/>
        </w:rPr>
        <w:fldChar w:fldCharType="end"/>
      </w:r>
      <w:r>
        <w:rPr>
          <w:color w:val="auto"/>
        </w:rPr>
        <w:t>其他环境因素保护目标表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autofit"/>
        <w:tblCellMar>
          <w:top w:w="0" w:type="dxa"/>
          <w:left w:w="57" w:type="dxa"/>
          <w:bottom w:w="0" w:type="dxa"/>
          <w:right w:w="57" w:type="dxa"/>
        </w:tblCellMar>
      </w:tblPr>
      <w:tblGrid>
        <w:gridCol w:w="766"/>
        <w:gridCol w:w="1240"/>
        <w:gridCol w:w="797"/>
        <w:gridCol w:w="788"/>
        <w:gridCol w:w="797"/>
        <w:gridCol w:w="1793"/>
        <w:gridCol w:w="3003"/>
      </w:tblGrid>
      <w:tr w14:paraId="075B640F">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shd w:val="clear" w:color="auto" w:fill="auto"/>
            <w:vAlign w:val="center"/>
          </w:tcPr>
          <w:p w14:paraId="0614A6B0">
            <w:pPr>
              <w:snapToGrid w:val="0"/>
              <w:jc w:val="center"/>
              <w:rPr>
                <w:rFonts w:ascii="宋体" w:hAnsi="宋体" w:eastAsia="宋体" w:cs="Times New Roman"/>
                <w:color w:val="auto"/>
              </w:rPr>
            </w:pPr>
            <w:r>
              <w:rPr>
                <w:rFonts w:ascii="宋体" w:hAnsi="宋体" w:eastAsia="宋体" w:cs="Times New Roman"/>
                <w:color w:val="auto"/>
              </w:rPr>
              <w:t>环境要素</w:t>
            </w:r>
          </w:p>
        </w:tc>
        <w:tc>
          <w:tcPr>
            <w:tcW w:w="675" w:type="pct"/>
            <w:shd w:val="clear" w:color="auto" w:fill="auto"/>
            <w:vAlign w:val="center"/>
          </w:tcPr>
          <w:p w14:paraId="614B653C">
            <w:pPr>
              <w:snapToGrid w:val="0"/>
              <w:jc w:val="center"/>
              <w:rPr>
                <w:rFonts w:ascii="宋体" w:hAnsi="宋体" w:eastAsia="宋体" w:cs="Times New Roman"/>
                <w:color w:val="auto"/>
              </w:rPr>
            </w:pPr>
            <w:r>
              <w:rPr>
                <w:rFonts w:ascii="宋体" w:hAnsi="宋体" w:eastAsia="宋体" w:cs="Times New Roman"/>
                <w:color w:val="auto"/>
              </w:rPr>
              <w:t>保护目标</w:t>
            </w:r>
          </w:p>
        </w:tc>
        <w:tc>
          <w:tcPr>
            <w:tcW w:w="863" w:type="pct"/>
            <w:gridSpan w:val="2"/>
            <w:shd w:val="clear" w:color="auto" w:fill="auto"/>
            <w:vAlign w:val="center"/>
          </w:tcPr>
          <w:p w14:paraId="24778A96">
            <w:pPr>
              <w:snapToGrid w:val="0"/>
              <w:jc w:val="center"/>
              <w:rPr>
                <w:rFonts w:ascii="宋体" w:hAnsi="宋体" w:eastAsia="宋体" w:cs="Times New Roman"/>
                <w:color w:val="auto"/>
              </w:rPr>
            </w:pPr>
            <w:r>
              <w:rPr>
                <w:rFonts w:ascii="宋体" w:hAnsi="宋体" w:eastAsia="宋体" w:cs="Times New Roman"/>
                <w:color w:val="auto"/>
              </w:rPr>
              <w:t>最近方位及距离</w:t>
            </w:r>
          </w:p>
        </w:tc>
        <w:tc>
          <w:tcPr>
            <w:tcW w:w="1409" w:type="pct"/>
            <w:gridSpan w:val="2"/>
            <w:shd w:val="clear" w:color="auto" w:fill="auto"/>
            <w:vAlign w:val="center"/>
          </w:tcPr>
          <w:p w14:paraId="190C6387">
            <w:pPr>
              <w:snapToGrid w:val="0"/>
              <w:jc w:val="center"/>
              <w:rPr>
                <w:rFonts w:ascii="宋体" w:hAnsi="宋体" w:eastAsia="宋体" w:cs="Times New Roman"/>
                <w:color w:val="auto"/>
              </w:rPr>
            </w:pPr>
            <w:r>
              <w:rPr>
                <w:rFonts w:ascii="宋体" w:hAnsi="宋体" w:eastAsia="宋体" w:cs="Times New Roman"/>
                <w:color w:val="auto"/>
              </w:rPr>
              <w:t>规模</w:t>
            </w:r>
          </w:p>
        </w:tc>
        <w:tc>
          <w:tcPr>
            <w:tcW w:w="1636" w:type="pct"/>
            <w:shd w:val="clear" w:color="auto" w:fill="auto"/>
            <w:vAlign w:val="center"/>
          </w:tcPr>
          <w:p w14:paraId="0B52ED04">
            <w:pPr>
              <w:snapToGrid w:val="0"/>
              <w:jc w:val="center"/>
              <w:rPr>
                <w:rFonts w:ascii="宋体" w:hAnsi="宋体" w:eastAsia="宋体" w:cs="Times New Roman"/>
                <w:color w:val="auto"/>
              </w:rPr>
            </w:pPr>
            <w:r>
              <w:rPr>
                <w:rFonts w:ascii="宋体" w:hAnsi="宋体" w:eastAsia="宋体" w:cs="Times New Roman"/>
                <w:color w:val="auto"/>
              </w:rPr>
              <w:t>保护标准及保护级别</w:t>
            </w:r>
          </w:p>
        </w:tc>
      </w:tr>
      <w:tr w14:paraId="3E3098A0">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restart"/>
            <w:shd w:val="clear" w:color="auto" w:fill="auto"/>
            <w:vAlign w:val="center"/>
          </w:tcPr>
          <w:p w14:paraId="581A505D">
            <w:pPr>
              <w:snapToGrid w:val="0"/>
              <w:jc w:val="center"/>
              <w:rPr>
                <w:rFonts w:ascii="宋体" w:hAnsi="宋体" w:eastAsia="宋体" w:cs="Times New Roman"/>
                <w:color w:val="auto"/>
              </w:rPr>
            </w:pPr>
            <w:r>
              <w:rPr>
                <w:rFonts w:ascii="宋体" w:hAnsi="宋体" w:eastAsia="宋体" w:cs="Times New Roman"/>
                <w:color w:val="auto"/>
              </w:rPr>
              <w:t>地表水环境</w:t>
            </w:r>
          </w:p>
        </w:tc>
        <w:tc>
          <w:tcPr>
            <w:tcW w:w="675" w:type="pct"/>
            <w:shd w:val="clear" w:color="auto" w:fill="auto"/>
            <w:vAlign w:val="center"/>
          </w:tcPr>
          <w:p w14:paraId="0489F37A">
            <w:pPr>
              <w:snapToGrid w:val="0"/>
              <w:jc w:val="center"/>
              <w:rPr>
                <w:rFonts w:ascii="宋体" w:hAnsi="宋体" w:eastAsia="宋体" w:cs="Times New Roman"/>
                <w:color w:val="auto"/>
              </w:rPr>
            </w:pPr>
            <w:r>
              <w:rPr>
                <w:rFonts w:hint="eastAsia" w:ascii="宋体" w:hAnsi="宋体" w:eastAsia="宋体" w:cs="Times New Roman"/>
                <w:color w:val="auto"/>
              </w:rPr>
              <w:t>中心东四支渠</w:t>
            </w:r>
          </w:p>
        </w:tc>
        <w:tc>
          <w:tcPr>
            <w:tcW w:w="863" w:type="pct"/>
            <w:gridSpan w:val="2"/>
            <w:shd w:val="clear" w:color="auto" w:fill="auto"/>
            <w:vAlign w:val="center"/>
          </w:tcPr>
          <w:p w14:paraId="3B4E542E">
            <w:pPr>
              <w:jc w:val="center"/>
              <w:rPr>
                <w:rFonts w:ascii="宋体" w:hAnsi="宋体" w:eastAsia="宋体" w:cs="Times New Roman"/>
                <w:color w:val="auto"/>
              </w:rPr>
            </w:pPr>
            <w:r>
              <w:rPr>
                <w:rFonts w:hint="eastAsia" w:ascii="宋体" w:hAnsi="宋体" w:eastAsia="宋体" w:cs="Times New Roman"/>
                <w:color w:val="auto"/>
              </w:rPr>
              <w:t>源斜2401井场东</w:t>
            </w:r>
            <w:r>
              <w:rPr>
                <w:rFonts w:ascii="宋体" w:hAnsi="宋体" w:eastAsia="宋体" w:cs="Times New Roman"/>
                <w:color w:val="auto"/>
              </w:rPr>
              <w:t>侧</w:t>
            </w:r>
            <w:r>
              <w:rPr>
                <w:rFonts w:hint="eastAsia" w:ascii="宋体" w:hAnsi="宋体" w:eastAsia="宋体" w:cs="Times New Roman"/>
                <w:color w:val="auto"/>
              </w:rPr>
              <w:t>200m</w:t>
            </w:r>
          </w:p>
        </w:tc>
        <w:tc>
          <w:tcPr>
            <w:tcW w:w="1409" w:type="pct"/>
            <w:gridSpan w:val="2"/>
            <w:shd w:val="clear" w:color="auto" w:fill="auto"/>
            <w:vAlign w:val="center"/>
          </w:tcPr>
          <w:p w14:paraId="47003FC7">
            <w:pPr>
              <w:jc w:val="center"/>
              <w:rPr>
                <w:rFonts w:ascii="宋体" w:hAnsi="宋体" w:eastAsia="宋体" w:cs="Times New Roman"/>
                <w:color w:val="auto"/>
              </w:rPr>
            </w:pPr>
            <w:r>
              <w:rPr>
                <w:rFonts w:ascii="宋体" w:hAnsi="宋体" w:eastAsia="宋体" w:cs="Times New Roman"/>
                <w:color w:val="auto"/>
              </w:rPr>
              <w:t>排涝渠</w:t>
            </w:r>
          </w:p>
        </w:tc>
        <w:tc>
          <w:tcPr>
            <w:tcW w:w="1636" w:type="pct"/>
            <w:vMerge w:val="restart"/>
            <w:shd w:val="clear" w:color="auto" w:fill="auto"/>
            <w:vAlign w:val="center"/>
          </w:tcPr>
          <w:p w14:paraId="6F9B91AD">
            <w:pPr>
              <w:snapToGrid w:val="0"/>
              <w:jc w:val="center"/>
              <w:rPr>
                <w:rFonts w:ascii="宋体" w:hAnsi="宋体" w:eastAsia="宋体" w:cs="Times New Roman"/>
                <w:color w:val="auto"/>
              </w:rPr>
            </w:pPr>
            <w:r>
              <w:rPr>
                <w:rFonts w:ascii="宋体" w:hAnsi="宋体" w:eastAsia="宋体" w:cs="Times New Roman"/>
                <w:color w:val="auto"/>
              </w:rPr>
              <w:t>保护地表水环境质量现状</w:t>
            </w:r>
          </w:p>
        </w:tc>
      </w:tr>
      <w:tr w14:paraId="7DF360A7">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695C18D9">
            <w:pPr>
              <w:snapToGrid w:val="0"/>
              <w:jc w:val="center"/>
              <w:rPr>
                <w:rFonts w:ascii="宋体" w:hAnsi="宋体" w:eastAsia="宋体" w:cs="Times New Roman"/>
                <w:color w:val="auto"/>
              </w:rPr>
            </w:pPr>
          </w:p>
        </w:tc>
        <w:tc>
          <w:tcPr>
            <w:tcW w:w="675" w:type="pct"/>
            <w:shd w:val="clear" w:color="auto" w:fill="auto"/>
            <w:vAlign w:val="center"/>
          </w:tcPr>
          <w:p w14:paraId="0D323E29">
            <w:pPr>
              <w:snapToGrid w:val="0"/>
              <w:jc w:val="center"/>
              <w:rPr>
                <w:rFonts w:ascii="宋体" w:hAnsi="宋体" w:eastAsia="宋体" w:cs="Times New Roman"/>
                <w:color w:val="auto"/>
              </w:rPr>
            </w:pPr>
            <w:r>
              <w:rPr>
                <w:rFonts w:hint="eastAsia" w:ascii="宋体" w:hAnsi="宋体" w:eastAsia="宋体" w:cs="Times New Roman"/>
                <w:color w:val="auto"/>
              </w:rPr>
              <w:t>西大海</w:t>
            </w:r>
          </w:p>
        </w:tc>
        <w:tc>
          <w:tcPr>
            <w:tcW w:w="863" w:type="pct"/>
            <w:gridSpan w:val="2"/>
            <w:shd w:val="clear" w:color="auto" w:fill="auto"/>
            <w:vAlign w:val="center"/>
          </w:tcPr>
          <w:p w14:paraId="5B877200">
            <w:pPr>
              <w:jc w:val="center"/>
              <w:rPr>
                <w:rFonts w:ascii="宋体" w:hAnsi="宋体" w:eastAsia="宋体" w:cs="Times New Roman"/>
                <w:color w:val="auto"/>
              </w:rPr>
            </w:pPr>
            <w:r>
              <w:rPr>
                <w:rFonts w:hint="eastAsia" w:ascii="宋体" w:hAnsi="宋体" w:eastAsia="宋体" w:cs="Times New Roman"/>
                <w:color w:val="auto"/>
              </w:rPr>
              <w:t>源1011井场北侧240m</w:t>
            </w:r>
          </w:p>
        </w:tc>
        <w:tc>
          <w:tcPr>
            <w:tcW w:w="1409" w:type="pct"/>
            <w:gridSpan w:val="2"/>
            <w:shd w:val="clear" w:color="auto" w:fill="auto"/>
            <w:vAlign w:val="center"/>
          </w:tcPr>
          <w:p w14:paraId="762D524C">
            <w:pPr>
              <w:jc w:val="center"/>
              <w:rPr>
                <w:rFonts w:ascii="宋体" w:hAnsi="宋体" w:eastAsia="宋体" w:cs="Times New Roman"/>
                <w:color w:val="auto"/>
              </w:rPr>
            </w:pPr>
            <w:r>
              <w:rPr>
                <w:rFonts w:ascii="宋体" w:hAnsi="宋体" w:eastAsia="宋体" w:cs="Times New Roman"/>
                <w:color w:val="auto"/>
              </w:rPr>
              <w:t>微咸水湖，面积约为23.13</w:t>
            </w:r>
            <w:r>
              <w:rPr>
                <w:rFonts w:hint="eastAsia" w:ascii="宋体" w:hAnsi="宋体" w:eastAsia="宋体" w:cs="Times New Roman"/>
                <w:color w:val="auto"/>
              </w:rPr>
              <w:t>km</w:t>
            </w:r>
            <w:r>
              <w:rPr>
                <w:rFonts w:hint="eastAsia" w:ascii="宋体" w:hAnsi="宋体" w:eastAsia="宋体" w:cs="Times New Roman"/>
                <w:color w:val="auto"/>
                <w:vertAlign w:val="superscript"/>
              </w:rPr>
              <w:t>2</w:t>
            </w:r>
          </w:p>
        </w:tc>
        <w:tc>
          <w:tcPr>
            <w:tcW w:w="1636" w:type="pct"/>
            <w:vMerge w:val="continue"/>
            <w:shd w:val="clear" w:color="auto" w:fill="auto"/>
            <w:vAlign w:val="center"/>
          </w:tcPr>
          <w:p w14:paraId="43BB27D1">
            <w:pPr>
              <w:snapToGrid w:val="0"/>
              <w:jc w:val="center"/>
              <w:rPr>
                <w:rFonts w:ascii="宋体" w:hAnsi="宋体" w:eastAsia="宋体" w:cs="Times New Roman"/>
                <w:color w:val="auto"/>
              </w:rPr>
            </w:pPr>
          </w:p>
        </w:tc>
      </w:tr>
      <w:tr w14:paraId="7A2AD4B6">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7CCFDDCD">
            <w:pPr>
              <w:snapToGrid w:val="0"/>
              <w:jc w:val="center"/>
              <w:rPr>
                <w:rFonts w:ascii="宋体" w:hAnsi="宋体" w:eastAsia="宋体" w:cs="Times New Roman"/>
                <w:color w:val="auto"/>
              </w:rPr>
            </w:pPr>
          </w:p>
        </w:tc>
        <w:tc>
          <w:tcPr>
            <w:tcW w:w="675" w:type="pct"/>
            <w:shd w:val="clear" w:color="auto" w:fill="auto"/>
            <w:vAlign w:val="center"/>
          </w:tcPr>
          <w:p w14:paraId="4D7CFA7B">
            <w:pPr>
              <w:snapToGrid w:val="0"/>
              <w:jc w:val="center"/>
              <w:rPr>
                <w:rFonts w:ascii="宋体" w:hAnsi="宋体" w:eastAsia="宋体" w:cs="Times New Roman"/>
                <w:color w:val="auto"/>
              </w:rPr>
            </w:pPr>
            <w:r>
              <w:rPr>
                <w:rFonts w:hint="eastAsia" w:ascii="宋体" w:hAnsi="宋体" w:eastAsia="宋体" w:cs="Times New Roman"/>
                <w:color w:val="auto"/>
              </w:rPr>
              <w:t>中心西干渠</w:t>
            </w:r>
          </w:p>
        </w:tc>
        <w:tc>
          <w:tcPr>
            <w:tcW w:w="863" w:type="pct"/>
            <w:gridSpan w:val="2"/>
            <w:shd w:val="clear" w:color="auto" w:fill="auto"/>
            <w:vAlign w:val="center"/>
          </w:tcPr>
          <w:p w14:paraId="4EA22802">
            <w:pPr>
              <w:jc w:val="center"/>
              <w:rPr>
                <w:rFonts w:ascii="宋体" w:hAnsi="宋体" w:eastAsia="宋体" w:cs="Times New Roman"/>
                <w:color w:val="auto"/>
              </w:rPr>
            </w:pPr>
            <w:r>
              <w:rPr>
                <w:rFonts w:hint="eastAsia" w:ascii="宋体" w:hAnsi="宋体" w:eastAsia="宋体" w:cs="Times New Roman"/>
                <w:color w:val="auto"/>
              </w:rPr>
              <w:t>源1011井场南侧360m</w:t>
            </w:r>
          </w:p>
        </w:tc>
        <w:tc>
          <w:tcPr>
            <w:tcW w:w="1409" w:type="pct"/>
            <w:gridSpan w:val="2"/>
            <w:shd w:val="clear" w:color="auto" w:fill="auto"/>
            <w:vAlign w:val="center"/>
          </w:tcPr>
          <w:p w14:paraId="3DE5C113">
            <w:pPr>
              <w:jc w:val="center"/>
              <w:rPr>
                <w:rFonts w:ascii="宋体" w:hAnsi="宋体" w:eastAsia="宋体" w:cs="Times New Roman"/>
                <w:color w:val="auto"/>
              </w:rPr>
            </w:pPr>
            <w:r>
              <w:rPr>
                <w:rFonts w:ascii="宋体" w:hAnsi="宋体" w:eastAsia="宋体" w:cs="Times New Roman"/>
                <w:color w:val="auto"/>
              </w:rPr>
              <w:t>排涝渠</w:t>
            </w:r>
          </w:p>
        </w:tc>
        <w:tc>
          <w:tcPr>
            <w:tcW w:w="1636" w:type="pct"/>
            <w:vMerge w:val="continue"/>
            <w:shd w:val="clear" w:color="auto" w:fill="auto"/>
            <w:vAlign w:val="center"/>
          </w:tcPr>
          <w:p w14:paraId="322CC268">
            <w:pPr>
              <w:snapToGrid w:val="0"/>
              <w:jc w:val="center"/>
              <w:rPr>
                <w:rFonts w:ascii="宋体" w:hAnsi="宋体" w:eastAsia="宋体" w:cs="Times New Roman"/>
                <w:color w:val="auto"/>
              </w:rPr>
            </w:pPr>
          </w:p>
        </w:tc>
      </w:tr>
      <w:tr w14:paraId="6E73750C">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restart"/>
            <w:shd w:val="clear" w:color="auto" w:fill="auto"/>
            <w:vAlign w:val="center"/>
          </w:tcPr>
          <w:p w14:paraId="582F4E84">
            <w:pPr>
              <w:snapToGrid w:val="0"/>
              <w:jc w:val="center"/>
              <w:rPr>
                <w:rFonts w:ascii="宋体" w:hAnsi="宋体" w:eastAsia="宋体" w:cs="Times New Roman"/>
                <w:color w:val="auto"/>
              </w:rPr>
            </w:pPr>
            <w:r>
              <w:rPr>
                <w:rFonts w:ascii="宋体" w:hAnsi="宋体" w:eastAsia="宋体" w:cs="Times New Roman"/>
                <w:color w:val="auto"/>
              </w:rPr>
              <w:t>地下水环境</w:t>
            </w:r>
          </w:p>
        </w:tc>
        <w:tc>
          <w:tcPr>
            <w:tcW w:w="675" w:type="pct"/>
            <w:shd w:val="clear" w:color="auto" w:fill="auto"/>
            <w:vAlign w:val="center"/>
          </w:tcPr>
          <w:p w14:paraId="29E3F64C">
            <w:pPr>
              <w:jc w:val="center"/>
              <w:rPr>
                <w:rFonts w:ascii="宋体" w:hAnsi="宋体" w:eastAsia="宋体" w:cs="Times New Roman"/>
                <w:color w:val="auto"/>
              </w:rPr>
            </w:pPr>
            <w:r>
              <w:rPr>
                <w:rFonts w:hint="eastAsia" w:ascii="宋体" w:hAnsi="宋体" w:eastAsia="宋体" w:cs="Times New Roman"/>
                <w:color w:val="auto"/>
              </w:rPr>
              <w:t>吴家围子屯分散式水源井</w:t>
            </w:r>
          </w:p>
        </w:tc>
        <w:tc>
          <w:tcPr>
            <w:tcW w:w="863" w:type="pct"/>
            <w:gridSpan w:val="2"/>
            <w:shd w:val="clear" w:color="auto" w:fill="auto"/>
            <w:vAlign w:val="center"/>
          </w:tcPr>
          <w:p w14:paraId="296C7B02">
            <w:pPr>
              <w:jc w:val="center"/>
              <w:rPr>
                <w:rFonts w:ascii="宋体" w:hAnsi="宋体" w:eastAsia="宋体" w:cs="Times New Roman"/>
                <w:color w:val="auto"/>
              </w:rPr>
            </w:pPr>
            <w:r>
              <w:rPr>
                <w:rFonts w:ascii="宋体" w:hAnsi="宋体" w:eastAsia="宋体" w:cs="Times New Roman"/>
                <w:color w:val="auto"/>
              </w:rPr>
              <w:t>源212-扶平</w:t>
            </w:r>
            <w:r>
              <w:rPr>
                <w:rFonts w:hint="eastAsia" w:ascii="宋体" w:hAnsi="宋体" w:eastAsia="宋体" w:cs="Times New Roman"/>
                <w:color w:val="auto"/>
              </w:rPr>
              <w:t>3东北1900m</w:t>
            </w:r>
          </w:p>
        </w:tc>
        <w:tc>
          <w:tcPr>
            <w:tcW w:w="1409" w:type="pct"/>
            <w:gridSpan w:val="2"/>
            <w:shd w:val="clear" w:color="auto" w:fill="auto"/>
            <w:vAlign w:val="center"/>
          </w:tcPr>
          <w:p w14:paraId="41B7B473">
            <w:pPr>
              <w:jc w:val="center"/>
              <w:rPr>
                <w:rFonts w:ascii="宋体" w:hAnsi="宋体" w:eastAsia="宋体" w:cs="Times New Roman"/>
                <w:color w:val="auto"/>
              </w:rPr>
            </w:pPr>
            <w:r>
              <w:rPr>
                <w:rFonts w:hint="eastAsia" w:ascii="宋体" w:hAnsi="宋体" w:eastAsia="宋体" w:cs="Times New Roman"/>
                <w:color w:val="auto"/>
              </w:rPr>
              <w:t>承压水井1口，</w:t>
            </w:r>
            <w:r>
              <w:rPr>
                <w:rFonts w:ascii="宋体" w:hAnsi="宋体" w:eastAsia="宋体" w:cs="Times New Roman"/>
                <w:color w:val="auto"/>
              </w:rPr>
              <w:t>井深</w:t>
            </w:r>
            <w:r>
              <w:rPr>
                <w:rFonts w:hint="eastAsia" w:ascii="宋体" w:hAnsi="宋体" w:eastAsia="宋体" w:cs="Times New Roman"/>
                <w:color w:val="auto"/>
              </w:rPr>
              <w:t>70</w:t>
            </w:r>
            <w:r>
              <w:rPr>
                <w:rFonts w:ascii="宋体" w:hAnsi="宋体" w:eastAsia="宋体" w:cs="Times New Roman"/>
                <w:color w:val="auto"/>
              </w:rPr>
              <w:t>m，供本村</w:t>
            </w:r>
            <w:r>
              <w:rPr>
                <w:rFonts w:hint="eastAsia" w:ascii="宋体" w:hAnsi="宋体" w:eastAsia="宋体" w:cs="Times New Roman"/>
                <w:color w:val="auto"/>
              </w:rPr>
              <w:t>100人</w:t>
            </w:r>
            <w:r>
              <w:rPr>
                <w:rFonts w:ascii="宋体" w:hAnsi="宋体" w:eastAsia="宋体" w:cs="Times New Roman"/>
                <w:color w:val="auto"/>
              </w:rPr>
              <w:t>饮用，其余分散式水井约</w:t>
            </w:r>
            <w:r>
              <w:rPr>
                <w:rFonts w:hint="eastAsia" w:ascii="宋体" w:hAnsi="宋体" w:eastAsia="宋体" w:cs="Times New Roman"/>
                <w:color w:val="auto"/>
              </w:rPr>
              <w:t>15</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restart"/>
            <w:shd w:val="clear" w:color="auto" w:fill="auto"/>
            <w:vAlign w:val="center"/>
          </w:tcPr>
          <w:p w14:paraId="3F926683">
            <w:pPr>
              <w:snapToGrid w:val="0"/>
              <w:jc w:val="center"/>
              <w:rPr>
                <w:rFonts w:ascii="宋体" w:hAnsi="宋体" w:eastAsia="宋体" w:cs="Times New Roman"/>
                <w:color w:val="auto"/>
              </w:rPr>
            </w:pPr>
            <w:r>
              <w:rPr>
                <w:rFonts w:ascii="宋体" w:hAnsi="宋体" w:eastAsia="宋体" w:cs="Times New Roman"/>
                <w:color w:val="auto"/>
              </w:rPr>
              <w:t>《地下水质量标准》（GB/T14848-2017）III类，石油类参考执行《地表水环境质量标准》（GB3838-2002）表1中的II类标准限值要求</w:t>
            </w:r>
          </w:p>
        </w:tc>
      </w:tr>
      <w:tr w14:paraId="2A2058B7">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5E5E35CF">
            <w:pPr>
              <w:snapToGrid w:val="0"/>
              <w:jc w:val="center"/>
              <w:rPr>
                <w:rFonts w:ascii="宋体" w:hAnsi="宋体" w:eastAsia="宋体" w:cs="Times New Roman"/>
                <w:color w:val="auto"/>
              </w:rPr>
            </w:pPr>
          </w:p>
        </w:tc>
        <w:tc>
          <w:tcPr>
            <w:tcW w:w="675" w:type="pct"/>
            <w:shd w:val="clear" w:color="auto" w:fill="auto"/>
            <w:vAlign w:val="center"/>
          </w:tcPr>
          <w:p w14:paraId="5F432821">
            <w:pPr>
              <w:jc w:val="center"/>
              <w:rPr>
                <w:rFonts w:ascii="宋体" w:hAnsi="宋体" w:eastAsia="宋体" w:cs="Times New Roman"/>
                <w:color w:val="auto"/>
              </w:rPr>
            </w:pPr>
            <w:r>
              <w:rPr>
                <w:rFonts w:hint="eastAsia" w:ascii="宋体" w:hAnsi="宋体" w:eastAsia="宋体" w:cs="Times New Roman"/>
                <w:color w:val="auto"/>
              </w:rPr>
              <w:t>张家围子分散式水源井</w:t>
            </w:r>
          </w:p>
        </w:tc>
        <w:tc>
          <w:tcPr>
            <w:tcW w:w="863" w:type="pct"/>
            <w:gridSpan w:val="2"/>
            <w:shd w:val="clear" w:color="auto" w:fill="auto"/>
            <w:vAlign w:val="center"/>
          </w:tcPr>
          <w:p w14:paraId="2E676357">
            <w:pPr>
              <w:jc w:val="center"/>
              <w:rPr>
                <w:rFonts w:ascii="宋体" w:hAnsi="宋体" w:eastAsia="宋体" w:cs="Times New Roman"/>
                <w:color w:val="auto"/>
              </w:rPr>
            </w:pPr>
            <w:r>
              <w:rPr>
                <w:rFonts w:ascii="宋体" w:hAnsi="宋体" w:eastAsia="宋体" w:cs="Times New Roman"/>
                <w:color w:val="auto"/>
              </w:rPr>
              <w:t>源212-扶平</w:t>
            </w:r>
            <w:r>
              <w:rPr>
                <w:rFonts w:hint="eastAsia" w:ascii="宋体" w:hAnsi="宋体" w:eastAsia="宋体" w:cs="Times New Roman"/>
                <w:color w:val="auto"/>
              </w:rPr>
              <w:t>3西北1600m</w:t>
            </w:r>
          </w:p>
        </w:tc>
        <w:tc>
          <w:tcPr>
            <w:tcW w:w="1409" w:type="pct"/>
            <w:gridSpan w:val="2"/>
            <w:shd w:val="clear" w:color="auto" w:fill="auto"/>
            <w:vAlign w:val="center"/>
          </w:tcPr>
          <w:p w14:paraId="4F5AC2EB">
            <w:pPr>
              <w:jc w:val="center"/>
              <w:rPr>
                <w:rFonts w:ascii="宋体" w:hAnsi="宋体" w:eastAsia="宋体" w:cs="Times New Roman"/>
                <w:color w:val="auto"/>
              </w:rPr>
            </w:pPr>
            <w:r>
              <w:rPr>
                <w:rFonts w:hint="eastAsia" w:ascii="宋体" w:hAnsi="宋体" w:eastAsia="宋体" w:cs="Times New Roman"/>
                <w:color w:val="auto"/>
              </w:rPr>
              <w:t>承压水井1口，</w:t>
            </w:r>
            <w:r>
              <w:rPr>
                <w:rFonts w:ascii="宋体" w:hAnsi="宋体" w:eastAsia="宋体" w:cs="Times New Roman"/>
                <w:color w:val="auto"/>
              </w:rPr>
              <w:t>井深</w:t>
            </w:r>
            <w:r>
              <w:rPr>
                <w:rFonts w:hint="eastAsia" w:ascii="宋体" w:hAnsi="宋体" w:eastAsia="宋体" w:cs="Times New Roman"/>
                <w:color w:val="auto"/>
              </w:rPr>
              <w:t>65</w:t>
            </w:r>
            <w:r>
              <w:rPr>
                <w:rFonts w:ascii="宋体" w:hAnsi="宋体" w:eastAsia="宋体" w:cs="Times New Roman"/>
                <w:color w:val="auto"/>
              </w:rPr>
              <w:t>m，供本村</w:t>
            </w:r>
            <w:r>
              <w:rPr>
                <w:rFonts w:hint="eastAsia" w:ascii="宋体" w:hAnsi="宋体" w:eastAsia="宋体" w:cs="Times New Roman"/>
                <w:color w:val="auto"/>
              </w:rPr>
              <w:t>140人</w:t>
            </w:r>
            <w:r>
              <w:rPr>
                <w:rFonts w:ascii="宋体" w:hAnsi="宋体" w:eastAsia="宋体" w:cs="Times New Roman"/>
                <w:color w:val="auto"/>
              </w:rPr>
              <w:t>饮用，其余分散式水井约</w:t>
            </w:r>
            <w:r>
              <w:rPr>
                <w:rFonts w:hint="eastAsia" w:ascii="宋体" w:hAnsi="宋体" w:eastAsia="宋体" w:cs="Times New Roman"/>
                <w:color w:val="auto"/>
              </w:rPr>
              <w:t>30</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67F481B1">
            <w:pPr>
              <w:snapToGrid w:val="0"/>
              <w:jc w:val="center"/>
              <w:rPr>
                <w:rFonts w:ascii="宋体" w:hAnsi="宋体" w:eastAsia="宋体" w:cs="Times New Roman"/>
                <w:color w:val="auto"/>
              </w:rPr>
            </w:pPr>
          </w:p>
        </w:tc>
      </w:tr>
      <w:tr w14:paraId="5C2E799A">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35F83029">
            <w:pPr>
              <w:snapToGrid w:val="0"/>
              <w:jc w:val="center"/>
              <w:rPr>
                <w:rFonts w:ascii="宋体" w:hAnsi="宋体" w:eastAsia="宋体" w:cs="Times New Roman"/>
                <w:color w:val="auto"/>
              </w:rPr>
            </w:pPr>
          </w:p>
        </w:tc>
        <w:tc>
          <w:tcPr>
            <w:tcW w:w="675" w:type="pct"/>
            <w:shd w:val="clear" w:color="auto" w:fill="auto"/>
            <w:vAlign w:val="center"/>
          </w:tcPr>
          <w:p w14:paraId="0D5C59E8">
            <w:pPr>
              <w:jc w:val="center"/>
              <w:rPr>
                <w:rFonts w:ascii="宋体" w:hAnsi="宋体" w:eastAsia="宋体" w:cs="Times New Roman"/>
                <w:color w:val="auto"/>
              </w:rPr>
            </w:pPr>
            <w:r>
              <w:rPr>
                <w:rFonts w:hint="eastAsia" w:ascii="宋体" w:hAnsi="宋体" w:eastAsia="宋体" w:cs="Times New Roman"/>
                <w:color w:val="auto"/>
              </w:rPr>
              <w:t>赵家围子分散式水源井</w:t>
            </w:r>
          </w:p>
        </w:tc>
        <w:tc>
          <w:tcPr>
            <w:tcW w:w="863" w:type="pct"/>
            <w:gridSpan w:val="2"/>
            <w:shd w:val="clear" w:color="auto" w:fill="auto"/>
            <w:vAlign w:val="center"/>
          </w:tcPr>
          <w:p w14:paraId="2AF1D7EC">
            <w:pPr>
              <w:jc w:val="center"/>
              <w:rPr>
                <w:rFonts w:ascii="宋体" w:hAnsi="宋体" w:eastAsia="宋体" w:cs="Times New Roman"/>
                <w:color w:val="auto"/>
              </w:rPr>
            </w:pPr>
            <w:r>
              <w:rPr>
                <w:rFonts w:ascii="宋体" w:hAnsi="宋体" w:eastAsia="宋体" w:cs="Times New Roman"/>
                <w:color w:val="auto"/>
              </w:rPr>
              <w:t>源212-扶平</w:t>
            </w:r>
            <w:r>
              <w:rPr>
                <w:rFonts w:hint="eastAsia" w:ascii="宋体" w:hAnsi="宋体" w:eastAsia="宋体" w:cs="Times New Roman"/>
                <w:color w:val="auto"/>
              </w:rPr>
              <w:t>3西1800m</w:t>
            </w:r>
          </w:p>
        </w:tc>
        <w:tc>
          <w:tcPr>
            <w:tcW w:w="1409" w:type="pct"/>
            <w:gridSpan w:val="2"/>
            <w:shd w:val="clear" w:color="auto" w:fill="auto"/>
            <w:vAlign w:val="center"/>
          </w:tcPr>
          <w:p w14:paraId="1AF54CE2">
            <w:pPr>
              <w:jc w:val="center"/>
              <w:rPr>
                <w:rFonts w:ascii="宋体" w:hAnsi="宋体" w:eastAsia="宋体" w:cs="Times New Roman"/>
                <w:color w:val="auto"/>
              </w:rPr>
            </w:pPr>
            <w:r>
              <w:rPr>
                <w:rFonts w:hint="eastAsia" w:ascii="宋体" w:hAnsi="宋体" w:eastAsia="宋体" w:cs="Times New Roman"/>
                <w:color w:val="auto"/>
              </w:rPr>
              <w:t>承压水井2口，</w:t>
            </w:r>
            <w:r>
              <w:rPr>
                <w:rFonts w:ascii="宋体" w:hAnsi="宋体" w:eastAsia="宋体" w:cs="Times New Roman"/>
                <w:color w:val="auto"/>
              </w:rPr>
              <w:t>井深</w:t>
            </w:r>
            <w:r>
              <w:rPr>
                <w:rFonts w:hint="eastAsia" w:ascii="宋体" w:hAnsi="宋体" w:eastAsia="宋体" w:cs="Times New Roman"/>
                <w:color w:val="auto"/>
              </w:rPr>
              <w:t>65</w:t>
            </w:r>
            <w:r>
              <w:rPr>
                <w:rFonts w:ascii="宋体" w:hAnsi="宋体" w:eastAsia="宋体" w:cs="Times New Roman"/>
                <w:color w:val="auto"/>
              </w:rPr>
              <w:t>m，供本村</w:t>
            </w:r>
            <w:r>
              <w:rPr>
                <w:rFonts w:hint="eastAsia" w:ascii="宋体" w:hAnsi="宋体" w:eastAsia="宋体" w:cs="Times New Roman"/>
                <w:color w:val="auto"/>
              </w:rPr>
              <w:t>150人</w:t>
            </w:r>
            <w:r>
              <w:rPr>
                <w:rFonts w:ascii="宋体" w:hAnsi="宋体" w:eastAsia="宋体" w:cs="Times New Roman"/>
                <w:color w:val="auto"/>
              </w:rPr>
              <w:t>饮用，其余分散式水井约</w:t>
            </w:r>
            <w:r>
              <w:rPr>
                <w:rFonts w:hint="eastAsia" w:ascii="宋体" w:hAnsi="宋体" w:eastAsia="宋体" w:cs="Times New Roman"/>
                <w:color w:val="auto"/>
              </w:rPr>
              <w:t>30</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4F932CE7">
            <w:pPr>
              <w:snapToGrid w:val="0"/>
              <w:jc w:val="center"/>
              <w:rPr>
                <w:rFonts w:ascii="宋体" w:hAnsi="宋体" w:eastAsia="宋体" w:cs="Times New Roman"/>
                <w:color w:val="auto"/>
              </w:rPr>
            </w:pPr>
          </w:p>
        </w:tc>
      </w:tr>
      <w:tr w14:paraId="29D8922F">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7DFBE10F">
            <w:pPr>
              <w:snapToGrid w:val="0"/>
              <w:jc w:val="center"/>
              <w:rPr>
                <w:rFonts w:ascii="宋体" w:hAnsi="宋体" w:eastAsia="宋体" w:cs="Times New Roman"/>
                <w:color w:val="auto"/>
              </w:rPr>
            </w:pPr>
          </w:p>
        </w:tc>
        <w:tc>
          <w:tcPr>
            <w:tcW w:w="675" w:type="pct"/>
            <w:shd w:val="clear" w:color="auto" w:fill="auto"/>
            <w:vAlign w:val="center"/>
          </w:tcPr>
          <w:p w14:paraId="42F5EDAB">
            <w:pPr>
              <w:jc w:val="center"/>
              <w:rPr>
                <w:rFonts w:ascii="宋体" w:hAnsi="宋体" w:eastAsia="宋体" w:cs="Times New Roman"/>
                <w:color w:val="auto"/>
              </w:rPr>
            </w:pPr>
            <w:r>
              <w:rPr>
                <w:rFonts w:hint="eastAsia" w:ascii="宋体" w:hAnsi="宋体" w:eastAsia="宋体" w:cs="Times New Roman"/>
                <w:color w:val="auto"/>
              </w:rPr>
              <w:t>王家粉坊分散式水源井</w:t>
            </w:r>
          </w:p>
        </w:tc>
        <w:tc>
          <w:tcPr>
            <w:tcW w:w="863" w:type="pct"/>
            <w:gridSpan w:val="2"/>
            <w:shd w:val="clear" w:color="auto" w:fill="auto"/>
            <w:vAlign w:val="center"/>
          </w:tcPr>
          <w:p w14:paraId="6FAB7E47">
            <w:pPr>
              <w:jc w:val="center"/>
              <w:rPr>
                <w:rFonts w:ascii="宋体" w:hAnsi="宋体" w:eastAsia="宋体" w:cs="Times New Roman"/>
                <w:color w:val="auto"/>
              </w:rPr>
            </w:pPr>
            <w:r>
              <w:rPr>
                <w:rFonts w:ascii="宋体" w:hAnsi="宋体" w:eastAsia="宋体" w:cs="Times New Roman"/>
                <w:color w:val="auto"/>
              </w:rPr>
              <w:t>源212-扶平3</w:t>
            </w:r>
            <w:r>
              <w:rPr>
                <w:rFonts w:hint="eastAsia" w:ascii="宋体" w:hAnsi="宋体" w:eastAsia="宋体" w:cs="Times New Roman"/>
                <w:color w:val="auto"/>
              </w:rPr>
              <w:t>东北1000m</w:t>
            </w:r>
          </w:p>
        </w:tc>
        <w:tc>
          <w:tcPr>
            <w:tcW w:w="1409" w:type="pct"/>
            <w:gridSpan w:val="2"/>
            <w:shd w:val="clear" w:color="auto" w:fill="auto"/>
            <w:vAlign w:val="center"/>
          </w:tcPr>
          <w:p w14:paraId="21185CBC">
            <w:pPr>
              <w:jc w:val="center"/>
              <w:rPr>
                <w:rFonts w:ascii="宋体" w:hAnsi="宋体" w:eastAsia="宋体" w:cs="Times New Roman"/>
                <w:color w:val="auto"/>
              </w:rPr>
            </w:pPr>
            <w:r>
              <w:rPr>
                <w:rFonts w:hint="eastAsia" w:ascii="宋体" w:hAnsi="宋体" w:eastAsia="宋体" w:cs="Times New Roman"/>
                <w:color w:val="auto"/>
              </w:rPr>
              <w:t>承压水井1口，</w:t>
            </w:r>
            <w:r>
              <w:rPr>
                <w:rFonts w:ascii="宋体" w:hAnsi="宋体" w:eastAsia="宋体" w:cs="Times New Roman"/>
                <w:color w:val="auto"/>
              </w:rPr>
              <w:t>井深</w:t>
            </w:r>
            <w:r>
              <w:rPr>
                <w:rFonts w:hint="eastAsia" w:ascii="宋体" w:hAnsi="宋体" w:eastAsia="宋体" w:cs="Times New Roman"/>
                <w:color w:val="auto"/>
              </w:rPr>
              <w:t>65</w:t>
            </w:r>
            <w:r>
              <w:rPr>
                <w:rFonts w:ascii="宋体" w:hAnsi="宋体" w:eastAsia="宋体" w:cs="Times New Roman"/>
                <w:color w:val="auto"/>
              </w:rPr>
              <w:t>m，供本村</w:t>
            </w:r>
            <w:r>
              <w:rPr>
                <w:rFonts w:hint="eastAsia" w:ascii="宋体" w:hAnsi="宋体" w:eastAsia="宋体" w:cs="Times New Roman"/>
                <w:color w:val="auto"/>
              </w:rPr>
              <w:t>100人</w:t>
            </w:r>
            <w:r>
              <w:rPr>
                <w:rFonts w:ascii="宋体" w:hAnsi="宋体" w:eastAsia="宋体" w:cs="Times New Roman"/>
                <w:color w:val="auto"/>
              </w:rPr>
              <w:t>饮用，其余分散式水井约</w:t>
            </w:r>
            <w:r>
              <w:rPr>
                <w:rFonts w:hint="eastAsia" w:ascii="宋体" w:hAnsi="宋体" w:eastAsia="宋体" w:cs="Times New Roman"/>
                <w:color w:val="auto"/>
              </w:rPr>
              <w:t>18</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3EAA6459">
            <w:pPr>
              <w:snapToGrid w:val="0"/>
              <w:jc w:val="center"/>
              <w:rPr>
                <w:rFonts w:ascii="宋体" w:hAnsi="宋体" w:eastAsia="宋体" w:cs="Times New Roman"/>
                <w:color w:val="auto"/>
              </w:rPr>
            </w:pPr>
          </w:p>
        </w:tc>
      </w:tr>
      <w:tr w14:paraId="50600D80">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746CE578">
            <w:pPr>
              <w:snapToGrid w:val="0"/>
              <w:jc w:val="center"/>
              <w:rPr>
                <w:rFonts w:ascii="宋体" w:hAnsi="宋体" w:eastAsia="宋体" w:cs="Times New Roman"/>
                <w:color w:val="auto"/>
              </w:rPr>
            </w:pPr>
          </w:p>
        </w:tc>
        <w:tc>
          <w:tcPr>
            <w:tcW w:w="675" w:type="pct"/>
            <w:shd w:val="clear" w:color="auto" w:fill="auto"/>
            <w:vAlign w:val="center"/>
          </w:tcPr>
          <w:p w14:paraId="10AC28FA">
            <w:pPr>
              <w:jc w:val="center"/>
              <w:rPr>
                <w:rFonts w:ascii="宋体" w:hAnsi="宋体" w:eastAsia="宋体" w:cs="Times New Roman"/>
                <w:color w:val="auto"/>
              </w:rPr>
            </w:pPr>
            <w:r>
              <w:rPr>
                <w:rFonts w:hint="eastAsia" w:ascii="宋体" w:hAnsi="宋体" w:eastAsia="宋体" w:cs="Times New Roman"/>
                <w:color w:val="auto"/>
              </w:rPr>
              <w:t>小欧力马屯分散式水源井</w:t>
            </w:r>
          </w:p>
        </w:tc>
        <w:tc>
          <w:tcPr>
            <w:tcW w:w="863" w:type="pct"/>
            <w:gridSpan w:val="2"/>
            <w:shd w:val="clear" w:color="auto" w:fill="auto"/>
            <w:vAlign w:val="center"/>
          </w:tcPr>
          <w:p w14:paraId="37ACC661">
            <w:pPr>
              <w:jc w:val="center"/>
              <w:rPr>
                <w:rFonts w:ascii="宋体" w:hAnsi="宋体" w:eastAsia="宋体" w:cs="Times New Roman"/>
                <w:color w:val="auto"/>
              </w:rPr>
            </w:pPr>
            <w:r>
              <w:rPr>
                <w:rFonts w:hint="eastAsia" w:ascii="宋体" w:hAnsi="宋体" w:eastAsia="宋体" w:cs="Times New Roman"/>
                <w:color w:val="auto"/>
              </w:rPr>
              <w:t>3#平台东北1400m</w:t>
            </w:r>
          </w:p>
        </w:tc>
        <w:tc>
          <w:tcPr>
            <w:tcW w:w="1409" w:type="pct"/>
            <w:gridSpan w:val="2"/>
            <w:shd w:val="clear" w:color="auto" w:fill="auto"/>
            <w:vAlign w:val="center"/>
          </w:tcPr>
          <w:p w14:paraId="7A433C9E">
            <w:pPr>
              <w:jc w:val="center"/>
              <w:rPr>
                <w:rFonts w:ascii="宋体" w:hAnsi="宋体" w:eastAsia="宋体" w:cs="Times New Roman"/>
                <w:color w:val="auto"/>
              </w:rPr>
            </w:pPr>
            <w:r>
              <w:rPr>
                <w:rFonts w:hint="eastAsia" w:ascii="宋体" w:hAnsi="宋体" w:eastAsia="宋体" w:cs="Times New Roman"/>
                <w:color w:val="auto"/>
              </w:rPr>
              <w:t>承压水井1口，</w:t>
            </w:r>
            <w:r>
              <w:rPr>
                <w:rFonts w:ascii="宋体" w:hAnsi="宋体" w:eastAsia="宋体" w:cs="Times New Roman"/>
                <w:color w:val="auto"/>
              </w:rPr>
              <w:t>井深</w:t>
            </w:r>
            <w:r>
              <w:rPr>
                <w:rFonts w:hint="eastAsia" w:ascii="宋体" w:hAnsi="宋体" w:eastAsia="宋体" w:cs="Times New Roman"/>
                <w:color w:val="auto"/>
              </w:rPr>
              <w:t>65</w:t>
            </w:r>
            <w:r>
              <w:rPr>
                <w:rFonts w:ascii="宋体" w:hAnsi="宋体" w:eastAsia="宋体" w:cs="Times New Roman"/>
                <w:color w:val="auto"/>
              </w:rPr>
              <w:t>m，供本村</w:t>
            </w:r>
            <w:r>
              <w:rPr>
                <w:rFonts w:hint="eastAsia" w:ascii="宋体" w:hAnsi="宋体" w:eastAsia="宋体" w:cs="Times New Roman"/>
                <w:color w:val="auto"/>
              </w:rPr>
              <w:t>150人</w:t>
            </w:r>
            <w:r>
              <w:rPr>
                <w:rFonts w:ascii="宋体" w:hAnsi="宋体" w:eastAsia="宋体" w:cs="Times New Roman"/>
                <w:color w:val="auto"/>
              </w:rPr>
              <w:t>饮用，其余分散式水井约</w:t>
            </w:r>
            <w:r>
              <w:rPr>
                <w:rFonts w:hint="eastAsia" w:ascii="宋体" w:hAnsi="宋体" w:eastAsia="宋体" w:cs="Times New Roman"/>
                <w:color w:val="auto"/>
              </w:rPr>
              <w:t>30</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0079813F">
            <w:pPr>
              <w:snapToGrid w:val="0"/>
              <w:jc w:val="center"/>
              <w:rPr>
                <w:rFonts w:ascii="宋体" w:hAnsi="宋体" w:eastAsia="宋体" w:cs="Times New Roman"/>
                <w:color w:val="auto"/>
              </w:rPr>
            </w:pPr>
          </w:p>
        </w:tc>
      </w:tr>
      <w:tr w14:paraId="1F2B5492">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0FF2C983">
            <w:pPr>
              <w:snapToGrid w:val="0"/>
              <w:jc w:val="center"/>
              <w:rPr>
                <w:rFonts w:ascii="宋体" w:hAnsi="宋体" w:eastAsia="宋体" w:cs="Times New Roman"/>
                <w:color w:val="auto"/>
              </w:rPr>
            </w:pPr>
          </w:p>
        </w:tc>
        <w:tc>
          <w:tcPr>
            <w:tcW w:w="675" w:type="pct"/>
            <w:shd w:val="clear" w:color="auto" w:fill="auto"/>
            <w:vAlign w:val="center"/>
          </w:tcPr>
          <w:p w14:paraId="702955A4">
            <w:pPr>
              <w:jc w:val="center"/>
              <w:rPr>
                <w:rFonts w:ascii="宋体" w:hAnsi="宋体" w:eastAsia="宋体" w:cs="Times New Roman"/>
                <w:color w:val="auto"/>
              </w:rPr>
            </w:pPr>
            <w:r>
              <w:rPr>
                <w:rFonts w:hint="eastAsia" w:ascii="宋体" w:hAnsi="宋体" w:eastAsia="宋体" w:cs="Times New Roman"/>
                <w:color w:val="auto"/>
              </w:rPr>
              <w:t>后欧力马屯分散式水源井</w:t>
            </w:r>
          </w:p>
        </w:tc>
        <w:tc>
          <w:tcPr>
            <w:tcW w:w="863" w:type="pct"/>
            <w:gridSpan w:val="2"/>
            <w:shd w:val="clear" w:color="auto" w:fill="auto"/>
            <w:vAlign w:val="center"/>
          </w:tcPr>
          <w:p w14:paraId="7CC77779">
            <w:pPr>
              <w:jc w:val="center"/>
              <w:rPr>
                <w:rFonts w:ascii="宋体" w:hAnsi="宋体" w:eastAsia="宋体" w:cs="Times New Roman"/>
                <w:color w:val="auto"/>
              </w:rPr>
            </w:pPr>
            <w:r>
              <w:rPr>
                <w:rFonts w:hint="eastAsia" w:ascii="宋体" w:hAnsi="宋体" w:eastAsia="宋体" w:cs="Times New Roman"/>
                <w:color w:val="auto"/>
              </w:rPr>
              <w:t>3#平台北500m</w:t>
            </w:r>
          </w:p>
        </w:tc>
        <w:tc>
          <w:tcPr>
            <w:tcW w:w="1409" w:type="pct"/>
            <w:gridSpan w:val="2"/>
            <w:shd w:val="clear" w:color="auto" w:fill="auto"/>
            <w:vAlign w:val="center"/>
          </w:tcPr>
          <w:p w14:paraId="0B3F69C0">
            <w:pPr>
              <w:jc w:val="center"/>
              <w:rPr>
                <w:rFonts w:ascii="宋体" w:hAnsi="宋体" w:eastAsia="宋体" w:cs="Times New Roman"/>
                <w:color w:val="auto"/>
              </w:rPr>
            </w:pPr>
            <w:r>
              <w:rPr>
                <w:rFonts w:hint="eastAsia" w:ascii="宋体" w:hAnsi="宋体" w:eastAsia="宋体" w:cs="Times New Roman"/>
                <w:color w:val="auto"/>
              </w:rPr>
              <w:t>承压水井2口，</w:t>
            </w:r>
            <w:r>
              <w:rPr>
                <w:rFonts w:ascii="宋体" w:hAnsi="宋体" w:eastAsia="宋体" w:cs="Times New Roman"/>
                <w:color w:val="auto"/>
              </w:rPr>
              <w:t>井深60～110m，供本村</w:t>
            </w:r>
            <w:r>
              <w:rPr>
                <w:rFonts w:hint="eastAsia" w:ascii="宋体" w:hAnsi="宋体" w:eastAsia="宋体" w:cs="Times New Roman"/>
                <w:color w:val="auto"/>
              </w:rPr>
              <w:t>175人</w:t>
            </w:r>
            <w:r>
              <w:rPr>
                <w:rFonts w:ascii="宋体" w:hAnsi="宋体" w:eastAsia="宋体" w:cs="Times New Roman"/>
                <w:color w:val="auto"/>
              </w:rPr>
              <w:t>饮用，其余分散式水井约</w:t>
            </w:r>
            <w:r>
              <w:rPr>
                <w:rFonts w:hint="eastAsia" w:ascii="宋体" w:hAnsi="宋体" w:eastAsia="宋体" w:cs="Times New Roman"/>
                <w:color w:val="auto"/>
              </w:rPr>
              <w:t>30</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1AC8A9EB">
            <w:pPr>
              <w:snapToGrid w:val="0"/>
              <w:jc w:val="center"/>
              <w:rPr>
                <w:rFonts w:ascii="宋体" w:hAnsi="宋体" w:eastAsia="宋体" w:cs="Times New Roman"/>
                <w:color w:val="auto"/>
              </w:rPr>
            </w:pPr>
          </w:p>
        </w:tc>
      </w:tr>
      <w:tr w14:paraId="19C66E2C">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5C58215B">
            <w:pPr>
              <w:snapToGrid w:val="0"/>
              <w:jc w:val="center"/>
              <w:rPr>
                <w:rFonts w:ascii="宋体" w:hAnsi="宋体" w:eastAsia="宋体" w:cs="Times New Roman"/>
                <w:color w:val="auto"/>
              </w:rPr>
            </w:pPr>
          </w:p>
        </w:tc>
        <w:tc>
          <w:tcPr>
            <w:tcW w:w="675" w:type="pct"/>
            <w:shd w:val="clear" w:color="auto" w:fill="auto"/>
            <w:vAlign w:val="center"/>
          </w:tcPr>
          <w:p w14:paraId="3C04825D">
            <w:pPr>
              <w:jc w:val="center"/>
              <w:rPr>
                <w:rFonts w:ascii="宋体" w:hAnsi="宋体" w:eastAsia="宋体" w:cs="Times New Roman"/>
                <w:color w:val="auto"/>
              </w:rPr>
            </w:pPr>
            <w:r>
              <w:rPr>
                <w:rFonts w:hint="eastAsia" w:ascii="宋体" w:hAnsi="宋体" w:eastAsia="宋体" w:cs="Times New Roman"/>
                <w:color w:val="auto"/>
              </w:rPr>
              <w:t>腰欧力马屯分散式水源井</w:t>
            </w:r>
          </w:p>
        </w:tc>
        <w:tc>
          <w:tcPr>
            <w:tcW w:w="863" w:type="pct"/>
            <w:gridSpan w:val="2"/>
            <w:shd w:val="clear" w:color="auto" w:fill="auto"/>
            <w:vAlign w:val="center"/>
          </w:tcPr>
          <w:p w14:paraId="140A0F9E">
            <w:pPr>
              <w:jc w:val="center"/>
              <w:rPr>
                <w:rFonts w:ascii="宋体" w:hAnsi="宋体" w:eastAsia="宋体" w:cs="Times New Roman"/>
                <w:color w:val="auto"/>
              </w:rPr>
            </w:pPr>
            <w:r>
              <w:rPr>
                <w:rFonts w:hint="eastAsia" w:ascii="宋体" w:hAnsi="宋体" w:eastAsia="宋体" w:cs="Times New Roman"/>
                <w:color w:val="auto"/>
              </w:rPr>
              <w:t>3#平台东北1250m</w:t>
            </w:r>
          </w:p>
        </w:tc>
        <w:tc>
          <w:tcPr>
            <w:tcW w:w="1409" w:type="pct"/>
            <w:gridSpan w:val="2"/>
            <w:shd w:val="clear" w:color="auto" w:fill="auto"/>
            <w:vAlign w:val="center"/>
          </w:tcPr>
          <w:p w14:paraId="6105CE1A">
            <w:pPr>
              <w:jc w:val="center"/>
              <w:rPr>
                <w:rFonts w:ascii="宋体" w:hAnsi="宋体" w:eastAsia="宋体" w:cs="Times New Roman"/>
                <w:color w:val="auto"/>
              </w:rPr>
            </w:pPr>
            <w:r>
              <w:rPr>
                <w:rFonts w:hint="eastAsia" w:ascii="宋体" w:hAnsi="宋体" w:eastAsia="宋体" w:cs="Times New Roman"/>
                <w:color w:val="auto"/>
              </w:rPr>
              <w:t>承压水井1口，</w:t>
            </w:r>
            <w:r>
              <w:rPr>
                <w:rFonts w:ascii="宋体" w:hAnsi="宋体" w:eastAsia="宋体" w:cs="Times New Roman"/>
                <w:color w:val="auto"/>
              </w:rPr>
              <w:t>井深</w:t>
            </w:r>
            <w:r>
              <w:rPr>
                <w:rFonts w:hint="eastAsia" w:ascii="宋体" w:hAnsi="宋体" w:eastAsia="宋体" w:cs="Times New Roman"/>
                <w:color w:val="auto"/>
              </w:rPr>
              <w:t>65</w:t>
            </w:r>
            <w:r>
              <w:rPr>
                <w:rFonts w:ascii="宋体" w:hAnsi="宋体" w:eastAsia="宋体" w:cs="Times New Roman"/>
                <w:color w:val="auto"/>
              </w:rPr>
              <w:t>m，供本村</w:t>
            </w:r>
            <w:r>
              <w:rPr>
                <w:rFonts w:hint="eastAsia" w:ascii="宋体" w:hAnsi="宋体" w:eastAsia="宋体" w:cs="Times New Roman"/>
                <w:color w:val="auto"/>
              </w:rPr>
              <w:t>175人</w:t>
            </w:r>
            <w:r>
              <w:rPr>
                <w:rFonts w:ascii="宋体" w:hAnsi="宋体" w:eastAsia="宋体" w:cs="Times New Roman"/>
                <w:color w:val="auto"/>
              </w:rPr>
              <w:t>饮用，其余分散式水井约</w:t>
            </w:r>
            <w:r>
              <w:rPr>
                <w:rFonts w:hint="eastAsia" w:ascii="宋体" w:hAnsi="宋体" w:eastAsia="宋体" w:cs="Times New Roman"/>
                <w:color w:val="auto"/>
              </w:rPr>
              <w:t>35</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36C0B401">
            <w:pPr>
              <w:snapToGrid w:val="0"/>
              <w:jc w:val="center"/>
              <w:rPr>
                <w:rFonts w:ascii="宋体" w:hAnsi="宋体" w:eastAsia="宋体" w:cs="Times New Roman"/>
                <w:color w:val="auto"/>
              </w:rPr>
            </w:pPr>
          </w:p>
        </w:tc>
      </w:tr>
      <w:tr w14:paraId="59018659">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6C7D3F5C">
            <w:pPr>
              <w:snapToGrid w:val="0"/>
              <w:jc w:val="center"/>
              <w:rPr>
                <w:rFonts w:ascii="宋体" w:hAnsi="宋体" w:eastAsia="宋体" w:cs="Times New Roman"/>
                <w:color w:val="auto"/>
              </w:rPr>
            </w:pPr>
          </w:p>
        </w:tc>
        <w:tc>
          <w:tcPr>
            <w:tcW w:w="675" w:type="pct"/>
            <w:shd w:val="clear" w:color="auto" w:fill="auto"/>
            <w:vAlign w:val="center"/>
          </w:tcPr>
          <w:p w14:paraId="1BF4A12A">
            <w:pPr>
              <w:jc w:val="center"/>
              <w:rPr>
                <w:rFonts w:ascii="宋体" w:hAnsi="宋体" w:eastAsia="宋体" w:cs="Times New Roman"/>
                <w:color w:val="auto"/>
              </w:rPr>
            </w:pPr>
            <w:r>
              <w:rPr>
                <w:rFonts w:hint="eastAsia" w:ascii="宋体" w:hAnsi="宋体" w:eastAsia="宋体" w:cs="Times New Roman"/>
                <w:color w:val="auto"/>
              </w:rPr>
              <w:t>王家园子屯分散式水源井</w:t>
            </w:r>
          </w:p>
        </w:tc>
        <w:tc>
          <w:tcPr>
            <w:tcW w:w="863" w:type="pct"/>
            <w:gridSpan w:val="2"/>
            <w:shd w:val="clear" w:color="auto" w:fill="auto"/>
            <w:vAlign w:val="center"/>
          </w:tcPr>
          <w:p w14:paraId="12D77BBD">
            <w:pPr>
              <w:jc w:val="center"/>
              <w:rPr>
                <w:rFonts w:ascii="宋体" w:hAnsi="宋体" w:eastAsia="宋体" w:cs="Times New Roman"/>
                <w:color w:val="auto"/>
              </w:rPr>
            </w:pPr>
            <w:r>
              <w:rPr>
                <w:rFonts w:hint="eastAsia" w:ascii="宋体" w:hAnsi="宋体" w:eastAsia="宋体" w:cs="Times New Roman"/>
                <w:color w:val="auto"/>
              </w:rPr>
              <w:t>3#平台西南1200m</w:t>
            </w:r>
          </w:p>
        </w:tc>
        <w:tc>
          <w:tcPr>
            <w:tcW w:w="1409" w:type="pct"/>
            <w:gridSpan w:val="2"/>
            <w:shd w:val="clear" w:color="auto" w:fill="auto"/>
            <w:vAlign w:val="center"/>
          </w:tcPr>
          <w:p w14:paraId="6FB2ACF7">
            <w:pPr>
              <w:jc w:val="center"/>
              <w:rPr>
                <w:rFonts w:ascii="宋体" w:hAnsi="宋体" w:eastAsia="宋体" w:cs="Times New Roman"/>
                <w:color w:val="auto"/>
              </w:rPr>
            </w:pPr>
            <w:r>
              <w:rPr>
                <w:rFonts w:hint="eastAsia" w:ascii="宋体" w:hAnsi="宋体" w:eastAsia="宋体" w:cs="Times New Roman"/>
                <w:color w:val="auto"/>
              </w:rPr>
              <w:t>承压水井2口，</w:t>
            </w:r>
            <w:r>
              <w:rPr>
                <w:rFonts w:ascii="宋体" w:hAnsi="宋体" w:eastAsia="宋体" w:cs="Times New Roman"/>
                <w:color w:val="auto"/>
              </w:rPr>
              <w:t>井深60～</w:t>
            </w:r>
            <w:r>
              <w:rPr>
                <w:rFonts w:hint="eastAsia" w:ascii="宋体" w:hAnsi="宋体" w:eastAsia="宋体" w:cs="Times New Roman"/>
                <w:color w:val="auto"/>
              </w:rPr>
              <w:t>10</w:t>
            </w:r>
            <w:r>
              <w:rPr>
                <w:rFonts w:ascii="宋体" w:hAnsi="宋体" w:eastAsia="宋体" w:cs="Times New Roman"/>
                <w:color w:val="auto"/>
              </w:rPr>
              <w:t>0m，供本村</w:t>
            </w:r>
            <w:r>
              <w:rPr>
                <w:rFonts w:hint="eastAsia" w:ascii="宋体" w:hAnsi="宋体" w:eastAsia="宋体" w:cs="Times New Roman"/>
                <w:color w:val="auto"/>
              </w:rPr>
              <w:t>150人</w:t>
            </w:r>
            <w:r>
              <w:rPr>
                <w:rFonts w:ascii="宋体" w:hAnsi="宋体" w:eastAsia="宋体" w:cs="Times New Roman"/>
                <w:color w:val="auto"/>
              </w:rPr>
              <w:t>饮用，其余分散式水井约</w:t>
            </w:r>
            <w:r>
              <w:rPr>
                <w:rFonts w:hint="eastAsia" w:ascii="宋体" w:hAnsi="宋体" w:eastAsia="宋体" w:cs="Times New Roman"/>
                <w:color w:val="auto"/>
              </w:rPr>
              <w:t>28</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34A27F7C">
            <w:pPr>
              <w:snapToGrid w:val="0"/>
              <w:jc w:val="center"/>
              <w:rPr>
                <w:rFonts w:ascii="宋体" w:hAnsi="宋体" w:eastAsia="宋体" w:cs="Times New Roman"/>
                <w:color w:val="auto"/>
              </w:rPr>
            </w:pPr>
          </w:p>
        </w:tc>
      </w:tr>
      <w:tr w14:paraId="47F61FA1">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2A8BD70E">
            <w:pPr>
              <w:snapToGrid w:val="0"/>
              <w:jc w:val="center"/>
              <w:rPr>
                <w:rFonts w:ascii="宋体" w:hAnsi="宋体" w:eastAsia="宋体" w:cs="Times New Roman"/>
                <w:color w:val="auto"/>
              </w:rPr>
            </w:pPr>
          </w:p>
        </w:tc>
        <w:tc>
          <w:tcPr>
            <w:tcW w:w="675" w:type="pct"/>
            <w:shd w:val="clear" w:color="auto" w:fill="auto"/>
            <w:vAlign w:val="center"/>
          </w:tcPr>
          <w:p w14:paraId="51C5FBF1">
            <w:pPr>
              <w:jc w:val="center"/>
              <w:rPr>
                <w:rFonts w:ascii="宋体" w:hAnsi="宋体" w:eastAsia="宋体" w:cs="Times New Roman"/>
                <w:color w:val="auto"/>
              </w:rPr>
            </w:pPr>
            <w:r>
              <w:rPr>
                <w:rFonts w:hint="eastAsia" w:ascii="宋体" w:hAnsi="宋体" w:eastAsia="宋体" w:cs="Times New Roman"/>
                <w:color w:val="auto"/>
              </w:rPr>
              <w:t>大何家窝棚分散式水源井</w:t>
            </w:r>
          </w:p>
        </w:tc>
        <w:tc>
          <w:tcPr>
            <w:tcW w:w="863" w:type="pct"/>
            <w:gridSpan w:val="2"/>
            <w:shd w:val="clear" w:color="auto" w:fill="auto"/>
            <w:vAlign w:val="center"/>
          </w:tcPr>
          <w:p w14:paraId="335F2DCF">
            <w:pPr>
              <w:jc w:val="center"/>
              <w:rPr>
                <w:rFonts w:ascii="宋体" w:hAnsi="宋体" w:eastAsia="宋体" w:cs="Times New Roman"/>
                <w:color w:val="auto"/>
              </w:rPr>
            </w:pPr>
            <w:r>
              <w:rPr>
                <w:rFonts w:ascii="宋体" w:hAnsi="宋体" w:eastAsia="宋体" w:cs="Times New Roman"/>
                <w:color w:val="auto"/>
              </w:rPr>
              <w:t>源212-扶平3</w:t>
            </w:r>
            <w:r>
              <w:rPr>
                <w:rFonts w:hint="eastAsia" w:ascii="宋体" w:hAnsi="宋体" w:eastAsia="宋体" w:cs="Times New Roman"/>
                <w:color w:val="auto"/>
              </w:rPr>
              <w:t>南1800m</w:t>
            </w:r>
          </w:p>
        </w:tc>
        <w:tc>
          <w:tcPr>
            <w:tcW w:w="1409" w:type="pct"/>
            <w:gridSpan w:val="2"/>
            <w:shd w:val="clear" w:color="auto" w:fill="auto"/>
            <w:vAlign w:val="center"/>
          </w:tcPr>
          <w:p w14:paraId="656D2F32">
            <w:pPr>
              <w:jc w:val="center"/>
              <w:rPr>
                <w:rFonts w:ascii="宋体" w:hAnsi="宋体" w:eastAsia="宋体" w:cs="Times New Roman"/>
                <w:color w:val="auto"/>
              </w:rPr>
            </w:pPr>
            <w:r>
              <w:rPr>
                <w:rFonts w:hint="eastAsia" w:ascii="宋体" w:hAnsi="宋体" w:eastAsia="宋体" w:cs="Times New Roman"/>
                <w:color w:val="auto"/>
              </w:rPr>
              <w:t>承压水井1口，</w:t>
            </w:r>
            <w:r>
              <w:rPr>
                <w:rFonts w:ascii="宋体" w:hAnsi="宋体" w:eastAsia="宋体" w:cs="Times New Roman"/>
                <w:color w:val="auto"/>
              </w:rPr>
              <w:t>井深</w:t>
            </w:r>
            <w:r>
              <w:rPr>
                <w:rFonts w:hint="eastAsia" w:ascii="宋体" w:hAnsi="宋体" w:eastAsia="宋体" w:cs="Times New Roman"/>
                <w:color w:val="auto"/>
              </w:rPr>
              <w:t>70</w:t>
            </w:r>
            <w:r>
              <w:rPr>
                <w:rFonts w:ascii="宋体" w:hAnsi="宋体" w:eastAsia="宋体" w:cs="Times New Roman"/>
                <w:color w:val="auto"/>
              </w:rPr>
              <w:t>m，供本村</w:t>
            </w:r>
            <w:r>
              <w:rPr>
                <w:rFonts w:hint="eastAsia" w:ascii="宋体" w:hAnsi="宋体" w:eastAsia="宋体" w:cs="Times New Roman"/>
                <w:color w:val="auto"/>
              </w:rPr>
              <w:t>100人</w:t>
            </w:r>
            <w:r>
              <w:rPr>
                <w:rFonts w:ascii="宋体" w:hAnsi="宋体" w:eastAsia="宋体" w:cs="Times New Roman"/>
                <w:color w:val="auto"/>
              </w:rPr>
              <w:t>饮用，其余分散式水井约</w:t>
            </w:r>
            <w:r>
              <w:rPr>
                <w:rFonts w:hint="eastAsia" w:ascii="宋体" w:hAnsi="宋体" w:eastAsia="宋体" w:cs="Times New Roman"/>
                <w:color w:val="auto"/>
              </w:rPr>
              <w:t>18</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28B87891">
            <w:pPr>
              <w:snapToGrid w:val="0"/>
              <w:jc w:val="center"/>
              <w:rPr>
                <w:rFonts w:ascii="宋体" w:hAnsi="宋体" w:eastAsia="宋体" w:cs="Times New Roman"/>
                <w:color w:val="auto"/>
              </w:rPr>
            </w:pPr>
          </w:p>
        </w:tc>
      </w:tr>
      <w:tr w14:paraId="55AB8692">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48282BDE">
            <w:pPr>
              <w:snapToGrid w:val="0"/>
              <w:jc w:val="center"/>
              <w:rPr>
                <w:rFonts w:ascii="宋体" w:hAnsi="宋体" w:eastAsia="宋体" w:cs="Times New Roman"/>
                <w:color w:val="auto"/>
              </w:rPr>
            </w:pPr>
          </w:p>
        </w:tc>
        <w:tc>
          <w:tcPr>
            <w:tcW w:w="675" w:type="pct"/>
            <w:shd w:val="clear" w:color="auto" w:fill="auto"/>
            <w:vAlign w:val="center"/>
          </w:tcPr>
          <w:p w14:paraId="4827CF52">
            <w:pPr>
              <w:jc w:val="center"/>
              <w:rPr>
                <w:rFonts w:ascii="宋体" w:hAnsi="宋体" w:eastAsia="宋体" w:cs="Times New Roman"/>
                <w:color w:val="auto"/>
              </w:rPr>
            </w:pPr>
            <w:r>
              <w:rPr>
                <w:rFonts w:hint="eastAsia" w:ascii="宋体" w:hAnsi="宋体" w:eastAsia="宋体" w:cs="Times New Roman"/>
                <w:color w:val="auto"/>
              </w:rPr>
              <w:t>蒙古屯</w:t>
            </w:r>
          </w:p>
        </w:tc>
        <w:tc>
          <w:tcPr>
            <w:tcW w:w="863" w:type="pct"/>
            <w:gridSpan w:val="2"/>
            <w:shd w:val="clear" w:color="auto" w:fill="auto"/>
            <w:vAlign w:val="center"/>
          </w:tcPr>
          <w:p w14:paraId="3A49574E">
            <w:pPr>
              <w:jc w:val="center"/>
              <w:rPr>
                <w:rFonts w:ascii="宋体" w:hAnsi="宋体" w:eastAsia="宋体" w:cs="Times New Roman"/>
                <w:color w:val="auto"/>
              </w:rPr>
            </w:pPr>
            <w:r>
              <w:rPr>
                <w:rFonts w:ascii="宋体" w:hAnsi="宋体" w:eastAsia="宋体" w:cs="Times New Roman"/>
                <w:color w:val="auto"/>
              </w:rPr>
              <w:t>源斜2401</w:t>
            </w:r>
            <w:r>
              <w:rPr>
                <w:rFonts w:hint="eastAsia" w:ascii="宋体" w:hAnsi="宋体" w:eastAsia="宋体" w:cs="Times New Roman"/>
                <w:color w:val="auto"/>
              </w:rPr>
              <w:t>东北1900m</w:t>
            </w:r>
          </w:p>
        </w:tc>
        <w:tc>
          <w:tcPr>
            <w:tcW w:w="1409" w:type="pct"/>
            <w:gridSpan w:val="2"/>
            <w:shd w:val="clear" w:color="auto" w:fill="auto"/>
            <w:vAlign w:val="center"/>
          </w:tcPr>
          <w:p w14:paraId="2AA70EFF">
            <w:pPr>
              <w:jc w:val="center"/>
              <w:rPr>
                <w:rFonts w:ascii="宋体" w:hAnsi="宋体" w:eastAsia="宋体" w:cs="Times New Roman"/>
                <w:color w:val="auto"/>
              </w:rPr>
            </w:pPr>
            <w:r>
              <w:rPr>
                <w:rFonts w:hint="eastAsia" w:ascii="宋体" w:hAnsi="宋体" w:eastAsia="宋体" w:cs="Times New Roman"/>
                <w:color w:val="auto"/>
              </w:rPr>
              <w:t>承压水井2口，</w:t>
            </w:r>
            <w:r>
              <w:rPr>
                <w:rFonts w:ascii="宋体" w:hAnsi="宋体" w:eastAsia="宋体" w:cs="Times New Roman"/>
                <w:color w:val="auto"/>
              </w:rPr>
              <w:t>井深60～</w:t>
            </w:r>
            <w:r>
              <w:rPr>
                <w:rFonts w:hint="eastAsia" w:ascii="宋体" w:hAnsi="宋体" w:eastAsia="宋体" w:cs="Times New Roman"/>
                <w:color w:val="auto"/>
              </w:rPr>
              <w:t>11</w:t>
            </w:r>
            <w:r>
              <w:rPr>
                <w:rFonts w:ascii="宋体" w:hAnsi="宋体" w:eastAsia="宋体" w:cs="Times New Roman"/>
                <w:color w:val="auto"/>
              </w:rPr>
              <w:t>0m，供本村</w:t>
            </w:r>
            <w:r>
              <w:rPr>
                <w:rFonts w:hint="eastAsia" w:ascii="宋体" w:hAnsi="宋体" w:eastAsia="宋体" w:cs="Times New Roman"/>
                <w:color w:val="auto"/>
              </w:rPr>
              <w:t>225人</w:t>
            </w:r>
            <w:r>
              <w:rPr>
                <w:rFonts w:ascii="宋体" w:hAnsi="宋体" w:eastAsia="宋体" w:cs="Times New Roman"/>
                <w:color w:val="auto"/>
              </w:rPr>
              <w:t>饮用，其余分散式水井约</w:t>
            </w:r>
            <w:r>
              <w:rPr>
                <w:rFonts w:hint="eastAsia" w:ascii="宋体" w:hAnsi="宋体" w:eastAsia="宋体" w:cs="Times New Roman"/>
                <w:color w:val="auto"/>
              </w:rPr>
              <w:t>18</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65F7274C">
            <w:pPr>
              <w:snapToGrid w:val="0"/>
              <w:jc w:val="center"/>
              <w:rPr>
                <w:rFonts w:ascii="宋体" w:hAnsi="宋体" w:eastAsia="宋体" w:cs="Times New Roman"/>
                <w:color w:val="auto"/>
              </w:rPr>
            </w:pPr>
          </w:p>
        </w:tc>
      </w:tr>
      <w:tr w14:paraId="594F3D59">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30566176">
            <w:pPr>
              <w:snapToGrid w:val="0"/>
              <w:jc w:val="center"/>
              <w:rPr>
                <w:rFonts w:ascii="宋体" w:hAnsi="宋体" w:eastAsia="宋体" w:cs="Times New Roman"/>
                <w:color w:val="auto"/>
              </w:rPr>
            </w:pPr>
          </w:p>
        </w:tc>
        <w:tc>
          <w:tcPr>
            <w:tcW w:w="675" w:type="pct"/>
            <w:shd w:val="clear" w:color="auto" w:fill="auto"/>
            <w:vAlign w:val="center"/>
          </w:tcPr>
          <w:p w14:paraId="7CE5BE36">
            <w:pPr>
              <w:jc w:val="center"/>
              <w:rPr>
                <w:rFonts w:ascii="宋体" w:hAnsi="宋体" w:eastAsia="宋体" w:cs="Times New Roman"/>
                <w:color w:val="auto"/>
              </w:rPr>
            </w:pPr>
            <w:r>
              <w:rPr>
                <w:rFonts w:hint="eastAsia" w:ascii="宋体" w:hAnsi="宋体" w:eastAsia="宋体" w:cs="Times New Roman"/>
                <w:color w:val="auto"/>
              </w:rPr>
              <w:t>和平乡分散式水源井</w:t>
            </w:r>
          </w:p>
        </w:tc>
        <w:tc>
          <w:tcPr>
            <w:tcW w:w="863" w:type="pct"/>
            <w:gridSpan w:val="2"/>
            <w:shd w:val="clear" w:color="auto" w:fill="auto"/>
            <w:vAlign w:val="center"/>
          </w:tcPr>
          <w:p w14:paraId="14BF0F5C">
            <w:pPr>
              <w:jc w:val="center"/>
              <w:rPr>
                <w:rFonts w:ascii="宋体" w:hAnsi="宋体" w:eastAsia="宋体" w:cs="Times New Roman"/>
                <w:color w:val="auto"/>
              </w:rPr>
            </w:pPr>
            <w:r>
              <w:rPr>
                <w:rFonts w:ascii="宋体" w:hAnsi="宋体" w:eastAsia="宋体" w:cs="Times New Roman"/>
                <w:color w:val="auto"/>
              </w:rPr>
              <w:t>源212-扶平3</w:t>
            </w:r>
            <w:r>
              <w:rPr>
                <w:rFonts w:hint="eastAsia" w:ascii="宋体" w:hAnsi="宋体" w:eastAsia="宋体" w:cs="Times New Roman"/>
                <w:color w:val="auto"/>
              </w:rPr>
              <w:t>西南2400m</w:t>
            </w:r>
          </w:p>
        </w:tc>
        <w:tc>
          <w:tcPr>
            <w:tcW w:w="1409" w:type="pct"/>
            <w:gridSpan w:val="2"/>
            <w:shd w:val="clear" w:color="auto" w:fill="auto"/>
            <w:vAlign w:val="center"/>
          </w:tcPr>
          <w:p w14:paraId="00BD0C13">
            <w:pPr>
              <w:jc w:val="center"/>
              <w:rPr>
                <w:rFonts w:ascii="宋体" w:hAnsi="宋体" w:eastAsia="宋体" w:cs="Times New Roman"/>
                <w:color w:val="auto"/>
              </w:rPr>
            </w:pPr>
            <w:r>
              <w:rPr>
                <w:rFonts w:hint="eastAsia" w:ascii="宋体" w:hAnsi="宋体" w:eastAsia="宋体" w:cs="Times New Roman"/>
                <w:color w:val="auto"/>
              </w:rPr>
              <w:t>承压水井2口，</w:t>
            </w:r>
            <w:r>
              <w:rPr>
                <w:rFonts w:ascii="宋体" w:hAnsi="宋体" w:eastAsia="宋体" w:cs="Times New Roman"/>
                <w:color w:val="auto"/>
              </w:rPr>
              <w:t>井深60～110m，供本村</w:t>
            </w:r>
            <w:r>
              <w:rPr>
                <w:rFonts w:hint="eastAsia" w:ascii="宋体" w:hAnsi="宋体" w:eastAsia="宋体" w:cs="Times New Roman"/>
                <w:color w:val="auto"/>
              </w:rPr>
              <w:t>400人</w:t>
            </w:r>
            <w:r>
              <w:rPr>
                <w:rFonts w:ascii="宋体" w:hAnsi="宋体" w:eastAsia="宋体" w:cs="Times New Roman"/>
                <w:color w:val="auto"/>
              </w:rPr>
              <w:t>饮用，其余分散式水井约</w:t>
            </w:r>
            <w:r>
              <w:rPr>
                <w:rFonts w:hint="eastAsia" w:ascii="宋体" w:hAnsi="宋体" w:eastAsia="宋体" w:cs="Times New Roman"/>
                <w:color w:val="auto"/>
              </w:rPr>
              <w:t>56</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6F84EB99">
            <w:pPr>
              <w:snapToGrid w:val="0"/>
              <w:jc w:val="center"/>
              <w:rPr>
                <w:rFonts w:ascii="宋体" w:hAnsi="宋体" w:eastAsia="宋体" w:cs="Times New Roman"/>
                <w:color w:val="auto"/>
              </w:rPr>
            </w:pPr>
          </w:p>
        </w:tc>
      </w:tr>
      <w:tr w14:paraId="1CE02473">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4FF172F2">
            <w:pPr>
              <w:snapToGrid w:val="0"/>
              <w:jc w:val="center"/>
              <w:rPr>
                <w:rFonts w:ascii="宋体" w:hAnsi="宋体" w:eastAsia="宋体" w:cs="Times New Roman"/>
                <w:color w:val="auto"/>
              </w:rPr>
            </w:pPr>
          </w:p>
        </w:tc>
        <w:tc>
          <w:tcPr>
            <w:tcW w:w="675" w:type="pct"/>
            <w:shd w:val="clear" w:color="auto" w:fill="auto"/>
            <w:vAlign w:val="center"/>
          </w:tcPr>
          <w:p w14:paraId="7CD3922A">
            <w:pPr>
              <w:jc w:val="center"/>
              <w:rPr>
                <w:rFonts w:ascii="宋体" w:hAnsi="宋体" w:eastAsia="宋体" w:cs="Times New Roman"/>
                <w:color w:val="auto"/>
              </w:rPr>
            </w:pPr>
            <w:r>
              <w:rPr>
                <w:rFonts w:hint="eastAsia" w:ascii="宋体" w:hAnsi="宋体" w:eastAsia="宋体" w:cs="Times New Roman"/>
                <w:color w:val="auto"/>
              </w:rPr>
              <w:t>对青岗子屯分散式水源井</w:t>
            </w:r>
          </w:p>
        </w:tc>
        <w:tc>
          <w:tcPr>
            <w:tcW w:w="863" w:type="pct"/>
            <w:gridSpan w:val="2"/>
            <w:shd w:val="clear" w:color="auto" w:fill="auto"/>
            <w:vAlign w:val="center"/>
          </w:tcPr>
          <w:p w14:paraId="5B9B56CF">
            <w:pPr>
              <w:jc w:val="center"/>
              <w:rPr>
                <w:rFonts w:ascii="宋体" w:hAnsi="宋体" w:eastAsia="宋体" w:cs="Times New Roman"/>
                <w:color w:val="auto"/>
              </w:rPr>
            </w:pPr>
            <w:r>
              <w:rPr>
                <w:rFonts w:hint="eastAsia" w:ascii="宋体" w:hAnsi="宋体" w:eastAsia="宋体" w:cs="Times New Roman"/>
                <w:color w:val="auto"/>
              </w:rPr>
              <w:t>3#平台东南1800m</w:t>
            </w:r>
          </w:p>
        </w:tc>
        <w:tc>
          <w:tcPr>
            <w:tcW w:w="1409" w:type="pct"/>
            <w:gridSpan w:val="2"/>
            <w:shd w:val="clear" w:color="auto" w:fill="auto"/>
            <w:vAlign w:val="center"/>
          </w:tcPr>
          <w:p w14:paraId="715E1F49">
            <w:pPr>
              <w:jc w:val="center"/>
              <w:rPr>
                <w:rFonts w:ascii="宋体" w:hAnsi="宋体" w:eastAsia="宋体" w:cs="Times New Roman"/>
                <w:color w:val="auto"/>
              </w:rPr>
            </w:pPr>
            <w:r>
              <w:rPr>
                <w:rFonts w:hint="eastAsia" w:ascii="宋体" w:hAnsi="宋体" w:eastAsia="宋体" w:cs="Times New Roman"/>
                <w:color w:val="auto"/>
              </w:rPr>
              <w:t>承压水井2口，</w:t>
            </w:r>
            <w:r>
              <w:rPr>
                <w:rFonts w:ascii="宋体" w:hAnsi="宋体" w:eastAsia="宋体" w:cs="Times New Roman"/>
                <w:color w:val="auto"/>
              </w:rPr>
              <w:t>井深60～110m，供本村</w:t>
            </w:r>
            <w:r>
              <w:rPr>
                <w:rFonts w:hint="eastAsia" w:ascii="宋体" w:hAnsi="宋体" w:eastAsia="宋体" w:cs="Times New Roman"/>
                <w:color w:val="auto"/>
              </w:rPr>
              <w:t>200人</w:t>
            </w:r>
            <w:r>
              <w:rPr>
                <w:rFonts w:ascii="宋体" w:hAnsi="宋体" w:eastAsia="宋体" w:cs="Times New Roman"/>
                <w:color w:val="auto"/>
              </w:rPr>
              <w:t>饮用，其余分散式水井约</w:t>
            </w:r>
            <w:r>
              <w:rPr>
                <w:rFonts w:hint="eastAsia" w:ascii="宋体" w:hAnsi="宋体" w:eastAsia="宋体" w:cs="Times New Roman"/>
                <w:color w:val="auto"/>
              </w:rPr>
              <w:t>35</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42E3166D">
            <w:pPr>
              <w:snapToGrid w:val="0"/>
              <w:jc w:val="center"/>
              <w:rPr>
                <w:rFonts w:ascii="宋体" w:hAnsi="宋体" w:eastAsia="宋体" w:cs="Times New Roman"/>
                <w:color w:val="auto"/>
              </w:rPr>
            </w:pPr>
          </w:p>
        </w:tc>
      </w:tr>
      <w:tr w14:paraId="4C1865A6">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5DE302E0">
            <w:pPr>
              <w:snapToGrid w:val="0"/>
              <w:jc w:val="center"/>
              <w:rPr>
                <w:rFonts w:ascii="宋体" w:hAnsi="宋体" w:eastAsia="宋体" w:cs="Times New Roman"/>
                <w:color w:val="auto"/>
              </w:rPr>
            </w:pPr>
          </w:p>
        </w:tc>
        <w:tc>
          <w:tcPr>
            <w:tcW w:w="675" w:type="pct"/>
            <w:shd w:val="clear" w:color="auto" w:fill="auto"/>
            <w:vAlign w:val="center"/>
          </w:tcPr>
          <w:p w14:paraId="68F246EE">
            <w:pPr>
              <w:jc w:val="center"/>
              <w:rPr>
                <w:rFonts w:ascii="宋体" w:hAnsi="宋体" w:eastAsia="宋体" w:cs="Times New Roman"/>
                <w:color w:val="auto"/>
              </w:rPr>
            </w:pPr>
            <w:r>
              <w:rPr>
                <w:rFonts w:hint="eastAsia" w:ascii="宋体" w:hAnsi="宋体" w:eastAsia="宋体" w:cs="Times New Roman"/>
                <w:color w:val="auto"/>
              </w:rPr>
              <w:t>四方山屯分散式水源井</w:t>
            </w:r>
          </w:p>
        </w:tc>
        <w:tc>
          <w:tcPr>
            <w:tcW w:w="863" w:type="pct"/>
            <w:gridSpan w:val="2"/>
            <w:shd w:val="clear" w:color="auto" w:fill="auto"/>
            <w:vAlign w:val="center"/>
          </w:tcPr>
          <w:p w14:paraId="31980675">
            <w:pPr>
              <w:jc w:val="center"/>
              <w:rPr>
                <w:rFonts w:ascii="宋体" w:hAnsi="宋体" w:eastAsia="宋体" w:cs="Times New Roman"/>
                <w:color w:val="auto"/>
              </w:rPr>
            </w:pPr>
            <w:r>
              <w:rPr>
                <w:rFonts w:ascii="宋体" w:hAnsi="宋体" w:eastAsia="宋体" w:cs="Times New Roman"/>
                <w:color w:val="auto"/>
              </w:rPr>
              <w:t>源斜2401</w:t>
            </w:r>
            <w:r>
              <w:rPr>
                <w:rFonts w:hint="eastAsia" w:ascii="宋体" w:hAnsi="宋体" w:eastAsia="宋体" w:cs="Times New Roman"/>
                <w:color w:val="auto"/>
              </w:rPr>
              <w:t>西南2100m</w:t>
            </w:r>
          </w:p>
        </w:tc>
        <w:tc>
          <w:tcPr>
            <w:tcW w:w="1409" w:type="pct"/>
            <w:gridSpan w:val="2"/>
            <w:shd w:val="clear" w:color="auto" w:fill="auto"/>
            <w:vAlign w:val="center"/>
          </w:tcPr>
          <w:p w14:paraId="303C82DB">
            <w:pPr>
              <w:jc w:val="center"/>
              <w:rPr>
                <w:rFonts w:ascii="宋体" w:hAnsi="宋体" w:eastAsia="宋体" w:cs="Times New Roman"/>
                <w:color w:val="auto"/>
              </w:rPr>
            </w:pPr>
            <w:r>
              <w:rPr>
                <w:rFonts w:hint="eastAsia" w:ascii="宋体" w:hAnsi="宋体" w:eastAsia="宋体" w:cs="Times New Roman"/>
                <w:color w:val="auto"/>
              </w:rPr>
              <w:t>承压水井2口，</w:t>
            </w:r>
            <w:r>
              <w:rPr>
                <w:rFonts w:ascii="宋体" w:hAnsi="宋体" w:eastAsia="宋体" w:cs="Times New Roman"/>
                <w:color w:val="auto"/>
              </w:rPr>
              <w:t>井深60～110m，供本村</w:t>
            </w:r>
            <w:r>
              <w:rPr>
                <w:rFonts w:hint="eastAsia" w:ascii="宋体" w:hAnsi="宋体" w:eastAsia="宋体" w:cs="Times New Roman"/>
                <w:color w:val="auto"/>
              </w:rPr>
              <w:t>225人</w:t>
            </w:r>
            <w:r>
              <w:rPr>
                <w:rFonts w:ascii="宋体" w:hAnsi="宋体" w:eastAsia="宋体" w:cs="Times New Roman"/>
                <w:color w:val="auto"/>
              </w:rPr>
              <w:t>饮用，其余分散式水井约</w:t>
            </w:r>
            <w:r>
              <w:rPr>
                <w:rFonts w:hint="eastAsia" w:ascii="宋体" w:hAnsi="宋体" w:eastAsia="宋体" w:cs="Times New Roman"/>
                <w:color w:val="auto"/>
              </w:rPr>
              <w:t>40</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1C74E8EC">
            <w:pPr>
              <w:snapToGrid w:val="0"/>
              <w:jc w:val="center"/>
              <w:rPr>
                <w:rFonts w:ascii="宋体" w:hAnsi="宋体" w:eastAsia="宋体" w:cs="Times New Roman"/>
                <w:color w:val="auto"/>
              </w:rPr>
            </w:pPr>
          </w:p>
        </w:tc>
      </w:tr>
      <w:tr w14:paraId="13323829">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5F0068D2">
            <w:pPr>
              <w:snapToGrid w:val="0"/>
              <w:jc w:val="center"/>
              <w:rPr>
                <w:rFonts w:ascii="宋体" w:hAnsi="宋体" w:eastAsia="宋体" w:cs="Times New Roman"/>
                <w:color w:val="auto"/>
              </w:rPr>
            </w:pPr>
          </w:p>
        </w:tc>
        <w:tc>
          <w:tcPr>
            <w:tcW w:w="675" w:type="pct"/>
            <w:shd w:val="clear" w:color="auto" w:fill="auto"/>
            <w:vAlign w:val="center"/>
          </w:tcPr>
          <w:p w14:paraId="2DC22020">
            <w:pPr>
              <w:jc w:val="center"/>
              <w:rPr>
                <w:rFonts w:ascii="宋体" w:hAnsi="宋体" w:eastAsia="宋体" w:cs="Times New Roman"/>
                <w:color w:val="auto"/>
              </w:rPr>
            </w:pPr>
            <w:r>
              <w:rPr>
                <w:rFonts w:hint="eastAsia" w:ascii="宋体" w:hAnsi="宋体" w:eastAsia="宋体" w:cs="Times New Roman"/>
                <w:color w:val="auto"/>
              </w:rPr>
              <w:t>奎中里屯分散式水源井</w:t>
            </w:r>
          </w:p>
        </w:tc>
        <w:tc>
          <w:tcPr>
            <w:tcW w:w="863" w:type="pct"/>
            <w:gridSpan w:val="2"/>
            <w:shd w:val="clear" w:color="auto" w:fill="auto"/>
            <w:vAlign w:val="center"/>
          </w:tcPr>
          <w:p w14:paraId="0B572B51">
            <w:pPr>
              <w:jc w:val="center"/>
              <w:rPr>
                <w:rFonts w:ascii="宋体" w:hAnsi="宋体" w:eastAsia="宋体" w:cs="Times New Roman"/>
                <w:color w:val="auto"/>
              </w:rPr>
            </w:pPr>
            <w:r>
              <w:rPr>
                <w:rFonts w:ascii="宋体" w:hAnsi="宋体" w:eastAsia="宋体" w:cs="Times New Roman"/>
                <w:color w:val="auto"/>
              </w:rPr>
              <w:t>源斜2401</w:t>
            </w:r>
            <w:r>
              <w:rPr>
                <w:rFonts w:hint="eastAsia" w:ascii="宋体" w:hAnsi="宋体" w:eastAsia="宋体" w:cs="Times New Roman"/>
                <w:color w:val="auto"/>
              </w:rPr>
              <w:t>东南1900m</w:t>
            </w:r>
          </w:p>
        </w:tc>
        <w:tc>
          <w:tcPr>
            <w:tcW w:w="1409" w:type="pct"/>
            <w:gridSpan w:val="2"/>
            <w:shd w:val="clear" w:color="auto" w:fill="auto"/>
            <w:vAlign w:val="center"/>
          </w:tcPr>
          <w:p w14:paraId="2A25850A">
            <w:pPr>
              <w:jc w:val="center"/>
              <w:rPr>
                <w:rFonts w:ascii="宋体" w:hAnsi="宋体" w:eastAsia="宋体" w:cs="Times New Roman"/>
                <w:color w:val="auto"/>
              </w:rPr>
            </w:pPr>
            <w:r>
              <w:rPr>
                <w:rFonts w:hint="eastAsia" w:ascii="宋体" w:hAnsi="宋体" w:eastAsia="宋体" w:cs="Times New Roman"/>
                <w:color w:val="auto"/>
              </w:rPr>
              <w:t>承压水井1口，</w:t>
            </w:r>
            <w:r>
              <w:rPr>
                <w:rFonts w:ascii="宋体" w:hAnsi="宋体" w:eastAsia="宋体" w:cs="Times New Roman"/>
                <w:color w:val="auto"/>
              </w:rPr>
              <w:t>井深6</w:t>
            </w:r>
            <w:r>
              <w:rPr>
                <w:rFonts w:hint="eastAsia" w:ascii="宋体" w:hAnsi="宋体" w:eastAsia="宋体" w:cs="Times New Roman"/>
                <w:color w:val="auto"/>
              </w:rPr>
              <w:t>5</w:t>
            </w:r>
            <w:r>
              <w:rPr>
                <w:rFonts w:ascii="宋体" w:hAnsi="宋体" w:eastAsia="宋体" w:cs="Times New Roman"/>
                <w:color w:val="auto"/>
              </w:rPr>
              <w:t>m，供本村</w:t>
            </w:r>
            <w:r>
              <w:rPr>
                <w:rFonts w:hint="eastAsia" w:ascii="宋体" w:hAnsi="宋体" w:eastAsia="宋体" w:cs="Times New Roman"/>
                <w:color w:val="auto"/>
              </w:rPr>
              <w:t>100人</w:t>
            </w:r>
            <w:r>
              <w:rPr>
                <w:rFonts w:ascii="宋体" w:hAnsi="宋体" w:eastAsia="宋体" w:cs="Times New Roman"/>
                <w:color w:val="auto"/>
              </w:rPr>
              <w:t>饮用，其余分散式水井约</w:t>
            </w:r>
            <w:r>
              <w:rPr>
                <w:rFonts w:hint="eastAsia" w:ascii="宋体" w:hAnsi="宋体" w:eastAsia="宋体" w:cs="Times New Roman"/>
                <w:color w:val="auto"/>
              </w:rPr>
              <w:t>15</w:t>
            </w:r>
            <w:r>
              <w:rPr>
                <w:rFonts w:ascii="宋体" w:hAnsi="宋体" w:eastAsia="宋体" w:cs="Times New Roman"/>
                <w:color w:val="auto"/>
              </w:rPr>
              <w:t>口，井深1</w:t>
            </w:r>
            <w:r>
              <w:rPr>
                <w:rFonts w:hint="eastAsia" w:ascii="宋体" w:hAnsi="宋体" w:eastAsia="宋体" w:cs="Times New Roman"/>
                <w:color w:val="auto"/>
              </w:rPr>
              <w:t>5</w:t>
            </w:r>
            <w:r>
              <w:rPr>
                <w:rFonts w:ascii="宋体" w:hAnsi="宋体" w:eastAsia="宋体" w:cs="Times New Roman"/>
                <w:color w:val="auto"/>
              </w:rPr>
              <w:t>～</w:t>
            </w:r>
            <w:r>
              <w:rPr>
                <w:rFonts w:hint="eastAsia" w:ascii="宋体" w:hAnsi="宋体" w:eastAsia="宋体" w:cs="Times New Roman"/>
                <w:color w:val="auto"/>
              </w:rPr>
              <w:t>25</w:t>
            </w:r>
            <w:r>
              <w:rPr>
                <w:rFonts w:ascii="宋体" w:hAnsi="宋体" w:eastAsia="宋体" w:cs="Times New Roman"/>
                <w:color w:val="auto"/>
              </w:rPr>
              <w:t>m左右，用于喂养牲畜及灌溉</w:t>
            </w:r>
          </w:p>
        </w:tc>
        <w:tc>
          <w:tcPr>
            <w:tcW w:w="1636" w:type="pct"/>
            <w:vMerge w:val="continue"/>
            <w:shd w:val="clear" w:color="auto" w:fill="auto"/>
            <w:vAlign w:val="center"/>
          </w:tcPr>
          <w:p w14:paraId="7C6D9676">
            <w:pPr>
              <w:snapToGrid w:val="0"/>
              <w:jc w:val="center"/>
              <w:rPr>
                <w:rFonts w:ascii="宋体" w:hAnsi="宋体" w:eastAsia="宋体" w:cs="Times New Roman"/>
                <w:color w:val="auto"/>
              </w:rPr>
            </w:pPr>
          </w:p>
        </w:tc>
      </w:tr>
      <w:tr w14:paraId="031768C6">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08A14A26">
            <w:pPr>
              <w:snapToGrid w:val="0"/>
              <w:jc w:val="center"/>
              <w:rPr>
                <w:rFonts w:ascii="宋体" w:hAnsi="宋体" w:eastAsia="宋体" w:cs="Times New Roman"/>
                <w:color w:val="auto"/>
              </w:rPr>
            </w:pPr>
          </w:p>
        </w:tc>
        <w:tc>
          <w:tcPr>
            <w:tcW w:w="675" w:type="pct"/>
            <w:shd w:val="clear" w:color="auto" w:fill="auto"/>
            <w:vAlign w:val="center"/>
          </w:tcPr>
          <w:p w14:paraId="2EA651B2">
            <w:pPr>
              <w:jc w:val="center"/>
              <w:rPr>
                <w:rFonts w:ascii="宋体" w:hAnsi="宋体" w:eastAsia="宋体" w:cs="Times New Roman"/>
                <w:color w:val="auto"/>
              </w:rPr>
            </w:pPr>
            <w:r>
              <w:rPr>
                <w:rFonts w:ascii="宋体" w:hAnsi="宋体" w:eastAsia="宋体" w:cs="Times New Roman"/>
                <w:color w:val="auto"/>
              </w:rPr>
              <w:t>肇源镇饮用水井</w:t>
            </w:r>
          </w:p>
        </w:tc>
        <w:tc>
          <w:tcPr>
            <w:tcW w:w="863" w:type="pct"/>
            <w:gridSpan w:val="2"/>
            <w:shd w:val="clear" w:color="auto" w:fill="auto"/>
            <w:vAlign w:val="center"/>
          </w:tcPr>
          <w:p w14:paraId="3D98F4DA">
            <w:pPr>
              <w:jc w:val="center"/>
              <w:rPr>
                <w:rFonts w:ascii="宋体" w:hAnsi="宋体" w:eastAsia="宋体" w:cs="Times New Roman"/>
                <w:color w:val="auto"/>
              </w:rPr>
            </w:pPr>
            <w:r>
              <w:rPr>
                <w:rFonts w:ascii="宋体" w:hAnsi="宋体" w:eastAsia="宋体" w:cs="Times New Roman"/>
                <w:color w:val="auto"/>
                <w:lang w:bidi="ar"/>
              </w:rPr>
              <w:t>最近水源井位于源1011井场北侧3800m</w:t>
            </w:r>
          </w:p>
        </w:tc>
        <w:tc>
          <w:tcPr>
            <w:tcW w:w="1409" w:type="pct"/>
            <w:gridSpan w:val="2"/>
            <w:shd w:val="clear" w:color="auto" w:fill="auto"/>
            <w:vAlign w:val="center"/>
          </w:tcPr>
          <w:p w14:paraId="2FF62B35">
            <w:pPr>
              <w:jc w:val="center"/>
              <w:rPr>
                <w:rFonts w:ascii="宋体" w:hAnsi="宋体" w:eastAsia="宋体" w:cs="Times New Roman"/>
                <w:color w:val="auto"/>
              </w:rPr>
            </w:pPr>
            <w:r>
              <w:rPr>
                <w:rFonts w:ascii="宋体" w:hAnsi="宋体" w:eastAsia="宋体" w:cs="Times New Roman"/>
                <w:color w:val="auto"/>
              </w:rPr>
              <w:t>取水层承压水含水层，为</w:t>
            </w:r>
            <w:r>
              <w:rPr>
                <w:rFonts w:hint="eastAsia" w:ascii="宋体" w:hAnsi="宋体" w:eastAsia="宋体" w:cs="Times New Roman"/>
                <w:color w:val="auto"/>
              </w:rPr>
              <w:t>肇源镇</w:t>
            </w:r>
            <w:r>
              <w:rPr>
                <w:rFonts w:ascii="宋体" w:hAnsi="宋体" w:eastAsia="宋体" w:cs="Times New Roman"/>
                <w:color w:val="auto"/>
              </w:rPr>
              <w:t>及周边居民提供生活饮用水，供水人数约</w:t>
            </w:r>
            <w:r>
              <w:rPr>
                <w:rFonts w:hint="eastAsia" w:ascii="宋体" w:hAnsi="宋体" w:eastAsia="宋体" w:cs="Times New Roman"/>
                <w:color w:val="auto"/>
              </w:rPr>
              <w:t>2</w:t>
            </w:r>
            <w:r>
              <w:rPr>
                <w:rFonts w:ascii="宋体" w:hAnsi="宋体" w:eastAsia="宋体" w:cs="Times New Roman"/>
                <w:color w:val="auto"/>
              </w:rPr>
              <w:t>～</w:t>
            </w:r>
            <w:r>
              <w:rPr>
                <w:rFonts w:hint="eastAsia" w:ascii="宋体" w:hAnsi="宋体" w:eastAsia="宋体" w:cs="Times New Roman"/>
                <w:color w:val="auto"/>
              </w:rPr>
              <w:t>3</w:t>
            </w:r>
            <w:r>
              <w:rPr>
                <w:rFonts w:ascii="宋体" w:hAnsi="宋体" w:eastAsia="宋体" w:cs="Times New Roman"/>
                <w:color w:val="auto"/>
              </w:rPr>
              <w:t>万人。村屯内还有少量水井用于喂养牲畜、灌溉。</w:t>
            </w:r>
          </w:p>
        </w:tc>
        <w:tc>
          <w:tcPr>
            <w:tcW w:w="1636" w:type="pct"/>
            <w:vMerge w:val="continue"/>
            <w:shd w:val="clear" w:color="auto" w:fill="auto"/>
            <w:vAlign w:val="center"/>
          </w:tcPr>
          <w:p w14:paraId="11E46C32">
            <w:pPr>
              <w:snapToGrid w:val="0"/>
              <w:jc w:val="center"/>
              <w:rPr>
                <w:rFonts w:ascii="宋体" w:hAnsi="宋体" w:eastAsia="宋体" w:cs="Times New Roman"/>
                <w:color w:val="auto"/>
              </w:rPr>
            </w:pPr>
          </w:p>
        </w:tc>
      </w:tr>
      <w:tr w14:paraId="4EAD96E6">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restart"/>
            <w:shd w:val="clear" w:color="auto" w:fill="auto"/>
            <w:vAlign w:val="center"/>
          </w:tcPr>
          <w:p w14:paraId="341B26A8">
            <w:pPr>
              <w:snapToGrid w:val="0"/>
              <w:jc w:val="center"/>
              <w:rPr>
                <w:rFonts w:ascii="宋体" w:hAnsi="宋体" w:eastAsia="宋体" w:cs="Times New Roman"/>
                <w:color w:val="auto"/>
              </w:rPr>
            </w:pPr>
            <w:r>
              <w:rPr>
                <w:rFonts w:ascii="宋体" w:hAnsi="宋体" w:eastAsia="宋体" w:cs="Times New Roman"/>
                <w:color w:val="auto"/>
                <w:highlight w:val="none"/>
              </w:rPr>
              <w:t>生态环境</w:t>
            </w:r>
          </w:p>
        </w:tc>
        <w:tc>
          <w:tcPr>
            <w:tcW w:w="2948" w:type="pct"/>
            <w:gridSpan w:val="5"/>
            <w:shd w:val="clear" w:color="auto" w:fill="auto"/>
            <w:vAlign w:val="center"/>
          </w:tcPr>
          <w:p w14:paraId="10A6D3C0">
            <w:pPr>
              <w:adjustRightInd w:val="0"/>
              <w:snapToGrid w:val="0"/>
              <w:jc w:val="center"/>
              <w:rPr>
                <w:rFonts w:ascii="宋体" w:hAnsi="宋体" w:eastAsia="宋体" w:cs="Times New Roman"/>
                <w:color w:val="auto"/>
              </w:rPr>
            </w:pPr>
            <w:r>
              <w:rPr>
                <w:rFonts w:ascii="宋体" w:hAnsi="宋体" w:eastAsia="宋体" w:cs="Times New Roman"/>
                <w:color w:val="auto"/>
              </w:rPr>
              <w:t>拟建平台和单井井场边界外扩50m范围及新建管线、道路沿线两侧外扩300m区域的生态环境，主要为耕地和草地</w:t>
            </w:r>
          </w:p>
        </w:tc>
        <w:tc>
          <w:tcPr>
            <w:tcW w:w="1636" w:type="pct"/>
            <w:shd w:val="clear" w:color="auto" w:fill="auto"/>
            <w:vAlign w:val="center"/>
          </w:tcPr>
          <w:p w14:paraId="6B1639A0">
            <w:pPr>
              <w:adjustRightInd w:val="0"/>
              <w:snapToGrid w:val="0"/>
              <w:jc w:val="center"/>
              <w:rPr>
                <w:rFonts w:ascii="宋体" w:hAnsi="宋体" w:eastAsia="宋体" w:cs="Times New Roman"/>
                <w:color w:val="auto"/>
              </w:rPr>
            </w:pPr>
            <w:r>
              <w:rPr>
                <w:rFonts w:ascii="宋体" w:hAnsi="宋体" w:eastAsia="宋体" w:cs="Times New Roman"/>
                <w:color w:val="auto"/>
              </w:rPr>
              <w:t>临时占用耕地和草地进行恢复，恢复面积</w:t>
            </w:r>
            <w:r>
              <w:rPr>
                <w:rFonts w:hint="eastAsia" w:ascii="宋体" w:hAnsi="宋体" w:eastAsia="宋体" w:cs="Times New Roman"/>
                <w:color w:val="auto"/>
              </w:rPr>
              <w:t>4.46</w:t>
            </w:r>
            <w:r>
              <w:rPr>
                <w:rFonts w:ascii="宋体" w:hAnsi="宋体" w:eastAsia="宋体" w:cs="Times New Roman"/>
                <w:color w:val="auto"/>
              </w:rPr>
              <w:t>hm</w:t>
            </w:r>
            <w:r>
              <w:rPr>
                <w:rFonts w:ascii="宋体" w:hAnsi="宋体" w:eastAsia="宋体" w:cs="Times New Roman"/>
                <w:color w:val="auto"/>
                <w:vertAlign w:val="superscript"/>
              </w:rPr>
              <w:t>2</w:t>
            </w:r>
            <w:r>
              <w:rPr>
                <w:rFonts w:ascii="宋体" w:hAnsi="宋体" w:eastAsia="宋体" w:cs="Times New Roman"/>
                <w:color w:val="auto"/>
              </w:rPr>
              <w:t>。对永久占地按“占一补一”原则进行补偿，专款用于基本农田补划。</w:t>
            </w:r>
          </w:p>
        </w:tc>
      </w:tr>
      <w:tr w14:paraId="0BDAF801">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7482E56B">
            <w:pPr>
              <w:snapToGrid w:val="0"/>
              <w:jc w:val="center"/>
              <w:rPr>
                <w:rFonts w:ascii="宋体" w:hAnsi="宋体" w:eastAsia="宋体" w:cs="Times New Roman"/>
                <w:color w:val="auto"/>
              </w:rPr>
            </w:pPr>
          </w:p>
        </w:tc>
        <w:tc>
          <w:tcPr>
            <w:tcW w:w="1109" w:type="pct"/>
            <w:gridSpan w:val="2"/>
            <w:shd w:val="clear" w:color="auto" w:fill="auto"/>
            <w:vAlign w:val="center"/>
          </w:tcPr>
          <w:p w14:paraId="5CA84157">
            <w:pPr>
              <w:adjustRightInd w:val="0"/>
              <w:snapToGrid w:val="0"/>
              <w:jc w:val="center"/>
              <w:rPr>
                <w:rFonts w:ascii="宋体" w:hAnsi="宋体" w:eastAsia="宋体" w:cs="Times New Roman"/>
                <w:color w:val="auto"/>
              </w:rPr>
            </w:pPr>
            <w:r>
              <w:rPr>
                <w:rFonts w:ascii="宋体" w:hAnsi="宋体" w:eastAsia="宋体" w:cs="Times New Roman"/>
                <w:color w:val="auto"/>
              </w:rPr>
              <w:t>沼泽地</w:t>
            </w:r>
            <w:r>
              <w:rPr>
                <w:rFonts w:ascii="宋体" w:hAnsi="宋体" w:eastAsia="宋体" w:cs="Times New Roman"/>
                <w:snapToGrid w:val="0"/>
                <w:color w:val="auto"/>
              </w:rPr>
              <w:t>230622211000087145</w:t>
            </w:r>
          </w:p>
        </w:tc>
        <w:tc>
          <w:tcPr>
            <w:tcW w:w="863" w:type="pct"/>
            <w:gridSpan w:val="2"/>
            <w:shd w:val="clear" w:color="auto" w:fill="auto"/>
            <w:vAlign w:val="center"/>
          </w:tcPr>
          <w:p w14:paraId="3DDF9008">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源1011井场</w:t>
            </w:r>
            <w:r>
              <w:rPr>
                <w:rFonts w:hint="eastAsia" w:ascii="宋体" w:hAnsi="宋体" w:eastAsia="宋体" w:cs="Times New Roman"/>
                <w:snapToGrid w:val="0"/>
                <w:color w:val="auto"/>
              </w:rPr>
              <w:t>东</w:t>
            </w:r>
            <w:r>
              <w:rPr>
                <w:rFonts w:ascii="宋体" w:hAnsi="宋体" w:eastAsia="宋体" w:cs="Times New Roman"/>
                <w:snapToGrid w:val="0"/>
                <w:color w:val="auto"/>
              </w:rPr>
              <w:t>北</w:t>
            </w:r>
            <w:r>
              <w:rPr>
                <w:rFonts w:hint="eastAsia" w:ascii="宋体" w:hAnsi="宋体" w:eastAsia="宋体" w:cs="Times New Roman"/>
                <w:snapToGrid w:val="0"/>
                <w:color w:val="auto"/>
              </w:rPr>
              <w:t>93</w:t>
            </w:r>
            <w:r>
              <w:rPr>
                <w:rFonts w:ascii="宋体" w:hAnsi="宋体" w:eastAsia="宋体" w:cs="Times New Roman"/>
                <w:snapToGrid w:val="0"/>
                <w:color w:val="auto"/>
              </w:rPr>
              <w:t>0m</w:t>
            </w:r>
          </w:p>
        </w:tc>
        <w:tc>
          <w:tcPr>
            <w:tcW w:w="976" w:type="pct"/>
            <w:shd w:val="clear" w:color="auto" w:fill="auto"/>
            <w:vAlign w:val="center"/>
          </w:tcPr>
          <w:p w14:paraId="44A54C30">
            <w:pPr>
              <w:adjustRightInd w:val="0"/>
              <w:snapToGrid w:val="0"/>
              <w:jc w:val="center"/>
              <w:rPr>
                <w:rFonts w:ascii="宋体" w:hAnsi="宋体" w:eastAsia="宋体" w:cs="Times New Roman"/>
                <w:color w:val="auto"/>
              </w:rPr>
            </w:pPr>
            <w:r>
              <w:rPr>
                <w:rFonts w:ascii="宋体" w:hAnsi="宋体" w:eastAsia="宋体" w:cs="Times New Roman"/>
                <w:color w:val="auto"/>
              </w:rPr>
              <w:t>一般湿地，面积</w:t>
            </w:r>
            <w:r>
              <w:rPr>
                <w:rFonts w:ascii="宋体" w:hAnsi="宋体" w:eastAsia="宋体" w:cs="Times New Roman"/>
                <w:snapToGrid w:val="0"/>
                <w:color w:val="auto"/>
              </w:rPr>
              <w:t>9.8839</w:t>
            </w:r>
            <w:r>
              <w:rPr>
                <w:rFonts w:ascii="宋体" w:hAnsi="宋体" w:eastAsia="宋体" w:cs="Times New Roman"/>
                <w:color w:val="auto"/>
              </w:rPr>
              <w:t>hm</w:t>
            </w:r>
            <w:r>
              <w:rPr>
                <w:rFonts w:ascii="宋体" w:hAnsi="宋体" w:eastAsia="宋体" w:cs="Times New Roman"/>
                <w:color w:val="auto"/>
                <w:vertAlign w:val="superscript"/>
              </w:rPr>
              <w:t>2</w:t>
            </w:r>
          </w:p>
        </w:tc>
        <w:tc>
          <w:tcPr>
            <w:tcW w:w="1636" w:type="pct"/>
            <w:vMerge w:val="restart"/>
            <w:shd w:val="clear" w:color="auto" w:fill="auto"/>
            <w:vAlign w:val="center"/>
          </w:tcPr>
          <w:p w14:paraId="146899A4">
            <w:pPr>
              <w:adjustRightInd w:val="0"/>
              <w:snapToGrid w:val="0"/>
              <w:jc w:val="center"/>
              <w:rPr>
                <w:rFonts w:ascii="宋体" w:hAnsi="宋体" w:eastAsia="宋体" w:cs="Times New Roman"/>
                <w:color w:val="auto"/>
              </w:rPr>
            </w:pPr>
            <w:r>
              <w:rPr>
                <w:rFonts w:ascii="宋体" w:hAnsi="宋体" w:eastAsia="宋体" w:cs="Times New Roman"/>
                <w:color w:val="auto"/>
              </w:rPr>
              <w:t>保障湿地的水文调节、水质净化等生态服务功能正常发挥，使其能在保护生物多样性等方面持续发挥作用</w:t>
            </w:r>
          </w:p>
        </w:tc>
      </w:tr>
      <w:tr w14:paraId="777FDF39">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6A690684">
            <w:pPr>
              <w:snapToGrid w:val="0"/>
              <w:jc w:val="center"/>
              <w:rPr>
                <w:rFonts w:ascii="宋体" w:hAnsi="宋体" w:eastAsia="宋体" w:cs="Times New Roman"/>
                <w:color w:val="auto"/>
              </w:rPr>
            </w:pPr>
          </w:p>
        </w:tc>
        <w:tc>
          <w:tcPr>
            <w:tcW w:w="1109" w:type="pct"/>
            <w:gridSpan w:val="2"/>
            <w:shd w:val="clear" w:color="auto" w:fill="auto"/>
            <w:vAlign w:val="center"/>
          </w:tcPr>
          <w:p w14:paraId="5A2BF315">
            <w:pPr>
              <w:adjustRightInd w:val="0"/>
              <w:snapToGrid w:val="0"/>
              <w:jc w:val="center"/>
              <w:rPr>
                <w:rFonts w:ascii="宋体" w:hAnsi="宋体" w:eastAsia="宋体" w:cs="Times New Roman"/>
                <w:color w:val="auto"/>
              </w:rPr>
            </w:pPr>
            <w:r>
              <w:rPr>
                <w:rFonts w:ascii="宋体" w:hAnsi="宋体" w:eastAsia="宋体" w:cs="Times New Roman"/>
                <w:color w:val="auto"/>
              </w:rPr>
              <w:t>沼泽地</w:t>
            </w:r>
            <w:r>
              <w:rPr>
                <w:rFonts w:ascii="宋体" w:hAnsi="宋体" w:eastAsia="宋体" w:cs="Times New Roman"/>
                <w:snapToGrid w:val="0"/>
                <w:color w:val="auto"/>
              </w:rPr>
              <w:t>230622211000087564</w:t>
            </w:r>
          </w:p>
        </w:tc>
        <w:tc>
          <w:tcPr>
            <w:tcW w:w="863" w:type="pct"/>
            <w:gridSpan w:val="2"/>
            <w:shd w:val="clear" w:color="auto" w:fill="auto"/>
            <w:vAlign w:val="center"/>
          </w:tcPr>
          <w:p w14:paraId="63195381">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源1011井场</w:t>
            </w:r>
            <w:r>
              <w:rPr>
                <w:rFonts w:hint="eastAsia" w:ascii="宋体" w:hAnsi="宋体" w:eastAsia="宋体" w:cs="Times New Roman"/>
                <w:snapToGrid w:val="0"/>
                <w:color w:val="auto"/>
              </w:rPr>
              <w:t>西</w:t>
            </w:r>
            <w:r>
              <w:rPr>
                <w:rFonts w:ascii="宋体" w:hAnsi="宋体" w:eastAsia="宋体" w:cs="Times New Roman"/>
                <w:snapToGrid w:val="0"/>
                <w:color w:val="auto"/>
              </w:rPr>
              <w:t>北</w:t>
            </w:r>
            <w:r>
              <w:rPr>
                <w:rFonts w:hint="eastAsia" w:ascii="宋体" w:hAnsi="宋体" w:eastAsia="宋体" w:cs="Times New Roman"/>
                <w:snapToGrid w:val="0"/>
                <w:color w:val="auto"/>
              </w:rPr>
              <w:t>35</w:t>
            </w:r>
            <w:r>
              <w:rPr>
                <w:rFonts w:ascii="宋体" w:hAnsi="宋体" w:eastAsia="宋体" w:cs="Times New Roman"/>
                <w:snapToGrid w:val="0"/>
                <w:color w:val="auto"/>
              </w:rPr>
              <w:t>0m</w:t>
            </w:r>
          </w:p>
        </w:tc>
        <w:tc>
          <w:tcPr>
            <w:tcW w:w="976" w:type="pct"/>
            <w:shd w:val="clear" w:color="auto" w:fill="auto"/>
            <w:vAlign w:val="center"/>
          </w:tcPr>
          <w:p w14:paraId="5DA564C3">
            <w:pPr>
              <w:adjustRightInd w:val="0"/>
              <w:snapToGrid w:val="0"/>
              <w:jc w:val="center"/>
              <w:rPr>
                <w:rFonts w:ascii="宋体" w:hAnsi="宋体" w:eastAsia="宋体" w:cs="Times New Roman"/>
                <w:color w:val="auto"/>
              </w:rPr>
            </w:pPr>
            <w:r>
              <w:rPr>
                <w:rFonts w:ascii="宋体" w:hAnsi="宋体" w:eastAsia="宋体" w:cs="Times New Roman"/>
                <w:color w:val="auto"/>
              </w:rPr>
              <w:t>一般湿地，面积</w:t>
            </w:r>
            <w:r>
              <w:rPr>
                <w:rFonts w:ascii="宋体" w:hAnsi="宋体" w:eastAsia="宋体" w:cs="Times New Roman"/>
                <w:snapToGrid w:val="0"/>
                <w:color w:val="auto"/>
              </w:rPr>
              <w:t>3.9547</w:t>
            </w:r>
            <w:r>
              <w:rPr>
                <w:rFonts w:ascii="宋体" w:hAnsi="宋体" w:eastAsia="宋体" w:cs="Times New Roman"/>
                <w:color w:val="auto"/>
              </w:rPr>
              <w:t>hm</w:t>
            </w:r>
            <w:r>
              <w:rPr>
                <w:rFonts w:ascii="宋体" w:hAnsi="宋体" w:eastAsia="宋体" w:cs="Times New Roman"/>
                <w:color w:val="auto"/>
                <w:vertAlign w:val="superscript"/>
              </w:rPr>
              <w:t>2</w:t>
            </w:r>
          </w:p>
        </w:tc>
        <w:tc>
          <w:tcPr>
            <w:tcW w:w="1636" w:type="pct"/>
            <w:vMerge w:val="continue"/>
            <w:shd w:val="clear" w:color="auto" w:fill="auto"/>
            <w:vAlign w:val="center"/>
          </w:tcPr>
          <w:p w14:paraId="2D177212">
            <w:pPr>
              <w:adjustRightInd w:val="0"/>
              <w:snapToGrid w:val="0"/>
              <w:jc w:val="center"/>
              <w:rPr>
                <w:rFonts w:ascii="宋体" w:hAnsi="宋体" w:eastAsia="宋体" w:cs="Times New Roman"/>
                <w:color w:val="auto"/>
              </w:rPr>
            </w:pPr>
          </w:p>
        </w:tc>
      </w:tr>
      <w:tr w14:paraId="15C71F91">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7FA380DE">
            <w:pPr>
              <w:snapToGrid w:val="0"/>
              <w:jc w:val="center"/>
              <w:rPr>
                <w:rFonts w:ascii="宋体" w:hAnsi="宋体" w:eastAsia="宋体" w:cs="Times New Roman"/>
                <w:color w:val="auto"/>
              </w:rPr>
            </w:pPr>
          </w:p>
        </w:tc>
        <w:tc>
          <w:tcPr>
            <w:tcW w:w="1109" w:type="pct"/>
            <w:gridSpan w:val="2"/>
            <w:shd w:val="clear" w:color="auto" w:fill="auto"/>
            <w:vAlign w:val="center"/>
          </w:tcPr>
          <w:p w14:paraId="3E93CBE5">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沼泽地230622211000094779</w:t>
            </w:r>
          </w:p>
        </w:tc>
        <w:tc>
          <w:tcPr>
            <w:tcW w:w="863" w:type="pct"/>
            <w:gridSpan w:val="2"/>
            <w:shd w:val="clear" w:color="auto" w:fill="auto"/>
            <w:vAlign w:val="center"/>
          </w:tcPr>
          <w:p w14:paraId="4701E4C9">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源斜2401</w:t>
            </w:r>
            <w:r>
              <w:rPr>
                <w:rFonts w:hint="eastAsia" w:ascii="宋体" w:hAnsi="宋体" w:eastAsia="宋体" w:cs="Times New Roman"/>
                <w:snapToGrid w:val="0"/>
                <w:color w:val="auto"/>
              </w:rPr>
              <w:t>西北50</w:t>
            </w:r>
            <w:r>
              <w:rPr>
                <w:rFonts w:ascii="宋体" w:hAnsi="宋体" w:eastAsia="宋体" w:cs="Times New Roman"/>
                <w:snapToGrid w:val="0"/>
                <w:color w:val="auto"/>
              </w:rPr>
              <w:t>0m</w:t>
            </w:r>
          </w:p>
        </w:tc>
        <w:tc>
          <w:tcPr>
            <w:tcW w:w="976" w:type="pct"/>
            <w:shd w:val="clear" w:color="auto" w:fill="auto"/>
            <w:vAlign w:val="center"/>
          </w:tcPr>
          <w:p w14:paraId="2EB2CFA2">
            <w:pPr>
              <w:adjustRightInd w:val="0"/>
              <w:snapToGrid w:val="0"/>
              <w:jc w:val="center"/>
              <w:rPr>
                <w:rFonts w:ascii="宋体" w:hAnsi="宋体" w:eastAsia="宋体" w:cs="Times New Roman"/>
                <w:color w:val="auto"/>
              </w:rPr>
            </w:pPr>
            <w:r>
              <w:rPr>
                <w:rFonts w:ascii="宋体" w:hAnsi="宋体" w:eastAsia="宋体" w:cs="Times New Roman"/>
                <w:color w:val="auto"/>
              </w:rPr>
              <w:t>一般湿地，面积</w:t>
            </w:r>
            <w:r>
              <w:rPr>
                <w:rFonts w:ascii="宋体" w:hAnsi="宋体" w:eastAsia="宋体" w:cs="Times New Roman"/>
                <w:snapToGrid w:val="0"/>
                <w:color w:val="auto"/>
              </w:rPr>
              <w:t>1.1253hm</w:t>
            </w:r>
            <w:r>
              <w:rPr>
                <w:rFonts w:ascii="宋体" w:hAnsi="宋体" w:eastAsia="宋体" w:cs="Times New Roman"/>
                <w:snapToGrid w:val="0"/>
                <w:color w:val="auto"/>
                <w:vertAlign w:val="superscript"/>
              </w:rPr>
              <w:t>2</w:t>
            </w:r>
          </w:p>
        </w:tc>
        <w:tc>
          <w:tcPr>
            <w:tcW w:w="1636" w:type="pct"/>
            <w:vMerge w:val="continue"/>
            <w:shd w:val="clear" w:color="auto" w:fill="auto"/>
            <w:vAlign w:val="center"/>
          </w:tcPr>
          <w:p w14:paraId="1CD440D0">
            <w:pPr>
              <w:adjustRightInd w:val="0"/>
              <w:snapToGrid w:val="0"/>
              <w:jc w:val="center"/>
              <w:rPr>
                <w:rFonts w:ascii="宋体" w:hAnsi="宋体" w:eastAsia="宋体" w:cs="Times New Roman"/>
                <w:color w:val="auto"/>
              </w:rPr>
            </w:pPr>
          </w:p>
        </w:tc>
      </w:tr>
      <w:tr w14:paraId="0B46310C">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PrEx>
        <w:trPr>
          <w:trHeight w:val="340" w:hRule="atLeast"/>
          <w:jc w:val="center"/>
        </w:trPr>
        <w:tc>
          <w:tcPr>
            <w:tcW w:w="417" w:type="pct"/>
            <w:vMerge w:val="continue"/>
            <w:shd w:val="clear" w:color="auto" w:fill="auto"/>
            <w:vAlign w:val="center"/>
          </w:tcPr>
          <w:p w14:paraId="1312B367">
            <w:pPr>
              <w:snapToGrid w:val="0"/>
              <w:jc w:val="center"/>
              <w:rPr>
                <w:rFonts w:ascii="宋体" w:hAnsi="宋体" w:eastAsia="宋体" w:cs="Times New Roman"/>
                <w:color w:val="auto"/>
              </w:rPr>
            </w:pPr>
          </w:p>
        </w:tc>
        <w:tc>
          <w:tcPr>
            <w:tcW w:w="1109" w:type="pct"/>
            <w:gridSpan w:val="2"/>
            <w:shd w:val="clear" w:color="auto" w:fill="auto"/>
            <w:vAlign w:val="center"/>
          </w:tcPr>
          <w:p w14:paraId="4F7932F6">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沼泽地230622211000094780</w:t>
            </w:r>
          </w:p>
        </w:tc>
        <w:tc>
          <w:tcPr>
            <w:tcW w:w="863" w:type="pct"/>
            <w:gridSpan w:val="2"/>
            <w:shd w:val="clear" w:color="auto" w:fill="auto"/>
            <w:vAlign w:val="center"/>
          </w:tcPr>
          <w:p w14:paraId="77A4D836">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源斜2401</w:t>
            </w:r>
            <w:r>
              <w:rPr>
                <w:rFonts w:hint="eastAsia" w:ascii="宋体" w:hAnsi="宋体" w:eastAsia="宋体" w:cs="Times New Roman"/>
                <w:snapToGrid w:val="0"/>
                <w:color w:val="auto"/>
              </w:rPr>
              <w:t>西北23</w:t>
            </w:r>
            <w:r>
              <w:rPr>
                <w:rFonts w:ascii="宋体" w:hAnsi="宋体" w:eastAsia="宋体" w:cs="Times New Roman"/>
                <w:snapToGrid w:val="0"/>
                <w:color w:val="auto"/>
              </w:rPr>
              <w:t>0m</w:t>
            </w:r>
          </w:p>
        </w:tc>
        <w:tc>
          <w:tcPr>
            <w:tcW w:w="976" w:type="pct"/>
            <w:shd w:val="clear" w:color="auto" w:fill="auto"/>
            <w:vAlign w:val="center"/>
          </w:tcPr>
          <w:p w14:paraId="0A078F73">
            <w:pPr>
              <w:adjustRightInd w:val="0"/>
              <w:snapToGrid w:val="0"/>
              <w:jc w:val="center"/>
              <w:rPr>
                <w:rFonts w:ascii="宋体" w:hAnsi="宋体" w:eastAsia="宋体" w:cs="Times New Roman"/>
                <w:color w:val="auto"/>
              </w:rPr>
            </w:pPr>
            <w:r>
              <w:rPr>
                <w:rFonts w:ascii="宋体" w:hAnsi="宋体" w:eastAsia="宋体" w:cs="Times New Roman"/>
                <w:color w:val="auto"/>
              </w:rPr>
              <w:t>一般湿地，面积</w:t>
            </w:r>
            <w:r>
              <w:rPr>
                <w:rFonts w:ascii="宋体" w:hAnsi="宋体" w:eastAsia="宋体" w:cs="Times New Roman"/>
                <w:snapToGrid w:val="0"/>
                <w:color w:val="auto"/>
              </w:rPr>
              <w:t>1.8572hm</w:t>
            </w:r>
            <w:r>
              <w:rPr>
                <w:rFonts w:ascii="宋体" w:hAnsi="宋体" w:eastAsia="宋体" w:cs="Times New Roman"/>
                <w:snapToGrid w:val="0"/>
                <w:color w:val="auto"/>
                <w:vertAlign w:val="superscript"/>
              </w:rPr>
              <w:t>2</w:t>
            </w:r>
          </w:p>
        </w:tc>
        <w:tc>
          <w:tcPr>
            <w:tcW w:w="1636" w:type="pct"/>
            <w:vMerge w:val="continue"/>
            <w:shd w:val="clear" w:color="auto" w:fill="auto"/>
            <w:vAlign w:val="center"/>
          </w:tcPr>
          <w:p w14:paraId="5F16DDC1">
            <w:pPr>
              <w:adjustRightInd w:val="0"/>
              <w:snapToGrid w:val="0"/>
              <w:jc w:val="center"/>
              <w:rPr>
                <w:rFonts w:ascii="宋体" w:hAnsi="宋体" w:eastAsia="宋体" w:cs="Times New Roman"/>
                <w:color w:val="auto"/>
              </w:rPr>
            </w:pPr>
          </w:p>
        </w:tc>
      </w:tr>
      <w:tr w14:paraId="2876445A">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1ED45D79">
            <w:pPr>
              <w:snapToGrid w:val="0"/>
              <w:jc w:val="center"/>
              <w:rPr>
                <w:rFonts w:ascii="宋体" w:hAnsi="宋体" w:eastAsia="宋体" w:cs="Times New Roman"/>
                <w:color w:val="auto"/>
              </w:rPr>
            </w:pPr>
          </w:p>
        </w:tc>
        <w:tc>
          <w:tcPr>
            <w:tcW w:w="1109" w:type="pct"/>
            <w:gridSpan w:val="2"/>
            <w:shd w:val="clear" w:color="auto" w:fill="auto"/>
            <w:vAlign w:val="center"/>
          </w:tcPr>
          <w:p w14:paraId="5412A2B4">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沼泽地230622211000095057</w:t>
            </w:r>
          </w:p>
        </w:tc>
        <w:tc>
          <w:tcPr>
            <w:tcW w:w="863" w:type="pct"/>
            <w:gridSpan w:val="2"/>
            <w:shd w:val="clear" w:color="auto" w:fill="auto"/>
            <w:vAlign w:val="center"/>
          </w:tcPr>
          <w:p w14:paraId="69F8B29F">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源斜2401</w:t>
            </w:r>
            <w:r>
              <w:rPr>
                <w:rFonts w:hint="eastAsia" w:ascii="宋体" w:hAnsi="宋体" w:eastAsia="宋体" w:cs="Times New Roman"/>
                <w:snapToGrid w:val="0"/>
                <w:color w:val="auto"/>
              </w:rPr>
              <w:t>西北780</w:t>
            </w:r>
            <w:r>
              <w:rPr>
                <w:rFonts w:ascii="宋体" w:hAnsi="宋体" w:eastAsia="宋体" w:cs="Times New Roman"/>
                <w:snapToGrid w:val="0"/>
                <w:color w:val="auto"/>
              </w:rPr>
              <w:t>m</w:t>
            </w:r>
          </w:p>
        </w:tc>
        <w:tc>
          <w:tcPr>
            <w:tcW w:w="976" w:type="pct"/>
            <w:shd w:val="clear" w:color="auto" w:fill="auto"/>
            <w:vAlign w:val="center"/>
          </w:tcPr>
          <w:p w14:paraId="04E978CC">
            <w:pPr>
              <w:adjustRightInd w:val="0"/>
              <w:snapToGrid w:val="0"/>
              <w:jc w:val="center"/>
              <w:rPr>
                <w:rFonts w:ascii="宋体" w:hAnsi="宋体" w:eastAsia="宋体" w:cs="Times New Roman"/>
                <w:color w:val="auto"/>
              </w:rPr>
            </w:pPr>
            <w:r>
              <w:rPr>
                <w:rFonts w:ascii="宋体" w:hAnsi="宋体" w:eastAsia="宋体" w:cs="Times New Roman"/>
                <w:color w:val="auto"/>
              </w:rPr>
              <w:t>一般湿地，面积</w:t>
            </w:r>
            <w:r>
              <w:rPr>
                <w:rFonts w:ascii="宋体" w:hAnsi="宋体" w:eastAsia="宋体" w:cs="Times New Roman"/>
                <w:snapToGrid w:val="0"/>
                <w:color w:val="auto"/>
              </w:rPr>
              <w:t>0.7632hm</w:t>
            </w:r>
            <w:r>
              <w:rPr>
                <w:rFonts w:ascii="宋体" w:hAnsi="宋体" w:eastAsia="宋体" w:cs="Times New Roman"/>
                <w:snapToGrid w:val="0"/>
                <w:color w:val="auto"/>
                <w:vertAlign w:val="superscript"/>
              </w:rPr>
              <w:t>2</w:t>
            </w:r>
          </w:p>
        </w:tc>
        <w:tc>
          <w:tcPr>
            <w:tcW w:w="1636" w:type="pct"/>
            <w:vMerge w:val="continue"/>
            <w:shd w:val="clear" w:color="auto" w:fill="auto"/>
            <w:vAlign w:val="center"/>
          </w:tcPr>
          <w:p w14:paraId="0BCBE754">
            <w:pPr>
              <w:adjustRightInd w:val="0"/>
              <w:snapToGrid w:val="0"/>
              <w:jc w:val="center"/>
              <w:rPr>
                <w:rFonts w:ascii="宋体" w:hAnsi="宋体" w:eastAsia="宋体" w:cs="Times New Roman"/>
                <w:color w:val="auto"/>
              </w:rPr>
            </w:pPr>
          </w:p>
        </w:tc>
      </w:tr>
      <w:tr w14:paraId="2A0074CA">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5C290B6F">
            <w:pPr>
              <w:snapToGrid w:val="0"/>
              <w:jc w:val="center"/>
              <w:rPr>
                <w:rFonts w:ascii="宋体" w:hAnsi="宋体" w:eastAsia="宋体" w:cs="Times New Roman"/>
                <w:color w:val="auto"/>
              </w:rPr>
            </w:pPr>
          </w:p>
        </w:tc>
        <w:tc>
          <w:tcPr>
            <w:tcW w:w="1109" w:type="pct"/>
            <w:gridSpan w:val="2"/>
            <w:shd w:val="clear" w:color="auto" w:fill="auto"/>
            <w:vAlign w:val="center"/>
          </w:tcPr>
          <w:p w14:paraId="2DA879E4">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沼泽地230622211000096083</w:t>
            </w:r>
          </w:p>
        </w:tc>
        <w:tc>
          <w:tcPr>
            <w:tcW w:w="863" w:type="pct"/>
            <w:gridSpan w:val="2"/>
            <w:shd w:val="clear" w:color="auto" w:fill="auto"/>
            <w:vAlign w:val="center"/>
          </w:tcPr>
          <w:p w14:paraId="3358EE21">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源斜2401东</w:t>
            </w:r>
            <w:r>
              <w:rPr>
                <w:rFonts w:hint="eastAsia" w:ascii="宋体" w:hAnsi="宋体" w:eastAsia="宋体" w:cs="Times New Roman"/>
                <w:snapToGrid w:val="0"/>
                <w:color w:val="auto"/>
              </w:rPr>
              <w:t>北80</w:t>
            </w:r>
            <w:r>
              <w:rPr>
                <w:rFonts w:ascii="宋体" w:hAnsi="宋体" w:eastAsia="宋体" w:cs="Times New Roman"/>
                <w:snapToGrid w:val="0"/>
                <w:color w:val="auto"/>
              </w:rPr>
              <w:t>0m</w:t>
            </w:r>
          </w:p>
        </w:tc>
        <w:tc>
          <w:tcPr>
            <w:tcW w:w="976" w:type="pct"/>
            <w:shd w:val="clear" w:color="auto" w:fill="auto"/>
            <w:vAlign w:val="center"/>
          </w:tcPr>
          <w:p w14:paraId="75B43AB5">
            <w:pPr>
              <w:adjustRightInd w:val="0"/>
              <w:snapToGrid w:val="0"/>
              <w:jc w:val="center"/>
              <w:rPr>
                <w:rFonts w:ascii="宋体" w:hAnsi="宋体" w:eastAsia="宋体" w:cs="Times New Roman"/>
                <w:color w:val="auto"/>
              </w:rPr>
            </w:pPr>
            <w:r>
              <w:rPr>
                <w:rFonts w:ascii="宋体" w:hAnsi="宋体" w:eastAsia="宋体" w:cs="Times New Roman"/>
                <w:color w:val="auto"/>
              </w:rPr>
              <w:t>一般湿地，面积</w:t>
            </w:r>
            <w:r>
              <w:rPr>
                <w:rFonts w:ascii="宋体" w:hAnsi="宋体" w:eastAsia="宋体" w:cs="Times New Roman"/>
                <w:snapToGrid w:val="0"/>
                <w:color w:val="auto"/>
              </w:rPr>
              <w:t>0.5hm</w:t>
            </w:r>
            <w:r>
              <w:rPr>
                <w:rFonts w:ascii="宋体" w:hAnsi="宋体" w:eastAsia="宋体" w:cs="Times New Roman"/>
                <w:snapToGrid w:val="0"/>
                <w:color w:val="auto"/>
                <w:vertAlign w:val="superscript"/>
              </w:rPr>
              <w:t>2</w:t>
            </w:r>
          </w:p>
        </w:tc>
        <w:tc>
          <w:tcPr>
            <w:tcW w:w="1636" w:type="pct"/>
            <w:vMerge w:val="continue"/>
            <w:shd w:val="clear" w:color="auto" w:fill="auto"/>
            <w:vAlign w:val="center"/>
          </w:tcPr>
          <w:p w14:paraId="1E3D1FFA">
            <w:pPr>
              <w:adjustRightInd w:val="0"/>
              <w:snapToGrid w:val="0"/>
              <w:jc w:val="center"/>
              <w:rPr>
                <w:rFonts w:ascii="宋体" w:hAnsi="宋体" w:eastAsia="宋体" w:cs="Times New Roman"/>
                <w:color w:val="auto"/>
              </w:rPr>
            </w:pPr>
          </w:p>
        </w:tc>
      </w:tr>
      <w:tr w14:paraId="0E8ED452">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6E8D4159">
            <w:pPr>
              <w:snapToGrid w:val="0"/>
              <w:jc w:val="center"/>
              <w:rPr>
                <w:rFonts w:ascii="宋体" w:hAnsi="宋体" w:eastAsia="宋体" w:cs="Times New Roman"/>
                <w:color w:val="auto"/>
              </w:rPr>
            </w:pPr>
          </w:p>
        </w:tc>
        <w:tc>
          <w:tcPr>
            <w:tcW w:w="1109" w:type="pct"/>
            <w:gridSpan w:val="2"/>
            <w:shd w:val="clear" w:color="auto" w:fill="auto"/>
            <w:vAlign w:val="center"/>
          </w:tcPr>
          <w:p w14:paraId="3C10D69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沼泽地230622211000098103</w:t>
            </w:r>
          </w:p>
        </w:tc>
        <w:tc>
          <w:tcPr>
            <w:tcW w:w="863" w:type="pct"/>
            <w:gridSpan w:val="2"/>
            <w:shd w:val="clear" w:color="auto" w:fill="auto"/>
            <w:vAlign w:val="center"/>
          </w:tcPr>
          <w:p w14:paraId="6D06126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源斜2401</w:t>
            </w:r>
            <w:r>
              <w:rPr>
                <w:rFonts w:hint="eastAsia" w:ascii="宋体" w:hAnsi="宋体" w:eastAsia="宋体" w:cs="Times New Roman"/>
                <w:snapToGrid w:val="0"/>
                <w:color w:val="auto"/>
              </w:rPr>
              <w:t>西北980</w:t>
            </w:r>
            <w:r>
              <w:rPr>
                <w:rFonts w:ascii="宋体" w:hAnsi="宋体" w:eastAsia="宋体" w:cs="Times New Roman"/>
                <w:snapToGrid w:val="0"/>
                <w:color w:val="auto"/>
              </w:rPr>
              <w:t>m</w:t>
            </w:r>
          </w:p>
        </w:tc>
        <w:tc>
          <w:tcPr>
            <w:tcW w:w="976" w:type="pct"/>
            <w:shd w:val="clear" w:color="auto" w:fill="auto"/>
            <w:vAlign w:val="center"/>
          </w:tcPr>
          <w:p w14:paraId="1CFE1E84">
            <w:pPr>
              <w:adjustRightInd w:val="0"/>
              <w:snapToGrid w:val="0"/>
              <w:jc w:val="center"/>
              <w:rPr>
                <w:rFonts w:ascii="宋体" w:hAnsi="宋体" w:eastAsia="宋体" w:cs="Times New Roman"/>
                <w:color w:val="auto"/>
              </w:rPr>
            </w:pPr>
            <w:r>
              <w:rPr>
                <w:rFonts w:ascii="宋体" w:hAnsi="宋体" w:eastAsia="宋体" w:cs="Times New Roman"/>
                <w:color w:val="auto"/>
              </w:rPr>
              <w:t>一般湿地，面积</w:t>
            </w:r>
            <w:r>
              <w:rPr>
                <w:rFonts w:ascii="宋体" w:hAnsi="宋体" w:eastAsia="宋体" w:cs="Times New Roman"/>
                <w:snapToGrid w:val="0"/>
                <w:color w:val="auto"/>
              </w:rPr>
              <w:t>0.2617hm</w:t>
            </w:r>
            <w:r>
              <w:rPr>
                <w:rFonts w:ascii="宋体" w:hAnsi="宋体" w:eastAsia="宋体" w:cs="Times New Roman"/>
                <w:snapToGrid w:val="0"/>
                <w:color w:val="auto"/>
                <w:vertAlign w:val="superscript"/>
              </w:rPr>
              <w:t>2</w:t>
            </w:r>
          </w:p>
        </w:tc>
        <w:tc>
          <w:tcPr>
            <w:tcW w:w="1636" w:type="pct"/>
            <w:vMerge w:val="continue"/>
            <w:shd w:val="clear" w:color="auto" w:fill="auto"/>
            <w:vAlign w:val="center"/>
          </w:tcPr>
          <w:p w14:paraId="5BE580E6">
            <w:pPr>
              <w:adjustRightInd w:val="0"/>
              <w:snapToGrid w:val="0"/>
              <w:jc w:val="center"/>
              <w:rPr>
                <w:rFonts w:ascii="宋体" w:hAnsi="宋体" w:eastAsia="宋体" w:cs="Times New Roman"/>
                <w:color w:val="auto"/>
              </w:rPr>
            </w:pPr>
          </w:p>
        </w:tc>
      </w:tr>
      <w:tr w14:paraId="2789D122">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7" w:type="pct"/>
            <w:vMerge w:val="continue"/>
            <w:shd w:val="clear" w:color="auto" w:fill="auto"/>
            <w:vAlign w:val="center"/>
          </w:tcPr>
          <w:p w14:paraId="1873FC53">
            <w:pPr>
              <w:snapToGrid w:val="0"/>
              <w:jc w:val="center"/>
              <w:rPr>
                <w:rFonts w:ascii="宋体" w:hAnsi="宋体" w:eastAsia="宋体" w:cs="Times New Roman"/>
                <w:color w:val="auto"/>
              </w:rPr>
            </w:pPr>
          </w:p>
        </w:tc>
        <w:tc>
          <w:tcPr>
            <w:tcW w:w="1109" w:type="pct"/>
            <w:gridSpan w:val="2"/>
            <w:shd w:val="clear" w:color="auto" w:fill="auto"/>
            <w:vAlign w:val="center"/>
          </w:tcPr>
          <w:p w14:paraId="34A3A7E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沼泽地230622211000098110</w:t>
            </w:r>
          </w:p>
        </w:tc>
        <w:tc>
          <w:tcPr>
            <w:tcW w:w="863" w:type="pct"/>
            <w:gridSpan w:val="2"/>
            <w:shd w:val="clear" w:color="auto" w:fill="auto"/>
            <w:vAlign w:val="center"/>
          </w:tcPr>
          <w:p w14:paraId="056D727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源斜2401</w:t>
            </w:r>
            <w:r>
              <w:rPr>
                <w:rFonts w:hint="eastAsia" w:ascii="宋体" w:hAnsi="宋体" w:eastAsia="宋体" w:cs="Times New Roman"/>
                <w:snapToGrid w:val="0"/>
                <w:color w:val="auto"/>
              </w:rPr>
              <w:t>西北950</w:t>
            </w:r>
            <w:r>
              <w:rPr>
                <w:rFonts w:ascii="宋体" w:hAnsi="宋体" w:eastAsia="宋体" w:cs="Times New Roman"/>
                <w:snapToGrid w:val="0"/>
                <w:color w:val="auto"/>
              </w:rPr>
              <w:t>m</w:t>
            </w:r>
          </w:p>
        </w:tc>
        <w:tc>
          <w:tcPr>
            <w:tcW w:w="976" w:type="pct"/>
            <w:shd w:val="clear" w:color="auto" w:fill="auto"/>
            <w:vAlign w:val="center"/>
          </w:tcPr>
          <w:p w14:paraId="52CDB48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一般湿地，面积0.1786hm2</w:t>
            </w:r>
          </w:p>
        </w:tc>
        <w:tc>
          <w:tcPr>
            <w:tcW w:w="1636" w:type="pct"/>
            <w:vMerge w:val="continue"/>
            <w:shd w:val="clear" w:color="auto" w:fill="auto"/>
            <w:vAlign w:val="center"/>
          </w:tcPr>
          <w:p w14:paraId="38942CDC">
            <w:pPr>
              <w:adjustRightInd w:val="0"/>
              <w:snapToGrid w:val="0"/>
              <w:jc w:val="center"/>
              <w:rPr>
                <w:rFonts w:ascii="宋体" w:hAnsi="宋体" w:eastAsia="宋体" w:cs="Times New Roman"/>
                <w:color w:val="auto"/>
              </w:rPr>
            </w:pPr>
          </w:p>
        </w:tc>
      </w:tr>
    </w:tbl>
    <w:p w14:paraId="6D28DDB1">
      <w:pPr>
        <w:pStyle w:val="202"/>
        <w:spacing w:before="156" w:after="62"/>
        <w:jc w:val="left"/>
        <w:rPr>
          <w:rFonts w:ascii="宋体" w:hAnsi="宋体" w:eastAsia="宋体"/>
          <w:b w:val="0"/>
          <w:smallCaps/>
          <w:color w:val="auto"/>
        </w:rPr>
      </w:pPr>
    </w:p>
    <w:bookmarkEnd w:id="185"/>
    <w:p w14:paraId="53CDAF0F">
      <w:pPr>
        <w:pStyle w:val="3"/>
        <w:numPr>
          <w:ilvl w:val="0"/>
          <w:numId w:val="10"/>
        </w:numPr>
        <w:spacing w:before="180" w:after="180" w:line="500" w:lineRule="exact"/>
        <w:ind w:left="840" w:hanging="360"/>
        <w:rPr>
          <w:rFonts w:ascii="宋体" w:hAnsi="宋体" w:eastAsia="宋体"/>
          <w:b w:val="0"/>
          <w:snapToGrid w:val="0"/>
          <w:color w:val="auto"/>
          <w:szCs w:val="30"/>
        </w:rPr>
        <w:sectPr>
          <w:pgSz w:w="11906" w:h="16838"/>
          <w:pgMar w:top="1418" w:right="1418" w:bottom="1418" w:left="1418" w:header="851" w:footer="992" w:gutter="0"/>
          <w:cols w:space="720" w:num="1"/>
          <w:docGrid w:type="lines" w:linePitch="312" w:charSpace="0"/>
        </w:sectPr>
      </w:pPr>
      <w:bookmarkStart w:id="548" w:name="_Toc502736463"/>
    </w:p>
    <w:p w14:paraId="14C1B1B0">
      <w:pPr>
        <w:pStyle w:val="3"/>
        <w:rPr>
          <w:rFonts w:ascii="宋体" w:hAnsi="宋体" w:eastAsia="宋体"/>
          <w:bCs/>
          <w:color w:val="auto"/>
        </w:rPr>
      </w:pPr>
      <w:bookmarkStart w:id="549" w:name="_Toc212033010"/>
      <w:bookmarkStart w:id="550" w:name="_Toc24840"/>
      <w:r>
        <w:rPr>
          <w:rFonts w:ascii="宋体" w:hAnsi="宋体" w:eastAsia="宋体"/>
          <w:bCs/>
          <w:color w:val="auto"/>
        </w:rPr>
        <w:t>建设项目工程分析</w:t>
      </w:r>
      <w:bookmarkEnd w:id="548"/>
      <w:bookmarkEnd w:id="549"/>
      <w:bookmarkEnd w:id="550"/>
    </w:p>
    <w:p w14:paraId="65CA5B3E">
      <w:pPr>
        <w:pStyle w:val="5"/>
        <w:rPr>
          <w:bCs w:val="0"/>
          <w:color w:val="auto"/>
        </w:rPr>
      </w:pPr>
      <w:bookmarkStart w:id="551" w:name="_Toc212033011"/>
      <w:bookmarkStart w:id="552" w:name="_Toc13862"/>
      <w:bookmarkStart w:id="553" w:name="_Toc502736464"/>
      <w:r>
        <w:rPr>
          <w:bCs w:val="0"/>
          <w:color w:val="auto"/>
        </w:rPr>
        <w:t>区块开发情况回顾分析</w:t>
      </w:r>
      <w:bookmarkEnd w:id="551"/>
      <w:bookmarkEnd w:id="552"/>
    </w:p>
    <w:p w14:paraId="1F1B3D1B">
      <w:pPr>
        <w:pStyle w:val="6"/>
        <w:rPr>
          <w:color w:val="auto"/>
        </w:rPr>
      </w:pPr>
      <w:bookmarkStart w:id="554" w:name="_Toc186444262"/>
      <w:bookmarkStart w:id="555" w:name="_Toc78816474"/>
      <w:bookmarkStart w:id="556" w:name="_Toc83209489"/>
      <w:bookmarkStart w:id="557" w:name="_Toc86141922"/>
      <w:bookmarkStart w:id="558" w:name="_Toc80588269"/>
      <w:bookmarkStart w:id="559" w:name="_Toc70050190"/>
      <w:bookmarkStart w:id="560" w:name="_Toc126863378"/>
      <w:bookmarkStart w:id="561" w:name="_Toc67860143"/>
      <w:bookmarkStart w:id="562" w:name="_Toc131167278"/>
      <w:bookmarkStart w:id="563" w:name="_Toc127192327"/>
      <w:bookmarkStart w:id="564" w:name="_Toc76976256"/>
      <w:bookmarkStart w:id="565" w:name="_Toc143099565"/>
      <w:bookmarkStart w:id="566" w:name="_Toc77067672"/>
      <w:bookmarkStart w:id="567" w:name="_Toc85640769"/>
      <w:bookmarkStart w:id="568" w:name="_Toc84929245"/>
      <w:bookmarkStart w:id="569" w:name="_Toc80971391"/>
      <w:r>
        <w:rPr>
          <w:color w:val="auto"/>
        </w:rPr>
        <w:t>现有区块开发情况</w:t>
      </w:r>
      <w:bookmarkEnd w:id="554"/>
    </w:p>
    <w:p w14:paraId="7303F7A4">
      <w:pPr>
        <w:pStyle w:val="276"/>
        <w:widowControl w:val="0"/>
        <w:spacing w:line="440" w:lineRule="exact"/>
        <w:ind w:firstLine="480"/>
        <w:jc w:val="both"/>
        <w:rPr>
          <w:color w:val="auto"/>
          <w:kern w:val="2"/>
        </w:rPr>
      </w:pPr>
      <w:r>
        <w:rPr>
          <w:color w:val="auto"/>
          <w:kern w:val="2"/>
        </w:rPr>
        <w:t>（1）现有区块开发</w:t>
      </w:r>
      <w:r>
        <w:rPr>
          <w:snapToGrid w:val="0"/>
          <w:color w:val="auto"/>
        </w:rPr>
        <w:t>历程</w:t>
      </w:r>
    </w:p>
    <w:p w14:paraId="7A404FAD">
      <w:pPr>
        <w:pStyle w:val="276"/>
        <w:widowControl w:val="0"/>
        <w:spacing w:line="440" w:lineRule="exact"/>
        <w:ind w:firstLine="480"/>
        <w:jc w:val="both"/>
        <w:rPr>
          <w:color w:val="auto"/>
          <w:kern w:val="2"/>
        </w:rPr>
      </w:pPr>
      <w:r>
        <w:rPr>
          <w:color w:val="auto"/>
          <w:kern w:val="2"/>
        </w:rPr>
        <w:t>源212区块地理上处于</w:t>
      </w:r>
      <w:r>
        <w:rPr>
          <w:snapToGrid w:val="0"/>
          <w:color w:val="auto"/>
        </w:rPr>
        <w:t>松嫩平原</w:t>
      </w:r>
      <w:r>
        <w:rPr>
          <w:color w:val="auto"/>
          <w:kern w:val="2"/>
        </w:rPr>
        <w:t>中部，位于黑龙江省大庆市肇源县境内，区块东部为朝阳沟油田，西部为头台油田，北部为肇州油田，区内地势平坦（地面海拔在125～142m之间）。源212区块进行过2次产能开发。</w:t>
      </w:r>
    </w:p>
    <w:p w14:paraId="103D9EDB">
      <w:pPr>
        <w:pStyle w:val="276"/>
        <w:widowControl w:val="0"/>
        <w:spacing w:line="440" w:lineRule="exact"/>
        <w:ind w:firstLine="480"/>
        <w:jc w:val="both"/>
        <w:rPr>
          <w:color w:val="auto"/>
          <w:kern w:val="2"/>
        </w:rPr>
      </w:pPr>
      <w:r>
        <w:rPr>
          <w:color w:val="auto"/>
          <w:kern w:val="2"/>
        </w:rPr>
        <w:t>2007年10月，编制了《大庆油田有限责任公司采油十厂肇源油田212区块产能建设工程环境影响报告书》，于2007年11月19日由大庆市生态环境局进行了批复，批复文号为庆环审〔2007〕47号，并于2011年8月11日完成了验收，文号为庆环验〔2011〕101号。源212区块于2008年12月</w:t>
      </w:r>
      <w:r>
        <w:rPr>
          <w:color w:val="auto"/>
        </w:rPr>
        <w:t>份投产，共基建油水井161口，其中油井105口，水井56口，</w:t>
      </w:r>
      <w:r>
        <w:rPr>
          <w:color w:val="auto"/>
          <w:kern w:val="2"/>
        </w:rPr>
        <w:t>新建松二联合站，新建7座集油阀组间，新建松二注水站1座，新建松二地下水深度处理站1座，新建多井配水间6座，配套新建集油掺水、注水管道97.5km，新修各类道路84.1km。建成产能为6.3×10</w:t>
      </w:r>
      <w:r>
        <w:rPr>
          <w:color w:val="auto"/>
          <w:kern w:val="2"/>
          <w:vertAlign w:val="superscript"/>
        </w:rPr>
        <w:t>4</w:t>
      </w:r>
      <w:r>
        <w:rPr>
          <w:color w:val="auto"/>
          <w:kern w:val="2"/>
        </w:rPr>
        <w:t>t/a。</w:t>
      </w:r>
    </w:p>
    <w:p w14:paraId="2703E68A">
      <w:pPr>
        <w:pStyle w:val="276"/>
        <w:widowControl w:val="0"/>
        <w:spacing w:line="440" w:lineRule="exact"/>
        <w:ind w:firstLine="480"/>
        <w:jc w:val="both"/>
        <w:rPr>
          <w:color w:val="auto"/>
          <w:kern w:val="2"/>
        </w:rPr>
      </w:pPr>
      <w:r>
        <w:rPr>
          <w:color w:val="auto"/>
          <w:kern w:val="2"/>
        </w:rPr>
        <w:t>根据现场调查，由于源212区块产能降低，实施转产，自2012年5月起，现有区块</w:t>
      </w:r>
      <w:r>
        <w:rPr>
          <w:color w:val="auto"/>
        </w:rPr>
        <w:t>油井105口，水井56口中，其中</w:t>
      </w:r>
      <w:r>
        <w:rPr>
          <w:color w:val="auto"/>
          <w:kern w:val="2"/>
        </w:rPr>
        <w:t>60口</w:t>
      </w:r>
      <w:r>
        <w:rPr>
          <w:snapToGrid w:val="0"/>
          <w:color w:val="auto"/>
        </w:rPr>
        <w:t>油井</w:t>
      </w:r>
      <w:r>
        <w:rPr>
          <w:color w:val="auto"/>
          <w:kern w:val="2"/>
        </w:rPr>
        <w:t>、56口水井停产实施临时性封井，源212区块配套建设的所有站、间、管道等全部关停。根据现场调查，截至2022年10月，源212区块配套建设的松二联合站（脱水站、注水站、地下水深度处理站）、7座集油阀组间、6座多井配水间、集油管道、注水管道等全部关停，临时性封井的60口油井已彻底封井，并拆除采油设备，56口水井彻底封井。</w:t>
      </w:r>
    </w:p>
    <w:p w14:paraId="5BB011B3">
      <w:pPr>
        <w:pStyle w:val="276"/>
        <w:ind w:firstLine="480"/>
        <w:jc w:val="both"/>
        <w:rPr>
          <w:color w:val="auto"/>
        </w:rPr>
      </w:pPr>
      <w:r>
        <w:rPr>
          <w:color w:val="auto"/>
          <w:kern w:val="2"/>
        </w:rPr>
        <w:t>截至2022年10月，有45口油井运行，其中40口油井采用提捞生产、罐车运输，5口油井采用机采单井罐生产、罐车运输，</w:t>
      </w:r>
      <w:r>
        <w:rPr>
          <w:rFonts w:hint="eastAsia"/>
          <w:color w:val="auto"/>
          <w:kern w:val="2"/>
        </w:rPr>
        <w:t>根据生产统计报表，</w:t>
      </w:r>
      <w:r>
        <w:rPr>
          <w:color w:val="auto"/>
          <w:kern w:val="2"/>
        </w:rPr>
        <w:t>5口机采单井罐生产油井的共计产液量为4.5m/d，产油量1.8t/d；提捞生产井中有30口的提捞频次为每10天提捞一次，有10口的提捞频次为每30天提捞一次，合计40口提捞井每月产液187m³，每月产油量168.3t，源212区块现有45口生产油井合计产油量约为</w:t>
      </w:r>
      <w:r>
        <w:rPr>
          <w:rFonts w:hint="eastAsia"/>
          <w:color w:val="auto"/>
          <w:kern w:val="2"/>
        </w:rPr>
        <w:t>0.27</w:t>
      </w:r>
      <w:r>
        <w:rPr>
          <w:snapToGrid w:val="0"/>
          <w:color w:val="auto"/>
        </w:rPr>
        <w:t>×10</w:t>
      </w:r>
      <w:r>
        <w:rPr>
          <w:snapToGrid w:val="0"/>
          <w:color w:val="auto"/>
          <w:vertAlign w:val="superscript"/>
        </w:rPr>
        <w:t>4</w:t>
      </w:r>
      <w:r>
        <w:rPr>
          <w:snapToGrid w:val="0"/>
          <w:color w:val="auto"/>
        </w:rPr>
        <w:t>t/a。</w:t>
      </w:r>
      <w:r>
        <w:rPr>
          <w:color w:val="auto"/>
        </w:rPr>
        <w:t>项目区块范围详见附图4。</w:t>
      </w:r>
    </w:p>
    <w:p w14:paraId="0CA3EA81">
      <w:pPr>
        <w:pStyle w:val="276"/>
        <w:widowControl w:val="0"/>
        <w:spacing w:line="440" w:lineRule="exact"/>
        <w:ind w:firstLine="480"/>
        <w:jc w:val="both"/>
        <w:rPr>
          <w:color w:val="auto"/>
          <w:kern w:val="2"/>
        </w:rPr>
      </w:pPr>
      <w:r>
        <w:rPr>
          <w:color w:val="auto"/>
          <w:kern w:val="2"/>
        </w:rPr>
        <w:t>20</w:t>
      </w:r>
      <w:r>
        <w:rPr>
          <w:rFonts w:hint="eastAsia"/>
          <w:color w:val="auto"/>
          <w:kern w:val="2"/>
        </w:rPr>
        <w:t>22</w:t>
      </w:r>
      <w:r>
        <w:rPr>
          <w:color w:val="auto"/>
          <w:kern w:val="2"/>
        </w:rPr>
        <w:t>年10月，编制了《肇源油田源212区块扶余油层提产试验区块钻井工程环境影响报告书》，于20</w:t>
      </w:r>
      <w:r>
        <w:rPr>
          <w:rFonts w:hint="eastAsia"/>
          <w:color w:val="auto"/>
          <w:kern w:val="2"/>
        </w:rPr>
        <w:t>22</w:t>
      </w:r>
      <w:r>
        <w:rPr>
          <w:color w:val="auto"/>
          <w:kern w:val="2"/>
        </w:rPr>
        <w:t>年</w:t>
      </w:r>
      <w:r>
        <w:rPr>
          <w:rFonts w:hint="eastAsia"/>
          <w:color w:val="auto"/>
          <w:kern w:val="2"/>
        </w:rPr>
        <w:t>1</w:t>
      </w:r>
      <w:r>
        <w:rPr>
          <w:color w:val="auto"/>
          <w:kern w:val="2"/>
        </w:rPr>
        <w:t>月</w:t>
      </w:r>
      <w:r>
        <w:rPr>
          <w:rFonts w:hint="eastAsia"/>
          <w:color w:val="auto"/>
          <w:kern w:val="2"/>
        </w:rPr>
        <w:t>30</w:t>
      </w:r>
      <w:r>
        <w:rPr>
          <w:color w:val="auto"/>
          <w:kern w:val="2"/>
        </w:rPr>
        <w:t>日由大庆市生态环境局进行了批复，批复文号为庆环建字</w:t>
      </w:r>
      <w:r>
        <w:rPr>
          <w:rFonts w:hint="eastAsia"/>
          <w:color w:val="auto"/>
          <w:kern w:val="2"/>
        </w:rPr>
        <w:t>[</w:t>
      </w:r>
      <w:r>
        <w:rPr>
          <w:color w:val="auto"/>
          <w:kern w:val="2"/>
        </w:rPr>
        <w:t>20</w:t>
      </w:r>
      <w:r>
        <w:rPr>
          <w:rFonts w:hint="eastAsia"/>
          <w:color w:val="auto"/>
          <w:kern w:val="2"/>
        </w:rPr>
        <w:t>22]30</w:t>
      </w:r>
      <w:r>
        <w:rPr>
          <w:color w:val="auto"/>
          <w:kern w:val="2"/>
        </w:rPr>
        <w:t xml:space="preserve"> 号</w:t>
      </w:r>
      <w:r>
        <w:rPr>
          <w:rFonts w:hint="eastAsia"/>
          <w:color w:val="auto"/>
          <w:kern w:val="2"/>
        </w:rPr>
        <w:t>，新钻11口油井，分布在2座平台井场，新钻钻井度为1849m～1863m， 钻井总进尺为20493m。2022年10月，编制了</w:t>
      </w:r>
      <w:r>
        <w:rPr>
          <w:color w:val="auto"/>
          <w:kern w:val="2"/>
        </w:rPr>
        <w:t>《肇源油田源212区块扶余油层2022年产能建设地面工程项目环境影响报告书》，于20</w:t>
      </w:r>
      <w:r>
        <w:rPr>
          <w:rFonts w:hint="eastAsia"/>
          <w:color w:val="auto"/>
          <w:kern w:val="2"/>
        </w:rPr>
        <w:t>22</w:t>
      </w:r>
      <w:r>
        <w:rPr>
          <w:color w:val="auto"/>
          <w:kern w:val="2"/>
        </w:rPr>
        <w:t>年</w:t>
      </w:r>
      <w:r>
        <w:rPr>
          <w:rFonts w:hint="eastAsia"/>
          <w:color w:val="auto"/>
          <w:kern w:val="2"/>
        </w:rPr>
        <w:t>12</w:t>
      </w:r>
      <w:r>
        <w:rPr>
          <w:color w:val="auto"/>
          <w:kern w:val="2"/>
        </w:rPr>
        <w:t>月</w:t>
      </w:r>
      <w:r>
        <w:rPr>
          <w:rFonts w:hint="eastAsia"/>
          <w:color w:val="auto"/>
          <w:kern w:val="2"/>
        </w:rPr>
        <w:t>22</w:t>
      </w:r>
      <w:r>
        <w:rPr>
          <w:color w:val="auto"/>
          <w:kern w:val="2"/>
        </w:rPr>
        <w:t>日由大庆市生态环境局进行了批复，批复文号为</w:t>
      </w:r>
      <w:r>
        <w:rPr>
          <w:rFonts w:hint="eastAsia"/>
          <w:color w:val="auto"/>
          <w:kern w:val="2"/>
        </w:rPr>
        <w:t>庆环建字[20</w:t>
      </w:r>
      <w:r>
        <w:rPr>
          <w:color w:val="auto"/>
          <w:kern w:val="2"/>
        </w:rPr>
        <w:t>22</w:t>
      </w:r>
      <w:r>
        <w:rPr>
          <w:rFonts w:hint="eastAsia"/>
          <w:color w:val="auto"/>
          <w:kern w:val="2"/>
        </w:rPr>
        <w:t>]</w:t>
      </w:r>
      <w:r>
        <w:rPr>
          <w:color w:val="auto"/>
          <w:kern w:val="2"/>
        </w:rPr>
        <w:t>197</w:t>
      </w:r>
      <w:r>
        <w:rPr>
          <w:rFonts w:hint="eastAsia"/>
          <w:color w:val="auto"/>
          <w:kern w:val="2"/>
        </w:rPr>
        <w:t xml:space="preserve"> 号，基建油井11口（共形成2座丛式平台井），11口油井均进行压裂后投产， 新建2座拉油点（拉油点与丛式平台合建），新建拉油点砂石路1km，配套建设管道 工程、配电工程、数字化工程等，建成后产能0.95×10</w:t>
      </w:r>
      <w:r>
        <w:rPr>
          <w:rFonts w:hint="eastAsia"/>
          <w:color w:val="auto"/>
          <w:kern w:val="2"/>
          <w:vertAlign w:val="superscript"/>
        </w:rPr>
        <w:t>4</w:t>
      </w:r>
      <w:r>
        <w:rPr>
          <w:rFonts w:hint="eastAsia"/>
          <w:color w:val="auto"/>
          <w:kern w:val="2"/>
        </w:rPr>
        <w:t>t/a，对第十采油厂的2座含油污泥暂存池进行防雨棚改造，并在第一油矿1#含油污泥暂存池北侧新建1座2625m</w:t>
      </w:r>
      <w:r>
        <w:rPr>
          <w:rFonts w:hint="eastAsia"/>
          <w:color w:val="auto"/>
          <w:kern w:val="2"/>
          <w:vertAlign w:val="superscript"/>
        </w:rPr>
        <w:t>3</w:t>
      </w:r>
      <w:r>
        <w:rPr>
          <w:rFonts w:hint="eastAsia"/>
          <w:color w:val="auto"/>
          <w:kern w:val="2"/>
        </w:rPr>
        <w:t>应急事故池与初期雨水池。以上2个项目于2025年7月完成竣工环保验收。</w:t>
      </w:r>
    </w:p>
    <w:p w14:paraId="07680E9D">
      <w:pPr>
        <w:pStyle w:val="276"/>
        <w:widowControl w:val="0"/>
        <w:spacing w:line="440" w:lineRule="exact"/>
        <w:ind w:firstLine="480"/>
        <w:jc w:val="both"/>
        <w:rPr>
          <w:color w:val="auto"/>
          <w:kern w:val="2"/>
        </w:rPr>
      </w:pPr>
      <w:r>
        <w:rPr>
          <w:rFonts w:hint="eastAsia"/>
          <w:color w:val="auto"/>
          <w:kern w:val="2"/>
        </w:rPr>
        <w:t>综上，现有212区块共有</w:t>
      </w:r>
      <w:r>
        <w:rPr>
          <w:color w:val="auto"/>
          <w:kern w:val="2"/>
        </w:rPr>
        <w:t>56</w:t>
      </w:r>
      <w:r>
        <w:rPr>
          <w:rFonts w:hint="eastAsia"/>
          <w:color w:val="auto"/>
          <w:kern w:val="2"/>
        </w:rPr>
        <w:t>口油井运行，合计产能约1.22</w:t>
      </w:r>
      <w:r>
        <w:rPr>
          <w:snapToGrid w:val="0"/>
          <w:color w:val="auto"/>
        </w:rPr>
        <w:t>×10</w:t>
      </w:r>
      <w:r>
        <w:rPr>
          <w:snapToGrid w:val="0"/>
          <w:color w:val="auto"/>
          <w:vertAlign w:val="superscript"/>
        </w:rPr>
        <w:t>4</w:t>
      </w:r>
      <w:r>
        <w:rPr>
          <w:snapToGrid w:val="0"/>
          <w:color w:val="auto"/>
        </w:rPr>
        <w:t>t/a。</w:t>
      </w:r>
    </w:p>
    <w:p w14:paraId="3E0555E8">
      <w:pPr>
        <w:pStyle w:val="276"/>
        <w:widowControl w:val="0"/>
        <w:spacing w:line="440" w:lineRule="exact"/>
        <w:ind w:firstLine="480"/>
        <w:jc w:val="both"/>
        <w:rPr>
          <w:color w:val="auto"/>
          <w:kern w:val="2"/>
        </w:rPr>
      </w:pPr>
      <w:r>
        <w:rPr>
          <w:color w:val="auto"/>
          <w:kern w:val="2"/>
        </w:rPr>
        <w:t>（2）现有工程主要内容</w:t>
      </w:r>
    </w:p>
    <w:p w14:paraId="6DBD79F3">
      <w:pPr>
        <w:pStyle w:val="276"/>
        <w:widowControl w:val="0"/>
        <w:spacing w:line="440" w:lineRule="exact"/>
        <w:ind w:firstLine="480"/>
        <w:jc w:val="both"/>
        <w:rPr>
          <w:color w:val="auto"/>
          <w:kern w:val="2"/>
        </w:rPr>
      </w:pPr>
      <w:r>
        <w:rPr>
          <w:color w:val="auto"/>
          <w:kern w:val="2"/>
        </w:rPr>
        <w:t>源212区块地理上处于松嫩平原中部，位于</w:t>
      </w:r>
      <w:r>
        <w:rPr>
          <w:snapToGrid w:val="0"/>
          <w:color w:val="auto"/>
        </w:rPr>
        <w:t>黑龙江省</w:t>
      </w:r>
      <w:r>
        <w:rPr>
          <w:color w:val="auto"/>
          <w:kern w:val="2"/>
        </w:rPr>
        <w:t>大庆市肇源县境内，本次研究区域含油面积3.2km</w:t>
      </w:r>
      <w:r>
        <w:rPr>
          <w:color w:val="auto"/>
          <w:kern w:val="2"/>
          <w:vertAlign w:val="superscript"/>
        </w:rPr>
        <w:t>2</w:t>
      </w:r>
      <w:r>
        <w:rPr>
          <w:color w:val="auto"/>
          <w:kern w:val="2"/>
        </w:rPr>
        <w:t>，地质储量63.33×10</w:t>
      </w:r>
      <w:r>
        <w:rPr>
          <w:color w:val="auto"/>
          <w:kern w:val="2"/>
          <w:vertAlign w:val="superscript"/>
        </w:rPr>
        <w:t>4</w:t>
      </w:r>
      <w:r>
        <w:rPr>
          <w:color w:val="auto"/>
          <w:kern w:val="2"/>
        </w:rPr>
        <w:t>t。现有工程的主要内容见表3.1-1。</w:t>
      </w:r>
    </w:p>
    <w:p w14:paraId="18FC42DC">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现有工程的主要内容汇总表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8"/>
        <w:gridCol w:w="1124"/>
        <w:gridCol w:w="7404"/>
      </w:tblGrid>
      <w:tr w14:paraId="64F3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Align w:val="center"/>
          </w:tcPr>
          <w:p w14:paraId="209DB4D6">
            <w:pPr>
              <w:spacing w:line="340" w:lineRule="exact"/>
              <w:jc w:val="center"/>
              <w:rPr>
                <w:rFonts w:ascii="宋体" w:hAnsi="宋体" w:eastAsia="宋体" w:cs="Times New Roman"/>
                <w:color w:val="auto"/>
              </w:rPr>
            </w:pPr>
            <w:r>
              <w:rPr>
                <w:rFonts w:ascii="宋体" w:hAnsi="宋体" w:eastAsia="宋体" w:cs="Times New Roman"/>
                <w:color w:val="auto"/>
              </w:rPr>
              <w:t>工程类别</w:t>
            </w:r>
          </w:p>
        </w:tc>
        <w:tc>
          <w:tcPr>
            <w:tcW w:w="605" w:type="pct"/>
            <w:vAlign w:val="center"/>
          </w:tcPr>
          <w:p w14:paraId="5D2F3115">
            <w:pPr>
              <w:spacing w:line="340" w:lineRule="exact"/>
              <w:jc w:val="center"/>
              <w:rPr>
                <w:rFonts w:ascii="宋体" w:hAnsi="宋体" w:eastAsia="宋体" w:cs="Times New Roman"/>
                <w:color w:val="auto"/>
              </w:rPr>
            </w:pPr>
            <w:r>
              <w:rPr>
                <w:rFonts w:ascii="宋体" w:hAnsi="宋体" w:eastAsia="宋体" w:cs="Times New Roman"/>
                <w:color w:val="auto"/>
              </w:rPr>
              <w:t>现有工程组成</w:t>
            </w:r>
          </w:p>
        </w:tc>
        <w:tc>
          <w:tcPr>
            <w:tcW w:w="3986" w:type="pct"/>
            <w:vAlign w:val="center"/>
          </w:tcPr>
          <w:p w14:paraId="767AED6F">
            <w:pPr>
              <w:spacing w:line="340" w:lineRule="exact"/>
              <w:jc w:val="center"/>
              <w:rPr>
                <w:rFonts w:ascii="宋体" w:hAnsi="宋体" w:eastAsia="宋体" w:cs="Times New Roman"/>
                <w:color w:val="auto"/>
              </w:rPr>
            </w:pPr>
            <w:r>
              <w:rPr>
                <w:rFonts w:ascii="宋体" w:hAnsi="宋体" w:eastAsia="宋体" w:cs="Times New Roman"/>
                <w:color w:val="auto"/>
              </w:rPr>
              <w:t>建设内容及规模</w:t>
            </w:r>
          </w:p>
        </w:tc>
      </w:tr>
      <w:tr w14:paraId="2324B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restart"/>
            <w:vAlign w:val="center"/>
          </w:tcPr>
          <w:p w14:paraId="73C1AF22">
            <w:pPr>
              <w:spacing w:line="340" w:lineRule="exact"/>
              <w:jc w:val="center"/>
              <w:rPr>
                <w:rFonts w:ascii="宋体" w:hAnsi="宋体" w:eastAsia="宋体" w:cs="Times New Roman"/>
                <w:color w:val="auto"/>
              </w:rPr>
            </w:pPr>
            <w:r>
              <w:rPr>
                <w:rFonts w:ascii="宋体" w:hAnsi="宋体" w:eastAsia="宋体" w:cs="Times New Roman"/>
                <w:color w:val="auto"/>
              </w:rPr>
              <w:t>主体工程</w:t>
            </w:r>
          </w:p>
        </w:tc>
        <w:tc>
          <w:tcPr>
            <w:tcW w:w="605" w:type="pct"/>
            <w:vAlign w:val="center"/>
          </w:tcPr>
          <w:p w14:paraId="686892E6">
            <w:pPr>
              <w:spacing w:line="340" w:lineRule="exact"/>
              <w:jc w:val="center"/>
              <w:rPr>
                <w:rFonts w:ascii="宋体" w:hAnsi="宋体" w:eastAsia="宋体" w:cs="Times New Roman"/>
                <w:color w:val="auto"/>
              </w:rPr>
            </w:pPr>
            <w:r>
              <w:rPr>
                <w:rFonts w:ascii="宋体" w:hAnsi="宋体" w:eastAsia="宋体" w:cs="Times New Roman"/>
                <w:color w:val="auto"/>
                <w:kern w:val="21"/>
              </w:rPr>
              <w:t>井场</w:t>
            </w:r>
          </w:p>
        </w:tc>
        <w:tc>
          <w:tcPr>
            <w:tcW w:w="3986" w:type="pct"/>
            <w:vAlign w:val="center"/>
          </w:tcPr>
          <w:p w14:paraId="0ED882F6">
            <w:pPr>
              <w:spacing w:line="340" w:lineRule="exact"/>
              <w:rPr>
                <w:rFonts w:ascii="宋体" w:hAnsi="宋体" w:eastAsia="宋体" w:cs="Times New Roman"/>
                <w:color w:val="auto"/>
              </w:rPr>
            </w:pPr>
            <w:r>
              <w:rPr>
                <w:rFonts w:ascii="宋体" w:hAnsi="宋体" w:eastAsia="宋体" w:cs="Times New Roman"/>
                <w:color w:val="auto"/>
              </w:rPr>
              <w:t>源212区块共有运行的油井56口，年产油1.22×10</w:t>
            </w:r>
            <w:r>
              <w:rPr>
                <w:rFonts w:ascii="宋体" w:hAnsi="宋体" w:eastAsia="宋体" w:cs="Times New Roman"/>
                <w:color w:val="auto"/>
                <w:vertAlign w:val="superscript"/>
              </w:rPr>
              <w:t>4</w:t>
            </w:r>
            <w:r>
              <w:rPr>
                <w:rFonts w:ascii="宋体" w:hAnsi="宋体" w:eastAsia="宋体" w:cs="Times New Roman"/>
                <w:color w:val="auto"/>
              </w:rPr>
              <w:t>t。</w:t>
            </w:r>
          </w:p>
        </w:tc>
      </w:tr>
      <w:tr w14:paraId="1556B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vAlign w:val="center"/>
          </w:tcPr>
          <w:p w14:paraId="53C34672">
            <w:pPr>
              <w:spacing w:line="340" w:lineRule="exact"/>
              <w:jc w:val="center"/>
              <w:rPr>
                <w:rFonts w:ascii="宋体" w:hAnsi="宋体" w:eastAsia="宋体" w:cs="Times New Roman"/>
                <w:color w:val="auto"/>
              </w:rPr>
            </w:pPr>
          </w:p>
        </w:tc>
        <w:tc>
          <w:tcPr>
            <w:tcW w:w="605" w:type="pct"/>
            <w:vAlign w:val="center"/>
          </w:tcPr>
          <w:p w14:paraId="057257A3">
            <w:pPr>
              <w:spacing w:line="340" w:lineRule="exact"/>
              <w:jc w:val="center"/>
              <w:rPr>
                <w:rFonts w:ascii="宋体" w:hAnsi="宋体" w:eastAsia="宋体" w:cs="Times New Roman"/>
                <w:color w:val="auto"/>
              </w:rPr>
            </w:pPr>
            <w:r>
              <w:rPr>
                <w:rFonts w:ascii="宋体" w:hAnsi="宋体" w:eastAsia="宋体" w:cs="Times New Roman"/>
                <w:color w:val="auto"/>
              </w:rPr>
              <w:t>油气处理工程</w:t>
            </w:r>
          </w:p>
        </w:tc>
        <w:tc>
          <w:tcPr>
            <w:tcW w:w="3986" w:type="pct"/>
            <w:vAlign w:val="center"/>
          </w:tcPr>
          <w:p w14:paraId="0E98C1FD">
            <w:pPr>
              <w:spacing w:line="340" w:lineRule="exact"/>
              <w:rPr>
                <w:rFonts w:ascii="宋体" w:hAnsi="宋体" w:eastAsia="宋体" w:cs="Times New Roman"/>
                <w:color w:val="auto"/>
              </w:rPr>
            </w:pPr>
            <w:r>
              <w:rPr>
                <w:rFonts w:ascii="宋体" w:hAnsi="宋体" w:eastAsia="宋体" w:cs="Times New Roman"/>
                <w:color w:val="auto"/>
              </w:rPr>
              <w:t>源212区块内无运行油田场站，区块内油井产液处理依托区块外朝二联合站。</w:t>
            </w:r>
          </w:p>
        </w:tc>
      </w:tr>
      <w:tr w14:paraId="4F73A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Align w:val="center"/>
          </w:tcPr>
          <w:p w14:paraId="3B7B56AA">
            <w:pPr>
              <w:spacing w:line="340" w:lineRule="exact"/>
              <w:jc w:val="center"/>
              <w:rPr>
                <w:rFonts w:ascii="宋体" w:hAnsi="宋体" w:eastAsia="宋体" w:cs="Times New Roman"/>
                <w:color w:val="auto"/>
              </w:rPr>
            </w:pPr>
            <w:r>
              <w:rPr>
                <w:rFonts w:ascii="宋体" w:hAnsi="宋体" w:eastAsia="宋体" w:cs="Times New Roman"/>
                <w:color w:val="auto"/>
              </w:rPr>
              <w:t>辅助工程</w:t>
            </w:r>
          </w:p>
        </w:tc>
        <w:tc>
          <w:tcPr>
            <w:tcW w:w="605" w:type="pct"/>
            <w:vAlign w:val="center"/>
          </w:tcPr>
          <w:p w14:paraId="05B87F18">
            <w:pPr>
              <w:spacing w:line="340" w:lineRule="exact"/>
              <w:jc w:val="center"/>
              <w:rPr>
                <w:rFonts w:ascii="宋体" w:hAnsi="宋体" w:eastAsia="宋体" w:cs="Times New Roman"/>
                <w:color w:val="auto"/>
              </w:rPr>
            </w:pPr>
            <w:r>
              <w:rPr>
                <w:rFonts w:ascii="宋体" w:hAnsi="宋体" w:eastAsia="宋体" w:cs="Times New Roman"/>
                <w:color w:val="auto"/>
              </w:rPr>
              <w:t>集输管线</w:t>
            </w:r>
          </w:p>
        </w:tc>
        <w:tc>
          <w:tcPr>
            <w:tcW w:w="3986" w:type="pct"/>
            <w:vAlign w:val="center"/>
          </w:tcPr>
          <w:p w14:paraId="11F06C33">
            <w:pPr>
              <w:spacing w:line="340" w:lineRule="exact"/>
              <w:rPr>
                <w:rFonts w:ascii="宋体" w:hAnsi="宋体" w:eastAsia="宋体" w:cs="Times New Roman"/>
                <w:color w:val="auto"/>
              </w:rPr>
            </w:pPr>
            <w:r>
              <w:rPr>
                <w:rFonts w:hint="eastAsia" w:ascii="宋体" w:hAnsi="宋体" w:eastAsia="宋体" w:cs="Times New Roman"/>
                <w:color w:val="auto"/>
              </w:rPr>
              <w:t>源</w:t>
            </w:r>
            <w:r>
              <w:rPr>
                <w:rFonts w:ascii="宋体" w:hAnsi="宋体" w:eastAsia="宋体" w:cs="Times New Roman"/>
                <w:color w:val="auto"/>
              </w:rPr>
              <w:t xml:space="preserve"> 212 区块内油井均采用提捞与拉油工艺。</w:t>
            </w:r>
          </w:p>
        </w:tc>
      </w:tr>
      <w:tr w14:paraId="009D2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restart"/>
            <w:vAlign w:val="center"/>
          </w:tcPr>
          <w:p w14:paraId="23013982">
            <w:pPr>
              <w:spacing w:line="340" w:lineRule="exact"/>
              <w:jc w:val="center"/>
              <w:rPr>
                <w:rFonts w:ascii="宋体" w:hAnsi="宋体" w:eastAsia="宋体" w:cs="Times New Roman"/>
                <w:color w:val="auto"/>
              </w:rPr>
            </w:pPr>
            <w:r>
              <w:rPr>
                <w:rFonts w:ascii="宋体" w:hAnsi="宋体" w:eastAsia="宋体" w:cs="Times New Roman"/>
                <w:color w:val="auto"/>
              </w:rPr>
              <w:t>公用工程</w:t>
            </w:r>
          </w:p>
        </w:tc>
        <w:tc>
          <w:tcPr>
            <w:tcW w:w="605" w:type="pct"/>
            <w:vAlign w:val="center"/>
          </w:tcPr>
          <w:p w14:paraId="0107EF78">
            <w:pPr>
              <w:spacing w:line="340" w:lineRule="exact"/>
              <w:jc w:val="center"/>
              <w:rPr>
                <w:rFonts w:ascii="宋体" w:hAnsi="宋体" w:eastAsia="宋体" w:cs="Times New Roman"/>
                <w:color w:val="auto"/>
              </w:rPr>
            </w:pPr>
            <w:r>
              <w:rPr>
                <w:rFonts w:ascii="宋体" w:hAnsi="宋体" w:eastAsia="宋体" w:cs="Times New Roman"/>
                <w:color w:val="auto"/>
              </w:rPr>
              <w:t>供水系统</w:t>
            </w:r>
          </w:p>
        </w:tc>
        <w:tc>
          <w:tcPr>
            <w:tcW w:w="3986" w:type="pct"/>
            <w:vAlign w:val="center"/>
          </w:tcPr>
          <w:p w14:paraId="287A8DC3">
            <w:pPr>
              <w:spacing w:line="340" w:lineRule="exact"/>
              <w:rPr>
                <w:rFonts w:ascii="宋体" w:hAnsi="宋体" w:eastAsia="宋体" w:cs="Times New Roman"/>
                <w:color w:val="auto"/>
              </w:rPr>
            </w:pPr>
            <w:r>
              <w:rPr>
                <w:rFonts w:ascii="宋体" w:hAnsi="宋体" w:eastAsia="宋体" w:cs="Times New Roman"/>
                <w:color w:val="auto"/>
              </w:rPr>
              <w:t>现有区块内无运营场站，无生活用水；运营期油水井作业用水、洗井用水、回注水来源为朝二联含油污水处理站的深度处理水水质为含油量≤5mg/L、悬浮固体含量≤5mg/L、悬浮物颗粒直径中值≤1μm，作业用水量约156.86m</w:t>
            </w:r>
            <w:r>
              <w:rPr>
                <w:rFonts w:ascii="宋体" w:hAnsi="宋体" w:eastAsia="宋体" w:cs="Times New Roman"/>
                <w:color w:val="auto"/>
                <w:vertAlign w:val="superscript"/>
              </w:rPr>
              <w:t>3</w:t>
            </w:r>
            <w:r>
              <w:rPr>
                <w:rFonts w:ascii="宋体" w:hAnsi="宋体" w:eastAsia="宋体" w:cs="Times New Roman"/>
                <w:color w:val="auto"/>
              </w:rPr>
              <w:t>/a，洗井用水量约17034.32m</w:t>
            </w:r>
            <w:r>
              <w:rPr>
                <w:rFonts w:ascii="宋体" w:hAnsi="宋体" w:eastAsia="宋体" w:cs="Times New Roman"/>
                <w:color w:val="auto"/>
                <w:vertAlign w:val="superscript"/>
              </w:rPr>
              <w:t>3</w:t>
            </w:r>
            <w:r>
              <w:rPr>
                <w:rFonts w:ascii="宋体" w:hAnsi="宋体" w:eastAsia="宋体" w:cs="Times New Roman"/>
                <w:color w:val="auto"/>
              </w:rPr>
              <w:t>/a。</w:t>
            </w:r>
          </w:p>
        </w:tc>
      </w:tr>
      <w:tr w14:paraId="22D3B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vAlign w:val="center"/>
          </w:tcPr>
          <w:p w14:paraId="28628974">
            <w:pPr>
              <w:spacing w:line="340" w:lineRule="exact"/>
              <w:jc w:val="center"/>
              <w:rPr>
                <w:rFonts w:ascii="宋体" w:hAnsi="宋体" w:eastAsia="宋体" w:cs="Times New Roman"/>
                <w:color w:val="auto"/>
              </w:rPr>
            </w:pPr>
          </w:p>
        </w:tc>
        <w:tc>
          <w:tcPr>
            <w:tcW w:w="605" w:type="pct"/>
            <w:vAlign w:val="center"/>
          </w:tcPr>
          <w:p w14:paraId="673FF1BB">
            <w:pPr>
              <w:spacing w:line="340" w:lineRule="exact"/>
              <w:jc w:val="center"/>
              <w:rPr>
                <w:rFonts w:ascii="宋体" w:hAnsi="宋体" w:eastAsia="宋体" w:cs="Times New Roman"/>
                <w:color w:val="auto"/>
              </w:rPr>
            </w:pPr>
            <w:r>
              <w:rPr>
                <w:rFonts w:ascii="宋体" w:hAnsi="宋体" w:eastAsia="宋体" w:cs="Times New Roman"/>
                <w:color w:val="auto"/>
              </w:rPr>
              <w:t>排水系统</w:t>
            </w:r>
          </w:p>
        </w:tc>
        <w:tc>
          <w:tcPr>
            <w:tcW w:w="3986" w:type="pct"/>
            <w:vAlign w:val="center"/>
          </w:tcPr>
          <w:p w14:paraId="1B2984AD">
            <w:pPr>
              <w:spacing w:line="340" w:lineRule="exact"/>
              <w:rPr>
                <w:rFonts w:ascii="宋体" w:hAnsi="宋体" w:eastAsia="宋体" w:cs="Times New Roman"/>
                <w:color w:val="auto"/>
              </w:rPr>
            </w:pPr>
            <w:r>
              <w:rPr>
                <w:rFonts w:ascii="宋体" w:hAnsi="宋体" w:eastAsia="宋体" w:cs="Times New Roman"/>
                <w:color w:val="auto"/>
              </w:rPr>
              <w:t>现有区块油田采出水量为1.67×10</w:t>
            </w:r>
            <w:r>
              <w:rPr>
                <w:rFonts w:ascii="宋体" w:hAnsi="宋体" w:eastAsia="宋体" w:cs="Times New Roman"/>
                <w:color w:val="auto"/>
                <w:vertAlign w:val="superscript"/>
              </w:rPr>
              <w:t>4</w:t>
            </w:r>
            <w:r>
              <w:rPr>
                <w:rFonts w:ascii="宋体" w:hAnsi="宋体" w:eastAsia="宋体" w:cs="Times New Roman"/>
                <w:color w:val="auto"/>
              </w:rPr>
              <w:t>t/a，油井作业（修井）产生的作业污水共计约148.96m</w:t>
            </w:r>
            <w:r>
              <w:rPr>
                <w:rFonts w:ascii="宋体" w:hAnsi="宋体" w:eastAsia="宋体" w:cs="Times New Roman"/>
                <w:color w:val="auto"/>
                <w:vertAlign w:val="superscript"/>
              </w:rPr>
              <w:t>3</w:t>
            </w:r>
            <w:r>
              <w:rPr>
                <w:rFonts w:ascii="宋体" w:hAnsi="宋体" w:eastAsia="宋体" w:cs="Times New Roman"/>
                <w:color w:val="auto"/>
              </w:rPr>
              <w:t>/a，洗井产生的洗井污水共计约16182.6m</w:t>
            </w:r>
            <w:r>
              <w:rPr>
                <w:rFonts w:ascii="宋体" w:hAnsi="宋体" w:eastAsia="宋体" w:cs="Times New Roman"/>
                <w:color w:val="auto"/>
                <w:vertAlign w:val="superscript"/>
              </w:rPr>
              <w:t>3</w:t>
            </w:r>
            <w:r>
              <w:rPr>
                <w:rFonts w:ascii="宋体" w:hAnsi="宋体" w:eastAsia="宋体" w:cs="Times New Roman"/>
                <w:color w:val="auto"/>
              </w:rPr>
              <w:t>/a，油田采出水、油井作业污水、洗井污水进入朝二联含油污水处理站处理达标后回注油层。</w:t>
            </w:r>
          </w:p>
        </w:tc>
      </w:tr>
      <w:tr w14:paraId="5A986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vAlign w:val="center"/>
          </w:tcPr>
          <w:p w14:paraId="2E211575">
            <w:pPr>
              <w:spacing w:line="340" w:lineRule="exact"/>
              <w:jc w:val="center"/>
              <w:rPr>
                <w:rFonts w:ascii="宋体" w:hAnsi="宋体" w:eastAsia="宋体" w:cs="Times New Roman"/>
                <w:color w:val="auto"/>
              </w:rPr>
            </w:pPr>
          </w:p>
        </w:tc>
        <w:tc>
          <w:tcPr>
            <w:tcW w:w="605" w:type="pct"/>
            <w:vAlign w:val="center"/>
          </w:tcPr>
          <w:p w14:paraId="4640FC26">
            <w:pPr>
              <w:spacing w:line="340" w:lineRule="exact"/>
              <w:jc w:val="center"/>
              <w:rPr>
                <w:rFonts w:ascii="宋体" w:hAnsi="宋体" w:eastAsia="宋体" w:cs="Times New Roman"/>
                <w:color w:val="auto"/>
              </w:rPr>
            </w:pPr>
            <w:r>
              <w:rPr>
                <w:rFonts w:ascii="宋体" w:hAnsi="宋体" w:eastAsia="宋体" w:cs="Times New Roman"/>
                <w:color w:val="auto"/>
              </w:rPr>
              <w:t>供热系统</w:t>
            </w:r>
          </w:p>
        </w:tc>
        <w:tc>
          <w:tcPr>
            <w:tcW w:w="3986" w:type="pct"/>
            <w:vAlign w:val="center"/>
          </w:tcPr>
          <w:p w14:paraId="4616250E">
            <w:pPr>
              <w:spacing w:line="340" w:lineRule="exact"/>
              <w:rPr>
                <w:rFonts w:ascii="宋体" w:hAnsi="宋体" w:eastAsia="宋体" w:cs="Times New Roman"/>
                <w:color w:val="auto"/>
              </w:rPr>
            </w:pPr>
            <w:r>
              <w:rPr>
                <w:rFonts w:ascii="宋体" w:hAnsi="宋体" w:eastAsia="宋体" w:cs="Times New Roman"/>
                <w:color w:val="auto"/>
              </w:rPr>
              <w:t>现有区块无运营场站。</w:t>
            </w:r>
          </w:p>
        </w:tc>
      </w:tr>
      <w:tr w14:paraId="0FD3C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vAlign w:val="center"/>
          </w:tcPr>
          <w:p w14:paraId="24F8F8DB">
            <w:pPr>
              <w:spacing w:line="340" w:lineRule="exact"/>
              <w:jc w:val="center"/>
              <w:rPr>
                <w:rFonts w:ascii="宋体" w:hAnsi="宋体" w:eastAsia="宋体" w:cs="Times New Roman"/>
                <w:color w:val="auto"/>
              </w:rPr>
            </w:pPr>
          </w:p>
        </w:tc>
        <w:tc>
          <w:tcPr>
            <w:tcW w:w="605" w:type="pct"/>
            <w:vAlign w:val="center"/>
          </w:tcPr>
          <w:p w14:paraId="7E6FAE1D">
            <w:pPr>
              <w:spacing w:line="340" w:lineRule="exact"/>
              <w:jc w:val="center"/>
              <w:rPr>
                <w:rFonts w:ascii="宋体" w:hAnsi="宋体" w:eastAsia="宋体" w:cs="Times New Roman"/>
                <w:color w:val="auto"/>
              </w:rPr>
            </w:pPr>
            <w:r>
              <w:rPr>
                <w:rFonts w:ascii="宋体" w:hAnsi="宋体" w:eastAsia="宋体" w:cs="Times New Roman"/>
                <w:color w:val="auto"/>
              </w:rPr>
              <w:t>供电系统</w:t>
            </w:r>
          </w:p>
        </w:tc>
        <w:tc>
          <w:tcPr>
            <w:tcW w:w="3986" w:type="pct"/>
            <w:vAlign w:val="center"/>
          </w:tcPr>
          <w:p w14:paraId="1D779675">
            <w:pPr>
              <w:spacing w:line="340" w:lineRule="exact"/>
              <w:rPr>
                <w:rFonts w:ascii="宋体" w:hAnsi="宋体" w:eastAsia="宋体" w:cs="Times New Roman"/>
                <w:color w:val="auto"/>
              </w:rPr>
            </w:pPr>
            <w:r>
              <w:rPr>
                <w:rFonts w:ascii="宋体" w:hAnsi="宋体" w:eastAsia="宋体" w:cs="Times New Roman"/>
                <w:color w:val="auto"/>
              </w:rPr>
              <w:t>现有区块内主要由松二变电站进行供电，电力供应依托油田已建电网。</w:t>
            </w:r>
          </w:p>
        </w:tc>
      </w:tr>
      <w:tr w14:paraId="21BA8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restart"/>
            <w:tcBorders>
              <w:right w:val="single" w:color="auto" w:sz="4" w:space="0"/>
            </w:tcBorders>
            <w:vAlign w:val="center"/>
          </w:tcPr>
          <w:p w14:paraId="4B7282BF">
            <w:pPr>
              <w:spacing w:line="340" w:lineRule="exact"/>
              <w:jc w:val="center"/>
              <w:rPr>
                <w:rFonts w:ascii="宋体" w:hAnsi="宋体" w:eastAsia="宋体" w:cs="Times New Roman"/>
                <w:color w:val="auto"/>
              </w:rPr>
            </w:pPr>
            <w:r>
              <w:rPr>
                <w:rFonts w:ascii="宋体" w:hAnsi="宋体" w:eastAsia="宋体" w:cs="Times New Roman"/>
                <w:color w:val="auto"/>
              </w:rPr>
              <w:t>环保工程</w:t>
            </w:r>
          </w:p>
        </w:tc>
        <w:tc>
          <w:tcPr>
            <w:tcW w:w="605" w:type="pct"/>
            <w:vMerge w:val="restart"/>
            <w:tcBorders>
              <w:left w:val="single" w:color="auto" w:sz="4" w:space="0"/>
            </w:tcBorders>
            <w:vAlign w:val="center"/>
          </w:tcPr>
          <w:p w14:paraId="030EC5F6">
            <w:pPr>
              <w:spacing w:line="340" w:lineRule="exact"/>
              <w:jc w:val="center"/>
              <w:rPr>
                <w:rFonts w:ascii="宋体" w:hAnsi="宋体" w:eastAsia="宋体" w:cs="Times New Roman"/>
                <w:color w:val="auto"/>
              </w:rPr>
            </w:pPr>
            <w:r>
              <w:rPr>
                <w:rFonts w:ascii="宋体" w:hAnsi="宋体" w:eastAsia="宋体" w:cs="Times New Roman"/>
                <w:color w:val="auto"/>
              </w:rPr>
              <w:t>废气处理工程</w:t>
            </w:r>
          </w:p>
        </w:tc>
        <w:tc>
          <w:tcPr>
            <w:tcW w:w="3986" w:type="pct"/>
            <w:vAlign w:val="center"/>
          </w:tcPr>
          <w:p w14:paraId="68CD2969">
            <w:pPr>
              <w:spacing w:line="340" w:lineRule="exact"/>
              <w:rPr>
                <w:rFonts w:ascii="宋体" w:hAnsi="宋体" w:eastAsia="宋体" w:cs="Times New Roman"/>
                <w:color w:val="auto"/>
              </w:rPr>
            </w:pPr>
            <w:r>
              <w:rPr>
                <w:rFonts w:ascii="宋体" w:hAnsi="宋体" w:eastAsia="宋体" w:cs="Times New Roman"/>
                <w:color w:val="auto"/>
              </w:rPr>
              <w:t>现有区块内采出液依托区块周边的朝二联转油脱水站处理，站内加热炉采用清洁能源天然气作为燃料，并采用低氮燃烧器，加热炉燃烧产生的废气均经不低于8m的烟囱高空排放。</w:t>
            </w:r>
          </w:p>
        </w:tc>
      </w:tr>
      <w:tr w14:paraId="65CB7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tcBorders>
              <w:right w:val="single" w:color="auto" w:sz="4" w:space="0"/>
            </w:tcBorders>
            <w:vAlign w:val="center"/>
          </w:tcPr>
          <w:p w14:paraId="0AD0756E">
            <w:pPr>
              <w:spacing w:line="340" w:lineRule="exact"/>
              <w:jc w:val="center"/>
              <w:rPr>
                <w:rFonts w:ascii="宋体" w:hAnsi="宋体" w:eastAsia="宋体" w:cs="Times New Roman"/>
                <w:color w:val="auto"/>
              </w:rPr>
            </w:pPr>
          </w:p>
        </w:tc>
        <w:tc>
          <w:tcPr>
            <w:tcW w:w="605" w:type="pct"/>
            <w:vMerge w:val="continue"/>
            <w:tcBorders>
              <w:left w:val="single" w:color="auto" w:sz="4" w:space="0"/>
            </w:tcBorders>
            <w:vAlign w:val="center"/>
          </w:tcPr>
          <w:p w14:paraId="7A35C198">
            <w:pPr>
              <w:spacing w:line="340" w:lineRule="exact"/>
              <w:jc w:val="center"/>
              <w:rPr>
                <w:rFonts w:ascii="宋体" w:hAnsi="宋体" w:eastAsia="宋体" w:cs="Times New Roman"/>
                <w:color w:val="auto"/>
              </w:rPr>
            </w:pPr>
          </w:p>
        </w:tc>
        <w:tc>
          <w:tcPr>
            <w:tcW w:w="3986" w:type="pct"/>
            <w:vAlign w:val="center"/>
          </w:tcPr>
          <w:p w14:paraId="7B50CCBE">
            <w:pPr>
              <w:spacing w:line="340" w:lineRule="exact"/>
              <w:rPr>
                <w:rFonts w:ascii="宋体" w:hAnsi="宋体" w:eastAsia="宋体" w:cs="Times New Roman"/>
                <w:color w:val="auto"/>
              </w:rPr>
            </w:pPr>
            <w:r>
              <w:rPr>
                <w:rFonts w:ascii="宋体" w:hAnsi="宋体" w:eastAsia="宋体" w:cs="Times New Roman"/>
                <w:color w:val="auto"/>
              </w:rPr>
              <w:t>现有工程在油气集输过程采取了全密闭工艺流程，油井井口均安装了密封垫、管线均埋地敷设、依托场站内各关键接口法兰均进行了密闭处理，有效的控制了无组织气体的挥发。</w:t>
            </w:r>
          </w:p>
        </w:tc>
      </w:tr>
      <w:tr w14:paraId="48194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tcBorders>
              <w:right w:val="single" w:color="auto" w:sz="4" w:space="0"/>
            </w:tcBorders>
            <w:vAlign w:val="center"/>
          </w:tcPr>
          <w:p w14:paraId="4AA7CC2B">
            <w:pPr>
              <w:spacing w:line="340" w:lineRule="exact"/>
              <w:jc w:val="center"/>
              <w:rPr>
                <w:rFonts w:ascii="宋体" w:hAnsi="宋体" w:eastAsia="宋体" w:cs="Times New Roman"/>
                <w:color w:val="auto"/>
              </w:rPr>
            </w:pPr>
          </w:p>
        </w:tc>
        <w:tc>
          <w:tcPr>
            <w:tcW w:w="605" w:type="pct"/>
            <w:tcBorders>
              <w:left w:val="single" w:color="auto" w:sz="4" w:space="0"/>
            </w:tcBorders>
            <w:vAlign w:val="center"/>
          </w:tcPr>
          <w:p w14:paraId="22505B66">
            <w:pPr>
              <w:spacing w:line="340" w:lineRule="exact"/>
              <w:jc w:val="center"/>
              <w:rPr>
                <w:rFonts w:ascii="宋体" w:hAnsi="宋体" w:eastAsia="宋体" w:cs="Times New Roman"/>
                <w:color w:val="auto"/>
              </w:rPr>
            </w:pPr>
            <w:r>
              <w:rPr>
                <w:rFonts w:ascii="宋体" w:hAnsi="宋体" w:eastAsia="宋体" w:cs="Times New Roman"/>
                <w:color w:val="auto"/>
              </w:rPr>
              <w:t>废水处理工程</w:t>
            </w:r>
          </w:p>
        </w:tc>
        <w:tc>
          <w:tcPr>
            <w:tcW w:w="3986" w:type="pct"/>
            <w:vAlign w:val="center"/>
          </w:tcPr>
          <w:p w14:paraId="7FCF205B">
            <w:pPr>
              <w:spacing w:line="340" w:lineRule="exact"/>
              <w:rPr>
                <w:rFonts w:ascii="宋体" w:hAnsi="宋体" w:eastAsia="宋体" w:cs="Times New Roman"/>
                <w:color w:val="auto"/>
              </w:rPr>
            </w:pPr>
            <w:r>
              <w:rPr>
                <w:rFonts w:ascii="宋体" w:hAnsi="宋体" w:eastAsia="宋体" w:cs="Times New Roman"/>
                <w:color w:val="auto"/>
                <w:lang w:bidi="ar"/>
              </w:rPr>
              <w:t>现有区块油田采出水、油水井作业污水、洗井污水最终由朝二联含油污水处理站处理达标后回注油层</w:t>
            </w:r>
            <w:r>
              <w:rPr>
                <w:rFonts w:ascii="宋体" w:hAnsi="宋体" w:eastAsia="宋体" w:cs="Times New Roman"/>
                <w:color w:val="auto"/>
              </w:rPr>
              <w:t>。</w:t>
            </w:r>
          </w:p>
        </w:tc>
      </w:tr>
      <w:tr w14:paraId="39FE2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tcBorders>
              <w:right w:val="single" w:color="auto" w:sz="4" w:space="0"/>
            </w:tcBorders>
            <w:vAlign w:val="center"/>
          </w:tcPr>
          <w:p w14:paraId="0DD70043">
            <w:pPr>
              <w:spacing w:line="340" w:lineRule="exact"/>
              <w:jc w:val="center"/>
              <w:rPr>
                <w:rFonts w:ascii="宋体" w:hAnsi="宋体" w:eastAsia="宋体" w:cs="Times New Roman"/>
                <w:color w:val="auto"/>
              </w:rPr>
            </w:pPr>
          </w:p>
        </w:tc>
        <w:tc>
          <w:tcPr>
            <w:tcW w:w="605" w:type="pct"/>
            <w:tcBorders>
              <w:left w:val="single" w:color="auto" w:sz="4" w:space="0"/>
            </w:tcBorders>
            <w:vAlign w:val="center"/>
          </w:tcPr>
          <w:p w14:paraId="0C31CDA1">
            <w:pPr>
              <w:spacing w:line="340" w:lineRule="exact"/>
              <w:jc w:val="center"/>
              <w:rPr>
                <w:rFonts w:ascii="宋体" w:hAnsi="宋体" w:eastAsia="宋体" w:cs="Times New Roman"/>
                <w:color w:val="auto"/>
              </w:rPr>
            </w:pPr>
            <w:r>
              <w:rPr>
                <w:rFonts w:ascii="宋体" w:hAnsi="宋体" w:eastAsia="宋体" w:cs="Times New Roman"/>
                <w:color w:val="auto"/>
              </w:rPr>
              <w:t>噪声防治工程</w:t>
            </w:r>
          </w:p>
        </w:tc>
        <w:tc>
          <w:tcPr>
            <w:tcW w:w="3986" w:type="pct"/>
            <w:vAlign w:val="center"/>
          </w:tcPr>
          <w:p w14:paraId="6DAA514F">
            <w:pPr>
              <w:spacing w:line="340" w:lineRule="exact"/>
              <w:rPr>
                <w:rFonts w:ascii="宋体" w:hAnsi="宋体" w:eastAsia="宋体" w:cs="Times New Roman"/>
                <w:color w:val="auto"/>
              </w:rPr>
            </w:pPr>
            <w:r>
              <w:rPr>
                <w:rFonts w:ascii="宋体" w:hAnsi="宋体" w:eastAsia="宋体" w:cs="Times New Roman"/>
                <w:color w:val="auto"/>
              </w:rPr>
              <w:t>现有区块内噪声源主要来自抽油机。抽油机电机等发声设备选用了低噪声设备，定期对进场设备进行维护和保养。</w:t>
            </w:r>
          </w:p>
        </w:tc>
      </w:tr>
      <w:tr w14:paraId="6297C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tcBorders>
              <w:right w:val="single" w:color="auto" w:sz="4" w:space="0"/>
            </w:tcBorders>
            <w:vAlign w:val="center"/>
          </w:tcPr>
          <w:p w14:paraId="669A5377">
            <w:pPr>
              <w:spacing w:line="340" w:lineRule="exact"/>
              <w:jc w:val="center"/>
              <w:rPr>
                <w:rFonts w:ascii="宋体" w:hAnsi="宋体" w:eastAsia="宋体" w:cs="Times New Roman"/>
                <w:color w:val="auto"/>
              </w:rPr>
            </w:pPr>
          </w:p>
        </w:tc>
        <w:tc>
          <w:tcPr>
            <w:tcW w:w="605" w:type="pct"/>
            <w:vMerge w:val="restart"/>
            <w:tcBorders>
              <w:left w:val="single" w:color="auto" w:sz="4" w:space="0"/>
            </w:tcBorders>
            <w:vAlign w:val="center"/>
          </w:tcPr>
          <w:p w14:paraId="4980E02F">
            <w:pPr>
              <w:spacing w:line="340" w:lineRule="exact"/>
              <w:jc w:val="center"/>
              <w:rPr>
                <w:rFonts w:ascii="宋体" w:hAnsi="宋体" w:eastAsia="宋体" w:cs="Times New Roman"/>
                <w:color w:val="auto"/>
              </w:rPr>
            </w:pPr>
            <w:r>
              <w:rPr>
                <w:rFonts w:ascii="宋体" w:hAnsi="宋体" w:eastAsia="宋体" w:cs="Times New Roman"/>
                <w:color w:val="auto"/>
              </w:rPr>
              <w:t>固体废物收集处理处置工程</w:t>
            </w:r>
          </w:p>
        </w:tc>
        <w:tc>
          <w:tcPr>
            <w:tcW w:w="3986" w:type="pct"/>
            <w:vAlign w:val="center"/>
          </w:tcPr>
          <w:p w14:paraId="702550C0">
            <w:pPr>
              <w:spacing w:line="340" w:lineRule="exact"/>
              <w:rPr>
                <w:rFonts w:ascii="宋体" w:hAnsi="宋体" w:eastAsia="宋体" w:cs="Times New Roman"/>
                <w:color w:val="auto"/>
              </w:rPr>
            </w:pPr>
            <w:r>
              <w:rPr>
                <w:rFonts w:ascii="宋体" w:hAnsi="宋体" w:eastAsia="宋体" w:cs="Times New Roman"/>
                <w:color w:val="auto"/>
              </w:rPr>
              <w:t>现有区块内油水井在进行作业过程中产生的油污泥由罐车拉运至朝一联含油污泥处理站减量化处理后，再委托大庆博昕晶化科技有限公司处理满足《油田含油污泥处置与利用污染控制要求》（DB23/T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r>
      <w:tr w14:paraId="7EA7A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tcBorders>
              <w:right w:val="single" w:color="auto" w:sz="4" w:space="0"/>
            </w:tcBorders>
            <w:vAlign w:val="center"/>
          </w:tcPr>
          <w:p w14:paraId="7303C553">
            <w:pPr>
              <w:spacing w:line="340" w:lineRule="exact"/>
              <w:jc w:val="center"/>
              <w:rPr>
                <w:rFonts w:ascii="宋体" w:hAnsi="宋体" w:eastAsia="宋体" w:cs="Times New Roman"/>
                <w:color w:val="auto"/>
              </w:rPr>
            </w:pPr>
          </w:p>
        </w:tc>
        <w:tc>
          <w:tcPr>
            <w:tcW w:w="605" w:type="pct"/>
            <w:vMerge w:val="continue"/>
            <w:tcBorders>
              <w:left w:val="single" w:color="auto" w:sz="4" w:space="0"/>
            </w:tcBorders>
            <w:vAlign w:val="center"/>
          </w:tcPr>
          <w:p w14:paraId="72B5E434">
            <w:pPr>
              <w:spacing w:line="340" w:lineRule="exact"/>
              <w:jc w:val="center"/>
              <w:rPr>
                <w:rFonts w:ascii="宋体" w:hAnsi="宋体" w:eastAsia="宋体" w:cs="Times New Roman"/>
                <w:color w:val="auto"/>
              </w:rPr>
            </w:pPr>
          </w:p>
        </w:tc>
        <w:tc>
          <w:tcPr>
            <w:tcW w:w="3986" w:type="pct"/>
            <w:vAlign w:val="center"/>
          </w:tcPr>
          <w:p w14:paraId="4700A430">
            <w:pPr>
              <w:spacing w:line="340" w:lineRule="exact"/>
              <w:rPr>
                <w:rFonts w:ascii="宋体" w:hAnsi="宋体" w:eastAsia="宋体" w:cs="Times New Roman"/>
                <w:color w:val="auto"/>
              </w:rPr>
            </w:pPr>
            <w:r>
              <w:rPr>
                <w:rFonts w:ascii="宋体" w:hAnsi="宋体" w:eastAsia="宋体" w:cs="Times New Roman"/>
                <w:color w:val="auto"/>
              </w:rPr>
              <w:t>现有区块内油水井作业产生的含油废防渗布委托有资质单位处置。</w:t>
            </w:r>
          </w:p>
        </w:tc>
      </w:tr>
      <w:tr w14:paraId="666C5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tcBorders>
              <w:right w:val="single" w:color="auto" w:sz="4" w:space="0"/>
            </w:tcBorders>
            <w:vAlign w:val="center"/>
          </w:tcPr>
          <w:p w14:paraId="00652F28">
            <w:pPr>
              <w:spacing w:line="340" w:lineRule="exact"/>
              <w:jc w:val="center"/>
              <w:rPr>
                <w:rFonts w:ascii="宋体" w:hAnsi="宋体" w:eastAsia="宋体" w:cs="Times New Roman"/>
                <w:color w:val="auto"/>
              </w:rPr>
            </w:pPr>
          </w:p>
        </w:tc>
        <w:tc>
          <w:tcPr>
            <w:tcW w:w="605" w:type="pct"/>
            <w:tcBorders>
              <w:left w:val="single" w:color="auto" w:sz="4" w:space="0"/>
            </w:tcBorders>
            <w:vAlign w:val="center"/>
          </w:tcPr>
          <w:p w14:paraId="44CECEE6">
            <w:pPr>
              <w:spacing w:line="340" w:lineRule="exact"/>
              <w:jc w:val="center"/>
              <w:rPr>
                <w:rFonts w:ascii="宋体" w:hAnsi="宋体" w:eastAsia="宋体" w:cs="Times New Roman"/>
                <w:color w:val="auto"/>
              </w:rPr>
            </w:pPr>
            <w:r>
              <w:rPr>
                <w:rFonts w:ascii="宋体" w:hAnsi="宋体" w:eastAsia="宋体" w:cs="Times New Roman"/>
                <w:color w:val="auto"/>
              </w:rPr>
              <w:t>环境风险防控工程</w:t>
            </w:r>
          </w:p>
        </w:tc>
        <w:tc>
          <w:tcPr>
            <w:tcW w:w="3986" w:type="pct"/>
            <w:vAlign w:val="center"/>
          </w:tcPr>
          <w:p w14:paraId="4CE41E54">
            <w:pPr>
              <w:spacing w:line="340" w:lineRule="exact"/>
              <w:rPr>
                <w:rFonts w:ascii="宋体" w:hAnsi="宋体" w:eastAsia="宋体" w:cs="Times New Roman"/>
                <w:color w:val="auto"/>
              </w:rPr>
            </w:pPr>
            <w:r>
              <w:rPr>
                <w:rFonts w:ascii="宋体" w:hAnsi="宋体" w:eastAsia="宋体" w:cs="Times New Roman"/>
                <w:color w:val="auto"/>
              </w:rPr>
              <w:t>大庆油田有限责任公司第十采油厂已建立较完善的应急预案体系，综合性预案为《突发事件综合（总体）应急预案》，还针对不同的事故分别编制了《环境突发事件专项应急预案》、《生产场所泄漏、火灾、爆炸突发事件专项应急预案》、《输油气管道突发事件专项应急预案》、《注水系统突发事件专项应急预案》等专项应急预案，并定期开展了应急演练。</w:t>
            </w:r>
          </w:p>
        </w:tc>
      </w:tr>
      <w:tr w14:paraId="45748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restart"/>
            <w:tcBorders>
              <w:right w:val="single" w:color="auto" w:sz="4" w:space="0"/>
            </w:tcBorders>
            <w:vAlign w:val="center"/>
          </w:tcPr>
          <w:p w14:paraId="6647E692">
            <w:pPr>
              <w:spacing w:line="340" w:lineRule="exact"/>
              <w:jc w:val="center"/>
              <w:rPr>
                <w:rFonts w:ascii="宋体" w:hAnsi="宋体" w:eastAsia="宋体" w:cs="Times New Roman"/>
                <w:color w:val="auto"/>
              </w:rPr>
            </w:pPr>
            <w:r>
              <w:rPr>
                <w:rFonts w:ascii="宋体" w:hAnsi="宋体" w:eastAsia="宋体" w:cs="Times New Roman"/>
                <w:color w:val="auto"/>
              </w:rPr>
              <w:t>退役工程</w:t>
            </w:r>
          </w:p>
        </w:tc>
        <w:tc>
          <w:tcPr>
            <w:tcW w:w="605" w:type="pct"/>
            <w:tcBorders>
              <w:left w:val="single" w:color="auto" w:sz="4" w:space="0"/>
            </w:tcBorders>
            <w:vAlign w:val="center"/>
          </w:tcPr>
          <w:p w14:paraId="6F656B0B">
            <w:pPr>
              <w:spacing w:line="340" w:lineRule="exact"/>
              <w:jc w:val="center"/>
              <w:rPr>
                <w:rFonts w:ascii="宋体" w:hAnsi="宋体" w:eastAsia="宋体" w:cs="Times New Roman"/>
                <w:color w:val="auto"/>
              </w:rPr>
            </w:pPr>
            <w:r>
              <w:rPr>
                <w:rFonts w:ascii="宋体" w:hAnsi="宋体" w:eastAsia="宋体" w:cs="Times New Roman"/>
                <w:color w:val="auto"/>
              </w:rPr>
              <w:t>废气</w:t>
            </w:r>
            <w:r>
              <w:rPr>
                <w:rFonts w:ascii="宋体" w:hAnsi="宋体" w:eastAsia="宋体" w:cs="Times New Roman"/>
                <w:color w:val="auto"/>
                <w:lang w:bidi="ar"/>
              </w:rPr>
              <w:t>治理措施</w:t>
            </w:r>
          </w:p>
        </w:tc>
        <w:tc>
          <w:tcPr>
            <w:tcW w:w="3986" w:type="pct"/>
            <w:vAlign w:val="center"/>
          </w:tcPr>
          <w:p w14:paraId="20C87671">
            <w:pPr>
              <w:spacing w:line="340" w:lineRule="exact"/>
              <w:rPr>
                <w:rFonts w:ascii="宋体" w:hAnsi="宋体" w:eastAsia="宋体" w:cs="Times New Roman"/>
                <w:color w:val="auto"/>
              </w:rPr>
            </w:pPr>
            <w:r>
              <w:rPr>
                <w:rFonts w:ascii="宋体" w:hAnsi="宋体" w:eastAsia="宋体" w:cs="Times New Roman"/>
                <w:color w:val="auto"/>
              </w:rPr>
              <w:t>施工扬尘采取运输道路及施工场地定时洒水抑尘，运输车辆采取苫布遮盖措施。</w:t>
            </w:r>
          </w:p>
        </w:tc>
      </w:tr>
      <w:tr w14:paraId="4B0AE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tcBorders>
              <w:right w:val="single" w:color="auto" w:sz="4" w:space="0"/>
            </w:tcBorders>
            <w:vAlign w:val="center"/>
          </w:tcPr>
          <w:p w14:paraId="217F0C33">
            <w:pPr>
              <w:spacing w:line="340" w:lineRule="exact"/>
              <w:jc w:val="center"/>
              <w:rPr>
                <w:rFonts w:ascii="宋体" w:hAnsi="宋体" w:eastAsia="宋体" w:cs="Times New Roman"/>
                <w:color w:val="auto"/>
              </w:rPr>
            </w:pPr>
          </w:p>
        </w:tc>
        <w:tc>
          <w:tcPr>
            <w:tcW w:w="605" w:type="pct"/>
            <w:tcBorders>
              <w:left w:val="single" w:color="auto" w:sz="4" w:space="0"/>
            </w:tcBorders>
            <w:vAlign w:val="center"/>
          </w:tcPr>
          <w:p w14:paraId="2203C96F">
            <w:pPr>
              <w:spacing w:line="340" w:lineRule="exact"/>
              <w:jc w:val="center"/>
              <w:rPr>
                <w:rFonts w:ascii="宋体" w:hAnsi="宋体" w:eastAsia="宋体" w:cs="Times New Roman"/>
                <w:color w:val="auto"/>
              </w:rPr>
            </w:pPr>
            <w:r>
              <w:rPr>
                <w:rFonts w:ascii="宋体" w:hAnsi="宋体" w:eastAsia="宋体" w:cs="Times New Roman"/>
                <w:color w:val="auto"/>
              </w:rPr>
              <w:t>废水治理措施</w:t>
            </w:r>
          </w:p>
        </w:tc>
        <w:tc>
          <w:tcPr>
            <w:tcW w:w="3986" w:type="pct"/>
            <w:vAlign w:val="center"/>
          </w:tcPr>
          <w:p w14:paraId="0653770D">
            <w:pPr>
              <w:spacing w:line="340" w:lineRule="exact"/>
              <w:rPr>
                <w:rFonts w:ascii="宋体" w:hAnsi="宋体" w:eastAsia="宋体" w:cs="Times New Roman"/>
                <w:color w:val="auto"/>
              </w:rPr>
            </w:pPr>
            <w:r>
              <w:rPr>
                <w:rFonts w:ascii="宋体" w:hAnsi="宋体" w:eastAsia="宋体" w:cs="Times New Roman"/>
                <w:color w:val="auto"/>
              </w:rPr>
              <w:t>本项目退役期管线内介质均由压缩空气吹扫至拉油点储罐后续由罐车拉运进入集输系统处理。退役期施工人员产生的生活污水排入临时防渗旱厕内，施工结束后拉运至第十采油厂厂区污水泵房，经地下管网输至第十采油厂厂区生活污水处理站处理达标后排入牛毛沟。</w:t>
            </w:r>
          </w:p>
        </w:tc>
      </w:tr>
      <w:tr w14:paraId="5226F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tcBorders>
              <w:right w:val="single" w:color="auto" w:sz="4" w:space="0"/>
            </w:tcBorders>
            <w:vAlign w:val="center"/>
          </w:tcPr>
          <w:p w14:paraId="7CF5219C">
            <w:pPr>
              <w:spacing w:line="340" w:lineRule="exact"/>
              <w:jc w:val="center"/>
              <w:rPr>
                <w:rFonts w:ascii="宋体" w:hAnsi="宋体" w:eastAsia="宋体" w:cs="Times New Roman"/>
                <w:color w:val="auto"/>
              </w:rPr>
            </w:pPr>
          </w:p>
        </w:tc>
        <w:tc>
          <w:tcPr>
            <w:tcW w:w="605" w:type="pct"/>
            <w:tcBorders>
              <w:left w:val="single" w:color="auto" w:sz="4" w:space="0"/>
            </w:tcBorders>
            <w:vAlign w:val="center"/>
          </w:tcPr>
          <w:p w14:paraId="6317460C">
            <w:pPr>
              <w:spacing w:line="340" w:lineRule="exact"/>
              <w:jc w:val="center"/>
              <w:rPr>
                <w:rFonts w:ascii="宋体" w:hAnsi="宋体" w:eastAsia="宋体" w:cs="Times New Roman"/>
                <w:color w:val="auto"/>
              </w:rPr>
            </w:pPr>
            <w:r>
              <w:rPr>
                <w:rFonts w:ascii="宋体" w:hAnsi="宋体" w:eastAsia="宋体" w:cs="Times New Roman"/>
                <w:color w:val="auto"/>
              </w:rPr>
              <w:t>噪声</w:t>
            </w:r>
            <w:r>
              <w:rPr>
                <w:rFonts w:ascii="宋体" w:hAnsi="宋体" w:eastAsia="宋体" w:cs="Times New Roman"/>
                <w:color w:val="auto"/>
                <w:lang w:bidi="ar"/>
              </w:rPr>
              <w:t>治理措施</w:t>
            </w:r>
          </w:p>
        </w:tc>
        <w:tc>
          <w:tcPr>
            <w:tcW w:w="3986" w:type="pct"/>
            <w:vAlign w:val="center"/>
          </w:tcPr>
          <w:p w14:paraId="0EE71540">
            <w:pPr>
              <w:spacing w:line="340" w:lineRule="exact"/>
              <w:rPr>
                <w:rFonts w:ascii="宋体" w:hAnsi="宋体" w:eastAsia="宋体" w:cs="Times New Roman"/>
                <w:color w:val="auto"/>
              </w:rPr>
            </w:pPr>
            <w:r>
              <w:rPr>
                <w:rFonts w:ascii="宋体" w:hAnsi="宋体" w:eastAsia="宋体" w:cs="Times New Roman"/>
                <w:color w:val="auto"/>
              </w:rPr>
              <w:t>合理安排施工进度，避免大量高噪声设备同时施工；选用低噪声设备；运输车辆选择避开居民区的路线。</w:t>
            </w:r>
          </w:p>
        </w:tc>
      </w:tr>
      <w:tr w14:paraId="7F60C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8" w:type="pct"/>
            <w:vMerge w:val="continue"/>
            <w:tcBorders>
              <w:right w:val="single" w:color="auto" w:sz="4" w:space="0"/>
            </w:tcBorders>
            <w:vAlign w:val="center"/>
          </w:tcPr>
          <w:p w14:paraId="3C13DA63">
            <w:pPr>
              <w:spacing w:line="340" w:lineRule="exact"/>
              <w:jc w:val="center"/>
              <w:rPr>
                <w:rFonts w:ascii="宋体" w:hAnsi="宋体" w:eastAsia="宋体" w:cs="Times New Roman"/>
                <w:color w:val="auto"/>
              </w:rPr>
            </w:pPr>
          </w:p>
        </w:tc>
        <w:tc>
          <w:tcPr>
            <w:tcW w:w="605" w:type="pct"/>
            <w:tcBorders>
              <w:left w:val="single" w:color="auto" w:sz="4" w:space="0"/>
            </w:tcBorders>
            <w:vAlign w:val="center"/>
          </w:tcPr>
          <w:p w14:paraId="60ADDB6F">
            <w:pPr>
              <w:spacing w:line="340" w:lineRule="exact"/>
              <w:jc w:val="center"/>
              <w:rPr>
                <w:rFonts w:ascii="宋体" w:hAnsi="宋体" w:eastAsia="宋体" w:cs="Times New Roman"/>
                <w:color w:val="auto"/>
              </w:rPr>
            </w:pPr>
            <w:r>
              <w:rPr>
                <w:rFonts w:ascii="宋体" w:hAnsi="宋体" w:eastAsia="宋体" w:cs="Times New Roman"/>
                <w:color w:val="auto"/>
              </w:rPr>
              <w:t>固体废物治理措施</w:t>
            </w:r>
          </w:p>
        </w:tc>
        <w:tc>
          <w:tcPr>
            <w:tcW w:w="3986" w:type="pct"/>
            <w:vAlign w:val="center"/>
          </w:tcPr>
          <w:p w14:paraId="08C81881">
            <w:pPr>
              <w:spacing w:line="340" w:lineRule="exact"/>
              <w:rPr>
                <w:rFonts w:ascii="宋体" w:hAnsi="宋体" w:eastAsia="宋体" w:cs="Times New Roman"/>
                <w:color w:val="auto"/>
              </w:rPr>
            </w:pPr>
            <w:r>
              <w:rPr>
                <w:rFonts w:ascii="宋体" w:hAnsi="宋体" w:eastAsia="宋体" w:cs="Times New Roman"/>
                <w:color w:val="auto"/>
              </w:rPr>
              <w:t>本项目退役管线两端封堵后直埋处理，退役期拆除的废旧设备全部回收至第十采油厂物资库。封井建筑垃圾统一收集后拉运至建筑垃圾调配场处置。生活垃圾统一收集</w:t>
            </w:r>
            <w:r>
              <w:rPr>
                <w:rFonts w:ascii="宋体" w:hAnsi="宋体" w:eastAsia="宋体" w:cs="Times New Roman"/>
                <w:color w:val="auto"/>
                <w:kern w:val="21"/>
              </w:rPr>
              <w:t>拉运至肇源县利民城市垃圾处理有限公司处理</w:t>
            </w:r>
            <w:r>
              <w:rPr>
                <w:rFonts w:ascii="宋体" w:hAnsi="宋体" w:eastAsia="宋体" w:cs="Times New Roman"/>
                <w:color w:val="auto"/>
              </w:rPr>
              <w:t>。</w:t>
            </w:r>
          </w:p>
        </w:tc>
      </w:tr>
    </w:tbl>
    <w:p w14:paraId="3E6EF364">
      <w:pPr>
        <w:pStyle w:val="276"/>
        <w:widowControl w:val="0"/>
        <w:spacing w:line="440" w:lineRule="exact"/>
        <w:ind w:firstLine="480"/>
        <w:jc w:val="both"/>
        <w:rPr>
          <w:color w:val="auto"/>
          <w:kern w:val="2"/>
        </w:rPr>
      </w:pPr>
      <w:r>
        <w:rPr>
          <w:color w:val="auto"/>
          <w:kern w:val="2"/>
        </w:rPr>
        <w:t>（3）现有区块环评及验收手续</w:t>
      </w:r>
    </w:p>
    <w:p w14:paraId="417C0797">
      <w:pPr>
        <w:pStyle w:val="276"/>
        <w:widowControl w:val="0"/>
        <w:spacing w:line="440" w:lineRule="exact"/>
        <w:ind w:firstLine="480"/>
        <w:jc w:val="both"/>
        <w:rPr>
          <w:color w:val="auto"/>
          <w:kern w:val="21"/>
          <w:szCs w:val="20"/>
        </w:rPr>
      </w:pPr>
      <w:r>
        <w:rPr>
          <w:color w:val="auto"/>
          <w:kern w:val="21"/>
          <w:szCs w:val="20"/>
        </w:rPr>
        <w:t>现有</w:t>
      </w:r>
      <w:r>
        <w:rPr>
          <w:color w:val="auto"/>
          <w:kern w:val="21"/>
          <w:szCs w:val="22"/>
          <w:lang w:bidi="zh-CN"/>
        </w:rPr>
        <w:t>工程</w:t>
      </w:r>
      <w:r>
        <w:rPr>
          <w:color w:val="auto"/>
          <w:kern w:val="21"/>
          <w:szCs w:val="20"/>
        </w:rPr>
        <w:t>环评及验收情况见表3.1-2。</w:t>
      </w:r>
    </w:p>
    <w:p w14:paraId="4E3BF18A">
      <w:pPr>
        <w:pStyle w:val="22"/>
        <w:spacing w:before="156"/>
        <w:rPr>
          <w:rFonts w:hAnsi="宋体" w:cs="Times New Roman"/>
          <w:color w:val="auto"/>
          <w:kern w:val="21"/>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color w:val="auto"/>
        </w:rPr>
        <w:t>现有工程环评及验收情况调查表</w:t>
      </w:r>
    </w:p>
    <w:tbl>
      <w:tblPr>
        <w:tblStyle w:val="81"/>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92"/>
        <w:gridCol w:w="2747"/>
        <w:gridCol w:w="2240"/>
      </w:tblGrid>
      <w:tr w14:paraId="6DDD4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2" w:type="pct"/>
            <w:vAlign w:val="center"/>
          </w:tcPr>
          <w:p w14:paraId="6CAE121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项目名称</w:t>
            </w:r>
          </w:p>
        </w:tc>
        <w:tc>
          <w:tcPr>
            <w:tcW w:w="1480" w:type="pct"/>
            <w:vAlign w:val="center"/>
          </w:tcPr>
          <w:p w14:paraId="6CFA2B0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环评批复</w:t>
            </w:r>
          </w:p>
        </w:tc>
        <w:tc>
          <w:tcPr>
            <w:tcW w:w="1207" w:type="pct"/>
            <w:vAlign w:val="center"/>
          </w:tcPr>
          <w:p w14:paraId="5452218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验收情况</w:t>
            </w:r>
          </w:p>
        </w:tc>
      </w:tr>
      <w:tr w14:paraId="4C039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2" w:type="pct"/>
            <w:vAlign w:val="center"/>
          </w:tcPr>
          <w:p w14:paraId="5CA684D5">
            <w:pPr>
              <w:spacing w:line="340" w:lineRule="exact"/>
              <w:rPr>
                <w:rFonts w:ascii="宋体" w:hAnsi="宋体" w:eastAsia="宋体" w:cs="Times New Roman"/>
                <w:color w:val="auto"/>
              </w:rPr>
            </w:pPr>
            <w:r>
              <w:rPr>
                <w:rFonts w:ascii="宋体" w:hAnsi="宋体" w:eastAsia="宋体" w:cs="Times New Roman"/>
                <w:color w:val="auto"/>
              </w:rPr>
              <w:t>《大庆油田有限责任公司采油十厂肇源油田212 区块产能建设工程环境影响报告书》</w:t>
            </w:r>
          </w:p>
        </w:tc>
        <w:tc>
          <w:tcPr>
            <w:tcW w:w="1480" w:type="pct"/>
            <w:vAlign w:val="center"/>
          </w:tcPr>
          <w:p w14:paraId="7B42B71E">
            <w:pPr>
              <w:spacing w:line="340" w:lineRule="exact"/>
              <w:jc w:val="center"/>
              <w:rPr>
                <w:rFonts w:ascii="宋体" w:hAnsi="宋体" w:eastAsia="宋体" w:cs="Times New Roman"/>
                <w:color w:val="auto"/>
              </w:rPr>
            </w:pPr>
            <w:r>
              <w:rPr>
                <w:rFonts w:ascii="宋体" w:hAnsi="宋体" w:eastAsia="宋体" w:cs="Times New Roman"/>
                <w:color w:val="auto"/>
              </w:rPr>
              <w:t>庆环建字【20</w:t>
            </w:r>
            <w:r>
              <w:rPr>
                <w:rFonts w:hint="eastAsia" w:ascii="宋体" w:hAnsi="宋体" w:eastAsia="宋体" w:cs="Times New Roman"/>
                <w:color w:val="auto"/>
              </w:rPr>
              <w:t>07</w:t>
            </w:r>
            <w:r>
              <w:rPr>
                <w:rFonts w:ascii="宋体" w:hAnsi="宋体" w:eastAsia="宋体" w:cs="Times New Roman"/>
                <w:color w:val="auto"/>
              </w:rPr>
              <w:t>】47 号</w:t>
            </w:r>
          </w:p>
        </w:tc>
        <w:tc>
          <w:tcPr>
            <w:tcW w:w="1207" w:type="pct"/>
            <w:vAlign w:val="center"/>
          </w:tcPr>
          <w:p w14:paraId="4977EEA3">
            <w:pPr>
              <w:jc w:val="center"/>
              <w:rPr>
                <w:rFonts w:ascii="宋体" w:hAnsi="宋体" w:eastAsia="宋体" w:cs="Times New Roman"/>
                <w:color w:val="auto"/>
              </w:rPr>
            </w:pPr>
            <w:r>
              <w:rPr>
                <w:rFonts w:ascii="宋体" w:hAnsi="宋体" w:eastAsia="宋体" w:cs="Times New Roman"/>
                <w:color w:val="auto"/>
                <w:lang w:bidi="ar"/>
              </w:rPr>
              <w:t xml:space="preserve">庆环验 </w:t>
            </w:r>
          </w:p>
          <w:p w14:paraId="190ABD0E">
            <w:pPr>
              <w:jc w:val="center"/>
              <w:rPr>
                <w:rFonts w:ascii="宋体" w:hAnsi="宋体" w:eastAsia="宋体" w:cs="Times New Roman"/>
                <w:color w:val="auto"/>
              </w:rPr>
            </w:pPr>
            <w:r>
              <w:rPr>
                <w:rFonts w:ascii="宋体" w:hAnsi="宋体" w:eastAsia="宋体" w:cs="Times New Roman"/>
                <w:color w:val="auto"/>
              </w:rPr>
              <w:t>【20</w:t>
            </w:r>
            <w:r>
              <w:rPr>
                <w:rFonts w:hint="eastAsia" w:ascii="宋体" w:hAnsi="宋体" w:eastAsia="宋体" w:cs="Times New Roman"/>
                <w:color w:val="auto"/>
              </w:rPr>
              <w:t>11</w:t>
            </w:r>
            <w:r>
              <w:rPr>
                <w:rFonts w:ascii="宋体" w:hAnsi="宋体" w:eastAsia="宋体" w:cs="Times New Roman"/>
                <w:color w:val="auto"/>
              </w:rPr>
              <w:t>】</w:t>
            </w:r>
            <w:r>
              <w:rPr>
                <w:rFonts w:ascii="宋体" w:hAnsi="宋体" w:eastAsia="宋体" w:cs="Times New Roman"/>
                <w:color w:val="auto"/>
                <w:lang w:bidi="ar"/>
              </w:rPr>
              <w:t>101 号</w:t>
            </w:r>
          </w:p>
        </w:tc>
      </w:tr>
      <w:tr w14:paraId="7CA74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2" w:type="pct"/>
            <w:vAlign w:val="center"/>
          </w:tcPr>
          <w:p w14:paraId="404852DE">
            <w:pPr>
              <w:spacing w:line="340" w:lineRule="exact"/>
              <w:rPr>
                <w:rFonts w:ascii="宋体" w:hAnsi="宋体" w:eastAsia="宋体" w:cs="Times New Roman"/>
                <w:color w:val="auto"/>
              </w:rPr>
            </w:pPr>
            <w:r>
              <w:rPr>
                <w:rFonts w:ascii="宋体" w:hAnsi="宋体" w:eastAsia="宋体" w:cs="Times New Roman"/>
                <w:color w:val="auto"/>
              </w:rPr>
              <w:t>《肇源油田源212区块扶余油层提产试验区块钻井工程环境影响报告书》</w:t>
            </w:r>
          </w:p>
        </w:tc>
        <w:tc>
          <w:tcPr>
            <w:tcW w:w="1480" w:type="pct"/>
            <w:vAlign w:val="center"/>
          </w:tcPr>
          <w:p w14:paraId="319FDCE0">
            <w:pPr>
              <w:spacing w:line="340" w:lineRule="exact"/>
              <w:jc w:val="center"/>
              <w:rPr>
                <w:rFonts w:ascii="宋体" w:hAnsi="宋体" w:eastAsia="宋体" w:cs="Times New Roman"/>
                <w:color w:val="auto"/>
              </w:rPr>
            </w:pPr>
            <w:r>
              <w:rPr>
                <w:rFonts w:ascii="宋体" w:hAnsi="宋体" w:eastAsia="宋体" w:cs="Times New Roman"/>
                <w:color w:val="auto"/>
              </w:rPr>
              <w:t>庆环审【2022】30号</w:t>
            </w:r>
          </w:p>
        </w:tc>
        <w:tc>
          <w:tcPr>
            <w:tcW w:w="1207" w:type="pct"/>
            <w:vMerge w:val="restart"/>
            <w:vAlign w:val="center"/>
          </w:tcPr>
          <w:p w14:paraId="5CE94920">
            <w:pPr>
              <w:adjustRightInd w:val="0"/>
              <w:snapToGrid w:val="0"/>
              <w:spacing w:line="320" w:lineRule="exact"/>
              <w:jc w:val="center"/>
              <w:rPr>
                <w:rFonts w:ascii="宋体" w:hAnsi="宋体" w:eastAsia="宋体" w:cs="Times New Roman"/>
                <w:color w:val="auto"/>
              </w:rPr>
            </w:pPr>
            <w:r>
              <w:rPr>
                <w:rFonts w:hint="eastAsia" w:ascii="宋体" w:hAnsi="宋体" w:eastAsia="宋体" w:cs="Times New Roman"/>
                <w:color w:val="auto"/>
              </w:rPr>
              <w:t>2025年8月完成自主验收</w:t>
            </w:r>
          </w:p>
        </w:tc>
      </w:tr>
      <w:tr w14:paraId="3EFD5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2" w:type="pct"/>
            <w:vAlign w:val="center"/>
          </w:tcPr>
          <w:p w14:paraId="37C0DE9D">
            <w:pPr>
              <w:spacing w:line="340" w:lineRule="exact"/>
              <w:rPr>
                <w:rFonts w:ascii="宋体" w:hAnsi="宋体" w:eastAsia="宋体" w:cs="Times New Roman"/>
                <w:color w:val="auto"/>
              </w:rPr>
            </w:pPr>
            <w:r>
              <w:rPr>
                <w:rFonts w:ascii="宋体" w:hAnsi="宋体" w:eastAsia="宋体" w:cs="Times New Roman"/>
                <w:color w:val="auto"/>
              </w:rPr>
              <w:t>《肇源油田源212区块扶余油层2022年产能建设地面工程项目环境影响报告书》</w:t>
            </w:r>
          </w:p>
        </w:tc>
        <w:tc>
          <w:tcPr>
            <w:tcW w:w="1480" w:type="pct"/>
            <w:vAlign w:val="center"/>
          </w:tcPr>
          <w:p w14:paraId="7D2901A0">
            <w:pPr>
              <w:spacing w:line="340" w:lineRule="exact"/>
              <w:jc w:val="center"/>
              <w:rPr>
                <w:rFonts w:ascii="宋体" w:hAnsi="宋体" w:eastAsia="宋体" w:cs="Times New Roman"/>
                <w:color w:val="auto"/>
              </w:rPr>
            </w:pPr>
            <w:r>
              <w:rPr>
                <w:rFonts w:ascii="宋体" w:hAnsi="宋体" w:eastAsia="宋体" w:cs="Times New Roman"/>
                <w:color w:val="auto"/>
              </w:rPr>
              <w:t>庆环审【2022】197号</w:t>
            </w:r>
          </w:p>
        </w:tc>
        <w:tc>
          <w:tcPr>
            <w:tcW w:w="1207" w:type="pct"/>
            <w:vMerge w:val="continue"/>
            <w:vAlign w:val="center"/>
          </w:tcPr>
          <w:p w14:paraId="29305A1A">
            <w:pPr>
              <w:adjustRightInd w:val="0"/>
              <w:snapToGrid w:val="0"/>
              <w:spacing w:line="320" w:lineRule="exact"/>
              <w:jc w:val="center"/>
              <w:rPr>
                <w:rFonts w:ascii="宋体" w:hAnsi="宋体" w:eastAsia="宋体" w:cs="Times New Roman"/>
                <w:color w:val="auto"/>
              </w:rPr>
            </w:pPr>
          </w:p>
        </w:tc>
      </w:tr>
    </w:tbl>
    <w:p w14:paraId="191B6FC9">
      <w:pPr>
        <w:spacing w:line="440" w:lineRule="exact"/>
        <w:ind w:firstLine="420" w:firstLineChars="200"/>
        <w:rPr>
          <w:rFonts w:ascii="宋体" w:hAnsi="宋体" w:eastAsia="宋体" w:cs="Times New Roman"/>
          <w:color w:val="auto"/>
        </w:rPr>
      </w:pP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4523"/>
      </w:tblGrid>
      <w:tr w14:paraId="251E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Pr>
          <w:p w14:paraId="4C9C27BE">
            <w:pPr>
              <w:jc w:val="center"/>
              <w:rPr>
                <w:rFonts w:ascii="宋体" w:hAnsi="宋体" w:eastAsia="宋体" w:cs="Times New Roman"/>
                <w:color w:val="auto"/>
                <w:szCs w:val="22"/>
              </w:rPr>
            </w:pPr>
            <w:r>
              <w:rPr>
                <w:rFonts w:ascii="宋体" w:hAnsi="宋体" w:eastAsia="宋体" w:cs="Times New Roman"/>
                <w:color w:val="auto"/>
              </w:rPr>
              <w:drawing>
                <wp:inline distT="0" distB="0" distL="114300" distR="114300">
                  <wp:extent cx="2510790" cy="3347720"/>
                  <wp:effectExtent l="0" t="0" r="3810" b="5080"/>
                  <wp:docPr id="50523509" name="图片 50523509" descr="微信图片_2025081415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09" name="图片 50523509" descr="微信图片_20250814154623"/>
                          <pic:cNvPicPr>
                            <a:picLocks noChangeAspect="1"/>
                          </pic:cNvPicPr>
                        </pic:nvPicPr>
                        <pic:blipFill>
                          <a:blip r:embed="rId24"/>
                          <a:stretch>
                            <a:fillRect/>
                          </a:stretch>
                        </pic:blipFill>
                        <pic:spPr>
                          <a:xfrm>
                            <a:off x="0" y="0"/>
                            <a:ext cx="2510790" cy="3347720"/>
                          </a:xfrm>
                          <a:prstGeom prst="rect">
                            <a:avLst/>
                          </a:prstGeom>
                        </pic:spPr>
                      </pic:pic>
                    </a:graphicData>
                  </a:graphic>
                </wp:inline>
              </w:drawing>
            </w:r>
          </w:p>
        </w:tc>
        <w:tc>
          <w:tcPr>
            <w:tcW w:w="4523" w:type="dxa"/>
          </w:tcPr>
          <w:p w14:paraId="1DAD86EE">
            <w:pPr>
              <w:jc w:val="center"/>
              <w:rPr>
                <w:rFonts w:ascii="宋体" w:hAnsi="宋体" w:eastAsia="宋体" w:cs="Times New Roman"/>
                <w:color w:val="auto"/>
                <w:szCs w:val="22"/>
              </w:rPr>
            </w:pPr>
            <w:r>
              <w:rPr>
                <w:rFonts w:ascii="宋体" w:hAnsi="宋体" w:eastAsia="宋体" w:cs="Times New Roman"/>
                <w:color w:val="auto"/>
                <w:szCs w:val="22"/>
              </w:rPr>
              <w:drawing>
                <wp:inline distT="0" distB="0" distL="114300" distR="114300">
                  <wp:extent cx="2510790" cy="3347720"/>
                  <wp:effectExtent l="0" t="0" r="3810" b="5080"/>
                  <wp:docPr id="50523510" name="图片 50523510" descr="微信图片_20250815074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10" name="图片 50523510" descr="微信图片_202508150749341"/>
                          <pic:cNvPicPr>
                            <a:picLocks noChangeAspect="1"/>
                          </pic:cNvPicPr>
                        </pic:nvPicPr>
                        <pic:blipFill>
                          <a:blip r:embed="rId25"/>
                          <a:stretch>
                            <a:fillRect/>
                          </a:stretch>
                        </pic:blipFill>
                        <pic:spPr>
                          <a:xfrm>
                            <a:off x="0" y="0"/>
                            <a:ext cx="2510790" cy="3347720"/>
                          </a:xfrm>
                          <a:prstGeom prst="rect">
                            <a:avLst/>
                          </a:prstGeom>
                        </pic:spPr>
                      </pic:pic>
                    </a:graphicData>
                  </a:graphic>
                </wp:inline>
              </w:drawing>
            </w:r>
          </w:p>
        </w:tc>
      </w:tr>
      <w:tr w14:paraId="2CC1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Pr>
          <w:p w14:paraId="1123952B">
            <w:pPr>
              <w:jc w:val="center"/>
              <w:rPr>
                <w:rFonts w:ascii="宋体" w:hAnsi="宋体" w:eastAsia="宋体" w:cs="Times New Roman"/>
                <w:color w:val="auto"/>
              </w:rPr>
            </w:pPr>
            <w:r>
              <w:rPr>
                <w:rFonts w:ascii="宋体" w:hAnsi="宋体" w:eastAsia="宋体" w:cs="Times New Roman"/>
                <w:color w:val="auto"/>
              </w:rPr>
              <w:t>现有油井井场</w:t>
            </w:r>
            <w:r>
              <w:rPr>
                <w:rFonts w:ascii="宋体" w:hAnsi="宋体" w:eastAsia="宋体" w:cs="Times New Roman"/>
                <w:color w:val="auto"/>
                <w:kern w:val="21"/>
              </w:rPr>
              <w:t>现状</w:t>
            </w:r>
          </w:p>
        </w:tc>
        <w:tc>
          <w:tcPr>
            <w:tcW w:w="4523" w:type="dxa"/>
          </w:tcPr>
          <w:p w14:paraId="1D1E4174">
            <w:pPr>
              <w:tabs>
                <w:tab w:val="left" w:pos="1665"/>
                <w:tab w:val="center" w:pos="2157"/>
              </w:tabs>
              <w:jc w:val="center"/>
              <w:rPr>
                <w:rFonts w:ascii="宋体" w:hAnsi="宋体" w:eastAsia="宋体" w:cs="Times New Roman"/>
                <w:color w:val="auto"/>
              </w:rPr>
            </w:pPr>
            <w:r>
              <w:rPr>
                <w:rFonts w:hint="eastAsia" w:ascii="宋体" w:hAnsi="宋体" w:eastAsia="宋体" w:cs="Times New Roman"/>
                <w:color w:val="auto"/>
                <w:kern w:val="21"/>
              </w:rPr>
              <w:t>依托朝二联转油脱水站站内加热炉现状</w:t>
            </w:r>
          </w:p>
        </w:tc>
      </w:tr>
      <w:tr w14:paraId="20EB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Pr>
          <w:p w14:paraId="20F36649">
            <w:pPr>
              <w:jc w:val="center"/>
              <w:rPr>
                <w:rFonts w:ascii="宋体" w:hAnsi="宋体" w:eastAsia="宋体" w:cs="Times New Roman"/>
                <w:color w:val="auto"/>
              </w:rPr>
            </w:pPr>
            <w:r>
              <w:rPr>
                <w:rFonts w:ascii="宋体" w:hAnsi="宋体" w:eastAsia="宋体"/>
                <w:color w:val="auto"/>
              </w:rPr>
              <w:drawing>
                <wp:inline distT="0" distB="0" distL="114300" distR="114300">
                  <wp:extent cx="2640965" cy="1979930"/>
                  <wp:effectExtent l="0" t="0" r="6985" b="1270"/>
                  <wp:docPr id="50523511" name="图片 50523511" descr="微信图片_20210723104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11" name="图片 50523511" descr="微信图片_202107231041383"/>
                          <pic:cNvPicPr>
                            <a:picLocks noChangeAspect="1"/>
                          </pic:cNvPicPr>
                        </pic:nvPicPr>
                        <pic:blipFill>
                          <a:blip r:embed="rId26"/>
                          <a:stretch>
                            <a:fillRect/>
                          </a:stretch>
                        </pic:blipFill>
                        <pic:spPr>
                          <a:xfrm>
                            <a:off x="0" y="0"/>
                            <a:ext cx="2640965" cy="1979930"/>
                          </a:xfrm>
                          <a:prstGeom prst="rect">
                            <a:avLst/>
                          </a:prstGeom>
                        </pic:spPr>
                      </pic:pic>
                    </a:graphicData>
                  </a:graphic>
                </wp:inline>
              </w:drawing>
            </w:r>
          </w:p>
        </w:tc>
        <w:tc>
          <w:tcPr>
            <w:tcW w:w="4523" w:type="dxa"/>
          </w:tcPr>
          <w:p w14:paraId="34A7B585">
            <w:pPr>
              <w:tabs>
                <w:tab w:val="left" w:pos="1665"/>
                <w:tab w:val="center" w:pos="2157"/>
              </w:tabs>
              <w:jc w:val="center"/>
              <w:rPr>
                <w:rFonts w:ascii="宋体" w:hAnsi="宋体" w:eastAsia="宋体" w:cs="Times New Roman"/>
                <w:color w:val="auto"/>
                <w:kern w:val="21"/>
              </w:rPr>
            </w:pPr>
            <w:r>
              <w:rPr>
                <w:rFonts w:ascii="宋体" w:hAnsi="宋体" w:eastAsia="宋体" w:cs="Times New Roman"/>
                <w:color w:val="auto"/>
              </w:rPr>
              <w:drawing>
                <wp:inline distT="0" distB="0" distL="114300" distR="114300">
                  <wp:extent cx="2674620" cy="2006600"/>
                  <wp:effectExtent l="0" t="0" r="11430" b="12700"/>
                  <wp:docPr id="50523512" name="图片 50523512" descr="污泥站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12" name="图片 50523512" descr="污泥站大门"/>
                          <pic:cNvPicPr>
                            <a:picLocks noChangeAspect="1"/>
                          </pic:cNvPicPr>
                        </pic:nvPicPr>
                        <pic:blipFill>
                          <a:blip r:embed="rId27"/>
                          <a:stretch>
                            <a:fillRect/>
                          </a:stretch>
                        </pic:blipFill>
                        <pic:spPr>
                          <a:xfrm>
                            <a:off x="0" y="0"/>
                            <a:ext cx="2674620" cy="2006600"/>
                          </a:xfrm>
                          <a:prstGeom prst="rect">
                            <a:avLst/>
                          </a:prstGeom>
                        </pic:spPr>
                      </pic:pic>
                    </a:graphicData>
                  </a:graphic>
                </wp:inline>
              </w:drawing>
            </w:r>
          </w:p>
        </w:tc>
      </w:tr>
      <w:tr w14:paraId="74C1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Pr>
          <w:p w14:paraId="031701F4">
            <w:pPr>
              <w:jc w:val="center"/>
              <w:rPr>
                <w:rFonts w:ascii="宋体" w:hAnsi="宋体" w:eastAsia="宋体" w:cs="Times New Roman"/>
                <w:color w:val="auto"/>
              </w:rPr>
            </w:pPr>
            <w:r>
              <w:rPr>
                <w:rFonts w:hint="eastAsia" w:ascii="宋体" w:hAnsi="宋体" w:eastAsia="宋体" w:cs="Times New Roman"/>
                <w:color w:val="auto"/>
              </w:rPr>
              <w:t>依托朝一联含油污水站</w:t>
            </w:r>
            <w:r>
              <w:rPr>
                <w:rFonts w:ascii="宋体" w:hAnsi="宋体" w:eastAsia="宋体" w:cs="Times New Roman"/>
                <w:color w:val="auto"/>
                <w:kern w:val="21"/>
              </w:rPr>
              <w:t>现状</w:t>
            </w:r>
          </w:p>
        </w:tc>
        <w:tc>
          <w:tcPr>
            <w:tcW w:w="4523" w:type="dxa"/>
          </w:tcPr>
          <w:p w14:paraId="24B2A71D">
            <w:pPr>
              <w:tabs>
                <w:tab w:val="left" w:pos="1665"/>
                <w:tab w:val="center" w:pos="2157"/>
              </w:tabs>
              <w:jc w:val="center"/>
              <w:rPr>
                <w:rFonts w:ascii="宋体" w:hAnsi="宋体" w:eastAsia="宋体" w:cs="Times New Roman"/>
                <w:color w:val="auto"/>
                <w:kern w:val="21"/>
              </w:rPr>
            </w:pPr>
            <w:r>
              <w:rPr>
                <w:rFonts w:hint="eastAsia" w:ascii="宋体" w:hAnsi="宋体" w:eastAsia="宋体" w:cs="Times New Roman"/>
                <w:color w:val="auto"/>
              </w:rPr>
              <w:t>依托朝一联含油污泥处理站</w:t>
            </w:r>
            <w:r>
              <w:rPr>
                <w:rFonts w:ascii="宋体" w:hAnsi="宋体" w:eastAsia="宋体" w:cs="Times New Roman"/>
                <w:color w:val="auto"/>
                <w:kern w:val="21"/>
              </w:rPr>
              <w:t>现状</w:t>
            </w:r>
          </w:p>
        </w:tc>
      </w:tr>
    </w:tbl>
    <w:p w14:paraId="486B61AF">
      <w:pPr>
        <w:pStyle w:val="22"/>
        <w:spacing w:before="156"/>
        <w:rPr>
          <w:rFonts w:hAnsi="宋体" w:cs="Times New Roman"/>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源212</w:t>
      </w:r>
      <w:r>
        <w:rPr>
          <w:color w:val="auto"/>
        </w:rPr>
        <w:t>区块内井场及依托场站建设情况</w:t>
      </w:r>
    </w:p>
    <w:p w14:paraId="5A8F59B4">
      <w:pPr>
        <w:pStyle w:val="276"/>
        <w:widowControl w:val="0"/>
        <w:spacing w:line="440" w:lineRule="exact"/>
        <w:ind w:firstLine="480"/>
        <w:jc w:val="both"/>
        <w:rPr>
          <w:color w:val="auto"/>
          <w:kern w:val="2"/>
        </w:rPr>
      </w:pPr>
      <w:r>
        <w:rPr>
          <w:color w:val="auto"/>
          <w:kern w:val="2"/>
        </w:rPr>
        <w:t>（4）现有区块排污许可执行情况</w:t>
      </w:r>
    </w:p>
    <w:p w14:paraId="48713425">
      <w:pPr>
        <w:pStyle w:val="276"/>
        <w:widowControl w:val="0"/>
        <w:spacing w:line="440" w:lineRule="exact"/>
        <w:ind w:firstLine="480"/>
        <w:jc w:val="both"/>
        <w:rPr>
          <w:color w:val="auto"/>
          <w:szCs w:val="20"/>
        </w:rPr>
      </w:pPr>
      <w:r>
        <w:rPr>
          <w:color w:val="auto"/>
          <w:szCs w:val="20"/>
        </w:rPr>
        <w:t>目前，</w:t>
      </w:r>
      <w:r>
        <w:rPr>
          <w:color w:val="auto"/>
          <w:kern w:val="21"/>
          <w:szCs w:val="20"/>
        </w:rPr>
        <w:t>大庆油田有限责任公司第十采油厂已于2024年12月24日完成排污许可登记，登记编号为</w:t>
      </w:r>
      <w:r>
        <w:rPr>
          <w:color w:val="auto"/>
        </w:rPr>
        <w:t>91230607716675409L008X</w:t>
      </w:r>
      <w:r>
        <w:rPr>
          <w:color w:val="auto"/>
          <w:szCs w:val="20"/>
        </w:rPr>
        <w:t>，本项目依托场站排放的相关污染物已完成登记。</w:t>
      </w:r>
    </w:p>
    <w:p w14:paraId="39EA3C8B">
      <w:pPr>
        <w:pStyle w:val="6"/>
        <w:rPr>
          <w:color w:val="auto"/>
        </w:rPr>
      </w:pPr>
      <w:bookmarkStart w:id="570" w:name="_Toc186444263"/>
      <w:r>
        <w:rPr>
          <w:color w:val="auto"/>
        </w:rPr>
        <w:t>现有工程污染防治设施运行和排放情况</w:t>
      </w:r>
      <w:bookmarkEnd w:id="570"/>
    </w:p>
    <w:p w14:paraId="6A2176D0">
      <w:pPr>
        <w:pStyle w:val="276"/>
        <w:widowControl w:val="0"/>
        <w:spacing w:line="440" w:lineRule="exact"/>
        <w:ind w:firstLine="480"/>
        <w:jc w:val="both"/>
        <w:rPr>
          <w:color w:val="auto"/>
          <w:kern w:val="2"/>
          <w:szCs w:val="20"/>
        </w:rPr>
      </w:pPr>
      <w:r>
        <w:rPr>
          <w:color w:val="auto"/>
          <w:kern w:val="2"/>
          <w:szCs w:val="20"/>
        </w:rPr>
        <w:t>（1）废气</w:t>
      </w:r>
    </w:p>
    <w:p w14:paraId="20D7ECFF">
      <w:pPr>
        <w:pStyle w:val="276"/>
        <w:widowControl w:val="0"/>
        <w:spacing w:line="440" w:lineRule="exact"/>
        <w:ind w:firstLine="480"/>
        <w:jc w:val="both"/>
        <w:rPr>
          <w:color w:val="auto"/>
          <w:kern w:val="2"/>
          <w:szCs w:val="20"/>
        </w:rPr>
      </w:pPr>
      <w:r>
        <w:rPr>
          <w:rFonts w:hint="eastAsia"/>
          <w:color w:val="auto"/>
          <w:kern w:val="2"/>
          <w:szCs w:val="20"/>
        </w:rPr>
        <w:t>1）</w:t>
      </w:r>
      <w:r>
        <w:rPr>
          <w:color w:val="auto"/>
          <w:kern w:val="2"/>
          <w:szCs w:val="20"/>
        </w:rPr>
        <w:t>非甲烷总烃</w:t>
      </w:r>
    </w:p>
    <w:p w14:paraId="16ABA78A">
      <w:pPr>
        <w:pStyle w:val="276"/>
        <w:widowControl w:val="0"/>
        <w:spacing w:line="440" w:lineRule="exact"/>
        <w:ind w:firstLine="480"/>
        <w:jc w:val="both"/>
        <w:rPr>
          <w:color w:val="auto"/>
          <w:kern w:val="2"/>
          <w:szCs w:val="20"/>
        </w:rPr>
      </w:pPr>
      <w:r>
        <w:rPr>
          <w:color w:val="auto"/>
          <w:szCs w:val="20"/>
        </w:rPr>
        <w:t>现有工程排放的非甲烷总烃主要为区块内井场、集输管线及场站在运行过程中无组织挥发的非甲烷总烃，根据建设单位提供资料</w:t>
      </w:r>
      <w:r>
        <w:rPr>
          <w:color w:val="auto"/>
          <w:kern w:val="2"/>
          <w:szCs w:val="20"/>
        </w:rPr>
        <w:t>，源212</w:t>
      </w:r>
      <w:r>
        <w:rPr>
          <w:color w:val="auto"/>
          <w:kern w:val="2"/>
          <w:szCs w:val="22"/>
        </w:rPr>
        <w:t>区块</w:t>
      </w:r>
      <w:r>
        <w:rPr>
          <w:color w:val="auto"/>
          <w:kern w:val="2"/>
          <w:szCs w:val="20"/>
        </w:rPr>
        <w:t>目前产油约1.22×10</w:t>
      </w:r>
      <w:r>
        <w:rPr>
          <w:color w:val="auto"/>
          <w:kern w:val="2"/>
          <w:szCs w:val="20"/>
          <w:vertAlign w:val="superscript"/>
        </w:rPr>
        <w:t>4</w:t>
      </w:r>
      <w:r>
        <w:rPr>
          <w:color w:val="auto"/>
          <w:kern w:val="2"/>
          <w:szCs w:val="20"/>
        </w:rPr>
        <w:t>t/a。根据</w:t>
      </w:r>
      <w:r>
        <w:rPr>
          <w:snapToGrid w:val="0"/>
          <w:color w:val="auto"/>
        </w:rPr>
        <w:t>《大气挥发性有机物源排放清单编制技术指南（试行）》</w:t>
      </w:r>
      <w:r>
        <w:rPr>
          <w:color w:val="auto"/>
          <w:kern w:val="2"/>
          <w:szCs w:val="20"/>
        </w:rPr>
        <w:t>中石油化工业天然原油和天然气开采，石油开采挥发性有机物产生系数1.4175g/kg原油，则现有区块非甲烷总烃挥发量为17.29t/a。</w:t>
      </w:r>
    </w:p>
    <w:p w14:paraId="524715C0">
      <w:pPr>
        <w:pStyle w:val="276"/>
        <w:widowControl w:val="0"/>
        <w:spacing w:line="440" w:lineRule="exact"/>
        <w:ind w:firstLine="480"/>
        <w:jc w:val="both"/>
        <w:rPr>
          <w:color w:val="auto"/>
          <w:szCs w:val="20"/>
        </w:rPr>
      </w:pPr>
      <w:r>
        <w:rPr>
          <w:color w:val="auto"/>
          <w:szCs w:val="20"/>
        </w:rPr>
        <w:t>现有工程在油气集输过程采取了全密闭工艺流程，油井井口均安装了密封垫、管线均埋地敷设、依托场站内各关键接口法兰均进行了密闭处理，有效的控制了无组织气体的挥发，根据</w:t>
      </w:r>
      <w:r>
        <w:rPr>
          <w:rFonts w:hint="eastAsia"/>
          <w:snapToGrid w:val="0"/>
          <w:color w:val="auto"/>
        </w:rPr>
        <w:t>《</w:t>
      </w:r>
      <w:r>
        <w:rPr>
          <w:snapToGrid w:val="0"/>
          <w:color w:val="auto"/>
        </w:rPr>
        <w:t>肇源油田源212区块扶余油层2022年产能建设工程</w:t>
      </w:r>
      <w:r>
        <w:rPr>
          <w:rFonts w:hint="eastAsia"/>
          <w:snapToGrid w:val="0"/>
          <w:color w:val="auto"/>
        </w:rPr>
        <w:t>竣工环境保护验收调查报告</w:t>
      </w:r>
      <w:r>
        <w:rPr>
          <w:snapToGrid w:val="0"/>
          <w:color w:val="auto"/>
        </w:rPr>
        <w:t>》</w:t>
      </w:r>
      <w:r>
        <w:rPr>
          <w:rFonts w:hint="eastAsia"/>
          <w:color w:val="auto"/>
          <w:szCs w:val="20"/>
        </w:rPr>
        <w:t>中对区域内已建井场的监测结果（见附件8，检测时间为</w:t>
      </w:r>
      <w:r>
        <w:rPr>
          <w:color w:val="auto"/>
          <w:szCs w:val="20"/>
        </w:rPr>
        <w:t>2025年4月</w:t>
      </w:r>
      <w:r>
        <w:rPr>
          <w:rFonts w:hint="eastAsia"/>
          <w:color w:val="auto"/>
          <w:szCs w:val="20"/>
        </w:rPr>
        <w:t>），</w:t>
      </w:r>
      <w:r>
        <w:rPr>
          <w:color w:val="auto"/>
          <w:szCs w:val="20"/>
        </w:rPr>
        <w:t>现有区块内井场排放的非甲烷总烃边界能够满足《陆上石油天然气开采工业大气污染物排放标准》（GB39728-2020）5.9中规定要求。根据对区块周边依托场站的监测结果可知，依托场站排放的非甲烷总烃厂界能够满足《陆上石油天然气开采工业大气污染物排放标准》（GB39728-2020）5.9中规定要求，场站内非甲烷总烃能够满足《挥发性有机物无组织排放控制标准》（GB 37822-2019）附录A 中VOCs 无组织排放限值要求。</w:t>
      </w:r>
    </w:p>
    <w:p w14:paraId="0C1A3E92">
      <w:pPr>
        <w:pStyle w:val="276"/>
        <w:widowControl w:val="0"/>
        <w:spacing w:line="440" w:lineRule="exact"/>
        <w:ind w:firstLine="480"/>
        <w:jc w:val="both"/>
        <w:rPr>
          <w:color w:val="auto"/>
          <w:kern w:val="2"/>
          <w:szCs w:val="20"/>
        </w:rPr>
      </w:pPr>
      <w:r>
        <w:rPr>
          <w:rFonts w:hint="eastAsia"/>
          <w:color w:val="auto"/>
          <w:kern w:val="2"/>
          <w:szCs w:val="20"/>
        </w:rPr>
        <w:t>2）</w:t>
      </w:r>
      <w:r>
        <w:rPr>
          <w:color w:val="auto"/>
          <w:kern w:val="2"/>
          <w:szCs w:val="20"/>
        </w:rPr>
        <w:t>加热炉烟气</w:t>
      </w:r>
    </w:p>
    <w:p w14:paraId="65DF1604">
      <w:pPr>
        <w:pStyle w:val="276"/>
        <w:widowControl w:val="0"/>
        <w:spacing w:line="440" w:lineRule="exact"/>
        <w:ind w:firstLine="480"/>
        <w:jc w:val="both"/>
        <w:rPr>
          <w:color w:val="auto"/>
          <w:kern w:val="2"/>
          <w:szCs w:val="20"/>
        </w:rPr>
      </w:pPr>
      <w:r>
        <w:rPr>
          <w:color w:val="auto"/>
          <w:kern w:val="2"/>
          <w:szCs w:val="20"/>
        </w:rPr>
        <w:t>区块内</w:t>
      </w:r>
      <w:r>
        <w:rPr>
          <w:rFonts w:hint="eastAsia"/>
          <w:color w:val="auto"/>
          <w:kern w:val="2"/>
          <w:szCs w:val="20"/>
        </w:rPr>
        <w:t>多功能储油罐采用电加热，</w:t>
      </w:r>
      <w:r>
        <w:rPr>
          <w:color w:val="auto"/>
          <w:kern w:val="2"/>
          <w:szCs w:val="20"/>
        </w:rPr>
        <w:t>油井采出液依托周边已建的朝二联转油脱水站处理，朝二联转油脱水站内加热炉运行会产生</w:t>
      </w:r>
      <w:r>
        <w:rPr>
          <w:snapToGrid w:val="0"/>
          <w:color w:val="auto"/>
        </w:rPr>
        <w:t>加热炉</w:t>
      </w:r>
      <w:r>
        <w:rPr>
          <w:color w:val="auto"/>
          <w:szCs w:val="20"/>
        </w:rPr>
        <w:t>烟气</w:t>
      </w:r>
      <w:r>
        <w:rPr>
          <w:color w:val="auto"/>
          <w:kern w:val="2"/>
          <w:szCs w:val="20"/>
        </w:rPr>
        <w:t>。朝二联转油脱水站加热炉使用清洁燃料天然气，并采用低氮燃烧器。本次</w:t>
      </w:r>
      <w:r>
        <w:rPr>
          <w:color w:val="auto"/>
        </w:rPr>
        <w:t>对依托场站加热炉进行了监测</w:t>
      </w:r>
      <w:r>
        <w:rPr>
          <w:rFonts w:hint="eastAsia"/>
          <w:color w:val="auto"/>
        </w:rPr>
        <w:t>（见附件7）</w:t>
      </w:r>
      <w:r>
        <w:rPr>
          <w:color w:val="auto"/>
        </w:rPr>
        <w:t>，排放浓度统计结果见</w:t>
      </w:r>
      <w:r>
        <w:rPr>
          <w:color w:val="auto"/>
        </w:rPr>
        <w:fldChar w:fldCharType="begin"/>
      </w:r>
      <w:r>
        <w:rPr>
          <w:color w:val="auto"/>
        </w:rPr>
        <w:instrText xml:space="preserve"> REF _Ref211958631 \h  \* MERGEFORMAT </w:instrText>
      </w:r>
      <w:r>
        <w:rPr>
          <w:color w:val="auto"/>
        </w:rPr>
        <w:fldChar w:fldCharType="separate"/>
      </w:r>
      <w:r>
        <w:rPr>
          <w:rFonts w:hint="eastAsia"/>
          <w:color w:val="auto"/>
        </w:rPr>
        <w:t xml:space="preserve">表 </w:t>
      </w:r>
      <w:r>
        <w:rPr>
          <w:color w:val="auto"/>
        </w:rPr>
        <w:t>3.1</w:t>
      </w:r>
      <w:r>
        <w:rPr>
          <w:color w:val="auto"/>
        </w:rPr>
        <w:noBreakHyphen/>
      </w:r>
      <w:r>
        <w:rPr>
          <w:color w:val="auto"/>
        </w:rPr>
        <w:t>3</w:t>
      </w:r>
      <w:r>
        <w:rPr>
          <w:color w:val="auto"/>
        </w:rPr>
        <w:fldChar w:fldCharType="end"/>
      </w:r>
      <w:r>
        <w:rPr>
          <w:color w:val="auto"/>
          <w:kern w:val="2"/>
          <w:szCs w:val="20"/>
        </w:rPr>
        <w:t>。</w:t>
      </w:r>
    </w:p>
    <w:p w14:paraId="3A5C9363">
      <w:pPr>
        <w:pStyle w:val="22"/>
        <w:spacing w:before="156"/>
        <w:rPr>
          <w:rFonts w:hAnsi="宋体" w:cs="Times New Roman"/>
          <w:color w:val="auto"/>
        </w:rPr>
      </w:pPr>
      <w:bookmarkStart w:id="571" w:name="_Ref211958631"/>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bookmarkEnd w:id="571"/>
      <w:r>
        <w:rPr>
          <w:color w:val="auto"/>
        </w:rPr>
        <w:t>现有区块内依托场站加热炉污染物排放浓度统计表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94"/>
        <w:gridCol w:w="1293"/>
        <w:gridCol w:w="1460"/>
        <w:gridCol w:w="1146"/>
        <w:gridCol w:w="1213"/>
        <w:gridCol w:w="1091"/>
        <w:gridCol w:w="1089"/>
      </w:tblGrid>
      <w:tr w14:paraId="01DED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1073" w:type="pct"/>
            <w:vMerge w:val="restart"/>
            <w:vAlign w:val="center"/>
          </w:tcPr>
          <w:p w14:paraId="0C8F0114">
            <w:pPr>
              <w:spacing w:line="320" w:lineRule="exact"/>
              <w:jc w:val="center"/>
              <w:rPr>
                <w:rFonts w:ascii="宋体" w:hAnsi="宋体" w:eastAsia="宋体" w:cs="Times New Roman"/>
                <w:color w:val="auto"/>
              </w:rPr>
            </w:pPr>
            <w:r>
              <w:rPr>
                <w:rFonts w:ascii="宋体" w:hAnsi="宋体" w:eastAsia="宋体" w:cs="Times New Roman"/>
                <w:color w:val="auto"/>
              </w:rPr>
              <w:t>场站名称</w:t>
            </w:r>
          </w:p>
        </w:tc>
        <w:tc>
          <w:tcPr>
            <w:tcW w:w="1482" w:type="pct"/>
            <w:gridSpan w:val="2"/>
            <w:vAlign w:val="center"/>
          </w:tcPr>
          <w:p w14:paraId="65291403">
            <w:pPr>
              <w:spacing w:line="320" w:lineRule="exact"/>
              <w:jc w:val="center"/>
              <w:rPr>
                <w:rFonts w:ascii="宋体" w:hAnsi="宋体" w:eastAsia="宋体" w:cs="Times New Roman"/>
                <w:color w:val="auto"/>
              </w:rPr>
            </w:pPr>
            <w:r>
              <w:rPr>
                <w:rFonts w:ascii="宋体" w:hAnsi="宋体" w:eastAsia="宋体" w:cs="Times New Roman"/>
                <w:color w:val="auto"/>
              </w:rPr>
              <w:t>颗粒物排放浓度（mg/m</w:t>
            </w:r>
            <w:r>
              <w:rPr>
                <w:rFonts w:ascii="宋体" w:hAnsi="宋体" w:eastAsia="宋体" w:cs="Times New Roman"/>
                <w:color w:val="auto"/>
                <w:vertAlign w:val="superscript"/>
              </w:rPr>
              <w:t>3</w:t>
            </w:r>
            <w:r>
              <w:rPr>
                <w:rFonts w:ascii="宋体" w:hAnsi="宋体" w:eastAsia="宋体" w:cs="Times New Roman"/>
                <w:color w:val="auto"/>
              </w:rPr>
              <w:t>）</w:t>
            </w:r>
          </w:p>
        </w:tc>
        <w:tc>
          <w:tcPr>
            <w:tcW w:w="1270" w:type="pct"/>
            <w:gridSpan w:val="2"/>
            <w:vAlign w:val="center"/>
          </w:tcPr>
          <w:p w14:paraId="73F19652">
            <w:pPr>
              <w:spacing w:line="320" w:lineRule="exact"/>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X</w:t>
            </w:r>
            <w:r>
              <w:rPr>
                <w:rFonts w:ascii="宋体" w:hAnsi="宋体" w:eastAsia="宋体" w:cs="Times New Roman"/>
                <w:color w:val="auto"/>
              </w:rPr>
              <w:t>排放浓度（mg/m</w:t>
            </w:r>
            <w:r>
              <w:rPr>
                <w:rFonts w:ascii="宋体" w:hAnsi="宋体" w:eastAsia="宋体" w:cs="Times New Roman"/>
                <w:color w:val="auto"/>
                <w:vertAlign w:val="superscript"/>
              </w:rPr>
              <w:t>3</w:t>
            </w:r>
            <w:r>
              <w:rPr>
                <w:rFonts w:ascii="宋体" w:hAnsi="宋体" w:eastAsia="宋体" w:cs="Times New Roman"/>
                <w:color w:val="auto"/>
              </w:rPr>
              <w:t>）</w:t>
            </w:r>
          </w:p>
        </w:tc>
        <w:tc>
          <w:tcPr>
            <w:tcW w:w="1173" w:type="pct"/>
            <w:gridSpan w:val="2"/>
          </w:tcPr>
          <w:p w14:paraId="1620C2D3">
            <w:pPr>
              <w:spacing w:line="32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r>
              <w:rPr>
                <w:rFonts w:ascii="宋体" w:hAnsi="宋体" w:eastAsia="宋体" w:cs="Times New Roman"/>
                <w:color w:val="auto"/>
              </w:rPr>
              <w:t>排放浓度（mg/m</w:t>
            </w:r>
            <w:r>
              <w:rPr>
                <w:rFonts w:ascii="宋体" w:hAnsi="宋体" w:eastAsia="宋体" w:cs="Times New Roman"/>
                <w:color w:val="auto"/>
                <w:vertAlign w:val="superscript"/>
              </w:rPr>
              <w:t>3</w:t>
            </w:r>
            <w:r>
              <w:rPr>
                <w:rFonts w:ascii="宋体" w:hAnsi="宋体" w:eastAsia="宋体" w:cs="Times New Roman"/>
                <w:color w:val="auto"/>
              </w:rPr>
              <w:t>）</w:t>
            </w:r>
          </w:p>
        </w:tc>
      </w:tr>
      <w:tr w14:paraId="76FF5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1073" w:type="pct"/>
            <w:vMerge w:val="continue"/>
            <w:vAlign w:val="center"/>
          </w:tcPr>
          <w:p w14:paraId="5CC54E96">
            <w:pPr>
              <w:spacing w:line="320" w:lineRule="exact"/>
              <w:jc w:val="center"/>
              <w:rPr>
                <w:rFonts w:ascii="宋体" w:hAnsi="宋体" w:eastAsia="宋体" w:cs="Times New Roman"/>
                <w:color w:val="auto"/>
              </w:rPr>
            </w:pPr>
          </w:p>
        </w:tc>
        <w:tc>
          <w:tcPr>
            <w:tcW w:w="696" w:type="pct"/>
            <w:vAlign w:val="center"/>
          </w:tcPr>
          <w:p w14:paraId="1864C95B">
            <w:pPr>
              <w:spacing w:line="320" w:lineRule="exact"/>
              <w:jc w:val="center"/>
              <w:rPr>
                <w:rFonts w:ascii="宋体" w:hAnsi="宋体" w:eastAsia="宋体" w:cs="Times New Roman"/>
                <w:color w:val="auto"/>
              </w:rPr>
            </w:pPr>
            <w:r>
              <w:rPr>
                <w:rFonts w:ascii="宋体" w:hAnsi="宋体" w:eastAsia="宋体" w:cs="Times New Roman"/>
                <w:color w:val="auto"/>
              </w:rPr>
              <w:t>最大</w:t>
            </w:r>
          </w:p>
        </w:tc>
        <w:tc>
          <w:tcPr>
            <w:tcW w:w="786" w:type="pct"/>
            <w:vAlign w:val="center"/>
          </w:tcPr>
          <w:p w14:paraId="6D8D7203">
            <w:pPr>
              <w:spacing w:line="320" w:lineRule="exact"/>
              <w:jc w:val="center"/>
              <w:rPr>
                <w:rFonts w:ascii="宋体" w:hAnsi="宋体" w:eastAsia="宋体" w:cs="Times New Roman"/>
                <w:color w:val="auto"/>
              </w:rPr>
            </w:pPr>
            <w:r>
              <w:rPr>
                <w:rFonts w:ascii="宋体" w:hAnsi="宋体" w:eastAsia="宋体" w:cs="Times New Roman"/>
                <w:color w:val="auto"/>
              </w:rPr>
              <w:t>平均</w:t>
            </w:r>
          </w:p>
        </w:tc>
        <w:tc>
          <w:tcPr>
            <w:tcW w:w="617" w:type="pct"/>
            <w:vAlign w:val="center"/>
          </w:tcPr>
          <w:p w14:paraId="665BC1A4">
            <w:pPr>
              <w:spacing w:line="320" w:lineRule="exact"/>
              <w:jc w:val="center"/>
              <w:rPr>
                <w:rFonts w:ascii="宋体" w:hAnsi="宋体" w:eastAsia="宋体" w:cs="Times New Roman"/>
                <w:color w:val="auto"/>
              </w:rPr>
            </w:pPr>
            <w:r>
              <w:rPr>
                <w:rFonts w:ascii="宋体" w:hAnsi="宋体" w:eastAsia="宋体" w:cs="Times New Roman"/>
                <w:color w:val="auto"/>
              </w:rPr>
              <w:t>最大</w:t>
            </w:r>
          </w:p>
        </w:tc>
        <w:tc>
          <w:tcPr>
            <w:tcW w:w="653" w:type="pct"/>
            <w:vAlign w:val="center"/>
          </w:tcPr>
          <w:p w14:paraId="6920A7C9">
            <w:pPr>
              <w:spacing w:line="320" w:lineRule="exact"/>
              <w:jc w:val="center"/>
              <w:rPr>
                <w:rFonts w:ascii="宋体" w:hAnsi="宋体" w:eastAsia="宋体" w:cs="Times New Roman"/>
                <w:color w:val="auto"/>
              </w:rPr>
            </w:pPr>
            <w:r>
              <w:rPr>
                <w:rFonts w:ascii="宋体" w:hAnsi="宋体" w:eastAsia="宋体" w:cs="Times New Roman"/>
                <w:color w:val="auto"/>
              </w:rPr>
              <w:t>平均</w:t>
            </w:r>
          </w:p>
        </w:tc>
        <w:tc>
          <w:tcPr>
            <w:tcW w:w="587" w:type="pct"/>
            <w:vAlign w:val="center"/>
          </w:tcPr>
          <w:p w14:paraId="24D1C9D9">
            <w:pPr>
              <w:spacing w:line="320" w:lineRule="exact"/>
              <w:jc w:val="center"/>
              <w:rPr>
                <w:rFonts w:ascii="宋体" w:hAnsi="宋体" w:eastAsia="宋体" w:cs="Times New Roman"/>
                <w:color w:val="auto"/>
              </w:rPr>
            </w:pPr>
            <w:r>
              <w:rPr>
                <w:rFonts w:ascii="宋体" w:hAnsi="宋体" w:eastAsia="宋体" w:cs="Times New Roman"/>
                <w:color w:val="auto"/>
              </w:rPr>
              <w:t>最大</w:t>
            </w:r>
          </w:p>
        </w:tc>
        <w:tc>
          <w:tcPr>
            <w:tcW w:w="586" w:type="pct"/>
            <w:vAlign w:val="center"/>
          </w:tcPr>
          <w:p w14:paraId="1F395F07">
            <w:pPr>
              <w:spacing w:line="320" w:lineRule="exact"/>
              <w:jc w:val="center"/>
              <w:rPr>
                <w:rFonts w:ascii="宋体" w:hAnsi="宋体" w:eastAsia="宋体" w:cs="Times New Roman"/>
                <w:color w:val="auto"/>
              </w:rPr>
            </w:pPr>
            <w:r>
              <w:rPr>
                <w:rFonts w:ascii="宋体" w:hAnsi="宋体" w:eastAsia="宋体" w:cs="Times New Roman"/>
                <w:color w:val="auto"/>
              </w:rPr>
              <w:t>平均</w:t>
            </w:r>
          </w:p>
        </w:tc>
      </w:tr>
      <w:tr w14:paraId="218F5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pct"/>
            <w:vAlign w:val="center"/>
          </w:tcPr>
          <w:p w14:paraId="3CC025B3">
            <w:pPr>
              <w:spacing w:line="320" w:lineRule="exact"/>
              <w:jc w:val="center"/>
              <w:rPr>
                <w:rFonts w:ascii="宋体" w:hAnsi="宋体" w:eastAsia="宋体" w:cs="Times New Roman"/>
                <w:color w:val="auto"/>
              </w:rPr>
            </w:pPr>
            <w:r>
              <w:rPr>
                <w:rFonts w:ascii="宋体" w:hAnsi="宋体" w:eastAsia="宋体" w:cs="Times New Roman"/>
                <w:color w:val="auto"/>
              </w:rPr>
              <w:t>朝二联转油脱水站</w:t>
            </w:r>
          </w:p>
        </w:tc>
        <w:tc>
          <w:tcPr>
            <w:tcW w:w="696" w:type="pct"/>
            <w:vAlign w:val="center"/>
          </w:tcPr>
          <w:p w14:paraId="32732177">
            <w:pPr>
              <w:spacing w:line="320" w:lineRule="exact"/>
              <w:jc w:val="center"/>
              <w:rPr>
                <w:rFonts w:ascii="宋体" w:hAnsi="宋体" w:eastAsia="宋体" w:cs="Times New Roman"/>
                <w:color w:val="auto"/>
              </w:rPr>
            </w:pPr>
            <w:r>
              <w:rPr>
                <w:rFonts w:ascii="宋体" w:hAnsi="宋体" w:eastAsia="宋体" w:cs="Times New Roman"/>
                <w:color w:val="auto"/>
              </w:rPr>
              <w:t>9.4</w:t>
            </w:r>
          </w:p>
        </w:tc>
        <w:tc>
          <w:tcPr>
            <w:tcW w:w="786" w:type="pct"/>
            <w:vAlign w:val="center"/>
          </w:tcPr>
          <w:p w14:paraId="05D7991E">
            <w:pPr>
              <w:spacing w:line="320" w:lineRule="exact"/>
              <w:jc w:val="center"/>
              <w:rPr>
                <w:rFonts w:ascii="宋体" w:hAnsi="宋体" w:eastAsia="宋体" w:cs="Times New Roman"/>
                <w:color w:val="auto"/>
              </w:rPr>
            </w:pPr>
            <w:r>
              <w:rPr>
                <w:rFonts w:ascii="宋体" w:hAnsi="宋体" w:eastAsia="宋体" w:cs="Times New Roman"/>
                <w:color w:val="auto"/>
              </w:rPr>
              <w:t>8.68</w:t>
            </w:r>
          </w:p>
        </w:tc>
        <w:tc>
          <w:tcPr>
            <w:tcW w:w="617" w:type="pct"/>
            <w:vAlign w:val="center"/>
          </w:tcPr>
          <w:p w14:paraId="3B19C0EE">
            <w:pPr>
              <w:spacing w:line="320" w:lineRule="exact"/>
              <w:jc w:val="center"/>
              <w:rPr>
                <w:rFonts w:ascii="宋体" w:hAnsi="宋体" w:eastAsia="宋体" w:cs="Times New Roman"/>
                <w:color w:val="auto"/>
              </w:rPr>
            </w:pPr>
            <w:r>
              <w:rPr>
                <w:rFonts w:ascii="宋体" w:hAnsi="宋体" w:eastAsia="宋体" w:cs="Times New Roman"/>
                <w:color w:val="auto"/>
              </w:rPr>
              <w:t>78</w:t>
            </w:r>
          </w:p>
        </w:tc>
        <w:tc>
          <w:tcPr>
            <w:tcW w:w="653" w:type="pct"/>
          </w:tcPr>
          <w:p w14:paraId="660B4AAB">
            <w:pPr>
              <w:spacing w:line="320" w:lineRule="exact"/>
              <w:jc w:val="center"/>
              <w:rPr>
                <w:rFonts w:ascii="宋体" w:hAnsi="宋体" w:eastAsia="宋体" w:cs="Times New Roman"/>
                <w:color w:val="auto"/>
              </w:rPr>
            </w:pPr>
            <w:r>
              <w:rPr>
                <w:rFonts w:ascii="宋体" w:hAnsi="宋体" w:eastAsia="宋体" w:cs="Times New Roman"/>
                <w:color w:val="auto"/>
              </w:rPr>
              <w:t>73</w:t>
            </w:r>
          </w:p>
        </w:tc>
        <w:tc>
          <w:tcPr>
            <w:tcW w:w="587" w:type="pct"/>
          </w:tcPr>
          <w:p w14:paraId="5A3C64A7">
            <w:pPr>
              <w:spacing w:line="320" w:lineRule="exact"/>
              <w:jc w:val="center"/>
              <w:rPr>
                <w:rFonts w:ascii="宋体" w:hAnsi="宋体" w:eastAsia="宋体" w:cs="Times New Roman"/>
                <w:color w:val="auto"/>
              </w:rPr>
            </w:pPr>
            <w:r>
              <w:rPr>
                <w:rFonts w:ascii="宋体" w:hAnsi="宋体" w:eastAsia="宋体" w:cs="Times New Roman"/>
                <w:color w:val="auto"/>
              </w:rPr>
              <w:t>9</w:t>
            </w:r>
          </w:p>
        </w:tc>
        <w:tc>
          <w:tcPr>
            <w:tcW w:w="586" w:type="pct"/>
          </w:tcPr>
          <w:p w14:paraId="59EE2F09">
            <w:pPr>
              <w:spacing w:line="320" w:lineRule="exact"/>
              <w:jc w:val="center"/>
              <w:rPr>
                <w:rFonts w:ascii="宋体" w:hAnsi="宋体" w:eastAsia="宋体" w:cs="Times New Roman"/>
                <w:color w:val="auto"/>
              </w:rPr>
            </w:pPr>
            <w:r>
              <w:rPr>
                <w:rFonts w:ascii="宋体" w:hAnsi="宋体" w:eastAsia="宋体" w:cs="Times New Roman"/>
                <w:color w:val="auto"/>
              </w:rPr>
              <w:t>6.83</w:t>
            </w:r>
          </w:p>
        </w:tc>
      </w:tr>
    </w:tbl>
    <w:p w14:paraId="13898EEE">
      <w:pPr>
        <w:pStyle w:val="276"/>
        <w:widowControl w:val="0"/>
        <w:spacing w:line="440" w:lineRule="exact"/>
        <w:ind w:firstLine="480"/>
        <w:jc w:val="both"/>
        <w:rPr>
          <w:color w:val="auto"/>
          <w:kern w:val="2"/>
          <w:szCs w:val="20"/>
        </w:rPr>
      </w:pPr>
      <w:r>
        <w:rPr>
          <w:color w:val="auto"/>
          <w:kern w:val="2"/>
          <w:szCs w:val="20"/>
        </w:rPr>
        <w:t>由以上统计可知，</w:t>
      </w:r>
      <w:r>
        <w:rPr>
          <w:rFonts w:hint="eastAsia"/>
          <w:color w:val="auto"/>
          <w:kern w:val="2"/>
          <w:szCs w:val="20"/>
        </w:rPr>
        <w:t>依托的朝二联转油脱水站内加热炉废气的排放能够达到《锅炉大气污染物排放标准》（GB13271-2014）表2中新建燃气锅炉标准限值。</w:t>
      </w:r>
    </w:p>
    <w:p w14:paraId="1F3CF357">
      <w:pPr>
        <w:pStyle w:val="276"/>
        <w:widowControl w:val="0"/>
        <w:spacing w:line="440" w:lineRule="exact"/>
        <w:ind w:firstLine="480"/>
        <w:jc w:val="both"/>
        <w:rPr>
          <w:color w:val="auto"/>
          <w:kern w:val="2"/>
          <w:szCs w:val="20"/>
        </w:rPr>
      </w:pPr>
      <w:r>
        <w:rPr>
          <w:rFonts w:hint="eastAsia"/>
          <w:color w:val="auto"/>
          <w:kern w:val="2"/>
          <w:szCs w:val="20"/>
        </w:rPr>
        <w:t>根据统计数据，</w:t>
      </w:r>
      <w:r>
        <w:rPr>
          <w:color w:val="auto"/>
          <w:kern w:val="2"/>
          <w:szCs w:val="20"/>
        </w:rPr>
        <w:t>朝二联转油脱水站</w:t>
      </w:r>
      <w:r>
        <w:rPr>
          <w:rFonts w:hint="eastAsia"/>
          <w:color w:val="auto"/>
          <w:kern w:val="2"/>
          <w:szCs w:val="20"/>
        </w:rPr>
        <w:t>共消耗天然气</w:t>
      </w:r>
      <w:r>
        <w:rPr>
          <w:color w:val="auto"/>
          <w:kern w:val="2"/>
          <w:szCs w:val="20"/>
        </w:rPr>
        <w:t>99.36×10</w:t>
      </w:r>
      <w:r>
        <w:rPr>
          <w:color w:val="auto"/>
          <w:kern w:val="2"/>
          <w:szCs w:val="20"/>
          <w:vertAlign w:val="superscript"/>
        </w:rPr>
        <w:t>4</w:t>
      </w:r>
      <w:r>
        <w:rPr>
          <w:color w:val="auto"/>
          <w:kern w:val="2"/>
          <w:szCs w:val="20"/>
        </w:rPr>
        <w:t>m</w:t>
      </w:r>
      <w:r>
        <w:rPr>
          <w:color w:val="auto"/>
          <w:kern w:val="2"/>
          <w:szCs w:val="20"/>
          <w:vertAlign w:val="superscript"/>
        </w:rPr>
        <w:t>3</w:t>
      </w:r>
      <w:r>
        <w:rPr>
          <w:color w:val="auto"/>
          <w:kern w:val="2"/>
          <w:szCs w:val="20"/>
        </w:rPr>
        <w:t>/a。依据《关于发布〈排放源统计调查产排污核算方法和系数手册〉的公告》（公告2021年第24号），《工业源产排污核算方法和系数手册》中“4430工业锅炉（热力生产和供应行业）产污系数表—燃气工业锅炉”，本次评价废气量按照燃烧1Nm3 天然气约产生10.7753Nm3 的烟气计算，则现有工程加热炉废气产生量为1070.59×10</w:t>
      </w:r>
      <w:r>
        <w:rPr>
          <w:color w:val="auto"/>
          <w:kern w:val="2"/>
          <w:szCs w:val="20"/>
          <w:vertAlign w:val="superscript"/>
        </w:rPr>
        <w:t>4</w:t>
      </w:r>
      <w:r>
        <w:rPr>
          <w:color w:val="auto"/>
          <w:kern w:val="2"/>
          <w:szCs w:val="20"/>
        </w:rPr>
        <w:t>m</w:t>
      </w:r>
      <w:r>
        <w:rPr>
          <w:color w:val="auto"/>
          <w:kern w:val="2"/>
          <w:szCs w:val="20"/>
          <w:vertAlign w:val="superscript"/>
        </w:rPr>
        <w:t>3</w:t>
      </w:r>
      <w:r>
        <w:rPr>
          <w:color w:val="auto"/>
          <w:kern w:val="2"/>
          <w:szCs w:val="20"/>
        </w:rPr>
        <w:t>/a。加热炉烟气污染物浓度取加热炉燃烧废气污染物浓度监测的最大值计算，</w:t>
      </w:r>
      <w:r>
        <w:rPr>
          <w:rFonts w:hint="eastAsia"/>
          <w:color w:val="auto"/>
          <w:kern w:val="2"/>
          <w:szCs w:val="20"/>
        </w:rPr>
        <w:t>现有</w:t>
      </w:r>
      <w:r>
        <w:rPr>
          <w:color w:val="auto"/>
          <w:kern w:val="2"/>
          <w:szCs w:val="20"/>
        </w:rPr>
        <w:t>加热炉污染物排放量统计结果见</w:t>
      </w:r>
      <w:r>
        <w:rPr>
          <w:color w:val="auto"/>
          <w:kern w:val="2"/>
          <w:szCs w:val="20"/>
        </w:rPr>
        <w:fldChar w:fldCharType="begin"/>
      </w:r>
      <w:r>
        <w:rPr>
          <w:color w:val="auto"/>
          <w:kern w:val="2"/>
          <w:szCs w:val="20"/>
        </w:rPr>
        <w:instrText xml:space="preserve"> REF _Ref211958640 \h  \* MERGEFORMAT </w:instrText>
      </w:r>
      <w:r>
        <w:rPr>
          <w:color w:val="auto"/>
          <w:kern w:val="2"/>
          <w:szCs w:val="20"/>
        </w:rPr>
        <w:fldChar w:fldCharType="separate"/>
      </w:r>
      <w:r>
        <w:rPr>
          <w:rFonts w:hint="eastAsia"/>
          <w:color w:val="auto"/>
        </w:rPr>
        <w:t xml:space="preserve">表 </w:t>
      </w:r>
      <w:r>
        <w:rPr>
          <w:color w:val="auto"/>
        </w:rPr>
        <w:t>3.1</w:t>
      </w:r>
      <w:r>
        <w:rPr>
          <w:color w:val="auto"/>
        </w:rPr>
        <w:noBreakHyphen/>
      </w:r>
      <w:r>
        <w:rPr>
          <w:color w:val="auto"/>
        </w:rPr>
        <w:t>4</w:t>
      </w:r>
      <w:r>
        <w:rPr>
          <w:color w:val="auto"/>
          <w:kern w:val="2"/>
          <w:szCs w:val="20"/>
        </w:rPr>
        <w:fldChar w:fldCharType="end"/>
      </w:r>
      <w:r>
        <w:rPr>
          <w:color w:val="auto"/>
          <w:kern w:val="2"/>
          <w:szCs w:val="20"/>
        </w:rPr>
        <w:t>。</w:t>
      </w:r>
    </w:p>
    <w:p w14:paraId="005010E6">
      <w:pPr>
        <w:pStyle w:val="22"/>
        <w:spacing w:before="156"/>
        <w:rPr>
          <w:rFonts w:hAnsi="宋体" w:cs="Times New Roman"/>
          <w:color w:val="auto"/>
        </w:rPr>
      </w:pPr>
      <w:bookmarkStart w:id="572" w:name="_Ref211958640"/>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bookmarkEnd w:id="572"/>
      <w:r>
        <w:rPr>
          <w:color w:val="auto"/>
        </w:rPr>
        <w:t>现有区块依托场站加热炉污染物排放量统计表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59"/>
        <w:gridCol w:w="984"/>
        <w:gridCol w:w="1599"/>
        <w:gridCol w:w="1008"/>
        <w:gridCol w:w="1707"/>
        <w:gridCol w:w="947"/>
        <w:gridCol w:w="986"/>
        <w:gridCol w:w="796"/>
      </w:tblGrid>
      <w:tr w14:paraId="7487E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8" w:type="pct"/>
            <w:vMerge w:val="restart"/>
            <w:vAlign w:val="center"/>
          </w:tcPr>
          <w:p w14:paraId="1AA4F530">
            <w:pPr>
              <w:spacing w:line="320" w:lineRule="exact"/>
              <w:jc w:val="center"/>
              <w:rPr>
                <w:rFonts w:ascii="宋体" w:hAnsi="宋体" w:eastAsia="宋体" w:cs="Times New Roman"/>
                <w:color w:val="auto"/>
              </w:rPr>
            </w:pPr>
            <w:r>
              <w:rPr>
                <w:rFonts w:ascii="宋体" w:hAnsi="宋体" w:eastAsia="宋体" w:cs="Times New Roman"/>
                <w:color w:val="auto"/>
              </w:rPr>
              <w:t>场站名称</w:t>
            </w:r>
          </w:p>
        </w:tc>
        <w:tc>
          <w:tcPr>
            <w:tcW w:w="530" w:type="pct"/>
            <w:vMerge w:val="restart"/>
            <w:vAlign w:val="center"/>
          </w:tcPr>
          <w:p w14:paraId="455EFDAB">
            <w:pPr>
              <w:spacing w:line="320" w:lineRule="exact"/>
              <w:jc w:val="center"/>
              <w:rPr>
                <w:rFonts w:ascii="宋体" w:hAnsi="宋体" w:eastAsia="宋体" w:cs="Times New Roman"/>
                <w:color w:val="auto"/>
              </w:rPr>
            </w:pPr>
            <w:r>
              <w:rPr>
                <w:rFonts w:ascii="宋体" w:hAnsi="宋体" w:eastAsia="宋体" w:cs="Times New Roman"/>
                <w:color w:val="auto"/>
              </w:rPr>
              <w:t>排气筒高度（m）</w:t>
            </w:r>
          </w:p>
        </w:tc>
        <w:tc>
          <w:tcPr>
            <w:tcW w:w="861" w:type="pct"/>
            <w:vMerge w:val="restart"/>
            <w:vAlign w:val="center"/>
          </w:tcPr>
          <w:p w14:paraId="6836590C">
            <w:pPr>
              <w:spacing w:line="320" w:lineRule="exact"/>
              <w:jc w:val="center"/>
              <w:rPr>
                <w:rFonts w:ascii="宋体" w:hAnsi="宋体" w:eastAsia="宋体" w:cs="Times New Roman"/>
                <w:color w:val="auto"/>
              </w:rPr>
            </w:pPr>
            <w:r>
              <w:rPr>
                <w:rFonts w:ascii="宋体" w:hAnsi="宋体" w:eastAsia="宋体" w:cs="Times New Roman"/>
                <w:color w:val="auto"/>
              </w:rPr>
              <w:t>天然气用量（万m</w:t>
            </w:r>
            <w:r>
              <w:rPr>
                <w:rFonts w:ascii="宋体" w:hAnsi="宋体" w:eastAsia="宋体" w:cs="Times New Roman"/>
                <w:color w:val="auto"/>
                <w:vertAlign w:val="superscript"/>
              </w:rPr>
              <w:t>3</w:t>
            </w:r>
            <w:r>
              <w:rPr>
                <w:rFonts w:ascii="宋体" w:hAnsi="宋体" w:eastAsia="宋体" w:cs="Times New Roman"/>
                <w:color w:val="auto"/>
              </w:rPr>
              <w:t>/h）</w:t>
            </w:r>
          </w:p>
        </w:tc>
        <w:tc>
          <w:tcPr>
            <w:tcW w:w="543" w:type="pct"/>
            <w:vMerge w:val="restart"/>
            <w:vAlign w:val="center"/>
          </w:tcPr>
          <w:p w14:paraId="0803222A">
            <w:pPr>
              <w:spacing w:line="320" w:lineRule="exact"/>
              <w:jc w:val="center"/>
              <w:rPr>
                <w:rFonts w:ascii="宋体" w:hAnsi="宋体" w:eastAsia="宋体" w:cs="Times New Roman"/>
                <w:color w:val="auto"/>
              </w:rPr>
            </w:pPr>
            <w:r>
              <w:rPr>
                <w:rFonts w:ascii="宋体" w:hAnsi="宋体" w:eastAsia="宋体" w:cs="Times New Roman"/>
                <w:color w:val="auto"/>
              </w:rPr>
              <w:t>年运行时间（h）</w:t>
            </w:r>
          </w:p>
        </w:tc>
        <w:tc>
          <w:tcPr>
            <w:tcW w:w="919" w:type="pct"/>
            <w:vMerge w:val="restart"/>
            <w:vAlign w:val="center"/>
          </w:tcPr>
          <w:p w14:paraId="7B4261F2">
            <w:pPr>
              <w:spacing w:line="320" w:lineRule="exact"/>
              <w:jc w:val="center"/>
              <w:rPr>
                <w:rFonts w:ascii="宋体" w:hAnsi="宋体" w:eastAsia="宋体" w:cs="Times New Roman"/>
                <w:color w:val="auto"/>
              </w:rPr>
            </w:pPr>
            <w:r>
              <w:rPr>
                <w:rFonts w:ascii="宋体" w:hAnsi="宋体" w:eastAsia="宋体" w:cs="Times New Roman"/>
                <w:color w:val="auto"/>
              </w:rPr>
              <w:t>站内加热炉总烟气量（万Nm</w:t>
            </w:r>
            <w:r>
              <w:rPr>
                <w:rFonts w:ascii="宋体" w:hAnsi="宋体" w:eastAsia="宋体" w:cs="Times New Roman"/>
                <w:color w:val="auto"/>
                <w:vertAlign w:val="superscript"/>
              </w:rPr>
              <w:t>3</w:t>
            </w:r>
            <w:r>
              <w:rPr>
                <w:rFonts w:ascii="宋体" w:hAnsi="宋体" w:eastAsia="宋体" w:cs="Times New Roman"/>
                <w:color w:val="auto"/>
              </w:rPr>
              <w:t>/a）</w:t>
            </w:r>
          </w:p>
        </w:tc>
        <w:tc>
          <w:tcPr>
            <w:tcW w:w="1469" w:type="pct"/>
            <w:gridSpan w:val="3"/>
            <w:vAlign w:val="center"/>
          </w:tcPr>
          <w:p w14:paraId="3CB48610">
            <w:pPr>
              <w:spacing w:line="320" w:lineRule="exact"/>
              <w:jc w:val="center"/>
              <w:rPr>
                <w:rFonts w:ascii="宋体" w:hAnsi="宋体" w:eastAsia="宋体" w:cs="Times New Roman"/>
                <w:color w:val="auto"/>
              </w:rPr>
            </w:pPr>
            <w:r>
              <w:rPr>
                <w:rFonts w:ascii="宋体" w:hAnsi="宋体" w:eastAsia="宋体" w:cs="Times New Roman"/>
                <w:color w:val="auto"/>
              </w:rPr>
              <w:t>污染物排放情况（t/a）</w:t>
            </w:r>
          </w:p>
        </w:tc>
      </w:tr>
      <w:tr w14:paraId="74247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8" w:type="pct"/>
            <w:vMerge w:val="continue"/>
            <w:vAlign w:val="center"/>
          </w:tcPr>
          <w:p w14:paraId="1C6D4016">
            <w:pPr>
              <w:spacing w:line="320" w:lineRule="exact"/>
              <w:jc w:val="center"/>
              <w:rPr>
                <w:rFonts w:ascii="宋体" w:hAnsi="宋体" w:eastAsia="宋体" w:cs="Times New Roman"/>
                <w:color w:val="auto"/>
              </w:rPr>
            </w:pPr>
          </w:p>
        </w:tc>
        <w:tc>
          <w:tcPr>
            <w:tcW w:w="530" w:type="pct"/>
            <w:vMerge w:val="continue"/>
            <w:vAlign w:val="center"/>
          </w:tcPr>
          <w:p w14:paraId="26404876">
            <w:pPr>
              <w:spacing w:line="320" w:lineRule="exact"/>
              <w:jc w:val="center"/>
              <w:rPr>
                <w:rFonts w:ascii="宋体" w:hAnsi="宋体" w:eastAsia="宋体" w:cs="Times New Roman"/>
                <w:color w:val="auto"/>
              </w:rPr>
            </w:pPr>
          </w:p>
        </w:tc>
        <w:tc>
          <w:tcPr>
            <w:tcW w:w="861" w:type="pct"/>
            <w:vMerge w:val="continue"/>
            <w:vAlign w:val="center"/>
          </w:tcPr>
          <w:p w14:paraId="0B28A0C0">
            <w:pPr>
              <w:spacing w:line="320" w:lineRule="exact"/>
              <w:jc w:val="center"/>
              <w:rPr>
                <w:rFonts w:ascii="宋体" w:hAnsi="宋体" w:eastAsia="宋体" w:cs="Times New Roman"/>
                <w:color w:val="auto"/>
              </w:rPr>
            </w:pPr>
          </w:p>
        </w:tc>
        <w:tc>
          <w:tcPr>
            <w:tcW w:w="543" w:type="pct"/>
            <w:vMerge w:val="continue"/>
            <w:vAlign w:val="center"/>
          </w:tcPr>
          <w:p w14:paraId="30AB9CF9">
            <w:pPr>
              <w:spacing w:line="320" w:lineRule="exact"/>
              <w:jc w:val="center"/>
              <w:rPr>
                <w:rFonts w:ascii="宋体" w:hAnsi="宋体" w:eastAsia="宋体" w:cs="Times New Roman"/>
                <w:color w:val="auto"/>
              </w:rPr>
            </w:pPr>
          </w:p>
        </w:tc>
        <w:tc>
          <w:tcPr>
            <w:tcW w:w="919" w:type="pct"/>
            <w:vMerge w:val="continue"/>
            <w:vAlign w:val="center"/>
          </w:tcPr>
          <w:p w14:paraId="42B1D147">
            <w:pPr>
              <w:spacing w:line="320" w:lineRule="exact"/>
              <w:jc w:val="center"/>
              <w:rPr>
                <w:rFonts w:ascii="宋体" w:hAnsi="宋体" w:eastAsia="宋体" w:cs="Times New Roman"/>
                <w:color w:val="auto"/>
              </w:rPr>
            </w:pPr>
          </w:p>
        </w:tc>
        <w:tc>
          <w:tcPr>
            <w:tcW w:w="510" w:type="pct"/>
            <w:vAlign w:val="center"/>
          </w:tcPr>
          <w:p w14:paraId="3AB65BF2">
            <w:pPr>
              <w:spacing w:line="320" w:lineRule="exact"/>
              <w:jc w:val="center"/>
              <w:rPr>
                <w:rFonts w:ascii="宋体" w:hAnsi="宋体" w:eastAsia="宋体" w:cs="Times New Roman"/>
                <w:color w:val="auto"/>
              </w:rPr>
            </w:pPr>
            <w:r>
              <w:rPr>
                <w:rFonts w:ascii="宋体" w:hAnsi="宋体" w:eastAsia="宋体" w:cs="Times New Roman"/>
                <w:color w:val="auto"/>
              </w:rPr>
              <w:t>颗粒物</w:t>
            </w:r>
          </w:p>
        </w:tc>
        <w:tc>
          <w:tcPr>
            <w:tcW w:w="531" w:type="pct"/>
            <w:vAlign w:val="center"/>
          </w:tcPr>
          <w:p w14:paraId="00F233E0">
            <w:pPr>
              <w:spacing w:line="320" w:lineRule="exact"/>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x</w:t>
            </w:r>
          </w:p>
        </w:tc>
        <w:tc>
          <w:tcPr>
            <w:tcW w:w="428" w:type="pct"/>
            <w:vAlign w:val="center"/>
          </w:tcPr>
          <w:p w14:paraId="66BCCD7F">
            <w:pPr>
              <w:spacing w:line="32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r>
      <w:tr w14:paraId="02F1D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8" w:type="pct"/>
            <w:vAlign w:val="center"/>
          </w:tcPr>
          <w:p w14:paraId="3643B219">
            <w:pPr>
              <w:spacing w:line="320" w:lineRule="exact"/>
              <w:jc w:val="center"/>
              <w:rPr>
                <w:rFonts w:ascii="宋体" w:hAnsi="宋体" w:eastAsia="宋体" w:cs="Times New Roman"/>
                <w:color w:val="auto"/>
              </w:rPr>
            </w:pPr>
            <w:r>
              <w:rPr>
                <w:rFonts w:ascii="宋体" w:hAnsi="宋体" w:eastAsia="宋体" w:cs="Times New Roman"/>
                <w:color w:val="auto"/>
              </w:rPr>
              <w:t>朝二联转油脱水站</w:t>
            </w:r>
          </w:p>
        </w:tc>
        <w:tc>
          <w:tcPr>
            <w:tcW w:w="530" w:type="pct"/>
            <w:vAlign w:val="center"/>
          </w:tcPr>
          <w:p w14:paraId="5E143788">
            <w:pPr>
              <w:spacing w:line="320" w:lineRule="exact"/>
              <w:jc w:val="center"/>
              <w:rPr>
                <w:rFonts w:ascii="宋体" w:hAnsi="宋体" w:eastAsia="宋体" w:cs="Times New Roman"/>
                <w:color w:val="auto"/>
              </w:rPr>
            </w:pPr>
            <w:r>
              <w:rPr>
                <w:rFonts w:ascii="宋体" w:hAnsi="宋体" w:eastAsia="宋体" w:cs="Times New Roman"/>
                <w:color w:val="auto"/>
              </w:rPr>
              <w:t>8</w:t>
            </w:r>
          </w:p>
        </w:tc>
        <w:tc>
          <w:tcPr>
            <w:tcW w:w="861" w:type="pct"/>
            <w:vAlign w:val="center"/>
          </w:tcPr>
          <w:p w14:paraId="48A33D10">
            <w:pPr>
              <w:spacing w:line="320" w:lineRule="exact"/>
              <w:jc w:val="center"/>
              <w:rPr>
                <w:rFonts w:ascii="宋体" w:hAnsi="宋体" w:eastAsia="宋体" w:cs="Times New Roman"/>
                <w:color w:val="auto"/>
              </w:rPr>
            </w:pPr>
            <w:r>
              <w:rPr>
                <w:rFonts w:ascii="宋体" w:hAnsi="宋体" w:eastAsia="宋体" w:cs="Times New Roman"/>
                <w:color w:val="auto"/>
              </w:rPr>
              <w:t>113.42</w:t>
            </w:r>
          </w:p>
        </w:tc>
        <w:tc>
          <w:tcPr>
            <w:tcW w:w="543" w:type="pct"/>
            <w:vAlign w:val="center"/>
          </w:tcPr>
          <w:p w14:paraId="396A74CA">
            <w:pPr>
              <w:spacing w:line="320" w:lineRule="exact"/>
              <w:jc w:val="center"/>
              <w:rPr>
                <w:rFonts w:ascii="宋体" w:hAnsi="宋体" w:eastAsia="宋体" w:cs="Times New Roman"/>
                <w:color w:val="auto"/>
              </w:rPr>
            </w:pPr>
            <w:r>
              <w:rPr>
                <w:rFonts w:ascii="宋体" w:hAnsi="宋体" w:eastAsia="宋体" w:cs="Times New Roman"/>
                <w:color w:val="auto"/>
              </w:rPr>
              <w:t>8760</w:t>
            </w:r>
          </w:p>
        </w:tc>
        <w:tc>
          <w:tcPr>
            <w:tcW w:w="919" w:type="pct"/>
            <w:vAlign w:val="center"/>
          </w:tcPr>
          <w:p w14:paraId="440F4B64">
            <w:pPr>
              <w:spacing w:line="320" w:lineRule="exact"/>
              <w:jc w:val="center"/>
              <w:rPr>
                <w:rFonts w:ascii="宋体" w:hAnsi="宋体" w:eastAsia="宋体" w:cs="Times New Roman"/>
                <w:color w:val="auto"/>
              </w:rPr>
            </w:pPr>
            <w:r>
              <w:rPr>
                <w:rFonts w:ascii="宋体" w:hAnsi="宋体" w:eastAsia="宋体" w:cs="Times New Roman"/>
                <w:color w:val="auto"/>
              </w:rPr>
              <w:t>1070.59</w:t>
            </w:r>
          </w:p>
        </w:tc>
        <w:tc>
          <w:tcPr>
            <w:tcW w:w="510" w:type="pct"/>
            <w:vAlign w:val="center"/>
          </w:tcPr>
          <w:p w14:paraId="19CC0549">
            <w:pPr>
              <w:spacing w:line="320" w:lineRule="exact"/>
              <w:jc w:val="center"/>
              <w:rPr>
                <w:rFonts w:ascii="宋体" w:hAnsi="宋体" w:eastAsia="宋体" w:cs="Times New Roman"/>
                <w:color w:val="auto"/>
              </w:rPr>
            </w:pPr>
            <w:r>
              <w:rPr>
                <w:rFonts w:ascii="宋体" w:hAnsi="宋体" w:eastAsia="宋体" w:cs="Times New Roman"/>
                <w:color w:val="auto"/>
              </w:rPr>
              <w:t>0.1</w:t>
            </w:r>
          </w:p>
        </w:tc>
        <w:tc>
          <w:tcPr>
            <w:tcW w:w="531" w:type="pct"/>
            <w:vAlign w:val="center"/>
          </w:tcPr>
          <w:p w14:paraId="42F37FB6">
            <w:pPr>
              <w:spacing w:line="320" w:lineRule="exact"/>
              <w:jc w:val="center"/>
              <w:rPr>
                <w:rFonts w:ascii="宋体" w:hAnsi="宋体" w:eastAsia="宋体" w:cs="Times New Roman"/>
                <w:color w:val="auto"/>
              </w:rPr>
            </w:pPr>
            <w:r>
              <w:rPr>
                <w:rFonts w:ascii="宋体" w:hAnsi="宋体" w:eastAsia="宋体" w:cs="Times New Roman"/>
                <w:color w:val="auto"/>
              </w:rPr>
              <w:t>0.835</w:t>
            </w:r>
          </w:p>
        </w:tc>
        <w:tc>
          <w:tcPr>
            <w:tcW w:w="428" w:type="pct"/>
            <w:vAlign w:val="center"/>
          </w:tcPr>
          <w:p w14:paraId="127739D1">
            <w:pPr>
              <w:spacing w:line="320" w:lineRule="exact"/>
              <w:jc w:val="center"/>
              <w:rPr>
                <w:rFonts w:ascii="宋体" w:hAnsi="宋体" w:eastAsia="宋体" w:cs="Times New Roman"/>
                <w:color w:val="auto"/>
              </w:rPr>
            </w:pPr>
            <w:r>
              <w:rPr>
                <w:rFonts w:ascii="宋体" w:hAnsi="宋体" w:eastAsia="宋体" w:cs="Times New Roman"/>
                <w:color w:val="auto"/>
              </w:rPr>
              <w:t>0.096</w:t>
            </w:r>
          </w:p>
        </w:tc>
      </w:tr>
    </w:tbl>
    <w:p w14:paraId="12238994">
      <w:pPr>
        <w:pStyle w:val="276"/>
        <w:widowControl w:val="0"/>
        <w:spacing w:line="440" w:lineRule="exact"/>
        <w:ind w:firstLine="480"/>
        <w:jc w:val="both"/>
        <w:rPr>
          <w:color w:val="auto"/>
          <w:szCs w:val="20"/>
        </w:rPr>
      </w:pPr>
      <w:r>
        <w:rPr>
          <w:color w:val="auto"/>
          <w:szCs w:val="20"/>
        </w:rPr>
        <w:t>由以上分析可知，现有区块周边依托场站加热炉排放的烟气中颗粒物排放量为0.1t/a，NO</w:t>
      </w:r>
      <w:r>
        <w:rPr>
          <w:color w:val="auto"/>
          <w:szCs w:val="20"/>
          <w:vertAlign w:val="subscript"/>
        </w:rPr>
        <w:t>x</w:t>
      </w:r>
      <w:r>
        <w:rPr>
          <w:color w:val="auto"/>
          <w:szCs w:val="20"/>
        </w:rPr>
        <w:t>排放量为0.835t/a，SO</w:t>
      </w:r>
      <w:r>
        <w:rPr>
          <w:color w:val="auto"/>
          <w:szCs w:val="20"/>
          <w:vertAlign w:val="subscript"/>
        </w:rPr>
        <w:t>2</w:t>
      </w:r>
      <w:r>
        <w:rPr>
          <w:color w:val="auto"/>
          <w:szCs w:val="20"/>
        </w:rPr>
        <w:t>排放量为0.096t/a。</w:t>
      </w:r>
    </w:p>
    <w:p w14:paraId="7861B9A6">
      <w:pPr>
        <w:pStyle w:val="276"/>
        <w:widowControl w:val="0"/>
        <w:spacing w:line="440" w:lineRule="exact"/>
        <w:ind w:firstLine="480"/>
        <w:jc w:val="both"/>
        <w:rPr>
          <w:color w:val="auto"/>
          <w:kern w:val="2"/>
          <w:szCs w:val="20"/>
        </w:rPr>
      </w:pPr>
      <w:r>
        <w:rPr>
          <w:color w:val="auto"/>
          <w:kern w:val="2"/>
          <w:szCs w:val="20"/>
        </w:rPr>
        <w:t>（2）废水</w:t>
      </w:r>
    </w:p>
    <w:p w14:paraId="581BFFB4">
      <w:pPr>
        <w:pStyle w:val="276"/>
        <w:widowControl w:val="0"/>
        <w:spacing w:line="440" w:lineRule="exact"/>
        <w:ind w:firstLine="480"/>
        <w:jc w:val="both"/>
        <w:rPr>
          <w:color w:val="auto"/>
          <w:kern w:val="2"/>
          <w:szCs w:val="20"/>
        </w:rPr>
      </w:pPr>
      <w:r>
        <w:rPr>
          <w:color w:val="auto"/>
          <w:szCs w:val="20"/>
        </w:rPr>
        <w:t>现有区块</w:t>
      </w:r>
      <w:r>
        <w:rPr>
          <w:color w:val="auto"/>
        </w:rPr>
        <w:t>产能1.22×10</w:t>
      </w:r>
      <w:r>
        <w:rPr>
          <w:color w:val="auto"/>
          <w:vertAlign w:val="superscript"/>
        </w:rPr>
        <w:t>4</w:t>
      </w:r>
      <w:r>
        <w:rPr>
          <w:color w:val="auto"/>
        </w:rPr>
        <w:t>t/a，现有区块油田采出水量为1.67×10</w:t>
      </w:r>
      <w:r>
        <w:rPr>
          <w:color w:val="auto"/>
          <w:vertAlign w:val="superscript"/>
        </w:rPr>
        <w:t>4</w:t>
      </w:r>
      <w:r>
        <w:rPr>
          <w:color w:val="auto"/>
        </w:rPr>
        <w:t>t/a</w:t>
      </w:r>
      <w:r>
        <w:rPr>
          <w:color w:val="auto"/>
          <w:kern w:val="2"/>
          <w:szCs w:val="22"/>
        </w:rPr>
        <w:t>，</w:t>
      </w:r>
      <w:r>
        <w:rPr>
          <w:color w:val="auto"/>
          <w:kern w:val="2"/>
          <w:szCs w:val="20"/>
        </w:rPr>
        <w:t>油</w:t>
      </w:r>
      <w:r>
        <w:rPr>
          <w:color w:val="auto"/>
          <w:szCs w:val="20"/>
        </w:rPr>
        <w:t>水</w:t>
      </w:r>
      <w:r>
        <w:rPr>
          <w:color w:val="auto"/>
          <w:kern w:val="2"/>
          <w:szCs w:val="20"/>
        </w:rPr>
        <w:t>井作业（修井）产生的作业污水共计约148.96m</w:t>
      </w:r>
      <w:r>
        <w:rPr>
          <w:color w:val="auto"/>
          <w:kern w:val="2"/>
          <w:szCs w:val="20"/>
          <w:vertAlign w:val="superscript"/>
        </w:rPr>
        <w:t>3</w:t>
      </w:r>
      <w:r>
        <w:rPr>
          <w:color w:val="auto"/>
          <w:kern w:val="2"/>
          <w:szCs w:val="20"/>
        </w:rPr>
        <w:t>/a；</w:t>
      </w:r>
      <w:r>
        <w:rPr>
          <w:color w:val="auto"/>
          <w:szCs w:val="20"/>
        </w:rPr>
        <w:t>现有区块</w:t>
      </w:r>
      <w:r>
        <w:rPr>
          <w:snapToGrid w:val="0"/>
          <w:color w:val="auto"/>
        </w:rPr>
        <w:t>水井</w:t>
      </w:r>
      <w:r>
        <w:rPr>
          <w:color w:val="auto"/>
          <w:szCs w:val="20"/>
        </w:rPr>
        <w:t>洗井产生的洗井污水共计约16182.6m</w:t>
      </w:r>
      <w:r>
        <w:rPr>
          <w:color w:val="auto"/>
          <w:szCs w:val="20"/>
          <w:vertAlign w:val="superscript"/>
        </w:rPr>
        <w:t>3</w:t>
      </w:r>
      <w:r>
        <w:rPr>
          <w:color w:val="auto"/>
          <w:szCs w:val="20"/>
        </w:rPr>
        <w:t>/a</w:t>
      </w:r>
      <w:r>
        <w:rPr>
          <w:color w:val="auto"/>
          <w:kern w:val="2"/>
          <w:szCs w:val="20"/>
        </w:rPr>
        <w:t>。</w:t>
      </w:r>
      <w:r>
        <w:rPr>
          <w:color w:val="auto"/>
          <w:szCs w:val="20"/>
        </w:rPr>
        <w:t>现有区块油田采出水、油水井作业污水、洗井污水最终均由朝二联含油污水处理站处理达标后回注油层，不外排。根据</w:t>
      </w:r>
      <w:bookmarkStart w:id="573" w:name="OLE_LINK46"/>
      <w:r>
        <w:rPr>
          <w:color w:val="auto"/>
          <w:szCs w:val="20"/>
        </w:rPr>
        <w:t>本次对朝二联含油污水处理站的监测结果</w:t>
      </w:r>
      <w:r>
        <w:rPr>
          <w:rFonts w:hint="eastAsia"/>
          <w:color w:val="auto"/>
          <w:szCs w:val="20"/>
        </w:rPr>
        <w:t>（见附件7）</w:t>
      </w:r>
      <w:r>
        <w:rPr>
          <w:color w:val="auto"/>
          <w:szCs w:val="20"/>
        </w:rPr>
        <w:t>可知</w:t>
      </w:r>
      <w:bookmarkEnd w:id="573"/>
      <w:r>
        <w:rPr>
          <w:color w:val="auto"/>
          <w:szCs w:val="20"/>
        </w:rPr>
        <w:t>，朝二联含油污水处理站处理后的含油污水</w:t>
      </w:r>
      <w:r>
        <w:rPr>
          <w:rFonts w:hint="eastAsia"/>
          <w:color w:val="auto"/>
          <w:szCs w:val="20"/>
        </w:rPr>
        <w:t>含油量为0.97-1.28mg/L，悬浮固体含量为1mg/L，悬浮物颗粒直径中值为1μm</w:t>
      </w:r>
      <w:r>
        <w:rPr>
          <w:color w:val="auto"/>
          <w:szCs w:val="20"/>
        </w:rPr>
        <w:t>，满足《大庆油田地面工程建设设计规定》（Q/SYDQ0639-2015）及《碎屑岩油藏注水水质指标技术要求及分析方法》（SY/T5329-2022）限值要求。</w:t>
      </w:r>
    </w:p>
    <w:p w14:paraId="452D7388">
      <w:pPr>
        <w:pStyle w:val="276"/>
        <w:widowControl w:val="0"/>
        <w:spacing w:line="440" w:lineRule="exact"/>
        <w:ind w:firstLine="480"/>
        <w:jc w:val="both"/>
        <w:rPr>
          <w:color w:val="auto"/>
          <w:szCs w:val="20"/>
        </w:rPr>
      </w:pPr>
      <w:r>
        <w:rPr>
          <w:color w:val="auto"/>
          <w:szCs w:val="20"/>
        </w:rPr>
        <w:t>（3）噪声</w:t>
      </w:r>
    </w:p>
    <w:p w14:paraId="7BB60BC2">
      <w:pPr>
        <w:pStyle w:val="276"/>
        <w:widowControl w:val="0"/>
        <w:spacing w:line="440" w:lineRule="exact"/>
        <w:ind w:firstLine="480"/>
        <w:jc w:val="both"/>
        <w:rPr>
          <w:color w:val="auto"/>
          <w:szCs w:val="20"/>
        </w:rPr>
      </w:pPr>
      <w:r>
        <w:rPr>
          <w:color w:val="auto"/>
          <w:szCs w:val="20"/>
        </w:rPr>
        <w:t>现有区块内噪声源主要来自抽油机，抽油机噪声源强为65～80dB(A)，为连续稳态声源，场站噪声主要为各类机泵噪声，源强约在80～85dB(A)之间。抽油机电机等发声设备选用了低噪声设备，定期对进场设备进行维护和保养。根据本次对区块内已建</w:t>
      </w:r>
      <w:r>
        <w:rPr>
          <w:rFonts w:hint="eastAsia"/>
          <w:color w:val="auto"/>
          <w:szCs w:val="20"/>
        </w:rPr>
        <w:t>源212-平2</w:t>
      </w:r>
      <w:r>
        <w:rPr>
          <w:color w:val="auto"/>
          <w:szCs w:val="20"/>
        </w:rPr>
        <w:t>井场及场站的监测数据</w:t>
      </w:r>
      <w:r>
        <w:rPr>
          <w:rFonts w:hint="eastAsia"/>
          <w:color w:val="auto"/>
          <w:szCs w:val="20"/>
        </w:rPr>
        <w:t>（见附件7）</w:t>
      </w:r>
      <w:r>
        <w:rPr>
          <w:color w:val="auto"/>
          <w:szCs w:val="20"/>
        </w:rPr>
        <w:t>可知，区块内已建源212-平2井场厂界昼间噪声在49.4～50.8dB（A）之间、夜间噪声在48.4～49.8dB（A）之间</w:t>
      </w:r>
      <w:r>
        <w:rPr>
          <w:rFonts w:hint="eastAsia"/>
          <w:color w:val="auto"/>
          <w:szCs w:val="20"/>
        </w:rPr>
        <w:t>；现有场站</w:t>
      </w:r>
      <w:r>
        <w:rPr>
          <w:rFonts w:hint="eastAsia"/>
          <w:color w:val="auto"/>
          <w:spacing w:val="8"/>
        </w:rPr>
        <w:t>朝二联卸油点</w:t>
      </w:r>
      <w:r>
        <w:rPr>
          <w:color w:val="auto"/>
          <w:szCs w:val="20"/>
        </w:rPr>
        <w:t>厂界昼间噪声在4</w:t>
      </w:r>
      <w:r>
        <w:rPr>
          <w:rFonts w:hint="eastAsia"/>
          <w:color w:val="auto"/>
          <w:szCs w:val="20"/>
        </w:rPr>
        <w:t>5.1</w:t>
      </w:r>
      <w:r>
        <w:rPr>
          <w:color w:val="auto"/>
          <w:szCs w:val="20"/>
        </w:rPr>
        <w:t>～5</w:t>
      </w:r>
      <w:r>
        <w:rPr>
          <w:rFonts w:hint="eastAsia"/>
          <w:color w:val="auto"/>
          <w:szCs w:val="20"/>
        </w:rPr>
        <w:t>8</w:t>
      </w:r>
      <w:r>
        <w:rPr>
          <w:color w:val="auto"/>
          <w:szCs w:val="20"/>
        </w:rPr>
        <w:t>.8dB（A）之间、夜间噪声在4</w:t>
      </w:r>
      <w:r>
        <w:rPr>
          <w:rFonts w:hint="eastAsia"/>
          <w:color w:val="auto"/>
          <w:szCs w:val="20"/>
        </w:rPr>
        <w:t>1.7</w:t>
      </w:r>
      <w:r>
        <w:rPr>
          <w:color w:val="auto"/>
          <w:szCs w:val="20"/>
        </w:rPr>
        <w:t>～4</w:t>
      </w:r>
      <w:r>
        <w:rPr>
          <w:rFonts w:hint="eastAsia"/>
          <w:color w:val="auto"/>
          <w:szCs w:val="20"/>
        </w:rPr>
        <w:t>4.</w:t>
      </w:r>
      <w:r>
        <w:rPr>
          <w:color w:val="auto"/>
          <w:szCs w:val="20"/>
        </w:rPr>
        <w:t>8dB（A）之间</w:t>
      </w:r>
      <w:r>
        <w:rPr>
          <w:rFonts w:hint="eastAsia"/>
          <w:color w:val="auto"/>
          <w:szCs w:val="20"/>
        </w:rPr>
        <w:t>；</w:t>
      </w:r>
      <w:r>
        <w:rPr>
          <w:rFonts w:hint="eastAsia"/>
          <w:color w:val="auto"/>
          <w:spacing w:val="7"/>
        </w:rPr>
        <w:t>朝一联合站</w:t>
      </w:r>
      <w:r>
        <w:rPr>
          <w:color w:val="auto"/>
          <w:szCs w:val="20"/>
        </w:rPr>
        <w:t>厂界昼间噪声在4</w:t>
      </w:r>
      <w:r>
        <w:rPr>
          <w:rFonts w:hint="eastAsia"/>
          <w:color w:val="auto"/>
          <w:szCs w:val="20"/>
        </w:rPr>
        <w:t>5.5</w:t>
      </w:r>
      <w:r>
        <w:rPr>
          <w:color w:val="auto"/>
          <w:szCs w:val="20"/>
        </w:rPr>
        <w:t>～</w:t>
      </w:r>
      <w:r>
        <w:rPr>
          <w:rFonts w:hint="eastAsia"/>
          <w:color w:val="auto"/>
          <w:szCs w:val="20"/>
        </w:rPr>
        <w:t>49.2</w:t>
      </w:r>
      <w:r>
        <w:rPr>
          <w:color w:val="auto"/>
          <w:szCs w:val="20"/>
        </w:rPr>
        <w:t>dB（A）之间、夜间噪声在4</w:t>
      </w:r>
      <w:r>
        <w:rPr>
          <w:rFonts w:hint="eastAsia"/>
          <w:color w:val="auto"/>
          <w:szCs w:val="20"/>
        </w:rPr>
        <w:t>1.5</w:t>
      </w:r>
      <w:r>
        <w:rPr>
          <w:color w:val="auto"/>
          <w:szCs w:val="20"/>
        </w:rPr>
        <w:t>～4</w:t>
      </w:r>
      <w:r>
        <w:rPr>
          <w:rFonts w:hint="eastAsia"/>
          <w:color w:val="auto"/>
          <w:szCs w:val="20"/>
        </w:rPr>
        <w:t>5.3</w:t>
      </w:r>
      <w:r>
        <w:rPr>
          <w:color w:val="auto"/>
          <w:szCs w:val="20"/>
        </w:rPr>
        <w:t>dB（A）之间</w:t>
      </w:r>
      <w:r>
        <w:rPr>
          <w:rFonts w:hint="eastAsia"/>
          <w:color w:val="auto"/>
          <w:szCs w:val="20"/>
        </w:rPr>
        <w:t>；</w:t>
      </w:r>
      <w:r>
        <w:rPr>
          <w:rFonts w:hint="eastAsia"/>
          <w:color w:val="auto"/>
          <w:spacing w:val="7"/>
        </w:rPr>
        <w:t>朝二联合站</w:t>
      </w:r>
      <w:r>
        <w:rPr>
          <w:color w:val="auto"/>
          <w:szCs w:val="20"/>
        </w:rPr>
        <w:t>厂界昼间噪声在4</w:t>
      </w:r>
      <w:r>
        <w:rPr>
          <w:rFonts w:hint="eastAsia"/>
          <w:color w:val="auto"/>
          <w:szCs w:val="20"/>
        </w:rPr>
        <w:t>5.5</w:t>
      </w:r>
      <w:r>
        <w:rPr>
          <w:color w:val="auto"/>
          <w:szCs w:val="20"/>
        </w:rPr>
        <w:t>～</w:t>
      </w:r>
      <w:r>
        <w:rPr>
          <w:rFonts w:hint="eastAsia"/>
          <w:color w:val="auto"/>
          <w:szCs w:val="20"/>
        </w:rPr>
        <w:t>48.6</w:t>
      </w:r>
      <w:r>
        <w:rPr>
          <w:color w:val="auto"/>
          <w:szCs w:val="20"/>
        </w:rPr>
        <w:t>dB（A）之间、夜间噪声在4</w:t>
      </w:r>
      <w:r>
        <w:rPr>
          <w:rFonts w:hint="eastAsia"/>
          <w:color w:val="auto"/>
          <w:szCs w:val="20"/>
        </w:rPr>
        <w:t>1.3</w:t>
      </w:r>
      <w:r>
        <w:rPr>
          <w:color w:val="auto"/>
          <w:szCs w:val="20"/>
        </w:rPr>
        <w:t>～4</w:t>
      </w:r>
      <w:r>
        <w:rPr>
          <w:rFonts w:hint="eastAsia"/>
          <w:color w:val="auto"/>
          <w:szCs w:val="20"/>
        </w:rPr>
        <w:t>4.6</w:t>
      </w:r>
      <w:r>
        <w:rPr>
          <w:color w:val="auto"/>
          <w:szCs w:val="20"/>
        </w:rPr>
        <w:t>dB（A）之间</w:t>
      </w:r>
      <w:r>
        <w:rPr>
          <w:rFonts w:hint="eastAsia"/>
          <w:color w:val="auto"/>
          <w:szCs w:val="20"/>
        </w:rPr>
        <w:t>；均</w:t>
      </w:r>
      <w:r>
        <w:rPr>
          <w:color w:val="auto"/>
          <w:szCs w:val="20"/>
        </w:rPr>
        <w:t>满足《工业企业厂界环境噪声排放标准》（GB12348-2008）2类标准。</w:t>
      </w:r>
    </w:p>
    <w:p w14:paraId="11EE0C23">
      <w:pPr>
        <w:pStyle w:val="276"/>
        <w:widowControl w:val="0"/>
        <w:spacing w:line="440" w:lineRule="exact"/>
        <w:ind w:firstLine="480"/>
        <w:jc w:val="both"/>
        <w:rPr>
          <w:color w:val="auto"/>
          <w:kern w:val="2"/>
        </w:rPr>
      </w:pPr>
      <w:r>
        <w:rPr>
          <w:color w:val="auto"/>
          <w:kern w:val="2"/>
        </w:rPr>
        <w:t>（4）固体废物</w:t>
      </w:r>
    </w:p>
    <w:p w14:paraId="74545B86">
      <w:pPr>
        <w:pStyle w:val="276"/>
        <w:widowControl w:val="0"/>
        <w:spacing w:line="440" w:lineRule="exact"/>
        <w:ind w:firstLine="480"/>
        <w:jc w:val="both"/>
        <w:rPr>
          <w:color w:val="auto"/>
          <w:kern w:val="2"/>
        </w:rPr>
      </w:pPr>
      <w:r>
        <w:rPr>
          <w:color w:val="auto"/>
          <w:kern w:val="2"/>
        </w:rPr>
        <w:t>现有区块内油水井在进行作业过程中产生的含油污泥量约0.37t/a，区块内无运营场站，不涉及清淤，不产生清淤含油污泥，含油污泥由罐车拉运至朝一联含油污泥处理站减量化处理后，再委托大庆博昕晶化科技有限公司处理满足</w:t>
      </w:r>
      <w:r>
        <w:rPr>
          <w:snapToGrid w:val="0"/>
          <w:color w:val="auto"/>
        </w:rPr>
        <w:t>《油田含油污泥处置与利用污染控制要求》</w:t>
      </w:r>
      <w:r>
        <w:rPr>
          <w:color w:val="auto"/>
          <w:kern w:val="2"/>
        </w:rPr>
        <w:t>（DB23/T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工程作业期间产生的落地油滴落到防渗布上，会产生含油废防渗布，含油废防渗布共产生0.98t/a，含油废防渗布由建设单位收集后暂存于第十采油厂综合固废储存库，定期委托有资质单位</w:t>
      </w:r>
      <w:r>
        <w:rPr>
          <w:rFonts w:hint="eastAsia"/>
          <w:color w:val="auto"/>
          <w:kern w:val="2"/>
        </w:rPr>
        <w:t>大庆顺和环保科技有限公司</w:t>
      </w:r>
      <w:r>
        <w:rPr>
          <w:color w:val="auto"/>
          <w:kern w:val="2"/>
        </w:rPr>
        <w:t>处理。</w:t>
      </w:r>
    </w:p>
    <w:p w14:paraId="63482873">
      <w:pPr>
        <w:pStyle w:val="276"/>
        <w:widowControl w:val="0"/>
        <w:spacing w:line="440" w:lineRule="exact"/>
        <w:ind w:firstLine="480"/>
        <w:jc w:val="both"/>
        <w:rPr>
          <w:color w:val="auto"/>
          <w:kern w:val="2"/>
          <w:szCs w:val="20"/>
        </w:rPr>
      </w:pPr>
      <w:r>
        <w:rPr>
          <w:color w:val="auto"/>
          <w:kern w:val="2"/>
        </w:rPr>
        <w:t>现有工程污染物产排污情况汇总表见</w:t>
      </w:r>
      <w:r>
        <w:rPr>
          <w:color w:val="auto"/>
          <w:kern w:val="2"/>
        </w:rPr>
        <w:fldChar w:fldCharType="begin"/>
      </w:r>
      <w:r>
        <w:rPr>
          <w:color w:val="auto"/>
          <w:kern w:val="2"/>
        </w:rPr>
        <w:instrText xml:space="preserve"> REF _Ref211958648 \h  \* MERGEFORMAT </w:instrText>
      </w:r>
      <w:r>
        <w:rPr>
          <w:color w:val="auto"/>
          <w:kern w:val="2"/>
        </w:rPr>
        <w:fldChar w:fldCharType="separate"/>
      </w:r>
      <w:r>
        <w:rPr>
          <w:rFonts w:hint="eastAsia"/>
          <w:color w:val="auto"/>
        </w:rPr>
        <w:t xml:space="preserve">表 </w:t>
      </w:r>
      <w:r>
        <w:rPr>
          <w:color w:val="auto"/>
        </w:rPr>
        <w:t>3.1</w:t>
      </w:r>
      <w:r>
        <w:rPr>
          <w:color w:val="auto"/>
        </w:rPr>
        <w:noBreakHyphen/>
      </w:r>
      <w:r>
        <w:rPr>
          <w:color w:val="auto"/>
        </w:rPr>
        <w:t>5</w:t>
      </w:r>
      <w:r>
        <w:rPr>
          <w:color w:val="auto"/>
          <w:kern w:val="2"/>
        </w:rPr>
        <w:fldChar w:fldCharType="end"/>
      </w:r>
      <w:r>
        <w:rPr>
          <w:color w:val="auto"/>
          <w:kern w:val="2"/>
        </w:rPr>
        <w:t>。</w:t>
      </w:r>
    </w:p>
    <w:p w14:paraId="6244BEE2">
      <w:pPr>
        <w:pStyle w:val="22"/>
        <w:spacing w:before="156"/>
        <w:rPr>
          <w:rFonts w:hAnsi="宋体" w:cs="Times New Roman"/>
          <w:color w:val="auto"/>
        </w:rPr>
      </w:pPr>
      <w:bookmarkStart w:id="574" w:name="_Ref211958648"/>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5</w:t>
      </w:r>
      <w:r>
        <w:rPr>
          <w:color w:val="auto"/>
        </w:rPr>
        <w:fldChar w:fldCharType="end"/>
      </w:r>
      <w:bookmarkEnd w:id="574"/>
      <w:r>
        <w:rPr>
          <w:rFonts w:hAnsi="宋体" w:cs="Times New Roman"/>
          <w:color w:val="auto"/>
        </w:rPr>
        <w:t xml:space="preserve">  </w:t>
      </w:r>
      <w:r>
        <w:rPr>
          <w:color w:val="auto"/>
        </w:rPr>
        <w:t>现有工程污染物产排污情况汇总表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4"/>
        <w:gridCol w:w="2552"/>
        <w:gridCol w:w="2405"/>
        <w:gridCol w:w="2197"/>
        <w:gridCol w:w="1448"/>
      </w:tblGrid>
      <w:tr w14:paraId="061B0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8" w:type="pct"/>
            <w:vAlign w:val="center"/>
          </w:tcPr>
          <w:p w14:paraId="025BCEA7">
            <w:pPr>
              <w:spacing w:line="320" w:lineRule="exact"/>
              <w:jc w:val="center"/>
              <w:rPr>
                <w:rFonts w:ascii="宋体" w:hAnsi="宋体" w:eastAsia="宋体" w:cs="Times New Roman"/>
                <w:color w:val="auto"/>
              </w:rPr>
            </w:pPr>
            <w:r>
              <w:rPr>
                <w:rFonts w:ascii="宋体" w:hAnsi="宋体" w:eastAsia="宋体" w:cs="Times New Roman"/>
                <w:color w:val="auto"/>
              </w:rPr>
              <w:t>类别</w:t>
            </w:r>
          </w:p>
        </w:tc>
        <w:tc>
          <w:tcPr>
            <w:tcW w:w="1373" w:type="pct"/>
            <w:vAlign w:val="center"/>
          </w:tcPr>
          <w:p w14:paraId="17139B63">
            <w:pPr>
              <w:spacing w:line="320" w:lineRule="exact"/>
              <w:jc w:val="center"/>
              <w:rPr>
                <w:rFonts w:ascii="宋体" w:hAnsi="宋体" w:eastAsia="宋体" w:cs="Times New Roman"/>
                <w:color w:val="auto"/>
              </w:rPr>
            </w:pPr>
            <w:r>
              <w:rPr>
                <w:rFonts w:ascii="宋体" w:hAnsi="宋体" w:eastAsia="宋体" w:cs="Times New Roman"/>
                <w:color w:val="auto"/>
              </w:rPr>
              <w:t>污染物</w:t>
            </w:r>
          </w:p>
        </w:tc>
        <w:tc>
          <w:tcPr>
            <w:tcW w:w="1294" w:type="pct"/>
            <w:vAlign w:val="center"/>
          </w:tcPr>
          <w:p w14:paraId="663CD9B7">
            <w:pPr>
              <w:spacing w:line="320" w:lineRule="exact"/>
              <w:jc w:val="center"/>
              <w:rPr>
                <w:rFonts w:ascii="宋体" w:hAnsi="宋体" w:eastAsia="宋体" w:cs="Times New Roman"/>
                <w:color w:val="auto"/>
              </w:rPr>
            </w:pPr>
            <w:r>
              <w:rPr>
                <w:rFonts w:ascii="宋体" w:hAnsi="宋体" w:eastAsia="宋体" w:cs="Times New Roman"/>
                <w:color w:val="auto"/>
              </w:rPr>
              <w:t>产生量</w:t>
            </w:r>
          </w:p>
        </w:tc>
        <w:tc>
          <w:tcPr>
            <w:tcW w:w="1182" w:type="pct"/>
            <w:vAlign w:val="center"/>
          </w:tcPr>
          <w:p w14:paraId="47792D87">
            <w:pPr>
              <w:spacing w:line="320" w:lineRule="exact"/>
              <w:jc w:val="center"/>
              <w:rPr>
                <w:rFonts w:ascii="宋体" w:hAnsi="宋体" w:eastAsia="宋体" w:cs="Times New Roman"/>
                <w:color w:val="auto"/>
              </w:rPr>
            </w:pPr>
            <w:r>
              <w:rPr>
                <w:rFonts w:ascii="宋体" w:hAnsi="宋体" w:eastAsia="宋体" w:cs="Times New Roman"/>
                <w:color w:val="auto"/>
              </w:rPr>
              <w:t>削减量/固废处置量</w:t>
            </w:r>
          </w:p>
        </w:tc>
        <w:tc>
          <w:tcPr>
            <w:tcW w:w="779" w:type="pct"/>
            <w:vAlign w:val="center"/>
          </w:tcPr>
          <w:p w14:paraId="0ED46B0A">
            <w:pPr>
              <w:spacing w:line="320" w:lineRule="exact"/>
              <w:jc w:val="center"/>
              <w:rPr>
                <w:rFonts w:ascii="宋体" w:hAnsi="宋体" w:eastAsia="宋体" w:cs="Times New Roman"/>
                <w:color w:val="auto"/>
              </w:rPr>
            </w:pPr>
            <w:r>
              <w:rPr>
                <w:rFonts w:ascii="宋体" w:hAnsi="宋体" w:eastAsia="宋体" w:cs="Times New Roman"/>
                <w:color w:val="auto"/>
              </w:rPr>
              <w:t>排放量</w:t>
            </w:r>
          </w:p>
        </w:tc>
      </w:tr>
      <w:tr w14:paraId="1DF24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8" w:type="pct"/>
            <w:vMerge w:val="restart"/>
            <w:vAlign w:val="center"/>
          </w:tcPr>
          <w:p w14:paraId="56E8F579">
            <w:pPr>
              <w:spacing w:line="320" w:lineRule="exact"/>
              <w:jc w:val="center"/>
              <w:rPr>
                <w:rFonts w:ascii="宋体" w:hAnsi="宋体" w:eastAsia="宋体" w:cs="Times New Roman"/>
                <w:color w:val="auto"/>
              </w:rPr>
            </w:pPr>
            <w:r>
              <w:rPr>
                <w:rFonts w:ascii="宋体" w:hAnsi="宋体" w:eastAsia="宋体" w:cs="Times New Roman"/>
                <w:color w:val="auto"/>
              </w:rPr>
              <w:t>废气</w:t>
            </w:r>
          </w:p>
        </w:tc>
        <w:tc>
          <w:tcPr>
            <w:tcW w:w="1373" w:type="pct"/>
            <w:vAlign w:val="center"/>
          </w:tcPr>
          <w:p w14:paraId="421E094F">
            <w:pPr>
              <w:spacing w:line="320" w:lineRule="exact"/>
              <w:jc w:val="center"/>
              <w:rPr>
                <w:rFonts w:ascii="宋体" w:hAnsi="宋体" w:eastAsia="宋体" w:cs="Times New Roman"/>
                <w:color w:val="auto"/>
              </w:rPr>
            </w:pPr>
            <w:r>
              <w:rPr>
                <w:rFonts w:ascii="宋体" w:hAnsi="宋体" w:eastAsia="宋体" w:cs="Times New Roman"/>
                <w:color w:val="auto"/>
              </w:rPr>
              <w:t>非甲烷总烃</w:t>
            </w:r>
          </w:p>
        </w:tc>
        <w:tc>
          <w:tcPr>
            <w:tcW w:w="1294" w:type="pct"/>
            <w:vAlign w:val="center"/>
          </w:tcPr>
          <w:p w14:paraId="1557FA30">
            <w:pPr>
              <w:spacing w:line="320" w:lineRule="exact"/>
              <w:jc w:val="center"/>
              <w:rPr>
                <w:rFonts w:ascii="宋体" w:hAnsi="宋体" w:eastAsia="宋体" w:cs="Times New Roman"/>
                <w:color w:val="auto"/>
              </w:rPr>
            </w:pPr>
            <w:r>
              <w:rPr>
                <w:rFonts w:ascii="宋体" w:hAnsi="宋体" w:eastAsia="宋体" w:cs="Times New Roman"/>
                <w:color w:val="auto"/>
              </w:rPr>
              <w:t>17.29t/a</w:t>
            </w:r>
          </w:p>
        </w:tc>
        <w:tc>
          <w:tcPr>
            <w:tcW w:w="1182" w:type="pct"/>
            <w:vAlign w:val="center"/>
          </w:tcPr>
          <w:p w14:paraId="6B25B8C9">
            <w:pPr>
              <w:spacing w:line="320" w:lineRule="exact"/>
              <w:jc w:val="center"/>
              <w:rPr>
                <w:rFonts w:ascii="宋体" w:hAnsi="宋体" w:eastAsia="宋体" w:cs="Times New Roman"/>
                <w:color w:val="auto"/>
              </w:rPr>
            </w:pPr>
            <w:r>
              <w:rPr>
                <w:rFonts w:ascii="宋体" w:hAnsi="宋体" w:eastAsia="宋体" w:cs="Times New Roman"/>
                <w:color w:val="auto"/>
              </w:rPr>
              <w:t>0</w:t>
            </w:r>
          </w:p>
        </w:tc>
        <w:tc>
          <w:tcPr>
            <w:tcW w:w="779" w:type="pct"/>
            <w:vAlign w:val="center"/>
          </w:tcPr>
          <w:p w14:paraId="212EDD73">
            <w:pPr>
              <w:spacing w:line="320" w:lineRule="exact"/>
              <w:jc w:val="center"/>
              <w:rPr>
                <w:rFonts w:ascii="宋体" w:hAnsi="宋体" w:eastAsia="宋体" w:cs="Times New Roman"/>
                <w:color w:val="auto"/>
              </w:rPr>
            </w:pPr>
            <w:r>
              <w:rPr>
                <w:rFonts w:ascii="宋体" w:hAnsi="宋体" w:eastAsia="宋体" w:cs="Times New Roman"/>
                <w:color w:val="auto"/>
              </w:rPr>
              <w:t>17.29t/a</w:t>
            </w:r>
          </w:p>
        </w:tc>
      </w:tr>
      <w:tr w14:paraId="6FE5B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8" w:type="pct"/>
            <w:vMerge w:val="continue"/>
            <w:vAlign w:val="center"/>
          </w:tcPr>
          <w:p w14:paraId="7225531C">
            <w:pPr>
              <w:spacing w:line="320" w:lineRule="exact"/>
              <w:jc w:val="center"/>
              <w:rPr>
                <w:rFonts w:ascii="宋体" w:hAnsi="宋体" w:eastAsia="宋体" w:cs="Times New Roman"/>
                <w:color w:val="auto"/>
              </w:rPr>
            </w:pPr>
          </w:p>
        </w:tc>
        <w:tc>
          <w:tcPr>
            <w:tcW w:w="1373" w:type="pct"/>
            <w:vAlign w:val="center"/>
          </w:tcPr>
          <w:p w14:paraId="1CF23BDB">
            <w:pPr>
              <w:spacing w:line="320" w:lineRule="exact"/>
              <w:jc w:val="center"/>
              <w:rPr>
                <w:rFonts w:ascii="宋体" w:hAnsi="宋体" w:eastAsia="宋体" w:cs="Times New Roman"/>
                <w:color w:val="auto"/>
              </w:rPr>
            </w:pPr>
            <w:r>
              <w:rPr>
                <w:rFonts w:ascii="宋体" w:hAnsi="宋体" w:eastAsia="宋体" w:cs="Times New Roman"/>
                <w:color w:val="auto"/>
              </w:rPr>
              <w:t>颗粒物</w:t>
            </w:r>
          </w:p>
        </w:tc>
        <w:tc>
          <w:tcPr>
            <w:tcW w:w="1294" w:type="pct"/>
            <w:vAlign w:val="center"/>
          </w:tcPr>
          <w:p w14:paraId="13EEFC94">
            <w:pPr>
              <w:spacing w:line="320" w:lineRule="exact"/>
              <w:jc w:val="center"/>
              <w:rPr>
                <w:rFonts w:ascii="宋体" w:hAnsi="宋体" w:eastAsia="宋体" w:cs="Times New Roman"/>
                <w:color w:val="auto"/>
              </w:rPr>
            </w:pPr>
            <w:r>
              <w:rPr>
                <w:rFonts w:ascii="宋体" w:hAnsi="宋体" w:eastAsia="宋体" w:cs="Times New Roman"/>
                <w:color w:val="auto"/>
              </w:rPr>
              <w:t>0.1t/a</w:t>
            </w:r>
          </w:p>
        </w:tc>
        <w:tc>
          <w:tcPr>
            <w:tcW w:w="1182" w:type="pct"/>
            <w:vAlign w:val="center"/>
          </w:tcPr>
          <w:p w14:paraId="525C8033">
            <w:pPr>
              <w:spacing w:line="320" w:lineRule="exact"/>
              <w:jc w:val="center"/>
              <w:rPr>
                <w:rFonts w:ascii="宋体" w:hAnsi="宋体" w:eastAsia="宋体" w:cs="Times New Roman"/>
                <w:color w:val="auto"/>
              </w:rPr>
            </w:pPr>
            <w:r>
              <w:rPr>
                <w:rFonts w:ascii="宋体" w:hAnsi="宋体" w:eastAsia="宋体" w:cs="Times New Roman"/>
                <w:color w:val="auto"/>
              </w:rPr>
              <w:t>0</w:t>
            </w:r>
          </w:p>
        </w:tc>
        <w:tc>
          <w:tcPr>
            <w:tcW w:w="779" w:type="pct"/>
            <w:vAlign w:val="center"/>
          </w:tcPr>
          <w:p w14:paraId="41AEF47A">
            <w:pPr>
              <w:spacing w:line="320" w:lineRule="exact"/>
              <w:jc w:val="center"/>
              <w:rPr>
                <w:rFonts w:ascii="宋体" w:hAnsi="宋体" w:eastAsia="宋体" w:cs="Times New Roman"/>
                <w:color w:val="auto"/>
              </w:rPr>
            </w:pPr>
            <w:r>
              <w:rPr>
                <w:rFonts w:ascii="宋体" w:hAnsi="宋体" w:eastAsia="宋体" w:cs="Times New Roman"/>
                <w:color w:val="auto"/>
              </w:rPr>
              <w:t>0.1t/a</w:t>
            </w:r>
          </w:p>
        </w:tc>
      </w:tr>
      <w:tr w14:paraId="4D55B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8" w:type="pct"/>
            <w:vMerge w:val="continue"/>
            <w:vAlign w:val="center"/>
          </w:tcPr>
          <w:p w14:paraId="5BD9111C">
            <w:pPr>
              <w:spacing w:line="320" w:lineRule="exact"/>
              <w:jc w:val="center"/>
              <w:rPr>
                <w:rFonts w:ascii="宋体" w:hAnsi="宋体" w:eastAsia="宋体" w:cs="Times New Roman"/>
                <w:color w:val="auto"/>
              </w:rPr>
            </w:pPr>
          </w:p>
        </w:tc>
        <w:tc>
          <w:tcPr>
            <w:tcW w:w="1373" w:type="pct"/>
            <w:vAlign w:val="center"/>
          </w:tcPr>
          <w:p w14:paraId="317248BF">
            <w:pPr>
              <w:spacing w:line="32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1294" w:type="pct"/>
            <w:vAlign w:val="center"/>
          </w:tcPr>
          <w:p w14:paraId="085D9E9B">
            <w:pPr>
              <w:spacing w:line="320" w:lineRule="exact"/>
              <w:jc w:val="center"/>
              <w:rPr>
                <w:rFonts w:ascii="宋体" w:hAnsi="宋体" w:eastAsia="宋体" w:cs="Times New Roman"/>
                <w:color w:val="auto"/>
              </w:rPr>
            </w:pPr>
            <w:r>
              <w:rPr>
                <w:rFonts w:ascii="宋体" w:hAnsi="宋体" w:eastAsia="宋体" w:cs="Times New Roman"/>
                <w:color w:val="auto"/>
              </w:rPr>
              <w:t>0.096t/a</w:t>
            </w:r>
          </w:p>
        </w:tc>
        <w:tc>
          <w:tcPr>
            <w:tcW w:w="1182" w:type="pct"/>
            <w:vAlign w:val="center"/>
          </w:tcPr>
          <w:p w14:paraId="0A9A6446">
            <w:pPr>
              <w:spacing w:line="320" w:lineRule="exact"/>
              <w:jc w:val="center"/>
              <w:rPr>
                <w:rFonts w:ascii="宋体" w:hAnsi="宋体" w:eastAsia="宋体" w:cs="Times New Roman"/>
                <w:color w:val="auto"/>
              </w:rPr>
            </w:pPr>
            <w:r>
              <w:rPr>
                <w:rFonts w:ascii="宋体" w:hAnsi="宋体" w:eastAsia="宋体" w:cs="Times New Roman"/>
                <w:color w:val="auto"/>
              </w:rPr>
              <w:t>0</w:t>
            </w:r>
          </w:p>
        </w:tc>
        <w:tc>
          <w:tcPr>
            <w:tcW w:w="779" w:type="pct"/>
            <w:vAlign w:val="center"/>
          </w:tcPr>
          <w:p w14:paraId="60057B3D">
            <w:pPr>
              <w:spacing w:line="320" w:lineRule="exact"/>
              <w:jc w:val="center"/>
              <w:rPr>
                <w:rFonts w:ascii="宋体" w:hAnsi="宋体" w:eastAsia="宋体" w:cs="Times New Roman"/>
                <w:color w:val="auto"/>
              </w:rPr>
            </w:pPr>
            <w:r>
              <w:rPr>
                <w:rFonts w:ascii="宋体" w:hAnsi="宋体" w:eastAsia="宋体" w:cs="Times New Roman"/>
                <w:color w:val="auto"/>
              </w:rPr>
              <w:t>0.096t/a</w:t>
            </w:r>
          </w:p>
        </w:tc>
      </w:tr>
      <w:tr w14:paraId="3ACDD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8" w:type="pct"/>
            <w:vMerge w:val="continue"/>
            <w:vAlign w:val="center"/>
          </w:tcPr>
          <w:p w14:paraId="6CE5D322">
            <w:pPr>
              <w:spacing w:line="320" w:lineRule="exact"/>
              <w:jc w:val="center"/>
              <w:rPr>
                <w:rFonts w:ascii="宋体" w:hAnsi="宋体" w:eastAsia="宋体" w:cs="Times New Roman"/>
                <w:color w:val="auto"/>
              </w:rPr>
            </w:pPr>
          </w:p>
        </w:tc>
        <w:tc>
          <w:tcPr>
            <w:tcW w:w="1373" w:type="pct"/>
            <w:vAlign w:val="center"/>
          </w:tcPr>
          <w:p w14:paraId="47E1A9F9">
            <w:pPr>
              <w:spacing w:line="320" w:lineRule="exact"/>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x</w:t>
            </w:r>
          </w:p>
        </w:tc>
        <w:tc>
          <w:tcPr>
            <w:tcW w:w="1294" w:type="pct"/>
            <w:vAlign w:val="center"/>
          </w:tcPr>
          <w:p w14:paraId="3742A194">
            <w:pPr>
              <w:spacing w:line="320" w:lineRule="exact"/>
              <w:jc w:val="center"/>
              <w:rPr>
                <w:rFonts w:ascii="宋体" w:hAnsi="宋体" w:eastAsia="宋体" w:cs="Times New Roman"/>
                <w:color w:val="auto"/>
              </w:rPr>
            </w:pPr>
            <w:r>
              <w:rPr>
                <w:rFonts w:ascii="宋体" w:hAnsi="宋体" w:eastAsia="宋体" w:cs="Times New Roman"/>
                <w:color w:val="auto"/>
              </w:rPr>
              <w:t>0.835t/a</w:t>
            </w:r>
          </w:p>
        </w:tc>
        <w:tc>
          <w:tcPr>
            <w:tcW w:w="1182" w:type="pct"/>
            <w:vAlign w:val="center"/>
          </w:tcPr>
          <w:p w14:paraId="123D88BB">
            <w:pPr>
              <w:spacing w:line="320" w:lineRule="exact"/>
              <w:jc w:val="center"/>
              <w:rPr>
                <w:rFonts w:ascii="宋体" w:hAnsi="宋体" w:eastAsia="宋体" w:cs="Times New Roman"/>
                <w:color w:val="auto"/>
              </w:rPr>
            </w:pPr>
            <w:r>
              <w:rPr>
                <w:rFonts w:ascii="宋体" w:hAnsi="宋体" w:eastAsia="宋体" w:cs="Times New Roman"/>
                <w:color w:val="auto"/>
              </w:rPr>
              <w:t>0</w:t>
            </w:r>
          </w:p>
        </w:tc>
        <w:tc>
          <w:tcPr>
            <w:tcW w:w="779" w:type="pct"/>
            <w:vAlign w:val="center"/>
          </w:tcPr>
          <w:p w14:paraId="5DB318DE">
            <w:pPr>
              <w:spacing w:line="320" w:lineRule="exact"/>
              <w:jc w:val="center"/>
              <w:rPr>
                <w:rFonts w:ascii="宋体" w:hAnsi="宋体" w:eastAsia="宋体" w:cs="Times New Roman"/>
                <w:color w:val="auto"/>
              </w:rPr>
            </w:pPr>
            <w:r>
              <w:rPr>
                <w:rFonts w:ascii="宋体" w:hAnsi="宋体" w:eastAsia="宋体" w:cs="Times New Roman"/>
                <w:color w:val="auto"/>
              </w:rPr>
              <w:t>0.835t/a</w:t>
            </w:r>
          </w:p>
        </w:tc>
      </w:tr>
      <w:tr w14:paraId="69765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8" w:type="pct"/>
            <w:vMerge w:val="restart"/>
            <w:vAlign w:val="center"/>
          </w:tcPr>
          <w:p w14:paraId="062025C9">
            <w:pPr>
              <w:spacing w:line="320" w:lineRule="exact"/>
              <w:jc w:val="center"/>
              <w:rPr>
                <w:rFonts w:ascii="宋体" w:hAnsi="宋体" w:eastAsia="宋体" w:cs="Times New Roman"/>
                <w:color w:val="auto"/>
              </w:rPr>
            </w:pPr>
            <w:r>
              <w:rPr>
                <w:rFonts w:ascii="宋体" w:hAnsi="宋体" w:eastAsia="宋体" w:cs="Times New Roman"/>
                <w:color w:val="auto"/>
              </w:rPr>
              <w:t>废水</w:t>
            </w:r>
          </w:p>
        </w:tc>
        <w:tc>
          <w:tcPr>
            <w:tcW w:w="1373" w:type="pct"/>
            <w:vAlign w:val="center"/>
          </w:tcPr>
          <w:p w14:paraId="1A56338A">
            <w:pPr>
              <w:spacing w:line="320" w:lineRule="exact"/>
              <w:jc w:val="center"/>
              <w:rPr>
                <w:rFonts w:ascii="宋体" w:hAnsi="宋体" w:eastAsia="宋体" w:cs="Times New Roman"/>
                <w:color w:val="auto"/>
              </w:rPr>
            </w:pPr>
            <w:r>
              <w:rPr>
                <w:rFonts w:ascii="宋体" w:hAnsi="宋体" w:eastAsia="宋体" w:cs="Times New Roman"/>
                <w:color w:val="auto"/>
              </w:rPr>
              <w:t>油田采出水</w:t>
            </w:r>
          </w:p>
        </w:tc>
        <w:tc>
          <w:tcPr>
            <w:tcW w:w="1294" w:type="pct"/>
            <w:vAlign w:val="center"/>
          </w:tcPr>
          <w:p w14:paraId="7803EC5A">
            <w:pPr>
              <w:spacing w:line="320" w:lineRule="exact"/>
              <w:jc w:val="center"/>
              <w:rPr>
                <w:rFonts w:ascii="宋体" w:hAnsi="宋体" w:eastAsia="宋体" w:cs="Times New Roman"/>
                <w:color w:val="auto"/>
              </w:rPr>
            </w:pPr>
            <w:r>
              <w:rPr>
                <w:rFonts w:ascii="宋体" w:hAnsi="宋体" w:eastAsia="宋体" w:cs="Times New Roman"/>
                <w:color w:val="auto"/>
              </w:rPr>
              <w:t>1.67×10</w:t>
            </w:r>
            <w:r>
              <w:rPr>
                <w:rFonts w:ascii="宋体" w:hAnsi="宋体" w:eastAsia="宋体" w:cs="Times New Roman"/>
                <w:color w:val="auto"/>
                <w:vertAlign w:val="superscript"/>
              </w:rPr>
              <w:t>4</w:t>
            </w:r>
            <w:r>
              <w:rPr>
                <w:rFonts w:ascii="宋体" w:hAnsi="宋体" w:eastAsia="宋体" w:cs="Times New Roman"/>
                <w:color w:val="auto"/>
              </w:rPr>
              <w:t>m</w:t>
            </w:r>
            <w:r>
              <w:rPr>
                <w:rFonts w:ascii="宋体" w:hAnsi="宋体" w:eastAsia="宋体" w:cs="Times New Roman"/>
                <w:color w:val="auto"/>
                <w:vertAlign w:val="superscript"/>
              </w:rPr>
              <w:t>3</w:t>
            </w:r>
            <w:r>
              <w:rPr>
                <w:rFonts w:ascii="宋体" w:hAnsi="宋体" w:eastAsia="宋体" w:cs="Times New Roman"/>
                <w:color w:val="auto"/>
              </w:rPr>
              <w:t>/a</w:t>
            </w:r>
          </w:p>
        </w:tc>
        <w:tc>
          <w:tcPr>
            <w:tcW w:w="1182" w:type="pct"/>
            <w:vAlign w:val="center"/>
          </w:tcPr>
          <w:p w14:paraId="498F33E1">
            <w:pPr>
              <w:spacing w:line="320" w:lineRule="exact"/>
              <w:jc w:val="center"/>
              <w:rPr>
                <w:rFonts w:ascii="宋体" w:hAnsi="宋体" w:eastAsia="宋体" w:cs="Times New Roman"/>
                <w:color w:val="auto"/>
              </w:rPr>
            </w:pPr>
            <w:r>
              <w:rPr>
                <w:rFonts w:ascii="宋体" w:hAnsi="宋体" w:eastAsia="宋体" w:cs="Times New Roman"/>
                <w:color w:val="auto"/>
              </w:rPr>
              <w:t>1.67×10</w:t>
            </w:r>
            <w:r>
              <w:rPr>
                <w:rFonts w:ascii="宋体" w:hAnsi="宋体" w:eastAsia="宋体" w:cs="Times New Roman"/>
                <w:color w:val="auto"/>
                <w:vertAlign w:val="superscript"/>
              </w:rPr>
              <w:t>4</w:t>
            </w:r>
            <w:r>
              <w:rPr>
                <w:rFonts w:ascii="宋体" w:hAnsi="宋体" w:eastAsia="宋体" w:cs="Times New Roman"/>
                <w:color w:val="auto"/>
              </w:rPr>
              <w:t>m</w:t>
            </w:r>
            <w:r>
              <w:rPr>
                <w:rFonts w:ascii="宋体" w:hAnsi="宋体" w:eastAsia="宋体" w:cs="Times New Roman"/>
                <w:color w:val="auto"/>
                <w:vertAlign w:val="superscript"/>
              </w:rPr>
              <w:t>3</w:t>
            </w:r>
            <w:r>
              <w:rPr>
                <w:rFonts w:ascii="宋体" w:hAnsi="宋体" w:eastAsia="宋体" w:cs="Times New Roman"/>
                <w:color w:val="auto"/>
              </w:rPr>
              <w:t>/a</w:t>
            </w:r>
          </w:p>
        </w:tc>
        <w:tc>
          <w:tcPr>
            <w:tcW w:w="779" w:type="pct"/>
            <w:vAlign w:val="center"/>
          </w:tcPr>
          <w:p w14:paraId="15C609E5">
            <w:pPr>
              <w:spacing w:line="320" w:lineRule="exact"/>
              <w:jc w:val="center"/>
              <w:rPr>
                <w:rFonts w:ascii="宋体" w:hAnsi="宋体" w:eastAsia="宋体" w:cs="Times New Roman"/>
                <w:color w:val="auto"/>
              </w:rPr>
            </w:pPr>
            <w:r>
              <w:rPr>
                <w:rFonts w:ascii="宋体" w:hAnsi="宋体" w:eastAsia="宋体" w:cs="Times New Roman"/>
                <w:color w:val="auto"/>
              </w:rPr>
              <w:t>0</w:t>
            </w:r>
          </w:p>
        </w:tc>
      </w:tr>
      <w:tr w14:paraId="4AC57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8" w:type="pct"/>
            <w:vMerge w:val="continue"/>
            <w:vAlign w:val="center"/>
          </w:tcPr>
          <w:p w14:paraId="7B060A81">
            <w:pPr>
              <w:spacing w:line="320" w:lineRule="exact"/>
              <w:jc w:val="center"/>
              <w:rPr>
                <w:rFonts w:ascii="宋体" w:hAnsi="宋体" w:eastAsia="宋体" w:cs="Times New Roman"/>
                <w:color w:val="auto"/>
              </w:rPr>
            </w:pPr>
          </w:p>
        </w:tc>
        <w:tc>
          <w:tcPr>
            <w:tcW w:w="1373" w:type="pct"/>
            <w:vAlign w:val="center"/>
          </w:tcPr>
          <w:p w14:paraId="31CDEEC0">
            <w:pPr>
              <w:spacing w:line="320" w:lineRule="exact"/>
              <w:jc w:val="center"/>
              <w:rPr>
                <w:rFonts w:ascii="宋体" w:hAnsi="宋体" w:eastAsia="宋体" w:cs="Times New Roman"/>
                <w:color w:val="auto"/>
              </w:rPr>
            </w:pPr>
            <w:r>
              <w:rPr>
                <w:rFonts w:ascii="宋体" w:hAnsi="宋体" w:eastAsia="宋体" w:cs="Times New Roman"/>
                <w:color w:val="auto"/>
              </w:rPr>
              <w:t>作业污水</w:t>
            </w:r>
          </w:p>
        </w:tc>
        <w:tc>
          <w:tcPr>
            <w:tcW w:w="1294" w:type="pct"/>
            <w:vAlign w:val="center"/>
          </w:tcPr>
          <w:p w14:paraId="444D0734">
            <w:pPr>
              <w:spacing w:line="320" w:lineRule="exact"/>
              <w:jc w:val="center"/>
              <w:rPr>
                <w:rFonts w:ascii="宋体" w:hAnsi="宋体" w:eastAsia="宋体" w:cs="Times New Roman"/>
                <w:color w:val="auto"/>
              </w:rPr>
            </w:pPr>
            <w:r>
              <w:rPr>
                <w:rFonts w:ascii="宋体" w:hAnsi="宋体" w:eastAsia="宋体" w:cs="Times New Roman"/>
                <w:color w:val="auto"/>
              </w:rPr>
              <w:t>148.96m</w:t>
            </w:r>
            <w:r>
              <w:rPr>
                <w:rFonts w:ascii="宋体" w:hAnsi="宋体" w:eastAsia="宋体" w:cs="Times New Roman"/>
                <w:color w:val="auto"/>
                <w:vertAlign w:val="superscript"/>
              </w:rPr>
              <w:t>3</w:t>
            </w:r>
            <w:r>
              <w:rPr>
                <w:rFonts w:ascii="宋体" w:hAnsi="宋体" w:eastAsia="宋体" w:cs="Times New Roman"/>
                <w:color w:val="auto"/>
              </w:rPr>
              <w:t>/a</w:t>
            </w:r>
          </w:p>
        </w:tc>
        <w:tc>
          <w:tcPr>
            <w:tcW w:w="1182" w:type="pct"/>
            <w:vAlign w:val="center"/>
          </w:tcPr>
          <w:p w14:paraId="5A1A2C5B">
            <w:pPr>
              <w:spacing w:line="320" w:lineRule="exact"/>
              <w:jc w:val="center"/>
              <w:rPr>
                <w:rFonts w:ascii="宋体" w:hAnsi="宋体" w:eastAsia="宋体" w:cs="Times New Roman"/>
                <w:color w:val="auto"/>
              </w:rPr>
            </w:pPr>
            <w:r>
              <w:rPr>
                <w:rFonts w:ascii="宋体" w:hAnsi="宋体" w:eastAsia="宋体" w:cs="Times New Roman"/>
                <w:color w:val="auto"/>
              </w:rPr>
              <w:t>148.96m</w:t>
            </w:r>
            <w:r>
              <w:rPr>
                <w:rFonts w:ascii="宋体" w:hAnsi="宋体" w:eastAsia="宋体" w:cs="Times New Roman"/>
                <w:color w:val="auto"/>
                <w:vertAlign w:val="superscript"/>
              </w:rPr>
              <w:t>3</w:t>
            </w:r>
            <w:r>
              <w:rPr>
                <w:rFonts w:ascii="宋体" w:hAnsi="宋体" w:eastAsia="宋体" w:cs="Times New Roman"/>
                <w:color w:val="auto"/>
              </w:rPr>
              <w:t>/a</w:t>
            </w:r>
          </w:p>
        </w:tc>
        <w:tc>
          <w:tcPr>
            <w:tcW w:w="779" w:type="pct"/>
            <w:vAlign w:val="center"/>
          </w:tcPr>
          <w:p w14:paraId="3924906D">
            <w:pPr>
              <w:spacing w:line="320" w:lineRule="exact"/>
              <w:jc w:val="center"/>
              <w:rPr>
                <w:rFonts w:ascii="宋体" w:hAnsi="宋体" w:eastAsia="宋体" w:cs="Times New Roman"/>
                <w:color w:val="auto"/>
              </w:rPr>
            </w:pPr>
            <w:r>
              <w:rPr>
                <w:rFonts w:ascii="宋体" w:hAnsi="宋体" w:eastAsia="宋体" w:cs="Times New Roman"/>
                <w:color w:val="auto"/>
              </w:rPr>
              <w:t>0</w:t>
            </w:r>
          </w:p>
        </w:tc>
      </w:tr>
      <w:tr w14:paraId="13BD9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8" w:type="pct"/>
            <w:vMerge w:val="continue"/>
            <w:vAlign w:val="center"/>
          </w:tcPr>
          <w:p w14:paraId="14B12922">
            <w:pPr>
              <w:spacing w:line="320" w:lineRule="exact"/>
              <w:jc w:val="center"/>
              <w:rPr>
                <w:rFonts w:ascii="宋体" w:hAnsi="宋体" w:eastAsia="宋体" w:cs="Times New Roman"/>
                <w:color w:val="auto"/>
              </w:rPr>
            </w:pPr>
          </w:p>
        </w:tc>
        <w:tc>
          <w:tcPr>
            <w:tcW w:w="1373" w:type="pct"/>
            <w:vAlign w:val="center"/>
          </w:tcPr>
          <w:p w14:paraId="6B83A7C2">
            <w:pPr>
              <w:spacing w:line="320" w:lineRule="exact"/>
              <w:jc w:val="center"/>
              <w:rPr>
                <w:rFonts w:ascii="宋体" w:hAnsi="宋体" w:eastAsia="宋体" w:cs="Times New Roman"/>
                <w:color w:val="auto"/>
              </w:rPr>
            </w:pPr>
            <w:r>
              <w:rPr>
                <w:rFonts w:ascii="宋体" w:hAnsi="宋体" w:eastAsia="宋体" w:cs="Times New Roman"/>
                <w:color w:val="auto"/>
              </w:rPr>
              <w:t>洗井污水</w:t>
            </w:r>
          </w:p>
        </w:tc>
        <w:tc>
          <w:tcPr>
            <w:tcW w:w="1294" w:type="pct"/>
            <w:vAlign w:val="center"/>
          </w:tcPr>
          <w:p w14:paraId="34C7B656">
            <w:pPr>
              <w:spacing w:line="320" w:lineRule="exact"/>
              <w:jc w:val="center"/>
              <w:rPr>
                <w:rFonts w:ascii="宋体" w:hAnsi="宋体" w:eastAsia="宋体" w:cs="Times New Roman"/>
                <w:color w:val="auto"/>
              </w:rPr>
            </w:pPr>
            <w:r>
              <w:rPr>
                <w:rFonts w:ascii="宋体" w:hAnsi="宋体" w:eastAsia="宋体" w:cs="Times New Roman"/>
                <w:color w:val="auto"/>
              </w:rPr>
              <w:t>16182.6m</w:t>
            </w:r>
            <w:r>
              <w:rPr>
                <w:rFonts w:ascii="宋体" w:hAnsi="宋体" w:eastAsia="宋体" w:cs="Times New Roman"/>
                <w:color w:val="auto"/>
                <w:vertAlign w:val="superscript"/>
              </w:rPr>
              <w:t>3</w:t>
            </w:r>
            <w:r>
              <w:rPr>
                <w:rFonts w:ascii="宋体" w:hAnsi="宋体" w:eastAsia="宋体" w:cs="Times New Roman"/>
                <w:color w:val="auto"/>
              </w:rPr>
              <w:t>/a</w:t>
            </w:r>
          </w:p>
        </w:tc>
        <w:tc>
          <w:tcPr>
            <w:tcW w:w="1182" w:type="pct"/>
            <w:vAlign w:val="center"/>
          </w:tcPr>
          <w:p w14:paraId="6CAADAA1">
            <w:pPr>
              <w:spacing w:line="320" w:lineRule="exact"/>
              <w:jc w:val="center"/>
              <w:rPr>
                <w:rFonts w:ascii="宋体" w:hAnsi="宋体" w:eastAsia="宋体" w:cs="Times New Roman"/>
                <w:color w:val="auto"/>
              </w:rPr>
            </w:pPr>
            <w:r>
              <w:rPr>
                <w:rFonts w:ascii="宋体" w:hAnsi="宋体" w:eastAsia="宋体" w:cs="Times New Roman"/>
                <w:color w:val="auto"/>
              </w:rPr>
              <w:t>16182.6m</w:t>
            </w:r>
            <w:r>
              <w:rPr>
                <w:rFonts w:ascii="宋体" w:hAnsi="宋体" w:eastAsia="宋体" w:cs="Times New Roman"/>
                <w:color w:val="auto"/>
                <w:vertAlign w:val="superscript"/>
              </w:rPr>
              <w:t>3</w:t>
            </w:r>
            <w:r>
              <w:rPr>
                <w:rFonts w:ascii="宋体" w:hAnsi="宋体" w:eastAsia="宋体" w:cs="Times New Roman"/>
                <w:color w:val="auto"/>
              </w:rPr>
              <w:t>/a</w:t>
            </w:r>
          </w:p>
        </w:tc>
        <w:tc>
          <w:tcPr>
            <w:tcW w:w="779" w:type="pct"/>
            <w:vAlign w:val="center"/>
          </w:tcPr>
          <w:p w14:paraId="71924713">
            <w:pPr>
              <w:spacing w:line="320" w:lineRule="exact"/>
              <w:jc w:val="center"/>
              <w:rPr>
                <w:rFonts w:ascii="宋体" w:hAnsi="宋体" w:eastAsia="宋体" w:cs="Times New Roman"/>
                <w:color w:val="auto"/>
              </w:rPr>
            </w:pPr>
            <w:r>
              <w:rPr>
                <w:rFonts w:ascii="宋体" w:hAnsi="宋体" w:eastAsia="宋体" w:cs="Times New Roman"/>
                <w:color w:val="auto"/>
              </w:rPr>
              <w:t>0</w:t>
            </w:r>
          </w:p>
        </w:tc>
      </w:tr>
      <w:tr w14:paraId="6076C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8" w:type="pct"/>
            <w:vMerge w:val="restart"/>
            <w:vAlign w:val="center"/>
          </w:tcPr>
          <w:p w14:paraId="6B3109DE">
            <w:pPr>
              <w:spacing w:line="320" w:lineRule="exact"/>
              <w:jc w:val="center"/>
              <w:rPr>
                <w:rFonts w:ascii="宋体" w:hAnsi="宋体" w:eastAsia="宋体" w:cs="Times New Roman"/>
                <w:color w:val="auto"/>
              </w:rPr>
            </w:pPr>
            <w:r>
              <w:rPr>
                <w:rFonts w:ascii="宋体" w:hAnsi="宋体" w:eastAsia="宋体" w:cs="Times New Roman"/>
                <w:color w:val="auto"/>
              </w:rPr>
              <w:t>固废</w:t>
            </w:r>
          </w:p>
        </w:tc>
        <w:tc>
          <w:tcPr>
            <w:tcW w:w="1373" w:type="pct"/>
            <w:vAlign w:val="center"/>
          </w:tcPr>
          <w:p w14:paraId="53547180">
            <w:pPr>
              <w:spacing w:line="320" w:lineRule="exact"/>
              <w:jc w:val="center"/>
              <w:rPr>
                <w:rFonts w:ascii="宋体" w:hAnsi="宋体" w:eastAsia="宋体" w:cs="Times New Roman"/>
                <w:color w:val="auto"/>
              </w:rPr>
            </w:pPr>
            <w:r>
              <w:rPr>
                <w:rFonts w:ascii="宋体" w:hAnsi="宋体" w:eastAsia="宋体" w:cs="Times New Roman"/>
                <w:color w:val="auto"/>
              </w:rPr>
              <w:t>作业含油污泥</w:t>
            </w:r>
          </w:p>
        </w:tc>
        <w:tc>
          <w:tcPr>
            <w:tcW w:w="1294" w:type="pct"/>
            <w:vAlign w:val="center"/>
          </w:tcPr>
          <w:p w14:paraId="69930C0C">
            <w:pPr>
              <w:spacing w:line="320" w:lineRule="exact"/>
              <w:jc w:val="center"/>
              <w:rPr>
                <w:rFonts w:ascii="宋体" w:hAnsi="宋体" w:eastAsia="宋体" w:cs="Times New Roman"/>
                <w:color w:val="auto"/>
              </w:rPr>
            </w:pPr>
            <w:r>
              <w:rPr>
                <w:rFonts w:ascii="宋体" w:hAnsi="宋体" w:eastAsia="宋体" w:cs="Times New Roman"/>
                <w:color w:val="auto"/>
              </w:rPr>
              <w:t>0.37t/a</w:t>
            </w:r>
          </w:p>
        </w:tc>
        <w:tc>
          <w:tcPr>
            <w:tcW w:w="1182" w:type="pct"/>
            <w:vAlign w:val="center"/>
          </w:tcPr>
          <w:p w14:paraId="49420C50">
            <w:pPr>
              <w:spacing w:line="320" w:lineRule="exact"/>
              <w:jc w:val="center"/>
              <w:rPr>
                <w:rFonts w:ascii="宋体" w:hAnsi="宋体" w:eastAsia="宋体" w:cs="Times New Roman"/>
                <w:color w:val="auto"/>
              </w:rPr>
            </w:pPr>
            <w:r>
              <w:rPr>
                <w:rFonts w:ascii="宋体" w:hAnsi="宋体" w:eastAsia="宋体" w:cs="Times New Roman"/>
                <w:color w:val="auto"/>
              </w:rPr>
              <w:t>0.37t/a</w:t>
            </w:r>
          </w:p>
        </w:tc>
        <w:tc>
          <w:tcPr>
            <w:tcW w:w="779" w:type="pct"/>
            <w:vAlign w:val="center"/>
          </w:tcPr>
          <w:p w14:paraId="05DF3EBE">
            <w:pPr>
              <w:spacing w:line="320" w:lineRule="exact"/>
              <w:jc w:val="center"/>
              <w:rPr>
                <w:rFonts w:ascii="宋体" w:hAnsi="宋体" w:eastAsia="宋体" w:cs="Times New Roman"/>
                <w:color w:val="auto"/>
              </w:rPr>
            </w:pPr>
            <w:r>
              <w:rPr>
                <w:rFonts w:ascii="宋体" w:hAnsi="宋体" w:eastAsia="宋体" w:cs="Times New Roman"/>
                <w:color w:val="auto"/>
              </w:rPr>
              <w:t>0</w:t>
            </w:r>
          </w:p>
        </w:tc>
      </w:tr>
      <w:tr w14:paraId="7C215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8" w:type="pct"/>
            <w:vMerge w:val="continue"/>
            <w:vAlign w:val="center"/>
          </w:tcPr>
          <w:p w14:paraId="477669F8">
            <w:pPr>
              <w:spacing w:line="320" w:lineRule="exact"/>
              <w:jc w:val="center"/>
              <w:rPr>
                <w:rFonts w:ascii="宋体" w:hAnsi="宋体" w:eastAsia="宋体" w:cs="Times New Roman"/>
                <w:color w:val="auto"/>
              </w:rPr>
            </w:pPr>
          </w:p>
        </w:tc>
        <w:tc>
          <w:tcPr>
            <w:tcW w:w="1373" w:type="pct"/>
            <w:vAlign w:val="center"/>
          </w:tcPr>
          <w:p w14:paraId="24CC3227">
            <w:pPr>
              <w:spacing w:line="320" w:lineRule="exact"/>
              <w:jc w:val="center"/>
              <w:rPr>
                <w:rFonts w:ascii="宋体" w:hAnsi="宋体" w:eastAsia="宋体" w:cs="Times New Roman"/>
                <w:color w:val="auto"/>
              </w:rPr>
            </w:pPr>
            <w:r>
              <w:rPr>
                <w:rFonts w:ascii="宋体" w:hAnsi="宋体" w:eastAsia="宋体" w:cs="Times New Roman"/>
                <w:color w:val="auto"/>
              </w:rPr>
              <w:t>含油废防渗布</w:t>
            </w:r>
          </w:p>
        </w:tc>
        <w:tc>
          <w:tcPr>
            <w:tcW w:w="1294" w:type="pct"/>
            <w:vAlign w:val="center"/>
          </w:tcPr>
          <w:p w14:paraId="48ACBA97">
            <w:pPr>
              <w:spacing w:line="320" w:lineRule="exact"/>
              <w:jc w:val="center"/>
              <w:rPr>
                <w:rFonts w:ascii="宋体" w:hAnsi="宋体" w:eastAsia="宋体" w:cs="Times New Roman"/>
                <w:color w:val="auto"/>
              </w:rPr>
            </w:pPr>
            <w:r>
              <w:rPr>
                <w:rFonts w:ascii="宋体" w:hAnsi="宋体" w:eastAsia="宋体" w:cs="Times New Roman"/>
                <w:color w:val="auto"/>
              </w:rPr>
              <w:t>0.98t/a</w:t>
            </w:r>
          </w:p>
        </w:tc>
        <w:tc>
          <w:tcPr>
            <w:tcW w:w="1182" w:type="pct"/>
            <w:vAlign w:val="center"/>
          </w:tcPr>
          <w:p w14:paraId="257F0414">
            <w:pPr>
              <w:spacing w:line="320" w:lineRule="exact"/>
              <w:jc w:val="center"/>
              <w:rPr>
                <w:rFonts w:ascii="宋体" w:hAnsi="宋体" w:eastAsia="宋体" w:cs="Times New Roman"/>
                <w:color w:val="auto"/>
              </w:rPr>
            </w:pPr>
            <w:r>
              <w:rPr>
                <w:rFonts w:ascii="宋体" w:hAnsi="宋体" w:eastAsia="宋体" w:cs="Times New Roman"/>
                <w:color w:val="auto"/>
              </w:rPr>
              <w:t>0.98t/a</w:t>
            </w:r>
          </w:p>
        </w:tc>
        <w:tc>
          <w:tcPr>
            <w:tcW w:w="779" w:type="pct"/>
            <w:vAlign w:val="center"/>
          </w:tcPr>
          <w:p w14:paraId="14CC4936">
            <w:pPr>
              <w:spacing w:line="320" w:lineRule="exact"/>
              <w:jc w:val="center"/>
              <w:rPr>
                <w:rFonts w:ascii="宋体" w:hAnsi="宋体" w:eastAsia="宋体" w:cs="Times New Roman"/>
                <w:color w:val="auto"/>
              </w:rPr>
            </w:pPr>
            <w:r>
              <w:rPr>
                <w:rFonts w:ascii="宋体" w:hAnsi="宋体" w:eastAsia="宋体" w:cs="Times New Roman"/>
                <w:color w:val="auto"/>
              </w:rPr>
              <w:t>0</w:t>
            </w:r>
          </w:p>
        </w:tc>
      </w:tr>
    </w:tbl>
    <w:p w14:paraId="270183C3">
      <w:pPr>
        <w:pStyle w:val="6"/>
        <w:rPr>
          <w:color w:val="auto"/>
        </w:rPr>
      </w:pPr>
      <w:bookmarkStart w:id="575" w:name="_Toc186444264"/>
      <w:r>
        <w:rPr>
          <w:color w:val="auto"/>
        </w:rPr>
        <w:t>滚动开发区块回顾性分析</w:t>
      </w:r>
    </w:p>
    <w:p w14:paraId="00288AAA">
      <w:pPr>
        <w:pStyle w:val="276"/>
        <w:widowControl w:val="0"/>
        <w:spacing w:line="440" w:lineRule="exact"/>
        <w:ind w:firstLine="480"/>
        <w:jc w:val="both"/>
        <w:rPr>
          <w:color w:val="auto"/>
          <w:kern w:val="2"/>
        </w:rPr>
      </w:pPr>
      <w:r>
        <w:rPr>
          <w:color w:val="auto"/>
          <w:kern w:val="2"/>
        </w:rPr>
        <w:t>（1）地下水及土壤防护措施及效果</w:t>
      </w:r>
    </w:p>
    <w:p w14:paraId="2E5C3F6D">
      <w:pPr>
        <w:pStyle w:val="276"/>
        <w:widowControl w:val="0"/>
        <w:spacing w:line="440" w:lineRule="exact"/>
        <w:ind w:firstLine="480"/>
        <w:jc w:val="both"/>
        <w:rPr>
          <w:color w:val="auto"/>
          <w:kern w:val="2"/>
        </w:rPr>
      </w:pPr>
      <w:r>
        <w:rPr>
          <w:color w:val="auto"/>
          <w:kern w:val="2"/>
        </w:rPr>
        <w:t>现有工程油水井井场地面已进行平整夯实，防渗</w:t>
      </w:r>
      <w:r>
        <w:rPr>
          <w:snapToGrid w:val="0"/>
          <w:color w:val="auto"/>
        </w:rPr>
        <w:t>性能</w:t>
      </w:r>
      <w:r>
        <w:rPr>
          <w:color w:val="auto"/>
          <w:kern w:val="2"/>
        </w:rPr>
        <w:t>满足《环境影响评价技术导则地下水环境》简单防渗区防渗要求。</w:t>
      </w:r>
    </w:p>
    <w:p w14:paraId="23F9FDC3">
      <w:pPr>
        <w:pStyle w:val="276"/>
        <w:widowControl w:val="0"/>
        <w:spacing w:line="440" w:lineRule="exact"/>
        <w:ind w:firstLine="480"/>
        <w:jc w:val="both"/>
        <w:rPr>
          <w:color w:val="auto"/>
          <w:kern w:val="2"/>
        </w:rPr>
      </w:pPr>
      <w:r>
        <w:rPr>
          <w:color w:val="auto"/>
          <w:kern w:val="2"/>
        </w:rPr>
        <w:t>根据本</w:t>
      </w:r>
      <w:r>
        <w:rPr>
          <w:rFonts w:hint="eastAsia"/>
          <w:color w:val="auto"/>
          <w:kern w:val="2"/>
        </w:rPr>
        <w:t>项目</w:t>
      </w:r>
      <w:r>
        <w:rPr>
          <w:color w:val="auto"/>
          <w:kern w:val="2"/>
        </w:rPr>
        <w:t>对区块内的地下水井监测结果显示，现有区块内地下水</w:t>
      </w:r>
      <w:r>
        <w:rPr>
          <w:color w:val="auto"/>
          <w:kern w:val="21"/>
        </w:rPr>
        <w:t>水质除潜水中锰外均满足《地下水质量标准》（GB/T 148488-2017）中的Ⅲ类标准</w:t>
      </w:r>
      <w:r>
        <w:rPr>
          <w:snapToGrid w:val="0"/>
          <w:color w:val="auto"/>
        </w:rPr>
        <w:t>要求</w:t>
      </w:r>
      <w:r>
        <w:rPr>
          <w:color w:val="auto"/>
          <w:kern w:val="21"/>
        </w:rPr>
        <w:t>，石油类满足《地表水环境质量标准》（GB 3838-2002）</w:t>
      </w:r>
      <w:r>
        <w:rPr>
          <w:color w:val="auto"/>
          <w:kern w:val="21"/>
        </w:rPr>
        <w:fldChar w:fldCharType="begin"/>
      </w:r>
      <w:r>
        <w:rPr>
          <w:color w:val="auto"/>
          <w:kern w:val="21"/>
        </w:rPr>
        <w:instrText xml:space="preserve"> = 2 \* ROMAN </w:instrText>
      </w:r>
      <w:r>
        <w:rPr>
          <w:color w:val="auto"/>
          <w:kern w:val="21"/>
        </w:rPr>
        <w:fldChar w:fldCharType="separate"/>
      </w:r>
      <w:r>
        <w:rPr>
          <w:color w:val="auto"/>
          <w:kern w:val="21"/>
        </w:rPr>
        <w:t>II</w:t>
      </w:r>
      <w:r>
        <w:rPr>
          <w:color w:val="auto"/>
          <w:kern w:val="21"/>
        </w:rPr>
        <w:fldChar w:fldCharType="end"/>
      </w:r>
      <w:r>
        <w:rPr>
          <w:color w:val="auto"/>
          <w:kern w:val="21"/>
        </w:rPr>
        <w:t>类标准。其中锰因子水质监测浓度占标率偏高，主要是由于评价区域地层中富含锰矿物，还原条件下转化的Mn</w:t>
      </w:r>
      <w:r>
        <w:rPr>
          <w:color w:val="auto"/>
          <w:kern w:val="21"/>
          <w:vertAlign w:val="superscript"/>
        </w:rPr>
        <w:t>2+</w:t>
      </w:r>
      <w:r>
        <w:rPr>
          <w:color w:val="auto"/>
          <w:kern w:val="21"/>
        </w:rPr>
        <w:t>在CO</w:t>
      </w:r>
      <w:r>
        <w:rPr>
          <w:color w:val="auto"/>
          <w:kern w:val="21"/>
          <w:vertAlign w:val="subscript"/>
        </w:rPr>
        <w:t>2</w:t>
      </w:r>
      <w:r>
        <w:rPr>
          <w:color w:val="auto"/>
          <w:kern w:val="21"/>
        </w:rPr>
        <w:t>作用下溶入地下水中，形成锰浓度偏高的水文地质化学环境。</w:t>
      </w:r>
      <w:r>
        <w:rPr>
          <w:color w:val="auto"/>
          <w:kern w:val="2"/>
        </w:rPr>
        <w:t>说明在采取地下水防护措施后现有工程对区域地下水无明显影响。</w:t>
      </w:r>
    </w:p>
    <w:p w14:paraId="4888D670">
      <w:pPr>
        <w:pStyle w:val="276"/>
        <w:widowControl w:val="0"/>
        <w:spacing w:line="440" w:lineRule="exact"/>
        <w:ind w:firstLine="480"/>
        <w:jc w:val="both"/>
        <w:rPr>
          <w:color w:val="auto"/>
          <w:kern w:val="2"/>
        </w:rPr>
      </w:pPr>
      <w:r>
        <w:rPr>
          <w:color w:val="auto"/>
          <w:kern w:val="2"/>
        </w:rPr>
        <w:t>根据</w:t>
      </w:r>
      <w:r>
        <w:rPr>
          <w:rFonts w:hint="eastAsia"/>
          <w:color w:val="auto"/>
          <w:kern w:val="2"/>
        </w:rPr>
        <w:t>《肇源油田源</w:t>
      </w:r>
      <w:r>
        <w:rPr>
          <w:color w:val="auto"/>
          <w:kern w:val="2"/>
        </w:rPr>
        <w:t>212区块扶余油层2022年产能建设工程竣工环境保护验收调查报告</w:t>
      </w:r>
      <w:r>
        <w:rPr>
          <w:rFonts w:hint="eastAsia"/>
          <w:color w:val="auto"/>
          <w:kern w:val="2"/>
        </w:rPr>
        <w:t>》（2</w:t>
      </w:r>
      <w:r>
        <w:rPr>
          <w:color w:val="auto"/>
          <w:kern w:val="2"/>
        </w:rPr>
        <w:t>025</w:t>
      </w:r>
      <w:r>
        <w:rPr>
          <w:rFonts w:hint="eastAsia"/>
          <w:color w:val="auto"/>
          <w:kern w:val="2"/>
        </w:rPr>
        <w:t>年）中对1</w:t>
      </w:r>
      <w:r>
        <w:rPr>
          <w:color w:val="auto"/>
          <w:kern w:val="2"/>
        </w:rPr>
        <w:t>#</w:t>
      </w:r>
      <w:r>
        <w:rPr>
          <w:rFonts w:hint="eastAsia"/>
          <w:color w:val="auto"/>
          <w:kern w:val="2"/>
        </w:rPr>
        <w:t>平台占地范围内、外的土壤监测结果，监测报告编号：B</w:t>
      </w:r>
      <w:r>
        <w:rPr>
          <w:color w:val="auto"/>
          <w:kern w:val="2"/>
        </w:rPr>
        <w:t>SJC-250422-0951</w:t>
      </w:r>
      <w:r>
        <w:rPr>
          <w:rFonts w:hint="eastAsia"/>
          <w:color w:val="auto"/>
          <w:kern w:val="2"/>
        </w:rPr>
        <w:t>，监测单位：博思百睿检测评价技术服务有限公司，监测时间</w:t>
      </w:r>
      <w:r>
        <w:rPr>
          <w:rFonts w:hint="eastAsia"/>
          <w:snapToGrid w:val="0"/>
          <w:color w:val="auto"/>
        </w:rPr>
        <w:t>2</w:t>
      </w:r>
      <w:r>
        <w:rPr>
          <w:snapToGrid w:val="0"/>
          <w:color w:val="auto"/>
        </w:rPr>
        <w:t>025</w:t>
      </w:r>
      <w:r>
        <w:rPr>
          <w:rFonts w:hint="eastAsia"/>
          <w:snapToGrid w:val="0"/>
          <w:color w:val="auto"/>
        </w:rPr>
        <w:t>年4</w:t>
      </w:r>
      <w:r>
        <w:rPr>
          <w:rFonts w:hint="eastAsia"/>
          <w:color w:val="auto"/>
          <w:kern w:val="2"/>
        </w:rPr>
        <w:t>月2</w:t>
      </w:r>
      <w:r>
        <w:rPr>
          <w:color w:val="auto"/>
          <w:kern w:val="2"/>
        </w:rPr>
        <w:t>6</w:t>
      </w:r>
      <w:r>
        <w:rPr>
          <w:rFonts w:hint="eastAsia"/>
          <w:color w:val="auto"/>
          <w:kern w:val="2"/>
        </w:rPr>
        <w:t>日，根据监测结果</w:t>
      </w:r>
      <w:r>
        <w:rPr>
          <w:color w:val="auto"/>
          <w:kern w:val="2"/>
        </w:rPr>
        <w:t>，井场永久占地内土壤满足《土壤环境质量 建设用地土壤污染风险管控标准（试行）》（GB36600-2018）中第二类用地筛选值标准，占地外农用地土壤满足《土壤环境质量 农用地土壤污染风险管控标准（试行）》（GB15618-2018）基本项目筛选值标准，现有工程在运行阶段未对区域土壤产生明显影响。</w:t>
      </w:r>
    </w:p>
    <w:p w14:paraId="44977428">
      <w:pPr>
        <w:pStyle w:val="276"/>
        <w:widowControl w:val="0"/>
        <w:spacing w:line="440" w:lineRule="exact"/>
        <w:ind w:firstLine="480"/>
        <w:jc w:val="both"/>
        <w:rPr>
          <w:color w:val="auto"/>
          <w:kern w:val="2"/>
        </w:rPr>
      </w:pPr>
      <w:r>
        <w:rPr>
          <w:color w:val="auto"/>
          <w:kern w:val="2"/>
        </w:rPr>
        <w:t>（2）生态环境保护措施及效果</w:t>
      </w:r>
    </w:p>
    <w:p w14:paraId="01500AD6">
      <w:pPr>
        <w:pStyle w:val="276"/>
        <w:widowControl w:val="0"/>
        <w:spacing w:line="440" w:lineRule="exact"/>
        <w:ind w:firstLine="480"/>
        <w:jc w:val="both"/>
        <w:rPr>
          <w:color w:val="auto"/>
          <w:kern w:val="2"/>
        </w:rPr>
      </w:pPr>
      <w:r>
        <w:rPr>
          <w:color w:val="auto"/>
          <w:kern w:val="2"/>
        </w:rPr>
        <w:t>为保护区域生态环境，大庆油田有限责任公司第十采油厂在</w:t>
      </w:r>
      <w:r>
        <w:rPr>
          <w:snapToGrid w:val="0"/>
          <w:color w:val="auto"/>
        </w:rPr>
        <w:t>钻井工程</w:t>
      </w:r>
      <w:r>
        <w:rPr>
          <w:color w:val="auto"/>
          <w:kern w:val="2"/>
        </w:rPr>
        <w:t>时采取了生态保护措施保护区域内耕地、草地生态系统。例如严格控制了井场的临时及永久占地，井场钻井工程施工结束后及时对临时占地进行了生态恢复，最大力度降低了油田开发对区域耕地及草地生态系统的影响。并严格控制了该区域油田作业范围，严格运营期管理，减小了对区域生态系统的扰动，保证了不因油田开发活动加重生态系统的退化、沙化、盐碱化等。针对区块内水土流失重点治理区</w:t>
      </w:r>
      <w:r>
        <w:rPr>
          <w:rFonts w:hint="eastAsia"/>
          <w:color w:val="auto"/>
          <w:kern w:val="2"/>
        </w:rPr>
        <w:t>与</w:t>
      </w:r>
      <w:r>
        <w:rPr>
          <w:color w:val="auto"/>
          <w:kern w:val="2"/>
        </w:rPr>
        <w:t>水土流失重点</w:t>
      </w:r>
      <w:r>
        <w:rPr>
          <w:rFonts w:hint="eastAsia"/>
          <w:color w:val="auto"/>
          <w:kern w:val="2"/>
        </w:rPr>
        <w:t>预防</w:t>
      </w:r>
      <w:r>
        <w:rPr>
          <w:color w:val="auto"/>
          <w:kern w:val="2"/>
        </w:rPr>
        <w:t>区，大庆油田有限责任公司第十采油厂采取了井场平整、压实，开挖土方已合理利用填埋，施工期间未对占地外的地表植被造成碾压和破坏；在油田道路地势较低，容易汇水形成径流冲刷的路段，设置了钢筋砼板涵，保证了道路两侧洪沟的畅通；生产期已严格作好道路泄洪桥涵洞的疏通、维修工作，保证了各类设施的泄洪能力；管道工程施工期间，划定了施工活动范围，车辆均采用“一”字型作业法，严格避免开辟新路，管沟挖、填方作业做到了互补平衡，未造成弃土方堆积和过多借土，未增加新的水土流失，管沟回填阶段均按层回填，回填后予以平整、压实，施工期间对开发建设施工材料划定了适宜的堆料场，未破坏占地外的植被，未增加裸地面积而新增的水土流失。</w:t>
      </w:r>
    </w:p>
    <w:p w14:paraId="76BC6138">
      <w:pPr>
        <w:pStyle w:val="276"/>
        <w:widowControl w:val="0"/>
        <w:spacing w:line="440" w:lineRule="exact"/>
        <w:ind w:firstLine="480"/>
        <w:jc w:val="both"/>
        <w:rPr>
          <w:color w:val="auto"/>
          <w:kern w:val="2"/>
          <w:szCs w:val="22"/>
        </w:rPr>
      </w:pPr>
      <w:r>
        <w:rPr>
          <w:color w:val="auto"/>
          <w:kern w:val="2"/>
        </w:rPr>
        <w:t>根据现场勘查，现有区块内井场永久占地已平整，井场及管线施工时临时占用的耕地及草地均已进行了恢复，且生态恢复良好。</w:t>
      </w:r>
    </w:p>
    <w:p w14:paraId="33EAAB5D">
      <w:pPr>
        <w:pStyle w:val="6"/>
        <w:rPr>
          <w:color w:val="auto"/>
        </w:rPr>
      </w:pPr>
      <w:r>
        <w:rPr>
          <w:color w:val="auto"/>
        </w:rPr>
        <w:t>现有工程存在的环境问题</w:t>
      </w:r>
      <w:bookmarkEnd w:id="575"/>
    </w:p>
    <w:p w14:paraId="4CBCE421">
      <w:pPr>
        <w:pStyle w:val="276"/>
        <w:widowControl w:val="0"/>
        <w:spacing w:line="440" w:lineRule="exact"/>
        <w:ind w:firstLine="480"/>
        <w:jc w:val="both"/>
        <w:rPr>
          <w:color w:val="auto"/>
          <w:kern w:val="2"/>
          <w:szCs w:val="20"/>
        </w:rPr>
      </w:pPr>
      <w:r>
        <w:rPr>
          <w:color w:val="auto"/>
          <w:kern w:val="2"/>
          <w:szCs w:val="20"/>
        </w:rPr>
        <w:t>根据调查可知，现有区块运行至今内无投诉、督查及检查情况。本项目区域内已建井的井场永久性占地面积符合要求，井场地面均进行了平整，无油污。站场环境清洁，地面未发现污油，站内道路两侧和厂区院墙内外均已绿化，生态恢复较好。井场永久性占地面积符合设计要求，井场地面均进行了平整，在临时性占地范围内，地表基本进行了平整，并已完成了生态恢复。</w:t>
      </w:r>
    </w:p>
    <w:p w14:paraId="05889B8F">
      <w:pPr>
        <w:pStyle w:val="276"/>
        <w:widowControl w:val="0"/>
        <w:spacing w:line="440" w:lineRule="exact"/>
        <w:ind w:firstLine="480"/>
        <w:jc w:val="both"/>
        <w:rPr>
          <w:color w:val="auto"/>
          <w:kern w:val="2"/>
          <w:szCs w:val="20"/>
        </w:rPr>
      </w:pPr>
      <w:r>
        <w:rPr>
          <w:color w:val="auto"/>
          <w:kern w:val="2"/>
          <w:szCs w:val="20"/>
        </w:rPr>
        <w:t>区块周边依托场站加热炉</w:t>
      </w:r>
      <w:r>
        <w:rPr>
          <w:color w:val="auto"/>
          <w:szCs w:val="20"/>
        </w:rPr>
        <w:t>排放的废气能够达到《锅炉大气污染物排放标准》（GB13271-2014）表2中新建燃气锅炉标准限值</w:t>
      </w:r>
      <w:r>
        <w:rPr>
          <w:color w:val="auto"/>
          <w:kern w:val="2"/>
          <w:szCs w:val="20"/>
        </w:rPr>
        <w:t>；现有站场原油集输均采用密闭集输管线、装置，场站内各关键接口法兰均进行了密闭处理，可有效控制烃类物质的排放，目前现有井场、场站厂界非甲烷总烃浓度能够满足</w:t>
      </w:r>
      <w:r>
        <w:rPr>
          <w:color w:val="auto"/>
          <w:kern w:val="21"/>
          <w:szCs w:val="22"/>
        </w:rPr>
        <w:t>《陆上石油天然气开采工业大气污染物排放标准》（GB39728-2020）5.9中规定要求</w:t>
      </w:r>
      <w:r>
        <w:rPr>
          <w:color w:val="auto"/>
          <w:kern w:val="21"/>
          <w:szCs w:val="22"/>
          <w:lang w:bidi="zh-CN"/>
        </w:rPr>
        <w:t>，场站排放的VOCs（以非甲烷总烃计）厂区内能够满足《挥发性有机物无组织排放控制标准》（GB 37822-2019）附录A 中VOCs 无组织排放限值要求</w:t>
      </w:r>
      <w:r>
        <w:rPr>
          <w:color w:val="auto"/>
          <w:kern w:val="2"/>
          <w:szCs w:val="20"/>
        </w:rPr>
        <w:t>。由监测结果可知，现有井场及场站厂界满足《工业企业厂界环境噪声排放标准》（GB12348-2008）2类标准。油田产生的含油污水经</w:t>
      </w:r>
      <w:r>
        <w:rPr>
          <w:color w:val="auto"/>
          <w:szCs w:val="20"/>
        </w:rPr>
        <w:t>朝二联含油污水处理站</w:t>
      </w:r>
      <w:r>
        <w:rPr>
          <w:color w:val="auto"/>
          <w:kern w:val="2"/>
          <w:szCs w:val="20"/>
        </w:rPr>
        <w:t>处理后全部回注，出水水质指标能够达到</w:t>
      </w:r>
      <w:r>
        <w:rPr>
          <w:color w:val="auto"/>
          <w:kern w:val="2"/>
          <w:szCs w:val="22"/>
        </w:rPr>
        <w:t>《大庆油田地面工程建设设计规定》（Q/SYDQ0639-2015）及《碎屑岩油藏注水水质指标技术要求及分析方法》（SY/T5329-2022）限值要求</w:t>
      </w:r>
      <w:r>
        <w:rPr>
          <w:color w:val="auto"/>
          <w:kern w:val="2"/>
          <w:szCs w:val="20"/>
        </w:rPr>
        <w:t>，均不外排；作业产生的落地油委托大庆博昕晶化科技有限公司处理，处理后的泥渣满足《油田含油污泥处置与利用污染控制要求》（DB23/T3104-2022）表1中的限值要求后，用作油田垫井场和通井路。</w:t>
      </w:r>
    </w:p>
    <w:p w14:paraId="64C4810F">
      <w:pPr>
        <w:pStyle w:val="276"/>
        <w:widowControl w:val="0"/>
        <w:spacing w:line="440" w:lineRule="exact"/>
        <w:ind w:firstLine="480"/>
        <w:jc w:val="both"/>
        <w:rPr>
          <w:color w:val="auto"/>
          <w:szCs w:val="20"/>
        </w:rPr>
      </w:pPr>
      <w:r>
        <w:rPr>
          <w:color w:val="auto"/>
          <w:kern w:val="21"/>
          <w:szCs w:val="20"/>
        </w:rPr>
        <w:t>大庆油田有限责任公司第十采油厂已于2024年12月24日完成排污许可登记，登记编号为</w:t>
      </w:r>
      <w:r>
        <w:rPr>
          <w:color w:val="auto"/>
        </w:rPr>
        <w:t>91230607716675409L008X</w:t>
      </w:r>
      <w:r>
        <w:rPr>
          <w:color w:val="auto"/>
          <w:szCs w:val="20"/>
        </w:rPr>
        <w:t>，本项目依托场站排放的相关污染物已完成登记。</w:t>
      </w:r>
    </w:p>
    <w:p w14:paraId="6197FA8F">
      <w:pPr>
        <w:pStyle w:val="276"/>
        <w:widowControl w:val="0"/>
        <w:spacing w:line="440" w:lineRule="exact"/>
        <w:ind w:firstLine="480"/>
        <w:jc w:val="both"/>
        <w:rPr>
          <w:color w:val="auto"/>
          <w:kern w:val="2"/>
          <w:szCs w:val="20"/>
        </w:rPr>
      </w:pPr>
      <w:r>
        <w:rPr>
          <w:color w:val="auto"/>
          <w:kern w:val="2"/>
          <w:szCs w:val="20"/>
        </w:rPr>
        <w:t>为保护区域生态环境，</w:t>
      </w:r>
      <w:r>
        <w:rPr>
          <w:color w:val="auto"/>
          <w:kern w:val="21"/>
          <w:szCs w:val="20"/>
        </w:rPr>
        <w:t>大庆油田有限责任公司第十采油厂</w:t>
      </w:r>
      <w:r>
        <w:rPr>
          <w:color w:val="auto"/>
          <w:kern w:val="2"/>
          <w:szCs w:val="20"/>
        </w:rPr>
        <w:t>在钻井工程时采取了生态保护措施保护区域内耕地、草地生态系统。例如严格控制了井场的临时及永久占地，井场钻井工程施工结束后及时对临时占地进行了生态恢复，最大力度降低了油田开发对区域耕地及草地生态系统的影响。并严格控制了该区域油田作业范围，严格运营期管理，减小了对区域生态系统的扰动，保证了不因油田开发活动加重生态系统的退化、沙化、盐碱化等。针对区块内水土流失重点治理区</w:t>
      </w:r>
      <w:r>
        <w:rPr>
          <w:rFonts w:hint="eastAsia"/>
          <w:color w:val="auto"/>
          <w:kern w:val="2"/>
        </w:rPr>
        <w:t>与</w:t>
      </w:r>
      <w:r>
        <w:rPr>
          <w:color w:val="auto"/>
          <w:kern w:val="2"/>
        </w:rPr>
        <w:t>水土流失重点</w:t>
      </w:r>
      <w:r>
        <w:rPr>
          <w:rFonts w:hint="eastAsia"/>
          <w:color w:val="auto"/>
          <w:kern w:val="2"/>
        </w:rPr>
        <w:t>预防</w:t>
      </w:r>
      <w:r>
        <w:rPr>
          <w:color w:val="auto"/>
          <w:kern w:val="2"/>
        </w:rPr>
        <w:t>区</w:t>
      </w:r>
      <w:r>
        <w:rPr>
          <w:color w:val="auto"/>
          <w:kern w:val="2"/>
          <w:szCs w:val="20"/>
        </w:rPr>
        <w:t>，</w:t>
      </w:r>
      <w:r>
        <w:rPr>
          <w:color w:val="auto"/>
          <w:kern w:val="21"/>
          <w:szCs w:val="20"/>
        </w:rPr>
        <w:t>大庆油田有限责任公司第十采油厂</w:t>
      </w:r>
      <w:r>
        <w:rPr>
          <w:color w:val="auto"/>
          <w:kern w:val="2"/>
          <w:szCs w:val="20"/>
        </w:rPr>
        <w:t>采取了井场平整、压实，开挖土方已合理利用填埋，施工期间未对占地外的地表植被造成碾压和破坏；在油田道路地势较低，容易汇水形成径流冲刷的路段，设置了钢筋砼板涵，保证了道路两侧洪沟的畅通；生产期已严格作好道路泄洪桥涵洞的疏通、维修工作，保证了各类设施的泄洪能力；管道工程施工期间，划定了施工活动范围，车辆均采用“一”字型作业法，严格避免开辟新路，管沟挖、填方作业做到了互补平衡，未造成弃土方堆积和过多借土，未增加新的水土流失，管沟回填阶段均按层回填，回填后予以平整、压实，施工期间对开发建设施工材料划定了适宜的堆料场，未破坏占地外的植被，未增加裸地面积而新增的水土流失。</w:t>
      </w:r>
    </w:p>
    <w:p w14:paraId="1E741F2F">
      <w:pPr>
        <w:pStyle w:val="276"/>
        <w:widowControl w:val="0"/>
        <w:spacing w:line="440" w:lineRule="exact"/>
        <w:ind w:firstLine="480"/>
        <w:jc w:val="both"/>
        <w:rPr>
          <w:color w:val="auto"/>
          <w:kern w:val="2"/>
          <w:szCs w:val="20"/>
        </w:rPr>
      </w:pPr>
      <w:r>
        <w:rPr>
          <w:color w:val="auto"/>
          <w:kern w:val="2"/>
          <w:szCs w:val="20"/>
        </w:rPr>
        <w:t>原有工程严格实施HSE环境管理体系，</w:t>
      </w:r>
      <w:r>
        <w:rPr>
          <w:color w:val="auto"/>
          <w:kern w:val="21"/>
          <w:szCs w:val="20"/>
        </w:rPr>
        <w:t>大庆油田有限责任公司第十采油厂</w:t>
      </w:r>
      <w:r>
        <w:rPr>
          <w:color w:val="auto"/>
          <w:kern w:val="2"/>
          <w:szCs w:val="20"/>
        </w:rPr>
        <w:t>逐级落实岗位责任制；各工区小队或联合站设专职环保员一名，相应采油工区队长及联合站站长为HSE管理体系的第一负责人，对单位日常生产过程中的相关环境工作进行管理。</w:t>
      </w:r>
    </w:p>
    <w:p w14:paraId="67DD22BE">
      <w:pPr>
        <w:pStyle w:val="276"/>
        <w:widowControl w:val="0"/>
        <w:spacing w:line="440" w:lineRule="exact"/>
        <w:ind w:firstLine="480"/>
        <w:jc w:val="both"/>
        <w:rPr>
          <w:color w:val="auto"/>
          <w:kern w:val="2"/>
          <w:szCs w:val="20"/>
        </w:rPr>
      </w:pPr>
      <w:r>
        <w:rPr>
          <w:color w:val="auto"/>
          <w:kern w:val="2"/>
          <w:szCs w:val="20"/>
        </w:rPr>
        <w:t>环境风险相关措施：经调查，</w:t>
      </w:r>
      <w:r>
        <w:rPr>
          <w:color w:val="auto"/>
          <w:kern w:val="2"/>
        </w:rPr>
        <w:t>大庆油田有限责任公司第十采油厂源212</w:t>
      </w:r>
      <w:r>
        <w:rPr>
          <w:color w:val="auto"/>
          <w:kern w:val="2"/>
          <w:szCs w:val="20"/>
        </w:rPr>
        <w:t>区块未发生过环境风险事故。</w:t>
      </w:r>
      <w:r>
        <w:rPr>
          <w:color w:val="auto"/>
          <w:kern w:val="21"/>
          <w:szCs w:val="20"/>
        </w:rPr>
        <w:t>大庆油田有限责任公司第十采油厂</w:t>
      </w:r>
      <w:r>
        <w:rPr>
          <w:color w:val="auto"/>
          <w:kern w:val="2"/>
          <w:szCs w:val="20"/>
        </w:rPr>
        <w:t>已建立较完善的应急预案体系，综合性预案为《突发事件综合（总体）应急预案》，还针对不同的事故分别编制了</w:t>
      </w:r>
      <w:r>
        <w:rPr>
          <w:snapToGrid w:val="0"/>
          <w:color w:val="auto"/>
        </w:rPr>
        <w:t>《环境突发事件专项应急预案》</w:t>
      </w:r>
      <w:r>
        <w:rPr>
          <w:color w:val="auto"/>
          <w:kern w:val="2"/>
          <w:szCs w:val="20"/>
        </w:rPr>
        <w:t>、《生产场所泄漏、火灾、爆炸突发事件专项应急预案》、《输油气管道突发事件专项应急预案》、《注水系统突发事件专项应急预案》等专项应急预案并定期开展应急演练，《环境突发事件专项应急预案》</w:t>
      </w:r>
      <w:r>
        <w:rPr>
          <w:color w:val="auto"/>
        </w:rPr>
        <w:t>于2023年6月15日在大庆市肇州生态环境局进行了备案，备案编号为 230621-2023-012-L</w:t>
      </w:r>
      <w:r>
        <w:rPr>
          <w:color w:val="auto"/>
          <w:kern w:val="2"/>
          <w:szCs w:val="20"/>
        </w:rPr>
        <w:t>。建议增加事故应急监测及事故评估等规定内容并定期演习，避免重大污染事故的发生。</w:t>
      </w:r>
    </w:p>
    <w:p w14:paraId="298AB69B">
      <w:pPr>
        <w:pStyle w:val="276"/>
        <w:widowControl w:val="0"/>
        <w:spacing w:line="440" w:lineRule="exact"/>
        <w:ind w:firstLine="480"/>
        <w:jc w:val="both"/>
        <w:rPr>
          <w:color w:val="auto"/>
          <w:kern w:val="2"/>
          <w:szCs w:val="20"/>
        </w:rPr>
      </w:pPr>
      <w:r>
        <w:rPr>
          <w:color w:val="auto"/>
          <w:kern w:val="2"/>
          <w:szCs w:val="20"/>
        </w:rPr>
        <w:t>根据以上分析及现场勘查，现有区块内未发现环境问题。</w:t>
      </w:r>
    </w:p>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14:paraId="498C1B25">
      <w:pPr>
        <w:pStyle w:val="5"/>
        <w:rPr>
          <w:bCs w:val="0"/>
          <w:color w:val="auto"/>
        </w:rPr>
      </w:pPr>
      <w:bookmarkStart w:id="576" w:name="_Toc212033012"/>
      <w:bookmarkStart w:id="577" w:name="_Toc8053"/>
      <w:r>
        <w:rPr>
          <w:bCs w:val="0"/>
          <w:color w:val="auto"/>
        </w:rPr>
        <w:t>建设项目概况</w:t>
      </w:r>
      <w:bookmarkEnd w:id="553"/>
      <w:bookmarkEnd w:id="576"/>
      <w:bookmarkEnd w:id="577"/>
    </w:p>
    <w:p w14:paraId="1EFA352F">
      <w:pPr>
        <w:pStyle w:val="276"/>
        <w:widowControl w:val="0"/>
        <w:spacing w:line="440" w:lineRule="exact"/>
        <w:ind w:firstLine="480"/>
        <w:jc w:val="both"/>
        <w:rPr>
          <w:snapToGrid w:val="0"/>
          <w:color w:val="auto"/>
        </w:rPr>
      </w:pPr>
      <w:bookmarkStart w:id="578" w:name="_Toc502736466"/>
      <w:r>
        <w:rPr>
          <w:snapToGrid w:val="0"/>
          <w:color w:val="auto"/>
        </w:rPr>
        <w:t>项目名称：肇源油田源212区块扶余油层水平井提产试验产能建设地面工程项目；</w:t>
      </w:r>
    </w:p>
    <w:p w14:paraId="7FD6FE46">
      <w:pPr>
        <w:pStyle w:val="276"/>
        <w:widowControl w:val="0"/>
        <w:spacing w:line="440" w:lineRule="exact"/>
        <w:ind w:firstLine="480"/>
        <w:jc w:val="both"/>
        <w:rPr>
          <w:snapToGrid w:val="0"/>
          <w:color w:val="auto"/>
        </w:rPr>
      </w:pPr>
      <w:r>
        <w:rPr>
          <w:snapToGrid w:val="0"/>
          <w:color w:val="auto"/>
        </w:rPr>
        <w:t>建设单位：大庆油田有限责任公司第十采油厂；</w:t>
      </w:r>
    </w:p>
    <w:p w14:paraId="75E5B817">
      <w:pPr>
        <w:pStyle w:val="276"/>
        <w:widowControl w:val="0"/>
        <w:spacing w:line="440" w:lineRule="exact"/>
        <w:ind w:firstLine="480"/>
        <w:jc w:val="both"/>
        <w:rPr>
          <w:snapToGrid w:val="0"/>
          <w:color w:val="auto"/>
        </w:rPr>
      </w:pPr>
      <w:bookmarkStart w:id="579" w:name="_Hlk530467800"/>
      <w:r>
        <w:rPr>
          <w:snapToGrid w:val="0"/>
          <w:color w:val="auto"/>
        </w:rPr>
        <w:t>建设性质：改扩建；</w:t>
      </w:r>
    </w:p>
    <w:p w14:paraId="08D44385">
      <w:pPr>
        <w:pStyle w:val="276"/>
        <w:ind w:firstLine="480"/>
        <w:jc w:val="both"/>
        <w:rPr>
          <w:snapToGrid w:val="0"/>
          <w:color w:val="auto"/>
        </w:rPr>
      </w:pPr>
      <w:r>
        <w:rPr>
          <w:snapToGrid w:val="0"/>
          <w:color w:val="auto"/>
        </w:rPr>
        <w:t>建设地点：大庆市肇源县和平乡后欧力马屯西侧及东侧、四方山村北侧以及肇源镇刘兽医屯东侧；</w:t>
      </w:r>
    </w:p>
    <w:p w14:paraId="522EEDDA">
      <w:pPr>
        <w:pStyle w:val="276"/>
        <w:widowControl w:val="0"/>
        <w:spacing w:line="440" w:lineRule="exact"/>
        <w:ind w:firstLine="480"/>
        <w:jc w:val="both"/>
        <w:rPr>
          <w:snapToGrid w:val="0"/>
          <w:color w:val="auto"/>
        </w:rPr>
      </w:pPr>
      <w:r>
        <w:rPr>
          <w:snapToGrid w:val="0"/>
          <w:color w:val="auto"/>
        </w:rPr>
        <w:t>投资规模：</w:t>
      </w:r>
      <w:r>
        <w:rPr>
          <w:rFonts w:hint="eastAsia"/>
          <w:snapToGrid w:val="0"/>
          <w:color w:val="auto"/>
        </w:rPr>
        <w:t>13156</w:t>
      </w:r>
      <w:r>
        <w:rPr>
          <w:snapToGrid w:val="0"/>
          <w:color w:val="auto"/>
        </w:rPr>
        <w:t>万元人民币，</w:t>
      </w:r>
      <w:r>
        <w:rPr>
          <w:color w:val="auto"/>
          <w:kern w:val="21"/>
        </w:rPr>
        <w:t>其中环保投资</w:t>
      </w:r>
      <w:r>
        <w:rPr>
          <w:rFonts w:hint="eastAsia"/>
          <w:color w:val="auto"/>
          <w:kern w:val="21"/>
        </w:rPr>
        <w:t>87.82</w:t>
      </w:r>
      <w:r>
        <w:rPr>
          <w:color w:val="auto"/>
          <w:kern w:val="21"/>
        </w:rPr>
        <w:t>万元，环保投资占总投资的</w:t>
      </w:r>
      <w:r>
        <w:rPr>
          <w:rFonts w:hint="eastAsia"/>
          <w:color w:val="auto"/>
          <w:kern w:val="21"/>
        </w:rPr>
        <w:t>0.67%</w:t>
      </w:r>
      <w:r>
        <w:rPr>
          <w:snapToGrid w:val="0"/>
          <w:color w:val="auto"/>
        </w:rPr>
        <w:t>；</w:t>
      </w:r>
    </w:p>
    <w:p w14:paraId="6D67A84C">
      <w:pPr>
        <w:pStyle w:val="276"/>
        <w:widowControl w:val="0"/>
        <w:spacing w:line="440" w:lineRule="exact"/>
        <w:ind w:firstLine="480"/>
        <w:jc w:val="both"/>
        <w:rPr>
          <w:snapToGrid w:val="0"/>
          <w:color w:val="auto"/>
        </w:rPr>
      </w:pPr>
      <w:r>
        <w:rPr>
          <w:snapToGrid w:val="0"/>
          <w:color w:val="auto"/>
        </w:rPr>
        <w:t>占地面积：本项目新增总占地面积为7.714hm</w:t>
      </w:r>
      <w:r>
        <w:rPr>
          <w:snapToGrid w:val="0"/>
          <w:color w:val="auto"/>
          <w:vertAlign w:val="superscript"/>
        </w:rPr>
        <w:t>2</w:t>
      </w:r>
      <w:r>
        <w:rPr>
          <w:snapToGrid w:val="0"/>
          <w:color w:val="auto"/>
        </w:rPr>
        <w:t>，其中永久占地面积为</w:t>
      </w:r>
      <w:r>
        <w:rPr>
          <w:rFonts w:hint="eastAsia"/>
          <w:snapToGrid w:val="0"/>
          <w:color w:val="auto"/>
        </w:rPr>
        <w:t>3.254</w:t>
      </w:r>
      <w:r>
        <w:rPr>
          <w:snapToGrid w:val="0"/>
          <w:color w:val="auto"/>
        </w:rPr>
        <w:t>hm</w:t>
      </w:r>
      <w:r>
        <w:rPr>
          <w:snapToGrid w:val="0"/>
          <w:color w:val="auto"/>
          <w:vertAlign w:val="superscript"/>
        </w:rPr>
        <w:t>2</w:t>
      </w:r>
      <w:r>
        <w:rPr>
          <w:snapToGrid w:val="0"/>
          <w:color w:val="auto"/>
        </w:rPr>
        <w:t>，临时占地面积为</w:t>
      </w:r>
      <w:r>
        <w:rPr>
          <w:rFonts w:hint="eastAsia"/>
          <w:snapToGrid w:val="0"/>
          <w:color w:val="auto"/>
        </w:rPr>
        <w:t>4.46</w:t>
      </w:r>
      <w:r>
        <w:rPr>
          <w:snapToGrid w:val="0"/>
          <w:color w:val="auto"/>
        </w:rPr>
        <w:t>hm</w:t>
      </w:r>
      <w:r>
        <w:rPr>
          <w:snapToGrid w:val="0"/>
          <w:color w:val="auto"/>
          <w:vertAlign w:val="superscript"/>
        </w:rPr>
        <w:t>2</w:t>
      </w:r>
      <w:r>
        <w:rPr>
          <w:snapToGrid w:val="0"/>
          <w:color w:val="auto"/>
        </w:rPr>
        <w:t>，</w:t>
      </w:r>
      <w:r>
        <w:rPr>
          <w:color w:val="auto"/>
        </w:rPr>
        <w:t>占地类型为耕地（永久基本农田）和草地（一般草地）；</w:t>
      </w:r>
    </w:p>
    <w:p w14:paraId="3CB05F39">
      <w:pPr>
        <w:pStyle w:val="276"/>
        <w:widowControl w:val="0"/>
        <w:spacing w:line="440" w:lineRule="exact"/>
        <w:ind w:firstLine="480"/>
        <w:jc w:val="both"/>
        <w:rPr>
          <w:snapToGrid w:val="0"/>
          <w:color w:val="auto"/>
        </w:rPr>
      </w:pPr>
      <w:r>
        <w:rPr>
          <w:snapToGrid w:val="0"/>
          <w:color w:val="auto"/>
        </w:rPr>
        <w:t>建设内容：</w:t>
      </w:r>
      <w:r>
        <w:rPr>
          <w:color w:val="auto"/>
        </w:rPr>
        <w:t>本项目新钻井6口</w:t>
      </w:r>
      <w:r>
        <w:rPr>
          <w:rFonts w:hint="eastAsia"/>
          <w:color w:val="auto"/>
        </w:rPr>
        <w:t>（其中：油井4口、探井2口）</w:t>
      </w:r>
      <w:r>
        <w:rPr>
          <w:color w:val="auto"/>
        </w:rPr>
        <w:t>，</w:t>
      </w:r>
      <w:r>
        <w:rPr>
          <w:rFonts w:hint="eastAsia"/>
          <w:color w:val="auto"/>
        </w:rPr>
        <w:t>新建</w:t>
      </w:r>
      <w:r>
        <w:rPr>
          <w:color w:val="auto"/>
        </w:rPr>
        <w:t>1座平台井场和4口单井井场，采取射孔和压裂完井；地面工程</w:t>
      </w:r>
      <w:r>
        <w:rPr>
          <w:rFonts w:hint="eastAsia"/>
          <w:color w:val="auto"/>
        </w:rPr>
        <w:t>新建</w:t>
      </w:r>
      <w:r>
        <w:rPr>
          <w:color w:val="auto"/>
        </w:rPr>
        <w:t>3座拉油点，配套新建井场集油管道0.06km</w:t>
      </w:r>
      <w:r>
        <w:rPr>
          <w:snapToGrid w:val="0"/>
          <w:color w:val="auto"/>
        </w:rPr>
        <w:t>；并配套建设供配电、道路等辅助工程；</w:t>
      </w:r>
    </w:p>
    <w:p w14:paraId="5541F209">
      <w:pPr>
        <w:pStyle w:val="276"/>
        <w:widowControl w:val="0"/>
        <w:spacing w:line="440" w:lineRule="exact"/>
        <w:ind w:firstLine="480"/>
        <w:jc w:val="both"/>
        <w:rPr>
          <w:snapToGrid w:val="0"/>
          <w:color w:val="auto"/>
        </w:rPr>
      </w:pPr>
      <w:r>
        <w:rPr>
          <w:snapToGrid w:val="0"/>
          <w:color w:val="auto"/>
        </w:rPr>
        <w:t>产品及产能规模：预计建成原油产能1.16×10</w:t>
      </w:r>
      <w:r>
        <w:rPr>
          <w:snapToGrid w:val="0"/>
          <w:color w:val="auto"/>
          <w:vertAlign w:val="superscript"/>
        </w:rPr>
        <w:t>4</w:t>
      </w:r>
      <w:r>
        <w:rPr>
          <w:snapToGrid w:val="0"/>
          <w:color w:val="auto"/>
        </w:rPr>
        <w:t>t/a；</w:t>
      </w:r>
    </w:p>
    <w:p w14:paraId="5DEF256D">
      <w:pPr>
        <w:pStyle w:val="276"/>
        <w:widowControl w:val="0"/>
        <w:spacing w:line="440" w:lineRule="exact"/>
        <w:ind w:firstLine="480"/>
        <w:jc w:val="both"/>
        <w:rPr>
          <w:snapToGrid w:val="0"/>
          <w:color w:val="auto"/>
        </w:rPr>
      </w:pPr>
      <w:r>
        <w:rPr>
          <w:snapToGrid w:val="0"/>
          <w:color w:val="auto"/>
        </w:rPr>
        <w:t>建设周期：本项目计划施工期为202</w:t>
      </w:r>
      <w:r>
        <w:rPr>
          <w:rFonts w:hint="eastAsia"/>
          <w:snapToGrid w:val="0"/>
          <w:color w:val="auto"/>
        </w:rPr>
        <w:t>6</w:t>
      </w:r>
      <w:r>
        <w:rPr>
          <w:snapToGrid w:val="0"/>
          <w:color w:val="auto"/>
        </w:rPr>
        <w:t>年</w:t>
      </w:r>
      <w:r>
        <w:rPr>
          <w:rFonts w:hint="eastAsia"/>
          <w:snapToGrid w:val="0"/>
          <w:color w:val="auto"/>
        </w:rPr>
        <w:t>1</w:t>
      </w:r>
      <w:r>
        <w:rPr>
          <w:snapToGrid w:val="0"/>
          <w:color w:val="auto"/>
        </w:rPr>
        <w:t>月至2025年</w:t>
      </w:r>
      <w:r>
        <w:rPr>
          <w:rFonts w:hint="eastAsia"/>
          <w:snapToGrid w:val="0"/>
          <w:color w:val="auto"/>
        </w:rPr>
        <w:t>7</w:t>
      </w:r>
      <w:r>
        <w:rPr>
          <w:snapToGrid w:val="0"/>
          <w:color w:val="auto"/>
        </w:rPr>
        <w:t>月，单井钻井施工约28d，钻井施工约84d。单井压裂工程施工约15d，试气工程施工约5d，地面工程施工约25d，2口勘探井压裂试气施工约20d，另外4口基建井压裂地面工程施工约80d，整个施工期为184d。</w:t>
      </w:r>
    </w:p>
    <w:p w14:paraId="3A7B9E7D">
      <w:pPr>
        <w:pStyle w:val="276"/>
        <w:widowControl w:val="0"/>
        <w:spacing w:line="440" w:lineRule="exact"/>
        <w:ind w:firstLine="480"/>
        <w:jc w:val="both"/>
        <w:rPr>
          <w:snapToGrid w:val="0"/>
          <w:color w:val="auto"/>
        </w:rPr>
      </w:pPr>
      <w:r>
        <w:rPr>
          <w:snapToGrid w:val="0"/>
          <w:color w:val="auto"/>
        </w:rPr>
        <w:t>劳动定员：施工期单井在井人数10人，共2个施工队，施工人员20人，运营期不新增劳动定员；</w:t>
      </w:r>
    </w:p>
    <w:p w14:paraId="337BFDB9">
      <w:pPr>
        <w:pStyle w:val="276"/>
        <w:widowControl w:val="0"/>
        <w:spacing w:line="440" w:lineRule="exact"/>
        <w:ind w:firstLine="480"/>
        <w:jc w:val="both"/>
        <w:rPr>
          <w:snapToGrid w:val="0"/>
          <w:color w:val="auto"/>
        </w:rPr>
      </w:pPr>
      <w:r>
        <w:rPr>
          <w:snapToGrid w:val="0"/>
          <w:color w:val="auto"/>
        </w:rPr>
        <w:t>运行时间：本项目投产后，油井运行时间为每年300d，每天24h；拉油点全年运行。</w:t>
      </w:r>
    </w:p>
    <w:p w14:paraId="36C173A8">
      <w:pPr>
        <w:pStyle w:val="5"/>
        <w:rPr>
          <w:bCs w:val="0"/>
          <w:color w:val="auto"/>
        </w:rPr>
      </w:pPr>
      <w:bookmarkStart w:id="580" w:name="_Toc212033013"/>
      <w:bookmarkStart w:id="581" w:name="_Toc158114187"/>
      <w:bookmarkStart w:id="582" w:name="_Toc22848"/>
      <w:r>
        <w:rPr>
          <w:bCs w:val="0"/>
          <w:color w:val="auto"/>
        </w:rPr>
        <w:t>开发区块概况</w:t>
      </w:r>
      <w:bookmarkEnd w:id="580"/>
      <w:bookmarkEnd w:id="581"/>
      <w:bookmarkEnd w:id="582"/>
    </w:p>
    <w:p w14:paraId="367EB884">
      <w:pPr>
        <w:pStyle w:val="6"/>
        <w:rPr>
          <w:color w:val="auto"/>
        </w:rPr>
      </w:pPr>
      <w:r>
        <w:rPr>
          <w:color w:val="auto"/>
        </w:rPr>
        <w:t>油气田范围</w:t>
      </w:r>
    </w:p>
    <w:p w14:paraId="36797A8B">
      <w:pPr>
        <w:pStyle w:val="276"/>
        <w:widowControl w:val="0"/>
        <w:spacing w:line="440" w:lineRule="exact"/>
        <w:ind w:firstLine="480"/>
        <w:jc w:val="both"/>
        <w:rPr>
          <w:snapToGrid w:val="0"/>
          <w:color w:val="auto"/>
        </w:rPr>
      </w:pPr>
      <w:r>
        <w:rPr>
          <w:snapToGrid w:val="0"/>
          <w:color w:val="auto"/>
        </w:rPr>
        <w:t>源212区块地理上处于松嫩平原中部，位于黑龙江省大庆市肇源县境内，区块东部为朝阳沟油田，西部为头台油田，北部为肇州油田，在肇源油田勘查探矿权内，属于矿业权使用年限期，源212区块预计动用地质储量63.33×10</w:t>
      </w:r>
      <w:r>
        <w:rPr>
          <w:snapToGrid w:val="0"/>
          <w:color w:val="auto"/>
          <w:vertAlign w:val="superscript"/>
        </w:rPr>
        <w:t>4</w:t>
      </w:r>
      <w:r>
        <w:rPr>
          <w:snapToGrid w:val="0"/>
          <w:color w:val="auto"/>
        </w:rPr>
        <w:t>t，动用含油面积3.2km</w:t>
      </w:r>
      <w:r>
        <w:rPr>
          <w:snapToGrid w:val="0"/>
          <w:color w:val="auto"/>
          <w:vertAlign w:val="superscript"/>
        </w:rPr>
        <w:t>2</w:t>
      </w:r>
      <w:r>
        <w:rPr>
          <w:snapToGrid w:val="0"/>
          <w:color w:val="auto"/>
        </w:rPr>
        <w:t>。</w:t>
      </w:r>
    </w:p>
    <w:p w14:paraId="6D5EF11F">
      <w:pPr>
        <w:pStyle w:val="276"/>
        <w:spacing w:line="440" w:lineRule="exact"/>
        <w:ind w:firstLine="0" w:firstLineChars="0"/>
        <w:jc w:val="both"/>
        <w:rPr>
          <w:color w:val="auto"/>
          <w:kern w:val="2"/>
        </w:rPr>
      </w:pPr>
      <w:r>
        <w:rPr>
          <w:color w:val="auto"/>
          <w:kern w:val="2"/>
        </w:rPr>
        <w:t>3.3.2地质构造</w:t>
      </w:r>
    </w:p>
    <w:p w14:paraId="6E552F2A">
      <w:pPr>
        <w:pStyle w:val="276"/>
        <w:widowControl w:val="0"/>
        <w:spacing w:line="440" w:lineRule="exact"/>
        <w:ind w:firstLine="480"/>
        <w:jc w:val="both"/>
        <w:rPr>
          <w:snapToGrid w:val="0"/>
          <w:color w:val="auto"/>
        </w:rPr>
      </w:pPr>
      <w:r>
        <w:rPr>
          <w:snapToGrid w:val="0"/>
          <w:color w:val="auto"/>
        </w:rPr>
        <w:t>肇源油田位于松辽盆地北部中央坳陷区南部，跨三肇凹陷和朝阳沟阶地两个二级构造单元，主体位于朝阳沟阶地的西部，在向西北倾的单斜的背景下，发育了北北东走向的肇源鼻状构造和近南北走向的裕民鼻状构造。肇源鼻状构造南起扶余隆起，是古中央隆起解体后发育起来的比较宽缓的鼻状构造，总体为南高北低的趋势，区内断裂发育。本区所有断层均为正断层，断层与构造发育密切相关，断层走向同肇源鼻状构造走向基本一致，以正南北向和北北东向断层为主，局部存在近东西向断层。</w:t>
      </w:r>
    </w:p>
    <w:p w14:paraId="54FF56AB">
      <w:pPr>
        <w:pStyle w:val="276"/>
        <w:spacing w:line="440" w:lineRule="exact"/>
        <w:ind w:firstLine="0" w:firstLineChars="0"/>
        <w:jc w:val="both"/>
        <w:rPr>
          <w:color w:val="auto"/>
          <w:kern w:val="2"/>
        </w:rPr>
      </w:pPr>
      <w:r>
        <w:rPr>
          <w:color w:val="auto"/>
          <w:kern w:val="2"/>
        </w:rPr>
        <w:t>3.3.</w:t>
      </w:r>
      <w:bookmarkStart w:id="583" w:name="_Toc27135"/>
      <w:bookmarkStart w:id="584" w:name="_Toc22139"/>
      <w:bookmarkStart w:id="585" w:name="_Toc17050"/>
      <w:r>
        <w:rPr>
          <w:color w:val="auto"/>
          <w:kern w:val="2"/>
        </w:rPr>
        <w:t>3储层岩性特征</w:t>
      </w:r>
    </w:p>
    <w:p w14:paraId="62ACB410">
      <w:pPr>
        <w:pStyle w:val="276"/>
        <w:widowControl w:val="0"/>
        <w:spacing w:line="440" w:lineRule="exact"/>
        <w:ind w:firstLine="480"/>
        <w:jc w:val="both"/>
        <w:rPr>
          <w:snapToGrid w:val="0"/>
          <w:color w:val="auto"/>
        </w:rPr>
      </w:pPr>
      <w:r>
        <w:rPr>
          <w:snapToGrid w:val="0"/>
          <w:color w:val="auto"/>
        </w:rPr>
        <w:t>扶余油层岩性以岩屑质长石砂岩为主，石英含量25%～30%，长石含量30%～35%，岩屑25%～28%，粒度中值0.07 mm～0.14mm，泥质含量7%～15%。</w:t>
      </w:r>
    </w:p>
    <w:p w14:paraId="1684B0C4">
      <w:pPr>
        <w:pStyle w:val="276"/>
        <w:widowControl w:val="0"/>
        <w:spacing w:line="440" w:lineRule="exact"/>
        <w:ind w:firstLine="480"/>
        <w:jc w:val="both"/>
        <w:rPr>
          <w:snapToGrid w:val="0"/>
          <w:color w:val="auto"/>
        </w:rPr>
      </w:pPr>
      <w:r>
        <w:rPr>
          <w:snapToGrid w:val="0"/>
          <w:color w:val="auto"/>
        </w:rPr>
        <w:t>粘土矿物中伊利石含量最高，在40%～90%，其次是绿泥石，含量在13%～21%，高岭石一般小于10%。伊利石呈纤维状或纤缕状贴附颗粒表面或充填于孔喉之中，降低了储层渗透能力。</w:t>
      </w:r>
      <w:bookmarkEnd w:id="583"/>
      <w:bookmarkEnd w:id="584"/>
      <w:bookmarkEnd w:id="585"/>
    </w:p>
    <w:p w14:paraId="7B7E18B4">
      <w:pPr>
        <w:pStyle w:val="6"/>
        <w:rPr>
          <w:color w:val="auto"/>
        </w:rPr>
      </w:pPr>
      <w:r>
        <w:rPr>
          <w:color w:val="auto"/>
        </w:rPr>
        <w:t>储层特征</w:t>
      </w:r>
      <w:bookmarkStart w:id="586" w:name="_Toc32758"/>
      <w:bookmarkStart w:id="587" w:name="_Toc13306"/>
      <w:bookmarkStart w:id="588" w:name="_Toc17102"/>
    </w:p>
    <w:p w14:paraId="2F86B8DD">
      <w:pPr>
        <w:pStyle w:val="276"/>
        <w:widowControl w:val="0"/>
        <w:spacing w:line="440" w:lineRule="exact"/>
        <w:ind w:firstLine="480"/>
        <w:jc w:val="both"/>
        <w:rPr>
          <w:snapToGrid w:val="0"/>
          <w:color w:val="auto"/>
        </w:rPr>
      </w:pPr>
      <w:r>
        <w:rPr>
          <w:snapToGrid w:val="0"/>
          <w:color w:val="auto"/>
        </w:rPr>
        <w:t>扶余油层油层段孔隙度4.1%～16.8%，平均11.8%，中值为12.3%；油层段渗透率0.01～9.89mD，平均1.31mD，中值为0.52 mD，总体表现为低孔特低渗透的致密储层特征。</w:t>
      </w:r>
    </w:p>
    <w:bookmarkEnd w:id="586"/>
    <w:bookmarkEnd w:id="587"/>
    <w:bookmarkEnd w:id="588"/>
    <w:p w14:paraId="5E6EB958">
      <w:pPr>
        <w:pStyle w:val="6"/>
        <w:rPr>
          <w:color w:val="auto"/>
        </w:rPr>
      </w:pPr>
      <w:r>
        <w:rPr>
          <w:color w:val="auto"/>
        </w:rPr>
        <w:t>油气藏流体性质</w:t>
      </w:r>
    </w:p>
    <w:p w14:paraId="58C9549C">
      <w:pPr>
        <w:pStyle w:val="276"/>
        <w:widowControl w:val="0"/>
        <w:spacing w:line="440" w:lineRule="exact"/>
        <w:ind w:firstLine="480"/>
        <w:jc w:val="both"/>
        <w:rPr>
          <w:snapToGrid w:val="0"/>
          <w:color w:val="auto"/>
        </w:rPr>
      </w:pPr>
      <w:bookmarkStart w:id="589" w:name="_Toc379385889"/>
      <w:bookmarkStart w:id="590" w:name="_Toc379267430"/>
      <w:bookmarkStart w:id="591" w:name="_Toc379403172"/>
      <w:r>
        <w:rPr>
          <w:snapToGrid w:val="0"/>
          <w:color w:val="auto"/>
        </w:rPr>
        <w:t>源212区块地面原油密度0.8493～0.8801g/cm</w:t>
      </w:r>
      <w:r>
        <w:rPr>
          <w:snapToGrid w:val="0"/>
          <w:color w:val="auto"/>
          <w:vertAlign w:val="superscript"/>
        </w:rPr>
        <w:t>3</w:t>
      </w:r>
      <w:r>
        <w:rPr>
          <w:snapToGrid w:val="0"/>
          <w:color w:val="auto"/>
        </w:rPr>
        <w:t>，平均0.87g/cm</w:t>
      </w:r>
      <w:r>
        <w:rPr>
          <w:snapToGrid w:val="0"/>
          <w:color w:val="auto"/>
          <w:vertAlign w:val="superscript"/>
        </w:rPr>
        <w:t>3</w:t>
      </w:r>
      <w:r>
        <w:rPr>
          <w:snapToGrid w:val="0"/>
          <w:color w:val="auto"/>
        </w:rPr>
        <w:t>。地面原油粘度17.1～129.6mPa·s，平均57.3mPa·s，凝固点平均为37.9℃，含蜡平均为25.3%，含胶平均为19.1%。</w:t>
      </w:r>
    </w:p>
    <w:p w14:paraId="3EBFD73D">
      <w:pPr>
        <w:pStyle w:val="276"/>
        <w:widowControl w:val="0"/>
        <w:spacing w:line="440" w:lineRule="exact"/>
        <w:ind w:firstLine="480"/>
        <w:jc w:val="both"/>
        <w:rPr>
          <w:snapToGrid w:val="0"/>
          <w:color w:val="auto"/>
        </w:rPr>
      </w:pPr>
      <w:r>
        <w:rPr>
          <w:snapToGrid w:val="0"/>
          <w:color w:val="auto"/>
        </w:rPr>
        <w:t>根据地层水分析资料，氯离子含量在2320～2540mg/l之间，平均为2430mg/L，总矿化度在6050～6180mg/L之间，平均为6115mg/L，pH值为8.38，水型主要为NaHCO</w:t>
      </w:r>
      <w:r>
        <w:rPr>
          <w:snapToGrid w:val="0"/>
          <w:color w:val="auto"/>
          <w:vertAlign w:val="subscript"/>
        </w:rPr>
        <w:t>3</w:t>
      </w:r>
      <w:r>
        <w:rPr>
          <w:snapToGrid w:val="0"/>
          <w:color w:val="auto"/>
        </w:rPr>
        <w:t>型。</w:t>
      </w:r>
    </w:p>
    <w:bookmarkEnd w:id="589"/>
    <w:bookmarkEnd w:id="590"/>
    <w:bookmarkEnd w:id="591"/>
    <w:p w14:paraId="60B10E95">
      <w:pPr>
        <w:pStyle w:val="6"/>
        <w:rPr>
          <w:color w:val="auto"/>
        </w:rPr>
      </w:pPr>
      <w:r>
        <w:rPr>
          <w:color w:val="auto"/>
        </w:rPr>
        <w:t>油</w:t>
      </w:r>
      <w:r>
        <w:rPr>
          <w:rFonts w:hint="eastAsia"/>
          <w:color w:val="auto"/>
        </w:rPr>
        <w:t>气资源概况</w:t>
      </w:r>
    </w:p>
    <w:p w14:paraId="038958A7">
      <w:pPr>
        <w:pStyle w:val="276"/>
        <w:widowControl w:val="0"/>
        <w:spacing w:line="440" w:lineRule="exact"/>
        <w:ind w:firstLine="480"/>
        <w:jc w:val="both"/>
        <w:rPr>
          <w:color w:val="auto"/>
        </w:rPr>
      </w:pPr>
      <w:r>
        <w:rPr>
          <w:rFonts w:hint="eastAsia"/>
          <w:color w:val="auto"/>
          <w:kern w:val="21"/>
        </w:rPr>
        <w:t>根据建设单位提供的资料，油井伴生气不含硫化氢，</w:t>
      </w:r>
      <w:r>
        <w:rPr>
          <w:color w:val="auto"/>
          <w:kern w:val="21"/>
        </w:rPr>
        <w:t>原油物性见表3.</w:t>
      </w:r>
      <w:r>
        <w:rPr>
          <w:rFonts w:hint="eastAsia"/>
          <w:color w:val="auto"/>
          <w:kern w:val="21"/>
        </w:rPr>
        <w:t>3-1</w:t>
      </w:r>
      <w:r>
        <w:rPr>
          <w:color w:val="auto"/>
          <w:kern w:val="21"/>
        </w:rPr>
        <w:t>，伴生气物性见表3.</w:t>
      </w:r>
      <w:r>
        <w:rPr>
          <w:rFonts w:hint="eastAsia"/>
          <w:color w:val="auto"/>
          <w:kern w:val="21"/>
        </w:rPr>
        <w:t>3-2。</w:t>
      </w:r>
    </w:p>
    <w:p w14:paraId="471AAF12">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原油主要物性表</w:t>
      </w:r>
    </w:p>
    <w:tbl>
      <w:tblPr>
        <w:tblStyle w:val="19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3"/>
        <w:gridCol w:w="1161"/>
        <w:gridCol w:w="1263"/>
        <w:gridCol w:w="1051"/>
        <w:gridCol w:w="1097"/>
        <w:gridCol w:w="896"/>
        <w:gridCol w:w="1254"/>
        <w:gridCol w:w="1251"/>
      </w:tblGrid>
      <w:tr w14:paraId="02108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104" w:type="dxa"/>
            <w:vAlign w:val="center"/>
          </w:tcPr>
          <w:p w14:paraId="65BB2C6A">
            <w:pPr>
              <w:widowControl/>
              <w:autoSpaceDE w:val="0"/>
              <w:autoSpaceDN w:val="0"/>
              <w:spacing w:before="117"/>
              <w:ind w:right="10"/>
              <w:jc w:val="center"/>
              <w:rPr>
                <w:rFonts w:ascii="宋体" w:hAnsi="宋体" w:eastAsia="宋体" w:cs="Times New Roman"/>
                <w:color w:val="auto"/>
                <w:lang w:eastAsia="en-US"/>
              </w:rPr>
            </w:pPr>
            <w:r>
              <w:rPr>
                <w:rFonts w:ascii="宋体" w:hAnsi="宋体" w:eastAsia="宋体" w:cs="Times New Roman"/>
                <w:color w:val="auto"/>
                <w:lang w:eastAsia="en-US"/>
              </w:rPr>
              <w:t>层位</w:t>
            </w:r>
          </w:p>
        </w:tc>
        <w:tc>
          <w:tcPr>
            <w:tcW w:w="1161" w:type="dxa"/>
            <w:vAlign w:val="center"/>
          </w:tcPr>
          <w:p w14:paraId="58A3C768">
            <w:pPr>
              <w:widowControl/>
              <w:autoSpaceDE w:val="0"/>
              <w:autoSpaceDN w:val="0"/>
              <w:ind w:right="163"/>
              <w:jc w:val="center"/>
              <w:rPr>
                <w:rFonts w:ascii="宋体" w:hAnsi="宋体" w:eastAsia="宋体" w:cs="Times New Roman"/>
                <w:color w:val="auto"/>
                <w:lang w:eastAsia="en-US"/>
              </w:rPr>
            </w:pPr>
            <w:r>
              <w:rPr>
                <w:rFonts w:ascii="宋体" w:hAnsi="宋体" w:eastAsia="宋体" w:cs="Times New Roman"/>
                <w:color w:val="auto"/>
                <w:lang w:eastAsia="en-US"/>
              </w:rPr>
              <w:t>密度 20℃ (g/cm</w:t>
            </w:r>
            <w:r>
              <w:rPr>
                <w:rFonts w:ascii="宋体" w:hAnsi="宋体" w:eastAsia="宋体" w:cs="Times New Roman"/>
                <w:color w:val="auto"/>
                <w:vertAlign w:val="superscript"/>
                <w:lang w:eastAsia="en-US"/>
              </w:rPr>
              <w:t>3</w:t>
            </w:r>
            <w:r>
              <w:rPr>
                <w:rFonts w:ascii="宋体" w:hAnsi="宋体" w:eastAsia="宋体" w:cs="Times New Roman"/>
                <w:color w:val="auto"/>
                <w:lang w:eastAsia="en-US"/>
              </w:rPr>
              <w:t>)</w:t>
            </w:r>
          </w:p>
        </w:tc>
        <w:tc>
          <w:tcPr>
            <w:tcW w:w="1263" w:type="dxa"/>
            <w:vAlign w:val="center"/>
          </w:tcPr>
          <w:p w14:paraId="1E25C603">
            <w:pPr>
              <w:widowControl/>
              <w:autoSpaceDE w:val="0"/>
              <w:autoSpaceDN w:val="0"/>
              <w:ind w:right="219"/>
              <w:jc w:val="center"/>
              <w:rPr>
                <w:rFonts w:ascii="宋体" w:hAnsi="宋体" w:eastAsia="宋体" w:cs="Times New Roman"/>
                <w:color w:val="auto"/>
                <w:lang w:eastAsia="en-US"/>
              </w:rPr>
            </w:pPr>
            <w:r>
              <w:rPr>
                <w:rFonts w:ascii="宋体" w:hAnsi="宋体" w:eastAsia="宋体" w:cs="Times New Roman"/>
                <w:color w:val="auto"/>
                <w:lang w:eastAsia="en-US"/>
              </w:rPr>
              <w:t>粘度 50℃ (mPa·s)</w:t>
            </w:r>
          </w:p>
        </w:tc>
        <w:tc>
          <w:tcPr>
            <w:tcW w:w="1052" w:type="dxa"/>
            <w:vAlign w:val="center"/>
          </w:tcPr>
          <w:p w14:paraId="2A2A23C7">
            <w:pPr>
              <w:widowControl/>
              <w:autoSpaceDE w:val="0"/>
              <w:autoSpaceDN w:val="0"/>
              <w:spacing w:before="117"/>
              <w:jc w:val="center"/>
              <w:rPr>
                <w:rFonts w:ascii="宋体" w:hAnsi="宋体" w:eastAsia="宋体" w:cs="Times New Roman"/>
                <w:color w:val="auto"/>
                <w:lang w:eastAsia="en-US"/>
              </w:rPr>
            </w:pPr>
            <w:r>
              <w:rPr>
                <w:rFonts w:ascii="宋体" w:hAnsi="宋体" w:eastAsia="宋体" w:cs="Times New Roman"/>
                <w:color w:val="auto"/>
                <w:lang w:eastAsia="en-US"/>
              </w:rPr>
              <w:t>凝固点(℃)</w:t>
            </w:r>
          </w:p>
        </w:tc>
        <w:tc>
          <w:tcPr>
            <w:tcW w:w="1098" w:type="dxa"/>
            <w:vAlign w:val="center"/>
          </w:tcPr>
          <w:p w14:paraId="2DAB5619">
            <w:pPr>
              <w:widowControl/>
              <w:autoSpaceDE w:val="0"/>
              <w:autoSpaceDN w:val="0"/>
              <w:spacing w:before="117"/>
              <w:ind w:left="1"/>
              <w:jc w:val="center"/>
              <w:rPr>
                <w:rFonts w:ascii="宋体" w:hAnsi="宋体" w:eastAsia="宋体" w:cs="Times New Roman"/>
                <w:color w:val="auto"/>
                <w:lang w:eastAsia="en-US"/>
              </w:rPr>
            </w:pPr>
            <w:r>
              <w:rPr>
                <w:rFonts w:ascii="宋体" w:hAnsi="宋体" w:eastAsia="宋体" w:cs="Times New Roman"/>
                <w:color w:val="auto"/>
                <w:lang w:eastAsia="en-US"/>
              </w:rPr>
              <w:t>含蜡(%)</w:t>
            </w:r>
          </w:p>
        </w:tc>
        <w:tc>
          <w:tcPr>
            <w:tcW w:w="896" w:type="dxa"/>
            <w:vAlign w:val="center"/>
          </w:tcPr>
          <w:p w14:paraId="2112B787">
            <w:pPr>
              <w:widowControl/>
              <w:autoSpaceDE w:val="0"/>
              <w:autoSpaceDN w:val="0"/>
              <w:spacing w:before="117"/>
              <w:ind w:left="1"/>
              <w:jc w:val="center"/>
              <w:rPr>
                <w:rFonts w:ascii="宋体" w:hAnsi="宋体" w:eastAsia="宋体" w:cs="Times New Roman"/>
                <w:color w:val="auto"/>
                <w:lang w:eastAsia="en-US"/>
              </w:rPr>
            </w:pPr>
            <w:r>
              <w:rPr>
                <w:rFonts w:ascii="宋体" w:hAnsi="宋体" w:eastAsia="宋体" w:cs="Times New Roman"/>
                <w:color w:val="auto"/>
                <w:lang w:eastAsia="en-US"/>
              </w:rPr>
              <w:t>胶质(%)</w:t>
            </w:r>
          </w:p>
        </w:tc>
        <w:tc>
          <w:tcPr>
            <w:tcW w:w="1252" w:type="dxa"/>
            <w:vAlign w:val="center"/>
          </w:tcPr>
          <w:p w14:paraId="66178397">
            <w:pPr>
              <w:widowControl/>
              <w:autoSpaceDE w:val="0"/>
              <w:autoSpaceDN w:val="0"/>
              <w:spacing w:before="117"/>
              <w:ind w:right="1"/>
              <w:jc w:val="center"/>
              <w:rPr>
                <w:rFonts w:ascii="宋体" w:hAnsi="宋体" w:eastAsia="宋体" w:cs="Times New Roman"/>
                <w:color w:val="auto"/>
                <w:lang w:eastAsia="en-US"/>
              </w:rPr>
            </w:pPr>
            <w:r>
              <w:rPr>
                <w:rFonts w:ascii="宋体" w:hAnsi="宋体" w:eastAsia="宋体" w:cs="Times New Roman"/>
                <w:color w:val="auto"/>
                <w:lang w:eastAsia="en-US"/>
              </w:rPr>
              <w:t>气油比(m</w:t>
            </w:r>
            <w:r>
              <w:rPr>
                <w:rFonts w:ascii="宋体" w:hAnsi="宋体" w:eastAsia="宋体" w:cs="Times New Roman"/>
                <w:color w:val="auto"/>
                <w:vertAlign w:val="superscript"/>
                <w:lang w:eastAsia="en-US"/>
              </w:rPr>
              <w:t>3</w:t>
            </w:r>
            <w:r>
              <w:rPr>
                <w:rFonts w:ascii="宋体" w:hAnsi="宋体" w:eastAsia="宋体" w:cs="Times New Roman"/>
                <w:color w:val="auto"/>
                <w:lang w:eastAsia="en-US"/>
              </w:rPr>
              <w:t>/t)</w:t>
            </w:r>
          </w:p>
        </w:tc>
        <w:tc>
          <w:tcPr>
            <w:tcW w:w="1251" w:type="dxa"/>
            <w:vAlign w:val="center"/>
          </w:tcPr>
          <w:p w14:paraId="2F2037FC">
            <w:pPr>
              <w:widowControl/>
              <w:autoSpaceDE w:val="0"/>
              <w:autoSpaceDN w:val="0"/>
              <w:ind w:left="7"/>
              <w:jc w:val="center"/>
              <w:rPr>
                <w:rFonts w:ascii="宋体" w:hAnsi="宋体" w:eastAsia="宋体" w:cs="Times New Roman"/>
                <w:color w:val="auto"/>
                <w:lang w:eastAsia="en-US"/>
              </w:rPr>
            </w:pPr>
            <w:r>
              <w:rPr>
                <w:rFonts w:ascii="宋体" w:hAnsi="宋体" w:eastAsia="宋体" w:cs="Times New Roman"/>
                <w:color w:val="auto"/>
                <w:lang w:eastAsia="en-US"/>
              </w:rPr>
              <w:t>井口出油温度（℃）</w:t>
            </w:r>
          </w:p>
        </w:tc>
      </w:tr>
      <w:tr w14:paraId="3AA79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104" w:type="dxa"/>
            <w:vAlign w:val="center"/>
          </w:tcPr>
          <w:p w14:paraId="4F6E39C3">
            <w:pPr>
              <w:widowControl/>
              <w:autoSpaceDE w:val="0"/>
              <w:autoSpaceDN w:val="0"/>
              <w:spacing w:before="14"/>
              <w:ind w:right="8"/>
              <w:jc w:val="center"/>
              <w:rPr>
                <w:rFonts w:ascii="宋体" w:hAnsi="宋体" w:eastAsia="宋体" w:cs="Times New Roman"/>
                <w:color w:val="auto"/>
                <w:lang w:eastAsia="en-US"/>
              </w:rPr>
            </w:pPr>
            <w:r>
              <w:rPr>
                <w:rFonts w:ascii="宋体" w:hAnsi="宋体" w:eastAsia="宋体" w:cs="Times New Roman"/>
                <w:color w:val="auto"/>
                <w:lang w:eastAsia="en-US"/>
              </w:rPr>
              <w:t>扶杨油层</w:t>
            </w:r>
          </w:p>
        </w:tc>
        <w:tc>
          <w:tcPr>
            <w:tcW w:w="1161" w:type="dxa"/>
          </w:tcPr>
          <w:p w14:paraId="52AABBB1">
            <w:pPr>
              <w:widowControl/>
              <w:autoSpaceDE w:val="0"/>
              <w:autoSpaceDN w:val="0"/>
              <w:spacing w:line="360" w:lineRule="exact"/>
              <w:jc w:val="center"/>
              <w:rPr>
                <w:rFonts w:ascii="宋体" w:hAnsi="宋体" w:eastAsia="宋体" w:cs="Times New Roman"/>
                <w:color w:val="auto"/>
                <w:lang w:eastAsia="zh-CN"/>
              </w:rPr>
            </w:pPr>
            <w:r>
              <w:rPr>
                <w:rFonts w:ascii="宋体" w:hAnsi="宋体" w:eastAsia="宋体" w:cs="Times New Roman"/>
                <w:color w:val="auto"/>
                <w:lang w:eastAsia="en-US"/>
              </w:rPr>
              <w:t>0.87</w:t>
            </w:r>
          </w:p>
        </w:tc>
        <w:tc>
          <w:tcPr>
            <w:tcW w:w="1263" w:type="dxa"/>
          </w:tcPr>
          <w:p w14:paraId="7AEF5B93">
            <w:pPr>
              <w:widowControl/>
              <w:autoSpaceDE w:val="0"/>
              <w:autoSpaceDN w:val="0"/>
              <w:spacing w:line="360" w:lineRule="exact"/>
              <w:jc w:val="center"/>
              <w:rPr>
                <w:rFonts w:ascii="宋体" w:hAnsi="宋体" w:eastAsia="宋体" w:cs="Times New Roman"/>
                <w:color w:val="auto"/>
                <w:lang w:eastAsia="zh-CN"/>
              </w:rPr>
            </w:pPr>
            <w:r>
              <w:rPr>
                <w:rFonts w:ascii="宋体" w:hAnsi="宋体" w:eastAsia="宋体" w:cs="Times New Roman"/>
                <w:color w:val="auto"/>
                <w:lang w:eastAsia="en-US"/>
              </w:rPr>
              <w:t>57.3</w:t>
            </w:r>
          </w:p>
        </w:tc>
        <w:tc>
          <w:tcPr>
            <w:tcW w:w="1052" w:type="dxa"/>
          </w:tcPr>
          <w:p w14:paraId="4B991448">
            <w:pPr>
              <w:widowControl/>
              <w:autoSpaceDE w:val="0"/>
              <w:autoSpaceDN w:val="0"/>
              <w:spacing w:line="360" w:lineRule="exact"/>
              <w:jc w:val="center"/>
              <w:rPr>
                <w:rFonts w:ascii="宋体" w:hAnsi="宋体" w:eastAsia="宋体" w:cs="Times New Roman"/>
                <w:color w:val="auto"/>
                <w:lang w:eastAsia="zh-CN"/>
              </w:rPr>
            </w:pPr>
            <w:r>
              <w:rPr>
                <w:rFonts w:ascii="宋体" w:hAnsi="宋体" w:eastAsia="宋体" w:cs="Times New Roman"/>
                <w:color w:val="auto"/>
                <w:lang w:eastAsia="en-US"/>
              </w:rPr>
              <w:t>37.9</w:t>
            </w:r>
          </w:p>
        </w:tc>
        <w:tc>
          <w:tcPr>
            <w:tcW w:w="1098" w:type="dxa"/>
          </w:tcPr>
          <w:p w14:paraId="4AABEDFD">
            <w:pPr>
              <w:widowControl/>
              <w:autoSpaceDE w:val="0"/>
              <w:autoSpaceDN w:val="0"/>
              <w:spacing w:line="360" w:lineRule="exact"/>
              <w:jc w:val="center"/>
              <w:rPr>
                <w:rFonts w:ascii="宋体" w:hAnsi="宋体" w:eastAsia="宋体" w:cs="Times New Roman"/>
                <w:color w:val="auto"/>
                <w:lang w:eastAsia="zh-CN"/>
              </w:rPr>
            </w:pPr>
            <w:r>
              <w:rPr>
                <w:rFonts w:ascii="宋体" w:hAnsi="宋体" w:eastAsia="宋体" w:cs="Times New Roman"/>
                <w:color w:val="auto"/>
                <w:lang w:eastAsia="en-US"/>
              </w:rPr>
              <w:t>25.3</w:t>
            </w:r>
          </w:p>
        </w:tc>
        <w:tc>
          <w:tcPr>
            <w:tcW w:w="896" w:type="dxa"/>
          </w:tcPr>
          <w:p w14:paraId="40D5E8F6">
            <w:pPr>
              <w:widowControl/>
              <w:autoSpaceDE w:val="0"/>
              <w:autoSpaceDN w:val="0"/>
              <w:spacing w:line="360" w:lineRule="exact"/>
              <w:jc w:val="center"/>
              <w:rPr>
                <w:rFonts w:ascii="宋体" w:hAnsi="宋体" w:eastAsia="宋体" w:cs="Times New Roman"/>
                <w:color w:val="auto"/>
                <w:lang w:eastAsia="zh-CN"/>
              </w:rPr>
            </w:pPr>
            <w:r>
              <w:rPr>
                <w:rFonts w:ascii="宋体" w:hAnsi="宋体" w:eastAsia="宋体" w:cs="Times New Roman"/>
                <w:color w:val="auto"/>
                <w:lang w:eastAsia="en-US"/>
              </w:rPr>
              <w:t>19. 1</w:t>
            </w:r>
          </w:p>
        </w:tc>
        <w:tc>
          <w:tcPr>
            <w:tcW w:w="1254" w:type="dxa"/>
            <w:vAlign w:val="center"/>
          </w:tcPr>
          <w:p w14:paraId="69570E57">
            <w:pPr>
              <w:widowControl/>
              <w:autoSpaceDE w:val="0"/>
              <w:autoSpaceDN w:val="0"/>
              <w:spacing w:line="360" w:lineRule="exact"/>
              <w:jc w:val="center"/>
              <w:rPr>
                <w:rFonts w:ascii="宋体" w:hAnsi="宋体" w:eastAsia="宋体" w:cs="Times New Roman"/>
                <w:color w:val="auto"/>
                <w:lang w:eastAsia="zh-CN"/>
              </w:rPr>
            </w:pPr>
            <w:r>
              <w:rPr>
                <w:rFonts w:ascii="宋体" w:hAnsi="宋体" w:eastAsia="宋体" w:cs="Times New Roman"/>
                <w:color w:val="auto"/>
                <w:lang w:eastAsia="en-US"/>
              </w:rPr>
              <w:t>125</w:t>
            </w:r>
          </w:p>
        </w:tc>
        <w:tc>
          <w:tcPr>
            <w:tcW w:w="1251" w:type="dxa"/>
          </w:tcPr>
          <w:p w14:paraId="4BCE0BCD">
            <w:pPr>
              <w:widowControl/>
              <w:autoSpaceDE w:val="0"/>
              <w:autoSpaceDN w:val="0"/>
              <w:spacing w:line="360" w:lineRule="exact"/>
              <w:jc w:val="center"/>
              <w:rPr>
                <w:rFonts w:ascii="宋体" w:hAnsi="宋体" w:eastAsia="宋体" w:cs="Times New Roman"/>
                <w:color w:val="auto"/>
                <w:lang w:eastAsia="zh-CN"/>
              </w:rPr>
            </w:pPr>
            <w:r>
              <w:rPr>
                <w:rFonts w:ascii="宋体" w:hAnsi="宋体" w:eastAsia="宋体" w:cs="Times New Roman"/>
                <w:color w:val="auto"/>
                <w:lang w:eastAsia="en-US"/>
              </w:rPr>
              <w:t>8.2</w:t>
            </w:r>
          </w:p>
        </w:tc>
      </w:tr>
    </w:tbl>
    <w:p w14:paraId="4B27E898">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color w:val="auto"/>
        </w:rPr>
        <w:t>伴生气主要物性表</w:t>
      </w:r>
    </w:p>
    <w:tbl>
      <w:tblPr>
        <w:tblStyle w:val="192"/>
        <w:tblW w:w="500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1016"/>
        <w:gridCol w:w="872"/>
        <w:gridCol w:w="871"/>
        <w:gridCol w:w="726"/>
        <w:gridCol w:w="726"/>
        <w:gridCol w:w="745"/>
        <w:gridCol w:w="896"/>
        <w:gridCol w:w="826"/>
        <w:gridCol w:w="871"/>
        <w:gridCol w:w="805"/>
      </w:tblGrid>
      <w:tr w14:paraId="40C86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25" w:type="dxa"/>
            <w:vAlign w:val="center"/>
          </w:tcPr>
          <w:p w14:paraId="5512EC81">
            <w:pPr>
              <w:widowControl/>
              <w:autoSpaceDE w:val="0"/>
              <w:autoSpaceDN w:val="0"/>
              <w:spacing w:before="117"/>
              <w:ind w:right="10"/>
              <w:jc w:val="center"/>
              <w:rPr>
                <w:rFonts w:ascii="宋体" w:hAnsi="宋体" w:eastAsia="宋体" w:cs="Times New Roman"/>
                <w:color w:val="auto"/>
                <w:lang w:eastAsia="en-US"/>
              </w:rPr>
            </w:pPr>
            <w:r>
              <w:rPr>
                <w:rFonts w:ascii="宋体" w:hAnsi="宋体" w:eastAsia="宋体" w:cs="Times New Roman"/>
                <w:color w:val="auto"/>
                <w:lang w:eastAsia="en-US"/>
              </w:rPr>
              <w:t>类别</w:t>
            </w:r>
          </w:p>
        </w:tc>
        <w:tc>
          <w:tcPr>
            <w:tcW w:w="1015" w:type="dxa"/>
            <w:vAlign w:val="center"/>
          </w:tcPr>
          <w:p w14:paraId="5207F02C">
            <w:pPr>
              <w:widowControl/>
              <w:autoSpaceDE w:val="0"/>
              <w:autoSpaceDN w:val="0"/>
              <w:ind w:right="163"/>
              <w:jc w:val="center"/>
              <w:rPr>
                <w:rFonts w:ascii="宋体" w:hAnsi="宋体" w:eastAsia="宋体" w:cs="Times New Roman"/>
                <w:color w:val="auto"/>
                <w:lang w:eastAsia="en-US"/>
              </w:rPr>
            </w:pPr>
            <w:r>
              <w:rPr>
                <w:rFonts w:ascii="宋体" w:hAnsi="宋体" w:eastAsia="宋体" w:cs="Times New Roman"/>
                <w:color w:val="auto"/>
                <w:lang w:eastAsia="en-US"/>
              </w:rPr>
              <w:t>密度 (kg/nm</w:t>
            </w:r>
            <w:r>
              <w:rPr>
                <w:rFonts w:ascii="宋体" w:hAnsi="宋体" w:eastAsia="宋体" w:cs="Times New Roman"/>
                <w:color w:val="auto"/>
                <w:vertAlign w:val="superscript"/>
                <w:lang w:eastAsia="en-US"/>
              </w:rPr>
              <w:t>3</w:t>
            </w:r>
            <w:r>
              <w:rPr>
                <w:rFonts w:ascii="宋体" w:hAnsi="宋体" w:eastAsia="宋体" w:cs="Times New Roman"/>
                <w:color w:val="auto"/>
                <w:lang w:eastAsia="en-US"/>
              </w:rPr>
              <w:t>)</w:t>
            </w:r>
          </w:p>
        </w:tc>
        <w:tc>
          <w:tcPr>
            <w:tcW w:w="871" w:type="dxa"/>
            <w:vAlign w:val="center"/>
          </w:tcPr>
          <w:p w14:paraId="1595A3A0">
            <w:pPr>
              <w:widowControl/>
              <w:autoSpaceDE w:val="0"/>
              <w:autoSpaceDN w:val="0"/>
              <w:ind w:right="219"/>
              <w:jc w:val="center"/>
              <w:rPr>
                <w:rFonts w:ascii="宋体" w:hAnsi="宋体" w:eastAsia="宋体" w:cs="Times New Roman"/>
                <w:color w:val="auto"/>
                <w:lang w:eastAsia="en-US"/>
              </w:rPr>
            </w:pPr>
            <w:r>
              <w:rPr>
                <w:rFonts w:ascii="宋体" w:hAnsi="宋体" w:eastAsia="宋体" w:cs="Times New Roman"/>
                <w:color w:val="auto"/>
                <w:lang w:eastAsia="en-US"/>
              </w:rPr>
              <w:t>C1 (%)</w:t>
            </w:r>
          </w:p>
        </w:tc>
        <w:tc>
          <w:tcPr>
            <w:tcW w:w="870" w:type="dxa"/>
            <w:tcBorders>
              <w:right w:val="single" w:color="auto" w:sz="4" w:space="0"/>
            </w:tcBorders>
            <w:vAlign w:val="center"/>
          </w:tcPr>
          <w:p w14:paraId="28B2EA39">
            <w:pPr>
              <w:widowControl/>
              <w:autoSpaceDE w:val="0"/>
              <w:autoSpaceDN w:val="0"/>
              <w:jc w:val="center"/>
              <w:rPr>
                <w:rFonts w:ascii="宋体" w:hAnsi="宋体" w:eastAsia="宋体" w:cs="Times New Roman"/>
                <w:color w:val="auto"/>
                <w:lang w:eastAsia="en-US"/>
              </w:rPr>
            </w:pPr>
            <w:r>
              <w:rPr>
                <w:rFonts w:ascii="宋体" w:hAnsi="宋体" w:eastAsia="宋体" w:cs="Times New Roman"/>
                <w:color w:val="auto"/>
                <w:lang w:eastAsia="en-US"/>
              </w:rPr>
              <w:t>C2 (%)</w:t>
            </w:r>
          </w:p>
        </w:tc>
        <w:tc>
          <w:tcPr>
            <w:tcW w:w="726" w:type="dxa"/>
            <w:tcBorders>
              <w:left w:val="single" w:color="auto" w:sz="4" w:space="0"/>
            </w:tcBorders>
            <w:vAlign w:val="center"/>
          </w:tcPr>
          <w:p w14:paraId="72D04FEA">
            <w:pPr>
              <w:autoSpaceDE w:val="0"/>
              <w:autoSpaceDN w:val="0"/>
              <w:jc w:val="center"/>
              <w:rPr>
                <w:rFonts w:ascii="宋体" w:hAnsi="宋体" w:eastAsia="宋体" w:cs="Times New Roman"/>
                <w:color w:val="auto"/>
                <w:lang w:eastAsia="en-US"/>
              </w:rPr>
            </w:pPr>
            <w:r>
              <w:rPr>
                <w:rFonts w:ascii="宋体" w:hAnsi="宋体" w:eastAsia="宋体" w:cs="Times New Roman"/>
                <w:color w:val="auto"/>
                <w:lang w:eastAsia="en-US"/>
              </w:rPr>
              <w:t>C3 (%)</w:t>
            </w:r>
          </w:p>
        </w:tc>
        <w:tc>
          <w:tcPr>
            <w:tcW w:w="726" w:type="dxa"/>
            <w:tcBorders>
              <w:right w:val="single" w:color="auto" w:sz="4" w:space="0"/>
            </w:tcBorders>
            <w:vAlign w:val="center"/>
          </w:tcPr>
          <w:p w14:paraId="3C96C197">
            <w:pPr>
              <w:widowControl/>
              <w:autoSpaceDE w:val="0"/>
              <w:autoSpaceDN w:val="0"/>
              <w:ind w:left="1"/>
              <w:jc w:val="center"/>
              <w:rPr>
                <w:rFonts w:ascii="宋体" w:hAnsi="宋体" w:eastAsia="宋体" w:cs="Times New Roman"/>
                <w:color w:val="auto"/>
                <w:lang w:eastAsia="en-US"/>
              </w:rPr>
            </w:pPr>
            <w:r>
              <w:rPr>
                <w:rFonts w:ascii="宋体" w:hAnsi="宋体" w:eastAsia="宋体" w:cs="Times New Roman"/>
                <w:color w:val="auto"/>
                <w:lang w:eastAsia="en-US"/>
              </w:rPr>
              <w:t>iC4 (%)</w:t>
            </w:r>
          </w:p>
        </w:tc>
        <w:tc>
          <w:tcPr>
            <w:tcW w:w="745" w:type="dxa"/>
            <w:tcBorders>
              <w:left w:val="single" w:color="auto" w:sz="4" w:space="0"/>
            </w:tcBorders>
            <w:vAlign w:val="center"/>
          </w:tcPr>
          <w:p w14:paraId="7E8D81D0">
            <w:pPr>
              <w:autoSpaceDE w:val="0"/>
              <w:autoSpaceDN w:val="0"/>
              <w:ind w:left="1"/>
              <w:jc w:val="center"/>
              <w:rPr>
                <w:rFonts w:ascii="宋体" w:hAnsi="宋体" w:eastAsia="宋体" w:cs="Times New Roman"/>
                <w:color w:val="auto"/>
                <w:lang w:eastAsia="en-US"/>
              </w:rPr>
            </w:pPr>
            <w:r>
              <w:rPr>
                <w:rFonts w:ascii="宋体" w:hAnsi="宋体" w:eastAsia="宋体" w:cs="Times New Roman"/>
                <w:color w:val="auto"/>
                <w:lang w:eastAsia="en-US"/>
              </w:rPr>
              <w:t>nC4 (%)</w:t>
            </w:r>
          </w:p>
        </w:tc>
        <w:tc>
          <w:tcPr>
            <w:tcW w:w="896" w:type="dxa"/>
            <w:vAlign w:val="center"/>
          </w:tcPr>
          <w:p w14:paraId="15B9FF1A">
            <w:pPr>
              <w:widowControl/>
              <w:autoSpaceDE w:val="0"/>
              <w:autoSpaceDN w:val="0"/>
              <w:ind w:left="1"/>
              <w:jc w:val="center"/>
              <w:rPr>
                <w:rFonts w:ascii="宋体" w:hAnsi="宋体" w:eastAsia="宋体" w:cs="Times New Roman"/>
                <w:color w:val="auto"/>
                <w:lang w:eastAsia="en-US"/>
              </w:rPr>
            </w:pPr>
            <w:r>
              <w:rPr>
                <w:rFonts w:ascii="宋体" w:hAnsi="宋体" w:eastAsia="宋体" w:cs="Times New Roman"/>
                <w:color w:val="auto"/>
                <w:lang w:eastAsia="en-US"/>
              </w:rPr>
              <w:t>iC5 (%)</w:t>
            </w:r>
          </w:p>
        </w:tc>
        <w:tc>
          <w:tcPr>
            <w:tcW w:w="826" w:type="dxa"/>
            <w:tcBorders>
              <w:right w:val="single" w:color="auto" w:sz="4" w:space="0"/>
            </w:tcBorders>
            <w:vAlign w:val="center"/>
          </w:tcPr>
          <w:p w14:paraId="1B7C49B6">
            <w:pPr>
              <w:widowControl/>
              <w:autoSpaceDE w:val="0"/>
              <w:autoSpaceDN w:val="0"/>
              <w:ind w:right="1"/>
              <w:jc w:val="center"/>
              <w:rPr>
                <w:rFonts w:ascii="宋体" w:hAnsi="宋体" w:eastAsia="宋体" w:cs="Times New Roman"/>
                <w:color w:val="auto"/>
                <w:lang w:eastAsia="en-US"/>
              </w:rPr>
            </w:pPr>
            <w:r>
              <w:rPr>
                <w:rFonts w:ascii="宋体" w:hAnsi="宋体" w:eastAsia="宋体" w:cs="Times New Roman"/>
                <w:color w:val="auto"/>
                <w:lang w:eastAsia="en-US"/>
              </w:rPr>
              <w:t>nC5 (%)</w:t>
            </w:r>
          </w:p>
        </w:tc>
        <w:tc>
          <w:tcPr>
            <w:tcW w:w="871" w:type="dxa"/>
            <w:tcBorders>
              <w:left w:val="single" w:color="auto" w:sz="4" w:space="0"/>
            </w:tcBorders>
            <w:vAlign w:val="center"/>
          </w:tcPr>
          <w:p w14:paraId="0A24869D">
            <w:pPr>
              <w:autoSpaceDE w:val="0"/>
              <w:autoSpaceDN w:val="0"/>
              <w:ind w:right="1"/>
              <w:jc w:val="center"/>
              <w:rPr>
                <w:rFonts w:ascii="宋体" w:hAnsi="宋体" w:eastAsia="宋体" w:cs="Times New Roman"/>
                <w:color w:val="auto"/>
                <w:lang w:eastAsia="en-US"/>
              </w:rPr>
            </w:pPr>
            <w:r>
              <w:rPr>
                <w:rFonts w:ascii="宋体" w:hAnsi="宋体" w:eastAsia="宋体" w:cs="Times New Roman"/>
                <w:color w:val="auto"/>
                <w:lang w:eastAsia="en-US"/>
              </w:rPr>
              <w:t>CO</w:t>
            </w:r>
            <w:r>
              <w:rPr>
                <w:rFonts w:ascii="宋体" w:hAnsi="宋体" w:eastAsia="宋体" w:cs="Times New Roman"/>
                <w:color w:val="auto"/>
                <w:vertAlign w:val="subscript"/>
                <w:lang w:eastAsia="en-US"/>
              </w:rPr>
              <w:t>2</w:t>
            </w:r>
            <w:r>
              <w:rPr>
                <w:rFonts w:ascii="宋体" w:hAnsi="宋体" w:eastAsia="宋体" w:cs="Times New Roman"/>
                <w:color w:val="auto"/>
                <w:lang w:eastAsia="en-US"/>
              </w:rPr>
              <w:t xml:space="preserve"> (%)</w:t>
            </w:r>
          </w:p>
        </w:tc>
        <w:tc>
          <w:tcPr>
            <w:tcW w:w="805" w:type="dxa"/>
            <w:vAlign w:val="center"/>
          </w:tcPr>
          <w:p w14:paraId="364CF10E">
            <w:pPr>
              <w:widowControl/>
              <w:autoSpaceDE w:val="0"/>
              <w:autoSpaceDN w:val="0"/>
              <w:ind w:left="7"/>
              <w:jc w:val="center"/>
              <w:rPr>
                <w:rFonts w:ascii="宋体" w:hAnsi="宋体" w:eastAsia="宋体" w:cs="Times New Roman"/>
                <w:color w:val="auto"/>
                <w:lang w:eastAsia="en-US"/>
              </w:rPr>
            </w:pPr>
            <w:r>
              <w:rPr>
                <w:rFonts w:ascii="宋体" w:hAnsi="宋体" w:eastAsia="宋体" w:cs="Times New Roman"/>
                <w:color w:val="auto"/>
                <w:lang w:eastAsia="en-US"/>
              </w:rPr>
              <w:t>N</w:t>
            </w:r>
            <w:r>
              <w:rPr>
                <w:rFonts w:ascii="宋体" w:hAnsi="宋体" w:eastAsia="宋体" w:cs="Times New Roman"/>
                <w:color w:val="auto"/>
                <w:vertAlign w:val="subscript"/>
                <w:lang w:eastAsia="en-US"/>
              </w:rPr>
              <w:t>2</w:t>
            </w:r>
            <w:r>
              <w:rPr>
                <w:rFonts w:ascii="宋体" w:hAnsi="宋体" w:eastAsia="宋体" w:cs="Times New Roman"/>
                <w:color w:val="auto"/>
                <w:lang w:eastAsia="en-US"/>
              </w:rPr>
              <w:t xml:space="preserve"> (%)</w:t>
            </w:r>
          </w:p>
        </w:tc>
      </w:tr>
      <w:tr w14:paraId="5CBD7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exact"/>
          <w:jc w:val="center"/>
        </w:trPr>
        <w:tc>
          <w:tcPr>
            <w:tcW w:w="725" w:type="dxa"/>
            <w:vAlign w:val="center"/>
          </w:tcPr>
          <w:p w14:paraId="63F7FA43">
            <w:pPr>
              <w:widowControl/>
              <w:autoSpaceDE w:val="0"/>
              <w:autoSpaceDN w:val="0"/>
              <w:spacing w:before="14"/>
              <w:ind w:right="8"/>
              <w:jc w:val="center"/>
              <w:rPr>
                <w:rFonts w:ascii="宋体" w:hAnsi="宋体" w:eastAsia="宋体" w:cs="Times New Roman"/>
                <w:color w:val="auto"/>
                <w:lang w:eastAsia="en-US"/>
              </w:rPr>
            </w:pPr>
            <w:r>
              <w:rPr>
                <w:rFonts w:ascii="宋体" w:hAnsi="宋体" w:eastAsia="宋体" w:cs="Times New Roman"/>
                <w:color w:val="auto"/>
                <w:lang w:eastAsia="en-US"/>
              </w:rPr>
              <w:t>伴生气</w:t>
            </w:r>
          </w:p>
        </w:tc>
        <w:tc>
          <w:tcPr>
            <w:tcW w:w="1015" w:type="dxa"/>
            <w:vAlign w:val="center"/>
          </w:tcPr>
          <w:p w14:paraId="3B48D546">
            <w:pPr>
              <w:widowControl/>
              <w:autoSpaceDE w:val="0"/>
              <w:autoSpaceDN w:val="0"/>
              <w:spacing w:before="63"/>
              <w:ind w:left="1"/>
              <w:jc w:val="center"/>
              <w:rPr>
                <w:rFonts w:ascii="宋体" w:hAnsi="宋体" w:eastAsia="宋体" w:cs="Times New Roman"/>
                <w:color w:val="auto"/>
                <w:lang w:eastAsia="en-US"/>
              </w:rPr>
            </w:pPr>
            <w:r>
              <w:rPr>
                <w:rFonts w:ascii="宋体" w:hAnsi="宋体" w:eastAsia="宋体" w:cs="Times New Roman"/>
                <w:color w:val="auto"/>
                <w:lang w:eastAsia="en-US"/>
              </w:rPr>
              <w:t>0.823</w:t>
            </w:r>
          </w:p>
        </w:tc>
        <w:tc>
          <w:tcPr>
            <w:tcW w:w="871" w:type="dxa"/>
            <w:vAlign w:val="center"/>
          </w:tcPr>
          <w:p w14:paraId="742ABEB6">
            <w:pPr>
              <w:widowControl/>
              <w:autoSpaceDE w:val="0"/>
              <w:autoSpaceDN w:val="0"/>
              <w:spacing w:before="63"/>
              <w:jc w:val="center"/>
              <w:rPr>
                <w:rFonts w:ascii="宋体" w:hAnsi="宋体" w:eastAsia="宋体" w:cs="Times New Roman"/>
                <w:color w:val="auto"/>
                <w:lang w:eastAsia="en-US"/>
              </w:rPr>
            </w:pPr>
            <w:r>
              <w:rPr>
                <w:rFonts w:ascii="宋体" w:hAnsi="宋体" w:eastAsia="宋体" w:cs="Times New Roman"/>
                <w:color w:val="auto"/>
                <w:lang w:eastAsia="en-US"/>
              </w:rPr>
              <w:t>44.21</w:t>
            </w:r>
          </w:p>
        </w:tc>
        <w:tc>
          <w:tcPr>
            <w:tcW w:w="870" w:type="dxa"/>
            <w:tcBorders>
              <w:right w:val="single" w:color="auto" w:sz="4" w:space="0"/>
            </w:tcBorders>
            <w:vAlign w:val="center"/>
          </w:tcPr>
          <w:p w14:paraId="26E3359E">
            <w:pPr>
              <w:widowControl/>
              <w:autoSpaceDE w:val="0"/>
              <w:autoSpaceDN w:val="0"/>
              <w:spacing w:before="63"/>
              <w:ind w:right="1"/>
              <w:jc w:val="center"/>
              <w:rPr>
                <w:rFonts w:ascii="宋体" w:hAnsi="宋体" w:eastAsia="宋体" w:cs="Times New Roman"/>
                <w:color w:val="auto"/>
                <w:lang w:eastAsia="en-US"/>
              </w:rPr>
            </w:pPr>
            <w:r>
              <w:rPr>
                <w:rFonts w:ascii="宋体" w:hAnsi="宋体" w:eastAsia="宋体" w:cs="Times New Roman"/>
                <w:color w:val="auto"/>
                <w:lang w:eastAsia="en-US"/>
              </w:rPr>
              <w:t>7.9</w:t>
            </w:r>
          </w:p>
        </w:tc>
        <w:tc>
          <w:tcPr>
            <w:tcW w:w="726" w:type="dxa"/>
            <w:tcBorders>
              <w:left w:val="single" w:color="auto" w:sz="4" w:space="0"/>
            </w:tcBorders>
            <w:vAlign w:val="center"/>
          </w:tcPr>
          <w:p w14:paraId="758CBEA5">
            <w:pPr>
              <w:autoSpaceDE w:val="0"/>
              <w:autoSpaceDN w:val="0"/>
              <w:spacing w:before="63"/>
              <w:ind w:right="1"/>
              <w:jc w:val="center"/>
              <w:rPr>
                <w:rFonts w:ascii="宋体" w:hAnsi="宋体" w:eastAsia="宋体" w:cs="Times New Roman"/>
                <w:color w:val="auto"/>
                <w:lang w:eastAsia="en-US"/>
              </w:rPr>
            </w:pPr>
            <w:r>
              <w:rPr>
                <w:rFonts w:ascii="宋体" w:hAnsi="宋体" w:eastAsia="宋体" w:cs="Times New Roman"/>
                <w:color w:val="auto"/>
                <w:lang w:eastAsia="en-US"/>
              </w:rPr>
              <w:t>9.14</w:t>
            </w:r>
          </w:p>
        </w:tc>
        <w:tc>
          <w:tcPr>
            <w:tcW w:w="726" w:type="dxa"/>
            <w:tcBorders>
              <w:right w:val="single" w:color="auto" w:sz="4" w:space="0"/>
            </w:tcBorders>
            <w:vAlign w:val="center"/>
          </w:tcPr>
          <w:p w14:paraId="337AAE63">
            <w:pPr>
              <w:widowControl/>
              <w:autoSpaceDE w:val="0"/>
              <w:autoSpaceDN w:val="0"/>
              <w:spacing w:before="63"/>
              <w:jc w:val="center"/>
              <w:rPr>
                <w:rFonts w:ascii="宋体" w:hAnsi="宋体" w:eastAsia="宋体" w:cs="Times New Roman"/>
                <w:color w:val="auto"/>
                <w:lang w:eastAsia="en-US"/>
              </w:rPr>
            </w:pPr>
            <w:r>
              <w:rPr>
                <w:rFonts w:ascii="宋体" w:hAnsi="宋体" w:eastAsia="宋体" w:cs="Times New Roman"/>
                <w:color w:val="auto"/>
                <w:lang w:eastAsia="en-US"/>
              </w:rPr>
              <w:t>9.72</w:t>
            </w:r>
          </w:p>
        </w:tc>
        <w:tc>
          <w:tcPr>
            <w:tcW w:w="745" w:type="dxa"/>
            <w:tcBorders>
              <w:left w:val="single" w:color="auto" w:sz="4" w:space="0"/>
            </w:tcBorders>
            <w:vAlign w:val="center"/>
          </w:tcPr>
          <w:p w14:paraId="0480DBEB">
            <w:pPr>
              <w:autoSpaceDE w:val="0"/>
              <w:autoSpaceDN w:val="0"/>
              <w:spacing w:before="63"/>
              <w:jc w:val="center"/>
              <w:rPr>
                <w:rFonts w:ascii="宋体" w:hAnsi="宋体" w:eastAsia="宋体" w:cs="Times New Roman"/>
                <w:color w:val="auto"/>
                <w:lang w:eastAsia="en-US"/>
              </w:rPr>
            </w:pPr>
            <w:r>
              <w:rPr>
                <w:rFonts w:ascii="宋体" w:hAnsi="宋体" w:eastAsia="宋体" w:cs="Times New Roman"/>
                <w:color w:val="auto"/>
                <w:lang w:eastAsia="en-US"/>
              </w:rPr>
              <w:t>2.38</w:t>
            </w:r>
          </w:p>
        </w:tc>
        <w:tc>
          <w:tcPr>
            <w:tcW w:w="896" w:type="dxa"/>
            <w:vAlign w:val="center"/>
          </w:tcPr>
          <w:p w14:paraId="5E817294">
            <w:pPr>
              <w:widowControl/>
              <w:autoSpaceDE w:val="0"/>
              <w:autoSpaceDN w:val="0"/>
              <w:spacing w:before="63"/>
              <w:jc w:val="center"/>
              <w:rPr>
                <w:rFonts w:ascii="宋体" w:hAnsi="宋体" w:eastAsia="宋体" w:cs="Times New Roman"/>
                <w:color w:val="auto"/>
                <w:lang w:eastAsia="en-US"/>
              </w:rPr>
            </w:pPr>
            <w:r>
              <w:rPr>
                <w:rFonts w:ascii="宋体" w:hAnsi="宋体" w:eastAsia="宋体" w:cs="Times New Roman"/>
                <w:color w:val="auto"/>
                <w:lang w:eastAsia="en-US"/>
              </w:rPr>
              <w:t>1.51</w:t>
            </w:r>
          </w:p>
        </w:tc>
        <w:tc>
          <w:tcPr>
            <w:tcW w:w="826" w:type="dxa"/>
            <w:tcBorders>
              <w:right w:val="single" w:color="auto" w:sz="4" w:space="0"/>
            </w:tcBorders>
            <w:vAlign w:val="center"/>
          </w:tcPr>
          <w:p w14:paraId="2715780D">
            <w:pPr>
              <w:widowControl/>
              <w:autoSpaceDE w:val="0"/>
              <w:autoSpaceDN w:val="0"/>
              <w:spacing w:before="63"/>
              <w:jc w:val="center"/>
              <w:rPr>
                <w:rFonts w:ascii="宋体" w:hAnsi="宋体" w:eastAsia="宋体" w:cs="Times New Roman"/>
                <w:color w:val="auto"/>
                <w:lang w:eastAsia="en-US"/>
              </w:rPr>
            </w:pPr>
            <w:r>
              <w:rPr>
                <w:rFonts w:ascii="宋体" w:hAnsi="宋体" w:eastAsia="宋体" w:cs="Times New Roman"/>
                <w:color w:val="auto"/>
                <w:lang w:eastAsia="en-US"/>
              </w:rPr>
              <w:t>5.65</w:t>
            </w:r>
          </w:p>
        </w:tc>
        <w:tc>
          <w:tcPr>
            <w:tcW w:w="871" w:type="dxa"/>
            <w:tcBorders>
              <w:left w:val="single" w:color="auto" w:sz="4" w:space="0"/>
            </w:tcBorders>
            <w:vAlign w:val="center"/>
          </w:tcPr>
          <w:p w14:paraId="7DAB4DDB">
            <w:pPr>
              <w:autoSpaceDE w:val="0"/>
              <w:autoSpaceDN w:val="0"/>
              <w:spacing w:before="63"/>
              <w:jc w:val="center"/>
              <w:rPr>
                <w:rFonts w:ascii="宋体" w:hAnsi="宋体" w:eastAsia="宋体" w:cs="Times New Roman"/>
                <w:color w:val="auto"/>
                <w:lang w:eastAsia="en-US"/>
              </w:rPr>
            </w:pPr>
            <w:r>
              <w:rPr>
                <w:rFonts w:ascii="宋体" w:hAnsi="宋体" w:eastAsia="宋体" w:cs="Times New Roman"/>
                <w:color w:val="auto"/>
                <w:lang w:eastAsia="en-US"/>
              </w:rPr>
              <w:t>0.36</w:t>
            </w:r>
          </w:p>
        </w:tc>
        <w:tc>
          <w:tcPr>
            <w:tcW w:w="805" w:type="dxa"/>
            <w:vAlign w:val="center"/>
          </w:tcPr>
          <w:p w14:paraId="2FD6C12C">
            <w:pPr>
              <w:widowControl/>
              <w:autoSpaceDE w:val="0"/>
              <w:autoSpaceDN w:val="0"/>
              <w:spacing w:before="63"/>
              <w:ind w:left="6"/>
              <w:jc w:val="center"/>
              <w:rPr>
                <w:rFonts w:ascii="宋体" w:hAnsi="宋体" w:eastAsia="宋体" w:cs="Times New Roman"/>
                <w:color w:val="auto"/>
                <w:lang w:eastAsia="en-US"/>
              </w:rPr>
            </w:pPr>
            <w:r>
              <w:rPr>
                <w:rFonts w:ascii="宋体" w:hAnsi="宋体" w:eastAsia="宋体" w:cs="Times New Roman"/>
                <w:color w:val="auto"/>
                <w:lang w:eastAsia="en-US"/>
              </w:rPr>
              <w:t>19.13</w:t>
            </w:r>
          </w:p>
        </w:tc>
      </w:tr>
    </w:tbl>
    <w:p w14:paraId="6C76A4D8">
      <w:pPr>
        <w:pStyle w:val="6"/>
        <w:rPr>
          <w:color w:val="auto"/>
        </w:rPr>
      </w:pPr>
      <w:r>
        <w:rPr>
          <w:color w:val="auto"/>
        </w:rPr>
        <w:t>开发进程</w:t>
      </w:r>
    </w:p>
    <w:p w14:paraId="1E9ED959">
      <w:pPr>
        <w:pStyle w:val="276"/>
        <w:spacing w:line="440" w:lineRule="exact"/>
        <w:ind w:firstLine="480"/>
        <w:jc w:val="both"/>
        <w:rPr>
          <w:snapToGrid w:val="0"/>
          <w:color w:val="auto"/>
        </w:rPr>
      </w:pPr>
      <w:r>
        <w:rPr>
          <w:color w:val="auto"/>
          <w:kern w:val="2"/>
        </w:rPr>
        <w:t>2007年10月，编制了《大庆油田有限责任公司采油十厂肇源油田212区块产能建设工程环境影响报告书》，于2007年11月19日由大庆市生态环境局进行了批复，批复文号为庆环审〔2007〕47号，并于2011年8月11日完成了验收，文号为庆环验〔2011〕101号。2022年10月，编制了《肇源油田源212区块扶余油层2022年产能建设地面工程项目环境影响报告书》，于2022年12月22日由大庆市生态环境局进行了批复，批复文号为庆环审〔2022〕197号，</w:t>
      </w:r>
      <w:r>
        <w:rPr>
          <w:rFonts w:hint="eastAsia"/>
          <w:color w:val="auto"/>
          <w:kern w:val="2"/>
        </w:rPr>
        <w:t>正在施工中</w:t>
      </w:r>
      <w:r>
        <w:rPr>
          <w:color w:val="auto"/>
          <w:kern w:val="2"/>
        </w:rPr>
        <w:t>。</w:t>
      </w:r>
    </w:p>
    <w:p w14:paraId="4F04EDF1">
      <w:pPr>
        <w:pStyle w:val="5"/>
        <w:rPr>
          <w:bCs w:val="0"/>
          <w:color w:val="auto"/>
        </w:rPr>
      </w:pPr>
      <w:bookmarkStart w:id="592" w:name="_Toc31656"/>
      <w:bookmarkStart w:id="593" w:name="_Toc212033014"/>
      <w:r>
        <w:rPr>
          <w:bCs w:val="0"/>
          <w:color w:val="auto"/>
        </w:rPr>
        <w:t>工程组成</w:t>
      </w:r>
      <w:bookmarkEnd w:id="592"/>
      <w:bookmarkEnd w:id="593"/>
    </w:p>
    <w:bookmarkEnd w:id="578"/>
    <w:bookmarkEnd w:id="579"/>
    <w:p w14:paraId="0B2922C0">
      <w:pPr>
        <w:pStyle w:val="276"/>
        <w:widowControl w:val="0"/>
        <w:spacing w:line="440" w:lineRule="exact"/>
        <w:ind w:firstLine="480"/>
        <w:jc w:val="both"/>
        <w:rPr>
          <w:snapToGrid w:val="0"/>
          <w:color w:val="auto"/>
        </w:rPr>
      </w:pPr>
      <w:r>
        <w:rPr>
          <w:snapToGrid w:val="0"/>
          <w:color w:val="auto"/>
        </w:rPr>
        <w:t>本项目工程组成见表3.4-1。</w:t>
      </w:r>
    </w:p>
    <w:p w14:paraId="4426DE51">
      <w:pPr>
        <w:pStyle w:val="22"/>
        <w:spacing w:before="156"/>
        <w:rPr>
          <w:snapToGrid w:val="0"/>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3.4</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snapToGrid w:val="0"/>
          <w:color w:val="auto"/>
        </w:rPr>
        <w:t xml:space="preserve">  </w:t>
      </w:r>
      <w:r>
        <w:rPr>
          <w:color w:val="auto"/>
        </w:rPr>
        <w:t>工程组成一览表</w:t>
      </w:r>
    </w:p>
    <w:tbl>
      <w:tblPr>
        <w:tblStyle w:val="81"/>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689"/>
        <w:gridCol w:w="76"/>
        <w:gridCol w:w="783"/>
        <w:gridCol w:w="6115"/>
        <w:gridCol w:w="730"/>
      </w:tblGrid>
      <w:tr w14:paraId="1EF6C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Align w:val="center"/>
          </w:tcPr>
          <w:p w14:paraId="222B969B">
            <w:pPr>
              <w:spacing w:line="340" w:lineRule="exact"/>
              <w:jc w:val="center"/>
              <w:rPr>
                <w:rFonts w:ascii="宋体" w:hAnsi="宋体" w:eastAsia="宋体" w:cs="Times New Roman"/>
                <w:color w:val="auto"/>
              </w:rPr>
            </w:pPr>
            <w:r>
              <w:rPr>
                <w:rFonts w:ascii="宋体" w:hAnsi="宋体" w:eastAsia="宋体" w:cs="Times New Roman"/>
                <w:color w:val="auto"/>
              </w:rPr>
              <w:t>工程类别</w:t>
            </w:r>
          </w:p>
        </w:tc>
        <w:tc>
          <w:tcPr>
            <w:tcW w:w="1548" w:type="dxa"/>
            <w:gridSpan w:val="3"/>
            <w:vAlign w:val="center"/>
          </w:tcPr>
          <w:p w14:paraId="7D3D6F3A">
            <w:pPr>
              <w:spacing w:line="340" w:lineRule="exact"/>
              <w:jc w:val="center"/>
              <w:rPr>
                <w:rFonts w:ascii="宋体" w:hAnsi="宋体" w:eastAsia="宋体" w:cs="Times New Roman"/>
                <w:color w:val="auto"/>
              </w:rPr>
            </w:pPr>
            <w:r>
              <w:rPr>
                <w:rFonts w:ascii="宋体" w:hAnsi="宋体" w:eastAsia="宋体" w:cs="Times New Roman"/>
                <w:color w:val="auto"/>
              </w:rPr>
              <w:t>工程组成</w:t>
            </w:r>
          </w:p>
        </w:tc>
        <w:tc>
          <w:tcPr>
            <w:tcW w:w="6115" w:type="dxa"/>
            <w:vAlign w:val="center"/>
          </w:tcPr>
          <w:p w14:paraId="38E109BE">
            <w:pPr>
              <w:spacing w:line="340" w:lineRule="exact"/>
              <w:jc w:val="center"/>
              <w:rPr>
                <w:rFonts w:ascii="宋体" w:hAnsi="宋体" w:eastAsia="宋体" w:cs="Times New Roman"/>
                <w:color w:val="auto"/>
              </w:rPr>
            </w:pPr>
            <w:r>
              <w:rPr>
                <w:rFonts w:ascii="宋体" w:hAnsi="宋体" w:eastAsia="宋体" w:cs="Times New Roman"/>
                <w:color w:val="auto"/>
              </w:rPr>
              <w:t>建设内容及规模</w:t>
            </w:r>
          </w:p>
        </w:tc>
        <w:tc>
          <w:tcPr>
            <w:tcW w:w="730" w:type="dxa"/>
            <w:vAlign w:val="center"/>
          </w:tcPr>
          <w:p w14:paraId="2C3F99AA">
            <w:pPr>
              <w:spacing w:line="340" w:lineRule="exact"/>
              <w:jc w:val="center"/>
              <w:rPr>
                <w:rFonts w:ascii="宋体" w:hAnsi="宋体" w:eastAsia="宋体" w:cs="Times New Roman"/>
                <w:color w:val="auto"/>
              </w:rPr>
            </w:pPr>
            <w:r>
              <w:rPr>
                <w:rFonts w:ascii="宋体" w:hAnsi="宋体" w:eastAsia="宋体" w:cs="Times New Roman"/>
                <w:color w:val="auto"/>
              </w:rPr>
              <w:t>备注</w:t>
            </w:r>
          </w:p>
        </w:tc>
      </w:tr>
      <w:tr w14:paraId="352F7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restart"/>
            <w:vAlign w:val="center"/>
          </w:tcPr>
          <w:p w14:paraId="7C5DDFC4">
            <w:pPr>
              <w:spacing w:line="340" w:lineRule="exact"/>
              <w:jc w:val="center"/>
              <w:rPr>
                <w:rFonts w:ascii="宋体" w:hAnsi="宋体" w:eastAsia="宋体" w:cs="Times New Roman"/>
                <w:color w:val="auto"/>
              </w:rPr>
            </w:pPr>
            <w:r>
              <w:rPr>
                <w:rFonts w:ascii="宋体" w:hAnsi="宋体" w:eastAsia="宋体" w:cs="Times New Roman"/>
                <w:color w:val="auto"/>
              </w:rPr>
              <w:t>主体工程</w:t>
            </w:r>
          </w:p>
        </w:tc>
        <w:tc>
          <w:tcPr>
            <w:tcW w:w="1548" w:type="dxa"/>
            <w:gridSpan w:val="3"/>
            <w:vAlign w:val="center"/>
          </w:tcPr>
          <w:p w14:paraId="385E5FC9">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钻前工程</w:t>
            </w:r>
          </w:p>
        </w:tc>
        <w:tc>
          <w:tcPr>
            <w:tcW w:w="6115" w:type="dxa"/>
            <w:vAlign w:val="center"/>
          </w:tcPr>
          <w:p w14:paraId="178D65FB">
            <w:pPr>
              <w:spacing w:line="340" w:lineRule="exact"/>
              <w:rPr>
                <w:rFonts w:ascii="宋体" w:hAnsi="宋体" w:eastAsia="宋体" w:cs="Times New Roman"/>
                <w:color w:val="auto"/>
                <w:kern w:val="21"/>
              </w:rPr>
            </w:pPr>
            <w:r>
              <w:rPr>
                <w:rFonts w:ascii="宋体" w:hAnsi="宋体" w:eastAsia="宋体" w:cs="Times New Roman"/>
                <w:color w:val="auto"/>
                <w:kern w:val="21"/>
              </w:rPr>
              <w:t>5座钻井井场平整（1座平台井场、4座单井井场），在临时占地内修筑运输道路，井场设备拉运，基础施工设备安装，安置柴油罐区、各撬装板房，运输柴油，配制钻井液等。</w:t>
            </w:r>
          </w:p>
        </w:tc>
        <w:tc>
          <w:tcPr>
            <w:tcW w:w="730" w:type="dxa"/>
            <w:vAlign w:val="center"/>
          </w:tcPr>
          <w:p w14:paraId="268E1E5C">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6C296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77FD0BB0">
            <w:pPr>
              <w:spacing w:line="340" w:lineRule="exact"/>
              <w:jc w:val="center"/>
              <w:rPr>
                <w:rFonts w:ascii="宋体" w:hAnsi="宋体" w:eastAsia="宋体" w:cs="Times New Roman"/>
                <w:color w:val="auto"/>
              </w:rPr>
            </w:pPr>
          </w:p>
        </w:tc>
        <w:tc>
          <w:tcPr>
            <w:tcW w:w="1548" w:type="dxa"/>
            <w:gridSpan w:val="3"/>
            <w:vMerge w:val="restart"/>
            <w:vAlign w:val="center"/>
          </w:tcPr>
          <w:p w14:paraId="41B64990">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钻井工程</w:t>
            </w:r>
          </w:p>
        </w:tc>
        <w:tc>
          <w:tcPr>
            <w:tcW w:w="6115" w:type="dxa"/>
            <w:vAlign w:val="center"/>
          </w:tcPr>
          <w:p w14:paraId="0930DF13">
            <w:pPr>
              <w:spacing w:line="340" w:lineRule="exact"/>
              <w:rPr>
                <w:rFonts w:ascii="宋体" w:hAnsi="宋体" w:eastAsia="宋体" w:cs="Times New Roman"/>
                <w:color w:val="auto"/>
                <w:kern w:val="21"/>
              </w:rPr>
            </w:pPr>
            <w:r>
              <w:rPr>
                <w:rFonts w:ascii="宋体" w:hAnsi="宋体" w:eastAsia="宋体" w:cs="Times New Roman"/>
                <w:color w:val="auto"/>
                <w:kern w:val="21"/>
              </w:rPr>
              <w:t>新钻井6口，</w:t>
            </w:r>
            <w:r>
              <w:rPr>
                <w:rFonts w:hint="eastAsia" w:ascii="宋体" w:hAnsi="宋体" w:eastAsia="宋体" w:cs="Times New Roman"/>
                <w:color w:val="auto"/>
                <w:kern w:val="21"/>
              </w:rPr>
              <w:t>其中</w:t>
            </w:r>
            <w:r>
              <w:rPr>
                <w:rFonts w:ascii="宋体" w:hAnsi="宋体" w:eastAsia="宋体" w:cs="Times New Roman"/>
                <w:color w:val="auto"/>
                <w:kern w:val="21"/>
              </w:rPr>
              <w:t>2口勘探井井型为定向井，4口基建井井型为水平井，单井完钻进尺为3556.5m～4201.7m，总进尺56267.7m。主要工程内容包括钻井成套设备搬运、安装、调试、钻前准备、钻进、录井、测井、固井、完井、压裂等。</w:t>
            </w:r>
          </w:p>
        </w:tc>
        <w:tc>
          <w:tcPr>
            <w:tcW w:w="730" w:type="dxa"/>
            <w:vAlign w:val="center"/>
          </w:tcPr>
          <w:p w14:paraId="32EA9380">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74143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0B597D06">
            <w:pPr>
              <w:spacing w:line="340" w:lineRule="exact"/>
              <w:jc w:val="center"/>
              <w:rPr>
                <w:rFonts w:ascii="宋体" w:hAnsi="宋体" w:eastAsia="宋体" w:cs="Times New Roman"/>
                <w:color w:val="auto"/>
              </w:rPr>
            </w:pPr>
          </w:p>
        </w:tc>
        <w:tc>
          <w:tcPr>
            <w:tcW w:w="1548" w:type="dxa"/>
            <w:gridSpan w:val="3"/>
            <w:vMerge w:val="continue"/>
            <w:vAlign w:val="center"/>
          </w:tcPr>
          <w:p w14:paraId="031E0BA7">
            <w:pPr>
              <w:spacing w:line="340" w:lineRule="exact"/>
              <w:jc w:val="center"/>
              <w:rPr>
                <w:rFonts w:ascii="宋体" w:hAnsi="宋体" w:eastAsia="宋体" w:cs="Times New Roman"/>
                <w:color w:val="auto"/>
                <w:kern w:val="21"/>
              </w:rPr>
            </w:pPr>
          </w:p>
        </w:tc>
        <w:tc>
          <w:tcPr>
            <w:tcW w:w="6115" w:type="dxa"/>
            <w:vAlign w:val="center"/>
          </w:tcPr>
          <w:p w14:paraId="32B1A92F">
            <w:pPr>
              <w:spacing w:line="340" w:lineRule="exact"/>
              <w:rPr>
                <w:rFonts w:ascii="宋体" w:hAnsi="宋体" w:eastAsia="宋体" w:cs="Times New Roman"/>
                <w:color w:val="auto"/>
                <w:kern w:val="21"/>
              </w:rPr>
            </w:pPr>
            <w:r>
              <w:rPr>
                <w:rFonts w:ascii="宋体" w:hAnsi="宋体" w:eastAsia="宋体" w:cs="Times New Roman"/>
                <w:color w:val="auto"/>
                <w:kern w:val="21"/>
              </w:rPr>
              <w:t>井身结构设计一开井深501m，套管尺寸244.5mm，工作内容及作用为安装井控装置、封固上部易漏易塌地层、保护浅层水；二开井深为设计井深，表层套管尺寸139.7mm，悬挂生产套管，工作内容及作用为封固目的层、达到完井要求。</w:t>
            </w:r>
          </w:p>
        </w:tc>
        <w:tc>
          <w:tcPr>
            <w:tcW w:w="730" w:type="dxa"/>
            <w:vAlign w:val="center"/>
          </w:tcPr>
          <w:p w14:paraId="64B44DA9">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3F5C8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46BD7E6E">
            <w:pPr>
              <w:spacing w:line="340" w:lineRule="exact"/>
              <w:jc w:val="center"/>
              <w:rPr>
                <w:rFonts w:ascii="宋体" w:hAnsi="宋体" w:eastAsia="宋体" w:cs="Times New Roman"/>
                <w:color w:val="auto"/>
              </w:rPr>
            </w:pPr>
          </w:p>
        </w:tc>
        <w:tc>
          <w:tcPr>
            <w:tcW w:w="1548" w:type="dxa"/>
            <w:gridSpan w:val="3"/>
            <w:vMerge w:val="continue"/>
            <w:vAlign w:val="center"/>
          </w:tcPr>
          <w:p w14:paraId="6EA823E4">
            <w:pPr>
              <w:spacing w:line="340" w:lineRule="exact"/>
              <w:jc w:val="center"/>
              <w:rPr>
                <w:rFonts w:ascii="宋体" w:hAnsi="宋体" w:eastAsia="宋体" w:cs="Times New Roman"/>
                <w:color w:val="auto"/>
                <w:kern w:val="21"/>
              </w:rPr>
            </w:pPr>
          </w:p>
        </w:tc>
        <w:tc>
          <w:tcPr>
            <w:tcW w:w="6115" w:type="dxa"/>
            <w:vAlign w:val="center"/>
          </w:tcPr>
          <w:p w14:paraId="4375CB2D">
            <w:pPr>
              <w:spacing w:line="340" w:lineRule="exact"/>
              <w:rPr>
                <w:rFonts w:ascii="宋体" w:hAnsi="宋体" w:eastAsia="宋体" w:cs="Times New Roman"/>
                <w:color w:val="auto"/>
                <w:kern w:val="21"/>
              </w:rPr>
            </w:pPr>
            <w:r>
              <w:rPr>
                <w:rFonts w:ascii="宋体" w:hAnsi="宋体" w:eastAsia="宋体" w:cs="Times New Roman"/>
                <w:color w:val="auto"/>
                <w:kern w:val="21"/>
              </w:rPr>
              <w:t>新建钻井井场5座，井场设备包括钻机、钻台、柴油罐、发电机、配料罐、泥浆泵、泥浆罐、钢制泥浆槽等；新建43.3m×11.7m撬装式钢制基础，1座/井场，用于架设钻井井架。</w:t>
            </w:r>
          </w:p>
        </w:tc>
        <w:tc>
          <w:tcPr>
            <w:tcW w:w="730" w:type="dxa"/>
            <w:vAlign w:val="center"/>
          </w:tcPr>
          <w:p w14:paraId="1900662D">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17D8A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5B4A2BB1">
            <w:pPr>
              <w:spacing w:line="340" w:lineRule="exact"/>
              <w:jc w:val="center"/>
              <w:rPr>
                <w:rFonts w:ascii="宋体" w:hAnsi="宋体" w:eastAsia="宋体" w:cs="Times New Roman"/>
                <w:color w:val="auto"/>
              </w:rPr>
            </w:pPr>
          </w:p>
        </w:tc>
        <w:tc>
          <w:tcPr>
            <w:tcW w:w="1548" w:type="dxa"/>
            <w:gridSpan w:val="3"/>
            <w:vMerge w:val="continue"/>
            <w:vAlign w:val="center"/>
          </w:tcPr>
          <w:p w14:paraId="477B1817">
            <w:pPr>
              <w:spacing w:line="340" w:lineRule="exact"/>
              <w:jc w:val="center"/>
              <w:rPr>
                <w:rFonts w:ascii="宋体" w:hAnsi="宋体" w:eastAsia="宋体" w:cs="Times New Roman"/>
                <w:color w:val="auto"/>
                <w:kern w:val="21"/>
              </w:rPr>
            </w:pPr>
          </w:p>
        </w:tc>
        <w:tc>
          <w:tcPr>
            <w:tcW w:w="6115" w:type="dxa"/>
            <w:vAlign w:val="center"/>
          </w:tcPr>
          <w:p w14:paraId="58580EAF">
            <w:pPr>
              <w:spacing w:line="340" w:lineRule="exact"/>
              <w:rPr>
                <w:rFonts w:ascii="宋体" w:hAnsi="宋体" w:eastAsia="宋体" w:cs="Times New Roman"/>
                <w:color w:val="auto"/>
                <w:kern w:val="21"/>
              </w:rPr>
            </w:pPr>
            <w:r>
              <w:rPr>
                <w:rFonts w:ascii="宋体" w:hAnsi="宋体" w:eastAsia="宋体" w:cs="Times New Roman"/>
                <w:color w:val="auto"/>
                <w:kern w:val="21"/>
              </w:rPr>
              <w:t>一开钻井液采用膨润土浆钻井液体系，主要成分为膨润土、纯碱；二开钻井液采用油基钻井液体系，主要成分为柴油、主乳化剂、辅乳化剂、有机土、油包水降滤失剂、封堵剂Ⅰ型（HFLK）、封堵剂Ⅱ型（纳米封堵剂）、（20%CaCl</w:t>
            </w:r>
            <w:r>
              <w:rPr>
                <w:rFonts w:ascii="宋体" w:hAnsi="宋体" w:eastAsia="宋体" w:cs="Times New Roman"/>
                <w:color w:val="auto"/>
                <w:kern w:val="21"/>
                <w:vertAlign w:val="subscript"/>
              </w:rPr>
              <w:t>2</w:t>
            </w:r>
            <w:r>
              <w:rPr>
                <w:rFonts w:ascii="宋体" w:hAnsi="宋体" w:eastAsia="宋体" w:cs="Times New Roman"/>
                <w:color w:val="auto"/>
                <w:kern w:val="21"/>
              </w:rPr>
              <w:t>）水、CaO、超细碳酸钙、重晶石粉。钻井全程配备钻井泵、钻井液储备罐、钻井液循环罐、振动筛、除砂器、离心机等筛分、配制等循环利用设施。</w:t>
            </w:r>
          </w:p>
        </w:tc>
        <w:tc>
          <w:tcPr>
            <w:tcW w:w="730" w:type="dxa"/>
            <w:vAlign w:val="center"/>
          </w:tcPr>
          <w:p w14:paraId="453831BB">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584CE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6E1E3CF6">
            <w:pPr>
              <w:spacing w:line="340" w:lineRule="exact"/>
              <w:jc w:val="center"/>
              <w:rPr>
                <w:rFonts w:ascii="宋体" w:hAnsi="宋体" w:eastAsia="宋体" w:cs="Times New Roman"/>
                <w:color w:val="auto"/>
              </w:rPr>
            </w:pPr>
          </w:p>
        </w:tc>
        <w:tc>
          <w:tcPr>
            <w:tcW w:w="1548" w:type="dxa"/>
            <w:gridSpan w:val="3"/>
            <w:vMerge w:val="continue"/>
            <w:vAlign w:val="center"/>
          </w:tcPr>
          <w:p w14:paraId="1915A12E">
            <w:pPr>
              <w:spacing w:line="340" w:lineRule="exact"/>
              <w:jc w:val="center"/>
              <w:rPr>
                <w:rFonts w:ascii="宋体" w:hAnsi="宋体" w:eastAsia="宋体" w:cs="Times New Roman"/>
                <w:color w:val="auto"/>
                <w:kern w:val="21"/>
              </w:rPr>
            </w:pPr>
          </w:p>
        </w:tc>
        <w:tc>
          <w:tcPr>
            <w:tcW w:w="6115" w:type="dxa"/>
            <w:vAlign w:val="center"/>
          </w:tcPr>
          <w:p w14:paraId="6DD52645">
            <w:pPr>
              <w:spacing w:line="340" w:lineRule="exact"/>
              <w:rPr>
                <w:rFonts w:ascii="宋体" w:hAnsi="宋体" w:eastAsia="宋体" w:cs="Times New Roman"/>
                <w:color w:val="auto"/>
                <w:kern w:val="21"/>
              </w:rPr>
            </w:pPr>
            <w:r>
              <w:rPr>
                <w:rFonts w:ascii="宋体" w:hAnsi="宋体" w:eastAsia="宋体" w:cs="Times New Roman"/>
                <w:color w:val="auto"/>
                <w:kern w:val="21"/>
              </w:rPr>
              <w:t>单井钻井施工约28d，共钻井</w:t>
            </w:r>
            <w:r>
              <w:rPr>
                <w:rFonts w:hint="eastAsia" w:ascii="宋体" w:hAnsi="宋体" w:eastAsia="宋体" w:cs="Times New Roman"/>
                <w:color w:val="auto"/>
                <w:kern w:val="21"/>
              </w:rPr>
              <w:t>6</w:t>
            </w:r>
            <w:r>
              <w:rPr>
                <w:rFonts w:ascii="宋体" w:hAnsi="宋体" w:eastAsia="宋体" w:cs="Times New Roman"/>
                <w:color w:val="auto"/>
                <w:kern w:val="21"/>
              </w:rPr>
              <w:t>口，2支钻井队伍同时施工，钻井期时间段合计84d。</w:t>
            </w:r>
          </w:p>
        </w:tc>
        <w:tc>
          <w:tcPr>
            <w:tcW w:w="730" w:type="dxa"/>
            <w:vAlign w:val="center"/>
          </w:tcPr>
          <w:p w14:paraId="252A06A0">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50B74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1A715383">
            <w:pPr>
              <w:spacing w:line="340" w:lineRule="exact"/>
              <w:jc w:val="center"/>
              <w:rPr>
                <w:rFonts w:ascii="宋体" w:hAnsi="宋体" w:eastAsia="宋体" w:cs="Times New Roman"/>
                <w:color w:val="auto"/>
              </w:rPr>
            </w:pPr>
          </w:p>
        </w:tc>
        <w:tc>
          <w:tcPr>
            <w:tcW w:w="1548" w:type="dxa"/>
            <w:gridSpan w:val="3"/>
            <w:vMerge w:val="restart"/>
            <w:vAlign w:val="center"/>
          </w:tcPr>
          <w:p w14:paraId="089D8ECD">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储层改造工程</w:t>
            </w:r>
          </w:p>
        </w:tc>
        <w:tc>
          <w:tcPr>
            <w:tcW w:w="6115" w:type="dxa"/>
            <w:vAlign w:val="center"/>
          </w:tcPr>
          <w:p w14:paraId="1F7C0985">
            <w:pPr>
              <w:spacing w:line="340" w:lineRule="exact"/>
              <w:rPr>
                <w:rFonts w:ascii="宋体" w:hAnsi="宋体" w:eastAsia="宋体" w:cs="Times New Roman"/>
                <w:color w:val="auto"/>
                <w:kern w:val="21"/>
              </w:rPr>
            </w:pPr>
            <w:r>
              <w:rPr>
                <w:rFonts w:ascii="宋体" w:hAnsi="宋体" w:eastAsia="宋体" w:cs="Times New Roman"/>
                <w:color w:val="auto"/>
                <w:kern w:val="21"/>
              </w:rPr>
              <w:t>本项目对6口新钻井采用射孔方式完井，射孔工艺采用连续油管喷砂射孔。</w:t>
            </w:r>
          </w:p>
        </w:tc>
        <w:tc>
          <w:tcPr>
            <w:tcW w:w="730" w:type="dxa"/>
            <w:vAlign w:val="center"/>
          </w:tcPr>
          <w:p w14:paraId="7485EBE2">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42A73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2183C1FA">
            <w:pPr>
              <w:spacing w:line="340" w:lineRule="exact"/>
              <w:jc w:val="center"/>
              <w:rPr>
                <w:rFonts w:ascii="宋体" w:hAnsi="宋体" w:eastAsia="宋体" w:cs="Times New Roman"/>
                <w:color w:val="auto"/>
              </w:rPr>
            </w:pPr>
          </w:p>
        </w:tc>
        <w:tc>
          <w:tcPr>
            <w:tcW w:w="1548" w:type="dxa"/>
            <w:gridSpan w:val="3"/>
            <w:vMerge w:val="continue"/>
            <w:vAlign w:val="center"/>
          </w:tcPr>
          <w:p w14:paraId="56B56318">
            <w:pPr>
              <w:spacing w:line="340" w:lineRule="exact"/>
              <w:jc w:val="center"/>
              <w:rPr>
                <w:rFonts w:ascii="宋体" w:hAnsi="宋体" w:eastAsia="宋体" w:cs="Times New Roman"/>
                <w:color w:val="auto"/>
              </w:rPr>
            </w:pPr>
          </w:p>
        </w:tc>
        <w:tc>
          <w:tcPr>
            <w:tcW w:w="6115" w:type="dxa"/>
            <w:vAlign w:val="center"/>
          </w:tcPr>
          <w:p w14:paraId="07A7704E">
            <w:pPr>
              <w:spacing w:line="340" w:lineRule="exact"/>
              <w:rPr>
                <w:rFonts w:ascii="宋体" w:hAnsi="宋体" w:eastAsia="宋体" w:cs="Times New Roman"/>
                <w:color w:val="auto"/>
              </w:rPr>
            </w:pPr>
            <w:r>
              <w:rPr>
                <w:rFonts w:ascii="宋体" w:hAnsi="宋体" w:eastAsia="宋体" w:cs="Times New Roman"/>
                <w:color w:val="auto"/>
              </w:rPr>
              <w:t>根据油藏工程方案要求，对新钻井6口进行压裂，压裂液选用改性胍胶压裂液，支撑剂选用组合粒径石英砂尾追陶粒。本次压裂油井采用桥塞多段分簇压裂工艺，根据压裂工艺适用条件，压裂工艺能满足本区块压裂的需要。</w:t>
            </w:r>
          </w:p>
        </w:tc>
        <w:tc>
          <w:tcPr>
            <w:tcW w:w="730" w:type="dxa"/>
            <w:vAlign w:val="center"/>
          </w:tcPr>
          <w:p w14:paraId="3D8C18FB">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3641C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249B35A5">
            <w:pPr>
              <w:spacing w:line="340" w:lineRule="exact"/>
              <w:jc w:val="center"/>
              <w:rPr>
                <w:rFonts w:ascii="宋体" w:hAnsi="宋体" w:eastAsia="宋体" w:cs="Times New Roman"/>
                <w:color w:val="auto"/>
              </w:rPr>
            </w:pPr>
          </w:p>
        </w:tc>
        <w:tc>
          <w:tcPr>
            <w:tcW w:w="1548" w:type="dxa"/>
            <w:gridSpan w:val="3"/>
            <w:vMerge w:val="continue"/>
            <w:vAlign w:val="center"/>
          </w:tcPr>
          <w:p w14:paraId="7165BCA7">
            <w:pPr>
              <w:spacing w:line="340" w:lineRule="exact"/>
              <w:jc w:val="center"/>
              <w:rPr>
                <w:rFonts w:ascii="宋体" w:hAnsi="宋体" w:eastAsia="宋体" w:cs="Times New Roman"/>
                <w:color w:val="auto"/>
                <w:kern w:val="21"/>
              </w:rPr>
            </w:pPr>
          </w:p>
        </w:tc>
        <w:tc>
          <w:tcPr>
            <w:tcW w:w="6115" w:type="dxa"/>
            <w:vAlign w:val="center"/>
          </w:tcPr>
          <w:p w14:paraId="670337F8">
            <w:pPr>
              <w:spacing w:line="340" w:lineRule="exact"/>
              <w:rPr>
                <w:rFonts w:ascii="宋体" w:hAnsi="宋体" w:eastAsia="宋体" w:cs="Times New Roman"/>
                <w:color w:val="auto"/>
                <w:kern w:val="21"/>
              </w:rPr>
            </w:pPr>
            <w:r>
              <w:rPr>
                <w:rFonts w:ascii="宋体" w:hAnsi="宋体" w:eastAsia="宋体" w:cs="Times New Roman"/>
                <w:color w:val="auto"/>
                <w:kern w:val="21"/>
              </w:rPr>
              <w:t>压裂施工设备包括：外加厚压裂管线、地面管线、井口控制器、压裂管汇、带有旋塞阀的防喷短节、压裂车组，压裂液不在现场配制，由压裂液工程车拉运至井场进行压裂，压裂液用量为100m</w:t>
            </w:r>
            <w:r>
              <w:rPr>
                <w:rFonts w:ascii="宋体" w:hAnsi="宋体" w:eastAsia="宋体" w:cs="Times New Roman"/>
                <w:color w:val="auto"/>
                <w:kern w:val="21"/>
                <w:vertAlign w:val="superscript"/>
              </w:rPr>
              <w:t>3</w:t>
            </w:r>
            <w:r>
              <w:rPr>
                <w:rFonts w:ascii="宋体" w:hAnsi="宋体" w:eastAsia="宋体" w:cs="Times New Roman"/>
                <w:color w:val="auto"/>
                <w:kern w:val="21"/>
              </w:rPr>
              <w:t>/井，压裂返排液产生量约为70m</w:t>
            </w:r>
            <w:r>
              <w:rPr>
                <w:rFonts w:ascii="宋体" w:hAnsi="宋体" w:eastAsia="宋体" w:cs="Times New Roman"/>
                <w:color w:val="auto"/>
                <w:kern w:val="21"/>
                <w:vertAlign w:val="superscript"/>
              </w:rPr>
              <w:t>3</w:t>
            </w:r>
            <w:r>
              <w:rPr>
                <w:rFonts w:ascii="宋体" w:hAnsi="宋体" w:eastAsia="宋体" w:cs="Times New Roman"/>
                <w:color w:val="auto"/>
                <w:kern w:val="21"/>
              </w:rPr>
              <w:t>/井。</w:t>
            </w:r>
          </w:p>
        </w:tc>
        <w:tc>
          <w:tcPr>
            <w:tcW w:w="730" w:type="dxa"/>
            <w:vAlign w:val="center"/>
          </w:tcPr>
          <w:p w14:paraId="0187151E">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2FE93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13C4992B">
            <w:pPr>
              <w:spacing w:line="340" w:lineRule="exact"/>
              <w:jc w:val="center"/>
              <w:rPr>
                <w:rFonts w:ascii="宋体" w:hAnsi="宋体" w:eastAsia="宋体" w:cs="Times New Roman"/>
                <w:color w:val="auto"/>
              </w:rPr>
            </w:pPr>
          </w:p>
        </w:tc>
        <w:tc>
          <w:tcPr>
            <w:tcW w:w="1548" w:type="dxa"/>
            <w:gridSpan w:val="3"/>
            <w:vAlign w:val="center"/>
          </w:tcPr>
          <w:p w14:paraId="7834B5BF">
            <w:pPr>
              <w:spacing w:line="340" w:lineRule="exact"/>
              <w:jc w:val="center"/>
              <w:rPr>
                <w:rFonts w:ascii="宋体" w:hAnsi="宋体" w:eastAsia="宋体" w:cs="Times New Roman"/>
                <w:color w:val="auto"/>
              </w:rPr>
            </w:pPr>
            <w:r>
              <w:rPr>
                <w:rFonts w:ascii="宋体" w:hAnsi="宋体" w:eastAsia="宋体" w:cs="Times New Roman"/>
                <w:color w:val="auto"/>
              </w:rPr>
              <w:t>采油工程</w:t>
            </w:r>
          </w:p>
        </w:tc>
        <w:tc>
          <w:tcPr>
            <w:tcW w:w="6115" w:type="dxa"/>
            <w:vAlign w:val="center"/>
          </w:tcPr>
          <w:p w14:paraId="192D6A42">
            <w:pPr>
              <w:spacing w:line="340" w:lineRule="exact"/>
              <w:rPr>
                <w:rFonts w:ascii="宋体" w:hAnsi="宋体" w:eastAsia="宋体" w:cs="Times New Roman"/>
                <w:color w:val="auto"/>
              </w:rPr>
            </w:pPr>
            <w:r>
              <w:rPr>
                <w:rFonts w:ascii="宋体" w:hAnsi="宋体" w:eastAsia="宋体" w:cs="Times New Roman"/>
                <w:color w:val="auto"/>
              </w:rPr>
              <w:t>本项目基建油井4口，全部为新钻井，油井全部采用抽油机举升采油方式，新建抽油机4台、电机4台、控制柜4台。</w:t>
            </w:r>
          </w:p>
        </w:tc>
        <w:tc>
          <w:tcPr>
            <w:tcW w:w="730" w:type="dxa"/>
            <w:vAlign w:val="center"/>
          </w:tcPr>
          <w:p w14:paraId="7E5221D7">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461F8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667" w:type="dxa"/>
            <w:vMerge w:val="continue"/>
            <w:vAlign w:val="center"/>
          </w:tcPr>
          <w:p w14:paraId="216F80DC">
            <w:pPr>
              <w:spacing w:line="340" w:lineRule="exact"/>
              <w:jc w:val="center"/>
              <w:rPr>
                <w:rFonts w:ascii="宋体" w:hAnsi="宋体" w:eastAsia="宋体" w:cs="Times New Roman"/>
                <w:color w:val="auto"/>
              </w:rPr>
            </w:pPr>
          </w:p>
        </w:tc>
        <w:tc>
          <w:tcPr>
            <w:tcW w:w="1548" w:type="dxa"/>
            <w:gridSpan w:val="3"/>
            <w:vAlign w:val="center"/>
          </w:tcPr>
          <w:p w14:paraId="4DAF3151">
            <w:pPr>
              <w:spacing w:line="340" w:lineRule="exact"/>
              <w:jc w:val="center"/>
              <w:rPr>
                <w:rFonts w:ascii="宋体" w:hAnsi="宋体" w:eastAsia="宋体" w:cs="Times New Roman"/>
                <w:color w:val="auto"/>
              </w:rPr>
            </w:pPr>
            <w:r>
              <w:rPr>
                <w:rFonts w:ascii="宋体" w:hAnsi="宋体" w:eastAsia="宋体" w:cs="Times New Roman"/>
                <w:color w:val="auto"/>
              </w:rPr>
              <w:t>油气集输工程</w:t>
            </w:r>
          </w:p>
        </w:tc>
        <w:tc>
          <w:tcPr>
            <w:tcW w:w="6115" w:type="dxa"/>
            <w:vAlign w:val="center"/>
          </w:tcPr>
          <w:p w14:paraId="5503CF82">
            <w:pPr>
              <w:spacing w:line="340" w:lineRule="exact"/>
              <w:rPr>
                <w:rFonts w:ascii="宋体" w:hAnsi="宋体" w:eastAsia="宋体" w:cs="Times New Roman"/>
                <w:color w:val="auto"/>
              </w:rPr>
            </w:pPr>
            <w:r>
              <w:rPr>
                <w:rFonts w:ascii="宋体" w:hAnsi="宋体" w:eastAsia="宋体" w:cs="Times New Roman"/>
                <w:color w:val="auto"/>
              </w:rPr>
              <w:t>基建涉及4口抽油机井分布于1座平台和2口单井</w:t>
            </w:r>
            <w:r>
              <w:rPr>
                <w:rFonts w:hint="eastAsia" w:ascii="宋体" w:hAnsi="宋体" w:eastAsia="宋体" w:cs="Times New Roman"/>
                <w:color w:val="auto"/>
              </w:rPr>
              <w:t>井场</w:t>
            </w:r>
            <w:r>
              <w:rPr>
                <w:rFonts w:ascii="宋体" w:hAnsi="宋体" w:eastAsia="宋体" w:cs="Times New Roman"/>
                <w:color w:val="auto"/>
              </w:rPr>
              <w:t>，新建3座拉油点用于4口井产液集输，拉油点新建1台80m</w:t>
            </w:r>
            <w:r>
              <w:rPr>
                <w:rFonts w:ascii="宋体" w:hAnsi="宋体" w:eastAsia="宋体" w:cs="Times New Roman"/>
                <w:color w:val="auto"/>
                <w:vertAlign w:val="superscript"/>
              </w:rPr>
              <w:t>3</w:t>
            </w:r>
            <w:r>
              <w:rPr>
                <w:rFonts w:ascii="宋体" w:hAnsi="宋体" w:eastAsia="宋体" w:cs="Times New Roman"/>
                <w:color w:val="auto"/>
              </w:rPr>
              <w:t>多功能储罐和3台40m</w:t>
            </w:r>
            <w:r>
              <w:rPr>
                <w:rFonts w:ascii="宋体" w:hAnsi="宋体" w:eastAsia="宋体" w:cs="Times New Roman"/>
                <w:color w:val="auto"/>
                <w:vertAlign w:val="superscript"/>
              </w:rPr>
              <w:t>3</w:t>
            </w:r>
            <w:r>
              <w:rPr>
                <w:rFonts w:ascii="宋体" w:hAnsi="宋体" w:eastAsia="宋体" w:cs="Times New Roman"/>
                <w:color w:val="auto"/>
              </w:rPr>
              <w:t>多功能储罐（</w:t>
            </w:r>
            <w:r>
              <w:rPr>
                <w:rFonts w:hint="eastAsia" w:ascii="宋体" w:hAnsi="宋体" w:eastAsia="宋体" w:cs="Times New Roman"/>
                <w:color w:val="auto"/>
              </w:rPr>
              <w:t>3</w:t>
            </w:r>
            <w:r>
              <w:rPr>
                <w:rFonts w:ascii="宋体" w:hAnsi="宋体" w:eastAsia="宋体" w:cs="Times New Roman"/>
                <w:color w:val="auto"/>
              </w:rPr>
              <w:t>号拉油点1台80m</w:t>
            </w:r>
            <w:r>
              <w:rPr>
                <w:rFonts w:ascii="宋体" w:hAnsi="宋体" w:eastAsia="宋体" w:cs="Times New Roman"/>
                <w:color w:val="auto"/>
                <w:vertAlign w:val="superscript"/>
              </w:rPr>
              <w:t>3</w:t>
            </w:r>
            <w:r>
              <w:rPr>
                <w:rFonts w:ascii="宋体" w:hAnsi="宋体" w:eastAsia="宋体" w:cs="Times New Roman"/>
                <w:color w:val="auto"/>
              </w:rPr>
              <w:t>多功能储罐和1台40m</w:t>
            </w:r>
            <w:r>
              <w:rPr>
                <w:rFonts w:ascii="宋体" w:hAnsi="宋体" w:eastAsia="宋体" w:cs="Times New Roman"/>
                <w:color w:val="auto"/>
                <w:vertAlign w:val="superscript"/>
              </w:rPr>
              <w:t>3</w:t>
            </w:r>
            <w:r>
              <w:rPr>
                <w:rFonts w:ascii="宋体" w:hAnsi="宋体" w:eastAsia="宋体" w:cs="Times New Roman"/>
                <w:color w:val="auto"/>
              </w:rPr>
              <w:t>多功能储罐，</w:t>
            </w:r>
            <w:r>
              <w:rPr>
                <w:rFonts w:hint="eastAsia" w:ascii="宋体" w:hAnsi="宋体" w:eastAsia="宋体" w:cs="Times New Roman"/>
                <w:color w:val="auto"/>
              </w:rPr>
              <w:t>1</w:t>
            </w:r>
            <w:r>
              <w:rPr>
                <w:rFonts w:ascii="宋体" w:hAnsi="宋体" w:eastAsia="宋体" w:cs="Times New Roman"/>
                <w:color w:val="auto"/>
              </w:rPr>
              <w:t>号和</w:t>
            </w:r>
            <w:r>
              <w:rPr>
                <w:rFonts w:hint="eastAsia" w:ascii="宋体" w:hAnsi="宋体" w:eastAsia="宋体" w:cs="Times New Roman"/>
                <w:color w:val="auto"/>
              </w:rPr>
              <w:t>2</w:t>
            </w:r>
            <w:r>
              <w:rPr>
                <w:rFonts w:ascii="宋体" w:hAnsi="宋体" w:eastAsia="宋体" w:cs="Times New Roman"/>
                <w:color w:val="auto"/>
              </w:rPr>
              <w:t>号拉油点各1台40m</w:t>
            </w:r>
            <w:r>
              <w:rPr>
                <w:rFonts w:ascii="宋体" w:hAnsi="宋体" w:eastAsia="宋体" w:cs="Times New Roman"/>
                <w:color w:val="auto"/>
                <w:vertAlign w:val="superscript"/>
              </w:rPr>
              <w:t>3</w:t>
            </w:r>
            <w:r>
              <w:rPr>
                <w:rFonts w:ascii="宋体" w:hAnsi="宋体" w:eastAsia="宋体" w:cs="Times New Roman"/>
                <w:color w:val="auto"/>
              </w:rPr>
              <w:t>多功能储罐），井场集油采用电加热集油工艺接至拉油点储罐，新建集油管线φ60×3.5-0.06km，井口电加热器34台，每座井场电加热器组合设置多台，便于后期液量下降后可部分停用。共设置集肤伴热装置 7.9km。管道材质为无缝钢管，采用内缠胶带硬质聚氨酯泡沫保温层（高密度聚乙烯电热管 0.5km），管道敷设方式采用沟埋方式沿路敷设，设计压力 2.5MPa。</w:t>
            </w:r>
          </w:p>
        </w:tc>
        <w:tc>
          <w:tcPr>
            <w:tcW w:w="730" w:type="dxa"/>
            <w:vAlign w:val="center"/>
          </w:tcPr>
          <w:p w14:paraId="0E3C9B53">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0AF40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restart"/>
            <w:tcBorders>
              <w:right w:val="single" w:color="auto" w:sz="4" w:space="0"/>
            </w:tcBorders>
            <w:vAlign w:val="center"/>
          </w:tcPr>
          <w:p w14:paraId="422F3D1F">
            <w:pPr>
              <w:spacing w:line="340" w:lineRule="exact"/>
              <w:jc w:val="center"/>
              <w:rPr>
                <w:rFonts w:ascii="宋体" w:hAnsi="宋体" w:eastAsia="宋体" w:cs="Times New Roman"/>
                <w:color w:val="auto"/>
              </w:rPr>
            </w:pPr>
            <w:r>
              <w:rPr>
                <w:rFonts w:ascii="宋体" w:hAnsi="宋体" w:eastAsia="宋体" w:cs="Times New Roman"/>
                <w:color w:val="auto"/>
              </w:rPr>
              <w:t>辅助工程</w:t>
            </w:r>
          </w:p>
        </w:tc>
        <w:tc>
          <w:tcPr>
            <w:tcW w:w="1548" w:type="dxa"/>
            <w:gridSpan w:val="3"/>
            <w:tcBorders>
              <w:left w:val="single" w:color="auto" w:sz="4" w:space="0"/>
            </w:tcBorders>
            <w:vAlign w:val="center"/>
          </w:tcPr>
          <w:p w14:paraId="2948B00B">
            <w:pPr>
              <w:spacing w:line="340" w:lineRule="exact"/>
              <w:jc w:val="center"/>
              <w:rPr>
                <w:rFonts w:ascii="宋体" w:hAnsi="宋体" w:eastAsia="宋体" w:cs="Times New Roman"/>
                <w:color w:val="auto"/>
              </w:rPr>
            </w:pPr>
            <w:r>
              <w:rPr>
                <w:rFonts w:ascii="宋体" w:hAnsi="宋体" w:eastAsia="宋体" w:cs="Times New Roman"/>
                <w:color w:val="auto"/>
                <w:kern w:val="21"/>
              </w:rPr>
              <w:t>井控房</w:t>
            </w:r>
          </w:p>
        </w:tc>
        <w:tc>
          <w:tcPr>
            <w:tcW w:w="6115" w:type="dxa"/>
            <w:vAlign w:val="center"/>
          </w:tcPr>
          <w:p w14:paraId="64967168">
            <w:pPr>
              <w:spacing w:line="340" w:lineRule="exact"/>
              <w:rPr>
                <w:rFonts w:ascii="宋体" w:hAnsi="宋体" w:eastAsia="宋体" w:cs="Times New Roman"/>
                <w:color w:val="auto"/>
              </w:rPr>
            </w:pPr>
            <w:r>
              <w:rPr>
                <w:rFonts w:ascii="宋体" w:hAnsi="宋体" w:eastAsia="宋体" w:cs="Times New Roman"/>
                <w:color w:val="auto"/>
                <w:kern w:val="21"/>
              </w:rPr>
              <w:t>每座钻井井场设1座井控房，占地面积50m</w:t>
            </w:r>
            <w:r>
              <w:rPr>
                <w:rFonts w:ascii="宋体" w:hAnsi="宋体" w:eastAsia="宋体" w:cs="Times New Roman"/>
                <w:color w:val="auto"/>
                <w:kern w:val="21"/>
                <w:vertAlign w:val="superscript"/>
              </w:rPr>
              <w:t>2</w:t>
            </w:r>
            <w:r>
              <w:rPr>
                <w:rFonts w:ascii="宋体" w:hAnsi="宋体" w:eastAsia="宋体" w:cs="Times New Roman"/>
                <w:color w:val="auto"/>
                <w:kern w:val="21"/>
              </w:rPr>
              <w:t>，房内安放钻井控制系统、监测及报警装置，用于井控人员监测钻井情况。</w:t>
            </w:r>
          </w:p>
        </w:tc>
        <w:tc>
          <w:tcPr>
            <w:tcW w:w="730" w:type="dxa"/>
            <w:vAlign w:val="center"/>
          </w:tcPr>
          <w:p w14:paraId="7A8993B2">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6D554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tcBorders>
              <w:right w:val="single" w:color="auto" w:sz="4" w:space="0"/>
            </w:tcBorders>
            <w:vAlign w:val="center"/>
          </w:tcPr>
          <w:p w14:paraId="4F212F30">
            <w:pPr>
              <w:spacing w:line="340" w:lineRule="exact"/>
              <w:jc w:val="center"/>
              <w:rPr>
                <w:rFonts w:ascii="宋体" w:hAnsi="宋体" w:eastAsia="宋体" w:cs="Times New Roman"/>
                <w:color w:val="auto"/>
              </w:rPr>
            </w:pPr>
          </w:p>
        </w:tc>
        <w:tc>
          <w:tcPr>
            <w:tcW w:w="1548" w:type="dxa"/>
            <w:gridSpan w:val="3"/>
            <w:tcBorders>
              <w:left w:val="single" w:color="auto" w:sz="4" w:space="0"/>
            </w:tcBorders>
            <w:vAlign w:val="center"/>
          </w:tcPr>
          <w:p w14:paraId="471C20E6">
            <w:pPr>
              <w:spacing w:line="340" w:lineRule="exact"/>
              <w:jc w:val="center"/>
              <w:rPr>
                <w:rFonts w:ascii="宋体" w:hAnsi="宋体" w:eastAsia="宋体" w:cs="Times New Roman"/>
                <w:color w:val="auto"/>
              </w:rPr>
            </w:pPr>
            <w:r>
              <w:rPr>
                <w:rFonts w:ascii="宋体" w:hAnsi="宋体" w:eastAsia="宋体" w:cs="Times New Roman"/>
                <w:color w:val="auto"/>
                <w:kern w:val="21"/>
              </w:rPr>
              <w:t>机械修理房</w:t>
            </w:r>
          </w:p>
        </w:tc>
        <w:tc>
          <w:tcPr>
            <w:tcW w:w="6115" w:type="dxa"/>
            <w:vAlign w:val="center"/>
          </w:tcPr>
          <w:p w14:paraId="1D26F6F1">
            <w:pPr>
              <w:spacing w:line="340" w:lineRule="exact"/>
              <w:rPr>
                <w:rFonts w:ascii="宋体" w:hAnsi="宋体" w:eastAsia="宋体" w:cs="Times New Roman"/>
                <w:color w:val="auto"/>
              </w:rPr>
            </w:pPr>
            <w:r>
              <w:rPr>
                <w:rFonts w:ascii="宋体" w:hAnsi="宋体" w:eastAsia="宋体" w:cs="Times New Roman"/>
                <w:color w:val="auto"/>
                <w:kern w:val="21"/>
              </w:rPr>
              <w:t>1座/井场，占地面积50m</w:t>
            </w:r>
            <w:r>
              <w:rPr>
                <w:rFonts w:ascii="宋体" w:hAnsi="宋体" w:eastAsia="宋体" w:cs="Times New Roman"/>
                <w:color w:val="auto"/>
                <w:kern w:val="21"/>
                <w:vertAlign w:val="superscript"/>
              </w:rPr>
              <w:t>2</w:t>
            </w:r>
            <w:r>
              <w:rPr>
                <w:rFonts w:ascii="宋体" w:hAnsi="宋体" w:eastAsia="宋体" w:cs="Times New Roman"/>
                <w:color w:val="auto"/>
                <w:kern w:val="21"/>
              </w:rPr>
              <w:t>，用于修理机械。</w:t>
            </w:r>
          </w:p>
        </w:tc>
        <w:tc>
          <w:tcPr>
            <w:tcW w:w="730" w:type="dxa"/>
            <w:vAlign w:val="center"/>
          </w:tcPr>
          <w:p w14:paraId="7ADC37CA">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4CDBB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tcBorders>
              <w:right w:val="single" w:color="auto" w:sz="4" w:space="0"/>
            </w:tcBorders>
            <w:vAlign w:val="center"/>
          </w:tcPr>
          <w:p w14:paraId="7AD509A6">
            <w:pPr>
              <w:spacing w:line="340" w:lineRule="exact"/>
              <w:jc w:val="center"/>
              <w:rPr>
                <w:rFonts w:ascii="宋体" w:hAnsi="宋体" w:eastAsia="宋体" w:cs="Times New Roman"/>
                <w:color w:val="auto"/>
              </w:rPr>
            </w:pPr>
          </w:p>
        </w:tc>
        <w:tc>
          <w:tcPr>
            <w:tcW w:w="1548" w:type="dxa"/>
            <w:gridSpan w:val="3"/>
            <w:tcBorders>
              <w:left w:val="single" w:color="auto" w:sz="4" w:space="0"/>
            </w:tcBorders>
            <w:vAlign w:val="center"/>
          </w:tcPr>
          <w:p w14:paraId="59E02668">
            <w:pPr>
              <w:spacing w:line="340" w:lineRule="exact"/>
              <w:jc w:val="center"/>
              <w:rPr>
                <w:rFonts w:ascii="宋体" w:hAnsi="宋体" w:eastAsia="宋体" w:cs="Times New Roman"/>
                <w:color w:val="auto"/>
              </w:rPr>
            </w:pPr>
            <w:r>
              <w:rPr>
                <w:rFonts w:ascii="宋体" w:hAnsi="宋体" w:eastAsia="宋体" w:cs="Times New Roman"/>
                <w:color w:val="auto"/>
                <w:kern w:val="21"/>
              </w:rPr>
              <w:t>气源房</w:t>
            </w:r>
          </w:p>
        </w:tc>
        <w:tc>
          <w:tcPr>
            <w:tcW w:w="6115" w:type="dxa"/>
            <w:vAlign w:val="center"/>
          </w:tcPr>
          <w:p w14:paraId="072E3C6D">
            <w:pPr>
              <w:spacing w:line="340" w:lineRule="exact"/>
              <w:rPr>
                <w:rFonts w:ascii="宋体" w:hAnsi="宋体" w:eastAsia="宋体" w:cs="Times New Roman"/>
                <w:color w:val="auto"/>
              </w:rPr>
            </w:pPr>
            <w:r>
              <w:rPr>
                <w:rFonts w:ascii="宋体" w:hAnsi="宋体" w:eastAsia="宋体" w:cs="Times New Roman"/>
                <w:color w:val="auto"/>
                <w:kern w:val="21"/>
              </w:rPr>
              <w:t>1座/井场，占地面积30m</w:t>
            </w:r>
            <w:r>
              <w:rPr>
                <w:rFonts w:ascii="宋体" w:hAnsi="宋体" w:eastAsia="宋体" w:cs="Times New Roman"/>
                <w:color w:val="auto"/>
                <w:kern w:val="21"/>
                <w:vertAlign w:val="superscript"/>
              </w:rPr>
              <w:t>2</w:t>
            </w:r>
            <w:r>
              <w:rPr>
                <w:rFonts w:ascii="宋体" w:hAnsi="宋体" w:eastAsia="宋体" w:cs="Times New Roman"/>
                <w:color w:val="auto"/>
                <w:kern w:val="21"/>
              </w:rPr>
              <w:t>，供应压缩空气，给钻机刹车提供动力。</w:t>
            </w:r>
          </w:p>
        </w:tc>
        <w:tc>
          <w:tcPr>
            <w:tcW w:w="730" w:type="dxa"/>
            <w:vAlign w:val="center"/>
          </w:tcPr>
          <w:p w14:paraId="13D0D081">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4B447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tcBorders>
              <w:right w:val="single" w:color="auto" w:sz="4" w:space="0"/>
            </w:tcBorders>
            <w:vAlign w:val="center"/>
          </w:tcPr>
          <w:p w14:paraId="2380A477">
            <w:pPr>
              <w:spacing w:line="340" w:lineRule="exact"/>
              <w:jc w:val="center"/>
              <w:rPr>
                <w:rFonts w:ascii="宋体" w:hAnsi="宋体" w:eastAsia="宋体" w:cs="Times New Roman"/>
                <w:color w:val="auto"/>
              </w:rPr>
            </w:pPr>
          </w:p>
        </w:tc>
        <w:tc>
          <w:tcPr>
            <w:tcW w:w="1548" w:type="dxa"/>
            <w:gridSpan w:val="3"/>
            <w:tcBorders>
              <w:left w:val="single" w:color="auto" w:sz="4" w:space="0"/>
            </w:tcBorders>
            <w:vAlign w:val="center"/>
          </w:tcPr>
          <w:p w14:paraId="1932209B">
            <w:pPr>
              <w:spacing w:line="340" w:lineRule="exact"/>
              <w:jc w:val="center"/>
              <w:rPr>
                <w:rFonts w:ascii="宋体" w:hAnsi="宋体" w:eastAsia="宋体" w:cs="Times New Roman"/>
                <w:color w:val="auto"/>
              </w:rPr>
            </w:pPr>
            <w:r>
              <w:rPr>
                <w:rFonts w:ascii="宋体" w:hAnsi="宋体" w:eastAsia="宋体" w:cs="Times New Roman"/>
                <w:color w:val="auto"/>
                <w:kern w:val="21"/>
              </w:rPr>
              <w:t>配电房</w:t>
            </w:r>
          </w:p>
        </w:tc>
        <w:tc>
          <w:tcPr>
            <w:tcW w:w="6115" w:type="dxa"/>
            <w:vAlign w:val="center"/>
          </w:tcPr>
          <w:p w14:paraId="331996B4">
            <w:pPr>
              <w:spacing w:line="340" w:lineRule="exact"/>
              <w:rPr>
                <w:rFonts w:ascii="宋体" w:hAnsi="宋体" w:eastAsia="宋体" w:cs="Times New Roman"/>
                <w:color w:val="auto"/>
              </w:rPr>
            </w:pPr>
            <w:r>
              <w:rPr>
                <w:rFonts w:ascii="宋体" w:hAnsi="宋体" w:eastAsia="宋体" w:cs="Times New Roman"/>
                <w:color w:val="auto"/>
                <w:kern w:val="21"/>
              </w:rPr>
              <w:t>1座/井场，占地面积30m</w:t>
            </w:r>
            <w:r>
              <w:rPr>
                <w:rFonts w:ascii="宋体" w:hAnsi="宋体" w:eastAsia="宋体" w:cs="Times New Roman"/>
                <w:color w:val="auto"/>
                <w:kern w:val="21"/>
                <w:vertAlign w:val="superscript"/>
              </w:rPr>
              <w:t>2</w:t>
            </w:r>
            <w:r>
              <w:rPr>
                <w:rFonts w:ascii="宋体" w:hAnsi="宋体" w:eastAsia="宋体" w:cs="Times New Roman"/>
                <w:color w:val="auto"/>
                <w:kern w:val="21"/>
              </w:rPr>
              <w:t>。</w:t>
            </w:r>
          </w:p>
        </w:tc>
        <w:tc>
          <w:tcPr>
            <w:tcW w:w="730" w:type="dxa"/>
            <w:vAlign w:val="center"/>
          </w:tcPr>
          <w:p w14:paraId="77B73A4C">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67933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tcBorders>
              <w:right w:val="single" w:color="auto" w:sz="4" w:space="0"/>
            </w:tcBorders>
            <w:vAlign w:val="center"/>
          </w:tcPr>
          <w:p w14:paraId="1D9650A8">
            <w:pPr>
              <w:spacing w:line="340" w:lineRule="exact"/>
              <w:jc w:val="center"/>
              <w:rPr>
                <w:rFonts w:ascii="宋体" w:hAnsi="宋体" w:eastAsia="宋体" w:cs="Times New Roman"/>
                <w:color w:val="auto"/>
              </w:rPr>
            </w:pPr>
          </w:p>
        </w:tc>
        <w:tc>
          <w:tcPr>
            <w:tcW w:w="1548" w:type="dxa"/>
            <w:gridSpan w:val="3"/>
            <w:tcBorders>
              <w:left w:val="single" w:color="auto" w:sz="4" w:space="0"/>
            </w:tcBorders>
            <w:vAlign w:val="center"/>
          </w:tcPr>
          <w:p w14:paraId="2AA10BB5">
            <w:pPr>
              <w:spacing w:line="340" w:lineRule="exact"/>
              <w:jc w:val="center"/>
              <w:rPr>
                <w:rFonts w:ascii="宋体" w:hAnsi="宋体" w:eastAsia="宋体" w:cs="Times New Roman"/>
                <w:color w:val="auto"/>
              </w:rPr>
            </w:pPr>
            <w:r>
              <w:rPr>
                <w:rFonts w:ascii="宋体" w:hAnsi="宋体" w:eastAsia="宋体" w:cs="Times New Roman"/>
                <w:color w:val="auto"/>
                <w:kern w:val="21"/>
              </w:rPr>
              <w:t>发电机房</w:t>
            </w:r>
          </w:p>
        </w:tc>
        <w:tc>
          <w:tcPr>
            <w:tcW w:w="6115" w:type="dxa"/>
            <w:vAlign w:val="center"/>
          </w:tcPr>
          <w:p w14:paraId="7F4AEDF3">
            <w:pPr>
              <w:spacing w:line="340" w:lineRule="exact"/>
              <w:rPr>
                <w:rFonts w:ascii="宋体" w:hAnsi="宋体" w:eastAsia="宋体" w:cs="Times New Roman"/>
                <w:color w:val="auto"/>
              </w:rPr>
            </w:pPr>
            <w:r>
              <w:rPr>
                <w:rFonts w:ascii="宋体" w:hAnsi="宋体" w:eastAsia="宋体" w:cs="Times New Roman"/>
                <w:color w:val="auto"/>
                <w:kern w:val="21"/>
              </w:rPr>
              <w:t>1座/井场，占地面积50m</w:t>
            </w:r>
            <w:r>
              <w:rPr>
                <w:rFonts w:ascii="宋体" w:hAnsi="宋体" w:eastAsia="宋体" w:cs="Times New Roman"/>
                <w:color w:val="auto"/>
                <w:kern w:val="21"/>
                <w:vertAlign w:val="superscript"/>
              </w:rPr>
              <w:t>2</w:t>
            </w:r>
            <w:r>
              <w:rPr>
                <w:rFonts w:ascii="宋体" w:hAnsi="宋体" w:eastAsia="宋体" w:cs="Times New Roman"/>
                <w:color w:val="auto"/>
                <w:kern w:val="21"/>
              </w:rPr>
              <w:t>，为生活及钻井提供电力。</w:t>
            </w:r>
          </w:p>
        </w:tc>
        <w:tc>
          <w:tcPr>
            <w:tcW w:w="730" w:type="dxa"/>
            <w:vAlign w:val="center"/>
          </w:tcPr>
          <w:p w14:paraId="78978340">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75BC6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tcBorders>
              <w:right w:val="single" w:color="auto" w:sz="4" w:space="0"/>
            </w:tcBorders>
            <w:vAlign w:val="center"/>
          </w:tcPr>
          <w:p w14:paraId="15CE59DB">
            <w:pPr>
              <w:spacing w:line="340" w:lineRule="exact"/>
              <w:jc w:val="center"/>
              <w:rPr>
                <w:rFonts w:ascii="宋体" w:hAnsi="宋体" w:eastAsia="宋体" w:cs="Times New Roman"/>
                <w:color w:val="auto"/>
              </w:rPr>
            </w:pPr>
          </w:p>
        </w:tc>
        <w:tc>
          <w:tcPr>
            <w:tcW w:w="1548" w:type="dxa"/>
            <w:gridSpan w:val="3"/>
            <w:tcBorders>
              <w:left w:val="single" w:color="auto" w:sz="4" w:space="0"/>
            </w:tcBorders>
            <w:vAlign w:val="center"/>
          </w:tcPr>
          <w:p w14:paraId="2859D444">
            <w:pPr>
              <w:spacing w:line="340" w:lineRule="exact"/>
              <w:jc w:val="center"/>
              <w:rPr>
                <w:rFonts w:ascii="宋体" w:hAnsi="宋体" w:eastAsia="宋体" w:cs="Times New Roman"/>
                <w:color w:val="auto"/>
              </w:rPr>
            </w:pPr>
            <w:r>
              <w:rPr>
                <w:rFonts w:ascii="宋体" w:hAnsi="宋体" w:eastAsia="宋体" w:cs="Times New Roman"/>
                <w:color w:val="auto"/>
              </w:rPr>
              <w:t>生活、办公区</w:t>
            </w:r>
          </w:p>
        </w:tc>
        <w:tc>
          <w:tcPr>
            <w:tcW w:w="6115" w:type="dxa"/>
            <w:vAlign w:val="center"/>
          </w:tcPr>
          <w:p w14:paraId="193106E7">
            <w:pPr>
              <w:spacing w:line="340" w:lineRule="exact"/>
              <w:rPr>
                <w:rFonts w:ascii="宋体" w:hAnsi="宋体" w:eastAsia="宋体" w:cs="Times New Roman"/>
                <w:color w:val="auto"/>
              </w:rPr>
            </w:pPr>
            <w:r>
              <w:rPr>
                <w:rFonts w:ascii="宋体" w:hAnsi="宋体" w:eastAsia="宋体" w:cs="Times New Roman"/>
                <w:color w:val="auto"/>
                <w:kern w:val="21"/>
              </w:rPr>
              <w:t>每个井场设50m</w:t>
            </w:r>
            <w:r>
              <w:rPr>
                <w:rFonts w:ascii="宋体" w:hAnsi="宋体" w:eastAsia="宋体" w:cs="Times New Roman"/>
                <w:color w:val="auto"/>
                <w:kern w:val="21"/>
                <w:vertAlign w:val="superscript"/>
              </w:rPr>
              <w:t>2</w:t>
            </w:r>
            <w:r>
              <w:rPr>
                <w:rFonts w:ascii="宋体" w:hAnsi="宋体" w:eastAsia="宋体" w:cs="Times New Roman"/>
                <w:color w:val="auto"/>
                <w:kern w:val="21"/>
              </w:rPr>
              <w:t>地质值班房1座、50m</w:t>
            </w:r>
            <w:r>
              <w:rPr>
                <w:rFonts w:ascii="宋体" w:hAnsi="宋体" w:eastAsia="宋体" w:cs="Times New Roman"/>
                <w:color w:val="auto"/>
                <w:kern w:val="21"/>
                <w:vertAlign w:val="superscript"/>
              </w:rPr>
              <w:t>2</w:t>
            </w:r>
            <w:r>
              <w:rPr>
                <w:rFonts w:ascii="宋体" w:hAnsi="宋体" w:eastAsia="宋体" w:cs="Times New Roman"/>
                <w:color w:val="auto"/>
                <w:kern w:val="21"/>
              </w:rPr>
              <w:t>钻井液值班房1座、50m</w:t>
            </w:r>
            <w:r>
              <w:rPr>
                <w:rFonts w:ascii="宋体" w:hAnsi="宋体" w:eastAsia="宋体" w:cs="Times New Roman"/>
                <w:color w:val="auto"/>
                <w:kern w:val="21"/>
                <w:vertAlign w:val="superscript"/>
              </w:rPr>
              <w:t>2</w:t>
            </w:r>
            <w:r>
              <w:rPr>
                <w:rFonts w:ascii="宋体" w:hAnsi="宋体" w:eastAsia="宋体" w:cs="Times New Roman"/>
                <w:color w:val="auto"/>
                <w:kern w:val="21"/>
              </w:rPr>
              <w:t>工程值班房1座、50m</w:t>
            </w:r>
            <w:r>
              <w:rPr>
                <w:rFonts w:ascii="宋体" w:hAnsi="宋体" w:eastAsia="宋体" w:cs="Times New Roman"/>
                <w:color w:val="auto"/>
                <w:kern w:val="21"/>
                <w:vertAlign w:val="superscript"/>
              </w:rPr>
              <w:t>2</w:t>
            </w:r>
            <w:r>
              <w:rPr>
                <w:rFonts w:ascii="宋体" w:hAnsi="宋体" w:eastAsia="宋体" w:cs="Times New Roman"/>
                <w:color w:val="auto"/>
                <w:kern w:val="21"/>
              </w:rPr>
              <w:t>钻井监督房1座、50m</w:t>
            </w:r>
            <w:r>
              <w:rPr>
                <w:rFonts w:ascii="宋体" w:hAnsi="宋体" w:eastAsia="宋体" w:cs="Times New Roman"/>
                <w:color w:val="auto"/>
                <w:kern w:val="21"/>
                <w:vertAlign w:val="superscript"/>
              </w:rPr>
              <w:t>2</w:t>
            </w:r>
            <w:r>
              <w:rPr>
                <w:rFonts w:ascii="宋体" w:hAnsi="宋体" w:eastAsia="宋体" w:cs="Times New Roman"/>
                <w:color w:val="auto"/>
                <w:kern w:val="21"/>
              </w:rPr>
              <w:t>平台经理房1座、50m</w:t>
            </w:r>
            <w:r>
              <w:rPr>
                <w:rFonts w:ascii="宋体" w:hAnsi="宋体" w:eastAsia="宋体" w:cs="Times New Roman"/>
                <w:color w:val="auto"/>
                <w:kern w:val="21"/>
                <w:vertAlign w:val="superscript"/>
              </w:rPr>
              <w:t>2</w:t>
            </w:r>
            <w:r>
              <w:rPr>
                <w:rFonts w:ascii="宋体" w:hAnsi="宋体" w:eastAsia="宋体" w:cs="Times New Roman"/>
                <w:color w:val="auto"/>
                <w:kern w:val="21"/>
              </w:rPr>
              <w:t>综合房1座。</w:t>
            </w:r>
          </w:p>
        </w:tc>
        <w:tc>
          <w:tcPr>
            <w:tcW w:w="730" w:type="dxa"/>
            <w:vAlign w:val="center"/>
          </w:tcPr>
          <w:p w14:paraId="08E2895D">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354CF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tcBorders>
              <w:right w:val="single" w:color="auto" w:sz="4" w:space="0"/>
            </w:tcBorders>
            <w:vAlign w:val="center"/>
          </w:tcPr>
          <w:p w14:paraId="57A827A2">
            <w:pPr>
              <w:spacing w:line="340" w:lineRule="exact"/>
              <w:jc w:val="center"/>
              <w:rPr>
                <w:rFonts w:ascii="宋体" w:hAnsi="宋体" w:eastAsia="宋体" w:cs="Times New Roman"/>
                <w:color w:val="auto"/>
              </w:rPr>
            </w:pPr>
          </w:p>
        </w:tc>
        <w:tc>
          <w:tcPr>
            <w:tcW w:w="1548" w:type="dxa"/>
            <w:gridSpan w:val="3"/>
            <w:tcBorders>
              <w:left w:val="single" w:color="auto" w:sz="4" w:space="0"/>
            </w:tcBorders>
            <w:vAlign w:val="center"/>
          </w:tcPr>
          <w:p w14:paraId="69054BB0">
            <w:pPr>
              <w:spacing w:line="340" w:lineRule="exact"/>
              <w:jc w:val="center"/>
              <w:rPr>
                <w:rFonts w:ascii="宋体" w:hAnsi="宋体" w:eastAsia="宋体" w:cs="Times New Roman"/>
                <w:color w:val="auto"/>
              </w:rPr>
            </w:pPr>
            <w:r>
              <w:rPr>
                <w:rFonts w:ascii="宋体" w:hAnsi="宋体" w:eastAsia="宋体" w:cs="Times New Roman"/>
                <w:color w:val="auto"/>
              </w:rPr>
              <w:t>钻井施工营地</w:t>
            </w:r>
          </w:p>
        </w:tc>
        <w:tc>
          <w:tcPr>
            <w:tcW w:w="6115" w:type="dxa"/>
            <w:vAlign w:val="center"/>
          </w:tcPr>
          <w:p w14:paraId="0B3596FA">
            <w:pPr>
              <w:spacing w:line="340" w:lineRule="exact"/>
              <w:rPr>
                <w:rFonts w:ascii="宋体" w:hAnsi="宋体" w:eastAsia="宋体" w:cs="Times New Roman"/>
                <w:color w:val="auto"/>
              </w:rPr>
            </w:pPr>
            <w:r>
              <w:rPr>
                <w:rFonts w:ascii="宋体" w:hAnsi="宋体" w:eastAsia="宋体" w:cs="Times New Roman"/>
                <w:color w:val="auto"/>
                <w:kern w:val="21"/>
              </w:rPr>
              <w:t>钻井施工井场沿周边设置临时场地，临时占地面积为</w:t>
            </w:r>
            <w:r>
              <w:rPr>
                <w:rFonts w:hint="eastAsia" w:ascii="宋体" w:hAnsi="宋体" w:eastAsia="宋体" w:cs="Times New Roman"/>
                <w:color w:val="auto"/>
                <w:kern w:val="21"/>
              </w:rPr>
              <w:t>4.46</w:t>
            </w:r>
            <w:r>
              <w:rPr>
                <w:rFonts w:ascii="宋体" w:hAnsi="宋体" w:eastAsia="宋体" w:cs="Times New Roman"/>
                <w:color w:val="auto"/>
                <w:kern w:val="21"/>
              </w:rPr>
              <w:t>hm</w:t>
            </w:r>
            <w:r>
              <w:rPr>
                <w:rFonts w:ascii="宋体" w:hAnsi="宋体" w:eastAsia="宋体" w:cs="Times New Roman"/>
                <w:color w:val="auto"/>
                <w:kern w:val="21"/>
                <w:vertAlign w:val="superscript"/>
              </w:rPr>
              <w:t>2</w:t>
            </w:r>
            <w:r>
              <w:rPr>
                <w:rFonts w:ascii="宋体" w:hAnsi="宋体" w:eastAsia="宋体" w:cs="Times New Roman"/>
                <w:color w:val="auto"/>
                <w:kern w:val="21"/>
              </w:rPr>
              <w:t>，占地类型为耕地和草地。临时场地用于摆放生活区活动房，停放钻井施工设备，设置车辆回车场地，施工结束后对临时占地进行生态恢复。</w:t>
            </w:r>
          </w:p>
        </w:tc>
        <w:tc>
          <w:tcPr>
            <w:tcW w:w="730" w:type="dxa"/>
            <w:vAlign w:val="center"/>
          </w:tcPr>
          <w:p w14:paraId="21EDA7D9">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31C5B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restart"/>
            <w:vAlign w:val="center"/>
          </w:tcPr>
          <w:p w14:paraId="65BB5133">
            <w:pPr>
              <w:spacing w:line="340" w:lineRule="exact"/>
              <w:jc w:val="center"/>
              <w:rPr>
                <w:rFonts w:ascii="宋体" w:hAnsi="宋体" w:eastAsia="宋体" w:cs="Times New Roman"/>
                <w:color w:val="auto"/>
              </w:rPr>
            </w:pPr>
            <w:r>
              <w:rPr>
                <w:rFonts w:ascii="宋体" w:hAnsi="宋体" w:eastAsia="宋体" w:cs="Times New Roman"/>
                <w:color w:val="auto"/>
              </w:rPr>
              <w:t>公辅工程</w:t>
            </w:r>
          </w:p>
        </w:tc>
        <w:tc>
          <w:tcPr>
            <w:tcW w:w="1548" w:type="dxa"/>
            <w:gridSpan w:val="3"/>
            <w:vAlign w:val="center"/>
          </w:tcPr>
          <w:p w14:paraId="5E2703DE">
            <w:pPr>
              <w:spacing w:line="340" w:lineRule="exact"/>
              <w:jc w:val="center"/>
              <w:rPr>
                <w:rFonts w:ascii="宋体" w:hAnsi="宋体" w:eastAsia="宋体" w:cs="Times New Roman"/>
                <w:color w:val="auto"/>
              </w:rPr>
            </w:pPr>
            <w:r>
              <w:rPr>
                <w:rFonts w:ascii="宋体" w:hAnsi="宋体" w:eastAsia="宋体" w:cs="Times New Roman"/>
                <w:color w:val="auto"/>
              </w:rPr>
              <w:t>供水系统</w:t>
            </w:r>
          </w:p>
        </w:tc>
        <w:tc>
          <w:tcPr>
            <w:tcW w:w="6115" w:type="dxa"/>
            <w:vAlign w:val="center"/>
          </w:tcPr>
          <w:p w14:paraId="19CC3C89">
            <w:pPr>
              <w:spacing w:line="340" w:lineRule="exact"/>
              <w:rPr>
                <w:rFonts w:ascii="宋体" w:hAnsi="宋体" w:eastAsia="宋体" w:cs="Times New Roman"/>
                <w:color w:val="auto"/>
              </w:rPr>
            </w:pPr>
            <w:r>
              <w:rPr>
                <w:rFonts w:ascii="宋体" w:hAnsi="宋体" w:eastAsia="宋体" w:cs="Times New Roman"/>
                <w:color w:val="auto"/>
              </w:rPr>
              <w:t>施工期生产用水由水罐车运送，供水来源为朝</w:t>
            </w:r>
            <w:r>
              <w:rPr>
                <w:rFonts w:hint="eastAsia" w:ascii="宋体" w:hAnsi="宋体" w:eastAsia="宋体" w:cs="Times New Roman"/>
                <w:color w:val="auto"/>
              </w:rPr>
              <w:t>二</w:t>
            </w:r>
            <w:r>
              <w:rPr>
                <w:rFonts w:ascii="宋体" w:hAnsi="宋体" w:eastAsia="宋体" w:cs="Times New Roman"/>
                <w:color w:val="auto"/>
              </w:rPr>
              <w:t>联水质站，生活用水采用桶装纯净水；运营期不新增人员，不新增生活用水，油井作业用水来源为朝二联含油污水处理站的深度处理水，由水罐车运送。</w:t>
            </w:r>
          </w:p>
        </w:tc>
        <w:tc>
          <w:tcPr>
            <w:tcW w:w="730" w:type="dxa"/>
            <w:vAlign w:val="center"/>
          </w:tcPr>
          <w:p w14:paraId="4B3B01ED">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4F73A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0900621B">
            <w:pPr>
              <w:spacing w:line="340" w:lineRule="exact"/>
              <w:jc w:val="center"/>
              <w:rPr>
                <w:rFonts w:ascii="宋体" w:hAnsi="宋体" w:eastAsia="宋体" w:cs="Times New Roman"/>
                <w:color w:val="auto"/>
              </w:rPr>
            </w:pPr>
          </w:p>
        </w:tc>
        <w:tc>
          <w:tcPr>
            <w:tcW w:w="1548" w:type="dxa"/>
            <w:gridSpan w:val="3"/>
            <w:vAlign w:val="center"/>
          </w:tcPr>
          <w:p w14:paraId="6EC0596F">
            <w:pPr>
              <w:spacing w:line="340" w:lineRule="exact"/>
              <w:jc w:val="center"/>
              <w:rPr>
                <w:rFonts w:ascii="宋体" w:hAnsi="宋体" w:eastAsia="宋体" w:cs="Times New Roman"/>
                <w:color w:val="auto"/>
              </w:rPr>
            </w:pPr>
            <w:r>
              <w:rPr>
                <w:rFonts w:ascii="宋体" w:hAnsi="宋体" w:eastAsia="宋体" w:cs="Times New Roman"/>
                <w:color w:val="auto"/>
              </w:rPr>
              <w:t>排水系统</w:t>
            </w:r>
          </w:p>
        </w:tc>
        <w:tc>
          <w:tcPr>
            <w:tcW w:w="6115" w:type="dxa"/>
            <w:vAlign w:val="center"/>
          </w:tcPr>
          <w:p w14:paraId="6433D6EE">
            <w:pPr>
              <w:spacing w:line="340" w:lineRule="exact"/>
              <w:rPr>
                <w:rFonts w:ascii="宋体" w:hAnsi="宋体" w:eastAsia="宋体" w:cs="Times New Roman"/>
                <w:color w:val="auto"/>
              </w:rPr>
            </w:pPr>
            <w:r>
              <w:rPr>
                <w:rFonts w:ascii="宋体" w:hAnsi="宋体" w:eastAsia="宋体" w:cs="Times New Roman"/>
                <w:color w:val="auto"/>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水基钻井废水排入井场设置的水基钢制泥浆槽中，定期由罐车拉运至大庆油田昆仑集团有限公司环保分公司处理，处理后的压滤水定期由罐车拉运至朝一联含油污水处理站处理达标后回注油层。油基钻井废水排入井场设置的油基钢制泥浆槽中，委托黑龙江迈景环保科技有限公司处理，处理后的污水进入污水罐储存，定期拉运至朝二联含油污水处理站处理满足《大庆油田地面工程建设设计规定》（Q/SYDQ0639-2015）及《碎屑岩油藏注水水质指标技术要求及分析方法》（SY/T5329-2022）限值要求后回注油层。压裂返排液由罐车拉运至朝一联压裂返排液无害化处理站处理后，管输进入朝一联含油污水处理站处理达标后回注油层。管线试压废水由罐车拉运至朝二联含油污水处理站处理达标后回注油层。运营期不新增人员，不新增生活污水。油井产液经管线进入新建拉油点储罐内，定期由罐车拉运至朝</w:t>
            </w:r>
            <w:r>
              <w:rPr>
                <w:rFonts w:hint="eastAsia" w:ascii="宋体" w:hAnsi="宋体" w:eastAsia="宋体" w:cs="Times New Roman"/>
                <w:color w:val="auto"/>
              </w:rPr>
              <w:t>二</w:t>
            </w:r>
            <w:r>
              <w:rPr>
                <w:rFonts w:ascii="宋体" w:hAnsi="宋体" w:eastAsia="宋体" w:cs="Times New Roman"/>
                <w:color w:val="auto"/>
              </w:rPr>
              <w:t>联卸油点，进入朝</w:t>
            </w:r>
            <w:r>
              <w:rPr>
                <w:rFonts w:hint="eastAsia" w:ascii="宋体" w:hAnsi="宋体" w:eastAsia="宋体" w:cs="Times New Roman"/>
                <w:color w:val="auto"/>
              </w:rPr>
              <w:t>二</w:t>
            </w:r>
            <w:r>
              <w:rPr>
                <w:rFonts w:ascii="宋体" w:hAnsi="宋体" w:eastAsia="宋体" w:cs="Times New Roman"/>
                <w:color w:val="auto"/>
              </w:rPr>
              <w:t>联转油站处理系统，采出水进入朝二联含油污水处理站处理达标后回注油层；油井作业污水通过罐车回收后拉运至朝二</w:t>
            </w:r>
            <w:r>
              <w:rPr>
                <w:rFonts w:hint="eastAsia" w:ascii="宋体" w:hAnsi="宋体" w:eastAsia="宋体" w:cs="Times New Roman"/>
                <w:color w:val="auto"/>
              </w:rPr>
              <w:t>联含油污</w:t>
            </w:r>
            <w:r>
              <w:rPr>
                <w:rFonts w:ascii="宋体" w:hAnsi="宋体" w:eastAsia="宋体" w:cs="Times New Roman"/>
                <w:color w:val="auto"/>
              </w:rPr>
              <w:t>水处理站处理达标后回注油层。</w:t>
            </w:r>
          </w:p>
        </w:tc>
        <w:tc>
          <w:tcPr>
            <w:tcW w:w="730" w:type="dxa"/>
            <w:vAlign w:val="center"/>
          </w:tcPr>
          <w:p w14:paraId="33C95FF9">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72762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222B4109">
            <w:pPr>
              <w:spacing w:line="340" w:lineRule="exact"/>
              <w:jc w:val="center"/>
              <w:rPr>
                <w:rFonts w:ascii="宋体" w:hAnsi="宋体" w:eastAsia="宋体" w:cs="Times New Roman"/>
                <w:color w:val="auto"/>
              </w:rPr>
            </w:pPr>
          </w:p>
        </w:tc>
        <w:tc>
          <w:tcPr>
            <w:tcW w:w="1548" w:type="dxa"/>
            <w:gridSpan w:val="3"/>
            <w:vAlign w:val="center"/>
          </w:tcPr>
          <w:p w14:paraId="706ABF66">
            <w:pPr>
              <w:spacing w:line="340" w:lineRule="exact"/>
              <w:jc w:val="center"/>
              <w:rPr>
                <w:rFonts w:ascii="宋体" w:hAnsi="宋体" w:eastAsia="宋体" w:cs="Times New Roman"/>
                <w:color w:val="auto"/>
              </w:rPr>
            </w:pPr>
            <w:r>
              <w:rPr>
                <w:rFonts w:ascii="宋体" w:hAnsi="宋体" w:eastAsia="宋体" w:cs="Times New Roman"/>
                <w:color w:val="auto"/>
              </w:rPr>
              <w:t>道路工程</w:t>
            </w:r>
          </w:p>
        </w:tc>
        <w:tc>
          <w:tcPr>
            <w:tcW w:w="6115" w:type="dxa"/>
            <w:vAlign w:val="center"/>
          </w:tcPr>
          <w:p w14:paraId="4A3D90AF">
            <w:pPr>
              <w:spacing w:line="340" w:lineRule="exact"/>
              <w:rPr>
                <w:rFonts w:ascii="宋体" w:hAnsi="宋体" w:eastAsia="宋体" w:cs="Times New Roman"/>
                <w:color w:val="auto"/>
              </w:rPr>
            </w:pPr>
            <w:r>
              <w:rPr>
                <w:rFonts w:ascii="宋体" w:hAnsi="宋体" w:eastAsia="宋体" w:cs="Times New Roman"/>
                <w:color w:val="auto"/>
              </w:rPr>
              <w:t>拉油点按4.5m宽路基，3.5m宽砂石路面标准新建砂石路</w:t>
            </w:r>
            <w:r>
              <w:rPr>
                <w:rFonts w:hint="eastAsia" w:ascii="宋体" w:hAnsi="宋体" w:eastAsia="宋体" w:cs="Times New Roman"/>
                <w:color w:val="auto"/>
              </w:rPr>
              <w:t>0.9</w:t>
            </w:r>
            <w:r>
              <w:rPr>
                <w:rFonts w:ascii="宋体" w:hAnsi="宋体" w:eastAsia="宋体" w:cs="Times New Roman"/>
                <w:color w:val="auto"/>
              </w:rPr>
              <w:t>km，新建通井土路6.0km，</w:t>
            </w:r>
            <w:r>
              <w:rPr>
                <w:rFonts w:hint="eastAsia" w:ascii="宋体" w:hAnsi="宋体" w:eastAsia="宋体" w:cs="Times New Roman"/>
                <w:color w:val="auto"/>
              </w:rPr>
              <w:t>改造</w:t>
            </w:r>
            <w:r>
              <w:rPr>
                <w:rFonts w:ascii="宋体" w:hAnsi="宋体" w:eastAsia="宋体" w:cs="Times New Roman"/>
                <w:color w:val="auto"/>
              </w:rPr>
              <w:t>已建土路</w:t>
            </w:r>
            <w:r>
              <w:rPr>
                <w:rFonts w:hint="eastAsia" w:ascii="宋体" w:hAnsi="宋体" w:eastAsia="宋体" w:cs="Times New Roman"/>
                <w:color w:val="auto"/>
              </w:rPr>
              <w:t>0.6km，</w:t>
            </w:r>
            <w:r>
              <w:rPr>
                <w:rFonts w:ascii="宋体" w:hAnsi="宋体" w:eastAsia="宋体" w:cs="Times New Roman"/>
                <w:color w:val="auto"/>
              </w:rPr>
              <w:t>征用当地水泥路</w:t>
            </w:r>
            <w:r>
              <w:rPr>
                <w:rFonts w:hint="eastAsia" w:ascii="宋体" w:hAnsi="宋体" w:eastAsia="宋体" w:cs="Times New Roman"/>
                <w:color w:val="auto"/>
              </w:rPr>
              <w:t>0.45</w:t>
            </w:r>
            <w:r>
              <w:rPr>
                <w:rFonts w:ascii="宋体" w:hAnsi="宋体" w:eastAsia="宋体" w:cs="Times New Roman"/>
                <w:color w:val="auto"/>
              </w:rPr>
              <w:t>km。</w:t>
            </w:r>
          </w:p>
        </w:tc>
        <w:tc>
          <w:tcPr>
            <w:tcW w:w="730" w:type="dxa"/>
            <w:vAlign w:val="center"/>
          </w:tcPr>
          <w:p w14:paraId="36E46151">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44002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3AEE482A">
            <w:pPr>
              <w:spacing w:line="340" w:lineRule="exact"/>
              <w:jc w:val="center"/>
              <w:rPr>
                <w:rFonts w:ascii="宋体" w:hAnsi="宋体" w:eastAsia="宋体" w:cs="Times New Roman"/>
                <w:color w:val="auto"/>
              </w:rPr>
            </w:pPr>
          </w:p>
        </w:tc>
        <w:tc>
          <w:tcPr>
            <w:tcW w:w="1548" w:type="dxa"/>
            <w:gridSpan w:val="3"/>
            <w:vAlign w:val="center"/>
          </w:tcPr>
          <w:p w14:paraId="62533711">
            <w:pPr>
              <w:spacing w:line="340" w:lineRule="exact"/>
              <w:jc w:val="center"/>
              <w:rPr>
                <w:rFonts w:ascii="宋体" w:hAnsi="宋体" w:eastAsia="宋体" w:cs="Times New Roman"/>
                <w:color w:val="auto"/>
              </w:rPr>
            </w:pPr>
            <w:r>
              <w:rPr>
                <w:rFonts w:ascii="宋体" w:hAnsi="宋体" w:eastAsia="宋体" w:cs="Times New Roman"/>
                <w:color w:val="auto"/>
              </w:rPr>
              <w:t>供热系统</w:t>
            </w:r>
          </w:p>
        </w:tc>
        <w:tc>
          <w:tcPr>
            <w:tcW w:w="6115" w:type="dxa"/>
            <w:vAlign w:val="center"/>
          </w:tcPr>
          <w:p w14:paraId="2D746FC7">
            <w:pPr>
              <w:spacing w:line="340" w:lineRule="exact"/>
              <w:rPr>
                <w:rFonts w:ascii="宋体" w:hAnsi="宋体" w:eastAsia="宋体" w:cs="Times New Roman"/>
                <w:color w:val="auto"/>
              </w:rPr>
            </w:pPr>
            <w:r>
              <w:rPr>
                <w:rFonts w:ascii="宋体" w:hAnsi="宋体" w:eastAsia="宋体" w:cs="Times New Roman"/>
                <w:color w:val="auto"/>
              </w:rPr>
              <w:t>本项目施工期采用电取暖，运营期依托场站现有供暖方式。</w:t>
            </w:r>
          </w:p>
        </w:tc>
        <w:tc>
          <w:tcPr>
            <w:tcW w:w="730" w:type="dxa"/>
            <w:vAlign w:val="center"/>
          </w:tcPr>
          <w:p w14:paraId="66F0EEA5">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677C7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5543F89F">
            <w:pPr>
              <w:spacing w:line="340" w:lineRule="exact"/>
              <w:jc w:val="center"/>
              <w:rPr>
                <w:rFonts w:ascii="宋体" w:hAnsi="宋体" w:eastAsia="宋体" w:cs="Times New Roman"/>
                <w:color w:val="auto"/>
              </w:rPr>
            </w:pPr>
          </w:p>
        </w:tc>
        <w:tc>
          <w:tcPr>
            <w:tcW w:w="1548" w:type="dxa"/>
            <w:gridSpan w:val="3"/>
            <w:vAlign w:val="center"/>
          </w:tcPr>
          <w:p w14:paraId="2BA5DAA8">
            <w:pPr>
              <w:spacing w:line="340" w:lineRule="exact"/>
              <w:jc w:val="center"/>
              <w:rPr>
                <w:rFonts w:ascii="宋体" w:hAnsi="宋体" w:eastAsia="宋体" w:cs="Times New Roman"/>
                <w:color w:val="auto"/>
              </w:rPr>
            </w:pPr>
            <w:r>
              <w:rPr>
                <w:rFonts w:ascii="宋体" w:hAnsi="宋体" w:eastAsia="宋体" w:cs="Times New Roman"/>
                <w:color w:val="auto"/>
              </w:rPr>
              <w:t>自控工程</w:t>
            </w:r>
          </w:p>
        </w:tc>
        <w:tc>
          <w:tcPr>
            <w:tcW w:w="6115" w:type="dxa"/>
            <w:vAlign w:val="center"/>
          </w:tcPr>
          <w:p w14:paraId="14C23248">
            <w:pPr>
              <w:spacing w:line="340" w:lineRule="exact"/>
              <w:rPr>
                <w:rFonts w:ascii="宋体" w:hAnsi="宋体" w:eastAsia="宋体" w:cs="Times New Roman"/>
                <w:color w:val="auto"/>
              </w:rPr>
            </w:pPr>
            <w:r>
              <w:rPr>
                <w:rFonts w:ascii="宋体" w:hAnsi="宋体" w:eastAsia="宋体" w:cs="Times New Roman"/>
                <w:color w:val="auto"/>
              </w:rPr>
              <w:t>本次设计对</w:t>
            </w:r>
            <w:r>
              <w:rPr>
                <w:rFonts w:hint="eastAsia" w:ascii="宋体" w:hAnsi="宋体" w:eastAsia="宋体" w:cs="Times New Roman"/>
                <w:color w:val="auto"/>
              </w:rPr>
              <w:t>基建的4</w:t>
            </w:r>
            <w:r>
              <w:rPr>
                <w:rFonts w:ascii="宋体" w:hAnsi="宋体" w:eastAsia="宋体" w:cs="Times New Roman"/>
                <w:color w:val="auto"/>
              </w:rPr>
              <w:t>口油井、</w:t>
            </w:r>
            <w:r>
              <w:rPr>
                <w:rFonts w:hint="eastAsia" w:ascii="宋体" w:hAnsi="宋体" w:eastAsia="宋体" w:cs="Times New Roman"/>
                <w:color w:val="auto"/>
              </w:rPr>
              <w:t>3</w:t>
            </w:r>
            <w:r>
              <w:rPr>
                <w:rFonts w:ascii="宋体" w:hAnsi="宋体" w:eastAsia="宋体" w:cs="Times New Roman"/>
                <w:color w:val="auto"/>
              </w:rPr>
              <w:t>座拉油点进行数字化建设，实现生产数据自动采集、生产过程监测、远程控制等功能，新建WIA-PA智能电参分析控制器、WIA-PA智能电参分析控制模块、WIA-PA抽油机无线工况采集单元、WIA-PA无线压力变送器等。</w:t>
            </w:r>
          </w:p>
        </w:tc>
        <w:tc>
          <w:tcPr>
            <w:tcW w:w="730" w:type="dxa"/>
            <w:vAlign w:val="center"/>
          </w:tcPr>
          <w:p w14:paraId="790FA010">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5D290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2BF7FE30">
            <w:pPr>
              <w:spacing w:line="340" w:lineRule="exact"/>
              <w:jc w:val="center"/>
              <w:rPr>
                <w:rFonts w:ascii="宋体" w:hAnsi="宋体" w:eastAsia="宋体" w:cs="Times New Roman"/>
                <w:color w:val="auto"/>
              </w:rPr>
            </w:pPr>
          </w:p>
        </w:tc>
        <w:tc>
          <w:tcPr>
            <w:tcW w:w="1548" w:type="dxa"/>
            <w:gridSpan w:val="3"/>
            <w:vAlign w:val="center"/>
          </w:tcPr>
          <w:p w14:paraId="63DF4D27">
            <w:pPr>
              <w:spacing w:line="340" w:lineRule="exact"/>
              <w:jc w:val="center"/>
              <w:rPr>
                <w:rFonts w:ascii="宋体" w:hAnsi="宋体" w:eastAsia="宋体" w:cs="Times New Roman"/>
                <w:color w:val="auto"/>
              </w:rPr>
            </w:pPr>
            <w:r>
              <w:rPr>
                <w:rFonts w:ascii="宋体" w:hAnsi="宋体" w:eastAsia="宋体" w:cs="Times New Roman"/>
                <w:color w:val="auto"/>
              </w:rPr>
              <w:t>供电工程</w:t>
            </w:r>
          </w:p>
        </w:tc>
        <w:tc>
          <w:tcPr>
            <w:tcW w:w="6115" w:type="dxa"/>
            <w:vAlign w:val="center"/>
          </w:tcPr>
          <w:p w14:paraId="089FC995">
            <w:pPr>
              <w:spacing w:line="340" w:lineRule="exact"/>
              <w:rPr>
                <w:rFonts w:ascii="宋体" w:hAnsi="宋体" w:eastAsia="宋体" w:cs="Times New Roman"/>
                <w:iCs/>
                <w:color w:val="auto"/>
              </w:rPr>
            </w:pPr>
            <w:r>
              <w:rPr>
                <w:rFonts w:ascii="宋体" w:hAnsi="宋体" w:eastAsia="宋体" w:cs="Times New Roman"/>
                <w:color w:val="auto"/>
              </w:rPr>
              <w:t>本项目施工期用电由柴油发电机供给。运营期电力供应均来自油田已建电网，依托的电源为松二变电站，配电采用单变压器对单井及单变压器对多井2种方式。新建井场柱上变电站3座，新建10kV 线路 1. 1km，线路采用3×LGJ-50 型导线</w:t>
            </w:r>
            <w:r>
              <w:rPr>
                <w:rFonts w:ascii="宋体" w:hAnsi="宋体" w:eastAsia="宋体" w:cs="Times New Roman"/>
                <w:iCs/>
                <w:color w:val="auto"/>
              </w:rPr>
              <w:t>。</w:t>
            </w:r>
            <w:r>
              <w:rPr>
                <w:rFonts w:ascii="宋体" w:hAnsi="宋体" w:eastAsia="宋体" w:cs="Times New Roman"/>
                <w:color w:val="auto"/>
              </w:rPr>
              <w:t>本项目投产后，新增耗电约</w:t>
            </w:r>
            <w:r>
              <w:rPr>
                <w:rFonts w:hint="eastAsia" w:ascii="宋体" w:hAnsi="宋体" w:eastAsia="宋体" w:cs="Times New Roman"/>
                <w:color w:val="auto"/>
              </w:rPr>
              <w:t>56</w:t>
            </w:r>
            <w:r>
              <w:rPr>
                <w:rFonts w:ascii="宋体" w:hAnsi="宋体" w:eastAsia="宋体" w:cs="Times New Roman"/>
                <w:color w:val="auto"/>
              </w:rPr>
              <w:t>×10</w:t>
            </w:r>
            <w:r>
              <w:rPr>
                <w:rFonts w:ascii="宋体" w:hAnsi="宋体" w:eastAsia="宋体" w:cs="Times New Roman"/>
                <w:color w:val="auto"/>
                <w:vertAlign w:val="superscript"/>
              </w:rPr>
              <w:t>4</w:t>
            </w:r>
            <w:r>
              <w:rPr>
                <w:rFonts w:ascii="宋体" w:hAnsi="宋体" w:eastAsia="宋体" w:cs="Times New Roman"/>
                <w:color w:val="auto"/>
              </w:rPr>
              <w:t>kW•h /a。</w:t>
            </w:r>
          </w:p>
        </w:tc>
        <w:tc>
          <w:tcPr>
            <w:tcW w:w="730" w:type="dxa"/>
            <w:vAlign w:val="center"/>
          </w:tcPr>
          <w:p w14:paraId="750508A1">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4F6B4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atLeast"/>
        </w:trPr>
        <w:tc>
          <w:tcPr>
            <w:tcW w:w="667" w:type="dxa"/>
            <w:vMerge w:val="continue"/>
            <w:vAlign w:val="center"/>
          </w:tcPr>
          <w:p w14:paraId="0B2AF572">
            <w:pPr>
              <w:spacing w:line="340" w:lineRule="exact"/>
              <w:jc w:val="center"/>
              <w:rPr>
                <w:rFonts w:ascii="宋体" w:hAnsi="宋体" w:eastAsia="宋体" w:cs="Times New Roman"/>
                <w:color w:val="auto"/>
              </w:rPr>
            </w:pPr>
          </w:p>
        </w:tc>
        <w:tc>
          <w:tcPr>
            <w:tcW w:w="1548" w:type="dxa"/>
            <w:gridSpan w:val="3"/>
            <w:vMerge w:val="restart"/>
            <w:vAlign w:val="center"/>
          </w:tcPr>
          <w:p w14:paraId="0A16D7C1">
            <w:pPr>
              <w:spacing w:line="340" w:lineRule="exact"/>
              <w:jc w:val="center"/>
              <w:rPr>
                <w:rFonts w:ascii="宋体" w:hAnsi="宋体" w:eastAsia="宋体" w:cs="Times New Roman"/>
                <w:color w:val="auto"/>
              </w:rPr>
            </w:pPr>
            <w:r>
              <w:rPr>
                <w:rFonts w:ascii="宋体" w:hAnsi="宋体" w:eastAsia="宋体" w:cs="Times New Roman"/>
                <w:color w:val="auto"/>
              </w:rPr>
              <w:t>供气工程</w:t>
            </w:r>
          </w:p>
        </w:tc>
        <w:tc>
          <w:tcPr>
            <w:tcW w:w="6115" w:type="dxa"/>
            <w:tcBorders>
              <w:bottom w:val="single" w:color="auto" w:sz="4" w:space="0"/>
            </w:tcBorders>
            <w:vAlign w:val="center"/>
          </w:tcPr>
          <w:p w14:paraId="295FC994">
            <w:pPr>
              <w:spacing w:line="340" w:lineRule="exact"/>
              <w:rPr>
                <w:rFonts w:ascii="宋体" w:hAnsi="宋体" w:eastAsia="宋体" w:cs="Times New Roman"/>
                <w:color w:val="auto"/>
              </w:rPr>
            </w:pPr>
            <w:r>
              <w:rPr>
                <w:rFonts w:ascii="宋体" w:hAnsi="宋体" w:eastAsia="宋体" w:cs="Times New Roman"/>
                <w:color w:val="auto"/>
              </w:rPr>
              <w:t>本项目拉油点储罐维温用气来自产液伴生气，拉油点最大耗气量约</w:t>
            </w:r>
            <w:r>
              <w:rPr>
                <w:rFonts w:hint="eastAsia" w:ascii="宋体" w:hAnsi="宋体" w:eastAsia="宋体" w:cs="Times New Roman"/>
                <w:color w:val="auto"/>
              </w:rPr>
              <w:t>11.6</w:t>
            </w:r>
            <w:r>
              <w:rPr>
                <w:rFonts w:ascii="宋体" w:hAnsi="宋体" w:eastAsia="宋体" w:cs="Times New Roman"/>
                <w:color w:val="auto"/>
              </w:rPr>
              <w:t>万m</w:t>
            </w:r>
            <w:r>
              <w:rPr>
                <w:rFonts w:ascii="宋体" w:hAnsi="宋体" w:eastAsia="宋体" w:cs="Times New Roman"/>
                <w:color w:val="auto"/>
                <w:vertAlign w:val="superscript"/>
              </w:rPr>
              <w:t>3</w:t>
            </w:r>
            <w:r>
              <w:rPr>
                <w:rFonts w:ascii="宋体" w:hAnsi="宋体" w:eastAsia="宋体" w:cs="Times New Roman"/>
                <w:color w:val="auto"/>
              </w:rPr>
              <w:t>/a，伴生气全部用于拉油点多功能储罐加热炉自耗，不外排。</w:t>
            </w:r>
          </w:p>
        </w:tc>
        <w:tc>
          <w:tcPr>
            <w:tcW w:w="730" w:type="dxa"/>
            <w:tcBorders>
              <w:bottom w:val="single" w:color="auto" w:sz="4" w:space="0"/>
            </w:tcBorders>
            <w:vAlign w:val="center"/>
          </w:tcPr>
          <w:p w14:paraId="5AC4EAA9">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681E2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trPr>
        <w:tc>
          <w:tcPr>
            <w:tcW w:w="667" w:type="dxa"/>
            <w:vMerge w:val="continue"/>
            <w:vAlign w:val="center"/>
          </w:tcPr>
          <w:p w14:paraId="60E5811A">
            <w:pPr>
              <w:spacing w:line="340" w:lineRule="exact"/>
              <w:jc w:val="center"/>
              <w:rPr>
                <w:rFonts w:ascii="宋体" w:hAnsi="宋体" w:eastAsia="宋体" w:cs="Times New Roman"/>
                <w:color w:val="auto"/>
              </w:rPr>
            </w:pPr>
          </w:p>
        </w:tc>
        <w:tc>
          <w:tcPr>
            <w:tcW w:w="1548" w:type="dxa"/>
            <w:gridSpan w:val="3"/>
            <w:vMerge w:val="continue"/>
            <w:vAlign w:val="center"/>
          </w:tcPr>
          <w:p w14:paraId="5F96A6C6">
            <w:pPr>
              <w:spacing w:line="340" w:lineRule="exact"/>
              <w:jc w:val="center"/>
              <w:rPr>
                <w:rFonts w:ascii="宋体" w:hAnsi="宋体" w:eastAsia="宋体" w:cs="Times New Roman"/>
                <w:color w:val="auto"/>
              </w:rPr>
            </w:pPr>
          </w:p>
        </w:tc>
        <w:tc>
          <w:tcPr>
            <w:tcW w:w="6115" w:type="dxa"/>
            <w:tcBorders>
              <w:top w:val="single" w:color="auto" w:sz="4" w:space="0"/>
            </w:tcBorders>
            <w:vAlign w:val="center"/>
          </w:tcPr>
          <w:p w14:paraId="3188DC16">
            <w:pPr>
              <w:spacing w:line="340" w:lineRule="exact"/>
              <w:rPr>
                <w:rFonts w:ascii="宋体" w:hAnsi="宋体" w:eastAsia="宋体" w:cs="Times New Roman"/>
                <w:color w:val="auto"/>
              </w:rPr>
            </w:pPr>
            <w:r>
              <w:rPr>
                <w:rFonts w:ascii="宋体" w:hAnsi="宋体" w:eastAsia="宋体" w:cs="Times New Roman"/>
                <w:color w:val="auto"/>
              </w:rPr>
              <w:t>运营期采出液依托场站加热炉新增天然气用量约</w:t>
            </w:r>
            <w:r>
              <w:rPr>
                <w:rFonts w:hint="eastAsia" w:ascii="宋体" w:hAnsi="宋体" w:eastAsia="宋体" w:cs="Times New Roman"/>
                <w:color w:val="auto"/>
              </w:rPr>
              <w:t>107.84</w:t>
            </w:r>
            <w:r>
              <w:rPr>
                <w:rFonts w:ascii="宋体" w:hAnsi="宋体" w:eastAsia="宋体" w:cs="Times New Roman"/>
                <w:color w:val="auto"/>
              </w:rPr>
              <w:t>万m</w:t>
            </w:r>
            <w:r>
              <w:rPr>
                <w:rFonts w:ascii="宋体" w:hAnsi="宋体" w:eastAsia="宋体" w:cs="Times New Roman"/>
                <w:color w:val="auto"/>
                <w:vertAlign w:val="superscript"/>
              </w:rPr>
              <w:t>3</w:t>
            </w:r>
            <w:r>
              <w:rPr>
                <w:rFonts w:ascii="宋体" w:hAnsi="宋体" w:eastAsia="宋体" w:cs="Times New Roman"/>
                <w:color w:val="auto"/>
              </w:rPr>
              <w:t>/a。</w:t>
            </w:r>
          </w:p>
        </w:tc>
        <w:tc>
          <w:tcPr>
            <w:tcW w:w="730" w:type="dxa"/>
            <w:tcBorders>
              <w:top w:val="single" w:color="auto" w:sz="4" w:space="0"/>
            </w:tcBorders>
            <w:vAlign w:val="center"/>
          </w:tcPr>
          <w:p w14:paraId="6A700FE1">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1ECF5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667" w:type="dxa"/>
            <w:vMerge w:val="restart"/>
            <w:vAlign w:val="center"/>
          </w:tcPr>
          <w:p w14:paraId="68C10CF4">
            <w:pPr>
              <w:spacing w:line="340" w:lineRule="exact"/>
              <w:jc w:val="center"/>
              <w:rPr>
                <w:rFonts w:ascii="宋体" w:hAnsi="宋体" w:eastAsia="宋体" w:cs="Times New Roman"/>
                <w:color w:val="auto"/>
              </w:rPr>
            </w:pPr>
            <w:r>
              <w:rPr>
                <w:rFonts w:ascii="宋体" w:hAnsi="宋体" w:eastAsia="宋体" w:cs="Times New Roman"/>
                <w:color w:val="auto"/>
              </w:rPr>
              <w:t>储运工程</w:t>
            </w:r>
          </w:p>
        </w:tc>
        <w:tc>
          <w:tcPr>
            <w:tcW w:w="1548" w:type="dxa"/>
            <w:gridSpan w:val="3"/>
            <w:tcBorders>
              <w:bottom w:val="single" w:color="auto" w:sz="4" w:space="0"/>
            </w:tcBorders>
            <w:vAlign w:val="center"/>
          </w:tcPr>
          <w:p w14:paraId="511AD77D">
            <w:pPr>
              <w:spacing w:line="340" w:lineRule="exact"/>
              <w:jc w:val="center"/>
              <w:rPr>
                <w:rFonts w:ascii="宋体" w:hAnsi="宋体" w:eastAsia="宋体" w:cs="Times New Roman"/>
                <w:color w:val="auto"/>
              </w:rPr>
            </w:pPr>
            <w:r>
              <w:rPr>
                <w:rFonts w:ascii="宋体" w:hAnsi="宋体" w:eastAsia="宋体" w:cs="Times New Roman"/>
                <w:color w:val="auto"/>
                <w:kern w:val="21"/>
              </w:rPr>
              <w:t>泥浆循环罐</w:t>
            </w:r>
          </w:p>
        </w:tc>
        <w:tc>
          <w:tcPr>
            <w:tcW w:w="6115" w:type="dxa"/>
            <w:tcBorders>
              <w:top w:val="single" w:color="auto" w:sz="4" w:space="0"/>
              <w:bottom w:val="single" w:color="auto" w:sz="4" w:space="0"/>
            </w:tcBorders>
            <w:vAlign w:val="center"/>
          </w:tcPr>
          <w:p w14:paraId="0DC9B100">
            <w:pPr>
              <w:spacing w:line="340" w:lineRule="exact"/>
              <w:rPr>
                <w:rFonts w:ascii="宋体" w:hAnsi="宋体" w:eastAsia="宋体" w:cs="Times New Roman"/>
                <w:color w:val="auto"/>
              </w:rPr>
            </w:pPr>
            <w:r>
              <w:rPr>
                <w:rFonts w:ascii="宋体" w:hAnsi="宋体" w:eastAsia="宋体" w:cs="Times New Roman"/>
                <w:color w:val="auto"/>
                <w:kern w:val="21"/>
              </w:rPr>
              <w:t>钻井井场设泥浆循环罐3个，其中水基泥浆循环罐2个、油基泥浆循环罐1个，单罐容积40m</w:t>
            </w:r>
            <w:r>
              <w:rPr>
                <w:rFonts w:ascii="宋体" w:hAnsi="宋体" w:eastAsia="宋体" w:cs="Times New Roman"/>
                <w:color w:val="auto"/>
                <w:kern w:val="21"/>
                <w:vertAlign w:val="superscript"/>
              </w:rPr>
              <w:t>3</w:t>
            </w:r>
            <w:r>
              <w:rPr>
                <w:rFonts w:ascii="宋体" w:hAnsi="宋体" w:eastAsia="宋体" w:cs="Times New Roman"/>
                <w:color w:val="auto"/>
                <w:kern w:val="21"/>
              </w:rPr>
              <w:t>，占地约100m</w:t>
            </w:r>
            <w:r>
              <w:rPr>
                <w:rFonts w:ascii="宋体" w:hAnsi="宋体" w:eastAsia="宋体" w:cs="Times New Roman"/>
                <w:color w:val="auto"/>
                <w:kern w:val="21"/>
                <w:vertAlign w:val="superscript"/>
              </w:rPr>
              <w:t>2</w:t>
            </w:r>
            <w:r>
              <w:rPr>
                <w:rFonts w:ascii="宋体" w:hAnsi="宋体" w:eastAsia="宋体" w:cs="Times New Roman"/>
                <w:color w:val="auto"/>
                <w:kern w:val="21"/>
              </w:rPr>
              <w:t>。</w:t>
            </w:r>
          </w:p>
        </w:tc>
        <w:tc>
          <w:tcPr>
            <w:tcW w:w="730" w:type="dxa"/>
            <w:tcBorders>
              <w:top w:val="single" w:color="auto" w:sz="4" w:space="0"/>
              <w:bottom w:val="single" w:color="auto" w:sz="4" w:space="0"/>
            </w:tcBorders>
            <w:vAlign w:val="center"/>
          </w:tcPr>
          <w:p w14:paraId="0D9817A2">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077C2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667" w:type="dxa"/>
            <w:vMerge w:val="continue"/>
            <w:vAlign w:val="center"/>
          </w:tcPr>
          <w:p w14:paraId="128ACEE2">
            <w:pPr>
              <w:spacing w:line="340" w:lineRule="exact"/>
              <w:jc w:val="center"/>
              <w:rPr>
                <w:rFonts w:ascii="宋体" w:hAnsi="宋体" w:eastAsia="宋体" w:cs="Times New Roman"/>
                <w:color w:val="auto"/>
              </w:rPr>
            </w:pPr>
          </w:p>
        </w:tc>
        <w:tc>
          <w:tcPr>
            <w:tcW w:w="1548" w:type="dxa"/>
            <w:gridSpan w:val="3"/>
            <w:tcBorders>
              <w:top w:val="single" w:color="auto" w:sz="4" w:space="0"/>
              <w:bottom w:val="single" w:color="auto" w:sz="4" w:space="0"/>
            </w:tcBorders>
            <w:vAlign w:val="center"/>
          </w:tcPr>
          <w:p w14:paraId="722F5CA3">
            <w:pPr>
              <w:spacing w:line="340" w:lineRule="exact"/>
              <w:jc w:val="center"/>
              <w:rPr>
                <w:rFonts w:ascii="宋体" w:hAnsi="宋体" w:eastAsia="宋体" w:cs="Times New Roman"/>
                <w:color w:val="auto"/>
              </w:rPr>
            </w:pPr>
            <w:r>
              <w:rPr>
                <w:rFonts w:ascii="宋体" w:hAnsi="宋体" w:eastAsia="宋体" w:cs="Times New Roman"/>
                <w:color w:val="auto"/>
                <w:kern w:val="21"/>
              </w:rPr>
              <w:t>钢制泥浆槽</w:t>
            </w:r>
          </w:p>
        </w:tc>
        <w:tc>
          <w:tcPr>
            <w:tcW w:w="6115" w:type="dxa"/>
            <w:tcBorders>
              <w:top w:val="single" w:color="auto" w:sz="4" w:space="0"/>
              <w:bottom w:val="single" w:color="auto" w:sz="4" w:space="0"/>
            </w:tcBorders>
            <w:vAlign w:val="center"/>
          </w:tcPr>
          <w:p w14:paraId="1E01BD52">
            <w:pPr>
              <w:spacing w:line="340" w:lineRule="exact"/>
              <w:rPr>
                <w:rFonts w:ascii="宋体" w:hAnsi="宋体" w:eastAsia="宋体" w:cs="Times New Roman"/>
                <w:color w:val="auto"/>
              </w:rPr>
            </w:pPr>
            <w:r>
              <w:rPr>
                <w:rFonts w:ascii="宋体" w:hAnsi="宋体" w:eastAsia="宋体" w:cs="Times New Roman"/>
                <w:color w:val="auto"/>
                <w:kern w:val="21"/>
              </w:rPr>
              <w:t>井场泥浆不落地，钢制泥浆槽位于泥浆循环罐旁边，钻井施工场地设置1座水基钢制泥浆槽、1座油基钢制泥浆槽，单座钢制泥浆槽有效容积100m</w:t>
            </w:r>
            <w:r>
              <w:rPr>
                <w:rFonts w:ascii="宋体" w:hAnsi="宋体" w:eastAsia="宋体" w:cs="Times New Roman"/>
                <w:color w:val="auto"/>
                <w:kern w:val="21"/>
                <w:vertAlign w:val="superscript"/>
              </w:rPr>
              <w:t>3</w:t>
            </w:r>
            <w:r>
              <w:rPr>
                <w:rFonts w:ascii="宋体" w:hAnsi="宋体" w:eastAsia="宋体" w:cs="Times New Roman"/>
                <w:color w:val="auto"/>
                <w:kern w:val="21"/>
              </w:rPr>
              <w:t>。井场设置的水基钢制泥浆槽用于接收水基钻井废水、水基钻井岩屑、水基废钻井液，由罐车及时拉运至大庆油田昆仑集团有限公司环保分公司处理，处理后的压滤水定期由罐车拉运至朝一联含油污水处理站处理满足《大庆油田地面工程建设设计规定》（Q/SYDQ0639-2015）及《碎屑岩油藏注水水质指标技术要求及分析方法》（SY/T5329-2022）限值要求后回注油层；井场设置的油基钢制泥浆槽用于接收油基钻井污水、油基钻井岩屑、油基废钻井液，委托黑龙江迈景环保科技有限公司处理，处理后的污水进入污水罐储存，定期拉运至朝二联含油污水处理站处理满足《大庆油田地面工程建设设计规定》（Q/SYDQ0639-2015）及《碎屑岩油藏注水水质指标技术要求及分析方法》（SY/T5329-2022）限值要求后回注油层，处理后的脱油泥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c>
          <w:tcPr>
            <w:tcW w:w="730" w:type="dxa"/>
            <w:tcBorders>
              <w:top w:val="single" w:color="auto" w:sz="4" w:space="0"/>
              <w:bottom w:val="single" w:color="auto" w:sz="4" w:space="0"/>
            </w:tcBorders>
            <w:vAlign w:val="center"/>
          </w:tcPr>
          <w:p w14:paraId="43C8C00A">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46B8B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667" w:type="dxa"/>
            <w:vMerge w:val="continue"/>
            <w:vAlign w:val="center"/>
          </w:tcPr>
          <w:p w14:paraId="407996A7">
            <w:pPr>
              <w:spacing w:line="340" w:lineRule="exact"/>
              <w:jc w:val="center"/>
              <w:rPr>
                <w:rFonts w:ascii="宋体" w:hAnsi="宋体" w:eastAsia="宋体" w:cs="Times New Roman"/>
                <w:color w:val="auto"/>
              </w:rPr>
            </w:pPr>
          </w:p>
        </w:tc>
        <w:tc>
          <w:tcPr>
            <w:tcW w:w="1548" w:type="dxa"/>
            <w:gridSpan w:val="3"/>
            <w:tcBorders>
              <w:top w:val="single" w:color="auto" w:sz="4" w:space="0"/>
              <w:bottom w:val="single" w:color="auto" w:sz="4" w:space="0"/>
            </w:tcBorders>
            <w:vAlign w:val="center"/>
          </w:tcPr>
          <w:p w14:paraId="139560AF">
            <w:pPr>
              <w:spacing w:line="340" w:lineRule="exact"/>
              <w:jc w:val="center"/>
              <w:rPr>
                <w:rFonts w:ascii="宋体" w:hAnsi="宋体" w:eastAsia="宋体" w:cs="Times New Roman"/>
                <w:color w:val="auto"/>
              </w:rPr>
            </w:pPr>
            <w:r>
              <w:rPr>
                <w:rFonts w:ascii="宋体" w:hAnsi="宋体" w:eastAsia="宋体" w:cs="Times New Roman"/>
                <w:color w:val="auto"/>
                <w:kern w:val="21"/>
              </w:rPr>
              <w:t>水罐区</w:t>
            </w:r>
          </w:p>
        </w:tc>
        <w:tc>
          <w:tcPr>
            <w:tcW w:w="6115" w:type="dxa"/>
            <w:tcBorders>
              <w:top w:val="single" w:color="auto" w:sz="4" w:space="0"/>
              <w:bottom w:val="single" w:color="auto" w:sz="4" w:space="0"/>
            </w:tcBorders>
            <w:vAlign w:val="center"/>
          </w:tcPr>
          <w:p w14:paraId="64AACF25">
            <w:pPr>
              <w:spacing w:line="340" w:lineRule="exact"/>
              <w:rPr>
                <w:rFonts w:ascii="宋体" w:hAnsi="宋体" w:eastAsia="宋体" w:cs="Times New Roman"/>
                <w:color w:val="auto"/>
              </w:rPr>
            </w:pPr>
            <w:r>
              <w:rPr>
                <w:rFonts w:ascii="宋体" w:hAnsi="宋体" w:eastAsia="宋体" w:cs="Times New Roman"/>
                <w:color w:val="auto"/>
                <w:kern w:val="21"/>
              </w:rPr>
              <w:t>每座钻井井场设钢制水罐2个/井场，存储新鲜水，有效容积100m</w:t>
            </w:r>
            <w:r>
              <w:rPr>
                <w:rFonts w:ascii="宋体" w:hAnsi="宋体" w:eastAsia="宋体" w:cs="Times New Roman"/>
                <w:color w:val="auto"/>
                <w:kern w:val="21"/>
                <w:vertAlign w:val="superscript"/>
              </w:rPr>
              <w:t>3</w:t>
            </w:r>
            <w:r>
              <w:rPr>
                <w:rFonts w:ascii="宋体" w:hAnsi="宋体" w:eastAsia="宋体" w:cs="Times New Roman"/>
                <w:color w:val="auto"/>
                <w:kern w:val="21"/>
              </w:rPr>
              <w:t>，用于施工期的生产用水。</w:t>
            </w:r>
          </w:p>
        </w:tc>
        <w:tc>
          <w:tcPr>
            <w:tcW w:w="730" w:type="dxa"/>
            <w:tcBorders>
              <w:top w:val="single" w:color="auto" w:sz="4" w:space="0"/>
              <w:bottom w:val="single" w:color="auto" w:sz="4" w:space="0"/>
            </w:tcBorders>
            <w:vAlign w:val="center"/>
          </w:tcPr>
          <w:p w14:paraId="07D9B9C7">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2270E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 w:hRule="atLeast"/>
        </w:trPr>
        <w:tc>
          <w:tcPr>
            <w:tcW w:w="667" w:type="dxa"/>
            <w:vMerge w:val="continue"/>
            <w:vAlign w:val="center"/>
          </w:tcPr>
          <w:p w14:paraId="37C52A88">
            <w:pPr>
              <w:spacing w:line="340" w:lineRule="exact"/>
              <w:jc w:val="center"/>
              <w:rPr>
                <w:rFonts w:ascii="宋体" w:hAnsi="宋体" w:eastAsia="宋体" w:cs="Times New Roman"/>
                <w:color w:val="auto"/>
              </w:rPr>
            </w:pPr>
          </w:p>
        </w:tc>
        <w:tc>
          <w:tcPr>
            <w:tcW w:w="1548" w:type="dxa"/>
            <w:gridSpan w:val="3"/>
            <w:tcBorders>
              <w:top w:val="single" w:color="auto" w:sz="4" w:space="0"/>
              <w:bottom w:val="single" w:color="auto" w:sz="4" w:space="0"/>
            </w:tcBorders>
            <w:vAlign w:val="center"/>
          </w:tcPr>
          <w:p w14:paraId="21FD7FA5">
            <w:pPr>
              <w:spacing w:line="340" w:lineRule="exact"/>
              <w:jc w:val="center"/>
              <w:rPr>
                <w:rFonts w:ascii="宋体" w:hAnsi="宋体" w:eastAsia="宋体" w:cs="Times New Roman"/>
                <w:color w:val="auto"/>
              </w:rPr>
            </w:pPr>
            <w:r>
              <w:rPr>
                <w:rFonts w:ascii="宋体" w:hAnsi="宋体" w:eastAsia="宋体" w:cs="Times New Roman"/>
                <w:color w:val="auto"/>
                <w:kern w:val="21"/>
              </w:rPr>
              <w:t>钻井液材料房</w:t>
            </w:r>
          </w:p>
        </w:tc>
        <w:tc>
          <w:tcPr>
            <w:tcW w:w="6115" w:type="dxa"/>
            <w:tcBorders>
              <w:top w:val="single" w:color="auto" w:sz="4" w:space="0"/>
              <w:bottom w:val="single" w:color="auto" w:sz="4" w:space="0"/>
            </w:tcBorders>
            <w:vAlign w:val="center"/>
          </w:tcPr>
          <w:p w14:paraId="1516A76C">
            <w:pPr>
              <w:spacing w:line="340" w:lineRule="exact"/>
              <w:rPr>
                <w:rFonts w:ascii="宋体" w:hAnsi="宋体" w:eastAsia="宋体" w:cs="Times New Roman"/>
                <w:color w:val="auto"/>
              </w:rPr>
            </w:pPr>
            <w:r>
              <w:rPr>
                <w:rFonts w:ascii="宋体" w:hAnsi="宋体" w:eastAsia="宋体" w:cs="Times New Roman"/>
                <w:color w:val="auto"/>
                <w:kern w:val="21"/>
              </w:rPr>
              <w:t>每座钻井井场设置钻井液材料房1座，占地面积50m</w:t>
            </w:r>
            <w:r>
              <w:rPr>
                <w:rFonts w:ascii="宋体" w:hAnsi="宋体" w:eastAsia="宋体" w:cs="Times New Roman"/>
                <w:color w:val="auto"/>
                <w:kern w:val="21"/>
                <w:vertAlign w:val="superscript"/>
              </w:rPr>
              <w:t>2</w:t>
            </w:r>
            <w:r>
              <w:rPr>
                <w:rFonts w:ascii="宋体" w:hAnsi="宋体" w:eastAsia="宋体" w:cs="Times New Roman"/>
                <w:color w:val="auto"/>
                <w:kern w:val="21"/>
              </w:rPr>
              <w:t>，用于存放水基钻井液、油基钻井液等钻井液材料。</w:t>
            </w:r>
          </w:p>
        </w:tc>
        <w:tc>
          <w:tcPr>
            <w:tcW w:w="730" w:type="dxa"/>
            <w:tcBorders>
              <w:top w:val="single" w:color="auto" w:sz="4" w:space="0"/>
              <w:bottom w:val="single" w:color="auto" w:sz="4" w:space="0"/>
            </w:tcBorders>
            <w:vAlign w:val="center"/>
          </w:tcPr>
          <w:p w14:paraId="2121A2D8">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67A76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trPr>
        <w:tc>
          <w:tcPr>
            <w:tcW w:w="667" w:type="dxa"/>
            <w:vMerge w:val="continue"/>
            <w:vAlign w:val="center"/>
          </w:tcPr>
          <w:p w14:paraId="6126D3F0">
            <w:pPr>
              <w:spacing w:line="340" w:lineRule="exact"/>
              <w:jc w:val="center"/>
              <w:rPr>
                <w:rFonts w:ascii="宋体" w:hAnsi="宋体" w:eastAsia="宋体" w:cs="Times New Roman"/>
                <w:color w:val="auto"/>
              </w:rPr>
            </w:pPr>
          </w:p>
        </w:tc>
        <w:tc>
          <w:tcPr>
            <w:tcW w:w="1548" w:type="dxa"/>
            <w:gridSpan w:val="3"/>
            <w:tcBorders>
              <w:top w:val="single" w:color="auto" w:sz="4" w:space="0"/>
              <w:bottom w:val="single" w:color="auto" w:sz="4" w:space="0"/>
            </w:tcBorders>
            <w:vAlign w:val="center"/>
          </w:tcPr>
          <w:p w14:paraId="299D8956">
            <w:pPr>
              <w:spacing w:line="340" w:lineRule="exact"/>
              <w:jc w:val="center"/>
              <w:rPr>
                <w:rFonts w:ascii="宋体" w:hAnsi="宋体" w:eastAsia="宋体" w:cs="Times New Roman"/>
                <w:color w:val="auto"/>
              </w:rPr>
            </w:pPr>
            <w:r>
              <w:rPr>
                <w:rFonts w:ascii="宋体" w:hAnsi="宋体" w:eastAsia="宋体" w:cs="Times New Roman"/>
                <w:color w:val="auto"/>
                <w:kern w:val="21"/>
              </w:rPr>
              <w:t>柴油罐区</w:t>
            </w:r>
          </w:p>
        </w:tc>
        <w:tc>
          <w:tcPr>
            <w:tcW w:w="6115" w:type="dxa"/>
            <w:tcBorders>
              <w:top w:val="single" w:color="auto" w:sz="4" w:space="0"/>
              <w:bottom w:val="single" w:color="auto" w:sz="4" w:space="0"/>
            </w:tcBorders>
            <w:vAlign w:val="center"/>
          </w:tcPr>
          <w:p w14:paraId="1BAA7858">
            <w:pPr>
              <w:spacing w:line="340" w:lineRule="exact"/>
              <w:rPr>
                <w:rFonts w:ascii="宋体" w:hAnsi="宋体" w:eastAsia="宋体" w:cs="Times New Roman"/>
                <w:color w:val="auto"/>
                <w:kern w:val="21"/>
              </w:rPr>
            </w:pPr>
            <w:r>
              <w:rPr>
                <w:rFonts w:ascii="宋体" w:hAnsi="宋体" w:eastAsia="宋体" w:cs="Times New Roman"/>
                <w:color w:val="auto"/>
                <w:kern w:val="21"/>
              </w:rPr>
              <w:t>钻井井场设柴油罐区1处，罐区内设钢制柴油罐2座，采用双层卧式罐，单座有效容积30m</w:t>
            </w:r>
            <w:r>
              <w:rPr>
                <w:rFonts w:ascii="宋体" w:hAnsi="宋体" w:eastAsia="宋体" w:cs="Times New Roman"/>
                <w:color w:val="auto"/>
                <w:kern w:val="21"/>
                <w:vertAlign w:val="superscript"/>
              </w:rPr>
              <w:t>3</w:t>
            </w:r>
            <w:r>
              <w:rPr>
                <w:rFonts w:ascii="宋体" w:hAnsi="宋体" w:eastAsia="宋体" w:cs="Times New Roman"/>
                <w:color w:val="auto"/>
                <w:kern w:val="21"/>
              </w:rPr>
              <w:t>，柴油密度为 0.835t/m</w:t>
            </w:r>
            <w:r>
              <w:rPr>
                <w:rFonts w:ascii="宋体" w:hAnsi="宋体" w:eastAsia="宋体" w:cs="Times New Roman"/>
                <w:color w:val="auto"/>
                <w:kern w:val="21"/>
                <w:vertAlign w:val="superscript"/>
              </w:rPr>
              <w:t>3</w:t>
            </w:r>
            <w:r>
              <w:rPr>
                <w:rFonts w:ascii="宋体" w:hAnsi="宋体" w:eastAsia="宋体" w:cs="Times New Roman"/>
                <w:color w:val="auto"/>
                <w:kern w:val="21"/>
              </w:rPr>
              <w:t>，总储量约50.1t。柴油罐区做重点防渗处理，采用地面碾压平整并铺设2mm厚防渗布进行防渗，渗透系数为1.0×10</w:t>
            </w:r>
            <w:r>
              <w:rPr>
                <w:rFonts w:ascii="宋体" w:hAnsi="宋体" w:eastAsia="宋体" w:cs="Times New Roman"/>
                <w:color w:val="auto"/>
                <w:kern w:val="21"/>
                <w:vertAlign w:val="superscript"/>
              </w:rPr>
              <w:t>-10</w:t>
            </w:r>
            <w:r>
              <w:rPr>
                <w:rFonts w:ascii="宋体" w:hAnsi="宋体" w:eastAsia="宋体" w:cs="Times New Roman"/>
                <w:color w:val="auto"/>
                <w:kern w:val="21"/>
              </w:rPr>
              <w:t>cm/s，罐区配备泡沫灭火器。柴油罐区周围设置高度不低于0.5m、容积不低于30m</w:t>
            </w:r>
            <w:r>
              <w:rPr>
                <w:rFonts w:ascii="宋体" w:hAnsi="宋体" w:eastAsia="宋体" w:cs="Times New Roman"/>
                <w:color w:val="auto"/>
                <w:kern w:val="21"/>
                <w:vertAlign w:val="superscript"/>
              </w:rPr>
              <w:t>3</w:t>
            </w:r>
            <w:r>
              <w:rPr>
                <w:rFonts w:ascii="宋体" w:hAnsi="宋体" w:eastAsia="宋体" w:cs="Times New Roman"/>
                <w:color w:val="auto"/>
                <w:kern w:val="21"/>
              </w:rPr>
              <w:t>的便于拆装的防渗玻璃钢围堰，并距离发电房等易产生明火的位置20m以上。</w:t>
            </w:r>
          </w:p>
        </w:tc>
        <w:tc>
          <w:tcPr>
            <w:tcW w:w="730" w:type="dxa"/>
            <w:tcBorders>
              <w:top w:val="single" w:color="auto" w:sz="4" w:space="0"/>
              <w:bottom w:val="single" w:color="auto" w:sz="4" w:space="0"/>
            </w:tcBorders>
            <w:vAlign w:val="center"/>
          </w:tcPr>
          <w:p w14:paraId="75D7821C">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0D3C5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 w:hRule="atLeast"/>
        </w:trPr>
        <w:tc>
          <w:tcPr>
            <w:tcW w:w="667" w:type="dxa"/>
            <w:vMerge w:val="continue"/>
            <w:vAlign w:val="center"/>
          </w:tcPr>
          <w:p w14:paraId="1CB073BA">
            <w:pPr>
              <w:spacing w:line="340" w:lineRule="exact"/>
              <w:jc w:val="center"/>
              <w:rPr>
                <w:rFonts w:ascii="宋体" w:hAnsi="宋体" w:eastAsia="宋体" w:cs="Times New Roman"/>
                <w:color w:val="auto"/>
              </w:rPr>
            </w:pPr>
          </w:p>
        </w:tc>
        <w:tc>
          <w:tcPr>
            <w:tcW w:w="1548" w:type="dxa"/>
            <w:gridSpan w:val="3"/>
            <w:tcBorders>
              <w:top w:val="single" w:color="auto" w:sz="4" w:space="0"/>
              <w:bottom w:val="single" w:color="auto" w:sz="4" w:space="0"/>
            </w:tcBorders>
            <w:vAlign w:val="center"/>
          </w:tcPr>
          <w:p w14:paraId="385476BF">
            <w:pPr>
              <w:spacing w:line="340" w:lineRule="exact"/>
              <w:jc w:val="center"/>
              <w:rPr>
                <w:rFonts w:ascii="宋体" w:hAnsi="宋体" w:eastAsia="宋体" w:cs="Times New Roman"/>
                <w:color w:val="auto"/>
              </w:rPr>
            </w:pPr>
            <w:r>
              <w:rPr>
                <w:rFonts w:ascii="宋体" w:hAnsi="宋体" w:eastAsia="宋体" w:cs="Times New Roman"/>
                <w:color w:val="auto"/>
                <w:kern w:val="21"/>
              </w:rPr>
              <w:t>其他材料房</w:t>
            </w:r>
          </w:p>
        </w:tc>
        <w:tc>
          <w:tcPr>
            <w:tcW w:w="6115" w:type="dxa"/>
            <w:tcBorders>
              <w:top w:val="single" w:color="auto" w:sz="4" w:space="0"/>
              <w:bottom w:val="single" w:color="auto" w:sz="4" w:space="0"/>
            </w:tcBorders>
            <w:vAlign w:val="center"/>
          </w:tcPr>
          <w:p w14:paraId="1B5C3E81">
            <w:pPr>
              <w:spacing w:line="340" w:lineRule="exact"/>
              <w:rPr>
                <w:rFonts w:ascii="宋体" w:hAnsi="宋体" w:eastAsia="宋体" w:cs="Times New Roman"/>
                <w:color w:val="auto"/>
              </w:rPr>
            </w:pPr>
            <w:r>
              <w:rPr>
                <w:rFonts w:ascii="宋体" w:hAnsi="宋体" w:eastAsia="宋体" w:cs="Times New Roman"/>
                <w:color w:val="auto"/>
                <w:kern w:val="21"/>
              </w:rPr>
              <w:t>每座钻井井场设置其他材料房2座，单座占地面积50m</w:t>
            </w:r>
            <w:r>
              <w:rPr>
                <w:rFonts w:ascii="宋体" w:hAnsi="宋体" w:eastAsia="宋体" w:cs="Times New Roman"/>
                <w:color w:val="auto"/>
                <w:kern w:val="21"/>
                <w:vertAlign w:val="superscript"/>
              </w:rPr>
              <w:t>2</w:t>
            </w:r>
            <w:r>
              <w:rPr>
                <w:rFonts w:ascii="宋体" w:hAnsi="宋体" w:eastAsia="宋体" w:cs="Times New Roman"/>
                <w:color w:val="auto"/>
                <w:kern w:val="21"/>
              </w:rPr>
              <w:t>，用于存放其他钻井材料。</w:t>
            </w:r>
          </w:p>
        </w:tc>
        <w:tc>
          <w:tcPr>
            <w:tcW w:w="730" w:type="dxa"/>
            <w:tcBorders>
              <w:top w:val="single" w:color="auto" w:sz="4" w:space="0"/>
              <w:bottom w:val="single" w:color="auto" w:sz="4" w:space="0"/>
            </w:tcBorders>
            <w:vAlign w:val="center"/>
          </w:tcPr>
          <w:p w14:paraId="3CD6886C">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3C395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trPr>
        <w:tc>
          <w:tcPr>
            <w:tcW w:w="667" w:type="dxa"/>
            <w:vMerge w:val="continue"/>
            <w:vAlign w:val="center"/>
          </w:tcPr>
          <w:p w14:paraId="5F8EDCD2">
            <w:pPr>
              <w:spacing w:line="340" w:lineRule="exact"/>
              <w:jc w:val="center"/>
              <w:rPr>
                <w:rFonts w:ascii="宋体" w:hAnsi="宋体" w:eastAsia="宋体" w:cs="Times New Roman"/>
                <w:color w:val="auto"/>
              </w:rPr>
            </w:pPr>
          </w:p>
        </w:tc>
        <w:tc>
          <w:tcPr>
            <w:tcW w:w="1548" w:type="dxa"/>
            <w:gridSpan w:val="3"/>
            <w:tcBorders>
              <w:top w:val="single" w:color="auto" w:sz="4" w:space="0"/>
              <w:bottom w:val="single" w:color="auto" w:sz="4" w:space="0"/>
            </w:tcBorders>
            <w:vAlign w:val="center"/>
          </w:tcPr>
          <w:p w14:paraId="06BA3B49">
            <w:pPr>
              <w:spacing w:line="340" w:lineRule="exact"/>
              <w:jc w:val="center"/>
              <w:rPr>
                <w:rFonts w:ascii="宋体" w:hAnsi="宋体" w:eastAsia="宋体" w:cs="Times New Roman"/>
                <w:color w:val="auto"/>
              </w:rPr>
            </w:pPr>
            <w:r>
              <w:rPr>
                <w:rFonts w:ascii="宋体" w:hAnsi="宋体" w:eastAsia="宋体" w:cs="Times New Roman"/>
                <w:color w:val="auto"/>
              </w:rPr>
              <w:t>表土剥离临时堆放区</w:t>
            </w:r>
          </w:p>
        </w:tc>
        <w:tc>
          <w:tcPr>
            <w:tcW w:w="6115" w:type="dxa"/>
            <w:tcBorders>
              <w:top w:val="single" w:color="auto" w:sz="4" w:space="0"/>
              <w:bottom w:val="single" w:color="auto" w:sz="4" w:space="0"/>
            </w:tcBorders>
            <w:vAlign w:val="center"/>
          </w:tcPr>
          <w:p w14:paraId="31810E93">
            <w:pPr>
              <w:spacing w:line="340" w:lineRule="exact"/>
              <w:rPr>
                <w:rFonts w:ascii="宋体" w:hAnsi="宋体" w:eastAsia="宋体" w:cs="Times New Roman"/>
                <w:color w:val="auto"/>
              </w:rPr>
            </w:pPr>
            <w:r>
              <w:rPr>
                <w:rFonts w:ascii="宋体" w:hAnsi="宋体" w:eastAsia="宋体" w:cs="Times New Roman"/>
                <w:color w:val="auto"/>
                <w:kern w:val="21"/>
              </w:rPr>
              <w:t>钻井井场设置1处表土剥离临时存放区，用于暂存钻井井场剥离的表土层，采取分层堆放的方式，表土堆放设置挡板、上覆遮盖材料，占地面积约1500m</w:t>
            </w:r>
            <w:r>
              <w:rPr>
                <w:rFonts w:ascii="宋体" w:hAnsi="宋体" w:eastAsia="宋体" w:cs="Times New Roman"/>
                <w:color w:val="auto"/>
                <w:kern w:val="21"/>
                <w:vertAlign w:val="superscript"/>
              </w:rPr>
              <w:t>2</w:t>
            </w:r>
            <w:r>
              <w:rPr>
                <w:rFonts w:ascii="宋体" w:hAnsi="宋体" w:eastAsia="宋体" w:cs="Times New Roman"/>
                <w:color w:val="auto"/>
                <w:kern w:val="21"/>
              </w:rPr>
              <w:t>（25m×60m）。临时占地剥离的表土在施工结束后分层回填，并及时恢复地表植被。</w:t>
            </w:r>
          </w:p>
        </w:tc>
        <w:tc>
          <w:tcPr>
            <w:tcW w:w="730" w:type="dxa"/>
            <w:tcBorders>
              <w:top w:val="single" w:color="auto" w:sz="4" w:space="0"/>
              <w:bottom w:val="single" w:color="auto" w:sz="4" w:space="0"/>
            </w:tcBorders>
            <w:vAlign w:val="center"/>
          </w:tcPr>
          <w:p w14:paraId="3F18F9F0">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48469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667" w:type="dxa"/>
            <w:vMerge w:val="continue"/>
            <w:vAlign w:val="center"/>
          </w:tcPr>
          <w:p w14:paraId="7E20569D">
            <w:pPr>
              <w:spacing w:line="340" w:lineRule="exact"/>
              <w:jc w:val="center"/>
              <w:rPr>
                <w:rFonts w:ascii="宋体" w:hAnsi="宋体" w:eastAsia="宋体" w:cs="Times New Roman"/>
                <w:color w:val="auto"/>
              </w:rPr>
            </w:pPr>
          </w:p>
        </w:tc>
        <w:tc>
          <w:tcPr>
            <w:tcW w:w="1548" w:type="dxa"/>
            <w:gridSpan w:val="3"/>
            <w:tcBorders>
              <w:top w:val="single" w:color="auto" w:sz="4" w:space="0"/>
            </w:tcBorders>
            <w:vAlign w:val="center"/>
          </w:tcPr>
          <w:p w14:paraId="39A7C71D">
            <w:pPr>
              <w:spacing w:line="340" w:lineRule="exact"/>
              <w:jc w:val="center"/>
              <w:rPr>
                <w:rFonts w:ascii="宋体" w:hAnsi="宋体" w:eastAsia="宋体" w:cs="Times New Roman"/>
                <w:color w:val="auto"/>
              </w:rPr>
            </w:pPr>
            <w:r>
              <w:rPr>
                <w:rFonts w:ascii="宋体" w:hAnsi="宋体" w:eastAsia="宋体" w:cs="Times New Roman"/>
                <w:color w:val="auto"/>
              </w:rPr>
              <w:t>拉油点储罐</w:t>
            </w:r>
          </w:p>
        </w:tc>
        <w:tc>
          <w:tcPr>
            <w:tcW w:w="6115" w:type="dxa"/>
            <w:tcBorders>
              <w:top w:val="single" w:color="auto" w:sz="4" w:space="0"/>
            </w:tcBorders>
            <w:vAlign w:val="center"/>
          </w:tcPr>
          <w:p w14:paraId="748E6399">
            <w:pPr>
              <w:spacing w:line="340" w:lineRule="exact"/>
              <w:rPr>
                <w:rFonts w:ascii="宋体" w:hAnsi="宋体" w:eastAsia="宋体" w:cs="Times New Roman"/>
                <w:color w:val="auto"/>
              </w:rPr>
            </w:pPr>
            <w:r>
              <w:rPr>
                <w:rFonts w:ascii="宋体" w:hAnsi="宋体" w:eastAsia="宋体" w:cs="Times New Roman"/>
                <w:color w:val="auto"/>
              </w:rPr>
              <w:t>新建</w:t>
            </w:r>
            <w:r>
              <w:rPr>
                <w:rFonts w:hint="eastAsia" w:ascii="宋体" w:hAnsi="宋体" w:eastAsia="宋体" w:cs="Times New Roman"/>
                <w:color w:val="auto"/>
              </w:rPr>
              <w:t>3</w:t>
            </w:r>
            <w:r>
              <w:rPr>
                <w:rFonts w:ascii="宋体" w:hAnsi="宋体" w:eastAsia="宋体" w:cs="Times New Roman"/>
                <w:color w:val="auto"/>
              </w:rPr>
              <w:t>座拉油点用于</w:t>
            </w:r>
            <w:r>
              <w:rPr>
                <w:rFonts w:hint="eastAsia" w:ascii="宋体" w:hAnsi="宋体" w:eastAsia="宋体" w:cs="Times New Roman"/>
                <w:color w:val="auto"/>
              </w:rPr>
              <w:t>4</w:t>
            </w:r>
            <w:r>
              <w:rPr>
                <w:rFonts w:ascii="宋体" w:hAnsi="宋体" w:eastAsia="宋体" w:cs="Times New Roman"/>
                <w:color w:val="auto"/>
              </w:rPr>
              <w:t>口井产液集输，本次2座独立井各设置1座40m</w:t>
            </w:r>
            <w:r>
              <w:rPr>
                <w:rFonts w:ascii="宋体" w:hAnsi="宋体" w:eastAsia="宋体" w:cs="Times New Roman"/>
                <w:color w:val="auto"/>
                <w:vertAlign w:val="superscript"/>
              </w:rPr>
              <w:t>3</w:t>
            </w:r>
            <w:r>
              <w:rPr>
                <w:rFonts w:ascii="宋体" w:hAnsi="宋体" w:eastAsia="宋体" w:cs="Times New Roman"/>
                <w:color w:val="auto"/>
              </w:rPr>
              <w:t>储油罐，1座平台井设置1 座80m</w:t>
            </w:r>
            <w:r>
              <w:rPr>
                <w:rFonts w:ascii="宋体" w:hAnsi="宋体" w:eastAsia="宋体" w:cs="Times New Roman"/>
                <w:color w:val="auto"/>
                <w:vertAlign w:val="superscript"/>
              </w:rPr>
              <w:t>3</w:t>
            </w:r>
            <w:r>
              <w:rPr>
                <w:rFonts w:ascii="宋体" w:hAnsi="宋体" w:eastAsia="宋体" w:cs="Times New Roman"/>
                <w:color w:val="auto"/>
              </w:rPr>
              <w:t>储油罐、1座40m</w:t>
            </w:r>
            <w:r>
              <w:rPr>
                <w:rFonts w:ascii="宋体" w:hAnsi="宋体" w:eastAsia="宋体" w:cs="Times New Roman"/>
                <w:color w:val="auto"/>
                <w:vertAlign w:val="superscript"/>
              </w:rPr>
              <w:t>3</w:t>
            </w:r>
            <w:r>
              <w:rPr>
                <w:rFonts w:ascii="宋体" w:hAnsi="宋体" w:eastAsia="宋体" w:cs="Times New Roman"/>
                <w:color w:val="auto"/>
              </w:rPr>
              <w:t>储油罐。</w:t>
            </w:r>
          </w:p>
        </w:tc>
        <w:tc>
          <w:tcPr>
            <w:tcW w:w="730" w:type="dxa"/>
            <w:tcBorders>
              <w:top w:val="single" w:color="auto" w:sz="4" w:space="0"/>
            </w:tcBorders>
            <w:vAlign w:val="center"/>
          </w:tcPr>
          <w:p w14:paraId="158FCA0A">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65255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restart"/>
            <w:vAlign w:val="center"/>
          </w:tcPr>
          <w:p w14:paraId="5682A877">
            <w:pPr>
              <w:spacing w:line="340" w:lineRule="exact"/>
              <w:jc w:val="center"/>
              <w:rPr>
                <w:rFonts w:ascii="宋体" w:hAnsi="宋体" w:eastAsia="宋体" w:cs="Times New Roman"/>
                <w:color w:val="auto"/>
              </w:rPr>
            </w:pPr>
            <w:r>
              <w:rPr>
                <w:rFonts w:ascii="宋体" w:hAnsi="宋体" w:eastAsia="宋体" w:cs="Times New Roman"/>
                <w:color w:val="auto"/>
              </w:rPr>
              <w:t>环保工程</w:t>
            </w:r>
          </w:p>
        </w:tc>
        <w:tc>
          <w:tcPr>
            <w:tcW w:w="689" w:type="dxa"/>
            <w:vMerge w:val="restart"/>
            <w:vAlign w:val="center"/>
          </w:tcPr>
          <w:p w14:paraId="6D85B6EB">
            <w:pPr>
              <w:spacing w:line="340" w:lineRule="exact"/>
              <w:jc w:val="center"/>
              <w:rPr>
                <w:rFonts w:ascii="宋体" w:hAnsi="宋体" w:eastAsia="宋体" w:cs="Times New Roman"/>
                <w:color w:val="auto"/>
              </w:rPr>
            </w:pPr>
            <w:r>
              <w:rPr>
                <w:rFonts w:ascii="宋体" w:hAnsi="宋体" w:eastAsia="宋体" w:cs="Times New Roman"/>
                <w:color w:val="auto"/>
              </w:rPr>
              <w:t>施工期</w:t>
            </w:r>
          </w:p>
        </w:tc>
        <w:tc>
          <w:tcPr>
            <w:tcW w:w="859" w:type="dxa"/>
            <w:gridSpan w:val="2"/>
            <w:vMerge w:val="restart"/>
            <w:vAlign w:val="center"/>
          </w:tcPr>
          <w:p w14:paraId="3DC73F78">
            <w:pPr>
              <w:spacing w:line="340" w:lineRule="exact"/>
              <w:jc w:val="center"/>
              <w:rPr>
                <w:rFonts w:ascii="宋体" w:hAnsi="宋体" w:eastAsia="宋体" w:cs="Times New Roman"/>
                <w:color w:val="auto"/>
              </w:rPr>
            </w:pPr>
            <w:r>
              <w:rPr>
                <w:rFonts w:ascii="宋体" w:hAnsi="宋体" w:eastAsia="宋体" w:cs="Times New Roman"/>
                <w:color w:val="auto"/>
              </w:rPr>
              <w:t>废气</w:t>
            </w:r>
            <w:r>
              <w:rPr>
                <w:rFonts w:ascii="宋体" w:hAnsi="宋体" w:eastAsia="宋体" w:cs="Times New Roman"/>
                <w:color w:val="auto"/>
                <w:lang w:bidi="ar"/>
              </w:rPr>
              <w:t>治理措施</w:t>
            </w:r>
          </w:p>
        </w:tc>
        <w:tc>
          <w:tcPr>
            <w:tcW w:w="6115" w:type="dxa"/>
            <w:vAlign w:val="center"/>
          </w:tcPr>
          <w:p w14:paraId="1FDAC03A">
            <w:pPr>
              <w:spacing w:line="340" w:lineRule="exact"/>
              <w:rPr>
                <w:rFonts w:ascii="宋体" w:hAnsi="宋体" w:eastAsia="宋体" w:cs="Times New Roman"/>
                <w:color w:val="auto"/>
              </w:rPr>
            </w:pPr>
            <w:r>
              <w:rPr>
                <w:rFonts w:ascii="宋体" w:hAnsi="宋体" w:eastAsia="宋体" w:cs="Times New Roman"/>
                <w:color w:val="auto"/>
              </w:rPr>
              <w:t>施工期柴油发电机使用低标号柴油，调节好柴油机运行工况。</w:t>
            </w:r>
          </w:p>
        </w:tc>
        <w:tc>
          <w:tcPr>
            <w:tcW w:w="730" w:type="dxa"/>
            <w:vAlign w:val="center"/>
          </w:tcPr>
          <w:p w14:paraId="260D3E8C">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79485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640722DB">
            <w:pPr>
              <w:spacing w:line="340" w:lineRule="exact"/>
              <w:jc w:val="center"/>
              <w:rPr>
                <w:rFonts w:ascii="宋体" w:hAnsi="宋体" w:eastAsia="宋体" w:cs="Times New Roman"/>
                <w:color w:val="auto"/>
              </w:rPr>
            </w:pPr>
          </w:p>
        </w:tc>
        <w:tc>
          <w:tcPr>
            <w:tcW w:w="689" w:type="dxa"/>
            <w:vMerge w:val="continue"/>
            <w:vAlign w:val="center"/>
          </w:tcPr>
          <w:p w14:paraId="00D108B3">
            <w:pPr>
              <w:spacing w:line="340" w:lineRule="exact"/>
              <w:jc w:val="center"/>
              <w:rPr>
                <w:rFonts w:ascii="宋体" w:hAnsi="宋体" w:eastAsia="宋体" w:cs="Times New Roman"/>
                <w:color w:val="auto"/>
              </w:rPr>
            </w:pPr>
          </w:p>
        </w:tc>
        <w:tc>
          <w:tcPr>
            <w:tcW w:w="859" w:type="dxa"/>
            <w:gridSpan w:val="2"/>
            <w:vMerge w:val="continue"/>
            <w:vAlign w:val="center"/>
          </w:tcPr>
          <w:p w14:paraId="6E476609">
            <w:pPr>
              <w:spacing w:line="340" w:lineRule="exact"/>
              <w:jc w:val="center"/>
              <w:rPr>
                <w:rFonts w:ascii="宋体" w:hAnsi="宋体" w:eastAsia="宋体" w:cs="Times New Roman"/>
                <w:color w:val="auto"/>
              </w:rPr>
            </w:pPr>
          </w:p>
        </w:tc>
        <w:tc>
          <w:tcPr>
            <w:tcW w:w="6115" w:type="dxa"/>
            <w:vAlign w:val="center"/>
          </w:tcPr>
          <w:p w14:paraId="44224B26">
            <w:pPr>
              <w:spacing w:line="340" w:lineRule="exact"/>
              <w:rPr>
                <w:rFonts w:ascii="宋体" w:hAnsi="宋体" w:eastAsia="宋体" w:cs="Times New Roman"/>
                <w:color w:val="auto"/>
              </w:rPr>
            </w:pPr>
            <w:r>
              <w:rPr>
                <w:rFonts w:ascii="宋体" w:hAnsi="宋体" w:eastAsia="宋体" w:cs="Times New Roman"/>
                <w:color w:val="auto"/>
              </w:rPr>
              <w:t>对施工场地采取洒水抑尘，对易起尘的临时土方等加盖苫布，</w:t>
            </w:r>
            <w:r>
              <w:rPr>
                <w:rFonts w:ascii="宋体" w:hAnsi="宋体" w:eastAsia="宋体" w:cs="Times New Roman"/>
                <w:color w:val="auto"/>
                <w:kern w:val="21"/>
              </w:rPr>
              <w:t>施工运输车辆采取密闭措施或加盖苫布，</w:t>
            </w:r>
            <w:r>
              <w:rPr>
                <w:rFonts w:ascii="宋体" w:hAnsi="宋体" w:eastAsia="宋体" w:cs="Times New Roman"/>
                <w:color w:val="auto"/>
              </w:rPr>
              <w:t>加强施工管理。</w:t>
            </w:r>
          </w:p>
        </w:tc>
        <w:tc>
          <w:tcPr>
            <w:tcW w:w="730" w:type="dxa"/>
            <w:vAlign w:val="center"/>
          </w:tcPr>
          <w:p w14:paraId="72A9DB20">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7FCCB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665E7985">
            <w:pPr>
              <w:spacing w:line="340" w:lineRule="exact"/>
              <w:jc w:val="center"/>
              <w:rPr>
                <w:rFonts w:ascii="宋体" w:hAnsi="宋体" w:eastAsia="宋体" w:cs="Times New Roman"/>
                <w:color w:val="auto"/>
              </w:rPr>
            </w:pPr>
          </w:p>
        </w:tc>
        <w:tc>
          <w:tcPr>
            <w:tcW w:w="689" w:type="dxa"/>
            <w:vMerge w:val="continue"/>
            <w:vAlign w:val="center"/>
          </w:tcPr>
          <w:p w14:paraId="5168C53F">
            <w:pPr>
              <w:spacing w:line="340" w:lineRule="exact"/>
              <w:jc w:val="center"/>
              <w:rPr>
                <w:rFonts w:ascii="宋体" w:hAnsi="宋体" w:eastAsia="宋体" w:cs="Times New Roman"/>
                <w:color w:val="auto"/>
              </w:rPr>
            </w:pPr>
          </w:p>
        </w:tc>
        <w:tc>
          <w:tcPr>
            <w:tcW w:w="859" w:type="dxa"/>
            <w:gridSpan w:val="2"/>
            <w:vMerge w:val="restart"/>
            <w:vAlign w:val="center"/>
          </w:tcPr>
          <w:p w14:paraId="3B63EB3D">
            <w:pPr>
              <w:spacing w:line="340" w:lineRule="exact"/>
              <w:jc w:val="center"/>
              <w:rPr>
                <w:rFonts w:ascii="宋体" w:hAnsi="宋体" w:eastAsia="宋体" w:cs="Times New Roman"/>
                <w:color w:val="auto"/>
              </w:rPr>
            </w:pPr>
            <w:r>
              <w:rPr>
                <w:rFonts w:ascii="宋体" w:hAnsi="宋体" w:eastAsia="宋体" w:cs="Times New Roman"/>
                <w:color w:val="auto"/>
              </w:rPr>
              <w:t>废水</w:t>
            </w:r>
            <w:r>
              <w:rPr>
                <w:rFonts w:ascii="宋体" w:hAnsi="宋体" w:eastAsia="宋体" w:cs="Times New Roman"/>
                <w:color w:val="auto"/>
                <w:lang w:bidi="ar"/>
              </w:rPr>
              <w:t>治理措施</w:t>
            </w:r>
          </w:p>
        </w:tc>
        <w:tc>
          <w:tcPr>
            <w:tcW w:w="6115" w:type="dxa"/>
            <w:vAlign w:val="center"/>
          </w:tcPr>
          <w:p w14:paraId="0344457A">
            <w:pPr>
              <w:spacing w:line="340" w:lineRule="exact"/>
              <w:rPr>
                <w:rFonts w:ascii="宋体" w:hAnsi="宋体" w:eastAsia="宋体" w:cs="Times New Roman"/>
                <w:color w:val="auto"/>
              </w:rPr>
            </w:pPr>
            <w:r>
              <w:rPr>
                <w:rFonts w:ascii="宋体" w:hAnsi="宋体" w:eastAsia="宋体" w:cs="Times New Roman"/>
                <w:color w:val="auto"/>
              </w:rPr>
              <w:t>水基钻井废水排入井场设置的水基钢制泥浆槽中，定期由罐车拉运至大庆油田昆仑集团有限公司环保分公司处理，处理后的压滤水定期由罐车拉运至朝一联含油污水处理站处理达标后回注油层。油基钻井废水排入井场设置的油基钢制泥浆槽中，委托黑龙江迈景环保科技有限公司处理，处理后的污水进入污水罐储存，定期拉运至朝二联含油污水处理站处理满足《大庆油田地面工程建设设计规定》（Q/SYDQ0639-2015）及《碎屑岩油藏注水水质指标技术要求及分析方法》（SY/T5329-2022）限值要求后回注油层。</w:t>
            </w:r>
          </w:p>
        </w:tc>
        <w:tc>
          <w:tcPr>
            <w:tcW w:w="730" w:type="dxa"/>
            <w:vAlign w:val="center"/>
          </w:tcPr>
          <w:p w14:paraId="6D2A0347">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76D27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6A90C3EF">
            <w:pPr>
              <w:spacing w:line="340" w:lineRule="exact"/>
              <w:jc w:val="center"/>
              <w:rPr>
                <w:rFonts w:ascii="宋体" w:hAnsi="宋体" w:eastAsia="宋体" w:cs="Times New Roman"/>
                <w:color w:val="auto"/>
              </w:rPr>
            </w:pPr>
          </w:p>
        </w:tc>
        <w:tc>
          <w:tcPr>
            <w:tcW w:w="689" w:type="dxa"/>
            <w:vMerge w:val="continue"/>
            <w:vAlign w:val="center"/>
          </w:tcPr>
          <w:p w14:paraId="4EB98A34">
            <w:pPr>
              <w:spacing w:line="340" w:lineRule="exact"/>
              <w:jc w:val="center"/>
              <w:rPr>
                <w:rFonts w:ascii="宋体" w:hAnsi="宋体" w:eastAsia="宋体" w:cs="Times New Roman"/>
                <w:color w:val="auto"/>
              </w:rPr>
            </w:pPr>
          </w:p>
        </w:tc>
        <w:tc>
          <w:tcPr>
            <w:tcW w:w="859" w:type="dxa"/>
            <w:gridSpan w:val="2"/>
            <w:vMerge w:val="continue"/>
            <w:vAlign w:val="center"/>
          </w:tcPr>
          <w:p w14:paraId="3EF7D9B0">
            <w:pPr>
              <w:spacing w:line="340" w:lineRule="exact"/>
              <w:jc w:val="center"/>
              <w:rPr>
                <w:rFonts w:ascii="宋体" w:hAnsi="宋体" w:eastAsia="宋体" w:cs="Times New Roman"/>
                <w:color w:val="auto"/>
              </w:rPr>
            </w:pPr>
          </w:p>
        </w:tc>
        <w:tc>
          <w:tcPr>
            <w:tcW w:w="6115" w:type="dxa"/>
            <w:vAlign w:val="center"/>
          </w:tcPr>
          <w:p w14:paraId="456704E3">
            <w:pPr>
              <w:spacing w:line="340" w:lineRule="exact"/>
              <w:rPr>
                <w:rFonts w:ascii="宋体" w:hAnsi="宋体" w:eastAsia="宋体" w:cs="Times New Roman"/>
                <w:color w:val="auto"/>
              </w:rPr>
            </w:pPr>
            <w:r>
              <w:rPr>
                <w:rFonts w:ascii="宋体" w:hAnsi="宋体" w:eastAsia="宋体" w:cs="Times New Roman"/>
                <w:color w:val="auto"/>
              </w:rPr>
              <w:t>压裂返排液由罐车拉运至朝一联压裂返排液无害化处理站处理后，管输进入朝一联含油污水处理站处理，处理后的出水满足《大庆油田地面工程建设设计规定》（Q/SYDQ0639-2015）及《碎屑岩油藏注水水质指标技术要求及分析方法》（SY/T5329-2022）限值要求后回注油层，不外排。</w:t>
            </w:r>
          </w:p>
        </w:tc>
        <w:tc>
          <w:tcPr>
            <w:tcW w:w="730" w:type="dxa"/>
            <w:vAlign w:val="center"/>
          </w:tcPr>
          <w:p w14:paraId="1C334B0A">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349B7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0367A2BA">
            <w:pPr>
              <w:spacing w:line="340" w:lineRule="exact"/>
              <w:jc w:val="center"/>
              <w:rPr>
                <w:rFonts w:ascii="宋体" w:hAnsi="宋体" w:eastAsia="宋体" w:cs="Times New Roman"/>
                <w:color w:val="auto"/>
              </w:rPr>
            </w:pPr>
          </w:p>
        </w:tc>
        <w:tc>
          <w:tcPr>
            <w:tcW w:w="689" w:type="dxa"/>
            <w:vMerge w:val="continue"/>
            <w:vAlign w:val="center"/>
          </w:tcPr>
          <w:p w14:paraId="39DA6375">
            <w:pPr>
              <w:spacing w:line="340" w:lineRule="exact"/>
              <w:jc w:val="center"/>
              <w:rPr>
                <w:rFonts w:ascii="宋体" w:hAnsi="宋体" w:eastAsia="宋体" w:cs="Times New Roman"/>
                <w:color w:val="auto"/>
              </w:rPr>
            </w:pPr>
          </w:p>
        </w:tc>
        <w:tc>
          <w:tcPr>
            <w:tcW w:w="859" w:type="dxa"/>
            <w:gridSpan w:val="2"/>
            <w:vMerge w:val="continue"/>
            <w:vAlign w:val="center"/>
          </w:tcPr>
          <w:p w14:paraId="0A264797">
            <w:pPr>
              <w:spacing w:line="340" w:lineRule="exact"/>
              <w:jc w:val="center"/>
              <w:rPr>
                <w:rFonts w:ascii="宋体" w:hAnsi="宋体" w:eastAsia="宋体" w:cs="Times New Roman"/>
                <w:color w:val="auto"/>
              </w:rPr>
            </w:pPr>
          </w:p>
        </w:tc>
        <w:tc>
          <w:tcPr>
            <w:tcW w:w="6115" w:type="dxa"/>
            <w:vAlign w:val="center"/>
          </w:tcPr>
          <w:p w14:paraId="7995154A">
            <w:pPr>
              <w:spacing w:line="340" w:lineRule="exact"/>
              <w:rPr>
                <w:rFonts w:ascii="宋体" w:hAnsi="宋体" w:eastAsia="宋体" w:cs="Times New Roman"/>
                <w:color w:val="auto"/>
              </w:rPr>
            </w:pPr>
            <w:r>
              <w:rPr>
                <w:rFonts w:ascii="宋体" w:hAnsi="宋体" w:eastAsia="宋体" w:cs="Times New Roman"/>
                <w:color w:val="auto"/>
              </w:rPr>
              <w:t>管线试压废水由罐车拉运至朝二联含油污水处理站处理满足《大庆油田地面工程建设设计规定》（Q/SYDQ0639-2015）及《碎屑岩油藏注水水质指标技术要求及分析方法》（SY/T5329-2022）限值要求后回注油层，不外排。</w:t>
            </w:r>
          </w:p>
        </w:tc>
        <w:tc>
          <w:tcPr>
            <w:tcW w:w="730" w:type="dxa"/>
            <w:vAlign w:val="center"/>
          </w:tcPr>
          <w:p w14:paraId="675EA2E1">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262FE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4BAE4517">
            <w:pPr>
              <w:spacing w:line="340" w:lineRule="exact"/>
              <w:jc w:val="center"/>
              <w:rPr>
                <w:rFonts w:ascii="宋体" w:hAnsi="宋体" w:eastAsia="宋体" w:cs="Times New Roman"/>
                <w:color w:val="auto"/>
              </w:rPr>
            </w:pPr>
          </w:p>
        </w:tc>
        <w:tc>
          <w:tcPr>
            <w:tcW w:w="689" w:type="dxa"/>
            <w:vMerge w:val="continue"/>
            <w:vAlign w:val="center"/>
          </w:tcPr>
          <w:p w14:paraId="779D5AA5">
            <w:pPr>
              <w:spacing w:line="340" w:lineRule="exact"/>
              <w:jc w:val="center"/>
              <w:rPr>
                <w:rFonts w:ascii="宋体" w:hAnsi="宋体" w:eastAsia="宋体" w:cs="Times New Roman"/>
                <w:color w:val="auto"/>
              </w:rPr>
            </w:pPr>
          </w:p>
        </w:tc>
        <w:tc>
          <w:tcPr>
            <w:tcW w:w="859" w:type="dxa"/>
            <w:gridSpan w:val="2"/>
            <w:vMerge w:val="continue"/>
            <w:vAlign w:val="center"/>
          </w:tcPr>
          <w:p w14:paraId="6AAB5D3B">
            <w:pPr>
              <w:spacing w:line="340" w:lineRule="exact"/>
              <w:jc w:val="center"/>
              <w:rPr>
                <w:rFonts w:ascii="宋体" w:hAnsi="宋体" w:eastAsia="宋体" w:cs="Times New Roman"/>
                <w:color w:val="auto"/>
              </w:rPr>
            </w:pPr>
          </w:p>
        </w:tc>
        <w:tc>
          <w:tcPr>
            <w:tcW w:w="6115" w:type="dxa"/>
            <w:vAlign w:val="center"/>
          </w:tcPr>
          <w:p w14:paraId="4B2492D9">
            <w:pPr>
              <w:spacing w:line="340" w:lineRule="exact"/>
              <w:rPr>
                <w:rFonts w:ascii="宋体" w:hAnsi="宋体" w:eastAsia="宋体" w:cs="Times New Roman"/>
                <w:color w:val="auto"/>
              </w:rPr>
            </w:pPr>
            <w:r>
              <w:rPr>
                <w:rFonts w:ascii="宋体" w:hAnsi="宋体" w:eastAsia="宋体" w:cs="Times New Roman"/>
                <w:color w:val="auto"/>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w:t>
            </w:r>
          </w:p>
        </w:tc>
        <w:tc>
          <w:tcPr>
            <w:tcW w:w="730" w:type="dxa"/>
            <w:vAlign w:val="center"/>
          </w:tcPr>
          <w:p w14:paraId="552276AF">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2A832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16E3117A">
            <w:pPr>
              <w:spacing w:line="340" w:lineRule="exact"/>
              <w:jc w:val="center"/>
              <w:rPr>
                <w:rFonts w:ascii="宋体" w:hAnsi="宋体" w:eastAsia="宋体" w:cs="Times New Roman"/>
                <w:color w:val="auto"/>
              </w:rPr>
            </w:pPr>
          </w:p>
        </w:tc>
        <w:tc>
          <w:tcPr>
            <w:tcW w:w="689" w:type="dxa"/>
            <w:vMerge w:val="continue"/>
            <w:vAlign w:val="center"/>
          </w:tcPr>
          <w:p w14:paraId="20223CE1">
            <w:pPr>
              <w:spacing w:line="340" w:lineRule="exact"/>
              <w:jc w:val="center"/>
              <w:rPr>
                <w:rFonts w:ascii="宋体" w:hAnsi="宋体" w:eastAsia="宋体" w:cs="Times New Roman"/>
                <w:color w:val="auto"/>
              </w:rPr>
            </w:pPr>
          </w:p>
        </w:tc>
        <w:tc>
          <w:tcPr>
            <w:tcW w:w="859" w:type="dxa"/>
            <w:gridSpan w:val="2"/>
            <w:vAlign w:val="center"/>
          </w:tcPr>
          <w:p w14:paraId="5C86491F">
            <w:pPr>
              <w:spacing w:line="340" w:lineRule="exact"/>
              <w:jc w:val="center"/>
              <w:rPr>
                <w:rFonts w:ascii="宋体" w:hAnsi="宋体" w:eastAsia="宋体" w:cs="Times New Roman"/>
                <w:color w:val="auto"/>
              </w:rPr>
            </w:pPr>
            <w:r>
              <w:rPr>
                <w:rFonts w:ascii="宋体" w:hAnsi="宋体" w:eastAsia="宋体" w:cs="Times New Roman"/>
                <w:color w:val="auto"/>
              </w:rPr>
              <w:t>噪声</w:t>
            </w:r>
            <w:r>
              <w:rPr>
                <w:rFonts w:ascii="宋体" w:hAnsi="宋体" w:eastAsia="宋体" w:cs="Times New Roman"/>
                <w:color w:val="auto"/>
                <w:lang w:bidi="ar"/>
              </w:rPr>
              <w:t>治理措施</w:t>
            </w:r>
          </w:p>
        </w:tc>
        <w:tc>
          <w:tcPr>
            <w:tcW w:w="6115" w:type="dxa"/>
            <w:vAlign w:val="center"/>
          </w:tcPr>
          <w:p w14:paraId="26B00BBF">
            <w:pPr>
              <w:spacing w:line="340" w:lineRule="exact"/>
              <w:rPr>
                <w:rFonts w:ascii="宋体" w:hAnsi="宋体" w:eastAsia="宋体" w:cs="Times New Roman"/>
                <w:color w:val="auto"/>
              </w:rPr>
            </w:pPr>
            <w:r>
              <w:rPr>
                <w:rFonts w:ascii="宋体" w:hAnsi="宋体" w:eastAsia="宋体" w:cs="Times New Roman"/>
                <w:color w:val="auto"/>
              </w:rPr>
              <w:t>合理安排施工进度，减少施工时间，避免大量高噪声设备同时施工；除钻进外，其它施工严格禁止夜间进行。合理布置施工现场；降低设备噪声运输车辆选择避开居民区的路线，尽量不鸣笛。</w:t>
            </w:r>
          </w:p>
        </w:tc>
        <w:tc>
          <w:tcPr>
            <w:tcW w:w="730" w:type="dxa"/>
            <w:vAlign w:val="center"/>
          </w:tcPr>
          <w:p w14:paraId="4ABF5DED">
            <w:pPr>
              <w:spacing w:line="340" w:lineRule="exact"/>
              <w:jc w:val="center"/>
              <w:rPr>
                <w:rFonts w:ascii="宋体" w:hAnsi="宋体" w:eastAsia="宋体" w:cs="Times New Roman"/>
                <w:color w:val="auto"/>
              </w:rPr>
            </w:pPr>
            <w:r>
              <w:rPr>
                <w:rFonts w:ascii="宋体" w:hAnsi="宋体" w:eastAsia="宋体" w:cs="Times New Roman"/>
                <w:color w:val="auto"/>
              </w:rPr>
              <w:t>/</w:t>
            </w:r>
          </w:p>
        </w:tc>
      </w:tr>
      <w:tr w14:paraId="0E40D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04A794CB">
            <w:pPr>
              <w:spacing w:line="340" w:lineRule="exact"/>
              <w:jc w:val="center"/>
              <w:rPr>
                <w:rFonts w:ascii="宋体" w:hAnsi="宋体" w:eastAsia="宋体" w:cs="Times New Roman"/>
                <w:color w:val="auto"/>
              </w:rPr>
            </w:pPr>
          </w:p>
        </w:tc>
        <w:tc>
          <w:tcPr>
            <w:tcW w:w="689" w:type="dxa"/>
            <w:vMerge w:val="continue"/>
            <w:vAlign w:val="center"/>
          </w:tcPr>
          <w:p w14:paraId="2C03ED90">
            <w:pPr>
              <w:spacing w:line="340" w:lineRule="exact"/>
              <w:jc w:val="center"/>
              <w:rPr>
                <w:rFonts w:ascii="宋体" w:hAnsi="宋体" w:eastAsia="宋体" w:cs="Times New Roman"/>
                <w:color w:val="auto"/>
              </w:rPr>
            </w:pPr>
          </w:p>
        </w:tc>
        <w:tc>
          <w:tcPr>
            <w:tcW w:w="859" w:type="dxa"/>
            <w:gridSpan w:val="2"/>
            <w:vMerge w:val="restart"/>
            <w:vAlign w:val="center"/>
          </w:tcPr>
          <w:p w14:paraId="2DBD8189">
            <w:pPr>
              <w:spacing w:line="340" w:lineRule="exact"/>
              <w:jc w:val="center"/>
              <w:rPr>
                <w:rFonts w:ascii="宋体" w:hAnsi="宋体" w:eastAsia="宋体" w:cs="Times New Roman"/>
                <w:color w:val="auto"/>
              </w:rPr>
            </w:pPr>
            <w:r>
              <w:rPr>
                <w:rFonts w:ascii="宋体" w:hAnsi="宋体" w:eastAsia="宋体" w:cs="Times New Roman"/>
                <w:color w:val="auto"/>
              </w:rPr>
              <w:t>固体废物</w:t>
            </w:r>
            <w:r>
              <w:rPr>
                <w:rFonts w:ascii="宋体" w:hAnsi="宋体" w:eastAsia="宋体" w:cs="Times New Roman"/>
                <w:color w:val="auto"/>
                <w:lang w:bidi="ar"/>
              </w:rPr>
              <w:t>治理措施</w:t>
            </w:r>
          </w:p>
        </w:tc>
        <w:tc>
          <w:tcPr>
            <w:tcW w:w="6115" w:type="dxa"/>
            <w:vAlign w:val="center"/>
          </w:tcPr>
          <w:p w14:paraId="5A1F1E8A">
            <w:pPr>
              <w:spacing w:line="340" w:lineRule="exact"/>
              <w:rPr>
                <w:rFonts w:ascii="宋体" w:hAnsi="宋体" w:eastAsia="宋体" w:cs="Times New Roman"/>
                <w:color w:val="auto"/>
                <w:kern w:val="21"/>
              </w:rPr>
            </w:pPr>
            <w:r>
              <w:rPr>
                <w:rFonts w:ascii="宋体" w:hAnsi="宋体" w:eastAsia="宋体" w:cs="Times New Roman"/>
                <w:color w:val="auto"/>
                <w:kern w:val="21"/>
              </w:rPr>
              <w:t>生活垃圾统一收集拉运至肇源县利民城市垃圾处理有限公司处理。</w:t>
            </w:r>
          </w:p>
        </w:tc>
        <w:tc>
          <w:tcPr>
            <w:tcW w:w="730" w:type="dxa"/>
            <w:vAlign w:val="center"/>
          </w:tcPr>
          <w:p w14:paraId="76E36FB1">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1C1D4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68B13DF0">
            <w:pPr>
              <w:spacing w:line="340" w:lineRule="exact"/>
              <w:jc w:val="center"/>
              <w:rPr>
                <w:rFonts w:ascii="宋体" w:hAnsi="宋体" w:eastAsia="宋体" w:cs="Times New Roman"/>
                <w:color w:val="auto"/>
              </w:rPr>
            </w:pPr>
          </w:p>
        </w:tc>
        <w:tc>
          <w:tcPr>
            <w:tcW w:w="689" w:type="dxa"/>
            <w:vMerge w:val="continue"/>
            <w:vAlign w:val="center"/>
          </w:tcPr>
          <w:p w14:paraId="72A1FDFF">
            <w:pPr>
              <w:spacing w:line="340" w:lineRule="exact"/>
              <w:jc w:val="center"/>
              <w:rPr>
                <w:rFonts w:ascii="宋体" w:hAnsi="宋体" w:eastAsia="宋体" w:cs="Times New Roman"/>
                <w:color w:val="auto"/>
              </w:rPr>
            </w:pPr>
          </w:p>
        </w:tc>
        <w:tc>
          <w:tcPr>
            <w:tcW w:w="859" w:type="dxa"/>
            <w:gridSpan w:val="2"/>
            <w:vMerge w:val="continue"/>
            <w:vAlign w:val="center"/>
          </w:tcPr>
          <w:p w14:paraId="4B9A095C">
            <w:pPr>
              <w:spacing w:line="340" w:lineRule="exact"/>
              <w:jc w:val="center"/>
              <w:rPr>
                <w:rFonts w:ascii="宋体" w:hAnsi="宋体" w:eastAsia="宋体" w:cs="Times New Roman"/>
                <w:color w:val="auto"/>
              </w:rPr>
            </w:pPr>
          </w:p>
        </w:tc>
        <w:tc>
          <w:tcPr>
            <w:tcW w:w="6115" w:type="dxa"/>
            <w:vAlign w:val="center"/>
          </w:tcPr>
          <w:p w14:paraId="6F65F3A6">
            <w:pPr>
              <w:spacing w:line="340" w:lineRule="exact"/>
              <w:rPr>
                <w:rFonts w:ascii="宋体" w:hAnsi="宋体" w:eastAsia="宋体" w:cs="Times New Roman"/>
                <w:color w:val="auto"/>
                <w:kern w:val="21"/>
              </w:rPr>
            </w:pPr>
            <w:r>
              <w:rPr>
                <w:rFonts w:ascii="宋体" w:hAnsi="宋体" w:eastAsia="宋体" w:cs="Times New Roman"/>
                <w:color w:val="auto"/>
                <w:kern w:val="21"/>
              </w:rPr>
              <w:t>膨润土、纯碱、重晶石粉废弃包装袋及施工废料属于一般固体废物，集中收集暂存在井场设置的钢制垃圾桶内，由施工单位拉运至第八采油厂工业固废填埋场处理。</w:t>
            </w:r>
          </w:p>
        </w:tc>
        <w:tc>
          <w:tcPr>
            <w:tcW w:w="730" w:type="dxa"/>
            <w:vAlign w:val="center"/>
          </w:tcPr>
          <w:p w14:paraId="3541105B">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42B75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292D7B79">
            <w:pPr>
              <w:spacing w:line="340" w:lineRule="exact"/>
              <w:jc w:val="center"/>
              <w:rPr>
                <w:rFonts w:ascii="宋体" w:hAnsi="宋体" w:eastAsia="宋体" w:cs="Times New Roman"/>
                <w:color w:val="auto"/>
              </w:rPr>
            </w:pPr>
          </w:p>
        </w:tc>
        <w:tc>
          <w:tcPr>
            <w:tcW w:w="689" w:type="dxa"/>
            <w:vMerge w:val="continue"/>
            <w:vAlign w:val="center"/>
          </w:tcPr>
          <w:p w14:paraId="50E69644">
            <w:pPr>
              <w:spacing w:line="340" w:lineRule="exact"/>
              <w:jc w:val="center"/>
              <w:rPr>
                <w:rFonts w:ascii="宋体" w:hAnsi="宋体" w:eastAsia="宋体" w:cs="Times New Roman"/>
                <w:color w:val="auto"/>
              </w:rPr>
            </w:pPr>
          </w:p>
        </w:tc>
        <w:tc>
          <w:tcPr>
            <w:tcW w:w="859" w:type="dxa"/>
            <w:gridSpan w:val="2"/>
            <w:vMerge w:val="continue"/>
            <w:vAlign w:val="center"/>
          </w:tcPr>
          <w:p w14:paraId="391F8938">
            <w:pPr>
              <w:spacing w:line="340" w:lineRule="exact"/>
              <w:jc w:val="center"/>
              <w:rPr>
                <w:rFonts w:ascii="宋体" w:hAnsi="宋体" w:eastAsia="宋体" w:cs="Times New Roman"/>
                <w:color w:val="auto"/>
              </w:rPr>
            </w:pPr>
          </w:p>
        </w:tc>
        <w:tc>
          <w:tcPr>
            <w:tcW w:w="6115" w:type="dxa"/>
            <w:vAlign w:val="center"/>
          </w:tcPr>
          <w:p w14:paraId="09DFED02">
            <w:pPr>
              <w:spacing w:line="340" w:lineRule="exact"/>
              <w:rPr>
                <w:rFonts w:ascii="宋体" w:hAnsi="宋体" w:eastAsia="宋体" w:cs="Times New Roman"/>
                <w:color w:val="auto"/>
                <w:kern w:val="21"/>
              </w:rPr>
            </w:pPr>
            <w:r>
              <w:rPr>
                <w:rFonts w:ascii="宋体" w:hAnsi="宋体" w:eastAsia="宋体" w:cs="Times New Roman"/>
                <w:color w:val="auto"/>
                <w:kern w:val="21"/>
              </w:rPr>
              <w:t>钻井过程中产生的含油废防渗布属于危险废物（HW08，900-249-08），暂存于第十采油厂综合固废储存库，定期委托有资质单位处理。</w:t>
            </w:r>
          </w:p>
        </w:tc>
        <w:tc>
          <w:tcPr>
            <w:tcW w:w="730" w:type="dxa"/>
            <w:vAlign w:val="center"/>
          </w:tcPr>
          <w:p w14:paraId="6E941A06">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0FEFF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0D8A4794">
            <w:pPr>
              <w:spacing w:line="340" w:lineRule="exact"/>
              <w:jc w:val="center"/>
              <w:rPr>
                <w:rFonts w:ascii="宋体" w:hAnsi="宋体" w:eastAsia="宋体" w:cs="Times New Roman"/>
                <w:color w:val="auto"/>
              </w:rPr>
            </w:pPr>
          </w:p>
        </w:tc>
        <w:tc>
          <w:tcPr>
            <w:tcW w:w="689" w:type="dxa"/>
            <w:vMerge w:val="continue"/>
            <w:vAlign w:val="center"/>
          </w:tcPr>
          <w:p w14:paraId="0CE8ABB8">
            <w:pPr>
              <w:spacing w:line="340" w:lineRule="exact"/>
              <w:jc w:val="center"/>
              <w:rPr>
                <w:rFonts w:ascii="宋体" w:hAnsi="宋体" w:eastAsia="宋体" w:cs="Times New Roman"/>
                <w:color w:val="auto"/>
              </w:rPr>
            </w:pPr>
          </w:p>
        </w:tc>
        <w:tc>
          <w:tcPr>
            <w:tcW w:w="859" w:type="dxa"/>
            <w:gridSpan w:val="2"/>
            <w:vMerge w:val="continue"/>
            <w:vAlign w:val="center"/>
          </w:tcPr>
          <w:p w14:paraId="55107919">
            <w:pPr>
              <w:spacing w:line="340" w:lineRule="exact"/>
              <w:jc w:val="center"/>
              <w:rPr>
                <w:rFonts w:ascii="宋体" w:hAnsi="宋体" w:eastAsia="宋体" w:cs="Times New Roman"/>
                <w:color w:val="auto"/>
              </w:rPr>
            </w:pPr>
          </w:p>
        </w:tc>
        <w:tc>
          <w:tcPr>
            <w:tcW w:w="6115" w:type="dxa"/>
            <w:vAlign w:val="center"/>
          </w:tcPr>
          <w:p w14:paraId="7402AA51">
            <w:pPr>
              <w:spacing w:line="340" w:lineRule="exact"/>
              <w:rPr>
                <w:rFonts w:ascii="宋体" w:hAnsi="宋体" w:eastAsia="宋体" w:cs="Times New Roman"/>
                <w:color w:val="auto"/>
                <w:kern w:val="21"/>
              </w:rPr>
            </w:pPr>
            <w:r>
              <w:rPr>
                <w:rFonts w:ascii="宋体" w:hAnsi="宋体" w:eastAsia="宋体" w:cs="Times New Roman"/>
                <w:color w:val="auto"/>
                <w:kern w:val="21"/>
              </w:rPr>
              <w:t>水基钻井岩屑和水基废钻井液属于一般固体废物，排入井场设置的水基钢制泥浆槽，定期由罐车拉运至大庆油田昆仑集团有限公司环保分公司处理，处理后的泥饼外售综合利用。</w:t>
            </w:r>
          </w:p>
        </w:tc>
        <w:tc>
          <w:tcPr>
            <w:tcW w:w="730" w:type="dxa"/>
            <w:vAlign w:val="center"/>
          </w:tcPr>
          <w:p w14:paraId="254CD765">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5F9AE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0" w:hRule="atLeast"/>
        </w:trPr>
        <w:tc>
          <w:tcPr>
            <w:tcW w:w="667" w:type="dxa"/>
            <w:vMerge w:val="continue"/>
            <w:vAlign w:val="center"/>
          </w:tcPr>
          <w:p w14:paraId="049BFDEF">
            <w:pPr>
              <w:spacing w:line="340" w:lineRule="exact"/>
              <w:jc w:val="center"/>
              <w:rPr>
                <w:rFonts w:ascii="宋体" w:hAnsi="宋体" w:eastAsia="宋体" w:cs="Times New Roman"/>
                <w:color w:val="auto"/>
              </w:rPr>
            </w:pPr>
          </w:p>
        </w:tc>
        <w:tc>
          <w:tcPr>
            <w:tcW w:w="689" w:type="dxa"/>
            <w:vMerge w:val="continue"/>
            <w:vAlign w:val="center"/>
          </w:tcPr>
          <w:p w14:paraId="6F69631B">
            <w:pPr>
              <w:spacing w:line="340" w:lineRule="exact"/>
              <w:jc w:val="center"/>
              <w:rPr>
                <w:rFonts w:ascii="宋体" w:hAnsi="宋体" w:eastAsia="宋体" w:cs="Times New Roman"/>
                <w:color w:val="auto"/>
              </w:rPr>
            </w:pPr>
          </w:p>
        </w:tc>
        <w:tc>
          <w:tcPr>
            <w:tcW w:w="859" w:type="dxa"/>
            <w:gridSpan w:val="2"/>
            <w:vMerge w:val="continue"/>
            <w:vAlign w:val="center"/>
          </w:tcPr>
          <w:p w14:paraId="390C063C">
            <w:pPr>
              <w:spacing w:line="340" w:lineRule="exact"/>
              <w:jc w:val="center"/>
              <w:rPr>
                <w:rFonts w:ascii="宋体" w:hAnsi="宋体" w:eastAsia="宋体" w:cs="Times New Roman"/>
                <w:color w:val="auto"/>
              </w:rPr>
            </w:pPr>
          </w:p>
        </w:tc>
        <w:tc>
          <w:tcPr>
            <w:tcW w:w="6115" w:type="dxa"/>
            <w:vAlign w:val="center"/>
          </w:tcPr>
          <w:p w14:paraId="1D57F65A">
            <w:pPr>
              <w:spacing w:line="340" w:lineRule="exact"/>
              <w:rPr>
                <w:rFonts w:ascii="宋体" w:hAnsi="宋体" w:eastAsia="宋体" w:cs="Times New Roman"/>
                <w:color w:val="auto"/>
                <w:kern w:val="21"/>
              </w:rPr>
            </w:pPr>
            <w:r>
              <w:rPr>
                <w:rFonts w:ascii="宋体" w:hAnsi="宋体" w:eastAsia="宋体" w:cs="Times New Roman"/>
                <w:color w:val="auto"/>
                <w:kern w:val="21"/>
              </w:rPr>
              <w:t>油基废钻井液、油基钻井岩屑</w:t>
            </w:r>
            <w:r>
              <w:rPr>
                <w:rFonts w:ascii="宋体" w:hAnsi="宋体" w:eastAsia="宋体" w:cs="Times New Roman"/>
                <w:color w:val="auto"/>
              </w:rPr>
              <w:t>和含油废射孔液</w:t>
            </w:r>
            <w:r>
              <w:rPr>
                <w:rFonts w:ascii="宋体" w:hAnsi="宋体" w:eastAsia="宋体" w:cs="Times New Roman"/>
                <w:color w:val="auto"/>
                <w:kern w:val="21"/>
              </w:rPr>
              <w:t>属于危险废物（HW08，071-002-08），排入井场设置的油基钢制泥浆槽，委托有危废处理资质的黑龙江迈景环保科技有限公司处理满足《油田含油污泥处置与利用污染控制要求》（DB23/T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c>
          <w:tcPr>
            <w:tcW w:w="730" w:type="dxa"/>
            <w:vAlign w:val="center"/>
          </w:tcPr>
          <w:p w14:paraId="5292AA45">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6FCBB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55D5C66B">
            <w:pPr>
              <w:spacing w:line="340" w:lineRule="exact"/>
              <w:jc w:val="center"/>
              <w:rPr>
                <w:rFonts w:ascii="宋体" w:hAnsi="宋体" w:eastAsia="宋体" w:cs="Times New Roman"/>
                <w:color w:val="auto"/>
              </w:rPr>
            </w:pPr>
          </w:p>
        </w:tc>
        <w:tc>
          <w:tcPr>
            <w:tcW w:w="689" w:type="dxa"/>
            <w:vMerge w:val="restart"/>
            <w:vAlign w:val="center"/>
          </w:tcPr>
          <w:p w14:paraId="0529DE80">
            <w:pPr>
              <w:spacing w:line="340" w:lineRule="exact"/>
              <w:jc w:val="center"/>
              <w:rPr>
                <w:rFonts w:ascii="宋体" w:hAnsi="宋体" w:eastAsia="宋体" w:cs="Times New Roman"/>
                <w:color w:val="auto"/>
              </w:rPr>
            </w:pPr>
            <w:r>
              <w:rPr>
                <w:rFonts w:ascii="宋体" w:hAnsi="宋体" w:eastAsia="宋体" w:cs="Times New Roman"/>
                <w:color w:val="auto"/>
              </w:rPr>
              <w:t>运营期</w:t>
            </w:r>
          </w:p>
        </w:tc>
        <w:tc>
          <w:tcPr>
            <w:tcW w:w="859" w:type="dxa"/>
            <w:gridSpan w:val="2"/>
            <w:vMerge w:val="restart"/>
            <w:vAlign w:val="center"/>
          </w:tcPr>
          <w:p w14:paraId="32498FFF">
            <w:pPr>
              <w:spacing w:line="340" w:lineRule="exact"/>
              <w:jc w:val="center"/>
              <w:rPr>
                <w:rFonts w:ascii="宋体" w:hAnsi="宋体" w:eastAsia="宋体" w:cs="Times New Roman"/>
                <w:color w:val="auto"/>
              </w:rPr>
            </w:pPr>
            <w:r>
              <w:rPr>
                <w:rFonts w:ascii="宋体" w:hAnsi="宋体" w:eastAsia="宋体" w:cs="Times New Roman"/>
                <w:color w:val="auto"/>
              </w:rPr>
              <w:t>废气</w:t>
            </w:r>
            <w:r>
              <w:rPr>
                <w:rFonts w:ascii="宋体" w:hAnsi="宋体" w:eastAsia="宋体" w:cs="Times New Roman"/>
                <w:color w:val="auto"/>
                <w:lang w:bidi="ar"/>
              </w:rPr>
              <w:t>治理措施</w:t>
            </w:r>
          </w:p>
        </w:tc>
        <w:tc>
          <w:tcPr>
            <w:tcW w:w="6115" w:type="dxa"/>
            <w:vAlign w:val="center"/>
          </w:tcPr>
          <w:p w14:paraId="4B25E5A7">
            <w:pPr>
              <w:spacing w:line="340" w:lineRule="exact"/>
              <w:rPr>
                <w:rFonts w:ascii="宋体" w:hAnsi="宋体" w:eastAsia="宋体" w:cs="Times New Roman"/>
                <w:color w:val="auto"/>
              </w:rPr>
            </w:pPr>
            <w:r>
              <w:rPr>
                <w:rFonts w:ascii="宋体" w:hAnsi="宋体" w:eastAsia="宋体" w:cs="Times New Roman"/>
                <w:color w:val="auto"/>
              </w:rPr>
              <w:t>拉油点多功能储罐加热炉和依托朝二联脱水站加热炉采用清洁能源天然气作为燃料，并采用低氮燃烧器，新建拉油点储罐加热炉燃烧产生的废气经15m的烟囱高空排放。多功能储罐加热炉按规定设置采样平台和采样孔。</w:t>
            </w:r>
          </w:p>
        </w:tc>
        <w:tc>
          <w:tcPr>
            <w:tcW w:w="730" w:type="dxa"/>
            <w:vAlign w:val="center"/>
          </w:tcPr>
          <w:p w14:paraId="07E82478">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6F6C9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758BEC47">
            <w:pPr>
              <w:spacing w:line="340" w:lineRule="exact"/>
              <w:jc w:val="center"/>
              <w:rPr>
                <w:rFonts w:ascii="宋体" w:hAnsi="宋体" w:eastAsia="宋体" w:cs="Times New Roman"/>
                <w:color w:val="auto"/>
              </w:rPr>
            </w:pPr>
          </w:p>
        </w:tc>
        <w:tc>
          <w:tcPr>
            <w:tcW w:w="689" w:type="dxa"/>
            <w:vMerge w:val="continue"/>
            <w:vAlign w:val="center"/>
          </w:tcPr>
          <w:p w14:paraId="13F46698">
            <w:pPr>
              <w:spacing w:line="340" w:lineRule="exact"/>
              <w:jc w:val="center"/>
              <w:rPr>
                <w:rFonts w:ascii="宋体" w:hAnsi="宋体" w:eastAsia="宋体" w:cs="Times New Roman"/>
                <w:color w:val="auto"/>
              </w:rPr>
            </w:pPr>
          </w:p>
        </w:tc>
        <w:tc>
          <w:tcPr>
            <w:tcW w:w="859" w:type="dxa"/>
            <w:gridSpan w:val="2"/>
            <w:vMerge w:val="continue"/>
            <w:vAlign w:val="center"/>
          </w:tcPr>
          <w:p w14:paraId="22108001">
            <w:pPr>
              <w:spacing w:line="340" w:lineRule="exact"/>
              <w:jc w:val="center"/>
              <w:rPr>
                <w:rFonts w:ascii="宋体" w:hAnsi="宋体" w:eastAsia="宋体" w:cs="Times New Roman"/>
                <w:color w:val="auto"/>
              </w:rPr>
            </w:pPr>
          </w:p>
        </w:tc>
        <w:tc>
          <w:tcPr>
            <w:tcW w:w="6115" w:type="dxa"/>
            <w:vAlign w:val="center"/>
          </w:tcPr>
          <w:p w14:paraId="6E0B7556">
            <w:pPr>
              <w:spacing w:line="340" w:lineRule="exact"/>
              <w:rPr>
                <w:rFonts w:ascii="宋体" w:hAnsi="宋体" w:eastAsia="宋体" w:cs="Times New Roman"/>
                <w:color w:val="auto"/>
              </w:rPr>
            </w:pPr>
            <w:r>
              <w:rPr>
                <w:rFonts w:ascii="宋体" w:hAnsi="宋体" w:eastAsia="宋体" w:cs="Times New Roman"/>
                <w:color w:val="auto"/>
              </w:rPr>
              <w:t>油井井口安装密封垫，拉油点储罐阀门、法兰等安装密封垫片，新建集油管道、拉油点储罐、运输罐车、依托场站阀组、法兰等动静密封系统要加强密闭措施，</w:t>
            </w:r>
            <w:r>
              <w:rPr>
                <w:rFonts w:ascii="宋体" w:hAnsi="宋体" w:eastAsia="宋体" w:cs="Times New Roman"/>
                <w:color w:val="auto"/>
                <w:lang w:bidi="ar"/>
              </w:rPr>
              <w:t>防止烃类气体的无组织挥发</w:t>
            </w:r>
            <w:r>
              <w:rPr>
                <w:rFonts w:ascii="宋体" w:hAnsi="宋体" w:eastAsia="宋体" w:cs="Times New Roman"/>
                <w:color w:val="auto"/>
              </w:rPr>
              <w:t>。</w:t>
            </w:r>
          </w:p>
        </w:tc>
        <w:tc>
          <w:tcPr>
            <w:tcW w:w="730" w:type="dxa"/>
            <w:vAlign w:val="center"/>
          </w:tcPr>
          <w:p w14:paraId="48A14F51">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63FCD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3534CF16">
            <w:pPr>
              <w:spacing w:line="340" w:lineRule="exact"/>
              <w:jc w:val="center"/>
              <w:rPr>
                <w:rFonts w:ascii="宋体" w:hAnsi="宋体" w:eastAsia="宋体" w:cs="Times New Roman"/>
                <w:color w:val="auto"/>
              </w:rPr>
            </w:pPr>
          </w:p>
        </w:tc>
        <w:tc>
          <w:tcPr>
            <w:tcW w:w="689" w:type="dxa"/>
            <w:vMerge w:val="continue"/>
            <w:vAlign w:val="center"/>
          </w:tcPr>
          <w:p w14:paraId="45F9528A">
            <w:pPr>
              <w:spacing w:line="340" w:lineRule="exact"/>
              <w:jc w:val="center"/>
              <w:rPr>
                <w:rFonts w:ascii="宋体" w:hAnsi="宋体" w:eastAsia="宋体" w:cs="Times New Roman"/>
                <w:color w:val="auto"/>
              </w:rPr>
            </w:pPr>
          </w:p>
        </w:tc>
        <w:tc>
          <w:tcPr>
            <w:tcW w:w="859" w:type="dxa"/>
            <w:gridSpan w:val="2"/>
            <w:vMerge w:val="restart"/>
            <w:vAlign w:val="center"/>
          </w:tcPr>
          <w:p w14:paraId="08E03FEB">
            <w:pPr>
              <w:spacing w:line="340" w:lineRule="exact"/>
              <w:jc w:val="center"/>
              <w:rPr>
                <w:rFonts w:ascii="宋体" w:hAnsi="宋体" w:eastAsia="宋体" w:cs="Times New Roman"/>
                <w:color w:val="auto"/>
              </w:rPr>
            </w:pPr>
            <w:r>
              <w:rPr>
                <w:rFonts w:ascii="宋体" w:hAnsi="宋体" w:eastAsia="宋体" w:cs="Times New Roman"/>
                <w:color w:val="auto"/>
              </w:rPr>
              <w:t>废水</w:t>
            </w:r>
            <w:r>
              <w:rPr>
                <w:rFonts w:ascii="宋体" w:hAnsi="宋体" w:eastAsia="宋体" w:cs="Times New Roman"/>
                <w:color w:val="auto"/>
                <w:lang w:bidi="ar"/>
              </w:rPr>
              <w:t>治理措施</w:t>
            </w:r>
          </w:p>
        </w:tc>
        <w:tc>
          <w:tcPr>
            <w:tcW w:w="6115" w:type="dxa"/>
            <w:vAlign w:val="center"/>
          </w:tcPr>
          <w:p w14:paraId="1E00CE4C">
            <w:pPr>
              <w:spacing w:line="340" w:lineRule="exact"/>
              <w:rPr>
                <w:rFonts w:ascii="宋体" w:hAnsi="宋体" w:eastAsia="宋体" w:cs="Times New Roman"/>
                <w:color w:val="auto"/>
              </w:rPr>
            </w:pPr>
            <w:r>
              <w:rPr>
                <w:rFonts w:ascii="宋体" w:hAnsi="宋体" w:eastAsia="宋体" w:cs="Times New Roman"/>
                <w:color w:val="auto"/>
                <w:lang w:bidi="ar"/>
              </w:rPr>
              <w:t>油井作业污水</w:t>
            </w:r>
            <w:r>
              <w:rPr>
                <w:rFonts w:ascii="宋体" w:hAnsi="宋体" w:eastAsia="宋体" w:cs="Times New Roman"/>
                <w:color w:val="auto"/>
              </w:rPr>
              <w:t>由罐车拉运至朝二联含油污水处理站处理达标后回注油层，不外排。</w:t>
            </w:r>
          </w:p>
        </w:tc>
        <w:tc>
          <w:tcPr>
            <w:tcW w:w="730" w:type="dxa"/>
            <w:vAlign w:val="center"/>
          </w:tcPr>
          <w:p w14:paraId="1FF70EBB">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67260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76A7AA0D">
            <w:pPr>
              <w:spacing w:line="340" w:lineRule="exact"/>
              <w:jc w:val="center"/>
              <w:rPr>
                <w:rFonts w:ascii="宋体" w:hAnsi="宋体" w:eastAsia="宋体" w:cs="Times New Roman"/>
                <w:color w:val="auto"/>
              </w:rPr>
            </w:pPr>
          </w:p>
        </w:tc>
        <w:tc>
          <w:tcPr>
            <w:tcW w:w="689" w:type="dxa"/>
            <w:vMerge w:val="continue"/>
            <w:vAlign w:val="center"/>
          </w:tcPr>
          <w:p w14:paraId="1933B813">
            <w:pPr>
              <w:spacing w:line="340" w:lineRule="exact"/>
              <w:jc w:val="center"/>
              <w:rPr>
                <w:rFonts w:ascii="宋体" w:hAnsi="宋体" w:eastAsia="宋体" w:cs="Times New Roman"/>
                <w:color w:val="auto"/>
              </w:rPr>
            </w:pPr>
          </w:p>
        </w:tc>
        <w:tc>
          <w:tcPr>
            <w:tcW w:w="859" w:type="dxa"/>
            <w:gridSpan w:val="2"/>
            <w:vMerge w:val="continue"/>
            <w:vAlign w:val="center"/>
          </w:tcPr>
          <w:p w14:paraId="70297469">
            <w:pPr>
              <w:spacing w:line="340" w:lineRule="exact"/>
              <w:jc w:val="center"/>
              <w:rPr>
                <w:rFonts w:ascii="宋体" w:hAnsi="宋体" w:eastAsia="宋体" w:cs="Times New Roman"/>
                <w:color w:val="auto"/>
              </w:rPr>
            </w:pPr>
          </w:p>
        </w:tc>
        <w:tc>
          <w:tcPr>
            <w:tcW w:w="6115" w:type="dxa"/>
            <w:vAlign w:val="center"/>
          </w:tcPr>
          <w:p w14:paraId="0163D33D">
            <w:pPr>
              <w:spacing w:line="340" w:lineRule="exact"/>
              <w:rPr>
                <w:rFonts w:ascii="宋体" w:hAnsi="宋体" w:eastAsia="宋体" w:cs="Times New Roman"/>
                <w:color w:val="auto"/>
                <w:lang w:bidi="ar"/>
              </w:rPr>
            </w:pPr>
            <w:r>
              <w:rPr>
                <w:rFonts w:ascii="宋体" w:hAnsi="宋体" w:eastAsia="宋体" w:cs="Times New Roman"/>
                <w:color w:val="auto"/>
                <w:lang w:bidi="ar"/>
              </w:rPr>
              <w:t>油井洗井采用热洗车进行洗井，以清除套管结蜡，含蜡热洗水由罐车回收拉运至朝二联含油污水处理站处理满足《大庆油田地面工程建设设计规定》（Q/SYDQ0639-2015）及《碎屑岩油藏注水水质指标技术要求及分析方法》（SY/T5329-2022）限值要求后回注油层，不外排。</w:t>
            </w:r>
          </w:p>
        </w:tc>
        <w:tc>
          <w:tcPr>
            <w:tcW w:w="730" w:type="dxa"/>
            <w:vAlign w:val="center"/>
          </w:tcPr>
          <w:p w14:paraId="6DAB7EA2">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2D636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38965D65">
            <w:pPr>
              <w:spacing w:line="340" w:lineRule="exact"/>
              <w:jc w:val="center"/>
              <w:rPr>
                <w:rFonts w:ascii="宋体" w:hAnsi="宋体" w:eastAsia="宋体" w:cs="Times New Roman"/>
                <w:color w:val="auto"/>
              </w:rPr>
            </w:pPr>
          </w:p>
        </w:tc>
        <w:tc>
          <w:tcPr>
            <w:tcW w:w="689" w:type="dxa"/>
            <w:vMerge w:val="continue"/>
            <w:vAlign w:val="center"/>
          </w:tcPr>
          <w:p w14:paraId="7B89B8DD">
            <w:pPr>
              <w:spacing w:line="340" w:lineRule="exact"/>
              <w:jc w:val="center"/>
              <w:rPr>
                <w:rFonts w:ascii="宋体" w:hAnsi="宋体" w:eastAsia="宋体" w:cs="Times New Roman"/>
                <w:color w:val="auto"/>
              </w:rPr>
            </w:pPr>
          </w:p>
        </w:tc>
        <w:tc>
          <w:tcPr>
            <w:tcW w:w="859" w:type="dxa"/>
            <w:gridSpan w:val="2"/>
            <w:vMerge w:val="continue"/>
            <w:vAlign w:val="center"/>
          </w:tcPr>
          <w:p w14:paraId="6D85F9EF">
            <w:pPr>
              <w:spacing w:line="340" w:lineRule="exact"/>
              <w:jc w:val="center"/>
              <w:rPr>
                <w:rFonts w:ascii="宋体" w:hAnsi="宋体" w:eastAsia="宋体" w:cs="Times New Roman"/>
                <w:color w:val="auto"/>
              </w:rPr>
            </w:pPr>
          </w:p>
        </w:tc>
        <w:tc>
          <w:tcPr>
            <w:tcW w:w="6115" w:type="dxa"/>
            <w:vAlign w:val="center"/>
          </w:tcPr>
          <w:p w14:paraId="47D22535">
            <w:pPr>
              <w:spacing w:line="340" w:lineRule="exact"/>
              <w:rPr>
                <w:rFonts w:ascii="宋体" w:hAnsi="宋体" w:eastAsia="宋体" w:cs="Times New Roman"/>
                <w:color w:val="auto"/>
              </w:rPr>
            </w:pPr>
            <w:r>
              <w:rPr>
                <w:rFonts w:ascii="宋体" w:hAnsi="宋体" w:eastAsia="宋体" w:cs="Times New Roman"/>
                <w:color w:val="auto"/>
              </w:rPr>
              <w:t>运营期拉油点产液由罐车拉运至朝</w:t>
            </w:r>
            <w:r>
              <w:rPr>
                <w:rFonts w:hint="eastAsia" w:ascii="宋体" w:hAnsi="宋体" w:eastAsia="宋体" w:cs="Times New Roman"/>
                <w:color w:val="auto"/>
              </w:rPr>
              <w:t>二</w:t>
            </w:r>
            <w:r>
              <w:rPr>
                <w:rFonts w:ascii="宋体" w:hAnsi="宋体" w:eastAsia="宋体" w:cs="Times New Roman"/>
                <w:color w:val="auto"/>
              </w:rPr>
              <w:t>联卸油点进入朝</w:t>
            </w:r>
            <w:r>
              <w:rPr>
                <w:rFonts w:hint="eastAsia" w:ascii="宋体" w:hAnsi="宋体" w:eastAsia="宋体" w:cs="Times New Roman"/>
                <w:color w:val="auto"/>
              </w:rPr>
              <w:t>二</w:t>
            </w:r>
            <w:r>
              <w:rPr>
                <w:rFonts w:ascii="宋体" w:hAnsi="宋体" w:eastAsia="宋体" w:cs="Times New Roman"/>
                <w:color w:val="auto"/>
              </w:rPr>
              <w:t>联转油站处理系统，最终分离的含油污水管输至朝二联含油污水处理站处理满足《大庆油田地面工程建设设计规定》（Q/SYDQ0639-2015）及《碎屑岩油藏注水水质指标技术要求及分析方法》（SY/T5329-2022）限值要求后回注油层，不外排</w:t>
            </w:r>
            <w:r>
              <w:rPr>
                <w:rFonts w:ascii="宋体" w:hAnsi="宋体" w:eastAsia="宋体" w:cs="Times New Roman"/>
                <w:color w:val="auto"/>
                <w:lang w:bidi="ar"/>
              </w:rPr>
              <w:t>。</w:t>
            </w:r>
          </w:p>
        </w:tc>
        <w:tc>
          <w:tcPr>
            <w:tcW w:w="730" w:type="dxa"/>
            <w:vAlign w:val="center"/>
          </w:tcPr>
          <w:p w14:paraId="63EA44EF">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4032A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597842D1">
            <w:pPr>
              <w:spacing w:line="340" w:lineRule="exact"/>
              <w:jc w:val="center"/>
              <w:rPr>
                <w:rFonts w:ascii="宋体" w:hAnsi="宋体" w:eastAsia="宋体" w:cs="Times New Roman"/>
                <w:color w:val="auto"/>
              </w:rPr>
            </w:pPr>
          </w:p>
        </w:tc>
        <w:tc>
          <w:tcPr>
            <w:tcW w:w="689" w:type="dxa"/>
            <w:vMerge w:val="continue"/>
            <w:vAlign w:val="center"/>
          </w:tcPr>
          <w:p w14:paraId="75A81FFE">
            <w:pPr>
              <w:spacing w:line="340" w:lineRule="exact"/>
              <w:jc w:val="center"/>
              <w:rPr>
                <w:rFonts w:ascii="宋体" w:hAnsi="宋体" w:eastAsia="宋体" w:cs="Times New Roman"/>
                <w:color w:val="auto"/>
              </w:rPr>
            </w:pPr>
          </w:p>
        </w:tc>
        <w:tc>
          <w:tcPr>
            <w:tcW w:w="859" w:type="dxa"/>
            <w:gridSpan w:val="2"/>
            <w:vAlign w:val="center"/>
          </w:tcPr>
          <w:p w14:paraId="4DE04BD5">
            <w:pPr>
              <w:spacing w:line="340" w:lineRule="exact"/>
              <w:jc w:val="center"/>
              <w:rPr>
                <w:rFonts w:ascii="宋体" w:hAnsi="宋体" w:eastAsia="宋体" w:cs="Times New Roman"/>
                <w:color w:val="auto"/>
              </w:rPr>
            </w:pPr>
            <w:r>
              <w:rPr>
                <w:rFonts w:ascii="宋体" w:hAnsi="宋体" w:eastAsia="宋体" w:cs="Times New Roman"/>
                <w:color w:val="auto"/>
              </w:rPr>
              <w:t>噪声</w:t>
            </w:r>
            <w:r>
              <w:rPr>
                <w:rFonts w:ascii="宋体" w:hAnsi="宋体" w:eastAsia="宋体" w:cs="Times New Roman"/>
                <w:color w:val="auto"/>
                <w:lang w:bidi="ar"/>
              </w:rPr>
              <w:t>治理措施</w:t>
            </w:r>
          </w:p>
        </w:tc>
        <w:tc>
          <w:tcPr>
            <w:tcW w:w="6115" w:type="dxa"/>
            <w:vAlign w:val="center"/>
          </w:tcPr>
          <w:p w14:paraId="30CA0E42">
            <w:pPr>
              <w:spacing w:line="340" w:lineRule="exact"/>
              <w:rPr>
                <w:rFonts w:ascii="宋体" w:hAnsi="宋体" w:eastAsia="宋体" w:cs="Times New Roman"/>
                <w:color w:val="auto"/>
              </w:rPr>
            </w:pPr>
            <w:r>
              <w:rPr>
                <w:rFonts w:ascii="宋体" w:hAnsi="宋体" w:eastAsia="宋体" w:cs="Times New Roman"/>
                <w:color w:val="auto"/>
              </w:rPr>
              <w:t xml:space="preserve">拉油点储罐燃烧器、井场抽油机等发声设备尽可能选用低噪声设备；注意对设备的维护保养，保证设备保持在最佳运行状态，降低噪声源强度。 </w:t>
            </w:r>
          </w:p>
        </w:tc>
        <w:tc>
          <w:tcPr>
            <w:tcW w:w="730" w:type="dxa"/>
            <w:vAlign w:val="center"/>
          </w:tcPr>
          <w:p w14:paraId="5291D8AF">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140B4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71850BDD">
            <w:pPr>
              <w:spacing w:line="340" w:lineRule="exact"/>
              <w:jc w:val="center"/>
              <w:rPr>
                <w:rFonts w:ascii="宋体" w:hAnsi="宋体" w:eastAsia="宋体" w:cs="Times New Roman"/>
                <w:color w:val="auto"/>
              </w:rPr>
            </w:pPr>
          </w:p>
        </w:tc>
        <w:tc>
          <w:tcPr>
            <w:tcW w:w="689" w:type="dxa"/>
            <w:vMerge w:val="continue"/>
            <w:vAlign w:val="center"/>
          </w:tcPr>
          <w:p w14:paraId="182503DD">
            <w:pPr>
              <w:spacing w:line="340" w:lineRule="exact"/>
              <w:jc w:val="center"/>
              <w:rPr>
                <w:rFonts w:ascii="宋体" w:hAnsi="宋体" w:eastAsia="宋体" w:cs="Times New Roman"/>
                <w:color w:val="auto"/>
              </w:rPr>
            </w:pPr>
          </w:p>
        </w:tc>
        <w:tc>
          <w:tcPr>
            <w:tcW w:w="859" w:type="dxa"/>
            <w:gridSpan w:val="2"/>
            <w:vMerge w:val="restart"/>
            <w:vAlign w:val="center"/>
          </w:tcPr>
          <w:p w14:paraId="5F120263">
            <w:pPr>
              <w:spacing w:line="340" w:lineRule="exact"/>
              <w:jc w:val="center"/>
              <w:rPr>
                <w:rFonts w:ascii="宋体" w:hAnsi="宋体" w:eastAsia="宋体" w:cs="Times New Roman"/>
                <w:color w:val="auto"/>
              </w:rPr>
            </w:pPr>
            <w:r>
              <w:rPr>
                <w:rFonts w:ascii="宋体" w:hAnsi="宋体" w:eastAsia="宋体" w:cs="Times New Roman"/>
                <w:color w:val="auto"/>
              </w:rPr>
              <w:t>固体废物</w:t>
            </w:r>
            <w:r>
              <w:rPr>
                <w:rFonts w:ascii="宋体" w:hAnsi="宋体" w:eastAsia="宋体" w:cs="Times New Roman"/>
                <w:color w:val="auto"/>
                <w:lang w:bidi="ar"/>
              </w:rPr>
              <w:t>治理措施</w:t>
            </w:r>
          </w:p>
        </w:tc>
        <w:tc>
          <w:tcPr>
            <w:tcW w:w="6115" w:type="dxa"/>
            <w:vAlign w:val="center"/>
          </w:tcPr>
          <w:p w14:paraId="50F26648">
            <w:pPr>
              <w:spacing w:line="340" w:lineRule="exact"/>
              <w:rPr>
                <w:rFonts w:ascii="宋体" w:hAnsi="宋体" w:eastAsia="宋体" w:cs="Times New Roman"/>
                <w:color w:val="auto"/>
              </w:rPr>
            </w:pPr>
            <w:r>
              <w:rPr>
                <w:rFonts w:ascii="宋体" w:hAnsi="宋体" w:eastAsia="宋体" w:cs="Times New Roman"/>
                <w:color w:val="auto"/>
              </w:rPr>
              <w:t>含油污泥、落地油及油砂由罐车拉运至朝一联含油污泥处理站减量化处理后，再委托大庆博昕晶化科技有限公司处理满足《油田含油污泥处置与利用污染控制要求》（DB23/T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rFonts w:ascii="宋体" w:hAnsi="宋体" w:eastAsia="宋体" w:cs="Times New Roman"/>
                <w:color w:val="auto"/>
              </w:rPr>
              <w:t>。</w:t>
            </w:r>
          </w:p>
        </w:tc>
        <w:tc>
          <w:tcPr>
            <w:tcW w:w="730" w:type="dxa"/>
            <w:vAlign w:val="center"/>
          </w:tcPr>
          <w:p w14:paraId="7E4ABB95">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2067D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0F59833F">
            <w:pPr>
              <w:spacing w:line="340" w:lineRule="exact"/>
              <w:jc w:val="center"/>
              <w:rPr>
                <w:rFonts w:ascii="宋体" w:hAnsi="宋体" w:eastAsia="宋体" w:cs="Times New Roman"/>
                <w:color w:val="auto"/>
              </w:rPr>
            </w:pPr>
          </w:p>
        </w:tc>
        <w:tc>
          <w:tcPr>
            <w:tcW w:w="689" w:type="dxa"/>
            <w:vMerge w:val="continue"/>
            <w:vAlign w:val="center"/>
          </w:tcPr>
          <w:p w14:paraId="780CC746">
            <w:pPr>
              <w:spacing w:line="340" w:lineRule="exact"/>
              <w:jc w:val="center"/>
              <w:rPr>
                <w:rFonts w:ascii="宋体" w:hAnsi="宋体" w:eastAsia="宋体" w:cs="Times New Roman"/>
                <w:color w:val="auto"/>
              </w:rPr>
            </w:pPr>
          </w:p>
        </w:tc>
        <w:tc>
          <w:tcPr>
            <w:tcW w:w="859" w:type="dxa"/>
            <w:gridSpan w:val="2"/>
            <w:vMerge w:val="continue"/>
            <w:vAlign w:val="center"/>
          </w:tcPr>
          <w:p w14:paraId="1D45BBE6">
            <w:pPr>
              <w:spacing w:line="340" w:lineRule="exact"/>
              <w:jc w:val="center"/>
              <w:rPr>
                <w:rFonts w:ascii="宋体" w:hAnsi="宋体" w:eastAsia="宋体" w:cs="Times New Roman"/>
                <w:color w:val="auto"/>
              </w:rPr>
            </w:pPr>
          </w:p>
        </w:tc>
        <w:tc>
          <w:tcPr>
            <w:tcW w:w="6115" w:type="dxa"/>
            <w:vAlign w:val="center"/>
          </w:tcPr>
          <w:p w14:paraId="17461696">
            <w:pPr>
              <w:spacing w:line="340" w:lineRule="exact"/>
              <w:rPr>
                <w:rFonts w:ascii="宋体" w:hAnsi="宋体" w:eastAsia="宋体" w:cs="Times New Roman"/>
                <w:color w:val="auto"/>
              </w:rPr>
            </w:pPr>
            <w:r>
              <w:rPr>
                <w:rFonts w:ascii="宋体" w:hAnsi="宋体" w:eastAsia="宋体" w:cs="Times New Roman"/>
                <w:color w:val="auto"/>
              </w:rPr>
              <w:t>油井作业产生的含油废防渗布经收集后暂存于第十采油厂综合固废储存库，定期委托有资质单位处理。</w:t>
            </w:r>
          </w:p>
        </w:tc>
        <w:tc>
          <w:tcPr>
            <w:tcW w:w="730" w:type="dxa"/>
            <w:vAlign w:val="center"/>
          </w:tcPr>
          <w:p w14:paraId="76DD3C86">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2394D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4BC39481">
            <w:pPr>
              <w:spacing w:line="340" w:lineRule="exact"/>
              <w:jc w:val="center"/>
              <w:rPr>
                <w:rFonts w:ascii="宋体" w:hAnsi="宋体" w:eastAsia="宋体" w:cs="Times New Roman"/>
                <w:color w:val="auto"/>
              </w:rPr>
            </w:pPr>
          </w:p>
        </w:tc>
        <w:tc>
          <w:tcPr>
            <w:tcW w:w="689" w:type="dxa"/>
            <w:vMerge w:val="restart"/>
            <w:vAlign w:val="center"/>
          </w:tcPr>
          <w:p w14:paraId="2924F421">
            <w:pPr>
              <w:spacing w:line="340" w:lineRule="exact"/>
              <w:jc w:val="center"/>
              <w:rPr>
                <w:rFonts w:ascii="宋体" w:hAnsi="宋体" w:eastAsia="宋体" w:cs="Times New Roman"/>
                <w:color w:val="auto"/>
              </w:rPr>
            </w:pPr>
            <w:r>
              <w:rPr>
                <w:rFonts w:ascii="宋体" w:hAnsi="宋体" w:eastAsia="宋体" w:cs="Times New Roman"/>
                <w:color w:val="auto"/>
              </w:rPr>
              <w:t>退役期</w:t>
            </w:r>
          </w:p>
        </w:tc>
        <w:tc>
          <w:tcPr>
            <w:tcW w:w="859" w:type="dxa"/>
            <w:gridSpan w:val="2"/>
            <w:vAlign w:val="center"/>
          </w:tcPr>
          <w:p w14:paraId="09B6529C">
            <w:pPr>
              <w:spacing w:line="340" w:lineRule="exact"/>
              <w:jc w:val="center"/>
              <w:rPr>
                <w:rFonts w:ascii="宋体" w:hAnsi="宋体" w:eastAsia="宋体" w:cs="Times New Roman"/>
                <w:color w:val="auto"/>
              </w:rPr>
            </w:pPr>
            <w:r>
              <w:rPr>
                <w:rFonts w:ascii="宋体" w:hAnsi="宋体" w:eastAsia="宋体" w:cs="Times New Roman"/>
                <w:color w:val="auto"/>
              </w:rPr>
              <w:t>废气</w:t>
            </w:r>
            <w:r>
              <w:rPr>
                <w:rFonts w:ascii="宋体" w:hAnsi="宋体" w:eastAsia="宋体" w:cs="Times New Roman"/>
                <w:color w:val="auto"/>
                <w:lang w:bidi="ar"/>
              </w:rPr>
              <w:t>治理措施</w:t>
            </w:r>
          </w:p>
        </w:tc>
        <w:tc>
          <w:tcPr>
            <w:tcW w:w="6115" w:type="dxa"/>
            <w:vAlign w:val="center"/>
          </w:tcPr>
          <w:p w14:paraId="328BDC20">
            <w:pPr>
              <w:spacing w:line="340" w:lineRule="exact"/>
              <w:rPr>
                <w:rFonts w:ascii="宋体" w:hAnsi="宋体" w:eastAsia="宋体" w:cs="Times New Roman"/>
                <w:color w:val="auto"/>
              </w:rPr>
            </w:pPr>
            <w:r>
              <w:rPr>
                <w:rFonts w:ascii="宋体" w:hAnsi="宋体" w:eastAsia="宋体" w:cs="Times New Roman"/>
                <w:color w:val="auto"/>
              </w:rPr>
              <w:t>施工扬尘采取运输道路及施工场地定时洒水抑尘，运输车辆采取苫布遮盖措施。</w:t>
            </w:r>
          </w:p>
        </w:tc>
        <w:tc>
          <w:tcPr>
            <w:tcW w:w="730" w:type="dxa"/>
            <w:vAlign w:val="center"/>
          </w:tcPr>
          <w:p w14:paraId="3A888CF8">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7EDB4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20BBCCDF">
            <w:pPr>
              <w:spacing w:line="340" w:lineRule="exact"/>
              <w:jc w:val="center"/>
              <w:rPr>
                <w:rFonts w:ascii="宋体" w:hAnsi="宋体" w:eastAsia="宋体" w:cs="Times New Roman"/>
                <w:color w:val="auto"/>
              </w:rPr>
            </w:pPr>
          </w:p>
        </w:tc>
        <w:tc>
          <w:tcPr>
            <w:tcW w:w="689" w:type="dxa"/>
            <w:vMerge w:val="continue"/>
            <w:vAlign w:val="center"/>
          </w:tcPr>
          <w:p w14:paraId="5FAF3EC2">
            <w:pPr>
              <w:spacing w:line="340" w:lineRule="exact"/>
              <w:jc w:val="center"/>
              <w:rPr>
                <w:rFonts w:ascii="宋体" w:hAnsi="宋体" w:eastAsia="宋体" w:cs="Times New Roman"/>
                <w:color w:val="auto"/>
              </w:rPr>
            </w:pPr>
          </w:p>
        </w:tc>
        <w:tc>
          <w:tcPr>
            <w:tcW w:w="859" w:type="dxa"/>
            <w:gridSpan w:val="2"/>
            <w:vAlign w:val="center"/>
          </w:tcPr>
          <w:p w14:paraId="610777B5">
            <w:pPr>
              <w:spacing w:line="340" w:lineRule="exact"/>
              <w:jc w:val="center"/>
              <w:rPr>
                <w:rFonts w:ascii="宋体" w:hAnsi="宋体" w:eastAsia="宋体" w:cs="Times New Roman"/>
                <w:color w:val="auto"/>
              </w:rPr>
            </w:pPr>
            <w:r>
              <w:rPr>
                <w:rFonts w:ascii="宋体" w:hAnsi="宋体" w:eastAsia="宋体" w:cs="Times New Roman"/>
                <w:color w:val="auto"/>
              </w:rPr>
              <w:t>废水治理措施</w:t>
            </w:r>
          </w:p>
        </w:tc>
        <w:tc>
          <w:tcPr>
            <w:tcW w:w="6115" w:type="dxa"/>
            <w:vAlign w:val="center"/>
          </w:tcPr>
          <w:p w14:paraId="768855C8">
            <w:pPr>
              <w:spacing w:line="340" w:lineRule="exact"/>
              <w:rPr>
                <w:rFonts w:ascii="宋体" w:hAnsi="宋体" w:eastAsia="宋体" w:cs="Times New Roman"/>
                <w:color w:val="auto"/>
              </w:rPr>
            </w:pPr>
            <w:r>
              <w:rPr>
                <w:rFonts w:ascii="宋体" w:hAnsi="宋体" w:eastAsia="宋体" w:cs="Times New Roman"/>
                <w:color w:val="auto"/>
              </w:rPr>
              <w:t>本项目退役期管线内介质均由压缩空气吹扫至拉油点储罐后续由罐车拉运进入集输系统处理。退役期施工人员产生的生活污水排入临时防渗旱厕内，施工结束后拉运至第十采油厂厂区污水泵房，经地下管网输至第十采油厂厂区生活污水处理站处理达标后排入牛毛沟。</w:t>
            </w:r>
          </w:p>
        </w:tc>
        <w:tc>
          <w:tcPr>
            <w:tcW w:w="730" w:type="dxa"/>
            <w:vAlign w:val="center"/>
          </w:tcPr>
          <w:p w14:paraId="674FE399">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3AC28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3E46AC44">
            <w:pPr>
              <w:spacing w:line="340" w:lineRule="exact"/>
              <w:jc w:val="center"/>
              <w:rPr>
                <w:rFonts w:ascii="宋体" w:hAnsi="宋体" w:eastAsia="宋体" w:cs="Times New Roman"/>
                <w:color w:val="auto"/>
              </w:rPr>
            </w:pPr>
          </w:p>
        </w:tc>
        <w:tc>
          <w:tcPr>
            <w:tcW w:w="689" w:type="dxa"/>
            <w:vMerge w:val="continue"/>
            <w:vAlign w:val="center"/>
          </w:tcPr>
          <w:p w14:paraId="384B8126">
            <w:pPr>
              <w:spacing w:line="340" w:lineRule="exact"/>
              <w:jc w:val="center"/>
              <w:rPr>
                <w:rFonts w:ascii="宋体" w:hAnsi="宋体" w:eastAsia="宋体" w:cs="Times New Roman"/>
                <w:color w:val="auto"/>
              </w:rPr>
            </w:pPr>
          </w:p>
        </w:tc>
        <w:tc>
          <w:tcPr>
            <w:tcW w:w="859" w:type="dxa"/>
            <w:gridSpan w:val="2"/>
            <w:vAlign w:val="center"/>
          </w:tcPr>
          <w:p w14:paraId="43A65D7B">
            <w:pPr>
              <w:spacing w:line="340" w:lineRule="exact"/>
              <w:jc w:val="center"/>
              <w:rPr>
                <w:rFonts w:ascii="宋体" w:hAnsi="宋体" w:eastAsia="宋体" w:cs="Times New Roman"/>
                <w:color w:val="auto"/>
              </w:rPr>
            </w:pPr>
            <w:r>
              <w:rPr>
                <w:rFonts w:ascii="宋体" w:hAnsi="宋体" w:eastAsia="宋体" w:cs="Times New Roman"/>
                <w:color w:val="auto"/>
              </w:rPr>
              <w:t>噪声</w:t>
            </w:r>
            <w:r>
              <w:rPr>
                <w:rFonts w:ascii="宋体" w:hAnsi="宋体" w:eastAsia="宋体" w:cs="Times New Roman"/>
                <w:color w:val="auto"/>
                <w:lang w:bidi="ar"/>
              </w:rPr>
              <w:t>治理措施</w:t>
            </w:r>
          </w:p>
        </w:tc>
        <w:tc>
          <w:tcPr>
            <w:tcW w:w="6115" w:type="dxa"/>
            <w:vAlign w:val="center"/>
          </w:tcPr>
          <w:p w14:paraId="605D06E2">
            <w:pPr>
              <w:spacing w:line="340" w:lineRule="exact"/>
              <w:rPr>
                <w:rFonts w:ascii="宋体" w:hAnsi="宋体" w:eastAsia="宋体" w:cs="Times New Roman"/>
                <w:color w:val="auto"/>
              </w:rPr>
            </w:pPr>
            <w:r>
              <w:rPr>
                <w:rFonts w:ascii="宋体" w:hAnsi="宋体" w:eastAsia="宋体" w:cs="Times New Roman"/>
                <w:color w:val="auto"/>
              </w:rPr>
              <w:t>合理安排施工进度，避免大量高噪声设备同时施工；选用低噪声设备；运输车辆选择避开居民区的路线。</w:t>
            </w:r>
          </w:p>
        </w:tc>
        <w:tc>
          <w:tcPr>
            <w:tcW w:w="730" w:type="dxa"/>
            <w:vAlign w:val="center"/>
          </w:tcPr>
          <w:p w14:paraId="6BDDE5B7">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25D0A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52CCC680">
            <w:pPr>
              <w:spacing w:line="340" w:lineRule="exact"/>
              <w:jc w:val="center"/>
              <w:rPr>
                <w:rFonts w:ascii="宋体" w:hAnsi="宋体" w:eastAsia="宋体" w:cs="Times New Roman"/>
                <w:color w:val="auto"/>
              </w:rPr>
            </w:pPr>
          </w:p>
        </w:tc>
        <w:tc>
          <w:tcPr>
            <w:tcW w:w="689" w:type="dxa"/>
            <w:vMerge w:val="continue"/>
            <w:vAlign w:val="center"/>
          </w:tcPr>
          <w:p w14:paraId="14E7F093">
            <w:pPr>
              <w:spacing w:line="340" w:lineRule="exact"/>
              <w:jc w:val="center"/>
              <w:rPr>
                <w:rFonts w:ascii="宋体" w:hAnsi="宋体" w:eastAsia="宋体" w:cs="Times New Roman"/>
                <w:color w:val="auto"/>
              </w:rPr>
            </w:pPr>
          </w:p>
        </w:tc>
        <w:tc>
          <w:tcPr>
            <w:tcW w:w="859" w:type="dxa"/>
            <w:gridSpan w:val="2"/>
            <w:vAlign w:val="center"/>
          </w:tcPr>
          <w:p w14:paraId="2104E33D">
            <w:pPr>
              <w:spacing w:line="340" w:lineRule="exact"/>
              <w:jc w:val="center"/>
              <w:rPr>
                <w:rFonts w:ascii="宋体" w:hAnsi="宋体" w:eastAsia="宋体" w:cs="Times New Roman"/>
                <w:color w:val="auto"/>
              </w:rPr>
            </w:pPr>
            <w:r>
              <w:rPr>
                <w:rFonts w:ascii="宋体" w:hAnsi="宋体" w:eastAsia="宋体" w:cs="Times New Roman"/>
                <w:color w:val="auto"/>
              </w:rPr>
              <w:t>固体废物治理措施</w:t>
            </w:r>
          </w:p>
        </w:tc>
        <w:tc>
          <w:tcPr>
            <w:tcW w:w="6115" w:type="dxa"/>
            <w:vAlign w:val="center"/>
          </w:tcPr>
          <w:p w14:paraId="538E589A">
            <w:pPr>
              <w:spacing w:line="340" w:lineRule="exact"/>
              <w:rPr>
                <w:rFonts w:ascii="宋体" w:hAnsi="宋体" w:eastAsia="宋体" w:cs="Times New Roman"/>
                <w:color w:val="auto"/>
              </w:rPr>
            </w:pPr>
            <w:r>
              <w:rPr>
                <w:rFonts w:ascii="宋体" w:hAnsi="宋体" w:eastAsia="宋体" w:cs="Times New Roman"/>
                <w:color w:val="auto"/>
              </w:rPr>
              <w:t>本项目退役管线两端封堵后直埋处理，退役期拆除的废旧设备全部回收至第十采油厂物资库。封井建筑垃圾统一收集后拉运至建筑垃圾调配场处置。生活垃圾统一收集</w:t>
            </w:r>
            <w:r>
              <w:rPr>
                <w:rFonts w:ascii="宋体" w:hAnsi="宋体" w:eastAsia="宋体" w:cs="Times New Roman"/>
                <w:color w:val="auto"/>
                <w:kern w:val="21"/>
              </w:rPr>
              <w:t>拉运至肇源县利民城市垃圾处理有限公司处理</w:t>
            </w:r>
            <w:r>
              <w:rPr>
                <w:rFonts w:ascii="宋体" w:hAnsi="宋体" w:eastAsia="宋体" w:cs="Times New Roman"/>
                <w:color w:val="auto"/>
              </w:rPr>
              <w:t>。</w:t>
            </w:r>
          </w:p>
        </w:tc>
        <w:tc>
          <w:tcPr>
            <w:tcW w:w="730" w:type="dxa"/>
            <w:vAlign w:val="center"/>
          </w:tcPr>
          <w:p w14:paraId="16E9E3B0">
            <w:pPr>
              <w:spacing w:line="340" w:lineRule="exact"/>
              <w:jc w:val="center"/>
              <w:rPr>
                <w:rFonts w:ascii="宋体" w:hAnsi="宋体" w:eastAsia="宋体" w:cs="Times New Roman"/>
                <w:color w:val="auto"/>
              </w:rPr>
            </w:pPr>
            <w:r>
              <w:rPr>
                <w:rFonts w:ascii="宋体" w:hAnsi="宋体" w:eastAsia="宋体" w:cs="Times New Roman"/>
                <w:color w:val="auto"/>
              </w:rPr>
              <w:t>依托</w:t>
            </w:r>
          </w:p>
        </w:tc>
      </w:tr>
      <w:tr w14:paraId="0A88A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5062C7C0">
            <w:pPr>
              <w:spacing w:line="340" w:lineRule="exact"/>
              <w:jc w:val="center"/>
              <w:rPr>
                <w:rFonts w:ascii="宋体" w:hAnsi="宋体" w:eastAsia="宋体" w:cs="Times New Roman"/>
                <w:color w:val="auto"/>
              </w:rPr>
            </w:pPr>
          </w:p>
        </w:tc>
        <w:tc>
          <w:tcPr>
            <w:tcW w:w="1548" w:type="dxa"/>
            <w:gridSpan w:val="3"/>
            <w:vMerge w:val="restart"/>
            <w:vAlign w:val="center"/>
          </w:tcPr>
          <w:p w14:paraId="7895FAD8">
            <w:pPr>
              <w:spacing w:line="340" w:lineRule="exact"/>
              <w:jc w:val="center"/>
              <w:rPr>
                <w:rFonts w:ascii="宋体" w:hAnsi="宋体" w:eastAsia="宋体" w:cs="Times New Roman"/>
                <w:color w:val="auto"/>
              </w:rPr>
            </w:pPr>
            <w:r>
              <w:rPr>
                <w:rFonts w:ascii="宋体" w:hAnsi="宋体" w:eastAsia="宋体" w:cs="Times New Roman"/>
                <w:color w:val="auto"/>
              </w:rPr>
              <w:t>地下水及土壤防护</w:t>
            </w:r>
          </w:p>
        </w:tc>
        <w:tc>
          <w:tcPr>
            <w:tcW w:w="6115" w:type="dxa"/>
            <w:vAlign w:val="center"/>
          </w:tcPr>
          <w:p w14:paraId="2CC53877">
            <w:pPr>
              <w:spacing w:line="340" w:lineRule="exact"/>
              <w:rPr>
                <w:rFonts w:ascii="宋体" w:hAnsi="宋体" w:eastAsia="宋体" w:cs="Times New Roman"/>
                <w:color w:val="auto"/>
                <w:kern w:val="21"/>
              </w:rPr>
            </w:pPr>
            <w:r>
              <w:rPr>
                <w:rFonts w:ascii="宋体" w:hAnsi="宋体" w:eastAsia="宋体" w:cs="Times New Roman"/>
                <w:color w:val="auto"/>
                <w:kern w:val="21"/>
              </w:rPr>
              <w:t>压裂优先选用无毒、低毒的环境友好型压裂液。本项目井场、集输管道等选址选线均避开了集中式饮用水源保护区、集中式饮用水源的补给区、径流区。油井</w:t>
            </w:r>
            <w:r>
              <w:rPr>
                <w:rFonts w:hint="eastAsia" w:ascii="宋体" w:hAnsi="宋体" w:eastAsia="宋体" w:cs="Times New Roman"/>
                <w:color w:val="auto"/>
                <w:kern w:val="21"/>
              </w:rPr>
              <w:t>运营期</w:t>
            </w:r>
            <w:r>
              <w:rPr>
                <w:rFonts w:ascii="宋体" w:hAnsi="宋体" w:eastAsia="宋体" w:cs="Times New Roman"/>
                <w:color w:val="auto"/>
                <w:kern w:val="21"/>
              </w:rPr>
              <w:t>间参照GB/T 17745要求进行井筒完整性管理，定期开展井筒完整性检查。</w:t>
            </w:r>
          </w:p>
        </w:tc>
        <w:tc>
          <w:tcPr>
            <w:tcW w:w="730" w:type="dxa"/>
            <w:vAlign w:val="center"/>
          </w:tcPr>
          <w:p w14:paraId="2513FAC9">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3B953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37188DF0">
            <w:pPr>
              <w:spacing w:line="340" w:lineRule="exact"/>
              <w:jc w:val="center"/>
              <w:rPr>
                <w:rFonts w:ascii="宋体" w:hAnsi="宋体" w:eastAsia="宋体" w:cs="Times New Roman"/>
                <w:color w:val="auto"/>
              </w:rPr>
            </w:pPr>
          </w:p>
        </w:tc>
        <w:tc>
          <w:tcPr>
            <w:tcW w:w="1548" w:type="dxa"/>
            <w:gridSpan w:val="3"/>
            <w:vMerge w:val="continue"/>
            <w:vAlign w:val="center"/>
          </w:tcPr>
          <w:p w14:paraId="440A0DB3">
            <w:pPr>
              <w:spacing w:line="340" w:lineRule="exact"/>
              <w:jc w:val="center"/>
              <w:rPr>
                <w:rFonts w:ascii="宋体" w:hAnsi="宋体" w:eastAsia="宋体" w:cs="Times New Roman"/>
                <w:color w:val="auto"/>
              </w:rPr>
            </w:pPr>
          </w:p>
        </w:tc>
        <w:tc>
          <w:tcPr>
            <w:tcW w:w="6115" w:type="dxa"/>
            <w:vAlign w:val="center"/>
          </w:tcPr>
          <w:p w14:paraId="50BC59E1">
            <w:pPr>
              <w:rPr>
                <w:rFonts w:ascii="宋体" w:hAnsi="宋体" w:eastAsia="宋体" w:cs="Times New Roman"/>
                <w:color w:val="auto"/>
                <w:kern w:val="21"/>
              </w:rPr>
            </w:pPr>
            <w:r>
              <w:rPr>
                <w:rFonts w:ascii="宋体" w:hAnsi="宋体" w:eastAsia="宋体" w:cs="Times New Roman"/>
                <w:color w:val="auto"/>
              </w:rPr>
              <w:t>在4口基建井区域上游王家粉坊屯水井（125.16401，45.57877）布设1口潜水背景值监测水井，区域内后欧力马水井（坐标125.17085</w:t>
            </w:r>
            <w:r>
              <w:rPr>
                <w:rFonts w:hint="eastAsia" w:ascii="宋体" w:hAnsi="宋体" w:eastAsia="宋体" w:cs="Times New Roman"/>
                <w:color w:val="auto"/>
              </w:rPr>
              <w:t>°</w:t>
            </w:r>
            <w:r>
              <w:rPr>
                <w:rFonts w:ascii="宋体" w:hAnsi="宋体" w:eastAsia="宋体" w:cs="Times New Roman"/>
                <w:color w:val="auto"/>
              </w:rPr>
              <w:t>，45.56812</w:t>
            </w:r>
            <w:r>
              <w:rPr>
                <w:rFonts w:hint="eastAsia" w:ascii="宋体" w:hAnsi="宋体" w:eastAsia="宋体" w:cs="Times New Roman"/>
                <w:color w:val="auto"/>
              </w:rPr>
              <w:t>°</w:t>
            </w:r>
            <w:r>
              <w:rPr>
                <w:rFonts w:ascii="宋体" w:hAnsi="宋体" w:eastAsia="宋体" w:cs="Times New Roman"/>
                <w:color w:val="auto"/>
              </w:rPr>
              <w:t>）布设1口潜水跟踪监测水井，在区域下游王家园子屯水井布设1口潜水跟踪监测水井（125.16117</w:t>
            </w:r>
            <w:r>
              <w:rPr>
                <w:rFonts w:hint="eastAsia" w:ascii="宋体" w:hAnsi="宋体" w:eastAsia="宋体" w:cs="Times New Roman"/>
                <w:color w:val="auto"/>
              </w:rPr>
              <w:t>°</w:t>
            </w:r>
            <w:r>
              <w:rPr>
                <w:rFonts w:ascii="宋体" w:hAnsi="宋体" w:eastAsia="宋体" w:cs="Times New Roman"/>
                <w:color w:val="auto"/>
              </w:rPr>
              <w:t>，45.55675</w:t>
            </w:r>
            <w:r>
              <w:rPr>
                <w:rFonts w:hint="eastAsia" w:ascii="宋体" w:hAnsi="宋体" w:eastAsia="宋体" w:cs="Times New Roman"/>
                <w:color w:val="auto"/>
              </w:rPr>
              <w:t>°</w:t>
            </w:r>
            <w:r>
              <w:rPr>
                <w:rFonts w:ascii="宋体" w:hAnsi="宋体" w:eastAsia="宋体" w:cs="Times New Roman"/>
                <w:color w:val="auto"/>
              </w:rPr>
              <w:t>），1口承压水跟踪监测水井（125.16466</w:t>
            </w:r>
            <w:r>
              <w:rPr>
                <w:rFonts w:hint="eastAsia" w:ascii="宋体" w:hAnsi="宋体" w:eastAsia="宋体" w:cs="Times New Roman"/>
                <w:color w:val="auto"/>
              </w:rPr>
              <w:t>°</w:t>
            </w:r>
            <w:r>
              <w:rPr>
                <w:rFonts w:ascii="宋体" w:hAnsi="宋体" w:eastAsia="宋体" w:cs="Times New Roman"/>
                <w:color w:val="auto"/>
              </w:rPr>
              <w:t>，45.55678</w:t>
            </w:r>
            <w:r>
              <w:rPr>
                <w:rFonts w:hint="eastAsia" w:ascii="宋体" w:hAnsi="宋体" w:eastAsia="宋体" w:cs="Times New Roman"/>
                <w:color w:val="auto"/>
              </w:rPr>
              <w:t>°</w:t>
            </w:r>
            <w:r>
              <w:rPr>
                <w:rFonts w:ascii="宋体" w:hAnsi="宋体" w:eastAsia="宋体" w:cs="Times New Roman"/>
                <w:color w:val="auto"/>
              </w:rPr>
              <w:t>）；在2口勘探井所在区块区域上游大姚</w:t>
            </w:r>
            <w:r>
              <w:rPr>
                <w:rFonts w:ascii="宋体" w:hAnsi="宋体" w:eastAsia="宋体"/>
                <w:color w:val="auto"/>
              </w:rPr>
              <w:t>屯水井（125.05032，45.51338）布设1口潜水背景值监测水井，在区域下游刘兽医屯水井布设1口潜水跟踪监测水井（125.04329</w:t>
            </w:r>
            <w:r>
              <w:rPr>
                <w:rFonts w:hint="eastAsia" w:ascii="宋体" w:hAnsi="宋体" w:eastAsia="宋体" w:cs="Times New Roman"/>
                <w:color w:val="auto"/>
              </w:rPr>
              <w:t>°</w:t>
            </w:r>
            <w:r>
              <w:rPr>
                <w:rFonts w:ascii="宋体" w:hAnsi="宋体" w:eastAsia="宋体"/>
                <w:color w:val="auto"/>
              </w:rPr>
              <w:t>，45.51033</w:t>
            </w:r>
            <w:r>
              <w:rPr>
                <w:rFonts w:hint="eastAsia" w:ascii="宋体" w:hAnsi="宋体" w:eastAsia="宋体" w:cs="Times New Roman"/>
                <w:color w:val="auto"/>
              </w:rPr>
              <w:t>°</w:t>
            </w:r>
            <w:r>
              <w:rPr>
                <w:rFonts w:ascii="宋体" w:hAnsi="宋体" w:eastAsia="宋体"/>
                <w:color w:val="auto"/>
              </w:rPr>
              <w:t>），1口承压水跟踪监测水井（125.04209</w:t>
            </w:r>
            <w:r>
              <w:rPr>
                <w:rFonts w:hint="eastAsia" w:ascii="宋体" w:hAnsi="宋体" w:eastAsia="宋体" w:cs="Times New Roman"/>
                <w:color w:val="auto"/>
              </w:rPr>
              <w:t>°</w:t>
            </w:r>
            <w:r>
              <w:rPr>
                <w:rFonts w:ascii="宋体" w:hAnsi="宋体" w:eastAsia="宋体"/>
                <w:color w:val="auto"/>
              </w:rPr>
              <w:t>，45.50913</w:t>
            </w:r>
            <w:r>
              <w:rPr>
                <w:rFonts w:hint="eastAsia" w:ascii="宋体" w:hAnsi="宋体" w:eastAsia="宋体" w:cs="Times New Roman"/>
                <w:color w:val="auto"/>
              </w:rPr>
              <w:t>°</w:t>
            </w:r>
            <w:r>
              <w:rPr>
                <w:rFonts w:ascii="宋体" w:hAnsi="宋体" w:eastAsia="宋体"/>
                <w:color w:val="auto"/>
              </w:rPr>
              <w:t>）；</w:t>
            </w:r>
            <w:r>
              <w:rPr>
                <w:rFonts w:ascii="宋体" w:hAnsi="宋体" w:eastAsia="宋体" w:cs="Times New Roman"/>
                <w:color w:val="auto"/>
              </w:rPr>
              <w:t>共计7口跟踪监测水井，定期对地下水进行跟踪监测</w:t>
            </w:r>
            <w:r>
              <w:rPr>
                <w:rFonts w:hint="eastAsia" w:ascii="宋体" w:hAnsi="宋体" w:eastAsia="宋体" w:cs="Times New Roman"/>
                <w:color w:val="auto"/>
              </w:rPr>
              <w:t>。</w:t>
            </w:r>
          </w:p>
        </w:tc>
        <w:tc>
          <w:tcPr>
            <w:tcW w:w="730" w:type="dxa"/>
            <w:vAlign w:val="center"/>
          </w:tcPr>
          <w:p w14:paraId="64D0DC03">
            <w:pPr>
              <w:spacing w:line="340" w:lineRule="exact"/>
              <w:jc w:val="center"/>
              <w:rPr>
                <w:rFonts w:ascii="宋体" w:hAnsi="宋体" w:eastAsia="宋体" w:cs="Times New Roman"/>
                <w:color w:val="auto"/>
              </w:rPr>
            </w:pPr>
            <w:r>
              <w:rPr>
                <w:rFonts w:ascii="宋体" w:hAnsi="宋体" w:eastAsia="宋体" w:cs="Times New Roman"/>
                <w:color w:val="auto"/>
              </w:rPr>
              <w:t>依托周边已建水井</w:t>
            </w:r>
          </w:p>
        </w:tc>
      </w:tr>
      <w:tr w14:paraId="3007F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67B8887E">
            <w:pPr>
              <w:spacing w:line="340" w:lineRule="exact"/>
              <w:jc w:val="center"/>
              <w:rPr>
                <w:rFonts w:ascii="宋体" w:hAnsi="宋体" w:eastAsia="宋体" w:cs="Times New Roman"/>
                <w:color w:val="auto"/>
              </w:rPr>
            </w:pPr>
          </w:p>
        </w:tc>
        <w:tc>
          <w:tcPr>
            <w:tcW w:w="1548" w:type="dxa"/>
            <w:gridSpan w:val="3"/>
            <w:vMerge w:val="continue"/>
            <w:vAlign w:val="center"/>
          </w:tcPr>
          <w:p w14:paraId="2D592FE7">
            <w:pPr>
              <w:spacing w:line="340" w:lineRule="exact"/>
              <w:jc w:val="center"/>
              <w:rPr>
                <w:rFonts w:ascii="宋体" w:hAnsi="宋体" w:eastAsia="宋体" w:cs="Times New Roman"/>
                <w:color w:val="auto"/>
              </w:rPr>
            </w:pPr>
          </w:p>
        </w:tc>
        <w:tc>
          <w:tcPr>
            <w:tcW w:w="6115" w:type="dxa"/>
            <w:vAlign w:val="center"/>
          </w:tcPr>
          <w:p w14:paraId="518F7A7F">
            <w:pPr>
              <w:spacing w:line="340" w:lineRule="exact"/>
              <w:rPr>
                <w:rFonts w:ascii="宋体" w:hAnsi="宋体" w:eastAsia="宋体" w:cs="Times New Roman"/>
                <w:color w:val="auto"/>
                <w:kern w:val="21"/>
              </w:rPr>
            </w:pPr>
            <w:r>
              <w:rPr>
                <w:rFonts w:ascii="宋体" w:hAnsi="宋体" w:eastAsia="宋体" w:cs="Times New Roman"/>
                <w:color w:val="auto"/>
                <w:kern w:val="21"/>
              </w:rPr>
              <w:t>在</w:t>
            </w:r>
            <w:r>
              <w:rPr>
                <w:rFonts w:hint="eastAsia" w:ascii="宋体" w:hAnsi="宋体" w:eastAsia="宋体" w:cs="Times New Roman"/>
                <w:color w:val="auto"/>
              </w:rPr>
              <w:t>3#平台</w:t>
            </w:r>
            <w:r>
              <w:rPr>
                <w:rFonts w:ascii="宋体" w:hAnsi="宋体" w:eastAsia="宋体" w:cs="Times New Roman"/>
                <w:color w:val="auto"/>
              </w:rPr>
              <w:t>井场</w:t>
            </w:r>
            <w:r>
              <w:rPr>
                <w:rFonts w:ascii="宋体" w:hAnsi="宋体" w:eastAsia="宋体" w:cs="Times New Roman"/>
                <w:color w:val="auto"/>
                <w:kern w:val="21"/>
              </w:rPr>
              <w:t>、</w:t>
            </w:r>
            <w:r>
              <w:rPr>
                <w:rFonts w:hint="eastAsia" w:ascii="宋体" w:hAnsi="宋体" w:eastAsia="宋体" w:cs="Times New Roman"/>
                <w:color w:val="auto"/>
                <w:kern w:val="21"/>
              </w:rPr>
              <w:t>源1011井场、源斜2401井场</w:t>
            </w:r>
            <w:r>
              <w:rPr>
                <w:rFonts w:ascii="宋体" w:hAnsi="宋体" w:eastAsia="宋体" w:cs="Times New Roman"/>
                <w:color w:val="auto"/>
                <w:kern w:val="21"/>
              </w:rPr>
              <w:t>共布设3个土壤跟踪监测点，定期对土壤进行跟踪监测，监测因子为pH、石油类、石油烃（C</w:t>
            </w:r>
            <w:r>
              <w:rPr>
                <w:rFonts w:ascii="宋体" w:hAnsi="宋体" w:eastAsia="宋体" w:cs="Times New Roman"/>
                <w:color w:val="auto"/>
                <w:kern w:val="21"/>
                <w:vertAlign w:val="subscript"/>
              </w:rPr>
              <w:t>6</w:t>
            </w:r>
            <w:r>
              <w:rPr>
                <w:rFonts w:ascii="宋体" w:hAnsi="宋体" w:eastAsia="宋体" w:cs="Times New Roman"/>
                <w:color w:val="auto"/>
                <w:kern w:val="21"/>
              </w:rPr>
              <w:t>～C</w:t>
            </w:r>
            <w:r>
              <w:rPr>
                <w:rFonts w:ascii="宋体" w:hAnsi="宋体" w:eastAsia="宋体" w:cs="Times New Roman"/>
                <w:color w:val="auto"/>
                <w:kern w:val="21"/>
                <w:vertAlign w:val="subscript"/>
              </w:rPr>
              <w:t>9</w:t>
            </w:r>
            <w:r>
              <w:rPr>
                <w:rFonts w:ascii="宋体" w:hAnsi="宋体" w:eastAsia="宋体" w:cs="Times New Roman"/>
                <w:color w:val="auto"/>
                <w:kern w:val="21"/>
              </w:rPr>
              <w:t>）、石油烃（C</w:t>
            </w:r>
            <w:r>
              <w:rPr>
                <w:rFonts w:ascii="宋体" w:hAnsi="宋体" w:eastAsia="宋体" w:cs="Times New Roman"/>
                <w:color w:val="auto"/>
                <w:kern w:val="21"/>
                <w:vertAlign w:val="subscript"/>
              </w:rPr>
              <w:t>10</w:t>
            </w:r>
            <w:r>
              <w:rPr>
                <w:rFonts w:ascii="宋体" w:hAnsi="宋体" w:eastAsia="宋体" w:cs="Times New Roman"/>
                <w:color w:val="auto"/>
                <w:kern w:val="21"/>
              </w:rPr>
              <w:t>～C</w:t>
            </w:r>
            <w:r>
              <w:rPr>
                <w:rFonts w:ascii="宋体" w:hAnsi="宋体" w:eastAsia="宋体" w:cs="Times New Roman"/>
                <w:color w:val="auto"/>
                <w:kern w:val="21"/>
                <w:vertAlign w:val="subscript"/>
              </w:rPr>
              <w:t>40</w:t>
            </w:r>
            <w:r>
              <w:rPr>
                <w:rFonts w:ascii="宋体" w:hAnsi="宋体" w:eastAsia="宋体" w:cs="Times New Roman"/>
                <w:color w:val="auto"/>
                <w:kern w:val="21"/>
              </w:rPr>
              <w:t>）、砷、六价铬，监测频次为1次/年。</w:t>
            </w:r>
          </w:p>
        </w:tc>
        <w:tc>
          <w:tcPr>
            <w:tcW w:w="730" w:type="dxa"/>
            <w:vAlign w:val="center"/>
          </w:tcPr>
          <w:p w14:paraId="085B4237">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293ED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3C988564">
            <w:pPr>
              <w:spacing w:line="340" w:lineRule="exact"/>
              <w:jc w:val="center"/>
              <w:rPr>
                <w:rFonts w:ascii="宋体" w:hAnsi="宋体" w:eastAsia="宋体" w:cs="Times New Roman"/>
                <w:color w:val="auto"/>
              </w:rPr>
            </w:pPr>
          </w:p>
        </w:tc>
        <w:tc>
          <w:tcPr>
            <w:tcW w:w="1548" w:type="dxa"/>
            <w:gridSpan w:val="3"/>
            <w:vMerge w:val="continue"/>
            <w:vAlign w:val="center"/>
          </w:tcPr>
          <w:p w14:paraId="42421602">
            <w:pPr>
              <w:spacing w:line="340" w:lineRule="exact"/>
              <w:jc w:val="center"/>
              <w:rPr>
                <w:rFonts w:ascii="宋体" w:hAnsi="宋体" w:eastAsia="宋体" w:cs="Times New Roman"/>
                <w:color w:val="auto"/>
              </w:rPr>
            </w:pPr>
          </w:p>
        </w:tc>
        <w:tc>
          <w:tcPr>
            <w:tcW w:w="6115" w:type="dxa"/>
            <w:vAlign w:val="center"/>
          </w:tcPr>
          <w:p w14:paraId="7C532BE8">
            <w:pPr>
              <w:spacing w:line="340" w:lineRule="exact"/>
              <w:rPr>
                <w:rFonts w:ascii="宋体" w:hAnsi="宋体" w:eastAsia="宋体" w:cs="Times New Roman"/>
                <w:color w:val="auto"/>
              </w:rPr>
            </w:pPr>
            <w:r>
              <w:rPr>
                <w:rFonts w:ascii="宋体" w:hAnsi="宋体" w:eastAsia="宋体" w:cs="Times New Roman"/>
                <w:snapToGrid w:val="0"/>
                <w:color w:val="auto"/>
              </w:rPr>
              <w:t>施工期分区防渗：柴油罐区、泥浆循环罐、钻井液材料房、发电机房、水基钢制泥浆槽、油基钢制泥浆槽、钻台及压裂车作业区为重点防渗，</w:t>
            </w:r>
            <w:r>
              <w:rPr>
                <w:rFonts w:ascii="宋体" w:hAnsi="宋体" w:eastAsia="宋体" w:cs="Times New Roman"/>
                <w:color w:val="auto"/>
              </w:rPr>
              <w:t>采用地面碾压平整并铺设2mm厚防渗布进行防渗，渗透系数为1.0×10</w:t>
            </w:r>
            <w:r>
              <w:rPr>
                <w:rFonts w:ascii="宋体" w:hAnsi="宋体" w:eastAsia="宋体" w:cs="Times New Roman"/>
                <w:color w:val="auto"/>
                <w:vertAlign w:val="superscript"/>
              </w:rPr>
              <w:t>-10</w:t>
            </w:r>
            <w:r>
              <w:rPr>
                <w:rFonts w:ascii="宋体" w:hAnsi="宋体" w:eastAsia="宋体" w:cs="Times New Roman"/>
                <w:color w:val="auto"/>
              </w:rPr>
              <w:t>cm/s；其他材料房、机械修理房、临时防渗旱厕为一般防渗，采用1.5mm厚防渗布进行防渗，渗透系数为1.0×10</w:t>
            </w:r>
            <w:r>
              <w:rPr>
                <w:rFonts w:ascii="宋体" w:hAnsi="宋体" w:eastAsia="宋体" w:cs="Times New Roman"/>
                <w:color w:val="auto"/>
                <w:vertAlign w:val="superscript"/>
              </w:rPr>
              <w:t>-7</w:t>
            </w:r>
            <w:r>
              <w:rPr>
                <w:rFonts w:ascii="宋体" w:hAnsi="宋体" w:eastAsia="宋体" w:cs="Times New Roman"/>
                <w:color w:val="auto"/>
              </w:rPr>
              <w:t>cm/s；压裂施工混砂车和储砂区、施工井场其他区域采用地面碾压平整。</w:t>
            </w:r>
          </w:p>
        </w:tc>
        <w:tc>
          <w:tcPr>
            <w:tcW w:w="730" w:type="dxa"/>
            <w:vAlign w:val="center"/>
          </w:tcPr>
          <w:p w14:paraId="1DC853AD">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60D18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6B17EE4D">
            <w:pPr>
              <w:spacing w:line="340" w:lineRule="exact"/>
              <w:jc w:val="center"/>
              <w:rPr>
                <w:rFonts w:ascii="宋体" w:hAnsi="宋体" w:eastAsia="宋体" w:cs="Times New Roman"/>
                <w:color w:val="auto"/>
              </w:rPr>
            </w:pPr>
          </w:p>
        </w:tc>
        <w:tc>
          <w:tcPr>
            <w:tcW w:w="1548" w:type="dxa"/>
            <w:gridSpan w:val="3"/>
            <w:vMerge w:val="continue"/>
            <w:vAlign w:val="center"/>
          </w:tcPr>
          <w:p w14:paraId="101DF23E">
            <w:pPr>
              <w:spacing w:line="340" w:lineRule="exact"/>
              <w:jc w:val="center"/>
              <w:rPr>
                <w:rFonts w:ascii="宋体" w:hAnsi="宋体" w:eastAsia="宋体" w:cs="Times New Roman"/>
                <w:color w:val="auto"/>
              </w:rPr>
            </w:pPr>
          </w:p>
        </w:tc>
        <w:tc>
          <w:tcPr>
            <w:tcW w:w="6115" w:type="dxa"/>
            <w:vAlign w:val="center"/>
          </w:tcPr>
          <w:p w14:paraId="67E2E826">
            <w:pPr>
              <w:spacing w:line="340" w:lineRule="exact"/>
              <w:rPr>
                <w:rFonts w:ascii="宋体" w:hAnsi="宋体" w:eastAsia="宋体" w:cs="Times New Roman"/>
                <w:color w:val="auto"/>
                <w:kern w:val="21"/>
              </w:rPr>
            </w:pPr>
            <w:r>
              <w:rPr>
                <w:rFonts w:ascii="宋体" w:hAnsi="宋体" w:eastAsia="宋体" w:cs="Times New Roman"/>
                <w:color w:val="auto"/>
              </w:rPr>
              <w:t>运营期分区防渗：集油管道为重点防渗，管道采用防腐无缝钢管，管道的连接方式采用焊接，管道设计壁厚的腐蚀余量为2mm或采用管道内防腐，管道的外防腐等级采用特加强级；油井作业期间井场作业区和拉油点储罐区做重点防渗处理，作业区和拉油点储罐占地内铺设2mm厚防渗布进行防渗，渗透系数为1.0×10</w:t>
            </w:r>
            <w:r>
              <w:rPr>
                <w:rFonts w:ascii="宋体" w:hAnsi="宋体" w:eastAsia="宋体" w:cs="Times New Roman"/>
                <w:color w:val="auto"/>
                <w:vertAlign w:val="superscript"/>
              </w:rPr>
              <w:t>-10</w:t>
            </w:r>
            <w:r>
              <w:rPr>
                <w:rFonts w:ascii="宋体" w:hAnsi="宋体" w:eastAsia="宋体" w:cs="Times New Roman"/>
                <w:color w:val="auto"/>
              </w:rPr>
              <w:t>cm/s；井场永久占地内采用地面夯实碾压平整进行处理</w:t>
            </w:r>
            <w:r>
              <w:rPr>
                <w:rFonts w:ascii="宋体" w:hAnsi="宋体" w:eastAsia="宋体" w:cs="Times New Roman"/>
                <w:color w:val="auto"/>
                <w:kern w:val="21"/>
              </w:rPr>
              <w:t>。</w:t>
            </w:r>
          </w:p>
        </w:tc>
        <w:tc>
          <w:tcPr>
            <w:tcW w:w="730" w:type="dxa"/>
            <w:vAlign w:val="center"/>
          </w:tcPr>
          <w:p w14:paraId="06F0D96B">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103B5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61746401">
            <w:pPr>
              <w:spacing w:line="340" w:lineRule="exact"/>
              <w:jc w:val="center"/>
              <w:rPr>
                <w:rFonts w:ascii="宋体" w:hAnsi="宋体" w:eastAsia="宋体" w:cs="Times New Roman"/>
                <w:color w:val="auto"/>
              </w:rPr>
            </w:pPr>
          </w:p>
        </w:tc>
        <w:tc>
          <w:tcPr>
            <w:tcW w:w="765" w:type="dxa"/>
            <w:gridSpan w:val="2"/>
            <w:vMerge w:val="restart"/>
            <w:tcBorders>
              <w:right w:val="single" w:color="auto" w:sz="4" w:space="0"/>
            </w:tcBorders>
            <w:vAlign w:val="center"/>
          </w:tcPr>
          <w:p w14:paraId="492D6570">
            <w:pPr>
              <w:spacing w:line="340" w:lineRule="exact"/>
              <w:jc w:val="center"/>
              <w:rPr>
                <w:rFonts w:ascii="宋体" w:hAnsi="宋体" w:eastAsia="宋体" w:cs="Times New Roman"/>
                <w:color w:val="auto"/>
              </w:rPr>
            </w:pPr>
            <w:r>
              <w:rPr>
                <w:rFonts w:ascii="宋体" w:hAnsi="宋体" w:eastAsia="宋体" w:cs="Times New Roman"/>
                <w:color w:val="auto"/>
              </w:rPr>
              <w:t>生态治理</w:t>
            </w:r>
          </w:p>
        </w:tc>
        <w:tc>
          <w:tcPr>
            <w:tcW w:w="783" w:type="dxa"/>
            <w:tcBorders>
              <w:left w:val="single" w:color="auto" w:sz="4" w:space="0"/>
            </w:tcBorders>
            <w:vAlign w:val="center"/>
          </w:tcPr>
          <w:p w14:paraId="6D9942D1">
            <w:pPr>
              <w:spacing w:line="340" w:lineRule="exact"/>
              <w:jc w:val="center"/>
              <w:rPr>
                <w:rFonts w:ascii="宋体" w:hAnsi="宋体" w:eastAsia="宋体" w:cs="Times New Roman"/>
                <w:color w:val="auto"/>
              </w:rPr>
            </w:pPr>
            <w:r>
              <w:rPr>
                <w:rFonts w:ascii="宋体" w:hAnsi="宋体" w:eastAsia="宋体" w:cs="Times New Roman"/>
                <w:color w:val="auto"/>
              </w:rPr>
              <w:t>施工期</w:t>
            </w:r>
          </w:p>
        </w:tc>
        <w:tc>
          <w:tcPr>
            <w:tcW w:w="6115" w:type="dxa"/>
            <w:vAlign w:val="center"/>
          </w:tcPr>
          <w:p w14:paraId="2BA5308E">
            <w:pPr>
              <w:spacing w:line="340" w:lineRule="exact"/>
              <w:rPr>
                <w:rFonts w:ascii="宋体" w:hAnsi="宋体" w:eastAsia="宋体" w:cs="Times New Roman"/>
                <w:color w:val="auto"/>
              </w:rPr>
            </w:pPr>
            <w:r>
              <w:rPr>
                <w:rFonts w:ascii="宋体" w:hAnsi="宋体" w:eastAsia="宋体" w:cs="Times New Roman"/>
                <w:color w:val="auto"/>
              </w:rPr>
              <w:t>施工期间应划定施工活动范围，严格控制施工作业面积。针对临时占地应剥离占地内0.3m的表土，采用分层开挖，分层堆放，暂存于临时占地内的表土剥离临时堆放区，并采取苫布遮盖，表土剥离临时堆放区周围设置排水沟等措施防止水土流失，并定期采取洒水抑尘措施，剥离的表土在施工结束后分层回填。对临时占用的土地进行植被恢复和地表平整，恢复临时占地</w:t>
            </w:r>
            <w:r>
              <w:rPr>
                <w:rFonts w:hint="eastAsia" w:ascii="宋体" w:hAnsi="宋体" w:eastAsia="宋体" w:cs="Times New Roman"/>
                <w:color w:val="auto"/>
              </w:rPr>
              <w:t>4.46</w:t>
            </w:r>
            <w:r>
              <w:rPr>
                <w:rFonts w:ascii="宋体" w:hAnsi="宋体" w:eastAsia="宋体" w:cs="Times New Roman"/>
                <w:color w:val="auto"/>
              </w:rPr>
              <w:t>hm</w:t>
            </w:r>
            <w:r>
              <w:rPr>
                <w:rFonts w:ascii="宋体" w:hAnsi="宋体" w:eastAsia="宋体" w:cs="Times New Roman"/>
                <w:color w:val="auto"/>
                <w:vertAlign w:val="superscript"/>
              </w:rPr>
              <w:t>2</w:t>
            </w:r>
            <w:r>
              <w:rPr>
                <w:rFonts w:ascii="宋体" w:hAnsi="宋体" w:eastAsia="宋体" w:cs="Times New Roman"/>
                <w:color w:val="auto"/>
              </w:rPr>
              <w:t>；对永久占用基本农田按照</w:t>
            </w:r>
            <w:r>
              <w:rPr>
                <w:rFonts w:ascii="宋体" w:hAnsi="宋体" w:eastAsia="宋体" w:cs="Times New Roman"/>
                <w:iCs/>
                <w:color w:val="auto"/>
              </w:rPr>
              <w:t>“占一补一”原则及相关规定缴纳土地补偿费，专款用于占地补偿，按规定补划永久基本农田</w:t>
            </w:r>
            <w:r>
              <w:rPr>
                <w:rFonts w:ascii="宋体" w:hAnsi="宋体" w:eastAsia="宋体" w:cs="Times New Roman"/>
                <w:color w:val="auto"/>
              </w:rPr>
              <w:t>，补偿面积</w:t>
            </w:r>
            <w:r>
              <w:rPr>
                <w:rFonts w:hint="eastAsia" w:ascii="宋体" w:hAnsi="宋体" w:eastAsia="宋体" w:cs="Times New Roman"/>
                <w:color w:val="auto"/>
              </w:rPr>
              <w:t>3.254</w:t>
            </w:r>
            <w:r>
              <w:rPr>
                <w:rFonts w:ascii="宋体" w:hAnsi="宋体" w:eastAsia="宋体" w:cs="Times New Roman"/>
                <w:color w:val="auto"/>
              </w:rPr>
              <w:t>hm</w:t>
            </w:r>
            <w:r>
              <w:rPr>
                <w:rFonts w:ascii="宋体" w:hAnsi="宋体" w:eastAsia="宋体" w:cs="Times New Roman"/>
                <w:color w:val="auto"/>
                <w:vertAlign w:val="superscript"/>
              </w:rPr>
              <w:t>2</w:t>
            </w:r>
            <w:r>
              <w:rPr>
                <w:rFonts w:ascii="宋体" w:hAnsi="宋体" w:eastAsia="宋体" w:cs="Times New Roman"/>
                <w:color w:val="auto"/>
              </w:rPr>
              <w:t>，永久占用其他土地按规定缴纳征地费。</w:t>
            </w:r>
          </w:p>
        </w:tc>
        <w:tc>
          <w:tcPr>
            <w:tcW w:w="730" w:type="dxa"/>
            <w:vAlign w:val="center"/>
          </w:tcPr>
          <w:p w14:paraId="7B448F53">
            <w:pPr>
              <w:spacing w:line="340" w:lineRule="exact"/>
              <w:jc w:val="center"/>
              <w:rPr>
                <w:rFonts w:ascii="宋体" w:hAnsi="宋体" w:eastAsia="宋体" w:cs="Times New Roman"/>
                <w:color w:val="auto"/>
              </w:rPr>
            </w:pPr>
            <w:r>
              <w:rPr>
                <w:rFonts w:ascii="宋体" w:hAnsi="宋体" w:eastAsia="宋体" w:cs="Times New Roman"/>
                <w:color w:val="auto"/>
              </w:rPr>
              <w:t>恢复、补偿</w:t>
            </w:r>
          </w:p>
        </w:tc>
      </w:tr>
      <w:tr w14:paraId="144CC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 w:hRule="atLeast"/>
        </w:trPr>
        <w:tc>
          <w:tcPr>
            <w:tcW w:w="667" w:type="dxa"/>
            <w:vMerge w:val="continue"/>
            <w:vAlign w:val="center"/>
          </w:tcPr>
          <w:p w14:paraId="4FA79FAB">
            <w:pPr>
              <w:spacing w:line="340" w:lineRule="exact"/>
              <w:jc w:val="center"/>
              <w:rPr>
                <w:rFonts w:ascii="宋体" w:hAnsi="宋体" w:eastAsia="宋体" w:cs="Times New Roman"/>
                <w:color w:val="auto"/>
              </w:rPr>
            </w:pPr>
          </w:p>
        </w:tc>
        <w:tc>
          <w:tcPr>
            <w:tcW w:w="765" w:type="dxa"/>
            <w:gridSpan w:val="2"/>
            <w:vMerge w:val="continue"/>
            <w:tcBorders>
              <w:right w:val="single" w:color="auto" w:sz="4" w:space="0"/>
            </w:tcBorders>
            <w:vAlign w:val="center"/>
          </w:tcPr>
          <w:p w14:paraId="6CA534CA">
            <w:pPr>
              <w:spacing w:line="340" w:lineRule="exact"/>
              <w:jc w:val="center"/>
              <w:rPr>
                <w:rFonts w:ascii="宋体" w:hAnsi="宋体" w:eastAsia="宋体" w:cs="Times New Roman"/>
                <w:color w:val="auto"/>
              </w:rPr>
            </w:pPr>
          </w:p>
        </w:tc>
        <w:tc>
          <w:tcPr>
            <w:tcW w:w="783" w:type="dxa"/>
            <w:tcBorders>
              <w:left w:val="single" w:color="auto" w:sz="4" w:space="0"/>
              <w:bottom w:val="single" w:color="auto" w:sz="4" w:space="0"/>
            </w:tcBorders>
            <w:vAlign w:val="center"/>
          </w:tcPr>
          <w:p w14:paraId="18E72923">
            <w:pPr>
              <w:spacing w:line="340" w:lineRule="exact"/>
              <w:jc w:val="center"/>
              <w:rPr>
                <w:rFonts w:ascii="宋体" w:hAnsi="宋体" w:eastAsia="宋体" w:cs="Times New Roman"/>
                <w:color w:val="auto"/>
              </w:rPr>
            </w:pPr>
            <w:r>
              <w:rPr>
                <w:rFonts w:ascii="宋体" w:hAnsi="宋体" w:eastAsia="宋体" w:cs="Times New Roman"/>
                <w:color w:val="auto"/>
              </w:rPr>
              <w:t>运营期</w:t>
            </w:r>
          </w:p>
        </w:tc>
        <w:tc>
          <w:tcPr>
            <w:tcW w:w="6115" w:type="dxa"/>
            <w:tcBorders>
              <w:bottom w:val="single" w:color="auto" w:sz="4" w:space="0"/>
            </w:tcBorders>
            <w:vAlign w:val="center"/>
          </w:tcPr>
          <w:p w14:paraId="7721F203">
            <w:pPr>
              <w:spacing w:line="340" w:lineRule="exact"/>
              <w:rPr>
                <w:rFonts w:ascii="宋体" w:hAnsi="宋体" w:eastAsia="宋体" w:cs="Times New Roman"/>
                <w:color w:val="auto"/>
              </w:rPr>
            </w:pPr>
            <w:r>
              <w:rPr>
                <w:rFonts w:ascii="宋体" w:hAnsi="宋体" w:eastAsia="宋体" w:cs="Times New Roman"/>
                <w:color w:val="auto"/>
              </w:rPr>
              <w:t>严格控制油井作业占地，普通井下作业不新征临时占地；严格控制和管理车辆及重型机械的运行范围，所有车辆采用“一”字型作业法，避免并行开辟新路，油井作业时严格执行环保措施，控制污染物的外排量，保证“工完料净场地清”，作业后无落地油遗留井场。</w:t>
            </w:r>
          </w:p>
        </w:tc>
        <w:tc>
          <w:tcPr>
            <w:tcW w:w="730" w:type="dxa"/>
            <w:tcBorders>
              <w:bottom w:val="single" w:color="auto" w:sz="4" w:space="0"/>
            </w:tcBorders>
            <w:vAlign w:val="center"/>
          </w:tcPr>
          <w:p w14:paraId="6C4E562C">
            <w:pPr>
              <w:spacing w:line="340" w:lineRule="exact"/>
              <w:jc w:val="center"/>
              <w:rPr>
                <w:rFonts w:ascii="宋体" w:hAnsi="宋体" w:eastAsia="宋体" w:cs="Times New Roman"/>
                <w:color w:val="auto"/>
              </w:rPr>
            </w:pPr>
            <w:r>
              <w:rPr>
                <w:rFonts w:ascii="宋体" w:hAnsi="宋体" w:eastAsia="宋体" w:cs="Times New Roman"/>
                <w:color w:val="auto"/>
              </w:rPr>
              <w:t>/</w:t>
            </w:r>
          </w:p>
        </w:tc>
      </w:tr>
      <w:tr w14:paraId="013D1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667" w:type="dxa"/>
            <w:vMerge w:val="continue"/>
            <w:vAlign w:val="center"/>
          </w:tcPr>
          <w:p w14:paraId="600FE039">
            <w:pPr>
              <w:spacing w:line="340" w:lineRule="exact"/>
              <w:jc w:val="center"/>
              <w:rPr>
                <w:rFonts w:ascii="宋体" w:hAnsi="宋体" w:eastAsia="宋体" w:cs="Times New Roman"/>
                <w:color w:val="auto"/>
              </w:rPr>
            </w:pPr>
          </w:p>
        </w:tc>
        <w:tc>
          <w:tcPr>
            <w:tcW w:w="765" w:type="dxa"/>
            <w:gridSpan w:val="2"/>
            <w:vMerge w:val="continue"/>
            <w:tcBorders>
              <w:right w:val="single" w:color="auto" w:sz="4" w:space="0"/>
            </w:tcBorders>
            <w:vAlign w:val="center"/>
          </w:tcPr>
          <w:p w14:paraId="5C19C2AC">
            <w:pPr>
              <w:spacing w:line="340" w:lineRule="exact"/>
              <w:jc w:val="center"/>
              <w:rPr>
                <w:rFonts w:ascii="宋体" w:hAnsi="宋体" w:eastAsia="宋体" w:cs="Times New Roman"/>
                <w:color w:val="auto"/>
              </w:rPr>
            </w:pPr>
          </w:p>
        </w:tc>
        <w:tc>
          <w:tcPr>
            <w:tcW w:w="783" w:type="dxa"/>
            <w:tcBorders>
              <w:top w:val="single" w:color="auto" w:sz="4" w:space="0"/>
              <w:left w:val="single" w:color="auto" w:sz="4" w:space="0"/>
            </w:tcBorders>
            <w:vAlign w:val="center"/>
          </w:tcPr>
          <w:p w14:paraId="634E23C3">
            <w:pPr>
              <w:spacing w:line="340" w:lineRule="exact"/>
              <w:jc w:val="center"/>
              <w:rPr>
                <w:rFonts w:ascii="宋体" w:hAnsi="宋体" w:eastAsia="宋体" w:cs="Times New Roman"/>
                <w:color w:val="auto"/>
              </w:rPr>
            </w:pPr>
            <w:r>
              <w:rPr>
                <w:rFonts w:ascii="宋体" w:hAnsi="宋体" w:eastAsia="宋体" w:cs="Times New Roman"/>
                <w:color w:val="auto"/>
              </w:rPr>
              <w:t>退役期</w:t>
            </w:r>
          </w:p>
        </w:tc>
        <w:tc>
          <w:tcPr>
            <w:tcW w:w="6115" w:type="dxa"/>
            <w:tcBorders>
              <w:top w:val="single" w:color="auto" w:sz="4" w:space="0"/>
            </w:tcBorders>
            <w:vAlign w:val="center"/>
          </w:tcPr>
          <w:p w14:paraId="47BEE387">
            <w:pPr>
              <w:spacing w:line="340" w:lineRule="exact"/>
              <w:rPr>
                <w:rFonts w:ascii="宋体" w:hAnsi="宋体" w:eastAsia="宋体" w:cs="Times New Roman"/>
                <w:color w:val="auto"/>
              </w:rPr>
            </w:pPr>
            <w:r>
              <w:rPr>
                <w:rFonts w:ascii="宋体" w:hAnsi="宋体" w:eastAsia="宋体" w:cs="Times New Roman"/>
                <w:color w:val="auto"/>
              </w:rPr>
              <w:t>井场应拆除采油设备、封好井口，挖松固化地面，并对井场土地进行平整、翻松，同步实施井场复垦还田措施。为避免退役管线开挖对生态环境的影响，管线退役阶段不进行开挖，采取管线两段灌注水泥封堵直埋处理；对井场通井路的永久占地要进行生态恢复，采取土地平整、翻松，及时复耕。</w:t>
            </w:r>
          </w:p>
        </w:tc>
        <w:tc>
          <w:tcPr>
            <w:tcW w:w="730" w:type="dxa"/>
            <w:tcBorders>
              <w:top w:val="single" w:color="auto" w:sz="4" w:space="0"/>
            </w:tcBorders>
            <w:vAlign w:val="center"/>
          </w:tcPr>
          <w:p w14:paraId="012B9D45">
            <w:pPr>
              <w:spacing w:line="340" w:lineRule="exact"/>
              <w:jc w:val="center"/>
              <w:rPr>
                <w:rFonts w:ascii="宋体" w:hAnsi="宋体" w:eastAsia="宋体" w:cs="Times New Roman"/>
                <w:color w:val="auto"/>
              </w:rPr>
            </w:pPr>
            <w:r>
              <w:rPr>
                <w:rFonts w:ascii="宋体" w:hAnsi="宋体" w:eastAsia="宋体" w:cs="Times New Roman"/>
                <w:color w:val="auto"/>
              </w:rPr>
              <w:t>恢复、复垦</w:t>
            </w:r>
          </w:p>
        </w:tc>
      </w:tr>
      <w:tr w14:paraId="75C31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1EB931F5">
            <w:pPr>
              <w:spacing w:line="340" w:lineRule="exact"/>
              <w:jc w:val="center"/>
              <w:rPr>
                <w:rFonts w:ascii="宋体" w:hAnsi="宋体" w:eastAsia="宋体" w:cs="Times New Roman"/>
                <w:color w:val="auto"/>
              </w:rPr>
            </w:pPr>
          </w:p>
        </w:tc>
        <w:tc>
          <w:tcPr>
            <w:tcW w:w="1548" w:type="dxa"/>
            <w:gridSpan w:val="3"/>
            <w:vAlign w:val="center"/>
          </w:tcPr>
          <w:p w14:paraId="41BE418E">
            <w:pPr>
              <w:spacing w:line="340" w:lineRule="exact"/>
              <w:jc w:val="center"/>
              <w:rPr>
                <w:rFonts w:ascii="宋体" w:hAnsi="宋体" w:eastAsia="宋体" w:cs="Times New Roman"/>
                <w:color w:val="auto"/>
              </w:rPr>
            </w:pPr>
            <w:r>
              <w:rPr>
                <w:rFonts w:ascii="宋体" w:hAnsi="宋体" w:eastAsia="宋体" w:cs="Times New Roman"/>
                <w:color w:val="auto"/>
              </w:rPr>
              <w:t>风险防范措施</w:t>
            </w:r>
          </w:p>
        </w:tc>
        <w:tc>
          <w:tcPr>
            <w:tcW w:w="6115" w:type="dxa"/>
            <w:vAlign w:val="center"/>
          </w:tcPr>
          <w:p w14:paraId="3AE5C2F5">
            <w:pPr>
              <w:spacing w:line="340" w:lineRule="exact"/>
              <w:rPr>
                <w:rFonts w:ascii="宋体" w:hAnsi="宋体" w:eastAsia="宋体" w:cs="Times New Roman"/>
                <w:color w:val="auto"/>
              </w:rPr>
            </w:pPr>
            <w:r>
              <w:rPr>
                <w:rFonts w:ascii="宋体" w:hAnsi="宋体" w:eastAsia="宋体" w:cs="Times New Roman"/>
                <w:color w:val="auto"/>
              </w:rPr>
              <w:t>运营期在作业期间工作区域均铺设防渗布，防渗布边缘设置围堰；车辆采用密闭罐车，配备收油工具；拉油点储罐和井场全部数字化建设，接入第八作业区控制中心，拉油点和井场定时巡检，及时发现并处理容器、罐体、管线和阀门的泄漏、穿孔问题，避免出现大量油水泄漏，并定期进行应急演练。</w:t>
            </w:r>
          </w:p>
        </w:tc>
        <w:tc>
          <w:tcPr>
            <w:tcW w:w="730" w:type="dxa"/>
            <w:vAlign w:val="center"/>
          </w:tcPr>
          <w:p w14:paraId="1B751569">
            <w:pPr>
              <w:spacing w:line="340" w:lineRule="exact"/>
              <w:jc w:val="center"/>
              <w:rPr>
                <w:rFonts w:ascii="宋体" w:hAnsi="宋体" w:eastAsia="宋体" w:cs="Times New Roman"/>
                <w:color w:val="auto"/>
              </w:rPr>
            </w:pPr>
            <w:r>
              <w:rPr>
                <w:rFonts w:ascii="宋体" w:hAnsi="宋体" w:eastAsia="宋体" w:cs="Times New Roman"/>
                <w:color w:val="auto"/>
              </w:rPr>
              <w:t>新建</w:t>
            </w:r>
          </w:p>
        </w:tc>
      </w:tr>
      <w:tr w14:paraId="21C6A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restart"/>
            <w:vAlign w:val="center"/>
          </w:tcPr>
          <w:p w14:paraId="59ABDB0D">
            <w:pPr>
              <w:spacing w:line="340" w:lineRule="exact"/>
              <w:jc w:val="center"/>
              <w:rPr>
                <w:rFonts w:ascii="宋体" w:hAnsi="宋体" w:eastAsia="宋体" w:cs="Times New Roman"/>
                <w:color w:val="auto"/>
              </w:rPr>
            </w:pPr>
            <w:r>
              <w:rPr>
                <w:rFonts w:ascii="宋体" w:hAnsi="宋体" w:eastAsia="宋体" w:cs="Times New Roman"/>
                <w:color w:val="auto"/>
              </w:rPr>
              <w:t>依托工程</w:t>
            </w:r>
          </w:p>
        </w:tc>
        <w:tc>
          <w:tcPr>
            <w:tcW w:w="689" w:type="dxa"/>
            <w:vAlign w:val="center"/>
          </w:tcPr>
          <w:p w14:paraId="30FF5E8F">
            <w:pPr>
              <w:spacing w:line="340" w:lineRule="exact"/>
              <w:jc w:val="center"/>
              <w:rPr>
                <w:rFonts w:ascii="宋体" w:hAnsi="宋体" w:eastAsia="宋体" w:cs="Times New Roman"/>
                <w:color w:val="auto"/>
              </w:rPr>
            </w:pPr>
            <w:r>
              <w:rPr>
                <w:rFonts w:ascii="宋体" w:hAnsi="宋体" w:eastAsia="宋体" w:cs="Times New Roman"/>
                <w:color w:val="auto"/>
              </w:rPr>
              <w:t>废弃水基泥浆处理站</w:t>
            </w:r>
          </w:p>
        </w:tc>
        <w:tc>
          <w:tcPr>
            <w:tcW w:w="859" w:type="dxa"/>
            <w:gridSpan w:val="2"/>
            <w:vAlign w:val="center"/>
          </w:tcPr>
          <w:p w14:paraId="4FDB6FD0">
            <w:pPr>
              <w:spacing w:line="340" w:lineRule="exact"/>
              <w:jc w:val="center"/>
              <w:rPr>
                <w:rFonts w:ascii="宋体" w:hAnsi="宋体" w:eastAsia="宋体" w:cs="Times New Roman"/>
                <w:color w:val="auto"/>
              </w:rPr>
            </w:pPr>
            <w:r>
              <w:rPr>
                <w:rFonts w:ascii="宋体" w:hAnsi="宋体" w:eastAsia="宋体" w:cs="Times New Roman"/>
                <w:color w:val="auto"/>
              </w:rPr>
              <w:t>大庆油田昆仑集团有限公司环保分公司</w:t>
            </w:r>
          </w:p>
        </w:tc>
        <w:tc>
          <w:tcPr>
            <w:tcW w:w="6115" w:type="dxa"/>
            <w:vAlign w:val="center"/>
          </w:tcPr>
          <w:p w14:paraId="305D4C90">
            <w:pPr>
              <w:spacing w:line="340" w:lineRule="exact"/>
              <w:rPr>
                <w:rFonts w:ascii="宋体" w:hAnsi="宋体" w:eastAsia="宋体" w:cs="Times New Roman"/>
                <w:color w:val="auto"/>
              </w:rPr>
            </w:pPr>
            <w:r>
              <w:rPr>
                <w:rFonts w:ascii="宋体" w:hAnsi="宋体" w:eastAsia="宋体" w:cs="Times New Roman"/>
                <w:color w:val="auto"/>
                <w:kern w:val="21"/>
              </w:rPr>
              <w:t>大庆油田昆仑集团有限公司环保分公司最大处理能力为400m</w:t>
            </w:r>
            <w:r>
              <w:rPr>
                <w:rFonts w:ascii="宋体" w:hAnsi="宋体" w:eastAsia="宋体" w:cs="Times New Roman"/>
                <w:color w:val="auto"/>
                <w:kern w:val="21"/>
                <w:vertAlign w:val="superscript"/>
              </w:rPr>
              <w:t>3</w:t>
            </w:r>
            <w:r>
              <w:rPr>
                <w:rFonts w:ascii="宋体" w:hAnsi="宋体" w:eastAsia="宋体" w:cs="Times New Roman"/>
                <w:color w:val="auto"/>
                <w:kern w:val="21"/>
              </w:rPr>
              <w:t>/d，目前处理量约为105m</w:t>
            </w:r>
            <w:r>
              <w:rPr>
                <w:rFonts w:ascii="宋体" w:hAnsi="宋体" w:eastAsia="宋体" w:cs="Times New Roman"/>
                <w:color w:val="auto"/>
                <w:kern w:val="21"/>
                <w:vertAlign w:val="superscript"/>
              </w:rPr>
              <w:t>3</w:t>
            </w:r>
            <w:r>
              <w:rPr>
                <w:rFonts w:ascii="宋体" w:hAnsi="宋体" w:eastAsia="宋体" w:cs="Times New Roman"/>
                <w:color w:val="auto"/>
                <w:kern w:val="21"/>
              </w:rPr>
              <w:t>/d，负荷率为26.3%。本项目水基钻井施工期</w:t>
            </w:r>
            <w:r>
              <w:rPr>
                <w:rFonts w:hint="eastAsia" w:ascii="宋体" w:hAnsi="宋体" w:eastAsia="宋体" w:cs="Times New Roman"/>
                <w:color w:val="auto"/>
                <w:kern w:val="21"/>
              </w:rPr>
              <w:t>28</w:t>
            </w:r>
            <w:r>
              <w:rPr>
                <w:rFonts w:ascii="宋体" w:hAnsi="宋体" w:eastAsia="宋体" w:cs="Times New Roman"/>
                <w:color w:val="auto"/>
                <w:kern w:val="21"/>
              </w:rPr>
              <w:t>天，整个钻井施工期产生的水基钻井废水、水基废钻井液和水基钻井岩屑</w:t>
            </w:r>
            <w:r>
              <w:rPr>
                <w:rFonts w:hint="eastAsia" w:ascii="宋体" w:hAnsi="宋体" w:eastAsia="宋体" w:cs="Times New Roman"/>
                <w:color w:val="auto"/>
                <w:kern w:val="21"/>
              </w:rPr>
              <w:t>和不含油废射孔液</w:t>
            </w:r>
            <w:r>
              <w:rPr>
                <w:rFonts w:ascii="宋体" w:hAnsi="宋体" w:eastAsia="宋体" w:cs="Times New Roman"/>
                <w:color w:val="auto"/>
                <w:kern w:val="21"/>
              </w:rPr>
              <w:t>，最大产生量为</w:t>
            </w:r>
            <w:r>
              <w:rPr>
                <w:rFonts w:hint="eastAsia" w:ascii="宋体" w:hAnsi="宋体" w:eastAsia="宋体" w:cs="Times New Roman"/>
                <w:color w:val="auto"/>
                <w:kern w:val="21"/>
              </w:rPr>
              <w:t>122.05</w:t>
            </w:r>
            <w:r>
              <w:rPr>
                <w:rFonts w:ascii="宋体" w:hAnsi="宋体" w:eastAsia="宋体" w:cs="Times New Roman"/>
                <w:color w:val="auto"/>
                <w:kern w:val="21"/>
              </w:rPr>
              <w:t>m</w:t>
            </w:r>
            <w:r>
              <w:rPr>
                <w:rFonts w:ascii="宋体" w:hAnsi="宋体" w:eastAsia="宋体" w:cs="Times New Roman"/>
                <w:color w:val="auto"/>
                <w:kern w:val="21"/>
                <w:vertAlign w:val="superscript"/>
              </w:rPr>
              <w:t>3</w:t>
            </w:r>
            <w:r>
              <w:rPr>
                <w:rFonts w:ascii="宋体" w:hAnsi="宋体" w:eastAsia="宋体" w:cs="Times New Roman"/>
                <w:color w:val="auto"/>
                <w:kern w:val="21"/>
              </w:rPr>
              <w:t>/d，大庆油田昆仑集团有限公司环保分公司剩余处理规模为295m</w:t>
            </w:r>
            <w:r>
              <w:rPr>
                <w:rFonts w:ascii="宋体" w:hAnsi="宋体" w:eastAsia="宋体" w:cs="Times New Roman"/>
                <w:color w:val="auto"/>
                <w:kern w:val="21"/>
                <w:vertAlign w:val="superscript"/>
              </w:rPr>
              <w:t>3</w:t>
            </w:r>
            <w:r>
              <w:rPr>
                <w:rFonts w:ascii="宋体" w:hAnsi="宋体" w:eastAsia="宋体" w:cs="Times New Roman"/>
                <w:color w:val="auto"/>
                <w:kern w:val="21"/>
              </w:rPr>
              <w:t>/d，处理能力满足本项目需求，依托可行。</w:t>
            </w:r>
          </w:p>
        </w:tc>
        <w:tc>
          <w:tcPr>
            <w:tcW w:w="730" w:type="dxa"/>
            <w:vAlign w:val="center"/>
          </w:tcPr>
          <w:p w14:paraId="064F0D87">
            <w:pPr>
              <w:spacing w:line="340" w:lineRule="exact"/>
              <w:jc w:val="center"/>
              <w:rPr>
                <w:rFonts w:ascii="宋体" w:hAnsi="宋体" w:eastAsia="宋体" w:cs="Times New Roman"/>
                <w:color w:val="auto"/>
              </w:rPr>
            </w:pPr>
            <w:r>
              <w:rPr>
                <w:rFonts w:ascii="宋体" w:hAnsi="宋体" w:eastAsia="宋体" w:cs="Times New Roman"/>
                <w:color w:val="auto"/>
                <w:kern w:val="21"/>
              </w:rPr>
              <w:t>依托，无需扩建</w:t>
            </w:r>
          </w:p>
        </w:tc>
      </w:tr>
      <w:tr w14:paraId="46CF7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5CDBED93">
            <w:pPr>
              <w:spacing w:line="340" w:lineRule="exact"/>
              <w:jc w:val="center"/>
              <w:rPr>
                <w:rFonts w:ascii="宋体" w:hAnsi="宋体" w:eastAsia="宋体" w:cs="Times New Roman"/>
                <w:color w:val="auto"/>
              </w:rPr>
            </w:pPr>
          </w:p>
        </w:tc>
        <w:tc>
          <w:tcPr>
            <w:tcW w:w="689" w:type="dxa"/>
            <w:vAlign w:val="center"/>
          </w:tcPr>
          <w:p w14:paraId="7C35FF7C">
            <w:pPr>
              <w:spacing w:line="340" w:lineRule="exact"/>
              <w:jc w:val="center"/>
              <w:rPr>
                <w:rFonts w:ascii="宋体" w:hAnsi="宋体" w:eastAsia="宋体" w:cs="Times New Roman"/>
                <w:color w:val="auto"/>
              </w:rPr>
            </w:pPr>
            <w:r>
              <w:rPr>
                <w:rFonts w:ascii="宋体" w:hAnsi="宋体" w:eastAsia="宋体" w:cs="Times New Roman"/>
                <w:color w:val="auto"/>
              </w:rPr>
              <w:t>废弃油基泥浆处理</w:t>
            </w:r>
          </w:p>
        </w:tc>
        <w:tc>
          <w:tcPr>
            <w:tcW w:w="859" w:type="dxa"/>
            <w:gridSpan w:val="2"/>
            <w:vAlign w:val="center"/>
          </w:tcPr>
          <w:p w14:paraId="3E972525">
            <w:pPr>
              <w:spacing w:line="340" w:lineRule="exact"/>
              <w:jc w:val="center"/>
              <w:rPr>
                <w:rFonts w:ascii="宋体" w:hAnsi="宋体" w:eastAsia="宋体" w:cs="Times New Roman"/>
                <w:color w:val="auto"/>
              </w:rPr>
            </w:pPr>
            <w:r>
              <w:rPr>
                <w:rFonts w:ascii="宋体" w:hAnsi="宋体" w:eastAsia="宋体" w:cs="Times New Roman"/>
                <w:color w:val="auto"/>
              </w:rPr>
              <w:t>黑龙江迈景环保科技有限公司</w:t>
            </w:r>
          </w:p>
        </w:tc>
        <w:tc>
          <w:tcPr>
            <w:tcW w:w="6115" w:type="dxa"/>
            <w:vAlign w:val="center"/>
          </w:tcPr>
          <w:p w14:paraId="4778C1E6">
            <w:pPr>
              <w:spacing w:line="340" w:lineRule="exact"/>
              <w:rPr>
                <w:rFonts w:ascii="宋体" w:hAnsi="宋体" w:eastAsia="宋体" w:cs="Times New Roman"/>
                <w:color w:val="auto"/>
                <w:kern w:val="21"/>
              </w:rPr>
            </w:pPr>
            <w:r>
              <w:rPr>
                <w:rFonts w:ascii="宋体" w:hAnsi="宋体" w:eastAsia="宋体" w:cs="Times New Roman"/>
                <w:color w:val="auto"/>
                <w:kern w:val="21"/>
              </w:rPr>
              <w:t>黑龙江迈景环保科技有限公司（原名称大庆市云泰石化产品有限公司）采用“预处理+深度脱附”处理工艺，预处理流程包括泥浆收集-甩干-离心，深度脱附装置的原理主要为利用水、油及土的沸点不同（水沸点 100℃、油沸点 250℃、土碳化温度300℃），将固体废弃物中的油水蒸发。该站现状处理能力为10万t/a，约333t/d，目前实际处理量为120t/d，本项目油基钻井</w:t>
            </w:r>
            <w:r>
              <w:rPr>
                <w:rFonts w:hint="eastAsia" w:ascii="宋体" w:hAnsi="宋体" w:eastAsia="宋体" w:cs="Times New Roman"/>
                <w:color w:val="auto"/>
                <w:kern w:val="21"/>
              </w:rPr>
              <w:t>56</w:t>
            </w:r>
            <w:r>
              <w:rPr>
                <w:rFonts w:ascii="宋体" w:hAnsi="宋体" w:eastAsia="宋体" w:cs="Times New Roman"/>
                <w:color w:val="auto"/>
                <w:kern w:val="21"/>
              </w:rPr>
              <w:t>天，油基钻井废水、钻井泥浆和岩屑</w:t>
            </w:r>
            <w:r>
              <w:rPr>
                <w:rFonts w:ascii="宋体" w:hAnsi="宋体" w:eastAsia="宋体" w:cs="Times New Roman"/>
                <w:color w:val="auto"/>
              </w:rPr>
              <w:t>和含油废射孔液</w:t>
            </w:r>
            <w:r>
              <w:rPr>
                <w:rFonts w:ascii="宋体" w:hAnsi="宋体" w:eastAsia="宋体" w:cs="Times New Roman"/>
                <w:color w:val="auto"/>
                <w:kern w:val="21"/>
              </w:rPr>
              <w:t>等产生量约</w:t>
            </w:r>
            <w:r>
              <w:rPr>
                <w:rFonts w:hint="eastAsia" w:ascii="宋体" w:hAnsi="宋体" w:eastAsia="宋体" w:cs="Times New Roman"/>
                <w:color w:val="auto"/>
                <w:kern w:val="21"/>
              </w:rPr>
              <w:t>105.72</w:t>
            </w:r>
            <w:r>
              <w:rPr>
                <w:rFonts w:ascii="宋体" w:hAnsi="宋体" w:eastAsia="宋体" w:cs="Times New Roman"/>
                <w:color w:val="auto"/>
                <w:kern w:val="21"/>
              </w:rPr>
              <w:t>t/d，新增本项目后该站处理量为2</w:t>
            </w:r>
            <w:r>
              <w:rPr>
                <w:rFonts w:hint="eastAsia" w:ascii="宋体" w:hAnsi="宋体" w:eastAsia="宋体" w:cs="Times New Roman"/>
                <w:color w:val="auto"/>
                <w:kern w:val="21"/>
              </w:rPr>
              <w:t>25.72</w:t>
            </w:r>
            <w:r>
              <w:rPr>
                <w:rFonts w:ascii="宋体" w:hAnsi="宋体" w:eastAsia="宋体" w:cs="Times New Roman"/>
                <w:color w:val="auto"/>
                <w:kern w:val="21"/>
              </w:rPr>
              <w:t>t/d，负荷率</w:t>
            </w:r>
            <w:r>
              <w:rPr>
                <w:rFonts w:hint="eastAsia" w:ascii="宋体" w:hAnsi="宋体" w:eastAsia="宋体" w:cs="Times New Roman"/>
                <w:color w:val="auto"/>
                <w:kern w:val="21"/>
              </w:rPr>
              <w:t>67.8</w:t>
            </w:r>
            <w:r>
              <w:rPr>
                <w:rFonts w:ascii="宋体" w:hAnsi="宋体" w:eastAsia="宋体" w:cs="Times New Roman"/>
                <w:color w:val="auto"/>
                <w:kern w:val="21"/>
              </w:rPr>
              <w:t>%，可以满足本项目油基泥浆处理需求。</w:t>
            </w:r>
          </w:p>
        </w:tc>
        <w:tc>
          <w:tcPr>
            <w:tcW w:w="730" w:type="dxa"/>
            <w:vAlign w:val="center"/>
          </w:tcPr>
          <w:p w14:paraId="7EB37D00">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依托</w:t>
            </w:r>
          </w:p>
        </w:tc>
      </w:tr>
      <w:tr w14:paraId="72906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1F3473EE">
            <w:pPr>
              <w:spacing w:line="340" w:lineRule="exact"/>
              <w:jc w:val="center"/>
              <w:rPr>
                <w:rFonts w:ascii="宋体" w:hAnsi="宋体" w:eastAsia="宋体" w:cs="Times New Roman"/>
                <w:color w:val="auto"/>
              </w:rPr>
            </w:pPr>
          </w:p>
        </w:tc>
        <w:tc>
          <w:tcPr>
            <w:tcW w:w="689" w:type="dxa"/>
            <w:vAlign w:val="center"/>
          </w:tcPr>
          <w:p w14:paraId="3A5042FC">
            <w:pPr>
              <w:spacing w:line="340" w:lineRule="exact"/>
              <w:jc w:val="center"/>
              <w:rPr>
                <w:rFonts w:ascii="宋体" w:hAnsi="宋体" w:eastAsia="宋体" w:cs="Times New Roman"/>
                <w:color w:val="auto"/>
              </w:rPr>
            </w:pPr>
            <w:r>
              <w:rPr>
                <w:rFonts w:ascii="宋体" w:hAnsi="宋体" w:eastAsia="宋体" w:cs="Times New Roman"/>
                <w:color w:val="auto"/>
              </w:rPr>
              <w:t>压裂返排液处理站</w:t>
            </w:r>
          </w:p>
        </w:tc>
        <w:tc>
          <w:tcPr>
            <w:tcW w:w="859" w:type="dxa"/>
            <w:gridSpan w:val="2"/>
            <w:vAlign w:val="center"/>
          </w:tcPr>
          <w:p w14:paraId="34268900">
            <w:pPr>
              <w:spacing w:line="340" w:lineRule="exact"/>
              <w:jc w:val="center"/>
              <w:rPr>
                <w:rFonts w:ascii="宋体" w:hAnsi="宋体" w:eastAsia="宋体" w:cs="Times New Roman"/>
                <w:color w:val="auto"/>
              </w:rPr>
            </w:pPr>
            <w:r>
              <w:rPr>
                <w:rFonts w:ascii="宋体" w:hAnsi="宋体" w:eastAsia="宋体" w:cs="Times New Roman"/>
                <w:color w:val="auto"/>
              </w:rPr>
              <w:t>朝一联压裂返排液无害化处理站</w:t>
            </w:r>
          </w:p>
        </w:tc>
        <w:tc>
          <w:tcPr>
            <w:tcW w:w="6115" w:type="dxa"/>
            <w:vAlign w:val="center"/>
          </w:tcPr>
          <w:p w14:paraId="45629B78">
            <w:pPr>
              <w:spacing w:line="340" w:lineRule="exact"/>
              <w:rPr>
                <w:rFonts w:ascii="宋体" w:hAnsi="宋体" w:eastAsia="宋体" w:cs="Times New Roman"/>
                <w:color w:val="auto"/>
                <w:kern w:val="21"/>
              </w:rPr>
            </w:pPr>
            <w:r>
              <w:rPr>
                <w:rFonts w:ascii="宋体" w:hAnsi="宋体" w:eastAsia="宋体" w:cs="Times New Roman"/>
                <w:color w:val="auto"/>
                <w:lang w:val="zh-CN"/>
              </w:rPr>
              <w:t>本项目压裂过程产生的压裂返排液由罐车拉运至朝一联压裂返排液无害化处理站处理。站内采用三相分离两级过滤处理工艺，</w:t>
            </w:r>
            <w:r>
              <w:rPr>
                <w:rFonts w:ascii="宋体" w:hAnsi="宋体" w:eastAsia="宋体" w:cs="Times New Roman"/>
                <w:color w:val="auto"/>
              </w:rPr>
              <w:t>主要负责对第十采油厂项目作业产生的压裂返排液处理及回注，该站</w:t>
            </w:r>
            <w:r>
              <w:rPr>
                <w:rFonts w:ascii="宋体" w:hAnsi="宋体" w:eastAsia="宋体" w:cs="Times New Roman"/>
                <w:color w:val="auto"/>
                <w:lang w:val="zh-CN"/>
              </w:rPr>
              <w:t>设计处理量360m</w:t>
            </w:r>
            <w:r>
              <w:rPr>
                <w:rFonts w:ascii="宋体" w:hAnsi="宋体" w:eastAsia="宋体" w:cs="Times New Roman"/>
                <w:color w:val="auto"/>
                <w:vertAlign w:val="superscript"/>
                <w:lang w:val="zh-CN"/>
              </w:rPr>
              <w:t>3</w:t>
            </w:r>
            <w:r>
              <w:rPr>
                <w:rFonts w:ascii="宋体" w:hAnsi="宋体" w:eastAsia="宋体" w:cs="Times New Roman"/>
                <w:color w:val="auto"/>
                <w:lang w:val="zh-CN"/>
              </w:rPr>
              <w:t>/d，站内建有压裂返排液暂存池5000m</w:t>
            </w:r>
            <w:r>
              <w:rPr>
                <w:rFonts w:ascii="宋体" w:hAnsi="宋体" w:eastAsia="宋体" w:cs="Times New Roman"/>
                <w:color w:val="auto"/>
                <w:vertAlign w:val="superscript"/>
                <w:lang w:val="zh-CN"/>
              </w:rPr>
              <w:t>3</w:t>
            </w:r>
            <w:r>
              <w:rPr>
                <w:rFonts w:ascii="宋体" w:hAnsi="宋体" w:eastAsia="宋体" w:cs="Times New Roman"/>
                <w:color w:val="auto"/>
                <w:lang w:val="zh-CN"/>
              </w:rPr>
              <w:t>。</w:t>
            </w:r>
            <w:r>
              <w:rPr>
                <w:rFonts w:ascii="宋体" w:hAnsi="宋体" w:eastAsia="宋体" w:cs="Times New Roman"/>
                <w:color w:val="auto"/>
              </w:rPr>
              <w:t>目前朝一联压裂返排液无害化处理站正常运行，本项目压裂井</w:t>
            </w:r>
            <w:r>
              <w:rPr>
                <w:rFonts w:hint="eastAsia" w:ascii="宋体" w:hAnsi="宋体" w:eastAsia="宋体" w:cs="Times New Roman"/>
                <w:color w:val="auto"/>
              </w:rPr>
              <w:t>6</w:t>
            </w:r>
            <w:r>
              <w:rPr>
                <w:rFonts w:ascii="宋体" w:hAnsi="宋体" w:eastAsia="宋体" w:cs="Times New Roman"/>
                <w:color w:val="auto"/>
              </w:rPr>
              <w:t>口，压裂返排液量为140m</w:t>
            </w:r>
            <w:r>
              <w:rPr>
                <w:rFonts w:ascii="宋体" w:hAnsi="宋体" w:eastAsia="宋体" w:cs="Times New Roman"/>
                <w:color w:val="auto"/>
                <w:vertAlign w:val="superscript"/>
              </w:rPr>
              <w:t>3</w:t>
            </w:r>
            <w:r>
              <w:rPr>
                <w:rFonts w:ascii="宋体" w:hAnsi="宋体" w:eastAsia="宋体" w:cs="Times New Roman"/>
                <w:color w:val="auto"/>
              </w:rPr>
              <w:t>/d，储存能力和处理能力均可满足本项目压裂返排液处理需要。</w:t>
            </w:r>
          </w:p>
        </w:tc>
        <w:tc>
          <w:tcPr>
            <w:tcW w:w="730" w:type="dxa"/>
            <w:vAlign w:val="center"/>
          </w:tcPr>
          <w:p w14:paraId="72F31598">
            <w:pPr>
              <w:spacing w:line="340" w:lineRule="exact"/>
              <w:jc w:val="center"/>
              <w:rPr>
                <w:rFonts w:ascii="宋体" w:hAnsi="宋体" w:eastAsia="宋体" w:cs="Times New Roman"/>
                <w:color w:val="auto"/>
                <w:kern w:val="21"/>
              </w:rPr>
            </w:pPr>
            <w:r>
              <w:rPr>
                <w:rFonts w:ascii="宋体" w:hAnsi="宋体" w:eastAsia="宋体" w:cs="Times New Roman"/>
                <w:color w:val="auto"/>
              </w:rPr>
              <w:t>依托、无需扩建</w:t>
            </w:r>
          </w:p>
        </w:tc>
      </w:tr>
      <w:tr w14:paraId="47218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27FD34AD">
            <w:pPr>
              <w:spacing w:line="340" w:lineRule="exact"/>
              <w:jc w:val="center"/>
              <w:rPr>
                <w:rFonts w:ascii="宋体" w:hAnsi="宋体" w:eastAsia="宋体" w:cs="Times New Roman"/>
                <w:color w:val="auto"/>
              </w:rPr>
            </w:pPr>
          </w:p>
        </w:tc>
        <w:tc>
          <w:tcPr>
            <w:tcW w:w="689" w:type="dxa"/>
            <w:vAlign w:val="center"/>
          </w:tcPr>
          <w:p w14:paraId="37DAA1B2">
            <w:pPr>
              <w:spacing w:line="340" w:lineRule="exact"/>
              <w:jc w:val="center"/>
              <w:rPr>
                <w:rFonts w:ascii="宋体" w:hAnsi="宋体" w:eastAsia="宋体" w:cs="Times New Roman"/>
                <w:color w:val="auto"/>
              </w:rPr>
            </w:pPr>
            <w:r>
              <w:rPr>
                <w:rFonts w:ascii="宋体" w:hAnsi="宋体" w:eastAsia="宋体" w:cs="Times New Roman"/>
                <w:color w:val="auto"/>
              </w:rPr>
              <w:t>卸油点</w:t>
            </w:r>
          </w:p>
        </w:tc>
        <w:tc>
          <w:tcPr>
            <w:tcW w:w="859" w:type="dxa"/>
            <w:gridSpan w:val="2"/>
            <w:vAlign w:val="center"/>
          </w:tcPr>
          <w:p w14:paraId="597A0321">
            <w:pPr>
              <w:spacing w:line="340" w:lineRule="exact"/>
              <w:jc w:val="center"/>
              <w:rPr>
                <w:rFonts w:ascii="宋体" w:hAnsi="宋体" w:eastAsia="宋体" w:cs="Times New Roman"/>
                <w:color w:val="auto"/>
              </w:rPr>
            </w:pPr>
            <w:r>
              <w:rPr>
                <w:rFonts w:ascii="宋体" w:hAnsi="宋体" w:eastAsia="宋体" w:cs="Times New Roman"/>
                <w:color w:val="auto"/>
              </w:rPr>
              <w:t>朝</w:t>
            </w:r>
            <w:r>
              <w:rPr>
                <w:rFonts w:hint="eastAsia" w:ascii="宋体" w:hAnsi="宋体" w:eastAsia="宋体" w:cs="Times New Roman"/>
                <w:color w:val="auto"/>
              </w:rPr>
              <w:t>二</w:t>
            </w:r>
            <w:r>
              <w:rPr>
                <w:rFonts w:ascii="宋体" w:hAnsi="宋体" w:eastAsia="宋体" w:cs="Times New Roman"/>
                <w:color w:val="auto"/>
              </w:rPr>
              <w:t>联卸油点</w:t>
            </w:r>
          </w:p>
        </w:tc>
        <w:tc>
          <w:tcPr>
            <w:tcW w:w="6115" w:type="dxa"/>
            <w:vAlign w:val="center"/>
          </w:tcPr>
          <w:p w14:paraId="38D6DE2F">
            <w:pPr>
              <w:spacing w:line="340" w:lineRule="exact"/>
              <w:rPr>
                <w:rFonts w:ascii="宋体" w:hAnsi="宋体" w:eastAsia="宋体" w:cs="Times New Roman"/>
                <w:color w:val="auto"/>
              </w:rPr>
            </w:pPr>
            <w:r>
              <w:rPr>
                <w:rFonts w:ascii="宋体" w:hAnsi="宋体" w:eastAsia="宋体" w:cs="Times New Roman"/>
                <w:color w:val="auto"/>
              </w:rPr>
              <w:t>朝二联卸油点已建1座16m×6m卸油池，输油泵2台(Q-30m</w:t>
            </w:r>
            <w:r>
              <w:rPr>
                <w:rFonts w:ascii="宋体" w:hAnsi="宋体" w:eastAsia="宋体" w:cs="Times New Roman"/>
                <w:color w:val="auto"/>
                <w:vertAlign w:val="superscript"/>
              </w:rPr>
              <w:t>3</w:t>
            </w:r>
            <w:r>
              <w:rPr>
                <w:rFonts w:ascii="宋体" w:hAnsi="宋体" w:eastAsia="宋体" w:cs="Times New Roman"/>
                <w:color w:val="auto"/>
              </w:rPr>
              <w:t>/h，H-100m)，按照两台泵同时工作，日工作时间8h计算，可完成480m</w:t>
            </w:r>
            <w:r>
              <w:rPr>
                <w:rFonts w:ascii="宋体" w:hAnsi="宋体" w:eastAsia="宋体" w:cs="Times New Roman"/>
                <w:color w:val="auto"/>
                <w:vertAlign w:val="superscript"/>
              </w:rPr>
              <w:t>3/</w:t>
            </w:r>
            <w:r>
              <w:rPr>
                <w:rFonts w:ascii="宋体" w:hAnsi="宋体" w:eastAsia="宋体" w:cs="Times New Roman"/>
                <w:color w:val="auto"/>
              </w:rPr>
              <w:t>d的收液任务，目前实际日最大收液量约为113m</w:t>
            </w:r>
            <w:r>
              <w:rPr>
                <w:rFonts w:ascii="宋体" w:hAnsi="宋体" w:eastAsia="宋体" w:cs="Times New Roman"/>
                <w:color w:val="auto"/>
                <w:vertAlign w:val="superscript"/>
              </w:rPr>
              <w:t>3</w:t>
            </w:r>
            <w:r>
              <w:rPr>
                <w:rFonts w:ascii="宋体" w:hAnsi="宋体" w:eastAsia="宋体" w:cs="Times New Roman"/>
                <w:color w:val="auto"/>
              </w:rPr>
              <w:t>/d，负荷率为23.5%</w:t>
            </w:r>
            <w:r>
              <w:rPr>
                <w:rFonts w:hint="eastAsia" w:ascii="宋体" w:hAnsi="宋体" w:eastAsia="宋体" w:cs="Times New Roman"/>
                <w:color w:val="auto"/>
              </w:rPr>
              <w:t>。</w:t>
            </w:r>
            <w:r>
              <w:rPr>
                <w:rFonts w:ascii="宋体" w:hAnsi="宋体" w:eastAsia="宋体" w:cs="Times New Roman"/>
                <w:color w:val="auto"/>
              </w:rPr>
              <w:t>本项目施工期2口勘探井试油产液通过拉油罐车进入朝二联卸油点，新增最大产液量为3.95m</w:t>
            </w:r>
            <w:r>
              <w:rPr>
                <w:rFonts w:ascii="宋体" w:hAnsi="宋体" w:eastAsia="宋体" w:cs="Times New Roman"/>
                <w:color w:val="auto"/>
                <w:vertAlign w:val="superscript"/>
              </w:rPr>
              <w:t>3</w:t>
            </w:r>
            <w:r>
              <w:rPr>
                <w:rFonts w:ascii="宋体" w:hAnsi="宋体" w:eastAsia="宋体" w:cs="Times New Roman"/>
                <w:color w:val="auto"/>
              </w:rPr>
              <w:t>/d，新增后朝二联卸油点收液量约为116.95m</w:t>
            </w:r>
            <w:r>
              <w:rPr>
                <w:rFonts w:ascii="宋体" w:hAnsi="宋体" w:eastAsia="宋体" w:cs="Times New Roman"/>
                <w:color w:val="auto"/>
                <w:vertAlign w:val="superscript"/>
              </w:rPr>
              <w:t>3</w:t>
            </w:r>
            <w:r>
              <w:rPr>
                <w:rFonts w:ascii="宋体" w:hAnsi="宋体" w:eastAsia="宋体" w:cs="Times New Roman"/>
                <w:color w:val="auto"/>
              </w:rPr>
              <w:t>/d，负荷率为24.4%</w:t>
            </w:r>
            <w:r>
              <w:rPr>
                <w:rFonts w:hint="eastAsia" w:ascii="宋体" w:hAnsi="宋体" w:eastAsia="宋体" w:cs="Times New Roman"/>
                <w:color w:val="auto"/>
              </w:rPr>
              <w:t>；运营期</w:t>
            </w:r>
            <w:r>
              <w:rPr>
                <w:rFonts w:ascii="宋体" w:hAnsi="宋体" w:eastAsia="宋体" w:cs="Times New Roman"/>
                <w:color w:val="auto"/>
              </w:rPr>
              <w:t>单井日产液最大</w:t>
            </w:r>
            <w:r>
              <w:rPr>
                <w:rFonts w:hint="eastAsia" w:ascii="宋体" w:hAnsi="宋体" w:eastAsia="宋体" w:cs="Times New Roman"/>
                <w:color w:val="auto"/>
              </w:rPr>
              <w:t>27.7m</w:t>
            </w:r>
            <w:r>
              <w:rPr>
                <w:rFonts w:hint="eastAsia" w:ascii="宋体" w:hAnsi="宋体" w:eastAsia="宋体" w:cs="Times New Roman"/>
                <w:color w:val="auto"/>
                <w:vertAlign w:val="superscript"/>
              </w:rPr>
              <w:t>3</w:t>
            </w:r>
            <w:r>
              <w:rPr>
                <w:rFonts w:ascii="宋体" w:hAnsi="宋体" w:eastAsia="宋体" w:cs="Times New Roman"/>
                <w:color w:val="auto"/>
              </w:rPr>
              <w:t>/d，</w:t>
            </w:r>
            <w:r>
              <w:rPr>
                <w:rFonts w:hint="eastAsia" w:ascii="宋体" w:hAnsi="宋体" w:eastAsia="宋体" w:cs="Times New Roman"/>
                <w:color w:val="auto"/>
              </w:rPr>
              <w:t>4</w:t>
            </w:r>
            <w:r>
              <w:rPr>
                <w:rFonts w:ascii="宋体" w:hAnsi="宋体" w:eastAsia="宋体" w:cs="Times New Roman"/>
                <w:color w:val="auto"/>
              </w:rPr>
              <w:t>口井合计最大产液量</w:t>
            </w:r>
            <w:r>
              <w:rPr>
                <w:rFonts w:hint="eastAsia" w:ascii="宋体" w:hAnsi="宋体" w:eastAsia="宋体" w:cs="Times New Roman"/>
                <w:color w:val="auto"/>
              </w:rPr>
              <w:t>110.8m</w:t>
            </w:r>
            <w:r>
              <w:rPr>
                <w:rFonts w:hint="eastAsia" w:ascii="宋体" w:hAnsi="宋体" w:eastAsia="宋体" w:cs="Times New Roman"/>
                <w:color w:val="auto"/>
                <w:vertAlign w:val="superscript"/>
              </w:rPr>
              <w:t>3</w:t>
            </w:r>
            <w:r>
              <w:rPr>
                <w:rFonts w:ascii="宋体" w:hAnsi="宋体" w:eastAsia="宋体" w:cs="Times New Roman"/>
                <w:color w:val="auto"/>
              </w:rPr>
              <w:t>/d，新增后朝二联卸油点收液量约为229.95m</w:t>
            </w:r>
            <w:r>
              <w:rPr>
                <w:rFonts w:ascii="宋体" w:hAnsi="宋体" w:eastAsia="宋体" w:cs="Times New Roman"/>
                <w:color w:val="auto"/>
                <w:vertAlign w:val="superscript"/>
              </w:rPr>
              <w:t>3</w:t>
            </w:r>
            <w:r>
              <w:rPr>
                <w:rFonts w:ascii="宋体" w:hAnsi="宋体" w:eastAsia="宋体" w:cs="Times New Roman"/>
                <w:color w:val="auto"/>
              </w:rPr>
              <w:t>/d，负荷率为47.9%，新增产能后朝二联卸油点负荷率为28.33%，可满足本次新建产能需求。</w:t>
            </w:r>
          </w:p>
        </w:tc>
        <w:tc>
          <w:tcPr>
            <w:tcW w:w="730" w:type="dxa"/>
            <w:vAlign w:val="center"/>
          </w:tcPr>
          <w:p w14:paraId="261678B5">
            <w:pPr>
              <w:spacing w:line="340" w:lineRule="exact"/>
              <w:jc w:val="center"/>
              <w:rPr>
                <w:rFonts w:ascii="宋体" w:hAnsi="宋体" w:eastAsia="宋体" w:cs="Times New Roman"/>
                <w:color w:val="auto"/>
              </w:rPr>
            </w:pPr>
            <w:r>
              <w:rPr>
                <w:rFonts w:ascii="宋体" w:hAnsi="宋体" w:eastAsia="宋体" w:cs="Times New Roman"/>
                <w:color w:val="auto"/>
              </w:rPr>
              <w:t>依托，无需扩建</w:t>
            </w:r>
          </w:p>
        </w:tc>
      </w:tr>
      <w:tr w14:paraId="2112F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6BD5DD2B">
            <w:pPr>
              <w:spacing w:line="340" w:lineRule="exact"/>
              <w:jc w:val="center"/>
              <w:rPr>
                <w:rFonts w:ascii="宋体" w:hAnsi="宋体" w:eastAsia="宋体" w:cs="Times New Roman"/>
                <w:color w:val="auto"/>
              </w:rPr>
            </w:pPr>
          </w:p>
        </w:tc>
        <w:tc>
          <w:tcPr>
            <w:tcW w:w="689" w:type="dxa"/>
            <w:vAlign w:val="center"/>
          </w:tcPr>
          <w:p w14:paraId="0692A0E7">
            <w:pPr>
              <w:spacing w:line="340" w:lineRule="exact"/>
              <w:jc w:val="center"/>
              <w:rPr>
                <w:rFonts w:ascii="宋体" w:hAnsi="宋体" w:eastAsia="宋体" w:cs="Times New Roman"/>
                <w:color w:val="auto"/>
              </w:rPr>
            </w:pPr>
            <w:r>
              <w:rPr>
                <w:rFonts w:ascii="宋体" w:hAnsi="宋体" w:eastAsia="宋体" w:cs="Times New Roman"/>
                <w:color w:val="auto"/>
              </w:rPr>
              <w:t>脱水站</w:t>
            </w:r>
          </w:p>
        </w:tc>
        <w:tc>
          <w:tcPr>
            <w:tcW w:w="859" w:type="dxa"/>
            <w:gridSpan w:val="2"/>
            <w:vAlign w:val="center"/>
          </w:tcPr>
          <w:p w14:paraId="42336F25">
            <w:pPr>
              <w:spacing w:line="340" w:lineRule="exact"/>
              <w:jc w:val="center"/>
              <w:rPr>
                <w:rFonts w:ascii="宋体" w:hAnsi="宋体" w:eastAsia="宋体" w:cs="Times New Roman"/>
                <w:color w:val="auto"/>
              </w:rPr>
            </w:pPr>
            <w:r>
              <w:rPr>
                <w:rFonts w:ascii="宋体" w:hAnsi="宋体" w:eastAsia="宋体" w:cs="Times New Roman"/>
                <w:color w:val="auto"/>
              </w:rPr>
              <w:t>朝二联脱水站</w:t>
            </w:r>
          </w:p>
        </w:tc>
        <w:tc>
          <w:tcPr>
            <w:tcW w:w="6115" w:type="dxa"/>
            <w:vAlign w:val="center"/>
          </w:tcPr>
          <w:p w14:paraId="4A3BC53E">
            <w:pPr>
              <w:spacing w:line="340" w:lineRule="exact"/>
              <w:rPr>
                <w:rFonts w:ascii="宋体" w:hAnsi="宋体" w:eastAsia="宋体" w:cs="Times New Roman"/>
                <w:color w:val="auto"/>
              </w:rPr>
            </w:pPr>
            <w:r>
              <w:rPr>
                <w:rFonts w:ascii="宋体" w:hAnsi="宋体" w:eastAsia="宋体" w:cs="Times New Roman"/>
                <w:color w:val="auto"/>
              </w:rPr>
              <w:t>朝二联脱水站于1991年投产，主要承担第三作业区越站地区10座集油阀组间、4 座转油站（朝17、朝18、朝20、朝四联）、第五作业区3座转油站（朝21、朝27、朝三联）含水油处理及外输任务，朝二联脱水站采用“三合一+电脱水”两段处理工艺，站内主要设备有：5000t/d三合一装置3台、1700t/d电脱水器2台、加热炉7台；该站游离水脱除能力15000t/d，目前处理量7729.5t/d。电脱水器处理能力2500t/d，目前处理量500t/d，本项目最大产液量</w:t>
            </w:r>
            <w:r>
              <w:rPr>
                <w:rFonts w:hint="eastAsia" w:ascii="宋体" w:hAnsi="宋体" w:eastAsia="宋体" w:cs="Times New Roman"/>
                <w:color w:val="auto"/>
              </w:rPr>
              <w:t>110.8</w:t>
            </w:r>
            <w:r>
              <w:rPr>
                <w:rFonts w:ascii="宋体" w:hAnsi="宋体" w:eastAsia="宋体" w:cs="Times New Roman"/>
                <w:color w:val="auto"/>
              </w:rPr>
              <w:t>t/d，增加本项目产液后朝二联脱水站一段游离水脱除器处理量处理液量为</w:t>
            </w:r>
            <w:r>
              <w:rPr>
                <w:rFonts w:hint="eastAsia" w:ascii="宋体" w:hAnsi="宋体" w:eastAsia="宋体" w:cs="Times New Roman"/>
                <w:color w:val="auto"/>
              </w:rPr>
              <w:t>7840.3</w:t>
            </w:r>
            <w:r>
              <w:rPr>
                <w:rFonts w:ascii="宋体" w:hAnsi="宋体" w:eastAsia="宋体" w:cs="Times New Roman"/>
                <w:color w:val="auto"/>
              </w:rPr>
              <w:t>t/d，负荷率</w:t>
            </w:r>
            <w:r>
              <w:rPr>
                <w:rFonts w:hint="eastAsia" w:ascii="宋体" w:hAnsi="宋体" w:eastAsia="宋体" w:cs="Times New Roman"/>
                <w:color w:val="auto"/>
              </w:rPr>
              <w:t>52.3</w:t>
            </w:r>
            <w:r>
              <w:rPr>
                <w:rFonts w:ascii="宋体" w:hAnsi="宋体" w:eastAsia="宋体" w:cs="Times New Roman"/>
                <w:color w:val="auto"/>
              </w:rPr>
              <w:t>%；二段电脱水器处理液量</w:t>
            </w:r>
            <w:r>
              <w:rPr>
                <w:rFonts w:hint="eastAsia" w:ascii="宋体" w:hAnsi="宋体" w:eastAsia="宋体" w:cs="Times New Roman"/>
                <w:color w:val="auto"/>
              </w:rPr>
              <w:t>610.8</w:t>
            </w:r>
            <w:r>
              <w:rPr>
                <w:rFonts w:ascii="宋体" w:hAnsi="宋体" w:eastAsia="宋体" w:cs="Times New Roman"/>
                <w:color w:val="auto"/>
              </w:rPr>
              <w:t>t/d，负荷率</w:t>
            </w:r>
            <w:r>
              <w:rPr>
                <w:rFonts w:hint="eastAsia" w:ascii="宋体" w:hAnsi="宋体" w:eastAsia="宋体" w:cs="Times New Roman"/>
                <w:color w:val="auto"/>
              </w:rPr>
              <w:t>24.4</w:t>
            </w:r>
            <w:r>
              <w:rPr>
                <w:rFonts w:ascii="宋体" w:hAnsi="宋体" w:eastAsia="宋体" w:cs="Times New Roman"/>
                <w:color w:val="auto"/>
              </w:rPr>
              <w:t>%，满足本项目依托需求。</w:t>
            </w:r>
          </w:p>
        </w:tc>
        <w:tc>
          <w:tcPr>
            <w:tcW w:w="730" w:type="dxa"/>
            <w:vAlign w:val="center"/>
          </w:tcPr>
          <w:p w14:paraId="720ABD74">
            <w:pPr>
              <w:spacing w:line="340" w:lineRule="exact"/>
              <w:jc w:val="center"/>
              <w:rPr>
                <w:rFonts w:ascii="宋体" w:hAnsi="宋体" w:eastAsia="宋体" w:cs="Times New Roman"/>
                <w:color w:val="auto"/>
              </w:rPr>
            </w:pPr>
            <w:r>
              <w:rPr>
                <w:rFonts w:ascii="宋体" w:hAnsi="宋体" w:eastAsia="宋体" w:cs="Times New Roman"/>
                <w:color w:val="auto"/>
              </w:rPr>
              <w:t>依托、无需扩建</w:t>
            </w:r>
          </w:p>
        </w:tc>
      </w:tr>
      <w:tr w14:paraId="584AD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7" w:type="dxa"/>
            <w:vMerge w:val="continue"/>
            <w:vAlign w:val="center"/>
          </w:tcPr>
          <w:p w14:paraId="6F3A483B">
            <w:pPr>
              <w:spacing w:line="340" w:lineRule="exact"/>
              <w:jc w:val="center"/>
              <w:rPr>
                <w:rFonts w:ascii="宋体" w:hAnsi="宋体" w:eastAsia="宋体" w:cs="Times New Roman"/>
                <w:color w:val="auto"/>
              </w:rPr>
            </w:pPr>
          </w:p>
        </w:tc>
        <w:tc>
          <w:tcPr>
            <w:tcW w:w="689" w:type="dxa"/>
            <w:vAlign w:val="center"/>
          </w:tcPr>
          <w:p w14:paraId="29F2040F">
            <w:pPr>
              <w:spacing w:line="340" w:lineRule="exact"/>
              <w:jc w:val="center"/>
              <w:rPr>
                <w:rFonts w:ascii="宋体" w:hAnsi="宋体" w:eastAsia="宋体" w:cs="Times New Roman"/>
                <w:color w:val="auto"/>
              </w:rPr>
            </w:pPr>
            <w:r>
              <w:rPr>
                <w:rFonts w:ascii="宋体" w:hAnsi="宋体" w:eastAsia="宋体" w:cs="Times New Roman"/>
                <w:color w:val="auto"/>
              </w:rPr>
              <w:t>含油污水处理站</w:t>
            </w:r>
          </w:p>
        </w:tc>
        <w:tc>
          <w:tcPr>
            <w:tcW w:w="859" w:type="dxa"/>
            <w:gridSpan w:val="2"/>
            <w:vAlign w:val="center"/>
          </w:tcPr>
          <w:p w14:paraId="44927A68">
            <w:pPr>
              <w:spacing w:line="340" w:lineRule="exact"/>
              <w:jc w:val="center"/>
              <w:rPr>
                <w:rFonts w:ascii="宋体" w:hAnsi="宋体" w:eastAsia="宋体" w:cs="Times New Roman"/>
                <w:color w:val="auto"/>
              </w:rPr>
            </w:pPr>
            <w:r>
              <w:rPr>
                <w:rFonts w:ascii="宋体" w:hAnsi="宋体" w:eastAsia="宋体" w:cs="Times New Roman"/>
                <w:color w:val="auto"/>
              </w:rPr>
              <w:t>朝二联含油污水处理站</w:t>
            </w:r>
          </w:p>
        </w:tc>
        <w:tc>
          <w:tcPr>
            <w:tcW w:w="6115" w:type="dxa"/>
            <w:vAlign w:val="center"/>
          </w:tcPr>
          <w:p w14:paraId="426EC225">
            <w:pPr>
              <w:spacing w:line="340" w:lineRule="exact"/>
              <w:rPr>
                <w:rFonts w:ascii="宋体" w:hAnsi="宋体" w:eastAsia="宋体" w:cs="Times New Roman"/>
                <w:color w:val="auto"/>
              </w:rPr>
            </w:pPr>
            <w:r>
              <w:rPr>
                <w:rFonts w:ascii="宋体" w:hAnsi="宋体" w:eastAsia="宋体" w:cs="Times New Roman"/>
                <w:color w:val="auto"/>
                <w:lang w:val="de-DE"/>
              </w:rPr>
              <w:t>本项目</w:t>
            </w:r>
            <w:r>
              <w:rPr>
                <w:rFonts w:hint="eastAsia" w:ascii="宋体" w:hAnsi="宋体" w:eastAsia="宋体" w:cs="Times New Roman"/>
                <w:color w:val="auto"/>
              </w:rPr>
              <w:t>4</w:t>
            </w:r>
            <w:r>
              <w:rPr>
                <w:rFonts w:ascii="宋体" w:hAnsi="宋体" w:eastAsia="宋体" w:cs="Times New Roman"/>
                <w:color w:val="auto"/>
                <w:lang w:val="de-DE"/>
              </w:rPr>
              <w:t>口</w:t>
            </w:r>
            <w:r>
              <w:rPr>
                <w:rFonts w:ascii="宋体" w:hAnsi="宋体" w:eastAsia="宋体" w:cs="Times New Roman"/>
                <w:color w:val="auto"/>
              </w:rPr>
              <w:t>油井采出水</w:t>
            </w:r>
            <w:r>
              <w:rPr>
                <w:rFonts w:ascii="宋体" w:hAnsi="宋体" w:eastAsia="宋体" w:cs="Times New Roman"/>
                <w:color w:val="auto"/>
                <w:lang w:val="de-DE"/>
              </w:rPr>
              <w:t>依托</w:t>
            </w:r>
            <w:r>
              <w:rPr>
                <w:rFonts w:ascii="宋体" w:hAnsi="宋体" w:eastAsia="宋体" w:cs="Times New Roman"/>
                <w:color w:val="auto"/>
              </w:rPr>
              <w:t>朝二联含油污水处理站</w:t>
            </w:r>
            <w:r>
              <w:rPr>
                <w:rFonts w:ascii="宋体" w:hAnsi="宋体" w:eastAsia="宋体" w:cs="Times New Roman"/>
                <w:color w:val="auto"/>
                <w:lang w:val="de-DE"/>
              </w:rPr>
              <w:t>处理，朝二联含油污水处理站2000年投产运行，采用</w:t>
            </w:r>
            <w:r>
              <w:rPr>
                <w:rFonts w:ascii="宋体" w:hAnsi="宋体" w:eastAsia="宋体" w:cs="Times New Roman"/>
                <w:color w:val="auto"/>
              </w:rPr>
              <w:t>“原水→沉降罐→气浮除油→轴向动 态反冲洗过滤罐→连续反冲洗过滤罐→膜过滤”</w:t>
            </w:r>
            <w:r>
              <w:rPr>
                <w:rFonts w:ascii="宋体" w:hAnsi="宋体" w:eastAsia="宋体" w:cs="Times New Roman"/>
                <w:color w:val="auto"/>
                <w:lang w:val="de-DE"/>
              </w:rPr>
              <w:t>处理工艺，设计出水水质指标为</w:t>
            </w:r>
            <w:r>
              <w:rPr>
                <w:rFonts w:ascii="宋体" w:hAnsi="宋体" w:eastAsia="宋体" w:cs="Times New Roman"/>
                <w:color w:val="auto"/>
              </w:rPr>
              <w:t>含油量≤5mg/L、悬浮固体含量≤1mg/L</w:t>
            </w:r>
            <w:r>
              <w:rPr>
                <w:rFonts w:ascii="宋体" w:hAnsi="宋体" w:eastAsia="宋体" w:cs="Times New Roman"/>
                <w:color w:val="auto"/>
                <w:lang w:val="de-DE"/>
              </w:rPr>
              <w:t>，设计污水处理量为</w:t>
            </w:r>
            <w:r>
              <w:rPr>
                <w:rFonts w:ascii="宋体" w:hAnsi="宋体" w:eastAsia="宋体" w:cs="Times New Roman"/>
                <w:color w:val="auto"/>
              </w:rPr>
              <w:t>2000m</w:t>
            </w:r>
            <w:r>
              <w:rPr>
                <w:rFonts w:ascii="宋体" w:hAnsi="宋体" w:eastAsia="宋体" w:cs="Times New Roman"/>
                <w:color w:val="auto"/>
                <w:vertAlign w:val="superscript"/>
              </w:rPr>
              <w:t>3</w:t>
            </w:r>
            <w:r>
              <w:rPr>
                <w:rFonts w:ascii="宋体" w:hAnsi="宋体" w:eastAsia="宋体" w:cs="Times New Roman"/>
                <w:color w:val="auto"/>
              </w:rPr>
              <w:t>/d，</w:t>
            </w:r>
            <w:r>
              <w:rPr>
                <w:rFonts w:ascii="宋体" w:hAnsi="宋体" w:eastAsia="宋体" w:cs="Times New Roman"/>
                <w:color w:val="auto"/>
                <w:lang w:val="de-DE"/>
              </w:rPr>
              <w:t>目前实际污水处理量为</w:t>
            </w:r>
            <w:r>
              <w:rPr>
                <w:rFonts w:ascii="宋体" w:hAnsi="宋体" w:eastAsia="宋体" w:cs="Times New Roman"/>
                <w:color w:val="auto"/>
              </w:rPr>
              <w:t>1218</w:t>
            </w:r>
            <w:r>
              <w:rPr>
                <w:rFonts w:ascii="宋体" w:hAnsi="宋体" w:eastAsia="宋体" w:cs="Times New Roman"/>
                <w:color w:val="auto"/>
                <w:lang w:val="de-DE"/>
              </w:rPr>
              <w:t>m</w:t>
            </w:r>
            <w:r>
              <w:rPr>
                <w:rFonts w:ascii="宋体" w:hAnsi="宋体" w:eastAsia="宋体" w:cs="Times New Roman"/>
                <w:color w:val="auto"/>
                <w:vertAlign w:val="superscript"/>
                <w:lang w:val="de-DE"/>
              </w:rPr>
              <w:t>3</w:t>
            </w:r>
            <w:r>
              <w:rPr>
                <w:rFonts w:ascii="宋体" w:hAnsi="宋体" w:eastAsia="宋体" w:cs="Times New Roman"/>
                <w:color w:val="auto"/>
                <w:lang w:val="de-DE"/>
              </w:rPr>
              <w:t>/d，本项目</w:t>
            </w:r>
            <w:r>
              <w:rPr>
                <w:rFonts w:hint="eastAsia" w:ascii="宋体" w:hAnsi="宋体" w:eastAsia="宋体" w:cs="Times New Roman"/>
                <w:color w:val="auto"/>
              </w:rPr>
              <w:t>4</w:t>
            </w:r>
            <w:r>
              <w:rPr>
                <w:rFonts w:ascii="宋体" w:hAnsi="宋体" w:eastAsia="宋体" w:cs="Times New Roman"/>
                <w:color w:val="auto"/>
                <w:lang w:val="de-DE"/>
              </w:rPr>
              <w:t>口</w:t>
            </w:r>
            <w:r>
              <w:rPr>
                <w:rFonts w:ascii="宋体" w:hAnsi="宋体" w:eastAsia="宋体" w:cs="Times New Roman"/>
                <w:color w:val="auto"/>
              </w:rPr>
              <w:t>油井投产初期最大采出水量</w:t>
            </w:r>
            <w:r>
              <w:rPr>
                <w:rFonts w:ascii="宋体" w:hAnsi="宋体" w:eastAsia="宋体" w:cs="Times New Roman"/>
                <w:color w:val="auto"/>
                <w:lang w:val="de-DE"/>
              </w:rPr>
              <w:t>为</w:t>
            </w:r>
            <w:r>
              <w:rPr>
                <w:rFonts w:hint="eastAsia" w:ascii="宋体" w:hAnsi="宋体" w:eastAsia="宋体" w:cs="Times New Roman"/>
                <w:color w:val="auto"/>
              </w:rPr>
              <w:t>72</w:t>
            </w:r>
            <w:r>
              <w:rPr>
                <w:rFonts w:ascii="宋体" w:hAnsi="宋体" w:eastAsia="宋体" w:cs="Times New Roman"/>
                <w:color w:val="auto"/>
                <w:lang w:val="de-DE"/>
              </w:rPr>
              <w:t>m</w:t>
            </w:r>
            <w:r>
              <w:rPr>
                <w:rFonts w:ascii="宋体" w:hAnsi="宋体" w:eastAsia="宋体" w:cs="Times New Roman"/>
                <w:color w:val="auto"/>
                <w:vertAlign w:val="superscript"/>
                <w:lang w:val="de-DE"/>
              </w:rPr>
              <w:t>3</w:t>
            </w:r>
            <w:r>
              <w:rPr>
                <w:rFonts w:ascii="宋体" w:hAnsi="宋体" w:eastAsia="宋体" w:cs="Times New Roman"/>
                <w:color w:val="auto"/>
                <w:lang w:val="de-DE"/>
              </w:rPr>
              <w:t>/d，新增本项目采出水后处理量为</w:t>
            </w:r>
            <w:r>
              <w:rPr>
                <w:rFonts w:hint="eastAsia" w:ascii="宋体" w:hAnsi="宋体" w:eastAsia="宋体" w:cs="Times New Roman"/>
                <w:color w:val="auto"/>
              </w:rPr>
              <w:t>1290</w:t>
            </w:r>
            <w:r>
              <w:rPr>
                <w:rFonts w:ascii="宋体" w:hAnsi="宋体" w:eastAsia="宋体" w:cs="Times New Roman"/>
                <w:color w:val="auto"/>
                <w:lang w:val="de-DE"/>
              </w:rPr>
              <w:t>m</w:t>
            </w:r>
            <w:r>
              <w:rPr>
                <w:rFonts w:ascii="宋体" w:hAnsi="宋体" w:eastAsia="宋体" w:cs="Times New Roman"/>
                <w:color w:val="auto"/>
                <w:vertAlign w:val="superscript"/>
                <w:lang w:val="de-DE"/>
              </w:rPr>
              <w:t>3</w:t>
            </w:r>
            <w:r>
              <w:rPr>
                <w:rFonts w:ascii="宋体" w:hAnsi="宋体" w:eastAsia="宋体" w:cs="Times New Roman"/>
                <w:color w:val="auto"/>
                <w:lang w:val="de-DE"/>
              </w:rPr>
              <w:t>/d，负荷率为</w:t>
            </w:r>
            <w:r>
              <w:rPr>
                <w:rFonts w:hint="eastAsia" w:ascii="宋体" w:hAnsi="宋体" w:eastAsia="宋体" w:cs="Times New Roman"/>
                <w:color w:val="auto"/>
              </w:rPr>
              <w:t>64.5</w:t>
            </w:r>
            <w:r>
              <w:rPr>
                <w:rFonts w:ascii="宋体" w:hAnsi="宋体" w:eastAsia="宋体" w:cs="Times New Roman"/>
                <w:color w:val="auto"/>
                <w:lang w:val="de-DE"/>
              </w:rPr>
              <w:t>%，满足依托需求。</w:t>
            </w:r>
          </w:p>
        </w:tc>
        <w:tc>
          <w:tcPr>
            <w:tcW w:w="730" w:type="dxa"/>
            <w:vAlign w:val="center"/>
          </w:tcPr>
          <w:p w14:paraId="2E1AE188">
            <w:pPr>
              <w:spacing w:line="340" w:lineRule="exact"/>
              <w:jc w:val="center"/>
              <w:rPr>
                <w:rFonts w:ascii="宋体" w:hAnsi="宋体" w:eastAsia="宋体" w:cs="Times New Roman"/>
                <w:color w:val="auto"/>
              </w:rPr>
            </w:pPr>
            <w:r>
              <w:rPr>
                <w:rFonts w:ascii="宋体" w:hAnsi="宋体" w:eastAsia="宋体" w:cs="Times New Roman"/>
                <w:color w:val="auto"/>
              </w:rPr>
              <w:t>依托、无需扩建</w:t>
            </w:r>
          </w:p>
        </w:tc>
      </w:tr>
      <w:tr w14:paraId="64E1F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4ABE6D20">
            <w:pPr>
              <w:spacing w:line="340" w:lineRule="exact"/>
              <w:jc w:val="center"/>
              <w:rPr>
                <w:rFonts w:ascii="宋体" w:hAnsi="宋体" w:eastAsia="宋体" w:cs="Times New Roman"/>
                <w:color w:val="auto"/>
              </w:rPr>
            </w:pPr>
          </w:p>
        </w:tc>
        <w:tc>
          <w:tcPr>
            <w:tcW w:w="689" w:type="dxa"/>
            <w:vMerge w:val="restart"/>
            <w:vAlign w:val="center"/>
          </w:tcPr>
          <w:p w14:paraId="066D3E18">
            <w:pPr>
              <w:spacing w:line="340" w:lineRule="exact"/>
              <w:jc w:val="center"/>
              <w:rPr>
                <w:rFonts w:ascii="宋体" w:hAnsi="宋体" w:eastAsia="宋体" w:cs="Times New Roman"/>
                <w:color w:val="auto"/>
              </w:rPr>
            </w:pPr>
            <w:r>
              <w:rPr>
                <w:rFonts w:ascii="宋体" w:hAnsi="宋体" w:eastAsia="宋体" w:cs="Times New Roman"/>
                <w:color w:val="auto"/>
              </w:rPr>
              <w:t>含油污泥处理站</w:t>
            </w:r>
          </w:p>
        </w:tc>
        <w:tc>
          <w:tcPr>
            <w:tcW w:w="859" w:type="dxa"/>
            <w:gridSpan w:val="2"/>
            <w:vAlign w:val="center"/>
          </w:tcPr>
          <w:p w14:paraId="27F3CD8D">
            <w:pPr>
              <w:spacing w:line="340" w:lineRule="exact"/>
              <w:jc w:val="center"/>
              <w:rPr>
                <w:rFonts w:ascii="宋体" w:hAnsi="宋体" w:eastAsia="宋体" w:cs="Times New Roman"/>
                <w:color w:val="auto"/>
              </w:rPr>
            </w:pPr>
            <w:r>
              <w:rPr>
                <w:rFonts w:ascii="宋体" w:hAnsi="宋体" w:eastAsia="宋体" w:cs="Times New Roman"/>
                <w:color w:val="auto"/>
              </w:rPr>
              <w:t>朝一联含油污泥处理站</w:t>
            </w:r>
          </w:p>
        </w:tc>
        <w:tc>
          <w:tcPr>
            <w:tcW w:w="6115" w:type="dxa"/>
            <w:vAlign w:val="center"/>
          </w:tcPr>
          <w:p w14:paraId="4F2161DA">
            <w:pPr>
              <w:spacing w:line="340" w:lineRule="exact"/>
              <w:rPr>
                <w:rFonts w:ascii="宋体" w:hAnsi="宋体" w:eastAsia="宋体" w:cs="Times New Roman"/>
                <w:color w:val="auto"/>
                <w:lang w:val="de-DE"/>
              </w:rPr>
            </w:pPr>
            <w:r>
              <w:rPr>
                <w:rFonts w:ascii="宋体" w:hAnsi="宋体" w:eastAsia="宋体" w:cs="Times New Roman"/>
                <w:color w:val="auto"/>
              </w:rPr>
              <w:t>朝一联含油污泥处理站采用“机械调质+超声分离+离心”处理工艺，设计处理规模为5m</w:t>
            </w:r>
            <w:r>
              <w:rPr>
                <w:rFonts w:ascii="宋体" w:hAnsi="宋体" w:eastAsia="宋体" w:cs="Times New Roman"/>
                <w:color w:val="auto"/>
                <w:vertAlign w:val="superscript"/>
              </w:rPr>
              <w:t>3</w:t>
            </w:r>
            <w:r>
              <w:rPr>
                <w:rFonts w:ascii="宋体" w:hAnsi="宋体" w:eastAsia="宋体" w:cs="Times New Roman"/>
                <w:color w:val="auto"/>
              </w:rPr>
              <w:t>/h（年运行180天，每天24小时，年最大处理量21600m</w:t>
            </w:r>
            <w:r>
              <w:rPr>
                <w:rFonts w:ascii="宋体" w:hAnsi="宋体" w:eastAsia="宋体" w:cs="Times New Roman"/>
                <w:color w:val="auto"/>
                <w:vertAlign w:val="superscript"/>
              </w:rPr>
              <w:t>3</w:t>
            </w:r>
            <w:r>
              <w:rPr>
                <w:rFonts w:ascii="宋体" w:hAnsi="宋体" w:eastAsia="宋体" w:cs="Times New Roman"/>
                <w:color w:val="auto"/>
              </w:rPr>
              <w:t>），目前实际处理量约13405.4m</w:t>
            </w:r>
            <w:r>
              <w:rPr>
                <w:rFonts w:ascii="宋体" w:hAnsi="宋体" w:eastAsia="宋体" w:cs="Times New Roman"/>
                <w:color w:val="auto"/>
                <w:vertAlign w:val="superscript"/>
              </w:rPr>
              <w:t>3</w:t>
            </w:r>
            <w:r>
              <w:rPr>
                <w:rFonts w:ascii="宋体" w:hAnsi="宋体" w:eastAsia="宋体" w:cs="Times New Roman"/>
                <w:color w:val="auto"/>
              </w:rPr>
              <w:t>/a，负荷率约为62.06%，剩余处理量为 8194.6m</w:t>
            </w:r>
            <w:r>
              <w:rPr>
                <w:rFonts w:ascii="宋体" w:hAnsi="宋体" w:eastAsia="宋体" w:cs="Times New Roman"/>
                <w:color w:val="auto"/>
                <w:vertAlign w:val="superscript"/>
              </w:rPr>
              <w:t>3</w:t>
            </w:r>
            <w:r>
              <w:rPr>
                <w:rFonts w:ascii="宋体" w:hAnsi="宋体" w:eastAsia="宋体" w:cs="Times New Roman"/>
                <w:color w:val="auto"/>
              </w:rPr>
              <w:t>。本项目含油泥（砂）及落地油产生量为</w:t>
            </w:r>
            <w:r>
              <w:rPr>
                <w:rFonts w:hint="eastAsia" w:ascii="宋体" w:hAnsi="宋体" w:eastAsia="宋体" w:cs="Times New Roman"/>
                <w:color w:val="auto"/>
              </w:rPr>
              <w:t>0.478</w:t>
            </w:r>
            <w:r>
              <w:rPr>
                <w:rFonts w:ascii="宋体" w:hAnsi="宋体" w:eastAsia="宋体" w:cs="Times New Roman"/>
                <w:color w:val="auto"/>
              </w:rPr>
              <w:t>t/a，约</w:t>
            </w:r>
            <w:r>
              <w:rPr>
                <w:rFonts w:hint="eastAsia" w:ascii="宋体" w:hAnsi="宋体" w:eastAsia="宋体" w:cs="Times New Roman"/>
                <w:color w:val="auto"/>
              </w:rPr>
              <w:t>0.40</w:t>
            </w:r>
            <w:r>
              <w:rPr>
                <w:rFonts w:ascii="宋体" w:hAnsi="宋体" w:eastAsia="宋体" w:cs="Times New Roman"/>
                <w:color w:val="auto"/>
              </w:rPr>
              <w:t>m</w:t>
            </w:r>
            <w:r>
              <w:rPr>
                <w:rFonts w:ascii="宋体" w:hAnsi="宋体" w:eastAsia="宋体" w:cs="Times New Roman"/>
                <w:color w:val="auto"/>
                <w:vertAlign w:val="superscript"/>
              </w:rPr>
              <w:t>3</w:t>
            </w:r>
            <w:r>
              <w:rPr>
                <w:rFonts w:ascii="宋体" w:hAnsi="宋体" w:eastAsia="宋体" w:cs="Times New Roman"/>
                <w:color w:val="auto"/>
              </w:rPr>
              <w:t>，本项目新增后处理量约为</w:t>
            </w:r>
            <w:r>
              <w:rPr>
                <w:rFonts w:hint="eastAsia" w:ascii="宋体" w:hAnsi="宋体" w:eastAsia="宋体" w:cs="Times New Roman"/>
                <w:color w:val="auto"/>
              </w:rPr>
              <w:t>13405.8</w:t>
            </w:r>
            <w:r>
              <w:rPr>
                <w:rFonts w:ascii="宋体" w:hAnsi="宋体" w:eastAsia="宋体" w:cs="Times New Roman"/>
                <w:color w:val="auto"/>
              </w:rPr>
              <w:t>/a，负荷率为</w:t>
            </w:r>
            <w:r>
              <w:rPr>
                <w:rFonts w:hint="eastAsia" w:ascii="宋体" w:hAnsi="宋体" w:eastAsia="宋体" w:cs="Times New Roman"/>
                <w:color w:val="auto"/>
              </w:rPr>
              <w:t>62.06</w:t>
            </w:r>
            <w:r>
              <w:rPr>
                <w:rFonts w:ascii="宋体" w:hAnsi="宋体" w:eastAsia="宋体" w:cs="Times New Roman"/>
                <w:color w:val="auto"/>
              </w:rPr>
              <w:t>%，变化较小，能够满足本项目含油污泥处理需求。</w:t>
            </w:r>
          </w:p>
        </w:tc>
        <w:tc>
          <w:tcPr>
            <w:tcW w:w="730" w:type="dxa"/>
            <w:vAlign w:val="center"/>
          </w:tcPr>
          <w:p w14:paraId="4EB3DAE9">
            <w:pPr>
              <w:spacing w:line="340" w:lineRule="exact"/>
              <w:jc w:val="center"/>
              <w:rPr>
                <w:rFonts w:ascii="宋体" w:hAnsi="宋体" w:eastAsia="宋体" w:cs="Times New Roman"/>
                <w:color w:val="auto"/>
              </w:rPr>
            </w:pPr>
            <w:r>
              <w:rPr>
                <w:rFonts w:ascii="宋体" w:hAnsi="宋体" w:eastAsia="宋体" w:cs="Times New Roman"/>
                <w:color w:val="auto"/>
              </w:rPr>
              <w:t>依托、无需扩建</w:t>
            </w:r>
          </w:p>
        </w:tc>
      </w:tr>
      <w:tr w14:paraId="03AA8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4C40DEA4">
            <w:pPr>
              <w:spacing w:line="340" w:lineRule="exact"/>
              <w:jc w:val="center"/>
              <w:rPr>
                <w:rFonts w:ascii="宋体" w:hAnsi="宋体" w:eastAsia="宋体" w:cs="Times New Roman"/>
                <w:color w:val="auto"/>
              </w:rPr>
            </w:pPr>
          </w:p>
        </w:tc>
        <w:tc>
          <w:tcPr>
            <w:tcW w:w="689" w:type="dxa"/>
            <w:vMerge w:val="continue"/>
            <w:vAlign w:val="center"/>
          </w:tcPr>
          <w:p w14:paraId="6FAA1117">
            <w:pPr>
              <w:spacing w:line="340" w:lineRule="exact"/>
              <w:jc w:val="center"/>
              <w:rPr>
                <w:rFonts w:ascii="宋体" w:hAnsi="宋体" w:eastAsia="宋体" w:cs="Times New Roman"/>
                <w:color w:val="auto"/>
              </w:rPr>
            </w:pPr>
          </w:p>
        </w:tc>
        <w:tc>
          <w:tcPr>
            <w:tcW w:w="859" w:type="dxa"/>
            <w:gridSpan w:val="2"/>
            <w:vAlign w:val="center"/>
          </w:tcPr>
          <w:p w14:paraId="6A5EA58D">
            <w:pPr>
              <w:spacing w:line="340" w:lineRule="exact"/>
              <w:jc w:val="center"/>
              <w:rPr>
                <w:rFonts w:ascii="宋体" w:hAnsi="宋体" w:eastAsia="宋体" w:cs="Times New Roman"/>
                <w:color w:val="auto"/>
              </w:rPr>
            </w:pPr>
            <w:r>
              <w:rPr>
                <w:rFonts w:ascii="宋体" w:hAnsi="宋体" w:eastAsia="宋体" w:cs="Times New Roman"/>
                <w:color w:val="auto"/>
              </w:rPr>
              <w:t>大庆博昕晶化科技有限公司</w:t>
            </w:r>
          </w:p>
        </w:tc>
        <w:tc>
          <w:tcPr>
            <w:tcW w:w="6115" w:type="dxa"/>
            <w:vAlign w:val="center"/>
          </w:tcPr>
          <w:p w14:paraId="4C01F859">
            <w:pPr>
              <w:spacing w:line="340" w:lineRule="exact"/>
              <w:rPr>
                <w:rFonts w:ascii="宋体" w:hAnsi="宋体" w:eastAsia="宋体" w:cs="Times New Roman"/>
                <w:color w:val="auto"/>
                <w:kern w:val="21"/>
              </w:rPr>
            </w:pPr>
            <w:r>
              <w:rPr>
                <w:rFonts w:ascii="宋体" w:hAnsi="宋体" w:eastAsia="宋体" w:cs="Times New Roman"/>
                <w:color w:val="auto"/>
              </w:rPr>
              <w:t>大庆博昕晶化科技有限公司危险废物利用处置厂区位于黑龙江省大庆市大同区，设计处理规模为30000t/a，厂区占地面积67614.45m</w:t>
            </w:r>
            <w:r>
              <w:rPr>
                <w:rFonts w:ascii="宋体" w:hAnsi="宋体" w:eastAsia="宋体" w:cs="Times New Roman"/>
                <w:color w:val="auto"/>
                <w:vertAlign w:val="superscript"/>
              </w:rPr>
              <w:t>2</w:t>
            </w:r>
            <w:r>
              <w:rPr>
                <w:rFonts w:ascii="宋体" w:hAnsi="宋体" w:eastAsia="宋体" w:cs="Times New Roman"/>
                <w:color w:val="auto"/>
              </w:rPr>
              <w:t>，大庆博昕晶化科技有限公司采用密闭旋转蒸馏处理工艺，负荷率为70%，本项目油泥最大产生量约为</w:t>
            </w:r>
            <w:r>
              <w:rPr>
                <w:rFonts w:hint="eastAsia" w:ascii="宋体" w:hAnsi="宋体" w:eastAsia="宋体" w:cs="Times New Roman"/>
                <w:color w:val="auto"/>
              </w:rPr>
              <w:t>0.478</w:t>
            </w:r>
            <w:r>
              <w:rPr>
                <w:rFonts w:ascii="宋体" w:hAnsi="宋体" w:eastAsia="宋体" w:cs="Times New Roman"/>
                <w:color w:val="auto"/>
              </w:rPr>
              <w:t>t/a，经朝一联含油污泥处理站减量化处理后进入该装置，大庆博昕晶化科技有限公司剩余处理能力满足本项目处理需求，依托可行。</w:t>
            </w:r>
          </w:p>
        </w:tc>
        <w:tc>
          <w:tcPr>
            <w:tcW w:w="730" w:type="dxa"/>
            <w:vAlign w:val="center"/>
          </w:tcPr>
          <w:p w14:paraId="02A15E47">
            <w:pPr>
              <w:spacing w:line="340" w:lineRule="exact"/>
              <w:jc w:val="center"/>
              <w:rPr>
                <w:rFonts w:ascii="宋体" w:hAnsi="宋体" w:eastAsia="宋体" w:cs="Times New Roman"/>
                <w:color w:val="auto"/>
              </w:rPr>
            </w:pPr>
            <w:r>
              <w:rPr>
                <w:rFonts w:ascii="宋体" w:hAnsi="宋体" w:eastAsia="宋体" w:cs="Times New Roman"/>
                <w:color w:val="auto"/>
                <w:kern w:val="21"/>
              </w:rPr>
              <w:t>依托</w:t>
            </w:r>
            <w:r>
              <w:rPr>
                <w:rFonts w:ascii="宋体" w:hAnsi="宋体" w:eastAsia="宋体" w:cs="Times New Roman"/>
                <w:color w:val="auto"/>
              </w:rPr>
              <w:t>、无需扩建</w:t>
            </w:r>
          </w:p>
        </w:tc>
      </w:tr>
      <w:tr w14:paraId="18527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40B6B92B">
            <w:pPr>
              <w:spacing w:line="340" w:lineRule="exact"/>
              <w:jc w:val="center"/>
              <w:rPr>
                <w:rFonts w:ascii="宋体" w:hAnsi="宋体" w:eastAsia="宋体" w:cs="Times New Roman"/>
                <w:color w:val="auto"/>
              </w:rPr>
            </w:pPr>
          </w:p>
        </w:tc>
        <w:tc>
          <w:tcPr>
            <w:tcW w:w="689" w:type="dxa"/>
            <w:vAlign w:val="center"/>
          </w:tcPr>
          <w:p w14:paraId="3CEA8745">
            <w:pPr>
              <w:spacing w:line="340" w:lineRule="exact"/>
              <w:jc w:val="center"/>
              <w:rPr>
                <w:rFonts w:ascii="宋体" w:hAnsi="宋体" w:eastAsia="宋体" w:cs="Times New Roman"/>
                <w:color w:val="auto"/>
              </w:rPr>
            </w:pPr>
            <w:r>
              <w:rPr>
                <w:rFonts w:ascii="宋体" w:hAnsi="宋体" w:eastAsia="宋体" w:cs="Times New Roman"/>
                <w:color w:val="auto"/>
              </w:rPr>
              <w:t>一般工业固废填埋场</w:t>
            </w:r>
          </w:p>
        </w:tc>
        <w:tc>
          <w:tcPr>
            <w:tcW w:w="859" w:type="dxa"/>
            <w:gridSpan w:val="2"/>
            <w:vAlign w:val="center"/>
          </w:tcPr>
          <w:p w14:paraId="0C5438C3">
            <w:pPr>
              <w:spacing w:line="340" w:lineRule="exact"/>
              <w:jc w:val="center"/>
              <w:rPr>
                <w:rFonts w:ascii="宋体" w:hAnsi="宋体" w:eastAsia="宋体" w:cs="Times New Roman"/>
                <w:color w:val="auto"/>
              </w:rPr>
            </w:pPr>
            <w:r>
              <w:rPr>
                <w:rFonts w:ascii="宋体" w:hAnsi="宋体" w:eastAsia="宋体" w:cs="Times New Roman"/>
                <w:color w:val="auto"/>
              </w:rPr>
              <w:t>第八采油厂工业固废填埋场</w:t>
            </w:r>
          </w:p>
        </w:tc>
        <w:tc>
          <w:tcPr>
            <w:tcW w:w="6115" w:type="dxa"/>
            <w:vAlign w:val="center"/>
          </w:tcPr>
          <w:p w14:paraId="16124A63">
            <w:pPr>
              <w:spacing w:line="340" w:lineRule="exact"/>
              <w:rPr>
                <w:rFonts w:ascii="宋体" w:hAnsi="宋体" w:eastAsia="宋体" w:cs="Times New Roman"/>
                <w:color w:val="auto"/>
                <w:kern w:val="21"/>
              </w:rPr>
            </w:pPr>
            <w:r>
              <w:rPr>
                <w:rFonts w:ascii="宋体" w:hAnsi="宋体" w:eastAsia="宋体" w:cs="Times New Roman"/>
                <w:color w:val="auto"/>
              </w:rPr>
              <w:t>第八采油厂工业固废填埋场位于大庆市肇州县新福乡双龙山北侧1.8km、乐业村东南1.05km处，占地面积1.91hm</w:t>
            </w:r>
            <w:r>
              <w:rPr>
                <w:rFonts w:ascii="宋体" w:hAnsi="宋体" w:eastAsia="宋体" w:cs="Times New Roman"/>
                <w:color w:val="auto"/>
                <w:vertAlign w:val="superscript"/>
              </w:rPr>
              <w:t>2</w:t>
            </w:r>
            <w:r>
              <w:rPr>
                <w:rFonts w:ascii="宋体" w:hAnsi="宋体" w:eastAsia="宋体" w:cs="Times New Roman"/>
                <w:color w:val="auto"/>
              </w:rPr>
              <w:t>，填埋场现阶段运行稳定，总容量为 11624m</w:t>
            </w:r>
            <w:r>
              <w:rPr>
                <w:rFonts w:ascii="宋体" w:hAnsi="宋体" w:eastAsia="宋体" w:cs="Times New Roman"/>
                <w:color w:val="auto"/>
                <w:vertAlign w:val="superscript"/>
              </w:rPr>
              <w:t>3</w:t>
            </w:r>
            <w:r>
              <w:rPr>
                <w:rFonts w:ascii="宋体" w:hAnsi="宋体" w:eastAsia="宋体" w:cs="Times New Roman"/>
                <w:color w:val="auto"/>
              </w:rPr>
              <w:t>，设计年处理能力为581.2m</w:t>
            </w:r>
            <w:r>
              <w:rPr>
                <w:rFonts w:ascii="宋体" w:hAnsi="宋体" w:eastAsia="宋体" w:cs="Times New Roman"/>
                <w:color w:val="auto"/>
                <w:vertAlign w:val="superscript"/>
              </w:rPr>
              <w:t>3</w:t>
            </w:r>
            <w:r>
              <w:rPr>
                <w:rFonts w:ascii="宋体" w:hAnsi="宋体" w:eastAsia="宋体" w:cs="Times New Roman"/>
                <w:color w:val="auto"/>
              </w:rPr>
              <w:t>，合700t/a，服务年限20年，目前填埋总量约为5347m</w:t>
            </w:r>
            <w:r>
              <w:rPr>
                <w:rFonts w:ascii="宋体" w:hAnsi="宋体" w:eastAsia="宋体" w:cs="Times New Roman"/>
                <w:color w:val="auto"/>
                <w:vertAlign w:val="superscript"/>
              </w:rPr>
              <w:t>3</w:t>
            </w:r>
            <w:r>
              <w:rPr>
                <w:rFonts w:ascii="宋体" w:hAnsi="宋体" w:eastAsia="宋体" w:cs="Times New Roman"/>
                <w:color w:val="auto"/>
              </w:rPr>
              <w:t>，剩余填埋量约为6277m</w:t>
            </w:r>
            <w:r>
              <w:rPr>
                <w:rFonts w:ascii="宋体" w:hAnsi="宋体" w:eastAsia="宋体" w:cs="Times New Roman"/>
                <w:color w:val="auto"/>
                <w:vertAlign w:val="superscript"/>
              </w:rPr>
              <w:t>3</w:t>
            </w:r>
            <w:r>
              <w:rPr>
                <w:rFonts w:ascii="宋体" w:hAnsi="宋体" w:eastAsia="宋体" w:cs="Times New Roman"/>
                <w:color w:val="auto"/>
              </w:rPr>
              <w:t>，本项目产生膨润土、纯碱、重晶石粉废包装袋、施工废料共计约0.</w:t>
            </w:r>
            <w:r>
              <w:rPr>
                <w:rFonts w:hint="eastAsia" w:ascii="宋体" w:hAnsi="宋体" w:eastAsia="宋体" w:cs="Times New Roman"/>
                <w:color w:val="auto"/>
              </w:rPr>
              <w:t>1212t</w:t>
            </w:r>
            <w:r>
              <w:rPr>
                <w:rFonts w:ascii="宋体" w:hAnsi="宋体" w:eastAsia="宋体" w:cs="Times New Roman"/>
                <w:color w:val="auto"/>
              </w:rPr>
              <w:t>，填埋场剩余容量能够容纳本项目产生的固体废物，依托可行</w:t>
            </w:r>
            <w:r>
              <w:rPr>
                <w:rFonts w:ascii="宋体" w:hAnsi="宋体" w:eastAsia="宋体" w:cs="Times New Roman"/>
                <w:color w:val="auto"/>
                <w:kern w:val="21"/>
              </w:rPr>
              <w:t>。</w:t>
            </w:r>
          </w:p>
        </w:tc>
        <w:tc>
          <w:tcPr>
            <w:tcW w:w="730" w:type="dxa"/>
            <w:vAlign w:val="center"/>
          </w:tcPr>
          <w:p w14:paraId="56BC7E9F">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依托</w:t>
            </w:r>
            <w:r>
              <w:rPr>
                <w:rFonts w:ascii="宋体" w:hAnsi="宋体" w:eastAsia="宋体" w:cs="Times New Roman"/>
                <w:color w:val="auto"/>
              </w:rPr>
              <w:t>、无需扩建</w:t>
            </w:r>
          </w:p>
        </w:tc>
      </w:tr>
      <w:tr w14:paraId="7DB9C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67" w:type="dxa"/>
            <w:vMerge w:val="continue"/>
            <w:vAlign w:val="center"/>
          </w:tcPr>
          <w:p w14:paraId="2FD0399C">
            <w:pPr>
              <w:spacing w:line="340" w:lineRule="exact"/>
              <w:jc w:val="center"/>
              <w:rPr>
                <w:rFonts w:ascii="宋体" w:hAnsi="宋体" w:eastAsia="宋体" w:cs="Times New Roman"/>
                <w:color w:val="auto"/>
              </w:rPr>
            </w:pPr>
          </w:p>
        </w:tc>
        <w:tc>
          <w:tcPr>
            <w:tcW w:w="689" w:type="dxa"/>
            <w:vAlign w:val="center"/>
          </w:tcPr>
          <w:p w14:paraId="623ED0B7">
            <w:pPr>
              <w:spacing w:line="340" w:lineRule="exact"/>
              <w:jc w:val="center"/>
              <w:rPr>
                <w:rFonts w:ascii="宋体" w:hAnsi="宋体" w:eastAsia="宋体" w:cs="Times New Roman"/>
                <w:color w:val="auto"/>
              </w:rPr>
            </w:pPr>
            <w:r>
              <w:rPr>
                <w:rFonts w:ascii="宋体" w:hAnsi="宋体" w:eastAsia="宋体" w:cs="Times New Roman"/>
                <w:color w:val="auto"/>
              </w:rPr>
              <w:t>危废贮储库</w:t>
            </w:r>
          </w:p>
        </w:tc>
        <w:tc>
          <w:tcPr>
            <w:tcW w:w="859" w:type="dxa"/>
            <w:gridSpan w:val="2"/>
            <w:vAlign w:val="center"/>
          </w:tcPr>
          <w:p w14:paraId="1ED9DB6B">
            <w:pPr>
              <w:spacing w:line="340" w:lineRule="exact"/>
              <w:jc w:val="center"/>
              <w:rPr>
                <w:rFonts w:ascii="宋体" w:hAnsi="宋体" w:eastAsia="宋体" w:cs="Times New Roman"/>
                <w:color w:val="auto"/>
              </w:rPr>
            </w:pPr>
            <w:r>
              <w:rPr>
                <w:rFonts w:ascii="宋体" w:hAnsi="宋体" w:eastAsia="宋体" w:cs="Times New Roman"/>
                <w:color w:val="auto"/>
                <w:kern w:val="21"/>
              </w:rPr>
              <w:t>第十采油厂综合固废储存库</w:t>
            </w:r>
          </w:p>
        </w:tc>
        <w:tc>
          <w:tcPr>
            <w:tcW w:w="6115" w:type="dxa"/>
            <w:vAlign w:val="center"/>
          </w:tcPr>
          <w:p w14:paraId="26C350AB">
            <w:pPr>
              <w:spacing w:line="340" w:lineRule="exact"/>
              <w:rPr>
                <w:rFonts w:ascii="宋体" w:hAnsi="宋体" w:eastAsia="宋体" w:cs="Times New Roman"/>
                <w:color w:val="auto"/>
                <w:kern w:val="21"/>
              </w:rPr>
            </w:pPr>
            <w:r>
              <w:rPr>
                <w:rFonts w:ascii="宋体" w:hAnsi="宋体" w:eastAsia="宋体" w:cs="Times New Roman"/>
                <w:color w:val="auto"/>
                <w:kern w:val="21"/>
              </w:rPr>
              <w:t>第十采油厂综合固废储存库建设2座库房，主要用于储存废润滑油、废机油、含油滤料、废三滤、废细菌瓶、废原油、废化学试剂、含铬废液、过期药品试剂等危险废物，定期委托资质单位拉运处理。设计废含油防渗布存储量为500t，现实际储存量为10t，本项目</w:t>
            </w:r>
            <w:r>
              <w:rPr>
                <w:rFonts w:hint="eastAsia" w:ascii="宋体" w:hAnsi="宋体" w:eastAsia="宋体" w:cs="Times New Roman"/>
                <w:color w:val="auto"/>
                <w:kern w:val="21"/>
              </w:rPr>
              <w:t>施工期</w:t>
            </w:r>
            <w:r>
              <w:rPr>
                <w:rFonts w:ascii="宋体" w:hAnsi="宋体" w:eastAsia="宋体" w:cs="Times New Roman"/>
                <w:color w:val="auto"/>
                <w:kern w:val="21"/>
              </w:rPr>
              <w:t>含油废防渗布产生量</w:t>
            </w:r>
            <w:r>
              <w:rPr>
                <w:rFonts w:hint="eastAsia" w:ascii="宋体" w:hAnsi="宋体" w:eastAsia="宋体" w:cs="Times New Roman"/>
                <w:color w:val="auto"/>
                <w:kern w:val="21"/>
              </w:rPr>
              <w:t>1.6t，运营期</w:t>
            </w:r>
            <w:r>
              <w:rPr>
                <w:rFonts w:ascii="宋体" w:hAnsi="宋体" w:eastAsia="宋体" w:cs="Times New Roman"/>
                <w:color w:val="auto"/>
                <w:kern w:val="21"/>
              </w:rPr>
              <w:t>含油废防渗布产生量</w:t>
            </w:r>
            <w:r>
              <w:rPr>
                <w:rFonts w:hint="eastAsia" w:ascii="宋体" w:hAnsi="宋体" w:eastAsia="宋体" w:cs="Times New Roman"/>
                <w:color w:val="auto"/>
                <w:kern w:val="21"/>
              </w:rPr>
              <w:t>0.07t</w:t>
            </w:r>
            <w:r>
              <w:rPr>
                <w:rFonts w:ascii="宋体" w:hAnsi="宋体" w:eastAsia="宋体" w:cs="Times New Roman"/>
                <w:color w:val="auto"/>
                <w:kern w:val="21"/>
              </w:rPr>
              <w:t>/a，处理能力满足本项目处理需求，依托可行。</w:t>
            </w:r>
          </w:p>
        </w:tc>
        <w:tc>
          <w:tcPr>
            <w:tcW w:w="730" w:type="dxa"/>
            <w:vAlign w:val="center"/>
          </w:tcPr>
          <w:p w14:paraId="2DFA7DD3">
            <w:pPr>
              <w:spacing w:line="340" w:lineRule="exact"/>
              <w:jc w:val="center"/>
              <w:rPr>
                <w:rFonts w:ascii="宋体" w:hAnsi="宋体" w:eastAsia="宋体" w:cs="Times New Roman"/>
                <w:color w:val="auto"/>
              </w:rPr>
            </w:pPr>
            <w:r>
              <w:rPr>
                <w:rFonts w:ascii="宋体" w:hAnsi="宋体" w:eastAsia="宋体" w:cs="Times New Roman"/>
                <w:color w:val="auto"/>
                <w:kern w:val="21"/>
              </w:rPr>
              <w:t>依托、无需扩建</w:t>
            </w:r>
          </w:p>
        </w:tc>
      </w:tr>
    </w:tbl>
    <w:p w14:paraId="07CCD079">
      <w:pPr>
        <w:pStyle w:val="5"/>
        <w:rPr>
          <w:bCs w:val="0"/>
          <w:color w:val="auto"/>
        </w:rPr>
      </w:pPr>
      <w:bookmarkStart w:id="594" w:name="_Toc212033015"/>
      <w:bookmarkStart w:id="595" w:name="_Toc21061"/>
      <w:r>
        <w:rPr>
          <w:bCs w:val="0"/>
          <w:color w:val="auto"/>
        </w:rPr>
        <w:t>开发方案</w:t>
      </w:r>
      <w:bookmarkEnd w:id="594"/>
      <w:bookmarkEnd w:id="595"/>
    </w:p>
    <w:p w14:paraId="576663DC">
      <w:pPr>
        <w:pStyle w:val="6"/>
        <w:rPr>
          <w:color w:val="auto"/>
        </w:rPr>
      </w:pPr>
      <w:bookmarkStart w:id="596" w:name="_Toc77067656"/>
      <w:bookmarkStart w:id="597" w:name="_Toc126863384"/>
      <w:bookmarkStart w:id="598" w:name="_Toc70050172"/>
      <w:bookmarkStart w:id="599" w:name="_Toc127192333"/>
      <w:bookmarkStart w:id="600" w:name="_Toc78816457"/>
      <w:bookmarkStart w:id="601" w:name="_Toc143099571"/>
      <w:bookmarkStart w:id="602" w:name="_Toc76976240"/>
      <w:bookmarkStart w:id="603" w:name="_Toc67860125"/>
      <w:bookmarkStart w:id="604" w:name="_Toc86141928"/>
      <w:bookmarkStart w:id="605" w:name="_Toc80588252"/>
      <w:bookmarkStart w:id="606" w:name="_Toc131167284"/>
      <w:bookmarkStart w:id="607" w:name="_Toc83209469"/>
      <w:bookmarkStart w:id="608" w:name="_Toc80971374"/>
      <w:bookmarkStart w:id="609" w:name="_Toc85640749"/>
      <w:bookmarkStart w:id="610" w:name="_Toc84929225"/>
      <w:bookmarkStart w:id="611" w:name="_Toc61597218"/>
      <w:r>
        <w:rPr>
          <w:color w:val="auto"/>
        </w:rPr>
        <w:t>新钻井开发方案</w:t>
      </w:r>
    </w:p>
    <w:p w14:paraId="0E11C7B7">
      <w:pPr>
        <w:pStyle w:val="276"/>
        <w:widowControl w:val="0"/>
        <w:spacing w:line="440" w:lineRule="exact"/>
        <w:ind w:firstLine="480"/>
        <w:jc w:val="both"/>
        <w:rPr>
          <w:color w:val="auto"/>
          <w:kern w:val="21"/>
        </w:rPr>
      </w:pPr>
      <w:r>
        <w:rPr>
          <w:color w:val="auto"/>
          <w:kern w:val="21"/>
        </w:rPr>
        <w:t>钻前准备工作主要为平整井场，保证全套钻井设备达到相关安装标准，安装完成后并进行相关调试。本项目新钻井6口，全部为油井，单井完钻</w:t>
      </w:r>
      <w:r>
        <w:rPr>
          <w:snapToGrid w:val="0"/>
          <w:color w:val="auto"/>
        </w:rPr>
        <w:t>井深</w:t>
      </w:r>
      <w:r>
        <w:rPr>
          <w:color w:val="auto"/>
          <w:kern w:val="21"/>
        </w:rPr>
        <w:t>最大为1999m，单井进尺最大为3359m，总进尺16642m。具体钻井井位坐标见表3.5-1。</w:t>
      </w:r>
    </w:p>
    <w:p w14:paraId="5B277452">
      <w:pPr>
        <w:pStyle w:val="22"/>
        <w:spacing w:before="156"/>
        <w:rPr>
          <w:rFonts w:hAnsi="宋体" w:cs="Times New Roman"/>
          <w:color w:val="auto"/>
          <w:kern w:val="21"/>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项目新钻井井位统计表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4"/>
        <w:gridCol w:w="665"/>
        <w:gridCol w:w="1612"/>
        <w:gridCol w:w="1135"/>
        <w:gridCol w:w="1135"/>
        <w:gridCol w:w="914"/>
        <w:gridCol w:w="705"/>
        <w:gridCol w:w="932"/>
        <w:gridCol w:w="932"/>
        <w:gridCol w:w="556"/>
      </w:tblGrid>
      <w:tr w14:paraId="5F86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549" w:type="dxa"/>
            <w:vMerge w:val="restart"/>
            <w:noWrap/>
            <w:tcMar>
              <w:top w:w="15" w:type="dxa"/>
              <w:left w:w="15" w:type="dxa"/>
              <w:right w:w="15" w:type="dxa"/>
            </w:tcMar>
            <w:vAlign w:val="center"/>
          </w:tcPr>
          <w:p w14:paraId="13A65A83">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序号</w:t>
            </w:r>
          </w:p>
        </w:tc>
        <w:tc>
          <w:tcPr>
            <w:tcW w:w="727" w:type="dxa"/>
            <w:vMerge w:val="restart"/>
            <w:noWrap/>
            <w:tcMar>
              <w:top w:w="15" w:type="dxa"/>
              <w:left w:w="15" w:type="dxa"/>
              <w:right w:w="15" w:type="dxa"/>
            </w:tcMar>
            <w:vAlign w:val="center"/>
          </w:tcPr>
          <w:p w14:paraId="6FEB1C91">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平台号</w:t>
            </w:r>
          </w:p>
        </w:tc>
        <w:tc>
          <w:tcPr>
            <w:tcW w:w="1774" w:type="dxa"/>
            <w:vMerge w:val="restart"/>
            <w:vAlign w:val="center"/>
          </w:tcPr>
          <w:p w14:paraId="29B3E3BC">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井号</w:t>
            </w:r>
          </w:p>
        </w:tc>
        <w:tc>
          <w:tcPr>
            <w:tcW w:w="2496" w:type="dxa"/>
            <w:gridSpan w:val="2"/>
            <w:vAlign w:val="center"/>
          </w:tcPr>
          <w:p w14:paraId="75345CEA">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井位坐标</w:t>
            </w:r>
          </w:p>
        </w:tc>
        <w:tc>
          <w:tcPr>
            <w:tcW w:w="1005" w:type="dxa"/>
            <w:vMerge w:val="restart"/>
            <w:vAlign w:val="center"/>
          </w:tcPr>
          <w:p w14:paraId="74DD70FE">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井型</w:t>
            </w:r>
          </w:p>
        </w:tc>
        <w:tc>
          <w:tcPr>
            <w:tcW w:w="775" w:type="dxa"/>
            <w:vMerge w:val="restart"/>
            <w:vAlign w:val="center"/>
          </w:tcPr>
          <w:p w14:paraId="6E44C75E">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井别</w:t>
            </w:r>
          </w:p>
        </w:tc>
        <w:tc>
          <w:tcPr>
            <w:tcW w:w="1025" w:type="dxa"/>
            <w:vMerge w:val="restart"/>
            <w:vAlign w:val="center"/>
          </w:tcPr>
          <w:p w14:paraId="5FA14E2B">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设计井深（m）</w:t>
            </w:r>
          </w:p>
        </w:tc>
        <w:tc>
          <w:tcPr>
            <w:tcW w:w="1025" w:type="dxa"/>
            <w:vMerge w:val="restart"/>
            <w:vAlign w:val="center"/>
          </w:tcPr>
          <w:p w14:paraId="4A40AC8D">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设计进尺（m）</w:t>
            </w:r>
          </w:p>
        </w:tc>
        <w:tc>
          <w:tcPr>
            <w:tcW w:w="610" w:type="dxa"/>
            <w:vMerge w:val="restart"/>
            <w:vAlign w:val="center"/>
          </w:tcPr>
          <w:p w14:paraId="2E286A66">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占地类型</w:t>
            </w:r>
          </w:p>
        </w:tc>
      </w:tr>
      <w:tr w14:paraId="6D0A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9" w:type="dxa"/>
            <w:vMerge w:val="continue"/>
            <w:noWrap/>
            <w:tcMar>
              <w:top w:w="15" w:type="dxa"/>
              <w:left w:w="15" w:type="dxa"/>
              <w:right w:w="15" w:type="dxa"/>
            </w:tcMar>
            <w:vAlign w:val="center"/>
          </w:tcPr>
          <w:p w14:paraId="4BF4F0EA">
            <w:pPr>
              <w:adjustRightInd w:val="0"/>
              <w:snapToGrid w:val="0"/>
              <w:spacing w:line="320" w:lineRule="exact"/>
              <w:jc w:val="center"/>
              <w:textAlignment w:val="center"/>
              <w:rPr>
                <w:rFonts w:ascii="宋体" w:hAnsi="宋体" w:eastAsia="宋体" w:cs="Times New Roman"/>
                <w:color w:val="auto"/>
                <w:lang w:bidi="ar"/>
              </w:rPr>
            </w:pPr>
          </w:p>
        </w:tc>
        <w:tc>
          <w:tcPr>
            <w:tcW w:w="727" w:type="dxa"/>
            <w:vMerge w:val="continue"/>
            <w:noWrap/>
            <w:tcMar>
              <w:top w:w="15" w:type="dxa"/>
              <w:left w:w="15" w:type="dxa"/>
              <w:right w:w="15" w:type="dxa"/>
            </w:tcMar>
            <w:vAlign w:val="center"/>
          </w:tcPr>
          <w:p w14:paraId="0ECB1CA6">
            <w:pPr>
              <w:adjustRightInd w:val="0"/>
              <w:snapToGrid w:val="0"/>
              <w:spacing w:line="320" w:lineRule="exact"/>
              <w:jc w:val="center"/>
              <w:textAlignment w:val="center"/>
              <w:rPr>
                <w:rFonts w:ascii="宋体" w:hAnsi="宋体" w:eastAsia="宋体" w:cs="Times New Roman"/>
                <w:color w:val="auto"/>
                <w:lang w:bidi="ar"/>
              </w:rPr>
            </w:pPr>
          </w:p>
        </w:tc>
        <w:tc>
          <w:tcPr>
            <w:tcW w:w="1774" w:type="dxa"/>
            <w:vMerge w:val="continue"/>
            <w:vAlign w:val="center"/>
          </w:tcPr>
          <w:p w14:paraId="2116C567">
            <w:pPr>
              <w:adjustRightInd w:val="0"/>
              <w:snapToGrid w:val="0"/>
              <w:spacing w:line="320" w:lineRule="exact"/>
              <w:jc w:val="center"/>
              <w:textAlignment w:val="center"/>
              <w:rPr>
                <w:rFonts w:ascii="宋体" w:hAnsi="宋体" w:eastAsia="宋体" w:cs="Times New Roman"/>
                <w:color w:val="auto"/>
                <w:lang w:bidi="ar"/>
              </w:rPr>
            </w:pPr>
          </w:p>
        </w:tc>
        <w:tc>
          <w:tcPr>
            <w:tcW w:w="1248" w:type="dxa"/>
            <w:vAlign w:val="center"/>
          </w:tcPr>
          <w:p w14:paraId="019FC3A2">
            <w:pPr>
              <w:spacing w:line="320" w:lineRule="exact"/>
              <w:jc w:val="center"/>
              <w:rPr>
                <w:rFonts w:ascii="宋体" w:hAnsi="宋体" w:eastAsia="宋体" w:cs="Times New Roman"/>
                <w:color w:val="auto"/>
              </w:rPr>
            </w:pPr>
            <w:r>
              <w:rPr>
                <w:rFonts w:ascii="宋体" w:hAnsi="宋体" w:eastAsia="宋体" w:cs="Times New Roman"/>
                <w:color w:val="auto"/>
              </w:rPr>
              <w:t>井口横坐标</w:t>
            </w:r>
          </w:p>
        </w:tc>
        <w:tc>
          <w:tcPr>
            <w:tcW w:w="1248" w:type="dxa"/>
            <w:vAlign w:val="center"/>
          </w:tcPr>
          <w:p w14:paraId="6920CEB4">
            <w:pPr>
              <w:spacing w:line="320" w:lineRule="exact"/>
              <w:jc w:val="center"/>
              <w:rPr>
                <w:rFonts w:ascii="宋体" w:hAnsi="宋体" w:eastAsia="宋体" w:cs="Times New Roman"/>
                <w:color w:val="auto"/>
              </w:rPr>
            </w:pPr>
            <w:r>
              <w:rPr>
                <w:rFonts w:ascii="宋体" w:hAnsi="宋体" w:eastAsia="宋体" w:cs="Times New Roman"/>
                <w:color w:val="auto"/>
              </w:rPr>
              <w:t>井口纵坐标</w:t>
            </w:r>
          </w:p>
        </w:tc>
        <w:tc>
          <w:tcPr>
            <w:tcW w:w="1005" w:type="dxa"/>
            <w:vMerge w:val="continue"/>
            <w:vAlign w:val="center"/>
          </w:tcPr>
          <w:p w14:paraId="2AA6B9B7">
            <w:pPr>
              <w:adjustRightInd w:val="0"/>
              <w:snapToGrid w:val="0"/>
              <w:spacing w:line="320" w:lineRule="exact"/>
              <w:jc w:val="center"/>
              <w:textAlignment w:val="center"/>
              <w:rPr>
                <w:rFonts w:ascii="宋体" w:hAnsi="宋体" w:eastAsia="宋体" w:cs="Times New Roman"/>
                <w:color w:val="auto"/>
                <w:lang w:bidi="ar"/>
              </w:rPr>
            </w:pPr>
          </w:p>
        </w:tc>
        <w:tc>
          <w:tcPr>
            <w:tcW w:w="775" w:type="dxa"/>
            <w:vMerge w:val="continue"/>
            <w:vAlign w:val="center"/>
          </w:tcPr>
          <w:p w14:paraId="592F7D1E">
            <w:pPr>
              <w:adjustRightInd w:val="0"/>
              <w:snapToGrid w:val="0"/>
              <w:spacing w:line="320" w:lineRule="exact"/>
              <w:jc w:val="center"/>
              <w:textAlignment w:val="center"/>
              <w:rPr>
                <w:rFonts w:ascii="宋体" w:hAnsi="宋体" w:eastAsia="宋体" w:cs="Times New Roman"/>
                <w:color w:val="auto"/>
                <w:lang w:bidi="ar"/>
              </w:rPr>
            </w:pPr>
          </w:p>
        </w:tc>
        <w:tc>
          <w:tcPr>
            <w:tcW w:w="1025" w:type="dxa"/>
            <w:vMerge w:val="continue"/>
            <w:vAlign w:val="center"/>
          </w:tcPr>
          <w:p w14:paraId="0DDFC75C">
            <w:pPr>
              <w:adjustRightInd w:val="0"/>
              <w:snapToGrid w:val="0"/>
              <w:spacing w:line="320" w:lineRule="exact"/>
              <w:jc w:val="center"/>
              <w:textAlignment w:val="center"/>
              <w:rPr>
                <w:rFonts w:ascii="宋体" w:hAnsi="宋体" w:eastAsia="宋体" w:cs="Times New Roman"/>
                <w:color w:val="auto"/>
                <w:lang w:bidi="ar"/>
              </w:rPr>
            </w:pPr>
          </w:p>
        </w:tc>
        <w:tc>
          <w:tcPr>
            <w:tcW w:w="1025" w:type="dxa"/>
            <w:vMerge w:val="continue"/>
            <w:vAlign w:val="center"/>
          </w:tcPr>
          <w:p w14:paraId="5CEFD7A2">
            <w:pPr>
              <w:adjustRightInd w:val="0"/>
              <w:snapToGrid w:val="0"/>
              <w:spacing w:line="320" w:lineRule="exact"/>
              <w:jc w:val="center"/>
              <w:textAlignment w:val="center"/>
              <w:rPr>
                <w:rFonts w:ascii="宋体" w:hAnsi="宋体" w:eastAsia="宋体" w:cs="Times New Roman"/>
                <w:color w:val="auto"/>
                <w:lang w:bidi="ar"/>
              </w:rPr>
            </w:pPr>
          </w:p>
        </w:tc>
        <w:tc>
          <w:tcPr>
            <w:tcW w:w="610" w:type="dxa"/>
            <w:vMerge w:val="continue"/>
            <w:vAlign w:val="center"/>
          </w:tcPr>
          <w:p w14:paraId="78303911">
            <w:pPr>
              <w:adjustRightInd w:val="0"/>
              <w:snapToGrid w:val="0"/>
              <w:spacing w:line="320" w:lineRule="exact"/>
              <w:jc w:val="center"/>
              <w:textAlignment w:val="center"/>
              <w:rPr>
                <w:rFonts w:ascii="宋体" w:hAnsi="宋体" w:eastAsia="宋体" w:cs="Times New Roman"/>
                <w:color w:val="auto"/>
                <w:lang w:bidi="ar"/>
              </w:rPr>
            </w:pPr>
          </w:p>
        </w:tc>
      </w:tr>
      <w:tr w14:paraId="5A81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549" w:type="dxa"/>
            <w:noWrap/>
            <w:tcMar>
              <w:top w:w="15" w:type="dxa"/>
              <w:left w:w="15" w:type="dxa"/>
              <w:right w:w="15" w:type="dxa"/>
            </w:tcMar>
            <w:vAlign w:val="center"/>
          </w:tcPr>
          <w:p w14:paraId="3A339DC0">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1</w:t>
            </w:r>
          </w:p>
        </w:tc>
        <w:tc>
          <w:tcPr>
            <w:tcW w:w="727" w:type="dxa"/>
            <w:vMerge w:val="restart"/>
            <w:tcMar>
              <w:top w:w="15" w:type="dxa"/>
              <w:left w:w="15" w:type="dxa"/>
              <w:right w:w="15" w:type="dxa"/>
            </w:tcMar>
            <w:vAlign w:val="center"/>
          </w:tcPr>
          <w:p w14:paraId="693796E7">
            <w:pPr>
              <w:adjustRightInd w:val="0"/>
              <w:snapToGrid w:val="0"/>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3</w:t>
            </w:r>
          </w:p>
        </w:tc>
        <w:tc>
          <w:tcPr>
            <w:tcW w:w="1774" w:type="dxa"/>
            <w:vAlign w:val="center"/>
          </w:tcPr>
          <w:p w14:paraId="14A5190D">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rPr>
              <w:t>源212-扶平5</w:t>
            </w:r>
          </w:p>
        </w:tc>
        <w:tc>
          <w:tcPr>
            <w:tcW w:w="1248" w:type="dxa"/>
            <w:vMerge w:val="restart"/>
            <w:vAlign w:val="center"/>
          </w:tcPr>
          <w:p w14:paraId="1CBEC83D">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 xml:space="preserve">21669658 </w:t>
            </w:r>
          </w:p>
        </w:tc>
        <w:tc>
          <w:tcPr>
            <w:tcW w:w="1248" w:type="dxa"/>
            <w:vMerge w:val="restart"/>
            <w:vAlign w:val="center"/>
          </w:tcPr>
          <w:p w14:paraId="5E148EB2">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 xml:space="preserve">5049995 </w:t>
            </w:r>
          </w:p>
        </w:tc>
        <w:tc>
          <w:tcPr>
            <w:tcW w:w="1005" w:type="dxa"/>
            <w:vAlign w:val="center"/>
          </w:tcPr>
          <w:p w14:paraId="55B327E4">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水平井</w:t>
            </w:r>
          </w:p>
        </w:tc>
        <w:tc>
          <w:tcPr>
            <w:tcW w:w="775" w:type="dxa"/>
            <w:vAlign w:val="center"/>
          </w:tcPr>
          <w:p w14:paraId="550E3EE0">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油井</w:t>
            </w:r>
          </w:p>
        </w:tc>
        <w:tc>
          <w:tcPr>
            <w:tcW w:w="1025" w:type="dxa"/>
            <w:vAlign w:val="bottom"/>
          </w:tcPr>
          <w:p w14:paraId="1E8F0A8B">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1699.54</w:t>
            </w:r>
          </w:p>
        </w:tc>
        <w:tc>
          <w:tcPr>
            <w:tcW w:w="1025" w:type="dxa"/>
            <w:vAlign w:val="bottom"/>
          </w:tcPr>
          <w:p w14:paraId="709430F0">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3256</w:t>
            </w:r>
          </w:p>
        </w:tc>
        <w:tc>
          <w:tcPr>
            <w:tcW w:w="610" w:type="dxa"/>
            <w:vMerge w:val="restart"/>
            <w:vAlign w:val="center"/>
          </w:tcPr>
          <w:p w14:paraId="00265B1B">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耕地</w:t>
            </w:r>
          </w:p>
        </w:tc>
      </w:tr>
      <w:tr w14:paraId="7E58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549" w:type="dxa"/>
            <w:noWrap/>
            <w:tcMar>
              <w:top w:w="15" w:type="dxa"/>
              <w:left w:w="15" w:type="dxa"/>
              <w:right w:w="15" w:type="dxa"/>
            </w:tcMar>
            <w:vAlign w:val="center"/>
          </w:tcPr>
          <w:p w14:paraId="40D39831">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2</w:t>
            </w:r>
          </w:p>
        </w:tc>
        <w:tc>
          <w:tcPr>
            <w:tcW w:w="727" w:type="dxa"/>
            <w:vMerge w:val="continue"/>
            <w:tcMar>
              <w:top w:w="15" w:type="dxa"/>
              <w:left w:w="15" w:type="dxa"/>
              <w:right w:w="15" w:type="dxa"/>
            </w:tcMar>
            <w:vAlign w:val="center"/>
          </w:tcPr>
          <w:p w14:paraId="10827794">
            <w:pPr>
              <w:adjustRightInd w:val="0"/>
              <w:snapToGrid w:val="0"/>
              <w:jc w:val="center"/>
              <w:textAlignment w:val="center"/>
              <w:rPr>
                <w:rFonts w:ascii="宋体" w:hAnsi="宋体" w:eastAsia="宋体" w:cs="Times New Roman"/>
                <w:color w:val="auto"/>
                <w:lang w:bidi="ar"/>
              </w:rPr>
            </w:pPr>
          </w:p>
        </w:tc>
        <w:tc>
          <w:tcPr>
            <w:tcW w:w="1774" w:type="dxa"/>
            <w:vAlign w:val="center"/>
          </w:tcPr>
          <w:p w14:paraId="78323231">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rPr>
              <w:t>源212-扶平6</w:t>
            </w:r>
          </w:p>
        </w:tc>
        <w:tc>
          <w:tcPr>
            <w:tcW w:w="1248" w:type="dxa"/>
            <w:vMerge w:val="continue"/>
            <w:vAlign w:val="center"/>
          </w:tcPr>
          <w:p w14:paraId="38BC824E">
            <w:pPr>
              <w:adjustRightInd w:val="0"/>
              <w:snapToGrid w:val="0"/>
              <w:jc w:val="center"/>
              <w:textAlignment w:val="center"/>
              <w:rPr>
                <w:rFonts w:ascii="宋体" w:hAnsi="宋体" w:eastAsia="宋体" w:cs="Times New Roman"/>
                <w:color w:val="auto"/>
              </w:rPr>
            </w:pPr>
          </w:p>
        </w:tc>
        <w:tc>
          <w:tcPr>
            <w:tcW w:w="1248" w:type="dxa"/>
            <w:vMerge w:val="continue"/>
            <w:vAlign w:val="center"/>
          </w:tcPr>
          <w:p w14:paraId="32DFB198">
            <w:pPr>
              <w:adjustRightInd w:val="0"/>
              <w:snapToGrid w:val="0"/>
              <w:jc w:val="center"/>
              <w:textAlignment w:val="center"/>
              <w:rPr>
                <w:rFonts w:ascii="宋体" w:hAnsi="宋体" w:eastAsia="宋体" w:cs="Times New Roman"/>
                <w:color w:val="auto"/>
              </w:rPr>
            </w:pPr>
          </w:p>
        </w:tc>
        <w:tc>
          <w:tcPr>
            <w:tcW w:w="1005" w:type="dxa"/>
            <w:vAlign w:val="center"/>
          </w:tcPr>
          <w:p w14:paraId="4AACE418">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水平井</w:t>
            </w:r>
          </w:p>
        </w:tc>
        <w:tc>
          <w:tcPr>
            <w:tcW w:w="775" w:type="dxa"/>
            <w:vAlign w:val="center"/>
          </w:tcPr>
          <w:p w14:paraId="65B73852">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油井</w:t>
            </w:r>
          </w:p>
        </w:tc>
        <w:tc>
          <w:tcPr>
            <w:tcW w:w="1025" w:type="dxa"/>
            <w:vAlign w:val="bottom"/>
          </w:tcPr>
          <w:p w14:paraId="40F88631">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1644.30</w:t>
            </w:r>
          </w:p>
        </w:tc>
        <w:tc>
          <w:tcPr>
            <w:tcW w:w="1025" w:type="dxa"/>
            <w:vAlign w:val="bottom"/>
          </w:tcPr>
          <w:p w14:paraId="1940EEEE">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3359</w:t>
            </w:r>
          </w:p>
        </w:tc>
        <w:tc>
          <w:tcPr>
            <w:tcW w:w="610" w:type="dxa"/>
            <w:vMerge w:val="continue"/>
            <w:vAlign w:val="center"/>
          </w:tcPr>
          <w:p w14:paraId="6B1ACDDD">
            <w:pPr>
              <w:adjustRightInd w:val="0"/>
              <w:snapToGrid w:val="0"/>
              <w:jc w:val="center"/>
              <w:textAlignment w:val="center"/>
              <w:rPr>
                <w:rFonts w:ascii="宋体" w:hAnsi="宋体" w:eastAsia="宋体" w:cs="Times New Roman"/>
                <w:color w:val="auto"/>
                <w:lang w:bidi="ar"/>
              </w:rPr>
            </w:pPr>
          </w:p>
        </w:tc>
      </w:tr>
      <w:tr w14:paraId="02EB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549" w:type="dxa"/>
            <w:noWrap/>
            <w:tcMar>
              <w:top w:w="15" w:type="dxa"/>
              <w:left w:w="15" w:type="dxa"/>
              <w:right w:w="15" w:type="dxa"/>
            </w:tcMar>
            <w:vAlign w:val="center"/>
          </w:tcPr>
          <w:p w14:paraId="2825A33F">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3</w:t>
            </w:r>
          </w:p>
        </w:tc>
        <w:tc>
          <w:tcPr>
            <w:tcW w:w="727" w:type="dxa"/>
            <w:tcMar>
              <w:top w:w="15" w:type="dxa"/>
              <w:left w:w="15" w:type="dxa"/>
              <w:right w:w="15" w:type="dxa"/>
            </w:tcMar>
            <w:vAlign w:val="center"/>
          </w:tcPr>
          <w:p w14:paraId="46F45ECF">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w:t>
            </w:r>
          </w:p>
        </w:tc>
        <w:tc>
          <w:tcPr>
            <w:tcW w:w="1774" w:type="dxa"/>
            <w:vAlign w:val="center"/>
          </w:tcPr>
          <w:p w14:paraId="27E60A83">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rPr>
              <w:t>源212-扶平3</w:t>
            </w:r>
          </w:p>
        </w:tc>
        <w:tc>
          <w:tcPr>
            <w:tcW w:w="1248" w:type="dxa"/>
            <w:vAlign w:val="center"/>
          </w:tcPr>
          <w:p w14:paraId="3F2DF8DD">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 xml:space="preserve">21668090 </w:t>
            </w:r>
          </w:p>
        </w:tc>
        <w:tc>
          <w:tcPr>
            <w:tcW w:w="1248" w:type="dxa"/>
            <w:vAlign w:val="center"/>
          </w:tcPr>
          <w:p w14:paraId="61B115BE">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 xml:space="preserve">5050497 </w:t>
            </w:r>
          </w:p>
        </w:tc>
        <w:tc>
          <w:tcPr>
            <w:tcW w:w="1005" w:type="dxa"/>
            <w:vAlign w:val="center"/>
          </w:tcPr>
          <w:p w14:paraId="619C0398">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水平井</w:t>
            </w:r>
          </w:p>
        </w:tc>
        <w:tc>
          <w:tcPr>
            <w:tcW w:w="775" w:type="dxa"/>
            <w:vAlign w:val="center"/>
          </w:tcPr>
          <w:p w14:paraId="3942DBCD">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油井</w:t>
            </w:r>
          </w:p>
        </w:tc>
        <w:tc>
          <w:tcPr>
            <w:tcW w:w="1025" w:type="dxa"/>
            <w:vAlign w:val="bottom"/>
          </w:tcPr>
          <w:p w14:paraId="54F70B6F">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1688.77</w:t>
            </w:r>
          </w:p>
        </w:tc>
        <w:tc>
          <w:tcPr>
            <w:tcW w:w="1025" w:type="dxa"/>
            <w:vAlign w:val="bottom"/>
          </w:tcPr>
          <w:p w14:paraId="247E7180">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3115</w:t>
            </w:r>
          </w:p>
        </w:tc>
        <w:tc>
          <w:tcPr>
            <w:tcW w:w="610" w:type="dxa"/>
            <w:vAlign w:val="center"/>
          </w:tcPr>
          <w:p w14:paraId="21D4FC9D">
            <w:pPr>
              <w:adjustRightInd w:val="0"/>
              <w:snapToGrid w:val="0"/>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草地</w:t>
            </w:r>
          </w:p>
        </w:tc>
      </w:tr>
      <w:tr w14:paraId="63E3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549" w:type="dxa"/>
            <w:noWrap/>
            <w:tcMar>
              <w:top w:w="15" w:type="dxa"/>
              <w:left w:w="15" w:type="dxa"/>
              <w:right w:w="15" w:type="dxa"/>
            </w:tcMar>
            <w:vAlign w:val="center"/>
          </w:tcPr>
          <w:p w14:paraId="2F080944">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4</w:t>
            </w:r>
          </w:p>
        </w:tc>
        <w:tc>
          <w:tcPr>
            <w:tcW w:w="727" w:type="dxa"/>
            <w:tcMar>
              <w:top w:w="15" w:type="dxa"/>
              <w:left w:w="15" w:type="dxa"/>
              <w:right w:w="15" w:type="dxa"/>
            </w:tcMar>
            <w:vAlign w:val="center"/>
          </w:tcPr>
          <w:p w14:paraId="62583B63">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w:t>
            </w:r>
          </w:p>
        </w:tc>
        <w:tc>
          <w:tcPr>
            <w:tcW w:w="1774" w:type="dxa"/>
            <w:vAlign w:val="center"/>
          </w:tcPr>
          <w:p w14:paraId="6DEB32F5">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rPr>
              <w:t>源212-扶平4</w:t>
            </w:r>
          </w:p>
        </w:tc>
        <w:tc>
          <w:tcPr>
            <w:tcW w:w="1248" w:type="dxa"/>
            <w:vAlign w:val="center"/>
          </w:tcPr>
          <w:p w14:paraId="730ED3B7">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 xml:space="preserve">21668812 </w:t>
            </w:r>
          </w:p>
        </w:tc>
        <w:tc>
          <w:tcPr>
            <w:tcW w:w="1248" w:type="dxa"/>
            <w:vAlign w:val="center"/>
          </w:tcPr>
          <w:p w14:paraId="1ADD1748">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 xml:space="preserve">5050245 </w:t>
            </w:r>
          </w:p>
        </w:tc>
        <w:tc>
          <w:tcPr>
            <w:tcW w:w="1005" w:type="dxa"/>
            <w:vAlign w:val="center"/>
          </w:tcPr>
          <w:p w14:paraId="2ED2EC1D">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水平井</w:t>
            </w:r>
          </w:p>
        </w:tc>
        <w:tc>
          <w:tcPr>
            <w:tcW w:w="775" w:type="dxa"/>
            <w:vAlign w:val="center"/>
          </w:tcPr>
          <w:p w14:paraId="6CB8EEE5">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油井</w:t>
            </w:r>
          </w:p>
        </w:tc>
        <w:tc>
          <w:tcPr>
            <w:tcW w:w="1025" w:type="dxa"/>
            <w:vAlign w:val="bottom"/>
          </w:tcPr>
          <w:p w14:paraId="0DB1C9A5">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1704.12</w:t>
            </w:r>
          </w:p>
        </w:tc>
        <w:tc>
          <w:tcPr>
            <w:tcW w:w="1025" w:type="dxa"/>
            <w:vAlign w:val="bottom"/>
          </w:tcPr>
          <w:p w14:paraId="78917B8E">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3072</w:t>
            </w:r>
          </w:p>
        </w:tc>
        <w:tc>
          <w:tcPr>
            <w:tcW w:w="610" w:type="dxa"/>
            <w:vAlign w:val="center"/>
          </w:tcPr>
          <w:p w14:paraId="003DF4C5">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耕地</w:t>
            </w:r>
          </w:p>
        </w:tc>
      </w:tr>
      <w:tr w14:paraId="4F92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549" w:type="dxa"/>
            <w:noWrap/>
            <w:tcMar>
              <w:top w:w="15" w:type="dxa"/>
              <w:left w:w="15" w:type="dxa"/>
              <w:right w:w="15" w:type="dxa"/>
            </w:tcMar>
            <w:vAlign w:val="center"/>
          </w:tcPr>
          <w:p w14:paraId="36F7486E">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5</w:t>
            </w:r>
          </w:p>
        </w:tc>
        <w:tc>
          <w:tcPr>
            <w:tcW w:w="727" w:type="dxa"/>
            <w:tcMar>
              <w:top w:w="15" w:type="dxa"/>
              <w:left w:w="15" w:type="dxa"/>
              <w:right w:w="15" w:type="dxa"/>
            </w:tcMar>
            <w:vAlign w:val="center"/>
          </w:tcPr>
          <w:p w14:paraId="47A27675">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w:t>
            </w:r>
          </w:p>
        </w:tc>
        <w:tc>
          <w:tcPr>
            <w:tcW w:w="1774" w:type="dxa"/>
            <w:vAlign w:val="center"/>
          </w:tcPr>
          <w:p w14:paraId="3EA73FD2">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rPr>
              <w:t>源1011</w:t>
            </w:r>
          </w:p>
        </w:tc>
        <w:tc>
          <w:tcPr>
            <w:tcW w:w="1248" w:type="dxa"/>
            <w:vAlign w:val="bottom"/>
          </w:tcPr>
          <w:p w14:paraId="3148228C">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21659835</w:t>
            </w:r>
          </w:p>
        </w:tc>
        <w:tc>
          <w:tcPr>
            <w:tcW w:w="1248" w:type="dxa"/>
            <w:vAlign w:val="bottom"/>
          </w:tcPr>
          <w:p w14:paraId="376224BC">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5043920</w:t>
            </w:r>
          </w:p>
        </w:tc>
        <w:tc>
          <w:tcPr>
            <w:tcW w:w="1005" w:type="dxa"/>
            <w:vAlign w:val="center"/>
          </w:tcPr>
          <w:p w14:paraId="4B280BE6">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定向井</w:t>
            </w:r>
          </w:p>
        </w:tc>
        <w:tc>
          <w:tcPr>
            <w:tcW w:w="775" w:type="dxa"/>
            <w:vAlign w:val="center"/>
          </w:tcPr>
          <w:p w14:paraId="5A5D5AF5">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油井</w:t>
            </w:r>
          </w:p>
        </w:tc>
        <w:tc>
          <w:tcPr>
            <w:tcW w:w="1025" w:type="dxa"/>
            <w:vAlign w:val="bottom"/>
          </w:tcPr>
          <w:p w14:paraId="4A775221">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1999</w:t>
            </w:r>
          </w:p>
        </w:tc>
        <w:tc>
          <w:tcPr>
            <w:tcW w:w="1025" w:type="dxa"/>
            <w:vAlign w:val="bottom"/>
          </w:tcPr>
          <w:p w14:paraId="5E968FC2">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2019</w:t>
            </w:r>
          </w:p>
        </w:tc>
        <w:tc>
          <w:tcPr>
            <w:tcW w:w="610" w:type="dxa"/>
            <w:vAlign w:val="center"/>
          </w:tcPr>
          <w:p w14:paraId="5115E22A">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耕地</w:t>
            </w:r>
          </w:p>
        </w:tc>
      </w:tr>
      <w:tr w14:paraId="5E1F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549" w:type="dxa"/>
            <w:noWrap/>
            <w:tcMar>
              <w:top w:w="15" w:type="dxa"/>
              <w:left w:w="15" w:type="dxa"/>
              <w:right w:w="15" w:type="dxa"/>
            </w:tcMar>
            <w:vAlign w:val="center"/>
          </w:tcPr>
          <w:p w14:paraId="36C26851">
            <w:pPr>
              <w:adjustRightInd w:val="0"/>
              <w:snapToGrid w:val="0"/>
              <w:spacing w:line="32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6</w:t>
            </w:r>
          </w:p>
        </w:tc>
        <w:tc>
          <w:tcPr>
            <w:tcW w:w="727" w:type="dxa"/>
            <w:tcMar>
              <w:top w:w="15" w:type="dxa"/>
              <w:left w:w="15" w:type="dxa"/>
              <w:right w:w="15" w:type="dxa"/>
            </w:tcMar>
            <w:vAlign w:val="center"/>
          </w:tcPr>
          <w:p w14:paraId="5B28C7E3">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w:t>
            </w:r>
          </w:p>
        </w:tc>
        <w:tc>
          <w:tcPr>
            <w:tcW w:w="1774" w:type="dxa"/>
            <w:vAlign w:val="center"/>
          </w:tcPr>
          <w:p w14:paraId="46892ED9">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rPr>
              <w:t>源斜2401</w:t>
            </w:r>
          </w:p>
        </w:tc>
        <w:tc>
          <w:tcPr>
            <w:tcW w:w="1248" w:type="dxa"/>
            <w:vAlign w:val="bottom"/>
          </w:tcPr>
          <w:p w14:paraId="17D71D71">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21667555</w:t>
            </w:r>
          </w:p>
        </w:tc>
        <w:tc>
          <w:tcPr>
            <w:tcW w:w="1248" w:type="dxa"/>
            <w:vAlign w:val="bottom"/>
          </w:tcPr>
          <w:p w14:paraId="32912D07">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5046400</w:t>
            </w:r>
          </w:p>
        </w:tc>
        <w:tc>
          <w:tcPr>
            <w:tcW w:w="1005" w:type="dxa"/>
            <w:vAlign w:val="center"/>
          </w:tcPr>
          <w:p w14:paraId="06792922">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定向井</w:t>
            </w:r>
          </w:p>
        </w:tc>
        <w:tc>
          <w:tcPr>
            <w:tcW w:w="775" w:type="dxa"/>
            <w:vAlign w:val="center"/>
          </w:tcPr>
          <w:p w14:paraId="712BAAAE">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油井</w:t>
            </w:r>
          </w:p>
        </w:tc>
        <w:tc>
          <w:tcPr>
            <w:tcW w:w="1025" w:type="dxa"/>
            <w:vAlign w:val="bottom"/>
          </w:tcPr>
          <w:p w14:paraId="333FD14B">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1793</w:t>
            </w:r>
          </w:p>
        </w:tc>
        <w:tc>
          <w:tcPr>
            <w:tcW w:w="1025" w:type="dxa"/>
            <w:vAlign w:val="bottom"/>
          </w:tcPr>
          <w:p w14:paraId="324CFC4B">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1821</w:t>
            </w:r>
          </w:p>
        </w:tc>
        <w:tc>
          <w:tcPr>
            <w:tcW w:w="610" w:type="dxa"/>
            <w:vAlign w:val="center"/>
          </w:tcPr>
          <w:p w14:paraId="4E779F1D">
            <w:pPr>
              <w:adjustRightInd w:val="0"/>
              <w:snapToGrid w:val="0"/>
              <w:jc w:val="center"/>
              <w:textAlignment w:val="center"/>
              <w:rPr>
                <w:rFonts w:ascii="宋体" w:hAnsi="宋体" w:eastAsia="宋体" w:cs="Times New Roman"/>
                <w:color w:val="auto"/>
                <w:lang w:bidi="ar"/>
              </w:rPr>
            </w:pPr>
            <w:r>
              <w:rPr>
                <w:rFonts w:ascii="宋体" w:hAnsi="宋体" w:eastAsia="宋体" w:cs="Times New Roman"/>
                <w:color w:val="auto"/>
                <w:lang w:bidi="ar"/>
              </w:rPr>
              <w:t>耕地</w:t>
            </w:r>
          </w:p>
        </w:tc>
      </w:tr>
    </w:tbl>
    <w:p w14:paraId="0C00EAF2">
      <w:pPr>
        <w:pStyle w:val="6"/>
        <w:rPr>
          <w:color w:val="auto"/>
        </w:rPr>
      </w:pPr>
      <w:r>
        <w:rPr>
          <w:color w:val="auto"/>
        </w:rPr>
        <w:t>基建井及井位分布</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1A420049">
      <w:pPr>
        <w:pStyle w:val="276"/>
        <w:widowControl w:val="0"/>
        <w:spacing w:line="440" w:lineRule="exact"/>
        <w:ind w:firstLine="480"/>
        <w:jc w:val="both"/>
        <w:rPr>
          <w:color w:val="auto"/>
        </w:rPr>
      </w:pPr>
      <w:r>
        <w:rPr>
          <w:color w:val="auto"/>
        </w:rPr>
        <w:t>本项目基建油井4口，全部为新钻井，共形成丛式平台1座，独立井2口，建成产能1.16×10</w:t>
      </w:r>
      <w:r>
        <w:rPr>
          <w:color w:val="auto"/>
          <w:vertAlign w:val="superscript"/>
        </w:rPr>
        <w:t>4</w:t>
      </w:r>
      <w:r>
        <w:rPr>
          <w:color w:val="auto"/>
        </w:rPr>
        <w:t>t/a。项目产能基建安排见表3.5-2，</w:t>
      </w:r>
      <w:r>
        <w:rPr>
          <w:color w:val="auto"/>
          <w:kern w:val="21"/>
        </w:rPr>
        <w:t>本项目拟建井位置见附图2。</w:t>
      </w:r>
    </w:p>
    <w:p w14:paraId="7111B719">
      <w:pPr>
        <w:pStyle w:val="22"/>
        <w:spacing w:before="156"/>
        <w:rPr>
          <w:rFonts w:hAnsi="宋体" w:cs="Times New Roman"/>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2</w:t>
      </w:r>
      <w:r>
        <w:rPr>
          <w:color w:val="auto"/>
        </w:rPr>
        <w:fldChar w:fldCharType="end"/>
      </w:r>
      <w:r>
        <w:rPr>
          <w:rFonts w:hAnsi="宋体" w:cs="Times New Roman"/>
          <w:color w:val="auto"/>
        </w:rPr>
        <w:t xml:space="preserve"> </w:t>
      </w:r>
      <w:r>
        <w:rPr>
          <w:color w:val="auto"/>
        </w:rPr>
        <w:t>项目产能基建安排</w:t>
      </w:r>
    </w:p>
    <w:tbl>
      <w:tblPr>
        <w:tblStyle w:val="81"/>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2687"/>
        <w:gridCol w:w="2635"/>
        <w:gridCol w:w="2178"/>
      </w:tblGrid>
      <w:tr w14:paraId="7893B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0" w:type="dxa"/>
            <w:vAlign w:val="center"/>
          </w:tcPr>
          <w:p w14:paraId="4FAA3E54">
            <w:pPr>
              <w:spacing w:line="320" w:lineRule="exact"/>
              <w:jc w:val="center"/>
              <w:rPr>
                <w:rFonts w:ascii="宋体" w:hAnsi="宋体" w:eastAsia="宋体" w:cs="Times New Roman"/>
                <w:color w:val="auto"/>
              </w:rPr>
            </w:pPr>
            <w:r>
              <w:rPr>
                <w:rFonts w:ascii="宋体" w:hAnsi="宋体" w:eastAsia="宋体" w:cs="Times New Roman"/>
                <w:color w:val="auto"/>
              </w:rPr>
              <w:t>区块</w:t>
            </w:r>
          </w:p>
        </w:tc>
        <w:tc>
          <w:tcPr>
            <w:tcW w:w="5322" w:type="dxa"/>
            <w:gridSpan w:val="2"/>
            <w:vAlign w:val="center"/>
          </w:tcPr>
          <w:p w14:paraId="51260D48">
            <w:pPr>
              <w:spacing w:line="320" w:lineRule="exact"/>
              <w:jc w:val="center"/>
              <w:rPr>
                <w:rFonts w:ascii="宋体" w:hAnsi="宋体" w:eastAsia="宋体" w:cs="Times New Roman"/>
                <w:color w:val="auto"/>
              </w:rPr>
            </w:pPr>
            <w:r>
              <w:rPr>
                <w:rFonts w:ascii="宋体" w:hAnsi="宋体" w:eastAsia="宋体" w:cs="Times New Roman"/>
                <w:color w:val="auto"/>
              </w:rPr>
              <w:t>基建油井（口）</w:t>
            </w:r>
          </w:p>
        </w:tc>
        <w:tc>
          <w:tcPr>
            <w:tcW w:w="2178" w:type="dxa"/>
            <w:vAlign w:val="center"/>
          </w:tcPr>
          <w:p w14:paraId="3BD86B28">
            <w:pPr>
              <w:spacing w:line="320" w:lineRule="exact"/>
              <w:jc w:val="center"/>
              <w:rPr>
                <w:rFonts w:ascii="宋体" w:hAnsi="宋体" w:eastAsia="宋体" w:cs="Times New Roman"/>
                <w:color w:val="auto"/>
              </w:rPr>
            </w:pPr>
            <w:r>
              <w:rPr>
                <w:rFonts w:ascii="宋体" w:hAnsi="宋体" w:eastAsia="宋体" w:cs="Times New Roman"/>
                <w:color w:val="auto"/>
              </w:rPr>
              <w:t>建成产能（10</w:t>
            </w:r>
            <w:r>
              <w:rPr>
                <w:rFonts w:ascii="宋体" w:hAnsi="宋体" w:eastAsia="宋体" w:cs="Times New Roman"/>
                <w:color w:val="auto"/>
                <w:vertAlign w:val="superscript"/>
              </w:rPr>
              <w:t>4</w:t>
            </w:r>
            <w:r>
              <w:rPr>
                <w:rFonts w:ascii="宋体" w:hAnsi="宋体" w:eastAsia="宋体" w:cs="Times New Roman"/>
                <w:color w:val="auto"/>
              </w:rPr>
              <w:t>t/a）</w:t>
            </w:r>
          </w:p>
        </w:tc>
      </w:tr>
      <w:tr w14:paraId="38E8C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0" w:type="dxa"/>
            <w:vMerge w:val="restart"/>
            <w:vAlign w:val="center"/>
          </w:tcPr>
          <w:p w14:paraId="569B016C">
            <w:pPr>
              <w:spacing w:line="320" w:lineRule="exact"/>
              <w:jc w:val="center"/>
              <w:rPr>
                <w:rFonts w:ascii="宋体" w:hAnsi="宋体" w:eastAsia="宋体" w:cs="Times New Roman"/>
                <w:color w:val="auto"/>
              </w:rPr>
            </w:pPr>
            <w:r>
              <w:rPr>
                <w:rFonts w:ascii="宋体" w:hAnsi="宋体" w:eastAsia="宋体" w:cs="Times New Roman"/>
                <w:color w:val="auto"/>
              </w:rPr>
              <w:t>源212区块</w:t>
            </w:r>
          </w:p>
        </w:tc>
        <w:tc>
          <w:tcPr>
            <w:tcW w:w="2687" w:type="dxa"/>
            <w:vAlign w:val="center"/>
          </w:tcPr>
          <w:p w14:paraId="13927B0E">
            <w:pPr>
              <w:spacing w:line="320" w:lineRule="exact"/>
              <w:jc w:val="center"/>
              <w:rPr>
                <w:rFonts w:ascii="宋体" w:hAnsi="宋体" w:eastAsia="宋体" w:cs="Times New Roman"/>
                <w:color w:val="auto"/>
              </w:rPr>
            </w:pPr>
            <w:r>
              <w:rPr>
                <w:rFonts w:ascii="宋体" w:hAnsi="宋体" w:eastAsia="宋体" w:cs="Times New Roman"/>
                <w:color w:val="auto"/>
              </w:rPr>
              <w:t>新钻井（口）</w:t>
            </w:r>
          </w:p>
        </w:tc>
        <w:tc>
          <w:tcPr>
            <w:tcW w:w="2635" w:type="dxa"/>
            <w:vAlign w:val="center"/>
          </w:tcPr>
          <w:p w14:paraId="7587945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代用井（口）</w:t>
            </w:r>
          </w:p>
        </w:tc>
        <w:tc>
          <w:tcPr>
            <w:tcW w:w="2178" w:type="dxa"/>
            <w:vMerge w:val="restart"/>
            <w:vAlign w:val="center"/>
          </w:tcPr>
          <w:p w14:paraId="6D538A2D">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1.16</w:t>
            </w:r>
          </w:p>
        </w:tc>
      </w:tr>
      <w:tr w14:paraId="017A7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0" w:type="dxa"/>
            <w:vMerge w:val="continue"/>
            <w:vAlign w:val="center"/>
          </w:tcPr>
          <w:p w14:paraId="55B9B879">
            <w:pPr>
              <w:spacing w:line="320" w:lineRule="exact"/>
              <w:jc w:val="center"/>
              <w:rPr>
                <w:rFonts w:ascii="宋体" w:hAnsi="宋体" w:eastAsia="宋体" w:cs="Times New Roman"/>
                <w:color w:val="auto"/>
              </w:rPr>
            </w:pPr>
          </w:p>
        </w:tc>
        <w:tc>
          <w:tcPr>
            <w:tcW w:w="2687" w:type="dxa"/>
            <w:vAlign w:val="center"/>
          </w:tcPr>
          <w:p w14:paraId="50E6E029">
            <w:pPr>
              <w:spacing w:line="320" w:lineRule="exact"/>
              <w:jc w:val="center"/>
              <w:rPr>
                <w:rFonts w:ascii="宋体" w:hAnsi="宋体" w:eastAsia="宋体" w:cs="Times New Roman"/>
                <w:color w:val="auto"/>
              </w:rPr>
            </w:pPr>
            <w:r>
              <w:rPr>
                <w:rFonts w:ascii="宋体" w:hAnsi="宋体" w:eastAsia="宋体" w:cs="Times New Roman"/>
                <w:color w:val="auto"/>
              </w:rPr>
              <w:t>4</w:t>
            </w:r>
          </w:p>
        </w:tc>
        <w:tc>
          <w:tcPr>
            <w:tcW w:w="2635" w:type="dxa"/>
            <w:vAlign w:val="center"/>
          </w:tcPr>
          <w:p w14:paraId="4432557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w:t>
            </w:r>
          </w:p>
        </w:tc>
        <w:tc>
          <w:tcPr>
            <w:tcW w:w="2178" w:type="dxa"/>
            <w:vMerge w:val="continue"/>
            <w:vAlign w:val="center"/>
          </w:tcPr>
          <w:p w14:paraId="5A04B401">
            <w:pPr>
              <w:adjustRightInd w:val="0"/>
              <w:snapToGrid w:val="0"/>
              <w:spacing w:line="320" w:lineRule="exact"/>
              <w:jc w:val="center"/>
              <w:rPr>
                <w:rFonts w:ascii="宋体" w:hAnsi="宋体" w:eastAsia="宋体" w:cs="Times New Roman"/>
                <w:color w:val="auto"/>
              </w:rPr>
            </w:pPr>
          </w:p>
        </w:tc>
      </w:tr>
      <w:tr w14:paraId="2D0DC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0" w:type="dxa"/>
            <w:vAlign w:val="center"/>
          </w:tcPr>
          <w:p w14:paraId="51291C21">
            <w:pPr>
              <w:spacing w:line="320" w:lineRule="exact"/>
              <w:jc w:val="center"/>
              <w:rPr>
                <w:rFonts w:ascii="宋体" w:hAnsi="宋体" w:eastAsia="宋体" w:cs="Times New Roman"/>
                <w:color w:val="auto"/>
              </w:rPr>
            </w:pPr>
            <w:r>
              <w:rPr>
                <w:rFonts w:ascii="宋体" w:hAnsi="宋体" w:eastAsia="宋体" w:cs="Times New Roman"/>
                <w:color w:val="auto"/>
              </w:rPr>
              <w:t>合计</w:t>
            </w:r>
          </w:p>
        </w:tc>
        <w:tc>
          <w:tcPr>
            <w:tcW w:w="5322" w:type="dxa"/>
            <w:gridSpan w:val="2"/>
            <w:vAlign w:val="center"/>
          </w:tcPr>
          <w:p w14:paraId="3128F86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4</w:t>
            </w:r>
          </w:p>
        </w:tc>
        <w:tc>
          <w:tcPr>
            <w:tcW w:w="2178" w:type="dxa"/>
            <w:vMerge w:val="continue"/>
            <w:vAlign w:val="center"/>
          </w:tcPr>
          <w:p w14:paraId="0BCF5C1F">
            <w:pPr>
              <w:adjustRightInd w:val="0"/>
              <w:snapToGrid w:val="0"/>
              <w:spacing w:line="320" w:lineRule="exact"/>
              <w:jc w:val="center"/>
              <w:rPr>
                <w:rFonts w:ascii="宋体" w:hAnsi="宋体" w:eastAsia="宋体" w:cs="Times New Roman"/>
                <w:color w:val="auto"/>
              </w:rPr>
            </w:pPr>
          </w:p>
        </w:tc>
      </w:tr>
      <w:bookmarkEnd w:id="611"/>
    </w:tbl>
    <w:p w14:paraId="03CB7DA3">
      <w:pPr>
        <w:pStyle w:val="6"/>
        <w:rPr>
          <w:color w:val="auto"/>
        </w:rPr>
      </w:pPr>
      <w:bookmarkStart w:id="612" w:name="_Toc80971375"/>
      <w:bookmarkStart w:id="613" w:name="_Toc126863385"/>
      <w:bookmarkStart w:id="614" w:name="_Toc83209470"/>
      <w:bookmarkStart w:id="615" w:name="_Toc127192334"/>
      <w:bookmarkStart w:id="616" w:name="_Toc84929226"/>
      <w:bookmarkStart w:id="617" w:name="_Toc77067657"/>
      <w:bookmarkStart w:id="618" w:name="_Toc78816458"/>
      <w:bookmarkStart w:id="619" w:name="_Toc76976241"/>
      <w:bookmarkStart w:id="620" w:name="_Toc131167285"/>
      <w:bookmarkStart w:id="621" w:name="_Toc67860126"/>
      <w:bookmarkStart w:id="622" w:name="_Toc80588253"/>
      <w:bookmarkStart w:id="623" w:name="_Toc143099572"/>
      <w:bookmarkStart w:id="624" w:name="_Toc70050173"/>
      <w:bookmarkStart w:id="625" w:name="_Toc85640750"/>
      <w:bookmarkStart w:id="626" w:name="_Toc86141929"/>
      <w:r>
        <w:rPr>
          <w:color w:val="auto"/>
        </w:rPr>
        <w:t>开发指标预测</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309F98C1">
      <w:pPr>
        <w:pStyle w:val="276"/>
        <w:widowControl w:val="0"/>
        <w:spacing w:line="440" w:lineRule="exact"/>
        <w:ind w:firstLine="480"/>
        <w:jc w:val="both"/>
        <w:rPr>
          <w:color w:val="auto"/>
          <w:kern w:val="21"/>
        </w:rPr>
      </w:pPr>
      <w:r>
        <w:rPr>
          <w:color w:val="auto"/>
          <w:kern w:val="21"/>
        </w:rPr>
        <w:t>本项目共部署基建开发油井4口，全部为新钻水平井。预计初期平均单井日产油 9.7t/d，建成产能1.16×10</w:t>
      </w:r>
      <w:r>
        <w:rPr>
          <w:color w:val="auto"/>
          <w:kern w:val="21"/>
          <w:vertAlign w:val="superscript"/>
        </w:rPr>
        <w:t>4</w:t>
      </w:r>
      <w:r>
        <w:rPr>
          <w:color w:val="auto"/>
          <w:kern w:val="21"/>
        </w:rPr>
        <w:t>t，开采层位属于扶余油层</w:t>
      </w:r>
      <w:r>
        <w:rPr>
          <w:color w:val="auto"/>
          <w:szCs w:val="22"/>
        </w:rPr>
        <w:t>。</w:t>
      </w:r>
      <w:r>
        <w:rPr>
          <w:color w:val="auto"/>
          <w:kern w:val="21"/>
        </w:rPr>
        <w:t>本项目基建井开发指标见表3.5-3。</w:t>
      </w:r>
    </w:p>
    <w:p w14:paraId="75B3E2FA">
      <w:pPr>
        <w:pStyle w:val="22"/>
        <w:spacing w:before="156"/>
        <w:rPr>
          <w:rFonts w:hAnsi="宋体" w:cs="Times New Roman"/>
          <w:snapToGrid w:val="0"/>
          <w:color w:val="auto"/>
          <w:lang w:val="zh-CN"/>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r>
        <w:rPr>
          <w:rFonts w:hAnsi="宋体" w:cs="Times New Roman"/>
          <w:color w:val="auto"/>
          <w:lang w:val="zh-CN"/>
        </w:rPr>
        <w:t xml:space="preserve">  </w:t>
      </w:r>
      <w:r>
        <w:rPr>
          <w:color w:val="auto"/>
        </w:rPr>
        <w:t>本项目基建井开发指标预测表</w:t>
      </w:r>
    </w:p>
    <w:tbl>
      <w:tblPr>
        <w:tblStyle w:val="191"/>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64"/>
        <w:gridCol w:w="639"/>
        <w:gridCol w:w="548"/>
        <w:gridCol w:w="548"/>
        <w:gridCol w:w="548"/>
        <w:gridCol w:w="548"/>
        <w:gridCol w:w="548"/>
        <w:gridCol w:w="548"/>
        <w:gridCol w:w="548"/>
        <w:gridCol w:w="528"/>
        <w:gridCol w:w="501"/>
        <w:gridCol w:w="501"/>
        <w:gridCol w:w="501"/>
        <w:gridCol w:w="502"/>
        <w:gridCol w:w="502"/>
        <w:gridCol w:w="502"/>
      </w:tblGrid>
      <w:tr w14:paraId="0D836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3" w:type="pct"/>
            <w:shd w:val="clear" w:color="auto" w:fill="auto"/>
            <w:vAlign w:val="center"/>
          </w:tcPr>
          <w:p w14:paraId="111779DF">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时间(年)</w:t>
            </w:r>
          </w:p>
        </w:tc>
        <w:tc>
          <w:tcPr>
            <w:tcW w:w="369" w:type="pct"/>
            <w:shd w:val="clear" w:color="auto" w:fill="auto"/>
            <w:vAlign w:val="center"/>
          </w:tcPr>
          <w:p w14:paraId="4CAB2CF6">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2025</w:t>
            </w:r>
          </w:p>
        </w:tc>
        <w:tc>
          <w:tcPr>
            <w:tcW w:w="319" w:type="pct"/>
            <w:shd w:val="clear" w:color="auto" w:fill="auto"/>
            <w:vAlign w:val="center"/>
          </w:tcPr>
          <w:p w14:paraId="5DE8C81C">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2026</w:t>
            </w:r>
          </w:p>
        </w:tc>
        <w:tc>
          <w:tcPr>
            <w:tcW w:w="319" w:type="pct"/>
            <w:shd w:val="clear" w:color="auto" w:fill="auto"/>
            <w:vAlign w:val="center"/>
          </w:tcPr>
          <w:p w14:paraId="4651C5D8">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2027</w:t>
            </w:r>
          </w:p>
        </w:tc>
        <w:tc>
          <w:tcPr>
            <w:tcW w:w="319" w:type="pct"/>
            <w:shd w:val="clear" w:color="auto" w:fill="auto"/>
            <w:vAlign w:val="center"/>
          </w:tcPr>
          <w:p w14:paraId="4A1FC9FB">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2028</w:t>
            </w:r>
          </w:p>
        </w:tc>
        <w:tc>
          <w:tcPr>
            <w:tcW w:w="319" w:type="pct"/>
            <w:shd w:val="clear" w:color="auto" w:fill="auto"/>
            <w:vAlign w:val="center"/>
          </w:tcPr>
          <w:p w14:paraId="40948C35">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2029</w:t>
            </w:r>
          </w:p>
        </w:tc>
        <w:tc>
          <w:tcPr>
            <w:tcW w:w="319" w:type="pct"/>
            <w:shd w:val="clear" w:color="auto" w:fill="auto"/>
            <w:vAlign w:val="center"/>
          </w:tcPr>
          <w:p w14:paraId="1DD3A7EB">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2030</w:t>
            </w:r>
          </w:p>
        </w:tc>
        <w:tc>
          <w:tcPr>
            <w:tcW w:w="319" w:type="pct"/>
            <w:shd w:val="clear" w:color="auto" w:fill="auto"/>
            <w:vAlign w:val="center"/>
          </w:tcPr>
          <w:p w14:paraId="5BDDB3F7">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2031</w:t>
            </w:r>
          </w:p>
        </w:tc>
        <w:tc>
          <w:tcPr>
            <w:tcW w:w="319" w:type="pct"/>
            <w:shd w:val="clear" w:color="auto" w:fill="auto"/>
            <w:vAlign w:val="center"/>
          </w:tcPr>
          <w:p w14:paraId="634E0383">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2032</w:t>
            </w:r>
          </w:p>
        </w:tc>
        <w:tc>
          <w:tcPr>
            <w:tcW w:w="308" w:type="pct"/>
            <w:shd w:val="clear" w:color="auto" w:fill="auto"/>
            <w:vAlign w:val="center"/>
          </w:tcPr>
          <w:p w14:paraId="42E9B14D">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2033</w:t>
            </w:r>
          </w:p>
        </w:tc>
        <w:tc>
          <w:tcPr>
            <w:tcW w:w="250" w:type="pct"/>
            <w:shd w:val="clear" w:color="auto" w:fill="auto"/>
            <w:vAlign w:val="center"/>
          </w:tcPr>
          <w:p w14:paraId="1A43A25A">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2034</w:t>
            </w:r>
          </w:p>
        </w:tc>
        <w:tc>
          <w:tcPr>
            <w:tcW w:w="244" w:type="pct"/>
            <w:shd w:val="clear" w:color="auto" w:fill="auto"/>
            <w:vAlign w:val="center"/>
          </w:tcPr>
          <w:p w14:paraId="2FB82632">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2035</w:t>
            </w:r>
          </w:p>
        </w:tc>
        <w:tc>
          <w:tcPr>
            <w:tcW w:w="248" w:type="pct"/>
            <w:shd w:val="clear" w:color="auto" w:fill="auto"/>
            <w:vAlign w:val="center"/>
          </w:tcPr>
          <w:p w14:paraId="469E1B4A">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2036</w:t>
            </w:r>
          </w:p>
        </w:tc>
        <w:tc>
          <w:tcPr>
            <w:tcW w:w="248" w:type="pct"/>
            <w:shd w:val="clear" w:color="auto" w:fill="auto"/>
            <w:vAlign w:val="center"/>
          </w:tcPr>
          <w:p w14:paraId="3A89B888">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2037</w:t>
            </w:r>
          </w:p>
        </w:tc>
        <w:tc>
          <w:tcPr>
            <w:tcW w:w="248" w:type="pct"/>
            <w:shd w:val="clear" w:color="auto" w:fill="auto"/>
            <w:vAlign w:val="center"/>
          </w:tcPr>
          <w:p w14:paraId="5078FA4B">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2038</w:t>
            </w:r>
          </w:p>
        </w:tc>
        <w:tc>
          <w:tcPr>
            <w:tcW w:w="248" w:type="pct"/>
            <w:shd w:val="clear" w:color="auto" w:fill="auto"/>
            <w:vAlign w:val="center"/>
          </w:tcPr>
          <w:p w14:paraId="4C26F4A0">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2039</w:t>
            </w:r>
          </w:p>
        </w:tc>
      </w:tr>
      <w:tr w14:paraId="2618E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3" w:type="pct"/>
            <w:shd w:val="clear" w:color="auto" w:fill="auto"/>
            <w:vAlign w:val="center"/>
          </w:tcPr>
          <w:p w14:paraId="063C8050">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采油井（ 口）</w:t>
            </w:r>
          </w:p>
        </w:tc>
        <w:tc>
          <w:tcPr>
            <w:tcW w:w="369" w:type="pct"/>
            <w:shd w:val="clear" w:color="auto" w:fill="auto"/>
            <w:vAlign w:val="center"/>
          </w:tcPr>
          <w:p w14:paraId="5A133841">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319" w:type="pct"/>
            <w:shd w:val="clear" w:color="auto" w:fill="auto"/>
            <w:vAlign w:val="center"/>
          </w:tcPr>
          <w:p w14:paraId="2E62027C">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319" w:type="pct"/>
            <w:shd w:val="clear" w:color="auto" w:fill="auto"/>
            <w:vAlign w:val="center"/>
          </w:tcPr>
          <w:p w14:paraId="010625F8">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319" w:type="pct"/>
            <w:shd w:val="clear" w:color="auto" w:fill="auto"/>
            <w:vAlign w:val="center"/>
          </w:tcPr>
          <w:p w14:paraId="63EB432E">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319" w:type="pct"/>
            <w:shd w:val="clear" w:color="auto" w:fill="auto"/>
            <w:vAlign w:val="center"/>
          </w:tcPr>
          <w:p w14:paraId="537D1C5E">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319" w:type="pct"/>
            <w:shd w:val="clear" w:color="auto" w:fill="auto"/>
            <w:vAlign w:val="center"/>
          </w:tcPr>
          <w:p w14:paraId="01B63398">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319" w:type="pct"/>
            <w:shd w:val="clear" w:color="auto" w:fill="auto"/>
            <w:vAlign w:val="center"/>
          </w:tcPr>
          <w:p w14:paraId="45E601D8">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319" w:type="pct"/>
            <w:shd w:val="clear" w:color="auto" w:fill="auto"/>
            <w:vAlign w:val="center"/>
          </w:tcPr>
          <w:p w14:paraId="23E19B15">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308" w:type="pct"/>
            <w:shd w:val="clear" w:color="auto" w:fill="auto"/>
            <w:vAlign w:val="center"/>
          </w:tcPr>
          <w:p w14:paraId="2107366B">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250" w:type="pct"/>
            <w:shd w:val="clear" w:color="auto" w:fill="auto"/>
            <w:vAlign w:val="center"/>
          </w:tcPr>
          <w:p w14:paraId="2CBF6CC8">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244" w:type="pct"/>
            <w:shd w:val="clear" w:color="auto" w:fill="auto"/>
            <w:vAlign w:val="center"/>
          </w:tcPr>
          <w:p w14:paraId="46BCFA31">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248" w:type="pct"/>
            <w:shd w:val="clear" w:color="auto" w:fill="auto"/>
            <w:vAlign w:val="center"/>
          </w:tcPr>
          <w:p w14:paraId="5AD6F2DB">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248" w:type="pct"/>
            <w:shd w:val="clear" w:color="auto" w:fill="auto"/>
            <w:vAlign w:val="center"/>
          </w:tcPr>
          <w:p w14:paraId="032F9939">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248" w:type="pct"/>
            <w:shd w:val="clear" w:color="auto" w:fill="auto"/>
            <w:vAlign w:val="center"/>
          </w:tcPr>
          <w:p w14:paraId="5415D521">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c>
          <w:tcPr>
            <w:tcW w:w="248" w:type="pct"/>
            <w:shd w:val="clear" w:color="auto" w:fill="auto"/>
            <w:vAlign w:val="center"/>
          </w:tcPr>
          <w:p w14:paraId="649E4062">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w:t>
            </w:r>
          </w:p>
        </w:tc>
      </w:tr>
      <w:tr w14:paraId="05B6A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3" w:type="pct"/>
            <w:shd w:val="clear" w:color="auto" w:fill="auto"/>
            <w:vAlign w:val="center"/>
          </w:tcPr>
          <w:p w14:paraId="2486B117">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zh-CN"/>
              </w:rPr>
              <w:t>平均单井产油量（t/d）</w:t>
            </w:r>
          </w:p>
        </w:tc>
        <w:tc>
          <w:tcPr>
            <w:tcW w:w="369" w:type="pct"/>
            <w:shd w:val="clear" w:color="auto" w:fill="auto"/>
            <w:vAlign w:val="center"/>
          </w:tcPr>
          <w:p w14:paraId="5E447D18">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9.7</w:t>
            </w:r>
          </w:p>
        </w:tc>
        <w:tc>
          <w:tcPr>
            <w:tcW w:w="319" w:type="pct"/>
            <w:shd w:val="clear" w:color="auto" w:fill="auto"/>
            <w:vAlign w:val="center"/>
          </w:tcPr>
          <w:p w14:paraId="047FF556">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9.7</w:t>
            </w:r>
          </w:p>
        </w:tc>
        <w:tc>
          <w:tcPr>
            <w:tcW w:w="319" w:type="pct"/>
            <w:shd w:val="clear" w:color="auto" w:fill="auto"/>
            <w:vAlign w:val="center"/>
          </w:tcPr>
          <w:p w14:paraId="3BF3A222">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5.8</w:t>
            </w:r>
          </w:p>
        </w:tc>
        <w:tc>
          <w:tcPr>
            <w:tcW w:w="319" w:type="pct"/>
            <w:shd w:val="clear" w:color="auto" w:fill="auto"/>
            <w:vAlign w:val="center"/>
          </w:tcPr>
          <w:p w14:paraId="0C9FCD8B">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4.4</w:t>
            </w:r>
          </w:p>
        </w:tc>
        <w:tc>
          <w:tcPr>
            <w:tcW w:w="319" w:type="pct"/>
            <w:shd w:val="clear" w:color="auto" w:fill="auto"/>
            <w:vAlign w:val="center"/>
          </w:tcPr>
          <w:p w14:paraId="699D0324">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3.7</w:t>
            </w:r>
          </w:p>
        </w:tc>
        <w:tc>
          <w:tcPr>
            <w:tcW w:w="319" w:type="pct"/>
            <w:shd w:val="clear" w:color="auto" w:fill="auto"/>
            <w:vAlign w:val="center"/>
          </w:tcPr>
          <w:p w14:paraId="478E7E61">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3.3</w:t>
            </w:r>
          </w:p>
        </w:tc>
        <w:tc>
          <w:tcPr>
            <w:tcW w:w="319" w:type="pct"/>
            <w:shd w:val="clear" w:color="auto" w:fill="auto"/>
            <w:vAlign w:val="center"/>
          </w:tcPr>
          <w:p w14:paraId="40932435">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3.0</w:t>
            </w:r>
          </w:p>
        </w:tc>
        <w:tc>
          <w:tcPr>
            <w:tcW w:w="319" w:type="pct"/>
            <w:shd w:val="clear" w:color="auto" w:fill="auto"/>
            <w:vAlign w:val="center"/>
          </w:tcPr>
          <w:p w14:paraId="67E0DE57">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2.8</w:t>
            </w:r>
          </w:p>
        </w:tc>
        <w:tc>
          <w:tcPr>
            <w:tcW w:w="308" w:type="pct"/>
            <w:shd w:val="clear" w:color="auto" w:fill="auto"/>
            <w:vAlign w:val="center"/>
          </w:tcPr>
          <w:p w14:paraId="38BEAEAF">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2.6</w:t>
            </w:r>
          </w:p>
        </w:tc>
        <w:tc>
          <w:tcPr>
            <w:tcW w:w="250" w:type="pct"/>
            <w:shd w:val="clear" w:color="auto" w:fill="auto"/>
            <w:vAlign w:val="center"/>
          </w:tcPr>
          <w:p w14:paraId="06404BD1">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2.4</w:t>
            </w:r>
          </w:p>
        </w:tc>
        <w:tc>
          <w:tcPr>
            <w:tcW w:w="244" w:type="pct"/>
            <w:shd w:val="clear" w:color="auto" w:fill="auto"/>
            <w:vAlign w:val="center"/>
          </w:tcPr>
          <w:p w14:paraId="6BA9350A">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2.3</w:t>
            </w:r>
          </w:p>
        </w:tc>
        <w:tc>
          <w:tcPr>
            <w:tcW w:w="248" w:type="pct"/>
            <w:shd w:val="clear" w:color="auto" w:fill="auto"/>
            <w:vAlign w:val="center"/>
          </w:tcPr>
          <w:p w14:paraId="5564AF9A">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2.2</w:t>
            </w:r>
          </w:p>
        </w:tc>
        <w:tc>
          <w:tcPr>
            <w:tcW w:w="248" w:type="pct"/>
            <w:shd w:val="clear" w:color="auto" w:fill="auto"/>
            <w:vAlign w:val="center"/>
          </w:tcPr>
          <w:p w14:paraId="12B1813D">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w:t>
            </w:r>
          </w:p>
        </w:tc>
        <w:tc>
          <w:tcPr>
            <w:tcW w:w="248" w:type="pct"/>
            <w:shd w:val="clear" w:color="auto" w:fill="auto"/>
            <w:vAlign w:val="center"/>
          </w:tcPr>
          <w:p w14:paraId="3EB7AFEA">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2.0</w:t>
            </w:r>
          </w:p>
        </w:tc>
        <w:tc>
          <w:tcPr>
            <w:tcW w:w="248" w:type="pct"/>
            <w:shd w:val="clear" w:color="auto" w:fill="auto"/>
            <w:vAlign w:val="center"/>
          </w:tcPr>
          <w:p w14:paraId="27E48B09">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1.9</w:t>
            </w:r>
          </w:p>
        </w:tc>
      </w:tr>
      <w:tr w14:paraId="3A85F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3" w:type="pct"/>
            <w:shd w:val="clear" w:color="auto" w:fill="auto"/>
            <w:vAlign w:val="center"/>
          </w:tcPr>
          <w:p w14:paraId="4B745E02">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zh-CN"/>
              </w:rPr>
              <w:t>平均单井产液量（t/d）</w:t>
            </w:r>
          </w:p>
        </w:tc>
        <w:tc>
          <w:tcPr>
            <w:tcW w:w="369" w:type="pct"/>
            <w:shd w:val="clear" w:color="auto" w:fill="auto"/>
            <w:vAlign w:val="center"/>
          </w:tcPr>
          <w:p w14:paraId="4A475C86">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27.7</w:t>
            </w:r>
          </w:p>
        </w:tc>
        <w:tc>
          <w:tcPr>
            <w:tcW w:w="319" w:type="pct"/>
            <w:shd w:val="clear" w:color="auto" w:fill="auto"/>
            <w:vAlign w:val="center"/>
          </w:tcPr>
          <w:p w14:paraId="2EB56CCD">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27.7</w:t>
            </w:r>
          </w:p>
        </w:tc>
        <w:tc>
          <w:tcPr>
            <w:tcW w:w="319" w:type="pct"/>
            <w:shd w:val="clear" w:color="auto" w:fill="auto"/>
            <w:vAlign w:val="center"/>
          </w:tcPr>
          <w:p w14:paraId="011BD270">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15.3</w:t>
            </w:r>
          </w:p>
        </w:tc>
        <w:tc>
          <w:tcPr>
            <w:tcW w:w="319" w:type="pct"/>
            <w:shd w:val="clear" w:color="auto" w:fill="auto"/>
            <w:vAlign w:val="center"/>
          </w:tcPr>
          <w:p w14:paraId="2364BDA0">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10.4</w:t>
            </w:r>
          </w:p>
        </w:tc>
        <w:tc>
          <w:tcPr>
            <w:tcW w:w="319" w:type="pct"/>
            <w:shd w:val="clear" w:color="auto" w:fill="auto"/>
            <w:vAlign w:val="center"/>
          </w:tcPr>
          <w:p w14:paraId="6ACB59AC">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8.5</w:t>
            </w:r>
          </w:p>
        </w:tc>
        <w:tc>
          <w:tcPr>
            <w:tcW w:w="319" w:type="pct"/>
            <w:shd w:val="clear" w:color="auto" w:fill="auto"/>
            <w:vAlign w:val="center"/>
          </w:tcPr>
          <w:p w14:paraId="163C09D2">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7.6</w:t>
            </w:r>
          </w:p>
        </w:tc>
        <w:tc>
          <w:tcPr>
            <w:tcW w:w="319" w:type="pct"/>
            <w:shd w:val="clear" w:color="auto" w:fill="auto"/>
            <w:vAlign w:val="center"/>
          </w:tcPr>
          <w:p w14:paraId="18516F92">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6.7</w:t>
            </w:r>
          </w:p>
        </w:tc>
        <w:tc>
          <w:tcPr>
            <w:tcW w:w="319" w:type="pct"/>
            <w:shd w:val="clear" w:color="auto" w:fill="auto"/>
            <w:vAlign w:val="center"/>
          </w:tcPr>
          <w:p w14:paraId="0731E2F3">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6. 1</w:t>
            </w:r>
          </w:p>
        </w:tc>
        <w:tc>
          <w:tcPr>
            <w:tcW w:w="308" w:type="pct"/>
            <w:shd w:val="clear" w:color="auto" w:fill="auto"/>
            <w:vAlign w:val="center"/>
          </w:tcPr>
          <w:p w14:paraId="1FDC2C84">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5.7</w:t>
            </w:r>
          </w:p>
        </w:tc>
        <w:tc>
          <w:tcPr>
            <w:tcW w:w="250" w:type="pct"/>
            <w:shd w:val="clear" w:color="auto" w:fill="auto"/>
            <w:vAlign w:val="center"/>
          </w:tcPr>
          <w:p w14:paraId="5CA48C2F">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5.4</w:t>
            </w:r>
          </w:p>
        </w:tc>
        <w:tc>
          <w:tcPr>
            <w:tcW w:w="244" w:type="pct"/>
            <w:shd w:val="clear" w:color="auto" w:fill="auto"/>
            <w:vAlign w:val="center"/>
          </w:tcPr>
          <w:p w14:paraId="2FA2C4D0">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5. 1</w:t>
            </w:r>
          </w:p>
        </w:tc>
        <w:tc>
          <w:tcPr>
            <w:tcW w:w="248" w:type="pct"/>
            <w:shd w:val="clear" w:color="auto" w:fill="auto"/>
            <w:vAlign w:val="center"/>
          </w:tcPr>
          <w:p w14:paraId="12651BF5">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4.8</w:t>
            </w:r>
          </w:p>
        </w:tc>
        <w:tc>
          <w:tcPr>
            <w:tcW w:w="248" w:type="pct"/>
            <w:shd w:val="clear" w:color="auto" w:fill="auto"/>
            <w:vAlign w:val="center"/>
          </w:tcPr>
          <w:p w14:paraId="4BEE48EA">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4.5</w:t>
            </w:r>
          </w:p>
        </w:tc>
        <w:tc>
          <w:tcPr>
            <w:tcW w:w="248" w:type="pct"/>
            <w:shd w:val="clear" w:color="auto" w:fill="auto"/>
            <w:vAlign w:val="center"/>
          </w:tcPr>
          <w:p w14:paraId="0F701AB8">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4.4</w:t>
            </w:r>
          </w:p>
        </w:tc>
        <w:tc>
          <w:tcPr>
            <w:tcW w:w="248" w:type="pct"/>
            <w:shd w:val="clear" w:color="auto" w:fill="auto"/>
            <w:vAlign w:val="center"/>
          </w:tcPr>
          <w:p w14:paraId="5ABDB2EC">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4.2</w:t>
            </w:r>
          </w:p>
        </w:tc>
      </w:tr>
      <w:tr w14:paraId="4C433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3" w:type="pct"/>
            <w:shd w:val="clear" w:color="auto" w:fill="auto"/>
            <w:vAlign w:val="center"/>
          </w:tcPr>
          <w:p w14:paraId="413F0721">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年产油量（10</w:t>
            </w:r>
            <w:r>
              <w:rPr>
                <w:rFonts w:ascii="宋体" w:hAnsi="宋体" w:eastAsia="宋体" w:cs="Times New Roman"/>
                <w:color w:val="auto"/>
                <w:spacing w:val="-6"/>
                <w:vertAlign w:val="superscript"/>
                <w:lang w:eastAsia="en-US"/>
              </w:rPr>
              <w:t>4</w:t>
            </w:r>
            <w:r>
              <w:rPr>
                <w:rFonts w:ascii="宋体" w:hAnsi="宋体" w:eastAsia="宋体" w:cs="Times New Roman"/>
                <w:color w:val="auto"/>
                <w:spacing w:val="-6"/>
                <w:lang w:eastAsia="en-US"/>
              </w:rPr>
              <w:t>t/a）</w:t>
            </w:r>
          </w:p>
        </w:tc>
        <w:tc>
          <w:tcPr>
            <w:tcW w:w="369" w:type="pct"/>
            <w:shd w:val="clear" w:color="auto" w:fill="auto"/>
            <w:vAlign w:val="center"/>
          </w:tcPr>
          <w:p w14:paraId="2A01569B">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0.35</w:t>
            </w:r>
          </w:p>
        </w:tc>
        <w:tc>
          <w:tcPr>
            <w:tcW w:w="319" w:type="pct"/>
            <w:shd w:val="clear" w:color="auto" w:fill="auto"/>
            <w:vAlign w:val="center"/>
          </w:tcPr>
          <w:p w14:paraId="10643514">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1.16</w:t>
            </w:r>
          </w:p>
        </w:tc>
        <w:tc>
          <w:tcPr>
            <w:tcW w:w="319" w:type="pct"/>
            <w:shd w:val="clear" w:color="auto" w:fill="auto"/>
            <w:vAlign w:val="center"/>
          </w:tcPr>
          <w:p w14:paraId="6F54FFA7">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0.70</w:t>
            </w:r>
          </w:p>
        </w:tc>
        <w:tc>
          <w:tcPr>
            <w:tcW w:w="319" w:type="pct"/>
            <w:shd w:val="clear" w:color="auto" w:fill="auto"/>
            <w:vAlign w:val="center"/>
          </w:tcPr>
          <w:p w14:paraId="2AE09D22">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0.52</w:t>
            </w:r>
          </w:p>
        </w:tc>
        <w:tc>
          <w:tcPr>
            <w:tcW w:w="319" w:type="pct"/>
            <w:shd w:val="clear" w:color="auto" w:fill="auto"/>
            <w:vAlign w:val="center"/>
          </w:tcPr>
          <w:p w14:paraId="05F8F7BF">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0.44</w:t>
            </w:r>
          </w:p>
        </w:tc>
        <w:tc>
          <w:tcPr>
            <w:tcW w:w="319" w:type="pct"/>
            <w:shd w:val="clear" w:color="auto" w:fill="auto"/>
            <w:vAlign w:val="center"/>
          </w:tcPr>
          <w:p w14:paraId="3B451E6C">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0.39</w:t>
            </w:r>
          </w:p>
        </w:tc>
        <w:tc>
          <w:tcPr>
            <w:tcW w:w="319" w:type="pct"/>
            <w:shd w:val="clear" w:color="auto" w:fill="auto"/>
            <w:vAlign w:val="center"/>
          </w:tcPr>
          <w:p w14:paraId="65ACEC60">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0.36</w:t>
            </w:r>
          </w:p>
        </w:tc>
        <w:tc>
          <w:tcPr>
            <w:tcW w:w="319" w:type="pct"/>
            <w:shd w:val="clear" w:color="auto" w:fill="auto"/>
            <w:vAlign w:val="center"/>
          </w:tcPr>
          <w:p w14:paraId="35F5023B">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0.33</w:t>
            </w:r>
          </w:p>
        </w:tc>
        <w:tc>
          <w:tcPr>
            <w:tcW w:w="308" w:type="pct"/>
            <w:shd w:val="clear" w:color="auto" w:fill="auto"/>
            <w:vAlign w:val="center"/>
          </w:tcPr>
          <w:p w14:paraId="136365BB">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0.31</w:t>
            </w:r>
          </w:p>
        </w:tc>
        <w:tc>
          <w:tcPr>
            <w:tcW w:w="250" w:type="pct"/>
            <w:shd w:val="clear" w:color="auto" w:fill="auto"/>
            <w:vAlign w:val="center"/>
          </w:tcPr>
          <w:p w14:paraId="674277AB">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0.29</w:t>
            </w:r>
          </w:p>
        </w:tc>
        <w:tc>
          <w:tcPr>
            <w:tcW w:w="244" w:type="pct"/>
            <w:shd w:val="clear" w:color="auto" w:fill="auto"/>
            <w:vAlign w:val="center"/>
          </w:tcPr>
          <w:p w14:paraId="7BF5D8EC">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0.27</w:t>
            </w:r>
          </w:p>
        </w:tc>
        <w:tc>
          <w:tcPr>
            <w:tcW w:w="248" w:type="pct"/>
            <w:shd w:val="clear" w:color="auto" w:fill="auto"/>
            <w:vAlign w:val="center"/>
          </w:tcPr>
          <w:p w14:paraId="218FD4F7">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0.26</w:t>
            </w:r>
          </w:p>
        </w:tc>
        <w:tc>
          <w:tcPr>
            <w:tcW w:w="248" w:type="pct"/>
            <w:shd w:val="clear" w:color="auto" w:fill="auto"/>
            <w:vAlign w:val="center"/>
          </w:tcPr>
          <w:p w14:paraId="25E9CBB1">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0.24</w:t>
            </w:r>
          </w:p>
        </w:tc>
        <w:tc>
          <w:tcPr>
            <w:tcW w:w="248" w:type="pct"/>
            <w:shd w:val="clear" w:color="auto" w:fill="auto"/>
            <w:vAlign w:val="center"/>
          </w:tcPr>
          <w:p w14:paraId="1538157A">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0.24</w:t>
            </w:r>
          </w:p>
        </w:tc>
        <w:tc>
          <w:tcPr>
            <w:tcW w:w="248" w:type="pct"/>
            <w:shd w:val="clear" w:color="auto" w:fill="auto"/>
            <w:vAlign w:val="center"/>
          </w:tcPr>
          <w:p w14:paraId="239CAA6F">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0.23</w:t>
            </w:r>
          </w:p>
        </w:tc>
      </w:tr>
      <w:tr w14:paraId="78C32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3" w:type="pct"/>
            <w:shd w:val="clear" w:color="auto" w:fill="auto"/>
            <w:vAlign w:val="center"/>
          </w:tcPr>
          <w:p w14:paraId="49D18D25">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年产液量（10</w:t>
            </w:r>
            <w:r>
              <w:rPr>
                <w:rFonts w:ascii="宋体" w:hAnsi="宋体" w:eastAsia="宋体" w:cs="Times New Roman"/>
                <w:color w:val="auto"/>
                <w:spacing w:val="-6"/>
                <w:vertAlign w:val="superscript"/>
                <w:lang w:eastAsia="en-US"/>
              </w:rPr>
              <w:t>4</w:t>
            </w:r>
            <w:r>
              <w:rPr>
                <w:rFonts w:ascii="宋体" w:hAnsi="宋体" w:eastAsia="宋体" w:cs="Times New Roman"/>
                <w:color w:val="auto"/>
                <w:spacing w:val="-6"/>
                <w:lang w:eastAsia="en-US"/>
              </w:rPr>
              <w:t>t/a）</w:t>
            </w:r>
          </w:p>
        </w:tc>
        <w:tc>
          <w:tcPr>
            <w:tcW w:w="369" w:type="pct"/>
            <w:shd w:val="clear" w:color="auto" w:fill="auto"/>
            <w:vAlign w:val="center"/>
          </w:tcPr>
          <w:p w14:paraId="0720B07E">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1.00</w:t>
            </w:r>
          </w:p>
        </w:tc>
        <w:tc>
          <w:tcPr>
            <w:tcW w:w="319" w:type="pct"/>
            <w:shd w:val="clear" w:color="auto" w:fill="auto"/>
            <w:vAlign w:val="center"/>
          </w:tcPr>
          <w:p w14:paraId="0C1F8268">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3.33</w:t>
            </w:r>
          </w:p>
        </w:tc>
        <w:tc>
          <w:tcPr>
            <w:tcW w:w="319" w:type="pct"/>
            <w:shd w:val="clear" w:color="auto" w:fill="auto"/>
            <w:vAlign w:val="center"/>
          </w:tcPr>
          <w:p w14:paraId="2FDA7ED6">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1.84</w:t>
            </w:r>
          </w:p>
        </w:tc>
        <w:tc>
          <w:tcPr>
            <w:tcW w:w="319" w:type="pct"/>
            <w:shd w:val="clear" w:color="auto" w:fill="auto"/>
            <w:vAlign w:val="center"/>
          </w:tcPr>
          <w:p w14:paraId="6C40B447">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1.25</w:t>
            </w:r>
          </w:p>
        </w:tc>
        <w:tc>
          <w:tcPr>
            <w:tcW w:w="319" w:type="pct"/>
            <w:shd w:val="clear" w:color="auto" w:fill="auto"/>
            <w:vAlign w:val="center"/>
          </w:tcPr>
          <w:p w14:paraId="0950EE26">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1.02</w:t>
            </w:r>
          </w:p>
        </w:tc>
        <w:tc>
          <w:tcPr>
            <w:tcW w:w="319" w:type="pct"/>
            <w:shd w:val="clear" w:color="auto" w:fill="auto"/>
            <w:vAlign w:val="center"/>
          </w:tcPr>
          <w:p w14:paraId="00CCE014">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0.91</w:t>
            </w:r>
          </w:p>
        </w:tc>
        <w:tc>
          <w:tcPr>
            <w:tcW w:w="319" w:type="pct"/>
            <w:shd w:val="clear" w:color="auto" w:fill="auto"/>
            <w:vAlign w:val="center"/>
          </w:tcPr>
          <w:p w14:paraId="4EBD228D">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0.80</w:t>
            </w:r>
          </w:p>
        </w:tc>
        <w:tc>
          <w:tcPr>
            <w:tcW w:w="319" w:type="pct"/>
            <w:shd w:val="clear" w:color="auto" w:fill="auto"/>
            <w:vAlign w:val="center"/>
          </w:tcPr>
          <w:p w14:paraId="48E35969">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0.74</w:t>
            </w:r>
          </w:p>
        </w:tc>
        <w:tc>
          <w:tcPr>
            <w:tcW w:w="308" w:type="pct"/>
            <w:shd w:val="clear" w:color="auto" w:fill="auto"/>
            <w:vAlign w:val="center"/>
          </w:tcPr>
          <w:p w14:paraId="54E9DC72">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0.69</w:t>
            </w:r>
          </w:p>
        </w:tc>
        <w:tc>
          <w:tcPr>
            <w:tcW w:w="250" w:type="pct"/>
            <w:shd w:val="clear" w:color="auto" w:fill="auto"/>
            <w:vAlign w:val="center"/>
          </w:tcPr>
          <w:p w14:paraId="2ABAF04F">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0.65</w:t>
            </w:r>
          </w:p>
        </w:tc>
        <w:tc>
          <w:tcPr>
            <w:tcW w:w="244" w:type="pct"/>
            <w:shd w:val="clear" w:color="auto" w:fill="auto"/>
            <w:vAlign w:val="center"/>
          </w:tcPr>
          <w:p w14:paraId="60A1D9F1">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0.61</w:t>
            </w:r>
          </w:p>
        </w:tc>
        <w:tc>
          <w:tcPr>
            <w:tcW w:w="248" w:type="pct"/>
            <w:shd w:val="clear" w:color="auto" w:fill="auto"/>
            <w:vAlign w:val="center"/>
          </w:tcPr>
          <w:p w14:paraId="3C32EB30">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0.57</w:t>
            </w:r>
          </w:p>
        </w:tc>
        <w:tc>
          <w:tcPr>
            <w:tcW w:w="248" w:type="pct"/>
            <w:shd w:val="clear" w:color="auto" w:fill="auto"/>
            <w:vAlign w:val="center"/>
          </w:tcPr>
          <w:p w14:paraId="087554DA">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0.54</w:t>
            </w:r>
          </w:p>
        </w:tc>
        <w:tc>
          <w:tcPr>
            <w:tcW w:w="248" w:type="pct"/>
            <w:shd w:val="clear" w:color="auto" w:fill="auto"/>
            <w:vAlign w:val="center"/>
          </w:tcPr>
          <w:p w14:paraId="1844DC74">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0.52</w:t>
            </w:r>
          </w:p>
        </w:tc>
        <w:tc>
          <w:tcPr>
            <w:tcW w:w="248" w:type="pct"/>
            <w:shd w:val="clear" w:color="auto" w:fill="auto"/>
            <w:vAlign w:val="center"/>
          </w:tcPr>
          <w:p w14:paraId="24CA1CE4">
            <w:pPr>
              <w:widowControl/>
              <w:autoSpaceDE w:val="0"/>
              <w:autoSpaceDN w:val="0"/>
              <w:spacing w:before="156"/>
              <w:jc w:val="center"/>
              <w:rPr>
                <w:rFonts w:ascii="宋体" w:hAnsi="宋体" w:eastAsia="宋体" w:cs="Times New Roman"/>
                <w:color w:val="auto"/>
                <w:spacing w:val="-6"/>
                <w:lang w:eastAsia="zh-CN"/>
              </w:rPr>
            </w:pPr>
            <w:r>
              <w:rPr>
                <w:rFonts w:ascii="宋体" w:hAnsi="宋体" w:eastAsia="宋体" w:cs="Times New Roman"/>
                <w:color w:val="auto"/>
                <w:spacing w:val="-6"/>
                <w:lang w:eastAsia="en-US"/>
              </w:rPr>
              <w:t>0.50</w:t>
            </w:r>
          </w:p>
        </w:tc>
      </w:tr>
      <w:tr w14:paraId="66732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03" w:type="pct"/>
            <w:shd w:val="clear" w:color="auto" w:fill="auto"/>
            <w:vAlign w:val="center"/>
          </w:tcPr>
          <w:p w14:paraId="72A20821">
            <w:pPr>
              <w:widowControl/>
              <w:autoSpaceDE w:val="0"/>
              <w:autoSpaceDN w:val="0"/>
              <w:spacing w:before="156"/>
              <w:jc w:val="center"/>
              <w:rPr>
                <w:rFonts w:ascii="宋体" w:hAnsi="宋体" w:eastAsia="宋体" w:cs="Times New Roman"/>
                <w:color w:val="auto"/>
                <w:spacing w:val="-6"/>
                <w:lang w:eastAsia="zh-CN"/>
              </w:rPr>
            </w:pPr>
            <w:r>
              <w:rPr>
                <w:rFonts w:hint="eastAsia" w:ascii="宋体" w:hAnsi="宋体" w:eastAsia="宋体" w:cs="Times New Roman"/>
                <w:color w:val="auto"/>
                <w:spacing w:val="-6"/>
                <w:lang w:eastAsia="zh-CN"/>
              </w:rPr>
              <w:t>综合含水%</w:t>
            </w:r>
          </w:p>
        </w:tc>
        <w:tc>
          <w:tcPr>
            <w:tcW w:w="369" w:type="pct"/>
            <w:shd w:val="clear" w:color="auto" w:fill="auto"/>
            <w:vAlign w:val="center"/>
          </w:tcPr>
          <w:p w14:paraId="4D1EBD91">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65.00 </w:t>
            </w:r>
          </w:p>
        </w:tc>
        <w:tc>
          <w:tcPr>
            <w:tcW w:w="319" w:type="pct"/>
            <w:shd w:val="clear" w:color="auto" w:fill="auto"/>
            <w:vAlign w:val="center"/>
          </w:tcPr>
          <w:p w14:paraId="2F5B4CF4">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65.17 </w:t>
            </w:r>
          </w:p>
        </w:tc>
        <w:tc>
          <w:tcPr>
            <w:tcW w:w="319" w:type="pct"/>
            <w:shd w:val="clear" w:color="auto" w:fill="auto"/>
            <w:vAlign w:val="center"/>
          </w:tcPr>
          <w:p w14:paraId="5CA3E7FB">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61.96 </w:t>
            </w:r>
          </w:p>
        </w:tc>
        <w:tc>
          <w:tcPr>
            <w:tcW w:w="319" w:type="pct"/>
            <w:shd w:val="clear" w:color="auto" w:fill="auto"/>
            <w:vAlign w:val="center"/>
          </w:tcPr>
          <w:p w14:paraId="170782FE">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58.40 </w:t>
            </w:r>
          </w:p>
        </w:tc>
        <w:tc>
          <w:tcPr>
            <w:tcW w:w="319" w:type="pct"/>
            <w:shd w:val="clear" w:color="auto" w:fill="auto"/>
            <w:vAlign w:val="center"/>
          </w:tcPr>
          <w:p w14:paraId="163918F3">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56.86 </w:t>
            </w:r>
          </w:p>
        </w:tc>
        <w:tc>
          <w:tcPr>
            <w:tcW w:w="319" w:type="pct"/>
            <w:shd w:val="clear" w:color="auto" w:fill="auto"/>
            <w:vAlign w:val="center"/>
          </w:tcPr>
          <w:p w14:paraId="277EF17A">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57.14 </w:t>
            </w:r>
          </w:p>
        </w:tc>
        <w:tc>
          <w:tcPr>
            <w:tcW w:w="319" w:type="pct"/>
            <w:shd w:val="clear" w:color="auto" w:fill="auto"/>
            <w:vAlign w:val="center"/>
          </w:tcPr>
          <w:p w14:paraId="4C02AEEF">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55.00 </w:t>
            </w:r>
          </w:p>
        </w:tc>
        <w:tc>
          <w:tcPr>
            <w:tcW w:w="319" w:type="pct"/>
            <w:shd w:val="clear" w:color="auto" w:fill="auto"/>
            <w:vAlign w:val="center"/>
          </w:tcPr>
          <w:p w14:paraId="1DFDE9F5">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55.41 </w:t>
            </w:r>
          </w:p>
        </w:tc>
        <w:tc>
          <w:tcPr>
            <w:tcW w:w="308" w:type="pct"/>
            <w:shd w:val="clear" w:color="auto" w:fill="auto"/>
            <w:vAlign w:val="center"/>
          </w:tcPr>
          <w:p w14:paraId="31051B65">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55.07 </w:t>
            </w:r>
          </w:p>
        </w:tc>
        <w:tc>
          <w:tcPr>
            <w:tcW w:w="250" w:type="pct"/>
            <w:shd w:val="clear" w:color="auto" w:fill="auto"/>
            <w:vAlign w:val="center"/>
          </w:tcPr>
          <w:p w14:paraId="2BF8BECB">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55.38 </w:t>
            </w:r>
          </w:p>
        </w:tc>
        <w:tc>
          <w:tcPr>
            <w:tcW w:w="244" w:type="pct"/>
            <w:shd w:val="clear" w:color="auto" w:fill="auto"/>
            <w:vAlign w:val="center"/>
          </w:tcPr>
          <w:p w14:paraId="00BC4811">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55.74 </w:t>
            </w:r>
          </w:p>
        </w:tc>
        <w:tc>
          <w:tcPr>
            <w:tcW w:w="248" w:type="pct"/>
            <w:shd w:val="clear" w:color="auto" w:fill="auto"/>
            <w:vAlign w:val="center"/>
          </w:tcPr>
          <w:p w14:paraId="5225713E">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54.39 </w:t>
            </w:r>
          </w:p>
        </w:tc>
        <w:tc>
          <w:tcPr>
            <w:tcW w:w="248" w:type="pct"/>
            <w:shd w:val="clear" w:color="auto" w:fill="auto"/>
            <w:vAlign w:val="center"/>
          </w:tcPr>
          <w:p w14:paraId="017632CB">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55.56 </w:t>
            </w:r>
          </w:p>
        </w:tc>
        <w:tc>
          <w:tcPr>
            <w:tcW w:w="248" w:type="pct"/>
            <w:shd w:val="clear" w:color="auto" w:fill="auto"/>
            <w:vAlign w:val="center"/>
          </w:tcPr>
          <w:p w14:paraId="2E873777">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53.85 </w:t>
            </w:r>
          </w:p>
        </w:tc>
        <w:tc>
          <w:tcPr>
            <w:tcW w:w="248" w:type="pct"/>
            <w:shd w:val="clear" w:color="auto" w:fill="auto"/>
            <w:vAlign w:val="center"/>
          </w:tcPr>
          <w:p w14:paraId="1467A009">
            <w:pPr>
              <w:widowControl/>
              <w:autoSpaceDE w:val="0"/>
              <w:autoSpaceDN w:val="0"/>
              <w:spacing w:before="156"/>
              <w:jc w:val="center"/>
              <w:rPr>
                <w:rFonts w:ascii="宋体" w:hAnsi="宋体" w:eastAsia="宋体" w:cs="Times New Roman"/>
                <w:color w:val="auto"/>
                <w:spacing w:val="-6"/>
                <w:lang w:eastAsia="en-US"/>
              </w:rPr>
            </w:pPr>
            <w:r>
              <w:rPr>
                <w:rFonts w:hint="eastAsia" w:ascii="宋体" w:hAnsi="宋体" w:eastAsia="宋体" w:cs="Times New Roman"/>
                <w:color w:val="auto"/>
                <w:spacing w:val="-6"/>
                <w:lang w:eastAsia="zh-CN"/>
              </w:rPr>
              <w:t xml:space="preserve">54.00 </w:t>
            </w:r>
          </w:p>
        </w:tc>
      </w:tr>
    </w:tbl>
    <w:p w14:paraId="6A142DCE">
      <w:pPr>
        <w:pStyle w:val="5"/>
        <w:rPr>
          <w:bCs w:val="0"/>
          <w:color w:val="auto"/>
        </w:rPr>
      </w:pPr>
      <w:bookmarkStart w:id="627" w:name="_Toc212033016"/>
      <w:bookmarkStart w:id="628" w:name="_Toc19811"/>
      <w:r>
        <w:rPr>
          <w:bCs w:val="0"/>
          <w:color w:val="auto"/>
        </w:rPr>
        <w:t>主要建设内容</w:t>
      </w:r>
      <w:bookmarkEnd w:id="627"/>
      <w:bookmarkEnd w:id="628"/>
    </w:p>
    <w:p w14:paraId="232E210A">
      <w:pPr>
        <w:pStyle w:val="276"/>
        <w:widowControl w:val="0"/>
        <w:spacing w:line="440" w:lineRule="exact"/>
        <w:ind w:firstLine="480"/>
        <w:jc w:val="both"/>
        <w:rPr>
          <w:color w:val="auto"/>
          <w:kern w:val="2"/>
          <w:szCs w:val="20"/>
        </w:rPr>
      </w:pPr>
      <w:bookmarkStart w:id="629" w:name="_Toc74812319"/>
      <w:r>
        <w:rPr>
          <w:color w:val="auto"/>
        </w:rPr>
        <w:t>本项目新钻井6口，形成1座平台井场和4口单井井场</w:t>
      </w:r>
      <w:r>
        <w:rPr>
          <w:snapToGrid w:val="0"/>
          <w:color w:val="auto"/>
        </w:rPr>
        <w:t>，</w:t>
      </w:r>
      <w:r>
        <w:rPr>
          <w:color w:val="auto"/>
        </w:rPr>
        <w:t>采用射孔和压裂完井；基建油井4口，全部为新钻井，共形成丛式平台1座，独立井2口，新建3座拉油点，预计建成产能1.16×10</w:t>
      </w:r>
      <w:r>
        <w:rPr>
          <w:color w:val="auto"/>
          <w:vertAlign w:val="superscript"/>
        </w:rPr>
        <w:t>4</w:t>
      </w:r>
      <w:r>
        <w:rPr>
          <w:color w:val="auto"/>
        </w:rPr>
        <w:t>t/a。</w:t>
      </w:r>
      <w:r>
        <w:rPr>
          <w:color w:val="auto"/>
          <w:kern w:val="2"/>
          <w:szCs w:val="20"/>
        </w:rPr>
        <w:t>主要建设内容包括钻井工程、储层改造工程、采油工程、原油集输工程、拉油点工程、道路工程、公用工程等。</w:t>
      </w:r>
    </w:p>
    <w:p w14:paraId="3BB63102">
      <w:pPr>
        <w:pStyle w:val="6"/>
        <w:rPr>
          <w:color w:val="auto"/>
        </w:rPr>
      </w:pPr>
      <w:bookmarkStart w:id="630" w:name="_Toc67860128"/>
      <w:bookmarkStart w:id="631" w:name="_Toc70050175"/>
      <w:bookmarkStart w:id="632" w:name="_Toc127192336"/>
      <w:bookmarkStart w:id="633" w:name="_Toc131167287"/>
      <w:bookmarkStart w:id="634" w:name="_Toc126863387"/>
      <w:r>
        <w:rPr>
          <w:rFonts w:hint="eastAsia"/>
          <w:color w:val="auto"/>
        </w:rPr>
        <w:t>钻前工程</w:t>
      </w:r>
    </w:p>
    <w:p w14:paraId="5782F24A">
      <w:pPr>
        <w:pStyle w:val="276"/>
        <w:widowControl w:val="0"/>
        <w:spacing w:line="440" w:lineRule="exact"/>
        <w:ind w:firstLine="480"/>
        <w:jc w:val="both"/>
        <w:rPr>
          <w:color w:val="auto"/>
          <w:kern w:val="21"/>
        </w:rPr>
      </w:pPr>
      <w:r>
        <w:rPr>
          <w:color w:val="auto"/>
        </w:rPr>
        <w:t>钻前工程包括新建井场、进场道路等主体工程以及钻井办公、生活区活动板房、钻井设备基础等工程</w:t>
      </w:r>
      <w:r>
        <w:rPr>
          <w:rFonts w:hint="eastAsia"/>
          <w:color w:val="auto"/>
        </w:rPr>
        <w:t>。</w:t>
      </w:r>
    </w:p>
    <w:p w14:paraId="5595F58C">
      <w:pPr>
        <w:pStyle w:val="6"/>
        <w:rPr>
          <w:color w:val="auto"/>
        </w:rPr>
      </w:pPr>
      <w:bookmarkStart w:id="635" w:name="_Toc69690809"/>
      <w:bookmarkStart w:id="636" w:name="_Toc74812313"/>
      <w:bookmarkStart w:id="637" w:name="_Toc71371942"/>
      <w:bookmarkStart w:id="638" w:name="_Toc67523591"/>
      <w:r>
        <w:rPr>
          <w:rFonts w:hint="eastAsia"/>
          <w:color w:val="auto"/>
        </w:rPr>
        <w:t>钻井工程</w:t>
      </w:r>
    </w:p>
    <w:p w14:paraId="74F9CE94">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井身结构</w:t>
      </w:r>
    </w:p>
    <w:p w14:paraId="2E76F1FD">
      <w:pPr>
        <w:pStyle w:val="276"/>
        <w:widowControl w:val="0"/>
        <w:spacing w:line="440" w:lineRule="exact"/>
        <w:ind w:firstLine="480"/>
        <w:jc w:val="both"/>
        <w:rPr>
          <w:color w:val="auto"/>
          <w:kern w:val="21"/>
        </w:rPr>
      </w:pPr>
      <w:r>
        <w:rPr>
          <w:color w:val="auto"/>
          <w:kern w:val="21"/>
        </w:rPr>
        <w:t>本项目新钻井井身结构为定向井和水平井，项目井身设计数据见表3.6-2和表3.6-3。井身结构示意图见图3.6-1和图3.6-2。</w:t>
      </w:r>
    </w:p>
    <w:p w14:paraId="242E31E1">
      <w:pPr>
        <w:pStyle w:val="22"/>
        <w:spacing w:before="156"/>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定向井井身结构设计数据表</w:t>
      </w:r>
    </w:p>
    <w:tbl>
      <w:tblPr>
        <w:tblStyle w:val="81"/>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95"/>
        <w:gridCol w:w="1095"/>
        <w:gridCol w:w="1440"/>
        <w:gridCol w:w="1305"/>
        <w:gridCol w:w="1452"/>
        <w:gridCol w:w="1364"/>
      </w:tblGrid>
      <w:tr w14:paraId="7E5F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dxa"/>
            <w:vAlign w:val="center"/>
          </w:tcPr>
          <w:p w14:paraId="1B3C5CB5">
            <w:pPr>
              <w:spacing w:line="320" w:lineRule="exact"/>
              <w:jc w:val="center"/>
              <w:rPr>
                <w:rFonts w:ascii="宋体" w:hAnsi="宋体" w:eastAsia="宋体" w:cs="Times New Roman"/>
                <w:color w:val="auto"/>
              </w:rPr>
            </w:pPr>
            <w:r>
              <w:rPr>
                <w:rFonts w:ascii="宋体" w:hAnsi="宋体" w:eastAsia="宋体" w:cs="Times New Roman"/>
                <w:color w:val="auto"/>
              </w:rPr>
              <w:t>开钻次序</w:t>
            </w:r>
          </w:p>
        </w:tc>
        <w:tc>
          <w:tcPr>
            <w:tcW w:w="1095" w:type="dxa"/>
            <w:vAlign w:val="center"/>
          </w:tcPr>
          <w:p w14:paraId="75BD48AB">
            <w:pPr>
              <w:spacing w:line="320" w:lineRule="exact"/>
              <w:jc w:val="center"/>
              <w:rPr>
                <w:rFonts w:ascii="宋体" w:hAnsi="宋体" w:eastAsia="宋体" w:cs="Times New Roman"/>
                <w:color w:val="auto"/>
              </w:rPr>
            </w:pPr>
            <w:r>
              <w:rPr>
                <w:rFonts w:ascii="宋体" w:hAnsi="宋体" w:eastAsia="宋体" w:cs="Times New Roman"/>
                <w:color w:val="auto"/>
              </w:rPr>
              <w:t>井深</w:t>
            </w:r>
          </w:p>
          <w:p w14:paraId="7999BBCF">
            <w:pPr>
              <w:spacing w:line="320" w:lineRule="exact"/>
              <w:jc w:val="center"/>
              <w:rPr>
                <w:rFonts w:ascii="宋体" w:hAnsi="宋体" w:eastAsia="宋体" w:cs="Times New Roman"/>
                <w:color w:val="auto"/>
              </w:rPr>
            </w:pPr>
            <w:r>
              <w:rPr>
                <w:rFonts w:ascii="宋体" w:hAnsi="宋体" w:eastAsia="宋体" w:cs="Times New Roman"/>
                <w:color w:val="auto"/>
              </w:rPr>
              <w:t>m</w:t>
            </w:r>
          </w:p>
        </w:tc>
        <w:tc>
          <w:tcPr>
            <w:tcW w:w="1095" w:type="dxa"/>
            <w:vAlign w:val="center"/>
          </w:tcPr>
          <w:p w14:paraId="19C6DF6D">
            <w:pPr>
              <w:spacing w:line="320" w:lineRule="exact"/>
              <w:jc w:val="center"/>
              <w:rPr>
                <w:rFonts w:ascii="宋体" w:hAnsi="宋体" w:eastAsia="宋体" w:cs="Times New Roman"/>
                <w:color w:val="auto"/>
              </w:rPr>
            </w:pPr>
            <w:r>
              <w:rPr>
                <w:rFonts w:ascii="宋体" w:hAnsi="宋体" w:eastAsia="宋体" w:cs="Times New Roman"/>
                <w:color w:val="auto"/>
              </w:rPr>
              <w:t>钻头尺寸</w:t>
            </w:r>
          </w:p>
          <w:p w14:paraId="7D76095F">
            <w:pPr>
              <w:spacing w:line="320" w:lineRule="exact"/>
              <w:jc w:val="center"/>
              <w:rPr>
                <w:rFonts w:ascii="宋体" w:hAnsi="宋体" w:eastAsia="宋体" w:cs="Times New Roman"/>
                <w:color w:val="auto"/>
              </w:rPr>
            </w:pPr>
            <w:r>
              <w:rPr>
                <w:rFonts w:ascii="宋体" w:hAnsi="宋体" w:eastAsia="宋体" w:cs="Times New Roman"/>
                <w:color w:val="auto"/>
              </w:rPr>
              <w:t>mm</w:t>
            </w:r>
          </w:p>
        </w:tc>
        <w:tc>
          <w:tcPr>
            <w:tcW w:w="1440" w:type="dxa"/>
            <w:vAlign w:val="center"/>
          </w:tcPr>
          <w:p w14:paraId="34528B3B">
            <w:pPr>
              <w:spacing w:line="320" w:lineRule="exact"/>
              <w:jc w:val="center"/>
              <w:rPr>
                <w:rFonts w:ascii="宋体" w:hAnsi="宋体" w:eastAsia="宋体" w:cs="Times New Roman"/>
                <w:color w:val="auto"/>
              </w:rPr>
            </w:pPr>
            <w:r>
              <w:rPr>
                <w:rFonts w:ascii="宋体" w:hAnsi="宋体" w:eastAsia="宋体" w:cs="Times New Roman"/>
                <w:color w:val="auto"/>
              </w:rPr>
              <w:t xml:space="preserve"> 套管柱类型</w:t>
            </w:r>
          </w:p>
        </w:tc>
        <w:tc>
          <w:tcPr>
            <w:tcW w:w="1305" w:type="dxa"/>
            <w:vAlign w:val="center"/>
          </w:tcPr>
          <w:p w14:paraId="5DB42AE0">
            <w:pPr>
              <w:spacing w:line="320" w:lineRule="exact"/>
              <w:jc w:val="center"/>
              <w:rPr>
                <w:rFonts w:ascii="宋体" w:hAnsi="宋体" w:eastAsia="宋体" w:cs="Times New Roman"/>
                <w:color w:val="auto"/>
              </w:rPr>
            </w:pPr>
            <w:r>
              <w:rPr>
                <w:rFonts w:ascii="宋体" w:hAnsi="宋体" w:eastAsia="宋体" w:cs="Times New Roman"/>
                <w:color w:val="auto"/>
              </w:rPr>
              <w:t>套管尺寸</w:t>
            </w:r>
          </w:p>
          <w:p w14:paraId="63DDC869">
            <w:pPr>
              <w:spacing w:line="320" w:lineRule="exact"/>
              <w:jc w:val="center"/>
              <w:rPr>
                <w:rFonts w:ascii="宋体" w:hAnsi="宋体" w:eastAsia="宋体" w:cs="Times New Roman"/>
                <w:color w:val="auto"/>
              </w:rPr>
            </w:pPr>
            <w:r>
              <w:rPr>
                <w:rFonts w:ascii="宋体" w:hAnsi="宋体" w:eastAsia="宋体" w:cs="Times New Roman"/>
                <w:color w:val="auto"/>
              </w:rPr>
              <w:t>mm</w:t>
            </w:r>
          </w:p>
        </w:tc>
        <w:tc>
          <w:tcPr>
            <w:tcW w:w="1452" w:type="dxa"/>
          </w:tcPr>
          <w:p w14:paraId="4E5E59B5">
            <w:pPr>
              <w:spacing w:line="320" w:lineRule="exact"/>
              <w:jc w:val="center"/>
              <w:rPr>
                <w:rFonts w:ascii="宋体" w:hAnsi="宋体" w:eastAsia="宋体" w:cs="Times New Roman"/>
                <w:color w:val="auto"/>
              </w:rPr>
            </w:pPr>
            <w:r>
              <w:rPr>
                <w:rFonts w:ascii="宋体" w:hAnsi="宋体" w:eastAsia="宋体" w:cs="Times New Roman"/>
                <w:color w:val="auto"/>
              </w:rPr>
              <w:t>套管下入深度m</w:t>
            </w:r>
          </w:p>
        </w:tc>
        <w:tc>
          <w:tcPr>
            <w:tcW w:w="1364" w:type="dxa"/>
            <w:vAlign w:val="center"/>
          </w:tcPr>
          <w:p w14:paraId="14A44E5F">
            <w:pPr>
              <w:spacing w:line="320" w:lineRule="exact"/>
              <w:jc w:val="center"/>
              <w:rPr>
                <w:rFonts w:ascii="宋体" w:hAnsi="宋体" w:eastAsia="宋体" w:cs="Times New Roman"/>
                <w:color w:val="auto"/>
              </w:rPr>
            </w:pPr>
            <w:r>
              <w:rPr>
                <w:rFonts w:ascii="宋体" w:hAnsi="宋体" w:eastAsia="宋体" w:cs="Times New Roman"/>
                <w:color w:val="auto"/>
              </w:rPr>
              <w:t>环空水泥浆返深m</w:t>
            </w:r>
          </w:p>
        </w:tc>
      </w:tr>
      <w:tr w14:paraId="1362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dxa"/>
            <w:vAlign w:val="center"/>
          </w:tcPr>
          <w:p w14:paraId="29713C8C">
            <w:pPr>
              <w:spacing w:line="320" w:lineRule="exact"/>
              <w:jc w:val="center"/>
              <w:rPr>
                <w:rFonts w:ascii="宋体" w:hAnsi="宋体" w:eastAsia="宋体" w:cs="Times New Roman"/>
                <w:color w:val="auto"/>
              </w:rPr>
            </w:pPr>
            <w:r>
              <w:rPr>
                <w:rFonts w:ascii="宋体" w:hAnsi="宋体" w:eastAsia="宋体" w:cs="Times New Roman"/>
                <w:color w:val="auto"/>
              </w:rPr>
              <w:t>一开</w:t>
            </w:r>
          </w:p>
        </w:tc>
        <w:tc>
          <w:tcPr>
            <w:tcW w:w="1095" w:type="dxa"/>
            <w:vAlign w:val="center"/>
          </w:tcPr>
          <w:p w14:paraId="782C941B">
            <w:pPr>
              <w:spacing w:line="300" w:lineRule="exact"/>
              <w:jc w:val="center"/>
              <w:rPr>
                <w:rFonts w:ascii="宋体" w:hAnsi="宋体" w:eastAsia="宋体" w:cs="Times New Roman"/>
                <w:color w:val="auto"/>
              </w:rPr>
            </w:pPr>
            <w:r>
              <w:rPr>
                <w:rFonts w:ascii="宋体" w:hAnsi="宋体" w:eastAsia="宋体" w:cs="Times New Roman"/>
                <w:color w:val="auto"/>
              </w:rPr>
              <w:t>501</w:t>
            </w:r>
          </w:p>
        </w:tc>
        <w:tc>
          <w:tcPr>
            <w:tcW w:w="1095" w:type="dxa"/>
            <w:vAlign w:val="center"/>
          </w:tcPr>
          <w:p w14:paraId="613ADA6D">
            <w:pPr>
              <w:spacing w:line="300" w:lineRule="exact"/>
              <w:jc w:val="center"/>
              <w:rPr>
                <w:rFonts w:ascii="宋体" w:hAnsi="宋体" w:eastAsia="宋体" w:cs="Times New Roman"/>
                <w:color w:val="auto"/>
              </w:rPr>
            </w:pPr>
            <w:r>
              <w:rPr>
                <w:rFonts w:ascii="宋体" w:hAnsi="宋体" w:eastAsia="宋体" w:cs="Times New Roman"/>
                <w:color w:val="auto"/>
              </w:rPr>
              <w:t>311.2</w:t>
            </w:r>
          </w:p>
        </w:tc>
        <w:tc>
          <w:tcPr>
            <w:tcW w:w="1440" w:type="dxa"/>
            <w:vAlign w:val="center"/>
          </w:tcPr>
          <w:p w14:paraId="29DA62F0">
            <w:pPr>
              <w:spacing w:line="300" w:lineRule="exact"/>
              <w:jc w:val="center"/>
              <w:rPr>
                <w:rFonts w:ascii="宋体" w:hAnsi="宋体" w:eastAsia="宋体" w:cs="Times New Roman"/>
                <w:color w:val="auto"/>
              </w:rPr>
            </w:pPr>
            <w:r>
              <w:rPr>
                <w:rFonts w:ascii="宋体" w:hAnsi="宋体" w:eastAsia="宋体" w:cs="Times New Roman"/>
                <w:color w:val="auto"/>
              </w:rPr>
              <w:t>表层套管</w:t>
            </w:r>
          </w:p>
        </w:tc>
        <w:tc>
          <w:tcPr>
            <w:tcW w:w="1305" w:type="dxa"/>
            <w:vAlign w:val="center"/>
          </w:tcPr>
          <w:p w14:paraId="3A1254C6">
            <w:pPr>
              <w:spacing w:line="300" w:lineRule="exact"/>
              <w:jc w:val="center"/>
              <w:rPr>
                <w:rFonts w:ascii="宋体" w:hAnsi="宋体" w:eastAsia="宋体" w:cs="Times New Roman"/>
                <w:color w:val="auto"/>
              </w:rPr>
            </w:pPr>
            <w:r>
              <w:rPr>
                <w:rFonts w:ascii="宋体" w:hAnsi="宋体" w:eastAsia="宋体" w:cs="Times New Roman"/>
                <w:color w:val="auto"/>
              </w:rPr>
              <w:t>244.5</w:t>
            </w:r>
          </w:p>
        </w:tc>
        <w:tc>
          <w:tcPr>
            <w:tcW w:w="1452" w:type="dxa"/>
            <w:vAlign w:val="center"/>
          </w:tcPr>
          <w:p w14:paraId="6C4B039F">
            <w:pPr>
              <w:spacing w:line="300" w:lineRule="exact"/>
              <w:jc w:val="center"/>
              <w:rPr>
                <w:rFonts w:ascii="宋体" w:hAnsi="宋体" w:eastAsia="宋体" w:cs="Times New Roman"/>
                <w:color w:val="auto"/>
              </w:rPr>
            </w:pPr>
            <w:r>
              <w:rPr>
                <w:rFonts w:ascii="宋体" w:hAnsi="宋体" w:eastAsia="宋体" w:cs="Times New Roman"/>
                <w:color w:val="auto"/>
              </w:rPr>
              <w:t>500</w:t>
            </w:r>
          </w:p>
        </w:tc>
        <w:tc>
          <w:tcPr>
            <w:tcW w:w="1364" w:type="dxa"/>
            <w:vAlign w:val="center"/>
          </w:tcPr>
          <w:p w14:paraId="14D6E6D9">
            <w:pPr>
              <w:spacing w:line="320" w:lineRule="exact"/>
              <w:jc w:val="center"/>
              <w:rPr>
                <w:rFonts w:ascii="宋体" w:hAnsi="宋体" w:eastAsia="宋体" w:cs="Times New Roman"/>
                <w:color w:val="auto"/>
              </w:rPr>
            </w:pPr>
            <w:r>
              <w:rPr>
                <w:rFonts w:ascii="宋体" w:hAnsi="宋体" w:eastAsia="宋体" w:cs="Times New Roman"/>
                <w:color w:val="auto"/>
              </w:rPr>
              <w:t>地面</w:t>
            </w:r>
          </w:p>
        </w:tc>
      </w:tr>
      <w:tr w14:paraId="1335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dxa"/>
            <w:vAlign w:val="center"/>
          </w:tcPr>
          <w:p w14:paraId="4E33A3D2">
            <w:pPr>
              <w:spacing w:line="320" w:lineRule="exact"/>
              <w:jc w:val="center"/>
              <w:rPr>
                <w:rFonts w:ascii="宋体" w:hAnsi="宋体" w:eastAsia="宋体" w:cs="Times New Roman"/>
                <w:color w:val="auto"/>
              </w:rPr>
            </w:pPr>
            <w:r>
              <w:rPr>
                <w:rFonts w:ascii="宋体" w:hAnsi="宋体" w:eastAsia="宋体" w:cs="Times New Roman"/>
                <w:color w:val="auto"/>
              </w:rPr>
              <w:t>二开</w:t>
            </w:r>
          </w:p>
        </w:tc>
        <w:tc>
          <w:tcPr>
            <w:tcW w:w="1095" w:type="dxa"/>
            <w:vAlign w:val="center"/>
          </w:tcPr>
          <w:p w14:paraId="2E208F46">
            <w:pPr>
              <w:spacing w:line="300" w:lineRule="exact"/>
              <w:jc w:val="center"/>
              <w:rPr>
                <w:rFonts w:ascii="宋体" w:hAnsi="宋体" w:eastAsia="宋体" w:cs="Times New Roman"/>
                <w:color w:val="auto"/>
              </w:rPr>
            </w:pPr>
            <w:r>
              <w:rPr>
                <w:rFonts w:ascii="宋体" w:hAnsi="宋体" w:eastAsia="宋体" w:cs="Times New Roman"/>
                <w:color w:val="auto"/>
              </w:rPr>
              <w:t>设计井深</w:t>
            </w:r>
          </w:p>
        </w:tc>
        <w:tc>
          <w:tcPr>
            <w:tcW w:w="1095" w:type="dxa"/>
            <w:vAlign w:val="center"/>
          </w:tcPr>
          <w:p w14:paraId="32253E0E">
            <w:pPr>
              <w:spacing w:line="300" w:lineRule="exact"/>
              <w:jc w:val="center"/>
              <w:rPr>
                <w:rFonts w:ascii="宋体" w:hAnsi="宋体" w:eastAsia="宋体" w:cs="Times New Roman"/>
                <w:color w:val="auto"/>
              </w:rPr>
            </w:pPr>
            <w:r>
              <w:rPr>
                <w:rFonts w:ascii="宋体" w:hAnsi="宋体" w:eastAsia="宋体" w:cs="Times New Roman"/>
                <w:color w:val="auto"/>
              </w:rPr>
              <w:t>215.9</w:t>
            </w:r>
          </w:p>
        </w:tc>
        <w:tc>
          <w:tcPr>
            <w:tcW w:w="1440" w:type="dxa"/>
            <w:vAlign w:val="center"/>
          </w:tcPr>
          <w:p w14:paraId="59CA7FD1">
            <w:pPr>
              <w:spacing w:line="300" w:lineRule="exact"/>
              <w:jc w:val="center"/>
              <w:rPr>
                <w:rFonts w:ascii="宋体" w:hAnsi="宋体" w:eastAsia="宋体" w:cs="Times New Roman"/>
                <w:color w:val="auto"/>
              </w:rPr>
            </w:pPr>
            <w:r>
              <w:rPr>
                <w:rFonts w:ascii="宋体" w:hAnsi="宋体" w:eastAsia="宋体" w:cs="Times New Roman"/>
                <w:color w:val="auto"/>
              </w:rPr>
              <w:t>生产套管</w:t>
            </w:r>
          </w:p>
        </w:tc>
        <w:tc>
          <w:tcPr>
            <w:tcW w:w="1305" w:type="dxa"/>
            <w:vAlign w:val="center"/>
          </w:tcPr>
          <w:p w14:paraId="489661DF">
            <w:pPr>
              <w:spacing w:line="300" w:lineRule="exact"/>
              <w:jc w:val="center"/>
              <w:rPr>
                <w:rFonts w:ascii="宋体" w:hAnsi="宋体" w:eastAsia="宋体" w:cs="Times New Roman"/>
                <w:color w:val="auto"/>
              </w:rPr>
            </w:pPr>
            <w:r>
              <w:rPr>
                <w:rFonts w:ascii="宋体" w:hAnsi="宋体" w:eastAsia="宋体" w:cs="Times New Roman"/>
                <w:color w:val="auto"/>
              </w:rPr>
              <w:t>139.7</w:t>
            </w:r>
          </w:p>
        </w:tc>
        <w:tc>
          <w:tcPr>
            <w:tcW w:w="1452" w:type="dxa"/>
            <w:vAlign w:val="center"/>
          </w:tcPr>
          <w:p w14:paraId="4C3585E5">
            <w:pPr>
              <w:spacing w:line="300" w:lineRule="exact"/>
              <w:jc w:val="center"/>
              <w:rPr>
                <w:rFonts w:ascii="宋体" w:hAnsi="宋体" w:eastAsia="宋体" w:cs="Times New Roman"/>
                <w:color w:val="auto"/>
              </w:rPr>
            </w:pPr>
            <w:r>
              <w:rPr>
                <w:rFonts w:ascii="宋体" w:hAnsi="宋体" w:eastAsia="宋体" w:cs="Times New Roman"/>
                <w:color w:val="auto"/>
              </w:rPr>
              <w:t>设计井深-3</w:t>
            </w:r>
          </w:p>
        </w:tc>
        <w:tc>
          <w:tcPr>
            <w:tcW w:w="1364" w:type="dxa"/>
            <w:vAlign w:val="center"/>
          </w:tcPr>
          <w:p w14:paraId="3C5E92E2">
            <w:pPr>
              <w:spacing w:line="320" w:lineRule="exact"/>
              <w:jc w:val="center"/>
              <w:rPr>
                <w:rFonts w:ascii="宋体" w:hAnsi="宋体" w:eastAsia="宋体" w:cs="Times New Roman"/>
                <w:color w:val="auto"/>
              </w:rPr>
            </w:pPr>
            <w:r>
              <w:rPr>
                <w:rFonts w:ascii="宋体" w:hAnsi="宋体" w:eastAsia="宋体" w:cs="Times New Roman"/>
                <w:color w:val="auto"/>
              </w:rPr>
              <w:t>地面</w:t>
            </w:r>
          </w:p>
        </w:tc>
      </w:tr>
    </w:tbl>
    <w:p w14:paraId="1171FFCF">
      <w:pPr>
        <w:pStyle w:val="22"/>
        <w:spacing w:before="156"/>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水平井井身结构设计数据表</w:t>
      </w:r>
    </w:p>
    <w:tbl>
      <w:tblPr>
        <w:tblStyle w:val="81"/>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560"/>
        <w:gridCol w:w="1245"/>
        <w:gridCol w:w="1247"/>
        <w:gridCol w:w="1247"/>
        <w:gridCol w:w="1323"/>
        <w:gridCol w:w="1364"/>
      </w:tblGrid>
      <w:tr w14:paraId="7873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895" w:type="dxa"/>
            <w:vAlign w:val="center"/>
          </w:tcPr>
          <w:p w14:paraId="5D6F7599">
            <w:pPr>
              <w:spacing w:line="320" w:lineRule="exact"/>
              <w:jc w:val="center"/>
              <w:rPr>
                <w:rFonts w:ascii="宋体" w:hAnsi="宋体" w:eastAsia="宋体" w:cs="Times New Roman"/>
                <w:color w:val="auto"/>
              </w:rPr>
            </w:pPr>
            <w:r>
              <w:rPr>
                <w:rFonts w:ascii="宋体" w:hAnsi="宋体" w:eastAsia="宋体" w:cs="Times New Roman"/>
                <w:color w:val="auto"/>
              </w:rPr>
              <w:t>开钻次序</w:t>
            </w:r>
          </w:p>
        </w:tc>
        <w:tc>
          <w:tcPr>
            <w:tcW w:w="1560" w:type="dxa"/>
            <w:vAlign w:val="center"/>
          </w:tcPr>
          <w:p w14:paraId="17FF60C7">
            <w:pPr>
              <w:spacing w:line="320" w:lineRule="exact"/>
              <w:jc w:val="center"/>
              <w:rPr>
                <w:rFonts w:ascii="宋体" w:hAnsi="宋体" w:eastAsia="宋体" w:cs="Times New Roman"/>
                <w:color w:val="auto"/>
              </w:rPr>
            </w:pPr>
            <w:r>
              <w:rPr>
                <w:rFonts w:ascii="宋体" w:hAnsi="宋体" w:eastAsia="宋体" w:cs="Times New Roman"/>
                <w:color w:val="auto"/>
              </w:rPr>
              <w:t>井深</w:t>
            </w:r>
          </w:p>
          <w:p w14:paraId="3B305EE0">
            <w:pPr>
              <w:spacing w:line="320" w:lineRule="exact"/>
              <w:jc w:val="center"/>
              <w:rPr>
                <w:rFonts w:ascii="宋体" w:hAnsi="宋体" w:eastAsia="宋体" w:cs="Times New Roman"/>
                <w:color w:val="auto"/>
              </w:rPr>
            </w:pPr>
            <w:r>
              <w:rPr>
                <w:rFonts w:ascii="宋体" w:hAnsi="宋体" w:eastAsia="宋体" w:cs="Times New Roman"/>
                <w:color w:val="auto"/>
              </w:rPr>
              <w:t>m</w:t>
            </w:r>
          </w:p>
        </w:tc>
        <w:tc>
          <w:tcPr>
            <w:tcW w:w="1245" w:type="dxa"/>
            <w:vAlign w:val="center"/>
          </w:tcPr>
          <w:p w14:paraId="49B49423">
            <w:pPr>
              <w:spacing w:line="320" w:lineRule="exact"/>
              <w:jc w:val="center"/>
              <w:rPr>
                <w:rFonts w:ascii="宋体" w:hAnsi="宋体" w:eastAsia="宋体" w:cs="Times New Roman"/>
                <w:color w:val="auto"/>
              </w:rPr>
            </w:pPr>
            <w:r>
              <w:rPr>
                <w:rFonts w:ascii="宋体" w:hAnsi="宋体" w:eastAsia="宋体" w:cs="Times New Roman"/>
                <w:color w:val="auto"/>
              </w:rPr>
              <w:t>钻头尺寸</w:t>
            </w:r>
          </w:p>
          <w:p w14:paraId="2FA3D79C">
            <w:pPr>
              <w:spacing w:line="320" w:lineRule="exact"/>
              <w:jc w:val="center"/>
              <w:rPr>
                <w:rFonts w:ascii="宋体" w:hAnsi="宋体" w:eastAsia="宋体" w:cs="Times New Roman"/>
                <w:color w:val="auto"/>
              </w:rPr>
            </w:pPr>
            <w:r>
              <w:rPr>
                <w:rFonts w:ascii="宋体" w:hAnsi="宋体" w:eastAsia="宋体" w:cs="Times New Roman"/>
                <w:color w:val="auto"/>
              </w:rPr>
              <w:t>mm</w:t>
            </w:r>
          </w:p>
        </w:tc>
        <w:tc>
          <w:tcPr>
            <w:tcW w:w="1247" w:type="dxa"/>
            <w:vAlign w:val="center"/>
          </w:tcPr>
          <w:p w14:paraId="3B934DCB">
            <w:pPr>
              <w:spacing w:line="320" w:lineRule="exact"/>
              <w:jc w:val="center"/>
              <w:rPr>
                <w:rFonts w:ascii="宋体" w:hAnsi="宋体" w:eastAsia="宋体" w:cs="Times New Roman"/>
                <w:color w:val="auto"/>
              </w:rPr>
            </w:pPr>
            <w:r>
              <w:rPr>
                <w:rFonts w:ascii="宋体" w:hAnsi="宋体" w:eastAsia="宋体" w:cs="Times New Roman"/>
                <w:color w:val="auto"/>
              </w:rPr>
              <w:t xml:space="preserve"> 套管柱类型</w:t>
            </w:r>
          </w:p>
        </w:tc>
        <w:tc>
          <w:tcPr>
            <w:tcW w:w="1247" w:type="dxa"/>
            <w:vAlign w:val="center"/>
          </w:tcPr>
          <w:p w14:paraId="1D1C4196">
            <w:pPr>
              <w:spacing w:line="320" w:lineRule="exact"/>
              <w:jc w:val="center"/>
              <w:rPr>
                <w:rFonts w:ascii="宋体" w:hAnsi="宋体" w:eastAsia="宋体" w:cs="Times New Roman"/>
                <w:color w:val="auto"/>
              </w:rPr>
            </w:pPr>
            <w:r>
              <w:rPr>
                <w:rFonts w:ascii="宋体" w:hAnsi="宋体" w:eastAsia="宋体" w:cs="Times New Roman"/>
                <w:color w:val="auto"/>
              </w:rPr>
              <w:t>套管尺寸</w:t>
            </w:r>
          </w:p>
          <w:p w14:paraId="600CCCFD">
            <w:pPr>
              <w:spacing w:line="320" w:lineRule="exact"/>
              <w:jc w:val="center"/>
              <w:rPr>
                <w:rFonts w:ascii="宋体" w:hAnsi="宋体" w:eastAsia="宋体" w:cs="Times New Roman"/>
                <w:color w:val="auto"/>
              </w:rPr>
            </w:pPr>
            <w:r>
              <w:rPr>
                <w:rFonts w:ascii="宋体" w:hAnsi="宋体" w:eastAsia="宋体" w:cs="Times New Roman"/>
                <w:color w:val="auto"/>
              </w:rPr>
              <w:t>mm</w:t>
            </w:r>
          </w:p>
        </w:tc>
        <w:tc>
          <w:tcPr>
            <w:tcW w:w="1323" w:type="dxa"/>
          </w:tcPr>
          <w:p w14:paraId="6620FA46">
            <w:pPr>
              <w:spacing w:line="320" w:lineRule="exact"/>
              <w:jc w:val="center"/>
              <w:rPr>
                <w:rFonts w:ascii="宋体" w:hAnsi="宋体" w:eastAsia="宋体" w:cs="Times New Roman"/>
                <w:color w:val="auto"/>
              </w:rPr>
            </w:pPr>
            <w:r>
              <w:rPr>
                <w:rFonts w:ascii="宋体" w:hAnsi="宋体" w:eastAsia="宋体" w:cs="Times New Roman"/>
                <w:color w:val="auto"/>
              </w:rPr>
              <w:t>套管下入深度m</w:t>
            </w:r>
          </w:p>
        </w:tc>
        <w:tc>
          <w:tcPr>
            <w:tcW w:w="1364" w:type="dxa"/>
            <w:vAlign w:val="center"/>
          </w:tcPr>
          <w:p w14:paraId="1A2E2CA5">
            <w:pPr>
              <w:spacing w:line="320" w:lineRule="exact"/>
              <w:jc w:val="center"/>
              <w:rPr>
                <w:rFonts w:ascii="宋体" w:hAnsi="宋体" w:eastAsia="宋体" w:cs="Times New Roman"/>
                <w:color w:val="auto"/>
              </w:rPr>
            </w:pPr>
            <w:r>
              <w:rPr>
                <w:rFonts w:ascii="宋体" w:hAnsi="宋体" w:eastAsia="宋体" w:cs="Times New Roman"/>
                <w:color w:val="auto"/>
              </w:rPr>
              <w:t>环空水泥浆返深m</w:t>
            </w:r>
          </w:p>
        </w:tc>
      </w:tr>
      <w:tr w14:paraId="6822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95" w:type="dxa"/>
            <w:vAlign w:val="center"/>
          </w:tcPr>
          <w:p w14:paraId="7E668220">
            <w:pPr>
              <w:spacing w:line="320" w:lineRule="exact"/>
              <w:jc w:val="center"/>
              <w:rPr>
                <w:rFonts w:ascii="宋体" w:hAnsi="宋体" w:eastAsia="宋体" w:cs="Times New Roman"/>
                <w:color w:val="auto"/>
              </w:rPr>
            </w:pPr>
            <w:r>
              <w:rPr>
                <w:rFonts w:ascii="宋体" w:hAnsi="宋体" w:eastAsia="宋体" w:cs="Times New Roman"/>
                <w:color w:val="auto"/>
                <w:szCs w:val="18"/>
              </w:rPr>
              <w:t>一开</w:t>
            </w:r>
          </w:p>
        </w:tc>
        <w:tc>
          <w:tcPr>
            <w:tcW w:w="1560" w:type="dxa"/>
            <w:vAlign w:val="center"/>
          </w:tcPr>
          <w:p w14:paraId="3D9B0B39">
            <w:pPr>
              <w:spacing w:line="320" w:lineRule="exact"/>
              <w:jc w:val="center"/>
              <w:rPr>
                <w:rFonts w:ascii="宋体" w:hAnsi="宋体" w:eastAsia="宋体" w:cs="Times New Roman"/>
                <w:color w:val="auto"/>
              </w:rPr>
            </w:pPr>
            <w:r>
              <w:rPr>
                <w:rFonts w:ascii="宋体" w:hAnsi="宋体" w:eastAsia="宋体" w:cs="Times New Roman"/>
                <w:color w:val="auto"/>
              </w:rPr>
              <w:t>131-151</w:t>
            </w:r>
          </w:p>
        </w:tc>
        <w:tc>
          <w:tcPr>
            <w:tcW w:w="1245" w:type="dxa"/>
            <w:vAlign w:val="center"/>
          </w:tcPr>
          <w:p w14:paraId="000A5E75">
            <w:pPr>
              <w:spacing w:line="320" w:lineRule="exact"/>
              <w:jc w:val="center"/>
              <w:rPr>
                <w:rFonts w:ascii="宋体" w:hAnsi="宋体" w:eastAsia="宋体" w:cs="Times New Roman"/>
                <w:color w:val="auto"/>
              </w:rPr>
            </w:pPr>
            <w:r>
              <w:rPr>
                <w:rFonts w:ascii="宋体" w:hAnsi="宋体" w:eastAsia="宋体" w:cs="Times New Roman"/>
                <w:color w:val="auto"/>
              </w:rPr>
              <w:t>311.2</w:t>
            </w:r>
          </w:p>
        </w:tc>
        <w:tc>
          <w:tcPr>
            <w:tcW w:w="1247" w:type="dxa"/>
            <w:vAlign w:val="center"/>
          </w:tcPr>
          <w:p w14:paraId="28D64C54">
            <w:pPr>
              <w:spacing w:line="320" w:lineRule="exact"/>
              <w:jc w:val="center"/>
              <w:rPr>
                <w:rFonts w:ascii="宋体" w:hAnsi="宋体" w:eastAsia="宋体" w:cs="Times New Roman"/>
                <w:color w:val="auto"/>
              </w:rPr>
            </w:pPr>
            <w:r>
              <w:rPr>
                <w:rFonts w:ascii="宋体" w:hAnsi="宋体" w:eastAsia="宋体" w:cs="Times New Roman"/>
                <w:color w:val="auto"/>
              </w:rPr>
              <w:t>表层套管</w:t>
            </w:r>
          </w:p>
        </w:tc>
        <w:tc>
          <w:tcPr>
            <w:tcW w:w="1247" w:type="dxa"/>
            <w:vAlign w:val="center"/>
          </w:tcPr>
          <w:p w14:paraId="403AF13B">
            <w:pPr>
              <w:spacing w:line="320" w:lineRule="exact"/>
              <w:jc w:val="center"/>
              <w:rPr>
                <w:rFonts w:ascii="宋体" w:hAnsi="宋体" w:eastAsia="宋体" w:cs="Times New Roman"/>
                <w:color w:val="auto"/>
              </w:rPr>
            </w:pPr>
            <w:r>
              <w:rPr>
                <w:rFonts w:ascii="宋体" w:hAnsi="宋体" w:eastAsia="宋体" w:cs="Times New Roman"/>
                <w:color w:val="auto"/>
              </w:rPr>
              <w:t>244.5</w:t>
            </w:r>
          </w:p>
        </w:tc>
        <w:tc>
          <w:tcPr>
            <w:tcW w:w="1323" w:type="dxa"/>
            <w:vAlign w:val="center"/>
          </w:tcPr>
          <w:p w14:paraId="30454D2F">
            <w:pPr>
              <w:spacing w:line="320" w:lineRule="exact"/>
              <w:jc w:val="center"/>
              <w:rPr>
                <w:rFonts w:ascii="宋体" w:hAnsi="宋体" w:eastAsia="宋体" w:cs="Times New Roman"/>
                <w:color w:val="auto"/>
              </w:rPr>
            </w:pPr>
            <w:r>
              <w:rPr>
                <w:rFonts w:ascii="宋体" w:hAnsi="宋体" w:eastAsia="宋体" w:cs="Times New Roman"/>
                <w:color w:val="auto"/>
              </w:rPr>
              <w:t>130-150</w:t>
            </w:r>
          </w:p>
        </w:tc>
        <w:tc>
          <w:tcPr>
            <w:tcW w:w="1364" w:type="dxa"/>
            <w:vAlign w:val="center"/>
          </w:tcPr>
          <w:p w14:paraId="6DAEDB5D">
            <w:pPr>
              <w:spacing w:line="320" w:lineRule="exact"/>
              <w:jc w:val="center"/>
              <w:rPr>
                <w:rFonts w:ascii="宋体" w:hAnsi="宋体" w:eastAsia="宋体" w:cs="Times New Roman"/>
                <w:color w:val="auto"/>
              </w:rPr>
            </w:pPr>
            <w:r>
              <w:rPr>
                <w:rFonts w:ascii="宋体" w:hAnsi="宋体" w:eastAsia="宋体" w:cs="Times New Roman"/>
                <w:color w:val="auto"/>
              </w:rPr>
              <w:t>地面</w:t>
            </w:r>
          </w:p>
        </w:tc>
      </w:tr>
      <w:tr w14:paraId="4DE6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95" w:type="dxa"/>
            <w:vAlign w:val="center"/>
          </w:tcPr>
          <w:p w14:paraId="0C327B52">
            <w:pPr>
              <w:spacing w:line="320" w:lineRule="exact"/>
              <w:jc w:val="center"/>
              <w:rPr>
                <w:rFonts w:ascii="宋体" w:hAnsi="宋体" w:eastAsia="宋体" w:cs="Times New Roman"/>
                <w:color w:val="auto"/>
              </w:rPr>
            </w:pPr>
            <w:r>
              <w:rPr>
                <w:rFonts w:ascii="宋体" w:hAnsi="宋体" w:eastAsia="宋体" w:cs="Times New Roman"/>
                <w:color w:val="auto"/>
                <w:szCs w:val="18"/>
              </w:rPr>
              <w:t>二开</w:t>
            </w:r>
          </w:p>
        </w:tc>
        <w:tc>
          <w:tcPr>
            <w:tcW w:w="1560" w:type="dxa"/>
            <w:vAlign w:val="center"/>
          </w:tcPr>
          <w:p w14:paraId="07B1BA48">
            <w:pPr>
              <w:spacing w:line="320" w:lineRule="exact"/>
              <w:jc w:val="center"/>
              <w:rPr>
                <w:rFonts w:ascii="宋体" w:hAnsi="宋体" w:eastAsia="宋体" w:cs="Times New Roman"/>
                <w:color w:val="auto"/>
              </w:rPr>
            </w:pPr>
            <w:r>
              <w:rPr>
                <w:rFonts w:ascii="宋体" w:hAnsi="宋体" w:eastAsia="宋体" w:cs="Times New Roman"/>
                <w:color w:val="auto"/>
              </w:rPr>
              <w:t>设计井深</w:t>
            </w:r>
          </w:p>
        </w:tc>
        <w:tc>
          <w:tcPr>
            <w:tcW w:w="1245" w:type="dxa"/>
            <w:vAlign w:val="center"/>
          </w:tcPr>
          <w:p w14:paraId="48440631">
            <w:pPr>
              <w:spacing w:line="320" w:lineRule="exact"/>
              <w:jc w:val="center"/>
              <w:rPr>
                <w:rFonts w:ascii="宋体" w:hAnsi="宋体" w:eastAsia="宋体" w:cs="Times New Roman"/>
                <w:color w:val="auto"/>
              </w:rPr>
            </w:pPr>
            <w:r>
              <w:rPr>
                <w:rFonts w:ascii="宋体" w:hAnsi="宋体" w:eastAsia="宋体" w:cs="Times New Roman"/>
                <w:color w:val="auto"/>
              </w:rPr>
              <w:t>215.9</w:t>
            </w:r>
          </w:p>
        </w:tc>
        <w:tc>
          <w:tcPr>
            <w:tcW w:w="1247" w:type="dxa"/>
            <w:vAlign w:val="center"/>
          </w:tcPr>
          <w:p w14:paraId="74AE5BD1">
            <w:pPr>
              <w:spacing w:line="320" w:lineRule="exact"/>
              <w:jc w:val="center"/>
              <w:rPr>
                <w:rFonts w:ascii="宋体" w:hAnsi="宋体" w:eastAsia="宋体" w:cs="Times New Roman"/>
                <w:color w:val="auto"/>
              </w:rPr>
            </w:pPr>
            <w:r>
              <w:rPr>
                <w:rFonts w:ascii="宋体" w:hAnsi="宋体" w:eastAsia="宋体" w:cs="Times New Roman"/>
                <w:color w:val="auto"/>
              </w:rPr>
              <w:t>生产套管</w:t>
            </w:r>
          </w:p>
        </w:tc>
        <w:tc>
          <w:tcPr>
            <w:tcW w:w="1247" w:type="dxa"/>
            <w:vAlign w:val="center"/>
          </w:tcPr>
          <w:p w14:paraId="60054ED8">
            <w:pPr>
              <w:spacing w:line="320" w:lineRule="exact"/>
              <w:jc w:val="center"/>
              <w:rPr>
                <w:rFonts w:ascii="宋体" w:hAnsi="宋体" w:eastAsia="宋体" w:cs="Times New Roman"/>
                <w:color w:val="auto"/>
              </w:rPr>
            </w:pPr>
            <w:r>
              <w:rPr>
                <w:rFonts w:ascii="宋体" w:hAnsi="宋体" w:eastAsia="宋体" w:cs="Times New Roman"/>
                <w:color w:val="auto"/>
              </w:rPr>
              <w:t>139.7</w:t>
            </w:r>
          </w:p>
        </w:tc>
        <w:tc>
          <w:tcPr>
            <w:tcW w:w="1323" w:type="dxa"/>
            <w:vAlign w:val="center"/>
          </w:tcPr>
          <w:p w14:paraId="46AEA04A">
            <w:pPr>
              <w:spacing w:line="320" w:lineRule="exact"/>
              <w:jc w:val="center"/>
              <w:rPr>
                <w:rFonts w:ascii="宋体" w:hAnsi="宋体" w:eastAsia="宋体" w:cs="Times New Roman"/>
                <w:color w:val="auto"/>
              </w:rPr>
            </w:pPr>
            <w:r>
              <w:rPr>
                <w:rFonts w:ascii="宋体" w:hAnsi="宋体" w:eastAsia="宋体" w:cs="Times New Roman"/>
                <w:color w:val="auto"/>
              </w:rPr>
              <w:t>设计井深-3</w:t>
            </w:r>
          </w:p>
        </w:tc>
        <w:tc>
          <w:tcPr>
            <w:tcW w:w="1364" w:type="dxa"/>
            <w:vAlign w:val="center"/>
          </w:tcPr>
          <w:p w14:paraId="34481F55">
            <w:pPr>
              <w:spacing w:line="320" w:lineRule="exact"/>
              <w:jc w:val="center"/>
              <w:rPr>
                <w:rFonts w:ascii="宋体" w:hAnsi="宋体" w:eastAsia="宋体" w:cs="Times New Roman"/>
                <w:color w:val="auto"/>
              </w:rPr>
            </w:pPr>
            <w:r>
              <w:rPr>
                <w:rFonts w:ascii="宋体" w:hAnsi="宋体" w:eastAsia="宋体" w:cs="Times New Roman"/>
                <w:color w:val="auto"/>
              </w:rPr>
              <w:t>地面</w:t>
            </w:r>
          </w:p>
        </w:tc>
      </w:tr>
    </w:tbl>
    <w:p w14:paraId="2D6BEBCF">
      <w:pPr>
        <w:tabs>
          <w:tab w:val="left" w:pos="-315"/>
        </w:tabs>
        <w:jc w:val="center"/>
        <w:rPr>
          <w:rFonts w:ascii="宋体" w:hAnsi="宋体" w:eastAsia="宋体" w:cs="Times New Roman"/>
          <w:color w:val="auto"/>
          <w:kern w:val="21"/>
        </w:rPr>
      </w:pPr>
      <w:r>
        <w:rPr>
          <w:rFonts w:ascii="宋体" w:hAnsi="宋体" w:eastAsia="宋体" w:cs="Times New Roman"/>
          <w:color w:val="auto"/>
        </w:rPr>
        <w:drawing>
          <wp:inline distT="0" distB="0" distL="114300" distR="114300">
            <wp:extent cx="4250055" cy="6370955"/>
            <wp:effectExtent l="0" t="0" r="17145"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8"/>
                    <a:stretch>
                      <a:fillRect/>
                    </a:stretch>
                  </pic:blipFill>
                  <pic:spPr>
                    <a:xfrm>
                      <a:off x="0" y="0"/>
                      <a:ext cx="4250055" cy="6370955"/>
                    </a:xfrm>
                    <a:prstGeom prst="rect">
                      <a:avLst/>
                    </a:prstGeom>
                    <a:noFill/>
                    <a:ln>
                      <a:noFill/>
                    </a:ln>
                  </pic:spPr>
                </pic:pic>
              </a:graphicData>
            </a:graphic>
          </wp:inline>
        </w:drawing>
      </w:r>
    </w:p>
    <w:p w14:paraId="20422EC1">
      <w:pPr>
        <w:pStyle w:val="22"/>
        <w:spacing w:before="156"/>
        <w:rPr>
          <w:rFonts w:hAnsi="宋体" w:cs="Times New Roman"/>
          <w:color w:val="auto"/>
          <w:kern w:val="21"/>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rFonts w:hAnsi="宋体" w:cs="Times New Roman"/>
          <w:color w:val="auto"/>
          <w:kern w:val="21"/>
        </w:rPr>
        <w:t xml:space="preserve">  </w:t>
      </w:r>
      <w:r>
        <w:rPr>
          <w:color w:val="auto"/>
        </w:rPr>
        <w:t>定向井井身结构示意图</w:t>
      </w:r>
    </w:p>
    <w:p w14:paraId="260871B0">
      <w:pPr>
        <w:tabs>
          <w:tab w:val="left" w:pos="-315"/>
        </w:tabs>
        <w:jc w:val="center"/>
        <w:rPr>
          <w:rFonts w:ascii="宋体" w:hAnsi="宋体" w:eastAsia="宋体" w:cs="Times New Roman"/>
          <w:color w:val="auto"/>
          <w:kern w:val="21"/>
        </w:rPr>
      </w:pPr>
      <w:r>
        <w:rPr>
          <w:rFonts w:ascii="宋体" w:hAnsi="宋体" w:eastAsia="宋体" w:cs="Times New Roman"/>
          <w:color w:val="auto"/>
        </w:rPr>
        <w:drawing>
          <wp:inline distT="0" distB="0" distL="114300" distR="114300">
            <wp:extent cx="4017010" cy="4662170"/>
            <wp:effectExtent l="19050" t="19050" r="21590" b="24130"/>
            <wp:docPr id="505235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13" name="图片 8"/>
                    <pic:cNvPicPr>
                      <a:picLocks noChangeAspect="1"/>
                    </pic:cNvPicPr>
                  </pic:nvPicPr>
                  <pic:blipFill>
                    <a:blip r:embed="rId29"/>
                    <a:stretch>
                      <a:fillRect/>
                    </a:stretch>
                  </pic:blipFill>
                  <pic:spPr>
                    <a:xfrm>
                      <a:off x="0" y="0"/>
                      <a:ext cx="4017010" cy="4662170"/>
                    </a:xfrm>
                    <a:prstGeom prst="rect">
                      <a:avLst/>
                    </a:prstGeom>
                    <a:ln w="19050">
                      <a:solidFill>
                        <a:srgbClr val="000000"/>
                      </a:solidFill>
                    </a:ln>
                  </pic:spPr>
                </pic:pic>
              </a:graphicData>
            </a:graphic>
          </wp:inline>
        </w:drawing>
      </w:r>
    </w:p>
    <w:p w14:paraId="2CFE4308">
      <w:pPr>
        <w:pStyle w:val="22"/>
        <w:spacing w:before="156"/>
        <w:rPr>
          <w:rFonts w:hAnsi="宋体" w:cs="Times New Roman"/>
          <w:color w:val="auto"/>
          <w:kern w:val="21"/>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2</w:t>
      </w:r>
      <w:r>
        <w:rPr>
          <w:color w:val="auto"/>
        </w:rPr>
        <w:fldChar w:fldCharType="end"/>
      </w:r>
      <w:r>
        <w:rPr>
          <w:color w:val="auto"/>
        </w:rPr>
        <w:t>水平井井身结构示意图</w:t>
      </w:r>
    </w:p>
    <w:p w14:paraId="315E586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钻机选型及钻井主要设备</w:t>
      </w:r>
    </w:p>
    <w:p w14:paraId="0B735B97">
      <w:pPr>
        <w:pStyle w:val="276"/>
        <w:widowControl w:val="0"/>
        <w:spacing w:line="440" w:lineRule="exact"/>
        <w:ind w:firstLine="480"/>
        <w:jc w:val="both"/>
        <w:rPr>
          <w:color w:val="auto"/>
          <w:kern w:val="21"/>
        </w:rPr>
      </w:pPr>
      <w:r>
        <w:rPr>
          <w:color w:val="auto"/>
          <w:kern w:val="21"/>
        </w:rPr>
        <w:t>本项目定向井选用ZJ-30D/1700型钻机，水平井选用 ZJ-40D/2250型钻机。钻机及钻井主要设备性能参数见表3.6-4和表3.6-5。</w:t>
      </w:r>
    </w:p>
    <w:p w14:paraId="638D6B59">
      <w:pPr>
        <w:pStyle w:val="22"/>
        <w:spacing w:before="156"/>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r>
        <w:rPr>
          <w:color w:val="auto"/>
        </w:rPr>
        <w:t xml:space="preserve">  ZJ-30D/1700钻机及钻井主要设备性能</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917"/>
        <w:gridCol w:w="2372"/>
        <w:gridCol w:w="2806"/>
        <w:gridCol w:w="2170"/>
      </w:tblGrid>
      <w:tr w14:paraId="37B7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Align w:val="center"/>
          </w:tcPr>
          <w:p w14:paraId="435C17B7">
            <w:pPr>
              <w:spacing w:line="360" w:lineRule="exact"/>
              <w:jc w:val="center"/>
              <w:rPr>
                <w:rFonts w:ascii="宋体" w:hAnsi="宋体" w:eastAsia="宋体" w:cs="Times New Roman"/>
                <w:color w:val="auto"/>
              </w:rPr>
            </w:pPr>
            <w:r>
              <w:rPr>
                <w:rFonts w:ascii="宋体" w:hAnsi="宋体" w:eastAsia="宋体" w:cs="Times New Roman"/>
                <w:color w:val="auto"/>
              </w:rPr>
              <w:t>序 号</w:t>
            </w:r>
          </w:p>
        </w:tc>
        <w:tc>
          <w:tcPr>
            <w:tcW w:w="2918" w:type="dxa"/>
            <w:gridSpan w:val="2"/>
            <w:vAlign w:val="center"/>
          </w:tcPr>
          <w:p w14:paraId="3F068DEA">
            <w:pPr>
              <w:spacing w:line="360" w:lineRule="exact"/>
              <w:jc w:val="center"/>
              <w:rPr>
                <w:rFonts w:ascii="宋体" w:hAnsi="宋体" w:eastAsia="宋体" w:cs="Times New Roman"/>
                <w:color w:val="auto"/>
              </w:rPr>
            </w:pPr>
            <w:r>
              <w:rPr>
                <w:rFonts w:ascii="宋体" w:hAnsi="宋体" w:eastAsia="宋体" w:cs="Times New Roman"/>
                <w:color w:val="auto"/>
              </w:rPr>
              <w:t>名    称</w:t>
            </w:r>
          </w:p>
        </w:tc>
        <w:tc>
          <w:tcPr>
            <w:tcW w:w="2490" w:type="dxa"/>
            <w:vAlign w:val="center"/>
          </w:tcPr>
          <w:p w14:paraId="797F19F4">
            <w:pPr>
              <w:spacing w:line="360" w:lineRule="exact"/>
              <w:jc w:val="center"/>
              <w:rPr>
                <w:rFonts w:ascii="宋体" w:hAnsi="宋体" w:eastAsia="宋体" w:cs="Times New Roman"/>
                <w:color w:val="auto"/>
              </w:rPr>
            </w:pPr>
            <w:r>
              <w:rPr>
                <w:rFonts w:ascii="宋体" w:hAnsi="宋体" w:eastAsia="宋体" w:cs="Times New Roman"/>
                <w:color w:val="auto"/>
              </w:rPr>
              <w:t>型 号</w:t>
            </w:r>
          </w:p>
        </w:tc>
        <w:tc>
          <w:tcPr>
            <w:tcW w:w="1925" w:type="dxa"/>
            <w:vAlign w:val="center"/>
          </w:tcPr>
          <w:p w14:paraId="1C139E94">
            <w:pPr>
              <w:spacing w:line="360" w:lineRule="exact"/>
              <w:jc w:val="center"/>
              <w:rPr>
                <w:rFonts w:ascii="宋体" w:hAnsi="宋体" w:eastAsia="宋体" w:cs="Times New Roman"/>
                <w:color w:val="auto"/>
              </w:rPr>
            </w:pPr>
            <w:r>
              <w:rPr>
                <w:rFonts w:ascii="宋体" w:hAnsi="宋体" w:eastAsia="宋体" w:cs="Times New Roman"/>
                <w:color w:val="auto"/>
              </w:rPr>
              <w:t>主要技术参数</w:t>
            </w:r>
          </w:p>
        </w:tc>
      </w:tr>
      <w:tr w14:paraId="17A5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Align w:val="center"/>
          </w:tcPr>
          <w:p w14:paraId="0E31DBD1">
            <w:pPr>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2918" w:type="dxa"/>
            <w:gridSpan w:val="2"/>
            <w:vAlign w:val="center"/>
          </w:tcPr>
          <w:p w14:paraId="29CAA8EF">
            <w:pPr>
              <w:spacing w:line="360" w:lineRule="exact"/>
              <w:jc w:val="center"/>
              <w:rPr>
                <w:rFonts w:ascii="宋体" w:hAnsi="宋体" w:eastAsia="宋体" w:cs="Times New Roman"/>
                <w:color w:val="auto"/>
              </w:rPr>
            </w:pPr>
            <w:r>
              <w:rPr>
                <w:rFonts w:ascii="宋体" w:hAnsi="宋体" w:eastAsia="宋体" w:cs="Times New Roman"/>
                <w:color w:val="auto"/>
              </w:rPr>
              <w:t>钻    机</w:t>
            </w:r>
          </w:p>
        </w:tc>
        <w:tc>
          <w:tcPr>
            <w:tcW w:w="2490" w:type="dxa"/>
            <w:vAlign w:val="center"/>
          </w:tcPr>
          <w:p w14:paraId="5EBFA1A7">
            <w:pPr>
              <w:spacing w:line="360" w:lineRule="exact"/>
              <w:jc w:val="center"/>
              <w:rPr>
                <w:rFonts w:ascii="宋体" w:hAnsi="宋体" w:eastAsia="宋体" w:cs="Times New Roman"/>
                <w:color w:val="auto"/>
              </w:rPr>
            </w:pPr>
            <w:r>
              <w:rPr>
                <w:rFonts w:ascii="宋体" w:hAnsi="宋体" w:eastAsia="宋体" w:cs="Times New Roman"/>
                <w:color w:val="auto"/>
              </w:rPr>
              <w:t>ZJ-30D/1700</w:t>
            </w:r>
          </w:p>
        </w:tc>
        <w:tc>
          <w:tcPr>
            <w:tcW w:w="1925" w:type="dxa"/>
            <w:vAlign w:val="center"/>
          </w:tcPr>
          <w:p w14:paraId="78A972C9">
            <w:pPr>
              <w:spacing w:line="360" w:lineRule="exact"/>
              <w:jc w:val="center"/>
              <w:rPr>
                <w:rFonts w:ascii="宋体" w:hAnsi="宋体" w:eastAsia="宋体" w:cs="Times New Roman"/>
                <w:color w:val="auto"/>
              </w:rPr>
            </w:pPr>
          </w:p>
        </w:tc>
      </w:tr>
      <w:tr w14:paraId="5527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5" w:type="dxa"/>
            <w:vAlign w:val="center"/>
          </w:tcPr>
          <w:p w14:paraId="40F36B0B">
            <w:pPr>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2918" w:type="dxa"/>
            <w:gridSpan w:val="2"/>
            <w:vAlign w:val="center"/>
          </w:tcPr>
          <w:p w14:paraId="555E5877">
            <w:pPr>
              <w:spacing w:line="360" w:lineRule="exact"/>
              <w:jc w:val="center"/>
              <w:rPr>
                <w:rFonts w:ascii="宋体" w:hAnsi="宋体" w:eastAsia="宋体" w:cs="Times New Roman"/>
                <w:color w:val="auto"/>
              </w:rPr>
            </w:pPr>
            <w:r>
              <w:rPr>
                <w:rFonts w:ascii="宋体" w:hAnsi="宋体" w:eastAsia="宋体" w:cs="Times New Roman"/>
                <w:color w:val="auto"/>
              </w:rPr>
              <w:t>井   架</w:t>
            </w:r>
          </w:p>
        </w:tc>
        <w:tc>
          <w:tcPr>
            <w:tcW w:w="2490" w:type="dxa"/>
            <w:vAlign w:val="center"/>
          </w:tcPr>
          <w:p w14:paraId="1F74B469">
            <w:pPr>
              <w:spacing w:line="360" w:lineRule="exact"/>
              <w:jc w:val="center"/>
              <w:rPr>
                <w:rFonts w:ascii="宋体" w:hAnsi="宋体" w:eastAsia="宋体" w:cs="Times New Roman"/>
                <w:color w:val="auto"/>
              </w:rPr>
            </w:pPr>
            <w:r>
              <w:rPr>
                <w:rFonts w:ascii="宋体" w:hAnsi="宋体" w:eastAsia="宋体" w:cs="Times New Roman"/>
                <w:color w:val="auto"/>
              </w:rPr>
              <w:t>JJ170/40-A</w:t>
            </w:r>
          </w:p>
        </w:tc>
        <w:tc>
          <w:tcPr>
            <w:tcW w:w="1925" w:type="dxa"/>
            <w:vAlign w:val="center"/>
          </w:tcPr>
          <w:p w14:paraId="5B39D831">
            <w:pPr>
              <w:spacing w:line="360" w:lineRule="exact"/>
              <w:jc w:val="center"/>
              <w:rPr>
                <w:rFonts w:ascii="宋体" w:hAnsi="宋体" w:eastAsia="宋体" w:cs="Times New Roman"/>
                <w:color w:val="auto"/>
              </w:rPr>
            </w:pPr>
            <w:r>
              <w:rPr>
                <w:rFonts w:ascii="宋体" w:hAnsi="宋体" w:eastAsia="宋体" w:cs="Times New Roman"/>
                <w:color w:val="auto"/>
              </w:rPr>
              <w:t>170t</w:t>
            </w:r>
          </w:p>
        </w:tc>
      </w:tr>
      <w:tr w14:paraId="434D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restart"/>
            <w:vAlign w:val="center"/>
          </w:tcPr>
          <w:p w14:paraId="6CE0530B">
            <w:pPr>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814" w:type="dxa"/>
            <w:vMerge w:val="restart"/>
            <w:vAlign w:val="center"/>
          </w:tcPr>
          <w:p w14:paraId="74DEB212">
            <w:pPr>
              <w:spacing w:line="360" w:lineRule="exact"/>
              <w:jc w:val="center"/>
              <w:rPr>
                <w:rFonts w:ascii="宋体" w:hAnsi="宋体" w:eastAsia="宋体" w:cs="Times New Roman"/>
                <w:color w:val="auto"/>
              </w:rPr>
            </w:pPr>
            <w:r>
              <w:rPr>
                <w:rFonts w:ascii="宋体" w:hAnsi="宋体" w:eastAsia="宋体" w:cs="Times New Roman"/>
                <w:color w:val="auto"/>
              </w:rPr>
              <w:t>提升</w:t>
            </w:r>
          </w:p>
          <w:p w14:paraId="1E625E18">
            <w:pPr>
              <w:spacing w:line="360" w:lineRule="exact"/>
              <w:jc w:val="center"/>
              <w:rPr>
                <w:rFonts w:ascii="宋体" w:hAnsi="宋体" w:eastAsia="宋体" w:cs="Times New Roman"/>
                <w:color w:val="auto"/>
              </w:rPr>
            </w:pPr>
            <w:r>
              <w:rPr>
                <w:rFonts w:ascii="宋体" w:hAnsi="宋体" w:eastAsia="宋体" w:cs="Times New Roman"/>
                <w:color w:val="auto"/>
              </w:rPr>
              <w:t>系统</w:t>
            </w:r>
          </w:p>
        </w:tc>
        <w:tc>
          <w:tcPr>
            <w:tcW w:w="2104" w:type="dxa"/>
            <w:vAlign w:val="center"/>
          </w:tcPr>
          <w:p w14:paraId="3EC07471">
            <w:pPr>
              <w:spacing w:line="360" w:lineRule="exact"/>
              <w:jc w:val="center"/>
              <w:rPr>
                <w:rFonts w:ascii="宋体" w:hAnsi="宋体" w:eastAsia="宋体" w:cs="Times New Roman"/>
                <w:color w:val="auto"/>
              </w:rPr>
            </w:pPr>
            <w:r>
              <w:rPr>
                <w:rFonts w:ascii="宋体" w:hAnsi="宋体" w:eastAsia="宋体" w:cs="Times New Roman"/>
                <w:color w:val="auto"/>
              </w:rPr>
              <w:t>绞 车</w:t>
            </w:r>
          </w:p>
        </w:tc>
        <w:tc>
          <w:tcPr>
            <w:tcW w:w="2490" w:type="dxa"/>
            <w:vAlign w:val="center"/>
          </w:tcPr>
          <w:p w14:paraId="783FF5F4">
            <w:pPr>
              <w:spacing w:line="360" w:lineRule="exact"/>
              <w:jc w:val="center"/>
              <w:rPr>
                <w:rFonts w:ascii="宋体" w:hAnsi="宋体" w:eastAsia="宋体" w:cs="Times New Roman"/>
                <w:color w:val="auto"/>
              </w:rPr>
            </w:pPr>
            <w:r>
              <w:rPr>
                <w:rFonts w:ascii="宋体" w:hAnsi="宋体" w:eastAsia="宋体" w:cs="Times New Roman"/>
                <w:color w:val="auto"/>
              </w:rPr>
              <w:t>JC-30DZ</w:t>
            </w:r>
          </w:p>
        </w:tc>
        <w:tc>
          <w:tcPr>
            <w:tcW w:w="1925" w:type="dxa"/>
            <w:vAlign w:val="center"/>
          </w:tcPr>
          <w:p w14:paraId="48CB88DA">
            <w:pPr>
              <w:spacing w:line="360" w:lineRule="exact"/>
              <w:jc w:val="center"/>
              <w:rPr>
                <w:rFonts w:ascii="宋体" w:hAnsi="宋体" w:eastAsia="宋体" w:cs="Times New Roman"/>
                <w:color w:val="auto"/>
              </w:rPr>
            </w:pPr>
            <w:r>
              <w:rPr>
                <w:rFonts w:ascii="宋体" w:hAnsi="宋体" w:eastAsia="宋体" w:cs="Times New Roman"/>
                <w:color w:val="auto"/>
              </w:rPr>
              <w:t>440 kW</w:t>
            </w:r>
          </w:p>
        </w:tc>
      </w:tr>
      <w:tr w14:paraId="7460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1F7FC476">
            <w:pPr>
              <w:spacing w:line="360" w:lineRule="exact"/>
              <w:jc w:val="center"/>
              <w:rPr>
                <w:rFonts w:ascii="宋体" w:hAnsi="宋体" w:eastAsia="宋体" w:cs="Times New Roman"/>
                <w:color w:val="auto"/>
              </w:rPr>
            </w:pPr>
          </w:p>
        </w:tc>
        <w:tc>
          <w:tcPr>
            <w:tcW w:w="814" w:type="dxa"/>
            <w:vMerge w:val="continue"/>
            <w:vAlign w:val="center"/>
          </w:tcPr>
          <w:p w14:paraId="03A0A662">
            <w:pPr>
              <w:spacing w:line="360" w:lineRule="exact"/>
              <w:jc w:val="center"/>
              <w:rPr>
                <w:rFonts w:ascii="宋体" w:hAnsi="宋体" w:eastAsia="宋体" w:cs="Times New Roman"/>
                <w:color w:val="auto"/>
              </w:rPr>
            </w:pPr>
          </w:p>
        </w:tc>
        <w:tc>
          <w:tcPr>
            <w:tcW w:w="2104" w:type="dxa"/>
            <w:vAlign w:val="center"/>
          </w:tcPr>
          <w:p w14:paraId="451BA3F7">
            <w:pPr>
              <w:spacing w:line="360" w:lineRule="exact"/>
              <w:jc w:val="center"/>
              <w:rPr>
                <w:rFonts w:ascii="宋体" w:hAnsi="宋体" w:eastAsia="宋体" w:cs="Times New Roman"/>
                <w:color w:val="auto"/>
              </w:rPr>
            </w:pPr>
            <w:r>
              <w:rPr>
                <w:rFonts w:ascii="宋体" w:hAnsi="宋体" w:eastAsia="宋体" w:cs="Times New Roman"/>
                <w:color w:val="auto"/>
              </w:rPr>
              <w:t>天 车</w:t>
            </w:r>
          </w:p>
        </w:tc>
        <w:tc>
          <w:tcPr>
            <w:tcW w:w="2490" w:type="dxa"/>
            <w:vAlign w:val="center"/>
          </w:tcPr>
          <w:p w14:paraId="506E1492">
            <w:pPr>
              <w:spacing w:line="360" w:lineRule="exact"/>
              <w:jc w:val="center"/>
              <w:rPr>
                <w:rFonts w:ascii="宋体" w:hAnsi="宋体" w:eastAsia="宋体" w:cs="Times New Roman"/>
                <w:color w:val="auto"/>
              </w:rPr>
            </w:pPr>
            <w:r>
              <w:rPr>
                <w:rFonts w:ascii="宋体" w:hAnsi="宋体" w:eastAsia="宋体" w:cs="Times New Roman"/>
                <w:color w:val="auto"/>
              </w:rPr>
              <w:t>TC-170</w:t>
            </w:r>
          </w:p>
        </w:tc>
        <w:tc>
          <w:tcPr>
            <w:tcW w:w="1925" w:type="dxa"/>
            <w:vAlign w:val="center"/>
          </w:tcPr>
          <w:p w14:paraId="2A17F6B6">
            <w:pPr>
              <w:spacing w:line="360" w:lineRule="exact"/>
              <w:jc w:val="center"/>
              <w:rPr>
                <w:rFonts w:ascii="宋体" w:hAnsi="宋体" w:eastAsia="宋体" w:cs="Times New Roman"/>
                <w:color w:val="auto"/>
              </w:rPr>
            </w:pPr>
            <w:r>
              <w:rPr>
                <w:rFonts w:ascii="宋体" w:hAnsi="宋体" w:eastAsia="宋体" w:cs="Times New Roman"/>
                <w:color w:val="auto"/>
              </w:rPr>
              <w:t>170t</w:t>
            </w:r>
          </w:p>
        </w:tc>
      </w:tr>
      <w:tr w14:paraId="3962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34BBB274">
            <w:pPr>
              <w:spacing w:line="360" w:lineRule="exact"/>
              <w:jc w:val="center"/>
              <w:rPr>
                <w:rFonts w:ascii="宋体" w:hAnsi="宋体" w:eastAsia="宋体" w:cs="Times New Roman"/>
                <w:color w:val="auto"/>
              </w:rPr>
            </w:pPr>
          </w:p>
        </w:tc>
        <w:tc>
          <w:tcPr>
            <w:tcW w:w="814" w:type="dxa"/>
            <w:vMerge w:val="continue"/>
            <w:vAlign w:val="center"/>
          </w:tcPr>
          <w:p w14:paraId="1FB9D7E5">
            <w:pPr>
              <w:spacing w:line="360" w:lineRule="exact"/>
              <w:jc w:val="center"/>
              <w:rPr>
                <w:rFonts w:ascii="宋体" w:hAnsi="宋体" w:eastAsia="宋体" w:cs="Times New Roman"/>
                <w:color w:val="auto"/>
              </w:rPr>
            </w:pPr>
          </w:p>
        </w:tc>
        <w:tc>
          <w:tcPr>
            <w:tcW w:w="2104" w:type="dxa"/>
            <w:vAlign w:val="center"/>
          </w:tcPr>
          <w:p w14:paraId="379C382B">
            <w:pPr>
              <w:spacing w:line="360" w:lineRule="exact"/>
              <w:jc w:val="center"/>
              <w:rPr>
                <w:rFonts w:ascii="宋体" w:hAnsi="宋体" w:eastAsia="宋体" w:cs="Times New Roman"/>
                <w:color w:val="auto"/>
              </w:rPr>
            </w:pPr>
            <w:r>
              <w:rPr>
                <w:rFonts w:ascii="宋体" w:hAnsi="宋体" w:eastAsia="宋体" w:cs="Times New Roman"/>
                <w:color w:val="auto"/>
              </w:rPr>
              <w:t>游 钩</w:t>
            </w:r>
          </w:p>
        </w:tc>
        <w:tc>
          <w:tcPr>
            <w:tcW w:w="2490" w:type="dxa"/>
            <w:vAlign w:val="center"/>
          </w:tcPr>
          <w:p w14:paraId="7F23AA80">
            <w:pPr>
              <w:spacing w:line="360" w:lineRule="exact"/>
              <w:jc w:val="center"/>
              <w:rPr>
                <w:rFonts w:ascii="宋体" w:hAnsi="宋体" w:eastAsia="宋体" w:cs="Times New Roman"/>
                <w:color w:val="auto"/>
              </w:rPr>
            </w:pPr>
            <w:r>
              <w:rPr>
                <w:rFonts w:ascii="宋体" w:hAnsi="宋体" w:eastAsia="宋体" w:cs="Times New Roman"/>
                <w:color w:val="auto"/>
              </w:rPr>
              <w:t>YG-170</w:t>
            </w:r>
          </w:p>
        </w:tc>
        <w:tc>
          <w:tcPr>
            <w:tcW w:w="1925" w:type="dxa"/>
            <w:vAlign w:val="center"/>
          </w:tcPr>
          <w:p w14:paraId="1650EB63">
            <w:pPr>
              <w:spacing w:line="360" w:lineRule="exact"/>
              <w:jc w:val="center"/>
              <w:rPr>
                <w:rFonts w:ascii="宋体" w:hAnsi="宋体" w:eastAsia="宋体" w:cs="Times New Roman"/>
                <w:color w:val="auto"/>
              </w:rPr>
            </w:pPr>
            <w:r>
              <w:rPr>
                <w:rFonts w:ascii="宋体" w:hAnsi="宋体" w:eastAsia="宋体" w:cs="Times New Roman"/>
                <w:color w:val="auto"/>
              </w:rPr>
              <w:t>170t</w:t>
            </w:r>
          </w:p>
        </w:tc>
      </w:tr>
      <w:tr w14:paraId="0582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21DB0FF8">
            <w:pPr>
              <w:spacing w:line="360" w:lineRule="exact"/>
              <w:jc w:val="center"/>
              <w:rPr>
                <w:rFonts w:ascii="宋体" w:hAnsi="宋体" w:eastAsia="宋体" w:cs="Times New Roman"/>
                <w:color w:val="auto"/>
              </w:rPr>
            </w:pPr>
          </w:p>
        </w:tc>
        <w:tc>
          <w:tcPr>
            <w:tcW w:w="814" w:type="dxa"/>
            <w:vMerge w:val="continue"/>
            <w:vAlign w:val="center"/>
          </w:tcPr>
          <w:p w14:paraId="6C0050B8">
            <w:pPr>
              <w:spacing w:line="360" w:lineRule="exact"/>
              <w:jc w:val="center"/>
              <w:rPr>
                <w:rFonts w:ascii="宋体" w:hAnsi="宋体" w:eastAsia="宋体" w:cs="Times New Roman"/>
                <w:color w:val="auto"/>
              </w:rPr>
            </w:pPr>
          </w:p>
        </w:tc>
        <w:tc>
          <w:tcPr>
            <w:tcW w:w="2104" w:type="dxa"/>
            <w:vAlign w:val="center"/>
          </w:tcPr>
          <w:p w14:paraId="63258273">
            <w:pPr>
              <w:spacing w:line="360" w:lineRule="exact"/>
              <w:jc w:val="center"/>
              <w:rPr>
                <w:rFonts w:ascii="宋体" w:hAnsi="宋体" w:eastAsia="宋体" w:cs="Times New Roman"/>
                <w:color w:val="auto"/>
              </w:rPr>
            </w:pPr>
            <w:r>
              <w:rPr>
                <w:rFonts w:ascii="宋体" w:hAnsi="宋体" w:eastAsia="宋体" w:cs="Times New Roman"/>
                <w:color w:val="auto"/>
              </w:rPr>
              <w:t>水龙头</w:t>
            </w:r>
          </w:p>
        </w:tc>
        <w:tc>
          <w:tcPr>
            <w:tcW w:w="2490" w:type="dxa"/>
            <w:vAlign w:val="center"/>
          </w:tcPr>
          <w:p w14:paraId="310A6D4A">
            <w:pPr>
              <w:spacing w:line="360" w:lineRule="exact"/>
              <w:jc w:val="center"/>
              <w:rPr>
                <w:rFonts w:ascii="宋体" w:hAnsi="宋体" w:eastAsia="宋体" w:cs="Times New Roman"/>
                <w:color w:val="auto"/>
              </w:rPr>
            </w:pPr>
            <w:r>
              <w:rPr>
                <w:rFonts w:ascii="宋体" w:hAnsi="宋体" w:eastAsia="宋体" w:cs="Times New Roman"/>
                <w:color w:val="auto"/>
              </w:rPr>
              <w:t>SL-170</w:t>
            </w:r>
          </w:p>
        </w:tc>
        <w:tc>
          <w:tcPr>
            <w:tcW w:w="1925" w:type="dxa"/>
            <w:vAlign w:val="center"/>
          </w:tcPr>
          <w:p w14:paraId="780F7EDB">
            <w:pPr>
              <w:spacing w:line="360" w:lineRule="exact"/>
              <w:jc w:val="center"/>
              <w:rPr>
                <w:rFonts w:ascii="宋体" w:hAnsi="宋体" w:eastAsia="宋体" w:cs="Times New Roman"/>
                <w:color w:val="auto"/>
              </w:rPr>
            </w:pPr>
            <w:r>
              <w:rPr>
                <w:rFonts w:ascii="宋体" w:hAnsi="宋体" w:eastAsia="宋体" w:cs="Times New Roman"/>
                <w:color w:val="auto"/>
              </w:rPr>
              <w:t>170t</w:t>
            </w:r>
          </w:p>
        </w:tc>
      </w:tr>
      <w:tr w14:paraId="4E3A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Align w:val="center"/>
          </w:tcPr>
          <w:p w14:paraId="7ADA4A0E">
            <w:pPr>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918" w:type="dxa"/>
            <w:gridSpan w:val="2"/>
            <w:vAlign w:val="center"/>
          </w:tcPr>
          <w:p w14:paraId="2357E6AF">
            <w:pPr>
              <w:spacing w:line="360" w:lineRule="exact"/>
              <w:jc w:val="center"/>
              <w:rPr>
                <w:rFonts w:ascii="宋体" w:hAnsi="宋体" w:eastAsia="宋体" w:cs="Times New Roman"/>
                <w:color w:val="auto"/>
              </w:rPr>
            </w:pPr>
            <w:r>
              <w:rPr>
                <w:rFonts w:ascii="宋体" w:hAnsi="宋体" w:eastAsia="宋体" w:cs="Times New Roman"/>
                <w:color w:val="auto"/>
              </w:rPr>
              <w:t>转   盘</w:t>
            </w:r>
          </w:p>
        </w:tc>
        <w:tc>
          <w:tcPr>
            <w:tcW w:w="2490" w:type="dxa"/>
            <w:vAlign w:val="center"/>
          </w:tcPr>
          <w:p w14:paraId="7E399B1E">
            <w:pPr>
              <w:spacing w:line="360" w:lineRule="exact"/>
              <w:jc w:val="center"/>
              <w:rPr>
                <w:rFonts w:ascii="宋体" w:hAnsi="宋体" w:eastAsia="宋体" w:cs="Times New Roman"/>
                <w:color w:val="auto"/>
              </w:rPr>
            </w:pPr>
            <w:r>
              <w:rPr>
                <w:rFonts w:ascii="宋体" w:hAnsi="宋体" w:eastAsia="宋体" w:cs="Times New Roman"/>
                <w:color w:val="auto"/>
              </w:rPr>
              <w:t>ZP-205</w:t>
            </w:r>
          </w:p>
        </w:tc>
        <w:tc>
          <w:tcPr>
            <w:tcW w:w="1925" w:type="dxa"/>
            <w:vAlign w:val="center"/>
          </w:tcPr>
          <w:p w14:paraId="0300BC0C">
            <w:pPr>
              <w:spacing w:line="360" w:lineRule="exact"/>
              <w:jc w:val="center"/>
              <w:rPr>
                <w:rFonts w:ascii="宋体" w:hAnsi="宋体" w:eastAsia="宋体" w:cs="Times New Roman"/>
                <w:color w:val="auto"/>
              </w:rPr>
            </w:pPr>
            <w:r>
              <w:rPr>
                <w:rFonts w:ascii="宋体" w:hAnsi="宋体" w:eastAsia="宋体" w:cs="Times New Roman"/>
                <w:color w:val="auto"/>
              </w:rPr>
              <w:t>22.56kN·m</w:t>
            </w:r>
          </w:p>
        </w:tc>
      </w:tr>
      <w:tr w14:paraId="225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restart"/>
            <w:vAlign w:val="center"/>
          </w:tcPr>
          <w:p w14:paraId="40C1A162">
            <w:pPr>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814" w:type="dxa"/>
            <w:vMerge w:val="restart"/>
            <w:vAlign w:val="center"/>
          </w:tcPr>
          <w:p w14:paraId="5F58FC06">
            <w:pPr>
              <w:spacing w:line="360" w:lineRule="exact"/>
              <w:jc w:val="center"/>
              <w:rPr>
                <w:rFonts w:ascii="宋体" w:hAnsi="宋体" w:eastAsia="宋体" w:cs="Times New Roman"/>
                <w:color w:val="auto"/>
              </w:rPr>
            </w:pPr>
            <w:r>
              <w:rPr>
                <w:rFonts w:ascii="宋体" w:hAnsi="宋体" w:eastAsia="宋体" w:cs="Times New Roman"/>
                <w:color w:val="auto"/>
              </w:rPr>
              <w:t>循环</w:t>
            </w:r>
          </w:p>
          <w:p w14:paraId="73C960B2">
            <w:pPr>
              <w:spacing w:line="360" w:lineRule="exact"/>
              <w:jc w:val="center"/>
              <w:rPr>
                <w:rFonts w:ascii="宋体" w:hAnsi="宋体" w:eastAsia="宋体" w:cs="Times New Roman"/>
                <w:color w:val="auto"/>
              </w:rPr>
            </w:pPr>
            <w:r>
              <w:rPr>
                <w:rFonts w:ascii="宋体" w:hAnsi="宋体" w:eastAsia="宋体" w:cs="Times New Roman"/>
                <w:color w:val="auto"/>
              </w:rPr>
              <w:t>系统</w:t>
            </w:r>
          </w:p>
        </w:tc>
        <w:tc>
          <w:tcPr>
            <w:tcW w:w="2104" w:type="dxa"/>
            <w:vAlign w:val="center"/>
          </w:tcPr>
          <w:p w14:paraId="0F8F89CC">
            <w:pPr>
              <w:spacing w:line="360" w:lineRule="exact"/>
              <w:jc w:val="center"/>
              <w:rPr>
                <w:rFonts w:ascii="宋体" w:hAnsi="宋体" w:eastAsia="宋体" w:cs="Times New Roman"/>
                <w:color w:val="auto"/>
              </w:rPr>
            </w:pPr>
            <w:r>
              <w:rPr>
                <w:rFonts w:ascii="宋体" w:hAnsi="宋体" w:eastAsia="宋体" w:cs="Times New Roman"/>
                <w:color w:val="auto"/>
              </w:rPr>
              <w:t>钻井泵1#</w:t>
            </w:r>
          </w:p>
        </w:tc>
        <w:tc>
          <w:tcPr>
            <w:tcW w:w="2490" w:type="dxa"/>
            <w:vAlign w:val="center"/>
          </w:tcPr>
          <w:p w14:paraId="10A617C7">
            <w:pPr>
              <w:spacing w:line="360" w:lineRule="exact"/>
              <w:jc w:val="center"/>
              <w:rPr>
                <w:rFonts w:ascii="宋体" w:hAnsi="宋体" w:eastAsia="宋体" w:cs="Times New Roman"/>
                <w:color w:val="auto"/>
              </w:rPr>
            </w:pPr>
            <w:r>
              <w:rPr>
                <w:rFonts w:ascii="宋体" w:hAnsi="宋体" w:eastAsia="宋体" w:cs="Times New Roman"/>
                <w:color w:val="auto"/>
              </w:rPr>
              <w:t>SL3NB-1300A</w:t>
            </w:r>
          </w:p>
        </w:tc>
        <w:tc>
          <w:tcPr>
            <w:tcW w:w="1925" w:type="dxa"/>
            <w:vAlign w:val="center"/>
          </w:tcPr>
          <w:p w14:paraId="4EEAD767">
            <w:pPr>
              <w:spacing w:line="360" w:lineRule="exact"/>
              <w:jc w:val="center"/>
              <w:rPr>
                <w:rFonts w:ascii="宋体" w:hAnsi="宋体" w:eastAsia="宋体" w:cs="Times New Roman"/>
                <w:color w:val="auto"/>
              </w:rPr>
            </w:pPr>
            <w:r>
              <w:rPr>
                <w:rFonts w:ascii="宋体" w:hAnsi="宋体" w:eastAsia="宋体" w:cs="Times New Roman"/>
                <w:color w:val="auto"/>
              </w:rPr>
              <w:t>956kW</w:t>
            </w:r>
          </w:p>
        </w:tc>
      </w:tr>
      <w:tr w14:paraId="1769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67C9C437">
            <w:pPr>
              <w:spacing w:line="360" w:lineRule="exact"/>
              <w:jc w:val="center"/>
              <w:rPr>
                <w:rFonts w:ascii="宋体" w:hAnsi="宋体" w:eastAsia="宋体" w:cs="Times New Roman"/>
                <w:color w:val="auto"/>
              </w:rPr>
            </w:pPr>
          </w:p>
        </w:tc>
        <w:tc>
          <w:tcPr>
            <w:tcW w:w="814" w:type="dxa"/>
            <w:vMerge w:val="continue"/>
            <w:vAlign w:val="center"/>
          </w:tcPr>
          <w:p w14:paraId="42795E1A">
            <w:pPr>
              <w:spacing w:line="360" w:lineRule="exact"/>
              <w:jc w:val="center"/>
              <w:rPr>
                <w:rFonts w:ascii="宋体" w:hAnsi="宋体" w:eastAsia="宋体" w:cs="Times New Roman"/>
                <w:color w:val="auto"/>
              </w:rPr>
            </w:pPr>
          </w:p>
        </w:tc>
        <w:tc>
          <w:tcPr>
            <w:tcW w:w="2104" w:type="dxa"/>
            <w:vAlign w:val="center"/>
          </w:tcPr>
          <w:p w14:paraId="451BE968">
            <w:pPr>
              <w:spacing w:line="360" w:lineRule="exact"/>
              <w:jc w:val="center"/>
              <w:rPr>
                <w:rFonts w:ascii="宋体" w:hAnsi="宋体" w:eastAsia="宋体" w:cs="Times New Roman"/>
                <w:color w:val="auto"/>
              </w:rPr>
            </w:pPr>
            <w:r>
              <w:rPr>
                <w:rFonts w:ascii="宋体" w:hAnsi="宋体" w:eastAsia="宋体" w:cs="Times New Roman"/>
                <w:color w:val="auto"/>
              </w:rPr>
              <w:t>钻井泵2#</w:t>
            </w:r>
          </w:p>
        </w:tc>
        <w:tc>
          <w:tcPr>
            <w:tcW w:w="2490" w:type="dxa"/>
            <w:vAlign w:val="center"/>
          </w:tcPr>
          <w:p w14:paraId="5AD60C14">
            <w:pPr>
              <w:spacing w:line="360" w:lineRule="exact"/>
              <w:jc w:val="center"/>
              <w:rPr>
                <w:rFonts w:ascii="宋体" w:hAnsi="宋体" w:eastAsia="宋体" w:cs="Times New Roman"/>
                <w:color w:val="auto"/>
              </w:rPr>
            </w:pPr>
            <w:r>
              <w:rPr>
                <w:rFonts w:ascii="宋体" w:hAnsi="宋体" w:eastAsia="宋体" w:cs="Times New Roman"/>
                <w:color w:val="auto"/>
              </w:rPr>
              <w:t>SL3NB-1300A</w:t>
            </w:r>
          </w:p>
        </w:tc>
        <w:tc>
          <w:tcPr>
            <w:tcW w:w="1925" w:type="dxa"/>
            <w:vAlign w:val="center"/>
          </w:tcPr>
          <w:p w14:paraId="609A382D">
            <w:pPr>
              <w:spacing w:line="360" w:lineRule="exact"/>
              <w:jc w:val="center"/>
              <w:rPr>
                <w:rFonts w:ascii="宋体" w:hAnsi="宋体" w:eastAsia="宋体" w:cs="Times New Roman"/>
                <w:color w:val="auto"/>
              </w:rPr>
            </w:pPr>
            <w:r>
              <w:rPr>
                <w:rFonts w:ascii="宋体" w:hAnsi="宋体" w:eastAsia="宋体" w:cs="Times New Roman"/>
                <w:color w:val="auto"/>
              </w:rPr>
              <w:t>956kW</w:t>
            </w:r>
          </w:p>
        </w:tc>
      </w:tr>
      <w:tr w14:paraId="42FC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57892397">
            <w:pPr>
              <w:spacing w:line="360" w:lineRule="exact"/>
              <w:jc w:val="center"/>
              <w:rPr>
                <w:rFonts w:ascii="宋体" w:hAnsi="宋体" w:eastAsia="宋体" w:cs="Times New Roman"/>
                <w:color w:val="auto"/>
              </w:rPr>
            </w:pPr>
          </w:p>
        </w:tc>
        <w:tc>
          <w:tcPr>
            <w:tcW w:w="814" w:type="dxa"/>
            <w:vMerge w:val="continue"/>
            <w:vAlign w:val="center"/>
          </w:tcPr>
          <w:p w14:paraId="43273571">
            <w:pPr>
              <w:spacing w:line="360" w:lineRule="exact"/>
              <w:jc w:val="center"/>
              <w:rPr>
                <w:rFonts w:ascii="宋体" w:hAnsi="宋体" w:eastAsia="宋体" w:cs="Times New Roman"/>
                <w:color w:val="auto"/>
              </w:rPr>
            </w:pPr>
          </w:p>
        </w:tc>
        <w:tc>
          <w:tcPr>
            <w:tcW w:w="2104" w:type="dxa"/>
            <w:vAlign w:val="center"/>
          </w:tcPr>
          <w:p w14:paraId="523A04DE">
            <w:pPr>
              <w:spacing w:line="360" w:lineRule="exact"/>
              <w:jc w:val="center"/>
              <w:rPr>
                <w:rFonts w:ascii="宋体" w:hAnsi="宋体" w:eastAsia="宋体" w:cs="Times New Roman"/>
                <w:color w:val="auto"/>
              </w:rPr>
            </w:pPr>
            <w:r>
              <w:rPr>
                <w:rFonts w:ascii="宋体" w:hAnsi="宋体" w:eastAsia="宋体" w:cs="Times New Roman"/>
                <w:color w:val="auto"/>
              </w:rPr>
              <w:t>钻井液罐</w:t>
            </w:r>
          </w:p>
        </w:tc>
        <w:tc>
          <w:tcPr>
            <w:tcW w:w="2490" w:type="dxa"/>
            <w:vAlign w:val="center"/>
          </w:tcPr>
          <w:p w14:paraId="16D9AA2B">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925" w:type="dxa"/>
            <w:vAlign w:val="center"/>
          </w:tcPr>
          <w:p w14:paraId="3761EE37">
            <w:pPr>
              <w:spacing w:line="360" w:lineRule="exact"/>
              <w:jc w:val="center"/>
              <w:rPr>
                <w:rFonts w:ascii="宋体" w:hAnsi="宋体" w:eastAsia="宋体" w:cs="Times New Roman"/>
                <w:color w:val="auto"/>
              </w:rPr>
            </w:pPr>
            <w:r>
              <w:rPr>
                <w:rFonts w:ascii="宋体" w:hAnsi="宋体" w:eastAsia="宋体" w:cs="Times New Roman"/>
                <w:color w:val="auto"/>
              </w:rPr>
              <w:t>40m</w:t>
            </w:r>
            <w:r>
              <w:rPr>
                <w:rFonts w:ascii="宋体" w:hAnsi="宋体" w:eastAsia="宋体" w:cs="Times New Roman"/>
                <w:color w:val="auto"/>
                <w:vertAlign w:val="superscript"/>
              </w:rPr>
              <w:t>3</w:t>
            </w:r>
          </w:p>
        </w:tc>
      </w:tr>
      <w:tr w14:paraId="06EC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6E18C01D">
            <w:pPr>
              <w:spacing w:line="360" w:lineRule="exact"/>
              <w:jc w:val="center"/>
              <w:rPr>
                <w:rFonts w:ascii="宋体" w:hAnsi="宋体" w:eastAsia="宋体" w:cs="Times New Roman"/>
                <w:color w:val="auto"/>
              </w:rPr>
            </w:pPr>
          </w:p>
        </w:tc>
        <w:tc>
          <w:tcPr>
            <w:tcW w:w="814" w:type="dxa"/>
            <w:vMerge w:val="continue"/>
            <w:vAlign w:val="center"/>
          </w:tcPr>
          <w:p w14:paraId="468F0A5A">
            <w:pPr>
              <w:spacing w:line="360" w:lineRule="exact"/>
              <w:jc w:val="center"/>
              <w:rPr>
                <w:rFonts w:ascii="宋体" w:hAnsi="宋体" w:eastAsia="宋体" w:cs="Times New Roman"/>
                <w:color w:val="auto"/>
              </w:rPr>
            </w:pPr>
          </w:p>
        </w:tc>
        <w:tc>
          <w:tcPr>
            <w:tcW w:w="2104" w:type="dxa"/>
            <w:vAlign w:val="center"/>
          </w:tcPr>
          <w:p w14:paraId="788CF53C">
            <w:pPr>
              <w:spacing w:line="360" w:lineRule="exact"/>
              <w:jc w:val="center"/>
              <w:rPr>
                <w:rFonts w:ascii="宋体" w:hAnsi="宋体" w:eastAsia="宋体" w:cs="Times New Roman"/>
                <w:color w:val="auto"/>
              </w:rPr>
            </w:pPr>
            <w:r>
              <w:rPr>
                <w:rFonts w:ascii="宋体" w:hAnsi="宋体" w:eastAsia="宋体" w:cs="Times New Roman"/>
                <w:color w:val="auto"/>
              </w:rPr>
              <w:t>搅拌器</w:t>
            </w:r>
          </w:p>
        </w:tc>
        <w:tc>
          <w:tcPr>
            <w:tcW w:w="2490" w:type="dxa"/>
            <w:vAlign w:val="center"/>
          </w:tcPr>
          <w:p w14:paraId="52A8F722">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925" w:type="dxa"/>
            <w:vAlign w:val="center"/>
          </w:tcPr>
          <w:p w14:paraId="371DA267">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129D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restart"/>
            <w:vAlign w:val="center"/>
          </w:tcPr>
          <w:p w14:paraId="29F22518">
            <w:pPr>
              <w:spacing w:line="360" w:lineRule="exact"/>
              <w:jc w:val="center"/>
              <w:rPr>
                <w:rFonts w:ascii="宋体" w:hAnsi="宋体" w:eastAsia="宋体" w:cs="Times New Roman"/>
                <w:color w:val="auto"/>
              </w:rPr>
            </w:pPr>
            <w:r>
              <w:rPr>
                <w:rFonts w:ascii="宋体" w:hAnsi="宋体" w:eastAsia="宋体" w:cs="Times New Roman"/>
                <w:color w:val="auto"/>
              </w:rPr>
              <w:t>6</w:t>
            </w:r>
          </w:p>
        </w:tc>
        <w:tc>
          <w:tcPr>
            <w:tcW w:w="814" w:type="dxa"/>
            <w:vMerge w:val="restart"/>
            <w:vAlign w:val="center"/>
          </w:tcPr>
          <w:p w14:paraId="4985C85C">
            <w:pPr>
              <w:spacing w:line="360" w:lineRule="exact"/>
              <w:jc w:val="center"/>
              <w:rPr>
                <w:rFonts w:ascii="宋体" w:hAnsi="宋体" w:eastAsia="宋体" w:cs="Times New Roman"/>
                <w:color w:val="auto"/>
              </w:rPr>
            </w:pPr>
            <w:r>
              <w:rPr>
                <w:rFonts w:ascii="宋体" w:hAnsi="宋体" w:eastAsia="宋体" w:cs="Times New Roman"/>
                <w:color w:val="auto"/>
              </w:rPr>
              <w:t>动力</w:t>
            </w:r>
          </w:p>
          <w:p w14:paraId="2C644591">
            <w:pPr>
              <w:spacing w:line="360" w:lineRule="exact"/>
              <w:jc w:val="center"/>
              <w:rPr>
                <w:rFonts w:ascii="宋体" w:hAnsi="宋体" w:eastAsia="宋体" w:cs="Times New Roman"/>
                <w:color w:val="auto"/>
              </w:rPr>
            </w:pPr>
            <w:r>
              <w:rPr>
                <w:rFonts w:ascii="宋体" w:hAnsi="宋体" w:eastAsia="宋体" w:cs="Times New Roman"/>
                <w:color w:val="auto"/>
              </w:rPr>
              <w:t>系统</w:t>
            </w:r>
          </w:p>
        </w:tc>
        <w:tc>
          <w:tcPr>
            <w:tcW w:w="2104" w:type="dxa"/>
            <w:vAlign w:val="center"/>
          </w:tcPr>
          <w:p w14:paraId="1DCDA4D8">
            <w:pPr>
              <w:spacing w:line="360" w:lineRule="exact"/>
              <w:jc w:val="center"/>
              <w:rPr>
                <w:rFonts w:ascii="宋体" w:hAnsi="宋体" w:eastAsia="宋体" w:cs="Times New Roman"/>
                <w:color w:val="auto"/>
              </w:rPr>
            </w:pPr>
            <w:r>
              <w:rPr>
                <w:rFonts w:ascii="宋体" w:hAnsi="宋体" w:eastAsia="宋体" w:cs="Times New Roman"/>
                <w:color w:val="auto"/>
              </w:rPr>
              <w:t>柴油机</w:t>
            </w:r>
          </w:p>
        </w:tc>
        <w:tc>
          <w:tcPr>
            <w:tcW w:w="2490" w:type="dxa"/>
            <w:vAlign w:val="center"/>
          </w:tcPr>
          <w:p w14:paraId="7539ABC9">
            <w:pPr>
              <w:spacing w:line="360" w:lineRule="exact"/>
              <w:jc w:val="center"/>
              <w:rPr>
                <w:rFonts w:ascii="宋体" w:hAnsi="宋体" w:eastAsia="宋体" w:cs="Times New Roman"/>
                <w:color w:val="auto"/>
              </w:rPr>
            </w:pPr>
            <w:r>
              <w:rPr>
                <w:rFonts w:ascii="宋体" w:hAnsi="宋体" w:eastAsia="宋体" w:cs="Times New Roman"/>
                <w:color w:val="auto"/>
              </w:rPr>
              <w:t>12V190</w:t>
            </w:r>
          </w:p>
        </w:tc>
        <w:tc>
          <w:tcPr>
            <w:tcW w:w="1925" w:type="dxa"/>
            <w:vAlign w:val="center"/>
          </w:tcPr>
          <w:p w14:paraId="40803C80">
            <w:pPr>
              <w:spacing w:line="360" w:lineRule="exact"/>
              <w:jc w:val="center"/>
              <w:rPr>
                <w:rFonts w:ascii="宋体" w:hAnsi="宋体" w:eastAsia="宋体" w:cs="Times New Roman"/>
                <w:color w:val="auto"/>
              </w:rPr>
            </w:pPr>
            <w:r>
              <w:rPr>
                <w:rFonts w:ascii="宋体" w:hAnsi="宋体" w:eastAsia="宋体" w:cs="Times New Roman"/>
                <w:color w:val="auto"/>
              </w:rPr>
              <w:t>800 kW</w:t>
            </w:r>
          </w:p>
        </w:tc>
      </w:tr>
      <w:tr w14:paraId="36C0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49A8F924">
            <w:pPr>
              <w:spacing w:line="360" w:lineRule="exact"/>
              <w:jc w:val="center"/>
              <w:rPr>
                <w:rFonts w:ascii="宋体" w:hAnsi="宋体" w:eastAsia="宋体" w:cs="Times New Roman"/>
                <w:color w:val="auto"/>
              </w:rPr>
            </w:pPr>
          </w:p>
        </w:tc>
        <w:tc>
          <w:tcPr>
            <w:tcW w:w="814" w:type="dxa"/>
            <w:vMerge w:val="continue"/>
            <w:vAlign w:val="center"/>
          </w:tcPr>
          <w:p w14:paraId="726AC60C">
            <w:pPr>
              <w:spacing w:line="360" w:lineRule="exact"/>
              <w:jc w:val="center"/>
              <w:rPr>
                <w:rFonts w:ascii="宋体" w:hAnsi="宋体" w:eastAsia="宋体" w:cs="Times New Roman"/>
                <w:color w:val="auto"/>
              </w:rPr>
            </w:pPr>
          </w:p>
        </w:tc>
        <w:tc>
          <w:tcPr>
            <w:tcW w:w="2104" w:type="dxa"/>
            <w:vAlign w:val="center"/>
          </w:tcPr>
          <w:p w14:paraId="053CB0C0">
            <w:pPr>
              <w:spacing w:line="360" w:lineRule="exact"/>
              <w:jc w:val="center"/>
              <w:rPr>
                <w:rFonts w:ascii="宋体" w:hAnsi="宋体" w:eastAsia="宋体" w:cs="Times New Roman"/>
                <w:color w:val="auto"/>
              </w:rPr>
            </w:pPr>
            <w:r>
              <w:rPr>
                <w:rFonts w:ascii="宋体" w:hAnsi="宋体" w:eastAsia="宋体" w:cs="Times New Roman"/>
                <w:color w:val="auto"/>
              </w:rPr>
              <w:t>发电机</w:t>
            </w:r>
          </w:p>
        </w:tc>
        <w:tc>
          <w:tcPr>
            <w:tcW w:w="2490" w:type="dxa"/>
            <w:vAlign w:val="center"/>
          </w:tcPr>
          <w:p w14:paraId="045568EE">
            <w:pPr>
              <w:spacing w:line="360" w:lineRule="exact"/>
              <w:jc w:val="center"/>
              <w:rPr>
                <w:rFonts w:ascii="宋体" w:hAnsi="宋体" w:eastAsia="宋体" w:cs="Times New Roman"/>
                <w:color w:val="auto"/>
              </w:rPr>
            </w:pPr>
            <w:r>
              <w:rPr>
                <w:rFonts w:ascii="宋体" w:hAnsi="宋体" w:eastAsia="宋体" w:cs="Times New Roman"/>
                <w:color w:val="auto"/>
              </w:rPr>
              <w:t>500GF54</w:t>
            </w:r>
          </w:p>
        </w:tc>
        <w:tc>
          <w:tcPr>
            <w:tcW w:w="1925" w:type="dxa"/>
            <w:vAlign w:val="center"/>
          </w:tcPr>
          <w:p w14:paraId="5BA72842">
            <w:pPr>
              <w:spacing w:line="360" w:lineRule="exact"/>
              <w:jc w:val="center"/>
              <w:rPr>
                <w:rFonts w:ascii="宋体" w:hAnsi="宋体" w:eastAsia="宋体" w:cs="Times New Roman"/>
                <w:color w:val="auto"/>
              </w:rPr>
            </w:pPr>
            <w:r>
              <w:rPr>
                <w:rFonts w:ascii="宋体" w:hAnsi="宋体" w:eastAsia="宋体" w:cs="Times New Roman"/>
                <w:color w:val="auto"/>
              </w:rPr>
              <w:t>500 kW</w:t>
            </w:r>
          </w:p>
        </w:tc>
      </w:tr>
      <w:tr w14:paraId="7241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0BAA58ED">
            <w:pPr>
              <w:spacing w:line="360" w:lineRule="exact"/>
              <w:jc w:val="center"/>
              <w:rPr>
                <w:rFonts w:ascii="宋体" w:hAnsi="宋体" w:eastAsia="宋体" w:cs="Times New Roman"/>
                <w:color w:val="auto"/>
              </w:rPr>
            </w:pPr>
          </w:p>
        </w:tc>
        <w:tc>
          <w:tcPr>
            <w:tcW w:w="814" w:type="dxa"/>
            <w:vMerge w:val="continue"/>
            <w:vAlign w:val="center"/>
          </w:tcPr>
          <w:p w14:paraId="21222F93">
            <w:pPr>
              <w:spacing w:line="360" w:lineRule="exact"/>
              <w:jc w:val="center"/>
              <w:rPr>
                <w:rFonts w:ascii="宋体" w:hAnsi="宋体" w:eastAsia="宋体" w:cs="Times New Roman"/>
                <w:color w:val="auto"/>
              </w:rPr>
            </w:pPr>
          </w:p>
        </w:tc>
        <w:tc>
          <w:tcPr>
            <w:tcW w:w="2104" w:type="dxa"/>
            <w:vAlign w:val="center"/>
          </w:tcPr>
          <w:p w14:paraId="3787EC13">
            <w:pPr>
              <w:spacing w:line="360" w:lineRule="exact"/>
              <w:jc w:val="center"/>
              <w:rPr>
                <w:rFonts w:ascii="宋体" w:hAnsi="宋体" w:eastAsia="宋体" w:cs="Times New Roman"/>
                <w:color w:val="auto"/>
              </w:rPr>
            </w:pPr>
            <w:r>
              <w:rPr>
                <w:rFonts w:ascii="宋体" w:hAnsi="宋体" w:eastAsia="宋体" w:cs="Times New Roman"/>
                <w:color w:val="auto"/>
              </w:rPr>
              <w:t>辅助发电机</w:t>
            </w:r>
          </w:p>
        </w:tc>
        <w:tc>
          <w:tcPr>
            <w:tcW w:w="2490" w:type="dxa"/>
            <w:vAlign w:val="center"/>
          </w:tcPr>
          <w:p w14:paraId="74786E4A">
            <w:pPr>
              <w:spacing w:line="360" w:lineRule="exact"/>
              <w:jc w:val="center"/>
              <w:rPr>
                <w:rFonts w:ascii="宋体" w:hAnsi="宋体" w:eastAsia="宋体" w:cs="Times New Roman"/>
                <w:color w:val="auto"/>
              </w:rPr>
            </w:pPr>
            <w:r>
              <w:rPr>
                <w:rFonts w:ascii="宋体" w:hAnsi="宋体" w:eastAsia="宋体" w:cs="Times New Roman"/>
                <w:color w:val="auto"/>
              </w:rPr>
              <w:t>麦海姆</w:t>
            </w:r>
          </w:p>
        </w:tc>
        <w:tc>
          <w:tcPr>
            <w:tcW w:w="1925" w:type="dxa"/>
            <w:vAlign w:val="center"/>
          </w:tcPr>
          <w:p w14:paraId="4B2C0179">
            <w:pPr>
              <w:spacing w:line="360" w:lineRule="exact"/>
              <w:jc w:val="center"/>
              <w:rPr>
                <w:rFonts w:ascii="宋体" w:hAnsi="宋体" w:eastAsia="宋体" w:cs="Times New Roman"/>
                <w:color w:val="auto"/>
              </w:rPr>
            </w:pPr>
            <w:r>
              <w:rPr>
                <w:rFonts w:ascii="宋体" w:hAnsi="宋体" w:eastAsia="宋体" w:cs="Times New Roman"/>
                <w:color w:val="auto"/>
              </w:rPr>
              <w:t>250 kW</w:t>
            </w:r>
          </w:p>
        </w:tc>
      </w:tr>
      <w:tr w14:paraId="485D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4DDBF418">
            <w:pPr>
              <w:spacing w:line="360" w:lineRule="exact"/>
              <w:jc w:val="center"/>
              <w:rPr>
                <w:rFonts w:ascii="宋体" w:hAnsi="宋体" w:eastAsia="宋体" w:cs="Times New Roman"/>
                <w:color w:val="auto"/>
              </w:rPr>
            </w:pPr>
          </w:p>
        </w:tc>
        <w:tc>
          <w:tcPr>
            <w:tcW w:w="814" w:type="dxa"/>
            <w:vMerge w:val="continue"/>
            <w:vAlign w:val="center"/>
          </w:tcPr>
          <w:p w14:paraId="0A301DC1">
            <w:pPr>
              <w:spacing w:line="360" w:lineRule="exact"/>
              <w:jc w:val="center"/>
              <w:rPr>
                <w:rFonts w:ascii="宋体" w:hAnsi="宋体" w:eastAsia="宋体" w:cs="Times New Roman"/>
                <w:color w:val="auto"/>
              </w:rPr>
            </w:pPr>
          </w:p>
        </w:tc>
        <w:tc>
          <w:tcPr>
            <w:tcW w:w="2104" w:type="dxa"/>
            <w:vAlign w:val="center"/>
          </w:tcPr>
          <w:p w14:paraId="72F23134">
            <w:pPr>
              <w:spacing w:line="360" w:lineRule="exact"/>
              <w:jc w:val="center"/>
              <w:rPr>
                <w:rFonts w:ascii="宋体" w:hAnsi="宋体" w:eastAsia="宋体" w:cs="Times New Roman"/>
                <w:color w:val="auto"/>
              </w:rPr>
            </w:pPr>
            <w:r>
              <w:rPr>
                <w:rFonts w:ascii="宋体" w:hAnsi="宋体" w:eastAsia="宋体" w:cs="Times New Roman"/>
                <w:color w:val="auto"/>
              </w:rPr>
              <w:t>压风机1#</w:t>
            </w:r>
          </w:p>
        </w:tc>
        <w:tc>
          <w:tcPr>
            <w:tcW w:w="2490" w:type="dxa"/>
            <w:vAlign w:val="center"/>
          </w:tcPr>
          <w:p w14:paraId="50568BA7">
            <w:pPr>
              <w:spacing w:line="360" w:lineRule="exact"/>
              <w:jc w:val="center"/>
              <w:rPr>
                <w:rFonts w:ascii="宋体" w:hAnsi="宋体" w:eastAsia="宋体" w:cs="Times New Roman"/>
                <w:color w:val="auto"/>
              </w:rPr>
            </w:pPr>
            <w:r>
              <w:rPr>
                <w:rFonts w:ascii="宋体" w:hAnsi="宋体" w:eastAsia="宋体" w:cs="Times New Roman"/>
                <w:color w:val="auto"/>
              </w:rPr>
              <w:t>2V-6/8</w:t>
            </w:r>
          </w:p>
        </w:tc>
        <w:tc>
          <w:tcPr>
            <w:tcW w:w="1925" w:type="dxa"/>
            <w:vAlign w:val="center"/>
          </w:tcPr>
          <w:p w14:paraId="233877F0">
            <w:pPr>
              <w:spacing w:line="360" w:lineRule="exact"/>
              <w:jc w:val="center"/>
              <w:rPr>
                <w:rFonts w:ascii="宋体" w:hAnsi="宋体" w:eastAsia="宋体" w:cs="Times New Roman"/>
                <w:color w:val="auto"/>
              </w:rPr>
            </w:pPr>
            <w:r>
              <w:rPr>
                <w:rFonts w:ascii="宋体" w:hAnsi="宋体" w:eastAsia="宋体" w:cs="Times New Roman"/>
                <w:color w:val="auto"/>
              </w:rPr>
              <w:t>37 kW</w:t>
            </w:r>
          </w:p>
        </w:tc>
      </w:tr>
      <w:tr w14:paraId="4BFF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55435C4D">
            <w:pPr>
              <w:spacing w:line="360" w:lineRule="exact"/>
              <w:jc w:val="center"/>
              <w:rPr>
                <w:rFonts w:ascii="宋体" w:hAnsi="宋体" w:eastAsia="宋体" w:cs="Times New Roman"/>
                <w:color w:val="auto"/>
              </w:rPr>
            </w:pPr>
          </w:p>
        </w:tc>
        <w:tc>
          <w:tcPr>
            <w:tcW w:w="814" w:type="dxa"/>
            <w:vMerge w:val="continue"/>
            <w:vAlign w:val="center"/>
          </w:tcPr>
          <w:p w14:paraId="1438CB3E">
            <w:pPr>
              <w:spacing w:line="360" w:lineRule="exact"/>
              <w:jc w:val="center"/>
              <w:rPr>
                <w:rFonts w:ascii="宋体" w:hAnsi="宋体" w:eastAsia="宋体" w:cs="Times New Roman"/>
                <w:color w:val="auto"/>
              </w:rPr>
            </w:pPr>
          </w:p>
        </w:tc>
        <w:tc>
          <w:tcPr>
            <w:tcW w:w="2104" w:type="dxa"/>
            <w:vAlign w:val="center"/>
          </w:tcPr>
          <w:p w14:paraId="61D9D81F">
            <w:pPr>
              <w:spacing w:line="360" w:lineRule="exact"/>
              <w:jc w:val="center"/>
              <w:rPr>
                <w:rFonts w:ascii="宋体" w:hAnsi="宋体" w:eastAsia="宋体" w:cs="Times New Roman"/>
                <w:color w:val="auto"/>
              </w:rPr>
            </w:pPr>
            <w:r>
              <w:rPr>
                <w:rFonts w:ascii="宋体" w:hAnsi="宋体" w:eastAsia="宋体" w:cs="Times New Roman"/>
                <w:color w:val="auto"/>
              </w:rPr>
              <w:t>压风机2#</w:t>
            </w:r>
          </w:p>
        </w:tc>
        <w:tc>
          <w:tcPr>
            <w:tcW w:w="2490" w:type="dxa"/>
            <w:vAlign w:val="center"/>
          </w:tcPr>
          <w:p w14:paraId="7D450BDA">
            <w:pPr>
              <w:spacing w:line="360" w:lineRule="exact"/>
              <w:jc w:val="center"/>
              <w:rPr>
                <w:rFonts w:ascii="宋体" w:hAnsi="宋体" w:eastAsia="宋体" w:cs="Times New Roman"/>
                <w:color w:val="auto"/>
              </w:rPr>
            </w:pPr>
            <w:r>
              <w:rPr>
                <w:rFonts w:ascii="宋体" w:hAnsi="宋体" w:eastAsia="宋体" w:cs="Times New Roman"/>
                <w:color w:val="auto"/>
              </w:rPr>
              <w:t>2V-5/10</w:t>
            </w:r>
          </w:p>
        </w:tc>
        <w:tc>
          <w:tcPr>
            <w:tcW w:w="1925" w:type="dxa"/>
            <w:vAlign w:val="center"/>
          </w:tcPr>
          <w:p w14:paraId="5CE4AE4B">
            <w:pPr>
              <w:spacing w:line="360" w:lineRule="exact"/>
              <w:jc w:val="center"/>
              <w:rPr>
                <w:rFonts w:ascii="宋体" w:hAnsi="宋体" w:eastAsia="宋体" w:cs="Times New Roman"/>
                <w:color w:val="auto"/>
              </w:rPr>
            </w:pPr>
            <w:r>
              <w:rPr>
                <w:rFonts w:ascii="宋体" w:hAnsi="宋体" w:eastAsia="宋体" w:cs="Times New Roman"/>
                <w:color w:val="auto"/>
              </w:rPr>
              <w:t>52kW</w:t>
            </w:r>
          </w:p>
        </w:tc>
      </w:tr>
      <w:tr w14:paraId="1F04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restart"/>
            <w:vAlign w:val="center"/>
          </w:tcPr>
          <w:p w14:paraId="1D960726">
            <w:pPr>
              <w:spacing w:line="360" w:lineRule="exact"/>
              <w:jc w:val="center"/>
              <w:rPr>
                <w:rFonts w:ascii="宋体" w:hAnsi="宋体" w:eastAsia="宋体" w:cs="Times New Roman"/>
                <w:color w:val="auto"/>
              </w:rPr>
            </w:pPr>
            <w:r>
              <w:rPr>
                <w:rFonts w:ascii="宋体" w:hAnsi="宋体" w:eastAsia="宋体" w:cs="Times New Roman"/>
                <w:color w:val="auto"/>
              </w:rPr>
              <w:t>7</w:t>
            </w:r>
          </w:p>
        </w:tc>
        <w:tc>
          <w:tcPr>
            <w:tcW w:w="814" w:type="dxa"/>
            <w:vMerge w:val="restart"/>
            <w:vAlign w:val="center"/>
          </w:tcPr>
          <w:p w14:paraId="1F9CF407">
            <w:pPr>
              <w:spacing w:line="360" w:lineRule="exact"/>
              <w:jc w:val="center"/>
              <w:rPr>
                <w:rFonts w:ascii="宋体" w:hAnsi="宋体" w:eastAsia="宋体" w:cs="Times New Roman"/>
                <w:color w:val="auto"/>
              </w:rPr>
            </w:pPr>
            <w:r>
              <w:rPr>
                <w:rFonts w:ascii="宋体" w:hAnsi="宋体" w:eastAsia="宋体" w:cs="Times New Roman"/>
                <w:color w:val="auto"/>
              </w:rPr>
              <w:t>固控</w:t>
            </w:r>
          </w:p>
          <w:p w14:paraId="634A855C">
            <w:pPr>
              <w:spacing w:line="360" w:lineRule="exact"/>
              <w:jc w:val="center"/>
              <w:rPr>
                <w:rFonts w:ascii="宋体" w:hAnsi="宋体" w:eastAsia="宋体" w:cs="Times New Roman"/>
                <w:color w:val="auto"/>
              </w:rPr>
            </w:pPr>
            <w:r>
              <w:rPr>
                <w:rFonts w:ascii="宋体" w:hAnsi="宋体" w:eastAsia="宋体" w:cs="Times New Roman"/>
                <w:color w:val="auto"/>
              </w:rPr>
              <w:t>系统</w:t>
            </w:r>
          </w:p>
        </w:tc>
        <w:tc>
          <w:tcPr>
            <w:tcW w:w="2104" w:type="dxa"/>
            <w:vAlign w:val="center"/>
          </w:tcPr>
          <w:p w14:paraId="3CEB0BF0">
            <w:pPr>
              <w:spacing w:line="360" w:lineRule="exact"/>
              <w:jc w:val="center"/>
              <w:rPr>
                <w:rFonts w:ascii="宋体" w:hAnsi="宋体" w:eastAsia="宋体" w:cs="Times New Roman"/>
                <w:color w:val="auto"/>
              </w:rPr>
            </w:pPr>
            <w:r>
              <w:rPr>
                <w:rFonts w:ascii="宋体" w:hAnsi="宋体" w:eastAsia="宋体" w:cs="Times New Roman"/>
                <w:color w:val="auto"/>
              </w:rPr>
              <w:t>振动筛</w:t>
            </w:r>
          </w:p>
        </w:tc>
        <w:tc>
          <w:tcPr>
            <w:tcW w:w="2490" w:type="dxa"/>
            <w:vAlign w:val="center"/>
          </w:tcPr>
          <w:p w14:paraId="2035D726">
            <w:pPr>
              <w:spacing w:line="360" w:lineRule="exact"/>
              <w:jc w:val="center"/>
              <w:rPr>
                <w:rFonts w:ascii="宋体" w:hAnsi="宋体" w:eastAsia="宋体" w:cs="Times New Roman"/>
                <w:color w:val="auto"/>
              </w:rPr>
            </w:pPr>
            <w:r>
              <w:rPr>
                <w:rFonts w:ascii="宋体" w:hAnsi="宋体" w:eastAsia="宋体" w:cs="Times New Roman"/>
                <w:color w:val="auto"/>
              </w:rPr>
              <w:t>BL-50</w:t>
            </w:r>
          </w:p>
        </w:tc>
        <w:tc>
          <w:tcPr>
            <w:tcW w:w="1925" w:type="dxa"/>
            <w:vAlign w:val="center"/>
          </w:tcPr>
          <w:p w14:paraId="4C8B81EE">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4D50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04D68701">
            <w:pPr>
              <w:spacing w:line="360" w:lineRule="exact"/>
              <w:jc w:val="center"/>
              <w:rPr>
                <w:rFonts w:ascii="宋体" w:hAnsi="宋体" w:eastAsia="宋体" w:cs="Times New Roman"/>
                <w:color w:val="auto"/>
              </w:rPr>
            </w:pPr>
          </w:p>
        </w:tc>
        <w:tc>
          <w:tcPr>
            <w:tcW w:w="814" w:type="dxa"/>
            <w:vMerge w:val="continue"/>
            <w:vAlign w:val="center"/>
          </w:tcPr>
          <w:p w14:paraId="3505E178">
            <w:pPr>
              <w:spacing w:line="360" w:lineRule="exact"/>
              <w:jc w:val="center"/>
              <w:rPr>
                <w:rFonts w:ascii="宋体" w:hAnsi="宋体" w:eastAsia="宋体" w:cs="Times New Roman"/>
                <w:color w:val="auto"/>
              </w:rPr>
            </w:pPr>
          </w:p>
        </w:tc>
        <w:tc>
          <w:tcPr>
            <w:tcW w:w="2104" w:type="dxa"/>
            <w:vAlign w:val="center"/>
          </w:tcPr>
          <w:p w14:paraId="3DA78399">
            <w:pPr>
              <w:spacing w:line="360" w:lineRule="exact"/>
              <w:jc w:val="center"/>
              <w:rPr>
                <w:rFonts w:ascii="宋体" w:hAnsi="宋体" w:eastAsia="宋体" w:cs="Times New Roman"/>
                <w:color w:val="auto"/>
              </w:rPr>
            </w:pPr>
            <w:r>
              <w:rPr>
                <w:rFonts w:ascii="宋体" w:hAnsi="宋体" w:eastAsia="宋体" w:cs="Times New Roman"/>
                <w:color w:val="auto"/>
              </w:rPr>
              <w:t>除砂器</w:t>
            </w:r>
          </w:p>
        </w:tc>
        <w:tc>
          <w:tcPr>
            <w:tcW w:w="2490" w:type="dxa"/>
            <w:vAlign w:val="center"/>
          </w:tcPr>
          <w:p w14:paraId="5E70579A">
            <w:pPr>
              <w:spacing w:line="360" w:lineRule="exact"/>
              <w:jc w:val="center"/>
              <w:rPr>
                <w:rFonts w:ascii="宋体" w:hAnsi="宋体" w:eastAsia="宋体" w:cs="Times New Roman"/>
                <w:color w:val="auto"/>
              </w:rPr>
            </w:pPr>
            <w:r>
              <w:rPr>
                <w:rFonts w:ascii="宋体" w:hAnsi="宋体" w:eastAsia="宋体" w:cs="Times New Roman"/>
                <w:color w:val="auto"/>
              </w:rPr>
              <w:t>NOGJ-250*2/2*0.6</w:t>
            </w:r>
          </w:p>
        </w:tc>
        <w:tc>
          <w:tcPr>
            <w:tcW w:w="1925" w:type="dxa"/>
            <w:vAlign w:val="center"/>
          </w:tcPr>
          <w:p w14:paraId="16DD92AD">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60E7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2F06F142">
            <w:pPr>
              <w:spacing w:line="360" w:lineRule="exact"/>
              <w:jc w:val="center"/>
              <w:rPr>
                <w:rFonts w:ascii="宋体" w:hAnsi="宋体" w:eastAsia="宋体" w:cs="Times New Roman"/>
                <w:color w:val="auto"/>
              </w:rPr>
            </w:pPr>
          </w:p>
        </w:tc>
        <w:tc>
          <w:tcPr>
            <w:tcW w:w="814" w:type="dxa"/>
            <w:vMerge w:val="continue"/>
            <w:vAlign w:val="center"/>
          </w:tcPr>
          <w:p w14:paraId="38624A4B">
            <w:pPr>
              <w:spacing w:line="360" w:lineRule="exact"/>
              <w:jc w:val="center"/>
              <w:rPr>
                <w:rFonts w:ascii="宋体" w:hAnsi="宋体" w:eastAsia="宋体" w:cs="Times New Roman"/>
                <w:color w:val="auto"/>
              </w:rPr>
            </w:pPr>
          </w:p>
        </w:tc>
        <w:tc>
          <w:tcPr>
            <w:tcW w:w="2104" w:type="dxa"/>
            <w:vAlign w:val="center"/>
          </w:tcPr>
          <w:p w14:paraId="2DC8E681">
            <w:pPr>
              <w:spacing w:line="360" w:lineRule="exact"/>
              <w:jc w:val="center"/>
              <w:rPr>
                <w:rFonts w:ascii="宋体" w:hAnsi="宋体" w:eastAsia="宋体" w:cs="Times New Roman"/>
                <w:color w:val="auto"/>
              </w:rPr>
            </w:pPr>
            <w:r>
              <w:rPr>
                <w:rFonts w:ascii="宋体" w:hAnsi="宋体" w:eastAsia="宋体" w:cs="Times New Roman"/>
                <w:color w:val="auto"/>
              </w:rPr>
              <w:t>离心机</w:t>
            </w:r>
          </w:p>
        </w:tc>
        <w:tc>
          <w:tcPr>
            <w:tcW w:w="2490" w:type="dxa"/>
            <w:vAlign w:val="center"/>
          </w:tcPr>
          <w:p w14:paraId="0F3FB2BD">
            <w:pPr>
              <w:spacing w:line="360" w:lineRule="exact"/>
              <w:jc w:val="center"/>
              <w:rPr>
                <w:rFonts w:ascii="宋体" w:hAnsi="宋体" w:eastAsia="宋体" w:cs="Times New Roman"/>
                <w:color w:val="auto"/>
              </w:rPr>
            </w:pPr>
            <w:r>
              <w:rPr>
                <w:rFonts w:ascii="宋体" w:hAnsi="宋体" w:eastAsia="宋体" w:cs="Times New Roman"/>
                <w:color w:val="auto"/>
              </w:rPr>
              <w:t>LW450－842N</w:t>
            </w:r>
          </w:p>
        </w:tc>
        <w:tc>
          <w:tcPr>
            <w:tcW w:w="1925" w:type="dxa"/>
            <w:vAlign w:val="center"/>
          </w:tcPr>
          <w:p w14:paraId="19B8C844">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0DD5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restart"/>
            <w:vAlign w:val="center"/>
          </w:tcPr>
          <w:p w14:paraId="2F8EE026">
            <w:pPr>
              <w:spacing w:line="360" w:lineRule="exact"/>
              <w:jc w:val="center"/>
              <w:rPr>
                <w:rFonts w:ascii="宋体" w:hAnsi="宋体" w:eastAsia="宋体" w:cs="Times New Roman"/>
                <w:color w:val="auto"/>
              </w:rPr>
            </w:pPr>
            <w:r>
              <w:rPr>
                <w:rFonts w:ascii="宋体" w:hAnsi="宋体" w:eastAsia="宋体" w:cs="Times New Roman"/>
                <w:color w:val="auto"/>
              </w:rPr>
              <w:t>8</w:t>
            </w:r>
          </w:p>
        </w:tc>
        <w:tc>
          <w:tcPr>
            <w:tcW w:w="814" w:type="dxa"/>
            <w:vMerge w:val="restart"/>
            <w:vAlign w:val="center"/>
          </w:tcPr>
          <w:p w14:paraId="1739E594">
            <w:pPr>
              <w:spacing w:line="360" w:lineRule="exact"/>
              <w:jc w:val="center"/>
              <w:rPr>
                <w:rFonts w:ascii="宋体" w:hAnsi="宋体" w:eastAsia="宋体" w:cs="Times New Roman"/>
                <w:color w:val="auto"/>
              </w:rPr>
            </w:pPr>
            <w:r>
              <w:rPr>
                <w:rFonts w:ascii="宋体" w:hAnsi="宋体" w:eastAsia="宋体" w:cs="Times New Roman"/>
                <w:color w:val="auto"/>
              </w:rPr>
              <w:t>仪器</w:t>
            </w:r>
          </w:p>
          <w:p w14:paraId="23291517">
            <w:pPr>
              <w:spacing w:line="360" w:lineRule="exact"/>
              <w:jc w:val="center"/>
              <w:rPr>
                <w:rFonts w:ascii="宋体" w:hAnsi="宋体" w:eastAsia="宋体" w:cs="Times New Roman"/>
                <w:color w:val="auto"/>
              </w:rPr>
            </w:pPr>
            <w:r>
              <w:rPr>
                <w:rFonts w:ascii="宋体" w:hAnsi="宋体" w:eastAsia="宋体" w:cs="Times New Roman"/>
                <w:color w:val="auto"/>
              </w:rPr>
              <w:t>仪表</w:t>
            </w:r>
          </w:p>
        </w:tc>
        <w:tc>
          <w:tcPr>
            <w:tcW w:w="2104" w:type="dxa"/>
            <w:vAlign w:val="center"/>
          </w:tcPr>
          <w:p w14:paraId="7A1AE147">
            <w:pPr>
              <w:spacing w:line="360" w:lineRule="exact"/>
              <w:jc w:val="center"/>
              <w:rPr>
                <w:rFonts w:ascii="宋体" w:hAnsi="宋体" w:eastAsia="宋体" w:cs="Times New Roman"/>
                <w:color w:val="auto"/>
              </w:rPr>
            </w:pPr>
            <w:r>
              <w:rPr>
                <w:rFonts w:ascii="宋体" w:hAnsi="宋体" w:eastAsia="宋体" w:cs="Times New Roman"/>
                <w:color w:val="auto"/>
              </w:rPr>
              <w:t>钻井参数仪表</w:t>
            </w:r>
          </w:p>
        </w:tc>
        <w:tc>
          <w:tcPr>
            <w:tcW w:w="2490" w:type="dxa"/>
            <w:vAlign w:val="center"/>
          </w:tcPr>
          <w:p w14:paraId="74415D65">
            <w:pPr>
              <w:spacing w:line="360" w:lineRule="exact"/>
              <w:jc w:val="center"/>
              <w:rPr>
                <w:rFonts w:ascii="宋体" w:hAnsi="宋体" w:eastAsia="宋体" w:cs="Times New Roman"/>
                <w:color w:val="auto"/>
              </w:rPr>
            </w:pPr>
            <w:r>
              <w:rPr>
                <w:rFonts w:ascii="宋体" w:hAnsi="宋体" w:eastAsia="宋体" w:cs="Times New Roman"/>
                <w:color w:val="auto"/>
              </w:rPr>
              <w:t>SK-2Z01</w:t>
            </w:r>
          </w:p>
        </w:tc>
        <w:tc>
          <w:tcPr>
            <w:tcW w:w="1925" w:type="dxa"/>
            <w:vAlign w:val="center"/>
          </w:tcPr>
          <w:p w14:paraId="0AA8EE98">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0360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6562989B">
            <w:pPr>
              <w:spacing w:line="360" w:lineRule="exact"/>
              <w:jc w:val="center"/>
              <w:rPr>
                <w:rFonts w:ascii="宋体" w:hAnsi="宋体" w:eastAsia="宋体" w:cs="Times New Roman"/>
                <w:color w:val="auto"/>
              </w:rPr>
            </w:pPr>
          </w:p>
        </w:tc>
        <w:tc>
          <w:tcPr>
            <w:tcW w:w="814" w:type="dxa"/>
            <w:vMerge w:val="continue"/>
            <w:vAlign w:val="center"/>
          </w:tcPr>
          <w:p w14:paraId="12857044">
            <w:pPr>
              <w:spacing w:line="360" w:lineRule="exact"/>
              <w:jc w:val="center"/>
              <w:rPr>
                <w:rFonts w:ascii="宋体" w:hAnsi="宋体" w:eastAsia="宋体" w:cs="Times New Roman"/>
                <w:color w:val="auto"/>
              </w:rPr>
            </w:pPr>
          </w:p>
        </w:tc>
        <w:tc>
          <w:tcPr>
            <w:tcW w:w="2104" w:type="dxa"/>
            <w:vAlign w:val="center"/>
          </w:tcPr>
          <w:p w14:paraId="2430A125">
            <w:pPr>
              <w:spacing w:line="360" w:lineRule="exact"/>
              <w:jc w:val="center"/>
              <w:rPr>
                <w:rFonts w:ascii="宋体" w:hAnsi="宋体" w:eastAsia="宋体" w:cs="Times New Roman"/>
                <w:color w:val="auto"/>
              </w:rPr>
            </w:pPr>
            <w:r>
              <w:rPr>
                <w:rFonts w:ascii="宋体" w:hAnsi="宋体" w:eastAsia="宋体" w:cs="Times New Roman"/>
                <w:color w:val="auto"/>
              </w:rPr>
              <w:t>单点测斜仪</w:t>
            </w:r>
          </w:p>
        </w:tc>
        <w:tc>
          <w:tcPr>
            <w:tcW w:w="2490" w:type="dxa"/>
            <w:vAlign w:val="center"/>
          </w:tcPr>
          <w:p w14:paraId="78A2C402">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925" w:type="dxa"/>
            <w:vAlign w:val="center"/>
          </w:tcPr>
          <w:p w14:paraId="17466A14">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21FE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Merge w:val="continue"/>
            <w:vAlign w:val="center"/>
          </w:tcPr>
          <w:p w14:paraId="1F1314D5">
            <w:pPr>
              <w:spacing w:line="360" w:lineRule="exact"/>
              <w:jc w:val="center"/>
              <w:rPr>
                <w:rFonts w:ascii="宋体" w:hAnsi="宋体" w:eastAsia="宋体" w:cs="Times New Roman"/>
                <w:color w:val="auto"/>
              </w:rPr>
            </w:pPr>
          </w:p>
        </w:tc>
        <w:tc>
          <w:tcPr>
            <w:tcW w:w="814" w:type="dxa"/>
            <w:vMerge w:val="continue"/>
            <w:vAlign w:val="center"/>
          </w:tcPr>
          <w:p w14:paraId="3A12F630">
            <w:pPr>
              <w:spacing w:line="360" w:lineRule="exact"/>
              <w:jc w:val="center"/>
              <w:rPr>
                <w:rFonts w:ascii="宋体" w:hAnsi="宋体" w:eastAsia="宋体" w:cs="Times New Roman"/>
                <w:color w:val="auto"/>
              </w:rPr>
            </w:pPr>
          </w:p>
        </w:tc>
        <w:tc>
          <w:tcPr>
            <w:tcW w:w="2104" w:type="dxa"/>
            <w:vAlign w:val="center"/>
          </w:tcPr>
          <w:p w14:paraId="047B5BDE">
            <w:pPr>
              <w:spacing w:line="360" w:lineRule="exact"/>
              <w:jc w:val="center"/>
              <w:rPr>
                <w:rFonts w:ascii="宋体" w:hAnsi="宋体" w:eastAsia="宋体" w:cs="Times New Roman"/>
                <w:color w:val="auto"/>
              </w:rPr>
            </w:pPr>
            <w:r>
              <w:rPr>
                <w:rFonts w:ascii="宋体" w:hAnsi="宋体" w:eastAsia="宋体" w:cs="Times New Roman"/>
                <w:color w:val="auto"/>
              </w:rPr>
              <w:t>多点测斜仪</w:t>
            </w:r>
          </w:p>
        </w:tc>
        <w:tc>
          <w:tcPr>
            <w:tcW w:w="2490" w:type="dxa"/>
            <w:vAlign w:val="center"/>
          </w:tcPr>
          <w:p w14:paraId="0B80119E">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925" w:type="dxa"/>
            <w:vAlign w:val="center"/>
          </w:tcPr>
          <w:p w14:paraId="4B309631">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0A36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5" w:type="dxa"/>
            <w:vAlign w:val="center"/>
          </w:tcPr>
          <w:p w14:paraId="425A3B9D">
            <w:pPr>
              <w:spacing w:line="360" w:lineRule="exact"/>
              <w:jc w:val="center"/>
              <w:rPr>
                <w:rFonts w:ascii="宋体" w:hAnsi="宋体" w:eastAsia="宋体" w:cs="Times New Roman"/>
                <w:color w:val="auto"/>
              </w:rPr>
            </w:pPr>
            <w:r>
              <w:rPr>
                <w:rFonts w:ascii="宋体" w:hAnsi="宋体" w:eastAsia="宋体" w:cs="Times New Roman"/>
                <w:color w:val="auto"/>
              </w:rPr>
              <w:t>9</w:t>
            </w:r>
          </w:p>
        </w:tc>
        <w:tc>
          <w:tcPr>
            <w:tcW w:w="2918" w:type="dxa"/>
            <w:gridSpan w:val="2"/>
            <w:vAlign w:val="center"/>
          </w:tcPr>
          <w:p w14:paraId="1AADC77C">
            <w:pPr>
              <w:spacing w:line="360" w:lineRule="exact"/>
              <w:jc w:val="center"/>
              <w:rPr>
                <w:rFonts w:ascii="宋体" w:hAnsi="宋体" w:eastAsia="宋体" w:cs="Times New Roman"/>
                <w:color w:val="auto"/>
              </w:rPr>
            </w:pPr>
            <w:r>
              <w:rPr>
                <w:rFonts w:ascii="宋体" w:hAnsi="宋体" w:eastAsia="宋体" w:cs="Times New Roman"/>
                <w:color w:val="auto"/>
              </w:rPr>
              <w:t>液压大钳</w:t>
            </w:r>
          </w:p>
        </w:tc>
        <w:tc>
          <w:tcPr>
            <w:tcW w:w="2490" w:type="dxa"/>
            <w:vAlign w:val="center"/>
          </w:tcPr>
          <w:p w14:paraId="17CAA489">
            <w:pPr>
              <w:spacing w:line="360" w:lineRule="exact"/>
              <w:jc w:val="center"/>
              <w:rPr>
                <w:rFonts w:ascii="宋体" w:hAnsi="宋体" w:eastAsia="宋体" w:cs="Times New Roman"/>
                <w:color w:val="auto"/>
              </w:rPr>
            </w:pPr>
            <w:r>
              <w:rPr>
                <w:rFonts w:ascii="宋体" w:hAnsi="宋体" w:eastAsia="宋体" w:cs="Times New Roman"/>
                <w:color w:val="auto"/>
              </w:rPr>
              <w:t>YQ-100</w:t>
            </w:r>
          </w:p>
        </w:tc>
        <w:tc>
          <w:tcPr>
            <w:tcW w:w="1925" w:type="dxa"/>
            <w:vAlign w:val="center"/>
          </w:tcPr>
          <w:p w14:paraId="5416CFFE">
            <w:pPr>
              <w:spacing w:line="360" w:lineRule="exact"/>
              <w:jc w:val="center"/>
              <w:rPr>
                <w:rFonts w:ascii="宋体" w:hAnsi="宋体" w:eastAsia="宋体" w:cs="Times New Roman"/>
                <w:color w:val="auto"/>
              </w:rPr>
            </w:pPr>
            <w:r>
              <w:rPr>
                <w:rFonts w:ascii="宋体" w:hAnsi="宋体" w:eastAsia="宋体" w:cs="Times New Roman"/>
                <w:color w:val="auto"/>
              </w:rPr>
              <w:t>100kN•m</w:t>
            </w:r>
          </w:p>
        </w:tc>
        <w:bookmarkStart w:id="639" w:name="_Toc135978415"/>
        <w:bookmarkEnd w:id="639"/>
      </w:tr>
    </w:tbl>
    <w:p w14:paraId="5C7FEB3E">
      <w:pPr>
        <w:pStyle w:val="22"/>
        <w:spacing w:before="156"/>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4</w:t>
      </w:r>
      <w:r>
        <w:rPr>
          <w:color w:val="auto"/>
        </w:rPr>
        <w:fldChar w:fldCharType="end"/>
      </w:r>
      <w:r>
        <w:rPr>
          <w:color w:val="auto"/>
        </w:rPr>
        <w:t>ZJ-40D/2250钻机及钻井主要设备性能</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954"/>
        <w:gridCol w:w="2336"/>
        <w:gridCol w:w="2803"/>
        <w:gridCol w:w="2169"/>
      </w:tblGrid>
      <w:tr w14:paraId="6EE0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Align w:val="center"/>
          </w:tcPr>
          <w:p w14:paraId="3270A1DC">
            <w:pPr>
              <w:spacing w:line="360" w:lineRule="exact"/>
              <w:jc w:val="center"/>
              <w:rPr>
                <w:rFonts w:ascii="宋体" w:hAnsi="宋体" w:eastAsia="宋体" w:cs="Times New Roman"/>
                <w:color w:val="auto"/>
              </w:rPr>
            </w:pPr>
            <w:r>
              <w:rPr>
                <w:rFonts w:ascii="宋体" w:hAnsi="宋体" w:eastAsia="宋体" w:cs="Times New Roman"/>
                <w:color w:val="auto"/>
              </w:rPr>
              <w:t>序号</w:t>
            </w:r>
          </w:p>
        </w:tc>
        <w:tc>
          <w:tcPr>
            <w:tcW w:w="3210" w:type="dxa"/>
            <w:gridSpan w:val="2"/>
            <w:vAlign w:val="center"/>
          </w:tcPr>
          <w:p w14:paraId="25FE43D3">
            <w:pPr>
              <w:spacing w:line="360" w:lineRule="exact"/>
              <w:jc w:val="center"/>
              <w:rPr>
                <w:rFonts w:ascii="宋体" w:hAnsi="宋体" w:eastAsia="宋体" w:cs="Times New Roman"/>
                <w:color w:val="auto"/>
              </w:rPr>
            </w:pPr>
            <w:r>
              <w:rPr>
                <w:rFonts w:ascii="宋体" w:hAnsi="宋体" w:eastAsia="宋体" w:cs="Times New Roman"/>
                <w:color w:val="auto"/>
              </w:rPr>
              <w:t>名    称</w:t>
            </w:r>
          </w:p>
        </w:tc>
        <w:tc>
          <w:tcPr>
            <w:tcW w:w="2735" w:type="dxa"/>
            <w:vAlign w:val="center"/>
          </w:tcPr>
          <w:p w14:paraId="267CB365">
            <w:pPr>
              <w:spacing w:line="360" w:lineRule="exact"/>
              <w:jc w:val="center"/>
              <w:rPr>
                <w:rFonts w:ascii="宋体" w:hAnsi="宋体" w:eastAsia="宋体" w:cs="Times New Roman"/>
                <w:color w:val="auto"/>
              </w:rPr>
            </w:pPr>
            <w:r>
              <w:rPr>
                <w:rFonts w:ascii="宋体" w:hAnsi="宋体" w:eastAsia="宋体" w:cs="Times New Roman"/>
                <w:color w:val="auto"/>
              </w:rPr>
              <w:t>型 号</w:t>
            </w:r>
          </w:p>
        </w:tc>
        <w:tc>
          <w:tcPr>
            <w:tcW w:w="2116" w:type="dxa"/>
            <w:vAlign w:val="center"/>
          </w:tcPr>
          <w:p w14:paraId="18FAF6F2">
            <w:pPr>
              <w:spacing w:line="360" w:lineRule="exact"/>
              <w:jc w:val="center"/>
              <w:rPr>
                <w:rFonts w:ascii="宋体" w:hAnsi="宋体" w:eastAsia="宋体" w:cs="Times New Roman"/>
                <w:color w:val="auto"/>
              </w:rPr>
            </w:pPr>
            <w:r>
              <w:rPr>
                <w:rFonts w:ascii="宋体" w:hAnsi="宋体" w:eastAsia="宋体" w:cs="Times New Roman"/>
                <w:color w:val="auto"/>
              </w:rPr>
              <w:t>主要技术参数</w:t>
            </w:r>
          </w:p>
        </w:tc>
      </w:tr>
      <w:tr w14:paraId="028B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9" w:type="dxa"/>
            <w:vAlign w:val="center"/>
          </w:tcPr>
          <w:p w14:paraId="30C83D06">
            <w:pPr>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3210" w:type="dxa"/>
            <w:gridSpan w:val="2"/>
            <w:vAlign w:val="center"/>
          </w:tcPr>
          <w:p w14:paraId="0CD9EB45">
            <w:pPr>
              <w:spacing w:line="360" w:lineRule="exact"/>
              <w:jc w:val="center"/>
              <w:rPr>
                <w:rFonts w:ascii="宋体" w:hAnsi="宋体" w:eastAsia="宋体" w:cs="Times New Roman"/>
                <w:color w:val="auto"/>
              </w:rPr>
            </w:pPr>
            <w:r>
              <w:rPr>
                <w:rFonts w:ascii="宋体" w:hAnsi="宋体" w:eastAsia="宋体" w:cs="Times New Roman"/>
                <w:color w:val="auto"/>
              </w:rPr>
              <w:t>钻机</w:t>
            </w:r>
          </w:p>
        </w:tc>
        <w:tc>
          <w:tcPr>
            <w:tcW w:w="2735" w:type="dxa"/>
            <w:vAlign w:val="center"/>
          </w:tcPr>
          <w:p w14:paraId="1F23729C">
            <w:pPr>
              <w:spacing w:line="360" w:lineRule="exact"/>
              <w:jc w:val="center"/>
              <w:rPr>
                <w:rFonts w:ascii="宋体" w:hAnsi="宋体" w:eastAsia="宋体" w:cs="Times New Roman"/>
                <w:color w:val="auto"/>
              </w:rPr>
            </w:pPr>
            <w:r>
              <w:rPr>
                <w:rFonts w:ascii="宋体" w:hAnsi="宋体" w:eastAsia="宋体" w:cs="Times New Roman"/>
                <w:color w:val="auto"/>
              </w:rPr>
              <w:t>ZJ-40D/2250</w:t>
            </w:r>
          </w:p>
        </w:tc>
        <w:tc>
          <w:tcPr>
            <w:tcW w:w="2116" w:type="dxa"/>
            <w:vAlign w:val="center"/>
          </w:tcPr>
          <w:p w14:paraId="2DF09B85">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16C9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Align w:val="center"/>
          </w:tcPr>
          <w:p w14:paraId="2CF5CBDA">
            <w:pPr>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3210" w:type="dxa"/>
            <w:gridSpan w:val="2"/>
            <w:vAlign w:val="center"/>
          </w:tcPr>
          <w:p w14:paraId="6C9A31D4">
            <w:pPr>
              <w:spacing w:line="360" w:lineRule="exact"/>
              <w:jc w:val="center"/>
              <w:rPr>
                <w:rFonts w:ascii="宋体" w:hAnsi="宋体" w:eastAsia="宋体" w:cs="Times New Roman"/>
                <w:color w:val="auto"/>
              </w:rPr>
            </w:pPr>
            <w:r>
              <w:rPr>
                <w:rFonts w:ascii="宋体" w:hAnsi="宋体" w:eastAsia="宋体" w:cs="Times New Roman"/>
                <w:color w:val="auto"/>
              </w:rPr>
              <w:t>井架</w:t>
            </w:r>
          </w:p>
        </w:tc>
        <w:tc>
          <w:tcPr>
            <w:tcW w:w="2735" w:type="dxa"/>
            <w:vAlign w:val="center"/>
          </w:tcPr>
          <w:p w14:paraId="7276755E">
            <w:pPr>
              <w:spacing w:line="360" w:lineRule="exact"/>
              <w:jc w:val="center"/>
              <w:rPr>
                <w:rFonts w:ascii="宋体" w:hAnsi="宋体" w:eastAsia="宋体" w:cs="Times New Roman"/>
                <w:color w:val="auto"/>
              </w:rPr>
            </w:pPr>
            <w:r>
              <w:rPr>
                <w:rFonts w:ascii="宋体" w:hAnsi="宋体" w:eastAsia="宋体" w:cs="Times New Roman"/>
                <w:color w:val="auto"/>
              </w:rPr>
              <w:t>JJ225/43-K1</w:t>
            </w:r>
          </w:p>
        </w:tc>
        <w:tc>
          <w:tcPr>
            <w:tcW w:w="2116" w:type="dxa"/>
            <w:vAlign w:val="center"/>
          </w:tcPr>
          <w:p w14:paraId="458191F5">
            <w:pPr>
              <w:spacing w:line="360" w:lineRule="exact"/>
              <w:jc w:val="center"/>
              <w:rPr>
                <w:rFonts w:ascii="宋体" w:hAnsi="宋体" w:eastAsia="宋体" w:cs="Times New Roman"/>
                <w:color w:val="auto"/>
              </w:rPr>
            </w:pPr>
            <w:r>
              <w:rPr>
                <w:rFonts w:ascii="宋体" w:hAnsi="宋体" w:eastAsia="宋体" w:cs="Times New Roman"/>
                <w:color w:val="auto"/>
              </w:rPr>
              <w:t>2250 kN</w:t>
            </w:r>
          </w:p>
        </w:tc>
      </w:tr>
      <w:tr w14:paraId="332F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restart"/>
            <w:vAlign w:val="center"/>
          </w:tcPr>
          <w:p w14:paraId="3FACEC48">
            <w:pPr>
              <w:spacing w:line="360" w:lineRule="exact"/>
              <w:jc w:val="center"/>
              <w:rPr>
                <w:rFonts w:ascii="宋体" w:hAnsi="宋体" w:eastAsia="宋体" w:cs="Times New Roman"/>
                <w:color w:val="auto"/>
              </w:rPr>
            </w:pPr>
          </w:p>
          <w:p w14:paraId="67F15BA6">
            <w:pPr>
              <w:spacing w:line="360" w:lineRule="exact"/>
              <w:jc w:val="center"/>
              <w:rPr>
                <w:rFonts w:ascii="宋体" w:hAnsi="宋体" w:eastAsia="宋体" w:cs="Times New Roman"/>
                <w:color w:val="auto"/>
              </w:rPr>
            </w:pPr>
          </w:p>
          <w:p w14:paraId="3155D2D0">
            <w:pPr>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931" w:type="dxa"/>
            <w:vMerge w:val="restart"/>
            <w:vAlign w:val="center"/>
          </w:tcPr>
          <w:p w14:paraId="4485316E">
            <w:pPr>
              <w:spacing w:line="360" w:lineRule="exact"/>
              <w:jc w:val="center"/>
              <w:rPr>
                <w:rFonts w:ascii="宋体" w:hAnsi="宋体" w:eastAsia="宋体" w:cs="Times New Roman"/>
                <w:color w:val="auto"/>
              </w:rPr>
            </w:pPr>
          </w:p>
          <w:p w14:paraId="44C627D2">
            <w:pPr>
              <w:spacing w:line="360" w:lineRule="exact"/>
              <w:jc w:val="center"/>
              <w:rPr>
                <w:rFonts w:ascii="宋体" w:hAnsi="宋体" w:eastAsia="宋体" w:cs="Times New Roman"/>
                <w:color w:val="auto"/>
              </w:rPr>
            </w:pPr>
            <w:r>
              <w:rPr>
                <w:rFonts w:ascii="宋体" w:hAnsi="宋体" w:eastAsia="宋体" w:cs="Times New Roman"/>
                <w:color w:val="auto"/>
              </w:rPr>
              <w:t>提升</w:t>
            </w:r>
          </w:p>
          <w:p w14:paraId="00F27B7C">
            <w:pPr>
              <w:spacing w:line="360" w:lineRule="exact"/>
              <w:jc w:val="center"/>
              <w:rPr>
                <w:rFonts w:ascii="宋体" w:hAnsi="宋体" w:eastAsia="宋体" w:cs="Times New Roman"/>
                <w:color w:val="auto"/>
              </w:rPr>
            </w:pPr>
            <w:r>
              <w:rPr>
                <w:rFonts w:ascii="宋体" w:hAnsi="宋体" w:eastAsia="宋体" w:cs="Times New Roman"/>
                <w:color w:val="auto"/>
              </w:rPr>
              <w:t>系统</w:t>
            </w:r>
          </w:p>
        </w:tc>
        <w:tc>
          <w:tcPr>
            <w:tcW w:w="2279" w:type="dxa"/>
            <w:vAlign w:val="center"/>
          </w:tcPr>
          <w:p w14:paraId="7177EF81">
            <w:pPr>
              <w:spacing w:line="360" w:lineRule="exact"/>
              <w:jc w:val="center"/>
              <w:rPr>
                <w:rFonts w:ascii="宋体" w:hAnsi="宋体" w:eastAsia="宋体" w:cs="Times New Roman"/>
                <w:color w:val="auto"/>
              </w:rPr>
            </w:pPr>
            <w:r>
              <w:rPr>
                <w:rFonts w:ascii="宋体" w:hAnsi="宋体" w:eastAsia="宋体" w:cs="Times New Roman"/>
                <w:color w:val="auto"/>
              </w:rPr>
              <w:t>大钩</w:t>
            </w:r>
          </w:p>
        </w:tc>
        <w:tc>
          <w:tcPr>
            <w:tcW w:w="2735" w:type="dxa"/>
            <w:vAlign w:val="center"/>
          </w:tcPr>
          <w:p w14:paraId="212C0F31">
            <w:pPr>
              <w:spacing w:line="360" w:lineRule="exact"/>
              <w:jc w:val="center"/>
              <w:rPr>
                <w:rFonts w:ascii="宋体" w:hAnsi="宋体" w:eastAsia="宋体" w:cs="Times New Roman"/>
                <w:color w:val="auto"/>
              </w:rPr>
            </w:pPr>
            <w:r>
              <w:rPr>
                <w:rFonts w:ascii="宋体" w:hAnsi="宋体" w:eastAsia="宋体" w:cs="Times New Roman"/>
                <w:color w:val="auto"/>
              </w:rPr>
              <w:t>DG-225</w:t>
            </w:r>
          </w:p>
        </w:tc>
        <w:tc>
          <w:tcPr>
            <w:tcW w:w="2116" w:type="dxa"/>
            <w:vAlign w:val="center"/>
          </w:tcPr>
          <w:p w14:paraId="324F9C66">
            <w:pPr>
              <w:spacing w:line="360" w:lineRule="exact"/>
              <w:jc w:val="center"/>
              <w:rPr>
                <w:rFonts w:ascii="宋体" w:hAnsi="宋体" w:eastAsia="宋体" w:cs="Times New Roman"/>
                <w:color w:val="auto"/>
              </w:rPr>
            </w:pPr>
            <w:r>
              <w:rPr>
                <w:rFonts w:ascii="宋体" w:hAnsi="宋体" w:eastAsia="宋体" w:cs="Times New Roman"/>
                <w:color w:val="auto"/>
              </w:rPr>
              <w:t>2250 kN</w:t>
            </w:r>
          </w:p>
        </w:tc>
      </w:tr>
      <w:tr w14:paraId="66FD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4B0465AB">
            <w:pPr>
              <w:spacing w:line="360" w:lineRule="exact"/>
              <w:jc w:val="center"/>
              <w:rPr>
                <w:rFonts w:ascii="宋体" w:hAnsi="宋体" w:eastAsia="宋体" w:cs="Times New Roman"/>
                <w:color w:val="auto"/>
              </w:rPr>
            </w:pPr>
          </w:p>
        </w:tc>
        <w:tc>
          <w:tcPr>
            <w:tcW w:w="931" w:type="dxa"/>
            <w:vMerge w:val="continue"/>
            <w:vAlign w:val="center"/>
          </w:tcPr>
          <w:p w14:paraId="02BD1C81">
            <w:pPr>
              <w:spacing w:line="360" w:lineRule="exact"/>
              <w:jc w:val="center"/>
              <w:rPr>
                <w:rFonts w:ascii="宋体" w:hAnsi="宋体" w:eastAsia="宋体" w:cs="Times New Roman"/>
                <w:color w:val="auto"/>
              </w:rPr>
            </w:pPr>
          </w:p>
        </w:tc>
        <w:tc>
          <w:tcPr>
            <w:tcW w:w="2279" w:type="dxa"/>
            <w:vAlign w:val="center"/>
          </w:tcPr>
          <w:p w14:paraId="2BFB2A00">
            <w:pPr>
              <w:spacing w:line="360" w:lineRule="exact"/>
              <w:jc w:val="center"/>
              <w:rPr>
                <w:rFonts w:ascii="宋体" w:hAnsi="宋体" w:eastAsia="宋体" w:cs="Times New Roman"/>
                <w:color w:val="auto"/>
              </w:rPr>
            </w:pPr>
            <w:r>
              <w:rPr>
                <w:rFonts w:ascii="宋体" w:hAnsi="宋体" w:eastAsia="宋体" w:cs="Times New Roman"/>
                <w:color w:val="auto"/>
              </w:rPr>
              <w:t>绞车</w:t>
            </w:r>
          </w:p>
        </w:tc>
        <w:tc>
          <w:tcPr>
            <w:tcW w:w="2735" w:type="dxa"/>
            <w:vAlign w:val="center"/>
          </w:tcPr>
          <w:p w14:paraId="5D871120">
            <w:pPr>
              <w:spacing w:line="360" w:lineRule="exact"/>
              <w:jc w:val="center"/>
              <w:rPr>
                <w:rFonts w:ascii="宋体" w:hAnsi="宋体" w:eastAsia="宋体" w:cs="Times New Roman"/>
                <w:color w:val="auto"/>
              </w:rPr>
            </w:pPr>
            <w:r>
              <w:rPr>
                <w:rFonts w:ascii="宋体" w:hAnsi="宋体" w:eastAsia="宋体" w:cs="Times New Roman"/>
                <w:color w:val="auto"/>
              </w:rPr>
              <w:t>JC-40DB1</w:t>
            </w:r>
          </w:p>
        </w:tc>
        <w:tc>
          <w:tcPr>
            <w:tcW w:w="2116" w:type="dxa"/>
            <w:vAlign w:val="center"/>
          </w:tcPr>
          <w:p w14:paraId="21A8E247">
            <w:pPr>
              <w:spacing w:line="360" w:lineRule="exact"/>
              <w:jc w:val="center"/>
              <w:rPr>
                <w:rFonts w:ascii="宋体" w:hAnsi="宋体" w:eastAsia="宋体" w:cs="Times New Roman"/>
                <w:color w:val="auto"/>
              </w:rPr>
            </w:pPr>
            <w:r>
              <w:rPr>
                <w:rFonts w:ascii="宋体" w:hAnsi="宋体" w:eastAsia="宋体" w:cs="Times New Roman"/>
                <w:color w:val="auto"/>
              </w:rPr>
              <w:t>735 kW</w:t>
            </w:r>
          </w:p>
        </w:tc>
      </w:tr>
      <w:tr w14:paraId="5E27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2495EE3D">
            <w:pPr>
              <w:spacing w:line="360" w:lineRule="exact"/>
              <w:jc w:val="center"/>
              <w:rPr>
                <w:rFonts w:ascii="宋体" w:hAnsi="宋体" w:eastAsia="宋体" w:cs="Times New Roman"/>
                <w:color w:val="auto"/>
              </w:rPr>
            </w:pPr>
          </w:p>
        </w:tc>
        <w:tc>
          <w:tcPr>
            <w:tcW w:w="931" w:type="dxa"/>
            <w:vMerge w:val="continue"/>
            <w:vAlign w:val="center"/>
          </w:tcPr>
          <w:p w14:paraId="26E16AB6">
            <w:pPr>
              <w:spacing w:line="360" w:lineRule="exact"/>
              <w:jc w:val="center"/>
              <w:rPr>
                <w:rFonts w:ascii="宋体" w:hAnsi="宋体" w:eastAsia="宋体" w:cs="Times New Roman"/>
                <w:color w:val="auto"/>
              </w:rPr>
            </w:pPr>
          </w:p>
        </w:tc>
        <w:tc>
          <w:tcPr>
            <w:tcW w:w="2279" w:type="dxa"/>
            <w:vAlign w:val="center"/>
          </w:tcPr>
          <w:p w14:paraId="30C785B6">
            <w:pPr>
              <w:spacing w:line="360" w:lineRule="exact"/>
              <w:jc w:val="center"/>
              <w:rPr>
                <w:rFonts w:ascii="宋体" w:hAnsi="宋体" w:eastAsia="宋体" w:cs="Times New Roman"/>
                <w:color w:val="auto"/>
              </w:rPr>
            </w:pPr>
            <w:r>
              <w:rPr>
                <w:rFonts w:ascii="宋体" w:hAnsi="宋体" w:eastAsia="宋体" w:cs="Times New Roman"/>
                <w:color w:val="auto"/>
              </w:rPr>
              <w:t>水龙头</w:t>
            </w:r>
          </w:p>
        </w:tc>
        <w:tc>
          <w:tcPr>
            <w:tcW w:w="2735" w:type="dxa"/>
            <w:vAlign w:val="center"/>
          </w:tcPr>
          <w:p w14:paraId="7161566E">
            <w:pPr>
              <w:spacing w:line="360" w:lineRule="exact"/>
              <w:jc w:val="center"/>
              <w:rPr>
                <w:rFonts w:ascii="宋体" w:hAnsi="宋体" w:eastAsia="宋体" w:cs="Times New Roman"/>
                <w:color w:val="auto"/>
              </w:rPr>
            </w:pPr>
            <w:r>
              <w:rPr>
                <w:rFonts w:ascii="宋体" w:hAnsi="宋体" w:eastAsia="宋体" w:cs="Times New Roman"/>
                <w:color w:val="auto"/>
              </w:rPr>
              <w:t>SL-225</w:t>
            </w:r>
          </w:p>
        </w:tc>
        <w:tc>
          <w:tcPr>
            <w:tcW w:w="2116" w:type="dxa"/>
            <w:vAlign w:val="center"/>
          </w:tcPr>
          <w:p w14:paraId="3E3DA675">
            <w:pPr>
              <w:spacing w:line="360" w:lineRule="exact"/>
              <w:jc w:val="center"/>
              <w:rPr>
                <w:rFonts w:ascii="宋体" w:hAnsi="宋体" w:eastAsia="宋体" w:cs="Times New Roman"/>
                <w:color w:val="auto"/>
              </w:rPr>
            </w:pPr>
            <w:r>
              <w:rPr>
                <w:rFonts w:ascii="宋体" w:hAnsi="宋体" w:eastAsia="宋体" w:cs="Times New Roman"/>
                <w:color w:val="auto"/>
              </w:rPr>
              <w:t>2250 kN</w:t>
            </w:r>
          </w:p>
        </w:tc>
      </w:tr>
      <w:tr w14:paraId="3358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33BBF09B">
            <w:pPr>
              <w:spacing w:line="360" w:lineRule="exact"/>
              <w:jc w:val="center"/>
              <w:rPr>
                <w:rFonts w:ascii="宋体" w:hAnsi="宋体" w:eastAsia="宋体" w:cs="Times New Roman"/>
                <w:color w:val="auto"/>
              </w:rPr>
            </w:pPr>
          </w:p>
        </w:tc>
        <w:tc>
          <w:tcPr>
            <w:tcW w:w="931" w:type="dxa"/>
            <w:vMerge w:val="continue"/>
            <w:vAlign w:val="center"/>
          </w:tcPr>
          <w:p w14:paraId="4C0A4918">
            <w:pPr>
              <w:spacing w:line="360" w:lineRule="exact"/>
              <w:jc w:val="center"/>
              <w:rPr>
                <w:rFonts w:ascii="宋体" w:hAnsi="宋体" w:eastAsia="宋体" w:cs="Times New Roman"/>
                <w:color w:val="auto"/>
              </w:rPr>
            </w:pPr>
          </w:p>
        </w:tc>
        <w:tc>
          <w:tcPr>
            <w:tcW w:w="2279" w:type="dxa"/>
            <w:vAlign w:val="center"/>
          </w:tcPr>
          <w:p w14:paraId="41A2EEF1">
            <w:pPr>
              <w:spacing w:line="360" w:lineRule="exact"/>
              <w:jc w:val="center"/>
              <w:rPr>
                <w:rFonts w:ascii="宋体" w:hAnsi="宋体" w:eastAsia="宋体" w:cs="Times New Roman"/>
                <w:color w:val="auto"/>
              </w:rPr>
            </w:pPr>
            <w:r>
              <w:rPr>
                <w:rFonts w:ascii="宋体" w:hAnsi="宋体" w:eastAsia="宋体" w:cs="Times New Roman"/>
                <w:color w:val="auto"/>
              </w:rPr>
              <w:t>天车</w:t>
            </w:r>
          </w:p>
        </w:tc>
        <w:tc>
          <w:tcPr>
            <w:tcW w:w="2735" w:type="dxa"/>
            <w:vAlign w:val="center"/>
          </w:tcPr>
          <w:p w14:paraId="22B5697F">
            <w:pPr>
              <w:spacing w:line="360" w:lineRule="exact"/>
              <w:jc w:val="center"/>
              <w:rPr>
                <w:rFonts w:ascii="宋体" w:hAnsi="宋体" w:eastAsia="宋体" w:cs="Times New Roman"/>
                <w:color w:val="auto"/>
              </w:rPr>
            </w:pPr>
            <w:r>
              <w:rPr>
                <w:rFonts w:ascii="宋体" w:hAnsi="宋体" w:eastAsia="宋体" w:cs="Times New Roman"/>
                <w:color w:val="auto"/>
              </w:rPr>
              <w:t>TC-225</w:t>
            </w:r>
          </w:p>
        </w:tc>
        <w:tc>
          <w:tcPr>
            <w:tcW w:w="2116" w:type="dxa"/>
            <w:vAlign w:val="center"/>
          </w:tcPr>
          <w:p w14:paraId="249CEDBA">
            <w:pPr>
              <w:spacing w:line="360" w:lineRule="exact"/>
              <w:jc w:val="center"/>
              <w:rPr>
                <w:rFonts w:ascii="宋体" w:hAnsi="宋体" w:eastAsia="宋体" w:cs="Times New Roman"/>
                <w:color w:val="auto"/>
              </w:rPr>
            </w:pPr>
            <w:r>
              <w:rPr>
                <w:rFonts w:ascii="宋体" w:hAnsi="宋体" w:eastAsia="宋体" w:cs="Times New Roman"/>
                <w:color w:val="auto"/>
              </w:rPr>
              <w:t>2250 kN</w:t>
            </w:r>
          </w:p>
        </w:tc>
      </w:tr>
      <w:tr w14:paraId="0AA2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6F1A3402">
            <w:pPr>
              <w:spacing w:line="360" w:lineRule="exact"/>
              <w:jc w:val="center"/>
              <w:rPr>
                <w:rFonts w:ascii="宋体" w:hAnsi="宋体" w:eastAsia="宋体" w:cs="Times New Roman"/>
                <w:color w:val="auto"/>
              </w:rPr>
            </w:pPr>
          </w:p>
        </w:tc>
        <w:tc>
          <w:tcPr>
            <w:tcW w:w="931" w:type="dxa"/>
            <w:vMerge w:val="continue"/>
            <w:vAlign w:val="center"/>
          </w:tcPr>
          <w:p w14:paraId="5B4A1A26">
            <w:pPr>
              <w:spacing w:line="360" w:lineRule="exact"/>
              <w:jc w:val="center"/>
              <w:rPr>
                <w:rFonts w:ascii="宋体" w:hAnsi="宋体" w:eastAsia="宋体" w:cs="Times New Roman"/>
                <w:color w:val="auto"/>
              </w:rPr>
            </w:pPr>
          </w:p>
        </w:tc>
        <w:tc>
          <w:tcPr>
            <w:tcW w:w="2279" w:type="dxa"/>
            <w:vAlign w:val="center"/>
          </w:tcPr>
          <w:p w14:paraId="44DA1386">
            <w:pPr>
              <w:spacing w:line="360" w:lineRule="exact"/>
              <w:jc w:val="center"/>
              <w:rPr>
                <w:rFonts w:ascii="宋体" w:hAnsi="宋体" w:eastAsia="宋体" w:cs="Times New Roman"/>
                <w:color w:val="auto"/>
              </w:rPr>
            </w:pPr>
            <w:r>
              <w:rPr>
                <w:rFonts w:ascii="宋体" w:hAnsi="宋体" w:eastAsia="宋体" w:cs="Times New Roman"/>
                <w:color w:val="auto"/>
              </w:rPr>
              <w:t>游动滑车</w:t>
            </w:r>
          </w:p>
        </w:tc>
        <w:tc>
          <w:tcPr>
            <w:tcW w:w="2735" w:type="dxa"/>
            <w:vAlign w:val="center"/>
          </w:tcPr>
          <w:p w14:paraId="7D2BCED9">
            <w:pPr>
              <w:spacing w:line="360" w:lineRule="exact"/>
              <w:jc w:val="center"/>
              <w:rPr>
                <w:rFonts w:ascii="宋体" w:hAnsi="宋体" w:eastAsia="宋体" w:cs="Times New Roman"/>
                <w:color w:val="auto"/>
              </w:rPr>
            </w:pPr>
            <w:r>
              <w:rPr>
                <w:rFonts w:ascii="宋体" w:hAnsi="宋体" w:eastAsia="宋体" w:cs="Times New Roman"/>
                <w:color w:val="auto"/>
              </w:rPr>
              <w:t>YC-225</w:t>
            </w:r>
          </w:p>
        </w:tc>
        <w:tc>
          <w:tcPr>
            <w:tcW w:w="2116" w:type="dxa"/>
            <w:vAlign w:val="center"/>
          </w:tcPr>
          <w:p w14:paraId="14AB4C80">
            <w:pPr>
              <w:spacing w:line="360" w:lineRule="exact"/>
              <w:jc w:val="center"/>
              <w:rPr>
                <w:rFonts w:ascii="宋体" w:hAnsi="宋体" w:eastAsia="宋体" w:cs="Times New Roman"/>
                <w:color w:val="auto"/>
              </w:rPr>
            </w:pPr>
            <w:r>
              <w:rPr>
                <w:rFonts w:ascii="宋体" w:hAnsi="宋体" w:eastAsia="宋体" w:cs="Times New Roman"/>
                <w:color w:val="auto"/>
              </w:rPr>
              <w:t>2250 kN</w:t>
            </w:r>
          </w:p>
        </w:tc>
      </w:tr>
      <w:tr w14:paraId="64E5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Align w:val="center"/>
          </w:tcPr>
          <w:p w14:paraId="19F24D06">
            <w:pPr>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3210" w:type="dxa"/>
            <w:gridSpan w:val="2"/>
            <w:vAlign w:val="center"/>
          </w:tcPr>
          <w:p w14:paraId="7F81AD54">
            <w:pPr>
              <w:spacing w:line="360" w:lineRule="exact"/>
              <w:jc w:val="center"/>
              <w:rPr>
                <w:rFonts w:ascii="宋体" w:hAnsi="宋体" w:eastAsia="宋体" w:cs="Times New Roman"/>
                <w:color w:val="auto"/>
              </w:rPr>
            </w:pPr>
            <w:r>
              <w:rPr>
                <w:rFonts w:ascii="宋体" w:hAnsi="宋体" w:eastAsia="宋体" w:cs="Times New Roman"/>
                <w:color w:val="auto"/>
              </w:rPr>
              <w:t>顶部驱动装置</w:t>
            </w:r>
          </w:p>
        </w:tc>
        <w:tc>
          <w:tcPr>
            <w:tcW w:w="2735" w:type="dxa"/>
            <w:vAlign w:val="center"/>
          </w:tcPr>
          <w:p w14:paraId="2CE35AAA">
            <w:pPr>
              <w:spacing w:line="360" w:lineRule="exact"/>
              <w:jc w:val="center"/>
              <w:rPr>
                <w:rFonts w:ascii="宋体" w:hAnsi="宋体" w:eastAsia="宋体" w:cs="Times New Roman"/>
                <w:color w:val="auto"/>
              </w:rPr>
            </w:pPr>
            <w:r>
              <w:rPr>
                <w:rFonts w:ascii="宋体" w:hAnsi="宋体" w:eastAsia="宋体" w:cs="Times New Roman"/>
                <w:color w:val="auto"/>
              </w:rPr>
              <w:t>DQ40Y</w:t>
            </w:r>
          </w:p>
        </w:tc>
        <w:tc>
          <w:tcPr>
            <w:tcW w:w="2116" w:type="dxa"/>
            <w:vAlign w:val="center"/>
          </w:tcPr>
          <w:p w14:paraId="2919FC02">
            <w:pPr>
              <w:spacing w:line="360" w:lineRule="exact"/>
              <w:jc w:val="center"/>
              <w:rPr>
                <w:rFonts w:ascii="宋体" w:hAnsi="宋体" w:eastAsia="宋体" w:cs="Times New Roman"/>
                <w:color w:val="auto"/>
              </w:rPr>
            </w:pPr>
            <w:r>
              <w:rPr>
                <w:rFonts w:ascii="宋体" w:hAnsi="宋体" w:eastAsia="宋体" w:cs="Times New Roman"/>
                <w:color w:val="auto"/>
              </w:rPr>
              <w:t>2250 kN</w:t>
            </w:r>
          </w:p>
        </w:tc>
      </w:tr>
      <w:tr w14:paraId="1E06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Align w:val="center"/>
          </w:tcPr>
          <w:p w14:paraId="5856F4FF">
            <w:pPr>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3210" w:type="dxa"/>
            <w:gridSpan w:val="2"/>
            <w:vAlign w:val="center"/>
          </w:tcPr>
          <w:p w14:paraId="1B01C5A3">
            <w:pPr>
              <w:spacing w:line="360" w:lineRule="exact"/>
              <w:jc w:val="center"/>
              <w:rPr>
                <w:rFonts w:ascii="宋体" w:hAnsi="宋体" w:eastAsia="宋体" w:cs="Times New Roman"/>
                <w:color w:val="auto"/>
              </w:rPr>
            </w:pPr>
            <w:r>
              <w:rPr>
                <w:rFonts w:ascii="宋体" w:hAnsi="宋体" w:eastAsia="宋体" w:cs="Times New Roman"/>
                <w:color w:val="auto"/>
              </w:rPr>
              <w:t>转盘</w:t>
            </w:r>
          </w:p>
        </w:tc>
        <w:tc>
          <w:tcPr>
            <w:tcW w:w="2735" w:type="dxa"/>
            <w:vAlign w:val="center"/>
          </w:tcPr>
          <w:p w14:paraId="2E07C061">
            <w:pPr>
              <w:spacing w:line="360" w:lineRule="exact"/>
              <w:jc w:val="center"/>
              <w:rPr>
                <w:rFonts w:ascii="宋体" w:hAnsi="宋体" w:eastAsia="宋体" w:cs="Times New Roman"/>
                <w:color w:val="auto"/>
              </w:rPr>
            </w:pPr>
            <w:r>
              <w:rPr>
                <w:rFonts w:ascii="宋体" w:hAnsi="宋体" w:eastAsia="宋体" w:cs="Times New Roman"/>
                <w:color w:val="auto"/>
              </w:rPr>
              <w:t>ZP-275</w:t>
            </w:r>
          </w:p>
        </w:tc>
        <w:tc>
          <w:tcPr>
            <w:tcW w:w="2116" w:type="dxa"/>
            <w:vAlign w:val="center"/>
          </w:tcPr>
          <w:p w14:paraId="7A6C0B9F">
            <w:pPr>
              <w:spacing w:line="360" w:lineRule="exact"/>
              <w:jc w:val="center"/>
              <w:rPr>
                <w:rFonts w:ascii="宋体" w:hAnsi="宋体" w:eastAsia="宋体" w:cs="Times New Roman"/>
                <w:color w:val="auto"/>
              </w:rPr>
            </w:pPr>
            <w:r>
              <w:rPr>
                <w:rFonts w:ascii="宋体" w:hAnsi="宋体" w:eastAsia="宋体" w:cs="Times New Roman"/>
                <w:color w:val="auto"/>
              </w:rPr>
              <w:t>441 kW</w:t>
            </w:r>
          </w:p>
        </w:tc>
      </w:tr>
      <w:tr w14:paraId="7919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restart"/>
            <w:vAlign w:val="center"/>
          </w:tcPr>
          <w:p w14:paraId="067663E1">
            <w:pPr>
              <w:spacing w:line="360" w:lineRule="exact"/>
              <w:jc w:val="center"/>
              <w:rPr>
                <w:rFonts w:ascii="宋体" w:hAnsi="宋体" w:eastAsia="宋体" w:cs="Times New Roman"/>
                <w:color w:val="auto"/>
              </w:rPr>
            </w:pPr>
            <w:r>
              <w:rPr>
                <w:rFonts w:ascii="宋体" w:hAnsi="宋体" w:eastAsia="宋体" w:cs="Times New Roman"/>
                <w:color w:val="auto"/>
              </w:rPr>
              <w:t>6</w:t>
            </w:r>
          </w:p>
        </w:tc>
        <w:tc>
          <w:tcPr>
            <w:tcW w:w="931" w:type="dxa"/>
            <w:vMerge w:val="restart"/>
            <w:vAlign w:val="center"/>
          </w:tcPr>
          <w:p w14:paraId="06E25B66">
            <w:pPr>
              <w:spacing w:line="360" w:lineRule="exact"/>
              <w:jc w:val="center"/>
              <w:rPr>
                <w:rFonts w:ascii="宋体" w:hAnsi="宋体" w:eastAsia="宋体" w:cs="Times New Roman"/>
                <w:color w:val="auto"/>
              </w:rPr>
            </w:pPr>
            <w:r>
              <w:rPr>
                <w:rFonts w:ascii="宋体" w:hAnsi="宋体" w:eastAsia="宋体" w:cs="Times New Roman"/>
                <w:color w:val="auto"/>
              </w:rPr>
              <w:t>循环</w:t>
            </w:r>
          </w:p>
          <w:p w14:paraId="34D9156C">
            <w:pPr>
              <w:spacing w:line="360" w:lineRule="exact"/>
              <w:jc w:val="center"/>
              <w:rPr>
                <w:rFonts w:ascii="宋体" w:hAnsi="宋体" w:eastAsia="宋体" w:cs="Times New Roman"/>
                <w:color w:val="auto"/>
              </w:rPr>
            </w:pPr>
            <w:r>
              <w:rPr>
                <w:rFonts w:ascii="宋体" w:hAnsi="宋体" w:eastAsia="宋体" w:cs="Times New Roman"/>
                <w:color w:val="auto"/>
              </w:rPr>
              <w:t>系统</w:t>
            </w:r>
          </w:p>
        </w:tc>
        <w:tc>
          <w:tcPr>
            <w:tcW w:w="2279" w:type="dxa"/>
            <w:vAlign w:val="center"/>
          </w:tcPr>
          <w:p w14:paraId="0717A103">
            <w:pPr>
              <w:spacing w:line="360" w:lineRule="exact"/>
              <w:jc w:val="center"/>
              <w:rPr>
                <w:rFonts w:ascii="宋体" w:hAnsi="宋体" w:eastAsia="宋体" w:cs="Times New Roman"/>
                <w:color w:val="auto"/>
              </w:rPr>
            </w:pPr>
            <w:r>
              <w:rPr>
                <w:rFonts w:ascii="宋体" w:hAnsi="宋体" w:eastAsia="宋体" w:cs="Times New Roman"/>
                <w:color w:val="auto"/>
              </w:rPr>
              <w:t>钻井泵</w:t>
            </w:r>
          </w:p>
        </w:tc>
        <w:tc>
          <w:tcPr>
            <w:tcW w:w="2735" w:type="dxa"/>
            <w:vAlign w:val="center"/>
          </w:tcPr>
          <w:p w14:paraId="30889C39">
            <w:pPr>
              <w:spacing w:line="360" w:lineRule="exact"/>
              <w:jc w:val="center"/>
              <w:rPr>
                <w:rFonts w:ascii="宋体" w:hAnsi="宋体" w:eastAsia="宋体" w:cs="Times New Roman"/>
                <w:color w:val="auto"/>
              </w:rPr>
            </w:pPr>
            <w:r>
              <w:rPr>
                <w:rFonts w:ascii="宋体" w:hAnsi="宋体" w:eastAsia="宋体" w:cs="Times New Roman"/>
                <w:color w:val="auto"/>
              </w:rPr>
              <w:t>3NB-1300</w:t>
            </w:r>
          </w:p>
        </w:tc>
        <w:tc>
          <w:tcPr>
            <w:tcW w:w="2116" w:type="dxa"/>
            <w:vAlign w:val="center"/>
          </w:tcPr>
          <w:p w14:paraId="03DE1007">
            <w:pPr>
              <w:spacing w:line="360" w:lineRule="exact"/>
              <w:jc w:val="center"/>
              <w:rPr>
                <w:rFonts w:ascii="宋体" w:hAnsi="宋体" w:eastAsia="宋体" w:cs="Times New Roman"/>
                <w:color w:val="auto"/>
              </w:rPr>
            </w:pPr>
            <w:r>
              <w:rPr>
                <w:rFonts w:ascii="宋体" w:hAnsi="宋体" w:eastAsia="宋体" w:cs="Times New Roman"/>
                <w:color w:val="auto"/>
              </w:rPr>
              <w:t>956 kW</w:t>
            </w:r>
          </w:p>
        </w:tc>
      </w:tr>
      <w:tr w14:paraId="6789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61EE018F">
            <w:pPr>
              <w:spacing w:line="360" w:lineRule="exact"/>
              <w:jc w:val="center"/>
              <w:rPr>
                <w:rFonts w:ascii="宋体" w:hAnsi="宋体" w:eastAsia="宋体" w:cs="Times New Roman"/>
                <w:color w:val="auto"/>
              </w:rPr>
            </w:pPr>
          </w:p>
        </w:tc>
        <w:tc>
          <w:tcPr>
            <w:tcW w:w="931" w:type="dxa"/>
            <w:vMerge w:val="continue"/>
            <w:vAlign w:val="center"/>
          </w:tcPr>
          <w:p w14:paraId="02BEBD12">
            <w:pPr>
              <w:spacing w:line="360" w:lineRule="exact"/>
              <w:jc w:val="center"/>
              <w:rPr>
                <w:rFonts w:ascii="宋体" w:hAnsi="宋体" w:eastAsia="宋体" w:cs="Times New Roman"/>
                <w:color w:val="auto"/>
              </w:rPr>
            </w:pPr>
          </w:p>
        </w:tc>
        <w:tc>
          <w:tcPr>
            <w:tcW w:w="2279" w:type="dxa"/>
            <w:vAlign w:val="center"/>
          </w:tcPr>
          <w:p w14:paraId="6A680127">
            <w:pPr>
              <w:spacing w:line="360" w:lineRule="exact"/>
              <w:jc w:val="center"/>
              <w:rPr>
                <w:rFonts w:ascii="宋体" w:hAnsi="宋体" w:eastAsia="宋体" w:cs="Times New Roman"/>
                <w:color w:val="auto"/>
              </w:rPr>
            </w:pPr>
            <w:r>
              <w:rPr>
                <w:rFonts w:ascii="宋体" w:hAnsi="宋体" w:eastAsia="宋体" w:cs="Times New Roman"/>
                <w:color w:val="auto"/>
              </w:rPr>
              <w:t>钻井液循环罐</w:t>
            </w:r>
          </w:p>
        </w:tc>
        <w:tc>
          <w:tcPr>
            <w:tcW w:w="2735" w:type="dxa"/>
            <w:vAlign w:val="center"/>
          </w:tcPr>
          <w:p w14:paraId="3301160E">
            <w:pPr>
              <w:spacing w:line="360" w:lineRule="exact"/>
              <w:jc w:val="center"/>
              <w:rPr>
                <w:rFonts w:ascii="宋体" w:hAnsi="宋体" w:eastAsia="宋体" w:cs="Times New Roman"/>
                <w:color w:val="auto"/>
              </w:rPr>
            </w:pPr>
            <w:r>
              <w:rPr>
                <w:rFonts w:ascii="宋体" w:hAnsi="宋体" w:eastAsia="宋体" w:cs="Times New Roman"/>
                <w:color w:val="auto"/>
              </w:rPr>
              <w:t>40m</w:t>
            </w:r>
            <w:r>
              <w:rPr>
                <w:rFonts w:ascii="宋体" w:hAnsi="宋体" w:eastAsia="宋体" w:cs="Times New Roman"/>
                <w:color w:val="auto"/>
                <w:vertAlign w:val="superscript"/>
              </w:rPr>
              <w:t>3</w:t>
            </w:r>
          </w:p>
        </w:tc>
        <w:tc>
          <w:tcPr>
            <w:tcW w:w="2116" w:type="dxa"/>
            <w:vAlign w:val="center"/>
          </w:tcPr>
          <w:p w14:paraId="4BB7DC3F">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7141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restart"/>
            <w:vAlign w:val="center"/>
          </w:tcPr>
          <w:p w14:paraId="14088623">
            <w:pPr>
              <w:spacing w:line="360" w:lineRule="exact"/>
              <w:jc w:val="center"/>
              <w:rPr>
                <w:rFonts w:ascii="宋体" w:hAnsi="宋体" w:eastAsia="宋体" w:cs="Times New Roman"/>
                <w:color w:val="auto"/>
              </w:rPr>
            </w:pPr>
            <w:r>
              <w:rPr>
                <w:rFonts w:ascii="宋体" w:hAnsi="宋体" w:eastAsia="宋体" w:cs="Times New Roman"/>
                <w:color w:val="auto"/>
              </w:rPr>
              <w:t>7</w:t>
            </w:r>
          </w:p>
        </w:tc>
        <w:tc>
          <w:tcPr>
            <w:tcW w:w="931" w:type="dxa"/>
            <w:vMerge w:val="restart"/>
            <w:vAlign w:val="center"/>
          </w:tcPr>
          <w:p w14:paraId="260EA044">
            <w:pPr>
              <w:spacing w:line="360" w:lineRule="exact"/>
              <w:jc w:val="center"/>
              <w:rPr>
                <w:rFonts w:ascii="宋体" w:hAnsi="宋体" w:eastAsia="宋体" w:cs="Times New Roman"/>
                <w:color w:val="auto"/>
              </w:rPr>
            </w:pPr>
            <w:r>
              <w:rPr>
                <w:rFonts w:ascii="宋体" w:hAnsi="宋体" w:eastAsia="宋体" w:cs="Times New Roman"/>
                <w:color w:val="auto"/>
              </w:rPr>
              <w:t>动力</w:t>
            </w:r>
          </w:p>
          <w:p w14:paraId="1A272959">
            <w:pPr>
              <w:spacing w:line="360" w:lineRule="exact"/>
              <w:jc w:val="center"/>
              <w:rPr>
                <w:rFonts w:ascii="宋体" w:hAnsi="宋体" w:eastAsia="宋体" w:cs="Times New Roman"/>
                <w:color w:val="auto"/>
              </w:rPr>
            </w:pPr>
            <w:r>
              <w:rPr>
                <w:rFonts w:ascii="宋体" w:hAnsi="宋体" w:eastAsia="宋体" w:cs="Times New Roman"/>
                <w:color w:val="auto"/>
              </w:rPr>
              <w:t>系统</w:t>
            </w:r>
          </w:p>
        </w:tc>
        <w:tc>
          <w:tcPr>
            <w:tcW w:w="2279" w:type="dxa"/>
            <w:vAlign w:val="center"/>
          </w:tcPr>
          <w:p w14:paraId="6B69EA3C">
            <w:pPr>
              <w:spacing w:line="360" w:lineRule="exact"/>
              <w:jc w:val="center"/>
              <w:rPr>
                <w:rFonts w:ascii="宋体" w:hAnsi="宋体" w:eastAsia="宋体" w:cs="Times New Roman"/>
                <w:color w:val="auto"/>
              </w:rPr>
            </w:pPr>
            <w:r>
              <w:rPr>
                <w:rFonts w:ascii="宋体" w:hAnsi="宋体" w:eastAsia="宋体" w:cs="Times New Roman"/>
                <w:color w:val="auto"/>
              </w:rPr>
              <w:t>柴油机</w:t>
            </w:r>
          </w:p>
        </w:tc>
        <w:tc>
          <w:tcPr>
            <w:tcW w:w="2735" w:type="dxa"/>
            <w:vAlign w:val="center"/>
          </w:tcPr>
          <w:p w14:paraId="594BF4C2">
            <w:pPr>
              <w:spacing w:line="360" w:lineRule="exact"/>
              <w:jc w:val="center"/>
              <w:rPr>
                <w:rFonts w:ascii="宋体" w:hAnsi="宋体" w:eastAsia="宋体" w:cs="Times New Roman"/>
                <w:color w:val="auto"/>
              </w:rPr>
            </w:pPr>
            <w:r>
              <w:rPr>
                <w:rFonts w:ascii="宋体" w:hAnsi="宋体" w:eastAsia="宋体" w:cs="Times New Roman"/>
                <w:color w:val="auto"/>
              </w:rPr>
              <w:t>CAT3512T1DA</w:t>
            </w:r>
          </w:p>
        </w:tc>
        <w:tc>
          <w:tcPr>
            <w:tcW w:w="2116" w:type="dxa"/>
            <w:vAlign w:val="center"/>
          </w:tcPr>
          <w:p w14:paraId="51F9A525">
            <w:pPr>
              <w:spacing w:line="360" w:lineRule="exact"/>
              <w:jc w:val="center"/>
              <w:rPr>
                <w:rFonts w:ascii="宋体" w:hAnsi="宋体" w:eastAsia="宋体" w:cs="Times New Roman"/>
                <w:color w:val="auto"/>
              </w:rPr>
            </w:pPr>
            <w:r>
              <w:rPr>
                <w:rFonts w:ascii="宋体" w:hAnsi="宋体" w:eastAsia="宋体" w:cs="Times New Roman"/>
                <w:color w:val="auto"/>
              </w:rPr>
              <w:t>1000 kW</w:t>
            </w:r>
          </w:p>
        </w:tc>
      </w:tr>
      <w:tr w14:paraId="456A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7438A713">
            <w:pPr>
              <w:spacing w:line="360" w:lineRule="exact"/>
              <w:jc w:val="center"/>
              <w:rPr>
                <w:rFonts w:ascii="宋体" w:hAnsi="宋体" w:eastAsia="宋体" w:cs="Times New Roman"/>
                <w:color w:val="auto"/>
              </w:rPr>
            </w:pPr>
          </w:p>
        </w:tc>
        <w:tc>
          <w:tcPr>
            <w:tcW w:w="931" w:type="dxa"/>
            <w:vMerge w:val="continue"/>
            <w:vAlign w:val="center"/>
          </w:tcPr>
          <w:p w14:paraId="3C6E6DA0">
            <w:pPr>
              <w:spacing w:line="360" w:lineRule="exact"/>
              <w:jc w:val="center"/>
              <w:rPr>
                <w:rFonts w:ascii="宋体" w:hAnsi="宋体" w:eastAsia="宋体" w:cs="Times New Roman"/>
                <w:color w:val="auto"/>
              </w:rPr>
            </w:pPr>
          </w:p>
        </w:tc>
        <w:tc>
          <w:tcPr>
            <w:tcW w:w="2279" w:type="dxa"/>
            <w:vAlign w:val="center"/>
          </w:tcPr>
          <w:p w14:paraId="7370785A">
            <w:pPr>
              <w:spacing w:line="360" w:lineRule="exact"/>
              <w:jc w:val="center"/>
              <w:rPr>
                <w:rFonts w:ascii="宋体" w:hAnsi="宋体" w:eastAsia="宋体" w:cs="Times New Roman"/>
                <w:color w:val="auto"/>
              </w:rPr>
            </w:pPr>
            <w:r>
              <w:rPr>
                <w:rFonts w:ascii="宋体" w:hAnsi="宋体" w:eastAsia="宋体" w:cs="Times New Roman"/>
                <w:color w:val="auto"/>
              </w:rPr>
              <w:t>发电机</w:t>
            </w:r>
          </w:p>
        </w:tc>
        <w:tc>
          <w:tcPr>
            <w:tcW w:w="2735" w:type="dxa"/>
            <w:vAlign w:val="center"/>
          </w:tcPr>
          <w:p w14:paraId="3CC5FDBF">
            <w:pPr>
              <w:spacing w:line="360" w:lineRule="exact"/>
              <w:jc w:val="center"/>
              <w:rPr>
                <w:rFonts w:ascii="宋体" w:hAnsi="宋体" w:eastAsia="宋体" w:cs="Times New Roman"/>
                <w:color w:val="auto"/>
              </w:rPr>
            </w:pPr>
            <w:r>
              <w:rPr>
                <w:rFonts w:ascii="宋体" w:hAnsi="宋体" w:eastAsia="宋体" w:cs="Times New Roman"/>
                <w:color w:val="auto"/>
              </w:rPr>
              <w:t>GF800</w:t>
            </w:r>
          </w:p>
        </w:tc>
        <w:tc>
          <w:tcPr>
            <w:tcW w:w="2116" w:type="dxa"/>
            <w:vAlign w:val="center"/>
          </w:tcPr>
          <w:p w14:paraId="12A45557">
            <w:pPr>
              <w:spacing w:line="360" w:lineRule="exact"/>
              <w:jc w:val="center"/>
              <w:rPr>
                <w:rFonts w:ascii="宋体" w:hAnsi="宋体" w:eastAsia="宋体" w:cs="Times New Roman"/>
                <w:color w:val="auto"/>
              </w:rPr>
            </w:pPr>
            <w:r>
              <w:rPr>
                <w:rFonts w:ascii="宋体" w:hAnsi="宋体" w:eastAsia="宋体" w:cs="Times New Roman"/>
                <w:color w:val="auto"/>
              </w:rPr>
              <w:t>800 kW</w:t>
            </w:r>
          </w:p>
        </w:tc>
      </w:tr>
      <w:tr w14:paraId="280D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restart"/>
            <w:vAlign w:val="center"/>
          </w:tcPr>
          <w:p w14:paraId="29615938">
            <w:pPr>
              <w:spacing w:line="360" w:lineRule="exact"/>
              <w:jc w:val="center"/>
              <w:rPr>
                <w:rFonts w:ascii="宋体" w:hAnsi="宋体" w:eastAsia="宋体" w:cs="Times New Roman"/>
                <w:color w:val="auto"/>
              </w:rPr>
            </w:pPr>
            <w:r>
              <w:rPr>
                <w:rFonts w:ascii="宋体" w:hAnsi="宋体" w:eastAsia="宋体" w:cs="Times New Roman"/>
                <w:color w:val="auto"/>
              </w:rPr>
              <w:t>8</w:t>
            </w:r>
          </w:p>
        </w:tc>
        <w:tc>
          <w:tcPr>
            <w:tcW w:w="931" w:type="dxa"/>
            <w:vMerge w:val="restart"/>
            <w:vAlign w:val="center"/>
          </w:tcPr>
          <w:p w14:paraId="16A893DC">
            <w:pPr>
              <w:spacing w:line="360" w:lineRule="exact"/>
              <w:jc w:val="center"/>
              <w:rPr>
                <w:rFonts w:ascii="宋体" w:hAnsi="宋体" w:eastAsia="宋体" w:cs="Times New Roman"/>
                <w:color w:val="auto"/>
              </w:rPr>
            </w:pPr>
            <w:r>
              <w:rPr>
                <w:rFonts w:ascii="宋体" w:hAnsi="宋体" w:eastAsia="宋体" w:cs="Times New Roman"/>
                <w:color w:val="auto"/>
              </w:rPr>
              <w:t>控制</w:t>
            </w:r>
          </w:p>
          <w:p w14:paraId="5C3D2295">
            <w:pPr>
              <w:spacing w:line="360" w:lineRule="exact"/>
              <w:jc w:val="center"/>
              <w:rPr>
                <w:rFonts w:ascii="宋体" w:hAnsi="宋体" w:eastAsia="宋体" w:cs="Times New Roman"/>
                <w:color w:val="auto"/>
              </w:rPr>
            </w:pPr>
            <w:r>
              <w:rPr>
                <w:rFonts w:ascii="宋体" w:hAnsi="宋体" w:eastAsia="宋体" w:cs="Times New Roman"/>
                <w:color w:val="auto"/>
              </w:rPr>
              <w:t>系统</w:t>
            </w:r>
          </w:p>
        </w:tc>
        <w:tc>
          <w:tcPr>
            <w:tcW w:w="2279" w:type="dxa"/>
            <w:vAlign w:val="center"/>
          </w:tcPr>
          <w:p w14:paraId="306488CB">
            <w:pPr>
              <w:spacing w:line="360" w:lineRule="exact"/>
              <w:jc w:val="center"/>
              <w:rPr>
                <w:rFonts w:ascii="宋体" w:hAnsi="宋体" w:eastAsia="宋体" w:cs="Times New Roman"/>
                <w:color w:val="auto"/>
              </w:rPr>
            </w:pPr>
            <w:r>
              <w:rPr>
                <w:rFonts w:ascii="宋体" w:hAnsi="宋体" w:eastAsia="宋体" w:cs="Times New Roman"/>
                <w:color w:val="auto"/>
              </w:rPr>
              <w:t>自动压风机</w:t>
            </w:r>
          </w:p>
        </w:tc>
        <w:tc>
          <w:tcPr>
            <w:tcW w:w="2735" w:type="dxa"/>
            <w:vAlign w:val="center"/>
          </w:tcPr>
          <w:p w14:paraId="1BE0A558">
            <w:pPr>
              <w:spacing w:line="360" w:lineRule="exact"/>
              <w:jc w:val="center"/>
              <w:rPr>
                <w:rFonts w:ascii="宋体" w:hAnsi="宋体" w:eastAsia="宋体" w:cs="Times New Roman"/>
                <w:color w:val="auto"/>
              </w:rPr>
            </w:pPr>
            <w:r>
              <w:rPr>
                <w:rFonts w:ascii="宋体" w:hAnsi="宋体" w:eastAsia="宋体" w:cs="Times New Roman"/>
                <w:color w:val="auto"/>
              </w:rPr>
              <w:t>5.5/12V</w:t>
            </w:r>
          </w:p>
        </w:tc>
        <w:tc>
          <w:tcPr>
            <w:tcW w:w="2116" w:type="dxa"/>
            <w:vAlign w:val="center"/>
          </w:tcPr>
          <w:p w14:paraId="1433F365">
            <w:pPr>
              <w:spacing w:line="360" w:lineRule="exact"/>
              <w:jc w:val="center"/>
              <w:rPr>
                <w:rFonts w:ascii="宋体" w:hAnsi="宋体" w:eastAsia="宋体" w:cs="Times New Roman"/>
                <w:color w:val="auto"/>
              </w:rPr>
            </w:pPr>
            <w:r>
              <w:rPr>
                <w:rFonts w:ascii="宋体" w:hAnsi="宋体" w:eastAsia="宋体" w:cs="Times New Roman"/>
                <w:color w:val="auto"/>
              </w:rPr>
              <w:t>5.5 kW</w:t>
            </w:r>
          </w:p>
        </w:tc>
      </w:tr>
      <w:tr w14:paraId="1409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1905593A">
            <w:pPr>
              <w:spacing w:line="360" w:lineRule="exact"/>
              <w:jc w:val="center"/>
              <w:rPr>
                <w:rFonts w:ascii="宋体" w:hAnsi="宋体" w:eastAsia="宋体" w:cs="Times New Roman"/>
                <w:color w:val="auto"/>
              </w:rPr>
            </w:pPr>
          </w:p>
        </w:tc>
        <w:tc>
          <w:tcPr>
            <w:tcW w:w="931" w:type="dxa"/>
            <w:vMerge w:val="continue"/>
            <w:vAlign w:val="center"/>
          </w:tcPr>
          <w:p w14:paraId="7D3CD591">
            <w:pPr>
              <w:spacing w:line="360" w:lineRule="exact"/>
              <w:jc w:val="center"/>
              <w:rPr>
                <w:rFonts w:ascii="宋体" w:hAnsi="宋体" w:eastAsia="宋体" w:cs="Times New Roman"/>
                <w:color w:val="auto"/>
              </w:rPr>
            </w:pPr>
          </w:p>
        </w:tc>
        <w:tc>
          <w:tcPr>
            <w:tcW w:w="2279" w:type="dxa"/>
            <w:vAlign w:val="center"/>
          </w:tcPr>
          <w:p w14:paraId="21DA112A">
            <w:pPr>
              <w:spacing w:line="360" w:lineRule="exact"/>
              <w:jc w:val="center"/>
              <w:rPr>
                <w:rFonts w:ascii="宋体" w:hAnsi="宋体" w:eastAsia="宋体" w:cs="Times New Roman"/>
                <w:color w:val="auto"/>
              </w:rPr>
            </w:pPr>
            <w:r>
              <w:rPr>
                <w:rFonts w:ascii="宋体" w:hAnsi="宋体" w:eastAsia="宋体" w:cs="Times New Roman"/>
                <w:color w:val="auto"/>
              </w:rPr>
              <w:t>电动压风机</w:t>
            </w:r>
          </w:p>
        </w:tc>
        <w:tc>
          <w:tcPr>
            <w:tcW w:w="2735" w:type="dxa"/>
            <w:vAlign w:val="center"/>
          </w:tcPr>
          <w:p w14:paraId="45D14AE7">
            <w:pPr>
              <w:spacing w:line="360" w:lineRule="exact"/>
              <w:jc w:val="center"/>
              <w:rPr>
                <w:rFonts w:ascii="宋体" w:hAnsi="宋体" w:eastAsia="宋体" w:cs="Times New Roman"/>
                <w:color w:val="auto"/>
              </w:rPr>
            </w:pPr>
            <w:r>
              <w:rPr>
                <w:rFonts w:ascii="宋体" w:hAnsi="宋体" w:eastAsia="宋体" w:cs="Times New Roman"/>
                <w:color w:val="auto"/>
              </w:rPr>
              <w:t>5.5/12V</w:t>
            </w:r>
          </w:p>
        </w:tc>
        <w:tc>
          <w:tcPr>
            <w:tcW w:w="2116" w:type="dxa"/>
            <w:vAlign w:val="center"/>
          </w:tcPr>
          <w:p w14:paraId="0933672C">
            <w:pPr>
              <w:spacing w:line="360" w:lineRule="exact"/>
              <w:jc w:val="center"/>
              <w:rPr>
                <w:rFonts w:ascii="宋体" w:hAnsi="宋体" w:eastAsia="宋体" w:cs="Times New Roman"/>
                <w:color w:val="auto"/>
              </w:rPr>
            </w:pPr>
            <w:r>
              <w:rPr>
                <w:rFonts w:ascii="宋体" w:hAnsi="宋体" w:eastAsia="宋体" w:cs="Times New Roman"/>
                <w:color w:val="auto"/>
              </w:rPr>
              <w:t>5.5 kW</w:t>
            </w:r>
          </w:p>
        </w:tc>
      </w:tr>
      <w:tr w14:paraId="4678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restart"/>
            <w:vAlign w:val="center"/>
          </w:tcPr>
          <w:p w14:paraId="55644A9F">
            <w:pPr>
              <w:spacing w:line="360" w:lineRule="exact"/>
              <w:jc w:val="center"/>
              <w:rPr>
                <w:rFonts w:ascii="宋体" w:hAnsi="宋体" w:eastAsia="宋体" w:cs="Times New Roman"/>
                <w:color w:val="auto"/>
              </w:rPr>
            </w:pPr>
            <w:r>
              <w:rPr>
                <w:rFonts w:ascii="宋体" w:hAnsi="宋体" w:eastAsia="宋体" w:cs="Times New Roman"/>
                <w:color w:val="auto"/>
              </w:rPr>
              <w:t>9</w:t>
            </w:r>
          </w:p>
        </w:tc>
        <w:tc>
          <w:tcPr>
            <w:tcW w:w="931" w:type="dxa"/>
            <w:vMerge w:val="restart"/>
            <w:vAlign w:val="center"/>
          </w:tcPr>
          <w:p w14:paraId="038FA0B0">
            <w:pPr>
              <w:spacing w:line="360" w:lineRule="exact"/>
              <w:jc w:val="center"/>
              <w:rPr>
                <w:rFonts w:ascii="宋体" w:hAnsi="宋体" w:eastAsia="宋体" w:cs="Times New Roman"/>
                <w:color w:val="auto"/>
              </w:rPr>
            </w:pPr>
            <w:r>
              <w:rPr>
                <w:rFonts w:ascii="宋体" w:hAnsi="宋体" w:eastAsia="宋体" w:cs="Times New Roman"/>
                <w:color w:val="auto"/>
              </w:rPr>
              <w:t>固控</w:t>
            </w:r>
          </w:p>
          <w:p w14:paraId="38143B22">
            <w:pPr>
              <w:spacing w:line="360" w:lineRule="exact"/>
              <w:jc w:val="center"/>
              <w:rPr>
                <w:rFonts w:ascii="宋体" w:hAnsi="宋体" w:eastAsia="宋体" w:cs="Times New Roman"/>
                <w:color w:val="auto"/>
              </w:rPr>
            </w:pPr>
            <w:r>
              <w:rPr>
                <w:rFonts w:ascii="宋体" w:hAnsi="宋体" w:eastAsia="宋体" w:cs="Times New Roman"/>
                <w:color w:val="auto"/>
              </w:rPr>
              <w:t>系统</w:t>
            </w:r>
          </w:p>
        </w:tc>
        <w:tc>
          <w:tcPr>
            <w:tcW w:w="2279" w:type="dxa"/>
            <w:vAlign w:val="center"/>
          </w:tcPr>
          <w:p w14:paraId="7B2D4DDB">
            <w:pPr>
              <w:spacing w:line="360" w:lineRule="exact"/>
              <w:jc w:val="center"/>
              <w:rPr>
                <w:rFonts w:ascii="宋体" w:hAnsi="宋体" w:eastAsia="宋体" w:cs="Times New Roman"/>
                <w:color w:val="auto"/>
              </w:rPr>
            </w:pPr>
            <w:r>
              <w:rPr>
                <w:rFonts w:ascii="宋体" w:hAnsi="宋体" w:eastAsia="宋体" w:cs="Times New Roman"/>
                <w:color w:val="auto"/>
              </w:rPr>
              <w:t>振动筛 1#</w:t>
            </w:r>
          </w:p>
        </w:tc>
        <w:tc>
          <w:tcPr>
            <w:tcW w:w="2735" w:type="dxa"/>
            <w:vAlign w:val="center"/>
          </w:tcPr>
          <w:p w14:paraId="1410C7D7">
            <w:pPr>
              <w:spacing w:line="360" w:lineRule="exact"/>
              <w:jc w:val="center"/>
              <w:rPr>
                <w:rFonts w:ascii="宋体" w:hAnsi="宋体" w:eastAsia="宋体" w:cs="Times New Roman"/>
                <w:color w:val="auto"/>
              </w:rPr>
            </w:pPr>
            <w:r>
              <w:rPr>
                <w:rFonts w:ascii="宋体" w:hAnsi="宋体" w:eastAsia="宋体" w:cs="Times New Roman"/>
                <w:color w:val="auto"/>
              </w:rPr>
              <w:t>KTL-48D</w:t>
            </w:r>
          </w:p>
        </w:tc>
        <w:tc>
          <w:tcPr>
            <w:tcW w:w="2116" w:type="dxa"/>
            <w:vAlign w:val="center"/>
          </w:tcPr>
          <w:p w14:paraId="62CF518E">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1C52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1B025181">
            <w:pPr>
              <w:spacing w:line="360" w:lineRule="exact"/>
              <w:jc w:val="center"/>
              <w:rPr>
                <w:rFonts w:ascii="宋体" w:hAnsi="宋体" w:eastAsia="宋体" w:cs="Times New Roman"/>
                <w:color w:val="auto"/>
              </w:rPr>
            </w:pPr>
          </w:p>
        </w:tc>
        <w:tc>
          <w:tcPr>
            <w:tcW w:w="931" w:type="dxa"/>
            <w:vMerge w:val="continue"/>
            <w:vAlign w:val="center"/>
          </w:tcPr>
          <w:p w14:paraId="42FD7D82">
            <w:pPr>
              <w:spacing w:line="360" w:lineRule="exact"/>
              <w:jc w:val="center"/>
              <w:rPr>
                <w:rFonts w:ascii="宋体" w:hAnsi="宋体" w:eastAsia="宋体" w:cs="Times New Roman"/>
                <w:color w:val="auto"/>
              </w:rPr>
            </w:pPr>
          </w:p>
        </w:tc>
        <w:tc>
          <w:tcPr>
            <w:tcW w:w="2279" w:type="dxa"/>
            <w:vAlign w:val="center"/>
          </w:tcPr>
          <w:p w14:paraId="11C4AE2F">
            <w:pPr>
              <w:spacing w:line="360" w:lineRule="exact"/>
              <w:jc w:val="center"/>
              <w:rPr>
                <w:rFonts w:ascii="宋体" w:hAnsi="宋体" w:eastAsia="宋体" w:cs="Times New Roman"/>
                <w:color w:val="auto"/>
              </w:rPr>
            </w:pPr>
            <w:r>
              <w:rPr>
                <w:rFonts w:ascii="宋体" w:hAnsi="宋体" w:eastAsia="宋体" w:cs="Times New Roman"/>
                <w:color w:val="auto"/>
              </w:rPr>
              <w:t>振动筛 2#</w:t>
            </w:r>
          </w:p>
        </w:tc>
        <w:tc>
          <w:tcPr>
            <w:tcW w:w="2735" w:type="dxa"/>
            <w:vAlign w:val="center"/>
          </w:tcPr>
          <w:p w14:paraId="415AFF44">
            <w:pPr>
              <w:spacing w:line="360" w:lineRule="exact"/>
              <w:jc w:val="center"/>
              <w:rPr>
                <w:rFonts w:ascii="宋体" w:hAnsi="宋体" w:eastAsia="宋体" w:cs="Times New Roman"/>
                <w:color w:val="auto"/>
              </w:rPr>
            </w:pPr>
            <w:r>
              <w:rPr>
                <w:rFonts w:ascii="宋体" w:hAnsi="宋体" w:eastAsia="宋体" w:cs="Times New Roman"/>
                <w:color w:val="auto"/>
              </w:rPr>
              <w:t>KTL-48D</w:t>
            </w:r>
          </w:p>
        </w:tc>
        <w:tc>
          <w:tcPr>
            <w:tcW w:w="2116" w:type="dxa"/>
            <w:vAlign w:val="center"/>
          </w:tcPr>
          <w:p w14:paraId="5AFFA466">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7A7E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2FD9F75A">
            <w:pPr>
              <w:spacing w:line="360" w:lineRule="exact"/>
              <w:jc w:val="center"/>
              <w:rPr>
                <w:rFonts w:ascii="宋体" w:hAnsi="宋体" w:eastAsia="宋体" w:cs="Times New Roman"/>
                <w:color w:val="auto"/>
              </w:rPr>
            </w:pPr>
          </w:p>
        </w:tc>
        <w:tc>
          <w:tcPr>
            <w:tcW w:w="931" w:type="dxa"/>
            <w:vMerge w:val="continue"/>
            <w:vAlign w:val="center"/>
          </w:tcPr>
          <w:p w14:paraId="57F2FE94">
            <w:pPr>
              <w:spacing w:line="360" w:lineRule="exact"/>
              <w:jc w:val="center"/>
              <w:rPr>
                <w:rFonts w:ascii="宋体" w:hAnsi="宋体" w:eastAsia="宋体" w:cs="Times New Roman"/>
                <w:color w:val="auto"/>
              </w:rPr>
            </w:pPr>
          </w:p>
        </w:tc>
        <w:tc>
          <w:tcPr>
            <w:tcW w:w="2279" w:type="dxa"/>
            <w:vAlign w:val="center"/>
          </w:tcPr>
          <w:p w14:paraId="201D472A">
            <w:pPr>
              <w:spacing w:line="360" w:lineRule="exact"/>
              <w:jc w:val="center"/>
              <w:rPr>
                <w:rFonts w:ascii="宋体" w:hAnsi="宋体" w:eastAsia="宋体" w:cs="Times New Roman"/>
                <w:color w:val="auto"/>
              </w:rPr>
            </w:pPr>
            <w:r>
              <w:rPr>
                <w:rFonts w:ascii="宋体" w:hAnsi="宋体" w:eastAsia="宋体" w:cs="Times New Roman"/>
                <w:color w:val="auto"/>
              </w:rPr>
              <w:t>除 砂 器</w:t>
            </w:r>
          </w:p>
        </w:tc>
        <w:tc>
          <w:tcPr>
            <w:tcW w:w="2735" w:type="dxa"/>
            <w:vAlign w:val="center"/>
          </w:tcPr>
          <w:p w14:paraId="1E3FD01B">
            <w:pPr>
              <w:spacing w:line="360" w:lineRule="exact"/>
              <w:jc w:val="center"/>
              <w:rPr>
                <w:rFonts w:ascii="宋体" w:hAnsi="宋体" w:eastAsia="宋体" w:cs="Times New Roman"/>
                <w:color w:val="auto"/>
              </w:rPr>
            </w:pPr>
            <w:r>
              <w:rPr>
                <w:rFonts w:ascii="宋体" w:hAnsi="宋体" w:eastAsia="宋体" w:cs="Times New Roman"/>
                <w:color w:val="auto"/>
              </w:rPr>
              <w:t>NCS300</w:t>
            </w:r>
          </w:p>
        </w:tc>
        <w:tc>
          <w:tcPr>
            <w:tcW w:w="2116" w:type="dxa"/>
            <w:vAlign w:val="center"/>
          </w:tcPr>
          <w:p w14:paraId="111F57FB">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4D80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7151AD81">
            <w:pPr>
              <w:spacing w:line="360" w:lineRule="exact"/>
              <w:jc w:val="center"/>
              <w:rPr>
                <w:rFonts w:ascii="宋体" w:hAnsi="宋体" w:eastAsia="宋体" w:cs="Times New Roman"/>
                <w:color w:val="auto"/>
              </w:rPr>
            </w:pPr>
          </w:p>
        </w:tc>
        <w:tc>
          <w:tcPr>
            <w:tcW w:w="931" w:type="dxa"/>
            <w:vMerge w:val="continue"/>
            <w:vAlign w:val="center"/>
          </w:tcPr>
          <w:p w14:paraId="657A279F">
            <w:pPr>
              <w:spacing w:line="360" w:lineRule="exact"/>
              <w:jc w:val="center"/>
              <w:rPr>
                <w:rFonts w:ascii="宋体" w:hAnsi="宋体" w:eastAsia="宋体" w:cs="Times New Roman"/>
                <w:color w:val="auto"/>
              </w:rPr>
            </w:pPr>
          </w:p>
        </w:tc>
        <w:tc>
          <w:tcPr>
            <w:tcW w:w="2279" w:type="dxa"/>
            <w:vAlign w:val="center"/>
          </w:tcPr>
          <w:p w14:paraId="1A4EDF0C">
            <w:pPr>
              <w:spacing w:line="360" w:lineRule="exact"/>
              <w:jc w:val="center"/>
              <w:rPr>
                <w:rFonts w:ascii="宋体" w:hAnsi="宋体" w:eastAsia="宋体" w:cs="Times New Roman"/>
                <w:color w:val="auto"/>
              </w:rPr>
            </w:pPr>
            <w:r>
              <w:rPr>
                <w:rFonts w:ascii="宋体" w:hAnsi="宋体" w:eastAsia="宋体" w:cs="Times New Roman"/>
                <w:color w:val="auto"/>
              </w:rPr>
              <w:t>离心机 1#</w:t>
            </w:r>
          </w:p>
        </w:tc>
        <w:tc>
          <w:tcPr>
            <w:tcW w:w="2735" w:type="dxa"/>
            <w:vAlign w:val="center"/>
          </w:tcPr>
          <w:p w14:paraId="5ECF927E">
            <w:pPr>
              <w:spacing w:line="360" w:lineRule="exact"/>
              <w:jc w:val="center"/>
              <w:rPr>
                <w:rFonts w:ascii="宋体" w:hAnsi="宋体" w:eastAsia="宋体" w:cs="Times New Roman"/>
                <w:color w:val="auto"/>
              </w:rPr>
            </w:pPr>
            <w:r>
              <w:rPr>
                <w:rFonts w:ascii="宋体" w:hAnsi="宋体" w:eastAsia="宋体" w:cs="Times New Roman"/>
                <w:color w:val="auto"/>
              </w:rPr>
              <w:t>DMN×414（高速）</w:t>
            </w:r>
          </w:p>
        </w:tc>
        <w:tc>
          <w:tcPr>
            <w:tcW w:w="2116" w:type="dxa"/>
            <w:vAlign w:val="center"/>
          </w:tcPr>
          <w:p w14:paraId="5C33E262">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6F2E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5E217428">
            <w:pPr>
              <w:spacing w:line="360" w:lineRule="exact"/>
              <w:jc w:val="center"/>
              <w:rPr>
                <w:rFonts w:ascii="宋体" w:hAnsi="宋体" w:eastAsia="宋体" w:cs="Times New Roman"/>
                <w:color w:val="auto"/>
              </w:rPr>
            </w:pPr>
          </w:p>
        </w:tc>
        <w:tc>
          <w:tcPr>
            <w:tcW w:w="931" w:type="dxa"/>
            <w:vMerge w:val="continue"/>
            <w:vAlign w:val="center"/>
          </w:tcPr>
          <w:p w14:paraId="44720D87">
            <w:pPr>
              <w:spacing w:line="360" w:lineRule="exact"/>
              <w:jc w:val="center"/>
              <w:rPr>
                <w:rFonts w:ascii="宋体" w:hAnsi="宋体" w:eastAsia="宋体" w:cs="Times New Roman"/>
                <w:color w:val="auto"/>
              </w:rPr>
            </w:pPr>
          </w:p>
        </w:tc>
        <w:tc>
          <w:tcPr>
            <w:tcW w:w="2279" w:type="dxa"/>
            <w:vAlign w:val="center"/>
          </w:tcPr>
          <w:p w14:paraId="667DDC91">
            <w:pPr>
              <w:spacing w:line="360" w:lineRule="exact"/>
              <w:jc w:val="center"/>
              <w:rPr>
                <w:rFonts w:ascii="宋体" w:hAnsi="宋体" w:eastAsia="宋体" w:cs="Times New Roman"/>
                <w:color w:val="auto"/>
              </w:rPr>
            </w:pPr>
            <w:r>
              <w:rPr>
                <w:rFonts w:ascii="宋体" w:hAnsi="宋体" w:eastAsia="宋体" w:cs="Times New Roman"/>
                <w:color w:val="auto"/>
              </w:rPr>
              <w:t>离心机 2#</w:t>
            </w:r>
          </w:p>
        </w:tc>
        <w:tc>
          <w:tcPr>
            <w:tcW w:w="2735" w:type="dxa"/>
            <w:vAlign w:val="center"/>
          </w:tcPr>
          <w:p w14:paraId="05838F6E">
            <w:pPr>
              <w:spacing w:line="360" w:lineRule="exact"/>
              <w:jc w:val="center"/>
              <w:rPr>
                <w:rFonts w:ascii="宋体" w:hAnsi="宋体" w:eastAsia="宋体" w:cs="Times New Roman"/>
                <w:color w:val="auto"/>
              </w:rPr>
            </w:pPr>
            <w:r>
              <w:rPr>
                <w:rFonts w:ascii="宋体" w:hAnsi="宋体" w:eastAsia="宋体" w:cs="Times New Roman"/>
                <w:color w:val="auto"/>
              </w:rPr>
              <w:t>ZW450（中速）</w:t>
            </w:r>
          </w:p>
        </w:tc>
        <w:tc>
          <w:tcPr>
            <w:tcW w:w="2116" w:type="dxa"/>
            <w:vAlign w:val="center"/>
          </w:tcPr>
          <w:p w14:paraId="23221FE4">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6890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restart"/>
            <w:vAlign w:val="center"/>
          </w:tcPr>
          <w:p w14:paraId="5B443687">
            <w:pPr>
              <w:spacing w:line="360" w:lineRule="exact"/>
              <w:jc w:val="center"/>
              <w:rPr>
                <w:rFonts w:ascii="宋体" w:hAnsi="宋体" w:eastAsia="宋体" w:cs="Times New Roman"/>
                <w:color w:val="auto"/>
              </w:rPr>
            </w:pPr>
            <w:r>
              <w:rPr>
                <w:rFonts w:ascii="宋体" w:hAnsi="宋体" w:eastAsia="宋体" w:cs="Times New Roman"/>
                <w:color w:val="auto"/>
              </w:rPr>
              <w:t>10</w:t>
            </w:r>
          </w:p>
        </w:tc>
        <w:tc>
          <w:tcPr>
            <w:tcW w:w="931" w:type="dxa"/>
            <w:vMerge w:val="restart"/>
            <w:vAlign w:val="center"/>
          </w:tcPr>
          <w:p w14:paraId="62ECC0F7">
            <w:pPr>
              <w:spacing w:line="360" w:lineRule="exact"/>
              <w:jc w:val="center"/>
              <w:rPr>
                <w:rFonts w:ascii="宋体" w:hAnsi="宋体" w:eastAsia="宋体" w:cs="Times New Roman"/>
                <w:color w:val="auto"/>
              </w:rPr>
            </w:pPr>
            <w:r>
              <w:rPr>
                <w:rFonts w:ascii="宋体" w:hAnsi="宋体" w:eastAsia="宋体" w:cs="Times New Roman"/>
                <w:color w:val="auto"/>
              </w:rPr>
              <w:t>仪器</w:t>
            </w:r>
          </w:p>
          <w:p w14:paraId="2FB3C176">
            <w:pPr>
              <w:spacing w:line="360" w:lineRule="exact"/>
              <w:jc w:val="center"/>
              <w:rPr>
                <w:rFonts w:ascii="宋体" w:hAnsi="宋体" w:eastAsia="宋体" w:cs="Times New Roman"/>
                <w:color w:val="auto"/>
              </w:rPr>
            </w:pPr>
            <w:r>
              <w:rPr>
                <w:rFonts w:ascii="宋体" w:hAnsi="宋体" w:eastAsia="宋体" w:cs="Times New Roman"/>
                <w:color w:val="auto"/>
              </w:rPr>
              <w:t>仪表</w:t>
            </w:r>
          </w:p>
        </w:tc>
        <w:tc>
          <w:tcPr>
            <w:tcW w:w="2279" w:type="dxa"/>
            <w:vAlign w:val="center"/>
          </w:tcPr>
          <w:p w14:paraId="1E119DC4">
            <w:pPr>
              <w:spacing w:line="360" w:lineRule="exact"/>
              <w:jc w:val="center"/>
              <w:rPr>
                <w:rFonts w:ascii="宋体" w:hAnsi="宋体" w:eastAsia="宋体" w:cs="Times New Roman"/>
                <w:color w:val="auto"/>
              </w:rPr>
            </w:pPr>
            <w:r>
              <w:rPr>
                <w:rFonts w:ascii="宋体" w:hAnsi="宋体" w:eastAsia="宋体" w:cs="Times New Roman"/>
                <w:color w:val="auto"/>
              </w:rPr>
              <w:t>钻井参数仪表</w:t>
            </w:r>
          </w:p>
        </w:tc>
        <w:tc>
          <w:tcPr>
            <w:tcW w:w="2735" w:type="dxa"/>
            <w:vAlign w:val="center"/>
          </w:tcPr>
          <w:p w14:paraId="24DE3023">
            <w:pPr>
              <w:spacing w:line="360" w:lineRule="exact"/>
              <w:jc w:val="center"/>
              <w:rPr>
                <w:rFonts w:ascii="宋体" w:hAnsi="宋体" w:eastAsia="宋体" w:cs="Times New Roman"/>
                <w:color w:val="auto"/>
              </w:rPr>
            </w:pPr>
            <w:r>
              <w:rPr>
                <w:rFonts w:ascii="宋体" w:hAnsi="宋体" w:eastAsia="宋体" w:cs="Times New Roman"/>
                <w:color w:val="auto"/>
              </w:rPr>
              <w:t>ZJCB2</w:t>
            </w:r>
          </w:p>
        </w:tc>
        <w:tc>
          <w:tcPr>
            <w:tcW w:w="2116" w:type="dxa"/>
            <w:vAlign w:val="center"/>
          </w:tcPr>
          <w:p w14:paraId="7AE97093">
            <w:pPr>
              <w:spacing w:line="360" w:lineRule="exact"/>
              <w:jc w:val="center"/>
              <w:rPr>
                <w:rFonts w:ascii="宋体" w:hAnsi="宋体" w:eastAsia="宋体" w:cs="Times New Roman"/>
                <w:color w:val="auto"/>
              </w:rPr>
            </w:pPr>
            <w:r>
              <w:rPr>
                <w:rFonts w:ascii="宋体" w:hAnsi="宋体" w:eastAsia="宋体" w:cs="Times New Roman"/>
                <w:color w:val="auto"/>
              </w:rPr>
              <w:t>/</w:t>
            </w:r>
          </w:p>
        </w:tc>
      </w:tr>
      <w:tr w14:paraId="4270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10EF3D82">
            <w:pPr>
              <w:spacing w:line="360" w:lineRule="exact"/>
              <w:jc w:val="center"/>
              <w:rPr>
                <w:rFonts w:ascii="宋体" w:hAnsi="宋体" w:eastAsia="宋体" w:cs="Times New Roman"/>
                <w:color w:val="auto"/>
              </w:rPr>
            </w:pPr>
          </w:p>
        </w:tc>
        <w:tc>
          <w:tcPr>
            <w:tcW w:w="931" w:type="dxa"/>
            <w:vMerge w:val="continue"/>
            <w:vAlign w:val="center"/>
          </w:tcPr>
          <w:p w14:paraId="4517553B">
            <w:pPr>
              <w:spacing w:line="360" w:lineRule="exact"/>
              <w:jc w:val="center"/>
              <w:rPr>
                <w:rFonts w:ascii="宋体" w:hAnsi="宋体" w:eastAsia="宋体" w:cs="Times New Roman"/>
                <w:color w:val="auto"/>
              </w:rPr>
            </w:pPr>
          </w:p>
        </w:tc>
        <w:tc>
          <w:tcPr>
            <w:tcW w:w="2279" w:type="dxa"/>
            <w:vAlign w:val="center"/>
          </w:tcPr>
          <w:p w14:paraId="2B2D8A55">
            <w:pPr>
              <w:jc w:val="center"/>
              <w:rPr>
                <w:rFonts w:ascii="宋体" w:hAnsi="宋体" w:eastAsia="宋体" w:cs="Times New Roman"/>
                <w:color w:val="auto"/>
              </w:rPr>
            </w:pPr>
            <w:r>
              <w:rPr>
                <w:rFonts w:ascii="宋体" w:hAnsi="宋体" w:eastAsia="宋体" w:cs="Times New Roman"/>
                <w:color w:val="auto"/>
              </w:rPr>
              <w:t>单点测斜仪</w:t>
            </w:r>
          </w:p>
        </w:tc>
        <w:tc>
          <w:tcPr>
            <w:tcW w:w="2735" w:type="dxa"/>
            <w:vAlign w:val="center"/>
          </w:tcPr>
          <w:p w14:paraId="0D20A6D0">
            <w:pPr>
              <w:jc w:val="center"/>
              <w:rPr>
                <w:rFonts w:ascii="宋体" w:hAnsi="宋体" w:eastAsia="宋体" w:cs="Times New Roman"/>
                <w:color w:val="auto"/>
              </w:rPr>
            </w:pPr>
            <w:r>
              <w:rPr>
                <w:rFonts w:ascii="宋体" w:hAnsi="宋体" w:eastAsia="宋体" w:cs="Times New Roman"/>
                <w:color w:val="auto"/>
              </w:rPr>
              <w:t>/</w:t>
            </w:r>
          </w:p>
        </w:tc>
        <w:tc>
          <w:tcPr>
            <w:tcW w:w="2116" w:type="dxa"/>
            <w:vAlign w:val="center"/>
          </w:tcPr>
          <w:p w14:paraId="38AC3B6D">
            <w:pPr>
              <w:jc w:val="center"/>
              <w:rPr>
                <w:rFonts w:ascii="宋体" w:hAnsi="宋体" w:eastAsia="宋体" w:cs="Times New Roman"/>
                <w:color w:val="auto"/>
              </w:rPr>
            </w:pPr>
            <w:r>
              <w:rPr>
                <w:rFonts w:ascii="宋体" w:hAnsi="宋体" w:eastAsia="宋体" w:cs="Times New Roman"/>
                <w:color w:val="auto"/>
              </w:rPr>
              <w:t>/</w:t>
            </w:r>
          </w:p>
        </w:tc>
      </w:tr>
      <w:tr w14:paraId="0CB7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Merge w:val="continue"/>
            <w:vAlign w:val="center"/>
          </w:tcPr>
          <w:p w14:paraId="7389B6BB">
            <w:pPr>
              <w:spacing w:line="360" w:lineRule="exact"/>
              <w:jc w:val="center"/>
              <w:rPr>
                <w:rFonts w:ascii="宋体" w:hAnsi="宋体" w:eastAsia="宋体" w:cs="Times New Roman"/>
                <w:color w:val="auto"/>
              </w:rPr>
            </w:pPr>
          </w:p>
        </w:tc>
        <w:tc>
          <w:tcPr>
            <w:tcW w:w="931" w:type="dxa"/>
            <w:vMerge w:val="continue"/>
            <w:vAlign w:val="center"/>
          </w:tcPr>
          <w:p w14:paraId="053413BB">
            <w:pPr>
              <w:spacing w:line="360" w:lineRule="exact"/>
              <w:jc w:val="center"/>
              <w:rPr>
                <w:rFonts w:ascii="宋体" w:hAnsi="宋体" w:eastAsia="宋体" w:cs="Times New Roman"/>
                <w:color w:val="auto"/>
              </w:rPr>
            </w:pPr>
          </w:p>
        </w:tc>
        <w:tc>
          <w:tcPr>
            <w:tcW w:w="2279" w:type="dxa"/>
            <w:vAlign w:val="center"/>
          </w:tcPr>
          <w:p w14:paraId="39E5A0B6">
            <w:pPr>
              <w:jc w:val="center"/>
              <w:rPr>
                <w:rFonts w:ascii="宋体" w:hAnsi="宋体" w:eastAsia="宋体" w:cs="Times New Roman"/>
                <w:color w:val="auto"/>
              </w:rPr>
            </w:pPr>
            <w:r>
              <w:rPr>
                <w:rFonts w:ascii="宋体" w:hAnsi="宋体" w:eastAsia="宋体" w:cs="Times New Roman"/>
                <w:color w:val="auto"/>
              </w:rPr>
              <w:t>多点测斜仪</w:t>
            </w:r>
          </w:p>
        </w:tc>
        <w:tc>
          <w:tcPr>
            <w:tcW w:w="2735" w:type="dxa"/>
            <w:vAlign w:val="center"/>
          </w:tcPr>
          <w:p w14:paraId="39532D4D">
            <w:pPr>
              <w:jc w:val="center"/>
              <w:rPr>
                <w:rFonts w:ascii="宋体" w:hAnsi="宋体" w:eastAsia="宋体" w:cs="Times New Roman"/>
                <w:color w:val="auto"/>
              </w:rPr>
            </w:pPr>
            <w:r>
              <w:rPr>
                <w:rFonts w:ascii="宋体" w:hAnsi="宋体" w:eastAsia="宋体" w:cs="Times New Roman"/>
                <w:color w:val="auto"/>
              </w:rPr>
              <w:t>/</w:t>
            </w:r>
          </w:p>
        </w:tc>
        <w:tc>
          <w:tcPr>
            <w:tcW w:w="2116" w:type="dxa"/>
            <w:vAlign w:val="center"/>
          </w:tcPr>
          <w:p w14:paraId="46FDABE1">
            <w:pPr>
              <w:jc w:val="center"/>
              <w:rPr>
                <w:rFonts w:ascii="宋体" w:hAnsi="宋体" w:eastAsia="宋体" w:cs="Times New Roman"/>
                <w:color w:val="auto"/>
              </w:rPr>
            </w:pPr>
            <w:r>
              <w:rPr>
                <w:rFonts w:ascii="宋体" w:hAnsi="宋体" w:eastAsia="宋体" w:cs="Times New Roman"/>
                <w:color w:val="auto"/>
              </w:rPr>
              <w:t>/</w:t>
            </w:r>
          </w:p>
        </w:tc>
      </w:tr>
      <w:tr w14:paraId="504E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9" w:type="dxa"/>
            <w:vAlign w:val="center"/>
          </w:tcPr>
          <w:p w14:paraId="7C79E0E5">
            <w:pPr>
              <w:spacing w:line="360" w:lineRule="exact"/>
              <w:jc w:val="center"/>
              <w:rPr>
                <w:rFonts w:ascii="宋体" w:hAnsi="宋体" w:eastAsia="宋体" w:cs="Times New Roman"/>
                <w:color w:val="auto"/>
              </w:rPr>
            </w:pPr>
            <w:r>
              <w:rPr>
                <w:rFonts w:ascii="宋体" w:hAnsi="宋体" w:eastAsia="宋体" w:cs="Times New Roman"/>
                <w:color w:val="auto"/>
              </w:rPr>
              <w:t>11</w:t>
            </w:r>
          </w:p>
        </w:tc>
        <w:tc>
          <w:tcPr>
            <w:tcW w:w="3210" w:type="dxa"/>
            <w:gridSpan w:val="2"/>
            <w:vAlign w:val="center"/>
          </w:tcPr>
          <w:p w14:paraId="6AB59DD6">
            <w:pPr>
              <w:jc w:val="center"/>
              <w:rPr>
                <w:rFonts w:ascii="宋体" w:hAnsi="宋体" w:eastAsia="宋体" w:cs="Times New Roman"/>
                <w:color w:val="auto"/>
              </w:rPr>
            </w:pPr>
            <w:r>
              <w:rPr>
                <w:rFonts w:ascii="宋体" w:hAnsi="宋体" w:eastAsia="宋体" w:cs="Times New Roman"/>
                <w:color w:val="auto"/>
              </w:rPr>
              <w:t>液压大钳</w:t>
            </w:r>
          </w:p>
        </w:tc>
        <w:tc>
          <w:tcPr>
            <w:tcW w:w="2735" w:type="dxa"/>
            <w:vAlign w:val="center"/>
          </w:tcPr>
          <w:p w14:paraId="54750344">
            <w:pPr>
              <w:jc w:val="center"/>
              <w:rPr>
                <w:rFonts w:ascii="宋体" w:hAnsi="宋体" w:eastAsia="宋体" w:cs="Times New Roman"/>
                <w:color w:val="auto"/>
              </w:rPr>
            </w:pPr>
            <w:r>
              <w:rPr>
                <w:rFonts w:ascii="宋体" w:hAnsi="宋体" w:eastAsia="宋体" w:cs="Times New Roman"/>
                <w:color w:val="auto"/>
              </w:rPr>
              <w:t>YQ-100</w:t>
            </w:r>
          </w:p>
        </w:tc>
        <w:tc>
          <w:tcPr>
            <w:tcW w:w="2116" w:type="dxa"/>
            <w:vAlign w:val="center"/>
          </w:tcPr>
          <w:p w14:paraId="280B3074">
            <w:pPr>
              <w:jc w:val="center"/>
              <w:rPr>
                <w:rFonts w:ascii="宋体" w:hAnsi="宋体" w:eastAsia="宋体" w:cs="Times New Roman"/>
                <w:color w:val="auto"/>
              </w:rPr>
            </w:pPr>
            <w:r>
              <w:rPr>
                <w:rFonts w:ascii="宋体" w:hAnsi="宋体" w:eastAsia="宋体" w:cs="Times New Roman"/>
                <w:color w:val="auto"/>
              </w:rPr>
              <w:t>100kN•m</w:t>
            </w:r>
          </w:p>
        </w:tc>
      </w:tr>
    </w:tbl>
    <w:p w14:paraId="74C6D24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钻井液</w:t>
      </w:r>
    </w:p>
    <w:p w14:paraId="0A7CD3AB">
      <w:pPr>
        <w:pStyle w:val="276"/>
        <w:widowControl w:val="0"/>
        <w:spacing w:line="440" w:lineRule="exact"/>
        <w:ind w:firstLine="480"/>
        <w:jc w:val="both"/>
        <w:rPr>
          <w:color w:val="auto"/>
          <w:kern w:val="21"/>
        </w:rPr>
      </w:pPr>
      <w:r>
        <w:rPr>
          <w:rFonts w:hint="eastAsia"/>
          <w:color w:val="auto"/>
          <w:kern w:val="21"/>
        </w:rPr>
        <w:t>（1）</w:t>
      </w:r>
      <w:r>
        <w:rPr>
          <w:color w:val="auto"/>
          <w:kern w:val="21"/>
        </w:rPr>
        <w:t>2口定向井</w:t>
      </w:r>
    </w:p>
    <w:p w14:paraId="71D108AE">
      <w:pPr>
        <w:pStyle w:val="276"/>
        <w:widowControl w:val="0"/>
        <w:spacing w:line="440" w:lineRule="exact"/>
        <w:ind w:firstLine="480"/>
        <w:jc w:val="both"/>
        <w:rPr>
          <w:color w:val="auto"/>
          <w:kern w:val="21"/>
        </w:rPr>
      </w:pPr>
      <w:r>
        <w:rPr>
          <w:color w:val="auto"/>
          <w:kern w:val="21"/>
        </w:rPr>
        <w:t>本项目2口定向井采用无毒无害的</w:t>
      </w:r>
      <w:r>
        <w:rPr>
          <w:snapToGrid w:val="0"/>
          <w:color w:val="auto"/>
        </w:rPr>
        <w:t>膨润土</w:t>
      </w:r>
      <w:r>
        <w:rPr>
          <w:color w:val="auto"/>
          <w:kern w:val="21"/>
        </w:rPr>
        <w:t>混浆水基钻井液体系。</w:t>
      </w:r>
    </w:p>
    <w:p w14:paraId="7B46F8F0">
      <w:pPr>
        <w:pStyle w:val="276"/>
        <w:widowControl w:val="0"/>
        <w:spacing w:line="440" w:lineRule="exact"/>
        <w:ind w:firstLine="480"/>
        <w:jc w:val="both"/>
        <w:rPr>
          <w:color w:val="auto"/>
          <w:kern w:val="21"/>
        </w:rPr>
      </w:pPr>
      <w:r>
        <w:rPr>
          <w:color w:val="auto"/>
          <w:kern w:val="21"/>
        </w:rPr>
        <w:t>钻井液体系要求：一开采用膨润土浆开钻，主要成份为膨润土和纯碱；二开使用聚合物钻井液体系，该钻井液技术成熟，具有抑制性强、成本低等优点。配方为膨润土（4.5%～5.5%）+纯碱（膨润土的4.5%～5.0%）+ 复合抑制剂（0.3%～0.4%）+包被剂（0.3%～0.4%） + 降滤失剂I型（0.8%～1.2%）+降滤失剂II型（1.2%～1.5%）+抑制剂（铵盐类）（0.7%～1.3%）+ 防塌剂（树脂类） （1.0%～1.2%）+ 封堵剂（1.0%～1.5%）+PH调节剂（0.04%～0.10%）。</w:t>
      </w:r>
    </w:p>
    <w:p w14:paraId="6CC90798">
      <w:pPr>
        <w:pStyle w:val="276"/>
        <w:widowControl w:val="0"/>
        <w:spacing w:line="440" w:lineRule="exact"/>
        <w:ind w:firstLine="480"/>
        <w:jc w:val="both"/>
        <w:rPr>
          <w:color w:val="auto"/>
          <w:kern w:val="21"/>
        </w:rPr>
      </w:pPr>
      <w:r>
        <w:rPr>
          <w:color w:val="auto"/>
          <w:kern w:val="21"/>
        </w:rPr>
        <w:t>具体钻井液材料用量设计见</w:t>
      </w:r>
      <w:r>
        <w:rPr>
          <w:color w:val="auto"/>
          <w:kern w:val="21"/>
        </w:rPr>
        <w:fldChar w:fldCharType="begin"/>
      </w:r>
      <w:r>
        <w:rPr>
          <w:color w:val="auto"/>
          <w:kern w:val="21"/>
        </w:rPr>
        <w:instrText xml:space="preserve"> REF _Ref211958785 \h  \* MERGEFORMAT </w:instrText>
      </w:r>
      <w:r>
        <w:rPr>
          <w:color w:val="auto"/>
          <w:kern w:val="21"/>
        </w:rPr>
        <w:fldChar w:fldCharType="separate"/>
      </w:r>
      <w:r>
        <w:rPr>
          <w:color w:val="auto"/>
        </w:rPr>
        <w:t>表 3.6</w:t>
      </w:r>
      <w:r>
        <w:rPr>
          <w:color w:val="auto"/>
        </w:rPr>
        <w:noBreakHyphen/>
      </w:r>
      <w:r>
        <w:rPr>
          <w:color w:val="auto"/>
        </w:rPr>
        <w:t>5</w:t>
      </w:r>
      <w:r>
        <w:rPr>
          <w:color w:val="auto"/>
          <w:kern w:val="21"/>
        </w:rPr>
        <w:fldChar w:fldCharType="end"/>
      </w:r>
      <w:r>
        <w:rPr>
          <w:color w:val="auto"/>
          <w:kern w:val="21"/>
        </w:rPr>
        <w:t>。</w:t>
      </w:r>
    </w:p>
    <w:p w14:paraId="77354E86">
      <w:pPr>
        <w:pStyle w:val="22"/>
        <w:spacing w:before="156"/>
        <w:rPr>
          <w:color w:val="auto"/>
          <w:kern w:val="21"/>
        </w:rPr>
      </w:pPr>
      <w:bookmarkStart w:id="640" w:name="_Ref211958785"/>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5</w:t>
      </w:r>
      <w:r>
        <w:rPr>
          <w:color w:val="auto"/>
        </w:rPr>
        <w:fldChar w:fldCharType="end"/>
      </w:r>
      <w:bookmarkEnd w:id="640"/>
      <w:r>
        <w:rPr>
          <w:color w:val="auto"/>
        </w:rPr>
        <w:t>钻井液材料用量设计数据表</w:t>
      </w:r>
    </w:p>
    <w:tbl>
      <w:tblPr>
        <w:tblStyle w:val="81"/>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1317"/>
        <w:gridCol w:w="1988"/>
        <w:gridCol w:w="1903"/>
        <w:gridCol w:w="1932"/>
      </w:tblGrid>
      <w:tr w14:paraId="236D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531251B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开钻次序</w:t>
            </w:r>
          </w:p>
        </w:tc>
        <w:tc>
          <w:tcPr>
            <w:tcW w:w="3305" w:type="dxa"/>
            <w:gridSpan w:val="2"/>
            <w:vAlign w:val="center"/>
          </w:tcPr>
          <w:p w14:paraId="00D55D4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一开</w:t>
            </w:r>
          </w:p>
        </w:tc>
        <w:tc>
          <w:tcPr>
            <w:tcW w:w="3835" w:type="dxa"/>
            <w:gridSpan w:val="2"/>
            <w:vAlign w:val="center"/>
          </w:tcPr>
          <w:p w14:paraId="146936E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二开</w:t>
            </w:r>
          </w:p>
        </w:tc>
      </w:tr>
      <w:tr w14:paraId="2D32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28D02EE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钻头尺寸mm</w:t>
            </w:r>
          </w:p>
        </w:tc>
        <w:tc>
          <w:tcPr>
            <w:tcW w:w="3305" w:type="dxa"/>
            <w:gridSpan w:val="2"/>
            <w:vAlign w:val="center"/>
          </w:tcPr>
          <w:p w14:paraId="55A5232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311.2</w:t>
            </w:r>
          </w:p>
        </w:tc>
        <w:tc>
          <w:tcPr>
            <w:tcW w:w="3835" w:type="dxa"/>
            <w:gridSpan w:val="2"/>
            <w:vAlign w:val="center"/>
          </w:tcPr>
          <w:p w14:paraId="3B43A58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215.9</w:t>
            </w:r>
          </w:p>
        </w:tc>
      </w:tr>
      <w:tr w14:paraId="1883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07F2709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井段m～m</w:t>
            </w:r>
          </w:p>
        </w:tc>
        <w:tc>
          <w:tcPr>
            <w:tcW w:w="3305" w:type="dxa"/>
            <w:gridSpan w:val="2"/>
            <w:vAlign w:val="center"/>
          </w:tcPr>
          <w:p w14:paraId="7AD7244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0～151</w:t>
            </w:r>
          </w:p>
        </w:tc>
        <w:tc>
          <w:tcPr>
            <w:tcW w:w="3835" w:type="dxa"/>
            <w:gridSpan w:val="2"/>
            <w:vAlign w:val="center"/>
          </w:tcPr>
          <w:p w14:paraId="2A97B18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151～2129</w:t>
            </w:r>
          </w:p>
        </w:tc>
      </w:tr>
      <w:tr w14:paraId="3988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0067945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井筒容积m</w:t>
            </w:r>
            <w:r>
              <w:rPr>
                <w:rFonts w:ascii="宋体" w:hAnsi="宋体" w:eastAsia="宋体" w:cs="Times New Roman"/>
                <w:color w:val="auto"/>
                <w:vertAlign w:val="superscript"/>
              </w:rPr>
              <w:t>3</w:t>
            </w:r>
          </w:p>
        </w:tc>
        <w:tc>
          <w:tcPr>
            <w:tcW w:w="3305" w:type="dxa"/>
            <w:gridSpan w:val="2"/>
            <w:vAlign w:val="center"/>
          </w:tcPr>
          <w:p w14:paraId="20B38409">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17</w:t>
            </w:r>
          </w:p>
        </w:tc>
        <w:tc>
          <w:tcPr>
            <w:tcW w:w="3835" w:type="dxa"/>
            <w:gridSpan w:val="2"/>
            <w:vAlign w:val="center"/>
          </w:tcPr>
          <w:p w14:paraId="21DD155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104</w:t>
            </w:r>
          </w:p>
        </w:tc>
      </w:tr>
      <w:tr w14:paraId="42CF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5733CCF0">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地面循环量m</w:t>
            </w:r>
            <w:r>
              <w:rPr>
                <w:rFonts w:ascii="宋体" w:hAnsi="宋体" w:eastAsia="宋体" w:cs="Times New Roman"/>
                <w:color w:val="auto"/>
                <w:vertAlign w:val="superscript"/>
              </w:rPr>
              <w:t>3</w:t>
            </w:r>
          </w:p>
        </w:tc>
        <w:tc>
          <w:tcPr>
            <w:tcW w:w="3305" w:type="dxa"/>
            <w:gridSpan w:val="2"/>
            <w:vAlign w:val="center"/>
          </w:tcPr>
          <w:p w14:paraId="794A0A1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40</w:t>
            </w:r>
          </w:p>
        </w:tc>
        <w:tc>
          <w:tcPr>
            <w:tcW w:w="3835" w:type="dxa"/>
            <w:gridSpan w:val="2"/>
            <w:vAlign w:val="center"/>
          </w:tcPr>
          <w:p w14:paraId="2872450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80</w:t>
            </w:r>
          </w:p>
        </w:tc>
      </w:tr>
      <w:tr w14:paraId="65F8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2640A32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钻井液损耗量 m</w:t>
            </w:r>
            <w:r>
              <w:rPr>
                <w:rFonts w:ascii="宋体" w:hAnsi="宋体" w:eastAsia="宋体" w:cs="Times New Roman"/>
                <w:color w:val="auto"/>
                <w:vertAlign w:val="superscript"/>
              </w:rPr>
              <w:t>3</w:t>
            </w:r>
          </w:p>
        </w:tc>
        <w:tc>
          <w:tcPr>
            <w:tcW w:w="3305" w:type="dxa"/>
            <w:gridSpan w:val="2"/>
            <w:vAlign w:val="center"/>
          </w:tcPr>
          <w:p w14:paraId="18BFE15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7</w:t>
            </w:r>
          </w:p>
        </w:tc>
        <w:tc>
          <w:tcPr>
            <w:tcW w:w="3835" w:type="dxa"/>
            <w:gridSpan w:val="2"/>
            <w:vAlign w:val="center"/>
          </w:tcPr>
          <w:p w14:paraId="1435909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80</w:t>
            </w:r>
          </w:p>
        </w:tc>
      </w:tr>
      <w:tr w14:paraId="1FA7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143463F6">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钻井液总量m</w:t>
            </w:r>
            <w:r>
              <w:rPr>
                <w:rFonts w:ascii="宋体" w:hAnsi="宋体" w:eastAsia="宋体" w:cs="Times New Roman"/>
                <w:color w:val="auto"/>
                <w:vertAlign w:val="superscript"/>
              </w:rPr>
              <w:t>3</w:t>
            </w:r>
          </w:p>
        </w:tc>
        <w:tc>
          <w:tcPr>
            <w:tcW w:w="3305" w:type="dxa"/>
            <w:gridSpan w:val="2"/>
            <w:vAlign w:val="center"/>
          </w:tcPr>
          <w:p w14:paraId="38EB87B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64</w:t>
            </w:r>
          </w:p>
        </w:tc>
        <w:tc>
          <w:tcPr>
            <w:tcW w:w="3835" w:type="dxa"/>
            <w:gridSpan w:val="2"/>
            <w:vAlign w:val="center"/>
          </w:tcPr>
          <w:p w14:paraId="3EC17B66">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264</w:t>
            </w:r>
          </w:p>
        </w:tc>
      </w:tr>
      <w:tr w14:paraId="5641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0557026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钻井液体系</w:t>
            </w:r>
          </w:p>
        </w:tc>
        <w:tc>
          <w:tcPr>
            <w:tcW w:w="3305" w:type="dxa"/>
            <w:gridSpan w:val="2"/>
            <w:vAlign w:val="center"/>
          </w:tcPr>
          <w:p w14:paraId="76046F4D">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膨润土浆</w:t>
            </w:r>
          </w:p>
        </w:tc>
        <w:tc>
          <w:tcPr>
            <w:tcW w:w="3835" w:type="dxa"/>
            <w:gridSpan w:val="2"/>
            <w:vAlign w:val="center"/>
          </w:tcPr>
          <w:p w14:paraId="232ED22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聚合物钻井液体系</w:t>
            </w:r>
          </w:p>
        </w:tc>
      </w:tr>
      <w:tr w14:paraId="736E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restart"/>
            <w:vAlign w:val="center"/>
          </w:tcPr>
          <w:p w14:paraId="220EA04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钻井液材料</w:t>
            </w:r>
          </w:p>
          <w:p w14:paraId="2627A7AD">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名称和用量</w:t>
            </w:r>
          </w:p>
        </w:tc>
        <w:tc>
          <w:tcPr>
            <w:tcW w:w="1317" w:type="dxa"/>
            <w:vAlign w:val="center"/>
          </w:tcPr>
          <w:p w14:paraId="5A58503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材料名称</w:t>
            </w:r>
          </w:p>
        </w:tc>
        <w:tc>
          <w:tcPr>
            <w:tcW w:w="1988" w:type="dxa"/>
            <w:vAlign w:val="center"/>
          </w:tcPr>
          <w:p w14:paraId="0909586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材料用量t</w:t>
            </w:r>
          </w:p>
        </w:tc>
        <w:tc>
          <w:tcPr>
            <w:tcW w:w="1903" w:type="dxa"/>
            <w:vAlign w:val="center"/>
          </w:tcPr>
          <w:p w14:paraId="4691DAE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材料名称</w:t>
            </w:r>
          </w:p>
        </w:tc>
        <w:tc>
          <w:tcPr>
            <w:tcW w:w="1932" w:type="dxa"/>
            <w:vAlign w:val="center"/>
          </w:tcPr>
          <w:p w14:paraId="6488E966">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材料用量t</w:t>
            </w:r>
          </w:p>
        </w:tc>
      </w:tr>
      <w:tr w14:paraId="4698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7FCBA1C2">
            <w:pPr>
              <w:adjustRightInd w:val="0"/>
              <w:snapToGrid w:val="0"/>
              <w:spacing w:line="320" w:lineRule="exact"/>
              <w:jc w:val="center"/>
              <w:rPr>
                <w:rFonts w:ascii="宋体" w:hAnsi="宋体" w:eastAsia="宋体" w:cs="Times New Roman"/>
                <w:color w:val="auto"/>
              </w:rPr>
            </w:pPr>
          </w:p>
        </w:tc>
        <w:tc>
          <w:tcPr>
            <w:tcW w:w="1317" w:type="dxa"/>
            <w:vAlign w:val="center"/>
          </w:tcPr>
          <w:p w14:paraId="42099D7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膨润土</w:t>
            </w:r>
          </w:p>
        </w:tc>
        <w:tc>
          <w:tcPr>
            <w:tcW w:w="1988" w:type="dxa"/>
            <w:vAlign w:val="center"/>
          </w:tcPr>
          <w:p w14:paraId="05EAC02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3.0</w:t>
            </w:r>
          </w:p>
        </w:tc>
        <w:tc>
          <w:tcPr>
            <w:tcW w:w="1903" w:type="dxa"/>
            <w:vAlign w:val="center"/>
          </w:tcPr>
          <w:p w14:paraId="19DACE3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膨润土</w:t>
            </w:r>
          </w:p>
        </w:tc>
        <w:tc>
          <w:tcPr>
            <w:tcW w:w="1932" w:type="dxa"/>
            <w:vAlign w:val="bottom"/>
          </w:tcPr>
          <w:p w14:paraId="7A27093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 xml:space="preserve">14.5 </w:t>
            </w:r>
          </w:p>
        </w:tc>
      </w:tr>
      <w:tr w14:paraId="7CE4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6C1EAF3E">
            <w:pPr>
              <w:adjustRightInd w:val="0"/>
              <w:snapToGrid w:val="0"/>
              <w:spacing w:line="320" w:lineRule="exact"/>
              <w:jc w:val="center"/>
              <w:rPr>
                <w:rFonts w:ascii="宋体" w:hAnsi="宋体" w:eastAsia="宋体" w:cs="Times New Roman"/>
                <w:color w:val="auto"/>
              </w:rPr>
            </w:pPr>
          </w:p>
        </w:tc>
        <w:tc>
          <w:tcPr>
            <w:tcW w:w="1317" w:type="dxa"/>
            <w:vAlign w:val="center"/>
          </w:tcPr>
          <w:p w14:paraId="7035CF90">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纯碱</w:t>
            </w:r>
          </w:p>
        </w:tc>
        <w:tc>
          <w:tcPr>
            <w:tcW w:w="1988" w:type="dxa"/>
            <w:vAlign w:val="center"/>
          </w:tcPr>
          <w:p w14:paraId="5B68B2D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1903" w:type="dxa"/>
            <w:vAlign w:val="center"/>
          </w:tcPr>
          <w:p w14:paraId="5AA18864">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纯碱</w:t>
            </w:r>
          </w:p>
        </w:tc>
        <w:tc>
          <w:tcPr>
            <w:tcW w:w="1932" w:type="dxa"/>
            <w:vAlign w:val="bottom"/>
          </w:tcPr>
          <w:p w14:paraId="01FA5D9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 xml:space="preserve">0.7 </w:t>
            </w:r>
          </w:p>
        </w:tc>
      </w:tr>
      <w:tr w14:paraId="0951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59896BD3">
            <w:pPr>
              <w:adjustRightInd w:val="0"/>
              <w:snapToGrid w:val="0"/>
              <w:spacing w:line="320" w:lineRule="exact"/>
              <w:jc w:val="center"/>
              <w:rPr>
                <w:rFonts w:ascii="宋体" w:hAnsi="宋体" w:eastAsia="宋体" w:cs="Times New Roman"/>
                <w:color w:val="auto"/>
              </w:rPr>
            </w:pPr>
          </w:p>
        </w:tc>
        <w:tc>
          <w:tcPr>
            <w:tcW w:w="1317" w:type="dxa"/>
          </w:tcPr>
          <w:p w14:paraId="07FA667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88" w:type="dxa"/>
          </w:tcPr>
          <w:p w14:paraId="2C3A349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03" w:type="dxa"/>
            <w:vAlign w:val="center"/>
          </w:tcPr>
          <w:p w14:paraId="4FFFFEE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复合抑制剂</w:t>
            </w:r>
          </w:p>
        </w:tc>
        <w:tc>
          <w:tcPr>
            <w:tcW w:w="1932" w:type="dxa"/>
            <w:vAlign w:val="bottom"/>
          </w:tcPr>
          <w:p w14:paraId="2AE4099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 xml:space="preserve">1.1 </w:t>
            </w:r>
          </w:p>
        </w:tc>
      </w:tr>
      <w:tr w14:paraId="684B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1DE7C1F2">
            <w:pPr>
              <w:adjustRightInd w:val="0"/>
              <w:snapToGrid w:val="0"/>
              <w:spacing w:line="320" w:lineRule="exact"/>
              <w:jc w:val="center"/>
              <w:rPr>
                <w:rFonts w:ascii="宋体" w:hAnsi="宋体" w:eastAsia="宋体" w:cs="Times New Roman"/>
                <w:color w:val="auto"/>
              </w:rPr>
            </w:pPr>
          </w:p>
        </w:tc>
        <w:tc>
          <w:tcPr>
            <w:tcW w:w="1317" w:type="dxa"/>
          </w:tcPr>
          <w:p w14:paraId="5F08127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88" w:type="dxa"/>
          </w:tcPr>
          <w:p w14:paraId="53B8555D">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03" w:type="dxa"/>
            <w:vAlign w:val="center"/>
          </w:tcPr>
          <w:p w14:paraId="61AFA23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包被剂</w:t>
            </w:r>
          </w:p>
        </w:tc>
        <w:tc>
          <w:tcPr>
            <w:tcW w:w="1932" w:type="dxa"/>
            <w:vAlign w:val="bottom"/>
          </w:tcPr>
          <w:p w14:paraId="29EF9C4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 xml:space="preserve">1.1 </w:t>
            </w:r>
          </w:p>
        </w:tc>
      </w:tr>
      <w:tr w14:paraId="1E77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2C657A04">
            <w:pPr>
              <w:adjustRightInd w:val="0"/>
              <w:snapToGrid w:val="0"/>
              <w:spacing w:line="320" w:lineRule="exact"/>
              <w:jc w:val="center"/>
              <w:rPr>
                <w:rFonts w:ascii="宋体" w:hAnsi="宋体" w:eastAsia="宋体" w:cs="Times New Roman"/>
                <w:color w:val="auto"/>
              </w:rPr>
            </w:pPr>
          </w:p>
        </w:tc>
        <w:tc>
          <w:tcPr>
            <w:tcW w:w="1317" w:type="dxa"/>
          </w:tcPr>
          <w:p w14:paraId="4C06C1F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88" w:type="dxa"/>
          </w:tcPr>
          <w:p w14:paraId="3A4D259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03" w:type="dxa"/>
            <w:vAlign w:val="center"/>
          </w:tcPr>
          <w:p w14:paraId="3CA8A09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降滤失剂I型</w:t>
            </w:r>
          </w:p>
        </w:tc>
        <w:tc>
          <w:tcPr>
            <w:tcW w:w="1932" w:type="dxa"/>
            <w:vAlign w:val="bottom"/>
          </w:tcPr>
          <w:p w14:paraId="2C24E52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 xml:space="preserve">3.2 </w:t>
            </w:r>
          </w:p>
        </w:tc>
      </w:tr>
      <w:tr w14:paraId="00B1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6AEA2F8D">
            <w:pPr>
              <w:adjustRightInd w:val="0"/>
              <w:snapToGrid w:val="0"/>
              <w:spacing w:line="320" w:lineRule="exact"/>
              <w:jc w:val="center"/>
              <w:rPr>
                <w:rFonts w:ascii="宋体" w:hAnsi="宋体" w:eastAsia="宋体" w:cs="Times New Roman"/>
                <w:color w:val="auto"/>
              </w:rPr>
            </w:pPr>
          </w:p>
        </w:tc>
        <w:tc>
          <w:tcPr>
            <w:tcW w:w="1317" w:type="dxa"/>
          </w:tcPr>
          <w:p w14:paraId="352F35C6">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88" w:type="dxa"/>
          </w:tcPr>
          <w:p w14:paraId="6F2EC904">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03" w:type="dxa"/>
            <w:vAlign w:val="center"/>
          </w:tcPr>
          <w:p w14:paraId="70E2815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降滤失剂II型</w:t>
            </w:r>
          </w:p>
        </w:tc>
        <w:tc>
          <w:tcPr>
            <w:tcW w:w="1932" w:type="dxa"/>
            <w:vAlign w:val="bottom"/>
          </w:tcPr>
          <w:p w14:paraId="3C89774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 xml:space="preserve">4.0 </w:t>
            </w:r>
          </w:p>
        </w:tc>
      </w:tr>
      <w:tr w14:paraId="224B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3179F579">
            <w:pPr>
              <w:adjustRightInd w:val="0"/>
              <w:snapToGrid w:val="0"/>
              <w:spacing w:line="320" w:lineRule="exact"/>
              <w:jc w:val="center"/>
              <w:rPr>
                <w:rFonts w:ascii="宋体" w:hAnsi="宋体" w:eastAsia="宋体" w:cs="Times New Roman"/>
                <w:color w:val="auto"/>
              </w:rPr>
            </w:pPr>
          </w:p>
        </w:tc>
        <w:tc>
          <w:tcPr>
            <w:tcW w:w="1317" w:type="dxa"/>
          </w:tcPr>
          <w:p w14:paraId="2ECAE67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88" w:type="dxa"/>
          </w:tcPr>
          <w:p w14:paraId="38F861D3">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03" w:type="dxa"/>
            <w:vAlign w:val="center"/>
          </w:tcPr>
          <w:p w14:paraId="2BCD9DC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抑制剂（铵盐类）</w:t>
            </w:r>
          </w:p>
        </w:tc>
        <w:tc>
          <w:tcPr>
            <w:tcW w:w="1932" w:type="dxa"/>
            <w:vAlign w:val="bottom"/>
          </w:tcPr>
          <w:p w14:paraId="0A2AAD6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 xml:space="preserve">3.4 </w:t>
            </w:r>
          </w:p>
        </w:tc>
      </w:tr>
      <w:tr w14:paraId="2D07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492043D5">
            <w:pPr>
              <w:adjustRightInd w:val="0"/>
              <w:snapToGrid w:val="0"/>
              <w:spacing w:line="320" w:lineRule="exact"/>
              <w:jc w:val="center"/>
              <w:rPr>
                <w:rFonts w:ascii="宋体" w:hAnsi="宋体" w:eastAsia="宋体" w:cs="Times New Roman"/>
                <w:color w:val="auto"/>
              </w:rPr>
            </w:pPr>
          </w:p>
        </w:tc>
        <w:tc>
          <w:tcPr>
            <w:tcW w:w="1317" w:type="dxa"/>
          </w:tcPr>
          <w:p w14:paraId="75D71060">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88" w:type="dxa"/>
          </w:tcPr>
          <w:p w14:paraId="569C3673">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03" w:type="dxa"/>
            <w:vAlign w:val="center"/>
          </w:tcPr>
          <w:p w14:paraId="41E1B21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防塌剂（树脂类）</w:t>
            </w:r>
          </w:p>
        </w:tc>
        <w:tc>
          <w:tcPr>
            <w:tcW w:w="1932" w:type="dxa"/>
            <w:vAlign w:val="bottom"/>
          </w:tcPr>
          <w:p w14:paraId="0A7B08A9">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 xml:space="preserve">3.2 </w:t>
            </w:r>
          </w:p>
        </w:tc>
      </w:tr>
      <w:tr w14:paraId="7936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252CE9A2">
            <w:pPr>
              <w:adjustRightInd w:val="0"/>
              <w:snapToGrid w:val="0"/>
              <w:spacing w:line="320" w:lineRule="exact"/>
              <w:jc w:val="center"/>
              <w:rPr>
                <w:rFonts w:ascii="宋体" w:hAnsi="宋体" w:eastAsia="宋体" w:cs="Times New Roman"/>
                <w:color w:val="auto"/>
              </w:rPr>
            </w:pPr>
          </w:p>
        </w:tc>
        <w:tc>
          <w:tcPr>
            <w:tcW w:w="1317" w:type="dxa"/>
          </w:tcPr>
          <w:p w14:paraId="470BB14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88" w:type="dxa"/>
          </w:tcPr>
          <w:p w14:paraId="269E0C2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03" w:type="dxa"/>
            <w:vAlign w:val="center"/>
          </w:tcPr>
          <w:p w14:paraId="1844EF9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封堵剂</w:t>
            </w:r>
          </w:p>
        </w:tc>
        <w:tc>
          <w:tcPr>
            <w:tcW w:w="1932" w:type="dxa"/>
            <w:vAlign w:val="bottom"/>
          </w:tcPr>
          <w:p w14:paraId="27A828E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 xml:space="preserve">4.0 </w:t>
            </w:r>
          </w:p>
        </w:tc>
      </w:tr>
      <w:tr w14:paraId="7BE9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2B16DF51">
            <w:pPr>
              <w:adjustRightInd w:val="0"/>
              <w:snapToGrid w:val="0"/>
              <w:spacing w:line="320" w:lineRule="exact"/>
              <w:jc w:val="center"/>
              <w:rPr>
                <w:rFonts w:ascii="宋体" w:hAnsi="宋体" w:eastAsia="宋体" w:cs="Times New Roman"/>
                <w:color w:val="auto"/>
              </w:rPr>
            </w:pPr>
          </w:p>
        </w:tc>
        <w:tc>
          <w:tcPr>
            <w:tcW w:w="1317" w:type="dxa"/>
          </w:tcPr>
          <w:p w14:paraId="2781FCA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88" w:type="dxa"/>
          </w:tcPr>
          <w:p w14:paraId="40C7089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03" w:type="dxa"/>
            <w:vAlign w:val="center"/>
          </w:tcPr>
          <w:p w14:paraId="2EA11B84">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PH调节剂</w:t>
            </w:r>
          </w:p>
        </w:tc>
        <w:tc>
          <w:tcPr>
            <w:tcW w:w="1932" w:type="dxa"/>
            <w:vAlign w:val="bottom"/>
          </w:tcPr>
          <w:p w14:paraId="75A9533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 xml:space="preserve">0.8 </w:t>
            </w:r>
          </w:p>
        </w:tc>
      </w:tr>
      <w:tr w14:paraId="30FC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47F39886">
            <w:pPr>
              <w:adjustRightInd w:val="0"/>
              <w:snapToGrid w:val="0"/>
              <w:spacing w:line="320" w:lineRule="exact"/>
              <w:jc w:val="center"/>
              <w:rPr>
                <w:rFonts w:ascii="宋体" w:hAnsi="宋体" w:eastAsia="宋体" w:cs="Times New Roman"/>
                <w:color w:val="auto"/>
              </w:rPr>
            </w:pPr>
          </w:p>
        </w:tc>
        <w:tc>
          <w:tcPr>
            <w:tcW w:w="1317" w:type="dxa"/>
          </w:tcPr>
          <w:p w14:paraId="672F276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88" w:type="dxa"/>
          </w:tcPr>
          <w:p w14:paraId="17080C70">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903" w:type="dxa"/>
            <w:vAlign w:val="center"/>
          </w:tcPr>
          <w:p w14:paraId="2AD1F2FD">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重晶石</w:t>
            </w:r>
          </w:p>
        </w:tc>
        <w:tc>
          <w:tcPr>
            <w:tcW w:w="1932" w:type="dxa"/>
            <w:vAlign w:val="bottom"/>
          </w:tcPr>
          <w:p w14:paraId="5363A6A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79.2</w:t>
            </w:r>
          </w:p>
        </w:tc>
      </w:tr>
    </w:tbl>
    <w:p w14:paraId="5C7D6D02">
      <w:pPr>
        <w:pStyle w:val="22"/>
        <w:spacing w:before="156"/>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6</w:t>
      </w:r>
      <w:r>
        <w:rPr>
          <w:color w:val="auto"/>
        </w:rPr>
        <w:fldChar w:fldCharType="end"/>
      </w:r>
      <w:r>
        <w:rPr>
          <w:color w:val="auto"/>
        </w:rPr>
        <w:t>定向井水基钻井液各成分理化性质一览表</w:t>
      </w:r>
    </w:p>
    <w:tbl>
      <w:tblPr>
        <w:tblStyle w:val="8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400"/>
        <w:gridCol w:w="1501"/>
        <w:gridCol w:w="5386"/>
        <w:gridCol w:w="561"/>
      </w:tblGrid>
      <w:tr w14:paraId="13059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36" w:type="pct"/>
            <w:shd w:val="clear" w:color="auto" w:fill="auto"/>
            <w:vAlign w:val="center"/>
          </w:tcPr>
          <w:p w14:paraId="52CBDD16">
            <w:pPr>
              <w:jc w:val="center"/>
              <w:rPr>
                <w:rFonts w:ascii="宋体" w:hAnsi="宋体" w:eastAsia="宋体" w:cs="Times New Roman"/>
                <w:color w:val="auto"/>
              </w:rPr>
            </w:pPr>
            <w:r>
              <w:rPr>
                <w:rFonts w:ascii="宋体" w:hAnsi="宋体" w:eastAsia="宋体" w:cs="Times New Roman"/>
                <w:color w:val="auto"/>
              </w:rPr>
              <w:t>序号</w:t>
            </w:r>
          </w:p>
        </w:tc>
        <w:tc>
          <w:tcPr>
            <w:tcW w:w="754" w:type="pct"/>
            <w:shd w:val="clear" w:color="auto" w:fill="auto"/>
            <w:vAlign w:val="center"/>
          </w:tcPr>
          <w:p w14:paraId="71ED7C64">
            <w:pPr>
              <w:jc w:val="center"/>
              <w:rPr>
                <w:rFonts w:ascii="宋体" w:hAnsi="宋体" w:eastAsia="宋体" w:cs="Times New Roman"/>
                <w:color w:val="auto"/>
              </w:rPr>
            </w:pPr>
            <w:r>
              <w:rPr>
                <w:rFonts w:ascii="宋体" w:hAnsi="宋体" w:eastAsia="宋体" w:cs="Times New Roman"/>
                <w:color w:val="auto"/>
              </w:rPr>
              <w:t>原料</w:t>
            </w:r>
          </w:p>
          <w:p w14:paraId="3EC9FBA5">
            <w:pPr>
              <w:jc w:val="center"/>
              <w:rPr>
                <w:rFonts w:ascii="宋体" w:hAnsi="宋体" w:eastAsia="宋体" w:cs="Times New Roman"/>
                <w:color w:val="auto"/>
              </w:rPr>
            </w:pPr>
            <w:r>
              <w:rPr>
                <w:rFonts w:ascii="宋体" w:hAnsi="宋体" w:eastAsia="宋体" w:cs="Times New Roman"/>
                <w:color w:val="auto"/>
              </w:rPr>
              <w:t>名称</w:t>
            </w:r>
          </w:p>
        </w:tc>
        <w:tc>
          <w:tcPr>
            <w:tcW w:w="808" w:type="pct"/>
            <w:shd w:val="clear" w:color="auto" w:fill="auto"/>
            <w:vAlign w:val="center"/>
          </w:tcPr>
          <w:p w14:paraId="65C7B165">
            <w:pPr>
              <w:tabs>
                <w:tab w:val="left" w:pos="2250"/>
              </w:tabs>
              <w:jc w:val="center"/>
              <w:rPr>
                <w:rFonts w:ascii="宋体" w:hAnsi="宋体" w:eastAsia="宋体" w:cs="Times New Roman"/>
                <w:color w:val="auto"/>
              </w:rPr>
            </w:pPr>
            <w:r>
              <w:rPr>
                <w:rFonts w:ascii="宋体" w:hAnsi="宋体" w:eastAsia="宋体" w:cs="Times New Roman"/>
                <w:color w:val="auto"/>
              </w:rPr>
              <w:t>重要组分</w:t>
            </w:r>
          </w:p>
        </w:tc>
        <w:tc>
          <w:tcPr>
            <w:tcW w:w="2900" w:type="pct"/>
            <w:shd w:val="clear" w:color="auto" w:fill="auto"/>
            <w:vAlign w:val="center"/>
          </w:tcPr>
          <w:p w14:paraId="38ED6255">
            <w:pPr>
              <w:tabs>
                <w:tab w:val="left" w:pos="2250"/>
              </w:tabs>
              <w:jc w:val="center"/>
              <w:rPr>
                <w:rFonts w:ascii="宋体" w:hAnsi="宋体" w:eastAsia="宋体" w:cs="Times New Roman"/>
                <w:color w:val="auto"/>
              </w:rPr>
            </w:pPr>
            <w:r>
              <w:rPr>
                <w:rFonts w:ascii="宋体" w:hAnsi="宋体" w:eastAsia="宋体" w:cs="Times New Roman"/>
                <w:color w:val="auto"/>
              </w:rPr>
              <w:t>理化性质及作用</w:t>
            </w:r>
          </w:p>
        </w:tc>
        <w:tc>
          <w:tcPr>
            <w:tcW w:w="302" w:type="pct"/>
            <w:shd w:val="clear" w:color="auto" w:fill="auto"/>
            <w:vAlign w:val="center"/>
          </w:tcPr>
          <w:p w14:paraId="05E22D46">
            <w:pPr>
              <w:tabs>
                <w:tab w:val="left" w:pos="2250"/>
              </w:tabs>
              <w:jc w:val="center"/>
              <w:rPr>
                <w:rFonts w:ascii="宋体" w:hAnsi="宋体" w:eastAsia="宋体" w:cs="Times New Roman"/>
                <w:color w:val="auto"/>
              </w:rPr>
            </w:pPr>
            <w:r>
              <w:rPr>
                <w:rFonts w:ascii="宋体" w:hAnsi="宋体" w:eastAsia="宋体" w:cs="Times New Roman"/>
                <w:color w:val="auto"/>
              </w:rPr>
              <w:t>毒理</w:t>
            </w:r>
          </w:p>
          <w:p w14:paraId="50EF9A77">
            <w:pPr>
              <w:tabs>
                <w:tab w:val="left" w:pos="2250"/>
              </w:tabs>
              <w:jc w:val="center"/>
              <w:rPr>
                <w:rFonts w:ascii="宋体" w:hAnsi="宋体" w:eastAsia="宋体" w:cs="Times New Roman"/>
                <w:color w:val="auto"/>
              </w:rPr>
            </w:pPr>
            <w:r>
              <w:rPr>
                <w:rFonts w:ascii="宋体" w:hAnsi="宋体" w:eastAsia="宋体" w:cs="Times New Roman"/>
                <w:color w:val="auto"/>
              </w:rPr>
              <w:t>性质</w:t>
            </w:r>
          </w:p>
        </w:tc>
      </w:tr>
      <w:tr w14:paraId="51AD5D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599985DE">
            <w:pPr>
              <w:jc w:val="center"/>
              <w:rPr>
                <w:rFonts w:ascii="宋体" w:hAnsi="宋体" w:eastAsia="宋体" w:cs="Times New Roman"/>
                <w:color w:val="auto"/>
              </w:rPr>
            </w:pPr>
            <w:r>
              <w:rPr>
                <w:rFonts w:ascii="宋体" w:hAnsi="宋体" w:eastAsia="宋体" w:cs="Times New Roman"/>
                <w:color w:val="auto"/>
              </w:rPr>
              <w:t>1</w:t>
            </w:r>
          </w:p>
        </w:tc>
        <w:tc>
          <w:tcPr>
            <w:tcW w:w="754" w:type="pct"/>
            <w:shd w:val="clear" w:color="auto" w:fill="auto"/>
            <w:vAlign w:val="center"/>
          </w:tcPr>
          <w:p w14:paraId="71B169F1">
            <w:pPr>
              <w:jc w:val="center"/>
              <w:rPr>
                <w:rFonts w:ascii="宋体" w:hAnsi="宋体" w:eastAsia="宋体" w:cs="Times New Roman"/>
                <w:color w:val="auto"/>
              </w:rPr>
            </w:pPr>
            <w:r>
              <w:rPr>
                <w:rFonts w:ascii="宋体" w:hAnsi="宋体" w:eastAsia="宋体" w:cs="Times New Roman"/>
                <w:color w:val="auto"/>
              </w:rPr>
              <w:t>膨润土</w:t>
            </w:r>
          </w:p>
        </w:tc>
        <w:tc>
          <w:tcPr>
            <w:tcW w:w="808" w:type="pct"/>
            <w:shd w:val="clear" w:color="auto" w:fill="auto"/>
            <w:vAlign w:val="center"/>
          </w:tcPr>
          <w:p w14:paraId="3E3A29A7">
            <w:pPr>
              <w:tabs>
                <w:tab w:val="left" w:pos="2250"/>
              </w:tabs>
              <w:jc w:val="center"/>
              <w:rPr>
                <w:rFonts w:ascii="宋体" w:hAnsi="宋体" w:eastAsia="宋体" w:cs="Times New Roman"/>
                <w:color w:val="auto"/>
              </w:rPr>
            </w:pPr>
            <w:r>
              <w:rPr>
                <w:rFonts w:ascii="宋体" w:hAnsi="宋体" w:eastAsia="宋体" w:cs="Times New Roman"/>
                <w:color w:val="auto"/>
              </w:rPr>
              <w:t>天然矿物，主要成分是层状铝硅酸盐蒙脱石</w:t>
            </w:r>
          </w:p>
        </w:tc>
        <w:tc>
          <w:tcPr>
            <w:tcW w:w="2900" w:type="pct"/>
            <w:shd w:val="clear" w:color="auto" w:fill="auto"/>
            <w:vAlign w:val="center"/>
          </w:tcPr>
          <w:p w14:paraId="585CC31C">
            <w:pPr>
              <w:tabs>
                <w:tab w:val="left" w:pos="2250"/>
              </w:tabs>
              <w:ind w:firstLine="420" w:firstLineChars="200"/>
              <w:jc w:val="center"/>
              <w:rPr>
                <w:rFonts w:ascii="宋体" w:hAnsi="宋体" w:eastAsia="宋体" w:cs="Times New Roman"/>
                <w:color w:val="auto"/>
              </w:rPr>
            </w:pPr>
            <w:r>
              <w:rPr>
                <w:rFonts w:ascii="宋体" w:hAnsi="宋体" w:eastAsia="宋体" w:cs="Times New Roman"/>
                <w:color w:val="auto"/>
              </w:rPr>
              <w:t>其晶体结构是由两个硅氧四面体晶片中间夹1个铝氧八面体晶片组成1个晶层，在硅氧四面体中，有部分的Si</w:t>
            </w:r>
            <w:r>
              <w:rPr>
                <w:rFonts w:ascii="宋体" w:hAnsi="宋体" w:eastAsia="宋体" w:cs="Times New Roman"/>
                <w:color w:val="auto"/>
                <w:vertAlign w:val="superscript"/>
              </w:rPr>
              <w:t>4+</w:t>
            </w:r>
            <w:r>
              <w:rPr>
                <w:rFonts w:ascii="宋体" w:hAnsi="宋体" w:eastAsia="宋体" w:cs="Times New Roman"/>
                <w:color w:val="auto"/>
              </w:rPr>
              <w:t>可被Al</w:t>
            </w:r>
            <w:r>
              <w:rPr>
                <w:rFonts w:ascii="宋体" w:hAnsi="宋体" w:eastAsia="宋体" w:cs="Times New Roman"/>
                <w:color w:val="auto"/>
                <w:vertAlign w:val="superscript"/>
              </w:rPr>
              <w:t>3+</w:t>
            </w:r>
            <w:r>
              <w:rPr>
                <w:rFonts w:ascii="宋体" w:hAnsi="宋体" w:eastAsia="宋体" w:cs="Times New Roman"/>
                <w:color w:val="auto"/>
              </w:rPr>
              <w:t>取代，铝氧八面体层中有部分的Al</w:t>
            </w:r>
            <w:r>
              <w:rPr>
                <w:rFonts w:ascii="宋体" w:hAnsi="宋体" w:eastAsia="宋体" w:cs="Times New Roman"/>
                <w:color w:val="auto"/>
                <w:vertAlign w:val="superscript"/>
              </w:rPr>
              <w:t>3+</w:t>
            </w:r>
            <w:r>
              <w:rPr>
                <w:rFonts w:ascii="宋体" w:hAnsi="宋体" w:eastAsia="宋体" w:cs="Times New Roman"/>
                <w:color w:val="auto"/>
              </w:rPr>
              <w:t>可被Fe</w:t>
            </w:r>
            <w:r>
              <w:rPr>
                <w:rFonts w:ascii="宋体" w:hAnsi="宋体" w:eastAsia="宋体" w:cs="Times New Roman"/>
                <w:color w:val="auto"/>
                <w:vertAlign w:val="superscript"/>
              </w:rPr>
              <w:t>2+</w:t>
            </w:r>
            <w:r>
              <w:rPr>
                <w:rFonts w:ascii="宋体" w:hAnsi="宋体" w:eastAsia="宋体" w:cs="Times New Roman"/>
                <w:color w:val="auto"/>
              </w:rPr>
              <w:t>、Mg</w:t>
            </w:r>
            <w:r>
              <w:rPr>
                <w:rFonts w:ascii="宋体" w:hAnsi="宋体" w:eastAsia="宋体" w:cs="Times New Roman"/>
                <w:color w:val="auto"/>
                <w:vertAlign w:val="superscript"/>
              </w:rPr>
              <w:t>2+</w:t>
            </w:r>
            <w:r>
              <w:rPr>
                <w:rFonts w:ascii="宋体" w:hAnsi="宋体" w:eastAsia="宋体" w:cs="Times New Roman"/>
                <w:color w:val="auto"/>
              </w:rPr>
              <w:t>、Zn</w:t>
            </w:r>
            <w:r>
              <w:rPr>
                <w:rFonts w:ascii="宋体" w:hAnsi="宋体" w:eastAsia="宋体" w:cs="Times New Roman"/>
                <w:color w:val="auto"/>
                <w:vertAlign w:val="superscript"/>
              </w:rPr>
              <w:t>2+</w:t>
            </w:r>
            <w:r>
              <w:rPr>
                <w:rFonts w:ascii="宋体" w:hAnsi="宋体" w:eastAsia="宋体" w:cs="Times New Roman"/>
                <w:color w:val="auto"/>
              </w:rPr>
              <w:t>等阳离子取代，这样使得蒙脱石的晶格显负电性，同时晶层上下皆为氧原子层，不能开成氢键，晶层间有微弱的分子力连接，连接力弱，水分子容易进入两层之间使之吸水肿胀。因此，它具有很强的吸水性、可塑性、粘结性和离子交换性，水化分散性较好。</w:t>
            </w:r>
          </w:p>
        </w:tc>
        <w:tc>
          <w:tcPr>
            <w:tcW w:w="302" w:type="pct"/>
            <w:shd w:val="clear" w:color="auto" w:fill="auto"/>
            <w:vAlign w:val="center"/>
          </w:tcPr>
          <w:p w14:paraId="79B5E209">
            <w:pPr>
              <w:tabs>
                <w:tab w:val="left" w:pos="2250"/>
              </w:tabs>
              <w:jc w:val="center"/>
              <w:rPr>
                <w:rFonts w:ascii="宋体" w:hAnsi="宋体" w:eastAsia="宋体" w:cs="Times New Roman"/>
                <w:color w:val="auto"/>
              </w:rPr>
            </w:pPr>
            <w:r>
              <w:rPr>
                <w:rFonts w:ascii="宋体" w:hAnsi="宋体" w:eastAsia="宋体" w:cs="Times New Roman"/>
                <w:color w:val="auto"/>
              </w:rPr>
              <w:t>无毒性</w:t>
            </w:r>
          </w:p>
        </w:tc>
      </w:tr>
      <w:tr w14:paraId="2A781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02E6A0BB">
            <w:pPr>
              <w:tabs>
                <w:tab w:val="left" w:pos="2250"/>
              </w:tabs>
              <w:jc w:val="center"/>
              <w:rPr>
                <w:rFonts w:ascii="宋体" w:hAnsi="宋体" w:eastAsia="宋体" w:cs="Times New Roman"/>
                <w:color w:val="auto"/>
              </w:rPr>
            </w:pPr>
            <w:r>
              <w:rPr>
                <w:rFonts w:ascii="宋体" w:hAnsi="宋体" w:eastAsia="宋体" w:cs="Times New Roman"/>
                <w:color w:val="auto"/>
              </w:rPr>
              <w:t>2</w:t>
            </w:r>
          </w:p>
        </w:tc>
        <w:tc>
          <w:tcPr>
            <w:tcW w:w="754" w:type="pct"/>
            <w:shd w:val="clear" w:color="auto" w:fill="auto"/>
            <w:vAlign w:val="center"/>
          </w:tcPr>
          <w:p w14:paraId="64B0CFE4">
            <w:pPr>
              <w:tabs>
                <w:tab w:val="left" w:pos="2250"/>
              </w:tabs>
              <w:jc w:val="center"/>
              <w:rPr>
                <w:rFonts w:ascii="宋体" w:hAnsi="宋体" w:eastAsia="宋体" w:cs="Times New Roman"/>
                <w:color w:val="auto"/>
              </w:rPr>
            </w:pPr>
            <w:r>
              <w:rPr>
                <w:rFonts w:ascii="宋体" w:hAnsi="宋体" w:eastAsia="宋体" w:cs="Times New Roman"/>
                <w:color w:val="auto"/>
              </w:rPr>
              <w:t>纯碱</w:t>
            </w:r>
          </w:p>
        </w:tc>
        <w:tc>
          <w:tcPr>
            <w:tcW w:w="808" w:type="pct"/>
            <w:shd w:val="clear" w:color="auto" w:fill="auto"/>
            <w:vAlign w:val="center"/>
          </w:tcPr>
          <w:p w14:paraId="6E24533E">
            <w:pPr>
              <w:tabs>
                <w:tab w:val="left" w:pos="2250"/>
              </w:tabs>
              <w:jc w:val="center"/>
              <w:rPr>
                <w:rFonts w:ascii="宋体" w:hAnsi="宋体" w:eastAsia="宋体" w:cs="Times New Roman"/>
                <w:color w:val="auto"/>
              </w:rPr>
            </w:pPr>
            <w:r>
              <w:rPr>
                <w:rFonts w:ascii="宋体" w:hAnsi="宋体" w:eastAsia="宋体" w:cs="Times New Roman"/>
                <w:color w:val="auto"/>
              </w:rPr>
              <w:t>碳酸钠Na</w:t>
            </w:r>
            <w:r>
              <w:rPr>
                <w:rFonts w:ascii="宋体" w:hAnsi="宋体" w:eastAsia="宋体" w:cs="Times New Roman"/>
                <w:color w:val="auto"/>
                <w:vertAlign w:val="subscript"/>
              </w:rPr>
              <w:t>2</w:t>
            </w:r>
            <w:r>
              <w:rPr>
                <w:rFonts w:ascii="宋体" w:hAnsi="宋体" w:eastAsia="宋体" w:cs="Times New Roman"/>
                <w:color w:val="auto"/>
              </w:rPr>
              <w:t>CO</w:t>
            </w:r>
            <w:r>
              <w:rPr>
                <w:rFonts w:ascii="宋体" w:hAnsi="宋体" w:eastAsia="宋体" w:cs="Times New Roman"/>
                <w:color w:val="auto"/>
                <w:vertAlign w:val="subscript"/>
              </w:rPr>
              <w:t>3</w:t>
            </w:r>
          </w:p>
        </w:tc>
        <w:tc>
          <w:tcPr>
            <w:tcW w:w="2900" w:type="pct"/>
            <w:shd w:val="clear" w:color="auto" w:fill="auto"/>
            <w:vAlign w:val="center"/>
          </w:tcPr>
          <w:p w14:paraId="029A5435">
            <w:pPr>
              <w:tabs>
                <w:tab w:val="left" w:pos="2250"/>
              </w:tabs>
              <w:ind w:firstLine="420" w:firstLineChars="200"/>
              <w:jc w:val="center"/>
              <w:rPr>
                <w:rFonts w:ascii="宋体" w:hAnsi="宋体" w:eastAsia="宋体" w:cs="Times New Roman"/>
                <w:color w:val="auto"/>
              </w:rPr>
            </w:pPr>
            <w:r>
              <w:rPr>
                <w:rFonts w:ascii="宋体" w:hAnsi="宋体" w:eastAsia="宋体" w:cs="Times New Roman"/>
                <w:color w:val="auto"/>
              </w:rPr>
              <w:t>无水碳酸钠为白色粉末，易溶于水，水溶液呈碱性，pH值为11.5。在泥浆中发生电离和水解，提供Na</w:t>
            </w:r>
            <w:r>
              <w:rPr>
                <w:rFonts w:ascii="宋体" w:hAnsi="宋体" w:eastAsia="宋体" w:cs="Times New Roman"/>
                <w:color w:val="auto"/>
                <w:vertAlign w:val="superscript"/>
              </w:rPr>
              <w:t>+</w:t>
            </w:r>
            <w:r>
              <w:rPr>
                <w:rFonts w:ascii="宋体" w:hAnsi="宋体" w:eastAsia="宋体" w:cs="Times New Roman"/>
                <w:color w:val="auto"/>
              </w:rPr>
              <w:t>和CO</w:t>
            </w:r>
            <w:r>
              <w:rPr>
                <w:rFonts w:ascii="宋体" w:hAnsi="宋体" w:eastAsia="宋体" w:cs="Times New Roman"/>
                <w:color w:val="auto"/>
                <w:vertAlign w:val="subscript"/>
              </w:rPr>
              <w:t>3</w:t>
            </w:r>
            <w:r>
              <w:rPr>
                <w:rFonts w:ascii="宋体" w:hAnsi="宋体" w:eastAsia="宋体" w:cs="Times New Roman"/>
                <w:color w:val="auto"/>
                <w:vertAlign w:val="superscript"/>
              </w:rPr>
              <w:t>2-</w:t>
            </w:r>
            <w:r>
              <w:rPr>
                <w:rFonts w:ascii="宋体" w:hAnsi="宋体" w:eastAsia="宋体" w:cs="Times New Roman"/>
                <w:color w:val="auto"/>
              </w:rPr>
              <w:t>，在泥浆中通过离子交换和沉淀作用，使钙质粘土变为钠质粘土。另外可除掉石膏或水泥浸入泥浆中的Ca</w:t>
            </w:r>
            <w:r>
              <w:rPr>
                <w:rFonts w:ascii="宋体" w:hAnsi="宋体" w:eastAsia="宋体" w:cs="Times New Roman"/>
                <w:color w:val="auto"/>
                <w:vertAlign w:val="superscript"/>
              </w:rPr>
              <w:t>2+</w:t>
            </w:r>
            <w:r>
              <w:rPr>
                <w:rFonts w:ascii="宋体" w:hAnsi="宋体" w:eastAsia="宋体" w:cs="Times New Roman"/>
                <w:color w:val="auto"/>
              </w:rPr>
              <w:t>离子，使泥浆性能变好。</w:t>
            </w:r>
          </w:p>
        </w:tc>
        <w:tc>
          <w:tcPr>
            <w:tcW w:w="302" w:type="pct"/>
            <w:shd w:val="clear" w:color="auto" w:fill="auto"/>
            <w:vAlign w:val="center"/>
          </w:tcPr>
          <w:p w14:paraId="759D3145">
            <w:pPr>
              <w:tabs>
                <w:tab w:val="left" w:pos="2250"/>
              </w:tabs>
              <w:jc w:val="center"/>
              <w:rPr>
                <w:rFonts w:ascii="宋体" w:hAnsi="宋体" w:eastAsia="宋体" w:cs="Times New Roman"/>
                <w:color w:val="auto"/>
              </w:rPr>
            </w:pPr>
            <w:r>
              <w:rPr>
                <w:rFonts w:ascii="宋体" w:hAnsi="宋体" w:eastAsia="宋体" w:cs="Times New Roman"/>
                <w:color w:val="auto"/>
              </w:rPr>
              <w:t>无毒性</w:t>
            </w:r>
          </w:p>
        </w:tc>
      </w:tr>
      <w:tr w14:paraId="57E9B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5B2BD54F">
            <w:pPr>
              <w:tabs>
                <w:tab w:val="left" w:pos="2250"/>
              </w:tabs>
              <w:jc w:val="center"/>
              <w:rPr>
                <w:rFonts w:ascii="宋体" w:hAnsi="宋体" w:eastAsia="宋体" w:cs="Times New Roman"/>
                <w:color w:val="auto"/>
              </w:rPr>
            </w:pPr>
            <w:r>
              <w:rPr>
                <w:rFonts w:ascii="宋体" w:hAnsi="宋体" w:eastAsia="宋体" w:cs="Times New Roman"/>
                <w:color w:val="auto"/>
              </w:rPr>
              <w:t>3</w:t>
            </w:r>
          </w:p>
        </w:tc>
        <w:tc>
          <w:tcPr>
            <w:tcW w:w="754" w:type="pct"/>
            <w:shd w:val="clear" w:color="auto" w:fill="auto"/>
            <w:vAlign w:val="center"/>
          </w:tcPr>
          <w:p w14:paraId="3BA32E89">
            <w:pPr>
              <w:tabs>
                <w:tab w:val="left" w:pos="2250"/>
              </w:tabs>
              <w:jc w:val="center"/>
              <w:rPr>
                <w:rFonts w:ascii="宋体" w:hAnsi="宋体" w:eastAsia="宋体" w:cs="Times New Roman"/>
                <w:color w:val="auto"/>
              </w:rPr>
            </w:pPr>
            <w:r>
              <w:rPr>
                <w:rFonts w:ascii="宋体" w:hAnsi="宋体" w:eastAsia="宋体" w:cs="Times New Roman"/>
                <w:color w:val="auto"/>
              </w:rPr>
              <w:t>WDYZ-1</w:t>
            </w:r>
          </w:p>
        </w:tc>
        <w:tc>
          <w:tcPr>
            <w:tcW w:w="808" w:type="pct"/>
            <w:shd w:val="clear" w:color="auto" w:fill="auto"/>
            <w:vAlign w:val="center"/>
          </w:tcPr>
          <w:p w14:paraId="7E3D1AC1">
            <w:pPr>
              <w:tabs>
                <w:tab w:val="left" w:pos="2250"/>
              </w:tabs>
              <w:jc w:val="center"/>
              <w:rPr>
                <w:rFonts w:ascii="宋体" w:hAnsi="宋体" w:eastAsia="宋体" w:cs="Times New Roman"/>
                <w:color w:val="auto"/>
              </w:rPr>
            </w:pPr>
            <w:r>
              <w:rPr>
                <w:rFonts w:ascii="宋体" w:hAnsi="宋体" w:eastAsia="宋体" w:cs="Times New Roman"/>
                <w:color w:val="auto"/>
              </w:rPr>
              <w:t>主要由碳酸钾、氧化钙和至少一种反絮凝剂经过化学反应而成</w:t>
            </w:r>
          </w:p>
        </w:tc>
        <w:tc>
          <w:tcPr>
            <w:tcW w:w="2900" w:type="pct"/>
            <w:shd w:val="clear" w:color="auto" w:fill="auto"/>
            <w:vAlign w:val="center"/>
          </w:tcPr>
          <w:p w14:paraId="093847EA">
            <w:pPr>
              <w:tabs>
                <w:tab w:val="left" w:pos="2250"/>
              </w:tabs>
              <w:ind w:firstLine="420" w:firstLineChars="200"/>
              <w:jc w:val="center"/>
              <w:rPr>
                <w:rFonts w:ascii="宋体" w:hAnsi="宋体" w:eastAsia="宋体" w:cs="Times New Roman"/>
                <w:color w:val="auto"/>
              </w:rPr>
            </w:pPr>
            <w:r>
              <w:rPr>
                <w:rFonts w:ascii="宋体" w:hAnsi="宋体" w:eastAsia="宋体" w:cs="Times New Roman"/>
                <w:color w:val="auto"/>
              </w:rPr>
              <w:t>是一类复合抑制剂。是以钾离子为抑制离子，以钙离子为辅助抑制离子，不使用阴离子或阴离子团，并在此基础上混入木质素或腐殖酸，形成最终复合抑制剂。抗温为160°C，可调可钻井液的流变性，提高体系动逆比、切力，具有很强的携屑能力，可防止井下发生复杂情况。其中木质素、腐殖酸可生物降解。</w:t>
            </w:r>
          </w:p>
        </w:tc>
        <w:tc>
          <w:tcPr>
            <w:tcW w:w="302" w:type="pct"/>
            <w:shd w:val="clear" w:color="auto" w:fill="auto"/>
            <w:vAlign w:val="center"/>
          </w:tcPr>
          <w:p w14:paraId="4F2BA1C4">
            <w:pPr>
              <w:tabs>
                <w:tab w:val="left" w:pos="2250"/>
              </w:tabs>
              <w:jc w:val="center"/>
              <w:rPr>
                <w:rFonts w:ascii="宋体" w:hAnsi="宋体" w:eastAsia="宋体" w:cs="Times New Roman"/>
                <w:color w:val="auto"/>
              </w:rPr>
            </w:pPr>
            <w:r>
              <w:rPr>
                <w:rFonts w:ascii="宋体" w:hAnsi="宋体" w:eastAsia="宋体" w:cs="Times New Roman"/>
                <w:color w:val="auto"/>
              </w:rPr>
              <w:t>无毒性</w:t>
            </w:r>
          </w:p>
        </w:tc>
      </w:tr>
      <w:tr w14:paraId="6EBB0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3C97AE8E">
            <w:pPr>
              <w:tabs>
                <w:tab w:val="left" w:pos="2250"/>
              </w:tabs>
              <w:jc w:val="center"/>
              <w:rPr>
                <w:rFonts w:ascii="宋体" w:hAnsi="宋体" w:eastAsia="宋体" w:cs="Times New Roman"/>
                <w:color w:val="auto"/>
              </w:rPr>
            </w:pPr>
            <w:r>
              <w:rPr>
                <w:rFonts w:ascii="宋体" w:hAnsi="宋体" w:eastAsia="宋体" w:cs="Times New Roman"/>
                <w:color w:val="auto"/>
              </w:rPr>
              <w:t>4</w:t>
            </w:r>
          </w:p>
        </w:tc>
        <w:tc>
          <w:tcPr>
            <w:tcW w:w="754" w:type="pct"/>
            <w:shd w:val="clear" w:color="auto" w:fill="auto"/>
            <w:vAlign w:val="center"/>
          </w:tcPr>
          <w:p w14:paraId="22105A80">
            <w:pPr>
              <w:tabs>
                <w:tab w:val="left" w:pos="2250"/>
              </w:tabs>
              <w:jc w:val="center"/>
              <w:rPr>
                <w:rFonts w:ascii="宋体" w:hAnsi="宋体" w:eastAsia="宋体" w:cs="Times New Roman"/>
                <w:color w:val="auto"/>
              </w:rPr>
            </w:pPr>
            <w:r>
              <w:rPr>
                <w:rFonts w:ascii="宋体" w:hAnsi="宋体" w:eastAsia="宋体" w:cs="Times New Roman"/>
                <w:color w:val="auto"/>
              </w:rPr>
              <w:t>HX-D</w:t>
            </w:r>
          </w:p>
        </w:tc>
        <w:tc>
          <w:tcPr>
            <w:tcW w:w="808" w:type="pct"/>
            <w:shd w:val="clear" w:color="auto" w:fill="auto"/>
            <w:vAlign w:val="center"/>
          </w:tcPr>
          <w:p w14:paraId="686C9CF7">
            <w:pPr>
              <w:tabs>
                <w:tab w:val="left" w:pos="2250"/>
              </w:tabs>
              <w:jc w:val="center"/>
              <w:rPr>
                <w:rFonts w:ascii="宋体" w:hAnsi="宋体" w:eastAsia="宋体" w:cs="Times New Roman"/>
                <w:color w:val="auto"/>
              </w:rPr>
            </w:pPr>
            <w:r>
              <w:rPr>
                <w:rFonts w:ascii="宋体" w:hAnsi="宋体" w:eastAsia="宋体" w:cs="Times New Roman"/>
                <w:color w:val="auto"/>
              </w:rPr>
              <w:t>由高分子聚合物经过阳离子化和官能团的改造而成</w:t>
            </w:r>
          </w:p>
        </w:tc>
        <w:tc>
          <w:tcPr>
            <w:tcW w:w="2900" w:type="pct"/>
            <w:shd w:val="clear" w:color="auto" w:fill="auto"/>
            <w:vAlign w:val="center"/>
          </w:tcPr>
          <w:p w14:paraId="29CE9FFA">
            <w:pPr>
              <w:tabs>
                <w:tab w:val="left" w:pos="2250"/>
              </w:tabs>
              <w:ind w:firstLine="420" w:firstLineChars="200"/>
              <w:jc w:val="center"/>
              <w:rPr>
                <w:rFonts w:ascii="宋体" w:hAnsi="宋体" w:eastAsia="宋体" w:cs="Times New Roman"/>
                <w:color w:val="auto"/>
              </w:rPr>
            </w:pPr>
            <w:r>
              <w:rPr>
                <w:rFonts w:ascii="宋体" w:hAnsi="宋体" w:eastAsia="宋体" w:cs="Times New Roman"/>
                <w:color w:val="auto"/>
              </w:rPr>
              <w:t>阳离子聚合物抑制剂HX-D，乳白色或浅黄色液体，pH7～9，是由高分子聚合物经过阳离子化和官能团的改造，形成的具有强抑制、吸附和包被作用的一种钻井泥浆助剂，可与地层多价离子反应，有良好的抗高温流变性和搞钻屑污染能力，同时还具有防塌、防膨等作用。</w:t>
            </w:r>
          </w:p>
        </w:tc>
        <w:tc>
          <w:tcPr>
            <w:tcW w:w="302" w:type="pct"/>
            <w:shd w:val="clear" w:color="auto" w:fill="auto"/>
            <w:vAlign w:val="center"/>
          </w:tcPr>
          <w:p w14:paraId="76DBF10A">
            <w:pPr>
              <w:tabs>
                <w:tab w:val="left" w:pos="2250"/>
              </w:tabs>
              <w:jc w:val="center"/>
              <w:rPr>
                <w:rFonts w:ascii="宋体" w:hAnsi="宋体" w:eastAsia="宋体" w:cs="Times New Roman"/>
                <w:color w:val="auto"/>
              </w:rPr>
            </w:pPr>
            <w:r>
              <w:rPr>
                <w:rFonts w:ascii="宋体" w:hAnsi="宋体" w:eastAsia="宋体" w:cs="Times New Roman"/>
                <w:color w:val="auto"/>
              </w:rPr>
              <w:t>无毒性</w:t>
            </w:r>
          </w:p>
        </w:tc>
      </w:tr>
      <w:tr w14:paraId="79E5B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1827A815">
            <w:pPr>
              <w:tabs>
                <w:tab w:val="left" w:pos="2250"/>
              </w:tabs>
              <w:jc w:val="center"/>
              <w:rPr>
                <w:rFonts w:ascii="宋体" w:hAnsi="宋体" w:eastAsia="宋体" w:cs="Times New Roman"/>
                <w:color w:val="auto"/>
              </w:rPr>
            </w:pPr>
            <w:r>
              <w:rPr>
                <w:rFonts w:ascii="宋体" w:hAnsi="宋体" w:eastAsia="宋体" w:cs="Times New Roman"/>
                <w:color w:val="auto"/>
              </w:rPr>
              <w:t>5</w:t>
            </w:r>
          </w:p>
        </w:tc>
        <w:tc>
          <w:tcPr>
            <w:tcW w:w="754" w:type="pct"/>
            <w:shd w:val="clear" w:color="auto" w:fill="auto"/>
            <w:vAlign w:val="center"/>
          </w:tcPr>
          <w:p w14:paraId="4467E84C">
            <w:pPr>
              <w:adjustRightInd w:val="0"/>
              <w:snapToGrid w:val="0"/>
              <w:jc w:val="center"/>
              <w:rPr>
                <w:rFonts w:ascii="宋体" w:hAnsi="宋体" w:eastAsia="宋体" w:cs="Times New Roman"/>
                <w:color w:val="auto"/>
              </w:rPr>
            </w:pPr>
            <w:r>
              <w:rPr>
                <w:rFonts w:ascii="宋体" w:hAnsi="宋体" w:eastAsia="宋体" w:cs="Times New Roman"/>
                <w:color w:val="auto"/>
              </w:rPr>
              <w:t>JS-1</w:t>
            </w:r>
          </w:p>
        </w:tc>
        <w:tc>
          <w:tcPr>
            <w:tcW w:w="808" w:type="pct"/>
            <w:shd w:val="clear" w:color="auto" w:fill="auto"/>
            <w:vAlign w:val="center"/>
          </w:tcPr>
          <w:p w14:paraId="61478E10">
            <w:pPr>
              <w:adjustRightInd w:val="0"/>
              <w:snapToGrid w:val="0"/>
              <w:jc w:val="center"/>
              <w:rPr>
                <w:rFonts w:ascii="宋体" w:hAnsi="宋体" w:eastAsia="宋体" w:cs="Times New Roman"/>
                <w:color w:val="auto"/>
              </w:rPr>
            </w:pPr>
            <w:r>
              <w:rPr>
                <w:rFonts w:ascii="宋体" w:hAnsi="宋体" w:eastAsia="宋体" w:cs="Times New Roman"/>
                <w:color w:val="auto"/>
              </w:rPr>
              <w:t>钻井液聚合铝I型</w:t>
            </w:r>
          </w:p>
        </w:tc>
        <w:tc>
          <w:tcPr>
            <w:tcW w:w="2900" w:type="pct"/>
            <w:shd w:val="clear" w:color="auto" w:fill="auto"/>
            <w:vAlign w:val="center"/>
          </w:tcPr>
          <w:p w14:paraId="1121EF94">
            <w:pPr>
              <w:adjustRightInd w:val="0"/>
              <w:snapToGrid w:val="0"/>
              <w:ind w:firstLine="420" w:firstLineChars="200"/>
              <w:jc w:val="center"/>
              <w:rPr>
                <w:rFonts w:ascii="宋体" w:hAnsi="宋体" w:eastAsia="宋体" w:cs="Times New Roman"/>
                <w:color w:val="auto"/>
              </w:rPr>
            </w:pPr>
            <w:r>
              <w:rPr>
                <w:rFonts w:ascii="宋体" w:hAnsi="宋体" w:eastAsia="宋体" w:cs="Times New Roman"/>
                <w:color w:val="auto"/>
              </w:rPr>
              <w:t>钻井液聚合铝I型，粉末材料，密度1.1，降滤失剂。</w:t>
            </w:r>
          </w:p>
        </w:tc>
        <w:tc>
          <w:tcPr>
            <w:tcW w:w="302" w:type="pct"/>
            <w:shd w:val="clear" w:color="auto" w:fill="auto"/>
            <w:vAlign w:val="center"/>
          </w:tcPr>
          <w:p w14:paraId="5DF0CC97">
            <w:pPr>
              <w:adjustRightInd w:val="0"/>
              <w:snapToGrid w:val="0"/>
              <w:jc w:val="center"/>
              <w:rPr>
                <w:rFonts w:ascii="宋体" w:hAnsi="宋体" w:eastAsia="宋体" w:cs="Times New Roman"/>
                <w:color w:val="auto"/>
              </w:rPr>
            </w:pPr>
            <w:r>
              <w:rPr>
                <w:rFonts w:ascii="宋体" w:hAnsi="宋体" w:eastAsia="宋体" w:cs="Times New Roman"/>
                <w:color w:val="auto"/>
              </w:rPr>
              <w:t>无毒性</w:t>
            </w:r>
          </w:p>
        </w:tc>
      </w:tr>
      <w:tr w14:paraId="3EC29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7C8A4604">
            <w:pPr>
              <w:tabs>
                <w:tab w:val="left" w:pos="2250"/>
              </w:tabs>
              <w:jc w:val="center"/>
              <w:rPr>
                <w:rFonts w:ascii="宋体" w:hAnsi="宋体" w:eastAsia="宋体" w:cs="Times New Roman"/>
                <w:color w:val="auto"/>
              </w:rPr>
            </w:pPr>
            <w:r>
              <w:rPr>
                <w:rFonts w:ascii="宋体" w:hAnsi="宋体" w:eastAsia="宋体" w:cs="Times New Roman"/>
                <w:color w:val="auto"/>
              </w:rPr>
              <w:t>6</w:t>
            </w:r>
          </w:p>
        </w:tc>
        <w:tc>
          <w:tcPr>
            <w:tcW w:w="754" w:type="pct"/>
            <w:shd w:val="clear" w:color="auto" w:fill="auto"/>
            <w:vAlign w:val="center"/>
          </w:tcPr>
          <w:p w14:paraId="5FAD02DC">
            <w:pPr>
              <w:adjustRightInd w:val="0"/>
              <w:snapToGrid w:val="0"/>
              <w:jc w:val="center"/>
              <w:rPr>
                <w:rFonts w:ascii="宋体" w:hAnsi="宋体" w:eastAsia="宋体" w:cs="Times New Roman"/>
                <w:color w:val="auto"/>
              </w:rPr>
            </w:pPr>
            <w:r>
              <w:rPr>
                <w:rFonts w:ascii="宋体" w:hAnsi="宋体" w:eastAsia="宋体" w:cs="Times New Roman"/>
                <w:color w:val="auto"/>
              </w:rPr>
              <w:t>JS-2</w:t>
            </w:r>
          </w:p>
        </w:tc>
        <w:tc>
          <w:tcPr>
            <w:tcW w:w="808" w:type="pct"/>
            <w:shd w:val="clear" w:color="auto" w:fill="auto"/>
            <w:vAlign w:val="center"/>
          </w:tcPr>
          <w:p w14:paraId="0B53920F">
            <w:pPr>
              <w:adjustRightInd w:val="0"/>
              <w:snapToGrid w:val="0"/>
              <w:jc w:val="center"/>
              <w:rPr>
                <w:rFonts w:ascii="宋体" w:hAnsi="宋体" w:eastAsia="宋体" w:cs="Times New Roman"/>
                <w:color w:val="auto"/>
              </w:rPr>
            </w:pPr>
            <w:r>
              <w:rPr>
                <w:rFonts w:ascii="宋体" w:hAnsi="宋体" w:eastAsia="宋体" w:cs="Times New Roman"/>
                <w:color w:val="auto"/>
              </w:rPr>
              <w:t>钻井液聚合铝II型</w:t>
            </w:r>
          </w:p>
        </w:tc>
        <w:tc>
          <w:tcPr>
            <w:tcW w:w="2900" w:type="pct"/>
            <w:shd w:val="clear" w:color="auto" w:fill="auto"/>
            <w:vAlign w:val="center"/>
          </w:tcPr>
          <w:p w14:paraId="2016FEA7">
            <w:pPr>
              <w:adjustRightInd w:val="0"/>
              <w:snapToGrid w:val="0"/>
              <w:ind w:firstLine="420" w:firstLineChars="200"/>
              <w:jc w:val="center"/>
              <w:rPr>
                <w:rFonts w:ascii="宋体" w:hAnsi="宋体" w:eastAsia="宋体" w:cs="Times New Roman"/>
                <w:color w:val="auto"/>
              </w:rPr>
            </w:pPr>
            <w:r>
              <w:rPr>
                <w:rFonts w:ascii="宋体" w:hAnsi="宋体" w:eastAsia="宋体" w:cs="Times New Roman"/>
                <w:color w:val="auto"/>
              </w:rPr>
              <w:t>钻井液聚合铝II型，粉末材料，密度1.1，抗盐抗温降滤失剂。</w:t>
            </w:r>
          </w:p>
        </w:tc>
        <w:tc>
          <w:tcPr>
            <w:tcW w:w="302" w:type="pct"/>
            <w:shd w:val="clear" w:color="auto" w:fill="auto"/>
            <w:vAlign w:val="center"/>
          </w:tcPr>
          <w:p w14:paraId="2D33FECC">
            <w:pPr>
              <w:adjustRightInd w:val="0"/>
              <w:snapToGrid w:val="0"/>
              <w:jc w:val="center"/>
              <w:rPr>
                <w:rFonts w:ascii="宋体" w:hAnsi="宋体" w:eastAsia="宋体" w:cs="Times New Roman"/>
                <w:color w:val="auto"/>
              </w:rPr>
            </w:pPr>
            <w:r>
              <w:rPr>
                <w:rFonts w:ascii="宋体" w:hAnsi="宋体" w:eastAsia="宋体" w:cs="Times New Roman"/>
                <w:color w:val="auto"/>
              </w:rPr>
              <w:t>无毒性</w:t>
            </w:r>
          </w:p>
        </w:tc>
      </w:tr>
      <w:tr w14:paraId="41EBD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4B6B88E4">
            <w:pPr>
              <w:tabs>
                <w:tab w:val="left" w:pos="2250"/>
              </w:tabs>
              <w:jc w:val="center"/>
              <w:rPr>
                <w:rFonts w:ascii="宋体" w:hAnsi="宋体" w:eastAsia="宋体" w:cs="Times New Roman"/>
                <w:color w:val="auto"/>
              </w:rPr>
            </w:pPr>
            <w:r>
              <w:rPr>
                <w:rFonts w:ascii="宋体" w:hAnsi="宋体" w:eastAsia="宋体" w:cs="Times New Roman"/>
                <w:color w:val="auto"/>
              </w:rPr>
              <w:t>7</w:t>
            </w:r>
          </w:p>
        </w:tc>
        <w:tc>
          <w:tcPr>
            <w:tcW w:w="754" w:type="pct"/>
            <w:shd w:val="clear" w:color="auto" w:fill="auto"/>
            <w:vAlign w:val="center"/>
          </w:tcPr>
          <w:p w14:paraId="776F80AC">
            <w:pPr>
              <w:tabs>
                <w:tab w:val="left" w:pos="2250"/>
              </w:tabs>
              <w:jc w:val="center"/>
              <w:rPr>
                <w:rFonts w:ascii="宋体" w:hAnsi="宋体" w:eastAsia="宋体" w:cs="Times New Roman"/>
                <w:color w:val="auto"/>
              </w:rPr>
            </w:pPr>
            <w:r>
              <w:rPr>
                <w:rFonts w:ascii="宋体" w:hAnsi="宋体" w:eastAsia="宋体" w:cs="Times New Roman"/>
                <w:color w:val="auto"/>
              </w:rPr>
              <w:t>NH</w:t>
            </w:r>
            <w:r>
              <w:rPr>
                <w:rFonts w:ascii="宋体" w:hAnsi="宋体" w:eastAsia="宋体" w:cs="Times New Roman"/>
                <w:color w:val="auto"/>
                <w:vertAlign w:val="subscript"/>
              </w:rPr>
              <w:t>4</w:t>
            </w:r>
            <w:r>
              <w:rPr>
                <w:rFonts w:ascii="宋体" w:hAnsi="宋体" w:eastAsia="宋体" w:cs="Times New Roman"/>
                <w:color w:val="auto"/>
              </w:rPr>
              <w:t>-HPAN-2</w:t>
            </w:r>
          </w:p>
        </w:tc>
        <w:tc>
          <w:tcPr>
            <w:tcW w:w="808" w:type="pct"/>
            <w:shd w:val="clear" w:color="auto" w:fill="auto"/>
            <w:vAlign w:val="center"/>
          </w:tcPr>
          <w:p w14:paraId="0BA82B44">
            <w:pPr>
              <w:tabs>
                <w:tab w:val="left" w:pos="2250"/>
              </w:tabs>
              <w:jc w:val="center"/>
              <w:rPr>
                <w:rFonts w:ascii="宋体" w:hAnsi="宋体" w:eastAsia="宋体" w:cs="Times New Roman"/>
                <w:color w:val="auto"/>
              </w:rPr>
            </w:pPr>
            <w:r>
              <w:rPr>
                <w:rFonts w:ascii="宋体" w:hAnsi="宋体" w:eastAsia="宋体" w:cs="Times New Roman"/>
                <w:color w:val="auto"/>
              </w:rPr>
              <w:t>双聚铵盐</w:t>
            </w:r>
          </w:p>
        </w:tc>
        <w:tc>
          <w:tcPr>
            <w:tcW w:w="2900" w:type="pct"/>
            <w:shd w:val="clear" w:color="auto" w:fill="auto"/>
            <w:vAlign w:val="center"/>
          </w:tcPr>
          <w:p w14:paraId="4D908F04">
            <w:pPr>
              <w:tabs>
                <w:tab w:val="left" w:pos="2250"/>
              </w:tabs>
              <w:ind w:firstLine="420" w:firstLineChars="200"/>
              <w:jc w:val="center"/>
              <w:rPr>
                <w:rFonts w:ascii="宋体" w:hAnsi="宋体" w:eastAsia="宋体" w:cs="Times New Roman"/>
                <w:color w:val="auto"/>
              </w:rPr>
            </w:pPr>
            <w:r>
              <w:rPr>
                <w:rFonts w:ascii="宋体" w:hAnsi="宋体" w:eastAsia="宋体" w:cs="Times New Roman"/>
                <w:color w:val="auto"/>
              </w:rPr>
              <w:t>双聚铵盐（NH</w:t>
            </w:r>
            <w:r>
              <w:rPr>
                <w:rFonts w:ascii="宋体" w:hAnsi="宋体" w:eastAsia="宋体" w:cs="Times New Roman"/>
                <w:color w:val="auto"/>
                <w:vertAlign w:val="subscript"/>
              </w:rPr>
              <w:t>4</w:t>
            </w:r>
            <w:r>
              <w:rPr>
                <w:rFonts w:ascii="宋体" w:hAnsi="宋体" w:eastAsia="宋体" w:cs="Times New Roman"/>
                <w:color w:val="auto"/>
              </w:rPr>
              <w:t>-HPAN-2），外观为自由流动的粉末及颗粒，铵含量（%）≤6.0，是水解聚丙烯腈-铵盐（NH</w:t>
            </w:r>
            <w:r>
              <w:rPr>
                <w:rFonts w:ascii="宋体" w:hAnsi="宋体" w:eastAsia="宋体" w:cs="Times New Roman"/>
                <w:color w:val="auto"/>
                <w:vertAlign w:val="subscript"/>
              </w:rPr>
              <w:t>4</w:t>
            </w:r>
            <w:r>
              <w:rPr>
                <w:rFonts w:ascii="宋体" w:hAnsi="宋体" w:eastAsia="宋体" w:cs="Times New Roman"/>
                <w:color w:val="auto"/>
              </w:rPr>
              <w:t>-HPAN）的进一步改进，克服了铵盐抗盐、抗钙力较差的缺点，是腈纶丝、丙烯酰胺、氨水在高温、高压下聚合的产物，因带有-NH</w:t>
            </w:r>
            <w:r>
              <w:rPr>
                <w:rFonts w:ascii="宋体" w:hAnsi="宋体" w:eastAsia="宋体" w:cs="Times New Roman"/>
                <w:color w:val="auto"/>
                <w:vertAlign w:val="subscript"/>
              </w:rPr>
              <w:t>4</w:t>
            </w:r>
            <w:r>
              <w:rPr>
                <w:rFonts w:ascii="宋体" w:hAnsi="宋体" w:eastAsia="宋体" w:cs="Times New Roman"/>
                <w:color w:val="auto"/>
              </w:rPr>
              <w:t>、-NH</w:t>
            </w:r>
            <w:r>
              <w:rPr>
                <w:rFonts w:ascii="宋体" w:hAnsi="宋体" w:eastAsia="宋体" w:cs="Times New Roman"/>
                <w:color w:val="auto"/>
                <w:vertAlign w:val="subscript"/>
              </w:rPr>
              <w:t>2</w:t>
            </w:r>
            <w:r>
              <w:rPr>
                <w:rFonts w:ascii="宋体" w:hAnsi="宋体" w:eastAsia="宋体" w:cs="Times New Roman"/>
                <w:color w:val="auto"/>
              </w:rPr>
              <w:t>、-CN基团，具有一定的防塌、防水化膨胀和很好的抗盐能力，并且使用不受温度的限制，具有良好的降滤失功能。</w:t>
            </w:r>
          </w:p>
        </w:tc>
        <w:tc>
          <w:tcPr>
            <w:tcW w:w="302" w:type="pct"/>
            <w:shd w:val="clear" w:color="auto" w:fill="auto"/>
            <w:vAlign w:val="center"/>
          </w:tcPr>
          <w:p w14:paraId="3DCB78F3">
            <w:pPr>
              <w:tabs>
                <w:tab w:val="left" w:pos="2250"/>
              </w:tabs>
              <w:jc w:val="center"/>
              <w:rPr>
                <w:rFonts w:ascii="宋体" w:hAnsi="宋体" w:eastAsia="宋体" w:cs="Times New Roman"/>
                <w:color w:val="auto"/>
              </w:rPr>
            </w:pPr>
            <w:r>
              <w:rPr>
                <w:rFonts w:ascii="宋体" w:hAnsi="宋体" w:eastAsia="宋体" w:cs="Times New Roman"/>
                <w:color w:val="auto"/>
              </w:rPr>
              <w:t>无毒性</w:t>
            </w:r>
          </w:p>
        </w:tc>
      </w:tr>
      <w:tr w14:paraId="5AEFE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107F3B8A">
            <w:pPr>
              <w:tabs>
                <w:tab w:val="left" w:pos="2250"/>
              </w:tabs>
              <w:jc w:val="center"/>
              <w:rPr>
                <w:rFonts w:ascii="宋体" w:hAnsi="宋体" w:eastAsia="宋体" w:cs="Times New Roman"/>
                <w:color w:val="auto"/>
              </w:rPr>
            </w:pPr>
            <w:r>
              <w:rPr>
                <w:rFonts w:ascii="宋体" w:hAnsi="宋体" w:eastAsia="宋体" w:cs="Times New Roman"/>
                <w:color w:val="auto"/>
              </w:rPr>
              <w:t>8</w:t>
            </w:r>
          </w:p>
        </w:tc>
        <w:tc>
          <w:tcPr>
            <w:tcW w:w="754" w:type="pct"/>
            <w:shd w:val="clear" w:color="auto" w:fill="auto"/>
            <w:vAlign w:val="center"/>
          </w:tcPr>
          <w:p w14:paraId="7C1BD58D">
            <w:pPr>
              <w:tabs>
                <w:tab w:val="left" w:pos="2250"/>
              </w:tabs>
              <w:jc w:val="center"/>
              <w:rPr>
                <w:rFonts w:ascii="宋体" w:hAnsi="宋体" w:eastAsia="宋体" w:cs="Times New Roman"/>
                <w:color w:val="auto"/>
              </w:rPr>
            </w:pPr>
            <w:r>
              <w:rPr>
                <w:rFonts w:ascii="宋体" w:hAnsi="宋体" w:eastAsia="宋体" w:cs="Times New Roman"/>
                <w:color w:val="auto"/>
              </w:rPr>
              <w:t>HA</w:t>
            </w:r>
          </w:p>
        </w:tc>
        <w:tc>
          <w:tcPr>
            <w:tcW w:w="808" w:type="pct"/>
            <w:shd w:val="clear" w:color="auto" w:fill="auto"/>
            <w:vAlign w:val="center"/>
          </w:tcPr>
          <w:p w14:paraId="52DC79CF">
            <w:pPr>
              <w:tabs>
                <w:tab w:val="left" w:pos="2250"/>
              </w:tabs>
              <w:jc w:val="center"/>
              <w:rPr>
                <w:rFonts w:ascii="宋体" w:hAnsi="宋体" w:eastAsia="宋体" w:cs="Times New Roman"/>
                <w:color w:val="auto"/>
              </w:rPr>
            </w:pPr>
            <w:r>
              <w:rPr>
                <w:rFonts w:ascii="宋体" w:hAnsi="宋体" w:eastAsia="宋体" w:cs="Times New Roman"/>
                <w:color w:val="auto"/>
              </w:rPr>
              <w:t>由腐植酸、焦亚硫酸钠、改性树脂、焦磷酸钠、羧甲基纤维素钠盐、苯酚、水等多种组分组成</w:t>
            </w:r>
          </w:p>
        </w:tc>
        <w:tc>
          <w:tcPr>
            <w:tcW w:w="2900" w:type="pct"/>
            <w:shd w:val="clear" w:color="auto" w:fill="auto"/>
            <w:vAlign w:val="center"/>
          </w:tcPr>
          <w:p w14:paraId="6F39D024">
            <w:pPr>
              <w:tabs>
                <w:tab w:val="left" w:pos="2250"/>
              </w:tabs>
              <w:ind w:firstLine="420" w:firstLineChars="200"/>
              <w:jc w:val="center"/>
              <w:rPr>
                <w:rFonts w:ascii="宋体" w:hAnsi="宋体" w:eastAsia="宋体" w:cs="Times New Roman"/>
                <w:color w:val="auto"/>
              </w:rPr>
            </w:pPr>
            <w:r>
              <w:rPr>
                <w:rFonts w:ascii="宋体" w:hAnsi="宋体" w:eastAsia="宋体" w:cs="Times New Roman"/>
                <w:color w:val="auto"/>
              </w:rPr>
              <w:t>钻井液用HA树脂，外观为自由流动黑色粉末，pH8.5～10.5，主要作为防塌剂和降滤失剂使用，尤其对降低高温高压失水效果显著，同时兼有良好的降粘及稀释特性，在使用过程中加量小。</w:t>
            </w:r>
          </w:p>
        </w:tc>
        <w:tc>
          <w:tcPr>
            <w:tcW w:w="302" w:type="pct"/>
            <w:shd w:val="clear" w:color="auto" w:fill="auto"/>
            <w:vAlign w:val="center"/>
          </w:tcPr>
          <w:p w14:paraId="17F2DC08">
            <w:pPr>
              <w:snapToGrid w:val="0"/>
              <w:jc w:val="center"/>
              <w:rPr>
                <w:rFonts w:ascii="宋体" w:hAnsi="宋体" w:eastAsia="宋体" w:cs="Times New Roman"/>
                <w:color w:val="auto"/>
              </w:rPr>
            </w:pPr>
            <w:r>
              <w:rPr>
                <w:rFonts w:ascii="宋体" w:hAnsi="宋体" w:eastAsia="宋体" w:cs="Times New Roman"/>
                <w:color w:val="auto"/>
              </w:rPr>
              <w:t>无毒性</w:t>
            </w:r>
          </w:p>
        </w:tc>
      </w:tr>
      <w:tr w14:paraId="1D166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40B9A4FE">
            <w:pPr>
              <w:tabs>
                <w:tab w:val="left" w:pos="2250"/>
              </w:tabs>
              <w:jc w:val="center"/>
              <w:rPr>
                <w:rFonts w:ascii="宋体" w:hAnsi="宋体" w:eastAsia="宋体" w:cs="Times New Roman"/>
                <w:color w:val="auto"/>
              </w:rPr>
            </w:pPr>
            <w:r>
              <w:rPr>
                <w:rFonts w:ascii="宋体" w:hAnsi="宋体" w:eastAsia="宋体" w:cs="Times New Roman"/>
                <w:color w:val="auto"/>
              </w:rPr>
              <w:t>9</w:t>
            </w:r>
          </w:p>
        </w:tc>
        <w:tc>
          <w:tcPr>
            <w:tcW w:w="754" w:type="pct"/>
            <w:shd w:val="clear" w:color="auto" w:fill="auto"/>
            <w:vAlign w:val="center"/>
          </w:tcPr>
          <w:p w14:paraId="2CFB8575">
            <w:pPr>
              <w:tabs>
                <w:tab w:val="left" w:pos="-315"/>
              </w:tabs>
              <w:jc w:val="center"/>
              <w:rPr>
                <w:rFonts w:ascii="宋体" w:hAnsi="宋体" w:eastAsia="宋体" w:cs="Times New Roman"/>
                <w:color w:val="auto"/>
              </w:rPr>
            </w:pPr>
            <w:r>
              <w:rPr>
                <w:rFonts w:ascii="宋体" w:hAnsi="宋体" w:eastAsia="宋体" w:cs="Times New Roman"/>
                <w:color w:val="auto"/>
                <w:kern w:val="21"/>
              </w:rPr>
              <w:t>封堵剂Ⅱ型</w:t>
            </w:r>
          </w:p>
        </w:tc>
        <w:tc>
          <w:tcPr>
            <w:tcW w:w="808" w:type="pct"/>
            <w:shd w:val="clear" w:color="auto" w:fill="auto"/>
            <w:vAlign w:val="center"/>
          </w:tcPr>
          <w:p w14:paraId="483BA388">
            <w:pPr>
              <w:tabs>
                <w:tab w:val="left" w:pos="-315"/>
              </w:tabs>
              <w:jc w:val="center"/>
              <w:rPr>
                <w:rFonts w:ascii="宋体" w:hAnsi="宋体" w:eastAsia="宋体" w:cs="Times New Roman"/>
                <w:color w:val="auto"/>
              </w:rPr>
            </w:pPr>
            <w:r>
              <w:rPr>
                <w:rFonts w:ascii="宋体" w:hAnsi="宋体" w:eastAsia="宋体" w:cs="Times New Roman"/>
                <w:color w:val="auto"/>
                <w:kern w:val="21"/>
              </w:rPr>
              <w:t>纳米封堵剂</w:t>
            </w:r>
          </w:p>
        </w:tc>
        <w:tc>
          <w:tcPr>
            <w:tcW w:w="2900" w:type="pct"/>
            <w:shd w:val="clear" w:color="auto" w:fill="auto"/>
            <w:vAlign w:val="center"/>
          </w:tcPr>
          <w:p w14:paraId="32FD83EE">
            <w:pPr>
              <w:tabs>
                <w:tab w:val="left" w:pos="-315"/>
              </w:tabs>
              <w:jc w:val="center"/>
              <w:rPr>
                <w:rFonts w:ascii="宋体" w:hAnsi="宋体" w:eastAsia="宋体" w:cs="Times New Roman"/>
                <w:color w:val="auto"/>
              </w:rPr>
            </w:pPr>
            <w:r>
              <w:rPr>
                <w:rFonts w:ascii="宋体" w:hAnsi="宋体" w:eastAsia="宋体" w:cs="Times New Roman"/>
                <w:color w:val="auto"/>
                <w:kern w:val="21"/>
              </w:rPr>
              <w:t>由一种无机刚性材料或几种有机可变形纳米材料复合而成，其中无机刚性纳米材料具有很好的高温稳定性，能够架桥封堵页岩纳米级空隙，而有机可变形纳米材料可在高温和压差作用下发生任意变形，填充刚性架桥纳米颗粒形成的空隙，最终在岩石表面形成一种膜效率达 58.2%左右的半透膜，阻止滤液的侵入，起到保护井壁的作用</w:t>
            </w:r>
          </w:p>
        </w:tc>
        <w:tc>
          <w:tcPr>
            <w:tcW w:w="302" w:type="pct"/>
            <w:shd w:val="clear" w:color="auto" w:fill="auto"/>
            <w:vAlign w:val="center"/>
          </w:tcPr>
          <w:p w14:paraId="42BB0E0A">
            <w:pPr>
              <w:tabs>
                <w:tab w:val="left" w:pos="-315"/>
              </w:tabs>
              <w:jc w:val="center"/>
              <w:rPr>
                <w:rFonts w:ascii="宋体" w:hAnsi="宋体" w:eastAsia="宋体" w:cs="Times New Roman"/>
                <w:color w:val="auto"/>
              </w:rPr>
            </w:pPr>
            <w:r>
              <w:rPr>
                <w:rFonts w:ascii="宋体" w:hAnsi="宋体" w:eastAsia="宋体" w:cs="Times New Roman"/>
                <w:color w:val="auto"/>
                <w:kern w:val="21"/>
              </w:rPr>
              <w:t>无毒性</w:t>
            </w:r>
          </w:p>
        </w:tc>
      </w:tr>
      <w:tr w14:paraId="29ABE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7EA89EAE">
            <w:pPr>
              <w:tabs>
                <w:tab w:val="left" w:pos="2250"/>
              </w:tabs>
              <w:jc w:val="center"/>
              <w:rPr>
                <w:rFonts w:ascii="宋体" w:hAnsi="宋体" w:eastAsia="宋体" w:cs="Times New Roman"/>
                <w:color w:val="auto"/>
              </w:rPr>
            </w:pPr>
            <w:r>
              <w:rPr>
                <w:rFonts w:ascii="宋体" w:hAnsi="宋体" w:eastAsia="宋体" w:cs="Times New Roman"/>
                <w:color w:val="auto"/>
              </w:rPr>
              <w:t>11</w:t>
            </w:r>
          </w:p>
        </w:tc>
        <w:tc>
          <w:tcPr>
            <w:tcW w:w="754" w:type="pct"/>
            <w:shd w:val="clear" w:color="auto" w:fill="auto"/>
            <w:vAlign w:val="center"/>
          </w:tcPr>
          <w:p w14:paraId="25DC7837">
            <w:pPr>
              <w:tabs>
                <w:tab w:val="left" w:pos="2250"/>
              </w:tabs>
              <w:jc w:val="center"/>
              <w:rPr>
                <w:rFonts w:ascii="宋体" w:hAnsi="宋体" w:eastAsia="宋体" w:cs="Times New Roman"/>
                <w:color w:val="auto"/>
              </w:rPr>
            </w:pPr>
            <w:r>
              <w:rPr>
                <w:rFonts w:ascii="宋体" w:hAnsi="宋体" w:eastAsia="宋体" w:cs="Times New Roman"/>
                <w:color w:val="auto"/>
              </w:rPr>
              <w:t>重晶石粉</w:t>
            </w:r>
          </w:p>
        </w:tc>
        <w:tc>
          <w:tcPr>
            <w:tcW w:w="808" w:type="pct"/>
            <w:shd w:val="clear" w:color="auto" w:fill="auto"/>
            <w:vAlign w:val="center"/>
          </w:tcPr>
          <w:p w14:paraId="15FCAB54">
            <w:pPr>
              <w:tabs>
                <w:tab w:val="left" w:pos="2250"/>
              </w:tabs>
              <w:jc w:val="center"/>
              <w:rPr>
                <w:rFonts w:ascii="宋体" w:hAnsi="宋体" w:eastAsia="宋体" w:cs="Times New Roman"/>
                <w:color w:val="auto"/>
              </w:rPr>
            </w:pPr>
            <w:r>
              <w:rPr>
                <w:rFonts w:ascii="宋体" w:hAnsi="宋体" w:eastAsia="宋体" w:cs="Times New Roman"/>
                <w:color w:val="auto"/>
              </w:rPr>
              <w:t>BaSO</w:t>
            </w:r>
            <w:r>
              <w:rPr>
                <w:rFonts w:ascii="宋体" w:hAnsi="宋体" w:eastAsia="宋体" w:cs="Times New Roman"/>
                <w:color w:val="auto"/>
                <w:vertAlign w:val="subscript"/>
              </w:rPr>
              <w:t>4</w:t>
            </w:r>
          </w:p>
        </w:tc>
        <w:tc>
          <w:tcPr>
            <w:tcW w:w="2900" w:type="pct"/>
            <w:shd w:val="clear" w:color="auto" w:fill="auto"/>
            <w:vAlign w:val="center"/>
          </w:tcPr>
          <w:p w14:paraId="194564B9">
            <w:pPr>
              <w:tabs>
                <w:tab w:val="left" w:pos="2250"/>
              </w:tabs>
              <w:ind w:firstLine="420" w:firstLineChars="200"/>
              <w:jc w:val="center"/>
              <w:rPr>
                <w:rFonts w:ascii="宋体" w:hAnsi="宋体" w:eastAsia="宋体" w:cs="Times New Roman"/>
                <w:color w:val="auto"/>
              </w:rPr>
            </w:pPr>
            <w:r>
              <w:rPr>
                <w:rFonts w:ascii="宋体" w:hAnsi="宋体" w:eastAsia="宋体" w:cs="Times New Roman"/>
                <w:color w:val="auto"/>
              </w:rPr>
              <w:t>纯品为白色粉末，如含有杂质多为灰绿化。相对密度4.3～4.6，不溶于水。钻井加重剂，增加钻井泥浆的密度。</w:t>
            </w:r>
          </w:p>
        </w:tc>
        <w:tc>
          <w:tcPr>
            <w:tcW w:w="302" w:type="pct"/>
            <w:shd w:val="clear" w:color="auto" w:fill="auto"/>
            <w:vAlign w:val="center"/>
          </w:tcPr>
          <w:p w14:paraId="1635D152">
            <w:pPr>
              <w:tabs>
                <w:tab w:val="left" w:pos="2250"/>
              </w:tabs>
              <w:jc w:val="center"/>
              <w:rPr>
                <w:rFonts w:ascii="宋体" w:hAnsi="宋体" w:eastAsia="宋体" w:cs="Times New Roman"/>
                <w:color w:val="auto"/>
              </w:rPr>
            </w:pPr>
            <w:r>
              <w:rPr>
                <w:rFonts w:ascii="宋体" w:hAnsi="宋体" w:eastAsia="宋体" w:cs="Times New Roman"/>
                <w:color w:val="auto"/>
              </w:rPr>
              <w:t>轻微毒性</w:t>
            </w:r>
          </w:p>
        </w:tc>
      </w:tr>
    </w:tbl>
    <w:p w14:paraId="43EADD01">
      <w:pPr>
        <w:pStyle w:val="276"/>
        <w:widowControl w:val="0"/>
        <w:spacing w:line="440" w:lineRule="exact"/>
        <w:ind w:firstLine="480"/>
        <w:jc w:val="both"/>
        <w:rPr>
          <w:color w:val="auto"/>
          <w:kern w:val="21"/>
        </w:rPr>
      </w:pPr>
      <w:r>
        <w:rPr>
          <w:rFonts w:hint="eastAsia"/>
          <w:color w:val="auto"/>
          <w:kern w:val="21"/>
        </w:rPr>
        <w:t>（</w:t>
      </w:r>
      <w:r>
        <w:rPr>
          <w:color w:val="auto"/>
          <w:kern w:val="21"/>
        </w:rPr>
        <w:t>2）4口水平井</w:t>
      </w:r>
    </w:p>
    <w:p w14:paraId="242D4409">
      <w:pPr>
        <w:pStyle w:val="276"/>
        <w:widowControl w:val="0"/>
        <w:spacing w:line="440" w:lineRule="exact"/>
        <w:ind w:firstLine="480"/>
        <w:jc w:val="both"/>
        <w:rPr>
          <w:color w:val="auto"/>
          <w:kern w:val="21"/>
        </w:rPr>
      </w:pPr>
      <w:r>
        <w:rPr>
          <w:color w:val="auto"/>
          <w:kern w:val="21"/>
        </w:rPr>
        <w:t>4口水平井钻井一开采用无毒无害的膨润土混浆水基钻井液体系，二开采用油基钻井液体系。</w:t>
      </w:r>
    </w:p>
    <w:p w14:paraId="7797CA7C">
      <w:pPr>
        <w:pStyle w:val="276"/>
        <w:widowControl w:val="0"/>
        <w:spacing w:line="440" w:lineRule="exact"/>
        <w:ind w:firstLine="480"/>
        <w:jc w:val="both"/>
        <w:rPr>
          <w:color w:val="auto"/>
          <w:kern w:val="21"/>
        </w:rPr>
      </w:pPr>
      <w:r>
        <w:rPr>
          <w:rFonts w:hint="eastAsia"/>
          <w:color w:val="auto"/>
          <w:kern w:val="21"/>
        </w:rPr>
        <w:t>①</w:t>
      </w:r>
      <w:r>
        <w:rPr>
          <w:color w:val="auto"/>
          <w:kern w:val="21"/>
        </w:rPr>
        <w:t>水基钻井液</w:t>
      </w:r>
    </w:p>
    <w:p w14:paraId="153FE040">
      <w:pPr>
        <w:pStyle w:val="276"/>
        <w:widowControl w:val="0"/>
        <w:spacing w:line="440" w:lineRule="exact"/>
        <w:ind w:firstLine="480"/>
        <w:jc w:val="both"/>
        <w:rPr>
          <w:color w:val="auto"/>
          <w:kern w:val="21"/>
        </w:rPr>
      </w:pPr>
      <w:r>
        <w:rPr>
          <w:color w:val="auto"/>
          <w:kern w:val="21"/>
        </w:rPr>
        <w:t>一开设计膨润土浆，该体系成本低无污染，并且可有效保护浅水层。</w:t>
      </w:r>
    </w:p>
    <w:p w14:paraId="4E8AABA0">
      <w:pPr>
        <w:pStyle w:val="276"/>
        <w:widowControl w:val="0"/>
        <w:spacing w:line="440" w:lineRule="exact"/>
        <w:ind w:firstLine="480"/>
        <w:jc w:val="both"/>
        <w:rPr>
          <w:color w:val="auto"/>
          <w:kern w:val="21"/>
        </w:rPr>
      </w:pPr>
      <w:r>
        <w:rPr>
          <w:color w:val="auto"/>
          <w:kern w:val="21"/>
        </w:rPr>
        <w:t>膨润土浆配方为：膨润土（4.0%～5.0%）+纯碱（0.2%～0.4%）。</w:t>
      </w:r>
    </w:p>
    <w:p w14:paraId="38E6F1B1">
      <w:pPr>
        <w:pStyle w:val="276"/>
        <w:widowControl w:val="0"/>
        <w:spacing w:line="440" w:lineRule="exact"/>
        <w:ind w:firstLine="480"/>
        <w:jc w:val="both"/>
        <w:rPr>
          <w:color w:val="auto"/>
          <w:kern w:val="21"/>
        </w:rPr>
      </w:pPr>
      <w:r>
        <w:rPr>
          <w:rFonts w:hint="eastAsia"/>
          <w:color w:val="auto"/>
          <w:kern w:val="21"/>
        </w:rPr>
        <w:t>②</w:t>
      </w:r>
      <w:r>
        <w:rPr>
          <w:color w:val="auto"/>
          <w:kern w:val="21"/>
        </w:rPr>
        <w:t>油基钻井液</w:t>
      </w:r>
    </w:p>
    <w:p w14:paraId="0ED2E19B">
      <w:pPr>
        <w:pStyle w:val="276"/>
        <w:widowControl w:val="0"/>
        <w:spacing w:line="440" w:lineRule="exact"/>
        <w:ind w:firstLine="480"/>
        <w:jc w:val="both"/>
        <w:rPr>
          <w:color w:val="auto"/>
          <w:kern w:val="21"/>
        </w:rPr>
      </w:pPr>
      <w:r>
        <w:rPr>
          <w:color w:val="auto"/>
          <w:kern w:val="21"/>
        </w:rPr>
        <w:t>二开设计DQZT-OS（I型）钻井液体系 ，该体系具有较好的封堵性、润滑性，可有效保障井壁稳定性和长水平段钻井安全施工。</w:t>
      </w:r>
    </w:p>
    <w:p w14:paraId="653CBDFB">
      <w:pPr>
        <w:pStyle w:val="276"/>
        <w:widowControl w:val="0"/>
        <w:spacing w:line="440" w:lineRule="exact"/>
        <w:ind w:firstLine="480"/>
        <w:jc w:val="both"/>
        <w:rPr>
          <w:color w:val="auto"/>
          <w:kern w:val="21"/>
        </w:rPr>
      </w:pPr>
      <w:r>
        <w:rPr>
          <w:color w:val="auto"/>
          <w:kern w:val="21"/>
        </w:rPr>
        <w:t>DQZT-OS（I型）钻井液体系配方：柴油/白油+（3%～4%）主乳化剂+（1%～2%）辅乳化剂+（1%～3%）有机土+（3%～4%）油包水降滤失剂+（2%～4%）氧化钙+（20%-40%）氯化钙水溶液+（1%）封堵剂I型（按需）+（0.7%）封堵剂II型（按需）+（1%～2%）超细碳酸钙（按需）+重晶石（按需）。具体钻井液材料用量设计见</w:t>
      </w:r>
      <w:r>
        <w:rPr>
          <w:color w:val="auto"/>
          <w:kern w:val="21"/>
        </w:rPr>
        <w:fldChar w:fldCharType="begin"/>
      </w:r>
      <w:r>
        <w:rPr>
          <w:color w:val="auto"/>
          <w:kern w:val="21"/>
        </w:rPr>
        <w:instrText xml:space="preserve"> REF _Ref211958820 \h  \* MERGEFORMAT </w:instrText>
      </w:r>
      <w:r>
        <w:rPr>
          <w:color w:val="auto"/>
          <w:kern w:val="21"/>
        </w:rPr>
        <w:fldChar w:fldCharType="separate"/>
      </w:r>
      <w:r>
        <w:rPr>
          <w:color w:val="auto"/>
        </w:rPr>
        <w:t>表 3.6</w:t>
      </w:r>
      <w:r>
        <w:rPr>
          <w:color w:val="auto"/>
        </w:rPr>
        <w:noBreakHyphen/>
      </w:r>
      <w:r>
        <w:rPr>
          <w:color w:val="auto"/>
        </w:rPr>
        <w:t>7</w:t>
      </w:r>
      <w:r>
        <w:rPr>
          <w:color w:val="auto"/>
          <w:kern w:val="21"/>
        </w:rPr>
        <w:fldChar w:fldCharType="end"/>
      </w:r>
      <w:r>
        <w:rPr>
          <w:rFonts w:hint="eastAsia"/>
          <w:color w:val="auto"/>
          <w:kern w:val="21"/>
        </w:rPr>
        <w:t>，</w:t>
      </w:r>
      <w:r>
        <w:rPr>
          <w:color w:val="auto"/>
          <w:kern w:val="21"/>
        </w:rPr>
        <w:t>钻井液主要组分理化性质见</w:t>
      </w:r>
      <w:r>
        <w:rPr>
          <w:color w:val="auto"/>
          <w:kern w:val="21"/>
        </w:rPr>
        <w:fldChar w:fldCharType="begin"/>
      </w:r>
      <w:r>
        <w:rPr>
          <w:color w:val="auto"/>
          <w:kern w:val="21"/>
        </w:rPr>
        <w:instrText xml:space="preserve"> REF _Ref211958829 \h  \* MERGEFORMAT </w:instrText>
      </w:r>
      <w:r>
        <w:rPr>
          <w:color w:val="auto"/>
          <w:kern w:val="21"/>
        </w:rPr>
        <w:fldChar w:fldCharType="separate"/>
      </w:r>
      <w:r>
        <w:rPr>
          <w:color w:val="auto"/>
        </w:rPr>
        <w:t>表 3.6</w:t>
      </w:r>
      <w:r>
        <w:rPr>
          <w:color w:val="auto"/>
        </w:rPr>
        <w:noBreakHyphen/>
      </w:r>
      <w:r>
        <w:rPr>
          <w:color w:val="auto"/>
        </w:rPr>
        <w:t>8</w:t>
      </w:r>
      <w:r>
        <w:rPr>
          <w:color w:val="auto"/>
          <w:kern w:val="21"/>
        </w:rPr>
        <w:fldChar w:fldCharType="end"/>
      </w:r>
      <w:r>
        <w:rPr>
          <w:color w:val="auto"/>
          <w:kern w:val="21"/>
        </w:rPr>
        <w:t>。</w:t>
      </w:r>
    </w:p>
    <w:p w14:paraId="7E049EF9">
      <w:pPr>
        <w:pStyle w:val="22"/>
        <w:spacing w:before="156"/>
        <w:rPr>
          <w:color w:val="auto"/>
          <w:kern w:val="21"/>
        </w:rPr>
      </w:pPr>
      <w:bookmarkStart w:id="641" w:name="_Ref211958820"/>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7</w:t>
      </w:r>
      <w:r>
        <w:rPr>
          <w:color w:val="auto"/>
        </w:rPr>
        <w:fldChar w:fldCharType="end"/>
      </w:r>
      <w:bookmarkEnd w:id="641"/>
      <w:r>
        <w:rPr>
          <w:color w:val="auto"/>
        </w:rPr>
        <w:t>水平井钻井液材料用量设计数据表</w:t>
      </w:r>
    </w:p>
    <w:tbl>
      <w:tblPr>
        <w:tblStyle w:val="81"/>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077"/>
        <w:gridCol w:w="1228"/>
        <w:gridCol w:w="2565"/>
        <w:gridCol w:w="1270"/>
      </w:tblGrid>
      <w:tr w14:paraId="34DE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1253BE1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开钻次序</w:t>
            </w:r>
          </w:p>
        </w:tc>
        <w:tc>
          <w:tcPr>
            <w:tcW w:w="3305" w:type="dxa"/>
            <w:gridSpan w:val="2"/>
            <w:vAlign w:val="center"/>
          </w:tcPr>
          <w:p w14:paraId="31AFD66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一开</w:t>
            </w:r>
          </w:p>
        </w:tc>
        <w:tc>
          <w:tcPr>
            <w:tcW w:w="3835" w:type="dxa"/>
            <w:gridSpan w:val="2"/>
            <w:vAlign w:val="center"/>
          </w:tcPr>
          <w:p w14:paraId="41C16F7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二开</w:t>
            </w:r>
          </w:p>
        </w:tc>
      </w:tr>
      <w:tr w14:paraId="12E5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5D96579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钻头尺寸mm</w:t>
            </w:r>
          </w:p>
        </w:tc>
        <w:tc>
          <w:tcPr>
            <w:tcW w:w="3305" w:type="dxa"/>
            <w:gridSpan w:val="2"/>
            <w:vAlign w:val="center"/>
          </w:tcPr>
          <w:p w14:paraId="6BABB9E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311.2</w:t>
            </w:r>
          </w:p>
        </w:tc>
        <w:tc>
          <w:tcPr>
            <w:tcW w:w="3835" w:type="dxa"/>
            <w:gridSpan w:val="2"/>
            <w:vAlign w:val="center"/>
          </w:tcPr>
          <w:p w14:paraId="360903D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215.9</w:t>
            </w:r>
          </w:p>
        </w:tc>
      </w:tr>
      <w:tr w14:paraId="3D91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10A2344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井段m～m</w:t>
            </w:r>
          </w:p>
        </w:tc>
        <w:tc>
          <w:tcPr>
            <w:tcW w:w="3305" w:type="dxa"/>
            <w:gridSpan w:val="2"/>
            <w:vAlign w:val="center"/>
          </w:tcPr>
          <w:p w14:paraId="39BC8FA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0～501</w:t>
            </w:r>
          </w:p>
        </w:tc>
        <w:tc>
          <w:tcPr>
            <w:tcW w:w="3835" w:type="dxa"/>
            <w:gridSpan w:val="2"/>
            <w:vAlign w:val="center"/>
          </w:tcPr>
          <w:p w14:paraId="11DF461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501～3072</w:t>
            </w:r>
          </w:p>
        </w:tc>
      </w:tr>
      <w:tr w14:paraId="637B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1CB0104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井筒容积m</w:t>
            </w:r>
            <w:r>
              <w:rPr>
                <w:rFonts w:ascii="宋体" w:hAnsi="宋体" w:eastAsia="宋体" w:cs="Times New Roman"/>
                <w:color w:val="auto"/>
                <w:vertAlign w:val="superscript"/>
              </w:rPr>
              <w:t>3</w:t>
            </w:r>
          </w:p>
        </w:tc>
        <w:tc>
          <w:tcPr>
            <w:tcW w:w="3305" w:type="dxa"/>
            <w:gridSpan w:val="2"/>
            <w:vAlign w:val="center"/>
          </w:tcPr>
          <w:p w14:paraId="296CBE8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51</w:t>
            </w:r>
          </w:p>
        </w:tc>
        <w:tc>
          <w:tcPr>
            <w:tcW w:w="3835" w:type="dxa"/>
            <w:gridSpan w:val="2"/>
            <w:vAlign w:val="center"/>
          </w:tcPr>
          <w:p w14:paraId="4BD5C88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144</w:t>
            </w:r>
          </w:p>
        </w:tc>
      </w:tr>
      <w:tr w14:paraId="26EB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031DEC7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地面循环量m</w:t>
            </w:r>
            <w:r>
              <w:rPr>
                <w:rFonts w:ascii="宋体" w:hAnsi="宋体" w:eastAsia="宋体" w:cs="Times New Roman"/>
                <w:color w:val="auto"/>
                <w:vertAlign w:val="superscript"/>
              </w:rPr>
              <w:t>3</w:t>
            </w:r>
          </w:p>
        </w:tc>
        <w:tc>
          <w:tcPr>
            <w:tcW w:w="3305" w:type="dxa"/>
            <w:gridSpan w:val="2"/>
            <w:vAlign w:val="center"/>
          </w:tcPr>
          <w:p w14:paraId="2E06032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60</w:t>
            </w:r>
          </w:p>
        </w:tc>
        <w:tc>
          <w:tcPr>
            <w:tcW w:w="3835" w:type="dxa"/>
            <w:gridSpan w:val="2"/>
            <w:vAlign w:val="center"/>
          </w:tcPr>
          <w:p w14:paraId="37B49CA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100</w:t>
            </w:r>
          </w:p>
        </w:tc>
      </w:tr>
      <w:tr w14:paraId="7B21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3A5AD6D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钻井液损耗量 m</w:t>
            </w:r>
            <w:r>
              <w:rPr>
                <w:rFonts w:ascii="宋体" w:hAnsi="宋体" w:eastAsia="宋体" w:cs="Times New Roman"/>
                <w:color w:val="auto"/>
                <w:vertAlign w:val="superscript"/>
              </w:rPr>
              <w:t>3</w:t>
            </w:r>
          </w:p>
        </w:tc>
        <w:tc>
          <w:tcPr>
            <w:tcW w:w="3305" w:type="dxa"/>
            <w:gridSpan w:val="2"/>
            <w:vAlign w:val="center"/>
          </w:tcPr>
          <w:p w14:paraId="49F1C1E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20</w:t>
            </w:r>
          </w:p>
        </w:tc>
        <w:tc>
          <w:tcPr>
            <w:tcW w:w="3835" w:type="dxa"/>
            <w:gridSpan w:val="2"/>
            <w:vAlign w:val="center"/>
          </w:tcPr>
          <w:p w14:paraId="5AA806F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232</w:t>
            </w:r>
          </w:p>
        </w:tc>
      </w:tr>
      <w:tr w14:paraId="5108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405BFA0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钻井液总量m</w:t>
            </w:r>
            <w:r>
              <w:rPr>
                <w:rFonts w:ascii="宋体" w:hAnsi="宋体" w:eastAsia="宋体" w:cs="Times New Roman"/>
                <w:color w:val="auto"/>
                <w:vertAlign w:val="superscript"/>
              </w:rPr>
              <w:t>3</w:t>
            </w:r>
          </w:p>
        </w:tc>
        <w:tc>
          <w:tcPr>
            <w:tcW w:w="3305" w:type="dxa"/>
            <w:gridSpan w:val="2"/>
            <w:vAlign w:val="center"/>
          </w:tcPr>
          <w:p w14:paraId="2394F3D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131</w:t>
            </w:r>
          </w:p>
        </w:tc>
        <w:tc>
          <w:tcPr>
            <w:tcW w:w="3835" w:type="dxa"/>
            <w:gridSpan w:val="2"/>
            <w:vAlign w:val="center"/>
          </w:tcPr>
          <w:p w14:paraId="245AF8D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476</w:t>
            </w:r>
          </w:p>
        </w:tc>
      </w:tr>
      <w:tr w14:paraId="2939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Align w:val="center"/>
          </w:tcPr>
          <w:p w14:paraId="3DE15B2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钻井液体系</w:t>
            </w:r>
          </w:p>
        </w:tc>
        <w:tc>
          <w:tcPr>
            <w:tcW w:w="3305" w:type="dxa"/>
            <w:gridSpan w:val="2"/>
            <w:vAlign w:val="center"/>
          </w:tcPr>
          <w:p w14:paraId="0973142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膨润土浆</w:t>
            </w:r>
          </w:p>
        </w:tc>
        <w:tc>
          <w:tcPr>
            <w:tcW w:w="3835" w:type="dxa"/>
            <w:gridSpan w:val="2"/>
            <w:vAlign w:val="center"/>
          </w:tcPr>
          <w:p w14:paraId="1ED9EBD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油包水</w:t>
            </w:r>
          </w:p>
        </w:tc>
      </w:tr>
      <w:tr w14:paraId="11A7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restart"/>
            <w:vAlign w:val="center"/>
          </w:tcPr>
          <w:p w14:paraId="25BE51B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钻井液材料</w:t>
            </w:r>
          </w:p>
          <w:p w14:paraId="115182E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名称和用量</w:t>
            </w:r>
          </w:p>
        </w:tc>
        <w:tc>
          <w:tcPr>
            <w:tcW w:w="2077" w:type="dxa"/>
            <w:vAlign w:val="center"/>
          </w:tcPr>
          <w:p w14:paraId="7F18360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材料</w:t>
            </w:r>
          </w:p>
          <w:p w14:paraId="5EDCACE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名称</w:t>
            </w:r>
          </w:p>
        </w:tc>
        <w:tc>
          <w:tcPr>
            <w:tcW w:w="1228" w:type="dxa"/>
            <w:vAlign w:val="center"/>
          </w:tcPr>
          <w:p w14:paraId="52E1694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材料</w:t>
            </w:r>
          </w:p>
          <w:p w14:paraId="2C911A2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用量</w:t>
            </w:r>
          </w:p>
          <w:p w14:paraId="55A4C43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t</w:t>
            </w:r>
          </w:p>
        </w:tc>
        <w:tc>
          <w:tcPr>
            <w:tcW w:w="2565" w:type="dxa"/>
            <w:vAlign w:val="center"/>
          </w:tcPr>
          <w:p w14:paraId="2D0997A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材料</w:t>
            </w:r>
          </w:p>
          <w:p w14:paraId="640CAC2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名称</w:t>
            </w:r>
          </w:p>
        </w:tc>
        <w:tc>
          <w:tcPr>
            <w:tcW w:w="1270" w:type="dxa"/>
            <w:vAlign w:val="center"/>
          </w:tcPr>
          <w:p w14:paraId="55361C8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材料</w:t>
            </w:r>
          </w:p>
          <w:p w14:paraId="17F058C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用量</w:t>
            </w:r>
          </w:p>
          <w:p w14:paraId="7A89C06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t</w:t>
            </w:r>
          </w:p>
        </w:tc>
      </w:tr>
      <w:tr w14:paraId="72E4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71577BEB">
            <w:pPr>
              <w:adjustRightInd w:val="0"/>
              <w:snapToGrid w:val="0"/>
              <w:spacing w:line="360" w:lineRule="exact"/>
              <w:jc w:val="center"/>
              <w:rPr>
                <w:rFonts w:ascii="宋体" w:hAnsi="宋体" w:eastAsia="宋体" w:cs="Times New Roman"/>
                <w:color w:val="auto"/>
              </w:rPr>
            </w:pPr>
          </w:p>
        </w:tc>
        <w:tc>
          <w:tcPr>
            <w:tcW w:w="2077" w:type="dxa"/>
            <w:vAlign w:val="center"/>
          </w:tcPr>
          <w:p w14:paraId="4439C7E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膨润土</w:t>
            </w:r>
          </w:p>
        </w:tc>
        <w:tc>
          <w:tcPr>
            <w:tcW w:w="1228" w:type="dxa"/>
            <w:vAlign w:val="center"/>
          </w:tcPr>
          <w:p w14:paraId="77B7BC1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5.0</w:t>
            </w:r>
          </w:p>
        </w:tc>
        <w:tc>
          <w:tcPr>
            <w:tcW w:w="2565" w:type="dxa"/>
            <w:vAlign w:val="center"/>
          </w:tcPr>
          <w:p w14:paraId="5EB8AFC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柴油</w:t>
            </w:r>
          </w:p>
        </w:tc>
        <w:tc>
          <w:tcPr>
            <w:tcW w:w="1270" w:type="dxa"/>
            <w:vAlign w:val="center"/>
          </w:tcPr>
          <w:p w14:paraId="6E3B457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429.0（m³）</w:t>
            </w:r>
          </w:p>
        </w:tc>
      </w:tr>
      <w:tr w14:paraId="1EC3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55A1FD07">
            <w:pPr>
              <w:adjustRightInd w:val="0"/>
              <w:snapToGrid w:val="0"/>
              <w:spacing w:line="360" w:lineRule="exact"/>
              <w:jc w:val="center"/>
              <w:rPr>
                <w:rFonts w:ascii="宋体" w:hAnsi="宋体" w:eastAsia="宋体" w:cs="Times New Roman"/>
                <w:color w:val="auto"/>
              </w:rPr>
            </w:pPr>
          </w:p>
        </w:tc>
        <w:tc>
          <w:tcPr>
            <w:tcW w:w="2077" w:type="dxa"/>
            <w:vAlign w:val="center"/>
          </w:tcPr>
          <w:p w14:paraId="4274E37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纯碱</w:t>
            </w:r>
          </w:p>
        </w:tc>
        <w:tc>
          <w:tcPr>
            <w:tcW w:w="1228" w:type="dxa"/>
            <w:vAlign w:val="center"/>
          </w:tcPr>
          <w:p w14:paraId="1947119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0.5</w:t>
            </w:r>
          </w:p>
        </w:tc>
        <w:tc>
          <w:tcPr>
            <w:tcW w:w="2565" w:type="dxa"/>
            <w:vAlign w:val="center"/>
          </w:tcPr>
          <w:p w14:paraId="567B958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主乳化剂</w:t>
            </w:r>
          </w:p>
        </w:tc>
        <w:tc>
          <w:tcPr>
            <w:tcW w:w="1270" w:type="dxa"/>
            <w:vAlign w:val="center"/>
          </w:tcPr>
          <w:p w14:paraId="5E23CED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19.0</w:t>
            </w:r>
          </w:p>
        </w:tc>
      </w:tr>
      <w:tr w14:paraId="3957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4D75F5A8">
            <w:pPr>
              <w:adjustRightInd w:val="0"/>
              <w:snapToGrid w:val="0"/>
              <w:spacing w:line="360" w:lineRule="exact"/>
              <w:jc w:val="center"/>
              <w:rPr>
                <w:rFonts w:ascii="宋体" w:hAnsi="宋体" w:eastAsia="宋体" w:cs="Times New Roman"/>
                <w:color w:val="auto"/>
              </w:rPr>
            </w:pPr>
          </w:p>
        </w:tc>
        <w:tc>
          <w:tcPr>
            <w:tcW w:w="2077" w:type="dxa"/>
            <w:vAlign w:val="center"/>
          </w:tcPr>
          <w:p w14:paraId="415E123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228" w:type="dxa"/>
            <w:vAlign w:val="center"/>
          </w:tcPr>
          <w:p w14:paraId="50ED75D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2565" w:type="dxa"/>
            <w:vAlign w:val="center"/>
          </w:tcPr>
          <w:p w14:paraId="40CE72E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辅乳化剂</w:t>
            </w:r>
          </w:p>
        </w:tc>
        <w:tc>
          <w:tcPr>
            <w:tcW w:w="1270" w:type="dxa"/>
            <w:vAlign w:val="center"/>
          </w:tcPr>
          <w:p w14:paraId="4B19D6F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9.5</w:t>
            </w:r>
          </w:p>
        </w:tc>
      </w:tr>
      <w:tr w14:paraId="280F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6EE3138A">
            <w:pPr>
              <w:adjustRightInd w:val="0"/>
              <w:snapToGrid w:val="0"/>
              <w:spacing w:line="360" w:lineRule="exact"/>
              <w:jc w:val="center"/>
              <w:rPr>
                <w:rFonts w:ascii="宋体" w:hAnsi="宋体" w:eastAsia="宋体" w:cs="Times New Roman"/>
                <w:color w:val="auto"/>
              </w:rPr>
            </w:pPr>
          </w:p>
        </w:tc>
        <w:tc>
          <w:tcPr>
            <w:tcW w:w="2077" w:type="dxa"/>
            <w:vAlign w:val="center"/>
          </w:tcPr>
          <w:p w14:paraId="1871925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228" w:type="dxa"/>
            <w:vAlign w:val="center"/>
          </w:tcPr>
          <w:p w14:paraId="5807DB2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2565" w:type="dxa"/>
            <w:vAlign w:val="center"/>
          </w:tcPr>
          <w:p w14:paraId="406F9FA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有机土</w:t>
            </w:r>
          </w:p>
        </w:tc>
        <w:tc>
          <w:tcPr>
            <w:tcW w:w="1270" w:type="dxa"/>
            <w:vAlign w:val="center"/>
          </w:tcPr>
          <w:p w14:paraId="154C381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14.3</w:t>
            </w:r>
          </w:p>
        </w:tc>
      </w:tr>
      <w:tr w14:paraId="66EB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8" w:hRule="atLeast"/>
          <w:jc w:val="center"/>
        </w:trPr>
        <w:tc>
          <w:tcPr>
            <w:tcW w:w="2092" w:type="dxa"/>
            <w:vMerge w:val="continue"/>
            <w:vAlign w:val="center"/>
          </w:tcPr>
          <w:p w14:paraId="7548C0BB">
            <w:pPr>
              <w:adjustRightInd w:val="0"/>
              <w:snapToGrid w:val="0"/>
              <w:spacing w:line="360" w:lineRule="exact"/>
              <w:jc w:val="center"/>
              <w:rPr>
                <w:rFonts w:ascii="宋体" w:hAnsi="宋体" w:eastAsia="宋体" w:cs="Times New Roman"/>
                <w:color w:val="auto"/>
              </w:rPr>
            </w:pPr>
          </w:p>
        </w:tc>
        <w:tc>
          <w:tcPr>
            <w:tcW w:w="2077" w:type="dxa"/>
            <w:vAlign w:val="center"/>
          </w:tcPr>
          <w:p w14:paraId="0316BA6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228" w:type="dxa"/>
            <w:vAlign w:val="center"/>
          </w:tcPr>
          <w:p w14:paraId="19F8B2D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2565" w:type="dxa"/>
            <w:vAlign w:val="center"/>
          </w:tcPr>
          <w:p w14:paraId="74F1C44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油包水降滤失剂</w:t>
            </w:r>
          </w:p>
        </w:tc>
        <w:tc>
          <w:tcPr>
            <w:tcW w:w="1270" w:type="dxa"/>
            <w:vAlign w:val="center"/>
          </w:tcPr>
          <w:p w14:paraId="7A032D3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19.0</w:t>
            </w:r>
          </w:p>
        </w:tc>
      </w:tr>
      <w:tr w14:paraId="7242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66B8BA57">
            <w:pPr>
              <w:adjustRightInd w:val="0"/>
              <w:snapToGrid w:val="0"/>
              <w:spacing w:line="360" w:lineRule="exact"/>
              <w:jc w:val="center"/>
              <w:rPr>
                <w:rFonts w:ascii="宋体" w:hAnsi="宋体" w:eastAsia="宋体" w:cs="Times New Roman"/>
                <w:color w:val="auto"/>
              </w:rPr>
            </w:pPr>
          </w:p>
        </w:tc>
        <w:tc>
          <w:tcPr>
            <w:tcW w:w="2077" w:type="dxa"/>
            <w:vAlign w:val="center"/>
          </w:tcPr>
          <w:p w14:paraId="57D18D5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228" w:type="dxa"/>
            <w:vAlign w:val="center"/>
          </w:tcPr>
          <w:p w14:paraId="1D285ED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2565" w:type="dxa"/>
            <w:vAlign w:val="center"/>
          </w:tcPr>
          <w:p w14:paraId="30CAE08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封堵剂Ⅰ型（HFLK）</w:t>
            </w:r>
          </w:p>
        </w:tc>
        <w:tc>
          <w:tcPr>
            <w:tcW w:w="1270" w:type="dxa"/>
            <w:vAlign w:val="center"/>
          </w:tcPr>
          <w:p w14:paraId="7213878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7.2</w:t>
            </w:r>
          </w:p>
        </w:tc>
      </w:tr>
      <w:tr w14:paraId="616D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796EC6D8">
            <w:pPr>
              <w:adjustRightInd w:val="0"/>
              <w:snapToGrid w:val="0"/>
              <w:spacing w:line="360" w:lineRule="exact"/>
              <w:jc w:val="center"/>
              <w:rPr>
                <w:rFonts w:ascii="宋体" w:hAnsi="宋体" w:eastAsia="宋体" w:cs="Times New Roman"/>
                <w:color w:val="auto"/>
              </w:rPr>
            </w:pPr>
          </w:p>
        </w:tc>
        <w:tc>
          <w:tcPr>
            <w:tcW w:w="2077" w:type="dxa"/>
            <w:vAlign w:val="center"/>
          </w:tcPr>
          <w:p w14:paraId="29CF517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228" w:type="dxa"/>
            <w:vAlign w:val="center"/>
          </w:tcPr>
          <w:p w14:paraId="11752BF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2565" w:type="dxa"/>
            <w:vAlign w:val="center"/>
          </w:tcPr>
          <w:p w14:paraId="572414C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封堵剂Ⅱ型（纳米封堵剂）</w:t>
            </w:r>
          </w:p>
        </w:tc>
        <w:tc>
          <w:tcPr>
            <w:tcW w:w="1270" w:type="dxa"/>
            <w:vAlign w:val="center"/>
          </w:tcPr>
          <w:p w14:paraId="1E3E91D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4.8</w:t>
            </w:r>
          </w:p>
        </w:tc>
      </w:tr>
      <w:tr w14:paraId="3343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37ADD19F">
            <w:pPr>
              <w:adjustRightInd w:val="0"/>
              <w:snapToGrid w:val="0"/>
              <w:spacing w:line="360" w:lineRule="exact"/>
              <w:jc w:val="center"/>
              <w:rPr>
                <w:rFonts w:ascii="宋体" w:hAnsi="宋体" w:eastAsia="宋体" w:cs="Times New Roman"/>
                <w:color w:val="auto"/>
              </w:rPr>
            </w:pPr>
          </w:p>
        </w:tc>
        <w:tc>
          <w:tcPr>
            <w:tcW w:w="2077" w:type="dxa"/>
            <w:vAlign w:val="center"/>
          </w:tcPr>
          <w:p w14:paraId="224F91D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228" w:type="dxa"/>
            <w:vAlign w:val="center"/>
          </w:tcPr>
          <w:p w14:paraId="619A86B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2565" w:type="dxa"/>
            <w:vAlign w:val="center"/>
          </w:tcPr>
          <w:p w14:paraId="00303C9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（20%CaCl2）水</w:t>
            </w:r>
          </w:p>
        </w:tc>
        <w:tc>
          <w:tcPr>
            <w:tcW w:w="1270" w:type="dxa"/>
            <w:vAlign w:val="center"/>
          </w:tcPr>
          <w:p w14:paraId="5590E8E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19.0</w:t>
            </w:r>
          </w:p>
        </w:tc>
      </w:tr>
      <w:tr w14:paraId="30FA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2E86A7E9">
            <w:pPr>
              <w:adjustRightInd w:val="0"/>
              <w:snapToGrid w:val="0"/>
              <w:spacing w:line="360" w:lineRule="exact"/>
              <w:jc w:val="center"/>
              <w:rPr>
                <w:rFonts w:ascii="宋体" w:hAnsi="宋体" w:eastAsia="宋体" w:cs="Times New Roman"/>
                <w:color w:val="auto"/>
              </w:rPr>
            </w:pPr>
          </w:p>
        </w:tc>
        <w:tc>
          <w:tcPr>
            <w:tcW w:w="2077" w:type="dxa"/>
            <w:vAlign w:val="center"/>
          </w:tcPr>
          <w:p w14:paraId="7EE45661">
            <w:pPr>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228" w:type="dxa"/>
            <w:vAlign w:val="center"/>
          </w:tcPr>
          <w:p w14:paraId="18D2C50C">
            <w:pPr>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2565" w:type="dxa"/>
            <w:vAlign w:val="center"/>
          </w:tcPr>
          <w:p w14:paraId="68DE0FE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CaO</w:t>
            </w:r>
          </w:p>
        </w:tc>
        <w:tc>
          <w:tcPr>
            <w:tcW w:w="1270" w:type="dxa"/>
            <w:vAlign w:val="center"/>
          </w:tcPr>
          <w:p w14:paraId="2A1634F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19.0</w:t>
            </w:r>
          </w:p>
        </w:tc>
      </w:tr>
      <w:tr w14:paraId="5FF3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2078FD59">
            <w:pPr>
              <w:adjustRightInd w:val="0"/>
              <w:snapToGrid w:val="0"/>
              <w:spacing w:line="360" w:lineRule="exact"/>
              <w:jc w:val="center"/>
              <w:rPr>
                <w:rFonts w:ascii="宋体" w:hAnsi="宋体" w:eastAsia="宋体" w:cs="Times New Roman"/>
                <w:color w:val="auto"/>
              </w:rPr>
            </w:pPr>
          </w:p>
        </w:tc>
        <w:tc>
          <w:tcPr>
            <w:tcW w:w="2077" w:type="dxa"/>
            <w:vAlign w:val="center"/>
          </w:tcPr>
          <w:p w14:paraId="5C9C0EFB">
            <w:pPr>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228" w:type="dxa"/>
            <w:vAlign w:val="center"/>
          </w:tcPr>
          <w:p w14:paraId="69F7903E">
            <w:pPr>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2565" w:type="dxa"/>
            <w:vAlign w:val="center"/>
          </w:tcPr>
          <w:p w14:paraId="59658B4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润湿剂</w:t>
            </w:r>
          </w:p>
        </w:tc>
        <w:tc>
          <w:tcPr>
            <w:tcW w:w="1270" w:type="dxa"/>
            <w:vAlign w:val="center"/>
          </w:tcPr>
          <w:p w14:paraId="279D7DE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2.4</w:t>
            </w:r>
          </w:p>
        </w:tc>
      </w:tr>
      <w:tr w14:paraId="1767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2092" w:type="dxa"/>
            <w:vMerge w:val="continue"/>
            <w:vAlign w:val="center"/>
          </w:tcPr>
          <w:p w14:paraId="0DF00777">
            <w:pPr>
              <w:adjustRightInd w:val="0"/>
              <w:snapToGrid w:val="0"/>
              <w:spacing w:line="360" w:lineRule="exact"/>
              <w:jc w:val="center"/>
              <w:rPr>
                <w:rFonts w:ascii="宋体" w:hAnsi="宋体" w:eastAsia="宋体" w:cs="Times New Roman"/>
                <w:color w:val="auto"/>
              </w:rPr>
            </w:pPr>
          </w:p>
        </w:tc>
        <w:tc>
          <w:tcPr>
            <w:tcW w:w="2077" w:type="dxa"/>
            <w:vAlign w:val="center"/>
          </w:tcPr>
          <w:p w14:paraId="4C5B2889">
            <w:pPr>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228" w:type="dxa"/>
            <w:vAlign w:val="center"/>
          </w:tcPr>
          <w:p w14:paraId="602EF479">
            <w:pPr>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2565" w:type="dxa"/>
            <w:vAlign w:val="center"/>
          </w:tcPr>
          <w:p w14:paraId="0465A49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超细碳酸钙</w:t>
            </w:r>
          </w:p>
        </w:tc>
        <w:tc>
          <w:tcPr>
            <w:tcW w:w="1270" w:type="dxa"/>
            <w:vAlign w:val="center"/>
          </w:tcPr>
          <w:p w14:paraId="4A681E8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14.3</w:t>
            </w:r>
          </w:p>
        </w:tc>
      </w:tr>
    </w:tbl>
    <w:p w14:paraId="424CAFDC">
      <w:pPr>
        <w:pStyle w:val="22"/>
        <w:spacing w:before="156"/>
        <w:rPr>
          <w:color w:val="auto"/>
          <w:kern w:val="21"/>
        </w:rPr>
      </w:pPr>
      <w:bookmarkStart w:id="642" w:name="_Ref211958829"/>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8</w:t>
      </w:r>
      <w:r>
        <w:rPr>
          <w:color w:val="auto"/>
        </w:rPr>
        <w:fldChar w:fldCharType="end"/>
      </w:r>
      <w:bookmarkEnd w:id="642"/>
      <w:r>
        <w:rPr>
          <w:color w:val="auto"/>
        </w:rPr>
        <w:t>水平井钻井液主要组分理化性质一览表</w:t>
      </w:r>
    </w:p>
    <w:tbl>
      <w:tblPr>
        <w:tblStyle w:val="8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104"/>
        <w:gridCol w:w="1283"/>
        <w:gridCol w:w="5387"/>
        <w:gridCol w:w="696"/>
      </w:tblGrid>
      <w:tr w14:paraId="22F6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90" w:type="dxa"/>
            <w:vAlign w:val="center"/>
          </w:tcPr>
          <w:p w14:paraId="13036EE1">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序号</w:t>
            </w:r>
          </w:p>
        </w:tc>
        <w:tc>
          <w:tcPr>
            <w:tcW w:w="1104" w:type="dxa"/>
            <w:vAlign w:val="center"/>
          </w:tcPr>
          <w:p w14:paraId="05C16D0E">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原料</w:t>
            </w:r>
          </w:p>
        </w:tc>
        <w:tc>
          <w:tcPr>
            <w:tcW w:w="1283" w:type="dxa"/>
            <w:vAlign w:val="center"/>
          </w:tcPr>
          <w:p w14:paraId="68817837">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主要组分</w:t>
            </w:r>
          </w:p>
        </w:tc>
        <w:tc>
          <w:tcPr>
            <w:tcW w:w="5387" w:type="dxa"/>
            <w:vAlign w:val="center"/>
          </w:tcPr>
          <w:p w14:paraId="49EDD6C8">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理化性质及作用</w:t>
            </w:r>
          </w:p>
        </w:tc>
        <w:tc>
          <w:tcPr>
            <w:tcW w:w="696" w:type="dxa"/>
            <w:vAlign w:val="center"/>
          </w:tcPr>
          <w:p w14:paraId="445599B6">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毒理性质</w:t>
            </w:r>
          </w:p>
        </w:tc>
      </w:tr>
      <w:tr w14:paraId="3DF9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6E46A423">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一</w:t>
            </w:r>
          </w:p>
        </w:tc>
        <w:tc>
          <w:tcPr>
            <w:tcW w:w="8470" w:type="dxa"/>
            <w:gridSpan w:val="4"/>
            <w:vAlign w:val="center"/>
          </w:tcPr>
          <w:p w14:paraId="2713CF06">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水基钻井液</w:t>
            </w:r>
          </w:p>
        </w:tc>
      </w:tr>
      <w:tr w14:paraId="010C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352703F1">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1</w:t>
            </w:r>
          </w:p>
        </w:tc>
        <w:tc>
          <w:tcPr>
            <w:tcW w:w="1104" w:type="dxa"/>
            <w:vAlign w:val="center"/>
          </w:tcPr>
          <w:p w14:paraId="34CF118A">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膨润土</w:t>
            </w:r>
          </w:p>
        </w:tc>
        <w:tc>
          <w:tcPr>
            <w:tcW w:w="1283" w:type="dxa"/>
            <w:vAlign w:val="center"/>
          </w:tcPr>
          <w:p w14:paraId="06E09E92">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天然矿物，主要成分是层状铝硅酸盐蒙脱石</w:t>
            </w:r>
          </w:p>
        </w:tc>
        <w:tc>
          <w:tcPr>
            <w:tcW w:w="5387" w:type="dxa"/>
            <w:vAlign w:val="center"/>
          </w:tcPr>
          <w:p w14:paraId="72300CCB">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其晶体结构是由两个硅氧四面体晶片中间夹1个铝氧八面体晶片组成1个晶层，在硅氧四面体中，有部分的Si</w:t>
            </w:r>
            <w:r>
              <w:rPr>
                <w:rFonts w:ascii="宋体" w:hAnsi="宋体" w:eastAsia="宋体" w:cs="Times New Roman"/>
                <w:color w:val="auto"/>
                <w:kern w:val="21"/>
                <w:vertAlign w:val="superscript"/>
              </w:rPr>
              <w:t>4+</w:t>
            </w:r>
            <w:r>
              <w:rPr>
                <w:rFonts w:ascii="宋体" w:hAnsi="宋体" w:eastAsia="宋体" w:cs="Times New Roman"/>
                <w:color w:val="auto"/>
                <w:kern w:val="21"/>
              </w:rPr>
              <w:t>可被Al</w:t>
            </w:r>
            <w:r>
              <w:rPr>
                <w:rFonts w:ascii="宋体" w:hAnsi="宋体" w:eastAsia="宋体" w:cs="Times New Roman"/>
                <w:color w:val="auto"/>
                <w:kern w:val="21"/>
                <w:vertAlign w:val="superscript"/>
              </w:rPr>
              <w:t>3+</w:t>
            </w:r>
            <w:r>
              <w:rPr>
                <w:rFonts w:ascii="宋体" w:hAnsi="宋体" w:eastAsia="宋体" w:cs="Times New Roman"/>
                <w:color w:val="auto"/>
                <w:kern w:val="21"/>
              </w:rPr>
              <w:t>取代，铝氧八面体层中有部分的Al</w:t>
            </w:r>
            <w:r>
              <w:rPr>
                <w:rFonts w:ascii="宋体" w:hAnsi="宋体" w:eastAsia="宋体" w:cs="Times New Roman"/>
                <w:color w:val="auto"/>
                <w:kern w:val="21"/>
                <w:vertAlign w:val="superscript"/>
              </w:rPr>
              <w:t>3+</w:t>
            </w:r>
            <w:r>
              <w:rPr>
                <w:rFonts w:ascii="宋体" w:hAnsi="宋体" w:eastAsia="宋体" w:cs="Times New Roman"/>
                <w:color w:val="auto"/>
                <w:kern w:val="21"/>
              </w:rPr>
              <w:t>可被Fe</w:t>
            </w:r>
            <w:r>
              <w:rPr>
                <w:rFonts w:ascii="宋体" w:hAnsi="宋体" w:eastAsia="宋体" w:cs="Times New Roman"/>
                <w:color w:val="auto"/>
                <w:kern w:val="21"/>
                <w:vertAlign w:val="superscript"/>
              </w:rPr>
              <w:t>2+</w:t>
            </w:r>
            <w:r>
              <w:rPr>
                <w:rFonts w:ascii="宋体" w:hAnsi="宋体" w:eastAsia="宋体" w:cs="Times New Roman"/>
                <w:color w:val="auto"/>
                <w:kern w:val="21"/>
              </w:rPr>
              <w:t>、Mg</w:t>
            </w:r>
            <w:r>
              <w:rPr>
                <w:rFonts w:ascii="宋体" w:hAnsi="宋体" w:eastAsia="宋体" w:cs="Times New Roman"/>
                <w:color w:val="auto"/>
                <w:kern w:val="21"/>
                <w:vertAlign w:val="superscript"/>
              </w:rPr>
              <w:t>2+</w:t>
            </w:r>
            <w:r>
              <w:rPr>
                <w:rFonts w:ascii="宋体" w:hAnsi="宋体" w:eastAsia="宋体" w:cs="Times New Roman"/>
                <w:color w:val="auto"/>
                <w:kern w:val="21"/>
              </w:rPr>
              <w:t>、Zn</w:t>
            </w:r>
            <w:r>
              <w:rPr>
                <w:rFonts w:ascii="宋体" w:hAnsi="宋体" w:eastAsia="宋体" w:cs="Times New Roman"/>
                <w:color w:val="auto"/>
                <w:kern w:val="21"/>
                <w:vertAlign w:val="superscript"/>
              </w:rPr>
              <w:t>2+</w:t>
            </w:r>
            <w:r>
              <w:rPr>
                <w:rFonts w:ascii="宋体" w:hAnsi="宋体" w:eastAsia="宋体" w:cs="Times New Roman"/>
                <w:color w:val="auto"/>
                <w:kern w:val="21"/>
              </w:rPr>
              <w:t>等阳离子取代，这样使得蒙脱石的晶格显负电性，同时晶层上下皆为氧原子层，不能形成氢键，晶层间有微弱的分子力连接，连接力弱，水分子容易进入两层之间使之吸水肿胀</w:t>
            </w:r>
          </w:p>
        </w:tc>
        <w:tc>
          <w:tcPr>
            <w:tcW w:w="696" w:type="dxa"/>
            <w:vAlign w:val="center"/>
          </w:tcPr>
          <w:p w14:paraId="3867CC12">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无毒性</w:t>
            </w:r>
          </w:p>
        </w:tc>
      </w:tr>
      <w:tr w14:paraId="74CB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5C627165">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2</w:t>
            </w:r>
          </w:p>
        </w:tc>
        <w:tc>
          <w:tcPr>
            <w:tcW w:w="1104" w:type="dxa"/>
            <w:vAlign w:val="center"/>
          </w:tcPr>
          <w:p w14:paraId="47A50A48">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纯碱</w:t>
            </w:r>
          </w:p>
        </w:tc>
        <w:tc>
          <w:tcPr>
            <w:tcW w:w="1283" w:type="dxa"/>
            <w:vAlign w:val="center"/>
          </w:tcPr>
          <w:p w14:paraId="21884240">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Na</w:t>
            </w:r>
            <w:r>
              <w:rPr>
                <w:rFonts w:ascii="宋体" w:hAnsi="宋体" w:eastAsia="宋体" w:cs="Times New Roman"/>
                <w:color w:val="auto"/>
                <w:kern w:val="21"/>
                <w:vertAlign w:val="subscript"/>
              </w:rPr>
              <w:t>2</w:t>
            </w:r>
            <w:r>
              <w:rPr>
                <w:rFonts w:ascii="宋体" w:hAnsi="宋体" w:eastAsia="宋体" w:cs="Times New Roman"/>
                <w:color w:val="auto"/>
                <w:kern w:val="21"/>
              </w:rPr>
              <w:t>CO</w:t>
            </w:r>
            <w:r>
              <w:rPr>
                <w:rFonts w:ascii="宋体" w:hAnsi="宋体" w:eastAsia="宋体" w:cs="Times New Roman"/>
                <w:color w:val="auto"/>
                <w:kern w:val="21"/>
                <w:vertAlign w:val="subscript"/>
              </w:rPr>
              <w:t>3</w:t>
            </w:r>
          </w:p>
        </w:tc>
        <w:tc>
          <w:tcPr>
            <w:tcW w:w="5387" w:type="dxa"/>
            <w:vAlign w:val="center"/>
          </w:tcPr>
          <w:p w14:paraId="03625FC7">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无水碳酸钠为白色粉末，易溶于水，水溶液呈碱性，pH值为11.5。在泥浆中发生电离和水解，提供Na</w:t>
            </w:r>
            <w:r>
              <w:rPr>
                <w:rFonts w:ascii="宋体" w:hAnsi="宋体" w:eastAsia="宋体" w:cs="Times New Roman"/>
                <w:color w:val="auto"/>
                <w:kern w:val="21"/>
                <w:vertAlign w:val="superscript"/>
              </w:rPr>
              <w:t>+</w:t>
            </w:r>
            <w:r>
              <w:rPr>
                <w:rFonts w:ascii="宋体" w:hAnsi="宋体" w:eastAsia="宋体" w:cs="Times New Roman"/>
                <w:color w:val="auto"/>
                <w:kern w:val="21"/>
              </w:rPr>
              <w:t>和CO</w:t>
            </w:r>
            <w:r>
              <w:rPr>
                <w:rFonts w:ascii="宋体" w:hAnsi="宋体" w:eastAsia="宋体" w:cs="Times New Roman"/>
                <w:color w:val="auto"/>
                <w:kern w:val="21"/>
                <w:vertAlign w:val="subscript"/>
              </w:rPr>
              <w:t>3</w:t>
            </w:r>
            <w:r>
              <w:rPr>
                <w:rFonts w:ascii="宋体" w:hAnsi="宋体" w:eastAsia="宋体" w:cs="Times New Roman"/>
                <w:color w:val="auto"/>
                <w:kern w:val="21"/>
                <w:vertAlign w:val="superscript"/>
              </w:rPr>
              <w:t>2-</w:t>
            </w:r>
            <w:r>
              <w:rPr>
                <w:rFonts w:ascii="宋体" w:hAnsi="宋体" w:eastAsia="宋体" w:cs="Times New Roman"/>
                <w:color w:val="auto"/>
                <w:kern w:val="21"/>
              </w:rPr>
              <w:t>，在泥浆中通过离子交换和沉淀作用</w:t>
            </w:r>
          </w:p>
        </w:tc>
        <w:tc>
          <w:tcPr>
            <w:tcW w:w="696" w:type="dxa"/>
            <w:vAlign w:val="center"/>
          </w:tcPr>
          <w:p w14:paraId="7001168E">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无毒性</w:t>
            </w:r>
          </w:p>
        </w:tc>
      </w:tr>
      <w:tr w14:paraId="0EFE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30B4FC95">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二</w:t>
            </w:r>
          </w:p>
        </w:tc>
        <w:tc>
          <w:tcPr>
            <w:tcW w:w="8470" w:type="dxa"/>
            <w:gridSpan w:val="4"/>
            <w:vAlign w:val="center"/>
          </w:tcPr>
          <w:p w14:paraId="2A4AB493">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油基钻井液</w:t>
            </w:r>
          </w:p>
        </w:tc>
      </w:tr>
      <w:tr w14:paraId="790C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4A06E077">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1</w:t>
            </w:r>
          </w:p>
        </w:tc>
        <w:tc>
          <w:tcPr>
            <w:tcW w:w="1104" w:type="dxa"/>
            <w:vAlign w:val="center"/>
          </w:tcPr>
          <w:p w14:paraId="04DE0ED9">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柴油</w:t>
            </w:r>
          </w:p>
        </w:tc>
        <w:tc>
          <w:tcPr>
            <w:tcW w:w="1283" w:type="dxa"/>
            <w:vAlign w:val="center"/>
          </w:tcPr>
          <w:p w14:paraId="55EC5799">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柴油</w:t>
            </w:r>
          </w:p>
        </w:tc>
        <w:tc>
          <w:tcPr>
            <w:tcW w:w="5387" w:type="dxa"/>
            <w:vAlign w:val="center"/>
          </w:tcPr>
          <w:p w14:paraId="66E96E55">
            <w:pPr>
              <w:tabs>
                <w:tab w:val="left" w:pos="-315"/>
              </w:tabs>
              <w:spacing w:line="360" w:lineRule="exact"/>
              <w:rPr>
                <w:rFonts w:ascii="宋体" w:hAnsi="宋体" w:eastAsia="宋体" w:cs="Times New Roman"/>
                <w:color w:val="auto"/>
                <w:kern w:val="21"/>
              </w:rPr>
            </w:pPr>
            <w:r>
              <w:rPr>
                <w:rFonts w:ascii="宋体" w:hAnsi="宋体" w:eastAsia="宋体" w:cs="Times New Roman"/>
                <w:color w:val="auto"/>
                <w:kern w:val="21"/>
              </w:rPr>
              <w:t>柴油是轻质石油产品，复杂烃类（碳原子数约10～22）混合物。为柴油机燃料。分为轻柴油（沸点范围约180～370℃）和重柴油（沸点范围约350～410℃）两大类。热值为3.3×10</w:t>
            </w:r>
            <w:r>
              <w:rPr>
                <w:rFonts w:ascii="宋体" w:hAnsi="宋体" w:eastAsia="宋体" w:cs="Times New Roman"/>
                <w:color w:val="auto"/>
                <w:kern w:val="21"/>
                <w:vertAlign w:val="superscript"/>
              </w:rPr>
              <w:t>7</w:t>
            </w:r>
            <w:r>
              <w:rPr>
                <w:rFonts w:ascii="宋体" w:hAnsi="宋体" w:eastAsia="宋体" w:cs="Times New Roman"/>
                <w:color w:val="auto"/>
                <w:kern w:val="21"/>
              </w:rPr>
              <w:t>J/L。易燃易挥发，不溶于水，易溶于醇和其他有机溶剂</w:t>
            </w:r>
          </w:p>
        </w:tc>
        <w:tc>
          <w:tcPr>
            <w:tcW w:w="696" w:type="dxa"/>
            <w:vAlign w:val="center"/>
          </w:tcPr>
          <w:p w14:paraId="243AA658">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低毒性</w:t>
            </w:r>
          </w:p>
        </w:tc>
      </w:tr>
      <w:tr w14:paraId="05BC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690A57F2">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2</w:t>
            </w:r>
          </w:p>
        </w:tc>
        <w:tc>
          <w:tcPr>
            <w:tcW w:w="1104" w:type="dxa"/>
            <w:vAlign w:val="center"/>
          </w:tcPr>
          <w:p w14:paraId="4CDCE09D">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主乳化剂</w:t>
            </w:r>
          </w:p>
        </w:tc>
        <w:tc>
          <w:tcPr>
            <w:tcW w:w="1283" w:type="dxa"/>
            <w:vAlign w:val="center"/>
          </w:tcPr>
          <w:p w14:paraId="50A1D0FC">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R-Y0</w:t>
            </w:r>
          </w:p>
        </w:tc>
        <w:tc>
          <w:tcPr>
            <w:tcW w:w="5387" w:type="dxa"/>
            <w:vAlign w:val="center"/>
          </w:tcPr>
          <w:p w14:paraId="6ADB273D">
            <w:pPr>
              <w:tabs>
                <w:tab w:val="left" w:pos="-315"/>
              </w:tabs>
              <w:spacing w:line="360" w:lineRule="exact"/>
              <w:rPr>
                <w:rFonts w:ascii="宋体" w:hAnsi="宋体" w:eastAsia="宋体" w:cs="Times New Roman"/>
                <w:color w:val="auto"/>
                <w:kern w:val="21"/>
              </w:rPr>
            </w:pPr>
            <w:r>
              <w:rPr>
                <w:rFonts w:ascii="宋体" w:hAnsi="宋体" w:eastAsia="宋体" w:cs="Times New Roman"/>
                <w:color w:val="auto"/>
                <w:kern w:val="21"/>
              </w:rPr>
              <w:t>具有优良的抗温乳化性能，低温可达200℃以上，主要用于混油、油包水、油基钻井液；提高油基钻井液的热稳定性用于稳定乳状液，提高悬浮新性能以及减小确保乳状液长期保持稳定的重要组成部分，因此，也叫做油基钻井液的稳定剂</w:t>
            </w:r>
          </w:p>
        </w:tc>
        <w:tc>
          <w:tcPr>
            <w:tcW w:w="696" w:type="dxa"/>
            <w:vAlign w:val="center"/>
          </w:tcPr>
          <w:p w14:paraId="747D4B3D">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无毒性</w:t>
            </w:r>
          </w:p>
        </w:tc>
      </w:tr>
      <w:tr w14:paraId="4F3D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2611C5FC">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3</w:t>
            </w:r>
          </w:p>
        </w:tc>
        <w:tc>
          <w:tcPr>
            <w:tcW w:w="1104" w:type="dxa"/>
            <w:vAlign w:val="center"/>
          </w:tcPr>
          <w:p w14:paraId="12E51523">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辅乳化剂</w:t>
            </w:r>
          </w:p>
        </w:tc>
        <w:tc>
          <w:tcPr>
            <w:tcW w:w="1283" w:type="dxa"/>
            <w:vAlign w:val="center"/>
          </w:tcPr>
          <w:p w14:paraId="7968A937">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MOWETL</w:t>
            </w:r>
          </w:p>
        </w:tc>
        <w:tc>
          <w:tcPr>
            <w:tcW w:w="5387" w:type="dxa"/>
            <w:vAlign w:val="center"/>
          </w:tcPr>
          <w:p w14:paraId="3F30AA74">
            <w:pPr>
              <w:tabs>
                <w:tab w:val="left" w:pos="-315"/>
              </w:tabs>
              <w:spacing w:line="360" w:lineRule="exact"/>
              <w:rPr>
                <w:rFonts w:ascii="宋体" w:hAnsi="宋体" w:eastAsia="宋体" w:cs="Times New Roman"/>
                <w:color w:val="auto"/>
                <w:kern w:val="21"/>
              </w:rPr>
            </w:pPr>
            <w:r>
              <w:rPr>
                <w:rFonts w:ascii="宋体" w:hAnsi="宋体" w:eastAsia="宋体" w:cs="Times New Roman"/>
                <w:color w:val="auto"/>
                <w:kern w:val="21"/>
              </w:rPr>
              <w:t>外观粘稠透明液体，密度为0.95～1.05g/cm3，表面张力≤40Mn/m，主要用于防止水侵污油基钻井液或防止水润湿的固相侵入油基钻井液，润湿剂 MOWETL 的加入使刚进入钻井液的重晶石和钻屑颗粒表面迅速转变为油湿，从而保证他们能较好的悬浮在油相中。而且其具有较高的抗温能力。适用于油基钻井液体系，与其他处理剂伍配性较好。</w:t>
            </w:r>
          </w:p>
        </w:tc>
        <w:tc>
          <w:tcPr>
            <w:tcW w:w="696" w:type="dxa"/>
            <w:vAlign w:val="center"/>
          </w:tcPr>
          <w:p w14:paraId="4907E734">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无毒性</w:t>
            </w:r>
          </w:p>
        </w:tc>
      </w:tr>
      <w:tr w14:paraId="5CDB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05448731">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4</w:t>
            </w:r>
          </w:p>
        </w:tc>
        <w:tc>
          <w:tcPr>
            <w:tcW w:w="1104" w:type="dxa"/>
            <w:vAlign w:val="center"/>
          </w:tcPr>
          <w:p w14:paraId="31030BDD">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有机土</w:t>
            </w:r>
          </w:p>
        </w:tc>
        <w:tc>
          <w:tcPr>
            <w:tcW w:w="1283" w:type="dxa"/>
            <w:vAlign w:val="center"/>
          </w:tcPr>
          <w:p w14:paraId="5CEAE571">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天然矿物，主要成分为层状硅酸盐蒙脱石</w:t>
            </w:r>
          </w:p>
        </w:tc>
        <w:tc>
          <w:tcPr>
            <w:tcW w:w="5387" w:type="dxa"/>
            <w:vAlign w:val="center"/>
          </w:tcPr>
          <w:p w14:paraId="3A70F6D2">
            <w:pPr>
              <w:tabs>
                <w:tab w:val="left" w:pos="-315"/>
              </w:tabs>
              <w:spacing w:line="360" w:lineRule="exact"/>
              <w:rPr>
                <w:rFonts w:ascii="宋体" w:hAnsi="宋体" w:eastAsia="宋体" w:cs="Times New Roman"/>
                <w:color w:val="auto"/>
                <w:kern w:val="21"/>
              </w:rPr>
            </w:pPr>
            <w:r>
              <w:rPr>
                <w:rFonts w:ascii="宋体" w:hAnsi="宋体" w:eastAsia="宋体" w:cs="Times New Roman"/>
                <w:color w:val="auto"/>
                <w:kern w:val="21"/>
              </w:rPr>
              <w:t>晶体结构是由两个硅氧四面体晶片中间夹1个铝氧八面体晶片组成1个晶层，在硅氧四面体中，有部分的Si</w:t>
            </w:r>
            <w:r>
              <w:rPr>
                <w:rFonts w:ascii="宋体" w:hAnsi="宋体" w:eastAsia="宋体" w:cs="Times New Roman"/>
                <w:color w:val="auto"/>
                <w:kern w:val="21"/>
                <w:vertAlign w:val="superscript"/>
              </w:rPr>
              <w:t>4+</w:t>
            </w:r>
            <w:r>
              <w:rPr>
                <w:rFonts w:ascii="宋体" w:hAnsi="宋体" w:eastAsia="宋体" w:cs="Times New Roman"/>
                <w:color w:val="auto"/>
                <w:kern w:val="21"/>
              </w:rPr>
              <w:t>可被Al</w:t>
            </w:r>
            <w:r>
              <w:rPr>
                <w:rFonts w:ascii="宋体" w:hAnsi="宋体" w:eastAsia="宋体" w:cs="Times New Roman"/>
                <w:color w:val="auto"/>
                <w:kern w:val="21"/>
                <w:vertAlign w:val="superscript"/>
              </w:rPr>
              <w:t>3+</w:t>
            </w:r>
            <w:r>
              <w:rPr>
                <w:rFonts w:ascii="宋体" w:hAnsi="宋体" w:eastAsia="宋体" w:cs="Times New Roman"/>
                <w:color w:val="auto"/>
                <w:kern w:val="21"/>
              </w:rPr>
              <w:t>取代，铝氧八面体层中有部分的 Al</w:t>
            </w:r>
            <w:r>
              <w:rPr>
                <w:rFonts w:ascii="宋体" w:hAnsi="宋体" w:eastAsia="宋体" w:cs="Times New Roman"/>
                <w:color w:val="auto"/>
                <w:kern w:val="21"/>
                <w:vertAlign w:val="superscript"/>
              </w:rPr>
              <w:t>3+</w:t>
            </w:r>
            <w:r>
              <w:rPr>
                <w:rFonts w:ascii="宋体" w:hAnsi="宋体" w:eastAsia="宋体" w:cs="Times New Roman"/>
                <w:color w:val="auto"/>
                <w:kern w:val="21"/>
              </w:rPr>
              <w:t>可被 Fe</w:t>
            </w:r>
            <w:r>
              <w:rPr>
                <w:rFonts w:ascii="宋体" w:hAnsi="宋体" w:eastAsia="宋体" w:cs="Times New Roman"/>
                <w:color w:val="auto"/>
                <w:kern w:val="21"/>
                <w:vertAlign w:val="superscript"/>
              </w:rPr>
              <w:t>2+</w:t>
            </w:r>
            <w:r>
              <w:rPr>
                <w:rFonts w:ascii="宋体" w:hAnsi="宋体" w:eastAsia="宋体" w:cs="Times New Roman"/>
                <w:color w:val="auto"/>
                <w:kern w:val="21"/>
              </w:rPr>
              <w:t>、Mg</w:t>
            </w:r>
            <w:r>
              <w:rPr>
                <w:rFonts w:ascii="宋体" w:hAnsi="宋体" w:eastAsia="宋体" w:cs="Times New Roman"/>
                <w:color w:val="auto"/>
                <w:kern w:val="21"/>
                <w:vertAlign w:val="superscript"/>
              </w:rPr>
              <w:t>2+</w:t>
            </w:r>
            <w:r>
              <w:rPr>
                <w:rFonts w:ascii="宋体" w:hAnsi="宋体" w:eastAsia="宋体" w:cs="Times New Roman"/>
                <w:color w:val="auto"/>
                <w:kern w:val="21"/>
              </w:rPr>
              <w:t>、Zn</w:t>
            </w:r>
            <w:r>
              <w:rPr>
                <w:rFonts w:ascii="宋体" w:hAnsi="宋体" w:eastAsia="宋体" w:cs="Times New Roman"/>
                <w:color w:val="auto"/>
                <w:kern w:val="21"/>
                <w:vertAlign w:val="superscript"/>
              </w:rPr>
              <w:t>2+</w:t>
            </w:r>
            <w:r>
              <w:rPr>
                <w:rFonts w:ascii="宋体" w:hAnsi="宋体" w:eastAsia="宋体" w:cs="Times New Roman"/>
                <w:color w:val="auto"/>
                <w:kern w:val="21"/>
              </w:rPr>
              <w:t>等阳离子取代，这样使得蒙脱石的晶格显负电性，同时晶层上下皆为氧原子层，不能开成氢键，晶层间有微弱的分子力连接，连接力弱，水分子容易进入两层之间使之吸水肿胀。因此，它具有很强的吸水性、可塑性、粘结性和离子交换性，水化分散性较好</w:t>
            </w:r>
          </w:p>
        </w:tc>
        <w:tc>
          <w:tcPr>
            <w:tcW w:w="696" w:type="dxa"/>
            <w:vAlign w:val="center"/>
          </w:tcPr>
          <w:p w14:paraId="1AB996CE">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无毒性</w:t>
            </w:r>
          </w:p>
        </w:tc>
      </w:tr>
      <w:tr w14:paraId="1753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5D4F64BD">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5</w:t>
            </w:r>
          </w:p>
        </w:tc>
        <w:tc>
          <w:tcPr>
            <w:tcW w:w="1104" w:type="dxa"/>
            <w:vAlign w:val="center"/>
          </w:tcPr>
          <w:p w14:paraId="49D88FB6">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油包水降滤失剂</w:t>
            </w:r>
          </w:p>
        </w:tc>
        <w:tc>
          <w:tcPr>
            <w:tcW w:w="1283" w:type="dxa"/>
            <w:vAlign w:val="center"/>
          </w:tcPr>
          <w:p w14:paraId="140E05EC">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XNTROL</w:t>
            </w:r>
          </w:p>
        </w:tc>
        <w:tc>
          <w:tcPr>
            <w:tcW w:w="5387" w:type="dxa"/>
            <w:vAlign w:val="center"/>
          </w:tcPr>
          <w:p w14:paraId="7905E92D">
            <w:pPr>
              <w:tabs>
                <w:tab w:val="left" w:pos="-315"/>
              </w:tabs>
              <w:spacing w:line="360" w:lineRule="exact"/>
              <w:rPr>
                <w:rFonts w:ascii="宋体" w:hAnsi="宋体" w:eastAsia="宋体" w:cs="Times New Roman"/>
                <w:color w:val="auto"/>
                <w:kern w:val="21"/>
              </w:rPr>
            </w:pPr>
            <w:r>
              <w:rPr>
                <w:rFonts w:ascii="宋体" w:hAnsi="宋体" w:eastAsia="宋体" w:cs="Times New Roman"/>
                <w:color w:val="auto"/>
                <w:kern w:val="21"/>
              </w:rPr>
              <w:t>抗高温，降滤湿剂结构中不能含有一些不抗高温的基团，具有良好的分散性，为微溶分散</w:t>
            </w:r>
          </w:p>
        </w:tc>
        <w:tc>
          <w:tcPr>
            <w:tcW w:w="696" w:type="dxa"/>
            <w:vAlign w:val="center"/>
          </w:tcPr>
          <w:p w14:paraId="72CF5742">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低毒性</w:t>
            </w:r>
          </w:p>
        </w:tc>
      </w:tr>
      <w:tr w14:paraId="543A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7942D974">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6</w:t>
            </w:r>
          </w:p>
        </w:tc>
        <w:tc>
          <w:tcPr>
            <w:tcW w:w="1104" w:type="dxa"/>
            <w:vAlign w:val="center"/>
          </w:tcPr>
          <w:p w14:paraId="149D3DDD">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封堵剂Ⅰ型</w:t>
            </w:r>
          </w:p>
        </w:tc>
        <w:tc>
          <w:tcPr>
            <w:tcW w:w="1283" w:type="dxa"/>
            <w:vAlign w:val="center"/>
          </w:tcPr>
          <w:p w14:paraId="6F5B1189">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HFLK</w:t>
            </w:r>
          </w:p>
        </w:tc>
        <w:tc>
          <w:tcPr>
            <w:tcW w:w="5387" w:type="dxa"/>
            <w:vAlign w:val="center"/>
          </w:tcPr>
          <w:p w14:paraId="13BCB533">
            <w:pPr>
              <w:tabs>
                <w:tab w:val="left" w:pos="-315"/>
              </w:tabs>
              <w:spacing w:line="360" w:lineRule="exact"/>
              <w:rPr>
                <w:rFonts w:ascii="宋体" w:hAnsi="宋体" w:eastAsia="宋体" w:cs="Times New Roman"/>
                <w:color w:val="auto"/>
                <w:kern w:val="21"/>
              </w:rPr>
            </w:pPr>
            <w:r>
              <w:rPr>
                <w:rFonts w:ascii="宋体" w:hAnsi="宋体" w:eastAsia="宋体" w:cs="Times New Roman"/>
                <w:color w:val="auto"/>
                <w:kern w:val="21"/>
              </w:rPr>
              <w:t>改性腐殖酸类，腐殖酸石油生物残骸井微生物分解和复杂化学过程形成的深色、酸性的亲水胶体类有机物，改性腐殖酸有很强的抗温抗盐能力，可以用于深井和超深井钻井，有降滤失、降粘、防塌，封堵等作用</w:t>
            </w:r>
          </w:p>
        </w:tc>
        <w:tc>
          <w:tcPr>
            <w:tcW w:w="696" w:type="dxa"/>
            <w:vAlign w:val="center"/>
          </w:tcPr>
          <w:p w14:paraId="498025E4">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无毒性</w:t>
            </w:r>
          </w:p>
        </w:tc>
      </w:tr>
      <w:tr w14:paraId="0131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61EC10DA">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7</w:t>
            </w:r>
          </w:p>
        </w:tc>
        <w:tc>
          <w:tcPr>
            <w:tcW w:w="1104" w:type="dxa"/>
            <w:vAlign w:val="center"/>
          </w:tcPr>
          <w:p w14:paraId="384F637F">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封堵剂Ⅱ型</w:t>
            </w:r>
          </w:p>
        </w:tc>
        <w:tc>
          <w:tcPr>
            <w:tcW w:w="1283" w:type="dxa"/>
            <w:vAlign w:val="center"/>
          </w:tcPr>
          <w:p w14:paraId="58A8D2FB">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纳米封堵剂</w:t>
            </w:r>
          </w:p>
        </w:tc>
        <w:tc>
          <w:tcPr>
            <w:tcW w:w="5387" w:type="dxa"/>
            <w:vAlign w:val="center"/>
          </w:tcPr>
          <w:p w14:paraId="5FB2CAD6">
            <w:pPr>
              <w:tabs>
                <w:tab w:val="left" w:pos="-315"/>
              </w:tabs>
              <w:spacing w:line="360" w:lineRule="exact"/>
              <w:rPr>
                <w:rFonts w:ascii="宋体" w:hAnsi="宋体" w:eastAsia="宋体" w:cs="Times New Roman"/>
                <w:color w:val="auto"/>
                <w:kern w:val="21"/>
              </w:rPr>
            </w:pPr>
            <w:r>
              <w:rPr>
                <w:rFonts w:ascii="宋体" w:hAnsi="宋体" w:eastAsia="宋体" w:cs="Times New Roman"/>
                <w:color w:val="auto"/>
                <w:kern w:val="21"/>
              </w:rPr>
              <w:t>由一种无机刚性材料或几种有机可变形纳米材料复合而成，其中无机刚性纳米材料具有很好的高温稳定性，能够架桥封堵页岩纳米级空隙，而有机可变形纳米材料可在高温和压差作用下发生任意变形，填充刚性架桥纳米颗粒形成的空隙，最终在岩石表面形成一种膜效率达 58.2%左右的半透膜，阻止滤液的侵入，起到保护井壁的作用</w:t>
            </w:r>
          </w:p>
        </w:tc>
        <w:tc>
          <w:tcPr>
            <w:tcW w:w="696" w:type="dxa"/>
            <w:vAlign w:val="center"/>
          </w:tcPr>
          <w:p w14:paraId="691C63E8">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无毒性</w:t>
            </w:r>
          </w:p>
        </w:tc>
      </w:tr>
      <w:tr w14:paraId="38DB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6B76BB47">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8</w:t>
            </w:r>
          </w:p>
        </w:tc>
        <w:tc>
          <w:tcPr>
            <w:tcW w:w="1104" w:type="dxa"/>
            <w:vAlign w:val="center"/>
          </w:tcPr>
          <w:p w14:paraId="44FB83F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20%CaCl</w:t>
            </w:r>
            <w:r>
              <w:rPr>
                <w:rFonts w:ascii="宋体" w:hAnsi="宋体" w:eastAsia="宋体" w:cs="Times New Roman"/>
                <w:snapToGrid w:val="0"/>
                <w:color w:val="auto"/>
                <w:vertAlign w:val="subscript"/>
              </w:rPr>
              <w:t>2</w:t>
            </w:r>
          </w:p>
        </w:tc>
        <w:tc>
          <w:tcPr>
            <w:tcW w:w="1283" w:type="dxa"/>
            <w:vAlign w:val="center"/>
          </w:tcPr>
          <w:p w14:paraId="000157D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CaCl</w:t>
            </w:r>
            <w:r>
              <w:rPr>
                <w:rFonts w:ascii="宋体" w:hAnsi="宋体" w:eastAsia="宋体" w:cs="Times New Roman"/>
                <w:snapToGrid w:val="0"/>
                <w:color w:val="auto"/>
                <w:vertAlign w:val="subscript"/>
              </w:rPr>
              <w:t>2</w:t>
            </w:r>
          </w:p>
        </w:tc>
        <w:tc>
          <w:tcPr>
            <w:tcW w:w="5387" w:type="dxa"/>
            <w:vAlign w:val="center"/>
          </w:tcPr>
          <w:p w14:paraId="4E93C226">
            <w:pPr>
              <w:spacing w:line="360" w:lineRule="exact"/>
              <w:rPr>
                <w:rFonts w:ascii="宋体" w:hAnsi="宋体" w:eastAsia="宋体" w:cs="Times New Roman"/>
                <w:snapToGrid w:val="0"/>
                <w:color w:val="auto"/>
              </w:rPr>
            </w:pPr>
            <w:r>
              <w:rPr>
                <w:rFonts w:ascii="宋体" w:hAnsi="宋体" w:eastAsia="宋体" w:cs="Times New Roman"/>
                <w:snapToGrid w:val="0"/>
                <w:color w:val="auto"/>
              </w:rPr>
              <w:t>无色立方结晶体，白色或灰白色，有粒状、蜂窝块状、圆球状、不规则颗粒状、粉末状。微毒、无臭、味微苦。吸湿性极强，暴露于空气中极易潮解。易溶于水，同时放出大量的热（氯化钙的溶解焓为-176.2cal/g），其水溶液呈微酸性</w:t>
            </w:r>
          </w:p>
        </w:tc>
        <w:tc>
          <w:tcPr>
            <w:tcW w:w="696" w:type="dxa"/>
            <w:vAlign w:val="center"/>
          </w:tcPr>
          <w:p w14:paraId="158C0CF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轻微毒性</w:t>
            </w:r>
          </w:p>
        </w:tc>
      </w:tr>
      <w:tr w14:paraId="1E39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49131DC9">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9</w:t>
            </w:r>
          </w:p>
        </w:tc>
        <w:tc>
          <w:tcPr>
            <w:tcW w:w="1104" w:type="dxa"/>
            <w:vAlign w:val="center"/>
          </w:tcPr>
          <w:p w14:paraId="7D6A7977">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CaO</w:t>
            </w:r>
          </w:p>
        </w:tc>
        <w:tc>
          <w:tcPr>
            <w:tcW w:w="1283" w:type="dxa"/>
            <w:vAlign w:val="center"/>
          </w:tcPr>
          <w:p w14:paraId="78C2B513">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CaO</w:t>
            </w:r>
          </w:p>
        </w:tc>
        <w:tc>
          <w:tcPr>
            <w:tcW w:w="5387" w:type="dxa"/>
            <w:vAlign w:val="center"/>
          </w:tcPr>
          <w:p w14:paraId="60A99B01">
            <w:pPr>
              <w:spacing w:line="360" w:lineRule="exact"/>
              <w:rPr>
                <w:rFonts w:ascii="宋体" w:hAnsi="宋体" w:eastAsia="宋体" w:cs="Times New Roman"/>
                <w:snapToGrid w:val="0"/>
                <w:color w:val="auto"/>
              </w:rPr>
            </w:pPr>
            <w:r>
              <w:rPr>
                <w:rFonts w:ascii="宋体" w:hAnsi="宋体" w:eastAsia="宋体" w:cs="Times New Roman"/>
                <w:snapToGrid w:val="0"/>
                <w:color w:val="auto"/>
              </w:rPr>
              <w:t>白色或带灰色块状或颗粒，溶于酸类、甘油和蔗糖溶液，几乎不溶于乙醇。相对密度3.32～3.35。熔点2572℃。沸点2850℃。折光率1.838。氧化钙为碱性氧化物，对湿敏感。易从空气中吸收二氧化碳及水分。与水反应生成氢氧化钙（Ca（OH）</w:t>
            </w:r>
            <w:r>
              <w:rPr>
                <w:rFonts w:ascii="宋体" w:hAnsi="宋体" w:eastAsia="宋体" w:cs="Times New Roman"/>
                <w:snapToGrid w:val="0"/>
                <w:color w:val="auto"/>
                <w:vertAlign w:val="subscript"/>
              </w:rPr>
              <w:t>2</w:t>
            </w:r>
            <w:r>
              <w:rPr>
                <w:rFonts w:ascii="宋体" w:hAnsi="宋体" w:eastAsia="宋体" w:cs="Times New Roman"/>
                <w:snapToGrid w:val="0"/>
                <w:color w:val="auto"/>
              </w:rPr>
              <w:t>）并产生大量热</w:t>
            </w:r>
          </w:p>
        </w:tc>
        <w:tc>
          <w:tcPr>
            <w:tcW w:w="696" w:type="dxa"/>
            <w:vAlign w:val="center"/>
          </w:tcPr>
          <w:p w14:paraId="65AC4E0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无毒性</w:t>
            </w:r>
          </w:p>
        </w:tc>
      </w:tr>
      <w:tr w14:paraId="08D2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17FD8274">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10</w:t>
            </w:r>
          </w:p>
        </w:tc>
        <w:tc>
          <w:tcPr>
            <w:tcW w:w="1104" w:type="dxa"/>
            <w:vAlign w:val="center"/>
          </w:tcPr>
          <w:p w14:paraId="7382645E">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超细碳酸钙</w:t>
            </w:r>
          </w:p>
        </w:tc>
        <w:tc>
          <w:tcPr>
            <w:tcW w:w="1283" w:type="dxa"/>
            <w:vAlign w:val="center"/>
          </w:tcPr>
          <w:p w14:paraId="6C516E3F">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CaCO</w:t>
            </w:r>
            <w:r>
              <w:rPr>
                <w:rFonts w:ascii="宋体" w:hAnsi="宋体" w:eastAsia="宋体" w:cs="Times New Roman"/>
                <w:color w:val="auto"/>
                <w:kern w:val="21"/>
                <w:vertAlign w:val="subscript"/>
              </w:rPr>
              <w:t>3</w:t>
            </w:r>
          </w:p>
        </w:tc>
        <w:tc>
          <w:tcPr>
            <w:tcW w:w="5387" w:type="dxa"/>
            <w:vAlign w:val="center"/>
          </w:tcPr>
          <w:p w14:paraId="0AFF49B9">
            <w:pPr>
              <w:tabs>
                <w:tab w:val="left" w:pos="-315"/>
              </w:tabs>
              <w:spacing w:line="360" w:lineRule="exact"/>
              <w:rPr>
                <w:rFonts w:ascii="宋体" w:hAnsi="宋体" w:eastAsia="宋体" w:cs="Times New Roman"/>
                <w:color w:val="auto"/>
                <w:kern w:val="21"/>
              </w:rPr>
            </w:pPr>
            <w:r>
              <w:rPr>
                <w:rFonts w:ascii="宋体" w:hAnsi="宋体" w:eastAsia="宋体" w:cs="Times New Roman"/>
                <w:color w:val="auto"/>
                <w:kern w:val="21"/>
              </w:rPr>
              <w:t>白色固体状，无味、无臭。有无定形和结晶两种形态。结晶型中又可分为斜方晶系和六方晶系，呈柱状或菱形。相对密度2.93。825～896.6℃分解，在约 825℃时分解为氧化钙和二氧化碳。熔点 1339℃，10.7MPa 下熔点为 1289℃。难溶于水和醇。与稀酸反应，同时放出二氧化碳，呈放热反应。也溶于氯化铵溶液。几乎不溶于水</w:t>
            </w:r>
          </w:p>
        </w:tc>
        <w:tc>
          <w:tcPr>
            <w:tcW w:w="696" w:type="dxa"/>
            <w:vAlign w:val="center"/>
          </w:tcPr>
          <w:p w14:paraId="7EBBE1CB">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无毒性</w:t>
            </w:r>
          </w:p>
        </w:tc>
      </w:tr>
      <w:tr w14:paraId="43B2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dxa"/>
            <w:vAlign w:val="center"/>
          </w:tcPr>
          <w:p w14:paraId="0314D19C">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11</w:t>
            </w:r>
          </w:p>
        </w:tc>
        <w:tc>
          <w:tcPr>
            <w:tcW w:w="1104" w:type="dxa"/>
            <w:vAlign w:val="center"/>
          </w:tcPr>
          <w:p w14:paraId="50BA00C6">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重晶石粉</w:t>
            </w:r>
          </w:p>
        </w:tc>
        <w:tc>
          <w:tcPr>
            <w:tcW w:w="1283" w:type="dxa"/>
            <w:vAlign w:val="center"/>
          </w:tcPr>
          <w:p w14:paraId="0ABC8121">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BaSO</w:t>
            </w:r>
            <w:r>
              <w:rPr>
                <w:rFonts w:ascii="宋体" w:hAnsi="宋体" w:eastAsia="宋体" w:cs="Times New Roman"/>
                <w:color w:val="auto"/>
                <w:kern w:val="21"/>
                <w:vertAlign w:val="subscript"/>
              </w:rPr>
              <w:t>4</w:t>
            </w:r>
          </w:p>
        </w:tc>
        <w:tc>
          <w:tcPr>
            <w:tcW w:w="5387" w:type="dxa"/>
            <w:vAlign w:val="center"/>
          </w:tcPr>
          <w:p w14:paraId="7CB28742">
            <w:pPr>
              <w:tabs>
                <w:tab w:val="left" w:pos="-315"/>
              </w:tabs>
              <w:spacing w:line="360" w:lineRule="exact"/>
              <w:rPr>
                <w:rFonts w:ascii="宋体" w:hAnsi="宋体" w:eastAsia="宋体" w:cs="Times New Roman"/>
                <w:color w:val="auto"/>
                <w:kern w:val="21"/>
              </w:rPr>
            </w:pPr>
            <w:r>
              <w:rPr>
                <w:rFonts w:ascii="宋体" w:hAnsi="宋体" w:eastAsia="宋体" w:cs="Times New Roman"/>
                <w:color w:val="auto"/>
                <w:kern w:val="21"/>
              </w:rPr>
              <w:t>纯品为白色粉末，如含有杂质多为灰绿化。相对密度4.3-4.6，不溶于水。钻井加重剂，增加钻井泥浆的密度</w:t>
            </w:r>
          </w:p>
        </w:tc>
        <w:tc>
          <w:tcPr>
            <w:tcW w:w="696" w:type="dxa"/>
            <w:vAlign w:val="center"/>
          </w:tcPr>
          <w:p w14:paraId="67FBD8A0">
            <w:pPr>
              <w:tabs>
                <w:tab w:val="left" w:pos="-315"/>
              </w:tabs>
              <w:spacing w:line="360" w:lineRule="exact"/>
              <w:jc w:val="center"/>
              <w:rPr>
                <w:rFonts w:ascii="宋体" w:hAnsi="宋体" w:eastAsia="宋体" w:cs="Times New Roman"/>
                <w:color w:val="auto"/>
                <w:kern w:val="21"/>
              </w:rPr>
            </w:pPr>
            <w:r>
              <w:rPr>
                <w:rFonts w:ascii="宋体" w:hAnsi="宋体" w:eastAsia="宋体" w:cs="Times New Roman"/>
                <w:color w:val="auto"/>
                <w:kern w:val="21"/>
              </w:rPr>
              <w:t>轻微毒性</w:t>
            </w:r>
          </w:p>
        </w:tc>
      </w:tr>
    </w:tbl>
    <w:p w14:paraId="2AC58CA5">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钻进</w:t>
      </w:r>
      <w:bookmarkEnd w:id="635"/>
      <w:bookmarkEnd w:id="636"/>
      <w:bookmarkEnd w:id="637"/>
      <w:bookmarkEnd w:id="638"/>
    </w:p>
    <w:p w14:paraId="77B15E3E">
      <w:pPr>
        <w:pStyle w:val="276"/>
        <w:widowControl w:val="0"/>
        <w:spacing w:line="440" w:lineRule="exact"/>
        <w:ind w:firstLine="480"/>
        <w:jc w:val="both"/>
        <w:rPr>
          <w:color w:val="auto"/>
          <w:kern w:val="21"/>
        </w:rPr>
      </w:pPr>
      <w:r>
        <w:rPr>
          <w:color w:val="auto"/>
          <w:kern w:val="21"/>
        </w:rPr>
        <w:t>钻进主要是利用钻头高效率地破碎岩石，</w:t>
      </w:r>
      <w:r>
        <w:rPr>
          <w:snapToGrid w:val="0"/>
          <w:color w:val="auto"/>
        </w:rPr>
        <w:t>钻进</w:t>
      </w:r>
      <w:r>
        <w:rPr>
          <w:color w:val="auto"/>
          <w:kern w:val="21"/>
        </w:rPr>
        <w:t>过程中通过循环的钻井泥浆将岩屑带出，施工过程中需时刻注意钻井泥浆的各项指标，以满足钻井需求。</w:t>
      </w:r>
    </w:p>
    <w:p w14:paraId="6A797B9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643" w:name="_Toc67523592"/>
      <w:bookmarkStart w:id="644" w:name="_Toc71371943"/>
      <w:bookmarkStart w:id="645" w:name="_Toc69690810"/>
      <w:bookmarkStart w:id="646" w:name="_Toc74812314"/>
      <w:r>
        <w:rPr>
          <w:rFonts w:ascii="宋体" w:hAnsi="宋体" w:eastAsia="宋体" w:cs="Times New Roman"/>
          <w:b/>
          <w:bCs/>
          <w:color w:val="auto"/>
          <w:szCs w:val="28"/>
        </w:rPr>
        <w:t>井控</w:t>
      </w:r>
      <w:bookmarkEnd w:id="643"/>
      <w:bookmarkEnd w:id="644"/>
      <w:bookmarkEnd w:id="645"/>
      <w:bookmarkEnd w:id="646"/>
    </w:p>
    <w:p w14:paraId="51872E7D">
      <w:pPr>
        <w:pStyle w:val="276"/>
        <w:widowControl w:val="0"/>
        <w:spacing w:line="440" w:lineRule="exact"/>
        <w:ind w:firstLine="480"/>
        <w:jc w:val="both"/>
        <w:rPr>
          <w:color w:val="auto"/>
          <w:kern w:val="21"/>
        </w:rPr>
      </w:pPr>
      <w:r>
        <w:rPr>
          <w:color w:val="auto"/>
          <w:kern w:val="21"/>
        </w:rPr>
        <w:t>为防止井喷事故发生，钻井施工单位做好HSE应急预案，采取必要的井控措施，预防或避免井喷事故造成环境污染。</w:t>
      </w:r>
    </w:p>
    <w:p w14:paraId="4A0F5B0F">
      <w:pPr>
        <w:pStyle w:val="276"/>
        <w:widowControl w:val="0"/>
        <w:spacing w:line="440" w:lineRule="exact"/>
        <w:ind w:firstLine="480"/>
        <w:jc w:val="both"/>
        <w:rPr>
          <w:color w:val="auto"/>
          <w:kern w:val="21"/>
        </w:rPr>
      </w:pPr>
      <w:r>
        <w:rPr>
          <w:color w:val="auto"/>
          <w:kern w:val="21"/>
        </w:rPr>
        <w:t>（1）一开井口装置</w:t>
      </w:r>
    </w:p>
    <w:p w14:paraId="4A252CA2">
      <w:pPr>
        <w:pStyle w:val="276"/>
        <w:widowControl w:val="0"/>
        <w:spacing w:line="440" w:lineRule="exact"/>
        <w:ind w:firstLine="480"/>
        <w:jc w:val="both"/>
        <w:rPr>
          <w:color w:val="auto"/>
          <w:kern w:val="21"/>
        </w:rPr>
      </w:pPr>
      <w:r>
        <w:rPr>
          <w:color w:val="auto"/>
          <w:kern w:val="21"/>
        </w:rPr>
        <w:t>井口导管深度3m～5m，导管</w:t>
      </w:r>
      <w:r>
        <w:rPr>
          <w:snapToGrid w:val="0"/>
          <w:color w:val="auto"/>
        </w:rPr>
        <w:t>中心</w:t>
      </w:r>
      <w:r>
        <w:rPr>
          <w:color w:val="auto"/>
          <w:kern w:val="21"/>
        </w:rPr>
        <w:t>与转盘中心偏差不大于20mm，倾斜度小于0.5°。一开井口装置设计见</w:t>
      </w:r>
      <w:r>
        <w:rPr>
          <w:color w:val="auto"/>
          <w:kern w:val="21"/>
        </w:rPr>
        <w:fldChar w:fldCharType="begin"/>
      </w:r>
      <w:r>
        <w:rPr>
          <w:color w:val="auto"/>
          <w:kern w:val="21"/>
        </w:rPr>
        <w:instrText xml:space="preserve"> REF _Ref211958862 \h  \* MERGEFORMAT </w:instrText>
      </w:r>
      <w:r>
        <w:rPr>
          <w:color w:val="auto"/>
          <w:kern w:val="21"/>
        </w:rPr>
        <w:fldChar w:fldCharType="separate"/>
      </w:r>
      <w:r>
        <w:rPr>
          <w:rFonts w:hint="eastAsia"/>
          <w:color w:val="auto"/>
        </w:rPr>
        <w:t xml:space="preserve">图 </w:t>
      </w:r>
      <w:r>
        <w:rPr>
          <w:color w:val="auto"/>
        </w:rPr>
        <w:t>3.6</w:t>
      </w:r>
      <w:r>
        <w:rPr>
          <w:color w:val="auto"/>
        </w:rPr>
        <w:noBreakHyphen/>
      </w:r>
      <w:r>
        <w:rPr>
          <w:color w:val="auto"/>
        </w:rPr>
        <w:t>3</w:t>
      </w:r>
      <w:r>
        <w:rPr>
          <w:color w:val="auto"/>
          <w:kern w:val="21"/>
        </w:rPr>
        <w:fldChar w:fldCharType="end"/>
      </w:r>
      <w:r>
        <w:rPr>
          <w:color w:val="auto"/>
          <w:kern w:val="21"/>
        </w:rPr>
        <w:t>。</w:t>
      </w:r>
    </w:p>
    <w:p w14:paraId="0F2E290F">
      <w:pPr>
        <w:adjustRightInd w:val="0"/>
        <w:snapToGrid w:val="0"/>
        <w:jc w:val="center"/>
        <w:rPr>
          <w:rFonts w:ascii="宋体" w:hAnsi="宋体" w:eastAsia="宋体" w:cs="Times New Roman"/>
          <w:color w:val="auto"/>
          <w:szCs w:val="22"/>
        </w:rPr>
      </w:pPr>
      <w:r>
        <w:rPr>
          <w:rFonts w:ascii="宋体" w:hAnsi="宋体" w:eastAsia="宋体" w:cs="Times New Roman"/>
          <w:color w:val="auto"/>
          <w:szCs w:val="22"/>
        </w:rPr>
        <w:drawing>
          <wp:inline distT="0" distB="0" distL="0" distR="0">
            <wp:extent cx="3552825" cy="2420620"/>
            <wp:effectExtent l="0" t="0" r="9525" b="17780"/>
            <wp:docPr id="50523514" name="图片 5052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14" name="图片 50523514"/>
                    <pic:cNvPicPr>
                      <a:picLocks noChangeAspect="1"/>
                    </pic:cNvPicPr>
                  </pic:nvPicPr>
                  <pic:blipFill>
                    <a:blip r:embed="rId30"/>
                    <a:stretch>
                      <a:fillRect/>
                    </a:stretch>
                  </pic:blipFill>
                  <pic:spPr>
                    <a:xfrm>
                      <a:off x="0" y="0"/>
                      <a:ext cx="3577382" cy="2420620"/>
                    </a:xfrm>
                    <a:prstGeom prst="rect">
                      <a:avLst/>
                    </a:prstGeom>
                  </pic:spPr>
                </pic:pic>
              </a:graphicData>
            </a:graphic>
          </wp:inline>
        </w:drawing>
      </w:r>
    </w:p>
    <w:p w14:paraId="78E9CEA1">
      <w:pPr>
        <w:pStyle w:val="22"/>
        <w:spacing w:before="156"/>
        <w:rPr>
          <w:rFonts w:hAnsi="宋体" w:cs="Times New Roman"/>
          <w:color w:val="auto"/>
          <w:kern w:val="21"/>
        </w:rPr>
      </w:pPr>
      <w:bookmarkStart w:id="647" w:name="_Ref211958862"/>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3</w:t>
      </w:r>
      <w:r>
        <w:rPr>
          <w:color w:val="auto"/>
        </w:rPr>
        <w:fldChar w:fldCharType="end"/>
      </w:r>
      <w:bookmarkEnd w:id="647"/>
      <w:r>
        <w:rPr>
          <w:color w:val="auto"/>
        </w:rPr>
        <w:t xml:space="preserve">  一开井口装置设计示意图</w:t>
      </w:r>
    </w:p>
    <w:p w14:paraId="3CA900CE">
      <w:pPr>
        <w:pStyle w:val="276"/>
        <w:widowControl w:val="0"/>
        <w:spacing w:line="440" w:lineRule="exact"/>
        <w:ind w:firstLine="480"/>
        <w:jc w:val="both"/>
        <w:rPr>
          <w:color w:val="auto"/>
          <w:kern w:val="21"/>
        </w:rPr>
      </w:pPr>
      <w:r>
        <w:rPr>
          <w:color w:val="auto"/>
          <w:kern w:val="21"/>
        </w:rPr>
        <w:t>（2）二开井口装置</w:t>
      </w:r>
    </w:p>
    <w:p w14:paraId="3A90C4AA">
      <w:pPr>
        <w:pStyle w:val="276"/>
        <w:widowControl w:val="0"/>
        <w:spacing w:line="440" w:lineRule="exact"/>
        <w:ind w:firstLine="480"/>
        <w:jc w:val="both"/>
        <w:rPr>
          <w:color w:val="auto"/>
          <w:kern w:val="21"/>
        </w:rPr>
      </w:pPr>
      <w:r>
        <w:rPr>
          <w:color w:val="auto"/>
          <w:kern w:val="21"/>
        </w:rPr>
        <w:t>二开井口装置示意图设计见</w:t>
      </w:r>
      <w:r>
        <w:rPr>
          <w:color w:val="auto"/>
          <w:kern w:val="21"/>
        </w:rPr>
        <w:fldChar w:fldCharType="begin"/>
      </w:r>
      <w:r>
        <w:rPr>
          <w:color w:val="auto"/>
          <w:kern w:val="21"/>
        </w:rPr>
        <w:instrText xml:space="preserve"> REF _Ref211958865 \h  \* MERGEFORMAT </w:instrText>
      </w:r>
      <w:r>
        <w:rPr>
          <w:color w:val="auto"/>
          <w:kern w:val="21"/>
        </w:rPr>
        <w:fldChar w:fldCharType="separate"/>
      </w:r>
      <w:r>
        <w:rPr>
          <w:rFonts w:hint="eastAsia"/>
          <w:color w:val="auto"/>
        </w:rPr>
        <w:t xml:space="preserve">图 </w:t>
      </w:r>
      <w:r>
        <w:rPr>
          <w:color w:val="auto"/>
        </w:rPr>
        <w:t>3.6</w:t>
      </w:r>
      <w:r>
        <w:rPr>
          <w:color w:val="auto"/>
        </w:rPr>
        <w:noBreakHyphen/>
      </w:r>
      <w:r>
        <w:rPr>
          <w:color w:val="auto"/>
        </w:rPr>
        <w:t>4</w:t>
      </w:r>
      <w:r>
        <w:rPr>
          <w:color w:val="auto"/>
          <w:kern w:val="21"/>
        </w:rPr>
        <w:fldChar w:fldCharType="end"/>
      </w:r>
      <w:r>
        <w:rPr>
          <w:color w:val="auto"/>
          <w:kern w:val="21"/>
        </w:rPr>
        <w:t>。</w:t>
      </w:r>
    </w:p>
    <w:p w14:paraId="5ED581D3">
      <w:pPr>
        <w:jc w:val="center"/>
        <w:rPr>
          <w:rFonts w:ascii="宋体" w:hAnsi="宋体" w:eastAsia="宋体" w:cs="Times New Roman"/>
          <w:color w:val="auto"/>
          <w:kern w:val="21"/>
        </w:rPr>
      </w:pPr>
      <w:r>
        <w:rPr>
          <w:rFonts w:ascii="宋体" w:hAnsi="宋体" w:eastAsia="宋体" w:cs="Times New Roman"/>
          <w:color w:val="auto"/>
        </w:rPr>
        <w:drawing>
          <wp:inline distT="0" distB="0" distL="114300" distR="114300">
            <wp:extent cx="3110865" cy="3477895"/>
            <wp:effectExtent l="0" t="0" r="13335" b="8255"/>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31"/>
                    <a:stretch>
                      <a:fillRect/>
                    </a:stretch>
                  </pic:blipFill>
                  <pic:spPr>
                    <a:xfrm>
                      <a:off x="0" y="0"/>
                      <a:ext cx="3110865" cy="3477895"/>
                    </a:xfrm>
                    <a:prstGeom prst="rect">
                      <a:avLst/>
                    </a:prstGeom>
                    <a:noFill/>
                    <a:ln>
                      <a:noFill/>
                    </a:ln>
                  </pic:spPr>
                </pic:pic>
              </a:graphicData>
            </a:graphic>
          </wp:inline>
        </w:drawing>
      </w:r>
    </w:p>
    <w:p w14:paraId="3FE27436">
      <w:pPr>
        <w:pStyle w:val="22"/>
        <w:spacing w:before="156"/>
        <w:rPr>
          <w:rFonts w:hAnsi="宋体" w:cs="Times New Roman"/>
          <w:color w:val="auto"/>
          <w:kern w:val="21"/>
        </w:rPr>
      </w:pPr>
      <w:bookmarkStart w:id="648" w:name="_Ref211958865"/>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4</w:t>
      </w:r>
      <w:r>
        <w:rPr>
          <w:color w:val="auto"/>
        </w:rPr>
        <w:fldChar w:fldCharType="end"/>
      </w:r>
      <w:bookmarkEnd w:id="648"/>
      <w:r>
        <w:rPr>
          <w:color w:val="auto"/>
        </w:rPr>
        <w:t>二开井口装置示意图</w:t>
      </w:r>
    </w:p>
    <w:p w14:paraId="6D911F6B">
      <w:pPr>
        <w:pStyle w:val="276"/>
        <w:widowControl w:val="0"/>
        <w:spacing w:line="440" w:lineRule="exact"/>
        <w:ind w:firstLine="480"/>
        <w:jc w:val="both"/>
        <w:rPr>
          <w:color w:val="auto"/>
          <w:kern w:val="21"/>
        </w:rPr>
      </w:pPr>
      <w:r>
        <w:rPr>
          <w:color w:val="auto"/>
          <w:kern w:val="21"/>
        </w:rPr>
        <w:t>（3）二开节流及压井管汇</w:t>
      </w:r>
    </w:p>
    <w:p w14:paraId="736F49F9">
      <w:pPr>
        <w:pStyle w:val="276"/>
        <w:widowControl w:val="0"/>
        <w:spacing w:line="440" w:lineRule="exact"/>
        <w:ind w:firstLine="480"/>
        <w:jc w:val="both"/>
        <w:rPr>
          <w:color w:val="auto"/>
          <w:kern w:val="21"/>
        </w:rPr>
      </w:pPr>
      <w:r>
        <w:rPr>
          <w:color w:val="auto"/>
          <w:kern w:val="21"/>
        </w:rPr>
        <w:t>节流管汇及压井管汇示意图见</w:t>
      </w:r>
      <w:r>
        <w:rPr>
          <w:color w:val="auto"/>
          <w:kern w:val="21"/>
        </w:rPr>
        <w:fldChar w:fldCharType="begin"/>
      </w:r>
      <w:r>
        <w:rPr>
          <w:color w:val="auto"/>
          <w:kern w:val="21"/>
        </w:rPr>
        <w:instrText xml:space="preserve"> REF _Ref211958873 \h  \* MERGEFORMAT </w:instrText>
      </w:r>
      <w:r>
        <w:rPr>
          <w:color w:val="auto"/>
          <w:kern w:val="21"/>
        </w:rPr>
        <w:fldChar w:fldCharType="separate"/>
      </w:r>
      <w:r>
        <w:rPr>
          <w:rFonts w:hint="eastAsia"/>
          <w:color w:val="auto"/>
        </w:rPr>
        <w:t xml:space="preserve">图 </w:t>
      </w:r>
      <w:r>
        <w:rPr>
          <w:color w:val="auto"/>
        </w:rPr>
        <w:t>3.6</w:t>
      </w:r>
      <w:r>
        <w:rPr>
          <w:color w:val="auto"/>
        </w:rPr>
        <w:noBreakHyphen/>
      </w:r>
      <w:r>
        <w:rPr>
          <w:color w:val="auto"/>
        </w:rPr>
        <w:t>5</w:t>
      </w:r>
      <w:r>
        <w:rPr>
          <w:color w:val="auto"/>
          <w:kern w:val="21"/>
        </w:rPr>
        <w:fldChar w:fldCharType="end"/>
      </w:r>
      <w:r>
        <w:rPr>
          <w:color w:val="auto"/>
          <w:kern w:val="21"/>
        </w:rPr>
        <w:t>。</w:t>
      </w:r>
    </w:p>
    <w:p w14:paraId="0F75CA46">
      <w:pPr>
        <w:snapToGrid w:val="0"/>
        <w:jc w:val="center"/>
        <w:rPr>
          <w:rFonts w:ascii="宋体" w:hAnsi="宋体" w:eastAsia="宋体" w:cs="Times New Roman"/>
          <w:color w:val="auto"/>
          <w:kern w:val="21"/>
        </w:rPr>
      </w:pPr>
      <w:r>
        <w:rPr>
          <w:rFonts w:ascii="宋体" w:hAnsi="宋体" w:eastAsia="宋体" w:cs="Times New Roman"/>
          <w:color w:val="auto"/>
        </w:rPr>
        <w:drawing>
          <wp:inline distT="0" distB="0" distL="114300" distR="114300">
            <wp:extent cx="5709920" cy="2813050"/>
            <wp:effectExtent l="0" t="0" r="5080" b="635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32"/>
                    <a:stretch>
                      <a:fillRect/>
                    </a:stretch>
                  </pic:blipFill>
                  <pic:spPr>
                    <a:xfrm>
                      <a:off x="0" y="0"/>
                      <a:ext cx="5709920" cy="2813050"/>
                    </a:xfrm>
                    <a:prstGeom prst="rect">
                      <a:avLst/>
                    </a:prstGeom>
                    <a:noFill/>
                    <a:ln>
                      <a:noFill/>
                    </a:ln>
                  </pic:spPr>
                </pic:pic>
              </a:graphicData>
            </a:graphic>
          </wp:inline>
        </w:drawing>
      </w:r>
    </w:p>
    <w:p w14:paraId="34DD99CD">
      <w:pPr>
        <w:pStyle w:val="22"/>
        <w:spacing w:before="156"/>
        <w:rPr>
          <w:rFonts w:hAnsi="宋体" w:cs="Times New Roman"/>
          <w:color w:val="auto"/>
          <w:kern w:val="21"/>
        </w:rPr>
      </w:pPr>
      <w:bookmarkStart w:id="649" w:name="_Ref211958873"/>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5</w:t>
      </w:r>
      <w:r>
        <w:rPr>
          <w:color w:val="auto"/>
        </w:rPr>
        <w:fldChar w:fldCharType="end"/>
      </w:r>
      <w:bookmarkEnd w:id="649"/>
      <w:r>
        <w:rPr>
          <w:color w:val="auto"/>
        </w:rPr>
        <w:t>节流管汇及压井管汇示意图</w:t>
      </w:r>
    </w:p>
    <w:p w14:paraId="3462140E">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650" w:name="_Toc74812315"/>
      <w:bookmarkStart w:id="651" w:name="_Toc69690811"/>
      <w:bookmarkStart w:id="652" w:name="_Toc71371944"/>
      <w:bookmarkStart w:id="653" w:name="_Toc67523593"/>
      <w:r>
        <w:rPr>
          <w:rFonts w:ascii="宋体" w:hAnsi="宋体" w:eastAsia="宋体" w:cs="Times New Roman"/>
          <w:b/>
          <w:bCs/>
          <w:color w:val="auto"/>
          <w:szCs w:val="28"/>
        </w:rPr>
        <w:t>录井</w:t>
      </w:r>
      <w:bookmarkEnd w:id="650"/>
      <w:bookmarkEnd w:id="651"/>
      <w:bookmarkEnd w:id="652"/>
      <w:bookmarkEnd w:id="653"/>
    </w:p>
    <w:p w14:paraId="31A83AF9">
      <w:pPr>
        <w:pStyle w:val="276"/>
        <w:widowControl w:val="0"/>
        <w:spacing w:line="440" w:lineRule="exact"/>
        <w:ind w:firstLine="480"/>
        <w:jc w:val="both"/>
        <w:rPr>
          <w:color w:val="auto"/>
          <w:kern w:val="21"/>
        </w:rPr>
      </w:pPr>
      <w:r>
        <w:rPr>
          <w:color w:val="auto"/>
          <w:kern w:val="21"/>
        </w:rPr>
        <w:t>（1）钻井参数录取</w:t>
      </w:r>
    </w:p>
    <w:p w14:paraId="1DEB2CCA">
      <w:pPr>
        <w:pStyle w:val="276"/>
        <w:widowControl w:val="0"/>
        <w:spacing w:line="440" w:lineRule="exact"/>
        <w:ind w:firstLine="480"/>
        <w:jc w:val="both"/>
        <w:rPr>
          <w:color w:val="auto"/>
          <w:kern w:val="21"/>
        </w:rPr>
      </w:pPr>
      <w:r>
        <w:rPr>
          <w:color w:val="auto"/>
          <w:kern w:val="21"/>
        </w:rPr>
        <w:t>水平井钻进过程中，要求采用SK-2000型综合录井仪执行综合录井。钻井参数悬重、钻压、转数、排量、泵压等钻开油气层前1h测量1次，钻开油气层后0.5h测量1次，如有异常情况加密测量。</w:t>
      </w:r>
    </w:p>
    <w:p w14:paraId="6221FC0D">
      <w:pPr>
        <w:pStyle w:val="276"/>
        <w:widowControl w:val="0"/>
        <w:spacing w:line="440" w:lineRule="exact"/>
        <w:ind w:firstLine="480"/>
        <w:jc w:val="both"/>
        <w:rPr>
          <w:color w:val="auto"/>
          <w:kern w:val="21"/>
        </w:rPr>
      </w:pPr>
      <w:r>
        <w:rPr>
          <w:color w:val="auto"/>
          <w:kern w:val="21"/>
        </w:rPr>
        <w:t>（2）钻井液参数录取</w:t>
      </w:r>
    </w:p>
    <w:p w14:paraId="4CCF612E">
      <w:pPr>
        <w:pStyle w:val="276"/>
        <w:widowControl w:val="0"/>
        <w:spacing w:line="440" w:lineRule="exact"/>
        <w:ind w:firstLine="480"/>
        <w:jc w:val="both"/>
        <w:rPr>
          <w:color w:val="auto"/>
          <w:kern w:val="21"/>
        </w:rPr>
      </w:pPr>
      <w:r>
        <w:rPr>
          <w:color w:val="auto"/>
          <w:kern w:val="21"/>
        </w:rPr>
        <w:t>高三以上50m开始录井，每2m录取一个采样点；高三以上10m-水平段每1m录取一个采样点，录准层位，可根据现场情况适当加减取样间隔。每间隔1h测量1次钻井液密度、粘度，每间隔8h测量1次钻井液全套性能；钻开</w:t>
      </w:r>
      <w:r>
        <w:rPr>
          <w:snapToGrid w:val="0"/>
          <w:color w:val="auto"/>
        </w:rPr>
        <w:t>油层</w:t>
      </w:r>
      <w:r>
        <w:rPr>
          <w:color w:val="auto"/>
          <w:kern w:val="21"/>
        </w:rPr>
        <w:t>后，每间隔0.5h测量1次钻井液密度、粘度，每间隔4h测量1次钻井液全套性能和钻井液电阻率；固井前测钻井液密度、粘度、切力、失水，并做好记录。循环过程中每间隔0.5h观察1次钻井液池液面高度、钻井液性能变化，以及是否含有气泡、油气侵等异常情况，如有异常加密测量钻井液密度、粘度，并进行相应处理。</w:t>
      </w:r>
    </w:p>
    <w:p w14:paraId="4ACFEF1D">
      <w:pPr>
        <w:pStyle w:val="276"/>
        <w:widowControl w:val="0"/>
        <w:spacing w:line="440" w:lineRule="exact"/>
        <w:ind w:firstLine="480"/>
        <w:jc w:val="both"/>
        <w:rPr>
          <w:color w:val="auto"/>
          <w:kern w:val="21"/>
        </w:rPr>
      </w:pPr>
      <w:r>
        <w:rPr>
          <w:color w:val="auto"/>
          <w:kern w:val="21"/>
        </w:rPr>
        <w:t>（3）钻井液参数</w:t>
      </w:r>
    </w:p>
    <w:p w14:paraId="2614F75D">
      <w:pPr>
        <w:pStyle w:val="276"/>
        <w:widowControl w:val="0"/>
        <w:spacing w:line="440" w:lineRule="exact"/>
        <w:ind w:firstLine="480"/>
        <w:jc w:val="both"/>
        <w:rPr>
          <w:color w:val="auto"/>
          <w:kern w:val="21"/>
        </w:rPr>
      </w:pPr>
      <w:r>
        <w:rPr>
          <w:color w:val="auto"/>
          <w:kern w:val="21"/>
        </w:rPr>
        <w:t>录井项目要求：流量、体积、温度、密度、电导率。</w:t>
      </w:r>
    </w:p>
    <w:p w14:paraId="0D627DB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654" w:name="_Toc61597222"/>
      <w:bookmarkStart w:id="655" w:name="_Toc74812316"/>
      <w:bookmarkStart w:id="656" w:name="_Toc69690812"/>
      <w:bookmarkStart w:id="657" w:name="_Toc67523594"/>
      <w:bookmarkStart w:id="658" w:name="_Toc71371945"/>
      <w:r>
        <w:rPr>
          <w:rFonts w:ascii="宋体" w:hAnsi="宋体" w:eastAsia="宋体" w:cs="Times New Roman"/>
          <w:b/>
          <w:bCs/>
          <w:color w:val="auto"/>
          <w:szCs w:val="28"/>
        </w:rPr>
        <w:t>测井</w:t>
      </w:r>
      <w:bookmarkEnd w:id="654"/>
      <w:bookmarkEnd w:id="655"/>
      <w:bookmarkEnd w:id="656"/>
      <w:bookmarkEnd w:id="657"/>
      <w:bookmarkEnd w:id="658"/>
    </w:p>
    <w:p w14:paraId="167E4BB3">
      <w:pPr>
        <w:pStyle w:val="276"/>
        <w:widowControl w:val="0"/>
        <w:ind w:firstLine="480"/>
        <w:jc w:val="both"/>
        <w:rPr>
          <w:color w:val="auto"/>
          <w:kern w:val="21"/>
        </w:rPr>
      </w:pPr>
      <w:r>
        <w:rPr>
          <w:color w:val="auto"/>
          <w:kern w:val="21"/>
        </w:rPr>
        <w:t>测井配备专门的测井队，测井方式为电测井，电测井井控要求主要为：</w:t>
      </w:r>
    </w:p>
    <w:p w14:paraId="062AC090">
      <w:pPr>
        <w:pStyle w:val="276"/>
        <w:widowControl w:val="0"/>
        <w:ind w:firstLine="480"/>
        <w:jc w:val="both"/>
        <w:rPr>
          <w:color w:val="auto"/>
          <w:kern w:val="21"/>
        </w:rPr>
      </w:pPr>
      <w:r>
        <w:rPr>
          <w:color w:val="auto"/>
          <w:kern w:val="21"/>
        </w:rPr>
        <w:t>（1）若电测时间将要大于安全作业时间时，中途通井循环；</w:t>
      </w:r>
    </w:p>
    <w:p w14:paraId="312A0012">
      <w:pPr>
        <w:pStyle w:val="276"/>
        <w:widowControl w:val="0"/>
        <w:ind w:firstLine="480"/>
        <w:jc w:val="both"/>
        <w:rPr>
          <w:color w:val="auto"/>
          <w:kern w:val="21"/>
        </w:rPr>
      </w:pPr>
      <w:r>
        <w:rPr>
          <w:color w:val="auto"/>
          <w:kern w:val="21"/>
        </w:rPr>
        <w:t>（2）测井队到井后向钻井队了解井况，</w:t>
      </w:r>
      <w:r>
        <w:rPr>
          <w:snapToGrid w:val="0"/>
          <w:color w:val="auto"/>
        </w:rPr>
        <w:t>确认</w:t>
      </w:r>
      <w:r>
        <w:rPr>
          <w:color w:val="auto"/>
          <w:kern w:val="21"/>
        </w:rPr>
        <w:t>安全作业时间，电测时发生溢流立即停止电测，尽快起出井内电缆。当不具备起出电缆条件，钻井液涌出转盘面时，可在井口剪断电缆；</w:t>
      </w:r>
    </w:p>
    <w:p w14:paraId="33518F60">
      <w:pPr>
        <w:pStyle w:val="276"/>
        <w:widowControl w:val="0"/>
        <w:ind w:firstLine="480"/>
        <w:jc w:val="both"/>
        <w:rPr>
          <w:color w:val="auto"/>
          <w:kern w:val="21"/>
        </w:rPr>
      </w:pPr>
      <w:r>
        <w:rPr>
          <w:color w:val="auto"/>
          <w:kern w:val="21"/>
        </w:rPr>
        <w:t>（3）由钻井队值班干部决定何时切断电缆并进行关井作业，测井队专用剪切工具放置在钻台上，测井中随时处于待命状态，测井队队长实施剪断电缆工作。</w:t>
      </w:r>
    </w:p>
    <w:p w14:paraId="5AF631B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659" w:name="_Toc69690813"/>
      <w:bookmarkStart w:id="660" w:name="_Toc67523595"/>
      <w:bookmarkStart w:id="661" w:name="_Toc61597223"/>
      <w:bookmarkStart w:id="662" w:name="_Toc71371946"/>
      <w:bookmarkStart w:id="663" w:name="_Toc74812317"/>
      <w:r>
        <w:rPr>
          <w:rFonts w:ascii="宋体" w:hAnsi="宋体" w:eastAsia="宋体" w:cs="Times New Roman"/>
          <w:b/>
          <w:bCs/>
          <w:color w:val="auto"/>
          <w:szCs w:val="28"/>
        </w:rPr>
        <w:t>固井</w:t>
      </w:r>
      <w:bookmarkEnd w:id="659"/>
      <w:bookmarkEnd w:id="660"/>
      <w:bookmarkEnd w:id="661"/>
      <w:bookmarkEnd w:id="662"/>
      <w:bookmarkEnd w:id="663"/>
    </w:p>
    <w:p w14:paraId="31DEEDA9">
      <w:pPr>
        <w:pStyle w:val="276"/>
        <w:widowControl w:val="0"/>
        <w:ind w:firstLine="480"/>
        <w:jc w:val="both"/>
        <w:rPr>
          <w:color w:val="auto"/>
          <w:kern w:val="21"/>
        </w:rPr>
      </w:pPr>
      <w:r>
        <w:rPr>
          <w:color w:val="auto"/>
          <w:kern w:val="21"/>
        </w:rPr>
        <w:t>固井作业全过程保持井内压力平衡，防止因井漏、注水泥候凝失重造成井内压力失衡而导致井喷。注水泥浆时发生溢流，停止注水泥浆作业，替出井内水泥浆实施压井；固井顶替时发生溢流，先继续完成替量，然后关闭井口水泥头，关井。对于固井质量存在严重问题、威胁到井控安全、影响到后续钻井施工的井，采取有效措施进行处理，确保达到封固目的。拆卸井口、安装井控设备在水泥候凝后进行。具体固井水泥用量见</w:t>
      </w:r>
      <w:r>
        <w:rPr>
          <w:color w:val="auto"/>
          <w:kern w:val="21"/>
        </w:rPr>
        <w:fldChar w:fldCharType="begin"/>
      </w:r>
      <w:r>
        <w:rPr>
          <w:color w:val="auto"/>
          <w:kern w:val="21"/>
        </w:rPr>
        <w:instrText xml:space="preserve"> REF _Ref211958911 \h  \* MERGEFORMAT </w:instrText>
      </w:r>
      <w:r>
        <w:rPr>
          <w:color w:val="auto"/>
          <w:kern w:val="21"/>
        </w:rPr>
        <w:fldChar w:fldCharType="separate"/>
      </w:r>
      <w:r>
        <w:rPr>
          <w:color w:val="auto"/>
        </w:rPr>
        <w:t>表 3.6</w:t>
      </w:r>
      <w:r>
        <w:rPr>
          <w:color w:val="auto"/>
        </w:rPr>
        <w:noBreakHyphen/>
      </w:r>
      <w:r>
        <w:rPr>
          <w:color w:val="auto"/>
        </w:rPr>
        <w:t>9</w:t>
      </w:r>
      <w:r>
        <w:rPr>
          <w:color w:val="auto"/>
          <w:kern w:val="21"/>
        </w:rPr>
        <w:fldChar w:fldCharType="end"/>
      </w:r>
      <w:r>
        <w:rPr>
          <w:color w:val="auto"/>
          <w:kern w:val="21"/>
        </w:rPr>
        <w:t>和</w:t>
      </w:r>
      <w:r>
        <w:rPr>
          <w:color w:val="auto"/>
          <w:kern w:val="21"/>
        </w:rPr>
        <w:fldChar w:fldCharType="begin"/>
      </w:r>
      <w:r>
        <w:rPr>
          <w:color w:val="auto"/>
          <w:kern w:val="21"/>
        </w:rPr>
        <w:instrText xml:space="preserve"> REF _Ref211958914 \h  \* MERGEFORMAT </w:instrText>
      </w:r>
      <w:r>
        <w:rPr>
          <w:color w:val="auto"/>
          <w:kern w:val="21"/>
        </w:rPr>
        <w:fldChar w:fldCharType="separate"/>
      </w:r>
      <w:r>
        <w:rPr>
          <w:color w:val="auto"/>
        </w:rPr>
        <w:t>表 3.6</w:t>
      </w:r>
      <w:r>
        <w:rPr>
          <w:color w:val="auto"/>
        </w:rPr>
        <w:noBreakHyphen/>
      </w:r>
      <w:r>
        <w:rPr>
          <w:color w:val="auto"/>
        </w:rPr>
        <w:t>10</w:t>
      </w:r>
      <w:r>
        <w:rPr>
          <w:color w:val="auto"/>
          <w:kern w:val="21"/>
        </w:rPr>
        <w:fldChar w:fldCharType="end"/>
      </w:r>
      <w:r>
        <w:rPr>
          <w:color w:val="auto"/>
          <w:kern w:val="21"/>
        </w:rPr>
        <w:t>。</w:t>
      </w:r>
    </w:p>
    <w:p w14:paraId="5050499B">
      <w:pPr>
        <w:pStyle w:val="22"/>
        <w:spacing w:before="156"/>
        <w:rPr>
          <w:color w:val="auto"/>
        </w:rPr>
      </w:pPr>
      <w:bookmarkStart w:id="664" w:name="_Ref211958911"/>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9</w:t>
      </w:r>
      <w:r>
        <w:rPr>
          <w:color w:val="auto"/>
        </w:rPr>
        <w:fldChar w:fldCharType="end"/>
      </w:r>
      <w:bookmarkEnd w:id="664"/>
      <w:r>
        <w:rPr>
          <w:color w:val="auto"/>
        </w:rPr>
        <w:t>定向井固井水泥用量数据表</w:t>
      </w:r>
    </w:p>
    <w:tbl>
      <w:tblPr>
        <w:tblStyle w:val="81"/>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992"/>
        <w:gridCol w:w="991"/>
        <w:gridCol w:w="1003"/>
        <w:gridCol w:w="1488"/>
        <w:gridCol w:w="1488"/>
        <w:gridCol w:w="1156"/>
        <w:gridCol w:w="972"/>
      </w:tblGrid>
      <w:tr w14:paraId="6A3B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08" w:type="dxa"/>
            <w:vAlign w:val="center"/>
          </w:tcPr>
          <w:p w14:paraId="332497A6">
            <w:pPr>
              <w:spacing w:line="360" w:lineRule="exact"/>
              <w:jc w:val="center"/>
              <w:rPr>
                <w:rFonts w:ascii="宋体" w:hAnsi="宋体" w:eastAsia="宋体" w:cs="Times New Roman"/>
                <w:color w:val="auto"/>
              </w:rPr>
            </w:pPr>
            <w:r>
              <w:rPr>
                <w:rFonts w:ascii="宋体" w:hAnsi="宋体" w:eastAsia="宋体" w:cs="Times New Roman"/>
                <w:color w:val="auto"/>
              </w:rPr>
              <w:t>套管程序</w:t>
            </w:r>
          </w:p>
        </w:tc>
        <w:tc>
          <w:tcPr>
            <w:tcW w:w="992" w:type="dxa"/>
            <w:vAlign w:val="center"/>
          </w:tcPr>
          <w:p w14:paraId="1DDA9B11">
            <w:pPr>
              <w:spacing w:line="360" w:lineRule="exact"/>
              <w:jc w:val="center"/>
              <w:rPr>
                <w:rFonts w:ascii="宋体" w:hAnsi="宋体" w:eastAsia="宋体" w:cs="Times New Roman"/>
                <w:color w:val="auto"/>
              </w:rPr>
            </w:pPr>
            <w:r>
              <w:rPr>
                <w:rFonts w:ascii="宋体" w:hAnsi="宋体" w:eastAsia="宋体" w:cs="Times New Roman"/>
                <w:color w:val="auto"/>
              </w:rPr>
              <w:t>套管尺寸/mm</w:t>
            </w:r>
          </w:p>
        </w:tc>
        <w:tc>
          <w:tcPr>
            <w:tcW w:w="991" w:type="dxa"/>
            <w:vAlign w:val="center"/>
          </w:tcPr>
          <w:p w14:paraId="667B93E5">
            <w:pPr>
              <w:spacing w:line="360" w:lineRule="exact"/>
              <w:jc w:val="center"/>
              <w:rPr>
                <w:rFonts w:ascii="宋体" w:hAnsi="宋体" w:eastAsia="宋体" w:cs="Times New Roman"/>
                <w:color w:val="auto"/>
              </w:rPr>
            </w:pPr>
            <w:r>
              <w:rPr>
                <w:rFonts w:ascii="宋体" w:hAnsi="宋体" w:eastAsia="宋体" w:cs="Times New Roman"/>
                <w:color w:val="auto"/>
              </w:rPr>
              <w:t>钻头尺寸/mm</w:t>
            </w:r>
          </w:p>
        </w:tc>
        <w:tc>
          <w:tcPr>
            <w:tcW w:w="1003" w:type="dxa"/>
            <w:vAlign w:val="center"/>
          </w:tcPr>
          <w:p w14:paraId="2DE5A54A">
            <w:pPr>
              <w:spacing w:line="360" w:lineRule="exact"/>
              <w:jc w:val="center"/>
              <w:rPr>
                <w:rFonts w:ascii="宋体" w:hAnsi="宋体" w:eastAsia="宋体" w:cs="Times New Roman"/>
                <w:color w:val="auto"/>
              </w:rPr>
            </w:pPr>
            <w:r>
              <w:rPr>
                <w:rFonts w:ascii="宋体" w:hAnsi="宋体" w:eastAsia="宋体" w:cs="Times New Roman"/>
                <w:color w:val="auto"/>
              </w:rPr>
              <w:t xml:space="preserve">井径扩大率/% </w:t>
            </w:r>
          </w:p>
        </w:tc>
        <w:tc>
          <w:tcPr>
            <w:tcW w:w="1488" w:type="dxa"/>
            <w:vAlign w:val="center"/>
          </w:tcPr>
          <w:p w14:paraId="5E02CD57">
            <w:pPr>
              <w:spacing w:line="360" w:lineRule="exact"/>
              <w:jc w:val="center"/>
              <w:rPr>
                <w:rFonts w:ascii="宋体" w:hAnsi="宋体" w:eastAsia="宋体" w:cs="Times New Roman"/>
                <w:color w:val="auto"/>
              </w:rPr>
            </w:pPr>
            <w:r>
              <w:rPr>
                <w:rFonts w:ascii="宋体" w:hAnsi="宋体" w:eastAsia="宋体" w:cs="Times New Roman"/>
                <w:color w:val="auto"/>
              </w:rPr>
              <w:t>水泥浆返深/m</w:t>
            </w:r>
          </w:p>
        </w:tc>
        <w:tc>
          <w:tcPr>
            <w:tcW w:w="1488" w:type="dxa"/>
            <w:vAlign w:val="center"/>
          </w:tcPr>
          <w:p w14:paraId="2C8C6B0F">
            <w:pPr>
              <w:spacing w:line="360" w:lineRule="exact"/>
              <w:jc w:val="center"/>
              <w:rPr>
                <w:rFonts w:ascii="宋体" w:hAnsi="宋体" w:eastAsia="宋体" w:cs="Times New Roman"/>
                <w:color w:val="auto"/>
              </w:rPr>
            </w:pPr>
            <w:r>
              <w:rPr>
                <w:rFonts w:ascii="宋体" w:hAnsi="宋体" w:eastAsia="宋体" w:cs="Times New Roman"/>
                <w:color w:val="auto"/>
              </w:rPr>
              <w:t>阻流环深度/m</w:t>
            </w:r>
          </w:p>
        </w:tc>
        <w:tc>
          <w:tcPr>
            <w:tcW w:w="1156" w:type="dxa"/>
            <w:vAlign w:val="center"/>
          </w:tcPr>
          <w:p w14:paraId="21F3D9DF">
            <w:pPr>
              <w:spacing w:line="360" w:lineRule="exact"/>
              <w:jc w:val="center"/>
              <w:rPr>
                <w:rFonts w:ascii="宋体" w:hAnsi="宋体" w:eastAsia="宋体" w:cs="Times New Roman"/>
                <w:color w:val="auto"/>
              </w:rPr>
            </w:pPr>
            <w:r>
              <w:rPr>
                <w:rFonts w:ascii="宋体" w:hAnsi="宋体" w:eastAsia="宋体" w:cs="Times New Roman"/>
                <w:color w:val="auto"/>
              </w:rPr>
              <w:t>水泥级别</w:t>
            </w:r>
          </w:p>
        </w:tc>
        <w:tc>
          <w:tcPr>
            <w:tcW w:w="972" w:type="dxa"/>
            <w:vAlign w:val="center"/>
          </w:tcPr>
          <w:p w14:paraId="22F9F510">
            <w:pPr>
              <w:spacing w:line="360" w:lineRule="exact"/>
              <w:jc w:val="center"/>
              <w:rPr>
                <w:rFonts w:ascii="宋体" w:hAnsi="宋体" w:eastAsia="宋体" w:cs="Times New Roman"/>
                <w:color w:val="auto"/>
              </w:rPr>
            </w:pPr>
            <w:r>
              <w:rPr>
                <w:rFonts w:ascii="宋体" w:hAnsi="宋体" w:eastAsia="宋体" w:cs="Times New Roman"/>
                <w:color w:val="auto"/>
              </w:rPr>
              <w:t>水泥用量/t</w:t>
            </w:r>
          </w:p>
        </w:tc>
      </w:tr>
      <w:tr w14:paraId="1A17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08" w:type="dxa"/>
            <w:vAlign w:val="center"/>
          </w:tcPr>
          <w:p w14:paraId="7BE1B2B8">
            <w:pPr>
              <w:spacing w:line="360" w:lineRule="exact"/>
              <w:jc w:val="center"/>
              <w:rPr>
                <w:rFonts w:ascii="宋体" w:hAnsi="宋体" w:eastAsia="宋体" w:cs="Times New Roman"/>
                <w:color w:val="auto"/>
              </w:rPr>
            </w:pPr>
            <w:r>
              <w:rPr>
                <w:rFonts w:ascii="宋体" w:hAnsi="宋体" w:eastAsia="宋体" w:cs="Times New Roman"/>
                <w:color w:val="auto"/>
              </w:rPr>
              <w:t>表层套管</w:t>
            </w:r>
          </w:p>
        </w:tc>
        <w:tc>
          <w:tcPr>
            <w:tcW w:w="992" w:type="dxa"/>
            <w:vAlign w:val="center"/>
          </w:tcPr>
          <w:p w14:paraId="1C92394D">
            <w:pPr>
              <w:ind w:left="-105" w:leftChars="-50" w:right="-105" w:rightChars="-50"/>
              <w:jc w:val="center"/>
              <w:rPr>
                <w:rFonts w:ascii="宋体" w:hAnsi="宋体" w:eastAsia="宋体" w:cs="Times New Roman"/>
                <w:color w:val="auto"/>
              </w:rPr>
            </w:pPr>
            <w:r>
              <w:rPr>
                <w:rFonts w:ascii="宋体" w:hAnsi="宋体" w:eastAsia="宋体" w:cs="Times New Roman"/>
                <w:color w:val="auto"/>
                <w:position w:val="6"/>
              </w:rPr>
              <w:t>244.5</w:t>
            </w:r>
          </w:p>
        </w:tc>
        <w:tc>
          <w:tcPr>
            <w:tcW w:w="991" w:type="dxa"/>
            <w:vAlign w:val="center"/>
          </w:tcPr>
          <w:p w14:paraId="30AD0D93">
            <w:pPr>
              <w:ind w:left="-105" w:leftChars="-50" w:right="-105" w:rightChars="-50"/>
              <w:jc w:val="center"/>
              <w:rPr>
                <w:rFonts w:ascii="宋体" w:hAnsi="宋体" w:eastAsia="宋体" w:cs="Times New Roman"/>
                <w:color w:val="auto"/>
              </w:rPr>
            </w:pPr>
            <w:r>
              <w:rPr>
                <w:rFonts w:ascii="宋体" w:hAnsi="宋体" w:eastAsia="宋体" w:cs="Times New Roman"/>
                <w:color w:val="auto"/>
                <w:position w:val="6"/>
              </w:rPr>
              <w:t>311.2</w:t>
            </w:r>
          </w:p>
        </w:tc>
        <w:tc>
          <w:tcPr>
            <w:tcW w:w="1003" w:type="dxa"/>
            <w:vAlign w:val="center"/>
          </w:tcPr>
          <w:p w14:paraId="79EE88A1">
            <w:pPr>
              <w:ind w:left="-105" w:leftChars="-50" w:right="-105" w:rightChars="-50"/>
              <w:jc w:val="center"/>
              <w:rPr>
                <w:rFonts w:ascii="宋体" w:hAnsi="宋体" w:eastAsia="宋体" w:cs="Times New Roman"/>
                <w:color w:val="auto"/>
              </w:rPr>
            </w:pPr>
            <w:r>
              <w:rPr>
                <w:rFonts w:ascii="宋体" w:hAnsi="宋体" w:eastAsia="宋体" w:cs="Times New Roman"/>
                <w:color w:val="auto"/>
                <w:position w:val="6"/>
              </w:rPr>
              <w:t>30</w:t>
            </w:r>
          </w:p>
        </w:tc>
        <w:tc>
          <w:tcPr>
            <w:tcW w:w="1488" w:type="dxa"/>
            <w:vAlign w:val="center"/>
          </w:tcPr>
          <w:p w14:paraId="4EFC8C96">
            <w:pPr>
              <w:spacing w:line="360" w:lineRule="exact"/>
              <w:jc w:val="center"/>
              <w:rPr>
                <w:rFonts w:ascii="宋体" w:hAnsi="宋体" w:eastAsia="宋体" w:cs="Times New Roman"/>
                <w:color w:val="auto"/>
              </w:rPr>
            </w:pPr>
            <w:r>
              <w:rPr>
                <w:rFonts w:ascii="宋体" w:hAnsi="宋体" w:eastAsia="宋体" w:cs="Times New Roman"/>
                <w:color w:val="auto"/>
              </w:rPr>
              <w:t>地面</w:t>
            </w:r>
          </w:p>
        </w:tc>
        <w:tc>
          <w:tcPr>
            <w:tcW w:w="1488" w:type="dxa"/>
            <w:vAlign w:val="center"/>
          </w:tcPr>
          <w:p w14:paraId="49AA3953">
            <w:pPr>
              <w:ind w:left="-105" w:leftChars="-50" w:right="-105" w:rightChars="-50"/>
              <w:jc w:val="center"/>
              <w:rPr>
                <w:rFonts w:ascii="宋体" w:hAnsi="宋体" w:eastAsia="宋体" w:cs="Times New Roman"/>
                <w:color w:val="auto"/>
              </w:rPr>
            </w:pPr>
            <w:r>
              <w:rPr>
                <w:rFonts w:ascii="宋体" w:hAnsi="宋体" w:eastAsia="宋体" w:cs="Times New Roman"/>
                <w:color w:val="auto"/>
              </w:rPr>
              <w:t>距完钻井深1m以内</w:t>
            </w:r>
          </w:p>
        </w:tc>
        <w:tc>
          <w:tcPr>
            <w:tcW w:w="1156" w:type="dxa"/>
            <w:vAlign w:val="center"/>
          </w:tcPr>
          <w:p w14:paraId="2265EF09">
            <w:pPr>
              <w:spacing w:line="360" w:lineRule="exact"/>
              <w:jc w:val="center"/>
              <w:rPr>
                <w:rFonts w:ascii="宋体" w:hAnsi="宋体" w:eastAsia="宋体" w:cs="Times New Roman"/>
                <w:color w:val="auto"/>
              </w:rPr>
            </w:pPr>
            <w:r>
              <w:rPr>
                <w:rFonts w:ascii="宋体" w:hAnsi="宋体" w:eastAsia="宋体" w:cs="Times New Roman"/>
                <w:color w:val="auto"/>
              </w:rPr>
              <w:t>A</w:t>
            </w:r>
          </w:p>
        </w:tc>
        <w:tc>
          <w:tcPr>
            <w:tcW w:w="972" w:type="dxa"/>
            <w:vAlign w:val="center"/>
          </w:tcPr>
          <w:p w14:paraId="3B8FE37E">
            <w:pPr>
              <w:spacing w:line="360" w:lineRule="exact"/>
              <w:jc w:val="center"/>
              <w:rPr>
                <w:rFonts w:ascii="宋体" w:hAnsi="宋体" w:eastAsia="宋体" w:cs="Times New Roman"/>
                <w:color w:val="auto"/>
              </w:rPr>
            </w:pPr>
            <w:r>
              <w:rPr>
                <w:rFonts w:ascii="宋体" w:hAnsi="宋体" w:eastAsia="宋体" w:cs="Times New Roman"/>
                <w:color w:val="auto"/>
              </w:rPr>
              <w:t>21</w:t>
            </w:r>
          </w:p>
        </w:tc>
      </w:tr>
      <w:tr w14:paraId="1AF9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 w:hRule="atLeast"/>
          <w:jc w:val="center"/>
        </w:trPr>
        <w:tc>
          <w:tcPr>
            <w:tcW w:w="808" w:type="dxa"/>
            <w:vAlign w:val="center"/>
          </w:tcPr>
          <w:p w14:paraId="063CEB60">
            <w:pPr>
              <w:spacing w:line="360" w:lineRule="exact"/>
              <w:jc w:val="center"/>
              <w:rPr>
                <w:rFonts w:ascii="宋体" w:hAnsi="宋体" w:eastAsia="宋体" w:cs="Times New Roman"/>
                <w:color w:val="auto"/>
              </w:rPr>
            </w:pPr>
            <w:r>
              <w:rPr>
                <w:rFonts w:ascii="宋体" w:hAnsi="宋体" w:eastAsia="宋体" w:cs="Times New Roman"/>
                <w:color w:val="auto"/>
              </w:rPr>
              <w:t>生产套管</w:t>
            </w:r>
          </w:p>
        </w:tc>
        <w:tc>
          <w:tcPr>
            <w:tcW w:w="992" w:type="dxa"/>
            <w:vAlign w:val="center"/>
          </w:tcPr>
          <w:p w14:paraId="6A1E7C77">
            <w:pPr>
              <w:ind w:left="-105" w:leftChars="-50" w:right="-105" w:rightChars="-50"/>
              <w:jc w:val="center"/>
              <w:rPr>
                <w:rFonts w:ascii="宋体" w:hAnsi="宋体" w:eastAsia="宋体" w:cs="Times New Roman"/>
                <w:color w:val="auto"/>
              </w:rPr>
            </w:pPr>
            <w:r>
              <w:rPr>
                <w:rFonts w:ascii="宋体" w:hAnsi="宋体" w:eastAsia="宋体" w:cs="Times New Roman"/>
                <w:color w:val="auto"/>
                <w:position w:val="6"/>
              </w:rPr>
              <w:t>139.7</w:t>
            </w:r>
          </w:p>
        </w:tc>
        <w:tc>
          <w:tcPr>
            <w:tcW w:w="991" w:type="dxa"/>
            <w:vAlign w:val="center"/>
          </w:tcPr>
          <w:p w14:paraId="2E99E315">
            <w:pPr>
              <w:ind w:left="-105" w:leftChars="-50" w:right="-105" w:rightChars="-50"/>
              <w:jc w:val="center"/>
              <w:rPr>
                <w:rFonts w:ascii="宋体" w:hAnsi="宋体" w:eastAsia="宋体" w:cs="Times New Roman"/>
                <w:color w:val="auto"/>
              </w:rPr>
            </w:pPr>
            <w:r>
              <w:rPr>
                <w:rFonts w:ascii="宋体" w:hAnsi="宋体" w:eastAsia="宋体" w:cs="Times New Roman"/>
                <w:color w:val="auto"/>
                <w:position w:val="6"/>
              </w:rPr>
              <w:t>215.9</w:t>
            </w:r>
          </w:p>
        </w:tc>
        <w:tc>
          <w:tcPr>
            <w:tcW w:w="1003" w:type="dxa"/>
            <w:vAlign w:val="center"/>
          </w:tcPr>
          <w:p w14:paraId="60A96E26">
            <w:pPr>
              <w:ind w:left="-105" w:leftChars="-50" w:right="-105" w:rightChars="-50"/>
              <w:jc w:val="center"/>
              <w:rPr>
                <w:rFonts w:ascii="宋体" w:hAnsi="宋体" w:eastAsia="宋体" w:cs="Times New Roman"/>
                <w:color w:val="auto"/>
              </w:rPr>
            </w:pPr>
            <w:r>
              <w:rPr>
                <w:rFonts w:ascii="宋体" w:hAnsi="宋体" w:eastAsia="宋体" w:cs="Times New Roman"/>
                <w:color w:val="auto"/>
                <w:position w:val="6"/>
              </w:rPr>
              <w:t>10</w:t>
            </w:r>
          </w:p>
        </w:tc>
        <w:tc>
          <w:tcPr>
            <w:tcW w:w="1488" w:type="dxa"/>
            <w:vAlign w:val="center"/>
          </w:tcPr>
          <w:p w14:paraId="5EF3999F">
            <w:pPr>
              <w:spacing w:line="360" w:lineRule="exact"/>
              <w:jc w:val="center"/>
              <w:rPr>
                <w:rFonts w:ascii="宋体" w:hAnsi="宋体" w:eastAsia="宋体" w:cs="Times New Roman"/>
                <w:color w:val="auto"/>
              </w:rPr>
            </w:pPr>
            <w:r>
              <w:rPr>
                <w:rFonts w:ascii="宋体" w:hAnsi="宋体" w:eastAsia="宋体" w:cs="Times New Roman"/>
                <w:color w:val="auto"/>
              </w:rPr>
              <w:t>地面</w:t>
            </w:r>
          </w:p>
        </w:tc>
        <w:tc>
          <w:tcPr>
            <w:tcW w:w="1488" w:type="dxa"/>
            <w:vAlign w:val="center"/>
          </w:tcPr>
          <w:p w14:paraId="42593F3B">
            <w:pPr>
              <w:ind w:left="-105" w:leftChars="-50" w:right="-105" w:rightChars="-50"/>
              <w:jc w:val="center"/>
              <w:rPr>
                <w:rFonts w:ascii="宋体" w:hAnsi="宋体" w:eastAsia="宋体" w:cs="Times New Roman"/>
                <w:color w:val="auto"/>
              </w:rPr>
            </w:pPr>
            <w:r>
              <w:rPr>
                <w:rFonts w:ascii="宋体" w:hAnsi="宋体" w:eastAsia="宋体" w:cs="Times New Roman"/>
                <w:color w:val="auto"/>
              </w:rPr>
              <w:t>距完钻井深15m以内</w:t>
            </w:r>
          </w:p>
        </w:tc>
        <w:tc>
          <w:tcPr>
            <w:tcW w:w="1156" w:type="dxa"/>
            <w:vAlign w:val="center"/>
          </w:tcPr>
          <w:p w14:paraId="74DB856F">
            <w:pPr>
              <w:spacing w:line="360" w:lineRule="exact"/>
              <w:jc w:val="center"/>
              <w:rPr>
                <w:rFonts w:ascii="宋体" w:hAnsi="宋体" w:eastAsia="宋体" w:cs="Times New Roman"/>
                <w:color w:val="auto"/>
              </w:rPr>
            </w:pPr>
            <w:r>
              <w:rPr>
                <w:rFonts w:ascii="宋体" w:hAnsi="宋体" w:eastAsia="宋体" w:cs="Times New Roman"/>
                <w:color w:val="auto"/>
              </w:rPr>
              <w:t>高强</w:t>
            </w:r>
          </w:p>
          <w:p w14:paraId="249AECB6">
            <w:pPr>
              <w:spacing w:line="360" w:lineRule="exact"/>
              <w:jc w:val="center"/>
              <w:rPr>
                <w:rFonts w:ascii="宋体" w:hAnsi="宋体" w:eastAsia="宋体" w:cs="Times New Roman"/>
                <w:color w:val="auto"/>
              </w:rPr>
            </w:pPr>
            <w:r>
              <w:rPr>
                <w:rFonts w:ascii="宋体" w:hAnsi="宋体" w:eastAsia="宋体" w:cs="Times New Roman"/>
                <w:color w:val="auto"/>
              </w:rPr>
              <w:t>低密度</w:t>
            </w:r>
          </w:p>
        </w:tc>
        <w:tc>
          <w:tcPr>
            <w:tcW w:w="972" w:type="dxa"/>
            <w:vAlign w:val="center"/>
          </w:tcPr>
          <w:p w14:paraId="6677BF7B">
            <w:pPr>
              <w:spacing w:line="360" w:lineRule="exact"/>
              <w:ind w:left="-105" w:leftChars="-50" w:right="-105" w:rightChars="-50"/>
              <w:jc w:val="center"/>
              <w:rPr>
                <w:rFonts w:ascii="宋体" w:hAnsi="宋体" w:eastAsia="宋体" w:cs="Times New Roman"/>
                <w:color w:val="auto"/>
              </w:rPr>
            </w:pPr>
            <w:r>
              <w:rPr>
                <w:rFonts w:ascii="宋体" w:hAnsi="宋体" w:eastAsia="宋体" w:cs="Times New Roman"/>
                <w:color w:val="auto"/>
              </w:rPr>
              <w:t>85</w:t>
            </w:r>
          </w:p>
        </w:tc>
      </w:tr>
    </w:tbl>
    <w:p w14:paraId="7B99F2C8">
      <w:pPr>
        <w:pStyle w:val="22"/>
        <w:spacing w:before="156"/>
        <w:rPr>
          <w:color w:val="auto"/>
        </w:rPr>
      </w:pPr>
      <w:bookmarkStart w:id="665" w:name="_Ref211958914"/>
      <w:bookmarkStart w:id="666" w:name="_Toc67523596"/>
      <w:bookmarkStart w:id="667" w:name="_Toc74812318"/>
      <w:bookmarkStart w:id="668" w:name="_Toc69690814"/>
      <w:bookmarkStart w:id="669" w:name="_Toc61597224"/>
      <w:bookmarkStart w:id="670" w:name="_Toc71371947"/>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10</w:t>
      </w:r>
      <w:r>
        <w:rPr>
          <w:color w:val="auto"/>
        </w:rPr>
        <w:fldChar w:fldCharType="end"/>
      </w:r>
      <w:bookmarkEnd w:id="665"/>
      <w:r>
        <w:rPr>
          <w:rFonts w:hint="eastAsia"/>
          <w:color w:val="auto"/>
        </w:rPr>
        <w:t>水平井</w:t>
      </w:r>
      <w:r>
        <w:rPr>
          <w:color w:val="auto"/>
        </w:rPr>
        <w:t>固井水泥用量数据表</w:t>
      </w:r>
    </w:p>
    <w:tbl>
      <w:tblPr>
        <w:tblStyle w:val="81"/>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992"/>
        <w:gridCol w:w="991"/>
        <w:gridCol w:w="1003"/>
        <w:gridCol w:w="1488"/>
        <w:gridCol w:w="1488"/>
        <w:gridCol w:w="1156"/>
        <w:gridCol w:w="972"/>
      </w:tblGrid>
      <w:tr w14:paraId="727B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08" w:type="dxa"/>
            <w:vAlign w:val="center"/>
          </w:tcPr>
          <w:p w14:paraId="5C03E255">
            <w:pPr>
              <w:spacing w:line="360" w:lineRule="exact"/>
              <w:jc w:val="center"/>
              <w:rPr>
                <w:rFonts w:ascii="宋体" w:hAnsi="宋体" w:eastAsia="宋体" w:cs="Times New Roman"/>
                <w:color w:val="auto"/>
              </w:rPr>
            </w:pPr>
            <w:r>
              <w:rPr>
                <w:rFonts w:ascii="宋体" w:hAnsi="宋体" w:eastAsia="宋体" w:cs="Times New Roman"/>
                <w:color w:val="auto"/>
              </w:rPr>
              <w:t>套管程序</w:t>
            </w:r>
          </w:p>
        </w:tc>
        <w:tc>
          <w:tcPr>
            <w:tcW w:w="992" w:type="dxa"/>
            <w:vAlign w:val="center"/>
          </w:tcPr>
          <w:p w14:paraId="1C0EC480">
            <w:pPr>
              <w:spacing w:line="360" w:lineRule="exact"/>
              <w:jc w:val="center"/>
              <w:rPr>
                <w:rFonts w:ascii="宋体" w:hAnsi="宋体" w:eastAsia="宋体" w:cs="Times New Roman"/>
                <w:color w:val="auto"/>
              </w:rPr>
            </w:pPr>
            <w:r>
              <w:rPr>
                <w:rFonts w:ascii="宋体" w:hAnsi="宋体" w:eastAsia="宋体" w:cs="Times New Roman"/>
                <w:color w:val="auto"/>
              </w:rPr>
              <w:t>套管尺寸/mm</w:t>
            </w:r>
          </w:p>
        </w:tc>
        <w:tc>
          <w:tcPr>
            <w:tcW w:w="991" w:type="dxa"/>
            <w:vAlign w:val="center"/>
          </w:tcPr>
          <w:p w14:paraId="7D95325F">
            <w:pPr>
              <w:spacing w:line="360" w:lineRule="exact"/>
              <w:jc w:val="center"/>
              <w:rPr>
                <w:rFonts w:ascii="宋体" w:hAnsi="宋体" w:eastAsia="宋体" w:cs="Times New Roman"/>
                <w:color w:val="auto"/>
              </w:rPr>
            </w:pPr>
            <w:r>
              <w:rPr>
                <w:rFonts w:ascii="宋体" w:hAnsi="宋体" w:eastAsia="宋体" w:cs="Times New Roman"/>
                <w:color w:val="auto"/>
              </w:rPr>
              <w:t>钻头尺寸/mm</w:t>
            </w:r>
          </w:p>
        </w:tc>
        <w:tc>
          <w:tcPr>
            <w:tcW w:w="1003" w:type="dxa"/>
            <w:vAlign w:val="center"/>
          </w:tcPr>
          <w:p w14:paraId="5FBA587A">
            <w:pPr>
              <w:spacing w:line="360" w:lineRule="exact"/>
              <w:jc w:val="center"/>
              <w:rPr>
                <w:rFonts w:ascii="宋体" w:hAnsi="宋体" w:eastAsia="宋体" w:cs="Times New Roman"/>
                <w:color w:val="auto"/>
              </w:rPr>
            </w:pPr>
            <w:r>
              <w:rPr>
                <w:rFonts w:ascii="宋体" w:hAnsi="宋体" w:eastAsia="宋体" w:cs="Times New Roman"/>
                <w:color w:val="auto"/>
              </w:rPr>
              <w:t xml:space="preserve">井径扩大率/% </w:t>
            </w:r>
          </w:p>
        </w:tc>
        <w:tc>
          <w:tcPr>
            <w:tcW w:w="1488" w:type="dxa"/>
            <w:vAlign w:val="center"/>
          </w:tcPr>
          <w:p w14:paraId="0AE124CD">
            <w:pPr>
              <w:spacing w:line="360" w:lineRule="exact"/>
              <w:jc w:val="center"/>
              <w:rPr>
                <w:rFonts w:ascii="宋体" w:hAnsi="宋体" w:eastAsia="宋体" w:cs="Times New Roman"/>
                <w:color w:val="auto"/>
              </w:rPr>
            </w:pPr>
            <w:r>
              <w:rPr>
                <w:rFonts w:ascii="宋体" w:hAnsi="宋体" w:eastAsia="宋体" w:cs="Times New Roman"/>
                <w:color w:val="auto"/>
              </w:rPr>
              <w:t>水泥浆返深/m</w:t>
            </w:r>
          </w:p>
        </w:tc>
        <w:tc>
          <w:tcPr>
            <w:tcW w:w="1488" w:type="dxa"/>
            <w:vAlign w:val="center"/>
          </w:tcPr>
          <w:p w14:paraId="7A4D9633">
            <w:pPr>
              <w:spacing w:line="360" w:lineRule="exact"/>
              <w:jc w:val="center"/>
              <w:rPr>
                <w:rFonts w:ascii="宋体" w:hAnsi="宋体" w:eastAsia="宋体" w:cs="Times New Roman"/>
                <w:color w:val="auto"/>
              </w:rPr>
            </w:pPr>
            <w:r>
              <w:rPr>
                <w:rFonts w:ascii="宋体" w:hAnsi="宋体" w:eastAsia="宋体" w:cs="Times New Roman"/>
                <w:color w:val="auto"/>
              </w:rPr>
              <w:t>阻流环深度/m</w:t>
            </w:r>
          </w:p>
        </w:tc>
        <w:tc>
          <w:tcPr>
            <w:tcW w:w="1156" w:type="dxa"/>
            <w:vAlign w:val="center"/>
          </w:tcPr>
          <w:p w14:paraId="0D88188B">
            <w:pPr>
              <w:spacing w:line="360" w:lineRule="exact"/>
              <w:jc w:val="center"/>
              <w:rPr>
                <w:rFonts w:ascii="宋体" w:hAnsi="宋体" w:eastAsia="宋体" w:cs="Times New Roman"/>
                <w:color w:val="auto"/>
              </w:rPr>
            </w:pPr>
            <w:r>
              <w:rPr>
                <w:rFonts w:ascii="宋体" w:hAnsi="宋体" w:eastAsia="宋体" w:cs="Times New Roman"/>
                <w:color w:val="auto"/>
              </w:rPr>
              <w:t>水泥级别</w:t>
            </w:r>
          </w:p>
        </w:tc>
        <w:tc>
          <w:tcPr>
            <w:tcW w:w="972" w:type="dxa"/>
            <w:vAlign w:val="center"/>
          </w:tcPr>
          <w:p w14:paraId="39224345">
            <w:pPr>
              <w:spacing w:line="360" w:lineRule="exact"/>
              <w:jc w:val="center"/>
              <w:rPr>
                <w:rFonts w:ascii="宋体" w:hAnsi="宋体" w:eastAsia="宋体" w:cs="Times New Roman"/>
                <w:color w:val="auto"/>
              </w:rPr>
            </w:pPr>
            <w:r>
              <w:rPr>
                <w:rFonts w:ascii="宋体" w:hAnsi="宋体" w:eastAsia="宋体" w:cs="Times New Roman"/>
                <w:color w:val="auto"/>
              </w:rPr>
              <w:t>水泥用量/t</w:t>
            </w:r>
          </w:p>
        </w:tc>
      </w:tr>
      <w:tr w14:paraId="57BC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08" w:type="dxa"/>
            <w:vAlign w:val="center"/>
          </w:tcPr>
          <w:p w14:paraId="06D4CF92">
            <w:pPr>
              <w:spacing w:line="360" w:lineRule="exact"/>
              <w:jc w:val="center"/>
              <w:rPr>
                <w:rFonts w:ascii="宋体" w:hAnsi="宋体" w:eastAsia="宋体" w:cs="Times New Roman"/>
                <w:color w:val="auto"/>
              </w:rPr>
            </w:pPr>
            <w:r>
              <w:rPr>
                <w:rFonts w:ascii="宋体" w:hAnsi="宋体" w:eastAsia="宋体" w:cs="Times New Roman"/>
                <w:color w:val="auto"/>
              </w:rPr>
              <w:t>表层套管</w:t>
            </w:r>
          </w:p>
        </w:tc>
        <w:tc>
          <w:tcPr>
            <w:tcW w:w="992" w:type="dxa"/>
            <w:vAlign w:val="center"/>
          </w:tcPr>
          <w:p w14:paraId="2D2BCC76">
            <w:pPr>
              <w:spacing w:line="360" w:lineRule="exact"/>
              <w:jc w:val="center"/>
              <w:rPr>
                <w:rFonts w:ascii="宋体" w:hAnsi="宋体" w:eastAsia="宋体" w:cs="Times New Roman"/>
                <w:color w:val="auto"/>
              </w:rPr>
            </w:pPr>
            <w:r>
              <w:rPr>
                <w:rFonts w:ascii="宋体" w:hAnsi="宋体" w:eastAsia="宋体" w:cs="Times New Roman"/>
                <w:color w:val="auto"/>
              </w:rPr>
              <w:t>244.5</w:t>
            </w:r>
          </w:p>
        </w:tc>
        <w:tc>
          <w:tcPr>
            <w:tcW w:w="991" w:type="dxa"/>
            <w:vAlign w:val="center"/>
          </w:tcPr>
          <w:p w14:paraId="044F9C18">
            <w:pPr>
              <w:spacing w:line="360" w:lineRule="exact"/>
              <w:jc w:val="center"/>
              <w:rPr>
                <w:rFonts w:ascii="宋体" w:hAnsi="宋体" w:eastAsia="宋体" w:cs="Times New Roman"/>
                <w:color w:val="auto"/>
              </w:rPr>
            </w:pPr>
            <w:r>
              <w:rPr>
                <w:rFonts w:ascii="宋体" w:hAnsi="宋体" w:eastAsia="宋体" w:cs="Times New Roman"/>
                <w:color w:val="auto"/>
              </w:rPr>
              <w:t>311.2</w:t>
            </w:r>
          </w:p>
        </w:tc>
        <w:tc>
          <w:tcPr>
            <w:tcW w:w="1003" w:type="dxa"/>
            <w:vAlign w:val="center"/>
          </w:tcPr>
          <w:p w14:paraId="7D23F44B">
            <w:pPr>
              <w:spacing w:line="360" w:lineRule="exact"/>
              <w:jc w:val="center"/>
              <w:rPr>
                <w:rFonts w:ascii="宋体" w:hAnsi="宋体" w:eastAsia="宋体" w:cs="Times New Roman"/>
                <w:color w:val="auto"/>
              </w:rPr>
            </w:pPr>
            <w:r>
              <w:rPr>
                <w:rFonts w:ascii="宋体" w:hAnsi="宋体" w:eastAsia="宋体" w:cs="Times New Roman"/>
                <w:color w:val="auto"/>
              </w:rPr>
              <w:t>30</w:t>
            </w:r>
          </w:p>
        </w:tc>
        <w:tc>
          <w:tcPr>
            <w:tcW w:w="1488" w:type="dxa"/>
            <w:vAlign w:val="center"/>
          </w:tcPr>
          <w:p w14:paraId="675FEE8F">
            <w:pPr>
              <w:spacing w:line="360" w:lineRule="exact"/>
              <w:jc w:val="center"/>
              <w:rPr>
                <w:rFonts w:ascii="宋体" w:hAnsi="宋体" w:eastAsia="宋体" w:cs="Times New Roman"/>
                <w:color w:val="auto"/>
              </w:rPr>
            </w:pPr>
            <w:r>
              <w:rPr>
                <w:rFonts w:ascii="宋体" w:hAnsi="宋体" w:eastAsia="宋体" w:cs="Times New Roman"/>
                <w:color w:val="auto"/>
              </w:rPr>
              <w:t>地面</w:t>
            </w:r>
          </w:p>
        </w:tc>
        <w:tc>
          <w:tcPr>
            <w:tcW w:w="1488" w:type="dxa"/>
            <w:vAlign w:val="center"/>
          </w:tcPr>
          <w:p w14:paraId="664FD3F7">
            <w:pPr>
              <w:spacing w:line="360" w:lineRule="exact"/>
              <w:jc w:val="center"/>
              <w:rPr>
                <w:rFonts w:ascii="宋体" w:hAnsi="宋体" w:eastAsia="宋体" w:cs="Times New Roman"/>
                <w:color w:val="auto"/>
              </w:rPr>
            </w:pPr>
            <w:r>
              <w:rPr>
                <w:rFonts w:ascii="宋体" w:hAnsi="宋体" w:eastAsia="宋体" w:cs="Times New Roman"/>
                <w:color w:val="auto"/>
              </w:rPr>
              <w:t>一开井深-1m</w:t>
            </w:r>
          </w:p>
        </w:tc>
        <w:tc>
          <w:tcPr>
            <w:tcW w:w="1156" w:type="dxa"/>
            <w:vAlign w:val="center"/>
          </w:tcPr>
          <w:p w14:paraId="1F8399C7">
            <w:pPr>
              <w:spacing w:line="360" w:lineRule="exact"/>
              <w:jc w:val="center"/>
              <w:rPr>
                <w:rFonts w:ascii="宋体" w:hAnsi="宋体" w:eastAsia="宋体" w:cs="Times New Roman"/>
                <w:color w:val="auto"/>
              </w:rPr>
            </w:pPr>
            <w:r>
              <w:rPr>
                <w:rFonts w:ascii="宋体" w:hAnsi="宋体" w:eastAsia="宋体" w:cs="Times New Roman"/>
                <w:color w:val="auto"/>
              </w:rPr>
              <w:t>A</w:t>
            </w:r>
          </w:p>
        </w:tc>
        <w:tc>
          <w:tcPr>
            <w:tcW w:w="972" w:type="dxa"/>
            <w:vAlign w:val="center"/>
          </w:tcPr>
          <w:p w14:paraId="16AF221D">
            <w:pPr>
              <w:spacing w:line="360" w:lineRule="exact"/>
              <w:jc w:val="center"/>
              <w:rPr>
                <w:rFonts w:ascii="宋体" w:hAnsi="宋体" w:eastAsia="宋体" w:cs="Times New Roman"/>
                <w:color w:val="auto"/>
              </w:rPr>
            </w:pPr>
            <w:r>
              <w:rPr>
                <w:rFonts w:ascii="宋体" w:hAnsi="宋体" w:eastAsia="宋体" w:cs="Times New Roman"/>
                <w:color w:val="auto"/>
              </w:rPr>
              <w:t>65</w:t>
            </w:r>
          </w:p>
        </w:tc>
      </w:tr>
      <w:tr w14:paraId="004E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08" w:type="dxa"/>
            <w:vAlign w:val="center"/>
          </w:tcPr>
          <w:p w14:paraId="75038BD5">
            <w:pPr>
              <w:spacing w:line="360" w:lineRule="exact"/>
              <w:jc w:val="center"/>
              <w:rPr>
                <w:rFonts w:ascii="宋体" w:hAnsi="宋体" w:eastAsia="宋体" w:cs="Times New Roman"/>
                <w:color w:val="auto"/>
              </w:rPr>
            </w:pPr>
            <w:r>
              <w:rPr>
                <w:rFonts w:ascii="宋体" w:hAnsi="宋体" w:eastAsia="宋体" w:cs="Times New Roman"/>
                <w:color w:val="auto"/>
              </w:rPr>
              <w:t>生产套管</w:t>
            </w:r>
          </w:p>
        </w:tc>
        <w:tc>
          <w:tcPr>
            <w:tcW w:w="992" w:type="dxa"/>
            <w:vAlign w:val="center"/>
          </w:tcPr>
          <w:p w14:paraId="24185D52">
            <w:pPr>
              <w:spacing w:line="360" w:lineRule="exact"/>
              <w:jc w:val="center"/>
              <w:rPr>
                <w:rFonts w:ascii="宋体" w:hAnsi="宋体" w:eastAsia="宋体" w:cs="Times New Roman"/>
                <w:color w:val="auto"/>
              </w:rPr>
            </w:pPr>
            <w:r>
              <w:rPr>
                <w:rFonts w:ascii="宋体" w:hAnsi="宋体" w:eastAsia="宋体" w:cs="Times New Roman"/>
                <w:color w:val="auto"/>
              </w:rPr>
              <w:t>139.7</w:t>
            </w:r>
          </w:p>
        </w:tc>
        <w:tc>
          <w:tcPr>
            <w:tcW w:w="991" w:type="dxa"/>
            <w:vAlign w:val="center"/>
          </w:tcPr>
          <w:p w14:paraId="55C0DED7">
            <w:pPr>
              <w:spacing w:line="360" w:lineRule="exact"/>
              <w:jc w:val="center"/>
              <w:rPr>
                <w:rFonts w:ascii="宋体" w:hAnsi="宋体" w:eastAsia="宋体" w:cs="Times New Roman"/>
                <w:color w:val="auto"/>
              </w:rPr>
            </w:pPr>
            <w:r>
              <w:rPr>
                <w:rFonts w:ascii="宋体" w:hAnsi="宋体" w:eastAsia="宋体" w:cs="Times New Roman"/>
                <w:color w:val="auto"/>
              </w:rPr>
              <w:t>215.9</w:t>
            </w:r>
          </w:p>
        </w:tc>
        <w:tc>
          <w:tcPr>
            <w:tcW w:w="1003" w:type="dxa"/>
            <w:vAlign w:val="center"/>
          </w:tcPr>
          <w:p w14:paraId="6331C5F4">
            <w:pPr>
              <w:spacing w:line="360" w:lineRule="exact"/>
              <w:ind w:left="-105" w:leftChars="-50" w:right="-105" w:rightChars="-50"/>
              <w:jc w:val="center"/>
              <w:rPr>
                <w:rFonts w:ascii="宋体" w:hAnsi="宋体" w:eastAsia="宋体" w:cs="Times New Roman"/>
                <w:color w:val="auto"/>
              </w:rPr>
            </w:pPr>
            <w:r>
              <w:rPr>
                <w:rFonts w:ascii="宋体" w:hAnsi="宋体" w:eastAsia="宋体" w:cs="Times New Roman"/>
                <w:color w:val="auto"/>
              </w:rPr>
              <w:t>10</w:t>
            </w:r>
          </w:p>
        </w:tc>
        <w:tc>
          <w:tcPr>
            <w:tcW w:w="1488" w:type="dxa"/>
            <w:vAlign w:val="center"/>
          </w:tcPr>
          <w:p w14:paraId="07841868">
            <w:pPr>
              <w:spacing w:line="360" w:lineRule="exact"/>
              <w:jc w:val="center"/>
              <w:rPr>
                <w:rFonts w:ascii="宋体" w:hAnsi="宋体" w:eastAsia="宋体" w:cs="Times New Roman"/>
                <w:color w:val="auto"/>
              </w:rPr>
            </w:pPr>
            <w:r>
              <w:rPr>
                <w:rFonts w:ascii="宋体" w:hAnsi="宋体" w:eastAsia="宋体" w:cs="Times New Roman"/>
                <w:color w:val="auto"/>
              </w:rPr>
              <w:t>地面</w:t>
            </w:r>
          </w:p>
        </w:tc>
        <w:tc>
          <w:tcPr>
            <w:tcW w:w="1488" w:type="dxa"/>
            <w:vAlign w:val="center"/>
          </w:tcPr>
          <w:p w14:paraId="71A8FD6F">
            <w:pPr>
              <w:spacing w:line="360" w:lineRule="exact"/>
              <w:jc w:val="center"/>
              <w:rPr>
                <w:rFonts w:ascii="宋体" w:hAnsi="宋体" w:eastAsia="宋体" w:cs="Times New Roman"/>
                <w:color w:val="auto"/>
              </w:rPr>
            </w:pPr>
            <w:r>
              <w:rPr>
                <w:rFonts w:ascii="宋体" w:hAnsi="宋体" w:eastAsia="宋体" w:cs="Times New Roman"/>
                <w:color w:val="auto"/>
              </w:rPr>
              <w:t>二开井深-3m</w:t>
            </w:r>
          </w:p>
        </w:tc>
        <w:tc>
          <w:tcPr>
            <w:tcW w:w="1156" w:type="dxa"/>
            <w:vAlign w:val="center"/>
          </w:tcPr>
          <w:p w14:paraId="7B0F793E">
            <w:pPr>
              <w:spacing w:line="360" w:lineRule="exact"/>
              <w:jc w:val="center"/>
              <w:rPr>
                <w:rFonts w:ascii="宋体" w:hAnsi="宋体" w:eastAsia="宋体" w:cs="Times New Roman"/>
                <w:color w:val="auto"/>
              </w:rPr>
            </w:pPr>
            <w:r>
              <w:rPr>
                <w:rFonts w:ascii="宋体" w:hAnsi="宋体" w:eastAsia="宋体" w:cs="Times New Roman"/>
                <w:color w:val="auto"/>
              </w:rPr>
              <w:t>高强</w:t>
            </w:r>
          </w:p>
          <w:p w14:paraId="1BAB2B59">
            <w:pPr>
              <w:spacing w:line="360" w:lineRule="exact"/>
              <w:jc w:val="center"/>
              <w:rPr>
                <w:rFonts w:ascii="宋体" w:hAnsi="宋体" w:eastAsia="宋体" w:cs="Times New Roman"/>
                <w:color w:val="auto"/>
              </w:rPr>
            </w:pPr>
            <w:r>
              <w:rPr>
                <w:rFonts w:ascii="宋体" w:hAnsi="宋体" w:eastAsia="宋体" w:cs="Times New Roman"/>
                <w:color w:val="auto"/>
              </w:rPr>
              <w:t>低密度</w:t>
            </w:r>
          </w:p>
        </w:tc>
        <w:tc>
          <w:tcPr>
            <w:tcW w:w="972" w:type="dxa"/>
            <w:vAlign w:val="center"/>
          </w:tcPr>
          <w:p w14:paraId="10AAB77F">
            <w:pPr>
              <w:spacing w:line="360" w:lineRule="exact"/>
              <w:ind w:left="-105" w:leftChars="-50" w:right="-105" w:rightChars="-50"/>
              <w:jc w:val="center"/>
              <w:rPr>
                <w:rFonts w:ascii="宋体" w:hAnsi="宋体" w:eastAsia="宋体" w:cs="Times New Roman"/>
                <w:color w:val="auto"/>
              </w:rPr>
            </w:pPr>
            <w:r>
              <w:rPr>
                <w:rFonts w:ascii="宋体" w:hAnsi="宋体" w:eastAsia="宋体" w:cs="Times New Roman"/>
                <w:color w:val="auto"/>
              </w:rPr>
              <w:t>123</w:t>
            </w:r>
          </w:p>
        </w:tc>
      </w:tr>
      <w:bookmarkEnd w:id="666"/>
      <w:bookmarkEnd w:id="667"/>
      <w:bookmarkEnd w:id="668"/>
      <w:bookmarkEnd w:id="669"/>
      <w:bookmarkEnd w:id="670"/>
    </w:tbl>
    <w:p w14:paraId="55CDFCF8">
      <w:pPr>
        <w:pStyle w:val="6"/>
        <w:rPr>
          <w:color w:val="auto"/>
        </w:rPr>
      </w:pPr>
      <w:r>
        <w:rPr>
          <w:rFonts w:hint="eastAsia"/>
          <w:color w:val="auto"/>
        </w:rPr>
        <w:t>储层改造工程</w:t>
      </w:r>
    </w:p>
    <w:p w14:paraId="5A6EA763">
      <w:pPr>
        <w:pStyle w:val="276"/>
        <w:widowControl w:val="0"/>
        <w:ind w:firstLine="480"/>
        <w:jc w:val="both"/>
        <w:rPr>
          <w:color w:val="auto"/>
          <w:kern w:val="21"/>
        </w:rPr>
      </w:pPr>
      <w:r>
        <w:rPr>
          <w:rFonts w:hint="eastAsia"/>
          <w:color w:val="auto"/>
          <w:kern w:val="21"/>
        </w:rPr>
        <w:t>（1）射孔完井</w:t>
      </w:r>
    </w:p>
    <w:p w14:paraId="62185B67">
      <w:pPr>
        <w:pStyle w:val="276"/>
        <w:widowControl w:val="0"/>
        <w:ind w:firstLine="480"/>
        <w:jc w:val="both"/>
        <w:rPr>
          <w:color w:val="auto"/>
          <w:kern w:val="21"/>
        </w:rPr>
      </w:pPr>
      <w:r>
        <w:rPr>
          <w:color w:val="auto"/>
          <w:kern w:val="21"/>
        </w:rPr>
        <w:t>本项目完井采用射孔完井，射孔完井法即钻穿油、气层，下入油层套管，固井后对生产层射孔。射孔是在井内下入专门的射孔器在油层部位射孔，穿透套管的水泥环进入地层，使油气层通过这些孔道与井底连通，从而为油流入井内造成通道的过程。采用射孔液主要成分为氯化钠或氯化钾类无机盐类水溶液，加适量黏土稳定剂。本项目对新钻的15口油井采用射孔完井，射孔液主要成分理化性质见</w:t>
      </w:r>
      <w:r>
        <w:rPr>
          <w:color w:val="auto"/>
          <w:kern w:val="21"/>
        </w:rPr>
        <w:fldChar w:fldCharType="begin"/>
      </w:r>
      <w:r>
        <w:rPr>
          <w:color w:val="auto"/>
          <w:kern w:val="21"/>
        </w:rPr>
        <w:instrText xml:space="preserve"> REF _Ref211958925 \h  \* MERGEFORMAT </w:instrText>
      </w:r>
      <w:r>
        <w:rPr>
          <w:color w:val="auto"/>
          <w:kern w:val="21"/>
        </w:rPr>
        <w:fldChar w:fldCharType="separate"/>
      </w:r>
      <w:r>
        <w:rPr>
          <w:color w:val="auto"/>
        </w:rPr>
        <w:t>表 3.6</w:t>
      </w:r>
      <w:r>
        <w:rPr>
          <w:color w:val="auto"/>
        </w:rPr>
        <w:noBreakHyphen/>
      </w:r>
      <w:r>
        <w:rPr>
          <w:color w:val="auto"/>
        </w:rPr>
        <w:t>11</w:t>
      </w:r>
      <w:r>
        <w:rPr>
          <w:color w:val="auto"/>
          <w:kern w:val="21"/>
        </w:rPr>
        <w:fldChar w:fldCharType="end"/>
      </w:r>
      <w:r>
        <w:rPr>
          <w:color w:val="auto"/>
          <w:kern w:val="21"/>
        </w:rPr>
        <w:t>。</w:t>
      </w:r>
    </w:p>
    <w:p w14:paraId="5B776179">
      <w:pPr>
        <w:pStyle w:val="22"/>
        <w:spacing w:before="156"/>
        <w:rPr>
          <w:color w:val="auto"/>
        </w:rPr>
      </w:pPr>
      <w:bookmarkStart w:id="671" w:name="_Ref211958925"/>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11</w:t>
      </w:r>
      <w:r>
        <w:rPr>
          <w:color w:val="auto"/>
        </w:rPr>
        <w:fldChar w:fldCharType="end"/>
      </w:r>
      <w:bookmarkEnd w:id="671"/>
      <w:r>
        <w:rPr>
          <w:color w:val="auto"/>
        </w:rPr>
        <w:t>射孔液成分理化性质表</w:t>
      </w:r>
    </w:p>
    <w:tbl>
      <w:tblPr>
        <w:tblStyle w:val="81"/>
        <w:tblW w:w="9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991"/>
        <w:gridCol w:w="7362"/>
      </w:tblGrid>
      <w:tr w14:paraId="59CD6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vAlign w:val="center"/>
          </w:tcPr>
          <w:p w14:paraId="0DE33DBF">
            <w:pPr>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序号</w:t>
            </w:r>
          </w:p>
        </w:tc>
        <w:tc>
          <w:tcPr>
            <w:tcW w:w="991" w:type="dxa"/>
            <w:vAlign w:val="center"/>
          </w:tcPr>
          <w:p w14:paraId="61C4733E">
            <w:pPr>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原料名称</w:t>
            </w:r>
          </w:p>
        </w:tc>
        <w:tc>
          <w:tcPr>
            <w:tcW w:w="7362" w:type="dxa"/>
            <w:vAlign w:val="center"/>
          </w:tcPr>
          <w:p w14:paraId="48860DD4">
            <w:pPr>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理化性质</w:t>
            </w:r>
          </w:p>
        </w:tc>
      </w:tr>
      <w:tr w14:paraId="08255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vAlign w:val="center"/>
          </w:tcPr>
          <w:p w14:paraId="37A74799">
            <w:pPr>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1</w:t>
            </w:r>
          </w:p>
        </w:tc>
        <w:tc>
          <w:tcPr>
            <w:tcW w:w="991" w:type="dxa"/>
            <w:vAlign w:val="center"/>
          </w:tcPr>
          <w:p w14:paraId="277299B1">
            <w:pPr>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NaCl</w:t>
            </w:r>
          </w:p>
        </w:tc>
        <w:tc>
          <w:tcPr>
            <w:tcW w:w="7362" w:type="dxa"/>
            <w:vAlign w:val="center"/>
          </w:tcPr>
          <w:p w14:paraId="727EDE5C">
            <w:pPr>
              <w:snapToGrid w:val="0"/>
              <w:spacing w:line="360" w:lineRule="exact"/>
              <w:rPr>
                <w:rFonts w:ascii="宋体" w:hAnsi="宋体" w:eastAsia="宋体" w:cs="Times New Roman"/>
                <w:color w:val="auto"/>
                <w:kern w:val="21"/>
              </w:rPr>
            </w:pPr>
            <w:r>
              <w:rPr>
                <w:rFonts w:ascii="宋体" w:hAnsi="宋体" w:eastAsia="宋体" w:cs="Times New Roman"/>
                <w:color w:val="auto"/>
                <w:kern w:val="21"/>
              </w:rPr>
              <w:t>白色晶状体，无化学毒性，但摄入量过多会引起细胞脱水，严重者会导致死亡。皮肤接触后用清水清洗即可。不易燃</w:t>
            </w:r>
          </w:p>
        </w:tc>
      </w:tr>
      <w:tr w14:paraId="688C8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vAlign w:val="center"/>
          </w:tcPr>
          <w:p w14:paraId="1CBCDB88">
            <w:pPr>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2</w:t>
            </w:r>
          </w:p>
        </w:tc>
        <w:tc>
          <w:tcPr>
            <w:tcW w:w="991" w:type="dxa"/>
            <w:vAlign w:val="center"/>
          </w:tcPr>
          <w:p w14:paraId="143EA768">
            <w:pPr>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KCl</w:t>
            </w:r>
          </w:p>
        </w:tc>
        <w:tc>
          <w:tcPr>
            <w:tcW w:w="7362" w:type="dxa"/>
            <w:vAlign w:val="center"/>
          </w:tcPr>
          <w:p w14:paraId="42A900B2">
            <w:pPr>
              <w:snapToGrid w:val="0"/>
              <w:spacing w:line="360" w:lineRule="exact"/>
              <w:rPr>
                <w:rFonts w:ascii="宋体" w:hAnsi="宋体" w:eastAsia="宋体" w:cs="Times New Roman"/>
                <w:color w:val="auto"/>
                <w:kern w:val="21"/>
              </w:rPr>
            </w:pPr>
            <w:r>
              <w:rPr>
                <w:rFonts w:ascii="宋体" w:hAnsi="宋体" w:eastAsia="宋体" w:cs="Times New Roman"/>
                <w:color w:val="auto"/>
                <w:kern w:val="21"/>
              </w:rPr>
              <w:t>无色细长菱形或成一立方晶体，或白色结晶小颗粒粉末，外观如同食盐，无臭无毒性、味咸。皮肤接触后用清水清洗干净即可。</w:t>
            </w:r>
          </w:p>
        </w:tc>
      </w:tr>
      <w:tr w14:paraId="6057B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5" w:type="dxa"/>
            <w:vAlign w:val="center"/>
          </w:tcPr>
          <w:p w14:paraId="71B7B88B">
            <w:pPr>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3</w:t>
            </w:r>
          </w:p>
        </w:tc>
        <w:tc>
          <w:tcPr>
            <w:tcW w:w="991" w:type="dxa"/>
            <w:vAlign w:val="center"/>
          </w:tcPr>
          <w:p w14:paraId="302F928D">
            <w:pPr>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黏土稳定剂</w:t>
            </w:r>
          </w:p>
        </w:tc>
        <w:tc>
          <w:tcPr>
            <w:tcW w:w="7362" w:type="dxa"/>
            <w:vAlign w:val="center"/>
          </w:tcPr>
          <w:p w14:paraId="2C15EDFC">
            <w:pPr>
              <w:snapToGrid w:val="0"/>
              <w:spacing w:line="360" w:lineRule="exact"/>
              <w:rPr>
                <w:rFonts w:ascii="宋体" w:hAnsi="宋体" w:eastAsia="宋体" w:cs="Times New Roman"/>
                <w:color w:val="auto"/>
                <w:kern w:val="21"/>
              </w:rPr>
            </w:pPr>
            <w:r>
              <w:rPr>
                <w:rFonts w:ascii="宋体" w:hAnsi="宋体" w:eastAsia="宋体" w:cs="Times New Roman"/>
                <w:color w:val="auto"/>
                <w:kern w:val="21"/>
              </w:rPr>
              <w:t>双聚铵盐(NH</w:t>
            </w:r>
            <w:r>
              <w:rPr>
                <w:rFonts w:ascii="宋体" w:hAnsi="宋体" w:eastAsia="宋体" w:cs="Times New Roman"/>
                <w:color w:val="auto"/>
                <w:kern w:val="21"/>
                <w:vertAlign w:val="subscript"/>
              </w:rPr>
              <w:t>4</w:t>
            </w:r>
            <w:r>
              <w:rPr>
                <w:rFonts w:ascii="宋体" w:hAnsi="宋体" w:eastAsia="宋体" w:cs="Times New Roman"/>
                <w:color w:val="auto"/>
                <w:kern w:val="21"/>
              </w:rPr>
              <w:t>-HPAN-2)，外观为自由流动的粉末及颗粒，铵含量（%）≤6.0，是水解聚丙烯腈-铵盐（NH</w:t>
            </w:r>
            <w:r>
              <w:rPr>
                <w:rFonts w:ascii="宋体" w:hAnsi="宋体" w:eastAsia="宋体" w:cs="Times New Roman"/>
                <w:color w:val="auto"/>
                <w:kern w:val="21"/>
                <w:vertAlign w:val="subscript"/>
              </w:rPr>
              <w:t>4</w:t>
            </w:r>
            <w:r>
              <w:rPr>
                <w:rFonts w:ascii="宋体" w:hAnsi="宋体" w:eastAsia="宋体" w:cs="Times New Roman"/>
                <w:color w:val="auto"/>
                <w:kern w:val="21"/>
              </w:rPr>
              <w:t>-HPAN）的进一步改进，克服了铵盐抗盐、抗钙力较差的缺点，是腈纶丝、丙烯酰胺、氨水在高温、高压下聚合的产物，因带有-NH</w:t>
            </w:r>
            <w:r>
              <w:rPr>
                <w:rFonts w:ascii="宋体" w:hAnsi="宋体" w:eastAsia="宋体" w:cs="Times New Roman"/>
                <w:color w:val="auto"/>
                <w:kern w:val="21"/>
                <w:vertAlign w:val="subscript"/>
              </w:rPr>
              <w:t>4</w:t>
            </w:r>
            <w:r>
              <w:rPr>
                <w:rFonts w:ascii="宋体" w:hAnsi="宋体" w:eastAsia="宋体" w:cs="Times New Roman"/>
                <w:color w:val="auto"/>
                <w:kern w:val="21"/>
              </w:rPr>
              <w:t>、-NH</w:t>
            </w:r>
            <w:r>
              <w:rPr>
                <w:rFonts w:ascii="宋体" w:hAnsi="宋体" w:eastAsia="宋体" w:cs="Times New Roman"/>
                <w:color w:val="auto"/>
                <w:kern w:val="21"/>
                <w:vertAlign w:val="subscript"/>
              </w:rPr>
              <w:t>2</w:t>
            </w:r>
            <w:r>
              <w:rPr>
                <w:rFonts w:ascii="宋体" w:hAnsi="宋体" w:eastAsia="宋体" w:cs="Times New Roman"/>
                <w:color w:val="auto"/>
                <w:kern w:val="21"/>
              </w:rPr>
              <w:t>、-CN基团，具有一定的防塌、防水化膨胀和很好的抗盐能力，无毒性</w:t>
            </w:r>
          </w:p>
        </w:tc>
      </w:tr>
    </w:tbl>
    <w:p w14:paraId="1F13F01D">
      <w:pPr>
        <w:pStyle w:val="276"/>
        <w:widowControl w:val="0"/>
        <w:ind w:firstLine="480"/>
        <w:jc w:val="both"/>
        <w:rPr>
          <w:color w:val="auto"/>
          <w:kern w:val="21"/>
        </w:rPr>
      </w:pPr>
      <w:bookmarkStart w:id="672" w:name="_Toc80971378"/>
      <w:bookmarkStart w:id="673" w:name="_Toc77067660"/>
      <w:bookmarkStart w:id="674" w:name="_Toc76976244"/>
      <w:bookmarkStart w:id="675" w:name="_Toc78816461"/>
      <w:bookmarkStart w:id="676" w:name="_Toc80588256"/>
      <w:bookmarkStart w:id="677" w:name="_Toc83209473"/>
      <w:r>
        <w:rPr>
          <w:rFonts w:hint="eastAsia"/>
          <w:color w:val="auto"/>
          <w:kern w:val="21"/>
        </w:rPr>
        <w:t>（2）</w:t>
      </w:r>
      <w:r>
        <w:rPr>
          <w:color w:val="auto"/>
          <w:kern w:val="21"/>
        </w:rPr>
        <w:t>压裂作业</w:t>
      </w:r>
    </w:p>
    <w:p w14:paraId="5AEF5676">
      <w:pPr>
        <w:pStyle w:val="276"/>
        <w:widowControl w:val="0"/>
        <w:ind w:firstLine="480"/>
        <w:jc w:val="both"/>
        <w:rPr>
          <w:color w:val="auto"/>
          <w:szCs w:val="22"/>
        </w:rPr>
      </w:pPr>
      <w:r>
        <w:rPr>
          <w:color w:val="auto"/>
          <w:szCs w:val="20"/>
        </w:rPr>
        <w:t>本项目6口新钻井需压裂作业，</w:t>
      </w:r>
      <w:r>
        <w:rPr>
          <w:color w:val="auto"/>
          <w:kern w:val="2"/>
        </w:rPr>
        <w:t>压裂液使用量为100m</w:t>
      </w:r>
      <w:r>
        <w:rPr>
          <w:color w:val="auto"/>
          <w:kern w:val="2"/>
          <w:vertAlign w:val="superscript"/>
        </w:rPr>
        <w:t>3</w:t>
      </w:r>
      <w:r>
        <w:rPr>
          <w:color w:val="auto"/>
          <w:kern w:val="2"/>
        </w:rPr>
        <w:t>/口</w:t>
      </w:r>
      <w:r>
        <w:rPr>
          <w:color w:val="auto"/>
          <w:szCs w:val="20"/>
        </w:rPr>
        <w:t>，压裂施工设备包括外加厚压裂管线、地面管线、井口控制器、压裂管汇、带有旋塞阀的防喷短节、压裂车组。施工期压裂液不在现场配制，由压裂液配制场地将配制好的压裂液直接拉运至现场进行施工，不产生废过硫酸钾包装袋。压裂是利用水力作用，使油气层形成裂缝的一种方法，又称水力压裂。油气层压裂工艺过程用压裂车，把高压大排量具有一定粘度的液体挤入油层，当把油层压出许多裂缝后，加入支撑剂（如石英砂、陶粒等）充填进裂缝，提高油层的渗透能力，以增加产油量。施工流程包括装井口→测微差井温→下压裂管柱→压裂准备→压裂→关闭油套管井口闸门→压后实探砂面→测微差井温。</w:t>
      </w:r>
      <w:r>
        <w:rPr>
          <w:color w:val="auto"/>
          <w:szCs w:val="22"/>
        </w:rPr>
        <w:t>压裂液主要成分理化性质见</w:t>
      </w:r>
      <w:r>
        <w:rPr>
          <w:color w:val="auto"/>
          <w:szCs w:val="22"/>
        </w:rPr>
        <w:fldChar w:fldCharType="begin"/>
      </w:r>
      <w:r>
        <w:rPr>
          <w:color w:val="auto"/>
          <w:szCs w:val="22"/>
        </w:rPr>
        <w:instrText xml:space="preserve"> REF _Ref211958940 \h  \* MERGEFORMAT </w:instrText>
      </w:r>
      <w:r>
        <w:rPr>
          <w:color w:val="auto"/>
          <w:szCs w:val="22"/>
        </w:rPr>
        <w:fldChar w:fldCharType="separate"/>
      </w:r>
      <w:r>
        <w:rPr>
          <w:color w:val="auto"/>
        </w:rPr>
        <w:t>表 3.6</w:t>
      </w:r>
      <w:r>
        <w:rPr>
          <w:color w:val="auto"/>
        </w:rPr>
        <w:noBreakHyphen/>
      </w:r>
      <w:r>
        <w:rPr>
          <w:color w:val="auto"/>
        </w:rPr>
        <w:t>12</w:t>
      </w:r>
      <w:r>
        <w:rPr>
          <w:color w:val="auto"/>
          <w:szCs w:val="22"/>
        </w:rPr>
        <w:fldChar w:fldCharType="end"/>
      </w:r>
      <w:r>
        <w:rPr>
          <w:color w:val="auto"/>
          <w:szCs w:val="22"/>
        </w:rPr>
        <w:t>。</w:t>
      </w:r>
    </w:p>
    <w:p w14:paraId="2AD4C31C">
      <w:pPr>
        <w:pStyle w:val="22"/>
        <w:spacing w:before="156"/>
        <w:rPr>
          <w:color w:val="auto"/>
        </w:rPr>
      </w:pPr>
      <w:bookmarkStart w:id="678" w:name="_Ref211958940"/>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12</w:t>
      </w:r>
      <w:r>
        <w:rPr>
          <w:color w:val="auto"/>
        </w:rPr>
        <w:fldChar w:fldCharType="end"/>
      </w:r>
      <w:bookmarkEnd w:id="678"/>
      <w:r>
        <w:rPr>
          <w:color w:val="auto"/>
        </w:rPr>
        <w:t>压裂液各成分理化性质一览表</w:t>
      </w:r>
    </w:p>
    <w:tbl>
      <w:tblPr>
        <w:tblStyle w:val="81"/>
        <w:tblW w:w="9049"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839"/>
        <w:gridCol w:w="6519"/>
        <w:gridCol w:w="1129"/>
      </w:tblGrid>
      <w:tr w14:paraId="371E4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Align w:val="center"/>
          </w:tcPr>
          <w:p w14:paraId="3F4DE5A2">
            <w:pPr>
              <w:spacing w:line="340" w:lineRule="exact"/>
              <w:jc w:val="center"/>
              <w:rPr>
                <w:rFonts w:ascii="宋体" w:hAnsi="宋体" w:eastAsia="宋体" w:cs="Times New Roman"/>
                <w:color w:val="auto"/>
              </w:rPr>
            </w:pPr>
            <w:r>
              <w:rPr>
                <w:rFonts w:ascii="宋体" w:hAnsi="宋体" w:eastAsia="宋体" w:cs="Times New Roman"/>
                <w:color w:val="auto"/>
              </w:rPr>
              <w:t>序号</w:t>
            </w:r>
          </w:p>
        </w:tc>
        <w:tc>
          <w:tcPr>
            <w:tcW w:w="839" w:type="dxa"/>
            <w:vAlign w:val="center"/>
          </w:tcPr>
          <w:p w14:paraId="2A6F573D">
            <w:pPr>
              <w:spacing w:line="340" w:lineRule="exact"/>
              <w:jc w:val="center"/>
              <w:rPr>
                <w:rFonts w:ascii="宋体" w:hAnsi="宋体" w:eastAsia="宋体" w:cs="Times New Roman"/>
                <w:color w:val="auto"/>
              </w:rPr>
            </w:pPr>
            <w:r>
              <w:rPr>
                <w:rFonts w:ascii="宋体" w:hAnsi="宋体" w:eastAsia="宋体" w:cs="Times New Roman"/>
                <w:color w:val="auto"/>
              </w:rPr>
              <w:t>原料名称</w:t>
            </w:r>
          </w:p>
        </w:tc>
        <w:tc>
          <w:tcPr>
            <w:tcW w:w="6519" w:type="dxa"/>
            <w:vAlign w:val="center"/>
          </w:tcPr>
          <w:p w14:paraId="0C727B68">
            <w:pPr>
              <w:spacing w:line="340" w:lineRule="exact"/>
              <w:jc w:val="center"/>
              <w:rPr>
                <w:rFonts w:ascii="宋体" w:hAnsi="宋体" w:eastAsia="宋体" w:cs="Times New Roman"/>
                <w:color w:val="auto"/>
              </w:rPr>
            </w:pPr>
            <w:r>
              <w:rPr>
                <w:rFonts w:ascii="宋体" w:hAnsi="宋体" w:eastAsia="宋体" w:cs="Times New Roman"/>
                <w:color w:val="auto"/>
              </w:rPr>
              <w:t>理化性质及作用</w:t>
            </w:r>
          </w:p>
        </w:tc>
        <w:tc>
          <w:tcPr>
            <w:tcW w:w="1129" w:type="dxa"/>
            <w:vAlign w:val="center"/>
          </w:tcPr>
          <w:p w14:paraId="1EF4F9C2">
            <w:pPr>
              <w:spacing w:line="340" w:lineRule="exact"/>
              <w:jc w:val="center"/>
              <w:rPr>
                <w:rFonts w:ascii="宋体" w:hAnsi="宋体" w:eastAsia="宋体" w:cs="Times New Roman"/>
                <w:color w:val="auto"/>
              </w:rPr>
            </w:pPr>
            <w:r>
              <w:rPr>
                <w:rFonts w:ascii="宋体" w:hAnsi="宋体" w:eastAsia="宋体" w:cs="Times New Roman"/>
                <w:color w:val="auto"/>
              </w:rPr>
              <w:t>毒理性质</w:t>
            </w:r>
          </w:p>
        </w:tc>
      </w:tr>
      <w:tr w14:paraId="6B5DE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Align w:val="center"/>
          </w:tcPr>
          <w:p w14:paraId="20327882">
            <w:pPr>
              <w:spacing w:line="340" w:lineRule="exact"/>
              <w:jc w:val="center"/>
              <w:rPr>
                <w:rFonts w:ascii="宋体" w:hAnsi="宋体" w:eastAsia="宋体" w:cs="Times New Roman"/>
                <w:color w:val="auto"/>
              </w:rPr>
            </w:pPr>
            <w:r>
              <w:rPr>
                <w:rFonts w:ascii="宋体" w:hAnsi="宋体" w:eastAsia="宋体" w:cs="Times New Roman"/>
                <w:color w:val="auto"/>
              </w:rPr>
              <w:t>1</w:t>
            </w:r>
          </w:p>
        </w:tc>
        <w:tc>
          <w:tcPr>
            <w:tcW w:w="839" w:type="dxa"/>
            <w:vAlign w:val="center"/>
          </w:tcPr>
          <w:p w14:paraId="4B45E8F2">
            <w:pPr>
              <w:spacing w:line="340" w:lineRule="exact"/>
              <w:jc w:val="center"/>
              <w:rPr>
                <w:rFonts w:ascii="宋体" w:hAnsi="宋体" w:eastAsia="宋体" w:cs="Times New Roman"/>
                <w:color w:val="auto"/>
              </w:rPr>
            </w:pPr>
            <w:r>
              <w:rPr>
                <w:rFonts w:ascii="宋体" w:hAnsi="宋体" w:eastAsia="宋体" w:cs="Times New Roman"/>
                <w:color w:val="auto"/>
              </w:rPr>
              <w:t>改性胍胶</w:t>
            </w:r>
          </w:p>
        </w:tc>
        <w:tc>
          <w:tcPr>
            <w:tcW w:w="6519" w:type="dxa"/>
            <w:vAlign w:val="center"/>
          </w:tcPr>
          <w:p w14:paraId="54065DF6">
            <w:pPr>
              <w:spacing w:line="340" w:lineRule="exact"/>
              <w:rPr>
                <w:rFonts w:ascii="宋体" w:hAnsi="宋体" w:eastAsia="宋体" w:cs="Times New Roman"/>
                <w:color w:val="auto"/>
              </w:rPr>
            </w:pPr>
            <w:r>
              <w:rPr>
                <w:rFonts w:ascii="宋体" w:hAnsi="宋体" w:eastAsia="宋体" w:cs="Times New Roman"/>
                <w:color w:val="auto"/>
              </w:rPr>
              <w:t>采用昆山羟丙基胍胶，羟丙基胍胶具有增稠能力强，热稳定性好的特点，对水有很强的亲合力。当胍胶粉末加入水中，胍胶的微粒便“溶胀、水合”，也就是聚合物分子与许多水分子形成缔合体，然后在溶液中展开、伸长。在水基体系中，聚合物线团的相互作用，产生了粘稠溶液。适合储层温度 80℃～200℃，降低了压裂液的残渣与施工摩阻，能满足高温、低渗储层压裂改造的需要。</w:t>
            </w:r>
          </w:p>
        </w:tc>
        <w:tc>
          <w:tcPr>
            <w:tcW w:w="1129" w:type="dxa"/>
            <w:vAlign w:val="center"/>
          </w:tcPr>
          <w:p w14:paraId="134F7C3D">
            <w:pPr>
              <w:spacing w:line="340" w:lineRule="exact"/>
              <w:jc w:val="center"/>
              <w:rPr>
                <w:rFonts w:ascii="宋体" w:hAnsi="宋体" w:eastAsia="宋体" w:cs="Times New Roman"/>
                <w:color w:val="auto"/>
              </w:rPr>
            </w:pPr>
            <w:r>
              <w:rPr>
                <w:rFonts w:ascii="宋体" w:hAnsi="宋体" w:eastAsia="宋体" w:cs="Times New Roman"/>
                <w:color w:val="auto"/>
              </w:rPr>
              <w:t>无毒性</w:t>
            </w:r>
          </w:p>
        </w:tc>
      </w:tr>
      <w:tr w14:paraId="02FED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Align w:val="center"/>
          </w:tcPr>
          <w:p w14:paraId="0CDE6B49">
            <w:pPr>
              <w:spacing w:line="340" w:lineRule="exact"/>
              <w:jc w:val="center"/>
              <w:rPr>
                <w:rFonts w:ascii="宋体" w:hAnsi="宋体" w:eastAsia="宋体" w:cs="Times New Roman"/>
                <w:color w:val="auto"/>
              </w:rPr>
            </w:pPr>
            <w:r>
              <w:rPr>
                <w:rFonts w:ascii="宋体" w:hAnsi="宋体" w:eastAsia="宋体" w:cs="Times New Roman"/>
                <w:color w:val="auto"/>
              </w:rPr>
              <w:t>2</w:t>
            </w:r>
          </w:p>
        </w:tc>
        <w:tc>
          <w:tcPr>
            <w:tcW w:w="839" w:type="dxa"/>
            <w:vAlign w:val="center"/>
          </w:tcPr>
          <w:p w14:paraId="4BC689E3">
            <w:pPr>
              <w:spacing w:line="340" w:lineRule="exact"/>
              <w:jc w:val="center"/>
              <w:rPr>
                <w:rFonts w:ascii="宋体" w:hAnsi="宋体" w:eastAsia="宋体" w:cs="Times New Roman"/>
                <w:color w:val="auto"/>
              </w:rPr>
            </w:pPr>
            <w:r>
              <w:rPr>
                <w:rFonts w:ascii="宋体" w:hAnsi="宋体" w:eastAsia="宋体" w:cs="Times New Roman"/>
                <w:color w:val="auto"/>
              </w:rPr>
              <w:t>润湿改进剂</w:t>
            </w:r>
          </w:p>
        </w:tc>
        <w:tc>
          <w:tcPr>
            <w:tcW w:w="6519" w:type="dxa"/>
            <w:vAlign w:val="center"/>
          </w:tcPr>
          <w:p w14:paraId="1AA4B66A">
            <w:pPr>
              <w:spacing w:line="340" w:lineRule="exact"/>
              <w:rPr>
                <w:rFonts w:ascii="宋体" w:hAnsi="宋体" w:eastAsia="宋体" w:cs="Times New Roman"/>
                <w:color w:val="auto"/>
              </w:rPr>
            </w:pPr>
            <w:r>
              <w:rPr>
                <w:rFonts w:ascii="宋体" w:hAnsi="宋体" w:eastAsia="宋体" w:cs="Times New Roman"/>
                <w:color w:val="auto"/>
              </w:rPr>
              <w:t>常用的润湿剂主要是非离子型表面活性剂，如 AE1910、OP-10、SP169、796A、TA-1031等，能将亲油砂岩润湿为亲水砂岩，有利于提高相对渗透率。</w:t>
            </w:r>
          </w:p>
        </w:tc>
        <w:tc>
          <w:tcPr>
            <w:tcW w:w="1129" w:type="dxa"/>
            <w:vAlign w:val="center"/>
          </w:tcPr>
          <w:p w14:paraId="3BF6B808">
            <w:pPr>
              <w:spacing w:line="340" w:lineRule="exact"/>
              <w:jc w:val="center"/>
              <w:rPr>
                <w:rFonts w:ascii="宋体" w:hAnsi="宋体" w:eastAsia="宋体" w:cs="Times New Roman"/>
                <w:color w:val="auto"/>
              </w:rPr>
            </w:pPr>
            <w:r>
              <w:rPr>
                <w:rFonts w:ascii="宋体" w:hAnsi="宋体" w:eastAsia="宋体" w:cs="Times New Roman"/>
                <w:color w:val="auto"/>
              </w:rPr>
              <w:t>无毒性</w:t>
            </w:r>
          </w:p>
        </w:tc>
      </w:tr>
      <w:tr w14:paraId="721C6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Align w:val="center"/>
          </w:tcPr>
          <w:p w14:paraId="05473FD5">
            <w:pPr>
              <w:spacing w:line="340" w:lineRule="exact"/>
              <w:jc w:val="center"/>
              <w:rPr>
                <w:rFonts w:ascii="宋体" w:hAnsi="宋体" w:eastAsia="宋体" w:cs="Times New Roman"/>
                <w:color w:val="auto"/>
              </w:rPr>
            </w:pPr>
            <w:r>
              <w:rPr>
                <w:rFonts w:ascii="宋体" w:hAnsi="宋体" w:eastAsia="宋体" w:cs="Times New Roman"/>
                <w:color w:val="auto"/>
              </w:rPr>
              <w:t>3</w:t>
            </w:r>
          </w:p>
        </w:tc>
        <w:tc>
          <w:tcPr>
            <w:tcW w:w="839" w:type="dxa"/>
            <w:vAlign w:val="center"/>
          </w:tcPr>
          <w:p w14:paraId="19688A7A">
            <w:pPr>
              <w:spacing w:line="340" w:lineRule="exact"/>
              <w:jc w:val="center"/>
              <w:rPr>
                <w:rFonts w:ascii="宋体" w:hAnsi="宋体" w:eastAsia="宋体" w:cs="Times New Roman"/>
                <w:color w:val="auto"/>
              </w:rPr>
            </w:pPr>
            <w:r>
              <w:rPr>
                <w:rFonts w:ascii="宋体" w:hAnsi="宋体" w:eastAsia="宋体" w:cs="Times New Roman"/>
                <w:color w:val="auto"/>
              </w:rPr>
              <w:t>破乳剂</w:t>
            </w:r>
          </w:p>
        </w:tc>
        <w:tc>
          <w:tcPr>
            <w:tcW w:w="6519" w:type="dxa"/>
            <w:vAlign w:val="center"/>
          </w:tcPr>
          <w:p w14:paraId="5A95285A">
            <w:pPr>
              <w:spacing w:line="340" w:lineRule="exact"/>
              <w:rPr>
                <w:rFonts w:ascii="宋体" w:hAnsi="宋体" w:eastAsia="宋体" w:cs="Times New Roman"/>
                <w:color w:val="auto"/>
              </w:rPr>
            </w:pPr>
            <w:r>
              <w:rPr>
                <w:rFonts w:ascii="宋体" w:hAnsi="宋体" w:eastAsia="宋体" w:cs="Times New Roman"/>
                <w:color w:val="auto"/>
              </w:rPr>
              <w:t>多为胺型表面活性剂，以多乙烯多胺为引发剂，用环氧丙烷多段整体聚合而成的胺型非离子表面活性剂，破乳剂的相对分子质量大有利于破乳。主要作用是将乳化状的油水混合液中油和水分离开来。</w:t>
            </w:r>
          </w:p>
        </w:tc>
        <w:tc>
          <w:tcPr>
            <w:tcW w:w="1129" w:type="dxa"/>
            <w:vAlign w:val="center"/>
          </w:tcPr>
          <w:p w14:paraId="2739DE93">
            <w:pPr>
              <w:spacing w:line="340" w:lineRule="exact"/>
              <w:jc w:val="center"/>
              <w:rPr>
                <w:rFonts w:ascii="宋体" w:hAnsi="宋体" w:eastAsia="宋体" w:cs="Times New Roman"/>
                <w:color w:val="auto"/>
              </w:rPr>
            </w:pPr>
            <w:r>
              <w:rPr>
                <w:rFonts w:ascii="宋体" w:hAnsi="宋体" w:eastAsia="宋体" w:cs="Times New Roman"/>
                <w:color w:val="auto"/>
              </w:rPr>
              <w:t>无毒性</w:t>
            </w:r>
          </w:p>
        </w:tc>
      </w:tr>
      <w:tr w14:paraId="6B19A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Align w:val="center"/>
          </w:tcPr>
          <w:p w14:paraId="47E83073">
            <w:pPr>
              <w:spacing w:line="340" w:lineRule="exact"/>
              <w:jc w:val="center"/>
              <w:rPr>
                <w:rFonts w:ascii="宋体" w:hAnsi="宋体" w:eastAsia="宋体" w:cs="Times New Roman"/>
                <w:color w:val="auto"/>
              </w:rPr>
            </w:pPr>
            <w:r>
              <w:rPr>
                <w:rFonts w:ascii="宋体" w:hAnsi="宋体" w:eastAsia="宋体" w:cs="Times New Roman"/>
                <w:color w:val="auto"/>
              </w:rPr>
              <w:t>4</w:t>
            </w:r>
          </w:p>
        </w:tc>
        <w:tc>
          <w:tcPr>
            <w:tcW w:w="839" w:type="dxa"/>
            <w:vAlign w:val="center"/>
          </w:tcPr>
          <w:p w14:paraId="31978F82">
            <w:pPr>
              <w:spacing w:line="340" w:lineRule="exact"/>
              <w:jc w:val="center"/>
              <w:rPr>
                <w:rFonts w:ascii="宋体" w:hAnsi="宋体" w:eastAsia="宋体" w:cs="Times New Roman"/>
                <w:color w:val="auto"/>
              </w:rPr>
            </w:pPr>
            <w:r>
              <w:rPr>
                <w:rFonts w:ascii="宋体" w:hAnsi="宋体" w:eastAsia="宋体" w:cs="Times New Roman"/>
                <w:color w:val="auto"/>
              </w:rPr>
              <w:t>消泡剂</w:t>
            </w:r>
          </w:p>
        </w:tc>
        <w:tc>
          <w:tcPr>
            <w:tcW w:w="6519" w:type="dxa"/>
            <w:vAlign w:val="center"/>
          </w:tcPr>
          <w:p w14:paraId="1E693F00">
            <w:pPr>
              <w:spacing w:line="340" w:lineRule="exact"/>
              <w:rPr>
                <w:rFonts w:ascii="宋体" w:hAnsi="宋体" w:eastAsia="宋体" w:cs="Times New Roman"/>
                <w:color w:val="auto"/>
              </w:rPr>
            </w:pPr>
            <w:r>
              <w:rPr>
                <w:rFonts w:ascii="宋体" w:hAnsi="宋体" w:eastAsia="宋体" w:cs="Times New Roman"/>
                <w:color w:val="auto"/>
              </w:rPr>
              <w:t>主要成分是烷基硅油，烷基硅油的表面张力很低，在常温下具有消泡速度快、抑泡较好的特性。</w:t>
            </w:r>
          </w:p>
        </w:tc>
        <w:tc>
          <w:tcPr>
            <w:tcW w:w="1129" w:type="dxa"/>
            <w:vAlign w:val="center"/>
          </w:tcPr>
          <w:p w14:paraId="46A2B57F">
            <w:pPr>
              <w:spacing w:line="340" w:lineRule="exact"/>
              <w:jc w:val="center"/>
              <w:rPr>
                <w:rFonts w:ascii="宋体" w:hAnsi="宋体" w:eastAsia="宋体" w:cs="Times New Roman"/>
                <w:color w:val="auto"/>
              </w:rPr>
            </w:pPr>
            <w:r>
              <w:rPr>
                <w:rFonts w:ascii="宋体" w:hAnsi="宋体" w:eastAsia="宋体" w:cs="Times New Roman"/>
                <w:color w:val="auto"/>
              </w:rPr>
              <w:t>无毒性</w:t>
            </w:r>
          </w:p>
        </w:tc>
      </w:tr>
      <w:tr w14:paraId="02B0A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Align w:val="center"/>
          </w:tcPr>
          <w:p w14:paraId="517A0366">
            <w:pPr>
              <w:spacing w:line="340" w:lineRule="exact"/>
              <w:jc w:val="center"/>
              <w:rPr>
                <w:rFonts w:ascii="宋体" w:hAnsi="宋体" w:eastAsia="宋体" w:cs="Times New Roman"/>
                <w:color w:val="auto"/>
              </w:rPr>
            </w:pPr>
            <w:r>
              <w:rPr>
                <w:rFonts w:ascii="宋体" w:hAnsi="宋体" w:eastAsia="宋体" w:cs="Times New Roman"/>
                <w:color w:val="auto"/>
              </w:rPr>
              <w:t>5</w:t>
            </w:r>
          </w:p>
        </w:tc>
        <w:tc>
          <w:tcPr>
            <w:tcW w:w="839" w:type="dxa"/>
            <w:vAlign w:val="center"/>
          </w:tcPr>
          <w:p w14:paraId="50E13001">
            <w:pPr>
              <w:spacing w:line="340" w:lineRule="exact"/>
              <w:jc w:val="center"/>
              <w:rPr>
                <w:rFonts w:ascii="宋体" w:hAnsi="宋体" w:eastAsia="宋体" w:cs="Times New Roman"/>
                <w:color w:val="auto"/>
              </w:rPr>
            </w:pPr>
            <w:r>
              <w:rPr>
                <w:rFonts w:ascii="宋体" w:hAnsi="宋体" w:eastAsia="宋体" w:cs="Times New Roman"/>
                <w:color w:val="auto"/>
              </w:rPr>
              <w:t>高温</w:t>
            </w:r>
          </w:p>
          <w:p w14:paraId="69FB68EF">
            <w:pPr>
              <w:spacing w:line="340" w:lineRule="exact"/>
              <w:jc w:val="center"/>
              <w:rPr>
                <w:rFonts w:ascii="宋体" w:hAnsi="宋体" w:eastAsia="宋体" w:cs="Times New Roman"/>
                <w:color w:val="auto"/>
              </w:rPr>
            </w:pPr>
            <w:r>
              <w:rPr>
                <w:rFonts w:ascii="宋体" w:hAnsi="宋体" w:eastAsia="宋体" w:cs="Times New Roman"/>
                <w:color w:val="auto"/>
              </w:rPr>
              <w:t>交联剂</w:t>
            </w:r>
          </w:p>
        </w:tc>
        <w:tc>
          <w:tcPr>
            <w:tcW w:w="6519" w:type="dxa"/>
            <w:vAlign w:val="center"/>
          </w:tcPr>
          <w:p w14:paraId="6CF5791B">
            <w:pPr>
              <w:spacing w:line="340" w:lineRule="exact"/>
              <w:rPr>
                <w:rFonts w:ascii="宋体" w:hAnsi="宋体" w:eastAsia="宋体" w:cs="Times New Roman"/>
                <w:color w:val="auto"/>
              </w:rPr>
            </w:pPr>
            <w:r>
              <w:rPr>
                <w:rFonts w:ascii="宋体" w:hAnsi="宋体" w:eastAsia="宋体" w:cs="Times New Roman"/>
                <w:color w:val="auto"/>
              </w:rPr>
              <w:t>通过化学键或配位键与稠化剂发生交联反应的试剂称为交联剂。交联剂将聚合物的各种分子联结成一种结构，使原来的聚合物分子量明显地增加，调整压裂液的粘度。</w:t>
            </w:r>
          </w:p>
        </w:tc>
        <w:tc>
          <w:tcPr>
            <w:tcW w:w="1129" w:type="dxa"/>
            <w:vAlign w:val="center"/>
          </w:tcPr>
          <w:p w14:paraId="2033EA4F">
            <w:pPr>
              <w:spacing w:line="340" w:lineRule="exact"/>
              <w:jc w:val="center"/>
              <w:rPr>
                <w:rFonts w:ascii="宋体" w:hAnsi="宋体" w:eastAsia="宋体" w:cs="Times New Roman"/>
                <w:color w:val="auto"/>
              </w:rPr>
            </w:pPr>
            <w:r>
              <w:rPr>
                <w:rFonts w:ascii="宋体" w:hAnsi="宋体" w:eastAsia="宋体" w:cs="Times New Roman"/>
                <w:color w:val="auto"/>
              </w:rPr>
              <w:t>无毒性</w:t>
            </w:r>
          </w:p>
        </w:tc>
      </w:tr>
      <w:tr w14:paraId="0D2A1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562" w:type="dxa"/>
            <w:vAlign w:val="center"/>
          </w:tcPr>
          <w:p w14:paraId="4E4E3A5C">
            <w:pPr>
              <w:spacing w:line="340" w:lineRule="exact"/>
              <w:jc w:val="center"/>
              <w:rPr>
                <w:rFonts w:ascii="宋体" w:hAnsi="宋体" w:eastAsia="宋体" w:cs="Times New Roman"/>
                <w:color w:val="auto"/>
              </w:rPr>
            </w:pPr>
            <w:r>
              <w:rPr>
                <w:rFonts w:ascii="宋体" w:hAnsi="宋体" w:eastAsia="宋体" w:cs="Times New Roman"/>
                <w:color w:val="auto"/>
              </w:rPr>
              <w:t>6</w:t>
            </w:r>
          </w:p>
        </w:tc>
        <w:tc>
          <w:tcPr>
            <w:tcW w:w="839" w:type="dxa"/>
            <w:vAlign w:val="center"/>
          </w:tcPr>
          <w:p w14:paraId="2A21AB39">
            <w:pPr>
              <w:spacing w:line="340" w:lineRule="exact"/>
              <w:jc w:val="center"/>
              <w:rPr>
                <w:rFonts w:ascii="宋体" w:hAnsi="宋体" w:eastAsia="宋体" w:cs="Times New Roman"/>
                <w:color w:val="auto"/>
              </w:rPr>
            </w:pPr>
            <w:r>
              <w:rPr>
                <w:rFonts w:ascii="宋体" w:hAnsi="宋体" w:eastAsia="宋体" w:cs="Times New Roman"/>
                <w:color w:val="auto"/>
              </w:rPr>
              <w:t>有机硼</w:t>
            </w:r>
          </w:p>
        </w:tc>
        <w:tc>
          <w:tcPr>
            <w:tcW w:w="6519" w:type="dxa"/>
            <w:vAlign w:val="center"/>
          </w:tcPr>
          <w:p w14:paraId="68B28558">
            <w:pPr>
              <w:spacing w:line="340" w:lineRule="exact"/>
              <w:rPr>
                <w:rFonts w:ascii="宋体" w:hAnsi="宋体" w:eastAsia="宋体" w:cs="Times New Roman"/>
                <w:color w:val="auto"/>
              </w:rPr>
            </w:pPr>
            <w:r>
              <w:rPr>
                <w:rFonts w:ascii="宋体" w:hAnsi="宋体" w:eastAsia="宋体" w:cs="Times New Roman"/>
                <w:color w:val="auto"/>
              </w:rPr>
              <w:t>含有硼原子的有机化合物，作为交联剂辅助用剂。</w:t>
            </w:r>
          </w:p>
        </w:tc>
        <w:tc>
          <w:tcPr>
            <w:tcW w:w="1129" w:type="dxa"/>
            <w:vAlign w:val="center"/>
          </w:tcPr>
          <w:p w14:paraId="23B2606E">
            <w:pPr>
              <w:spacing w:line="340" w:lineRule="exact"/>
              <w:jc w:val="center"/>
              <w:rPr>
                <w:rFonts w:ascii="宋体" w:hAnsi="宋体" w:eastAsia="宋体" w:cs="Times New Roman"/>
                <w:color w:val="auto"/>
              </w:rPr>
            </w:pPr>
            <w:r>
              <w:rPr>
                <w:rFonts w:ascii="宋体" w:hAnsi="宋体" w:eastAsia="宋体" w:cs="Times New Roman"/>
                <w:color w:val="auto"/>
              </w:rPr>
              <w:t>无毒性</w:t>
            </w:r>
          </w:p>
        </w:tc>
      </w:tr>
      <w:tr w14:paraId="42A5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Align w:val="center"/>
          </w:tcPr>
          <w:p w14:paraId="23FAB234">
            <w:pPr>
              <w:spacing w:line="340" w:lineRule="exact"/>
              <w:jc w:val="center"/>
              <w:rPr>
                <w:rFonts w:ascii="宋体" w:hAnsi="宋体" w:eastAsia="宋体" w:cs="Times New Roman"/>
                <w:color w:val="auto"/>
              </w:rPr>
            </w:pPr>
            <w:r>
              <w:rPr>
                <w:rFonts w:ascii="宋体" w:hAnsi="宋体" w:eastAsia="宋体" w:cs="Times New Roman"/>
                <w:color w:val="auto"/>
              </w:rPr>
              <w:t>7</w:t>
            </w:r>
          </w:p>
        </w:tc>
        <w:tc>
          <w:tcPr>
            <w:tcW w:w="839" w:type="dxa"/>
            <w:vAlign w:val="center"/>
          </w:tcPr>
          <w:p w14:paraId="639338D9">
            <w:pPr>
              <w:spacing w:line="340" w:lineRule="exact"/>
              <w:jc w:val="center"/>
              <w:rPr>
                <w:rFonts w:ascii="宋体" w:hAnsi="宋体" w:eastAsia="宋体" w:cs="Times New Roman"/>
                <w:color w:val="auto"/>
              </w:rPr>
            </w:pPr>
            <w:r>
              <w:rPr>
                <w:rFonts w:ascii="宋体" w:hAnsi="宋体" w:eastAsia="宋体" w:cs="Times New Roman"/>
                <w:color w:val="auto"/>
              </w:rPr>
              <w:t>高温破胶剂</w:t>
            </w:r>
          </w:p>
        </w:tc>
        <w:tc>
          <w:tcPr>
            <w:tcW w:w="6519" w:type="dxa"/>
            <w:vAlign w:val="center"/>
          </w:tcPr>
          <w:p w14:paraId="21F8D35F">
            <w:pPr>
              <w:spacing w:line="340" w:lineRule="exact"/>
              <w:rPr>
                <w:rFonts w:ascii="宋体" w:hAnsi="宋体" w:eastAsia="宋体" w:cs="Times New Roman"/>
                <w:color w:val="auto"/>
              </w:rPr>
            </w:pPr>
            <w:r>
              <w:rPr>
                <w:rFonts w:ascii="宋体" w:hAnsi="宋体" w:eastAsia="宋体" w:cs="Times New Roman"/>
                <w:color w:val="auto"/>
              </w:rPr>
              <w:t>目前适用于水基交联冻胶体系的破胶剂，以过硫酸钾作为主要助剂。</w:t>
            </w:r>
          </w:p>
        </w:tc>
        <w:tc>
          <w:tcPr>
            <w:tcW w:w="1129" w:type="dxa"/>
            <w:vAlign w:val="center"/>
          </w:tcPr>
          <w:p w14:paraId="61D1A49F">
            <w:pPr>
              <w:spacing w:line="340" w:lineRule="exact"/>
              <w:jc w:val="center"/>
              <w:rPr>
                <w:rFonts w:ascii="宋体" w:hAnsi="宋体" w:eastAsia="宋体" w:cs="Times New Roman"/>
                <w:color w:val="auto"/>
              </w:rPr>
            </w:pPr>
            <w:r>
              <w:rPr>
                <w:rFonts w:ascii="宋体" w:hAnsi="宋体" w:eastAsia="宋体" w:cs="Times New Roman"/>
                <w:color w:val="auto"/>
              </w:rPr>
              <w:t>无毒性</w:t>
            </w:r>
          </w:p>
        </w:tc>
      </w:tr>
      <w:tr w14:paraId="1229F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Align w:val="center"/>
          </w:tcPr>
          <w:p w14:paraId="5DAF2A9E">
            <w:pPr>
              <w:spacing w:line="340" w:lineRule="exact"/>
              <w:jc w:val="center"/>
              <w:rPr>
                <w:rFonts w:ascii="宋体" w:hAnsi="宋体" w:eastAsia="宋体" w:cs="Times New Roman"/>
                <w:color w:val="auto"/>
              </w:rPr>
            </w:pPr>
            <w:r>
              <w:rPr>
                <w:rFonts w:ascii="宋体" w:hAnsi="宋体" w:eastAsia="宋体" w:cs="Times New Roman"/>
                <w:color w:val="auto"/>
              </w:rPr>
              <w:t>8</w:t>
            </w:r>
          </w:p>
        </w:tc>
        <w:tc>
          <w:tcPr>
            <w:tcW w:w="839" w:type="dxa"/>
            <w:vAlign w:val="center"/>
          </w:tcPr>
          <w:p w14:paraId="2402DB72">
            <w:pPr>
              <w:spacing w:line="340" w:lineRule="exact"/>
              <w:jc w:val="center"/>
              <w:rPr>
                <w:rFonts w:ascii="宋体" w:hAnsi="宋体" w:eastAsia="宋体" w:cs="Times New Roman"/>
                <w:color w:val="auto"/>
              </w:rPr>
            </w:pPr>
            <w:r>
              <w:rPr>
                <w:rFonts w:ascii="宋体" w:hAnsi="宋体" w:eastAsia="宋体" w:cs="Times New Roman"/>
                <w:color w:val="auto"/>
              </w:rPr>
              <w:t>过硫酸钾</w:t>
            </w:r>
          </w:p>
        </w:tc>
        <w:tc>
          <w:tcPr>
            <w:tcW w:w="6519" w:type="dxa"/>
            <w:vAlign w:val="center"/>
          </w:tcPr>
          <w:p w14:paraId="1CA97B69">
            <w:pPr>
              <w:spacing w:line="340" w:lineRule="exact"/>
              <w:rPr>
                <w:rFonts w:ascii="宋体" w:hAnsi="宋体" w:eastAsia="宋体" w:cs="Times New Roman"/>
                <w:color w:val="auto"/>
              </w:rPr>
            </w:pPr>
            <w:r>
              <w:rPr>
                <w:rFonts w:ascii="宋体" w:hAnsi="宋体" w:eastAsia="宋体" w:cs="Times New Roman"/>
                <w:color w:val="auto"/>
              </w:rPr>
              <w:t>无机化合物，白色结晶，无气味，有潮解性，可用作油井压裂液的破胶剂。有强氧化性和助凝性，与有机物或</w:t>
            </w:r>
            <w:r>
              <w:rPr>
                <w:color w:val="auto"/>
              </w:rPr>
              <w:fldChar w:fldCharType="begin"/>
            </w:r>
            <w:r>
              <w:rPr>
                <w:color w:val="auto"/>
              </w:rPr>
              <w:instrText xml:space="preserve"> HYPERLINK "https://baike.so.com/doc/1598359-1689598.html" \t "_blank" </w:instrText>
            </w:r>
            <w:r>
              <w:rPr>
                <w:color w:val="auto"/>
              </w:rPr>
              <w:fldChar w:fldCharType="separate"/>
            </w:r>
            <w:r>
              <w:rPr>
                <w:rFonts w:ascii="宋体" w:hAnsi="宋体" w:eastAsia="宋体" w:cs="Times New Roman"/>
                <w:color w:val="auto"/>
              </w:rPr>
              <w:t>还原物</w:t>
            </w:r>
            <w:r>
              <w:rPr>
                <w:rFonts w:ascii="宋体" w:hAnsi="宋体" w:eastAsia="宋体" w:cs="Times New Roman"/>
                <w:color w:val="auto"/>
              </w:rPr>
              <w:fldChar w:fldCharType="end"/>
            </w:r>
            <w:r>
              <w:rPr>
                <w:rFonts w:ascii="宋体" w:hAnsi="宋体" w:eastAsia="宋体" w:cs="Times New Roman"/>
                <w:color w:val="auto"/>
              </w:rPr>
              <w:t>混合会发生爆炸。</w:t>
            </w:r>
          </w:p>
        </w:tc>
        <w:tc>
          <w:tcPr>
            <w:tcW w:w="1129" w:type="dxa"/>
            <w:vAlign w:val="center"/>
          </w:tcPr>
          <w:p w14:paraId="2CF01A33">
            <w:pPr>
              <w:spacing w:line="340" w:lineRule="exact"/>
              <w:jc w:val="center"/>
              <w:rPr>
                <w:rFonts w:ascii="宋体" w:hAnsi="宋体" w:eastAsia="宋体" w:cs="Times New Roman"/>
                <w:color w:val="auto"/>
              </w:rPr>
            </w:pPr>
            <w:r>
              <w:rPr>
                <w:rFonts w:ascii="宋体" w:hAnsi="宋体" w:eastAsia="宋体" w:cs="Times New Roman"/>
                <w:color w:val="auto"/>
              </w:rPr>
              <w:t>中等毒性</w:t>
            </w:r>
          </w:p>
        </w:tc>
      </w:tr>
      <w:tr w14:paraId="55405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Align w:val="center"/>
          </w:tcPr>
          <w:p w14:paraId="6E5E9329">
            <w:pPr>
              <w:spacing w:line="340" w:lineRule="exact"/>
              <w:jc w:val="center"/>
              <w:rPr>
                <w:rFonts w:ascii="宋体" w:hAnsi="宋体" w:eastAsia="宋体" w:cs="Times New Roman"/>
                <w:color w:val="auto"/>
              </w:rPr>
            </w:pPr>
            <w:r>
              <w:rPr>
                <w:rFonts w:ascii="宋体" w:hAnsi="宋体" w:eastAsia="宋体" w:cs="Times New Roman"/>
                <w:color w:val="auto"/>
              </w:rPr>
              <w:t>9</w:t>
            </w:r>
          </w:p>
        </w:tc>
        <w:tc>
          <w:tcPr>
            <w:tcW w:w="839" w:type="dxa"/>
            <w:vAlign w:val="center"/>
          </w:tcPr>
          <w:p w14:paraId="3D4090BE">
            <w:pPr>
              <w:spacing w:line="340" w:lineRule="exact"/>
              <w:jc w:val="center"/>
              <w:rPr>
                <w:rFonts w:ascii="宋体" w:hAnsi="宋体" w:eastAsia="宋体" w:cs="Times New Roman"/>
                <w:color w:val="auto"/>
              </w:rPr>
            </w:pPr>
            <w:r>
              <w:rPr>
                <w:rFonts w:ascii="宋体" w:hAnsi="宋体" w:eastAsia="宋体" w:cs="Times New Roman"/>
                <w:color w:val="auto"/>
              </w:rPr>
              <w:t>碳酸钠</w:t>
            </w:r>
          </w:p>
        </w:tc>
        <w:tc>
          <w:tcPr>
            <w:tcW w:w="6519" w:type="dxa"/>
            <w:vAlign w:val="center"/>
          </w:tcPr>
          <w:p w14:paraId="70FDA4CF">
            <w:pPr>
              <w:spacing w:line="340" w:lineRule="exact"/>
              <w:rPr>
                <w:rFonts w:ascii="宋体" w:hAnsi="宋体" w:eastAsia="宋体" w:cs="Times New Roman"/>
                <w:color w:val="auto"/>
              </w:rPr>
            </w:pPr>
            <w:r>
              <w:rPr>
                <w:rFonts w:ascii="宋体" w:hAnsi="宋体" w:eastAsia="宋体" w:cs="Times New Roman"/>
                <w:color w:val="auto"/>
              </w:rPr>
              <w:t>无水碳酸钠为白色粉末，易溶于水，水溶液呈碱性，pH 值为11.5。在泥浆中发生电离和水解，提供 Na</w:t>
            </w:r>
            <w:r>
              <w:rPr>
                <w:rFonts w:ascii="宋体" w:hAnsi="宋体" w:eastAsia="宋体" w:cs="Times New Roman"/>
                <w:color w:val="auto"/>
                <w:vertAlign w:val="superscript"/>
              </w:rPr>
              <w:t>+</w:t>
            </w:r>
            <w:r>
              <w:rPr>
                <w:rFonts w:ascii="宋体" w:hAnsi="宋体" w:eastAsia="宋体" w:cs="Times New Roman"/>
                <w:color w:val="auto"/>
              </w:rPr>
              <w:t>和CO</w:t>
            </w:r>
            <w:r>
              <w:rPr>
                <w:rFonts w:ascii="宋体" w:hAnsi="宋体" w:eastAsia="宋体" w:cs="Times New Roman"/>
                <w:color w:val="auto"/>
                <w:vertAlign w:val="subscript"/>
              </w:rPr>
              <w:t>3</w:t>
            </w:r>
            <w:r>
              <w:rPr>
                <w:rFonts w:ascii="宋体" w:hAnsi="宋体" w:eastAsia="宋体" w:cs="Times New Roman"/>
                <w:color w:val="auto"/>
                <w:vertAlign w:val="superscript"/>
              </w:rPr>
              <w:t>2-</w:t>
            </w:r>
            <w:r>
              <w:rPr>
                <w:rFonts w:ascii="宋体" w:hAnsi="宋体" w:eastAsia="宋体" w:cs="Times New Roman"/>
                <w:color w:val="auto"/>
              </w:rPr>
              <w:t>，在泥浆中通过离子交换和沉淀作用，使钙质粘土变为钠质粘土。另外可除掉石膏或水泥浸入泥浆中的Ca</w:t>
            </w:r>
            <w:r>
              <w:rPr>
                <w:rFonts w:ascii="宋体" w:hAnsi="宋体" w:eastAsia="宋体" w:cs="Times New Roman"/>
                <w:color w:val="auto"/>
                <w:vertAlign w:val="superscript"/>
              </w:rPr>
              <w:t>2+</w:t>
            </w:r>
            <w:r>
              <w:rPr>
                <w:rFonts w:ascii="宋体" w:hAnsi="宋体" w:eastAsia="宋体" w:cs="Times New Roman"/>
                <w:color w:val="auto"/>
              </w:rPr>
              <w:t>离子，使泥浆性能变好。</w:t>
            </w:r>
          </w:p>
        </w:tc>
        <w:tc>
          <w:tcPr>
            <w:tcW w:w="1129" w:type="dxa"/>
            <w:vAlign w:val="center"/>
          </w:tcPr>
          <w:p w14:paraId="4DA88698">
            <w:pPr>
              <w:spacing w:line="340" w:lineRule="exact"/>
              <w:jc w:val="center"/>
              <w:rPr>
                <w:rFonts w:ascii="宋体" w:hAnsi="宋体" w:eastAsia="宋体" w:cs="Times New Roman"/>
                <w:color w:val="auto"/>
              </w:rPr>
            </w:pPr>
            <w:r>
              <w:rPr>
                <w:rFonts w:ascii="宋体" w:hAnsi="宋体" w:eastAsia="宋体" w:cs="Times New Roman"/>
                <w:color w:val="auto"/>
              </w:rPr>
              <w:t>无毒性</w:t>
            </w:r>
          </w:p>
        </w:tc>
      </w:tr>
      <w:tr w14:paraId="57184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Align w:val="center"/>
          </w:tcPr>
          <w:p w14:paraId="20453731">
            <w:pPr>
              <w:spacing w:line="340" w:lineRule="exact"/>
              <w:jc w:val="center"/>
              <w:rPr>
                <w:rFonts w:ascii="宋体" w:hAnsi="宋体" w:eastAsia="宋体" w:cs="Times New Roman"/>
                <w:color w:val="auto"/>
              </w:rPr>
            </w:pPr>
            <w:r>
              <w:rPr>
                <w:rFonts w:ascii="宋体" w:hAnsi="宋体" w:eastAsia="宋体" w:cs="Times New Roman"/>
                <w:color w:val="auto"/>
              </w:rPr>
              <w:t>10</w:t>
            </w:r>
          </w:p>
        </w:tc>
        <w:tc>
          <w:tcPr>
            <w:tcW w:w="839" w:type="dxa"/>
            <w:vAlign w:val="center"/>
          </w:tcPr>
          <w:p w14:paraId="1A630FB8">
            <w:pPr>
              <w:spacing w:line="340" w:lineRule="exact"/>
              <w:jc w:val="center"/>
              <w:rPr>
                <w:rFonts w:ascii="宋体" w:hAnsi="宋体" w:eastAsia="宋体" w:cs="Times New Roman"/>
                <w:color w:val="auto"/>
              </w:rPr>
            </w:pPr>
            <w:r>
              <w:rPr>
                <w:rFonts w:ascii="宋体" w:hAnsi="宋体" w:eastAsia="宋体" w:cs="Times New Roman"/>
                <w:color w:val="auto"/>
              </w:rPr>
              <w:t>碳酸氢钠</w:t>
            </w:r>
          </w:p>
        </w:tc>
        <w:tc>
          <w:tcPr>
            <w:tcW w:w="6519" w:type="dxa"/>
            <w:vAlign w:val="center"/>
          </w:tcPr>
          <w:p w14:paraId="655ED32B">
            <w:pPr>
              <w:spacing w:line="340" w:lineRule="exact"/>
              <w:rPr>
                <w:rFonts w:ascii="宋体" w:hAnsi="宋体" w:eastAsia="宋体" w:cs="Times New Roman"/>
                <w:color w:val="auto"/>
              </w:rPr>
            </w:pPr>
            <w:r>
              <w:rPr>
                <w:rFonts w:ascii="宋体" w:hAnsi="宋体" w:eastAsia="宋体" w:cs="Times New Roman"/>
                <w:color w:val="auto"/>
              </w:rPr>
              <w:t>白色细小晶体，溶于水时呈现弱碱性，固体50℃以上开始逐渐分解生成碳酸钠、二氧化碳和水，270℃时完全分解。</w:t>
            </w:r>
          </w:p>
        </w:tc>
        <w:tc>
          <w:tcPr>
            <w:tcW w:w="1129" w:type="dxa"/>
            <w:vAlign w:val="center"/>
          </w:tcPr>
          <w:p w14:paraId="01D803D9">
            <w:pPr>
              <w:spacing w:line="340" w:lineRule="exact"/>
              <w:jc w:val="center"/>
              <w:rPr>
                <w:rFonts w:ascii="宋体" w:hAnsi="宋体" w:eastAsia="宋体" w:cs="Times New Roman"/>
                <w:color w:val="auto"/>
              </w:rPr>
            </w:pPr>
            <w:r>
              <w:rPr>
                <w:rFonts w:ascii="宋体" w:hAnsi="宋体" w:eastAsia="宋体" w:cs="Times New Roman"/>
                <w:color w:val="auto"/>
              </w:rPr>
              <w:t>无毒性</w:t>
            </w:r>
          </w:p>
        </w:tc>
      </w:tr>
      <w:bookmarkEnd w:id="630"/>
      <w:bookmarkEnd w:id="631"/>
      <w:bookmarkEnd w:id="672"/>
      <w:bookmarkEnd w:id="673"/>
      <w:bookmarkEnd w:id="674"/>
      <w:bookmarkEnd w:id="675"/>
      <w:bookmarkEnd w:id="676"/>
      <w:bookmarkEnd w:id="677"/>
    </w:tbl>
    <w:p w14:paraId="5A3D0028">
      <w:pPr>
        <w:pStyle w:val="6"/>
        <w:rPr>
          <w:color w:val="auto"/>
        </w:rPr>
      </w:pPr>
      <w:bookmarkStart w:id="679" w:name="_Toc106810302"/>
      <w:bookmarkStart w:id="680" w:name="_Toc84929229"/>
      <w:bookmarkStart w:id="681" w:name="_Toc86141932"/>
      <w:bookmarkStart w:id="682" w:name="_Toc85640753"/>
      <w:bookmarkStart w:id="683" w:name="_Toc143099575"/>
      <w:bookmarkStart w:id="684" w:name="_Toc100822116"/>
      <w:bookmarkStart w:id="685" w:name="_Toc103610875"/>
      <w:r>
        <w:rPr>
          <w:color w:val="auto"/>
        </w:rPr>
        <w:t>采油工程</w:t>
      </w:r>
    </w:p>
    <w:p w14:paraId="713BEDF2">
      <w:pPr>
        <w:pStyle w:val="276"/>
        <w:widowControl w:val="0"/>
        <w:ind w:firstLine="480"/>
        <w:jc w:val="both"/>
        <w:rPr>
          <w:color w:val="auto"/>
          <w:szCs w:val="20"/>
        </w:rPr>
      </w:pPr>
      <w:r>
        <w:rPr>
          <w:color w:val="auto"/>
          <w:szCs w:val="20"/>
        </w:rPr>
        <w:t>本项目基建油井4口</w:t>
      </w:r>
      <w:r>
        <w:rPr>
          <w:color w:val="auto"/>
        </w:rPr>
        <w:t>，</w:t>
      </w:r>
      <w:r>
        <w:rPr>
          <w:color w:val="auto"/>
          <w:szCs w:val="20"/>
        </w:rPr>
        <w:t>全部采用抽油机举升采油方式，新建抽油机4台、电动机4台、控制柜4台。拟建油井机型及配电装置统计</w:t>
      </w:r>
      <w:r>
        <w:rPr>
          <w:rFonts w:hint="eastAsia"/>
          <w:color w:val="auto"/>
          <w:szCs w:val="20"/>
        </w:rPr>
        <w:t>见</w:t>
      </w:r>
      <w:r>
        <w:rPr>
          <w:color w:val="auto"/>
          <w:szCs w:val="20"/>
        </w:rPr>
        <w:fldChar w:fldCharType="begin"/>
      </w:r>
      <w:r>
        <w:rPr>
          <w:color w:val="auto"/>
          <w:szCs w:val="20"/>
        </w:rPr>
        <w:instrText xml:space="preserve"> </w:instrText>
      </w:r>
      <w:r>
        <w:rPr>
          <w:rFonts w:hint="eastAsia"/>
          <w:color w:val="auto"/>
          <w:szCs w:val="20"/>
        </w:rPr>
        <w:instrText xml:space="preserve">REF _Ref211958961 \h</w:instrText>
      </w:r>
      <w:r>
        <w:rPr>
          <w:color w:val="auto"/>
          <w:szCs w:val="20"/>
        </w:rPr>
        <w:instrText xml:space="preserve">  \* MERGEFORMAT </w:instrText>
      </w:r>
      <w:r>
        <w:rPr>
          <w:color w:val="auto"/>
          <w:szCs w:val="20"/>
        </w:rPr>
        <w:fldChar w:fldCharType="separate"/>
      </w:r>
      <w:r>
        <w:rPr>
          <w:color w:val="auto"/>
        </w:rPr>
        <w:t>表 3.6</w:t>
      </w:r>
      <w:r>
        <w:rPr>
          <w:color w:val="auto"/>
        </w:rPr>
        <w:noBreakHyphen/>
      </w:r>
      <w:r>
        <w:rPr>
          <w:color w:val="auto"/>
        </w:rPr>
        <w:t>13</w:t>
      </w:r>
      <w:r>
        <w:rPr>
          <w:color w:val="auto"/>
          <w:szCs w:val="20"/>
        </w:rPr>
        <w:fldChar w:fldCharType="end"/>
      </w:r>
      <w:r>
        <w:rPr>
          <w:color w:val="auto"/>
          <w:szCs w:val="20"/>
        </w:rPr>
        <w:t>。</w:t>
      </w:r>
    </w:p>
    <w:p w14:paraId="232460F1">
      <w:pPr>
        <w:pStyle w:val="22"/>
        <w:spacing w:before="156"/>
        <w:rPr>
          <w:color w:val="auto"/>
          <w:kern w:val="21"/>
        </w:rPr>
      </w:pPr>
      <w:bookmarkStart w:id="686" w:name="_Ref211958961"/>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13</w:t>
      </w:r>
      <w:r>
        <w:rPr>
          <w:color w:val="auto"/>
        </w:rPr>
        <w:fldChar w:fldCharType="end"/>
      </w:r>
      <w:bookmarkEnd w:id="686"/>
      <w:r>
        <w:rPr>
          <w:color w:val="auto"/>
        </w:rPr>
        <w:t>拟建油井机型及配电装置统计表</w:t>
      </w:r>
    </w:p>
    <w:tbl>
      <w:tblPr>
        <w:tblStyle w:val="81"/>
        <w:tblW w:w="90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0"/>
        <w:gridCol w:w="5042"/>
        <w:gridCol w:w="1687"/>
        <w:gridCol w:w="1057"/>
      </w:tblGrid>
      <w:tr w14:paraId="7C6D3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90" w:type="dxa"/>
            <w:vAlign w:val="center"/>
          </w:tcPr>
          <w:p w14:paraId="45A7B320">
            <w:pPr>
              <w:snapToGrid w:val="0"/>
              <w:spacing w:line="320" w:lineRule="exact"/>
              <w:jc w:val="center"/>
              <w:rPr>
                <w:rFonts w:ascii="宋体" w:hAnsi="宋体" w:eastAsia="宋体" w:cs="Times New Roman"/>
                <w:color w:val="auto"/>
                <w:kern w:val="21"/>
              </w:rPr>
            </w:pPr>
            <w:r>
              <w:rPr>
                <w:rFonts w:ascii="宋体" w:hAnsi="宋体" w:eastAsia="宋体" w:cs="Times New Roman"/>
                <w:color w:val="auto"/>
                <w:kern w:val="21"/>
              </w:rPr>
              <w:t>名称</w:t>
            </w:r>
          </w:p>
        </w:tc>
        <w:tc>
          <w:tcPr>
            <w:tcW w:w="5042" w:type="dxa"/>
            <w:vAlign w:val="center"/>
          </w:tcPr>
          <w:p w14:paraId="4D8FA798">
            <w:pPr>
              <w:snapToGrid w:val="0"/>
              <w:spacing w:line="320" w:lineRule="exact"/>
              <w:jc w:val="center"/>
              <w:rPr>
                <w:rFonts w:ascii="宋体" w:hAnsi="宋体" w:eastAsia="宋体" w:cs="Times New Roman"/>
                <w:color w:val="auto"/>
                <w:kern w:val="21"/>
              </w:rPr>
            </w:pPr>
            <w:r>
              <w:rPr>
                <w:rFonts w:ascii="宋体" w:hAnsi="宋体" w:eastAsia="宋体" w:cs="Times New Roman"/>
                <w:color w:val="auto"/>
                <w:kern w:val="21"/>
              </w:rPr>
              <w:t>型号</w:t>
            </w:r>
          </w:p>
        </w:tc>
        <w:tc>
          <w:tcPr>
            <w:tcW w:w="1687" w:type="dxa"/>
            <w:vAlign w:val="center"/>
          </w:tcPr>
          <w:p w14:paraId="1B1D4B50">
            <w:pPr>
              <w:snapToGrid w:val="0"/>
              <w:spacing w:line="320" w:lineRule="exact"/>
              <w:jc w:val="center"/>
              <w:rPr>
                <w:rFonts w:ascii="宋体" w:hAnsi="宋体" w:eastAsia="宋体" w:cs="Times New Roman"/>
                <w:color w:val="auto"/>
                <w:kern w:val="21"/>
              </w:rPr>
            </w:pPr>
            <w:r>
              <w:rPr>
                <w:rFonts w:ascii="宋体" w:hAnsi="宋体" w:eastAsia="宋体" w:cs="Times New Roman"/>
                <w:color w:val="auto"/>
                <w:kern w:val="21"/>
              </w:rPr>
              <w:t>数量</w:t>
            </w:r>
          </w:p>
        </w:tc>
        <w:tc>
          <w:tcPr>
            <w:tcW w:w="1057" w:type="dxa"/>
            <w:vAlign w:val="center"/>
          </w:tcPr>
          <w:p w14:paraId="4DDEEE6A">
            <w:pPr>
              <w:snapToGrid w:val="0"/>
              <w:spacing w:line="320" w:lineRule="exact"/>
              <w:jc w:val="center"/>
              <w:rPr>
                <w:rFonts w:ascii="宋体" w:hAnsi="宋体" w:eastAsia="宋体" w:cs="Times New Roman"/>
                <w:color w:val="auto"/>
                <w:kern w:val="21"/>
              </w:rPr>
            </w:pPr>
            <w:r>
              <w:rPr>
                <w:rFonts w:ascii="宋体" w:hAnsi="宋体" w:eastAsia="宋体" w:cs="Times New Roman"/>
                <w:color w:val="auto"/>
                <w:kern w:val="21"/>
              </w:rPr>
              <w:t>备注</w:t>
            </w:r>
          </w:p>
        </w:tc>
      </w:tr>
      <w:tr w14:paraId="244BE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90" w:type="dxa"/>
          </w:tcPr>
          <w:p w14:paraId="048D4DDF">
            <w:pPr>
              <w:spacing w:line="340" w:lineRule="exact"/>
              <w:jc w:val="center"/>
              <w:rPr>
                <w:rFonts w:ascii="宋体" w:hAnsi="宋体" w:eastAsia="宋体" w:cs="Times New Roman"/>
                <w:color w:val="auto"/>
              </w:rPr>
            </w:pPr>
            <w:r>
              <w:rPr>
                <w:rFonts w:ascii="宋体" w:hAnsi="宋体" w:eastAsia="宋体" w:cs="Times New Roman"/>
                <w:color w:val="auto"/>
              </w:rPr>
              <w:t>抽油机</w:t>
            </w:r>
          </w:p>
        </w:tc>
        <w:tc>
          <w:tcPr>
            <w:tcW w:w="5042" w:type="dxa"/>
          </w:tcPr>
          <w:p w14:paraId="3BF10668">
            <w:pPr>
              <w:spacing w:line="340" w:lineRule="exact"/>
              <w:jc w:val="center"/>
              <w:rPr>
                <w:rFonts w:ascii="宋体" w:hAnsi="宋体" w:eastAsia="宋体" w:cs="Times New Roman"/>
                <w:color w:val="auto"/>
              </w:rPr>
            </w:pPr>
            <w:r>
              <w:rPr>
                <w:rFonts w:ascii="宋体" w:hAnsi="宋体" w:eastAsia="宋体" w:cs="Times New Roman"/>
                <w:color w:val="auto"/>
              </w:rPr>
              <w:t>CYJY10-3-37HB</w:t>
            </w:r>
          </w:p>
        </w:tc>
        <w:tc>
          <w:tcPr>
            <w:tcW w:w="1687" w:type="dxa"/>
          </w:tcPr>
          <w:p w14:paraId="288F8592">
            <w:pPr>
              <w:spacing w:line="340" w:lineRule="exact"/>
              <w:jc w:val="center"/>
              <w:rPr>
                <w:rFonts w:ascii="宋体" w:hAnsi="宋体" w:eastAsia="宋体" w:cs="Times New Roman"/>
                <w:color w:val="auto"/>
              </w:rPr>
            </w:pPr>
            <w:r>
              <w:rPr>
                <w:rFonts w:ascii="宋体" w:hAnsi="宋体" w:eastAsia="宋体" w:cs="Times New Roman"/>
                <w:color w:val="auto"/>
              </w:rPr>
              <w:t>台</w:t>
            </w:r>
          </w:p>
        </w:tc>
        <w:tc>
          <w:tcPr>
            <w:tcW w:w="1057" w:type="dxa"/>
          </w:tcPr>
          <w:p w14:paraId="2503F7F3">
            <w:pPr>
              <w:spacing w:line="340" w:lineRule="exact"/>
              <w:jc w:val="center"/>
              <w:rPr>
                <w:rFonts w:ascii="宋体" w:hAnsi="宋体" w:eastAsia="宋体" w:cs="Times New Roman"/>
                <w:color w:val="auto"/>
              </w:rPr>
            </w:pPr>
            <w:r>
              <w:rPr>
                <w:rFonts w:ascii="宋体" w:hAnsi="宋体" w:eastAsia="宋体" w:cs="Times New Roman"/>
                <w:color w:val="auto"/>
              </w:rPr>
              <w:t>4</w:t>
            </w:r>
          </w:p>
        </w:tc>
      </w:tr>
      <w:tr w14:paraId="27345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1290" w:type="dxa"/>
          </w:tcPr>
          <w:p w14:paraId="0F7BF69F">
            <w:pPr>
              <w:spacing w:line="340" w:lineRule="exact"/>
              <w:jc w:val="center"/>
              <w:rPr>
                <w:rFonts w:ascii="宋体" w:hAnsi="宋体" w:eastAsia="宋体" w:cs="Times New Roman"/>
                <w:color w:val="auto"/>
              </w:rPr>
            </w:pPr>
            <w:r>
              <w:rPr>
                <w:rFonts w:ascii="宋体" w:hAnsi="宋体" w:eastAsia="宋体" w:cs="Times New Roman"/>
                <w:color w:val="auto"/>
              </w:rPr>
              <w:t>电动机</w:t>
            </w:r>
          </w:p>
        </w:tc>
        <w:tc>
          <w:tcPr>
            <w:tcW w:w="5042" w:type="dxa"/>
            <w:tcBorders>
              <w:bottom w:val="single" w:color="000000" w:sz="2" w:space="0"/>
            </w:tcBorders>
          </w:tcPr>
          <w:p w14:paraId="21B0E910">
            <w:pPr>
              <w:spacing w:line="340" w:lineRule="exact"/>
              <w:jc w:val="center"/>
              <w:rPr>
                <w:rFonts w:ascii="宋体" w:hAnsi="宋体" w:eastAsia="宋体" w:cs="Times New Roman"/>
                <w:color w:val="auto"/>
              </w:rPr>
            </w:pPr>
            <w:r>
              <w:rPr>
                <w:rFonts w:ascii="宋体" w:hAnsi="宋体" w:eastAsia="宋体" w:cs="Times New Roman"/>
                <w:color w:val="auto"/>
              </w:rPr>
              <w:t>额定电压 380V 、额定功率 30kW</w:t>
            </w:r>
          </w:p>
        </w:tc>
        <w:tc>
          <w:tcPr>
            <w:tcW w:w="1687" w:type="dxa"/>
            <w:tcBorders>
              <w:bottom w:val="single" w:color="000000" w:sz="2" w:space="0"/>
            </w:tcBorders>
          </w:tcPr>
          <w:p w14:paraId="1AE9C03D">
            <w:pPr>
              <w:spacing w:line="340" w:lineRule="exact"/>
              <w:jc w:val="center"/>
              <w:rPr>
                <w:rFonts w:ascii="宋体" w:hAnsi="宋体" w:eastAsia="宋体" w:cs="Times New Roman"/>
                <w:color w:val="auto"/>
              </w:rPr>
            </w:pPr>
            <w:r>
              <w:rPr>
                <w:rFonts w:ascii="宋体" w:hAnsi="宋体" w:eastAsia="宋体" w:cs="Times New Roman"/>
                <w:color w:val="auto"/>
              </w:rPr>
              <w:t>台</w:t>
            </w:r>
          </w:p>
        </w:tc>
        <w:tc>
          <w:tcPr>
            <w:tcW w:w="1057" w:type="dxa"/>
            <w:tcBorders>
              <w:bottom w:val="single" w:color="000000" w:sz="2" w:space="0"/>
            </w:tcBorders>
          </w:tcPr>
          <w:p w14:paraId="1480AB32">
            <w:pPr>
              <w:spacing w:line="340" w:lineRule="exact"/>
              <w:jc w:val="center"/>
              <w:rPr>
                <w:rFonts w:ascii="宋体" w:hAnsi="宋体" w:eastAsia="宋体" w:cs="Times New Roman"/>
                <w:color w:val="auto"/>
              </w:rPr>
            </w:pPr>
            <w:r>
              <w:rPr>
                <w:rFonts w:ascii="宋体" w:hAnsi="宋体" w:eastAsia="宋体" w:cs="Times New Roman"/>
                <w:color w:val="auto"/>
              </w:rPr>
              <w:t>4</w:t>
            </w:r>
          </w:p>
        </w:tc>
      </w:tr>
      <w:tr w14:paraId="4F6D2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 w:hRule="atLeast"/>
          <w:jc w:val="center"/>
        </w:trPr>
        <w:tc>
          <w:tcPr>
            <w:tcW w:w="1290" w:type="dxa"/>
          </w:tcPr>
          <w:p w14:paraId="1E25E852">
            <w:pPr>
              <w:spacing w:line="340" w:lineRule="exact"/>
              <w:jc w:val="center"/>
              <w:rPr>
                <w:rFonts w:ascii="宋体" w:hAnsi="宋体" w:eastAsia="宋体" w:cs="Times New Roman"/>
                <w:color w:val="auto"/>
              </w:rPr>
            </w:pPr>
            <w:r>
              <w:rPr>
                <w:rFonts w:ascii="宋体" w:hAnsi="宋体" w:eastAsia="宋体" w:cs="Times New Roman"/>
                <w:color w:val="auto"/>
              </w:rPr>
              <w:t>控制柜</w:t>
            </w:r>
          </w:p>
        </w:tc>
        <w:tc>
          <w:tcPr>
            <w:tcW w:w="5042" w:type="dxa"/>
            <w:tcBorders>
              <w:bottom w:val="single" w:color="000000" w:sz="2" w:space="0"/>
            </w:tcBorders>
          </w:tcPr>
          <w:p w14:paraId="2F4E4EB5">
            <w:pPr>
              <w:spacing w:line="340" w:lineRule="exact"/>
              <w:jc w:val="center"/>
              <w:rPr>
                <w:rFonts w:ascii="宋体" w:hAnsi="宋体" w:eastAsia="宋体" w:cs="Times New Roman"/>
                <w:color w:val="auto"/>
              </w:rPr>
            </w:pPr>
            <w:r>
              <w:rPr>
                <w:rFonts w:ascii="宋体" w:hAnsi="宋体" w:eastAsia="宋体" w:cs="Times New Roman"/>
                <w:color w:val="auto"/>
              </w:rPr>
              <w:t>额定电压 380V 、额定功率 30kW 不停机间抽控制柜</w:t>
            </w:r>
          </w:p>
        </w:tc>
        <w:tc>
          <w:tcPr>
            <w:tcW w:w="1687" w:type="dxa"/>
            <w:tcBorders>
              <w:bottom w:val="single" w:color="000000" w:sz="2" w:space="0"/>
            </w:tcBorders>
          </w:tcPr>
          <w:p w14:paraId="6A2E4314">
            <w:pPr>
              <w:spacing w:line="340" w:lineRule="exact"/>
              <w:jc w:val="center"/>
              <w:rPr>
                <w:rFonts w:ascii="宋体" w:hAnsi="宋体" w:eastAsia="宋体" w:cs="Times New Roman"/>
                <w:color w:val="auto"/>
              </w:rPr>
            </w:pPr>
            <w:r>
              <w:rPr>
                <w:rFonts w:ascii="宋体" w:hAnsi="宋体" w:eastAsia="宋体" w:cs="Times New Roman"/>
                <w:color w:val="auto"/>
              </w:rPr>
              <w:t>台</w:t>
            </w:r>
          </w:p>
        </w:tc>
        <w:tc>
          <w:tcPr>
            <w:tcW w:w="1057" w:type="dxa"/>
            <w:tcBorders>
              <w:bottom w:val="single" w:color="000000" w:sz="2" w:space="0"/>
            </w:tcBorders>
          </w:tcPr>
          <w:p w14:paraId="0BD0417E">
            <w:pPr>
              <w:spacing w:line="340" w:lineRule="exact"/>
              <w:jc w:val="center"/>
              <w:rPr>
                <w:rFonts w:ascii="宋体" w:hAnsi="宋体" w:eastAsia="宋体" w:cs="Times New Roman"/>
                <w:color w:val="auto"/>
              </w:rPr>
            </w:pPr>
            <w:r>
              <w:rPr>
                <w:rFonts w:ascii="宋体" w:hAnsi="宋体" w:eastAsia="宋体" w:cs="Times New Roman"/>
                <w:color w:val="auto"/>
              </w:rPr>
              <w:t>4</w:t>
            </w:r>
          </w:p>
        </w:tc>
      </w:tr>
    </w:tbl>
    <w:p w14:paraId="2AC337B5">
      <w:pPr>
        <w:pStyle w:val="6"/>
        <w:rPr>
          <w:color w:val="auto"/>
        </w:rPr>
      </w:pPr>
      <w:r>
        <w:rPr>
          <w:rFonts w:hint="eastAsia"/>
          <w:color w:val="auto"/>
        </w:rPr>
        <w:t>油气集输</w:t>
      </w:r>
      <w:r>
        <w:rPr>
          <w:color w:val="auto"/>
        </w:rPr>
        <w:t>工程</w:t>
      </w:r>
      <w:bookmarkEnd w:id="679"/>
      <w:bookmarkEnd w:id="680"/>
      <w:bookmarkEnd w:id="681"/>
      <w:bookmarkEnd w:id="682"/>
      <w:bookmarkEnd w:id="683"/>
      <w:bookmarkEnd w:id="684"/>
      <w:bookmarkEnd w:id="685"/>
    </w:p>
    <w:bookmarkEnd w:id="629"/>
    <w:bookmarkEnd w:id="632"/>
    <w:bookmarkEnd w:id="633"/>
    <w:bookmarkEnd w:id="634"/>
    <w:p w14:paraId="1E3CF32C">
      <w:pPr>
        <w:pStyle w:val="276"/>
        <w:widowControl w:val="0"/>
        <w:ind w:firstLine="480"/>
        <w:jc w:val="both"/>
        <w:rPr>
          <w:color w:val="auto"/>
          <w:szCs w:val="20"/>
        </w:rPr>
      </w:pPr>
      <w:r>
        <w:rPr>
          <w:color w:val="auto"/>
          <w:szCs w:val="20"/>
        </w:rPr>
        <w:t>（1）集输工艺</w:t>
      </w:r>
    </w:p>
    <w:p w14:paraId="23499F5A">
      <w:pPr>
        <w:pStyle w:val="276"/>
        <w:widowControl w:val="0"/>
        <w:ind w:firstLine="480"/>
        <w:jc w:val="both"/>
        <w:rPr>
          <w:color w:val="auto"/>
          <w:szCs w:val="20"/>
        </w:rPr>
      </w:pPr>
      <w:r>
        <w:rPr>
          <w:color w:val="auto"/>
          <w:szCs w:val="20"/>
        </w:rPr>
        <w:t>本</w:t>
      </w:r>
      <w:r>
        <w:rPr>
          <w:rFonts w:hint="eastAsia"/>
          <w:color w:val="auto"/>
          <w:szCs w:val="20"/>
        </w:rPr>
        <w:t>项目</w:t>
      </w:r>
      <w:r>
        <w:rPr>
          <w:color w:val="auto"/>
          <w:szCs w:val="20"/>
        </w:rPr>
        <w:t>源212区块为试验区块，周边无集油间、转油站可依托，规划采用井场拉油方式生产，井口产液直接集输至新建储油罐，储油罐升温至拉运温度；由罐车拉运至朝二联卸油点，</w:t>
      </w:r>
      <w:r>
        <w:rPr>
          <w:color w:val="auto"/>
          <w:kern w:val="2"/>
        </w:rPr>
        <w:t>管输至朝二联转油脱水站进行油水分离，分离后含油污水进入朝二联含油污水处理站，</w:t>
      </w:r>
      <w:r>
        <w:rPr>
          <w:color w:val="auto"/>
          <w:szCs w:val="20"/>
        </w:rPr>
        <w:t>拉油点拉油工艺示意图见</w:t>
      </w:r>
      <w:r>
        <w:rPr>
          <w:color w:val="auto"/>
          <w:szCs w:val="20"/>
        </w:rPr>
        <w:fldChar w:fldCharType="begin"/>
      </w:r>
      <w:r>
        <w:rPr>
          <w:color w:val="auto"/>
          <w:szCs w:val="20"/>
        </w:rPr>
        <w:instrText xml:space="preserve"> REF _Ref211958970 \h  \* MERGEFORMAT </w:instrText>
      </w:r>
      <w:r>
        <w:rPr>
          <w:color w:val="auto"/>
          <w:szCs w:val="20"/>
        </w:rPr>
        <w:fldChar w:fldCharType="separate"/>
      </w:r>
      <w:r>
        <w:rPr>
          <w:rFonts w:hint="eastAsia"/>
          <w:color w:val="auto"/>
        </w:rPr>
        <w:t xml:space="preserve">图 </w:t>
      </w:r>
      <w:r>
        <w:rPr>
          <w:color w:val="auto"/>
        </w:rPr>
        <w:t>3.6</w:t>
      </w:r>
      <w:r>
        <w:rPr>
          <w:color w:val="auto"/>
        </w:rPr>
        <w:noBreakHyphen/>
      </w:r>
      <w:r>
        <w:rPr>
          <w:color w:val="auto"/>
        </w:rPr>
        <w:t>6</w:t>
      </w:r>
      <w:r>
        <w:rPr>
          <w:color w:val="auto"/>
          <w:szCs w:val="20"/>
        </w:rPr>
        <w:fldChar w:fldCharType="end"/>
      </w:r>
      <w:r>
        <w:rPr>
          <w:color w:val="auto"/>
          <w:szCs w:val="20"/>
        </w:rPr>
        <w:t>。</w:t>
      </w:r>
    </w:p>
    <w:p w14:paraId="5A72F44B">
      <w:pPr>
        <w:jc w:val="center"/>
        <w:rPr>
          <w:rFonts w:ascii="宋体" w:hAnsi="宋体" w:eastAsia="宋体" w:cs="Times New Roman"/>
          <w:color w:val="auto"/>
          <w:szCs w:val="20"/>
        </w:rPr>
      </w:pPr>
      <w:r>
        <w:rPr>
          <w:rFonts w:ascii="宋体" w:hAnsi="宋体" w:eastAsia="宋体" w:cs="Times New Roman"/>
          <w:color w:val="auto"/>
        </w:rPr>
        <w:drawing>
          <wp:inline distT="0" distB="0" distL="114300" distR="114300">
            <wp:extent cx="5352415" cy="1043940"/>
            <wp:effectExtent l="0" t="0" r="635" b="381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33"/>
                    <a:stretch>
                      <a:fillRect/>
                    </a:stretch>
                  </pic:blipFill>
                  <pic:spPr>
                    <a:xfrm>
                      <a:off x="0" y="0"/>
                      <a:ext cx="5352415" cy="1043940"/>
                    </a:xfrm>
                    <a:prstGeom prst="rect">
                      <a:avLst/>
                    </a:prstGeom>
                    <a:noFill/>
                    <a:ln>
                      <a:noFill/>
                    </a:ln>
                  </pic:spPr>
                </pic:pic>
              </a:graphicData>
            </a:graphic>
          </wp:inline>
        </w:drawing>
      </w:r>
    </w:p>
    <w:p w14:paraId="0712CEB8">
      <w:pPr>
        <w:pStyle w:val="22"/>
        <w:spacing w:before="156"/>
        <w:rPr>
          <w:rFonts w:hAnsi="宋体" w:cs="Times New Roman"/>
          <w:color w:val="auto"/>
        </w:rPr>
      </w:pPr>
      <w:bookmarkStart w:id="687" w:name="_Ref211958970"/>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6</w:t>
      </w:r>
      <w:r>
        <w:rPr>
          <w:color w:val="auto"/>
        </w:rPr>
        <w:fldChar w:fldCharType="end"/>
      </w:r>
      <w:bookmarkEnd w:id="687"/>
      <w:r>
        <w:rPr>
          <w:rFonts w:hAnsi="宋体" w:cs="Times New Roman"/>
          <w:color w:val="auto"/>
        </w:rPr>
        <w:t>拉油点拉油工艺示意图</w:t>
      </w:r>
    </w:p>
    <w:p w14:paraId="77912AC7">
      <w:pPr>
        <w:pStyle w:val="276"/>
        <w:widowControl w:val="0"/>
        <w:ind w:firstLine="480"/>
        <w:jc w:val="both"/>
        <w:rPr>
          <w:color w:val="auto"/>
          <w:szCs w:val="20"/>
        </w:rPr>
      </w:pPr>
      <w:r>
        <w:rPr>
          <w:color w:val="auto"/>
          <w:szCs w:val="20"/>
        </w:rPr>
        <w:t>（2）新建拉油点及井位布设</w:t>
      </w:r>
    </w:p>
    <w:p w14:paraId="17230E81">
      <w:pPr>
        <w:pStyle w:val="276"/>
        <w:widowControl w:val="0"/>
        <w:ind w:firstLine="480"/>
        <w:jc w:val="both"/>
        <w:rPr>
          <w:color w:val="auto"/>
          <w:szCs w:val="20"/>
        </w:rPr>
      </w:pPr>
      <w:r>
        <w:rPr>
          <w:color w:val="auto"/>
          <w:szCs w:val="20"/>
        </w:rPr>
        <w:t>本</w:t>
      </w:r>
      <w:r>
        <w:rPr>
          <w:rFonts w:hint="eastAsia"/>
          <w:color w:val="auto"/>
          <w:szCs w:val="20"/>
        </w:rPr>
        <w:t>项目</w:t>
      </w:r>
      <w:r>
        <w:rPr>
          <w:color w:val="auto"/>
          <w:szCs w:val="20"/>
        </w:rPr>
        <w:t>新建3座井场，为每座井场分别设置拉油储罐，井口不设置井口电加热，拉油点位置分布示意图见</w:t>
      </w:r>
      <w:r>
        <w:rPr>
          <w:color w:val="auto"/>
          <w:szCs w:val="20"/>
        </w:rPr>
        <w:fldChar w:fldCharType="begin"/>
      </w:r>
      <w:r>
        <w:rPr>
          <w:color w:val="auto"/>
          <w:szCs w:val="20"/>
        </w:rPr>
        <w:instrText xml:space="preserve"> REF _Ref211958980 \h  \* MERGEFORMAT </w:instrText>
      </w:r>
      <w:r>
        <w:rPr>
          <w:color w:val="auto"/>
          <w:szCs w:val="20"/>
        </w:rPr>
        <w:fldChar w:fldCharType="separate"/>
      </w:r>
      <w:r>
        <w:rPr>
          <w:rFonts w:hint="eastAsia"/>
          <w:color w:val="auto"/>
        </w:rPr>
        <w:t xml:space="preserve">图 </w:t>
      </w:r>
      <w:r>
        <w:rPr>
          <w:color w:val="auto"/>
        </w:rPr>
        <w:t>3.6</w:t>
      </w:r>
      <w:r>
        <w:rPr>
          <w:color w:val="auto"/>
        </w:rPr>
        <w:noBreakHyphen/>
      </w:r>
      <w:r>
        <w:rPr>
          <w:color w:val="auto"/>
        </w:rPr>
        <w:t>7</w:t>
      </w:r>
      <w:r>
        <w:rPr>
          <w:color w:val="auto"/>
          <w:szCs w:val="20"/>
        </w:rPr>
        <w:fldChar w:fldCharType="end"/>
      </w:r>
      <w:r>
        <w:rPr>
          <w:color w:val="auto"/>
          <w:szCs w:val="20"/>
        </w:rPr>
        <w:t>。</w:t>
      </w:r>
    </w:p>
    <w:p w14:paraId="36F0283B">
      <w:pPr>
        <w:jc w:val="center"/>
        <w:rPr>
          <w:rFonts w:ascii="宋体" w:hAnsi="宋体" w:eastAsia="宋体" w:cs="Times New Roman"/>
          <w:color w:val="auto"/>
          <w:szCs w:val="20"/>
        </w:rPr>
      </w:pPr>
      <w:r>
        <w:rPr>
          <w:rFonts w:ascii="宋体" w:hAnsi="宋体" w:eastAsia="宋体" w:cs="Times New Roman"/>
          <w:color w:val="auto"/>
        </w:rPr>
        <w:drawing>
          <wp:inline distT="0" distB="0" distL="0" distR="0">
            <wp:extent cx="5468620" cy="2647950"/>
            <wp:effectExtent l="0" t="0" r="1778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4"/>
                    <a:stretch>
                      <a:fillRect/>
                    </a:stretch>
                  </pic:blipFill>
                  <pic:spPr>
                    <a:xfrm>
                      <a:off x="0" y="0"/>
                      <a:ext cx="5468620" cy="2652067"/>
                    </a:xfrm>
                    <a:prstGeom prst="rect">
                      <a:avLst/>
                    </a:prstGeom>
                  </pic:spPr>
                </pic:pic>
              </a:graphicData>
            </a:graphic>
          </wp:inline>
        </w:drawing>
      </w:r>
    </w:p>
    <w:p w14:paraId="36443035">
      <w:pPr>
        <w:pStyle w:val="22"/>
        <w:spacing w:before="156"/>
        <w:rPr>
          <w:rFonts w:hAnsi="宋体" w:cs="Times New Roman"/>
          <w:color w:val="auto"/>
        </w:rPr>
      </w:pPr>
      <w:bookmarkStart w:id="688" w:name="_Ref211958980"/>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7</w:t>
      </w:r>
      <w:r>
        <w:rPr>
          <w:color w:val="auto"/>
        </w:rPr>
        <w:fldChar w:fldCharType="end"/>
      </w:r>
      <w:bookmarkEnd w:id="688"/>
      <w:r>
        <w:rPr>
          <w:rFonts w:hAnsi="宋体" w:cs="Times New Roman"/>
          <w:color w:val="auto"/>
        </w:rPr>
        <w:t>拉油点位置分布示意图</w:t>
      </w:r>
    </w:p>
    <w:p w14:paraId="70FA33BF">
      <w:pPr>
        <w:pStyle w:val="276"/>
        <w:widowControl w:val="0"/>
        <w:ind w:firstLine="480"/>
        <w:jc w:val="both"/>
        <w:rPr>
          <w:color w:val="auto"/>
          <w:szCs w:val="20"/>
        </w:rPr>
      </w:pPr>
      <w:r>
        <w:rPr>
          <w:color w:val="auto"/>
          <w:szCs w:val="20"/>
        </w:rPr>
        <w:t>本</w:t>
      </w:r>
      <w:r>
        <w:rPr>
          <w:rFonts w:hint="eastAsia"/>
          <w:color w:val="auto"/>
          <w:szCs w:val="20"/>
        </w:rPr>
        <w:t>项目</w:t>
      </w:r>
      <w:r>
        <w:rPr>
          <w:color w:val="auto"/>
          <w:szCs w:val="20"/>
        </w:rPr>
        <w:t>新建3座井场，为每座井场分别设置拉油储罐。根据《油田油气集输设计规范》GB50350-2015 第4.2.2条：连续生产的拉油采油井场应设储油罐，储存时间宜为2d～7d。根据产液量预测，本次2座独立井各设置1座</w:t>
      </w:r>
      <w:r>
        <w:rPr>
          <w:color w:val="auto"/>
          <w:kern w:val="21"/>
        </w:rPr>
        <w:t>40m</w:t>
      </w:r>
      <w:r>
        <w:rPr>
          <w:color w:val="auto"/>
          <w:kern w:val="21"/>
          <w:vertAlign w:val="superscript"/>
        </w:rPr>
        <w:t>3</w:t>
      </w:r>
      <w:r>
        <w:rPr>
          <w:color w:val="auto"/>
          <w:szCs w:val="20"/>
        </w:rPr>
        <w:t>储油罐，</w:t>
      </w:r>
      <w:r>
        <w:rPr>
          <w:rFonts w:hint="eastAsia"/>
          <w:color w:val="auto"/>
          <w:szCs w:val="20"/>
        </w:rPr>
        <w:t>1</w:t>
      </w:r>
      <w:r>
        <w:rPr>
          <w:color w:val="auto"/>
          <w:szCs w:val="20"/>
        </w:rPr>
        <w:t>座平台井设置1 座80m</w:t>
      </w:r>
      <w:r>
        <w:rPr>
          <w:color w:val="auto"/>
          <w:szCs w:val="20"/>
          <w:vertAlign w:val="superscript"/>
        </w:rPr>
        <w:t>3</w:t>
      </w:r>
      <w:r>
        <w:rPr>
          <w:color w:val="auto"/>
          <w:szCs w:val="20"/>
        </w:rPr>
        <w:t>储油罐、1座40m</w:t>
      </w:r>
      <w:r>
        <w:rPr>
          <w:color w:val="auto"/>
          <w:szCs w:val="20"/>
          <w:vertAlign w:val="superscript"/>
        </w:rPr>
        <w:t>3</w:t>
      </w:r>
      <w:r>
        <w:rPr>
          <w:color w:val="auto"/>
          <w:szCs w:val="20"/>
        </w:rPr>
        <w:t>储油罐</w:t>
      </w:r>
      <w:r>
        <w:rPr>
          <w:rFonts w:hint="eastAsia"/>
          <w:color w:val="auto"/>
          <w:szCs w:val="20"/>
        </w:rPr>
        <w:t>。</w:t>
      </w:r>
      <w:r>
        <w:rPr>
          <w:color w:val="auto"/>
          <w:szCs w:val="20"/>
        </w:rPr>
        <w:t>每个储油罐内设置2个5kW 的加热棒。</w:t>
      </w:r>
    </w:p>
    <w:p w14:paraId="49A02610">
      <w:pPr>
        <w:spacing w:line="440" w:lineRule="exact"/>
        <w:ind w:firstLine="420" w:firstLineChars="200"/>
        <w:rPr>
          <w:rFonts w:ascii="宋体" w:hAnsi="宋体" w:eastAsia="宋体" w:cs="Times New Roman"/>
          <w:color w:val="auto"/>
          <w:szCs w:val="20"/>
        </w:rPr>
      </w:pPr>
      <w:r>
        <w:rPr>
          <w:rFonts w:ascii="宋体" w:hAnsi="宋体" w:eastAsia="宋体" w:cs="Times New Roman"/>
          <w:color w:val="auto"/>
          <w:szCs w:val="20"/>
        </w:rPr>
        <w:t>（3）新建管线</w:t>
      </w:r>
    </w:p>
    <w:p w14:paraId="1FE1216F">
      <w:pPr>
        <w:pStyle w:val="276"/>
        <w:widowControl w:val="0"/>
        <w:ind w:firstLine="480"/>
        <w:jc w:val="both"/>
        <w:rPr>
          <w:color w:val="auto"/>
          <w:szCs w:val="20"/>
        </w:rPr>
      </w:pPr>
      <w:r>
        <w:rPr>
          <w:rFonts w:hint="eastAsia"/>
          <w:color w:val="auto"/>
          <w:szCs w:val="20"/>
        </w:rPr>
        <w:t>本项目</w:t>
      </w:r>
      <w:r>
        <w:rPr>
          <w:color w:val="auto"/>
          <w:szCs w:val="20"/>
        </w:rPr>
        <w:t>新建集油管线φ60×3.5mm 0.06km，</w:t>
      </w:r>
      <w:r>
        <w:rPr>
          <w:rFonts w:hint="eastAsia"/>
          <w:color w:val="auto"/>
          <w:szCs w:val="20"/>
        </w:rPr>
        <w:t>材质为金属、设计压力1.6MPa，</w:t>
      </w:r>
      <w:r>
        <w:rPr>
          <w:color w:val="auto"/>
          <w:szCs w:val="20"/>
        </w:rPr>
        <w:t>管道敷设方式采用</w:t>
      </w:r>
      <w:r>
        <w:rPr>
          <w:rFonts w:hint="eastAsia"/>
          <w:color w:val="auto"/>
          <w:szCs w:val="20"/>
        </w:rPr>
        <w:t>沟埋方式敷设</w:t>
      </w:r>
      <w:r>
        <w:rPr>
          <w:color w:val="auto"/>
          <w:szCs w:val="22"/>
        </w:rPr>
        <w:t>，管线埋深在2.0m，管沟宽度1m左右。</w:t>
      </w:r>
      <w:bookmarkStart w:id="689" w:name="_Toc70050177"/>
      <w:bookmarkStart w:id="690" w:name="_Toc67860130"/>
      <w:bookmarkStart w:id="691" w:name="_Toc61597220"/>
    </w:p>
    <w:p w14:paraId="1ACC6F33">
      <w:pPr>
        <w:pStyle w:val="276"/>
        <w:widowControl w:val="0"/>
        <w:ind w:firstLine="480"/>
        <w:jc w:val="both"/>
        <w:rPr>
          <w:color w:val="auto"/>
          <w:szCs w:val="22"/>
        </w:rPr>
      </w:pPr>
      <w:r>
        <w:rPr>
          <w:color w:val="auto"/>
          <w:szCs w:val="22"/>
        </w:rPr>
        <w:t>原油集输工程主要工程量见</w:t>
      </w:r>
      <w:r>
        <w:rPr>
          <w:color w:val="auto"/>
          <w:szCs w:val="22"/>
        </w:rPr>
        <w:fldChar w:fldCharType="begin"/>
      </w:r>
      <w:r>
        <w:rPr>
          <w:color w:val="auto"/>
          <w:szCs w:val="22"/>
        </w:rPr>
        <w:instrText xml:space="preserve"> REF _Ref211959009 \h  \* MERGEFORMAT </w:instrText>
      </w:r>
      <w:r>
        <w:rPr>
          <w:color w:val="auto"/>
          <w:szCs w:val="22"/>
        </w:rPr>
        <w:fldChar w:fldCharType="separate"/>
      </w:r>
      <w:r>
        <w:rPr>
          <w:color w:val="auto"/>
        </w:rPr>
        <w:t>表 3.6</w:t>
      </w:r>
      <w:r>
        <w:rPr>
          <w:color w:val="auto"/>
        </w:rPr>
        <w:noBreakHyphen/>
      </w:r>
      <w:r>
        <w:rPr>
          <w:color w:val="auto"/>
        </w:rPr>
        <w:t>14</w:t>
      </w:r>
      <w:r>
        <w:rPr>
          <w:color w:val="auto"/>
          <w:szCs w:val="22"/>
        </w:rPr>
        <w:fldChar w:fldCharType="end"/>
      </w:r>
      <w:r>
        <w:rPr>
          <w:color w:val="auto"/>
          <w:szCs w:val="22"/>
        </w:rPr>
        <w:t>。</w:t>
      </w:r>
    </w:p>
    <w:p w14:paraId="2FD2C322">
      <w:pPr>
        <w:pStyle w:val="22"/>
        <w:spacing w:before="156"/>
        <w:rPr>
          <w:color w:val="auto"/>
        </w:rPr>
      </w:pPr>
      <w:bookmarkStart w:id="692" w:name="_Ref211959009"/>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14</w:t>
      </w:r>
      <w:r>
        <w:rPr>
          <w:color w:val="auto"/>
        </w:rPr>
        <w:fldChar w:fldCharType="end"/>
      </w:r>
      <w:bookmarkEnd w:id="692"/>
      <w:r>
        <w:rPr>
          <w:color w:val="auto"/>
        </w:rPr>
        <w:t>原油集输工程主要工程量表</w:t>
      </w:r>
    </w:p>
    <w:tbl>
      <w:tblPr>
        <w:tblStyle w:val="81"/>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14"/>
        <w:gridCol w:w="5228"/>
        <w:gridCol w:w="1452"/>
        <w:gridCol w:w="1592"/>
      </w:tblGrid>
      <w:tr w14:paraId="654728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46" w:type="pct"/>
            <w:shd w:val="clear" w:color="auto" w:fill="auto"/>
            <w:vAlign w:val="center"/>
          </w:tcPr>
          <w:p w14:paraId="4394AD64">
            <w:pPr>
              <w:jc w:val="center"/>
              <w:textAlignment w:val="center"/>
              <w:rPr>
                <w:rFonts w:ascii="宋体" w:hAnsi="宋体" w:eastAsia="宋体" w:cs="Times New Roman"/>
                <w:color w:val="auto"/>
              </w:rPr>
            </w:pPr>
            <w:r>
              <w:rPr>
                <w:rFonts w:ascii="宋体" w:hAnsi="宋体" w:eastAsia="宋体" w:cs="Times New Roman"/>
                <w:color w:val="auto"/>
              </w:rPr>
              <w:t>序号</w:t>
            </w:r>
          </w:p>
        </w:tc>
        <w:tc>
          <w:tcPr>
            <w:tcW w:w="2815" w:type="pct"/>
            <w:shd w:val="clear" w:color="auto" w:fill="auto"/>
            <w:vAlign w:val="center"/>
          </w:tcPr>
          <w:p w14:paraId="39CCBE74">
            <w:pPr>
              <w:jc w:val="center"/>
              <w:textAlignment w:val="center"/>
              <w:rPr>
                <w:rFonts w:ascii="宋体" w:hAnsi="宋体" w:eastAsia="宋体" w:cs="Times New Roman"/>
                <w:color w:val="auto"/>
              </w:rPr>
            </w:pPr>
            <w:r>
              <w:rPr>
                <w:rFonts w:ascii="宋体" w:hAnsi="宋体" w:eastAsia="宋体" w:cs="Times New Roman"/>
                <w:color w:val="auto"/>
              </w:rPr>
              <w:t>项 目 名 称</w:t>
            </w:r>
          </w:p>
        </w:tc>
        <w:tc>
          <w:tcPr>
            <w:tcW w:w="782" w:type="pct"/>
            <w:shd w:val="clear" w:color="auto" w:fill="auto"/>
            <w:vAlign w:val="center"/>
          </w:tcPr>
          <w:p w14:paraId="7EB33BE8">
            <w:pPr>
              <w:jc w:val="center"/>
              <w:textAlignment w:val="center"/>
              <w:rPr>
                <w:rFonts w:ascii="宋体" w:hAnsi="宋体" w:eastAsia="宋体" w:cs="Times New Roman"/>
                <w:color w:val="auto"/>
              </w:rPr>
            </w:pPr>
            <w:r>
              <w:rPr>
                <w:rFonts w:ascii="宋体" w:hAnsi="宋体" w:eastAsia="宋体" w:cs="Times New Roman"/>
                <w:color w:val="auto"/>
              </w:rPr>
              <w:t>单位</w:t>
            </w:r>
          </w:p>
        </w:tc>
        <w:tc>
          <w:tcPr>
            <w:tcW w:w="857" w:type="pct"/>
            <w:shd w:val="clear" w:color="auto" w:fill="auto"/>
            <w:vAlign w:val="center"/>
          </w:tcPr>
          <w:p w14:paraId="3D0E3655">
            <w:pPr>
              <w:jc w:val="center"/>
              <w:textAlignment w:val="center"/>
              <w:rPr>
                <w:rFonts w:ascii="宋体" w:hAnsi="宋体" w:eastAsia="宋体" w:cs="Times New Roman"/>
                <w:color w:val="auto"/>
              </w:rPr>
            </w:pPr>
            <w:r>
              <w:rPr>
                <w:rFonts w:ascii="宋体" w:hAnsi="宋体" w:eastAsia="宋体" w:cs="Times New Roman"/>
                <w:color w:val="auto"/>
              </w:rPr>
              <w:t>数量</w:t>
            </w:r>
          </w:p>
        </w:tc>
      </w:tr>
      <w:tr w14:paraId="373802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46" w:type="pct"/>
            <w:shd w:val="clear" w:color="auto" w:fill="auto"/>
            <w:vAlign w:val="center"/>
          </w:tcPr>
          <w:p w14:paraId="75F81CF2">
            <w:pPr>
              <w:jc w:val="center"/>
              <w:textAlignment w:val="center"/>
              <w:rPr>
                <w:rFonts w:ascii="宋体" w:hAnsi="宋体" w:eastAsia="宋体" w:cs="Times New Roman"/>
                <w:color w:val="auto"/>
              </w:rPr>
            </w:pPr>
            <w:r>
              <w:rPr>
                <w:rFonts w:ascii="宋体" w:hAnsi="宋体" w:eastAsia="宋体" w:cs="Times New Roman"/>
                <w:color w:val="auto"/>
              </w:rPr>
              <w:t>1</w:t>
            </w:r>
          </w:p>
        </w:tc>
        <w:tc>
          <w:tcPr>
            <w:tcW w:w="2815" w:type="pct"/>
            <w:shd w:val="clear" w:color="auto" w:fill="auto"/>
            <w:vAlign w:val="center"/>
          </w:tcPr>
          <w:p w14:paraId="4A7B6E9E">
            <w:pPr>
              <w:jc w:val="center"/>
              <w:textAlignment w:val="center"/>
              <w:rPr>
                <w:rFonts w:ascii="宋体" w:hAnsi="宋体" w:eastAsia="宋体" w:cs="Times New Roman"/>
                <w:color w:val="auto"/>
              </w:rPr>
            </w:pPr>
            <w:r>
              <w:rPr>
                <w:rFonts w:ascii="宋体" w:hAnsi="宋体" w:eastAsia="宋体" w:cs="Times New Roman"/>
                <w:color w:val="auto"/>
              </w:rPr>
              <w:t>CYJY10-3-37HB 抽油机</w:t>
            </w:r>
          </w:p>
        </w:tc>
        <w:tc>
          <w:tcPr>
            <w:tcW w:w="782" w:type="pct"/>
            <w:shd w:val="clear" w:color="auto" w:fill="auto"/>
            <w:vAlign w:val="center"/>
          </w:tcPr>
          <w:p w14:paraId="7C4F833A">
            <w:pPr>
              <w:jc w:val="center"/>
              <w:textAlignment w:val="center"/>
              <w:rPr>
                <w:rFonts w:ascii="宋体" w:hAnsi="宋体" w:eastAsia="宋体" w:cs="Times New Roman"/>
                <w:color w:val="auto"/>
              </w:rPr>
            </w:pPr>
            <w:r>
              <w:rPr>
                <w:rFonts w:ascii="宋体" w:hAnsi="宋体" w:eastAsia="宋体" w:cs="Times New Roman"/>
                <w:color w:val="auto"/>
              </w:rPr>
              <w:t>座</w:t>
            </w:r>
          </w:p>
        </w:tc>
        <w:tc>
          <w:tcPr>
            <w:tcW w:w="857" w:type="pct"/>
            <w:shd w:val="clear" w:color="auto" w:fill="auto"/>
            <w:vAlign w:val="center"/>
          </w:tcPr>
          <w:p w14:paraId="116A547D">
            <w:pPr>
              <w:jc w:val="center"/>
              <w:textAlignment w:val="center"/>
              <w:rPr>
                <w:rFonts w:ascii="宋体" w:hAnsi="宋体" w:eastAsia="宋体" w:cs="Times New Roman"/>
                <w:color w:val="auto"/>
              </w:rPr>
            </w:pPr>
            <w:r>
              <w:rPr>
                <w:rFonts w:ascii="宋体" w:hAnsi="宋体" w:eastAsia="宋体" w:cs="Times New Roman"/>
                <w:color w:val="auto"/>
              </w:rPr>
              <w:t>4</w:t>
            </w:r>
          </w:p>
        </w:tc>
      </w:tr>
      <w:tr w14:paraId="6B943F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46" w:type="pct"/>
            <w:shd w:val="clear" w:color="auto" w:fill="auto"/>
            <w:vAlign w:val="center"/>
          </w:tcPr>
          <w:p w14:paraId="7AB825C0">
            <w:pPr>
              <w:jc w:val="center"/>
              <w:textAlignment w:val="center"/>
              <w:rPr>
                <w:rFonts w:ascii="宋体" w:hAnsi="宋体" w:eastAsia="宋体" w:cs="Times New Roman"/>
                <w:color w:val="auto"/>
              </w:rPr>
            </w:pPr>
            <w:r>
              <w:rPr>
                <w:rFonts w:ascii="宋体" w:hAnsi="宋体" w:eastAsia="宋体" w:cs="Times New Roman"/>
                <w:color w:val="auto"/>
              </w:rPr>
              <w:t>2</w:t>
            </w:r>
          </w:p>
        </w:tc>
        <w:tc>
          <w:tcPr>
            <w:tcW w:w="2815" w:type="pct"/>
            <w:shd w:val="clear" w:color="auto" w:fill="auto"/>
            <w:vAlign w:val="center"/>
          </w:tcPr>
          <w:p w14:paraId="058D39CE">
            <w:pPr>
              <w:spacing w:before="35"/>
              <w:jc w:val="center"/>
              <w:rPr>
                <w:rFonts w:ascii="宋体" w:hAnsi="宋体" w:eastAsia="宋体" w:cs="Times New Roman"/>
                <w:color w:val="auto"/>
              </w:rPr>
            </w:pPr>
            <w:r>
              <w:rPr>
                <w:rFonts w:ascii="宋体" w:hAnsi="宋体" w:eastAsia="宋体" w:cs="Times New Roman"/>
                <w:color w:val="auto"/>
              </w:rPr>
              <w:t>集油管道φ60×3.5</w:t>
            </w:r>
          </w:p>
        </w:tc>
        <w:tc>
          <w:tcPr>
            <w:tcW w:w="782" w:type="pct"/>
            <w:shd w:val="clear" w:color="auto" w:fill="auto"/>
            <w:vAlign w:val="center"/>
          </w:tcPr>
          <w:p w14:paraId="15EF3B7A">
            <w:pPr>
              <w:spacing w:before="67"/>
              <w:jc w:val="center"/>
              <w:rPr>
                <w:rFonts w:ascii="宋体" w:hAnsi="宋体" w:eastAsia="宋体" w:cs="Times New Roman"/>
                <w:color w:val="auto"/>
              </w:rPr>
            </w:pPr>
            <w:r>
              <w:rPr>
                <w:rFonts w:ascii="宋体" w:hAnsi="宋体" w:eastAsia="宋体" w:cs="Times New Roman"/>
                <w:color w:val="auto"/>
                <w:szCs w:val="20"/>
              </w:rPr>
              <w:t>km</w:t>
            </w:r>
          </w:p>
        </w:tc>
        <w:tc>
          <w:tcPr>
            <w:tcW w:w="857" w:type="pct"/>
            <w:shd w:val="clear" w:color="auto" w:fill="auto"/>
            <w:vAlign w:val="center"/>
          </w:tcPr>
          <w:p w14:paraId="15C96E2C">
            <w:pPr>
              <w:spacing w:before="71"/>
              <w:jc w:val="center"/>
              <w:rPr>
                <w:rFonts w:ascii="宋体" w:hAnsi="宋体" w:eastAsia="宋体" w:cs="Times New Roman"/>
                <w:color w:val="auto"/>
              </w:rPr>
            </w:pPr>
            <w:r>
              <w:rPr>
                <w:rFonts w:ascii="宋体" w:hAnsi="宋体" w:eastAsia="宋体" w:cs="Times New Roman"/>
                <w:color w:val="auto"/>
                <w:szCs w:val="20"/>
              </w:rPr>
              <w:t>0.06</w:t>
            </w:r>
          </w:p>
        </w:tc>
      </w:tr>
      <w:tr w14:paraId="287E9D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46" w:type="pct"/>
            <w:shd w:val="clear" w:color="auto" w:fill="auto"/>
            <w:vAlign w:val="center"/>
          </w:tcPr>
          <w:p w14:paraId="3166A020">
            <w:pPr>
              <w:jc w:val="center"/>
              <w:textAlignment w:val="center"/>
              <w:rPr>
                <w:rFonts w:ascii="宋体" w:hAnsi="宋体" w:eastAsia="宋体" w:cs="Times New Roman"/>
                <w:color w:val="auto"/>
              </w:rPr>
            </w:pPr>
            <w:r>
              <w:rPr>
                <w:rFonts w:ascii="宋体" w:hAnsi="宋体" w:eastAsia="宋体" w:cs="Times New Roman"/>
                <w:color w:val="auto"/>
              </w:rPr>
              <w:t>3</w:t>
            </w:r>
          </w:p>
        </w:tc>
        <w:tc>
          <w:tcPr>
            <w:tcW w:w="2815" w:type="pct"/>
            <w:shd w:val="clear" w:color="auto" w:fill="auto"/>
            <w:vAlign w:val="center"/>
          </w:tcPr>
          <w:p w14:paraId="4919CADC">
            <w:pPr>
              <w:spacing w:before="33"/>
              <w:jc w:val="center"/>
              <w:rPr>
                <w:rFonts w:ascii="宋体" w:hAnsi="宋体" w:eastAsia="宋体" w:cs="Times New Roman"/>
                <w:color w:val="auto"/>
              </w:rPr>
            </w:pPr>
            <w:r>
              <w:rPr>
                <w:rFonts w:ascii="宋体" w:hAnsi="宋体" w:eastAsia="宋体" w:cs="Times New Roman"/>
                <w:color w:val="auto"/>
              </w:rPr>
              <w:t>利旧多功能储油罐 40m³</w:t>
            </w:r>
          </w:p>
        </w:tc>
        <w:tc>
          <w:tcPr>
            <w:tcW w:w="782" w:type="pct"/>
            <w:shd w:val="clear" w:color="auto" w:fill="auto"/>
            <w:vAlign w:val="center"/>
          </w:tcPr>
          <w:p w14:paraId="7D882E96">
            <w:pPr>
              <w:spacing w:before="33"/>
              <w:jc w:val="center"/>
              <w:rPr>
                <w:rFonts w:ascii="宋体" w:hAnsi="宋体" w:eastAsia="宋体" w:cs="Times New Roman"/>
                <w:color w:val="auto"/>
              </w:rPr>
            </w:pPr>
            <w:r>
              <w:rPr>
                <w:rFonts w:ascii="宋体" w:hAnsi="宋体" w:eastAsia="宋体" w:cs="Times New Roman"/>
                <w:color w:val="auto"/>
              </w:rPr>
              <w:t>座</w:t>
            </w:r>
          </w:p>
        </w:tc>
        <w:tc>
          <w:tcPr>
            <w:tcW w:w="857" w:type="pct"/>
            <w:shd w:val="clear" w:color="auto" w:fill="auto"/>
            <w:vAlign w:val="center"/>
          </w:tcPr>
          <w:p w14:paraId="6C703A6F">
            <w:pPr>
              <w:spacing w:before="68"/>
              <w:jc w:val="center"/>
              <w:rPr>
                <w:rFonts w:ascii="宋体" w:hAnsi="宋体" w:eastAsia="宋体" w:cs="Times New Roman"/>
                <w:color w:val="auto"/>
              </w:rPr>
            </w:pPr>
            <w:r>
              <w:rPr>
                <w:rFonts w:ascii="宋体" w:hAnsi="宋体" w:eastAsia="宋体" w:cs="Times New Roman"/>
                <w:color w:val="auto"/>
                <w:szCs w:val="20"/>
              </w:rPr>
              <w:t>3</w:t>
            </w:r>
          </w:p>
        </w:tc>
      </w:tr>
      <w:tr w14:paraId="5E6317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46" w:type="pct"/>
            <w:shd w:val="clear" w:color="auto" w:fill="auto"/>
            <w:vAlign w:val="center"/>
          </w:tcPr>
          <w:p w14:paraId="1C70D85E">
            <w:pPr>
              <w:jc w:val="center"/>
              <w:textAlignment w:val="center"/>
              <w:rPr>
                <w:rFonts w:ascii="宋体" w:hAnsi="宋体" w:eastAsia="宋体" w:cs="Times New Roman"/>
                <w:color w:val="auto"/>
              </w:rPr>
            </w:pPr>
            <w:r>
              <w:rPr>
                <w:rFonts w:ascii="宋体" w:hAnsi="宋体" w:eastAsia="宋体" w:cs="Times New Roman"/>
                <w:color w:val="auto"/>
              </w:rPr>
              <w:t>4</w:t>
            </w:r>
          </w:p>
        </w:tc>
        <w:tc>
          <w:tcPr>
            <w:tcW w:w="2815" w:type="pct"/>
            <w:shd w:val="clear" w:color="auto" w:fill="auto"/>
            <w:vAlign w:val="center"/>
          </w:tcPr>
          <w:p w14:paraId="30294333">
            <w:pPr>
              <w:spacing w:before="30"/>
              <w:jc w:val="center"/>
              <w:rPr>
                <w:rFonts w:ascii="宋体" w:hAnsi="宋体" w:eastAsia="宋体" w:cs="Times New Roman"/>
                <w:color w:val="auto"/>
              </w:rPr>
            </w:pPr>
            <w:r>
              <w:rPr>
                <w:rFonts w:ascii="宋体" w:hAnsi="宋体" w:eastAsia="宋体" w:cs="Times New Roman"/>
                <w:color w:val="auto"/>
              </w:rPr>
              <w:t>利旧多功能储油罐 80m³</w:t>
            </w:r>
          </w:p>
        </w:tc>
        <w:tc>
          <w:tcPr>
            <w:tcW w:w="782" w:type="pct"/>
            <w:shd w:val="clear" w:color="auto" w:fill="auto"/>
            <w:vAlign w:val="center"/>
          </w:tcPr>
          <w:p w14:paraId="3A03C615">
            <w:pPr>
              <w:spacing w:before="30"/>
              <w:jc w:val="center"/>
              <w:rPr>
                <w:rFonts w:ascii="宋体" w:hAnsi="宋体" w:eastAsia="宋体" w:cs="Times New Roman"/>
                <w:color w:val="auto"/>
              </w:rPr>
            </w:pPr>
            <w:r>
              <w:rPr>
                <w:rFonts w:ascii="宋体" w:hAnsi="宋体" w:eastAsia="宋体" w:cs="Times New Roman"/>
                <w:color w:val="auto"/>
              </w:rPr>
              <w:t>座</w:t>
            </w:r>
          </w:p>
        </w:tc>
        <w:tc>
          <w:tcPr>
            <w:tcW w:w="857" w:type="pct"/>
            <w:shd w:val="clear" w:color="auto" w:fill="auto"/>
            <w:vAlign w:val="center"/>
          </w:tcPr>
          <w:p w14:paraId="3DD2E334">
            <w:pPr>
              <w:spacing w:before="67"/>
              <w:jc w:val="center"/>
              <w:rPr>
                <w:rFonts w:ascii="宋体" w:hAnsi="宋体" w:eastAsia="宋体" w:cs="Times New Roman"/>
                <w:color w:val="auto"/>
              </w:rPr>
            </w:pPr>
            <w:r>
              <w:rPr>
                <w:rFonts w:ascii="宋体" w:hAnsi="宋体" w:eastAsia="宋体" w:cs="Times New Roman"/>
                <w:color w:val="auto"/>
                <w:szCs w:val="20"/>
              </w:rPr>
              <w:t>1</w:t>
            </w:r>
          </w:p>
        </w:tc>
      </w:tr>
      <w:bookmarkEnd w:id="689"/>
      <w:bookmarkEnd w:id="690"/>
      <w:bookmarkEnd w:id="691"/>
    </w:tbl>
    <w:p w14:paraId="1A9BED13">
      <w:pPr>
        <w:pStyle w:val="6"/>
        <w:rPr>
          <w:color w:val="auto"/>
        </w:rPr>
      </w:pPr>
      <w:bookmarkStart w:id="693" w:name="_Toc77067661"/>
      <w:bookmarkStart w:id="694" w:name="_Toc76976245"/>
      <w:bookmarkStart w:id="695" w:name="_Toc86141933"/>
      <w:bookmarkStart w:id="696" w:name="_Toc127192340"/>
      <w:bookmarkStart w:id="697" w:name="_Toc131167291"/>
      <w:bookmarkStart w:id="698" w:name="_Toc84929230"/>
      <w:bookmarkStart w:id="699" w:name="_Toc80588257"/>
      <w:bookmarkStart w:id="700" w:name="_Toc83209474"/>
      <w:bookmarkStart w:id="701" w:name="_Toc80971379"/>
      <w:bookmarkStart w:id="702" w:name="_Toc126863391"/>
      <w:bookmarkStart w:id="703" w:name="_Toc85640754"/>
      <w:bookmarkStart w:id="704" w:name="_Toc143099576"/>
      <w:bookmarkStart w:id="705" w:name="_Toc78816462"/>
      <w:r>
        <w:rPr>
          <w:rFonts w:hint="eastAsia"/>
          <w:color w:val="auto"/>
        </w:rPr>
        <w:t>公辅</w:t>
      </w:r>
      <w:r>
        <w:rPr>
          <w:color w:val="auto"/>
        </w:rPr>
        <w:t>工程</w:t>
      </w:r>
      <w:bookmarkEnd w:id="693"/>
      <w:bookmarkEnd w:id="694"/>
      <w:bookmarkEnd w:id="695"/>
      <w:bookmarkEnd w:id="696"/>
      <w:bookmarkEnd w:id="697"/>
      <w:bookmarkEnd w:id="698"/>
      <w:bookmarkEnd w:id="699"/>
      <w:bookmarkEnd w:id="700"/>
      <w:bookmarkEnd w:id="701"/>
      <w:bookmarkEnd w:id="702"/>
      <w:bookmarkEnd w:id="703"/>
      <w:bookmarkEnd w:id="704"/>
      <w:bookmarkEnd w:id="705"/>
    </w:p>
    <w:p w14:paraId="6AE2B32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给、排水工程</w:t>
      </w:r>
    </w:p>
    <w:p w14:paraId="1600341E">
      <w:pPr>
        <w:pStyle w:val="276"/>
        <w:widowControl w:val="0"/>
        <w:ind w:firstLine="480"/>
        <w:jc w:val="both"/>
        <w:rPr>
          <w:color w:val="auto"/>
          <w:kern w:val="21"/>
        </w:rPr>
      </w:pPr>
      <w:bookmarkStart w:id="706" w:name="_Toc11047792"/>
      <w:r>
        <w:rPr>
          <w:color w:val="auto"/>
          <w:kern w:val="21"/>
        </w:rPr>
        <w:t>（1）施工期</w:t>
      </w:r>
    </w:p>
    <w:p w14:paraId="20DC1F11">
      <w:pPr>
        <w:pStyle w:val="276"/>
        <w:widowControl w:val="0"/>
        <w:ind w:firstLine="480"/>
        <w:jc w:val="both"/>
        <w:rPr>
          <w:color w:val="auto"/>
          <w:kern w:val="21"/>
        </w:rPr>
      </w:pPr>
      <w:r>
        <w:rPr>
          <w:color w:val="auto"/>
          <w:kern w:val="21"/>
        </w:rPr>
        <w:t>本项目施工期用水主要为施工生活用水、钻井生产用水、压裂液用水、管线试压用水，施工期生产用水由水罐车运送，供水来源为朝四联水质站，生活用水采用桶装纯净水，施工期压裂液不在现场配制，由压裂液配制场地将配制好的压裂液直接拉运至现场进行施工，产生的废水主要为生活污水、水基钻井废水及油基钻井废水（钻井设备冲洗废水）、压裂返排液、管线试压废水和试油产液。</w:t>
      </w:r>
    </w:p>
    <w:p w14:paraId="37A0A38C">
      <w:pPr>
        <w:pStyle w:val="276"/>
        <w:widowControl w:val="0"/>
        <w:ind w:firstLine="480"/>
        <w:jc w:val="both"/>
        <w:rPr>
          <w:color w:val="auto"/>
          <w:kern w:val="21"/>
        </w:rPr>
      </w:pPr>
      <w:r>
        <w:rPr>
          <w:rFonts w:hint="eastAsia"/>
          <w:color w:val="auto"/>
          <w:kern w:val="21"/>
        </w:rPr>
        <w:t>1）</w:t>
      </w:r>
      <w:r>
        <w:rPr>
          <w:color w:val="auto"/>
          <w:kern w:val="21"/>
        </w:rPr>
        <w:t>生活用水及生活污水</w:t>
      </w:r>
    </w:p>
    <w:p w14:paraId="28AEF991">
      <w:pPr>
        <w:pStyle w:val="276"/>
        <w:widowControl w:val="0"/>
        <w:ind w:firstLine="480"/>
        <w:jc w:val="both"/>
        <w:rPr>
          <w:color w:val="auto"/>
          <w:kern w:val="21"/>
        </w:rPr>
      </w:pPr>
      <w:r>
        <w:rPr>
          <w:color w:val="auto"/>
          <w:kern w:val="21"/>
        </w:rPr>
        <w:t>生活用水采用桶装水，项目钻井施工84d，钻井队在井人数20人。</w:t>
      </w:r>
      <w:r>
        <w:rPr>
          <w:snapToGrid w:val="0"/>
          <w:color w:val="auto"/>
        </w:rPr>
        <w:t>2口勘探井压裂试气施工约20d，另外4口基建井压裂地面工程施工约80d</w:t>
      </w:r>
      <w:r>
        <w:rPr>
          <w:color w:val="auto"/>
          <w:kern w:val="21"/>
        </w:rPr>
        <w:t>，施工人数20人。根据黑龙江省地方标准《用水定额》（DB23/T727-2021），施工期生活用水量每人80L/d，生活用水量共计294.4m</w:t>
      </w:r>
      <w:r>
        <w:rPr>
          <w:color w:val="auto"/>
          <w:kern w:val="21"/>
          <w:vertAlign w:val="superscript"/>
        </w:rPr>
        <w:t>3</w:t>
      </w:r>
      <w:r>
        <w:rPr>
          <w:color w:val="auto"/>
          <w:kern w:val="21"/>
        </w:rPr>
        <w:t>。生活污水产生量按生活用水的80%计算，则生活污水产生量为235.5m</w:t>
      </w:r>
      <w:r>
        <w:rPr>
          <w:color w:val="auto"/>
          <w:kern w:val="21"/>
          <w:vertAlign w:val="superscript"/>
        </w:rPr>
        <w:t>3</w:t>
      </w:r>
      <w:r>
        <w:rPr>
          <w:color w:val="auto"/>
          <w:kern w:val="21"/>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w:t>
      </w:r>
    </w:p>
    <w:p w14:paraId="5BA902FF">
      <w:pPr>
        <w:pStyle w:val="276"/>
        <w:widowControl w:val="0"/>
        <w:ind w:firstLine="480"/>
        <w:jc w:val="both"/>
        <w:rPr>
          <w:color w:val="auto"/>
          <w:kern w:val="21"/>
        </w:rPr>
      </w:pPr>
      <w:r>
        <w:rPr>
          <w:rFonts w:hint="eastAsia"/>
          <w:color w:val="auto"/>
          <w:kern w:val="21"/>
        </w:rPr>
        <w:t>2）</w:t>
      </w:r>
      <w:r>
        <w:rPr>
          <w:color w:val="auto"/>
          <w:kern w:val="21"/>
        </w:rPr>
        <w:t>钻井生产用水及钻井设备冲洗废水</w:t>
      </w:r>
    </w:p>
    <w:p w14:paraId="7DE4C9DF">
      <w:pPr>
        <w:pStyle w:val="276"/>
        <w:widowControl w:val="0"/>
        <w:ind w:firstLine="480"/>
        <w:jc w:val="both"/>
        <w:rPr>
          <w:color w:val="auto"/>
          <w:kern w:val="21"/>
        </w:rPr>
      </w:pPr>
      <w:r>
        <w:rPr>
          <w:color w:val="auto"/>
          <w:kern w:val="21"/>
        </w:rPr>
        <w:t>本项目钻井生产用水主要包括施工阶段洒水抑尘用水、钻井设备冲洗用水（冲洗振动筛及钻台钻具等设备）、水泥用水。本项目钻井生产用水由水罐车运送，类比第十采油厂多年的钻井工程资料，每进尺1000m，清水用量约70m</w:t>
      </w:r>
      <w:r>
        <w:rPr>
          <w:color w:val="auto"/>
          <w:kern w:val="21"/>
          <w:vertAlign w:val="superscript"/>
        </w:rPr>
        <w:t>3</w:t>
      </w:r>
      <w:r>
        <w:rPr>
          <w:color w:val="auto"/>
          <w:kern w:val="21"/>
        </w:rPr>
        <w:t>，钻井施工总进尺约16642m（水基钻井总进尺5844m，油基钻井总进尺10798m），则钻井生产用水量为1164.9m</w:t>
      </w:r>
      <w:r>
        <w:rPr>
          <w:color w:val="auto"/>
          <w:kern w:val="21"/>
          <w:vertAlign w:val="superscript"/>
        </w:rPr>
        <w:t>3</w:t>
      </w:r>
      <w:r>
        <w:rPr>
          <w:color w:val="auto"/>
          <w:kern w:val="21"/>
        </w:rPr>
        <w:t>。其中，钻井设备冲洗用水随井深和钻井周期变化，类比第十采油厂多年的钻井工程资料，每钻进1m设备冲洗用水平均为0.02m</w:t>
      </w:r>
      <w:r>
        <w:rPr>
          <w:color w:val="auto"/>
          <w:kern w:val="21"/>
          <w:vertAlign w:val="superscript"/>
        </w:rPr>
        <w:t>3</w:t>
      </w:r>
      <w:r>
        <w:rPr>
          <w:color w:val="auto"/>
          <w:kern w:val="21"/>
        </w:rPr>
        <w:t>，则钻井设备冲洗用水量约332.8m</w:t>
      </w:r>
      <w:r>
        <w:rPr>
          <w:color w:val="auto"/>
          <w:kern w:val="21"/>
          <w:vertAlign w:val="superscript"/>
        </w:rPr>
        <w:t>3</w:t>
      </w:r>
      <w:r>
        <w:rPr>
          <w:color w:val="auto"/>
          <w:kern w:val="21"/>
        </w:rPr>
        <w:t>；本项目固井水泥的水灰比为0.4，定向井单井水泥用量为106t，水平井单井水泥用量为188t，本项目新钻2口定向井，4口水平井，则水泥用水量为385.6m</w:t>
      </w:r>
      <w:r>
        <w:rPr>
          <w:color w:val="auto"/>
          <w:kern w:val="21"/>
          <w:vertAlign w:val="superscript"/>
        </w:rPr>
        <w:t>3</w:t>
      </w:r>
      <w:r>
        <w:rPr>
          <w:color w:val="auto"/>
          <w:kern w:val="21"/>
        </w:rPr>
        <w:t>，水泥用水全部进入水泥中；根据物料平衡，洒水抑尘用水为446.5m</w:t>
      </w:r>
      <w:r>
        <w:rPr>
          <w:color w:val="auto"/>
          <w:kern w:val="21"/>
          <w:vertAlign w:val="superscript"/>
        </w:rPr>
        <w:t>3</w:t>
      </w:r>
      <w:r>
        <w:rPr>
          <w:color w:val="auto"/>
          <w:kern w:val="21"/>
        </w:rPr>
        <w:t>，洒水抑尘用水全部蒸发。本项目钻井废水（钻井设备冲洗废水）按用水量的95%计算，则水基钻井废水产生量为111m</w:t>
      </w:r>
      <w:r>
        <w:rPr>
          <w:color w:val="auto"/>
          <w:kern w:val="21"/>
          <w:vertAlign w:val="superscript"/>
        </w:rPr>
        <w:t>3</w:t>
      </w:r>
      <w:r>
        <w:rPr>
          <w:color w:val="auto"/>
          <w:kern w:val="21"/>
        </w:rPr>
        <w:t>，油基钻井废水产生量为205.2m</w:t>
      </w:r>
      <w:r>
        <w:rPr>
          <w:color w:val="auto"/>
          <w:kern w:val="21"/>
          <w:vertAlign w:val="superscript"/>
        </w:rPr>
        <w:t>3</w:t>
      </w:r>
      <w:r>
        <w:rPr>
          <w:color w:val="auto"/>
          <w:kern w:val="21"/>
        </w:rPr>
        <w:t>。水基钻井废水排入井场钢制泥浆槽中，定期由罐车拉运至大庆油田昆仑集团有限公司环保分公司处理，</w:t>
      </w:r>
      <w:r>
        <w:rPr>
          <w:color w:val="auto"/>
        </w:rPr>
        <w:t>处理后的压滤水由罐车拉运至朝一联含油污水处理站处理满足《大庆油田地面工程建设设计规定》（Q/SYDQ0639-2015）及《碎屑岩油藏注水水质指标技术要求及分析方法》（SY/T5329-2022）限值要求后回注油层</w:t>
      </w:r>
      <w:r>
        <w:rPr>
          <w:color w:val="auto"/>
          <w:kern w:val="21"/>
        </w:rPr>
        <w:t>。油基钻井废水排入井场设置的油基钢制泥浆槽中，委托</w:t>
      </w:r>
      <w:r>
        <w:rPr>
          <w:color w:val="auto"/>
        </w:rPr>
        <w:t>黑龙江迈景环保科技有限公司</w:t>
      </w:r>
      <w:r>
        <w:rPr>
          <w:color w:val="auto"/>
          <w:kern w:val="21"/>
        </w:rPr>
        <w:t>处理，处理后的污水进入污水罐储存，定期拉运至朝二联含油污水处理站处理满足《大庆油田地面工程建设设计规定》（Q/SYDQ0639-2015）及《碎屑岩油藏注水水质指标技术要求及分析方法》（SY/T5329-2022）限值要求后回注油层。</w:t>
      </w:r>
    </w:p>
    <w:p w14:paraId="4D217D07">
      <w:pPr>
        <w:pStyle w:val="276"/>
        <w:widowControl w:val="0"/>
        <w:ind w:firstLine="480"/>
        <w:jc w:val="both"/>
        <w:rPr>
          <w:color w:val="auto"/>
          <w:kern w:val="21"/>
        </w:rPr>
      </w:pPr>
      <w:r>
        <w:rPr>
          <w:rFonts w:hint="eastAsia"/>
          <w:color w:val="auto"/>
          <w:kern w:val="21"/>
        </w:rPr>
        <w:t>3）</w:t>
      </w:r>
      <w:r>
        <w:rPr>
          <w:color w:val="auto"/>
          <w:kern w:val="21"/>
        </w:rPr>
        <w:t>压裂液及压裂返排液</w:t>
      </w:r>
    </w:p>
    <w:p w14:paraId="18C649B1">
      <w:pPr>
        <w:pStyle w:val="276"/>
        <w:widowControl w:val="0"/>
        <w:ind w:firstLine="480"/>
        <w:jc w:val="both"/>
        <w:rPr>
          <w:color w:val="auto"/>
          <w:kern w:val="21"/>
        </w:rPr>
      </w:pPr>
      <w:r>
        <w:rPr>
          <w:color w:val="auto"/>
          <w:kern w:val="21"/>
        </w:rPr>
        <w:t>本项目新钻6口油井投产前需进行压裂作业，</w:t>
      </w:r>
      <w:bookmarkStart w:id="707" w:name="OLE_LINK5"/>
      <w:r>
        <w:rPr>
          <w:color w:val="auto"/>
          <w:kern w:val="21"/>
        </w:rPr>
        <w:t>压裂液使用量为100m</w:t>
      </w:r>
      <w:r>
        <w:rPr>
          <w:color w:val="auto"/>
          <w:kern w:val="21"/>
          <w:vertAlign w:val="superscript"/>
        </w:rPr>
        <w:t>3</w:t>
      </w:r>
      <w:r>
        <w:rPr>
          <w:color w:val="auto"/>
          <w:kern w:val="21"/>
        </w:rPr>
        <w:t>/口，本项目压裂液使用量为600m</w:t>
      </w:r>
      <w:r>
        <w:rPr>
          <w:color w:val="auto"/>
          <w:kern w:val="21"/>
          <w:vertAlign w:val="superscript"/>
        </w:rPr>
        <w:t>3</w:t>
      </w:r>
      <w:r>
        <w:rPr>
          <w:color w:val="auto"/>
          <w:kern w:val="21"/>
        </w:rPr>
        <w:t>，</w:t>
      </w:r>
      <w:bookmarkEnd w:id="707"/>
      <w:r>
        <w:rPr>
          <w:color w:val="auto"/>
          <w:kern w:val="21"/>
        </w:rPr>
        <w:t>压裂作业过程中将产生压裂返排液，根据大庆油田多年统计数据，压裂返排液产生量约70m</w:t>
      </w:r>
      <w:r>
        <w:rPr>
          <w:color w:val="auto"/>
          <w:kern w:val="21"/>
          <w:vertAlign w:val="superscript"/>
        </w:rPr>
        <w:t>3</w:t>
      </w:r>
      <w:r>
        <w:rPr>
          <w:color w:val="auto"/>
          <w:kern w:val="21"/>
        </w:rPr>
        <w:t>/井，则本项目共计产生压裂返排液420m</w:t>
      </w:r>
      <w:r>
        <w:rPr>
          <w:color w:val="auto"/>
          <w:kern w:val="21"/>
          <w:vertAlign w:val="superscript"/>
        </w:rPr>
        <w:t>3</w:t>
      </w:r>
      <w:r>
        <w:rPr>
          <w:color w:val="auto"/>
          <w:kern w:val="21"/>
        </w:rPr>
        <w:t>，压裂返排液由罐车拉运至朝一联压裂返排液无害化处理站处理后，管输进入朝一联含油污水处理站处理达标后回注油层，不外排。</w:t>
      </w:r>
    </w:p>
    <w:p w14:paraId="0A05BE1B">
      <w:pPr>
        <w:pStyle w:val="276"/>
        <w:widowControl w:val="0"/>
        <w:ind w:firstLine="480"/>
        <w:jc w:val="both"/>
        <w:rPr>
          <w:color w:val="auto"/>
          <w:kern w:val="21"/>
        </w:rPr>
      </w:pPr>
      <w:r>
        <w:rPr>
          <w:rFonts w:hint="eastAsia"/>
          <w:color w:val="auto"/>
          <w:kern w:val="21"/>
        </w:rPr>
        <w:t>4）</w:t>
      </w:r>
      <w:r>
        <w:rPr>
          <w:color w:val="auto"/>
          <w:kern w:val="21"/>
        </w:rPr>
        <w:t>管线试压用水及管线试压废水</w:t>
      </w:r>
    </w:p>
    <w:p w14:paraId="195ACB22">
      <w:pPr>
        <w:pStyle w:val="276"/>
        <w:widowControl w:val="0"/>
        <w:ind w:firstLine="480"/>
        <w:jc w:val="both"/>
        <w:rPr>
          <w:color w:val="auto"/>
        </w:rPr>
      </w:pPr>
      <w:r>
        <w:rPr>
          <w:color w:val="auto"/>
        </w:rPr>
        <w:t>本项目新建集油管线采取清水试压的方式，根据新建管线截面面积及长度，项目试压用水总量为0.13m</w:t>
      </w:r>
      <w:r>
        <w:rPr>
          <w:color w:val="auto"/>
          <w:vertAlign w:val="superscript"/>
        </w:rPr>
        <w:t>3</w:t>
      </w:r>
      <w:r>
        <w:rPr>
          <w:color w:val="auto"/>
        </w:rPr>
        <w:t>，试压废水按用水量的95%计算，试压废水产生量为0.114m</w:t>
      </w:r>
      <w:r>
        <w:rPr>
          <w:color w:val="auto"/>
          <w:vertAlign w:val="superscript"/>
        </w:rPr>
        <w:t>3</w:t>
      </w:r>
      <w:r>
        <w:rPr>
          <w:color w:val="auto"/>
        </w:rPr>
        <w:t>。管线试压废水由罐车拉运至朝二联含油污水处理站处理满足《大庆油田地面工程建设设计规定》（Q/SYDQ0639-2015）及《碎屑岩油藏注水水质指标技术要求及分析方法》（SY/T5329-2022）限值要求后回注油层，不外排。</w:t>
      </w:r>
    </w:p>
    <w:p w14:paraId="4B2F891B">
      <w:pPr>
        <w:pStyle w:val="276"/>
        <w:widowControl w:val="0"/>
        <w:ind w:firstLine="480"/>
        <w:jc w:val="both"/>
        <w:rPr>
          <w:color w:val="auto"/>
          <w:kern w:val="21"/>
        </w:rPr>
      </w:pPr>
      <w:r>
        <w:rPr>
          <w:color w:val="auto"/>
          <w:kern w:val="21"/>
        </w:rPr>
        <w:t>（2）运营期</w:t>
      </w:r>
    </w:p>
    <w:p w14:paraId="79AB9BA9">
      <w:pPr>
        <w:pStyle w:val="276"/>
        <w:widowControl w:val="0"/>
        <w:ind w:firstLine="480"/>
        <w:jc w:val="both"/>
        <w:rPr>
          <w:color w:val="auto"/>
          <w:kern w:val="21"/>
        </w:rPr>
      </w:pPr>
      <w:r>
        <w:rPr>
          <w:color w:val="auto"/>
          <w:kern w:val="21"/>
        </w:rPr>
        <w:t>本项目运营期不新增人员，不新增生活用水，运营期油井作业用水来源为朝二联含油污水处理站的深度处理水，废水主要为油田采出水、作业污水、洗井污水。</w:t>
      </w:r>
    </w:p>
    <w:p w14:paraId="477F8DD7">
      <w:pPr>
        <w:pStyle w:val="276"/>
        <w:widowControl w:val="0"/>
        <w:ind w:firstLine="480"/>
        <w:jc w:val="both"/>
        <w:rPr>
          <w:color w:val="auto"/>
        </w:rPr>
      </w:pPr>
      <w:r>
        <w:rPr>
          <w:rFonts w:hint="eastAsia"/>
          <w:color w:val="auto"/>
        </w:rPr>
        <w:t>1）</w:t>
      </w:r>
      <w:r>
        <w:rPr>
          <w:color w:val="auto"/>
        </w:rPr>
        <w:t>油田采出水</w:t>
      </w:r>
    </w:p>
    <w:p w14:paraId="03715D3B">
      <w:pPr>
        <w:pStyle w:val="276"/>
        <w:widowControl w:val="0"/>
        <w:ind w:firstLine="480"/>
        <w:jc w:val="both"/>
        <w:rPr>
          <w:color w:val="auto"/>
        </w:rPr>
      </w:pPr>
      <w:r>
        <w:rPr>
          <w:color w:val="auto"/>
        </w:rPr>
        <w:t>根据开发指标预测，本项目油田采出水最大量为21700t/a。朝二联转油脱水站处理后的油田采出水最终管输进入</w:t>
      </w:r>
      <w:r>
        <w:rPr>
          <w:color w:val="auto"/>
          <w:kern w:val="21"/>
        </w:rPr>
        <w:t>朝二联含油污水处理站</w:t>
      </w:r>
      <w:r>
        <w:rPr>
          <w:color w:val="auto"/>
        </w:rPr>
        <w:t xml:space="preserve">处理满足《大庆油田地面工程建设设计规定》（Q/SYDQ0639-2015）及《碎屑岩油藏注水水质指标技术要求及分析方法》（SY/T5329-2022）限值要求后回注油层。 </w:t>
      </w:r>
    </w:p>
    <w:p w14:paraId="2F125808">
      <w:pPr>
        <w:pStyle w:val="276"/>
        <w:widowControl w:val="0"/>
        <w:ind w:firstLine="480"/>
        <w:jc w:val="both"/>
        <w:rPr>
          <w:color w:val="auto"/>
        </w:rPr>
      </w:pPr>
      <w:r>
        <w:rPr>
          <w:rFonts w:hint="eastAsia"/>
          <w:color w:val="auto"/>
          <w:kern w:val="21"/>
        </w:rPr>
        <w:t>2）</w:t>
      </w:r>
      <w:r>
        <w:rPr>
          <w:color w:val="auto"/>
          <w:kern w:val="21"/>
        </w:rPr>
        <w:t>作业用水及</w:t>
      </w:r>
      <w:r>
        <w:rPr>
          <w:color w:val="auto"/>
        </w:rPr>
        <w:t>作业污水</w:t>
      </w:r>
    </w:p>
    <w:p w14:paraId="6DC7FC33">
      <w:pPr>
        <w:pStyle w:val="276"/>
        <w:widowControl w:val="0"/>
        <w:ind w:firstLine="480"/>
        <w:jc w:val="both"/>
        <w:rPr>
          <w:color w:val="auto"/>
        </w:rPr>
      </w:pPr>
      <w:r>
        <w:rPr>
          <w:color w:val="auto"/>
        </w:rPr>
        <w:t>本项目作业用水来源</w:t>
      </w:r>
      <w:r>
        <w:rPr>
          <w:color w:val="auto"/>
          <w:kern w:val="21"/>
        </w:rPr>
        <w:t>为朝二联含油污水处理站的深度处理水，</w:t>
      </w:r>
      <w:r>
        <w:rPr>
          <w:color w:val="auto"/>
        </w:rPr>
        <w:t>结合大庆油田有限责任公司第十采油厂多年运营作业结果可知，油井作业周期1.5年，油井作业用水由作业罐车拉运至井场使用，用水量约4.2m</w:t>
      </w:r>
      <w:r>
        <w:rPr>
          <w:color w:val="auto"/>
          <w:vertAlign w:val="superscript"/>
        </w:rPr>
        <w:t>3</w:t>
      </w:r>
      <w:r>
        <w:rPr>
          <w:color w:val="auto"/>
        </w:rPr>
        <w:t>/井次，本项目共基建4口油井，则油井作业用水量约11.2m</w:t>
      </w:r>
      <w:r>
        <w:rPr>
          <w:color w:val="auto"/>
          <w:vertAlign w:val="superscript"/>
        </w:rPr>
        <w:t>3</w:t>
      </w:r>
      <w:r>
        <w:rPr>
          <w:color w:val="auto"/>
        </w:rPr>
        <w:t>/a。作业污水</w:t>
      </w:r>
      <w:r>
        <w:rPr>
          <w:color w:val="auto"/>
          <w:kern w:val="21"/>
        </w:rPr>
        <w:t>产生量按用水的95%计算，则作业污水产生量约为10.64m</w:t>
      </w:r>
      <w:r>
        <w:rPr>
          <w:color w:val="auto"/>
          <w:kern w:val="21"/>
          <w:vertAlign w:val="superscript"/>
        </w:rPr>
        <w:t>3</w:t>
      </w:r>
      <w:r>
        <w:rPr>
          <w:color w:val="auto"/>
          <w:kern w:val="21"/>
        </w:rPr>
        <w:t>/a。此部分污水通过罐车回收后拉运至朝二联含油污水处理站处理满足《大庆油田地面工程建设设计规定》（Q/SYDQ0639-2015）及《碎屑岩油藏注水水质指标技术要求及分析方法》（SY/T5329-2022）限值要求后回注油层，不外排。</w:t>
      </w:r>
    </w:p>
    <w:p w14:paraId="2C2333CE">
      <w:pPr>
        <w:pStyle w:val="276"/>
        <w:widowControl w:val="0"/>
        <w:ind w:firstLine="480"/>
        <w:jc w:val="both"/>
        <w:rPr>
          <w:color w:val="auto"/>
        </w:rPr>
      </w:pPr>
      <w:r>
        <w:rPr>
          <w:rFonts w:hint="eastAsia"/>
          <w:color w:val="auto"/>
          <w:kern w:val="21"/>
        </w:rPr>
        <w:t>3）</w:t>
      </w:r>
      <w:r>
        <w:rPr>
          <w:color w:val="auto"/>
          <w:kern w:val="21"/>
        </w:rPr>
        <w:t>洗井用水及</w:t>
      </w:r>
      <w:r>
        <w:rPr>
          <w:color w:val="auto"/>
        </w:rPr>
        <w:t>洗井污水</w:t>
      </w:r>
    </w:p>
    <w:p w14:paraId="5D87224D">
      <w:pPr>
        <w:pStyle w:val="276"/>
        <w:widowControl w:val="0"/>
        <w:ind w:firstLine="480"/>
        <w:jc w:val="both"/>
        <w:rPr>
          <w:color w:val="auto"/>
          <w:kern w:val="21"/>
        </w:rPr>
      </w:pPr>
      <w:r>
        <w:rPr>
          <w:color w:val="auto"/>
          <w:kern w:val="21"/>
        </w:rPr>
        <w:t>本项目新建4口油井洗井采用热洗车进行洗井，以清除套管结蜡，</w:t>
      </w:r>
      <w:r>
        <w:rPr>
          <w:color w:val="auto"/>
        </w:rPr>
        <w:t>洗井用水来源</w:t>
      </w:r>
      <w:r>
        <w:rPr>
          <w:color w:val="auto"/>
          <w:kern w:val="21"/>
        </w:rPr>
        <w:t>为朝二联含油污水处理站的深度处理水，由热洗车拉运至井场使用，本项目热洗周期为30天，热洗用水量为25m</w:t>
      </w:r>
      <w:r>
        <w:rPr>
          <w:color w:val="auto"/>
          <w:kern w:val="21"/>
          <w:vertAlign w:val="superscript"/>
        </w:rPr>
        <w:t>3</w:t>
      </w:r>
      <w:r>
        <w:rPr>
          <w:color w:val="auto"/>
          <w:kern w:val="21"/>
        </w:rPr>
        <w:t>/井次，经计算，热洗用水量为1216.7m</w:t>
      </w:r>
      <w:r>
        <w:rPr>
          <w:color w:val="auto"/>
          <w:kern w:val="21"/>
          <w:vertAlign w:val="superscript"/>
        </w:rPr>
        <w:t>3</w:t>
      </w:r>
      <w:r>
        <w:rPr>
          <w:color w:val="auto"/>
          <w:kern w:val="21"/>
        </w:rPr>
        <w:t>/a，洗井污水产生量按用水的95%计算，则洗井污水产生量约为1155.9m</w:t>
      </w:r>
      <w:r>
        <w:rPr>
          <w:color w:val="auto"/>
          <w:kern w:val="21"/>
          <w:vertAlign w:val="superscript"/>
        </w:rPr>
        <w:t>3</w:t>
      </w:r>
      <w:r>
        <w:rPr>
          <w:color w:val="auto"/>
          <w:kern w:val="21"/>
        </w:rPr>
        <w:t>/a。此部分污水通过罐车回收后拉运至朝二联含油污水处理站处理满足《大庆油田地面工程建设设计规定》（Q/SYDQ0639-2015）及《碎屑岩油藏注水水质指标技术要求及分析方法》（SY/T5329-2022）限值要求后回注油层，不外排。</w:t>
      </w:r>
    </w:p>
    <w:p w14:paraId="243BD438">
      <w:pPr>
        <w:pStyle w:val="276"/>
        <w:widowControl w:val="0"/>
        <w:ind w:firstLine="480"/>
        <w:jc w:val="both"/>
        <w:rPr>
          <w:color w:val="auto"/>
          <w:kern w:val="21"/>
        </w:rPr>
      </w:pPr>
      <w:r>
        <w:rPr>
          <w:color w:val="auto"/>
          <w:kern w:val="21"/>
        </w:rPr>
        <w:t>本项目水平衡图见</w:t>
      </w:r>
      <w:r>
        <w:rPr>
          <w:color w:val="auto"/>
          <w:kern w:val="21"/>
        </w:rPr>
        <w:fldChar w:fldCharType="begin"/>
      </w:r>
      <w:r>
        <w:rPr>
          <w:color w:val="auto"/>
          <w:kern w:val="21"/>
        </w:rPr>
        <w:instrText xml:space="preserve"> REF _Ref211959058 \h  \* MERGEFORMAT </w:instrText>
      </w:r>
      <w:r>
        <w:rPr>
          <w:color w:val="auto"/>
          <w:kern w:val="21"/>
        </w:rPr>
        <w:fldChar w:fldCharType="separate"/>
      </w:r>
      <w:r>
        <w:rPr>
          <w:rFonts w:hint="eastAsia"/>
          <w:color w:val="auto"/>
        </w:rPr>
        <w:t xml:space="preserve">图 </w:t>
      </w:r>
      <w:r>
        <w:rPr>
          <w:color w:val="auto"/>
        </w:rPr>
        <w:t>3.6</w:t>
      </w:r>
      <w:r>
        <w:rPr>
          <w:color w:val="auto"/>
        </w:rPr>
        <w:noBreakHyphen/>
      </w:r>
      <w:r>
        <w:rPr>
          <w:color w:val="auto"/>
        </w:rPr>
        <w:t>8</w:t>
      </w:r>
      <w:r>
        <w:rPr>
          <w:color w:val="auto"/>
          <w:kern w:val="21"/>
        </w:rPr>
        <w:fldChar w:fldCharType="end"/>
      </w:r>
      <w:r>
        <w:rPr>
          <w:color w:val="auto"/>
          <w:kern w:val="21"/>
        </w:rPr>
        <w:t>、</w:t>
      </w:r>
      <w:r>
        <w:rPr>
          <w:color w:val="auto"/>
          <w:kern w:val="21"/>
        </w:rPr>
        <w:fldChar w:fldCharType="begin"/>
      </w:r>
      <w:r>
        <w:rPr>
          <w:color w:val="auto"/>
          <w:kern w:val="21"/>
        </w:rPr>
        <w:instrText xml:space="preserve"> REF _Ref211959062 \h  \* MERGEFORMAT </w:instrText>
      </w:r>
      <w:r>
        <w:rPr>
          <w:color w:val="auto"/>
          <w:kern w:val="21"/>
        </w:rPr>
        <w:fldChar w:fldCharType="separate"/>
      </w:r>
      <w:r>
        <w:rPr>
          <w:rFonts w:hint="eastAsia"/>
          <w:color w:val="auto"/>
        </w:rPr>
        <w:t xml:space="preserve">图 </w:t>
      </w:r>
      <w:r>
        <w:rPr>
          <w:color w:val="auto"/>
        </w:rPr>
        <w:t>3.6</w:t>
      </w:r>
      <w:r>
        <w:rPr>
          <w:color w:val="auto"/>
        </w:rPr>
        <w:noBreakHyphen/>
      </w:r>
      <w:r>
        <w:rPr>
          <w:color w:val="auto"/>
        </w:rPr>
        <w:t>9</w:t>
      </w:r>
      <w:r>
        <w:rPr>
          <w:color w:val="auto"/>
          <w:kern w:val="21"/>
        </w:rPr>
        <w:fldChar w:fldCharType="end"/>
      </w:r>
      <w:r>
        <w:rPr>
          <w:color w:val="auto"/>
          <w:kern w:val="21"/>
        </w:rPr>
        <w:t>。</w:t>
      </w:r>
    </w:p>
    <w:p w14:paraId="26491F91">
      <w:pPr>
        <w:snapToGrid w:val="0"/>
        <w:jc w:val="center"/>
        <w:rPr>
          <w:rFonts w:ascii="宋体" w:hAnsi="宋体" w:eastAsia="宋体" w:cs="Times New Roman"/>
          <w:color w:val="auto"/>
          <w:kern w:val="21"/>
        </w:rPr>
      </w:pPr>
      <w:r>
        <w:rPr>
          <w:rFonts w:ascii="宋体" w:hAnsi="宋体" w:eastAsia="宋体" w:cs="Times New Roman"/>
          <w:color w:val="auto"/>
        </w:rPr>
        <w:drawing>
          <wp:inline distT="0" distB="0" distL="114300" distR="114300">
            <wp:extent cx="4332605" cy="3391535"/>
            <wp:effectExtent l="0" t="0" r="10795" b="18415"/>
            <wp:docPr id="50523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15" name="图片 1"/>
                    <pic:cNvPicPr>
                      <a:picLocks noChangeAspect="1"/>
                    </pic:cNvPicPr>
                  </pic:nvPicPr>
                  <pic:blipFill>
                    <a:blip r:embed="rId35"/>
                    <a:stretch>
                      <a:fillRect/>
                    </a:stretch>
                  </pic:blipFill>
                  <pic:spPr>
                    <a:xfrm>
                      <a:off x="0" y="0"/>
                      <a:ext cx="4332605" cy="3391535"/>
                    </a:xfrm>
                    <a:prstGeom prst="rect">
                      <a:avLst/>
                    </a:prstGeom>
                    <a:noFill/>
                    <a:ln>
                      <a:noFill/>
                    </a:ln>
                  </pic:spPr>
                </pic:pic>
              </a:graphicData>
            </a:graphic>
          </wp:inline>
        </w:drawing>
      </w:r>
    </w:p>
    <w:p w14:paraId="5E4CD27E">
      <w:pPr>
        <w:pStyle w:val="22"/>
        <w:spacing w:before="156"/>
        <w:rPr>
          <w:rFonts w:hAnsi="宋体" w:cs="Times New Roman"/>
          <w:color w:val="auto"/>
        </w:rPr>
      </w:pPr>
      <w:bookmarkStart w:id="708" w:name="_Ref211959058"/>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8</w:t>
      </w:r>
      <w:r>
        <w:rPr>
          <w:color w:val="auto"/>
        </w:rPr>
        <w:fldChar w:fldCharType="end"/>
      </w:r>
      <w:bookmarkEnd w:id="708"/>
      <w:r>
        <w:rPr>
          <w:rFonts w:hAnsi="宋体" w:cs="Times New Roman"/>
          <w:color w:val="auto"/>
        </w:rPr>
        <w:t xml:space="preserve">  </w:t>
      </w:r>
      <w:r>
        <w:rPr>
          <w:color w:val="auto"/>
        </w:rPr>
        <w:t>施工期水平衡图</w:t>
      </w:r>
      <w:r>
        <w:rPr>
          <w:rFonts w:hAnsi="宋体" w:cs="Times New Roman"/>
          <w:color w:val="auto"/>
        </w:rPr>
        <w:t>（</w:t>
      </w:r>
      <w:r>
        <w:rPr>
          <w:color w:val="auto"/>
        </w:rPr>
        <w:t>单位</w:t>
      </w:r>
      <w:r>
        <w:rPr>
          <w:rFonts w:hAnsi="宋体" w:cs="Times New Roman"/>
          <w:color w:val="auto"/>
        </w:rPr>
        <w:t>：</w:t>
      </w:r>
      <w:r>
        <w:rPr>
          <w:color w:val="auto"/>
        </w:rPr>
        <w:t>m</w:t>
      </w:r>
      <w:r>
        <w:rPr>
          <w:color w:val="auto"/>
          <w:vertAlign w:val="superscript"/>
        </w:rPr>
        <w:t>3</w:t>
      </w:r>
      <w:r>
        <w:rPr>
          <w:rFonts w:hAnsi="宋体" w:cs="Times New Roman"/>
          <w:color w:val="auto"/>
        </w:rPr>
        <w:t>）</w:t>
      </w:r>
    </w:p>
    <w:p w14:paraId="44341D4A">
      <w:pPr>
        <w:snapToGrid w:val="0"/>
        <w:jc w:val="center"/>
        <w:rPr>
          <w:rFonts w:ascii="宋体" w:hAnsi="宋体" w:eastAsia="宋体" w:cs="Times New Roman"/>
          <w:color w:val="auto"/>
          <w:kern w:val="21"/>
        </w:rPr>
      </w:pPr>
      <w:r>
        <w:rPr>
          <w:rFonts w:ascii="宋体" w:hAnsi="宋体" w:eastAsia="宋体" w:cs="Times New Roman"/>
          <w:color w:val="auto"/>
        </w:rPr>
        <w:drawing>
          <wp:inline distT="0" distB="0" distL="114300" distR="114300">
            <wp:extent cx="4534535" cy="2096770"/>
            <wp:effectExtent l="0" t="0" r="18415" b="17780"/>
            <wp:docPr id="505235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16" name="图片 2"/>
                    <pic:cNvPicPr>
                      <a:picLocks noChangeAspect="1"/>
                    </pic:cNvPicPr>
                  </pic:nvPicPr>
                  <pic:blipFill>
                    <a:blip r:embed="rId36"/>
                    <a:stretch>
                      <a:fillRect/>
                    </a:stretch>
                  </pic:blipFill>
                  <pic:spPr>
                    <a:xfrm>
                      <a:off x="0" y="0"/>
                      <a:ext cx="4534535" cy="2096770"/>
                    </a:xfrm>
                    <a:prstGeom prst="rect">
                      <a:avLst/>
                    </a:prstGeom>
                    <a:noFill/>
                    <a:ln>
                      <a:noFill/>
                    </a:ln>
                  </pic:spPr>
                </pic:pic>
              </a:graphicData>
            </a:graphic>
          </wp:inline>
        </w:drawing>
      </w:r>
    </w:p>
    <w:p w14:paraId="1E5480D8">
      <w:pPr>
        <w:pStyle w:val="22"/>
        <w:spacing w:before="156"/>
        <w:rPr>
          <w:rFonts w:hAnsi="宋体" w:cs="Times New Roman"/>
          <w:color w:val="auto"/>
        </w:rPr>
      </w:pPr>
      <w:bookmarkStart w:id="709" w:name="_Ref211959062"/>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9</w:t>
      </w:r>
      <w:r>
        <w:rPr>
          <w:color w:val="auto"/>
        </w:rPr>
        <w:fldChar w:fldCharType="end"/>
      </w:r>
      <w:bookmarkEnd w:id="709"/>
      <w:r>
        <w:rPr>
          <w:rFonts w:hAnsi="宋体" w:cs="Times New Roman"/>
          <w:color w:val="auto"/>
        </w:rPr>
        <w:t xml:space="preserve">  </w:t>
      </w:r>
      <w:r>
        <w:rPr>
          <w:color w:val="auto"/>
        </w:rPr>
        <w:t>运营期水平衡图（单位m</w:t>
      </w:r>
      <w:r>
        <w:rPr>
          <w:color w:val="auto"/>
          <w:vertAlign w:val="superscript"/>
        </w:rPr>
        <w:t>3</w:t>
      </w:r>
      <w:r>
        <w:rPr>
          <w:color w:val="auto"/>
        </w:rPr>
        <w:t>/a</w:t>
      </w:r>
      <w:r>
        <w:rPr>
          <w:rFonts w:hAnsi="宋体" w:cs="Times New Roman"/>
          <w:color w:val="auto"/>
        </w:rPr>
        <w:t>）</w:t>
      </w:r>
    </w:p>
    <w:bookmarkEnd w:id="706"/>
    <w:p w14:paraId="2ADF939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710" w:name="_Toc5710034"/>
      <w:bookmarkStart w:id="711" w:name="_Toc67523606"/>
      <w:bookmarkStart w:id="712" w:name="_Toc69690824"/>
      <w:bookmarkStart w:id="713" w:name="_Toc71371957"/>
      <w:bookmarkStart w:id="714" w:name="_Toc13059819"/>
      <w:bookmarkStart w:id="715" w:name="_Toc74812328"/>
      <w:bookmarkStart w:id="716" w:name="_Toc61597234"/>
      <w:r>
        <w:rPr>
          <w:rFonts w:ascii="宋体" w:hAnsi="宋体" w:eastAsia="宋体" w:cs="Times New Roman"/>
          <w:b/>
          <w:bCs/>
          <w:color w:val="auto"/>
          <w:szCs w:val="28"/>
        </w:rPr>
        <w:t>供电工程</w:t>
      </w:r>
      <w:bookmarkEnd w:id="710"/>
      <w:bookmarkEnd w:id="711"/>
      <w:bookmarkEnd w:id="712"/>
      <w:bookmarkEnd w:id="713"/>
      <w:bookmarkEnd w:id="714"/>
      <w:bookmarkEnd w:id="715"/>
      <w:bookmarkEnd w:id="716"/>
    </w:p>
    <w:p w14:paraId="5E2DFFBD">
      <w:pPr>
        <w:pStyle w:val="276"/>
        <w:widowControl w:val="0"/>
        <w:ind w:firstLine="480"/>
        <w:jc w:val="both"/>
        <w:rPr>
          <w:color w:val="auto"/>
          <w:kern w:val="2"/>
        </w:rPr>
      </w:pPr>
      <w:bookmarkStart w:id="717" w:name="_Toc5710035"/>
      <w:bookmarkStart w:id="718" w:name="_Toc13059820"/>
      <w:r>
        <w:rPr>
          <w:color w:val="auto"/>
          <w:kern w:val="2"/>
        </w:rPr>
        <w:t>本项目施工期用电由柴油发电机供给。运营期电力供应均来自油田已建电网，依托的电源为松二变电站，本项目新增负荷78kW，配电采用单变压器对单井及单变压器对多井2种方式</w:t>
      </w:r>
      <w:r>
        <w:rPr>
          <w:iCs/>
          <w:color w:val="auto"/>
          <w:kern w:val="2"/>
        </w:rPr>
        <w:t>。新建井场柱上变电站3座，新建10kV 线路1. 1km，线路采用3×LGJ-50型导线。供配电系统主要工程内容见</w:t>
      </w:r>
      <w:r>
        <w:rPr>
          <w:iCs/>
          <w:color w:val="auto"/>
          <w:kern w:val="2"/>
        </w:rPr>
        <w:fldChar w:fldCharType="begin"/>
      </w:r>
      <w:r>
        <w:rPr>
          <w:iCs/>
          <w:color w:val="auto"/>
          <w:kern w:val="2"/>
        </w:rPr>
        <w:instrText xml:space="preserve"> REF _Ref211959072 \h  \* MERGEFORMAT </w:instrText>
      </w:r>
      <w:r>
        <w:rPr>
          <w:iCs/>
          <w:color w:val="auto"/>
          <w:kern w:val="2"/>
        </w:rPr>
        <w:fldChar w:fldCharType="separate"/>
      </w:r>
      <w:r>
        <w:rPr>
          <w:color w:val="auto"/>
        </w:rPr>
        <w:t>表 3.6</w:t>
      </w:r>
      <w:r>
        <w:rPr>
          <w:color w:val="auto"/>
        </w:rPr>
        <w:noBreakHyphen/>
      </w:r>
      <w:r>
        <w:rPr>
          <w:color w:val="auto"/>
        </w:rPr>
        <w:t>15</w:t>
      </w:r>
      <w:r>
        <w:rPr>
          <w:iCs/>
          <w:color w:val="auto"/>
          <w:kern w:val="2"/>
        </w:rPr>
        <w:fldChar w:fldCharType="end"/>
      </w:r>
      <w:r>
        <w:rPr>
          <w:iCs/>
          <w:color w:val="auto"/>
          <w:kern w:val="2"/>
        </w:rPr>
        <w:t>。</w:t>
      </w:r>
    </w:p>
    <w:p w14:paraId="25B8E77A">
      <w:pPr>
        <w:pStyle w:val="22"/>
        <w:spacing w:before="156"/>
        <w:rPr>
          <w:color w:val="auto"/>
        </w:rPr>
      </w:pPr>
      <w:bookmarkStart w:id="719" w:name="_Ref211959072"/>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15</w:t>
      </w:r>
      <w:r>
        <w:rPr>
          <w:color w:val="auto"/>
        </w:rPr>
        <w:fldChar w:fldCharType="end"/>
      </w:r>
      <w:bookmarkEnd w:id="719"/>
      <w:r>
        <w:rPr>
          <w:color w:val="auto"/>
        </w:rPr>
        <w:t>供配电工程主要工程量汇总</w:t>
      </w:r>
      <w:bookmarkStart w:id="720" w:name="_Toc61597235"/>
      <w:bookmarkStart w:id="721" w:name="_Toc71371958"/>
      <w:bookmarkStart w:id="722" w:name="_Toc69690825"/>
      <w:bookmarkStart w:id="723" w:name="_Toc74812329"/>
      <w:bookmarkStart w:id="724" w:name="_Toc67523607"/>
      <w:r>
        <w:rPr>
          <w:color w:val="auto"/>
        </w:rPr>
        <w:t>表</w:t>
      </w:r>
    </w:p>
    <w:tbl>
      <w:tblPr>
        <w:tblStyle w:val="81"/>
        <w:tblW w:w="906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90"/>
        <w:gridCol w:w="5103"/>
        <w:gridCol w:w="1417"/>
        <w:gridCol w:w="1554"/>
      </w:tblGrid>
      <w:tr w14:paraId="0AA9B0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90" w:type="dxa"/>
            <w:vAlign w:val="center"/>
          </w:tcPr>
          <w:p w14:paraId="419509CA">
            <w:pPr>
              <w:spacing w:line="360" w:lineRule="exact"/>
              <w:jc w:val="center"/>
              <w:rPr>
                <w:rFonts w:ascii="宋体" w:hAnsi="宋体" w:eastAsia="宋体" w:cs="Times New Roman"/>
                <w:color w:val="auto"/>
              </w:rPr>
            </w:pPr>
            <w:r>
              <w:rPr>
                <w:rFonts w:ascii="宋体" w:hAnsi="宋体" w:eastAsia="宋体" w:cs="Times New Roman"/>
                <w:color w:val="auto"/>
              </w:rPr>
              <w:t>序号</w:t>
            </w:r>
          </w:p>
        </w:tc>
        <w:tc>
          <w:tcPr>
            <w:tcW w:w="5103" w:type="dxa"/>
            <w:vAlign w:val="center"/>
          </w:tcPr>
          <w:p w14:paraId="0DA55564">
            <w:pPr>
              <w:spacing w:line="360" w:lineRule="exact"/>
              <w:jc w:val="center"/>
              <w:rPr>
                <w:rFonts w:ascii="宋体" w:hAnsi="宋体" w:eastAsia="宋体" w:cs="Times New Roman"/>
                <w:color w:val="auto"/>
              </w:rPr>
            </w:pPr>
            <w:r>
              <w:rPr>
                <w:rFonts w:ascii="宋体" w:hAnsi="宋体" w:eastAsia="宋体" w:cs="Times New Roman"/>
                <w:color w:val="auto"/>
              </w:rPr>
              <w:t>项 目 名 称</w:t>
            </w:r>
          </w:p>
        </w:tc>
        <w:tc>
          <w:tcPr>
            <w:tcW w:w="1417" w:type="dxa"/>
            <w:vAlign w:val="center"/>
          </w:tcPr>
          <w:p w14:paraId="1AC989FD">
            <w:pPr>
              <w:spacing w:line="360" w:lineRule="exact"/>
              <w:jc w:val="center"/>
              <w:rPr>
                <w:rFonts w:ascii="宋体" w:hAnsi="宋体" w:eastAsia="宋体" w:cs="Times New Roman"/>
                <w:color w:val="auto"/>
              </w:rPr>
            </w:pPr>
            <w:r>
              <w:rPr>
                <w:rFonts w:ascii="宋体" w:hAnsi="宋体" w:eastAsia="宋体" w:cs="Times New Roman"/>
                <w:color w:val="auto"/>
              </w:rPr>
              <w:t>单位</w:t>
            </w:r>
          </w:p>
        </w:tc>
        <w:tc>
          <w:tcPr>
            <w:tcW w:w="1554" w:type="dxa"/>
            <w:vAlign w:val="center"/>
          </w:tcPr>
          <w:p w14:paraId="40BF6C47">
            <w:pPr>
              <w:spacing w:line="360" w:lineRule="exact"/>
              <w:jc w:val="center"/>
              <w:rPr>
                <w:rFonts w:ascii="宋体" w:hAnsi="宋体" w:eastAsia="宋体" w:cs="Times New Roman"/>
                <w:color w:val="auto"/>
              </w:rPr>
            </w:pPr>
            <w:r>
              <w:rPr>
                <w:rFonts w:ascii="宋体" w:hAnsi="宋体" w:eastAsia="宋体" w:cs="Times New Roman"/>
                <w:color w:val="auto"/>
              </w:rPr>
              <w:t>数量</w:t>
            </w:r>
          </w:p>
        </w:tc>
      </w:tr>
      <w:tr w14:paraId="769628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90" w:type="dxa"/>
            <w:vAlign w:val="center"/>
          </w:tcPr>
          <w:p w14:paraId="2AE77D2C">
            <w:pPr>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5103" w:type="dxa"/>
          </w:tcPr>
          <w:p w14:paraId="0DB9DA4D">
            <w:pPr>
              <w:spacing w:line="360" w:lineRule="exact"/>
              <w:jc w:val="center"/>
              <w:rPr>
                <w:rFonts w:ascii="宋体" w:hAnsi="宋体" w:eastAsia="宋体" w:cs="Times New Roman"/>
                <w:color w:val="auto"/>
              </w:rPr>
            </w:pPr>
            <w:r>
              <w:rPr>
                <w:rFonts w:ascii="宋体" w:hAnsi="宋体" w:eastAsia="宋体" w:cs="Times New Roman"/>
                <w:color w:val="auto"/>
              </w:rPr>
              <w:t>井场变压器</w:t>
            </w:r>
          </w:p>
        </w:tc>
        <w:tc>
          <w:tcPr>
            <w:tcW w:w="1417" w:type="dxa"/>
          </w:tcPr>
          <w:p w14:paraId="2DF8833B">
            <w:pPr>
              <w:spacing w:line="360" w:lineRule="exact"/>
              <w:jc w:val="center"/>
              <w:rPr>
                <w:rFonts w:ascii="宋体" w:hAnsi="宋体" w:eastAsia="宋体" w:cs="Times New Roman"/>
                <w:color w:val="auto"/>
              </w:rPr>
            </w:pPr>
            <w:r>
              <w:rPr>
                <w:rFonts w:ascii="宋体" w:hAnsi="宋体" w:eastAsia="宋体" w:cs="Times New Roman"/>
                <w:color w:val="auto"/>
              </w:rPr>
              <w:t>台</w:t>
            </w:r>
          </w:p>
        </w:tc>
        <w:tc>
          <w:tcPr>
            <w:tcW w:w="1554" w:type="dxa"/>
          </w:tcPr>
          <w:p w14:paraId="31CF3E4F">
            <w:pPr>
              <w:spacing w:line="360" w:lineRule="exact"/>
              <w:jc w:val="center"/>
              <w:rPr>
                <w:rFonts w:ascii="宋体" w:hAnsi="宋体" w:eastAsia="宋体" w:cs="Times New Roman"/>
                <w:color w:val="auto"/>
              </w:rPr>
            </w:pPr>
            <w:r>
              <w:rPr>
                <w:rFonts w:ascii="宋体" w:hAnsi="宋体" w:eastAsia="宋体" w:cs="Times New Roman"/>
                <w:color w:val="auto"/>
              </w:rPr>
              <w:t>3</w:t>
            </w:r>
          </w:p>
        </w:tc>
      </w:tr>
      <w:tr w14:paraId="44A68C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990" w:type="dxa"/>
            <w:vAlign w:val="center"/>
          </w:tcPr>
          <w:p w14:paraId="7994F660">
            <w:pPr>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5103" w:type="dxa"/>
          </w:tcPr>
          <w:p w14:paraId="62BCA9FF">
            <w:pPr>
              <w:spacing w:line="360" w:lineRule="exact"/>
              <w:jc w:val="center"/>
              <w:rPr>
                <w:rFonts w:ascii="宋体" w:hAnsi="宋体" w:eastAsia="宋体" w:cs="Times New Roman"/>
                <w:color w:val="auto"/>
              </w:rPr>
            </w:pPr>
            <w:r>
              <w:rPr>
                <w:rFonts w:ascii="宋体" w:hAnsi="宋体" w:eastAsia="宋体" w:cs="Times New Roman"/>
                <w:color w:val="auto"/>
              </w:rPr>
              <w:t>63kVA</w:t>
            </w:r>
          </w:p>
        </w:tc>
        <w:tc>
          <w:tcPr>
            <w:tcW w:w="1417" w:type="dxa"/>
          </w:tcPr>
          <w:p w14:paraId="7AD295D7">
            <w:pPr>
              <w:spacing w:line="360" w:lineRule="exact"/>
              <w:jc w:val="center"/>
              <w:rPr>
                <w:rFonts w:ascii="宋体" w:hAnsi="宋体" w:eastAsia="宋体" w:cs="Times New Roman"/>
                <w:color w:val="auto"/>
              </w:rPr>
            </w:pPr>
            <w:r>
              <w:rPr>
                <w:rFonts w:ascii="宋体" w:hAnsi="宋体" w:eastAsia="宋体" w:cs="Times New Roman"/>
                <w:color w:val="auto"/>
              </w:rPr>
              <w:t>台</w:t>
            </w:r>
          </w:p>
        </w:tc>
        <w:tc>
          <w:tcPr>
            <w:tcW w:w="1554" w:type="dxa"/>
          </w:tcPr>
          <w:p w14:paraId="7BCB631F">
            <w:pPr>
              <w:spacing w:line="360" w:lineRule="exact"/>
              <w:jc w:val="center"/>
              <w:rPr>
                <w:rFonts w:ascii="宋体" w:hAnsi="宋体" w:eastAsia="宋体" w:cs="Times New Roman"/>
                <w:color w:val="auto"/>
              </w:rPr>
            </w:pPr>
            <w:r>
              <w:rPr>
                <w:rFonts w:ascii="宋体" w:hAnsi="宋体" w:eastAsia="宋体" w:cs="Times New Roman"/>
                <w:color w:val="auto"/>
              </w:rPr>
              <w:t>2</w:t>
            </w:r>
          </w:p>
        </w:tc>
      </w:tr>
      <w:tr w14:paraId="685882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1" w:hRule="atLeast"/>
        </w:trPr>
        <w:tc>
          <w:tcPr>
            <w:tcW w:w="990" w:type="dxa"/>
            <w:vAlign w:val="center"/>
          </w:tcPr>
          <w:p w14:paraId="446BEE65">
            <w:pPr>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5103" w:type="dxa"/>
          </w:tcPr>
          <w:p w14:paraId="7BA5705B">
            <w:pPr>
              <w:spacing w:line="360" w:lineRule="exact"/>
              <w:jc w:val="center"/>
              <w:rPr>
                <w:rFonts w:ascii="宋体" w:hAnsi="宋体" w:eastAsia="宋体" w:cs="Times New Roman"/>
                <w:color w:val="auto"/>
              </w:rPr>
            </w:pPr>
            <w:r>
              <w:rPr>
                <w:rFonts w:ascii="宋体" w:hAnsi="宋体" w:eastAsia="宋体" w:cs="Times New Roman"/>
                <w:color w:val="auto"/>
              </w:rPr>
              <w:t>100kVA</w:t>
            </w:r>
          </w:p>
        </w:tc>
        <w:tc>
          <w:tcPr>
            <w:tcW w:w="1417" w:type="dxa"/>
          </w:tcPr>
          <w:p w14:paraId="14D440D5">
            <w:pPr>
              <w:spacing w:line="360" w:lineRule="exact"/>
              <w:jc w:val="center"/>
              <w:rPr>
                <w:rFonts w:ascii="宋体" w:hAnsi="宋体" w:eastAsia="宋体" w:cs="Times New Roman"/>
                <w:color w:val="auto"/>
              </w:rPr>
            </w:pPr>
            <w:r>
              <w:rPr>
                <w:rFonts w:ascii="宋体" w:hAnsi="宋体" w:eastAsia="宋体" w:cs="Times New Roman"/>
                <w:color w:val="auto"/>
              </w:rPr>
              <w:t>台</w:t>
            </w:r>
          </w:p>
        </w:tc>
        <w:tc>
          <w:tcPr>
            <w:tcW w:w="1554" w:type="dxa"/>
          </w:tcPr>
          <w:p w14:paraId="2DC7E2E7">
            <w:pPr>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4B9143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1" w:hRule="atLeast"/>
        </w:trPr>
        <w:tc>
          <w:tcPr>
            <w:tcW w:w="990" w:type="dxa"/>
            <w:vAlign w:val="center"/>
          </w:tcPr>
          <w:p w14:paraId="26898BEC">
            <w:pPr>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5103" w:type="dxa"/>
          </w:tcPr>
          <w:p w14:paraId="05C998D5">
            <w:pPr>
              <w:spacing w:before="35" w:line="224" w:lineRule="auto"/>
              <w:jc w:val="center"/>
              <w:rPr>
                <w:rFonts w:ascii="宋体" w:hAnsi="宋体" w:eastAsia="宋体" w:cs="Times New Roman"/>
                <w:color w:val="auto"/>
              </w:rPr>
            </w:pPr>
            <w:r>
              <w:rPr>
                <w:rFonts w:ascii="宋体" w:hAnsi="宋体" w:eastAsia="宋体" w:cs="Times New Roman"/>
                <w:color w:val="auto"/>
              </w:rPr>
              <w:t>柱上变电站</w:t>
            </w:r>
          </w:p>
        </w:tc>
        <w:tc>
          <w:tcPr>
            <w:tcW w:w="1417" w:type="dxa"/>
          </w:tcPr>
          <w:p w14:paraId="21F8CA6B">
            <w:pPr>
              <w:spacing w:before="35" w:line="224" w:lineRule="auto"/>
              <w:jc w:val="center"/>
              <w:rPr>
                <w:rFonts w:ascii="宋体" w:hAnsi="宋体" w:eastAsia="宋体" w:cs="Times New Roman"/>
                <w:color w:val="auto"/>
              </w:rPr>
            </w:pPr>
            <w:r>
              <w:rPr>
                <w:rFonts w:ascii="宋体" w:hAnsi="宋体" w:eastAsia="宋体" w:cs="Times New Roman"/>
                <w:color w:val="auto"/>
              </w:rPr>
              <w:t>座</w:t>
            </w:r>
          </w:p>
        </w:tc>
        <w:tc>
          <w:tcPr>
            <w:tcW w:w="1554" w:type="dxa"/>
          </w:tcPr>
          <w:p w14:paraId="607A36B2">
            <w:pPr>
              <w:spacing w:before="71" w:line="195" w:lineRule="auto"/>
              <w:jc w:val="center"/>
              <w:rPr>
                <w:rFonts w:ascii="宋体" w:hAnsi="宋体" w:eastAsia="宋体" w:cs="Times New Roman"/>
                <w:color w:val="auto"/>
              </w:rPr>
            </w:pPr>
            <w:r>
              <w:rPr>
                <w:rFonts w:ascii="宋体" w:hAnsi="宋体" w:eastAsia="宋体" w:cs="Times New Roman"/>
                <w:color w:val="auto"/>
              </w:rPr>
              <w:t>3</w:t>
            </w:r>
          </w:p>
        </w:tc>
      </w:tr>
      <w:tr w14:paraId="41FD4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1" w:hRule="atLeast"/>
        </w:trPr>
        <w:tc>
          <w:tcPr>
            <w:tcW w:w="990" w:type="dxa"/>
          </w:tcPr>
          <w:p w14:paraId="1EE98438">
            <w:pPr>
              <w:spacing w:before="48" w:line="202" w:lineRule="auto"/>
              <w:jc w:val="center"/>
              <w:rPr>
                <w:rFonts w:ascii="宋体" w:hAnsi="宋体" w:eastAsia="宋体" w:cs="Times New Roman"/>
                <w:color w:val="auto"/>
              </w:rPr>
            </w:pPr>
            <w:r>
              <w:rPr>
                <w:rFonts w:ascii="宋体" w:hAnsi="宋体" w:eastAsia="宋体" w:cs="Times New Roman"/>
                <w:color w:val="auto"/>
              </w:rPr>
              <w:t>3</w:t>
            </w:r>
          </w:p>
        </w:tc>
        <w:tc>
          <w:tcPr>
            <w:tcW w:w="5103" w:type="dxa"/>
          </w:tcPr>
          <w:p w14:paraId="7F822D3C">
            <w:pPr>
              <w:spacing w:line="360" w:lineRule="exact"/>
              <w:jc w:val="center"/>
              <w:rPr>
                <w:rFonts w:ascii="宋体" w:hAnsi="宋体" w:eastAsia="宋体" w:cs="Times New Roman"/>
                <w:color w:val="auto"/>
              </w:rPr>
            </w:pPr>
            <w:r>
              <w:rPr>
                <w:rFonts w:ascii="宋体" w:hAnsi="宋体" w:eastAsia="宋体" w:cs="Times New Roman"/>
                <w:color w:val="auto"/>
              </w:rPr>
              <w:t>10kV 线路   LGJ-50</w:t>
            </w:r>
          </w:p>
        </w:tc>
        <w:tc>
          <w:tcPr>
            <w:tcW w:w="1417" w:type="dxa"/>
          </w:tcPr>
          <w:p w14:paraId="400E4F48">
            <w:pPr>
              <w:spacing w:line="360" w:lineRule="exact"/>
              <w:jc w:val="center"/>
              <w:rPr>
                <w:rFonts w:ascii="宋体" w:hAnsi="宋体" w:eastAsia="宋体" w:cs="Times New Roman"/>
                <w:color w:val="auto"/>
              </w:rPr>
            </w:pPr>
            <w:r>
              <w:rPr>
                <w:rFonts w:ascii="宋体" w:hAnsi="宋体" w:eastAsia="宋体" w:cs="Times New Roman"/>
                <w:color w:val="auto"/>
              </w:rPr>
              <w:t>km</w:t>
            </w:r>
          </w:p>
        </w:tc>
        <w:tc>
          <w:tcPr>
            <w:tcW w:w="1554" w:type="dxa"/>
          </w:tcPr>
          <w:p w14:paraId="000459FF">
            <w:pPr>
              <w:spacing w:line="360" w:lineRule="exact"/>
              <w:jc w:val="center"/>
              <w:rPr>
                <w:rFonts w:ascii="宋体" w:hAnsi="宋体" w:eastAsia="宋体" w:cs="Times New Roman"/>
                <w:color w:val="auto"/>
              </w:rPr>
            </w:pPr>
            <w:r>
              <w:rPr>
                <w:rFonts w:ascii="宋体" w:hAnsi="宋体" w:eastAsia="宋体" w:cs="Times New Roman"/>
                <w:color w:val="auto"/>
              </w:rPr>
              <w:t>1. 1</w:t>
            </w:r>
          </w:p>
        </w:tc>
      </w:tr>
      <w:tr w14:paraId="36CDB2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1" w:hRule="atLeast"/>
        </w:trPr>
        <w:tc>
          <w:tcPr>
            <w:tcW w:w="990" w:type="dxa"/>
          </w:tcPr>
          <w:p w14:paraId="2BB8A9B8">
            <w:pPr>
              <w:spacing w:before="48" w:line="202" w:lineRule="auto"/>
              <w:jc w:val="center"/>
              <w:rPr>
                <w:rFonts w:ascii="宋体" w:hAnsi="宋体" w:eastAsia="宋体" w:cs="Times New Roman"/>
                <w:color w:val="auto"/>
              </w:rPr>
            </w:pPr>
            <w:r>
              <w:rPr>
                <w:rFonts w:ascii="宋体" w:hAnsi="宋体" w:eastAsia="宋体" w:cs="Times New Roman"/>
                <w:color w:val="auto"/>
              </w:rPr>
              <w:t>4</w:t>
            </w:r>
          </w:p>
        </w:tc>
        <w:tc>
          <w:tcPr>
            <w:tcW w:w="5103" w:type="dxa"/>
          </w:tcPr>
          <w:p w14:paraId="6653BC8D">
            <w:pPr>
              <w:spacing w:line="360" w:lineRule="exact"/>
              <w:jc w:val="center"/>
              <w:rPr>
                <w:rFonts w:ascii="宋体" w:hAnsi="宋体" w:eastAsia="宋体" w:cs="Times New Roman"/>
                <w:color w:val="auto"/>
              </w:rPr>
            </w:pPr>
            <w:r>
              <w:rPr>
                <w:rFonts w:ascii="宋体" w:hAnsi="宋体" w:eastAsia="宋体" w:cs="Times New Roman"/>
                <w:color w:val="auto"/>
              </w:rPr>
              <w:t>低压电力电缆</w:t>
            </w:r>
          </w:p>
        </w:tc>
        <w:tc>
          <w:tcPr>
            <w:tcW w:w="1417" w:type="dxa"/>
          </w:tcPr>
          <w:p w14:paraId="35755CB8">
            <w:pPr>
              <w:spacing w:line="360" w:lineRule="exact"/>
              <w:jc w:val="center"/>
              <w:rPr>
                <w:rFonts w:ascii="宋体" w:hAnsi="宋体" w:eastAsia="宋体" w:cs="Times New Roman"/>
                <w:color w:val="auto"/>
              </w:rPr>
            </w:pPr>
            <w:r>
              <w:rPr>
                <w:rFonts w:ascii="宋体" w:hAnsi="宋体" w:eastAsia="宋体" w:cs="Times New Roman"/>
                <w:color w:val="auto"/>
              </w:rPr>
              <w:t>km</w:t>
            </w:r>
          </w:p>
        </w:tc>
        <w:tc>
          <w:tcPr>
            <w:tcW w:w="1554" w:type="dxa"/>
          </w:tcPr>
          <w:p w14:paraId="7272BD1B">
            <w:pPr>
              <w:spacing w:line="360" w:lineRule="exact"/>
              <w:jc w:val="center"/>
              <w:rPr>
                <w:rFonts w:ascii="宋体" w:hAnsi="宋体" w:eastAsia="宋体" w:cs="Times New Roman"/>
                <w:color w:val="auto"/>
              </w:rPr>
            </w:pPr>
            <w:r>
              <w:rPr>
                <w:rFonts w:ascii="宋体" w:hAnsi="宋体" w:eastAsia="宋体" w:cs="Times New Roman"/>
                <w:color w:val="auto"/>
              </w:rPr>
              <w:t>1.5</w:t>
            </w:r>
          </w:p>
        </w:tc>
      </w:tr>
      <w:bookmarkEnd w:id="717"/>
      <w:bookmarkEnd w:id="718"/>
      <w:bookmarkEnd w:id="720"/>
      <w:bookmarkEnd w:id="721"/>
      <w:bookmarkEnd w:id="722"/>
      <w:bookmarkEnd w:id="723"/>
      <w:bookmarkEnd w:id="724"/>
    </w:tbl>
    <w:p w14:paraId="0C52A9A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供热系统</w:t>
      </w:r>
    </w:p>
    <w:p w14:paraId="5A43A424">
      <w:pPr>
        <w:pStyle w:val="276"/>
        <w:widowControl w:val="0"/>
        <w:ind w:firstLine="480"/>
        <w:jc w:val="both"/>
        <w:rPr>
          <w:color w:val="auto"/>
          <w:kern w:val="21"/>
        </w:rPr>
      </w:pPr>
      <w:r>
        <w:rPr>
          <w:color w:val="auto"/>
          <w:kern w:val="21"/>
        </w:rPr>
        <w:t>本项目施工期采用电取暖，运营期依托场站现有供暖方式。</w:t>
      </w:r>
    </w:p>
    <w:p w14:paraId="6FFCDA8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供气工程</w:t>
      </w:r>
    </w:p>
    <w:p w14:paraId="525985DA">
      <w:pPr>
        <w:pStyle w:val="276"/>
        <w:widowControl w:val="0"/>
        <w:ind w:firstLine="480"/>
        <w:jc w:val="both"/>
        <w:rPr>
          <w:color w:val="auto"/>
          <w:kern w:val="21"/>
        </w:rPr>
      </w:pPr>
      <w:r>
        <w:rPr>
          <w:color w:val="auto"/>
        </w:rPr>
        <w:t>本项目拉油点储罐维温用气来自产液伴生气，根据工程方案，按照储罐维温在38℃，根据产耗气量调节升温温度可将伴生气全部自耗，3座拉油点收集产液最大伴生气产生量318m</w:t>
      </w:r>
      <w:r>
        <w:rPr>
          <w:color w:val="auto"/>
          <w:vertAlign w:val="superscript"/>
        </w:rPr>
        <w:t>3</w:t>
      </w:r>
      <w:r>
        <w:rPr>
          <w:color w:val="auto"/>
        </w:rPr>
        <w:t>/d，伴生气最大产量</w:t>
      </w:r>
      <w:r>
        <w:rPr>
          <w:rFonts w:hint="eastAsia"/>
          <w:color w:val="auto"/>
        </w:rPr>
        <w:t>11.6</w:t>
      </w:r>
      <w:r>
        <w:rPr>
          <w:color w:val="auto"/>
        </w:rPr>
        <w:t>万m</w:t>
      </w:r>
      <w:r>
        <w:rPr>
          <w:color w:val="auto"/>
          <w:vertAlign w:val="superscript"/>
        </w:rPr>
        <w:t>3</w:t>
      </w:r>
      <w:r>
        <w:rPr>
          <w:color w:val="auto"/>
        </w:rPr>
        <w:t>/a，伴生气全部用于拉油点</w:t>
      </w:r>
      <w:r>
        <w:rPr>
          <w:color w:val="auto"/>
          <w:kern w:val="21"/>
        </w:rPr>
        <w:t>多功能</w:t>
      </w:r>
      <w:r>
        <w:rPr>
          <w:color w:val="auto"/>
        </w:rPr>
        <w:t>储罐加热炉自耗。</w:t>
      </w:r>
      <w:r>
        <w:rPr>
          <w:color w:val="auto"/>
          <w:kern w:val="21"/>
        </w:rPr>
        <w:t>本项目运营期采出液</w:t>
      </w:r>
      <w:r>
        <w:rPr>
          <w:rFonts w:hint="eastAsia"/>
          <w:color w:val="auto"/>
          <w:kern w:val="21"/>
        </w:rPr>
        <w:t>经朝二联卸油点后进入</w:t>
      </w:r>
      <w:r>
        <w:rPr>
          <w:color w:val="auto"/>
          <w:kern w:val="21"/>
        </w:rPr>
        <w:t>朝二联</w:t>
      </w:r>
      <w:r>
        <w:rPr>
          <w:rFonts w:hint="eastAsia"/>
          <w:color w:val="auto"/>
          <w:kern w:val="21"/>
        </w:rPr>
        <w:t>转油</w:t>
      </w:r>
      <w:r>
        <w:rPr>
          <w:color w:val="auto"/>
          <w:kern w:val="21"/>
        </w:rPr>
        <w:t>脱水站</w:t>
      </w:r>
      <w:r>
        <w:rPr>
          <w:rFonts w:hint="eastAsia"/>
          <w:color w:val="auto"/>
          <w:kern w:val="21"/>
        </w:rPr>
        <w:t>进行处理</w:t>
      </w:r>
      <w:r>
        <w:rPr>
          <w:color w:val="auto"/>
          <w:kern w:val="21"/>
        </w:rPr>
        <w:t>，</w:t>
      </w:r>
      <w:r>
        <w:rPr>
          <w:rFonts w:hint="eastAsia"/>
          <w:color w:val="auto"/>
          <w:kern w:val="21"/>
        </w:rPr>
        <w:t>依托场站</w:t>
      </w:r>
      <w:r>
        <w:rPr>
          <w:color w:val="auto"/>
          <w:kern w:val="21"/>
        </w:rPr>
        <w:t>新增天然气用量约</w:t>
      </w:r>
      <w:r>
        <w:rPr>
          <w:rFonts w:hint="eastAsia"/>
          <w:color w:val="auto"/>
          <w:kern w:val="21"/>
        </w:rPr>
        <w:t>107.84</w:t>
      </w:r>
      <w:r>
        <w:rPr>
          <w:color w:val="auto"/>
          <w:kern w:val="21"/>
        </w:rPr>
        <w:t>万m</w:t>
      </w:r>
      <w:r>
        <w:rPr>
          <w:color w:val="auto"/>
          <w:kern w:val="21"/>
          <w:vertAlign w:val="superscript"/>
        </w:rPr>
        <w:t>3</w:t>
      </w:r>
      <w:r>
        <w:rPr>
          <w:color w:val="auto"/>
          <w:kern w:val="21"/>
        </w:rPr>
        <w:t>/a。</w:t>
      </w:r>
    </w:p>
    <w:p w14:paraId="4F70D73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725" w:name="_Toc30169"/>
      <w:r>
        <w:rPr>
          <w:rFonts w:ascii="宋体" w:hAnsi="宋体" w:eastAsia="宋体" w:cs="Times New Roman"/>
          <w:b/>
          <w:bCs/>
          <w:color w:val="auto"/>
          <w:szCs w:val="28"/>
        </w:rPr>
        <w:t>道路工程</w:t>
      </w:r>
    </w:p>
    <w:p w14:paraId="36FDE6DF">
      <w:pPr>
        <w:pStyle w:val="276"/>
        <w:widowControl w:val="0"/>
        <w:ind w:firstLine="480"/>
        <w:jc w:val="both"/>
        <w:rPr>
          <w:color w:val="auto"/>
        </w:rPr>
      </w:pPr>
      <w:r>
        <w:rPr>
          <w:color w:val="auto"/>
        </w:rPr>
        <w:t>本次产能</w:t>
      </w:r>
      <w:r>
        <w:rPr>
          <w:rFonts w:hint="eastAsia"/>
          <w:color w:val="auto"/>
        </w:rPr>
        <w:t>基建</w:t>
      </w:r>
      <w:r>
        <w:rPr>
          <w:color w:val="auto"/>
        </w:rPr>
        <w:t>4口油井和3座拉油点，共形成平台1座和独立井2口。</w:t>
      </w:r>
    </w:p>
    <w:p w14:paraId="458EDD31">
      <w:pPr>
        <w:pStyle w:val="276"/>
        <w:widowControl w:val="0"/>
        <w:ind w:firstLine="480"/>
        <w:jc w:val="both"/>
        <w:rPr>
          <w:color w:val="auto"/>
        </w:rPr>
      </w:pPr>
      <w:r>
        <w:rPr>
          <w:rFonts w:hint="eastAsia"/>
          <w:color w:val="auto"/>
        </w:rPr>
        <w:t>新建道路</w:t>
      </w:r>
      <w:r>
        <w:rPr>
          <w:color w:val="auto"/>
        </w:rPr>
        <w:t>合计长度为1500m，建设标准均为路面宽 3.5m的砂石路，路基宽 4.5m；3#平台路的起点在当地水泥路上，需征用该4m宽水泥路450m。</w:t>
      </w:r>
    </w:p>
    <w:p w14:paraId="565479FA">
      <w:pPr>
        <w:pStyle w:val="276"/>
        <w:widowControl w:val="0"/>
        <w:spacing w:line="240" w:lineRule="auto"/>
        <w:ind w:firstLine="0" w:firstLineChars="0"/>
        <w:jc w:val="center"/>
        <w:rPr>
          <w:color w:val="auto"/>
          <w:szCs w:val="20"/>
        </w:rPr>
      </w:pPr>
      <w:r>
        <w:rPr>
          <w:color w:val="auto"/>
        </w:rPr>
        <w:drawing>
          <wp:inline distT="0" distB="0" distL="114300" distR="114300">
            <wp:extent cx="5755005" cy="2851785"/>
            <wp:effectExtent l="0" t="0" r="17145" b="5715"/>
            <wp:docPr id="50523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17" name="图片 1"/>
                    <pic:cNvPicPr>
                      <a:picLocks noChangeAspect="1"/>
                    </pic:cNvPicPr>
                  </pic:nvPicPr>
                  <pic:blipFill>
                    <a:blip r:embed="rId37"/>
                    <a:stretch>
                      <a:fillRect/>
                    </a:stretch>
                  </pic:blipFill>
                  <pic:spPr>
                    <a:xfrm>
                      <a:off x="0" y="0"/>
                      <a:ext cx="5755005" cy="2851785"/>
                    </a:xfrm>
                    <a:prstGeom prst="rect">
                      <a:avLst/>
                    </a:prstGeom>
                    <a:noFill/>
                    <a:ln>
                      <a:noFill/>
                    </a:ln>
                  </pic:spPr>
                </pic:pic>
              </a:graphicData>
            </a:graphic>
          </wp:inline>
        </w:drawing>
      </w:r>
    </w:p>
    <w:p w14:paraId="64988C2A">
      <w:pPr>
        <w:pStyle w:val="22"/>
        <w:spacing w:before="156"/>
        <w:rPr>
          <w:color w:val="auto"/>
        </w:rPr>
      </w:pP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10</w:t>
      </w:r>
      <w:r>
        <w:rPr>
          <w:color w:val="auto"/>
        </w:rPr>
        <w:fldChar w:fldCharType="end"/>
      </w:r>
      <w:r>
        <w:rPr>
          <w:rFonts w:hint="eastAsia"/>
          <w:color w:val="auto"/>
        </w:rPr>
        <w:t>本项目新建道路路由</w:t>
      </w:r>
    </w:p>
    <w:p w14:paraId="14C87506">
      <w:pPr>
        <w:pStyle w:val="22"/>
        <w:spacing w:before="156"/>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16</w:t>
      </w:r>
      <w:r>
        <w:rPr>
          <w:color w:val="auto"/>
        </w:rPr>
        <w:fldChar w:fldCharType="end"/>
      </w:r>
      <w:r>
        <w:rPr>
          <w:color w:val="auto"/>
        </w:rPr>
        <w:t>本项目道路工程主要工程量</w:t>
      </w:r>
    </w:p>
    <w:tbl>
      <w:tblPr>
        <w:tblStyle w:val="81"/>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0"/>
        <w:gridCol w:w="2396"/>
        <w:gridCol w:w="1097"/>
        <w:gridCol w:w="1026"/>
        <w:gridCol w:w="1031"/>
        <w:gridCol w:w="1357"/>
        <w:gridCol w:w="1357"/>
      </w:tblGrid>
      <w:tr w14:paraId="0366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Merge w:val="restart"/>
            <w:vAlign w:val="center"/>
          </w:tcPr>
          <w:p w14:paraId="693E20F2">
            <w:pPr>
              <w:spacing w:line="320" w:lineRule="exact"/>
              <w:jc w:val="center"/>
              <w:rPr>
                <w:rFonts w:ascii="宋体" w:hAnsi="宋体" w:eastAsia="宋体" w:cs="Times New Roman"/>
                <w:color w:val="auto"/>
              </w:rPr>
            </w:pPr>
            <w:r>
              <w:rPr>
                <w:rFonts w:ascii="宋体" w:hAnsi="宋体" w:eastAsia="宋体" w:cs="Times New Roman"/>
                <w:color w:val="auto"/>
              </w:rPr>
              <w:t>序号</w:t>
            </w:r>
          </w:p>
        </w:tc>
        <w:tc>
          <w:tcPr>
            <w:tcW w:w="1315" w:type="pct"/>
            <w:vMerge w:val="restart"/>
            <w:vAlign w:val="center"/>
          </w:tcPr>
          <w:p w14:paraId="0F82E5D8">
            <w:pPr>
              <w:spacing w:line="320" w:lineRule="exact"/>
              <w:jc w:val="center"/>
              <w:rPr>
                <w:rFonts w:ascii="宋体" w:hAnsi="宋体" w:eastAsia="宋体" w:cs="Times New Roman"/>
                <w:color w:val="auto"/>
              </w:rPr>
            </w:pPr>
            <w:r>
              <w:rPr>
                <w:rFonts w:ascii="宋体" w:hAnsi="宋体" w:eastAsia="宋体" w:cs="Times New Roman"/>
                <w:color w:val="auto"/>
              </w:rPr>
              <w:t>道路名称</w:t>
            </w:r>
          </w:p>
        </w:tc>
        <w:tc>
          <w:tcPr>
            <w:tcW w:w="602" w:type="pct"/>
            <w:vMerge w:val="restart"/>
            <w:vAlign w:val="center"/>
          </w:tcPr>
          <w:p w14:paraId="2BB84199">
            <w:pPr>
              <w:spacing w:line="320" w:lineRule="exact"/>
              <w:jc w:val="center"/>
              <w:rPr>
                <w:rFonts w:ascii="宋体" w:hAnsi="宋体" w:eastAsia="宋体" w:cs="Times New Roman"/>
                <w:color w:val="auto"/>
              </w:rPr>
            </w:pPr>
            <w:r>
              <w:rPr>
                <w:rFonts w:ascii="宋体" w:hAnsi="宋体" w:eastAsia="宋体" w:cs="Times New Roman"/>
                <w:color w:val="auto"/>
              </w:rPr>
              <w:t>总长度</w:t>
            </w:r>
          </w:p>
          <w:p w14:paraId="56B951EA">
            <w:pPr>
              <w:spacing w:line="320" w:lineRule="exact"/>
              <w:jc w:val="center"/>
              <w:rPr>
                <w:rFonts w:ascii="宋体" w:hAnsi="宋体" w:eastAsia="宋体" w:cs="Times New Roman"/>
                <w:color w:val="auto"/>
              </w:rPr>
            </w:pPr>
            <w:r>
              <w:rPr>
                <w:rFonts w:ascii="宋体" w:hAnsi="宋体" w:eastAsia="宋体" w:cs="Times New Roman"/>
                <w:color w:val="auto"/>
              </w:rPr>
              <w:t>（km）</w:t>
            </w:r>
          </w:p>
        </w:tc>
        <w:tc>
          <w:tcPr>
            <w:tcW w:w="1129" w:type="pct"/>
            <w:gridSpan w:val="2"/>
            <w:vAlign w:val="center"/>
          </w:tcPr>
          <w:p w14:paraId="1E8854DA">
            <w:pPr>
              <w:spacing w:line="320" w:lineRule="exact"/>
              <w:jc w:val="center"/>
              <w:rPr>
                <w:rFonts w:ascii="宋体" w:hAnsi="宋体" w:eastAsia="宋体" w:cs="Times New Roman"/>
                <w:color w:val="auto"/>
              </w:rPr>
            </w:pPr>
            <w:r>
              <w:rPr>
                <w:rFonts w:ascii="宋体" w:hAnsi="宋体" w:eastAsia="宋体" w:cs="Times New Roman"/>
                <w:color w:val="auto"/>
              </w:rPr>
              <w:t>道路宽度（m）</w:t>
            </w:r>
          </w:p>
        </w:tc>
        <w:tc>
          <w:tcPr>
            <w:tcW w:w="745" w:type="pct"/>
            <w:vMerge w:val="restart"/>
            <w:vAlign w:val="center"/>
          </w:tcPr>
          <w:p w14:paraId="6F2BF6AD">
            <w:pPr>
              <w:spacing w:line="320" w:lineRule="exact"/>
              <w:jc w:val="center"/>
              <w:rPr>
                <w:rFonts w:ascii="宋体" w:hAnsi="宋体" w:eastAsia="宋体" w:cs="Times New Roman"/>
                <w:color w:val="auto"/>
              </w:rPr>
            </w:pPr>
            <w:r>
              <w:rPr>
                <w:rFonts w:ascii="宋体" w:hAnsi="宋体" w:eastAsia="宋体" w:cs="Times New Roman"/>
                <w:color w:val="auto"/>
              </w:rPr>
              <w:t>建设标准</w:t>
            </w:r>
          </w:p>
        </w:tc>
        <w:tc>
          <w:tcPr>
            <w:tcW w:w="745" w:type="pct"/>
            <w:vMerge w:val="restart"/>
            <w:vAlign w:val="center"/>
          </w:tcPr>
          <w:p w14:paraId="04A32FA1">
            <w:pPr>
              <w:spacing w:line="320" w:lineRule="exact"/>
              <w:jc w:val="center"/>
              <w:rPr>
                <w:rFonts w:ascii="宋体" w:hAnsi="宋体" w:eastAsia="宋体" w:cs="Times New Roman"/>
                <w:color w:val="auto"/>
              </w:rPr>
            </w:pPr>
            <w:r>
              <w:rPr>
                <w:rFonts w:hint="eastAsia" w:ascii="宋体" w:hAnsi="宋体" w:eastAsia="宋体" w:cs="Times New Roman"/>
                <w:color w:val="auto"/>
              </w:rPr>
              <w:t>备注</w:t>
            </w:r>
          </w:p>
        </w:tc>
      </w:tr>
      <w:tr w14:paraId="22DA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Merge w:val="continue"/>
            <w:vAlign w:val="center"/>
          </w:tcPr>
          <w:p w14:paraId="1F7D8EF9">
            <w:pPr>
              <w:spacing w:line="320" w:lineRule="exact"/>
              <w:jc w:val="center"/>
              <w:rPr>
                <w:rFonts w:ascii="宋体" w:hAnsi="宋体" w:eastAsia="宋体" w:cs="Times New Roman"/>
                <w:color w:val="auto"/>
              </w:rPr>
            </w:pPr>
          </w:p>
        </w:tc>
        <w:tc>
          <w:tcPr>
            <w:tcW w:w="1315" w:type="pct"/>
            <w:vMerge w:val="continue"/>
            <w:vAlign w:val="center"/>
          </w:tcPr>
          <w:p w14:paraId="2EE29A89">
            <w:pPr>
              <w:spacing w:line="320" w:lineRule="exact"/>
              <w:jc w:val="center"/>
              <w:rPr>
                <w:rFonts w:ascii="宋体" w:hAnsi="宋体" w:eastAsia="宋体" w:cs="Times New Roman"/>
                <w:color w:val="auto"/>
              </w:rPr>
            </w:pPr>
          </w:p>
        </w:tc>
        <w:tc>
          <w:tcPr>
            <w:tcW w:w="602" w:type="pct"/>
            <w:vMerge w:val="continue"/>
            <w:vAlign w:val="center"/>
          </w:tcPr>
          <w:p w14:paraId="464F3676">
            <w:pPr>
              <w:spacing w:line="320" w:lineRule="exact"/>
              <w:jc w:val="center"/>
              <w:rPr>
                <w:rFonts w:ascii="宋体" w:hAnsi="宋体" w:eastAsia="宋体" w:cs="Times New Roman"/>
                <w:color w:val="auto"/>
              </w:rPr>
            </w:pPr>
          </w:p>
        </w:tc>
        <w:tc>
          <w:tcPr>
            <w:tcW w:w="563" w:type="pct"/>
            <w:vAlign w:val="center"/>
          </w:tcPr>
          <w:p w14:paraId="67E92BA6">
            <w:pPr>
              <w:spacing w:line="320" w:lineRule="exact"/>
              <w:jc w:val="center"/>
              <w:rPr>
                <w:rFonts w:ascii="宋体" w:hAnsi="宋体" w:eastAsia="宋体" w:cs="Times New Roman"/>
                <w:color w:val="auto"/>
              </w:rPr>
            </w:pPr>
            <w:r>
              <w:rPr>
                <w:rFonts w:ascii="宋体" w:hAnsi="宋体" w:eastAsia="宋体" w:cs="Times New Roman"/>
                <w:color w:val="auto"/>
              </w:rPr>
              <w:t>路基</w:t>
            </w:r>
          </w:p>
        </w:tc>
        <w:tc>
          <w:tcPr>
            <w:tcW w:w="566" w:type="pct"/>
            <w:vAlign w:val="center"/>
          </w:tcPr>
          <w:p w14:paraId="773C76E3">
            <w:pPr>
              <w:spacing w:line="320" w:lineRule="exact"/>
              <w:jc w:val="center"/>
              <w:rPr>
                <w:rFonts w:ascii="宋体" w:hAnsi="宋体" w:eastAsia="宋体" w:cs="Times New Roman"/>
                <w:color w:val="auto"/>
              </w:rPr>
            </w:pPr>
            <w:r>
              <w:rPr>
                <w:rFonts w:ascii="宋体" w:hAnsi="宋体" w:eastAsia="宋体" w:cs="Times New Roman"/>
                <w:color w:val="auto"/>
              </w:rPr>
              <w:t>路面</w:t>
            </w:r>
          </w:p>
        </w:tc>
        <w:tc>
          <w:tcPr>
            <w:tcW w:w="745" w:type="pct"/>
            <w:vMerge w:val="continue"/>
            <w:vAlign w:val="center"/>
          </w:tcPr>
          <w:p w14:paraId="65A9DEC5">
            <w:pPr>
              <w:spacing w:line="320" w:lineRule="exact"/>
              <w:jc w:val="center"/>
              <w:rPr>
                <w:rFonts w:ascii="宋体" w:hAnsi="宋体" w:eastAsia="宋体" w:cs="Times New Roman"/>
                <w:color w:val="auto"/>
              </w:rPr>
            </w:pPr>
          </w:p>
        </w:tc>
        <w:tc>
          <w:tcPr>
            <w:tcW w:w="745" w:type="pct"/>
            <w:vMerge w:val="continue"/>
            <w:vAlign w:val="center"/>
          </w:tcPr>
          <w:p w14:paraId="40D41298">
            <w:pPr>
              <w:spacing w:line="320" w:lineRule="exact"/>
              <w:jc w:val="center"/>
              <w:rPr>
                <w:rFonts w:ascii="宋体" w:hAnsi="宋体" w:eastAsia="宋体" w:cs="Times New Roman"/>
                <w:color w:val="auto"/>
              </w:rPr>
            </w:pPr>
          </w:p>
        </w:tc>
      </w:tr>
      <w:tr w14:paraId="3FB5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Align w:val="center"/>
          </w:tcPr>
          <w:p w14:paraId="254B604A">
            <w:pPr>
              <w:spacing w:line="320" w:lineRule="exact"/>
              <w:jc w:val="center"/>
              <w:rPr>
                <w:rFonts w:ascii="宋体" w:hAnsi="宋体" w:eastAsia="宋体" w:cs="Times New Roman"/>
                <w:color w:val="auto"/>
              </w:rPr>
            </w:pPr>
            <w:r>
              <w:rPr>
                <w:rFonts w:ascii="宋体" w:hAnsi="宋体" w:eastAsia="宋体" w:cs="Times New Roman"/>
                <w:color w:val="auto"/>
              </w:rPr>
              <w:t>1</w:t>
            </w:r>
          </w:p>
        </w:tc>
        <w:tc>
          <w:tcPr>
            <w:tcW w:w="1315" w:type="pct"/>
          </w:tcPr>
          <w:p w14:paraId="57B9BA51">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源 </w:t>
            </w:r>
            <w:r>
              <w:rPr>
                <w:rFonts w:ascii="宋体" w:hAnsi="宋体" w:eastAsia="宋体" w:cs="Times New Roman"/>
                <w:color w:val="auto"/>
              </w:rPr>
              <w:t>212-</w:t>
            </w:r>
            <w:r>
              <w:rPr>
                <w:rFonts w:hint="eastAsia" w:ascii="宋体" w:hAnsi="宋体" w:eastAsia="宋体" w:cs="Times New Roman"/>
                <w:color w:val="auto"/>
              </w:rPr>
              <w:t xml:space="preserve">扶平 </w:t>
            </w:r>
            <w:r>
              <w:rPr>
                <w:rFonts w:ascii="宋体" w:hAnsi="宋体" w:eastAsia="宋体" w:cs="Times New Roman"/>
                <w:color w:val="auto"/>
              </w:rPr>
              <w:t xml:space="preserve">3 </w:t>
            </w:r>
            <w:r>
              <w:rPr>
                <w:rFonts w:hint="eastAsia" w:ascii="宋体" w:hAnsi="宋体" w:eastAsia="宋体" w:cs="Times New Roman"/>
                <w:color w:val="auto"/>
              </w:rPr>
              <w:t>通井路</w:t>
            </w:r>
          </w:p>
        </w:tc>
        <w:tc>
          <w:tcPr>
            <w:tcW w:w="602" w:type="pct"/>
          </w:tcPr>
          <w:p w14:paraId="0B2DA18D">
            <w:pPr>
              <w:spacing w:line="320" w:lineRule="exact"/>
              <w:jc w:val="center"/>
              <w:rPr>
                <w:rFonts w:ascii="宋体" w:hAnsi="宋体" w:eastAsia="宋体" w:cs="Times New Roman"/>
                <w:color w:val="auto"/>
              </w:rPr>
            </w:pPr>
            <w:r>
              <w:rPr>
                <w:rFonts w:hint="eastAsia" w:ascii="宋体" w:hAnsi="宋体" w:eastAsia="宋体" w:cs="Times New Roman"/>
                <w:color w:val="auto"/>
              </w:rPr>
              <w:t>0.05</w:t>
            </w:r>
          </w:p>
        </w:tc>
        <w:tc>
          <w:tcPr>
            <w:tcW w:w="563" w:type="pct"/>
          </w:tcPr>
          <w:p w14:paraId="709B55D1">
            <w:pPr>
              <w:spacing w:line="320" w:lineRule="exact"/>
              <w:jc w:val="center"/>
              <w:rPr>
                <w:rFonts w:ascii="宋体" w:hAnsi="宋体" w:eastAsia="宋体" w:cs="Times New Roman"/>
                <w:color w:val="auto"/>
              </w:rPr>
            </w:pPr>
            <w:r>
              <w:rPr>
                <w:rFonts w:ascii="宋体" w:hAnsi="宋体" w:eastAsia="宋体" w:cs="Times New Roman"/>
                <w:color w:val="auto"/>
              </w:rPr>
              <w:t>4.5</w:t>
            </w:r>
          </w:p>
        </w:tc>
        <w:tc>
          <w:tcPr>
            <w:tcW w:w="566" w:type="pct"/>
          </w:tcPr>
          <w:p w14:paraId="12382A97">
            <w:pPr>
              <w:spacing w:line="320" w:lineRule="exact"/>
              <w:jc w:val="center"/>
              <w:rPr>
                <w:rFonts w:ascii="宋体" w:hAnsi="宋体" w:eastAsia="宋体" w:cs="Times New Roman"/>
                <w:color w:val="auto"/>
              </w:rPr>
            </w:pPr>
            <w:r>
              <w:rPr>
                <w:rFonts w:ascii="宋体" w:hAnsi="宋体" w:eastAsia="宋体" w:cs="Times New Roman"/>
                <w:color w:val="auto"/>
              </w:rPr>
              <w:t>3.5</w:t>
            </w:r>
          </w:p>
        </w:tc>
        <w:tc>
          <w:tcPr>
            <w:tcW w:w="745" w:type="pct"/>
          </w:tcPr>
          <w:p w14:paraId="0FC6997B">
            <w:pPr>
              <w:spacing w:line="320" w:lineRule="exact"/>
              <w:jc w:val="center"/>
              <w:rPr>
                <w:rFonts w:ascii="宋体" w:hAnsi="宋体" w:eastAsia="宋体" w:cs="Times New Roman"/>
                <w:color w:val="auto"/>
              </w:rPr>
            </w:pPr>
            <w:r>
              <w:rPr>
                <w:rFonts w:hint="eastAsia" w:ascii="宋体" w:hAnsi="宋体" w:eastAsia="宋体" w:cs="Times New Roman"/>
                <w:color w:val="auto"/>
              </w:rPr>
              <w:t>砂石</w:t>
            </w:r>
          </w:p>
        </w:tc>
        <w:tc>
          <w:tcPr>
            <w:tcW w:w="745" w:type="pct"/>
            <w:vAlign w:val="center"/>
          </w:tcPr>
          <w:p w14:paraId="50FAC71E">
            <w:pPr>
              <w:spacing w:line="320" w:lineRule="exact"/>
              <w:jc w:val="center"/>
              <w:rPr>
                <w:rFonts w:ascii="宋体" w:hAnsi="宋体" w:eastAsia="宋体" w:cs="Times New Roman"/>
                <w:color w:val="auto"/>
              </w:rPr>
            </w:pPr>
            <w:r>
              <w:rPr>
                <w:rFonts w:hint="eastAsia" w:ascii="宋体" w:hAnsi="宋体" w:eastAsia="宋体" w:cs="Times New Roman"/>
                <w:color w:val="auto"/>
              </w:rPr>
              <w:t>新建</w:t>
            </w:r>
          </w:p>
        </w:tc>
      </w:tr>
      <w:tr w14:paraId="4CFA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Align w:val="center"/>
          </w:tcPr>
          <w:p w14:paraId="3914BBC7">
            <w:pPr>
              <w:spacing w:line="320" w:lineRule="exact"/>
              <w:jc w:val="center"/>
              <w:rPr>
                <w:rFonts w:ascii="宋体" w:hAnsi="宋体" w:eastAsia="宋体" w:cs="Times New Roman"/>
                <w:color w:val="auto"/>
              </w:rPr>
            </w:pPr>
            <w:r>
              <w:rPr>
                <w:rFonts w:ascii="宋体" w:hAnsi="宋体" w:eastAsia="宋体" w:cs="Times New Roman"/>
                <w:color w:val="auto"/>
              </w:rPr>
              <w:t>2</w:t>
            </w:r>
          </w:p>
        </w:tc>
        <w:tc>
          <w:tcPr>
            <w:tcW w:w="1315" w:type="pct"/>
          </w:tcPr>
          <w:p w14:paraId="6B749296">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源 </w:t>
            </w:r>
            <w:r>
              <w:rPr>
                <w:rFonts w:ascii="宋体" w:hAnsi="宋体" w:eastAsia="宋体" w:cs="Times New Roman"/>
                <w:color w:val="auto"/>
              </w:rPr>
              <w:t>212-</w:t>
            </w:r>
            <w:r>
              <w:rPr>
                <w:rFonts w:hint="eastAsia" w:ascii="宋体" w:hAnsi="宋体" w:eastAsia="宋体" w:cs="Times New Roman"/>
                <w:color w:val="auto"/>
              </w:rPr>
              <w:t xml:space="preserve">扶平 </w:t>
            </w:r>
            <w:r>
              <w:rPr>
                <w:rFonts w:ascii="宋体" w:hAnsi="宋体" w:eastAsia="宋体" w:cs="Times New Roman"/>
                <w:color w:val="auto"/>
              </w:rPr>
              <w:t xml:space="preserve">4 </w:t>
            </w:r>
            <w:r>
              <w:rPr>
                <w:rFonts w:hint="eastAsia" w:ascii="宋体" w:hAnsi="宋体" w:eastAsia="宋体" w:cs="Times New Roman"/>
                <w:color w:val="auto"/>
              </w:rPr>
              <w:t>通井路</w:t>
            </w:r>
          </w:p>
        </w:tc>
        <w:tc>
          <w:tcPr>
            <w:tcW w:w="602" w:type="pct"/>
          </w:tcPr>
          <w:p w14:paraId="722887C4">
            <w:pPr>
              <w:spacing w:line="320" w:lineRule="exact"/>
              <w:jc w:val="center"/>
              <w:rPr>
                <w:rFonts w:ascii="宋体" w:hAnsi="宋体" w:eastAsia="宋体" w:cs="Times New Roman"/>
                <w:color w:val="auto"/>
              </w:rPr>
            </w:pPr>
            <w:r>
              <w:rPr>
                <w:rFonts w:hint="eastAsia" w:ascii="宋体" w:hAnsi="宋体" w:eastAsia="宋体" w:cs="Times New Roman"/>
                <w:color w:val="auto"/>
              </w:rPr>
              <w:t>0.85</w:t>
            </w:r>
          </w:p>
        </w:tc>
        <w:tc>
          <w:tcPr>
            <w:tcW w:w="563" w:type="pct"/>
          </w:tcPr>
          <w:p w14:paraId="17ED4D09">
            <w:pPr>
              <w:spacing w:line="320" w:lineRule="exact"/>
              <w:jc w:val="center"/>
              <w:rPr>
                <w:rFonts w:ascii="宋体" w:hAnsi="宋体" w:eastAsia="宋体" w:cs="Times New Roman"/>
                <w:color w:val="auto"/>
              </w:rPr>
            </w:pPr>
            <w:r>
              <w:rPr>
                <w:rFonts w:ascii="宋体" w:hAnsi="宋体" w:eastAsia="宋体" w:cs="Times New Roman"/>
                <w:color w:val="auto"/>
              </w:rPr>
              <w:t>4.5</w:t>
            </w:r>
          </w:p>
        </w:tc>
        <w:tc>
          <w:tcPr>
            <w:tcW w:w="566" w:type="pct"/>
          </w:tcPr>
          <w:p w14:paraId="05B11C3A">
            <w:pPr>
              <w:spacing w:line="320" w:lineRule="exact"/>
              <w:jc w:val="center"/>
              <w:rPr>
                <w:rFonts w:ascii="宋体" w:hAnsi="宋体" w:eastAsia="宋体" w:cs="Times New Roman"/>
                <w:color w:val="auto"/>
              </w:rPr>
            </w:pPr>
            <w:r>
              <w:rPr>
                <w:rFonts w:ascii="宋体" w:hAnsi="宋体" w:eastAsia="宋体" w:cs="Times New Roman"/>
                <w:color w:val="auto"/>
              </w:rPr>
              <w:t>3.5</w:t>
            </w:r>
          </w:p>
        </w:tc>
        <w:tc>
          <w:tcPr>
            <w:tcW w:w="745" w:type="pct"/>
          </w:tcPr>
          <w:p w14:paraId="76949B42">
            <w:pPr>
              <w:spacing w:line="320" w:lineRule="exact"/>
              <w:jc w:val="center"/>
              <w:rPr>
                <w:rFonts w:ascii="宋体" w:hAnsi="宋体" w:eastAsia="宋体" w:cs="Times New Roman"/>
                <w:color w:val="auto"/>
              </w:rPr>
            </w:pPr>
            <w:r>
              <w:rPr>
                <w:rFonts w:hint="eastAsia" w:ascii="宋体" w:hAnsi="宋体" w:eastAsia="宋体" w:cs="Times New Roman"/>
                <w:color w:val="auto"/>
              </w:rPr>
              <w:t>砂石</w:t>
            </w:r>
          </w:p>
        </w:tc>
        <w:tc>
          <w:tcPr>
            <w:tcW w:w="745" w:type="pct"/>
            <w:vAlign w:val="center"/>
          </w:tcPr>
          <w:p w14:paraId="3E152A0A">
            <w:pPr>
              <w:spacing w:line="320" w:lineRule="exact"/>
              <w:jc w:val="center"/>
              <w:rPr>
                <w:rFonts w:ascii="宋体" w:hAnsi="宋体" w:eastAsia="宋体" w:cs="Times New Roman"/>
                <w:color w:val="auto"/>
              </w:rPr>
            </w:pPr>
            <w:r>
              <w:rPr>
                <w:rFonts w:ascii="宋体" w:hAnsi="宋体" w:eastAsia="宋体" w:cs="Times New Roman"/>
                <w:color w:val="auto"/>
              </w:rPr>
              <w:t>新建</w:t>
            </w:r>
            <w:r>
              <w:rPr>
                <w:rFonts w:hint="eastAsia" w:ascii="宋体" w:hAnsi="宋体" w:eastAsia="宋体" w:cs="Times New Roman"/>
                <w:color w:val="auto"/>
              </w:rPr>
              <w:t>、改造</w:t>
            </w:r>
          </w:p>
        </w:tc>
      </w:tr>
      <w:tr w14:paraId="6D3F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Align w:val="center"/>
          </w:tcPr>
          <w:p w14:paraId="43091B33">
            <w:pPr>
              <w:spacing w:line="320" w:lineRule="exact"/>
              <w:jc w:val="center"/>
              <w:rPr>
                <w:rFonts w:ascii="宋体" w:hAnsi="宋体" w:eastAsia="宋体" w:cs="Times New Roman"/>
                <w:color w:val="auto"/>
              </w:rPr>
            </w:pPr>
            <w:r>
              <w:rPr>
                <w:rFonts w:hint="eastAsia" w:ascii="宋体" w:hAnsi="宋体" w:eastAsia="宋体" w:cs="Times New Roman"/>
                <w:color w:val="auto"/>
              </w:rPr>
              <w:t>3</w:t>
            </w:r>
          </w:p>
        </w:tc>
        <w:tc>
          <w:tcPr>
            <w:tcW w:w="1315" w:type="pct"/>
          </w:tcPr>
          <w:p w14:paraId="4F655CA7">
            <w:pPr>
              <w:spacing w:line="320" w:lineRule="exact"/>
              <w:jc w:val="center"/>
              <w:rPr>
                <w:rFonts w:ascii="宋体" w:hAnsi="宋体" w:eastAsia="宋体" w:cs="Times New Roman"/>
                <w:color w:val="auto"/>
              </w:rPr>
            </w:pPr>
            <w:r>
              <w:rPr>
                <w:rFonts w:ascii="宋体" w:hAnsi="宋体" w:eastAsia="宋体" w:cs="Times New Roman"/>
                <w:color w:val="auto"/>
              </w:rPr>
              <w:t>3#</w:t>
            </w:r>
            <w:r>
              <w:rPr>
                <w:rFonts w:hint="eastAsia" w:ascii="宋体" w:hAnsi="宋体" w:eastAsia="宋体" w:cs="Times New Roman"/>
                <w:color w:val="auto"/>
              </w:rPr>
              <w:t>平台通井路</w:t>
            </w:r>
          </w:p>
        </w:tc>
        <w:tc>
          <w:tcPr>
            <w:tcW w:w="602" w:type="pct"/>
          </w:tcPr>
          <w:p w14:paraId="7EA0466F">
            <w:pPr>
              <w:spacing w:line="320" w:lineRule="exact"/>
              <w:jc w:val="center"/>
              <w:rPr>
                <w:rFonts w:ascii="宋体" w:hAnsi="宋体" w:eastAsia="宋体" w:cs="Times New Roman"/>
                <w:color w:val="auto"/>
              </w:rPr>
            </w:pPr>
            <w:r>
              <w:rPr>
                <w:rFonts w:hint="eastAsia" w:ascii="宋体" w:hAnsi="宋体" w:eastAsia="宋体" w:cs="Times New Roman"/>
                <w:color w:val="auto"/>
              </w:rPr>
              <w:t>0.6</w:t>
            </w:r>
          </w:p>
        </w:tc>
        <w:tc>
          <w:tcPr>
            <w:tcW w:w="563" w:type="pct"/>
          </w:tcPr>
          <w:p w14:paraId="65BB135F">
            <w:pPr>
              <w:spacing w:line="320" w:lineRule="exact"/>
              <w:jc w:val="center"/>
              <w:rPr>
                <w:rFonts w:ascii="宋体" w:hAnsi="宋体" w:eastAsia="宋体" w:cs="Times New Roman"/>
                <w:color w:val="auto"/>
              </w:rPr>
            </w:pPr>
            <w:r>
              <w:rPr>
                <w:rFonts w:ascii="宋体" w:hAnsi="宋体" w:eastAsia="宋体" w:cs="Times New Roman"/>
                <w:color w:val="auto"/>
              </w:rPr>
              <w:t>4.5</w:t>
            </w:r>
          </w:p>
        </w:tc>
        <w:tc>
          <w:tcPr>
            <w:tcW w:w="566" w:type="pct"/>
          </w:tcPr>
          <w:p w14:paraId="54E317E0">
            <w:pPr>
              <w:spacing w:line="320" w:lineRule="exact"/>
              <w:jc w:val="center"/>
              <w:rPr>
                <w:rFonts w:ascii="宋体" w:hAnsi="宋体" w:eastAsia="宋体" w:cs="Times New Roman"/>
                <w:color w:val="auto"/>
              </w:rPr>
            </w:pPr>
            <w:r>
              <w:rPr>
                <w:rFonts w:ascii="宋体" w:hAnsi="宋体" w:eastAsia="宋体" w:cs="Times New Roman"/>
                <w:color w:val="auto"/>
              </w:rPr>
              <w:t>3.5</w:t>
            </w:r>
          </w:p>
        </w:tc>
        <w:tc>
          <w:tcPr>
            <w:tcW w:w="745" w:type="pct"/>
          </w:tcPr>
          <w:p w14:paraId="2717C996">
            <w:pPr>
              <w:spacing w:line="320" w:lineRule="exact"/>
              <w:jc w:val="center"/>
              <w:rPr>
                <w:rFonts w:ascii="宋体" w:hAnsi="宋体" w:eastAsia="宋体" w:cs="Times New Roman"/>
                <w:color w:val="auto"/>
              </w:rPr>
            </w:pPr>
            <w:r>
              <w:rPr>
                <w:rFonts w:hint="eastAsia" w:ascii="宋体" w:hAnsi="宋体" w:eastAsia="宋体" w:cs="Times New Roman"/>
                <w:color w:val="auto"/>
              </w:rPr>
              <w:t>砂石</w:t>
            </w:r>
          </w:p>
        </w:tc>
        <w:tc>
          <w:tcPr>
            <w:tcW w:w="745" w:type="pct"/>
            <w:vAlign w:val="center"/>
          </w:tcPr>
          <w:p w14:paraId="569D57D5">
            <w:pPr>
              <w:spacing w:line="320" w:lineRule="exact"/>
              <w:jc w:val="center"/>
              <w:rPr>
                <w:rFonts w:ascii="宋体" w:hAnsi="宋体" w:eastAsia="宋体" w:cs="Times New Roman"/>
                <w:color w:val="auto"/>
              </w:rPr>
            </w:pPr>
            <w:r>
              <w:rPr>
                <w:rFonts w:hint="eastAsia" w:ascii="宋体" w:hAnsi="宋体" w:eastAsia="宋体" w:cs="Times New Roman"/>
                <w:color w:val="auto"/>
              </w:rPr>
              <w:t>新建</w:t>
            </w:r>
          </w:p>
        </w:tc>
      </w:tr>
      <w:tr w14:paraId="5A99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Align w:val="center"/>
          </w:tcPr>
          <w:p w14:paraId="343E2BCD">
            <w:pPr>
              <w:spacing w:line="320" w:lineRule="exact"/>
              <w:jc w:val="center"/>
              <w:rPr>
                <w:rFonts w:ascii="宋体" w:hAnsi="宋体" w:eastAsia="宋体" w:cs="Times New Roman"/>
                <w:color w:val="auto"/>
              </w:rPr>
            </w:pPr>
          </w:p>
        </w:tc>
        <w:tc>
          <w:tcPr>
            <w:tcW w:w="1315" w:type="pct"/>
          </w:tcPr>
          <w:p w14:paraId="50231E47">
            <w:pPr>
              <w:spacing w:line="320" w:lineRule="exact"/>
              <w:jc w:val="center"/>
              <w:rPr>
                <w:rFonts w:ascii="宋体" w:hAnsi="宋体" w:eastAsia="宋体" w:cs="Times New Roman"/>
                <w:color w:val="auto"/>
              </w:rPr>
            </w:pPr>
            <w:r>
              <w:rPr>
                <w:rFonts w:hint="eastAsia" w:ascii="宋体" w:hAnsi="宋体" w:eastAsia="宋体" w:cs="Times New Roman"/>
                <w:color w:val="auto"/>
              </w:rPr>
              <w:t>合计</w:t>
            </w:r>
          </w:p>
        </w:tc>
        <w:tc>
          <w:tcPr>
            <w:tcW w:w="602" w:type="pct"/>
          </w:tcPr>
          <w:p w14:paraId="6E4D7C95">
            <w:pPr>
              <w:spacing w:line="320" w:lineRule="exact"/>
              <w:jc w:val="center"/>
              <w:rPr>
                <w:rFonts w:ascii="宋体" w:hAnsi="宋体" w:eastAsia="宋体" w:cs="Times New Roman"/>
                <w:color w:val="auto"/>
              </w:rPr>
            </w:pPr>
            <w:r>
              <w:rPr>
                <w:rFonts w:hint="eastAsia" w:ascii="宋体" w:hAnsi="宋体" w:eastAsia="宋体" w:cs="Times New Roman"/>
                <w:color w:val="auto"/>
              </w:rPr>
              <w:t>1.5</w:t>
            </w:r>
          </w:p>
        </w:tc>
        <w:tc>
          <w:tcPr>
            <w:tcW w:w="563" w:type="pct"/>
          </w:tcPr>
          <w:p w14:paraId="2DB14476">
            <w:pPr>
              <w:spacing w:line="320" w:lineRule="exact"/>
              <w:jc w:val="center"/>
              <w:rPr>
                <w:rFonts w:ascii="宋体" w:hAnsi="宋体" w:eastAsia="宋体" w:cs="Times New Roman"/>
                <w:color w:val="auto"/>
              </w:rPr>
            </w:pPr>
          </w:p>
        </w:tc>
        <w:tc>
          <w:tcPr>
            <w:tcW w:w="566" w:type="pct"/>
          </w:tcPr>
          <w:p w14:paraId="049C1EBD">
            <w:pPr>
              <w:spacing w:line="320" w:lineRule="exact"/>
              <w:jc w:val="center"/>
              <w:rPr>
                <w:rFonts w:ascii="宋体" w:hAnsi="宋体" w:eastAsia="宋体" w:cs="Times New Roman"/>
                <w:color w:val="auto"/>
              </w:rPr>
            </w:pPr>
          </w:p>
        </w:tc>
        <w:tc>
          <w:tcPr>
            <w:tcW w:w="745" w:type="pct"/>
          </w:tcPr>
          <w:p w14:paraId="7453F127">
            <w:pPr>
              <w:spacing w:line="320" w:lineRule="exact"/>
              <w:jc w:val="center"/>
              <w:rPr>
                <w:rFonts w:ascii="宋体" w:hAnsi="宋体" w:eastAsia="宋体" w:cs="Times New Roman"/>
                <w:color w:val="auto"/>
              </w:rPr>
            </w:pPr>
          </w:p>
        </w:tc>
        <w:tc>
          <w:tcPr>
            <w:tcW w:w="745" w:type="pct"/>
            <w:vAlign w:val="center"/>
          </w:tcPr>
          <w:p w14:paraId="535763B9">
            <w:pPr>
              <w:spacing w:line="320" w:lineRule="exact"/>
              <w:jc w:val="center"/>
              <w:rPr>
                <w:rFonts w:ascii="宋体" w:hAnsi="宋体" w:eastAsia="宋体" w:cs="Times New Roman"/>
                <w:color w:val="auto"/>
              </w:rPr>
            </w:pPr>
          </w:p>
        </w:tc>
      </w:tr>
      <w:tr w14:paraId="50C9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1" w:type="pct"/>
            <w:vAlign w:val="center"/>
          </w:tcPr>
          <w:p w14:paraId="4E210DBD">
            <w:pPr>
              <w:spacing w:line="320" w:lineRule="exact"/>
              <w:jc w:val="center"/>
              <w:rPr>
                <w:rFonts w:ascii="宋体" w:hAnsi="宋体" w:eastAsia="宋体" w:cs="Times New Roman"/>
                <w:color w:val="auto"/>
              </w:rPr>
            </w:pPr>
            <w:r>
              <w:rPr>
                <w:rFonts w:hint="eastAsia" w:ascii="宋体" w:hAnsi="宋体" w:eastAsia="宋体" w:cs="Times New Roman"/>
                <w:color w:val="auto"/>
              </w:rPr>
              <w:t>4</w:t>
            </w:r>
          </w:p>
        </w:tc>
        <w:tc>
          <w:tcPr>
            <w:tcW w:w="1315" w:type="pct"/>
          </w:tcPr>
          <w:p w14:paraId="6518F3E2">
            <w:pPr>
              <w:spacing w:line="320" w:lineRule="exact"/>
              <w:jc w:val="center"/>
              <w:rPr>
                <w:rFonts w:ascii="宋体" w:hAnsi="宋体" w:eastAsia="宋体" w:cs="Times New Roman"/>
                <w:color w:val="auto"/>
              </w:rPr>
            </w:pPr>
            <w:r>
              <w:rPr>
                <w:rFonts w:hint="eastAsia" w:ascii="宋体" w:hAnsi="宋体" w:eastAsia="宋体" w:cs="Times New Roman"/>
                <w:color w:val="auto"/>
              </w:rPr>
              <w:t>当地水泥路征用</w:t>
            </w:r>
          </w:p>
        </w:tc>
        <w:tc>
          <w:tcPr>
            <w:tcW w:w="602" w:type="pct"/>
          </w:tcPr>
          <w:p w14:paraId="09511858">
            <w:pPr>
              <w:spacing w:line="320" w:lineRule="exact"/>
              <w:jc w:val="center"/>
              <w:rPr>
                <w:rFonts w:ascii="宋体" w:hAnsi="宋体" w:eastAsia="宋体" w:cs="Times New Roman"/>
                <w:color w:val="auto"/>
              </w:rPr>
            </w:pPr>
            <w:r>
              <w:rPr>
                <w:rFonts w:hint="eastAsia" w:ascii="宋体" w:hAnsi="宋体" w:eastAsia="宋体" w:cs="Times New Roman"/>
                <w:color w:val="auto"/>
              </w:rPr>
              <w:t>0.45</w:t>
            </w:r>
          </w:p>
        </w:tc>
        <w:tc>
          <w:tcPr>
            <w:tcW w:w="563" w:type="pct"/>
          </w:tcPr>
          <w:p w14:paraId="071FA963">
            <w:pPr>
              <w:spacing w:line="320" w:lineRule="exact"/>
              <w:jc w:val="center"/>
              <w:rPr>
                <w:rFonts w:ascii="宋体" w:hAnsi="宋体" w:eastAsia="宋体" w:cs="Times New Roman"/>
                <w:color w:val="auto"/>
              </w:rPr>
            </w:pPr>
            <w:r>
              <w:rPr>
                <w:rFonts w:hint="eastAsia" w:ascii="宋体" w:hAnsi="宋体" w:eastAsia="宋体" w:cs="Times New Roman"/>
                <w:color w:val="auto"/>
              </w:rPr>
              <w:t>6.5</w:t>
            </w:r>
          </w:p>
        </w:tc>
        <w:tc>
          <w:tcPr>
            <w:tcW w:w="566" w:type="pct"/>
          </w:tcPr>
          <w:p w14:paraId="64B1DE08">
            <w:pPr>
              <w:spacing w:line="320" w:lineRule="exact"/>
              <w:jc w:val="center"/>
              <w:rPr>
                <w:rFonts w:ascii="宋体" w:hAnsi="宋体" w:eastAsia="宋体" w:cs="Times New Roman"/>
                <w:color w:val="auto"/>
              </w:rPr>
            </w:pPr>
            <w:r>
              <w:rPr>
                <w:rFonts w:hint="eastAsia" w:ascii="宋体" w:hAnsi="宋体" w:eastAsia="宋体" w:cs="Times New Roman"/>
                <w:color w:val="auto"/>
              </w:rPr>
              <w:t>4.0</w:t>
            </w:r>
          </w:p>
        </w:tc>
        <w:tc>
          <w:tcPr>
            <w:tcW w:w="745" w:type="pct"/>
          </w:tcPr>
          <w:p w14:paraId="169FB30C">
            <w:pPr>
              <w:spacing w:line="320" w:lineRule="exact"/>
              <w:jc w:val="center"/>
              <w:rPr>
                <w:rFonts w:ascii="宋体" w:hAnsi="宋体" w:eastAsia="宋体" w:cs="Times New Roman"/>
                <w:color w:val="auto"/>
              </w:rPr>
            </w:pPr>
            <w:r>
              <w:rPr>
                <w:rFonts w:hint="eastAsia" w:ascii="宋体" w:hAnsi="宋体" w:eastAsia="宋体" w:cs="Times New Roman"/>
                <w:color w:val="auto"/>
              </w:rPr>
              <w:t>水泥路征用</w:t>
            </w:r>
          </w:p>
        </w:tc>
        <w:tc>
          <w:tcPr>
            <w:tcW w:w="745" w:type="pct"/>
            <w:vAlign w:val="center"/>
          </w:tcPr>
          <w:p w14:paraId="07A49A8C">
            <w:pPr>
              <w:spacing w:line="320" w:lineRule="exact"/>
              <w:jc w:val="center"/>
              <w:rPr>
                <w:rFonts w:ascii="宋体" w:hAnsi="宋体" w:eastAsia="宋体" w:cs="Times New Roman"/>
                <w:color w:val="auto"/>
              </w:rPr>
            </w:pPr>
            <w:r>
              <w:rPr>
                <w:rFonts w:ascii="宋体" w:hAnsi="宋体" w:eastAsia="宋体" w:cs="Times New Roman"/>
                <w:color w:val="auto"/>
              </w:rPr>
              <w:t>新建</w:t>
            </w:r>
          </w:p>
        </w:tc>
      </w:tr>
    </w:tbl>
    <w:p w14:paraId="5F8F3224">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数字化工程</w:t>
      </w:r>
    </w:p>
    <w:p w14:paraId="1383731C">
      <w:pPr>
        <w:pStyle w:val="276"/>
        <w:widowControl w:val="0"/>
        <w:ind w:firstLine="480"/>
        <w:jc w:val="both"/>
        <w:rPr>
          <w:color w:val="auto"/>
          <w:szCs w:val="28"/>
          <w:lang w:bidi="ar"/>
        </w:rPr>
      </w:pPr>
      <w:r>
        <w:rPr>
          <w:color w:val="auto"/>
        </w:rPr>
        <w:t>对本次产能涉及的油井和拉油点同步进行数字化建设。</w:t>
      </w:r>
      <w:r>
        <w:rPr>
          <w:color w:val="auto"/>
          <w:szCs w:val="28"/>
        </w:rPr>
        <w:t>每座单井设置1套WIA-PA智能综合电参采集控制器，实现现场仪表数据及综合电参数据采集、远程启停井控制及数据上传等功能。</w:t>
      </w:r>
      <w:r>
        <w:rPr>
          <w:color w:val="auto"/>
          <w:szCs w:val="28"/>
          <w:lang w:bidi="ar"/>
        </w:rPr>
        <w:t>3 座拉油点设计安防系统及数据传输系统。数据上传至第八作业区生产管理中心。数字化工程工程量量汇总见</w:t>
      </w:r>
      <w:r>
        <w:rPr>
          <w:color w:val="auto"/>
          <w:szCs w:val="28"/>
          <w:lang w:bidi="ar"/>
        </w:rPr>
        <w:fldChar w:fldCharType="begin"/>
      </w:r>
      <w:r>
        <w:rPr>
          <w:color w:val="auto"/>
          <w:szCs w:val="28"/>
          <w:lang w:bidi="ar"/>
        </w:rPr>
        <w:instrText xml:space="preserve"> REF _Ref211959124 \h  \* MERGEFORMAT </w:instrText>
      </w:r>
      <w:r>
        <w:rPr>
          <w:color w:val="auto"/>
          <w:szCs w:val="28"/>
          <w:lang w:bidi="ar"/>
        </w:rPr>
        <w:fldChar w:fldCharType="separate"/>
      </w:r>
      <w:r>
        <w:rPr>
          <w:rFonts w:hint="eastAsia"/>
          <w:color w:val="auto"/>
        </w:rPr>
        <w:t xml:space="preserve">表 </w:t>
      </w:r>
      <w:r>
        <w:rPr>
          <w:color w:val="auto"/>
        </w:rPr>
        <w:t>3.6</w:t>
      </w:r>
      <w:r>
        <w:rPr>
          <w:color w:val="auto"/>
        </w:rPr>
        <w:noBreakHyphen/>
      </w:r>
      <w:r>
        <w:rPr>
          <w:color w:val="auto"/>
        </w:rPr>
        <w:t>17</w:t>
      </w:r>
      <w:r>
        <w:rPr>
          <w:color w:val="auto"/>
          <w:szCs w:val="28"/>
          <w:lang w:bidi="ar"/>
        </w:rPr>
        <w:fldChar w:fldCharType="end"/>
      </w:r>
      <w:r>
        <w:rPr>
          <w:color w:val="auto"/>
          <w:szCs w:val="28"/>
          <w:lang w:bidi="ar"/>
        </w:rPr>
        <w:t>。</w:t>
      </w:r>
    </w:p>
    <w:p w14:paraId="34E3BF75">
      <w:pPr>
        <w:pStyle w:val="22"/>
        <w:spacing w:before="156"/>
        <w:rPr>
          <w:color w:val="auto"/>
        </w:rPr>
      </w:pPr>
      <w:bookmarkStart w:id="726" w:name="_Ref211959124"/>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17</w:t>
      </w:r>
      <w:r>
        <w:rPr>
          <w:color w:val="auto"/>
        </w:rPr>
        <w:fldChar w:fldCharType="end"/>
      </w:r>
      <w:bookmarkEnd w:id="726"/>
      <w:r>
        <w:rPr>
          <w:color w:val="auto"/>
        </w:rPr>
        <w:t>数字化工程量表</w:t>
      </w:r>
    </w:p>
    <w:tbl>
      <w:tblPr>
        <w:tblStyle w:val="172"/>
        <w:tblW w:w="5042" w:type="pct"/>
        <w:jc w:val="center"/>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108" w:type="dxa"/>
          <w:bottom w:w="0" w:type="dxa"/>
          <w:right w:w="108" w:type="dxa"/>
        </w:tblCellMar>
      </w:tblPr>
      <w:tblGrid>
        <w:gridCol w:w="1116"/>
        <w:gridCol w:w="6044"/>
        <w:gridCol w:w="1076"/>
        <w:gridCol w:w="1128"/>
      </w:tblGrid>
      <w:tr w14:paraId="02044C3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108" w:type="dxa"/>
            <w:bottom w:w="0" w:type="dxa"/>
            <w:right w:w="108" w:type="dxa"/>
          </w:tblCellMar>
        </w:tblPrEx>
        <w:trPr>
          <w:trHeight w:val="278" w:hRule="atLeast"/>
          <w:jc w:val="center"/>
        </w:trPr>
        <w:tc>
          <w:tcPr>
            <w:tcW w:w="1089" w:type="dxa"/>
            <w:tcBorders>
              <w:right w:val="single" w:color="000000" w:sz="4" w:space="0"/>
            </w:tcBorders>
            <w:vAlign w:val="center"/>
          </w:tcPr>
          <w:p w14:paraId="2034AD85">
            <w:pPr>
              <w:widowControl/>
              <w:spacing w:line="360" w:lineRule="exact"/>
              <w:jc w:val="center"/>
              <w:rPr>
                <w:rFonts w:ascii="宋体" w:hAnsi="宋体" w:eastAsia="宋体" w:cs="Times New Roman"/>
                <w:color w:val="auto"/>
              </w:rPr>
            </w:pPr>
            <w:r>
              <w:rPr>
                <w:rFonts w:ascii="宋体" w:hAnsi="宋体" w:eastAsia="宋体" w:cs="Times New Roman"/>
                <w:color w:val="auto"/>
              </w:rPr>
              <w:t>序号</w:t>
            </w:r>
          </w:p>
        </w:tc>
        <w:tc>
          <w:tcPr>
            <w:tcW w:w="5905" w:type="dxa"/>
            <w:tcBorders>
              <w:left w:val="single" w:color="000000" w:sz="4" w:space="0"/>
              <w:right w:val="single" w:color="000000" w:sz="4" w:space="0"/>
            </w:tcBorders>
            <w:vAlign w:val="center"/>
          </w:tcPr>
          <w:p w14:paraId="1FF17BC5">
            <w:pPr>
              <w:widowControl/>
              <w:spacing w:line="360" w:lineRule="exact"/>
              <w:jc w:val="center"/>
              <w:rPr>
                <w:rFonts w:ascii="宋体" w:hAnsi="宋体" w:eastAsia="宋体" w:cs="Times New Roman"/>
                <w:color w:val="auto"/>
              </w:rPr>
            </w:pPr>
            <w:r>
              <w:rPr>
                <w:rFonts w:ascii="宋体" w:hAnsi="宋体" w:eastAsia="宋体" w:cs="Times New Roman"/>
                <w:color w:val="auto"/>
              </w:rPr>
              <w:t>项目名称</w:t>
            </w:r>
          </w:p>
        </w:tc>
        <w:tc>
          <w:tcPr>
            <w:tcW w:w="1051" w:type="dxa"/>
            <w:tcBorders>
              <w:left w:val="single" w:color="000000" w:sz="4" w:space="0"/>
              <w:right w:val="single" w:color="000000" w:sz="4" w:space="0"/>
            </w:tcBorders>
            <w:vAlign w:val="center"/>
          </w:tcPr>
          <w:p w14:paraId="0E25EDBD">
            <w:pPr>
              <w:widowControl/>
              <w:spacing w:line="360" w:lineRule="exact"/>
              <w:jc w:val="center"/>
              <w:rPr>
                <w:rFonts w:ascii="宋体" w:hAnsi="宋体" w:eastAsia="宋体" w:cs="Times New Roman"/>
                <w:color w:val="auto"/>
              </w:rPr>
            </w:pPr>
            <w:r>
              <w:rPr>
                <w:rFonts w:ascii="宋体" w:hAnsi="宋体" w:eastAsia="宋体" w:cs="Times New Roman"/>
                <w:color w:val="auto"/>
              </w:rPr>
              <w:t>单位</w:t>
            </w:r>
          </w:p>
        </w:tc>
        <w:tc>
          <w:tcPr>
            <w:tcW w:w="1102" w:type="dxa"/>
            <w:tcBorders>
              <w:left w:val="single" w:color="000000" w:sz="4" w:space="0"/>
            </w:tcBorders>
            <w:vAlign w:val="center"/>
          </w:tcPr>
          <w:p w14:paraId="601E35D6">
            <w:pPr>
              <w:widowControl/>
              <w:spacing w:line="360" w:lineRule="exact"/>
              <w:jc w:val="center"/>
              <w:rPr>
                <w:rFonts w:ascii="宋体" w:hAnsi="宋体" w:eastAsia="宋体" w:cs="Times New Roman"/>
                <w:color w:val="auto"/>
              </w:rPr>
            </w:pPr>
            <w:r>
              <w:rPr>
                <w:rFonts w:ascii="宋体" w:hAnsi="宋体" w:eastAsia="宋体" w:cs="Times New Roman"/>
                <w:color w:val="auto"/>
              </w:rPr>
              <w:t>数量</w:t>
            </w:r>
          </w:p>
        </w:tc>
      </w:tr>
      <w:tr w14:paraId="74431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9147" w:type="dxa"/>
            <w:gridSpan w:val="4"/>
            <w:tcBorders>
              <w:left w:val="single" w:color="000000" w:sz="10" w:space="0"/>
              <w:right w:val="single" w:color="000000" w:sz="10" w:space="0"/>
            </w:tcBorders>
            <w:vAlign w:val="center"/>
          </w:tcPr>
          <w:p w14:paraId="79EC2B39">
            <w:pPr>
              <w:widowControl/>
              <w:spacing w:line="360" w:lineRule="exact"/>
              <w:jc w:val="center"/>
              <w:rPr>
                <w:rFonts w:ascii="宋体" w:hAnsi="宋体" w:eastAsia="宋体" w:cs="Times New Roman"/>
                <w:color w:val="auto"/>
              </w:rPr>
            </w:pPr>
            <w:r>
              <w:rPr>
                <w:rFonts w:ascii="宋体" w:hAnsi="宋体" w:eastAsia="宋体" w:cs="Times New Roman"/>
                <w:color w:val="auto"/>
              </w:rPr>
              <w:t>自控部分</w:t>
            </w:r>
          </w:p>
        </w:tc>
      </w:tr>
      <w:tr w14:paraId="278F7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4DB1CF15">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5905" w:type="dxa"/>
            <w:vAlign w:val="center"/>
          </w:tcPr>
          <w:p w14:paraId="3962256E">
            <w:pPr>
              <w:widowControl/>
              <w:spacing w:line="360" w:lineRule="exact"/>
              <w:jc w:val="center"/>
              <w:rPr>
                <w:rFonts w:ascii="宋体" w:hAnsi="宋体" w:eastAsia="宋体" w:cs="Times New Roman"/>
                <w:color w:val="auto"/>
              </w:rPr>
            </w:pPr>
            <w:r>
              <w:rPr>
                <w:rFonts w:ascii="宋体" w:hAnsi="宋体" w:eastAsia="宋体" w:cs="Times New Roman"/>
                <w:color w:val="auto"/>
              </w:rPr>
              <w:t>防爆磁致伸缩液位计</w:t>
            </w:r>
          </w:p>
        </w:tc>
        <w:tc>
          <w:tcPr>
            <w:tcW w:w="1051" w:type="dxa"/>
            <w:vAlign w:val="center"/>
          </w:tcPr>
          <w:p w14:paraId="0542CDC6">
            <w:pPr>
              <w:widowControl/>
              <w:spacing w:line="360" w:lineRule="exact"/>
              <w:jc w:val="center"/>
              <w:rPr>
                <w:rFonts w:ascii="宋体" w:hAnsi="宋体" w:eastAsia="宋体" w:cs="Times New Roman"/>
                <w:color w:val="auto"/>
              </w:rPr>
            </w:pPr>
            <w:r>
              <w:rPr>
                <w:rFonts w:ascii="宋体" w:hAnsi="宋体" w:eastAsia="宋体" w:cs="Times New Roman"/>
                <w:color w:val="auto"/>
              </w:rPr>
              <w:t>台</w:t>
            </w:r>
          </w:p>
        </w:tc>
        <w:tc>
          <w:tcPr>
            <w:tcW w:w="1102" w:type="dxa"/>
            <w:tcBorders>
              <w:right w:val="single" w:color="000000" w:sz="10" w:space="0"/>
            </w:tcBorders>
            <w:vAlign w:val="center"/>
          </w:tcPr>
          <w:p w14:paraId="6EDCCC1D">
            <w:pPr>
              <w:widowControl/>
              <w:spacing w:line="360" w:lineRule="exact"/>
              <w:jc w:val="center"/>
              <w:rPr>
                <w:rFonts w:ascii="宋体" w:hAnsi="宋体" w:eastAsia="宋体" w:cs="Times New Roman"/>
                <w:color w:val="auto"/>
              </w:rPr>
            </w:pPr>
            <w:r>
              <w:rPr>
                <w:rFonts w:ascii="宋体" w:hAnsi="宋体" w:eastAsia="宋体" w:cs="Times New Roman"/>
                <w:color w:val="auto"/>
              </w:rPr>
              <w:t>4</w:t>
            </w:r>
          </w:p>
        </w:tc>
      </w:tr>
      <w:tr w14:paraId="71373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457B689C">
            <w:pPr>
              <w:widowControl/>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5905" w:type="dxa"/>
            <w:vAlign w:val="center"/>
          </w:tcPr>
          <w:p w14:paraId="2A69141F">
            <w:pPr>
              <w:widowControl/>
              <w:spacing w:line="360" w:lineRule="exact"/>
              <w:jc w:val="center"/>
              <w:rPr>
                <w:rFonts w:ascii="宋体" w:hAnsi="宋体" w:eastAsia="宋体" w:cs="Times New Roman"/>
                <w:color w:val="auto"/>
              </w:rPr>
            </w:pPr>
            <w:r>
              <w:rPr>
                <w:rFonts w:ascii="宋体" w:hAnsi="宋体" w:eastAsia="宋体" w:cs="Times New Roman"/>
                <w:color w:val="auto"/>
              </w:rPr>
              <w:t>防爆温度控制器</w:t>
            </w:r>
          </w:p>
        </w:tc>
        <w:tc>
          <w:tcPr>
            <w:tcW w:w="1051" w:type="dxa"/>
            <w:vAlign w:val="center"/>
          </w:tcPr>
          <w:p w14:paraId="1C35AEDF">
            <w:pPr>
              <w:widowControl/>
              <w:spacing w:line="360" w:lineRule="exact"/>
              <w:jc w:val="center"/>
              <w:rPr>
                <w:rFonts w:ascii="宋体" w:hAnsi="宋体" w:eastAsia="宋体" w:cs="Times New Roman"/>
                <w:color w:val="auto"/>
              </w:rPr>
            </w:pPr>
            <w:r>
              <w:rPr>
                <w:rFonts w:ascii="宋体" w:hAnsi="宋体" w:eastAsia="宋体" w:cs="Times New Roman"/>
                <w:color w:val="auto"/>
              </w:rPr>
              <w:t>台</w:t>
            </w:r>
          </w:p>
        </w:tc>
        <w:tc>
          <w:tcPr>
            <w:tcW w:w="1102" w:type="dxa"/>
            <w:tcBorders>
              <w:right w:val="single" w:color="000000" w:sz="10" w:space="0"/>
            </w:tcBorders>
            <w:vAlign w:val="center"/>
          </w:tcPr>
          <w:p w14:paraId="52827109">
            <w:pPr>
              <w:widowControl/>
              <w:spacing w:line="360" w:lineRule="exact"/>
              <w:jc w:val="center"/>
              <w:rPr>
                <w:rFonts w:ascii="宋体" w:hAnsi="宋体" w:eastAsia="宋体" w:cs="Times New Roman"/>
                <w:color w:val="auto"/>
              </w:rPr>
            </w:pPr>
            <w:r>
              <w:rPr>
                <w:rFonts w:ascii="宋体" w:hAnsi="宋体" w:eastAsia="宋体" w:cs="Times New Roman"/>
                <w:color w:val="auto"/>
              </w:rPr>
              <w:t>4</w:t>
            </w:r>
          </w:p>
        </w:tc>
      </w:tr>
      <w:tr w14:paraId="42E4D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6F97C45C">
            <w:pPr>
              <w:widowControl/>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5905" w:type="dxa"/>
            <w:vAlign w:val="center"/>
          </w:tcPr>
          <w:p w14:paraId="2C54E772">
            <w:pPr>
              <w:widowControl/>
              <w:spacing w:line="360" w:lineRule="exact"/>
              <w:jc w:val="center"/>
              <w:rPr>
                <w:rFonts w:ascii="宋体" w:hAnsi="宋体" w:eastAsia="宋体" w:cs="Times New Roman"/>
                <w:color w:val="auto"/>
              </w:rPr>
            </w:pPr>
            <w:r>
              <w:rPr>
                <w:rFonts w:ascii="宋体" w:hAnsi="宋体" w:eastAsia="宋体" w:cs="Times New Roman"/>
                <w:color w:val="auto"/>
              </w:rPr>
              <w:t>WIA-PA 智能综合电参采集控制器</w:t>
            </w:r>
          </w:p>
        </w:tc>
        <w:tc>
          <w:tcPr>
            <w:tcW w:w="1051" w:type="dxa"/>
            <w:vAlign w:val="center"/>
          </w:tcPr>
          <w:p w14:paraId="503FDB27">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3CC73FBC">
            <w:pPr>
              <w:widowControl/>
              <w:spacing w:line="360" w:lineRule="exact"/>
              <w:jc w:val="center"/>
              <w:rPr>
                <w:rFonts w:ascii="宋体" w:hAnsi="宋体" w:eastAsia="宋体" w:cs="Times New Roman"/>
                <w:color w:val="auto"/>
              </w:rPr>
            </w:pPr>
            <w:r>
              <w:rPr>
                <w:rFonts w:ascii="宋体" w:hAnsi="宋体" w:eastAsia="宋体" w:cs="Times New Roman"/>
                <w:color w:val="auto"/>
              </w:rPr>
              <w:t>3</w:t>
            </w:r>
          </w:p>
        </w:tc>
      </w:tr>
      <w:tr w14:paraId="31C33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6116094D">
            <w:pPr>
              <w:widowControl/>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5905" w:type="dxa"/>
            <w:vAlign w:val="center"/>
          </w:tcPr>
          <w:p w14:paraId="256FBD32">
            <w:pPr>
              <w:widowControl/>
              <w:spacing w:line="360" w:lineRule="exact"/>
              <w:jc w:val="center"/>
              <w:rPr>
                <w:rFonts w:ascii="宋体" w:hAnsi="宋体" w:eastAsia="宋体" w:cs="Times New Roman"/>
                <w:color w:val="auto"/>
              </w:rPr>
            </w:pPr>
            <w:r>
              <w:rPr>
                <w:rFonts w:ascii="宋体" w:hAnsi="宋体" w:eastAsia="宋体" w:cs="Times New Roman"/>
                <w:color w:val="auto"/>
              </w:rPr>
              <w:t>WIA-PA 智能三相电参分析控制模块</w:t>
            </w:r>
          </w:p>
        </w:tc>
        <w:tc>
          <w:tcPr>
            <w:tcW w:w="1051" w:type="dxa"/>
            <w:vAlign w:val="center"/>
          </w:tcPr>
          <w:p w14:paraId="4AB9E20F">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58222A72">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72BA7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2A4DA4E1">
            <w:pPr>
              <w:widowControl/>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5905" w:type="dxa"/>
            <w:vAlign w:val="center"/>
          </w:tcPr>
          <w:p w14:paraId="7FBB141E">
            <w:pPr>
              <w:widowControl/>
              <w:spacing w:line="360" w:lineRule="exact"/>
              <w:jc w:val="center"/>
              <w:rPr>
                <w:rFonts w:ascii="宋体" w:hAnsi="宋体" w:eastAsia="宋体" w:cs="Times New Roman"/>
                <w:color w:val="auto"/>
              </w:rPr>
            </w:pPr>
            <w:r>
              <w:rPr>
                <w:rFonts w:ascii="宋体" w:hAnsi="宋体" w:eastAsia="宋体" w:cs="Times New Roman"/>
                <w:color w:val="auto"/>
              </w:rPr>
              <w:t>WIA-PA 压力变送器</w:t>
            </w:r>
          </w:p>
        </w:tc>
        <w:tc>
          <w:tcPr>
            <w:tcW w:w="1051" w:type="dxa"/>
            <w:vAlign w:val="center"/>
          </w:tcPr>
          <w:p w14:paraId="46FFAE92">
            <w:pPr>
              <w:widowControl/>
              <w:spacing w:line="360" w:lineRule="exact"/>
              <w:jc w:val="center"/>
              <w:rPr>
                <w:rFonts w:ascii="宋体" w:hAnsi="宋体" w:eastAsia="宋体" w:cs="Times New Roman"/>
                <w:color w:val="auto"/>
              </w:rPr>
            </w:pPr>
            <w:r>
              <w:rPr>
                <w:rFonts w:ascii="宋体" w:hAnsi="宋体" w:eastAsia="宋体" w:cs="Times New Roman"/>
                <w:color w:val="auto"/>
              </w:rPr>
              <w:t>台</w:t>
            </w:r>
          </w:p>
        </w:tc>
        <w:tc>
          <w:tcPr>
            <w:tcW w:w="1102" w:type="dxa"/>
            <w:tcBorders>
              <w:right w:val="single" w:color="000000" w:sz="10" w:space="0"/>
            </w:tcBorders>
            <w:vAlign w:val="center"/>
          </w:tcPr>
          <w:p w14:paraId="59D8F1A0">
            <w:pPr>
              <w:widowControl/>
              <w:spacing w:line="360" w:lineRule="exact"/>
              <w:jc w:val="center"/>
              <w:rPr>
                <w:rFonts w:ascii="宋体" w:hAnsi="宋体" w:eastAsia="宋体" w:cs="Times New Roman"/>
                <w:color w:val="auto"/>
              </w:rPr>
            </w:pPr>
            <w:r>
              <w:rPr>
                <w:rFonts w:ascii="宋体" w:hAnsi="宋体" w:eastAsia="宋体" w:cs="Times New Roman"/>
                <w:color w:val="auto"/>
              </w:rPr>
              <w:t>4</w:t>
            </w:r>
          </w:p>
        </w:tc>
      </w:tr>
      <w:tr w14:paraId="67009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769EED70">
            <w:pPr>
              <w:widowControl/>
              <w:spacing w:line="360" w:lineRule="exact"/>
              <w:jc w:val="center"/>
              <w:rPr>
                <w:rFonts w:ascii="宋体" w:hAnsi="宋体" w:eastAsia="宋体" w:cs="Times New Roman"/>
                <w:color w:val="auto"/>
              </w:rPr>
            </w:pPr>
            <w:r>
              <w:rPr>
                <w:rFonts w:ascii="宋体" w:hAnsi="宋体" w:eastAsia="宋体" w:cs="Times New Roman"/>
                <w:color w:val="auto"/>
              </w:rPr>
              <w:t>6</w:t>
            </w:r>
          </w:p>
        </w:tc>
        <w:tc>
          <w:tcPr>
            <w:tcW w:w="5905" w:type="dxa"/>
            <w:vAlign w:val="center"/>
          </w:tcPr>
          <w:p w14:paraId="4A07DA19">
            <w:pPr>
              <w:widowControl/>
              <w:spacing w:line="360" w:lineRule="exact"/>
              <w:jc w:val="center"/>
              <w:rPr>
                <w:rFonts w:ascii="宋体" w:hAnsi="宋体" w:eastAsia="宋体" w:cs="Times New Roman"/>
                <w:color w:val="auto"/>
              </w:rPr>
            </w:pPr>
            <w:r>
              <w:rPr>
                <w:rFonts w:ascii="宋体" w:hAnsi="宋体" w:eastAsia="宋体" w:cs="Times New Roman"/>
                <w:color w:val="auto"/>
              </w:rPr>
              <w:t>WIA-PA 抽油机无线工况采集单元</w:t>
            </w:r>
          </w:p>
        </w:tc>
        <w:tc>
          <w:tcPr>
            <w:tcW w:w="1051" w:type="dxa"/>
            <w:vAlign w:val="center"/>
          </w:tcPr>
          <w:p w14:paraId="2A46C707">
            <w:pPr>
              <w:widowControl/>
              <w:spacing w:line="360" w:lineRule="exact"/>
              <w:jc w:val="center"/>
              <w:rPr>
                <w:rFonts w:ascii="宋体" w:hAnsi="宋体" w:eastAsia="宋体" w:cs="Times New Roman"/>
                <w:color w:val="auto"/>
              </w:rPr>
            </w:pPr>
            <w:r>
              <w:rPr>
                <w:rFonts w:ascii="宋体" w:hAnsi="宋体" w:eastAsia="宋体" w:cs="Times New Roman"/>
                <w:color w:val="auto"/>
              </w:rPr>
              <w:t>台</w:t>
            </w:r>
          </w:p>
        </w:tc>
        <w:tc>
          <w:tcPr>
            <w:tcW w:w="1102" w:type="dxa"/>
            <w:tcBorders>
              <w:right w:val="single" w:color="000000" w:sz="10" w:space="0"/>
            </w:tcBorders>
            <w:vAlign w:val="center"/>
          </w:tcPr>
          <w:p w14:paraId="784E1821">
            <w:pPr>
              <w:widowControl/>
              <w:spacing w:line="360" w:lineRule="exact"/>
              <w:jc w:val="center"/>
              <w:rPr>
                <w:rFonts w:ascii="宋体" w:hAnsi="宋体" w:eastAsia="宋体" w:cs="Times New Roman"/>
                <w:color w:val="auto"/>
              </w:rPr>
            </w:pPr>
            <w:r>
              <w:rPr>
                <w:rFonts w:ascii="宋体" w:hAnsi="宋体" w:eastAsia="宋体" w:cs="Times New Roman"/>
                <w:color w:val="auto"/>
              </w:rPr>
              <w:t>4</w:t>
            </w:r>
          </w:p>
        </w:tc>
      </w:tr>
      <w:tr w14:paraId="33CF5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1D1B47BE">
            <w:pPr>
              <w:widowControl/>
              <w:spacing w:line="360" w:lineRule="exact"/>
              <w:jc w:val="center"/>
              <w:rPr>
                <w:rFonts w:ascii="宋体" w:hAnsi="宋体" w:eastAsia="宋体" w:cs="Times New Roman"/>
                <w:color w:val="auto"/>
              </w:rPr>
            </w:pPr>
            <w:r>
              <w:rPr>
                <w:rFonts w:ascii="宋体" w:hAnsi="宋体" w:eastAsia="宋体" w:cs="Times New Roman"/>
                <w:color w:val="auto"/>
              </w:rPr>
              <w:t>7</w:t>
            </w:r>
          </w:p>
        </w:tc>
        <w:tc>
          <w:tcPr>
            <w:tcW w:w="5905" w:type="dxa"/>
            <w:vAlign w:val="center"/>
          </w:tcPr>
          <w:p w14:paraId="3A9C0E0E">
            <w:pPr>
              <w:widowControl/>
              <w:spacing w:line="360" w:lineRule="exact"/>
              <w:jc w:val="center"/>
              <w:rPr>
                <w:rFonts w:ascii="宋体" w:hAnsi="宋体" w:eastAsia="宋体" w:cs="Times New Roman"/>
                <w:color w:val="auto"/>
              </w:rPr>
            </w:pPr>
            <w:r>
              <w:rPr>
                <w:rFonts w:ascii="宋体" w:hAnsi="宋体" w:eastAsia="宋体" w:cs="Times New Roman"/>
                <w:color w:val="auto"/>
              </w:rPr>
              <w:t>第八作业区生产管理中心人机界面应用软件调整</w:t>
            </w:r>
          </w:p>
        </w:tc>
        <w:tc>
          <w:tcPr>
            <w:tcW w:w="1051" w:type="dxa"/>
            <w:vAlign w:val="center"/>
          </w:tcPr>
          <w:p w14:paraId="0FD3F43F">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514DE176">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13AFB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355B1844">
            <w:pPr>
              <w:widowControl/>
              <w:spacing w:line="360" w:lineRule="exact"/>
              <w:jc w:val="center"/>
              <w:rPr>
                <w:rFonts w:ascii="宋体" w:hAnsi="宋体" w:eastAsia="宋体" w:cs="Times New Roman"/>
                <w:color w:val="auto"/>
              </w:rPr>
            </w:pPr>
            <w:r>
              <w:rPr>
                <w:rFonts w:ascii="宋体" w:hAnsi="宋体" w:eastAsia="宋体" w:cs="Times New Roman"/>
                <w:color w:val="auto"/>
              </w:rPr>
              <w:t>8</w:t>
            </w:r>
          </w:p>
        </w:tc>
        <w:tc>
          <w:tcPr>
            <w:tcW w:w="5905" w:type="dxa"/>
            <w:vAlign w:val="center"/>
          </w:tcPr>
          <w:p w14:paraId="02BEC159">
            <w:pPr>
              <w:widowControl/>
              <w:spacing w:line="360" w:lineRule="exact"/>
              <w:jc w:val="center"/>
              <w:rPr>
                <w:rFonts w:ascii="宋体" w:hAnsi="宋体" w:eastAsia="宋体" w:cs="Times New Roman"/>
                <w:color w:val="auto"/>
              </w:rPr>
            </w:pPr>
            <w:r>
              <w:rPr>
                <w:rFonts w:ascii="宋体" w:hAnsi="宋体" w:eastAsia="宋体" w:cs="Times New Roman"/>
                <w:color w:val="auto"/>
              </w:rPr>
              <w:t>生产管理子系统软件调整</w:t>
            </w:r>
          </w:p>
        </w:tc>
        <w:tc>
          <w:tcPr>
            <w:tcW w:w="1051" w:type="dxa"/>
            <w:vAlign w:val="center"/>
          </w:tcPr>
          <w:p w14:paraId="6B0C223C">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4B8A4CC3">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3C5AF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9147" w:type="dxa"/>
            <w:gridSpan w:val="4"/>
            <w:tcBorders>
              <w:left w:val="single" w:color="000000" w:sz="10" w:space="0"/>
              <w:right w:val="single" w:color="000000" w:sz="10" w:space="0"/>
            </w:tcBorders>
            <w:vAlign w:val="center"/>
          </w:tcPr>
          <w:p w14:paraId="569C1192">
            <w:pPr>
              <w:widowControl/>
              <w:spacing w:line="360" w:lineRule="exact"/>
              <w:jc w:val="center"/>
              <w:rPr>
                <w:rFonts w:ascii="宋体" w:hAnsi="宋体" w:eastAsia="宋体" w:cs="Times New Roman"/>
                <w:color w:val="auto"/>
              </w:rPr>
            </w:pPr>
            <w:r>
              <w:rPr>
                <w:rFonts w:ascii="宋体" w:hAnsi="宋体" w:eastAsia="宋体" w:cs="Times New Roman"/>
                <w:color w:val="auto"/>
              </w:rPr>
              <w:t>通信部分</w:t>
            </w:r>
          </w:p>
        </w:tc>
      </w:tr>
      <w:tr w14:paraId="7FA9D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07F4239A">
            <w:pPr>
              <w:widowControl/>
              <w:spacing w:line="360" w:lineRule="exact"/>
              <w:jc w:val="center"/>
              <w:rPr>
                <w:rFonts w:ascii="宋体" w:hAnsi="宋体" w:eastAsia="宋体" w:cs="Times New Roman"/>
                <w:color w:val="auto"/>
              </w:rPr>
            </w:pPr>
            <w:r>
              <w:rPr>
                <w:rFonts w:ascii="宋体" w:hAnsi="宋体" w:eastAsia="宋体" w:cs="Times New Roman"/>
                <w:color w:val="auto"/>
              </w:rPr>
              <w:t>一</w:t>
            </w:r>
          </w:p>
        </w:tc>
        <w:tc>
          <w:tcPr>
            <w:tcW w:w="5905" w:type="dxa"/>
            <w:vAlign w:val="center"/>
          </w:tcPr>
          <w:p w14:paraId="3C067F52">
            <w:pPr>
              <w:widowControl/>
              <w:spacing w:line="360" w:lineRule="exact"/>
              <w:jc w:val="center"/>
              <w:rPr>
                <w:rFonts w:ascii="宋体" w:hAnsi="宋体" w:eastAsia="宋体" w:cs="Times New Roman"/>
                <w:color w:val="auto"/>
              </w:rPr>
            </w:pPr>
            <w:r>
              <w:rPr>
                <w:rFonts w:ascii="宋体" w:hAnsi="宋体" w:eastAsia="宋体" w:cs="Times New Roman"/>
                <w:color w:val="auto"/>
              </w:rPr>
              <w:t>拉油点数据传输系统</w:t>
            </w:r>
          </w:p>
        </w:tc>
        <w:tc>
          <w:tcPr>
            <w:tcW w:w="1051" w:type="dxa"/>
            <w:vAlign w:val="center"/>
          </w:tcPr>
          <w:p w14:paraId="604F455A">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5C24825B">
            <w:pPr>
              <w:widowControl/>
              <w:spacing w:line="360" w:lineRule="exact"/>
              <w:jc w:val="center"/>
              <w:rPr>
                <w:rFonts w:ascii="宋体" w:hAnsi="宋体" w:eastAsia="宋体" w:cs="Times New Roman"/>
                <w:color w:val="auto"/>
              </w:rPr>
            </w:pPr>
            <w:r>
              <w:rPr>
                <w:rFonts w:ascii="宋体" w:hAnsi="宋体" w:eastAsia="宋体" w:cs="Times New Roman"/>
                <w:color w:val="auto"/>
              </w:rPr>
              <w:t>3</w:t>
            </w:r>
          </w:p>
        </w:tc>
      </w:tr>
      <w:tr w14:paraId="58043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3189114D">
            <w:pPr>
              <w:widowControl/>
              <w:spacing w:line="360" w:lineRule="exact"/>
              <w:jc w:val="center"/>
              <w:rPr>
                <w:rFonts w:ascii="宋体" w:hAnsi="宋体" w:eastAsia="宋体" w:cs="Times New Roman"/>
                <w:color w:val="auto"/>
              </w:rPr>
            </w:pPr>
          </w:p>
        </w:tc>
        <w:tc>
          <w:tcPr>
            <w:tcW w:w="5905" w:type="dxa"/>
            <w:vAlign w:val="center"/>
          </w:tcPr>
          <w:p w14:paraId="726971F0">
            <w:pPr>
              <w:widowControl/>
              <w:spacing w:line="360" w:lineRule="exact"/>
              <w:jc w:val="center"/>
              <w:rPr>
                <w:rFonts w:ascii="宋体" w:hAnsi="宋体" w:eastAsia="宋体" w:cs="Times New Roman"/>
                <w:color w:val="auto"/>
              </w:rPr>
            </w:pPr>
            <w:r>
              <w:rPr>
                <w:rFonts w:ascii="宋体" w:hAnsi="宋体" w:eastAsia="宋体" w:cs="Times New Roman"/>
                <w:color w:val="auto"/>
              </w:rPr>
              <w:t>以下为单套工程量</w:t>
            </w:r>
          </w:p>
        </w:tc>
        <w:tc>
          <w:tcPr>
            <w:tcW w:w="1051" w:type="dxa"/>
            <w:vAlign w:val="center"/>
          </w:tcPr>
          <w:p w14:paraId="52450284">
            <w:pPr>
              <w:widowControl/>
              <w:spacing w:line="360" w:lineRule="exact"/>
              <w:jc w:val="center"/>
              <w:rPr>
                <w:rFonts w:ascii="宋体" w:hAnsi="宋体" w:eastAsia="宋体" w:cs="Times New Roman"/>
                <w:color w:val="auto"/>
              </w:rPr>
            </w:pPr>
          </w:p>
        </w:tc>
        <w:tc>
          <w:tcPr>
            <w:tcW w:w="1102" w:type="dxa"/>
            <w:tcBorders>
              <w:right w:val="single" w:color="000000" w:sz="10" w:space="0"/>
            </w:tcBorders>
            <w:vAlign w:val="center"/>
          </w:tcPr>
          <w:p w14:paraId="3C7E6562">
            <w:pPr>
              <w:widowControl/>
              <w:spacing w:line="360" w:lineRule="exact"/>
              <w:jc w:val="center"/>
              <w:rPr>
                <w:rFonts w:ascii="宋体" w:hAnsi="宋体" w:eastAsia="宋体" w:cs="Times New Roman"/>
                <w:color w:val="auto"/>
              </w:rPr>
            </w:pPr>
          </w:p>
        </w:tc>
      </w:tr>
      <w:tr w14:paraId="3D960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35797044">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5905" w:type="dxa"/>
            <w:vAlign w:val="center"/>
          </w:tcPr>
          <w:p w14:paraId="0ED4B886">
            <w:pPr>
              <w:widowControl/>
              <w:spacing w:line="360" w:lineRule="exact"/>
              <w:jc w:val="center"/>
              <w:rPr>
                <w:rFonts w:ascii="宋体" w:hAnsi="宋体" w:eastAsia="宋体" w:cs="Times New Roman"/>
                <w:color w:val="auto"/>
              </w:rPr>
            </w:pPr>
            <w:r>
              <w:rPr>
                <w:rFonts w:ascii="宋体" w:hAnsi="宋体" w:eastAsia="宋体" w:cs="Times New Roman"/>
                <w:color w:val="auto"/>
              </w:rPr>
              <w:t>传输网络</w:t>
            </w:r>
          </w:p>
        </w:tc>
        <w:tc>
          <w:tcPr>
            <w:tcW w:w="1051" w:type="dxa"/>
            <w:vAlign w:val="center"/>
          </w:tcPr>
          <w:p w14:paraId="11B79BAA">
            <w:pPr>
              <w:widowControl/>
              <w:spacing w:line="360" w:lineRule="exact"/>
              <w:jc w:val="center"/>
              <w:rPr>
                <w:rFonts w:ascii="宋体" w:hAnsi="宋体" w:eastAsia="宋体" w:cs="Times New Roman"/>
                <w:color w:val="auto"/>
              </w:rPr>
            </w:pPr>
          </w:p>
        </w:tc>
        <w:tc>
          <w:tcPr>
            <w:tcW w:w="1102" w:type="dxa"/>
            <w:tcBorders>
              <w:right w:val="single" w:color="000000" w:sz="10" w:space="0"/>
            </w:tcBorders>
            <w:vAlign w:val="center"/>
          </w:tcPr>
          <w:p w14:paraId="4BDB77F6">
            <w:pPr>
              <w:widowControl/>
              <w:spacing w:line="360" w:lineRule="exact"/>
              <w:jc w:val="center"/>
              <w:rPr>
                <w:rFonts w:ascii="宋体" w:hAnsi="宋体" w:eastAsia="宋体" w:cs="Times New Roman"/>
                <w:color w:val="auto"/>
              </w:rPr>
            </w:pPr>
          </w:p>
        </w:tc>
      </w:tr>
      <w:tr w14:paraId="5CC02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3EF7D037">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5905" w:type="dxa"/>
            <w:vAlign w:val="center"/>
          </w:tcPr>
          <w:p w14:paraId="43FBAD37">
            <w:pPr>
              <w:widowControl/>
              <w:spacing w:line="360" w:lineRule="exact"/>
              <w:jc w:val="center"/>
              <w:rPr>
                <w:rFonts w:ascii="宋体" w:hAnsi="宋体" w:eastAsia="宋体" w:cs="Times New Roman"/>
                <w:color w:val="auto"/>
              </w:rPr>
            </w:pPr>
            <w:r>
              <w:rPr>
                <w:rFonts w:ascii="宋体" w:hAnsi="宋体" w:eastAsia="宋体" w:cs="Times New Roman"/>
                <w:color w:val="auto"/>
              </w:rPr>
              <w:t>WIA-FA 5.8G MESH 主干网络传输单元</w:t>
            </w:r>
          </w:p>
        </w:tc>
        <w:tc>
          <w:tcPr>
            <w:tcW w:w="1051" w:type="dxa"/>
            <w:vAlign w:val="center"/>
          </w:tcPr>
          <w:p w14:paraId="2930EBA7">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54CD22E2">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250B2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51CA61B6">
            <w:pPr>
              <w:widowControl/>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5905" w:type="dxa"/>
            <w:vAlign w:val="center"/>
          </w:tcPr>
          <w:p w14:paraId="5C135BAE">
            <w:pPr>
              <w:widowControl/>
              <w:spacing w:line="360" w:lineRule="exact"/>
              <w:jc w:val="center"/>
              <w:rPr>
                <w:rFonts w:ascii="宋体" w:hAnsi="宋体" w:eastAsia="宋体" w:cs="Times New Roman"/>
                <w:color w:val="auto"/>
              </w:rPr>
            </w:pPr>
            <w:r>
              <w:rPr>
                <w:rFonts w:ascii="宋体" w:hAnsi="宋体" w:eastAsia="宋体" w:cs="Times New Roman"/>
                <w:color w:val="auto"/>
              </w:rPr>
              <w:t>POE 供电防雷单元 4×100M POE  电口</w:t>
            </w:r>
          </w:p>
        </w:tc>
        <w:tc>
          <w:tcPr>
            <w:tcW w:w="1051" w:type="dxa"/>
            <w:vAlign w:val="center"/>
          </w:tcPr>
          <w:p w14:paraId="6DB116DF">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3DC76219">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0AA8A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36FB7872">
            <w:pPr>
              <w:widowControl/>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5905" w:type="dxa"/>
            <w:vAlign w:val="center"/>
          </w:tcPr>
          <w:p w14:paraId="68487E69">
            <w:pPr>
              <w:widowControl/>
              <w:spacing w:line="360" w:lineRule="exact"/>
              <w:jc w:val="center"/>
              <w:rPr>
                <w:rFonts w:ascii="宋体" w:hAnsi="宋体" w:eastAsia="宋体" w:cs="Times New Roman"/>
                <w:color w:val="auto"/>
              </w:rPr>
            </w:pPr>
            <w:r>
              <w:rPr>
                <w:rFonts w:ascii="宋体" w:hAnsi="宋体" w:eastAsia="宋体" w:cs="Times New Roman"/>
                <w:color w:val="auto"/>
              </w:rPr>
              <w:t>防水型超 5 类非屏蔽双绞线</w:t>
            </w:r>
          </w:p>
        </w:tc>
        <w:tc>
          <w:tcPr>
            <w:tcW w:w="1051" w:type="dxa"/>
            <w:vAlign w:val="center"/>
          </w:tcPr>
          <w:p w14:paraId="4026698C">
            <w:pPr>
              <w:widowControl/>
              <w:spacing w:line="360" w:lineRule="exact"/>
              <w:jc w:val="center"/>
              <w:rPr>
                <w:rFonts w:ascii="宋体" w:hAnsi="宋体" w:eastAsia="宋体" w:cs="Times New Roman"/>
                <w:color w:val="auto"/>
              </w:rPr>
            </w:pPr>
            <w:r>
              <w:rPr>
                <w:rFonts w:ascii="宋体" w:hAnsi="宋体" w:eastAsia="宋体" w:cs="Times New Roman"/>
                <w:color w:val="auto"/>
              </w:rPr>
              <w:t>m</w:t>
            </w:r>
          </w:p>
        </w:tc>
        <w:tc>
          <w:tcPr>
            <w:tcW w:w="1102" w:type="dxa"/>
            <w:tcBorders>
              <w:right w:val="single" w:color="000000" w:sz="10" w:space="0"/>
            </w:tcBorders>
            <w:vAlign w:val="center"/>
          </w:tcPr>
          <w:p w14:paraId="1CABECD0">
            <w:pPr>
              <w:widowControl/>
              <w:spacing w:line="360" w:lineRule="exact"/>
              <w:jc w:val="center"/>
              <w:rPr>
                <w:rFonts w:ascii="宋体" w:hAnsi="宋体" w:eastAsia="宋体" w:cs="Times New Roman"/>
                <w:color w:val="auto"/>
              </w:rPr>
            </w:pPr>
            <w:r>
              <w:rPr>
                <w:rFonts w:ascii="宋体" w:hAnsi="宋体" w:eastAsia="宋体" w:cs="Times New Roman"/>
                <w:color w:val="auto"/>
              </w:rPr>
              <w:t>20</w:t>
            </w:r>
          </w:p>
        </w:tc>
      </w:tr>
      <w:tr w14:paraId="5F8DC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04729C3A">
            <w:pPr>
              <w:widowControl/>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5905" w:type="dxa"/>
            <w:vAlign w:val="center"/>
          </w:tcPr>
          <w:p w14:paraId="3BE01139">
            <w:pPr>
              <w:widowControl/>
              <w:spacing w:line="360" w:lineRule="exact"/>
              <w:jc w:val="center"/>
              <w:rPr>
                <w:rFonts w:ascii="宋体" w:hAnsi="宋体" w:eastAsia="宋体" w:cs="Times New Roman"/>
                <w:color w:val="auto"/>
              </w:rPr>
            </w:pPr>
            <w:r>
              <w:rPr>
                <w:rFonts w:ascii="宋体" w:hAnsi="宋体" w:eastAsia="宋体" w:cs="Times New Roman"/>
                <w:color w:val="auto"/>
              </w:rPr>
              <w:t>防水接线箱 400x500x200mm ，IP65</w:t>
            </w:r>
          </w:p>
        </w:tc>
        <w:tc>
          <w:tcPr>
            <w:tcW w:w="1051" w:type="dxa"/>
            <w:vAlign w:val="center"/>
          </w:tcPr>
          <w:p w14:paraId="1E017B5F">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39E69FD0">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33DB6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5C11B750">
            <w:pPr>
              <w:widowControl/>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5905" w:type="dxa"/>
            <w:vAlign w:val="center"/>
          </w:tcPr>
          <w:p w14:paraId="2EB270C6">
            <w:pPr>
              <w:widowControl/>
              <w:spacing w:line="360" w:lineRule="exact"/>
              <w:jc w:val="center"/>
              <w:rPr>
                <w:rFonts w:ascii="宋体" w:hAnsi="宋体" w:eastAsia="宋体" w:cs="Times New Roman"/>
                <w:color w:val="auto"/>
              </w:rPr>
            </w:pPr>
            <w:r>
              <w:rPr>
                <w:rFonts w:ascii="宋体" w:hAnsi="宋体" w:eastAsia="宋体" w:cs="Times New Roman"/>
                <w:color w:val="auto"/>
              </w:rPr>
              <w:t>水泥杆</w:t>
            </w:r>
          </w:p>
        </w:tc>
        <w:tc>
          <w:tcPr>
            <w:tcW w:w="1051" w:type="dxa"/>
            <w:vAlign w:val="center"/>
          </w:tcPr>
          <w:p w14:paraId="0E9D2750">
            <w:pPr>
              <w:widowControl/>
              <w:spacing w:line="360" w:lineRule="exact"/>
              <w:jc w:val="center"/>
              <w:rPr>
                <w:rFonts w:ascii="宋体" w:hAnsi="宋体" w:eastAsia="宋体" w:cs="Times New Roman"/>
                <w:color w:val="auto"/>
              </w:rPr>
            </w:pPr>
          </w:p>
        </w:tc>
        <w:tc>
          <w:tcPr>
            <w:tcW w:w="1102" w:type="dxa"/>
            <w:tcBorders>
              <w:right w:val="single" w:color="000000" w:sz="10" w:space="0"/>
            </w:tcBorders>
            <w:vAlign w:val="center"/>
          </w:tcPr>
          <w:p w14:paraId="3DF9D133">
            <w:pPr>
              <w:widowControl/>
              <w:spacing w:line="360" w:lineRule="exact"/>
              <w:jc w:val="center"/>
              <w:rPr>
                <w:rFonts w:ascii="宋体" w:hAnsi="宋体" w:eastAsia="宋体" w:cs="Times New Roman"/>
                <w:color w:val="auto"/>
              </w:rPr>
            </w:pPr>
          </w:p>
        </w:tc>
      </w:tr>
      <w:tr w14:paraId="6C8E7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0217B951">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5905" w:type="dxa"/>
            <w:vAlign w:val="center"/>
          </w:tcPr>
          <w:p w14:paraId="632D1950">
            <w:pPr>
              <w:widowControl/>
              <w:spacing w:line="360" w:lineRule="exact"/>
              <w:jc w:val="center"/>
              <w:rPr>
                <w:rFonts w:ascii="宋体" w:hAnsi="宋体" w:eastAsia="宋体" w:cs="Times New Roman"/>
                <w:color w:val="auto"/>
              </w:rPr>
            </w:pPr>
            <w:r>
              <w:rPr>
                <w:rFonts w:ascii="宋体" w:hAnsi="宋体" w:eastAsia="宋体" w:cs="Times New Roman"/>
                <w:color w:val="auto"/>
              </w:rPr>
              <w:t>水泥杆，H=24m</w:t>
            </w:r>
          </w:p>
        </w:tc>
        <w:tc>
          <w:tcPr>
            <w:tcW w:w="1051" w:type="dxa"/>
            <w:vAlign w:val="center"/>
          </w:tcPr>
          <w:p w14:paraId="5430F771">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759191AC">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1F1E4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312C8AEC">
            <w:pPr>
              <w:widowControl/>
              <w:spacing w:line="360" w:lineRule="exact"/>
              <w:jc w:val="center"/>
              <w:rPr>
                <w:rFonts w:ascii="宋体" w:hAnsi="宋体" w:eastAsia="宋体" w:cs="Times New Roman"/>
                <w:color w:val="auto"/>
              </w:rPr>
            </w:pPr>
            <w:r>
              <w:rPr>
                <w:rFonts w:ascii="宋体" w:hAnsi="宋体" w:eastAsia="宋体" w:cs="Times New Roman"/>
                <w:color w:val="auto"/>
              </w:rPr>
              <w:t>二</w:t>
            </w:r>
          </w:p>
        </w:tc>
        <w:tc>
          <w:tcPr>
            <w:tcW w:w="5905" w:type="dxa"/>
            <w:vAlign w:val="center"/>
          </w:tcPr>
          <w:p w14:paraId="14DA542E">
            <w:pPr>
              <w:widowControl/>
              <w:spacing w:line="360" w:lineRule="exact"/>
              <w:jc w:val="center"/>
              <w:rPr>
                <w:rFonts w:ascii="宋体" w:hAnsi="宋体" w:eastAsia="宋体" w:cs="Times New Roman"/>
                <w:color w:val="auto"/>
              </w:rPr>
            </w:pPr>
            <w:r>
              <w:rPr>
                <w:rFonts w:ascii="宋体" w:hAnsi="宋体" w:eastAsia="宋体" w:cs="Times New Roman"/>
                <w:color w:val="auto"/>
              </w:rPr>
              <w:t>中心站数据传输系统</w:t>
            </w:r>
          </w:p>
        </w:tc>
        <w:tc>
          <w:tcPr>
            <w:tcW w:w="1051" w:type="dxa"/>
            <w:vAlign w:val="center"/>
          </w:tcPr>
          <w:p w14:paraId="16DC3763">
            <w:pPr>
              <w:widowControl/>
              <w:spacing w:line="360" w:lineRule="exact"/>
              <w:jc w:val="center"/>
              <w:rPr>
                <w:rFonts w:ascii="宋体" w:hAnsi="宋体" w:eastAsia="宋体" w:cs="Times New Roman"/>
                <w:color w:val="auto"/>
              </w:rPr>
            </w:pPr>
          </w:p>
        </w:tc>
        <w:tc>
          <w:tcPr>
            <w:tcW w:w="1102" w:type="dxa"/>
            <w:tcBorders>
              <w:right w:val="single" w:color="000000" w:sz="10" w:space="0"/>
            </w:tcBorders>
            <w:vAlign w:val="center"/>
          </w:tcPr>
          <w:p w14:paraId="1945A02B">
            <w:pPr>
              <w:widowControl/>
              <w:spacing w:line="360" w:lineRule="exact"/>
              <w:jc w:val="center"/>
              <w:rPr>
                <w:rFonts w:ascii="宋体" w:hAnsi="宋体" w:eastAsia="宋体" w:cs="Times New Roman"/>
                <w:color w:val="auto"/>
              </w:rPr>
            </w:pPr>
          </w:p>
        </w:tc>
      </w:tr>
      <w:tr w14:paraId="5DEB8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67450224">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5905" w:type="dxa"/>
            <w:vAlign w:val="center"/>
          </w:tcPr>
          <w:p w14:paraId="5D7004D4">
            <w:pPr>
              <w:widowControl/>
              <w:spacing w:line="360" w:lineRule="exact"/>
              <w:jc w:val="center"/>
              <w:rPr>
                <w:rFonts w:ascii="宋体" w:hAnsi="宋体" w:eastAsia="宋体" w:cs="Times New Roman"/>
                <w:color w:val="auto"/>
              </w:rPr>
            </w:pPr>
            <w:r>
              <w:rPr>
                <w:rFonts w:ascii="宋体" w:hAnsi="宋体" w:eastAsia="宋体" w:cs="Times New Roman"/>
                <w:color w:val="auto"/>
              </w:rPr>
              <w:t>WIA-FA 5.8G MESH 主干网络传输单元</w:t>
            </w:r>
          </w:p>
        </w:tc>
        <w:tc>
          <w:tcPr>
            <w:tcW w:w="1051" w:type="dxa"/>
            <w:vAlign w:val="center"/>
          </w:tcPr>
          <w:p w14:paraId="2D762C7B">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29954101">
            <w:pPr>
              <w:widowControl/>
              <w:spacing w:line="360" w:lineRule="exact"/>
              <w:jc w:val="center"/>
              <w:rPr>
                <w:rFonts w:ascii="宋体" w:hAnsi="宋体" w:eastAsia="宋体" w:cs="Times New Roman"/>
                <w:color w:val="auto"/>
              </w:rPr>
            </w:pPr>
            <w:r>
              <w:rPr>
                <w:rFonts w:ascii="宋体" w:hAnsi="宋体" w:eastAsia="宋体" w:cs="Times New Roman"/>
                <w:color w:val="auto"/>
              </w:rPr>
              <w:t>3</w:t>
            </w:r>
          </w:p>
        </w:tc>
      </w:tr>
      <w:tr w14:paraId="4BE25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2EAAD73A">
            <w:pPr>
              <w:widowControl/>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5905" w:type="dxa"/>
            <w:vAlign w:val="center"/>
          </w:tcPr>
          <w:p w14:paraId="6B0F88AF">
            <w:pPr>
              <w:widowControl/>
              <w:spacing w:line="360" w:lineRule="exact"/>
              <w:jc w:val="center"/>
              <w:rPr>
                <w:rFonts w:ascii="宋体" w:hAnsi="宋体" w:eastAsia="宋体" w:cs="Times New Roman"/>
                <w:color w:val="auto"/>
              </w:rPr>
            </w:pPr>
            <w:r>
              <w:rPr>
                <w:rFonts w:ascii="宋体" w:hAnsi="宋体" w:eastAsia="宋体" w:cs="Times New Roman"/>
                <w:color w:val="auto"/>
              </w:rPr>
              <w:t>防水型超 5 类非屏蔽双绞线</w:t>
            </w:r>
          </w:p>
        </w:tc>
        <w:tc>
          <w:tcPr>
            <w:tcW w:w="1051" w:type="dxa"/>
            <w:vAlign w:val="center"/>
          </w:tcPr>
          <w:p w14:paraId="4DFB9FC1">
            <w:pPr>
              <w:widowControl/>
              <w:spacing w:line="360" w:lineRule="exact"/>
              <w:jc w:val="center"/>
              <w:rPr>
                <w:rFonts w:ascii="宋体" w:hAnsi="宋体" w:eastAsia="宋体" w:cs="Times New Roman"/>
                <w:color w:val="auto"/>
              </w:rPr>
            </w:pPr>
            <w:r>
              <w:rPr>
                <w:rFonts w:ascii="宋体" w:hAnsi="宋体" w:eastAsia="宋体" w:cs="Times New Roman"/>
                <w:color w:val="auto"/>
              </w:rPr>
              <w:t>m</w:t>
            </w:r>
          </w:p>
        </w:tc>
        <w:tc>
          <w:tcPr>
            <w:tcW w:w="1102" w:type="dxa"/>
            <w:tcBorders>
              <w:right w:val="single" w:color="000000" w:sz="10" w:space="0"/>
            </w:tcBorders>
            <w:vAlign w:val="center"/>
          </w:tcPr>
          <w:p w14:paraId="492C8475">
            <w:pPr>
              <w:widowControl/>
              <w:spacing w:line="360" w:lineRule="exact"/>
              <w:jc w:val="center"/>
              <w:rPr>
                <w:rFonts w:ascii="宋体" w:hAnsi="宋体" w:eastAsia="宋体" w:cs="Times New Roman"/>
                <w:color w:val="auto"/>
              </w:rPr>
            </w:pPr>
            <w:r>
              <w:rPr>
                <w:rFonts w:ascii="宋体" w:hAnsi="宋体" w:eastAsia="宋体" w:cs="Times New Roman"/>
                <w:color w:val="auto"/>
              </w:rPr>
              <w:t>150</w:t>
            </w:r>
          </w:p>
        </w:tc>
      </w:tr>
      <w:tr w14:paraId="3E599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44736703">
            <w:pPr>
              <w:widowControl/>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5905" w:type="dxa"/>
            <w:vAlign w:val="center"/>
          </w:tcPr>
          <w:p w14:paraId="1A43BC34">
            <w:pPr>
              <w:widowControl/>
              <w:spacing w:line="360" w:lineRule="exact"/>
              <w:jc w:val="center"/>
              <w:rPr>
                <w:rFonts w:ascii="宋体" w:hAnsi="宋体" w:eastAsia="宋体" w:cs="Times New Roman"/>
                <w:color w:val="auto"/>
              </w:rPr>
            </w:pPr>
            <w:r>
              <w:rPr>
                <w:rFonts w:ascii="宋体" w:hAnsi="宋体" w:eastAsia="宋体" w:cs="Times New Roman"/>
                <w:color w:val="auto"/>
              </w:rPr>
              <w:t>POE 供电防雷单元 8×1000M POE  电口</w:t>
            </w:r>
          </w:p>
        </w:tc>
        <w:tc>
          <w:tcPr>
            <w:tcW w:w="1051" w:type="dxa"/>
            <w:vAlign w:val="center"/>
          </w:tcPr>
          <w:p w14:paraId="3397CFC3">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620A4082">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46452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0F2E2E0A">
            <w:pPr>
              <w:widowControl/>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5905" w:type="dxa"/>
            <w:vAlign w:val="center"/>
          </w:tcPr>
          <w:p w14:paraId="79A8EA01">
            <w:pPr>
              <w:widowControl/>
              <w:spacing w:line="360" w:lineRule="exact"/>
              <w:jc w:val="center"/>
              <w:rPr>
                <w:rFonts w:ascii="宋体" w:hAnsi="宋体" w:eastAsia="宋体" w:cs="Times New Roman"/>
                <w:color w:val="auto"/>
              </w:rPr>
            </w:pPr>
            <w:r>
              <w:rPr>
                <w:rFonts w:ascii="宋体" w:hAnsi="宋体" w:eastAsia="宋体" w:cs="Times New Roman"/>
                <w:color w:val="auto"/>
              </w:rPr>
              <w:t>防水接线箱 400x500x200mm ，IP65</w:t>
            </w:r>
          </w:p>
        </w:tc>
        <w:tc>
          <w:tcPr>
            <w:tcW w:w="1051" w:type="dxa"/>
            <w:vAlign w:val="center"/>
          </w:tcPr>
          <w:p w14:paraId="6026274A">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32BE36B2">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7F355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669BCEC4">
            <w:pPr>
              <w:widowControl/>
              <w:spacing w:line="360" w:lineRule="exact"/>
              <w:jc w:val="center"/>
              <w:rPr>
                <w:rFonts w:ascii="宋体" w:hAnsi="宋体" w:eastAsia="宋体" w:cs="Times New Roman"/>
                <w:color w:val="auto"/>
              </w:rPr>
            </w:pPr>
            <w:r>
              <w:rPr>
                <w:rFonts w:ascii="宋体" w:hAnsi="宋体" w:eastAsia="宋体" w:cs="Times New Roman"/>
                <w:color w:val="auto"/>
              </w:rPr>
              <w:t>三</w:t>
            </w:r>
          </w:p>
        </w:tc>
        <w:tc>
          <w:tcPr>
            <w:tcW w:w="5905" w:type="dxa"/>
            <w:vAlign w:val="center"/>
          </w:tcPr>
          <w:p w14:paraId="02581737">
            <w:pPr>
              <w:widowControl/>
              <w:spacing w:line="360" w:lineRule="exact"/>
              <w:jc w:val="center"/>
              <w:rPr>
                <w:rFonts w:ascii="宋体" w:hAnsi="宋体" w:eastAsia="宋体" w:cs="Times New Roman"/>
                <w:color w:val="auto"/>
              </w:rPr>
            </w:pPr>
            <w:r>
              <w:rPr>
                <w:rFonts w:ascii="宋体" w:hAnsi="宋体" w:eastAsia="宋体" w:cs="Times New Roman"/>
                <w:color w:val="auto"/>
              </w:rPr>
              <w:t>拉油点储油罐新建摄像机</w:t>
            </w:r>
          </w:p>
        </w:tc>
        <w:tc>
          <w:tcPr>
            <w:tcW w:w="1051" w:type="dxa"/>
            <w:vAlign w:val="center"/>
          </w:tcPr>
          <w:p w14:paraId="087F3C93">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14439199">
            <w:pPr>
              <w:widowControl/>
              <w:spacing w:line="360" w:lineRule="exact"/>
              <w:jc w:val="center"/>
              <w:rPr>
                <w:rFonts w:ascii="宋体" w:hAnsi="宋体" w:eastAsia="宋体" w:cs="Times New Roman"/>
                <w:color w:val="auto"/>
              </w:rPr>
            </w:pPr>
            <w:r>
              <w:rPr>
                <w:rFonts w:ascii="宋体" w:hAnsi="宋体" w:eastAsia="宋体" w:cs="Times New Roman"/>
                <w:color w:val="auto"/>
              </w:rPr>
              <w:t>3</w:t>
            </w:r>
          </w:p>
        </w:tc>
      </w:tr>
      <w:tr w14:paraId="6F8E1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3D13D339">
            <w:pPr>
              <w:widowControl/>
              <w:spacing w:line="360" w:lineRule="exact"/>
              <w:jc w:val="center"/>
              <w:rPr>
                <w:rFonts w:ascii="宋体" w:hAnsi="宋体" w:eastAsia="宋体" w:cs="Times New Roman"/>
                <w:color w:val="auto"/>
              </w:rPr>
            </w:pPr>
          </w:p>
        </w:tc>
        <w:tc>
          <w:tcPr>
            <w:tcW w:w="5905" w:type="dxa"/>
            <w:vAlign w:val="center"/>
          </w:tcPr>
          <w:p w14:paraId="3C9AFE36">
            <w:pPr>
              <w:widowControl/>
              <w:spacing w:line="360" w:lineRule="exact"/>
              <w:jc w:val="center"/>
              <w:rPr>
                <w:rFonts w:ascii="宋体" w:hAnsi="宋体" w:eastAsia="宋体" w:cs="Times New Roman"/>
                <w:color w:val="auto"/>
              </w:rPr>
            </w:pPr>
            <w:r>
              <w:rPr>
                <w:rFonts w:ascii="宋体" w:hAnsi="宋体" w:eastAsia="宋体" w:cs="Times New Roman"/>
                <w:color w:val="auto"/>
              </w:rPr>
              <w:t>（以下为单套工程量）</w:t>
            </w:r>
          </w:p>
        </w:tc>
        <w:tc>
          <w:tcPr>
            <w:tcW w:w="1051" w:type="dxa"/>
            <w:vAlign w:val="center"/>
          </w:tcPr>
          <w:p w14:paraId="2117228E">
            <w:pPr>
              <w:widowControl/>
              <w:spacing w:line="360" w:lineRule="exact"/>
              <w:jc w:val="center"/>
              <w:rPr>
                <w:rFonts w:ascii="宋体" w:hAnsi="宋体" w:eastAsia="宋体" w:cs="Times New Roman"/>
                <w:color w:val="auto"/>
              </w:rPr>
            </w:pPr>
          </w:p>
        </w:tc>
        <w:tc>
          <w:tcPr>
            <w:tcW w:w="1102" w:type="dxa"/>
            <w:tcBorders>
              <w:right w:val="single" w:color="000000" w:sz="10" w:space="0"/>
            </w:tcBorders>
            <w:vAlign w:val="center"/>
          </w:tcPr>
          <w:p w14:paraId="0F955943">
            <w:pPr>
              <w:widowControl/>
              <w:spacing w:line="360" w:lineRule="exact"/>
              <w:jc w:val="center"/>
              <w:rPr>
                <w:rFonts w:ascii="宋体" w:hAnsi="宋体" w:eastAsia="宋体" w:cs="Times New Roman"/>
                <w:color w:val="auto"/>
              </w:rPr>
            </w:pPr>
          </w:p>
        </w:tc>
      </w:tr>
      <w:tr w14:paraId="67ABA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38385050">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5905" w:type="dxa"/>
            <w:vAlign w:val="center"/>
          </w:tcPr>
          <w:p w14:paraId="636DF057">
            <w:pPr>
              <w:widowControl/>
              <w:spacing w:line="360" w:lineRule="exact"/>
              <w:jc w:val="center"/>
              <w:rPr>
                <w:rFonts w:ascii="宋体" w:hAnsi="宋体" w:eastAsia="宋体" w:cs="Times New Roman"/>
                <w:color w:val="auto"/>
              </w:rPr>
            </w:pPr>
            <w:r>
              <w:rPr>
                <w:rFonts w:ascii="宋体" w:hAnsi="宋体" w:eastAsia="宋体" w:cs="Times New Roman"/>
                <w:color w:val="auto"/>
              </w:rPr>
              <w:t>室外红外网络变焦球型摄像机</w:t>
            </w:r>
          </w:p>
        </w:tc>
        <w:tc>
          <w:tcPr>
            <w:tcW w:w="1051" w:type="dxa"/>
            <w:vAlign w:val="center"/>
          </w:tcPr>
          <w:p w14:paraId="0BAA2D4C">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1A988179">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6E03F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407EC2C8">
            <w:pPr>
              <w:widowControl/>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5905" w:type="dxa"/>
            <w:vAlign w:val="center"/>
          </w:tcPr>
          <w:p w14:paraId="5A034B12">
            <w:pPr>
              <w:widowControl/>
              <w:spacing w:line="360" w:lineRule="exact"/>
              <w:jc w:val="center"/>
              <w:rPr>
                <w:rFonts w:ascii="宋体" w:hAnsi="宋体" w:eastAsia="宋体" w:cs="Times New Roman"/>
                <w:color w:val="auto"/>
              </w:rPr>
            </w:pPr>
            <w:r>
              <w:rPr>
                <w:rFonts w:ascii="宋体" w:hAnsi="宋体" w:eastAsia="宋体" w:cs="Times New Roman"/>
                <w:color w:val="auto"/>
              </w:rPr>
              <w:t>高速 SD 存储卡，64GB</w:t>
            </w:r>
          </w:p>
        </w:tc>
        <w:tc>
          <w:tcPr>
            <w:tcW w:w="1051" w:type="dxa"/>
            <w:vAlign w:val="center"/>
          </w:tcPr>
          <w:p w14:paraId="4B63D844">
            <w:pPr>
              <w:widowControl/>
              <w:spacing w:line="360" w:lineRule="exact"/>
              <w:jc w:val="center"/>
              <w:rPr>
                <w:rFonts w:ascii="宋体" w:hAnsi="宋体" w:eastAsia="宋体" w:cs="Times New Roman"/>
                <w:color w:val="auto"/>
              </w:rPr>
            </w:pPr>
            <w:r>
              <w:rPr>
                <w:rFonts w:ascii="宋体" w:hAnsi="宋体" w:eastAsia="宋体" w:cs="Times New Roman"/>
                <w:color w:val="auto"/>
              </w:rPr>
              <w:t>张</w:t>
            </w:r>
          </w:p>
        </w:tc>
        <w:tc>
          <w:tcPr>
            <w:tcW w:w="1102" w:type="dxa"/>
            <w:tcBorders>
              <w:right w:val="single" w:color="000000" w:sz="10" w:space="0"/>
            </w:tcBorders>
            <w:vAlign w:val="center"/>
          </w:tcPr>
          <w:p w14:paraId="506C83AA">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7CF0B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2A3CDF5F">
            <w:pPr>
              <w:widowControl/>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5905" w:type="dxa"/>
            <w:vAlign w:val="center"/>
          </w:tcPr>
          <w:p w14:paraId="7C52135A">
            <w:pPr>
              <w:widowControl/>
              <w:spacing w:line="360" w:lineRule="exact"/>
              <w:jc w:val="center"/>
              <w:rPr>
                <w:rFonts w:ascii="宋体" w:hAnsi="宋体" w:eastAsia="宋体" w:cs="Times New Roman"/>
                <w:color w:val="auto"/>
              </w:rPr>
            </w:pPr>
            <w:r>
              <w:rPr>
                <w:rFonts w:ascii="宋体" w:hAnsi="宋体" w:eastAsia="宋体" w:cs="Times New Roman"/>
                <w:color w:val="auto"/>
              </w:rPr>
              <w:t>抱柱安装支架</w:t>
            </w:r>
          </w:p>
        </w:tc>
        <w:tc>
          <w:tcPr>
            <w:tcW w:w="1051" w:type="dxa"/>
            <w:vAlign w:val="center"/>
          </w:tcPr>
          <w:p w14:paraId="73BD6DB6">
            <w:pPr>
              <w:widowControl/>
              <w:spacing w:line="360" w:lineRule="exact"/>
              <w:jc w:val="center"/>
              <w:rPr>
                <w:rFonts w:ascii="宋体" w:hAnsi="宋体" w:eastAsia="宋体" w:cs="Times New Roman"/>
                <w:color w:val="auto"/>
              </w:rPr>
            </w:pPr>
            <w:r>
              <w:rPr>
                <w:rFonts w:ascii="宋体" w:hAnsi="宋体" w:eastAsia="宋体" w:cs="Times New Roman"/>
                <w:color w:val="auto"/>
              </w:rPr>
              <w:t>套</w:t>
            </w:r>
          </w:p>
        </w:tc>
        <w:tc>
          <w:tcPr>
            <w:tcW w:w="1102" w:type="dxa"/>
            <w:tcBorders>
              <w:right w:val="single" w:color="000000" w:sz="10" w:space="0"/>
            </w:tcBorders>
            <w:vAlign w:val="center"/>
          </w:tcPr>
          <w:p w14:paraId="4526CF6F">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r w14:paraId="417B3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089" w:type="dxa"/>
            <w:tcBorders>
              <w:left w:val="single" w:color="000000" w:sz="10" w:space="0"/>
            </w:tcBorders>
            <w:vAlign w:val="center"/>
          </w:tcPr>
          <w:p w14:paraId="3A1A9D4F">
            <w:pPr>
              <w:widowControl/>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5905" w:type="dxa"/>
            <w:vAlign w:val="center"/>
          </w:tcPr>
          <w:p w14:paraId="2A11A742">
            <w:pPr>
              <w:widowControl/>
              <w:spacing w:line="360" w:lineRule="exact"/>
              <w:jc w:val="center"/>
              <w:rPr>
                <w:rFonts w:ascii="宋体" w:hAnsi="宋体" w:eastAsia="宋体" w:cs="Times New Roman"/>
                <w:color w:val="auto"/>
              </w:rPr>
            </w:pPr>
            <w:r>
              <w:rPr>
                <w:rFonts w:ascii="宋体" w:hAnsi="宋体" w:eastAsia="宋体" w:cs="Times New Roman"/>
                <w:color w:val="auto"/>
              </w:rPr>
              <w:t>网络电源综合缆</w:t>
            </w:r>
          </w:p>
        </w:tc>
        <w:tc>
          <w:tcPr>
            <w:tcW w:w="1051" w:type="dxa"/>
            <w:vAlign w:val="center"/>
          </w:tcPr>
          <w:p w14:paraId="024A545D">
            <w:pPr>
              <w:widowControl/>
              <w:spacing w:line="360" w:lineRule="exact"/>
              <w:jc w:val="center"/>
              <w:rPr>
                <w:rFonts w:ascii="宋体" w:hAnsi="宋体" w:eastAsia="宋体" w:cs="Times New Roman"/>
                <w:color w:val="auto"/>
              </w:rPr>
            </w:pPr>
            <w:r>
              <w:rPr>
                <w:rFonts w:ascii="宋体" w:hAnsi="宋体" w:eastAsia="宋体" w:cs="Times New Roman"/>
                <w:color w:val="auto"/>
              </w:rPr>
              <w:t>m</w:t>
            </w:r>
          </w:p>
        </w:tc>
        <w:tc>
          <w:tcPr>
            <w:tcW w:w="1102" w:type="dxa"/>
            <w:tcBorders>
              <w:right w:val="single" w:color="000000" w:sz="10" w:space="0"/>
            </w:tcBorders>
            <w:vAlign w:val="center"/>
          </w:tcPr>
          <w:p w14:paraId="78932EE7">
            <w:pPr>
              <w:widowControl/>
              <w:spacing w:line="360" w:lineRule="exact"/>
              <w:jc w:val="center"/>
              <w:rPr>
                <w:rFonts w:ascii="宋体" w:hAnsi="宋体" w:eastAsia="宋体" w:cs="Times New Roman"/>
                <w:color w:val="auto"/>
              </w:rPr>
            </w:pPr>
            <w:r>
              <w:rPr>
                <w:rFonts w:ascii="宋体" w:hAnsi="宋体" w:eastAsia="宋体" w:cs="Times New Roman"/>
                <w:color w:val="auto"/>
              </w:rPr>
              <w:t>6</w:t>
            </w:r>
          </w:p>
        </w:tc>
      </w:tr>
      <w:tr w14:paraId="4FB1D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jc w:val="center"/>
        </w:trPr>
        <w:tc>
          <w:tcPr>
            <w:tcW w:w="1089" w:type="dxa"/>
            <w:tcBorders>
              <w:left w:val="single" w:color="000000" w:sz="10" w:space="0"/>
            </w:tcBorders>
            <w:vAlign w:val="center"/>
          </w:tcPr>
          <w:p w14:paraId="2F661F68">
            <w:pPr>
              <w:widowControl/>
              <w:spacing w:line="360" w:lineRule="exact"/>
              <w:jc w:val="center"/>
              <w:rPr>
                <w:rFonts w:ascii="宋体" w:hAnsi="宋体" w:eastAsia="宋体" w:cs="Times New Roman"/>
                <w:color w:val="auto"/>
              </w:rPr>
            </w:pPr>
            <w:r>
              <w:rPr>
                <w:rFonts w:ascii="宋体" w:hAnsi="宋体" w:eastAsia="宋体" w:cs="Times New Roman"/>
                <w:color w:val="auto"/>
              </w:rPr>
              <w:t>四</w:t>
            </w:r>
          </w:p>
        </w:tc>
        <w:tc>
          <w:tcPr>
            <w:tcW w:w="5905" w:type="dxa"/>
            <w:vAlign w:val="center"/>
          </w:tcPr>
          <w:p w14:paraId="7BCFA4C1">
            <w:pPr>
              <w:widowControl/>
              <w:spacing w:line="360" w:lineRule="exact"/>
              <w:jc w:val="center"/>
              <w:rPr>
                <w:rFonts w:ascii="宋体" w:hAnsi="宋体" w:eastAsia="宋体" w:cs="Times New Roman"/>
                <w:color w:val="auto"/>
              </w:rPr>
            </w:pPr>
            <w:r>
              <w:rPr>
                <w:rFonts w:ascii="宋体" w:hAnsi="宋体" w:eastAsia="宋体" w:cs="Times New Roman"/>
                <w:color w:val="auto"/>
              </w:rPr>
              <w:t>中心站视频存储</w:t>
            </w:r>
          </w:p>
        </w:tc>
        <w:tc>
          <w:tcPr>
            <w:tcW w:w="1051" w:type="dxa"/>
            <w:vAlign w:val="center"/>
          </w:tcPr>
          <w:p w14:paraId="67F0875B">
            <w:pPr>
              <w:widowControl/>
              <w:spacing w:line="360" w:lineRule="exact"/>
              <w:jc w:val="center"/>
              <w:rPr>
                <w:rFonts w:ascii="宋体" w:hAnsi="宋体" w:eastAsia="宋体" w:cs="Times New Roman"/>
                <w:color w:val="auto"/>
              </w:rPr>
            </w:pPr>
          </w:p>
        </w:tc>
        <w:tc>
          <w:tcPr>
            <w:tcW w:w="1102" w:type="dxa"/>
            <w:tcBorders>
              <w:right w:val="single" w:color="000000" w:sz="10" w:space="0"/>
            </w:tcBorders>
            <w:vAlign w:val="center"/>
          </w:tcPr>
          <w:p w14:paraId="1185A905">
            <w:pPr>
              <w:widowControl/>
              <w:spacing w:line="360" w:lineRule="exact"/>
              <w:jc w:val="center"/>
              <w:rPr>
                <w:rFonts w:ascii="宋体" w:hAnsi="宋体" w:eastAsia="宋体" w:cs="Times New Roman"/>
                <w:color w:val="auto"/>
              </w:rPr>
            </w:pPr>
          </w:p>
        </w:tc>
      </w:tr>
      <w:tr w14:paraId="2129A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1089" w:type="dxa"/>
            <w:tcBorders>
              <w:left w:val="single" w:color="000000" w:sz="10" w:space="0"/>
              <w:bottom w:val="single" w:color="000000" w:sz="10" w:space="0"/>
            </w:tcBorders>
            <w:vAlign w:val="center"/>
          </w:tcPr>
          <w:p w14:paraId="752DE221">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5905" w:type="dxa"/>
            <w:tcBorders>
              <w:bottom w:val="single" w:color="000000" w:sz="10" w:space="0"/>
            </w:tcBorders>
            <w:vAlign w:val="center"/>
          </w:tcPr>
          <w:p w14:paraId="7C490CB6">
            <w:pPr>
              <w:widowControl/>
              <w:spacing w:line="360" w:lineRule="exact"/>
              <w:jc w:val="center"/>
              <w:rPr>
                <w:rFonts w:ascii="宋体" w:hAnsi="宋体" w:eastAsia="宋体" w:cs="Times New Roman"/>
                <w:color w:val="auto"/>
              </w:rPr>
            </w:pPr>
            <w:r>
              <w:rPr>
                <w:rFonts w:ascii="宋体" w:hAnsi="宋体" w:eastAsia="宋体" w:cs="Times New Roman"/>
                <w:color w:val="auto"/>
              </w:rPr>
              <w:t>监控级硬盘 8T</w:t>
            </w:r>
          </w:p>
        </w:tc>
        <w:tc>
          <w:tcPr>
            <w:tcW w:w="1051" w:type="dxa"/>
            <w:tcBorders>
              <w:bottom w:val="single" w:color="000000" w:sz="10" w:space="0"/>
            </w:tcBorders>
            <w:vAlign w:val="center"/>
          </w:tcPr>
          <w:p w14:paraId="1979A4B8">
            <w:pPr>
              <w:widowControl/>
              <w:spacing w:line="360" w:lineRule="exact"/>
              <w:jc w:val="center"/>
              <w:rPr>
                <w:rFonts w:ascii="宋体" w:hAnsi="宋体" w:eastAsia="宋体" w:cs="Times New Roman"/>
                <w:color w:val="auto"/>
              </w:rPr>
            </w:pPr>
            <w:r>
              <w:rPr>
                <w:rFonts w:ascii="宋体" w:hAnsi="宋体" w:eastAsia="宋体" w:cs="Times New Roman"/>
                <w:color w:val="auto"/>
              </w:rPr>
              <w:t>块</w:t>
            </w:r>
          </w:p>
        </w:tc>
        <w:tc>
          <w:tcPr>
            <w:tcW w:w="1102" w:type="dxa"/>
            <w:tcBorders>
              <w:bottom w:val="single" w:color="000000" w:sz="10" w:space="0"/>
              <w:right w:val="single" w:color="000000" w:sz="10" w:space="0"/>
            </w:tcBorders>
            <w:vAlign w:val="center"/>
          </w:tcPr>
          <w:p w14:paraId="6AB0F165">
            <w:pPr>
              <w:widowControl/>
              <w:spacing w:line="360" w:lineRule="exact"/>
              <w:jc w:val="center"/>
              <w:rPr>
                <w:rFonts w:ascii="宋体" w:hAnsi="宋体" w:eastAsia="宋体" w:cs="Times New Roman"/>
                <w:color w:val="auto"/>
              </w:rPr>
            </w:pPr>
            <w:r>
              <w:rPr>
                <w:rFonts w:ascii="宋体" w:hAnsi="宋体" w:eastAsia="宋体" w:cs="Times New Roman"/>
                <w:color w:val="auto"/>
              </w:rPr>
              <w:t>1</w:t>
            </w:r>
          </w:p>
        </w:tc>
      </w:tr>
    </w:tbl>
    <w:p w14:paraId="55C3E794">
      <w:pPr>
        <w:pStyle w:val="5"/>
        <w:rPr>
          <w:bCs w:val="0"/>
          <w:color w:val="auto"/>
        </w:rPr>
      </w:pPr>
      <w:bookmarkStart w:id="727" w:name="_Toc212033017"/>
      <w:r>
        <w:rPr>
          <w:bCs w:val="0"/>
          <w:color w:val="auto"/>
        </w:rPr>
        <w:t>场地布置及土地利用</w:t>
      </w:r>
      <w:bookmarkEnd w:id="725"/>
      <w:bookmarkEnd w:id="727"/>
    </w:p>
    <w:p w14:paraId="57980DA7">
      <w:pPr>
        <w:pStyle w:val="6"/>
        <w:rPr>
          <w:color w:val="auto"/>
        </w:rPr>
      </w:pPr>
      <w:bookmarkStart w:id="728" w:name="_Toc85640756"/>
      <w:bookmarkStart w:id="729" w:name="_Toc80588259"/>
      <w:bookmarkStart w:id="730" w:name="_Toc86141935"/>
      <w:bookmarkStart w:id="731" w:name="_Toc126863393"/>
      <w:bookmarkStart w:id="732" w:name="_Toc78816464"/>
      <w:bookmarkStart w:id="733" w:name="_Toc83209476"/>
      <w:bookmarkStart w:id="734" w:name="_Toc84929232"/>
      <w:bookmarkStart w:id="735" w:name="_Toc80971381"/>
      <w:bookmarkStart w:id="736" w:name="_Toc127192342"/>
      <w:bookmarkStart w:id="737" w:name="_Toc143099578"/>
      <w:bookmarkStart w:id="738" w:name="_Toc131167293"/>
      <w:bookmarkStart w:id="739" w:name="_Toc61597227"/>
      <w:bookmarkStart w:id="740" w:name="_Toc70050182"/>
      <w:bookmarkStart w:id="741" w:name="_Toc77067663"/>
      <w:bookmarkStart w:id="742" w:name="_Toc67860135"/>
      <w:bookmarkStart w:id="743" w:name="_Toc76976247"/>
      <w:r>
        <w:rPr>
          <w:color w:val="auto"/>
        </w:rPr>
        <w:t>场地布置</w:t>
      </w:r>
      <w:bookmarkEnd w:id="728"/>
      <w:bookmarkEnd w:id="729"/>
      <w:bookmarkEnd w:id="730"/>
      <w:bookmarkEnd w:id="731"/>
      <w:bookmarkEnd w:id="732"/>
      <w:bookmarkEnd w:id="733"/>
      <w:bookmarkEnd w:id="734"/>
      <w:bookmarkEnd w:id="735"/>
      <w:bookmarkEnd w:id="736"/>
      <w:bookmarkEnd w:id="737"/>
      <w:bookmarkEnd w:id="738"/>
    </w:p>
    <w:p w14:paraId="7F50A74A">
      <w:pPr>
        <w:pStyle w:val="276"/>
        <w:widowControl w:val="0"/>
        <w:ind w:firstLine="480"/>
        <w:jc w:val="both"/>
        <w:rPr>
          <w:color w:val="auto"/>
        </w:rPr>
      </w:pPr>
      <w:r>
        <w:rPr>
          <w:color w:val="auto"/>
        </w:rPr>
        <w:t>本项目共新钻井6口，组成1座平台井场和4座单井井场，井场布设采用生产区与生活区分开布设的原则，同时生产区与生活区设必要的安全与卫生防护距离。钻井井场平面布置见附图</w:t>
      </w:r>
      <w:r>
        <w:rPr>
          <w:rFonts w:hint="eastAsia"/>
          <w:color w:val="auto"/>
        </w:rPr>
        <w:t>7</w:t>
      </w:r>
      <w:r>
        <w:rPr>
          <w:color w:val="auto"/>
        </w:rPr>
        <w:t>。</w:t>
      </w:r>
    </w:p>
    <w:p w14:paraId="542ECA1A">
      <w:pPr>
        <w:pStyle w:val="276"/>
        <w:widowControl w:val="0"/>
        <w:ind w:firstLine="480"/>
        <w:jc w:val="both"/>
        <w:rPr>
          <w:color w:val="auto"/>
        </w:rPr>
      </w:pPr>
      <w:r>
        <w:rPr>
          <w:color w:val="auto"/>
        </w:rPr>
        <w:t>本项目基建油井4口，全部为新钻井，组成1座平台井场和2座单井井场，新建拉油点3座，新建集输管道0.06km，新建砂石路1.5km，征用水泥路0.45km，拟建井位置及集油管线、通井路走向图见附图</w:t>
      </w:r>
      <w:r>
        <w:rPr>
          <w:rFonts w:hint="eastAsia"/>
          <w:color w:val="auto"/>
        </w:rPr>
        <w:t>3</w:t>
      </w:r>
      <w:r>
        <w:rPr>
          <w:color w:val="auto"/>
        </w:rPr>
        <w:t>。平台井场和拉油点平面布置见附图</w:t>
      </w:r>
      <w:r>
        <w:rPr>
          <w:rFonts w:hint="eastAsia"/>
          <w:color w:val="auto"/>
        </w:rPr>
        <w:t>8</w:t>
      </w:r>
      <w:r>
        <w:rPr>
          <w:color w:val="auto"/>
        </w:rPr>
        <w:t>。</w:t>
      </w:r>
    </w:p>
    <w:bookmarkEnd w:id="739"/>
    <w:p w14:paraId="220C29FA">
      <w:pPr>
        <w:pStyle w:val="6"/>
        <w:rPr>
          <w:color w:val="auto"/>
        </w:rPr>
      </w:pPr>
      <w:bookmarkStart w:id="744" w:name="_Toc80971382"/>
      <w:bookmarkStart w:id="745" w:name="_Toc78816465"/>
      <w:bookmarkStart w:id="746" w:name="_Toc84929233"/>
      <w:bookmarkStart w:id="747" w:name="_Toc86141936"/>
      <w:bookmarkStart w:id="748" w:name="_Toc83209477"/>
      <w:bookmarkStart w:id="749" w:name="_Toc143099579"/>
      <w:bookmarkStart w:id="750" w:name="_Toc85640757"/>
      <w:bookmarkStart w:id="751" w:name="_Toc80588260"/>
      <w:bookmarkStart w:id="752" w:name="_Toc131167294"/>
      <w:bookmarkStart w:id="753" w:name="_Toc127192343"/>
      <w:bookmarkStart w:id="754" w:name="_Toc126863394"/>
      <w:r>
        <w:rPr>
          <w:color w:val="auto"/>
        </w:rPr>
        <w:t>工程占地情况</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47B33030">
      <w:pPr>
        <w:pStyle w:val="276"/>
        <w:widowControl w:val="0"/>
        <w:ind w:firstLine="480"/>
        <w:jc w:val="both"/>
        <w:rPr>
          <w:color w:val="auto"/>
        </w:rPr>
      </w:pPr>
      <w:r>
        <w:rPr>
          <w:color w:val="auto"/>
        </w:rPr>
        <w:t>本项目占地主要为钻井期间井场的临时占地、完井后形成永久井场的永久占地、拉油点和道路永久占地所涉及的永久占地和临时占地需要征用土地，本项目油井到拉油点的配套集输管线发生的临时占地包含在井场和拉油点永久占地内。</w:t>
      </w:r>
    </w:p>
    <w:p w14:paraId="404C8F82">
      <w:pPr>
        <w:pStyle w:val="276"/>
        <w:widowControl w:val="0"/>
        <w:ind w:firstLine="480"/>
        <w:jc w:val="both"/>
        <w:rPr>
          <w:color w:val="auto"/>
          <w:kern w:val="21"/>
        </w:rPr>
      </w:pPr>
      <w:r>
        <w:rPr>
          <w:color w:val="auto"/>
          <w:kern w:val="21"/>
        </w:rPr>
        <w:t>根据《钻前工程及井场布置技术要求》（SY/T5466-2013）、</w:t>
      </w:r>
      <w:r>
        <w:rPr>
          <w:rFonts w:hint="eastAsia"/>
          <w:color w:val="auto"/>
          <w:kern w:val="21"/>
        </w:rPr>
        <w:t>《丛式井平台布置及井眼防碰技术要求》（</w:t>
      </w:r>
      <w:r>
        <w:rPr>
          <w:color w:val="auto"/>
          <w:kern w:val="21"/>
        </w:rPr>
        <w:t>SY/T 6396-2014）的相关要求以及根据大庆油田施工和建设实际情况，本项目施工期钻井井场占地面积按单井100m×100m=10000m</w:t>
      </w:r>
      <w:r>
        <w:rPr>
          <w:color w:val="auto"/>
          <w:kern w:val="21"/>
          <w:vertAlign w:val="superscript"/>
        </w:rPr>
        <w:t>2</w:t>
      </w:r>
      <w:r>
        <w:rPr>
          <w:color w:val="auto"/>
          <w:kern w:val="21"/>
        </w:rPr>
        <w:t>计算（含永久占地及临时占地。勘探井结束后转为生产井使用的，另行评价，不属于本次评价范围，井场范围以井口为中心按照30m×40m面积进行永久占地征占，不转入生产井的按照临时占地当年完成土地恢复，按期归还。生产井永久占地面积以井口为中心按照30m×40m面积进行永久占地征占），本项目新建平台井场井间距为10m，永久占地按“（30+（井数-1）×井间距）×40m</w:t>
      </w:r>
      <w:r>
        <w:rPr>
          <w:color w:val="auto"/>
          <w:kern w:val="21"/>
          <w:vertAlign w:val="superscript"/>
        </w:rPr>
        <w:t>2</w:t>
      </w:r>
      <w:r>
        <w:rPr>
          <w:color w:val="auto"/>
          <w:kern w:val="21"/>
        </w:rPr>
        <w:t>”计算，本项目新建1座2井平台井和4座单井井场，</w:t>
      </w:r>
      <w:r>
        <w:rPr>
          <w:color w:val="auto"/>
        </w:rPr>
        <w:t>则施工井场新增总占地5.1hm</w:t>
      </w:r>
      <w:r>
        <w:rPr>
          <w:color w:val="auto"/>
          <w:vertAlign w:val="superscript"/>
        </w:rPr>
        <w:t>2</w:t>
      </w:r>
      <w:r>
        <w:rPr>
          <w:color w:val="auto"/>
        </w:rPr>
        <w:t>，其中新增永久占地0.64hm</w:t>
      </w:r>
      <w:r>
        <w:rPr>
          <w:color w:val="auto"/>
          <w:vertAlign w:val="superscript"/>
        </w:rPr>
        <w:t>2</w:t>
      </w:r>
      <w:r>
        <w:rPr>
          <w:color w:val="auto"/>
        </w:rPr>
        <w:t>，新增临时占地4.46hm</w:t>
      </w:r>
      <w:r>
        <w:rPr>
          <w:color w:val="auto"/>
          <w:vertAlign w:val="superscript"/>
        </w:rPr>
        <w:t>2</w:t>
      </w:r>
      <w:r>
        <w:rPr>
          <w:color w:val="auto"/>
        </w:rPr>
        <w:t>（含施工营地），占地类型为耕地和草地。</w:t>
      </w:r>
    </w:p>
    <w:p w14:paraId="542A418C">
      <w:pPr>
        <w:pStyle w:val="276"/>
        <w:widowControl w:val="0"/>
        <w:ind w:firstLine="480"/>
        <w:jc w:val="both"/>
        <w:rPr>
          <w:color w:val="auto"/>
        </w:rPr>
      </w:pPr>
      <w:r>
        <w:rPr>
          <w:color w:val="auto"/>
          <w:kern w:val="21"/>
        </w:rPr>
        <w:t>新建</w:t>
      </w:r>
      <w:r>
        <w:rPr>
          <w:color w:val="auto"/>
        </w:rPr>
        <w:t>拉油点</w:t>
      </w:r>
      <w:r>
        <w:rPr>
          <w:rFonts w:hint="eastAsia"/>
          <w:color w:val="auto"/>
        </w:rPr>
        <w:t>与井场合建，新增永久</w:t>
      </w:r>
      <w:r>
        <w:rPr>
          <w:color w:val="auto"/>
        </w:rPr>
        <w:t>占地1.72hm</w:t>
      </w:r>
      <w:r>
        <w:rPr>
          <w:color w:val="auto"/>
          <w:vertAlign w:val="superscript"/>
        </w:rPr>
        <w:t>2</w:t>
      </w:r>
      <w:r>
        <w:rPr>
          <w:color w:val="auto"/>
        </w:rPr>
        <w:t>。</w:t>
      </w:r>
    </w:p>
    <w:p w14:paraId="74217119">
      <w:pPr>
        <w:pStyle w:val="276"/>
        <w:widowControl w:val="0"/>
        <w:ind w:firstLine="480"/>
        <w:jc w:val="both"/>
        <w:rPr>
          <w:color w:val="auto"/>
        </w:rPr>
      </w:pPr>
      <w:r>
        <w:rPr>
          <w:color w:val="auto"/>
        </w:rPr>
        <w:t>本项目新建4.5m宽路基，3.5m宽砂石路面标准砂石通井路1.5km；征用4m宽水泥路450m，新增永久占地0.885hm</w:t>
      </w:r>
      <w:r>
        <w:rPr>
          <w:color w:val="auto"/>
          <w:vertAlign w:val="superscript"/>
        </w:rPr>
        <w:t>2</w:t>
      </w:r>
      <w:r>
        <w:rPr>
          <w:color w:val="auto"/>
        </w:rPr>
        <w:t>。</w:t>
      </w:r>
    </w:p>
    <w:p w14:paraId="41FCB2BC">
      <w:pPr>
        <w:pStyle w:val="276"/>
        <w:widowControl w:val="0"/>
        <w:ind w:firstLine="480"/>
        <w:rPr>
          <w:color w:val="auto"/>
        </w:rPr>
      </w:pPr>
      <w:r>
        <w:rPr>
          <w:color w:val="auto"/>
        </w:rPr>
        <w:t>单座柱上变电站永久占地面积按30m</w:t>
      </w:r>
      <w:r>
        <w:rPr>
          <w:color w:val="auto"/>
          <w:vertAlign w:val="superscript"/>
        </w:rPr>
        <w:t>2</w:t>
      </w:r>
      <w:r>
        <w:rPr>
          <w:color w:val="auto"/>
        </w:rPr>
        <w:t>计算，则3座柱上变电站永久占地90m</w:t>
      </w:r>
      <w:r>
        <w:rPr>
          <w:color w:val="auto"/>
          <w:vertAlign w:val="superscript"/>
        </w:rPr>
        <w:t>2</w:t>
      </w:r>
      <w:r>
        <w:rPr>
          <w:color w:val="auto"/>
        </w:rPr>
        <w:t>。</w:t>
      </w:r>
    </w:p>
    <w:p w14:paraId="1661AA72">
      <w:pPr>
        <w:pStyle w:val="276"/>
        <w:widowControl w:val="0"/>
        <w:ind w:firstLine="480"/>
        <w:jc w:val="both"/>
        <w:rPr>
          <w:color w:val="auto"/>
        </w:rPr>
      </w:pPr>
      <w:r>
        <w:rPr>
          <w:rFonts w:hint="eastAsia"/>
          <w:color w:val="auto"/>
        </w:rPr>
        <w:t>新建</w:t>
      </w:r>
      <w:r>
        <w:rPr>
          <w:color w:val="auto"/>
        </w:rPr>
        <w:t>0.06km集油管道</w:t>
      </w:r>
      <w:r>
        <w:rPr>
          <w:rFonts w:hint="eastAsia"/>
          <w:color w:val="auto"/>
        </w:rPr>
        <w:t>位于井场内，不新增占地。</w:t>
      </w:r>
    </w:p>
    <w:p w14:paraId="3BD48A37">
      <w:pPr>
        <w:pStyle w:val="276"/>
        <w:widowControl w:val="0"/>
        <w:ind w:firstLine="480"/>
        <w:jc w:val="both"/>
        <w:rPr>
          <w:color w:val="auto"/>
          <w:kern w:val="21"/>
        </w:rPr>
      </w:pPr>
      <w:r>
        <w:rPr>
          <w:color w:val="auto"/>
        </w:rPr>
        <w:t>根据《2020年国家重要湿地名录》、《黑龙江省湿地名录》（2022年），本项目不占用一般湿地，根据大庆市国土空间总体规划及现场勘查，本项目占地类型为耕地（基本农田）和草地（一般草地）。</w:t>
      </w:r>
    </w:p>
    <w:p w14:paraId="63C73FA9">
      <w:pPr>
        <w:pStyle w:val="276"/>
        <w:widowControl w:val="0"/>
        <w:ind w:firstLine="480"/>
        <w:jc w:val="both"/>
        <w:rPr>
          <w:color w:val="auto"/>
          <w:kern w:val="21"/>
        </w:rPr>
      </w:pPr>
      <w:r>
        <w:rPr>
          <w:color w:val="auto"/>
          <w:kern w:val="21"/>
        </w:rPr>
        <w:t>本项目占地情况见</w:t>
      </w:r>
      <w:r>
        <w:rPr>
          <w:color w:val="auto"/>
          <w:kern w:val="21"/>
        </w:rPr>
        <w:fldChar w:fldCharType="begin"/>
      </w:r>
      <w:r>
        <w:rPr>
          <w:color w:val="auto"/>
          <w:kern w:val="21"/>
        </w:rPr>
        <w:instrText xml:space="preserve"> REF _Ref211959135 \h  \* MERGEFORMAT </w:instrText>
      </w:r>
      <w:r>
        <w:rPr>
          <w:color w:val="auto"/>
          <w:kern w:val="21"/>
        </w:rPr>
        <w:fldChar w:fldCharType="separate"/>
      </w:r>
      <w:r>
        <w:rPr>
          <w:color w:val="auto"/>
        </w:rPr>
        <w:t>表 3.7</w:t>
      </w:r>
      <w:r>
        <w:rPr>
          <w:color w:val="auto"/>
        </w:rPr>
        <w:noBreakHyphen/>
      </w:r>
      <w:r>
        <w:rPr>
          <w:color w:val="auto"/>
        </w:rPr>
        <w:t>1</w:t>
      </w:r>
      <w:r>
        <w:rPr>
          <w:color w:val="auto"/>
          <w:kern w:val="21"/>
        </w:rPr>
        <w:fldChar w:fldCharType="end"/>
      </w:r>
      <w:r>
        <w:rPr>
          <w:color w:val="auto"/>
          <w:kern w:val="21"/>
        </w:rPr>
        <w:t>。</w:t>
      </w:r>
    </w:p>
    <w:p w14:paraId="6DE234DF">
      <w:pPr>
        <w:pStyle w:val="22"/>
        <w:spacing w:before="156"/>
        <w:rPr>
          <w:color w:val="auto"/>
          <w:vertAlign w:val="superscript"/>
        </w:rPr>
      </w:pPr>
      <w:bookmarkStart w:id="755" w:name="_Ref211959135"/>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3.7</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755"/>
      <w:r>
        <w:rPr>
          <w:color w:val="auto"/>
        </w:rPr>
        <w:t>本项目新增占地类型及面积表    单位：hm</w:t>
      </w:r>
      <w:r>
        <w:rPr>
          <w:color w:val="auto"/>
          <w:vertAlign w:val="superscript"/>
        </w:rPr>
        <w:t>2</w:t>
      </w:r>
    </w:p>
    <w:tbl>
      <w:tblPr>
        <w:tblStyle w:val="81"/>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5"/>
        <w:gridCol w:w="575"/>
        <w:gridCol w:w="2400"/>
        <w:gridCol w:w="1444"/>
        <w:gridCol w:w="1550"/>
        <w:gridCol w:w="1344"/>
        <w:gridCol w:w="1362"/>
      </w:tblGrid>
      <w:tr w14:paraId="2F00E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 w:type="pct"/>
            <w:vMerge w:val="restart"/>
            <w:vAlign w:val="center"/>
          </w:tcPr>
          <w:p w14:paraId="1A13403B">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序号</w:t>
            </w:r>
          </w:p>
        </w:tc>
        <w:tc>
          <w:tcPr>
            <w:tcW w:w="1602" w:type="pct"/>
            <w:gridSpan w:val="2"/>
            <w:vMerge w:val="restart"/>
            <w:vAlign w:val="center"/>
          </w:tcPr>
          <w:p w14:paraId="6F93DC97">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建设项目</w:t>
            </w:r>
          </w:p>
        </w:tc>
        <w:tc>
          <w:tcPr>
            <w:tcW w:w="1613" w:type="pct"/>
            <w:gridSpan w:val="2"/>
            <w:tcBorders>
              <w:right w:val="single" w:color="auto" w:sz="4" w:space="0"/>
            </w:tcBorders>
            <w:vAlign w:val="center"/>
          </w:tcPr>
          <w:p w14:paraId="16827FCC">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耕地（</w:t>
            </w:r>
            <w:r>
              <w:rPr>
                <w:rFonts w:hint="eastAsia" w:ascii="宋体" w:hAnsi="宋体" w:eastAsia="宋体" w:cs="Times New Roman"/>
                <w:color w:val="auto"/>
                <w:lang w:bidi="ar"/>
              </w:rPr>
              <w:t>永久</w:t>
            </w:r>
            <w:r>
              <w:rPr>
                <w:rFonts w:ascii="宋体" w:hAnsi="宋体" w:eastAsia="宋体" w:cs="Times New Roman"/>
                <w:color w:val="auto"/>
                <w:lang w:bidi="ar"/>
              </w:rPr>
              <w:t>基本农田）</w:t>
            </w:r>
          </w:p>
        </w:tc>
        <w:tc>
          <w:tcPr>
            <w:tcW w:w="1455" w:type="pct"/>
            <w:gridSpan w:val="2"/>
            <w:tcBorders>
              <w:left w:val="single" w:color="auto" w:sz="4" w:space="0"/>
            </w:tcBorders>
            <w:vAlign w:val="center"/>
          </w:tcPr>
          <w:p w14:paraId="276D812A">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草地（一般草地）</w:t>
            </w:r>
          </w:p>
        </w:tc>
      </w:tr>
      <w:tr w14:paraId="47448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 w:type="pct"/>
            <w:vMerge w:val="continue"/>
            <w:vAlign w:val="center"/>
          </w:tcPr>
          <w:p w14:paraId="511414C9">
            <w:pPr>
              <w:spacing w:line="360" w:lineRule="exact"/>
              <w:jc w:val="center"/>
              <w:rPr>
                <w:rFonts w:ascii="宋体" w:hAnsi="宋体" w:eastAsia="宋体" w:cs="Times New Roman"/>
                <w:color w:val="auto"/>
                <w:lang w:bidi="ar"/>
              </w:rPr>
            </w:pPr>
          </w:p>
        </w:tc>
        <w:tc>
          <w:tcPr>
            <w:tcW w:w="1602" w:type="pct"/>
            <w:gridSpan w:val="2"/>
            <w:vMerge w:val="continue"/>
            <w:vAlign w:val="center"/>
          </w:tcPr>
          <w:p w14:paraId="0A6E390A">
            <w:pPr>
              <w:spacing w:line="360" w:lineRule="exact"/>
              <w:jc w:val="center"/>
              <w:rPr>
                <w:rFonts w:ascii="宋体" w:hAnsi="宋体" w:eastAsia="宋体" w:cs="Times New Roman"/>
                <w:color w:val="auto"/>
                <w:lang w:bidi="ar"/>
              </w:rPr>
            </w:pPr>
          </w:p>
        </w:tc>
        <w:tc>
          <w:tcPr>
            <w:tcW w:w="778" w:type="pct"/>
            <w:tcBorders>
              <w:right w:val="single" w:color="auto" w:sz="4" w:space="0"/>
            </w:tcBorders>
            <w:vAlign w:val="center"/>
          </w:tcPr>
          <w:p w14:paraId="418EFC31">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永久占地</w:t>
            </w:r>
          </w:p>
        </w:tc>
        <w:tc>
          <w:tcPr>
            <w:tcW w:w="834" w:type="pct"/>
            <w:tcBorders>
              <w:right w:val="single" w:color="auto" w:sz="4" w:space="0"/>
            </w:tcBorders>
            <w:vAlign w:val="center"/>
          </w:tcPr>
          <w:p w14:paraId="256DA930">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临时占地</w:t>
            </w:r>
          </w:p>
        </w:tc>
        <w:tc>
          <w:tcPr>
            <w:tcW w:w="724" w:type="pct"/>
            <w:tcBorders>
              <w:right w:val="single" w:color="auto" w:sz="4" w:space="0"/>
            </w:tcBorders>
            <w:vAlign w:val="center"/>
          </w:tcPr>
          <w:p w14:paraId="7B00518D">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永久占地</w:t>
            </w:r>
          </w:p>
        </w:tc>
        <w:tc>
          <w:tcPr>
            <w:tcW w:w="730" w:type="pct"/>
            <w:tcBorders>
              <w:left w:val="single" w:color="auto" w:sz="4" w:space="0"/>
            </w:tcBorders>
            <w:vAlign w:val="center"/>
          </w:tcPr>
          <w:p w14:paraId="56459A7D">
            <w:pPr>
              <w:adjustRightInd w:val="0"/>
              <w:snapToGrid w:val="0"/>
              <w:jc w:val="center"/>
              <w:rPr>
                <w:rFonts w:ascii="宋体" w:hAnsi="宋体" w:eastAsia="宋体" w:cs="Times New Roman"/>
                <w:color w:val="auto"/>
                <w:lang w:bidi="ar"/>
              </w:rPr>
            </w:pPr>
            <w:r>
              <w:rPr>
                <w:rFonts w:ascii="宋体" w:hAnsi="宋体" w:eastAsia="宋体" w:cs="Times New Roman"/>
                <w:color w:val="auto"/>
                <w:lang w:bidi="ar"/>
              </w:rPr>
              <w:t>临时占地</w:t>
            </w:r>
          </w:p>
        </w:tc>
      </w:tr>
      <w:tr w14:paraId="609C8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 w:type="pct"/>
            <w:vAlign w:val="center"/>
          </w:tcPr>
          <w:p w14:paraId="2B3371DB">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1</w:t>
            </w:r>
          </w:p>
        </w:tc>
        <w:tc>
          <w:tcPr>
            <w:tcW w:w="310" w:type="pct"/>
            <w:vMerge w:val="restart"/>
            <w:tcBorders>
              <w:right w:val="single" w:color="auto" w:sz="4" w:space="0"/>
            </w:tcBorders>
            <w:vAlign w:val="center"/>
          </w:tcPr>
          <w:p w14:paraId="6FA39C5F">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井场</w:t>
            </w:r>
          </w:p>
        </w:tc>
        <w:tc>
          <w:tcPr>
            <w:tcW w:w="1292" w:type="pct"/>
            <w:tcBorders>
              <w:left w:val="single" w:color="auto" w:sz="4" w:space="0"/>
            </w:tcBorders>
            <w:vAlign w:val="center"/>
          </w:tcPr>
          <w:p w14:paraId="72B2E317">
            <w:pPr>
              <w:spacing w:line="360" w:lineRule="exact"/>
              <w:jc w:val="center"/>
              <w:rPr>
                <w:rFonts w:ascii="宋体" w:hAnsi="宋体" w:eastAsia="宋体" w:cs="Times New Roman"/>
                <w:color w:val="auto"/>
                <w:lang w:bidi="ar"/>
              </w:rPr>
            </w:pPr>
            <w:r>
              <w:rPr>
                <w:rFonts w:hint="eastAsia" w:ascii="宋体" w:hAnsi="宋体" w:eastAsia="宋体" w:cs="Times New Roman"/>
                <w:color w:val="auto"/>
                <w:lang w:bidi="ar"/>
              </w:rPr>
              <w:t>3</w:t>
            </w:r>
            <w:r>
              <w:rPr>
                <w:rFonts w:ascii="宋体" w:hAnsi="宋体" w:eastAsia="宋体" w:cs="Times New Roman"/>
                <w:color w:val="auto"/>
                <w:lang w:bidi="ar"/>
              </w:rPr>
              <w:t>#平台（2口）</w:t>
            </w:r>
          </w:p>
        </w:tc>
        <w:tc>
          <w:tcPr>
            <w:tcW w:w="778" w:type="pct"/>
            <w:tcBorders>
              <w:right w:val="single" w:color="auto" w:sz="4" w:space="0"/>
            </w:tcBorders>
            <w:vAlign w:val="center"/>
          </w:tcPr>
          <w:p w14:paraId="53BEEFDA">
            <w:pPr>
              <w:spacing w:line="360" w:lineRule="exact"/>
              <w:jc w:val="center"/>
              <w:rPr>
                <w:rFonts w:ascii="宋体" w:hAnsi="宋体" w:eastAsia="宋体" w:cs="Times New Roman"/>
                <w:color w:val="auto"/>
                <w:lang w:bidi="ar"/>
              </w:rPr>
            </w:pPr>
            <w:r>
              <w:rPr>
                <w:rFonts w:ascii="宋体" w:hAnsi="宋体" w:eastAsia="宋体" w:cs="Times New Roman"/>
                <w:color w:val="auto"/>
              </w:rPr>
              <w:t>0.16</w:t>
            </w:r>
          </w:p>
        </w:tc>
        <w:tc>
          <w:tcPr>
            <w:tcW w:w="834" w:type="pct"/>
            <w:tcBorders>
              <w:right w:val="single" w:color="auto" w:sz="4" w:space="0"/>
            </w:tcBorders>
            <w:vAlign w:val="center"/>
          </w:tcPr>
          <w:p w14:paraId="5F0459D5">
            <w:pPr>
              <w:spacing w:line="360" w:lineRule="exact"/>
              <w:jc w:val="center"/>
              <w:rPr>
                <w:rFonts w:ascii="宋体" w:hAnsi="宋体" w:eastAsia="宋体" w:cs="Times New Roman"/>
                <w:color w:val="auto"/>
                <w:lang w:bidi="ar"/>
              </w:rPr>
            </w:pPr>
            <w:r>
              <w:rPr>
                <w:rFonts w:ascii="宋体" w:hAnsi="宋体" w:eastAsia="宋体" w:cs="Times New Roman"/>
                <w:color w:val="auto"/>
              </w:rPr>
              <w:t>0.94</w:t>
            </w:r>
          </w:p>
        </w:tc>
        <w:tc>
          <w:tcPr>
            <w:tcW w:w="724" w:type="pct"/>
            <w:tcBorders>
              <w:right w:val="single" w:color="auto" w:sz="4" w:space="0"/>
            </w:tcBorders>
            <w:vAlign w:val="center"/>
          </w:tcPr>
          <w:p w14:paraId="44F71FD6">
            <w:pPr>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30" w:type="pct"/>
            <w:tcBorders>
              <w:left w:val="single" w:color="auto" w:sz="4" w:space="0"/>
            </w:tcBorders>
            <w:vAlign w:val="center"/>
          </w:tcPr>
          <w:p w14:paraId="578D3E51">
            <w:pPr>
              <w:spacing w:line="360" w:lineRule="exact"/>
              <w:jc w:val="center"/>
              <w:rPr>
                <w:rFonts w:ascii="宋体" w:hAnsi="宋体" w:eastAsia="宋体" w:cs="Times New Roman"/>
                <w:color w:val="auto"/>
              </w:rPr>
            </w:pPr>
            <w:r>
              <w:rPr>
                <w:rFonts w:ascii="宋体" w:hAnsi="宋体" w:eastAsia="宋体" w:cs="Times New Roman"/>
                <w:color w:val="auto"/>
              </w:rPr>
              <w:t>0</w:t>
            </w:r>
          </w:p>
        </w:tc>
      </w:tr>
      <w:tr w14:paraId="522B5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 w:type="pct"/>
            <w:vAlign w:val="center"/>
          </w:tcPr>
          <w:p w14:paraId="6EFFFDE6">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2</w:t>
            </w:r>
          </w:p>
        </w:tc>
        <w:tc>
          <w:tcPr>
            <w:tcW w:w="310" w:type="pct"/>
            <w:vMerge w:val="continue"/>
            <w:tcBorders>
              <w:right w:val="single" w:color="auto" w:sz="4" w:space="0"/>
            </w:tcBorders>
            <w:vAlign w:val="center"/>
          </w:tcPr>
          <w:p w14:paraId="6DBC5717">
            <w:pPr>
              <w:spacing w:line="360" w:lineRule="exact"/>
              <w:jc w:val="center"/>
              <w:rPr>
                <w:rFonts w:ascii="宋体" w:hAnsi="宋体" w:eastAsia="宋体" w:cs="Times New Roman"/>
                <w:color w:val="auto"/>
                <w:lang w:bidi="ar"/>
              </w:rPr>
            </w:pPr>
          </w:p>
        </w:tc>
        <w:tc>
          <w:tcPr>
            <w:tcW w:w="1292" w:type="pct"/>
            <w:tcBorders>
              <w:left w:val="single" w:color="auto" w:sz="4" w:space="0"/>
            </w:tcBorders>
            <w:vAlign w:val="center"/>
          </w:tcPr>
          <w:p w14:paraId="6D65F4FB">
            <w:pPr>
              <w:adjustRightInd w:val="0"/>
              <w:snapToGrid w:val="0"/>
              <w:spacing w:line="320" w:lineRule="exact"/>
              <w:jc w:val="center"/>
              <w:rPr>
                <w:rFonts w:ascii="宋体" w:hAnsi="宋体" w:eastAsia="宋体" w:cs="Times New Roman"/>
                <w:color w:val="auto"/>
                <w:lang w:bidi="ar"/>
              </w:rPr>
            </w:pPr>
            <w:r>
              <w:rPr>
                <w:rFonts w:ascii="宋体" w:hAnsi="宋体" w:eastAsia="宋体" w:cs="Times New Roman"/>
                <w:color w:val="auto"/>
              </w:rPr>
              <w:t>源212-扶平3</w:t>
            </w:r>
          </w:p>
        </w:tc>
        <w:tc>
          <w:tcPr>
            <w:tcW w:w="778" w:type="pct"/>
            <w:tcBorders>
              <w:right w:val="single" w:color="auto" w:sz="4" w:space="0"/>
            </w:tcBorders>
            <w:vAlign w:val="center"/>
          </w:tcPr>
          <w:p w14:paraId="7B74231D">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834" w:type="pct"/>
            <w:tcBorders>
              <w:right w:val="single" w:color="auto" w:sz="4" w:space="0"/>
            </w:tcBorders>
            <w:vAlign w:val="center"/>
          </w:tcPr>
          <w:p w14:paraId="3173F8F6">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724" w:type="pct"/>
            <w:tcBorders>
              <w:right w:val="single" w:color="auto" w:sz="4" w:space="0"/>
            </w:tcBorders>
            <w:vAlign w:val="center"/>
          </w:tcPr>
          <w:p w14:paraId="4922BEB9">
            <w:pPr>
              <w:spacing w:line="360" w:lineRule="exact"/>
              <w:jc w:val="center"/>
              <w:rPr>
                <w:rFonts w:ascii="宋体" w:hAnsi="宋体" w:eastAsia="宋体" w:cs="Times New Roman"/>
                <w:color w:val="auto"/>
              </w:rPr>
            </w:pPr>
            <w:r>
              <w:rPr>
                <w:rFonts w:ascii="宋体" w:hAnsi="宋体" w:eastAsia="宋体" w:cs="Times New Roman"/>
                <w:color w:val="auto"/>
                <w:lang w:bidi="ar"/>
              </w:rPr>
              <w:t>0.12</w:t>
            </w:r>
          </w:p>
        </w:tc>
        <w:tc>
          <w:tcPr>
            <w:tcW w:w="730" w:type="pct"/>
            <w:tcBorders>
              <w:left w:val="single" w:color="auto" w:sz="4" w:space="0"/>
            </w:tcBorders>
            <w:vAlign w:val="center"/>
          </w:tcPr>
          <w:p w14:paraId="54FB9260">
            <w:pPr>
              <w:spacing w:line="360" w:lineRule="exact"/>
              <w:jc w:val="center"/>
              <w:rPr>
                <w:rFonts w:ascii="宋体" w:hAnsi="宋体" w:eastAsia="宋体" w:cs="Times New Roman"/>
                <w:color w:val="auto"/>
              </w:rPr>
            </w:pPr>
            <w:r>
              <w:rPr>
                <w:rFonts w:ascii="宋体" w:hAnsi="宋体" w:eastAsia="宋体" w:cs="Times New Roman"/>
                <w:color w:val="auto"/>
                <w:lang w:bidi="ar"/>
              </w:rPr>
              <w:t>0.88</w:t>
            </w:r>
          </w:p>
        </w:tc>
      </w:tr>
      <w:tr w14:paraId="20F1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 w:type="pct"/>
            <w:vAlign w:val="center"/>
          </w:tcPr>
          <w:p w14:paraId="64D6C306">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3</w:t>
            </w:r>
          </w:p>
        </w:tc>
        <w:tc>
          <w:tcPr>
            <w:tcW w:w="310" w:type="pct"/>
            <w:vMerge w:val="continue"/>
            <w:tcBorders>
              <w:right w:val="single" w:color="auto" w:sz="4" w:space="0"/>
            </w:tcBorders>
            <w:vAlign w:val="center"/>
          </w:tcPr>
          <w:p w14:paraId="1E04B6CA">
            <w:pPr>
              <w:spacing w:line="360" w:lineRule="exact"/>
              <w:jc w:val="center"/>
              <w:rPr>
                <w:rFonts w:ascii="宋体" w:hAnsi="宋体" w:eastAsia="宋体" w:cs="Times New Roman"/>
                <w:color w:val="auto"/>
                <w:lang w:bidi="ar"/>
              </w:rPr>
            </w:pPr>
          </w:p>
        </w:tc>
        <w:tc>
          <w:tcPr>
            <w:tcW w:w="1292" w:type="pct"/>
            <w:tcBorders>
              <w:left w:val="single" w:color="auto" w:sz="4" w:space="0"/>
            </w:tcBorders>
            <w:vAlign w:val="center"/>
          </w:tcPr>
          <w:p w14:paraId="35E535A8">
            <w:pPr>
              <w:adjustRightInd w:val="0"/>
              <w:snapToGrid w:val="0"/>
              <w:spacing w:line="320" w:lineRule="exact"/>
              <w:jc w:val="center"/>
              <w:rPr>
                <w:rFonts w:ascii="宋体" w:hAnsi="宋体" w:eastAsia="宋体" w:cs="Times New Roman"/>
                <w:color w:val="auto"/>
                <w:lang w:bidi="ar"/>
              </w:rPr>
            </w:pPr>
            <w:r>
              <w:rPr>
                <w:rFonts w:ascii="宋体" w:hAnsi="宋体" w:eastAsia="宋体" w:cs="Times New Roman"/>
                <w:color w:val="auto"/>
              </w:rPr>
              <w:t>源212-扶平4</w:t>
            </w:r>
          </w:p>
        </w:tc>
        <w:tc>
          <w:tcPr>
            <w:tcW w:w="778" w:type="pct"/>
            <w:tcBorders>
              <w:right w:val="single" w:color="auto" w:sz="4" w:space="0"/>
            </w:tcBorders>
            <w:vAlign w:val="center"/>
          </w:tcPr>
          <w:p w14:paraId="35483271">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0.12</w:t>
            </w:r>
          </w:p>
        </w:tc>
        <w:tc>
          <w:tcPr>
            <w:tcW w:w="834" w:type="pct"/>
            <w:tcBorders>
              <w:right w:val="single" w:color="auto" w:sz="4" w:space="0"/>
            </w:tcBorders>
            <w:vAlign w:val="center"/>
          </w:tcPr>
          <w:p w14:paraId="2DC3ECAC">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0.88</w:t>
            </w:r>
          </w:p>
        </w:tc>
        <w:tc>
          <w:tcPr>
            <w:tcW w:w="724" w:type="pct"/>
            <w:tcBorders>
              <w:right w:val="single" w:color="auto" w:sz="4" w:space="0"/>
            </w:tcBorders>
            <w:vAlign w:val="center"/>
          </w:tcPr>
          <w:p w14:paraId="505B513C">
            <w:pPr>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30" w:type="pct"/>
            <w:tcBorders>
              <w:left w:val="single" w:color="auto" w:sz="4" w:space="0"/>
            </w:tcBorders>
            <w:vAlign w:val="center"/>
          </w:tcPr>
          <w:p w14:paraId="5A4840F7">
            <w:pPr>
              <w:spacing w:line="360" w:lineRule="exact"/>
              <w:jc w:val="center"/>
              <w:rPr>
                <w:rFonts w:ascii="宋体" w:hAnsi="宋体" w:eastAsia="宋体" w:cs="Times New Roman"/>
                <w:color w:val="auto"/>
              </w:rPr>
            </w:pPr>
            <w:r>
              <w:rPr>
                <w:rFonts w:ascii="宋体" w:hAnsi="宋体" w:eastAsia="宋体" w:cs="Times New Roman"/>
                <w:color w:val="auto"/>
              </w:rPr>
              <w:t>0</w:t>
            </w:r>
          </w:p>
        </w:tc>
      </w:tr>
      <w:tr w14:paraId="07577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 w:type="pct"/>
            <w:vAlign w:val="center"/>
          </w:tcPr>
          <w:p w14:paraId="5C618336">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4</w:t>
            </w:r>
          </w:p>
        </w:tc>
        <w:tc>
          <w:tcPr>
            <w:tcW w:w="310" w:type="pct"/>
            <w:vMerge w:val="continue"/>
            <w:tcBorders>
              <w:right w:val="single" w:color="auto" w:sz="4" w:space="0"/>
            </w:tcBorders>
            <w:vAlign w:val="center"/>
          </w:tcPr>
          <w:p w14:paraId="23F390DA">
            <w:pPr>
              <w:spacing w:line="360" w:lineRule="exact"/>
              <w:jc w:val="center"/>
              <w:rPr>
                <w:rFonts w:ascii="宋体" w:hAnsi="宋体" w:eastAsia="宋体" w:cs="Times New Roman"/>
                <w:color w:val="auto"/>
                <w:lang w:bidi="ar"/>
              </w:rPr>
            </w:pPr>
          </w:p>
        </w:tc>
        <w:tc>
          <w:tcPr>
            <w:tcW w:w="1292" w:type="pct"/>
            <w:tcBorders>
              <w:left w:val="single" w:color="auto" w:sz="4" w:space="0"/>
            </w:tcBorders>
          </w:tcPr>
          <w:p w14:paraId="5208B3B1">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源斜2401</w:t>
            </w:r>
          </w:p>
        </w:tc>
        <w:tc>
          <w:tcPr>
            <w:tcW w:w="778" w:type="pct"/>
            <w:tcBorders>
              <w:right w:val="single" w:color="auto" w:sz="4" w:space="0"/>
            </w:tcBorders>
            <w:vAlign w:val="center"/>
          </w:tcPr>
          <w:p w14:paraId="32E2657E">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0.12</w:t>
            </w:r>
          </w:p>
        </w:tc>
        <w:tc>
          <w:tcPr>
            <w:tcW w:w="834" w:type="pct"/>
            <w:tcBorders>
              <w:right w:val="single" w:color="auto" w:sz="4" w:space="0"/>
            </w:tcBorders>
            <w:vAlign w:val="center"/>
          </w:tcPr>
          <w:p w14:paraId="325C6499">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0.88</w:t>
            </w:r>
          </w:p>
        </w:tc>
        <w:tc>
          <w:tcPr>
            <w:tcW w:w="724" w:type="pct"/>
            <w:tcBorders>
              <w:right w:val="single" w:color="auto" w:sz="4" w:space="0"/>
            </w:tcBorders>
          </w:tcPr>
          <w:p w14:paraId="1D8C028C">
            <w:pPr>
              <w:spacing w:line="360" w:lineRule="exact"/>
              <w:jc w:val="center"/>
              <w:rPr>
                <w:rFonts w:ascii="宋体" w:hAnsi="宋体" w:eastAsia="宋体" w:cs="Times New Roman"/>
                <w:color w:val="auto"/>
              </w:rPr>
            </w:pPr>
            <w:r>
              <w:rPr>
                <w:rFonts w:ascii="宋体" w:hAnsi="宋体" w:eastAsia="宋体" w:cs="Times New Roman"/>
                <w:color w:val="auto"/>
                <w:lang w:bidi="ar"/>
              </w:rPr>
              <w:t>0</w:t>
            </w:r>
          </w:p>
        </w:tc>
        <w:tc>
          <w:tcPr>
            <w:tcW w:w="730" w:type="pct"/>
            <w:tcBorders>
              <w:left w:val="single" w:color="auto" w:sz="4" w:space="0"/>
            </w:tcBorders>
          </w:tcPr>
          <w:p w14:paraId="1F4A7AD8">
            <w:pPr>
              <w:spacing w:line="360" w:lineRule="exact"/>
              <w:jc w:val="center"/>
              <w:rPr>
                <w:rFonts w:ascii="宋体" w:hAnsi="宋体" w:eastAsia="宋体" w:cs="Times New Roman"/>
                <w:color w:val="auto"/>
              </w:rPr>
            </w:pPr>
            <w:r>
              <w:rPr>
                <w:rFonts w:ascii="宋体" w:hAnsi="宋体" w:eastAsia="宋体" w:cs="Times New Roman"/>
                <w:color w:val="auto"/>
                <w:lang w:bidi="ar"/>
              </w:rPr>
              <w:t>0</w:t>
            </w:r>
          </w:p>
        </w:tc>
      </w:tr>
      <w:tr w14:paraId="1EAAA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 w:type="pct"/>
            <w:vAlign w:val="center"/>
          </w:tcPr>
          <w:p w14:paraId="42622164">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5</w:t>
            </w:r>
          </w:p>
        </w:tc>
        <w:tc>
          <w:tcPr>
            <w:tcW w:w="310" w:type="pct"/>
            <w:vMerge w:val="continue"/>
            <w:tcBorders>
              <w:right w:val="single" w:color="auto" w:sz="4" w:space="0"/>
            </w:tcBorders>
            <w:vAlign w:val="center"/>
          </w:tcPr>
          <w:p w14:paraId="49A7D75D">
            <w:pPr>
              <w:spacing w:line="360" w:lineRule="exact"/>
              <w:jc w:val="center"/>
              <w:rPr>
                <w:rFonts w:ascii="宋体" w:hAnsi="宋体" w:eastAsia="宋体" w:cs="Times New Roman"/>
                <w:color w:val="auto"/>
                <w:lang w:bidi="ar"/>
              </w:rPr>
            </w:pPr>
          </w:p>
        </w:tc>
        <w:tc>
          <w:tcPr>
            <w:tcW w:w="1292" w:type="pct"/>
            <w:tcBorders>
              <w:left w:val="single" w:color="auto" w:sz="4" w:space="0"/>
            </w:tcBorders>
          </w:tcPr>
          <w:p w14:paraId="46FDE30D">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源1011</w:t>
            </w:r>
          </w:p>
        </w:tc>
        <w:tc>
          <w:tcPr>
            <w:tcW w:w="778" w:type="pct"/>
            <w:tcBorders>
              <w:right w:val="single" w:color="auto" w:sz="4" w:space="0"/>
            </w:tcBorders>
            <w:vAlign w:val="center"/>
          </w:tcPr>
          <w:p w14:paraId="14FC4284">
            <w:pPr>
              <w:spacing w:line="360" w:lineRule="exact"/>
              <w:jc w:val="center"/>
              <w:rPr>
                <w:rFonts w:ascii="宋体" w:hAnsi="宋体" w:eastAsia="宋体" w:cs="Times New Roman"/>
                <w:color w:val="auto"/>
                <w:lang w:bidi="ar"/>
              </w:rPr>
            </w:pPr>
            <w:r>
              <w:rPr>
                <w:rFonts w:hint="eastAsia" w:ascii="宋体" w:hAnsi="宋体" w:eastAsia="宋体" w:cs="Times New Roman"/>
                <w:color w:val="auto"/>
                <w:lang w:bidi="ar"/>
              </w:rPr>
              <w:t>0</w:t>
            </w:r>
          </w:p>
        </w:tc>
        <w:tc>
          <w:tcPr>
            <w:tcW w:w="834" w:type="pct"/>
            <w:tcBorders>
              <w:right w:val="single" w:color="auto" w:sz="4" w:space="0"/>
            </w:tcBorders>
            <w:vAlign w:val="center"/>
          </w:tcPr>
          <w:p w14:paraId="2C907ECC">
            <w:pPr>
              <w:spacing w:line="360" w:lineRule="exact"/>
              <w:jc w:val="center"/>
              <w:rPr>
                <w:rFonts w:ascii="宋体" w:hAnsi="宋体" w:eastAsia="宋体" w:cs="Times New Roman"/>
                <w:color w:val="auto"/>
                <w:lang w:bidi="ar"/>
              </w:rPr>
            </w:pPr>
            <w:r>
              <w:rPr>
                <w:rFonts w:hint="eastAsia" w:ascii="宋体" w:hAnsi="宋体" w:eastAsia="宋体" w:cs="Times New Roman"/>
                <w:color w:val="auto"/>
                <w:lang w:bidi="ar"/>
              </w:rPr>
              <w:t>0</w:t>
            </w:r>
          </w:p>
        </w:tc>
        <w:tc>
          <w:tcPr>
            <w:tcW w:w="724" w:type="pct"/>
            <w:tcBorders>
              <w:right w:val="single" w:color="auto" w:sz="4" w:space="0"/>
            </w:tcBorders>
            <w:vAlign w:val="center"/>
          </w:tcPr>
          <w:p w14:paraId="3E5D1E78">
            <w:pPr>
              <w:spacing w:line="360" w:lineRule="exact"/>
              <w:jc w:val="center"/>
              <w:rPr>
                <w:rFonts w:ascii="宋体" w:hAnsi="宋体" w:eastAsia="宋体" w:cs="Times New Roman"/>
                <w:color w:val="auto"/>
              </w:rPr>
            </w:pPr>
            <w:r>
              <w:rPr>
                <w:rFonts w:ascii="宋体" w:hAnsi="宋体" w:eastAsia="宋体" w:cs="Times New Roman"/>
                <w:color w:val="auto"/>
                <w:lang w:bidi="ar"/>
              </w:rPr>
              <w:t>0.12</w:t>
            </w:r>
          </w:p>
        </w:tc>
        <w:tc>
          <w:tcPr>
            <w:tcW w:w="730" w:type="pct"/>
            <w:tcBorders>
              <w:left w:val="single" w:color="auto" w:sz="4" w:space="0"/>
            </w:tcBorders>
            <w:vAlign w:val="center"/>
          </w:tcPr>
          <w:p w14:paraId="1566AA94">
            <w:pPr>
              <w:spacing w:line="360" w:lineRule="exact"/>
              <w:jc w:val="center"/>
              <w:rPr>
                <w:rFonts w:ascii="宋体" w:hAnsi="宋体" w:eastAsia="宋体" w:cs="Times New Roman"/>
                <w:color w:val="auto"/>
              </w:rPr>
            </w:pPr>
            <w:r>
              <w:rPr>
                <w:rFonts w:ascii="宋体" w:hAnsi="宋体" w:eastAsia="宋体" w:cs="Times New Roman"/>
                <w:color w:val="auto"/>
                <w:lang w:bidi="ar"/>
              </w:rPr>
              <w:t>0.88</w:t>
            </w:r>
          </w:p>
        </w:tc>
      </w:tr>
      <w:tr w14:paraId="42BD5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 w:type="pct"/>
            <w:vAlign w:val="center"/>
          </w:tcPr>
          <w:p w14:paraId="12CC98A1">
            <w:pPr>
              <w:spacing w:line="360" w:lineRule="exact"/>
              <w:jc w:val="center"/>
              <w:rPr>
                <w:rFonts w:ascii="宋体" w:hAnsi="宋体" w:eastAsia="宋体" w:cs="Times New Roman"/>
                <w:color w:val="auto"/>
              </w:rPr>
            </w:pPr>
            <w:r>
              <w:rPr>
                <w:rFonts w:ascii="宋体" w:hAnsi="宋体" w:eastAsia="宋体" w:cs="Times New Roman"/>
                <w:color w:val="auto"/>
              </w:rPr>
              <w:t>11</w:t>
            </w:r>
          </w:p>
        </w:tc>
        <w:tc>
          <w:tcPr>
            <w:tcW w:w="1602" w:type="pct"/>
            <w:gridSpan w:val="2"/>
            <w:vAlign w:val="center"/>
          </w:tcPr>
          <w:p w14:paraId="4E081F25">
            <w:pPr>
              <w:spacing w:line="360" w:lineRule="exact"/>
              <w:jc w:val="center"/>
              <w:rPr>
                <w:rFonts w:ascii="宋体" w:hAnsi="宋体" w:eastAsia="宋体" w:cs="Times New Roman"/>
                <w:color w:val="auto"/>
              </w:rPr>
            </w:pPr>
            <w:r>
              <w:rPr>
                <w:rFonts w:ascii="宋体" w:hAnsi="宋体" w:eastAsia="宋体" w:cs="Times New Roman"/>
                <w:color w:val="auto"/>
              </w:rPr>
              <w:t>新建拉油点</w:t>
            </w:r>
          </w:p>
        </w:tc>
        <w:tc>
          <w:tcPr>
            <w:tcW w:w="778" w:type="pct"/>
            <w:tcBorders>
              <w:right w:val="single" w:color="auto" w:sz="4" w:space="0"/>
            </w:tcBorders>
            <w:vAlign w:val="center"/>
          </w:tcPr>
          <w:p w14:paraId="289FB34C">
            <w:pPr>
              <w:spacing w:line="360" w:lineRule="exact"/>
              <w:jc w:val="center"/>
              <w:rPr>
                <w:rFonts w:ascii="宋体" w:hAnsi="宋体" w:eastAsia="宋体" w:cs="Times New Roman"/>
                <w:color w:val="auto"/>
              </w:rPr>
            </w:pPr>
            <w:r>
              <w:rPr>
                <w:rFonts w:ascii="宋体" w:hAnsi="宋体" w:eastAsia="宋体" w:cs="Times New Roman"/>
                <w:color w:val="auto"/>
              </w:rPr>
              <w:t>0.58</w:t>
            </w:r>
          </w:p>
        </w:tc>
        <w:tc>
          <w:tcPr>
            <w:tcW w:w="834" w:type="pct"/>
            <w:tcBorders>
              <w:right w:val="single" w:color="auto" w:sz="4" w:space="0"/>
            </w:tcBorders>
          </w:tcPr>
          <w:p w14:paraId="11AE30D2">
            <w:pPr>
              <w:spacing w:line="360" w:lineRule="exact"/>
              <w:jc w:val="center"/>
              <w:rPr>
                <w:rFonts w:ascii="宋体" w:hAnsi="宋体" w:eastAsia="宋体" w:cs="Times New Roman"/>
                <w:color w:val="auto"/>
              </w:rPr>
            </w:pPr>
            <w:r>
              <w:rPr>
                <w:rFonts w:ascii="宋体" w:hAnsi="宋体" w:eastAsia="宋体" w:cs="Times New Roman"/>
                <w:color w:val="auto"/>
                <w:lang w:bidi="ar"/>
              </w:rPr>
              <w:t>0</w:t>
            </w:r>
          </w:p>
        </w:tc>
        <w:tc>
          <w:tcPr>
            <w:tcW w:w="724" w:type="pct"/>
            <w:tcBorders>
              <w:right w:val="single" w:color="auto" w:sz="4" w:space="0"/>
            </w:tcBorders>
          </w:tcPr>
          <w:p w14:paraId="6293A355">
            <w:pPr>
              <w:spacing w:line="360" w:lineRule="exact"/>
              <w:jc w:val="center"/>
              <w:rPr>
                <w:rFonts w:ascii="宋体" w:hAnsi="宋体" w:eastAsia="宋体" w:cs="Times New Roman"/>
                <w:color w:val="auto"/>
              </w:rPr>
            </w:pPr>
            <w:r>
              <w:rPr>
                <w:rFonts w:ascii="宋体" w:hAnsi="宋体" w:eastAsia="宋体" w:cs="Times New Roman"/>
                <w:color w:val="auto"/>
                <w:lang w:bidi="ar"/>
              </w:rPr>
              <w:t>1.14</w:t>
            </w:r>
          </w:p>
        </w:tc>
        <w:tc>
          <w:tcPr>
            <w:tcW w:w="730" w:type="pct"/>
            <w:tcBorders>
              <w:left w:val="single" w:color="auto" w:sz="4" w:space="0"/>
            </w:tcBorders>
          </w:tcPr>
          <w:p w14:paraId="54EDD2D0">
            <w:pPr>
              <w:spacing w:line="360" w:lineRule="exact"/>
              <w:jc w:val="center"/>
              <w:rPr>
                <w:rFonts w:ascii="宋体" w:hAnsi="宋体" w:eastAsia="宋体" w:cs="Times New Roman"/>
                <w:color w:val="auto"/>
              </w:rPr>
            </w:pPr>
            <w:r>
              <w:rPr>
                <w:rFonts w:ascii="宋体" w:hAnsi="宋体" w:eastAsia="宋体" w:cs="Times New Roman"/>
                <w:color w:val="auto"/>
                <w:lang w:bidi="ar"/>
              </w:rPr>
              <w:t>0</w:t>
            </w:r>
          </w:p>
        </w:tc>
      </w:tr>
      <w:tr w14:paraId="42D16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 w:type="pct"/>
            <w:vAlign w:val="center"/>
          </w:tcPr>
          <w:p w14:paraId="74680AE8">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13</w:t>
            </w:r>
          </w:p>
        </w:tc>
        <w:tc>
          <w:tcPr>
            <w:tcW w:w="1602" w:type="pct"/>
            <w:gridSpan w:val="2"/>
            <w:vAlign w:val="center"/>
          </w:tcPr>
          <w:p w14:paraId="56774DFB">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道路</w:t>
            </w:r>
          </w:p>
        </w:tc>
        <w:tc>
          <w:tcPr>
            <w:tcW w:w="778" w:type="pct"/>
            <w:tcBorders>
              <w:right w:val="single" w:color="auto" w:sz="4" w:space="0"/>
            </w:tcBorders>
            <w:vAlign w:val="center"/>
          </w:tcPr>
          <w:p w14:paraId="39F77F02">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0.48</w:t>
            </w:r>
          </w:p>
        </w:tc>
        <w:tc>
          <w:tcPr>
            <w:tcW w:w="834" w:type="pct"/>
            <w:tcBorders>
              <w:right w:val="single" w:color="auto" w:sz="4" w:space="0"/>
            </w:tcBorders>
            <w:vAlign w:val="center"/>
          </w:tcPr>
          <w:p w14:paraId="66D04DFC">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724" w:type="pct"/>
            <w:tcBorders>
              <w:right w:val="single" w:color="auto" w:sz="4" w:space="0"/>
            </w:tcBorders>
            <w:vAlign w:val="center"/>
          </w:tcPr>
          <w:p w14:paraId="604CA9B7">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0.405</w:t>
            </w:r>
          </w:p>
        </w:tc>
        <w:tc>
          <w:tcPr>
            <w:tcW w:w="730" w:type="pct"/>
            <w:tcBorders>
              <w:left w:val="single" w:color="auto" w:sz="4" w:space="0"/>
            </w:tcBorders>
            <w:vAlign w:val="center"/>
          </w:tcPr>
          <w:p w14:paraId="7817C444">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w:t>
            </w:r>
          </w:p>
        </w:tc>
      </w:tr>
      <w:tr w14:paraId="279C8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6" w:type="pct"/>
            <w:vAlign w:val="center"/>
          </w:tcPr>
          <w:p w14:paraId="77AB57EB">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14</w:t>
            </w:r>
          </w:p>
        </w:tc>
        <w:tc>
          <w:tcPr>
            <w:tcW w:w="1602" w:type="pct"/>
            <w:gridSpan w:val="2"/>
            <w:vAlign w:val="center"/>
          </w:tcPr>
          <w:p w14:paraId="0358D799">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新建柱上变电站</w:t>
            </w:r>
          </w:p>
        </w:tc>
        <w:tc>
          <w:tcPr>
            <w:tcW w:w="778" w:type="pct"/>
            <w:tcBorders>
              <w:right w:val="single" w:color="auto" w:sz="4" w:space="0"/>
            </w:tcBorders>
            <w:vAlign w:val="center"/>
          </w:tcPr>
          <w:p w14:paraId="0253BA90">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0.003</w:t>
            </w:r>
          </w:p>
        </w:tc>
        <w:tc>
          <w:tcPr>
            <w:tcW w:w="834" w:type="pct"/>
            <w:tcBorders>
              <w:right w:val="single" w:color="auto" w:sz="4" w:space="0"/>
            </w:tcBorders>
            <w:vAlign w:val="center"/>
          </w:tcPr>
          <w:p w14:paraId="6128DFB5">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724" w:type="pct"/>
            <w:tcBorders>
              <w:right w:val="single" w:color="auto" w:sz="4" w:space="0"/>
            </w:tcBorders>
            <w:vAlign w:val="center"/>
          </w:tcPr>
          <w:p w14:paraId="781B01D6">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0.006</w:t>
            </w:r>
          </w:p>
        </w:tc>
        <w:tc>
          <w:tcPr>
            <w:tcW w:w="730" w:type="pct"/>
            <w:tcBorders>
              <w:left w:val="single" w:color="auto" w:sz="4" w:space="0"/>
            </w:tcBorders>
            <w:vAlign w:val="center"/>
          </w:tcPr>
          <w:p w14:paraId="3F2272D7">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0</w:t>
            </w:r>
          </w:p>
        </w:tc>
      </w:tr>
      <w:tr w14:paraId="1D43D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29" w:type="pct"/>
            <w:gridSpan w:val="3"/>
            <w:vAlign w:val="center"/>
          </w:tcPr>
          <w:p w14:paraId="3AA4B511">
            <w:pPr>
              <w:spacing w:line="360" w:lineRule="exact"/>
              <w:jc w:val="center"/>
              <w:rPr>
                <w:rFonts w:ascii="宋体" w:hAnsi="宋体" w:eastAsia="宋体" w:cs="Times New Roman"/>
                <w:color w:val="auto"/>
              </w:rPr>
            </w:pPr>
            <w:r>
              <w:rPr>
                <w:rFonts w:ascii="宋体" w:hAnsi="宋体" w:eastAsia="宋体" w:cs="Times New Roman"/>
                <w:color w:val="auto"/>
                <w:lang w:bidi="ar"/>
              </w:rPr>
              <w:t>小计</w:t>
            </w:r>
          </w:p>
        </w:tc>
        <w:tc>
          <w:tcPr>
            <w:tcW w:w="778" w:type="pct"/>
            <w:tcBorders>
              <w:right w:val="single" w:color="auto" w:sz="4" w:space="0"/>
            </w:tcBorders>
            <w:vAlign w:val="center"/>
          </w:tcPr>
          <w:p w14:paraId="5BC32AC3">
            <w:pPr>
              <w:adjustRightInd w:val="0"/>
              <w:snapToGrid w:val="0"/>
              <w:spacing w:line="320" w:lineRule="exact"/>
              <w:jc w:val="center"/>
              <w:rPr>
                <w:rFonts w:ascii="宋体" w:hAnsi="宋体" w:eastAsia="宋体" w:cs="Times New Roman"/>
                <w:color w:val="auto"/>
              </w:rPr>
            </w:pPr>
            <w:r>
              <w:rPr>
                <w:rFonts w:hint="eastAsia" w:ascii="宋体" w:hAnsi="宋体" w:eastAsia="宋体" w:cs="Times New Roman"/>
                <w:color w:val="auto"/>
              </w:rPr>
              <w:t>1.463</w:t>
            </w:r>
          </w:p>
        </w:tc>
        <w:tc>
          <w:tcPr>
            <w:tcW w:w="834" w:type="pct"/>
            <w:tcBorders>
              <w:right w:val="single" w:color="auto" w:sz="4" w:space="0"/>
            </w:tcBorders>
            <w:vAlign w:val="center"/>
          </w:tcPr>
          <w:p w14:paraId="694C4FA8">
            <w:pPr>
              <w:adjustRightInd w:val="0"/>
              <w:snapToGrid w:val="0"/>
              <w:spacing w:line="320" w:lineRule="exact"/>
              <w:jc w:val="center"/>
              <w:rPr>
                <w:rFonts w:ascii="宋体" w:hAnsi="宋体" w:eastAsia="宋体" w:cs="Times New Roman"/>
                <w:color w:val="auto"/>
              </w:rPr>
            </w:pPr>
            <w:r>
              <w:rPr>
                <w:rFonts w:hint="eastAsia" w:ascii="宋体" w:hAnsi="宋体" w:eastAsia="宋体" w:cs="Times New Roman"/>
                <w:color w:val="auto"/>
              </w:rPr>
              <w:t>2.7</w:t>
            </w:r>
          </w:p>
        </w:tc>
        <w:tc>
          <w:tcPr>
            <w:tcW w:w="724" w:type="pct"/>
            <w:tcBorders>
              <w:right w:val="single" w:color="auto" w:sz="4" w:space="0"/>
            </w:tcBorders>
            <w:vAlign w:val="center"/>
          </w:tcPr>
          <w:p w14:paraId="2F98D18D">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1.791</w:t>
            </w:r>
          </w:p>
        </w:tc>
        <w:tc>
          <w:tcPr>
            <w:tcW w:w="730" w:type="pct"/>
            <w:tcBorders>
              <w:left w:val="single" w:color="auto" w:sz="4" w:space="0"/>
            </w:tcBorders>
            <w:vAlign w:val="center"/>
          </w:tcPr>
          <w:p w14:paraId="14ABC8D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1.76</w:t>
            </w:r>
          </w:p>
        </w:tc>
      </w:tr>
      <w:tr w14:paraId="1B3A8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29" w:type="pct"/>
            <w:gridSpan w:val="3"/>
            <w:vAlign w:val="center"/>
          </w:tcPr>
          <w:p w14:paraId="4E5F1507">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合计</w:t>
            </w:r>
          </w:p>
        </w:tc>
        <w:tc>
          <w:tcPr>
            <w:tcW w:w="1613" w:type="pct"/>
            <w:gridSpan w:val="2"/>
            <w:tcBorders>
              <w:right w:val="single" w:color="auto" w:sz="4" w:space="0"/>
            </w:tcBorders>
            <w:vAlign w:val="bottom"/>
          </w:tcPr>
          <w:p w14:paraId="30B69F5C">
            <w:pPr>
              <w:spacing w:line="360" w:lineRule="exact"/>
              <w:jc w:val="center"/>
              <w:rPr>
                <w:rFonts w:ascii="宋体" w:hAnsi="宋体" w:eastAsia="宋体" w:cs="Times New Roman"/>
                <w:color w:val="auto"/>
                <w:szCs w:val="22"/>
              </w:rPr>
            </w:pPr>
            <w:r>
              <w:rPr>
                <w:rFonts w:hint="eastAsia" w:ascii="宋体" w:hAnsi="宋体" w:eastAsia="宋体" w:cs="Times New Roman"/>
                <w:color w:val="auto"/>
                <w:szCs w:val="22"/>
              </w:rPr>
              <w:t>4.163</w:t>
            </w:r>
          </w:p>
        </w:tc>
        <w:tc>
          <w:tcPr>
            <w:tcW w:w="1455" w:type="pct"/>
            <w:gridSpan w:val="2"/>
            <w:tcBorders>
              <w:left w:val="single" w:color="auto" w:sz="4" w:space="0"/>
            </w:tcBorders>
            <w:vAlign w:val="bottom"/>
          </w:tcPr>
          <w:p w14:paraId="690C62E3">
            <w:pPr>
              <w:spacing w:line="360" w:lineRule="exact"/>
              <w:jc w:val="center"/>
              <w:rPr>
                <w:rFonts w:ascii="宋体" w:hAnsi="宋体" w:eastAsia="宋体" w:cs="Times New Roman"/>
                <w:color w:val="auto"/>
                <w:szCs w:val="22"/>
              </w:rPr>
            </w:pPr>
            <w:r>
              <w:rPr>
                <w:rFonts w:ascii="宋体" w:hAnsi="宋体" w:eastAsia="宋体" w:cs="Times New Roman"/>
                <w:color w:val="auto"/>
                <w:szCs w:val="22"/>
              </w:rPr>
              <w:t>3.551</w:t>
            </w:r>
          </w:p>
        </w:tc>
      </w:tr>
      <w:tr w14:paraId="6832E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29" w:type="pct"/>
            <w:gridSpan w:val="3"/>
            <w:vAlign w:val="center"/>
          </w:tcPr>
          <w:p w14:paraId="30ACB167">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总计</w:t>
            </w:r>
          </w:p>
        </w:tc>
        <w:tc>
          <w:tcPr>
            <w:tcW w:w="3070" w:type="pct"/>
            <w:gridSpan w:val="4"/>
            <w:vAlign w:val="center"/>
          </w:tcPr>
          <w:p w14:paraId="6C1E79C8">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7.714</w:t>
            </w:r>
          </w:p>
        </w:tc>
      </w:tr>
    </w:tbl>
    <w:p w14:paraId="03801265">
      <w:pPr>
        <w:pStyle w:val="6"/>
        <w:rPr>
          <w:color w:val="auto"/>
        </w:rPr>
      </w:pPr>
      <w:bookmarkStart w:id="756" w:name="_Toc143099580"/>
      <w:bookmarkStart w:id="757" w:name="_Toc83209478"/>
      <w:bookmarkStart w:id="758" w:name="_Toc61597228"/>
      <w:bookmarkStart w:id="759" w:name="_Toc86141937"/>
      <w:bookmarkStart w:id="760" w:name="_Toc76976248"/>
      <w:bookmarkStart w:id="761" w:name="_Toc77067664"/>
      <w:bookmarkStart w:id="762" w:name="_Toc84929234"/>
      <w:bookmarkStart w:id="763" w:name="_Toc78816466"/>
      <w:bookmarkStart w:id="764" w:name="_Toc80588261"/>
      <w:bookmarkStart w:id="765" w:name="_Toc70050183"/>
      <w:bookmarkStart w:id="766" w:name="_Toc131167295"/>
      <w:bookmarkStart w:id="767" w:name="_Toc127192344"/>
      <w:bookmarkStart w:id="768" w:name="_Toc80971383"/>
      <w:bookmarkStart w:id="769" w:name="_Toc85640758"/>
      <w:bookmarkStart w:id="770" w:name="_Toc67860136"/>
      <w:bookmarkStart w:id="771" w:name="_Toc126863395"/>
      <w:r>
        <w:rPr>
          <w:color w:val="auto"/>
        </w:rPr>
        <w:t>土石方平衡</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634E6D94">
      <w:pPr>
        <w:pStyle w:val="276"/>
        <w:widowControl w:val="0"/>
        <w:ind w:firstLine="480"/>
        <w:jc w:val="both"/>
        <w:rPr>
          <w:color w:val="auto"/>
        </w:rPr>
      </w:pPr>
      <w:r>
        <w:rPr>
          <w:color w:val="auto"/>
        </w:rPr>
        <w:t>本项目涉及土石方的工程主要包括井场施工、管线和道路施工。土方施工主要为填筑井场、拉油点和通井路、井场临时旱厕的开挖及回填、管沟开挖及回填、临时占地的表土剥离及回填。</w:t>
      </w:r>
    </w:p>
    <w:p w14:paraId="52CEAC25">
      <w:pPr>
        <w:pStyle w:val="276"/>
        <w:widowControl w:val="0"/>
        <w:ind w:firstLine="480"/>
        <w:jc w:val="both"/>
        <w:rPr>
          <w:color w:val="auto"/>
        </w:rPr>
      </w:pPr>
      <w:r>
        <w:rPr>
          <w:color w:val="auto"/>
        </w:rPr>
        <w:t>本项目开工前编制表土剥离方案，对新增永久占地和临时占地0.3m表土进行剥离，采用分层开挖，分层堆放，暂存于占地内的表土剥离临时堆放区，并采取苫布遮盖等措施防止水土流失，并定期采取洒水抑尘措施，临时占地剥离的表土在施工结束后分层回填，并及时恢复地表植被。永久占耕地剥离表土0.3m用于当地高标准农田建设。</w:t>
      </w:r>
    </w:p>
    <w:p w14:paraId="5DAED810">
      <w:pPr>
        <w:pStyle w:val="276"/>
        <w:widowControl w:val="0"/>
        <w:ind w:firstLine="480"/>
        <w:jc w:val="both"/>
        <w:rPr>
          <w:color w:val="auto"/>
        </w:rPr>
      </w:pPr>
      <w:r>
        <w:rPr>
          <w:color w:val="auto"/>
        </w:rPr>
        <w:t>新建井场、拉油点和道路平均垫高0.3m。新建集油管线12.5km，管道敷设方式采用沟埋方式敷设，管线埋深在2.0m，管沟宽度1.0m。新钻井场设置临时旱厕1座，容积为4m</w:t>
      </w:r>
      <w:r>
        <w:rPr>
          <w:color w:val="auto"/>
          <w:vertAlign w:val="superscript"/>
        </w:rPr>
        <w:t>3</w:t>
      </w:r>
      <w:r>
        <w:rPr>
          <w:color w:val="auto"/>
        </w:rPr>
        <w:t>。</w:t>
      </w:r>
    </w:p>
    <w:p w14:paraId="17A3C8BD">
      <w:pPr>
        <w:pStyle w:val="276"/>
        <w:widowControl w:val="0"/>
        <w:ind w:firstLine="480"/>
        <w:jc w:val="both"/>
        <w:rPr>
          <w:color w:val="auto"/>
        </w:rPr>
      </w:pPr>
      <w:r>
        <w:rPr>
          <w:color w:val="auto"/>
        </w:rPr>
        <w:t>本项目管沟、临时旱厕开挖土方均原地回填，井场、拉油点和通井路垫土不足的部分由建设单位外购，履行相关手续，本项目不设取弃土场。本项目土石方情况见</w:t>
      </w:r>
      <w:r>
        <w:rPr>
          <w:color w:val="auto"/>
        </w:rPr>
        <w:fldChar w:fldCharType="begin"/>
      </w:r>
      <w:r>
        <w:rPr>
          <w:color w:val="auto"/>
        </w:rPr>
        <w:instrText xml:space="preserve"> REF _Ref211959147 \h  \* MERGEFORMAT </w:instrText>
      </w:r>
      <w:r>
        <w:rPr>
          <w:color w:val="auto"/>
        </w:rPr>
        <w:fldChar w:fldCharType="separate"/>
      </w:r>
      <w:r>
        <w:rPr>
          <w:color w:val="auto"/>
        </w:rPr>
        <w:t>表 3.7</w:t>
      </w:r>
      <w:r>
        <w:rPr>
          <w:color w:val="auto"/>
        </w:rPr>
        <w:noBreakHyphen/>
      </w:r>
      <w:r>
        <w:rPr>
          <w:color w:val="auto"/>
        </w:rPr>
        <w:t>2</w:t>
      </w:r>
      <w:r>
        <w:rPr>
          <w:color w:val="auto"/>
        </w:rPr>
        <w:fldChar w:fldCharType="end"/>
      </w:r>
      <w:r>
        <w:rPr>
          <w:color w:val="auto"/>
        </w:rPr>
        <w:t>。</w:t>
      </w:r>
    </w:p>
    <w:p w14:paraId="0158B5DC">
      <w:pPr>
        <w:pStyle w:val="22"/>
        <w:spacing w:before="156"/>
        <w:rPr>
          <w:color w:val="auto"/>
        </w:rPr>
      </w:pPr>
      <w:bookmarkStart w:id="772" w:name="_Ref211959147"/>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3.7</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bookmarkEnd w:id="772"/>
      <w:r>
        <w:rPr>
          <w:color w:val="auto"/>
        </w:rPr>
        <w:t>本项目土石方情况    单位：m</w:t>
      </w:r>
      <w:r>
        <w:rPr>
          <w:color w:val="auto"/>
          <w:vertAlign w:val="superscript"/>
        </w:rPr>
        <w:t>3</w:t>
      </w:r>
    </w:p>
    <w:tbl>
      <w:tblPr>
        <w:tblStyle w:val="81"/>
        <w:tblW w:w="92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9"/>
        <w:gridCol w:w="1166"/>
        <w:gridCol w:w="1010"/>
        <w:gridCol w:w="850"/>
        <w:gridCol w:w="850"/>
        <w:gridCol w:w="850"/>
        <w:gridCol w:w="852"/>
        <w:gridCol w:w="3212"/>
      </w:tblGrid>
      <w:tr w14:paraId="5B674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dxa"/>
            <w:vAlign w:val="center"/>
          </w:tcPr>
          <w:p w14:paraId="43455911">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序号</w:t>
            </w:r>
          </w:p>
        </w:tc>
        <w:tc>
          <w:tcPr>
            <w:tcW w:w="1166" w:type="dxa"/>
            <w:vAlign w:val="center"/>
          </w:tcPr>
          <w:p w14:paraId="5676B818">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类别</w:t>
            </w:r>
          </w:p>
        </w:tc>
        <w:tc>
          <w:tcPr>
            <w:tcW w:w="1010" w:type="dxa"/>
            <w:vAlign w:val="center"/>
          </w:tcPr>
          <w:p w14:paraId="23814AA2">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挖方量</w:t>
            </w:r>
          </w:p>
        </w:tc>
        <w:tc>
          <w:tcPr>
            <w:tcW w:w="850" w:type="dxa"/>
            <w:vAlign w:val="center"/>
          </w:tcPr>
          <w:p w14:paraId="3219017E">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填方量</w:t>
            </w:r>
          </w:p>
        </w:tc>
        <w:tc>
          <w:tcPr>
            <w:tcW w:w="850" w:type="dxa"/>
            <w:vAlign w:val="center"/>
          </w:tcPr>
          <w:p w14:paraId="045B140C">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利用方量</w:t>
            </w:r>
          </w:p>
        </w:tc>
        <w:tc>
          <w:tcPr>
            <w:tcW w:w="850" w:type="dxa"/>
            <w:vAlign w:val="center"/>
          </w:tcPr>
          <w:p w14:paraId="351CB899">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借方量</w:t>
            </w:r>
          </w:p>
        </w:tc>
        <w:tc>
          <w:tcPr>
            <w:tcW w:w="852" w:type="dxa"/>
            <w:vAlign w:val="center"/>
          </w:tcPr>
          <w:p w14:paraId="29E28DD1">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弃方量</w:t>
            </w:r>
          </w:p>
        </w:tc>
        <w:tc>
          <w:tcPr>
            <w:tcW w:w="3212" w:type="dxa"/>
            <w:vAlign w:val="center"/>
          </w:tcPr>
          <w:p w14:paraId="7367424C">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备注</w:t>
            </w:r>
          </w:p>
        </w:tc>
      </w:tr>
      <w:tr w14:paraId="07878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dxa"/>
            <w:vAlign w:val="center"/>
          </w:tcPr>
          <w:p w14:paraId="231D1936">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1</w:t>
            </w:r>
          </w:p>
        </w:tc>
        <w:tc>
          <w:tcPr>
            <w:tcW w:w="1166" w:type="dxa"/>
            <w:vAlign w:val="center"/>
          </w:tcPr>
          <w:p w14:paraId="2E5CF5E6">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表土剥离</w:t>
            </w:r>
          </w:p>
        </w:tc>
        <w:tc>
          <w:tcPr>
            <w:tcW w:w="1010" w:type="dxa"/>
            <w:vAlign w:val="center"/>
          </w:tcPr>
          <w:p w14:paraId="3F5244C2">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13380</w:t>
            </w:r>
          </w:p>
        </w:tc>
        <w:tc>
          <w:tcPr>
            <w:tcW w:w="850" w:type="dxa"/>
            <w:vAlign w:val="center"/>
          </w:tcPr>
          <w:p w14:paraId="522495E6">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13380</w:t>
            </w:r>
          </w:p>
        </w:tc>
        <w:tc>
          <w:tcPr>
            <w:tcW w:w="850" w:type="dxa"/>
            <w:vAlign w:val="center"/>
          </w:tcPr>
          <w:p w14:paraId="60978712">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13380</w:t>
            </w:r>
          </w:p>
        </w:tc>
        <w:tc>
          <w:tcPr>
            <w:tcW w:w="850" w:type="dxa"/>
            <w:vAlign w:val="center"/>
          </w:tcPr>
          <w:p w14:paraId="3025BAAC">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852" w:type="dxa"/>
            <w:vAlign w:val="center"/>
          </w:tcPr>
          <w:p w14:paraId="32771900">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3212" w:type="dxa"/>
            <w:vAlign w:val="center"/>
          </w:tcPr>
          <w:p w14:paraId="1E06D78A">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临时占地4.46hm</w:t>
            </w:r>
            <w:r>
              <w:rPr>
                <w:rFonts w:ascii="宋体" w:hAnsi="宋体" w:eastAsia="宋体" w:cs="Times New Roman"/>
                <w:color w:val="auto"/>
                <w:vertAlign w:val="superscript"/>
                <w:lang w:bidi="ar"/>
              </w:rPr>
              <w:t>2</w:t>
            </w:r>
            <w:r>
              <w:rPr>
                <w:rFonts w:hint="eastAsia" w:ascii="宋体" w:hAnsi="宋体" w:eastAsia="宋体" w:cs="Times New Roman"/>
                <w:color w:val="auto"/>
                <w:lang w:bidi="ar"/>
              </w:rPr>
              <w:t xml:space="preserve">，表土剥离0.3m </w:t>
            </w:r>
          </w:p>
        </w:tc>
      </w:tr>
      <w:tr w14:paraId="1E8CF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dxa"/>
            <w:vAlign w:val="center"/>
          </w:tcPr>
          <w:p w14:paraId="75792AAF">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2</w:t>
            </w:r>
          </w:p>
        </w:tc>
        <w:tc>
          <w:tcPr>
            <w:tcW w:w="1166" w:type="dxa"/>
            <w:vAlign w:val="center"/>
          </w:tcPr>
          <w:p w14:paraId="44676EBD">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井场</w:t>
            </w:r>
          </w:p>
        </w:tc>
        <w:tc>
          <w:tcPr>
            <w:tcW w:w="1010" w:type="dxa"/>
            <w:vAlign w:val="center"/>
          </w:tcPr>
          <w:p w14:paraId="4F10298B">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1920</w:t>
            </w:r>
          </w:p>
        </w:tc>
        <w:tc>
          <w:tcPr>
            <w:tcW w:w="850" w:type="dxa"/>
            <w:vAlign w:val="center"/>
          </w:tcPr>
          <w:p w14:paraId="3A168E04">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1920</w:t>
            </w:r>
          </w:p>
        </w:tc>
        <w:tc>
          <w:tcPr>
            <w:tcW w:w="850" w:type="dxa"/>
            <w:vAlign w:val="center"/>
          </w:tcPr>
          <w:p w14:paraId="0E530519">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850" w:type="dxa"/>
            <w:vAlign w:val="center"/>
          </w:tcPr>
          <w:p w14:paraId="21F75B2A">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1920</w:t>
            </w:r>
          </w:p>
        </w:tc>
        <w:tc>
          <w:tcPr>
            <w:tcW w:w="852" w:type="dxa"/>
            <w:vAlign w:val="center"/>
          </w:tcPr>
          <w:p w14:paraId="29710DE3">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3212" w:type="dxa"/>
            <w:vAlign w:val="center"/>
          </w:tcPr>
          <w:p w14:paraId="712E76B5">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井场平均填高0.3m；永久占地表土剥离0.3m</w:t>
            </w:r>
          </w:p>
        </w:tc>
      </w:tr>
      <w:tr w14:paraId="1A175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dxa"/>
            <w:vAlign w:val="center"/>
          </w:tcPr>
          <w:p w14:paraId="20AA00C1">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4</w:t>
            </w:r>
          </w:p>
        </w:tc>
        <w:tc>
          <w:tcPr>
            <w:tcW w:w="1166" w:type="dxa"/>
            <w:vAlign w:val="center"/>
          </w:tcPr>
          <w:p w14:paraId="34EBB7CB">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拉油点</w:t>
            </w:r>
          </w:p>
        </w:tc>
        <w:tc>
          <w:tcPr>
            <w:tcW w:w="1010" w:type="dxa"/>
            <w:vAlign w:val="center"/>
          </w:tcPr>
          <w:p w14:paraId="51F6ABC1">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5160</w:t>
            </w:r>
          </w:p>
        </w:tc>
        <w:tc>
          <w:tcPr>
            <w:tcW w:w="850" w:type="dxa"/>
            <w:vAlign w:val="center"/>
          </w:tcPr>
          <w:p w14:paraId="7F27F01D">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5160</w:t>
            </w:r>
          </w:p>
        </w:tc>
        <w:tc>
          <w:tcPr>
            <w:tcW w:w="850" w:type="dxa"/>
            <w:vAlign w:val="center"/>
          </w:tcPr>
          <w:p w14:paraId="3A33830B">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850" w:type="dxa"/>
            <w:vAlign w:val="center"/>
          </w:tcPr>
          <w:p w14:paraId="6537163C">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5160</w:t>
            </w:r>
          </w:p>
        </w:tc>
        <w:tc>
          <w:tcPr>
            <w:tcW w:w="852" w:type="dxa"/>
            <w:vAlign w:val="center"/>
          </w:tcPr>
          <w:p w14:paraId="0D5CE274">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3212" w:type="dxa"/>
            <w:vAlign w:val="center"/>
          </w:tcPr>
          <w:p w14:paraId="3F6829C6">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新建拉油点占地1.72hm</w:t>
            </w:r>
            <w:r>
              <w:rPr>
                <w:rFonts w:ascii="宋体" w:hAnsi="宋体" w:eastAsia="宋体" w:cs="Times New Roman"/>
                <w:color w:val="auto"/>
                <w:vertAlign w:val="superscript"/>
                <w:lang w:bidi="ar"/>
              </w:rPr>
              <w:t>2</w:t>
            </w:r>
            <w:r>
              <w:rPr>
                <w:rFonts w:hint="eastAsia" w:ascii="宋体" w:hAnsi="宋体" w:eastAsia="宋体" w:cs="Times New Roman"/>
                <w:color w:val="auto"/>
                <w:lang w:bidi="ar"/>
              </w:rPr>
              <w:t>；垫高0.3m，永久占地表土剥离0.3m</w:t>
            </w:r>
          </w:p>
        </w:tc>
      </w:tr>
      <w:tr w14:paraId="037D6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dxa"/>
            <w:vAlign w:val="center"/>
          </w:tcPr>
          <w:p w14:paraId="0D375276">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5</w:t>
            </w:r>
          </w:p>
        </w:tc>
        <w:tc>
          <w:tcPr>
            <w:tcW w:w="1166" w:type="dxa"/>
            <w:vAlign w:val="center"/>
          </w:tcPr>
          <w:p w14:paraId="1E6329DF">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临时旱厕</w:t>
            </w:r>
          </w:p>
        </w:tc>
        <w:tc>
          <w:tcPr>
            <w:tcW w:w="1010" w:type="dxa"/>
            <w:vAlign w:val="center"/>
          </w:tcPr>
          <w:p w14:paraId="5D4A21E8">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20</w:t>
            </w:r>
          </w:p>
        </w:tc>
        <w:tc>
          <w:tcPr>
            <w:tcW w:w="850" w:type="dxa"/>
            <w:vAlign w:val="center"/>
          </w:tcPr>
          <w:p w14:paraId="0003AF94">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20</w:t>
            </w:r>
          </w:p>
        </w:tc>
        <w:tc>
          <w:tcPr>
            <w:tcW w:w="850" w:type="dxa"/>
            <w:vAlign w:val="center"/>
          </w:tcPr>
          <w:p w14:paraId="287382A1">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20</w:t>
            </w:r>
          </w:p>
        </w:tc>
        <w:tc>
          <w:tcPr>
            <w:tcW w:w="850" w:type="dxa"/>
            <w:vAlign w:val="center"/>
          </w:tcPr>
          <w:p w14:paraId="7267275D">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852" w:type="dxa"/>
            <w:vAlign w:val="center"/>
          </w:tcPr>
          <w:p w14:paraId="7A5E1062">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3212" w:type="dxa"/>
            <w:vAlign w:val="center"/>
          </w:tcPr>
          <w:p w14:paraId="05A76FEC">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新钻井场设置临时旱厕1座，容积为4m</w:t>
            </w:r>
            <w:r>
              <w:rPr>
                <w:rFonts w:ascii="宋体" w:hAnsi="宋体" w:eastAsia="宋体" w:cs="Times New Roman"/>
                <w:color w:val="auto"/>
                <w:vertAlign w:val="superscript"/>
                <w:lang w:bidi="ar"/>
              </w:rPr>
              <w:t>3</w:t>
            </w:r>
            <w:r>
              <w:rPr>
                <w:rFonts w:hint="eastAsia" w:ascii="宋体" w:hAnsi="宋体" w:eastAsia="宋体" w:cs="Times New Roman"/>
                <w:color w:val="auto"/>
                <w:lang w:bidi="ar"/>
              </w:rPr>
              <w:t>/座</w:t>
            </w:r>
          </w:p>
        </w:tc>
      </w:tr>
      <w:tr w14:paraId="72039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dxa"/>
            <w:vAlign w:val="center"/>
          </w:tcPr>
          <w:p w14:paraId="7E182AAA">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6</w:t>
            </w:r>
          </w:p>
        </w:tc>
        <w:tc>
          <w:tcPr>
            <w:tcW w:w="1166" w:type="dxa"/>
            <w:vAlign w:val="center"/>
          </w:tcPr>
          <w:p w14:paraId="0029A988">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集油管道</w:t>
            </w:r>
          </w:p>
        </w:tc>
        <w:tc>
          <w:tcPr>
            <w:tcW w:w="1010" w:type="dxa"/>
            <w:vAlign w:val="center"/>
          </w:tcPr>
          <w:p w14:paraId="59597DED">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120</w:t>
            </w:r>
          </w:p>
        </w:tc>
        <w:tc>
          <w:tcPr>
            <w:tcW w:w="850" w:type="dxa"/>
            <w:vAlign w:val="center"/>
          </w:tcPr>
          <w:p w14:paraId="5940DDCA">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120</w:t>
            </w:r>
          </w:p>
        </w:tc>
        <w:tc>
          <w:tcPr>
            <w:tcW w:w="850" w:type="dxa"/>
            <w:vAlign w:val="center"/>
          </w:tcPr>
          <w:p w14:paraId="28897DCE">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120</w:t>
            </w:r>
          </w:p>
        </w:tc>
        <w:tc>
          <w:tcPr>
            <w:tcW w:w="850" w:type="dxa"/>
            <w:vAlign w:val="center"/>
          </w:tcPr>
          <w:p w14:paraId="3DABFF22">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852" w:type="dxa"/>
            <w:vAlign w:val="center"/>
          </w:tcPr>
          <w:p w14:paraId="0A679724">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3212" w:type="dxa"/>
            <w:vAlign w:val="center"/>
          </w:tcPr>
          <w:p w14:paraId="431E071C">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新建集油管线</w:t>
            </w:r>
            <w:r>
              <w:rPr>
                <w:rFonts w:ascii="宋体" w:hAnsi="宋体" w:eastAsia="宋体" w:cs="Times New Roman"/>
                <w:color w:val="auto"/>
                <w:lang w:bidi="ar"/>
              </w:rPr>
              <w:t>0.6</w:t>
            </w:r>
            <w:r>
              <w:rPr>
                <w:rFonts w:hint="eastAsia" w:ascii="宋体" w:hAnsi="宋体" w:eastAsia="宋体" w:cs="Times New Roman"/>
                <w:color w:val="auto"/>
                <w:lang w:bidi="ar"/>
              </w:rPr>
              <w:t>km，管道敷设方式采用沟埋方式敷设，管线埋深在2m，管沟宽1m</w:t>
            </w:r>
          </w:p>
        </w:tc>
      </w:tr>
      <w:tr w14:paraId="7DE51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9" w:type="dxa"/>
            <w:vAlign w:val="center"/>
          </w:tcPr>
          <w:p w14:paraId="0FE492D5">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7</w:t>
            </w:r>
          </w:p>
        </w:tc>
        <w:tc>
          <w:tcPr>
            <w:tcW w:w="1166" w:type="dxa"/>
            <w:vAlign w:val="center"/>
          </w:tcPr>
          <w:p w14:paraId="4EE1B272">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新建通井路</w:t>
            </w:r>
          </w:p>
        </w:tc>
        <w:tc>
          <w:tcPr>
            <w:tcW w:w="1010" w:type="dxa"/>
            <w:vAlign w:val="center"/>
          </w:tcPr>
          <w:p w14:paraId="43879AAD">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2025</w:t>
            </w:r>
          </w:p>
        </w:tc>
        <w:tc>
          <w:tcPr>
            <w:tcW w:w="850" w:type="dxa"/>
            <w:vAlign w:val="center"/>
          </w:tcPr>
          <w:p w14:paraId="4445C1D4">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2025</w:t>
            </w:r>
          </w:p>
        </w:tc>
        <w:tc>
          <w:tcPr>
            <w:tcW w:w="850" w:type="dxa"/>
            <w:vAlign w:val="center"/>
          </w:tcPr>
          <w:p w14:paraId="4329B9D5">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850" w:type="dxa"/>
            <w:vAlign w:val="center"/>
          </w:tcPr>
          <w:p w14:paraId="32CAF5B9">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2025</w:t>
            </w:r>
          </w:p>
        </w:tc>
        <w:tc>
          <w:tcPr>
            <w:tcW w:w="852" w:type="dxa"/>
            <w:vAlign w:val="center"/>
          </w:tcPr>
          <w:p w14:paraId="2F418FC7">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3212" w:type="dxa"/>
            <w:vAlign w:val="center"/>
          </w:tcPr>
          <w:p w14:paraId="01358968">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路基宽4.5m，长度1.5km；永久占地表土剥离0.3m</w:t>
            </w:r>
          </w:p>
        </w:tc>
      </w:tr>
      <w:tr w14:paraId="4451E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85" w:type="dxa"/>
            <w:gridSpan w:val="2"/>
            <w:vAlign w:val="center"/>
          </w:tcPr>
          <w:p w14:paraId="5804A447">
            <w:pPr>
              <w:spacing w:line="320" w:lineRule="exact"/>
              <w:jc w:val="center"/>
              <w:rPr>
                <w:rFonts w:ascii="宋体" w:hAnsi="宋体" w:eastAsia="宋体" w:cs="Times New Roman"/>
                <w:color w:val="auto"/>
                <w:lang w:bidi="ar"/>
              </w:rPr>
            </w:pPr>
            <w:r>
              <w:rPr>
                <w:rFonts w:hint="eastAsia" w:ascii="宋体" w:hAnsi="宋体" w:eastAsia="宋体" w:cs="Times New Roman"/>
                <w:color w:val="auto"/>
                <w:lang w:bidi="ar"/>
              </w:rPr>
              <w:t>合计</w:t>
            </w:r>
          </w:p>
        </w:tc>
        <w:tc>
          <w:tcPr>
            <w:tcW w:w="1010" w:type="dxa"/>
            <w:vAlign w:val="bottom"/>
          </w:tcPr>
          <w:p w14:paraId="451F1813">
            <w:pPr>
              <w:jc w:val="center"/>
              <w:textAlignment w:val="bottom"/>
              <w:rPr>
                <w:rFonts w:ascii="宋体" w:hAnsi="宋体" w:eastAsia="宋体" w:cs="Times New Roman"/>
                <w:color w:val="auto"/>
              </w:rPr>
            </w:pPr>
            <w:r>
              <w:rPr>
                <w:rFonts w:ascii="宋体" w:hAnsi="宋体" w:eastAsia="宋体" w:cs="Times New Roman"/>
                <w:color w:val="auto"/>
                <w:lang w:bidi="ar"/>
              </w:rPr>
              <w:t>22625</w:t>
            </w:r>
          </w:p>
        </w:tc>
        <w:tc>
          <w:tcPr>
            <w:tcW w:w="850" w:type="dxa"/>
            <w:vAlign w:val="bottom"/>
          </w:tcPr>
          <w:p w14:paraId="54EB7A67">
            <w:pPr>
              <w:jc w:val="center"/>
              <w:textAlignment w:val="bottom"/>
              <w:rPr>
                <w:rFonts w:ascii="宋体" w:hAnsi="宋体" w:eastAsia="宋体" w:cs="Times New Roman"/>
                <w:color w:val="auto"/>
              </w:rPr>
            </w:pPr>
            <w:r>
              <w:rPr>
                <w:rFonts w:ascii="宋体" w:hAnsi="宋体" w:eastAsia="宋体" w:cs="Times New Roman"/>
                <w:color w:val="auto"/>
                <w:lang w:bidi="ar"/>
              </w:rPr>
              <w:t>22625</w:t>
            </w:r>
          </w:p>
        </w:tc>
        <w:tc>
          <w:tcPr>
            <w:tcW w:w="850" w:type="dxa"/>
            <w:vAlign w:val="bottom"/>
          </w:tcPr>
          <w:p w14:paraId="68C391AA">
            <w:pPr>
              <w:jc w:val="center"/>
              <w:textAlignment w:val="bottom"/>
              <w:rPr>
                <w:rFonts w:ascii="宋体" w:hAnsi="宋体" w:eastAsia="宋体" w:cs="Times New Roman"/>
                <w:color w:val="auto"/>
              </w:rPr>
            </w:pPr>
            <w:r>
              <w:rPr>
                <w:rFonts w:ascii="宋体" w:hAnsi="宋体" w:eastAsia="宋体" w:cs="Times New Roman"/>
                <w:color w:val="auto"/>
                <w:lang w:bidi="ar"/>
              </w:rPr>
              <w:t>13520</w:t>
            </w:r>
          </w:p>
        </w:tc>
        <w:tc>
          <w:tcPr>
            <w:tcW w:w="850" w:type="dxa"/>
            <w:vAlign w:val="bottom"/>
          </w:tcPr>
          <w:p w14:paraId="31B81534">
            <w:pPr>
              <w:jc w:val="center"/>
              <w:textAlignment w:val="bottom"/>
              <w:rPr>
                <w:rFonts w:ascii="宋体" w:hAnsi="宋体" w:eastAsia="宋体" w:cs="Times New Roman"/>
                <w:color w:val="auto"/>
              </w:rPr>
            </w:pPr>
            <w:r>
              <w:rPr>
                <w:rFonts w:ascii="宋体" w:hAnsi="宋体" w:eastAsia="宋体" w:cs="Times New Roman"/>
                <w:color w:val="auto"/>
                <w:lang w:bidi="ar"/>
              </w:rPr>
              <w:t>9105</w:t>
            </w:r>
          </w:p>
        </w:tc>
        <w:tc>
          <w:tcPr>
            <w:tcW w:w="852" w:type="dxa"/>
            <w:vAlign w:val="center"/>
          </w:tcPr>
          <w:p w14:paraId="7E123BB0">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0</w:t>
            </w:r>
          </w:p>
        </w:tc>
        <w:tc>
          <w:tcPr>
            <w:tcW w:w="3212" w:type="dxa"/>
            <w:vAlign w:val="center"/>
          </w:tcPr>
          <w:p w14:paraId="1C88B9F0">
            <w:pPr>
              <w:spacing w:line="320" w:lineRule="exact"/>
              <w:jc w:val="center"/>
              <w:rPr>
                <w:rFonts w:ascii="宋体" w:hAnsi="宋体" w:eastAsia="宋体" w:cs="Times New Roman"/>
                <w:color w:val="auto"/>
                <w:lang w:bidi="ar"/>
              </w:rPr>
            </w:pPr>
            <w:r>
              <w:rPr>
                <w:rFonts w:ascii="宋体" w:hAnsi="宋体" w:eastAsia="宋体" w:cs="Times New Roman"/>
                <w:color w:val="auto"/>
                <w:lang w:bidi="ar"/>
              </w:rPr>
              <w:t>/</w:t>
            </w:r>
          </w:p>
        </w:tc>
      </w:tr>
    </w:tbl>
    <w:p w14:paraId="1631B516">
      <w:pPr>
        <w:pStyle w:val="5"/>
        <w:rPr>
          <w:bCs w:val="0"/>
          <w:color w:val="auto"/>
        </w:rPr>
      </w:pPr>
      <w:bookmarkStart w:id="773" w:name="_Toc212033018"/>
      <w:bookmarkStart w:id="774" w:name="_Toc11003"/>
      <w:r>
        <w:rPr>
          <w:bCs w:val="0"/>
          <w:color w:val="auto"/>
        </w:rPr>
        <w:t>施工方式</w:t>
      </w:r>
      <w:bookmarkEnd w:id="773"/>
      <w:bookmarkEnd w:id="774"/>
    </w:p>
    <w:p w14:paraId="0BFCBDED">
      <w:pPr>
        <w:pStyle w:val="6"/>
        <w:rPr>
          <w:color w:val="auto"/>
        </w:rPr>
      </w:pPr>
      <w:bookmarkStart w:id="775" w:name="_Toc67860138"/>
      <w:bookmarkStart w:id="776" w:name="_Toc85640760"/>
      <w:bookmarkStart w:id="777" w:name="_Toc86141939"/>
      <w:bookmarkStart w:id="778" w:name="_Toc70050185"/>
      <w:bookmarkStart w:id="779" w:name="_Toc76976250"/>
      <w:bookmarkStart w:id="780" w:name="_Toc80971385"/>
      <w:bookmarkStart w:id="781" w:name="_Toc127192346"/>
      <w:bookmarkStart w:id="782" w:name="_Toc83209480"/>
      <w:bookmarkStart w:id="783" w:name="_Toc78816468"/>
      <w:bookmarkStart w:id="784" w:name="_Toc77067666"/>
      <w:bookmarkStart w:id="785" w:name="_Toc126863397"/>
      <w:bookmarkStart w:id="786" w:name="_Toc143099582"/>
      <w:bookmarkStart w:id="787" w:name="_Toc131167297"/>
      <w:bookmarkStart w:id="788" w:name="_Toc84929236"/>
      <w:bookmarkStart w:id="789" w:name="_Toc80588263"/>
      <w:r>
        <w:rPr>
          <w:color w:val="auto"/>
        </w:rPr>
        <w:t>管道施工</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7A0ED1A9">
      <w:pPr>
        <w:pStyle w:val="276"/>
        <w:widowControl w:val="0"/>
        <w:ind w:firstLine="480"/>
        <w:jc w:val="both"/>
        <w:rPr>
          <w:color w:val="auto"/>
        </w:rPr>
      </w:pPr>
      <w:r>
        <w:rPr>
          <w:color w:val="auto"/>
        </w:rPr>
        <w:t>管道施工过程先清理作业线路场地，然后开挖管沟，再组焊管道、下沟管道，特殊地段根据实际情况合理穿插各工序。管线沿路边敷设，管沟开挖以机械开挖为主，施工机械充分利用现有道路，施工作业面宽10m。施工完毕清理现场、恢复地貌。管道施工建设过程见</w:t>
      </w:r>
      <w:r>
        <w:rPr>
          <w:color w:val="auto"/>
        </w:rPr>
        <w:fldChar w:fldCharType="begin"/>
      </w:r>
      <w:r>
        <w:rPr>
          <w:color w:val="auto"/>
        </w:rPr>
        <w:instrText xml:space="preserve"> REF _Ref211959265 \h  \* MERGEFORMAT </w:instrText>
      </w:r>
      <w:r>
        <w:rPr>
          <w:color w:val="auto"/>
        </w:rPr>
        <w:fldChar w:fldCharType="separate"/>
      </w:r>
      <w:r>
        <w:rPr>
          <w:rFonts w:hint="eastAsia"/>
          <w:color w:val="auto"/>
        </w:rPr>
        <w:t xml:space="preserve">图 </w:t>
      </w:r>
      <w:r>
        <w:rPr>
          <w:color w:val="auto"/>
        </w:rPr>
        <w:t>3.8</w:t>
      </w:r>
      <w:r>
        <w:rPr>
          <w:color w:val="auto"/>
        </w:rPr>
        <w:noBreakHyphen/>
      </w:r>
      <w:r>
        <w:rPr>
          <w:color w:val="auto"/>
        </w:rPr>
        <w:t>1</w:t>
      </w:r>
      <w:r>
        <w:rPr>
          <w:color w:val="auto"/>
        </w:rPr>
        <w:fldChar w:fldCharType="end"/>
      </w:r>
      <w:r>
        <w:rPr>
          <w:color w:val="auto"/>
        </w:rPr>
        <w:t>。</w:t>
      </w:r>
    </w:p>
    <w:p w14:paraId="258E32D0">
      <w:pPr>
        <w:pStyle w:val="276"/>
        <w:widowControl w:val="0"/>
        <w:ind w:firstLine="480"/>
        <w:jc w:val="both"/>
        <w:rPr>
          <w:color w:val="auto"/>
        </w:rPr>
      </w:pPr>
      <w:r>
        <w:rPr>
          <w:color w:val="auto"/>
        </w:rPr>
        <w:t>施工作业带清理采用挖沟机、推土机扫线，人工配合清理。防腐管由工厂预制，采用专用管拖车拉运现场焊接。管沟开挖采用挖掘机等机械及人工辅助清理完成。回填完的管沟进行压实、整形。管道安装完成后，经检验合格，应进行压力和严密性试验，本项目试压采用清水进行试压。</w:t>
      </w:r>
    </w:p>
    <w:p w14:paraId="5B401720">
      <w:pPr>
        <w:pStyle w:val="276"/>
        <w:widowControl w:val="0"/>
        <w:ind w:firstLine="480"/>
        <w:jc w:val="both"/>
        <w:rPr>
          <w:color w:val="auto"/>
        </w:rPr>
      </w:pPr>
      <w:r>
        <w:rPr>
          <w:color w:val="auto"/>
        </w:rPr>
        <w:t>工艺管线施工技术要求及验收均按国家标准《工业金属管道工程施工</w:t>
      </w:r>
      <w:r>
        <w:rPr>
          <w:rFonts w:hint="eastAsia"/>
          <w:color w:val="auto"/>
        </w:rPr>
        <w:t>规范</w:t>
      </w:r>
      <w:r>
        <w:rPr>
          <w:color w:val="auto"/>
        </w:rPr>
        <w:t>》(GB50235-2010)、</w:t>
      </w:r>
      <w:r>
        <w:rPr>
          <w:rFonts w:hint="eastAsia"/>
          <w:color w:val="auto"/>
        </w:rPr>
        <w:t>《现场设备、工业管道焊接工程施工规范》（</w:t>
      </w:r>
      <w:r>
        <w:rPr>
          <w:color w:val="auto"/>
        </w:rPr>
        <w:t>GB 50236-2011）、《油气田集输管道施工规范》（GB50819-2013）以及有关国家及行业标准执行。</w:t>
      </w:r>
    </w:p>
    <w:p w14:paraId="44C3FDFE">
      <w:pPr>
        <w:pStyle w:val="276"/>
        <w:widowControl w:val="0"/>
        <w:ind w:firstLine="480"/>
        <w:jc w:val="both"/>
        <w:rPr>
          <w:color w:val="auto"/>
        </w:rPr>
      </w:pPr>
      <w:r>
        <w:rPr>
          <w:color w:val="auto"/>
        </w:rPr>
        <w:t>管道施工作业断面见</w:t>
      </w:r>
      <w:r>
        <w:rPr>
          <w:color w:val="auto"/>
        </w:rPr>
        <w:fldChar w:fldCharType="begin"/>
      </w:r>
      <w:r>
        <w:rPr>
          <w:color w:val="auto"/>
        </w:rPr>
        <w:instrText xml:space="preserve"> REF _Ref211959351 \h  \* MERGEFORMAT </w:instrText>
      </w:r>
      <w:r>
        <w:rPr>
          <w:color w:val="auto"/>
        </w:rPr>
        <w:fldChar w:fldCharType="separate"/>
      </w:r>
      <w:r>
        <w:rPr>
          <w:rFonts w:hint="eastAsia"/>
          <w:color w:val="auto"/>
        </w:rPr>
        <w:t>图</w:t>
      </w:r>
      <w:r>
        <w:rPr>
          <w:color w:val="auto"/>
        </w:rPr>
        <w:t xml:space="preserve"> 3.8</w:t>
      </w:r>
      <w:r>
        <w:rPr>
          <w:color w:val="auto"/>
        </w:rPr>
        <w:noBreakHyphen/>
      </w:r>
      <w:r>
        <w:rPr>
          <w:color w:val="auto"/>
        </w:rPr>
        <w:t>2</w:t>
      </w:r>
      <w:r>
        <w:rPr>
          <w:color w:val="auto"/>
        </w:rPr>
        <w:fldChar w:fldCharType="end"/>
      </w:r>
      <w:r>
        <w:rPr>
          <w:color w:val="auto"/>
        </w:rPr>
        <w:t>，管道开挖施工平面布置示意图见图3.8-3。</w:t>
      </w:r>
    </w:p>
    <w:p w14:paraId="2DF3CB2C">
      <w:pPr>
        <w:autoSpaceDE w:val="0"/>
        <w:autoSpaceDN w:val="0"/>
        <w:jc w:val="center"/>
        <w:rPr>
          <w:rFonts w:ascii="宋体" w:hAnsi="宋体" w:eastAsia="宋体" w:cs="Times New Roman"/>
          <w:color w:val="auto"/>
        </w:rPr>
      </w:pPr>
      <w:r>
        <w:rPr>
          <w:rFonts w:ascii="宋体" w:hAnsi="宋体" w:eastAsia="宋体" w:cs="Times New Roman"/>
          <w:color w:val="auto"/>
        </w:rPr>
        <w:drawing>
          <wp:inline distT="0" distB="0" distL="0" distR="0">
            <wp:extent cx="4319270" cy="3384550"/>
            <wp:effectExtent l="0" t="0" r="5080" b="6350"/>
            <wp:docPr id="50523518" name="图片 5052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18" name="图片 50523518"/>
                    <pic:cNvPicPr>
                      <a:picLocks noChangeAspect="1"/>
                    </pic:cNvPicPr>
                  </pic:nvPicPr>
                  <pic:blipFill>
                    <a:blip r:embed="rId38"/>
                    <a:stretch>
                      <a:fillRect/>
                    </a:stretch>
                  </pic:blipFill>
                  <pic:spPr>
                    <a:xfrm>
                      <a:off x="0" y="0"/>
                      <a:ext cx="4374453" cy="3384550"/>
                    </a:xfrm>
                    <a:prstGeom prst="rect">
                      <a:avLst/>
                    </a:prstGeom>
                  </pic:spPr>
                </pic:pic>
              </a:graphicData>
            </a:graphic>
          </wp:inline>
        </w:drawing>
      </w:r>
    </w:p>
    <w:p w14:paraId="71271E00">
      <w:pPr>
        <w:pStyle w:val="22"/>
        <w:spacing w:before="156"/>
        <w:rPr>
          <w:rFonts w:hAnsi="宋体" w:cs="Times New Roman"/>
          <w:color w:val="auto"/>
        </w:rPr>
      </w:pPr>
      <w:bookmarkStart w:id="790" w:name="_Ref211959265"/>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3.8</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bookmarkEnd w:id="790"/>
      <w:r>
        <w:rPr>
          <w:rFonts w:hAnsi="宋体" w:cs="Times New Roman"/>
          <w:color w:val="auto"/>
        </w:rPr>
        <w:t xml:space="preserve">  管道施工建设过程</w:t>
      </w:r>
    </w:p>
    <w:p w14:paraId="6FC6C587">
      <w:pPr>
        <w:autoSpaceDE w:val="0"/>
        <w:autoSpaceDN w:val="0"/>
        <w:jc w:val="center"/>
        <w:rPr>
          <w:rFonts w:hint="eastAsia" w:ascii="宋体" w:hAnsi="宋体" w:eastAsia="宋体" w:cs="Times New Roman"/>
          <w:color w:val="auto"/>
        </w:rPr>
      </w:pPr>
    </w:p>
    <w:p w14:paraId="19A03BAB">
      <w:pPr>
        <w:autoSpaceDE w:val="0"/>
        <w:autoSpaceDN w:val="0"/>
        <w:jc w:val="center"/>
        <w:rPr>
          <w:rFonts w:ascii="宋体" w:hAnsi="宋体" w:eastAsia="宋体" w:cs="Times New Roman"/>
          <w:color w:val="auto"/>
        </w:rPr>
      </w:pPr>
      <w:r>
        <w:rPr>
          <w:rFonts w:hAnsi="宋体" w:cs="Times New Roman"/>
          <w:color w:val="auto"/>
        </w:rPr>
        <w:drawing>
          <wp:inline distT="0" distB="0" distL="0" distR="0">
            <wp:extent cx="5417185" cy="1557655"/>
            <wp:effectExtent l="0" t="0" r="12065" b="4445"/>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noChangeArrowheads="1"/>
                    </pic:cNvPicPr>
                  </pic:nvPicPr>
                  <pic:blipFill>
                    <a:blip r:embed="rId39"/>
                    <a:srcRect/>
                    <a:stretch>
                      <a:fillRect/>
                    </a:stretch>
                  </pic:blipFill>
                  <pic:spPr>
                    <a:xfrm>
                      <a:off x="0" y="0"/>
                      <a:ext cx="5417185" cy="1557655"/>
                    </a:xfrm>
                    <a:prstGeom prst="rect">
                      <a:avLst/>
                    </a:prstGeom>
                    <a:noFill/>
                    <a:ln>
                      <a:noFill/>
                    </a:ln>
                  </pic:spPr>
                </pic:pic>
              </a:graphicData>
            </a:graphic>
          </wp:inline>
        </w:drawing>
      </w:r>
    </w:p>
    <w:p w14:paraId="382CCDC0">
      <w:pPr>
        <w:pStyle w:val="22"/>
        <w:spacing w:before="156"/>
        <w:rPr>
          <w:rFonts w:hAnsi="宋体" w:cs="Times New Roman"/>
          <w:color w:val="auto"/>
        </w:rPr>
      </w:pPr>
      <w:bookmarkStart w:id="791" w:name="_Ref211959351"/>
      <w:r>
        <w:rPr>
          <w:rFonts w:hint="eastAsia" w:hAnsi="宋体" w:cs="Times New Roman"/>
          <w:color w:val="auto"/>
        </w:rPr>
        <w:t>图</w:t>
      </w:r>
      <w:r>
        <w:rPr>
          <w:rFonts w:hAnsi="宋体" w:cs="Times New Roman"/>
          <w:color w:val="auto"/>
        </w:rPr>
        <w:t xml:space="preserve"> </w:t>
      </w:r>
      <w:r>
        <w:rPr>
          <w:rFonts w:hAnsi="宋体" w:cs="Times New Roman"/>
          <w:color w:val="auto"/>
        </w:rPr>
        <w:fldChar w:fldCharType="begin"/>
      </w:r>
      <w:r>
        <w:rPr>
          <w:rFonts w:hAnsi="宋体" w:cs="Times New Roman"/>
          <w:color w:val="auto"/>
        </w:rPr>
        <w:instrText xml:space="preserve"> STYLEREF 2 \s </w:instrText>
      </w:r>
      <w:r>
        <w:rPr>
          <w:rFonts w:hAnsi="宋体" w:cs="Times New Roman"/>
          <w:color w:val="auto"/>
        </w:rPr>
        <w:fldChar w:fldCharType="separate"/>
      </w:r>
      <w:r>
        <w:rPr>
          <w:rFonts w:hAnsi="宋体" w:cs="Times New Roman"/>
          <w:color w:val="auto"/>
        </w:rPr>
        <w:t>3.8</w:t>
      </w:r>
      <w:r>
        <w:rPr>
          <w:rFonts w:hAnsi="宋体" w:cs="Times New Roman"/>
          <w:color w:val="auto"/>
        </w:rPr>
        <w:fldChar w:fldCharType="end"/>
      </w:r>
      <w:r>
        <w:rPr>
          <w:rFonts w:hAnsi="宋体" w:cs="Times New Roman"/>
          <w:color w:val="auto"/>
        </w:rPr>
        <w:noBreakHyphen/>
      </w:r>
      <w:r>
        <w:rPr>
          <w:rFonts w:hAnsi="宋体" w:cs="Times New Roman"/>
          <w:color w:val="auto"/>
        </w:rPr>
        <w:fldChar w:fldCharType="begin"/>
      </w:r>
      <w:r>
        <w:rPr>
          <w:rFonts w:hAnsi="宋体" w:cs="Times New Roman"/>
          <w:color w:val="auto"/>
        </w:rPr>
        <w:instrText xml:space="preserve"> SEQ 图 \* ARABIC \s 2 </w:instrText>
      </w:r>
      <w:r>
        <w:rPr>
          <w:rFonts w:hAnsi="宋体" w:cs="Times New Roman"/>
          <w:color w:val="auto"/>
        </w:rPr>
        <w:fldChar w:fldCharType="separate"/>
      </w:r>
      <w:r>
        <w:rPr>
          <w:rFonts w:hAnsi="宋体" w:cs="Times New Roman"/>
          <w:color w:val="auto"/>
        </w:rPr>
        <w:t>2</w:t>
      </w:r>
      <w:r>
        <w:rPr>
          <w:rFonts w:hAnsi="宋体" w:cs="Times New Roman"/>
          <w:color w:val="auto"/>
        </w:rPr>
        <w:fldChar w:fldCharType="end"/>
      </w:r>
      <w:bookmarkEnd w:id="791"/>
      <w:r>
        <w:rPr>
          <w:rFonts w:hAnsi="宋体" w:cs="Times New Roman"/>
          <w:color w:val="auto"/>
        </w:rPr>
        <w:t xml:space="preserve"> 管道施工作业断面图</w:t>
      </w:r>
    </w:p>
    <w:p w14:paraId="0CC089E5">
      <w:pPr>
        <w:rPr>
          <w:color w:val="auto"/>
        </w:rPr>
      </w:pPr>
    </w:p>
    <w:p w14:paraId="28395BD5">
      <w:pPr>
        <w:jc w:val="center"/>
        <w:rPr>
          <w:rFonts w:hint="eastAsia"/>
          <w:color w:val="auto"/>
        </w:rPr>
      </w:pPr>
      <w:r>
        <w:rPr>
          <w:rFonts w:ascii="宋体" w:hAnsi="宋体" w:eastAsia="宋体"/>
          <w:smallCaps/>
          <w:color w:val="auto"/>
        </w:rPr>
        <w:drawing>
          <wp:inline distT="0" distB="0" distL="0" distR="0">
            <wp:extent cx="4916170" cy="1936115"/>
            <wp:effectExtent l="0" t="0" r="17780" b="6985"/>
            <wp:docPr id="840"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40"/>
                    <pic:cNvPicPr>
                      <a:picLocks noChangeAspect="1"/>
                    </pic:cNvPicPr>
                  </pic:nvPicPr>
                  <pic:blipFill>
                    <a:blip r:embed="rId40"/>
                    <a:stretch>
                      <a:fillRect/>
                    </a:stretch>
                  </pic:blipFill>
                  <pic:spPr>
                    <a:xfrm>
                      <a:off x="0" y="0"/>
                      <a:ext cx="4916170" cy="1936115"/>
                    </a:xfrm>
                    <a:prstGeom prst="rect">
                      <a:avLst/>
                    </a:prstGeom>
                  </pic:spPr>
                </pic:pic>
              </a:graphicData>
            </a:graphic>
          </wp:inline>
        </w:drawing>
      </w:r>
    </w:p>
    <w:p w14:paraId="45C468A9">
      <w:pPr>
        <w:pStyle w:val="22"/>
        <w:spacing w:before="156"/>
        <w:rPr>
          <w:rFonts w:hAnsi="宋体" w:cs="Times New Roman"/>
          <w:color w:val="auto"/>
        </w:rPr>
      </w:pPr>
      <w:r>
        <w:rPr>
          <w:rFonts w:hint="eastAsia" w:hAnsi="宋体" w:cs="Times New Roman"/>
          <w:color w:val="auto"/>
        </w:rPr>
        <w:t xml:space="preserve">图 </w:t>
      </w:r>
      <w:r>
        <w:rPr>
          <w:rFonts w:hAnsi="宋体" w:cs="Times New Roman"/>
          <w:color w:val="auto"/>
        </w:rPr>
        <w:fldChar w:fldCharType="begin"/>
      </w:r>
      <w:r>
        <w:rPr>
          <w:rFonts w:hAnsi="宋体" w:cs="Times New Roman"/>
          <w:color w:val="auto"/>
        </w:rPr>
        <w:instrText xml:space="preserve"> </w:instrText>
      </w:r>
      <w:r>
        <w:rPr>
          <w:rFonts w:hint="eastAsia" w:hAnsi="宋体" w:cs="Times New Roman"/>
          <w:color w:val="auto"/>
        </w:rPr>
        <w:instrText xml:space="preserve">STYLEREF 2 \s</w:instrText>
      </w:r>
      <w:r>
        <w:rPr>
          <w:rFonts w:hAnsi="宋体" w:cs="Times New Roman"/>
          <w:color w:val="auto"/>
        </w:rPr>
        <w:instrText xml:space="preserve"> </w:instrText>
      </w:r>
      <w:r>
        <w:rPr>
          <w:rFonts w:hAnsi="宋体" w:cs="Times New Roman"/>
          <w:color w:val="auto"/>
        </w:rPr>
        <w:fldChar w:fldCharType="separate"/>
      </w:r>
      <w:r>
        <w:rPr>
          <w:rFonts w:hAnsi="宋体" w:cs="Times New Roman"/>
          <w:color w:val="auto"/>
        </w:rPr>
        <w:t>3.8</w:t>
      </w:r>
      <w:r>
        <w:rPr>
          <w:rFonts w:hAnsi="宋体" w:cs="Times New Roman"/>
          <w:color w:val="auto"/>
        </w:rPr>
        <w:fldChar w:fldCharType="end"/>
      </w:r>
      <w:r>
        <w:rPr>
          <w:rFonts w:hAnsi="宋体" w:cs="Times New Roman"/>
          <w:color w:val="auto"/>
        </w:rPr>
        <w:noBreakHyphen/>
      </w:r>
      <w:r>
        <w:rPr>
          <w:rFonts w:hAnsi="宋体" w:cs="Times New Roman"/>
          <w:color w:val="auto"/>
        </w:rPr>
        <w:fldChar w:fldCharType="begin"/>
      </w:r>
      <w:r>
        <w:rPr>
          <w:rFonts w:hAnsi="宋体" w:cs="Times New Roman"/>
          <w:color w:val="auto"/>
        </w:rPr>
        <w:instrText xml:space="preserve"> </w:instrText>
      </w:r>
      <w:r>
        <w:rPr>
          <w:rFonts w:hint="eastAsia" w:hAnsi="宋体" w:cs="Times New Roman"/>
          <w:color w:val="auto"/>
        </w:rPr>
        <w:instrText xml:space="preserve">SEQ 图 \* ARABIC \s 2</w:instrText>
      </w:r>
      <w:r>
        <w:rPr>
          <w:rFonts w:hAnsi="宋体" w:cs="Times New Roman"/>
          <w:color w:val="auto"/>
        </w:rPr>
        <w:instrText xml:space="preserve"> </w:instrText>
      </w:r>
      <w:r>
        <w:rPr>
          <w:rFonts w:hAnsi="宋体" w:cs="Times New Roman"/>
          <w:color w:val="auto"/>
        </w:rPr>
        <w:fldChar w:fldCharType="separate"/>
      </w:r>
      <w:r>
        <w:rPr>
          <w:rFonts w:hAnsi="宋体" w:cs="Times New Roman"/>
          <w:color w:val="auto"/>
        </w:rPr>
        <w:t>3</w:t>
      </w:r>
      <w:r>
        <w:rPr>
          <w:rFonts w:hAnsi="宋体" w:cs="Times New Roman"/>
          <w:color w:val="auto"/>
        </w:rPr>
        <w:fldChar w:fldCharType="end"/>
      </w:r>
      <w:r>
        <w:rPr>
          <w:rFonts w:hAnsi="宋体" w:cs="Times New Roman"/>
          <w:color w:val="auto"/>
        </w:rPr>
        <w:t>管道开挖施工平面布置示意图</w:t>
      </w:r>
    </w:p>
    <w:p w14:paraId="1AEFF5E9">
      <w:pPr>
        <w:pStyle w:val="6"/>
        <w:rPr>
          <w:color w:val="auto"/>
        </w:rPr>
      </w:pPr>
      <w:bookmarkStart w:id="792" w:name="_Toc83209481"/>
      <w:bookmarkStart w:id="793" w:name="_Toc76976251"/>
      <w:bookmarkStart w:id="794" w:name="_Toc67860139"/>
      <w:bookmarkStart w:id="795" w:name="_Toc127192347"/>
      <w:bookmarkStart w:id="796" w:name="_Toc70050186"/>
      <w:bookmarkStart w:id="797" w:name="_Toc131167298"/>
      <w:bookmarkStart w:id="798" w:name="_Toc85640761"/>
      <w:bookmarkStart w:id="799" w:name="_Toc80588264"/>
      <w:bookmarkStart w:id="800" w:name="_Toc84929237"/>
      <w:bookmarkStart w:id="801" w:name="_Toc86141940"/>
      <w:bookmarkStart w:id="802" w:name="_Toc143099583"/>
      <w:bookmarkStart w:id="803" w:name="_Toc77067667"/>
      <w:bookmarkStart w:id="804" w:name="_Toc78816469"/>
      <w:bookmarkStart w:id="805" w:name="_Toc126863398"/>
      <w:bookmarkStart w:id="806" w:name="_Toc80971386"/>
      <w:r>
        <w:rPr>
          <w:color w:val="auto"/>
        </w:rPr>
        <w:t>道路施工</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02B9AF4F">
      <w:pPr>
        <w:pStyle w:val="276"/>
        <w:widowControl w:val="0"/>
        <w:ind w:firstLine="480"/>
        <w:jc w:val="both"/>
        <w:rPr>
          <w:color w:val="auto"/>
        </w:rPr>
      </w:pPr>
      <w:r>
        <w:rPr>
          <w:color w:val="auto"/>
        </w:rPr>
        <w:t>本项目道路施工包括新建通井砂石路。</w:t>
      </w:r>
    </w:p>
    <w:p w14:paraId="28871E00">
      <w:pPr>
        <w:pStyle w:val="276"/>
        <w:widowControl w:val="0"/>
        <w:ind w:firstLine="480"/>
        <w:jc w:val="both"/>
        <w:rPr>
          <w:color w:val="auto"/>
        </w:rPr>
      </w:pPr>
      <w:r>
        <w:rPr>
          <w:color w:val="auto"/>
        </w:rPr>
        <w:t>新建4.5m宽砂石路，首先对线路进行清理平整，基础压实，然后铺垫碎石和砂土磨耗层，压实投用。建设过程示意图见下</w:t>
      </w:r>
      <w:r>
        <w:rPr>
          <w:color w:val="auto"/>
        </w:rPr>
        <w:fldChar w:fldCharType="begin"/>
      </w:r>
      <w:r>
        <w:rPr>
          <w:color w:val="auto"/>
        </w:rPr>
        <w:instrText xml:space="preserve"> REF _Ref211959364 \h  \* MERGEFORMAT </w:instrText>
      </w:r>
      <w:r>
        <w:rPr>
          <w:color w:val="auto"/>
        </w:rPr>
        <w:fldChar w:fldCharType="separate"/>
      </w:r>
      <w:r>
        <w:rPr>
          <w:rFonts w:hint="eastAsia"/>
          <w:color w:val="auto"/>
        </w:rPr>
        <w:t xml:space="preserve">图 </w:t>
      </w:r>
      <w:r>
        <w:rPr>
          <w:color w:val="auto"/>
        </w:rPr>
        <w:t>3.8</w:t>
      </w:r>
      <w:r>
        <w:rPr>
          <w:color w:val="auto"/>
        </w:rPr>
        <w:noBreakHyphen/>
      </w:r>
      <w:r>
        <w:rPr>
          <w:color w:val="auto"/>
        </w:rPr>
        <w:t>4</w:t>
      </w:r>
      <w:r>
        <w:rPr>
          <w:color w:val="auto"/>
        </w:rPr>
        <w:fldChar w:fldCharType="end"/>
      </w:r>
      <w:r>
        <w:rPr>
          <w:color w:val="auto"/>
        </w:rPr>
        <w:t>。</w:t>
      </w:r>
    </w:p>
    <w:p w14:paraId="6296B799">
      <w:pPr>
        <w:autoSpaceDE w:val="0"/>
        <w:autoSpaceDN w:val="0"/>
        <w:jc w:val="center"/>
        <w:rPr>
          <w:rFonts w:ascii="宋体" w:hAnsi="宋体" w:eastAsia="宋体" w:cs="Times New Roman"/>
          <w:color w:val="auto"/>
        </w:rPr>
      </w:pPr>
      <w:r>
        <w:rPr>
          <w:rFonts w:ascii="宋体" w:hAnsi="宋体" w:eastAsia="宋体" w:cs="Times New Roman"/>
          <w:color w:val="auto"/>
        </w:rPr>
        <w:drawing>
          <wp:inline distT="0" distB="0" distL="0" distR="0">
            <wp:extent cx="4772025" cy="831215"/>
            <wp:effectExtent l="0" t="0" r="9525" b="6985"/>
            <wp:docPr id="13044777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70" name="图片 28"/>
                    <pic:cNvPicPr>
                      <a:picLocks noChangeAspect="1"/>
                    </pic:cNvPicPr>
                  </pic:nvPicPr>
                  <pic:blipFill>
                    <a:blip r:embed="rId41"/>
                    <a:stretch>
                      <a:fillRect/>
                    </a:stretch>
                  </pic:blipFill>
                  <pic:spPr>
                    <a:xfrm>
                      <a:off x="0" y="0"/>
                      <a:ext cx="4772025" cy="849375"/>
                    </a:xfrm>
                    <a:prstGeom prst="rect">
                      <a:avLst/>
                    </a:prstGeom>
                  </pic:spPr>
                </pic:pic>
              </a:graphicData>
            </a:graphic>
          </wp:inline>
        </w:drawing>
      </w:r>
    </w:p>
    <w:p w14:paraId="4B0E5201">
      <w:pPr>
        <w:pStyle w:val="22"/>
        <w:spacing w:before="156"/>
        <w:rPr>
          <w:rFonts w:hAnsi="宋体" w:cs="Times New Roman"/>
          <w:color w:val="auto"/>
        </w:rPr>
      </w:pPr>
      <w:bookmarkStart w:id="807" w:name="_Ref211959364"/>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3.8</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4</w:t>
      </w:r>
      <w:r>
        <w:rPr>
          <w:color w:val="auto"/>
        </w:rPr>
        <w:fldChar w:fldCharType="end"/>
      </w:r>
      <w:bookmarkEnd w:id="807"/>
      <w:r>
        <w:rPr>
          <w:rFonts w:hAnsi="宋体" w:cs="Times New Roman"/>
          <w:color w:val="auto"/>
        </w:rPr>
        <w:t>道路施工建设过程</w:t>
      </w:r>
    </w:p>
    <w:p w14:paraId="7F6CE001">
      <w:pPr>
        <w:pStyle w:val="6"/>
        <w:rPr>
          <w:color w:val="auto"/>
        </w:rPr>
      </w:pPr>
      <w:bookmarkStart w:id="808" w:name="_Toc78816470"/>
      <w:bookmarkStart w:id="809" w:name="_Toc77067668"/>
      <w:bookmarkStart w:id="810" w:name="_Toc85640762"/>
      <w:bookmarkStart w:id="811" w:name="_Toc143099584"/>
      <w:bookmarkStart w:id="812" w:name="_Toc76976252"/>
      <w:bookmarkStart w:id="813" w:name="_Toc67860140"/>
      <w:bookmarkStart w:id="814" w:name="_Toc80588265"/>
      <w:bookmarkStart w:id="815" w:name="_Toc70050187"/>
      <w:bookmarkStart w:id="816" w:name="_Toc86141941"/>
      <w:bookmarkStart w:id="817" w:name="_Toc84929238"/>
      <w:bookmarkStart w:id="818" w:name="_Toc80971387"/>
      <w:bookmarkStart w:id="819" w:name="_Toc83209482"/>
      <w:bookmarkStart w:id="820" w:name="_Toc131167299"/>
      <w:bookmarkStart w:id="821" w:name="_Toc127192348"/>
      <w:bookmarkStart w:id="822" w:name="_Toc126863399"/>
      <w:r>
        <w:rPr>
          <w:color w:val="auto"/>
        </w:rPr>
        <w:t>典型井场施工</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0EDA78EF">
      <w:pPr>
        <w:pStyle w:val="276"/>
        <w:widowControl w:val="0"/>
        <w:ind w:firstLine="480"/>
        <w:jc w:val="both"/>
        <w:rPr>
          <w:color w:val="auto"/>
        </w:rPr>
      </w:pPr>
      <w:r>
        <w:rPr>
          <w:color w:val="auto"/>
        </w:rPr>
        <w:t>首先进行井台平整，井场垫高依据所在地区地势，地类及区域排水情况确定，井场垫高约0.3m；平整井台后安装抽油机、采油树及电机，主要施工工序有紧固、平衡等。</w:t>
      </w:r>
    </w:p>
    <w:p w14:paraId="6E5E11F5">
      <w:pPr>
        <w:pStyle w:val="276"/>
        <w:widowControl w:val="0"/>
        <w:ind w:firstLine="480"/>
        <w:jc w:val="both"/>
        <w:rPr>
          <w:color w:val="auto"/>
        </w:rPr>
      </w:pPr>
      <w:r>
        <w:rPr>
          <w:color w:val="auto"/>
        </w:rPr>
        <w:t>耕地平台井场施工方案：确定井场施工临时占地范围后，清理0.3m耕作层表土暂存至临时堆放区，施工场地平整，钻机等施工设备进场安装，钻井施工结束后主要是抽油机、采油树及电机等设备运输和安装，所有施工活动全部在井场临时和永久占地内进行。</w:t>
      </w:r>
    </w:p>
    <w:p w14:paraId="2C73B520">
      <w:pPr>
        <w:pStyle w:val="5"/>
        <w:rPr>
          <w:bCs w:val="0"/>
          <w:snapToGrid w:val="0"/>
          <w:color w:val="auto"/>
        </w:rPr>
      </w:pPr>
      <w:bookmarkStart w:id="823" w:name="_Toc535"/>
      <w:bookmarkStart w:id="824" w:name="_Toc74812330"/>
      <w:bookmarkStart w:id="825" w:name="_Toc212033019"/>
      <w:r>
        <w:rPr>
          <w:bCs w:val="0"/>
          <w:snapToGrid w:val="0"/>
          <w:color w:val="auto"/>
        </w:rPr>
        <w:t>设备及物料</w:t>
      </w:r>
      <w:r>
        <w:rPr>
          <w:bCs w:val="0"/>
          <w:color w:val="auto"/>
        </w:rPr>
        <w:t>消耗</w:t>
      </w:r>
      <w:bookmarkEnd w:id="823"/>
      <w:bookmarkEnd w:id="824"/>
      <w:bookmarkEnd w:id="825"/>
    </w:p>
    <w:p w14:paraId="6DF84BA3">
      <w:pPr>
        <w:pStyle w:val="6"/>
        <w:rPr>
          <w:color w:val="auto"/>
        </w:rPr>
      </w:pPr>
      <w:r>
        <w:rPr>
          <w:color w:val="auto"/>
        </w:rPr>
        <w:t>设备</w:t>
      </w:r>
    </w:p>
    <w:p w14:paraId="697AA333">
      <w:pPr>
        <w:pStyle w:val="276"/>
        <w:widowControl w:val="0"/>
        <w:ind w:firstLine="480"/>
        <w:jc w:val="both"/>
        <w:rPr>
          <w:color w:val="auto"/>
          <w:kern w:val="21"/>
        </w:rPr>
      </w:pPr>
      <w:r>
        <w:rPr>
          <w:color w:val="auto"/>
          <w:kern w:val="21"/>
        </w:rPr>
        <w:t>本项目施工及运营期主要设备见</w:t>
      </w:r>
      <w:r>
        <w:rPr>
          <w:color w:val="auto"/>
          <w:kern w:val="21"/>
        </w:rPr>
        <w:fldChar w:fldCharType="begin"/>
      </w:r>
      <w:r>
        <w:rPr>
          <w:color w:val="auto"/>
          <w:kern w:val="21"/>
        </w:rPr>
        <w:instrText xml:space="preserve"> REF _Ref211959400 \h  \* MERGEFORMAT </w:instrText>
      </w:r>
      <w:r>
        <w:rPr>
          <w:color w:val="auto"/>
          <w:kern w:val="21"/>
        </w:rPr>
        <w:fldChar w:fldCharType="separate"/>
      </w:r>
      <w:r>
        <w:rPr>
          <w:color w:val="auto"/>
        </w:rPr>
        <w:t>表 3.9</w:t>
      </w:r>
      <w:r>
        <w:rPr>
          <w:color w:val="auto"/>
        </w:rPr>
        <w:noBreakHyphen/>
      </w:r>
      <w:r>
        <w:rPr>
          <w:color w:val="auto"/>
        </w:rPr>
        <w:t>1</w:t>
      </w:r>
      <w:r>
        <w:rPr>
          <w:color w:val="auto"/>
          <w:kern w:val="21"/>
        </w:rPr>
        <w:fldChar w:fldCharType="end"/>
      </w:r>
      <w:r>
        <w:rPr>
          <w:color w:val="auto"/>
          <w:kern w:val="21"/>
        </w:rPr>
        <w:t>。</w:t>
      </w:r>
    </w:p>
    <w:p w14:paraId="20D3C674">
      <w:pPr>
        <w:pStyle w:val="22"/>
        <w:spacing w:before="156"/>
        <w:rPr>
          <w:color w:val="auto"/>
        </w:rPr>
      </w:pPr>
      <w:bookmarkStart w:id="826" w:name="_Ref211959400"/>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3.9</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826"/>
      <w:r>
        <w:rPr>
          <w:rFonts w:hAnsi="宋体" w:cs="Times New Roman"/>
          <w:color w:val="auto"/>
        </w:rPr>
        <w:t>本项目施工及运营期主要设备表</w:t>
      </w:r>
    </w:p>
    <w:tbl>
      <w:tblPr>
        <w:tblStyle w:val="81"/>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1"/>
        <w:gridCol w:w="1107"/>
        <w:gridCol w:w="2626"/>
        <w:gridCol w:w="2125"/>
        <w:gridCol w:w="2261"/>
      </w:tblGrid>
      <w:tr w14:paraId="27799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77710B55">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序号</w:t>
            </w:r>
          </w:p>
        </w:tc>
        <w:tc>
          <w:tcPr>
            <w:tcW w:w="1107" w:type="dxa"/>
            <w:vAlign w:val="center"/>
          </w:tcPr>
          <w:p w14:paraId="46CCA8C0">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时期</w:t>
            </w:r>
          </w:p>
        </w:tc>
        <w:tc>
          <w:tcPr>
            <w:tcW w:w="2626" w:type="dxa"/>
            <w:vAlign w:val="center"/>
          </w:tcPr>
          <w:p w14:paraId="3472A4BE">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设备</w:t>
            </w:r>
          </w:p>
        </w:tc>
        <w:tc>
          <w:tcPr>
            <w:tcW w:w="2125" w:type="dxa"/>
            <w:vAlign w:val="center"/>
          </w:tcPr>
          <w:p w14:paraId="2D26E271">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数量</w:t>
            </w:r>
          </w:p>
        </w:tc>
        <w:tc>
          <w:tcPr>
            <w:tcW w:w="2261" w:type="dxa"/>
            <w:vAlign w:val="center"/>
          </w:tcPr>
          <w:p w14:paraId="47C9E596">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单位</w:t>
            </w:r>
          </w:p>
        </w:tc>
      </w:tr>
      <w:tr w14:paraId="0EB87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7DDCE9F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1107" w:type="dxa"/>
            <w:vMerge w:val="restart"/>
            <w:vAlign w:val="center"/>
          </w:tcPr>
          <w:p w14:paraId="1F08115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施工期</w:t>
            </w:r>
          </w:p>
        </w:tc>
        <w:tc>
          <w:tcPr>
            <w:tcW w:w="2626" w:type="dxa"/>
            <w:vAlign w:val="center"/>
          </w:tcPr>
          <w:p w14:paraId="138E902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柴油发电机</w:t>
            </w:r>
          </w:p>
        </w:tc>
        <w:tc>
          <w:tcPr>
            <w:tcW w:w="2125" w:type="dxa"/>
            <w:vAlign w:val="center"/>
          </w:tcPr>
          <w:p w14:paraId="5F3BDAB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261" w:type="dxa"/>
            <w:vAlign w:val="center"/>
          </w:tcPr>
          <w:p w14:paraId="1642761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2FAF1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55C7268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107" w:type="dxa"/>
            <w:vMerge w:val="continue"/>
            <w:vAlign w:val="center"/>
          </w:tcPr>
          <w:p w14:paraId="541E3F1E">
            <w:pPr>
              <w:adjustRightInd w:val="0"/>
              <w:snapToGrid w:val="0"/>
              <w:spacing w:line="360" w:lineRule="exact"/>
              <w:jc w:val="center"/>
              <w:rPr>
                <w:rFonts w:ascii="宋体" w:hAnsi="宋体" w:eastAsia="宋体" w:cs="Times New Roman"/>
                <w:color w:val="auto"/>
              </w:rPr>
            </w:pPr>
          </w:p>
        </w:tc>
        <w:tc>
          <w:tcPr>
            <w:tcW w:w="2626" w:type="dxa"/>
            <w:vAlign w:val="center"/>
          </w:tcPr>
          <w:p w14:paraId="27684A93">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挖掘机</w:t>
            </w:r>
          </w:p>
        </w:tc>
        <w:tc>
          <w:tcPr>
            <w:tcW w:w="2125" w:type="dxa"/>
            <w:vAlign w:val="center"/>
          </w:tcPr>
          <w:p w14:paraId="6701B9B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2261" w:type="dxa"/>
            <w:vAlign w:val="center"/>
          </w:tcPr>
          <w:p w14:paraId="483EE39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6DA14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6AFCB20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1107" w:type="dxa"/>
            <w:vMerge w:val="continue"/>
            <w:vAlign w:val="center"/>
          </w:tcPr>
          <w:p w14:paraId="7B47CE73">
            <w:pPr>
              <w:adjustRightInd w:val="0"/>
              <w:snapToGrid w:val="0"/>
              <w:spacing w:line="360" w:lineRule="exact"/>
              <w:jc w:val="center"/>
              <w:rPr>
                <w:rFonts w:ascii="宋体" w:hAnsi="宋体" w:eastAsia="宋体" w:cs="Times New Roman"/>
                <w:color w:val="auto"/>
              </w:rPr>
            </w:pPr>
          </w:p>
        </w:tc>
        <w:tc>
          <w:tcPr>
            <w:tcW w:w="2626" w:type="dxa"/>
            <w:vAlign w:val="center"/>
          </w:tcPr>
          <w:p w14:paraId="0CC80C4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推土机</w:t>
            </w:r>
          </w:p>
        </w:tc>
        <w:tc>
          <w:tcPr>
            <w:tcW w:w="2125" w:type="dxa"/>
            <w:vAlign w:val="center"/>
          </w:tcPr>
          <w:p w14:paraId="718C25C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2261" w:type="dxa"/>
            <w:vAlign w:val="center"/>
          </w:tcPr>
          <w:p w14:paraId="28916A2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2E995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5F59198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1107" w:type="dxa"/>
            <w:vMerge w:val="continue"/>
            <w:vAlign w:val="center"/>
          </w:tcPr>
          <w:p w14:paraId="7834BCC9">
            <w:pPr>
              <w:adjustRightInd w:val="0"/>
              <w:snapToGrid w:val="0"/>
              <w:spacing w:line="360" w:lineRule="exact"/>
              <w:jc w:val="center"/>
              <w:rPr>
                <w:rFonts w:ascii="宋体" w:hAnsi="宋体" w:eastAsia="宋体" w:cs="Times New Roman"/>
                <w:color w:val="auto"/>
              </w:rPr>
            </w:pPr>
          </w:p>
        </w:tc>
        <w:tc>
          <w:tcPr>
            <w:tcW w:w="2626" w:type="dxa"/>
            <w:vAlign w:val="center"/>
          </w:tcPr>
          <w:p w14:paraId="1A3B5113">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钻机</w:t>
            </w:r>
          </w:p>
        </w:tc>
        <w:tc>
          <w:tcPr>
            <w:tcW w:w="2125" w:type="dxa"/>
            <w:vAlign w:val="center"/>
          </w:tcPr>
          <w:p w14:paraId="70A208A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2261" w:type="dxa"/>
            <w:vAlign w:val="center"/>
          </w:tcPr>
          <w:p w14:paraId="1333358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403EF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4BF38B9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1107" w:type="dxa"/>
            <w:vMerge w:val="continue"/>
            <w:vAlign w:val="center"/>
          </w:tcPr>
          <w:p w14:paraId="593F60F2">
            <w:pPr>
              <w:adjustRightInd w:val="0"/>
              <w:snapToGrid w:val="0"/>
              <w:spacing w:line="360" w:lineRule="exact"/>
              <w:jc w:val="center"/>
              <w:rPr>
                <w:rFonts w:ascii="宋体" w:hAnsi="宋体" w:eastAsia="宋体" w:cs="Times New Roman"/>
                <w:color w:val="auto"/>
              </w:rPr>
            </w:pPr>
          </w:p>
        </w:tc>
        <w:tc>
          <w:tcPr>
            <w:tcW w:w="2626" w:type="dxa"/>
            <w:vAlign w:val="center"/>
          </w:tcPr>
          <w:p w14:paraId="6F77011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泥浆泵</w:t>
            </w:r>
          </w:p>
        </w:tc>
        <w:tc>
          <w:tcPr>
            <w:tcW w:w="2125" w:type="dxa"/>
            <w:vAlign w:val="center"/>
          </w:tcPr>
          <w:p w14:paraId="437300F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261" w:type="dxa"/>
            <w:vAlign w:val="center"/>
          </w:tcPr>
          <w:p w14:paraId="2DF8E39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0BA07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49BE65C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6</w:t>
            </w:r>
          </w:p>
        </w:tc>
        <w:tc>
          <w:tcPr>
            <w:tcW w:w="1107" w:type="dxa"/>
            <w:vMerge w:val="continue"/>
            <w:vAlign w:val="center"/>
          </w:tcPr>
          <w:p w14:paraId="2852AFAD">
            <w:pPr>
              <w:adjustRightInd w:val="0"/>
              <w:snapToGrid w:val="0"/>
              <w:spacing w:line="360" w:lineRule="exact"/>
              <w:jc w:val="center"/>
              <w:rPr>
                <w:rFonts w:ascii="宋体" w:hAnsi="宋体" w:eastAsia="宋体" w:cs="Times New Roman"/>
                <w:color w:val="auto"/>
              </w:rPr>
            </w:pPr>
          </w:p>
        </w:tc>
        <w:tc>
          <w:tcPr>
            <w:tcW w:w="2626" w:type="dxa"/>
            <w:vAlign w:val="center"/>
          </w:tcPr>
          <w:p w14:paraId="072A3E6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钻井泵</w:t>
            </w:r>
          </w:p>
        </w:tc>
        <w:tc>
          <w:tcPr>
            <w:tcW w:w="2125" w:type="dxa"/>
            <w:vAlign w:val="center"/>
          </w:tcPr>
          <w:p w14:paraId="7AA935A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261" w:type="dxa"/>
            <w:vAlign w:val="center"/>
          </w:tcPr>
          <w:p w14:paraId="487D57D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202AA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254DFCF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7</w:t>
            </w:r>
          </w:p>
        </w:tc>
        <w:tc>
          <w:tcPr>
            <w:tcW w:w="1107" w:type="dxa"/>
            <w:vMerge w:val="continue"/>
            <w:vAlign w:val="center"/>
          </w:tcPr>
          <w:p w14:paraId="3BED84E4">
            <w:pPr>
              <w:adjustRightInd w:val="0"/>
              <w:snapToGrid w:val="0"/>
              <w:spacing w:line="360" w:lineRule="exact"/>
              <w:jc w:val="center"/>
              <w:rPr>
                <w:rFonts w:ascii="宋体" w:hAnsi="宋体" w:eastAsia="宋体" w:cs="Times New Roman"/>
                <w:color w:val="auto"/>
              </w:rPr>
            </w:pPr>
          </w:p>
        </w:tc>
        <w:tc>
          <w:tcPr>
            <w:tcW w:w="2626" w:type="dxa"/>
            <w:vAlign w:val="center"/>
          </w:tcPr>
          <w:p w14:paraId="220FE26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振动筛</w:t>
            </w:r>
          </w:p>
        </w:tc>
        <w:tc>
          <w:tcPr>
            <w:tcW w:w="2125" w:type="dxa"/>
            <w:vAlign w:val="center"/>
          </w:tcPr>
          <w:p w14:paraId="566DD03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261" w:type="dxa"/>
            <w:vAlign w:val="center"/>
          </w:tcPr>
          <w:p w14:paraId="4DD9309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74290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1EB142B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8</w:t>
            </w:r>
          </w:p>
        </w:tc>
        <w:tc>
          <w:tcPr>
            <w:tcW w:w="1107" w:type="dxa"/>
            <w:vMerge w:val="continue"/>
            <w:vAlign w:val="center"/>
          </w:tcPr>
          <w:p w14:paraId="1159201A">
            <w:pPr>
              <w:adjustRightInd w:val="0"/>
              <w:snapToGrid w:val="0"/>
              <w:spacing w:line="360" w:lineRule="exact"/>
              <w:jc w:val="center"/>
              <w:rPr>
                <w:rFonts w:ascii="宋体" w:hAnsi="宋体" w:eastAsia="宋体" w:cs="Times New Roman"/>
                <w:color w:val="auto"/>
              </w:rPr>
            </w:pPr>
          </w:p>
        </w:tc>
        <w:tc>
          <w:tcPr>
            <w:tcW w:w="2626" w:type="dxa"/>
            <w:vAlign w:val="center"/>
          </w:tcPr>
          <w:p w14:paraId="23315313">
            <w:pPr>
              <w:spacing w:line="360" w:lineRule="exact"/>
              <w:jc w:val="center"/>
              <w:rPr>
                <w:rFonts w:ascii="宋体" w:hAnsi="宋体" w:eastAsia="宋体" w:cs="Times New Roman"/>
                <w:snapToGrid w:val="0"/>
                <w:color w:val="auto"/>
              </w:rPr>
            </w:pPr>
            <w:r>
              <w:rPr>
                <w:rFonts w:ascii="宋体" w:hAnsi="宋体" w:eastAsia="宋体" w:cs="Times New Roman"/>
                <w:color w:val="auto"/>
              </w:rPr>
              <w:t>搅拌机</w:t>
            </w:r>
          </w:p>
        </w:tc>
        <w:tc>
          <w:tcPr>
            <w:tcW w:w="2125" w:type="dxa"/>
            <w:vAlign w:val="center"/>
          </w:tcPr>
          <w:p w14:paraId="364CBA4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261" w:type="dxa"/>
            <w:vAlign w:val="center"/>
          </w:tcPr>
          <w:p w14:paraId="3892D60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28BD0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6630572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9</w:t>
            </w:r>
          </w:p>
        </w:tc>
        <w:tc>
          <w:tcPr>
            <w:tcW w:w="1107" w:type="dxa"/>
            <w:vMerge w:val="continue"/>
            <w:vAlign w:val="center"/>
          </w:tcPr>
          <w:p w14:paraId="678C2DD6">
            <w:pPr>
              <w:adjustRightInd w:val="0"/>
              <w:snapToGrid w:val="0"/>
              <w:spacing w:line="360" w:lineRule="exact"/>
              <w:jc w:val="center"/>
              <w:rPr>
                <w:rFonts w:ascii="宋体" w:hAnsi="宋体" w:eastAsia="宋体" w:cs="Times New Roman"/>
                <w:color w:val="auto"/>
              </w:rPr>
            </w:pPr>
          </w:p>
        </w:tc>
        <w:tc>
          <w:tcPr>
            <w:tcW w:w="2626" w:type="dxa"/>
            <w:vAlign w:val="center"/>
          </w:tcPr>
          <w:p w14:paraId="07C74D34">
            <w:pPr>
              <w:spacing w:line="360" w:lineRule="exact"/>
              <w:jc w:val="center"/>
              <w:rPr>
                <w:rFonts w:ascii="宋体" w:hAnsi="宋体" w:eastAsia="宋体" w:cs="Times New Roman"/>
                <w:color w:val="auto"/>
              </w:rPr>
            </w:pPr>
            <w:r>
              <w:rPr>
                <w:rFonts w:ascii="宋体" w:hAnsi="宋体" w:eastAsia="宋体" w:cs="Times New Roman"/>
                <w:color w:val="auto"/>
              </w:rPr>
              <w:t>压路机</w:t>
            </w:r>
          </w:p>
        </w:tc>
        <w:tc>
          <w:tcPr>
            <w:tcW w:w="2125" w:type="dxa"/>
            <w:vAlign w:val="center"/>
          </w:tcPr>
          <w:p w14:paraId="03E96AE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2261" w:type="dxa"/>
            <w:vAlign w:val="center"/>
          </w:tcPr>
          <w:p w14:paraId="2CB7F84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79537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75FBFEC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w:t>
            </w:r>
          </w:p>
        </w:tc>
        <w:tc>
          <w:tcPr>
            <w:tcW w:w="1107" w:type="dxa"/>
            <w:vMerge w:val="continue"/>
            <w:vAlign w:val="center"/>
          </w:tcPr>
          <w:p w14:paraId="5F69ED2F">
            <w:pPr>
              <w:adjustRightInd w:val="0"/>
              <w:snapToGrid w:val="0"/>
              <w:spacing w:line="360" w:lineRule="exact"/>
              <w:jc w:val="center"/>
              <w:rPr>
                <w:rFonts w:ascii="宋体" w:hAnsi="宋体" w:eastAsia="宋体" w:cs="Times New Roman"/>
                <w:color w:val="auto"/>
              </w:rPr>
            </w:pPr>
          </w:p>
        </w:tc>
        <w:tc>
          <w:tcPr>
            <w:tcW w:w="2626" w:type="dxa"/>
            <w:vAlign w:val="center"/>
          </w:tcPr>
          <w:p w14:paraId="7DBD1CA1">
            <w:pPr>
              <w:spacing w:line="360" w:lineRule="exact"/>
              <w:jc w:val="center"/>
              <w:rPr>
                <w:rFonts w:ascii="宋体" w:hAnsi="宋体" w:eastAsia="宋体" w:cs="Times New Roman"/>
                <w:color w:val="auto"/>
              </w:rPr>
            </w:pPr>
            <w:r>
              <w:rPr>
                <w:rFonts w:ascii="宋体" w:hAnsi="宋体" w:eastAsia="宋体" w:cs="Times New Roman"/>
                <w:color w:val="auto"/>
              </w:rPr>
              <w:t>电焊机</w:t>
            </w:r>
          </w:p>
        </w:tc>
        <w:tc>
          <w:tcPr>
            <w:tcW w:w="2125" w:type="dxa"/>
            <w:vAlign w:val="center"/>
          </w:tcPr>
          <w:p w14:paraId="5B0056A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2261" w:type="dxa"/>
            <w:vAlign w:val="center"/>
          </w:tcPr>
          <w:p w14:paraId="370942C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34CFA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11A1AE0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11</w:t>
            </w:r>
          </w:p>
        </w:tc>
        <w:tc>
          <w:tcPr>
            <w:tcW w:w="1107" w:type="dxa"/>
            <w:vMerge w:val="continue"/>
            <w:vAlign w:val="center"/>
          </w:tcPr>
          <w:p w14:paraId="029E065B">
            <w:pPr>
              <w:adjustRightInd w:val="0"/>
              <w:snapToGrid w:val="0"/>
              <w:spacing w:line="360" w:lineRule="exact"/>
              <w:jc w:val="center"/>
              <w:rPr>
                <w:rFonts w:ascii="宋体" w:hAnsi="宋体" w:eastAsia="宋体" w:cs="Times New Roman"/>
                <w:color w:val="auto"/>
              </w:rPr>
            </w:pPr>
          </w:p>
        </w:tc>
        <w:tc>
          <w:tcPr>
            <w:tcW w:w="2626" w:type="dxa"/>
            <w:vAlign w:val="center"/>
          </w:tcPr>
          <w:p w14:paraId="0366934D">
            <w:pPr>
              <w:spacing w:line="360" w:lineRule="exact"/>
              <w:jc w:val="center"/>
              <w:rPr>
                <w:rFonts w:ascii="宋体" w:hAnsi="宋体" w:eastAsia="宋体" w:cs="Times New Roman"/>
                <w:color w:val="auto"/>
              </w:rPr>
            </w:pPr>
            <w:r>
              <w:rPr>
                <w:rFonts w:ascii="宋体" w:hAnsi="宋体" w:eastAsia="宋体" w:cs="Times New Roman"/>
                <w:color w:val="auto"/>
              </w:rPr>
              <w:t>运输车辆</w:t>
            </w:r>
          </w:p>
        </w:tc>
        <w:tc>
          <w:tcPr>
            <w:tcW w:w="2125" w:type="dxa"/>
            <w:vAlign w:val="center"/>
          </w:tcPr>
          <w:p w14:paraId="112D93F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2261" w:type="dxa"/>
            <w:vAlign w:val="center"/>
          </w:tcPr>
          <w:p w14:paraId="1C9254E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41770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1E67E86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12</w:t>
            </w:r>
          </w:p>
        </w:tc>
        <w:tc>
          <w:tcPr>
            <w:tcW w:w="1107" w:type="dxa"/>
            <w:vMerge w:val="continue"/>
            <w:vAlign w:val="center"/>
          </w:tcPr>
          <w:p w14:paraId="134C31DE">
            <w:pPr>
              <w:adjustRightInd w:val="0"/>
              <w:snapToGrid w:val="0"/>
              <w:spacing w:line="360" w:lineRule="exact"/>
              <w:jc w:val="center"/>
              <w:rPr>
                <w:rFonts w:ascii="宋体" w:hAnsi="宋体" w:eastAsia="宋体" w:cs="Times New Roman"/>
                <w:color w:val="auto"/>
              </w:rPr>
            </w:pPr>
          </w:p>
        </w:tc>
        <w:tc>
          <w:tcPr>
            <w:tcW w:w="2626" w:type="dxa"/>
            <w:vAlign w:val="center"/>
          </w:tcPr>
          <w:p w14:paraId="6D21DD70">
            <w:pPr>
              <w:spacing w:line="360" w:lineRule="exact"/>
              <w:jc w:val="center"/>
              <w:rPr>
                <w:rFonts w:ascii="宋体" w:hAnsi="宋体" w:eastAsia="宋体" w:cs="Times New Roman"/>
                <w:color w:val="auto"/>
              </w:rPr>
            </w:pPr>
            <w:r>
              <w:rPr>
                <w:rFonts w:ascii="宋体" w:hAnsi="宋体" w:eastAsia="宋体" w:cs="Times New Roman"/>
                <w:color w:val="auto"/>
              </w:rPr>
              <w:t>压裂车</w:t>
            </w:r>
          </w:p>
        </w:tc>
        <w:tc>
          <w:tcPr>
            <w:tcW w:w="2125" w:type="dxa"/>
            <w:vAlign w:val="center"/>
          </w:tcPr>
          <w:p w14:paraId="4738F45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261" w:type="dxa"/>
            <w:vAlign w:val="center"/>
          </w:tcPr>
          <w:p w14:paraId="6F022CA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6A874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0F80BC0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13</w:t>
            </w:r>
          </w:p>
        </w:tc>
        <w:tc>
          <w:tcPr>
            <w:tcW w:w="1107" w:type="dxa"/>
            <w:vMerge w:val="continue"/>
            <w:vAlign w:val="center"/>
          </w:tcPr>
          <w:p w14:paraId="58BAFAD0">
            <w:pPr>
              <w:adjustRightInd w:val="0"/>
              <w:snapToGrid w:val="0"/>
              <w:spacing w:line="360" w:lineRule="exact"/>
              <w:jc w:val="center"/>
              <w:rPr>
                <w:rFonts w:ascii="宋体" w:hAnsi="宋体" w:eastAsia="宋体" w:cs="Times New Roman"/>
                <w:color w:val="auto"/>
              </w:rPr>
            </w:pPr>
          </w:p>
        </w:tc>
        <w:tc>
          <w:tcPr>
            <w:tcW w:w="2626" w:type="dxa"/>
            <w:vAlign w:val="center"/>
          </w:tcPr>
          <w:p w14:paraId="1834F154">
            <w:pPr>
              <w:spacing w:line="360" w:lineRule="exact"/>
              <w:jc w:val="center"/>
              <w:rPr>
                <w:rFonts w:ascii="宋体" w:hAnsi="宋体" w:eastAsia="宋体" w:cs="Times New Roman"/>
                <w:color w:val="auto"/>
              </w:rPr>
            </w:pPr>
            <w:r>
              <w:rPr>
                <w:rFonts w:ascii="宋体" w:hAnsi="宋体" w:eastAsia="宋体" w:cs="Times New Roman"/>
                <w:color w:val="auto"/>
              </w:rPr>
              <w:t>混砂车</w:t>
            </w:r>
          </w:p>
        </w:tc>
        <w:tc>
          <w:tcPr>
            <w:tcW w:w="2125" w:type="dxa"/>
            <w:vAlign w:val="center"/>
          </w:tcPr>
          <w:p w14:paraId="421AEF5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2261" w:type="dxa"/>
            <w:vAlign w:val="center"/>
          </w:tcPr>
          <w:p w14:paraId="1E5CD5E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02D67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63E5B07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14</w:t>
            </w:r>
          </w:p>
        </w:tc>
        <w:tc>
          <w:tcPr>
            <w:tcW w:w="1107" w:type="dxa"/>
            <w:vMerge w:val="restart"/>
            <w:vAlign w:val="center"/>
          </w:tcPr>
          <w:p w14:paraId="7DAF70F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运营期</w:t>
            </w:r>
          </w:p>
        </w:tc>
        <w:tc>
          <w:tcPr>
            <w:tcW w:w="2626" w:type="dxa"/>
            <w:vAlign w:val="center"/>
          </w:tcPr>
          <w:p w14:paraId="4E8E76B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普通抽油机</w:t>
            </w:r>
          </w:p>
        </w:tc>
        <w:tc>
          <w:tcPr>
            <w:tcW w:w="2125" w:type="dxa"/>
            <w:vAlign w:val="center"/>
          </w:tcPr>
          <w:p w14:paraId="4A6E595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261" w:type="dxa"/>
            <w:vAlign w:val="center"/>
          </w:tcPr>
          <w:p w14:paraId="06659A2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3D264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77A1056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15</w:t>
            </w:r>
          </w:p>
        </w:tc>
        <w:tc>
          <w:tcPr>
            <w:tcW w:w="1107" w:type="dxa"/>
            <w:vMerge w:val="continue"/>
            <w:vAlign w:val="center"/>
          </w:tcPr>
          <w:p w14:paraId="77596961">
            <w:pPr>
              <w:adjustRightInd w:val="0"/>
              <w:snapToGrid w:val="0"/>
              <w:spacing w:line="360" w:lineRule="exact"/>
              <w:jc w:val="center"/>
              <w:rPr>
                <w:rFonts w:ascii="宋体" w:hAnsi="宋体" w:eastAsia="宋体" w:cs="Times New Roman"/>
                <w:color w:val="auto"/>
              </w:rPr>
            </w:pPr>
          </w:p>
        </w:tc>
        <w:tc>
          <w:tcPr>
            <w:tcW w:w="2626" w:type="dxa"/>
            <w:vAlign w:val="center"/>
          </w:tcPr>
          <w:p w14:paraId="3C2CB61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电动机</w:t>
            </w:r>
          </w:p>
        </w:tc>
        <w:tc>
          <w:tcPr>
            <w:tcW w:w="2125" w:type="dxa"/>
            <w:vAlign w:val="center"/>
          </w:tcPr>
          <w:p w14:paraId="1A52299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261" w:type="dxa"/>
            <w:vAlign w:val="center"/>
          </w:tcPr>
          <w:p w14:paraId="5D13015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0E62F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01004FC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16</w:t>
            </w:r>
          </w:p>
        </w:tc>
        <w:tc>
          <w:tcPr>
            <w:tcW w:w="1107" w:type="dxa"/>
            <w:vMerge w:val="continue"/>
            <w:vAlign w:val="center"/>
          </w:tcPr>
          <w:p w14:paraId="0401EF73">
            <w:pPr>
              <w:adjustRightInd w:val="0"/>
              <w:snapToGrid w:val="0"/>
              <w:spacing w:line="360" w:lineRule="exact"/>
              <w:jc w:val="center"/>
              <w:rPr>
                <w:rFonts w:ascii="宋体" w:hAnsi="宋体" w:eastAsia="宋体" w:cs="Times New Roman"/>
                <w:color w:val="auto"/>
              </w:rPr>
            </w:pPr>
          </w:p>
        </w:tc>
        <w:tc>
          <w:tcPr>
            <w:tcW w:w="2626" w:type="dxa"/>
            <w:vAlign w:val="center"/>
          </w:tcPr>
          <w:p w14:paraId="594BB3F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配电柜</w:t>
            </w:r>
          </w:p>
        </w:tc>
        <w:tc>
          <w:tcPr>
            <w:tcW w:w="2125" w:type="dxa"/>
            <w:vAlign w:val="center"/>
          </w:tcPr>
          <w:p w14:paraId="48430D7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261" w:type="dxa"/>
            <w:vAlign w:val="center"/>
          </w:tcPr>
          <w:p w14:paraId="4F691BF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r w14:paraId="02159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41" w:type="dxa"/>
            <w:vAlign w:val="center"/>
          </w:tcPr>
          <w:p w14:paraId="0578B07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17</w:t>
            </w:r>
          </w:p>
        </w:tc>
        <w:tc>
          <w:tcPr>
            <w:tcW w:w="1107" w:type="dxa"/>
            <w:vMerge w:val="continue"/>
            <w:vAlign w:val="center"/>
          </w:tcPr>
          <w:p w14:paraId="02178ACC">
            <w:pPr>
              <w:adjustRightInd w:val="0"/>
              <w:snapToGrid w:val="0"/>
              <w:spacing w:line="360" w:lineRule="exact"/>
              <w:jc w:val="center"/>
              <w:rPr>
                <w:rFonts w:ascii="宋体" w:hAnsi="宋体" w:eastAsia="宋体" w:cs="Times New Roman"/>
                <w:color w:val="auto"/>
              </w:rPr>
            </w:pPr>
          </w:p>
        </w:tc>
        <w:tc>
          <w:tcPr>
            <w:tcW w:w="2626" w:type="dxa"/>
            <w:vAlign w:val="center"/>
          </w:tcPr>
          <w:p w14:paraId="5C34705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拉油点多功能储罐</w:t>
            </w:r>
          </w:p>
        </w:tc>
        <w:tc>
          <w:tcPr>
            <w:tcW w:w="2125" w:type="dxa"/>
            <w:vAlign w:val="center"/>
          </w:tcPr>
          <w:p w14:paraId="62C7080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2261" w:type="dxa"/>
            <w:vAlign w:val="center"/>
          </w:tcPr>
          <w:p w14:paraId="088C1BD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台</w:t>
            </w:r>
          </w:p>
        </w:tc>
      </w:tr>
    </w:tbl>
    <w:p w14:paraId="107DA4C5">
      <w:pPr>
        <w:pStyle w:val="6"/>
        <w:rPr>
          <w:color w:val="auto"/>
        </w:rPr>
      </w:pPr>
      <w:r>
        <w:rPr>
          <w:color w:val="auto"/>
        </w:rPr>
        <w:t>物料消耗</w:t>
      </w:r>
    </w:p>
    <w:p w14:paraId="3F26C52D">
      <w:pPr>
        <w:pStyle w:val="276"/>
        <w:widowControl w:val="0"/>
        <w:ind w:firstLine="480"/>
        <w:jc w:val="both"/>
        <w:rPr>
          <w:color w:val="auto"/>
          <w:kern w:val="21"/>
        </w:rPr>
      </w:pPr>
      <w:r>
        <w:rPr>
          <w:color w:val="auto"/>
          <w:kern w:val="2"/>
        </w:rPr>
        <w:t>钻井</w:t>
      </w:r>
      <w:r>
        <w:rPr>
          <w:color w:val="auto"/>
          <w:kern w:val="21"/>
        </w:rPr>
        <w:t>生产用水消耗：由公用工程可知，</w:t>
      </w:r>
      <w:r>
        <w:rPr>
          <w:color w:val="auto"/>
          <w:kern w:val="2"/>
        </w:rPr>
        <w:t>本项目施工期钻井生产用水消耗总量为1164.9m</w:t>
      </w:r>
      <w:r>
        <w:rPr>
          <w:color w:val="auto"/>
          <w:kern w:val="2"/>
          <w:vertAlign w:val="superscript"/>
        </w:rPr>
        <w:t>3</w:t>
      </w:r>
      <w:r>
        <w:rPr>
          <w:color w:val="auto"/>
          <w:kern w:val="2"/>
        </w:rPr>
        <w:t>；</w:t>
      </w:r>
    </w:p>
    <w:p w14:paraId="4D673540">
      <w:pPr>
        <w:pStyle w:val="276"/>
        <w:widowControl w:val="0"/>
        <w:ind w:firstLine="480"/>
        <w:jc w:val="both"/>
        <w:rPr>
          <w:color w:val="auto"/>
          <w:kern w:val="2"/>
        </w:rPr>
      </w:pPr>
      <w:r>
        <w:rPr>
          <w:color w:val="auto"/>
          <w:kern w:val="21"/>
        </w:rPr>
        <w:t>生活用水消耗：由公用工程可知，</w:t>
      </w:r>
      <w:r>
        <w:rPr>
          <w:color w:val="auto"/>
          <w:kern w:val="2"/>
        </w:rPr>
        <w:t>本项目</w:t>
      </w:r>
      <w:r>
        <w:rPr>
          <w:color w:val="auto"/>
          <w:kern w:val="21"/>
        </w:rPr>
        <w:t>生活用水</w:t>
      </w:r>
      <w:r>
        <w:rPr>
          <w:color w:val="auto"/>
          <w:kern w:val="2"/>
        </w:rPr>
        <w:t>消耗总量为294.4m</w:t>
      </w:r>
      <w:r>
        <w:rPr>
          <w:color w:val="auto"/>
          <w:kern w:val="2"/>
          <w:vertAlign w:val="superscript"/>
        </w:rPr>
        <w:t>3</w:t>
      </w:r>
      <w:r>
        <w:rPr>
          <w:color w:val="auto"/>
          <w:kern w:val="2"/>
        </w:rPr>
        <w:t>；</w:t>
      </w:r>
    </w:p>
    <w:p w14:paraId="0B72B34B">
      <w:pPr>
        <w:pStyle w:val="276"/>
        <w:widowControl w:val="0"/>
        <w:ind w:firstLine="480"/>
        <w:jc w:val="both"/>
        <w:rPr>
          <w:color w:val="auto"/>
          <w:kern w:val="21"/>
        </w:rPr>
      </w:pPr>
      <w:r>
        <w:rPr>
          <w:color w:val="auto"/>
          <w:kern w:val="2"/>
        </w:rPr>
        <w:t>管线试压用水消耗：由公用工程可知，本项目管线试压用水消耗总量为0.13m</w:t>
      </w:r>
      <w:r>
        <w:rPr>
          <w:color w:val="auto"/>
          <w:kern w:val="2"/>
          <w:vertAlign w:val="superscript"/>
        </w:rPr>
        <w:t>3</w:t>
      </w:r>
      <w:r>
        <w:rPr>
          <w:color w:val="auto"/>
          <w:kern w:val="2"/>
        </w:rPr>
        <w:t>；</w:t>
      </w:r>
    </w:p>
    <w:p w14:paraId="4A54EBF5">
      <w:pPr>
        <w:pStyle w:val="276"/>
        <w:widowControl w:val="0"/>
        <w:ind w:firstLine="480"/>
        <w:jc w:val="both"/>
        <w:rPr>
          <w:color w:val="auto"/>
        </w:rPr>
      </w:pPr>
      <w:r>
        <w:rPr>
          <w:color w:val="auto"/>
        </w:rPr>
        <w:t>钻井液消耗：根据设计方案中钻井液用量表可知，本项目水基钻井液用量1180m</w:t>
      </w:r>
      <w:r>
        <w:rPr>
          <w:color w:val="auto"/>
          <w:vertAlign w:val="superscript"/>
        </w:rPr>
        <w:t>3</w:t>
      </w:r>
      <w:r>
        <w:rPr>
          <w:color w:val="auto"/>
        </w:rPr>
        <w:t>、油基钻井液用量1904m</w:t>
      </w:r>
      <w:r>
        <w:rPr>
          <w:color w:val="auto"/>
          <w:vertAlign w:val="superscript"/>
        </w:rPr>
        <w:t>3</w:t>
      </w:r>
      <w:r>
        <w:rPr>
          <w:color w:val="auto"/>
        </w:rPr>
        <w:t>；</w:t>
      </w:r>
    </w:p>
    <w:p w14:paraId="36ECFA2F">
      <w:pPr>
        <w:pStyle w:val="276"/>
        <w:widowControl w:val="0"/>
        <w:ind w:firstLine="480"/>
        <w:jc w:val="both"/>
        <w:rPr>
          <w:color w:val="auto"/>
        </w:rPr>
      </w:pPr>
      <w:r>
        <w:rPr>
          <w:color w:val="auto"/>
          <w:kern w:val="21"/>
        </w:rPr>
        <w:t>水泥消耗：根据固井水泥用量表，本项目固井</w:t>
      </w:r>
      <w:r>
        <w:rPr>
          <w:color w:val="auto"/>
        </w:rPr>
        <w:t>水泥</w:t>
      </w:r>
      <w:r>
        <w:rPr>
          <w:color w:val="auto"/>
          <w:kern w:val="21"/>
        </w:rPr>
        <w:t>用量为964t；</w:t>
      </w:r>
    </w:p>
    <w:p w14:paraId="3C46B14B">
      <w:pPr>
        <w:pStyle w:val="276"/>
        <w:widowControl w:val="0"/>
        <w:ind w:firstLine="480"/>
        <w:jc w:val="both"/>
        <w:rPr>
          <w:color w:val="auto"/>
          <w:kern w:val="21"/>
        </w:rPr>
      </w:pPr>
      <w:r>
        <w:rPr>
          <w:color w:val="auto"/>
          <w:kern w:val="21"/>
        </w:rPr>
        <w:t>柴油消耗：本项目钻机用电使用柴油发电机，钻井每进尺1000m，柴油用量20t，则柴油总用量约为332.84t；</w:t>
      </w:r>
    </w:p>
    <w:p w14:paraId="7F0C6A60">
      <w:pPr>
        <w:pStyle w:val="276"/>
        <w:widowControl w:val="0"/>
        <w:ind w:firstLine="480"/>
        <w:jc w:val="both"/>
        <w:rPr>
          <w:color w:val="auto"/>
        </w:rPr>
      </w:pPr>
      <w:r>
        <w:rPr>
          <w:color w:val="auto"/>
        </w:rPr>
        <w:t>射孔液消耗：根据施工单位以往经验，单口井射孔一般需要射孔液40m</w:t>
      </w:r>
      <w:r>
        <w:rPr>
          <w:color w:val="auto"/>
          <w:vertAlign w:val="superscript"/>
        </w:rPr>
        <w:t>3</w:t>
      </w:r>
      <w:r>
        <w:rPr>
          <w:color w:val="auto"/>
        </w:rPr>
        <w:t>，本项目6口</w:t>
      </w:r>
      <w:r>
        <w:rPr>
          <w:rFonts w:hint="eastAsia"/>
          <w:color w:val="auto"/>
        </w:rPr>
        <w:t>新钻</w:t>
      </w:r>
      <w:r>
        <w:rPr>
          <w:color w:val="auto"/>
        </w:rPr>
        <w:t>井需射孔，则射孔液用量为240m</w:t>
      </w:r>
      <w:r>
        <w:rPr>
          <w:color w:val="auto"/>
          <w:vertAlign w:val="superscript"/>
        </w:rPr>
        <w:t>3</w:t>
      </w:r>
      <w:r>
        <w:rPr>
          <w:color w:val="auto"/>
        </w:rPr>
        <w:t>。</w:t>
      </w:r>
    </w:p>
    <w:p w14:paraId="1A59E6CE">
      <w:pPr>
        <w:pStyle w:val="276"/>
        <w:widowControl w:val="0"/>
        <w:ind w:firstLine="480"/>
        <w:jc w:val="both"/>
        <w:rPr>
          <w:color w:val="auto"/>
        </w:rPr>
      </w:pPr>
      <w:r>
        <w:rPr>
          <w:color w:val="auto"/>
        </w:rPr>
        <w:t>压裂液：根据设计方案，</w:t>
      </w:r>
      <w:r>
        <w:rPr>
          <w:color w:val="auto"/>
          <w:kern w:val="21"/>
        </w:rPr>
        <w:t>压裂液使用量为100m</w:t>
      </w:r>
      <w:r>
        <w:rPr>
          <w:color w:val="auto"/>
          <w:kern w:val="21"/>
          <w:vertAlign w:val="superscript"/>
        </w:rPr>
        <w:t>3</w:t>
      </w:r>
      <w:r>
        <w:rPr>
          <w:color w:val="auto"/>
          <w:kern w:val="21"/>
        </w:rPr>
        <w:t>/口，</w:t>
      </w:r>
      <w:r>
        <w:rPr>
          <w:color w:val="auto"/>
        </w:rPr>
        <w:t>本项目共计使用压裂液600m</w:t>
      </w:r>
      <w:r>
        <w:rPr>
          <w:color w:val="auto"/>
          <w:vertAlign w:val="superscript"/>
        </w:rPr>
        <w:t>3</w:t>
      </w:r>
      <w:r>
        <w:rPr>
          <w:color w:val="auto"/>
        </w:rPr>
        <w:t>；</w:t>
      </w:r>
    </w:p>
    <w:p w14:paraId="05F81F1E">
      <w:pPr>
        <w:pStyle w:val="276"/>
        <w:widowControl w:val="0"/>
        <w:ind w:firstLine="480"/>
        <w:jc w:val="both"/>
        <w:rPr>
          <w:color w:val="auto"/>
        </w:rPr>
      </w:pPr>
      <w:r>
        <w:rPr>
          <w:color w:val="auto"/>
        </w:rPr>
        <w:t>本项目投产后，新增耗电56万kW·h /a；</w:t>
      </w:r>
    </w:p>
    <w:p w14:paraId="1ACE70CE">
      <w:pPr>
        <w:pStyle w:val="276"/>
        <w:widowControl w:val="0"/>
        <w:ind w:firstLine="480"/>
        <w:jc w:val="both"/>
        <w:rPr>
          <w:color w:val="auto"/>
        </w:rPr>
      </w:pPr>
      <w:r>
        <w:rPr>
          <w:color w:val="auto"/>
        </w:rPr>
        <w:t>本项目新建3座拉油点共安装1台80m</w:t>
      </w:r>
      <w:r>
        <w:rPr>
          <w:color w:val="auto"/>
          <w:vertAlign w:val="superscript"/>
        </w:rPr>
        <w:t>3</w:t>
      </w:r>
      <w:r>
        <w:rPr>
          <w:color w:val="auto"/>
        </w:rPr>
        <w:t>多功能储罐和3台40m</w:t>
      </w:r>
      <w:r>
        <w:rPr>
          <w:color w:val="auto"/>
          <w:vertAlign w:val="superscript"/>
        </w:rPr>
        <w:t>3</w:t>
      </w:r>
      <w:r>
        <w:rPr>
          <w:color w:val="auto"/>
        </w:rPr>
        <w:t>多功能储罐，根据工程方案预测产生的伴生气情况，本项目伴生气最大产生量为</w:t>
      </w:r>
      <w:r>
        <w:rPr>
          <w:color w:val="auto"/>
          <w:kern w:val="21"/>
        </w:rPr>
        <w:t>318m</w:t>
      </w:r>
      <w:r>
        <w:rPr>
          <w:color w:val="auto"/>
          <w:kern w:val="21"/>
          <w:vertAlign w:val="superscript"/>
        </w:rPr>
        <w:t>3</w:t>
      </w:r>
      <w:r>
        <w:rPr>
          <w:color w:val="auto"/>
          <w:kern w:val="21"/>
        </w:rPr>
        <w:t>/d</w:t>
      </w:r>
      <w:r>
        <w:rPr>
          <w:color w:val="auto"/>
        </w:rPr>
        <w:t>，即11.6万m</w:t>
      </w:r>
      <w:r>
        <w:rPr>
          <w:color w:val="auto"/>
          <w:kern w:val="21"/>
          <w:vertAlign w:val="superscript"/>
        </w:rPr>
        <w:t>3</w:t>
      </w:r>
      <w:r>
        <w:rPr>
          <w:color w:val="auto"/>
          <w:kern w:val="21"/>
        </w:rPr>
        <w:t>/a，</w:t>
      </w:r>
      <w:r>
        <w:rPr>
          <w:color w:val="auto"/>
        </w:rPr>
        <w:t>根据实际情况调节储罐维温需求，产生的伴生气全部由储罐加热炉自耗，不外排</w:t>
      </w:r>
      <w:r>
        <w:rPr>
          <w:color w:val="auto"/>
          <w:kern w:val="21"/>
        </w:rPr>
        <w:t>。</w:t>
      </w:r>
    </w:p>
    <w:p w14:paraId="7CCA5D6F">
      <w:pPr>
        <w:pStyle w:val="276"/>
        <w:widowControl w:val="0"/>
        <w:ind w:firstLine="480"/>
        <w:jc w:val="both"/>
        <w:rPr>
          <w:color w:val="auto"/>
        </w:rPr>
      </w:pPr>
      <w:r>
        <w:rPr>
          <w:color w:val="auto"/>
        </w:rPr>
        <w:t>本项目主要消耗物料具体见下</w:t>
      </w:r>
      <w:r>
        <w:rPr>
          <w:color w:val="auto"/>
        </w:rPr>
        <w:fldChar w:fldCharType="begin"/>
      </w:r>
      <w:r>
        <w:rPr>
          <w:color w:val="auto"/>
        </w:rPr>
        <w:instrText xml:space="preserve"> REF _Ref211959419 \h  \* MERGEFORMAT </w:instrText>
      </w:r>
      <w:r>
        <w:rPr>
          <w:color w:val="auto"/>
        </w:rPr>
        <w:fldChar w:fldCharType="separate"/>
      </w:r>
      <w:r>
        <w:rPr>
          <w:color w:val="auto"/>
        </w:rPr>
        <w:t>表 3.9</w:t>
      </w:r>
      <w:r>
        <w:rPr>
          <w:color w:val="auto"/>
        </w:rPr>
        <w:noBreakHyphen/>
      </w:r>
      <w:r>
        <w:rPr>
          <w:color w:val="auto"/>
        </w:rPr>
        <w:t>2</w:t>
      </w:r>
      <w:r>
        <w:rPr>
          <w:color w:val="auto"/>
        </w:rPr>
        <w:fldChar w:fldCharType="end"/>
      </w:r>
      <w:r>
        <w:rPr>
          <w:color w:val="auto"/>
        </w:rPr>
        <w:t>。</w:t>
      </w:r>
    </w:p>
    <w:p w14:paraId="7A6F59EA">
      <w:pPr>
        <w:pStyle w:val="22"/>
        <w:spacing w:before="156"/>
        <w:rPr>
          <w:color w:val="auto"/>
        </w:rPr>
      </w:pPr>
      <w:bookmarkStart w:id="827" w:name="_Ref211959419"/>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3.9</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bookmarkEnd w:id="827"/>
      <w:r>
        <w:rPr>
          <w:rFonts w:hAnsi="宋体" w:cs="Times New Roman"/>
          <w:color w:val="auto"/>
        </w:rPr>
        <w:t>本项目主要物料消耗</w:t>
      </w:r>
    </w:p>
    <w:tbl>
      <w:tblPr>
        <w:tblStyle w:val="81"/>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9"/>
        <w:gridCol w:w="1107"/>
        <w:gridCol w:w="2212"/>
        <w:gridCol w:w="2783"/>
        <w:gridCol w:w="2019"/>
      </w:tblGrid>
      <w:tr w14:paraId="23C9A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0" w:hRule="atLeast"/>
        </w:trPr>
        <w:tc>
          <w:tcPr>
            <w:tcW w:w="939" w:type="dxa"/>
            <w:vMerge w:val="restart"/>
            <w:vAlign w:val="center"/>
          </w:tcPr>
          <w:p w14:paraId="1CD96A1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序号</w:t>
            </w:r>
          </w:p>
        </w:tc>
        <w:tc>
          <w:tcPr>
            <w:tcW w:w="1107" w:type="dxa"/>
            <w:vMerge w:val="restart"/>
            <w:vAlign w:val="center"/>
          </w:tcPr>
          <w:p w14:paraId="5BC870A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时期</w:t>
            </w:r>
          </w:p>
        </w:tc>
        <w:tc>
          <w:tcPr>
            <w:tcW w:w="2212" w:type="dxa"/>
            <w:vMerge w:val="restart"/>
            <w:vAlign w:val="center"/>
          </w:tcPr>
          <w:p w14:paraId="33960D7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项目</w:t>
            </w:r>
          </w:p>
        </w:tc>
        <w:tc>
          <w:tcPr>
            <w:tcW w:w="2783" w:type="dxa"/>
            <w:vMerge w:val="restart"/>
            <w:vAlign w:val="center"/>
          </w:tcPr>
          <w:p w14:paraId="1E8F1F1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原辅材料</w:t>
            </w:r>
          </w:p>
        </w:tc>
        <w:tc>
          <w:tcPr>
            <w:tcW w:w="2019" w:type="dxa"/>
            <w:vMerge w:val="restart"/>
            <w:vAlign w:val="center"/>
          </w:tcPr>
          <w:p w14:paraId="73A88A2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用量</w:t>
            </w:r>
          </w:p>
        </w:tc>
      </w:tr>
      <w:tr w14:paraId="19405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39" w:type="dxa"/>
            <w:vMerge w:val="continue"/>
            <w:vAlign w:val="center"/>
          </w:tcPr>
          <w:p w14:paraId="0AC52E89">
            <w:pPr>
              <w:adjustRightInd w:val="0"/>
              <w:snapToGrid w:val="0"/>
              <w:spacing w:line="360" w:lineRule="exact"/>
              <w:jc w:val="center"/>
              <w:rPr>
                <w:rFonts w:ascii="宋体" w:hAnsi="宋体" w:eastAsia="宋体" w:cs="Times New Roman"/>
                <w:color w:val="auto"/>
              </w:rPr>
            </w:pPr>
          </w:p>
        </w:tc>
        <w:tc>
          <w:tcPr>
            <w:tcW w:w="1107" w:type="dxa"/>
            <w:vMerge w:val="continue"/>
            <w:vAlign w:val="center"/>
          </w:tcPr>
          <w:p w14:paraId="4996F9DD">
            <w:pPr>
              <w:adjustRightInd w:val="0"/>
              <w:snapToGrid w:val="0"/>
              <w:spacing w:line="360" w:lineRule="exact"/>
              <w:jc w:val="center"/>
              <w:rPr>
                <w:rFonts w:ascii="宋体" w:hAnsi="宋体" w:eastAsia="宋体" w:cs="Times New Roman"/>
                <w:color w:val="auto"/>
              </w:rPr>
            </w:pPr>
          </w:p>
        </w:tc>
        <w:tc>
          <w:tcPr>
            <w:tcW w:w="2212" w:type="dxa"/>
            <w:vMerge w:val="continue"/>
            <w:vAlign w:val="center"/>
          </w:tcPr>
          <w:p w14:paraId="3FFC60B0">
            <w:pPr>
              <w:adjustRightInd w:val="0"/>
              <w:snapToGrid w:val="0"/>
              <w:spacing w:line="360" w:lineRule="exact"/>
              <w:jc w:val="center"/>
              <w:rPr>
                <w:rFonts w:ascii="宋体" w:hAnsi="宋体" w:eastAsia="宋体" w:cs="Times New Roman"/>
                <w:color w:val="auto"/>
              </w:rPr>
            </w:pPr>
          </w:p>
        </w:tc>
        <w:tc>
          <w:tcPr>
            <w:tcW w:w="2783" w:type="dxa"/>
            <w:vMerge w:val="continue"/>
            <w:vAlign w:val="center"/>
          </w:tcPr>
          <w:p w14:paraId="50160BC4">
            <w:pPr>
              <w:adjustRightInd w:val="0"/>
              <w:snapToGrid w:val="0"/>
              <w:spacing w:line="360" w:lineRule="exact"/>
              <w:jc w:val="center"/>
              <w:rPr>
                <w:rFonts w:ascii="宋体" w:hAnsi="宋体" w:eastAsia="宋体" w:cs="Times New Roman"/>
                <w:color w:val="auto"/>
              </w:rPr>
            </w:pPr>
          </w:p>
        </w:tc>
        <w:tc>
          <w:tcPr>
            <w:tcW w:w="2019" w:type="dxa"/>
            <w:vMerge w:val="continue"/>
            <w:vAlign w:val="center"/>
          </w:tcPr>
          <w:p w14:paraId="78CE3125">
            <w:pPr>
              <w:adjustRightInd w:val="0"/>
              <w:snapToGrid w:val="0"/>
              <w:spacing w:line="360" w:lineRule="exact"/>
              <w:jc w:val="center"/>
              <w:rPr>
                <w:rFonts w:ascii="宋体" w:hAnsi="宋体" w:eastAsia="宋体" w:cs="Times New Roman"/>
                <w:color w:val="auto"/>
              </w:rPr>
            </w:pPr>
          </w:p>
        </w:tc>
      </w:tr>
      <w:tr w14:paraId="45D08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939" w:type="dxa"/>
            <w:vAlign w:val="center"/>
          </w:tcPr>
          <w:p w14:paraId="55059EB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1107" w:type="dxa"/>
            <w:vMerge w:val="restart"/>
            <w:vAlign w:val="center"/>
          </w:tcPr>
          <w:p w14:paraId="53A6D8E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施工期</w:t>
            </w:r>
          </w:p>
        </w:tc>
        <w:tc>
          <w:tcPr>
            <w:tcW w:w="2212" w:type="dxa"/>
            <w:vAlign w:val="center"/>
          </w:tcPr>
          <w:p w14:paraId="42DBEA8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钻井施工</w:t>
            </w:r>
          </w:p>
        </w:tc>
        <w:tc>
          <w:tcPr>
            <w:tcW w:w="2783" w:type="dxa"/>
            <w:vAlign w:val="center"/>
          </w:tcPr>
          <w:p w14:paraId="09C0803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钻井生产用水（m</w:t>
            </w:r>
            <w:r>
              <w:rPr>
                <w:rFonts w:ascii="宋体" w:hAnsi="宋体" w:eastAsia="宋体" w:cs="Times New Roman"/>
                <w:color w:val="auto"/>
                <w:vertAlign w:val="superscript"/>
              </w:rPr>
              <w:t>3</w:t>
            </w:r>
            <w:r>
              <w:rPr>
                <w:rFonts w:ascii="宋体" w:hAnsi="宋体" w:eastAsia="宋体" w:cs="Times New Roman"/>
                <w:color w:val="auto"/>
              </w:rPr>
              <w:t>）</w:t>
            </w:r>
          </w:p>
        </w:tc>
        <w:tc>
          <w:tcPr>
            <w:tcW w:w="2019" w:type="dxa"/>
            <w:vAlign w:val="center"/>
          </w:tcPr>
          <w:p w14:paraId="390311D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1164.9</w:t>
            </w:r>
          </w:p>
        </w:tc>
      </w:tr>
      <w:tr w14:paraId="6C99A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9" w:type="dxa"/>
            <w:vAlign w:val="center"/>
          </w:tcPr>
          <w:p w14:paraId="6C9F364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107" w:type="dxa"/>
            <w:vMerge w:val="continue"/>
            <w:vAlign w:val="center"/>
          </w:tcPr>
          <w:p w14:paraId="32F11828">
            <w:pPr>
              <w:adjustRightInd w:val="0"/>
              <w:snapToGrid w:val="0"/>
              <w:spacing w:line="360" w:lineRule="exact"/>
              <w:jc w:val="center"/>
              <w:rPr>
                <w:rFonts w:ascii="宋体" w:hAnsi="宋体" w:eastAsia="宋体" w:cs="Times New Roman"/>
                <w:color w:val="auto"/>
              </w:rPr>
            </w:pPr>
          </w:p>
        </w:tc>
        <w:tc>
          <w:tcPr>
            <w:tcW w:w="2212" w:type="dxa"/>
            <w:vAlign w:val="center"/>
          </w:tcPr>
          <w:p w14:paraId="6638876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办公生活</w:t>
            </w:r>
          </w:p>
        </w:tc>
        <w:tc>
          <w:tcPr>
            <w:tcW w:w="2783" w:type="dxa"/>
            <w:vAlign w:val="center"/>
          </w:tcPr>
          <w:p w14:paraId="21AE6DB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生活用水（m</w:t>
            </w:r>
            <w:r>
              <w:rPr>
                <w:rFonts w:ascii="宋体" w:hAnsi="宋体" w:eastAsia="宋体" w:cs="Times New Roman"/>
                <w:color w:val="auto"/>
                <w:vertAlign w:val="superscript"/>
              </w:rPr>
              <w:t>3</w:t>
            </w:r>
            <w:r>
              <w:rPr>
                <w:rFonts w:ascii="宋体" w:hAnsi="宋体" w:eastAsia="宋体" w:cs="Times New Roman"/>
                <w:color w:val="auto"/>
              </w:rPr>
              <w:t>）</w:t>
            </w:r>
          </w:p>
        </w:tc>
        <w:tc>
          <w:tcPr>
            <w:tcW w:w="2019" w:type="dxa"/>
            <w:vAlign w:val="center"/>
          </w:tcPr>
          <w:p w14:paraId="3BB3679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294.4</w:t>
            </w:r>
          </w:p>
        </w:tc>
      </w:tr>
      <w:tr w14:paraId="07633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9" w:type="dxa"/>
            <w:vAlign w:val="center"/>
          </w:tcPr>
          <w:p w14:paraId="5E9370F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1107" w:type="dxa"/>
            <w:vMerge w:val="continue"/>
            <w:vAlign w:val="center"/>
          </w:tcPr>
          <w:p w14:paraId="59620441">
            <w:pPr>
              <w:adjustRightInd w:val="0"/>
              <w:snapToGrid w:val="0"/>
              <w:spacing w:line="360" w:lineRule="exact"/>
              <w:jc w:val="center"/>
              <w:rPr>
                <w:rFonts w:ascii="宋体" w:hAnsi="宋体" w:eastAsia="宋体" w:cs="Times New Roman"/>
                <w:color w:val="auto"/>
              </w:rPr>
            </w:pPr>
          </w:p>
        </w:tc>
        <w:tc>
          <w:tcPr>
            <w:tcW w:w="2212" w:type="dxa"/>
            <w:vAlign w:val="center"/>
          </w:tcPr>
          <w:p w14:paraId="204A1ED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管线试压</w:t>
            </w:r>
          </w:p>
        </w:tc>
        <w:tc>
          <w:tcPr>
            <w:tcW w:w="2783" w:type="dxa"/>
            <w:vAlign w:val="center"/>
          </w:tcPr>
          <w:p w14:paraId="568EB15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试压用水（m</w:t>
            </w:r>
            <w:r>
              <w:rPr>
                <w:rFonts w:ascii="宋体" w:hAnsi="宋体" w:eastAsia="宋体" w:cs="Times New Roman"/>
                <w:color w:val="auto"/>
                <w:vertAlign w:val="superscript"/>
              </w:rPr>
              <w:t>3</w:t>
            </w:r>
            <w:r>
              <w:rPr>
                <w:rFonts w:ascii="宋体" w:hAnsi="宋体" w:eastAsia="宋体" w:cs="Times New Roman"/>
                <w:color w:val="auto"/>
              </w:rPr>
              <w:t>）</w:t>
            </w:r>
          </w:p>
        </w:tc>
        <w:tc>
          <w:tcPr>
            <w:tcW w:w="2019" w:type="dxa"/>
            <w:vAlign w:val="center"/>
          </w:tcPr>
          <w:p w14:paraId="3B3550A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0.13</w:t>
            </w:r>
          </w:p>
        </w:tc>
      </w:tr>
      <w:tr w14:paraId="196EA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939" w:type="dxa"/>
            <w:vMerge w:val="restart"/>
            <w:vAlign w:val="center"/>
          </w:tcPr>
          <w:p w14:paraId="049D38F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1107" w:type="dxa"/>
            <w:vMerge w:val="continue"/>
            <w:vAlign w:val="center"/>
          </w:tcPr>
          <w:p w14:paraId="1E9F702A">
            <w:pPr>
              <w:adjustRightInd w:val="0"/>
              <w:snapToGrid w:val="0"/>
              <w:spacing w:line="360" w:lineRule="exact"/>
              <w:jc w:val="center"/>
              <w:rPr>
                <w:rFonts w:ascii="宋体" w:hAnsi="宋体" w:eastAsia="宋体" w:cs="Times New Roman"/>
                <w:color w:val="auto"/>
              </w:rPr>
            </w:pPr>
          </w:p>
        </w:tc>
        <w:tc>
          <w:tcPr>
            <w:tcW w:w="2212" w:type="dxa"/>
            <w:vMerge w:val="restart"/>
            <w:vAlign w:val="center"/>
          </w:tcPr>
          <w:p w14:paraId="659ECE9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钻井</w:t>
            </w:r>
          </w:p>
        </w:tc>
        <w:tc>
          <w:tcPr>
            <w:tcW w:w="2783" w:type="dxa"/>
            <w:tcBorders>
              <w:bottom w:val="single" w:color="auto" w:sz="4" w:space="0"/>
            </w:tcBorders>
            <w:vAlign w:val="center"/>
          </w:tcPr>
          <w:p w14:paraId="1867DD0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水基钻井液（m</w:t>
            </w:r>
            <w:r>
              <w:rPr>
                <w:rFonts w:ascii="宋体" w:hAnsi="宋体" w:eastAsia="宋体" w:cs="Times New Roman"/>
                <w:color w:val="auto"/>
                <w:vertAlign w:val="superscript"/>
              </w:rPr>
              <w:t>3</w:t>
            </w:r>
            <w:r>
              <w:rPr>
                <w:rFonts w:ascii="宋体" w:hAnsi="宋体" w:eastAsia="宋体" w:cs="Times New Roman"/>
                <w:color w:val="auto"/>
              </w:rPr>
              <w:t>）</w:t>
            </w:r>
          </w:p>
        </w:tc>
        <w:tc>
          <w:tcPr>
            <w:tcW w:w="2019" w:type="dxa"/>
            <w:tcBorders>
              <w:bottom w:val="single" w:color="auto" w:sz="4" w:space="0"/>
            </w:tcBorders>
            <w:vAlign w:val="center"/>
          </w:tcPr>
          <w:p w14:paraId="6396560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1180</w:t>
            </w:r>
          </w:p>
        </w:tc>
      </w:tr>
      <w:tr w14:paraId="77569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trPr>
        <w:tc>
          <w:tcPr>
            <w:tcW w:w="939" w:type="dxa"/>
            <w:vMerge w:val="continue"/>
            <w:vAlign w:val="center"/>
          </w:tcPr>
          <w:p w14:paraId="45B42601">
            <w:pPr>
              <w:adjustRightInd w:val="0"/>
              <w:snapToGrid w:val="0"/>
              <w:spacing w:line="360" w:lineRule="exact"/>
              <w:jc w:val="center"/>
              <w:rPr>
                <w:rFonts w:ascii="宋体" w:hAnsi="宋体" w:eastAsia="宋体" w:cs="Times New Roman"/>
                <w:color w:val="auto"/>
              </w:rPr>
            </w:pPr>
          </w:p>
        </w:tc>
        <w:tc>
          <w:tcPr>
            <w:tcW w:w="1107" w:type="dxa"/>
            <w:vMerge w:val="continue"/>
            <w:vAlign w:val="center"/>
          </w:tcPr>
          <w:p w14:paraId="2B22DC4A">
            <w:pPr>
              <w:adjustRightInd w:val="0"/>
              <w:snapToGrid w:val="0"/>
              <w:spacing w:line="360" w:lineRule="exact"/>
              <w:jc w:val="center"/>
              <w:rPr>
                <w:rFonts w:ascii="宋体" w:hAnsi="宋体" w:eastAsia="宋体" w:cs="Times New Roman"/>
                <w:color w:val="auto"/>
              </w:rPr>
            </w:pPr>
          </w:p>
        </w:tc>
        <w:tc>
          <w:tcPr>
            <w:tcW w:w="2212" w:type="dxa"/>
            <w:vMerge w:val="continue"/>
            <w:vAlign w:val="center"/>
          </w:tcPr>
          <w:p w14:paraId="7369DA3F">
            <w:pPr>
              <w:adjustRightInd w:val="0"/>
              <w:snapToGrid w:val="0"/>
              <w:spacing w:line="360" w:lineRule="exact"/>
              <w:jc w:val="center"/>
              <w:rPr>
                <w:rFonts w:ascii="宋体" w:hAnsi="宋体" w:eastAsia="宋体" w:cs="Times New Roman"/>
                <w:color w:val="auto"/>
              </w:rPr>
            </w:pPr>
          </w:p>
        </w:tc>
        <w:tc>
          <w:tcPr>
            <w:tcW w:w="2783" w:type="dxa"/>
            <w:tcBorders>
              <w:top w:val="single" w:color="auto" w:sz="4" w:space="0"/>
            </w:tcBorders>
            <w:vAlign w:val="center"/>
          </w:tcPr>
          <w:p w14:paraId="3EE69B2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油基钻井液（m</w:t>
            </w:r>
            <w:r>
              <w:rPr>
                <w:rFonts w:ascii="宋体" w:hAnsi="宋体" w:eastAsia="宋体" w:cs="Times New Roman"/>
                <w:color w:val="auto"/>
                <w:vertAlign w:val="superscript"/>
              </w:rPr>
              <w:t>3</w:t>
            </w:r>
            <w:r>
              <w:rPr>
                <w:rFonts w:ascii="宋体" w:hAnsi="宋体" w:eastAsia="宋体" w:cs="Times New Roman"/>
                <w:color w:val="auto"/>
              </w:rPr>
              <w:t>）</w:t>
            </w:r>
          </w:p>
        </w:tc>
        <w:tc>
          <w:tcPr>
            <w:tcW w:w="2019" w:type="dxa"/>
            <w:tcBorders>
              <w:top w:val="single" w:color="auto" w:sz="4" w:space="0"/>
            </w:tcBorders>
            <w:vAlign w:val="center"/>
          </w:tcPr>
          <w:p w14:paraId="2FDAC8D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1904</w:t>
            </w:r>
          </w:p>
        </w:tc>
      </w:tr>
      <w:tr w14:paraId="4DEB1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9" w:type="dxa"/>
            <w:vAlign w:val="center"/>
          </w:tcPr>
          <w:p w14:paraId="50BA977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1107" w:type="dxa"/>
            <w:vMerge w:val="continue"/>
            <w:vAlign w:val="center"/>
          </w:tcPr>
          <w:p w14:paraId="2150D8A4">
            <w:pPr>
              <w:adjustRightInd w:val="0"/>
              <w:snapToGrid w:val="0"/>
              <w:spacing w:line="360" w:lineRule="exact"/>
              <w:jc w:val="center"/>
              <w:rPr>
                <w:rFonts w:ascii="宋体" w:hAnsi="宋体" w:eastAsia="宋体" w:cs="Times New Roman"/>
                <w:color w:val="auto"/>
              </w:rPr>
            </w:pPr>
          </w:p>
        </w:tc>
        <w:tc>
          <w:tcPr>
            <w:tcW w:w="2212" w:type="dxa"/>
            <w:vAlign w:val="center"/>
          </w:tcPr>
          <w:p w14:paraId="3593D87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固井</w:t>
            </w:r>
          </w:p>
        </w:tc>
        <w:tc>
          <w:tcPr>
            <w:tcW w:w="2783" w:type="dxa"/>
            <w:vAlign w:val="center"/>
          </w:tcPr>
          <w:p w14:paraId="03E3C1E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水泥（t）</w:t>
            </w:r>
          </w:p>
        </w:tc>
        <w:tc>
          <w:tcPr>
            <w:tcW w:w="2019" w:type="dxa"/>
            <w:vAlign w:val="center"/>
          </w:tcPr>
          <w:p w14:paraId="53931DC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964</w:t>
            </w:r>
          </w:p>
        </w:tc>
      </w:tr>
      <w:tr w14:paraId="2ADCB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9" w:type="dxa"/>
            <w:vAlign w:val="center"/>
          </w:tcPr>
          <w:p w14:paraId="4F8F1D3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6</w:t>
            </w:r>
          </w:p>
        </w:tc>
        <w:tc>
          <w:tcPr>
            <w:tcW w:w="1107" w:type="dxa"/>
            <w:vMerge w:val="continue"/>
            <w:vAlign w:val="center"/>
          </w:tcPr>
          <w:p w14:paraId="4060B640">
            <w:pPr>
              <w:adjustRightInd w:val="0"/>
              <w:snapToGrid w:val="0"/>
              <w:spacing w:line="360" w:lineRule="exact"/>
              <w:jc w:val="center"/>
              <w:rPr>
                <w:rFonts w:ascii="宋体" w:hAnsi="宋体" w:eastAsia="宋体" w:cs="Times New Roman"/>
                <w:color w:val="auto"/>
              </w:rPr>
            </w:pPr>
          </w:p>
        </w:tc>
        <w:tc>
          <w:tcPr>
            <w:tcW w:w="2212" w:type="dxa"/>
            <w:vAlign w:val="center"/>
          </w:tcPr>
          <w:p w14:paraId="593C84F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钻井期发电</w:t>
            </w:r>
          </w:p>
        </w:tc>
        <w:tc>
          <w:tcPr>
            <w:tcW w:w="2783" w:type="dxa"/>
            <w:vAlign w:val="center"/>
          </w:tcPr>
          <w:p w14:paraId="01C6287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柴油（t）</w:t>
            </w:r>
          </w:p>
        </w:tc>
        <w:tc>
          <w:tcPr>
            <w:tcW w:w="2019" w:type="dxa"/>
            <w:vAlign w:val="center"/>
          </w:tcPr>
          <w:p w14:paraId="2A0C09B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332.84</w:t>
            </w:r>
          </w:p>
        </w:tc>
      </w:tr>
      <w:tr w14:paraId="3C34E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9" w:type="dxa"/>
            <w:vAlign w:val="center"/>
          </w:tcPr>
          <w:p w14:paraId="6FE5E5A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7</w:t>
            </w:r>
          </w:p>
        </w:tc>
        <w:tc>
          <w:tcPr>
            <w:tcW w:w="1107" w:type="dxa"/>
            <w:vMerge w:val="continue"/>
            <w:vAlign w:val="center"/>
          </w:tcPr>
          <w:p w14:paraId="61A88139">
            <w:pPr>
              <w:adjustRightInd w:val="0"/>
              <w:snapToGrid w:val="0"/>
              <w:spacing w:line="360" w:lineRule="exact"/>
              <w:jc w:val="center"/>
              <w:rPr>
                <w:rFonts w:ascii="宋体" w:hAnsi="宋体" w:eastAsia="宋体" w:cs="Times New Roman"/>
                <w:color w:val="auto"/>
              </w:rPr>
            </w:pPr>
          </w:p>
        </w:tc>
        <w:tc>
          <w:tcPr>
            <w:tcW w:w="2212" w:type="dxa"/>
            <w:vAlign w:val="center"/>
          </w:tcPr>
          <w:p w14:paraId="1872593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射孔</w:t>
            </w:r>
          </w:p>
        </w:tc>
        <w:tc>
          <w:tcPr>
            <w:tcW w:w="2783" w:type="dxa"/>
            <w:vAlign w:val="center"/>
          </w:tcPr>
          <w:p w14:paraId="75D5C0A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射孔液（m</w:t>
            </w:r>
            <w:r>
              <w:rPr>
                <w:rFonts w:ascii="宋体" w:hAnsi="宋体" w:eastAsia="宋体" w:cs="Times New Roman"/>
                <w:color w:val="auto"/>
                <w:vertAlign w:val="superscript"/>
              </w:rPr>
              <w:t>3</w:t>
            </w:r>
            <w:r>
              <w:rPr>
                <w:rFonts w:ascii="宋体" w:hAnsi="宋体" w:eastAsia="宋体" w:cs="Times New Roman"/>
                <w:color w:val="auto"/>
              </w:rPr>
              <w:t>）</w:t>
            </w:r>
          </w:p>
        </w:tc>
        <w:tc>
          <w:tcPr>
            <w:tcW w:w="2019" w:type="dxa"/>
            <w:vAlign w:val="center"/>
          </w:tcPr>
          <w:p w14:paraId="244D153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240</w:t>
            </w:r>
          </w:p>
        </w:tc>
      </w:tr>
      <w:tr w14:paraId="593F7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9" w:type="dxa"/>
            <w:vAlign w:val="center"/>
          </w:tcPr>
          <w:p w14:paraId="5407DE7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8</w:t>
            </w:r>
          </w:p>
        </w:tc>
        <w:tc>
          <w:tcPr>
            <w:tcW w:w="1107" w:type="dxa"/>
            <w:vMerge w:val="continue"/>
            <w:vAlign w:val="center"/>
          </w:tcPr>
          <w:p w14:paraId="4CEE73F1">
            <w:pPr>
              <w:adjustRightInd w:val="0"/>
              <w:snapToGrid w:val="0"/>
              <w:spacing w:line="360" w:lineRule="exact"/>
              <w:jc w:val="center"/>
              <w:rPr>
                <w:rFonts w:ascii="宋体" w:hAnsi="宋体" w:eastAsia="宋体" w:cs="Times New Roman"/>
                <w:color w:val="auto"/>
              </w:rPr>
            </w:pPr>
          </w:p>
        </w:tc>
        <w:tc>
          <w:tcPr>
            <w:tcW w:w="2212" w:type="dxa"/>
            <w:vAlign w:val="center"/>
          </w:tcPr>
          <w:p w14:paraId="72E2AFE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压裂</w:t>
            </w:r>
          </w:p>
        </w:tc>
        <w:tc>
          <w:tcPr>
            <w:tcW w:w="2783" w:type="dxa"/>
            <w:vAlign w:val="center"/>
          </w:tcPr>
          <w:p w14:paraId="7D840CF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压裂液（m</w:t>
            </w:r>
            <w:r>
              <w:rPr>
                <w:rFonts w:ascii="宋体" w:hAnsi="宋体" w:eastAsia="宋体" w:cs="Times New Roman"/>
                <w:color w:val="auto"/>
                <w:vertAlign w:val="superscript"/>
              </w:rPr>
              <w:t>3</w:t>
            </w:r>
            <w:r>
              <w:rPr>
                <w:rFonts w:ascii="宋体" w:hAnsi="宋体" w:eastAsia="宋体" w:cs="Times New Roman"/>
                <w:color w:val="auto"/>
              </w:rPr>
              <w:t>）</w:t>
            </w:r>
          </w:p>
        </w:tc>
        <w:tc>
          <w:tcPr>
            <w:tcW w:w="2019" w:type="dxa"/>
            <w:vAlign w:val="center"/>
          </w:tcPr>
          <w:p w14:paraId="4DF2089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600</w:t>
            </w:r>
          </w:p>
        </w:tc>
      </w:tr>
      <w:tr w14:paraId="65EE0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9" w:type="dxa"/>
            <w:vAlign w:val="center"/>
          </w:tcPr>
          <w:p w14:paraId="7392E5E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9</w:t>
            </w:r>
          </w:p>
        </w:tc>
        <w:tc>
          <w:tcPr>
            <w:tcW w:w="1107" w:type="dxa"/>
            <w:vMerge w:val="restart"/>
            <w:vAlign w:val="center"/>
          </w:tcPr>
          <w:p w14:paraId="6589F0B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运营期</w:t>
            </w:r>
          </w:p>
        </w:tc>
        <w:tc>
          <w:tcPr>
            <w:tcW w:w="2212" w:type="dxa"/>
            <w:vAlign w:val="center"/>
          </w:tcPr>
          <w:p w14:paraId="77E529D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生产运营</w:t>
            </w:r>
          </w:p>
        </w:tc>
        <w:tc>
          <w:tcPr>
            <w:tcW w:w="2783" w:type="dxa"/>
            <w:vAlign w:val="center"/>
          </w:tcPr>
          <w:p w14:paraId="2D83439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耗电（万kWh/a）</w:t>
            </w:r>
          </w:p>
        </w:tc>
        <w:tc>
          <w:tcPr>
            <w:tcW w:w="2019" w:type="dxa"/>
            <w:vAlign w:val="center"/>
          </w:tcPr>
          <w:p w14:paraId="1FC50F7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56</w:t>
            </w:r>
          </w:p>
        </w:tc>
      </w:tr>
      <w:tr w14:paraId="273FE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9" w:type="dxa"/>
            <w:vAlign w:val="center"/>
          </w:tcPr>
          <w:p w14:paraId="76A0718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w:t>
            </w:r>
          </w:p>
        </w:tc>
        <w:tc>
          <w:tcPr>
            <w:tcW w:w="1107" w:type="dxa"/>
            <w:vMerge w:val="continue"/>
            <w:vAlign w:val="center"/>
          </w:tcPr>
          <w:p w14:paraId="04308B29">
            <w:pPr>
              <w:adjustRightInd w:val="0"/>
              <w:snapToGrid w:val="0"/>
              <w:spacing w:line="360" w:lineRule="exact"/>
              <w:jc w:val="center"/>
              <w:rPr>
                <w:rFonts w:ascii="宋体" w:hAnsi="宋体" w:eastAsia="宋体" w:cs="Times New Roman"/>
                <w:color w:val="auto"/>
              </w:rPr>
            </w:pPr>
          </w:p>
        </w:tc>
        <w:tc>
          <w:tcPr>
            <w:tcW w:w="2212" w:type="dxa"/>
            <w:vAlign w:val="center"/>
          </w:tcPr>
          <w:p w14:paraId="5557571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油气水分离</w:t>
            </w:r>
          </w:p>
        </w:tc>
        <w:tc>
          <w:tcPr>
            <w:tcW w:w="2783" w:type="dxa"/>
            <w:vAlign w:val="center"/>
          </w:tcPr>
          <w:p w14:paraId="12B429B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耗气量（万m</w:t>
            </w:r>
            <w:r>
              <w:rPr>
                <w:rFonts w:ascii="宋体" w:hAnsi="宋体" w:eastAsia="宋体" w:cs="Times New Roman"/>
                <w:color w:val="auto"/>
                <w:vertAlign w:val="superscript"/>
              </w:rPr>
              <w:t>3</w:t>
            </w:r>
            <w:r>
              <w:rPr>
                <w:rFonts w:ascii="宋体" w:hAnsi="宋体" w:eastAsia="宋体" w:cs="Times New Roman"/>
                <w:color w:val="auto"/>
              </w:rPr>
              <w:t>/a）</w:t>
            </w:r>
          </w:p>
        </w:tc>
        <w:tc>
          <w:tcPr>
            <w:tcW w:w="2019" w:type="dxa"/>
            <w:vAlign w:val="center"/>
          </w:tcPr>
          <w:p w14:paraId="24B0A1E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11.6</w:t>
            </w:r>
          </w:p>
        </w:tc>
      </w:tr>
      <w:tr w14:paraId="158A3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39" w:type="dxa"/>
            <w:vAlign w:val="center"/>
          </w:tcPr>
          <w:p w14:paraId="59A67EC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11</w:t>
            </w:r>
          </w:p>
        </w:tc>
        <w:tc>
          <w:tcPr>
            <w:tcW w:w="1107" w:type="dxa"/>
            <w:vMerge w:val="continue"/>
            <w:vAlign w:val="center"/>
          </w:tcPr>
          <w:p w14:paraId="635A9054">
            <w:pPr>
              <w:adjustRightInd w:val="0"/>
              <w:snapToGrid w:val="0"/>
              <w:spacing w:line="360" w:lineRule="exact"/>
              <w:jc w:val="center"/>
              <w:rPr>
                <w:rFonts w:ascii="宋体" w:hAnsi="宋体" w:eastAsia="宋体" w:cs="Times New Roman"/>
                <w:color w:val="auto"/>
              </w:rPr>
            </w:pPr>
          </w:p>
        </w:tc>
        <w:tc>
          <w:tcPr>
            <w:tcW w:w="2212" w:type="dxa"/>
            <w:vAlign w:val="center"/>
          </w:tcPr>
          <w:p w14:paraId="245FBFE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油井作业</w:t>
            </w:r>
          </w:p>
        </w:tc>
        <w:tc>
          <w:tcPr>
            <w:tcW w:w="2783" w:type="dxa"/>
            <w:vAlign w:val="center"/>
          </w:tcPr>
          <w:p w14:paraId="0851F58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防渗布（t/a）</w:t>
            </w:r>
          </w:p>
        </w:tc>
        <w:tc>
          <w:tcPr>
            <w:tcW w:w="2019" w:type="dxa"/>
            <w:vAlign w:val="center"/>
          </w:tcPr>
          <w:p w14:paraId="4B4447FB">
            <w:pPr>
              <w:adjustRightInd w:val="0"/>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1.67</w:t>
            </w:r>
          </w:p>
        </w:tc>
      </w:tr>
    </w:tbl>
    <w:p w14:paraId="67277948">
      <w:pPr>
        <w:pStyle w:val="276"/>
        <w:widowControl w:val="0"/>
        <w:ind w:firstLine="480"/>
        <w:jc w:val="both"/>
        <w:rPr>
          <w:color w:val="auto"/>
        </w:rPr>
      </w:pPr>
      <w:bookmarkStart w:id="828" w:name="_Toc16754"/>
    </w:p>
    <w:p w14:paraId="4BD1F071">
      <w:pPr>
        <w:pStyle w:val="5"/>
        <w:rPr>
          <w:bCs w:val="0"/>
          <w:color w:val="auto"/>
        </w:rPr>
      </w:pPr>
      <w:bookmarkStart w:id="829" w:name="_Toc212033020"/>
      <w:bookmarkStart w:id="830" w:name="_Toc19509"/>
      <w:r>
        <w:rPr>
          <w:bCs w:val="0"/>
          <w:color w:val="auto"/>
        </w:rPr>
        <w:t>施工进度及时序</w:t>
      </w:r>
      <w:bookmarkEnd w:id="829"/>
      <w:bookmarkEnd w:id="830"/>
    </w:p>
    <w:p w14:paraId="5001F0B9">
      <w:pPr>
        <w:pStyle w:val="276"/>
        <w:widowControl w:val="0"/>
        <w:ind w:firstLine="480"/>
        <w:jc w:val="both"/>
        <w:rPr>
          <w:color w:val="auto"/>
        </w:rPr>
      </w:pPr>
      <w:r>
        <w:rPr>
          <w:snapToGrid w:val="0"/>
          <w:color w:val="auto"/>
        </w:rPr>
        <w:t>本项目计划施工期为202</w:t>
      </w:r>
      <w:r>
        <w:rPr>
          <w:rFonts w:hint="eastAsia"/>
          <w:snapToGrid w:val="0"/>
          <w:color w:val="auto"/>
        </w:rPr>
        <w:t>6</w:t>
      </w:r>
      <w:r>
        <w:rPr>
          <w:snapToGrid w:val="0"/>
          <w:color w:val="auto"/>
        </w:rPr>
        <w:t>年</w:t>
      </w:r>
      <w:r>
        <w:rPr>
          <w:rFonts w:hint="eastAsia"/>
          <w:snapToGrid w:val="0"/>
          <w:color w:val="auto"/>
        </w:rPr>
        <w:t>1</w:t>
      </w:r>
      <w:r>
        <w:rPr>
          <w:snapToGrid w:val="0"/>
          <w:color w:val="auto"/>
        </w:rPr>
        <w:t>月至2026年</w:t>
      </w:r>
      <w:r>
        <w:rPr>
          <w:rFonts w:hint="eastAsia"/>
          <w:snapToGrid w:val="0"/>
          <w:color w:val="auto"/>
        </w:rPr>
        <w:t>7</w:t>
      </w:r>
      <w:r>
        <w:rPr>
          <w:snapToGrid w:val="0"/>
          <w:color w:val="auto"/>
        </w:rPr>
        <w:t>月，单井钻井施工约28d，2支钻井队伍同时施工，钻井期时间段合计84d；单井压裂工程施工约</w:t>
      </w:r>
      <w:r>
        <w:rPr>
          <w:color w:val="auto"/>
        </w:rPr>
        <w:t>15d</w:t>
      </w:r>
      <w:r>
        <w:rPr>
          <w:snapToGrid w:val="0"/>
          <w:color w:val="auto"/>
        </w:rPr>
        <w:t>，试气工程施工约5d，地面工程施工约25d，2口勘探井压裂试气施工约20d，另外4口基建井压裂地面工程施工约80d，整个施工期为184d</w:t>
      </w:r>
      <w:r>
        <w:rPr>
          <w:color w:val="auto"/>
        </w:rPr>
        <w:t>。</w:t>
      </w:r>
    </w:p>
    <w:p w14:paraId="3889D479">
      <w:pPr>
        <w:pStyle w:val="5"/>
        <w:rPr>
          <w:bCs w:val="0"/>
          <w:snapToGrid w:val="0"/>
          <w:color w:val="auto"/>
        </w:rPr>
      </w:pPr>
      <w:bookmarkStart w:id="831" w:name="_Toc212033021"/>
      <w:r>
        <w:rPr>
          <w:rFonts w:hint="eastAsia"/>
          <w:bCs w:val="0"/>
          <w:snapToGrid w:val="0"/>
          <w:color w:val="auto"/>
        </w:rPr>
        <w:t>主要经济技术指标</w:t>
      </w:r>
      <w:bookmarkEnd w:id="831"/>
    </w:p>
    <w:p w14:paraId="4966BC03">
      <w:pPr>
        <w:pStyle w:val="276"/>
        <w:widowControl w:val="0"/>
        <w:ind w:firstLine="480"/>
        <w:jc w:val="both"/>
        <w:rPr>
          <w:color w:val="auto"/>
          <w:kern w:val="2"/>
        </w:rPr>
      </w:pPr>
      <w:r>
        <w:rPr>
          <w:color w:val="auto"/>
          <w:kern w:val="2"/>
        </w:rPr>
        <w:t>本项目主要技术经济指标见</w:t>
      </w:r>
      <w:r>
        <w:rPr>
          <w:color w:val="auto"/>
          <w:kern w:val="2"/>
        </w:rPr>
        <w:fldChar w:fldCharType="begin"/>
      </w:r>
      <w:r>
        <w:rPr>
          <w:color w:val="auto"/>
          <w:kern w:val="2"/>
        </w:rPr>
        <w:instrText xml:space="preserve"> REF _Ref211956879 \h  \* MERGEFORMAT </w:instrText>
      </w:r>
      <w:r>
        <w:rPr>
          <w:color w:val="auto"/>
          <w:kern w:val="2"/>
        </w:rPr>
        <w:fldChar w:fldCharType="separate"/>
      </w:r>
      <w:r>
        <w:rPr>
          <w:color w:val="auto"/>
        </w:rPr>
        <w:t>表 3.11</w:t>
      </w:r>
      <w:r>
        <w:rPr>
          <w:color w:val="auto"/>
        </w:rPr>
        <w:noBreakHyphen/>
      </w:r>
      <w:r>
        <w:rPr>
          <w:color w:val="auto"/>
        </w:rPr>
        <w:t>1</w:t>
      </w:r>
      <w:r>
        <w:rPr>
          <w:color w:val="auto"/>
          <w:kern w:val="2"/>
        </w:rPr>
        <w:fldChar w:fldCharType="end"/>
      </w:r>
      <w:r>
        <w:rPr>
          <w:color w:val="auto"/>
          <w:kern w:val="2"/>
        </w:rPr>
        <w:t>。</w:t>
      </w:r>
    </w:p>
    <w:p w14:paraId="295D9622">
      <w:pPr>
        <w:pStyle w:val="22"/>
        <w:spacing w:before="156"/>
        <w:rPr>
          <w:snapToGrid w:val="0"/>
          <w:color w:val="auto"/>
        </w:rPr>
      </w:pPr>
      <w:bookmarkStart w:id="832" w:name="_Ref211956879"/>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3.11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832"/>
      <w:r>
        <w:rPr>
          <w:snapToGrid w:val="0"/>
          <w:color w:val="auto"/>
        </w:rPr>
        <w:t>本项目主要技术经济指标汇总表</w:t>
      </w:r>
    </w:p>
    <w:tbl>
      <w:tblPr>
        <w:tblStyle w:val="81"/>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1"/>
        <w:gridCol w:w="7079"/>
      </w:tblGrid>
      <w:tr w14:paraId="24D31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81" w:type="dxa"/>
            <w:vAlign w:val="center"/>
          </w:tcPr>
          <w:p w14:paraId="06554C61">
            <w:pPr>
              <w:spacing w:line="340" w:lineRule="exact"/>
              <w:jc w:val="center"/>
              <w:rPr>
                <w:rFonts w:ascii="宋体" w:hAnsi="宋体" w:eastAsia="宋体" w:cs="Times New Roman"/>
                <w:color w:val="auto"/>
              </w:rPr>
            </w:pPr>
            <w:r>
              <w:rPr>
                <w:rFonts w:ascii="宋体" w:hAnsi="宋体" w:eastAsia="宋体" w:cs="Times New Roman"/>
                <w:color w:val="auto"/>
              </w:rPr>
              <w:t>类别</w:t>
            </w:r>
          </w:p>
        </w:tc>
        <w:tc>
          <w:tcPr>
            <w:tcW w:w="7079" w:type="dxa"/>
            <w:vAlign w:val="center"/>
          </w:tcPr>
          <w:p w14:paraId="115FD74B">
            <w:pPr>
              <w:spacing w:line="340" w:lineRule="exact"/>
              <w:jc w:val="center"/>
              <w:rPr>
                <w:rFonts w:ascii="宋体" w:hAnsi="宋体" w:eastAsia="宋体" w:cs="Times New Roman"/>
                <w:color w:val="auto"/>
              </w:rPr>
            </w:pPr>
            <w:r>
              <w:rPr>
                <w:rFonts w:ascii="宋体" w:hAnsi="宋体" w:eastAsia="宋体" w:cs="Times New Roman"/>
                <w:color w:val="auto"/>
              </w:rPr>
              <w:t>指标</w:t>
            </w:r>
          </w:p>
        </w:tc>
      </w:tr>
      <w:tr w14:paraId="7C35E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81" w:type="dxa"/>
            <w:vAlign w:val="center"/>
          </w:tcPr>
          <w:p w14:paraId="5163F3A2">
            <w:pPr>
              <w:spacing w:line="340" w:lineRule="exact"/>
              <w:jc w:val="center"/>
              <w:rPr>
                <w:rFonts w:ascii="宋体" w:hAnsi="宋体" w:eastAsia="宋体" w:cs="Times New Roman"/>
                <w:color w:val="auto"/>
              </w:rPr>
            </w:pPr>
            <w:r>
              <w:rPr>
                <w:rFonts w:ascii="宋体" w:hAnsi="宋体" w:eastAsia="宋体" w:cs="Times New Roman"/>
                <w:color w:val="auto"/>
              </w:rPr>
              <w:t>设计动用资源储量</w:t>
            </w:r>
          </w:p>
        </w:tc>
        <w:tc>
          <w:tcPr>
            <w:tcW w:w="7079" w:type="dxa"/>
            <w:vAlign w:val="center"/>
          </w:tcPr>
          <w:p w14:paraId="02867B53">
            <w:pPr>
              <w:spacing w:line="340" w:lineRule="exact"/>
              <w:rPr>
                <w:rFonts w:ascii="宋体" w:hAnsi="宋体" w:eastAsia="宋体" w:cs="Times New Roman"/>
                <w:color w:val="auto"/>
              </w:rPr>
            </w:pPr>
            <w:r>
              <w:rPr>
                <w:rFonts w:ascii="宋体" w:hAnsi="宋体" w:eastAsia="宋体" w:cs="Times New Roman"/>
                <w:color w:val="auto"/>
              </w:rPr>
              <w:t>预计建成原油产能1.16×10</w:t>
            </w:r>
            <w:r>
              <w:rPr>
                <w:rFonts w:ascii="宋体" w:hAnsi="宋体" w:eastAsia="宋体" w:cs="Times New Roman"/>
                <w:color w:val="auto"/>
                <w:vertAlign w:val="superscript"/>
              </w:rPr>
              <w:t>4</w:t>
            </w:r>
            <w:r>
              <w:rPr>
                <w:rFonts w:ascii="宋体" w:hAnsi="宋体" w:eastAsia="宋体" w:cs="Times New Roman"/>
                <w:color w:val="auto"/>
              </w:rPr>
              <w:t>t/a</w:t>
            </w:r>
          </w:p>
        </w:tc>
      </w:tr>
      <w:tr w14:paraId="76761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81" w:type="dxa"/>
            <w:vAlign w:val="center"/>
          </w:tcPr>
          <w:p w14:paraId="3A090334">
            <w:pPr>
              <w:spacing w:line="340" w:lineRule="exact"/>
              <w:jc w:val="center"/>
              <w:rPr>
                <w:rFonts w:ascii="宋体" w:hAnsi="宋体" w:eastAsia="宋体" w:cs="Times New Roman"/>
                <w:color w:val="auto"/>
              </w:rPr>
            </w:pPr>
            <w:r>
              <w:rPr>
                <w:rFonts w:ascii="宋体" w:hAnsi="宋体" w:eastAsia="宋体" w:cs="Times New Roman"/>
                <w:color w:val="auto"/>
              </w:rPr>
              <w:t>设计井数</w:t>
            </w:r>
          </w:p>
        </w:tc>
        <w:tc>
          <w:tcPr>
            <w:tcW w:w="7079" w:type="dxa"/>
            <w:vAlign w:val="center"/>
          </w:tcPr>
          <w:p w14:paraId="06CCB630">
            <w:pPr>
              <w:spacing w:line="340" w:lineRule="exact"/>
              <w:rPr>
                <w:rFonts w:ascii="宋体" w:hAnsi="宋体" w:eastAsia="宋体" w:cs="Times New Roman"/>
                <w:color w:val="auto"/>
              </w:rPr>
            </w:pPr>
            <w:r>
              <w:rPr>
                <w:rFonts w:ascii="宋体" w:hAnsi="宋体" w:eastAsia="宋体" w:cs="Times New Roman"/>
                <w:color w:val="auto"/>
              </w:rPr>
              <w:t>新钻井6口</w:t>
            </w:r>
            <w:r>
              <w:rPr>
                <w:rFonts w:hint="eastAsia" w:ascii="宋体" w:hAnsi="宋体" w:eastAsia="宋体" w:cs="Times New Roman"/>
                <w:color w:val="auto"/>
              </w:rPr>
              <w:t>，其中2口为勘探井，</w:t>
            </w:r>
            <w:r>
              <w:rPr>
                <w:rFonts w:ascii="宋体" w:hAnsi="宋体" w:eastAsia="宋体" w:cs="Times New Roman"/>
                <w:color w:val="auto"/>
              </w:rPr>
              <w:t>基建油井4口，全部为新钻井</w:t>
            </w:r>
          </w:p>
        </w:tc>
      </w:tr>
      <w:tr w14:paraId="7F666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81" w:type="dxa"/>
            <w:vAlign w:val="center"/>
          </w:tcPr>
          <w:p w14:paraId="2A5765CA">
            <w:pPr>
              <w:spacing w:line="340" w:lineRule="exact"/>
              <w:jc w:val="center"/>
              <w:rPr>
                <w:rFonts w:ascii="宋体" w:hAnsi="宋体" w:eastAsia="宋体" w:cs="Times New Roman"/>
                <w:color w:val="auto"/>
              </w:rPr>
            </w:pPr>
            <w:r>
              <w:rPr>
                <w:rFonts w:ascii="宋体" w:hAnsi="宋体" w:eastAsia="宋体" w:cs="Times New Roman"/>
                <w:color w:val="auto"/>
              </w:rPr>
              <w:t>不同规模站场数</w:t>
            </w:r>
          </w:p>
        </w:tc>
        <w:tc>
          <w:tcPr>
            <w:tcW w:w="7079" w:type="dxa"/>
            <w:vAlign w:val="center"/>
          </w:tcPr>
          <w:p w14:paraId="75E8CF52">
            <w:pPr>
              <w:spacing w:line="340" w:lineRule="exact"/>
              <w:rPr>
                <w:rFonts w:ascii="宋体" w:hAnsi="宋体" w:eastAsia="宋体" w:cs="Times New Roman"/>
                <w:color w:val="auto"/>
              </w:rPr>
            </w:pPr>
            <w:r>
              <w:rPr>
                <w:rFonts w:ascii="宋体" w:hAnsi="宋体" w:eastAsia="宋体" w:cs="Times New Roman"/>
                <w:color w:val="auto"/>
              </w:rPr>
              <w:t>依托联合站1座</w:t>
            </w:r>
          </w:p>
        </w:tc>
      </w:tr>
      <w:tr w14:paraId="17D2D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81" w:type="dxa"/>
            <w:vAlign w:val="center"/>
          </w:tcPr>
          <w:p w14:paraId="17942818">
            <w:pPr>
              <w:spacing w:line="340" w:lineRule="exact"/>
              <w:jc w:val="center"/>
              <w:rPr>
                <w:rFonts w:ascii="宋体" w:hAnsi="宋体" w:eastAsia="宋体" w:cs="Times New Roman"/>
                <w:color w:val="auto"/>
              </w:rPr>
            </w:pPr>
            <w:r>
              <w:rPr>
                <w:rFonts w:ascii="宋体" w:hAnsi="宋体" w:eastAsia="宋体" w:cs="Times New Roman"/>
                <w:color w:val="auto"/>
              </w:rPr>
              <w:t>管道长度</w:t>
            </w:r>
          </w:p>
        </w:tc>
        <w:tc>
          <w:tcPr>
            <w:tcW w:w="7079" w:type="dxa"/>
            <w:vAlign w:val="center"/>
          </w:tcPr>
          <w:p w14:paraId="29D2D219">
            <w:pPr>
              <w:spacing w:line="340" w:lineRule="exact"/>
              <w:rPr>
                <w:rFonts w:ascii="宋体" w:hAnsi="宋体" w:eastAsia="宋体" w:cs="Times New Roman"/>
                <w:color w:val="auto"/>
              </w:rPr>
            </w:pPr>
            <w:r>
              <w:rPr>
                <w:rFonts w:ascii="宋体" w:hAnsi="宋体" w:eastAsia="宋体" w:cs="Times New Roman"/>
                <w:color w:val="auto"/>
              </w:rPr>
              <w:t>新建集输管道0.06km。</w:t>
            </w:r>
          </w:p>
        </w:tc>
      </w:tr>
      <w:tr w14:paraId="2E7C1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81" w:type="dxa"/>
            <w:vAlign w:val="center"/>
          </w:tcPr>
          <w:p w14:paraId="0EA07D32">
            <w:pPr>
              <w:spacing w:line="340" w:lineRule="exact"/>
              <w:jc w:val="center"/>
              <w:rPr>
                <w:rFonts w:ascii="宋体" w:hAnsi="宋体" w:eastAsia="宋体" w:cs="Times New Roman"/>
                <w:color w:val="auto"/>
              </w:rPr>
            </w:pPr>
            <w:r>
              <w:rPr>
                <w:rFonts w:ascii="宋体" w:hAnsi="宋体" w:eastAsia="宋体" w:cs="Times New Roman"/>
                <w:color w:val="auto"/>
              </w:rPr>
              <w:t>能源消耗情况</w:t>
            </w:r>
          </w:p>
        </w:tc>
        <w:tc>
          <w:tcPr>
            <w:tcW w:w="7079" w:type="dxa"/>
            <w:vAlign w:val="center"/>
          </w:tcPr>
          <w:p w14:paraId="3DEFAAE6">
            <w:pPr>
              <w:spacing w:line="340" w:lineRule="exact"/>
              <w:rPr>
                <w:rFonts w:ascii="宋体" w:hAnsi="宋体" w:eastAsia="宋体" w:cs="Times New Roman"/>
                <w:color w:val="auto"/>
              </w:rPr>
            </w:pPr>
            <w:r>
              <w:rPr>
                <w:rFonts w:ascii="宋体" w:hAnsi="宋体" w:eastAsia="宋体" w:cs="Times New Roman"/>
                <w:color w:val="auto"/>
              </w:rPr>
              <w:t>本项目投产后，拉油点最大耗气量</w:t>
            </w:r>
            <w:r>
              <w:rPr>
                <w:rFonts w:hint="eastAsia" w:ascii="宋体" w:hAnsi="宋体" w:eastAsia="宋体" w:cs="Times New Roman"/>
                <w:color w:val="auto"/>
              </w:rPr>
              <w:t>318</w:t>
            </w:r>
            <w:r>
              <w:rPr>
                <w:rFonts w:ascii="宋体" w:hAnsi="宋体" w:eastAsia="宋体" w:cs="Times New Roman"/>
                <w:color w:val="auto"/>
              </w:rPr>
              <w:t>×10</w:t>
            </w:r>
            <w:r>
              <w:rPr>
                <w:rFonts w:ascii="宋体" w:hAnsi="宋体" w:eastAsia="宋体" w:cs="Times New Roman"/>
                <w:color w:val="auto"/>
                <w:vertAlign w:val="superscript"/>
              </w:rPr>
              <w:t>4</w:t>
            </w:r>
            <w:r>
              <w:rPr>
                <w:rFonts w:ascii="宋体" w:hAnsi="宋体" w:eastAsia="宋体" w:cs="Times New Roman"/>
                <w:color w:val="auto"/>
              </w:rPr>
              <w:t>m</w:t>
            </w:r>
            <w:r>
              <w:rPr>
                <w:rFonts w:ascii="宋体" w:hAnsi="宋体" w:eastAsia="宋体" w:cs="Times New Roman"/>
                <w:color w:val="auto"/>
                <w:vertAlign w:val="superscript"/>
              </w:rPr>
              <w:t>3</w:t>
            </w:r>
            <w:r>
              <w:rPr>
                <w:rFonts w:ascii="宋体" w:hAnsi="宋体" w:eastAsia="宋体" w:cs="Times New Roman"/>
                <w:color w:val="auto"/>
              </w:rPr>
              <w:t>/d，依托场站新增耗气量107.84万m</w:t>
            </w:r>
            <w:r>
              <w:rPr>
                <w:rFonts w:ascii="宋体" w:hAnsi="宋体" w:eastAsia="宋体" w:cs="Times New Roman"/>
                <w:color w:val="auto"/>
                <w:vertAlign w:val="superscript"/>
              </w:rPr>
              <w:t>3</w:t>
            </w:r>
            <w:r>
              <w:rPr>
                <w:rFonts w:ascii="宋体" w:hAnsi="宋体" w:eastAsia="宋体" w:cs="Times New Roman"/>
                <w:color w:val="auto"/>
              </w:rPr>
              <w:t>/a。新增耗电新增用电负荷 273.9万kWh/a。</w:t>
            </w:r>
          </w:p>
        </w:tc>
      </w:tr>
      <w:tr w14:paraId="3D001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81" w:type="dxa"/>
            <w:vAlign w:val="center"/>
          </w:tcPr>
          <w:p w14:paraId="6A2BCDE9">
            <w:pPr>
              <w:spacing w:line="340" w:lineRule="exact"/>
              <w:jc w:val="center"/>
              <w:rPr>
                <w:rFonts w:ascii="宋体" w:hAnsi="宋体" w:eastAsia="宋体" w:cs="Times New Roman"/>
                <w:color w:val="auto"/>
              </w:rPr>
            </w:pPr>
            <w:r>
              <w:rPr>
                <w:rFonts w:ascii="宋体" w:hAnsi="宋体" w:eastAsia="宋体" w:cs="Times New Roman"/>
                <w:color w:val="auto"/>
              </w:rPr>
              <w:t>工程临时占地及永久占地面积</w:t>
            </w:r>
          </w:p>
        </w:tc>
        <w:tc>
          <w:tcPr>
            <w:tcW w:w="7079" w:type="dxa"/>
            <w:vAlign w:val="center"/>
          </w:tcPr>
          <w:p w14:paraId="2D875CCE">
            <w:pPr>
              <w:spacing w:line="340" w:lineRule="exact"/>
              <w:rPr>
                <w:rFonts w:ascii="宋体" w:hAnsi="宋体" w:eastAsia="宋体" w:cs="Times New Roman"/>
                <w:color w:val="auto"/>
              </w:rPr>
            </w:pPr>
            <w:r>
              <w:rPr>
                <w:rFonts w:ascii="宋体" w:hAnsi="宋体" w:eastAsia="宋体" w:cs="Times New Roman"/>
                <w:color w:val="auto"/>
              </w:rPr>
              <w:t>本项目新增总占地面积为7.714hm</w:t>
            </w:r>
            <w:r>
              <w:rPr>
                <w:rFonts w:ascii="宋体" w:hAnsi="宋体" w:eastAsia="宋体" w:cs="Times New Roman"/>
                <w:color w:val="auto"/>
                <w:vertAlign w:val="superscript"/>
              </w:rPr>
              <w:t>2</w:t>
            </w:r>
            <w:r>
              <w:rPr>
                <w:rFonts w:ascii="宋体" w:hAnsi="宋体" w:eastAsia="宋体" w:cs="Times New Roman"/>
                <w:color w:val="auto"/>
              </w:rPr>
              <w:t>，其中永久占地面积为</w:t>
            </w:r>
            <w:r>
              <w:rPr>
                <w:rFonts w:hint="eastAsia" w:ascii="宋体" w:hAnsi="宋体" w:eastAsia="宋体" w:cs="Times New Roman"/>
                <w:color w:val="auto"/>
              </w:rPr>
              <w:t>3.254</w:t>
            </w:r>
            <w:r>
              <w:rPr>
                <w:rFonts w:ascii="宋体" w:hAnsi="宋体" w:eastAsia="宋体" w:cs="Times New Roman"/>
                <w:color w:val="auto"/>
              </w:rPr>
              <w:t>hm</w:t>
            </w:r>
            <w:r>
              <w:rPr>
                <w:rFonts w:ascii="宋体" w:hAnsi="宋体" w:eastAsia="宋体" w:cs="Times New Roman"/>
                <w:color w:val="auto"/>
                <w:vertAlign w:val="superscript"/>
              </w:rPr>
              <w:t>2</w:t>
            </w:r>
            <w:r>
              <w:rPr>
                <w:rFonts w:ascii="宋体" w:hAnsi="宋体" w:eastAsia="宋体" w:cs="Times New Roman"/>
                <w:color w:val="auto"/>
              </w:rPr>
              <w:t>，临时占地面积为4.46hm</w:t>
            </w:r>
            <w:r>
              <w:rPr>
                <w:rFonts w:ascii="宋体" w:hAnsi="宋体" w:eastAsia="宋体" w:cs="Times New Roman"/>
                <w:color w:val="auto"/>
                <w:vertAlign w:val="superscript"/>
              </w:rPr>
              <w:t>2</w:t>
            </w:r>
            <w:r>
              <w:rPr>
                <w:rFonts w:ascii="宋体" w:hAnsi="宋体" w:eastAsia="宋体" w:cs="Times New Roman"/>
                <w:color w:val="auto"/>
              </w:rPr>
              <w:t>，占地类型为耕地和草地</w:t>
            </w:r>
          </w:p>
        </w:tc>
      </w:tr>
      <w:tr w14:paraId="159A0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81" w:type="dxa"/>
            <w:vAlign w:val="center"/>
          </w:tcPr>
          <w:p w14:paraId="47E54588">
            <w:pPr>
              <w:spacing w:line="340" w:lineRule="exact"/>
              <w:jc w:val="center"/>
              <w:rPr>
                <w:rFonts w:ascii="宋体" w:hAnsi="宋体" w:eastAsia="宋体" w:cs="Times New Roman"/>
                <w:color w:val="auto"/>
              </w:rPr>
            </w:pPr>
            <w:r>
              <w:rPr>
                <w:rFonts w:ascii="宋体" w:hAnsi="宋体" w:eastAsia="宋体" w:cs="Times New Roman"/>
                <w:color w:val="auto"/>
              </w:rPr>
              <w:t>工作制度</w:t>
            </w:r>
          </w:p>
        </w:tc>
        <w:tc>
          <w:tcPr>
            <w:tcW w:w="7079" w:type="dxa"/>
            <w:vAlign w:val="center"/>
          </w:tcPr>
          <w:p w14:paraId="41A943C7">
            <w:pPr>
              <w:spacing w:line="340" w:lineRule="exact"/>
              <w:rPr>
                <w:rFonts w:ascii="宋体" w:hAnsi="宋体" w:eastAsia="宋体" w:cs="Times New Roman"/>
                <w:color w:val="auto"/>
              </w:rPr>
            </w:pPr>
            <w:r>
              <w:rPr>
                <w:rFonts w:ascii="宋体" w:hAnsi="宋体" w:eastAsia="宋体" w:cs="Times New Roman"/>
                <w:color w:val="auto"/>
              </w:rPr>
              <w:t>基建油井年生产300d，每天24小时。集中拉油点全年运行。</w:t>
            </w:r>
          </w:p>
        </w:tc>
      </w:tr>
      <w:tr w14:paraId="7B99D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81" w:type="dxa"/>
            <w:vAlign w:val="center"/>
          </w:tcPr>
          <w:p w14:paraId="51F82FB1">
            <w:pPr>
              <w:spacing w:line="340" w:lineRule="exact"/>
              <w:jc w:val="center"/>
              <w:rPr>
                <w:rFonts w:ascii="宋体" w:hAnsi="宋体" w:eastAsia="宋体" w:cs="Times New Roman"/>
                <w:color w:val="auto"/>
              </w:rPr>
            </w:pPr>
            <w:r>
              <w:rPr>
                <w:rFonts w:ascii="宋体" w:hAnsi="宋体" w:eastAsia="宋体" w:cs="Times New Roman"/>
                <w:color w:val="auto"/>
              </w:rPr>
              <w:t>在册职工人数</w:t>
            </w:r>
          </w:p>
        </w:tc>
        <w:tc>
          <w:tcPr>
            <w:tcW w:w="7079" w:type="dxa"/>
            <w:vAlign w:val="center"/>
          </w:tcPr>
          <w:p w14:paraId="394A89EB">
            <w:pPr>
              <w:spacing w:line="340" w:lineRule="exact"/>
              <w:rPr>
                <w:rFonts w:ascii="宋体" w:hAnsi="宋体" w:eastAsia="宋体" w:cs="Times New Roman"/>
                <w:color w:val="auto"/>
              </w:rPr>
            </w:pPr>
            <w:r>
              <w:rPr>
                <w:rFonts w:ascii="宋体" w:hAnsi="宋体" w:eastAsia="宋体" w:cs="Times New Roman"/>
                <w:color w:val="auto"/>
              </w:rPr>
              <w:t>施工期钻井队在井人数20人，压裂及地面建设施工人数20人，拉油点无人值守，运营期不新增劳动定员。</w:t>
            </w:r>
          </w:p>
        </w:tc>
      </w:tr>
      <w:tr w14:paraId="0FF26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81" w:type="dxa"/>
            <w:vAlign w:val="center"/>
          </w:tcPr>
          <w:p w14:paraId="57C446E6">
            <w:pPr>
              <w:spacing w:line="340" w:lineRule="exact"/>
              <w:jc w:val="center"/>
              <w:rPr>
                <w:rFonts w:ascii="宋体" w:hAnsi="宋体" w:eastAsia="宋体" w:cs="Times New Roman"/>
                <w:color w:val="auto"/>
              </w:rPr>
            </w:pPr>
            <w:r>
              <w:rPr>
                <w:rFonts w:ascii="宋体" w:hAnsi="宋体" w:eastAsia="宋体" w:cs="Times New Roman"/>
                <w:color w:val="auto"/>
              </w:rPr>
              <w:t>总投资及环境保护投资</w:t>
            </w:r>
          </w:p>
        </w:tc>
        <w:tc>
          <w:tcPr>
            <w:tcW w:w="7079" w:type="dxa"/>
            <w:vAlign w:val="center"/>
          </w:tcPr>
          <w:p w14:paraId="1FE0D905">
            <w:pPr>
              <w:spacing w:line="340" w:lineRule="exact"/>
              <w:rPr>
                <w:rFonts w:ascii="宋体" w:hAnsi="宋体" w:eastAsia="宋体" w:cs="Times New Roman"/>
                <w:color w:val="auto"/>
              </w:rPr>
            </w:pPr>
            <w:r>
              <w:rPr>
                <w:rFonts w:ascii="宋体" w:hAnsi="宋体" w:eastAsia="宋体" w:cs="Times New Roman"/>
                <w:color w:val="auto"/>
              </w:rPr>
              <w:t>总投资</w:t>
            </w:r>
            <w:r>
              <w:rPr>
                <w:rFonts w:hint="eastAsia" w:ascii="宋体" w:hAnsi="宋体" w:eastAsia="宋体" w:cs="Times New Roman"/>
                <w:color w:val="auto"/>
              </w:rPr>
              <w:t>13156</w:t>
            </w:r>
            <w:r>
              <w:rPr>
                <w:rFonts w:ascii="宋体" w:hAnsi="宋体" w:eastAsia="宋体" w:cs="Times New Roman"/>
                <w:color w:val="auto"/>
              </w:rPr>
              <w:t>万元，环保投资</w:t>
            </w:r>
            <w:r>
              <w:rPr>
                <w:rFonts w:hint="eastAsia" w:ascii="宋体" w:hAnsi="宋体" w:eastAsia="宋体" w:cs="Times New Roman"/>
                <w:color w:val="auto"/>
              </w:rPr>
              <w:t>87.82</w:t>
            </w:r>
            <w:r>
              <w:rPr>
                <w:rFonts w:ascii="宋体" w:hAnsi="宋体" w:eastAsia="宋体" w:cs="Times New Roman"/>
                <w:color w:val="auto"/>
              </w:rPr>
              <w:t>万元，环保投资占比</w:t>
            </w:r>
            <w:r>
              <w:rPr>
                <w:rFonts w:hint="eastAsia" w:ascii="宋体" w:hAnsi="宋体" w:eastAsia="宋体" w:cs="Times New Roman"/>
                <w:color w:val="auto"/>
              </w:rPr>
              <w:t>0.67%</w:t>
            </w:r>
            <w:r>
              <w:rPr>
                <w:rFonts w:ascii="宋体" w:hAnsi="宋体" w:eastAsia="宋体" w:cs="Times New Roman"/>
                <w:color w:val="auto"/>
              </w:rPr>
              <w:t>。</w:t>
            </w:r>
          </w:p>
        </w:tc>
      </w:tr>
    </w:tbl>
    <w:p w14:paraId="57CF5E6F">
      <w:pPr>
        <w:rPr>
          <w:color w:val="auto"/>
        </w:rPr>
      </w:pPr>
    </w:p>
    <w:p w14:paraId="71FFE9C6">
      <w:pPr>
        <w:pStyle w:val="5"/>
        <w:rPr>
          <w:bCs w:val="0"/>
          <w:color w:val="auto"/>
        </w:rPr>
      </w:pPr>
      <w:bookmarkStart w:id="833" w:name="_Toc212033022"/>
      <w:r>
        <w:rPr>
          <w:bCs w:val="0"/>
          <w:color w:val="auto"/>
        </w:rPr>
        <w:t>依托工程分析</w:t>
      </w:r>
      <w:bookmarkEnd w:id="828"/>
      <w:bookmarkEnd w:id="833"/>
    </w:p>
    <w:p w14:paraId="01B84BD1">
      <w:pPr>
        <w:pStyle w:val="6"/>
        <w:rPr>
          <w:color w:val="auto"/>
        </w:rPr>
      </w:pPr>
      <w:bookmarkStart w:id="834" w:name="_Toc83209486"/>
      <w:bookmarkStart w:id="835" w:name="_Toc84929242"/>
      <w:bookmarkStart w:id="836" w:name="_Toc85640766"/>
      <w:bookmarkStart w:id="837" w:name="_Toc86141945"/>
      <w:bookmarkStart w:id="838" w:name="_Toc127192352"/>
      <w:bookmarkStart w:id="839" w:name="_Toc143099588"/>
      <w:bookmarkStart w:id="840" w:name="_Toc131167303"/>
      <w:bookmarkStart w:id="841" w:name="_Toc126863403"/>
      <w:r>
        <w:rPr>
          <w:color w:val="auto"/>
        </w:rPr>
        <w:t>依托工程能力核实及运行现状分析</w:t>
      </w:r>
      <w:bookmarkEnd w:id="834"/>
      <w:bookmarkEnd w:id="835"/>
      <w:bookmarkEnd w:id="836"/>
      <w:bookmarkEnd w:id="837"/>
      <w:bookmarkEnd w:id="838"/>
      <w:bookmarkEnd w:id="839"/>
      <w:bookmarkEnd w:id="840"/>
      <w:bookmarkEnd w:id="841"/>
    </w:p>
    <w:p w14:paraId="16414035">
      <w:pPr>
        <w:pStyle w:val="276"/>
        <w:widowControl w:val="0"/>
        <w:ind w:firstLine="480"/>
        <w:jc w:val="both"/>
        <w:rPr>
          <w:color w:val="auto"/>
          <w:kern w:val="2"/>
        </w:rPr>
      </w:pPr>
      <w:r>
        <w:rPr>
          <w:color w:val="auto"/>
          <w:kern w:val="2"/>
        </w:rPr>
        <w:t>本项目施工期产生的水基钻井岩屑、水基废钻井液和不含油射孔液属于一般固体废物，依托大庆油田昆仑集团有限公司环保分公司处理。油基废钻井液、油基钻井岩屑和含油废射孔液属于危险废物，排入井场设置的油基钢制泥浆槽，委托有危废处理资质的黑龙江迈景环保科技有限公司处理。膨润土、纯碱、重晶石粉废弃包装袋、施工废料属于一般固体废物，依托第八采油厂工业固废填埋场处理。压裂返排液依托朝一联压裂返排液无害化处理站处理。</w:t>
      </w:r>
    </w:p>
    <w:p w14:paraId="6048FC55">
      <w:pPr>
        <w:pStyle w:val="276"/>
        <w:widowControl w:val="0"/>
        <w:ind w:firstLine="480"/>
        <w:jc w:val="both"/>
        <w:rPr>
          <w:color w:val="auto"/>
          <w:kern w:val="2"/>
        </w:rPr>
      </w:pPr>
      <w:r>
        <w:rPr>
          <w:color w:val="auto"/>
          <w:kern w:val="2"/>
        </w:rPr>
        <w:t>本项目运营期油井产液经拉油点储罐收集后，定期由罐车拉运至朝二联卸油点进朝二联转油脱水站处理，处理后分离出的污水管输进入朝二联含油污水处理站处理达到《大庆油田地面工程建设设计规定》（Q/SYDQ0639-2015）及</w:t>
      </w:r>
      <w:r>
        <w:rPr>
          <w:color w:val="auto"/>
        </w:rPr>
        <w:t>《碎屑岩油藏注水水质指标技术要求及分析方法》</w:t>
      </w:r>
      <w:r>
        <w:rPr>
          <w:color w:val="auto"/>
          <w:kern w:val="2"/>
        </w:rPr>
        <w:t>（SY/T5329-2022）限值要求后用于回注油层注水驱油。拉油点储罐</w:t>
      </w:r>
      <w:r>
        <w:rPr>
          <w:color w:val="auto"/>
        </w:rPr>
        <w:t>伴生气用于拉油点多功能储罐加热炉自耗，不外排</w:t>
      </w:r>
      <w:r>
        <w:rPr>
          <w:color w:val="auto"/>
          <w:kern w:val="2"/>
        </w:rPr>
        <w:t>。</w:t>
      </w:r>
    </w:p>
    <w:p w14:paraId="6B0539DE">
      <w:pPr>
        <w:pStyle w:val="276"/>
        <w:widowControl w:val="0"/>
        <w:ind w:firstLine="480"/>
        <w:jc w:val="both"/>
        <w:rPr>
          <w:color w:val="auto"/>
        </w:rPr>
      </w:pPr>
      <w:r>
        <w:rPr>
          <w:color w:val="auto"/>
        </w:rPr>
        <w:t>（1）朝二联卸油点</w:t>
      </w:r>
    </w:p>
    <w:p w14:paraId="4289F68E">
      <w:pPr>
        <w:pStyle w:val="276"/>
        <w:widowControl w:val="0"/>
        <w:ind w:firstLine="480"/>
        <w:jc w:val="both"/>
        <w:rPr>
          <w:color w:val="auto"/>
          <w:kern w:val="2"/>
        </w:rPr>
      </w:pPr>
      <w:r>
        <w:rPr>
          <w:color w:val="auto"/>
          <w:kern w:val="2"/>
        </w:rPr>
        <w:t>朝二联卸油点已建1座16m×6m卸油池，输油泵2台(Q-30m</w:t>
      </w:r>
      <w:r>
        <w:rPr>
          <w:color w:val="auto"/>
          <w:kern w:val="2"/>
          <w:vertAlign w:val="superscript"/>
        </w:rPr>
        <w:t>3</w:t>
      </w:r>
      <w:r>
        <w:rPr>
          <w:color w:val="auto"/>
          <w:kern w:val="2"/>
        </w:rPr>
        <w:t>/h，H-100m)，按照两台泵同时工作，日工作时间8h计算，可完成480m</w:t>
      </w:r>
      <w:r>
        <w:rPr>
          <w:color w:val="auto"/>
          <w:kern w:val="2"/>
          <w:vertAlign w:val="superscript"/>
        </w:rPr>
        <w:t>3/</w:t>
      </w:r>
      <w:r>
        <w:rPr>
          <w:color w:val="auto"/>
          <w:kern w:val="2"/>
        </w:rPr>
        <w:t>d的收液任务，目前实际日最大收液量约为113m</w:t>
      </w:r>
      <w:r>
        <w:rPr>
          <w:color w:val="auto"/>
          <w:kern w:val="2"/>
          <w:vertAlign w:val="superscript"/>
        </w:rPr>
        <w:t>3</w:t>
      </w:r>
      <w:r>
        <w:rPr>
          <w:color w:val="auto"/>
          <w:kern w:val="2"/>
        </w:rPr>
        <w:t>/d，负荷率为23.5%。本项目施工期2口勘探井试油产液通过拉油罐车进入朝二联卸油点，根据设计方案，</w:t>
      </w:r>
      <w:r>
        <w:rPr>
          <w:color w:val="auto"/>
        </w:rPr>
        <w:t>源斜2401预计试油获得</w:t>
      </w:r>
      <w:r>
        <w:rPr>
          <w:color w:val="auto"/>
          <w:lang w:bidi="ar"/>
        </w:rPr>
        <w:t>2.02t/d的工业油流，</w:t>
      </w:r>
      <w:r>
        <w:rPr>
          <w:color w:val="auto"/>
        </w:rPr>
        <w:t>源1011井计试油获得</w:t>
      </w:r>
      <w:r>
        <w:rPr>
          <w:color w:val="auto"/>
          <w:lang w:bidi="ar"/>
        </w:rPr>
        <w:t>1.93t/d的工业油流，合计</w:t>
      </w:r>
      <w:r>
        <w:rPr>
          <w:color w:val="auto"/>
          <w:kern w:val="2"/>
        </w:rPr>
        <w:t>新增最大产液量为3.95m</w:t>
      </w:r>
      <w:r>
        <w:rPr>
          <w:color w:val="auto"/>
          <w:kern w:val="2"/>
          <w:vertAlign w:val="superscript"/>
        </w:rPr>
        <w:t>3</w:t>
      </w:r>
      <w:r>
        <w:rPr>
          <w:color w:val="auto"/>
          <w:kern w:val="2"/>
        </w:rPr>
        <w:t>/d，新增后朝二联卸油点收液量约为116.95m</w:t>
      </w:r>
      <w:r>
        <w:rPr>
          <w:color w:val="auto"/>
          <w:kern w:val="2"/>
          <w:vertAlign w:val="superscript"/>
        </w:rPr>
        <w:t>3</w:t>
      </w:r>
      <w:r>
        <w:rPr>
          <w:color w:val="auto"/>
          <w:kern w:val="2"/>
        </w:rPr>
        <w:t>/d，负荷率为24.4%，处理能力满足要求</w:t>
      </w:r>
      <w:r>
        <w:rPr>
          <w:rFonts w:hint="eastAsia"/>
          <w:color w:val="auto"/>
          <w:kern w:val="2"/>
        </w:rPr>
        <w:t>。</w:t>
      </w:r>
      <w:r>
        <w:rPr>
          <w:color w:val="auto"/>
          <w:kern w:val="2"/>
        </w:rPr>
        <w:t>运营期，4口基建井的最大日产液量为110.8m</w:t>
      </w:r>
      <w:r>
        <w:rPr>
          <w:color w:val="auto"/>
          <w:kern w:val="2"/>
          <w:vertAlign w:val="superscript"/>
        </w:rPr>
        <w:t>3</w:t>
      </w:r>
      <w:r>
        <w:rPr>
          <w:color w:val="auto"/>
          <w:kern w:val="2"/>
        </w:rPr>
        <w:t>，新增后朝二联卸油点收液量约为229.95m</w:t>
      </w:r>
      <w:r>
        <w:rPr>
          <w:color w:val="auto"/>
          <w:kern w:val="2"/>
          <w:vertAlign w:val="superscript"/>
        </w:rPr>
        <w:t>3</w:t>
      </w:r>
      <w:r>
        <w:rPr>
          <w:color w:val="auto"/>
          <w:kern w:val="2"/>
        </w:rPr>
        <w:t>/d，负荷率为47.9%，新增产能后朝二联卸油点负荷率为28.33%，处理能力满足要求。</w:t>
      </w:r>
    </w:p>
    <w:p w14:paraId="41C477A2">
      <w:pPr>
        <w:pStyle w:val="276"/>
        <w:widowControl w:val="0"/>
        <w:ind w:firstLine="480"/>
        <w:jc w:val="both"/>
        <w:rPr>
          <w:color w:val="auto"/>
        </w:rPr>
      </w:pPr>
      <w:r>
        <w:rPr>
          <w:color w:val="auto"/>
        </w:rPr>
        <w:t>根据根据大庆中环评价检测有限公司于2023年7月13日</w:t>
      </w:r>
      <w:r>
        <w:rPr>
          <w:rFonts w:hint="eastAsia"/>
          <w:color w:val="auto"/>
          <w:kern w:val="2"/>
        </w:rPr>
        <w:t>～</w:t>
      </w:r>
      <w:r>
        <w:rPr>
          <w:color w:val="auto"/>
        </w:rPr>
        <w:t>14日对朝二联卸油点的监测结果可知，厂界非甲烷总烃浓度为0.48-0.71mg/m</w:t>
      </w:r>
      <w:r>
        <w:rPr>
          <w:color w:val="auto"/>
          <w:vertAlign w:val="superscript"/>
        </w:rPr>
        <w:t>3</w:t>
      </w:r>
      <w:r>
        <w:rPr>
          <w:color w:val="auto"/>
        </w:rPr>
        <w:t>，满足《陆上石油天然气开采工业大气污染物排放标准》（GB39728-2020）5.9中规定要求。厂区内</w:t>
      </w:r>
      <w:r>
        <w:rPr>
          <w:color w:val="auto"/>
          <w:kern w:val="2"/>
        </w:rPr>
        <w:t>放的非甲烷总烃泵房外监控点1h平均浓度值在0.48</w:t>
      </w:r>
      <w:r>
        <w:rPr>
          <w:rFonts w:hint="eastAsia"/>
          <w:color w:val="auto"/>
          <w:kern w:val="2"/>
        </w:rPr>
        <w:t>～</w:t>
      </w:r>
      <w:r>
        <w:rPr>
          <w:color w:val="auto"/>
          <w:kern w:val="2"/>
        </w:rPr>
        <w:t>0.7</w:t>
      </w:r>
      <w:r>
        <w:rPr>
          <w:color w:val="auto"/>
        </w:rPr>
        <w:t>mg/m</w:t>
      </w:r>
      <w:r>
        <w:rPr>
          <w:color w:val="auto"/>
          <w:vertAlign w:val="superscript"/>
        </w:rPr>
        <w:t>3</w:t>
      </w:r>
      <w:r>
        <w:rPr>
          <w:color w:val="auto"/>
        </w:rPr>
        <w:t>之间</w:t>
      </w:r>
      <w:r>
        <w:rPr>
          <w:color w:val="auto"/>
          <w:kern w:val="2"/>
        </w:rPr>
        <w:t>，任意一次浓度值在0.66</w:t>
      </w:r>
      <w:r>
        <w:rPr>
          <w:rFonts w:hint="eastAsia"/>
          <w:color w:val="auto"/>
          <w:kern w:val="2"/>
        </w:rPr>
        <w:t>～</w:t>
      </w:r>
      <w:r>
        <w:rPr>
          <w:color w:val="auto"/>
          <w:kern w:val="2"/>
        </w:rPr>
        <w:t>0.68</w:t>
      </w:r>
      <w:r>
        <w:rPr>
          <w:color w:val="auto"/>
        </w:rPr>
        <w:t>mg/m</w:t>
      </w:r>
      <w:r>
        <w:rPr>
          <w:color w:val="auto"/>
          <w:vertAlign w:val="superscript"/>
        </w:rPr>
        <w:t>3</w:t>
      </w:r>
      <w:r>
        <w:rPr>
          <w:color w:val="auto"/>
        </w:rPr>
        <w:t>之间</w:t>
      </w:r>
      <w:r>
        <w:rPr>
          <w:color w:val="auto"/>
          <w:kern w:val="2"/>
        </w:rPr>
        <w:t>，</w:t>
      </w:r>
      <w:r>
        <w:rPr>
          <w:color w:val="auto"/>
        </w:rPr>
        <w:t>满足《挥发性有机物无组织排放控制标准》（GB 37822-2019）附录A 中VOCs 无组织排放限值要求；</w:t>
      </w:r>
      <w:r>
        <w:rPr>
          <w:color w:val="auto"/>
          <w:kern w:val="2"/>
        </w:rPr>
        <w:t>厂界噪声昼间在46.4</w:t>
      </w:r>
      <w:r>
        <w:rPr>
          <w:rFonts w:hint="eastAsia"/>
          <w:color w:val="auto"/>
          <w:kern w:val="2"/>
        </w:rPr>
        <w:t>～</w:t>
      </w:r>
      <w:r>
        <w:rPr>
          <w:color w:val="auto"/>
          <w:kern w:val="2"/>
        </w:rPr>
        <w:t>49.5dB（A）之间，夜间在43.6</w:t>
      </w:r>
      <w:r>
        <w:rPr>
          <w:rFonts w:hint="eastAsia"/>
          <w:color w:val="auto"/>
          <w:kern w:val="2"/>
        </w:rPr>
        <w:t>～</w:t>
      </w:r>
      <w:r>
        <w:rPr>
          <w:color w:val="auto"/>
          <w:kern w:val="2"/>
        </w:rPr>
        <w:t>46.9dB（A）之间，</w:t>
      </w:r>
      <w:r>
        <w:rPr>
          <w:color w:val="auto"/>
        </w:rPr>
        <w:t>可以满足《工业企业厂界环境噪声排放标准》（GB12348-2008）中2类标准；</w:t>
      </w:r>
    </w:p>
    <w:p w14:paraId="292E57B9">
      <w:pPr>
        <w:pStyle w:val="276"/>
        <w:widowControl w:val="0"/>
        <w:ind w:firstLine="480"/>
        <w:jc w:val="both"/>
        <w:rPr>
          <w:color w:val="auto"/>
          <w:kern w:val="2"/>
          <w:lang w:val="de-DE"/>
        </w:rPr>
      </w:pPr>
      <w:r>
        <w:rPr>
          <w:color w:val="auto"/>
          <w:kern w:val="2"/>
          <w:lang w:val="de-DE"/>
        </w:rPr>
        <w:t>（</w:t>
      </w:r>
      <w:r>
        <w:rPr>
          <w:rFonts w:hint="eastAsia"/>
          <w:color w:val="auto"/>
          <w:kern w:val="2"/>
        </w:rPr>
        <w:t>2</w:t>
      </w:r>
      <w:r>
        <w:rPr>
          <w:color w:val="auto"/>
          <w:kern w:val="2"/>
          <w:lang w:val="de-DE"/>
        </w:rPr>
        <w:t>）朝二联脱水站</w:t>
      </w:r>
    </w:p>
    <w:p w14:paraId="71E80DD3">
      <w:pPr>
        <w:pStyle w:val="276"/>
        <w:widowControl w:val="0"/>
        <w:ind w:firstLine="480"/>
        <w:jc w:val="both"/>
        <w:rPr>
          <w:color w:val="auto"/>
          <w:kern w:val="2"/>
          <w:lang w:val="de-DE"/>
        </w:rPr>
      </w:pPr>
      <w:r>
        <w:rPr>
          <w:color w:val="auto"/>
          <w:kern w:val="2"/>
        </w:rPr>
        <w:t>朝二联脱水站于1991年投产，主要承担第三作业区越站地区10座集油阀组间、4 座转油站（朝17、朝18、朝20、朝四联）、第五作业区3座转油站（朝21、朝27、朝三联）含水油处理及外输任务，朝二联脱水站采用“三合一+电脱水”两段处理工艺，</w:t>
      </w:r>
      <w:r>
        <w:rPr>
          <w:color w:val="auto"/>
        </w:rPr>
        <w:t>站内主要设备有：5000t/d三合一装置3台、1700t/d电脱水器2台、加热炉7台；该站游离水脱除能力15000t/d，目前处理量7729.5t/d。电脱水器处理能力2500t/d，目前处理量500t/d，本项目开采初期最大产液量</w:t>
      </w:r>
      <w:r>
        <w:rPr>
          <w:rFonts w:hint="eastAsia"/>
          <w:color w:val="auto"/>
        </w:rPr>
        <w:t>110.8</w:t>
      </w:r>
      <w:r>
        <w:rPr>
          <w:color w:val="auto"/>
        </w:rPr>
        <w:t>t/d，增加本项目产液后朝二联脱水站一段游离水脱除器处理量处理液量为</w:t>
      </w:r>
      <w:r>
        <w:rPr>
          <w:rFonts w:hint="eastAsia"/>
          <w:color w:val="auto"/>
        </w:rPr>
        <w:t>7840.3</w:t>
      </w:r>
      <w:r>
        <w:rPr>
          <w:color w:val="auto"/>
        </w:rPr>
        <w:t>t/d，负荷率</w:t>
      </w:r>
      <w:r>
        <w:rPr>
          <w:rFonts w:hint="eastAsia"/>
          <w:color w:val="auto"/>
        </w:rPr>
        <w:t>52.3</w:t>
      </w:r>
      <w:r>
        <w:rPr>
          <w:color w:val="auto"/>
        </w:rPr>
        <w:t>%；二段电脱水器处理液量</w:t>
      </w:r>
      <w:r>
        <w:rPr>
          <w:rFonts w:hint="eastAsia"/>
          <w:color w:val="auto"/>
        </w:rPr>
        <w:t>610.8</w:t>
      </w:r>
      <w:r>
        <w:rPr>
          <w:color w:val="auto"/>
        </w:rPr>
        <w:t>t/d，负荷率</w:t>
      </w:r>
      <w:r>
        <w:rPr>
          <w:rFonts w:hint="eastAsia"/>
          <w:color w:val="auto"/>
        </w:rPr>
        <w:t>24.4</w:t>
      </w:r>
      <w:r>
        <w:rPr>
          <w:color w:val="auto"/>
        </w:rPr>
        <w:t>%，满足本项目依托需求。</w:t>
      </w:r>
    </w:p>
    <w:p w14:paraId="6E674BA4">
      <w:pPr>
        <w:pStyle w:val="276"/>
        <w:widowControl w:val="0"/>
        <w:ind w:firstLine="480"/>
        <w:jc w:val="both"/>
        <w:rPr>
          <w:color w:val="auto"/>
          <w:kern w:val="2"/>
        </w:rPr>
      </w:pPr>
      <w:r>
        <w:rPr>
          <w:color w:val="auto"/>
          <w:kern w:val="2"/>
        </w:rPr>
        <w:t>根据现场勘查，目前朝二联脱水站运行正常，</w:t>
      </w:r>
      <w:r>
        <w:rPr>
          <w:color w:val="auto"/>
        </w:rPr>
        <w:t>根据大庆中环评价检测有限公司于2025年3月17日</w:t>
      </w:r>
      <w:r>
        <w:rPr>
          <w:rFonts w:hint="eastAsia"/>
          <w:color w:val="auto"/>
          <w:kern w:val="2"/>
        </w:rPr>
        <w:t>～</w:t>
      </w:r>
      <w:r>
        <w:rPr>
          <w:color w:val="auto"/>
        </w:rPr>
        <w:t>18日对超二联合站的监测结果可知（见附件7）</w:t>
      </w:r>
      <w:r>
        <w:rPr>
          <w:color w:val="auto"/>
          <w:kern w:val="2"/>
        </w:rPr>
        <w:t>，朝二联脱水站</w:t>
      </w:r>
      <w:r>
        <w:rPr>
          <w:color w:val="auto"/>
        </w:rPr>
        <w:t>加热炉燃料为天然气，产生的烟气较为清洁，并采用低氮燃烧器，由15m高烟囱排放，加热炉烟气颗粒物浓度为8.2</w:t>
      </w:r>
      <w:r>
        <w:rPr>
          <w:rFonts w:hint="eastAsia"/>
          <w:color w:val="auto"/>
          <w:kern w:val="2"/>
        </w:rPr>
        <w:t>～</w:t>
      </w:r>
      <w:r>
        <w:rPr>
          <w:color w:val="auto"/>
        </w:rPr>
        <w:t>9.0mg/m</w:t>
      </w:r>
      <w:r>
        <w:rPr>
          <w:color w:val="auto"/>
          <w:vertAlign w:val="superscript"/>
        </w:rPr>
        <w:t>3</w:t>
      </w:r>
      <w:r>
        <w:rPr>
          <w:color w:val="auto"/>
        </w:rPr>
        <w:t>，NO</w:t>
      </w:r>
      <w:r>
        <w:rPr>
          <w:color w:val="auto"/>
          <w:vertAlign w:val="subscript"/>
        </w:rPr>
        <w:t>x</w:t>
      </w:r>
      <w:r>
        <w:rPr>
          <w:color w:val="auto"/>
        </w:rPr>
        <w:t>浓度为65</w:t>
      </w:r>
      <w:r>
        <w:rPr>
          <w:rFonts w:hint="eastAsia"/>
          <w:color w:val="auto"/>
          <w:kern w:val="2"/>
        </w:rPr>
        <w:t>～</w:t>
      </w:r>
      <w:r>
        <w:rPr>
          <w:color w:val="auto"/>
        </w:rPr>
        <w:t>79mg/m</w:t>
      </w:r>
      <w:r>
        <w:rPr>
          <w:color w:val="auto"/>
          <w:vertAlign w:val="superscript"/>
        </w:rPr>
        <w:t>3</w:t>
      </w:r>
      <w:r>
        <w:rPr>
          <w:color w:val="auto"/>
        </w:rPr>
        <w:t>，SO</w:t>
      </w:r>
      <w:r>
        <w:rPr>
          <w:color w:val="auto"/>
          <w:vertAlign w:val="subscript"/>
        </w:rPr>
        <w:t>2</w:t>
      </w:r>
      <w:r>
        <w:rPr>
          <w:color w:val="auto"/>
        </w:rPr>
        <w:t>浓度为7</w:t>
      </w:r>
      <w:r>
        <w:rPr>
          <w:rFonts w:hint="eastAsia"/>
          <w:color w:val="auto"/>
          <w:kern w:val="2"/>
        </w:rPr>
        <w:t>～</w:t>
      </w:r>
      <w:r>
        <w:rPr>
          <w:color w:val="auto"/>
        </w:rPr>
        <w:t>10mg/m</w:t>
      </w:r>
      <w:r>
        <w:rPr>
          <w:color w:val="auto"/>
          <w:vertAlign w:val="superscript"/>
        </w:rPr>
        <w:t>3</w:t>
      </w:r>
      <w:r>
        <w:rPr>
          <w:color w:val="auto"/>
        </w:rPr>
        <w:t>，烟气黑度＜1，满足</w:t>
      </w:r>
      <w:r>
        <w:rPr>
          <w:color w:val="auto"/>
          <w:kern w:val="2"/>
        </w:rPr>
        <w:t>《锅炉大气污染物排放标准》（GB13271-2014）表2中新建燃气锅炉标准限值要求；朝二</w:t>
      </w:r>
      <w:r>
        <w:rPr>
          <w:color w:val="auto"/>
        </w:rPr>
        <w:t>联合</w:t>
      </w:r>
      <w:r>
        <w:rPr>
          <w:color w:val="auto"/>
          <w:kern w:val="2"/>
        </w:rPr>
        <w:t>站</w:t>
      </w:r>
      <w:r>
        <w:rPr>
          <w:color w:val="auto"/>
        </w:rPr>
        <w:t>内部原油集输均采用密闭集输管线，场站内各关键接口法兰均进行了密闭处理，</w:t>
      </w:r>
      <w:r>
        <w:rPr>
          <w:color w:val="auto"/>
          <w:kern w:val="2"/>
        </w:rPr>
        <w:t>排放的非甲烷总烃厂界浓度</w:t>
      </w:r>
      <w:r>
        <w:rPr>
          <w:color w:val="auto"/>
        </w:rPr>
        <w:t>0.37</w:t>
      </w:r>
      <w:r>
        <w:rPr>
          <w:rFonts w:hint="eastAsia"/>
          <w:color w:val="auto"/>
          <w:kern w:val="2"/>
        </w:rPr>
        <w:t>～</w:t>
      </w:r>
      <w:r>
        <w:rPr>
          <w:color w:val="auto"/>
        </w:rPr>
        <w:t>0.61mg/m</w:t>
      </w:r>
      <w:r>
        <w:rPr>
          <w:color w:val="auto"/>
          <w:vertAlign w:val="superscript"/>
        </w:rPr>
        <w:t>3</w:t>
      </w:r>
      <w:r>
        <w:rPr>
          <w:color w:val="auto"/>
        </w:rPr>
        <w:t>之间</w:t>
      </w:r>
      <w:r>
        <w:rPr>
          <w:color w:val="auto"/>
          <w:kern w:val="2"/>
        </w:rPr>
        <w:t>，满足</w:t>
      </w:r>
      <w:r>
        <w:rPr>
          <w:color w:val="auto"/>
          <w:kern w:val="21"/>
        </w:rPr>
        <w:t>《陆上石油天然气开采工业大气污染物排放标准》（GB39728-2020）5.9中规定要求</w:t>
      </w:r>
      <w:r>
        <w:rPr>
          <w:color w:val="auto"/>
          <w:kern w:val="21"/>
          <w:lang w:bidi="zh-CN"/>
        </w:rPr>
        <w:t>；</w:t>
      </w:r>
      <w:r>
        <w:rPr>
          <w:color w:val="auto"/>
          <w:kern w:val="2"/>
        </w:rPr>
        <w:t>非甲烷总烃油泵房外监控点1h平均浓度值在0.43</w:t>
      </w:r>
      <w:r>
        <w:rPr>
          <w:rFonts w:hint="eastAsia"/>
          <w:color w:val="auto"/>
          <w:kern w:val="2"/>
        </w:rPr>
        <w:t>～</w:t>
      </w:r>
      <w:r>
        <w:rPr>
          <w:color w:val="auto"/>
          <w:kern w:val="2"/>
        </w:rPr>
        <w:t>0.53</w:t>
      </w:r>
      <w:r>
        <w:rPr>
          <w:color w:val="auto"/>
        </w:rPr>
        <w:t>mg/m</w:t>
      </w:r>
      <w:r>
        <w:rPr>
          <w:color w:val="auto"/>
          <w:vertAlign w:val="superscript"/>
        </w:rPr>
        <w:t>3</w:t>
      </w:r>
      <w:r>
        <w:rPr>
          <w:color w:val="auto"/>
        </w:rPr>
        <w:t>之间</w:t>
      </w:r>
      <w:r>
        <w:rPr>
          <w:color w:val="auto"/>
          <w:kern w:val="2"/>
        </w:rPr>
        <w:t>，任意一次浓度值在0.49～0.57</w:t>
      </w:r>
      <w:r>
        <w:rPr>
          <w:color w:val="auto"/>
        </w:rPr>
        <w:t>mg/m</w:t>
      </w:r>
      <w:r>
        <w:rPr>
          <w:color w:val="auto"/>
          <w:vertAlign w:val="superscript"/>
        </w:rPr>
        <w:t>3</w:t>
      </w:r>
      <w:r>
        <w:rPr>
          <w:color w:val="auto"/>
        </w:rPr>
        <w:t>之间</w:t>
      </w:r>
      <w:r>
        <w:rPr>
          <w:color w:val="auto"/>
          <w:kern w:val="2"/>
        </w:rPr>
        <w:t>，</w:t>
      </w:r>
      <w:r>
        <w:rPr>
          <w:color w:val="auto"/>
        </w:rPr>
        <w:t>满足《挥发性有机物无组织排放控制标准》（GB 37822-2019）附录A 中VOCs 无组织排放限值要求；站内机泵均布置在室内，采用隔声门窗及机泵加装减震设施等降低噪声源强，朝二联合站</w:t>
      </w:r>
      <w:r>
        <w:rPr>
          <w:color w:val="auto"/>
          <w:kern w:val="2"/>
        </w:rPr>
        <w:t>厂界噪声昼间在45.4</w:t>
      </w:r>
      <w:r>
        <w:rPr>
          <w:rFonts w:hint="eastAsia"/>
          <w:color w:val="auto"/>
          <w:kern w:val="2"/>
        </w:rPr>
        <w:t>～</w:t>
      </w:r>
      <w:r>
        <w:rPr>
          <w:color w:val="auto"/>
          <w:kern w:val="2"/>
        </w:rPr>
        <w:t>48.3dB（A）之间，夜间在41.6</w:t>
      </w:r>
      <w:r>
        <w:rPr>
          <w:rFonts w:hint="eastAsia"/>
          <w:color w:val="auto"/>
          <w:kern w:val="2"/>
        </w:rPr>
        <w:t>～</w:t>
      </w:r>
      <w:r>
        <w:rPr>
          <w:color w:val="auto"/>
          <w:kern w:val="2"/>
        </w:rPr>
        <w:t>44.8dB（A）之间，可以满足</w:t>
      </w:r>
      <w:r>
        <w:rPr>
          <w:color w:val="auto"/>
        </w:rPr>
        <w:t>《工业企业厂界环境噪声排放标准》（GB12348-2008）中2类标准；场站内产生的生活垃圾统一收集后定期由物业公司拉运至肇源县利民城市垃圾处理有限公司处理处理，装置内含油污泥定期清理，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场站内各污染物均稳定达标排放，固体废物均合理处置，朝二联合站各项污染物达标排放，满足环保要求</w:t>
      </w:r>
      <w:r>
        <w:rPr>
          <w:color w:val="auto"/>
          <w:kern w:val="2"/>
        </w:rPr>
        <w:t>。朝二联脱水站工艺流程见</w:t>
      </w:r>
      <w:r>
        <w:rPr>
          <w:color w:val="auto"/>
          <w:kern w:val="2"/>
        </w:rPr>
        <w:fldChar w:fldCharType="begin"/>
      </w:r>
      <w:r>
        <w:rPr>
          <w:color w:val="auto"/>
          <w:kern w:val="2"/>
        </w:rPr>
        <w:instrText xml:space="preserve"> REF _Ref211959438 \h  \* MERGEFORMAT </w:instrText>
      </w:r>
      <w:r>
        <w:rPr>
          <w:color w:val="auto"/>
          <w:kern w:val="2"/>
        </w:rPr>
        <w:fldChar w:fldCharType="separate"/>
      </w:r>
      <w:r>
        <w:rPr>
          <w:rFonts w:hint="eastAsia"/>
          <w:color w:val="auto"/>
        </w:rPr>
        <w:t xml:space="preserve">图 </w:t>
      </w:r>
      <w:r>
        <w:rPr>
          <w:color w:val="auto"/>
        </w:rPr>
        <w:t>3.12</w:t>
      </w:r>
      <w:r>
        <w:rPr>
          <w:color w:val="auto"/>
        </w:rPr>
        <w:noBreakHyphen/>
      </w:r>
      <w:r>
        <w:rPr>
          <w:color w:val="auto"/>
        </w:rPr>
        <w:t>1</w:t>
      </w:r>
      <w:r>
        <w:rPr>
          <w:color w:val="auto"/>
          <w:kern w:val="2"/>
        </w:rPr>
        <w:fldChar w:fldCharType="end"/>
      </w:r>
      <w:r>
        <w:rPr>
          <w:color w:val="auto"/>
          <w:kern w:val="2"/>
        </w:rPr>
        <w:t>。</w:t>
      </w:r>
    </w:p>
    <w:p w14:paraId="0BCDB350">
      <w:pPr>
        <w:jc w:val="center"/>
        <w:rPr>
          <w:rFonts w:ascii="宋体" w:hAnsi="宋体" w:eastAsia="宋体" w:cs="Times New Roman"/>
          <w:color w:val="auto"/>
          <w:lang w:val="de-DE"/>
        </w:rPr>
      </w:pPr>
      <w:r>
        <w:rPr>
          <w:rFonts w:ascii="宋体" w:hAnsi="宋体" w:eastAsia="宋体" w:cs="Times New Roman"/>
          <w:color w:val="auto"/>
        </w:rPr>
        <w:drawing>
          <wp:inline distT="0" distB="0" distL="0" distR="0">
            <wp:extent cx="5576570" cy="2795905"/>
            <wp:effectExtent l="0" t="0" r="5080" b="444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576570" cy="2819242"/>
                    </a:xfrm>
                    <a:prstGeom prst="rect">
                      <a:avLst/>
                    </a:prstGeom>
                  </pic:spPr>
                </pic:pic>
              </a:graphicData>
            </a:graphic>
          </wp:inline>
        </w:drawing>
      </w:r>
    </w:p>
    <w:p w14:paraId="6D64CAB8">
      <w:pPr>
        <w:pStyle w:val="22"/>
        <w:spacing w:before="156"/>
        <w:rPr>
          <w:rFonts w:hAnsi="宋体" w:cs="Times New Roman"/>
          <w:color w:val="auto"/>
          <w:lang w:val="de-DE"/>
        </w:rPr>
      </w:pPr>
      <w:bookmarkStart w:id="842" w:name="_Ref211959438"/>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3.12</w:t>
      </w:r>
      <w:r>
        <w:rPr>
          <w:color w:val="auto"/>
        </w:rPr>
        <w:fldChar w:fldCharType="end"/>
      </w:r>
      <w:r>
        <w:rPr>
          <w:color w:val="auto"/>
        </w:rPr>
        <w:noBreakHyphen/>
      </w:r>
      <w:r>
        <w:rPr>
          <w:rFonts w:hAnsi="宋体" w:cs="Times New Roman"/>
          <w:color w:val="auto"/>
        </w:rPr>
        <w:fldChar w:fldCharType="begin"/>
      </w:r>
      <w:r>
        <w:rPr>
          <w:rFonts w:hAnsi="宋体" w:cs="Times New Roman"/>
          <w:color w:val="auto"/>
        </w:rPr>
        <w:instrText xml:space="preserve"> </w:instrText>
      </w:r>
      <w:r>
        <w:rPr>
          <w:rFonts w:hint="eastAsia" w:hAnsi="宋体" w:cs="Times New Roman"/>
          <w:color w:val="auto"/>
        </w:rPr>
        <w:instrText xml:space="preserve">SEQ 图 \* ARABIC \s 2</w:instrText>
      </w:r>
      <w:r>
        <w:rPr>
          <w:rFonts w:hAnsi="宋体" w:cs="Times New Roman"/>
          <w:color w:val="auto"/>
        </w:rPr>
        <w:instrText xml:space="preserve"> </w:instrText>
      </w:r>
      <w:r>
        <w:rPr>
          <w:rFonts w:hAnsi="宋体" w:cs="Times New Roman"/>
          <w:color w:val="auto"/>
        </w:rPr>
        <w:fldChar w:fldCharType="separate"/>
      </w:r>
      <w:r>
        <w:rPr>
          <w:rFonts w:hAnsi="宋体" w:cs="Times New Roman"/>
          <w:color w:val="auto"/>
        </w:rPr>
        <w:t>1</w:t>
      </w:r>
      <w:r>
        <w:rPr>
          <w:rFonts w:hAnsi="宋体" w:cs="Times New Roman"/>
          <w:color w:val="auto"/>
        </w:rPr>
        <w:fldChar w:fldCharType="end"/>
      </w:r>
      <w:bookmarkEnd w:id="842"/>
      <w:r>
        <w:rPr>
          <w:rFonts w:hAnsi="宋体" w:cs="Times New Roman"/>
          <w:color w:val="auto"/>
        </w:rPr>
        <w:t xml:space="preserve">  朝二联</w:t>
      </w:r>
      <w:r>
        <w:rPr>
          <w:rFonts w:hint="eastAsia" w:hAnsi="宋体" w:cs="Times New Roman"/>
          <w:color w:val="auto"/>
        </w:rPr>
        <w:t>转油</w:t>
      </w:r>
      <w:r>
        <w:rPr>
          <w:rFonts w:hAnsi="宋体" w:cs="Times New Roman"/>
          <w:color w:val="auto"/>
        </w:rPr>
        <w:t>脱水站工艺流程图</w:t>
      </w:r>
    </w:p>
    <w:p w14:paraId="4EC1D9B2">
      <w:pPr>
        <w:pStyle w:val="276"/>
        <w:widowControl w:val="0"/>
        <w:ind w:firstLine="480"/>
        <w:jc w:val="both"/>
        <w:rPr>
          <w:color w:val="auto"/>
          <w:kern w:val="2"/>
          <w:lang w:val="de-DE"/>
        </w:rPr>
      </w:pPr>
      <w:r>
        <w:rPr>
          <w:color w:val="auto"/>
          <w:kern w:val="2"/>
          <w:lang w:val="de-DE"/>
        </w:rPr>
        <w:t>（</w:t>
      </w:r>
      <w:r>
        <w:rPr>
          <w:rFonts w:hint="eastAsia"/>
          <w:color w:val="auto"/>
          <w:kern w:val="2"/>
        </w:rPr>
        <w:t>3</w:t>
      </w:r>
      <w:r>
        <w:rPr>
          <w:color w:val="auto"/>
          <w:kern w:val="2"/>
          <w:lang w:val="de-DE"/>
        </w:rPr>
        <w:t>）朝二联含油污</w:t>
      </w:r>
      <w:r>
        <w:rPr>
          <w:color w:val="auto"/>
        </w:rPr>
        <w:t>水处理</w:t>
      </w:r>
      <w:r>
        <w:rPr>
          <w:color w:val="auto"/>
          <w:kern w:val="2"/>
          <w:lang w:val="de-DE"/>
        </w:rPr>
        <w:t>站</w:t>
      </w:r>
    </w:p>
    <w:p w14:paraId="7DC96E62">
      <w:pPr>
        <w:pStyle w:val="276"/>
        <w:widowControl w:val="0"/>
        <w:ind w:firstLine="480"/>
        <w:jc w:val="both"/>
        <w:rPr>
          <w:color w:val="auto"/>
          <w:kern w:val="2"/>
        </w:rPr>
      </w:pPr>
      <w:r>
        <w:rPr>
          <w:color w:val="auto"/>
          <w:kern w:val="2"/>
          <w:lang w:val="de-DE"/>
        </w:rPr>
        <w:t>本项目</w:t>
      </w:r>
      <w:r>
        <w:rPr>
          <w:rFonts w:hint="eastAsia"/>
          <w:color w:val="auto"/>
          <w:kern w:val="2"/>
        </w:rPr>
        <w:t>4</w:t>
      </w:r>
      <w:r>
        <w:rPr>
          <w:color w:val="auto"/>
          <w:kern w:val="2"/>
          <w:lang w:val="de-DE"/>
        </w:rPr>
        <w:t>口</w:t>
      </w:r>
      <w:r>
        <w:rPr>
          <w:color w:val="auto"/>
          <w:kern w:val="2"/>
        </w:rPr>
        <w:t>油井采出水</w:t>
      </w:r>
      <w:r>
        <w:rPr>
          <w:color w:val="auto"/>
          <w:kern w:val="2"/>
          <w:lang w:val="de-DE"/>
        </w:rPr>
        <w:t>依托</w:t>
      </w:r>
      <w:r>
        <w:rPr>
          <w:color w:val="auto"/>
          <w:kern w:val="2"/>
        </w:rPr>
        <w:t>朝二联含油污</w:t>
      </w:r>
      <w:r>
        <w:rPr>
          <w:color w:val="auto"/>
        </w:rPr>
        <w:t>水处理</w:t>
      </w:r>
      <w:r>
        <w:rPr>
          <w:color w:val="auto"/>
          <w:kern w:val="2"/>
        </w:rPr>
        <w:t>站</w:t>
      </w:r>
      <w:r>
        <w:rPr>
          <w:color w:val="auto"/>
          <w:kern w:val="2"/>
          <w:lang w:val="de-DE"/>
        </w:rPr>
        <w:t>处理，朝二联含油污水处理站2000年投产运行，采用</w:t>
      </w:r>
      <w:r>
        <w:rPr>
          <w:color w:val="auto"/>
          <w:kern w:val="2"/>
        </w:rPr>
        <w:t>“原水→沉降罐→气浮除油→轴向动 态反冲洗过滤罐→连续反冲洗过滤罐→膜过滤”</w:t>
      </w:r>
      <w:r>
        <w:rPr>
          <w:color w:val="auto"/>
          <w:kern w:val="2"/>
          <w:lang w:val="de-DE"/>
        </w:rPr>
        <w:t>处理工艺，设计</w:t>
      </w:r>
      <w:r>
        <w:rPr>
          <w:color w:val="auto"/>
        </w:rPr>
        <w:t>出水</w:t>
      </w:r>
      <w:r>
        <w:rPr>
          <w:color w:val="auto"/>
          <w:kern w:val="2"/>
          <w:lang w:val="de-DE"/>
        </w:rPr>
        <w:t>水质指标为</w:t>
      </w:r>
      <w:r>
        <w:rPr>
          <w:color w:val="auto"/>
          <w:kern w:val="2"/>
        </w:rPr>
        <w:t>含油量≤5mg/L、悬浮固体含量≤1mg/L</w:t>
      </w:r>
      <w:r>
        <w:rPr>
          <w:color w:val="auto"/>
          <w:kern w:val="2"/>
          <w:lang w:val="de-DE"/>
        </w:rPr>
        <w:t>，设计污水处理量为</w:t>
      </w:r>
      <w:r>
        <w:rPr>
          <w:color w:val="auto"/>
          <w:kern w:val="2"/>
        </w:rPr>
        <w:t>2000m</w:t>
      </w:r>
      <w:r>
        <w:rPr>
          <w:color w:val="auto"/>
          <w:kern w:val="2"/>
          <w:vertAlign w:val="superscript"/>
        </w:rPr>
        <w:t>3</w:t>
      </w:r>
      <w:r>
        <w:rPr>
          <w:color w:val="auto"/>
          <w:kern w:val="2"/>
        </w:rPr>
        <w:t>/d，</w:t>
      </w:r>
      <w:r>
        <w:rPr>
          <w:color w:val="auto"/>
          <w:kern w:val="2"/>
          <w:lang w:val="de-DE"/>
        </w:rPr>
        <w:t>目前实际污水处理量为</w:t>
      </w:r>
      <w:r>
        <w:rPr>
          <w:color w:val="auto"/>
          <w:kern w:val="2"/>
        </w:rPr>
        <w:t>1218</w:t>
      </w:r>
      <w:r>
        <w:rPr>
          <w:color w:val="auto"/>
          <w:kern w:val="2"/>
          <w:lang w:val="de-DE"/>
        </w:rPr>
        <w:t>m</w:t>
      </w:r>
      <w:r>
        <w:rPr>
          <w:color w:val="auto"/>
          <w:kern w:val="2"/>
          <w:vertAlign w:val="superscript"/>
          <w:lang w:val="de-DE"/>
        </w:rPr>
        <w:t>3</w:t>
      </w:r>
      <w:r>
        <w:rPr>
          <w:color w:val="auto"/>
          <w:kern w:val="2"/>
          <w:lang w:val="de-DE"/>
        </w:rPr>
        <w:t>/d，本项目</w:t>
      </w:r>
      <w:r>
        <w:rPr>
          <w:rFonts w:hint="eastAsia"/>
          <w:color w:val="auto"/>
          <w:kern w:val="2"/>
        </w:rPr>
        <w:t>4</w:t>
      </w:r>
      <w:r>
        <w:rPr>
          <w:color w:val="auto"/>
          <w:kern w:val="2"/>
          <w:lang w:val="de-DE"/>
        </w:rPr>
        <w:t>口</w:t>
      </w:r>
      <w:r>
        <w:rPr>
          <w:color w:val="auto"/>
          <w:kern w:val="2"/>
        </w:rPr>
        <w:t>油井投产初期最大采出水量</w:t>
      </w:r>
      <w:r>
        <w:rPr>
          <w:color w:val="auto"/>
          <w:kern w:val="2"/>
          <w:lang w:val="de-DE"/>
        </w:rPr>
        <w:t>为</w:t>
      </w:r>
      <w:r>
        <w:rPr>
          <w:rFonts w:hint="eastAsia"/>
          <w:color w:val="auto"/>
          <w:kern w:val="2"/>
        </w:rPr>
        <w:t>72</w:t>
      </w:r>
      <w:r>
        <w:rPr>
          <w:color w:val="auto"/>
          <w:kern w:val="2"/>
          <w:lang w:val="de-DE"/>
        </w:rPr>
        <w:t>t/d，新增本项目采出水后处理量为</w:t>
      </w:r>
      <w:r>
        <w:rPr>
          <w:rFonts w:hint="eastAsia"/>
          <w:color w:val="auto"/>
          <w:kern w:val="2"/>
        </w:rPr>
        <w:t>1290</w:t>
      </w:r>
      <w:r>
        <w:rPr>
          <w:color w:val="auto"/>
          <w:kern w:val="2"/>
          <w:lang w:val="de-DE"/>
        </w:rPr>
        <w:t>m</w:t>
      </w:r>
      <w:r>
        <w:rPr>
          <w:color w:val="auto"/>
          <w:kern w:val="2"/>
          <w:vertAlign w:val="superscript"/>
          <w:lang w:val="de-DE"/>
        </w:rPr>
        <w:t>3</w:t>
      </w:r>
      <w:r>
        <w:rPr>
          <w:color w:val="auto"/>
          <w:kern w:val="2"/>
          <w:lang w:val="de-DE"/>
        </w:rPr>
        <w:t>/d，负荷率为</w:t>
      </w:r>
      <w:r>
        <w:rPr>
          <w:rFonts w:hint="eastAsia"/>
          <w:color w:val="auto"/>
          <w:kern w:val="2"/>
        </w:rPr>
        <w:t>64.5</w:t>
      </w:r>
      <w:r>
        <w:rPr>
          <w:color w:val="auto"/>
          <w:kern w:val="2"/>
          <w:lang w:val="de-DE"/>
        </w:rPr>
        <w:t>%，满足依托需求。</w:t>
      </w:r>
      <w:r>
        <w:rPr>
          <w:color w:val="auto"/>
          <w:kern w:val="2"/>
        </w:rPr>
        <w:t>朝二联含油污水处理站工艺流程见</w:t>
      </w:r>
      <w:r>
        <w:rPr>
          <w:color w:val="auto"/>
          <w:kern w:val="2"/>
        </w:rPr>
        <w:fldChar w:fldCharType="begin"/>
      </w:r>
      <w:r>
        <w:rPr>
          <w:color w:val="auto"/>
          <w:kern w:val="2"/>
        </w:rPr>
        <w:instrText xml:space="preserve"> REF _Ref211959452 \h  \* MERGEFORMAT </w:instrText>
      </w:r>
      <w:r>
        <w:rPr>
          <w:color w:val="auto"/>
          <w:kern w:val="2"/>
        </w:rPr>
        <w:fldChar w:fldCharType="separate"/>
      </w:r>
      <w:r>
        <w:rPr>
          <w:rFonts w:hint="eastAsia"/>
          <w:color w:val="auto"/>
        </w:rPr>
        <w:t>图</w:t>
      </w:r>
      <w:r>
        <w:rPr>
          <w:color w:val="auto"/>
        </w:rPr>
        <w:t xml:space="preserve"> 3.12</w:t>
      </w:r>
      <w:r>
        <w:rPr>
          <w:color w:val="auto"/>
        </w:rPr>
        <w:noBreakHyphen/>
      </w:r>
      <w:r>
        <w:rPr>
          <w:color w:val="auto"/>
        </w:rPr>
        <w:t>2</w:t>
      </w:r>
      <w:r>
        <w:rPr>
          <w:color w:val="auto"/>
          <w:kern w:val="2"/>
        </w:rPr>
        <w:fldChar w:fldCharType="end"/>
      </w:r>
      <w:r>
        <w:rPr>
          <w:color w:val="auto"/>
          <w:kern w:val="2"/>
        </w:rPr>
        <w:t>。</w:t>
      </w:r>
    </w:p>
    <w:p w14:paraId="339C94F2">
      <w:pPr>
        <w:pStyle w:val="276"/>
        <w:widowControl w:val="0"/>
        <w:ind w:firstLine="480"/>
        <w:jc w:val="both"/>
        <w:rPr>
          <w:color w:val="auto"/>
        </w:rPr>
      </w:pPr>
      <w:r>
        <w:rPr>
          <w:color w:val="auto"/>
        </w:rPr>
        <w:t>根据现场勘查，目前朝二联含油污水处理站运行正常，</w:t>
      </w:r>
      <w:r>
        <w:rPr>
          <w:color w:val="auto"/>
          <w:szCs w:val="20"/>
        </w:rPr>
        <w:t>根据</w:t>
      </w:r>
      <w:r>
        <w:rPr>
          <w:color w:val="auto"/>
        </w:rPr>
        <w:t>大庆中环评价检测有限公司于2025年3月17日-18日对</w:t>
      </w:r>
      <w:r>
        <w:rPr>
          <w:color w:val="auto"/>
          <w:szCs w:val="20"/>
        </w:rPr>
        <w:t>朝二联含油污水处理站</w:t>
      </w:r>
      <w:r>
        <w:rPr>
          <w:color w:val="auto"/>
        </w:rPr>
        <w:t>的监测结果可知（见附件7），处理后的污水含油量为0.67</w:t>
      </w:r>
      <w:r>
        <w:rPr>
          <w:rFonts w:hint="eastAsia"/>
          <w:color w:val="auto"/>
          <w:kern w:val="2"/>
        </w:rPr>
        <w:t>～</w:t>
      </w:r>
      <w:r>
        <w:rPr>
          <w:color w:val="auto"/>
        </w:rPr>
        <w:t>0.92mg/L，悬浮固体含量为1mg/L，</w:t>
      </w:r>
      <w:r>
        <w:rPr>
          <w:color w:val="auto"/>
          <w:szCs w:val="20"/>
        </w:rPr>
        <w:t>满足《大庆油田地面工程建设设计规定》（Q/SYDQ0639-2015）及</w:t>
      </w:r>
      <w:r>
        <w:rPr>
          <w:color w:val="auto"/>
        </w:rPr>
        <w:t>《碎屑岩油藏注水水质指标技术要求及分析方法》</w:t>
      </w:r>
      <w:r>
        <w:rPr>
          <w:color w:val="auto"/>
          <w:szCs w:val="20"/>
        </w:rPr>
        <w:t>（SY/T5329-2022）限值要求</w:t>
      </w:r>
      <w:r>
        <w:rPr>
          <w:color w:val="auto"/>
        </w:rPr>
        <w:t>。</w:t>
      </w:r>
      <w:r>
        <w:rPr>
          <w:color w:val="auto"/>
          <w:kern w:val="2"/>
        </w:rPr>
        <w:t>沉降罐等装置内含油污泥定期清理，由罐车拉运至朝一联含油污泥处理站减量化处理后，再委托大庆博昕晶化科技有限公司处理满足《油田含油污泥处置与利用污染控制要求》（DB23/T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滤罐产生的废滤料定期交由大庆蓝星环保工程有限公司处理。</w:t>
      </w:r>
      <w:r>
        <w:rPr>
          <w:color w:val="auto"/>
          <w:kern w:val="2"/>
          <w:lang w:val="de-DE"/>
        </w:rPr>
        <w:t>朝二联含油污水处理站</w:t>
      </w:r>
      <w:r>
        <w:rPr>
          <w:color w:val="auto"/>
          <w:kern w:val="2"/>
        </w:rPr>
        <w:t>污染物均稳定达标排放，固体废物均合理处置，满足环保要求。</w:t>
      </w:r>
    </w:p>
    <w:p w14:paraId="190ADEC2">
      <w:pPr>
        <w:autoSpaceDE w:val="0"/>
        <w:autoSpaceDN w:val="0"/>
        <w:jc w:val="center"/>
        <w:rPr>
          <w:rFonts w:ascii="宋体" w:hAnsi="宋体" w:eastAsia="宋体" w:cs="Times New Roman"/>
          <w:color w:val="auto"/>
        </w:rPr>
      </w:pPr>
      <w:r>
        <w:rPr>
          <w:rFonts w:ascii="宋体" w:hAnsi="宋体" w:eastAsia="宋体" w:cs="Times New Roman"/>
          <w:color w:val="auto"/>
        </w:rPr>
        <w:drawing>
          <wp:inline distT="0" distB="0" distL="0" distR="0">
            <wp:extent cx="5241290" cy="2218055"/>
            <wp:effectExtent l="0" t="0" r="16510" b="1079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3"/>
                    <a:stretch>
                      <a:fillRect/>
                    </a:stretch>
                  </pic:blipFill>
                  <pic:spPr>
                    <a:xfrm>
                      <a:off x="0" y="0"/>
                      <a:ext cx="5241290" cy="2257892"/>
                    </a:xfrm>
                    <a:prstGeom prst="rect">
                      <a:avLst/>
                    </a:prstGeom>
                  </pic:spPr>
                </pic:pic>
              </a:graphicData>
            </a:graphic>
          </wp:inline>
        </w:drawing>
      </w:r>
    </w:p>
    <w:p w14:paraId="51107FF5">
      <w:pPr>
        <w:pStyle w:val="22"/>
        <w:spacing w:before="156"/>
        <w:rPr>
          <w:rFonts w:hAnsi="宋体"/>
          <w:smallCaps/>
          <w:color w:val="auto"/>
          <w:lang w:val="zh-CN"/>
        </w:rPr>
      </w:pPr>
      <w:bookmarkStart w:id="843" w:name="_Ref211959452"/>
      <w:r>
        <w:rPr>
          <w:rFonts w:hint="eastAsia"/>
          <w:color w:val="auto"/>
        </w:rPr>
        <w:t>图</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3.12</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2</w:t>
      </w:r>
      <w:r>
        <w:rPr>
          <w:color w:val="auto"/>
        </w:rPr>
        <w:fldChar w:fldCharType="end"/>
      </w:r>
      <w:bookmarkEnd w:id="843"/>
      <w:r>
        <w:rPr>
          <w:rFonts w:hAnsi="宋体"/>
          <w:color w:val="auto"/>
        </w:rPr>
        <w:t>朝二联含油污水处理站</w:t>
      </w:r>
      <w:r>
        <w:rPr>
          <w:rFonts w:hAnsi="宋体"/>
          <w:color w:val="auto"/>
          <w:lang w:val="zh-CN"/>
        </w:rPr>
        <w:t>工艺流程</w:t>
      </w:r>
    </w:p>
    <w:p w14:paraId="0109BEC9">
      <w:pPr>
        <w:pStyle w:val="276"/>
        <w:widowControl w:val="0"/>
        <w:ind w:firstLine="480"/>
        <w:jc w:val="both"/>
        <w:rPr>
          <w:color w:val="auto"/>
        </w:rPr>
      </w:pPr>
      <w:r>
        <w:rPr>
          <w:color w:val="auto"/>
        </w:rPr>
        <w:t>（</w:t>
      </w:r>
      <w:r>
        <w:rPr>
          <w:rFonts w:hint="eastAsia"/>
          <w:color w:val="auto"/>
        </w:rPr>
        <w:t>4</w:t>
      </w:r>
      <w:r>
        <w:rPr>
          <w:color w:val="auto"/>
        </w:rPr>
        <w:t>）朝一联含油污泥处理站</w:t>
      </w:r>
    </w:p>
    <w:p w14:paraId="6DE8E442">
      <w:pPr>
        <w:pStyle w:val="276"/>
        <w:widowControl w:val="0"/>
        <w:ind w:firstLine="480"/>
        <w:jc w:val="both"/>
        <w:rPr>
          <w:color w:val="auto"/>
        </w:rPr>
      </w:pPr>
      <w:r>
        <w:rPr>
          <w:color w:val="auto"/>
        </w:rPr>
        <w:t>朝一联含油污泥处理站采用“机械调质+超声分离+离心”处理工艺，设计处理规模为5m</w:t>
      </w:r>
      <w:r>
        <w:rPr>
          <w:color w:val="auto"/>
          <w:vertAlign w:val="superscript"/>
        </w:rPr>
        <w:t>3</w:t>
      </w:r>
      <w:r>
        <w:rPr>
          <w:color w:val="auto"/>
        </w:rPr>
        <w:t>/h（年运行180天，每天24小时，年最大处理量21600m</w:t>
      </w:r>
      <w:r>
        <w:rPr>
          <w:color w:val="auto"/>
          <w:vertAlign w:val="superscript"/>
        </w:rPr>
        <w:t>3</w:t>
      </w:r>
      <w:r>
        <w:rPr>
          <w:color w:val="auto"/>
        </w:rPr>
        <w:t>），目前实际处理量约13405.4m</w:t>
      </w:r>
      <w:r>
        <w:rPr>
          <w:color w:val="auto"/>
          <w:vertAlign w:val="superscript"/>
        </w:rPr>
        <w:t>3</w:t>
      </w:r>
      <w:r>
        <w:rPr>
          <w:color w:val="auto"/>
        </w:rPr>
        <w:t>/a，负荷率约为62.06%，剩余处理量为 8194.6m</w:t>
      </w:r>
      <w:r>
        <w:rPr>
          <w:color w:val="auto"/>
          <w:vertAlign w:val="superscript"/>
        </w:rPr>
        <w:t>3</w:t>
      </w:r>
      <w:r>
        <w:rPr>
          <w:color w:val="auto"/>
        </w:rPr>
        <w:t>。本项目含油泥（砂）及落地油产生量为0.478t/a，约0.40m3，本项目新增后处理量约为13405.8</w:t>
      </w:r>
      <w:r>
        <w:rPr>
          <w:rFonts w:hint="eastAsia"/>
          <w:color w:val="auto"/>
        </w:rPr>
        <w:t>t</w:t>
      </w:r>
      <w:r>
        <w:rPr>
          <w:color w:val="auto"/>
        </w:rPr>
        <w:t>/a，负荷率为62.06%，变化较小，能够满足本项目含油污泥处理需求。</w:t>
      </w:r>
    </w:p>
    <w:p w14:paraId="1A899D82">
      <w:pPr>
        <w:pStyle w:val="276"/>
        <w:widowControl w:val="0"/>
        <w:ind w:firstLine="480"/>
        <w:jc w:val="both"/>
        <w:rPr>
          <w:color w:val="auto"/>
        </w:rPr>
      </w:pPr>
      <w:r>
        <w:rPr>
          <w:color w:val="auto"/>
        </w:rPr>
        <w:t>朝一联含油污泥处理站</w:t>
      </w:r>
      <w:r>
        <w:rPr>
          <w:color w:val="auto"/>
          <w:lang w:val="de-DE"/>
        </w:rPr>
        <w:t>工艺流程见</w:t>
      </w:r>
      <w:r>
        <w:rPr>
          <w:color w:val="auto"/>
        </w:rPr>
        <w:fldChar w:fldCharType="begin"/>
      </w:r>
      <w:r>
        <w:rPr>
          <w:color w:val="auto"/>
          <w:lang w:val="de-DE"/>
        </w:rPr>
        <w:instrText xml:space="preserve"> REF _Ref211959459 \h </w:instrText>
      </w:r>
      <w:r>
        <w:rPr>
          <w:color w:val="auto"/>
        </w:rPr>
        <w:instrText xml:space="preserve"> \* MERGEFORMAT </w:instrText>
      </w:r>
      <w:r>
        <w:rPr>
          <w:color w:val="auto"/>
        </w:rPr>
        <w:fldChar w:fldCharType="separate"/>
      </w:r>
      <w:r>
        <w:rPr>
          <w:rFonts w:hint="eastAsia"/>
          <w:color w:val="auto"/>
        </w:rPr>
        <w:t xml:space="preserve">图 </w:t>
      </w:r>
      <w:r>
        <w:rPr>
          <w:color w:val="auto"/>
        </w:rPr>
        <w:t>3.12</w:t>
      </w:r>
      <w:r>
        <w:rPr>
          <w:color w:val="auto"/>
        </w:rPr>
        <w:noBreakHyphen/>
      </w:r>
      <w:r>
        <w:rPr>
          <w:color w:val="auto"/>
        </w:rPr>
        <w:t>3</w:t>
      </w:r>
      <w:r>
        <w:rPr>
          <w:color w:val="auto"/>
        </w:rPr>
        <w:fldChar w:fldCharType="end"/>
      </w:r>
      <w:r>
        <w:rPr>
          <w:color w:val="auto"/>
        </w:rPr>
        <w:t>。</w:t>
      </w:r>
    </w:p>
    <w:p w14:paraId="2C6C480A">
      <w:pPr>
        <w:jc w:val="center"/>
        <w:rPr>
          <w:rFonts w:ascii="宋体" w:hAnsi="宋体" w:eastAsia="宋体" w:cs="Times New Roman"/>
          <w:color w:val="auto"/>
        </w:rPr>
      </w:pPr>
      <w:r>
        <w:rPr>
          <w:rFonts w:ascii="宋体" w:hAnsi="宋体" w:eastAsia="宋体" w:cs="Times New Roman"/>
          <w:color w:val="auto"/>
        </w:rPr>
        <w:drawing>
          <wp:inline distT="0" distB="0" distL="0" distR="0">
            <wp:extent cx="5093335" cy="2679065"/>
            <wp:effectExtent l="0" t="0" r="12065" b="698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44"/>
                    <a:srcRect/>
                    <a:stretch>
                      <a:fillRect/>
                    </a:stretch>
                  </pic:blipFill>
                  <pic:spPr>
                    <a:xfrm>
                      <a:off x="0" y="0"/>
                      <a:ext cx="5093335" cy="2747403"/>
                    </a:xfrm>
                    <a:prstGeom prst="rect">
                      <a:avLst/>
                    </a:prstGeom>
                    <a:noFill/>
                    <a:ln>
                      <a:noFill/>
                    </a:ln>
                  </pic:spPr>
                </pic:pic>
              </a:graphicData>
            </a:graphic>
          </wp:inline>
        </w:drawing>
      </w:r>
    </w:p>
    <w:p w14:paraId="511469DE">
      <w:pPr>
        <w:pStyle w:val="22"/>
        <w:spacing w:before="156"/>
        <w:rPr>
          <w:rFonts w:hAnsi="宋体" w:cs="Times New Roman"/>
          <w:color w:val="auto"/>
        </w:rPr>
      </w:pPr>
      <w:bookmarkStart w:id="844" w:name="_Ref211959459"/>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3</w:t>
      </w:r>
      <w:r>
        <w:rPr>
          <w:color w:val="auto"/>
        </w:rPr>
        <w:fldChar w:fldCharType="end"/>
      </w:r>
      <w:bookmarkEnd w:id="844"/>
      <w:r>
        <w:rPr>
          <w:rFonts w:hAnsi="宋体" w:cs="Times New Roman"/>
          <w:color w:val="auto"/>
        </w:rPr>
        <w:t>朝一联含油污泥处理站工艺流程图</w:t>
      </w:r>
    </w:p>
    <w:p w14:paraId="172E595F">
      <w:pPr>
        <w:pStyle w:val="276"/>
        <w:widowControl w:val="0"/>
        <w:ind w:firstLine="480"/>
        <w:jc w:val="both"/>
        <w:rPr>
          <w:color w:val="auto"/>
        </w:rPr>
      </w:pPr>
      <w:r>
        <w:rPr>
          <w:color w:val="auto"/>
        </w:rPr>
        <w:t>（</w:t>
      </w:r>
      <w:r>
        <w:rPr>
          <w:rFonts w:hint="eastAsia"/>
          <w:color w:val="auto"/>
        </w:rPr>
        <w:t>5</w:t>
      </w:r>
      <w:r>
        <w:rPr>
          <w:color w:val="auto"/>
        </w:rPr>
        <w:t>）大庆博昕晶化科技有限公司</w:t>
      </w:r>
    </w:p>
    <w:p w14:paraId="68273E51">
      <w:pPr>
        <w:pStyle w:val="276"/>
        <w:widowControl w:val="0"/>
        <w:ind w:firstLine="480"/>
        <w:jc w:val="both"/>
        <w:rPr>
          <w:color w:val="auto"/>
        </w:rPr>
      </w:pPr>
      <w:r>
        <w:rPr>
          <w:color w:val="auto"/>
        </w:rPr>
        <w:t>大庆博昕晶化科技有限公司危险废物利用处置厂区位于黑龙江省大庆市大同区，设计处理规模为30000t/a，厂区占地面积67614.45m</w:t>
      </w:r>
      <w:r>
        <w:rPr>
          <w:color w:val="auto"/>
          <w:vertAlign w:val="superscript"/>
        </w:rPr>
        <w:t>2</w:t>
      </w:r>
      <w:r>
        <w:rPr>
          <w:color w:val="auto"/>
        </w:rPr>
        <w:t>，大庆博昕晶化科技有限公司采用密闭旋转蒸馏处理工艺，负荷率为70%，本项目油泥最大产生量约为</w:t>
      </w:r>
      <w:r>
        <w:rPr>
          <w:rFonts w:hint="eastAsia"/>
          <w:color w:val="auto"/>
        </w:rPr>
        <w:t>0.478</w:t>
      </w:r>
      <w:r>
        <w:rPr>
          <w:color w:val="auto"/>
        </w:rPr>
        <w:t>t/a，经朝一联含油污泥处理站减量化处理后进入该装置，大庆博昕晶化科技有限公司剩余处理能力满足本项目处理需求，依托可行。</w:t>
      </w:r>
    </w:p>
    <w:p w14:paraId="448E9B18">
      <w:pPr>
        <w:jc w:val="center"/>
        <w:rPr>
          <w:rFonts w:ascii="宋体" w:hAnsi="宋体" w:eastAsia="宋体" w:cs="Times New Roman"/>
          <w:color w:val="auto"/>
        </w:rPr>
      </w:pPr>
      <w:r>
        <w:rPr>
          <w:rFonts w:ascii="宋体" w:hAnsi="宋体" w:eastAsia="宋体" w:cs="Times New Roman"/>
          <w:color w:val="auto"/>
        </w:rPr>
        <w:drawing>
          <wp:inline distT="0" distB="0" distL="114300" distR="114300">
            <wp:extent cx="3763645" cy="4133850"/>
            <wp:effectExtent l="0" t="0" r="8255"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45"/>
                    <a:srcRect t="5060" b="2409"/>
                    <a:stretch>
                      <a:fillRect/>
                    </a:stretch>
                  </pic:blipFill>
                  <pic:spPr>
                    <a:xfrm>
                      <a:off x="0" y="0"/>
                      <a:ext cx="3763645" cy="4150776"/>
                    </a:xfrm>
                    <a:prstGeom prst="rect">
                      <a:avLst/>
                    </a:prstGeom>
                    <a:noFill/>
                    <a:ln>
                      <a:noFill/>
                    </a:ln>
                  </pic:spPr>
                </pic:pic>
              </a:graphicData>
            </a:graphic>
          </wp:inline>
        </w:drawing>
      </w:r>
    </w:p>
    <w:p w14:paraId="2DE0B040">
      <w:pPr>
        <w:pStyle w:val="22"/>
        <w:spacing w:before="156"/>
        <w:rPr>
          <w:rFonts w:hAnsi="宋体" w:cs="Times New Roman"/>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4</w:t>
      </w:r>
      <w:r>
        <w:rPr>
          <w:color w:val="auto"/>
        </w:rPr>
        <w:fldChar w:fldCharType="end"/>
      </w:r>
      <w:r>
        <w:rPr>
          <w:rFonts w:hAnsi="宋体" w:cs="Times New Roman"/>
          <w:color w:val="auto"/>
        </w:rPr>
        <w:t>大庆博昕晶化科技有限公司工艺流程图</w:t>
      </w:r>
    </w:p>
    <w:p w14:paraId="1FD65A7F">
      <w:pPr>
        <w:pStyle w:val="276"/>
        <w:widowControl w:val="0"/>
        <w:ind w:firstLine="480"/>
        <w:jc w:val="both"/>
        <w:rPr>
          <w:color w:val="auto"/>
        </w:rPr>
      </w:pPr>
      <w:r>
        <w:rPr>
          <w:color w:val="auto"/>
        </w:rPr>
        <w:t>（</w:t>
      </w:r>
      <w:r>
        <w:rPr>
          <w:rFonts w:hint="eastAsia"/>
          <w:color w:val="auto"/>
        </w:rPr>
        <w:t>6</w:t>
      </w:r>
      <w:r>
        <w:rPr>
          <w:color w:val="auto"/>
        </w:rPr>
        <w:t>）第八采油厂工业固废填埋场</w:t>
      </w:r>
    </w:p>
    <w:p w14:paraId="7D5A8C68">
      <w:pPr>
        <w:pStyle w:val="276"/>
        <w:widowControl w:val="0"/>
        <w:ind w:firstLine="480"/>
        <w:jc w:val="both"/>
        <w:rPr>
          <w:color w:val="auto"/>
        </w:rPr>
      </w:pPr>
      <w:r>
        <w:rPr>
          <w:color w:val="auto"/>
        </w:rPr>
        <w:t>第八采油厂工业固废填埋场位于大庆市肇州县新福乡双龙山北侧1.8km、乐业村东南1.05km处，占地面积1.91hm</w:t>
      </w:r>
      <w:r>
        <w:rPr>
          <w:color w:val="auto"/>
          <w:vertAlign w:val="superscript"/>
        </w:rPr>
        <w:t>2</w:t>
      </w:r>
      <w:r>
        <w:rPr>
          <w:color w:val="auto"/>
        </w:rPr>
        <w:t>，填埋场现阶段运行稳定，总容量为 11624m</w:t>
      </w:r>
      <w:r>
        <w:rPr>
          <w:color w:val="auto"/>
          <w:vertAlign w:val="superscript"/>
        </w:rPr>
        <w:t>3</w:t>
      </w:r>
      <w:r>
        <w:rPr>
          <w:color w:val="auto"/>
        </w:rPr>
        <w:t>，设计年处理能力为581.2m</w:t>
      </w:r>
      <w:r>
        <w:rPr>
          <w:color w:val="auto"/>
          <w:vertAlign w:val="superscript"/>
        </w:rPr>
        <w:t>3</w:t>
      </w:r>
      <w:r>
        <w:rPr>
          <w:color w:val="auto"/>
        </w:rPr>
        <w:t>，合700t/a，服务年限20年，目前填埋总量约为5347m</w:t>
      </w:r>
      <w:r>
        <w:rPr>
          <w:color w:val="auto"/>
          <w:vertAlign w:val="superscript"/>
        </w:rPr>
        <w:t>3</w:t>
      </w:r>
      <w:r>
        <w:rPr>
          <w:color w:val="auto"/>
        </w:rPr>
        <w:t>，剩余填埋量约为6277m</w:t>
      </w:r>
      <w:r>
        <w:rPr>
          <w:color w:val="auto"/>
          <w:vertAlign w:val="superscript"/>
        </w:rPr>
        <w:t>3</w:t>
      </w:r>
      <w:r>
        <w:rPr>
          <w:color w:val="auto"/>
        </w:rPr>
        <w:t>，本项目产生膨润土、纯碱、重晶石粉废包装袋、施工废料共计约0.</w:t>
      </w:r>
      <w:r>
        <w:rPr>
          <w:rFonts w:hint="eastAsia"/>
          <w:color w:val="auto"/>
        </w:rPr>
        <w:t>1212</w:t>
      </w:r>
      <w:r>
        <w:rPr>
          <w:color w:val="auto"/>
        </w:rPr>
        <w:t>t，填埋场剩余容量能够容纳本项目产生的固体废物，依托可行。</w:t>
      </w:r>
    </w:p>
    <w:p w14:paraId="15C95C8F">
      <w:pPr>
        <w:pStyle w:val="276"/>
        <w:widowControl w:val="0"/>
        <w:ind w:firstLine="480"/>
        <w:jc w:val="both"/>
        <w:rPr>
          <w:color w:val="auto"/>
        </w:rPr>
      </w:pPr>
      <w:r>
        <w:rPr>
          <w:color w:val="auto"/>
        </w:rPr>
        <w:t>（</w:t>
      </w:r>
      <w:r>
        <w:rPr>
          <w:rFonts w:hint="eastAsia"/>
          <w:color w:val="auto"/>
        </w:rPr>
        <w:t>7</w:t>
      </w:r>
      <w:r>
        <w:rPr>
          <w:color w:val="auto"/>
        </w:rPr>
        <w:t>）大庆油田昆仑集团有限公司环保分公司</w:t>
      </w:r>
    </w:p>
    <w:p w14:paraId="68F08747">
      <w:pPr>
        <w:pStyle w:val="276"/>
        <w:widowControl w:val="0"/>
        <w:ind w:firstLine="480"/>
        <w:jc w:val="both"/>
        <w:rPr>
          <w:color w:val="auto"/>
        </w:rPr>
      </w:pPr>
      <w:r>
        <w:rPr>
          <w:color w:val="auto"/>
        </w:rPr>
        <w:t>大庆油田昆仑集团有限公司环保分公司位于黑龙江省大庆市肇州县朝阳沟镇长林村路东，采用“集中压滤无害化处理”，处理后的压滤水定期由罐车拉运至朝一联含油污水处理站处理满足《大庆油田地面工程建设设计规定》（Q/SYDQ0639-2015）中“含油量≤5mg/L、悬浮固体含量≤1mg/L”规定后回注油层，处理后的泥饼外售给大庆钻探工程公司钻井二公司综合利用垫井场或铺路。大庆油田昆仑集团有限公司环保分公司工艺流程图见</w:t>
      </w:r>
      <w:r>
        <w:rPr>
          <w:color w:val="auto"/>
          <w:kern w:val="2"/>
          <w:szCs w:val="20"/>
          <w:lang w:bidi="zh-CN"/>
        </w:rPr>
        <w:fldChar w:fldCharType="begin"/>
      </w:r>
      <w:r>
        <w:rPr>
          <w:color w:val="auto"/>
        </w:rPr>
        <w:instrText xml:space="preserve"> REF _Ref211959477 \h </w:instrText>
      </w:r>
      <w:r>
        <w:rPr>
          <w:color w:val="auto"/>
          <w:kern w:val="2"/>
          <w:szCs w:val="20"/>
          <w:lang w:bidi="zh-CN"/>
        </w:rPr>
        <w:instrText xml:space="preserve"> \* MERGEFORMAT </w:instrText>
      </w:r>
      <w:r>
        <w:rPr>
          <w:color w:val="auto"/>
          <w:kern w:val="2"/>
          <w:szCs w:val="20"/>
          <w:lang w:bidi="zh-CN"/>
        </w:rPr>
        <w:fldChar w:fldCharType="separate"/>
      </w:r>
      <w:r>
        <w:rPr>
          <w:rFonts w:hint="eastAsia"/>
          <w:color w:val="auto"/>
        </w:rPr>
        <w:t xml:space="preserve">图 </w:t>
      </w:r>
      <w:r>
        <w:rPr>
          <w:color w:val="auto"/>
        </w:rPr>
        <w:t>3.12</w:t>
      </w:r>
      <w:r>
        <w:rPr>
          <w:color w:val="auto"/>
        </w:rPr>
        <w:noBreakHyphen/>
      </w:r>
      <w:r>
        <w:rPr>
          <w:color w:val="auto"/>
        </w:rPr>
        <w:t>5</w:t>
      </w:r>
      <w:r>
        <w:rPr>
          <w:color w:val="auto"/>
          <w:kern w:val="2"/>
          <w:szCs w:val="20"/>
          <w:lang w:bidi="zh-CN"/>
        </w:rPr>
        <w:fldChar w:fldCharType="end"/>
      </w:r>
      <w:r>
        <w:rPr>
          <w:color w:val="auto"/>
        </w:rPr>
        <w:t>。</w:t>
      </w:r>
    </w:p>
    <w:p w14:paraId="6E82AADF">
      <w:pPr>
        <w:pStyle w:val="276"/>
        <w:widowControl w:val="0"/>
        <w:ind w:firstLine="480"/>
        <w:jc w:val="both"/>
        <w:rPr>
          <w:color w:val="auto"/>
          <w:kern w:val="2"/>
        </w:rPr>
      </w:pPr>
      <w:r>
        <w:rPr>
          <w:color w:val="auto"/>
          <w:kern w:val="2"/>
        </w:rPr>
        <w:t>大庆油田昆仑集团有限公司环保分公司设计处理规模为400m</w:t>
      </w:r>
      <w:r>
        <w:rPr>
          <w:color w:val="auto"/>
          <w:kern w:val="2"/>
          <w:vertAlign w:val="superscript"/>
        </w:rPr>
        <w:t>3</w:t>
      </w:r>
      <w:r>
        <w:rPr>
          <w:color w:val="auto"/>
          <w:kern w:val="2"/>
        </w:rPr>
        <w:t>/d，本项目废弃水基泥浆、岩屑</w:t>
      </w:r>
      <w:r>
        <w:rPr>
          <w:rFonts w:hint="eastAsia"/>
          <w:color w:val="auto"/>
          <w:kern w:val="2"/>
        </w:rPr>
        <w:t>、</w:t>
      </w:r>
      <w:r>
        <w:rPr>
          <w:color w:val="auto"/>
          <w:kern w:val="2"/>
        </w:rPr>
        <w:t>水基钻井废水</w:t>
      </w:r>
      <w:r>
        <w:rPr>
          <w:rFonts w:hint="eastAsia"/>
          <w:color w:val="auto"/>
          <w:kern w:val="2"/>
        </w:rPr>
        <w:t>以及非含油射孔液</w:t>
      </w:r>
      <w:r>
        <w:rPr>
          <w:color w:val="auto"/>
          <w:kern w:val="2"/>
        </w:rPr>
        <w:t>产生量最大为</w:t>
      </w:r>
      <w:r>
        <w:rPr>
          <w:rFonts w:hint="eastAsia"/>
          <w:color w:val="auto"/>
          <w:kern w:val="2"/>
        </w:rPr>
        <w:t>122.05</w:t>
      </w:r>
      <w:r>
        <w:rPr>
          <w:color w:val="auto"/>
          <w:kern w:val="2"/>
        </w:rPr>
        <w:t>m</w:t>
      </w:r>
      <w:r>
        <w:rPr>
          <w:color w:val="auto"/>
          <w:kern w:val="2"/>
          <w:vertAlign w:val="superscript"/>
        </w:rPr>
        <w:t>3</w:t>
      </w:r>
      <w:r>
        <w:rPr>
          <w:color w:val="auto"/>
          <w:kern w:val="2"/>
        </w:rPr>
        <w:t>/d，大庆油田昆仑集团有限公司环保分公司剩余处理规模为295m</w:t>
      </w:r>
      <w:r>
        <w:rPr>
          <w:color w:val="auto"/>
          <w:kern w:val="2"/>
          <w:vertAlign w:val="superscript"/>
        </w:rPr>
        <w:t>3</w:t>
      </w:r>
      <w:r>
        <w:rPr>
          <w:color w:val="auto"/>
          <w:kern w:val="2"/>
        </w:rPr>
        <w:t>/d，能够满足本项目废弃泥浆处理要求。</w:t>
      </w:r>
    </w:p>
    <w:p w14:paraId="25E2256C">
      <w:pPr>
        <w:pStyle w:val="276"/>
        <w:widowControl w:val="0"/>
        <w:ind w:firstLine="480"/>
        <w:jc w:val="both"/>
        <w:rPr>
          <w:color w:val="auto"/>
          <w:kern w:val="2"/>
        </w:rPr>
      </w:pPr>
      <w:r>
        <w:rPr>
          <w:color w:val="auto"/>
          <w:kern w:val="2"/>
        </w:rPr>
        <w:t>根据《大庆油田昆仑集团有限公司环保分公司采油十厂9万m</w:t>
      </w:r>
      <w:r>
        <w:rPr>
          <w:color w:val="auto"/>
          <w:kern w:val="2"/>
          <w:vertAlign w:val="superscript"/>
        </w:rPr>
        <w:t>3</w:t>
      </w:r>
      <w:r>
        <w:rPr>
          <w:color w:val="auto"/>
          <w:kern w:val="2"/>
        </w:rPr>
        <w:t>/a钻井废弃泥浆无害化处理项目竣工环境保护验收监测报告表》中的监测结果可知，泥浆压滤脱水后产生的压滤液中的pH监测值为7.86，石油类的监测值为30.1mg/L，悬浮物的监测值为23mg/L，满足朝一联合站入水指标；厂界无组织废气颗粒物监测值在0.058-0.077mg/m</w:t>
      </w:r>
      <w:r>
        <w:rPr>
          <w:color w:val="auto"/>
          <w:kern w:val="2"/>
          <w:vertAlign w:val="superscript"/>
        </w:rPr>
        <w:t>3</w:t>
      </w:r>
      <w:r>
        <w:rPr>
          <w:color w:val="auto"/>
        </w:rPr>
        <w:t>之间</w:t>
      </w:r>
      <w:r>
        <w:rPr>
          <w:color w:val="auto"/>
          <w:kern w:val="2"/>
        </w:rPr>
        <w:t>，监测结果满足《大气污染物综合排放标准》（GB 16297-1996）表2中无组织排放监控浓度限值要求；厂界噪声昼间的监测值在46.9-53.1 dB（A）之间，夜间噪声监测值在40.3-43.5 dB（A）之间，监测结果满足《工业企业厂界环境噪声排放标准》（GB12348-2008）中2类标准；该站产生的固体废物均合理处置，固废堆放场泥饼中的pH监测值为8.21，总铬监测值为0.031mg/L，六价铬未检出，COD</w:t>
      </w:r>
      <w:r>
        <w:rPr>
          <w:color w:val="auto"/>
          <w:kern w:val="2"/>
          <w:vertAlign w:val="subscript"/>
        </w:rPr>
        <w:t>cr</w:t>
      </w:r>
      <w:r>
        <w:rPr>
          <w:color w:val="auto"/>
          <w:kern w:val="2"/>
        </w:rPr>
        <w:t>监测值为122mg/L，全盐量监测值为835mg/L，石油类监测值为1.13mg/L，各项指标满足《废弃钻井液处理规范》（DB23/T693-2000）表1要求。本项目依托可行。</w:t>
      </w:r>
    </w:p>
    <w:p w14:paraId="6FC2762D">
      <w:pPr>
        <w:autoSpaceDE w:val="0"/>
        <w:autoSpaceDN w:val="0"/>
        <w:jc w:val="center"/>
        <w:rPr>
          <w:rFonts w:ascii="宋体" w:hAnsi="宋体" w:eastAsia="宋体" w:cs="Times New Roman"/>
          <w:color w:val="auto"/>
          <w:lang w:val="zh-CN" w:bidi="zh-CN"/>
        </w:rPr>
      </w:pPr>
      <w:r>
        <w:rPr>
          <w:rFonts w:ascii="宋体" w:hAnsi="宋体" w:eastAsia="宋体" w:cs="Times New Roman"/>
          <w:color w:val="auto"/>
        </w:rPr>
        <w:drawing>
          <wp:inline distT="0" distB="0" distL="0" distR="0">
            <wp:extent cx="3519170" cy="4661535"/>
            <wp:effectExtent l="9525" t="9525" r="14605" b="15240"/>
            <wp:docPr id="50523519" name="图片 5052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519" name="图片 50523519"/>
                    <pic:cNvPicPr>
                      <a:picLocks noChangeAspect="1"/>
                    </pic:cNvPicPr>
                  </pic:nvPicPr>
                  <pic:blipFill>
                    <a:blip r:embed="rId46"/>
                    <a:stretch>
                      <a:fillRect/>
                    </a:stretch>
                  </pic:blipFill>
                  <pic:spPr>
                    <a:xfrm>
                      <a:off x="0" y="0"/>
                      <a:ext cx="3543304" cy="4661535"/>
                    </a:xfrm>
                    <a:prstGeom prst="rect">
                      <a:avLst/>
                    </a:prstGeom>
                    <a:ln w="6350">
                      <a:solidFill>
                        <a:schemeClr val="tx1"/>
                      </a:solidFill>
                    </a:ln>
                  </pic:spPr>
                </pic:pic>
              </a:graphicData>
            </a:graphic>
          </wp:inline>
        </w:drawing>
      </w:r>
    </w:p>
    <w:p w14:paraId="123C834D">
      <w:pPr>
        <w:pStyle w:val="22"/>
        <w:spacing w:before="156"/>
        <w:rPr>
          <w:rFonts w:hAnsi="宋体" w:cs="Times New Roman"/>
          <w:snapToGrid w:val="0"/>
          <w:color w:val="auto"/>
        </w:rPr>
      </w:pPr>
      <w:bookmarkStart w:id="845" w:name="_Ref211959477"/>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5</w:t>
      </w:r>
      <w:r>
        <w:rPr>
          <w:color w:val="auto"/>
        </w:rPr>
        <w:fldChar w:fldCharType="end"/>
      </w:r>
      <w:bookmarkEnd w:id="845"/>
      <w:r>
        <w:rPr>
          <w:rFonts w:hAnsi="宋体" w:cs="Times New Roman"/>
          <w:color w:val="auto"/>
        </w:rPr>
        <w:t>大庆油田昆仑集团有限公司环保分公司工艺流程图</w:t>
      </w:r>
    </w:p>
    <w:p w14:paraId="3685EAA1">
      <w:pPr>
        <w:pStyle w:val="276"/>
        <w:widowControl w:val="0"/>
        <w:ind w:firstLine="480"/>
        <w:jc w:val="both"/>
        <w:rPr>
          <w:color w:val="auto"/>
        </w:rPr>
      </w:pPr>
      <w:r>
        <w:rPr>
          <w:color w:val="auto"/>
        </w:rPr>
        <w:t>（</w:t>
      </w:r>
      <w:r>
        <w:rPr>
          <w:rFonts w:hint="eastAsia"/>
          <w:color w:val="auto"/>
        </w:rPr>
        <w:t>8</w:t>
      </w:r>
      <w:r>
        <w:rPr>
          <w:color w:val="auto"/>
        </w:rPr>
        <w:t>）</w:t>
      </w:r>
      <w:r>
        <w:rPr>
          <w:color w:val="auto"/>
          <w:kern w:val="2"/>
        </w:rPr>
        <w:t>朝一联压裂返排液无害化</w:t>
      </w:r>
      <w:r>
        <w:rPr>
          <w:color w:val="auto"/>
        </w:rPr>
        <w:t>处理</w:t>
      </w:r>
      <w:r>
        <w:rPr>
          <w:color w:val="auto"/>
          <w:kern w:val="2"/>
        </w:rPr>
        <w:t>站</w:t>
      </w:r>
    </w:p>
    <w:p w14:paraId="4A86EB2B">
      <w:pPr>
        <w:pStyle w:val="276"/>
        <w:widowControl w:val="0"/>
        <w:ind w:firstLine="480"/>
        <w:jc w:val="both"/>
        <w:rPr>
          <w:color w:val="auto"/>
          <w:kern w:val="2"/>
        </w:rPr>
      </w:pPr>
      <w:r>
        <w:rPr>
          <w:color w:val="auto"/>
          <w:kern w:val="2"/>
          <w:lang w:val="zh-CN"/>
        </w:rPr>
        <w:t>本项目压裂过程产生的压裂返排液由罐车拉运至朝一联压裂返排液无害化处理站处理。站内采用三相分离两级过滤处理工艺，</w:t>
      </w:r>
      <w:r>
        <w:rPr>
          <w:color w:val="auto"/>
          <w:kern w:val="2"/>
        </w:rPr>
        <w:t>该站</w:t>
      </w:r>
      <w:r>
        <w:rPr>
          <w:color w:val="auto"/>
          <w:kern w:val="2"/>
          <w:lang w:val="zh-CN"/>
        </w:rPr>
        <w:t>设计处理量360m</w:t>
      </w:r>
      <w:r>
        <w:rPr>
          <w:color w:val="auto"/>
          <w:kern w:val="2"/>
          <w:vertAlign w:val="superscript"/>
          <w:lang w:val="zh-CN"/>
        </w:rPr>
        <w:t>3</w:t>
      </w:r>
      <w:r>
        <w:rPr>
          <w:color w:val="auto"/>
          <w:kern w:val="2"/>
          <w:lang w:val="zh-CN"/>
        </w:rPr>
        <w:t>/d，站内建有压裂返排液暂存池5000m</w:t>
      </w:r>
      <w:r>
        <w:rPr>
          <w:color w:val="auto"/>
          <w:kern w:val="2"/>
          <w:vertAlign w:val="superscript"/>
          <w:lang w:val="zh-CN"/>
        </w:rPr>
        <w:t>3</w:t>
      </w:r>
      <w:r>
        <w:rPr>
          <w:color w:val="auto"/>
          <w:kern w:val="2"/>
          <w:lang w:val="zh-CN"/>
        </w:rPr>
        <w:t>。本项目压裂井</w:t>
      </w:r>
      <w:r>
        <w:rPr>
          <w:rFonts w:hint="eastAsia"/>
          <w:color w:val="auto"/>
          <w:kern w:val="2"/>
        </w:rPr>
        <w:t>6</w:t>
      </w:r>
      <w:r>
        <w:rPr>
          <w:color w:val="auto"/>
          <w:kern w:val="2"/>
          <w:lang w:val="zh-CN"/>
        </w:rPr>
        <w:t>口，压裂返排液</w:t>
      </w:r>
      <w:r>
        <w:rPr>
          <w:iCs/>
          <w:color w:val="auto"/>
          <w:kern w:val="2"/>
        </w:rPr>
        <w:t>量为140m</w:t>
      </w:r>
      <w:r>
        <w:rPr>
          <w:iCs/>
          <w:color w:val="auto"/>
          <w:kern w:val="2"/>
          <w:vertAlign w:val="superscript"/>
        </w:rPr>
        <w:t>3</w:t>
      </w:r>
      <w:r>
        <w:rPr>
          <w:iCs/>
          <w:color w:val="auto"/>
          <w:kern w:val="2"/>
        </w:rPr>
        <w:t>/d，储存能力和处理能力均可满足本项目压裂返排液处理需要</w:t>
      </w:r>
      <w:r>
        <w:rPr>
          <w:color w:val="auto"/>
          <w:kern w:val="2"/>
          <w:lang w:val="zh-CN"/>
        </w:rPr>
        <w:t>。</w:t>
      </w:r>
      <w:r>
        <w:rPr>
          <w:color w:val="auto"/>
          <w:kern w:val="2"/>
        </w:rPr>
        <w:t>朝一联压裂返排液无害化处理站</w:t>
      </w:r>
      <w:r>
        <w:rPr>
          <w:color w:val="auto"/>
          <w:kern w:val="2"/>
          <w:lang w:val="de-DE"/>
        </w:rPr>
        <w:t>工艺流程见</w:t>
      </w:r>
      <w:r>
        <w:rPr>
          <w:color w:val="auto"/>
          <w:kern w:val="2"/>
        </w:rPr>
        <w:fldChar w:fldCharType="begin"/>
      </w:r>
      <w:r>
        <w:rPr>
          <w:color w:val="auto"/>
          <w:kern w:val="2"/>
          <w:lang w:val="de-DE"/>
        </w:rPr>
        <w:instrText xml:space="preserve"> REF _Ref211959485 \h </w:instrText>
      </w:r>
      <w:r>
        <w:rPr>
          <w:color w:val="auto"/>
          <w:kern w:val="2"/>
        </w:rPr>
        <w:instrText xml:space="preserve"> \* MERGEFORMAT </w:instrText>
      </w:r>
      <w:r>
        <w:rPr>
          <w:color w:val="auto"/>
          <w:kern w:val="2"/>
        </w:rPr>
        <w:fldChar w:fldCharType="separate"/>
      </w:r>
      <w:r>
        <w:rPr>
          <w:color w:val="auto"/>
        </w:rPr>
        <w:t>图 3.12</w:t>
      </w:r>
      <w:r>
        <w:rPr>
          <w:color w:val="auto"/>
        </w:rPr>
        <w:noBreakHyphen/>
      </w:r>
      <w:r>
        <w:rPr>
          <w:color w:val="auto"/>
        </w:rPr>
        <w:t>6</w:t>
      </w:r>
      <w:r>
        <w:rPr>
          <w:color w:val="auto"/>
          <w:kern w:val="2"/>
        </w:rPr>
        <w:fldChar w:fldCharType="end"/>
      </w:r>
      <w:r>
        <w:rPr>
          <w:color w:val="auto"/>
          <w:kern w:val="2"/>
        </w:rPr>
        <w:t>。</w:t>
      </w:r>
    </w:p>
    <w:p w14:paraId="34F8B1CE">
      <w:pPr>
        <w:pStyle w:val="273"/>
        <w:ind w:firstLine="0"/>
        <w:jc w:val="center"/>
        <w:rPr>
          <w:rFonts w:cs="Times New Roman"/>
          <w:color w:val="auto"/>
        </w:rPr>
      </w:pPr>
      <w:r>
        <w:rPr>
          <w:rFonts w:cs="Times New Roman"/>
          <w:color w:val="auto"/>
        </w:rPr>
        <w:drawing>
          <wp:inline distT="0" distB="0" distL="114300" distR="114300">
            <wp:extent cx="5276850" cy="2014855"/>
            <wp:effectExtent l="0" t="0" r="0" b="4445"/>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47"/>
                    <a:stretch>
                      <a:fillRect/>
                    </a:stretch>
                  </pic:blipFill>
                  <pic:spPr>
                    <a:xfrm>
                      <a:off x="0" y="0"/>
                      <a:ext cx="5276850" cy="2020320"/>
                    </a:xfrm>
                    <a:prstGeom prst="rect">
                      <a:avLst/>
                    </a:prstGeom>
                    <a:noFill/>
                    <a:ln>
                      <a:noFill/>
                    </a:ln>
                  </pic:spPr>
                </pic:pic>
              </a:graphicData>
            </a:graphic>
          </wp:inline>
        </w:drawing>
      </w:r>
    </w:p>
    <w:p w14:paraId="43C9F5DD">
      <w:pPr>
        <w:pStyle w:val="22"/>
        <w:spacing w:before="156"/>
        <w:rPr>
          <w:rFonts w:cs="Times New Roman"/>
          <w:color w:val="auto"/>
        </w:rPr>
      </w:pPr>
      <w:bookmarkStart w:id="846" w:name="_Ref211959485"/>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3.12</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6</w:t>
      </w:r>
      <w:r>
        <w:rPr>
          <w:color w:val="auto"/>
        </w:rPr>
        <w:fldChar w:fldCharType="end"/>
      </w:r>
      <w:bookmarkEnd w:id="846"/>
      <w:r>
        <w:rPr>
          <w:rFonts w:hAnsi="宋体" w:cs="Times New Roman"/>
          <w:color w:val="auto"/>
        </w:rPr>
        <w:t>朝一联压裂返排液无害化处理站工艺流程图</w:t>
      </w:r>
    </w:p>
    <w:p w14:paraId="35EA0ACF">
      <w:pPr>
        <w:pStyle w:val="276"/>
        <w:widowControl w:val="0"/>
        <w:ind w:firstLine="480"/>
        <w:jc w:val="both"/>
        <w:rPr>
          <w:color w:val="auto"/>
        </w:rPr>
      </w:pPr>
      <w:bookmarkStart w:id="847" w:name="_Toc143099589"/>
      <w:bookmarkStart w:id="848" w:name="_Toc127192353"/>
      <w:bookmarkStart w:id="849" w:name="_Toc83209487"/>
      <w:bookmarkStart w:id="850" w:name="_Toc85640767"/>
      <w:bookmarkStart w:id="851" w:name="_Toc84929243"/>
      <w:bookmarkStart w:id="852" w:name="_Toc126863404"/>
      <w:bookmarkStart w:id="853" w:name="_Toc131167304"/>
      <w:bookmarkStart w:id="854" w:name="_Toc86141946"/>
      <w:r>
        <w:rPr>
          <w:color w:val="auto"/>
        </w:rPr>
        <w:t>（</w:t>
      </w:r>
      <w:r>
        <w:rPr>
          <w:rFonts w:hint="eastAsia"/>
          <w:color w:val="auto"/>
        </w:rPr>
        <w:t>9</w:t>
      </w:r>
      <w:r>
        <w:rPr>
          <w:color w:val="auto"/>
        </w:rPr>
        <w:t>）第十采油厂厂区生活污水处理站</w:t>
      </w:r>
    </w:p>
    <w:p w14:paraId="6EAD73C6">
      <w:pPr>
        <w:pStyle w:val="276"/>
        <w:widowControl w:val="0"/>
        <w:ind w:firstLine="480"/>
        <w:jc w:val="both"/>
        <w:rPr>
          <w:color w:val="auto"/>
        </w:rPr>
      </w:pPr>
      <w:r>
        <w:rPr>
          <w:color w:val="auto"/>
        </w:rPr>
        <w:t>第十采油厂厂区生活污水处理站位于朝一联水质处理站东北侧，地理坐标为东经125°36'43.27"，北纬45°42'52.86"，该站于2021年3月22获得了大庆市肇州生态环境局《关于大庆油田有限责任公司第十采油厂厂区生活污水处理工程项目环境影响报告表的批复》，批复文号为州环发〔2021〕2号，并于2023年7月完成自主验收。该站采用A</w:t>
      </w:r>
      <w:r>
        <w:rPr>
          <w:color w:val="auto"/>
          <w:vertAlign w:val="subscript"/>
        </w:rPr>
        <w:t>2</w:t>
      </w:r>
      <w:r>
        <w:rPr>
          <w:color w:val="auto"/>
        </w:rPr>
        <w:t>/O污水处理工艺处理生活污水，处理后污水水质达到《城镇污水处理</w:t>
      </w:r>
      <w:r>
        <w:rPr>
          <w:rFonts w:hint="eastAsia"/>
          <w:color w:val="auto"/>
        </w:rPr>
        <w:t>厂</w:t>
      </w:r>
      <w:r>
        <w:rPr>
          <w:color w:val="auto"/>
        </w:rPr>
        <w:t>污染物排放标准》（GB18918-2002）中的一级A类标准后经污水排放管排入路边渠最终汇入牛毛沟。该站设计生活污水处理规模为2500m</w:t>
      </w:r>
      <w:r>
        <w:rPr>
          <w:color w:val="auto"/>
          <w:vertAlign w:val="superscript"/>
        </w:rPr>
        <w:t>3</w:t>
      </w:r>
      <w:r>
        <w:rPr>
          <w:color w:val="auto"/>
        </w:rPr>
        <w:t>/d，目前实际处理量为2000m</w:t>
      </w:r>
      <w:r>
        <w:rPr>
          <w:color w:val="auto"/>
          <w:vertAlign w:val="superscript"/>
        </w:rPr>
        <w:t>3</w:t>
      </w:r>
      <w:r>
        <w:rPr>
          <w:color w:val="auto"/>
        </w:rPr>
        <w:t>/d，负荷率为80%，本项目施工期</w:t>
      </w:r>
      <w:r>
        <w:rPr>
          <w:rFonts w:hint="eastAsia"/>
          <w:color w:val="auto"/>
        </w:rPr>
        <w:t>产生</w:t>
      </w:r>
      <w:r>
        <w:rPr>
          <w:color w:val="auto"/>
        </w:rPr>
        <w:t>生活污水</w:t>
      </w:r>
      <w:r>
        <w:rPr>
          <w:rFonts w:hint="eastAsia"/>
          <w:color w:val="auto"/>
        </w:rPr>
        <w:t>的最大</w:t>
      </w:r>
      <w:r>
        <w:rPr>
          <w:color w:val="auto"/>
        </w:rPr>
        <w:t>量为</w:t>
      </w:r>
      <w:r>
        <w:rPr>
          <w:rFonts w:hint="eastAsia"/>
          <w:color w:val="auto"/>
        </w:rPr>
        <w:t>1.28</w:t>
      </w:r>
      <w:r>
        <w:rPr>
          <w:color w:val="auto"/>
        </w:rPr>
        <w:t>m</w:t>
      </w:r>
      <w:r>
        <w:rPr>
          <w:color w:val="auto"/>
          <w:vertAlign w:val="superscript"/>
        </w:rPr>
        <w:t>3</w:t>
      </w:r>
      <w:r>
        <w:rPr>
          <w:color w:val="auto"/>
        </w:rPr>
        <w:t>/d，新增本项目生活污水后处理量为200</w:t>
      </w:r>
      <w:r>
        <w:rPr>
          <w:rFonts w:hint="eastAsia"/>
          <w:color w:val="auto"/>
        </w:rPr>
        <w:t>1.28</w:t>
      </w:r>
      <w:r>
        <w:rPr>
          <w:color w:val="auto"/>
        </w:rPr>
        <w:t>m</w:t>
      </w:r>
      <w:r>
        <w:rPr>
          <w:color w:val="auto"/>
          <w:vertAlign w:val="superscript"/>
        </w:rPr>
        <w:t>3</w:t>
      </w:r>
      <w:r>
        <w:rPr>
          <w:color w:val="auto"/>
        </w:rPr>
        <w:t>/d，负荷率为80.1%，能够满足本项目施工期生活污水处理需求。第十采油厂生活污水处理站</w:t>
      </w:r>
      <w:r>
        <w:rPr>
          <w:color w:val="auto"/>
          <w:lang w:val="de-DE"/>
        </w:rPr>
        <w:t>工艺流程见</w:t>
      </w:r>
      <w:r>
        <w:rPr>
          <w:color w:val="auto"/>
        </w:rPr>
        <w:fldChar w:fldCharType="begin"/>
      </w:r>
      <w:r>
        <w:rPr>
          <w:color w:val="auto"/>
          <w:lang w:val="de-DE"/>
        </w:rPr>
        <w:instrText xml:space="preserve"> REF _Ref211959492 \h </w:instrText>
      </w:r>
      <w:r>
        <w:rPr>
          <w:color w:val="auto"/>
        </w:rPr>
        <w:instrText xml:space="preserve"> \* MERGEFORMAT </w:instrText>
      </w:r>
      <w:r>
        <w:rPr>
          <w:color w:val="auto"/>
        </w:rPr>
        <w:fldChar w:fldCharType="separate"/>
      </w:r>
      <w:r>
        <w:rPr>
          <w:rFonts w:hint="eastAsia"/>
          <w:color w:val="auto"/>
        </w:rPr>
        <w:t xml:space="preserve">图 </w:t>
      </w:r>
      <w:r>
        <w:rPr>
          <w:color w:val="auto"/>
        </w:rPr>
        <w:t>3.12</w:t>
      </w:r>
      <w:r>
        <w:rPr>
          <w:color w:val="auto"/>
        </w:rPr>
        <w:noBreakHyphen/>
      </w:r>
      <w:r>
        <w:rPr>
          <w:color w:val="auto"/>
        </w:rPr>
        <w:t>7</w:t>
      </w:r>
      <w:r>
        <w:rPr>
          <w:color w:val="auto"/>
        </w:rPr>
        <w:fldChar w:fldCharType="end"/>
      </w:r>
      <w:r>
        <w:rPr>
          <w:color w:val="auto"/>
        </w:rPr>
        <w:t>。</w:t>
      </w:r>
    </w:p>
    <w:p w14:paraId="0F3F6533">
      <w:pPr>
        <w:pStyle w:val="273"/>
        <w:spacing w:line="240" w:lineRule="auto"/>
        <w:ind w:firstLine="0"/>
        <w:jc w:val="center"/>
        <w:rPr>
          <w:rFonts w:cs="Times New Roman"/>
          <w:color w:val="auto"/>
          <w:szCs w:val="24"/>
        </w:rPr>
      </w:pPr>
      <w:r>
        <w:rPr>
          <w:rFonts w:cs="Times New Roman"/>
          <w:color w:val="auto"/>
        </w:rPr>
        <w:drawing>
          <wp:inline distT="0" distB="0" distL="0" distR="0">
            <wp:extent cx="5257800" cy="2530475"/>
            <wp:effectExtent l="0" t="0" r="0" b="317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48"/>
                    <a:srcRect/>
                    <a:stretch>
                      <a:fillRect/>
                    </a:stretch>
                  </pic:blipFill>
                  <pic:spPr>
                    <a:xfrm>
                      <a:off x="0" y="0"/>
                      <a:ext cx="5343699" cy="2530475"/>
                    </a:xfrm>
                    <a:prstGeom prst="rect">
                      <a:avLst/>
                    </a:prstGeom>
                    <a:noFill/>
                    <a:ln>
                      <a:noFill/>
                    </a:ln>
                  </pic:spPr>
                </pic:pic>
              </a:graphicData>
            </a:graphic>
          </wp:inline>
        </w:drawing>
      </w:r>
    </w:p>
    <w:p w14:paraId="0E1A0928">
      <w:pPr>
        <w:pStyle w:val="22"/>
        <w:spacing w:before="156"/>
        <w:rPr>
          <w:rFonts w:hAnsi="宋体" w:cs="Times New Roman"/>
          <w:color w:val="auto"/>
        </w:rPr>
      </w:pPr>
      <w:bookmarkStart w:id="855" w:name="_Ref211959492"/>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7</w:t>
      </w:r>
      <w:r>
        <w:rPr>
          <w:color w:val="auto"/>
        </w:rPr>
        <w:fldChar w:fldCharType="end"/>
      </w:r>
      <w:bookmarkEnd w:id="855"/>
      <w:r>
        <w:rPr>
          <w:rFonts w:hAnsi="宋体" w:cs="Times New Roman"/>
          <w:color w:val="auto"/>
        </w:rPr>
        <w:t>生活污水处理装置工艺流程图</w:t>
      </w:r>
    </w:p>
    <w:p w14:paraId="17DDFCC7">
      <w:pPr>
        <w:pStyle w:val="276"/>
        <w:widowControl w:val="0"/>
        <w:ind w:firstLine="480"/>
        <w:jc w:val="both"/>
        <w:rPr>
          <w:color w:val="auto"/>
        </w:rPr>
      </w:pPr>
      <w:r>
        <w:rPr>
          <w:color w:val="auto"/>
        </w:rPr>
        <w:t>（1</w:t>
      </w:r>
      <w:r>
        <w:rPr>
          <w:rFonts w:hint="eastAsia"/>
          <w:color w:val="auto"/>
        </w:rPr>
        <w:t>0</w:t>
      </w:r>
      <w:r>
        <w:rPr>
          <w:color w:val="auto"/>
        </w:rPr>
        <w:t>）第十采油厂综合固废储存库</w:t>
      </w:r>
    </w:p>
    <w:p w14:paraId="3A372F71">
      <w:pPr>
        <w:pStyle w:val="276"/>
        <w:widowControl w:val="0"/>
        <w:ind w:firstLine="480"/>
        <w:jc w:val="both"/>
        <w:rPr>
          <w:color w:val="auto"/>
          <w:kern w:val="2"/>
        </w:rPr>
      </w:pPr>
      <w:r>
        <w:rPr>
          <w:color w:val="auto"/>
          <w:kern w:val="2"/>
        </w:rPr>
        <w:t>大庆油田有限责任公司第十采油厂综合固废储存库新建工程位于黑龙江省大庆市肇州县朝阳沟镇境内，中心坐标为E125°36′28.034″，N45°42′36.398″，站内建有2座固废存储库，建筑面积均为296.7m</w:t>
      </w:r>
      <w:r>
        <w:rPr>
          <w:color w:val="auto"/>
          <w:kern w:val="2"/>
          <w:vertAlign w:val="superscript"/>
        </w:rPr>
        <w:t>2</w:t>
      </w:r>
      <w:r>
        <w:rPr>
          <w:color w:val="auto"/>
          <w:kern w:val="2"/>
        </w:rPr>
        <w:t>。含油固废存储区、废机油存储区、废电瓶存储区采用不发火水泥砂浆面层地面，渗透系数≤10</w:t>
      </w:r>
      <w:r>
        <w:rPr>
          <w:color w:val="auto"/>
          <w:kern w:val="2"/>
          <w:vertAlign w:val="superscript"/>
        </w:rPr>
        <w:t xml:space="preserve"> -10</w:t>
      </w:r>
      <w:r>
        <w:rPr>
          <w:color w:val="auto"/>
          <w:kern w:val="2"/>
        </w:rPr>
        <w:t>cm/s，设2.5m高耐稀酸稀碱耐酸瓷砖墙裙，渗透系数≤10</w:t>
      </w:r>
      <w:r>
        <w:rPr>
          <w:color w:val="auto"/>
          <w:kern w:val="2"/>
          <w:vertAlign w:val="superscript"/>
        </w:rPr>
        <w:t xml:space="preserve"> -7</w:t>
      </w:r>
      <w:r>
        <w:rPr>
          <w:color w:val="auto"/>
          <w:kern w:val="2"/>
        </w:rPr>
        <w:t>cm/s。</w:t>
      </w:r>
    </w:p>
    <w:p w14:paraId="7223D106">
      <w:pPr>
        <w:pStyle w:val="276"/>
        <w:widowControl w:val="0"/>
        <w:ind w:firstLine="480"/>
        <w:jc w:val="both"/>
        <w:rPr>
          <w:color w:val="auto"/>
          <w:kern w:val="2"/>
        </w:rPr>
      </w:pPr>
      <w:r>
        <w:rPr>
          <w:color w:val="auto"/>
          <w:kern w:val="2"/>
        </w:rPr>
        <w:t>经过现场调查，第十采油厂综合固废储存库设计废含油防渗布存储量为500t，现实际储存量为</w:t>
      </w:r>
      <w:r>
        <w:rPr>
          <w:rFonts w:hint="eastAsia"/>
          <w:color w:val="auto"/>
          <w:kern w:val="2"/>
        </w:rPr>
        <w:t>10</w:t>
      </w:r>
      <w:r>
        <w:rPr>
          <w:color w:val="auto"/>
          <w:kern w:val="2"/>
        </w:rPr>
        <w:t>t，本项目含油废防渗布产生量0.</w:t>
      </w:r>
      <w:r>
        <w:rPr>
          <w:rFonts w:hint="eastAsia"/>
          <w:color w:val="auto"/>
          <w:kern w:val="2"/>
        </w:rPr>
        <w:t>07</w:t>
      </w:r>
      <w:r>
        <w:rPr>
          <w:color w:val="auto"/>
          <w:kern w:val="2"/>
        </w:rPr>
        <w:t>t/a，储存能力满足本项目处理需求，依托可行。</w:t>
      </w:r>
    </w:p>
    <w:p w14:paraId="6316BE40">
      <w:pPr>
        <w:pStyle w:val="276"/>
        <w:widowControl w:val="0"/>
        <w:ind w:firstLine="480"/>
        <w:jc w:val="both"/>
        <w:rPr>
          <w:color w:val="auto"/>
        </w:rPr>
      </w:pPr>
      <w:r>
        <w:rPr>
          <w:color w:val="auto"/>
        </w:rPr>
        <w:t>（</w:t>
      </w:r>
      <w:r>
        <w:rPr>
          <w:rFonts w:hint="eastAsia"/>
          <w:color w:val="auto"/>
        </w:rPr>
        <w:t>11</w:t>
      </w:r>
      <w:r>
        <w:rPr>
          <w:color w:val="auto"/>
        </w:rPr>
        <w:t>）黑龙江迈景环保科技有限公司</w:t>
      </w:r>
    </w:p>
    <w:p w14:paraId="7A8D8CD1">
      <w:pPr>
        <w:pStyle w:val="276"/>
        <w:widowControl w:val="0"/>
        <w:ind w:firstLine="480"/>
        <w:jc w:val="both"/>
        <w:rPr>
          <w:color w:val="auto"/>
          <w:kern w:val="2"/>
        </w:rPr>
      </w:pPr>
      <w:r>
        <w:rPr>
          <w:color w:val="auto"/>
          <w:kern w:val="2"/>
          <w:lang w:val="zh-CN"/>
        </w:rPr>
        <w:t>本项目产生的</w:t>
      </w:r>
      <w:r>
        <w:rPr>
          <w:color w:val="auto"/>
          <w:kern w:val="2"/>
        </w:rPr>
        <w:t>油基钻井废水、油基废</w:t>
      </w:r>
      <w:r>
        <w:rPr>
          <w:color w:val="auto"/>
        </w:rPr>
        <w:t>钻井液</w:t>
      </w:r>
      <w:r>
        <w:rPr>
          <w:color w:val="auto"/>
          <w:kern w:val="2"/>
        </w:rPr>
        <w:t>、油基钻井岩屑和含油废射孔液依托</w:t>
      </w:r>
      <w:r>
        <w:rPr>
          <w:color w:val="auto"/>
        </w:rPr>
        <w:t>黑龙江迈景环保科技有限公司（原名称</w:t>
      </w:r>
      <w:r>
        <w:rPr>
          <w:color w:val="auto"/>
          <w:kern w:val="2"/>
        </w:rPr>
        <w:t>大庆市云泰石化产品有限公司</w:t>
      </w:r>
      <w:r>
        <w:rPr>
          <w:color w:val="auto"/>
        </w:rPr>
        <w:t>）</w:t>
      </w:r>
      <w:r>
        <w:rPr>
          <w:color w:val="auto"/>
          <w:kern w:val="2"/>
        </w:rPr>
        <w:t>处理。</w:t>
      </w:r>
      <w:r>
        <w:rPr>
          <w:color w:val="auto"/>
        </w:rPr>
        <w:t>黑龙江迈景环保科技有限公司</w:t>
      </w:r>
      <w:r>
        <w:rPr>
          <w:color w:val="auto"/>
          <w:kern w:val="2"/>
        </w:rPr>
        <w:t>核准经营类别包括：HW08废矿物油与含矿物油废物（071-001-08、071-002-08、072-001-08）。</w:t>
      </w:r>
      <w:r>
        <w:rPr>
          <w:color w:val="auto"/>
          <w:kern w:val="2"/>
        </w:rPr>
        <w:cr/>
      </w:r>
      <w:r>
        <w:rPr>
          <w:color w:val="auto"/>
          <w:kern w:val="2"/>
        </w:rPr>
        <w:t xml:space="preserve">    </w:t>
      </w:r>
      <w:r>
        <w:rPr>
          <w:color w:val="auto"/>
        </w:rPr>
        <w:t>黑龙江迈景环保科技有限公司</w:t>
      </w:r>
      <w:r>
        <w:rPr>
          <w:color w:val="auto"/>
          <w:kern w:val="2"/>
          <w:lang w:val="zh-CN"/>
        </w:rPr>
        <w:t>采用“预处理+深度脱附”处理工艺，预处理流程包括泥浆收集-甩干-离心，深度脱附装置的原理主要为利用水、油及土的沸点不同，将固体废弃物中的油水蒸发。</w:t>
      </w:r>
      <w:r>
        <w:rPr>
          <w:color w:val="auto"/>
          <w:kern w:val="2"/>
        </w:rPr>
        <w:t>该站现状处理能力为</w:t>
      </w:r>
      <w:r>
        <w:rPr>
          <w:color w:val="auto"/>
          <w:kern w:val="2"/>
          <w:lang w:val="zh-CN"/>
        </w:rPr>
        <w:t>10万t/a，约333t/d，目前实际处理量为120t/d，</w:t>
      </w:r>
      <w:r>
        <w:rPr>
          <w:color w:val="auto"/>
          <w:kern w:val="2"/>
        </w:rPr>
        <w:t>本项目油基钻井</w:t>
      </w:r>
      <w:r>
        <w:rPr>
          <w:rFonts w:hint="eastAsia"/>
          <w:color w:val="auto"/>
          <w:kern w:val="2"/>
        </w:rPr>
        <w:t>56</w:t>
      </w:r>
      <w:r>
        <w:rPr>
          <w:color w:val="auto"/>
          <w:kern w:val="2"/>
        </w:rPr>
        <w:t>天，油基钻井废水、钻井泥浆和岩屑和含油废射孔液等产生量约</w:t>
      </w:r>
      <w:r>
        <w:rPr>
          <w:rFonts w:hint="eastAsia"/>
          <w:color w:val="auto"/>
          <w:kern w:val="2"/>
        </w:rPr>
        <w:t>105.72</w:t>
      </w:r>
      <w:r>
        <w:rPr>
          <w:color w:val="auto"/>
          <w:kern w:val="2"/>
        </w:rPr>
        <w:t>t/d，新增本项目后该站处理量为</w:t>
      </w:r>
      <w:r>
        <w:rPr>
          <w:rFonts w:hint="eastAsia"/>
          <w:color w:val="auto"/>
          <w:kern w:val="2"/>
        </w:rPr>
        <w:t>225.72</w:t>
      </w:r>
      <w:r>
        <w:rPr>
          <w:color w:val="auto"/>
          <w:kern w:val="2"/>
        </w:rPr>
        <w:t>t/d，负荷率</w:t>
      </w:r>
      <w:r>
        <w:rPr>
          <w:rFonts w:hint="eastAsia"/>
          <w:color w:val="auto"/>
          <w:kern w:val="2"/>
        </w:rPr>
        <w:t>67.8</w:t>
      </w:r>
      <w:r>
        <w:rPr>
          <w:color w:val="auto"/>
          <w:kern w:val="2"/>
        </w:rPr>
        <w:t>%</w:t>
      </w:r>
      <w:r>
        <w:rPr>
          <w:color w:val="auto"/>
          <w:kern w:val="2"/>
          <w:lang w:val="zh-CN"/>
        </w:rPr>
        <w:t>，可以满足本项目油基泥浆处理需求。</w:t>
      </w:r>
      <w:r>
        <w:rPr>
          <w:color w:val="auto"/>
          <w:kern w:val="2"/>
          <w:lang w:val="de-DE"/>
        </w:rPr>
        <w:t>工艺流程见</w:t>
      </w:r>
      <w:r>
        <w:rPr>
          <w:color w:val="auto"/>
          <w:kern w:val="2"/>
        </w:rPr>
        <w:t>图3.</w:t>
      </w:r>
      <w:r>
        <w:rPr>
          <w:color w:val="auto"/>
        </w:rPr>
        <w:t>11</w:t>
      </w:r>
      <w:r>
        <w:rPr>
          <w:color w:val="auto"/>
          <w:kern w:val="2"/>
        </w:rPr>
        <w:t>-</w:t>
      </w:r>
      <w:r>
        <w:rPr>
          <w:rFonts w:hint="eastAsia"/>
          <w:color w:val="auto"/>
          <w:kern w:val="2"/>
        </w:rPr>
        <w:t>8</w:t>
      </w:r>
      <w:r>
        <w:rPr>
          <w:color w:val="auto"/>
          <w:kern w:val="2"/>
        </w:rPr>
        <w:t>。</w:t>
      </w:r>
    </w:p>
    <w:p w14:paraId="23601986">
      <w:pPr>
        <w:pStyle w:val="22"/>
        <w:spacing w:before="156"/>
        <w:rPr>
          <w:rFonts w:cs="Times New Roman"/>
          <w:color w:val="auto"/>
        </w:rPr>
      </w:pPr>
      <w:r>
        <w:rPr>
          <w:rFonts w:cs="Times New Roman"/>
          <w:color w:val="auto"/>
        </w:rPr>
        <w:drawing>
          <wp:inline distT="0" distB="0" distL="0" distR="0">
            <wp:extent cx="5759450" cy="2197735"/>
            <wp:effectExtent l="0" t="0" r="12700" b="12065"/>
            <wp:docPr id="1352728128" name="图片 135272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28" name="图片 1352728128"/>
                    <pic:cNvPicPr>
                      <a:picLocks noChangeAspect="1"/>
                    </pic:cNvPicPr>
                  </pic:nvPicPr>
                  <pic:blipFill>
                    <a:blip r:embed="rId49"/>
                    <a:stretch>
                      <a:fillRect/>
                    </a:stretch>
                  </pic:blipFill>
                  <pic:spPr>
                    <a:xfrm>
                      <a:off x="0" y="0"/>
                      <a:ext cx="5759450" cy="2197735"/>
                    </a:xfrm>
                    <a:prstGeom prst="rect">
                      <a:avLst/>
                    </a:prstGeom>
                  </pic:spPr>
                </pic:pic>
              </a:graphicData>
            </a:graphic>
          </wp:inline>
        </w:drawing>
      </w:r>
      <w:r>
        <w:rPr>
          <w:color w:val="auto"/>
        </w:rPr>
        <w:t xml:space="preserve">图 </w:t>
      </w:r>
      <w:r>
        <w:rPr>
          <w:color w:val="auto"/>
        </w:rPr>
        <w:fldChar w:fldCharType="begin"/>
      </w:r>
      <w:r>
        <w:rPr>
          <w:color w:val="auto"/>
        </w:rPr>
        <w:instrText xml:space="preserve"> STYLEREF 2 \s </w:instrText>
      </w:r>
      <w:r>
        <w:rPr>
          <w:color w:val="auto"/>
        </w:rPr>
        <w:fldChar w:fldCharType="separate"/>
      </w:r>
      <w:r>
        <w:rPr>
          <w:color w:val="auto"/>
        </w:rPr>
        <w:t>3.12</w:t>
      </w:r>
      <w:r>
        <w:rPr>
          <w:color w:val="auto"/>
        </w:rPr>
        <w:fldChar w:fldCharType="end"/>
      </w:r>
      <w:r>
        <w:rPr>
          <w:color w:val="auto"/>
        </w:rPr>
        <w:noBreakHyphen/>
      </w:r>
      <w:r>
        <w:rPr>
          <w:rFonts w:hAnsi="宋体" w:cs="Times New Roman"/>
          <w:color w:val="auto"/>
        </w:rPr>
        <w:fldChar w:fldCharType="begin"/>
      </w:r>
      <w:r>
        <w:rPr>
          <w:rFonts w:hAnsi="宋体" w:cs="Times New Roman"/>
          <w:color w:val="auto"/>
        </w:rPr>
        <w:instrText xml:space="preserve"> SEQ 图 \* ARABIC \s 2 </w:instrText>
      </w:r>
      <w:r>
        <w:rPr>
          <w:rFonts w:hAnsi="宋体" w:cs="Times New Roman"/>
          <w:color w:val="auto"/>
        </w:rPr>
        <w:fldChar w:fldCharType="separate"/>
      </w:r>
      <w:r>
        <w:rPr>
          <w:rFonts w:hAnsi="宋体" w:cs="Times New Roman"/>
          <w:color w:val="auto"/>
        </w:rPr>
        <w:t>8</w:t>
      </w:r>
      <w:r>
        <w:rPr>
          <w:rFonts w:hAnsi="宋体" w:cs="Times New Roman"/>
          <w:color w:val="auto"/>
        </w:rPr>
        <w:fldChar w:fldCharType="end"/>
      </w:r>
      <w:r>
        <w:rPr>
          <w:rFonts w:hAnsi="宋体" w:cs="Times New Roman"/>
          <w:color w:val="auto"/>
        </w:rPr>
        <w:t>黑龙江迈景环保科技有限公司工艺流程图</w:t>
      </w:r>
    </w:p>
    <w:p w14:paraId="38BFFD3A">
      <w:pPr>
        <w:pStyle w:val="6"/>
        <w:rPr>
          <w:color w:val="auto"/>
        </w:rPr>
      </w:pPr>
      <w:r>
        <w:rPr>
          <w:color w:val="auto"/>
        </w:rPr>
        <w:t>依托工程环境影响评价及竣工验收情况</w:t>
      </w:r>
      <w:bookmarkEnd w:id="847"/>
      <w:bookmarkEnd w:id="848"/>
      <w:bookmarkEnd w:id="849"/>
      <w:bookmarkEnd w:id="850"/>
      <w:bookmarkEnd w:id="851"/>
      <w:bookmarkEnd w:id="852"/>
      <w:bookmarkEnd w:id="853"/>
      <w:bookmarkEnd w:id="854"/>
    </w:p>
    <w:p w14:paraId="386261DA">
      <w:pPr>
        <w:pStyle w:val="276"/>
        <w:widowControl w:val="0"/>
        <w:ind w:firstLine="480"/>
        <w:jc w:val="both"/>
        <w:rPr>
          <w:color w:val="auto"/>
          <w:kern w:val="2"/>
        </w:rPr>
      </w:pPr>
      <w:r>
        <w:rPr>
          <w:color w:val="auto"/>
          <w:kern w:val="2"/>
        </w:rPr>
        <w:t>本项目依托工程环境影响评价及竣工验收情况见表</w:t>
      </w:r>
      <w:r>
        <w:rPr>
          <w:color w:val="auto"/>
          <w:kern w:val="2"/>
        </w:rPr>
        <w:fldChar w:fldCharType="begin"/>
      </w:r>
      <w:r>
        <w:rPr>
          <w:color w:val="auto"/>
          <w:kern w:val="2"/>
        </w:rPr>
        <w:instrText xml:space="preserve"> REF _Ref211959518 \h  \* MERGEFORMAT </w:instrText>
      </w:r>
      <w:r>
        <w:rPr>
          <w:color w:val="auto"/>
          <w:kern w:val="2"/>
        </w:rPr>
        <w:fldChar w:fldCharType="separate"/>
      </w:r>
      <w:r>
        <w:rPr>
          <w:color w:val="auto"/>
        </w:rPr>
        <w:t>表 3.12</w:t>
      </w:r>
      <w:r>
        <w:rPr>
          <w:color w:val="auto"/>
        </w:rPr>
        <w:noBreakHyphen/>
      </w:r>
      <w:r>
        <w:rPr>
          <w:color w:val="auto"/>
        </w:rPr>
        <w:t>1</w:t>
      </w:r>
      <w:r>
        <w:rPr>
          <w:color w:val="auto"/>
          <w:kern w:val="2"/>
        </w:rPr>
        <w:fldChar w:fldCharType="end"/>
      </w:r>
      <w:r>
        <w:rPr>
          <w:color w:val="auto"/>
          <w:kern w:val="2"/>
        </w:rPr>
        <w:t>。</w:t>
      </w:r>
    </w:p>
    <w:p w14:paraId="3150C27C">
      <w:pPr>
        <w:pStyle w:val="22"/>
        <w:spacing w:before="156"/>
        <w:rPr>
          <w:rFonts w:hAnsi="宋体" w:cs="Times New Roman"/>
          <w:color w:val="auto"/>
        </w:rPr>
      </w:pPr>
      <w:bookmarkStart w:id="856" w:name="_Ref211959518"/>
      <w:r>
        <w:rPr>
          <w:rFonts w:hAnsi="宋体" w:cs="Times New Roman"/>
          <w:color w:val="auto"/>
        </w:rPr>
        <w:t xml:space="preserve">表 </w:t>
      </w:r>
      <w:r>
        <w:rPr>
          <w:rFonts w:hAnsi="宋体" w:cs="Times New Roman"/>
          <w:color w:val="auto"/>
        </w:rPr>
        <w:fldChar w:fldCharType="begin"/>
      </w:r>
      <w:r>
        <w:rPr>
          <w:rFonts w:hAnsi="宋体" w:cs="Times New Roman"/>
          <w:color w:val="auto"/>
        </w:rPr>
        <w:instrText xml:space="preserve"> STYLEREF 2 \s </w:instrText>
      </w:r>
      <w:r>
        <w:rPr>
          <w:rFonts w:hAnsi="宋体" w:cs="Times New Roman"/>
          <w:color w:val="auto"/>
        </w:rPr>
        <w:fldChar w:fldCharType="separate"/>
      </w:r>
      <w:r>
        <w:rPr>
          <w:rFonts w:hAnsi="宋体" w:cs="Times New Roman"/>
          <w:color w:val="auto"/>
        </w:rPr>
        <w:t>3.12</w:t>
      </w:r>
      <w:r>
        <w:rPr>
          <w:rFonts w:hAnsi="宋体" w:cs="Times New Roman"/>
          <w:color w:val="auto"/>
        </w:rPr>
        <w:fldChar w:fldCharType="end"/>
      </w:r>
      <w:r>
        <w:rPr>
          <w:rFonts w:hAnsi="宋体" w:cs="Times New Roman"/>
          <w:color w:val="auto"/>
        </w:rPr>
        <w:noBreakHyphen/>
      </w:r>
      <w:r>
        <w:rPr>
          <w:rFonts w:hAnsi="宋体" w:cs="Times New Roman"/>
          <w:color w:val="auto"/>
        </w:rPr>
        <w:fldChar w:fldCharType="begin"/>
      </w:r>
      <w:r>
        <w:rPr>
          <w:rFonts w:hAnsi="宋体" w:cs="Times New Roman"/>
          <w:color w:val="auto"/>
        </w:rPr>
        <w:instrText xml:space="preserve"> SEQ 表 \* ARABIC \s 2 </w:instrText>
      </w:r>
      <w:r>
        <w:rPr>
          <w:rFonts w:hAnsi="宋体" w:cs="Times New Roman"/>
          <w:color w:val="auto"/>
        </w:rPr>
        <w:fldChar w:fldCharType="separate"/>
      </w:r>
      <w:r>
        <w:rPr>
          <w:rFonts w:hAnsi="宋体" w:cs="Times New Roman"/>
          <w:color w:val="auto"/>
        </w:rPr>
        <w:t>1</w:t>
      </w:r>
      <w:r>
        <w:rPr>
          <w:rFonts w:hAnsi="宋体" w:cs="Times New Roman"/>
          <w:color w:val="auto"/>
        </w:rPr>
        <w:fldChar w:fldCharType="end"/>
      </w:r>
      <w:bookmarkEnd w:id="856"/>
      <w:r>
        <w:rPr>
          <w:rFonts w:hAnsi="宋体" w:cs="Times New Roman"/>
          <w:color w:val="auto"/>
        </w:rPr>
        <w:t>依托工程环评验收情况一览表</w:t>
      </w:r>
    </w:p>
    <w:tbl>
      <w:tblPr>
        <w:tblStyle w:val="81"/>
        <w:tblW w:w="90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568"/>
        <w:gridCol w:w="1554"/>
        <w:gridCol w:w="2409"/>
        <w:gridCol w:w="1560"/>
        <w:gridCol w:w="1417"/>
        <w:gridCol w:w="1562"/>
      </w:tblGrid>
      <w:tr w14:paraId="7DD31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68" w:type="dxa"/>
            <w:vAlign w:val="center"/>
          </w:tcPr>
          <w:p w14:paraId="0241E42B">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序号</w:t>
            </w:r>
          </w:p>
        </w:tc>
        <w:tc>
          <w:tcPr>
            <w:tcW w:w="1554" w:type="dxa"/>
            <w:vAlign w:val="center"/>
          </w:tcPr>
          <w:p w14:paraId="34DB0649">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依托场站</w:t>
            </w:r>
          </w:p>
        </w:tc>
        <w:tc>
          <w:tcPr>
            <w:tcW w:w="2409" w:type="dxa"/>
            <w:vAlign w:val="center"/>
          </w:tcPr>
          <w:p w14:paraId="518CEEFE">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环评项目名称</w:t>
            </w:r>
          </w:p>
        </w:tc>
        <w:tc>
          <w:tcPr>
            <w:tcW w:w="1560" w:type="dxa"/>
            <w:vAlign w:val="center"/>
          </w:tcPr>
          <w:p w14:paraId="26B97A44">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环评批复</w:t>
            </w:r>
          </w:p>
        </w:tc>
        <w:tc>
          <w:tcPr>
            <w:tcW w:w="1417" w:type="dxa"/>
            <w:vAlign w:val="center"/>
          </w:tcPr>
          <w:p w14:paraId="34943D13">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验收情况</w:t>
            </w:r>
          </w:p>
        </w:tc>
        <w:tc>
          <w:tcPr>
            <w:tcW w:w="1562" w:type="dxa"/>
            <w:vAlign w:val="center"/>
          </w:tcPr>
          <w:p w14:paraId="35F7C87C">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排污许可登记号</w:t>
            </w:r>
          </w:p>
        </w:tc>
      </w:tr>
      <w:tr w14:paraId="721F9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68" w:type="dxa"/>
            <w:vAlign w:val="center"/>
          </w:tcPr>
          <w:p w14:paraId="26BD0D28">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1</w:t>
            </w:r>
          </w:p>
        </w:tc>
        <w:tc>
          <w:tcPr>
            <w:tcW w:w="1554" w:type="dxa"/>
            <w:vAlign w:val="center"/>
          </w:tcPr>
          <w:p w14:paraId="3DAE7233">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朝二联合站</w:t>
            </w:r>
          </w:p>
        </w:tc>
        <w:tc>
          <w:tcPr>
            <w:tcW w:w="2409" w:type="dxa"/>
            <w:vAlign w:val="center"/>
          </w:tcPr>
          <w:p w14:paraId="685FF0FB">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朝阳沟油田朝 86 区块 2013年产能建设工程</w:t>
            </w:r>
          </w:p>
        </w:tc>
        <w:tc>
          <w:tcPr>
            <w:tcW w:w="1560" w:type="dxa"/>
            <w:vAlign w:val="center"/>
          </w:tcPr>
          <w:p w14:paraId="43ACC0F3">
            <w:pPr>
              <w:tabs>
                <w:tab w:val="left" w:pos="4154"/>
                <w:tab w:val="center" w:pos="8305"/>
              </w:tabs>
              <w:spacing w:line="340" w:lineRule="exact"/>
              <w:jc w:val="center"/>
              <w:rPr>
                <w:rFonts w:ascii="宋体" w:hAnsi="宋体" w:eastAsia="宋体" w:cs="Times New Roman"/>
                <w:color w:val="auto"/>
              </w:rPr>
            </w:pPr>
            <w:r>
              <w:rPr>
                <w:rFonts w:ascii="宋体" w:hAnsi="宋体" w:eastAsia="宋体" w:cs="Times New Roman"/>
                <w:color w:val="auto"/>
              </w:rPr>
              <w:t>庆环审〔2013〕242号</w:t>
            </w:r>
          </w:p>
        </w:tc>
        <w:tc>
          <w:tcPr>
            <w:tcW w:w="1417" w:type="dxa"/>
            <w:vAlign w:val="center"/>
          </w:tcPr>
          <w:p w14:paraId="5572F61B">
            <w:pPr>
              <w:tabs>
                <w:tab w:val="left" w:pos="4154"/>
                <w:tab w:val="center" w:pos="8305"/>
              </w:tabs>
              <w:spacing w:line="340" w:lineRule="exact"/>
              <w:rPr>
                <w:rFonts w:ascii="宋体" w:hAnsi="宋体" w:eastAsia="宋体"/>
                <w:smallCaps/>
                <w:color w:val="auto"/>
              </w:rPr>
            </w:pPr>
            <w:r>
              <w:rPr>
                <w:rFonts w:ascii="宋体" w:hAnsi="宋体" w:eastAsia="宋体"/>
                <w:color w:val="auto"/>
              </w:rPr>
              <w:t>2019年10月通过自主验收</w:t>
            </w:r>
          </w:p>
        </w:tc>
        <w:tc>
          <w:tcPr>
            <w:tcW w:w="1562" w:type="dxa"/>
            <w:vAlign w:val="center"/>
          </w:tcPr>
          <w:p w14:paraId="36583CC1">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91230607716675409L008X</w:t>
            </w:r>
          </w:p>
        </w:tc>
      </w:tr>
      <w:tr w14:paraId="28A17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68" w:type="dxa"/>
            <w:vAlign w:val="center"/>
          </w:tcPr>
          <w:p w14:paraId="409F2A45">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2</w:t>
            </w:r>
          </w:p>
        </w:tc>
        <w:tc>
          <w:tcPr>
            <w:tcW w:w="1554" w:type="dxa"/>
            <w:vAlign w:val="center"/>
          </w:tcPr>
          <w:p w14:paraId="35256B44">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大庆油田昆仑集团有限公司环保分公司</w:t>
            </w:r>
          </w:p>
        </w:tc>
        <w:tc>
          <w:tcPr>
            <w:tcW w:w="2409" w:type="dxa"/>
            <w:vAlign w:val="center"/>
          </w:tcPr>
          <w:p w14:paraId="7790CD24">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大庆油田昆仑集团有限公司环保分公司采油十厂9万m</w:t>
            </w:r>
            <w:r>
              <w:rPr>
                <w:rFonts w:ascii="宋体" w:hAnsi="宋体" w:eastAsia="宋体" w:cs="Times New Roman"/>
                <w:color w:val="auto"/>
                <w:vertAlign w:val="superscript"/>
              </w:rPr>
              <w:t>3</w:t>
            </w:r>
            <w:r>
              <w:rPr>
                <w:rFonts w:ascii="宋体" w:hAnsi="宋体" w:eastAsia="宋体" w:cs="Times New Roman"/>
                <w:color w:val="auto"/>
              </w:rPr>
              <w:t>/a钻井废弃泥浆无害化处理项目</w:t>
            </w:r>
          </w:p>
        </w:tc>
        <w:tc>
          <w:tcPr>
            <w:tcW w:w="1560" w:type="dxa"/>
            <w:vAlign w:val="center"/>
          </w:tcPr>
          <w:p w14:paraId="091ADC30">
            <w:pPr>
              <w:tabs>
                <w:tab w:val="left" w:pos="4154"/>
                <w:tab w:val="center" w:pos="8305"/>
              </w:tabs>
              <w:spacing w:line="340" w:lineRule="exact"/>
              <w:rPr>
                <w:rFonts w:ascii="宋体" w:hAnsi="宋体" w:eastAsia="宋体"/>
                <w:smallCaps/>
                <w:color w:val="auto"/>
              </w:rPr>
            </w:pPr>
            <w:r>
              <w:rPr>
                <w:rFonts w:ascii="宋体" w:hAnsi="宋体" w:eastAsia="宋体"/>
                <w:color w:val="auto"/>
              </w:rPr>
              <w:t>州环发[2020]4号</w:t>
            </w:r>
          </w:p>
        </w:tc>
        <w:tc>
          <w:tcPr>
            <w:tcW w:w="1417" w:type="dxa"/>
            <w:vAlign w:val="center"/>
          </w:tcPr>
          <w:p w14:paraId="667DC586">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2020年11月完成自主验收</w:t>
            </w:r>
          </w:p>
        </w:tc>
        <w:tc>
          <w:tcPr>
            <w:tcW w:w="1562" w:type="dxa"/>
            <w:vAlign w:val="center"/>
          </w:tcPr>
          <w:p w14:paraId="020F8657">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w:t>
            </w:r>
          </w:p>
        </w:tc>
      </w:tr>
      <w:tr w14:paraId="7E828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68" w:type="dxa"/>
            <w:vAlign w:val="center"/>
          </w:tcPr>
          <w:p w14:paraId="5567815A">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3</w:t>
            </w:r>
          </w:p>
        </w:tc>
        <w:tc>
          <w:tcPr>
            <w:tcW w:w="1554" w:type="dxa"/>
            <w:vAlign w:val="center"/>
          </w:tcPr>
          <w:p w14:paraId="7EDA3AA6">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朝一联含油污泥处理站</w:t>
            </w:r>
          </w:p>
        </w:tc>
        <w:tc>
          <w:tcPr>
            <w:tcW w:w="2409" w:type="dxa"/>
            <w:vAlign w:val="center"/>
          </w:tcPr>
          <w:p w14:paraId="1508F429">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第十采油厂朝阳沟油田朝94区块加密井产能建设工程境影响报告书</w:t>
            </w:r>
          </w:p>
        </w:tc>
        <w:tc>
          <w:tcPr>
            <w:tcW w:w="1560" w:type="dxa"/>
            <w:vAlign w:val="center"/>
          </w:tcPr>
          <w:p w14:paraId="138B7422">
            <w:pPr>
              <w:tabs>
                <w:tab w:val="left" w:pos="4154"/>
                <w:tab w:val="center" w:pos="8305"/>
              </w:tabs>
              <w:spacing w:line="340" w:lineRule="exact"/>
              <w:jc w:val="center"/>
              <w:rPr>
                <w:rFonts w:ascii="宋体" w:hAnsi="宋体" w:eastAsia="宋体" w:cs="Times New Roman"/>
                <w:color w:val="auto"/>
              </w:rPr>
            </w:pPr>
            <w:r>
              <w:rPr>
                <w:rFonts w:ascii="宋体" w:hAnsi="宋体" w:eastAsia="宋体" w:cs="Times New Roman"/>
                <w:color w:val="auto"/>
              </w:rPr>
              <w:t>庆环建字</w:t>
            </w:r>
          </w:p>
          <w:p w14:paraId="67F2E868">
            <w:pPr>
              <w:tabs>
                <w:tab w:val="left" w:pos="4154"/>
                <w:tab w:val="center" w:pos="8305"/>
              </w:tabs>
              <w:spacing w:line="340" w:lineRule="exact"/>
              <w:rPr>
                <w:rFonts w:ascii="宋体" w:hAnsi="宋体" w:eastAsia="宋体"/>
                <w:smallCaps/>
                <w:color w:val="auto"/>
              </w:rPr>
            </w:pPr>
            <w:r>
              <w:rPr>
                <w:rFonts w:ascii="宋体" w:hAnsi="宋体" w:eastAsia="宋体"/>
                <w:color w:val="auto"/>
              </w:rPr>
              <w:t>〔2012〕189号</w:t>
            </w:r>
          </w:p>
        </w:tc>
        <w:tc>
          <w:tcPr>
            <w:tcW w:w="1417" w:type="dxa"/>
            <w:vAlign w:val="center"/>
          </w:tcPr>
          <w:p w14:paraId="6CCAD67D">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2019年10月通过自主验收</w:t>
            </w:r>
          </w:p>
        </w:tc>
        <w:tc>
          <w:tcPr>
            <w:tcW w:w="1562" w:type="dxa"/>
            <w:vAlign w:val="center"/>
          </w:tcPr>
          <w:p w14:paraId="3C936B27">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91230607716675409L008X</w:t>
            </w:r>
          </w:p>
        </w:tc>
      </w:tr>
      <w:tr w14:paraId="1D695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68" w:type="dxa"/>
            <w:vAlign w:val="center"/>
          </w:tcPr>
          <w:p w14:paraId="707ADCFC">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4</w:t>
            </w:r>
          </w:p>
        </w:tc>
        <w:tc>
          <w:tcPr>
            <w:tcW w:w="1554" w:type="dxa"/>
            <w:vAlign w:val="center"/>
          </w:tcPr>
          <w:p w14:paraId="347CA077">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大庆博昕晶化科技有限公司</w:t>
            </w:r>
          </w:p>
        </w:tc>
        <w:tc>
          <w:tcPr>
            <w:tcW w:w="2409" w:type="dxa"/>
            <w:vAlign w:val="center"/>
          </w:tcPr>
          <w:p w14:paraId="2C24C4E1">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50000吨/年油泥净化和30000吨/年废润滑油再生项目</w:t>
            </w:r>
          </w:p>
        </w:tc>
        <w:tc>
          <w:tcPr>
            <w:tcW w:w="1560" w:type="dxa"/>
            <w:vAlign w:val="center"/>
          </w:tcPr>
          <w:p w14:paraId="19A1C8CD">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庆环审</w:t>
            </w:r>
          </w:p>
          <w:p w14:paraId="6EA12AE0">
            <w:pPr>
              <w:tabs>
                <w:tab w:val="left" w:pos="4154"/>
                <w:tab w:val="center" w:pos="8305"/>
              </w:tabs>
              <w:spacing w:line="340" w:lineRule="exact"/>
              <w:rPr>
                <w:rFonts w:ascii="宋体" w:hAnsi="宋体" w:eastAsia="宋体"/>
                <w:smallCaps/>
                <w:color w:val="auto"/>
              </w:rPr>
            </w:pPr>
            <w:r>
              <w:rPr>
                <w:rFonts w:ascii="宋体" w:hAnsi="宋体" w:eastAsia="宋体"/>
                <w:color w:val="auto"/>
              </w:rPr>
              <w:t>〔2018〕186号</w:t>
            </w:r>
          </w:p>
        </w:tc>
        <w:tc>
          <w:tcPr>
            <w:tcW w:w="1417" w:type="dxa"/>
            <w:vAlign w:val="center"/>
          </w:tcPr>
          <w:p w14:paraId="37F6BB60">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2020年12月完成了自主验收</w:t>
            </w:r>
          </w:p>
        </w:tc>
        <w:tc>
          <w:tcPr>
            <w:tcW w:w="1562" w:type="dxa"/>
            <w:vAlign w:val="center"/>
          </w:tcPr>
          <w:p w14:paraId="0F7F3037">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91230606790538365R001R</w:t>
            </w:r>
          </w:p>
        </w:tc>
      </w:tr>
      <w:tr w14:paraId="67D95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68" w:type="dxa"/>
            <w:vAlign w:val="center"/>
          </w:tcPr>
          <w:p w14:paraId="6CFDCBFF">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5</w:t>
            </w:r>
          </w:p>
        </w:tc>
        <w:tc>
          <w:tcPr>
            <w:tcW w:w="1554" w:type="dxa"/>
            <w:vAlign w:val="center"/>
          </w:tcPr>
          <w:p w14:paraId="5F87DA57">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第八采油厂工业固废填埋场</w:t>
            </w:r>
          </w:p>
        </w:tc>
        <w:tc>
          <w:tcPr>
            <w:tcW w:w="2409" w:type="dxa"/>
            <w:vAlign w:val="center"/>
          </w:tcPr>
          <w:p w14:paraId="79D01A3D">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第八采油厂工业固废填埋场工程环境影响报告书</w:t>
            </w:r>
          </w:p>
        </w:tc>
        <w:tc>
          <w:tcPr>
            <w:tcW w:w="1560" w:type="dxa"/>
            <w:vAlign w:val="center"/>
          </w:tcPr>
          <w:p w14:paraId="3F8B7FCF">
            <w:pPr>
              <w:tabs>
                <w:tab w:val="left" w:pos="4154"/>
                <w:tab w:val="center" w:pos="8305"/>
              </w:tabs>
              <w:spacing w:line="340" w:lineRule="exact"/>
              <w:rPr>
                <w:rFonts w:ascii="宋体" w:hAnsi="宋体" w:eastAsia="宋体"/>
                <w:smallCaps/>
                <w:color w:val="auto"/>
              </w:rPr>
            </w:pPr>
            <w:r>
              <w:rPr>
                <w:rFonts w:ascii="宋体" w:hAnsi="宋体" w:eastAsia="宋体"/>
                <w:color w:val="auto"/>
              </w:rPr>
              <w:t>庆环建字〔2011〕171号</w:t>
            </w:r>
          </w:p>
        </w:tc>
        <w:tc>
          <w:tcPr>
            <w:tcW w:w="1417" w:type="dxa"/>
            <w:vAlign w:val="center"/>
          </w:tcPr>
          <w:p w14:paraId="65B30688">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庆环验〔2014〕38号</w:t>
            </w:r>
          </w:p>
        </w:tc>
        <w:tc>
          <w:tcPr>
            <w:tcW w:w="1562" w:type="dxa"/>
            <w:vAlign w:val="center"/>
          </w:tcPr>
          <w:p w14:paraId="200E838C">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91230607716675409L011X</w:t>
            </w:r>
          </w:p>
        </w:tc>
      </w:tr>
      <w:tr w14:paraId="73C5F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68" w:type="dxa"/>
            <w:vAlign w:val="center"/>
          </w:tcPr>
          <w:p w14:paraId="1864E1F7">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6</w:t>
            </w:r>
          </w:p>
        </w:tc>
        <w:tc>
          <w:tcPr>
            <w:tcW w:w="1554" w:type="dxa"/>
            <w:vAlign w:val="center"/>
          </w:tcPr>
          <w:p w14:paraId="713D7900">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朝一联压裂返排液无害化处理站</w:t>
            </w:r>
          </w:p>
        </w:tc>
        <w:tc>
          <w:tcPr>
            <w:tcW w:w="2409" w:type="dxa"/>
            <w:vAlign w:val="center"/>
          </w:tcPr>
          <w:p w14:paraId="5E57DEA6">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第十采油厂朝一联改造工程境影响报告表</w:t>
            </w:r>
          </w:p>
        </w:tc>
        <w:tc>
          <w:tcPr>
            <w:tcW w:w="1560" w:type="dxa"/>
            <w:vAlign w:val="center"/>
          </w:tcPr>
          <w:p w14:paraId="6C0564A3">
            <w:pPr>
              <w:tabs>
                <w:tab w:val="left" w:pos="4154"/>
                <w:tab w:val="center" w:pos="8305"/>
              </w:tabs>
              <w:spacing w:line="340" w:lineRule="exact"/>
              <w:rPr>
                <w:rFonts w:ascii="宋体" w:hAnsi="宋体" w:eastAsia="宋体"/>
                <w:smallCaps/>
                <w:color w:val="auto"/>
              </w:rPr>
            </w:pPr>
            <w:r>
              <w:rPr>
                <w:rFonts w:ascii="宋体" w:hAnsi="宋体" w:eastAsia="宋体"/>
                <w:color w:val="auto"/>
              </w:rPr>
              <w:t>庆环建字</w:t>
            </w:r>
          </w:p>
          <w:p w14:paraId="25F2B55B">
            <w:pPr>
              <w:tabs>
                <w:tab w:val="left" w:pos="4154"/>
                <w:tab w:val="center" w:pos="8305"/>
              </w:tabs>
              <w:spacing w:line="340" w:lineRule="exact"/>
              <w:rPr>
                <w:rFonts w:ascii="宋体" w:hAnsi="宋体" w:eastAsia="宋体"/>
                <w:smallCaps/>
                <w:color w:val="auto"/>
              </w:rPr>
            </w:pPr>
            <w:r>
              <w:rPr>
                <w:rFonts w:ascii="宋体" w:hAnsi="宋体" w:eastAsia="宋体"/>
                <w:color w:val="auto"/>
              </w:rPr>
              <w:t>〔2013〕136号</w:t>
            </w:r>
          </w:p>
        </w:tc>
        <w:tc>
          <w:tcPr>
            <w:tcW w:w="1417" w:type="dxa"/>
            <w:vAlign w:val="center"/>
          </w:tcPr>
          <w:p w14:paraId="6B242C83">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2019年10月通过自主验收</w:t>
            </w:r>
          </w:p>
        </w:tc>
        <w:tc>
          <w:tcPr>
            <w:tcW w:w="1562" w:type="dxa"/>
            <w:vAlign w:val="center"/>
          </w:tcPr>
          <w:p w14:paraId="65CC903A">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91230607716675409L008X</w:t>
            </w:r>
          </w:p>
        </w:tc>
      </w:tr>
      <w:tr w14:paraId="76ADA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68" w:type="dxa"/>
            <w:vAlign w:val="center"/>
          </w:tcPr>
          <w:p w14:paraId="0DAD31CC">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7</w:t>
            </w:r>
          </w:p>
        </w:tc>
        <w:tc>
          <w:tcPr>
            <w:tcW w:w="1554" w:type="dxa"/>
            <w:vAlign w:val="center"/>
          </w:tcPr>
          <w:p w14:paraId="485C07CC">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第十采油厂厂区生活污水处理站</w:t>
            </w:r>
          </w:p>
        </w:tc>
        <w:tc>
          <w:tcPr>
            <w:tcW w:w="2409" w:type="dxa"/>
            <w:vAlign w:val="center"/>
          </w:tcPr>
          <w:p w14:paraId="0DA3E8CA">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厂区生活污水处理工程项目环境影响报告表</w:t>
            </w:r>
          </w:p>
        </w:tc>
        <w:tc>
          <w:tcPr>
            <w:tcW w:w="1560" w:type="dxa"/>
            <w:vAlign w:val="center"/>
          </w:tcPr>
          <w:p w14:paraId="64265264">
            <w:pPr>
              <w:tabs>
                <w:tab w:val="left" w:pos="4154"/>
                <w:tab w:val="center" w:pos="8305"/>
              </w:tabs>
              <w:spacing w:line="340" w:lineRule="exact"/>
              <w:rPr>
                <w:rFonts w:ascii="宋体" w:hAnsi="宋体" w:eastAsia="宋体"/>
                <w:smallCaps/>
                <w:color w:val="auto"/>
              </w:rPr>
            </w:pPr>
            <w:r>
              <w:rPr>
                <w:rFonts w:ascii="宋体" w:hAnsi="宋体" w:eastAsia="宋体"/>
                <w:color w:val="auto"/>
              </w:rPr>
              <w:t>州环发〔2021〕2号</w:t>
            </w:r>
          </w:p>
        </w:tc>
        <w:tc>
          <w:tcPr>
            <w:tcW w:w="1417" w:type="dxa"/>
            <w:vAlign w:val="center"/>
          </w:tcPr>
          <w:p w14:paraId="2D33AB55">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2023年7月通过自主验收</w:t>
            </w:r>
          </w:p>
        </w:tc>
        <w:tc>
          <w:tcPr>
            <w:tcW w:w="1562" w:type="dxa"/>
            <w:vAlign w:val="center"/>
          </w:tcPr>
          <w:p w14:paraId="3240B006">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91230607716675409L008X</w:t>
            </w:r>
          </w:p>
        </w:tc>
      </w:tr>
      <w:tr w14:paraId="1D167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68" w:type="dxa"/>
            <w:vAlign w:val="center"/>
          </w:tcPr>
          <w:p w14:paraId="002CA2A8">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8</w:t>
            </w:r>
          </w:p>
        </w:tc>
        <w:tc>
          <w:tcPr>
            <w:tcW w:w="1554" w:type="dxa"/>
            <w:vAlign w:val="center"/>
          </w:tcPr>
          <w:p w14:paraId="4B68B8DC">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第十采油厂综合固废储存库</w:t>
            </w:r>
          </w:p>
        </w:tc>
        <w:tc>
          <w:tcPr>
            <w:tcW w:w="2409" w:type="dxa"/>
            <w:vAlign w:val="center"/>
          </w:tcPr>
          <w:p w14:paraId="0B88A1C0">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综合固废储存库新建工程环境影响报告表</w:t>
            </w:r>
          </w:p>
        </w:tc>
        <w:tc>
          <w:tcPr>
            <w:tcW w:w="1560" w:type="dxa"/>
            <w:vAlign w:val="center"/>
          </w:tcPr>
          <w:p w14:paraId="13B1EBBD">
            <w:pPr>
              <w:tabs>
                <w:tab w:val="left" w:pos="4154"/>
                <w:tab w:val="center" w:pos="8305"/>
              </w:tabs>
              <w:spacing w:line="340" w:lineRule="exact"/>
              <w:rPr>
                <w:rFonts w:ascii="宋体" w:hAnsi="宋体" w:eastAsia="宋体"/>
                <w:smallCaps/>
                <w:color w:val="auto"/>
              </w:rPr>
            </w:pPr>
            <w:r>
              <w:rPr>
                <w:rFonts w:ascii="宋体" w:hAnsi="宋体" w:eastAsia="宋体"/>
                <w:color w:val="auto"/>
              </w:rPr>
              <w:t>庆环审〔2019〕196号</w:t>
            </w:r>
          </w:p>
        </w:tc>
        <w:tc>
          <w:tcPr>
            <w:tcW w:w="1417" w:type="dxa"/>
            <w:vAlign w:val="center"/>
          </w:tcPr>
          <w:p w14:paraId="2BAD72D9">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2023年3月通过自主验收</w:t>
            </w:r>
          </w:p>
        </w:tc>
        <w:tc>
          <w:tcPr>
            <w:tcW w:w="1562" w:type="dxa"/>
            <w:vAlign w:val="center"/>
          </w:tcPr>
          <w:p w14:paraId="381BC9B9">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91230607716675409L008X</w:t>
            </w:r>
          </w:p>
        </w:tc>
      </w:tr>
      <w:tr w14:paraId="0A39D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568" w:type="dxa"/>
            <w:vAlign w:val="center"/>
          </w:tcPr>
          <w:p w14:paraId="02F9E265">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9</w:t>
            </w:r>
          </w:p>
        </w:tc>
        <w:tc>
          <w:tcPr>
            <w:tcW w:w="1554" w:type="dxa"/>
            <w:vAlign w:val="center"/>
          </w:tcPr>
          <w:p w14:paraId="476EE9CC">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黑龙江迈景环保科技有限公司（原名称大庆市云泰石化产品有限公司）</w:t>
            </w:r>
          </w:p>
        </w:tc>
        <w:tc>
          <w:tcPr>
            <w:tcW w:w="2409" w:type="dxa"/>
            <w:vAlign w:val="center"/>
          </w:tcPr>
          <w:p w14:paraId="050C1E4B">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废弃泥浆无害化处理油基泥浆站项目环境影响报告书</w:t>
            </w:r>
          </w:p>
        </w:tc>
        <w:tc>
          <w:tcPr>
            <w:tcW w:w="1560" w:type="dxa"/>
            <w:vAlign w:val="center"/>
          </w:tcPr>
          <w:p w14:paraId="3CF2CBEF">
            <w:pPr>
              <w:tabs>
                <w:tab w:val="left" w:pos="4154"/>
                <w:tab w:val="center" w:pos="8305"/>
              </w:tabs>
              <w:spacing w:line="340" w:lineRule="exact"/>
              <w:rPr>
                <w:rFonts w:ascii="宋体" w:hAnsi="宋体" w:eastAsia="宋体"/>
                <w:smallCaps/>
                <w:color w:val="auto"/>
              </w:rPr>
            </w:pPr>
            <w:r>
              <w:rPr>
                <w:rFonts w:ascii="宋体" w:hAnsi="宋体" w:eastAsia="宋体"/>
                <w:color w:val="auto"/>
              </w:rPr>
              <w:t>庆环审〔2021〕21号</w:t>
            </w:r>
          </w:p>
        </w:tc>
        <w:tc>
          <w:tcPr>
            <w:tcW w:w="1417" w:type="dxa"/>
            <w:vAlign w:val="center"/>
          </w:tcPr>
          <w:p w14:paraId="49865B80">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2022年10月通过自主验收</w:t>
            </w:r>
          </w:p>
        </w:tc>
        <w:tc>
          <w:tcPr>
            <w:tcW w:w="1562" w:type="dxa"/>
            <w:vAlign w:val="center"/>
          </w:tcPr>
          <w:p w14:paraId="427128DF">
            <w:pPr>
              <w:adjustRightInd w:val="0"/>
              <w:snapToGrid w:val="0"/>
              <w:spacing w:line="340" w:lineRule="exact"/>
              <w:jc w:val="center"/>
              <w:rPr>
                <w:rFonts w:ascii="宋体" w:hAnsi="宋体" w:eastAsia="宋体" w:cs="Times New Roman"/>
                <w:color w:val="auto"/>
              </w:rPr>
            </w:pPr>
            <w:r>
              <w:rPr>
                <w:rFonts w:ascii="宋体" w:hAnsi="宋体" w:eastAsia="宋体" w:cs="Times New Roman"/>
                <w:color w:val="auto"/>
              </w:rPr>
              <w:t>91230603583819180Y002V</w:t>
            </w:r>
          </w:p>
        </w:tc>
      </w:tr>
    </w:tbl>
    <w:p w14:paraId="6820E598">
      <w:pPr>
        <w:pStyle w:val="5"/>
        <w:rPr>
          <w:bCs w:val="0"/>
          <w:color w:val="auto"/>
        </w:rPr>
      </w:pPr>
      <w:bookmarkStart w:id="857" w:name="_Toc5966"/>
      <w:bookmarkStart w:id="858" w:name="_Toc212033023"/>
      <w:r>
        <w:rPr>
          <w:bCs w:val="0"/>
          <w:color w:val="auto"/>
        </w:rPr>
        <w:t>建设项目工程分析</w:t>
      </w:r>
      <w:bookmarkEnd w:id="857"/>
      <w:bookmarkEnd w:id="858"/>
    </w:p>
    <w:p w14:paraId="5114F7BF">
      <w:pPr>
        <w:pStyle w:val="6"/>
        <w:rPr>
          <w:color w:val="auto"/>
        </w:rPr>
      </w:pPr>
      <w:bookmarkStart w:id="859" w:name="_Toc19619"/>
      <w:r>
        <w:rPr>
          <w:rFonts w:hint="eastAsia"/>
          <w:color w:val="auto"/>
        </w:rPr>
        <w:t>工艺流程及产污环节</w:t>
      </w:r>
    </w:p>
    <w:p w14:paraId="2C713A12">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施工期</w:t>
      </w:r>
    </w:p>
    <w:p w14:paraId="0ECD9CA8">
      <w:pPr>
        <w:pStyle w:val="276"/>
        <w:widowControl w:val="0"/>
        <w:ind w:firstLine="480"/>
        <w:jc w:val="both"/>
        <w:rPr>
          <w:color w:val="auto"/>
          <w:kern w:val="2"/>
          <w:szCs w:val="20"/>
        </w:rPr>
      </w:pPr>
      <w:r>
        <w:rPr>
          <w:color w:val="auto"/>
          <w:kern w:val="2"/>
          <w:szCs w:val="20"/>
        </w:rPr>
        <w:t>本项目施工期包括钻前、钻井、储层改造、井下作业、地面</w:t>
      </w:r>
      <w:r>
        <w:rPr>
          <w:rFonts w:hint="eastAsia"/>
          <w:color w:val="auto"/>
          <w:kern w:val="2"/>
          <w:szCs w:val="20"/>
        </w:rPr>
        <w:t>工程</w:t>
      </w:r>
      <w:r>
        <w:rPr>
          <w:color w:val="auto"/>
          <w:kern w:val="2"/>
          <w:szCs w:val="20"/>
        </w:rPr>
        <w:t>建设等</w:t>
      </w:r>
      <w:r>
        <w:rPr>
          <w:rFonts w:hint="eastAsia"/>
          <w:color w:val="auto"/>
          <w:kern w:val="2"/>
          <w:szCs w:val="20"/>
        </w:rPr>
        <w:t>。</w:t>
      </w:r>
    </w:p>
    <w:p w14:paraId="00FFA3E4">
      <w:pPr>
        <w:pStyle w:val="276"/>
        <w:widowControl w:val="0"/>
        <w:ind w:firstLine="480"/>
        <w:jc w:val="both"/>
        <w:rPr>
          <w:color w:val="auto"/>
          <w:kern w:val="2"/>
          <w:szCs w:val="20"/>
        </w:rPr>
      </w:pPr>
      <w:r>
        <w:rPr>
          <w:color w:val="auto"/>
          <w:kern w:val="2"/>
          <w:szCs w:val="20"/>
        </w:rPr>
        <w:t>钻井工艺主要包括：钻前准备工作、钻进、录井、测井、固井和完井。钻前准备工作中，在预选井位前首先要进行平整井场、堆放钻井所需的重晶石粉、水泥等物料，由大型车辆将钻机运至井场进行安装。此过程的污染工序主要是重型车辆沿途产生的噪声，重晶石粉、水泥等搬运过程中产生扬尘。钻井过程中产生的污染物主要有钻井废水、废钻井液、钻井岩屑、柴油机排出的烟气及钻机等设备运行产生的噪声。钻井施工营地还产生生活污水和生活垃圾。</w:t>
      </w:r>
    </w:p>
    <w:p w14:paraId="6A3F008C">
      <w:pPr>
        <w:pStyle w:val="276"/>
        <w:widowControl w:val="0"/>
        <w:ind w:firstLine="480"/>
        <w:jc w:val="both"/>
        <w:rPr>
          <w:color w:val="auto"/>
          <w:kern w:val="2"/>
          <w:szCs w:val="20"/>
        </w:rPr>
      </w:pPr>
      <w:r>
        <w:rPr>
          <w:rFonts w:hint="eastAsia"/>
          <w:color w:val="auto"/>
          <w:kern w:val="2"/>
          <w:szCs w:val="20"/>
        </w:rPr>
        <w:t>（1）钻前准备</w:t>
      </w:r>
    </w:p>
    <w:p w14:paraId="0E04E6D6">
      <w:pPr>
        <w:pStyle w:val="276"/>
        <w:widowControl w:val="0"/>
        <w:ind w:firstLine="480"/>
        <w:jc w:val="both"/>
        <w:rPr>
          <w:color w:val="auto"/>
          <w:kern w:val="2"/>
          <w:szCs w:val="20"/>
        </w:rPr>
      </w:pPr>
      <w:r>
        <w:rPr>
          <w:color w:val="auto"/>
          <w:kern w:val="2"/>
          <w:szCs w:val="20"/>
        </w:rPr>
        <w:t>钻前准备工作主要为平整井场施工场地，保证全套钻井设备达到相关安装标准，安装完成后并进行相关调试。开钻前对钻杆、钻铤、</w:t>
      </w:r>
      <w:r>
        <w:rPr>
          <w:color w:val="auto"/>
        </w:rPr>
        <w:t>稳定</w:t>
      </w:r>
      <w:r>
        <w:rPr>
          <w:color w:val="auto"/>
          <w:kern w:val="2"/>
          <w:szCs w:val="20"/>
        </w:rPr>
        <w:t>器、接头、钻杆进行全面检查。钻铤、稳定器及各种接头必须探伤检查合格。认真丈量钻具（包括长度、内径、外径），并做好记录，所有钻具按下井顺序编号。开钻前必须校正天车、转盘和井口，以保证三者中心偏差不大于10mm。设备运转正常，安全装置灵活好用。各种仪器仪表要准确灵敏好用。井队工程师要仔细丈量钻机补心高，精确到毫米，并根据实测补心高校对井深。设备安装完后，进行整机试运转，连续运转90min，各部件工作正常，性能可靠。然后进行高压循环系统试压，试验压力30.0MPa，运转30min以上，所有管线不刺不漏，油气水路畅通。开钻前应对地面海拔和补心高重新进行现场测量，根据现场测量数据校对井深。</w:t>
      </w:r>
    </w:p>
    <w:p w14:paraId="6D1854DD">
      <w:pPr>
        <w:pStyle w:val="276"/>
        <w:widowControl w:val="0"/>
        <w:ind w:firstLine="480"/>
        <w:jc w:val="both"/>
        <w:rPr>
          <w:color w:val="auto"/>
          <w:kern w:val="2"/>
          <w:szCs w:val="20"/>
        </w:rPr>
      </w:pPr>
      <w:r>
        <w:rPr>
          <w:rFonts w:hint="eastAsia"/>
          <w:color w:val="auto"/>
          <w:kern w:val="2"/>
          <w:szCs w:val="20"/>
        </w:rPr>
        <w:t>（2）</w:t>
      </w:r>
      <w:r>
        <w:rPr>
          <w:color w:val="auto"/>
          <w:kern w:val="2"/>
          <w:szCs w:val="20"/>
        </w:rPr>
        <w:t>钻井工程</w:t>
      </w:r>
    </w:p>
    <w:p w14:paraId="597C9A2B">
      <w:pPr>
        <w:pStyle w:val="276"/>
        <w:widowControl w:val="0"/>
        <w:ind w:firstLine="480"/>
        <w:jc w:val="both"/>
        <w:rPr>
          <w:color w:val="auto"/>
          <w:kern w:val="2"/>
          <w:szCs w:val="20"/>
        </w:rPr>
      </w:pPr>
      <w:r>
        <w:rPr>
          <w:rFonts w:hint="eastAsia"/>
          <w:color w:val="auto"/>
          <w:kern w:val="2"/>
          <w:szCs w:val="20"/>
        </w:rPr>
        <w:t>1）</w:t>
      </w:r>
      <w:r>
        <w:rPr>
          <w:color w:val="auto"/>
          <w:kern w:val="2"/>
          <w:szCs w:val="20"/>
        </w:rPr>
        <w:t>钻进</w:t>
      </w:r>
    </w:p>
    <w:p w14:paraId="1C335571">
      <w:pPr>
        <w:pStyle w:val="276"/>
        <w:widowControl w:val="0"/>
        <w:ind w:firstLine="480"/>
        <w:jc w:val="both"/>
        <w:rPr>
          <w:color w:val="auto"/>
          <w:kern w:val="2"/>
          <w:szCs w:val="20"/>
        </w:rPr>
      </w:pPr>
      <w:r>
        <w:rPr>
          <w:color w:val="auto"/>
          <w:kern w:val="2"/>
          <w:szCs w:val="20"/>
        </w:rPr>
        <w:t>钻进主要是利用钻头高效率地破碎岩石，钻进过程中通过循环的钻井泥浆将岩屑带出，施工过程中需时刻注意钻井泥浆的各项指标，以满足钻井需求。</w:t>
      </w:r>
    </w:p>
    <w:p w14:paraId="78618027">
      <w:pPr>
        <w:pStyle w:val="276"/>
        <w:widowControl w:val="0"/>
        <w:ind w:firstLine="480"/>
        <w:jc w:val="both"/>
        <w:rPr>
          <w:color w:val="auto"/>
          <w:kern w:val="2"/>
          <w:szCs w:val="20"/>
        </w:rPr>
      </w:pPr>
      <w:r>
        <w:rPr>
          <w:color w:val="auto"/>
          <w:kern w:val="2"/>
          <w:szCs w:val="20"/>
        </w:rPr>
        <w:t>一开钻井技术要求：直井段要打直，如有超标应及时采取有效措施。直井段结束前50m要求减压至30kN钻进，严格控制造斜点处井斜和水平位移，满足地质着陆和入靶的要求。钻完直井段调整好钻井液性能，其性能达到设计要求后方可起钻。起钻前投入多点测斜仪，测量直井段井斜、方位。</w:t>
      </w:r>
    </w:p>
    <w:p w14:paraId="4F7E4989">
      <w:pPr>
        <w:pStyle w:val="276"/>
        <w:widowControl w:val="0"/>
        <w:ind w:firstLine="480"/>
        <w:jc w:val="both"/>
        <w:rPr>
          <w:color w:val="auto"/>
          <w:kern w:val="2"/>
          <w:szCs w:val="20"/>
        </w:rPr>
      </w:pPr>
      <w:r>
        <w:rPr>
          <w:color w:val="auto"/>
          <w:kern w:val="2"/>
          <w:szCs w:val="20"/>
        </w:rPr>
        <w:t>二开钻井技术要求：该井段用1.5°螺杆造斜，LWD随钻监测。合钻进两种方式施工，随时调整井斜和方位。井队工程师向现场服务人员提供已施工井段的相关情况、设备情况及井眼轨道数据。现场服务人员以书面方式将技术要求、钻进参数、注意事项等传达到井队及相关人员。现场服务人员将需要井队准备的接头、提升短接等钻井工具以书面方式通知井队工程师，井队提前准备好。时刻观察伽玛值、电阻率值等显示情况，并随时捞取砂样，保证井眼轨迹沿着目的层钻进，具体的施工参数按现场服务人员的要求执行。水平段钻进时，要尽量降低井眼曲率，减小摩阻，确保井眼光滑，以利于生产套管顺利下入。</w:t>
      </w:r>
    </w:p>
    <w:p w14:paraId="3AD7DFDE">
      <w:pPr>
        <w:pStyle w:val="276"/>
        <w:widowControl w:val="0"/>
        <w:ind w:firstLine="480"/>
        <w:jc w:val="both"/>
        <w:rPr>
          <w:color w:val="auto"/>
          <w:kern w:val="2"/>
          <w:szCs w:val="20"/>
        </w:rPr>
      </w:pPr>
      <w:r>
        <w:rPr>
          <w:rFonts w:hint="eastAsia"/>
          <w:color w:val="auto"/>
          <w:kern w:val="2"/>
          <w:szCs w:val="20"/>
        </w:rPr>
        <w:t>2）</w:t>
      </w:r>
      <w:r>
        <w:rPr>
          <w:color w:val="auto"/>
          <w:kern w:val="2"/>
          <w:szCs w:val="20"/>
        </w:rPr>
        <w:t>录井</w:t>
      </w:r>
    </w:p>
    <w:p w14:paraId="06B40BFD">
      <w:pPr>
        <w:pStyle w:val="276"/>
        <w:widowControl w:val="0"/>
        <w:ind w:firstLine="480"/>
        <w:jc w:val="both"/>
        <w:rPr>
          <w:color w:val="auto"/>
          <w:kern w:val="2"/>
          <w:szCs w:val="20"/>
        </w:rPr>
      </w:pPr>
      <w:r>
        <w:rPr>
          <w:color w:val="auto"/>
          <w:kern w:val="2"/>
          <w:szCs w:val="20"/>
        </w:rPr>
        <w:t>A.钻井参数录取资料要求</w:t>
      </w:r>
    </w:p>
    <w:p w14:paraId="443C8F33">
      <w:pPr>
        <w:pStyle w:val="276"/>
        <w:widowControl w:val="0"/>
        <w:ind w:firstLine="480"/>
        <w:jc w:val="both"/>
        <w:rPr>
          <w:color w:val="auto"/>
          <w:kern w:val="2"/>
          <w:szCs w:val="20"/>
        </w:rPr>
      </w:pPr>
      <w:r>
        <w:rPr>
          <w:color w:val="auto"/>
          <w:kern w:val="2"/>
          <w:szCs w:val="20"/>
        </w:rPr>
        <w:t>钻井参数悬重、钻压、转数、排量、泵压等钻开油气层前1h测量一次，钻开油气层后0.5h测量一次，如有</w:t>
      </w:r>
      <w:r>
        <w:rPr>
          <w:color w:val="auto"/>
        </w:rPr>
        <w:t>异常</w:t>
      </w:r>
      <w:r>
        <w:rPr>
          <w:color w:val="auto"/>
          <w:kern w:val="2"/>
          <w:szCs w:val="20"/>
        </w:rPr>
        <w:t>情况加密测量。</w:t>
      </w:r>
    </w:p>
    <w:p w14:paraId="624E6A65">
      <w:pPr>
        <w:pStyle w:val="276"/>
        <w:widowControl w:val="0"/>
        <w:ind w:firstLine="480"/>
        <w:jc w:val="both"/>
        <w:rPr>
          <w:color w:val="auto"/>
          <w:kern w:val="2"/>
          <w:szCs w:val="20"/>
        </w:rPr>
      </w:pPr>
      <w:r>
        <w:rPr>
          <w:color w:val="auto"/>
          <w:kern w:val="2"/>
          <w:szCs w:val="20"/>
        </w:rPr>
        <w:t>B.钻井液参数录取资料要求</w:t>
      </w:r>
    </w:p>
    <w:p w14:paraId="7554A0D8">
      <w:pPr>
        <w:pStyle w:val="276"/>
        <w:widowControl w:val="0"/>
        <w:ind w:firstLine="480"/>
        <w:jc w:val="both"/>
        <w:rPr>
          <w:color w:val="auto"/>
          <w:kern w:val="2"/>
          <w:szCs w:val="20"/>
        </w:rPr>
      </w:pPr>
      <w:r>
        <w:rPr>
          <w:color w:val="auto"/>
          <w:kern w:val="2"/>
          <w:szCs w:val="20"/>
        </w:rPr>
        <w:t>开钻至一开完钻，每间隔</w:t>
      </w:r>
      <w:r>
        <w:rPr>
          <w:color w:val="auto"/>
        </w:rPr>
        <w:t>1h</w:t>
      </w:r>
      <w:r>
        <w:rPr>
          <w:color w:val="auto"/>
          <w:kern w:val="2"/>
          <w:szCs w:val="20"/>
        </w:rPr>
        <w:t>测量一次钻井液密度、粘度。</w:t>
      </w:r>
    </w:p>
    <w:p w14:paraId="4AAB7DD9">
      <w:pPr>
        <w:pStyle w:val="276"/>
        <w:widowControl w:val="0"/>
        <w:ind w:firstLine="480"/>
        <w:jc w:val="both"/>
        <w:rPr>
          <w:color w:val="auto"/>
          <w:kern w:val="2"/>
          <w:szCs w:val="20"/>
        </w:rPr>
      </w:pPr>
      <w:r>
        <w:rPr>
          <w:color w:val="auto"/>
          <w:kern w:val="2"/>
          <w:szCs w:val="20"/>
        </w:rPr>
        <w:t>二开钻开油层前，每间隔1h测量一次钻井液密度、粘度，每间隔8h测量一次钻井液全套性能；钻开油层后，每间隔0.5h测量一次</w:t>
      </w:r>
      <w:r>
        <w:rPr>
          <w:color w:val="auto"/>
        </w:rPr>
        <w:t>钻井</w:t>
      </w:r>
      <w:r>
        <w:rPr>
          <w:color w:val="auto"/>
          <w:kern w:val="2"/>
          <w:szCs w:val="20"/>
        </w:rPr>
        <w:t>液密度和粘度，每间隔4h测量一次钻井液全套性能和钻井液电阻率；造斜后每间隔12h测量一次泥饼摩阻系数。固井前测量钻井液密度、粘度、切力、失水。并做好记录。</w:t>
      </w:r>
    </w:p>
    <w:p w14:paraId="3007BF95">
      <w:pPr>
        <w:pStyle w:val="276"/>
        <w:widowControl w:val="0"/>
        <w:ind w:firstLine="480"/>
        <w:jc w:val="both"/>
        <w:rPr>
          <w:color w:val="auto"/>
          <w:kern w:val="2"/>
          <w:szCs w:val="20"/>
        </w:rPr>
      </w:pPr>
      <w:r>
        <w:rPr>
          <w:color w:val="auto"/>
          <w:kern w:val="2"/>
          <w:szCs w:val="20"/>
        </w:rPr>
        <w:t>循环过程中每间隔0.5h观察一次钻井液池液面高度、钻井液性能变化，以及是否含有气泡、油气侵等异常情况，如有异常加密测量钻井液密度、粘度，并进行相应处理。</w:t>
      </w:r>
    </w:p>
    <w:p w14:paraId="344D7120">
      <w:pPr>
        <w:pStyle w:val="276"/>
        <w:widowControl w:val="0"/>
        <w:ind w:firstLine="480"/>
        <w:jc w:val="both"/>
        <w:rPr>
          <w:color w:val="auto"/>
          <w:kern w:val="2"/>
          <w:szCs w:val="20"/>
        </w:rPr>
      </w:pPr>
      <w:r>
        <w:rPr>
          <w:rFonts w:hint="eastAsia"/>
          <w:color w:val="auto"/>
          <w:kern w:val="2"/>
          <w:szCs w:val="20"/>
        </w:rPr>
        <w:t>3）</w:t>
      </w:r>
      <w:r>
        <w:rPr>
          <w:color w:val="auto"/>
          <w:kern w:val="2"/>
          <w:szCs w:val="20"/>
        </w:rPr>
        <w:t>测井</w:t>
      </w:r>
    </w:p>
    <w:p w14:paraId="19F9A2BB">
      <w:pPr>
        <w:pStyle w:val="276"/>
        <w:widowControl w:val="0"/>
        <w:ind w:firstLine="480"/>
        <w:jc w:val="both"/>
        <w:rPr>
          <w:color w:val="auto"/>
          <w:kern w:val="2"/>
          <w:szCs w:val="20"/>
        </w:rPr>
      </w:pPr>
      <w:r>
        <w:rPr>
          <w:color w:val="auto"/>
          <w:kern w:val="2"/>
          <w:szCs w:val="20"/>
        </w:rPr>
        <w:t>测井配备专门的测井队，测井方式为电测井，电测井井控主要要求为：</w:t>
      </w:r>
    </w:p>
    <w:p w14:paraId="18E4AC10">
      <w:pPr>
        <w:pStyle w:val="276"/>
        <w:widowControl w:val="0"/>
        <w:ind w:firstLine="480"/>
        <w:jc w:val="both"/>
        <w:rPr>
          <w:color w:val="auto"/>
          <w:kern w:val="2"/>
          <w:szCs w:val="20"/>
        </w:rPr>
      </w:pPr>
      <w:r>
        <w:rPr>
          <w:color w:val="auto"/>
          <w:kern w:val="2"/>
          <w:szCs w:val="20"/>
        </w:rPr>
        <w:t>A.若电测时间将要</w:t>
      </w:r>
      <w:r>
        <w:rPr>
          <w:color w:val="auto"/>
        </w:rPr>
        <w:t>大于</w:t>
      </w:r>
      <w:r>
        <w:rPr>
          <w:color w:val="auto"/>
          <w:kern w:val="2"/>
          <w:szCs w:val="20"/>
        </w:rPr>
        <w:t>安全作业时间时，中途通井循环。</w:t>
      </w:r>
    </w:p>
    <w:p w14:paraId="17A9AA45">
      <w:pPr>
        <w:pStyle w:val="276"/>
        <w:widowControl w:val="0"/>
        <w:ind w:firstLine="480"/>
        <w:jc w:val="both"/>
        <w:rPr>
          <w:color w:val="auto"/>
          <w:kern w:val="2"/>
          <w:szCs w:val="20"/>
        </w:rPr>
      </w:pPr>
      <w:r>
        <w:rPr>
          <w:color w:val="auto"/>
          <w:kern w:val="2"/>
          <w:szCs w:val="20"/>
        </w:rPr>
        <w:t>B.测井队到井后向钻井队了解井况，确认安全作业时间，电测时发生溢流立即停止电测，尽快起出井内电缆。当不具备起出电缆条件，钻井液涌出转盘面时，可在井口剪断电缆。</w:t>
      </w:r>
    </w:p>
    <w:p w14:paraId="62F5E557">
      <w:pPr>
        <w:pStyle w:val="276"/>
        <w:widowControl w:val="0"/>
        <w:ind w:firstLine="480"/>
        <w:jc w:val="both"/>
        <w:rPr>
          <w:color w:val="auto"/>
          <w:kern w:val="2"/>
          <w:szCs w:val="20"/>
        </w:rPr>
      </w:pPr>
      <w:r>
        <w:rPr>
          <w:color w:val="auto"/>
          <w:kern w:val="2"/>
          <w:szCs w:val="20"/>
        </w:rPr>
        <w:t>C.由钻井队值班干部决定何时切断电缆，测井队专用剪切工具放置在钻台上，测井中随时处于待命状态，测井队队长实施剪断</w:t>
      </w:r>
      <w:r>
        <w:rPr>
          <w:color w:val="auto"/>
        </w:rPr>
        <w:t>电缆</w:t>
      </w:r>
      <w:r>
        <w:rPr>
          <w:color w:val="auto"/>
          <w:kern w:val="2"/>
          <w:szCs w:val="20"/>
        </w:rPr>
        <w:t>工作。</w:t>
      </w:r>
    </w:p>
    <w:p w14:paraId="0E6C375D">
      <w:pPr>
        <w:pStyle w:val="276"/>
        <w:widowControl w:val="0"/>
        <w:ind w:firstLine="480"/>
        <w:jc w:val="both"/>
        <w:rPr>
          <w:color w:val="auto"/>
          <w:kern w:val="2"/>
          <w:szCs w:val="20"/>
        </w:rPr>
      </w:pPr>
      <w:r>
        <w:rPr>
          <w:rFonts w:hint="eastAsia"/>
          <w:color w:val="auto"/>
          <w:kern w:val="2"/>
          <w:szCs w:val="20"/>
        </w:rPr>
        <w:t>4）</w:t>
      </w:r>
      <w:r>
        <w:rPr>
          <w:color w:val="auto"/>
          <w:kern w:val="2"/>
          <w:szCs w:val="20"/>
        </w:rPr>
        <w:t>固井</w:t>
      </w:r>
    </w:p>
    <w:p w14:paraId="6894AED1">
      <w:pPr>
        <w:pStyle w:val="276"/>
        <w:widowControl w:val="0"/>
        <w:ind w:firstLine="480"/>
        <w:jc w:val="both"/>
        <w:rPr>
          <w:color w:val="auto"/>
          <w:kern w:val="2"/>
          <w:szCs w:val="20"/>
        </w:rPr>
      </w:pPr>
      <w:r>
        <w:rPr>
          <w:color w:val="auto"/>
          <w:kern w:val="2"/>
          <w:szCs w:val="20"/>
        </w:rPr>
        <w:t>现场应备有钻杆与套管转换接头，发生溢流时，抢接防喷钻杆后关井。</w:t>
      </w:r>
    </w:p>
    <w:p w14:paraId="2B03856F">
      <w:pPr>
        <w:pStyle w:val="276"/>
        <w:widowControl w:val="0"/>
        <w:ind w:firstLine="480"/>
        <w:jc w:val="both"/>
        <w:rPr>
          <w:color w:val="auto"/>
          <w:kern w:val="2"/>
          <w:szCs w:val="20"/>
        </w:rPr>
      </w:pPr>
      <w:r>
        <w:rPr>
          <w:color w:val="auto"/>
          <w:kern w:val="2"/>
          <w:szCs w:val="20"/>
        </w:rPr>
        <w:t>简易套管头排液管线出口距井口不少于10m，并固定。主要使用水泥作为固井材料，是在已钻成的井眼内下入套管，然后在套管与井壁之间环空内注入水泥浆，将套管和地层固结在一起的工艺过程，以保证安全钻进下</w:t>
      </w:r>
      <w:r>
        <w:rPr>
          <w:color w:val="auto"/>
        </w:rPr>
        <w:t>一段</w:t>
      </w:r>
      <w:r>
        <w:rPr>
          <w:color w:val="auto"/>
          <w:kern w:val="2"/>
          <w:szCs w:val="20"/>
        </w:rPr>
        <w:t>井眼。固井工程包括下套管和注水泥两个过程。下套管是指在已经钻成的井眼中按规定深度下入一定直径、由某种或几种不同钢级及壁厚的套管组成的套管柱。注水泥是在地面上将水泥浆通过套管柱注入到井眼与套管柱之间的环形空间中的过程。固井的主要目的是封隔疏松的易塌、易漏地层；封隔油、气、水层，防止互相窜漏。</w:t>
      </w:r>
    </w:p>
    <w:p w14:paraId="4122B051">
      <w:pPr>
        <w:pStyle w:val="276"/>
        <w:widowControl w:val="0"/>
        <w:ind w:firstLine="480"/>
        <w:jc w:val="both"/>
        <w:rPr>
          <w:color w:val="auto"/>
          <w:kern w:val="2"/>
          <w:szCs w:val="20"/>
        </w:rPr>
      </w:pPr>
      <w:r>
        <w:rPr>
          <w:color w:val="auto"/>
          <w:kern w:val="2"/>
          <w:szCs w:val="20"/>
        </w:rPr>
        <w:t>表层套管及固井水泥返深：表层套管下至稳定泥岩段，且封固潜水层，即表层下深为拟保护含水层底界深10m；水泥返至井口，要求封固良好。</w:t>
      </w:r>
    </w:p>
    <w:p w14:paraId="6AD2E7B8">
      <w:pPr>
        <w:pStyle w:val="276"/>
        <w:widowControl w:val="0"/>
        <w:ind w:firstLine="480"/>
        <w:jc w:val="both"/>
        <w:rPr>
          <w:color w:val="auto"/>
          <w:kern w:val="2"/>
          <w:szCs w:val="20"/>
        </w:rPr>
      </w:pPr>
      <w:r>
        <w:rPr>
          <w:color w:val="auto"/>
          <w:kern w:val="2"/>
          <w:szCs w:val="20"/>
        </w:rPr>
        <w:t>油层套管及固井水泥返深：当油层单井累计有效厚度大于1.2m，同时层数多于2层；水井全井砂岩不发育（厚度小于1.5m、层数少于2层），或有效厚度小于0.8m，同时层数多于2层时需下油层套管，水泥返高返至油层顶面以上150m。</w:t>
      </w:r>
    </w:p>
    <w:p w14:paraId="381064F2">
      <w:pPr>
        <w:pStyle w:val="276"/>
        <w:widowControl w:val="0"/>
        <w:ind w:firstLine="480"/>
        <w:jc w:val="both"/>
        <w:rPr>
          <w:color w:val="auto"/>
          <w:kern w:val="2"/>
          <w:szCs w:val="20"/>
        </w:rPr>
      </w:pPr>
      <w:r>
        <w:rPr>
          <w:rFonts w:hint="eastAsia"/>
          <w:color w:val="auto"/>
          <w:kern w:val="2"/>
          <w:szCs w:val="20"/>
        </w:rPr>
        <w:t>（3）储层改造工程</w:t>
      </w:r>
    </w:p>
    <w:p w14:paraId="67FD6F5A">
      <w:pPr>
        <w:pStyle w:val="276"/>
        <w:widowControl w:val="0"/>
        <w:ind w:firstLine="480"/>
        <w:jc w:val="both"/>
        <w:rPr>
          <w:color w:val="auto"/>
          <w:kern w:val="2"/>
          <w:szCs w:val="20"/>
        </w:rPr>
      </w:pPr>
      <w:r>
        <w:rPr>
          <w:rFonts w:hint="eastAsia"/>
          <w:color w:val="auto"/>
          <w:kern w:val="2"/>
          <w:szCs w:val="20"/>
        </w:rPr>
        <w:t>1）射孔完井</w:t>
      </w:r>
    </w:p>
    <w:p w14:paraId="00A5CEEE">
      <w:pPr>
        <w:pStyle w:val="276"/>
        <w:widowControl w:val="0"/>
        <w:ind w:firstLine="480"/>
        <w:jc w:val="both"/>
        <w:rPr>
          <w:color w:val="auto"/>
          <w:kern w:val="2"/>
          <w:szCs w:val="20"/>
        </w:rPr>
      </w:pPr>
      <w:r>
        <w:rPr>
          <w:color w:val="auto"/>
          <w:kern w:val="2"/>
          <w:szCs w:val="20"/>
        </w:rPr>
        <w:t>完井是钻井工程的最后环节，整个钻井工艺结束。一般情况下，完井即钻开油层，完井方式包括套管完井法、射孔完井法、裸眼完井法等，本项目15口新钻油井均采用射孔完井法完井。射孔即在井内下入专门的射孔器在油层部位射孔，穿透套管的水泥环进入地层，使油层通过这些孔道与井底连通，从而为油流入井内造成通道的过程，该过程产生的污染物主要为含油废射孔液。</w:t>
      </w:r>
    </w:p>
    <w:p w14:paraId="74001DE8">
      <w:pPr>
        <w:pStyle w:val="276"/>
        <w:widowControl w:val="0"/>
        <w:numPr>
          <w:ilvl w:val="0"/>
          <w:numId w:val="11"/>
        </w:numPr>
        <w:ind w:firstLineChars="0"/>
        <w:jc w:val="both"/>
        <w:rPr>
          <w:color w:val="auto"/>
          <w:kern w:val="2"/>
          <w:szCs w:val="20"/>
        </w:rPr>
      </w:pPr>
      <w:r>
        <w:rPr>
          <w:color w:val="auto"/>
          <w:kern w:val="2"/>
          <w:szCs w:val="20"/>
        </w:rPr>
        <w:t>完井井口要求：井口使用Φ244.5mm×Φ139.7mm简易</w:t>
      </w:r>
      <w:r>
        <w:rPr>
          <w:color w:val="auto"/>
        </w:rPr>
        <w:t>套管头</w:t>
      </w:r>
      <w:r>
        <w:rPr>
          <w:color w:val="auto"/>
          <w:kern w:val="2"/>
          <w:szCs w:val="20"/>
        </w:rPr>
        <w:t>。</w:t>
      </w:r>
    </w:p>
    <w:p w14:paraId="438835E2">
      <w:pPr>
        <w:pStyle w:val="276"/>
        <w:widowControl w:val="0"/>
        <w:ind w:firstLine="480"/>
        <w:jc w:val="both"/>
        <w:rPr>
          <w:color w:val="auto"/>
          <w:kern w:val="2"/>
          <w:szCs w:val="20"/>
        </w:rPr>
      </w:pPr>
      <w:r>
        <w:rPr>
          <w:rFonts w:hint="eastAsia"/>
          <w:color w:val="auto"/>
          <w:kern w:val="2"/>
          <w:szCs w:val="20"/>
        </w:rPr>
        <w:t>②</w:t>
      </w:r>
      <w:r>
        <w:rPr>
          <w:color w:val="auto"/>
          <w:kern w:val="2"/>
          <w:szCs w:val="20"/>
        </w:rPr>
        <w:t>井口校正要求：井口偏斜度小于0.2°，Φ139.7mm套管两侧高差小于0.5mm。完井后套管顶面高出地面0.05m～0.30m。</w:t>
      </w:r>
    </w:p>
    <w:p w14:paraId="5B87F3FE">
      <w:pPr>
        <w:pStyle w:val="276"/>
        <w:widowControl w:val="0"/>
        <w:ind w:firstLine="480"/>
        <w:jc w:val="both"/>
        <w:rPr>
          <w:color w:val="auto"/>
          <w:kern w:val="2"/>
          <w:szCs w:val="20"/>
        </w:rPr>
      </w:pPr>
      <w:r>
        <w:rPr>
          <w:rFonts w:hint="eastAsia"/>
          <w:color w:val="auto"/>
          <w:kern w:val="2"/>
          <w:szCs w:val="20"/>
        </w:rPr>
        <w:t>③</w:t>
      </w:r>
      <w:r>
        <w:rPr>
          <w:color w:val="auto"/>
          <w:kern w:val="2"/>
          <w:szCs w:val="20"/>
        </w:rPr>
        <w:t>戴井口帽子要求：搬家和测完声变后，套管内掏空3m，井口戴上标有所钻井井号的防盗井口帽子，并将丝扣涂黄油上紧。</w:t>
      </w:r>
    </w:p>
    <w:p w14:paraId="09A84FC3">
      <w:pPr>
        <w:pStyle w:val="276"/>
        <w:widowControl w:val="0"/>
        <w:ind w:firstLine="480"/>
        <w:jc w:val="both"/>
        <w:rPr>
          <w:color w:val="auto"/>
          <w:kern w:val="2"/>
          <w:szCs w:val="20"/>
        </w:rPr>
      </w:pPr>
      <w:r>
        <w:rPr>
          <w:rFonts w:hint="eastAsia"/>
          <w:color w:val="auto"/>
          <w:kern w:val="2"/>
          <w:szCs w:val="20"/>
        </w:rPr>
        <w:t>2）</w:t>
      </w:r>
      <w:r>
        <w:rPr>
          <w:color w:val="auto"/>
          <w:kern w:val="2"/>
          <w:szCs w:val="20"/>
        </w:rPr>
        <w:t>压裂</w:t>
      </w:r>
    </w:p>
    <w:p w14:paraId="1908A251">
      <w:pPr>
        <w:pStyle w:val="276"/>
        <w:widowControl w:val="0"/>
        <w:ind w:firstLine="480"/>
        <w:jc w:val="both"/>
        <w:rPr>
          <w:color w:val="auto"/>
          <w:kern w:val="2"/>
          <w:szCs w:val="20"/>
        </w:rPr>
      </w:pPr>
      <w:r>
        <w:rPr>
          <w:color w:val="auto"/>
          <w:kern w:val="2"/>
          <w:szCs w:val="20"/>
        </w:rPr>
        <w:t>油气层压裂工艺过程用压裂车，把高压大排量具有一定粘度的液体挤入油层，当把油层压出许多裂缝后，加入支撑剂（如石英砂等）充填进裂缝，提高油层的渗透能力，以增加产油量。压裂工艺流程为施工准备，压裂液注入，压裂液增压压开地层，稳压保持裂缝，加砂，泄压，压裂液返排，施工收尾。本项目基建15口油井需进行压裂，施工期压裂液不在现场配制，由压裂液配制场地将配制好的压裂液直接拉运至现场进行施工，该过程产生的污染物主要为压裂返排液、噪声等。</w:t>
      </w:r>
    </w:p>
    <w:p w14:paraId="7B47B2EC">
      <w:pPr>
        <w:pStyle w:val="276"/>
        <w:widowControl w:val="0"/>
        <w:ind w:firstLine="480"/>
        <w:jc w:val="both"/>
        <w:rPr>
          <w:color w:val="auto"/>
          <w:kern w:val="2"/>
          <w:szCs w:val="20"/>
        </w:rPr>
      </w:pPr>
      <w:r>
        <w:rPr>
          <w:rFonts w:hint="eastAsia"/>
          <w:color w:val="auto"/>
          <w:kern w:val="2"/>
          <w:szCs w:val="20"/>
        </w:rPr>
        <w:t>（4）井下作业</w:t>
      </w:r>
    </w:p>
    <w:p w14:paraId="08A7FC1A">
      <w:pPr>
        <w:pStyle w:val="276"/>
        <w:widowControl w:val="0"/>
        <w:ind w:firstLine="480"/>
        <w:jc w:val="both"/>
        <w:rPr>
          <w:color w:val="auto"/>
          <w:kern w:val="2"/>
          <w:szCs w:val="20"/>
        </w:rPr>
      </w:pPr>
      <w:r>
        <w:rPr>
          <w:rFonts w:hint="eastAsia"/>
          <w:color w:val="auto"/>
        </w:rPr>
        <w:t>1）</w:t>
      </w:r>
      <w:r>
        <w:rPr>
          <w:color w:val="auto"/>
          <w:kern w:val="2"/>
          <w:szCs w:val="20"/>
        </w:rPr>
        <w:t>2口勘探井试油</w:t>
      </w:r>
    </w:p>
    <w:p w14:paraId="2F7F285E">
      <w:pPr>
        <w:pStyle w:val="276"/>
        <w:widowControl w:val="0"/>
        <w:ind w:firstLine="480"/>
        <w:jc w:val="both"/>
        <w:rPr>
          <w:color w:val="auto"/>
        </w:rPr>
      </w:pPr>
      <w:r>
        <w:rPr>
          <w:color w:val="auto"/>
        </w:rPr>
        <w:t>试油是通过地震勘查、钻井录井、测井等间接手段初步确定的可能含油（气）层位进行直接的测试，并取得目的层的产能、压力、温度、油气水性质以及地质资料等的工艺过程，本项目对预探井进行试油，目的是为了证实主要含油气层系的产能、流体性质，以便发现油气层，查明油气层位置及其工业价值，为提交预测储量和控制储量提供资料依据。本项目在试油施工过程中可能会产生一定量的试油产液，试油产液主要是底层产出的原油、地层水等。试油产液采用抽汲方法采出后直接进入罐车，通过罐车拉运至朝二联卸油点回收利用。</w:t>
      </w:r>
    </w:p>
    <w:p w14:paraId="3C3C7D75">
      <w:pPr>
        <w:pStyle w:val="276"/>
        <w:widowControl w:val="0"/>
        <w:ind w:firstLine="480"/>
        <w:jc w:val="both"/>
        <w:rPr>
          <w:color w:val="auto"/>
        </w:rPr>
      </w:pPr>
      <w:r>
        <w:rPr>
          <w:rFonts w:hint="eastAsia"/>
          <w:color w:val="auto"/>
        </w:rPr>
        <w:t>2）</w:t>
      </w:r>
      <w:r>
        <w:rPr>
          <w:color w:val="auto"/>
        </w:rPr>
        <w:t>2口勘探井</w:t>
      </w:r>
      <w:r>
        <w:rPr>
          <w:rFonts w:hint="eastAsia"/>
          <w:color w:val="auto"/>
        </w:rPr>
        <w:t>封井</w:t>
      </w:r>
    </w:p>
    <w:p w14:paraId="77A5CD23">
      <w:pPr>
        <w:pStyle w:val="276"/>
        <w:widowControl w:val="0"/>
        <w:ind w:firstLine="480"/>
        <w:jc w:val="both"/>
        <w:rPr>
          <w:color w:val="auto"/>
        </w:rPr>
      </w:pPr>
      <w:r>
        <w:rPr>
          <w:color w:val="auto"/>
        </w:rPr>
        <w:t>本项目主要进行预探井的勘探开发，通过完井后试油测试评价情况，对无利用价值或特殊需要井做报废处理的进行永久封井处理，对其余井均进行临时封井处理。</w:t>
      </w:r>
    </w:p>
    <w:p w14:paraId="2EBBBD8A">
      <w:pPr>
        <w:pStyle w:val="276"/>
        <w:widowControl w:val="0"/>
        <w:ind w:firstLine="480"/>
        <w:jc w:val="both"/>
        <w:rPr>
          <w:color w:val="auto"/>
        </w:rPr>
      </w:pPr>
      <w:r>
        <w:rPr>
          <w:rFonts w:hint="eastAsia"/>
          <w:color w:val="auto"/>
        </w:rPr>
        <w:t>①</w:t>
      </w:r>
      <w:r>
        <w:rPr>
          <w:color w:val="auto"/>
        </w:rPr>
        <w:t xml:space="preserve">临时封井：在试油获得相关参数后，进行临时封井在井下50-100m注入水泥形成水泥塞，水泥塞试压合格后完成临时封井。 </w:t>
      </w:r>
    </w:p>
    <w:p w14:paraId="73631A7E">
      <w:pPr>
        <w:pStyle w:val="276"/>
        <w:widowControl w:val="0"/>
        <w:ind w:firstLine="480"/>
        <w:jc w:val="both"/>
        <w:rPr>
          <w:color w:val="auto"/>
        </w:rPr>
      </w:pPr>
      <w:r>
        <w:rPr>
          <w:rFonts w:hint="eastAsia"/>
          <w:color w:val="auto"/>
        </w:rPr>
        <w:t>②</w:t>
      </w:r>
      <w:r>
        <w:rPr>
          <w:color w:val="auto"/>
        </w:rPr>
        <w:t>永久封井：在油层套管的水泥返深以下、射孔井段顶部以上 50～100 间注水泥塞，厚度不小于50m，并在距井口50～100m之间，再注一个水泥塞。水泥塞试压合格后，井口焊井口帽，完成永久封井。</w:t>
      </w:r>
    </w:p>
    <w:p w14:paraId="3BFC38ED">
      <w:pPr>
        <w:pStyle w:val="276"/>
        <w:widowControl w:val="0"/>
        <w:ind w:firstLine="480"/>
        <w:jc w:val="both"/>
        <w:rPr>
          <w:color w:val="auto"/>
          <w:kern w:val="2"/>
          <w:szCs w:val="20"/>
        </w:rPr>
      </w:pPr>
      <w:r>
        <w:rPr>
          <w:color w:val="auto"/>
          <w:kern w:val="2"/>
          <w:szCs w:val="20"/>
        </w:rPr>
        <w:t>本项目钻井及井下作业工艺流程及产污环节图见</w:t>
      </w:r>
      <w:r>
        <w:rPr>
          <w:color w:val="auto"/>
          <w:kern w:val="2"/>
          <w:szCs w:val="20"/>
        </w:rPr>
        <w:fldChar w:fldCharType="begin"/>
      </w:r>
      <w:r>
        <w:rPr>
          <w:color w:val="auto"/>
          <w:kern w:val="2"/>
          <w:szCs w:val="20"/>
        </w:rPr>
        <w:instrText xml:space="preserve"> REF _Ref212021837 \h  \* MERGEFORMAT </w:instrText>
      </w:r>
      <w:r>
        <w:rPr>
          <w:color w:val="auto"/>
          <w:kern w:val="2"/>
          <w:szCs w:val="20"/>
        </w:rPr>
        <w:fldChar w:fldCharType="separate"/>
      </w:r>
      <w:r>
        <w:rPr>
          <w:rFonts w:hint="eastAsia"/>
          <w:color w:val="auto"/>
        </w:rPr>
        <w:t xml:space="preserve">图 </w:t>
      </w:r>
      <w:r>
        <w:rPr>
          <w:color w:val="auto"/>
        </w:rPr>
        <w:t>3.13</w:t>
      </w:r>
      <w:r>
        <w:rPr>
          <w:color w:val="auto"/>
        </w:rPr>
        <w:noBreakHyphen/>
      </w:r>
      <w:r>
        <w:rPr>
          <w:color w:val="auto"/>
        </w:rPr>
        <w:t>1</w:t>
      </w:r>
      <w:r>
        <w:rPr>
          <w:color w:val="auto"/>
          <w:kern w:val="2"/>
          <w:szCs w:val="20"/>
        </w:rPr>
        <w:fldChar w:fldCharType="end"/>
      </w:r>
      <w:r>
        <w:rPr>
          <w:color w:val="auto"/>
          <w:kern w:val="2"/>
          <w:szCs w:val="20"/>
        </w:rPr>
        <w:t>。</w:t>
      </w:r>
    </w:p>
    <w:p w14:paraId="5620BE54">
      <w:pPr>
        <w:jc w:val="center"/>
        <w:rPr>
          <w:rFonts w:ascii="宋体" w:hAnsi="宋体" w:eastAsia="宋体" w:cs="Times New Roman"/>
          <w:color w:val="auto"/>
          <w:szCs w:val="20"/>
        </w:rPr>
      </w:pPr>
      <w:r>
        <w:rPr>
          <w:rFonts w:ascii="宋体" w:hAnsi="宋体" w:eastAsia="宋体"/>
          <w:color w:val="auto"/>
        </w:rPr>
        <w:drawing>
          <wp:inline distT="0" distB="0" distL="114300" distR="114300">
            <wp:extent cx="5759450" cy="4337685"/>
            <wp:effectExtent l="0" t="0" r="12700" b="5715"/>
            <wp:docPr id="1352728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29" name="图片 2"/>
                    <pic:cNvPicPr>
                      <a:picLocks noChangeAspect="1"/>
                    </pic:cNvPicPr>
                  </pic:nvPicPr>
                  <pic:blipFill>
                    <a:blip r:embed="rId50"/>
                    <a:stretch>
                      <a:fillRect/>
                    </a:stretch>
                  </pic:blipFill>
                  <pic:spPr>
                    <a:xfrm>
                      <a:off x="0" y="0"/>
                      <a:ext cx="5759450" cy="4337685"/>
                    </a:xfrm>
                    <a:prstGeom prst="rect">
                      <a:avLst/>
                    </a:prstGeom>
                    <a:noFill/>
                    <a:ln>
                      <a:noFill/>
                    </a:ln>
                  </pic:spPr>
                </pic:pic>
              </a:graphicData>
            </a:graphic>
          </wp:inline>
        </w:drawing>
      </w:r>
    </w:p>
    <w:p w14:paraId="41327B60">
      <w:pPr>
        <w:pStyle w:val="22"/>
        <w:spacing w:before="156"/>
        <w:rPr>
          <w:rFonts w:hAnsi="宋体" w:cs="Times New Roman"/>
          <w:color w:val="auto"/>
        </w:rPr>
      </w:pPr>
      <w:bookmarkStart w:id="860" w:name="_Ref212021837"/>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bookmarkEnd w:id="860"/>
      <w:r>
        <w:rPr>
          <w:rFonts w:hAnsi="宋体" w:cs="Times New Roman"/>
          <w:color w:val="auto"/>
        </w:rPr>
        <w:t>本项目钻井及储层改造工艺流程及产污环节图</w:t>
      </w:r>
    </w:p>
    <w:p w14:paraId="48B3EA11">
      <w:pPr>
        <w:pStyle w:val="276"/>
        <w:widowControl w:val="0"/>
        <w:ind w:firstLine="480"/>
        <w:jc w:val="both"/>
        <w:rPr>
          <w:color w:val="auto"/>
          <w:kern w:val="2"/>
          <w:szCs w:val="20"/>
        </w:rPr>
      </w:pPr>
      <w:r>
        <w:rPr>
          <w:color w:val="auto"/>
          <w:kern w:val="2"/>
          <w:szCs w:val="20"/>
        </w:rPr>
        <w:t>（</w:t>
      </w:r>
      <w:r>
        <w:rPr>
          <w:rFonts w:hint="eastAsia"/>
          <w:color w:val="auto"/>
          <w:kern w:val="2"/>
          <w:szCs w:val="20"/>
        </w:rPr>
        <w:t>5</w:t>
      </w:r>
      <w:r>
        <w:rPr>
          <w:color w:val="auto"/>
          <w:kern w:val="2"/>
          <w:szCs w:val="20"/>
        </w:rPr>
        <w:t>）地面工程</w:t>
      </w:r>
    </w:p>
    <w:p w14:paraId="39276000">
      <w:pPr>
        <w:pStyle w:val="276"/>
        <w:widowControl w:val="0"/>
        <w:ind w:firstLine="480"/>
        <w:jc w:val="both"/>
        <w:rPr>
          <w:color w:val="auto"/>
          <w:kern w:val="2"/>
          <w:szCs w:val="20"/>
        </w:rPr>
      </w:pPr>
      <w:r>
        <w:rPr>
          <w:rFonts w:hint="eastAsia"/>
          <w:color w:val="auto"/>
          <w:kern w:val="2"/>
          <w:szCs w:val="20"/>
        </w:rPr>
        <w:t>1）</w:t>
      </w:r>
      <w:r>
        <w:rPr>
          <w:color w:val="auto"/>
          <w:kern w:val="2"/>
          <w:szCs w:val="20"/>
        </w:rPr>
        <w:t>井场和拉油点施工</w:t>
      </w:r>
    </w:p>
    <w:p w14:paraId="369AA0F7">
      <w:pPr>
        <w:pStyle w:val="276"/>
        <w:widowControl w:val="0"/>
        <w:ind w:firstLine="480"/>
        <w:jc w:val="both"/>
        <w:rPr>
          <w:color w:val="auto"/>
          <w:kern w:val="2"/>
          <w:szCs w:val="20"/>
        </w:rPr>
      </w:pPr>
      <w:r>
        <w:rPr>
          <w:color w:val="auto"/>
          <w:kern w:val="2"/>
          <w:szCs w:val="20"/>
        </w:rPr>
        <w:t>井场和拉油点施工主要是地面平整和设备安装，本项目井场新建抽油机15台、电动机15台、控制柜15台。4座拉油点新建1台80m</w:t>
      </w:r>
      <w:r>
        <w:rPr>
          <w:color w:val="auto"/>
          <w:kern w:val="2"/>
          <w:szCs w:val="20"/>
          <w:vertAlign w:val="superscript"/>
        </w:rPr>
        <w:t>3</w:t>
      </w:r>
      <w:r>
        <w:rPr>
          <w:color w:val="auto"/>
          <w:kern w:val="2"/>
          <w:szCs w:val="20"/>
        </w:rPr>
        <w:t>储罐、3台40m</w:t>
      </w:r>
      <w:r>
        <w:rPr>
          <w:color w:val="auto"/>
          <w:kern w:val="2"/>
          <w:szCs w:val="20"/>
          <w:vertAlign w:val="superscript"/>
        </w:rPr>
        <w:t>3</w:t>
      </w:r>
      <w:r>
        <w:rPr>
          <w:color w:val="auto"/>
          <w:kern w:val="2"/>
          <w:szCs w:val="20"/>
        </w:rPr>
        <w:t>储罐</w:t>
      </w:r>
      <w:r>
        <w:rPr>
          <w:iCs/>
          <w:color w:val="auto"/>
          <w:kern w:val="2"/>
          <w:szCs w:val="20"/>
        </w:rPr>
        <w:t>。</w:t>
      </w:r>
    </w:p>
    <w:p w14:paraId="651DE9B6">
      <w:pPr>
        <w:pStyle w:val="276"/>
        <w:widowControl w:val="0"/>
        <w:ind w:firstLine="480"/>
        <w:jc w:val="both"/>
        <w:rPr>
          <w:color w:val="auto"/>
          <w:kern w:val="2"/>
          <w:szCs w:val="20"/>
        </w:rPr>
      </w:pPr>
      <w:r>
        <w:rPr>
          <w:rFonts w:hint="eastAsia"/>
          <w:color w:val="auto"/>
          <w:kern w:val="2"/>
          <w:szCs w:val="20"/>
        </w:rPr>
        <w:t>2）</w:t>
      </w:r>
      <w:r>
        <w:rPr>
          <w:color w:val="auto"/>
          <w:kern w:val="2"/>
          <w:szCs w:val="20"/>
        </w:rPr>
        <w:t>新建管线施工</w:t>
      </w:r>
    </w:p>
    <w:p w14:paraId="479BDDFB">
      <w:pPr>
        <w:pStyle w:val="276"/>
        <w:widowControl w:val="0"/>
        <w:ind w:firstLine="480"/>
        <w:jc w:val="both"/>
        <w:rPr>
          <w:color w:val="auto"/>
          <w:kern w:val="2"/>
          <w:szCs w:val="20"/>
        </w:rPr>
      </w:pPr>
      <w:r>
        <w:rPr>
          <w:color w:val="auto"/>
          <w:kern w:val="2"/>
          <w:szCs w:val="20"/>
        </w:rPr>
        <w:t>管线施工程序为：测量定线，施工作业带清理，清除障碍物，平整工作带，成品防腐钢管运输，布管、组装焊接，无损探伤，补口及</w:t>
      </w:r>
      <w:r>
        <w:rPr>
          <w:color w:val="auto"/>
        </w:rPr>
        <w:t>防腐</w:t>
      </w:r>
      <w:r>
        <w:rPr>
          <w:color w:val="auto"/>
          <w:kern w:val="2"/>
          <w:szCs w:val="20"/>
        </w:rPr>
        <w:t>检漏，管沟开挖、下沟，水试压，两端连接，阴极保护，工程验收。</w:t>
      </w:r>
    </w:p>
    <w:p w14:paraId="419FD17B">
      <w:pPr>
        <w:pStyle w:val="276"/>
        <w:widowControl w:val="0"/>
        <w:ind w:firstLine="480"/>
        <w:jc w:val="both"/>
        <w:rPr>
          <w:color w:val="auto"/>
          <w:kern w:val="2"/>
          <w:szCs w:val="20"/>
        </w:rPr>
      </w:pPr>
      <w:r>
        <w:rPr>
          <w:rFonts w:hint="eastAsia"/>
          <w:color w:val="auto"/>
          <w:kern w:val="2"/>
          <w:szCs w:val="20"/>
        </w:rPr>
        <w:t>①</w:t>
      </w:r>
      <w:r>
        <w:rPr>
          <w:color w:val="auto"/>
          <w:kern w:val="2"/>
          <w:szCs w:val="20"/>
        </w:rPr>
        <w:t>施工作业带清理</w:t>
      </w:r>
    </w:p>
    <w:p w14:paraId="2B3439B8">
      <w:pPr>
        <w:pStyle w:val="276"/>
        <w:widowControl w:val="0"/>
        <w:ind w:firstLine="480"/>
        <w:jc w:val="both"/>
        <w:rPr>
          <w:color w:val="auto"/>
          <w:kern w:val="2"/>
          <w:szCs w:val="20"/>
        </w:rPr>
      </w:pPr>
      <w:r>
        <w:rPr>
          <w:color w:val="auto"/>
          <w:kern w:val="2"/>
          <w:szCs w:val="20"/>
        </w:rPr>
        <w:t>管道施工采用人工开挖和机械开挖相结合的方式施工，施工初期，首先要对施工作业带进行清理和平整，进行布管、开挖管沟及焊接等施工作业。施工期在农作物收割后，在场地清理过程中，施工带范围内的土壤和植被都将受到扰动和破坏，不过其造成的影响仅局限在施工带宽度的范围内。</w:t>
      </w:r>
    </w:p>
    <w:p w14:paraId="0D97201D">
      <w:pPr>
        <w:pStyle w:val="276"/>
        <w:widowControl w:val="0"/>
        <w:ind w:firstLine="480"/>
        <w:jc w:val="both"/>
        <w:rPr>
          <w:color w:val="auto"/>
          <w:kern w:val="2"/>
          <w:szCs w:val="20"/>
        </w:rPr>
      </w:pPr>
      <w:r>
        <w:rPr>
          <w:rFonts w:hint="eastAsia"/>
          <w:color w:val="auto"/>
          <w:kern w:val="2"/>
          <w:szCs w:val="20"/>
        </w:rPr>
        <w:t>②</w:t>
      </w:r>
      <w:r>
        <w:rPr>
          <w:color w:val="auto"/>
          <w:kern w:val="2"/>
          <w:szCs w:val="20"/>
        </w:rPr>
        <w:t>管沟敷设</w:t>
      </w:r>
    </w:p>
    <w:p w14:paraId="79B7AAF5">
      <w:pPr>
        <w:pStyle w:val="276"/>
        <w:widowControl w:val="0"/>
        <w:ind w:firstLine="480"/>
        <w:jc w:val="both"/>
        <w:rPr>
          <w:color w:val="auto"/>
          <w:kern w:val="2"/>
          <w:szCs w:val="20"/>
        </w:rPr>
      </w:pPr>
      <w:r>
        <w:rPr>
          <w:color w:val="auto"/>
          <w:kern w:val="2"/>
          <w:szCs w:val="20"/>
        </w:rPr>
        <w:t>管道采用沟埋方式敷设。开挖后，将运到现场的管道进行焊接、补口、补伤，然后下到管沟内。管沟开挖沟底与上口同宽，不进行放坡。</w:t>
      </w:r>
    </w:p>
    <w:p w14:paraId="16268293">
      <w:pPr>
        <w:pStyle w:val="276"/>
        <w:widowControl w:val="0"/>
        <w:ind w:firstLine="480"/>
        <w:jc w:val="both"/>
        <w:rPr>
          <w:color w:val="auto"/>
          <w:kern w:val="2"/>
          <w:szCs w:val="20"/>
        </w:rPr>
      </w:pPr>
      <w:r>
        <w:rPr>
          <w:rFonts w:hint="eastAsia"/>
          <w:color w:val="auto"/>
          <w:kern w:val="2"/>
          <w:szCs w:val="20"/>
        </w:rPr>
        <w:t>③</w:t>
      </w:r>
      <w:r>
        <w:rPr>
          <w:color w:val="auto"/>
          <w:kern w:val="2"/>
          <w:szCs w:val="20"/>
        </w:rPr>
        <w:t>防腐及阴极保护</w:t>
      </w:r>
    </w:p>
    <w:p w14:paraId="5E6C07C2">
      <w:pPr>
        <w:pStyle w:val="276"/>
        <w:widowControl w:val="0"/>
        <w:ind w:firstLine="480"/>
        <w:jc w:val="both"/>
        <w:rPr>
          <w:color w:val="auto"/>
          <w:kern w:val="2"/>
          <w:szCs w:val="20"/>
        </w:rPr>
      </w:pPr>
      <w:r>
        <w:rPr>
          <w:color w:val="auto"/>
          <w:kern w:val="2"/>
          <w:szCs w:val="20"/>
        </w:rPr>
        <w:t>提高管道的防腐等级，采用熔结环氧粉末内防腐钢管；管道接头采用一次成型涂料新技术，使用寿命可达30年以上，并采用</w:t>
      </w:r>
      <w:r>
        <w:rPr>
          <w:color w:val="auto"/>
        </w:rPr>
        <w:t>强制电流</w:t>
      </w:r>
      <w:r>
        <w:rPr>
          <w:color w:val="auto"/>
          <w:kern w:val="2"/>
          <w:szCs w:val="20"/>
        </w:rPr>
        <w:t>阴极保护法。</w:t>
      </w:r>
    </w:p>
    <w:p w14:paraId="71728CD1">
      <w:pPr>
        <w:pStyle w:val="276"/>
        <w:widowControl w:val="0"/>
        <w:ind w:firstLine="480"/>
        <w:jc w:val="both"/>
        <w:rPr>
          <w:color w:val="auto"/>
          <w:kern w:val="2"/>
          <w:szCs w:val="20"/>
        </w:rPr>
      </w:pPr>
      <w:r>
        <w:rPr>
          <w:rFonts w:hint="eastAsia"/>
          <w:color w:val="auto"/>
          <w:kern w:val="2"/>
          <w:szCs w:val="20"/>
        </w:rPr>
        <w:t>④</w:t>
      </w:r>
      <w:r>
        <w:rPr>
          <w:color w:val="auto"/>
          <w:kern w:val="2"/>
          <w:szCs w:val="20"/>
        </w:rPr>
        <w:t>管沟回填</w:t>
      </w:r>
    </w:p>
    <w:p w14:paraId="52912AFB">
      <w:pPr>
        <w:pStyle w:val="276"/>
        <w:widowControl w:val="0"/>
        <w:ind w:firstLine="480"/>
        <w:jc w:val="both"/>
        <w:rPr>
          <w:color w:val="auto"/>
          <w:kern w:val="2"/>
          <w:szCs w:val="20"/>
        </w:rPr>
      </w:pPr>
      <w:r>
        <w:rPr>
          <w:color w:val="auto"/>
          <w:kern w:val="2"/>
          <w:szCs w:val="20"/>
        </w:rPr>
        <w:t>开挖管沟时在耕植地开挖，将表层耕植土和下层土分别堆放。在可耕植地回填时，需先回填下层土，后回填表层耕植土。管道出土端及弯头两侧分层回填夯实；管沟回填后立即恢复地貌。</w:t>
      </w:r>
    </w:p>
    <w:p w14:paraId="262ABF2B">
      <w:pPr>
        <w:pStyle w:val="276"/>
        <w:widowControl w:val="0"/>
        <w:ind w:firstLine="480"/>
        <w:jc w:val="both"/>
        <w:rPr>
          <w:color w:val="auto"/>
          <w:kern w:val="2"/>
          <w:szCs w:val="20"/>
        </w:rPr>
      </w:pPr>
      <w:r>
        <w:rPr>
          <w:rFonts w:hint="eastAsia"/>
          <w:color w:val="auto"/>
          <w:kern w:val="2"/>
          <w:szCs w:val="20"/>
        </w:rPr>
        <w:t>⑤</w:t>
      </w:r>
      <w:r>
        <w:rPr>
          <w:color w:val="auto"/>
          <w:kern w:val="2"/>
          <w:szCs w:val="20"/>
        </w:rPr>
        <w:t>试压</w:t>
      </w:r>
    </w:p>
    <w:p w14:paraId="50F4A23F">
      <w:pPr>
        <w:pStyle w:val="276"/>
        <w:widowControl w:val="0"/>
        <w:ind w:firstLine="480"/>
        <w:jc w:val="both"/>
        <w:rPr>
          <w:color w:val="auto"/>
          <w:kern w:val="2"/>
          <w:szCs w:val="20"/>
        </w:rPr>
      </w:pPr>
      <w:r>
        <w:rPr>
          <w:color w:val="auto"/>
          <w:kern w:val="2"/>
          <w:szCs w:val="20"/>
        </w:rPr>
        <w:t>用清水进行试压，</w:t>
      </w:r>
      <w:r>
        <w:rPr>
          <w:color w:val="auto"/>
        </w:rPr>
        <w:t>严密性</w:t>
      </w:r>
      <w:r>
        <w:rPr>
          <w:color w:val="auto"/>
          <w:kern w:val="2"/>
          <w:szCs w:val="20"/>
        </w:rPr>
        <w:t>实验合格后，试压废水由罐车拉运至朝二联含油污水处理站处理达标后回注。</w:t>
      </w:r>
    </w:p>
    <w:p w14:paraId="54012B9E">
      <w:pPr>
        <w:jc w:val="center"/>
        <w:rPr>
          <w:rFonts w:ascii="宋体" w:hAnsi="宋体" w:eastAsia="宋体" w:cs="Times New Roman"/>
          <w:color w:val="auto"/>
          <w:szCs w:val="20"/>
        </w:rPr>
      </w:pPr>
      <w:r>
        <w:rPr>
          <w:rFonts w:ascii="宋体" w:hAnsi="宋体" w:eastAsia="宋体" w:cs="Times New Roman"/>
          <w:color w:val="auto"/>
        </w:rPr>
        <w:drawing>
          <wp:inline distT="0" distB="0" distL="0" distR="0">
            <wp:extent cx="3667760" cy="4455795"/>
            <wp:effectExtent l="9525" t="9525" r="18415" b="11430"/>
            <wp:docPr id="1352728130" name="图片 135272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30" name="图片 1352728130"/>
                    <pic:cNvPicPr>
                      <a:picLocks noChangeAspect="1" noChangeArrowheads="1"/>
                    </pic:cNvPicPr>
                  </pic:nvPicPr>
                  <pic:blipFill>
                    <a:blip r:embed="rId51"/>
                    <a:srcRect/>
                    <a:stretch>
                      <a:fillRect/>
                    </a:stretch>
                  </pic:blipFill>
                  <pic:spPr>
                    <a:xfrm>
                      <a:off x="0" y="0"/>
                      <a:ext cx="3694232" cy="4455795"/>
                    </a:xfrm>
                    <a:prstGeom prst="rect">
                      <a:avLst/>
                    </a:prstGeom>
                    <a:noFill/>
                    <a:ln w="6350" cmpd="sng">
                      <a:solidFill>
                        <a:srgbClr val="000000"/>
                      </a:solidFill>
                      <a:miter lim="800000"/>
                      <a:headEnd/>
                      <a:tailEnd/>
                    </a:ln>
                    <a:effectLst/>
                  </pic:spPr>
                </pic:pic>
              </a:graphicData>
            </a:graphic>
          </wp:inline>
        </w:drawing>
      </w:r>
    </w:p>
    <w:p w14:paraId="4BF33958">
      <w:pPr>
        <w:pStyle w:val="22"/>
        <w:spacing w:before="156"/>
        <w:rPr>
          <w:rFonts w:hAnsi="宋体" w:cs="Times New Roman"/>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3.13</w:t>
      </w:r>
      <w:r>
        <w:rPr>
          <w:color w:val="auto"/>
        </w:rPr>
        <w:fldChar w:fldCharType="end"/>
      </w:r>
      <w:r>
        <w:rPr>
          <w:color w:val="auto"/>
        </w:rPr>
        <w:noBreakHyphen/>
      </w:r>
      <w:r>
        <w:rPr>
          <w:rFonts w:hAnsi="宋体" w:cs="Times New Roman"/>
          <w:color w:val="auto"/>
        </w:rPr>
        <w:fldChar w:fldCharType="begin"/>
      </w:r>
      <w:r>
        <w:rPr>
          <w:rFonts w:hAnsi="宋体" w:cs="Times New Roman"/>
          <w:color w:val="auto"/>
        </w:rPr>
        <w:instrText xml:space="preserve"> </w:instrText>
      </w:r>
      <w:r>
        <w:rPr>
          <w:rFonts w:hint="eastAsia" w:hAnsi="宋体" w:cs="Times New Roman"/>
          <w:color w:val="auto"/>
        </w:rPr>
        <w:instrText xml:space="preserve">SEQ 图 \* ARABIC \s 2</w:instrText>
      </w:r>
      <w:r>
        <w:rPr>
          <w:rFonts w:hAnsi="宋体" w:cs="Times New Roman"/>
          <w:color w:val="auto"/>
        </w:rPr>
        <w:instrText xml:space="preserve"> </w:instrText>
      </w:r>
      <w:r>
        <w:rPr>
          <w:rFonts w:hAnsi="宋体" w:cs="Times New Roman"/>
          <w:color w:val="auto"/>
        </w:rPr>
        <w:fldChar w:fldCharType="separate"/>
      </w:r>
      <w:r>
        <w:rPr>
          <w:rFonts w:hAnsi="宋体" w:cs="Times New Roman"/>
          <w:color w:val="auto"/>
        </w:rPr>
        <w:t>2</w:t>
      </w:r>
      <w:r>
        <w:rPr>
          <w:rFonts w:hAnsi="宋体" w:cs="Times New Roman"/>
          <w:color w:val="auto"/>
        </w:rPr>
        <w:fldChar w:fldCharType="end"/>
      </w:r>
      <w:r>
        <w:rPr>
          <w:rFonts w:hAnsi="宋体" w:cs="Times New Roman"/>
          <w:color w:val="auto"/>
        </w:rPr>
        <w:t>管线施工过程产污节点图</w:t>
      </w:r>
    </w:p>
    <w:p w14:paraId="4CEBC2DA">
      <w:pPr>
        <w:pStyle w:val="276"/>
        <w:widowControl w:val="0"/>
        <w:ind w:firstLine="480"/>
        <w:jc w:val="both"/>
        <w:rPr>
          <w:color w:val="auto"/>
          <w:kern w:val="2"/>
          <w:szCs w:val="20"/>
        </w:rPr>
      </w:pPr>
      <w:r>
        <w:rPr>
          <w:color w:val="auto"/>
          <w:kern w:val="2"/>
          <w:szCs w:val="20"/>
        </w:rPr>
        <w:t>3）道路施工工艺</w:t>
      </w:r>
    </w:p>
    <w:p w14:paraId="0B9F15E4">
      <w:pPr>
        <w:pStyle w:val="276"/>
        <w:widowControl w:val="0"/>
        <w:ind w:firstLine="480"/>
        <w:jc w:val="both"/>
        <w:rPr>
          <w:color w:val="auto"/>
          <w:kern w:val="2"/>
          <w:szCs w:val="20"/>
        </w:rPr>
      </w:pPr>
      <w:r>
        <w:rPr>
          <w:color w:val="auto"/>
          <w:kern w:val="2"/>
          <w:szCs w:val="20"/>
        </w:rPr>
        <w:t>新建通井通道为砂石路面，施工完成</w:t>
      </w:r>
      <w:r>
        <w:rPr>
          <w:color w:val="auto"/>
        </w:rPr>
        <w:t>测量</w:t>
      </w:r>
      <w:r>
        <w:rPr>
          <w:color w:val="auto"/>
          <w:kern w:val="2"/>
          <w:szCs w:val="20"/>
        </w:rPr>
        <w:t>后清理占地内表土集中堆存，然后基础压实，铺垫预拌好的水泥稳定土并压实，最后表层摊铺运输车运至现场的砂石料，砂石路面压实后可投入使用。</w:t>
      </w:r>
    </w:p>
    <w:p w14:paraId="7117867F">
      <w:pPr>
        <w:rPr>
          <w:rFonts w:ascii="宋体" w:hAnsi="宋体" w:eastAsia="宋体" w:cs="Times New Roman"/>
          <w:color w:val="auto"/>
          <w:szCs w:val="20"/>
          <w:lang w:val="de-DE"/>
        </w:rPr>
      </w:pPr>
      <w:r>
        <w:rPr>
          <w:rFonts w:ascii="宋体" w:hAnsi="宋体" w:eastAsia="宋体" w:cs="Times New Roman"/>
          <w:color w:val="auto"/>
          <w:szCs w:val="20"/>
        </w:rPr>
        <w:drawing>
          <wp:inline distT="0" distB="0" distL="0" distR="0">
            <wp:extent cx="5759450" cy="760730"/>
            <wp:effectExtent l="0" t="0" r="12700" b="1270"/>
            <wp:docPr id="1352728131" name="图片 135272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31" name="图片 1352728131"/>
                    <pic:cNvPicPr>
                      <a:picLocks noChangeAspect="1"/>
                    </pic:cNvPicPr>
                  </pic:nvPicPr>
                  <pic:blipFill>
                    <a:blip r:embed="rId52"/>
                    <a:stretch>
                      <a:fillRect/>
                    </a:stretch>
                  </pic:blipFill>
                  <pic:spPr>
                    <a:xfrm>
                      <a:off x="0" y="0"/>
                      <a:ext cx="5759450" cy="760730"/>
                    </a:xfrm>
                    <a:prstGeom prst="rect">
                      <a:avLst/>
                    </a:prstGeom>
                  </pic:spPr>
                </pic:pic>
              </a:graphicData>
            </a:graphic>
          </wp:inline>
        </w:drawing>
      </w:r>
    </w:p>
    <w:p w14:paraId="2E8F9898">
      <w:pPr>
        <w:pStyle w:val="22"/>
        <w:spacing w:before="156"/>
        <w:rPr>
          <w:rFonts w:hAnsi="宋体" w:cs="Times New Roman"/>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3</w:t>
      </w:r>
      <w:r>
        <w:rPr>
          <w:color w:val="auto"/>
        </w:rPr>
        <w:fldChar w:fldCharType="end"/>
      </w:r>
      <w:r>
        <w:rPr>
          <w:rFonts w:hAnsi="宋体" w:cs="Times New Roman"/>
          <w:color w:val="auto"/>
        </w:rPr>
        <w:t>砂石路施工流程图</w:t>
      </w:r>
    </w:p>
    <w:p w14:paraId="55DDCCC5">
      <w:pPr>
        <w:pStyle w:val="276"/>
        <w:widowControl w:val="0"/>
        <w:ind w:firstLine="480"/>
        <w:jc w:val="both"/>
        <w:rPr>
          <w:color w:val="auto"/>
          <w:kern w:val="2"/>
          <w:szCs w:val="20"/>
        </w:rPr>
      </w:pPr>
      <w:r>
        <w:rPr>
          <w:color w:val="auto"/>
          <w:kern w:val="2"/>
          <w:szCs w:val="20"/>
        </w:rPr>
        <w:t>本项目在井场、拉油点、道路建设以及管线挖沟敷设等过程都会对地表植被造成破坏，此外还会产生扬尘、噪声、生活污水、生活垃圾等</w:t>
      </w:r>
      <w:r>
        <w:rPr>
          <w:color w:val="auto"/>
        </w:rPr>
        <w:t>污染物</w:t>
      </w:r>
      <w:r>
        <w:rPr>
          <w:color w:val="auto"/>
          <w:kern w:val="2"/>
          <w:szCs w:val="20"/>
        </w:rPr>
        <w:t>。本项目地面施工期产污环节详见图3.12-</w:t>
      </w:r>
      <w:r>
        <w:rPr>
          <w:rFonts w:hint="eastAsia"/>
          <w:color w:val="auto"/>
          <w:kern w:val="2"/>
          <w:szCs w:val="20"/>
        </w:rPr>
        <w:t>4</w:t>
      </w:r>
      <w:r>
        <w:rPr>
          <w:color w:val="auto"/>
          <w:kern w:val="2"/>
          <w:szCs w:val="20"/>
        </w:rPr>
        <w:t>。</w:t>
      </w:r>
    </w:p>
    <w:p w14:paraId="39057B55">
      <w:pPr>
        <w:jc w:val="center"/>
        <w:rPr>
          <w:rFonts w:ascii="宋体" w:hAnsi="宋体" w:eastAsia="宋体" w:cs="Times New Roman"/>
          <w:color w:val="auto"/>
          <w:szCs w:val="20"/>
        </w:rPr>
      </w:pPr>
      <w:r>
        <w:rPr>
          <w:rFonts w:ascii="宋体" w:hAnsi="宋体" w:eastAsia="宋体"/>
          <w:color w:val="auto"/>
        </w:rPr>
        <w:drawing>
          <wp:inline distT="0" distB="0" distL="114300" distR="114300">
            <wp:extent cx="5649595" cy="3667760"/>
            <wp:effectExtent l="0" t="0" r="8255" b="8890"/>
            <wp:docPr id="1352728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32" name="图片 3"/>
                    <pic:cNvPicPr>
                      <a:picLocks noChangeAspect="1"/>
                    </pic:cNvPicPr>
                  </pic:nvPicPr>
                  <pic:blipFill>
                    <a:blip r:embed="rId53"/>
                    <a:stretch>
                      <a:fillRect/>
                    </a:stretch>
                  </pic:blipFill>
                  <pic:spPr>
                    <a:xfrm>
                      <a:off x="0" y="0"/>
                      <a:ext cx="5649595" cy="3691499"/>
                    </a:xfrm>
                    <a:prstGeom prst="rect">
                      <a:avLst/>
                    </a:prstGeom>
                    <a:noFill/>
                    <a:ln>
                      <a:noFill/>
                    </a:ln>
                  </pic:spPr>
                </pic:pic>
              </a:graphicData>
            </a:graphic>
          </wp:inline>
        </w:drawing>
      </w:r>
    </w:p>
    <w:p w14:paraId="22593696">
      <w:pPr>
        <w:pStyle w:val="22"/>
        <w:spacing w:before="156"/>
        <w:rPr>
          <w:rFonts w:hAnsi="宋体" w:cs="Times New Roman"/>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4</w:t>
      </w:r>
      <w:r>
        <w:rPr>
          <w:color w:val="auto"/>
        </w:rPr>
        <w:fldChar w:fldCharType="end"/>
      </w:r>
      <w:r>
        <w:rPr>
          <w:rFonts w:hAnsi="宋体" w:cs="Times New Roman"/>
          <w:color w:val="auto"/>
        </w:rPr>
        <w:t>本项目地面工程施工期产污环节图</w:t>
      </w:r>
    </w:p>
    <w:p w14:paraId="538FCFA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运营期</w:t>
      </w:r>
    </w:p>
    <w:p w14:paraId="4F1D946E">
      <w:pPr>
        <w:pStyle w:val="276"/>
        <w:widowControl w:val="0"/>
        <w:ind w:firstLine="480"/>
        <w:jc w:val="both"/>
        <w:rPr>
          <w:color w:val="auto"/>
          <w:kern w:val="2"/>
        </w:rPr>
      </w:pPr>
      <w:r>
        <w:rPr>
          <w:color w:val="auto"/>
          <w:kern w:val="2"/>
        </w:rPr>
        <w:t>本项目运营期油井产液管线输送至新建拉油点储罐，定期由罐车拉运至朝二联卸油点，管输至朝二联转油脱水站系统处理，分离出的污水管输进入朝二联含油污水处理站处理达到《大庆油田地面工程建设设计规定》（Q/SYDQ0639-2015）及《碎屑岩油藏注水水质指标技术要求及分析方法》（SY/T5329-2022）限值要求后用于回注油层注水驱油。</w:t>
      </w:r>
    </w:p>
    <w:p w14:paraId="3CD40F3C">
      <w:pPr>
        <w:pStyle w:val="276"/>
        <w:widowControl w:val="0"/>
        <w:ind w:firstLine="480"/>
        <w:jc w:val="both"/>
        <w:rPr>
          <w:color w:val="auto"/>
          <w:kern w:val="2"/>
        </w:rPr>
      </w:pPr>
      <w:r>
        <w:rPr>
          <w:color w:val="auto"/>
          <w:kern w:val="2"/>
        </w:rPr>
        <w:t>本项目新建3座拉油点共建设1台80m</w:t>
      </w:r>
      <w:r>
        <w:rPr>
          <w:color w:val="auto"/>
          <w:kern w:val="2"/>
          <w:vertAlign w:val="superscript"/>
        </w:rPr>
        <w:t>3</w:t>
      </w:r>
      <w:r>
        <w:rPr>
          <w:color w:val="auto"/>
          <w:kern w:val="2"/>
        </w:rPr>
        <w:t>多功能储罐（九合一）和3台40m</w:t>
      </w:r>
      <w:r>
        <w:rPr>
          <w:color w:val="auto"/>
          <w:kern w:val="2"/>
          <w:vertAlign w:val="superscript"/>
        </w:rPr>
        <w:t>3</w:t>
      </w:r>
      <w:r>
        <w:rPr>
          <w:color w:val="auto"/>
          <w:kern w:val="2"/>
        </w:rPr>
        <w:t>多功能储罐（九合一），用于收集储存3座井场产液，多功能储罐主要由罐体、液体计量机构、压力直读表、油气分离装置、安全阀、加热装置（0.5MW）、防盗装置及内部密闭流程系统等一体的撬装式结构组成。多功能储罐具有气液分离功能，分离伴生气用于储罐燃烧器自耗。多功能储罐还具备密闭储油、计量直读、伴生气回收、加热维温等功能。本项目储罐采取数字化建设，收集产液定期由罐车拉运至朝二联卸油点处理。多功能储罐结构图见</w:t>
      </w:r>
      <w:r>
        <w:rPr>
          <w:color w:val="auto"/>
          <w:kern w:val="2"/>
        </w:rPr>
        <w:fldChar w:fldCharType="begin"/>
      </w:r>
      <w:r>
        <w:rPr>
          <w:color w:val="auto"/>
          <w:kern w:val="2"/>
        </w:rPr>
        <w:instrText xml:space="preserve"> REF _Ref212021899 \h  \* MERGEFORMAT </w:instrText>
      </w:r>
      <w:r>
        <w:rPr>
          <w:color w:val="auto"/>
          <w:kern w:val="2"/>
        </w:rPr>
        <w:fldChar w:fldCharType="separate"/>
      </w:r>
      <w:r>
        <w:rPr>
          <w:rFonts w:hint="eastAsia"/>
          <w:color w:val="auto"/>
        </w:rPr>
        <w:t xml:space="preserve">图 </w:t>
      </w:r>
      <w:r>
        <w:rPr>
          <w:color w:val="auto"/>
        </w:rPr>
        <w:t>3.13</w:t>
      </w:r>
      <w:r>
        <w:rPr>
          <w:color w:val="auto"/>
        </w:rPr>
        <w:noBreakHyphen/>
      </w:r>
      <w:r>
        <w:rPr>
          <w:color w:val="auto"/>
        </w:rPr>
        <w:t>5</w:t>
      </w:r>
      <w:r>
        <w:rPr>
          <w:color w:val="auto"/>
          <w:kern w:val="2"/>
        </w:rPr>
        <w:fldChar w:fldCharType="end"/>
      </w:r>
      <w:r>
        <w:rPr>
          <w:color w:val="auto"/>
          <w:kern w:val="2"/>
        </w:rPr>
        <w:t>。</w:t>
      </w:r>
    </w:p>
    <w:p w14:paraId="2E595161">
      <w:pPr>
        <w:pStyle w:val="276"/>
        <w:widowControl w:val="0"/>
        <w:ind w:firstLine="480"/>
        <w:jc w:val="both"/>
        <w:rPr>
          <w:color w:val="auto"/>
          <w:kern w:val="2"/>
        </w:rPr>
      </w:pPr>
      <w:r>
        <w:rPr>
          <w:color w:val="auto"/>
          <w:kern w:val="2"/>
        </w:rPr>
        <w:t>本项目运营期的主要环境影响因素为拉油点储罐加热装置烟气，油井、拉油点、原油集输过程及依托场站加热装置中挥发的烃类气体，</w:t>
      </w:r>
      <w:r>
        <w:rPr>
          <w:rFonts w:hint="eastAsia"/>
          <w:color w:val="auto"/>
          <w:kern w:val="2"/>
        </w:rPr>
        <w:t>油井作业产生的作业污水、洗井污水、含油防渗布和落地油，</w:t>
      </w:r>
      <w:r>
        <w:rPr>
          <w:color w:val="auto"/>
          <w:kern w:val="2"/>
        </w:rPr>
        <w:t>井场抽油机和拉油点储罐燃烧器产生的噪声及井场作业噪声等。</w:t>
      </w:r>
      <w:r>
        <w:rPr>
          <w:rFonts w:hint="eastAsia"/>
          <w:color w:val="auto"/>
          <w:kern w:val="2"/>
        </w:rPr>
        <w:t>运营期</w:t>
      </w:r>
      <w:r>
        <w:rPr>
          <w:color w:val="auto"/>
          <w:kern w:val="2"/>
        </w:rPr>
        <w:t>工艺流程及主要产污节点见</w:t>
      </w:r>
      <w:r>
        <w:rPr>
          <w:color w:val="auto"/>
          <w:kern w:val="2"/>
        </w:rPr>
        <w:fldChar w:fldCharType="begin"/>
      </w:r>
      <w:r>
        <w:rPr>
          <w:color w:val="auto"/>
          <w:kern w:val="2"/>
        </w:rPr>
        <w:instrText xml:space="preserve"> REF _Ref212021910 \h  \* MERGEFORMAT </w:instrText>
      </w:r>
      <w:r>
        <w:rPr>
          <w:color w:val="auto"/>
          <w:kern w:val="2"/>
        </w:rPr>
        <w:fldChar w:fldCharType="separate"/>
      </w:r>
      <w:r>
        <w:rPr>
          <w:rFonts w:hint="eastAsia"/>
          <w:color w:val="auto"/>
        </w:rPr>
        <w:t xml:space="preserve">图 </w:t>
      </w:r>
      <w:r>
        <w:rPr>
          <w:color w:val="auto"/>
        </w:rPr>
        <w:t>3.13</w:t>
      </w:r>
      <w:r>
        <w:rPr>
          <w:color w:val="auto"/>
        </w:rPr>
        <w:noBreakHyphen/>
      </w:r>
      <w:r>
        <w:rPr>
          <w:color w:val="auto"/>
        </w:rPr>
        <w:t>6</w:t>
      </w:r>
      <w:r>
        <w:rPr>
          <w:color w:val="auto"/>
          <w:kern w:val="2"/>
        </w:rPr>
        <w:fldChar w:fldCharType="end"/>
      </w:r>
      <w:r>
        <w:rPr>
          <w:color w:val="auto"/>
          <w:kern w:val="2"/>
        </w:rPr>
        <w:t>、</w:t>
      </w:r>
      <w:r>
        <w:rPr>
          <w:color w:val="auto"/>
          <w:kern w:val="2"/>
        </w:rPr>
        <w:fldChar w:fldCharType="begin"/>
      </w:r>
      <w:r>
        <w:rPr>
          <w:color w:val="auto"/>
          <w:kern w:val="2"/>
        </w:rPr>
        <w:instrText xml:space="preserve"> REF _Ref212021917 \h  \* MERGEFORMAT </w:instrText>
      </w:r>
      <w:r>
        <w:rPr>
          <w:color w:val="auto"/>
          <w:kern w:val="2"/>
        </w:rPr>
        <w:fldChar w:fldCharType="separate"/>
      </w:r>
      <w:r>
        <w:rPr>
          <w:rFonts w:hint="eastAsia"/>
          <w:color w:val="auto"/>
        </w:rPr>
        <w:t>图</w:t>
      </w:r>
      <w:r>
        <w:rPr>
          <w:color w:val="auto"/>
        </w:rPr>
        <w:t xml:space="preserve"> 3.13</w:t>
      </w:r>
      <w:r>
        <w:rPr>
          <w:color w:val="auto"/>
        </w:rPr>
        <w:noBreakHyphen/>
      </w:r>
      <w:r>
        <w:rPr>
          <w:color w:val="auto"/>
        </w:rPr>
        <w:t>7</w:t>
      </w:r>
      <w:r>
        <w:rPr>
          <w:color w:val="auto"/>
          <w:kern w:val="2"/>
        </w:rPr>
        <w:fldChar w:fldCharType="end"/>
      </w:r>
      <w:r>
        <w:rPr>
          <w:color w:val="auto"/>
          <w:kern w:val="2"/>
        </w:rPr>
        <w:t>。</w:t>
      </w:r>
    </w:p>
    <w:p w14:paraId="3393D540">
      <w:pPr>
        <w:rPr>
          <w:rFonts w:ascii="宋体" w:hAnsi="宋体" w:eastAsia="宋体" w:cs="Times New Roman"/>
          <w:color w:val="auto"/>
        </w:rPr>
      </w:pPr>
      <w:r>
        <w:rPr>
          <w:rFonts w:ascii="宋体" w:hAnsi="宋体" w:eastAsia="宋体" w:cs="Times New Roman"/>
          <w:color w:val="auto"/>
        </w:rPr>
        <w:drawing>
          <wp:inline distT="0" distB="0" distL="0" distR="0">
            <wp:extent cx="5759450" cy="2172335"/>
            <wp:effectExtent l="0" t="0" r="12700" b="1841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4"/>
                    <a:stretch>
                      <a:fillRect/>
                    </a:stretch>
                  </pic:blipFill>
                  <pic:spPr>
                    <a:xfrm>
                      <a:off x="0" y="0"/>
                      <a:ext cx="5759450" cy="2172335"/>
                    </a:xfrm>
                    <a:prstGeom prst="rect">
                      <a:avLst/>
                    </a:prstGeom>
                  </pic:spPr>
                </pic:pic>
              </a:graphicData>
            </a:graphic>
          </wp:inline>
        </w:drawing>
      </w:r>
    </w:p>
    <w:p w14:paraId="4968B804">
      <w:pPr>
        <w:pStyle w:val="22"/>
        <w:spacing w:before="156"/>
        <w:rPr>
          <w:rFonts w:hAnsi="宋体" w:cs="Times New Roman"/>
          <w:color w:val="auto"/>
        </w:rPr>
      </w:pPr>
      <w:bookmarkStart w:id="861" w:name="_Ref212021899"/>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3.13</w:t>
      </w:r>
      <w:r>
        <w:rPr>
          <w:color w:val="auto"/>
        </w:rPr>
        <w:fldChar w:fldCharType="end"/>
      </w:r>
      <w:r>
        <w:rPr>
          <w:color w:val="auto"/>
        </w:rPr>
        <w:noBreakHyphen/>
      </w:r>
      <w:r>
        <w:rPr>
          <w:rFonts w:hAnsi="宋体" w:cs="Times New Roman"/>
          <w:color w:val="auto"/>
        </w:rPr>
        <w:fldChar w:fldCharType="begin"/>
      </w:r>
      <w:r>
        <w:rPr>
          <w:rFonts w:hAnsi="宋体" w:cs="Times New Roman"/>
          <w:color w:val="auto"/>
        </w:rPr>
        <w:instrText xml:space="preserve"> </w:instrText>
      </w:r>
      <w:r>
        <w:rPr>
          <w:rFonts w:hint="eastAsia" w:hAnsi="宋体" w:cs="Times New Roman"/>
          <w:color w:val="auto"/>
        </w:rPr>
        <w:instrText xml:space="preserve">SEQ 图 \* ARABIC \s 2</w:instrText>
      </w:r>
      <w:r>
        <w:rPr>
          <w:rFonts w:hAnsi="宋体" w:cs="Times New Roman"/>
          <w:color w:val="auto"/>
        </w:rPr>
        <w:instrText xml:space="preserve"> </w:instrText>
      </w:r>
      <w:r>
        <w:rPr>
          <w:rFonts w:hAnsi="宋体" w:cs="Times New Roman"/>
          <w:color w:val="auto"/>
        </w:rPr>
        <w:fldChar w:fldCharType="separate"/>
      </w:r>
      <w:r>
        <w:rPr>
          <w:rFonts w:hAnsi="宋体" w:cs="Times New Roman"/>
          <w:color w:val="auto"/>
        </w:rPr>
        <w:t>5</w:t>
      </w:r>
      <w:r>
        <w:rPr>
          <w:rFonts w:hAnsi="宋体" w:cs="Times New Roman"/>
          <w:color w:val="auto"/>
        </w:rPr>
        <w:fldChar w:fldCharType="end"/>
      </w:r>
      <w:bookmarkEnd w:id="861"/>
      <w:r>
        <w:rPr>
          <w:rFonts w:hAnsi="宋体" w:cs="Times New Roman"/>
          <w:color w:val="auto"/>
        </w:rPr>
        <w:t xml:space="preserve">  拉油点多功能储罐结构图</w:t>
      </w:r>
    </w:p>
    <w:p w14:paraId="51683B08">
      <w:pPr>
        <w:jc w:val="center"/>
        <w:rPr>
          <w:rFonts w:ascii="宋体" w:hAnsi="宋体" w:eastAsia="宋体" w:cs="Times New Roman"/>
          <w:color w:val="auto"/>
          <w:szCs w:val="20"/>
        </w:rPr>
      </w:pPr>
      <w:r>
        <w:rPr>
          <w:rFonts w:ascii="宋体" w:hAnsi="宋体" w:eastAsia="宋体"/>
          <w:color w:val="auto"/>
        </w:rPr>
        <w:drawing>
          <wp:inline distT="0" distB="0" distL="114300" distR="114300">
            <wp:extent cx="5648960" cy="2286000"/>
            <wp:effectExtent l="0" t="0" r="8890" b="0"/>
            <wp:docPr id="13527281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33" name="图片 5"/>
                    <pic:cNvPicPr>
                      <a:picLocks noChangeAspect="1"/>
                    </pic:cNvPicPr>
                  </pic:nvPicPr>
                  <pic:blipFill>
                    <a:blip r:embed="rId55"/>
                    <a:stretch>
                      <a:fillRect/>
                    </a:stretch>
                  </pic:blipFill>
                  <pic:spPr>
                    <a:xfrm>
                      <a:off x="0" y="0"/>
                      <a:ext cx="5665533" cy="2286000"/>
                    </a:xfrm>
                    <a:prstGeom prst="rect">
                      <a:avLst/>
                    </a:prstGeom>
                    <a:noFill/>
                    <a:ln>
                      <a:noFill/>
                    </a:ln>
                  </pic:spPr>
                </pic:pic>
              </a:graphicData>
            </a:graphic>
          </wp:inline>
        </w:drawing>
      </w:r>
    </w:p>
    <w:p w14:paraId="26AD89FC">
      <w:pPr>
        <w:pStyle w:val="22"/>
        <w:spacing w:before="156"/>
        <w:rPr>
          <w:rFonts w:hAnsi="宋体" w:cs="Times New Roman"/>
          <w:color w:val="auto"/>
        </w:rPr>
      </w:pPr>
      <w:bookmarkStart w:id="862" w:name="_Ref212021910"/>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6</w:t>
      </w:r>
      <w:r>
        <w:rPr>
          <w:color w:val="auto"/>
        </w:rPr>
        <w:fldChar w:fldCharType="end"/>
      </w:r>
      <w:bookmarkEnd w:id="862"/>
      <w:r>
        <w:rPr>
          <w:rFonts w:hAnsi="宋体" w:cs="Times New Roman"/>
          <w:color w:val="auto"/>
        </w:rPr>
        <w:t xml:space="preserve">  运营期正常工况工艺流程及产污示意图</w:t>
      </w:r>
    </w:p>
    <w:p w14:paraId="1F9624F7">
      <w:pPr>
        <w:spacing w:line="440" w:lineRule="exact"/>
        <w:jc w:val="center"/>
        <w:rPr>
          <w:rFonts w:ascii="宋体" w:hAnsi="宋体" w:eastAsia="宋体" w:cs="Times New Roman"/>
          <w:color w:val="auto"/>
          <w:szCs w:val="20"/>
        </w:rPr>
      </w:pPr>
    </w:p>
    <w:p w14:paraId="018934CD">
      <w:pPr>
        <w:spacing w:line="440" w:lineRule="exact"/>
        <w:jc w:val="center"/>
        <w:rPr>
          <w:rFonts w:ascii="宋体" w:hAnsi="宋体" w:eastAsia="宋体" w:cs="Times New Roman"/>
          <w:color w:val="auto"/>
          <w:szCs w:val="20"/>
        </w:rPr>
      </w:pPr>
    </w:p>
    <w:p w14:paraId="37F40F15">
      <w:pPr>
        <w:spacing w:line="440" w:lineRule="exact"/>
        <w:jc w:val="center"/>
        <w:rPr>
          <w:rFonts w:ascii="宋体" w:hAnsi="宋体" w:eastAsia="宋体" w:cs="Times New Roman"/>
          <w:color w:val="auto"/>
          <w:szCs w:val="20"/>
        </w:rPr>
      </w:pPr>
    </w:p>
    <w:p w14:paraId="2F2A5011">
      <w:pPr>
        <w:pStyle w:val="22"/>
        <w:spacing w:before="156"/>
        <w:rPr>
          <w:rFonts w:hAnsi="宋体"/>
          <w:color w:val="auto"/>
        </w:rPr>
      </w:pPr>
      <w:bookmarkStart w:id="863" w:name="_Ref212021917"/>
      <w:r>
        <w:rPr>
          <w:rFonts w:hAnsi="宋体"/>
          <w:smallCaps/>
          <w:color w:val="auto"/>
        </w:rPr>
        <w:drawing>
          <wp:anchor distT="0" distB="0" distL="114300" distR="114300" simplePos="0" relativeHeight="251691008" behindDoc="0" locked="0" layoutInCell="1" allowOverlap="1">
            <wp:simplePos x="0" y="0"/>
            <wp:positionH relativeFrom="margin">
              <wp:posOffset>126365</wp:posOffset>
            </wp:positionH>
            <wp:positionV relativeFrom="margin">
              <wp:posOffset>0</wp:posOffset>
            </wp:positionV>
            <wp:extent cx="5506085" cy="2541270"/>
            <wp:effectExtent l="0" t="0" r="18415" b="11430"/>
            <wp:wrapSquare wrapText="bothSides"/>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6"/>
                    <a:stretch>
                      <a:fillRect/>
                    </a:stretch>
                  </pic:blipFill>
                  <pic:spPr>
                    <a:xfrm>
                      <a:off x="0" y="0"/>
                      <a:ext cx="5505894" cy="2541270"/>
                    </a:xfrm>
                    <a:prstGeom prst="rect">
                      <a:avLst/>
                    </a:prstGeom>
                  </pic:spPr>
                </pic:pic>
              </a:graphicData>
            </a:graphic>
          </wp:anchor>
        </w:drawing>
      </w:r>
      <w:r>
        <w:rPr>
          <w:rFonts w:hint="eastAsia"/>
          <w:color w:val="auto"/>
        </w:rPr>
        <w:t>图</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3.13</w:t>
      </w:r>
      <w:r>
        <w:rPr>
          <w:color w:val="auto"/>
        </w:rPr>
        <w:fldChar w:fldCharType="end"/>
      </w:r>
      <w:r>
        <w:rPr>
          <w:color w:val="auto"/>
        </w:rPr>
        <w:noBreakHyphen/>
      </w:r>
      <w:r>
        <w:rPr>
          <w:color w:val="auto"/>
        </w:rPr>
        <w:fldChar w:fldCharType="begin"/>
      </w:r>
      <w:r>
        <w:rPr>
          <w:color w:val="auto"/>
        </w:rPr>
        <w:instrText xml:space="preserve"> SEQ 图 \* ARABIC \s 2 </w:instrText>
      </w:r>
      <w:r>
        <w:rPr>
          <w:color w:val="auto"/>
        </w:rPr>
        <w:fldChar w:fldCharType="separate"/>
      </w:r>
      <w:r>
        <w:rPr>
          <w:color w:val="auto"/>
        </w:rPr>
        <w:t>7</w:t>
      </w:r>
      <w:r>
        <w:rPr>
          <w:color w:val="auto"/>
        </w:rPr>
        <w:fldChar w:fldCharType="end"/>
      </w:r>
      <w:bookmarkEnd w:id="863"/>
      <w:r>
        <w:rPr>
          <w:rFonts w:hAnsi="宋体"/>
          <w:color w:val="auto"/>
        </w:rPr>
        <w:t xml:space="preserve"> 运营期非正常工况工艺流程及产污示意图</w:t>
      </w:r>
    </w:p>
    <w:p w14:paraId="054E64D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864" w:name="_Toc67860153"/>
      <w:bookmarkStart w:id="865" w:name="_Toc85640774"/>
      <w:bookmarkStart w:id="866" w:name="_Toc143099592"/>
      <w:bookmarkStart w:id="867" w:name="_Toc127192356"/>
      <w:bookmarkStart w:id="868" w:name="_Toc80588273"/>
      <w:bookmarkStart w:id="869" w:name="_Toc86141949"/>
      <w:bookmarkStart w:id="870" w:name="_Toc78816478"/>
      <w:bookmarkStart w:id="871" w:name="_Toc84929250"/>
      <w:bookmarkStart w:id="872" w:name="_Toc126863407"/>
      <w:bookmarkStart w:id="873" w:name="_Toc131167307"/>
      <w:bookmarkStart w:id="874" w:name="_Toc77067676"/>
      <w:bookmarkStart w:id="875" w:name="_Toc76976264"/>
      <w:bookmarkStart w:id="876" w:name="_Toc70050202"/>
      <w:bookmarkStart w:id="877" w:name="_Toc80971395"/>
      <w:bookmarkStart w:id="878" w:name="_Toc83209495"/>
      <w:r>
        <w:rPr>
          <w:rFonts w:ascii="宋体" w:hAnsi="宋体" w:eastAsia="宋体" w:cs="Times New Roman"/>
          <w:b/>
          <w:bCs/>
          <w:color w:val="auto"/>
          <w:szCs w:val="28"/>
        </w:rPr>
        <w:t>退役期</w:t>
      </w:r>
    </w:p>
    <w:p w14:paraId="2B8006BE">
      <w:pPr>
        <w:pStyle w:val="276"/>
        <w:widowControl w:val="0"/>
        <w:ind w:firstLine="480"/>
        <w:jc w:val="both"/>
        <w:rPr>
          <w:color w:val="auto"/>
          <w:kern w:val="2"/>
        </w:rPr>
      </w:pPr>
      <w:r>
        <w:rPr>
          <w:color w:val="auto"/>
          <w:kern w:val="2"/>
        </w:rPr>
        <w:t>退役期为油井服务期满后，停运、关闭、恢复土地使用功能的时段，油田退役期并非所有油井同时关闭，而是将产能低或者无开采价值的油井陆续关闭，直到将所有井关闭。闭井作业内容包括拆除井场的采油设备、设施，封闭出油层段和采油井口，管线退役段封堵、道路平整恢复等施工过程。</w:t>
      </w:r>
    </w:p>
    <w:p w14:paraId="698F710D">
      <w:pPr>
        <w:pStyle w:val="276"/>
        <w:widowControl w:val="0"/>
        <w:ind w:firstLine="480"/>
        <w:jc w:val="both"/>
        <w:rPr>
          <w:color w:val="auto"/>
          <w:kern w:val="2"/>
        </w:rPr>
      </w:pPr>
      <w:r>
        <w:rPr>
          <w:color w:val="auto"/>
          <w:kern w:val="2"/>
        </w:rPr>
        <w:t>（1）退役油井处理</w:t>
      </w:r>
    </w:p>
    <w:p w14:paraId="3EF0EB3F">
      <w:pPr>
        <w:pStyle w:val="276"/>
        <w:widowControl w:val="0"/>
        <w:ind w:firstLine="480"/>
        <w:jc w:val="both"/>
        <w:rPr>
          <w:color w:val="auto"/>
          <w:kern w:val="2"/>
        </w:rPr>
      </w:pPr>
      <w:r>
        <w:rPr>
          <w:rFonts w:hint="eastAsia"/>
          <w:color w:val="auto"/>
          <w:kern w:val="2"/>
        </w:rPr>
        <w:t>1）</w:t>
      </w:r>
      <w:r>
        <w:rPr>
          <w:color w:val="auto"/>
          <w:kern w:val="2"/>
        </w:rPr>
        <w:t>井口设备拆除</w:t>
      </w:r>
    </w:p>
    <w:p w14:paraId="3B7D9C77">
      <w:pPr>
        <w:pStyle w:val="276"/>
        <w:widowControl w:val="0"/>
        <w:ind w:firstLine="480"/>
        <w:jc w:val="both"/>
        <w:rPr>
          <w:color w:val="auto"/>
          <w:kern w:val="2"/>
        </w:rPr>
      </w:pPr>
      <w:r>
        <w:rPr>
          <w:color w:val="auto"/>
          <w:kern w:val="2"/>
        </w:rPr>
        <w:t>首先拆除井口设备，拆除的</w:t>
      </w:r>
      <w:r>
        <w:rPr>
          <w:color w:val="auto"/>
        </w:rPr>
        <w:t>抽油机</w:t>
      </w:r>
      <w:r>
        <w:rPr>
          <w:color w:val="auto"/>
          <w:kern w:val="2"/>
        </w:rPr>
        <w:t>、拉油点储罐等设备回收至第十采油厂物资库回收再利用。</w:t>
      </w:r>
    </w:p>
    <w:p w14:paraId="5CE84D22">
      <w:pPr>
        <w:pStyle w:val="276"/>
        <w:widowControl w:val="0"/>
        <w:ind w:firstLine="480"/>
        <w:jc w:val="both"/>
        <w:rPr>
          <w:color w:val="auto"/>
          <w:kern w:val="2"/>
        </w:rPr>
      </w:pPr>
      <w:r>
        <w:rPr>
          <w:rFonts w:hint="eastAsia"/>
          <w:color w:val="auto"/>
          <w:kern w:val="2"/>
        </w:rPr>
        <w:t>2）</w:t>
      </w:r>
      <w:r>
        <w:rPr>
          <w:color w:val="auto"/>
          <w:kern w:val="2"/>
        </w:rPr>
        <w:t>封井</w:t>
      </w:r>
    </w:p>
    <w:p w14:paraId="56E3EB44">
      <w:pPr>
        <w:pStyle w:val="276"/>
        <w:widowControl w:val="0"/>
        <w:ind w:firstLine="480"/>
        <w:jc w:val="both"/>
        <w:rPr>
          <w:color w:val="auto"/>
          <w:kern w:val="2"/>
        </w:rPr>
      </w:pPr>
      <w:r>
        <w:rPr>
          <w:color w:val="auto"/>
          <w:kern w:val="2"/>
        </w:rPr>
        <w:t>封井主要是在井内适当层段注入水泥寒，以防止井筒内形成流体串通通道，保护含水层免受地层流体或地表水窜入的污染，隔离开注采井段与未开采利用井段，保护地表土壤和地面水不受地层流体污染，隔离污水的层段，将地面土地使用冲突降低到最小程度。</w:t>
      </w:r>
    </w:p>
    <w:p w14:paraId="00C56859">
      <w:pPr>
        <w:pStyle w:val="276"/>
        <w:widowControl w:val="0"/>
        <w:ind w:firstLine="480"/>
        <w:jc w:val="both"/>
        <w:rPr>
          <w:color w:val="auto"/>
          <w:kern w:val="2"/>
        </w:rPr>
      </w:pPr>
      <w:r>
        <w:rPr>
          <w:color w:val="auto"/>
          <w:kern w:val="2"/>
        </w:rPr>
        <w:t>本项目在油层套管的水泥返深以下、射孔井段顶部以上50～100 间注水泥塞，厚度不小于50m，并在距井口50～100m之间，再注一个水泥塞。水泥塞试压合格后，井口焊井口帽，完成永久封井。封井后对场地进行清理后平整恢复。</w:t>
      </w:r>
    </w:p>
    <w:p w14:paraId="3040CD3D">
      <w:pPr>
        <w:pStyle w:val="276"/>
        <w:widowControl w:val="0"/>
        <w:ind w:firstLine="480"/>
        <w:jc w:val="both"/>
        <w:rPr>
          <w:color w:val="auto"/>
          <w:kern w:val="2"/>
        </w:rPr>
      </w:pPr>
      <w:r>
        <w:rPr>
          <w:color w:val="auto"/>
          <w:kern w:val="2"/>
        </w:rPr>
        <w:t>（2）退役道路处理</w:t>
      </w:r>
    </w:p>
    <w:p w14:paraId="410E6BC3">
      <w:pPr>
        <w:pStyle w:val="276"/>
        <w:widowControl w:val="0"/>
        <w:ind w:firstLine="480"/>
        <w:jc w:val="both"/>
        <w:rPr>
          <w:color w:val="auto"/>
          <w:kern w:val="2"/>
        </w:rPr>
      </w:pPr>
      <w:r>
        <w:rPr>
          <w:color w:val="auto"/>
          <w:kern w:val="2"/>
        </w:rPr>
        <w:t>由于油井退役，通井路已无利用价值，本项目拉油点道路和通井路为砂石路和土路，退役阶段对通井路进行路面清理、整平翻松后，重新进行复耕。</w:t>
      </w:r>
    </w:p>
    <w:p w14:paraId="6148EB92">
      <w:pPr>
        <w:pStyle w:val="276"/>
        <w:widowControl w:val="0"/>
        <w:ind w:firstLine="480"/>
        <w:jc w:val="both"/>
        <w:rPr>
          <w:color w:val="auto"/>
          <w:kern w:val="2"/>
        </w:rPr>
      </w:pPr>
      <w:r>
        <w:rPr>
          <w:color w:val="auto"/>
          <w:kern w:val="2"/>
        </w:rPr>
        <w:t>（3）退役管线处理</w:t>
      </w:r>
    </w:p>
    <w:p w14:paraId="45822C63">
      <w:pPr>
        <w:pStyle w:val="276"/>
        <w:widowControl w:val="0"/>
        <w:ind w:firstLine="480"/>
        <w:jc w:val="both"/>
        <w:rPr>
          <w:color w:val="auto"/>
          <w:kern w:val="2"/>
        </w:rPr>
      </w:pPr>
      <w:r>
        <w:rPr>
          <w:color w:val="auto"/>
          <w:kern w:val="2"/>
        </w:rPr>
        <w:t>首先停止管道作业，</w:t>
      </w:r>
      <w:r>
        <w:rPr>
          <w:color w:val="auto"/>
        </w:rPr>
        <w:t>关闭</w:t>
      </w:r>
      <w:r>
        <w:rPr>
          <w:color w:val="auto"/>
          <w:kern w:val="2"/>
        </w:rPr>
        <w:t>管道前段截断阀，利用压缩空气进行清管作业，将管内残液吹扫进拉油点储罐，由罐车拉运朝</w:t>
      </w:r>
      <w:r>
        <w:rPr>
          <w:rFonts w:hint="eastAsia"/>
          <w:color w:val="auto"/>
          <w:kern w:val="2"/>
        </w:rPr>
        <w:t>二</w:t>
      </w:r>
      <w:r>
        <w:rPr>
          <w:color w:val="auto"/>
          <w:kern w:val="2"/>
        </w:rPr>
        <w:t>联卸油点进入集输系统，清管完成后关闭后段截断阀。为避免对生态的二次破坏，清管后的管道两端采用混凝土封堵直埋于地下，不再挖出。</w:t>
      </w:r>
    </w:p>
    <w:p w14:paraId="2DED9E78">
      <w:pPr>
        <w:pStyle w:val="276"/>
        <w:widowControl w:val="0"/>
        <w:ind w:firstLine="480"/>
        <w:jc w:val="both"/>
        <w:rPr>
          <w:color w:val="auto"/>
          <w:kern w:val="2"/>
        </w:rPr>
      </w:pPr>
      <w:r>
        <w:rPr>
          <w:color w:val="auto"/>
          <w:kern w:val="2"/>
        </w:rPr>
        <w:t>退役期工艺流程及主要产污</w:t>
      </w:r>
      <w:r>
        <w:rPr>
          <w:color w:val="auto"/>
        </w:rPr>
        <w:t>节点</w:t>
      </w:r>
      <w:r>
        <w:rPr>
          <w:color w:val="auto"/>
          <w:kern w:val="2"/>
        </w:rPr>
        <w:t>见</w:t>
      </w:r>
      <w:r>
        <w:rPr>
          <w:color w:val="auto"/>
          <w:kern w:val="2"/>
        </w:rPr>
        <w:fldChar w:fldCharType="begin"/>
      </w:r>
      <w:r>
        <w:rPr>
          <w:color w:val="auto"/>
          <w:kern w:val="2"/>
        </w:rPr>
        <w:instrText xml:space="preserve"> REF _Ref212021926 \h  \* MERGEFORMAT </w:instrText>
      </w:r>
      <w:r>
        <w:rPr>
          <w:color w:val="auto"/>
          <w:kern w:val="2"/>
        </w:rPr>
        <w:fldChar w:fldCharType="separate"/>
      </w:r>
      <w:r>
        <w:rPr>
          <w:rFonts w:hint="eastAsia"/>
          <w:color w:val="auto"/>
        </w:rPr>
        <w:t xml:space="preserve">图 </w:t>
      </w:r>
      <w:r>
        <w:rPr>
          <w:color w:val="auto"/>
        </w:rPr>
        <w:t>3.13</w:t>
      </w:r>
      <w:r>
        <w:rPr>
          <w:color w:val="auto"/>
        </w:rPr>
        <w:noBreakHyphen/>
      </w:r>
      <w:r>
        <w:rPr>
          <w:color w:val="auto"/>
        </w:rPr>
        <w:t>8</w:t>
      </w:r>
      <w:r>
        <w:rPr>
          <w:color w:val="auto"/>
          <w:kern w:val="2"/>
        </w:rPr>
        <w:fldChar w:fldCharType="end"/>
      </w:r>
      <w:r>
        <w:rPr>
          <w:color w:val="auto"/>
          <w:kern w:val="2"/>
        </w:rPr>
        <w:t>。</w:t>
      </w:r>
    </w:p>
    <w:p w14:paraId="0FE52688">
      <w:pPr>
        <w:jc w:val="center"/>
        <w:rPr>
          <w:rFonts w:ascii="宋体" w:hAnsi="宋体" w:eastAsia="宋体" w:cs="Times New Roman"/>
          <w:color w:val="auto"/>
          <w:szCs w:val="20"/>
        </w:rPr>
      </w:pPr>
      <w:r>
        <w:rPr>
          <w:rFonts w:ascii="宋体" w:hAnsi="宋体" w:eastAsia="宋体"/>
          <w:color w:val="auto"/>
        </w:rPr>
        <w:drawing>
          <wp:inline distT="0" distB="0" distL="114300" distR="114300">
            <wp:extent cx="5461635" cy="3125470"/>
            <wp:effectExtent l="0" t="0" r="5715" b="17780"/>
            <wp:docPr id="13527281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34" name="图片 4"/>
                    <pic:cNvPicPr>
                      <a:picLocks noChangeAspect="1"/>
                    </pic:cNvPicPr>
                  </pic:nvPicPr>
                  <pic:blipFill>
                    <a:blip r:embed="rId57"/>
                    <a:stretch>
                      <a:fillRect/>
                    </a:stretch>
                  </pic:blipFill>
                  <pic:spPr>
                    <a:xfrm>
                      <a:off x="0" y="0"/>
                      <a:ext cx="5461635" cy="3136894"/>
                    </a:xfrm>
                    <a:prstGeom prst="rect">
                      <a:avLst/>
                    </a:prstGeom>
                    <a:noFill/>
                    <a:ln>
                      <a:noFill/>
                    </a:ln>
                  </pic:spPr>
                </pic:pic>
              </a:graphicData>
            </a:graphic>
          </wp:inline>
        </w:drawing>
      </w:r>
    </w:p>
    <w:p w14:paraId="6503E713">
      <w:pPr>
        <w:pStyle w:val="22"/>
        <w:spacing w:before="156"/>
        <w:rPr>
          <w:rFonts w:hAnsi="宋体" w:cs="Times New Roman"/>
          <w:color w:val="auto"/>
        </w:rPr>
      </w:pPr>
      <w:bookmarkStart w:id="879" w:name="_Ref212021926"/>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3.13</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8</w:t>
      </w:r>
      <w:r>
        <w:rPr>
          <w:color w:val="auto"/>
        </w:rPr>
        <w:fldChar w:fldCharType="end"/>
      </w:r>
      <w:bookmarkEnd w:id="879"/>
      <w:r>
        <w:rPr>
          <w:rFonts w:hAnsi="宋体" w:cs="Times New Roman"/>
          <w:color w:val="auto"/>
        </w:rPr>
        <w:t>退役期工艺流程及主要产污节点图</w:t>
      </w:r>
    </w:p>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14:paraId="7547D003">
      <w:pPr>
        <w:pStyle w:val="6"/>
        <w:rPr>
          <w:color w:val="auto"/>
        </w:rPr>
      </w:pPr>
      <w:bookmarkStart w:id="880" w:name="_Toc78816479"/>
      <w:bookmarkStart w:id="881" w:name="_Toc83209496"/>
      <w:bookmarkStart w:id="882" w:name="_Toc80971396"/>
      <w:bookmarkStart w:id="883" w:name="_Toc84929251"/>
      <w:bookmarkStart w:id="884" w:name="_Toc76976265"/>
      <w:bookmarkStart w:id="885" w:name="_Toc70050203"/>
      <w:bookmarkStart w:id="886" w:name="_Toc127192357"/>
      <w:bookmarkStart w:id="887" w:name="_Toc67860154"/>
      <w:bookmarkStart w:id="888" w:name="_Toc143099593"/>
      <w:bookmarkStart w:id="889" w:name="_Toc131167308"/>
      <w:bookmarkStart w:id="890" w:name="_Toc77067677"/>
      <w:bookmarkStart w:id="891" w:name="_Toc85640775"/>
      <w:bookmarkStart w:id="892" w:name="_Toc86141950"/>
      <w:bookmarkStart w:id="893" w:name="_Toc126863408"/>
      <w:bookmarkStart w:id="894" w:name="_Toc80588274"/>
      <w:r>
        <w:rPr>
          <w:color w:val="auto"/>
        </w:rPr>
        <w:t>污染源源强核算</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5F03F74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施工期污染源源强核算</w:t>
      </w:r>
    </w:p>
    <w:p w14:paraId="36333AB0">
      <w:pPr>
        <w:pStyle w:val="276"/>
        <w:widowControl w:val="0"/>
        <w:ind w:firstLine="480"/>
        <w:jc w:val="both"/>
        <w:rPr>
          <w:color w:val="auto"/>
          <w:lang w:val="zh-CN"/>
        </w:rPr>
      </w:pPr>
      <w:r>
        <w:rPr>
          <w:color w:val="auto"/>
          <w:lang w:val="zh-CN"/>
        </w:rPr>
        <w:t>（1）废气</w:t>
      </w:r>
    </w:p>
    <w:p w14:paraId="665F3320">
      <w:pPr>
        <w:pStyle w:val="276"/>
        <w:widowControl w:val="0"/>
        <w:ind w:firstLine="480"/>
        <w:jc w:val="both"/>
        <w:rPr>
          <w:color w:val="auto"/>
          <w:kern w:val="2"/>
        </w:rPr>
      </w:pPr>
      <w:r>
        <w:rPr>
          <w:color w:val="auto"/>
          <w:kern w:val="2"/>
        </w:rPr>
        <w:t>施工期废气主要为钻井工程柴油机燃烧排放的烟气及施工时占地表土剥离、管沟开挖、道路敷设、土方堆填、车辆运输、恢复原有地面等过程中产生的粉尘、二次扬尘，</w:t>
      </w:r>
      <w:r>
        <w:rPr>
          <w:rFonts w:hint="eastAsia"/>
          <w:color w:val="auto"/>
          <w:kern w:val="2"/>
        </w:rPr>
        <w:t>试油及储层改造中产生的非甲烷总烃</w:t>
      </w:r>
      <w:r>
        <w:rPr>
          <w:color w:val="auto"/>
          <w:kern w:val="2"/>
        </w:rPr>
        <w:t>以及施工设备和运输车辆尾气、焊接烟尘等。</w:t>
      </w:r>
    </w:p>
    <w:p w14:paraId="6D392D83">
      <w:pPr>
        <w:pStyle w:val="276"/>
        <w:widowControl w:val="0"/>
        <w:ind w:firstLine="480"/>
        <w:jc w:val="both"/>
        <w:rPr>
          <w:color w:val="auto"/>
          <w:kern w:val="2"/>
        </w:rPr>
      </w:pPr>
      <w:r>
        <w:rPr>
          <w:rFonts w:hint="eastAsia"/>
          <w:color w:val="auto"/>
          <w:kern w:val="2"/>
        </w:rPr>
        <w:t>1）</w:t>
      </w:r>
      <w:r>
        <w:rPr>
          <w:color w:val="auto"/>
          <w:kern w:val="2"/>
        </w:rPr>
        <w:t>施工扬尘</w:t>
      </w:r>
    </w:p>
    <w:p w14:paraId="4593E117">
      <w:pPr>
        <w:pStyle w:val="276"/>
        <w:widowControl w:val="0"/>
        <w:ind w:firstLine="480"/>
        <w:jc w:val="both"/>
        <w:rPr>
          <w:color w:val="auto"/>
          <w:kern w:val="2"/>
        </w:rPr>
      </w:pPr>
      <w:r>
        <w:rPr>
          <w:color w:val="auto"/>
          <w:kern w:val="2"/>
        </w:rPr>
        <w:t>本项目施工扬尘主要来自</w:t>
      </w:r>
      <w:r>
        <w:rPr>
          <w:color w:val="auto"/>
        </w:rPr>
        <w:t>平整土地</w:t>
      </w:r>
      <w:r>
        <w:rPr>
          <w:color w:val="auto"/>
          <w:kern w:val="2"/>
        </w:rPr>
        <w:t>、开挖土方、材料运输、装卸等过程，其污染范围和程度与施工工艺、施工管理、土方含水率、气象条件、土方工程量等多种因素有关。</w:t>
      </w:r>
    </w:p>
    <w:p w14:paraId="552F1BC7">
      <w:pPr>
        <w:pStyle w:val="276"/>
        <w:widowControl w:val="0"/>
        <w:ind w:firstLine="480"/>
        <w:jc w:val="both"/>
        <w:rPr>
          <w:color w:val="auto"/>
          <w:kern w:val="2"/>
        </w:rPr>
      </w:pPr>
      <w:r>
        <w:rPr>
          <w:color w:val="auto"/>
          <w:kern w:val="2"/>
        </w:rPr>
        <w:t>本项目所在区域平坦空旷，大气扩散条件好。施工期大部分施工时间主要集中在平台井场上，拉油点、管线和道路等工程土建施工面积不大，施工时间较短，施工扬尘影响较小。管线敷设、道路施工给区域带来扬尘污染。</w:t>
      </w:r>
    </w:p>
    <w:p w14:paraId="0B4974C4">
      <w:pPr>
        <w:pStyle w:val="276"/>
        <w:widowControl w:val="0"/>
        <w:ind w:firstLine="480"/>
        <w:jc w:val="both"/>
        <w:rPr>
          <w:color w:val="auto"/>
          <w:kern w:val="21"/>
        </w:rPr>
      </w:pPr>
      <w:r>
        <w:rPr>
          <w:color w:val="auto"/>
          <w:kern w:val="21"/>
        </w:rPr>
        <w:t>本项目施工占地面积</w:t>
      </w:r>
      <w:r>
        <w:rPr>
          <w:rFonts w:hint="eastAsia"/>
          <w:color w:val="auto"/>
          <w:kern w:val="21"/>
        </w:rPr>
        <w:t>7.714</w:t>
      </w:r>
      <w:r>
        <w:rPr>
          <w:color w:val="auto"/>
          <w:kern w:val="21"/>
        </w:rPr>
        <w:t>hm²，参考对土建工程现场扬尘实地监测结果，TSP产生系数为0.01～0.05mg/m</w:t>
      </w:r>
      <w:r>
        <w:rPr>
          <w:color w:val="auto"/>
          <w:kern w:val="21"/>
          <w:vertAlign w:val="superscript"/>
        </w:rPr>
        <w:t>2</w:t>
      </w:r>
      <w:r>
        <w:rPr>
          <w:color w:val="auto"/>
          <w:kern w:val="21"/>
        </w:rPr>
        <w:t>·s，考虑本项目实际情况，TSP产生系数取0.02mg/m</w:t>
      </w:r>
      <w:r>
        <w:rPr>
          <w:color w:val="auto"/>
          <w:kern w:val="21"/>
          <w:vertAlign w:val="superscript"/>
        </w:rPr>
        <w:t>2</w:t>
      </w:r>
      <w:r>
        <w:rPr>
          <w:color w:val="auto"/>
          <w:kern w:val="21"/>
        </w:rPr>
        <w:t>·s，取施工现场的扰动面积比为70%，土建施工按每天8h计算，施工期</w:t>
      </w:r>
      <w:r>
        <w:rPr>
          <w:color w:val="auto"/>
        </w:rPr>
        <w:t>场地</w:t>
      </w:r>
      <w:r>
        <w:rPr>
          <w:color w:val="auto"/>
          <w:kern w:val="21"/>
        </w:rPr>
        <w:t>扬尘产生量为</w:t>
      </w:r>
      <w:r>
        <w:rPr>
          <w:rFonts w:hint="eastAsia"/>
          <w:color w:val="auto"/>
          <w:kern w:val="21"/>
        </w:rPr>
        <w:t>0.031</w:t>
      </w:r>
      <w:r>
        <w:rPr>
          <w:color w:val="auto"/>
          <w:kern w:val="21"/>
        </w:rPr>
        <w:t>t。</w:t>
      </w:r>
    </w:p>
    <w:p w14:paraId="1C114405">
      <w:pPr>
        <w:pStyle w:val="276"/>
        <w:widowControl w:val="0"/>
        <w:ind w:firstLine="480"/>
        <w:jc w:val="both"/>
        <w:rPr>
          <w:color w:val="auto"/>
          <w:lang w:val="zh-CN"/>
        </w:rPr>
      </w:pPr>
      <w:r>
        <w:rPr>
          <w:color w:val="auto"/>
          <w:lang w:val="zh-CN"/>
        </w:rPr>
        <w:t>当车辆通过干燥且路况较差路段时，在</w:t>
      </w:r>
      <w:r>
        <w:rPr>
          <w:color w:val="auto"/>
        </w:rPr>
        <w:t>行车道</w:t>
      </w:r>
      <w:r>
        <w:rPr>
          <w:color w:val="auto"/>
          <w:lang w:val="zh-CN"/>
        </w:rPr>
        <w:t>两侧扬尘的 TSP 浓度短期内可达8～10mg/m</w:t>
      </w:r>
      <w:r>
        <w:rPr>
          <w:color w:val="auto"/>
          <w:vertAlign w:val="superscript"/>
          <w:lang w:val="zh-CN"/>
        </w:rPr>
        <w:t>3</w:t>
      </w:r>
      <w:r>
        <w:rPr>
          <w:color w:val="auto"/>
          <w:lang w:val="zh-CN"/>
        </w:rPr>
        <w:t>。类比大庆地区类似地面工程的起尘数据，施工场地起尘浓度约1.15mg/m</w:t>
      </w:r>
      <w:r>
        <w:rPr>
          <w:color w:val="auto"/>
          <w:vertAlign w:val="superscript"/>
          <w:lang w:val="zh-CN"/>
        </w:rPr>
        <w:t>3</w:t>
      </w:r>
      <w:r>
        <w:rPr>
          <w:color w:val="auto"/>
          <w:lang w:val="zh-CN"/>
        </w:rPr>
        <w:t>。</w:t>
      </w:r>
    </w:p>
    <w:p w14:paraId="5D6B2BDC">
      <w:pPr>
        <w:pStyle w:val="276"/>
        <w:widowControl w:val="0"/>
        <w:ind w:firstLine="480"/>
        <w:jc w:val="both"/>
        <w:rPr>
          <w:color w:val="auto"/>
          <w:lang w:val="zh-CN"/>
        </w:rPr>
      </w:pPr>
      <w:r>
        <w:rPr>
          <w:color w:val="auto"/>
          <w:lang w:val="zh-CN"/>
        </w:rPr>
        <w:t>2</w:t>
      </w:r>
      <w:r>
        <w:rPr>
          <w:rFonts w:hint="eastAsia"/>
          <w:color w:val="auto"/>
          <w:lang w:val="zh-CN"/>
        </w:rPr>
        <w:t>）</w:t>
      </w:r>
      <w:r>
        <w:rPr>
          <w:color w:val="auto"/>
          <w:lang w:val="zh-CN"/>
        </w:rPr>
        <w:t>施工车辆排放的尾气</w:t>
      </w:r>
    </w:p>
    <w:p w14:paraId="737E9207">
      <w:pPr>
        <w:pStyle w:val="276"/>
        <w:widowControl w:val="0"/>
        <w:ind w:firstLine="480"/>
        <w:jc w:val="both"/>
        <w:rPr>
          <w:color w:val="auto"/>
          <w:lang w:val="zh-CN"/>
        </w:rPr>
      </w:pPr>
      <w:r>
        <w:rPr>
          <w:color w:val="auto"/>
          <w:lang w:val="zh-CN"/>
        </w:rPr>
        <w:t>在工程施工期间，使用液体燃料的施工机械及运输车辆的发动机排放的尾气在含有NO</w:t>
      </w:r>
      <w:r>
        <w:rPr>
          <w:color w:val="auto"/>
          <w:vertAlign w:val="subscript"/>
          <w:lang w:val="zh-CN"/>
        </w:rPr>
        <w:t>2</w:t>
      </w:r>
      <w:r>
        <w:rPr>
          <w:color w:val="auto"/>
          <w:lang w:val="zh-CN"/>
        </w:rPr>
        <w:t>、CO、HC等污染物，一般情况下，各种污染物的排放量不大，对周围环境的影响较小。如果采用清洁燃料，</w:t>
      </w:r>
      <w:r>
        <w:rPr>
          <w:color w:val="auto"/>
        </w:rPr>
        <w:t>降低污染物排放</w:t>
      </w:r>
      <w:r>
        <w:rPr>
          <w:color w:val="auto"/>
          <w:lang w:val="zh-CN"/>
        </w:rPr>
        <w:t>，废气污染的影响基本上是可以</w:t>
      </w:r>
      <w:r>
        <w:rPr>
          <w:color w:val="auto"/>
        </w:rPr>
        <w:t>接受</w:t>
      </w:r>
      <w:r>
        <w:rPr>
          <w:color w:val="auto"/>
          <w:lang w:val="zh-CN"/>
        </w:rPr>
        <w:t>的。</w:t>
      </w:r>
    </w:p>
    <w:p w14:paraId="59B50117">
      <w:pPr>
        <w:pStyle w:val="276"/>
        <w:widowControl w:val="0"/>
        <w:ind w:firstLine="480"/>
        <w:jc w:val="both"/>
        <w:rPr>
          <w:color w:val="auto"/>
          <w:kern w:val="2"/>
          <w:szCs w:val="20"/>
        </w:rPr>
      </w:pPr>
      <w:r>
        <w:rPr>
          <w:rFonts w:hint="eastAsia"/>
          <w:color w:val="auto"/>
          <w:kern w:val="2"/>
          <w:szCs w:val="20"/>
        </w:rPr>
        <w:t>3）</w:t>
      </w:r>
      <w:r>
        <w:rPr>
          <w:color w:val="auto"/>
          <w:kern w:val="2"/>
          <w:szCs w:val="20"/>
        </w:rPr>
        <w:t>钻井时柴油机排放的大气污染物</w:t>
      </w:r>
    </w:p>
    <w:p w14:paraId="0FF7B496">
      <w:pPr>
        <w:pStyle w:val="276"/>
        <w:widowControl w:val="0"/>
        <w:ind w:firstLine="480"/>
        <w:jc w:val="both"/>
        <w:rPr>
          <w:color w:val="auto"/>
          <w:kern w:val="2"/>
          <w:szCs w:val="20"/>
        </w:rPr>
      </w:pPr>
      <w:r>
        <w:rPr>
          <w:color w:val="auto"/>
          <w:kern w:val="2"/>
          <w:szCs w:val="20"/>
        </w:rPr>
        <w:t>钻井时钻机和其他设备动力源均由发电机提供，而为发电机提供动能的是柴油机，根据建设单位提供的资料，柴油机功率800kW，本项目柴油总用量约为332.84t，烟气量按每公斤12m</w:t>
      </w:r>
      <w:r>
        <w:rPr>
          <w:color w:val="auto"/>
          <w:kern w:val="2"/>
          <w:szCs w:val="20"/>
          <w:vertAlign w:val="superscript"/>
        </w:rPr>
        <w:t>3</w:t>
      </w:r>
      <w:r>
        <w:rPr>
          <w:color w:val="auto"/>
          <w:kern w:val="2"/>
          <w:szCs w:val="20"/>
        </w:rPr>
        <w:t>计，则本项目烟气排放量为柴油发电机</w:t>
      </w:r>
      <w:r>
        <w:rPr>
          <w:rFonts w:hint="eastAsia"/>
          <w:color w:val="auto"/>
          <w:kern w:val="2"/>
          <w:szCs w:val="20"/>
        </w:rPr>
        <w:t>运营期</w:t>
      </w:r>
      <w:r>
        <w:rPr>
          <w:color w:val="auto"/>
          <w:kern w:val="2"/>
          <w:szCs w:val="20"/>
        </w:rPr>
        <w:t>间产生烟气399.4×10</w:t>
      </w:r>
      <w:r>
        <w:rPr>
          <w:color w:val="auto"/>
          <w:kern w:val="2"/>
          <w:szCs w:val="20"/>
          <w:vertAlign w:val="superscript"/>
        </w:rPr>
        <w:t>4</w:t>
      </w:r>
      <w:r>
        <w:rPr>
          <w:color w:val="auto"/>
          <w:kern w:val="2"/>
          <w:szCs w:val="20"/>
        </w:rPr>
        <w:t>m</w:t>
      </w:r>
      <w:r>
        <w:rPr>
          <w:color w:val="auto"/>
          <w:kern w:val="2"/>
          <w:szCs w:val="20"/>
          <w:vertAlign w:val="superscript"/>
        </w:rPr>
        <w:t>3</w:t>
      </w:r>
      <w:r>
        <w:rPr>
          <w:color w:val="auto"/>
          <w:kern w:val="2"/>
          <w:szCs w:val="20"/>
        </w:rPr>
        <w:t>，主要污染物为SO</w:t>
      </w:r>
      <w:r>
        <w:rPr>
          <w:color w:val="auto"/>
          <w:kern w:val="2"/>
          <w:szCs w:val="20"/>
          <w:vertAlign w:val="subscript"/>
        </w:rPr>
        <w:t>2</w:t>
      </w:r>
      <w:r>
        <w:rPr>
          <w:color w:val="auto"/>
          <w:kern w:val="2"/>
          <w:szCs w:val="20"/>
        </w:rPr>
        <w:t>、NOx、CO、HC和烟尘。根据</w:t>
      </w:r>
      <w:r>
        <w:rPr>
          <w:color w:val="auto"/>
        </w:rPr>
        <w:t>《环境影响评价工程师职业资格培训教材：社会区域类环境影响评价》</w:t>
      </w:r>
      <w:r>
        <w:rPr>
          <w:color w:val="auto"/>
          <w:kern w:val="2"/>
          <w:szCs w:val="20"/>
        </w:rPr>
        <w:t>给出计算参数可知，正常工况下发电机运行污染物排放系数为：颗粒物为0.31kg/t、SO</w:t>
      </w:r>
      <w:r>
        <w:rPr>
          <w:color w:val="auto"/>
          <w:kern w:val="2"/>
          <w:szCs w:val="20"/>
          <w:vertAlign w:val="subscript"/>
        </w:rPr>
        <w:t>2</w:t>
      </w:r>
      <w:r>
        <w:rPr>
          <w:color w:val="auto"/>
          <w:kern w:val="2"/>
          <w:szCs w:val="20"/>
        </w:rPr>
        <w:t>为2.24kg/t、NO</w:t>
      </w:r>
      <w:r>
        <w:rPr>
          <w:color w:val="auto"/>
          <w:kern w:val="2"/>
          <w:szCs w:val="20"/>
          <w:vertAlign w:val="subscript"/>
        </w:rPr>
        <w:t>x</w:t>
      </w:r>
      <w:r>
        <w:rPr>
          <w:color w:val="auto"/>
          <w:kern w:val="2"/>
          <w:szCs w:val="20"/>
        </w:rPr>
        <w:t>为2.92kg/t、CO为0.78kg/t、HC为2.13kg/t。核算项目柴油机污染物排放情况见</w:t>
      </w:r>
      <w:r>
        <w:rPr>
          <w:color w:val="auto"/>
          <w:kern w:val="2"/>
          <w:szCs w:val="20"/>
        </w:rPr>
        <w:fldChar w:fldCharType="begin"/>
      </w:r>
      <w:r>
        <w:rPr>
          <w:color w:val="auto"/>
          <w:kern w:val="2"/>
          <w:szCs w:val="20"/>
        </w:rPr>
        <w:instrText xml:space="preserve"> REF _Ref212021986 \h  \* MERGEFORMAT </w:instrText>
      </w:r>
      <w:r>
        <w:rPr>
          <w:color w:val="auto"/>
          <w:kern w:val="2"/>
          <w:szCs w:val="20"/>
        </w:rPr>
        <w:fldChar w:fldCharType="separate"/>
      </w:r>
      <w:r>
        <w:rPr>
          <w:color w:val="auto"/>
        </w:rPr>
        <w:t>表 3.13</w:t>
      </w:r>
      <w:r>
        <w:rPr>
          <w:color w:val="auto"/>
        </w:rPr>
        <w:noBreakHyphen/>
      </w:r>
      <w:r>
        <w:rPr>
          <w:color w:val="auto"/>
        </w:rPr>
        <w:t>1</w:t>
      </w:r>
      <w:r>
        <w:rPr>
          <w:color w:val="auto"/>
          <w:kern w:val="2"/>
          <w:szCs w:val="20"/>
        </w:rPr>
        <w:fldChar w:fldCharType="end"/>
      </w:r>
      <w:r>
        <w:rPr>
          <w:color w:val="auto"/>
          <w:kern w:val="2"/>
          <w:szCs w:val="20"/>
        </w:rPr>
        <w:t>。</w:t>
      </w:r>
    </w:p>
    <w:p w14:paraId="2CD7A12E">
      <w:pPr>
        <w:pStyle w:val="22"/>
        <w:spacing w:before="156"/>
        <w:rPr>
          <w:color w:val="auto"/>
        </w:rPr>
      </w:pPr>
      <w:bookmarkStart w:id="895" w:name="_Ref212021986"/>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3.13</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895"/>
      <w:r>
        <w:rPr>
          <w:rFonts w:hAnsi="宋体" w:cs="Times New Roman"/>
          <w:color w:val="auto"/>
        </w:rPr>
        <w:t>柴油发电机燃烧废气污染物产生一览表</w:t>
      </w:r>
    </w:p>
    <w:tbl>
      <w:tblPr>
        <w:tblStyle w:val="8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555"/>
        <w:gridCol w:w="2044"/>
        <w:gridCol w:w="2225"/>
      </w:tblGrid>
      <w:tr w14:paraId="3498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6" w:type="dxa"/>
            <w:vMerge w:val="restart"/>
            <w:vAlign w:val="center"/>
          </w:tcPr>
          <w:p w14:paraId="674F2E83">
            <w:pPr>
              <w:spacing w:line="320" w:lineRule="exact"/>
              <w:jc w:val="center"/>
              <w:rPr>
                <w:rFonts w:ascii="宋体" w:hAnsi="宋体" w:eastAsia="宋体" w:cs="Times New Roman"/>
                <w:color w:val="auto"/>
              </w:rPr>
            </w:pPr>
            <w:r>
              <w:rPr>
                <w:rFonts w:ascii="宋体" w:hAnsi="宋体" w:eastAsia="宋体" w:cs="Times New Roman"/>
                <w:color w:val="auto"/>
              </w:rPr>
              <w:t>污染物指标</w:t>
            </w:r>
          </w:p>
        </w:tc>
        <w:tc>
          <w:tcPr>
            <w:tcW w:w="4599" w:type="dxa"/>
            <w:gridSpan w:val="2"/>
            <w:vAlign w:val="center"/>
          </w:tcPr>
          <w:p w14:paraId="63B83865">
            <w:pPr>
              <w:spacing w:line="320" w:lineRule="exact"/>
              <w:jc w:val="center"/>
              <w:rPr>
                <w:rFonts w:ascii="宋体" w:hAnsi="宋体" w:eastAsia="宋体" w:cs="Times New Roman"/>
                <w:color w:val="auto"/>
              </w:rPr>
            </w:pPr>
            <w:r>
              <w:rPr>
                <w:rFonts w:ascii="宋体" w:hAnsi="宋体" w:eastAsia="宋体" w:cs="Times New Roman"/>
                <w:color w:val="auto"/>
              </w:rPr>
              <w:t>产污系数</w:t>
            </w:r>
          </w:p>
        </w:tc>
        <w:tc>
          <w:tcPr>
            <w:tcW w:w="2225" w:type="dxa"/>
            <w:vMerge w:val="restart"/>
            <w:vAlign w:val="center"/>
          </w:tcPr>
          <w:p w14:paraId="2D586E9B">
            <w:pPr>
              <w:spacing w:line="320" w:lineRule="exact"/>
              <w:jc w:val="center"/>
              <w:rPr>
                <w:rFonts w:ascii="宋体" w:hAnsi="宋体" w:eastAsia="宋体" w:cs="Times New Roman"/>
                <w:color w:val="auto"/>
              </w:rPr>
            </w:pPr>
            <w:r>
              <w:rPr>
                <w:rFonts w:ascii="宋体" w:hAnsi="宋体" w:eastAsia="宋体" w:cs="Times New Roman"/>
                <w:color w:val="auto"/>
              </w:rPr>
              <w:t>产生量</w:t>
            </w:r>
          </w:p>
        </w:tc>
      </w:tr>
      <w:tr w14:paraId="78FE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6" w:type="dxa"/>
            <w:vMerge w:val="continue"/>
            <w:vAlign w:val="center"/>
          </w:tcPr>
          <w:p w14:paraId="47C7459B">
            <w:pPr>
              <w:spacing w:line="320" w:lineRule="exact"/>
              <w:rPr>
                <w:rFonts w:ascii="宋体" w:hAnsi="宋体" w:eastAsia="宋体" w:cs="Times New Roman"/>
                <w:color w:val="auto"/>
              </w:rPr>
            </w:pPr>
          </w:p>
        </w:tc>
        <w:tc>
          <w:tcPr>
            <w:tcW w:w="2555" w:type="dxa"/>
            <w:vAlign w:val="center"/>
          </w:tcPr>
          <w:p w14:paraId="42C628D2">
            <w:pPr>
              <w:spacing w:line="320" w:lineRule="exact"/>
              <w:jc w:val="center"/>
              <w:rPr>
                <w:rFonts w:ascii="宋体" w:hAnsi="宋体" w:eastAsia="宋体" w:cs="Times New Roman"/>
                <w:color w:val="auto"/>
              </w:rPr>
            </w:pPr>
            <w:r>
              <w:rPr>
                <w:rFonts w:ascii="宋体" w:hAnsi="宋体" w:eastAsia="宋体" w:cs="Times New Roman"/>
                <w:color w:val="auto"/>
              </w:rPr>
              <w:t>单位</w:t>
            </w:r>
          </w:p>
        </w:tc>
        <w:tc>
          <w:tcPr>
            <w:tcW w:w="2044" w:type="dxa"/>
            <w:vAlign w:val="center"/>
          </w:tcPr>
          <w:p w14:paraId="4718CE24">
            <w:pPr>
              <w:spacing w:line="320" w:lineRule="exact"/>
              <w:jc w:val="center"/>
              <w:rPr>
                <w:rFonts w:ascii="宋体" w:hAnsi="宋体" w:eastAsia="宋体" w:cs="Times New Roman"/>
                <w:color w:val="auto"/>
              </w:rPr>
            </w:pPr>
            <w:r>
              <w:rPr>
                <w:rFonts w:ascii="宋体" w:hAnsi="宋体" w:eastAsia="宋体" w:cs="Times New Roman"/>
                <w:color w:val="auto"/>
              </w:rPr>
              <w:t>产污系数</w:t>
            </w:r>
          </w:p>
        </w:tc>
        <w:tc>
          <w:tcPr>
            <w:tcW w:w="2225" w:type="dxa"/>
            <w:vMerge w:val="continue"/>
            <w:vAlign w:val="center"/>
          </w:tcPr>
          <w:p w14:paraId="1DA90A5B">
            <w:pPr>
              <w:spacing w:line="320" w:lineRule="exact"/>
              <w:rPr>
                <w:rFonts w:ascii="宋体" w:hAnsi="宋体" w:eastAsia="宋体" w:cs="Times New Roman"/>
                <w:color w:val="auto"/>
              </w:rPr>
            </w:pPr>
          </w:p>
        </w:tc>
      </w:tr>
      <w:tr w14:paraId="4A03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6" w:type="dxa"/>
            <w:vAlign w:val="center"/>
          </w:tcPr>
          <w:p w14:paraId="699425CD">
            <w:pPr>
              <w:spacing w:line="320" w:lineRule="exact"/>
              <w:jc w:val="center"/>
              <w:rPr>
                <w:rFonts w:ascii="宋体" w:hAnsi="宋体" w:eastAsia="宋体" w:cs="Times New Roman"/>
                <w:color w:val="auto"/>
              </w:rPr>
            </w:pPr>
            <w:r>
              <w:rPr>
                <w:rFonts w:ascii="宋体" w:hAnsi="宋体" w:eastAsia="宋体" w:cs="Times New Roman"/>
                <w:color w:val="auto"/>
              </w:rPr>
              <w:t>废气量</w:t>
            </w:r>
          </w:p>
        </w:tc>
        <w:tc>
          <w:tcPr>
            <w:tcW w:w="2555" w:type="dxa"/>
            <w:vAlign w:val="center"/>
          </w:tcPr>
          <w:p w14:paraId="737B0F99">
            <w:pPr>
              <w:spacing w:line="320" w:lineRule="exact"/>
              <w:jc w:val="center"/>
              <w:rPr>
                <w:rFonts w:ascii="宋体" w:hAnsi="宋体" w:eastAsia="宋体" w:cs="Times New Roman"/>
                <w:color w:val="auto"/>
              </w:rPr>
            </w:pPr>
            <w:r>
              <w:rPr>
                <w:rFonts w:ascii="宋体" w:hAnsi="宋体" w:eastAsia="宋体" w:cs="Times New Roman"/>
                <w:color w:val="auto"/>
              </w:rPr>
              <w:t>m</w:t>
            </w:r>
            <w:r>
              <w:rPr>
                <w:rFonts w:ascii="宋体" w:hAnsi="宋体" w:eastAsia="宋体" w:cs="Times New Roman"/>
                <w:color w:val="auto"/>
                <w:vertAlign w:val="superscript"/>
              </w:rPr>
              <w:t>3</w:t>
            </w:r>
            <w:r>
              <w:rPr>
                <w:rFonts w:ascii="宋体" w:hAnsi="宋体" w:eastAsia="宋体" w:cs="Times New Roman"/>
                <w:color w:val="auto"/>
              </w:rPr>
              <w:t>/kg柴油</w:t>
            </w:r>
          </w:p>
        </w:tc>
        <w:tc>
          <w:tcPr>
            <w:tcW w:w="2044" w:type="dxa"/>
            <w:vAlign w:val="center"/>
          </w:tcPr>
          <w:p w14:paraId="53125086">
            <w:pPr>
              <w:spacing w:line="320" w:lineRule="exact"/>
              <w:jc w:val="center"/>
              <w:rPr>
                <w:rFonts w:ascii="宋体" w:hAnsi="宋体" w:eastAsia="宋体" w:cs="Times New Roman"/>
                <w:color w:val="auto"/>
              </w:rPr>
            </w:pPr>
            <w:r>
              <w:rPr>
                <w:rFonts w:ascii="宋体" w:hAnsi="宋体" w:eastAsia="宋体" w:cs="Times New Roman"/>
                <w:color w:val="auto"/>
              </w:rPr>
              <w:t>12</w:t>
            </w:r>
          </w:p>
        </w:tc>
        <w:tc>
          <w:tcPr>
            <w:tcW w:w="2225" w:type="dxa"/>
            <w:vAlign w:val="center"/>
          </w:tcPr>
          <w:p w14:paraId="00A80CE9">
            <w:pPr>
              <w:spacing w:line="320" w:lineRule="exact"/>
              <w:jc w:val="center"/>
              <w:rPr>
                <w:rFonts w:ascii="宋体" w:hAnsi="宋体" w:eastAsia="宋体" w:cs="Times New Roman"/>
                <w:color w:val="auto"/>
              </w:rPr>
            </w:pPr>
            <w:r>
              <w:rPr>
                <w:rFonts w:ascii="宋体" w:hAnsi="宋体" w:eastAsia="宋体" w:cs="Times New Roman"/>
                <w:color w:val="auto"/>
              </w:rPr>
              <w:t>399.4万m</w:t>
            </w:r>
            <w:r>
              <w:rPr>
                <w:rFonts w:ascii="宋体" w:hAnsi="宋体" w:eastAsia="宋体" w:cs="Times New Roman"/>
                <w:color w:val="auto"/>
                <w:vertAlign w:val="superscript"/>
              </w:rPr>
              <w:t>3</w:t>
            </w:r>
          </w:p>
        </w:tc>
      </w:tr>
      <w:tr w14:paraId="3A4B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6" w:type="dxa"/>
            <w:vAlign w:val="center"/>
          </w:tcPr>
          <w:p w14:paraId="13ADFF50">
            <w:pPr>
              <w:spacing w:line="32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2555" w:type="dxa"/>
            <w:vAlign w:val="center"/>
          </w:tcPr>
          <w:p w14:paraId="15284E99">
            <w:pPr>
              <w:spacing w:line="320" w:lineRule="exact"/>
              <w:jc w:val="center"/>
              <w:rPr>
                <w:rFonts w:ascii="宋体" w:hAnsi="宋体" w:eastAsia="宋体" w:cs="Times New Roman"/>
                <w:color w:val="auto"/>
              </w:rPr>
            </w:pPr>
            <w:r>
              <w:rPr>
                <w:rFonts w:ascii="宋体" w:hAnsi="宋体" w:eastAsia="宋体" w:cs="Times New Roman"/>
                <w:color w:val="auto"/>
              </w:rPr>
              <w:t>kg/t柴油</w:t>
            </w:r>
          </w:p>
        </w:tc>
        <w:tc>
          <w:tcPr>
            <w:tcW w:w="2044" w:type="dxa"/>
            <w:vAlign w:val="center"/>
          </w:tcPr>
          <w:p w14:paraId="465BEF57">
            <w:pPr>
              <w:spacing w:line="320" w:lineRule="exact"/>
              <w:jc w:val="center"/>
              <w:rPr>
                <w:rFonts w:ascii="宋体" w:hAnsi="宋体" w:eastAsia="宋体" w:cs="Times New Roman"/>
                <w:color w:val="auto"/>
              </w:rPr>
            </w:pPr>
            <w:r>
              <w:rPr>
                <w:rFonts w:ascii="宋体" w:hAnsi="宋体" w:eastAsia="宋体" w:cs="Times New Roman"/>
                <w:color w:val="auto"/>
              </w:rPr>
              <w:t>2.24</w:t>
            </w:r>
          </w:p>
        </w:tc>
        <w:tc>
          <w:tcPr>
            <w:tcW w:w="2225" w:type="dxa"/>
            <w:vAlign w:val="center"/>
          </w:tcPr>
          <w:p w14:paraId="4FF9B971">
            <w:pPr>
              <w:spacing w:line="320" w:lineRule="exact"/>
              <w:jc w:val="center"/>
              <w:rPr>
                <w:rFonts w:ascii="宋体" w:hAnsi="宋体" w:eastAsia="宋体" w:cs="Times New Roman"/>
                <w:color w:val="auto"/>
              </w:rPr>
            </w:pPr>
            <w:r>
              <w:rPr>
                <w:rFonts w:ascii="宋体" w:hAnsi="宋体" w:eastAsia="宋体" w:cs="Times New Roman"/>
                <w:color w:val="auto"/>
              </w:rPr>
              <w:t>0.75t</w:t>
            </w:r>
          </w:p>
        </w:tc>
      </w:tr>
      <w:tr w14:paraId="3BEA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6" w:type="dxa"/>
            <w:vAlign w:val="center"/>
          </w:tcPr>
          <w:p w14:paraId="10A58203">
            <w:pPr>
              <w:spacing w:line="320" w:lineRule="exact"/>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x</w:t>
            </w:r>
          </w:p>
        </w:tc>
        <w:tc>
          <w:tcPr>
            <w:tcW w:w="2555" w:type="dxa"/>
            <w:vAlign w:val="center"/>
          </w:tcPr>
          <w:p w14:paraId="387963F0">
            <w:pPr>
              <w:spacing w:line="320" w:lineRule="exact"/>
              <w:jc w:val="center"/>
              <w:rPr>
                <w:rFonts w:ascii="宋体" w:hAnsi="宋体" w:eastAsia="宋体" w:cs="Times New Roman"/>
                <w:color w:val="auto"/>
              </w:rPr>
            </w:pPr>
            <w:r>
              <w:rPr>
                <w:rFonts w:ascii="宋体" w:hAnsi="宋体" w:eastAsia="宋体" w:cs="Times New Roman"/>
                <w:color w:val="auto"/>
              </w:rPr>
              <w:t>kg/t柴油</w:t>
            </w:r>
          </w:p>
        </w:tc>
        <w:tc>
          <w:tcPr>
            <w:tcW w:w="2044" w:type="dxa"/>
            <w:vAlign w:val="center"/>
          </w:tcPr>
          <w:p w14:paraId="23FBC688">
            <w:pPr>
              <w:spacing w:line="320" w:lineRule="exact"/>
              <w:jc w:val="center"/>
              <w:rPr>
                <w:rFonts w:ascii="宋体" w:hAnsi="宋体" w:eastAsia="宋体" w:cs="Times New Roman"/>
                <w:color w:val="auto"/>
              </w:rPr>
            </w:pPr>
            <w:r>
              <w:rPr>
                <w:rFonts w:ascii="宋体" w:hAnsi="宋体" w:eastAsia="宋体" w:cs="Times New Roman"/>
                <w:color w:val="auto"/>
              </w:rPr>
              <w:t>2.92</w:t>
            </w:r>
          </w:p>
        </w:tc>
        <w:tc>
          <w:tcPr>
            <w:tcW w:w="2225" w:type="dxa"/>
            <w:vAlign w:val="center"/>
          </w:tcPr>
          <w:p w14:paraId="0CFC08CE">
            <w:pPr>
              <w:spacing w:line="320" w:lineRule="exact"/>
              <w:jc w:val="center"/>
              <w:rPr>
                <w:rFonts w:ascii="宋体" w:hAnsi="宋体" w:eastAsia="宋体" w:cs="Times New Roman"/>
                <w:color w:val="auto"/>
              </w:rPr>
            </w:pPr>
            <w:r>
              <w:rPr>
                <w:rFonts w:ascii="宋体" w:hAnsi="宋体" w:eastAsia="宋体" w:cs="Times New Roman"/>
                <w:color w:val="auto"/>
              </w:rPr>
              <w:t>0.97t</w:t>
            </w:r>
          </w:p>
        </w:tc>
      </w:tr>
      <w:tr w14:paraId="459D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6" w:type="dxa"/>
            <w:vAlign w:val="center"/>
          </w:tcPr>
          <w:p w14:paraId="2E2C57AF">
            <w:pPr>
              <w:spacing w:line="320" w:lineRule="exact"/>
              <w:jc w:val="center"/>
              <w:rPr>
                <w:rFonts w:ascii="宋体" w:hAnsi="宋体" w:eastAsia="宋体" w:cs="Times New Roman"/>
                <w:color w:val="auto"/>
              </w:rPr>
            </w:pPr>
            <w:r>
              <w:rPr>
                <w:rFonts w:ascii="宋体" w:hAnsi="宋体" w:eastAsia="宋体" w:cs="Times New Roman"/>
                <w:color w:val="auto"/>
              </w:rPr>
              <w:t>烟尘</w:t>
            </w:r>
          </w:p>
        </w:tc>
        <w:tc>
          <w:tcPr>
            <w:tcW w:w="2555" w:type="dxa"/>
            <w:vAlign w:val="center"/>
          </w:tcPr>
          <w:p w14:paraId="762C9A08">
            <w:pPr>
              <w:spacing w:line="320" w:lineRule="exact"/>
              <w:jc w:val="center"/>
              <w:rPr>
                <w:rFonts w:ascii="宋体" w:hAnsi="宋体" w:eastAsia="宋体" w:cs="Times New Roman"/>
                <w:color w:val="auto"/>
              </w:rPr>
            </w:pPr>
            <w:r>
              <w:rPr>
                <w:rFonts w:ascii="宋体" w:hAnsi="宋体" w:eastAsia="宋体" w:cs="Times New Roman"/>
                <w:color w:val="auto"/>
              </w:rPr>
              <w:t>kg/t柴油</w:t>
            </w:r>
          </w:p>
        </w:tc>
        <w:tc>
          <w:tcPr>
            <w:tcW w:w="2044" w:type="dxa"/>
            <w:vAlign w:val="center"/>
          </w:tcPr>
          <w:p w14:paraId="281E0D5C">
            <w:pPr>
              <w:spacing w:line="320" w:lineRule="exact"/>
              <w:jc w:val="center"/>
              <w:rPr>
                <w:rFonts w:ascii="宋体" w:hAnsi="宋体" w:eastAsia="宋体" w:cs="Times New Roman"/>
                <w:color w:val="auto"/>
              </w:rPr>
            </w:pPr>
            <w:r>
              <w:rPr>
                <w:rFonts w:ascii="宋体" w:hAnsi="宋体" w:eastAsia="宋体" w:cs="Times New Roman"/>
                <w:color w:val="auto"/>
              </w:rPr>
              <w:t>0.31</w:t>
            </w:r>
          </w:p>
        </w:tc>
        <w:tc>
          <w:tcPr>
            <w:tcW w:w="2225" w:type="dxa"/>
            <w:vAlign w:val="center"/>
          </w:tcPr>
          <w:p w14:paraId="23F33DFE">
            <w:pPr>
              <w:spacing w:line="320" w:lineRule="exact"/>
              <w:jc w:val="center"/>
              <w:rPr>
                <w:rFonts w:ascii="宋体" w:hAnsi="宋体" w:eastAsia="宋体" w:cs="Times New Roman"/>
                <w:color w:val="auto"/>
              </w:rPr>
            </w:pPr>
            <w:r>
              <w:rPr>
                <w:rFonts w:ascii="宋体" w:hAnsi="宋体" w:eastAsia="宋体" w:cs="Times New Roman"/>
                <w:color w:val="auto"/>
              </w:rPr>
              <w:t>0.1t</w:t>
            </w:r>
          </w:p>
        </w:tc>
      </w:tr>
      <w:tr w14:paraId="7F9D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6" w:type="dxa"/>
            <w:vAlign w:val="center"/>
          </w:tcPr>
          <w:p w14:paraId="58E358A6">
            <w:pPr>
              <w:spacing w:line="320" w:lineRule="exact"/>
              <w:jc w:val="center"/>
              <w:rPr>
                <w:rFonts w:ascii="宋体" w:hAnsi="宋体" w:eastAsia="宋体" w:cs="Times New Roman"/>
                <w:color w:val="auto"/>
              </w:rPr>
            </w:pPr>
            <w:r>
              <w:rPr>
                <w:rFonts w:ascii="宋体" w:hAnsi="宋体" w:eastAsia="宋体" w:cs="Times New Roman"/>
                <w:color w:val="auto"/>
              </w:rPr>
              <w:t>CO</w:t>
            </w:r>
          </w:p>
        </w:tc>
        <w:tc>
          <w:tcPr>
            <w:tcW w:w="2555" w:type="dxa"/>
            <w:vAlign w:val="center"/>
          </w:tcPr>
          <w:p w14:paraId="24CCCEFE">
            <w:pPr>
              <w:spacing w:line="320" w:lineRule="exact"/>
              <w:jc w:val="center"/>
              <w:rPr>
                <w:rFonts w:ascii="宋体" w:hAnsi="宋体" w:eastAsia="宋体" w:cs="Times New Roman"/>
                <w:color w:val="auto"/>
              </w:rPr>
            </w:pPr>
            <w:r>
              <w:rPr>
                <w:rFonts w:ascii="宋体" w:hAnsi="宋体" w:eastAsia="宋体" w:cs="Times New Roman"/>
                <w:color w:val="auto"/>
              </w:rPr>
              <w:t>kg/t柴油</w:t>
            </w:r>
          </w:p>
        </w:tc>
        <w:tc>
          <w:tcPr>
            <w:tcW w:w="2044" w:type="dxa"/>
            <w:vAlign w:val="center"/>
          </w:tcPr>
          <w:p w14:paraId="602DB552">
            <w:pPr>
              <w:spacing w:line="320" w:lineRule="exact"/>
              <w:jc w:val="center"/>
              <w:rPr>
                <w:rFonts w:ascii="宋体" w:hAnsi="宋体" w:eastAsia="宋体" w:cs="Times New Roman"/>
                <w:color w:val="auto"/>
              </w:rPr>
            </w:pPr>
            <w:r>
              <w:rPr>
                <w:rFonts w:ascii="宋体" w:hAnsi="宋体" w:eastAsia="宋体" w:cs="Times New Roman"/>
                <w:color w:val="auto"/>
              </w:rPr>
              <w:t>0.78</w:t>
            </w:r>
          </w:p>
        </w:tc>
        <w:tc>
          <w:tcPr>
            <w:tcW w:w="2225" w:type="dxa"/>
            <w:vAlign w:val="center"/>
          </w:tcPr>
          <w:p w14:paraId="5491FCD4">
            <w:pPr>
              <w:spacing w:line="320" w:lineRule="exact"/>
              <w:jc w:val="center"/>
              <w:rPr>
                <w:rFonts w:ascii="宋体" w:hAnsi="宋体" w:eastAsia="宋体" w:cs="Times New Roman"/>
                <w:color w:val="auto"/>
              </w:rPr>
            </w:pPr>
            <w:r>
              <w:rPr>
                <w:rFonts w:ascii="宋体" w:hAnsi="宋体" w:eastAsia="宋体" w:cs="Times New Roman"/>
                <w:color w:val="auto"/>
              </w:rPr>
              <w:t>0.26t</w:t>
            </w:r>
          </w:p>
        </w:tc>
      </w:tr>
      <w:tr w14:paraId="56A8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6" w:type="dxa"/>
            <w:vAlign w:val="center"/>
          </w:tcPr>
          <w:p w14:paraId="4E2286F8">
            <w:pPr>
              <w:spacing w:line="320" w:lineRule="exact"/>
              <w:jc w:val="center"/>
              <w:rPr>
                <w:rFonts w:ascii="宋体" w:hAnsi="宋体" w:eastAsia="宋体" w:cs="Times New Roman"/>
                <w:color w:val="auto"/>
              </w:rPr>
            </w:pPr>
            <w:r>
              <w:rPr>
                <w:rFonts w:ascii="宋体" w:hAnsi="宋体" w:eastAsia="宋体" w:cs="Times New Roman"/>
                <w:color w:val="auto"/>
              </w:rPr>
              <w:t>HC</w:t>
            </w:r>
          </w:p>
        </w:tc>
        <w:tc>
          <w:tcPr>
            <w:tcW w:w="2555" w:type="dxa"/>
            <w:vAlign w:val="center"/>
          </w:tcPr>
          <w:p w14:paraId="1DA0AC3E">
            <w:pPr>
              <w:spacing w:line="320" w:lineRule="exact"/>
              <w:jc w:val="center"/>
              <w:rPr>
                <w:rFonts w:ascii="宋体" w:hAnsi="宋体" w:eastAsia="宋体" w:cs="Times New Roman"/>
                <w:color w:val="auto"/>
              </w:rPr>
            </w:pPr>
            <w:r>
              <w:rPr>
                <w:rFonts w:ascii="宋体" w:hAnsi="宋体" w:eastAsia="宋体" w:cs="Times New Roman"/>
                <w:color w:val="auto"/>
              </w:rPr>
              <w:t>kg/t柴油</w:t>
            </w:r>
          </w:p>
        </w:tc>
        <w:tc>
          <w:tcPr>
            <w:tcW w:w="2044" w:type="dxa"/>
            <w:vAlign w:val="center"/>
          </w:tcPr>
          <w:p w14:paraId="37FC7953">
            <w:pPr>
              <w:spacing w:line="320" w:lineRule="exact"/>
              <w:jc w:val="center"/>
              <w:rPr>
                <w:rFonts w:ascii="宋体" w:hAnsi="宋体" w:eastAsia="宋体" w:cs="Times New Roman"/>
                <w:color w:val="auto"/>
              </w:rPr>
            </w:pPr>
            <w:r>
              <w:rPr>
                <w:rFonts w:ascii="宋体" w:hAnsi="宋体" w:eastAsia="宋体" w:cs="Times New Roman"/>
                <w:color w:val="auto"/>
              </w:rPr>
              <w:t>2.13</w:t>
            </w:r>
          </w:p>
        </w:tc>
        <w:tc>
          <w:tcPr>
            <w:tcW w:w="2225" w:type="dxa"/>
            <w:vAlign w:val="center"/>
          </w:tcPr>
          <w:p w14:paraId="6BC744D5">
            <w:pPr>
              <w:spacing w:line="320" w:lineRule="exact"/>
              <w:jc w:val="center"/>
              <w:rPr>
                <w:rFonts w:ascii="宋体" w:hAnsi="宋体" w:eastAsia="宋体" w:cs="Times New Roman"/>
                <w:color w:val="auto"/>
              </w:rPr>
            </w:pPr>
            <w:r>
              <w:rPr>
                <w:rFonts w:ascii="宋体" w:hAnsi="宋体" w:eastAsia="宋体" w:cs="Times New Roman"/>
                <w:color w:val="auto"/>
              </w:rPr>
              <w:t>0.71t</w:t>
            </w:r>
          </w:p>
        </w:tc>
      </w:tr>
    </w:tbl>
    <w:p w14:paraId="1DBCCBC7">
      <w:pPr>
        <w:pStyle w:val="276"/>
        <w:widowControl w:val="0"/>
        <w:ind w:firstLine="480"/>
        <w:jc w:val="both"/>
        <w:rPr>
          <w:color w:val="auto"/>
          <w:lang w:val="zh-CN"/>
        </w:rPr>
      </w:pPr>
      <w:r>
        <w:rPr>
          <w:color w:val="auto"/>
          <w:lang w:val="zh-CN"/>
        </w:rPr>
        <w:t>4</w:t>
      </w:r>
      <w:r>
        <w:rPr>
          <w:rFonts w:hint="eastAsia"/>
          <w:color w:val="auto"/>
          <w:lang w:val="zh-CN"/>
        </w:rPr>
        <w:t>）</w:t>
      </w:r>
      <w:r>
        <w:rPr>
          <w:color w:val="auto"/>
          <w:lang w:val="zh-CN"/>
        </w:rPr>
        <w:t>焊接烟尘</w:t>
      </w:r>
    </w:p>
    <w:p w14:paraId="6EE25660">
      <w:pPr>
        <w:pStyle w:val="276"/>
        <w:widowControl w:val="0"/>
        <w:ind w:firstLine="480"/>
        <w:jc w:val="both"/>
        <w:rPr>
          <w:color w:val="auto"/>
          <w:lang w:val="zh-CN"/>
        </w:rPr>
      </w:pPr>
      <w:r>
        <w:rPr>
          <w:color w:val="auto"/>
          <w:lang w:val="zh-CN"/>
        </w:rPr>
        <w:t>项目管道焊接主要方式为电焊，焊接过程中会产生少量焊接烟尘，焊接烟气中有毒有害气体的成份主要为CO、CO</w:t>
      </w:r>
      <w:r>
        <w:rPr>
          <w:color w:val="auto"/>
          <w:vertAlign w:val="subscript"/>
          <w:lang w:val="zh-CN"/>
        </w:rPr>
        <w:t>2</w:t>
      </w:r>
      <w:r>
        <w:rPr>
          <w:color w:val="auto"/>
          <w:lang w:val="zh-CN"/>
        </w:rPr>
        <w:t>、O</w:t>
      </w:r>
      <w:r>
        <w:rPr>
          <w:color w:val="auto"/>
          <w:vertAlign w:val="subscript"/>
          <w:lang w:val="zh-CN"/>
        </w:rPr>
        <w:t>3</w:t>
      </w:r>
      <w:r>
        <w:rPr>
          <w:color w:val="auto"/>
          <w:lang w:val="zh-CN"/>
        </w:rPr>
        <w:t>、NO</w:t>
      </w:r>
      <w:r>
        <w:rPr>
          <w:color w:val="auto"/>
          <w:vertAlign w:val="subscript"/>
          <w:lang w:val="zh-CN"/>
        </w:rPr>
        <w:t>x</w:t>
      </w:r>
      <w:r>
        <w:rPr>
          <w:color w:val="auto"/>
          <w:lang w:val="zh-CN"/>
        </w:rPr>
        <w:t>、CH</w:t>
      </w:r>
      <w:r>
        <w:rPr>
          <w:color w:val="auto"/>
          <w:vertAlign w:val="subscript"/>
          <w:lang w:val="zh-CN"/>
        </w:rPr>
        <w:t>4</w:t>
      </w:r>
      <w:r>
        <w:rPr>
          <w:color w:val="auto"/>
          <w:lang w:val="zh-CN"/>
        </w:rPr>
        <w:t>等，其中以CO所占的比例最大，但由于项目焊接点较少，产生的焊接烟尘量较小，且项目位于室外，空气扩散条件较好，对大气环境影响较小。</w:t>
      </w:r>
    </w:p>
    <w:p w14:paraId="7C188CD8">
      <w:pPr>
        <w:pStyle w:val="276"/>
        <w:widowControl w:val="0"/>
        <w:ind w:firstLine="480"/>
        <w:jc w:val="both"/>
        <w:rPr>
          <w:color w:val="auto"/>
        </w:rPr>
      </w:pPr>
      <w:r>
        <w:rPr>
          <w:color w:val="auto"/>
        </w:rPr>
        <w:t>5</w:t>
      </w:r>
      <w:r>
        <w:rPr>
          <w:rFonts w:hint="eastAsia"/>
          <w:color w:val="auto"/>
        </w:rPr>
        <w:t>）</w:t>
      </w:r>
      <w:r>
        <w:rPr>
          <w:color w:val="auto"/>
        </w:rPr>
        <w:t>试油伴生气</w:t>
      </w:r>
      <w:r>
        <w:rPr>
          <w:rFonts w:hint="eastAsia"/>
          <w:color w:val="auto"/>
        </w:rPr>
        <w:t>及储层改造产生的非甲烷总烃</w:t>
      </w:r>
    </w:p>
    <w:p w14:paraId="54E030EE">
      <w:pPr>
        <w:pStyle w:val="276"/>
        <w:widowControl w:val="0"/>
        <w:ind w:firstLine="480"/>
        <w:jc w:val="both"/>
        <w:rPr>
          <w:color w:val="auto"/>
        </w:rPr>
      </w:pPr>
      <w:r>
        <w:rPr>
          <w:color w:val="auto"/>
        </w:rPr>
        <w:t>试油阶段勘探评井产生的少量伴生气采用试油设备配套放喷管设施点火燃烧，放喷管高为8m（配套防回火与自动点火装置），设置于井口50m以外，且距离发电房等易产生明火的位置20m以上。</w:t>
      </w:r>
    </w:p>
    <w:p w14:paraId="37C1FB0B">
      <w:pPr>
        <w:pStyle w:val="276"/>
        <w:widowControl w:val="0"/>
        <w:ind w:firstLine="480"/>
        <w:jc w:val="both"/>
        <w:rPr>
          <w:color w:val="auto"/>
        </w:rPr>
      </w:pPr>
      <w:r>
        <w:rPr>
          <w:color w:val="auto"/>
        </w:rPr>
        <w:t>根据大庆油田近年来气田开发实际情况，放空属于短时非正常工况排放，其燃烧产污为CO</w:t>
      </w:r>
      <w:r>
        <w:rPr>
          <w:color w:val="auto"/>
          <w:vertAlign w:val="subscript"/>
        </w:rPr>
        <w:t>2</w:t>
      </w:r>
      <w:r>
        <w:rPr>
          <w:color w:val="auto"/>
        </w:rPr>
        <w:t>、H</w:t>
      </w:r>
      <w:r>
        <w:rPr>
          <w:color w:val="auto"/>
          <w:vertAlign w:val="subscript"/>
        </w:rPr>
        <w:t>2</w:t>
      </w:r>
      <w:r>
        <w:rPr>
          <w:color w:val="auto"/>
        </w:rPr>
        <w:t>O，项目产生的试气采出气均经过放喷管顶端设自动点火装置燃烧后，不排放非甲烷总烃，对环境影响较小。</w:t>
      </w:r>
    </w:p>
    <w:p w14:paraId="27C8B402">
      <w:pPr>
        <w:pStyle w:val="276"/>
        <w:widowControl w:val="0"/>
        <w:ind w:firstLine="480"/>
        <w:jc w:val="both"/>
        <w:rPr>
          <w:color w:val="auto"/>
        </w:rPr>
      </w:pPr>
      <w:r>
        <w:rPr>
          <w:rFonts w:hint="eastAsia"/>
          <w:color w:val="auto"/>
        </w:rPr>
        <w:t>储层改造工程主要包括射孔及压裂工程，产生的的非甲烷总烃较少，且周围较空旷，故对周围环境影响不大。</w:t>
      </w:r>
    </w:p>
    <w:p w14:paraId="59AE707D">
      <w:pPr>
        <w:pStyle w:val="276"/>
        <w:widowControl w:val="0"/>
        <w:ind w:firstLine="480"/>
        <w:jc w:val="both"/>
        <w:rPr>
          <w:color w:val="auto"/>
          <w:lang w:val="zh-CN"/>
        </w:rPr>
      </w:pPr>
      <w:r>
        <w:rPr>
          <w:color w:val="auto"/>
          <w:lang w:val="zh-CN"/>
        </w:rPr>
        <w:t>（2）废水</w:t>
      </w:r>
    </w:p>
    <w:p w14:paraId="141E5B5B">
      <w:pPr>
        <w:pStyle w:val="276"/>
        <w:widowControl w:val="0"/>
        <w:ind w:firstLine="480"/>
        <w:jc w:val="both"/>
        <w:rPr>
          <w:color w:val="auto"/>
          <w:kern w:val="2"/>
        </w:rPr>
      </w:pPr>
      <w:r>
        <w:rPr>
          <w:rFonts w:hint="eastAsia"/>
          <w:color w:val="auto"/>
          <w:kern w:val="2"/>
        </w:rPr>
        <w:t>1）</w:t>
      </w:r>
      <w:r>
        <w:rPr>
          <w:color w:val="auto"/>
          <w:kern w:val="2"/>
        </w:rPr>
        <w:t>水基钻井废水</w:t>
      </w:r>
    </w:p>
    <w:p w14:paraId="6BA373C5">
      <w:pPr>
        <w:pStyle w:val="276"/>
        <w:widowControl w:val="0"/>
        <w:ind w:firstLine="480"/>
        <w:jc w:val="both"/>
        <w:rPr>
          <w:color w:val="auto"/>
          <w:kern w:val="2"/>
        </w:rPr>
      </w:pPr>
      <w:r>
        <w:rPr>
          <w:color w:val="auto"/>
          <w:kern w:val="2"/>
        </w:rPr>
        <w:t>水基钻井废水主要来自使用水基泥浆钻井过程中冲洗钻台、钻具等设备产生的废水，主要含有水基泥浆和水基岩屑等。根据公用工程计算可知，本项目水基钻井废水产生量为111m</w:t>
      </w:r>
      <w:r>
        <w:rPr>
          <w:color w:val="auto"/>
          <w:kern w:val="2"/>
          <w:vertAlign w:val="superscript"/>
        </w:rPr>
        <w:t>3</w:t>
      </w:r>
      <w:r>
        <w:rPr>
          <w:color w:val="auto"/>
          <w:kern w:val="2"/>
        </w:rPr>
        <w:t>。水基钻井废水中污染因子主要为SS，根据类比大庆油田同类项目监测数据，SS浓度≤300mg/L，水基钻井废水排入井场水基钢制泥浆槽中，及时拉运至大庆油田昆仑集团有限公司环保分公司处理，处理后的压滤水定期由罐车拉运至朝一联含油污水处理站处理满足《大庆油田地面工程建设设计规定》（Q/SYDQ0639-2015）及《碎屑岩油藏注水水质指标技术要求及分析方法》（SY/T5329-2022）限值要求后回注油层。</w:t>
      </w:r>
    </w:p>
    <w:p w14:paraId="789D31DE">
      <w:pPr>
        <w:pStyle w:val="276"/>
        <w:widowControl w:val="0"/>
        <w:ind w:firstLine="480"/>
        <w:jc w:val="both"/>
        <w:rPr>
          <w:color w:val="auto"/>
          <w:kern w:val="2"/>
        </w:rPr>
      </w:pPr>
      <w:r>
        <w:rPr>
          <w:rFonts w:hint="eastAsia"/>
          <w:color w:val="auto"/>
          <w:kern w:val="2"/>
        </w:rPr>
        <w:t>2）</w:t>
      </w:r>
      <w:r>
        <w:rPr>
          <w:color w:val="auto"/>
          <w:kern w:val="2"/>
        </w:rPr>
        <w:t>油基钻井废水</w:t>
      </w:r>
    </w:p>
    <w:p w14:paraId="418F01AB">
      <w:pPr>
        <w:pStyle w:val="276"/>
        <w:widowControl w:val="0"/>
        <w:ind w:firstLine="480"/>
        <w:jc w:val="both"/>
        <w:rPr>
          <w:color w:val="auto"/>
          <w:kern w:val="2"/>
        </w:rPr>
      </w:pPr>
      <w:r>
        <w:rPr>
          <w:color w:val="auto"/>
          <w:kern w:val="2"/>
        </w:rPr>
        <w:t>油基钻井废水主要来自使用油基泥浆钻井过程中冲洗钻台、钻具等设备产生的废水，主要含有油基泥浆和油基岩屑等。根据公用工程计算可知，本项目油基钻井废水产生量为205.2m</w:t>
      </w:r>
      <w:r>
        <w:rPr>
          <w:color w:val="auto"/>
          <w:kern w:val="2"/>
          <w:vertAlign w:val="superscript"/>
        </w:rPr>
        <w:t>3</w:t>
      </w:r>
      <w:r>
        <w:rPr>
          <w:color w:val="auto"/>
          <w:kern w:val="2"/>
        </w:rPr>
        <w:t>，油基钻井废水主要污染因子为石油类、SS，根据类比大庆油田同类项目监测数据，SS浓度≤300mg/L，石油类浓度≤1000mg/L。油基钻井废水排入井场</w:t>
      </w:r>
      <w:r>
        <w:rPr>
          <w:color w:val="auto"/>
        </w:rPr>
        <w:t>设置</w:t>
      </w:r>
      <w:r>
        <w:rPr>
          <w:color w:val="auto"/>
          <w:kern w:val="2"/>
        </w:rPr>
        <w:t>的油基钢制泥浆槽中，委托</w:t>
      </w:r>
      <w:r>
        <w:rPr>
          <w:color w:val="auto"/>
        </w:rPr>
        <w:t>黑龙江迈景环保科技有限公司</w:t>
      </w:r>
      <w:r>
        <w:rPr>
          <w:color w:val="auto"/>
          <w:kern w:val="2"/>
        </w:rPr>
        <w:t>处理，处理后的污水进入污水罐储存，定期拉运至朝二联含油污水处理站处理满足《大庆油田地面工程建设设计规定》（Q/SYDQ0639-2015）及《碎屑岩油藏注水水质指标技术要求及分析方法》（SY/T5329-2022）限值要求后回注油层。</w:t>
      </w:r>
    </w:p>
    <w:p w14:paraId="263FC5E1">
      <w:pPr>
        <w:pStyle w:val="276"/>
        <w:widowControl w:val="0"/>
        <w:ind w:firstLine="480"/>
        <w:jc w:val="both"/>
        <w:rPr>
          <w:color w:val="auto"/>
          <w:kern w:val="2"/>
        </w:rPr>
      </w:pPr>
      <w:r>
        <w:rPr>
          <w:rFonts w:hint="eastAsia"/>
          <w:color w:val="auto"/>
          <w:kern w:val="2"/>
        </w:rPr>
        <w:t>3）</w:t>
      </w:r>
      <w:r>
        <w:rPr>
          <w:color w:val="auto"/>
          <w:kern w:val="2"/>
        </w:rPr>
        <w:t>压裂返排液</w:t>
      </w:r>
    </w:p>
    <w:p w14:paraId="77970A86">
      <w:pPr>
        <w:pStyle w:val="276"/>
        <w:widowControl w:val="0"/>
        <w:ind w:firstLine="480"/>
        <w:jc w:val="both"/>
        <w:rPr>
          <w:color w:val="auto"/>
          <w:kern w:val="2"/>
        </w:rPr>
      </w:pPr>
      <w:r>
        <w:rPr>
          <w:color w:val="auto"/>
          <w:kern w:val="2"/>
        </w:rPr>
        <w:t>本项目6口新钻井投产前需进行压裂作业，根据公用工程计算可知，本项目共计产生压裂返排液420m</w:t>
      </w:r>
      <w:r>
        <w:rPr>
          <w:color w:val="auto"/>
          <w:kern w:val="2"/>
          <w:vertAlign w:val="superscript"/>
        </w:rPr>
        <w:t>3</w:t>
      </w:r>
      <w:r>
        <w:rPr>
          <w:color w:val="auto"/>
          <w:kern w:val="2"/>
        </w:rPr>
        <w:t>，压裂返排液中主要</w:t>
      </w:r>
      <w:r>
        <w:rPr>
          <w:color w:val="auto"/>
        </w:rPr>
        <w:t>污染</w:t>
      </w:r>
      <w:r>
        <w:rPr>
          <w:color w:val="auto"/>
          <w:kern w:val="2"/>
        </w:rPr>
        <w:t>因子为石油类、SS，根据朝一联压裂返排液无害化处理站设计方案中设计进水指标，石油类浓度≤500mg/L，SS浓度≤3500mg/L。压裂返排液由罐车拉运至朝一联压裂返排液无害化处理站处理后，管输进入朝一联含油污水处理站处理，处理后的出水满足《大庆油田地面工程建设设计规定》（Q/SYDQ0639-2015）及《碎屑岩油藏注水水质指标技术要求及分析方法》（SY/T5329-2022）限值要求后回注油层，不外排。</w:t>
      </w:r>
    </w:p>
    <w:p w14:paraId="787BA2F3">
      <w:pPr>
        <w:pStyle w:val="276"/>
        <w:widowControl w:val="0"/>
        <w:ind w:firstLine="480"/>
        <w:jc w:val="both"/>
        <w:rPr>
          <w:color w:val="auto"/>
          <w:kern w:val="2"/>
        </w:rPr>
      </w:pPr>
      <w:r>
        <w:rPr>
          <w:rFonts w:hint="eastAsia"/>
          <w:color w:val="auto"/>
          <w:kern w:val="2"/>
        </w:rPr>
        <w:t>4）</w:t>
      </w:r>
      <w:r>
        <w:rPr>
          <w:color w:val="auto"/>
          <w:kern w:val="2"/>
        </w:rPr>
        <w:t>试压废水</w:t>
      </w:r>
    </w:p>
    <w:p w14:paraId="3A273040">
      <w:pPr>
        <w:pStyle w:val="276"/>
        <w:widowControl w:val="0"/>
        <w:ind w:firstLine="480"/>
        <w:jc w:val="both"/>
        <w:rPr>
          <w:color w:val="auto"/>
          <w:kern w:val="2"/>
          <w:szCs w:val="20"/>
        </w:rPr>
      </w:pPr>
      <w:bookmarkStart w:id="896" w:name="_Toc11047874"/>
      <w:r>
        <w:rPr>
          <w:color w:val="auto"/>
          <w:kern w:val="21"/>
        </w:rPr>
        <w:t>本项目新建集油管线采取清水试压的方式，根据新建管线截面面积及长度，项目试压用水总量为0.13m</w:t>
      </w:r>
      <w:r>
        <w:rPr>
          <w:color w:val="auto"/>
          <w:kern w:val="21"/>
          <w:vertAlign w:val="superscript"/>
        </w:rPr>
        <w:t>3</w:t>
      </w:r>
      <w:r>
        <w:rPr>
          <w:color w:val="auto"/>
          <w:kern w:val="21"/>
        </w:rPr>
        <w:t>，试压废水按用水量的95%计算，试压废水产生量为0.114m</w:t>
      </w:r>
      <w:r>
        <w:rPr>
          <w:color w:val="auto"/>
          <w:kern w:val="21"/>
          <w:vertAlign w:val="superscript"/>
        </w:rPr>
        <w:t>3</w:t>
      </w:r>
      <w:r>
        <w:rPr>
          <w:color w:val="auto"/>
          <w:kern w:val="21"/>
        </w:rPr>
        <w:t>，试压废水中污染因子主要为SS，浓度约100mg/L。管线试压废水由罐车收集并拉运至朝二联含油污水处理站处理满足《大庆油田地面工程建设设计规定》（Q/SYDQ0639-2015）及《碎屑岩油藏注水水质指标技术要求及分析方法》（SY/T5329-2022）限值要求后回注油层，不外排。试压废水排放满足朝二联含油污水处理站进水指标要求。</w:t>
      </w:r>
    </w:p>
    <w:bookmarkEnd w:id="896"/>
    <w:p w14:paraId="0C72D75A">
      <w:pPr>
        <w:pStyle w:val="276"/>
        <w:widowControl w:val="0"/>
        <w:ind w:firstLine="480"/>
        <w:jc w:val="both"/>
        <w:rPr>
          <w:color w:val="auto"/>
          <w:kern w:val="2"/>
        </w:rPr>
      </w:pPr>
      <w:r>
        <w:rPr>
          <w:rFonts w:hint="eastAsia"/>
          <w:color w:val="auto"/>
          <w:kern w:val="2"/>
        </w:rPr>
        <w:t>5）</w:t>
      </w:r>
      <w:r>
        <w:rPr>
          <w:color w:val="auto"/>
          <w:kern w:val="2"/>
        </w:rPr>
        <w:t>生活污水</w:t>
      </w:r>
    </w:p>
    <w:p w14:paraId="2CBC51D7">
      <w:pPr>
        <w:pStyle w:val="276"/>
        <w:widowControl w:val="0"/>
        <w:ind w:firstLine="480"/>
        <w:jc w:val="both"/>
        <w:rPr>
          <w:color w:val="auto"/>
          <w:kern w:val="2"/>
        </w:rPr>
      </w:pPr>
      <w:r>
        <w:rPr>
          <w:color w:val="auto"/>
          <w:kern w:val="21"/>
        </w:rPr>
        <w:t>项目钻井施工84d，钻井队在井人数20人。</w:t>
      </w:r>
      <w:r>
        <w:rPr>
          <w:snapToGrid w:val="0"/>
          <w:color w:val="auto"/>
        </w:rPr>
        <w:t>2口勘探井压裂试</w:t>
      </w:r>
      <w:r>
        <w:rPr>
          <w:rFonts w:hint="eastAsia"/>
          <w:snapToGrid w:val="0"/>
          <w:color w:val="auto"/>
        </w:rPr>
        <w:t>油</w:t>
      </w:r>
      <w:r>
        <w:rPr>
          <w:snapToGrid w:val="0"/>
          <w:color w:val="auto"/>
        </w:rPr>
        <w:t>施工约20d，另外4口基建井压裂地面工程施工约80d</w:t>
      </w:r>
      <w:r>
        <w:rPr>
          <w:color w:val="auto"/>
          <w:kern w:val="21"/>
        </w:rPr>
        <w:t>，施工人数20人。根据黑龙江省地方标准《用水定额》（DB23/T727-2021），施工期生活用水量每人80L/d，生活用水量共计294.4m</w:t>
      </w:r>
      <w:r>
        <w:rPr>
          <w:color w:val="auto"/>
          <w:kern w:val="21"/>
          <w:vertAlign w:val="superscript"/>
        </w:rPr>
        <w:t>3</w:t>
      </w:r>
      <w:r>
        <w:rPr>
          <w:color w:val="auto"/>
          <w:kern w:val="21"/>
        </w:rPr>
        <w:t>。生活污水产生量按生活用水的80%计算，则生活污水产生量为235.5m</w:t>
      </w:r>
      <w:r>
        <w:rPr>
          <w:color w:val="auto"/>
          <w:kern w:val="21"/>
          <w:vertAlign w:val="superscript"/>
        </w:rPr>
        <w:t>3</w:t>
      </w:r>
      <w:r>
        <w:rPr>
          <w:color w:val="auto"/>
          <w:kern w:val="21"/>
        </w:rPr>
        <w:t>，生活污水中COD浓度为300mg/L，氨氮浓度为30mg/L，则COD产生量为0.07t，氨氮产生量为0.007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w:t>
      </w:r>
      <w:r>
        <w:rPr>
          <w:color w:val="auto"/>
          <w:kern w:val="2"/>
        </w:rPr>
        <w:t xml:space="preserve"> </w:t>
      </w:r>
    </w:p>
    <w:p w14:paraId="4F9C7D25">
      <w:pPr>
        <w:pStyle w:val="276"/>
        <w:widowControl w:val="0"/>
        <w:ind w:firstLine="480"/>
        <w:jc w:val="both"/>
        <w:rPr>
          <w:color w:val="auto"/>
          <w:kern w:val="2"/>
        </w:rPr>
      </w:pPr>
      <w:r>
        <w:rPr>
          <w:color w:val="auto"/>
          <w:kern w:val="2"/>
        </w:rPr>
        <w:t>项目施工期废水产生及排放情况详见表3.12-2。</w:t>
      </w:r>
    </w:p>
    <w:p w14:paraId="4179DEB1">
      <w:pPr>
        <w:pStyle w:val="276"/>
        <w:widowControl w:val="0"/>
        <w:spacing w:line="440" w:lineRule="exact"/>
        <w:ind w:firstLine="0" w:firstLineChars="0"/>
        <w:jc w:val="center"/>
        <w:rPr>
          <w:color w:val="auto"/>
          <w:kern w:val="2"/>
          <w:sz w:val="21"/>
          <w:szCs w:val="20"/>
        </w:rPr>
      </w:pPr>
      <w:r>
        <w:rPr>
          <w:color w:val="auto"/>
          <w:kern w:val="2"/>
          <w:sz w:val="21"/>
          <w:szCs w:val="20"/>
        </w:rPr>
        <w:t>表3.12-2 施工期废水污染物排放量表</w:t>
      </w:r>
    </w:p>
    <w:tbl>
      <w:tblPr>
        <w:tblStyle w:val="81"/>
        <w:tblW w:w="92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2"/>
        <w:gridCol w:w="981"/>
        <w:gridCol w:w="908"/>
        <w:gridCol w:w="1018"/>
        <w:gridCol w:w="1037"/>
        <w:gridCol w:w="4701"/>
      </w:tblGrid>
      <w:tr w14:paraId="5E80C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92" w:type="dxa"/>
            <w:tcMar>
              <w:left w:w="57" w:type="dxa"/>
              <w:right w:w="57" w:type="dxa"/>
            </w:tcMar>
            <w:vAlign w:val="center"/>
          </w:tcPr>
          <w:p w14:paraId="7B60F58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序号</w:t>
            </w:r>
          </w:p>
        </w:tc>
        <w:tc>
          <w:tcPr>
            <w:tcW w:w="981" w:type="dxa"/>
            <w:tcMar>
              <w:left w:w="57" w:type="dxa"/>
              <w:right w:w="57" w:type="dxa"/>
            </w:tcMar>
            <w:vAlign w:val="center"/>
          </w:tcPr>
          <w:p w14:paraId="51B7417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污染物名称</w:t>
            </w:r>
          </w:p>
        </w:tc>
        <w:tc>
          <w:tcPr>
            <w:tcW w:w="908" w:type="dxa"/>
            <w:tcMar>
              <w:left w:w="57" w:type="dxa"/>
              <w:right w:w="57" w:type="dxa"/>
            </w:tcMar>
            <w:vAlign w:val="center"/>
          </w:tcPr>
          <w:p w14:paraId="7E571F6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产生量</w:t>
            </w:r>
          </w:p>
        </w:tc>
        <w:tc>
          <w:tcPr>
            <w:tcW w:w="2055" w:type="dxa"/>
            <w:gridSpan w:val="2"/>
            <w:tcMar>
              <w:left w:w="57" w:type="dxa"/>
              <w:right w:w="57" w:type="dxa"/>
            </w:tcMar>
            <w:vAlign w:val="center"/>
          </w:tcPr>
          <w:p w14:paraId="6F5CED4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主要污染物</w:t>
            </w:r>
          </w:p>
        </w:tc>
        <w:tc>
          <w:tcPr>
            <w:tcW w:w="4701" w:type="dxa"/>
            <w:vAlign w:val="center"/>
          </w:tcPr>
          <w:p w14:paraId="5B080A5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去向及措施</w:t>
            </w:r>
          </w:p>
        </w:tc>
      </w:tr>
      <w:tr w14:paraId="4C94D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tcMar>
              <w:left w:w="57" w:type="dxa"/>
              <w:right w:w="57" w:type="dxa"/>
            </w:tcMar>
            <w:vAlign w:val="center"/>
          </w:tcPr>
          <w:p w14:paraId="0E8EF32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981" w:type="dxa"/>
            <w:tcMar>
              <w:left w:w="57" w:type="dxa"/>
              <w:right w:w="57" w:type="dxa"/>
            </w:tcMar>
            <w:vAlign w:val="center"/>
          </w:tcPr>
          <w:p w14:paraId="1D11DFB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水基钻井废水</w:t>
            </w:r>
          </w:p>
        </w:tc>
        <w:tc>
          <w:tcPr>
            <w:tcW w:w="908" w:type="dxa"/>
            <w:tcMar>
              <w:left w:w="57" w:type="dxa"/>
              <w:right w:w="57" w:type="dxa"/>
            </w:tcMar>
            <w:vAlign w:val="center"/>
          </w:tcPr>
          <w:p w14:paraId="51C0B8E3">
            <w:pPr>
              <w:adjustRightInd w:val="0"/>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111m</w:t>
            </w:r>
            <w:r>
              <w:rPr>
                <w:rFonts w:ascii="宋体" w:hAnsi="宋体" w:eastAsia="宋体" w:cs="Times New Roman"/>
                <w:color w:val="auto"/>
                <w:kern w:val="21"/>
                <w:vertAlign w:val="superscript"/>
              </w:rPr>
              <w:t>3</w:t>
            </w:r>
          </w:p>
        </w:tc>
        <w:tc>
          <w:tcPr>
            <w:tcW w:w="1018" w:type="dxa"/>
            <w:tcBorders>
              <w:right w:val="single" w:color="auto" w:sz="4" w:space="0"/>
            </w:tcBorders>
            <w:tcMar>
              <w:left w:w="57" w:type="dxa"/>
              <w:right w:w="57" w:type="dxa"/>
            </w:tcMar>
            <w:vAlign w:val="center"/>
          </w:tcPr>
          <w:p w14:paraId="6981BFE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SS</w:t>
            </w:r>
          </w:p>
        </w:tc>
        <w:tc>
          <w:tcPr>
            <w:tcW w:w="1037" w:type="dxa"/>
            <w:tcBorders>
              <w:left w:val="single" w:color="auto" w:sz="4" w:space="0"/>
            </w:tcBorders>
            <w:vAlign w:val="center"/>
          </w:tcPr>
          <w:p w14:paraId="31AB8F7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300mg/L</w:t>
            </w:r>
          </w:p>
        </w:tc>
        <w:tc>
          <w:tcPr>
            <w:tcW w:w="4701" w:type="dxa"/>
            <w:vAlign w:val="center"/>
          </w:tcPr>
          <w:p w14:paraId="1DAB3820">
            <w:pPr>
              <w:adjustRightInd w:val="0"/>
              <w:snapToGrid w:val="0"/>
              <w:spacing w:line="360" w:lineRule="exact"/>
              <w:rPr>
                <w:rFonts w:ascii="宋体" w:hAnsi="宋体" w:eastAsia="宋体" w:cs="Times New Roman"/>
                <w:color w:val="auto"/>
              </w:rPr>
            </w:pPr>
            <w:r>
              <w:rPr>
                <w:rFonts w:ascii="宋体" w:hAnsi="宋体" w:eastAsia="宋体" w:cs="Times New Roman"/>
                <w:color w:val="auto"/>
              </w:rPr>
              <w:t>进入井场钢制泥浆槽中，定期由罐车拉运至大庆油田昆仑集团有限公司环保分公司处理</w:t>
            </w:r>
          </w:p>
        </w:tc>
      </w:tr>
      <w:tr w14:paraId="5CDF9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vMerge w:val="restart"/>
            <w:tcMar>
              <w:left w:w="57" w:type="dxa"/>
              <w:right w:w="57" w:type="dxa"/>
            </w:tcMar>
            <w:vAlign w:val="center"/>
          </w:tcPr>
          <w:p w14:paraId="04BF359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981" w:type="dxa"/>
            <w:vMerge w:val="restart"/>
            <w:tcMar>
              <w:left w:w="57" w:type="dxa"/>
              <w:right w:w="57" w:type="dxa"/>
            </w:tcMar>
            <w:vAlign w:val="center"/>
          </w:tcPr>
          <w:p w14:paraId="3678773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油基钻井废水</w:t>
            </w:r>
          </w:p>
        </w:tc>
        <w:tc>
          <w:tcPr>
            <w:tcW w:w="908" w:type="dxa"/>
            <w:vMerge w:val="restart"/>
            <w:tcMar>
              <w:left w:w="57" w:type="dxa"/>
              <w:right w:w="57" w:type="dxa"/>
            </w:tcMar>
            <w:vAlign w:val="center"/>
          </w:tcPr>
          <w:p w14:paraId="468349A2">
            <w:pPr>
              <w:adjustRightInd w:val="0"/>
              <w:snapToGrid w:val="0"/>
              <w:spacing w:line="360" w:lineRule="exact"/>
              <w:jc w:val="center"/>
              <w:rPr>
                <w:rFonts w:ascii="宋体" w:hAnsi="宋体" w:eastAsia="宋体" w:cs="Times New Roman"/>
                <w:color w:val="auto"/>
                <w:kern w:val="21"/>
              </w:rPr>
            </w:pPr>
            <w:r>
              <w:rPr>
                <w:rFonts w:ascii="宋体" w:hAnsi="宋体" w:eastAsia="宋体" w:cs="Times New Roman"/>
                <w:color w:val="auto"/>
                <w:kern w:val="21"/>
              </w:rPr>
              <w:t>205.2m</w:t>
            </w:r>
            <w:r>
              <w:rPr>
                <w:rFonts w:ascii="宋体" w:hAnsi="宋体" w:eastAsia="宋体" w:cs="Times New Roman"/>
                <w:color w:val="auto"/>
                <w:kern w:val="21"/>
                <w:vertAlign w:val="superscript"/>
              </w:rPr>
              <w:t>3</w:t>
            </w:r>
          </w:p>
        </w:tc>
        <w:tc>
          <w:tcPr>
            <w:tcW w:w="1018" w:type="dxa"/>
            <w:tcBorders>
              <w:bottom w:val="single" w:color="auto" w:sz="4" w:space="0"/>
              <w:right w:val="single" w:color="auto" w:sz="4" w:space="0"/>
            </w:tcBorders>
            <w:tcMar>
              <w:left w:w="57" w:type="dxa"/>
              <w:right w:w="57" w:type="dxa"/>
            </w:tcMar>
            <w:vAlign w:val="center"/>
          </w:tcPr>
          <w:p w14:paraId="35ACA9F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石油类</w:t>
            </w:r>
          </w:p>
        </w:tc>
        <w:tc>
          <w:tcPr>
            <w:tcW w:w="1037" w:type="dxa"/>
            <w:tcBorders>
              <w:left w:val="single" w:color="auto" w:sz="4" w:space="0"/>
              <w:bottom w:val="single" w:color="auto" w:sz="4" w:space="0"/>
            </w:tcBorders>
            <w:vAlign w:val="center"/>
          </w:tcPr>
          <w:p w14:paraId="3C01219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1000mg/L</w:t>
            </w:r>
          </w:p>
        </w:tc>
        <w:tc>
          <w:tcPr>
            <w:tcW w:w="4701" w:type="dxa"/>
            <w:vMerge w:val="restart"/>
            <w:vAlign w:val="center"/>
          </w:tcPr>
          <w:p w14:paraId="1272E59E">
            <w:pPr>
              <w:adjustRightInd w:val="0"/>
              <w:snapToGrid w:val="0"/>
              <w:spacing w:line="360" w:lineRule="exact"/>
              <w:rPr>
                <w:rFonts w:ascii="宋体" w:hAnsi="宋体" w:eastAsia="宋体" w:cs="Times New Roman"/>
                <w:color w:val="auto"/>
              </w:rPr>
            </w:pPr>
            <w:r>
              <w:rPr>
                <w:rFonts w:ascii="宋体" w:hAnsi="宋体" w:eastAsia="宋体" w:cs="Times New Roman"/>
                <w:color w:val="auto"/>
              </w:rPr>
              <w:t>排入井场设置的油基钢制泥浆槽中，委托黑龙江迈景环保科技有限公司处理，处理后的污水进入污水罐储存，定期拉运至朝二联含油污水处理站处理满足《大庆油田地面工程建设设计规定》（Q/SYDQ0639-2015）及《碎屑岩油藏注水水质指标技术要求及分析方法》（SY/T5329-2022）限值要求后回注油层。</w:t>
            </w:r>
          </w:p>
        </w:tc>
      </w:tr>
      <w:tr w14:paraId="64411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vMerge w:val="continue"/>
            <w:tcMar>
              <w:left w:w="57" w:type="dxa"/>
              <w:right w:w="57" w:type="dxa"/>
            </w:tcMar>
            <w:vAlign w:val="center"/>
          </w:tcPr>
          <w:p w14:paraId="0961BF3D">
            <w:pPr>
              <w:adjustRightInd w:val="0"/>
              <w:snapToGrid w:val="0"/>
              <w:spacing w:line="360" w:lineRule="exact"/>
              <w:jc w:val="center"/>
              <w:rPr>
                <w:rFonts w:ascii="宋体" w:hAnsi="宋体" w:eastAsia="宋体" w:cs="Times New Roman"/>
                <w:color w:val="auto"/>
              </w:rPr>
            </w:pPr>
          </w:p>
        </w:tc>
        <w:tc>
          <w:tcPr>
            <w:tcW w:w="981" w:type="dxa"/>
            <w:vMerge w:val="continue"/>
            <w:tcMar>
              <w:left w:w="57" w:type="dxa"/>
              <w:right w:w="57" w:type="dxa"/>
            </w:tcMar>
            <w:vAlign w:val="center"/>
          </w:tcPr>
          <w:p w14:paraId="05F23B8A">
            <w:pPr>
              <w:adjustRightInd w:val="0"/>
              <w:snapToGrid w:val="0"/>
              <w:spacing w:line="360" w:lineRule="exact"/>
              <w:jc w:val="center"/>
              <w:rPr>
                <w:rFonts w:ascii="宋体" w:hAnsi="宋体" w:eastAsia="宋体" w:cs="Times New Roman"/>
                <w:color w:val="auto"/>
              </w:rPr>
            </w:pPr>
          </w:p>
        </w:tc>
        <w:tc>
          <w:tcPr>
            <w:tcW w:w="908" w:type="dxa"/>
            <w:vMerge w:val="continue"/>
            <w:tcMar>
              <w:left w:w="57" w:type="dxa"/>
              <w:right w:w="57" w:type="dxa"/>
            </w:tcMar>
            <w:vAlign w:val="center"/>
          </w:tcPr>
          <w:p w14:paraId="38E2CF56">
            <w:pPr>
              <w:adjustRightInd w:val="0"/>
              <w:snapToGrid w:val="0"/>
              <w:spacing w:line="360" w:lineRule="exact"/>
              <w:jc w:val="center"/>
              <w:rPr>
                <w:rFonts w:ascii="宋体" w:hAnsi="宋体" w:eastAsia="宋体" w:cs="Times New Roman"/>
                <w:color w:val="auto"/>
                <w:kern w:val="21"/>
              </w:rPr>
            </w:pPr>
          </w:p>
        </w:tc>
        <w:tc>
          <w:tcPr>
            <w:tcW w:w="1018" w:type="dxa"/>
            <w:tcBorders>
              <w:top w:val="single" w:color="auto" w:sz="4" w:space="0"/>
              <w:right w:val="single" w:color="auto" w:sz="4" w:space="0"/>
            </w:tcBorders>
            <w:tcMar>
              <w:left w:w="57" w:type="dxa"/>
              <w:right w:w="57" w:type="dxa"/>
            </w:tcMar>
            <w:vAlign w:val="center"/>
          </w:tcPr>
          <w:p w14:paraId="7038E48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SS</w:t>
            </w:r>
          </w:p>
        </w:tc>
        <w:tc>
          <w:tcPr>
            <w:tcW w:w="1037" w:type="dxa"/>
            <w:tcBorders>
              <w:top w:val="single" w:color="auto" w:sz="4" w:space="0"/>
              <w:left w:val="single" w:color="auto" w:sz="4" w:space="0"/>
            </w:tcBorders>
            <w:vAlign w:val="center"/>
          </w:tcPr>
          <w:p w14:paraId="51A47B3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300mg/L</w:t>
            </w:r>
          </w:p>
        </w:tc>
        <w:tc>
          <w:tcPr>
            <w:tcW w:w="4701" w:type="dxa"/>
            <w:vMerge w:val="continue"/>
            <w:vAlign w:val="center"/>
          </w:tcPr>
          <w:p w14:paraId="2E17DB34">
            <w:pPr>
              <w:adjustRightInd w:val="0"/>
              <w:snapToGrid w:val="0"/>
              <w:spacing w:line="360" w:lineRule="exact"/>
              <w:rPr>
                <w:rFonts w:ascii="宋体" w:hAnsi="宋体" w:eastAsia="宋体" w:cs="Times New Roman"/>
                <w:color w:val="auto"/>
              </w:rPr>
            </w:pPr>
          </w:p>
        </w:tc>
      </w:tr>
      <w:tr w14:paraId="6A762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vMerge w:val="restart"/>
            <w:tcMar>
              <w:left w:w="57" w:type="dxa"/>
              <w:right w:w="57" w:type="dxa"/>
            </w:tcMar>
            <w:vAlign w:val="center"/>
          </w:tcPr>
          <w:p w14:paraId="2FC7340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981" w:type="dxa"/>
            <w:vMerge w:val="restart"/>
            <w:tcMar>
              <w:left w:w="57" w:type="dxa"/>
              <w:right w:w="57" w:type="dxa"/>
            </w:tcMar>
            <w:vAlign w:val="center"/>
          </w:tcPr>
          <w:p w14:paraId="082364D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压裂返排液</w:t>
            </w:r>
          </w:p>
        </w:tc>
        <w:tc>
          <w:tcPr>
            <w:tcW w:w="908" w:type="dxa"/>
            <w:vMerge w:val="restart"/>
            <w:tcMar>
              <w:left w:w="57" w:type="dxa"/>
              <w:right w:w="57" w:type="dxa"/>
            </w:tcMar>
            <w:vAlign w:val="center"/>
          </w:tcPr>
          <w:p w14:paraId="50E0F282">
            <w:pPr>
              <w:adjustRightInd w:val="0"/>
              <w:snapToGrid w:val="0"/>
              <w:spacing w:line="360" w:lineRule="exact"/>
              <w:jc w:val="center"/>
              <w:rPr>
                <w:rFonts w:ascii="宋体" w:hAnsi="宋体" w:eastAsia="宋体" w:cs="Times New Roman"/>
                <w:color w:val="auto"/>
                <w:kern w:val="21"/>
              </w:rPr>
            </w:pPr>
            <w:r>
              <w:rPr>
                <w:rFonts w:ascii="宋体" w:hAnsi="宋体" w:eastAsia="宋体" w:cs="Times New Roman"/>
                <w:color w:val="auto"/>
              </w:rPr>
              <w:t>420m</w:t>
            </w:r>
            <w:r>
              <w:rPr>
                <w:rFonts w:ascii="宋体" w:hAnsi="宋体" w:eastAsia="宋体" w:cs="Times New Roman"/>
                <w:color w:val="auto"/>
                <w:vertAlign w:val="superscript"/>
              </w:rPr>
              <w:t>3</w:t>
            </w:r>
          </w:p>
        </w:tc>
        <w:tc>
          <w:tcPr>
            <w:tcW w:w="1018" w:type="dxa"/>
            <w:tcBorders>
              <w:bottom w:val="single" w:color="auto" w:sz="4" w:space="0"/>
              <w:right w:val="single" w:color="auto" w:sz="4" w:space="0"/>
            </w:tcBorders>
            <w:tcMar>
              <w:left w:w="57" w:type="dxa"/>
              <w:right w:w="57" w:type="dxa"/>
            </w:tcMar>
            <w:vAlign w:val="center"/>
          </w:tcPr>
          <w:p w14:paraId="60C453F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 xml:space="preserve">石油类 </w:t>
            </w:r>
          </w:p>
        </w:tc>
        <w:tc>
          <w:tcPr>
            <w:tcW w:w="1037" w:type="dxa"/>
            <w:tcBorders>
              <w:left w:val="single" w:color="auto" w:sz="4" w:space="0"/>
              <w:bottom w:val="single" w:color="auto" w:sz="4" w:space="0"/>
            </w:tcBorders>
            <w:vAlign w:val="center"/>
          </w:tcPr>
          <w:p w14:paraId="66D63CC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500mg/L</w:t>
            </w:r>
          </w:p>
        </w:tc>
        <w:tc>
          <w:tcPr>
            <w:tcW w:w="4701" w:type="dxa"/>
            <w:vMerge w:val="restart"/>
            <w:vAlign w:val="center"/>
          </w:tcPr>
          <w:p w14:paraId="43E605B7">
            <w:pPr>
              <w:adjustRightInd w:val="0"/>
              <w:snapToGrid w:val="0"/>
              <w:spacing w:line="360" w:lineRule="exact"/>
              <w:rPr>
                <w:rFonts w:ascii="宋体" w:hAnsi="宋体" w:eastAsia="宋体" w:cs="Times New Roman"/>
                <w:color w:val="auto"/>
              </w:rPr>
            </w:pPr>
            <w:r>
              <w:rPr>
                <w:rFonts w:ascii="宋体" w:hAnsi="宋体" w:eastAsia="宋体" w:cs="Times New Roman"/>
                <w:color w:val="auto"/>
              </w:rPr>
              <w:t>由罐车拉运至朝一联压裂返排液无害化处理站处理，处置后污水管输进入朝一联含油污水处理站</w:t>
            </w:r>
          </w:p>
        </w:tc>
      </w:tr>
      <w:tr w14:paraId="270C4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vMerge w:val="continue"/>
            <w:tcMar>
              <w:left w:w="57" w:type="dxa"/>
              <w:right w:w="57" w:type="dxa"/>
            </w:tcMar>
            <w:vAlign w:val="center"/>
          </w:tcPr>
          <w:p w14:paraId="51D65A87">
            <w:pPr>
              <w:adjustRightInd w:val="0"/>
              <w:snapToGrid w:val="0"/>
              <w:spacing w:line="360" w:lineRule="exact"/>
              <w:jc w:val="center"/>
              <w:rPr>
                <w:rFonts w:ascii="宋体" w:hAnsi="宋体" w:eastAsia="宋体" w:cs="Times New Roman"/>
                <w:color w:val="auto"/>
              </w:rPr>
            </w:pPr>
          </w:p>
        </w:tc>
        <w:tc>
          <w:tcPr>
            <w:tcW w:w="981" w:type="dxa"/>
            <w:vMerge w:val="continue"/>
            <w:tcMar>
              <w:left w:w="57" w:type="dxa"/>
              <w:right w:w="57" w:type="dxa"/>
            </w:tcMar>
            <w:vAlign w:val="center"/>
          </w:tcPr>
          <w:p w14:paraId="275BBEA4">
            <w:pPr>
              <w:adjustRightInd w:val="0"/>
              <w:snapToGrid w:val="0"/>
              <w:spacing w:line="360" w:lineRule="exact"/>
              <w:jc w:val="center"/>
              <w:rPr>
                <w:rFonts w:ascii="宋体" w:hAnsi="宋体" w:eastAsia="宋体" w:cs="Times New Roman"/>
                <w:color w:val="auto"/>
              </w:rPr>
            </w:pPr>
          </w:p>
        </w:tc>
        <w:tc>
          <w:tcPr>
            <w:tcW w:w="908" w:type="dxa"/>
            <w:vMerge w:val="continue"/>
            <w:tcMar>
              <w:left w:w="57" w:type="dxa"/>
              <w:right w:w="57" w:type="dxa"/>
            </w:tcMar>
            <w:vAlign w:val="center"/>
          </w:tcPr>
          <w:p w14:paraId="05AD6C01">
            <w:pPr>
              <w:adjustRightInd w:val="0"/>
              <w:snapToGrid w:val="0"/>
              <w:spacing w:line="360" w:lineRule="exact"/>
              <w:jc w:val="center"/>
              <w:rPr>
                <w:rFonts w:ascii="宋体" w:hAnsi="宋体" w:eastAsia="宋体" w:cs="Times New Roman"/>
                <w:color w:val="auto"/>
              </w:rPr>
            </w:pPr>
          </w:p>
        </w:tc>
        <w:tc>
          <w:tcPr>
            <w:tcW w:w="1018" w:type="dxa"/>
            <w:tcBorders>
              <w:top w:val="single" w:color="auto" w:sz="4" w:space="0"/>
              <w:right w:val="single" w:color="auto" w:sz="4" w:space="0"/>
            </w:tcBorders>
            <w:tcMar>
              <w:left w:w="57" w:type="dxa"/>
              <w:right w:w="57" w:type="dxa"/>
            </w:tcMar>
            <w:vAlign w:val="center"/>
          </w:tcPr>
          <w:p w14:paraId="69150E5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 xml:space="preserve">SS </w:t>
            </w:r>
          </w:p>
        </w:tc>
        <w:tc>
          <w:tcPr>
            <w:tcW w:w="1037" w:type="dxa"/>
            <w:tcBorders>
              <w:top w:val="single" w:color="auto" w:sz="4" w:space="0"/>
              <w:left w:val="single" w:color="auto" w:sz="4" w:space="0"/>
            </w:tcBorders>
            <w:vAlign w:val="center"/>
          </w:tcPr>
          <w:p w14:paraId="67D437B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3500mg/L</w:t>
            </w:r>
          </w:p>
        </w:tc>
        <w:tc>
          <w:tcPr>
            <w:tcW w:w="4701" w:type="dxa"/>
            <w:vMerge w:val="continue"/>
            <w:vAlign w:val="center"/>
          </w:tcPr>
          <w:p w14:paraId="536A109E">
            <w:pPr>
              <w:adjustRightInd w:val="0"/>
              <w:snapToGrid w:val="0"/>
              <w:spacing w:line="360" w:lineRule="exact"/>
              <w:rPr>
                <w:rFonts w:ascii="宋体" w:hAnsi="宋体" w:eastAsia="宋体" w:cs="Times New Roman"/>
                <w:color w:val="auto"/>
              </w:rPr>
            </w:pPr>
          </w:p>
        </w:tc>
      </w:tr>
      <w:tr w14:paraId="529DA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tcMar>
              <w:left w:w="57" w:type="dxa"/>
              <w:right w:w="57" w:type="dxa"/>
            </w:tcMar>
            <w:vAlign w:val="center"/>
          </w:tcPr>
          <w:p w14:paraId="1DE0835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981" w:type="dxa"/>
            <w:tcMar>
              <w:left w:w="57" w:type="dxa"/>
              <w:right w:w="57" w:type="dxa"/>
            </w:tcMar>
            <w:vAlign w:val="center"/>
          </w:tcPr>
          <w:p w14:paraId="491AEE6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试压废水</w:t>
            </w:r>
          </w:p>
        </w:tc>
        <w:tc>
          <w:tcPr>
            <w:tcW w:w="908" w:type="dxa"/>
            <w:tcMar>
              <w:left w:w="57" w:type="dxa"/>
              <w:right w:w="57" w:type="dxa"/>
            </w:tcMar>
            <w:vAlign w:val="center"/>
          </w:tcPr>
          <w:p w14:paraId="2938CAC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kern w:val="21"/>
              </w:rPr>
              <w:t>0.114m</w:t>
            </w:r>
            <w:r>
              <w:rPr>
                <w:rFonts w:ascii="宋体" w:hAnsi="宋体" w:eastAsia="宋体" w:cs="Times New Roman"/>
                <w:color w:val="auto"/>
                <w:kern w:val="21"/>
                <w:vertAlign w:val="superscript"/>
              </w:rPr>
              <w:t>3</w:t>
            </w:r>
          </w:p>
        </w:tc>
        <w:tc>
          <w:tcPr>
            <w:tcW w:w="1018" w:type="dxa"/>
            <w:tcBorders>
              <w:right w:val="single" w:color="auto" w:sz="4" w:space="0"/>
            </w:tcBorders>
            <w:tcMar>
              <w:left w:w="57" w:type="dxa"/>
              <w:right w:w="57" w:type="dxa"/>
            </w:tcMar>
            <w:vAlign w:val="center"/>
          </w:tcPr>
          <w:p w14:paraId="02C8C4B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SS</w:t>
            </w:r>
          </w:p>
        </w:tc>
        <w:tc>
          <w:tcPr>
            <w:tcW w:w="1037" w:type="dxa"/>
            <w:tcBorders>
              <w:left w:val="single" w:color="auto" w:sz="4" w:space="0"/>
            </w:tcBorders>
            <w:vAlign w:val="center"/>
          </w:tcPr>
          <w:p w14:paraId="6B3024D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30mg/L</w:t>
            </w:r>
          </w:p>
        </w:tc>
        <w:tc>
          <w:tcPr>
            <w:tcW w:w="4701" w:type="dxa"/>
            <w:vAlign w:val="center"/>
          </w:tcPr>
          <w:p w14:paraId="3102C71E">
            <w:pPr>
              <w:adjustRightInd w:val="0"/>
              <w:snapToGrid w:val="0"/>
              <w:spacing w:line="360" w:lineRule="exact"/>
              <w:rPr>
                <w:rFonts w:ascii="宋体" w:hAnsi="宋体" w:eastAsia="宋体" w:cs="Times New Roman"/>
                <w:color w:val="auto"/>
              </w:rPr>
            </w:pPr>
            <w:r>
              <w:rPr>
                <w:rFonts w:ascii="宋体" w:hAnsi="宋体" w:eastAsia="宋体" w:cs="Times New Roman"/>
                <w:color w:val="auto"/>
              </w:rPr>
              <w:t>由罐车拉运至朝二联含油污水处理站处理满足《大庆油田地面工程建设设计规定》（Q/SYDQ0639-2015）及《碎屑岩油藏注水水质指标技术要求及分析方法》（SY/T5329-2022）限值要求后回注油层</w:t>
            </w:r>
          </w:p>
        </w:tc>
      </w:tr>
      <w:tr w14:paraId="198E5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vMerge w:val="restart"/>
            <w:tcMar>
              <w:left w:w="57" w:type="dxa"/>
              <w:right w:w="57" w:type="dxa"/>
            </w:tcMar>
            <w:vAlign w:val="center"/>
          </w:tcPr>
          <w:p w14:paraId="052F14D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981" w:type="dxa"/>
            <w:vMerge w:val="restart"/>
            <w:tcMar>
              <w:left w:w="57" w:type="dxa"/>
              <w:right w:w="57" w:type="dxa"/>
            </w:tcMar>
            <w:vAlign w:val="center"/>
          </w:tcPr>
          <w:p w14:paraId="7A4053C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生活污水</w:t>
            </w:r>
          </w:p>
        </w:tc>
        <w:tc>
          <w:tcPr>
            <w:tcW w:w="908" w:type="dxa"/>
            <w:vMerge w:val="restart"/>
            <w:tcMar>
              <w:left w:w="57" w:type="dxa"/>
              <w:right w:w="57" w:type="dxa"/>
            </w:tcMar>
            <w:vAlign w:val="center"/>
          </w:tcPr>
          <w:p w14:paraId="10DBC06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235.5m</w:t>
            </w:r>
            <w:r>
              <w:rPr>
                <w:rFonts w:ascii="宋体" w:hAnsi="宋体" w:eastAsia="宋体" w:cs="Times New Roman"/>
                <w:color w:val="auto"/>
                <w:vertAlign w:val="superscript"/>
              </w:rPr>
              <w:t>3</w:t>
            </w:r>
          </w:p>
        </w:tc>
        <w:tc>
          <w:tcPr>
            <w:tcW w:w="1018" w:type="dxa"/>
            <w:tcBorders>
              <w:bottom w:val="single" w:color="auto" w:sz="4" w:space="0"/>
              <w:right w:val="single" w:color="auto" w:sz="4" w:space="0"/>
            </w:tcBorders>
            <w:tcMar>
              <w:left w:w="57" w:type="dxa"/>
              <w:right w:w="57" w:type="dxa"/>
            </w:tcMar>
            <w:vAlign w:val="center"/>
          </w:tcPr>
          <w:p w14:paraId="5972179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COD</w:t>
            </w:r>
          </w:p>
        </w:tc>
        <w:tc>
          <w:tcPr>
            <w:tcW w:w="1037" w:type="dxa"/>
            <w:tcBorders>
              <w:left w:val="single" w:color="auto" w:sz="4" w:space="0"/>
              <w:bottom w:val="single" w:color="auto" w:sz="4" w:space="0"/>
            </w:tcBorders>
            <w:vAlign w:val="center"/>
          </w:tcPr>
          <w:p w14:paraId="0900280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300mg/L</w:t>
            </w:r>
          </w:p>
        </w:tc>
        <w:tc>
          <w:tcPr>
            <w:tcW w:w="4701" w:type="dxa"/>
            <w:vMerge w:val="restart"/>
            <w:vAlign w:val="center"/>
          </w:tcPr>
          <w:p w14:paraId="660CF13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w:t>
            </w:r>
          </w:p>
        </w:tc>
      </w:tr>
      <w:tr w14:paraId="00A82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vMerge w:val="continue"/>
            <w:tcMar>
              <w:left w:w="57" w:type="dxa"/>
              <w:right w:w="57" w:type="dxa"/>
            </w:tcMar>
            <w:vAlign w:val="center"/>
          </w:tcPr>
          <w:p w14:paraId="0471C6EC">
            <w:pPr>
              <w:adjustRightInd w:val="0"/>
              <w:snapToGrid w:val="0"/>
              <w:spacing w:line="360" w:lineRule="exact"/>
              <w:jc w:val="center"/>
              <w:rPr>
                <w:rFonts w:ascii="宋体" w:hAnsi="宋体" w:eastAsia="宋体" w:cs="Times New Roman"/>
                <w:color w:val="auto"/>
              </w:rPr>
            </w:pPr>
          </w:p>
        </w:tc>
        <w:tc>
          <w:tcPr>
            <w:tcW w:w="981" w:type="dxa"/>
            <w:vMerge w:val="continue"/>
            <w:tcMar>
              <w:left w:w="57" w:type="dxa"/>
              <w:right w:w="57" w:type="dxa"/>
            </w:tcMar>
            <w:vAlign w:val="center"/>
          </w:tcPr>
          <w:p w14:paraId="1BE8F58C">
            <w:pPr>
              <w:adjustRightInd w:val="0"/>
              <w:snapToGrid w:val="0"/>
              <w:spacing w:line="360" w:lineRule="exact"/>
              <w:jc w:val="center"/>
              <w:rPr>
                <w:rFonts w:ascii="宋体" w:hAnsi="宋体" w:eastAsia="宋体" w:cs="Times New Roman"/>
                <w:color w:val="auto"/>
              </w:rPr>
            </w:pPr>
          </w:p>
        </w:tc>
        <w:tc>
          <w:tcPr>
            <w:tcW w:w="908" w:type="dxa"/>
            <w:vMerge w:val="continue"/>
            <w:tcMar>
              <w:left w:w="57" w:type="dxa"/>
              <w:right w:w="57" w:type="dxa"/>
            </w:tcMar>
            <w:vAlign w:val="center"/>
          </w:tcPr>
          <w:p w14:paraId="5320BCF9">
            <w:pPr>
              <w:adjustRightInd w:val="0"/>
              <w:snapToGrid w:val="0"/>
              <w:spacing w:line="360" w:lineRule="exact"/>
              <w:jc w:val="center"/>
              <w:rPr>
                <w:rFonts w:ascii="宋体" w:hAnsi="宋体" w:eastAsia="宋体" w:cs="Times New Roman"/>
                <w:color w:val="auto"/>
              </w:rPr>
            </w:pPr>
          </w:p>
        </w:tc>
        <w:tc>
          <w:tcPr>
            <w:tcW w:w="1018" w:type="dxa"/>
            <w:tcBorders>
              <w:top w:val="single" w:color="auto" w:sz="4" w:space="0"/>
              <w:bottom w:val="single" w:color="auto" w:sz="4" w:space="0"/>
              <w:right w:val="single" w:color="auto" w:sz="4" w:space="0"/>
            </w:tcBorders>
            <w:tcMar>
              <w:left w:w="57" w:type="dxa"/>
              <w:right w:w="57" w:type="dxa"/>
            </w:tcMar>
            <w:vAlign w:val="center"/>
          </w:tcPr>
          <w:p w14:paraId="29FE706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NH</w:t>
            </w:r>
            <w:r>
              <w:rPr>
                <w:rFonts w:ascii="宋体" w:hAnsi="宋体" w:eastAsia="宋体" w:cs="Times New Roman"/>
                <w:color w:val="auto"/>
                <w:vertAlign w:val="subscript"/>
              </w:rPr>
              <w:t>3</w:t>
            </w:r>
            <w:r>
              <w:rPr>
                <w:rFonts w:ascii="宋体" w:hAnsi="宋体" w:eastAsia="宋体" w:cs="Times New Roman"/>
                <w:color w:val="auto"/>
              </w:rPr>
              <w:t>-N</w:t>
            </w:r>
          </w:p>
        </w:tc>
        <w:tc>
          <w:tcPr>
            <w:tcW w:w="1037" w:type="dxa"/>
            <w:tcBorders>
              <w:top w:val="single" w:color="auto" w:sz="4" w:space="0"/>
              <w:left w:val="single" w:color="auto" w:sz="4" w:space="0"/>
              <w:bottom w:val="single" w:color="auto" w:sz="4" w:space="0"/>
            </w:tcBorders>
            <w:vAlign w:val="center"/>
          </w:tcPr>
          <w:p w14:paraId="2129FD8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30mg/L</w:t>
            </w:r>
          </w:p>
        </w:tc>
        <w:tc>
          <w:tcPr>
            <w:tcW w:w="4701" w:type="dxa"/>
            <w:vMerge w:val="continue"/>
            <w:vAlign w:val="center"/>
          </w:tcPr>
          <w:p w14:paraId="62EEDD2E">
            <w:pPr>
              <w:adjustRightInd w:val="0"/>
              <w:snapToGrid w:val="0"/>
              <w:spacing w:line="360" w:lineRule="exact"/>
              <w:jc w:val="center"/>
              <w:rPr>
                <w:rFonts w:ascii="宋体" w:hAnsi="宋体" w:eastAsia="宋体" w:cs="Times New Roman"/>
                <w:color w:val="auto"/>
              </w:rPr>
            </w:pPr>
          </w:p>
        </w:tc>
      </w:tr>
      <w:tr w14:paraId="12064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vMerge w:val="continue"/>
            <w:tcMar>
              <w:left w:w="57" w:type="dxa"/>
              <w:right w:w="57" w:type="dxa"/>
            </w:tcMar>
            <w:vAlign w:val="center"/>
          </w:tcPr>
          <w:p w14:paraId="4E890098">
            <w:pPr>
              <w:adjustRightInd w:val="0"/>
              <w:snapToGrid w:val="0"/>
              <w:spacing w:line="360" w:lineRule="exact"/>
              <w:jc w:val="center"/>
              <w:rPr>
                <w:rFonts w:ascii="宋体" w:hAnsi="宋体" w:eastAsia="宋体" w:cs="Times New Roman"/>
                <w:color w:val="auto"/>
              </w:rPr>
            </w:pPr>
          </w:p>
        </w:tc>
        <w:tc>
          <w:tcPr>
            <w:tcW w:w="981" w:type="dxa"/>
            <w:vMerge w:val="continue"/>
            <w:tcMar>
              <w:left w:w="57" w:type="dxa"/>
              <w:right w:w="57" w:type="dxa"/>
            </w:tcMar>
            <w:vAlign w:val="center"/>
          </w:tcPr>
          <w:p w14:paraId="78E8A3C1">
            <w:pPr>
              <w:adjustRightInd w:val="0"/>
              <w:snapToGrid w:val="0"/>
              <w:spacing w:line="360" w:lineRule="exact"/>
              <w:jc w:val="center"/>
              <w:rPr>
                <w:rFonts w:ascii="宋体" w:hAnsi="宋体" w:eastAsia="宋体" w:cs="Times New Roman"/>
                <w:color w:val="auto"/>
              </w:rPr>
            </w:pPr>
          </w:p>
        </w:tc>
        <w:tc>
          <w:tcPr>
            <w:tcW w:w="908" w:type="dxa"/>
            <w:vMerge w:val="continue"/>
            <w:tcMar>
              <w:left w:w="57" w:type="dxa"/>
              <w:right w:w="57" w:type="dxa"/>
            </w:tcMar>
            <w:vAlign w:val="center"/>
          </w:tcPr>
          <w:p w14:paraId="0FDF14EF">
            <w:pPr>
              <w:adjustRightInd w:val="0"/>
              <w:snapToGrid w:val="0"/>
              <w:spacing w:line="360" w:lineRule="exact"/>
              <w:jc w:val="center"/>
              <w:rPr>
                <w:rFonts w:ascii="宋体" w:hAnsi="宋体" w:eastAsia="宋体" w:cs="Times New Roman"/>
                <w:color w:val="auto"/>
              </w:rPr>
            </w:pPr>
          </w:p>
        </w:tc>
        <w:tc>
          <w:tcPr>
            <w:tcW w:w="1018" w:type="dxa"/>
            <w:tcBorders>
              <w:top w:val="single" w:color="auto" w:sz="4" w:space="0"/>
              <w:bottom w:val="single" w:color="auto" w:sz="4" w:space="0"/>
              <w:right w:val="single" w:color="auto" w:sz="4" w:space="0"/>
            </w:tcBorders>
            <w:tcMar>
              <w:left w:w="57" w:type="dxa"/>
              <w:right w:w="57" w:type="dxa"/>
            </w:tcMar>
            <w:vAlign w:val="center"/>
          </w:tcPr>
          <w:p w14:paraId="7C32C50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BOD</w:t>
            </w:r>
            <w:r>
              <w:rPr>
                <w:rFonts w:ascii="宋体" w:hAnsi="宋体" w:eastAsia="宋体" w:cs="Times New Roman"/>
                <w:color w:val="auto"/>
                <w:vertAlign w:val="subscript"/>
              </w:rPr>
              <w:t>5</w:t>
            </w:r>
          </w:p>
        </w:tc>
        <w:tc>
          <w:tcPr>
            <w:tcW w:w="1037" w:type="dxa"/>
            <w:tcBorders>
              <w:top w:val="single" w:color="auto" w:sz="4" w:space="0"/>
              <w:left w:val="single" w:color="auto" w:sz="4" w:space="0"/>
              <w:bottom w:val="single" w:color="auto" w:sz="4" w:space="0"/>
            </w:tcBorders>
            <w:vAlign w:val="center"/>
          </w:tcPr>
          <w:p w14:paraId="42BC895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200mg/L</w:t>
            </w:r>
          </w:p>
        </w:tc>
        <w:tc>
          <w:tcPr>
            <w:tcW w:w="4701" w:type="dxa"/>
            <w:vMerge w:val="continue"/>
            <w:vAlign w:val="center"/>
          </w:tcPr>
          <w:p w14:paraId="55ED774A">
            <w:pPr>
              <w:adjustRightInd w:val="0"/>
              <w:snapToGrid w:val="0"/>
              <w:spacing w:line="360" w:lineRule="exact"/>
              <w:jc w:val="center"/>
              <w:rPr>
                <w:rFonts w:ascii="宋体" w:hAnsi="宋体" w:eastAsia="宋体" w:cs="Times New Roman"/>
                <w:color w:val="auto"/>
              </w:rPr>
            </w:pPr>
          </w:p>
        </w:tc>
      </w:tr>
      <w:tr w14:paraId="6E370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vMerge w:val="continue"/>
            <w:tcMar>
              <w:left w:w="57" w:type="dxa"/>
              <w:right w:w="57" w:type="dxa"/>
            </w:tcMar>
            <w:vAlign w:val="center"/>
          </w:tcPr>
          <w:p w14:paraId="1568A01C">
            <w:pPr>
              <w:adjustRightInd w:val="0"/>
              <w:snapToGrid w:val="0"/>
              <w:spacing w:line="360" w:lineRule="exact"/>
              <w:jc w:val="center"/>
              <w:rPr>
                <w:rFonts w:ascii="宋体" w:hAnsi="宋体" w:eastAsia="宋体" w:cs="Times New Roman"/>
                <w:color w:val="auto"/>
              </w:rPr>
            </w:pPr>
          </w:p>
        </w:tc>
        <w:tc>
          <w:tcPr>
            <w:tcW w:w="981" w:type="dxa"/>
            <w:vMerge w:val="continue"/>
            <w:tcMar>
              <w:left w:w="57" w:type="dxa"/>
              <w:right w:w="57" w:type="dxa"/>
            </w:tcMar>
            <w:vAlign w:val="center"/>
          </w:tcPr>
          <w:p w14:paraId="69D310CF">
            <w:pPr>
              <w:adjustRightInd w:val="0"/>
              <w:snapToGrid w:val="0"/>
              <w:spacing w:line="360" w:lineRule="exact"/>
              <w:jc w:val="center"/>
              <w:rPr>
                <w:rFonts w:ascii="宋体" w:hAnsi="宋体" w:eastAsia="宋体" w:cs="Times New Roman"/>
                <w:color w:val="auto"/>
              </w:rPr>
            </w:pPr>
          </w:p>
        </w:tc>
        <w:tc>
          <w:tcPr>
            <w:tcW w:w="908" w:type="dxa"/>
            <w:vMerge w:val="continue"/>
            <w:tcMar>
              <w:left w:w="57" w:type="dxa"/>
              <w:right w:w="57" w:type="dxa"/>
            </w:tcMar>
            <w:vAlign w:val="center"/>
          </w:tcPr>
          <w:p w14:paraId="6138CFB5">
            <w:pPr>
              <w:adjustRightInd w:val="0"/>
              <w:snapToGrid w:val="0"/>
              <w:spacing w:line="360" w:lineRule="exact"/>
              <w:jc w:val="center"/>
              <w:rPr>
                <w:rFonts w:ascii="宋体" w:hAnsi="宋体" w:eastAsia="宋体" w:cs="Times New Roman"/>
                <w:color w:val="auto"/>
              </w:rPr>
            </w:pPr>
          </w:p>
        </w:tc>
        <w:tc>
          <w:tcPr>
            <w:tcW w:w="1018" w:type="dxa"/>
            <w:tcBorders>
              <w:top w:val="single" w:color="auto" w:sz="4" w:space="0"/>
              <w:bottom w:val="single" w:color="auto" w:sz="4" w:space="0"/>
              <w:right w:val="single" w:color="auto" w:sz="4" w:space="0"/>
            </w:tcBorders>
            <w:tcMar>
              <w:left w:w="57" w:type="dxa"/>
              <w:right w:w="57" w:type="dxa"/>
            </w:tcMar>
            <w:vAlign w:val="center"/>
          </w:tcPr>
          <w:p w14:paraId="5B852BE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 xml:space="preserve">SS </w:t>
            </w:r>
          </w:p>
        </w:tc>
        <w:tc>
          <w:tcPr>
            <w:tcW w:w="1037" w:type="dxa"/>
            <w:tcBorders>
              <w:top w:val="single" w:color="auto" w:sz="4" w:space="0"/>
              <w:left w:val="single" w:color="auto" w:sz="4" w:space="0"/>
              <w:bottom w:val="single" w:color="auto" w:sz="4" w:space="0"/>
            </w:tcBorders>
            <w:vAlign w:val="center"/>
          </w:tcPr>
          <w:p w14:paraId="1EF2B60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80mg/L</w:t>
            </w:r>
          </w:p>
        </w:tc>
        <w:tc>
          <w:tcPr>
            <w:tcW w:w="4701" w:type="dxa"/>
            <w:vMerge w:val="continue"/>
            <w:vAlign w:val="center"/>
          </w:tcPr>
          <w:p w14:paraId="603F0F33">
            <w:pPr>
              <w:adjustRightInd w:val="0"/>
              <w:snapToGrid w:val="0"/>
              <w:spacing w:line="360" w:lineRule="exact"/>
              <w:jc w:val="center"/>
              <w:rPr>
                <w:rFonts w:ascii="宋体" w:hAnsi="宋体" w:eastAsia="宋体" w:cs="Times New Roman"/>
                <w:color w:val="auto"/>
              </w:rPr>
            </w:pPr>
          </w:p>
        </w:tc>
      </w:tr>
      <w:tr w14:paraId="21D54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2" w:type="dxa"/>
            <w:vMerge w:val="continue"/>
            <w:tcMar>
              <w:left w:w="57" w:type="dxa"/>
              <w:right w:w="57" w:type="dxa"/>
            </w:tcMar>
            <w:vAlign w:val="center"/>
          </w:tcPr>
          <w:p w14:paraId="50574C78">
            <w:pPr>
              <w:adjustRightInd w:val="0"/>
              <w:snapToGrid w:val="0"/>
              <w:spacing w:line="360" w:lineRule="exact"/>
              <w:jc w:val="center"/>
              <w:rPr>
                <w:rFonts w:ascii="宋体" w:hAnsi="宋体" w:eastAsia="宋体" w:cs="Times New Roman"/>
                <w:color w:val="auto"/>
              </w:rPr>
            </w:pPr>
          </w:p>
        </w:tc>
        <w:tc>
          <w:tcPr>
            <w:tcW w:w="981" w:type="dxa"/>
            <w:vMerge w:val="continue"/>
            <w:tcMar>
              <w:left w:w="57" w:type="dxa"/>
              <w:right w:w="57" w:type="dxa"/>
            </w:tcMar>
            <w:vAlign w:val="center"/>
          </w:tcPr>
          <w:p w14:paraId="401D83B7">
            <w:pPr>
              <w:adjustRightInd w:val="0"/>
              <w:snapToGrid w:val="0"/>
              <w:spacing w:line="360" w:lineRule="exact"/>
              <w:jc w:val="center"/>
              <w:rPr>
                <w:rFonts w:ascii="宋体" w:hAnsi="宋体" w:eastAsia="宋体" w:cs="Times New Roman"/>
                <w:color w:val="auto"/>
              </w:rPr>
            </w:pPr>
          </w:p>
        </w:tc>
        <w:tc>
          <w:tcPr>
            <w:tcW w:w="908" w:type="dxa"/>
            <w:vMerge w:val="continue"/>
            <w:tcMar>
              <w:left w:w="57" w:type="dxa"/>
              <w:right w:w="57" w:type="dxa"/>
            </w:tcMar>
            <w:vAlign w:val="center"/>
          </w:tcPr>
          <w:p w14:paraId="4752E171">
            <w:pPr>
              <w:adjustRightInd w:val="0"/>
              <w:snapToGrid w:val="0"/>
              <w:spacing w:line="360" w:lineRule="exact"/>
              <w:jc w:val="center"/>
              <w:rPr>
                <w:rFonts w:ascii="宋体" w:hAnsi="宋体" w:eastAsia="宋体" w:cs="Times New Roman"/>
                <w:color w:val="auto"/>
              </w:rPr>
            </w:pPr>
          </w:p>
        </w:tc>
        <w:tc>
          <w:tcPr>
            <w:tcW w:w="1018" w:type="dxa"/>
            <w:tcBorders>
              <w:top w:val="single" w:color="auto" w:sz="4" w:space="0"/>
              <w:right w:val="single" w:color="auto" w:sz="4" w:space="0"/>
            </w:tcBorders>
            <w:tcMar>
              <w:left w:w="57" w:type="dxa"/>
              <w:right w:w="57" w:type="dxa"/>
            </w:tcMar>
            <w:vAlign w:val="center"/>
          </w:tcPr>
          <w:p w14:paraId="519F7D5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动植物油</w:t>
            </w:r>
          </w:p>
        </w:tc>
        <w:tc>
          <w:tcPr>
            <w:tcW w:w="1037" w:type="dxa"/>
            <w:tcBorders>
              <w:top w:val="single" w:color="auto" w:sz="4" w:space="0"/>
              <w:left w:val="single" w:color="auto" w:sz="4" w:space="0"/>
            </w:tcBorders>
            <w:vAlign w:val="center"/>
          </w:tcPr>
          <w:p w14:paraId="6E989C3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10mg/L</w:t>
            </w:r>
          </w:p>
        </w:tc>
        <w:tc>
          <w:tcPr>
            <w:tcW w:w="4701" w:type="dxa"/>
            <w:vMerge w:val="continue"/>
            <w:vAlign w:val="center"/>
          </w:tcPr>
          <w:p w14:paraId="6FAED95A">
            <w:pPr>
              <w:adjustRightInd w:val="0"/>
              <w:snapToGrid w:val="0"/>
              <w:spacing w:line="360" w:lineRule="exact"/>
              <w:jc w:val="center"/>
              <w:rPr>
                <w:rFonts w:ascii="宋体" w:hAnsi="宋体" w:eastAsia="宋体" w:cs="Times New Roman"/>
                <w:color w:val="auto"/>
              </w:rPr>
            </w:pPr>
          </w:p>
        </w:tc>
      </w:tr>
    </w:tbl>
    <w:p w14:paraId="0D5251B9">
      <w:pPr>
        <w:pStyle w:val="276"/>
        <w:widowControl w:val="0"/>
        <w:ind w:firstLine="480"/>
        <w:jc w:val="both"/>
        <w:rPr>
          <w:color w:val="auto"/>
          <w:lang w:val="zh-CN"/>
        </w:rPr>
      </w:pPr>
      <w:r>
        <w:rPr>
          <w:color w:val="auto"/>
          <w:lang w:val="zh-CN"/>
        </w:rPr>
        <w:t>（3）噪声污染源项分析</w:t>
      </w:r>
    </w:p>
    <w:p w14:paraId="2A15D783">
      <w:pPr>
        <w:pStyle w:val="276"/>
        <w:widowControl w:val="0"/>
        <w:ind w:firstLine="480"/>
        <w:jc w:val="both"/>
        <w:rPr>
          <w:color w:val="auto"/>
          <w:kern w:val="2"/>
        </w:rPr>
      </w:pPr>
      <w:r>
        <w:rPr>
          <w:color w:val="auto"/>
          <w:kern w:val="2"/>
        </w:rPr>
        <w:t>施工期产生的噪声主要</w:t>
      </w:r>
      <w:r>
        <w:rPr>
          <w:color w:val="auto"/>
        </w:rPr>
        <w:t>施工</w:t>
      </w:r>
      <w:r>
        <w:rPr>
          <w:color w:val="auto"/>
          <w:kern w:val="2"/>
        </w:rPr>
        <w:t>机械和车辆运营噪声，参考《环境噪声与振动控制工程技术导则》（HJ 2034-2013）附录A中的噪声源强数据，本项目噪声源具体排放情况见表3.12-3。</w:t>
      </w:r>
    </w:p>
    <w:p w14:paraId="22F98400">
      <w:pPr>
        <w:pStyle w:val="276"/>
        <w:widowControl w:val="0"/>
        <w:spacing w:line="440" w:lineRule="exact"/>
        <w:ind w:firstLine="0" w:firstLineChars="0"/>
        <w:jc w:val="center"/>
        <w:rPr>
          <w:color w:val="auto"/>
          <w:kern w:val="2"/>
          <w:sz w:val="21"/>
          <w:szCs w:val="20"/>
        </w:rPr>
      </w:pPr>
      <w:r>
        <w:rPr>
          <w:color w:val="auto"/>
          <w:kern w:val="2"/>
          <w:sz w:val="21"/>
          <w:szCs w:val="20"/>
        </w:rPr>
        <w:t>表3.12-3 本项目施工期噪声源统计表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574"/>
        <w:gridCol w:w="3155"/>
        <w:gridCol w:w="2788"/>
      </w:tblGrid>
      <w:tr w14:paraId="236A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restart"/>
            <w:shd w:val="clear" w:color="auto" w:fill="auto"/>
            <w:vAlign w:val="center"/>
          </w:tcPr>
          <w:p w14:paraId="5949AB72">
            <w:pPr>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1386" w:type="pct"/>
            <w:vMerge w:val="restart"/>
            <w:shd w:val="clear" w:color="auto" w:fill="auto"/>
            <w:vAlign w:val="center"/>
          </w:tcPr>
          <w:p w14:paraId="7A431E22">
            <w:pPr>
              <w:jc w:val="center"/>
              <w:rPr>
                <w:rFonts w:ascii="宋体" w:hAnsi="宋体" w:eastAsia="宋体" w:cs="Times New Roman"/>
                <w:snapToGrid w:val="0"/>
                <w:color w:val="auto"/>
              </w:rPr>
            </w:pPr>
            <w:r>
              <w:rPr>
                <w:rFonts w:ascii="宋体" w:hAnsi="宋体" w:eastAsia="宋体" w:cs="Times New Roman"/>
                <w:snapToGrid w:val="0"/>
                <w:color w:val="auto"/>
              </w:rPr>
              <w:t>声源名称</w:t>
            </w:r>
          </w:p>
        </w:tc>
        <w:tc>
          <w:tcPr>
            <w:tcW w:w="1699" w:type="pct"/>
            <w:shd w:val="clear" w:color="auto" w:fill="auto"/>
            <w:vAlign w:val="center"/>
          </w:tcPr>
          <w:p w14:paraId="7BE809DD">
            <w:pPr>
              <w:jc w:val="center"/>
              <w:rPr>
                <w:rFonts w:ascii="宋体" w:hAnsi="宋体" w:eastAsia="宋体" w:cs="Times New Roman"/>
                <w:snapToGrid w:val="0"/>
                <w:color w:val="auto"/>
              </w:rPr>
            </w:pPr>
            <w:r>
              <w:rPr>
                <w:rFonts w:ascii="宋体" w:hAnsi="宋体" w:eastAsia="宋体" w:cs="Times New Roman"/>
                <w:snapToGrid w:val="0"/>
                <w:color w:val="auto"/>
              </w:rPr>
              <w:t>声源源强dB(A)</w:t>
            </w:r>
          </w:p>
        </w:tc>
        <w:tc>
          <w:tcPr>
            <w:tcW w:w="1501" w:type="pct"/>
            <w:vMerge w:val="restart"/>
            <w:shd w:val="clear" w:color="auto" w:fill="auto"/>
            <w:vAlign w:val="center"/>
          </w:tcPr>
          <w:p w14:paraId="0FCF6BE2">
            <w:pPr>
              <w:jc w:val="center"/>
              <w:rPr>
                <w:rFonts w:ascii="宋体" w:hAnsi="宋体" w:eastAsia="宋体" w:cs="Times New Roman"/>
                <w:snapToGrid w:val="0"/>
                <w:color w:val="auto"/>
              </w:rPr>
            </w:pPr>
            <w:r>
              <w:rPr>
                <w:rFonts w:ascii="宋体" w:hAnsi="宋体" w:eastAsia="宋体" w:cs="Times New Roman"/>
                <w:snapToGrid w:val="0"/>
                <w:color w:val="auto"/>
              </w:rPr>
              <w:t>声源性质</w:t>
            </w:r>
          </w:p>
        </w:tc>
      </w:tr>
      <w:tr w14:paraId="2554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shd w:val="clear" w:color="auto" w:fill="auto"/>
            <w:vAlign w:val="center"/>
          </w:tcPr>
          <w:p w14:paraId="463126A5">
            <w:pPr>
              <w:jc w:val="center"/>
              <w:rPr>
                <w:rFonts w:ascii="宋体" w:hAnsi="宋体" w:eastAsia="宋体" w:cs="Times New Roman"/>
                <w:snapToGrid w:val="0"/>
                <w:color w:val="auto"/>
              </w:rPr>
            </w:pPr>
          </w:p>
        </w:tc>
        <w:tc>
          <w:tcPr>
            <w:tcW w:w="1386" w:type="pct"/>
            <w:vMerge w:val="continue"/>
            <w:shd w:val="clear" w:color="auto" w:fill="auto"/>
            <w:vAlign w:val="center"/>
          </w:tcPr>
          <w:p w14:paraId="66A455A4">
            <w:pPr>
              <w:jc w:val="center"/>
              <w:rPr>
                <w:rFonts w:ascii="宋体" w:hAnsi="宋体" w:eastAsia="宋体" w:cs="Times New Roman"/>
                <w:snapToGrid w:val="0"/>
                <w:color w:val="auto"/>
              </w:rPr>
            </w:pPr>
          </w:p>
        </w:tc>
        <w:tc>
          <w:tcPr>
            <w:tcW w:w="1699" w:type="pct"/>
            <w:shd w:val="clear" w:color="auto" w:fill="auto"/>
            <w:vAlign w:val="center"/>
          </w:tcPr>
          <w:p w14:paraId="49765C47">
            <w:pPr>
              <w:jc w:val="center"/>
              <w:rPr>
                <w:rFonts w:ascii="宋体" w:hAnsi="宋体" w:eastAsia="宋体" w:cs="Times New Roman"/>
                <w:snapToGrid w:val="0"/>
                <w:color w:val="auto"/>
              </w:rPr>
            </w:pPr>
            <w:r>
              <w:rPr>
                <w:rFonts w:ascii="宋体" w:hAnsi="宋体" w:eastAsia="宋体" w:cs="Times New Roman"/>
                <w:snapToGrid w:val="0"/>
                <w:color w:val="auto"/>
              </w:rPr>
              <w:t>声压级/距声源距离5m</w:t>
            </w:r>
          </w:p>
        </w:tc>
        <w:tc>
          <w:tcPr>
            <w:tcW w:w="1501" w:type="pct"/>
            <w:vMerge w:val="continue"/>
            <w:shd w:val="clear" w:color="auto" w:fill="auto"/>
            <w:vAlign w:val="center"/>
          </w:tcPr>
          <w:p w14:paraId="5CBEF89E">
            <w:pPr>
              <w:jc w:val="center"/>
              <w:rPr>
                <w:rFonts w:ascii="宋体" w:hAnsi="宋体" w:eastAsia="宋体" w:cs="Times New Roman"/>
                <w:snapToGrid w:val="0"/>
                <w:color w:val="auto"/>
              </w:rPr>
            </w:pPr>
          </w:p>
        </w:tc>
      </w:tr>
      <w:tr w14:paraId="79AB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3B175134">
            <w:pPr>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1386" w:type="pct"/>
            <w:shd w:val="clear" w:color="auto" w:fill="auto"/>
            <w:vAlign w:val="center"/>
          </w:tcPr>
          <w:p w14:paraId="08930452">
            <w:pPr>
              <w:jc w:val="center"/>
              <w:rPr>
                <w:rFonts w:ascii="宋体" w:hAnsi="宋体" w:eastAsia="宋体" w:cs="Times New Roman"/>
                <w:snapToGrid w:val="0"/>
                <w:color w:val="auto"/>
              </w:rPr>
            </w:pPr>
            <w:r>
              <w:rPr>
                <w:rFonts w:ascii="宋体" w:hAnsi="宋体" w:eastAsia="宋体" w:cs="Times New Roman"/>
                <w:snapToGrid w:val="0"/>
                <w:color w:val="auto"/>
              </w:rPr>
              <w:t>钻机</w:t>
            </w:r>
          </w:p>
        </w:tc>
        <w:tc>
          <w:tcPr>
            <w:tcW w:w="1699" w:type="pct"/>
            <w:shd w:val="clear" w:color="auto" w:fill="auto"/>
            <w:vAlign w:val="center"/>
          </w:tcPr>
          <w:p w14:paraId="0B197BC2">
            <w:pPr>
              <w:jc w:val="center"/>
              <w:rPr>
                <w:rFonts w:ascii="宋体" w:hAnsi="宋体" w:eastAsia="宋体" w:cs="Times New Roman"/>
                <w:snapToGrid w:val="0"/>
                <w:color w:val="auto"/>
              </w:rPr>
            </w:pPr>
            <w:r>
              <w:rPr>
                <w:rFonts w:hint="eastAsia" w:ascii="宋体" w:hAnsi="宋体" w:eastAsia="宋体" w:cs="Times New Roman"/>
                <w:snapToGrid w:val="0"/>
                <w:color w:val="auto"/>
              </w:rPr>
              <w:t>90</w:t>
            </w:r>
            <w:r>
              <w:rPr>
                <w:rFonts w:ascii="宋体" w:hAnsi="宋体" w:eastAsia="宋体" w:cs="Times New Roman"/>
                <w:snapToGrid w:val="0"/>
                <w:color w:val="auto"/>
              </w:rPr>
              <w:t>-</w:t>
            </w:r>
            <w:r>
              <w:rPr>
                <w:rFonts w:hint="eastAsia" w:ascii="宋体" w:hAnsi="宋体" w:eastAsia="宋体" w:cs="Times New Roman"/>
                <w:snapToGrid w:val="0"/>
                <w:color w:val="auto"/>
              </w:rPr>
              <w:t>100</w:t>
            </w:r>
          </w:p>
        </w:tc>
        <w:tc>
          <w:tcPr>
            <w:tcW w:w="1501" w:type="pct"/>
            <w:shd w:val="clear" w:color="auto" w:fill="auto"/>
            <w:vAlign w:val="center"/>
          </w:tcPr>
          <w:p w14:paraId="6BAD7D44">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r w14:paraId="397A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46F16E64">
            <w:pPr>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1386" w:type="pct"/>
            <w:shd w:val="clear" w:color="auto" w:fill="auto"/>
            <w:vAlign w:val="center"/>
          </w:tcPr>
          <w:p w14:paraId="3724CAD2">
            <w:pPr>
              <w:jc w:val="center"/>
              <w:rPr>
                <w:rFonts w:ascii="宋体" w:hAnsi="宋体" w:eastAsia="宋体" w:cs="Times New Roman"/>
                <w:snapToGrid w:val="0"/>
                <w:color w:val="auto"/>
              </w:rPr>
            </w:pPr>
            <w:r>
              <w:rPr>
                <w:rFonts w:ascii="宋体" w:hAnsi="宋体" w:eastAsia="宋体" w:cs="Times New Roman"/>
                <w:snapToGrid w:val="0"/>
                <w:color w:val="auto"/>
              </w:rPr>
              <w:t>机泵</w:t>
            </w:r>
          </w:p>
        </w:tc>
        <w:tc>
          <w:tcPr>
            <w:tcW w:w="1699" w:type="pct"/>
            <w:shd w:val="clear" w:color="auto" w:fill="auto"/>
            <w:vAlign w:val="center"/>
          </w:tcPr>
          <w:p w14:paraId="1985A1A0">
            <w:pPr>
              <w:jc w:val="center"/>
              <w:rPr>
                <w:rFonts w:ascii="宋体" w:hAnsi="宋体" w:eastAsia="宋体" w:cs="Times New Roman"/>
                <w:snapToGrid w:val="0"/>
                <w:color w:val="auto"/>
              </w:rPr>
            </w:pPr>
            <w:r>
              <w:rPr>
                <w:rFonts w:hint="eastAsia" w:ascii="宋体" w:hAnsi="宋体" w:eastAsia="宋体" w:cs="Times New Roman"/>
                <w:snapToGrid w:val="0"/>
                <w:color w:val="auto"/>
              </w:rPr>
              <w:t>80</w:t>
            </w:r>
            <w:r>
              <w:rPr>
                <w:rFonts w:ascii="宋体" w:hAnsi="宋体" w:eastAsia="宋体" w:cs="Times New Roman"/>
                <w:snapToGrid w:val="0"/>
                <w:color w:val="auto"/>
              </w:rPr>
              <w:t>-</w:t>
            </w:r>
            <w:r>
              <w:rPr>
                <w:rFonts w:hint="eastAsia" w:ascii="宋体" w:hAnsi="宋体" w:eastAsia="宋体" w:cs="Times New Roman"/>
                <w:snapToGrid w:val="0"/>
                <w:color w:val="auto"/>
              </w:rPr>
              <w:t>90</w:t>
            </w:r>
          </w:p>
        </w:tc>
        <w:tc>
          <w:tcPr>
            <w:tcW w:w="1501" w:type="pct"/>
            <w:shd w:val="clear" w:color="auto" w:fill="auto"/>
            <w:vAlign w:val="center"/>
          </w:tcPr>
          <w:p w14:paraId="3696279B">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r w14:paraId="21DE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1F15262A">
            <w:pPr>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1386" w:type="pct"/>
            <w:shd w:val="clear" w:color="auto" w:fill="auto"/>
            <w:vAlign w:val="center"/>
          </w:tcPr>
          <w:p w14:paraId="0965D880">
            <w:pPr>
              <w:jc w:val="center"/>
              <w:rPr>
                <w:rFonts w:ascii="宋体" w:hAnsi="宋体" w:eastAsia="宋体" w:cs="Times New Roman"/>
                <w:snapToGrid w:val="0"/>
                <w:color w:val="auto"/>
              </w:rPr>
            </w:pPr>
            <w:r>
              <w:rPr>
                <w:rFonts w:ascii="宋体" w:hAnsi="宋体" w:eastAsia="宋体" w:cs="Times New Roman"/>
                <w:snapToGrid w:val="0"/>
                <w:color w:val="auto"/>
              </w:rPr>
              <w:t>柴油机</w:t>
            </w:r>
          </w:p>
        </w:tc>
        <w:tc>
          <w:tcPr>
            <w:tcW w:w="1699" w:type="pct"/>
            <w:shd w:val="clear" w:color="auto" w:fill="auto"/>
            <w:vAlign w:val="center"/>
          </w:tcPr>
          <w:p w14:paraId="232F65AB">
            <w:pPr>
              <w:jc w:val="center"/>
              <w:rPr>
                <w:rFonts w:ascii="宋体" w:hAnsi="宋体" w:eastAsia="宋体" w:cs="Times New Roman"/>
                <w:snapToGrid w:val="0"/>
                <w:color w:val="auto"/>
              </w:rPr>
            </w:pPr>
            <w:r>
              <w:rPr>
                <w:rFonts w:ascii="宋体" w:hAnsi="宋体" w:eastAsia="宋体" w:cs="Times New Roman"/>
                <w:snapToGrid w:val="0"/>
                <w:color w:val="auto"/>
              </w:rPr>
              <w:t>9</w:t>
            </w:r>
            <w:r>
              <w:rPr>
                <w:rFonts w:hint="eastAsia" w:ascii="宋体" w:hAnsi="宋体" w:eastAsia="宋体" w:cs="Times New Roman"/>
                <w:snapToGrid w:val="0"/>
                <w:color w:val="auto"/>
              </w:rPr>
              <w:t>5</w:t>
            </w:r>
            <w:r>
              <w:rPr>
                <w:rFonts w:ascii="宋体" w:hAnsi="宋体" w:eastAsia="宋体" w:cs="Times New Roman"/>
                <w:snapToGrid w:val="0"/>
                <w:color w:val="auto"/>
              </w:rPr>
              <w:t>-</w:t>
            </w:r>
            <w:r>
              <w:rPr>
                <w:rFonts w:hint="eastAsia" w:ascii="宋体" w:hAnsi="宋体" w:eastAsia="宋体" w:cs="Times New Roman"/>
                <w:snapToGrid w:val="0"/>
                <w:color w:val="auto"/>
              </w:rPr>
              <w:t>100</w:t>
            </w:r>
          </w:p>
        </w:tc>
        <w:tc>
          <w:tcPr>
            <w:tcW w:w="1501" w:type="pct"/>
            <w:shd w:val="clear" w:color="auto" w:fill="auto"/>
            <w:vAlign w:val="center"/>
          </w:tcPr>
          <w:p w14:paraId="6C5C0951">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r w14:paraId="24C4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67F42D30">
            <w:pPr>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1386" w:type="pct"/>
            <w:shd w:val="clear" w:color="auto" w:fill="auto"/>
            <w:vAlign w:val="center"/>
          </w:tcPr>
          <w:p w14:paraId="1D76773C">
            <w:pPr>
              <w:jc w:val="center"/>
              <w:rPr>
                <w:rFonts w:ascii="宋体" w:hAnsi="宋体" w:eastAsia="宋体" w:cs="Times New Roman"/>
                <w:snapToGrid w:val="0"/>
                <w:color w:val="auto"/>
              </w:rPr>
            </w:pPr>
            <w:r>
              <w:rPr>
                <w:rFonts w:ascii="宋体" w:hAnsi="宋体" w:eastAsia="宋体" w:cs="Times New Roman"/>
                <w:snapToGrid w:val="0"/>
                <w:color w:val="auto"/>
              </w:rPr>
              <w:t>发电机</w:t>
            </w:r>
          </w:p>
        </w:tc>
        <w:tc>
          <w:tcPr>
            <w:tcW w:w="1699" w:type="pct"/>
            <w:shd w:val="clear" w:color="auto" w:fill="auto"/>
            <w:vAlign w:val="center"/>
          </w:tcPr>
          <w:p w14:paraId="64C908BE">
            <w:pPr>
              <w:jc w:val="center"/>
              <w:rPr>
                <w:rFonts w:ascii="宋体" w:hAnsi="宋体" w:eastAsia="宋体" w:cs="Times New Roman"/>
                <w:snapToGrid w:val="0"/>
                <w:color w:val="auto"/>
              </w:rPr>
            </w:pPr>
            <w:r>
              <w:rPr>
                <w:rFonts w:hint="eastAsia" w:ascii="宋体" w:hAnsi="宋体" w:eastAsia="宋体" w:cs="Times New Roman"/>
                <w:snapToGrid w:val="0"/>
                <w:color w:val="auto"/>
              </w:rPr>
              <w:t>90</w:t>
            </w:r>
            <w:r>
              <w:rPr>
                <w:rFonts w:ascii="宋体" w:hAnsi="宋体" w:eastAsia="宋体" w:cs="Times New Roman"/>
                <w:snapToGrid w:val="0"/>
                <w:color w:val="auto"/>
              </w:rPr>
              <w:t>-9</w:t>
            </w:r>
            <w:r>
              <w:rPr>
                <w:rFonts w:hint="eastAsia" w:ascii="宋体" w:hAnsi="宋体" w:eastAsia="宋体" w:cs="Times New Roman"/>
                <w:snapToGrid w:val="0"/>
                <w:color w:val="auto"/>
              </w:rPr>
              <w:t>5</w:t>
            </w:r>
          </w:p>
        </w:tc>
        <w:tc>
          <w:tcPr>
            <w:tcW w:w="1501" w:type="pct"/>
            <w:shd w:val="clear" w:color="auto" w:fill="auto"/>
            <w:vAlign w:val="center"/>
          </w:tcPr>
          <w:p w14:paraId="0F6159F6">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r w14:paraId="6399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31A99605">
            <w:pPr>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1386" w:type="pct"/>
            <w:shd w:val="clear" w:color="auto" w:fill="auto"/>
            <w:vAlign w:val="center"/>
          </w:tcPr>
          <w:p w14:paraId="51ED0E10">
            <w:pPr>
              <w:jc w:val="center"/>
              <w:rPr>
                <w:rFonts w:ascii="宋体" w:hAnsi="宋体" w:eastAsia="宋体" w:cs="Times New Roman"/>
                <w:snapToGrid w:val="0"/>
                <w:color w:val="auto"/>
              </w:rPr>
            </w:pPr>
            <w:r>
              <w:rPr>
                <w:rFonts w:ascii="宋体" w:hAnsi="宋体" w:eastAsia="宋体" w:cs="Times New Roman"/>
                <w:snapToGrid w:val="0"/>
                <w:color w:val="auto"/>
              </w:rPr>
              <w:t>振动筛</w:t>
            </w:r>
          </w:p>
        </w:tc>
        <w:tc>
          <w:tcPr>
            <w:tcW w:w="1699" w:type="pct"/>
            <w:shd w:val="clear" w:color="auto" w:fill="auto"/>
            <w:vAlign w:val="center"/>
          </w:tcPr>
          <w:p w14:paraId="0E416A43">
            <w:pPr>
              <w:jc w:val="center"/>
              <w:rPr>
                <w:rFonts w:ascii="宋体" w:hAnsi="宋体" w:eastAsia="宋体" w:cs="Times New Roman"/>
                <w:snapToGrid w:val="0"/>
                <w:color w:val="auto"/>
              </w:rPr>
            </w:pPr>
            <w:r>
              <w:rPr>
                <w:rFonts w:hint="eastAsia" w:ascii="宋体" w:hAnsi="宋体" w:eastAsia="宋体" w:cs="Times New Roman"/>
                <w:snapToGrid w:val="0"/>
                <w:color w:val="auto"/>
              </w:rPr>
              <w:t>85-95</w:t>
            </w:r>
          </w:p>
        </w:tc>
        <w:tc>
          <w:tcPr>
            <w:tcW w:w="1501" w:type="pct"/>
            <w:shd w:val="clear" w:color="auto" w:fill="auto"/>
            <w:vAlign w:val="center"/>
          </w:tcPr>
          <w:p w14:paraId="7E9635C6">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r w14:paraId="6311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1FFD87A0">
            <w:pPr>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1386" w:type="pct"/>
            <w:shd w:val="clear" w:color="auto" w:fill="auto"/>
            <w:vAlign w:val="center"/>
          </w:tcPr>
          <w:p w14:paraId="5C48C783">
            <w:pPr>
              <w:jc w:val="center"/>
              <w:rPr>
                <w:rFonts w:ascii="宋体" w:hAnsi="宋体" w:eastAsia="宋体" w:cs="Times New Roman"/>
                <w:snapToGrid w:val="0"/>
                <w:color w:val="auto"/>
              </w:rPr>
            </w:pPr>
            <w:r>
              <w:rPr>
                <w:rFonts w:ascii="宋体" w:hAnsi="宋体" w:eastAsia="宋体" w:cs="Times New Roman"/>
                <w:snapToGrid w:val="0"/>
                <w:color w:val="auto"/>
              </w:rPr>
              <w:t>筛分装置</w:t>
            </w:r>
          </w:p>
        </w:tc>
        <w:tc>
          <w:tcPr>
            <w:tcW w:w="1699" w:type="pct"/>
            <w:shd w:val="clear" w:color="auto" w:fill="auto"/>
            <w:vAlign w:val="center"/>
          </w:tcPr>
          <w:p w14:paraId="6F1AC3E1">
            <w:pPr>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1501" w:type="pct"/>
            <w:shd w:val="clear" w:color="auto" w:fill="auto"/>
            <w:vAlign w:val="center"/>
          </w:tcPr>
          <w:p w14:paraId="70D98007">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r w14:paraId="1DEA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314064EE">
            <w:pPr>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1386" w:type="pct"/>
            <w:shd w:val="clear" w:color="auto" w:fill="auto"/>
            <w:vAlign w:val="center"/>
          </w:tcPr>
          <w:p w14:paraId="0E6CD5D5">
            <w:pPr>
              <w:jc w:val="center"/>
              <w:rPr>
                <w:rFonts w:ascii="宋体" w:hAnsi="宋体" w:eastAsia="宋体" w:cs="Times New Roman"/>
                <w:snapToGrid w:val="0"/>
                <w:color w:val="auto"/>
              </w:rPr>
            </w:pPr>
            <w:r>
              <w:rPr>
                <w:rFonts w:ascii="宋体" w:hAnsi="宋体" w:eastAsia="宋体" w:cs="Times New Roman"/>
                <w:snapToGrid w:val="0"/>
                <w:color w:val="auto"/>
              </w:rPr>
              <w:t>固液分离装置</w:t>
            </w:r>
          </w:p>
        </w:tc>
        <w:tc>
          <w:tcPr>
            <w:tcW w:w="1699" w:type="pct"/>
            <w:shd w:val="clear" w:color="auto" w:fill="auto"/>
            <w:vAlign w:val="center"/>
          </w:tcPr>
          <w:p w14:paraId="0053F7EB">
            <w:pPr>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1501" w:type="pct"/>
            <w:shd w:val="clear" w:color="auto" w:fill="auto"/>
            <w:vAlign w:val="center"/>
          </w:tcPr>
          <w:p w14:paraId="305A93F1">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r w14:paraId="316C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3F9C2BC5">
            <w:pPr>
              <w:jc w:val="center"/>
              <w:rPr>
                <w:rFonts w:ascii="宋体" w:hAnsi="宋体" w:eastAsia="宋体" w:cs="Times New Roman"/>
                <w:snapToGrid w:val="0"/>
                <w:color w:val="auto"/>
              </w:rPr>
            </w:pPr>
            <w:r>
              <w:rPr>
                <w:rFonts w:ascii="宋体" w:hAnsi="宋体" w:eastAsia="宋体" w:cs="Times New Roman"/>
                <w:snapToGrid w:val="0"/>
                <w:color w:val="auto"/>
              </w:rPr>
              <w:t>8</w:t>
            </w:r>
          </w:p>
        </w:tc>
        <w:tc>
          <w:tcPr>
            <w:tcW w:w="1386" w:type="pct"/>
            <w:shd w:val="clear" w:color="auto" w:fill="auto"/>
            <w:vAlign w:val="center"/>
          </w:tcPr>
          <w:p w14:paraId="6548078B">
            <w:pPr>
              <w:jc w:val="center"/>
              <w:rPr>
                <w:rFonts w:ascii="宋体" w:hAnsi="宋体" w:eastAsia="宋体" w:cs="Times New Roman"/>
                <w:snapToGrid w:val="0"/>
                <w:color w:val="auto"/>
              </w:rPr>
            </w:pPr>
            <w:r>
              <w:rPr>
                <w:rFonts w:ascii="宋体" w:hAnsi="宋体" w:eastAsia="宋体" w:cs="Times New Roman"/>
                <w:snapToGrid w:val="0"/>
                <w:color w:val="auto"/>
              </w:rPr>
              <w:t>药剂搅拌罐</w:t>
            </w:r>
          </w:p>
        </w:tc>
        <w:tc>
          <w:tcPr>
            <w:tcW w:w="1699" w:type="pct"/>
            <w:shd w:val="clear" w:color="auto" w:fill="auto"/>
            <w:vAlign w:val="center"/>
          </w:tcPr>
          <w:p w14:paraId="17565DAE">
            <w:pPr>
              <w:jc w:val="center"/>
              <w:rPr>
                <w:rFonts w:ascii="宋体" w:hAnsi="宋体" w:eastAsia="宋体" w:cs="Times New Roman"/>
                <w:snapToGrid w:val="0"/>
                <w:color w:val="auto"/>
              </w:rPr>
            </w:pPr>
            <w:r>
              <w:rPr>
                <w:rFonts w:ascii="宋体" w:hAnsi="宋体" w:eastAsia="宋体" w:cs="Times New Roman"/>
                <w:snapToGrid w:val="0"/>
                <w:color w:val="auto"/>
              </w:rPr>
              <w:t>70</w:t>
            </w:r>
          </w:p>
        </w:tc>
        <w:tc>
          <w:tcPr>
            <w:tcW w:w="1501" w:type="pct"/>
            <w:shd w:val="clear" w:color="auto" w:fill="auto"/>
            <w:vAlign w:val="center"/>
          </w:tcPr>
          <w:p w14:paraId="67548B30">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r w14:paraId="0567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311D7C9F">
            <w:pPr>
              <w:jc w:val="center"/>
              <w:rPr>
                <w:rFonts w:ascii="宋体" w:hAnsi="宋体" w:eastAsia="宋体" w:cs="Times New Roman"/>
                <w:snapToGrid w:val="0"/>
                <w:color w:val="auto"/>
              </w:rPr>
            </w:pPr>
            <w:r>
              <w:rPr>
                <w:rFonts w:ascii="宋体" w:hAnsi="宋体" w:eastAsia="宋体" w:cs="Times New Roman"/>
                <w:snapToGrid w:val="0"/>
                <w:color w:val="auto"/>
              </w:rPr>
              <w:t>9</w:t>
            </w:r>
          </w:p>
        </w:tc>
        <w:tc>
          <w:tcPr>
            <w:tcW w:w="1386" w:type="pct"/>
            <w:shd w:val="clear" w:color="auto" w:fill="auto"/>
            <w:vAlign w:val="center"/>
          </w:tcPr>
          <w:p w14:paraId="5342BDDF">
            <w:pPr>
              <w:jc w:val="center"/>
              <w:rPr>
                <w:rFonts w:ascii="宋体" w:hAnsi="宋体" w:eastAsia="宋体" w:cs="Times New Roman"/>
                <w:snapToGrid w:val="0"/>
                <w:color w:val="auto"/>
              </w:rPr>
            </w:pPr>
            <w:r>
              <w:rPr>
                <w:rFonts w:ascii="宋体" w:hAnsi="宋体" w:eastAsia="宋体" w:cs="Times New Roman"/>
                <w:snapToGrid w:val="0"/>
                <w:color w:val="auto"/>
              </w:rPr>
              <w:t>均质稳反应装置</w:t>
            </w:r>
          </w:p>
        </w:tc>
        <w:tc>
          <w:tcPr>
            <w:tcW w:w="1699" w:type="pct"/>
            <w:shd w:val="clear" w:color="auto" w:fill="auto"/>
            <w:vAlign w:val="center"/>
          </w:tcPr>
          <w:p w14:paraId="427AF33F">
            <w:pPr>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1501" w:type="pct"/>
            <w:shd w:val="clear" w:color="auto" w:fill="auto"/>
            <w:vAlign w:val="center"/>
          </w:tcPr>
          <w:p w14:paraId="01D28C8F">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r w14:paraId="2B94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5C8ABF75">
            <w:pPr>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1386" w:type="pct"/>
            <w:shd w:val="clear" w:color="auto" w:fill="auto"/>
            <w:vAlign w:val="center"/>
          </w:tcPr>
          <w:p w14:paraId="51DFDD3C">
            <w:pPr>
              <w:jc w:val="center"/>
              <w:rPr>
                <w:rFonts w:ascii="宋体" w:hAnsi="宋体" w:eastAsia="宋体" w:cs="Times New Roman"/>
                <w:snapToGrid w:val="0"/>
                <w:color w:val="auto"/>
              </w:rPr>
            </w:pPr>
            <w:r>
              <w:rPr>
                <w:rFonts w:ascii="宋体" w:hAnsi="宋体" w:eastAsia="宋体" w:cs="Times New Roman"/>
                <w:snapToGrid w:val="0"/>
                <w:color w:val="auto"/>
              </w:rPr>
              <w:t>压裂车</w:t>
            </w:r>
          </w:p>
        </w:tc>
        <w:tc>
          <w:tcPr>
            <w:tcW w:w="1699" w:type="pct"/>
            <w:shd w:val="clear" w:color="auto" w:fill="auto"/>
            <w:vAlign w:val="center"/>
          </w:tcPr>
          <w:p w14:paraId="14372D60">
            <w:pPr>
              <w:jc w:val="center"/>
              <w:rPr>
                <w:rFonts w:ascii="宋体" w:hAnsi="宋体" w:eastAsia="宋体" w:cs="Times New Roman"/>
                <w:snapToGrid w:val="0"/>
                <w:color w:val="auto"/>
              </w:rPr>
            </w:pPr>
            <w:r>
              <w:rPr>
                <w:rFonts w:hint="eastAsia" w:ascii="宋体" w:hAnsi="宋体" w:eastAsia="宋体" w:cs="Times New Roman"/>
                <w:snapToGrid w:val="0"/>
                <w:color w:val="auto"/>
              </w:rPr>
              <w:t>70</w:t>
            </w:r>
            <w:r>
              <w:rPr>
                <w:rFonts w:ascii="宋体" w:hAnsi="宋体" w:eastAsia="宋体" w:cs="Times New Roman"/>
                <w:snapToGrid w:val="0"/>
                <w:color w:val="auto"/>
              </w:rPr>
              <w:t>-7</w:t>
            </w:r>
            <w:r>
              <w:rPr>
                <w:rFonts w:hint="eastAsia" w:ascii="宋体" w:hAnsi="宋体" w:eastAsia="宋体" w:cs="Times New Roman"/>
                <w:snapToGrid w:val="0"/>
                <w:color w:val="auto"/>
              </w:rPr>
              <w:t>5</w:t>
            </w:r>
          </w:p>
        </w:tc>
        <w:tc>
          <w:tcPr>
            <w:tcW w:w="1501" w:type="pct"/>
            <w:shd w:val="clear" w:color="auto" w:fill="auto"/>
            <w:vAlign w:val="center"/>
          </w:tcPr>
          <w:p w14:paraId="23D488E7">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r w14:paraId="4A70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shd w:val="clear" w:color="auto" w:fill="auto"/>
            <w:vAlign w:val="center"/>
          </w:tcPr>
          <w:p w14:paraId="07C67942">
            <w:pPr>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386" w:type="pct"/>
            <w:shd w:val="clear" w:color="auto" w:fill="auto"/>
            <w:vAlign w:val="center"/>
          </w:tcPr>
          <w:p w14:paraId="64268D80">
            <w:pPr>
              <w:jc w:val="center"/>
              <w:rPr>
                <w:rFonts w:ascii="宋体" w:hAnsi="宋体" w:eastAsia="宋体" w:cs="Times New Roman"/>
                <w:snapToGrid w:val="0"/>
                <w:color w:val="auto"/>
              </w:rPr>
            </w:pPr>
            <w:r>
              <w:rPr>
                <w:rFonts w:ascii="宋体" w:hAnsi="宋体" w:eastAsia="宋体" w:cs="Times New Roman"/>
                <w:snapToGrid w:val="0"/>
                <w:color w:val="auto"/>
              </w:rPr>
              <w:t>混砂车</w:t>
            </w:r>
          </w:p>
        </w:tc>
        <w:tc>
          <w:tcPr>
            <w:tcW w:w="1699" w:type="pct"/>
            <w:shd w:val="clear" w:color="auto" w:fill="auto"/>
            <w:vAlign w:val="center"/>
          </w:tcPr>
          <w:p w14:paraId="360F4E01">
            <w:pPr>
              <w:jc w:val="center"/>
              <w:rPr>
                <w:rFonts w:ascii="宋体" w:hAnsi="宋体" w:eastAsia="宋体" w:cs="Times New Roman"/>
                <w:snapToGrid w:val="0"/>
                <w:color w:val="auto"/>
              </w:rPr>
            </w:pPr>
            <w:r>
              <w:rPr>
                <w:rFonts w:ascii="宋体" w:hAnsi="宋体" w:eastAsia="宋体" w:cs="Times New Roman"/>
                <w:snapToGrid w:val="0"/>
                <w:color w:val="auto"/>
              </w:rPr>
              <w:t>8</w:t>
            </w:r>
            <w:r>
              <w:rPr>
                <w:rFonts w:hint="eastAsia" w:ascii="宋体" w:hAnsi="宋体" w:eastAsia="宋体" w:cs="Times New Roman"/>
                <w:snapToGrid w:val="0"/>
                <w:color w:val="auto"/>
              </w:rPr>
              <w:t>5</w:t>
            </w:r>
            <w:r>
              <w:rPr>
                <w:rFonts w:ascii="宋体" w:hAnsi="宋体" w:eastAsia="宋体" w:cs="Times New Roman"/>
                <w:snapToGrid w:val="0"/>
                <w:color w:val="auto"/>
              </w:rPr>
              <w:t>-</w:t>
            </w:r>
            <w:r>
              <w:rPr>
                <w:rFonts w:hint="eastAsia" w:ascii="宋体" w:hAnsi="宋体" w:eastAsia="宋体" w:cs="Times New Roman"/>
                <w:snapToGrid w:val="0"/>
                <w:color w:val="auto"/>
              </w:rPr>
              <w:t>95</w:t>
            </w:r>
          </w:p>
        </w:tc>
        <w:tc>
          <w:tcPr>
            <w:tcW w:w="1501" w:type="pct"/>
            <w:shd w:val="clear" w:color="auto" w:fill="auto"/>
            <w:vAlign w:val="center"/>
          </w:tcPr>
          <w:p w14:paraId="0430426D">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r>
    </w:tbl>
    <w:p w14:paraId="6B9B6C91">
      <w:pPr>
        <w:pStyle w:val="276"/>
        <w:widowControl w:val="0"/>
        <w:ind w:firstLine="480"/>
        <w:jc w:val="both"/>
        <w:rPr>
          <w:color w:val="auto"/>
          <w:lang w:val="zh-CN"/>
        </w:rPr>
      </w:pPr>
      <w:r>
        <w:rPr>
          <w:color w:val="auto"/>
          <w:lang w:val="zh-CN"/>
        </w:rPr>
        <w:t>（4）固体废物</w:t>
      </w:r>
    </w:p>
    <w:p w14:paraId="44A0D516">
      <w:pPr>
        <w:pStyle w:val="276"/>
        <w:widowControl w:val="0"/>
        <w:ind w:firstLine="480"/>
        <w:jc w:val="both"/>
        <w:rPr>
          <w:color w:val="auto"/>
          <w:kern w:val="2"/>
        </w:rPr>
      </w:pPr>
      <w:r>
        <w:rPr>
          <w:color w:val="auto"/>
          <w:kern w:val="2"/>
        </w:rPr>
        <w:t>施工期固体废物主要为钻井岩屑、废钻井液、不含油废射孔液、含油废射孔液、废包装袋、含油废防渗布、施工废料、生活垃圾和封井建筑垃圾等。</w:t>
      </w:r>
    </w:p>
    <w:p w14:paraId="691B81BC">
      <w:pPr>
        <w:pStyle w:val="276"/>
        <w:widowControl w:val="0"/>
        <w:ind w:firstLine="480"/>
        <w:jc w:val="both"/>
        <w:rPr>
          <w:color w:val="auto"/>
          <w:kern w:val="2"/>
        </w:rPr>
      </w:pPr>
      <w:r>
        <w:rPr>
          <w:rFonts w:hint="eastAsia"/>
          <w:color w:val="auto"/>
          <w:kern w:val="2"/>
        </w:rPr>
        <w:t>1）</w:t>
      </w:r>
      <w:r>
        <w:rPr>
          <w:color w:val="auto"/>
          <w:kern w:val="2"/>
        </w:rPr>
        <w:t>水基废钻井液</w:t>
      </w:r>
    </w:p>
    <w:p w14:paraId="5F4CF3D8">
      <w:pPr>
        <w:pStyle w:val="276"/>
        <w:widowControl w:val="0"/>
        <w:ind w:firstLine="480"/>
        <w:jc w:val="both"/>
        <w:rPr>
          <w:color w:val="auto"/>
          <w:kern w:val="2"/>
        </w:rPr>
      </w:pPr>
      <w:bookmarkStart w:id="897" w:name="_Toc5147946"/>
      <w:r>
        <w:rPr>
          <w:color w:val="auto"/>
          <w:kern w:val="2"/>
        </w:rPr>
        <w:t>水基废钻井液是指钻井过程中无法利用或钻井完工后弃置于水基钢制泥浆槽内的水基泥浆，属于一般固体废物，根据《固体废物分类与代码目录》（生态环境部公告2024年第4号），水基废钻井液的分类代码为071-001-S12。根据钻井物料消耗统计，</w:t>
      </w:r>
      <w:bookmarkEnd w:id="897"/>
      <w:r>
        <w:rPr>
          <w:color w:val="auto"/>
          <w:kern w:val="2"/>
        </w:rPr>
        <w:t>本项目单口井水基钻井液用量1180m</w:t>
      </w:r>
      <w:r>
        <w:rPr>
          <w:color w:val="auto"/>
          <w:kern w:val="2"/>
          <w:vertAlign w:val="superscript"/>
        </w:rPr>
        <w:t>3</w:t>
      </w:r>
      <w:r>
        <w:rPr>
          <w:color w:val="auto"/>
          <w:kern w:val="2"/>
        </w:rPr>
        <w:t>，水基废钻井液产生量为926m</w:t>
      </w:r>
      <w:r>
        <w:rPr>
          <w:color w:val="auto"/>
          <w:kern w:val="2"/>
          <w:vertAlign w:val="superscript"/>
        </w:rPr>
        <w:t>3</w:t>
      </w:r>
      <w:r>
        <w:rPr>
          <w:color w:val="auto"/>
          <w:kern w:val="2"/>
        </w:rPr>
        <w:t>。水基废钻井液</w:t>
      </w:r>
      <w:r>
        <w:rPr>
          <w:color w:val="auto"/>
          <w:kern w:val="2"/>
          <w:szCs w:val="20"/>
        </w:rPr>
        <w:t>排入井场水基钢制泥浆槽中，及时拉运至大庆油田昆仑集团有限公司环保分公司处理，处理后的压滤水定期由罐车拉运至朝二联含油污水处理站</w:t>
      </w:r>
      <w:r>
        <w:rPr>
          <w:color w:val="auto"/>
        </w:rPr>
        <w:t>处理满足《大庆油田地面工程建设设计规定》（Q/SYDQ0639-2015）及《碎屑岩油藏注水水质指标技术要求及分析方法》（SY/T5329-2022）限值要求后回注油层，处理后的泥饼外售给大庆钻探工程公司钻井二公司综合利用垫井场或铺路</w:t>
      </w:r>
      <w:r>
        <w:rPr>
          <w:color w:val="auto"/>
          <w:kern w:val="2"/>
          <w:szCs w:val="20"/>
        </w:rPr>
        <w:t>。</w:t>
      </w:r>
    </w:p>
    <w:p w14:paraId="26338A8D">
      <w:pPr>
        <w:pStyle w:val="276"/>
        <w:widowControl w:val="0"/>
        <w:ind w:firstLine="480"/>
        <w:jc w:val="both"/>
        <w:rPr>
          <w:color w:val="auto"/>
          <w:kern w:val="2"/>
        </w:rPr>
      </w:pPr>
      <w:r>
        <w:rPr>
          <w:rFonts w:hint="eastAsia"/>
          <w:color w:val="auto"/>
          <w:kern w:val="2"/>
        </w:rPr>
        <w:t>2）</w:t>
      </w:r>
      <w:r>
        <w:rPr>
          <w:color w:val="auto"/>
          <w:kern w:val="2"/>
        </w:rPr>
        <w:t>油基废钻井液</w:t>
      </w:r>
    </w:p>
    <w:p w14:paraId="2256F7F9">
      <w:pPr>
        <w:pStyle w:val="276"/>
        <w:widowControl w:val="0"/>
        <w:ind w:firstLine="480"/>
        <w:jc w:val="both"/>
        <w:rPr>
          <w:color w:val="auto"/>
          <w:kern w:val="2"/>
        </w:rPr>
      </w:pPr>
      <w:r>
        <w:rPr>
          <w:color w:val="auto"/>
          <w:kern w:val="2"/>
        </w:rPr>
        <w:t>油基废钻井液是指钻井过程中无法利用或钻井完工后弃置于油基钢制泥浆槽内的油基泥浆，属于危险废物，废物类别HW08废矿物油与含矿物油废物，废物代码071-002-08。根据钻井物料消耗统计，本项目单口井油基钻井液用量476m</w:t>
      </w:r>
      <w:r>
        <w:rPr>
          <w:color w:val="auto"/>
          <w:kern w:val="2"/>
          <w:vertAlign w:val="superscript"/>
        </w:rPr>
        <w:t>3</w:t>
      </w:r>
      <w:r>
        <w:rPr>
          <w:color w:val="auto"/>
          <w:kern w:val="2"/>
        </w:rPr>
        <w:t>，单井油基钻井液损耗量232m</w:t>
      </w:r>
      <w:r>
        <w:rPr>
          <w:color w:val="auto"/>
          <w:kern w:val="2"/>
          <w:vertAlign w:val="superscript"/>
        </w:rPr>
        <w:t>3</w:t>
      </w:r>
      <w:r>
        <w:rPr>
          <w:color w:val="auto"/>
          <w:kern w:val="2"/>
        </w:rPr>
        <w:t>，本项目4口油井二开采用油基钻井液，则油基废钻井液产生量为976m</w:t>
      </w:r>
      <w:r>
        <w:rPr>
          <w:color w:val="auto"/>
          <w:kern w:val="2"/>
          <w:vertAlign w:val="superscript"/>
        </w:rPr>
        <w:t>3</w:t>
      </w:r>
      <w:r>
        <w:rPr>
          <w:color w:val="auto"/>
          <w:kern w:val="2"/>
        </w:rPr>
        <w:t>。油基废钻井液排入井场设置的油基钢制泥浆槽，委托</w:t>
      </w:r>
      <w:r>
        <w:rPr>
          <w:color w:val="auto"/>
        </w:rPr>
        <w:t>黑龙江迈景环保科技有限公司</w:t>
      </w:r>
      <w:r>
        <w:rPr>
          <w:color w:val="auto"/>
          <w:kern w:val="2"/>
        </w:rPr>
        <w:t>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p w14:paraId="7D73E07F">
      <w:pPr>
        <w:pStyle w:val="276"/>
        <w:widowControl w:val="0"/>
        <w:ind w:firstLine="480"/>
        <w:jc w:val="both"/>
        <w:rPr>
          <w:color w:val="auto"/>
          <w:kern w:val="2"/>
        </w:rPr>
      </w:pPr>
      <w:r>
        <w:rPr>
          <w:rFonts w:hint="eastAsia"/>
          <w:color w:val="auto"/>
          <w:kern w:val="2"/>
        </w:rPr>
        <w:t>3）</w:t>
      </w:r>
      <w:r>
        <w:rPr>
          <w:color w:val="auto"/>
          <w:kern w:val="2"/>
        </w:rPr>
        <w:t>水基钻井岩屑</w:t>
      </w:r>
    </w:p>
    <w:p w14:paraId="61786E8E">
      <w:pPr>
        <w:pStyle w:val="276"/>
        <w:widowControl w:val="0"/>
        <w:ind w:firstLine="480"/>
        <w:jc w:val="both"/>
        <w:rPr>
          <w:color w:val="auto"/>
          <w:kern w:val="2"/>
        </w:rPr>
      </w:pPr>
      <w:r>
        <w:rPr>
          <w:color w:val="auto"/>
          <w:kern w:val="2"/>
        </w:rPr>
        <w:t>钻井过程中，岩石经钻头和泥浆研磨破碎成岩屑，其中部分水基钻井岩屑混进水基泥浆中，剩余水基钻井岩屑经泥浆循环携带至</w:t>
      </w:r>
      <w:r>
        <w:rPr>
          <w:color w:val="auto"/>
        </w:rPr>
        <w:t>井口</w:t>
      </w:r>
      <w:r>
        <w:rPr>
          <w:color w:val="auto"/>
          <w:kern w:val="2"/>
        </w:rPr>
        <w:t>，完井后进行无害化处理，根据《危险废物排除管理清单（2021年版）》（生态环境部公告2021第66号），水基钻井岩屑不属于危险废物，属于一般固体废物，根据《固体废物分类与代码目录》（生态环境部公告2024年第4号），水基废钻井液的分类代码为071-001-S12。根据第十采油厂多年钻井施工统计数据分析，每钻井1000m进尺产生水基钻井岩屑24m</w:t>
      </w:r>
      <w:r>
        <w:rPr>
          <w:color w:val="auto"/>
          <w:kern w:val="2"/>
          <w:vertAlign w:val="superscript"/>
        </w:rPr>
        <w:t>3</w:t>
      </w:r>
      <w:r>
        <w:rPr>
          <w:color w:val="auto"/>
          <w:kern w:val="2"/>
        </w:rPr>
        <w:t>。本项目水基钻井进尺5844m，则水基钻井岩屑总产生量为140.3m</w:t>
      </w:r>
      <w:r>
        <w:rPr>
          <w:color w:val="auto"/>
          <w:kern w:val="2"/>
          <w:vertAlign w:val="superscript"/>
        </w:rPr>
        <w:t>3</w:t>
      </w:r>
      <w:r>
        <w:rPr>
          <w:color w:val="auto"/>
          <w:kern w:val="2"/>
        </w:rPr>
        <w:t>。水基钻井岩屑</w:t>
      </w:r>
      <w:r>
        <w:rPr>
          <w:color w:val="auto"/>
          <w:kern w:val="2"/>
          <w:szCs w:val="20"/>
        </w:rPr>
        <w:t>排入井场水基钢制泥浆槽中，及时拉运至大庆油田昆仑集团有限公司环保分公司处理，处理后的压滤水定期由罐车拉运至朝二联含油污水处理站</w:t>
      </w:r>
      <w:r>
        <w:rPr>
          <w:color w:val="auto"/>
        </w:rPr>
        <w:t>处理满足《大庆油田地面工程建设设计规定》（Q/SYDQ0639-2015）及《碎屑岩油藏注水水质指标技术要求及分析方法》（SY/T5329-2022）限值要求后回注油层，处理后的泥饼外售给大庆钻探工程公司钻井二公司综合利用垫井场或铺路</w:t>
      </w:r>
      <w:r>
        <w:rPr>
          <w:color w:val="auto"/>
          <w:kern w:val="2"/>
          <w:szCs w:val="20"/>
        </w:rPr>
        <w:t>。</w:t>
      </w:r>
    </w:p>
    <w:p w14:paraId="643638B1">
      <w:pPr>
        <w:pStyle w:val="276"/>
        <w:widowControl w:val="0"/>
        <w:ind w:firstLine="480"/>
        <w:jc w:val="both"/>
        <w:rPr>
          <w:color w:val="auto"/>
          <w:kern w:val="2"/>
        </w:rPr>
      </w:pPr>
      <w:r>
        <w:rPr>
          <w:rFonts w:hint="eastAsia"/>
          <w:color w:val="auto"/>
          <w:kern w:val="2"/>
        </w:rPr>
        <w:t>4）</w:t>
      </w:r>
      <w:r>
        <w:rPr>
          <w:color w:val="auto"/>
          <w:kern w:val="2"/>
        </w:rPr>
        <w:t>油基钻井岩屑</w:t>
      </w:r>
    </w:p>
    <w:p w14:paraId="0F29C8DA">
      <w:pPr>
        <w:pStyle w:val="276"/>
        <w:widowControl w:val="0"/>
        <w:ind w:firstLine="480"/>
        <w:jc w:val="both"/>
        <w:rPr>
          <w:color w:val="auto"/>
          <w:kern w:val="2"/>
        </w:rPr>
      </w:pPr>
      <w:r>
        <w:rPr>
          <w:color w:val="auto"/>
          <w:kern w:val="2"/>
        </w:rPr>
        <w:t>钻井过程中，岩石经钻头和泥浆研磨破碎成岩屑，其中部分油基钻井岩屑混进油基泥浆中，剩余油基钻井岩屑经泥浆循环携带至井口，完井后进行无害化处理，油基钻井岩屑属于危险废物，废物类别HW08废矿物油与含矿物油废物，废物代码071-002-08。根据第十采油厂多年钻井施工统计数据分析，每钻井1000m进尺产生油基钻井岩屑24m</w:t>
      </w:r>
      <w:r>
        <w:rPr>
          <w:color w:val="auto"/>
          <w:kern w:val="2"/>
          <w:vertAlign w:val="superscript"/>
        </w:rPr>
        <w:t>3</w:t>
      </w:r>
      <w:r>
        <w:rPr>
          <w:color w:val="auto"/>
          <w:kern w:val="2"/>
        </w:rPr>
        <w:t>。本项目油基钻井进尺10798m，则油基钻井岩屑总产生量为259.2m</w:t>
      </w:r>
      <w:r>
        <w:rPr>
          <w:color w:val="auto"/>
          <w:kern w:val="2"/>
          <w:vertAlign w:val="superscript"/>
        </w:rPr>
        <w:t>3</w:t>
      </w:r>
      <w:r>
        <w:rPr>
          <w:color w:val="auto"/>
          <w:kern w:val="2"/>
        </w:rPr>
        <w:t>。油基钻井岩屑</w:t>
      </w:r>
      <w:r>
        <w:rPr>
          <w:color w:val="auto"/>
          <w:kern w:val="2"/>
          <w:szCs w:val="20"/>
        </w:rPr>
        <w:t>排入井场设置的油基钢制泥浆槽，委托</w:t>
      </w:r>
      <w:r>
        <w:rPr>
          <w:color w:val="auto"/>
        </w:rPr>
        <w:t>黑龙江迈景环保科技有限公司</w:t>
      </w:r>
      <w:r>
        <w:rPr>
          <w:color w:val="auto"/>
          <w:kern w:val="2"/>
          <w:szCs w:val="20"/>
        </w:rPr>
        <w:t>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p w14:paraId="510B11E9">
      <w:pPr>
        <w:pStyle w:val="276"/>
        <w:widowControl w:val="0"/>
        <w:ind w:firstLine="480"/>
        <w:jc w:val="both"/>
        <w:rPr>
          <w:color w:val="auto"/>
          <w:kern w:val="2"/>
        </w:rPr>
      </w:pPr>
      <w:r>
        <w:rPr>
          <w:rFonts w:hint="eastAsia"/>
          <w:color w:val="auto"/>
          <w:kern w:val="2"/>
        </w:rPr>
        <w:t>5）</w:t>
      </w:r>
      <w:r>
        <w:rPr>
          <w:color w:val="auto"/>
          <w:kern w:val="2"/>
        </w:rPr>
        <w:t>不含油废射孔液</w:t>
      </w:r>
    </w:p>
    <w:p w14:paraId="30BAF2C2">
      <w:pPr>
        <w:pStyle w:val="276"/>
        <w:widowControl w:val="0"/>
        <w:ind w:firstLine="480"/>
        <w:jc w:val="both"/>
        <w:rPr>
          <w:color w:val="auto"/>
          <w:kern w:val="2"/>
        </w:rPr>
      </w:pPr>
      <w:r>
        <w:rPr>
          <w:color w:val="auto"/>
          <w:kern w:val="2"/>
        </w:rPr>
        <w:t>本项目2口新钻勘探井需进行射孔作业，作业过程中将产生废射孔液，属于一般固体废物，根据《固体废物分类与代码目录》（生态环境部公告2024年第4号），不含油废射孔液分类代码为900-099-S12。每口井产生废射孔液约40m</w:t>
      </w:r>
      <w:r>
        <w:rPr>
          <w:color w:val="auto"/>
          <w:kern w:val="2"/>
          <w:vertAlign w:val="superscript"/>
        </w:rPr>
        <w:t>3</w:t>
      </w:r>
      <w:r>
        <w:rPr>
          <w:color w:val="auto"/>
          <w:kern w:val="2"/>
        </w:rPr>
        <w:t>，则共计产生不含油废射孔液80m</w:t>
      </w:r>
      <w:r>
        <w:rPr>
          <w:color w:val="auto"/>
          <w:kern w:val="2"/>
          <w:vertAlign w:val="superscript"/>
        </w:rPr>
        <w:t>3</w:t>
      </w:r>
      <w:r>
        <w:rPr>
          <w:color w:val="auto"/>
          <w:kern w:val="2"/>
        </w:rPr>
        <w:t>。本项目单井射孔时间</w:t>
      </w:r>
      <w:r>
        <w:rPr>
          <w:snapToGrid w:val="0"/>
          <w:color w:val="auto"/>
        </w:rPr>
        <w:t>约1d</w:t>
      </w:r>
      <w:r>
        <w:rPr>
          <w:color w:val="auto"/>
          <w:kern w:val="2"/>
        </w:rPr>
        <w:t>，则含油废射孔液每天最大产生量约80m</w:t>
      </w:r>
      <w:r>
        <w:rPr>
          <w:color w:val="auto"/>
          <w:kern w:val="2"/>
          <w:vertAlign w:val="superscript"/>
        </w:rPr>
        <w:t>3</w:t>
      </w:r>
      <w:r>
        <w:rPr>
          <w:color w:val="auto"/>
          <w:kern w:val="2"/>
        </w:rPr>
        <w:t>。不含油废射孔液</w:t>
      </w:r>
      <w:r>
        <w:rPr>
          <w:color w:val="auto"/>
          <w:kern w:val="2"/>
          <w:szCs w:val="20"/>
        </w:rPr>
        <w:t>排入井场水基钢制泥浆槽中，及时拉运至大庆油田昆仑集团有限公司环保分公司处理，处理后的压滤水定期由罐车拉运至朝一联含油污水处理站</w:t>
      </w:r>
      <w:r>
        <w:rPr>
          <w:color w:val="auto"/>
        </w:rPr>
        <w:t>处理满足《大庆油田地面工程建设设计规定》（Q/SYDQ0639-2015）及《碎屑岩油藏注水水质指标技术要求及分析方法》（SY/T5329-2022）限值要求后回注油层，处理后的泥饼外售给大庆钻探工程公司钻井二公司综合利用垫井场或铺路</w:t>
      </w:r>
      <w:r>
        <w:rPr>
          <w:color w:val="auto"/>
          <w:kern w:val="2"/>
          <w:szCs w:val="20"/>
        </w:rPr>
        <w:t>。</w:t>
      </w:r>
    </w:p>
    <w:p w14:paraId="0EFFD186">
      <w:pPr>
        <w:pStyle w:val="276"/>
        <w:widowControl w:val="0"/>
        <w:ind w:firstLine="480"/>
        <w:jc w:val="both"/>
        <w:rPr>
          <w:color w:val="auto"/>
          <w:kern w:val="2"/>
        </w:rPr>
      </w:pPr>
      <w:r>
        <w:rPr>
          <w:rFonts w:hint="eastAsia"/>
          <w:color w:val="auto"/>
          <w:kern w:val="2"/>
        </w:rPr>
        <w:t>6）</w:t>
      </w:r>
      <w:r>
        <w:rPr>
          <w:color w:val="auto"/>
          <w:kern w:val="2"/>
        </w:rPr>
        <w:t>含油废射孔液</w:t>
      </w:r>
    </w:p>
    <w:p w14:paraId="0715BB61">
      <w:pPr>
        <w:pStyle w:val="276"/>
        <w:widowControl w:val="0"/>
        <w:ind w:firstLine="480"/>
        <w:jc w:val="both"/>
        <w:rPr>
          <w:color w:val="auto"/>
          <w:kern w:val="2"/>
        </w:rPr>
      </w:pPr>
      <w:r>
        <w:rPr>
          <w:color w:val="auto"/>
          <w:kern w:val="2"/>
        </w:rPr>
        <w:t>本项目4口新钻油井需</w:t>
      </w:r>
      <w:r>
        <w:rPr>
          <w:color w:val="auto"/>
        </w:rPr>
        <w:t>进行</w:t>
      </w:r>
      <w:r>
        <w:rPr>
          <w:color w:val="auto"/>
          <w:kern w:val="2"/>
        </w:rPr>
        <w:t>射孔作业，作业过程中将产生废射孔液，由于在二开油基钻井后进行射孔作业，因此废射孔液中可能含有油基成分，含油废射孔液属于危险废物，废物类别HW08废矿物油与含矿物油废物，废物代码071-002-08。每口井产生含油废射孔液约40m</w:t>
      </w:r>
      <w:r>
        <w:rPr>
          <w:color w:val="auto"/>
          <w:kern w:val="2"/>
          <w:vertAlign w:val="superscript"/>
        </w:rPr>
        <w:t>3</w:t>
      </w:r>
      <w:r>
        <w:rPr>
          <w:color w:val="auto"/>
          <w:kern w:val="2"/>
        </w:rPr>
        <w:t>，则共计产生含油废射孔液160m</w:t>
      </w:r>
      <w:r>
        <w:rPr>
          <w:color w:val="auto"/>
          <w:kern w:val="2"/>
          <w:vertAlign w:val="superscript"/>
        </w:rPr>
        <w:t>3</w:t>
      </w:r>
      <w:r>
        <w:rPr>
          <w:color w:val="auto"/>
          <w:kern w:val="2"/>
        </w:rPr>
        <w:t>。本项目单井射孔时间</w:t>
      </w:r>
      <w:r>
        <w:rPr>
          <w:snapToGrid w:val="0"/>
          <w:color w:val="auto"/>
        </w:rPr>
        <w:t>约1d</w:t>
      </w:r>
      <w:r>
        <w:rPr>
          <w:color w:val="auto"/>
          <w:kern w:val="2"/>
        </w:rPr>
        <w:t>，则含油废射孔液每天最大产生量约80m</w:t>
      </w:r>
      <w:r>
        <w:rPr>
          <w:color w:val="auto"/>
          <w:kern w:val="2"/>
          <w:vertAlign w:val="superscript"/>
        </w:rPr>
        <w:t>3</w:t>
      </w:r>
      <w:r>
        <w:rPr>
          <w:color w:val="auto"/>
          <w:kern w:val="2"/>
        </w:rPr>
        <w:t>。含油废射孔液排入井场油基钢制泥浆槽中，</w:t>
      </w:r>
      <w:r>
        <w:rPr>
          <w:color w:val="auto"/>
          <w:kern w:val="2"/>
          <w:szCs w:val="20"/>
        </w:rPr>
        <w:t>委托</w:t>
      </w:r>
      <w:r>
        <w:rPr>
          <w:color w:val="auto"/>
        </w:rPr>
        <w:t>黑龙江迈景环保科技有限公司</w:t>
      </w:r>
      <w:r>
        <w:rPr>
          <w:color w:val="auto"/>
          <w:kern w:val="2"/>
          <w:szCs w:val="20"/>
        </w:rPr>
        <w:t>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color w:val="auto"/>
          <w:kern w:val="2"/>
        </w:rPr>
        <w:t>。</w:t>
      </w:r>
    </w:p>
    <w:p w14:paraId="67C22678">
      <w:pPr>
        <w:pStyle w:val="276"/>
        <w:widowControl w:val="0"/>
        <w:ind w:firstLine="480"/>
        <w:jc w:val="both"/>
        <w:rPr>
          <w:color w:val="auto"/>
          <w:kern w:val="2"/>
        </w:rPr>
      </w:pPr>
      <w:r>
        <w:rPr>
          <w:rFonts w:hint="eastAsia"/>
          <w:color w:val="auto"/>
          <w:kern w:val="2"/>
        </w:rPr>
        <w:t>7）</w:t>
      </w:r>
      <w:r>
        <w:rPr>
          <w:color w:val="auto"/>
          <w:kern w:val="2"/>
        </w:rPr>
        <w:t>膨润土、纯碱、重晶石粉废包装袋</w:t>
      </w:r>
    </w:p>
    <w:p w14:paraId="1E4AA635">
      <w:pPr>
        <w:pStyle w:val="276"/>
        <w:widowControl w:val="0"/>
        <w:ind w:firstLine="480"/>
        <w:jc w:val="both"/>
        <w:rPr>
          <w:color w:val="auto"/>
          <w:kern w:val="2"/>
        </w:rPr>
      </w:pPr>
      <w:r>
        <w:rPr>
          <w:color w:val="auto"/>
          <w:kern w:val="2"/>
        </w:rPr>
        <w:t>现场废弃包装袋主要为钻井材料中膨润土、纯碱、重晶石粉废弃包装，属于一般固体废物，根据《固体废物分类与代码目录》（生态环境部公告2024年第4号），废包装袋的分类代码为900-003-S17。类比大庆油田多年钻井井场施工</w:t>
      </w:r>
      <w:r>
        <w:rPr>
          <w:color w:val="auto"/>
        </w:rPr>
        <w:t>经验</w:t>
      </w:r>
      <w:r>
        <w:rPr>
          <w:color w:val="auto"/>
          <w:kern w:val="2"/>
        </w:rPr>
        <w:t>，单井膨润土、纯碱、重晶石粉废包装袋产生量约为0.02t，本项目新钻井6口，膨润土、纯碱、重晶石粉废弃包装袋产生量约为0.12t。膨润土、纯碱、重晶石粉废包装袋统一收集后暂存于钻井液材料房内的加盖钢制桶内，施工结束后由施工单位拉运至第八采油厂工业固废填埋场处理。</w:t>
      </w:r>
    </w:p>
    <w:p w14:paraId="30D70636">
      <w:pPr>
        <w:pStyle w:val="276"/>
        <w:widowControl w:val="0"/>
        <w:ind w:firstLine="480"/>
        <w:jc w:val="both"/>
        <w:rPr>
          <w:color w:val="auto"/>
          <w:kern w:val="2"/>
        </w:rPr>
      </w:pPr>
      <w:r>
        <w:rPr>
          <w:rFonts w:hint="eastAsia"/>
          <w:color w:val="auto"/>
          <w:kern w:val="2"/>
        </w:rPr>
        <w:t>8）</w:t>
      </w:r>
      <w:r>
        <w:rPr>
          <w:color w:val="auto"/>
          <w:kern w:val="2"/>
        </w:rPr>
        <w:t>钻井期含油废防渗布</w:t>
      </w:r>
    </w:p>
    <w:p w14:paraId="44161FFB">
      <w:pPr>
        <w:pStyle w:val="276"/>
        <w:widowControl w:val="0"/>
        <w:ind w:firstLine="480"/>
        <w:jc w:val="both"/>
        <w:rPr>
          <w:color w:val="auto"/>
          <w:kern w:val="2"/>
        </w:rPr>
      </w:pPr>
      <w:r>
        <w:rPr>
          <w:color w:val="auto"/>
          <w:kern w:val="2"/>
          <w:szCs w:val="20"/>
        </w:rPr>
        <w:t>为防止在钻井过程中钻井泥浆、钻井污水等污染地面从而造成对土壤、地下水的影响，需要在钻井过程中在钻井平台附近</w:t>
      </w:r>
      <w:r>
        <w:rPr>
          <w:color w:val="auto"/>
        </w:rPr>
        <w:t>铺设</w:t>
      </w:r>
      <w:r>
        <w:rPr>
          <w:color w:val="auto"/>
          <w:kern w:val="2"/>
          <w:szCs w:val="20"/>
        </w:rPr>
        <w:t>防渗布</w:t>
      </w:r>
      <w:r>
        <w:rPr>
          <w:color w:val="auto"/>
          <w:kern w:val="2"/>
        </w:rPr>
        <w:t>，由于防渗布可能会沾染油基泥浆和试油废液，因此含油防渗布属于危险废物，含油防渗布属于HW08类危险废物，危险废物代码为900-249-08。本项目钻井期井场永久占地0.64hm</w:t>
      </w:r>
      <w:r>
        <w:rPr>
          <w:color w:val="auto"/>
          <w:kern w:val="2"/>
          <w:vertAlign w:val="superscript"/>
        </w:rPr>
        <w:t>2</w:t>
      </w:r>
      <w:r>
        <w:rPr>
          <w:color w:val="auto"/>
          <w:kern w:val="2"/>
        </w:rPr>
        <w:t>，每平米防渗布重约0.25kg，故本项目钻井期共产生含油废防渗布1.6t。钻井期含油废防渗布集中收集暂存于第十采油厂综合固废储存库，定期委托有资质单位处理。</w:t>
      </w:r>
    </w:p>
    <w:p w14:paraId="1FD5BC46">
      <w:pPr>
        <w:pStyle w:val="276"/>
        <w:widowControl w:val="0"/>
        <w:ind w:firstLine="480"/>
        <w:jc w:val="both"/>
        <w:rPr>
          <w:color w:val="auto"/>
          <w:kern w:val="2"/>
        </w:rPr>
      </w:pPr>
      <w:r>
        <w:rPr>
          <w:rFonts w:hint="eastAsia"/>
          <w:color w:val="auto"/>
          <w:kern w:val="2"/>
        </w:rPr>
        <w:t>9）</w:t>
      </w:r>
      <w:r>
        <w:rPr>
          <w:color w:val="auto"/>
          <w:kern w:val="2"/>
        </w:rPr>
        <w:t>施工废料</w:t>
      </w:r>
    </w:p>
    <w:p w14:paraId="65A485F8">
      <w:pPr>
        <w:pStyle w:val="276"/>
        <w:widowControl w:val="0"/>
        <w:ind w:firstLine="480"/>
        <w:jc w:val="both"/>
        <w:rPr>
          <w:color w:val="auto"/>
          <w:kern w:val="2"/>
        </w:rPr>
      </w:pPr>
      <w:r>
        <w:rPr>
          <w:color w:val="auto"/>
          <w:kern w:val="2"/>
        </w:rPr>
        <w:t>本项目施工废料主要为焊接施工中产生废焊条和管道防腐施工过程中产生的废防腐材料，属于一般固体废物，根据《固体废物分类与代码目录》（生态环境部公告2024年第4号），施工废料的分类代码为900-099-S59。</w:t>
      </w:r>
      <w:r>
        <w:rPr>
          <w:color w:val="auto"/>
        </w:rPr>
        <w:t>管道</w:t>
      </w:r>
      <w:r>
        <w:rPr>
          <w:color w:val="auto"/>
          <w:kern w:val="2"/>
        </w:rPr>
        <w:t>施工废料产生量以20kg/km管道计，本项目新建管道0.06km，因此，施工废料产生量约为1.2kg。施工废料采用收集桶回收，由施工单位安排拉运至第八采油厂工业固废填埋场处理。</w:t>
      </w:r>
    </w:p>
    <w:p w14:paraId="73B4724D">
      <w:pPr>
        <w:pStyle w:val="276"/>
        <w:widowControl w:val="0"/>
        <w:ind w:firstLine="480"/>
        <w:jc w:val="both"/>
        <w:rPr>
          <w:color w:val="auto"/>
          <w:kern w:val="2"/>
        </w:rPr>
      </w:pPr>
      <w:r>
        <w:rPr>
          <w:rFonts w:hint="eastAsia"/>
          <w:color w:val="auto"/>
          <w:kern w:val="2"/>
        </w:rPr>
        <w:t>1</w:t>
      </w:r>
      <w:r>
        <w:rPr>
          <w:color w:val="auto"/>
          <w:kern w:val="2"/>
        </w:rPr>
        <w:t>0）垃圾</w:t>
      </w:r>
    </w:p>
    <w:p w14:paraId="6C91F3CC">
      <w:pPr>
        <w:pStyle w:val="276"/>
        <w:widowControl w:val="0"/>
        <w:ind w:firstLine="480"/>
        <w:jc w:val="both"/>
        <w:rPr>
          <w:color w:val="auto"/>
          <w:kern w:val="2"/>
        </w:rPr>
      </w:pPr>
      <w:r>
        <w:rPr>
          <w:color w:val="auto"/>
          <w:kern w:val="21"/>
        </w:rPr>
        <w:t>生活用水采用桶装水，项目钻井施工84d，钻井队在井人数20人。</w:t>
      </w:r>
      <w:r>
        <w:rPr>
          <w:snapToGrid w:val="0"/>
          <w:color w:val="auto"/>
        </w:rPr>
        <w:t>2口勘探井压裂试气施工约20d，另外4口基建井压裂地面工程施工约80d</w:t>
      </w:r>
      <w:r>
        <w:rPr>
          <w:color w:val="auto"/>
          <w:kern w:val="21"/>
        </w:rPr>
        <w:t>，施工人数20人。</w:t>
      </w:r>
      <w:r>
        <w:rPr>
          <w:color w:val="auto"/>
          <w:kern w:val="2"/>
        </w:rPr>
        <w:t>施工期每人产生生活垃圾0.5kg/d计，施工期生活垃圾产生量为1.84t。生活垃圾统一收集拉运至肇源县利民城市垃圾处理有限公司处理。</w:t>
      </w:r>
    </w:p>
    <w:p w14:paraId="3642D4D1">
      <w:pPr>
        <w:pStyle w:val="276"/>
        <w:widowControl w:val="0"/>
        <w:ind w:firstLine="480"/>
        <w:jc w:val="both"/>
        <w:rPr>
          <w:color w:val="auto"/>
          <w:kern w:val="2"/>
        </w:rPr>
      </w:pPr>
      <w:r>
        <w:rPr>
          <w:rFonts w:ascii="Cambria Math" w:hAnsi="Cambria Math" w:cs="Cambria Math"/>
          <w:color w:val="auto"/>
          <w:kern w:val="2"/>
        </w:rPr>
        <w:t>11）</w:t>
      </w:r>
      <w:r>
        <w:rPr>
          <w:color w:val="auto"/>
          <w:kern w:val="2"/>
        </w:rPr>
        <w:t>建筑垃圾</w:t>
      </w:r>
    </w:p>
    <w:p w14:paraId="3CEB2B92">
      <w:pPr>
        <w:pStyle w:val="276"/>
        <w:widowControl w:val="0"/>
        <w:ind w:firstLine="480"/>
        <w:jc w:val="both"/>
        <w:rPr>
          <w:color w:val="auto"/>
          <w:kern w:val="2"/>
        </w:rPr>
      </w:pPr>
      <w:r>
        <w:rPr>
          <w:color w:val="auto"/>
          <w:kern w:val="2"/>
        </w:rPr>
        <w:t>本项目封井过程会产生少量建筑垃圾，根据大庆油田已有生产经验，单井封井建筑垃圾产生量为0.2t，本项目共布设2口探井，故封井建筑垃圾产生量约为0.4t，统一收集委托清运至市政部门指定的建筑垃圾调配场处置。</w:t>
      </w:r>
    </w:p>
    <w:p w14:paraId="24F34B1F">
      <w:pPr>
        <w:pStyle w:val="276"/>
        <w:widowControl w:val="0"/>
        <w:ind w:firstLine="480"/>
        <w:jc w:val="both"/>
        <w:rPr>
          <w:color w:val="auto"/>
          <w:kern w:val="2"/>
        </w:rPr>
      </w:pPr>
      <w:r>
        <w:rPr>
          <w:rFonts w:ascii="Cambria Math" w:hAnsi="Cambria Math" w:cs="Cambria Math"/>
          <w:color w:val="auto"/>
          <w:kern w:val="2"/>
        </w:rPr>
        <w:t>12</w:t>
      </w:r>
      <w:r>
        <w:rPr>
          <w:rFonts w:hint="eastAsia" w:ascii="Cambria Math" w:hAnsi="Cambria Math" w:cs="Cambria Math"/>
          <w:color w:val="auto"/>
          <w:kern w:val="2"/>
        </w:rPr>
        <w:t>）</w:t>
      </w:r>
      <w:r>
        <w:rPr>
          <w:color w:val="auto"/>
          <w:kern w:val="2"/>
        </w:rPr>
        <w:t>落地油</w:t>
      </w:r>
    </w:p>
    <w:p w14:paraId="249597E4">
      <w:pPr>
        <w:pStyle w:val="276"/>
        <w:widowControl w:val="0"/>
        <w:ind w:firstLine="480"/>
        <w:jc w:val="both"/>
        <w:rPr>
          <w:color w:val="auto"/>
          <w:kern w:val="2"/>
        </w:rPr>
      </w:pPr>
      <w:r>
        <w:rPr>
          <w:color w:val="auto"/>
          <w:kern w:val="2"/>
        </w:rPr>
        <w:t>在试油过程中会有一部分原油散落在井场而成为落地油。本项目试油产液直接进入罐车，同时井口处铺厚防渗布。落地油产生量很小。根据相关资料，探评井试油期产生的落地油产生量约在10～50kg/口。由于探评井存在不出油的可能性。只有在有油条件下可能产生落地油，不出油时则没有落地油产生。假设本项目2口井均出油，则落地油产生量共计为0.1t。落地油属于危险废物，废物类别为HW08废矿物油与含矿物油废物，危废代码为071-001-08，落地油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p w14:paraId="19F0BF13">
      <w:pPr>
        <w:pStyle w:val="276"/>
        <w:widowControl w:val="0"/>
        <w:spacing w:line="440" w:lineRule="exact"/>
        <w:ind w:firstLine="0" w:firstLineChars="0"/>
        <w:jc w:val="center"/>
        <w:rPr>
          <w:color w:val="auto"/>
          <w:kern w:val="2"/>
          <w:sz w:val="21"/>
          <w:szCs w:val="20"/>
        </w:rPr>
      </w:pPr>
      <w:r>
        <w:rPr>
          <w:color w:val="auto"/>
          <w:kern w:val="2"/>
          <w:sz w:val="21"/>
          <w:szCs w:val="20"/>
        </w:rPr>
        <w:t>表3.12-4 本项目施工期固体废物产生量统计表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1"/>
        <w:gridCol w:w="1924"/>
        <w:gridCol w:w="1162"/>
        <w:gridCol w:w="5659"/>
      </w:tblGrid>
      <w:tr w14:paraId="3112E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43DF0D0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序号</w:t>
            </w:r>
          </w:p>
        </w:tc>
        <w:tc>
          <w:tcPr>
            <w:tcW w:w="1877" w:type="dxa"/>
            <w:vAlign w:val="center"/>
          </w:tcPr>
          <w:p w14:paraId="5F047AB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污染物名称</w:t>
            </w:r>
          </w:p>
        </w:tc>
        <w:tc>
          <w:tcPr>
            <w:tcW w:w="1134" w:type="dxa"/>
            <w:vAlign w:val="center"/>
          </w:tcPr>
          <w:p w14:paraId="49E3E9B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产生量</w:t>
            </w:r>
          </w:p>
        </w:tc>
        <w:tc>
          <w:tcPr>
            <w:tcW w:w="5521" w:type="dxa"/>
            <w:vAlign w:val="center"/>
          </w:tcPr>
          <w:p w14:paraId="478AC0C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处置去向</w:t>
            </w:r>
          </w:p>
        </w:tc>
      </w:tr>
      <w:tr w14:paraId="13061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3DA84CC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1877" w:type="dxa"/>
            <w:vAlign w:val="center"/>
          </w:tcPr>
          <w:p w14:paraId="7C9575E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水基废钻井液</w:t>
            </w:r>
          </w:p>
        </w:tc>
        <w:tc>
          <w:tcPr>
            <w:tcW w:w="1134" w:type="dxa"/>
            <w:vAlign w:val="center"/>
          </w:tcPr>
          <w:p w14:paraId="0CD83CE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926m</w:t>
            </w:r>
            <w:r>
              <w:rPr>
                <w:rFonts w:ascii="宋体" w:hAnsi="宋体" w:eastAsia="宋体" w:cs="Times New Roman"/>
                <w:color w:val="auto"/>
                <w:vertAlign w:val="superscript"/>
              </w:rPr>
              <w:t>3</w:t>
            </w:r>
            <w:r>
              <w:rPr>
                <w:rFonts w:ascii="宋体" w:hAnsi="宋体" w:eastAsia="宋体" w:cs="Times New Roman"/>
                <w:color w:val="auto"/>
              </w:rPr>
              <w:t xml:space="preserve"> </w:t>
            </w:r>
          </w:p>
        </w:tc>
        <w:tc>
          <w:tcPr>
            <w:tcW w:w="5521" w:type="dxa"/>
            <w:vMerge w:val="restart"/>
            <w:vAlign w:val="center"/>
          </w:tcPr>
          <w:p w14:paraId="5EA5A05E">
            <w:pPr>
              <w:adjustRightInd w:val="0"/>
              <w:snapToGrid w:val="0"/>
              <w:spacing w:line="360" w:lineRule="exact"/>
              <w:rPr>
                <w:rFonts w:ascii="宋体" w:hAnsi="宋体" w:eastAsia="宋体" w:cs="Times New Roman"/>
                <w:color w:val="auto"/>
              </w:rPr>
            </w:pPr>
            <w:r>
              <w:rPr>
                <w:rFonts w:ascii="宋体" w:hAnsi="宋体" w:eastAsia="宋体" w:cs="Times New Roman"/>
                <w:color w:val="auto"/>
              </w:rPr>
              <w:t>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处理后的泥饼外售给大庆钻探工程公司钻井二公司综合利用垫井场或铺路。</w:t>
            </w:r>
          </w:p>
        </w:tc>
      </w:tr>
      <w:tr w14:paraId="3CFE0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6C523B0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877" w:type="dxa"/>
            <w:vAlign w:val="center"/>
          </w:tcPr>
          <w:p w14:paraId="29B0590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水基钻井岩屑</w:t>
            </w:r>
          </w:p>
        </w:tc>
        <w:tc>
          <w:tcPr>
            <w:tcW w:w="1134" w:type="dxa"/>
            <w:vAlign w:val="center"/>
          </w:tcPr>
          <w:p w14:paraId="6D53822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140.3m</w:t>
            </w:r>
            <w:r>
              <w:rPr>
                <w:rFonts w:ascii="宋体" w:hAnsi="宋体" w:eastAsia="宋体" w:cs="Times New Roman"/>
                <w:color w:val="auto"/>
                <w:vertAlign w:val="superscript"/>
              </w:rPr>
              <w:t>3</w:t>
            </w:r>
          </w:p>
        </w:tc>
        <w:tc>
          <w:tcPr>
            <w:tcW w:w="5521" w:type="dxa"/>
            <w:vMerge w:val="continue"/>
            <w:vAlign w:val="center"/>
          </w:tcPr>
          <w:p w14:paraId="37B52FF8">
            <w:pPr>
              <w:adjustRightInd w:val="0"/>
              <w:snapToGrid w:val="0"/>
              <w:spacing w:line="360" w:lineRule="exact"/>
              <w:rPr>
                <w:rFonts w:ascii="宋体" w:hAnsi="宋体" w:eastAsia="宋体" w:cs="Times New Roman"/>
                <w:color w:val="auto"/>
              </w:rPr>
            </w:pPr>
          </w:p>
        </w:tc>
      </w:tr>
      <w:tr w14:paraId="62E45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781C3F0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1877" w:type="dxa"/>
            <w:vAlign w:val="center"/>
          </w:tcPr>
          <w:p w14:paraId="6EAA635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不含油废射孔液</w:t>
            </w:r>
          </w:p>
        </w:tc>
        <w:tc>
          <w:tcPr>
            <w:tcW w:w="1134" w:type="dxa"/>
            <w:vAlign w:val="center"/>
          </w:tcPr>
          <w:p w14:paraId="19B1767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80m</w:t>
            </w:r>
            <w:r>
              <w:rPr>
                <w:rFonts w:ascii="宋体" w:hAnsi="宋体" w:eastAsia="宋体" w:cs="Times New Roman"/>
                <w:color w:val="auto"/>
                <w:vertAlign w:val="superscript"/>
              </w:rPr>
              <w:t>3</w:t>
            </w:r>
          </w:p>
        </w:tc>
        <w:tc>
          <w:tcPr>
            <w:tcW w:w="5521" w:type="dxa"/>
            <w:vMerge w:val="continue"/>
            <w:vAlign w:val="center"/>
          </w:tcPr>
          <w:p w14:paraId="481B85AE">
            <w:pPr>
              <w:adjustRightInd w:val="0"/>
              <w:snapToGrid w:val="0"/>
              <w:spacing w:line="360" w:lineRule="exact"/>
              <w:rPr>
                <w:rFonts w:ascii="宋体" w:hAnsi="宋体" w:eastAsia="宋体" w:cs="Times New Roman"/>
                <w:color w:val="auto"/>
              </w:rPr>
            </w:pPr>
          </w:p>
        </w:tc>
      </w:tr>
      <w:tr w14:paraId="06E2C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tcBorders>
              <w:bottom w:val="single" w:color="auto" w:sz="4" w:space="0"/>
            </w:tcBorders>
            <w:vAlign w:val="center"/>
          </w:tcPr>
          <w:p w14:paraId="6BE20B3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1877" w:type="dxa"/>
            <w:tcBorders>
              <w:bottom w:val="single" w:color="auto" w:sz="4" w:space="0"/>
            </w:tcBorders>
            <w:vAlign w:val="center"/>
          </w:tcPr>
          <w:p w14:paraId="59D58DB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含油废射孔液</w:t>
            </w:r>
          </w:p>
        </w:tc>
        <w:tc>
          <w:tcPr>
            <w:tcW w:w="1134" w:type="dxa"/>
            <w:tcBorders>
              <w:bottom w:val="single" w:color="auto" w:sz="4" w:space="0"/>
            </w:tcBorders>
            <w:vAlign w:val="center"/>
          </w:tcPr>
          <w:p w14:paraId="70AB1AD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160m</w:t>
            </w:r>
            <w:r>
              <w:rPr>
                <w:rFonts w:ascii="宋体" w:hAnsi="宋体" w:eastAsia="宋体" w:cs="Times New Roman"/>
                <w:color w:val="auto"/>
                <w:vertAlign w:val="superscript"/>
              </w:rPr>
              <w:t>3</w:t>
            </w:r>
          </w:p>
        </w:tc>
        <w:tc>
          <w:tcPr>
            <w:tcW w:w="5521" w:type="dxa"/>
            <w:vMerge w:val="restart"/>
            <w:vAlign w:val="center"/>
          </w:tcPr>
          <w:p w14:paraId="6F32B1FA">
            <w:pPr>
              <w:adjustRightInd w:val="0"/>
              <w:snapToGrid w:val="0"/>
              <w:spacing w:line="360" w:lineRule="exact"/>
              <w:rPr>
                <w:rFonts w:ascii="宋体" w:hAnsi="宋体" w:eastAsia="宋体" w:cs="Times New Roman"/>
                <w:color w:val="auto"/>
              </w:rPr>
            </w:pPr>
            <w:r>
              <w:rPr>
                <w:rFonts w:ascii="宋体" w:hAnsi="宋体" w:eastAsia="宋体" w:cs="Times New Roman"/>
                <w:color w:val="auto"/>
              </w:rPr>
              <w:t>排入井场设置的油基钢制泥浆槽，委托有危废处理资质的黑龙江迈景环保科技有限公司处理满足《油田含油污泥处置与利用污染控制要求》（DB23/T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r>
      <w:tr w14:paraId="4AC29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tcBorders>
              <w:top w:val="single" w:color="auto" w:sz="4" w:space="0"/>
            </w:tcBorders>
            <w:vAlign w:val="center"/>
          </w:tcPr>
          <w:p w14:paraId="446FECF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1877" w:type="dxa"/>
            <w:tcBorders>
              <w:top w:val="single" w:color="auto" w:sz="4" w:space="0"/>
            </w:tcBorders>
            <w:vAlign w:val="center"/>
          </w:tcPr>
          <w:p w14:paraId="14E2745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油基废钻井液</w:t>
            </w:r>
          </w:p>
        </w:tc>
        <w:tc>
          <w:tcPr>
            <w:tcW w:w="1134" w:type="dxa"/>
            <w:tcBorders>
              <w:top w:val="single" w:color="auto" w:sz="4" w:space="0"/>
            </w:tcBorders>
            <w:vAlign w:val="center"/>
          </w:tcPr>
          <w:p w14:paraId="4E95A7F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976m</w:t>
            </w:r>
            <w:r>
              <w:rPr>
                <w:rFonts w:ascii="宋体" w:hAnsi="宋体" w:eastAsia="宋体" w:cs="Times New Roman"/>
                <w:color w:val="auto"/>
                <w:vertAlign w:val="superscript"/>
              </w:rPr>
              <w:t>3</w:t>
            </w:r>
          </w:p>
        </w:tc>
        <w:tc>
          <w:tcPr>
            <w:tcW w:w="5521" w:type="dxa"/>
            <w:vMerge w:val="continue"/>
            <w:vAlign w:val="center"/>
          </w:tcPr>
          <w:p w14:paraId="5E5A56D8">
            <w:pPr>
              <w:adjustRightInd w:val="0"/>
              <w:snapToGrid w:val="0"/>
              <w:spacing w:line="360" w:lineRule="exact"/>
              <w:rPr>
                <w:rFonts w:ascii="宋体" w:hAnsi="宋体" w:eastAsia="宋体" w:cs="Times New Roman"/>
                <w:color w:val="auto"/>
              </w:rPr>
            </w:pPr>
          </w:p>
        </w:tc>
      </w:tr>
      <w:tr w14:paraId="07887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261B4E8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6</w:t>
            </w:r>
          </w:p>
        </w:tc>
        <w:tc>
          <w:tcPr>
            <w:tcW w:w="1877" w:type="dxa"/>
            <w:vAlign w:val="center"/>
          </w:tcPr>
          <w:p w14:paraId="009F74A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油基钻井岩屑</w:t>
            </w:r>
          </w:p>
        </w:tc>
        <w:tc>
          <w:tcPr>
            <w:tcW w:w="1134" w:type="dxa"/>
            <w:vAlign w:val="center"/>
          </w:tcPr>
          <w:p w14:paraId="004B9AB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259.2m</w:t>
            </w:r>
            <w:r>
              <w:rPr>
                <w:rFonts w:ascii="宋体" w:hAnsi="宋体" w:eastAsia="宋体" w:cs="Times New Roman"/>
                <w:color w:val="auto"/>
                <w:vertAlign w:val="superscript"/>
              </w:rPr>
              <w:t>3</w:t>
            </w:r>
          </w:p>
        </w:tc>
        <w:tc>
          <w:tcPr>
            <w:tcW w:w="5521" w:type="dxa"/>
            <w:vMerge w:val="continue"/>
            <w:vAlign w:val="center"/>
          </w:tcPr>
          <w:p w14:paraId="6F7C1D99">
            <w:pPr>
              <w:adjustRightInd w:val="0"/>
              <w:snapToGrid w:val="0"/>
              <w:spacing w:line="360" w:lineRule="exact"/>
              <w:rPr>
                <w:rFonts w:ascii="宋体" w:hAnsi="宋体" w:eastAsia="宋体" w:cs="Times New Roman"/>
                <w:color w:val="auto"/>
              </w:rPr>
            </w:pPr>
          </w:p>
        </w:tc>
      </w:tr>
      <w:tr w14:paraId="77811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18B930C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7</w:t>
            </w:r>
          </w:p>
        </w:tc>
        <w:tc>
          <w:tcPr>
            <w:tcW w:w="1877" w:type="dxa"/>
            <w:vAlign w:val="center"/>
          </w:tcPr>
          <w:p w14:paraId="1391A27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膨润土、纯碱、重晶石粉废包装袋</w:t>
            </w:r>
          </w:p>
        </w:tc>
        <w:tc>
          <w:tcPr>
            <w:tcW w:w="1134" w:type="dxa"/>
            <w:vAlign w:val="center"/>
          </w:tcPr>
          <w:p w14:paraId="55130E2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0.12t</w:t>
            </w:r>
          </w:p>
        </w:tc>
        <w:tc>
          <w:tcPr>
            <w:tcW w:w="5521" w:type="dxa"/>
            <w:vMerge w:val="restart"/>
            <w:vAlign w:val="center"/>
          </w:tcPr>
          <w:p w14:paraId="57126387">
            <w:pPr>
              <w:adjustRightInd w:val="0"/>
              <w:snapToGrid w:val="0"/>
              <w:spacing w:line="360" w:lineRule="exact"/>
              <w:rPr>
                <w:rFonts w:ascii="宋体" w:hAnsi="宋体" w:eastAsia="宋体" w:cs="Times New Roman"/>
                <w:color w:val="auto"/>
              </w:rPr>
            </w:pPr>
            <w:r>
              <w:rPr>
                <w:rFonts w:ascii="宋体" w:hAnsi="宋体" w:eastAsia="宋体" w:cs="Times New Roman"/>
                <w:color w:val="auto"/>
              </w:rPr>
              <w:t>拉运至第八采油厂工业固废填埋场处理</w:t>
            </w:r>
          </w:p>
        </w:tc>
      </w:tr>
      <w:tr w14:paraId="3481A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2DE2611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8</w:t>
            </w:r>
          </w:p>
        </w:tc>
        <w:tc>
          <w:tcPr>
            <w:tcW w:w="1877" w:type="dxa"/>
            <w:vAlign w:val="center"/>
          </w:tcPr>
          <w:p w14:paraId="60B293B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施工废料</w:t>
            </w:r>
          </w:p>
        </w:tc>
        <w:tc>
          <w:tcPr>
            <w:tcW w:w="1134" w:type="dxa"/>
            <w:vAlign w:val="center"/>
          </w:tcPr>
          <w:p w14:paraId="3DDA3C8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1.2kg</w:t>
            </w:r>
          </w:p>
        </w:tc>
        <w:tc>
          <w:tcPr>
            <w:tcW w:w="5521" w:type="dxa"/>
            <w:vMerge w:val="continue"/>
            <w:vAlign w:val="center"/>
          </w:tcPr>
          <w:p w14:paraId="78501D51">
            <w:pPr>
              <w:adjustRightInd w:val="0"/>
              <w:snapToGrid w:val="0"/>
              <w:spacing w:line="360" w:lineRule="exact"/>
              <w:rPr>
                <w:rFonts w:ascii="宋体" w:hAnsi="宋体" w:eastAsia="宋体" w:cs="Times New Roman"/>
                <w:color w:val="auto"/>
              </w:rPr>
            </w:pPr>
          </w:p>
        </w:tc>
      </w:tr>
      <w:tr w14:paraId="12D85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6C1661B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9</w:t>
            </w:r>
          </w:p>
        </w:tc>
        <w:tc>
          <w:tcPr>
            <w:tcW w:w="1877" w:type="dxa"/>
            <w:vAlign w:val="center"/>
          </w:tcPr>
          <w:p w14:paraId="31AE7EC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含油废防渗布</w:t>
            </w:r>
          </w:p>
        </w:tc>
        <w:tc>
          <w:tcPr>
            <w:tcW w:w="1134" w:type="dxa"/>
            <w:vAlign w:val="center"/>
          </w:tcPr>
          <w:p w14:paraId="0E43144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1.6t</w:t>
            </w:r>
          </w:p>
        </w:tc>
        <w:tc>
          <w:tcPr>
            <w:tcW w:w="5521" w:type="dxa"/>
            <w:vAlign w:val="center"/>
          </w:tcPr>
          <w:p w14:paraId="3E6DBC2A">
            <w:pPr>
              <w:adjustRightInd w:val="0"/>
              <w:snapToGrid w:val="0"/>
              <w:spacing w:line="360" w:lineRule="exact"/>
              <w:rPr>
                <w:rFonts w:ascii="宋体" w:hAnsi="宋体" w:eastAsia="宋体" w:cs="Times New Roman"/>
                <w:color w:val="auto"/>
              </w:rPr>
            </w:pPr>
            <w:r>
              <w:rPr>
                <w:rFonts w:ascii="宋体" w:hAnsi="宋体" w:eastAsia="宋体" w:cs="Times New Roman"/>
                <w:color w:val="auto"/>
              </w:rPr>
              <w:t>集中收集暂存于第十采油厂综合固废储存库，定期委托有资质单位处理</w:t>
            </w:r>
          </w:p>
        </w:tc>
      </w:tr>
      <w:tr w14:paraId="0A1DC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11BFFD0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w:t>
            </w:r>
          </w:p>
        </w:tc>
        <w:tc>
          <w:tcPr>
            <w:tcW w:w="1877" w:type="dxa"/>
            <w:vAlign w:val="center"/>
          </w:tcPr>
          <w:p w14:paraId="0D5BB4F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生活垃圾</w:t>
            </w:r>
          </w:p>
        </w:tc>
        <w:tc>
          <w:tcPr>
            <w:tcW w:w="1134" w:type="dxa"/>
            <w:vAlign w:val="center"/>
          </w:tcPr>
          <w:p w14:paraId="123A280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1.84t</w:t>
            </w:r>
          </w:p>
        </w:tc>
        <w:tc>
          <w:tcPr>
            <w:tcW w:w="5521" w:type="dxa"/>
            <w:vAlign w:val="center"/>
          </w:tcPr>
          <w:p w14:paraId="5C1E1BC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统一收集拉运至肇源县利民城市垃圾处理有限公司处理</w:t>
            </w:r>
          </w:p>
        </w:tc>
      </w:tr>
      <w:tr w14:paraId="02124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3339BE4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11</w:t>
            </w:r>
          </w:p>
        </w:tc>
        <w:tc>
          <w:tcPr>
            <w:tcW w:w="1877" w:type="dxa"/>
            <w:vAlign w:val="center"/>
          </w:tcPr>
          <w:p w14:paraId="4946B41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封井建筑垃圾</w:t>
            </w:r>
          </w:p>
        </w:tc>
        <w:tc>
          <w:tcPr>
            <w:tcW w:w="1134" w:type="dxa"/>
            <w:vAlign w:val="center"/>
          </w:tcPr>
          <w:p w14:paraId="3876C21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0.4t</w:t>
            </w:r>
          </w:p>
        </w:tc>
        <w:tc>
          <w:tcPr>
            <w:tcW w:w="5521" w:type="dxa"/>
            <w:vAlign w:val="center"/>
          </w:tcPr>
          <w:p w14:paraId="3F001AD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统一收集委托清运至市政部门指定的建筑垃圾调配场处置</w:t>
            </w:r>
          </w:p>
        </w:tc>
      </w:tr>
      <w:tr w14:paraId="73F95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28" w:type="dxa"/>
            <w:vAlign w:val="center"/>
          </w:tcPr>
          <w:p w14:paraId="1205183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12</w:t>
            </w:r>
          </w:p>
        </w:tc>
        <w:tc>
          <w:tcPr>
            <w:tcW w:w="1877" w:type="dxa"/>
            <w:vAlign w:val="center"/>
          </w:tcPr>
          <w:p w14:paraId="687DAAD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落地油</w:t>
            </w:r>
          </w:p>
        </w:tc>
        <w:tc>
          <w:tcPr>
            <w:tcW w:w="1134" w:type="dxa"/>
            <w:vAlign w:val="center"/>
          </w:tcPr>
          <w:p w14:paraId="38104DA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0.1t</w:t>
            </w:r>
          </w:p>
        </w:tc>
        <w:tc>
          <w:tcPr>
            <w:tcW w:w="5521" w:type="dxa"/>
            <w:vAlign w:val="center"/>
          </w:tcPr>
          <w:p w14:paraId="647EEA8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r>
    </w:tbl>
    <w:p w14:paraId="40A4389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运营期</w:t>
      </w:r>
      <w:r>
        <w:rPr>
          <w:rFonts w:ascii="宋体" w:hAnsi="宋体" w:eastAsia="宋体" w:cs="Times New Roman"/>
          <w:b/>
          <w:bCs/>
          <w:color w:val="auto"/>
          <w:szCs w:val="28"/>
        </w:rPr>
        <w:t>污染源源强核算</w:t>
      </w:r>
    </w:p>
    <w:p w14:paraId="771CF484">
      <w:pPr>
        <w:spacing w:line="440" w:lineRule="exact"/>
        <w:ind w:firstLine="420" w:firstLineChars="200"/>
        <w:rPr>
          <w:rFonts w:ascii="宋体" w:hAnsi="宋体" w:eastAsia="宋体" w:cs="Times New Roman"/>
          <w:color w:val="auto"/>
          <w:lang w:val="zh-CN"/>
        </w:rPr>
      </w:pPr>
      <w:r>
        <w:rPr>
          <w:rFonts w:ascii="宋体" w:hAnsi="宋体" w:eastAsia="宋体" w:cs="Times New Roman"/>
          <w:color w:val="auto"/>
          <w:lang w:val="zh-CN"/>
        </w:rPr>
        <w:t>（1）废气</w:t>
      </w:r>
    </w:p>
    <w:p w14:paraId="2CDD541B">
      <w:pPr>
        <w:pStyle w:val="276"/>
        <w:widowControl w:val="0"/>
        <w:ind w:firstLine="480"/>
        <w:jc w:val="both"/>
        <w:rPr>
          <w:color w:val="auto"/>
          <w:kern w:val="2"/>
          <w:szCs w:val="20"/>
        </w:rPr>
      </w:pPr>
      <w:r>
        <w:rPr>
          <w:rFonts w:hint="eastAsia"/>
          <w:color w:val="auto"/>
          <w:kern w:val="2"/>
          <w:szCs w:val="20"/>
        </w:rPr>
        <w:t>1）</w:t>
      </w:r>
      <w:r>
        <w:rPr>
          <w:color w:val="auto"/>
          <w:kern w:val="2"/>
          <w:szCs w:val="20"/>
        </w:rPr>
        <w:t>烃类气体</w:t>
      </w:r>
    </w:p>
    <w:p w14:paraId="41F055DE">
      <w:pPr>
        <w:pStyle w:val="276"/>
        <w:widowControl w:val="0"/>
        <w:ind w:firstLine="480"/>
        <w:jc w:val="both"/>
        <w:rPr>
          <w:color w:val="auto"/>
        </w:rPr>
      </w:pPr>
      <w:r>
        <w:rPr>
          <w:color w:val="auto"/>
          <w:kern w:val="2"/>
          <w:szCs w:val="20"/>
        </w:rPr>
        <w:t>由于本项目油气集输采用密闭集油工艺流程，烃类气体的排放主要是拉油点储罐装车挥发以及天然气使用过程中的</w:t>
      </w:r>
      <w:r>
        <w:rPr>
          <w:rFonts w:hint="eastAsia"/>
          <w:color w:val="auto"/>
          <w:kern w:val="2"/>
          <w:szCs w:val="20"/>
        </w:rPr>
        <w:t>挥发</w:t>
      </w:r>
      <w:r>
        <w:rPr>
          <w:color w:val="auto"/>
          <w:kern w:val="2"/>
          <w:szCs w:val="20"/>
        </w:rPr>
        <w:t>所致，主要排放地点为采油井场、拉油点及卸油点、集输场站。非甲烷总烃挥发量按《大气挥发性有机物源排放清单编制技术指南（试行）》中的规定，油田开采为</w:t>
      </w:r>
      <w:bookmarkStart w:id="898" w:name="OLE_LINK6"/>
      <w:r>
        <w:rPr>
          <w:color w:val="auto"/>
          <w:kern w:val="2"/>
          <w:szCs w:val="20"/>
        </w:rPr>
        <w:t>1.4175</w:t>
      </w:r>
      <w:bookmarkEnd w:id="898"/>
      <w:r>
        <w:rPr>
          <w:color w:val="auto"/>
          <w:kern w:val="2"/>
          <w:szCs w:val="20"/>
        </w:rPr>
        <w:t>g/kg原油，本项目建成后年产原油1.16×10</w:t>
      </w:r>
      <w:r>
        <w:rPr>
          <w:color w:val="auto"/>
          <w:kern w:val="2"/>
          <w:szCs w:val="20"/>
          <w:vertAlign w:val="superscript"/>
        </w:rPr>
        <w:t xml:space="preserve">4 </w:t>
      </w:r>
      <w:r>
        <w:rPr>
          <w:color w:val="auto"/>
          <w:kern w:val="2"/>
          <w:szCs w:val="20"/>
        </w:rPr>
        <w:t>t/a，则本次产能非甲烷总烃挥发量为16.44t/a。主要排放位置有油井井场、集输管道阀门、转油站、联合站等位置，其中油井井场占比约30%，经核算本项目井场非甲烷总烃逸散量为</w:t>
      </w:r>
      <w:r>
        <w:rPr>
          <w:rFonts w:hint="eastAsia"/>
          <w:color w:val="auto"/>
          <w:kern w:val="2"/>
          <w:szCs w:val="20"/>
        </w:rPr>
        <w:t>4.932</w:t>
      </w:r>
      <w:r>
        <w:rPr>
          <w:color w:val="auto"/>
          <w:kern w:val="2"/>
          <w:szCs w:val="20"/>
        </w:rPr>
        <w:t>t/a、0.</w:t>
      </w:r>
      <w:r>
        <w:rPr>
          <w:rFonts w:hint="eastAsia"/>
          <w:color w:val="auto"/>
          <w:kern w:val="2"/>
          <w:szCs w:val="20"/>
        </w:rPr>
        <w:t>685</w:t>
      </w:r>
      <w:r>
        <w:rPr>
          <w:color w:val="auto"/>
          <w:kern w:val="2"/>
          <w:szCs w:val="20"/>
        </w:rPr>
        <w:t>kg/h</w:t>
      </w:r>
      <w:r>
        <w:rPr>
          <w:rFonts w:hint="eastAsia"/>
          <w:color w:val="auto"/>
          <w:kern w:val="2"/>
          <w:szCs w:val="20"/>
        </w:rPr>
        <w:t>，即单井</w:t>
      </w:r>
      <w:r>
        <w:rPr>
          <w:color w:val="auto"/>
          <w:kern w:val="2"/>
          <w:szCs w:val="20"/>
        </w:rPr>
        <w:t>井场非甲烷总烃逸散量为</w:t>
      </w:r>
      <w:r>
        <w:rPr>
          <w:rFonts w:hint="eastAsia"/>
          <w:color w:val="auto"/>
          <w:kern w:val="2"/>
          <w:szCs w:val="20"/>
        </w:rPr>
        <w:t>1.233</w:t>
      </w:r>
      <w:r>
        <w:rPr>
          <w:color w:val="auto"/>
          <w:kern w:val="2"/>
          <w:szCs w:val="20"/>
        </w:rPr>
        <w:t>t/a、0.</w:t>
      </w:r>
      <w:r>
        <w:rPr>
          <w:rFonts w:hint="eastAsia"/>
          <w:color w:val="auto"/>
          <w:kern w:val="2"/>
          <w:szCs w:val="20"/>
        </w:rPr>
        <w:t>17</w:t>
      </w:r>
      <w:r>
        <w:rPr>
          <w:color w:val="auto"/>
          <w:kern w:val="2"/>
          <w:szCs w:val="20"/>
        </w:rPr>
        <w:t>kg/h。</w:t>
      </w:r>
    </w:p>
    <w:p w14:paraId="3C1AF91E">
      <w:pPr>
        <w:pStyle w:val="276"/>
        <w:widowControl w:val="0"/>
        <w:ind w:firstLine="480"/>
        <w:jc w:val="both"/>
        <w:rPr>
          <w:color w:val="auto"/>
        </w:rPr>
      </w:pPr>
      <w:r>
        <w:rPr>
          <w:color w:val="auto"/>
        </w:rPr>
        <w:t>本项目新建3座拉油点，拉油点非甲烷总烃挥发量按《大气挥发性有机物源排放清单编制技术指南（试行）》中的规定，油品存储为0.123g/kg原油，本项目建成后年产原油1.16×10</w:t>
      </w:r>
      <w:r>
        <w:rPr>
          <w:color w:val="auto"/>
          <w:vertAlign w:val="superscript"/>
        </w:rPr>
        <w:t>4</w:t>
      </w:r>
      <w:r>
        <w:rPr>
          <w:color w:val="auto"/>
        </w:rPr>
        <w:t>t/a，则拉油点非甲烷总烃挥发量为1.4t/a。</w:t>
      </w:r>
    </w:p>
    <w:p w14:paraId="71D3DB12">
      <w:pPr>
        <w:pStyle w:val="276"/>
        <w:widowControl w:val="0"/>
        <w:ind w:firstLine="480"/>
        <w:jc w:val="both"/>
        <w:rPr>
          <w:color w:val="auto"/>
          <w:kern w:val="2"/>
          <w:szCs w:val="20"/>
        </w:rPr>
      </w:pPr>
      <w:r>
        <w:rPr>
          <w:color w:val="auto"/>
        </w:rPr>
        <w:t>本项目井场和拉油点非甲烷总烃排放量汇总见表3.12-5。</w:t>
      </w:r>
    </w:p>
    <w:p w14:paraId="6788464F">
      <w:pPr>
        <w:pStyle w:val="276"/>
        <w:widowControl w:val="0"/>
        <w:spacing w:line="440" w:lineRule="exact"/>
        <w:ind w:firstLine="0" w:firstLineChars="0"/>
        <w:jc w:val="center"/>
        <w:rPr>
          <w:color w:val="auto"/>
          <w:kern w:val="2"/>
          <w:sz w:val="21"/>
          <w:szCs w:val="20"/>
        </w:rPr>
      </w:pPr>
      <w:r>
        <w:rPr>
          <w:color w:val="auto"/>
          <w:kern w:val="2"/>
          <w:sz w:val="21"/>
          <w:szCs w:val="20"/>
        </w:rPr>
        <w:t>表3.12-5本项目井场和拉油点非甲烷总烃排放量汇总表</w:t>
      </w:r>
    </w:p>
    <w:tbl>
      <w:tblPr>
        <w:tblStyle w:val="81"/>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3"/>
        <w:gridCol w:w="4311"/>
        <w:gridCol w:w="3396"/>
      </w:tblGrid>
      <w:tr w14:paraId="741E7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3" w:type="dxa"/>
            <w:vAlign w:val="center"/>
          </w:tcPr>
          <w:p w14:paraId="71FE3FC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序号</w:t>
            </w:r>
          </w:p>
        </w:tc>
        <w:tc>
          <w:tcPr>
            <w:tcW w:w="4311" w:type="dxa"/>
            <w:vAlign w:val="center"/>
          </w:tcPr>
          <w:p w14:paraId="41E2AC6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井场</w:t>
            </w:r>
          </w:p>
        </w:tc>
        <w:tc>
          <w:tcPr>
            <w:tcW w:w="3396" w:type="dxa"/>
            <w:vAlign w:val="center"/>
          </w:tcPr>
          <w:p w14:paraId="2FFC10D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非甲烷总烃排放量（t/a）</w:t>
            </w:r>
          </w:p>
        </w:tc>
      </w:tr>
      <w:tr w14:paraId="2C781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3" w:type="dxa"/>
            <w:vAlign w:val="center"/>
          </w:tcPr>
          <w:p w14:paraId="50D71EF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w:t>
            </w:r>
          </w:p>
        </w:tc>
        <w:tc>
          <w:tcPr>
            <w:tcW w:w="4311" w:type="dxa"/>
            <w:vAlign w:val="center"/>
          </w:tcPr>
          <w:p w14:paraId="67CC3DB3">
            <w:pPr>
              <w:adjustRightInd w:val="0"/>
              <w:snapToGrid w:val="0"/>
              <w:spacing w:line="320" w:lineRule="exact"/>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号平台井场</w:t>
            </w:r>
          </w:p>
        </w:tc>
        <w:tc>
          <w:tcPr>
            <w:tcW w:w="3396" w:type="dxa"/>
            <w:vAlign w:val="center"/>
          </w:tcPr>
          <w:p w14:paraId="2167F6E9">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2.48</w:t>
            </w:r>
          </w:p>
        </w:tc>
      </w:tr>
      <w:tr w14:paraId="7E993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3" w:type="dxa"/>
            <w:vAlign w:val="center"/>
          </w:tcPr>
          <w:p w14:paraId="172EC7F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2</w:t>
            </w:r>
          </w:p>
        </w:tc>
        <w:tc>
          <w:tcPr>
            <w:tcW w:w="4311" w:type="dxa"/>
            <w:vAlign w:val="center"/>
          </w:tcPr>
          <w:p w14:paraId="78BA025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源212-扶平3</w:t>
            </w:r>
          </w:p>
        </w:tc>
        <w:tc>
          <w:tcPr>
            <w:tcW w:w="3396" w:type="dxa"/>
            <w:vAlign w:val="center"/>
          </w:tcPr>
          <w:p w14:paraId="12F93CA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1.24</w:t>
            </w:r>
          </w:p>
        </w:tc>
      </w:tr>
      <w:tr w14:paraId="4C07A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3" w:type="dxa"/>
            <w:vAlign w:val="center"/>
          </w:tcPr>
          <w:p w14:paraId="57D04F0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3</w:t>
            </w:r>
          </w:p>
        </w:tc>
        <w:tc>
          <w:tcPr>
            <w:tcW w:w="4311" w:type="dxa"/>
            <w:vAlign w:val="center"/>
          </w:tcPr>
          <w:p w14:paraId="6D751DD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源212-扶平4</w:t>
            </w:r>
          </w:p>
        </w:tc>
        <w:tc>
          <w:tcPr>
            <w:tcW w:w="3396" w:type="dxa"/>
            <w:vAlign w:val="center"/>
          </w:tcPr>
          <w:p w14:paraId="410731A0">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1.24</w:t>
            </w:r>
          </w:p>
        </w:tc>
      </w:tr>
      <w:tr w14:paraId="75506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3" w:type="dxa"/>
            <w:vAlign w:val="center"/>
          </w:tcPr>
          <w:p w14:paraId="5C1E70B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4</w:t>
            </w:r>
          </w:p>
        </w:tc>
        <w:tc>
          <w:tcPr>
            <w:tcW w:w="4311" w:type="dxa"/>
            <w:vAlign w:val="center"/>
          </w:tcPr>
          <w:p w14:paraId="16D82DE0">
            <w:pPr>
              <w:adjustRightInd w:val="0"/>
              <w:snapToGrid w:val="0"/>
              <w:spacing w:line="320" w:lineRule="exact"/>
              <w:jc w:val="center"/>
              <w:rPr>
                <w:rFonts w:ascii="宋体" w:hAnsi="宋体" w:eastAsia="宋体" w:cs="Times New Roman"/>
                <w:color w:val="auto"/>
              </w:rPr>
            </w:pPr>
            <w:r>
              <w:rPr>
                <w:rFonts w:hint="eastAsia" w:ascii="宋体" w:hAnsi="宋体" w:eastAsia="宋体" w:cs="Times New Roman"/>
                <w:color w:val="auto"/>
              </w:rPr>
              <w:t>1</w:t>
            </w:r>
            <w:r>
              <w:rPr>
                <w:rFonts w:ascii="宋体" w:hAnsi="宋体" w:eastAsia="宋体" w:cs="Times New Roman"/>
                <w:color w:val="auto"/>
              </w:rPr>
              <w:t>#拉油点</w:t>
            </w:r>
          </w:p>
        </w:tc>
        <w:tc>
          <w:tcPr>
            <w:tcW w:w="3396" w:type="dxa"/>
            <w:vAlign w:val="center"/>
          </w:tcPr>
          <w:p w14:paraId="7E649FB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0.28</w:t>
            </w:r>
          </w:p>
        </w:tc>
      </w:tr>
      <w:tr w14:paraId="6C297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3" w:type="dxa"/>
            <w:vAlign w:val="center"/>
          </w:tcPr>
          <w:p w14:paraId="27E4C66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5</w:t>
            </w:r>
          </w:p>
        </w:tc>
        <w:tc>
          <w:tcPr>
            <w:tcW w:w="4311" w:type="dxa"/>
            <w:vAlign w:val="center"/>
          </w:tcPr>
          <w:p w14:paraId="0E9B55E0">
            <w:pPr>
              <w:adjustRightInd w:val="0"/>
              <w:snapToGrid w:val="0"/>
              <w:spacing w:line="320" w:lineRule="exact"/>
              <w:jc w:val="center"/>
              <w:rPr>
                <w:rFonts w:ascii="宋体" w:hAnsi="宋体" w:eastAsia="宋体" w:cs="Times New Roman"/>
                <w:color w:val="auto"/>
              </w:rPr>
            </w:pPr>
            <w:r>
              <w:rPr>
                <w:rFonts w:hint="eastAsia" w:ascii="宋体" w:hAnsi="宋体" w:eastAsia="宋体" w:cs="Times New Roman"/>
                <w:color w:val="auto"/>
              </w:rPr>
              <w:t>2</w:t>
            </w:r>
            <w:r>
              <w:rPr>
                <w:rFonts w:ascii="宋体" w:hAnsi="宋体" w:eastAsia="宋体" w:cs="Times New Roman"/>
                <w:color w:val="auto"/>
              </w:rPr>
              <w:t>#拉油点</w:t>
            </w:r>
          </w:p>
        </w:tc>
        <w:tc>
          <w:tcPr>
            <w:tcW w:w="3396" w:type="dxa"/>
            <w:vAlign w:val="center"/>
          </w:tcPr>
          <w:p w14:paraId="783A35A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0.28</w:t>
            </w:r>
          </w:p>
        </w:tc>
      </w:tr>
      <w:tr w14:paraId="1104F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53" w:type="dxa"/>
            <w:vAlign w:val="center"/>
          </w:tcPr>
          <w:p w14:paraId="0D1D7E0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6</w:t>
            </w:r>
          </w:p>
        </w:tc>
        <w:tc>
          <w:tcPr>
            <w:tcW w:w="4311" w:type="dxa"/>
            <w:vAlign w:val="center"/>
          </w:tcPr>
          <w:p w14:paraId="3F794396">
            <w:pPr>
              <w:adjustRightInd w:val="0"/>
              <w:snapToGrid w:val="0"/>
              <w:spacing w:line="320" w:lineRule="exact"/>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#拉油点</w:t>
            </w:r>
          </w:p>
        </w:tc>
        <w:tc>
          <w:tcPr>
            <w:tcW w:w="3396" w:type="dxa"/>
            <w:vAlign w:val="center"/>
          </w:tcPr>
          <w:p w14:paraId="2A22B84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0.84</w:t>
            </w:r>
          </w:p>
        </w:tc>
      </w:tr>
      <w:tr w14:paraId="0162E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64" w:type="dxa"/>
            <w:gridSpan w:val="2"/>
            <w:vAlign w:val="center"/>
          </w:tcPr>
          <w:p w14:paraId="068B62B3">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合计</w:t>
            </w:r>
          </w:p>
        </w:tc>
        <w:tc>
          <w:tcPr>
            <w:tcW w:w="3396" w:type="dxa"/>
            <w:vAlign w:val="center"/>
          </w:tcPr>
          <w:p w14:paraId="2C562F5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6.36</w:t>
            </w:r>
          </w:p>
        </w:tc>
      </w:tr>
    </w:tbl>
    <w:p w14:paraId="4B283583">
      <w:pPr>
        <w:pStyle w:val="276"/>
        <w:widowControl w:val="0"/>
        <w:ind w:firstLine="480"/>
        <w:jc w:val="both"/>
        <w:rPr>
          <w:color w:val="auto"/>
          <w:kern w:val="2"/>
          <w:szCs w:val="20"/>
        </w:rPr>
      </w:pPr>
      <w:r>
        <w:rPr>
          <w:rFonts w:hint="eastAsia"/>
          <w:color w:val="auto"/>
          <w:kern w:val="2"/>
          <w:szCs w:val="20"/>
        </w:rPr>
        <w:t>2）</w:t>
      </w:r>
      <w:r>
        <w:rPr>
          <w:color w:val="auto"/>
          <w:kern w:val="2"/>
          <w:szCs w:val="20"/>
        </w:rPr>
        <w:t>加热炉烟气</w:t>
      </w:r>
    </w:p>
    <w:p w14:paraId="6099AE44">
      <w:pPr>
        <w:pStyle w:val="276"/>
        <w:widowControl w:val="0"/>
        <w:ind w:firstLine="480"/>
        <w:jc w:val="both"/>
        <w:rPr>
          <w:color w:val="auto"/>
          <w:kern w:val="2"/>
          <w:szCs w:val="20"/>
          <w:lang w:bidi="zh-CN"/>
        </w:rPr>
      </w:pPr>
      <w:r>
        <w:rPr>
          <w:color w:val="auto"/>
          <w:kern w:val="2"/>
          <w:szCs w:val="20"/>
        </w:rPr>
        <w:t>本项目</w:t>
      </w:r>
      <w:r>
        <w:rPr>
          <w:rFonts w:hint="eastAsia"/>
          <w:color w:val="auto"/>
          <w:kern w:val="2"/>
          <w:szCs w:val="20"/>
        </w:rPr>
        <w:t>运营期</w:t>
      </w:r>
      <w:r>
        <w:rPr>
          <w:color w:val="auto"/>
          <w:kern w:val="2"/>
          <w:szCs w:val="20"/>
        </w:rPr>
        <w:t>产生的废气主要来自拉油点储罐加热炉烟气和依托场站加热炉烟气，燃料为天然气，产生的烟气较为清洁，并采用了低氮燃烧器。</w:t>
      </w:r>
      <w:r>
        <w:rPr>
          <w:color w:val="auto"/>
          <w:kern w:val="2"/>
          <w:szCs w:val="20"/>
          <w:lang w:bidi="zh-CN"/>
        </w:rPr>
        <w:t>由于依托场站加热炉均满足相应的负荷状态下运行，且大气污染物总量在原申请总量范围内，因此本项目仅计算新建拉油点储罐加热炉烟气。</w:t>
      </w:r>
    </w:p>
    <w:p w14:paraId="02BF5D8B">
      <w:pPr>
        <w:pStyle w:val="276"/>
        <w:widowControl w:val="0"/>
        <w:ind w:firstLine="480"/>
        <w:jc w:val="both"/>
        <w:rPr>
          <w:color w:val="auto"/>
        </w:rPr>
      </w:pPr>
      <w:r>
        <w:rPr>
          <w:color w:val="auto"/>
        </w:rPr>
        <w:t>根据设计资料，本项目新建</w:t>
      </w:r>
      <w:r>
        <w:rPr>
          <w:rFonts w:hint="eastAsia"/>
          <w:color w:val="auto"/>
        </w:rPr>
        <w:t>3</w:t>
      </w:r>
      <w:r>
        <w:rPr>
          <w:color w:val="auto"/>
        </w:rPr>
        <w:t>座拉油点，</w:t>
      </w:r>
      <w:r>
        <w:rPr>
          <w:rFonts w:hint="eastAsia"/>
          <w:color w:val="auto"/>
        </w:rPr>
        <w:t>1#、2#</w:t>
      </w:r>
      <w:r>
        <w:rPr>
          <w:color w:val="auto"/>
        </w:rPr>
        <w:t>拉油点</w:t>
      </w:r>
      <w:r>
        <w:rPr>
          <w:rFonts w:hint="eastAsia"/>
          <w:color w:val="auto"/>
        </w:rPr>
        <w:t>均</w:t>
      </w:r>
      <w:r>
        <w:rPr>
          <w:color w:val="auto"/>
        </w:rPr>
        <w:t>设置</w:t>
      </w:r>
      <w:r>
        <w:rPr>
          <w:rFonts w:hint="eastAsia"/>
          <w:color w:val="auto"/>
        </w:rPr>
        <w:t>1</w:t>
      </w:r>
      <w:r>
        <w:rPr>
          <w:color w:val="auto"/>
        </w:rPr>
        <w:t>座40m</w:t>
      </w:r>
      <w:r>
        <w:rPr>
          <w:color w:val="auto"/>
          <w:vertAlign w:val="superscript"/>
        </w:rPr>
        <w:t>3</w:t>
      </w:r>
      <w:r>
        <w:rPr>
          <w:rFonts w:hint="eastAsia"/>
          <w:color w:val="auto"/>
        </w:rPr>
        <w:t>多功能储油罐</w:t>
      </w:r>
      <w:r>
        <w:rPr>
          <w:color w:val="auto"/>
        </w:rPr>
        <w:t>，</w:t>
      </w:r>
      <w:r>
        <w:rPr>
          <w:rFonts w:hint="eastAsia"/>
          <w:color w:val="auto"/>
        </w:rPr>
        <w:t>3#拉油点设置1</w:t>
      </w:r>
      <w:r>
        <w:rPr>
          <w:color w:val="auto"/>
        </w:rPr>
        <w:t>座40m</w:t>
      </w:r>
      <w:r>
        <w:rPr>
          <w:color w:val="auto"/>
          <w:vertAlign w:val="superscript"/>
        </w:rPr>
        <w:t>3</w:t>
      </w:r>
      <w:r>
        <w:rPr>
          <w:rFonts w:hint="eastAsia"/>
          <w:color w:val="auto"/>
        </w:rPr>
        <w:t>多功能储油罐和1</w:t>
      </w:r>
      <w:r>
        <w:rPr>
          <w:color w:val="auto"/>
        </w:rPr>
        <w:t>座</w:t>
      </w:r>
      <w:r>
        <w:rPr>
          <w:rFonts w:hint="eastAsia"/>
          <w:color w:val="auto"/>
        </w:rPr>
        <w:t>8</w:t>
      </w:r>
      <w:r>
        <w:rPr>
          <w:color w:val="auto"/>
        </w:rPr>
        <w:t>0m</w:t>
      </w:r>
      <w:r>
        <w:rPr>
          <w:color w:val="auto"/>
          <w:vertAlign w:val="superscript"/>
        </w:rPr>
        <w:t>3</w:t>
      </w:r>
      <w:r>
        <w:rPr>
          <w:rFonts w:hint="eastAsia"/>
          <w:color w:val="auto"/>
        </w:rPr>
        <w:t>多功能储油罐，储罐均配备天然气加热装置、电加热装置，</w:t>
      </w:r>
      <w:r>
        <w:rPr>
          <w:color w:val="auto"/>
        </w:rPr>
        <w:t>罐内产液维温依托储罐加热装置，</w:t>
      </w:r>
      <w:r>
        <w:rPr>
          <w:rFonts w:hint="eastAsia"/>
          <w:color w:val="auto"/>
        </w:rPr>
        <w:t>多功能储油罐的天然气加热装置拟采用低氮燃烧技术，</w:t>
      </w:r>
      <w:r>
        <w:rPr>
          <w:color w:val="auto"/>
        </w:rPr>
        <w:t>当油田伴生气（天然气）完全燃烧后仍不足将罐内原油升温至凝固点以上5℃时，需采用电加热作为补充。</w:t>
      </w:r>
    </w:p>
    <w:p w14:paraId="0274541F">
      <w:pPr>
        <w:pStyle w:val="276"/>
        <w:widowControl w:val="0"/>
        <w:ind w:firstLine="480"/>
        <w:jc w:val="both"/>
        <w:rPr>
          <w:color w:val="auto"/>
        </w:rPr>
      </w:pPr>
      <w:r>
        <w:rPr>
          <w:color w:val="auto"/>
        </w:rPr>
        <w:t>根据</w:t>
      </w:r>
      <w:r>
        <w:rPr>
          <w:color w:val="auto"/>
          <w:kern w:val="2"/>
          <w:szCs w:val="20"/>
        </w:rPr>
        <w:t>独立井拉油点储罐最大耗气量为2.9×10</w:t>
      </w:r>
      <w:r>
        <w:rPr>
          <w:color w:val="auto"/>
          <w:kern w:val="2"/>
          <w:szCs w:val="20"/>
          <w:vertAlign w:val="superscript"/>
        </w:rPr>
        <w:t>4</w:t>
      </w:r>
      <w:r>
        <w:rPr>
          <w:color w:val="auto"/>
          <w:kern w:val="2"/>
          <w:szCs w:val="20"/>
        </w:rPr>
        <w:t>m</w:t>
      </w:r>
      <w:r>
        <w:rPr>
          <w:color w:val="auto"/>
          <w:kern w:val="2"/>
          <w:szCs w:val="20"/>
          <w:vertAlign w:val="superscript"/>
        </w:rPr>
        <w:t>3</w:t>
      </w:r>
      <w:r>
        <w:rPr>
          <w:color w:val="auto"/>
          <w:kern w:val="2"/>
          <w:szCs w:val="20"/>
        </w:rPr>
        <w:t>/a，平台井拉油点储罐最大耗气量为5.8×10</w:t>
      </w:r>
      <w:r>
        <w:rPr>
          <w:color w:val="auto"/>
          <w:kern w:val="2"/>
          <w:szCs w:val="20"/>
          <w:vertAlign w:val="superscript"/>
        </w:rPr>
        <w:t>4</w:t>
      </w:r>
      <w:r>
        <w:rPr>
          <w:color w:val="auto"/>
          <w:kern w:val="2"/>
          <w:szCs w:val="20"/>
        </w:rPr>
        <w:t>m</w:t>
      </w:r>
      <w:r>
        <w:rPr>
          <w:color w:val="auto"/>
          <w:kern w:val="2"/>
          <w:szCs w:val="20"/>
          <w:vertAlign w:val="superscript"/>
        </w:rPr>
        <w:t>3</w:t>
      </w:r>
      <w:r>
        <w:rPr>
          <w:color w:val="auto"/>
          <w:kern w:val="2"/>
          <w:szCs w:val="20"/>
        </w:rPr>
        <w:t>/a</w:t>
      </w:r>
      <w:r>
        <w:rPr>
          <w:color w:val="auto"/>
          <w:szCs w:val="28"/>
        </w:rPr>
        <w:t>，</w:t>
      </w:r>
      <w:r>
        <w:rPr>
          <w:color w:val="auto"/>
        </w:rPr>
        <w:t>经计算，为了保证拉运原油凝固点进站，罐内原油升温至凝固点以上5℃时，自产气完全燃烧后仍不足，需采用电加热作为补充。本项目拉油点最大耗气量按照伴生气产气量</w:t>
      </w:r>
      <w:r>
        <w:rPr>
          <w:color w:val="auto"/>
          <w:kern w:val="2"/>
          <w:szCs w:val="20"/>
        </w:rPr>
        <w:t>5.8×10</w:t>
      </w:r>
      <w:r>
        <w:rPr>
          <w:color w:val="auto"/>
          <w:kern w:val="2"/>
          <w:szCs w:val="20"/>
          <w:vertAlign w:val="superscript"/>
        </w:rPr>
        <w:t>4</w:t>
      </w:r>
      <w:r>
        <w:rPr>
          <w:color w:val="auto"/>
          <w:szCs w:val="28"/>
        </w:rPr>
        <w:t>m</w:t>
      </w:r>
      <w:r>
        <w:rPr>
          <w:color w:val="auto"/>
          <w:szCs w:val="28"/>
          <w:vertAlign w:val="superscript"/>
        </w:rPr>
        <w:t>3</w:t>
      </w:r>
      <w:r>
        <w:rPr>
          <w:color w:val="auto"/>
          <w:szCs w:val="28"/>
        </w:rPr>
        <w:t>/a核算。</w:t>
      </w:r>
    </w:p>
    <w:p w14:paraId="43CBECB3">
      <w:pPr>
        <w:pStyle w:val="276"/>
        <w:widowControl w:val="0"/>
        <w:ind w:firstLine="480"/>
        <w:jc w:val="both"/>
        <w:rPr>
          <w:color w:val="auto"/>
          <w:kern w:val="2"/>
          <w:szCs w:val="20"/>
        </w:rPr>
      </w:pPr>
      <w:r>
        <w:rPr>
          <w:color w:val="auto"/>
        </w:rPr>
        <w:t>根据《污染源源强核算</w:t>
      </w:r>
      <w:r>
        <w:rPr>
          <w:rFonts w:hint="eastAsia"/>
          <w:color w:val="auto"/>
        </w:rPr>
        <w:t>技术</w:t>
      </w:r>
      <w:r>
        <w:rPr>
          <w:color w:val="auto"/>
        </w:rPr>
        <w:t>指南 锅炉》（HJ991-2018），新建工程锅炉废气优先采用物料衡算法进行核算，其次可采用类比法和产污系数法核算，本项目</w:t>
      </w:r>
      <w:r>
        <w:rPr>
          <w:color w:val="auto"/>
          <w:szCs w:val="28"/>
        </w:rPr>
        <w:t>多功能储罐</w:t>
      </w:r>
      <w:r>
        <w:rPr>
          <w:color w:val="auto"/>
        </w:rPr>
        <w:t>燃烧废气烟气量采用产污系数法核算。</w:t>
      </w:r>
    </w:p>
    <w:p w14:paraId="01446BCA">
      <w:pPr>
        <w:pStyle w:val="276"/>
        <w:widowControl w:val="0"/>
        <w:ind w:firstLine="480"/>
        <w:jc w:val="both"/>
        <w:rPr>
          <w:color w:val="auto"/>
        </w:rPr>
      </w:pPr>
      <w:r>
        <w:rPr>
          <w:snapToGrid w:val="0"/>
          <w:color w:val="auto"/>
          <w:szCs w:val="20"/>
        </w:rPr>
        <w:t>根据《纳入排污许可管理的火电等17个行业污染物实际排放量计算方法（含排污系数、物料衡算方法）》表B.5中燃气锅炉的废气产排污系数（139854.28m</w:t>
      </w:r>
      <w:r>
        <w:rPr>
          <w:snapToGrid w:val="0"/>
          <w:color w:val="auto"/>
          <w:szCs w:val="20"/>
          <w:vertAlign w:val="superscript"/>
        </w:rPr>
        <w:t>3</w:t>
      </w:r>
      <w:r>
        <w:rPr>
          <w:snapToGrid w:val="0"/>
          <w:color w:val="auto"/>
          <w:szCs w:val="20"/>
        </w:rPr>
        <w:t>/万m</w:t>
      </w:r>
      <w:r>
        <w:rPr>
          <w:snapToGrid w:val="0"/>
          <w:color w:val="auto"/>
          <w:szCs w:val="20"/>
          <w:vertAlign w:val="superscript"/>
        </w:rPr>
        <w:t>3</w:t>
      </w:r>
      <w:r>
        <w:rPr>
          <w:snapToGrid w:val="0"/>
          <w:color w:val="auto"/>
          <w:szCs w:val="20"/>
        </w:rPr>
        <w:t>-原料）</w:t>
      </w:r>
      <w:r>
        <w:rPr>
          <w:rFonts w:hint="eastAsia"/>
          <w:snapToGrid w:val="0"/>
          <w:color w:val="auto"/>
          <w:szCs w:val="20"/>
        </w:rPr>
        <w:t>，经</w:t>
      </w:r>
      <w:r>
        <w:rPr>
          <w:snapToGrid w:val="0"/>
          <w:color w:val="auto"/>
          <w:szCs w:val="20"/>
        </w:rPr>
        <w:t>计算，本项目</w:t>
      </w:r>
      <w:r>
        <w:rPr>
          <w:rFonts w:hint="eastAsia"/>
          <w:snapToGrid w:val="0"/>
          <w:color w:val="auto"/>
          <w:szCs w:val="20"/>
        </w:rPr>
        <w:t>4</w:t>
      </w:r>
      <w:r>
        <w:rPr>
          <w:snapToGrid w:val="0"/>
          <w:color w:val="auto"/>
          <w:szCs w:val="20"/>
        </w:rPr>
        <w:t>多功能储罐废气量共计约为</w:t>
      </w:r>
      <w:r>
        <w:rPr>
          <w:rFonts w:hint="eastAsia"/>
          <w:snapToGrid w:val="0"/>
          <w:color w:val="auto"/>
          <w:szCs w:val="20"/>
        </w:rPr>
        <w:t>162.23</w:t>
      </w:r>
      <w:r>
        <w:rPr>
          <w:color w:val="auto"/>
        </w:rPr>
        <w:t>万m</w:t>
      </w:r>
      <w:r>
        <w:rPr>
          <w:color w:val="auto"/>
          <w:vertAlign w:val="superscript"/>
        </w:rPr>
        <w:t>3</w:t>
      </w:r>
      <w:r>
        <w:rPr>
          <w:color w:val="auto"/>
        </w:rPr>
        <w:t>/a。</w:t>
      </w:r>
    </w:p>
    <w:p w14:paraId="38E7CB45">
      <w:pPr>
        <w:pStyle w:val="276"/>
        <w:widowControl w:val="0"/>
        <w:ind w:firstLine="480"/>
        <w:jc w:val="both"/>
        <w:rPr>
          <w:color w:val="auto"/>
        </w:rPr>
      </w:pPr>
      <w:r>
        <w:rPr>
          <w:color w:val="auto"/>
        </w:rPr>
        <w:t>二氧化硫、氮氧化物、颗粒物的产排污系数根据《排污许可证申请与核发技术规范 锅炉》（HJ953-2018）表F.3燃气工业锅炉的废气产排污系数NOx=18.71kg/万m</w:t>
      </w:r>
      <w:r>
        <w:rPr>
          <w:color w:val="auto"/>
          <w:vertAlign w:val="superscript"/>
        </w:rPr>
        <w:t>3</w:t>
      </w:r>
      <w:r>
        <w:rPr>
          <w:color w:val="auto"/>
        </w:rPr>
        <w:t>-原料、SO</w:t>
      </w:r>
      <w:r>
        <w:rPr>
          <w:color w:val="auto"/>
          <w:vertAlign w:val="subscript"/>
        </w:rPr>
        <w:t>2</w:t>
      </w:r>
      <w:r>
        <w:rPr>
          <w:color w:val="auto"/>
        </w:rPr>
        <w:t>=0.02Skg/万m</w:t>
      </w:r>
      <w:r>
        <w:rPr>
          <w:color w:val="auto"/>
          <w:vertAlign w:val="superscript"/>
        </w:rPr>
        <w:t>3</w:t>
      </w:r>
      <w:r>
        <w:rPr>
          <w:color w:val="auto"/>
        </w:rPr>
        <w:t>-原料、颗粒物2.86kg/万m</w:t>
      </w:r>
      <w:r>
        <w:rPr>
          <w:color w:val="auto"/>
          <w:vertAlign w:val="superscript"/>
        </w:rPr>
        <w:t>3</w:t>
      </w:r>
      <w:r>
        <w:rPr>
          <w:color w:val="auto"/>
        </w:rPr>
        <w:t>-原料，其中低氮燃烧技术NOx减排率可达20-50%，本次取50%，即NOx=9.36kg/万m</w:t>
      </w:r>
      <w:r>
        <w:rPr>
          <w:color w:val="auto"/>
          <w:vertAlign w:val="superscript"/>
        </w:rPr>
        <w:t>3</w:t>
      </w:r>
      <w:r>
        <w:rPr>
          <w:color w:val="auto"/>
        </w:rPr>
        <w:t>-原料。</w:t>
      </w:r>
    </w:p>
    <w:p w14:paraId="2F6DFA53">
      <w:pPr>
        <w:pStyle w:val="276"/>
        <w:widowControl w:val="0"/>
        <w:spacing w:line="440" w:lineRule="exact"/>
        <w:ind w:firstLine="0" w:firstLineChars="0"/>
        <w:jc w:val="center"/>
        <w:rPr>
          <w:color w:val="auto"/>
          <w:kern w:val="2"/>
        </w:rPr>
      </w:pPr>
      <w:r>
        <w:rPr>
          <w:color w:val="auto"/>
          <w:kern w:val="2"/>
        </w:rPr>
        <w:t>表3.12-6 拉油点储罐加热炉烟气污染物统计表</w:t>
      </w:r>
    </w:p>
    <w:tbl>
      <w:tblPr>
        <w:tblStyle w:val="81"/>
        <w:tblW w:w="90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0"/>
        <w:gridCol w:w="854"/>
        <w:gridCol w:w="693"/>
        <w:gridCol w:w="850"/>
        <w:gridCol w:w="851"/>
        <w:gridCol w:w="850"/>
        <w:gridCol w:w="851"/>
        <w:gridCol w:w="709"/>
        <w:gridCol w:w="708"/>
        <w:gridCol w:w="993"/>
        <w:gridCol w:w="711"/>
      </w:tblGrid>
      <w:tr w14:paraId="3D692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54" w:type="dxa"/>
            <w:gridSpan w:val="2"/>
            <w:vMerge w:val="restart"/>
            <w:vAlign w:val="center"/>
          </w:tcPr>
          <w:p w14:paraId="29290271">
            <w:pPr>
              <w:jc w:val="center"/>
              <w:rPr>
                <w:rFonts w:ascii="宋体" w:hAnsi="宋体" w:eastAsia="宋体" w:cs="Times New Roman"/>
                <w:color w:val="auto"/>
                <w:lang w:bidi="zh-CN"/>
              </w:rPr>
            </w:pPr>
            <w:r>
              <w:rPr>
                <w:rFonts w:ascii="宋体" w:hAnsi="宋体" w:eastAsia="宋体" w:cs="Times New Roman"/>
                <w:color w:val="auto"/>
                <w:lang w:val="zh-CN" w:bidi="zh-CN"/>
              </w:rPr>
              <w:t>场站名称</w:t>
            </w:r>
          </w:p>
        </w:tc>
        <w:tc>
          <w:tcPr>
            <w:tcW w:w="693" w:type="dxa"/>
            <w:vMerge w:val="restart"/>
            <w:vAlign w:val="center"/>
          </w:tcPr>
          <w:p w14:paraId="254F7D0C">
            <w:pPr>
              <w:jc w:val="center"/>
              <w:rPr>
                <w:rFonts w:ascii="宋体" w:hAnsi="宋体" w:eastAsia="宋体" w:cs="Times New Roman"/>
                <w:color w:val="auto"/>
                <w:lang w:bidi="zh-CN"/>
              </w:rPr>
            </w:pPr>
            <w:r>
              <w:rPr>
                <w:rFonts w:ascii="宋体" w:hAnsi="宋体" w:eastAsia="宋体" w:cs="Times New Roman"/>
                <w:color w:val="auto"/>
                <w:lang w:val="zh-CN" w:bidi="zh-CN"/>
              </w:rPr>
              <w:t>排气筒高度（</w:t>
            </w:r>
            <w:r>
              <w:rPr>
                <w:rFonts w:ascii="宋体" w:hAnsi="宋体" w:eastAsia="宋体" w:cs="Times New Roman"/>
                <w:color w:val="auto"/>
              </w:rPr>
              <w:t>m</w:t>
            </w:r>
            <w:r>
              <w:rPr>
                <w:rFonts w:ascii="宋体" w:hAnsi="宋体" w:eastAsia="宋体" w:cs="Times New Roman"/>
                <w:color w:val="auto"/>
                <w:lang w:val="zh-CN" w:bidi="zh-CN"/>
              </w:rPr>
              <w:t>）</w:t>
            </w:r>
          </w:p>
        </w:tc>
        <w:tc>
          <w:tcPr>
            <w:tcW w:w="850" w:type="dxa"/>
            <w:vMerge w:val="restart"/>
            <w:vAlign w:val="center"/>
          </w:tcPr>
          <w:p w14:paraId="757D0096">
            <w:pPr>
              <w:jc w:val="center"/>
              <w:rPr>
                <w:rFonts w:ascii="宋体" w:hAnsi="宋体" w:eastAsia="宋体" w:cs="Times New Roman"/>
                <w:color w:val="auto"/>
                <w:lang w:val="zh-CN" w:bidi="zh-CN"/>
              </w:rPr>
            </w:pPr>
            <w:r>
              <w:rPr>
                <w:rFonts w:ascii="宋体" w:hAnsi="宋体" w:eastAsia="宋体" w:cs="Times New Roman"/>
                <w:color w:val="auto"/>
                <w:lang w:val="zh-CN" w:bidi="zh-CN"/>
              </w:rPr>
              <w:t>燃气量（万Nm</w:t>
            </w:r>
            <w:r>
              <w:rPr>
                <w:rFonts w:ascii="宋体" w:hAnsi="宋体" w:eastAsia="宋体" w:cs="Times New Roman"/>
                <w:color w:val="auto"/>
                <w:vertAlign w:val="superscript"/>
                <w:lang w:bidi="zh-CN"/>
              </w:rPr>
              <w:t>3</w:t>
            </w:r>
            <w:r>
              <w:rPr>
                <w:rFonts w:ascii="宋体" w:hAnsi="宋体" w:eastAsia="宋体" w:cs="Times New Roman"/>
                <w:color w:val="auto"/>
                <w:lang w:val="zh-CN" w:bidi="zh-CN"/>
              </w:rPr>
              <w:t>/a）</w:t>
            </w:r>
          </w:p>
        </w:tc>
        <w:tc>
          <w:tcPr>
            <w:tcW w:w="851" w:type="dxa"/>
            <w:vMerge w:val="restart"/>
            <w:vAlign w:val="center"/>
          </w:tcPr>
          <w:p w14:paraId="578C626B">
            <w:pPr>
              <w:jc w:val="center"/>
              <w:rPr>
                <w:rFonts w:ascii="宋体" w:hAnsi="宋体" w:eastAsia="宋体" w:cs="Times New Roman"/>
                <w:color w:val="auto"/>
                <w:lang w:val="zh-CN" w:bidi="zh-CN"/>
              </w:rPr>
            </w:pPr>
            <w:r>
              <w:rPr>
                <w:rFonts w:ascii="宋体" w:hAnsi="宋体" w:eastAsia="宋体" w:cs="Times New Roman"/>
                <w:color w:val="auto"/>
                <w:lang w:val="zh-CN" w:bidi="zh-CN"/>
              </w:rPr>
              <w:t>烟气量（万Nm</w:t>
            </w:r>
            <w:r>
              <w:rPr>
                <w:rFonts w:ascii="宋体" w:hAnsi="宋体" w:eastAsia="宋体" w:cs="Times New Roman"/>
                <w:color w:val="auto"/>
                <w:vertAlign w:val="superscript"/>
                <w:lang w:bidi="zh-CN"/>
              </w:rPr>
              <w:t>3</w:t>
            </w:r>
            <w:r>
              <w:rPr>
                <w:rFonts w:ascii="宋体" w:hAnsi="宋体" w:eastAsia="宋体" w:cs="Times New Roman"/>
                <w:color w:val="auto"/>
                <w:lang w:val="zh-CN" w:bidi="zh-CN"/>
              </w:rPr>
              <w:t>/a）</w:t>
            </w:r>
          </w:p>
        </w:tc>
        <w:tc>
          <w:tcPr>
            <w:tcW w:w="4822" w:type="dxa"/>
            <w:gridSpan w:val="6"/>
            <w:vAlign w:val="center"/>
          </w:tcPr>
          <w:p w14:paraId="3FA87A50">
            <w:pPr>
              <w:jc w:val="center"/>
              <w:rPr>
                <w:rFonts w:ascii="宋体" w:hAnsi="宋体" w:eastAsia="宋体" w:cs="Times New Roman"/>
                <w:color w:val="auto"/>
              </w:rPr>
            </w:pPr>
            <w:r>
              <w:rPr>
                <w:rFonts w:ascii="宋体" w:hAnsi="宋体" w:eastAsia="宋体" w:cs="Times New Roman"/>
                <w:color w:val="auto"/>
              </w:rPr>
              <w:t>污染物排放情况</w:t>
            </w:r>
          </w:p>
        </w:tc>
      </w:tr>
      <w:tr w14:paraId="2A8E2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854" w:type="dxa"/>
            <w:gridSpan w:val="2"/>
            <w:vMerge w:val="continue"/>
            <w:vAlign w:val="center"/>
          </w:tcPr>
          <w:p w14:paraId="062D9946">
            <w:pPr>
              <w:jc w:val="center"/>
              <w:rPr>
                <w:rFonts w:ascii="宋体" w:hAnsi="宋体" w:eastAsia="宋体" w:cs="Times New Roman"/>
                <w:color w:val="auto"/>
              </w:rPr>
            </w:pPr>
          </w:p>
        </w:tc>
        <w:tc>
          <w:tcPr>
            <w:tcW w:w="693" w:type="dxa"/>
            <w:vMerge w:val="continue"/>
            <w:vAlign w:val="center"/>
          </w:tcPr>
          <w:p w14:paraId="1E5DD4AB">
            <w:pPr>
              <w:jc w:val="center"/>
              <w:rPr>
                <w:rFonts w:ascii="宋体" w:hAnsi="宋体" w:eastAsia="宋体" w:cs="Times New Roman"/>
                <w:color w:val="auto"/>
              </w:rPr>
            </w:pPr>
          </w:p>
        </w:tc>
        <w:tc>
          <w:tcPr>
            <w:tcW w:w="850" w:type="dxa"/>
            <w:vMerge w:val="continue"/>
            <w:vAlign w:val="center"/>
          </w:tcPr>
          <w:p w14:paraId="10B46D7B">
            <w:pPr>
              <w:jc w:val="center"/>
              <w:rPr>
                <w:rFonts w:ascii="宋体" w:hAnsi="宋体" w:eastAsia="宋体" w:cs="Times New Roman"/>
                <w:color w:val="auto"/>
              </w:rPr>
            </w:pPr>
          </w:p>
        </w:tc>
        <w:tc>
          <w:tcPr>
            <w:tcW w:w="851" w:type="dxa"/>
            <w:vMerge w:val="continue"/>
            <w:vAlign w:val="center"/>
          </w:tcPr>
          <w:p w14:paraId="74D8B47D">
            <w:pPr>
              <w:jc w:val="center"/>
              <w:rPr>
                <w:rFonts w:ascii="宋体" w:hAnsi="宋体" w:eastAsia="宋体" w:cs="Times New Roman"/>
                <w:color w:val="auto"/>
              </w:rPr>
            </w:pPr>
          </w:p>
        </w:tc>
        <w:tc>
          <w:tcPr>
            <w:tcW w:w="1701" w:type="dxa"/>
            <w:gridSpan w:val="2"/>
            <w:tcBorders>
              <w:bottom w:val="single" w:color="auto" w:sz="4" w:space="0"/>
            </w:tcBorders>
            <w:vAlign w:val="center"/>
          </w:tcPr>
          <w:p w14:paraId="38911114">
            <w:pPr>
              <w:jc w:val="center"/>
              <w:rPr>
                <w:rFonts w:ascii="宋体" w:hAnsi="宋体" w:eastAsia="宋体" w:cs="Times New Roman"/>
                <w:color w:val="auto"/>
                <w:lang w:bidi="zh-CN"/>
              </w:rPr>
            </w:pPr>
            <w:r>
              <w:rPr>
                <w:rFonts w:ascii="宋体" w:hAnsi="宋体" w:eastAsia="宋体" w:cs="Times New Roman"/>
                <w:color w:val="auto"/>
                <w:lang w:val="zh-CN" w:bidi="zh-CN"/>
              </w:rPr>
              <w:t>颗粒物</w:t>
            </w:r>
          </w:p>
        </w:tc>
        <w:tc>
          <w:tcPr>
            <w:tcW w:w="1417" w:type="dxa"/>
            <w:gridSpan w:val="2"/>
            <w:tcBorders>
              <w:bottom w:val="single" w:color="auto" w:sz="4" w:space="0"/>
            </w:tcBorders>
            <w:vAlign w:val="center"/>
          </w:tcPr>
          <w:p w14:paraId="3048F4DF">
            <w:pPr>
              <w:jc w:val="center"/>
              <w:rPr>
                <w:rFonts w:ascii="宋体" w:hAnsi="宋体" w:eastAsia="宋体" w:cs="Times New Roman"/>
                <w:color w:val="auto"/>
                <w:lang w:bidi="zh-CN"/>
              </w:rPr>
            </w:pPr>
            <w:r>
              <w:rPr>
                <w:rFonts w:ascii="宋体" w:hAnsi="宋体" w:eastAsia="宋体" w:cs="Times New Roman"/>
                <w:color w:val="auto"/>
                <w:lang w:val="zh-CN" w:bidi="zh-CN"/>
              </w:rPr>
              <w:t>NO</w:t>
            </w:r>
            <w:r>
              <w:rPr>
                <w:rFonts w:ascii="宋体" w:hAnsi="宋体" w:eastAsia="宋体" w:cs="Times New Roman"/>
                <w:color w:val="auto"/>
                <w:vertAlign w:val="subscript"/>
                <w:lang w:val="zh-CN" w:bidi="zh-CN"/>
              </w:rPr>
              <w:t>x</w:t>
            </w:r>
          </w:p>
        </w:tc>
        <w:tc>
          <w:tcPr>
            <w:tcW w:w="1704" w:type="dxa"/>
            <w:gridSpan w:val="2"/>
            <w:tcBorders>
              <w:bottom w:val="single" w:color="auto" w:sz="4" w:space="0"/>
            </w:tcBorders>
            <w:vAlign w:val="center"/>
          </w:tcPr>
          <w:p w14:paraId="79E6E939">
            <w:pPr>
              <w:jc w:val="center"/>
              <w:rPr>
                <w:rFonts w:ascii="宋体" w:hAnsi="宋体" w:eastAsia="宋体" w:cs="Times New Roman"/>
                <w:color w:val="auto"/>
                <w:lang w:bidi="zh-CN"/>
              </w:rPr>
            </w:pPr>
            <w:r>
              <w:rPr>
                <w:rFonts w:ascii="宋体" w:hAnsi="宋体" w:eastAsia="宋体" w:cs="Times New Roman"/>
                <w:color w:val="auto"/>
                <w:lang w:val="zh-CN" w:bidi="zh-CN"/>
              </w:rPr>
              <w:t>SO</w:t>
            </w:r>
            <w:r>
              <w:rPr>
                <w:rFonts w:ascii="宋体" w:hAnsi="宋体" w:eastAsia="宋体" w:cs="Times New Roman"/>
                <w:color w:val="auto"/>
                <w:vertAlign w:val="subscript"/>
                <w:lang w:val="zh-CN" w:bidi="zh-CN"/>
              </w:rPr>
              <w:t>2</w:t>
            </w:r>
          </w:p>
        </w:tc>
      </w:tr>
      <w:tr w14:paraId="06CB2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854" w:type="dxa"/>
            <w:gridSpan w:val="2"/>
            <w:vMerge w:val="continue"/>
            <w:vAlign w:val="center"/>
          </w:tcPr>
          <w:p w14:paraId="2A106391">
            <w:pPr>
              <w:jc w:val="center"/>
              <w:rPr>
                <w:rFonts w:ascii="宋体" w:hAnsi="宋体" w:eastAsia="宋体" w:cs="Times New Roman"/>
                <w:color w:val="auto"/>
              </w:rPr>
            </w:pPr>
          </w:p>
        </w:tc>
        <w:tc>
          <w:tcPr>
            <w:tcW w:w="693" w:type="dxa"/>
            <w:vMerge w:val="continue"/>
            <w:vAlign w:val="center"/>
          </w:tcPr>
          <w:p w14:paraId="51C888BE">
            <w:pPr>
              <w:jc w:val="center"/>
              <w:rPr>
                <w:rFonts w:ascii="宋体" w:hAnsi="宋体" w:eastAsia="宋体" w:cs="Times New Roman"/>
                <w:color w:val="auto"/>
              </w:rPr>
            </w:pPr>
          </w:p>
        </w:tc>
        <w:tc>
          <w:tcPr>
            <w:tcW w:w="850" w:type="dxa"/>
            <w:vMerge w:val="continue"/>
            <w:vAlign w:val="center"/>
          </w:tcPr>
          <w:p w14:paraId="1532BD6A">
            <w:pPr>
              <w:jc w:val="center"/>
              <w:rPr>
                <w:rFonts w:ascii="宋体" w:hAnsi="宋体" w:eastAsia="宋体" w:cs="Times New Roman"/>
                <w:color w:val="auto"/>
              </w:rPr>
            </w:pPr>
          </w:p>
        </w:tc>
        <w:tc>
          <w:tcPr>
            <w:tcW w:w="851" w:type="dxa"/>
            <w:vMerge w:val="continue"/>
            <w:vAlign w:val="center"/>
          </w:tcPr>
          <w:p w14:paraId="56993D8F">
            <w:pPr>
              <w:jc w:val="center"/>
              <w:rPr>
                <w:rFonts w:ascii="宋体" w:hAnsi="宋体" w:eastAsia="宋体" w:cs="Times New Roman"/>
                <w:color w:val="auto"/>
              </w:rPr>
            </w:pPr>
          </w:p>
        </w:tc>
        <w:tc>
          <w:tcPr>
            <w:tcW w:w="850" w:type="dxa"/>
            <w:tcBorders>
              <w:top w:val="single" w:color="auto" w:sz="4" w:space="0"/>
              <w:right w:val="single" w:color="auto" w:sz="4" w:space="0"/>
            </w:tcBorders>
            <w:vAlign w:val="center"/>
          </w:tcPr>
          <w:p w14:paraId="4FDB7DAD">
            <w:pPr>
              <w:jc w:val="center"/>
              <w:rPr>
                <w:rFonts w:ascii="宋体" w:hAnsi="宋体" w:eastAsia="宋体" w:cs="Times New Roman"/>
                <w:color w:val="auto"/>
                <w:lang w:val="zh-CN" w:bidi="zh-CN"/>
              </w:rPr>
            </w:pPr>
            <w:r>
              <w:rPr>
                <w:rFonts w:ascii="宋体" w:hAnsi="宋体" w:eastAsia="宋体" w:cs="Times New Roman"/>
                <w:color w:val="auto"/>
                <w:lang w:val="zh-CN" w:bidi="zh-CN"/>
              </w:rPr>
              <w:t>排放浓度mg/m</w:t>
            </w:r>
            <w:r>
              <w:rPr>
                <w:rFonts w:ascii="宋体" w:hAnsi="宋体" w:eastAsia="宋体" w:cs="Times New Roman"/>
                <w:color w:val="auto"/>
                <w:vertAlign w:val="superscript"/>
                <w:lang w:val="zh-CN" w:bidi="zh-CN"/>
              </w:rPr>
              <w:t>3</w:t>
            </w:r>
          </w:p>
        </w:tc>
        <w:tc>
          <w:tcPr>
            <w:tcW w:w="851" w:type="dxa"/>
            <w:tcBorders>
              <w:top w:val="single" w:color="auto" w:sz="4" w:space="0"/>
              <w:left w:val="single" w:color="auto" w:sz="4" w:space="0"/>
            </w:tcBorders>
            <w:vAlign w:val="center"/>
          </w:tcPr>
          <w:p w14:paraId="327130D0">
            <w:pPr>
              <w:jc w:val="center"/>
              <w:rPr>
                <w:rFonts w:ascii="宋体" w:hAnsi="宋体" w:eastAsia="宋体" w:cs="Times New Roman"/>
                <w:color w:val="auto"/>
                <w:lang w:val="zh-CN" w:bidi="zh-CN"/>
              </w:rPr>
            </w:pPr>
            <w:r>
              <w:rPr>
                <w:rFonts w:ascii="宋体" w:hAnsi="宋体" w:eastAsia="宋体" w:cs="Times New Roman"/>
                <w:color w:val="auto"/>
                <w:lang w:val="zh-CN" w:bidi="zh-CN"/>
              </w:rPr>
              <w:t>排放量t/a</w:t>
            </w:r>
          </w:p>
        </w:tc>
        <w:tc>
          <w:tcPr>
            <w:tcW w:w="709" w:type="dxa"/>
            <w:tcBorders>
              <w:top w:val="single" w:color="auto" w:sz="4" w:space="0"/>
              <w:right w:val="single" w:color="auto" w:sz="4" w:space="0"/>
            </w:tcBorders>
            <w:vAlign w:val="center"/>
          </w:tcPr>
          <w:p w14:paraId="3B6A62AC">
            <w:pPr>
              <w:jc w:val="center"/>
              <w:rPr>
                <w:rFonts w:ascii="宋体" w:hAnsi="宋体" w:eastAsia="宋体" w:cs="Times New Roman"/>
                <w:color w:val="auto"/>
                <w:lang w:val="zh-CN" w:bidi="zh-CN"/>
              </w:rPr>
            </w:pPr>
            <w:r>
              <w:rPr>
                <w:rFonts w:ascii="宋体" w:hAnsi="宋体" w:eastAsia="宋体" w:cs="Times New Roman"/>
                <w:color w:val="auto"/>
                <w:lang w:val="zh-CN" w:bidi="zh-CN"/>
              </w:rPr>
              <w:t>排放浓度mg/m</w:t>
            </w:r>
            <w:r>
              <w:rPr>
                <w:rFonts w:ascii="宋体" w:hAnsi="宋体" w:eastAsia="宋体" w:cs="Times New Roman"/>
                <w:color w:val="auto"/>
                <w:vertAlign w:val="superscript"/>
                <w:lang w:val="zh-CN" w:bidi="zh-CN"/>
              </w:rPr>
              <w:t>3</w:t>
            </w:r>
          </w:p>
        </w:tc>
        <w:tc>
          <w:tcPr>
            <w:tcW w:w="708" w:type="dxa"/>
            <w:tcBorders>
              <w:top w:val="single" w:color="auto" w:sz="4" w:space="0"/>
              <w:left w:val="single" w:color="auto" w:sz="4" w:space="0"/>
            </w:tcBorders>
            <w:vAlign w:val="center"/>
          </w:tcPr>
          <w:p w14:paraId="7B58226B">
            <w:pPr>
              <w:jc w:val="center"/>
              <w:rPr>
                <w:rFonts w:ascii="宋体" w:hAnsi="宋体" w:eastAsia="宋体" w:cs="Times New Roman"/>
                <w:color w:val="auto"/>
                <w:lang w:val="zh-CN" w:bidi="zh-CN"/>
              </w:rPr>
            </w:pPr>
            <w:r>
              <w:rPr>
                <w:rFonts w:ascii="宋体" w:hAnsi="宋体" w:eastAsia="宋体" w:cs="Times New Roman"/>
                <w:color w:val="auto"/>
                <w:lang w:val="zh-CN" w:bidi="zh-CN"/>
              </w:rPr>
              <w:t>排放量t/a</w:t>
            </w:r>
          </w:p>
        </w:tc>
        <w:tc>
          <w:tcPr>
            <w:tcW w:w="993" w:type="dxa"/>
            <w:tcBorders>
              <w:top w:val="single" w:color="auto" w:sz="4" w:space="0"/>
              <w:right w:val="single" w:color="auto" w:sz="4" w:space="0"/>
            </w:tcBorders>
            <w:vAlign w:val="center"/>
          </w:tcPr>
          <w:p w14:paraId="7F2D5D13">
            <w:pPr>
              <w:jc w:val="center"/>
              <w:rPr>
                <w:rFonts w:ascii="宋体" w:hAnsi="宋体" w:eastAsia="宋体" w:cs="Times New Roman"/>
                <w:color w:val="auto"/>
                <w:lang w:val="zh-CN" w:bidi="zh-CN"/>
              </w:rPr>
            </w:pPr>
            <w:r>
              <w:rPr>
                <w:rFonts w:ascii="宋体" w:hAnsi="宋体" w:eastAsia="宋体" w:cs="Times New Roman"/>
                <w:color w:val="auto"/>
                <w:lang w:val="zh-CN" w:bidi="zh-CN"/>
              </w:rPr>
              <w:t>排放浓度mg/m</w:t>
            </w:r>
            <w:r>
              <w:rPr>
                <w:rFonts w:ascii="宋体" w:hAnsi="宋体" w:eastAsia="宋体" w:cs="Times New Roman"/>
                <w:color w:val="auto"/>
                <w:vertAlign w:val="superscript"/>
                <w:lang w:val="zh-CN" w:bidi="zh-CN"/>
              </w:rPr>
              <w:t>3</w:t>
            </w:r>
          </w:p>
        </w:tc>
        <w:tc>
          <w:tcPr>
            <w:tcW w:w="711" w:type="dxa"/>
            <w:tcBorders>
              <w:top w:val="single" w:color="auto" w:sz="4" w:space="0"/>
              <w:left w:val="single" w:color="auto" w:sz="4" w:space="0"/>
            </w:tcBorders>
            <w:vAlign w:val="center"/>
          </w:tcPr>
          <w:p w14:paraId="0A58AC00">
            <w:pPr>
              <w:jc w:val="center"/>
              <w:rPr>
                <w:rFonts w:ascii="宋体" w:hAnsi="宋体" w:eastAsia="宋体" w:cs="Times New Roman"/>
                <w:color w:val="auto"/>
                <w:lang w:val="zh-CN" w:bidi="zh-CN"/>
              </w:rPr>
            </w:pPr>
            <w:r>
              <w:rPr>
                <w:rFonts w:ascii="宋体" w:hAnsi="宋体" w:eastAsia="宋体" w:cs="Times New Roman"/>
                <w:color w:val="auto"/>
                <w:lang w:val="zh-CN" w:bidi="zh-CN"/>
              </w:rPr>
              <w:t>排放量t/a</w:t>
            </w:r>
          </w:p>
        </w:tc>
      </w:tr>
      <w:tr w14:paraId="3383A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00" w:type="dxa"/>
            <w:tcBorders>
              <w:right w:val="single" w:color="auto" w:sz="4" w:space="0"/>
            </w:tcBorders>
            <w:vAlign w:val="center"/>
          </w:tcPr>
          <w:p w14:paraId="3A903C83">
            <w:pPr>
              <w:jc w:val="center"/>
              <w:rPr>
                <w:rFonts w:ascii="宋体" w:hAnsi="宋体" w:eastAsia="宋体" w:cs="Times New Roman"/>
                <w:color w:val="auto"/>
              </w:rPr>
            </w:pPr>
            <w:r>
              <w:rPr>
                <w:rFonts w:hint="eastAsia" w:ascii="宋体" w:hAnsi="宋体" w:eastAsia="宋体" w:cs="Times New Roman"/>
                <w:color w:val="auto"/>
              </w:rPr>
              <w:t>1</w:t>
            </w:r>
            <w:r>
              <w:rPr>
                <w:rFonts w:ascii="宋体" w:hAnsi="宋体" w:eastAsia="宋体" w:cs="Times New Roman"/>
                <w:color w:val="auto"/>
              </w:rPr>
              <w:t>#拉油点</w:t>
            </w:r>
          </w:p>
        </w:tc>
        <w:tc>
          <w:tcPr>
            <w:tcW w:w="854" w:type="dxa"/>
            <w:tcBorders>
              <w:left w:val="single" w:color="auto" w:sz="4" w:space="0"/>
            </w:tcBorders>
            <w:vAlign w:val="center"/>
          </w:tcPr>
          <w:p w14:paraId="4A6E42C8">
            <w:pPr>
              <w:jc w:val="center"/>
              <w:rPr>
                <w:rFonts w:ascii="宋体" w:hAnsi="宋体" w:eastAsia="宋体" w:cs="Times New Roman"/>
                <w:color w:val="auto"/>
              </w:rPr>
            </w:pPr>
            <w:r>
              <w:rPr>
                <w:rFonts w:ascii="宋体" w:hAnsi="宋体" w:eastAsia="宋体" w:cs="Times New Roman"/>
                <w:color w:val="auto"/>
              </w:rPr>
              <w:t>储罐</w:t>
            </w:r>
            <w:r>
              <w:rPr>
                <w:rFonts w:hint="eastAsia" w:ascii="宋体" w:hAnsi="宋体" w:eastAsia="宋体" w:cs="Times New Roman"/>
                <w:color w:val="auto"/>
              </w:rPr>
              <w:t>1</w:t>
            </w:r>
            <w:r>
              <w:rPr>
                <w:rFonts w:ascii="宋体" w:hAnsi="宋体" w:eastAsia="宋体" w:cs="Times New Roman"/>
                <w:color w:val="auto"/>
              </w:rPr>
              <w:t>#</w:t>
            </w:r>
          </w:p>
        </w:tc>
        <w:tc>
          <w:tcPr>
            <w:tcW w:w="693" w:type="dxa"/>
            <w:vAlign w:val="center"/>
          </w:tcPr>
          <w:p w14:paraId="0304E0A8">
            <w:pPr>
              <w:jc w:val="center"/>
              <w:rPr>
                <w:rFonts w:ascii="宋体" w:hAnsi="宋体" w:eastAsia="宋体" w:cs="Times New Roman"/>
                <w:color w:val="auto"/>
              </w:rPr>
            </w:pPr>
            <w:r>
              <w:rPr>
                <w:rFonts w:ascii="宋体" w:hAnsi="宋体" w:eastAsia="宋体" w:cs="Times New Roman"/>
                <w:color w:val="auto"/>
              </w:rPr>
              <w:t>15</w:t>
            </w:r>
          </w:p>
        </w:tc>
        <w:tc>
          <w:tcPr>
            <w:tcW w:w="850" w:type="dxa"/>
            <w:vAlign w:val="center"/>
          </w:tcPr>
          <w:p w14:paraId="6D2B3304">
            <w:pPr>
              <w:jc w:val="center"/>
              <w:textAlignment w:val="center"/>
              <w:rPr>
                <w:rFonts w:ascii="宋体" w:hAnsi="宋体" w:eastAsia="宋体" w:cs="Times New Roman"/>
                <w:color w:val="auto"/>
              </w:rPr>
            </w:pPr>
            <w:r>
              <w:rPr>
                <w:rFonts w:ascii="宋体" w:hAnsi="宋体" w:eastAsia="宋体" w:cs="Times New Roman"/>
                <w:color w:val="auto"/>
                <w:lang w:bidi="ar"/>
              </w:rPr>
              <w:t>2.9</w:t>
            </w:r>
          </w:p>
        </w:tc>
        <w:tc>
          <w:tcPr>
            <w:tcW w:w="851" w:type="dxa"/>
            <w:vAlign w:val="center"/>
          </w:tcPr>
          <w:p w14:paraId="2D51242E">
            <w:pPr>
              <w:jc w:val="center"/>
              <w:textAlignment w:val="center"/>
              <w:rPr>
                <w:rFonts w:ascii="宋体" w:hAnsi="宋体" w:eastAsia="宋体" w:cs="Times New Roman"/>
                <w:color w:val="auto"/>
              </w:rPr>
            </w:pPr>
            <w:r>
              <w:rPr>
                <w:rFonts w:ascii="宋体" w:hAnsi="宋体" w:eastAsia="宋体" w:cs="Times New Roman"/>
                <w:color w:val="auto"/>
                <w:lang w:bidi="ar"/>
              </w:rPr>
              <w:t xml:space="preserve">40.56 </w:t>
            </w:r>
          </w:p>
        </w:tc>
        <w:tc>
          <w:tcPr>
            <w:tcW w:w="850" w:type="dxa"/>
            <w:tcBorders>
              <w:top w:val="single" w:color="auto" w:sz="4" w:space="0"/>
              <w:right w:val="single" w:color="auto" w:sz="4" w:space="0"/>
            </w:tcBorders>
            <w:vAlign w:val="center"/>
          </w:tcPr>
          <w:p w14:paraId="1CE5CFB5">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20.5</w:t>
            </w:r>
          </w:p>
        </w:tc>
        <w:tc>
          <w:tcPr>
            <w:tcW w:w="851" w:type="dxa"/>
            <w:tcBorders>
              <w:top w:val="single" w:color="auto" w:sz="4" w:space="0"/>
              <w:left w:val="single" w:color="auto" w:sz="4" w:space="0"/>
            </w:tcBorders>
            <w:vAlign w:val="center"/>
          </w:tcPr>
          <w:p w14:paraId="375E01CF">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0.008 </w:t>
            </w:r>
          </w:p>
        </w:tc>
        <w:tc>
          <w:tcPr>
            <w:tcW w:w="709" w:type="dxa"/>
            <w:tcBorders>
              <w:top w:val="single" w:color="auto" w:sz="4" w:space="0"/>
              <w:right w:val="single" w:color="auto" w:sz="4" w:space="0"/>
            </w:tcBorders>
            <w:vAlign w:val="center"/>
          </w:tcPr>
          <w:p w14:paraId="2C783EBD">
            <w:pPr>
              <w:jc w:val="center"/>
              <w:textAlignment w:val="center"/>
              <w:rPr>
                <w:rFonts w:ascii="宋体" w:hAnsi="宋体" w:eastAsia="宋体"/>
                <w:color w:val="auto"/>
              </w:rPr>
            </w:pPr>
            <w:r>
              <w:rPr>
                <w:rFonts w:hint="eastAsia" w:ascii="宋体" w:hAnsi="宋体" w:eastAsia="宋体" w:cs="Times New Roman"/>
                <w:color w:val="auto"/>
                <w:lang w:bidi="ar"/>
              </w:rPr>
              <w:t>66.9</w:t>
            </w:r>
          </w:p>
        </w:tc>
        <w:tc>
          <w:tcPr>
            <w:tcW w:w="708" w:type="dxa"/>
            <w:tcBorders>
              <w:top w:val="single" w:color="auto" w:sz="4" w:space="0"/>
              <w:left w:val="single" w:color="auto" w:sz="4" w:space="0"/>
            </w:tcBorders>
            <w:vAlign w:val="center"/>
          </w:tcPr>
          <w:p w14:paraId="1C0B98A7">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0.027 </w:t>
            </w:r>
          </w:p>
        </w:tc>
        <w:tc>
          <w:tcPr>
            <w:tcW w:w="993" w:type="dxa"/>
            <w:tcBorders>
              <w:top w:val="single" w:color="auto" w:sz="4" w:space="0"/>
              <w:right w:val="single" w:color="auto" w:sz="4" w:space="0"/>
            </w:tcBorders>
            <w:vAlign w:val="center"/>
          </w:tcPr>
          <w:p w14:paraId="03EBF6CB">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28.6</w:t>
            </w:r>
          </w:p>
        </w:tc>
        <w:tc>
          <w:tcPr>
            <w:tcW w:w="711" w:type="dxa"/>
            <w:tcBorders>
              <w:top w:val="single" w:color="auto" w:sz="4" w:space="0"/>
              <w:left w:val="single" w:color="auto" w:sz="4" w:space="0"/>
            </w:tcBorders>
            <w:vAlign w:val="center"/>
          </w:tcPr>
          <w:p w14:paraId="0E677F19">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0.012 </w:t>
            </w:r>
          </w:p>
        </w:tc>
      </w:tr>
      <w:tr w14:paraId="042BA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000" w:type="dxa"/>
            <w:tcBorders>
              <w:right w:val="single" w:color="auto" w:sz="4" w:space="0"/>
            </w:tcBorders>
            <w:vAlign w:val="center"/>
          </w:tcPr>
          <w:p w14:paraId="5BF04AE5">
            <w:pPr>
              <w:jc w:val="center"/>
              <w:rPr>
                <w:rFonts w:ascii="宋体" w:hAnsi="宋体" w:eastAsia="宋体" w:cs="Times New Roman"/>
                <w:color w:val="auto"/>
              </w:rPr>
            </w:pPr>
            <w:r>
              <w:rPr>
                <w:rFonts w:hint="eastAsia" w:ascii="宋体" w:hAnsi="宋体" w:eastAsia="宋体" w:cs="Times New Roman"/>
                <w:color w:val="auto"/>
              </w:rPr>
              <w:t>2</w:t>
            </w:r>
            <w:r>
              <w:rPr>
                <w:rFonts w:ascii="宋体" w:hAnsi="宋体" w:eastAsia="宋体" w:cs="Times New Roman"/>
                <w:color w:val="auto"/>
              </w:rPr>
              <w:t>#拉油点</w:t>
            </w:r>
          </w:p>
        </w:tc>
        <w:tc>
          <w:tcPr>
            <w:tcW w:w="854" w:type="dxa"/>
            <w:tcBorders>
              <w:left w:val="single" w:color="auto" w:sz="4" w:space="0"/>
            </w:tcBorders>
            <w:vAlign w:val="center"/>
          </w:tcPr>
          <w:p w14:paraId="2C760AC9">
            <w:pPr>
              <w:jc w:val="center"/>
              <w:rPr>
                <w:rFonts w:ascii="宋体" w:hAnsi="宋体" w:eastAsia="宋体" w:cs="Times New Roman"/>
                <w:color w:val="auto"/>
              </w:rPr>
            </w:pPr>
            <w:r>
              <w:rPr>
                <w:rFonts w:ascii="宋体" w:hAnsi="宋体" w:eastAsia="宋体" w:cs="Times New Roman"/>
                <w:color w:val="auto"/>
              </w:rPr>
              <w:t>储罐</w:t>
            </w:r>
            <w:r>
              <w:rPr>
                <w:rFonts w:hint="eastAsia" w:ascii="宋体" w:hAnsi="宋体" w:eastAsia="宋体" w:cs="Times New Roman"/>
                <w:color w:val="auto"/>
              </w:rPr>
              <w:t>2</w:t>
            </w:r>
            <w:r>
              <w:rPr>
                <w:rFonts w:ascii="宋体" w:hAnsi="宋体" w:eastAsia="宋体" w:cs="Times New Roman"/>
                <w:color w:val="auto"/>
              </w:rPr>
              <w:t>#</w:t>
            </w:r>
          </w:p>
        </w:tc>
        <w:tc>
          <w:tcPr>
            <w:tcW w:w="693" w:type="dxa"/>
            <w:vAlign w:val="center"/>
          </w:tcPr>
          <w:p w14:paraId="47888175">
            <w:pPr>
              <w:jc w:val="center"/>
              <w:rPr>
                <w:rFonts w:ascii="宋体" w:hAnsi="宋体" w:eastAsia="宋体" w:cs="Times New Roman"/>
                <w:color w:val="auto"/>
              </w:rPr>
            </w:pPr>
            <w:r>
              <w:rPr>
                <w:rFonts w:hint="eastAsia" w:ascii="宋体" w:hAnsi="宋体" w:eastAsia="宋体" w:cs="Times New Roman"/>
                <w:color w:val="auto"/>
              </w:rPr>
              <w:t>15</w:t>
            </w:r>
          </w:p>
        </w:tc>
        <w:tc>
          <w:tcPr>
            <w:tcW w:w="850" w:type="dxa"/>
            <w:vAlign w:val="center"/>
          </w:tcPr>
          <w:p w14:paraId="5ADB476F">
            <w:pPr>
              <w:jc w:val="center"/>
              <w:textAlignment w:val="center"/>
              <w:rPr>
                <w:rFonts w:ascii="宋体" w:hAnsi="宋体" w:eastAsia="宋体" w:cs="Times New Roman"/>
                <w:color w:val="auto"/>
              </w:rPr>
            </w:pPr>
            <w:r>
              <w:rPr>
                <w:rFonts w:ascii="宋体" w:hAnsi="宋体" w:eastAsia="宋体" w:cs="Times New Roman"/>
                <w:color w:val="auto"/>
                <w:lang w:bidi="ar"/>
              </w:rPr>
              <w:t>2.9</w:t>
            </w:r>
          </w:p>
        </w:tc>
        <w:tc>
          <w:tcPr>
            <w:tcW w:w="851" w:type="dxa"/>
            <w:vAlign w:val="center"/>
          </w:tcPr>
          <w:p w14:paraId="295056AD">
            <w:pPr>
              <w:jc w:val="center"/>
              <w:textAlignment w:val="center"/>
              <w:rPr>
                <w:rFonts w:ascii="宋体" w:hAnsi="宋体" w:eastAsia="宋体" w:cs="Times New Roman"/>
                <w:color w:val="auto"/>
              </w:rPr>
            </w:pPr>
            <w:r>
              <w:rPr>
                <w:rFonts w:ascii="宋体" w:hAnsi="宋体" w:eastAsia="宋体" w:cs="Times New Roman"/>
                <w:color w:val="auto"/>
                <w:lang w:bidi="ar"/>
              </w:rPr>
              <w:t xml:space="preserve">40.56 </w:t>
            </w:r>
          </w:p>
        </w:tc>
        <w:tc>
          <w:tcPr>
            <w:tcW w:w="850" w:type="dxa"/>
            <w:tcBorders>
              <w:top w:val="single" w:color="auto" w:sz="4" w:space="0"/>
              <w:right w:val="single" w:color="auto" w:sz="4" w:space="0"/>
            </w:tcBorders>
            <w:vAlign w:val="center"/>
          </w:tcPr>
          <w:p w14:paraId="0A19ED2A">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20.5</w:t>
            </w:r>
          </w:p>
        </w:tc>
        <w:tc>
          <w:tcPr>
            <w:tcW w:w="851" w:type="dxa"/>
            <w:tcBorders>
              <w:top w:val="single" w:color="auto" w:sz="4" w:space="0"/>
              <w:left w:val="single" w:color="auto" w:sz="4" w:space="0"/>
            </w:tcBorders>
            <w:vAlign w:val="center"/>
          </w:tcPr>
          <w:p w14:paraId="1FAC0E38">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0.008 </w:t>
            </w:r>
          </w:p>
        </w:tc>
        <w:tc>
          <w:tcPr>
            <w:tcW w:w="709" w:type="dxa"/>
            <w:tcBorders>
              <w:top w:val="single" w:color="auto" w:sz="4" w:space="0"/>
              <w:right w:val="single" w:color="auto" w:sz="4" w:space="0"/>
            </w:tcBorders>
            <w:vAlign w:val="center"/>
          </w:tcPr>
          <w:p w14:paraId="26AA4965">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66.9</w:t>
            </w:r>
          </w:p>
        </w:tc>
        <w:tc>
          <w:tcPr>
            <w:tcW w:w="708" w:type="dxa"/>
            <w:tcBorders>
              <w:top w:val="single" w:color="auto" w:sz="4" w:space="0"/>
              <w:left w:val="single" w:color="auto" w:sz="4" w:space="0"/>
            </w:tcBorders>
            <w:vAlign w:val="center"/>
          </w:tcPr>
          <w:p w14:paraId="6DCE735E">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0.027 </w:t>
            </w:r>
          </w:p>
        </w:tc>
        <w:tc>
          <w:tcPr>
            <w:tcW w:w="993" w:type="dxa"/>
            <w:tcBorders>
              <w:top w:val="single" w:color="auto" w:sz="4" w:space="0"/>
              <w:right w:val="single" w:color="auto" w:sz="4" w:space="0"/>
            </w:tcBorders>
            <w:vAlign w:val="center"/>
          </w:tcPr>
          <w:p w14:paraId="242CC886">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28.6</w:t>
            </w:r>
          </w:p>
        </w:tc>
        <w:tc>
          <w:tcPr>
            <w:tcW w:w="711" w:type="dxa"/>
            <w:tcBorders>
              <w:top w:val="single" w:color="auto" w:sz="4" w:space="0"/>
              <w:left w:val="single" w:color="auto" w:sz="4" w:space="0"/>
            </w:tcBorders>
            <w:vAlign w:val="center"/>
          </w:tcPr>
          <w:p w14:paraId="65157B65">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0.012 </w:t>
            </w:r>
          </w:p>
        </w:tc>
      </w:tr>
      <w:tr w14:paraId="7ADD9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0" w:type="dxa"/>
            <w:vMerge w:val="restart"/>
            <w:tcBorders>
              <w:right w:val="single" w:color="auto" w:sz="4" w:space="0"/>
            </w:tcBorders>
            <w:vAlign w:val="center"/>
          </w:tcPr>
          <w:p w14:paraId="1A912FE2">
            <w:pPr>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#拉油点</w:t>
            </w:r>
          </w:p>
        </w:tc>
        <w:tc>
          <w:tcPr>
            <w:tcW w:w="854" w:type="dxa"/>
            <w:tcBorders>
              <w:left w:val="single" w:color="auto" w:sz="4" w:space="0"/>
            </w:tcBorders>
            <w:vAlign w:val="center"/>
          </w:tcPr>
          <w:p w14:paraId="4EE6AACC">
            <w:pPr>
              <w:jc w:val="center"/>
              <w:rPr>
                <w:rFonts w:ascii="宋体" w:hAnsi="宋体" w:eastAsia="宋体" w:cs="Times New Roman"/>
                <w:color w:val="auto"/>
              </w:rPr>
            </w:pPr>
            <w:r>
              <w:rPr>
                <w:rFonts w:ascii="宋体" w:hAnsi="宋体" w:eastAsia="宋体" w:cs="Times New Roman"/>
                <w:color w:val="auto"/>
              </w:rPr>
              <w:t>储罐</w:t>
            </w:r>
            <w:r>
              <w:rPr>
                <w:rFonts w:hint="eastAsia" w:ascii="宋体" w:hAnsi="宋体" w:eastAsia="宋体" w:cs="Times New Roman"/>
                <w:color w:val="auto"/>
              </w:rPr>
              <w:t>3</w:t>
            </w:r>
            <w:r>
              <w:rPr>
                <w:rFonts w:ascii="宋体" w:hAnsi="宋体" w:eastAsia="宋体" w:cs="Times New Roman"/>
                <w:color w:val="auto"/>
              </w:rPr>
              <w:t>#</w:t>
            </w:r>
          </w:p>
        </w:tc>
        <w:tc>
          <w:tcPr>
            <w:tcW w:w="693" w:type="dxa"/>
            <w:vAlign w:val="center"/>
          </w:tcPr>
          <w:p w14:paraId="023328B5">
            <w:pPr>
              <w:jc w:val="center"/>
              <w:rPr>
                <w:rFonts w:ascii="宋体" w:hAnsi="宋体" w:eastAsia="宋体" w:cs="Times New Roman"/>
                <w:color w:val="auto"/>
              </w:rPr>
            </w:pPr>
            <w:r>
              <w:rPr>
                <w:rFonts w:hint="eastAsia" w:ascii="宋体" w:hAnsi="宋体" w:eastAsia="宋体" w:cs="Times New Roman"/>
                <w:color w:val="auto"/>
              </w:rPr>
              <w:t>15</w:t>
            </w:r>
          </w:p>
        </w:tc>
        <w:tc>
          <w:tcPr>
            <w:tcW w:w="850" w:type="dxa"/>
            <w:vAlign w:val="center"/>
          </w:tcPr>
          <w:p w14:paraId="7FAD5E00">
            <w:pPr>
              <w:jc w:val="center"/>
              <w:rPr>
                <w:rFonts w:ascii="宋体" w:hAnsi="宋体" w:eastAsia="宋体" w:cs="Times New Roman"/>
                <w:color w:val="auto"/>
              </w:rPr>
            </w:pPr>
            <w:r>
              <w:rPr>
                <w:rFonts w:hint="eastAsia" w:ascii="宋体" w:hAnsi="宋体" w:eastAsia="宋体" w:cs="Times New Roman"/>
                <w:color w:val="auto"/>
              </w:rPr>
              <w:t>1.9</w:t>
            </w:r>
          </w:p>
        </w:tc>
        <w:tc>
          <w:tcPr>
            <w:tcW w:w="851" w:type="dxa"/>
            <w:vAlign w:val="center"/>
          </w:tcPr>
          <w:p w14:paraId="38FC1353">
            <w:pPr>
              <w:jc w:val="center"/>
              <w:textAlignment w:val="center"/>
              <w:rPr>
                <w:rFonts w:ascii="宋体" w:hAnsi="宋体" w:eastAsia="宋体" w:cs="Times New Roman"/>
                <w:color w:val="auto"/>
              </w:rPr>
            </w:pPr>
            <w:r>
              <w:rPr>
                <w:rFonts w:ascii="宋体" w:hAnsi="宋体" w:eastAsia="宋体" w:cs="Times New Roman"/>
                <w:color w:val="auto"/>
                <w:lang w:bidi="ar"/>
              </w:rPr>
              <w:t xml:space="preserve">26.57 </w:t>
            </w:r>
          </w:p>
        </w:tc>
        <w:tc>
          <w:tcPr>
            <w:tcW w:w="850" w:type="dxa"/>
            <w:tcBorders>
              <w:right w:val="single" w:color="auto" w:sz="4" w:space="0"/>
            </w:tcBorders>
            <w:vAlign w:val="center"/>
          </w:tcPr>
          <w:p w14:paraId="397E2228">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20.5</w:t>
            </w:r>
          </w:p>
        </w:tc>
        <w:tc>
          <w:tcPr>
            <w:tcW w:w="851" w:type="dxa"/>
            <w:tcBorders>
              <w:left w:val="single" w:color="auto" w:sz="4" w:space="0"/>
            </w:tcBorders>
            <w:vAlign w:val="center"/>
          </w:tcPr>
          <w:p w14:paraId="36F12B8D">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0.005 </w:t>
            </w:r>
          </w:p>
        </w:tc>
        <w:tc>
          <w:tcPr>
            <w:tcW w:w="709" w:type="dxa"/>
            <w:tcBorders>
              <w:right w:val="single" w:color="auto" w:sz="4" w:space="0"/>
            </w:tcBorders>
            <w:vAlign w:val="center"/>
          </w:tcPr>
          <w:p w14:paraId="5D20A3F3">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66.9</w:t>
            </w:r>
          </w:p>
        </w:tc>
        <w:tc>
          <w:tcPr>
            <w:tcW w:w="708" w:type="dxa"/>
            <w:tcBorders>
              <w:left w:val="single" w:color="auto" w:sz="4" w:space="0"/>
            </w:tcBorders>
            <w:vAlign w:val="center"/>
          </w:tcPr>
          <w:p w14:paraId="483E986A">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0.018 </w:t>
            </w:r>
          </w:p>
        </w:tc>
        <w:tc>
          <w:tcPr>
            <w:tcW w:w="993" w:type="dxa"/>
            <w:tcBorders>
              <w:right w:val="single" w:color="auto" w:sz="4" w:space="0"/>
            </w:tcBorders>
            <w:vAlign w:val="center"/>
          </w:tcPr>
          <w:p w14:paraId="2469ED02">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28.6</w:t>
            </w:r>
          </w:p>
        </w:tc>
        <w:tc>
          <w:tcPr>
            <w:tcW w:w="711" w:type="dxa"/>
            <w:tcBorders>
              <w:left w:val="single" w:color="auto" w:sz="4" w:space="0"/>
            </w:tcBorders>
            <w:vAlign w:val="center"/>
          </w:tcPr>
          <w:p w14:paraId="0EB618AE">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0.008 </w:t>
            </w:r>
          </w:p>
        </w:tc>
      </w:tr>
      <w:tr w14:paraId="4CFAB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00" w:type="dxa"/>
            <w:vMerge w:val="continue"/>
            <w:tcBorders>
              <w:right w:val="single" w:color="auto" w:sz="4" w:space="0"/>
            </w:tcBorders>
            <w:vAlign w:val="center"/>
          </w:tcPr>
          <w:p w14:paraId="2148D578">
            <w:pPr>
              <w:jc w:val="center"/>
              <w:rPr>
                <w:rFonts w:ascii="宋体" w:hAnsi="宋体" w:eastAsia="宋体" w:cs="Times New Roman"/>
                <w:color w:val="auto"/>
              </w:rPr>
            </w:pPr>
          </w:p>
        </w:tc>
        <w:tc>
          <w:tcPr>
            <w:tcW w:w="854" w:type="dxa"/>
            <w:tcBorders>
              <w:left w:val="single" w:color="auto" w:sz="4" w:space="0"/>
            </w:tcBorders>
            <w:vAlign w:val="center"/>
          </w:tcPr>
          <w:p w14:paraId="0232285A">
            <w:pPr>
              <w:jc w:val="center"/>
              <w:rPr>
                <w:rFonts w:ascii="宋体" w:hAnsi="宋体" w:eastAsia="宋体" w:cs="Times New Roman"/>
                <w:color w:val="auto"/>
              </w:rPr>
            </w:pPr>
            <w:r>
              <w:rPr>
                <w:rFonts w:ascii="宋体" w:hAnsi="宋体" w:eastAsia="宋体" w:cs="Times New Roman"/>
                <w:color w:val="auto"/>
              </w:rPr>
              <w:t>储罐</w:t>
            </w:r>
            <w:r>
              <w:rPr>
                <w:rFonts w:hint="eastAsia" w:ascii="宋体" w:hAnsi="宋体" w:eastAsia="宋体" w:cs="Times New Roman"/>
                <w:color w:val="auto"/>
              </w:rPr>
              <w:t>4</w:t>
            </w:r>
            <w:r>
              <w:rPr>
                <w:rFonts w:ascii="宋体" w:hAnsi="宋体" w:eastAsia="宋体" w:cs="Times New Roman"/>
                <w:color w:val="auto"/>
              </w:rPr>
              <w:t>#</w:t>
            </w:r>
          </w:p>
        </w:tc>
        <w:tc>
          <w:tcPr>
            <w:tcW w:w="693" w:type="dxa"/>
            <w:vAlign w:val="center"/>
          </w:tcPr>
          <w:p w14:paraId="5942AA4F">
            <w:pPr>
              <w:jc w:val="center"/>
              <w:rPr>
                <w:rFonts w:ascii="宋体" w:hAnsi="宋体" w:eastAsia="宋体" w:cs="Times New Roman"/>
                <w:color w:val="auto"/>
              </w:rPr>
            </w:pPr>
            <w:r>
              <w:rPr>
                <w:rFonts w:hint="eastAsia" w:ascii="宋体" w:hAnsi="宋体" w:eastAsia="宋体" w:cs="Times New Roman"/>
                <w:color w:val="auto"/>
              </w:rPr>
              <w:t>15</w:t>
            </w:r>
          </w:p>
        </w:tc>
        <w:tc>
          <w:tcPr>
            <w:tcW w:w="850" w:type="dxa"/>
            <w:vAlign w:val="center"/>
          </w:tcPr>
          <w:p w14:paraId="6D8C7995">
            <w:pPr>
              <w:jc w:val="center"/>
              <w:rPr>
                <w:rFonts w:ascii="宋体" w:hAnsi="宋体" w:eastAsia="宋体" w:cs="Times New Roman"/>
                <w:color w:val="auto"/>
              </w:rPr>
            </w:pPr>
            <w:r>
              <w:rPr>
                <w:rFonts w:hint="eastAsia" w:ascii="宋体" w:hAnsi="宋体" w:eastAsia="宋体" w:cs="Times New Roman"/>
                <w:color w:val="auto"/>
              </w:rPr>
              <w:t>3.9</w:t>
            </w:r>
          </w:p>
        </w:tc>
        <w:tc>
          <w:tcPr>
            <w:tcW w:w="851" w:type="dxa"/>
            <w:vAlign w:val="center"/>
          </w:tcPr>
          <w:p w14:paraId="412134A7">
            <w:pPr>
              <w:jc w:val="center"/>
              <w:textAlignment w:val="center"/>
              <w:rPr>
                <w:rFonts w:ascii="宋体" w:hAnsi="宋体" w:eastAsia="宋体" w:cs="Times New Roman"/>
                <w:color w:val="auto"/>
              </w:rPr>
            </w:pPr>
            <w:r>
              <w:rPr>
                <w:rFonts w:ascii="宋体" w:hAnsi="宋体" w:eastAsia="宋体" w:cs="Times New Roman"/>
                <w:color w:val="auto"/>
                <w:lang w:bidi="ar"/>
              </w:rPr>
              <w:t xml:space="preserve">54.54 </w:t>
            </w:r>
          </w:p>
        </w:tc>
        <w:tc>
          <w:tcPr>
            <w:tcW w:w="850" w:type="dxa"/>
            <w:tcBorders>
              <w:right w:val="single" w:color="auto" w:sz="4" w:space="0"/>
            </w:tcBorders>
            <w:vAlign w:val="center"/>
          </w:tcPr>
          <w:p w14:paraId="31EDB752">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20.5</w:t>
            </w:r>
          </w:p>
        </w:tc>
        <w:tc>
          <w:tcPr>
            <w:tcW w:w="851" w:type="dxa"/>
            <w:tcBorders>
              <w:left w:val="single" w:color="auto" w:sz="4" w:space="0"/>
            </w:tcBorders>
            <w:vAlign w:val="center"/>
          </w:tcPr>
          <w:p w14:paraId="079E97AA">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0.011 </w:t>
            </w:r>
          </w:p>
        </w:tc>
        <w:tc>
          <w:tcPr>
            <w:tcW w:w="709" w:type="dxa"/>
            <w:tcBorders>
              <w:right w:val="single" w:color="auto" w:sz="4" w:space="0"/>
            </w:tcBorders>
            <w:vAlign w:val="center"/>
          </w:tcPr>
          <w:p w14:paraId="6A2D042F">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66.9</w:t>
            </w:r>
          </w:p>
        </w:tc>
        <w:tc>
          <w:tcPr>
            <w:tcW w:w="708" w:type="dxa"/>
            <w:tcBorders>
              <w:left w:val="single" w:color="auto" w:sz="4" w:space="0"/>
            </w:tcBorders>
            <w:vAlign w:val="center"/>
          </w:tcPr>
          <w:p w14:paraId="5C067E73">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0.036 </w:t>
            </w:r>
          </w:p>
        </w:tc>
        <w:tc>
          <w:tcPr>
            <w:tcW w:w="993" w:type="dxa"/>
            <w:tcBorders>
              <w:right w:val="single" w:color="auto" w:sz="4" w:space="0"/>
            </w:tcBorders>
            <w:vAlign w:val="center"/>
          </w:tcPr>
          <w:p w14:paraId="002DF9E4">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28.6</w:t>
            </w:r>
          </w:p>
        </w:tc>
        <w:tc>
          <w:tcPr>
            <w:tcW w:w="711" w:type="dxa"/>
            <w:tcBorders>
              <w:left w:val="single" w:color="auto" w:sz="4" w:space="0"/>
            </w:tcBorders>
            <w:vAlign w:val="center"/>
          </w:tcPr>
          <w:p w14:paraId="7ED859D2">
            <w:pPr>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0.016 </w:t>
            </w:r>
          </w:p>
        </w:tc>
      </w:tr>
      <w:tr w14:paraId="492BC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54" w:type="dxa"/>
            <w:gridSpan w:val="2"/>
            <w:vAlign w:val="center"/>
          </w:tcPr>
          <w:p w14:paraId="4A4E9611">
            <w:pPr>
              <w:jc w:val="center"/>
              <w:rPr>
                <w:rFonts w:ascii="宋体" w:hAnsi="宋体" w:eastAsia="宋体" w:cs="Times New Roman"/>
                <w:color w:val="auto"/>
              </w:rPr>
            </w:pPr>
            <w:r>
              <w:rPr>
                <w:rFonts w:ascii="宋体" w:hAnsi="宋体" w:eastAsia="宋体" w:cs="Times New Roman"/>
                <w:color w:val="auto"/>
              </w:rPr>
              <w:t>合计</w:t>
            </w:r>
          </w:p>
        </w:tc>
        <w:tc>
          <w:tcPr>
            <w:tcW w:w="693" w:type="dxa"/>
            <w:vAlign w:val="center"/>
          </w:tcPr>
          <w:p w14:paraId="43DFD4CE">
            <w:pPr>
              <w:jc w:val="center"/>
              <w:rPr>
                <w:rFonts w:ascii="宋体" w:hAnsi="宋体" w:eastAsia="宋体" w:cs="Times New Roman"/>
                <w:color w:val="auto"/>
              </w:rPr>
            </w:pPr>
            <w:r>
              <w:rPr>
                <w:rFonts w:ascii="宋体" w:hAnsi="宋体" w:eastAsia="宋体" w:cs="Times New Roman"/>
                <w:color w:val="auto"/>
              </w:rPr>
              <w:t>/</w:t>
            </w:r>
          </w:p>
        </w:tc>
        <w:tc>
          <w:tcPr>
            <w:tcW w:w="850" w:type="dxa"/>
            <w:vAlign w:val="center"/>
          </w:tcPr>
          <w:p w14:paraId="7CF3B960">
            <w:pPr>
              <w:jc w:val="center"/>
              <w:rPr>
                <w:rFonts w:ascii="宋体" w:hAnsi="宋体" w:eastAsia="宋体" w:cs="Times New Roman"/>
                <w:color w:val="auto"/>
              </w:rPr>
            </w:pPr>
            <w:r>
              <w:rPr>
                <w:rFonts w:hint="eastAsia" w:ascii="宋体" w:hAnsi="宋体" w:eastAsia="宋体" w:cs="Times New Roman"/>
                <w:color w:val="auto"/>
              </w:rPr>
              <w:t>11.6</w:t>
            </w:r>
          </w:p>
        </w:tc>
        <w:tc>
          <w:tcPr>
            <w:tcW w:w="851" w:type="dxa"/>
            <w:vAlign w:val="center"/>
          </w:tcPr>
          <w:p w14:paraId="2D1B9036">
            <w:pPr>
              <w:jc w:val="center"/>
              <w:textAlignment w:val="center"/>
              <w:rPr>
                <w:rFonts w:ascii="宋体" w:hAnsi="宋体" w:eastAsia="宋体" w:cs="Times New Roman"/>
                <w:color w:val="auto"/>
              </w:rPr>
            </w:pPr>
            <w:r>
              <w:rPr>
                <w:rFonts w:ascii="宋体" w:hAnsi="宋体" w:eastAsia="宋体" w:cs="Times New Roman"/>
                <w:color w:val="auto"/>
                <w:lang w:bidi="ar"/>
              </w:rPr>
              <w:t xml:space="preserve">162.23 </w:t>
            </w:r>
          </w:p>
        </w:tc>
        <w:tc>
          <w:tcPr>
            <w:tcW w:w="1701" w:type="dxa"/>
            <w:gridSpan w:val="2"/>
            <w:vAlign w:val="center"/>
          </w:tcPr>
          <w:p w14:paraId="157836AB">
            <w:pPr>
              <w:jc w:val="center"/>
              <w:rPr>
                <w:rFonts w:ascii="宋体" w:hAnsi="宋体" w:eastAsia="宋体" w:cs="Times New Roman"/>
                <w:color w:val="auto"/>
              </w:rPr>
            </w:pPr>
            <w:r>
              <w:rPr>
                <w:rFonts w:hint="eastAsia" w:ascii="宋体" w:hAnsi="宋体" w:eastAsia="宋体" w:cs="Times New Roman"/>
                <w:color w:val="auto"/>
              </w:rPr>
              <w:t>0.033</w:t>
            </w:r>
          </w:p>
        </w:tc>
        <w:tc>
          <w:tcPr>
            <w:tcW w:w="1417" w:type="dxa"/>
            <w:gridSpan w:val="2"/>
            <w:vAlign w:val="center"/>
          </w:tcPr>
          <w:p w14:paraId="3FD609CD">
            <w:pPr>
              <w:jc w:val="center"/>
              <w:rPr>
                <w:rFonts w:ascii="宋体" w:hAnsi="宋体" w:eastAsia="宋体" w:cs="Times New Roman"/>
                <w:color w:val="auto"/>
              </w:rPr>
            </w:pPr>
            <w:r>
              <w:rPr>
                <w:rFonts w:hint="eastAsia" w:ascii="宋体" w:hAnsi="宋体" w:eastAsia="宋体" w:cs="Times New Roman"/>
                <w:color w:val="auto"/>
              </w:rPr>
              <w:t>0.108</w:t>
            </w:r>
          </w:p>
        </w:tc>
        <w:tc>
          <w:tcPr>
            <w:tcW w:w="1704" w:type="dxa"/>
            <w:gridSpan w:val="2"/>
            <w:vAlign w:val="center"/>
          </w:tcPr>
          <w:p w14:paraId="1142C27C">
            <w:pPr>
              <w:jc w:val="center"/>
              <w:rPr>
                <w:rFonts w:ascii="宋体" w:hAnsi="宋体" w:eastAsia="宋体" w:cs="Times New Roman"/>
                <w:color w:val="auto"/>
              </w:rPr>
            </w:pPr>
            <w:r>
              <w:rPr>
                <w:rFonts w:hint="eastAsia" w:ascii="宋体" w:hAnsi="宋体" w:eastAsia="宋体" w:cs="Times New Roman"/>
                <w:color w:val="auto"/>
              </w:rPr>
              <w:t>0.046</w:t>
            </w:r>
          </w:p>
        </w:tc>
      </w:tr>
    </w:tbl>
    <w:p w14:paraId="307EAD15">
      <w:pPr>
        <w:pStyle w:val="276"/>
        <w:widowControl w:val="0"/>
        <w:ind w:firstLine="480"/>
        <w:jc w:val="both"/>
        <w:rPr>
          <w:color w:val="auto"/>
          <w:kern w:val="2"/>
        </w:rPr>
      </w:pPr>
      <w:r>
        <w:rPr>
          <w:rFonts w:hint="eastAsia"/>
          <w:color w:val="auto"/>
          <w:kern w:val="2"/>
        </w:rPr>
        <w:t>3）</w:t>
      </w:r>
      <w:r>
        <w:rPr>
          <w:color w:val="auto"/>
          <w:kern w:val="2"/>
        </w:rPr>
        <w:t>温室气体</w:t>
      </w:r>
    </w:p>
    <w:p w14:paraId="06C2D7CC">
      <w:pPr>
        <w:pStyle w:val="276"/>
        <w:widowControl w:val="0"/>
        <w:ind w:firstLine="480"/>
        <w:jc w:val="both"/>
        <w:rPr>
          <w:color w:val="auto"/>
          <w:kern w:val="2"/>
        </w:rPr>
      </w:pPr>
      <w:r>
        <w:rPr>
          <w:color w:val="auto"/>
          <w:kern w:val="2"/>
        </w:rPr>
        <w:t>本项目温室气体排放涉及到</w:t>
      </w:r>
      <w:r>
        <w:rPr>
          <w:rFonts w:hint="eastAsia"/>
          <w:color w:val="auto"/>
          <w:kern w:val="2"/>
        </w:rPr>
        <w:t>运营期</w:t>
      </w:r>
      <w:r>
        <w:rPr>
          <w:color w:val="auto"/>
          <w:kern w:val="2"/>
        </w:rPr>
        <w:t>新建井场、拉油点、依托场站等运输处理环节，逸散排放主要为井口装置、罐车装卸等环节，产生的温室气体主要为油田伴生气中含有的甲烷，本项目产生的烃类气体与甲烷协同控制，</w:t>
      </w:r>
      <w:r>
        <w:rPr>
          <w:color w:val="auto"/>
        </w:rPr>
        <w:t>采取</w:t>
      </w:r>
      <w:r>
        <w:rPr>
          <w:color w:val="auto"/>
          <w:kern w:val="2"/>
        </w:rPr>
        <w:t>在井口装置安装密封垫，拉油点储罐</w:t>
      </w:r>
      <w:r>
        <w:rPr>
          <w:color w:val="auto"/>
        </w:rPr>
        <w:t>伴生气用于拉油点多功能储罐加热炉自耗</w:t>
      </w:r>
      <w:r>
        <w:rPr>
          <w:color w:val="auto"/>
          <w:kern w:val="2"/>
        </w:rPr>
        <w:t>，不放空，拉油罐车密闭运输，最大限度减少温室气体的逸散。黑龙江省不属于大气污染重点管控区域，因此，不做定量分析。</w:t>
      </w:r>
    </w:p>
    <w:p w14:paraId="7BDD666D">
      <w:pPr>
        <w:pStyle w:val="276"/>
        <w:widowControl w:val="0"/>
        <w:ind w:firstLine="480"/>
        <w:jc w:val="both"/>
        <w:rPr>
          <w:color w:val="auto"/>
          <w:kern w:val="2"/>
        </w:rPr>
      </w:pPr>
      <w:r>
        <w:rPr>
          <w:color w:val="auto"/>
          <w:kern w:val="2"/>
        </w:rPr>
        <w:t>（2）废水</w:t>
      </w:r>
    </w:p>
    <w:p w14:paraId="77AF6213">
      <w:pPr>
        <w:pStyle w:val="276"/>
        <w:widowControl w:val="0"/>
        <w:ind w:firstLine="480"/>
        <w:jc w:val="both"/>
        <w:rPr>
          <w:color w:val="auto"/>
        </w:rPr>
      </w:pPr>
      <w:r>
        <w:rPr>
          <w:color w:val="auto"/>
        </w:rPr>
        <w:t>本项目运营期产生的废水主要为正常工况下的油田采出水、非正常工况下的油井作业污水和洗井废水。</w:t>
      </w:r>
    </w:p>
    <w:p w14:paraId="1E52641F">
      <w:pPr>
        <w:pStyle w:val="164"/>
        <w:numPr>
          <w:ilvl w:val="0"/>
          <w:numId w:val="12"/>
        </w:numPr>
        <w:spacing w:line="440" w:lineRule="exact"/>
        <w:jc w:val="both"/>
        <w:rPr>
          <w:rFonts w:ascii="宋体" w:hAnsi="宋体" w:eastAsia="宋体" w:cs="Times New Roman"/>
          <w:color w:val="auto"/>
        </w:rPr>
      </w:pPr>
      <w:r>
        <w:rPr>
          <w:rFonts w:ascii="宋体" w:hAnsi="宋体" w:eastAsia="宋体" w:cs="Times New Roman"/>
          <w:color w:val="auto"/>
        </w:rPr>
        <w:t>油田采出水</w:t>
      </w:r>
    </w:p>
    <w:p w14:paraId="59D7BE6B">
      <w:pPr>
        <w:pStyle w:val="276"/>
        <w:widowControl w:val="0"/>
        <w:ind w:firstLine="480"/>
        <w:jc w:val="both"/>
        <w:rPr>
          <w:color w:val="auto"/>
        </w:rPr>
      </w:pPr>
      <w:r>
        <w:rPr>
          <w:color w:val="auto"/>
        </w:rPr>
        <w:t>根据开发指标预测，本项目油田采出水最大量为21700t/a，产液经朝二联转油脱水站分离后，油田采出水管输进入朝二联含油污水处理站处理满足《大庆油田地面工程建设设计规定》（Q/SYDQ0639-2015）及《碎屑岩油藏注水水质指标技术要求及分析方法》（SY/T5329-2022）限值要求后回注油层。</w:t>
      </w:r>
    </w:p>
    <w:p w14:paraId="44B101D0">
      <w:pPr>
        <w:pStyle w:val="276"/>
        <w:widowControl w:val="0"/>
        <w:ind w:firstLine="480"/>
        <w:jc w:val="both"/>
        <w:rPr>
          <w:color w:val="auto"/>
        </w:rPr>
      </w:pPr>
      <w:r>
        <w:rPr>
          <w:rFonts w:hint="eastAsia"/>
          <w:color w:val="auto"/>
        </w:rPr>
        <w:t>1）</w:t>
      </w:r>
      <w:r>
        <w:rPr>
          <w:color w:val="auto"/>
        </w:rPr>
        <w:t>作业污水</w:t>
      </w:r>
    </w:p>
    <w:p w14:paraId="559F5477">
      <w:pPr>
        <w:pStyle w:val="276"/>
        <w:widowControl w:val="0"/>
        <w:ind w:firstLine="480"/>
        <w:jc w:val="both"/>
        <w:rPr>
          <w:color w:val="auto"/>
        </w:rPr>
      </w:pPr>
      <w:r>
        <w:rPr>
          <w:color w:val="auto"/>
        </w:rPr>
        <w:t>井下作业是运营期主要污染环节之一。主要包括换泵换杆、洗井修井等作业。产污环节主要是拆卸井口和油管起下过程中产生的污油污水、废液的返排、冒溢及滴漏等。</w:t>
      </w:r>
    </w:p>
    <w:p w14:paraId="5C783325">
      <w:pPr>
        <w:pStyle w:val="276"/>
        <w:widowControl w:val="0"/>
        <w:ind w:firstLine="480"/>
        <w:jc w:val="both"/>
        <w:rPr>
          <w:color w:val="auto"/>
        </w:rPr>
      </w:pPr>
      <w:r>
        <w:rPr>
          <w:color w:val="auto"/>
        </w:rPr>
        <w:t>根据公用工程可知，本项目油井作业污水共计约10.64m</w:t>
      </w:r>
      <w:r>
        <w:rPr>
          <w:color w:val="auto"/>
          <w:vertAlign w:val="superscript"/>
        </w:rPr>
        <w:t>3</w:t>
      </w:r>
      <w:r>
        <w:rPr>
          <w:color w:val="auto"/>
        </w:rPr>
        <w:t>/a，主要污染物为石油类、悬浮物，作业时需铺设防渗布。此部分污水通过罐车回收后拉运至朝二联含油污水处理站处理满足《大庆油田地面工程建设设计规定》（Q/SYDQ0639-2015）及《碎屑岩油藏注水水质指标技术要求及分析方法》（SY/T5329-2022）限值要求后回注油层，不外排。</w:t>
      </w:r>
    </w:p>
    <w:p w14:paraId="0A4EEB16">
      <w:pPr>
        <w:pStyle w:val="276"/>
        <w:widowControl w:val="0"/>
        <w:ind w:firstLine="480"/>
        <w:jc w:val="both"/>
        <w:rPr>
          <w:color w:val="auto"/>
        </w:rPr>
      </w:pPr>
      <w:r>
        <w:rPr>
          <w:color w:val="auto"/>
        </w:rPr>
        <w:t>2</w:t>
      </w:r>
      <w:r>
        <w:rPr>
          <w:rFonts w:hint="eastAsia"/>
          <w:color w:val="auto"/>
        </w:rPr>
        <w:t>）</w:t>
      </w:r>
      <w:r>
        <w:rPr>
          <w:color w:val="auto"/>
        </w:rPr>
        <w:t>洗井污水</w:t>
      </w:r>
    </w:p>
    <w:p w14:paraId="109D59E7">
      <w:pPr>
        <w:pStyle w:val="276"/>
        <w:widowControl w:val="0"/>
        <w:ind w:firstLine="480"/>
        <w:jc w:val="both"/>
        <w:rPr>
          <w:color w:val="auto"/>
        </w:rPr>
      </w:pPr>
      <w:r>
        <w:rPr>
          <w:color w:val="auto"/>
        </w:rPr>
        <w:t>本项目洗井用水来源为朝二联含油污水处理站的深度处理水，新建</w:t>
      </w:r>
      <w:r>
        <w:rPr>
          <w:rFonts w:hint="eastAsia"/>
          <w:color w:val="auto"/>
        </w:rPr>
        <w:t>4</w:t>
      </w:r>
      <w:r>
        <w:rPr>
          <w:color w:val="auto"/>
        </w:rPr>
        <w:t>口油井洗井采用热洗车进行洗井，以清除套管结蜡，根据公用工程可知，本项目洗井污水产生量约为1155.9m</w:t>
      </w:r>
      <w:r>
        <w:rPr>
          <w:color w:val="auto"/>
          <w:vertAlign w:val="superscript"/>
        </w:rPr>
        <w:t>3</w:t>
      </w:r>
      <w:r>
        <w:rPr>
          <w:color w:val="auto"/>
        </w:rPr>
        <w:t>/a。此部分污水通过罐车回收后拉运至朝二联含油污水处理站处理满足《大庆油田地面工程建设设计规定》（Q/SYDQ0639-2015）及《碎屑岩油藏注水水质指标技术要求及分析方法》（SY/T5329-2022）限值要求后回注油层，不外排。</w:t>
      </w:r>
    </w:p>
    <w:p w14:paraId="7F8E9B27">
      <w:pPr>
        <w:pStyle w:val="276"/>
        <w:widowControl w:val="0"/>
        <w:ind w:firstLine="480"/>
        <w:jc w:val="both"/>
        <w:rPr>
          <w:color w:val="auto"/>
          <w:kern w:val="2"/>
          <w:szCs w:val="20"/>
        </w:rPr>
      </w:pPr>
      <w:r>
        <w:rPr>
          <w:color w:val="auto"/>
          <w:kern w:val="2"/>
          <w:szCs w:val="20"/>
        </w:rPr>
        <w:t>（3）噪声</w:t>
      </w:r>
    </w:p>
    <w:p w14:paraId="1CE315C4">
      <w:pPr>
        <w:pStyle w:val="276"/>
        <w:widowControl w:val="0"/>
        <w:ind w:firstLine="480"/>
        <w:jc w:val="both"/>
        <w:rPr>
          <w:color w:val="auto"/>
          <w:kern w:val="2"/>
          <w:szCs w:val="20"/>
        </w:rPr>
      </w:pPr>
      <w:r>
        <w:rPr>
          <w:color w:val="auto"/>
          <w:kern w:val="2"/>
          <w:szCs w:val="20"/>
        </w:rPr>
        <w:t>本项目运营期依托</w:t>
      </w:r>
      <w:r>
        <w:rPr>
          <w:color w:val="auto"/>
        </w:rPr>
        <w:t>工程</w:t>
      </w:r>
      <w:r>
        <w:rPr>
          <w:color w:val="auto"/>
          <w:kern w:val="2"/>
          <w:szCs w:val="20"/>
        </w:rPr>
        <w:t>不新增设备，项目</w:t>
      </w:r>
      <w:r>
        <w:rPr>
          <w:rFonts w:hint="eastAsia"/>
          <w:color w:val="auto"/>
          <w:kern w:val="2"/>
          <w:szCs w:val="20"/>
        </w:rPr>
        <w:t>运营期</w:t>
      </w:r>
      <w:r>
        <w:rPr>
          <w:color w:val="auto"/>
          <w:kern w:val="2"/>
          <w:szCs w:val="20"/>
        </w:rPr>
        <w:t>噪声源主要来自抽油机及拉油点储罐加热炉燃烧器噪声，类比同类项目，抽油机噪声源强为65～80dB(A)，加热炉燃烧器源强为70～75dB(A)，均为连续稳态声源。</w:t>
      </w:r>
    </w:p>
    <w:p w14:paraId="3A4DAC3A">
      <w:pPr>
        <w:pStyle w:val="276"/>
        <w:widowControl w:val="0"/>
        <w:spacing w:line="440" w:lineRule="exact"/>
        <w:ind w:firstLine="0" w:firstLineChars="0"/>
        <w:jc w:val="center"/>
        <w:rPr>
          <w:color w:val="auto"/>
          <w:kern w:val="2"/>
        </w:rPr>
      </w:pPr>
      <w:r>
        <w:rPr>
          <w:rFonts w:hint="eastAsia"/>
          <w:color w:val="auto"/>
          <w:kern w:val="2"/>
        </w:rPr>
        <w:t xml:space="preserve">表 </w:t>
      </w:r>
      <w:r>
        <w:rPr>
          <w:color w:val="auto"/>
          <w:kern w:val="2"/>
        </w:rPr>
        <w:t>3.12-7</w:t>
      </w:r>
      <w:r>
        <w:rPr>
          <w:rFonts w:hint="eastAsia"/>
          <w:color w:val="auto"/>
          <w:kern w:val="2"/>
        </w:rPr>
        <w:t xml:space="preserve"> 运营期抽油机正常生产情况下主要噪声源强调查清单</w:t>
      </w:r>
    </w:p>
    <w:p w14:paraId="50D4FC45">
      <w:pPr>
        <w:pStyle w:val="276"/>
        <w:widowControl w:val="0"/>
        <w:spacing w:line="440" w:lineRule="exact"/>
        <w:ind w:firstLine="0" w:firstLineChars="0"/>
        <w:jc w:val="center"/>
        <w:rPr>
          <w:color w:val="auto"/>
          <w:kern w:val="2"/>
        </w:rPr>
      </w:pPr>
      <w:r>
        <w:rPr>
          <w:rFonts w:hint="eastAsia"/>
          <w:color w:val="auto"/>
          <w:kern w:val="2"/>
        </w:rPr>
        <w:t>（以3</w:t>
      </w:r>
      <w:r>
        <w:rPr>
          <w:color w:val="auto"/>
          <w:kern w:val="2"/>
        </w:rPr>
        <w:t>#</w:t>
      </w:r>
      <w:r>
        <w:rPr>
          <w:rFonts w:hint="eastAsia"/>
          <w:color w:val="auto"/>
          <w:kern w:val="2"/>
        </w:rPr>
        <w:t>平台井场为例）</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025"/>
        <w:gridCol w:w="1581"/>
        <w:gridCol w:w="676"/>
        <w:gridCol w:w="769"/>
        <w:gridCol w:w="912"/>
        <w:gridCol w:w="1640"/>
        <w:gridCol w:w="1152"/>
        <w:gridCol w:w="1089"/>
      </w:tblGrid>
      <w:tr w14:paraId="1C52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7" w:type="pct"/>
            <w:vMerge w:val="restart"/>
            <w:shd w:val="clear" w:color="auto" w:fill="auto"/>
            <w:vAlign w:val="center"/>
          </w:tcPr>
          <w:p w14:paraId="15DEBCAF">
            <w:pPr>
              <w:adjustRightInd w:val="0"/>
              <w:snapToGrid w:val="0"/>
              <w:jc w:val="center"/>
              <w:rPr>
                <w:rFonts w:ascii="宋体" w:hAnsi="宋体" w:eastAsia="宋体" w:cs="Times New Roman"/>
                <w:color w:val="auto"/>
                <w:lang w:eastAsia="en-US"/>
              </w:rPr>
            </w:pPr>
            <w:r>
              <w:rPr>
                <w:rFonts w:hint="eastAsia" w:ascii="宋体" w:hAnsi="宋体" w:eastAsia="宋体" w:cs="Times New Roman"/>
                <w:color w:val="auto"/>
                <w:lang w:eastAsia="en-US"/>
              </w:rPr>
              <w:t>序号</w:t>
            </w:r>
          </w:p>
        </w:tc>
        <w:tc>
          <w:tcPr>
            <w:tcW w:w="571" w:type="pct"/>
            <w:vMerge w:val="restart"/>
            <w:shd w:val="clear" w:color="auto" w:fill="auto"/>
            <w:vAlign w:val="center"/>
          </w:tcPr>
          <w:p w14:paraId="1CF94258">
            <w:pPr>
              <w:adjustRightInd w:val="0"/>
              <w:snapToGrid w:val="0"/>
              <w:jc w:val="center"/>
              <w:rPr>
                <w:rFonts w:ascii="宋体" w:hAnsi="宋体" w:eastAsia="宋体" w:cs="Times New Roman"/>
                <w:color w:val="auto"/>
                <w:lang w:eastAsia="en-US"/>
              </w:rPr>
            </w:pPr>
            <w:r>
              <w:rPr>
                <w:rFonts w:hint="eastAsia" w:ascii="宋体" w:hAnsi="宋体" w:eastAsia="宋体" w:cs="Times New Roman"/>
                <w:color w:val="auto"/>
              </w:rPr>
              <w:t>声源</w:t>
            </w:r>
            <w:r>
              <w:rPr>
                <w:rFonts w:hint="eastAsia" w:ascii="宋体" w:hAnsi="宋体" w:eastAsia="宋体" w:cs="Times New Roman"/>
                <w:color w:val="auto"/>
                <w:lang w:eastAsia="en-US"/>
              </w:rPr>
              <w:t>名称</w:t>
            </w:r>
          </w:p>
        </w:tc>
        <w:tc>
          <w:tcPr>
            <w:tcW w:w="700" w:type="pct"/>
            <w:vMerge w:val="restart"/>
            <w:shd w:val="clear" w:color="auto" w:fill="auto"/>
            <w:vAlign w:val="center"/>
          </w:tcPr>
          <w:p w14:paraId="2172E95C">
            <w:pPr>
              <w:adjustRightInd w:val="0"/>
              <w:snapToGrid w:val="0"/>
              <w:jc w:val="center"/>
              <w:rPr>
                <w:rFonts w:ascii="宋体" w:hAnsi="宋体" w:eastAsia="宋体" w:cs="Times New Roman"/>
                <w:color w:val="auto"/>
              </w:rPr>
            </w:pPr>
            <w:r>
              <w:rPr>
                <w:rFonts w:hint="eastAsia" w:ascii="宋体" w:hAnsi="宋体" w:eastAsia="宋体" w:cs="Times New Roman"/>
                <w:color w:val="auto"/>
              </w:rPr>
              <w:t>型号</w:t>
            </w:r>
          </w:p>
        </w:tc>
        <w:tc>
          <w:tcPr>
            <w:tcW w:w="1326" w:type="pct"/>
            <w:gridSpan w:val="3"/>
            <w:shd w:val="clear" w:color="auto" w:fill="auto"/>
            <w:vAlign w:val="center"/>
          </w:tcPr>
          <w:p w14:paraId="506F3B86">
            <w:pPr>
              <w:adjustRightInd w:val="0"/>
              <w:snapToGrid w:val="0"/>
              <w:jc w:val="center"/>
              <w:rPr>
                <w:rFonts w:ascii="宋体" w:hAnsi="宋体" w:eastAsia="宋体" w:cs="Times New Roman"/>
                <w:color w:val="auto"/>
              </w:rPr>
            </w:pPr>
            <w:r>
              <w:rPr>
                <w:rFonts w:hint="eastAsia" w:ascii="宋体" w:hAnsi="宋体" w:eastAsia="宋体" w:cs="Times New Roman"/>
                <w:color w:val="auto"/>
              </w:rPr>
              <w:t>空间相对位置（</w:t>
            </w:r>
            <w:r>
              <w:rPr>
                <w:rFonts w:ascii="宋体" w:hAnsi="宋体" w:eastAsia="宋体" w:cs="Times New Roman"/>
                <w:color w:val="auto"/>
              </w:rPr>
              <w:t>m）</w:t>
            </w:r>
          </w:p>
        </w:tc>
        <w:tc>
          <w:tcPr>
            <w:tcW w:w="902" w:type="pct"/>
            <w:vMerge w:val="restart"/>
            <w:shd w:val="clear" w:color="auto" w:fill="auto"/>
            <w:vAlign w:val="center"/>
          </w:tcPr>
          <w:p w14:paraId="564B59FF">
            <w:pPr>
              <w:adjustRightInd w:val="0"/>
              <w:snapToGrid w:val="0"/>
              <w:jc w:val="center"/>
              <w:rPr>
                <w:rFonts w:ascii="宋体" w:hAnsi="宋体" w:eastAsia="宋体" w:cs="Times New Roman"/>
                <w:color w:val="auto"/>
              </w:rPr>
            </w:pPr>
            <w:r>
              <w:rPr>
                <w:rFonts w:hint="eastAsia" w:ascii="宋体" w:hAnsi="宋体" w:eastAsia="宋体" w:cs="Times New Roman"/>
                <w:color w:val="auto"/>
              </w:rPr>
              <w:t>声压级</w:t>
            </w:r>
            <w:r>
              <w:rPr>
                <w:rFonts w:ascii="宋体" w:hAnsi="宋体" w:eastAsia="宋体" w:cs="Times New Roman"/>
                <w:color w:val="auto"/>
              </w:rPr>
              <w:t>/距声源距离</w:t>
            </w:r>
            <w:r>
              <w:rPr>
                <w:rFonts w:hint="eastAsia" w:ascii="宋体" w:hAnsi="宋体" w:eastAsia="宋体" w:cs="Times New Roman"/>
                <w:color w:val="auto"/>
              </w:rPr>
              <w:t>（dB（A）/1m）</w:t>
            </w:r>
          </w:p>
        </w:tc>
        <w:tc>
          <w:tcPr>
            <w:tcW w:w="639" w:type="pct"/>
            <w:vMerge w:val="restart"/>
            <w:shd w:val="clear" w:color="auto" w:fill="auto"/>
            <w:vAlign w:val="center"/>
          </w:tcPr>
          <w:p w14:paraId="23C86F12">
            <w:pPr>
              <w:adjustRightInd w:val="0"/>
              <w:snapToGrid w:val="0"/>
              <w:jc w:val="center"/>
              <w:rPr>
                <w:rFonts w:ascii="宋体" w:hAnsi="宋体" w:eastAsia="宋体" w:cs="Times New Roman"/>
                <w:color w:val="auto"/>
              </w:rPr>
            </w:pPr>
            <w:r>
              <w:rPr>
                <w:rFonts w:hint="eastAsia" w:ascii="宋体" w:hAnsi="宋体" w:eastAsia="宋体" w:cs="Times New Roman"/>
                <w:color w:val="auto"/>
              </w:rPr>
              <w:t>声源控制措施</w:t>
            </w:r>
          </w:p>
        </w:tc>
        <w:tc>
          <w:tcPr>
            <w:tcW w:w="605" w:type="pct"/>
            <w:vMerge w:val="restart"/>
            <w:shd w:val="clear" w:color="auto" w:fill="auto"/>
            <w:vAlign w:val="center"/>
          </w:tcPr>
          <w:p w14:paraId="5B59BA70">
            <w:pPr>
              <w:adjustRightInd w:val="0"/>
              <w:snapToGrid w:val="0"/>
              <w:jc w:val="center"/>
              <w:rPr>
                <w:rFonts w:ascii="宋体" w:hAnsi="宋体" w:eastAsia="宋体" w:cs="Times New Roman"/>
                <w:color w:val="auto"/>
              </w:rPr>
            </w:pPr>
            <w:r>
              <w:rPr>
                <w:rFonts w:hint="eastAsia" w:ascii="宋体" w:hAnsi="宋体" w:eastAsia="宋体" w:cs="Times New Roman"/>
                <w:color w:val="auto"/>
              </w:rPr>
              <w:t>运行时段</w:t>
            </w:r>
          </w:p>
        </w:tc>
      </w:tr>
      <w:tr w14:paraId="6523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7" w:type="pct"/>
            <w:vMerge w:val="continue"/>
            <w:shd w:val="clear" w:color="auto" w:fill="auto"/>
            <w:vAlign w:val="center"/>
          </w:tcPr>
          <w:p w14:paraId="1A14A0F1">
            <w:pPr>
              <w:jc w:val="center"/>
              <w:rPr>
                <w:rFonts w:ascii="宋体" w:hAnsi="宋体" w:eastAsia="宋体" w:cs="Times New Roman"/>
                <w:color w:val="auto"/>
                <w:lang w:eastAsia="en-US"/>
              </w:rPr>
            </w:pPr>
          </w:p>
        </w:tc>
        <w:tc>
          <w:tcPr>
            <w:tcW w:w="571" w:type="pct"/>
            <w:vMerge w:val="continue"/>
            <w:shd w:val="clear" w:color="auto" w:fill="auto"/>
            <w:vAlign w:val="center"/>
          </w:tcPr>
          <w:p w14:paraId="246EEC88">
            <w:pPr>
              <w:jc w:val="center"/>
              <w:rPr>
                <w:rFonts w:ascii="宋体" w:hAnsi="宋体" w:eastAsia="宋体" w:cs="Times New Roman"/>
                <w:color w:val="auto"/>
                <w:lang w:eastAsia="en-US"/>
              </w:rPr>
            </w:pPr>
          </w:p>
        </w:tc>
        <w:tc>
          <w:tcPr>
            <w:tcW w:w="700" w:type="pct"/>
            <w:vMerge w:val="continue"/>
            <w:shd w:val="clear" w:color="auto" w:fill="auto"/>
            <w:vAlign w:val="center"/>
          </w:tcPr>
          <w:p w14:paraId="4E74F2F9">
            <w:pPr>
              <w:jc w:val="center"/>
              <w:rPr>
                <w:rFonts w:ascii="宋体" w:hAnsi="宋体" w:eastAsia="宋体" w:cs="Times New Roman"/>
                <w:color w:val="auto"/>
              </w:rPr>
            </w:pPr>
          </w:p>
        </w:tc>
        <w:tc>
          <w:tcPr>
            <w:tcW w:w="383" w:type="pct"/>
            <w:shd w:val="clear" w:color="auto" w:fill="auto"/>
            <w:vAlign w:val="center"/>
          </w:tcPr>
          <w:p w14:paraId="779A24ED">
            <w:pPr>
              <w:adjustRightInd w:val="0"/>
              <w:snapToGrid w:val="0"/>
              <w:jc w:val="center"/>
              <w:rPr>
                <w:rFonts w:ascii="宋体" w:hAnsi="宋体" w:eastAsia="宋体" w:cs="Times New Roman"/>
                <w:color w:val="auto"/>
              </w:rPr>
            </w:pPr>
            <w:r>
              <w:rPr>
                <w:rFonts w:hint="eastAsia" w:ascii="宋体" w:hAnsi="宋体" w:eastAsia="宋体" w:cs="Times New Roman"/>
                <w:color w:val="auto"/>
              </w:rPr>
              <w:t>X</w:t>
            </w:r>
          </w:p>
        </w:tc>
        <w:tc>
          <w:tcPr>
            <w:tcW w:w="433" w:type="pct"/>
            <w:shd w:val="clear" w:color="auto" w:fill="auto"/>
            <w:vAlign w:val="center"/>
          </w:tcPr>
          <w:p w14:paraId="6F879C91">
            <w:pPr>
              <w:adjustRightInd w:val="0"/>
              <w:snapToGrid w:val="0"/>
              <w:jc w:val="center"/>
              <w:rPr>
                <w:rFonts w:ascii="宋体" w:hAnsi="宋体" w:eastAsia="宋体" w:cs="Times New Roman"/>
                <w:color w:val="auto"/>
              </w:rPr>
            </w:pPr>
            <w:r>
              <w:rPr>
                <w:rFonts w:hint="eastAsia" w:ascii="宋体" w:hAnsi="宋体" w:eastAsia="宋体" w:cs="Times New Roman"/>
                <w:color w:val="auto"/>
              </w:rPr>
              <w:t>Y</w:t>
            </w:r>
          </w:p>
        </w:tc>
        <w:tc>
          <w:tcPr>
            <w:tcW w:w="510" w:type="pct"/>
            <w:shd w:val="clear" w:color="auto" w:fill="auto"/>
            <w:vAlign w:val="center"/>
          </w:tcPr>
          <w:p w14:paraId="408E6C46">
            <w:pPr>
              <w:adjustRightInd w:val="0"/>
              <w:snapToGrid w:val="0"/>
              <w:jc w:val="center"/>
              <w:rPr>
                <w:rFonts w:ascii="宋体" w:hAnsi="宋体" w:eastAsia="宋体" w:cs="Times New Roman"/>
                <w:color w:val="auto"/>
              </w:rPr>
            </w:pPr>
            <w:r>
              <w:rPr>
                <w:rFonts w:hint="eastAsia" w:ascii="宋体" w:hAnsi="宋体" w:eastAsia="宋体" w:cs="Times New Roman"/>
                <w:color w:val="auto"/>
              </w:rPr>
              <w:t>Z</w:t>
            </w:r>
          </w:p>
        </w:tc>
        <w:tc>
          <w:tcPr>
            <w:tcW w:w="902" w:type="pct"/>
            <w:vMerge w:val="continue"/>
            <w:shd w:val="clear" w:color="auto" w:fill="auto"/>
            <w:vAlign w:val="center"/>
          </w:tcPr>
          <w:p w14:paraId="32DC8E2D">
            <w:pPr>
              <w:adjustRightInd w:val="0"/>
              <w:snapToGrid w:val="0"/>
              <w:jc w:val="center"/>
              <w:rPr>
                <w:rFonts w:ascii="宋体" w:hAnsi="宋体" w:eastAsia="宋体" w:cs="Times New Roman"/>
                <w:color w:val="auto"/>
              </w:rPr>
            </w:pPr>
          </w:p>
        </w:tc>
        <w:tc>
          <w:tcPr>
            <w:tcW w:w="639" w:type="pct"/>
            <w:vMerge w:val="continue"/>
            <w:shd w:val="clear" w:color="auto" w:fill="auto"/>
            <w:vAlign w:val="center"/>
          </w:tcPr>
          <w:p w14:paraId="52471888">
            <w:pPr>
              <w:jc w:val="center"/>
              <w:rPr>
                <w:rFonts w:ascii="宋体" w:hAnsi="宋体" w:eastAsia="宋体" w:cs="Times New Roman"/>
                <w:color w:val="auto"/>
              </w:rPr>
            </w:pPr>
          </w:p>
        </w:tc>
        <w:tc>
          <w:tcPr>
            <w:tcW w:w="605" w:type="pct"/>
            <w:vMerge w:val="continue"/>
            <w:shd w:val="clear" w:color="auto" w:fill="auto"/>
            <w:vAlign w:val="center"/>
          </w:tcPr>
          <w:p w14:paraId="0C84FE7D">
            <w:pPr>
              <w:jc w:val="center"/>
              <w:rPr>
                <w:rFonts w:ascii="宋体" w:hAnsi="宋体" w:eastAsia="宋体" w:cs="Times New Roman"/>
                <w:color w:val="auto"/>
              </w:rPr>
            </w:pPr>
          </w:p>
        </w:tc>
      </w:tr>
      <w:tr w14:paraId="032C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shd w:val="clear" w:color="auto" w:fill="auto"/>
            <w:vAlign w:val="center"/>
          </w:tcPr>
          <w:p w14:paraId="261017F1">
            <w:pPr>
              <w:adjustRightInd w:val="0"/>
              <w:snapToGrid w:val="0"/>
              <w:jc w:val="center"/>
              <w:rPr>
                <w:rFonts w:ascii="宋体" w:hAnsi="宋体" w:eastAsia="宋体" w:cs="Times New Roman"/>
                <w:color w:val="auto"/>
              </w:rPr>
            </w:pPr>
            <w:r>
              <w:rPr>
                <w:rFonts w:hint="eastAsia" w:ascii="宋体" w:hAnsi="宋体" w:eastAsia="宋体" w:cs="Times New Roman"/>
                <w:color w:val="auto"/>
              </w:rPr>
              <w:t>1</w:t>
            </w:r>
          </w:p>
        </w:tc>
        <w:tc>
          <w:tcPr>
            <w:tcW w:w="571" w:type="pct"/>
            <w:shd w:val="clear" w:color="auto" w:fill="auto"/>
            <w:vAlign w:val="center"/>
          </w:tcPr>
          <w:p w14:paraId="5273323F">
            <w:pPr>
              <w:adjustRightInd w:val="0"/>
              <w:snapToGrid w:val="0"/>
              <w:jc w:val="center"/>
              <w:rPr>
                <w:rFonts w:ascii="宋体" w:hAnsi="宋体" w:eastAsia="宋体" w:cs="Times New Roman"/>
                <w:color w:val="auto"/>
              </w:rPr>
            </w:pPr>
            <w:r>
              <w:rPr>
                <w:rFonts w:hint="eastAsia" w:ascii="宋体" w:hAnsi="宋体" w:eastAsia="宋体" w:cs="Times New Roman"/>
                <w:color w:val="auto"/>
              </w:rPr>
              <w:t>抽油机</w:t>
            </w:r>
          </w:p>
        </w:tc>
        <w:tc>
          <w:tcPr>
            <w:tcW w:w="700" w:type="pct"/>
            <w:shd w:val="clear" w:color="auto" w:fill="auto"/>
            <w:vAlign w:val="center"/>
          </w:tcPr>
          <w:p w14:paraId="285B6F7C">
            <w:pPr>
              <w:adjustRightInd w:val="0"/>
              <w:snapToGrid w:val="0"/>
              <w:jc w:val="center"/>
              <w:rPr>
                <w:rFonts w:ascii="宋体" w:hAnsi="宋体" w:eastAsia="宋体" w:cs="Times New Roman"/>
                <w:color w:val="auto"/>
                <w:lang w:eastAsia="en-US"/>
              </w:rPr>
            </w:pPr>
            <w:bookmarkStart w:id="899" w:name="OLE_LINK47"/>
            <w:r>
              <w:rPr>
                <w:rFonts w:ascii="宋体" w:hAnsi="宋体" w:eastAsia="宋体" w:cs="Times New Roman"/>
                <w:color w:val="auto"/>
              </w:rPr>
              <w:t>CYJY10-3-37HB</w:t>
            </w:r>
            <w:r>
              <w:rPr>
                <w:rFonts w:hint="eastAsia" w:ascii="宋体" w:hAnsi="宋体" w:eastAsia="宋体" w:cs="Times New Roman"/>
                <w:color w:val="auto"/>
                <w:lang w:eastAsia="en-US"/>
              </w:rPr>
              <w:t>型抽油机</w:t>
            </w:r>
            <w:bookmarkEnd w:id="899"/>
          </w:p>
        </w:tc>
        <w:tc>
          <w:tcPr>
            <w:tcW w:w="383" w:type="pct"/>
            <w:shd w:val="clear" w:color="auto" w:fill="auto"/>
            <w:vAlign w:val="center"/>
          </w:tcPr>
          <w:p w14:paraId="56D09E4B">
            <w:pPr>
              <w:adjustRightInd w:val="0"/>
              <w:snapToGrid w:val="0"/>
              <w:jc w:val="center"/>
              <w:rPr>
                <w:rFonts w:ascii="宋体" w:hAnsi="宋体" w:eastAsia="宋体" w:cs="Times New Roman"/>
                <w:color w:val="auto"/>
              </w:rPr>
            </w:pPr>
            <w:r>
              <w:rPr>
                <w:rFonts w:ascii="宋体" w:hAnsi="宋体" w:eastAsia="宋体" w:cs="Times New Roman"/>
                <w:color w:val="auto"/>
              </w:rPr>
              <w:t>70</w:t>
            </w:r>
          </w:p>
        </w:tc>
        <w:tc>
          <w:tcPr>
            <w:tcW w:w="433" w:type="pct"/>
            <w:shd w:val="clear" w:color="auto" w:fill="auto"/>
            <w:vAlign w:val="center"/>
          </w:tcPr>
          <w:p w14:paraId="1C559092">
            <w:pPr>
              <w:adjustRightInd w:val="0"/>
              <w:snapToGrid w:val="0"/>
              <w:jc w:val="center"/>
              <w:rPr>
                <w:rFonts w:ascii="宋体" w:hAnsi="宋体" w:eastAsia="宋体" w:cs="Times New Roman"/>
                <w:color w:val="auto"/>
              </w:rPr>
            </w:pPr>
            <w:r>
              <w:rPr>
                <w:rFonts w:ascii="宋体" w:hAnsi="宋体" w:eastAsia="宋体" w:cs="Times New Roman"/>
                <w:color w:val="auto"/>
              </w:rPr>
              <w:t>70</w:t>
            </w:r>
          </w:p>
        </w:tc>
        <w:tc>
          <w:tcPr>
            <w:tcW w:w="510" w:type="pct"/>
            <w:shd w:val="clear" w:color="auto" w:fill="auto"/>
            <w:vAlign w:val="center"/>
          </w:tcPr>
          <w:p w14:paraId="1997E50B">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902" w:type="pct"/>
            <w:shd w:val="clear" w:color="auto" w:fill="auto"/>
            <w:vAlign w:val="center"/>
          </w:tcPr>
          <w:p w14:paraId="733A8CB8">
            <w:pPr>
              <w:adjustRightInd w:val="0"/>
              <w:snapToGrid w:val="0"/>
              <w:jc w:val="center"/>
              <w:rPr>
                <w:rFonts w:ascii="宋体" w:hAnsi="宋体" w:eastAsia="宋体" w:cs="Times New Roman"/>
                <w:color w:val="auto"/>
              </w:rPr>
            </w:pPr>
            <w:r>
              <w:rPr>
                <w:rFonts w:ascii="宋体" w:hAnsi="宋体" w:eastAsia="宋体" w:cs="Times New Roman"/>
                <w:color w:val="auto"/>
                <w:lang w:eastAsia="en-US"/>
              </w:rPr>
              <w:t>65</w:t>
            </w:r>
            <w:r>
              <w:rPr>
                <w:rFonts w:hint="eastAsia" w:ascii="宋体" w:hAnsi="宋体" w:eastAsia="宋体" w:cs="Times New Roman"/>
                <w:color w:val="auto"/>
                <w:lang w:eastAsia="en-US"/>
              </w:rPr>
              <w:t>～</w:t>
            </w:r>
            <w:r>
              <w:rPr>
                <w:rFonts w:ascii="宋体" w:hAnsi="宋体" w:eastAsia="宋体" w:cs="Times New Roman"/>
                <w:color w:val="auto"/>
                <w:lang w:eastAsia="en-US"/>
              </w:rPr>
              <w:t>80</w:t>
            </w:r>
          </w:p>
        </w:tc>
        <w:tc>
          <w:tcPr>
            <w:tcW w:w="639" w:type="pct"/>
            <w:shd w:val="clear" w:color="auto" w:fill="auto"/>
            <w:vAlign w:val="center"/>
          </w:tcPr>
          <w:p w14:paraId="283551C0">
            <w:pPr>
              <w:adjustRightInd w:val="0"/>
              <w:snapToGrid w:val="0"/>
              <w:jc w:val="center"/>
              <w:rPr>
                <w:rFonts w:ascii="宋体" w:hAnsi="宋体" w:eastAsia="宋体" w:cs="Times New Roman"/>
                <w:color w:val="auto"/>
              </w:rPr>
            </w:pPr>
            <w:r>
              <w:rPr>
                <w:rFonts w:hint="eastAsia" w:ascii="宋体" w:hAnsi="宋体" w:eastAsia="宋体" w:cs="Times New Roman"/>
                <w:color w:val="auto"/>
              </w:rPr>
              <w:t>设置减振基础、选用低噪声设备、加强保养等</w:t>
            </w:r>
          </w:p>
        </w:tc>
        <w:tc>
          <w:tcPr>
            <w:tcW w:w="605" w:type="pct"/>
            <w:shd w:val="clear" w:color="auto" w:fill="auto"/>
            <w:vAlign w:val="center"/>
          </w:tcPr>
          <w:p w14:paraId="208E039A">
            <w:pPr>
              <w:adjustRightInd w:val="0"/>
              <w:snapToGrid w:val="0"/>
              <w:jc w:val="center"/>
              <w:rPr>
                <w:rFonts w:ascii="宋体" w:hAnsi="宋体" w:eastAsia="宋体" w:cs="Times New Roman"/>
                <w:color w:val="auto"/>
              </w:rPr>
            </w:pPr>
            <w:r>
              <w:rPr>
                <w:rFonts w:hint="eastAsia" w:ascii="宋体" w:hAnsi="宋体" w:eastAsia="宋体" w:cs="Times New Roman"/>
                <w:color w:val="auto"/>
              </w:rPr>
              <w:t>0：0</w:t>
            </w:r>
            <w:r>
              <w:rPr>
                <w:rFonts w:ascii="宋体" w:hAnsi="宋体" w:eastAsia="宋体" w:cs="Times New Roman"/>
                <w:color w:val="auto"/>
              </w:rPr>
              <w:t>0</w:t>
            </w:r>
            <w:r>
              <w:rPr>
                <w:rFonts w:hint="eastAsia" w:ascii="宋体" w:hAnsi="宋体" w:eastAsia="宋体" w:cs="Times New Roman"/>
                <w:color w:val="auto"/>
              </w:rPr>
              <w:t>～</w:t>
            </w:r>
            <w:r>
              <w:rPr>
                <w:rFonts w:ascii="宋体" w:hAnsi="宋体" w:eastAsia="宋体" w:cs="Times New Roman"/>
                <w:color w:val="auto"/>
              </w:rPr>
              <w:t>24</w:t>
            </w:r>
            <w:r>
              <w:rPr>
                <w:rFonts w:hint="eastAsia" w:ascii="宋体" w:hAnsi="宋体" w:eastAsia="宋体" w:cs="Times New Roman"/>
                <w:color w:val="auto"/>
              </w:rPr>
              <w:t>：0</w:t>
            </w:r>
            <w:r>
              <w:rPr>
                <w:rFonts w:ascii="宋体" w:hAnsi="宋体" w:eastAsia="宋体" w:cs="Times New Roman"/>
                <w:color w:val="auto"/>
              </w:rPr>
              <w:t>0</w:t>
            </w:r>
          </w:p>
        </w:tc>
      </w:tr>
      <w:tr w14:paraId="102C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shd w:val="clear" w:color="auto" w:fill="auto"/>
            <w:vAlign w:val="center"/>
          </w:tcPr>
          <w:p w14:paraId="6B4F478D">
            <w:pPr>
              <w:adjustRightInd w:val="0"/>
              <w:snapToGrid w:val="0"/>
              <w:jc w:val="center"/>
              <w:rPr>
                <w:rFonts w:ascii="宋体" w:hAnsi="宋体" w:eastAsia="宋体" w:cs="Times New Roman"/>
                <w:color w:val="auto"/>
              </w:rPr>
            </w:pPr>
            <w:r>
              <w:rPr>
                <w:rFonts w:hint="eastAsia" w:ascii="宋体" w:hAnsi="宋体" w:eastAsia="宋体" w:cs="Times New Roman"/>
                <w:color w:val="auto"/>
              </w:rPr>
              <w:t>2</w:t>
            </w:r>
          </w:p>
        </w:tc>
        <w:tc>
          <w:tcPr>
            <w:tcW w:w="571" w:type="pct"/>
            <w:shd w:val="clear" w:color="auto" w:fill="auto"/>
            <w:vAlign w:val="center"/>
          </w:tcPr>
          <w:p w14:paraId="5B78DA38">
            <w:pPr>
              <w:adjustRightInd w:val="0"/>
              <w:snapToGrid w:val="0"/>
              <w:jc w:val="center"/>
              <w:rPr>
                <w:rFonts w:ascii="宋体" w:hAnsi="宋体" w:eastAsia="宋体" w:cs="Times New Roman"/>
                <w:color w:val="auto"/>
              </w:rPr>
            </w:pPr>
            <w:r>
              <w:rPr>
                <w:rFonts w:hint="eastAsia" w:ascii="宋体" w:hAnsi="宋体" w:eastAsia="宋体" w:cs="Times New Roman"/>
                <w:color w:val="auto"/>
              </w:rPr>
              <w:t>抽油机</w:t>
            </w:r>
          </w:p>
        </w:tc>
        <w:tc>
          <w:tcPr>
            <w:tcW w:w="700" w:type="pct"/>
            <w:shd w:val="clear" w:color="auto" w:fill="auto"/>
            <w:vAlign w:val="center"/>
          </w:tcPr>
          <w:p w14:paraId="465879C6">
            <w:pPr>
              <w:adjustRightInd w:val="0"/>
              <w:snapToGrid w:val="0"/>
              <w:jc w:val="center"/>
              <w:rPr>
                <w:rFonts w:ascii="宋体" w:hAnsi="宋体" w:eastAsia="宋体" w:cs="Times New Roman"/>
                <w:color w:val="auto"/>
                <w:lang w:eastAsia="en-US"/>
              </w:rPr>
            </w:pPr>
            <w:r>
              <w:rPr>
                <w:rFonts w:ascii="宋体" w:hAnsi="宋体" w:eastAsia="宋体" w:cs="Times New Roman"/>
                <w:color w:val="auto"/>
              </w:rPr>
              <w:t>CYJY10-3-37HB</w:t>
            </w:r>
            <w:r>
              <w:rPr>
                <w:rFonts w:hint="eastAsia" w:ascii="宋体" w:hAnsi="宋体" w:eastAsia="宋体" w:cs="Times New Roman"/>
                <w:color w:val="auto"/>
                <w:lang w:eastAsia="en-US"/>
              </w:rPr>
              <w:t>型抽油机</w:t>
            </w:r>
          </w:p>
        </w:tc>
        <w:tc>
          <w:tcPr>
            <w:tcW w:w="383" w:type="pct"/>
            <w:shd w:val="clear" w:color="auto" w:fill="auto"/>
            <w:vAlign w:val="center"/>
          </w:tcPr>
          <w:p w14:paraId="4B447C31">
            <w:pPr>
              <w:adjustRightInd w:val="0"/>
              <w:snapToGrid w:val="0"/>
              <w:jc w:val="center"/>
              <w:rPr>
                <w:rFonts w:ascii="宋体" w:hAnsi="宋体" w:eastAsia="宋体" w:cs="Times New Roman"/>
                <w:color w:val="auto"/>
              </w:rPr>
            </w:pPr>
            <w:r>
              <w:rPr>
                <w:rFonts w:ascii="宋体" w:hAnsi="宋体" w:eastAsia="宋体" w:cs="Times New Roman"/>
                <w:color w:val="auto"/>
              </w:rPr>
              <w:t>80</w:t>
            </w:r>
          </w:p>
        </w:tc>
        <w:tc>
          <w:tcPr>
            <w:tcW w:w="433" w:type="pct"/>
            <w:shd w:val="clear" w:color="auto" w:fill="auto"/>
            <w:vAlign w:val="center"/>
          </w:tcPr>
          <w:p w14:paraId="1D5D46C9">
            <w:pPr>
              <w:adjustRightInd w:val="0"/>
              <w:snapToGrid w:val="0"/>
              <w:jc w:val="center"/>
              <w:rPr>
                <w:rFonts w:ascii="宋体" w:hAnsi="宋体" w:eastAsia="宋体" w:cs="Times New Roman"/>
                <w:color w:val="auto"/>
              </w:rPr>
            </w:pPr>
            <w:r>
              <w:rPr>
                <w:rFonts w:ascii="宋体" w:hAnsi="宋体" w:eastAsia="宋体" w:cs="Times New Roman"/>
                <w:color w:val="auto"/>
              </w:rPr>
              <w:t>70</w:t>
            </w:r>
          </w:p>
        </w:tc>
        <w:tc>
          <w:tcPr>
            <w:tcW w:w="510" w:type="pct"/>
            <w:shd w:val="clear" w:color="auto" w:fill="auto"/>
            <w:vAlign w:val="center"/>
          </w:tcPr>
          <w:p w14:paraId="1E713E79">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902" w:type="pct"/>
            <w:shd w:val="clear" w:color="auto" w:fill="auto"/>
            <w:vAlign w:val="center"/>
          </w:tcPr>
          <w:p w14:paraId="79767D4C">
            <w:pPr>
              <w:adjustRightInd w:val="0"/>
              <w:snapToGrid w:val="0"/>
              <w:jc w:val="center"/>
              <w:rPr>
                <w:rFonts w:ascii="宋体" w:hAnsi="宋体" w:eastAsia="宋体" w:cs="Times New Roman"/>
                <w:color w:val="auto"/>
                <w:lang w:eastAsia="en-US"/>
              </w:rPr>
            </w:pPr>
            <w:r>
              <w:rPr>
                <w:rFonts w:ascii="宋体" w:hAnsi="宋体" w:eastAsia="宋体" w:cs="Times New Roman"/>
                <w:color w:val="auto"/>
                <w:lang w:eastAsia="en-US"/>
              </w:rPr>
              <w:t>65</w:t>
            </w:r>
            <w:r>
              <w:rPr>
                <w:rFonts w:hint="eastAsia" w:ascii="宋体" w:hAnsi="宋体" w:eastAsia="宋体" w:cs="Times New Roman"/>
                <w:color w:val="auto"/>
                <w:lang w:eastAsia="en-US"/>
              </w:rPr>
              <w:t>～</w:t>
            </w:r>
            <w:r>
              <w:rPr>
                <w:rFonts w:ascii="宋体" w:hAnsi="宋体" w:eastAsia="宋体" w:cs="Times New Roman"/>
                <w:color w:val="auto"/>
                <w:lang w:eastAsia="en-US"/>
              </w:rPr>
              <w:t>80</w:t>
            </w:r>
          </w:p>
        </w:tc>
        <w:tc>
          <w:tcPr>
            <w:tcW w:w="639" w:type="pct"/>
            <w:shd w:val="clear" w:color="auto" w:fill="auto"/>
            <w:vAlign w:val="center"/>
          </w:tcPr>
          <w:p w14:paraId="51B1C88A">
            <w:pPr>
              <w:adjustRightInd w:val="0"/>
              <w:snapToGrid w:val="0"/>
              <w:jc w:val="center"/>
              <w:rPr>
                <w:rFonts w:ascii="宋体" w:hAnsi="宋体" w:eastAsia="宋体" w:cs="Times New Roman"/>
                <w:color w:val="auto"/>
              </w:rPr>
            </w:pPr>
            <w:r>
              <w:rPr>
                <w:rFonts w:hint="eastAsia" w:ascii="宋体" w:hAnsi="宋体" w:eastAsia="宋体" w:cs="Times New Roman"/>
                <w:color w:val="auto"/>
              </w:rPr>
              <w:t>设置减振基础、选用低噪声设备、加强保养等</w:t>
            </w:r>
          </w:p>
        </w:tc>
        <w:tc>
          <w:tcPr>
            <w:tcW w:w="605" w:type="pct"/>
            <w:shd w:val="clear" w:color="auto" w:fill="auto"/>
            <w:vAlign w:val="center"/>
          </w:tcPr>
          <w:p w14:paraId="2C6740C2">
            <w:pPr>
              <w:adjustRightInd w:val="0"/>
              <w:snapToGrid w:val="0"/>
              <w:jc w:val="center"/>
              <w:rPr>
                <w:rFonts w:ascii="宋体" w:hAnsi="宋体" w:eastAsia="宋体" w:cs="Times New Roman"/>
                <w:color w:val="auto"/>
              </w:rPr>
            </w:pPr>
            <w:r>
              <w:rPr>
                <w:rFonts w:hint="eastAsia" w:ascii="宋体" w:hAnsi="宋体" w:eastAsia="宋体" w:cs="Times New Roman"/>
                <w:color w:val="auto"/>
              </w:rPr>
              <w:t>0：0</w:t>
            </w:r>
            <w:r>
              <w:rPr>
                <w:rFonts w:ascii="宋体" w:hAnsi="宋体" w:eastAsia="宋体" w:cs="Times New Roman"/>
                <w:color w:val="auto"/>
              </w:rPr>
              <w:t>0</w:t>
            </w:r>
            <w:r>
              <w:rPr>
                <w:rFonts w:hint="eastAsia" w:ascii="宋体" w:hAnsi="宋体" w:eastAsia="宋体" w:cs="Times New Roman"/>
                <w:color w:val="auto"/>
              </w:rPr>
              <w:t>～</w:t>
            </w:r>
            <w:r>
              <w:rPr>
                <w:rFonts w:ascii="宋体" w:hAnsi="宋体" w:eastAsia="宋体" w:cs="Times New Roman"/>
                <w:color w:val="auto"/>
              </w:rPr>
              <w:t>24</w:t>
            </w:r>
            <w:r>
              <w:rPr>
                <w:rFonts w:hint="eastAsia" w:ascii="宋体" w:hAnsi="宋体" w:eastAsia="宋体" w:cs="Times New Roman"/>
                <w:color w:val="auto"/>
              </w:rPr>
              <w:t>：0</w:t>
            </w:r>
            <w:r>
              <w:rPr>
                <w:rFonts w:ascii="宋体" w:hAnsi="宋体" w:eastAsia="宋体" w:cs="Times New Roman"/>
                <w:color w:val="auto"/>
              </w:rPr>
              <w:t>0</w:t>
            </w:r>
          </w:p>
        </w:tc>
      </w:tr>
      <w:tr w14:paraId="7996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shd w:val="clear" w:color="auto" w:fill="auto"/>
            <w:vAlign w:val="center"/>
          </w:tcPr>
          <w:p w14:paraId="06A7B3E4">
            <w:pPr>
              <w:adjustRightInd w:val="0"/>
              <w:snapToGrid w:val="0"/>
              <w:jc w:val="center"/>
              <w:rPr>
                <w:rFonts w:ascii="宋体" w:hAnsi="宋体" w:eastAsia="宋体" w:cs="Times New Roman"/>
                <w:color w:val="auto"/>
              </w:rPr>
            </w:pPr>
            <w:r>
              <w:rPr>
                <w:rFonts w:hint="eastAsia" w:ascii="宋体" w:hAnsi="宋体" w:eastAsia="宋体" w:cs="Times New Roman"/>
                <w:color w:val="auto"/>
              </w:rPr>
              <w:t>3</w:t>
            </w:r>
          </w:p>
        </w:tc>
        <w:tc>
          <w:tcPr>
            <w:tcW w:w="571" w:type="pct"/>
            <w:shd w:val="clear" w:color="auto" w:fill="auto"/>
            <w:vAlign w:val="center"/>
          </w:tcPr>
          <w:p w14:paraId="6AACE0E1">
            <w:pPr>
              <w:adjustRightInd w:val="0"/>
              <w:snapToGrid w:val="0"/>
              <w:jc w:val="center"/>
              <w:rPr>
                <w:rFonts w:ascii="宋体" w:hAnsi="宋体" w:eastAsia="宋体" w:cs="Times New Roman"/>
                <w:color w:val="auto"/>
              </w:rPr>
            </w:pPr>
            <w:r>
              <w:rPr>
                <w:rFonts w:hint="eastAsia" w:ascii="宋体" w:hAnsi="宋体" w:eastAsia="宋体" w:cs="Times New Roman"/>
                <w:color w:val="auto"/>
              </w:rPr>
              <w:t>加热炉燃烧器</w:t>
            </w:r>
          </w:p>
        </w:tc>
        <w:tc>
          <w:tcPr>
            <w:tcW w:w="700" w:type="pct"/>
            <w:shd w:val="clear" w:color="auto" w:fill="auto"/>
            <w:vAlign w:val="center"/>
          </w:tcPr>
          <w:p w14:paraId="053C1AA4">
            <w:pPr>
              <w:adjustRightInd w:val="0"/>
              <w:snapToGrid w:val="0"/>
              <w:jc w:val="center"/>
              <w:rPr>
                <w:rFonts w:ascii="宋体" w:hAnsi="宋体" w:eastAsia="宋体" w:cs="Times New Roman"/>
                <w:color w:val="auto"/>
              </w:rPr>
            </w:pPr>
            <w:r>
              <w:rPr>
                <w:rFonts w:hint="eastAsia" w:ascii="宋体" w:hAnsi="宋体" w:eastAsia="宋体" w:cs="Times New Roman"/>
                <w:color w:val="auto"/>
              </w:rPr>
              <w:t>/</w:t>
            </w:r>
          </w:p>
        </w:tc>
        <w:tc>
          <w:tcPr>
            <w:tcW w:w="383" w:type="pct"/>
            <w:shd w:val="clear" w:color="auto" w:fill="auto"/>
            <w:vAlign w:val="center"/>
          </w:tcPr>
          <w:p w14:paraId="6DD6C590">
            <w:pPr>
              <w:adjustRightInd w:val="0"/>
              <w:snapToGrid w:val="0"/>
              <w:jc w:val="center"/>
              <w:rPr>
                <w:rFonts w:ascii="宋体" w:hAnsi="宋体" w:eastAsia="宋体" w:cs="Times New Roman"/>
                <w:color w:val="auto"/>
              </w:rPr>
            </w:pPr>
            <w:r>
              <w:rPr>
                <w:rFonts w:hint="eastAsia" w:ascii="宋体" w:hAnsi="宋体" w:eastAsia="宋体" w:cs="Times New Roman"/>
                <w:color w:val="auto"/>
              </w:rPr>
              <w:t>8</w:t>
            </w:r>
            <w:r>
              <w:rPr>
                <w:rFonts w:ascii="宋体" w:hAnsi="宋体" w:eastAsia="宋体" w:cs="Times New Roman"/>
                <w:color w:val="auto"/>
              </w:rPr>
              <w:t>0</w:t>
            </w:r>
          </w:p>
        </w:tc>
        <w:tc>
          <w:tcPr>
            <w:tcW w:w="433" w:type="pct"/>
            <w:shd w:val="clear" w:color="auto" w:fill="auto"/>
            <w:vAlign w:val="center"/>
          </w:tcPr>
          <w:p w14:paraId="63662A29">
            <w:pPr>
              <w:adjustRightInd w:val="0"/>
              <w:snapToGrid w:val="0"/>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0</w:t>
            </w:r>
          </w:p>
        </w:tc>
        <w:tc>
          <w:tcPr>
            <w:tcW w:w="510" w:type="pct"/>
            <w:shd w:val="clear" w:color="auto" w:fill="auto"/>
            <w:vAlign w:val="center"/>
          </w:tcPr>
          <w:p w14:paraId="616C42AE">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902" w:type="pct"/>
            <w:shd w:val="clear" w:color="auto" w:fill="auto"/>
            <w:vAlign w:val="center"/>
          </w:tcPr>
          <w:p w14:paraId="1146FA9C">
            <w:pPr>
              <w:adjustRightInd w:val="0"/>
              <w:snapToGrid w:val="0"/>
              <w:jc w:val="center"/>
              <w:rPr>
                <w:rFonts w:ascii="宋体" w:hAnsi="宋体" w:eastAsia="宋体" w:cs="Times New Roman"/>
                <w:color w:val="auto"/>
                <w:lang w:eastAsia="en-US"/>
              </w:rPr>
            </w:pPr>
            <w:r>
              <w:rPr>
                <w:rFonts w:ascii="宋体" w:hAnsi="宋体" w:eastAsia="宋体" w:cs="Times New Roman"/>
                <w:color w:val="auto"/>
                <w:szCs w:val="20"/>
              </w:rPr>
              <w:t>70～75</w:t>
            </w:r>
          </w:p>
        </w:tc>
        <w:tc>
          <w:tcPr>
            <w:tcW w:w="639" w:type="pct"/>
            <w:shd w:val="clear" w:color="auto" w:fill="auto"/>
            <w:vAlign w:val="center"/>
          </w:tcPr>
          <w:p w14:paraId="6B08EDA3">
            <w:pPr>
              <w:adjustRightInd w:val="0"/>
              <w:snapToGrid w:val="0"/>
              <w:jc w:val="center"/>
              <w:rPr>
                <w:rFonts w:ascii="宋体" w:hAnsi="宋体" w:eastAsia="宋体" w:cs="Times New Roman"/>
                <w:color w:val="auto"/>
              </w:rPr>
            </w:pPr>
            <w:r>
              <w:rPr>
                <w:rFonts w:hint="eastAsia" w:ascii="宋体" w:hAnsi="宋体" w:eastAsia="宋体" w:cs="Times New Roman"/>
                <w:color w:val="auto"/>
              </w:rPr>
              <w:t>选用低噪声设备、加强保养等</w:t>
            </w:r>
          </w:p>
        </w:tc>
        <w:tc>
          <w:tcPr>
            <w:tcW w:w="605" w:type="pct"/>
            <w:shd w:val="clear" w:color="auto" w:fill="auto"/>
            <w:vAlign w:val="center"/>
          </w:tcPr>
          <w:p w14:paraId="5091848B">
            <w:pPr>
              <w:adjustRightInd w:val="0"/>
              <w:snapToGrid w:val="0"/>
              <w:jc w:val="center"/>
              <w:rPr>
                <w:rFonts w:ascii="宋体" w:hAnsi="宋体" w:eastAsia="宋体" w:cs="Times New Roman"/>
                <w:color w:val="auto"/>
              </w:rPr>
            </w:pPr>
            <w:r>
              <w:rPr>
                <w:rFonts w:hint="eastAsia" w:ascii="宋体" w:hAnsi="宋体" w:eastAsia="宋体" w:cs="Times New Roman"/>
                <w:color w:val="auto"/>
              </w:rPr>
              <w:t>0：0</w:t>
            </w:r>
            <w:r>
              <w:rPr>
                <w:rFonts w:ascii="宋体" w:hAnsi="宋体" w:eastAsia="宋体" w:cs="Times New Roman"/>
                <w:color w:val="auto"/>
              </w:rPr>
              <w:t>0</w:t>
            </w:r>
            <w:r>
              <w:rPr>
                <w:rFonts w:hint="eastAsia" w:ascii="宋体" w:hAnsi="宋体" w:eastAsia="宋体" w:cs="Times New Roman"/>
                <w:color w:val="auto"/>
              </w:rPr>
              <w:t>～</w:t>
            </w:r>
            <w:r>
              <w:rPr>
                <w:rFonts w:ascii="宋体" w:hAnsi="宋体" w:eastAsia="宋体" w:cs="Times New Roman"/>
                <w:color w:val="auto"/>
              </w:rPr>
              <w:t>24</w:t>
            </w:r>
            <w:r>
              <w:rPr>
                <w:rFonts w:hint="eastAsia" w:ascii="宋体" w:hAnsi="宋体" w:eastAsia="宋体" w:cs="Times New Roman"/>
                <w:color w:val="auto"/>
              </w:rPr>
              <w:t>：0</w:t>
            </w:r>
            <w:r>
              <w:rPr>
                <w:rFonts w:ascii="宋体" w:hAnsi="宋体" w:eastAsia="宋体" w:cs="Times New Roman"/>
                <w:color w:val="auto"/>
              </w:rPr>
              <w:t>0</w:t>
            </w:r>
          </w:p>
        </w:tc>
      </w:tr>
      <w:tr w14:paraId="586F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shd w:val="clear" w:color="auto" w:fill="auto"/>
            <w:vAlign w:val="center"/>
          </w:tcPr>
          <w:p w14:paraId="244E7E5D">
            <w:pPr>
              <w:adjustRightInd w:val="0"/>
              <w:snapToGrid w:val="0"/>
              <w:jc w:val="center"/>
              <w:rPr>
                <w:rFonts w:ascii="宋体" w:hAnsi="宋体" w:eastAsia="宋体" w:cs="Times New Roman"/>
                <w:color w:val="auto"/>
              </w:rPr>
            </w:pPr>
            <w:r>
              <w:rPr>
                <w:rFonts w:hint="eastAsia" w:ascii="宋体" w:hAnsi="宋体" w:eastAsia="宋体" w:cs="Times New Roman"/>
                <w:color w:val="auto"/>
              </w:rPr>
              <w:t>4</w:t>
            </w:r>
          </w:p>
        </w:tc>
        <w:tc>
          <w:tcPr>
            <w:tcW w:w="571" w:type="pct"/>
            <w:shd w:val="clear" w:color="auto" w:fill="auto"/>
            <w:vAlign w:val="center"/>
          </w:tcPr>
          <w:p w14:paraId="7252728D">
            <w:pPr>
              <w:adjustRightInd w:val="0"/>
              <w:snapToGrid w:val="0"/>
              <w:jc w:val="center"/>
              <w:rPr>
                <w:rFonts w:ascii="宋体" w:hAnsi="宋体" w:eastAsia="宋体" w:cs="Times New Roman"/>
                <w:color w:val="auto"/>
              </w:rPr>
            </w:pPr>
            <w:r>
              <w:rPr>
                <w:rFonts w:hint="eastAsia" w:ascii="宋体" w:hAnsi="宋体" w:eastAsia="宋体" w:cs="Times New Roman"/>
                <w:color w:val="auto"/>
              </w:rPr>
              <w:t>加热炉燃烧器</w:t>
            </w:r>
          </w:p>
        </w:tc>
        <w:tc>
          <w:tcPr>
            <w:tcW w:w="700" w:type="pct"/>
            <w:shd w:val="clear" w:color="auto" w:fill="auto"/>
            <w:vAlign w:val="center"/>
          </w:tcPr>
          <w:p w14:paraId="600170F9">
            <w:pPr>
              <w:adjustRightInd w:val="0"/>
              <w:snapToGrid w:val="0"/>
              <w:jc w:val="center"/>
              <w:rPr>
                <w:rFonts w:ascii="宋体" w:hAnsi="宋体" w:eastAsia="宋体" w:cs="Times New Roman"/>
                <w:color w:val="auto"/>
              </w:rPr>
            </w:pPr>
            <w:r>
              <w:rPr>
                <w:rFonts w:hint="eastAsia" w:ascii="宋体" w:hAnsi="宋体" w:eastAsia="宋体" w:cs="Times New Roman"/>
                <w:color w:val="auto"/>
              </w:rPr>
              <w:t>/</w:t>
            </w:r>
          </w:p>
        </w:tc>
        <w:tc>
          <w:tcPr>
            <w:tcW w:w="383" w:type="pct"/>
            <w:shd w:val="clear" w:color="auto" w:fill="auto"/>
            <w:vAlign w:val="center"/>
          </w:tcPr>
          <w:p w14:paraId="3257F413">
            <w:pPr>
              <w:adjustRightInd w:val="0"/>
              <w:snapToGrid w:val="0"/>
              <w:jc w:val="center"/>
              <w:rPr>
                <w:rFonts w:ascii="宋体" w:hAnsi="宋体" w:eastAsia="宋体" w:cs="Times New Roman"/>
                <w:color w:val="auto"/>
              </w:rPr>
            </w:pPr>
            <w:r>
              <w:rPr>
                <w:rFonts w:hint="eastAsia" w:ascii="宋体" w:hAnsi="宋体" w:eastAsia="宋体" w:cs="Times New Roman"/>
                <w:color w:val="auto"/>
              </w:rPr>
              <w:t>8</w:t>
            </w:r>
            <w:r>
              <w:rPr>
                <w:rFonts w:ascii="宋体" w:hAnsi="宋体" w:eastAsia="宋体" w:cs="Times New Roman"/>
                <w:color w:val="auto"/>
              </w:rPr>
              <w:t>0</w:t>
            </w:r>
          </w:p>
        </w:tc>
        <w:tc>
          <w:tcPr>
            <w:tcW w:w="433" w:type="pct"/>
            <w:shd w:val="clear" w:color="auto" w:fill="auto"/>
            <w:vAlign w:val="center"/>
          </w:tcPr>
          <w:p w14:paraId="733B3ACA">
            <w:pPr>
              <w:adjustRightInd w:val="0"/>
              <w:snapToGrid w:val="0"/>
              <w:jc w:val="center"/>
              <w:rPr>
                <w:rFonts w:ascii="宋体" w:hAnsi="宋体" w:eastAsia="宋体" w:cs="Times New Roman"/>
                <w:color w:val="auto"/>
              </w:rPr>
            </w:pPr>
            <w:r>
              <w:rPr>
                <w:rFonts w:hint="eastAsia" w:ascii="宋体" w:hAnsi="宋体" w:eastAsia="宋体" w:cs="Times New Roman"/>
                <w:color w:val="auto"/>
              </w:rPr>
              <w:t>2</w:t>
            </w:r>
            <w:r>
              <w:rPr>
                <w:rFonts w:ascii="宋体" w:hAnsi="宋体" w:eastAsia="宋体" w:cs="Times New Roman"/>
                <w:color w:val="auto"/>
              </w:rPr>
              <w:t>0</w:t>
            </w:r>
          </w:p>
        </w:tc>
        <w:tc>
          <w:tcPr>
            <w:tcW w:w="510" w:type="pct"/>
            <w:shd w:val="clear" w:color="auto" w:fill="auto"/>
            <w:vAlign w:val="center"/>
          </w:tcPr>
          <w:p w14:paraId="424B58EF">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902" w:type="pct"/>
            <w:shd w:val="clear" w:color="auto" w:fill="auto"/>
            <w:vAlign w:val="center"/>
          </w:tcPr>
          <w:p w14:paraId="5F9FA4E9">
            <w:pPr>
              <w:adjustRightInd w:val="0"/>
              <w:snapToGrid w:val="0"/>
              <w:jc w:val="center"/>
              <w:rPr>
                <w:rFonts w:ascii="宋体" w:hAnsi="宋体" w:eastAsia="宋体" w:cs="Times New Roman"/>
                <w:color w:val="auto"/>
                <w:szCs w:val="20"/>
              </w:rPr>
            </w:pPr>
            <w:r>
              <w:rPr>
                <w:rFonts w:ascii="宋体" w:hAnsi="宋体" w:eastAsia="宋体" w:cs="Times New Roman"/>
                <w:color w:val="auto"/>
                <w:szCs w:val="20"/>
              </w:rPr>
              <w:t>70～75</w:t>
            </w:r>
          </w:p>
        </w:tc>
        <w:tc>
          <w:tcPr>
            <w:tcW w:w="639" w:type="pct"/>
            <w:shd w:val="clear" w:color="auto" w:fill="auto"/>
            <w:vAlign w:val="center"/>
          </w:tcPr>
          <w:p w14:paraId="0A86618E">
            <w:pPr>
              <w:adjustRightInd w:val="0"/>
              <w:snapToGrid w:val="0"/>
              <w:jc w:val="center"/>
              <w:rPr>
                <w:rFonts w:ascii="宋体" w:hAnsi="宋体" w:eastAsia="宋体" w:cs="Times New Roman"/>
                <w:color w:val="auto"/>
              </w:rPr>
            </w:pPr>
            <w:r>
              <w:rPr>
                <w:rFonts w:hint="eastAsia" w:ascii="宋体" w:hAnsi="宋体" w:eastAsia="宋体" w:cs="Times New Roman"/>
                <w:color w:val="auto"/>
              </w:rPr>
              <w:t>选用低噪声设备、加强保养等</w:t>
            </w:r>
          </w:p>
        </w:tc>
        <w:tc>
          <w:tcPr>
            <w:tcW w:w="605" w:type="pct"/>
            <w:shd w:val="clear" w:color="auto" w:fill="auto"/>
            <w:vAlign w:val="center"/>
          </w:tcPr>
          <w:p w14:paraId="60592F12">
            <w:pPr>
              <w:adjustRightInd w:val="0"/>
              <w:snapToGrid w:val="0"/>
              <w:jc w:val="center"/>
              <w:rPr>
                <w:rFonts w:ascii="宋体" w:hAnsi="宋体" w:eastAsia="宋体" w:cs="Times New Roman"/>
                <w:color w:val="auto"/>
              </w:rPr>
            </w:pPr>
            <w:r>
              <w:rPr>
                <w:rFonts w:hint="eastAsia" w:ascii="宋体" w:hAnsi="宋体" w:eastAsia="宋体" w:cs="Times New Roman"/>
                <w:color w:val="auto"/>
              </w:rPr>
              <w:t>0：0</w:t>
            </w:r>
            <w:r>
              <w:rPr>
                <w:rFonts w:ascii="宋体" w:hAnsi="宋体" w:eastAsia="宋体" w:cs="Times New Roman"/>
                <w:color w:val="auto"/>
              </w:rPr>
              <w:t>0</w:t>
            </w:r>
            <w:r>
              <w:rPr>
                <w:rFonts w:hint="eastAsia" w:ascii="宋体" w:hAnsi="宋体" w:eastAsia="宋体" w:cs="Times New Roman"/>
                <w:color w:val="auto"/>
              </w:rPr>
              <w:t>～</w:t>
            </w:r>
            <w:r>
              <w:rPr>
                <w:rFonts w:ascii="宋体" w:hAnsi="宋体" w:eastAsia="宋体" w:cs="Times New Roman"/>
                <w:color w:val="auto"/>
              </w:rPr>
              <w:t>24</w:t>
            </w:r>
            <w:r>
              <w:rPr>
                <w:rFonts w:hint="eastAsia" w:ascii="宋体" w:hAnsi="宋体" w:eastAsia="宋体" w:cs="Times New Roman"/>
                <w:color w:val="auto"/>
              </w:rPr>
              <w:t>：0</w:t>
            </w:r>
            <w:r>
              <w:rPr>
                <w:rFonts w:ascii="宋体" w:hAnsi="宋体" w:eastAsia="宋体" w:cs="Times New Roman"/>
                <w:color w:val="auto"/>
              </w:rPr>
              <w:t>0</w:t>
            </w:r>
          </w:p>
        </w:tc>
      </w:tr>
    </w:tbl>
    <w:p w14:paraId="4D33BE8E">
      <w:pPr>
        <w:spacing w:before="1"/>
        <w:rPr>
          <w:rFonts w:ascii="宋体" w:hAnsi="宋体" w:eastAsia="宋体"/>
          <w:color w:val="auto"/>
          <w:sz w:val="18"/>
          <w:szCs w:val="18"/>
        </w:rPr>
      </w:pPr>
      <w:r>
        <w:rPr>
          <w:rFonts w:hint="eastAsia" w:ascii="宋体" w:hAnsi="宋体" w:eastAsia="宋体" w:cs="Times New Roman"/>
          <w:color w:val="auto"/>
          <w:sz w:val="18"/>
          <w:szCs w:val="18"/>
        </w:rPr>
        <w:t>注：①本次将井场西厂界与南厂界交接点坐标X，Y分别设为0，0，则表中声源X，Y空间相对位置为相对于西厂界与南厂界交接点的位置坐标。②</w:t>
      </w:r>
      <w:r>
        <w:rPr>
          <w:rFonts w:hint="eastAsia" w:ascii="宋体" w:hAnsi="宋体" w:eastAsia="宋体"/>
          <w:color w:val="auto"/>
          <w:sz w:val="18"/>
          <w:szCs w:val="18"/>
        </w:rPr>
        <w:t>声源空间相对位置Z为声源相对地面的高度。</w:t>
      </w:r>
    </w:p>
    <w:p w14:paraId="55223B94">
      <w:pPr>
        <w:pStyle w:val="276"/>
        <w:widowControl w:val="0"/>
        <w:ind w:firstLine="480"/>
        <w:jc w:val="both"/>
        <w:rPr>
          <w:color w:val="auto"/>
          <w:kern w:val="2"/>
          <w:szCs w:val="20"/>
        </w:rPr>
      </w:pPr>
      <w:r>
        <w:rPr>
          <w:color w:val="auto"/>
          <w:kern w:val="2"/>
          <w:szCs w:val="20"/>
        </w:rPr>
        <w:t>（4）</w:t>
      </w:r>
      <w:r>
        <w:rPr>
          <w:color w:val="auto"/>
        </w:rPr>
        <w:t>固体废物</w:t>
      </w:r>
    </w:p>
    <w:p w14:paraId="1D548F7C">
      <w:pPr>
        <w:pStyle w:val="276"/>
        <w:widowControl w:val="0"/>
        <w:ind w:firstLine="480"/>
        <w:jc w:val="both"/>
        <w:rPr>
          <w:color w:val="auto"/>
          <w:kern w:val="2"/>
          <w:szCs w:val="20"/>
        </w:rPr>
      </w:pPr>
      <w:r>
        <w:rPr>
          <w:color w:val="auto"/>
          <w:kern w:val="2"/>
          <w:szCs w:val="20"/>
        </w:rPr>
        <w:t>项目运营期产生的固体废物主要有正常工况下产生的含油污泥，非正常工况下产生的落地油、含油废防渗布。</w:t>
      </w:r>
    </w:p>
    <w:p w14:paraId="50113F0B">
      <w:pPr>
        <w:pStyle w:val="164"/>
        <w:numPr>
          <w:ilvl w:val="0"/>
          <w:numId w:val="13"/>
        </w:numPr>
        <w:spacing w:line="440" w:lineRule="exact"/>
        <w:jc w:val="both"/>
        <w:rPr>
          <w:rFonts w:ascii="宋体" w:hAnsi="宋体" w:eastAsia="宋体" w:cs="Times New Roman"/>
          <w:color w:val="auto"/>
          <w:szCs w:val="20"/>
        </w:rPr>
      </w:pPr>
      <w:r>
        <w:rPr>
          <w:rFonts w:ascii="宋体" w:hAnsi="宋体" w:eastAsia="宋体" w:cs="Times New Roman"/>
          <w:color w:val="auto"/>
          <w:szCs w:val="20"/>
        </w:rPr>
        <w:t>含油污泥</w:t>
      </w:r>
    </w:p>
    <w:p w14:paraId="66EE9494">
      <w:pPr>
        <w:pStyle w:val="276"/>
        <w:widowControl w:val="0"/>
        <w:ind w:firstLine="480"/>
        <w:jc w:val="both"/>
        <w:rPr>
          <w:color w:val="auto"/>
          <w:kern w:val="2"/>
          <w:szCs w:val="20"/>
        </w:rPr>
      </w:pPr>
      <w:r>
        <w:rPr>
          <w:rFonts w:hint="eastAsia"/>
          <w:color w:val="auto"/>
          <w:kern w:val="2"/>
          <w:szCs w:val="20"/>
        </w:rPr>
        <w:t>1）</w:t>
      </w:r>
      <w:r>
        <w:rPr>
          <w:color w:val="auto"/>
          <w:kern w:val="2"/>
          <w:szCs w:val="20"/>
        </w:rPr>
        <w:t>含油污泥</w:t>
      </w:r>
    </w:p>
    <w:p w14:paraId="40AC6F46">
      <w:pPr>
        <w:pStyle w:val="276"/>
        <w:widowControl w:val="0"/>
        <w:ind w:firstLine="480"/>
        <w:jc w:val="both"/>
        <w:rPr>
          <w:color w:val="auto"/>
          <w:kern w:val="2"/>
          <w:szCs w:val="20"/>
        </w:rPr>
      </w:pPr>
      <w:r>
        <w:rPr>
          <w:color w:val="auto"/>
          <w:kern w:val="2"/>
          <w:szCs w:val="20"/>
        </w:rPr>
        <w:t>结合油田实际产生情况和多年统计数据，生产万吨原油的排泥量（固相）一般按约0.3t计算，本项目产能1.16×10</w:t>
      </w:r>
      <w:r>
        <w:rPr>
          <w:color w:val="auto"/>
          <w:kern w:val="2"/>
          <w:szCs w:val="20"/>
          <w:vertAlign w:val="superscript"/>
        </w:rPr>
        <w:t>4</w:t>
      </w:r>
      <w:r>
        <w:rPr>
          <w:color w:val="auto"/>
          <w:kern w:val="2"/>
          <w:szCs w:val="20"/>
        </w:rPr>
        <w:t>t/a，则本项目含油污泥产生量0.348t/a，为危险废物，危废类别为HW08废矿物油与含矿物油废物，危废代码为071-001-08，含油污泥产生于拉油点储罐和依托场站各罐体中，</w:t>
      </w:r>
      <w:r>
        <w:rPr>
          <w:color w:val="auto"/>
          <w:kern w:val="2"/>
        </w:rPr>
        <w:t>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color w:val="auto"/>
          <w:kern w:val="2"/>
          <w:szCs w:val="20"/>
        </w:rPr>
        <w:t>。</w:t>
      </w:r>
    </w:p>
    <w:p w14:paraId="42F674F7">
      <w:pPr>
        <w:pStyle w:val="276"/>
        <w:widowControl w:val="0"/>
        <w:ind w:firstLine="480"/>
        <w:jc w:val="both"/>
        <w:rPr>
          <w:rFonts w:hint="eastAsia"/>
          <w:color w:val="auto"/>
          <w:kern w:val="2"/>
          <w:szCs w:val="20"/>
        </w:rPr>
      </w:pPr>
      <w:r>
        <w:rPr>
          <w:rFonts w:hint="eastAsia"/>
          <w:color w:val="auto"/>
          <w:kern w:val="2"/>
          <w:szCs w:val="20"/>
        </w:rPr>
        <w:t>2）</w:t>
      </w:r>
      <w:r>
        <w:rPr>
          <w:color w:val="auto"/>
          <w:kern w:val="2"/>
          <w:szCs w:val="20"/>
        </w:rPr>
        <w:t>落地油</w:t>
      </w:r>
    </w:p>
    <w:p w14:paraId="3235A7F2">
      <w:pPr>
        <w:pStyle w:val="164"/>
        <w:numPr>
          <w:ilvl w:val="0"/>
          <w:numId w:val="13"/>
        </w:numPr>
        <w:spacing w:line="440" w:lineRule="exact"/>
        <w:jc w:val="both"/>
        <w:rPr>
          <w:rFonts w:ascii="宋体" w:hAnsi="宋体" w:eastAsia="宋体" w:cs="Times New Roman"/>
          <w:color w:val="auto"/>
          <w:szCs w:val="20"/>
        </w:rPr>
      </w:pPr>
      <w:r>
        <w:rPr>
          <w:rFonts w:ascii="宋体" w:hAnsi="宋体" w:eastAsia="宋体" w:cs="Times New Roman"/>
          <w:color w:val="auto"/>
          <w:szCs w:val="20"/>
        </w:rPr>
        <w:t>落地油</w:t>
      </w:r>
    </w:p>
    <w:p w14:paraId="4F78CEBF">
      <w:pPr>
        <w:pStyle w:val="276"/>
        <w:widowControl w:val="0"/>
        <w:ind w:firstLine="480"/>
        <w:jc w:val="both"/>
        <w:rPr>
          <w:color w:val="auto"/>
          <w:kern w:val="2"/>
          <w:szCs w:val="20"/>
        </w:rPr>
      </w:pPr>
      <w:r>
        <w:rPr>
          <w:color w:val="auto"/>
          <w:kern w:val="2"/>
          <w:szCs w:val="20"/>
        </w:rPr>
        <w:t>由于该区块地层压力较低，加上作业期间污油污水采用作业污油污水回收装置，因此产生的落地油量很少。考虑意外情况且按最不利</w:t>
      </w:r>
      <w:r>
        <w:rPr>
          <w:color w:val="auto"/>
        </w:rPr>
        <w:t>状态</w:t>
      </w:r>
      <w:r>
        <w:rPr>
          <w:color w:val="auto"/>
          <w:kern w:val="2"/>
          <w:szCs w:val="20"/>
        </w:rPr>
        <w:t>，一般每口井作业期间产生的落地油可按50kg/井·次，作业频率一般1.5年，因此作业产生的落地油为0.13t/a，落地油为危险废物，危废类别为HW08废矿物油与含矿物油废物，危废代码为071-001-08，作业期间铺设防渗布，落地油全部回收，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落地油回收率为100%。</w:t>
      </w:r>
    </w:p>
    <w:p w14:paraId="68A05B70">
      <w:pPr>
        <w:pStyle w:val="276"/>
        <w:widowControl w:val="0"/>
        <w:ind w:firstLine="480"/>
        <w:jc w:val="both"/>
        <w:rPr>
          <w:color w:val="auto"/>
          <w:kern w:val="2"/>
          <w:szCs w:val="20"/>
        </w:rPr>
      </w:pPr>
      <w:r>
        <w:rPr>
          <w:color w:val="auto"/>
          <w:kern w:val="2"/>
          <w:szCs w:val="20"/>
        </w:rPr>
        <w:t>3</w:t>
      </w:r>
      <w:r>
        <w:rPr>
          <w:rFonts w:hint="eastAsia"/>
          <w:color w:val="auto"/>
          <w:kern w:val="2"/>
          <w:szCs w:val="20"/>
        </w:rPr>
        <w:t>）</w:t>
      </w:r>
      <w:r>
        <w:rPr>
          <w:color w:val="auto"/>
          <w:kern w:val="2"/>
          <w:szCs w:val="20"/>
        </w:rPr>
        <w:t>含油废防渗布</w:t>
      </w:r>
    </w:p>
    <w:p w14:paraId="6AE0C0A9">
      <w:pPr>
        <w:pStyle w:val="276"/>
        <w:widowControl w:val="0"/>
        <w:ind w:firstLine="480"/>
        <w:jc w:val="both"/>
        <w:rPr>
          <w:color w:val="auto"/>
          <w:kern w:val="2"/>
          <w:szCs w:val="20"/>
        </w:rPr>
      </w:pPr>
      <w:r>
        <w:rPr>
          <w:color w:val="auto"/>
          <w:kern w:val="2"/>
          <w:szCs w:val="20"/>
        </w:rPr>
        <w:t>井场作业过程中铺设防渗布，工程作业期间产生的落地油滴落到防渗布上，会产生含油废防渗布，一般每口井作业期间产生含油废防渗布可按25kg/井·次，作业频率一般1.5年，含油废防渗布共产生0.07t/a。</w:t>
      </w:r>
      <w:r>
        <w:rPr>
          <w:color w:val="auto"/>
          <w:kern w:val="2"/>
        </w:rPr>
        <w:t>根据《国家危险废物名录（</w:t>
      </w:r>
      <w:r>
        <w:rPr>
          <w:color w:val="auto"/>
        </w:rPr>
        <w:t>2025</w:t>
      </w:r>
      <w:r>
        <w:rPr>
          <w:color w:val="auto"/>
          <w:kern w:val="2"/>
        </w:rPr>
        <w:t>年版）》（2025年1月1日），含油防渗布属于HW08类危险废物，危险废物代码为900-249-08，由建设单位收集后暂存于第十采油厂综合固废储存库，定期委托有资质单位处理。</w:t>
      </w:r>
    </w:p>
    <w:p w14:paraId="4B4BFF97">
      <w:pPr>
        <w:pStyle w:val="276"/>
        <w:widowControl w:val="0"/>
        <w:ind w:firstLine="480"/>
        <w:jc w:val="both"/>
        <w:rPr>
          <w:color w:val="auto"/>
          <w:kern w:val="2"/>
          <w:szCs w:val="20"/>
        </w:rPr>
      </w:pPr>
      <w:r>
        <w:rPr>
          <w:color w:val="auto"/>
          <w:kern w:val="2"/>
          <w:szCs w:val="20"/>
        </w:rPr>
        <w:t>本项目</w:t>
      </w:r>
      <w:r>
        <w:rPr>
          <w:color w:val="auto"/>
          <w:kern w:val="2"/>
        </w:rPr>
        <w:t>运营期</w:t>
      </w:r>
      <w:r>
        <w:rPr>
          <w:color w:val="auto"/>
          <w:kern w:val="2"/>
          <w:szCs w:val="20"/>
        </w:rPr>
        <w:t>危险废物具体情况见表</w:t>
      </w:r>
      <w:r>
        <w:rPr>
          <w:color w:val="auto"/>
        </w:rPr>
        <w:t>3.12-8</w:t>
      </w:r>
      <w:r>
        <w:rPr>
          <w:color w:val="auto"/>
          <w:kern w:val="2"/>
          <w:szCs w:val="20"/>
        </w:rPr>
        <w:t>。</w:t>
      </w:r>
    </w:p>
    <w:p w14:paraId="3D9928C9">
      <w:pPr>
        <w:pStyle w:val="276"/>
        <w:widowControl w:val="0"/>
        <w:spacing w:line="440" w:lineRule="exact"/>
        <w:ind w:firstLine="0" w:firstLineChars="0"/>
        <w:jc w:val="center"/>
        <w:rPr>
          <w:color w:val="auto"/>
          <w:kern w:val="2"/>
        </w:rPr>
      </w:pPr>
      <w:r>
        <w:rPr>
          <w:color w:val="auto"/>
          <w:kern w:val="2"/>
        </w:rPr>
        <w:t>表3.12-8 运营期危险废物情况一览表</w:t>
      </w:r>
    </w:p>
    <w:tbl>
      <w:tblPr>
        <w:tblStyle w:val="81"/>
        <w:tblW w:w="90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0"/>
        <w:gridCol w:w="968"/>
        <w:gridCol w:w="1037"/>
        <w:gridCol w:w="738"/>
        <w:gridCol w:w="559"/>
        <w:gridCol w:w="877"/>
        <w:gridCol w:w="710"/>
        <w:gridCol w:w="710"/>
        <w:gridCol w:w="429"/>
        <w:gridCol w:w="710"/>
        <w:gridCol w:w="569"/>
        <w:gridCol w:w="1263"/>
      </w:tblGrid>
      <w:tr w14:paraId="3B2E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0" w:type="dxa"/>
            <w:vAlign w:val="center"/>
          </w:tcPr>
          <w:p w14:paraId="37BE7432">
            <w:pPr>
              <w:topLinePunct/>
              <w:snapToGrid w:val="0"/>
              <w:jc w:val="center"/>
              <w:rPr>
                <w:rFonts w:ascii="宋体" w:hAnsi="宋体" w:eastAsia="宋体" w:cs="Times New Roman"/>
                <w:color w:val="auto"/>
              </w:rPr>
            </w:pPr>
            <w:r>
              <w:rPr>
                <w:rFonts w:ascii="宋体" w:hAnsi="宋体" w:eastAsia="宋体" w:cs="Times New Roman"/>
                <w:color w:val="auto"/>
              </w:rPr>
              <w:t>序号</w:t>
            </w:r>
          </w:p>
        </w:tc>
        <w:tc>
          <w:tcPr>
            <w:tcW w:w="968" w:type="dxa"/>
            <w:vAlign w:val="center"/>
          </w:tcPr>
          <w:p w14:paraId="207C7F74">
            <w:pPr>
              <w:topLinePunct/>
              <w:snapToGrid w:val="0"/>
              <w:jc w:val="center"/>
              <w:rPr>
                <w:rFonts w:ascii="宋体" w:hAnsi="宋体" w:eastAsia="宋体" w:cs="Times New Roman"/>
                <w:color w:val="auto"/>
              </w:rPr>
            </w:pPr>
            <w:r>
              <w:rPr>
                <w:rFonts w:ascii="宋体" w:hAnsi="宋体" w:eastAsia="宋体" w:cs="Times New Roman"/>
                <w:color w:val="auto"/>
              </w:rPr>
              <w:t>危险废物名称</w:t>
            </w:r>
          </w:p>
        </w:tc>
        <w:tc>
          <w:tcPr>
            <w:tcW w:w="1037" w:type="dxa"/>
            <w:vAlign w:val="center"/>
          </w:tcPr>
          <w:p w14:paraId="63323E16">
            <w:pPr>
              <w:topLinePunct/>
              <w:snapToGrid w:val="0"/>
              <w:jc w:val="center"/>
              <w:rPr>
                <w:rFonts w:ascii="宋体" w:hAnsi="宋体" w:eastAsia="宋体" w:cs="Times New Roman"/>
                <w:color w:val="auto"/>
              </w:rPr>
            </w:pPr>
            <w:r>
              <w:rPr>
                <w:rFonts w:ascii="宋体" w:hAnsi="宋体" w:eastAsia="宋体" w:cs="Times New Roman"/>
                <w:color w:val="auto"/>
              </w:rPr>
              <w:t>危险废物类别</w:t>
            </w:r>
          </w:p>
        </w:tc>
        <w:tc>
          <w:tcPr>
            <w:tcW w:w="738" w:type="dxa"/>
            <w:vAlign w:val="center"/>
          </w:tcPr>
          <w:p w14:paraId="1984ADA2">
            <w:pPr>
              <w:topLinePunct/>
              <w:snapToGrid w:val="0"/>
              <w:jc w:val="center"/>
              <w:rPr>
                <w:rFonts w:ascii="宋体" w:hAnsi="宋体" w:eastAsia="宋体" w:cs="Times New Roman"/>
                <w:color w:val="auto"/>
              </w:rPr>
            </w:pPr>
            <w:r>
              <w:rPr>
                <w:rFonts w:ascii="宋体" w:hAnsi="宋体" w:eastAsia="宋体" w:cs="Times New Roman"/>
                <w:color w:val="auto"/>
              </w:rPr>
              <w:t>危险废物代码</w:t>
            </w:r>
          </w:p>
        </w:tc>
        <w:tc>
          <w:tcPr>
            <w:tcW w:w="559" w:type="dxa"/>
            <w:vAlign w:val="center"/>
          </w:tcPr>
          <w:p w14:paraId="1205D8F3">
            <w:pPr>
              <w:topLinePunct/>
              <w:snapToGrid w:val="0"/>
              <w:jc w:val="center"/>
              <w:rPr>
                <w:rFonts w:ascii="宋体" w:hAnsi="宋体" w:eastAsia="宋体" w:cs="Times New Roman"/>
                <w:color w:val="auto"/>
              </w:rPr>
            </w:pPr>
            <w:r>
              <w:rPr>
                <w:rFonts w:ascii="宋体" w:hAnsi="宋体" w:eastAsia="宋体" w:cs="Times New Roman"/>
                <w:color w:val="auto"/>
              </w:rPr>
              <w:t>产生量</w:t>
            </w:r>
          </w:p>
        </w:tc>
        <w:tc>
          <w:tcPr>
            <w:tcW w:w="877" w:type="dxa"/>
            <w:vAlign w:val="center"/>
          </w:tcPr>
          <w:p w14:paraId="0560A57E">
            <w:pPr>
              <w:topLinePunct/>
              <w:snapToGrid w:val="0"/>
              <w:jc w:val="center"/>
              <w:rPr>
                <w:rFonts w:ascii="宋体" w:hAnsi="宋体" w:eastAsia="宋体" w:cs="Times New Roman"/>
                <w:color w:val="auto"/>
              </w:rPr>
            </w:pPr>
            <w:r>
              <w:rPr>
                <w:rFonts w:ascii="宋体" w:hAnsi="宋体" w:eastAsia="宋体" w:cs="Times New Roman"/>
                <w:color w:val="auto"/>
              </w:rPr>
              <w:t>产生工序</w:t>
            </w:r>
          </w:p>
        </w:tc>
        <w:tc>
          <w:tcPr>
            <w:tcW w:w="710" w:type="dxa"/>
            <w:vAlign w:val="center"/>
          </w:tcPr>
          <w:p w14:paraId="67B983A0">
            <w:pPr>
              <w:topLinePunct/>
              <w:snapToGrid w:val="0"/>
              <w:jc w:val="center"/>
              <w:rPr>
                <w:rFonts w:ascii="宋体" w:hAnsi="宋体" w:eastAsia="宋体" w:cs="Times New Roman"/>
                <w:color w:val="auto"/>
              </w:rPr>
            </w:pPr>
            <w:r>
              <w:rPr>
                <w:rFonts w:ascii="宋体" w:hAnsi="宋体" w:eastAsia="宋体" w:cs="Times New Roman"/>
                <w:color w:val="auto"/>
              </w:rPr>
              <w:t>形态</w:t>
            </w:r>
          </w:p>
        </w:tc>
        <w:tc>
          <w:tcPr>
            <w:tcW w:w="710" w:type="dxa"/>
            <w:vAlign w:val="center"/>
          </w:tcPr>
          <w:p w14:paraId="52FB7B73">
            <w:pPr>
              <w:topLinePunct/>
              <w:snapToGrid w:val="0"/>
              <w:jc w:val="center"/>
              <w:rPr>
                <w:rFonts w:ascii="宋体" w:hAnsi="宋体" w:eastAsia="宋体" w:cs="Times New Roman"/>
                <w:color w:val="auto"/>
              </w:rPr>
            </w:pPr>
            <w:r>
              <w:rPr>
                <w:rFonts w:ascii="宋体" w:hAnsi="宋体" w:eastAsia="宋体" w:cs="Times New Roman"/>
                <w:color w:val="auto"/>
              </w:rPr>
              <w:t>主要成分</w:t>
            </w:r>
          </w:p>
        </w:tc>
        <w:tc>
          <w:tcPr>
            <w:tcW w:w="429" w:type="dxa"/>
            <w:vAlign w:val="center"/>
          </w:tcPr>
          <w:p w14:paraId="14BBBAF4">
            <w:pPr>
              <w:topLinePunct/>
              <w:snapToGrid w:val="0"/>
              <w:jc w:val="center"/>
              <w:rPr>
                <w:rFonts w:ascii="宋体" w:hAnsi="宋体" w:eastAsia="宋体" w:cs="Times New Roman"/>
                <w:color w:val="auto"/>
              </w:rPr>
            </w:pPr>
            <w:r>
              <w:rPr>
                <w:rFonts w:ascii="宋体" w:hAnsi="宋体" w:eastAsia="宋体" w:cs="Times New Roman"/>
                <w:color w:val="auto"/>
              </w:rPr>
              <w:t>有害成分</w:t>
            </w:r>
          </w:p>
        </w:tc>
        <w:tc>
          <w:tcPr>
            <w:tcW w:w="710" w:type="dxa"/>
            <w:vAlign w:val="center"/>
          </w:tcPr>
          <w:p w14:paraId="00FFE3C2">
            <w:pPr>
              <w:topLinePunct/>
              <w:snapToGrid w:val="0"/>
              <w:jc w:val="center"/>
              <w:rPr>
                <w:rFonts w:ascii="宋体" w:hAnsi="宋体" w:eastAsia="宋体" w:cs="Times New Roman"/>
                <w:color w:val="auto"/>
              </w:rPr>
            </w:pPr>
            <w:r>
              <w:rPr>
                <w:rFonts w:ascii="宋体" w:hAnsi="宋体" w:eastAsia="宋体" w:cs="Times New Roman"/>
                <w:color w:val="auto"/>
              </w:rPr>
              <w:t>产废周期</w:t>
            </w:r>
          </w:p>
        </w:tc>
        <w:tc>
          <w:tcPr>
            <w:tcW w:w="569" w:type="dxa"/>
            <w:vAlign w:val="center"/>
          </w:tcPr>
          <w:p w14:paraId="73D13708">
            <w:pPr>
              <w:topLinePunct/>
              <w:snapToGrid w:val="0"/>
              <w:jc w:val="center"/>
              <w:rPr>
                <w:rFonts w:ascii="宋体" w:hAnsi="宋体" w:eastAsia="宋体" w:cs="Times New Roman"/>
                <w:color w:val="auto"/>
              </w:rPr>
            </w:pPr>
            <w:r>
              <w:rPr>
                <w:rFonts w:ascii="宋体" w:hAnsi="宋体" w:eastAsia="宋体" w:cs="Times New Roman"/>
                <w:color w:val="auto"/>
              </w:rPr>
              <w:t>危险</w:t>
            </w:r>
          </w:p>
          <w:p w14:paraId="3C391888">
            <w:pPr>
              <w:topLinePunct/>
              <w:snapToGrid w:val="0"/>
              <w:jc w:val="center"/>
              <w:rPr>
                <w:rFonts w:ascii="宋体" w:hAnsi="宋体" w:eastAsia="宋体" w:cs="Times New Roman"/>
                <w:color w:val="auto"/>
              </w:rPr>
            </w:pPr>
            <w:r>
              <w:rPr>
                <w:rFonts w:ascii="宋体" w:hAnsi="宋体" w:eastAsia="宋体" w:cs="Times New Roman"/>
                <w:color w:val="auto"/>
              </w:rPr>
              <w:t>特性</w:t>
            </w:r>
          </w:p>
        </w:tc>
        <w:tc>
          <w:tcPr>
            <w:tcW w:w="1263" w:type="dxa"/>
            <w:vAlign w:val="center"/>
          </w:tcPr>
          <w:p w14:paraId="756EEAB3">
            <w:pPr>
              <w:topLinePunct/>
              <w:snapToGrid w:val="0"/>
              <w:jc w:val="center"/>
              <w:rPr>
                <w:rFonts w:ascii="宋体" w:hAnsi="宋体" w:eastAsia="宋体" w:cs="Times New Roman"/>
                <w:color w:val="auto"/>
              </w:rPr>
            </w:pPr>
            <w:r>
              <w:rPr>
                <w:rFonts w:ascii="宋体" w:hAnsi="宋体" w:eastAsia="宋体" w:cs="Times New Roman"/>
                <w:color w:val="auto"/>
              </w:rPr>
              <w:t>污染防治措施</w:t>
            </w:r>
          </w:p>
        </w:tc>
      </w:tr>
      <w:tr w14:paraId="02F02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0" w:type="dxa"/>
            <w:vAlign w:val="center"/>
          </w:tcPr>
          <w:p w14:paraId="0F2CE4CE">
            <w:pPr>
              <w:topLinePunct/>
              <w:snapToGrid w:val="0"/>
              <w:jc w:val="center"/>
              <w:rPr>
                <w:rFonts w:ascii="宋体" w:hAnsi="宋体" w:eastAsia="宋体" w:cs="Times New Roman"/>
                <w:color w:val="auto"/>
              </w:rPr>
            </w:pPr>
            <w:r>
              <w:rPr>
                <w:rFonts w:ascii="宋体" w:hAnsi="宋体" w:eastAsia="宋体" w:cs="Times New Roman"/>
                <w:color w:val="auto"/>
              </w:rPr>
              <w:t>1</w:t>
            </w:r>
          </w:p>
        </w:tc>
        <w:tc>
          <w:tcPr>
            <w:tcW w:w="968" w:type="dxa"/>
            <w:vAlign w:val="center"/>
          </w:tcPr>
          <w:p w14:paraId="48527CB7">
            <w:pPr>
              <w:topLinePunct/>
              <w:snapToGrid w:val="0"/>
              <w:jc w:val="center"/>
              <w:rPr>
                <w:rFonts w:ascii="宋体" w:hAnsi="宋体" w:eastAsia="宋体" w:cs="Times New Roman"/>
                <w:color w:val="auto"/>
              </w:rPr>
            </w:pPr>
            <w:r>
              <w:rPr>
                <w:rFonts w:ascii="宋体" w:hAnsi="宋体" w:eastAsia="宋体" w:cs="Times New Roman"/>
                <w:color w:val="auto"/>
              </w:rPr>
              <w:t>含油污泥</w:t>
            </w:r>
          </w:p>
        </w:tc>
        <w:tc>
          <w:tcPr>
            <w:tcW w:w="1037" w:type="dxa"/>
            <w:vAlign w:val="center"/>
          </w:tcPr>
          <w:p w14:paraId="1F875611">
            <w:pPr>
              <w:topLinePunct/>
              <w:snapToGrid w:val="0"/>
              <w:jc w:val="center"/>
              <w:rPr>
                <w:rFonts w:ascii="宋体" w:hAnsi="宋体" w:eastAsia="宋体" w:cs="Times New Roman"/>
                <w:color w:val="auto"/>
              </w:rPr>
            </w:pPr>
            <w:r>
              <w:rPr>
                <w:rFonts w:ascii="宋体" w:hAnsi="宋体" w:eastAsia="宋体" w:cs="Times New Roman"/>
                <w:color w:val="auto"/>
              </w:rPr>
              <w:t>HW08废矿物油与含矿物油废物</w:t>
            </w:r>
          </w:p>
        </w:tc>
        <w:tc>
          <w:tcPr>
            <w:tcW w:w="738" w:type="dxa"/>
            <w:vAlign w:val="center"/>
          </w:tcPr>
          <w:p w14:paraId="25FD9EFF">
            <w:pPr>
              <w:topLinePunct/>
              <w:snapToGrid w:val="0"/>
              <w:jc w:val="center"/>
              <w:rPr>
                <w:rFonts w:ascii="宋体" w:hAnsi="宋体" w:eastAsia="宋体" w:cs="Times New Roman"/>
                <w:color w:val="auto"/>
              </w:rPr>
            </w:pPr>
            <w:r>
              <w:rPr>
                <w:rFonts w:ascii="宋体" w:hAnsi="宋体" w:eastAsia="宋体" w:cs="Times New Roman"/>
                <w:color w:val="auto"/>
              </w:rPr>
              <w:t>071-001-08</w:t>
            </w:r>
          </w:p>
        </w:tc>
        <w:tc>
          <w:tcPr>
            <w:tcW w:w="559" w:type="dxa"/>
            <w:vAlign w:val="center"/>
          </w:tcPr>
          <w:p w14:paraId="0DC967CB">
            <w:pPr>
              <w:topLinePunct/>
              <w:snapToGrid w:val="0"/>
              <w:jc w:val="center"/>
              <w:rPr>
                <w:rFonts w:ascii="宋体" w:hAnsi="宋体" w:eastAsia="宋体" w:cs="Times New Roman"/>
                <w:color w:val="auto"/>
              </w:rPr>
            </w:pPr>
            <w:r>
              <w:rPr>
                <w:rFonts w:ascii="宋体" w:hAnsi="宋体" w:eastAsia="宋体" w:cs="Times New Roman"/>
                <w:color w:val="auto"/>
              </w:rPr>
              <w:t>0.348t/a</w:t>
            </w:r>
          </w:p>
        </w:tc>
        <w:tc>
          <w:tcPr>
            <w:tcW w:w="877" w:type="dxa"/>
            <w:vAlign w:val="center"/>
          </w:tcPr>
          <w:p w14:paraId="029F9158">
            <w:pPr>
              <w:topLinePunct/>
              <w:snapToGrid w:val="0"/>
              <w:jc w:val="center"/>
              <w:rPr>
                <w:rFonts w:ascii="宋体" w:hAnsi="宋体" w:eastAsia="宋体" w:cs="Times New Roman"/>
                <w:color w:val="auto"/>
              </w:rPr>
            </w:pPr>
            <w:r>
              <w:rPr>
                <w:rFonts w:ascii="宋体" w:hAnsi="宋体" w:eastAsia="宋体" w:cs="Times New Roman"/>
                <w:color w:val="auto"/>
              </w:rPr>
              <w:t>集输</w:t>
            </w:r>
          </w:p>
          <w:p w14:paraId="3E979218">
            <w:pPr>
              <w:topLinePunct/>
              <w:snapToGrid w:val="0"/>
              <w:jc w:val="center"/>
              <w:rPr>
                <w:rFonts w:ascii="宋体" w:hAnsi="宋体" w:eastAsia="宋体" w:cs="Times New Roman"/>
                <w:color w:val="auto"/>
              </w:rPr>
            </w:pPr>
            <w:r>
              <w:rPr>
                <w:rFonts w:ascii="宋体" w:hAnsi="宋体" w:eastAsia="宋体" w:cs="Times New Roman"/>
                <w:color w:val="auto"/>
              </w:rPr>
              <w:t>与处理环节</w:t>
            </w:r>
          </w:p>
        </w:tc>
        <w:tc>
          <w:tcPr>
            <w:tcW w:w="710" w:type="dxa"/>
            <w:vAlign w:val="center"/>
          </w:tcPr>
          <w:p w14:paraId="57CC743E">
            <w:pPr>
              <w:topLinePunct/>
              <w:snapToGrid w:val="0"/>
              <w:jc w:val="center"/>
              <w:rPr>
                <w:rFonts w:ascii="宋体" w:hAnsi="宋体" w:eastAsia="宋体" w:cs="Times New Roman"/>
                <w:color w:val="auto"/>
              </w:rPr>
            </w:pPr>
            <w:r>
              <w:rPr>
                <w:rFonts w:ascii="宋体" w:hAnsi="宋体" w:eastAsia="宋体" w:cs="Times New Roman"/>
                <w:color w:val="auto"/>
              </w:rPr>
              <w:t>半固体</w:t>
            </w:r>
          </w:p>
        </w:tc>
        <w:tc>
          <w:tcPr>
            <w:tcW w:w="710" w:type="dxa"/>
            <w:vAlign w:val="center"/>
          </w:tcPr>
          <w:p w14:paraId="599450FA">
            <w:pPr>
              <w:topLinePunct/>
              <w:snapToGrid w:val="0"/>
              <w:jc w:val="center"/>
              <w:rPr>
                <w:rFonts w:ascii="宋体" w:hAnsi="宋体" w:eastAsia="宋体" w:cs="Times New Roman"/>
                <w:color w:val="auto"/>
              </w:rPr>
            </w:pPr>
            <w:r>
              <w:rPr>
                <w:rFonts w:ascii="宋体" w:hAnsi="宋体" w:eastAsia="宋体" w:cs="Times New Roman"/>
                <w:color w:val="auto"/>
              </w:rPr>
              <w:t>废矿物油</w:t>
            </w:r>
          </w:p>
        </w:tc>
        <w:tc>
          <w:tcPr>
            <w:tcW w:w="429" w:type="dxa"/>
            <w:vAlign w:val="center"/>
          </w:tcPr>
          <w:p w14:paraId="29F37A96">
            <w:pPr>
              <w:topLinePunct/>
              <w:snapToGrid w:val="0"/>
              <w:jc w:val="center"/>
              <w:rPr>
                <w:rFonts w:ascii="宋体" w:hAnsi="宋体" w:eastAsia="宋体" w:cs="Times New Roman"/>
                <w:color w:val="auto"/>
              </w:rPr>
            </w:pPr>
            <w:r>
              <w:rPr>
                <w:rFonts w:ascii="宋体" w:hAnsi="宋体" w:eastAsia="宋体" w:cs="Times New Roman"/>
                <w:color w:val="auto"/>
              </w:rPr>
              <w:t>废矿物油</w:t>
            </w:r>
          </w:p>
        </w:tc>
        <w:tc>
          <w:tcPr>
            <w:tcW w:w="710" w:type="dxa"/>
            <w:vAlign w:val="center"/>
          </w:tcPr>
          <w:p w14:paraId="7CB29851">
            <w:pPr>
              <w:topLinePunct/>
              <w:snapToGrid w:val="0"/>
              <w:jc w:val="center"/>
              <w:rPr>
                <w:rFonts w:ascii="宋体" w:hAnsi="宋体" w:eastAsia="宋体" w:cs="Times New Roman"/>
                <w:color w:val="auto"/>
              </w:rPr>
            </w:pPr>
            <w:r>
              <w:rPr>
                <w:rFonts w:ascii="宋体" w:hAnsi="宋体" w:eastAsia="宋体" w:cs="Times New Roman"/>
                <w:color w:val="auto"/>
              </w:rPr>
              <w:t>设备清淤每年一次</w:t>
            </w:r>
          </w:p>
        </w:tc>
        <w:tc>
          <w:tcPr>
            <w:tcW w:w="569" w:type="dxa"/>
            <w:vAlign w:val="center"/>
          </w:tcPr>
          <w:p w14:paraId="6A8A54BB">
            <w:pPr>
              <w:topLinePunct/>
              <w:snapToGrid w:val="0"/>
              <w:jc w:val="center"/>
              <w:rPr>
                <w:rFonts w:ascii="宋体" w:hAnsi="宋体" w:eastAsia="宋体" w:cs="Times New Roman"/>
                <w:color w:val="auto"/>
              </w:rPr>
            </w:pPr>
            <w:r>
              <w:rPr>
                <w:rFonts w:ascii="宋体" w:hAnsi="宋体" w:eastAsia="宋体" w:cs="Times New Roman"/>
                <w:color w:val="auto"/>
              </w:rPr>
              <w:t>T、I</w:t>
            </w:r>
          </w:p>
        </w:tc>
        <w:tc>
          <w:tcPr>
            <w:tcW w:w="1263" w:type="dxa"/>
            <w:vMerge w:val="restart"/>
            <w:vAlign w:val="center"/>
          </w:tcPr>
          <w:p w14:paraId="57E18D22">
            <w:pPr>
              <w:topLinePunct/>
              <w:snapToGrid w:val="0"/>
              <w:jc w:val="center"/>
              <w:rPr>
                <w:rFonts w:ascii="宋体" w:hAnsi="宋体" w:eastAsia="宋体" w:cs="Times New Roman"/>
                <w:color w:val="auto"/>
              </w:rPr>
            </w:pPr>
            <w:r>
              <w:rPr>
                <w:rFonts w:ascii="宋体" w:hAnsi="宋体" w:eastAsia="宋体" w:cs="Times New Roman"/>
                <w:color w:val="auto"/>
              </w:rPr>
              <w:t>由罐车拉运至朝一联含油污泥处理站减量化处理后，再委托大庆博昕晶化科技有限公司处理</w:t>
            </w:r>
          </w:p>
        </w:tc>
      </w:tr>
      <w:tr w14:paraId="4C9DC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0" w:type="dxa"/>
            <w:vAlign w:val="center"/>
          </w:tcPr>
          <w:p w14:paraId="530364FB">
            <w:pPr>
              <w:topLinePunct/>
              <w:snapToGrid w:val="0"/>
              <w:jc w:val="center"/>
              <w:rPr>
                <w:rFonts w:ascii="宋体" w:hAnsi="宋体" w:eastAsia="宋体" w:cs="Times New Roman"/>
                <w:color w:val="auto"/>
              </w:rPr>
            </w:pPr>
            <w:r>
              <w:rPr>
                <w:rFonts w:ascii="宋体" w:hAnsi="宋体" w:eastAsia="宋体" w:cs="Times New Roman"/>
                <w:color w:val="auto"/>
              </w:rPr>
              <w:t>2</w:t>
            </w:r>
          </w:p>
        </w:tc>
        <w:tc>
          <w:tcPr>
            <w:tcW w:w="968" w:type="dxa"/>
            <w:vAlign w:val="center"/>
          </w:tcPr>
          <w:p w14:paraId="4445CE66">
            <w:pPr>
              <w:topLinePunct/>
              <w:snapToGrid w:val="0"/>
              <w:jc w:val="center"/>
              <w:rPr>
                <w:rFonts w:ascii="宋体" w:hAnsi="宋体" w:eastAsia="宋体" w:cs="Times New Roman"/>
                <w:color w:val="auto"/>
              </w:rPr>
            </w:pPr>
            <w:r>
              <w:rPr>
                <w:rFonts w:ascii="宋体" w:hAnsi="宋体" w:eastAsia="宋体" w:cs="Times New Roman"/>
                <w:color w:val="auto"/>
              </w:rPr>
              <w:t>落地油</w:t>
            </w:r>
          </w:p>
        </w:tc>
        <w:tc>
          <w:tcPr>
            <w:tcW w:w="1037" w:type="dxa"/>
            <w:vAlign w:val="center"/>
          </w:tcPr>
          <w:p w14:paraId="450BE809">
            <w:pPr>
              <w:topLinePunct/>
              <w:snapToGrid w:val="0"/>
              <w:jc w:val="center"/>
              <w:rPr>
                <w:rFonts w:ascii="宋体" w:hAnsi="宋体" w:eastAsia="宋体" w:cs="Times New Roman"/>
                <w:color w:val="auto"/>
              </w:rPr>
            </w:pPr>
            <w:r>
              <w:rPr>
                <w:rFonts w:ascii="宋体" w:hAnsi="宋体" w:eastAsia="宋体" w:cs="Times New Roman"/>
                <w:color w:val="auto"/>
              </w:rPr>
              <w:t>HW08废矿物油与含矿物油废物</w:t>
            </w:r>
          </w:p>
        </w:tc>
        <w:tc>
          <w:tcPr>
            <w:tcW w:w="738" w:type="dxa"/>
            <w:vAlign w:val="center"/>
          </w:tcPr>
          <w:p w14:paraId="74D177F5">
            <w:pPr>
              <w:topLinePunct/>
              <w:snapToGrid w:val="0"/>
              <w:jc w:val="center"/>
              <w:rPr>
                <w:rFonts w:ascii="宋体" w:hAnsi="宋体" w:eastAsia="宋体" w:cs="Times New Roman"/>
                <w:color w:val="auto"/>
              </w:rPr>
            </w:pPr>
            <w:r>
              <w:rPr>
                <w:rFonts w:ascii="宋体" w:hAnsi="宋体" w:eastAsia="宋体" w:cs="Times New Roman"/>
                <w:color w:val="auto"/>
              </w:rPr>
              <w:t>071-001-08</w:t>
            </w:r>
          </w:p>
        </w:tc>
        <w:tc>
          <w:tcPr>
            <w:tcW w:w="559" w:type="dxa"/>
            <w:vAlign w:val="center"/>
          </w:tcPr>
          <w:p w14:paraId="22F3F847">
            <w:pPr>
              <w:topLinePunct/>
              <w:snapToGrid w:val="0"/>
              <w:jc w:val="center"/>
              <w:rPr>
                <w:rFonts w:ascii="宋体" w:hAnsi="宋体" w:eastAsia="宋体" w:cs="Times New Roman"/>
                <w:color w:val="auto"/>
              </w:rPr>
            </w:pPr>
            <w:r>
              <w:rPr>
                <w:rFonts w:ascii="宋体" w:hAnsi="宋体" w:eastAsia="宋体" w:cs="Times New Roman"/>
                <w:color w:val="auto"/>
              </w:rPr>
              <w:t>0.13t/a</w:t>
            </w:r>
          </w:p>
        </w:tc>
        <w:tc>
          <w:tcPr>
            <w:tcW w:w="877" w:type="dxa"/>
            <w:vAlign w:val="center"/>
          </w:tcPr>
          <w:p w14:paraId="04888274">
            <w:pPr>
              <w:topLinePunct/>
              <w:snapToGrid w:val="0"/>
              <w:jc w:val="center"/>
              <w:rPr>
                <w:rFonts w:ascii="宋体" w:hAnsi="宋体" w:eastAsia="宋体" w:cs="Times New Roman"/>
                <w:color w:val="auto"/>
              </w:rPr>
            </w:pPr>
            <w:r>
              <w:rPr>
                <w:rFonts w:ascii="宋体" w:hAnsi="宋体" w:eastAsia="宋体" w:cs="Times New Roman"/>
                <w:color w:val="auto"/>
              </w:rPr>
              <w:t xml:space="preserve">井下作业环节 </w:t>
            </w:r>
          </w:p>
        </w:tc>
        <w:tc>
          <w:tcPr>
            <w:tcW w:w="710" w:type="dxa"/>
            <w:vAlign w:val="center"/>
          </w:tcPr>
          <w:p w14:paraId="04015AA3">
            <w:pPr>
              <w:topLinePunct/>
              <w:snapToGrid w:val="0"/>
              <w:jc w:val="center"/>
              <w:rPr>
                <w:rFonts w:ascii="宋体" w:hAnsi="宋体" w:eastAsia="宋体" w:cs="Times New Roman"/>
                <w:color w:val="auto"/>
              </w:rPr>
            </w:pPr>
            <w:r>
              <w:rPr>
                <w:rFonts w:ascii="宋体" w:hAnsi="宋体" w:eastAsia="宋体" w:cs="Times New Roman"/>
                <w:color w:val="auto"/>
              </w:rPr>
              <w:t>半固体、</w:t>
            </w:r>
          </w:p>
          <w:p w14:paraId="42FEBF0F">
            <w:pPr>
              <w:topLinePunct/>
              <w:snapToGrid w:val="0"/>
              <w:jc w:val="center"/>
              <w:rPr>
                <w:rFonts w:ascii="宋体" w:hAnsi="宋体" w:eastAsia="宋体" w:cs="Times New Roman"/>
                <w:color w:val="auto"/>
              </w:rPr>
            </w:pPr>
            <w:r>
              <w:rPr>
                <w:rFonts w:ascii="宋体" w:hAnsi="宋体" w:eastAsia="宋体" w:cs="Times New Roman"/>
                <w:color w:val="auto"/>
              </w:rPr>
              <w:t>固体</w:t>
            </w:r>
          </w:p>
        </w:tc>
        <w:tc>
          <w:tcPr>
            <w:tcW w:w="710" w:type="dxa"/>
            <w:vAlign w:val="center"/>
          </w:tcPr>
          <w:p w14:paraId="41F483DB">
            <w:pPr>
              <w:topLinePunct/>
              <w:snapToGrid w:val="0"/>
              <w:jc w:val="center"/>
              <w:rPr>
                <w:rFonts w:ascii="宋体" w:hAnsi="宋体" w:eastAsia="宋体" w:cs="Times New Roman"/>
                <w:color w:val="auto"/>
              </w:rPr>
            </w:pPr>
            <w:r>
              <w:rPr>
                <w:rFonts w:ascii="宋体" w:hAnsi="宋体" w:eastAsia="宋体" w:cs="Times New Roman"/>
                <w:color w:val="auto"/>
              </w:rPr>
              <w:t>废矿物油</w:t>
            </w:r>
          </w:p>
        </w:tc>
        <w:tc>
          <w:tcPr>
            <w:tcW w:w="429" w:type="dxa"/>
            <w:vAlign w:val="center"/>
          </w:tcPr>
          <w:p w14:paraId="5C73477E">
            <w:pPr>
              <w:topLinePunct/>
              <w:snapToGrid w:val="0"/>
              <w:jc w:val="center"/>
              <w:rPr>
                <w:rFonts w:ascii="宋体" w:hAnsi="宋体" w:eastAsia="宋体" w:cs="Times New Roman"/>
                <w:color w:val="auto"/>
              </w:rPr>
            </w:pPr>
            <w:r>
              <w:rPr>
                <w:rFonts w:ascii="宋体" w:hAnsi="宋体" w:eastAsia="宋体" w:cs="Times New Roman"/>
                <w:color w:val="auto"/>
              </w:rPr>
              <w:t>废矿物油</w:t>
            </w:r>
          </w:p>
        </w:tc>
        <w:tc>
          <w:tcPr>
            <w:tcW w:w="710" w:type="dxa"/>
            <w:vAlign w:val="center"/>
          </w:tcPr>
          <w:p w14:paraId="4D8A8BEF">
            <w:pPr>
              <w:topLinePunct/>
              <w:snapToGrid w:val="0"/>
              <w:jc w:val="center"/>
              <w:rPr>
                <w:rFonts w:ascii="宋体" w:hAnsi="宋体" w:eastAsia="宋体" w:cs="Times New Roman"/>
                <w:color w:val="auto"/>
              </w:rPr>
            </w:pPr>
            <w:r>
              <w:rPr>
                <w:rFonts w:ascii="宋体" w:hAnsi="宋体" w:eastAsia="宋体" w:cs="Times New Roman"/>
                <w:color w:val="auto"/>
              </w:rPr>
              <w:t xml:space="preserve">油井作业1.5年/次 </w:t>
            </w:r>
          </w:p>
        </w:tc>
        <w:tc>
          <w:tcPr>
            <w:tcW w:w="569" w:type="dxa"/>
            <w:vAlign w:val="center"/>
          </w:tcPr>
          <w:p w14:paraId="57271D86">
            <w:pPr>
              <w:topLinePunct/>
              <w:snapToGrid w:val="0"/>
              <w:jc w:val="center"/>
              <w:rPr>
                <w:rFonts w:ascii="宋体" w:hAnsi="宋体" w:eastAsia="宋体" w:cs="Times New Roman"/>
                <w:color w:val="auto"/>
              </w:rPr>
            </w:pPr>
            <w:r>
              <w:rPr>
                <w:rFonts w:ascii="宋体" w:hAnsi="宋体" w:eastAsia="宋体" w:cs="Times New Roman"/>
                <w:color w:val="auto"/>
              </w:rPr>
              <w:t>T、I</w:t>
            </w:r>
          </w:p>
        </w:tc>
        <w:tc>
          <w:tcPr>
            <w:tcW w:w="1263" w:type="dxa"/>
            <w:vMerge w:val="continue"/>
            <w:vAlign w:val="center"/>
          </w:tcPr>
          <w:p w14:paraId="12A48562">
            <w:pPr>
              <w:topLinePunct/>
              <w:snapToGrid w:val="0"/>
              <w:jc w:val="center"/>
              <w:rPr>
                <w:rFonts w:ascii="宋体" w:hAnsi="宋体" w:eastAsia="宋体" w:cs="Times New Roman"/>
                <w:color w:val="auto"/>
              </w:rPr>
            </w:pPr>
          </w:p>
        </w:tc>
      </w:tr>
      <w:tr w14:paraId="08C3C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90" w:type="dxa"/>
            <w:vAlign w:val="center"/>
          </w:tcPr>
          <w:p w14:paraId="5B511B12">
            <w:pPr>
              <w:topLinePunct/>
              <w:snapToGrid w:val="0"/>
              <w:jc w:val="center"/>
              <w:rPr>
                <w:rFonts w:ascii="宋体" w:hAnsi="宋体" w:eastAsia="宋体" w:cs="Times New Roman"/>
                <w:color w:val="auto"/>
              </w:rPr>
            </w:pPr>
            <w:r>
              <w:rPr>
                <w:rFonts w:ascii="宋体" w:hAnsi="宋体" w:eastAsia="宋体" w:cs="Times New Roman"/>
                <w:color w:val="auto"/>
              </w:rPr>
              <w:t>3</w:t>
            </w:r>
          </w:p>
        </w:tc>
        <w:tc>
          <w:tcPr>
            <w:tcW w:w="968" w:type="dxa"/>
            <w:vAlign w:val="center"/>
          </w:tcPr>
          <w:p w14:paraId="51886EB5">
            <w:pPr>
              <w:topLinePunct/>
              <w:snapToGrid w:val="0"/>
              <w:jc w:val="center"/>
              <w:rPr>
                <w:rFonts w:ascii="宋体" w:hAnsi="宋体" w:eastAsia="宋体" w:cs="Times New Roman"/>
                <w:color w:val="auto"/>
              </w:rPr>
            </w:pPr>
            <w:r>
              <w:rPr>
                <w:rFonts w:ascii="宋体" w:hAnsi="宋体" w:eastAsia="宋体" w:cs="Times New Roman"/>
                <w:color w:val="auto"/>
              </w:rPr>
              <w:t>含油废防渗布</w:t>
            </w:r>
          </w:p>
        </w:tc>
        <w:tc>
          <w:tcPr>
            <w:tcW w:w="1037" w:type="dxa"/>
            <w:vAlign w:val="center"/>
          </w:tcPr>
          <w:p w14:paraId="7A0C088A">
            <w:pPr>
              <w:topLinePunct/>
              <w:adjustRightInd w:val="0"/>
              <w:snapToGrid w:val="0"/>
              <w:jc w:val="center"/>
              <w:rPr>
                <w:rFonts w:ascii="宋体" w:hAnsi="宋体" w:eastAsia="宋体" w:cs="Times New Roman"/>
                <w:color w:val="auto"/>
              </w:rPr>
            </w:pPr>
            <w:r>
              <w:rPr>
                <w:rFonts w:ascii="宋体" w:hAnsi="宋体" w:eastAsia="宋体" w:cs="Times New Roman"/>
                <w:color w:val="auto"/>
              </w:rPr>
              <w:t>HW08废矿物油与含矿物油废物</w:t>
            </w:r>
          </w:p>
        </w:tc>
        <w:tc>
          <w:tcPr>
            <w:tcW w:w="738" w:type="dxa"/>
            <w:vAlign w:val="center"/>
          </w:tcPr>
          <w:p w14:paraId="3AB0A0D3">
            <w:pPr>
              <w:topLinePunct/>
              <w:adjustRightInd w:val="0"/>
              <w:snapToGrid w:val="0"/>
              <w:jc w:val="center"/>
              <w:rPr>
                <w:rFonts w:ascii="宋体" w:hAnsi="宋体" w:eastAsia="宋体" w:cs="Times New Roman"/>
                <w:color w:val="auto"/>
              </w:rPr>
            </w:pPr>
            <w:r>
              <w:rPr>
                <w:rFonts w:ascii="宋体" w:hAnsi="宋体" w:eastAsia="宋体" w:cs="Times New Roman"/>
                <w:color w:val="auto"/>
              </w:rPr>
              <w:t>900-249-08</w:t>
            </w:r>
          </w:p>
        </w:tc>
        <w:tc>
          <w:tcPr>
            <w:tcW w:w="559" w:type="dxa"/>
            <w:vAlign w:val="center"/>
          </w:tcPr>
          <w:p w14:paraId="2516A0E3">
            <w:pPr>
              <w:topLinePunct/>
              <w:adjustRightInd w:val="0"/>
              <w:snapToGrid w:val="0"/>
              <w:jc w:val="center"/>
              <w:rPr>
                <w:rFonts w:ascii="宋体" w:hAnsi="宋体" w:eastAsia="宋体" w:cs="Times New Roman"/>
                <w:color w:val="auto"/>
              </w:rPr>
            </w:pPr>
            <w:r>
              <w:rPr>
                <w:rFonts w:ascii="宋体" w:hAnsi="宋体" w:eastAsia="宋体" w:cs="Times New Roman"/>
                <w:color w:val="auto"/>
              </w:rPr>
              <w:t>0.07t/a</w:t>
            </w:r>
          </w:p>
        </w:tc>
        <w:tc>
          <w:tcPr>
            <w:tcW w:w="877" w:type="dxa"/>
            <w:vAlign w:val="center"/>
          </w:tcPr>
          <w:p w14:paraId="7026DCF5">
            <w:pPr>
              <w:topLinePunct/>
              <w:snapToGrid w:val="0"/>
              <w:jc w:val="center"/>
              <w:rPr>
                <w:rFonts w:ascii="宋体" w:hAnsi="宋体" w:eastAsia="宋体" w:cs="Times New Roman"/>
                <w:color w:val="auto"/>
              </w:rPr>
            </w:pPr>
            <w:r>
              <w:rPr>
                <w:rFonts w:ascii="宋体" w:hAnsi="宋体" w:eastAsia="宋体" w:cs="Times New Roman"/>
                <w:color w:val="auto"/>
              </w:rPr>
              <w:t>场地清理环节</w:t>
            </w:r>
          </w:p>
        </w:tc>
        <w:tc>
          <w:tcPr>
            <w:tcW w:w="710" w:type="dxa"/>
            <w:vAlign w:val="center"/>
          </w:tcPr>
          <w:p w14:paraId="1DF7A18F">
            <w:pPr>
              <w:topLinePunct/>
              <w:snapToGrid w:val="0"/>
              <w:jc w:val="center"/>
              <w:rPr>
                <w:rFonts w:ascii="宋体" w:hAnsi="宋体" w:eastAsia="宋体" w:cs="Times New Roman"/>
                <w:color w:val="auto"/>
              </w:rPr>
            </w:pPr>
            <w:r>
              <w:rPr>
                <w:rFonts w:ascii="宋体" w:hAnsi="宋体" w:eastAsia="宋体" w:cs="Times New Roman"/>
                <w:color w:val="auto"/>
              </w:rPr>
              <w:t>固体</w:t>
            </w:r>
          </w:p>
        </w:tc>
        <w:tc>
          <w:tcPr>
            <w:tcW w:w="710" w:type="dxa"/>
            <w:vAlign w:val="center"/>
          </w:tcPr>
          <w:p w14:paraId="3FFDBCD9">
            <w:pPr>
              <w:topLinePunct/>
              <w:snapToGrid w:val="0"/>
              <w:jc w:val="center"/>
              <w:rPr>
                <w:rFonts w:ascii="宋体" w:hAnsi="宋体" w:eastAsia="宋体" w:cs="Times New Roman"/>
                <w:color w:val="auto"/>
              </w:rPr>
            </w:pPr>
            <w:r>
              <w:rPr>
                <w:rFonts w:ascii="宋体" w:hAnsi="宋体" w:eastAsia="宋体" w:cs="Times New Roman"/>
                <w:color w:val="auto"/>
              </w:rPr>
              <w:t>废矿物油</w:t>
            </w:r>
          </w:p>
        </w:tc>
        <w:tc>
          <w:tcPr>
            <w:tcW w:w="429" w:type="dxa"/>
            <w:vAlign w:val="center"/>
          </w:tcPr>
          <w:p w14:paraId="044298C4">
            <w:pPr>
              <w:topLinePunct/>
              <w:snapToGrid w:val="0"/>
              <w:jc w:val="center"/>
              <w:rPr>
                <w:rFonts w:ascii="宋体" w:hAnsi="宋体" w:eastAsia="宋体" w:cs="Times New Roman"/>
                <w:color w:val="auto"/>
              </w:rPr>
            </w:pPr>
            <w:r>
              <w:rPr>
                <w:rFonts w:ascii="宋体" w:hAnsi="宋体" w:eastAsia="宋体" w:cs="Times New Roman"/>
                <w:color w:val="auto"/>
              </w:rPr>
              <w:t>废矿物油</w:t>
            </w:r>
          </w:p>
        </w:tc>
        <w:tc>
          <w:tcPr>
            <w:tcW w:w="710" w:type="dxa"/>
            <w:vAlign w:val="center"/>
          </w:tcPr>
          <w:p w14:paraId="09EB5912">
            <w:pPr>
              <w:topLinePunct/>
              <w:snapToGrid w:val="0"/>
              <w:jc w:val="center"/>
              <w:rPr>
                <w:rFonts w:ascii="宋体" w:hAnsi="宋体" w:eastAsia="宋体" w:cs="Times New Roman"/>
                <w:color w:val="auto"/>
              </w:rPr>
            </w:pPr>
            <w:r>
              <w:rPr>
                <w:rFonts w:ascii="宋体" w:hAnsi="宋体" w:eastAsia="宋体" w:cs="Times New Roman"/>
                <w:color w:val="auto"/>
              </w:rPr>
              <w:t>作业1.5年/一次</w:t>
            </w:r>
          </w:p>
        </w:tc>
        <w:tc>
          <w:tcPr>
            <w:tcW w:w="569" w:type="dxa"/>
            <w:vAlign w:val="center"/>
          </w:tcPr>
          <w:p w14:paraId="24C4AE0E">
            <w:pPr>
              <w:topLinePunct/>
              <w:snapToGrid w:val="0"/>
              <w:jc w:val="center"/>
              <w:rPr>
                <w:rFonts w:ascii="宋体" w:hAnsi="宋体" w:eastAsia="宋体" w:cs="Times New Roman"/>
                <w:color w:val="auto"/>
              </w:rPr>
            </w:pPr>
            <w:r>
              <w:rPr>
                <w:rFonts w:ascii="宋体" w:hAnsi="宋体" w:eastAsia="宋体" w:cs="Times New Roman"/>
                <w:color w:val="auto"/>
              </w:rPr>
              <w:t>T、I</w:t>
            </w:r>
          </w:p>
        </w:tc>
        <w:tc>
          <w:tcPr>
            <w:tcW w:w="1263" w:type="dxa"/>
            <w:vAlign w:val="center"/>
          </w:tcPr>
          <w:p w14:paraId="28561080">
            <w:pPr>
              <w:topLinePunct/>
              <w:snapToGrid w:val="0"/>
              <w:jc w:val="center"/>
              <w:rPr>
                <w:rFonts w:ascii="宋体" w:hAnsi="宋体" w:eastAsia="宋体" w:cs="Times New Roman"/>
                <w:color w:val="auto"/>
              </w:rPr>
            </w:pPr>
            <w:r>
              <w:rPr>
                <w:rFonts w:ascii="宋体" w:hAnsi="宋体" w:eastAsia="宋体" w:cs="Times New Roman"/>
                <w:color w:val="auto"/>
              </w:rPr>
              <w:t>收集后暂存于第十采油厂综合固废储存库，定期委托有资质单位处理</w:t>
            </w:r>
          </w:p>
        </w:tc>
      </w:tr>
    </w:tbl>
    <w:p w14:paraId="59D9CF9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退役期污染源源强核算</w:t>
      </w:r>
    </w:p>
    <w:p w14:paraId="13FE0E21">
      <w:pPr>
        <w:pStyle w:val="276"/>
        <w:widowControl w:val="0"/>
        <w:ind w:firstLine="480"/>
        <w:jc w:val="both"/>
        <w:rPr>
          <w:color w:val="auto"/>
          <w:lang w:val="zh-CN"/>
        </w:rPr>
      </w:pPr>
      <w:r>
        <w:rPr>
          <w:color w:val="auto"/>
          <w:lang w:val="zh-CN"/>
        </w:rPr>
        <w:t>（1）废气</w:t>
      </w:r>
    </w:p>
    <w:p w14:paraId="1470D0E6">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退役期废气主要为场地清理平整过程中产生的粉尘、二次扬尘，以及施工设备和运输车辆尾气。</w:t>
      </w:r>
    </w:p>
    <w:p w14:paraId="470AB0EA">
      <w:pPr>
        <w:pStyle w:val="164"/>
        <w:numPr>
          <w:ilvl w:val="0"/>
          <w:numId w:val="14"/>
        </w:numPr>
        <w:spacing w:line="440" w:lineRule="exact"/>
        <w:jc w:val="both"/>
        <w:rPr>
          <w:rFonts w:ascii="宋体" w:hAnsi="宋体" w:eastAsia="宋体" w:cs="Times New Roman"/>
          <w:color w:val="auto"/>
        </w:rPr>
      </w:pPr>
      <w:r>
        <w:rPr>
          <w:rFonts w:ascii="宋体" w:hAnsi="宋体" w:eastAsia="宋体" w:cs="Times New Roman"/>
          <w:color w:val="auto"/>
        </w:rPr>
        <w:t>施工扬尘</w:t>
      </w:r>
    </w:p>
    <w:p w14:paraId="64BE082A">
      <w:pPr>
        <w:pStyle w:val="276"/>
        <w:widowControl w:val="0"/>
        <w:ind w:firstLine="480"/>
        <w:jc w:val="both"/>
        <w:rPr>
          <w:color w:val="auto"/>
          <w:kern w:val="2"/>
        </w:rPr>
      </w:pPr>
      <w:r>
        <w:rPr>
          <w:rFonts w:hint="eastAsia"/>
          <w:color w:val="auto"/>
          <w:kern w:val="2"/>
        </w:rPr>
        <w:t>1）</w:t>
      </w:r>
      <w:r>
        <w:rPr>
          <w:color w:val="auto"/>
          <w:kern w:val="2"/>
        </w:rPr>
        <w:t>施工扬尘</w:t>
      </w:r>
    </w:p>
    <w:p w14:paraId="0031E50B">
      <w:pPr>
        <w:pStyle w:val="276"/>
        <w:widowControl w:val="0"/>
        <w:ind w:firstLine="480"/>
        <w:jc w:val="both"/>
        <w:rPr>
          <w:color w:val="auto"/>
          <w:lang w:val="zh-CN"/>
        </w:rPr>
      </w:pPr>
      <w:r>
        <w:rPr>
          <w:color w:val="auto"/>
          <w:kern w:val="2"/>
        </w:rPr>
        <w:t>本项目退役期施工扬尘主要来自平整土地、材料运输、装卸等过程。本项目所在区域平坦空旷，大气扩散条件好。井场相对分散，且施工时间较短，在采取车辆密闭运输、洒水抑尘等措施后，退役期施工扬尘影响较小。</w:t>
      </w:r>
    </w:p>
    <w:p w14:paraId="152C76EB">
      <w:pPr>
        <w:pStyle w:val="276"/>
        <w:widowControl w:val="0"/>
        <w:ind w:firstLine="480"/>
        <w:jc w:val="both"/>
        <w:rPr>
          <w:color w:val="auto"/>
          <w:kern w:val="2"/>
        </w:rPr>
      </w:pPr>
      <w:r>
        <w:rPr>
          <w:color w:val="auto"/>
          <w:kern w:val="2"/>
        </w:rPr>
        <w:t>2</w:t>
      </w:r>
      <w:r>
        <w:rPr>
          <w:rFonts w:hint="eastAsia"/>
          <w:color w:val="auto"/>
          <w:kern w:val="2"/>
        </w:rPr>
        <w:t>）</w:t>
      </w:r>
      <w:r>
        <w:rPr>
          <w:color w:val="auto"/>
          <w:kern w:val="2"/>
        </w:rPr>
        <w:t>车辆尾气</w:t>
      </w:r>
    </w:p>
    <w:p w14:paraId="65DAD762">
      <w:pPr>
        <w:pStyle w:val="276"/>
        <w:widowControl w:val="0"/>
        <w:ind w:firstLine="480"/>
        <w:jc w:val="both"/>
        <w:rPr>
          <w:color w:val="auto"/>
          <w:lang w:val="zh-CN"/>
        </w:rPr>
      </w:pPr>
      <w:r>
        <w:rPr>
          <w:color w:val="auto"/>
          <w:kern w:val="2"/>
        </w:rPr>
        <w:t>在退役期施工期间，使用液体燃料的施工机械及运输车辆的发动机排放的尾气在含有NO</w:t>
      </w:r>
      <w:r>
        <w:rPr>
          <w:color w:val="auto"/>
          <w:kern w:val="2"/>
          <w:vertAlign w:val="subscript"/>
        </w:rPr>
        <w:t>2</w:t>
      </w:r>
      <w:r>
        <w:rPr>
          <w:color w:val="auto"/>
          <w:kern w:val="2"/>
        </w:rPr>
        <w:t>、CO、HC等污染物</w:t>
      </w:r>
      <w:r>
        <w:rPr>
          <w:color w:val="auto"/>
          <w:lang w:val="zh-CN"/>
        </w:rPr>
        <w:t>，一般情况下，</w:t>
      </w:r>
      <w:r>
        <w:rPr>
          <w:color w:val="auto"/>
        </w:rPr>
        <w:t>施工车辆选用高标号汽柴油，</w:t>
      </w:r>
      <w:r>
        <w:rPr>
          <w:color w:val="auto"/>
          <w:lang w:val="zh-CN"/>
        </w:rPr>
        <w:t>各种污染物的排放量不大，对周围环境的影响较小。</w:t>
      </w:r>
    </w:p>
    <w:p w14:paraId="1785B3C9">
      <w:pPr>
        <w:pStyle w:val="276"/>
        <w:widowControl w:val="0"/>
        <w:ind w:firstLine="480"/>
        <w:jc w:val="both"/>
        <w:rPr>
          <w:color w:val="auto"/>
          <w:lang w:val="zh-CN"/>
        </w:rPr>
      </w:pPr>
      <w:r>
        <w:rPr>
          <w:color w:val="auto"/>
          <w:lang w:val="zh-CN"/>
        </w:rPr>
        <w:t>（2）废水</w:t>
      </w:r>
    </w:p>
    <w:p w14:paraId="7F4EE242">
      <w:pPr>
        <w:pStyle w:val="276"/>
        <w:widowControl w:val="0"/>
        <w:ind w:firstLine="480"/>
        <w:jc w:val="both"/>
        <w:rPr>
          <w:color w:val="auto"/>
          <w:kern w:val="2"/>
        </w:rPr>
      </w:pPr>
      <w:r>
        <w:rPr>
          <w:color w:val="auto"/>
          <w:kern w:val="2"/>
        </w:rPr>
        <w:t>本项目退役期</w:t>
      </w:r>
      <w:r>
        <w:rPr>
          <w:color w:val="auto"/>
        </w:rPr>
        <w:t>管线</w:t>
      </w:r>
      <w:r>
        <w:rPr>
          <w:color w:val="auto"/>
          <w:kern w:val="2"/>
        </w:rPr>
        <w:t>内介质均由压缩空气吹扫至拉油点储罐，由罐车拉运进入朝二联集输系统处理。退役期</w:t>
      </w:r>
      <w:r>
        <w:rPr>
          <w:color w:val="auto"/>
          <w:kern w:val="21"/>
        </w:rPr>
        <w:t>施工约30d，施工人数20人，根据黑龙江省地方标准《用水定额》（DB23/T727-2021），生活用水量每人80L/d，生活用水量共计48m</w:t>
      </w:r>
      <w:r>
        <w:rPr>
          <w:color w:val="auto"/>
          <w:kern w:val="21"/>
          <w:vertAlign w:val="superscript"/>
        </w:rPr>
        <w:t>3</w:t>
      </w:r>
      <w:r>
        <w:rPr>
          <w:color w:val="auto"/>
          <w:kern w:val="21"/>
        </w:rPr>
        <w:t>。生活污水产生量按生活用水的80%计算，则生活污水产生量为38.4m</w:t>
      </w:r>
      <w:r>
        <w:rPr>
          <w:color w:val="auto"/>
          <w:kern w:val="21"/>
          <w:vertAlign w:val="superscript"/>
        </w:rPr>
        <w:t>3</w:t>
      </w:r>
      <w:r>
        <w:rPr>
          <w:color w:val="auto"/>
          <w:kern w:val="21"/>
        </w:rPr>
        <w:t>。退役期生活污水排入施工现场临时防渗旱厕内，施工结束后拉运至第十采油厂厂区污水泵房，经地下管网输至第十采油厂厂区生活污水处理站处理达标后排入牛毛沟。</w:t>
      </w:r>
    </w:p>
    <w:p w14:paraId="104AFFAE">
      <w:pPr>
        <w:pStyle w:val="276"/>
        <w:widowControl w:val="0"/>
        <w:ind w:firstLine="480"/>
        <w:jc w:val="both"/>
        <w:rPr>
          <w:color w:val="auto"/>
          <w:lang w:val="zh-CN"/>
        </w:rPr>
      </w:pPr>
      <w:r>
        <w:rPr>
          <w:color w:val="auto"/>
          <w:lang w:val="zh-CN"/>
        </w:rPr>
        <w:t>（3）噪声污染源项分析</w:t>
      </w:r>
    </w:p>
    <w:p w14:paraId="283F79DF">
      <w:pPr>
        <w:pStyle w:val="276"/>
        <w:widowControl w:val="0"/>
        <w:ind w:firstLine="480"/>
        <w:jc w:val="both"/>
        <w:rPr>
          <w:color w:val="auto"/>
          <w:kern w:val="2"/>
        </w:rPr>
      </w:pPr>
      <w:r>
        <w:rPr>
          <w:color w:val="auto"/>
          <w:kern w:val="2"/>
        </w:rPr>
        <w:t>退役期产生的噪声主要施工</w:t>
      </w:r>
      <w:r>
        <w:rPr>
          <w:color w:val="auto"/>
        </w:rPr>
        <w:t>机械</w:t>
      </w:r>
      <w:r>
        <w:rPr>
          <w:color w:val="auto"/>
          <w:kern w:val="2"/>
        </w:rPr>
        <w:t>和车辆运营噪声，参考《环境噪声与振动控制工程技术导则》（HJ 2034-2013）附录A中的噪声源强数据，本项目噪声源具体排放情况见表3.12-9。</w:t>
      </w:r>
    </w:p>
    <w:p w14:paraId="26333AAD">
      <w:pPr>
        <w:pStyle w:val="276"/>
        <w:widowControl w:val="0"/>
        <w:spacing w:line="440" w:lineRule="exact"/>
        <w:ind w:firstLine="0" w:firstLineChars="0"/>
        <w:jc w:val="center"/>
        <w:rPr>
          <w:color w:val="auto"/>
        </w:rPr>
      </w:pPr>
      <w:r>
        <w:rPr>
          <w:color w:val="auto"/>
        </w:rPr>
        <w:t>表3.12-9 本项目</w:t>
      </w:r>
      <w:r>
        <w:rPr>
          <w:rFonts w:hint="eastAsia"/>
          <w:color w:val="auto"/>
        </w:rPr>
        <w:t>退役</w:t>
      </w:r>
      <w:r>
        <w:rPr>
          <w:color w:val="auto"/>
        </w:rPr>
        <w:t>期噪声源统计表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1432"/>
        <w:gridCol w:w="2256"/>
        <w:gridCol w:w="2251"/>
        <w:gridCol w:w="2249"/>
      </w:tblGrid>
      <w:tr w14:paraId="15FB1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1" w:type="pct"/>
            <w:shd w:val="clear" w:color="auto" w:fill="auto"/>
            <w:vAlign w:val="center"/>
          </w:tcPr>
          <w:p w14:paraId="165ED073">
            <w:pPr>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771" w:type="pct"/>
            <w:shd w:val="clear" w:color="auto" w:fill="auto"/>
            <w:vAlign w:val="center"/>
          </w:tcPr>
          <w:p w14:paraId="4E6F77D6">
            <w:pPr>
              <w:jc w:val="center"/>
              <w:rPr>
                <w:rFonts w:ascii="宋体" w:hAnsi="宋体" w:eastAsia="宋体" w:cs="Times New Roman"/>
                <w:snapToGrid w:val="0"/>
                <w:color w:val="auto"/>
              </w:rPr>
            </w:pPr>
            <w:r>
              <w:rPr>
                <w:rFonts w:ascii="宋体" w:hAnsi="宋体" w:eastAsia="宋体" w:cs="Times New Roman"/>
                <w:snapToGrid w:val="0"/>
                <w:color w:val="auto"/>
              </w:rPr>
              <w:t>设备名称</w:t>
            </w:r>
          </w:p>
        </w:tc>
        <w:tc>
          <w:tcPr>
            <w:tcW w:w="1215" w:type="pct"/>
            <w:shd w:val="clear" w:color="auto" w:fill="auto"/>
            <w:vAlign w:val="center"/>
          </w:tcPr>
          <w:p w14:paraId="25551F17">
            <w:pPr>
              <w:jc w:val="center"/>
              <w:rPr>
                <w:rFonts w:ascii="宋体" w:hAnsi="宋体" w:eastAsia="宋体" w:cs="Times New Roman"/>
                <w:snapToGrid w:val="0"/>
                <w:color w:val="auto"/>
              </w:rPr>
            </w:pPr>
            <w:r>
              <w:rPr>
                <w:rFonts w:ascii="宋体" w:hAnsi="宋体" w:eastAsia="宋体" w:cs="Times New Roman"/>
                <w:snapToGrid w:val="0"/>
                <w:color w:val="auto"/>
              </w:rPr>
              <w:t>声源性质</w:t>
            </w:r>
          </w:p>
        </w:tc>
        <w:tc>
          <w:tcPr>
            <w:tcW w:w="1212" w:type="pct"/>
            <w:shd w:val="clear" w:color="auto" w:fill="auto"/>
            <w:vAlign w:val="center"/>
          </w:tcPr>
          <w:p w14:paraId="4D9680BC">
            <w:pPr>
              <w:jc w:val="center"/>
              <w:rPr>
                <w:rFonts w:ascii="宋体" w:hAnsi="宋体" w:eastAsia="宋体" w:cs="Times New Roman"/>
                <w:snapToGrid w:val="0"/>
                <w:color w:val="auto"/>
              </w:rPr>
            </w:pPr>
            <w:r>
              <w:rPr>
                <w:rFonts w:ascii="宋体" w:hAnsi="宋体" w:eastAsia="宋体" w:cs="Times New Roman"/>
                <w:snapToGrid w:val="0"/>
                <w:color w:val="auto"/>
              </w:rPr>
              <w:t>噪声值dB(A)</w:t>
            </w:r>
          </w:p>
        </w:tc>
        <w:tc>
          <w:tcPr>
            <w:tcW w:w="1211" w:type="pct"/>
            <w:shd w:val="clear" w:color="auto" w:fill="auto"/>
            <w:vAlign w:val="center"/>
          </w:tcPr>
          <w:p w14:paraId="21D57BCC">
            <w:pPr>
              <w:jc w:val="center"/>
              <w:rPr>
                <w:rFonts w:ascii="宋体" w:hAnsi="宋体" w:eastAsia="宋体" w:cs="Times New Roman"/>
                <w:snapToGrid w:val="0"/>
                <w:color w:val="auto"/>
              </w:rPr>
            </w:pPr>
            <w:r>
              <w:rPr>
                <w:rFonts w:ascii="宋体" w:hAnsi="宋体" w:eastAsia="宋体" w:cs="Times New Roman"/>
                <w:snapToGrid w:val="0"/>
                <w:color w:val="auto"/>
              </w:rPr>
              <w:t>测点距声源距离</w:t>
            </w:r>
          </w:p>
        </w:tc>
      </w:tr>
      <w:tr w14:paraId="3AE5C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1" w:type="pct"/>
            <w:shd w:val="clear" w:color="auto" w:fill="auto"/>
            <w:vAlign w:val="center"/>
          </w:tcPr>
          <w:p w14:paraId="5BAAA071">
            <w:pPr>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771" w:type="pct"/>
            <w:shd w:val="clear" w:color="auto" w:fill="auto"/>
            <w:vAlign w:val="center"/>
          </w:tcPr>
          <w:p w14:paraId="3BD9F64D">
            <w:pPr>
              <w:jc w:val="center"/>
              <w:rPr>
                <w:rFonts w:ascii="宋体" w:hAnsi="宋体" w:eastAsia="宋体" w:cs="Times New Roman"/>
                <w:snapToGrid w:val="0"/>
                <w:color w:val="auto"/>
              </w:rPr>
            </w:pPr>
            <w:r>
              <w:rPr>
                <w:rFonts w:ascii="宋体" w:hAnsi="宋体" w:eastAsia="宋体" w:cs="Times New Roman"/>
                <w:snapToGrid w:val="0"/>
                <w:color w:val="auto"/>
              </w:rPr>
              <w:t>挖掘机</w:t>
            </w:r>
          </w:p>
        </w:tc>
        <w:tc>
          <w:tcPr>
            <w:tcW w:w="1215" w:type="pct"/>
            <w:shd w:val="clear" w:color="auto" w:fill="auto"/>
            <w:vAlign w:val="center"/>
          </w:tcPr>
          <w:p w14:paraId="33CACD5A">
            <w:pPr>
              <w:jc w:val="center"/>
              <w:rPr>
                <w:rFonts w:ascii="宋体" w:hAnsi="宋体" w:eastAsia="宋体" w:cs="Times New Roman"/>
                <w:snapToGrid w:val="0"/>
                <w:color w:val="auto"/>
              </w:rPr>
            </w:pPr>
            <w:r>
              <w:rPr>
                <w:rFonts w:ascii="宋体" w:hAnsi="宋体" w:eastAsia="宋体" w:cs="Times New Roman"/>
                <w:snapToGrid w:val="0"/>
                <w:color w:val="auto"/>
              </w:rPr>
              <w:t>非连续稳态声源</w:t>
            </w:r>
          </w:p>
        </w:tc>
        <w:tc>
          <w:tcPr>
            <w:tcW w:w="1212" w:type="pct"/>
            <w:shd w:val="clear" w:color="auto" w:fill="auto"/>
            <w:vAlign w:val="center"/>
          </w:tcPr>
          <w:p w14:paraId="0634C652">
            <w:pPr>
              <w:jc w:val="center"/>
              <w:rPr>
                <w:rFonts w:ascii="宋体" w:hAnsi="宋体" w:eastAsia="宋体" w:cs="Times New Roman"/>
                <w:snapToGrid w:val="0"/>
                <w:color w:val="auto"/>
              </w:rPr>
            </w:pPr>
            <w:r>
              <w:rPr>
                <w:rFonts w:ascii="宋体" w:hAnsi="宋体" w:eastAsia="宋体" w:cs="Times New Roman"/>
                <w:snapToGrid w:val="0"/>
                <w:color w:val="auto"/>
              </w:rPr>
              <w:t>82～90</w:t>
            </w:r>
          </w:p>
        </w:tc>
        <w:tc>
          <w:tcPr>
            <w:tcW w:w="1211" w:type="pct"/>
            <w:shd w:val="clear" w:color="auto" w:fill="auto"/>
            <w:vAlign w:val="center"/>
          </w:tcPr>
          <w:p w14:paraId="31A8FC5A">
            <w:pPr>
              <w:jc w:val="center"/>
              <w:rPr>
                <w:rFonts w:ascii="宋体" w:hAnsi="宋体" w:eastAsia="宋体" w:cs="Times New Roman"/>
                <w:snapToGrid w:val="0"/>
                <w:color w:val="auto"/>
              </w:rPr>
            </w:pPr>
            <w:r>
              <w:rPr>
                <w:rFonts w:ascii="宋体" w:hAnsi="宋体" w:eastAsia="宋体" w:cs="Times New Roman"/>
                <w:snapToGrid w:val="0"/>
                <w:color w:val="auto"/>
              </w:rPr>
              <w:t>5m</w:t>
            </w:r>
          </w:p>
        </w:tc>
      </w:tr>
      <w:tr w14:paraId="6D613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1" w:type="pct"/>
            <w:shd w:val="clear" w:color="auto" w:fill="auto"/>
            <w:vAlign w:val="center"/>
          </w:tcPr>
          <w:p w14:paraId="1B98C857">
            <w:pPr>
              <w:jc w:val="center"/>
              <w:rPr>
                <w:rFonts w:ascii="宋体" w:hAnsi="宋体" w:eastAsia="宋体" w:cs="Times New Roman"/>
                <w:snapToGrid w:val="0"/>
                <w:color w:val="auto"/>
              </w:rPr>
            </w:pPr>
            <w:r>
              <w:rPr>
                <w:rFonts w:ascii="宋体" w:hAnsi="宋体" w:eastAsia="宋体" w:cs="Times New Roman"/>
                <w:color w:val="auto"/>
              </w:rPr>
              <w:t>2</w:t>
            </w:r>
          </w:p>
        </w:tc>
        <w:tc>
          <w:tcPr>
            <w:tcW w:w="771" w:type="pct"/>
            <w:shd w:val="clear" w:color="auto" w:fill="auto"/>
            <w:vAlign w:val="center"/>
          </w:tcPr>
          <w:p w14:paraId="4F4A6229">
            <w:pPr>
              <w:jc w:val="center"/>
              <w:rPr>
                <w:rFonts w:ascii="宋体" w:hAnsi="宋体" w:eastAsia="宋体" w:cs="Times New Roman"/>
                <w:snapToGrid w:val="0"/>
                <w:color w:val="auto"/>
              </w:rPr>
            </w:pPr>
            <w:r>
              <w:rPr>
                <w:rFonts w:ascii="宋体" w:hAnsi="宋体" w:eastAsia="宋体" w:cs="Times New Roman"/>
                <w:snapToGrid w:val="0"/>
                <w:color w:val="auto"/>
              </w:rPr>
              <w:t>吊装机</w:t>
            </w:r>
          </w:p>
        </w:tc>
        <w:tc>
          <w:tcPr>
            <w:tcW w:w="1215" w:type="pct"/>
            <w:shd w:val="clear" w:color="auto" w:fill="auto"/>
            <w:vAlign w:val="center"/>
          </w:tcPr>
          <w:p w14:paraId="73A48D57">
            <w:pPr>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1212" w:type="pct"/>
            <w:shd w:val="clear" w:color="auto" w:fill="auto"/>
            <w:vAlign w:val="center"/>
          </w:tcPr>
          <w:p w14:paraId="0ACF49A1">
            <w:pPr>
              <w:jc w:val="center"/>
              <w:rPr>
                <w:rFonts w:ascii="宋体" w:hAnsi="宋体" w:eastAsia="宋体" w:cs="Times New Roman"/>
                <w:snapToGrid w:val="0"/>
                <w:color w:val="auto"/>
              </w:rPr>
            </w:pPr>
            <w:r>
              <w:rPr>
                <w:rFonts w:ascii="宋体" w:hAnsi="宋体" w:eastAsia="宋体" w:cs="Times New Roman"/>
                <w:snapToGrid w:val="0"/>
                <w:color w:val="auto"/>
              </w:rPr>
              <w:t>73～81</w:t>
            </w:r>
          </w:p>
        </w:tc>
        <w:tc>
          <w:tcPr>
            <w:tcW w:w="1211" w:type="pct"/>
            <w:shd w:val="clear" w:color="auto" w:fill="auto"/>
            <w:vAlign w:val="center"/>
          </w:tcPr>
          <w:p w14:paraId="4D486540">
            <w:pPr>
              <w:jc w:val="center"/>
              <w:rPr>
                <w:rFonts w:ascii="宋体" w:hAnsi="宋体" w:eastAsia="宋体" w:cs="Times New Roman"/>
                <w:snapToGrid w:val="0"/>
                <w:color w:val="auto"/>
              </w:rPr>
            </w:pPr>
            <w:r>
              <w:rPr>
                <w:rFonts w:ascii="宋体" w:hAnsi="宋体" w:eastAsia="宋体" w:cs="Times New Roman"/>
                <w:snapToGrid w:val="0"/>
                <w:color w:val="auto"/>
              </w:rPr>
              <w:t>5m</w:t>
            </w:r>
          </w:p>
        </w:tc>
      </w:tr>
      <w:tr w14:paraId="2B7F5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1" w:type="pct"/>
            <w:shd w:val="clear" w:color="auto" w:fill="auto"/>
            <w:vAlign w:val="center"/>
          </w:tcPr>
          <w:p w14:paraId="45B597E0">
            <w:pPr>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771" w:type="pct"/>
            <w:shd w:val="clear" w:color="auto" w:fill="auto"/>
            <w:vAlign w:val="center"/>
          </w:tcPr>
          <w:p w14:paraId="629051C0">
            <w:pPr>
              <w:jc w:val="center"/>
              <w:rPr>
                <w:rFonts w:ascii="宋体" w:hAnsi="宋体" w:eastAsia="宋体" w:cs="Times New Roman"/>
                <w:snapToGrid w:val="0"/>
                <w:color w:val="auto"/>
              </w:rPr>
            </w:pPr>
            <w:r>
              <w:rPr>
                <w:rFonts w:ascii="宋体" w:hAnsi="宋体" w:eastAsia="宋体" w:cs="Times New Roman"/>
                <w:snapToGrid w:val="0"/>
                <w:color w:val="auto"/>
              </w:rPr>
              <w:t>推土机</w:t>
            </w:r>
          </w:p>
        </w:tc>
        <w:tc>
          <w:tcPr>
            <w:tcW w:w="1215" w:type="pct"/>
            <w:shd w:val="clear" w:color="auto" w:fill="auto"/>
            <w:vAlign w:val="center"/>
          </w:tcPr>
          <w:p w14:paraId="559D29BC">
            <w:pPr>
              <w:jc w:val="center"/>
              <w:rPr>
                <w:rFonts w:ascii="宋体" w:hAnsi="宋体" w:eastAsia="宋体" w:cs="Times New Roman"/>
                <w:snapToGrid w:val="0"/>
                <w:color w:val="auto"/>
              </w:rPr>
            </w:pPr>
            <w:r>
              <w:rPr>
                <w:rFonts w:ascii="宋体" w:hAnsi="宋体" w:eastAsia="宋体" w:cs="Times New Roman"/>
                <w:snapToGrid w:val="0"/>
                <w:color w:val="auto"/>
              </w:rPr>
              <w:t>非连续稳态声源</w:t>
            </w:r>
          </w:p>
        </w:tc>
        <w:tc>
          <w:tcPr>
            <w:tcW w:w="1212" w:type="pct"/>
            <w:shd w:val="clear" w:color="auto" w:fill="auto"/>
            <w:vAlign w:val="center"/>
          </w:tcPr>
          <w:p w14:paraId="0956FC39">
            <w:pPr>
              <w:jc w:val="center"/>
              <w:rPr>
                <w:rFonts w:ascii="宋体" w:hAnsi="宋体" w:eastAsia="宋体" w:cs="Times New Roman"/>
                <w:snapToGrid w:val="0"/>
                <w:color w:val="auto"/>
              </w:rPr>
            </w:pPr>
            <w:r>
              <w:rPr>
                <w:rFonts w:ascii="宋体" w:hAnsi="宋体" w:eastAsia="宋体" w:cs="Times New Roman"/>
                <w:snapToGrid w:val="0"/>
                <w:color w:val="auto"/>
              </w:rPr>
              <w:t>83～88</w:t>
            </w:r>
          </w:p>
        </w:tc>
        <w:tc>
          <w:tcPr>
            <w:tcW w:w="1211" w:type="pct"/>
            <w:shd w:val="clear" w:color="auto" w:fill="auto"/>
            <w:vAlign w:val="center"/>
          </w:tcPr>
          <w:p w14:paraId="6916D1E6">
            <w:pPr>
              <w:jc w:val="center"/>
              <w:rPr>
                <w:rFonts w:ascii="宋体" w:hAnsi="宋体" w:eastAsia="宋体" w:cs="Times New Roman"/>
                <w:snapToGrid w:val="0"/>
                <w:color w:val="auto"/>
              </w:rPr>
            </w:pPr>
            <w:r>
              <w:rPr>
                <w:rFonts w:ascii="宋体" w:hAnsi="宋体" w:eastAsia="宋体" w:cs="Times New Roman"/>
                <w:snapToGrid w:val="0"/>
                <w:color w:val="auto"/>
              </w:rPr>
              <w:t>5m</w:t>
            </w:r>
          </w:p>
        </w:tc>
      </w:tr>
      <w:tr w14:paraId="5301D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1" w:type="pct"/>
            <w:shd w:val="clear" w:color="auto" w:fill="auto"/>
            <w:vAlign w:val="center"/>
          </w:tcPr>
          <w:p w14:paraId="4E639984">
            <w:pPr>
              <w:jc w:val="center"/>
              <w:rPr>
                <w:rFonts w:ascii="宋体" w:hAnsi="宋体" w:eastAsia="宋体" w:cs="Times New Roman"/>
                <w:color w:val="auto"/>
              </w:rPr>
            </w:pPr>
            <w:r>
              <w:rPr>
                <w:rFonts w:ascii="宋体" w:hAnsi="宋体" w:eastAsia="宋体" w:cs="Times New Roman"/>
                <w:color w:val="auto"/>
              </w:rPr>
              <w:t>4</w:t>
            </w:r>
          </w:p>
        </w:tc>
        <w:tc>
          <w:tcPr>
            <w:tcW w:w="771" w:type="pct"/>
            <w:shd w:val="clear" w:color="auto" w:fill="auto"/>
            <w:vAlign w:val="center"/>
          </w:tcPr>
          <w:p w14:paraId="5E052B67">
            <w:pPr>
              <w:jc w:val="center"/>
              <w:rPr>
                <w:rFonts w:ascii="宋体" w:hAnsi="宋体" w:eastAsia="宋体" w:cs="Times New Roman"/>
                <w:color w:val="auto"/>
              </w:rPr>
            </w:pPr>
            <w:r>
              <w:rPr>
                <w:rFonts w:ascii="宋体" w:hAnsi="宋体" w:eastAsia="宋体" w:cs="Times New Roman"/>
                <w:color w:val="auto"/>
              </w:rPr>
              <w:t>运输车辆</w:t>
            </w:r>
          </w:p>
        </w:tc>
        <w:tc>
          <w:tcPr>
            <w:tcW w:w="1215" w:type="pct"/>
            <w:shd w:val="clear" w:color="auto" w:fill="auto"/>
            <w:vAlign w:val="center"/>
          </w:tcPr>
          <w:p w14:paraId="075EEF14">
            <w:pPr>
              <w:jc w:val="center"/>
              <w:rPr>
                <w:rFonts w:ascii="宋体" w:hAnsi="宋体" w:eastAsia="宋体" w:cs="Times New Roman"/>
                <w:snapToGrid w:val="0"/>
                <w:color w:val="auto"/>
              </w:rPr>
            </w:pPr>
            <w:r>
              <w:rPr>
                <w:rFonts w:ascii="宋体" w:hAnsi="宋体" w:eastAsia="宋体" w:cs="Times New Roman"/>
                <w:snapToGrid w:val="0"/>
                <w:color w:val="auto"/>
              </w:rPr>
              <w:t>非连续稳态声源</w:t>
            </w:r>
          </w:p>
        </w:tc>
        <w:tc>
          <w:tcPr>
            <w:tcW w:w="1212" w:type="pct"/>
            <w:shd w:val="clear" w:color="auto" w:fill="auto"/>
            <w:vAlign w:val="center"/>
          </w:tcPr>
          <w:p w14:paraId="600691E1">
            <w:pPr>
              <w:jc w:val="center"/>
              <w:rPr>
                <w:rFonts w:ascii="宋体" w:hAnsi="宋体" w:eastAsia="宋体" w:cs="Times New Roman"/>
                <w:color w:val="auto"/>
              </w:rPr>
            </w:pPr>
            <w:r>
              <w:rPr>
                <w:rFonts w:ascii="宋体" w:hAnsi="宋体" w:eastAsia="宋体" w:cs="Times New Roman"/>
                <w:snapToGrid w:val="0"/>
                <w:color w:val="auto"/>
              </w:rPr>
              <w:t>82～90</w:t>
            </w:r>
          </w:p>
        </w:tc>
        <w:tc>
          <w:tcPr>
            <w:tcW w:w="1211" w:type="pct"/>
            <w:shd w:val="clear" w:color="auto" w:fill="auto"/>
            <w:vAlign w:val="center"/>
          </w:tcPr>
          <w:p w14:paraId="771746BE">
            <w:pPr>
              <w:jc w:val="center"/>
              <w:rPr>
                <w:rFonts w:ascii="宋体" w:hAnsi="宋体" w:eastAsia="宋体" w:cs="Times New Roman"/>
                <w:snapToGrid w:val="0"/>
                <w:color w:val="auto"/>
              </w:rPr>
            </w:pPr>
            <w:r>
              <w:rPr>
                <w:rFonts w:ascii="宋体" w:hAnsi="宋体" w:eastAsia="宋体" w:cs="Times New Roman"/>
                <w:snapToGrid w:val="0"/>
                <w:color w:val="auto"/>
              </w:rPr>
              <w:t>5m</w:t>
            </w:r>
          </w:p>
        </w:tc>
      </w:tr>
    </w:tbl>
    <w:p w14:paraId="08AF093D">
      <w:pPr>
        <w:pStyle w:val="276"/>
        <w:widowControl w:val="0"/>
        <w:ind w:firstLine="480"/>
        <w:jc w:val="both"/>
        <w:rPr>
          <w:color w:val="auto"/>
          <w:lang w:val="zh-CN"/>
        </w:rPr>
      </w:pPr>
      <w:r>
        <w:rPr>
          <w:color w:val="auto"/>
          <w:lang w:val="zh-CN"/>
        </w:rPr>
        <w:t>（4）固体废物</w:t>
      </w:r>
    </w:p>
    <w:p w14:paraId="3E021A77">
      <w:pPr>
        <w:pStyle w:val="276"/>
        <w:widowControl w:val="0"/>
        <w:ind w:firstLine="480"/>
        <w:jc w:val="both"/>
        <w:rPr>
          <w:color w:val="auto"/>
          <w:kern w:val="2"/>
        </w:rPr>
      </w:pPr>
      <w:r>
        <w:rPr>
          <w:color w:val="auto"/>
          <w:kern w:val="2"/>
        </w:rPr>
        <w:t>退役期固体废物主要为废旧设备、封井建筑垃圾、生活垃圾。</w:t>
      </w:r>
    </w:p>
    <w:p w14:paraId="71BE0EA2">
      <w:pPr>
        <w:pStyle w:val="276"/>
        <w:widowControl w:val="0"/>
        <w:ind w:firstLine="480"/>
        <w:jc w:val="both"/>
        <w:rPr>
          <w:color w:val="auto"/>
          <w:kern w:val="2"/>
        </w:rPr>
      </w:pPr>
      <w:r>
        <w:rPr>
          <w:rFonts w:hint="eastAsia"/>
          <w:color w:val="auto"/>
          <w:kern w:val="2"/>
        </w:rPr>
        <w:t>1）</w:t>
      </w:r>
      <w:r>
        <w:rPr>
          <w:color w:val="auto"/>
          <w:kern w:val="2"/>
        </w:rPr>
        <w:t>废旧设备</w:t>
      </w:r>
    </w:p>
    <w:p w14:paraId="23446107">
      <w:pPr>
        <w:pStyle w:val="276"/>
        <w:widowControl w:val="0"/>
        <w:ind w:firstLine="480"/>
        <w:jc w:val="both"/>
        <w:rPr>
          <w:color w:val="auto"/>
          <w:kern w:val="2"/>
        </w:rPr>
      </w:pPr>
      <w:r>
        <w:rPr>
          <w:color w:val="auto"/>
          <w:kern w:val="2"/>
        </w:rPr>
        <w:t>退役期退役管线两端封堵后直埋处理，对退役油井的井口设备进行拆除，拉油点设备拆除，包括抽油机、</w:t>
      </w:r>
      <w:r>
        <w:rPr>
          <w:color w:val="auto"/>
          <w:kern w:val="2"/>
          <w:lang w:bidi="en-US"/>
        </w:rPr>
        <w:t>配电箱、柱上变电站和拉油点储罐等设备</w:t>
      </w:r>
      <w:r>
        <w:rPr>
          <w:color w:val="auto"/>
          <w:kern w:val="2"/>
        </w:rPr>
        <w:t>，其中抽油机4台、配电箱4台、</w:t>
      </w:r>
      <w:r>
        <w:rPr>
          <w:color w:val="auto"/>
          <w:kern w:val="2"/>
          <w:lang w:bidi="en-US"/>
        </w:rPr>
        <w:t>柱上变电站4座</w:t>
      </w:r>
      <w:r>
        <w:rPr>
          <w:color w:val="auto"/>
          <w:kern w:val="2"/>
        </w:rPr>
        <w:t>，拉油点储罐4台。拆除的废旧设备</w:t>
      </w:r>
      <w:r>
        <w:rPr>
          <w:color w:val="auto"/>
          <w:kern w:val="21"/>
        </w:rPr>
        <w:t>全部</w:t>
      </w:r>
      <w:r>
        <w:rPr>
          <w:color w:val="auto"/>
          <w:kern w:val="2"/>
        </w:rPr>
        <w:t>回收至第十采油厂物资库。</w:t>
      </w:r>
    </w:p>
    <w:p w14:paraId="1A3334D3">
      <w:pPr>
        <w:pStyle w:val="276"/>
        <w:widowControl w:val="0"/>
        <w:ind w:firstLine="480"/>
        <w:jc w:val="both"/>
        <w:rPr>
          <w:rFonts w:hint="eastAsia"/>
          <w:color w:val="auto"/>
          <w:kern w:val="2"/>
        </w:rPr>
      </w:pPr>
      <w:r>
        <w:rPr>
          <w:rFonts w:hint="eastAsia"/>
          <w:color w:val="auto"/>
          <w:kern w:val="2"/>
        </w:rPr>
        <w:t>2）</w:t>
      </w:r>
      <w:r>
        <w:rPr>
          <w:color w:val="auto"/>
          <w:kern w:val="2"/>
        </w:rPr>
        <w:t>建筑垃圾</w:t>
      </w:r>
    </w:p>
    <w:p w14:paraId="114B0CE8">
      <w:pPr>
        <w:pStyle w:val="276"/>
        <w:widowControl w:val="0"/>
        <w:ind w:firstLine="480"/>
        <w:jc w:val="both"/>
        <w:rPr>
          <w:color w:val="auto"/>
          <w:kern w:val="2"/>
        </w:rPr>
      </w:pPr>
      <w:r>
        <w:rPr>
          <w:color w:val="auto"/>
          <w:kern w:val="2"/>
        </w:rPr>
        <w:t>封井建筑垃圾</w:t>
      </w:r>
    </w:p>
    <w:p w14:paraId="073ADF13">
      <w:pPr>
        <w:pStyle w:val="276"/>
        <w:widowControl w:val="0"/>
        <w:ind w:firstLine="480"/>
        <w:jc w:val="both"/>
        <w:rPr>
          <w:color w:val="auto"/>
          <w:kern w:val="2"/>
        </w:rPr>
      </w:pPr>
      <w:r>
        <w:rPr>
          <w:color w:val="auto"/>
          <w:kern w:val="2"/>
        </w:rPr>
        <w:t>本项目退役期井场地面设施拆除、场地清理过程会产生少量建筑垃圾，根据大庆油田已有生产经验，单井封井建筑垃圾产生量为0.2t，本项目共布设4口油井，故封井建筑垃圾产生量约为0.8t。封井建筑垃圾统一收集后拉运至</w:t>
      </w:r>
      <w:r>
        <w:rPr>
          <w:color w:val="auto"/>
        </w:rPr>
        <w:t>建筑垃圾调配场</w:t>
      </w:r>
      <w:r>
        <w:rPr>
          <w:color w:val="auto"/>
          <w:kern w:val="2"/>
        </w:rPr>
        <w:t>处置。</w:t>
      </w:r>
    </w:p>
    <w:p w14:paraId="788C979E">
      <w:pPr>
        <w:pStyle w:val="276"/>
        <w:widowControl w:val="0"/>
        <w:ind w:firstLine="480"/>
        <w:jc w:val="both"/>
        <w:rPr>
          <w:color w:val="auto"/>
          <w:kern w:val="2"/>
        </w:rPr>
      </w:pPr>
      <w:r>
        <w:rPr>
          <w:rFonts w:hint="eastAsia"/>
          <w:color w:val="auto"/>
          <w:kern w:val="2"/>
        </w:rPr>
        <w:t>3）</w:t>
      </w:r>
      <w:r>
        <w:rPr>
          <w:color w:val="auto"/>
          <w:kern w:val="2"/>
        </w:rPr>
        <w:t>生活垃圾</w:t>
      </w:r>
    </w:p>
    <w:p w14:paraId="44A17FAF">
      <w:pPr>
        <w:pStyle w:val="276"/>
        <w:widowControl w:val="0"/>
        <w:ind w:firstLine="480"/>
        <w:jc w:val="both"/>
        <w:rPr>
          <w:color w:val="auto"/>
          <w:kern w:val="2"/>
        </w:rPr>
      </w:pPr>
      <w:r>
        <w:rPr>
          <w:color w:val="auto"/>
          <w:kern w:val="2"/>
        </w:rPr>
        <w:t>本项目退役期施工人员20人，施工约30d，退役期每人产生生活垃圾0.5kg/d计，退役期生活垃圾产生量为0.3t。生活垃圾统一收集拉运至肇源县利民城市垃圾处理有限公司处理。</w:t>
      </w:r>
    </w:p>
    <w:p w14:paraId="02AC3D03">
      <w:pPr>
        <w:pStyle w:val="276"/>
        <w:widowControl w:val="0"/>
        <w:spacing w:line="440" w:lineRule="exact"/>
        <w:ind w:firstLine="0" w:firstLineChars="0"/>
        <w:jc w:val="center"/>
        <w:rPr>
          <w:color w:val="auto"/>
          <w:kern w:val="2"/>
        </w:rPr>
      </w:pPr>
      <w:r>
        <w:rPr>
          <w:color w:val="auto"/>
          <w:kern w:val="2"/>
        </w:rPr>
        <w:t>表3.12-11 本项目退役期固体废物产生量统计表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5"/>
        <w:gridCol w:w="1566"/>
        <w:gridCol w:w="1012"/>
        <w:gridCol w:w="1135"/>
        <w:gridCol w:w="5078"/>
      </w:tblGrid>
      <w:tr w14:paraId="5B92B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shd w:val="clear" w:color="auto" w:fill="auto"/>
            <w:vAlign w:val="center"/>
          </w:tcPr>
          <w:p w14:paraId="24AD46CD">
            <w:pPr>
              <w:adjustRightInd w:val="0"/>
              <w:snapToGrid w:val="0"/>
              <w:jc w:val="center"/>
              <w:rPr>
                <w:rFonts w:ascii="宋体" w:hAnsi="宋体" w:eastAsia="宋体" w:cs="Times New Roman"/>
                <w:color w:val="auto"/>
              </w:rPr>
            </w:pPr>
            <w:r>
              <w:rPr>
                <w:rFonts w:ascii="宋体" w:hAnsi="宋体" w:eastAsia="宋体" w:cs="Times New Roman"/>
                <w:color w:val="auto"/>
              </w:rPr>
              <w:t>序号</w:t>
            </w:r>
          </w:p>
        </w:tc>
        <w:tc>
          <w:tcPr>
            <w:tcW w:w="843" w:type="pct"/>
            <w:shd w:val="clear" w:color="auto" w:fill="auto"/>
            <w:vAlign w:val="center"/>
          </w:tcPr>
          <w:p w14:paraId="2681EE7C">
            <w:pPr>
              <w:adjustRightInd w:val="0"/>
              <w:snapToGrid w:val="0"/>
              <w:jc w:val="center"/>
              <w:rPr>
                <w:rFonts w:ascii="宋体" w:hAnsi="宋体" w:eastAsia="宋体" w:cs="Times New Roman"/>
                <w:color w:val="auto"/>
              </w:rPr>
            </w:pPr>
            <w:r>
              <w:rPr>
                <w:rFonts w:ascii="宋体" w:hAnsi="宋体" w:eastAsia="宋体" w:cs="Times New Roman"/>
                <w:color w:val="auto"/>
              </w:rPr>
              <w:t>污染物名称</w:t>
            </w:r>
          </w:p>
        </w:tc>
        <w:tc>
          <w:tcPr>
            <w:tcW w:w="545" w:type="pct"/>
            <w:shd w:val="clear" w:color="auto" w:fill="auto"/>
            <w:vAlign w:val="center"/>
          </w:tcPr>
          <w:p w14:paraId="61A6C484">
            <w:pPr>
              <w:adjustRightInd w:val="0"/>
              <w:snapToGrid w:val="0"/>
              <w:jc w:val="center"/>
              <w:rPr>
                <w:rFonts w:ascii="宋体" w:hAnsi="宋体" w:eastAsia="宋体" w:cs="Times New Roman"/>
                <w:color w:val="auto"/>
              </w:rPr>
            </w:pPr>
            <w:r>
              <w:rPr>
                <w:rFonts w:ascii="宋体" w:hAnsi="宋体" w:eastAsia="宋体" w:cs="Times New Roman"/>
                <w:color w:val="auto"/>
              </w:rPr>
              <w:t>产生量</w:t>
            </w:r>
          </w:p>
        </w:tc>
        <w:tc>
          <w:tcPr>
            <w:tcW w:w="611" w:type="pct"/>
            <w:shd w:val="clear" w:color="auto" w:fill="auto"/>
            <w:vAlign w:val="center"/>
          </w:tcPr>
          <w:p w14:paraId="55CDE201">
            <w:pPr>
              <w:adjustRightInd w:val="0"/>
              <w:snapToGrid w:val="0"/>
              <w:jc w:val="center"/>
              <w:rPr>
                <w:rFonts w:ascii="宋体" w:hAnsi="宋体" w:eastAsia="宋体" w:cs="Times New Roman"/>
                <w:color w:val="auto"/>
              </w:rPr>
            </w:pPr>
            <w:r>
              <w:rPr>
                <w:rFonts w:ascii="宋体" w:hAnsi="宋体" w:eastAsia="宋体" w:cs="Times New Roman"/>
                <w:color w:val="auto"/>
              </w:rPr>
              <w:t>废物类型</w:t>
            </w:r>
          </w:p>
        </w:tc>
        <w:tc>
          <w:tcPr>
            <w:tcW w:w="2734" w:type="pct"/>
            <w:shd w:val="clear" w:color="auto" w:fill="auto"/>
            <w:vAlign w:val="center"/>
          </w:tcPr>
          <w:p w14:paraId="56642956">
            <w:pPr>
              <w:adjustRightInd w:val="0"/>
              <w:snapToGrid w:val="0"/>
              <w:jc w:val="center"/>
              <w:rPr>
                <w:rFonts w:ascii="宋体" w:hAnsi="宋体" w:eastAsia="宋体" w:cs="Times New Roman"/>
                <w:color w:val="auto"/>
              </w:rPr>
            </w:pPr>
            <w:r>
              <w:rPr>
                <w:rFonts w:ascii="宋体" w:hAnsi="宋体" w:eastAsia="宋体" w:cs="Times New Roman"/>
                <w:color w:val="auto"/>
              </w:rPr>
              <w:t>处置去向</w:t>
            </w:r>
          </w:p>
        </w:tc>
      </w:tr>
      <w:tr w14:paraId="7C9AD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shd w:val="clear" w:color="auto" w:fill="auto"/>
            <w:vAlign w:val="center"/>
          </w:tcPr>
          <w:p w14:paraId="2621119E">
            <w:pPr>
              <w:adjustRightInd w:val="0"/>
              <w:snapToGrid w:val="0"/>
              <w:jc w:val="center"/>
              <w:rPr>
                <w:rFonts w:ascii="宋体" w:hAnsi="宋体" w:eastAsia="宋体" w:cs="Times New Roman"/>
                <w:color w:val="auto"/>
              </w:rPr>
            </w:pPr>
            <w:r>
              <w:rPr>
                <w:rFonts w:ascii="宋体" w:hAnsi="宋体" w:eastAsia="宋体" w:cs="Times New Roman"/>
                <w:color w:val="auto"/>
              </w:rPr>
              <w:t>1</w:t>
            </w:r>
          </w:p>
        </w:tc>
        <w:tc>
          <w:tcPr>
            <w:tcW w:w="843" w:type="pct"/>
            <w:shd w:val="clear" w:color="auto" w:fill="auto"/>
            <w:vAlign w:val="center"/>
          </w:tcPr>
          <w:p w14:paraId="5DADA793">
            <w:pPr>
              <w:adjustRightInd w:val="0"/>
              <w:snapToGrid w:val="0"/>
              <w:jc w:val="center"/>
              <w:rPr>
                <w:rFonts w:ascii="宋体" w:hAnsi="宋体" w:eastAsia="宋体" w:cs="Times New Roman"/>
                <w:color w:val="auto"/>
              </w:rPr>
            </w:pPr>
            <w:r>
              <w:rPr>
                <w:rFonts w:ascii="宋体" w:hAnsi="宋体" w:eastAsia="宋体" w:cs="Times New Roman"/>
                <w:color w:val="auto"/>
              </w:rPr>
              <w:t>废旧设备</w:t>
            </w:r>
          </w:p>
        </w:tc>
        <w:tc>
          <w:tcPr>
            <w:tcW w:w="545" w:type="pct"/>
            <w:shd w:val="clear" w:color="auto" w:fill="auto"/>
            <w:vAlign w:val="center"/>
          </w:tcPr>
          <w:p w14:paraId="6A028FB0">
            <w:pPr>
              <w:adjustRightInd w:val="0"/>
              <w:snapToGrid w:val="0"/>
              <w:jc w:val="center"/>
              <w:rPr>
                <w:rFonts w:ascii="宋体" w:hAnsi="宋体" w:eastAsia="宋体" w:cs="Times New Roman"/>
                <w:color w:val="auto"/>
              </w:rPr>
            </w:pPr>
            <w:r>
              <w:rPr>
                <w:rFonts w:ascii="宋体" w:hAnsi="宋体" w:eastAsia="宋体" w:cs="Times New Roman"/>
                <w:color w:val="auto"/>
              </w:rPr>
              <w:t>16台/套</w:t>
            </w:r>
          </w:p>
        </w:tc>
        <w:tc>
          <w:tcPr>
            <w:tcW w:w="611" w:type="pct"/>
            <w:shd w:val="clear" w:color="auto" w:fill="auto"/>
            <w:vAlign w:val="center"/>
          </w:tcPr>
          <w:p w14:paraId="7F4F323E">
            <w:pPr>
              <w:adjustRightInd w:val="0"/>
              <w:snapToGrid w:val="0"/>
              <w:jc w:val="center"/>
              <w:rPr>
                <w:rFonts w:ascii="宋体" w:hAnsi="宋体" w:eastAsia="宋体" w:cs="Times New Roman"/>
                <w:color w:val="auto"/>
              </w:rPr>
            </w:pPr>
            <w:r>
              <w:rPr>
                <w:rFonts w:ascii="宋体" w:hAnsi="宋体" w:eastAsia="宋体" w:cs="Times New Roman"/>
                <w:color w:val="auto"/>
              </w:rPr>
              <w:t>一般废物</w:t>
            </w:r>
          </w:p>
        </w:tc>
        <w:tc>
          <w:tcPr>
            <w:tcW w:w="2734" w:type="pct"/>
            <w:shd w:val="clear" w:color="auto" w:fill="auto"/>
            <w:vAlign w:val="center"/>
          </w:tcPr>
          <w:p w14:paraId="1C477687">
            <w:pPr>
              <w:adjustRightInd w:val="0"/>
              <w:snapToGrid w:val="0"/>
              <w:jc w:val="center"/>
              <w:rPr>
                <w:rFonts w:ascii="宋体" w:hAnsi="宋体" w:eastAsia="宋体" w:cs="Times New Roman"/>
                <w:color w:val="auto"/>
              </w:rPr>
            </w:pPr>
            <w:r>
              <w:rPr>
                <w:rFonts w:ascii="宋体" w:hAnsi="宋体" w:eastAsia="宋体" w:cs="Times New Roman"/>
                <w:color w:val="auto"/>
              </w:rPr>
              <w:t>全部回收至第十采油厂物资库</w:t>
            </w:r>
          </w:p>
        </w:tc>
      </w:tr>
      <w:tr w14:paraId="71A3A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shd w:val="clear" w:color="auto" w:fill="auto"/>
            <w:vAlign w:val="center"/>
          </w:tcPr>
          <w:p w14:paraId="5A7F5229">
            <w:pPr>
              <w:adjustRightInd w:val="0"/>
              <w:snapToGrid w:val="0"/>
              <w:jc w:val="center"/>
              <w:rPr>
                <w:rFonts w:ascii="宋体" w:hAnsi="宋体" w:eastAsia="宋体" w:cs="Times New Roman"/>
                <w:color w:val="auto"/>
              </w:rPr>
            </w:pPr>
            <w:r>
              <w:rPr>
                <w:rFonts w:ascii="宋体" w:hAnsi="宋体" w:eastAsia="宋体" w:cs="Times New Roman"/>
                <w:color w:val="auto"/>
              </w:rPr>
              <w:t>2</w:t>
            </w:r>
          </w:p>
        </w:tc>
        <w:tc>
          <w:tcPr>
            <w:tcW w:w="843" w:type="pct"/>
            <w:shd w:val="clear" w:color="auto" w:fill="auto"/>
            <w:vAlign w:val="center"/>
          </w:tcPr>
          <w:p w14:paraId="617FC223">
            <w:pPr>
              <w:adjustRightInd w:val="0"/>
              <w:snapToGrid w:val="0"/>
              <w:jc w:val="center"/>
              <w:rPr>
                <w:rFonts w:ascii="宋体" w:hAnsi="宋体" w:eastAsia="宋体" w:cs="Times New Roman"/>
                <w:color w:val="auto"/>
              </w:rPr>
            </w:pPr>
            <w:r>
              <w:rPr>
                <w:rFonts w:ascii="宋体" w:hAnsi="宋体" w:eastAsia="宋体" w:cs="Times New Roman"/>
                <w:color w:val="auto"/>
              </w:rPr>
              <w:t>封井建筑垃圾</w:t>
            </w:r>
          </w:p>
        </w:tc>
        <w:tc>
          <w:tcPr>
            <w:tcW w:w="545" w:type="pct"/>
            <w:shd w:val="clear" w:color="auto" w:fill="auto"/>
            <w:vAlign w:val="center"/>
          </w:tcPr>
          <w:p w14:paraId="7D47B159">
            <w:pPr>
              <w:adjustRightInd w:val="0"/>
              <w:snapToGrid w:val="0"/>
              <w:jc w:val="center"/>
              <w:rPr>
                <w:rFonts w:ascii="宋体" w:hAnsi="宋体" w:eastAsia="宋体" w:cs="Times New Roman"/>
                <w:color w:val="auto"/>
              </w:rPr>
            </w:pPr>
            <w:r>
              <w:rPr>
                <w:rFonts w:ascii="宋体" w:hAnsi="宋体" w:eastAsia="宋体" w:cs="Times New Roman"/>
                <w:color w:val="auto"/>
              </w:rPr>
              <w:t>0.8t</w:t>
            </w:r>
          </w:p>
        </w:tc>
        <w:tc>
          <w:tcPr>
            <w:tcW w:w="611" w:type="pct"/>
            <w:shd w:val="clear" w:color="auto" w:fill="auto"/>
            <w:vAlign w:val="center"/>
          </w:tcPr>
          <w:p w14:paraId="426B8E1B">
            <w:pPr>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2734" w:type="pct"/>
            <w:shd w:val="clear" w:color="auto" w:fill="auto"/>
            <w:vAlign w:val="center"/>
          </w:tcPr>
          <w:p w14:paraId="33377581">
            <w:pPr>
              <w:adjustRightInd w:val="0"/>
              <w:snapToGrid w:val="0"/>
              <w:jc w:val="center"/>
              <w:rPr>
                <w:rFonts w:ascii="宋体" w:hAnsi="宋体" w:eastAsia="宋体" w:cs="Times New Roman"/>
                <w:color w:val="auto"/>
              </w:rPr>
            </w:pPr>
            <w:r>
              <w:rPr>
                <w:rFonts w:ascii="宋体" w:hAnsi="宋体" w:eastAsia="宋体" w:cs="Times New Roman"/>
                <w:color w:val="auto"/>
              </w:rPr>
              <w:t>统一收集后拉运至建筑垃圾调配场处置</w:t>
            </w:r>
          </w:p>
        </w:tc>
      </w:tr>
      <w:tr w14:paraId="1143D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67" w:type="pct"/>
            <w:shd w:val="clear" w:color="auto" w:fill="auto"/>
            <w:vAlign w:val="center"/>
          </w:tcPr>
          <w:p w14:paraId="2EFA452D">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843" w:type="pct"/>
            <w:shd w:val="clear" w:color="auto" w:fill="auto"/>
            <w:vAlign w:val="center"/>
          </w:tcPr>
          <w:p w14:paraId="523CA54A">
            <w:pPr>
              <w:adjustRightInd w:val="0"/>
              <w:snapToGrid w:val="0"/>
              <w:jc w:val="center"/>
              <w:rPr>
                <w:rFonts w:ascii="宋体" w:hAnsi="宋体" w:eastAsia="宋体" w:cs="Times New Roman"/>
                <w:color w:val="auto"/>
              </w:rPr>
            </w:pPr>
            <w:r>
              <w:rPr>
                <w:rFonts w:ascii="宋体" w:hAnsi="宋体" w:eastAsia="宋体" w:cs="Times New Roman"/>
                <w:color w:val="auto"/>
              </w:rPr>
              <w:t>生活垃圾</w:t>
            </w:r>
          </w:p>
        </w:tc>
        <w:tc>
          <w:tcPr>
            <w:tcW w:w="545" w:type="pct"/>
            <w:shd w:val="clear" w:color="auto" w:fill="auto"/>
            <w:vAlign w:val="center"/>
          </w:tcPr>
          <w:p w14:paraId="7B9DEED5">
            <w:pPr>
              <w:adjustRightInd w:val="0"/>
              <w:snapToGrid w:val="0"/>
              <w:jc w:val="center"/>
              <w:rPr>
                <w:rFonts w:ascii="宋体" w:hAnsi="宋体" w:eastAsia="宋体" w:cs="Times New Roman"/>
                <w:color w:val="auto"/>
              </w:rPr>
            </w:pPr>
            <w:r>
              <w:rPr>
                <w:rFonts w:ascii="宋体" w:hAnsi="宋体" w:eastAsia="宋体" w:cs="Times New Roman"/>
                <w:color w:val="auto"/>
              </w:rPr>
              <w:t>0.3t</w:t>
            </w:r>
          </w:p>
        </w:tc>
        <w:tc>
          <w:tcPr>
            <w:tcW w:w="611" w:type="pct"/>
            <w:shd w:val="clear" w:color="auto" w:fill="auto"/>
            <w:vAlign w:val="center"/>
          </w:tcPr>
          <w:p w14:paraId="74E0513E">
            <w:pPr>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2734" w:type="pct"/>
            <w:shd w:val="clear" w:color="auto" w:fill="auto"/>
            <w:vAlign w:val="center"/>
          </w:tcPr>
          <w:p w14:paraId="5C99BF11">
            <w:pPr>
              <w:adjustRightInd w:val="0"/>
              <w:snapToGrid w:val="0"/>
              <w:jc w:val="center"/>
              <w:rPr>
                <w:rFonts w:ascii="宋体" w:hAnsi="宋体" w:eastAsia="宋体" w:cs="Times New Roman"/>
                <w:color w:val="auto"/>
              </w:rPr>
            </w:pPr>
            <w:r>
              <w:rPr>
                <w:rFonts w:ascii="宋体" w:hAnsi="宋体" w:eastAsia="宋体" w:cs="Times New Roman"/>
                <w:color w:val="auto"/>
              </w:rPr>
              <w:t>统一收集</w:t>
            </w:r>
            <w:r>
              <w:rPr>
                <w:rFonts w:ascii="宋体" w:hAnsi="宋体" w:eastAsia="宋体" w:cs="Times New Roman"/>
                <w:color w:val="auto"/>
                <w:kern w:val="21"/>
              </w:rPr>
              <w:t>拉运至肇源县利民城市垃圾处理有限公司处理</w:t>
            </w:r>
          </w:p>
        </w:tc>
      </w:tr>
    </w:tbl>
    <w:p w14:paraId="73E78911">
      <w:pPr>
        <w:pStyle w:val="276"/>
        <w:widowControl w:val="0"/>
        <w:ind w:firstLine="480"/>
        <w:jc w:val="both"/>
        <w:rPr>
          <w:color w:val="auto"/>
          <w:kern w:val="2"/>
          <w:szCs w:val="20"/>
        </w:rPr>
        <w:sectPr>
          <w:headerReference r:id="rId7" w:type="default"/>
          <w:pgSz w:w="11906" w:h="16838"/>
          <w:pgMar w:top="1418" w:right="1418" w:bottom="1418" w:left="1418" w:header="851" w:footer="992" w:gutter="0"/>
          <w:cols w:space="720" w:num="1"/>
          <w:docGrid w:type="lines" w:linePitch="312" w:charSpace="0"/>
        </w:sectPr>
      </w:pPr>
      <w:r>
        <w:rPr>
          <w:color w:val="auto"/>
          <w:kern w:val="2"/>
          <w:szCs w:val="20"/>
        </w:rPr>
        <w:t>本项目施工期污染源源强核算结果及相关参数汇总见表3.12-12～表3.12-15，</w:t>
      </w:r>
      <w:r>
        <w:rPr>
          <w:rFonts w:hint="eastAsia"/>
          <w:color w:val="auto"/>
          <w:kern w:val="2"/>
          <w:szCs w:val="20"/>
        </w:rPr>
        <w:t>运营期</w:t>
      </w:r>
      <w:r>
        <w:rPr>
          <w:color w:val="auto"/>
          <w:kern w:val="2"/>
          <w:szCs w:val="20"/>
        </w:rPr>
        <w:t>污染源源强核算结果及相关参数汇总见表3.12-16～表3.12-20，退役期污染源源强核算结果及相关参数汇总见表3.12-21～表3.12-23。</w:t>
      </w:r>
    </w:p>
    <w:p w14:paraId="14823FFF">
      <w:pPr>
        <w:pStyle w:val="276"/>
        <w:widowControl w:val="0"/>
        <w:spacing w:line="440" w:lineRule="exact"/>
        <w:ind w:firstLine="0" w:firstLineChars="0"/>
        <w:jc w:val="center"/>
        <w:rPr>
          <w:color w:val="auto"/>
        </w:rPr>
      </w:pPr>
      <w:r>
        <w:rPr>
          <w:color w:val="auto"/>
        </w:rPr>
        <w:t xml:space="preserve">表3.12-12 </w:t>
      </w:r>
      <w:r>
        <w:rPr>
          <w:color w:val="auto"/>
          <w:kern w:val="2"/>
        </w:rPr>
        <w:t>施工期</w:t>
      </w:r>
      <w:r>
        <w:rPr>
          <w:color w:val="auto"/>
        </w:rPr>
        <w:t>废气污染源源强核算结果及相关参数一览表</w:t>
      </w:r>
    </w:p>
    <w:tbl>
      <w:tblPr>
        <w:tblStyle w:val="81"/>
        <w:tblW w:w="139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7"/>
        <w:gridCol w:w="646"/>
        <w:gridCol w:w="993"/>
        <w:gridCol w:w="946"/>
        <w:gridCol w:w="915"/>
        <w:gridCol w:w="1049"/>
        <w:gridCol w:w="1184"/>
        <w:gridCol w:w="1142"/>
        <w:gridCol w:w="646"/>
        <w:gridCol w:w="1041"/>
        <w:gridCol w:w="708"/>
        <w:gridCol w:w="993"/>
        <w:gridCol w:w="1061"/>
        <w:gridCol w:w="1145"/>
        <w:gridCol w:w="876"/>
      </w:tblGrid>
      <w:tr w14:paraId="4C284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restart"/>
            <w:vAlign w:val="center"/>
          </w:tcPr>
          <w:p w14:paraId="63DDE5FD">
            <w:pPr>
              <w:adjustRightInd w:val="0"/>
              <w:spacing w:line="360" w:lineRule="exact"/>
              <w:jc w:val="center"/>
              <w:rPr>
                <w:rFonts w:ascii="宋体" w:hAnsi="宋体" w:eastAsia="宋体" w:cs="Times New Roman"/>
                <w:color w:val="auto"/>
              </w:rPr>
            </w:pPr>
            <w:r>
              <w:rPr>
                <w:rFonts w:ascii="宋体" w:hAnsi="宋体" w:eastAsia="宋体" w:cs="Times New Roman"/>
                <w:color w:val="auto"/>
              </w:rPr>
              <w:t>工序</w:t>
            </w:r>
          </w:p>
        </w:tc>
        <w:tc>
          <w:tcPr>
            <w:tcW w:w="646" w:type="dxa"/>
            <w:vMerge w:val="restart"/>
            <w:vAlign w:val="center"/>
          </w:tcPr>
          <w:p w14:paraId="52CCF845">
            <w:pPr>
              <w:adjustRightInd w:val="0"/>
              <w:spacing w:line="360" w:lineRule="exact"/>
              <w:jc w:val="center"/>
              <w:rPr>
                <w:rFonts w:ascii="宋体" w:hAnsi="宋体" w:eastAsia="宋体" w:cs="Times New Roman"/>
                <w:color w:val="auto"/>
              </w:rPr>
            </w:pPr>
            <w:r>
              <w:rPr>
                <w:rFonts w:ascii="宋体" w:hAnsi="宋体" w:eastAsia="宋体" w:cs="Times New Roman"/>
                <w:color w:val="auto"/>
              </w:rPr>
              <w:t>装置</w:t>
            </w:r>
          </w:p>
        </w:tc>
        <w:tc>
          <w:tcPr>
            <w:tcW w:w="993" w:type="dxa"/>
            <w:vMerge w:val="restart"/>
            <w:vAlign w:val="center"/>
          </w:tcPr>
          <w:p w14:paraId="1C5D5559">
            <w:pPr>
              <w:adjustRightInd w:val="0"/>
              <w:spacing w:line="360" w:lineRule="exact"/>
              <w:jc w:val="center"/>
              <w:rPr>
                <w:rFonts w:ascii="宋体" w:hAnsi="宋体" w:eastAsia="宋体" w:cs="Times New Roman"/>
                <w:color w:val="auto"/>
              </w:rPr>
            </w:pPr>
            <w:r>
              <w:rPr>
                <w:rFonts w:ascii="宋体" w:hAnsi="宋体" w:eastAsia="宋体" w:cs="Times New Roman"/>
                <w:color w:val="auto"/>
              </w:rPr>
              <w:t>污染源</w:t>
            </w:r>
          </w:p>
        </w:tc>
        <w:tc>
          <w:tcPr>
            <w:tcW w:w="946" w:type="dxa"/>
            <w:vMerge w:val="restart"/>
            <w:vAlign w:val="center"/>
          </w:tcPr>
          <w:p w14:paraId="439FE87C">
            <w:pPr>
              <w:adjustRightInd w:val="0"/>
              <w:spacing w:line="360" w:lineRule="exact"/>
              <w:jc w:val="center"/>
              <w:rPr>
                <w:rFonts w:ascii="宋体" w:hAnsi="宋体" w:eastAsia="宋体" w:cs="Times New Roman"/>
                <w:color w:val="auto"/>
              </w:rPr>
            </w:pPr>
            <w:r>
              <w:rPr>
                <w:rFonts w:ascii="宋体" w:hAnsi="宋体" w:eastAsia="宋体" w:cs="Times New Roman"/>
                <w:color w:val="auto"/>
              </w:rPr>
              <w:t>污染物</w:t>
            </w:r>
          </w:p>
        </w:tc>
        <w:tc>
          <w:tcPr>
            <w:tcW w:w="4290" w:type="dxa"/>
            <w:gridSpan w:val="4"/>
            <w:vAlign w:val="center"/>
          </w:tcPr>
          <w:p w14:paraId="68A6BCE1">
            <w:pPr>
              <w:adjustRightInd w:val="0"/>
              <w:spacing w:line="360" w:lineRule="exact"/>
              <w:jc w:val="center"/>
              <w:rPr>
                <w:rFonts w:ascii="宋体" w:hAnsi="宋体" w:eastAsia="宋体" w:cs="Times New Roman"/>
                <w:color w:val="auto"/>
              </w:rPr>
            </w:pPr>
            <w:r>
              <w:rPr>
                <w:rFonts w:ascii="宋体" w:hAnsi="宋体" w:eastAsia="宋体" w:cs="Times New Roman"/>
                <w:color w:val="auto"/>
              </w:rPr>
              <w:t>污染物产生</w:t>
            </w:r>
          </w:p>
        </w:tc>
        <w:tc>
          <w:tcPr>
            <w:tcW w:w="1687" w:type="dxa"/>
            <w:gridSpan w:val="2"/>
            <w:vAlign w:val="center"/>
          </w:tcPr>
          <w:p w14:paraId="5FA8E9CA">
            <w:pPr>
              <w:adjustRightInd w:val="0"/>
              <w:spacing w:line="360" w:lineRule="exact"/>
              <w:jc w:val="center"/>
              <w:rPr>
                <w:rFonts w:ascii="宋体" w:hAnsi="宋体" w:eastAsia="宋体" w:cs="Times New Roman"/>
                <w:color w:val="auto"/>
              </w:rPr>
            </w:pPr>
            <w:r>
              <w:rPr>
                <w:rFonts w:ascii="宋体" w:hAnsi="宋体" w:eastAsia="宋体" w:cs="Times New Roman"/>
                <w:color w:val="auto"/>
              </w:rPr>
              <w:t>治理措施</w:t>
            </w:r>
          </w:p>
        </w:tc>
        <w:tc>
          <w:tcPr>
            <w:tcW w:w="3907" w:type="dxa"/>
            <w:gridSpan w:val="4"/>
            <w:vAlign w:val="center"/>
          </w:tcPr>
          <w:p w14:paraId="6E1DD35B">
            <w:pPr>
              <w:adjustRightInd w:val="0"/>
              <w:spacing w:line="360" w:lineRule="exact"/>
              <w:jc w:val="center"/>
              <w:rPr>
                <w:rFonts w:ascii="宋体" w:hAnsi="宋体" w:eastAsia="宋体" w:cs="Times New Roman"/>
                <w:color w:val="auto"/>
              </w:rPr>
            </w:pPr>
            <w:r>
              <w:rPr>
                <w:rFonts w:ascii="宋体" w:hAnsi="宋体" w:eastAsia="宋体" w:cs="Times New Roman"/>
                <w:color w:val="auto"/>
              </w:rPr>
              <w:t>污染物排放</w:t>
            </w:r>
          </w:p>
        </w:tc>
        <w:tc>
          <w:tcPr>
            <w:tcW w:w="876" w:type="dxa"/>
            <w:vMerge w:val="restart"/>
            <w:vAlign w:val="center"/>
          </w:tcPr>
          <w:p w14:paraId="09423642">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排放时间</w:t>
            </w:r>
          </w:p>
        </w:tc>
      </w:tr>
      <w:tr w14:paraId="5BD32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continue"/>
            <w:vAlign w:val="center"/>
          </w:tcPr>
          <w:p w14:paraId="3F40E1AC">
            <w:pPr>
              <w:adjustRightInd w:val="0"/>
              <w:spacing w:line="360" w:lineRule="exact"/>
              <w:jc w:val="center"/>
              <w:rPr>
                <w:rFonts w:ascii="宋体" w:hAnsi="宋体" w:eastAsia="宋体" w:cs="Times New Roman"/>
                <w:color w:val="auto"/>
              </w:rPr>
            </w:pPr>
          </w:p>
        </w:tc>
        <w:tc>
          <w:tcPr>
            <w:tcW w:w="646" w:type="dxa"/>
            <w:vMerge w:val="continue"/>
            <w:vAlign w:val="center"/>
          </w:tcPr>
          <w:p w14:paraId="371E60C5">
            <w:pPr>
              <w:adjustRightInd w:val="0"/>
              <w:spacing w:line="360" w:lineRule="exact"/>
              <w:jc w:val="center"/>
              <w:rPr>
                <w:rFonts w:ascii="宋体" w:hAnsi="宋体" w:eastAsia="宋体" w:cs="Times New Roman"/>
                <w:color w:val="auto"/>
              </w:rPr>
            </w:pPr>
          </w:p>
        </w:tc>
        <w:tc>
          <w:tcPr>
            <w:tcW w:w="993" w:type="dxa"/>
            <w:vMerge w:val="continue"/>
            <w:vAlign w:val="center"/>
          </w:tcPr>
          <w:p w14:paraId="237344E1">
            <w:pPr>
              <w:adjustRightInd w:val="0"/>
              <w:spacing w:line="360" w:lineRule="exact"/>
              <w:jc w:val="center"/>
              <w:rPr>
                <w:rFonts w:ascii="宋体" w:hAnsi="宋体" w:eastAsia="宋体" w:cs="Times New Roman"/>
                <w:color w:val="auto"/>
              </w:rPr>
            </w:pPr>
          </w:p>
        </w:tc>
        <w:tc>
          <w:tcPr>
            <w:tcW w:w="946" w:type="dxa"/>
            <w:vMerge w:val="continue"/>
            <w:vAlign w:val="center"/>
          </w:tcPr>
          <w:p w14:paraId="18262104">
            <w:pPr>
              <w:adjustRightInd w:val="0"/>
              <w:spacing w:line="360" w:lineRule="exact"/>
              <w:jc w:val="center"/>
              <w:rPr>
                <w:rFonts w:ascii="宋体" w:hAnsi="宋体" w:eastAsia="宋体" w:cs="Times New Roman"/>
                <w:color w:val="auto"/>
              </w:rPr>
            </w:pPr>
          </w:p>
        </w:tc>
        <w:tc>
          <w:tcPr>
            <w:tcW w:w="915" w:type="dxa"/>
            <w:vAlign w:val="center"/>
          </w:tcPr>
          <w:p w14:paraId="09CD4F8D">
            <w:pPr>
              <w:adjustRightInd w:val="0"/>
              <w:spacing w:line="360" w:lineRule="exact"/>
              <w:jc w:val="center"/>
              <w:rPr>
                <w:rFonts w:ascii="宋体" w:hAnsi="宋体" w:eastAsia="宋体" w:cs="Times New Roman"/>
                <w:color w:val="auto"/>
              </w:rPr>
            </w:pPr>
            <w:r>
              <w:rPr>
                <w:rFonts w:ascii="宋体" w:hAnsi="宋体" w:eastAsia="宋体" w:cs="Times New Roman"/>
                <w:color w:val="auto"/>
              </w:rPr>
              <w:t>核算方法</w:t>
            </w:r>
          </w:p>
        </w:tc>
        <w:tc>
          <w:tcPr>
            <w:tcW w:w="1049" w:type="dxa"/>
            <w:vAlign w:val="center"/>
          </w:tcPr>
          <w:p w14:paraId="2471976F">
            <w:pPr>
              <w:adjustRightInd w:val="0"/>
              <w:spacing w:line="360" w:lineRule="exact"/>
              <w:jc w:val="center"/>
              <w:rPr>
                <w:rFonts w:ascii="宋体" w:hAnsi="宋体" w:eastAsia="宋体" w:cs="Times New Roman"/>
                <w:color w:val="auto"/>
              </w:rPr>
            </w:pPr>
            <w:r>
              <w:rPr>
                <w:rFonts w:ascii="宋体" w:hAnsi="宋体" w:eastAsia="宋体" w:cs="Times New Roman"/>
                <w:color w:val="auto"/>
              </w:rPr>
              <w:t>废气产生量m</w:t>
            </w:r>
            <w:r>
              <w:rPr>
                <w:rFonts w:ascii="宋体" w:hAnsi="宋体" w:eastAsia="宋体" w:cs="Times New Roman"/>
                <w:color w:val="auto"/>
                <w:vertAlign w:val="superscript"/>
              </w:rPr>
              <w:t>3</w:t>
            </w:r>
          </w:p>
        </w:tc>
        <w:tc>
          <w:tcPr>
            <w:tcW w:w="1184" w:type="dxa"/>
            <w:vAlign w:val="center"/>
          </w:tcPr>
          <w:p w14:paraId="34CB548B">
            <w:pPr>
              <w:adjustRightInd w:val="0"/>
              <w:spacing w:line="360" w:lineRule="exact"/>
              <w:jc w:val="center"/>
              <w:rPr>
                <w:rFonts w:ascii="宋体" w:hAnsi="宋体" w:eastAsia="宋体" w:cs="Times New Roman"/>
                <w:color w:val="auto"/>
              </w:rPr>
            </w:pPr>
            <w:r>
              <w:rPr>
                <w:rFonts w:ascii="宋体" w:hAnsi="宋体" w:eastAsia="宋体" w:cs="Times New Roman"/>
                <w:color w:val="auto"/>
              </w:rPr>
              <w:t>产生</w:t>
            </w:r>
          </w:p>
          <w:p w14:paraId="77771C74">
            <w:pPr>
              <w:adjustRightInd w:val="0"/>
              <w:spacing w:line="360" w:lineRule="exact"/>
              <w:jc w:val="center"/>
              <w:rPr>
                <w:rFonts w:ascii="宋体" w:hAnsi="宋体" w:eastAsia="宋体" w:cs="Times New Roman"/>
                <w:color w:val="auto"/>
              </w:rPr>
            </w:pPr>
            <w:r>
              <w:rPr>
                <w:rFonts w:ascii="宋体" w:hAnsi="宋体" w:eastAsia="宋体" w:cs="Times New Roman"/>
                <w:color w:val="auto"/>
              </w:rPr>
              <w:t>浓度mg/m</w:t>
            </w:r>
            <w:r>
              <w:rPr>
                <w:rFonts w:ascii="宋体" w:hAnsi="宋体" w:eastAsia="宋体" w:cs="Times New Roman"/>
                <w:color w:val="auto"/>
                <w:vertAlign w:val="superscript"/>
              </w:rPr>
              <w:t>3</w:t>
            </w:r>
          </w:p>
        </w:tc>
        <w:tc>
          <w:tcPr>
            <w:tcW w:w="1142" w:type="dxa"/>
            <w:vAlign w:val="center"/>
          </w:tcPr>
          <w:p w14:paraId="2F8B84AE">
            <w:pPr>
              <w:adjustRightInd w:val="0"/>
              <w:spacing w:line="360" w:lineRule="exact"/>
              <w:jc w:val="center"/>
              <w:rPr>
                <w:rFonts w:ascii="宋体" w:hAnsi="宋体" w:eastAsia="宋体" w:cs="Times New Roman"/>
                <w:color w:val="auto"/>
              </w:rPr>
            </w:pPr>
            <w:r>
              <w:rPr>
                <w:rFonts w:ascii="宋体" w:hAnsi="宋体" w:eastAsia="宋体" w:cs="Times New Roman"/>
                <w:color w:val="auto"/>
              </w:rPr>
              <w:t>产生量t</w:t>
            </w:r>
          </w:p>
        </w:tc>
        <w:tc>
          <w:tcPr>
            <w:tcW w:w="646" w:type="dxa"/>
            <w:vAlign w:val="center"/>
          </w:tcPr>
          <w:p w14:paraId="166DC87A">
            <w:pPr>
              <w:adjustRightInd w:val="0"/>
              <w:spacing w:line="360" w:lineRule="exact"/>
              <w:jc w:val="center"/>
              <w:rPr>
                <w:rFonts w:ascii="宋体" w:hAnsi="宋体" w:eastAsia="宋体" w:cs="Times New Roman"/>
                <w:color w:val="auto"/>
              </w:rPr>
            </w:pPr>
            <w:r>
              <w:rPr>
                <w:rFonts w:ascii="宋体" w:hAnsi="宋体" w:eastAsia="宋体" w:cs="Times New Roman"/>
                <w:color w:val="auto"/>
              </w:rPr>
              <w:t>工艺</w:t>
            </w:r>
          </w:p>
        </w:tc>
        <w:tc>
          <w:tcPr>
            <w:tcW w:w="1041" w:type="dxa"/>
            <w:vAlign w:val="center"/>
          </w:tcPr>
          <w:p w14:paraId="0CB0ABD1">
            <w:pPr>
              <w:adjustRightInd w:val="0"/>
              <w:spacing w:line="360" w:lineRule="exact"/>
              <w:jc w:val="center"/>
              <w:rPr>
                <w:rFonts w:ascii="宋体" w:hAnsi="宋体" w:eastAsia="宋体" w:cs="Times New Roman"/>
                <w:color w:val="auto"/>
              </w:rPr>
            </w:pPr>
            <w:r>
              <w:rPr>
                <w:rFonts w:ascii="宋体" w:hAnsi="宋体" w:eastAsia="宋体" w:cs="Times New Roman"/>
                <w:color w:val="auto"/>
              </w:rPr>
              <w:t>效率%</w:t>
            </w:r>
          </w:p>
        </w:tc>
        <w:tc>
          <w:tcPr>
            <w:tcW w:w="708" w:type="dxa"/>
            <w:vAlign w:val="center"/>
          </w:tcPr>
          <w:p w14:paraId="70BC2CF1">
            <w:pPr>
              <w:adjustRightInd w:val="0"/>
              <w:spacing w:line="360" w:lineRule="exact"/>
              <w:jc w:val="center"/>
              <w:rPr>
                <w:rFonts w:ascii="宋体" w:hAnsi="宋体" w:eastAsia="宋体" w:cs="Times New Roman"/>
                <w:color w:val="auto"/>
              </w:rPr>
            </w:pPr>
            <w:r>
              <w:rPr>
                <w:rFonts w:ascii="宋体" w:hAnsi="宋体" w:eastAsia="宋体" w:cs="Times New Roman"/>
                <w:color w:val="auto"/>
              </w:rPr>
              <w:t>核算方法</w:t>
            </w:r>
          </w:p>
        </w:tc>
        <w:tc>
          <w:tcPr>
            <w:tcW w:w="993" w:type="dxa"/>
            <w:vAlign w:val="center"/>
          </w:tcPr>
          <w:p w14:paraId="7E150658">
            <w:pPr>
              <w:adjustRightInd w:val="0"/>
              <w:spacing w:line="360" w:lineRule="exact"/>
              <w:jc w:val="center"/>
              <w:rPr>
                <w:rFonts w:ascii="宋体" w:hAnsi="宋体" w:eastAsia="宋体" w:cs="Times New Roman"/>
                <w:color w:val="auto"/>
                <w:vertAlign w:val="superscript"/>
              </w:rPr>
            </w:pPr>
            <w:r>
              <w:rPr>
                <w:rFonts w:ascii="宋体" w:hAnsi="宋体" w:eastAsia="宋体" w:cs="Times New Roman"/>
                <w:color w:val="auto"/>
              </w:rPr>
              <w:t>废气排放量m</w:t>
            </w:r>
            <w:r>
              <w:rPr>
                <w:rFonts w:ascii="宋体" w:hAnsi="宋体" w:eastAsia="宋体" w:cs="Times New Roman"/>
                <w:color w:val="auto"/>
                <w:vertAlign w:val="superscript"/>
              </w:rPr>
              <w:t>3</w:t>
            </w:r>
          </w:p>
        </w:tc>
        <w:tc>
          <w:tcPr>
            <w:tcW w:w="1061" w:type="dxa"/>
            <w:vAlign w:val="center"/>
          </w:tcPr>
          <w:p w14:paraId="07A15449">
            <w:pPr>
              <w:adjustRightInd w:val="0"/>
              <w:spacing w:line="360" w:lineRule="exact"/>
              <w:jc w:val="center"/>
              <w:rPr>
                <w:rFonts w:ascii="宋体" w:hAnsi="宋体" w:eastAsia="宋体" w:cs="Times New Roman"/>
                <w:color w:val="auto"/>
              </w:rPr>
            </w:pPr>
            <w:r>
              <w:rPr>
                <w:rFonts w:ascii="宋体" w:hAnsi="宋体" w:eastAsia="宋体" w:cs="Times New Roman"/>
                <w:color w:val="auto"/>
              </w:rPr>
              <w:t>排放浓度mg/m</w:t>
            </w:r>
            <w:r>
              <w:rPr>
                <w:rFonts w:ascii="宋体" w:hAnsi="宋体" w:eastAsia="宋体" w:cs="Times New Roman"/>
                <w:color w:val="auto"/>
                <w:vertAlign w:val="superscript"/>
              </w:rPr>
              <w:t>3</w:t>
            </w:r>
          </w:p>
        </w:tc>
        <w:tc>
          <w:tcPr>
            <w:tcW w:w="1145" w:type="dxa"/>
            <w:vAlign w:val="center"/>
          </w:tcPr>
          <w:p w14:paraId="532B20CD">
            <w:pPr>
              <w:adjustRightInd w:val="0"/>
              <w:spacing w:line="360" w:lineRule="exact"/>
              <w:jc w:val="center"/>
              <w:rPr>
                <w:rFonts w:ascii="宋体" w:hAnsi="宋体" w:eastAsia="宋体" w:cs="Times New Roman"/>
                <w:color w:val="auto"/>
              </w:rPr>
            </w:pPr>
            <w:r>
              <w:rPr>
                <w:rFonts w:ascii="宋体" w:hAnsi="宋体" w:eastAsia="宋体" w:cs="Times New Roman"/>
                <w:color w:val="auto"/>
              </w:rPr>
              <w:t>排放量</w:t>
            </w:r>
          </w:p>
          <w:p w14:paraId="38963FBA">
            <w:pPr>
              <w:adjustRightInd w:val="0"/>
              <w:spacing w:line="360" w:lineRule="exact"/>
              <w:jc w:val="center"/>
              <w:rPr>
                <w:rFonts w:ascii="宋体" w:hAnsi="宋体" w:eastAsia="宋体" w:cs="Times New Roman"/>
                <w:color w:val="auto"/>
              </w:rPr>
            </w:pPr>
            <w:r>
              <w:rPr>
                <w:rFonts w:ascii="宋体" w:hAnsi="宋体" w:eastAsia="宋体" w:cs="Times New Roman"/>
                <w:color w:val="auto"/>
              </w:rPr>
              <w:t>t</w:t>
            </w:r>
          </w:p>
        </w:tc>
        <w:tc>
          <w:tcPr>
            <w:tcW w:w="876" w:type="dxa"/>
            <w:vMerge w:val="continue"/>
            <w:vAlign w:val="center"/>
          </w:tcPr>
          <w:p w14:paraId="77178195">
            <w:pPr>
              <w:keepNext/>
              <w:adjustRightInd w:val="0"/>
              <w:spacing w:line="360" w:lineRule="exact"/>
              <w:jc w:val="center"/>
              <w:rPr>
                <w:rFonts w:ascii="宋体" w:hAnsi="宋体" w:eastAsia="宋体" w:cs="Times New Roman"/>
                <w:color w:val="auto"/>
              </w:rPr>
            </w:pPr>
          </w:p>
        </w:tc>
      </w:tr>
      <w:tr w14:paraId="616A4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restart"/>
            <w:vAlign w:val="center"/>
          </w:tcPr>
          <w:p w14:paraId="4EB6CB75">
            <w:pPr>
              <w:adjustRightInd w:val="0"/>
              <w:spacing w:line="360" w:lineRule="exact"/>
              <w:jc w:val="center"/>
              <w:rPr>
                <w:rFonts w:ascii="宋体" w:hAnsi="宋体" w:eastAsia="宋体" w:cs="Times New Roman"/>
                <w:color w:val="auto"/>
              </w:rPr>
            </w:pPr>
            <w:r>
              <w:rPr>
                <w:rFonts w:ascii="宋体" w:hAnsi="宋体" w:eastAsia="宋体" w:cs="Times New Roman"/>
                <w:color w:val="auto"/>
              </w:rPr>
              <w:t>钻井井场、管线施工</w:t>
            </w:r>
          </w:p>
        </w:tc>
        <w:tc>
          <w:tcPr>
            <w:tcW w:w="646" w:type="dxa"/>
            <w:vAlign w:val="center"/>
          </w:tcPr>
          <w:p w14:paraId="55A8290F">
            <w:pPr>
              <w:adjustRightInd w:val="0"/>
              <w:spacing w:line="360" w:lineRule="exact"/>
              <w:jc w:val="center"/>
              <w:rPr>
                <w:rFonts w:ascii="宋体" w:hAnsi="宋体" w:eastAsia="宋体" w:cs="Times New Roman"/>
                <w:color w:val="auto"/>
              </w:rPr>
            </w:pPr>
            <w:r>
              <w:rPr>
                <w:rFonts w:ascii="宋体" w:hAnsi="宋体" w:eastAsia="宋体" w:cs="Times New Roman"/>
                <w:color w:val="auto"/>
              </w:rPr>
              <w:t>场地</w:t>
            </w:r>
          </w:p>
        </w:tc>
        <w:tc>
          <w:tcPr>
            <w:tcW w:w="993" w:type="dxa"/>
            <w:vAlign w:val="center"/>
          </w:tcPr>
          <w:p w14:paraId="2F3C1152">
            <w:pPr>
              <w:adjustRightInd w:val="0"/>
              <w:spacing w:line="360" w:lineRule="exact"/>
              <w:jc w:val="center"/>
              <w:rPr>
                <w:rFonts w:ascii="宋体" w:hAnsi="宋体" w:eastAsia="宋体" w:cs="Times New Roman"/>
                <w:color w:val="auto"/>
              </w:rPr>
            </w:pPr>
            <w:r>
              <w:rPr>
                <w:rFonts w:ascii="宋体" w:hAnsi="宋体" w:eastAsia="宋体" w:cs="Times New Roman"/>
                <w:color w:val="auto"/>
              </w:rPr>
              <w:t>施工扬尘</w:t>
            </w:r>
          </w:p>
        </w:tc>
        <w:tc>
          <w:tcPr>
            <w:tcW w:w="946" w:type="dxa"/>
            <w:vAlign w:val="center"/>
          </w:tcPr>
          <w:p w14:paraId="2E714DB5">
            <w:pPr>
              <w:adjustRightInd w:val="0"/>
              <w:spacing w:line="360" w:lineRule="exact"/>
              <w:jc w:val="center"/>
              <w:rPr>
                <w:rFonts w:ascii="宋体" w:hAnsi="宋体" w:eastAsia="宋体" w:cs="Times New Roman"/>
                <w:color w:val="auto"/>
              </w:rPr>
            </w:pPr>
            <w:r>
              <w:rPr>
                <w:rFonts w:ascii="宋体" w:hAnsi="宋体" w:eastAsia="宋体" w:cs="Times New Roman"/>
                <w:color w:val="auto"/>
              </w:rPr>
              <w:t>颗粒物</w:t>
            </w:r>
          </w:p>
        </w:tc>
        <w:tc>
          <w:tcPr>
            <w:tcW w:w="915" w:type="dxa"/>
            <w:vAlign w:val="center"/>
          </w:tcPr>
          <w:p w14:paraId="4BBEE734">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49" w:type="dxa"/>
            <w:vAlign w:val="center"/>
          </w:tcPr>
          <w:p w14:paraId="75B8968C">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84" w:type="dxa"/>
            <w:vAlign w:val="center"/>
          </w:tcPr>
          <w:p w14:paraId="45745ED6">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2" w:type="dxa"/>
            <w:vAlign w:val="center"/>
          </w:tcPr>
          <w:p w14:paraId="1C6719D3">
            <w:pPr>
              <w:adjustRightInd w:val="0"/>
              <w:spacing w:line="360" w:lineRule="exact"/>
              <w:jc w:val="center"/>
              <w:rPr>
                <w:rFonts w:ascii="宋体" w:hAnsi="宋体" w:eastAsia="宋体" w:cs="Times New Roman"/>
                <w:color w:val="auto"/>
              </w:rPr>
            </w:pPr>
            <w:r>
              <w:rPr>
                <w:rFonts w:ascii="宋体" w:hAnsi="宋体" w:eastAsia="宋体" w:cs="Times New Roman"/>
                <w:color w:val="auto"/>
              </w:rPr>
              <w:t>5.72</w:t>
            </w:r>
          </w:p>
        </w:tc>
        <w:tc>
          <w:tcPr>
            <w:tcW w:w="1687" w:type="dxa"/>
            <w:gridSpan w:val="2"/>
            <w:vAlign w:val="center"/>
          </w:tcPr>
          <w:p w14:paraId="3A568493">
            <w:pPr>
              <w:adjustRightInd w:val="0"/>
              <w:spacing w:line="360" w:lineRule="exact"/>
              <w:jc w:val="center"/>
              <w:rPr>
                <w:rFonts w:ascii="宋体" w:hAnsi="宋体" w:eastAsia="宋体" w:cs="Times New Roman"/>
                <w:color w:val="auto"/>
              </w:rPr>
            </w:pPr>
            <w:r>
              <w:rPr>
                <w:rFonts w:ascii="宋体" w:hAnsi="宋体" w:eastAsia="宋体" w:cs="Times New Roman"/>
                <w:color w:val="auto"/>
              </w:rPr>
              <w:t>洒水抑尘</w:t>
            </w:r>
          </w:p>
        </w:tc>
        <w:tc>
          <w:tcPr>
            <w:tcW w:w="708" w:type="dxa"/>
            <w:vAlign w:val="center"/>
          </w:tcPr>
          <w:p w14:paraId="2428DBD6">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993" w:type="dxa"/>
            <w:vAlign w:val="center"/>
          </w:tcPr>
          <w:p w14:paraId="4E8671D0">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61" w:type="dxa"/>
            <w:vAlign w:val="center"/>
          </w:tcPr>
          <w:p w14:paraId="16C926EF">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5" w:type="dxa"/>
            <w:vAlign w:val="center"/>
          </w:tcPr>
          <w:p w14:paraId="3DE767A8">
            <w:pPr>
              <w:adjustRightInd w:val="0"/>
              <w:spacing w:line="360" w:lineRule="exact"/>
              <w:jc w:val="center"/>
              <w:rPr>
                <w:rFonts w:ascii="宋体" w:hAnsi="宋体" w:eastAsia="宋体" w:cs="Times New Roman"/>
                <w:color w:val="auto"/>
              </w:rPr>
            </w:pPr>
            <w:r>
              <w:rPr>
                <w:rFonts w:ascii="宋体" w:hAnsi="宋体" w:eastAsia="宋体" w:cs="Times New Roman"/>
                <w:color w:val="auto"/>
              </w:rPr>
              <w:t>5.72</w:t>
            </w:r>
          </w:p>
        </w:tc>
        <w:tc>
          <w:tcPr>
            <w:tcW w:w="876" w:type="dxa"/>
            <w:vAlign w:val="center"/>
          </w:tcPr>
          <w:p w14:paraId="718060C9">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施工</w:t>
            </w:r>
          </w:p>
          <w:p w14:paraId="650DE72B">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期</w:t>
            </w:r>
          </w:p>
        </w:tc>
      </w:tr>
      <w:tr w14:paraId="7115B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continue"/>
            <w:vAlign w:val="center"/>
          </w:tcPr>
          <w:p w14:paraId="4580FE77">
            <w:pPr>
              <w:adjustRightInd w:val="0"/>
              <w:spacing w:line="360" w:lineRule="exact"/>
              <w:jc w:val="center"/>
              <w:rPr>
                <w:rFonts w:ascii="宋体" w:hAnsi="宋体" w:eastAsia="宋体" w:cs="Times New Roman"/>
                <w:color w:val="auto"/>
              </w:rPr>
            </w:pPr>
          </w:p>
        </w:tc>
        <w:tc>
          <w:tcPr>
            <w:tcW w:w="646" w:type="dxa"/>
            <w:vMerge w:val="restart"/>
            <w:vAlign w:val="center"/>
          </w:tcPr>
          <w:p w14:paraId="00AF0269">
            <w:pPr>
              <w:adjustRightInd w:val="0"/>
              <w:spacing w:line="360" w:lineRule="exact"/>
              <w:jc w:val="center"/>
              <w:rPr>
                <w:rFonts w:ascii="宋体" w:hAnsi="宋体" w:eastAsia="宋体" w:cs="Times New Roman"/>
                <w:color w:val="auto"/>
              </w:rPr>
            </w:pPr>
            <w:r>
              <w:rPr>
                <w:rFonts w:ascii="宋体" w:hAnsi="宋体" w:eastAsia="宋体" w:cs="Times New Roman"/>
                <w:color w:val="auto"/>
              </w:rPr>
              <w:t>柴油机</w:t>
            </w:r>
          </w:p>
        </w:tc>
        <w:tc>
          <w:tcPr>
            <w:tcW w:w="993" w:type="dxa"/>
            <w:vMerge w:val="restart"/>
            <w:vAlign w:val="center"/>
          </w:tcPr>
          <w:p w14:paraId="54FC2E31">
            <w:pPr>
              <w:adjustRightInd w:val="0"/>
              <w:spacing w:line="360" w:lineRule="exact"/>
              <w:jc w:val="center"/>
              <w:rPr>
                <w:rFonts w:ascii="宋体" w:hAnsi="宋体" w:eastAsia="宋体" w:cs="Times New Roman"/>
                <w:color w:val="auto"/>
              </w:rPr>
            </w:pPr>
            <w:r>
              <w:rPr>
                <w:rFonts w:ascii="宋体" w:hAnsi="宋体" w:eastAsia="宋体" w:cs="Times New Roman"/>
                <w:color w:val="auto"/>
              </w:rPr>
              <w:t>井场柴油机烟气</w:t>
            </w:r>
          </w:p>
        </w:tc>
        <w:tc>
          <w:tcPr>
            <w:tcW w:w="946" w:type="dxa"/>
            <w:vAlign w:val="center"/>
          </w:tcPr>
          <w:p w14:paraId="6984E28B">
            <w:pPr>
              <w:autoSpaceDE w:val="0"/>
              <w:autoSpaceDN w:val="0"/>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915" w:type="dxa"/>
            <w:vMerge w:val="restart"/>
            <w:vAlign w:val="center"/>
          </w:tcPr>
          <w:p w14:paraId="29F3E483">
            <w:pPr>
              <w:adjustRightInd w:val="0"/>
              <w:spacing w:line="360" w:lineRule="exact"/>
              <w:jc w:val="center"/>
              <w:rPr>
                <w:rFonts w:ascii="宋体" w:hAnsi="宋体" w:eastAsia="宋体" w:cs="Times New Roman"/>
                <w:color w:val="auto"/>
              </w:rPr>
            </w:pPr>
            <w:r>
              <w:rPr>
                <w:rFonts w:ascii="宋体" w:hAnsi="宋体" w:eastAsia="宋体" w:cs="Times New Roman"/>
                <w:color w:val="auto"/>
              </w:rPr>
              <w:t>产污系数法</w:t>
            </w:r>
          </w:p>
        </w:tc>
        <w:tc>
          <w:tcPr>
            <w:tcW w:w="1049" w:type="dxa"/>
            <w:vMerge w:val="restart"/>
            <w:vAlign w:val="center"/>
          </w:tcPr>
          <w:p w14:paraId="0C922C4A">
            <w:pPr>
              <w:adjustRightInd w:val="0"/>
              <w:spacing w:line="360" w:lineRule="exact"/>
              <w:jc w:val="center"/>
              <w:rPr>
                <w:rFonts w:ascii="宋体" w:hAnsi="宋体" w:eastAsia="宋体" w:cs="Times New Roman"/>
                <w:color w:val="auto"/>
              </w:rPr>
            </w:pPr>
            <w:r>
              <w:rPr>
                <w:rFonts w:ascii="宋体" w:hAnsi="宋体" w:eastAsia="宋体" w:cs="Times New Roman"/>
                <w:color w:val="auto"/>
              </w:rPr>
              <w:t>399.4万</w:t>
            </w:r>
          </w:p>
        </w:tc>
        <w:tc>
          <w:tcPr>
            <w:tcW w:w="1184" w:type="dxa"/>
            <w:vAlign w:val="center"/>
          </w:tcPr>
          <w:p w14:paraId="5EB9DD4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2" w:type="dxa"/>
            <w:vAlign w:val="center"/>
          </w:tcPr>
          <w:p w14:paraId="1B6B2186">
            <w:pPr>
              <w:spacing w:line="360" w:lineRule="exact"/>
              <w:jc w:val="center"/>
              <w:rPr>
                <w:rFonts w:ascii="宋体" w:hAnsi="宋体" w:eastAsia="宋体" w:cs="Times New Roman"/>
                <w:color w:val="auto"/>
              </w:rPr>
            </w:pPr>
            <w:r>
              <w:rPr>
                <w:rFonts w:ascii="宋体" w:hAnsi="宋体" w:eastAsia="宋体" w:cs="Times New Roman"/>
                <w:color w:val="auto"/>
              </w:rPr>
              <w:t>0.75</w:t>
            </w:r>
          </w:p>
        </w:tc>
        <w:tc>
          <w:tcPr>
            <w:tcW w:w="646" w:type="dxa"/>
            <w:vMerge w:val="restart"/>
            <w:vAlign w:val="center"/>
          </w:tcPr>
          <w:p w14:paraId="77F1C9A6">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41" w:type="dxa"/>
            <w:vMerge w:val="restart"/>
            <w:vAlign w:val="center"/>
          </w:tcPr>
          <w:p w14:paraId="11D1D972">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708" w:type="dxa"/>
            <w:vMerge w:val="restart"/>
            <w:vAlign w:val="center"/>
          </w:tcPr>
          <w:p w14:paraId="3A8FB2DF">
            <w:pPr>
              <w:adjustRightInd w:val="0"/>
              <w:spacing w:line="360" w:lineRule="exact"/>
              <w:jc w:val="center"/>
              <w:rPr>
                <w:rFonts w:ascii="宋体" w:hAnsi="宋体" w:eastAsia="宋体" w:cs="Times New Roman"/>
                <w:color w:val="auto"/>
              </w:rPr>
            </w:pPr>
            <w:r>
              <w:rPr>
                <w:rFonts w:ascii="宋体" w:hAnsi="宋体" w:eastAsia="宋体" w:cs="Times New Roman"/>
                <w:color w:val="auto"/>
              </w:rPr>
              <w:t>排污系数法</w:t>
            </w:r>
          </w:p>
        </w:tc>
        <w:tc>
          <w:tcPr>
            <w:tcW w:w="993" w:type="dxa"/>
            <w:vMerge w:val="restart"/>
            <w:vAlign w:val="center"/>
          </w:tcPr>
          <w:p w14:paraId="35CDE14A">
            <w:pPr>
              <w:adjustRightInd w:val="0"/>
              <w:spacing w:line="360" w:lineRule="exact"/>
              <w:jc w:val="center"/>
              <w:rPr>
                <w:rFonts w:ascii="宋体" w:hAnsi="宋体" w:eastAsia="宋体" w:cs="Times New Roman"/>
                <w:color w:val="auto"/>
              </w:rPr>
            </w:pPr>
            <w:r>
              <w:rPr>
                <w:rFonts w:ascii="宋体" w:hAnsi="宋体" w:eastAsia="宋体" w:cs="Times New Roman"/>
                <w:color w:val="auto"/>
              </w:rPr>
              <w:t>399.4万</w:t>
            </w:r>
          </w:p>
        </w:tc>
        <w:tc>
          <w:tcPr>
            <w:tcW w:w="1061" w:type="dxa"/>
            <w:vAlign w:val="center"/>
          </w:tcPr>
          <w:p w14:paraId="3648AA4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5" w:type="dxa"/>
            <w:vAlign w:val="center"/>
          </w:tcPr>
          <w:p w14:paraId="1CB929D5">
            <w:pPr>
              <w:spacing w:line="360" w:lineRule="exact"/>
              <w:jc w:val="center"/>
              <w:rPr>
                <w:rFonts w:ascii="宋体" w:hAnsi="宋体" w:eastAsia="宋体" w:cs="Times New Roman"/>
                <w:color w:val="auto"/>
              </w:rPr>
            </w:pPr>
            <w:r>
              <w:rPr>
                <w:rFonts w:ascii="宋体" w:hAnsi="宋体" w:eastAsia="宋体" w:cs="Times New Roman"/>
                <w:color w:val="auto"/>
              </w:rPr>
              <w:t>0.75</w:t>
            </w:r>
          </w:p>
        </w:tc>
        <w:tc>
          <w:tcPr>
            <w:tcW w:w="876" w:type="dxa"/>
            <w:vMerge w:val="restart"/>
            <w:vAlign w:val="center"/>
          </w:tcPr>
          <w:p w14:paraId="06868129">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钻井期</w:t>
            </w:r>
          </w:p>
        </w:tc>
      </w:tr>
      <w:tr w14:paraId="5F33F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continue"/>
            <w:vAlign w:val="center"/>
          </w:tcPr>
          <w:p w14:paraId="6A48DEC2">
            <w:pPr>
              <w:adjustRightInd w:val="0"/>
              <w:spacing w:line="360" w:lineRule="exact"/>
              <w:jc w:val="center"/>
              <w:rPr>
                <w:rFonts w:ascii="宋体" w:hAnsi="宋体" w:eastAsia="宋体" w:cs="Times New Roman"/>
                <w:color w:val="auto"/>
              </w:rPr>
            </w:pPr>
          </w:p>
        </w:tc>
        <w:tc>
          <w:tcPr>
            <w:tcW w:w="646" w:type="dxa"/>
            <w:vMerge w:val="continue"/>
            <w:vAlign w:val="center"/>
          </w:tcPr>
          <w:p w14:paraId="08969FA8">
            <w:pPr>
              <w:adjustRightInd w:val="0"/>
              <w:spacing w:line="360" w:lineRule="exact"/>
              <w:jc w:val="center"/>
              <w:rPr>
                <w:rFonts w:ascii="宋体" w:hAnsi="宋体" w:eastAsia="宋体" w:cs="Times New Roman"/>
                <w:color w:val="auto"/>
              </w:rPr>
            </w:pPr>
          </w:p>
        </w:tc>
        <w:tc>
          <w:tcPr>
            <w:tcW w:w="993" w:type="dxa"/>
            <w:vMerge w:val="continue"/>
            <w:vAlign w:val="center"/>
          </w:tcPr>
          <w:p w14:paraId="1577A815">
            <w:pPr>
              <w:adjustRightInd w:val="0"/>
              <w:spacing w:line="360" w:lineRule="exact"/>
              <w:jc w:val="center"/>
              <w:rPr>
                <w:rFonts w:ascii="宋体" w:hAnsi="宋体" w:eastAsia="宋体" w:cs="Times New Roman"/>
                <w:color w:val="auto"/>
              </w:rPr>
            </w:pPr>
          </w:p>
        </w:tc>
        <w:tc>
          <w:tcPr>
            <w:tcW w:w="946" w:type="dxa"/>
            <w:vAlign w:val="center"/>
          </w:tcPr>
          <w:p w14:paraId="2A77DC03">
            <w:pPr>
              <w:adjustRightInd w:val="0"/>
              <w:spacing w:line="360" w:lineRule="exact"/>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x</w:t>
            </w:r>
          </w:p>
        </w:tc>
        <w:tc>
          <w:tcPr>
            <w:tcW w:w="915" w:type="dxa"/>
            <w:vMerge w:val="continue"/>
            <w:vAlign w:val="center"/>
          </w:tcPr>
          <w:p w14:paraId="53402346">
            <w:pPr>
              <w:adjustRightInd w:val="0"/>
              <w:spacing w:line="360" w:lineRule="exact"/>
              <w:jc w:val="center"/>
              <w:rPr>
                <w:rFonts w:ascii="宋体" w:hAnsi="宋体" w:eastAsia="宋体" w:cs="Times New Roman"/>
                <w:color w:val="auto"/>
              </w:rPr>
            </w:pPr>
          </w:p>
        </w:tc>
        <w:tc>
          <w:tcPr>
            <w:tcW w:w="1049" w:type="dxa"/>
            <w:vMerge w:val="continue"/>
            <w:vAlign w:val="center"/>
          </w:tcPr>
          <w:p w14:paraId="5E961982">
            <w:pPr>
              <w:adjustRightInd w:val="0"/>
              <w:spacing w:line="360" w:lineRule="exact"/>
              <w:jc w:val="center"/>
              <w:rPr>
                <w:rFonts w:ascii="宋体" w:hAnsi="宋体" w:eastAsia="宋体" w:cs="Times New Roman"/>
                <w:color w:val="auto"/>
              </w:rPr>
            </w:pPr>
          </w:p>
        </w:tc>
        <w:tc>
          <w:tcPr>
            <w:tcW w:w="1184" w:type="dxa"/>
            <w:vAlign w:val="center"/>
          </w:tcPr>
          <w:p w14:paraId="3F5D6B5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2" w:type="dxa"/>
            <w:vAlign w:val="center"/>
          </w:tcPr>
          <w:p w14:paraId="7DEBBDA5">
            <w:pPr>
              <w:spacing w:line="360" w:lineRule="exact"/>
              <w:jc w:val="center"/>
              <w:rPr>
                <w:rFonts w:ascii="宋体" w:hAnsi="宋体" w:eastAsia="宋体" w:cs="Times New Roman"/>
                <w:color w:val="auto"/>
              </w:rPr>
            </w:pPr>
            <w:r>
              <w:rPr>
                <w:rFonts w:ascii="宋体" w:hAnsi="宋体" w:eastAsia="宋体" w:cs="Times New Roman"/>
                <w:color w:val="auto"/>
              </w:rPr>
              <w:t>0.97</w:t>
            </w:r>
          </w:p>
        </w:tc>
        <w:tc>
          <w:tcPr>
            <w:tcW w:w="646" w:type="dxa"/>
            <w:vMerge w:val="continue"/>
            <w:vAlign w:val="center"/>
          </w:tcPr>
          <w:p w14:paraId="57D7695D">
            <w:pPr>
              <w:adjustRightInd w:val="0"/>
              <w:spacing w:line="360" w:lineRule="exact"/>
              <w:jc w:val="center"/>
              <w:rPr>
                <w:rFonts w:ascii="宋体" w:hAnsi="宋体" w:eastAsia="宋体" w:cs="Times New Roman"/>
                <w:color w:val="auto"/>
              </w:rPr>
            </w:pPr>
          </w:p>
        </w:tc>
        <w:tc>
          <w:tcPr>
            <w:tcW w:w="1041" w:type="dxa"/>
            <w:vMerge w:val="continue"/>
            <w:vAlign w:val="center"/>
          </w:tcPr>
          <w:p w14:paraId="7DF1E987">
            <w:pPr>
              <w:adjustRightInd w:val="0"/>
              <w:spacing w:line="360" w:lineRule="exact"/>
              <w:jc w:val="center"/>
              <w:rPr>
                <w:rFonts w:ascii="宋体" w:hAnsi="宋体" w:eastAsia="宋体" w:cs="Times New Roman"/>
                <w:color w:val="auto"/>
              </w:rPr>
            </w:pPr>
          </w:p>
        </w:tc>
        <w:tc>
          <w:tcPr>
            <w:tcW w:w="708" w:type="dxa"/>
            <w:vMerge w:val="continue"/>
            <w:vAlign w:val="center"/>
          </w:tcPr>
          <w:p w14:paraId="4498CA97">
            <w:pPr>
              <w:adjustRightInd w:val="0"/>
              <w:spacing w:line="360" w:lineRule="exact"/>
              <w:jc w:val="center"/>
              <w:rPr>
                <w:rFonts w:ascii="宋体" w:hAnsi="宋体" w:eastAsia="宋体" w:cs="Times New Roman"/>
                <w:color w:val="auto"/>
              </w:rPr>
            </w:pPr>
          </w:p>
        </w:tc>
        <w:tc>
          <w:tcPr>
            <w:tcW w:w="993" w:type="dxa"/>
            <w:vMerge w:val="continue"/>
            <w:vAlign w:val="center"/>
          </w:tcPr>
          <w:p w14:paraId="34A0E816">
            <w:pPr>
              <w:adjustRightInd w:val="0"/>
              <w:spacing w:line="360" w:lineRule="exact"/>
              <w:jc w:val="center"/>
              <w:rPr>
                <w:rFonts w:ascii="宋体" w:hAnsi="宋体" w:eastAsia="宋体" w:cs="Times New Roman"/>
                <w:color w:val="auto"/>
              </w:rPr>
            </w:pPr>
          </w:p>
        </w:tc>
        <w:tc>
          <w:tcPr>
            <w:tcW w:w="1061" w:type="dxa"/>
            <w:vAlign w:val="center"/>
          </w:tcPr>
          <w:p w14:paraId="1BF456A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5" w:type="dxa"/>
            <w:vAlign w:val="center"/>
          </w:tcPr>
          <w:p w14:paraId="07AE1E04">
            <w:pPr>
              <w:spacing w:line="360" w:lineRule="exact"/>
              <w:jc w:val="center"/>
              <w:rPr>
                <w:rFonts w:ascii="宋体" w:hAnsi="宋体" w:eastAsia="宋体" w:cs="Times New Roman"/>
                <w:color w:val="auto"/>
              </w:rPr>
            </w:pPr>
            <w:r>
              <w:rPr>
                <w:rFonts w:ascii="宋体" w:hAnsi="宋体" w:eastAsia="宋体" w:cs="Times New Roman"/>
                <w:color w:val="auto"/>
              </w:rPr>
              <w:t>0.97</w:t>
            </w:r>
          </w:p>
        </w:tc>
        <w:tc>
          <w:tcPr>
            <w:tcW w:w="876" w:type="dxa"/>
            <w:vMerge w:val="continue"/>
            <w:vAlign w:val="center"/>
          </w:tcPr>
          <w:p w14:paraId="3DC239E6">
            <w:pPr>
              <w:keepNext/>
              <w:adjustRightInd w:val="0"/>
              <w:spacing w:line="360" w:lineRule="exact"/>
              <w:jc w:val="center"/>
              <w:rPr>
                <w:rFonts w:ascii="宋体" w:hAnsi="宋体" w:eastAsia="宋体" w:cs="Times New Roman"/>
                <w:color w:val="auto"/>
              </w:rPr>
            </w:pPr>
          </w:p>
        </w:tc>
      </w:tr>
      <w:tr w14:paraId="2904E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continue"/>
            <w:vAlign w:val="center"/>
          </w:tcPr>
          <w:p w14:paraId="680EB792">
            <w:pPr>
              <w:adjustRightInd w:val="0"/>
              <w:spacing w:line="360" w:lineRule="exact"/>
              <w:jc w:val="center"/>
              <w:rPr>
                <w:rFonts w:ascii="宋体" w:hAnsi="宋体" w:eastAsia="宋体" w:cs="Times New Roman"/>
                <w:color w:val="auto"/>
              </w:rPr>
            </w:pPr>
          </w:p>
        </w:tc>
        <w:tc>
          <w:tcPr>
            <w:tcW w:w="646" w:type="dxa"/>
            <w:vMerge w:val="continue"/>
            <w:vAlign w:val="center"/>
          </w:tcPr>
          <w:p w14:paraId="17A54D1C">
            <w:pPr>
              <w:adjustRightInd w:val="0"/>
              <w:spacing w:line="360" w:lineRule="exact"/>
              <w:jc w:val="center"/>
              <w:rPr>
                <w:rFonts w:ascii="宋体" w:hAnsi="宋体" w:eastAsia="宋体" w:cs="Times New Roman"/>
                <w:color w:val="auto"/>
              </w:rPr>
            </w:pPr>
          </w:p>
        </w:tc>
        <w:tc>
          <w:tcPr>
            <w:tcW w:w="993" w:type="dxa"/>
            <w:vMerge w:val="continue"/>
            <w:vAlign w:val="center"/>
          </w:tcPr>
          <w:p w14:paraId="3B8BE252">
            <w:pPr>
              <w:adjustRightInd w:val="0"/>
              <w:spacing w:line="360" w:lineRule="exact"/>
              <w:jc w:val="center"/>
              <w:rPr>
                <w:rFonts w:ascii="宋体" w:hAnsi="宋体" w:eastAsia="宋体" w:cs="Times New Roman"/>
                <w:color w:val="auto"/>
              </w:rPr>
            </w:pPr>
          </w:p>
        </w:tc>
        <w:tc>
          <w:tcPr>
            <w:tcW w:w="946" w:type="dxa"/>
            <w:vAlign w:val="center"/>
          </w:tcPr>
          <w:p w14:paraId="007631A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烟尘</w:t>
            </w:r>
          </w:p>
        </w:tc>
        <w:tc>
          <w:tcPr>
            <w:tcW w:w="915" w:type="dxa"/>
            <w:vMerge w:val="continue"/>
            <w:vAlign w:val="center"/>
          </w:tcPr>
          <w:p w14:paraId="515B2FDA">
            <w:pPr>
              <w:adjustRightInd w:val="0"/>
              <w:spacing w:line="360" w:lineRule="exact"/>
              <w:jc w:val="center"/>
              <w:rPr>
                <w:rFonts w:ascii="宋体" w:hAnsi="宋体" w:eastAsia="宋体" w:cs="Times New Roman"/>
                <w:color w:val="auto"/>
              </w:rPr>
            </w:pPr>
          </w:p>
        </w:tc>
        <w:tc>
          <w:tcPr>
            <w:tcW w:w="1049" w:type="dxa"/>
            <w:vMerge w:val="continue"/>
            <w:vAlign w:val="center"/>
          </w:tcPr>
          <w:p w14:paraId="32479EC8">
            <w:pPr>
              <w:adjustRightInd w:val="0"/>
              <w:spacing w:line="360" w:lineRule="exact"/>
              <w:jc w:val="center"/>
              <w:rPr>
                <w:rFonts w:ascii="宋体" w:hAnsi="宋体" w:eastAsia="宋体" w:cs="Times New Roman"/>
                <w:color w:val="auto"/>
              </w:rPr>
            </w:pPr>
          </w:p>
        </w:tc>
        <w:tc>
          <w:tcPr>
            <w:tcW w:w="1184" w:type="dxa"/>
            <w:vAlign w:val="center"/>
          </w:tcPr>
          <w:p w14:paraId="00A322C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2" w:type="dxa"/>
            <w:vAlign w:val="center"/>
          </w:tcPr>
          <w:p w14:paraId="0D799751">
            <w:pPr>
              <w:spacing w:line="360" w:lineRule="exact"/>
              <w:jc w:val="center"/>
              <w:rPr>
                <w:rFonts w:ascii="宋体" w:hAnsi="宋体" w:eastAsia="宋体" w:cs="Times New Roman"/>
                <w:color w:val="auto"/>
              </w:rPr>
            </w:pPr>
            <w:r>
              <w:rPr>
                <w:rFonts w:ascii="宋体" w:hAnsi="宋体" w:eastAsia="宋体" w:cs="Times New Roman"/>
                <w:color w:val="auto"/>
              </w:rPr>
              <w:t>0.1</w:t>
            </w:r>
          </w:p>
        </w:tc>
        <w:tc>
          <w:tcPr>
            <w:tcW w:w="646" w:type="dxa"/>
            <w:vMerge w:val="continue"/>
            <w:vAlign w:val="center"/>
          </w:tcPr>
          <w:p w14:paraId="0CAEB74D">
            <w:pPr>
              <w:adjustRightInd w:val="0"/>
              <w:spacing w:line="360" w:lineRule="exact"/>
              <w:jc w:val="center"/>
              <w:rPr>
                <w:rFonts w:ascii="宋体" w:hAnsi="宋体" w:eastAsia="宋体" w:cs="Times New Roman"/>
                <w:color w:val="auto"/>
              </w:rPr>
            </w:pPr>
          </w:p>
        </w:tc>
        <w:tc>
          <w:tcPr>
            <w:tcW w:w="1041" w:type="dxa"/>
            <w:vMerge w:val="continue"/>
            <w:vAlign w:val="center"/>
          </w:tcPr>
          <w:p w14:paraId="25BABEC8">
            <w:pPr>
              <w:adjustRightInd w:val="0"/>
              <w:spacing w:line="360" w:lineRule="exact"/>
              <w:jc w:val="center"/>
              <w:rPr>
                <w:rFonts w:ascii="宋体" w:hAnsi="宋体" w:eastAsia="宋体" w:cs="Times New Roman"/>
                <w:color w:val="auto"/>
              </w:rPr>
            </w:pPr>
          </w:p>
        </w:tc>
        <w:tc>
          <w:tcPr>
            <w:tcW w:w="708" w:type="dxa"/>
            <w:vMerge w:val="continue"/>
            <w:vAlign w:val="center"/>
          </w:tcPr>
          <w:p w14:paraId="0835CA86">
            <w:pPr>
              <w:adjustRightInd w:val="0"/>
              <w:spacing w:line="360" w:lineRule="exact"/>
              <w:jc w:val="center"/>
              <w:rPr>
                <w:rFonts w:ascii="宋体" w:hAnsi="宋体" w:eastAsia="宋体" w:cs="Times New Roman"/>
                <w:color w:val="auto"/>
              </w:rPr>
            </w:pPr>
          </w:p>
        </w:tc>
        <w:tc>
          <w:tcPr>
            <w:tcW w:w="993" w:type="dxa"/>
            <w:vMerge w:val="continue"/>
            <w:vAlign w:val="center"/>
          </w:tcPr>
          <w:p w14:paraId="12A739EE">
            <w:pPr>
              <w:adjustRightInd w:val="0"/>
              <w:spacing w:line="360" w:lineRule="exact"/>
              <w:jc w:val="center"/>
              <w:rPr>
                <w:rFonts w:ascii="宋体" w:hAnsi="宋体" w:eastAsia="宋体" w:cs="Times New Roman"/>
                <w:color w:val="auto"/>
              </w:rPr>
            </w:pPr>
          </w:p>
        </w:tc>
        <w:tc>
          <w:tcPr>
            <w:tcW w:w="1061" w:type="dxa"/>
            <w:vAlign w:val="center"/>
          </w:tcPr>
          <w:p w14:paraId="346626F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5" w:type="dxa"/>
            <w:vAlign w:val="center"/>
          </w:tcPr>
          <w:p w14:paraId="4DF24044">
            <w:pPr>
              <w:spacing w:line="360" w:lineRule="exact"/>
              <w:jc w:val="center"/>
              <w:rPr>
                <w:rFonts w:ascii="宋体" w:hAnsi="宋体" w:eastAsia="宋体" w:cs="Times New Roman"/>
                <w:color w:val="auto"/>
              </w:rPr>
            </w:pPr>
            <w:r>
              <w:rPr>
                <w:rFonts w:ascii="宋体" w:hAnsi="宋体" w:eastAsia="宋体" w:cs="Times New Roman"/>
                <w:color w:val="auto"/>
              </w:rPr>
              <w:t>0.1</w:t>
            </w:r>
          </w:p>
        </w:tc>
        <w:tc>
          <w:tcPr>
            <w:tcW w:w="876" w:type="dxa"/>
            <w:vMerge w:val="continue"/>
            <w:vAlign w:val="center"/>
          </w:tcPr>
          <w:p w14:paraId="61984110">
            <w:pPr>
              <w:keepNext/>
              <w:adjustRightInd w:val="0"/>
              <w:spacing w:line="360" w:lineRule="exact"/>
              <w:jc w:val="center"/>
              <w:rPr>
                <w:rFonts w:ascii="宋体" w:hAnsi="宋体" w:eastAsia="宋体" w:cs="Times New Roman"/>
                <w:color w:val="auto"/>
              </w:rPr>
            </w:pPr>
          </w:p>
        </w:tc>
      </w:tr>
      <w:tr w14:paraId="1035E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continue"/>
            <w:vAlign w:val="center"/>
          </w:tcPr>
          <w:p w14:paraId="3C5ACFC7">
            <w:pPr>
              <w:adjustRightInd w:val="0"/>
              <w:spacing w:line="360" w:lineRule="exact"/>
              <w:jc w:val="center"/>
              <w:rPr>
                <w:rFonts w:ascii="宋体" w:hAnsi="宋体" w:eastAsia="宋体" w:cs="Times New Roman"/>
                <w:color w:val="auto"/>
              </w:rPr>
            </w:pPr>
          </w:p>
        </w:tc>
        <w:tc>
          <w:tcPr>
            <w:tcW w:w="646" w:type="dxa"/>
            <w:vMerge w:val="continue"/>
            <w:vAlign w:val="center"/>
          </w:tcPr>
          <w:p w14:paraId="02E1DB9D">
            <w:pPr>
              <w:adjustRightInd w:val="0"/>
              <w:spacing w:line="360" w:lineRule="exact"/>
              <w:jc w:val="center"/>
              <w:rPr>
                <w:rFonts w:ascii="宋体" w:hAnsi="宋体" w:eastAsia="宋体" w:cs="Times New Roman"/>
                <w:color w:val="auto"/>
              </w:rPr>
            </w:pPr>
          </w:p>
        </w:tc>
        <w:tc>
          <w:tcPr>
            <w:tcW w:w="993" w:type="dxa"/>
            <w:vMerge w:val="continue"/>
            <w:vAlign w:val="center"/>
          </w:tcPr>
          <w:p w14:paraId="2DB2D31A">
            <w:pPr>
              <w:adjustRightInd w:val="0"/>
              <w:spacing w:line="360" w:lineRule="exact"/>
              <w:jc w:val="center"/>
              <w:rPr>
                <w:rFonts w:ascii="宋体" w:hAnsi="宋体" w:eastAsia="宋体" w:cs="Times New Roman"/>
                <w:color w:val="auto"/>
              </w:rPr>
            </w:pPr>
          </w:p>
        </w:tc>
        <w:tc>
          <w:tcPr>
            <w:tcW w:w="946" w:type="dxa"/>
            <w:vAlign w:val="center"/>
          </w:tcPr>
          <w:p w14:paraId="405967B6">
            <w:pPr>
              <w:autoSpaceDE w:val="0"/>
              <w:autoSpaceDN w:val="0"/>
              <w:spacing w:line="360" w:lineRule="exact"/>
              <w:jc w:val="center"/>
              <w:rPr>
                <w:rFonts w:ascii="宋体" w:hAnsi="宋体" w:eastAsia="宋体" w:cs="Times New Roman"/>
                <w:color w:val="auto"/>
              </w:rPr>
            </w:pPr>
            <w:r>
              <w:rPr>
                <w:rFonts w:ascii="宋体" w:hAnsi="宋体" w:eastAsia="宋体" w:cs="Times New Roman"/>
                <w:color w:val="auto"/>
              </w:rPr>
              <w:t>CO</w:t>
            </w:r>
          </w:p>
        </w:tc>
        <w:tc>
          <w:tcPr>
            <w:tcW w:w="915" w:type="dxa"/>
            <w:vMerge w:val="continue"/>
            <w:vAlign w:val="center"/>
          </w:tcPr>
          <w:p w14:paraId="40EC84BD">
            <w:pPr>
              <w:adjustRightInd w:val="0"/>
              <w:spacing w:line="360" w:lineRule="exact"/>
              <w:jc w:val="center"/>
              <w:rPr>
                <w:rFonts w:ascii="宋体" w:hAnsi="宋体" w:eastAsia="宋体" w:cs="Times New Roman"/>
                <w:color w:val="auto"/>
              </w:rPr>
            </w:pPr>
          </w:p>
        </w:tc>
        <w:tc>
          <w:tcPr>
            <w:tcW w:w="1049" w:type="dxa"/>
            <w:vMerge w:val="continue"/>
            <w:vAlign w:val="center"/>
          </w:tcPr>
          <w:p w14:paraId="4CAD1569">
            <w:pPr>
              <w:adjustRightInd w:val="0"/>
              <w:spacing w:line="360" w:lineRule="exact"/>
              <w:jc w:val="center"/>
              <w:rPr>
                <w:rFonts w:ascii="宋体" w:hAnsi="宋体" w:eastAsia="宋体" w:cs="Times New Roman"/>
                <w:color w:val="auto"/>
              </w:rPr>
            </w:pPr>
          </w:p>
        </w:tc>
        <w:tc>
          <w:tcPr>
            <w:tcW w:w="1184" w:type="dxa"/>
            <w:vAlign w:val="center"/>
          </w:tcPr>
          <w:p w14:paraId="271B335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2" w:type="dxa"/>
            <w:vAlign w:val="center"/>
          </w:tcPr>
          <w:p w14:paraId="598C598E">
            <w:pPr>
              <w:spacing w:line="360" w:lineRule="exact"/>
              <w:jc w:val="center"/>
              <w:rPr>
                <w:rFonts w:ascii="宋体" w:hAnsi="宋体" w:eastAsia="宋体" w:cs="Times New Roman"/>
                <w:color w:val="auto"/>
              </w:rPr>
            </w:pPr>
            <w:r>
              <w:rPr>
                <w:rFonts w:ascii="宋体" w:hAnsi="宋体" w:eastAsia="宋体" w:cs="Times New Roman"/>
                <w:color w:val="auto"/>
              </w:rPr>
              <w:t>0.26</w:t>
            </w:r>
          </w:p>
        </w:tc>
        <w:tc>
          <w:tcPr>
            <w:tcW w:w="646" w:type="dxa"/>
            <w:vMerge w:val="continue"/>
            <w:vAlign w:val="center"/>
          </w:tcPr>
          <w:p w14:paraId="78548016">
            <w:pPr>
              <w:adjustRightInd w:val="0"/>
              <w:spacing w:line="360" w:lineRule="exact"/>
              <w:jc w:val="center"/>
              <w:rPr>
                <w:rFonts w:ascii="宋体" w:hAnsi="宋体" w:eastAsia="宋体" w:cs="Times New Roman"/>
                <w:color w:val="auto"/>
              </w:rPr>
            </w:pPr>
          </w:p>
        </w:tc>
        <w:tc>
          <w:tcPr>
            <w:tcW w:w="1041" w:type="dxa"/>
            <w:vMerge w:val="continue"/>
            <w:vAlign w:val="center"/>
          </w:tcPr>
          <w:p w14:paraId="5CC2D496">
            <w:pPr>
              <w:adjustRightInd w:val="0"/>
              <w:spacing w:line="360" w:lineRule="exact"/>
              <w:jc w:val="center"/>
              <w:rPr>
                <w:rFonts w:ascii="宋体" w:hAnsi="宋体" w:eastAsia="宋体" w:cs="Times New Roman"/>
                <w:color w:val="auto"/>
              </w:rPr>
            </w:pPr>
          </w:p>
        </w:tc>
        <w:tc>
          <w:tcPr>
            <w:tcW w:w="708" w:type="dxa"/>
            <w:vMerge w:val="continue"/>
            <w:vAlign w:val="center"/>
          </w:tcPr>
          <w:p w14:paraId="39625D6D">
            <w:pPr>
              <w:adjustRightInd w:val="0"/>
              <w:spacing w:line="360" w:lineRule="exact"/>
              <w:jc w:val="center"/>
              <w:rPr>
                <w:rFonts w:ascii="宋体" w:hAnsi="宋体" w:eastAsia="宋体" w:cs="Times New Roman"/>
                <w:color w:val="auto"/>
              </w:rPr>
            </w:pPr>
          </w:p>
        </w:tc>
        <w:tc>
          <w:tcPr>
            <w:tcW w:w="993" w:type="dxa"/>
            <w:vMerge w:val="continue"/>
            <w:vAlign w:val="center"/>
          </w:tcPr>
          <w:p w14:paraId="0DA6FDC3">
            <w:pPr>
              <w:adjustRightInd w:val="0"/>
              <w:spacing w:line="360" w:lineRule="exact"/>
              <w:jc w:val="center"/>
              <w:rPr>
                <w:rFonts w:ascii="宋体" w:hAnsi="宋体" w:eastAsia="宋体" w:cs="Times New Roman"/>
                <w:color w:val="auto"/>
              </w:rPr>
            </w:pPr>
          </w:p>
        </w:tc>
        <w:tc>
          <w:tcPr>
            <w:tcW w:w="1061" w:type="dxa"/>
            <w:vAlign w:val="center"/>
          </w:tcPr>
          <w:p w14:paraId="5A61C92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5" w:type="dxa"/>
            <w:vAlign w:val="center"/>
          </w:tcPr>
          <w:p w14:paraId="746FAB0C">
            <w:pPr>
              <w:spacing w:line="360" w:lineRule="exact"/>
              <w:jc w:val="center"/>
              <w:rPr>
                <w:rFonts w:ascii="宋体" w:hAnsi="宋体" w:eastAsia="宋体" w:cs="Times New Roman"/>
                <w:color w:val="auto"/>
              </w:rPr>
            </w:pPr>
            <w:r>
              <w:rPr>
                <w:rFonts w:ascii="宋体" w:hAnsi="宋体" w:eastAsia="宋体" w:cs="Times New Roman"/>
                <w:color w:val="auto"/>
              </w:rPr>
              <w:t>0.26</w:t>
            </w:r>
          </w:p>
        </w:tc>
        <w:tc>
          <w:tcPr>
            <w:tcW w:w="876" w:type="dxa"/>
            <w:vMerge w:val="continue"/>
            <w:vAlign w:val="center"/>
          </w:tcPr>
          <w:p w14:paraId="7B01D42E">
            <w:pPr>
              <w:keepNext/>
              <w:adjustRightInd w:val="0"/>
              <w:spacing w:line="360" w:lineRule="exact"/>
              <w:jc w:val="center"/>
              <w:rPr>
                <w:rFonts w:ascii="宋体" w:hAnsi="宋体" w:eastAsia="宋体" w:cs="Times New Roman"/>
                <w:color w:val="auto"/>
              </w:rPr>
            </w:pPr>
          </w:p>
        </w:tc>
      </w:tr>
      <w:tr w14:paraId="6E48E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continue"/>
            <w:vAlign w:val="center"/>
          </w:tcPr>
          <w:p w14:paraId="7FE1A2FE">
            <w:pPr>
              <w:adjustRightInd w:val="0"/>
              <w:spacing w:line="360" w:lineRule="exact"/>
              <w:jc w:val="center"/>
              <w:rPr>
                <w:rFonts w:ascii="宋体" w:hAnsi="宋体" w:eastAsia="宋体" w:cs="Times New Roman"/>
                <w:color w:val="auto"/>
              </w:rPr>
            </w:pPr>
          </w:p>
        </w:tc>
        <w:tc>
          <w:tcPr>
            <w:tcW w:w="646" w:type="dxa"/>
            <w:vMerge w:val="continue"/>
            <w:vAlign w:val="center"/>
          </w:tcPr>
          <w:p w14:paraId="0E36DFEA">
            <w:pPr>
              <w:adjustRightInd w:val="0"/>
              <w:spacing w:line="360" w:lineRule="exact"/>
              <w:jc w:val="center"/>
              <w:rPr>
                <w:rFonts w:ascii="宋体" w:hAnsi="宋体" w:eastAsia="宋体" w:cs="Times New Roman"/>
                <w:color w:val="auto"/>
              </w:rPr>
            </w:pPr>
          </w:p>
        </w:tc>
        <w:tc>
          <w:tcPr>
            <w:tcW w:w="993" w:type="dxa"/>
            <w:vMerge w:val="continue"/>
            <w:vAlign w:val="center"/>
          </w:tcPr>
          <w:p w14:paraId="6A38CE60">
            <w:pPr>
              <w:adjustRightInd w:val="0"/>
              <w:spacing w:line="360" w:lineRule="exact"/>
              <w:jc w:val="center"/>
              <w:rPr>
                <w:rFonts w:ascii="宋体" w:hAnsi="宋体" w:eastAsia="宋体" w:cs="Times New Roman"/>
                <w:color w:val="auto"/>
              </w:rPr>
            </w:pPr>
          </w:p>
        </w:tc>
        <w:tc>
          <w:tcPr>
            <w:tcW w:w="946" w:type="dxa"/>
            <w:vAlign w:val="center"/>
          </w:tcPr>
          <w:p w14:paraId="205225D3">
            <w:pPr>
              <w:autoSpaceDE w:val="0"/>
              <w:autoSpaceDN w:val="0"/>
              <w:spacing w:line="360" w:lineRule="exact"/>
              <w:jc w:val="center"/>
              <w:rPr>
                <w:rFonts w:ascii="宋体" w:hAnsi="宋体" w:eastAsia="宋体" w:cs="Times New Roman"/>
                <w:color w:val="auto"/>
              </w:rPr>
            </w:pPr>
            <w:r>
              <w:rPr>
                <w:rFonts w:ascii="宋体" w:hAnsi="宋体" w:eastAsia="宋体" w:cs="Times New Roman"/>
                <w:color w:val="auto"/>
              </w:rPr>
              <w:t>HC</w:t>
            </w:r>
          </w:p>
        </w:tc>
        <w:tc>
          <w:tcPr>
            <w:tcW w:w="915" w:type="dxa"/>
            <w:vMerge w:val="continue"/>
            <w:vAlign w:val="center"/>
          </w:tcPr>
          <w:p w14:paraId="0A81C72E">
            <w:pPr>
              <w:adjustRightInd w:val="0"/>
              <w:spacing w:line="360" w:lineRule="exact"/>
              <w:jc w:val="center"/>
              <w:rPr>
                <w:rFonts w:ascii="宋体" w:hAnsi="宋体" w:eastAsia="宋体" w:cs="Times New Roman"/>
                <w:color w:val="auto"/>
              </w:rPr>
            </w:pPr>
          </w:p>
        </w:tc>
        <w:tc>
          <w:tcPr>
            <w:tcW w:w="1049" w:type="dxa"/>
            <w:vMerge w:val="continue"/>
            <w:vAlign w:val="center"/>
          </w:tcPr>
          <w:p w14:paraId="2FC2D3AE">
            <w:pPr>
              <w:adjustRightInd w:val="0"/>
              <w:spacing w:line="360" w:lineRule="exact"/>
              <w:jc w:val="center"/>
              <w:rPr>
                <w:rFonts w:ascii="宋体" w:hAnsi="宋体" w:eastAsia="宋体" w:cs="Times New Roman"/>
                <w:color w:val="auto"/>
              </w:rPr>
            </w:pPr>
          </w:p>
        </w:tc>
        <w:tc>
          <w:tcPr>
            <w:tcW w:w="1184" w:type="dxa"/>
            <w:vAlign w:val="center"/>
          </w:tcPr>
          <w:p w14:paraId="603F74E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2" w:type="dxa"/>
            <w:vAlign w:val="center"/>
          </w:tcPr>
          <w:p w14:paraId="7D73BE31">
            <w:pPr>
              <w:spacing w:line="360" w:lineRule="exact"/>
              <w:jc w:val="center"/>
              <w:rPr>
                <w:rFonts w:ascii="宋体" w:hAnsi="宋体" w:eastAsia="宋体" w:cs="Times New Roman"/>
                <w:color w:val="auto"/>
              </w:rPr>
            </w:pPr>
            <w:r>
              <w:rPr>
                <w:rFonts w:ascii="宋体" w:hAnsi="宋体" w:eastAsia="宋体" w:cs="Times New Roman"/>
                <w:color w:val="auto"/>
              </w:rPr>
              <w:t>0.71</w:t>
            </w:r>
          </w:p>
        </w:tc>
        <w:tc>
          <w:tcPr>
            <w:tcW w:w="646" w:type="dxa"/>
            <w:vMerge w:val="continue"/>
            <w:vAlign w:val="center"/>
          </w:tcPr>
          <w:p w14:paraId="5C545190">
            <w:pPr>
              <w:adjustRightInd w:val="0"/>
              <w:spacing w:line="360" w:lineRule="exact"/>
              <w:jc w:val="center"/>
              <w:rPr>
                <w:rFonts w:ascii="宋体" w:hAnsi="宋体" w:eastAsia="宋体" w:cs="Times New Roman"/>
                <w:color w:val="auto"/>
              </w:rPr>
            </w:pPr>
          </w:p>
        </w:tc>
        <w:tc>
          <w:tcPr>
            <w:tcW w:w="1041" w:type="dxa"/>
            <w:vMerge w:val="continue"/>
            <w:vAlign w:val="center"/>
          </w:tcPr>
          <w:p w14:paraId="29C9F394">
            <w:pPr>
              <w:adjustRightInd w:val="0"/>
              <w:spacing w:line="360" w:lineRule="exact"/>
              <w:jc w:val="center"/>
              <w:rPr>
                <w:rFonts w:ascii="宋体" w:hAnsi="宋体" w:eastAsia="宋体" w:cs="Times New Roman"/>
                <w:color w:val="auto"/>
              </w:rPr>
            </w:pPr>
          </w:p>
        </w:tc>
        <w:tc>
          <w:tcPr>
            <w:tcW w:w="708" w:type="dxa"/>
            <w:vMerge w:val="continue"/>
            <w:vAlign w:val="center"/>
          </w:tcPr>
          <w:p w14:paraId="43924EAE">
            <w:pPr>
              <w:adjustRightInd w:val="0"/>
              <w:spacing w:line="360" w:lineRule="exact"/>
              <w:jc w:val="center"/>
              <w:rPr>
                <w:rFonts w:ascii="宋体" w:hAnsi="宋体" w:eastAsia="宋体" w:cs="Times New Roman"/>
                <w:color w:val="auto"/>
              </w:rPr>
            </w:pPr>
          </w:p>
        </w:tc>
        <w:tc>
          <w:tcPr>
            <w:tcW w:w="993" w:type="dxa"/>
            <w:vMerge w:val="continue"/>
            <w:vAlign w:val="center"/>
          </w:tcPr>
          <w:p w14:paraId="5EE141D9">
            <w:pPr>
              <w:adjustRightInd w:val="0"/>
              <w:spacing w:line="360" w:lineRule="exact"/>
              <w:jc w:val="center"/>
              <w:rPr>
                <w:rFonts w:ascii="宋体" w:hAnsi="宋体" w:eastAsia="宋体" w:cs="Times New Roman"/>
                <w:color w:val="auto"/>
              </w:rPr>
            </w:pPr>
          </w:p>
        </w:tc>
        <w:tc>
          <w:tcPr>
            <w:tcW w:w="1061" w:type="dxa"/>
            <w:vAlign w:val="center"/>
          </w:tcPr>
          <w:p w14:paraId="02A81D7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5" w:type="dxa"/>
            <w:vAlign w:val="center"/>
          </w:tcPr>
          <w:p w14:paraId="067F2CD6">
            <w:pPr>
              <w:spacing w:line="360" w:lineRule="exact"/>
              <w:jc w:val="center"/>
              <w:rPr>
                <w:rFonts w:ascii="宋体" w:hAnsi="宋体" w:eastAsia="宋体" w:cs="Times New Roman"/>
                <w:color w:val="auto"/>
              </w:rPr>
            </w:pPr>
            <w:r>
              <w:rPr>
                <w:rFonts w:ascii="宋体" w:hAnsi="宋体" w:eastAsia="宋体" w:cs="Times New Roman"/>
                <w:color w:val="auto"/>
              </w:rPr>
              <w:t>0.71</w:t>
            </w:r>
          </w:p>
        </w:tc>
        <w:tc>
          <w:tcPr>
            <w:tcW w:w="876" w:type="dxa"/>
            <w:vMerge w:val="continue"/>
            <w:vAlign w:val="center"/>
          </w:tcPr>
          <w:p w14:paraId="57E7AF9C">
            <w:pPr>
              <w:keepNext/>
              <w:adjustRightInd w:val="0"/>
              <w:spacing w:line="360" w:lineRule="exact"/>
              <w:jc w:val="center"/>
              <w:rPr>
                <w:rFonts w:ascii="宋体" w:hAnsi="宋体" w:eastAsia="宋体" w:cs="Times New Roman"/>
                <w:color w:val="auto"/>
              </w:rPr>
            </w:pPr>
          </w:p>
        </w:tc>
      </w:tr>
      <w:tr w14:paraId="4F7AC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continue"/>
            <w:vAlign w:val="center"/>
          </w:tcPr>
          <w:p w14:paraId="7E0881D1">
            <w:pPr>
              <w:adjustRightInd w:val="0"/>
              <w:spacing w:line="360" w:lineRule="exact"/>
              <w:jc w:val="center"/>
              <w:rPr>
                <w:rFonts w:ascii="宋体" w:hAnsi="宋体" w:eastAsia="宋体" w:cs="Times New Roman"/>
                <w:color w:val="auto"/>
              </w:rPr>
            </w:pPr>
          </w:p>
        </w:tc>
        <w:tc>
          <w:tcPr>
            <w:tcW w:w="646" w:type="dxa"/>
            <w:vAlign w:val="center"/>
          </w:tcPr>
          <w:p w14:paraId="27693D5E">
            <w:pPr>
              <w:adjustRightInd w:val="0"/>
              <w:spacing w:line="360" w:lineRule="exact"/>
              <w:jc w:val="center"/>
              <w:rPr>
                <w:rFonts w:ascii="宋体" w:hAnsi="宋体" w:eastAsia="宋体" w:cs="Times New Roman"/>
                <w:color w:val="auto"/>
              </w:rPr>
            </w:pPr>
            <w:r>
              <w:rPr>
                <w:rFonts w:ascii="宋体" w:hAnsi="宋体" w:eastAsia="宋体" w:cs="Times New Roman"/>
                <w:color w:val="auto"/>
              </w:rPr>
              <w:t>车辆</w:t>
            </w:r>
          </w:p>
        </w:tc>
        <w:tc>
          <w:tcPr>
            <w:tcW w:w="993" w:type="dxa"/>
            <w:vAlign w:val="center"/>
          </w:tcPr>
          <w:p w14:paraId="0B63FE2B">
            <w:pPr>
              <w:adjustRightInd w:val="0"/>
              <w:spacing w:line="360" w:lineRule="exact"/>
              <w:jc w:val="center"/>
              <w:rPr>
                <w:rFonts w:ascii="宋体" w:hAnsi="宋体" w:eastAsia="宋体" w:cs="Times New Roman"/>
                <w:color w:val="auto"/>
              </w:rPr>
            </w:pPr>
            <w:r>
              <w:rPr>
                <w:rFonts w:ascii="宋体" w:hAnsi="宋体" w:eastAsia="宋体" w:cs="Times New Roman"/>
                <w:color w:val="auto"/>
              </w:rPr>
              <w:t>车辆尾气</w:t>
            </w:r>
          </w:p>
        </w:tc>
        <w:tc>
          <w:tcPr>
            <w:tcW w:w="946" w:type="dxa"/>
            <w:vAlign w:val="center"/>
          </w:tcPr>
          <w:p w14:paraId="161A61E2">
            <w:pPr>
              <w:adjustRightInd w:val="0"/>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p w14:paraId="0D29DFAA">
            <w:pPr>
              <w:adjustRightInd w:val="0"/>
              <w:spacing w:line="360" w:lineRule="exact"/>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X</w:t>
            </w:r>
          </w:p>
          <w:p w14:paraId="1A7637F4">
            <w:pPr>
              <w:adjustRightInd w:val="0"/>
              <w:spacing w:line="360" w:lineRule="exact"/>
              <w:jc w:val="center"/>
              <w:rPr>
                <w:rFonts w:ascii="宋体" w:hAnsi="宋体" w:eastAsia="宋体" w:cs="Times New Roman"/>
                <w:color w:val="auto"/>
              </w:rPr>
            </w:pPr>
            <w:r>
              <w:rPr>
                <w:rFonts w:ascii="宋体" w:hAnsi="宋体" w:eastAsia="宋体" w:cs="Times New Roman"/>
                <w:color w:val="auto"/>
              </w:rPr>
              <w:t>TSP</w:t>
            </w:r>
          </w:p>
        </w:tc>
        <w:tc>
          <w:tcPr>
            <w:tcW w:w="4290" w:type="dxa"/>
            <w:gridSpan w:val="4"/>
            <w:vAlign w:val="center"/>
          </w:tcPr>
          <w:p w14:paraId="444D5226">
            <w:pPr>
              <w:spacing w:line="360" w:lineRule="exact"/>
              <w:jc w:val="center"/>
              <w:rPr>
                <w:rFonts w:ascii="宋体" w:hAnsi="宋体" w:eastAsia="宋体" w:cs="Times New Roman"/>
                <w:color w:val="auto"/>
              </w:rPr>
            </w:pPr>
            <w:r>
              <w:rPr>
                <w:rFonts w:ascii="宋体" w:hAnsi="宋体" w:eastAsia="宋体" w:cs="Times New Roman"/>
                <w:color w:val="auto"/>
              </w:rPr>
              <w:t>由于车辆数量和每辆车行驶的公里数不易确定，固不对其进行定量计算</w:t>
            </w:r>
          </w:p>
        </w:tc>
        <w:tc>
          <w:tcPr>
            <w:tcW w:w="1687" w:type="dxa"/>
            <w:gridSpan w:val="2"/>
            <w:vAlign w:val="center"/>
          </w:tcPr>
          <w:p w14:paraId="655552B8">
            <w:pPr>
              <w:adjustRightInd w:val="0"/>
              <w:spacing w:line="360" w:lineRule="exact"/>
              <w:jc w:val="center"/>
              <w:rPr>
                <w:rFonts w:ascii="宋体" w:hAnsi="宋体" w:eastAsia="宋体" w:cs="Times New Roman"/>
                <w:color w:val="auto"/>
              </w:rPr>
            </w:pPr>
            <w:r>
              <w:rPr>
                <w:rFonts w:ascii="宋体" w:hAnsi="宋体" w:eastAsia="宋体" w:cs="Times New Roman"/>
                <w:color w:val="auto"/>
              </w:rPr>
              <w:t>施工车辆选用高标号汽柴油，尾气达标排放</w:t>
            </w:r>
          </w:p>
        </w:tc>
        <w:tc>
          <w:tcPr>
            <w:tcW w:w="708" w:type="dxa"/>
            <w:vAlign w:val="center"/>
          </w:tcPr>
          <w:p w14:paraId="155351A9">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993" w:type="dxa"/>
            <w:vAlign w:val="center"/>
          </w:tcPr>
          <w:p w14:paraId="38707AB1">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61" w:type="dxa"/>
            <w:vAlign w:val="center"/>
          </w:tcPr>
          <w:p w14:paraId="4E1F97EA">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5" w:type="dxa"/>
            <w:vAlign w:val="center"/>
          </w:tcPr>
          <w:p w14:paraId="2D13CE04">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876" w:type="dxa"/>
            <w:vAlign w:val="center"/>
          </w:tcPr>
          <w:p w14:paraId="6BD33968">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施工</w:t>
            </w:r>
          </w:p>
          <w:p w14:paraId="214E2F56">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期</w:t>
            </w:r>
          </w:p>
        </w:tc>
      </w:tr>
      <w:tr w14:paraId="0D79F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continue"/>
            <w:vAlign w:val="center"/>
          </w:tcPr>
          <w:p w14:paraId="343496D2">
            <w:pPr>
              <w:adjustRightInd w:val="0"/>
              <w:spacing w:line="360" w:lineRule="exact"/>
              <w:jc w:val="center"/>
              <w:rPr>
                <w:rFonts w:ascii="宋体" w:hAnsi="宋体" w:eastAsia="宋体" w:cs="Times New Roman"/>
                <w:color w:val="auto"/>
              </w:rPr>
            </w:pPr>
          </w:p>
        </w:tc>
        <w:tc>
          <w:tcPr>
            <w:tcW w:w="646" w:type="dxa"/>
            <w:vAlign w:val="center"/>
          </w:tcPr>
          <w:p w14:paraId="608ACB7B">
            <w:pPr>
              <w:adjustRightInd w:val="0"/>
              <w:spacing w:line="360" w:lineRule="exact"/>
              <w:jc w:val="center"/>
              <w:rPr>
                <w:rFonts w:ascii="宋体" w:hAnsi="宋体" w:eastAsia="宋体" w:cs="Times New Roman"/>
                <w:color w:val="auto"/>
              </w:rPr>
            </w:pPr>
            <w:r>
              <w:rPr>
                <w:rFonts w:ascii="宋体" w:hAnsi="宋体" w:eastAsia="宋体" w:cs="Times New Roman"/>
                <w:color w:val="auto"/>
              </w:rPr>
              <w:t>焊机</w:t>
            </w:r>
          </w:p>
        </w:tc>
        <w:tc>
          <w:tcPr>
            <w:tcW w:w="993" w:type="dxa"/>
            <w:vAlign w:val="center"/>
          </w:tcPr>
          <w:p w14:paraId="47AD1BAE">
            <w:pPr>
              <w:adjustRightInd w:val="0"/>
              <w:spacing w:line="360" w:lineRule="exact"/>
              <w:jc w:val="center"/>
              <w:rPr>
                <w:rFonts w:ascii="宋体" w:hAnsi="宋体" w:eastAsia="宋体" w:cs="Times New Roman"/>
                <w:color w:val="auto"/>
              </w:rPr>
            </w:pPr>
            <w:r>
              <w:rPr>
                <w:rFonts w:ascii="宋体" w:hAnsi="宋体" w:eastAsia="宋体" w:cs="Times New Roman"/>
                <w:color w:val="auto"/>
              </w:rPr>
              <w:t>施工场地</w:t>
            </w:r>
          </w:p>
        </w:tc>
        <w:tc>
          <w:tcPr>
            <w:tcW w:w="946" w:type="dxa"/>
            <w:vAlign w:val="center"/>
          </w:tcPr>
          <w:p w14:paraId="570BAE90">
            <w:pPr>
              <w:adjustRightInd w:val="0"/>
              <w:spacing w:line="360" w:lineRule="exact"/>
              <w:jc w:val="center"/>
              <w:rPr>
                <w:rFonts w:ascii="宋体" w:hAnsi="宋体" w:eastAsia="宋体" w:cs="Times New Roman"/>
                <w:color w:val="auto"/>
              </w:rPr>
            </w:pPr>
            <w:r>
              <w:rPr>
                <w:rFonts w:ascii="宋体" w:hAnsi="宋体" w:eastAsia="宋体" w:cs="Times New Roman"/>
                <w:color w:val="auto"/>
              </w:rPr>
              <w:t>CO</w:t>
            </w:r>
          </w:p>
          <w:p w14:paraId="7634A7AC">
            <w:pPr>
              <w:adjustRightInd w:val="0"/>
              <w:spacing w:line="360" w:lineRule="exact"/>
              <w:jc w:val="center"/>
              <w:rPr>
                <w:rFonts w:ascii="宋体" w:hAnsi="宋体" w:eastAsia="宋体" w:cs="Times New Roman"/>
                <w:color w:val="auto"/>
                <w:vertAlign w:val="subscript"/>
              </w:rPr>
            </w:pPr>
            <w:r>
              <w:rPr>
                <w:rFonts w:ascii="宋体" w:hAnsi="宋体" w:eastAsia="宋体" w:cs="Times New Roman"/>
                <w:color w:val="auto"/>
              </w:rPr>
              <w:t>CO</w:t>
            </w:r>
            <w:r>
              <w:rPr>
                <w:rFonts w:ascii="宋体" w:hAnsi="宋体" w:eastAsia="宋体" w:cs="Times New Roman"/>
                <w:color w:val="auto"/>
                <w:vertAlign w:val="subscript"/>
              </w:rPr>
              <w:t>2</w:t>
            </w:r>
          </w:p>
          <w:p w14:paraId="5D1157C3">
            <w:pPr>
              <w:adjustRightInd w:val="0"/>
              <w:spacing w:line="360" w:lineRule="exact"/>
              <w:jc w:val="center"/>
              <w:rPr>
                <w:rFonts w:ascii="宋体" w:hAnsi="宋体" w:eastAsia="宋体" w:cs="Times New Roman"/>
                <w:color w:val="auto"/>
              </w:rPr>
            </w:pPr>
            <w:r>
              <w:rPr>
                <w:rFonts w:ascii="宋体" w:hAnsi="宋体" w:eastAsia="宋体" w:cs="Times New Roman"/>
                <w:color w:val="auto"/>
              </w:rPr>
              <w:t>O</w:t>
            </w:r>
            <w:r>
              <w:rPr>
                <w:rFonts w:ascii="宋体" w:hAnsi="宋体" w:eastAsia="宋体" w:cs="Times New Roman"/>
                <w:color w:val="auto"/>
                <w:vertAlign w:val="subscript"/>
              </w:rPr>
              <w:t>3</w:t>
            </w:r>
          </w:p>
          <w:p w14:paraId="7D60AB6D">
            <w:pPr>
              <w:adjustRightInd w:val="0"/>
              <w:spacing w:line="360" w:lineRule="exact"/>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x</w:t>
            </w:r>
          </w:p>
          <w:p w14:paraId="009D81C4">
            <w:pPr>
              <w:adjustRightInd w:val="0"/>
              <w:spacing w:line="360" w:lineRule="exact"/>
              <w:jc w:val="center"/>
              <w:rPr>
                <w:rFonts w:ascii="宋体" w:hAnsi="宋体" w:eastAsia="宋体" w:cs="Times New Roman"/>
                <w:color w:val="auto"/>
              </w:rPr>
            </w:pPr>
            <w:r>
              <w:rPr>
                <w:rFonts w:ascii="宋体" w:hAnsi="宋体" w:eastAsia="宋体" w:cs="Times New Roman"/>
                <w:color w:val="auto"/>
              </w:rPr>
              <w:t>CH</w:t>
            </w:r>
            <w:r>
              <w:rPr>
                <w:rFonts w:ascii="宋体" w:hAnsi="宋体" w:eastAsia="宋体" w:cs="Times New Roman"/>
                <w:color w:val="auto"/>
                <w:vertAlign w:val="subscript"/>
              </w:rPr>
              <w:t>4</w:t>
            </w:r>
          </w:p>
        </w:tc>
        <w:tc>
          <w:tcPr>
            <w:tcW w:w="4290" w:type="dxa"/>
            <w:gridSpan w:val="4"/>
            <w:vAlign w:val="center"/>
          </w:tcPr>
          <w:p w14:paraId="3587F7C6">
            <w:pPr>
              <w:spacing w:line="360" w:lineRule="exact"/>
              <w:jc w:val="center"/>
              <w:rPr>
                <w:rFonts w:ascii="宋体" w:hAnsi="宋体" w:eastAsia="宋体" w:cs="Times New Roman"/>
                <w:color w:val="auto"/>
              </w:rPr>
            </w:pPr>
            <w:r>
              <w:rPr>
                <w:rFonts w:ascii="宋体" w:hAnsi="宋体" w:eastAsia="宋体" w:cs="Times New Roman"/>
                <w:color w:val="auto"/>
              </w:rPr>
              <w:t>焊接点较少，产生的焊接烟尘量较小</w:t>
            </w:r>
          </w:p>
        </w:tc>
        <w:tc>
          <w:tcPr>
            <w:tcW w:w="1687" w:type="dxa"/>
            <w:gridSpan w:val="2"/>
            <w:vAlign w:val="center"/>
          </w:tcPr>
          <w:p w14:paraId="3C3929EB">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708" w:type="dxa"/>
            <w:vAlign w:val="center"/>
          </w:tcPr>
          <w:p w14:paraId="7809EA25">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993" w:type="dxa"/>
            <w:vAlign w:val="center"/>
          </w:tcPr>
          <w:p w14:paraId="2F687C1D">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61" w:type="dxa"/>
            <w:vAlign w:val="center"/>
          </w:tcPr>
          <w:p w14:paraId="566E22F3">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5" w:type="dxa"/>
            <w:vAlign w:val="center"/>
          </w:tcPr>
          <w:p w14:paraId="5A3FA9E1">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876" w:type="dxa"/>
            <w:vAlign w:val="center"/>
          </w:tcPr>
          <w:p w14:paraId="57650244">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施工</w:t>
            </w:r>
          </w:p>
          <w:p w14:paraId="5914C943">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期</w:t>
            </w:r>
          </w:p>
        </w:tc>
      </w:tr>
      <w:tr w14:paraId="17D3F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7" w:type="dxa"/>
            <w:vMerge w:val="continue"/>
            <w:vAlign w:val="center"/>
          </w:tcPr>
          <w:p w14:paraId="1A468C20">
            <w:pPr>
              <w:adjustRightInd w:val="0"/>
              <w:spacing w:line="360" w:lineRule="exact"/>
              <w:jc w:val="center"/>
              <w:rPr>
                <w:rFonts w:ascii="宋体" w:hAnsi="宋体" w:eastAsia="宋体" w:cs="Times New Roman"/>
                <w:color w:val="auto"/>
              </w:rPr>
            </w:pPr>
          </w:p>
        </w:tc>
        <w:tc>
          <w:tcPr>
            <w:tcW w:w="646" w:type="dxa"/>
            <w:vAlign w:val="center"/>
          </w:tcPr>
          <w:p w14:paraId="1F7A6717">
            <w:pPr>
              <w:adjustRightInd w:val="0"/>
              <w:spacing w:line="360" w:lineRule="exact"/>
              <w:jc w:val="center"/>
              <w:rPr>
                <w:rFonts w:ascii="宋体" w:hAnsi="宋体" w:eastAsia="宋体" w:cs="Times New Roman"/>
                <w:color w:val="auto"/>
              </w:rPr>
            </w:pPr>
            <w:r>
              <w:rPr>
                <w:rFonts w:ascii="宋体" w:hAnsi="宋体" w:eastAsia="宋体" w:cs="Times New Roman"/>
                <w:color w:val="auto"/>
              </w:rPr>
              <w:t>试油设备</w:t>
            </w:r>
          </w:p>
        </w:tc>
        <w:tc>
          <w:tcPr>
            <w:tcW w:w="993" w:type="dxa"/>
            <w:vAlign w:val="center"/>
          </w:tcPr>
          <w:p w14:paraId="35D1B16D">
            <w:pPr>
              <w:adjustRightInd w:val="0"/>
              <w:spacing w:line="360" w:lineRule="exact"/>
              <w:jc w:val="center"/>
              <w:rPr>
                <w:rFonts w:ascii="宋体" w:hAnsi="宋体" w:eastAsia="宋体" w:cs="Times New Roman"/>
                <w:color w:val="auto"/>
              </w:rPr>
            </w:pPr>
            <w:r>
              <w:rPr>
                <w:rFonts w:ascii="宋体" w:hAnsi="宋体" w:eastAsia="宋体" w:cs="Times New Roman"/>
                <w:color w:val="auto"/>
              </w:rPr>
              <w:t>施工场地</w:t>
            </w:r>
          </w:p>
        </w:tc>
        <w:tc>
          <w:tcPr>
            <w:tcW w:w="946" w:type="dxa"/>
            <w:vAlign w:val="center"/>
          </w:tcPr>
          <w:p w14:paraId="489074CB">
            <w:pPr>
              <w:adjustRightInd w:val="0"/>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2</w:t>
            </w:r>
          </w:p>
        </w:tc>
        <w:tc>
          <w:tcPr>
            <w:tcW w:w="4290" w:type="dxa"/>
            <w:gridSpan w:val="4"/>
            <w:vAlign w:val="center"/>
          </w:tcPr>
          <w:p w14:paraId="68DD738C">
            <w:pPr>
              <w:spacing w:line="360" w:lineRule="exact"/>
              <w:jc w:val="center"/>
              <w:rPr>
                <w:rFonts w:ascii="宋体" w:hAnsi="宋体" w:eastAsia="宋体" w:cs="Times New Roman"/>
                <w:color w:val="auto"/>
              </w:rPr>
            </w:pPr>
            <w:r>
              <w:rPr>
                <w:rFonts w:ascii="宋体" w:hAnsi="宋体" w:eastAsia="宋体" w:cs="Times New Roman"/>
                <w:color w:val="auto"/>
              </w:rPr>
              <w:t>放空属于短时非正常工况排放，试气采出气均经过放喷管顶端设自动点火装置燃烧后，不排放非甲烷总烃，对环境影响较小。</w:t>
            </w:r>
          </w:p>
        </w:tc>
        <w:tc>
          <w:tcPr>
            <w:tcW w:w="1687" w:type="dxa"/>
            <w:gridSpan w:val="2"/>
            <w:vAlign w:val="center"/>
          </w:tcPr>
          <w:p w14:paraId="12A6BFF7">
            <w:pPr>
              <w:adjustRightInd w:val="0"/>
              <w:spacing w:line="360" w:lineRule="exact"/>
              <w:jc w:val="center"/>
              <w:rPr>
                <w:rFonts w:ascii="宋体" w:hAnsi="宋体" w:eastAsia="宋体" w:cs="Times New Roman"/>
                <w:color w:val="auto"/>
              </w:rPr>
            </w:pPr>
            <w:r>
              <w:rPr>
                <w:rFonts w:ascii="宋体" w:hAnsi="宋体" w:eastAsia="宋体" w:cs="Times New Roman"/>
                <w:color w:val="auto"/>
              </w:rPr>
              <w:t>放喷管顶端设自动点火装置燃烧</w:t>
            </w:r>
          </w:p>
        </w:tc>
        <w:tc>
          <w:tcPr>
            <w:tcW w:w="708" w:type="dxa"/>
            <w:vAlign w:val="center"/>
          </w:tcPr>
          <w:p w14:paraId="221F351C">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993" w:type="dxa"/>
            <w:vAlign w:val="center"/>
          </w:tcPr>
          <w:p w14:paraId="22452680">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61" w:type="dxa"/>
            <w:vAlign w:val="center"/>
          </w:tcPr>
          <w:p w14:paraId="51E2C03C">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45" w:type="dxa"/>
            <w:vAlign w:val="center"/>
          </w:tcPr>
          <w:p w14:paraId="02F59F6F">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876" w:type="dxa"/>
            <w:vAlign w:val="center"/>
          </w:tcPr>
          <w:p w14:paraId="23F20C70">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试油</w:t>
            </w:r>
          </w:p>
        </w:tc>
      </w:tr>
    </w:tbl>
    <w:p w14:paraId="39CA35E0">
      <w:pPr>
        <w:spacing w:line="440" w:lineRule="exact"/>
        <w:ind w:firstLine="420" w:firstLineChars="200"/>
        <w:rPr>
          <w:rFonts w:ascii="宋体" w:hAnsi="宋体" w:eastAsia="宋体" w:cs="Times New Roman"/>
          <w:color w:val="auto"/>
          <w:kern w:val="21"/>
        </w:rPr>
      </w:pPr>
    </w:p>
    <w:p w14:paraId="1D81A672">
      <w:pPr>
        <w:pStyle w:val="276"/>
        <w:widowControl w:val="0"/>
        <w:spacing w:line="440" w:lineRule="exact"/>
        <w:ind w:firstLine="0" w:firstLineChars="0"/>
        <w:jc w:val="center"/>
        <w:rPr>
          <w:color w:val="auto"/>
          <w:kern w:val="21"/>
        </w:rPr>
      </w:pPr>
      <w:r>
        <w:rPr>
          <w:color w:val="auto"/>
          <w:kern w:val="21"/>
        </w:rPr>
        <w:t>表</w:t>
      </w:r>
      <w:r>
        <w:rPr>
          <w:color w:val="auto"/>
        </w:rPr>
        <w:t>3.12-13</w:t>
      </w:r>
      <w:r>
        <w:rPr>
          <w:color w:val="auto"/>
          <w:kern w:val="21"/>
        </w:rPr>
        <w:t xml:space="preserve"> 施工期废水污染源源强核算结果及相关参数一览表</w:t>
      </w:r>
    </w:p>
    <w:tbl>
      <w:tblPr>
        <w:tblStyle w:val="81"/>
        <w:tblW w:w="139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6"/>
        <w:gridCol w:w="857"/>
        <w:gridCol w:w="692"/>
        <w:gridCol w:w="787"/>
        <w:gridCol w:w="568"/>
        <w:gridCol w:w="708"/>
        <w:gridCol w:w="711"/>
        <w:gridCol w:w="565"/>
        <w:gridCol w:w="4407"/>
        <w:gridCol w:w="557"/>
        <w:gridCol w:w="616"/>
        <w:gridCol w:w="789"/>
        <w:gridCol w:w="772"/>
        <w:gridCol w:w="655"/>
        <w:gridCol w:w="672"/>
      </w:tblGrid>
      <w:tr w14:paraId="1A309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36" w:type="dxa"/>
            <w:vMerge w:val="restart"/>
            <w:vAlign w:val="center"/>
          </w:tcPr>
          <w:p w14:paraId="11DB359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工序</w:t>
            </w:r>
          </w:p>
        </w:tc>
        <w:tc>
          <w:tcPr>
            <w:tcW w:w="857" w:type="dxa"/>
            <w:vMerge w:val="restart"/>
            <w:vAlign w:val="center"/>
          </w:tcPr>
          <w:p w14:paraId="21A4857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装置</w:t>
            </w:r>
          </w:p>
        </w:tc>
        <w:tc>
          <w:tcPr>
            <w:tcW w:w="692" w:type="dxa"/>
            <w:vMerge w:val="restart"/>
            <w:vAlign w:val="center"/>
          </w:tcPr>
          <w:p w14:paraId="3FA1711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污染源</w:t>
            </w:r>
          </w:p>
        </w:tc>
        <w:tc>
          <w:tcPr>
            <w:tcW w:w="787" w:type="dxa"/>
            <w:vMerge w:val="restart"/>
            <w:vAlign w:val="center"/>
          </w:tcPr>
          <w:p w14:paraId="2F7B413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污染物</w:t>
            </w:r>
          </w:p>
        </w:tc>
        <w:tc>
          <w:tcPr>
            <w:tcW w:w="2552" w:type="dxa"/>
            <w:gridSpan w:val="4"/>
            <w:vAlign w:val="center"/>
          </w:tcPr>
          <w:p w14:paraId="2680A82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污染物产生</w:t>
            </w:r>
          </w:p>
        </w:tc>
        <w:tc>
          <w:tcPr>
            <w:tcW w:w="4964" w:type="dxa"/>
            <w:gridSpan w:val="2"/>
            <w:vAlign w:val="center"/>
          </w:tcPr>
          <w:p w14:paraId="30BEBDB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治理措施</w:t>
            </w:r>
          </w:p>
        </w:tc>
        <w:tc>
          <w:tcPr>
            <w:tcW w:w="2832" w:type="dxa"/>
            <w:gridSpan w:val="4"/>
            <w:vAlign w:val="center"/>
          </w:tcPr>
          <w:p w14:paraId="208143D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污染物排放</w:t>
            </w:r>
          </w:p>
        </w:tc>
        <w:tc>
          <w:tcPr>
            <w:tcW w:w="672" w:type="dxa"/>
            <w:vMerge w:val="restart"/>
            <w:vAlign w:val="center"/>
          </w:tcPr>
          <w:p w14:paraId="1A145C9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排放时间</w:t>
            </w:r>
          </w:p>
        </w:tc>
      </w:tr>
      <w:tr w14:paraId="0666F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36" w:type="dxa"/>
            <w:vMerge w:val="continue"/>
            <w:vAlign w:val="center"/>
          </w:tcPr>
          <w:p w14:paraId="54815CEC">
            <w:pPr>
              <w:adjustRightInd w:val="0"/>
              <w:snapToGrid w:val="0"/>
              <w:spacing w:line="360" w:lineRule="exact"/>
              <w:jc w:val="center"/>
              <w:rPr>
                <w:rFonts w:ascii="宋体" w:hAnsi="宋体" w:eastAsia="宋体" w:cs="Times New Roman"/>
                <w:color w:val="auto"/>
              </w:rPr>
            </w:pPr>
          </w:p>
        </w:tc>
        <w:tc>
          <w:tcPr>
            <w:tcW w:w="857" w:type="dxa"/>
            <w:vMerge w:val="continue"/>
            <w:vAlign w:val="center"/>
          </w:tcPr>
          <w:p w14:paraId="01D6A6E0">
            <w:pPr>
              <w:adjustRightInd w:val="0"/>
              <w:snapToGrid w:val="0"/>
              <w:spacing w:line="360" w:lineRule="exact"/>
              <w:jc w:val="center"/>
              <w:rPr>
                <w:rFonts w:ascii="宋体" w:hAnsi="宋体" w:eastAsia="宋体" w:cs="Times New Roman"/>
                <w:color w:val="auto"/>
              </w:rPr>
            </w:pPr>
          </w:p>
        </w:tc>
        <w:tc>
          <w:tcPr>
            <w:tcW w:w="692" w:type="dxa"/>
            <w:vMerge w:val="continue"/>
            <w:vAlign w:val="center"/>
          </w:tcPr>
          <w:p w14:paraId="22CC8A63">
            <w:pPr>
              <w:adjustRightInd w:val="0"/>
              <w:snapToGrid w:val="0"/>
              <w:spacing w:line="360" w:lineRule="exact"/>
              <w:jc w:val="center"/>
              <w:rPr>
                <w:rFonts w:ascii="宋体" w:hAnsi="宋体" w:eastAsia="宋体" w:cs="Times New Roman"/>
                <w:color w:val="auto"/>
              </w:rPr>
            </w:pPr>
          </w:p>
        </w:tc>
        <w:tc>
          <w:tcPr>
            <w:tcW w:w="787" w:type="dxa"/>
            <w:vMerge w:val="continue"/>
            <w:vAlign w:val="center"/>
          </w:tcPr>
          <w:p w14:paraId="1BE5B57C">
            <w:pPr>
              <w:adjustRightInd w:val="0"/>
              <w:snapToGrid w:val="0"/>
              <w:spacing w:line="360" w:lineRule="exact"/>
              <w:jc w:val="center"/>
              <w:rPr>
                <w:rFonts w:ascii="宋体" w:hAnsi="宋体" w:eastAsia="宋体" w:cs="Times New Roman"/>
                <w:color w:val="auto"/>
              </w:rPr>
            </w:pPr>
          </w:p>
        </w:tc>
        <w:tc>
          <w:tcPr>
            <w:tcW w:w="568" w:type="dxa"/>
            <w:vAlign w:val="center"/>
          </w:tcPr>
          <w:p w14:paraId="5670256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核算方法</w:t>
            </w:r>
          </w:p>
        </w:tc>
        <w:tc>
          <w:tcPr>
            <w:tcW w:w="708" w:type="dxa"/>
            <w:vAlign w:val="center"/>
          </w:tcPr>
          <w:p w14:paraId="27577B3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废水产生量m</w:t>
            </w:r>
            <w:r>
              <w:rPr>
                <w:rFonts w:ascii="宋体" w:hAnsi="宋体" w:eastAsia="宋体" w:cs="Times New Roman"/>
                <w:color w:val="auto"/>
                <w:vertAlign w:val="superscript"/>
              </w:rPr>
              <w:t>3</w:t>
            </w:r>
          </w:p>
        </w:tc>
        <w:tc>
          <w:tcPr>
            <w:tcW w:w="711" w:type="dxa"/>
            <w:vAlign w:val="center"/>
          </w:tcPr>
          <w:p w14:paraId="621FD46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产生浓度mg/L</w:t>
            </w:r>
          </w:p>
        </w:tc>
        <w:tc>
          <w:tcPr>
            <w:tcW w:w="565" w:type="dxa"/>
            <w:vAlign w:val="center"/>
          </w:tcPr>
          <w:p w14:paraId="7A24A6A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产生量t</w:t>
            </w:r>
          </w:p>
        </w:tc>
        <w:tc>
          <w:tcPr>
            <w:tcW w:w="4407" w:type="dxa"/>
            <w:vAlign w:val="center"/>
          </w:tcPr>
          <w:p w14:paraId="6B19F45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工艺</w:t>
            </w:r>
          </w:p>
        </w:tc>
        <w:tc>
          <w:tcPr>
            <w:tcW w:w="557" w:type="dxa"/>
            <w:vAlign w:val="center"/>
          </w:tcPr>
          <w:p w14:paraId="5DC0675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效率/%</w:t>
            </w:r>
          </w:p>
        </w:tc>
        <w:tc>
          <w:tcPr>
            <w:tcW w:w="616" w:type="dxa"/>
            <w:vAlign w:val="center"/>
          </w:tcPr>
          <w:p w14:paraId="3948EFB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核算方法</w:t>
            </w:r>
          </w:p>
        </w:tc>
        <w:tc>
          <w:tcPr>
            <w:tcW w:w="789" w:type="dxa"/>
            <w:vAlign w:val="center"/>
          </w:tcPr>
          <w:p w14:paraId="3E21E08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废水排放量m</w:t>
            </w:r>
            <w:r>
              <w:rPr>
                <w:rFonts w:ascii="宋体" w:hAnsi="宋体" w:eastAsia="宋体" w:cs="Times New Roman"/>
                <w:color w:val="auto"/>
                <w:vertAlign w:val="superscript"/>
              </w:rPr>
              <w:t>3</w:t>
            </w:r>
          </w:p>
        </w:tc>
        <w:tc>
          <w:tcPr>
            <w:tcW w:w="772" w:type="dxa"/>
            <w:vAlign w:val="center"/>
          </w:tcPr>
          <w:p w14:paraId="34B0789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排放浓度mg/L</w:t>
            </w:r>
          </w:p>
        </w:tc>
        <w:tc>
          <w:tcPr>
            <w:tcW w:w="655" w:type="dxa"/>
            <w:vAlign w:val="center"/>
          </w:tcPr>
          <w:p w14:paraId="710ED38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排放量t</w:t>
            </w:r>
          </w:p>
        </w:tc>
        <w:tc>
          <w:tcPr>
            <w:tcW w:w="672" w:type="dxa"/>
            <w:vMerge w:val="continue"/>
            <w:vAlign w:val="center"/>
          </w:tcPr>
          <w:p w14:paraId="60D5D55B">
            <w:pPr>
              <w:adjustRightInd w:val="0"/>
              <w:snapToGrid w:val="0"/>
              <w:spacing w:line="360" w:lineRule="exact"/>
              <w:jc w:val="center"/>
              <w:rPr>
                <w:rFonts w:ascii="宋体" w:hAnsi="宋体" w:eastAsia="宋体" w:cs="Times New Roman"/>
                <w:color w:val="auto"/>
              </w:rPr>
            </w:pPr>
          </w:p>
        </w:tc>
      </w:tr>
      <w:tr w14:paraId="44898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54" w:hRule="atLeast"/>
          <w:jc w:val="center"/>
        </w:trPr>
        <w:tc>
          <w:tcPr>
            <w:tcW w:w="636" w:type="dxa"/>
            <w:vMerge w:val="restart"/>
            <w:vAlign w:val="center"/>
          </w:tcPr>
          <w:p w14:paraId="36806E04">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钻井</w:t>
            </w:r>
          </w:p>
        </w:tc>
        <w:tc>
          <w:tcPr>
            <w:tcW w:w="857" w:type="dxa"/>
            <w:vMerge w:val="restart"/>
            <w:vAlign w:val="center"/>
          </w:tcPr>
          <w:p w14:paraId="780965D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冲洗钻台、钻具等设备</w:t>
            </w:r>
          </w:p>
        </w:tc>
        <w:tc>
          <w:tcPr>
            <w:tcW w:w="692" w:type="dxa"/>
            <w:vAlign w:val="center"/>
          </w:tcPr>
          <w:p w14:paraId="1B94F9D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水基钻井废水</w:t>
            </w:r>
          </w:p>
        </w:tc>
        <w:tc>
          <w:tcPr>
            <w:tcW w:w="787" w:type="dxa"/>
            <w:vAlign w:val="center"/>
          </w:tcPr>
          <w:p w14:paraId="3D4290C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COD、SS</w:t>
            </w:r>
          </w:p>
        </w:tc>
        <w:tc>
          <w:tcPr>
            <w:tcW w:w="568" w:type="dxa"/>
            <w:vAlign w:val="center"/>
          </w:tcPr>
          <w:p w14:paraId="3DB978BD">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708" w:type="dxa"/>
            <w:vAlign w:val="center"/>
          </w:tcPr>
          <w:p w14:paraId="0F59BEF5">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111</w:t>
            </w:r>
          </w:p>
        </w:tc>
        <w:tc>
          <w:tcPr>
            <w:tcW w:w="711" w:type="dxa"/>
            <w:vAlign w:val="center"/>
          </w:tcPr>
          <w:p w14:paraId="00FF7DB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65" w:type="dxa"/>
            <w:vAlign w:val="center"/>
          </w:tcPr>
          <w:p w14:paraId="6487B97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4407" w:type="dxa"/>
            <w:vAlign w:val="center"/>
          </w:tcPr>
          <w:p w14:paraId="45E2E31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排入井场水基钢制泥浆槽中，及时拉运至大庆油田昆仑集团有限公司环保分公司处理</w:t>
            </w:r>
          </w:p>
        </w:tc>
        <w:tc>
          <w:tcPr>
            <w:tcW w:w="557" w:type="dxa"/>
            <w:vAlign w:val="center"/>
          </w:tcPr>
          <w:p w14:paraId="2C2F055C">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100</w:t>
            </w:r>
          </w:p>
        </w:tc>
        <w:tc>
          <w:tcPr>
            <w:tcW w:w="616" w:type="dxa"/>
            <w:vAlign w:val="center"/>
          </w:tcPr>
          <w:p w14:paraId="22ED54A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789" w:type="dxa"/>
            <w:vAlign w:val="center"/>
          </w:tcPr>
          <w:p w14:paraId="05D4F697">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772" w:type="dxa"/>
            <w:vAlign w:val="center"/>
          </w:tcPr>
          <w:p w14:paraId="5604BE9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655" w:type="dxa"/>
            <w:vAlign w:val="center"/>
          </w:tcPr>
          <w:p w14:paraId="0F11A35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672" w:type="dxa"/>
            <w:vAlign w:val="center"/>
          </w:tcPr>
          <w:p w14:paraId="32B428A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钻井期</w:t>
            </w:r>
          </w:p>
        </w:tc>
      </w:tr>
      <w:tr w14:paraId="3E3EB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54" w:hRule="atLeast"/>
          <w:jc w:val="center"/>
        </w:trPr>
        <w:tc>
          <w:tcPr>
            <w:tcW w:w="636" w:type="dxa"/>
            <w:vMerge w:val="continue"/>
            <w:vAlign w:val="center"/>
          </w:tcPr>
          <w:p w14:paraId="6A14119B">
            <w:pPr>
              <w:spacing w:line="360" w:lineRule="exact"/>
              <w:jc w:val="center"/>
              <w:rPr>
                <w:rFonts w:ascii="宋体" w:hAnsi="宋体" w:eastAsia="宋体" w:cs="Times New Roman"/>
                <w:snapToGrid w:val="0"/>
                <w:color w:val="auto"/>
              </w:rPr>
            </w:pPr>
          </w:p>
        </w:tc>
        <w:tc>
          <w:tcPr>
            <w:tcW w:w="857" w:type="dxa"/>
            <w:vMerge w:val="continue"/>
            <w:vAlign w:val="center"/>
          </w:tcPr>
          <w:p w14:paraId="1EF4565B">
            <w:pPr>
              <w:spacing w:line="360" w:lineRule="exact"/>
              <w:jc w:val="center"/>
              <w:rPr>
                <w:rFonts w:ascii="宋体" w:hAnsi="宋体" w:eastAsia="宋体" w:cs="Times New Roman"/>
                <w:snapToGrid w:val="0"/>
                <w:color w:val="auto"/>
              </w:rPr>
            </w:pPr>
          </w:p>
        </w:tc>
        <w:tc>
          <w:tcPr>
            <w:tcW w:w="692" w:type="dxa"/>
            <w:vAlign w:val="center"/>
          </w:tcPr>
          <w:p w14:paraId="1EA19BE1">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油基钻井废水</w:t>
            </w:r>
          </w:p>
        </w:tc>
        <w:tc>
          <w:tcPr>
            <w:tcW w:w="787" w:type="dxa"/>
            <w:vAlign w:val="center"/>
          </w:tcPr>
          <w:p w14:paraId="38E5D0C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COD、SS、石油类</w:t>
            </w:r>
          </w:p>
        </w:tc>
        <w:tc>
          <w:tcPr>
            <w:tcW w:w="568" w:type="dxa"/>
            <w:vAlign w:val="center"/>
          </w:tcPr>
          <w:p w14:paraId="6386DAB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708" w:type="dxa"/>
            <w:vAlign w:val="center"/>
          </w:tcPr>
          <w:p w14:paraId="4781DE26">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205.2</w:t>
            </w:r>
          </w:p>
        </w:tc>
        <w:tc>
          <w:tcPr>
            <w:tcW w:w="711" w:type="dxa"/>
            <w:vAlign w:val="center"/>
          </w:tcPr>
          <w:p w14:paraId="5C3423B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65" w:type="dxa"/>
            <w:vAlign w:val="center"/>
          </w:tcPr>
          <w:p w14:paraId="574AB0A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4407" w:type="dxa"/>
            <w:vAlign w:val="center"/>
          </w:tcPr>
          <w:p w14:paraId="676868C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排入井场设置的油基钢制泥浆槽中，委托黑龙江迈景环保科技有限公司处理，处理后的污水进入污水罐储存，定期拉运至朝二联含油污水处理站处理满足《大庆油田地面工程建设设计规定》（Q/SYDQ0639-2015）及《碎屑岩油藏注水水质指标技术要求及分析方法》（SY/T5329-2022）限值要求后回注油层</w:t>
            </w:r>
          </w:p>
        </w:tc>
        <w:tc>
          <w:tcPr>
            <w:tcW w:w="557" w:type="dxa"/>
            <w:vAlign w:val="center"/>
          </w:tcPr>
          <w:p w14:paraId="2B87D61C">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100</w:t>
            </w:r>
          </w:p>
        </w:tc>
        <w:tc>
          <w:tcPr>
            <w:tcW w:w="616" w:type="dxa"/>
            <w:vAlign w:val="center"/>
          </w:tcPr>
          <w:p w14:paraId="152DBEC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789" w:type="dxa"/>
            <w:vAlign w:val="center"/>
          </w:tcPr>
          <w:p w14:paraId="16FC7A2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772" w:type="dxa"/>
            <w:vAlign w:val="center"/>
          </w:tcPr>
          <w:p w14:paraId="6EE754A1">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655" w:type="dxa"/>
            <w:vAlign w:val="center"/>
          </w:tcPr>
          <w:p w14:paraId="3BA6873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672" w:type="dxa"/>
            <w:vAlign w:val="center"/>
          </w:tcPr>
          <w:p w14:paraId="7E9F3EF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钻井期</w:t>
            </w:r>
          </w:p>
        </w:tc>
      </w:tr>
      <w:tr w14:paraId="0A350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54" w:hRule="atLeast"/>
          <w:jc w:val="center"/>
        </w:trPr>
        <w:tc>
          <w:tcPr>
            <w:tcW w:w="636" w:type="dxa"/>
            <w:vAlign w:val="center"/>
          </w:tcPr>
          <w:p w14:paraId="07616F4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管线试压</w:t>
            </w:r>
          </w:p>
        </w:tc>
        <w:tc>
          <w:tcPr>
            <w:tcW w:w="857" w:type="dxa"/>
            <w:vAlign w:val="center"/>
          </w:tcPr>
          <w:p w14:paraId="3FF7BA5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试压</w:t>
            </w:r>
          </w:p>
        </w:tc>
        <w:tc>
          <w:tcPr>
            <w:tcW w:w="692" w:type="dxa"/>
            <w:vAlign w:val="center"/>
          </w:tcPr>
          <w:p w14:paraId="1DB4352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试压废水</w:t>
            </w:r>
          </w:p>
        </w:tc>
        <w:tc>
          <w:tcPr>
            <w:tcW w:w="787" w:type="dxa"/>
            <w:vAlign w:val="center"/>
          </w:tcPr>
          <w:p w14:paraId="2568170D">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SS</w:t>
            </w:r>
          </w:p>
        </w:tc>
        <w:tc>
          <w:tcPr>
            <w:tcW w:w="568" w:type="dxa"/>
            <w:vMerge w:val="restart"/>
            <w:vAlign w:val="center"/>
          </w:tcPr>
          <w:p w14:paraId="2549073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708" w:type="dxa"/>
            <w:vAlign w:val="center"/>
          </w:tcPr>
          <w:p w14:paraId="7DA5C8DA">
            <w:pPr>
              <w:spacing w:line="360" w:lineRule="exact"/>
              <w:jc w:val="center"/>
              <w:rPr>
                <w:rFonts w:ascii="宋体" w:hAnsi="宋体" w:eastAsia="宋体" w:cs="Times New Roman"/>
                <w:snapToGrid w:val="0"/>
                <w:color w:val="auto"/>
              </w:rPr>
            </w:pPr>
            <w:r>
              <w:rPr>
                <w:rFonts w:ascii="宋体" w:hAnsi="宋体" w:eastAsia="宋体" w:cs="Times New Roman"/>
                <w:color w:val="auto"/>
                <w:kern w:val="21"/>
              </w:rPr>
              <w:t>0.114</w:t>
            </w:r>
          </w:p>
        </w:tc>
        <w:tc>
          <w:tcPr>
            <w:tcW w:w="711" w:type="dxa"/>
            <w:vAlign w:val="center"/>
          </w:tcPr>
          <w:p w14:paraId="5C173C2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65" w:type="dxa"/>
            <w:vAlign w:val="center"/>
          </w:tcPr>
          <w:p w14:paraId="026C29E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4407" w:type="dxa"/>
            <w:vAlign w:val="center"/>
          </w:tcPr>
          <w:p w14:paraId="0A8FFBB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由罐车拉运至朝二联含油污水处理站处理达标后回注油层</w:t>
            </w:r>
          </w:p>
        </w:tc>
        <w:tc>
          <w:tcPr>
            <w:tcW w:w="557" w:type="dxa"/>
            <w:vAlign w:val="center"/>
          </w:tcPr>
          <w:p w14:paraId="50B8D7A1">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100</w:t>
            </w:r>
          </w:p>
        </w:tc>
        <w:tc>
          <w:tcPr>
            <w:tcW w:w="616" w:type="dxa"/>
            <w:vMerge w:val="restart"/>
            <w:vAlign w:val="center"/>
          </w:tcPr>
          <w:p w14:paraId="5E3509C7">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789" w:type="dxa"/>
            <w:vAlign w:val="center"/>
          </w:tcPr>
          <w:p w14:paraId="33C5011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772" w:type="dxa"/>
            <w:vAlign w:val="center"/>
          </w:tcPr>
          <w:p w14:paraId="27C7BB7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655" w:type="dxa"/>
            <w:vAlign w:val="center"/>
          </w:tcPr>
          <w:p w14:paraId="3470154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672" w:type="dxa"/>
            <w:vAlign w:val="center"/>
          </w:tcPr>
          <w:p w14:paraId="4AED3C74">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管线试压期间</w:t>
            </w:r>
          </w:p>
        </w:tc>
      </w:tr>
      <w:tr w14:paraId="60236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80" w:hRule="atLeast"/>
          <w:jc w:val="center"/>
        </w:trPr>
        <w:tc>
          <w:tcPr>
            <w:tcW w:w="636" w:type="dxa"/>
            <w:vMerge w:val="restart"/>
            <w:vAlign w:val="center"/>
          </w:tcPr>
          <w:p w14:paraId="2FF5D48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压裂</w:t>
            </w:r>
          </w:p>
        </w:tc>
        <w:tc>
          <w:tcPr>
            <w:tcW w:w="857" w:type="dxa"/>
            <w:vMerge w:val="restart"/>
            <w:vAlign w:val="center"/>
          </w:tcPr>
          <w:p w14:paraId="04E8157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压裂车</w:t>
            </w:r>
          </w:p>
        </w:tc>
        <w:tc>
          <w:tcPr>
            <w:tcW w:w="692" w:type="dxa"/>
            <w:vMerge w:val="restart"/>
            <w:vAlign w:val="center"/>
          </w:tcPr>
          <w:p w14:paraId="568C53D1">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压裂返排液</w:t>
            </w:r>
          </w:p>
        </w:tc>
        <w:tc>
          <w:tcPr>
            <w:tcW w:w="787" w:type="dxa"/>
            <w:tcBorders>
              <w:bottom w:val="single" w:color="auto" w:sz="4" w:space="0"/>
            </w:tcBorders>
            <w:vAlign w:val="center"/>
          </w:tcPr>
          <w:p w14:paraId="60784DB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石油类</w:t>
            </w:r>
          </w:p>
        </w:tc>
        <w:tc>
          <w:tcPr>
            <w:tcW w:w="568" w:type="dxa"/>
            <w:vMerge w:val="continue"/>
            <w:vAlign w:val="center"/>
          </w:tcPr>
          <w:p w14:paraId="024B638B">
            <w:pPr>
              <w:spacing w:line="360" w:lineRule="exact"/>
              <w:jc w:val="center"/>
              <w:rPr>
                <w:rFonts w:ascii="宋体" w:hAnsi="宋体" w:eastAsia="宋体" w:cs="Times New Roman"/>
                <w:snapToGrid w:val="0"/>
                <w:color w:val="auto"/>
              </w:rPr>
            </w:pPr>
          </w:p>
        </w:tc>
        <w:tc>
          <w:tcPr>
            <w:tcW w:w="708" w:type="dxa"/>
            <w:vMerge w:val="restart"/>
            <w:vAlign w:val="center"/>
          </w:tcPr>
          <w:p w14:paraId="21368618">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420</w:t>
            </w:r>
          </w:p>
        </w:tc>
        <w:tc>
          <w:tcPr>
            <w:tcW w:w="711" w:type="dxa"/>
            <w:tcBorders>
              <w:bottom w:val="single" w:color="auto" w:sz="4" w:space="0"/>
            </w:tcBorders>
            <w:vAlign w:val="center"/>
          </w:tcPr>
          <w:p w14:paraId="43C2FBD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500</w:t>
            </w:r>
          </w:p>
        </w:tc>
        <w:tc>
          <w:tcPr>
            <w:tcW w:w="565" w:type="dxa"/>
            <w:tcBorders>
              <w:bottom w:val="single" w:color="auto" w:sz="4" w:space="0"/>
            </w:tcBorders>
            <w:vAlign w:val="center"/>
          </w:tcPr>
          <w:p w14:paraId="2A4475F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0.21</w:t>
            </w:r>
          </w:p>
        </w:tc>
        <w:tc>
          <w:tcPr>
            <w:tcW w:w="4407" w:type="dxa"/>
            <w:vMerge w:val="restart"/>
            <w:vAlign w:val="center"/>
          </w:tcPr>
          <w:p w14:paraId="1F6F7A07">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由罐车拉运至朝一联压裂返排液无害化处理站处理，处置后污水管输进入朝一联含油污水处理站</w:t>
            </w:r>
          </w:p>
        </w:tc>
        <w:tc>
          <w:tcPr>
            <w:tcW w:w="557" w:type="dxa"/>
            <w:vMerge w:val="restart"/>
            <w:vAlign w:val="center"/>
          </w:tcPr>
          <w:p w14:paraId="12A90F7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100</w:t>
            </w:r>
          </w:p>
        </w:tc>
        <w:tc>
          <w:tcPr>
            <w:tcW w:w="616" w:type="dxa"/>
            <w:vMerge w:val="continue"/>
            <w:vAlign w:val="center"/>
          </w:tcPr>
          <w:p w14:paraId="7AC35FE2">
            <w:pPr>
              <w:spacing w:line="360" w:lineRule="exact"/>
              <w:jc w:val="center"/>
              <w:rPr>
                <w:rFonts w:ascii="宋体" w:hAnsi="宋体" w:eastAsia="宋体" w:cs="Times New Roman"/>
                <w:snapToGrid w:val="0"/>
                <w:color w:val="auto"/>
              </w:rPr>
            </w:pPr>
          </w:p>
        </w:tc>
        <w:tc>
          <w:tcPr>
            <w:tcW w:w="789" w:type="dxa"/>
            <w:vMerge w:val="restart"/>
            <w:vAlign w:val="center"/>
          </w:tcPr>
          <w:p w14:paraId="3442538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772" w:type="dxa"/>
            <w:vMerge w:val="restart"/>
            <w:vAlign w:val="center"/>
          </w:tcPr>
          <w:p w14:paraId="6F8AD6E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655" w:type="dxa"/>
            <w:vMerge w:val="restart"/>
            <w:vAlign w:val="center"/>
          </w:tcPr>
          <w:p w14:paraId="3C624D1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w:t>
            </w:r>
          </w:p>
        </w:tc>
        <w:tc>
          <w:tcPr>
            <w:tcW w:w="672" w:type="dxa"/>
            <w:vMerge w:val="restart"/>
            <w:vAlign w:val="center"/>
          </w:tcPr>
          <w:p w14:paraId="2234D6D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压裂期</w:t>
            </w:r>
          </w:p>
        </w:tc>
      </w:tr>
      <w:tr w14:paraId="55A05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60" w:hRule="atLeast"/>
          <w:jc w:val="center"/>
        </w:trPr>
        <w:tc>
          <w:tcPr>
            <w:tcW w:w="636" w:type="dxa"/>
            <w:vMerge w:val="continue"/>
            <w:vAlign w:val="center"/>
          </w:tcPr>
          <w:p w14:paraId="48F6E695">
            <w:pPr>
              <w:spacing w:line="360" w:lineRule="exact"/>
              <w:jc w:val="center"/>
              <w:rPr>
                <w:rFonts w:ascii="宋体" w:hAnsi="宋体" w:eastAsia="宋体" w:cs="Times New Roman"/>
                <w:snapToGrid w:val="0"/>
                <w:color w:val="auto"/>
              </w:rPr>
            </w:pPr>
          </w:p>
        </w:tc>
        <w:tc>
          <w:tcPr>
            <w:tcW w:w="857" w:type="dxa"/>
            <w:vMerge w:val="continue"/>
            <w:vAlign w:val="center"/>
          </w:tcPr>
          <w:p w14:paraId="42F8AFC1">
            <w:pPr>
              <w:spacing w:line="360" w:lineRule="exact"/>
              <w:jc w:val="center"/>
              <w:rPr>
                <w:rFonts w:ascii="宋体" w:hAnsi="宋体" w:eastAsia="宋体" w:cs="Times New Roman"/>
                <w:snapToGrid w:val="0"/>
                <w:color w:val="auto"/>
              </w:rPr>
            </w:pPr>
          </w:p>
        </w:tc>
        <w:tc>
          <w:tcPr>
            <w:tcW w:w="692" w:type="dxa"/>
            <w:vMerge w:val="continue"/>
            <w:vAlign w:val="center"/>
          </w:tcPr>
          <w:p w14:paraId="597B5FD8">
            <w:pPr>
              <w:spacing w:line="360" w:lineRule="exact"/>
              <w:jc w:val="center"/>
              <w:rPr>
                <w:rFonts w:ascii="宋体" w:hAnsi="宋体" w:eastAsia="宋体" w:cs="Times New Roman"/>
                <w:snapToGrid w:val="0"/>
                <w:color w:val="auto"/>
              </w:rPr>
            </w:pPr>
          </w:p>
        </w:tc>
        <w:tc>
          <w:tcPr>
            <w:tcW w:w="787" w:type="dxa"/>
            <w:tcBorders>
              <w:top w:val="single" w:color="auto" w:sz="4" w:space="0"/>
            </w:tcBorders>
            <w:vAlign w:val="center"/>
          </w:tcPr>
          <w:p w14:paraId="6D18CE6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SS</w:t>
            </w:r>
          </w:p>
        </w:tc>
        <w:tc>
          <w:tcPr>
            <w:tcW w:w="568" w:type="dxa"/>
            <w:vMerge w:val="continue"/>
            <w:vAlign w:val="center"/>
          </w:tcPr>
          <w:p w14:paraId="6BB39664">
            <w:pPr>
              <w:spacing w:line="360" w:lineRule="exact"/>
              <w:jc w:val="center"/>
              <w:rPr>
                <w:rFonts w:ascii="宋体" w:hAnsi="宋体" w:eastAsia="宋体" w:cs="Times New Roman"/>
                <w:snapToGrid w:val="0"/>
                <w:color w:val="auto"/>
              </w:rPr>
            </w:pPr>
          </w:p>
        </w:tc>
        <w:tc>
          <w:tcPr>
            <w:tcW w:w="708" w:type="dxa"/>
            <w:vMerge w:val="continue"/>
            <w:vAlign w:val="center"/>
          </w:tcPr>
          <w:p w14:paraId="639D6B18">
            <w:pPr>
              <w:spacing w:line="360" w:lineRule="exact"/>
              <w:jc w:val="center"/>
              <w:rPr>
                <w:rFonts w:ascii="宋体" w:hAnsi="宋体" w:eastAsia="宋体" w:cs="Times New Roman"/>
                <w:color w:val="auto"/>
                <w:kern w:val="21"/>
              </w:rPr>
            </w:pPr>
          </w:p>
        </w:tc>
        <w:tc>
          <w:tcPr>
            <w:tcW w:w="711" w:type="dxa"/>
            <w:tcBorders>
              <w:top w:val="single" w:color="auto" w:sz="4" w:space="0"/>
            </w:tcBorders>
            <w:vAlign w:val="center"/>
          </w:tcPr>
          <w:p w14:paraId="29225FCC">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3500</w:t>
            </w:r>
          </w:p>
        </w:tc>
        <w:tc>
          <w:tcPr>
            <w:tcW w:w="565" w:type="dxa"/>
            <w:tcBorders>
              <w:top w:val="single" w:color="auto" w:sz="4" w:space="0"/>
            </w:tcBorders>
            <w:vAlign w:val="center"/>
          </w:tcPr>
          <w:p w14:paraId="26C1D40D">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1.47</w:t>
            </w:r>
          </w:p>
        </w:tc>
        <w:tc>
          <w:tcPr>
            <w:tcW w:w="4407" w:type="dxa"/>
            <w:vMerge w:val="continue"/>
            <w:vAlign w:val="center"/>
          </w:tcPr>
          <w:p w14:paraId="74F0C060">
            <w:pPr>
              <w:spacing w:line="360" w:lineRule="exact"/>
              <w:jc w:val="center"/>
              <w:rPr>
                <w:rFonts w:ascii="宋体" w:hAnsi="宋体" w:eastAsia="宋体" w:cs="Times New Roman"/>
                <w:snapToGrid w:val="0"/>
                <w:color w:val="auto"/>
              </w:rPr>
            </w:pPr>
          </w:p>
        </w:tc>
        <w:tc>
          <w:tcPr>
            <w:tcW w:w="557" w:type="dxa"/>
            <w:vMerge w:val="continue"/>
            <w:vAlign w:val="center"/>
          </w:tcPr>
          <w:p w14:paraId="531111EB">
            <w:pPr>
              <w:spacing w:line="360" w:lineRule="exact"/>
              <w:jc w:val="center"/>
              <w:rPr>
                <w:rFonts w:ascii="宋体" w:hAnsi="宋体" w:eastAsia="宋体" w:cs="Times New Roman"/>
                <w:snapToGrid w:val="0"/>
                <w:color w:val="auto"/>
              </w:rPr>
            </w:pPr>
          </w:p>
        </w:tc>
        <w:tc>
          <w:tcPr>
            <w:tcW w:w="616" w:type="dxa"/>
            <w:vMerge w:val="continue"/>
            <w:vAlign w:val="center"/>
          </w:tcPr>
          <w:p w14:paraId="50E945B4">
            <w:pPr>
              <w:spacing w:line="360" w:lineRule="exact"/>
              <w:jc w:val="center"/>
              <w:rPr>
                <w:rFonts w:ascii="宋体" w:hAnsi="宋体" w:eastAsia="宋体" w:cs="Times New Roman"/>
                <w:snapToGrid w:val="0"/>
                <w:color w:val="auto"/>
              </w:rPr>
            </w:pPr>
          </w:p>
        </w:tc>
        <w:tc>
          <w:tcPr>
            <w:tcW w:w="789" w:type="dxa"/>
            <w:vMerge w:val="continue"/>
            <w:vAlign w:val="center"/>
          </w:tcPr>
          <w:p w14:paraId="2023E25C">
            <w:pPr>
              <w:spacing w:line="360" w:lineRule="exact"/>
              <w:jc w:val="center"/>
              <w:rPr>
                <w:rFonts w:ascii="宋体" w:hAnsi="宋体" w:eastAsia="宋体" w:cs="Times New Roman"/>
                <w:snapToGrid w:val="0"/>
                <w:color w:val="auto"/>
              </w:rPr>
            </w:pPr>
          </w:p>
        </w:tc>
        <w:tc>
          <w:tcPr>
            <w:tcW w:w="772" w:type="dxa"/>
            <w:vMerge w:val="continue"/>
            <w:vAlign w:val="center"/>
          </w:tcPr>
          <w:p w14:paraId="1BAFA057">
            <w:pPr>
              <w:spacing w:line="360" w:lineRule="exact"/>
              <w:jc w:val="center"/>
              <w:rPr>
                <w:rFonts w:ascii="宋体" w:hAnsi="宋体" w:eastAsia="宋体" w:cs="Times New Roman"/>
                <w:snapToGrid w:val="0"/>
                <w:color w:val="auto"/>
              </w:rPr>
            </w:pPr>
          </w:p>
        </w:tc>
        <w:tc>
          <w:tcPr>
            <w:tcW w:w="655" w:type="dxa"/>
            <w:vMerge w:val="continue"/>
            <w:vAlign w:val="center"/>
          </w:tcPr>
          <w:p w14:paraId="3BA6F6EF">
            <w:pPr>
              <w:spacing w:line="360" w:lineRule="exact"/>
              <w:jc w:val="center"/>
              <w:rPr>
                <w:rFonts w:ascii="宋体" w:hAnsi="宋体" w:eastAsia="宋体" w:cs="Times New Roman"/>
                <w:snapToGrid w:val="0"/>
                <w:color w:val="auto"/>
              </w:rPr>
            </w:pPr>
          </w:p>
        </w:tc>
        <w:tc>
          <w:tcPr>
            <w:tcW w:w="672" w:type="dxa"/>
            <w:vMerge w:val="continue"/>
            <w:vAlign w:val="center"/>
          </w:tcPr>
          <w:p w14:paraId="0F5BF3B0">
            <w:pPr>
              <w:spacing w:line="360" w:lineRule="exact"/>
              <w:jc w:val="center"/>
              <w:rPr>
                <w:rFonts w:ascii="宋体" w:hAnsi="宋体" w:eastAsia="宋体" w:cs="Times New Roman"/>
                <w:snapToGrid w:val="0"/>
                <w:color w:val="auto"/>
              </w:rPr>
            </w:pPr>
          </w:p>
        </w:tc>
      </w:tr>
      <w:tr w14:paraId="2FB88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77" w:hRule="atLeast"/>
          <w:jc w:val="center"/>
        </w:trPr>
        <w:tc>
          <w:tcPr>
            <w:tcW w:w="636" w:type="dxa"/>
            <w:vMerge w:val="restart"/>
            <w:vAlign w:val="center"/>
          </w:tcPr>
          <w:p w14:paraId="034F0AF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施工</w:t>
            </w:r>
          </w:p>
        </w:tc>
        <w:tc>
          <w:tcPr>
            <w:tcW w:w="857" w:type="dxa"/>
            <w:vMerge w:val="restart"/>
            <w:vAlign w:val="center"/>
          </w:tcPr>
          <w:p w14:paraId="0A647E2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生活</w:t>
            </w:r>
          </w:p>
        </w:tc>
        <w:tc>
          <w:tcPr>
            <w:tcW w:w="692" w:type="dxa"/>
            <w:vMerge w:val="restart"/>
            <w:vAlign w:val="center"/>
          </w:tcPr>
          <w:p w14:paraId="4C48382C">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生活污水</w:t>
            </w:r>
          </w:p>
        </w:tc>
        <w:tc>
          <w:tcPr>
            <w:tcW w:w="787" w:type="dxa"/>
            <w:tcBorders>
              <w:bottom w:val="single" w:color="auto" w:sz="4" w:space="0"/>
            </w:tcBorders>
            <w:vAlign w:val="center"/>
          </w:tcPr>
          <w:p w14:paraId="099FBB9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COD</w:t>
            </w:r>
          </w:p>
        </w:tc>
        <w:tc>
          <w:tcPr>
            <w:tcW w:w="568" w:type="dxa"/>
            <w:vMerge w:val="continue"/>
            <w:vAlign w:val="center"/>
          </w:tcPr>
          <w:p w14:paraId="4FEBF1E2">
            <w:pPr>
              <w:spacing w:line="360" w:lineRule="exact"/>
              <w:jc w:val="center"/>
              <w:rPr>
                <w:rFonts w:ascii="宋体" w:hAnsi="宋体" w:eastAsia="宋体" w:cs="Times New Roman"/>
                <w:snapToGrid w:val="0"/>
                <w:color w:val="auto"/>
              </w:rPr>
            </w:pPr>
          </w:p>
        </w:tc>
        <w:tc>
          <w:tcPr>
            <w:tcW w:w="708" w:type="dxa"/>
            <w:vMerge w:val="restart"/>
            <w:vAlign w:val="center"/>
          </w:tcPr>
          <w:p w14:paraId="29AB5221">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235.5</w:t>
            </w:r>
          </w:p>
        </w:tc>
        <w:tc>
          <w:tcPr>
            <w:tcW w:w="711" w:type="dxa"/>
            <w:tcBorders>
              <w:bottom w:val="single" w:color="auto" w:sz="4" w:space="0"/>
            </w:tcBorders>
            <w:vAlign w:val="center"/>
          </w:tcPr>
          <w:p w14:paraId="2C7A8C7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300</w:t>
            </w:r>
          </w:p>
        </w:tc>
        <w:tc>
          <w:tcPr>
            <w:tcW w:w="565" w:type="dxa"/>
            <w:tcBorders>
              <w:bottom w:val="single" w:color="auto" w:sz="4" w:space="0"/>
            </w:tcBorders>
            <w:vAlign w:val="center"/>
          </w:tcPr>
          <w:p w14:paraId="746B67D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0.07</w:t>
            </w:r>
          </w:p>
        </w:tc>
        <w:tc>
          <w:tcPr>
            <w:tcW w:w="4407" w:type="dxa"/>
            <w:vMerge w:val="restart"/>
            <w:vAlign w:val="center"/>
          </w:tcPr>
          <w:p w14:paraId="577BFFF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w:t>
            </w:r>
          </w:p>
        </w:tc>
        <w:tc>
          <w:tcPr>
            <w:tcW w:w="557" w:type="dxa"/>
            <w:vMerge w:val="restart"/>
            <w:vAlign w:val="center"/>
          </w:tcPr>
          <w:p w14:paraId="4B189F6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16" w:type="dxa"/>
            <w:vMerge w:val="continue"/>
            <w:vAlign w:val="center"/>
          </w:tcPr>
          <w:p w14:paraId="0AA7C3A8">
            <w:pPr>
              <w:spacing w:line="360" w:lineRule="exact"/>
              <w:jc w:val="center"/>
              <w:rPr>
                <w:rFonts w:ascii="宋体" w:hAnsi="宋体" w:eastAsia="宋体" w:cs="Times New Roman"/>
                <w:snapToGrid w:val="0"/>
                <w:color w:val="auto"/>
              </w:rPr>
            </w:pPr>
          </w:p>
        </w:tc>
        <w:tc>
          <w:tcPr>
            <w:tcW w:w="789" w:type="dxa"/>
            <w:vMerge w:val="restart"/>
            <w:vAlign w:val="center"/>
          </w:tcPr>
          <w:p w14:paraId="6109AEF7">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235.5</w:t>
            </w:r>
          </w:p>
        </w:tc>
        <w:tc>
          <w:tcPr>
            <w:tcW w:w="772" w:type="dxa"/>
            <w:tcBorders>
              <w:bottom w:val="single" w:color="auto" w:sz="4" w:space="0"/>
            </w:tcBorders>
            <w:vAlign w:val="center"/>
          </w:tcPr>
          <w:p w14:paraId="4B8A16A4">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34</w:t>
            </w:r>
          </w:p>
        </w:tc>
        <w:tc>
          <w:tcPr>
            <w:tcW w:w="655" w:type="dxa"/>
            <w:tcBorders>
              <w:bottom w:val="single" w:color="auto" w:sz="4" w:space="0"/>
            </w:tcBorders>
            <w:vAlign w:val="center"/>
          </w:tcPr>
          <w:p w14:paraId="0B93746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0.008</w:t>
            </w:r>
          </w:p>
        </w:tc>
        <w:tc>
          <w:tcPr>
            <w:tcW w:w="672" w:type="dxa"/>
            <w:vMerge w:val="restart"/>
            <w:vAlign w:val="center"/>
          </w:tcPr>
          <w:p w14:paraId="32E5AA0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施工期</w:t>
            </w:r>
          </w:p>
        </w:tc>
      </w:tr>
      <w:tr w14:paraId="128E2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30" w:hRule="atLeast"/>
          <w:jc w:val="center"/>
        </w:trPr>
        <w:tc>
          <w:tcPr>
            <w:tcW w:w="636" w:type="dxa"/>
            <w:vMerge w:val="continue"/>
            <w:vAlign w:val="center"/>
          </w:tcPr>
          <w:p w14:paraId="54F08505">
            <w:pPr>
              <w:spacing w:line="360" w:lineRule="exact"/>
              <w:jc w:val="center"/>
              <w:rPr>
                <w:rFonts w:ascii="宋体" w:hAnsi="宋体" w:eastAsia="宋体" w:cs="Times New Roman"/>
                <w:snapToGrid w:val="0"/>
                <w:color w:val="auto"/>
              </w:rPr>
            </w:pPr>
          </w:p>
        </w:tc>
        <w:tc>
          <w:tcPr>
            <w:tcW w:w="857" w:type="dxa"/>
            <w:vMerge w:val="continue"/>
            <w:vAlign w:val="center"/>
          </w:tcPr>
          <w:p w14:paraId="2A2C0256">
            <w:pPr>
              <w:spacing w:line="360" w:lineRule="exact"/>
              <w:jc w:val="center"/>
              <w:rPr>
                <w:rFonts w:ascii="宋体" w:hAnsi="宋体" w:eastAsia="宋体" w:cs="Times New Roman"/>
                <w:snapToGrid w:val="0"/>
                <w:color w:val="auto"/>
              </w:rPr>
            </w:pPr>
          </w:p>
        </w:tc>
        <w:tc>
          <w:tcPr>
            <w:tcW w:w="692" w:type="dxa"/>
            <w:vMerge w:val="continue"/>
            <w:vAlign w:val="center"/>
          </w:tcPr>
          <w:p w14:paraId="756257D5">
            <w:pPr>
              <w:spacing w:line="360" w:lineRule="exact"/>
              <w:jc w:val="center"/>
              <w:rPr>
                <w:rFonts w:ascii="宋体" w:hAnsi="宋体" w:eastAsia="宋体" w:cs="Times New Roman"/>
                <w:snapToGrid w:val="0"/>
                <w:color w:val="auto"/>
              </w:rPr>
            </w:pPr>
          </w:p>
        </w:tc>
        <w:tc>
          <w:tcPr>
            <w:tcW w:w="787" w:type="dxa"/>
            <w:tcBorders>
              <w:top w:val="single" w:color="auto" w:sz="4" w:space="0"/>
              <w:bottom w:val="single" w:color="auto" w:sz="4" w:space="0"/>
            </w:tcBorders>
            <w:vAlign w:val="center"/>
          </w:tcPr>
          <w:p w14:paraId="58D0883A">
            <w:pPr>
              <w:spacing w:line="360" w:lineRule="exact"/>
              <w:jc w:val="center"/>
              <w:rPr>
                <w:rFonts w:ascii="宋体" w:hAnsi="宋体" w:eastAsia="宋体" w:cs="Times New Roman"/>
                <w:snapToGrid w:val="0"/>
                <w:color w:val="auto"/>
              </w:rPr>
            </w:pPr>
            <w:r>
              <w:rPr>
                <w:rFonts w:ascii="宋体" w:hAnsi="宋体" w:eastAsia="宋体" w:cs="Times New Roman"/>
                <w:color w:val="auto"/>
              </w:rPr>
              <w:t>氨氮</w:t>
            </w:r>
          </w:p>
        </w:tc>
        <w:tc>
          <w:tcPr>
            <w:tcW w:w="568" w:type="dxa"/>
            <w:vMerge w:val="continue"/>
            <w:vAlign w:val="center"/>
          </w:tcPr>
          <w:p w14:paraId="53071108">
            <w:pPr>
              <w:spacing w:line="360" w:lineRule="exact"/>
              <w:jc w:val="center"/>
              <w:rPr>
                <w:rFonts w:ascii="宋体" w:hAnsi="宋体" w:eastAsia="宋体" w:cs="Times New Roman"/>
                <w:snapToGrid w:val="0"/>
                <w:color w:val="auto"/>
              </w:rPr>
            </w:pPr>
          </w:p>
        </w:tc>
        <w:tc>
          <w:tcPr>
            <w:tcW w:w="708" w:type="dxa"/>
            <w:vMerge w:val="continue"/>
            <w:vAlign w:val="center"/>
          </w:tcPr>
          <w:p w14:paraId="51253254">
            <w:pPr>
              <w:spacing w:line="360" w:lineRule="exact"/>
              <w:jc w:val="center"/>
              <w:rPr>
                <w:rFonts w:ascii="宋体" w:hAnsi="宋体" w:eastAsia="宋体" w:cs="Times New Roman"/>
                <w:snapToGrid w:val="0"/>
                <w:color w:val="auto"/>
              </w:rPr>
            </w:pPr>
          </w:p>
        </w:tc>
        <w:tc>
          <w:tcPr>
            <w:tcW w:w="711" w:type="dxa"/>
            <w:tcBorders>
              <w:top w:val="single" w:color="auto" w:sz="4" w:space="0"/>
              <w:bottom w:val="single" w:color="auto" w:sz="4" w:space="0"/>
            </w:tcBorders>
            <w:vAlign w:val="center"/>
          </w:tcPr>
          <w:p w14:paraId="1B0892DD">
            <w:pPr>
              <w:spacing w:line="360" w:lineRule="exact"/>
              <w:jc w:val="center"/>
              <w:rPr>
                <w:rFonts w:ascii="宋体" w:hAnsi="宋体" w:eastAsia="宋体" w:cs="Times New Roman"/>
                <w:snapToGrid w:val="0"/>
                <w:color w:val="auto"/>
              </w:rPr>
            </w:pPr>
            <w:r>
              <w:rPr>
                <w:rFonts w:ascii="宋体" w:hAnsi="宋体" w:eastAsia="宋体" w:cs="Times New Roman"/>
                <w:color w:val="auto"/>
              </w:rPr>
              <w:t>30</w:t>
            </w:r>
          </w:p>
        </w:tc>
        <w:tc>
          <w:tcPr>
            <w:tcW w:w="565" w:type="dxa"/>
            <w:tcBorders>
              <w:top w:val="single" w:color="auto" w:sz="4" w:space="0"/>
              <w:bottom w:val="single" w:color="auto" w:sz="4" w:space="0"/>
            </w:tcBorders>
            <w:vAlign w:val="center"/>
          </w:tcPr>
          <w:p w14:paraId="32F6F3A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0.007</w:t>
            </w:r>
          </w:p>
        </w:tc>
        <w:tc>
          <w:tcPr>
            <w:tcW w:w="4407" w:type="dxa"/>
            <w:vMerge w:val="continue"/>
            <w:vAlign w:val="center"/>
          </w:tcPr>
          <w:p w14:paraId="46EE9042">
            <w:pPr>
              <w:spacing w:line="360" w:lineRule="exact"/>
              <w:jc w:val="center"/>
              <w:rPr>
                <w:rFonts w:ascii="宋体" w:hAnsi="宋体" w:eastAsia="宋体" w:cs="Times New Roman"/>
                <w:snapToGrid w:val="0"/>
                <w:color w:val="auto"/>
              </w:rPr>
            </w:pPr>
          </w:p>
        </w:tc>
        <w:tc>
          <w:tcPr>
            <w:tcW w:w="557" w:type="dxa"/>
            <w:vMerge w:val="continue"/>
            <w:vAlign w:val="center"/>
          </w:tcPr>
          <w:p w14:paraId="4921031A">
            <w:pPr>
              <w:spacing w:line="360" w:lineRule="exact"/>
              <w:jc w:val="center"/>
              <w:rPr>
                <w:rFonts w:ascii="宋体" w:hAnsi="宋体" w:eastAsia="宋体" w:cs="Times New Roman"/>
                <w:snapToGrid w:val="0"/>
                <w:color w:val="auto"/>
              </w:rPr>
            </w:pPr>
          </w:p>
        </w:tc>
        <w:tc>
          <w:tcPr>
            <w:tcW w:w="616" w:type="dxa"/>
            <w:vMerge w:val="continue"/>
            <w:vAlign w:val="center"/>
          </w:tcPr>
          <w:p w14:paraId="1280CF18">
            <w:pPr>
              <w:spacing w:line="360" w:lineRule="exact"/>
              <w:jc w:val="center"/>
              <w:rPr>
                <w:rFonts w:ascii="宋体" w:hAnsi="宋体" w:eastAsia="宋体" w:cs="Times New Roman"/>
                <w:snapToGrid w:val="0"/>
                <w:color w:val="auto"/>
              </w:rPr>
            </w:pPr>
          </w:p>
        </w:tc>
        <w:tc>
          <w:tcPr>
            <w:tcW w:w="789" w:type="dxa"/>
            <w:vMerge w:val="continue"/>
            <w:vAlign w:val="center"/>
          </w:tcPr>
          <w:p w14:paraId="72958C9B">
            <w:pPr>
              <w:spacing w:line="360" w:lineRule="exact"/>
              <w:jc w:val="center"/>
              <w:rPr>
                <w:rFonts w:ascii="宋体" w:hAnsi="宋体" w:eastAsia="宋体" w:cs="Times New Roman"/>
                <w:snapToGrid w:val="0"/>
                <w:color w:val="auto"/>
              </w:rPr>
            </w:pPr>
          </w:p>
        </w:tc>
        <w:tc>
          <w:tcPr>
            <w:tcW w:w="772" w:type="dxa"/>
            <w:tcBorders>
              <w:top w:val="single" w:color="auto" w:sz="4" w:space="0"/>
              <w:bottom w:val="single" w:color="auto" w:sz="4" w:space="0"/>
            </w:tcBorders>
            <w:vAlign w:val="center"/>
          </w:tcPr>
          <w:p w14:paraId="6E3FFBAF">
            <w:pPr>
              <w:spacing w:line="360" w:lineRule="exact"/>
              <w:jc w:val="center"/>
              <w:rPr>
                <w:rFonts w:ascii="宋体" w:hAnsi="宋体" w:eastAsia="宋体" w:cs="Times New Roman"/>
                <w:snapToGrid w:val="0"/>
                <w:color w:val="auto"/>
              </w:rPr>
            </w:pPr>
            <w:r>
              <w:rPr>
                <w:rFonts w:ascii="宋体" w:hAnsi="宋体" w:eastAsia="宋体" w:cs="Times New Roman"/>
                <w:color w:val="auto"/>
              </w:rPr>
              <w:t>0.678</w:t>
            </w:r>
          </w:p>
        </w:tc>
        <w:tc>
          <w:tcPr>
            <w:tcW w:w="655" w:type="dxa"/>
            <w:tcBorders>
              <w:top w:val="single" w:color="auto" w:sz="4" w:space="0"/>
              <w:bottom w:val="single" w:color="auto" w:sz="4" w:space="0"/>
            </w:tcBorders>
            <w:vAlign w:val="center"/>
          </w:tcPr>
          <w:p w14:paraId="27A75FA3">
            <w:pPr>
              <w:spacing w:line="360" w:lineRule="exact"/>
              <w:jc w:val="center"/>
              <w:rPr>
                <w:rFonts w:ascii="宋体" w:hAnsi="宋体" w:eastAsia="宋体" w:cs="Times New Roman"/>
                <w:snapToGrid w:val="0"/>
                <w:color w:val="auto"/>
              </w:rPr>
            </w:pPr>
            <w:r>
              <w:rPr>
                <w:rFonts w:ascii="宋体" w:hAnsi="宋体" w:eastAsia="宋体" w:cs="Times New Roman"/>
                <w:color w:val="auto"/>
              </w:rPr>
              <w:t>0.0002</w:t>
            </w:r>
          </w:p>
        </w:tc>
        <w:tc>
          <w:tcPr>
            <w:tcW w:w="672" w:type="dxa"/>
            <w:vMerge w:val="continue"/>
            <w:vAlign w:val="center"/>
          </w:tcPr>
          <w:p w14:paraId="5B0CBBD1">
            <w:pPr>
              <w:spacing w:line="360" w:lineRule="exact"/>
              <w:jc w:val="center"/>
              <w:rPr>
                <w:rFonts w:ascii="宋体" w:hAnsi="宋体" w:eastAsia="宋体" w:cs="Times New Roman"/>
                <w:snapToGrid w:val="0"/>
                <w:color w:val="auto"/>
              </w:rPr>
            </w:pPr>
          </w:p>
        </w:tc>
      </w:tr>
      <w:tr w14:paraId="76A9E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70" w:hRule="atLeast"/>
          <w:jc w:val="center"/>
        </w:trPr>
        <w:tc>
          <w:tcPr>
            <w:tcW w:w="636" w:type="dxa"/>
            <w:vMerge w:val="continue"/>
            <w:vAlign w:val="center"/>
          </w:tcPr>
          <w:p w14:paraId="723AF0A3">
            <w:pPr>
              <w:spacing w:line="360" w:lineRule="exact"/>
              <w:jc w:val="center"/>
              <w:rPr>
                <w:rFonts w:ascii="宋体" w:hAnsi="宋体" w:eastAsia="宋体" w:cs="Times New Roman"/>
                <w:snapToGrid w:val="0"/>
                <w:color w:val="auto"/>
              </w:rPr>
            </w:pPr>
          </w:p>
        </w:tc>
        <w:tc>
          <w:tcPr>
            <w:tcW w:w="857" w:type="dxa"/>
            <w:vMerge w:val="continue"/>
            <w:vAlign w:val="center"/>
          </w:tcPr>
          <w:p w14:paraId="5A2E9759">
            <w:pPr>
              <w:spacing w:line="360" w:lineRule="exact"/>
              <w:jc w:val="center"/>
              <w:rPr>
                <w:rFonts w:ascii="宋体" w:hAnsi="宋体" w:eastAsia="宋体" w:cs="Times New Roman"/>
                <w:snapToGrid w:val="0"/>
                <w:color w:val="auto"/>
              </w:rPr>
            </w:pPr>
          </w:p>
        </w:tc>
        <w:tc>
          <w:tcPr>
            <w:tcW w:w="692" w:type="dxa"/>
            <w:vMerge w:val="continue"/>
            <w:vAlign w:val="center"/>
          </w:tcPr>
          <w:p w14:paraId="48710E2B">
            <w:pPr>
              <w:spacing w:line="360" w:lineRule="exact"/>
              <w:jc w:val="center"/>
              <w:rPr>
                <w:rFonts w:ascii="宋体" w:hAnsi="宋体" w:eastAsia="宋体" w:cs="Times New Roman"/>
                <w:snapToGrid w:val="0"/>
                <w:color w:val="auto"/>
              </w:rPr>
            </w:pPr>
          </w:p>
        </w:tc>
        <w:tc>
          <w:tcPr>
            <w:tcW w:w="787" w:type="dxa"/>
            <w:tcBorders>
              <w:top w:val="single" w:color="auto" w:sz="4" w:space="0"/>
            </w:tcBorders>
            <w:vAlign w:val="center"/>
          </w:tcPr>
          <w:p w14:paraId="3439637C">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BOD</w:t>
            </w:r>
            <w:r>
              <w:rPr>
                <w:rFonts w:ascii="宋体" w:hAnsi="宋体" w:eastAsia="宋体" w:cs="Times New Roman"/>
                <w:snapToGrid w:val="0"/>
                <w:color w:val="auto"/>
                <w:vertAlign w:val="subscript"/>
              </w:rPr>
              <w:t>5</w:t>
            </w:r>
          </w:p>
        </w:tc>
        <w:tc>
          <w:tcPr>
            <w:tcW w:w="568" w:type="dxa"/>
            <w:vMerge w:val="continue"/>
            <w:vAlign w:val="center"/>
          </w:tcPr>
          <w:p w14:paraId="18AA5A0D">
            <w:pPr>
              <w:spacing w:line="360" w:lineRule="exact"/>
              <w:jc w:val="center"/>
              <w:rPr>
                <w:rFonts w:ascii="宋体" w:hAnsi="宋体" w:eastAsia="宋体" w:cs="Times New Roman"/>
                <w:snapToGrid w:val="0"/>
                <w:color w:val="auto"/>
              </w:rPr>
            </w:pPr>
          </w:p>
        </w:tc>
        <w:tc>
          <w:tcPr>
            <w:tcW w:w="708" w:type="dxa"/>
            <w:vMerge w:val="continue"/>
            <w:vAlign w:val="center"/>
          </w:tcPr>
          <w:p w14:paraId="5A4D5B92">
            <w:pPr>
              <w:spacing w:line="360" w:lineRule="exact"/>
              <w:jc w:val="center"/>
              <w:rPr>
                <w:rFonts w:ascii="宋体" w:hAnsi="宋体" w:eastAsia="宋体" w:cs="Times New Roman"/>
                <w:snapToGrid w:val="0"/>
                <w:color w:val="auto"/>
              </w:rPr>
            </w:pPr>
          </w:p>
        </w:tc>
        <w:tc>
          <w:tcPr>
            <w:tcW w:w="711" w:type="dxa"/>
            <w:tcBorders>
              <w:top w:val="single" w:color="auto" w:sz="4" w:space="0"/>
            </w:tcBorders>
            <w:vAlign w:val="center"/>
          </w:tcPr>
          <w:p w14:paraId="64BEC861">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200</w:t>
            </w:r>
          </w:p>
        </w:tc>
        <w:tc>
          <w:tcPr>
            <w:tcW w:w="565" w:type="dxa"/>
            <w:tcBorders>
              <w:top w:val="single" w:color="auto" w:sz="4" w:space="0"/>
            </w:tcBorders>
            <w:vAlign w:val="center"/>
          </w:tcPr>
          <w:p w14:paraId="061A110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0.047</w:t>
            </w:r>
          </w:p>
        </w:tc>
        <w:tc>
          <w:tcPr>
            <w:tcW w:w="4407" w:type="dxa"/>
            <w:vMerge w:val="continue"/>
            <w:vAlign w:val="center"/>
          </w:tcPr>
          <w:p w14:paraId="310AE5B9">
            <w:pPr>
              <w:spacing w:line="360" w:lineRule="exact"/>
              <w:jc w:val="center"/>
              <w:rPr>
                <w:rFonts w:ascii="宋体" w:hAnsi="宋体" w:eastAsia="宋体" w:cs="Times New Roman"/>
                <w:snapToGrid w:val="0"/>
                <w:color w:val="auto"/>
              </w:rPr>
            </w:pPr>
          </w:p>
        </w:tc>
        <w:tc>
          <w:tcPr>
            <w:tcW w:w="557" w:type="dxa"/>
            <w:vMerge w:val="continue"/>
            <w:tcBorders>
              <w:bottom w:val="single" w:color="auto" w:sz="4" w:space="0"/>
            </w:tcBorders>
            <w:vAlign w:val="center"/>
          </w:tcPr>
          <w:p w14:paraId="0A1BB0F1">
            <w:pPr>
              <w:spacing w:line="360" w:lineRule="exact"/>
              <w:jc w:val="center"/>
              <w:rPr>
                <w:rFonts w:ascii="宋体" w:hAnsi="宋体" w:eastAsia="宋体" w:cs="Times New Roman"/>
                <w:snapToGrid w:val="0"/>
                <w:color w:val="auto"/>
              </w:rPr>
            </w:pPr>
          </w:p>
        </w:tc>
        <w:tc>
          <w:tcPr>
            <w:tcW w:w="616" w:type="dxa"/>
            <w:vMerge w:val="continue"/>
            <w:vAlign w:val="center"/>
          </w:tcPr>
          <w:p w14:paraId="635FD302">
            <w:pPr>
              <w:spacing w:line="360" w:lineRule="exact"/>
              <w:jc w:val="center"/>
              <w:rPr>
                <w:rFonts w:ascii="宋体" w:hAnsi="宋体" w:eastAsia="宋体" w:cs="Times New Roman"/>
                <w:snapToGrid w:val="0"/>
                <w:color w:val="auto"/>
              </w:rPr>
            </w:pPr>
          </w:p>
        </w:tc>
        <w:tc>
          <w:tcPr>
            <w:tcW w:w="789" w:type="dxa"/>
            <w:vMerge w:val="continue"/>
            <w:vAlign w:val="center"/>
          </w:tcPr>
          <w:p w14:paraId="6E2EDC2D">
            <w:pPr>
              <w:spacing w:line="360" w:lineRule="exact"/>
              <w:jc w:val="center"/>
              <w:rPr>
                <w:rFonts w:ascii="宋体" w:hAnsi="宋体" w:eastAsia="宋体" w:cs="Times New Roman"/>
                <w:snapToGrid w:val="0"/>
                <w:color w:val="auto"/>
              </w:rPr>
            </w:pPr>
          </w:p>
        </w:tc>
        <w:tc>
          <w:tcPr>
            <w:tcW w:w="772" w:type="dxa"/>
            <w:tcBorders>
              <w:top w:val="single" w:color="auto" w:sz="4" w:space="0"/>
              <w:bottom w:val="single" w:color="auto" w:sz="4" w:space="0"/>
            </w:tcBorders>
            <w:vAlign w:val="center"/>
          </w:tcPr>
          <w:p w14:paraId="16C18C2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10.2</w:t>
            </w:r>
          </w:p>
        </w:tc>
        <w:tc>
          <w:tcPr>
            <w:tcW w:w="655" w:type="dxa"/>
            <w:tcBorders>
              <w:top w:val="single" w:color="auto" w:sz="4" w:space="0"/>
              <w:bottom w:val="single" w:color="auto" w:sz="4" w:space="0"/>
            </w:tcBorders>
            <w:vAlign w:val="center"/>
          </w:tcPr>
          <w:p w14:paraId="1A29A97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0.002</w:t>
            </w:r>
          </w:p>
        </w:tc>
        <w:tc>
          <w:tcPr>
            <w:tcW w:w="672" w:type="dxa"/>
            <w:vMerge w:val="continue"/>
            <w:vAlign w:val="center"/>
          </w:tcPr>
          <w:p w14:paraId="4B577ED8">
            <w:pPr>
              <w:spacing w:line="360" w:lineRule="exact"/>
              <w:jc w:val="center"/>
              <w:rPr>
                <w:rFonts w:ascii="宋体" w:hAnsi="宋体" w:eastAsia="宋体" w:cs="Times New Roman"/>
                <w:snapToGrid w:val="0"/>
                <w:color w:val="auto"/>
              </w:rPr>
            </w:pPr>
          </w:p>
        </w:tc>
      </w:tr>
      <w:tr w14:paraId="36D7A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25" w:hRule="atLeast"/>
          <w:jc w:val="center"/>
        </w:trPr>
        <w:tc>
          <w:tcPr>
            <w:tcW w:w="636" w:type="dxa"/>
            <w:vMerge w:val="continue"/>
            <w:vAlign w:val="center"/>
          </w:tcPr>
          <w:p w14:paraId="70660733">
            <w:pPr>
              <w:adjustRightInd w:val="0"/>
              <w:snapToGrid w:val="0"/>
              <w:spacing w:line="360" w:lineRule="exact"/>
              <w:jc w:val="center"/>
              <w:rPr>
                <w:rFonts w:ascii="宋体" w:hAnsi="宋体" w:eastAsia="宋体" w:cs="Times New Roman"/>
                <w:color w:val="auto"/>
              </w:rPr>
            </w:pPr>
          </w:p>
        </w:tc>
        <w:tc>
          <w:tcPr>
            <w:tcW w:w="857" w:type="dxa"/>
            <w:vMerge w:val="continue"/>
            <w:vAlign w:val="center"/>
          </w:tcPr>
          <w:p w14:paraId="152F210C">
            <w:pPr>
              <w:adjustRightInd w:val="0"/>
              <w:snapToGrid w:val="0"/>
              <w:spacing w:line="360" w:lineRule="exact"/>
              <w:jc w:val="center"/>
              <w:rPr>
                <w:rFonts w:ascii="宋体" w:hAnsi="宋体" w:eastAsia="宋体" w:cs="Times New Roman"/>
                <w:color w:val="auto"/>
              </w:rPr>
            </w:pPr>
          </w:p>
        </w:tc>
        <w:tc>
          <w:tcPr>
            <w:tcW w:w="692" w:type="dxa"/>
            <w:vMerge w:val="continue"/>
            <w:vAlign w:val="center"/>
          </w:tcPr>
          <w:p w14:paraId="4C138407">
            <w:pPr>
              <w:adjustRightInd w:val="0"/>
              <w:snapToGrid w:val="0"/>
              <w:spacing w:line="360" w:lineRule="exact"/>
              <w:jc w:val="center"/>
              <w:rPr>
                <w:rFonts w:ascii="宋体" w:hAnsi="宋体" w:eastAsia="宋体" w:cs="Times New Roman"/>
                <w:color w:val="auto"/>
              </w:rPr>
            </w:pPr>
          </w:p>
        </w:tc>
        <w:tc>
          <w:tcPr>
            <w:tcW w:w="787" w:type="dxa"/>
            <w:tcBorders>
              <w:bottom w:val="single" w:color="auto" w:sz="4" w:space="0"/>
            </w:tcBorders>
            <w:vAlign w:val="center"/>
          </w:tcPr>
          <w:p w14:paraId="23BCE30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SS</w:t>
            </w:r>
          </w:p>
        </w:tc>
        <w:tc>
          <w:tcPr>
            <w:tcW w:w="568" w:type="dxa"/>
            <w:vMerge w:val="continue"/>
            <w:vAlign w:val="center"/>
          </w:tcPr>
          <w:p w14:paraId="205D4467">
            <w:pPr>
              <w:adjustRightInd w:val="0"/>
              <w:snapToGrid w:val="0"/>
              <w:spacing w:line="360" w:lineRule="exact"/>
              <w:jc w:val="center"/>
              <w:rPr>
                <w:rFonts w:ascii="宋体" w:hAnsi="宋体" w:eastAsia="宋体" w:cs="Times New Roman"/>
                <w:color w:val="auto"/>
              </w:rPr>
            </w:pPr>
          </w:p>
        </w:tc>
        <w:tc>
          <w:tcPr>
            <w:tcW w:w="708" w:type="dxa"/>
            <w:vMerge w:val="continue"/>
            <w:vAlign w:val="center"/>
          </w:tcPr>
          <w:p w14:paraId="3515EF3F">
            <w:pPr>
              <w:adjustRightInd w:val="0"/>
              <w:snapToGrid w:val="0"/>
              <w:spacing w:line="360" w:lineRule="exact"/>
              <w:jc w:val="center"/>
              <w:rPr>
                <w:rFonts w:ascii="宋体" w:hAnsi="宋体" w:eastAsia="宋体" w:cs="Times New Roman"/>
                <w:color w:val="auto"/>
              </w:rPr>
            </w:pPr>
          </w:p>
        </w:tc>
        <w:tc>
          <w:tcPr>
            <w:tcW w:w="711" w:type="dxa"/>
            <w:tcBorders>
              <w:bottom w:val="single" w:color="auto" w:sz="4" w:space="0"/>
            </w:tcBorders>
            <w:vAlign w:val="center"/>
          </w:tcPr>
          <w:p w14:paraId="258816D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80</w:t>
            </w:r>
          </w:p>
        </w:tc>
        <w:tc>
          <w:tcPr>
            <w:tcW w:w="565" w:type="dxa"/>
            <w:tcBorders>
              <w:bottom w:val="single" w:color="auto" w:sz="4" w:space="0"/>
            </w:tcBorders>
            <w:vAlign w:val="center"/>
          </w:tcPr>
          <w:p w14:paraId="70E0C62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0.008</w:t>
            </w:r>
          </w:p>
        </w:tc>
        <w:tc>
          <w:tcPr>
            <w:tcW w:w="4407" w:type="dxa"/>
            <w:vMerge w:val="continue"/>
            <w:vAlign w:val="center"/>
          </w:tcPr>
          <w:p w14:paraId="7A1E27F8">
            <w:pPr>
              <w:adjustRightInd w:val="0"/>
              <w:snapToGrid w:val="0"/>
              <w:spacing w:line="360" w:lineRule="exact"/>
              <w:jc w:val="center"/>
              <w:rPr>
                <w:rFonts w:ascii="宋体" w:hAnsi="宋体" w:eastAsia="宋体" w:cs="Times New Roman"/>
                <w:color w:val="auto"/>
              </w:rPr>
            </w:pPr>
          </w:p>
        </w:tc>
        <w:tc>
          <w:tcPr>
            <w:tcW w:w="557" w:type="dxa"/>
            <w:vMerge w:val="restart"/>
            <w:tcBorders>
              <w:top w:val="single" w:color="auto" w:sz="4" w:space="0"/>
            </w:tcBorders>
            <w:vAlign w:val="center"/>
          </w:tcPr>
          <w:p w14:paraId="71F04DA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616" w:type="dxa"/>
            <w:vMerge w:val="continue"/>
            <w:vAlign w:val="center"/>
          </w:tcPr>
          <w:p w14:paraId="2ADFE38D">
            <w:pPr>
              <w:adjustRightInd w:val="0"/>
              <w:snapToGrid w:val="0"/>
              <w:spacing w:line="360" w:lineRule="exact"/>
              <w:jc w:val="center"/>
              <w:rPr>
                <w:rFonts w:ascii="宋体" w:hAnsi="宋体" w:eastAsia="宋体" w:cs="Times New Roman"/>
                <w:color w:val="auto"/>
              </w:rPr>
            </w:pPr>
          </w:p>
        </w:tc>
        <w:tc>
          <w:tcPr>
            <w:tcW w:w="789" w:type="dxa"/>
            <w:vMerge w:val="continue"/>
            <w:vAlign w:val="center"/>
          </w:tcPr>
          <w:p w14:paraId="6A2950A4">
            <w:pPr>
              <w:adjustRightInd w:val="0"/>
              <w:snapToGrid w:val="0"/>
              <w:spacing w:line="360" w:lineRule="exact"/>
              <w:jc w:val="center"/>
              <w:rPr>
                <w:rFonts w:ascii="宋体" w:hAnsi="宋体" w:eastAsia="宋体" w:cs="Times New Roman"/>
                <w:color w:val="auto"/>
              </w:rPr>
            </w:pPr>
          </w:p>
        </w:tc>
        <w:tc>
          <w:tcPr>
            <w:tcW w:w="772" w:type="dxa"/>
            <w:tcBorders>
              <w:top w:val="single" w:color="auto" w:sz="4" w:space="0"/>
              <w:bottom w:val="single" w:color="auto" w:sz="4" w:space="0"/>
            </w:tcBorders>
            <w:vAlign w:val="center"/>
          </w:tcPr>
          <w:p w14:paraId="4E079B2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655" w:type="dxa"/>
            <w:tcBorders>
              <w:top w:val="single" w:color="auto" w:sz="4" w:space="0"/>
              <w:bottom w:val="single" w:color="auto" w:sz="4" w:space="0"/>
            </w:tcBorders>
            <w:vAlign w:val="center"/>
          </w:tcPr>
          <w:p w14:paraId="14D8703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0.001</w:t>
            </w:r>
          </w:p>
        </w:tc>
        <w:tc>
          <w:tcPr>
            <w:tcW w:w="672" w:type="dxa"/>
            <w:vMerge w:val="continue"/>
            <w:vAlign w:val="center"/>
          </w:tcPr>
          <w:p w14:paraId="4E553B7A">
            <w:pPr>
              <w:adjustRightInd w:val="0"/>
              <w:snapToGrid w:val="0"/>
              <w:spacing w:line="360" w:lineRule="exact"/>
              <w:jc w:val="center"/>
              <w:rPr>
                <w:rFonts w:ascii="宋体" w:hAnsi="宋体" w:eastAsia="宋体" w:cs="Times New Roman"/>
                <w:color w:val="auto"/>
              </w:rPr>
            </w:pPr>
          </w:p>
        </w:tc>
      </w:tr>
      <w:tr w14:paraId="0C757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80" w:hRule="atLeast"/>
          <w:jc w:val="center"/>
        </w:trPr>
        <w:tc>
          <w:tcPr>
            <w:tcW w:w="636" w:type="dxa"/>
            <w:vMerge w:val="continue"/>
            <w:vAlign w:val="center"/>
          </w:tcPr>
          <w:p w14:paraId="0A35BD8C">
            <w:pPr>
              <w:adjustRightInd w:val="0"/>
              <w:snapToGrid w:val="0"/>
              <w:spacing w:line="360" w:lineRule="exact"/>
              <w:jc w:val="center"/>
              <w:rPr>
                <w:rFonts w:ascii="宋体" w:hAnsi="宋体" w:eastAsia="宋体" w:cs="Times New Roman"/>
                <w:color w:val="auto"/>
              </w:rPr>
            </w:pPr>
          </w:p>
        </w:tc>
        <w:tc>
          <w:tcPr>
            <w:tcW w:w="857" w:type="dxa"/>
            <w:vMerge w:val="continue"/>
            <w:vAlign w:val="center"/>
          </w:tcPr>
          <w:p w14:paraId="4AB566EB">
            <w:pPr>
              <w:adjustRightInd w:val="0"/>
              <w:snapToGrid w:val="0"/>
              <w:spacing w:line="360" w:lineRule="exact"/>
              <w:jc w:val="center"/>
              <w:rPr>
                <w:rFonts w:ascii="宋体" w:hAnsi="宋体" w:eastAsia="宋体" w:cs="Times New Roman"/>
                <w:color w:val="auto"/>
              </w:rPr>
            </w:pPr>
          </w:p>
        </w:tc>
        <w:tc>
          <w:tcPr>
            <w:tcW w:w="692" w:type="dxa"/>
            <w:vMerge w:val="continue"/>
            <w:vAlign w:val="center"/>
          </w:tcPr>
          <w:p w14:paraId="2C3A3504">
            <w:pPr>
              <w:adjustRightInd w:val="0"/>
              <w:snapToGrid w:val="0"/>
              <w:spacing w:line="360" w:lineRule="exact"/>
              <w:jc w:val="center"/>
              <w:rPr>
                <w:rFonts w:ascii="宋体" w:hAnsi="宋体" w:eastAsia="宋体" w:cs="Times New Roman"/>
                <w:color w:val="auto"/>
              </w:rPr>
            </w:pPr>
          </w:p>
        </w:tc>
        <w:tc>
          <w:tcPr>
            <w:tcW w:w="787" w:type="dxa"/>
            <w:tcBorders>
              <w:top w:val="single" w:color="auto" w:sz="4" w:space="0"/>
            </w:tcBorders>
            <w:vAlign w:val="center"/>
          </w:tcPr>
          <w:p w14:paraId="5010A6A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动植物油</w:t>
            </w:r>
          </w:p>
        </w:tc>
        <w:tc>
          <w:tcPr>
            <w:tcW w:w="568" w:type="dxa"/>
            <w:vMerge w:val="continue"/>
            <w:vAlign w:val="center"/>
          </w:tcPr>
          <w:p w14:paraId="29D64A75">
            <w:pPr>
              <w:adjustRightInd w:val="0"/>
              <w:snapToGrid w:val="0"/>
              <w:spacing w:line="360" w:lineRule="exact"/>
              <w:jc w:val="center"/>
              <w:rPr>
                <w:rFonts w:ascii="宋体" w:hAnsi="宋体" w:eastAsia="宋体" w:cs="Times New Roman"/>
                <w:color w:val="auto"/>
              </w:rPr>
            </w:pPr>
          </w:p>
        </w:tc>
        <w:tc>
          <w:tcPr>
            <w:tcW w:w="708" w:type="dxa"/>
            <w:vMerge w:val="continue"/>
            <w:vAlign w:val="center"/>
          </w:tcPr>
          <w:p w14:paraId="1CF332AA">
            <w:pPr>
              <w:adjustRightInd w:val="0"/>
              <w:snapToGrid w:val="0"/>
              <w:spacing w:line="360" w:lineRule="exact"/>
              <w:jc w:val="center"/>
              <w:rPr>
                <w:rFonts w:ascii="宋体" w:hAnsi="宋体" w:eastAsia="宋体" w:cs="Times New Roman"/>
                <w:color w:val="auto"/>
              </w:rPr>
            </w:pPr>
          </w:p>
        </w:tc>
        <w:tc>
          <w:tcPr>
            <w:tcW w:w="711" w:type="dxa"/>
            <w:tcBorders>
              <w:top w:val="single" w:color="auto" w:sz="4" w:space="0"/>
            </w:tcBorders>
            <w:vAlign w:val="center"/>
          </w:tcPr>
          <w:p w14:paraId="38EB542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w:t>
            </w:r>
          </w:p>
        </w:tc>
        <w:tc>
          <w:tcPr>
            <w:tcW w:w="565" w:type="dxa"/>
            <w:tcBorders>
              <w:top w:val="single" w:color="auto" w:sz="4" w:space="0"/>
            </w:tcBorders>
            <w:vAlign w:val="center"/>
          </w:tcPr>
          <w:p w14:paraId="37088FC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0.002</w:t>
            </w:r>
          </w:p>
        </w:tc>
        <w:tc>
          <w:tcPr>
            <w:tcW w:w="4407" w:type="dxa"/>
            <w:vMerge w:val="continue"/>
            <w:vAlign w:val="center"/>
          </w:tcPr>
          <w:p w14:paraId="5E806177">
            <w:pPr>
              <w:adjustRightInd w:val="0"/>
              <w:snapToGrid w:val="0"/>
              <w:spacing w:line="360" w:lineRule="exact"/>
              <w:jc w:val="center"/>
              <w:rPr>
                <w:rFonts w:ascii="宋体" w:hAnsi="宋体" w:eastAsia="宋体" w:cs="Times New Roman"/>
                <w:color w:val="auto"/>
              </w:rPr>
            </w:pPr>
          </w:p>
        </w:tc>
        <w:tc>
          <w:tcPr>
            <w:tcW w:w="557" w:type="dxa"/>
            <w:vMerge w:val="continue"/>
            <w:vAlign w:val="center"/>
          </w:tcPr>
          <w:p w14:paraId="7E27F775">
            <w:pPr>
              <w:adjustRightInd w:val="0"/>
              <w:snapToGrid w:val="0"/>
              <w:spacing w:line="360" w:lineRule="exact"/>
              <w:jc w:val="center"/>
              <w:rPr>
                <w:rFonts w:ascii="宋体" w:hAnsi="宋体" w:eastAsia="宋体" w:cs="Times New Roman"/>
                <w:color w:val="auto"/>
              </w:rPr>
            </w:pPr>
          </w:p>
        </w:tc>
        <w:tc>
          <w:tcPr>
            <w:tcW w:w="616" w:type="dxa"/>
            <w:vMerge w:val="continue"/>
            <w:vAlign w:val="center"/>
          </w:tcPr>
          <w:p w14:paraId="5E4D2C8D">
            <w:pPr>
              <w:adjustRightInd w:val="0"/>
              <w:snapToGrid w:val="0"/>
              <w:spacing w:line="360" w:lineRule="exact"/>
              <w:jc w:val="center"/>
              <w:rPr>
                <w:rFonts w:ascii="宋体" w:hAnsi="宋体" w:eastAsia="宋体" w:cs="Times New Roman"/>
                <w:color w:val="auto"/>
              </w:rPr>
            </w:pPr>
          </w:p>
        </w:tc>
        <w:tc>
          <w:tcPr>
            <w:tcW w:w="789" w:type="dxa"/>
            <w:vMerge w:val="continue"/>
            <w:vAlign w:val="center"/>
          </w:tcPr>
          <w:p w14:paraId="51B31089">
            <w:pPr>
              <w:adjustRightInd w:val="0"/>
              <w:snapToGrid w:val="0"/>
              <w:spacing w:line="360" w:lineRule="exact"/>
              <w:jc w:val="center"/>
              <w:rPr>
                <w:rFonts w:ascii="宋体" w:hAnsi="宋体" w:eastAsia="宋体" w:cs="Times New Roman"/>
                <w:color w:val="auto"/>
              </w:rPr>
            </w:pPr>
          </w:p>
        </w:tc>
        <w:tc>
          <w:tcPr>
            <w:tcW w:w="772" w:type="dxa"/>
            <w:tcBorders>
              <w:top w:val="single" w:color="auto" w:sz="4" w:space="0"/>
            </w:tcBorders>
            <w:vAlign w:val="center"/>
          </w:tcPr>
          <w:p w14:paraId="5D8E468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655" w:type="dxa"/>
            <w:tcBorders>
              <w:top w:val="single" w:color="auto" w:sz="4" w:space="0"/>
            </w:tcBorders>
            <w:vAlign w:val="center"/>
          </w:tcPr>
          <w:p w14:paraId="3633FB4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0.001</w:t>
            </w:r>
          </w:p>
        </w:tc>
        <w:tc>
          <w:tcPr>
            <w:tcW w:w="672" w:type="dxa"/>
            <w:vMerge w:val="continue"/>
            <w:vAlign w:val="center"/>
          </w:tcPr>
          <w:p w14:paraId="033B13DB">
            <w:pPr>
              <w:adjustRightInd w:val="0"/>
              <w:snapToGrid w:val="0"/>
              <w:spacing w:line="360" w:lineRule="exact"/>
              <w:jc w:val="center"/>
              <w:rPr>
                <w:rFonts w:ascii="宋体" w:hAnsi="宋体" w:eastAsia="宋体" w:cs="Times New Roman"/>
                <w:color w:val="auto"/>
              </w:rPr>
            </w:pPr>
          </w:p>
        </w:tc>
      </w:tr>
    </w:tbl>
    <w:p w14:paraId="122B4B03">
      <w:pPr>
        <w:pStyle w:val="276"/>
        <w:widowControl w:val="0"/>
        <w:spacing w:line="440" w:lineRule="exact"/>
        <w:ind w:firstLine="0" w:firstLineChars="0"/>
        <w:jc w:val="center"/>
        <w:rPr>
          <w:color w:val="auto"/>
          <w:kern w:val="2"/>
          <w:szCs w:val="20"/>
        </w:rPr>
      </w:pPr>
      <w:r>
        <w:rPr>
          <w:color w:val="auto"/>
          <w:kern w:val="2"/>
          <w:szCs w:val="20"/>
        </w:rPr>
        <w:t>表</w:t>
      </w:r>
      <w:r>
        <w:rPr>
          <w:color w:val="auto"/>
        </w:rPr>
        <w:t>3.12-14</w:t>
      </w:r>
      <w:r>
        <w:rPr>
          <w:color w:val="auto"/>
          <w:kern w:val="2"/>
          <w:szCs w:val="20"/>
        </w:rPr>
        <w:t xml:space="preserve"> 施工期</w:t>
      </w:r>
      <w:r>
        <w:rPr>
          <w:color w:val="auto"/>
          <w:kern w:val="21"/>
        </w:rPr>
        <w:t>噪声污染</w:t>
      </w:r>
      <w:r>
        <w:rPr>
          <w:color w:val="auto"/>
          <w:kern w:val="2"/>
          <w:szCs w:val="20"/>
        </w:rPr>
        <w:t>源源强核算结果及相关参数一览表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4"/>
        <w:gridCol w:w="1332"/>
        <w:gridCol w:w="1155"/>
        <w:gridCol w:w="1733"/>
        <w:gridCol w:w="1113"/>
        <w:gridCol w:w="1164"/>
        <w:gridCol w:w="1725"/>
        <w:gridCol w:w="1118"/>
        <w:gridCol w:w="1332"/>
        <w:gridCol w:w="1335"/>
        <w:gridCol w:w="1107"/>
      </w:tblGrid>
      <w:tr w14:paraId="6C9EF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restart"/>
            <w:vAlign w:val="center"/>
          </w:tcPr>
          <w:p w14:paraId="21E97452">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工序</w:t>
            </w:r>
          </w:p>
        </w:tc>
        <w:tc>
          <w:tcPr>
            <w:tcW w:w="468" w:type="pct"/>
            <w:vMerge w:val="restart"/>
            <w:vAlign w:val="center"/>
          </w:tcPr>
          <w:p w14:paraId="142027E6">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装置</w:t>
            </w:r>
          </w:p>
        </w:tc>
        <w:tc>
          <w:tcPr>
            <w:tcW w:w="406" w:type="pct"/>
            <w:vMerge w:val="restart"/>
            <w:vAlign w:val="center"/>
          </w:tcPr>
          <w:p w14:paraId="30A763EE">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噪声源</w:t>
            </w:r>
          </w:p>
        </w:tc>
        <w:tc>
          <w:tcPr>
            <w:tcW w:w="609" w:type="pct"/>
            <w:vMerge w:val="restart"/>
            <w:vAlign w:val="center"/>
          </w:tcPr>
          <w:p w14:paraId="20B17A97">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声源类型（频发、偶发等）</w:t>
            </w:r>
          </w:p>
        </w:tc>
        <w:tc>
          <w:tcPr>
            <w:tcW w:w="800" w:type="pct"/>
            <w:gridSpan w:val="2"/>
            <w:vAlign w:val="center"/>
          </w:tcPr>
          <w:p w14:paraId="53B8BBDF">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噪声源强</w:t>
            </w:r>
          </w:p>
        </w:tc>
        <w:tc>
          <w:tcPr>
            <w:tcW w:w="999" w:type="pct"/>
            <w:gridSpan w:val="2"/>
            <w:vAlign w:val="center"/>
          </w:tcPr>
          <w:p w14:paraId="710C475E">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降噪措施</w:t>
            </w:r>
          </w:p>
        </w:tc>
        <w:tc>
          <w:tcPr>
            <w:tcW w:w="937" w:type="pct"/>
            <w:gridSpan w:val="2"/>
            <w:vAlign w:val="center"/>
          </w:tcPr>
          <w:p w14:paraId="7F1AD223">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噪声值排放</w:t>
            </w:r>
          </w:p>
        </w:tc>
        <w:tc>
          <w:tcPr>
            <w:tcW w:w="389" w:type="pct"/>
            <w:vMerge w:val="restart"/>
            <w:vAlign w:val="center"/>
          </w:tcPr>
          <w:p w14:paraId="42FC859F">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持续时间</w:t>
            </w:r>
          </w:p>
        </w:tc>
      </w:tr>
      <w:tr w14:paraId="16FF8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296F3912">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2AED214F">
            <w:pPr>
              <w:adjustRightInd w:val="0"/>
              <w:spacing w:line="360" w:lineRule="exact"/>
              <w:jc w:val="center"/>
              <w:rPr>
                <w:rFonts w:ascii="宋体" w:hAnsi="宋体" w:eastAsia="宋体" w:cs="Times New Roman"/>
                <w:color w:val="auto"/>
                <w:sz w:val="20"/>
                <w:szCs w:val="15"/>
              </w:rPr>
            </w:pPr>
          </w:p>
        </w:tc>
        <w:tc>
          <w:tcPr>
            <w:tcW w:w="406" w:type="pct"/>
            <w:vMerge w:val="continue"/>
            <w:vAlign w:val="center"/>
          </w:tcPr>
          <w:p w14:paraId="6623AF42">
            <w:pPr>
              <w:adjustRightInd w:val="0"/>
              <w:spacing w:line="360" w:lineRule="exact"/>
              <w:jc w:val="center"/>
              <w:rPr>
                <w:rFonts w:ascii="宋体" w:hAnsi="宋体" w:eastAsia="宋体" w:cs="Times New Roman"/>
                <w:color w:val="auto"/>
                <w:sz w:val="20"/>
                <w:szCs w:val="15"/>
              </w:rPr>
            </w:pPr>
          </w:p>
        </w:tc>
        <w:tc>
          <w:tcPr>
            <w:tcW w:w="609" w:type="pct"/>
            <w:vMerge w:val="continue"/>
            <w:vAlign w:val="center"/>
          </w:tcPr>
          <w:p w14:paraId="020775D6">
            <w:pPr>
              <w:adjustRightInd w:val="0"/>
              <w:spacing w:line="360" w:lineRule="exact"/>
              <w:jc w:val="center"/>
              <w:rPr>
                <w:rFonts w:ascii="宋体" w:hAnsi="宋体" w:eastAsia="宋体" w:cs="Times New Roman"/>
                <w:color w:val="auto"/>
                <w:sz w:val="20"/>
                <w:szCs w:val="15"/>
              </w:rPr>
            </w:pPr>
          </w:p>
        </w:tc>
        <w:tc>
          <w:tcPr>
            <w:tcW w:w="391" w:type="pct"/>
            <w:vAlign w:val="center"/>
          </w:tcPr>
          <w:p w14:paraId="734033B5">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核算方法</w:t>
            </w:r>
          </w:p>
        </w:tc>
        <w:tc>
          <w:tcPr>
            <w:tcW w:w="409" w:type="pct"/>
            <w:vAlign w:val="center"/>
          </w:tcPr>
          <w:p w14:paraId="010CA3F7">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噪声值/dB（A）</w:t>
            </w:r>
          </w:p>
        </w:tc>
        <w:tc>
          <w:tcPr>
            <w:tcW w:w="606" w:type="pct"/>
            <w:vAlign w:val="center"/>
          </w:tcPr>
          <w:p w14:paraId="5CFAF2DA">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工艺</w:t>
            </w:r>
          </w:p>
        </w:tc>
        <w:tc>
          <w:tcPr>
            <w:tcW w:w="393" w:type="pct"/>
            <w:tcBorders>
              <w:left w:val="single" w:color="auto" w:sz="4" w:space="0"/>
            </w:tcBorders>
            <w:vAlign w:val="center"/>
          </w:tcPr>
          <w:p w14:paraId="224370E9">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降噪效果/dB（A）</w:t>
            </w:r>
          </w:p>
        </w:tc>
        <w:tc>
          <w:tcPr>
            <w:tcW w:w="468" w:type="pct"/>
            <w:vAlign w:val="center"/>
          </w:tcPr>
          <w:p w14:paraId="104F662D">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核算方法</w:t>
            </w:r>
          </w:p>
        </w:tc>
        <w:tc>
          <w:tcPr>
            <w:tcW w:w="469" w:type="pct"/>
            <w:vAlign w:val="center"/>
          </w:tcPr>
          <w:p w14:paraId="510F836B">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噪声值/dB（A）</w:t>
            </w:r>
          </w:p>
        </w:tc>
        <w:tc>
          <w:tcPr>
            <w:tcW w:w="389" w:type="pct"/>
            <w:vMerge w:val="continue"/>
            <w:vAlign w:val="center"/>
          </w:tcPr>
          <w:p w14:paraId="5B318D1D">
            <w:pPr>
              <w:adjustRightInd w:val="0"/>
              <w:spacing w:line="360" w:lineRule="exact"/>
              <w:jc w:val="center"/>
              <w:rPr>
                <w:rFonts w:ascii="宋体" w:hAnsi="宋体" w:eastAsia="宋体" w:cs="Times New Roman"/>
                <w:color w:val="auto"/>
                <w:sz w:val="20"/>
                <w:szCs w:val="15"/>
              </w:rPr>
            </w:pPr>
          </w:p>
        </w:tc>
      </w:tr>
      <w:tr w14:paraId="5AE55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88" w:type="pct"/>
            <w:vMerge w:val="restart"/>
            <w:vAlign w:val="center"/>
          </w:tcPr>
          <w:p w14:paraId="648F9C74">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钻井井场</w:t>
            </w:r>
          </w:p>
          <w:p w14:paraId="7471F0AB">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管线施工</w:t>
            </w:r>
          </w:p>
        </w:tc>
        <w:tc>
          <w:tcPr>
            <w:tcW w:w="468" w:type="pct"/>
            <w:vMerge w:val="restart"/>
            <w:vAlign w:val="center"/>
          </w:tcPr>
          <w:p w14:paraId="522ACADA">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施工机械</w:t>
            </w:r>
          </w:p>
        </w:tc>
        <w:tc>
          <w:tcPr>
            <w:tcW w:w="406" w:type="pct"/>
            <w:vAlign w:val="center"/>
          </w:tcPr>
          <w:p w14:paraId="4EB4FB6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钻机</w:t>
            </w:r>
          </w:p>
        </w:tc>
        <w:tc>
          <w:tcPr>
            <w:tcW w:w="609" w:type="pct"/>
            <w:vAlign w:val="center"/>
          </w:tcPr>
          <w:p w14:paraId="101DF2C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restart"/>
            <w:vAlign w:val="center"/>
          </w:tcPr>
          <w:p w14:paraId="67F71A33">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409" w:type="pct"/>
            <w:vAlign w:val="center"/>
          </w:tcPr>
          <w:p w14:paraId="0DB4FDEF">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r>
              <w:rPr>
                <w:rFonts w:ascii="宋体" w:hAnsi="宋体" w:eastAsia="宋体" w:cs="Times New Roman"/>
                <w:snapToGrid w:val="0"/>
                <w:color w:val="auto"/>
              </w:rPr>
              <w:t>-</w:t>
            </w:r>
            <w:r>
              <w:rPr>
                <w:rFonts w:hint="eastAsia" w:ascii="宋体" w:hAnsi="宋体" w:eastAsia="宋体" w:cs="Times New Roman"/>
                <w:snapToGrid w:val="0"/>
                <w:color w:val="auto"/>
              </w:rPr>
              <w:t>100</w:t>
            </w:r>
          </w:p>
        </w:tc>
        <w:tc>
          <w:tcPr>
            <w:tcW w:w="606" w:type="pct"/>
            <w:vMerge w:val="restart"/>
            <w:vAlign w:val="center"/>
          </w:tcPr>
          <w:p w14:paraId="737E6069">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减震基础</w:t>
            </w:r>
            <w:r>
              <w:rPr>
                <w:rFonts w:hint="eastAsia" w:ascii="宋体" w:hAnsi="宋体" w:eastAsia="宋体" w:cs="Times New Roman"/>
                <w:color w:val="auto"/>
                <w:sz w:val="20"/>
                <w:szCs w:val="15"/>
              </w:rPr>
              <w:t>、定期维护</w:t>
            </w:r>
          </w:p>
        </w:tc>
        <w:tc>
          <w:tcPr>
            <w:tcW w:w="1118" w:type="dxa"/>
            <w:vAlign w:val="center"/>
          </w:tcPr>
          <w:p w14:paraId="52458AE3">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50EE1249">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1335" w:type="dxa"/>
            <w:vAlign w:val="center"/>
          </w:tcPr>
          <w:p w14:paraId="584062F8">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r>
              <w:rPr>
                <w:rFonts w:ascii="宋体" w:hAnsi="宋体" w:eastAsia="宋体" w:cs="Times New Roman"/>
                <w:snapToGrid w:val="0"/>
                <w:color w:val="auto"/>
              </w:rPr>
              <w:t>-</w:t>
            </w:r>
            <w:r>
              <w:rPr>
                <w:rFonts w:hint="eastAsia" w:ascii="宋体" w:hAnsi="宋体" w:eastAsia="宋体" w:cs="Times New Roman"/>
                <w:snapToGrid w:val="0"/>
                <w:color w:val="auto"/>
              </w:rPr>
              <w:t>100</w:t>
            </w:r>
          </w:p>
        </w:tc>
        <w:tc>
          <w:tcPr>
            <w:tcW w:w="389" w:type="pct"/>
            <w:vMerge w:val="restart"/>
            <w:vAlign w:val="center"/>
          </w:tcPr>
          <w:p w14:paraId="3921A5E0">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施工期</w:t>
            </w:r>
          </w:p>
        </w:tc>
      </w:tr>
      <w:tr w14:paraId="0F9B2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2C4BD8F0">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74CE3EC2">
            <w:pPr>
              <w:spacing w:line="360" w:lineRule="exact"/>
              <w:jc w:val="center"/>
              <w:rPr>
                <w:rFonts w:ascii="宋体" w:hAnsi="宋体" w:eastAsia="宋体" w:cs="Times New Roman"/>
                <w:color w:val="auto"/>
                <w:sz w:val="20"/>
                <w:szCs w:val="15"/>
              </w:rPr>
            </w:pPr>
          </w:p>
        </w:tc>
        <w:tc>
          <w:tcPr>
            <w:tcW w:w="406" w:type="pct"/>
            <w:vAlign w:val="center"/>
          </w:tcPr>
          <w:p w14:paraId="274A94E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机泵</w:t>
            </w:r>
          </w:p>
        </w:tc>
        <w:tc>
          <w:tcPr>
            <w:tcW w:w="609" w:type="pct"/>
            <w:vAlign w:val="center"/>
          </w:tcPr>
          <w:p w14:paraId="7340636C">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continue"/>
            <w:vAlign w:val="center"/>
          </w:tcPr>
          <w:p w14:paraId="083314D5">
            <w:pPr>
              <w:adjustRightInd w:val="0"/>
              <w:spacing w:line="360" w:lineRule="exact"/>
              <w:jc w:val="center"/>
              <w:rPr>
                <w:rFonts w:ascii="宋体" w:hAnsi="宋体" w:eastAsia="宋体" w:cs="Times New Roman"/>
                <w:color w:val="auto"/>
                <w:sz w:val="20"/>
                <w:szCs w:val="15"/>
              </w:rPr>
            </w:pPr>
          </w:p>
        </w:tc>
        <w:tc>
          <w:tcPr>
            <w:tcW w:w="409" w:type="pct"/>
            <w:vAlign w:val="center"/>
          </w:tcPr>
          <w:p w14:paraId="2AB2E6C1">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80</w:t>
            </w:r>
            <w:r>
              <w:rPr>
                <w:rFonts w:ascii="宋体" w:hAnsi="宋体" w:eastAsia="宋体" w:cs="Times New Roman"/>
                <w:snapToGrid w:val="0"/>
                <w:color w:val="auto"/>
              </w:rPr>
              <w:t>-</w:t>
            </w:r>
            <w:r>
              <w:rPr>
                <w:rFonts w:hint="eastAsia" w:ascii="宋体" w:hAnsi="宋体" w:eastAsia="宋体" w:cs="Times New Roman"/>
                <w:snapToGrid w:val="0"/>
                <w:color w:val="auto"/>
              </w:rPr>
              <w:t>90</w:t>
            </w:r>
          </w:p>
        </w:tc>
        <w:tc>
          <w:tcPr>
            <w:tcW w:w="606" w:type="pct"/>
            <w:vMerge w:val="continue"/>
            <w:vAlign w:val="center"/>
          </w:tcPr>
          <w:p w14:paraId="2C4B3682">
            <w:pPr>
              <w:adjustRightInd w:val="0"/>
              <w:spacing w:line="360" w:lineRule="exact"/>
              <w:jc w:val="center"/>
              <w:rPr>
                <w:rFonts w:ascii="宋体" w:hAnsi="宋体" w:eastAsia="宋体" w:cs="Times New Roman"/>
                <w:color w:val="auto"/>
                <w:sz w:val="20"/>
                <w:szCs w:val="15"/>
              </w:rPr>
            </w:pPr>
          </w:p>
        </w:tc>
        <w:tc>
          <w:tcPr>
            <w:tcW w:w="1118" w:type="dxa"/>
            <w:vAlign w:val="center"/>
          </w:tcPr>
          <w:p w14:paraId="5C76DC23">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56E80C6C">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1335" w:type="dxa"/>
            <w:vAlign w:val="center"/>
          </w:tcPr>
          <w:p w14:paraId="1F315FAE">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80</w:t>
            </w:r>
            <w:r>
              <w:rPr>
                <w:rFonts w:ascii="宋体" w:hAnsi="宋体" w:eastAsia="宋体" w:cs="Times New Roman"/>
                <w:snapToGrid w:val="0"/>
                <w:color w:val="auto"/>
              </w:rPr>
              <w:t>-</w:t>
            </w:r>
            <w:r>
              <w:rPr>
                <w:rFonts w:hint="eastAsia" w:ascii="宋体" w:hAnsi="宋体" w:eastAsia="宋体" w:cs="Times New Roman"/>
                <w:snapToGrid w:val="0"/>
                <w:color w:val="auto"/>
              </w:rPr>
              <w:t>90</w:t>
            </w:r>
          </w:p>
        </w:tc>
        <w:tc>
          <w:tcPr>
            <w:tcW w:w="389" w:type="pct"/>
            <w:vMerge w:val="continue"/>
            <w:vAlign w:val="center"/>
          </w:tcPr>
          <w:p w14:paraId="443064E3">
            <w:pPr>
              <w:adjustRightInd w:val="0"/>
              <w:spacing w:line="360" w:lineRule="exact"/>
              <w:ind w:firstLine="482"/>
              <w:jc w:val="center"/>
              <w:rPr>
                <w:rFonts w:ascii="宋体" w:hAnsi="宋体" w:eastAsia="宋体" w:cs="Times New Roman"/>
                <w:color w:val="auto"/>
                <w:sz w:val="20"/>
                <w:szCs w:val="15"/>
              </w:rPr>
            </w:pPr>
          </w:p>
        </w:tc>
      </w:tr>
      <w:tr w14:paraId="1EF33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4E4D7E5F">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0DF5E5A5">
            <w:pPr>
              <w:spacing w:line="360" w:lineRule="exact"/>
              <w:jc w:val="center"/>
              <w:rPr>
                <w:rFonts w:ascii="宋体" w:hAnsi="宋体" w:eastAsia="宋体" w:cs="Times New Roman"/>
                <w:color w:val="auto"/>
                <w:sz w:val="20"/>
                <w:szCs w:val="15"/>
              </w:rPr>
            </w:pPr>
          </w:p>
        </w:tc>
        <w:tc>
          <w:tcPr>
            <w:tcW w:w="406" w:type="pct"/>
            <w:vAlign w:val="center"/>
          </w:tcPr>
          <w:p w14:paraId="2D77AA5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柴油机</w:t>
            </w:r>
          </w:p>
        </w:tc>
        <w:tc>
          <w:tcPr>
            <w:tcW w:w="609" w:type="pct"/>
            <w:vAlign w:val="center"/>
          </w:tcPr>
          <w:p w14:paraId="62CE4BF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continue"/>
            <w:vAlign w:val="center"/>
          </w:tcPr>
          <w:p w14:paraId="1F45B281">
            <w:pPr>
              <w:adjustRightInd w:val="0"/>
              <w:spacing w:line="360" w:lineRule="exact"/>
              <w:jc w:val="center"/>
              <w:rPr>
                <w:rFonts w:ascii="宋体" w:hAnsi="宋体" w:eastAsia="宋体" w:cs="Times New Roman"/>
                <w:color w:val="auto"/>
                <w:sz w:val="20"/>
                <w:szCs w:val="15"/>
              </w:rPr>
            </w:pPr>
          </w:p>
        </w:tc>
        <w:tc>
          <w:tcPr>
            <w:tcW w:w="409" w:type="pct"/>
            <w:vAlign w:val="center"/>
          </w:tcPr>
          <w:p w14:paraId="4FDDBBEE">
            <w:pPr>
              <w:spacing w:line="360" w:lineRule="exact"/>
              <w:jc w:val="center"/>
              <w:rPr>
                <w:rFonts w:ascii="宋体" w:hAnsi="宋体" w:eastAsia="宋体" w:cs="Times New Roman"/>
                <w:color w:val="auto"/>
              </w:rPr>
            </w:pPr>
            <w:r>
              <w:rPr>
                <w:rFonts w:ascii="宋体" w:hAnsi="宋体" w:eastAsia="宋体" w:cs="Times New Roman"/>
                <w:snapToGrid w:val="0"/>
                <w:color w:val="auto"/>
              </w:rPr>
              <w:t>9</w:t>
            </w:r>
            <w:r>
              <w:rPr>
                <w:rFonts w:hint="eastAsia" w:ascii="宋体" w:hAnsi="宋体" w:eastAsia="宋体" w:cs="Times New Roman"/>
                <w:snapToGrid w:val="0"/>
                <w:color w:val="auto"/>
              </w:rPr>
              <w:t>5</w:t>
            </w:r>
            <w:r>
              <w:rPr>
                <w:rFonts w:ascii="宋体" w:hAnsi="宋体" w:eastAsia="宋体" w:cs="Times New Roman"/>
                <w:snapToGrid w:val="0"/>
                <w:color w:val="auto"/>
              </w:rPr>
              <w:t>-</w:t>
            </w:r>
            <w:r>
              <w:rPr>
                <w:rFonts w:hint="eastAsia" w:ascii="宋体" w:hAnsi="宋体" w:eastAsia="宋体" w:cs="Times New Roman"/>
                <w:snapToGrid w:val="0"/>
                <w:color w:val="auto"/>
              </w:rPr>
              <w:t>100</w:t>
            </w:r>
          </w:p>
        </w:tc>
        <w:tc>
          <w:tcPr>
            <w:tcW w:w="606" w:type="pct"/>
            <w:vMerge w:val="continue"/>
            <w:vAlign w:val="center"/>
          </w:tcPr>
          <w:p w14:paraId="087F74BA">
            <w:pPr>
              <w:adjustRightInd w:val="0"/>
              <w:spacing w:line="360" w:lineRule="exact"/>
              <w:jc w:val="center"/>
              <w:rPr>
                <w:rFonts w:ascii="宋体" w:hAnsi="宋体" w:eastAsia="宋体" w:cs="Times New Roman"/>
                <w:color w:val="auto"/>
                <w:sz w:val="20"/>
                <w:szCs w:val="15"/>
              </w:rPr>
            </w:pPr>
          </w:p>
        </w:tc>
        <w:tc>
          <w:tcPr>
            <w:tcW w:w="1118" w:type="dxa"/>
            <w:vAlign w:val="center"/>
          </w:tcPr>
          <w:p w14:paraId="1CADC031">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50B2C941">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1335" w:type="dxa"/>
            <w:vAlign w:val="center"/>
          </w:tcPr>
          <w:p w14:paraId="75DF97F4">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9</w:t>
            </w:r>
            <w:r>
              <w:rPr>
                <w:rFonts w:hint="eastAsia" w:ascii="宋体" w:hAnsi="宋体" w:eastAsia="宋体" w:cs="Times New Roman"/>
                <w:snapToGrid w:val="0"/>
                <w:color w:val="auto"/>
              </w:rPr>
              <w:t>5</w:t>
            </w:r>
            <w:r>
              <w:rPr>
                <w:rFonts w:ascii="宋体" w:hAnsi="宋体" w:eastAsia="宋体" w:cs="Times New Roman"/>
                <w:snapToGrid w:val="0"/>
                <w:color w:val="auto"/>
              </w:rPr>
              <w:t>-</w:t>
            </w:r>
            <w:r>
              <w:rPr>
                <w:rFonts w:hint="eastAsia" w:ascii="宋体" w:hAnsi="宋体" w:eastAsia="宋体" w:cs="Times New Roman"/>
                <w:snapToGrid w:val="0"/>
                <w:color w:val="auto"/>
              </w:rPr>
              <w:t>100</w:t>
            </w:r>
          </w:p>
        </w:tc>
        <w:tc>
          <w:tcPr>
            <w:tcW w:w="389" w:type="pct"/>
            <w:vMerge w:val="continue"/>
            <w:vAlign w:val="center"/>
          </w:tcPr>
          <w:p w14:paraId="1DD56793">
            <w:pPr>
              <w:adjustRightInd w:val="0"/>
              <w:spacing w:line="360" w:lineRule="exact"/>
              <w:ind w:firstLine="482"/>
              <w:jc w:val="center"/>
              <w:rPr>
                <w:rFonts w:ascii="宋体" w:hAnsi="宋体" w:eastAsia="宋体" w:cs="Times New Roman"/>
                <w:color w:val="auto"/>
                <w:sz w:val="20"/>
                <w:szCs w:val="15"/>
              </w:rPr>
            </w:pPr>
          </w:p>
        </w:tc>
      </w:tr>
      <w:tr w14:paraId="48937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7384DD70">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4B300F0B">
            <w:pPr>
              <w:spacing w:line="360" w:lineRule="exact"/>
              <w:jc w:val="center"/>
              <w:rPr>
                <w:rFonts w:ascii="宋体" w:hAnsi="宋体" w:eastAsia="宋体" w:cs="Times New Roman"/>
                <w:color w:val="auto"/>
                <w:sz w:val="20"/>
                <w:szCs w:val="15"/>
              </w:rPr>
            </w:pPr>
          </w:p>
        </w:tc>
        <w:tc>
          <w:tcPr>
            <w:tcW w:w="406" w:type="pct"/>
            <w:vAlign w:val="center"/>
          </w:tcPr>
          <w:p w14:paraId="0DBDEE7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发电机</w:t>
            </w:r>
          </w:p>
        </w:tc>
        <w:tc>
          <w:tcPr>
            <w:tcW w:w="609" w:type="pct"/>
            <w:vAlign w:val="center"/>
          </w:tcPr>
          <w:p w14:paraId="4A7314E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continue"/>
            <w:vAlign w:val="center"/>
          </w:tcPr>
          <w:p w14:paraId="3BF6373D">
            <w:pPr>
              <w:adjustRightInd w:val="0"/>
              <w:spacing w:line="360" w:lineRule="exact"/>
              <w:jc w:val="center"/>
              <w:rPr>
                <w:rFonts w:ascii="宋体" w:hAnsi="宋体" w:eastAsia="宋体" w:cs="Times New Roman"/>
                <w:color w:val="auto"/>
                <w:sz w:val="20"/>
                <w:szCs w:val="15"/>
              </w:rPr>
            </w:pPr>
          </w:p>
        </w:tc>
        <w:tc>
          <w:tcPr>
            <w:tcW w:w="409" w:type="pct"/>
            <w:vAlign w:val="center"/>
          </w:tcPr>
          <w:p w14:paraId="6FB1FE04">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r>
              <w:rPr>
                <w:rFonts w:ascii="宋体" w:hAnsi="宋体" w:eastAsia="宋体" w:cs="Times New Roman"/>
                <w:snapToGrid w:val="0"/>
                <w:color w:val="auto"/>
              </w:rPr>
              <w:t>-9</w:t>
            </w:r>
            <w:r>
              <w:rPr>
                <w:rFonts w:hint="eastAsia" w:ascii="宋体" w:hAnsi="宋体" w:eastAsia="宋体" w:cs="Times New Roman"/>
                <w:snapToGrid w:val="0"/>
                <w:color w:val="auto"/>
              </w:rPr>
              <w:t>5</w:t>
            </w:r>
          </w:p>
        </w:tc>
        <w:tc>
          <w:tcPr>
            <w:tcW w:w="606" w:type="pct"/>
            <w:vMerge w:val="continue"/>
            <w:vAlign w:val="center"/>
          </w:tcPr>
          <w:p w14:paraId="1A6ADE02">
            <w:pPr>
              <w:adjustRightInd w:val="0"/>
              <w:spacing w:line="360" w:lineRule="exact"/>
              <w:jc w:val="center"/>
              <w:rPr>
                <w:rFonts w:ascii="宋体" w:hAnsi="宋体" w:eastAsia="宋体" w:cs="Times New Roman"/>
                <w:color w:val="auto"/>
                <w:sz w:val="20"/>
                <w:szCs w:val="15"/>
              </w:rPr>
            </w:pPr>
          </w:p>
        </w:tc>
        <w:tc>
          <w:tcPr>
            <w:tcW w:w="1118" w:type="dxa"/>
            <w:vAlign w:val="center"/>
          </w:tcPr>
          <w:p w14:paraId="10D3C4A0">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272AF60F">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1335" w:type="dxa"/>
            <w:vAlign w:val="center"/>
          </w:tcPr>
          <w:p w14:paraId="362E5F50">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r>
              <w:rPr>
                <w:rFonts w:ascii="宋体" w:hAnsi="宋体" w:eastAsia="宋体" w:cs="Times New Roman"/>
                <w:snapToGrid w:val="0"/>
                <w:color w:val="auto"/>
              </w:rPr>
              <w:t>-9</w:t>
            </w:r>
            <w:r>
              <w:rPr>
                <w:rFonts w:hint="eastAsia" w:ascii="宋体" w:hAnsi="宋体" w:eastAsia="宋体" w:cs="Times New Roman"/>
                <w:snapToGrid w:val="0"/>
                <w:color w:val="auto"/>
              </w:rPr>
              <w:t>5</w:t>
            </w:r>
          </w:p>
        </w:tc>
        <w:tc>
          <w:tcPr>
            <w:tcW w:w="389" w:type="pct"/>
            <w:vMerge w:val="continue"/>
            <w:vAlign w:val="center"/>
          </w:tcPr>
          <w:p w14:paraId="2C0B4CF1">
            <w:pPr>
              <w:adjustRightInd w:val="0"/>
              <w:spacing w:line="360" w:lineRule="exact"/>
              <w:jc w:val="center"/>
              <w:rPr>
                <w:rFonts w:ascii="宋体" w:hAnsi="宋体" w:eastAsia="宋体" w:cs="Times New Roman"/>
                <w:color w:val="auto"/>
                <w:sz w:val="20"/>
                <w:szCs w:val="15"/>
              </w:rPr>
            </w:pPr>
          </w:p>
        </w:tc>
      </w:tr>
      <w:tr w14:paraId="60DA6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5CE11F29">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43754209">
            <w:pPr>
              <w:spacing w:line="360" w:lineRule="exact"/>
              <w:jc w:val="center"/>
              <w:rPr>
                <w:rFonts w:ascii="宋体" w:hAnsi="宋体" w:eastAsia="宋体" w:cs="Times New Roman"/>
                <w:color w:val="auto"/>
                <w:sz w:val="20"/>
                <w:szCs w:val="15"/>
              </w:rPr>
            </w:pPr>
          </w:p>
        </w:tc>
        <w:tc>
          <w:tcPr>
            <w:tcW w:w="406" w:type="pct"/>
            <w:vAlign w:val="center"/>
          </w:tcPr>
          <w:p w14:paraId="04731A7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振动筛</w:t>
            </w:r>
          </w:p>
        </w:tc>
        <w:tc>
          <w:tcPr>
            <w:tcW w:w="609" w:type="pct"/>
            <w:vAlign w:val="center"/>
          </w:tcPr>
          <w:p w14:paraId="4ECA9D0C">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continue"/>
            <w:vAlign w:val="center"/>
          </w:tcPr>
          <w:p w14:paraId="4DF7A515">
            <w:pPr>
              <w:adjustRightInd w:val="0"/>
              <w:spacing w:line="360" w:lineRule="exact"/>
              <w:jc w:val="center"/>
              <w:rPr>
                <w:rFonts w:ascii="宋体" w:hAnsi="宋体" w:eastAsia="宋体" w:cs="Times New Roman"/>
                <w:color w:val="auto"/>
                <w:sz w:val="20"/>
                <w:szCs w:val="15"/>
              </w:rPr>
            </w:pPr>
          </w:p>
        </w:tc>
        <w:tc>
          <w:tcPr>
            <w:tcW w:w="409" w:type="pct"/>
            <w:vAlign w:val="center"/>
          </w:tcPr>
          <w:p w14:paraId="3084FAA9">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85-95</w:t>
            </w:r>
          </w:p>
        </w:tc>
        <w:tc>
          <w:tcPr>
            <w:tcW w:w="606" w:type="pct"/>
            <w:vMerge w:val="continue"/>
            <w:vAlign w:val="center"/>
          </w:tcPr>
          <w:p w14:paraId="7890EBAD">
            <w:pPr>
              <w:adjustRightInd w:val="0"/>
              <w:spacing w:line="360" w:lineRule="exact"/>
              <w:jc w:val="center"/>
              <w:rPr>
                <w:rFonts w:ascii="宋体" w:hAnsi="宋体" w:eastAsia="宋体" w:cs="Times New Roman"/>
                <w:color w:val="auto"/>
                <w:sz w:val="20"/>
                <w:szCs w:val="15"/>
              </w:rPr>
            </w:pPr>
          </w:p>
        </w:tc>
        <w:tc>
          <w:tcPr>
            <w:tcW w:w="1118" w:type="dxa"/>
            <w:vAlign w:val="center"/>
          </w:tcPr>
          <w:p w14:paraId="6AAE3438">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38164999">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1335" w:type="dxa"/>
            <w:vAlign w:val="center"/>
          </w:tcPr>
          <w:p w14:paraId="4A1232B8">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85-95</w:t>
            </w:r>
          </w:p>
        </w:tc>
        <w:tc>
          <w:tcPr>
            <w:tcW w:w="389" w:type="pct"/>
            <w:vMerge w:val="continue"/>
            <w:vAlign w:val="center"/>
          </w:tcPr>
          <w:p w14:paraId="3730A944">
            <w:pPr>
              <w:adjustRightInd w:val="0"/>
              <w:spacing w:line="360" w:lineRule="exact"/>
              <w:jc w:val="center"/>
              <w:rPr>
                <w:rFonts w:ascii="宋体" w:hAnsi="宋体" w:eastAsia="宋体" w:cs="Times New Roman"/>
                <w:color w:val="auto"/>
                <w:sz w:val="20"/>
                <w:szCs w:val="15"/>
              </w:rPr>
            </w:pPr>
          </w:p>
        </w:tc>
      </w:tr>
      <w:tr w14:paraId="607E4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3601A429">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7803974D">
            <w:pPr>
              <w:spacing w:line="360" w:lineRule="exact"/>
              <w:jc w:val="center"/>
              <w:rPr>
                <w:rFonts w:ascii="宋体" w:hAnsi="宋体" w:eastAsia="宋体" w:cs="Times New Roman"/>
                <w:color w:val="auto"/>
                <w:sz w:val="20"/>
                <w:szCs w:val="15"/>
              </w:rPr>
            </w:pPr>
          </w:p>
        </w:tc>
        <w:tc>
          <w:tcPr>
            <w:tcW w:w="406" w:type="pct"/>
            <w:vAlign w:val="center"/>
          </w:tcPr>
          <w:p w14:paraId="3CD0601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筛分装置</w:t>
            </w:r>
          </w:p>
        </w:tc>
        <w:tc>
          <w:tcPr>
            <w:tcW w:w="609" w:type="pct"/>
            <w:vAlign w:val="center"/>
          </w:tcPr>
          <w:p w14:paraId="2102C9E4">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continue"/>
            <w:vAlign w:val="center"/>
          </w:tcPr>
          <w:p w14:paraId="0307F584">
            <w:pPr>
              <w:adjustRightInd w:val="0"/>
              <w:spacing w:line="360" w:lineRule="exact"/>
              <w:jc w:val="center"/>
              <w:rPr>
                <w:rFonts w:ascii="宋体" w:hAnsi="宋体" w:eastAsia="宋体" w:cs="Times New Roman"/>
                <w:color w:val="auto"/>
                <w:sz w:val="20"/>
                <w:szCs w:val="15"/>
              </w:rPr>
            </w:pPr>
          </w:p>
        </w:tc>
        <w:tc>
          <w:tcPr>
            <w:tcW w:w="409" w:type="pct"/>
            <w:vAlign w:val="center"/>
          </w:tcPr>
          <w:p w14:paraId="63627994">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606" w:type="pct"/>
            <w:vMerge w:val="continue"/>
            <w:vAlign w:val="center"/>
          </w:tcPr>
          <w:p w14:paraId="53DF1E8C">
            <w:pPr>
              <w:adjustRightInd w:val="0"/>
              <w:spacing w:line="360" w:lineRule="exact"/>
              <w:jc w:val="center"/>
              <w:rPr>
                <w:rFonts w:ascii="宋体" w:hAnsi="宋体" w:eastAsia="宋体" w:cs="Times New Roman"/>
                <w:color w:val="auto"/>
                <w:sz w:val="20"/>
                <w:szCs w:val="15"/>
              </w:rPr>
            </w:pPr>
          </w:p>
        </w:tc>
        <w:tc>
          <w:tcPr>
            <w:tcW w:w="1118" w:type="dxa"/>
            <w:vAlign w:val="center"/>
          </w:tcPr>
          <w:p w14:paraId="31A3D466">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75182A56">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1335" w:type="dxa"/>
            <w:vAlign w:val="center"/>
          </w:tcPr>
          <w:p w14:paraId="3B1D2AEA">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389" w:type="pct"/>
            <w:vMerge w:val="continue"/>
            <w:vAlign w:val="center"/>
          </w:tcPr>
          <w:p w14:paraId="69042EA5">
            <w:pPr>
              <w:adjustRightInd w:val="0"/>
              <w:spacing w:line="360" w:lineRule="exact"/>
              <w:jc w:val="center"/>
              <w:rPr>
                <w:rFonts w:ascii="宋体" w:hAnsi="宋体" w:eastAsia="宋体" w:cs="Times New Roman"/>
                <w:color w:val="auto"/>
                <w:sz w:val="20"/>
                <w:szCs w:val="15"/>
              </w:rPr>
            </w:pPr>
          </w:p>
        </w:tc>
      </w:tr>
      <w:tr w14:paraId="784F7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68B8E5A0">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184E28B5">
            <w:pPr>
              <w:spacing w:line="360" w:lineRule="exact"/>
              <w:jc w:val="center"/>
              <w:rPr>
                <w:rFonts w:ascii="宋体" w:hAnsi="宋体" w:eastAsia="宋体" w:cs="Times New Roman"/>
                <w:color w:val="auto"/>
                <w:sz w:val="20"/>
                <w:szCs w:val="15"/>
              </w:rPr>
            </w:pPr>
          </w:p>
        </w:tc>
        <w:tc>
          <w:tcPr>
            <w:tcW w:w="406" w:type="pct"/>
            <w:vAlign w:val="center"/>
          </w:tcPr>
          <w:p w14:paraId="097C6BB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固液分离装置</w:t>
            </w:r>
          </w:p>
        </w:tc>
        <w:tc>
          <w:tcPr>
            <w:tcW w:w="609" w:type="pct"/>
            <w:vAlign w:val="center"/>
          </w:tcPr>
          <w:p w14:paraId="053D1BA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continue"/>
            <w:vAlign w:val="center"/>
          </w:tcPr>
          <w:p w14:paraId="145ABD26">
            <w:pPr>
              <w:adjustRightInd w:val="0"/>
              <w:spacing w:line="360" w:lineRule="exact"/>
              <w:jc w:val="center"/>
              <w:rPr>
                <w:rFonts w:ascii="宋体" w:hAnsi="宋体" w:eastAsia="宋体" w:cs="Times New Roman"/>
                <w:color w:val="auto"/>
                <w:sz w:val="20"/>
                <w:szCs w:val="15"/>
              </w:rPr>
            </w:pPr>
          </w:p>
        </w:tc>
        <w:tc>
          <w:tcPr>
            <w:tcW w:w="409" w:type="pct"/>
            <w:vAlign w:val="center"/>
          </w:tcPr>
          <w:p w14:paraId="7817085C">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606" w:type="pct"/>
            <w:vMerge w:val="continue"/>
            <w:vAlign w:val="center"/>
          </w:tcPr>
          <w:p w14:paraId="26A89C0C">
            <w:pPr>
              <w:adjustRightInd w:val="0"/>
              <w:spacing w:line="360" w:lineRule="exact"/>
              <w:jc w:val="center"/>
              <w:rPr>
                <w:rFonts w:ascii="宋体" w:hAnsi="宋体" w:eastAsia="宋体" w:cs="Times New Roman"/>
                <w:color w:val="auto"/>
                <w:sz w:val="20"/>
                <w:szCs w:val="15"/>
              </w:rPr>
            </w:pPr>
          </w:p>
        </w:tc>
        <w:tc>
          <w:tcPr>
            <w:tcW w:w="1118" w:type="dxa"/>
            <w:vAlign w:val="center"/>
          </w:tcPr>
          <w:p w14:paraId="2D773E1E">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5296E2DC">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1335" w:type="dxa"/>
            <w:vAlign w:val="center"/>
          </w:tcPr>
          <w:p w14:paraId="0189E339">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389" w:type="pct"/>
            <w:vMerge w:val="continue"/>
            <w:vAlign w:val="center"/>
          </w:tcPr>
          <w:p w14:paraId="21DEB842">
            <w:pPr>
              <w:adjustRightInd w:val="0"/>
              <w:spacing w:line="360" w:lineRule="exact"/>
              <w:jc w:val="center"/>
              <w:rPr>
                <w:rFonts w:ascii="宋体" w:hAnsi="宋体" w:eastAsia="宋体" w:cs="Times New Roman"/>
                <w:color w:val="auto"/>
                <w:sz w:val="20"/>
                <w:szCs w:val="15"/>
              </w:rPr>
            </w:pPr>
          </w:p>
        </w:tc>
      </w:tr>
      <w:tr w14:paraId="67F3A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1BCC82CC">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0FC29205">
            <w:pPr>
              <w:spacing w:line="360" w:lineRule="exact"/>
              <w:jc w:val="center"/>
              <w:rPr>
                <w:rFonts w:ascii="宋体" w:hAnsi="宋体" w:eastAsia="宋体" w:cs="Times New Roman"/>
                <w:color w:val="auto"/>
                <w:sz w:val="20"/>
                <w:szCs w:val="15"/>
              </w:rPr>
            </w:pPr>
          </w:p>
        </w:tc>
        <w:tc>
          <w:tcPr>
            <w:tcW w:w="406" w:type="pct"/>
            <w:vAlign w:val="center"/>
          </w:tcPr>
          <w:p w14:paraId="36688F5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药剂搅拌罐</w:t>
            </w:r>
          </w:p>
        </w:tc>
        <w:tc>
          <w:tcPr>
            <w:tcW w:w="609" w:type="pct"/>
            <w:vAlign w:val="center"/>
          </w:tcPr>
          <w:p w14:paraId="645038C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continue"/>
            <w:vAlign w:val="center"/>
          </w:tcPr>
          <w:p w14:paraId="749DFB68">
            <w:pPr>
              <w:adjustRightInd w:val="0"/>
              <w:spacing w:line="360" w:lineRule="exact"/>
              <w:jc w:val="center"/>
              <w:rPr>
                <w:rFonts w:ascii="宋体" w:hAnsi="宋体" w:eastAsia="宋体" w:cs="Times New Roman"/>
                <w:color w:val="auto"/>
                <w:sz w:val="20"/>
                <w:szCs w:val="15"/>
              </w:rPr>
            </w:pPr>
          </w:p>
        </w:tc>
        <w:tc>
          <w:tcPr>
            <w:tcW w:w="409" w:type="pct"/>
            <w:vAlign w:val="center"/>
          </w:tcPr>
          <w:p w14:paraId="6BC2C6E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70</w:t>
            </w:r>
          </w:p>
        </w:tc>
        <w:tc>
          <w:tcPr>
            <w:tcW w:w="606" w:type="pct"/>
            <w:vMerge w:val="continue"/>
            <w:vAlign w:val="center"/>
          </w:tcPr>
          <w:p w14:paraId="2A5685EF">
            <w:pPr>
              <w:adjustRightInd w:val="0"/>
              <w:spacing w:line="360" w:lineRule="exact"/>
              <w:jc w:val="center"/>
              <w:rPr>
                <w:rFonts w:ascii="宋体" w:hAnsi="宋体" w:eastAsia="宋体" w:cs="Times New Roman"/>
                <w:color w:val="auto"/>
                <w:sz w:val="20"/>
                <w:szCs w:val="15"/>
              </w:rPr>
            </w:pPr>
          </w:p>
        </w:tc>
        <w:tc>
          <w:tcPr>
            <w:tcW w:w="1118" w:type="dxa"/>
            <w:vAlign w:val="center"/>
          </w:tcPr>
          <w:p w14:paraId="545CE3D6">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0A9D638F">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1335" w:type="dxa"/>
            <w:vAlign w:val="center"/>
          </w:tcPr>
          <w:p w14:paraId="53011E1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70</w:t>
            </w:r>
          </w:p>
        </w:tc>
        <w:tc>
          <w:tcPr>
            <w:tcW w:w="389" w:type="pct"/>
            <w:vMerge w:val="continue"/>
            <w:vAlign w:val="center"/>
          </w:tcPr>
          <w:p w14:paraId="6CED5570">
            <w:pPr>
              <w:adjustRightInd w:val="0"/>
              <w:spacing w:line="360" w:lineRule="exact"/>
              <w:jc w:val="center"/>
              <w:rPr>
                <w:rFonts w:ascii="宋体" w:hAnsi="宋体" w:eastAsia="宋体" w:cs="Times New Roman"/>
                <w:color w:val="auto"/>
                <w:sz w:val="20"/>
                <w:szCs w:val="15"/>
              </w:rPr>
            </w:pPr>
          </w:p>
        </w:tc>
      </w:tr>
      <w:tr w14:paraId="6DAE8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08C6AD38">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48EFEA9A">
            <w:pPr>
              <w:spacing w:line="360" w:lineRule="exact"/>
              <w:jc w:val="center"/>
              <w:rPr>
                <w:rFonts w:ascii="宋体" w:hAnsi="宋体" w:eastAsia="宋体" w:cs="Times New Roman"/>
                <w:snapToGrid w:val="0"/>
                <w:color w:val="auto"/>
              </w:rPr>
            </w:pPr>
          </w:p>
        </w:tc>
        <w:tc>
          <w:tcPr>
            <w:tcW w:w="406" w:type="pct"/>
            <w:vAlign w:val="center"/>
          </w:tcPr>
          <w:p w14:paraId="3707E4B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均质稳反应装置</w:t>
            </w:r>
          </w:p>
        </w:tc>
        <w:tc>
          <w:tcPr>
            <w:tcW w:w="609" w:type="pct"/>
            <w:vAlign w:val="center"/>
          </w:tcPr>
          <w:p w14:paraId="44DD56D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continue"/>
            <w:vAlign w:val="center"/>
          </w:tcPr>
          <w:p w14:paraId="7A58FEDE">
            <w:pPr>
              <w:adjustRightInd w:val="0"/>
              <w:spacing w:line="360" w:lineRule="exact"/>
              <w:jc w:val="center"/>
              <w:rPr>
                <w:rFonts w:ascii="宋体" w:hAnsi="宋体" w:eastAsia="宋体" w:cs="Times New Roman"/>
                <w:color w:val="auto"/>
                <w:sz w:val="20"/>
                <w:szCs w:val="15"/>
              </w:rPr>
            </w:pPr>
          </w:p>
        </w:tc>
        <w:tc>
          <w:tcPr>
            <w:tcW w:w="409" w:type="pct"/>
            <w:vAlign w:val="center"/>
          </w:tcPr>
          <w:p w14:paraId="43369484">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606" w:type="pct"/>
            <w:vMerge w:val="continue"/>
            <w:vAlign w:val="center"/>
          </w:tcPr>
          <w:p w14:paraId="1FEC6E30">
            <w:pPr>
              <w:adjustRightInd w:val="0"/>
              <w:spacing w:line="360" w:lineRule="exact"/>
              <w:jc w:val="center"/>
              <w:rPr>
                <w:rFonts w:ascii="宋体" w:hAnsi="宋体" w:eastAsia="宋体" w:cs="Times New Roman"/>
                <w:color w:val="auto"/>
                <w:sz w:val="20"/>
                <w:szCs w:val="15"/>
              </w:rPr>
            </w:pPr>
          </w:p>
        </w:tc>
        <w:tc>
          <w:tcPr>
            <w:tcW w:w="1118" w:type="dxa"/>
            <w:vAlign w:val="center"/>
          </w:tcPr>
          <w:p w14:paraId="4C4BDFEF">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15DAAC05">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1335" w:type="dxa"/>
            <w:vAlign w:val="center"/>
          </w:tcPr>
          <w:p w14:paraId="0105E747">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389" w:type="pct"/>
            <w:vMerge w:val="continue"/>
            <w:vAlign w:val="center"/>
          </w:tcPr>
          <w:p w14:paraId="5A864FC1">
            <w:pPr>
              <w:adjustRightInd w:val="0"/>
              <w:spacing w:line="360" w:lineRule="exact"/>
              <w:jc w:val="center"/>
              <w:rPr>
                <w:rFonts w:ascii="宋体" w:hAnsi="宋体" w:eastAsia="宋体" w:cs="Times New Roman"/>
                <w:color w:val="auto"/>
                <w:sz w:val="20"/>
                <w:szCs w:val="15"/>
              </w:rPr>
            </w:pPr>
          </w:p>
        </w:tc>
      </w:tr>
      <w:tr w14:paraId="535F3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388" w:type="pct"/>
            <w:vMerge w:val="continue"/>
            <w:vAlign w:val="center"/>
          </w:tcPr>
          <w:p w14:paraId="5C2905D5">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2CD19FCF">
            <w:pPr>
              <w:spacing w:line="360" w:lineRule="exact"/>
              <w:jc w:val="center"/>
              <w:rPr>
                <w:rFonts w:ascii="宋体" w:hAnsi="宋体" w:eastAsia="宋体" w:cs="Times New Roman"/>
                <w:snapToGrid w:val="0"/>
                <w:color w:val="auto"/>
              </w:rPr>
            </w:pPr>
          </w:p>
        </w:tc>
        <w:tc>
          <w:tcPr>
            <w:tcW w:w="406" w:type="pct"/>
            <w:vAlign w:val="center"/>
          </w:tcPr>
          <w:p w14:paraId="00ECA377">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压裂车</w:t>
            </w:r>
          </w:p>
        </w:tc>
        <w:tc>
          <w:tcPr>
            <w:tcW w:w="609" w:type="pct"/>
            <w:vAlign w:val="center"/>
          </w:tcPr>
          <w:p w14:paraId="1147C8D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continue"/>
            <w:vAlign w:val="center"/>
          </w:tcPr>
          <w:p w14:paraId="09F104A7">
            <w:pPr>
              <w:adjustRightInd w:val="0"/>
              <w:spacing w:line="360" w:lineRule="exact"/>
              <w:jc w:val="center"/>
              <w:rPr>
                <w:rFonts w:ascii="宋体" w:hAnsi="宋体" w:eastAsia="宋体" w:cs="Times New Roman"/>
                <w:color w:val="auto"/>
                <w:sz w:val="20"/>
                <w:szCs w:val="15"/>
              </w:rPr>
            </w:pPr>
          </w:p>
        </w:tc>
        <w:tc>
          <w:tcPr>
            <w:tcW w:w="409" w:type="pct"/>
            <w:vAlign w:val="center"/>
          </w:tcPr>
          <w:p w14:paraId="7E4C3525">
            <w:pPr>
              <w:spacing w:line="360" w:lineRule="exact"/>
              <w:jc w:val="center"/>
              <w:rPr>
                <w:rFonts w:ascii="宋体" w:hAnsi="宋体" w:eastAsia="宋体" w:cs="Times New Roman"/>
                <w:color w:val="auto"/>
              </w:rPr>
            </w:pPr>
            <w:r>
              <w:rPr>
                <w:rFonts w:hint="eastAsia" w:ascii="宋体" w:hAnsi="宋体" w:eastAsia="宋体" w:cs="Times New Roman"/>
                <w:snapToGrid w:val="0"/>
                <w:color w:val="auto"/>
              </w:rPr>
              <w:t>70</w:t>
            </w:r>
            <w:r>
              <w:rPr>
                <w:rFonts w:ascii="宋体" w:hAnsi="宋体" w:eastAsia="宋体" w:cs="Times New Roman"/>
                <w:snapToGrid w:val="0"/>
                <w:color w:val="auto"/>
              </w:rPr>
              <w:t>-7</w:t>
            </w:r>
            <w:r>
              <w:rPr>
                <w:rFonts w:hint="eastAsia" w:ascii="宋体" w:hAnsi="宋体" w:eastAsia="宋体" w:cs="Times New Roman"/>
                <w:snapToGrid w:val="0"/>
                <w:color w:val="auto"/>
              </w:rPr>
              <w:t>5</w:t>
            </w:r>
          </w:p>
        </w:tc>
        <w:tc>
          <w:tcPr>
            <w:tcW w:w="606" w:type="pct"/>
            <w:vMerge w:val="continue"/>
            <w:vAlign w:val="center"/>
          </w:tcPr>
          <w:p w14:paraId="4C9FD705">
            <w:pPr>
              <w:adjustRightInd w:val="0"/>
              <w:spacing w:line="360" w:lineRule="exact"/>
              <w:jc w:val="center"/>
              <w:rPr>
                <w:rFonts w:ascii="宋体" w:hAnsi="宋体" w:eastAsia="宋体" w:cs="Times New Roman"/>
                <w:color w:val="auto"/>
                <w:sz w:val="20"/>
                <w:szCs w:val="15"/>
              </w:rPr>
            </w:pPr>
          </w:p>
        </w:tc>
        <w:tc>
          <w:tcPr>
            <w:tcW w:w="1118" w:type="dxa"/>
            <w:vAlign w:val="center"/>
          </w:tcPr>
          <w:p w14:paraId="2B08C5BE">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0A96C538">
            <w:pPr>
              <w:adjustRightInd w:val="0"/>
              <w:spacing w:line="360" w:lineRule="exact"/>
              <w:jc w:val="center"/>
              <w:rPr>
                <w:rFonts w:ascii="宋体" w:hAnsi="宋体" w:eastAsia="宋体" w:cs="Times New Roman"/>
                <w:color w:val="auto"/>
                <w:sz w:val="20"/>
                <w:szCs w:val="15"/>
              </w:rPr>
            </w:pPr>
            <w:r>
              <w:rPr>
                <w:rFonts w:ascii="宋体" w:hAnsi="宋体" w:eastAsia="宋体" w:cs="Times New Roman"/>
                <w:color w:val="auto"/>
                <w:sz w:val="20"/>
                <w:szCs w:val="15"/>
              </w:rPr>
              <w:t>类比法</w:t>
            </w:r>
          </w:p>
        </w:tc>
        <w:tc>
          <w:tcPr>
            <w:tcW w:w="1335" w:type="dxa"/>
            <w:vAlign w:val="center"/>
          </w:tcPr>
          <w:p w14:paraId="5518BBDA">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70</w:t>
            </w:r>
            <w:r>
              <w:rPr>
                <w:rFonts w:ascii="宋体" w:hAnsi="宋体" w:eastAsia="宋体" w:cs="Times New Roman"/>
                <w:snapToGrid w:val="0"/>
                <w:color w:val="auto"/>
              </w:rPr>
              <w:t>-7</w:t>
            </w:r>
            <w:r>
              <w:rPr>
                <w:rFonts w:hint="eastAsia" w:ascii="宋体" w:hAnsi="宋体" w:eastAsia="宋体" w:cs="Times New Roman"/>
                <w:snapToGrid w:val="0"/>
                <w:color w:val="auto"/>
              </w:rPr>
              <w:t>5</w:t>
            </w:r>
          </w:p>
        </w:tc>
        <w:tc>
          <w:tcPr>
            <w:tcW w:w="389" w:type="pct"/>
            <w:vMerge w:val="continue"/>
            <w:vAlign w:val="center"/>
          </w:tcPr>
          <w:p w14:paraId="30EB711D">
            <w:pPr>
              <w:adjustRightInd w:val="0"/>
              <w:spacing w:line="360" w:lineRule="exact"/>
              <w:jc w:val="center"/>
              <w:rPr>
                <w:rFonts w:ascii="宋体" w:hAnsi="宋体" w:eastAsia="宋体" w:cs="Times New Roman"/>
                <w:color w:val="auto"/>
                <w:sz w:val="20"/>
                <w:szCs w:val="15"/>
              </w:rPr>
            </w:pPr>
          </w:p>
        </w:tc>
      </w:tr>
      <w:tr w14:paraId="71349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vAlign w:val="center"/>
          </w:tcPr>
          <w:p w14:paraId="065A2B35">
            <w:pPr>
              <w:adjustRightInd w:val="0"/>
              <w:spacing w:line="360" w:lineRule="exact"/>
              <w:jc w:val="center"/>
              <w:rPr>
                <w:rFonts w:ascii="宋体" w:hAnsi="宋体" w:eastAsia="宋体" w:cs="Times New Roman"/>
                <w:color w:val="auto"/>
                <w:sz w:val="20"/>
                <w:szCs w:val="15"/>
              </w:rPr>
            </w:pPr>
          </w:p>
        </w:tc>
        <w:tc>
          <w:tcPr>
            <w:tcW w:w="468" w:type="pct"/>
            <w:vMerge w:val="continue"/>
            <w:vAlign w:val="center"/>
          </w:tcPr>
          <w:p w14:paraId="4C384FDE">
            <w:pPr>
              <w:spacing w:line="360" w:lineRule="exact"/>
              <w:jc w:val="center"/>
              <w:rPr>
                <w:rFonts w:ascii="宋体" w:hAnsi="宋体" w:eastAsia="宋体" w:cs="Times New Roman"/>
                <w:snapToGrid w:val="0"/>
                <w:color w:val="auto"/>
              </w:rPr>
            </w:pPr>
          </w:p>
        </w:tc>
        <w:tc>
          <w:tcPr>
            <w:tcW w:w="406" w:type="pct"/>
            <w:vAlign w:val="center"/>
          </w:tcPr>
          <w:p w14:paraId="275CD9A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混砂车</w:t>
            </w:r>
          </w:p>
        </w:tc>
        <w:tc>
          <w:tcPr>
            <w:tcW w:w="609" w:type="pct"/>
            <w:vAlign w:val="center"/>
          </w:tcPr>
          <w:p w14:paraId="3016CBFD">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391" w:type="pct"/>
            <w:vMerge w:val="continue"/>
            <w:vAlign w:val="center"/>
          </w:tcPr>
          <w:p w14:paraId="759C6719">
            <w:pPr>
              <w:adjustRightInd w:val="0"/>
              <w:spacing w:line="360" w:lineRule="exact"/>
              <w:jc w:val="center"/>
              <w:rPr>
                <w:rFonts w:ascii="宋体" w:hAnsi="宋体" w:eastAsia="宋体" w:cs="Times New Roman"/>
                <w:color w:val="auto"/>
                <w:sz w:val="20"/>
                <w:szCs w:val="15"/>
              </w:rPr>
            </w:pPr>
          </w:p>
        </w:tc>
        <w:tc>
          <w:tcPr>
            <w:tcW w:w="409" w:type="pct"/>
            <w:vAlign w:val="center"/>
          </w:tcPr>
          <w:p w14:paraId="0C2C2126">
            <w:pPr>
              <w:spacing w:line="360" w:lineRule="exact"/>
              <w:jc w:val="center"/>
              <w:rPr>
                <w:rFonts w:ascii="宋体" w:hAnsi="宋体" w:eastAsia="宋体" w:cs="Times New Roman"/>
                <w:color w:val="auto"/>
              </w:rPr>
            </w:pPr>
            <w:r>
              <w:rPr>
                <w:rFonts w:ascii="宋体" w:hAnsi="宋体" w:eastAsia="宋体" w:cs="Times New Roman"/>
                <w:snapToGrid w:val="0"/>
                <w:color w:val="auto"/>
              </w:rPr>
              <w:t>8</w:t>
            </w:r>
            <w:r>
              <w:rPr>
                <w:rFonts w:hint="eastAsia" w:ascii="宋体" w:hAnsi="宋体" w:eastAsia="宋体" w:cs="Times New Roman"/>
                <w:snapToGrid w:val="0"/>
                <w:color w:val="auto"/>
              </w:rPr>
              <w:t>5</w:t>
            </w:r>
            <w:r>
              <w:rPr>
                <w:rFonts w:ascii="宋体" w:hAnsi="宋体" w:eastAsia="宋体" w:cs="Times New Roman"/>
                <w:snapToGrid w:val="0"/>
                <w:color w:val="auto"/>
              </w:rPr>
              <w:t>-</w:t>
            </w:r>
            <w:r>
              <w:rPr>
                <w:rFonts w:hint="eastAsia" w:ascii="宋体" w:hAnsi="宋体" w:eastAsia="宋体" w:cs="Times New Roman"/>
                <w:snapToGrid w:val="0"/>
                <w:color w:val="auto"/>
              </w:rPr>
              <w:t>95</w:t>
            </w:r>
          </w:p>
        </w:tc>
        <w:tc>
          <w:tcPr>
            <w:tcW w:w="606" w:type="pct"/>
            <w:vMerge w:val="continue"/>
            <w:vAlign w:val="center"/>
          </w:tcPr>
          <w:p w14:paraId="1400540C">
            <w:pPr>
              <w:adjustRightInd w:val="0"/>
              <w:spacing w:line="360" w:lineRule="exact"/>
              <w:jc w:val="center"/>
              <w:rPr>
                <w:rFonts w:ascii="宋体" w:hAnsi="宋体" w:eastAsia="宋体" w:cs="Times New Roman"/>
                <w:color w:val="auto"/>
                <w:sz w:val="20"/>
                <w:szCs w:val="15"/>
              </w:rPr>
            </w:pPr>
          </w:p>
        </w:tc>
        <w:tc>
          <w:tcPr>
            <w:tcW w:w="1118" w:type="dxa"/>
            <w:vAlign w:val="center"/>
          </w:tcPr>
          <w:p w14:paraId="6BA50E66">
            <w:pPr>
              <w:jc w:val="center"/>
              <w:rPr>
                <w:rFonts w:ascii="宋体" w:hAnsi="宋体" w:eastAsia="宋体" w:cs="Times New Roman"/>
                <w:snapToGrid w:val="0"/>
                <w:color w:val="auto"/>
              </w:rPr>
            </w:pPr>
            <w:r>
              <w:rPr>
                <w:rFonts w:ascii="宋体" w:hAnsi="宋体" w:eastAsia="宋体" w:cs="Times New Roman"/>
                <w:color w:val="auto"/>
              </w:rPr>
              <w:t>/</w:t>
            </w:r>
          </w:p>
        </w:tc>
        <w:tc>
          <w:tcPr>
            <w:tcW w:w="468" w:type="pct"/>
            <w:vAlign w:val="center"/>
          </w:tcPr>
          <w:p w14:paraId="3626482E">
            <w:pPr>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类比法</w:t>
            </w:r>
          </w:p>
        </w:tc>
        <w:tc>
          <w:tcPr>
            <w:tcW w:w="1335" w:type="dxa"/>
            <w:vAlign w:val="center"/>
          </w:tcPr>
          <w:p w14:paraId="75ABE08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w:t>
            </w:r>
            <w:r>
              <w:rPr>
                <w:rFonts w:hint="eastAsia" w:ascii="宋体" w:hAnsi="宋体" w:eastAsia="宋体" w:cs="Times New Roman"/>
                <w:snapToGrid w:val="0"/>
                <w:color w:val="auto"/>
              </w:rPr>
              <w:t>5</w:t>
            </w:r>
            <w:r>
              <w:rPr>
                <w:rFonts w:ascii="宋体" w:hAnsi="宋体" w:eastAsia="宋体" w:cs="Times New Roman"/>
                <w:snapToGrid w:val="0"/>
                <w:color w:val="auto"/>
              </w:rPr>
              <w:t>-</w:t>
            </w:r>
            <w:r>
              <w:rPr>
                <w:rFonts w:hint="eastAsia" w:ascii="宋体" w:hAnsi="宋体" w:eastAsia="宋体" w:cs="Times New Roman"/>
                <w:snapToGrid w:val="0"/>
                <w:color w:val="auto"/>
              </w:rPr>
              <w:t>95</w:t>
            </w:r>
          </w:p>
        </w:tc>
        <w:tc>
          <w:tcPr>
            <w:tcW w:w="389" w:type="pct"/>
            <w:vMerge w:val="continue"/>
            <w:vAlign w:val="center"/>
          </w:tcPr>
          <w:p w14:paraId="5DD28B3D">
            <w:pPr>
              <w:adjustRightInd w:val="0"/>
              <w:spacing w:line="360" w:lineRule="exact"/>
              <w:jc w:val="center"/>
              <w:rPr>
                <w:rFonts w:ascii="宋体" w:hAnsi="宋体" w:eastAsia="宋体" w:cs="Times New Roman"/>
                <w:color w:val="auto"/>
                <w:sz w:val="20"/>
                <w:szCs w:val="15"/>
              </w:rPr>
            </w:pPr>
          </w:p>
        </w:tc>
      </w:tr>
    </w:tbl>
    <w:p w14:paraId="090A93E1">
      <w:pPr>
        <w:pStyle w:val="276"/>
        <w:widowControl w:val="0"/>
        <w:spacing w:line="440" w:lineRule="exact"/>
        <w:ind w:firstLine="0" w:firstLineChars="0"/>
        <w:jc w:val="center"/>
        <w:rPr>
          <w:color w:val="auto"/>
          <w:kern w:val="2"/>
        </w:rPr>
      </w:pPr>
      <w:r>
        <w:rPr>
          <w:color w:val="auto"/>
          <w:kern w:val="2"/>
        </w:rPr>
        <w:t>表</w:t>
      </w:r>
      <w:r>
        <w:rPr>
          <w:color w:val="auto"/>
        </w:rPr>
        <w:t>3.12-15</w:t>
      </w:r>
      <w:r>
        <w:rPr>
          <w:color w:val="auto"/>
          <w:kern w:val="2"/>
        </w:rPr>
        <w:t xml:space="preserve"> </w:t>
      </w:r>
      <w:r>
        <w:rPr>
          <w:color w:val="auto"/>
          <w:kern w:val="21"/>
        </w:rPr>
        <w:t>施工期</w:t>
      </w:r>
      <w:r>
        <w:rPr>
          <w:color w:val="auto"/>
          <w:kern w:val="2"/>
        </w:rPr>
        <w:t>固体废物污染源强核算结果表</w:t>
      </w:r>
    </w:p>
    <w:tbl>
      <w:tblPr>
        <w:tblStyle w:val="81"/>
        <w:tblW w:w="140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958"/>
        <w:gridCol w:w="1134"/>
        <w:gridCol w:w="1134"/>
        <w:gridCol w:w="1276"/>
        <w:gridCol w:w="992"/>
        <w:gridCol w:w="6631"/>
      </w:tblGrid>
      <w:tr w14:paraId="51DE8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restart"/>
            <w:vAlign w:val="center"/>
          </w:tcPr>
          <w:p w14:paraId="75D7C93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工序</w:t>
            </w:r>
          </w:p>
        </w:tc>
        <w:tc>
          <w:tcPr>
            <w:tcW w:w="1958" w:type="dxa"/>
            <w:vMerge w:val="restart"/>
            <w:vAlign w:val="center"/>
          </w:tcPr>
          <w:p w14:paraId="724F692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固体废物名称</w:t>
            </w:r>
          </w:p>
        </w:tc>
        <w:tc>
          <w:tcPr>
            <w:tcW w:w="2268" w:type="dxa"/>
            <w:gridSpan w:val="2"/>
            <w:vAlign w:val="center"/>
          </w:tcPr>
          <w:p w14:paraId="6B829253">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产生情况</w:t>
            </w:r>
          </w:p>
        </w:tc>
        <w:tc>
          <w:tcPr>
            <w:tcW w:w="2268" w:type="dxa"/>
            <w:gridSpan w:val="2"/>
            <w:vAlign w:val="center"/>
          </w:tcPr>
          <w:p w14:paraId="0B34762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处置措施</w:t>
            </w:r>
          </w:p>
        </w:tc>
        <w:tc>
          <w:tcPr>
            <w:tcW w:w="6631" w:type="dxa"/>
            <w:vMerge w:val="restart"/>
            <w:vAlign w:val="center"/>
          </w:tcPr>
          <w:p w14:paraId="76A5CE0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最终排放去向</w:t>
            </w:r>
          </w:p>
        </w:tc>
      </w:tr>
      <w:tr w14:paraId="25B66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60609610">
            <w:pPr>
              <w:spacing w:line="360" w:lineRule="exact"/>
              <w:jc w:val="center"/>
              <w:rPr>
                <w:rFonts w:ascii="宋体" w:hAnsi="宋体" w:eastAsia="宋体" w:cs="Times New Roman"/>
                <w:snapToGrid w:val="0"/>
                <w:color w:val="auto"/>
              </w:rPr>
            </w:pPr>
          </w:p>
        </w:tc>
        <w:tc>
          <w:tcPr>
            <w:tcW w:w="1958" w:type="dxa"/>
            <w:vMerge w:val="continue"/>
            <w:vAlign w:val="center"/>
          </w:tcPr>
          <w:p w14:paraId="7469C345">
            <w:pPr>
              <w:spacing w:line="360" w:lineRule="exact"/>
              <w:jc w:val="center"/>
              <w:rPr>
                <w:rFonts w:ascii="宋体" w:hAnsi="宋体" w:eastAsia="宋体" w:cs="Times New Roman"/>
                <w:snapToGrid w:val="0"/>
                <w:color w:val="auto"/>
              </w:rPr>
            </w:pPr>
          </w:p>
        </w:tc>
        <w:tc>
          <w:tcPr>
            <w:tcW w:w="1134" w:type="dxa"/>
            <w:vAlign w:val="center"/>
          </w:tcPr>
          <w:p w14:paraId="187517A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核算方法</w:t>
            </w:r>
          </w:p>
        </w:tc>
        <w:tc>
          <w:tcPr>
            <w:tcW w:w="1134" w:type="dxa"/>
            <w:vAlign w:val="center"/>
          </w:tcPr>
          <w:p w14:paraId="5F18C5D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产生量</w:t>
            </w:r>
          </w:p>
        </w:tc>
        <w:tc>
          <w:tcPr>
            <w:tcW w:w="1276" w:type="dxa"/>
            <w:vAlign w:val="center"/>
          </w:tcPr>
          <w:p w14:paraId="546BC6F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工艺</w:t>
            </w:r>
          </w:p>
        </w:tc>
        <w:tc>
          <w:tcPr>
            <w:tcW w:w="992" w:type="dxa"/>
            <w:vAlign w:val="center"/>
          </w:tcPr>
          <w:p w14:paraId="45BBD79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处置量</w:t>
            </w:r>
          </w:p>
        </w:tc>
        <w:tc>
          <w:tcPr>
            <w:tcW w:w="6631" w:type="dxa"/>
            <w:vMerge w:val="continue"/>
            <w:vAlign w:val="center"/>
          </w:tcPr>
          <w:p w14:paraId="524B16CC">
            <w:pPr>
              <w:spacing w:line="360" w:lineRule="exact"/>
              <w:jc w:val="center"/>
              <w:rPr>
                <w:rFonts w:ascii="宋体" w:hAnsi="宋体" w:eastAsia="宋体" w:cs="Times New Roman"/>
                <w:snapToGrid w:val="0"/>
                <w:color w:val="auto"/>
              </w:rPr>
            </w:pPr>
          </w:p>
        </w:tc>
      </w:tr>
      <w:tr w14:paraId="53EA5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8" w:hRule="atLeast"/>
        </w:trPr>
        <w:tc>
          <w:tcPr>
            <w:tcW w:w="877" w:type="dxa"/>
            <w:vMerge w:val="restart"/>
            <w:vAlign w:val="center"/>
          </w:tcPr>
          <w:p w14:paraId="60A1313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钻井及地面建设</w:t>
            </w:r>
          </w:p>
        </w:tc>
        <w:tc>
          <w:tcPr>
            <w:tcW w:w="1958" w:type="dxa"/>
            <w:vAlign w:val="center"/>
          </w:tcPr>
          <w:p w14:paraId="22EB057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水基废钻井液</w:t>
            </w:r>
          </w:p>
        </w:tc>
        <w:tc>
          <w:tcPr>
            <w:tcW w:w="1134" w:type="dxa"/>
            <w:vAlign w:val="center"/>
          </w:tcPr>
          <w:p w14:paraId="2D3CABCD">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vAlign w:val="center"/>
          </w:tcPr>
          <w:p w14:paraId="0B979298">
            <w:pPr>
              <w:spacing w:line="360" w:lineRule="exact"/>
              <w:jc w:val="center"/>
              <w:rPr>
                <w:rFonts w:ascii="宋体" w:hAnsi="宋体" w:eastAsia="宋体" w:cs="Times New Roman"/>
                <w:snapToGrid w:val="0"/>
                <w:color w:val="auto"/>
              </w:rPr>
            </w:pPr>
            <w:r>
              <w:rPr>
                <w:rFonts w:ascii="宋体" w:hAnsi="宋体" w:eastAsia="宋体" w:cs="Times New Roman"/>
                <w:color w:val="auto"/>
              </w:rPr>
              <w:t>926m</w:t>
            </w:r>
            <w:r>
              <w:rPr>
                <w:rFonts w:ascii="宋体" w:hAnsi="宋体" w:eastAsia="宋体" w:cs="Times New Roman"/>
                <w:color w:val="auto"/>
                <w:vertAlign w:val="superscript"/>
              </w:rPr>
              <w:t>3</w:t>
            </w:r>
          </w:p>
        </w:tc>
        <w:tc>
          <w:tcPr>
            <w:tcW w:w="1276" w:type="dxa"/>
            <w:vAlign w:val="center"/>
          </w:tcPr>
          <w:p w14:paraId="50DF90C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无害化处理</w:t>
            </w:r>
          </w:p>
        </w:tc>
        <w:tc>
          <w:tcPr>
            <w:tcW w:w="992" w:type="dxa"/>
            <w:vAlign w:val="center"/>
          </w:tcPr>
          <w:p w14:paraId="2BC13D84">
            <w:pPr>
              <w:spacing w:line="360" w:lineRule="exact"/>
              <w:jc w:val="center"/>
              <w:rPr>
                <w:rFonts w:ascii="宋体" w:hAnsi="宋体" w:eastAsia="宋体" w:cs="Times New Roman"/>
                <w:snapToGrid w:val="0"/>
                <w:color w:val="auto"/>
              </w:rPr>
            </w:pPr>
            <w:r>
              <w:rPr>
                <w:rFonts w:ascii="宋体" w:hAnsi="宋体" w:eastAsia="宋体" w:cs="Times New Roman"/>
                <w:color w:val="auto"/>
              </w:rPr>
              <w:t>926m</w:t>
            </w:r>
            <w:r>
              <w:rPr>
                <w:rFonts w:ascii="宋体" w:hAnsi="宋体" w:eastAsia="宋体" w:cs="Times New Roman"/>
                <w:color w:val="auto"/>
                <w:vertAlign w:val="superscript"/>
              </w:rPr>
              <w:t>3</w:t>
            </w:r>
          </w:p>
        </w:tc>
        <w:tc>
          <w:tcPr>
            <w:tcW w:w="6631" w:type="dxa"/>
            <w:vMerge w:val="restart"/>
            <w:vAlign w:val="center"/>
          </w:tcPr>
          <w:p w14:paraId="2F61BF0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处理后的泥饼外售给大庆钻探工程公司钻井二公司综合利用垫井场或铺路</w:t>
            </w:r>
          </w:p>
        </w:tc>
      </w:tr>
      <w:tr w14:paraId="6573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5" w:hRule="atLeast"/>
        </w:trPr>
        <w:tc>
          <w:tcPr>
            <w:tcW w:w="877" w:type="dxa"/>
            <w:vMerge w:val="continue"/>
            <w:vAlign w:val="center"/>
          </w:tcPr>
          <w:p w14:paraId="5F9AB46D">
            <w:pPr>
              <w:spacing w:line="360" w:lineRule="exact"/>
              <w:jc w:val="center"/>
              <w:rPr>
                <w:rFonts w:ascii="宋体" w:hAnsi="宋体" w:eastAsia="宋体" w:cs="Times New Roman"/>
                <w:snapToGrid w:val="0"/>
                <w:color w:val="auto"/>
              </w:rPr>
            </w:pPr>
          </w:p>
        </w:tc>
        <w:tc>
          <w:tcPr>
            <w:tcW w:w="1958" w:type="dxa"/>
            <w:vAlign w:val="center"/>
          </w:tcPr>
          <w:p w14:paraId="4D0899B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水基钻井岩屑</w:t>
            </w:r>
          </w:p>
        </w:tc>
        <w:tc>
          <w:tcPr>
            <w:tcW w:w="1134" w:type="dxa"/>
            <w:vAlign w:val="center"/>
          </w:tcPr>
          <w:p w14:paraId="5DFE767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vAlign w:val="center"/>
          </w:tcPr>
          <w:p w14:paraId="0614BEA2">
            <w:pPr>
              <w:spacing w:line="360" w:lineRule="exact"/>
              <w:jc w:val="center"/>
              <w:rPr>
                <w:rFonts w:ascii="宋体" w:hAnsi="宋体" w:eastAsia="宋体" w:cs="Times New Roman"/>
                <w:snapToGrid w:val="0"/>
                <w:color w:val="auto"/>
              </w:rPr>
            </w:pPr>
            <w:r>
              <w:rPr>
                <w:rFonts w:ascii="宋体" w:hAnsi="宋体" w:eastAsia="宋体" w:cs="Times New Roman"/>
                <w:color w:val="auto"/>
              </w:rPr>
              <w:t>140.3m</w:t>
            </w:r>
            <w:r>
              <w:rPr>
                <w:rFonts w:ascii="宋体" w:hAnsi="宋体" w:eastAsia="宋体" w:cs="Times New Roman"/>
                <w:color w:val="auto"/>
                <w:vertAlign w:val="superscript"/>
              </w:rPr>
              <w:t>3</w:t>
            </w:r>
          </w:p>
        </w:tc>
        <w:tc>
          <w:tcPr>
            <w:tcW w:w="1276" w:type="dxa"/>
            <w:vAlign w:val="center"/>
          </w:tcPr>
          <w:p w14:paraId="64E1EDD1">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无害化处理</w:t>
            </w:r>
          </w:p>
        </w:tc>
        <w:tc>
          <w:tcPr>
            <w:tcW w:w="992" w:type="dxa"/>
            <w:vAlign w:val="center"/>
          </w:tcPr>
          <w:p w14:paraId="4A6D6821">
            <w:pPr>
              <w:spacing w:line="360" w:lineRule="exact"/>
              <w:jc w:val="center"/>
              <w:rPr>
                <w:rFonts w:ascii="宋体" w:hAnsi="宋体" w:eastAsia="宋体" w:cs="Times New Roman"/>
                <w:snapToGrid w:val="0"/>
                <w:color w:val="auto"/>
              </w:rPr>
            </w:pPr>
            <w:r>
              <w:rPr>
                <w:rFonts w:ascii="宋体" w:hAnsi="宋体" w:eastAsia="宋体" w:cs="Times New Roman"/>
                <w:color w:val="auto"/>
              </w:rPr>
              <w:t>140.3m</w:t>
            </w:r>
            <w:r>
              <w:rPr>
                <w:rFonts w:ascii="宋体" w:hAnsi="宋体" w:eastAsia="宋体" w:cs="Times New Roman"/>
                <w:color w:val="auto"/>
                <w:vertAlign w:val="superscript"/>
              </w:rPr>
              <w:t>3</w:t>
            </w:r>
          </w:p>
        </w:tc>
        <w:tc>
          <w:tcPr>
            <w:tcW w:w="6631" w:type="dxa"/>
            <w:vMerge w:val="continue"/>
            <w:vAlign w:val="center"/>
          </w:tcPr>
          <w:p w14:paraId="6240A7D5">
            <w:pPr>
              <w:spacing w:line="360" w:lineRule="exact"/>
              <w:jc w:val="center"/>
              <w:rPr>
                <w:rFonts w:ascii="宋体" w:hAnsi="宋体" w:eastAsia="宋体" w:cs="Times New Roman"/>
                <w:snapToGrid w:val="0"/>
                <w:color w:val="auto"/>
              </w:rPr>
            </w:pPr>
          </w:p>
        </w:tc>
      </w:tr>
      <w:tr w14:paraId="7F424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5" w:hRule="atLeast"/>
        </w:trPr>
        <w:tc>
          <w:tcPr>
            <w:tcW w:w="877" w:type="dxa"/>
            <w:vMerge w:val="continue"/>
            <w:vAlign w:val="center"/>
          </w:tcPr>
          <w:p w14:paraId="1A489323">
            <w:pPr>
              <w:spacing w:line="360" w:lineRule="exact"/>
              <w:jc w:val="center"/>
              <w:rPr>
                <w:rFonts w:ascii="宋体" w:hAnsi="宋体" w:eastAsia="宋体" w:cs="Times New Roman"/>
                <w:snapToGrid w:val="0"/>
                <w:color w:val="auto"/>
              </w:rPr>
            </w:pPr>
          </w:p>
        </w:tc>
        <w:tc>
          <w:tcPr>
            <w:tcW w:w="1958" w:type="dxa"/>
            <w:vAlign w:val="center"/>
          </w:tcPr>
          <w:p w14:paraId="6D4164E1">
            <w:pPr>
              <w:spacing w:line="360" w:lineRule="exact"/>
              <w:jc w:val="center"/>
              <w:rPr>
                <w:rFonts w:ascii="宋体" w:hAnsi="宋体" w:eastAsia="宋体" w:cs="Times New Roman"/>
                <w:snapToGrid w:val="0"/>
                <w:color w:val="auto"/>
              </w:rPr>
            </w:pPr>
            <w:r>
              <w:rPr>
                <w:rFonts w:ascii="宋体" w:hAnsi="宋体" w:eastAsia="宋体" w:cs="Times New Roman"/>
                <w:color w:val="auto"/>
              </w:rPr>
              <w:t>不含油废射孔液</w:t>
            </w:r>
          </w:p>
        </w:tc>
        <w:tc>
          <w:tcPr>
            <w:tcW w:w="1134" w:type="dxa"/>
            <w:vAlign w:val="center"/>
          </w:tcPr>
          <w:p w14:paraId="00C7EA4D">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vAlign w:val="center"/>
          </w:tcPr>
          <w:p w14:paraId="10744871">
            <w:pPr>
              <w:spacing w:line="360" w:lineRule="exact"/>
              <w:jc w:val="center"/>
              <w:rPr>
                <w:rFonts w:ascii="宋体" w:hAnsi="宋体" w:eastAsia="宋体" w:cs="Times New Roman"/>
                <w:color w:val="auto"/>
              </w:rPr>
            </w:pPr>
            <w:r>
              <w:rPr>
                <w:rFonts w:ascii="宋体" w:hAnsi="宋体" w:eastAsia="宋体" w:cs="Times New Roman"/>
                <w:color w:val="auto"/>
              </w:rPr>
              <w:t>80m</w:t>
            </w:r>
            <w:r>
              <w:rPr>
                <w:rFonts w:ascii="宋体" w:hAnsi="宋体" w:eastAsia="宋体" w:cs="Times New Roman"/>
                <w:color w:val="auto"/>
                <w:vertAlign w:val="superscript"/>
              </w:rPr>
              <w:t>3</w:t>
            </w:r>
          </w:p>
        </w:tc>
        <w:tc>
          <w:tcPr>
            <w:tcW w:w="1276" w:type="dxa"/>
            <w:vAlign w:val="center"/>
          </w:tcPr>
          <w:p w14:paraId="580BE0E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无害化处理</w:t>
            </w:r>
          </w:p>
        </w:tc>
        <w:tc>
          <w:tcPr>
            <w:tcW w:w="992" w:type="dxa"/>
            <w:vAlign w:val="center"/>
          </w:tcPr>
          <w:p w14:paraId="5AC0F38C">
            <w:pPr>
              <w:spacing w:line="360" w:lineRule="exact"/>
              <w:jc w:val="center"/>
              <w:rPr>
                <w:rFonts w:ascii="宋体" w:hAnsi="宋体" w:eastAsia="宋体" w:cs="Times New Roman"/>
                <w:color w:val="auto"/>
              </w:rPr>
            </w:pPr>
            <w:r>
              <w:rPr>
                <w:rFonts w:ascii="宋体" w:hAnsi="宋体" w:eastAsia="宋体" w:cs="Times New Roman"/>
                <w:color w:val="auto"/>
              </w:rPr>
              <w:t>80m</w:t>
            </w:r>
            <w:r>
              <w:rPr>
                <w:rFonts w:ascii="宋体" w:hAnsi="宋体" w:eastAsia="宋体" w:cs="Times New Roman"/>
                <w:color w:val="auto"/>
                <w:vertAlign w:val="superscript"/>
              </w:rPr>
              <w:t>3</w:t>
            </w:r>
          </w:p>
        </w:tc>
        <w:tc>
          <w:tcPr>
            <w:tcW w:w="6631" w:type="dxa"/>
            <w:vMerge w:val="continue"/>
            <w:vAlign w:val="center"/>
          </w:tcPr>
          <w:p w14:paraId="374C255D">
            <w:pPr>
              <w:spacing w:line="360" w:lineRule="exact"/>
              <w:jc w:val="center"/>
              <w:rPr>
                <w:rFonts w:ascii="宋体" w:hAnsi="宋体" w:eastAsia="宋体" w:cs="Times New Roman"/>
                <w:snapToGrid w:val="0"/>
                <w:color w:val="auto"/>
              </w:rPr>
            </w:pPr>
          </w:p>
        </w:tc>
      </w:tr>
      <w:tr w14:paraId="38998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6" w:hRule="atLeast"/>
        </w:trPr>
        <w:tc>
          <w:tcPr>
            <w:tcW w:w="877" w:type="dxa"/>
            <w:vMerge w:val="continue"/>
            <w:vAlign w:val="center"/>
          </w:tcPr>
          <w:p w14:paraId="2C11CF50">
            <w:pPr>
              <w:spacing w:line="360" w:lineRule="exact"/>
              <w:jc w:val="center"/>
              <w:rPr>
                <w:rFonts w:ascii="宋体" w:hAnsi="宋体" w:eastAsia="宋体" w:cs="Times New Roman"/>
                <w:snapToGrid w:val="0"/>
                <w:color w:val="auto"/>
              </w:rPr>
            </w:pPr>
          </w:p>
        </w:tc>
        <w:tc>
          <w:tcPr>
            <w:tcW w:w="1958" w:type="dxa"/>
            <w:tcBorders>
              <w:bottom w:val="single" w:color="auto" w:sz="4" w:space="0"/>
            </w:tcBorders>
            <w:vAlign w:val="center"/>
          </w:tcPr>
          <w:p w14:paraId="424B0867">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含油废射孔液</w:t>
            </w:r>
          </w:p>
        </w:tc>
        <w:tc>
          <w:tcPr>
            <w:tcW w:w="1134" w:type="dxa"/>
            <w:tcBorders>
              <w:bottom w:val="single" w:color="auto" w:sz="4" w:space="0"/>
            </w:tcBorders>
            <w:vAlign w:val="center"/>
          </w:tcPr>
          <w:p w14:paraId="538E372D">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tcBorders>
              <w:bottom w:val="single" w:color="auto" w:sz="4" w:space="0"/>
            </w:tcBorders>
            <w:vAlign w:val="center"/>
          </w:tcPr>
          <w:p w14:paraId="11E7986F">
            <w:pPr>
              <w:spacing w:line="360" w:lineRule="exact"/>
              <w:jc w:val="center"/>
              <w:rPr>
                <w:rFonts w:ascii="宋体" w:hAnsi="宋体" w:eastAsia="宋体" w:cs="Times New Roman"/>
                <w:color w:val="auto"/>
              </w:rPr>
            </w:pPr>
            <w:r>
              <w:rPr>
                <w:rFonts w:ascii="宋体" w:hAnsi="宋体" w:eastAsia="宋体" w:cs="Times New Roman"/>
                <w:color w:val="auto"/>
              </w:rPr>
              <w:t>160m</w:t>
            </w:r>
            <w:r>
              <w:rPr>
                <w:rFonts w:ascii="宋体" w:hAnsi="宋体" w:eastAsia="宋体" w:cs="Times New Roman"/>
                <w:color w:val="auto"/>
                <w:vertAlign w:val="superscript"/>
              </w:rPr>
              <w:t>3</w:t>
            </w:r>
          </w:p>
        </w:tc>
        <w:tc>
          <w:tcPr>
            <w:tcW w:w="1276" w:type="dxa"/>
            <w:tcBorders>
              <w:bottom w:val="single" w:color="auto" w:sz="4" w:space="0"/>
            </w:tcBorders>
            <w:vAlign w:val="center"/>
          </w:tcPr>
          <w:p w14:paraId="7CCFA10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无害化处理</w:t>
            </w:r>
          </w:p>
        </w:tc>
        <w:tc>
          <w:tcPr>
            <w:tcW w:w="992" w:type="dxa"/>
            <w:tcBorders>
              <w:bottom w:val="single" w:color="auto" w:sz="4" w:space="0"/>
            </w:tcBorders>
            <w:vAlign w:val="center"/>
          </w:tcPr>
          <w:p w14:paraId="446281E8">
            <w:pPr>
              <w:spacing w:line="360" w:lineRule="exact"/>
              <w:jc w:val="center"/>
              <w:rPr>
                <w:rFonts w:ascii="宋体" w:hAnsi="宋体" w:eastAsia="宋体" w:cs="Times New Roman"/>
                <w:color w:val="auto"/>
              </w:rPr>
            </w:pPr>
            <w:r>
              <w:rPr>
                <w:rFonts w:ascii="宋体" w:hAnsi="宋体" w:eastAsia="宋体" w:cs="Times New Roman"/>
                <w:color w:val="auto"/>
              </w:rPr>
              <w:t>160m</w:t>
            </w:r>
            <w:r>
              <w:rPr>
                <w:rFonts w:ascii="宋体" w:hAnsi="宋体" w:eastAsia="宋体" w:cs="Times New Roman"/>
                <w:color w:val="auto"/>
                <w:vertAlign w:val="superscript"/>
              </w:rPr>
              <w:t>3</w:t>
            </w:r>
          </w:p>
        </w:tc>
        <w:tc>
          <w:tcPr>
            <w:tcW w:w="6631" w:type="dxa"/>
            <w:vMerge w:val="restart"/>
            <w:vAlign w:val="center"/>
          </w:tcPr>
          <w:p w14:paraId="121E89C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排入井场设置的油基钢制泥浆槽，委托有危废处理资质的黑龙江迈景环保科技有限公司处理满足《油田含油污泥处置与利用污染控制要求》（DB23/T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r>
      <w:tr w14:paraId="270BB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77" w:type="dxa"/>
            <w:vMerge w:val="continue"/>
            <w:vAlign w:val="center"/>
          </w:tcPr>
          <w:p w14:paraId="75B32DC8">
            <w:pPr>
              <w:spacing w:line="360" w:lineRule="exact"/>
              <w:jc w:val="center"/>
              <w:rPr>
                <w:rFonts w:ascii="宋体" w:hAnsi="宋体" w:eastAsia="宋体" w:cs="Times New Roman"/>
                <w:snapToGrid w:val="0"/>
                <w:color w:val="auto"/>
              </w:rPr>
            </w:pPr>
          </w:p>
        </w:tc>
        <w:tc>
          <w:tcPr>
            <w:tcW w:w="1958" w:type="dxa"/>
            <w:tcBorders>
              <w:top w:val="single" w:color="auto" w:sz="4" w:space="0"/>
            </w:tcBorders>
            <w:vAlign w:val="center"/>
          </w:tcPr>
          <w:p w14:paraId="75F042F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油基废钻井液</w:t>
            </w:r>
          </w:p>
        </w:tc>
        <w:tc>
          <w:tcPr>
            <w:tcW w:w="1134" w:type="dxa"/>
            <w:tcBorders>
              <w:top w:val="single" w:color="auto" w:sz="4" w:space="0"/>
            </w:tcBorders>
            <w:vAlign w:val="center"/>
          </w:tcPr>
          <w:p w14:paraId="1D45305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tcBorders>
              <w:top w:val="single" w:color="auto" w:sz="4" w:space="0"/>
            </w:tcBorders>
            <w:vAlign w:val="center"/>
          </w:tcPr>
          <w:p w14:paraId="025BEE72">
            <w:pPr>
              <w:spacing w:line="360" w:lineRule="exact"/>
              <w:jc w:val="center"/>
              <w:rPr>
                <w:rFonts w:ascii="宋体" w:hAnsi="宋体" w:eastAsia="宋体" w:cs="Times New Roman"/>
                <w:color w:val="auto"/>
              </w:rPr>
            </w:pPr>
            <w:r>
              <w:rPr>
                <w:rFonts w:ascii="宋体" w:hAnsi="宋体" w:eastAsia="宋体" w:cs="Times New Roman"/>
                <w:color w:val="auto"/>
              </w:rPr>
              <w:t>976m</w:t>
            </w:r>
            <w:r>
              <w:rPr>
                <w:rFonts w:ascii="宋体" w:hAnsi="宋体" w:eastAsia="宋体" w:cs="Times New Roman"/>
                <w:color w:val="auto"/>
                <w:vertAlign w:val="superscript"/>
              </w:rPr>
              <w:t>3</w:t>
            </w:r>
          </w:p>
        </w:tc>
        <w:tc>
          <w:tcPr>
            <w:tcW w:w="1276" w:type="dxa"/>
            <w:tcBorders>
              <w:top w:val="single" w:color="auto" w:sz="4" w:space="0"/>
            </w:tcBorders>
            <w:vAlign w:val="center"/>
          </w:tcPr>
          <w:p w14:paraId="1BD73C6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无害化处理</w:t>
            </w:r>
          </w:p>
        </w:tc>
        <w:tc>
          <w:tcPr>
            <w:tcW w:w="992" w:type="dxa"/>
            <w:tcBorders>
              <w:top w:val="single" w:color="auto" w:sz="4" w:space="0"/>
            </w:tcBorders>
            <w:vAlign w:val="center"/>
          </w:tcPr>
          <w:p w14:paraId="2B35A6C6">
            <w:pPr>
              <w:spacing w:line="360" w:lineRule="exact"/>
              <w:jc w:val="center"/>
              <w:rPr>
                <w:rFonts w:ascii="宋体" w:hAnsi="宋体" w:eastAsia="宋体" w:cs="Times New Roman"/>
                <w:color w:val="auto"/>
              </w:rPr>
            </w:pPr>
            <w:r>
              <w:rPr>
                <w:rFonts w:ascii="宋体" w:hAnsi="宋体" w:eastAsia="宋体" w:cs="Times New Roman"/>
                <w:color w:val="auto"/>
              </w:rPr>
              <w:t>976m</w:t>
            </w:r>
            <w:r>
              <w:rPr>
                <w:rFonts w:ascii="宋体" w:hAnsi="宋体" w:eastAsia="宋体" w:cs="Times New Roman"/>
                <w:color w:val="auto"/>
                <w:vertAlign w:val="superscript"/>
              </w:rPr>
              <w:t>3</w:t>
            </w:r>
          </w:p>
        </w:tc>
        <w:tc>
          <w:tcPr>
            <w:tcW w:w="6631" w:type="dxa"/>
            <w:vMerge w:val="continue"/>
            <w:vAlign w:val="center"/>
          </w:tcPr>
          <w:p w14:paraId="444BB280">
            <w:pPr>
              <w:spacing w:line="360" w:lineRule="exact"/>
              <w:jc w:val="center"/>
              <w:rPr>
                <w:rFonts w:ascii="宋体" w:hAnsi="宋体" w:eastAsia="宋体" w:cs="Times New Roman"/>
                <w:snapToGrid w:val="0"/>
                <w:color w:val="auto"/>
              </w:rPr>
            </w:pPr>
          </w:p>
        </w:tc>
      </w:tr>
      <w:tr w14:paraId="2C85C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trPr>
        <w:tc>
          <w:tcPr>
            <w:tcW w:w="877" w:type="dxa"/>
            <w:vMerge w:val="continue"/>
            <w:vAlign w:val="center"/>
          </w:tcPr>
          <w:p w14:paraId="07919C19">
            <w:pPr>
              <w:spacing w:line="360" w:lineRule="exact"/>
              <w:jc w:val="center"/>
              <w:rPr>
                <w:rFonts w:ascii="宋体" w:hAnsi="宋体" w:eastAsia="宋体" w:cs="Times New Roman"/>
                <w:snapToGrid w:val="0"/>
                <w:color w:val="auto"/>
              </w:rPr>
            </w:pPr>
          </w:p>
        </w:tc>
        <w:tc>
          <w:tcPr>
            <w:tcW w:w="1958" w:type="dxa"/>
            <w:vAlign w:val="center"/>
          </w:tcPr>
          <w:p w14:paraId="781E2C6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油基钻井岩屑</w:t>
            </w:r>
          </w:p>
        </w:tc>
        <w:tc>
          <w:tcPr>
            <w:tcW w:w="1134" w:type="dxa"/>
            <w:vAlign w:val="center"/>
          </w:tcPr>
          <w:p w14:paraId="389AEDB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vAlign w:val="center"/>
          </w:tcPr>
          <w:p w14:paraId="2A9DA400">
            <w:pPr>
              <w:spacing w:line="360" w:lineRule="exact"/>
              <w:jc w:val="center"/>
              <w:rPr>
                <w:rFonts w:ascii="宋体" w:hAnsi="宋体" w:eastAsia="宋体" w:cs="Times New Roman"/>
                <w:color w:val="auto"/>
              </w:rPr>
            </w:pPr>
            <w:r>
              <w:rPr>
                <w:rFonts w:ascii="宋体" w:hAnsi="宋体" w:eastAsia="宋体" w:cs="Times New Roman"/>
                <w:color w:val="auto"/>
              </w:rPr>
              <w:t>259.2m</w:t>
            </w:r>
            <w:r>
              <w:rPr>
                <w:rFonts w:ascii="宋体" w:hAnsi="宋体" w:eastAsia="宋体" w:cs="Times New Roman"/>
                <w:color w:val="auto"/>
                <w:vertAlign w:val="superscript"/>
              </w:rPr>
              <w:t>3</w:t>
            </w:r>
          </w:p>
        </w:tc>
        <w:tc>
          <w:tcPr>
            <w:tcW w:w="1276" w:type="dxa"/>
            <w:vAlign w:val="center"/>
          </w:tcPr>
          <w:p w14:paraId="7CA961C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无害化处理</w:t>
            </w:r>
          </w:p>
        </w:tc>
        <w:tc>
          <w:tcPr>
            <w:tcW w:w="992" w:type="dxa"/>
            <w:vAlign w:val="center"/>
          </w:tcPr>
          <w:p w14:paraId="0918D79A">
            <w:pPr>
              <w:spacing w:line="360" w:lineRule="exact"/>
              <w:jc w:val="center"/>
              <w:rPr>
                <w:rFonts w:ascii="宋体" w:hAnsi="宋体" w:eastAsia="宋体" w:cs="Times New Roman"/>
                <w:color w:val="auto"/>
              </w:rPr>
            </w:pPr>
            <w:r>
              <w:rPr>
                <w:rFonts w:ascii="宋体" w:hAnsi="宋体" w:eastAsia="宋体" w:cs="Times New Roman"/>
                <w:color w:val="auto"/>
              </w:rPr>
              <w:t>259.2m</w:t>
            </w:r>
            <w:r>
              <w:rPr>
                <w:rFonts w:ascii="宋体" w:hAnsi="宋体" w:eastAsia="宋体" w:cs="Times New Roman"/>
                <w:color w:val="auto"/>
                <w:vertAlign w:val="superscript"/>
              </w:rPr>
              <w:t>3</w:t>
            </w:r>
          </w:p>
        </w:tc>
        <w:tc>
          <w:tcPr>
            <w:tcW w:w="6631" w:type="dxa"/>
            <w:vMerge w:val="continue"/>
            <w:vAlign w:val="center"/>
          </w:tcPr>
          <w:p w14:paraId="1913ED5D">
            <w:pPr>
              <w:spacing w:line="360" w:lineRule="exact"/>
              <w:jc w:val="center"/>
              <w:rPr>
                <w:rFonts w:ascii="宋体" w:hAnsi="宋体" w:eastAsia="宋体" w:cs="Times New Roman"/>
                <w:snapToGrid w:val="0"/>
                <w:color w:val="auto"/>
              </w:rPr>
            </w:pPr>
          </w:p>
        </w:tc>
      </w:tr>
      <w:tr w14:paraId="4CE37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235773B6">
            <w:pPr>
              <w:spacing w:line="360" w:lineRule="exact"/>
              <w:jc w:val="center"/>
              <w:rPr>
                <w:rFonts w:ascii="宋体" w:hAnsi="宋体" w:eastAsia="宋体" w:cs="Times New Roman"/>
                <w:snapToGrid w:val="0"/>
                <w:color w:val="auto"/>
              </w:rPr>
            </w:pPr>
          </w:p>
        </w:tc>
        <w:tc>
          <w:tcPr>
            <w:tcW w:w="1958" w:type="dxa"/>
            <w:vAlign w:val="center"/>
          </w:tcPr>
          <w:p w14:paraId="6CFEC55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生活垃圾</w:t>
            </w:r>
          </w:p>
        </w:tc>
        <w:tc>
          <w:tcPr>
            <w:tcW w:w="1134" w:type="dxa"/>
            <w:vAlign w:val="center"/>
          </w:tcPr>
          <w:p w14:paraId="04E470B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vAlign w:val="center"/>
          </w:tcPr>
          <w:p w14:paraId="4AC60B67">
            <w:pPr>
              <w:spacing w:line="360" w:lineRule="exact"/>
              <w:jc w:val="center"/>
              <w:rPr>
                <w:rFonts w:ascii="宋体" w:hAnsi="宋体" w:eastAsia="宋体" w:cs="Times New Roman"/>
                <w:color w:val="auto"/>
                <w:lang w:val="zh-CN"/>
              </w:rPr>
            </w:pPr>
            <w:r>
              <w:rPr>
                <w:rFonts w:ascii="宋体" w:hAnsi="宋体" w:eastAsia="宋体" w:cs="Times New Roman"/>
                <w:color w:val="auto"/>
              </w:rPr>
              <w:t>1.84t</w:t>
            </w:r>
          </w:p>
        </w:tc>
        <w:tc>
          <w:tcPr>
            <w:tcW w:w="1276" w:type="dxa"/>
            <w:vAlign w:val="center"/>
          </w:tcPr>
          <w:p w14:paraId="2AB05B37">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填埋处理</w:t>
            </w:r>
          </w:p>
        </w:tc>
        <w:tc>
          <w:tcPr>
            <w:tcW w:w="992" w:type="dxa"/>
            <w:vAlign w:val="center"/>
          </w:tcPr>
          <w:p w14:paraId="4AA81CEE">
            <w:pPr>
              <w:spacing w:line="360" w:lineRule="exact"/>
              <w:jc w:val="center"/>
              <w:rPr>
                <w:rFonts w:ascii="宋体" w:hAnsi="宋体" w:eastAsia="宋体" w:cs="Times New Roman"/>
                <w:color w:val="auto"/>
                <w:lang w:val="zh-CN"/>
              </w:rPr>
            </w:pPr>
            <w:r>
              <w:rPr>
                <w:rFonts w:ascii="宋体" w:hAnsi="宋体" w:eastAsia="宋体" w:cs="Times New Roman"/>
                <w:color w:val="auto"/>
              </w:rPr>
              <w:t>1.84t</w:t>
            </w:r>
          </w:p>
        </w:tc>
        <w:tc>
          <w:tcPr>
            <w:tcW w:w="6631" w:type="dxa"/>
            <w:vAlign w:val="center"/>
          </w:tcPr>
          <w:p w14:paraId="2E6AA90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统一收集</w:t>
            </w:r>
            <w:r>
              <w:rPr>
                <w:rFonts w:ascii="宋体" w:hAnsi="宋体" w:eastAsia="宋体" w:cs="Times New Roman"/>
                <w:color w:val="auto"/>
                <w:kern w:val="21"/>
              </w:rPr>
              <w:t>拉运至肇源县利民城市垃圾处理有限公司处理</w:t>
            </w:r>
          </w:p>
        </w:tc>
      </w:tr>
      <w:tr w14:paraId="0CAAA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4D86B2F0">
            <w:pPr>
              <w:spacing w:line="360" w:lineRule="exact"/>
              <w:jc w:val="center"/>
              <w:rPr>
                <w:rFonts w:ascii="宋体" w:hAnsi="宋体" w:eastAsia="宋体" w:cs="Times New Roman"/>
                <w:snapToGrid w:val="0"/>
                <w:color w:val="auto"/>
              </w:rPr>
            </w:pPr>
          </w:p>
        </w:tc>
        <w:tc>
          <w:tcPr>
            <w:tcW w:w="1958" w:type="dxa"/>
            <w:vAlign w:val="center"/>
          </w:tcPr>
          <w:p w14:paraId="438B717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膨润土、纯碱、重晶石粉废包装袋</w:t>
            </w:r>
          </w:p>
        </w:tc>
        <w:tc>
          <w:tcPr>
            <w:tcW w:w="1134" w:type="dxa"/>
            <w:vAlign w:val="center"/>
          </w:tcPr>
          <w:p w14:paraId="578B9DC4">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vAlign w:val="center"/>
          </w:tcPr>
          <w:p w14:paraId="22305E5E">
            <w:pPr>
              <w:spacing w:line="360" w:lineRule="exact"/>
              <w:jc w:val="center"/>
              <w:rPr>
                <w:rFonts w:ascii="宋体" w:hAnsi="宋体" w:eastAsia="宋体" w:cs="Times New Roman"/>
                <w:color w:val="auto"/>
                <w:lang w:val="zh-CN"/>
              </w:rPr>
            </w:pPr>
            <w:r>
              <w:rPr>
                <w:rFonts w:ascii="宋体" w:hAnsi="宋体" w:eastAsia="宋体" w:cs="Times New Roman"/>
                <w:color w:val="auto"/>
              </w:rPr>
              <w:t>0.02t</w:t>
            </w:r>
          </w:p>
        </w:tc>
        <w:tc>
          <w:tcPr>
            <w:tcW w:w="1276" w:type="dxa"/>
            <w:vAlign w:val="center"/>
          </w:tcPr>
          <w:p w14:paraId="34A100C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填埋处理</w:t>
            </w:r>
          </w:p>
        </w:tc>
        <w:tc>
          <w:tcPr>
            <w:tcW w:w="992" w:type="dxa"/>
            <w:vAlign w:val="center"/>
          </w:tcPr>
          <w:p w14:paraId="1FA7E12F">
            <w:pPr>
              <w:spacing w:line="360" w:lineRule="exact"/>
              <w:jc w:val="center"/>
              <w:rPr>
                <w:rFonts w:ascii="宋体" w:hAnsi="宋体" w:eastAsia="宋体" w:cs="Times New Roman"/>
                <w:color w:val="auto"/>
                <w:lang w:val="zh-CN"/>
              </w:rPr>
            </w:pPr>
            <w:r>
              <w:rPr>
                <w:rFonts w:ascii="宋体" w:hAnsi="宋体" w:eastAsia="宋体" w:cs="Times New Roman"/>
                <w:color w:val="auto"/>
              </w:rPr>
              <w:t>0.02t</w:t>
            </w:r>
          </w:p>
        </w:tc>
        <w:tc>
          <w:tcPr>
            <w:tcW w:w="6631" w:type="dxa"/>
            <w:vMerge w:val="restart"/>
            <w:vAlign w:val="center"/>
          </w:tcPr>
          <w:p w14:paraId="06768A77">
            <w:pPr>
              <w:spacing w:line="360" w:lineRule="exact"/>
              <w:jc w:val="center"/>
              <w:rPr>
                <w:rFonts w:ascii="宋体" w:hAnsi="宋体" w:eastAsia="宋体" w:cs="Times New Roman"/>
                <w:snapToGrid w:val="0"/>
                <w:color w:val="auto"/>
              </w:rPr>
            </w:pPr>
            <w:r>
              <w:rPr>
                <w:rFonts w:ascii="宋体" w:hAnsi="宋体" w:eastAsia="宋体" w:cs="Times New Roman"/>
                <w:color w:val="auto"/>
              </w:rPr>
              <w:t>由施工单位拉运至第八采油厂工业固废填埋场处理</w:t>
            </w:r>
          </w:p>
        </w:tc>
      </w:tr>
      <w:tr w14:paraId="6CFF5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0A01F7D4">
            <w:pPr>
              <w:spacing w:line="360" w:lineRule="exact"/>
              <w:jc w:val="center"/>
              <w:rPr>
                <w:rFonts w:ascii="宋体" w:hAnsi="宋体" w:eastAsia="宋体" w:cs="Times New Roman"/>
                <w:snapToGrid w:val="0"/>
                <w:color w:val="auto"/>
              </w:rPr>
            </w:pPr>
          </w:p>
        </w:tc>
        <w:tc>
          <w:tcPr>
            <w:tcW w:w="1958" w:type="dxa"/>
            <w:vAlign w:val="center"/>
          </w:tcPr>
          <w:p w14:paraId="088D25B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施工废料</w:t>
            </w:r>
          </w:p>
        </w:tc>
        <w:tc>
          <w:tcPr>
            <w:tcW w:w="1134" w:type="dxa"/>
            <w:vAlign w:val="center"/>
          </w:tcPr>
          <w:p w14:paraId="29EC523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vAlign w:val="center"/>
          </w:tcPr>
          <w:p w14:paraId="6A1BE4EB">
            <w:pPr>
              <w:spacing w:line="360" w:lineRule="exact"/>
              <w:jc w:val="center"/>
              <w:rPr>
                <w:rFonts w:ascii="宋体" w:hAnsi="宋体" w:eastAsia="宋体" w:cs="Times New Roman"/>
                <w:color w:val="auto"/>
                <w:lang w:val="zh-CN"/>
              </w:rPr>
            </w:pPr>
            <w:r>
              <w:rPr>
                <w:rFonts w:ascii="宋体" w:hAnsi="宋体" w:eastAsia="宋体" w:cs="Times New Roman"/>
                <w:color w:val="auto"/>
              </w:rPr>
              <w:t>1.5kg</w:t>
            </w:r>
          </w:p>
        </w:tc>
        <w:tc>
          <w:tcPr>
            <w:tcW w:w="1276" w:type="dxa"/>
            <w:vAlign w:val="center"/>
          </w:tcPr>
          <w:p w14:paraId="4B2A07C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填埋处理</w:t>
            </w:r>
          </w:p>
        </w:tc>
        <w:tc>
          <w:tcPr>
            <w:tcW w:w="992" w:type="dxa"/>
            <w:vAlign w:val="center"/>
          </w:tcPr>
          <w:p w14:paraId="26783EAC">
            <w:pPr>
              <w:spacing w:line="360" w:lineRule="exact"/>
              <w:jc w:val="center"/>
              <w:rPr>
                <w:rFonts w:ascii="宋体" w:hAnsi="宋体" w:eastAsia="宋体" w:cs="Times New Roman"/>
                <w:color w:val="auto"/>
                <w:lang w:val="zh-CN"/>
              </w:rPr>
            </w:pPr>
            <w:r>
              <w:rPr>
                <w:rFonts w:ascii="宋体" w:hAnsi="宋体" w:eastAsia="宋体" w:cs="Times New Roman"/>
                <w:color w:val="auto"/>
              </w:rPr>
              <w:t>1.5kg</w:t>
            </w:r>
          </w:p>
        </w:tc>
        <w:tc>
          <w:tcPr>
            <w:tcW w:w="6631" w:type="dxa"/>
            <w:vMerge w:val="continue"/>
            <w:vAlign w:val="center"/>
          </w:tcPr>
          <w:p w14:paraId="6E0911DE">
            <w:pPr>
              <w:spacing w:line="360" w:lineRule="exact"/>
              <w:jc w:val="center"/>
              <w:rPr>
                <w:rFonts w:ascii="宋体" w:hAnsi="宋体" w:eastAsia="宋体" w:cs="Times New Roman"/>
                <w:snapToGrid w:val="0"/>
                <w:color w:val="auto"/>
              </w:rPr>
            </w:pPr>
          </w:p>
        </w:tc>
      </w:tr>
      <w:tr w14:paraId="3EE7B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1A24FEF8">
            <w:pPr>
              <w:spacing w:line="360" w:lineRule="exact"/>
              <w:jc w:val="center"/>
              <w:rPr>
                <w:rFonts w:ascii="宋体" w:hAnsi="宋体" w:eastAsia="宋体" w:cs="Times New Roman"/>
                <w:snapToGrid w:val="0"/>
                <w:color w:val="auto"/>
              </w:rPr>
            </w:pPr>
          </w:p>
        </w:tc>
        <w:tc>
          <w:tcPr>
            <w:tcW w:w="1958" w:type="dxa"/>
            <w:vAlign w:val="center"/>
          </w:tcPr>
          <w:p w14:paraId="18562BD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钻井期含油废防渗布</w:t>
            </w:r>
          </w:p>
        </w:tc>
        <w:tc>
          <w:tcPr>
            <w:tcW w:w="1134" w:type="dxa"/>
            <w:vAlign w:val="center"/>
          </w:tcPr>
          <w:p w14:paraId="3CDB9B7C">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vAlign w:val="center"/>
          </w:tcPr>
          <w:p w14:paraId="4FE8C47B">
            <w:pPr>
              <w:spacing w:line="360" w:lineRule="exact"/>
              <w:jc w:val="center"/>
              <w:rPr>
                <w:rFonts w:ascii="宋体" w:hAnsi="宋体" w:eastAsia="宋体" w:cs="Times New Roman"/>
                <w:color w:val="auto"/>
              </w:rPr>
            </w:pPr>
            <w:r>
              <w:rPr>
                <w:rFonts w:ascii="宋体" w:hAnsi="宋体" w:eastAsia="宋体" w:cs="Times New Roman"/>
                <w:color w:val="auto"/>
              </w:rPr>
              <w:t>1.6t</w:t>
            </w:r>
          </w:p>
        </w:tc>
        <w:tc>
          <w:tcPr>
            <w:tcW w:w="1276" w:type="dxa"/>
            <w:vAlign w:val="center"/>
          </w:tcPr>
          <w:p w14:paraId="2FC673C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填埋处理</w:t>
            </w:r>
          </w:p>
        </w:tc>
        <w:tc>
          <w:tcPr>
            <w:tcW w:w="992" w:type="dxa"/>
            <w:vAlign w:val="center"/>
          </w:tcPr>
          <w:p w14:paraId="6B53A17B">
            <w:pPr>
              <w:spacing w:line="360" w:lineRule="exact"/>
              <w:jc w:val="center"/>
              <w:rPr>
                <w:rFonts w:ascii="宋体" w:hAnsi="宋体" w:eastAsia="宋体" w:cs="Times New Roman"/>
                <w:color w:val="auto"/>
              </w:rPr>
            </w:pPr>
            <w:r>
              <w:rPr>
                <w:rFonts w:ascii="宋体" w:hAnsi="宋体" w:eastAsia="宋体" w:cs="Times New Roman"/>
                <w:color w:val="auto"/>
              </w:rPr>
              <w:t>1.6t</w:t>
            </w:r>
          </w:p>
        </w:tc>
        <w:tc>
          <w:tcPr>
            <w:tcW w:w="6631" w:type="dxa"/>
            <w:vAlign w:val="center"/>
          </w:tcPr>
          <w:p w14:paraId="0266DAE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集中收集暂存于第十采油厂综合固废储存库，定期委托有资质单位处理</w:t>
            </w:r>
          </w:p>
        </w:tc>
      </w:tr>
      <w:tr w14:paraId="630C4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59B773ED">
            <w:pPr>
              <w:spacing w:line="360" w:lineRule="exact"/>
              <w:jc w:val="center"/>
              <w:rPr>
                <w:rFonts w:ascii="宋体" w:hAnsi="宋体" w:eastAsia="宋体" w:cs="Times New Roman"/>
                <w:snapToGrid w:val="0"/>
                <w:color w:val="auto"/>
              </w:rPr>
            </w:pPr>
          </w:p>
        </w:tc>
        <w:tc>
          <w:tcPr>
            <w:tcW w:w="1958" w:type="dxa"/>
            <w:vAlign w:val="center"/>
          </w:tcPr>
          <w:p w14:paraId="6DE72802">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color w:val="auto"/>
              </w:rPr>
              <w:t>封井建筑垃圾</w:t>
            </w:r>
          </w:p>
        </w:tc>
        <w:tc>
          <w:tcPr>
            <w:tcW w:w="1134" w:type="dxa"/>
            <w:vAlign w:val="center"/>
          </w:tcPr>
          <w:p w14:paraId="57F6B78E">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vAlign w:val="center"/>
          </w:tcPr>
          <w:p w14:paraId="2EECB2E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0.4t</w:t>
            </w:r>
          </w:p>
        </w:tc>
        <w:tc>
          <w:tcPr>
            <w:tcW w:w="1276" w:type="dxa"/>
            <w:vAlign w:val="center"/>
          </w:tcPr>
          <w:p w14:paraId="49982C7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填埋处理</w:t>
            </w:r>
          </w:p>
        </w:tc>
        <w:tc>
          <w:tcPr>
            <w:tcW w:w="992" w:type="dxa"/>
            <w:vAlign w:val="center"/>
          </w:tcPr>
          <w:p w14:paraId="6DEEEEA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0.4t</w:t>
            </w:r>
          </w:p>
        </w:tc>
        <w:tc>
          <w:tcPr>
            <w:tcW w:w="6631" w:type="dxa"/>
            <w:vAlign w:val="center"/>
          </w:tcPr>
          <w:p w14:paraId="02466E90">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color w:val="auto"/>
              </w:rPr>
              <w:t>统一收集委托清运至市政部门指定的建筑垃圾调配场处置</w:t>
            </w:r>
          </w:p>
        </w:tc>
      </w:tr>
      <w:tr w14:paraId="17AE0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683539D9">
            <w:pPr>
              <w:spacing w:line="360" w:lineRule="exact"/>
              <w:jc w:val="center"/>
              <w:rPr>
                <w:rFonts w:ascii="宋体" w:hAnsi="宋体" w:eastAsia="宋体" w:cs="Times New Roman"/>
                <w:snapToGrid w:val="0"/>
                <w:color w:val="auto"/>
              </w:rPr>
            </w:pPr>
          </w:p>
        </w:tc>
        <w:tc>
          <w:tcPr>
            <w:tcW w:w="1958" w:type="dxa"/>
            <w:vAlign w:val="center"/>
          </w:tcPr>
          <w:p w14:paraId="5CF9243B">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color w:val="auto"/>
              </w:rPr>
              <w:t>落地油</w:t>
            </w:r>
          </w:p>
        </w:tc>
        <w:tc>
          <w:tcPr>
            <w:tcW w:w="1134" w:type="dxa"/>
            <w:vAlign w:val="center"/>
          </w:tcPr>
          <w:p w14:paraId="5CEFC293">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134" w:type="dxa"/>
            <w:vAlign w:val="center"/>
          </w:tcPr>
          <w:p w14:paraId="750864C1">
            <w:pPr>
              <w:adjustRightInd w:val="0"/>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0.1t</w:t>
            </w:r>
          </w:p>
        </w:tc>
        <w:tc>
          <w:tcPr>
            <w:tcW w:w="1276" w:type="dxa"/>
            <w:vAlign w:val="center"/>
          </w:tcPr>
          <w:p w14:paraId="5E0E3AC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热解+冷凝</w:t>
            </w:r>
          </w:p>
        </w:tc>
        <w:tc>
          <w:tcPr>
            <w:tcW w:w="992" w:type="dxa"/>
            <w:vAlign w:val="center"/>
          </w:tcPr>
          <w:p w14:paraId="62F17EBE">
            <w:pPr>
              <w:adjustRightInd w:val="0"/>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0.1t</w:t>
            </w:r>
          </w:p>
        </w:tc>
        <w:tc>
          <w:tcPr>
            <w:tcW w:w="6631" w:type="dxa"/>
            <w:vAlign w:val="center"/>
          </w:tcPr>
          <w:p w14:paraId="65981D6E">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color w:val="auto"/>
              </w:rPr>
              <w:t>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r>
    </w:tbl>
    <w:p w14:paraId="094576BA">
      <w:pPr>
        <w:pStyle w:val="276"/>
        <w:widowControl w:val="0"/>
        <w:spacing w:line="440" w:lineRule="exact"/>
        <w:ind w:firstLine="0" w:firstLineChars="0"/>
        <w:jc w:val="center"/>
        <w:rPr>
          <w:color w:val="auto"/>
        </w:rPr>
      </w:pPr>
      <w:r>
        <w:rPr>
          <w:color w:val="auto"/>
          <w:kern w:val="2"/>
          <w:szCs w:val="20"/>
        </w:rPr>
        <w:t>表3.12-</w:t>
      </w:r>
      <w:r>
        <w:rPr>
          <w:color w:val="auto"/>
        </w:rPr>
        <w:t>16 运营期</w:t>
      </w:r>
      <w:r>
        <w:rPr>
          <w:color w:val="auto"/>
          <w:kern w:val="21"/>
        </w:rPr>
        <w:t>废气</w:t>
      </w:r>
      <w:r>
        <w:rPr>
          <w:color w:val="auto"/>
        </w:rPr>
        <w:t>污染源源强核算结果及相关参数一览表</w:t>
      </w:r>
    </w:p>
    <w:tbl>
      <w:tblPr>
        <w:tblStyle w:val="81"/>
        <w:tblW w:w="140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1134"/>
        <w:gridCol w:w="709"/>
        <w:gridCol w:w="850"/>
        <w:gridCol w:w="950"/>
        <w:gridCol w:w="1065"/>
        <w:gridCol w:w="1034"/>
        <w:gridCol w:w="1062"/>
        <w:gridCol w:w="514"/>
        <w:gridCol w:w="757"/>
        <w:gridCol w:w="1134"/>
        <w:gridCol w:w="1139"/>
        <w:gridCol w:w="1134"/>
        <w:gridCol w:w="850"/>
        <w:gridCol w:w="819"/>
      </w:tblGrid>
      <w:tr w14:paraId="61F65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6" w:hRule="atLeast"/>
          <w:jc w:val="center"/>
        </w:trPr>
        <w:tc>
          <w:tcPr>
            <w:tcW w:w="851" w:type="dxa"/>
            <w:vMerge w:val="restart"/>
            <w:vAlign w:val="center"/>
          </w:tcPr>
          <w:p w14:paraId="48E87C49">
            <w:pPr>
              <w:spacing w:line="280" w:lineRule="exact"/>
              <w:jc w:val="center"/>
              <w:rPr>
                <w:rFonts w:ascii="宋体" w:hAnsi="宋体" w:eastAsia="宋体" w:cs="Times New Roman"/>
                <w:color w:val="auto"/>
              </w:rPr>
            </w:pPr>
            <w:r>
              <w:rPr>
                <w:rFonts w:ascii="宋体" w:hAnsi="宋体" w:eastAsia="宋体" w:cs="Times New Roman"/>
                <w:color w:val="auto"/>
              </w:rPr>
              <w:t>工序</w:t>
            </w:r>
          </w:p>
        </w:tc>
        <w:tc>
          <w:tcPr>
            <w:tcW w:w="1134" w:type="dxa"/>
            <w:vMerge w:val="restart"/>
            <w:vAlign w:val="center"/>
          </w:tcPr>
          <w:p w14:paraId="19F4D7A3">
            <w:pPr>
              <w:spacing w:line="280" w:lineRule="exact"/>
              <w:jc w:val="center"/>
              <w:rPr>
                <w:rFonts w:ascii="宋体" w:hAnsi="宋体" w:eastAsia="宋体" w:cs="Times New Roman"/>
                <w:color w:val="auto"/>
              </w:rPr>
            </w:pPr>
            <w:r>
              <w:rPr>
                <w:rFonts w:ascii="宋体" w:hAnsi="宋体" w:eastAsia="宋体" w:cs="Times New Roman"/>
                <w:color w:val="auto"/>
              </w:rPr>
              <w:t>装置</w:t>
            </w:r>
          </w:p>
        </w:tc>
        <w:tc>
          <w:tcPr>
            <w:tcW w:w="709" w:type="dxa"/>
            <w:vMerge w:val="restart"/>
            <w:vAlign w:val="center"/>
          </w:tcPr>
          <w:p w14:paraId="610136E5">
            <w:pPr>
              <w:spacing w:line="280" w:lineRule="exact"/>
              <w:jc w:val="center"/>
              <w:rPr>
                <w:rFonts w:ascii="宋体" w:hAnsi="宋体" w:eastAsia="宋体" w:cs="Times New Roman"/>
                <w:color w:val="auto"/>
              </w:rPr>
            </w:pPr>
            <w:r>
              <w:rPr>
                <w:rFonts w:ascii="宋体" w:hAnsi="宋体" w:eastAsia="宋体" w:cs="Times New Roman"/>
                <w:color w:val="auto"/>
              </w:rPr>
              <w:t>污</w:t>
            </w:r>
          </w:p>
          <w:p w14:paraId="06A3CF41">
            <w:pPr>
              <w:spacing w:line="280" w:lineRule="exact"/>
              <w:jc w:val="center"/>
              <w:rPr>
                <w:rFonts w:ascii="宋体" w:hAnsi="宋体" w:eastAsia="宋体" w:cs="Times New Roman"/>
                <w:color w:val="auto"/>
              </w:rPr>
            </w:pPr>
            <w:r>
              <w:rPr>
                <w:rFonts w:ascii="宋体" w:hAnsi="宋体" w:eastAsia="宋体" w:cs="Times New Roman"/>
                <w:color w:val="auto"/>
              </w:rPr>
              <w:t>染</w:t>
            </w:r>
          </w:p>
          <w:p w14:paraId="55529ED8">
            <w:pPr>
              <w:spacing w:line="280" w:lineRule="exact"/>
              <w:jc w:val="center"/>
              <w:rPr>
                <w:rFonts w:ascii="宋体" w:hAnsi="宋体" w:eastAsia="宋体" w:cs="Times New Roman"/>
                <w:color w:val="auto"/>
              </w:rPr>
            </w:pPr>
            <w:r>
              <w:rPr>
                <w:rFonts w:ascii="宋体" w:hAnsi="宋体" w:eastAsia="宋体" w:cs="Times New Roman"/>
                <w:color w:val="auto"/>
              </w:rPr>
              <w:t>源</w:t>
            </w:r>
          </w:p>
        </w:tc>
        <w:tc>
          <w:tcPr>
            <w:tcW w:w="850" w:type="dxa"/>
            <w:vMerge w:val="restart"/>
            <w:vAlign w:val="center"/>
          </w:tcPr>
          <w:p w14:paraId="5DA4A114">
            <w:pPr>
              <w:spacing w:line="280" w:lineRule="exact"/>
              <w:jc w:val="center"/>
              <w:rPr>
                <w:rFonts w:ascii="宋体" w:hAnsi="宋体" w:eastAsia="宋体" w:cs="Times New Roman"/>
                <w:color w:val="auto"/>
              </w:rPr>
            </w:pPr>
            <w:r>
              <w:rPr>
                <w:rFonts w:ascii="宋体" w:hAnsi="宋体" w:eastAsia="宋体" w:cs="Times New Roman"/>
                <w:color w:val="auto"/>
              </w:rPr>
              <w:t>污</w:t>
            </w:r>
          </w:p>
          <w:p w14:paraId="0FC46997">
            <w:pPr>
              <w:spacing w:line="280" w:lineRule="exact"/>
              <w:jc w:val="center"/>
              <w:rPr>
                <w:rFonts w:ascii="宋体" w:hAnsi="宋体" w:eastAsia="宋体" w:cs="Times New Roman"/>
                <w:color w:val="auto"/>
              </w:rPr>
            </w:pPr>
            <w:r>
              <w:rPr>
                <w:rFonts w:ascii="宋体" w:hAnsi="宋体" w:eastAsia="宋体" w:cs="Times New Roman"/>
                <w:color w:val="auto"/>
              </w:rPr>
              <w:t>染</w:t>
            </w:r>
          </w:p>
          <w:p w14:paraId="7D1379DA">
            <w:pPr>
              <w:spacing w:line="280" w:lineRule="exact"/>
              <w:jc w:val="center"/>
              <w:rPr>
                <w:rFonts w:ascii="宋体" w:hAnsi="宋体" w:eastAsia="宋体" w:cs="Times New Roman"/>
                <w:color w:val="auto"/>
              </w:rPr>
            </w:pPr>
            <w:r>
              <w:rPr>
                <w:rFonts w:ascii="宋体" w:hAnsi="宋体" w:eastAsia="宋体" w:cs="Times New Roman"/>
                <w:color w:val="auto"/>
              </w:rPr>
              <w:t>物</w:t>
            </w:r>
          </w:p>
        </w:tc>
        <w:tc>
          <w:tcPr>
            <w:tcW w:w="4111" w:type="dxa"/>
            <w:gridSpan w:val="4"/>
            <w:vAlign w:val="center"/>
          </w:tcPr>
          <w:p w14:paraId="6F36A2A5">
            <w:pPr>
              <w:spacing w:line="280" w:lineRule="exact"/>
              <w:jc w:val="center"/>
              <w:rPr>
                <w:rFonts w:ascii="宋体" w:hAnsi="宋体" w:eastAsia="宋体" w:cs="Times New Roman"/>
                <w:color w:val="auto"/>
              </w:rPr>
            </w:pPr>
            <w:r>
              <w:rPr>
                <w:rFonts w:ascii="宋体" w:hAnsi="宋体" w:eastAsia="宋体" w:cs="Times New Roman"/>
                <w:color w:val="auto"/>
              </w:rPr>
              <w:t>污染物产生</w:t>
            </w:r>
          </w:p>
        </w:tc>
        <w:tc>
          <w:tcPr>
            <w:tcW w:w="1271" w:type="dxa"/>
            <w:gridSpan w:val="2"/>
            <w:vAlign w:val="center"/>
          </w:tcPr>
          <w:p w14:paraId="1E0A76ED">
            <w:pPr>
              <w:spacing w:line="280" w:lineRule="exact"/>
              <w:jc w:val="center"/>
              <w:rPr>
                <w:rFonts w:ascii="宋体" w:hAnsi="宋体" w:eastAsia="宋体" w:cs="Times New Roman"/>
                <w:color w:val="auto"/>
              </w:rPr>
            </w:pPr>
            <w:r>
              <w:rPr>
                <w:rFonts w:ascii="宋体" w:hAnsi="宋体" w:eastAsia="宋体" w:cs="Times New Roman"/>
                <w:color w:val="auto"/>
              </w:rPr>
              <w:t>治理措施</w:t>
            </w:r>
          </w:p>
        </w:tc>
        <w:tc>
          <w:tcPr>
            <w:tcW w:w="4257" w:type="dxa"/>
            <w:gridSpan w:val="4"/>
            <w:vAlign w:val="center"/>
          </w:tcPr>
          <w:p w14:paraId="128113A1">
            <w:pPr>
              <w:spacing w:line="280" w:lineRule="exact"/>
              <w:jc w:val="center"/>
              <w:rPr>
                <w:rFonts w:ascii="宋体" w:hAnsi="宋体" w:eastAsia="宋体" w:cs="Times New Roman"/>
                <w:color w:val="auto"/>
              </w:rPr>
            </w:pPr>
            <w:r>
              <w:rPr>
                <w:rFonts w:ascii="宋体" w:hAnsi="宋体" w:eastAsia="宋体" w:cs="Times New Roman"/>
                <w:color w:val="auto"/>
              </w:rPr>
              <w:t>污染物排放</w:t>
            </w:r>
          </w:p>
        </w:tc>
        <w:tc>
          <w:tcPr>
            <w:tcW w:w="819" w:type="dxa"/>
            <w:vMerge w:val="restart"/>
            <w:vAlign w:val="center"/>
          </w:tcPr>
          <w:p w14:paraId="7CDABD6F">
            <w:pPr>
              <w:spacing w:line="280" w:lineRule="exact"/>
              <w:jc w:val="center"/>
              <w:rPr>
                <w:rFonts w:ascii="宋体" w:hAnsi="宋体" w:eastAsia="宋体" w:cs="Times New Roman"/>
                <w:color w:val="auto"/>
              </w:rPr>
            </w:pPr>
            <w:r>
              <w:rPr>
                <w:rFonts w:ascii="宋体" w:hAnsi="宋体" w:eastAsia="宋体" w:cs="Times New Roman"/>
                <w:color w:val="auto"/>
              </w:rPr>
              <w:t>排放</w:t>
            </w:r>
          </w:p>
          <w:p w14:paraId="6EA24322">
            <w:pPr>
              <w:spacing w:line="280" w:lineRule="exact"/>
              <w:jc w:val="center"/>
              <w:rPr>
                <w:rFonts w:ascii="宋体" w:hAnsi="宋体" w:eastAsia="宋体" w:cs="Times New Roman"/>
                <w:color w:val="auto"/>
              </w:rPr>
            </w:pPr>
            <w:r>
              <w:rPr>
                <w:rFonts w:ascii="宋体" w:hAnsi="宋体" w:eastAsia="宋体" w:cs="Times New Roman"/>
                <w:color w:val="auto"/>
              </w:rPr>
              <w:t>时间/h</w:t>
            </w:r>
          </w:p>
        </w:tc>
      </w:tr>
      <w:tr w14:paraId="751C6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1" w:type="dxa"/>
            <w:vMerge w:val="continue"/>
            <w:vAlign w:val="center"/>
          </w:tcPr>
          <w:p w14:paraId="42F21110">
            <w:pPr>
              <w:spacing w:line="280" w:lineRule="exact"/>
              <w:jc w:val="center"/>
              <w:rPr>
                <w:rFonts w:ascii="宋体" w:hAnsi="宋体" w:eastAsia="宋体" w:cs="Times New Roman"/>
                <w:color w:val="auto"/>
              </w:rPr>
            </w:pPr>
          </w:p>
        </w:tc>
        <w:tc>
          <w:tcPr>
            <w:tcW w:w="1134" w:type="dxa"/>
            <w:vMerge w:val="continue"/>
            <w:vAlign w:val="center"/>
          </w:tcPr>
          <w:p w14:paraId="5B856049">
            <w:pPr>
              <w:spacing w:line="280" w:lineRule="exact"/>
              <w:jc w:val="center"/>
              <w:rPr>
                <w:rFonts w:ascii="宋体" w:hAnsi="宋体" w:eastAsia="宋体" w:cs="Times New Roman"/>
                <w:color w:val="auto"/>
              </w:rPr>
            </w:pPr>
          </w:p>
        </w:tc>
        <w:tc>
          <w:tcPr>
            <w:tcW w:w="709" w:type="dxa"/>
            <w:vMerge w:val="continue"/>
            <w:vAlign w:val="center"/>
          </w:tcPr>
          <w:p w14:paraId="26CBC9AE">
            <w:pPr>
              <w:spacing w:line="280" w:lineRule="exact"/>
              <w:jc w:val="center"/>
              <w:rPr>
                <w:rFonts w:ascii="宋体" w:hAnsi="宋体" w:eastAsia="宋体" w:cs="Times New Roman"/>
                <w:color w:val="auto"/>
              </w:rPr>
            </w:pPr>
          </w:p>
        </w:tc>
        <w:tc>
          <w:tcPr>
            <w:tcW w:w="850" w:type="dxa"/>
            <w:vMerge w:val="continue"/>
            <w:vAlign w:val="center"/>
          </w:tcPr>
          <w:p w14:paraId="7304E708">
            <w:pPr>
              <w:spacing w:line="280" w:lineRule="exact"/>
              <w:jc w:val="center"/>
              <w:rPr>
                <w:rFonts w:ascii="宋体" w:hAnsi="宋体" w:eastAsia="宋体" w:cs="Times New Roman"/>
                <w:color w:val="auto"/>
              </w:rPr>
            </w:pPr>
          </w:p>
        </w:tc>
        <w:tc>
          <w:tcPr>
            <w:tcW w:w="950" w:type="dxa"/>
            <w:vAlign w:val="center"/>
          </w:tcPr>
          <w:p w14:paraId="1E202168">
            <w:pPr>
              <w:spacing w:line="280" w:lineRule="exact"/>
              <w:jc w:val="center"/>
              <w:rPr>
                <w:rFonts w:ascii="宋体" w:hAnsi="宋体" w:eastAsia="宋体" w:cs="Times New Roman"/>
                <w:color w:val="auto"/>
              </w:rPr>
            </w:pPr>
            <w:r>
              <w:rPr>
                <w:rFonts w:ascii="宋体" w:hAnsi="宋体" w:eastAsia="宋体" w:cs="Times New Roman"/>
                <w:color w:val="auto"/>
              </w:rPr>
              <w:t>核算</w:t>
            </w:r>
          </w:p>
          <w:p w14:paraId="51AE643A">
            <w:pPr>
              <w:spacing w:line="280" w:lineRule="exact"/>
              <w:jc w:val="center"/>
              <w:rPr>
                <w:rFonts w:ascii="宋体" w:hAnsi="宋体" w:eastAsia="宋体" w:cs="Times New Roman"/>
                <w:color w:val="auto"/>
              </w:rPr>
            </w:pPr>
            <w:r>
              <w:rPr>
                <w:rFonts w:ascii="宋体" w:hAnsi="宋体" w:eastAsia="宋体" w:cs="Times New Roman"/>
                <w:color w:val="auto"/>
              </w:rPr>
              <w:t>方法</w:t>
            </w:r>
          </w:p>
        </w:tc>
        <w:tc>
          <w:tcPr>
            <w:tcW w:w="1065" w:type="dxa"/>
            <w:vAlign w:val="center"/>
          </w:tcPr>
          <w:p w14:paraId="2A47EFEB">
            <w:pPr>
              <w:spacing w:line="280" w:lineRule="exact"/>
              <w:jc w:val="center"/>
              <w:rPr>
                <w:rFonts w:ascii="宋体" w:hAnsi="宋体" w:eastAsia="宋体" w:cs="Times New Roman"/>
                <w:color w:val="auto"/>
              </w:rPr>
            </w:pPr>
            <w:r>
              <w:rPr>
                <w:rFonts w:ascii="宋体" w:hAnsi="宋体" w:eastAsia="宋体" w:cs="Times New Roman"/>
                <w:color w:val="auto"/>
              </w:rPr>
              <w:t>废气产生量万m</w:t>
            </w:r>
            <w:r>
              <w:rPr>
                <w:rFonts w:ascii="宋体" w:hAnsi="宋体" w:eastAsia="宋体" w:cs="Times New Roman"/>
                <w:color w:val="auto"/>
                <w:vertAlign w:val="superscript"/>
              </w:rPr>
              <w:t>3</w:t>
            </w:r>
            <w:r>
              <w:rPr>
                <w:rFonts w:ascii="宋体" w:hAnsi="宋体" w:eastAsia="宋体" w:cs="Times New Roman"/>
                <w:color w:val="auto"/>
              </w:rPr>
              <w:t>/a</w:t>
            </w:r>
          </w:p>
        </w:tc>
        <w:tc>
          <w:tcPr>
            <w:tcW w:w="1034" w:type="dxa"/>
            <w:vAlign w:val="center"/>
          </w:tcPr>
          <w:p w14:paraId="24CBE4F6">
            <w:pPr>
              <w:spacing w:line="280" w:lineRule="exact"/>
              <w:jc w:val="center"/>
              <w:rPr>
                <w:rFonts w:ascii="宋体" w:hAnsi="宋体" w:eastAsia="宋体" w:cs="Times New Roman"/>
                <w:color w:val="auto"/>
              </w:rPr>
            </w:pPr>
            <w:r>
              <w:rPr>
                <w:rFonts w:ascii="宋体" w:hAnsi="宋体" w:eastAsia="宋体" w:cs="Times New Roman"/>
                <w:color w:val="auto"/>
              </w:rPr>
              <w:t>产生浓度mg/m</w:t>
            </w:r>
            <w:r>
              <w:rPr>
                <w:rFonts w:ascii="宋体" w:hAnsi="宋体" w:eastAsia="宋体" w:cs="Times New Roman"/>
                <w:color w:val="auto"/>
                <w:vertAlign w:val="superscript"/>
              </w:rPr>
              <w:t>3</w:t>
            </w:r>
          </w:p>
        </w:tc>
        <w:tc>
          <w:tcPr>
            <w:tcW w:w="1062" w:type="dxa"/>
            <w:vAlign w:val="center"/>
          </w:tcPr>
          <w:p w14:paraId="3D1B7BFF">
            <w:pPr>
              <w:spacing w:line="280" w:lineRule="exact"/>
              <w:jc w:val="center"/>
              <w:rPr>
                <w:rFonts w:ascii="宋体" w:hAnsi="宋体" w:eastAsia="宋体" w:cs="Times New Roman"/>
                <w:color w:val="auto"/>
              </w:rPr>
            </w:pPr>
            <w:r>
              <w:rPr>
                <w:rFonts w:ascii="宋体" w:hAnsi="宋体" w:eastAsia="宋体" w:cs="Times New Roman"/>
                <w:color w:val="auto"/>
              </w:rPr>
              <w:t>产生量</w:t>
            </w:r>
          </w:p>
          <w:p w14:paraId="6270BC2D">
            <w:pPr>
              <w:autoSpaceDE w:val="0"/>
              <w:autoSpaceDN w:val="0"/>
              <w:adjustRightInd w:val="0"/>
              <w:spacing w:line="280" w:lineRule="exact"/>
              <w:jc w:val="center"/>
              <w:rPr>
                <w:rFonts w:ascii="宋体" w:hAnsi="宋体" w:eastAsia="宋体" w:cs="Times New Roman"/>
                <w:color w:val="auto"/>
              </w:rPr>
            </w:pPr>
            <w:r>
              <w:rPr>
                <w:rFonts w:ascii="宋体" w:hAnsi="宋体" w:eastAsia="宋体" w:cs="Times New Roman"/>
                <w:color w:val="auto"/>
              </w:rPr>
              <w:t>t/a</w:t>
            </w:r>
          </w:p>
        </w:tc>
        <w:tc>
          <w:tcPr>
            <w:tcW w:w="514" w:type="dxa"/>
            <w:vAlign w:val="center"/>
          </w:tcPr>
          <w:p w14:paraId="19F002AF">
            <w:pPr>
              <w:spacing w:line="280" w:lineRule="exact"/>
              <w:jc w:val="center"/>
              <w:rPr>
                <w:rFonts w:ascii="宋体" w:hAnsi="宋体" w:eastAsia="宋体" w:cs="Times New Roman"/>
                <w:color w:val="auto"/>
              </w:rPr>
            </w:pPr>
            <w:r>
              <w:rPr>
                <w:rFonts w:ascii="宋体" w:hAnsi="宋体" w:eastAsia="宋体" w:cs="Times New Roman"/>
                <w:color w:val="auto"/>
              </w:rPr>
              <w:t>工艺</w:t>
            </w:r>
          </w:p>
        </w:tc>
        <w:tc>
          <w:tcPr>
            <w:tcW w:w="757" w:type="dxa"/>
            <w:vAlign w:val="center"/>
          </w:tcPr>
          <w:p w14:paraId="27A3C27A">
            <w:pPr>
              <w:spacing w:line="280" w:lineRule="exact"/>
              <w:jc w:val="center"/>
              <w:rPr>
                <w:rFonts w:ascii="宋体" w:hAnsi="宋体" w:eastAsia="宋体" w:cs="Times New Roman"/>
                <w:color w:val="auto"/>
              </w:rPr>
            </w:pPr>
            <w:r>
              <w:rPr>
                <w:rFonts w:ascii="宋体" w:hAnsi="宋体" w:eastAsia="宋体" w:cs="Times New Roman"/>
                <w:color w:val="auto"/>
              </w:rPr>
              <w:t>效率/%</w:t>
            </w:r>
          </w:p>
        </w:tc>
        <w:tc>
          <w:tcPr>
            <w:tcW w:w="1134" w:type="dxa"/>
            <w:vAlign w:val="center"/>
          </w:tcPr>
          <w:p w14:paraId="50688010">
            <w:pPr>
              <w:spacing w:line="280" w:lineRule="exact"/>
              <w:jc w:val="center"/>
              <w:rPr>
                <w:rFonts w:ascii="宋体" w:hAnsi="宋体" w:eastAsia="宋体" w:cs="Times New Roman"/>
                <w:color w:val="auto"/>
              </w:rPr>
            </w:pPr>
            <w:r>
              <w:rPr>
                <w:rFonts w:ascii="宋体" w:hAnsi="宋体" w:eastAsia="宋体" w:cs="Times New Roman"/>
                <w:color w:val="auto"/>
              </w:rPr>
              <w:t>核算方法</w:t>
            </w:r>
          </w:p>
        </w:tc>
        <w:tc>
          <w:tcPr>
            <w:tcW w:w="1139" w:type="dxa"/>
            <w:vAlign w:val="center"/>
          </w:tcPr>
          <w:p w14:paraId="5405B310">
            <w:pPr>
              <w:spacing w:line="280" w:lineRule="exact"/>
              <w:jc w:val="center"/>
              <w:rPr>
                <w:rFonts w:ascii="宋体" w:hAnsi="宋体" w:eastAsia="宋体" w:cs="Times New Roman"/>
                <w:color w:val="auto"/>
              </w:rPr>
            </w:pPr>
            <w:r>
              <w:rPr>
                <w:rFonts w:ascii="宋体" w:hAnsi="宋体" w:eastAsia="宋体" w:cs="Times New Roman"/>
                <w:color w:val="auto"/>
              </w:rPr>
              <w:t>废气排放量万m</w:t>
            </w:r>
            <w:r>
              <w:rPr>
                <w:rFonts w:ascii="宋体" w:hAnsi="宋体" w:eastAsia="宋体" w:cs="Times New Roman"/>
                <w:color w:val="auto"/>
                <w:vertAlign w:val="superscript"/>
              </w:rPr>
              <w:t>3</w:t>
            </w:r>
            <w:r>
              <w:rPr>
                <w:rFonts w:ascii="宋体" w:hAnsi="宋体" w:eastAsia="宋体" w:cs="Times New Roman"/>
                <w:color w:val="auto"/>
              </w:rPr>
              <w:t>/a</w:t>
            </w:r>
          </w:p>
        </w:tc>
        <w:tc>
          <w:tcPr>
            <w:tcW w:w="1134" w:type="dxa"/>
            <w:vAlign w:val="center"/>
          </w:tcPr>
          <w:p w14:paraId="79B35110">
            <w:pPr>
              <w:spacing w:line="280" w:lineRule="exact"/>
              <w:jc w:val="center"/>
              <w:rPr>
                <w:rFonts w:ascii="宋体" w:hAnsi="宋体" w:eastAsia="宋体" w:cs="Times New Roman"/>
                <w:color w:val="auto"/>
              </w:rPr>
            </w:pPr>
            <w:r>
              <w:rPr>
                <w:rFonts w:ascii="宋体" w:hAnsi="宋体" w:eastAsia="宋体" w:cs="Times New Roman"/>
                <w:color w:val="auto"/>
              </w:rPr>
              <w:t>排放浓度mg/m</w:t>
            </w:r>
            <w:r>
              <w:rPr>
                <w:rFonts w:ascii="宋体" w:hAnsi="宋体" w:eastAsia="宋体" w:cs="Times New Roman"/>
                <w:color w:val="auto"/>
                <w:vertAlign w:val="superscript"/>
              </w:rPr>
              <w:t>3</w:t>
            </w:r>
          </w:p>
        </w:tc>
        <w:tc>
          <w:tcPr>
            <w:tcW w:w="850" w:type="dxa"/>
            <w:vAlign w:val="center"/>
          </w:tcPr>
          <w:p w14:paraId="6F39D45C">
            <w:pPr>
              <w:spacing w:line="280" w:lineRule="exact"/>
              <w:jc w:val="center"/>
              <w:rPr>
                <w:rFonts w:ascii="宋体" w:hAnsi="宋体" w:eastAsia="宋体" w:cs="Times New Roman"/>
                <w:color w:val="auto"/>
              </w:rPr>
            </w:pPr>
            <w:r>
              <w:rPr>
                <w:rFonts w:ascii="宋体" w:hAnsi="宋体" w:eastAsia="宋体" w:cs="Times New Roman"/>
                <w:color w:val="auto"/>
              </w:rPr>
              <w:t>排放量</w:t>
            </w:r>
          </w:p>
          <w:p w14:paraId="1894CFE0">
            <w:pPr>
              <w:spacing w:line="280" w:lineRule="exact"/>
              <w:jc w:val="center"/>
              <w:rPr>
                <w:rFonts w:ascii="宋体" w:hAnsi="宋体" w:eastAsia="宋体" w:cs="Times New Roman"/>
                <w:color w:val="auto"/>
              </w:rPr>
            </w:pPr>
            <w:r>
              <w:rPr>
                <w:rFonts w:ascii="宋体" w:hAnsi="宋体" w:eastAsia="宋体" w:cs="Times New Roman"/>
                <w:color w:val="auto"/>
              </w:rPr>
              <w:t>t/a</w:t>
            </w:r>
          </w:p>
        </w:tc>
        <w:tc>
          <w:tcPr>
            <w:tcW w:w="819" w:type="dxa"/>
            <w:vMerge w:val="continue"/>
            <w:vAlign w:val="center"/>
          </w:tcPr>
          <w:p w14:paraId="1FF780FF">
            <w:pPr>
              <w:spacing w:line="280" w:lineRule="exact"/>
              <w:jc w:val="center"/>
              <w:rPr>
                <w:rFonts w:ascii="宋体" w:hAnsi="宋体" w:eastAsia="宋体" w:cs="Times New Roman"/>
                <w:color w:val="auto"/>
              </w:rPr>
            </w:pPr>
          </w:p>
        </w:tc>
      </w:tr>
      <w:tr w14:paraId="22645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51" w:type="dxa"/>
            <w:vAlign w:val="center"/>
          </w:tcPr>
          <w:p w14:paraId="5DD20FB3">
            <w:pPr>
              <w:spacing w:line="280" w:lineRule="exact"/>
              <w:jc w:val="center"/>
              <w:rPr>
                <w:rFonts w:ascii="宋体" w:hAnsi="宋体" w:eastAsia="宋体" w:cs="Times New Roman"/>
                <w:color w:val="auto"/>
              </w:rPr>
            </w:pPr>
            <w:r>
              <w:rPr>
                <w:rFonts w:ascii="宋体" w:hAnsi="宋体" w:eastAsia="宋体" w:cs="Times New Roman"/>
                <w:color w:val="auto"/>
              </w:rPr>
              <w:t>原油开采</w:t>
            </w:r>
          </w:p>
        </w:tc>
        <w:tc>
          <w:tcPr>
            <w:tcW w:w="1134" w:type="dxa"/>
            <w:vAlign w:val="center"/>
          </w:tcPr>
          <w:p w14:paraId="5EB11BAB">
            <w:pPr>
              <w:spacing w:line="280" w:lineRule="exact"/>
              <w:jc w:val="center"/>
              <w:rPr>
                <w:rFonts w:ascii="宋体" w:hAnsi="宋体" w:eastAsia="宋体" w:cs="Times New Roman"/>
                <w:color w:val="auto"/>
              </w:rPr>
            </w:pPr>
            <w:r>
              <w:rPr>
                <w:rFonts w:hint="eastAsia" w:ascii="宋体" w:hAnsi="宋体" w:eastAsia="宋体" w:cs="Times New Roman"/>
                <w:color w:val="auto"/>
              </w:rPr>
              <w:t>原油集输</w:t>
            </w:r>
          </w:p>
        </w:tc>
        <w:tc>
          <w:tcPr>
            <w:tcW w:w="709" w:type="dxa"/>
            <w:vAlign w:val="center"/>
          </w:tcPr>
          <w:p w14:paraId="4B7F6090">
            <w:pPr>
              <w:spacing w:line="280" w:lineRule="exact"/>
              <w:jc w:val="center"/>
              <w:rPr>
                <w:rFonts w:ascii="宋体" w:hAnsi="宋体" w:eastAsia="宋体" w:cs="Times New Roman"/>
                <w:color w:val="auto"/>
              </w:rPr>
            </w:pPr>
            <w:r>
              <w:rPr>
                <w:rFonts w:ascii="宋体" w:hAnsi="宋体" w:eastAsia="宋体" w:cs="Times New Roman"/>
                <w:color w:val="auto"/>
              </w:rPr>
              <w:t>无组织排放</w:t>
            </w:r>
          </w:p>
        </w:tc>
        <w:tc>
          <w:tcPr>
            <w:tcW w:w="850" w:type="dxa"/>
            <w:vAlign w:val="center"/>
          </w:tcPr>
          <w:p w14:paraId="70A84E4C">
            <w:pPr>
              <w:spacing w:line="280" w:lineRule="exact"/>
              <w:jc w:val="center"/>
              <w:rPr>
                <w:rFonts w:ascii="宋体" w:hAnsi="宋体" w:eastAsia="宋体" w:cs="Times New Roman"/>
                <w:color w:val="auto"/>
              </w:rPr>
            </w:pPr>
            <w:r>
              <w:rPr>
                <w:rFonts w:ascii="宋体" w:hAnsi="宋体" w:eastAsia="宋体" w:cs="Times New Roman"/>
                <w:color w:val="auto"/>
              </w:rPr>
              <w:t>非甲烷总烃</w:t>
            </w:r>
          </w:p>
        </w:tc>
        <w:tc>
          <w:tcPr>
            <w:tcW w:w="950" w:type="dxa"/>
            <w:vAlign w:val="center"/>
          </w:tcPr>
          <w:p w14:paraId="03D0BF96">
            <w:pPr>
              <w:spacing w:line="280" w:lineRule="exact"/>
              <w:jc w:val="center"/>
              <w:rPr>
                <w:rFonts w:ascii="宋体" w:hAnsi="宋体" w:eastAsia="宋体" w:cs="Times New Roman"/>
                <w:color w:val="auto"/>
              </w:rPr>
            </w:pPr>
            <w:r>
              <w:rPr>
                <w:rFonts w:ascii="宋体" w:hAnsi="宋体" w:eastAsia="宋体" w:cs="Times New Roman"/>
                <w:color w:val="auto"/>
              </w:rPr>
              <w:t>产污系数法</w:t>
            </w:r>
          </w:p>
        </w:tc>
        <w:tc>
          <w:tcPr>
            <w:tcW w:w="1065" w:type="dxa"/>
            <w:vAlign w:val="center"/>
          </w:tcPr>
          <w:p w14:paraId="7A528846">
            <w:pPr>
              <w:spacing w:line="280" w:lineRule="exact"/>
              <w:jc w:val="center"/>
              <w:rPr>
                <w:rFonts w:ascii="宋体" w:hAnsi="宋体" w:eastAsia="宋体" w:cs="Times New Roman"/>
                <w:color w:val="auto"/>
              </w:rPr>
            </w:pPr>
            <w:r>
              <w:rPr>
                <w:rFonts w:ascii="宋体" w:hAnsi="宋体" w:eastAsia="宋体" w:cs="Times New Roman"/>
                <w:color w:val="auto"/>
              </w:rPr>
              <w:t>—</w:t>
            </w:r>
          </w:p>
        </w:tc>
        <w:tc>
          <w:tcPr>
            <w:tcW w:w="1034" w:type="dxa"/>
            <w:vAlign w:val="center"/>
          </w:tcPr>
          <w:p w14:paraId="4B42DAC4">
            <w:pPr>
              <w:spacing w:line="280" w:lineRule="exact"/>
              <w:jc w:val="center"/>
              <w:rPr>
                <w:rFonts w:ascii="宋体" w:hAnsi="宋体" w:eastAsia="宋体" w:cs="Times New Roman"/>
                <w:color w:val="auto"/>
              </w:rPr>
            </w:pPr>
            <w:r>
              <w:rPr>
                <w:rFonts w:ascii="宋体" w:hAnsi="宋体" w:eastAsia="宋体" w:cs="Times New Roman"/>
                <w:color w:val="auto"/>
              </w:rPr>
              <w:t>—</w:t>
            </w:r>
          </w:p>
        </w:tc>
        <w:tc>
          <w:tcPr>
            <w:tcW w:w="1062" w:type="dxa"/>
            <w:vAlign w:val="center"/>
          </w:tcPr>
          <w:p w14:paraId="5ECF7C6D">
            <w:pPr>
              <w:spacing w:line="280" w:lineRule="exact"/>
              <w:jc w:val="center"/>
              <w:rPr>
                <w:rFonts w:ascii="宋体" w:hAnsi="宋体" w:eastAsia="宋体" w:cs="Times New Roman"/>
                <w:color w:val="auto"/>
              </w:rPr>
            </w:pPr>
            <w:r>
              <w:rPr>
                <w:rFonts w:hint="eastAsia" w:ascii="宋体" w:hAnsi="宋体" w:eastAsia="宋体" w:cs="Times New Roman"/>
                <w:color w:val="auto"/>
              </w:rPr>
              <w:t>16.44</w:t>
            </w:r>
          </w:p>
        </w:tc>
        <w:tc>
          <w:tcPr>
            <w:tcW w:w="514" w:type="dxa"/>
            <w:vAlign w:val="center"/>
          </w:tcPr>
          <w:p w14:paraId="58E538AA">
            <w:pPr>
              <w:spacing w:line="280" w:lineRule="exact"/>
              <w:jc w:val="center"/>
              <w:rPr>
                <w:rFonts w:ascii="宋体" w:hAnsi="宋体" w:eastAsia="宋体" w:cs="Times New Roman"/>
                <w:color w:val="auto"/>
              </w:rPr>
            </w:pPr>
            <w:r>
              <w:rPr>
                <w:rFonts w:ascii="宋体" w:hAnsi="宋体" w:eastAsia="宋体" w:cs="Times New Roman"/>
                <w:color w:val="auto"/>
              </w:rPr>
              <w:t>—</w:t>
            </w:r>
          </w:p>
        </w:tc>
        <w:tc>
          <w:tcPr>
            <w:tcW w:w="757" w:type="dxa"/>
            <w:vAlign w:val="center"/>
          </w:tcPr>
          <w:p w14:paraId="6CBBAE24">
            <w:pPr>
              <w:spacing w:line="280" w:lineRule="exact"/>
              <w:jc w:val="center"/>
              <w:rPr>
                <w:rFonts w:ascii="宋体" w:hAnsi="宋体" w:eastAsia="宋体" w:cs="Times New Roman"/>
                <w:color w:val="auto"/>
              </w:rPr>
            </w:pPr>
            <w:r>
              <w:rPr>
                <w:rFonts w:ascii="宋体" w:hAnsi="宋体" w:eastAsia="宋体" w:cs="Times New Roman"/>
                <w:color w:val="auto"/>
              </w:rPr>
              <w:t>0</w:t>
            </w:r>
          </w:p>
        </w:tc>
        <w:tc>
          <w:tcPr>
            <w:tcW w:w="1134" w:type="dxa"/>
            <w:vAlign w:val="center"/>
          </w:tcPr>
          <w:p w14:paraId="771499DB">
            <w:pPr>
              <w:spacing w:line="280" w:lineRule="exact"/>
              <w:jc w:val="center"/>
              <w:rPr>
                <w:rFonts w:ascii="宋体" w:hAnsi="宋体" w:eastAsia="宋体" w:cs="Times New Roman"/>
                <w:color w:val="auto"/>
              </w:rPr>
            </w:pPr>
            <w:r>
              <w:rPr>
                <w:rFonts w:ascii="宋体" w:hAnsi="宋体" w:eastAsia="宋体" w:cs="Times New Roman"/>
                <w:color w:val="auto"/>
              </w:rPr>
              <w:t>产污系数法</w:t>
            </w:r>
          </w:p>
        </w:tc>
        <w:tc>
          <w:tcPr>
            <w:tcW w:w="1139" w:type="dxa"/>
            <w:vAlign w:val="center"/>
          </w:tcPr>
          <w:p w14:paraId="6C5F4D48">
            <w:pPr>
              <w:spacing w:line="280" w:lineRule="exact"/>
              <w:jc w:val="center"/>
              <w:rPr>
                <w:rFonts w:ascii="宋体" w:hAnsi="宋体" w:eastAsia="宋体" w:cs="Times New Roman"/>
                <w:color w:val="auto"/>
              </w:rPr>
            </w:pPr>
            <w:r>
              <w:rPr>
                <w:rFonts w:ascii="宋体" w:hAnsi="宋体" w:eastAsia="宋体" w:cs="Times New Roman"/>
                <w:color w:val="auto"/>
              </w:rPr>
              <w:t>—</w:t>
            </w:r>
          </w:p>
        </w:tc>
        <w:tc>
          <w:tcPr>
            <w:tcW w:w="1134" w:type="dxa"/>
            <w:vAlign w:val="center"/>
          </w:tcPr>
          <w:p w14:paraId="1F24C48F">
            <w:pPr>
              <w:spacing w:line="280" w:lineRule="exact"/>
              <w:jc w:val="center"/>
              <w:rPr>
                <w:rFonts w:ascii="宋体" w:hAnsi="宋体" w:eastAsia="宋体" w:cs="Times New Roman"/>
                <w:color w:val="auto"/>
              </w:rPr>
            </w:pPr>
            <w:r>
              <w:rPr>
                <w:rFonts w:ascii="宋体" w:hAnsi="宋体" w:eastAsia="宋体" w:cs="Times New Roman"/>
                <w:color w:val="auto"/>
              </w:rPr>
              <w:t>—</w:t>
            </w:r>
          </w:p>
        </w:tc>
        <w:tc>
          <w:tcPr>
            <w:tcW w:w="850" w:type="dxa"/>
            <w:vAlign w:val="center"/>
          </w:tcPr>
          <w:p w14:paraId="60957019">
            <w:pPr>
              <w:spacing w:line="280" w:lineRule="exact"/>
              <w:jc w:val="center"/>
              <w:rPr>
                <w:rFonts w:ascii="宋体" w:hAnsi="宋体" w:eastAsia="宋体" w:cs="Times New Roman"/>
                <w:color w:val="auto"/>
              </w:rPr>
            </w:pPr>
            <w:r>
              <w:rPr>
                <w:rFonts w:hint="eastAsia" w:ascii="宋体" w:hAnsi="宋体" w:eastAsia="宋体" w:cs="Times New Roman"/>
                <w:color w:val="auto"/>
              </w:rPr>
              <w:t>16.44</w:t>
            </w:r>
          </w:p>
        </w:tc>
        <w:tc>
          <w:tcPr>
            <w:tcW w:w="819" w:type="dxa"/>
            <w:vAlign w:val="center"/>
          </w:tcPr>
          <w:p w14:paraId="5FFA5A3A">
            <w:pPr>
              <w:spacing w:line="280" w:lineRule="exact"/>
              <w:jc w:val="center"/>
              <w:rPr>
                <w:rFonts w:ascii="宋体" w:hAnsi="宋体" w:eastAsia="宋体" w:cs="Times New Roman"/>
                <w:color w:val="auto"/>
              </w:rPr>
            </w:pPr>
            <w:r>
              <w:rPr>
                <w:rFonts w:hint="eastAsia" w:ascii="宋体" w:hAnsi="宋体" w:eastAsia="宋体" w:cs="Times New Roman"/>
                <w:color w:val="auto"/>
              </w:rPr>
              <w:t>8760</w:t>
            </w:r>
          </w:p>
        </w:tc>
      </w:tr>
      <w:tr w14:paraId="34AAD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851" w:type="dxa"/>
            <w:vMerge w:val="restart"/>
            <w:vAlign w:val="center"/>
          </w:tcPr>
          <w:p w14:paraId="7ECB96E9">
            <w:pPr>
              <w:spacing w:line="280" w:lineRule="exact"/>
              <w:jc w:val="center"/>
              <w:rPr>
                <w:rFonts w:ascii="宋体" w:hAnsi="宋体" w:eastAsia="宋体" w:cs="Times New Roman"/>
                <w:color w:val="auto"/>
              </w:rPr>
            </w:pPr>
            <w:r>
              <w:rPr>
                <w:rFonts w:ascii="宋体" w:hAnsi="宋体" w:eastAsia="宋体" w:cs="Times New Roman"/>
                <w:color w:val="auto"/>
              </w:rPr>
              <w:t>原油集输</w:t>
            </w:r>
          </w:p>
        </w:tc>
        <w:tc>
          <w:tcPr>
            <w:tcW w:w="1134" w:type="dxa"/>
            <w:vMerge w:val="restart"/>
            <w:vAlign w:val="center"/>
          </w:tcPr>
          <w:p w14:paraId="6369670C">
            <w:pPr>
              <w:spacing w:line="280" w:lineRule="exact"/>
              <w:jc w:val="center"/>
              <w:rPr>
                <w:rFonts w:ascii="宋体" w:hAnsi="宋体" w:eastAsia="宋体" w:cs="Times New Roman"/>
                <w:color w:val="auto"/>
              </w:rPr>
            </w:pPr>
            <w:r>
              <w:rPr>
                <w:rFonts w:ascii="宋体" w:hAnsi="宋体" w:eastAsia="宋体" w:cs="Times New Roman"/>
                <w:color w:val="auto"/>
              </w:rPr>
              <w:t>拉油点储罐</w:t>
            </w:r>
          </w:p>
        </w:tc>
        <w:tc>
          <w:tcPr>
            <w:tcW w:w="709" w:type="dxa"/>
            <w:vMerge w:val="restart"/>
            <w:vAlign w:val="center"/>
          </w:tcPr>
          <w:p w14:paraId="5DA321AE">
            <w:pPr>
              <w:spacing w:line="280" w:lineRule="exact"/>
              <w:jc w:val="center"/>
              <w:rPr>
                <w:rFonts w:ascii="宋体" w:hAnsi="宋体" w:eastAsia="宋体" w:cs="Times New Roman"/>
                <w:color w:val="auto"/>
              </w:rPr>
            </w:pPr>
            <w:r>
              <w:rPr>
                <w:rFonts w:ascii="宋体" w:hAnsi="宋体" w:eastAsia="宋体" w:cs="Times New Roman"/>
                <w:color w:val="auto"/>
              </w:rPr>
              <w:t>加热炉排气筒</w:t>
            </w:r>
          </w:p>
        </w:tc>
        <w:tc>
          <w:tcPr>
            <w:tcW w:w="850" w:type="dxa"/>
            <w:vAlign w:val="center"/>
          </w:tcPr>
          <w:p w14:paraId="565006BF">
            <w:pPr>
              <w:pStyle w:val="273"/>
              <w:spacing w:line="280" w:lineRule="exact"/>
              <w:ind w:firstLine="0"/>
              <w:jc w:val="center"/>
              <w:rPr>
                <w:rFonts w:cs="Times New Roman"/>
                <w:color w:val="auto"/>
                <w:sz w:val="21"/>
                <w:szCs w:val="21"/>
              </w:rPr>
            </w:pPr>
            <w:r>
              <w:rPr>
                <w:rFonts w:cs="Times New Roman"/>
                <w:color w:val="auto"/>
                <w:sz w:val="21"/>
                <w:szCs w:val="21"/>
              </w:rPr>
              <w:t>颗粒物</w:t>
            </w:r>
          </w:p>
        </w:tc>
        <w:tc>
          <w:tcPr>
            <w:tcW w:w="950" w:type="dxa"/>
            <w:vMerge w:val="restart"/>
            <w:vAlign w:val="center"/>
          </w:tcPr>
          <w:p w14:paraId="571FB4DD">
            <w:pPr>
              <w:spacing w:line="280" w:lineRule="exact"/>
              <w:jc w:val="center"/>
              <w:rPr>
                <w:rFonts w:ascii="宋体" w:hAnsi="宋体" w:eastAsia="宋体" w:cs="Times New Roman"/>
                <w:color w:val="auto"/>
              </w:rPr>
            </w:pPr>
            <w:r>
              <w:rPr>
                <w:rFonts w:ascii="宋体" w:hAnsi="宋体" w:eastAsia="宋体" w:cs="Times New Roman"/>
                <w:color w:val="auto"/>
              </w:rPr>
              <w:t>实测法、类比法</w:t>
            </w:r>
          </w:p>
        </w:tc>
        <w:tc>
          <w:tcPr>
            <w:tcW w:w="1065" w:type="dxa"/>
            <w:vMerge w:val="restart"/>
            <w:vAlign w:val="center"/>
          </w:tcPr>
          <w:p w14:paraId="766A5634">
            <w:pPr>
              <w:spacing w:line="280" w:lineRule="exact"/>
              <w:jc w:val="center"/>
              <w:rPr>
                <w:rFonts w:ascii="宋体" w:hAnsi="宋体" w:eastAsia="宋体" w:cs="Times New Roman"/>
                <w:color w:val="auto"/>
              </w:rPr>
            </w:pPr>
            <w:r>
              <w:rPr>
                <w:rFonts w:ascii="宋体" w:hAnsi="宋体" w:eastAsia="宋体" w:cs="Times New Roman"/>
                <w:color w:val="auto"/>
              </w:rPr>
              <w:t>145</w:t>
            </w:r>
          </w:p>
        </w:tc>
        <w:tc>
          <w:tcPr>
            <w:tcW w:w="1034" w:type="dxa"/>
            <w:vAlign w:val="center"/>
          </w:tcPr>
          <w:p w14:paraId="6879F383">
            <w:pPr>
              <w:pStyle w:val="273"/>
              <w:spacing w:line="280" w:lineRule="exact"/>
              <w:ind w:firstLine="0"/>
              <w:jc w:val="center"/>
              <w:rPr>
                <w:rFonts w:cs="Times New Roman"/>
                <w:color w:val="auto"/>
                <w:sz w:val="21"/>
                <w:szCs w:val="21"/>
              </w:rPr>
            </w:pPr>
            <w:r>
              <w:rPr>
                <w:rFonts w:hint="eastAsia" w:cs="Times New Roman"/>
                <w:color w:val="auto"/>
                <w:sz w:val="21"/>
                <w:szCs w:val="21"/>
              </w:rPr>
              <w:t>20.5</w:t>
            </w:r>
          </w:p>
        </w:tc>
        <w:tc>
          <w:tcPr>
            <w:tcW w:w="1062" w:type="dxa"/>
            <w:vAlign w:val="center"/>
          </w:tcPr>
          <w:p w14:paraId="297FD4B7">
            <w:pPr>
              <w:pStyle w:val="273"/>
              <w:spacing w:line="280" w:lineRule="exact"/>
              <w:ind w:firstLine="0"/>
              <w:jc w:val="center"/>
              <w:rPr>
                <w:rFonts w:cs="Times New Roman"/>
                <w:color w:val="auto"/>
                <w:sz w:val="21"/>
                <w:szCs w:val="21"/>
              </w:rPr>
            </w:pPr>
            <w:r>
              <w:rPr>
                <w:rFonts w:hint="eastAsia" w:cs="Times New Roman"/>
                <w:color w:val="auto"/>
                <w:sz w:val="21"/>
                <w:szCs w:val="21"/>
              </w:rPr>
              <w:t>0.033</w:t>
            </w:r>
          </w:p>
        </w:tc>
        <w:tc>
          <w:tcPr>
            <w:tcW w:w="514" w:type="dxa"/>
            <w:vMerge w:val="restart"/>
            <w:vAlign w:val="center"/>
          </w:tcPr>
          <w:p w14:paraId="28102814">
            <w:pPr>
              <w:spacing w:line="280" w:lineRule="exact"/>
              <w:jc w:val="center"/>
              <w:rPr>
                <w:rFonts w:ascii="宋体" w:hAnsi="宋体" w:eastAsia="宋体" w:cs="Times New Roman"/>
                <w:color w:val="auto"/>
              </w:rPr>
            </w:pPr>
            <w:r>
              <w:rPr>
                <w:rFonts w:ascii="宋体" w:hAnsi="宋体" w:eastAsia="宋体" w:cs="Times New Roman"/>
                <w:color w:val="auto"/>
              </w:rPr>
              <w:t>—</w:t>
            </w:r>
          </w:p>
        </w:tc>
        <w:tc>
          <w:tcPr>
            <w:tcW w:w="757" w:type="dxa"/>
            <w:vAlign w:val="center"/>
          </w:tcPr>
          <w:p w14:paraId="0EDE5891">
            <w:pPr>
              <w:spacing w:line="280" w:lineRule="exact"/>
              <w:jc w:val="center"/>
              <w:rPr>
                <w:rFonts w:ascii="宋体" w:hAnsi="宋体" w:eastAsia="宋体" w:cs="Times New Roman"/>
                <w:color w:val="auto"/>
              </w:rPr>
            </w:pPr>
            <w:r>
              <w:rPr>
                <w:rFonts w:ascii="宋体" w:hAnsi="宋体" w:eastAsia="宋体" w:cs="Times New Roman"/>
                <w:color w:val="auto"/>
              </w:rPr>
              <w:t>0</w:t>
            </w:r>
          </w:p>
        </w:tc>
        <w:tc>
          <w:tcPr>
            <w:tcW w:w="1134" w:type="dxa"/>
            <w:vMerge w:val="restart"/>
            <w:vAlign w:val="center"/>
          </w:tcPr>
          <w:p w14:paraId="02F8693A">
            <w:pPr>
              <w:spacing w:line="280" w:lineRule="exact"/>
              <w:jc w:val="center"/>
              <w:rPr>
                <w:rFonts w:ascii="宋体" w:hAnsi="宋体" w:eastAsia="宋体" w:cs="Times New Roman"/>
                <w:color w:val="auto"/>
              </w:rPr>
            </w:pPr>
            <w:r>
              <w:rPr>
                <w:rFonts w:ascii="宋体" w:hAnsi="宋体" w:eastAsia="宋体" w:cs="Times New Roman"/>
                <w:color w:val="auto"/>
              </w:rPr>
              <w:t>产污系数法</w:t>
            </w:r>
          </w:p>
        </w:tc>
        <w:tc>
          <w:tcPr>
            <w:tcW w:w="1139" w:type="dxa"/>
            <w:vMerge w:val="restart"/>
            <w:vAlign w:val="center"/>
          </w:tcPr>
          <w:p w14:paraId="0EE9928A">
            <w:pPr>
              <w:spacing w:line="280" w:lineRule="exact"/>
              <w:jc w:val="center"/>
              <w:rPr>
                <w:rFonts w:ascii="宋体" w:hAnsi="宋体" w:eastAsia="宋体" w:cs="Times New Roman"/>
                <w:color w:val="auto"/>
              </w:rPr>
            </w:pPr>
            <w:r>
              <w:rPr>
                <w:rFonts w:ascii="宋体" w:hAnsi="宋体" w:eastAsia="宋体" w:cs="Times New Roman"/>
                <w:color w:val="auto"/>
              </w:rPr>
              <w:t>—</w:t>
            </w:r>
          </w:p>
        </w:tc>
        <w:tc>
          <w:tcPr>
            <w:tcW w:w="1134" w:type="dxa"/>
            <w:vAlign w:val="center"/>
          </w:tcPr>
          <w:p w14:paraId="31A78204">
            <w:pPr>
              <w:pStyle w:val="273"/>
              <w:spacing w:line="280" w:lineRule="exact"/>
              <w:ind w:firstLine="0"/>
              <w:jc w:val="center"/>
              <w:rPr>
                <w:rFonts w:cs="Times New Roman"/>
                <w:color w:val="auto"/>
                <w:sz w:val="21"/>
                <w:szCs w:val="21"/>
              </w:rPr>
            </w:pPr>
            <w:r>
              <w:rPr>
                <w:rFonts w:hint="eastAsia" w:cs="Times New Roman"/>
                <w:color w:val="auto"/>
                <w:sz w:val="21"/>
                <w:szCs w:val="21"/>
              </w:rPr>
              <w:t>20.5</w:t>
            </w:r>
          </w:p>
        </w:tc>
        <w:tc>
          <w:tcPr>
            <w:tcW w:w="850" w:type="dxa"/>
            <w:vAlign w:val="center"/>
          </w:tcPr>
          <w:p w14:paraId="0233A1AF">
            <w:pPr>
              <w:pStyle w:val="273"/>
              <w:spacing w:line="280" w:lineRule="exact"/>
              <w:ind w:firstLine="0"/>
              <w:jc w:val="center"/>
              <w:rPr>
                <w:rFonts w:cs="Times New Roman"/>
                <w:color w:val="auto"/>
                <w:sz w:val="21"/>
                <w:szCs w:val="21"/>
              </w:rPr>
            </w:pPr>
            <w:r>
              <w:rPr>
                <w:rFonts w:hint="eastAsia" w:cs="Times New Roman"/>
                <w:color w:val="auto"/>
                <w:sz w:val="21"/>
                <w:szCs w:val="21"/>
              </w:rPr>
              <w:t>0.033</w:t>
            </w:r>
          </w:p>
        </w:tc>
        <w:tc>
          <w:tcPr>
            <w:tcW w:w="819" w:type="dxa"/>
            <w:vMerge w:val="restart"/>
            <w:vAlign w:val="center"/>
          </w:tcPr>
          <w:p w14:paraId="11CE5BF7">
            <w:pPr>
              <w:spacing w:line="280" w:lineRule="exact"/>
              <w:jc w:val="center"/>
              <w:rPr>
                <w:rFonts w:ascii="宋体" w:hAnsi="宋体" w:eastAsia="宋体" w:cs="Times New Roman"/>
                <w:color w:val="auto"/>
              </w:rPr>
            </w:pPr>
            <w:r>
              <w:rPr>
                <w:rFonts w:ascii="宋体" w:hAnsi="宋体" w:eastAsia="宋体" w:cs="Times New Roman"/>
                <w:color w:val="auto"/>
              </w:rPr>
              <w:t>8760</w:t>
            </w:r>
          </w:p>
        </w:tc>
      </w:tr>
      <w:tr w14:paraId="445BB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851" w:type="dxa"/>
            <w:vMerge w:val="continue"/>
            <w:vAlign w:val="center"/>
          </w:tcPr>
          <w:p w14:paraId="1A2EBDA4">
            <w:pPr>
              <w:spacing w:line="280" w:lineRule="exact"/>
              <w:jc w:val="center"/>
              <w:rPr>
                <w:rFonts w:ascii="宋体" w:hAnsi="宋体" w:eastAsia="宋体" w:cs="Times New Roman"/>
                <w:color w:val="auto"/>
              </w:rPr>
            </w:pPr>
          </w:p>
        </w:tc>
        <w:tc>
          <w:tcPr>
            <w:tcW w:w="1134" w:type="dxa"/>
            <w:vMerge w:val="continue"/>
            <w:vAlign w:val="center"/>
          </w:tcPr>
          <w:p w14:paraId="0E2E0809">
            <w:pPr>
              <w:spacing w:line="280" w:lineRule="exact"/>
              <w:jc w:val="center"/>
              <w:rPr>
                <w:rFonts w:ascii="宋体" w:hAnsi="宋体" w:eastAsia="宋体" w:cs="Times New Roman"/>
                <w:color w:val="auto"/>
              </w:rPr>
            </w:pPr>
          </w:p>
        </w:tc>
        <w:tc>
          <w:tcPr>
            <w:tcW w:w="709" w:type="dxa"/>
            <w:vMerge w:val="continue"/>
            <w:vAlign w:val="center"/>
          </w:tcPr>
          <w:p w14:paraId="16F6F160">
            <w:pPr>
              <w:spacing w:line="280" w:lineRule="exact"/>
              <w:jc w:val="center"/>
              <w:rPr>
                <w:rFonts w:ascii="宋体" w:hAnsi="宋体" w:eastAsia="宋体" w:cs="Times New Roman"/>
                <w:color w:val="auto"/>
              </w:rPr>
            </w:pPr>
          </w:p>
        </w:tc>
        <w:tc>
          <w:tcPr>
            <w:tcW w:w="850" w:type="dxa"/>
            <w:vAlign w:val="center"/>
          </w:tcPr>
          <w:p w14:paraId="1A96BAE1">
            <w:pPr>
              <w:pStyle w:val="273"/>
              <w:spacing w:line="280" w:lineRule="exact"/>
              <w:ind w:firstLine="0"/>
              <w:jc w:val="center"/>
              <w:rPr>
                <w:rFonts w:cs="Times New Roman"/>
                <w:color w:val="auto"/>
                <w:sz w:val="21"/>
                <w:szCs w:val="21"/>
              </w:rPr>
            </w:pPr>
            <w:r>
              <w:rPr>
                <w:rFonts w:cs="Times New Roman"/>
                <w:color w:val="auto"/>
                <w:sz w:val="21"/>
                <w:szCs w:val="21"/>
              </w:rPr>
              <w:t>NO</w:t>
            </w:r>
            <w:r>
              <w:rPr>
                <w:rFonts w:cs="Times New Roman"/>
                <w:color w:val="auto"/>
                <w:sz w:val="21"/>
                <w:szCs w:val="21"/>
                <w:vertAlign w:val="subscript"/>
              </w:rPr>
              <w:t>x</w:t>
            </w:r>
          </w:p>
        </w:tc>
        <w:tc>
          <w:tcPr>
            <w:tcW w:w="950" w:type="dxa"/>
            <w:vMerge w:val="continue"/>
            <w:vAlign w:val="center"/>
          </w:tcPr>
          <w:p w14:paraId="238C1CC3">
            <w:pPr>
              <w:spacing w:line="280" w:lineRule="exact"/>
              <w:jc w:val="center"/>
              <w:rPr>
                <w:rFonts w:ascii="宋体" w:hAnsi="宋体" w:eastAsia="宋体" w:cs="Times New Roman"/>
                <w:color w:val="auto"/>
              </w:rPr>
            </w:pPr>
          </w:p>
        </w:tc>
        <w:tc>
          <w:tcPr>
            <w:tcW w:w="1065" w:type="dxa"/>
            <w:vMerge w:val="continue"/>
            <w:vAlign w:val="center"/>
          </w:tcPr>
          <w:p w14:paraId="51382235">
            <w:pPr>
              <w:spacing w:line="280" w:lineRule="exact"/>
              <w:jc w:val="center"/>
              <w:rPr>
                <w:rFonts w:ascii="宋体" w:hAnsi="宋体" w:eastAsia="宋体" w:cs="Times New Roman"/>
                <w:color w:val="auto"/>
              </w:rPr>
            </w:pPr>
          </w:p>
        </w:tc>
        <w:tc>
          <w:tcPr>
            <w:tcW w:w="1034" w:type="dxa"/>
            <w:vAlign w:val="center"/>
          </w:tcPr>
          <w:p w14:paraId="71851C06">
            <w:pPr>
              <w:pStyle w:val="273"/>
              <w:spacing w:line="280" w:lineRule="exact"/>
              <w:ind w:firstLine="0"/>
              <w:jc w:val="center"/>
              <w:rPr>
                <w:rFonts w:cs="Times New Roman"/>
                <w:color w:val="auto"/>
                <w:sz w:val="21"/>
                <w:szCs w:val="21"/>
              </w:rPr>
            </w:pPr>
            <w:r>
              <w:rPr>
                <w:rFonts w:hint="eastAsia" w:cs="Times New Roman"/>
                <w:color w:val="auto"/>
                <w:sz w:val="21"/>
                <w:szCs w:val="21"/>
              </w:rPr>
              <w:t>66.9</w:t>
            </w:r>
          </w:p>
        </w:tc>
        <w:tc>
          <w:tcPr>
            <w:tcW w:w="1062" w:type="dxa"/>
            <w:vAlign w:val="center"/>
          </w:tcPr>
          <w:p w14:paraId="1A910B0B">
            <w:pPr>
              <w:pStyle w:val="273"/>
              <w:spacing w:line="280" w:lineRule="exact"/>
              <w:ind w:firstLine="0"/>
              <w:jc w:val="center"/>
              <w:rPr>
                <w:rFonts w:cs="Times New Roman"/>
                <w:color w:val="auto"/>
                <w:sz w:val="21"/>
                <w:szCs w:val="21"/>
              </w:rPr>
            </w:pPr>
            <w:r>
              <w:rPr>
                <w:rFonts w:cs="Times New Roman"/>
                <w:color w:val="auto"/>
                <w:sz w:val="21"/>
                <w:szCs w:val="21"/>
              </w:rPr>
              <w:t>0.1</w:t>
            </w:r>
            <w:r>
              <w:rPr>
                <w:rFonts w:hint="eastAsia" w:cs="Times New Roman"/>
                <w:color w:val="auto"/>
                <w:sz w:val="21"/>
                <w:szCs w:val="21"/>
              </w:rPr>
              <w:t>08</w:t>
            </w:r>
          </w:p>
        </w:tc>
        <w:tc>
          <w:tcPr>
            <w:tcW w:w="514" w:type="dxa"/>
            <w:vMerge w:val="continue"/>
            <w:vAlign w:val="center"/>
          </w:tcPr>
          <w:p w14:paraId="49615806">
            <w:pPr>
              <w:spacing w:line="280" w:lineRule="exact"/>
              <w:jc w:val="center"/>
              <w:rPr>
                <w:rFonts w:ascii="宋体" w:hAnsi="宋体" w:eastAsia="宋体" w:cs="Times New Roman"/>
                <w:color w:val="auto"/>
              </w:rPr>
            </w:pPr>
          </w:p>
        </w:tc>
        <w:tc>
          <w:tcPr>
            <w:tcW w:w="757" w:type="dxa"/>
            <w:vAlign w:val="center"/>
          </w:tcPr>
          <w:p w14:paraId="367AAC68">
            <w:pPr>
              <w:spacing w:line="280" w:lineRule="exact"/>
              <w:jc w:val="center"/>
              <w:rPr>
                <w:rFonts w:ascii="宋体" w:hAnsi="宋体" w:eastAsia="宋体" w:cs="Times New Roman"/>
                <w:color w:val="auto"/>
              </w:rPr>
            </w:pPr>
            <w:r>
              <w:rPr>
                <w:rFonts w:ascii="宋体" w:hAnsi="宋体" w:eastAsia="宋体" w:cs="Times New Roman"/>
                <w:color w:val="auto"/>
              </w:rPr>
              <w:t>0</w:t>
            </w:r>
          </w:p>
        </w:tc>
        <w:tc>
          <w:tcPr>
            <w:tcW w:w="1134" w:type="dxa"/>
            <w:vMerge w:val="continue"/>
            <w:vAlign w:val="center"/>
          </w:tcPr>
          <w:p w14:paraId="1B34DD89">
            <w:pPr>
              <w:spacing w:line="280" w:lineRule="exact"/>
              <w:jc w:val="center"/>
              <w:rPr>
                <w:rFonts w:ascii="宋体" w:hAnsi="宋体" w:eastAsia="宋体" w:cs="Times New Roman"/>
                <w:color w:val="auto"/>
              </w:rPr>
            </w:pPr>
          </w:p>
        </w:tc>
        <w:tc>
          <w:tcPr>
            <w:tcW w:w="1139" w:type="dxa"/>
            <w:vMerge w:val="continue"/>
            <w:vAlign w:val="center"/>
          </w:tcPr>
          <w:p w14:paraId="56239CBF">
            <w:pPr>
              <w:spacing w:line="280" w:lineRule="exact"/>
              <w:jc w:val="center"/>
              <w:rPr>
                <w:rFonts w:ascii="宋体" w:hAnsi="宋体" w:eastAsia="宋体" w:cs="Times New Roman"/>
                <w:color w:val="auto"/>
              </w:rPr>
            </w:pPr>
          </w:p>
        </w:tc>
        <w:tc>
          <w:tcPr>
            <w:tcW w:w="1134" w:type="dxa"/>
            <w:vAlign w:val="center"/>
          </w:tcPr>
          <w:p w14:paraId="2F412C45">
            <w:pPr>
              <w:pStyle w:val="273"/>
              <w:spacing w:line="280" w:lineRule="exact"/>
              <w:ind w:firstLine="0"/>
              <w:jc w:val="center"/>
              <w:rPr>
                <w:rFonts w:cs="Times New Roman"/>
                <w:color w:val="auto"/>
                <w:sz w:val="21"/>
                <w:szCs w:val="21"/>
              </w:rPr>
            </w:pPr>
            <w:r>
              <w:rPr>
                <w:rFonts w:hint="eastAsia" w:cs="Times New Roman"/>
                <w:color w:val="auto"/>
                <w:sz w:val="21"/>
                <w:szCs w:val="21"/>
              </w:rPr>
              <w:t>66.9</w:t>
            </w:r>
          </w:p>
        </w:tc>
        <w:tc>
          <w:tcPr>
            <w:tcW w:w="850" w:type="dxa"/>
            <w:vAlign w:val="center"/>
          </w:tcPr>
          <w:p w14:paraId="724C2795">
            <w:pPr>
              <w:pStyle w:val="273"/>
              <w:spacing w:line="280" w:lineRule="exact"/>
              <w:ind w:firstLine="0"/>
              <w:jc w:val="center"/>
              <w:rPr>
                <w:rFonts w:cs="Times New Roman"/>
                <w:color w:val="auto"/>
                <w:sz w:val="21"/>
                <w:szCs w:val="21"/>
              </w:rPr>
            </w:pPr>
            <w:r>
              <w:rPr>
                <w:rFonts w:cs="Times New Roman"/>
                <w:color w:val="auto"/>
                <w:sz w:val="21"/>
                <w:szCs w:val="21"/>
              </w:rPr>
              <w:t>0.1</w:t>
            </w:r>
            <w:r>
              <w:rPr>
                <w:rFonts w:hint="eastAsia" w:cs="Times New Roman"/>
                <w:color w:val="auto"/>
                <w:sz w:val="21"/>
                <w:szCs w:val="21"/>
              </w:rPr>
              <w:t>08</w:t>
            </w:r>
          </w:p>
        </w:tc>
        <w:tc>
          <w:tcPr>
            <w:tcW w:w="819" w:type="dxa"/>
            <w:vMerge w:val="continue"/>
            <w:vAlign w:val="center"/>
          </w:tcPr>
          <w:p w14:paraId="6E977B22">
            <w:pPr>
              <w:spacing w:line="280" w:lineRule="exact"/>
              <w:jc w:val="center"/>
              <w:rPr>
                <w:rFonts w:ascii="宋体" w:hAnsi="宋体" w:eastAsia="宋体" w:cs="Times New Roman"/>
                <w:color w:val="auto"/>
              </w:rPr>
            </w:pPr>
          </w:p>
        </w:tc>
      </w:tr>
      <w:tr w14:paraId="6270C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851" w:type="dxa"/>
            <w:vMerge w:val="continue"/>
            <w:vAlign w:val="center"/>
          </w:tcPr>
          <w:p w14:paraId="0DCFFDAF">
            <w:pPr>
              <w:spacing w:line="280" w:lineRule="exact"/>
              <w:jc w:val="center"/>
              <w:rPr>
                <w:rFonts w:ascii="宋体" w:hAnsi="宋体" w:eastAsia="宋体" w:cs="Times New Roman"/>
                <w:color w:val="auto"/>
              </w:rPr>
            </w:pPr>
          </w:p>
        </w:tc>
        <w:tc>
          <w:tcPr>
            <w:tcW w:w="1134" w:type="dxa"/>
            <w:vMerge w:val="continue"/>
            <w:vAlign w:val="center"/>
          </w:tcPr>
          <w:p w14:paraId="7F43DEAA">
            <w:pPr>
              <w:spacing w:line="280" w:lineRule="exact"/>
              <w:jc w:val="center"/>
              <w:rPr>
                <w:rFonts w:ascii="宋体" w:hAnsi="宋体" w:eastAsia="宋体" w:cs="Times New Roman"/>
                <w:color w:val="auto"/>
              </w:rPr>
            </w:pPr>
          </w:p>
        </w:tc>
        <w:tc>
          <w:tcPr>
            <w:tcW w:w="709" w:type="dxa"/>
            <w:vMerge w:val="continue"/>
            <w:vAlign w:val="center"/>
          </w:tcPr>
          <w:p w14:paraId="69C21385">
            <w:pPr>
              <w:spacing w:line="280" w:lineRule="exact"/>
              <w:jc w:val="center"/>
              <w:rPr>
                <w:rFonts w:ascii="宋体" w:hAnsi="宋体" w:eastAsia="宋体" w:cs="Times New Roman"/>
                <w:color w:val="auto"/>
              </w:rPr>
            </w:pPr>
          </w:p>
        </w:tc>
        <w:tc>
          <w:tcPr>
            <w:tcW w:w="850" w:type="dxa"/>
            <w:vAlign w:val="center"/>
          </w:tcPr>
          <w:p w14:paraId="5573C795">
            <w:pPr>
              <w:pStyle w:val="273"/>
              <w:spacing w:line="280" w:lineRule="exact"/>
              <w:ind w:firstLine="0"/>
              <w:jc w:val="center"/>
              <w:rPr>
                <w:rFonts w:cs="Times New Roman"/>
                <w:color w:val="auto"/>
                <w:sz w:val="21"/>
                <w:szCs w:val="21"/>
              </w:rPr>
            </w:pPr>
            <w:r>
              <w:rPr>
                <w:rFonts w:cs="Times New Roman"/>
                <w:color w:val="auto"/>
                <w:sz w:val="21"/>
                <w:szCs w:val="21"/>
              </w:rPr>
              <w:t>SO</w:t>
            </w:r>
            <w:r>
              <w:rPr>
                <w:rFonts w:cs="Times New Roman"/>
                <w:color w:val="auto"/>
                <w:sz w:val="21"/>
                <w:szCs w:val="21"/>
                <w:vertAlign w:val="subscript"/>
              </w:rPr>
              <w:t>2</w:t>
            </w:r>
          </w:p>
        </w:tc>
        <w:tc>
          <w:tcPr>
            <w:tcW w:w="950" w:type="dxa"/>
            <w:vMerge w:val="continue"/>
            <w:vAlign w:val="center"/>
          </w:tcPr>
          <w:p w14:paraId="55BC790B">
            <w:pPr>
              <w:spacing w:line="280" w:lineRule="exact"/>
              <w:jc w:val="center"/>
              <w:rPr>
                <w:rFonts w:ascii="宋体" w:hAnsi="宋体" w:eastAsia="宋体" w:cs="Times New Roman"/>
                <w:color w:val="auto"/>
              </w:rPr>
            </w:pPr>
          </w:p>
        </w:tc>
        <w:tc>
          <w:tcPr>
            <w:tcW w:w="1065" w:type="dxa"/>
            <w:vMerge w:val="continue"/>
            <w:vAlign w:val="center"/>
          </w:tcPr>
          <w:p w14:paraId="3A7C73A3">
            <w:pPr>
              <w:spacing w:line="280" w:lineRule="exact"/>
              <w:jc w:val="center"/>
              <w:rPr>
                <w:rFonts w:ascii="宋体" w:hAnsi="宋体" w:eastAsia="宋体" w:cs="Times New Roman"/>
                <w:color w:val="auto"/>
              </w:rPr>
            </w:pPr>
          </w:p>
        </w:tc>
        <w:tc>
          <w:tcPr>
            <w:tcW w:w="1034" w:type="dxa"/>
            <w:vAlign w:val="center"/>
          </w:tcPr>
          <w:p w14:paraId="536D097B">
            <w:pPr>
              <w:pStyle w:val="273"/>
              <w:spacing w:line="280" w:lineRule="exact"/>
              <w:ind w:firstLine="0"/>
              <w:jc w:val="center"/>
              <w:rPr>
                <w:rFonts w:cs="Times New Roman"/>
                <w:color w:val="auto"/>
                <w:sz w:val="21"/>
                <w:szCs w:val="21"/>
              </w:rPr>
            </w:pPr>
            <w:r>
              <w:rPr>
                <w:rFonts w:hint="eastAsia" w:cs="Times New Roman"/>
                <w:color w:val="auto"/>
                <w:sz w:val="21"/>
                <w:szCs w:val="21"/>
              </w:rPr>
              <w:t>28.6</w:t>
            </w:r>
          </w:p>
        </w:tc>
        <w:tc>
          <w:tcPr>
            <w:tcW w:w="1062" w:type="dxa"/>
            <w:vAlign w:val="center"/>
          </w:tcPr>
          <w:p w14:paraId="1911A8A6">
            <w:pPr>
              <w:pStyle w:val="273"/>
              <w:spacing w:line="280" w:lineRule="exact"/>
              <w:ind w:firstLine="0"/>
              <w:jc w:val="center"/>
              <w:rPr>
                <w:rFonts w:cs="Times New Roman"/>
                <w:color w:val="auto"/>
                <w:sz w:val="21"/>
                <w:szCs w:val="21"/>
              </w:rPr>
            </w:pPr>
            <w:r>
              <w:rPr>
                <w:rFonts w:cs="Times New Roman"/>
                <w:color w:val="auto"/>
                <w:sz w:val="21"/>
                <w:szCs w:val="21"/>
              </w:rPr>
              <w:t>0.0</w:t>
            </w:r>
            <w:r>
              <w:rPr>
                <w:rFonts w:hint="eastAsia" w:cs="Times New Roman"/>
                <w:color w:val="auto"/>
                <w:sz w:val="21"/>
                <w:szCs w:val="21"/>
              </w:rPr>
              <w:t>46</w:t>
            </w:r>
          </w:p>
        </w:tc>
        <w:tc>
          <w:tcPr>
            <w:tcW w:w="514" w:type="dxa"/>
            <w:vMerge w:val="continue"/>
            <w:vAlign w:val="center"/>
          </w:tcPr>
          <w:p w14:paraId="557FB089">
            <w:pPr>
              <w:spacing w:line="280" w:lineRule="exact"/>
              <w:jc w:val="center"/>
              <w:rPr>
                <w:rFonts w:ascii="宋体" w:hAnsi="宋体" w:eastAsia="宋体" w:cs="Times New Roman"/>
                <w:color w:val="auto"/>
              </w:rPr>
            </w:pPr>
          </w:p>
        </w:tc>
        <w:tc>
          <w:tcPr>
            <w:tcW w:w="757" w:type="dxa"/>
            <w:vAlign w:val="center"/>
          </w:tcPr>
          <w:p w14:paraId="1EA45582">
            <w:pPr>
              <w:spacing w:line="280" w:lineRule="exact"/>
              <w:jc w:val="center"/>
              <w:rPr>
                <w:rFonts w:ascii="宋体" w:hAnsi="宋体" w:eastAsia="宋体" w:cs="Times New Roman"/>
                <w:color w:val="auto"/>
              </w:rPr>
            </w:pPr>
            <w:r>
              <w:rPr>
                <w:rFonts w:ascii="宋体" w:hAnsi="宋体" w:eastAsia="宋体" w:cs="Times New Roman"/>
                <w:color w:val="auto"/>
              </w:rPr>
              <w:t>0</w:t>
            </w:r>
          </w:p>
        </w:tc>
        <w:tc>
          <w:tcPr>
            <w:tcW w:w="1134" w:type="dxa"/>
            <w:vMerge w:val="continue"/>
            <w:vAlign w:val="center"/>
          </w:tcPr>
          <w:p w14:paraId="2171189F">
            <w:pPr>
              <w:spacing w:line="280" w:lineRule="exact"/>
              <w:jc w:val="center"/>
              <w:rPr>
                <w:rFonts w:ascii="宋体" w:hAnsi="宋体" w:eastAsia="宋体" w:cs="Times New Roman"/>
                <w:color w:val="auto"/>
              </w:rPr>
            </w:pPr>
          </w:p>
        </w:tc>
        <w:tc>
          <w:tcPr>
            <w:tcW w:w="1139" w:type="dxa"/>
            <w:vMerge w:val="continue"/>
            <w:vAlign w:val="center"/>
          </w:tcPr>
          <w:p w14:paraId="0ACA4EAD">
            <w:pPr>
              <w:spacing w:line="280" w:lineRule="exact"/>
              <w:jc w:val="center"/>
              <w:rPr>
                <w:rFonts w:ascii="宋体" w:hAnsi="宋体" w:eastAsia="宋体" w:cs="Times New Roman"/>
                <w:color w:val="auto"/>
              </w:rPr>
            </w:pPr>
          </w:p>
        </w:tc>
        <w:tc>
          <w:tcPr>
            <w:tcW w:w="1134" w:type="dxa"/>
            <w:vAlign w:val="center"/>
          </w:tcPr>
          <w:p w14:paraId="0E38FE32">
            <w:pPr>
              <w:pStyle w:val="273"/>
              <w:spacing w:line="280" w:lineRule="exact"/>
              <w:ind w:firstLine="0"/>
              <w:jc w:val="center"/>
              <w:rPr>
                <w:rFonts w:cs="Times New Roman"/>
                <w:color w:val="auto"/>
                <w:sz w:val="21"/>
                <w:szCs w:val="21"/>
              </w:rPr>
            </w:pPr>
            <w:r>
              <w:rPr>
                <w:rFonts w:hint="eastAsia" w:cs="Times New Roman"/>
                <w:color w:val="auto"/>
                <w:sz w:val="21"/>
                <w:szCs w:val="21"/>
              </w:rPr>
              <w:t>28.6</w:t>
            </w:r>
          </w:p>
        </w:tc>
        <w:tc>
          <w:tcPr>
            <w:tcW w:w="850" w:type="dxa"/>
            <w:vAlign w:val="center"/>
          </w:tcPr>
          <w:p w14:paraId="3B7C723F">
            <w:pPr>
              <w:pStyle w:val="273"/>
              <w:spacing w:line="280" w:lineRule="exact"/>
              <w:ind w:firstLine="0"/>
              <w:jc w:val="center"/>
              <w:rPr>
                <w:rFonts w:cs="Times New Roman"/>
                <w:color w:val="auto"/>
                <w:sz w:val="21"/>
                <w:szCs w:val="21"/>
              </w:rPr>
            </w:pPr>
            <w:r>
              <w:rPr>
                <w:rFonts w:cs="Times New Roman"/>
                <w:color w:val="auto"/>
                <w:sz w:val="21"/>
                <w:szCs w:val="21"/>
              </w:rPr>
              <w:t>0.0</w:t>
            </w:r>
            <w:r>
              <w:rPr>
                <w:rFonts w:hint="eastAsia" w:cs="Times New Roman"/>
                <w:color w:val="auto"/>
                <w:sz w:val="21"/>
                <w:szCs w:val="21"/>
              </w:rPr>
              <w:t>46</w:t>
            </w:r>
          </w:p>
        </w:tc>
        <w:tc>
          <w:tcPr>
            <w:tcW w:w="819" w:type="dxa"/>
            <w:vMerge w:val="continue"/>
            <w:vAlign w:val="center"/>
          </w:tcPr>
          <w:p w14:paraId="3037A990">
            <w:pPr>
              <w:spacing w:line="280" w:lineRule="exact"/>
              <w:jc w:val="center"/>
              <w:rPr>
                <w:rFonts w:ascii="宋体" w:hAnsi="宋体" w:eastAsia="宋体" w:cs="Times New Roman"/>
                <w:color w:val="auto"/>
              </w:rPr>
            </w:pPr>
          </w:p>
        </w:tc>
      </w:tr>
    </w:tbl>
    <w:p w14:paraId="1BC92335">
      <w:pPr>
        <w:pStyle w:val="276"/>
        <w:widowControl w:val="0"/>
        <w:spacing w:line="440" w:lineRule="exact"/>
        <w:ind w:firstLine="0" w:firstLineChars="0"/>
        <w:jc w:val="center"/>
        <w:rPr>
          <w:color w:val="auto"/>
        </w:rPr>
      </w:pPr>
      <w:r>
        <w:rPr>
          <w:color w:val="auto"/>
          <w:kern w:val="2"/>
          <w:szCs w:val="20"/>
        </w:rPr>
        <w:t>表3.12-17</w:t>
      </w:r>
      <w:r>
        <w:rPr>
          <w:color w:val="auto"/>
        </w:rPr>
        <w:t xml:space="preserve"> 运营期废水污染源源强核算结果及相关参数一览表</w:t>
      </w:r>
    </w:p>
    <w:tbl>
      <w:tblPr>
        <w:tblStyle w:val="81"/>
        <w:tblW w:w="139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0"/>
        <w:gridCol w:w="1077"/>
        <w:gridCol w:w="783"/>
        <w:gridCol w:w="1053"/>
        <w:gridCol w:w="717"/>
        <w:gridCol w:w="1148"/>
        <w:gridCol w:w="1134"/>
        <w:gridCol w:w="1131"/>
        <w:gridCol w:w="1694"/>
        <w:gridCol w:w="717"/>
        <w:gridCol w:w="846"/>
        <w:gridCol w:w="1091"/>
        <w:gridCol w:w="846"/>
        <w:gridCol w:w="885"/>
      </w:tblGrid>
      <w:tr w14:paraId="0DB13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870" w:type="dxa"/>
            <w:vMerge w:val="restart"/>
            <w:vAlign w:val="center"/>
          </w:tcPr>
          <w:p w14:paraId="0E586506">
            <w:pPr>
              <w:spacing w:line="240" w:lineRule="atLeast"/>
              <w:jc w:val="center"/>
              <w:rPr>
                <w:rFonts w:ascii="宋体" w:hAnsi="宋体" w:eastAsia="宋体" w:cs="Times New Roman"/>
                <w:color w:val="auto"/>
              </w:rPr>
            </w:pPr>
            <w:r>
              <w:rPr>
                <w:rFonts w:ascii="宋体" w:hAnsi="宋体" w:eastAsia="宋体" w:cs="Times New Roman"/>
                <w:color w:val="auto"/>
              </w:rPr>
              <w:t>工序</w:t>
            </w:r>
          </w:p>
        </w:tc>
        <w:tc>
          <w:tcPr>
            <w:tcW w:w="1077" w:type="dxa"/>
            <w:vMerge w:val="restart"/>
            <w:vAlign w:val="center"/>
          </w:tcPr>
          <w:p w14:paraId="70285691">
            <w:pPr>
              <w:spacing w:line="240" w:lineRule="atLeast"/>
              <w:jc w:val="center"/>
              <w:rPr>
                <w:rFonts w:ascii="宋体" w:hAnsi="宋体" w:eastAsia="宋体" w:cs="Times New Roman"/>
                <w:color w:val="auto"/>
              </w:rPr>
            </w:pPr>
            <w:r>
              <w:rPr>
                <w:rFonts w:ascii="宋体" w:hAnsi="宋体" w:eastAsia="宋体" w:cs="Times New Roman"/>
                <w:color w:val="auto"/>
              </w:rPr>
              <w:t>装置</w:t>
            </w:r>
          </w:p>
        </w:tc>
        <w:tc>
          <w:tcPr>
            <w:tcW w:w="783" w:type="dxa"/>
            <w:vMerge w:val="restart"/>
            <w:vAlign w:val="center"/>
          </w:tcPr>
          <w:p w14:paraId="568DEC24">
            <w:pPr>
              <w:spacing w:line="240" w:lineRule="atLeast"/>
              <w:jc w:val="center"/>
              <w:rPr>
                <w:rFonts w:ascii="宋体" w:hAnsi="宋体" w:eastAsia="宋体" w:cs="Times New Roman"/>
                <w:color w:val="auto"/>
              </w:rPr>
            </w:pPr>
            <w:r>
              <w:rPr>
                <w:rFonts w:ascii="宋体" w:hAnsi="宋体" w:eastAsia="宋体" w:cs="Times New Roman"/>
                <w:color w:val="auto"/>
              </w:rPr>
              <w:t>污染源</w:t>
            </w:r>
          </w:p>
        </w:tc>
        <w:tc>
          <w:tcPr>
            <w:tcW w:w="1053" w:type="dxa"/>
            <w:vMerge w:val="restart"/>
            <w:vAlign w:val="center"/>
          </w:tcPr>
          <w:p w14:paraId="1DA8F779">
            <w:pPr>
              <w:spacing w:line="240" w:lineRule="atLeast"/>
              <w:jc w:val="center"/>
              <w:rPr>
                <w:rFonts w:ascii="宋体" w:hAnsi="宋体" w:eastAsia="宋体" w:cs="Times New Roman"/>
                <w:color w:val="auto"/>
              </w:rPr>
            </w:pPr>
            <w:r>
              <w:rPr>
                <w:rFonts w:ascii="宋体" w:hAnsi="宋体" w:eastAsia="宋体" w:cs="Times New Roman"/>
                <w:color w:val="auto"/>
              </w:rPr>
              <w:t>污染物</w:t>
            </w:r>
          </w:p>
        </w:tc>
        <w:tc>
          <w:tcPr>
            <w:tcW w:w="4130" w:type="dxa"/>
            <w:gridSpan w:val="4"/>
            <w:vAlign w:val="center"/>
          </w:tcPr>
          <w:p w14:paraId="762AA0FD">
            <w:pPr>
              <w:spacing w:line="240" w:lineRule="atLeast"/>
              <w:jc w:val="center"/>
              <w:rPr>
                <w:rFonts w:ascii="宋体" w:hAnsi="宋体" w:eastAsia="宋体" w:cs="Times New Roman"/>
                <w:color w:val="auto"/>
              </w:rPr>
            </w:pPr>
            <w:r>
              <w:rPr>
                <w:rFonts w:ascii="宋体" w:hAnsi="宋体" w:eastAsia="宋体" w:cs="Times New Roman"/>
                <w:color w:val="auto"/>
              </w:rPr>
              <w:t>污染物产生</w:t>
            </w:r>
          </w:p>
        </w:tc>
        <w:tc>
          <w:tcPr>
            <w:tcW w:w="1694" w:type="dxa"/>
            <w:vMerge w:val="restart"/>
            <w:vAlign w:val="center"/>
          </w:tcPr>
          <w:p w14:paraId="5C6F076A">
            <w:pPr>
              <w:spacing w:line="240" w:lineRule="atLeast"/>
              <w:jc w:val="center"/>
              <w:rPr>
                <w:rFonts w:ascii="宋体" w:hAnsi="宋体" w:eastAsia="宋体" w:cs="Times New Roman"/>
                <w:color w:val="auto"/>
              </w:rPr>
            </w:pPr>
            <w:r>
              <w:rPr>
                <w:rFonts w:ascii="宋体" w:hAnsi="宋体" w:eastAsia="宋体" w:cs="Times New Roman"/>
                <w:color w:val="auto"/>
              </w:rPr>
              <w:t>治理措施</w:t>
            </w:r>
          </w:p>
        </w:tc>
        <w:tc>
          <w:tcPr>
            <w:tcW w:w="3500" w:type="dxa"/>
            <w:gridSpan w:val="4"/>
            <w:vAlign w:val="center"/>
          </w:tcPr>
          <w:p w14:paraId="2A7C50F0">
            <w:pPr>
              <w:spacing w:line="240" w:lineRule="atLeast"/>
              <w:jc w:val="center"/>
              <w:rPr>
                <w:rFonts w:ascii="宋体" w:hAnsi="宋体" w:eastAsia="宋体" w:cs="Times New Roman"/>
                <w:color w:val="auto"/>
              </w:rPr>
            </w:pPr>
            <w:r>
              <w:rPr>
                <w:rFonts w:ascii="宋体" w:hAnsi="宋体" w:eastAsia="宋体" w:cs="Times New Roman"/>
                <w:color w:val="auto"/>
              </w:rPr>
              <w:t>污染物排放</w:t>
            </w:r>
          </w:p>
        </w:tc>
        <w:tc>
          <w:tcPr>
            <w:tcW w:w="885" w:type="dxa"/>
            <w:vMerge w:val="restart"/>
            <w:vAlign w:val="center"/>
          </w:tcPr>
          <w:p w14:paraId="7E39E272">
            <w:pPr>
              <w:spacing w:line="240" w:lineRule="atLeast"/>
              <w:jc w:val="center"/>
              <w:rPr>
                <w:rFonts w:ascii="宋体" w:hAnsi="宋体" w:eastAsia="宋体" w:cs="Times New Roman"/>
                <w:color w:val="auto"/>
              </w:rPr>
            </w:pPr>
            <w:r>
              <w:rPr>
                <w:rFonts w:ascii="宋体" w:hAnsi="宋体" w:eastAsia="宋体" w:cs="Times New Roman"/>
                <w:color w:val="auto"/>
              </w:rPr>
              <w:t>排放时间（h）</w:t>
            </w:r>
          </w:p>
        </w:tc>
      </w:tr>
      <w:tr w14:paraId="63E8A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70" w:type="dxa"/>
            <w:vMerge w:val="continue"/>
            <w:vAlign w:val="center"/>
          </w:tcPr>
          <w:p w14:paraId="62DB425E">
            <w:pPr>
              <w:rPr>
                <w:rFonts w:ascii="宋体" w:hAnsi="宋体" w:eastAsia="宋体" w:cs="Times New Roman"/>
                <w:color w:val="auto"/>
              </w:rPr>
            </w:pPr>
          </w:p>
        </w:tc>
        <w:tc>
          <w:tcPr>
            <w:tcW w:w="1077" w:type="dxa"/>
            <w:vMerge w:val="continue"/>
            <w:vAlign w:val="center"/>
          </w:tcPr>
          <w:p w14:paraId="108DEC77">
            <w:pPr>
              <w:rPr>
                <w:rFonts w:ascii="宋体" w:hAnsi="宋体" w:eastAsia="宋体" w:cs="Times New Roman"/>
                <w:color w:val="auto"/>
              </w:rPr>
            </w:pPr>
          </w:p>
        </w:tc>
        <w:tc>
          <w:tcPr>
            <w:tcW w:w="783" w:type="dxa"/>
            <w:vMerge w:val="continue"/>
            <w:vAlign w:val="center"/>
          </w:tcPr>
          <w:p w14:paraId="2FB53C51">
            <w:pPr>
              <w:rPr>
                <w:rFonts w:ascii="宋体" w:hAnsi="宋体" w:eastAsia="宋体" w:cs="Times New Roman"/>
                <w:color w:val="auto"/>
              </w:rPr>
            </w:pPr>
          </w:p>
        </w:tc>
        <w:tc>
          <w:tcPr>
            <w:tcW w:w="1053" w:type="dxa"/>
            <w:vMerge w:val="continue"/>
            <w:vAlign w:val="center"/>
          </w:tcPr>
          <w:p w14:paraId="56D7B3E9">
            <w:pPr>
              <w:rPr>
                <w:rFonts w:ascii="宋体" w:hAnsi="宋体" w:eastAsia="宋体" w:cs="Times New Roman"/>
                <w:color w:val="auto"/>
              </w:rPr>
            </w:pPr>
          </w:p>
        </w:tc>
        <w:tc>
          <w:tcPr>
            <w:tcW w:w="717" w:type="dxa"/>
            <w:vAlign w:val="center"/>
          </w:tcPr>
          <w:p w14:paraId="2C1DCC3C">
            <w:pPr>
              <w:spacing w:line="240" w:lineRule="atLeast"/>
              <w:jc w:val="center"/>
              <w:rPr>
                <w:rFonts w:ascii="宋体" w:hAnsi="宋体" w:eastAsia="宋体" w:cs="Times New Roman"/>
                <w:color w:val="auto"/>
              </w:rPr>
            </w:pPr>
            <w:r>
              <w:rPr>
                <w:rFonts w:ascii="宋体" w:hAnsi="宋体" w:eastAsia="宋体" w:cs="Times New Roman"/>
                <w:color w:val="auto"/>
              </w:rPr>
              <w:t>核算</w:t>
            </w:r>
          </w:p>
          <w:p w14:paraId="0E30E46E">
            <w:pPr>
              <w:spacing w:line="240" w:lineRule="atLeast"/>
              <w:jc w:val="center"/>
              <w:rPr>
                <w:rFonts w:ascii="宋体" w:hAnsi="宋体" w:eastAsia="宋体" w:cs="Times New Roman"/>
                <w:color w:val="auto"/>
              </w:rPr>
            </w:pPr>
            <w:r>
              <w:rPr>
                <w:rFonts w:ascii="宋体" w:hAnsi="宋体" w:eastAsia="宋体" w:cs="Times New Roman"/>
                <w:color w:val="auto"/>
              </w:rPr>
              <w:t>方法</w:t>
            </w:r>
          </w:p>
        </w:tc>
        <w:tc>
          <w:tcPr>
            <w:tcW w:w="1148" w:type="dxa"/>
            <w:vAlign w:val="center"/>
          </w:tcPr>
          <w:p w14:paraId="04B80025">
            <w:pPr>
              <w:spacing w:line="240" w:lineRule="atLeast"/>
              <w:jc w:val="center"/>
              <w:rPr>
                <w:rFonts w:ascii="宋体" w:hAnsi="宋体" w:eastAsia="宋体" w:cs="Times New Roman"/>
                <w:color w:val="auto"/>
              </w:rPr>
            </w:pPr>
            <w:r>
              <w:rPr>
                <w:rFonts w:ascii="宋体" w:hAnsi="宋体" w:eastAsia="宋体" w:cs="Times New Roman"/>
                <w:color w:val="auto"/>
              </w:rPr>
              <w:t>产生</w:t>
            </w:r>
          </w:p>
          <w:p w14:paraId="21EA370D">
            <w:pPr>
              <w:spacing w:line="240" w:lineRule="atLeast"/>
              <w:jc w:val="center"/>
              <w:rPr>
                <w:rFonts w:ascii="宋体" w:hAnsi="宋体" w:eastAsia="宋体" w:cs="Times New Roman"/>
                <w:color w:val="auto"/>
              </w:rPr>
            </w:pPr>
            <w:r>
              <w:rPr>
                <w:rFonts w:ascii="宋体" w:hAnsi="宋体" w:eastAsia="宋体" w:cs="Times New Roman"/>
                <w:color w:val="auto"/>
              </w:rPr>
              <w:t>废水量（t/a）</w:t>
            </w:r>
          </w:p>
        </w:tc>
        <w:tc>
          <w:tcPr>
            <w:tcW w:w="1134" w:type="dxa"/>
            <w:vAlign w:val="center"/>
          </w:tcPr>
          <w:p w14:paraId="314EBCA0">
            <w:pPr>
              <w:spacing w:line="240" w:lineRule="atLeast"/>
              <w:jc w:val="center"/>
              <w:rPr>
                <w:rFonts w:ascii="宋体" w:hAnsi="宋体" w:eastAsia="宋体" w:cs="Times New Roman"/>
                <w:color w:val="auto"/>
              </w:rPr>
            </w:pPr>
            <w:r>
              <w:rPr>
                <w:rFonts w:ascii="宋体" w:hAnsi="宋体" w:eastAsia="宋体" w:cs="Times New Roman"/>
                <w:color w:val="auto"/>
              </w:rPr>
              <w:t>产生浓度（mg/L）</w:t>
            </w:r>
          </w:p>
        </w:tc>
        <w:tc>
          <w:tcPr>
            <w:tcW w:w="1131" w:type="dxa"/>
            <w:vAlign w:val="center"/>
          </w:tcPr>
          <w:p w14:paraId="34A703DE">
            <w:pPr>
              <w:spacing w:line="240" w:lineRule="atLeast"/>
              <w:jc w:val="center"/>
              <w:rPr>
                <w:rFonts w:ascii="宋体" w:hAnsi="宋体" w:eastAsia="宋体" w:cs="Times New Roman"/>
                <w:color w:val="auto"/>
              </w:rPr>
            </w:pPr>
            <w:r>
              <w:rPr>
                <w:rFonts w:ascii="宋体" w:hAnsi="宋体" w:eastAsia="宋体" w:cs="Times New Roman"/>
                <w:color w:val="auto"/>
              </w:rPr>
              <w:t>产生</w:t>
            </w:r>
          </w:p>
          <w:p w14:paraId="064C28E7">
            <w:pPr>
              <w:spacing w:line="240" w:lineRule="atLeast"/>
              <w:jc w:val="center"/>
              <w:rPr>
                <w:rFonts w:ascii="宋体" w:hAnsi="宋体" w:eastAsia="宋体" w:cs="Times New Roman"/>
                <w:color w:val="auto"/>
              </w:rPr>
            </w:pPr>
            <w:r>
              <w:rPr>
                <w:rFonts w:ascii="宋体" w:hAnsi="宋体" w:eastAsia="宋体" w:cs="Times New Roman"/>
                <w:color w:val="auto"/>
              </w:rPr>
              <w:t>量（t/a）</w:t>
            </w:r>
          </w:p>
        </w:tc>
        <w:tc>
          <w:tcPr>
            <w:tcW w:w="1694" w:type="dxa"/>
            <w:vMerge w:val="continue"/>
            <w:vAlign w:val="center"/>
          </w:tcPr>
          <w:p w14:paraId="32C9E3CF">
            <w:pPr>
              <w:rPr>
                <w:rFonts w:ascii="宋体" w:hAnsi="宋体" w:eastAsia="宋体" w:cs="Times New Roman"/>
                <w:color w:val="auto"/>
              </w:rPr>
            </w:pPr>
          </w:p>
        </w:tc>
        <w:tc>
          <w:tcPr>
            <w:tcW w:w="717" w:type="dxa"/>
            <w:vAlign w:val="center"/>
          </w:tcPr>
          <w:p w14:paraId="06355764">
            <w:pPr>
              <w:spacing w:line="240" w:lineRule="atLeast"/>
              <w:jc w:val="center"/>
              <w:rPr>
                <w:rFonts w:ascii="宋体" w:hAnsi="宋体" w:eastAsia="宋体" w:cs="Times New Roman"/>
                <w:color w:val="auto"/>
              </w:rPr>
            </w:pPr>
            <w:r>
              <w:rPr>
                <w:rFonts w:ascii="宋体" w:hAnsi="宋体" w:eastAsia="宋体" w:cs="Times New Roman"/>
                <w:color w:val="auto"/>
              </w:rPr>
              <w:t>核算方法</w:t>
            </w:r>
          </w:p>
        </w:tc>
        <w:tc>
          <w:tcPr>
            <w:tcW w:w="846" w:type="dxa"/>
            <w:vAlign w:val="center"/>
          </w:tcPr>
          <w:p w14:paraId="47664CFA">
            <w:pPr>
              <w:spacing w:line="240" w:lineRule="atLeast"/>
              <w:jc w:val="center"/>
              <w:rPr>
                <w:rFonts w:ascii="宋体" w:hAnsi="宋体" w:eastAsia="宋体" w:cs="Times New Roman"/>
                <w:color w:val="auto"/>
              </w:rPr>
            </w:pPr>
            <w:r>
              <w:rPr>
                <w:rFonts w:ascii="宋体" w:hAnsi="宋体" w:eastAsia="宋体" w:cs="Times New Roman"/>
                <w:color w:val="auto"/>
              </w:rPr>
              <w:t>排放废水量（t/a）</w:t>
            </w:r>
          </w:p>
        </w:tc>
        <w:tc>
          <w:tcPr>
            <w:tcW w:w="1091" w:type="dxa"/>
            <w:vAlign w:val="center"/>
          </w:tcPr>
          <w:p w14:paraId="3AA3EEC2">
            <w:pPr>
              <w:spacing w:line="240" w:lineRule="atLeast"/>
              <w:jc w:val="center"/>
              <w:rPr>
                <w:rFonts w:ascii="宋体" w:hAnsi="宋体" w:eastAsia="宋体" w:cs="Times New Roman"/>
                <w:color w:val="auto"/>
              </w:rPr>
            </w:pPr>
            <w:r>
              <w:rPr>
                <w:rFonts w:ascii="宋体" w:hAnsi="宋体" w:eastAsia="宋体" w:cs="Times New Roman"/>
                <w:color w:val="auto"/>
              </w:rPr>
              <w:t>排放浓度（mg/L）</w:t>
            </w:r>
          </w:p>
        </w:tc>
        <w:tc>
          <w:tcPr>
            <w:tcW w:w="846" w:type="dxa"/>
            <w:vAlign w:val="center"/>
          </w:tcPr>
          <w:p w14:paraId="3E0B5D72">
            <w:pPr>
              <w:spacing w:line="240" w:lineRule="atLeast"/>
              <w:jc w:val="center"/>
              <w:rPr>
                <w:rFonts w:ascii="宋体" w:hAnsi="宋体" w:eastAsia="宋体" w:cs="Times New Roman"/>
                <w:color w:val="auto"/>
              </w:rPr>
            </w:pPr>
            <w:r>
              <w:rPr>
                <w:rFonts w:ascii="宋体" w:hAnsi="宋体" w:eastAsia="宋体" w:cs="Times New Roman"/>
                <w:color w:val="auto"/>
              </w:rPr>
              <w:t>排放量（t/a）</w:t>
            </w:r>
          </w:p>
        </w:tc>
        <w:tc>
          <w:tcPr>
            <w:tcW w:w="885" w:type="dxa"/>
            <w:vMerge w:val="continue"/>
            <w:vAlign w:val="center"/>
          </w:tcPr>
          <w:p w14:paraId="550CB781">
            <w:pPr>
              <w:rPr>
                <w:rFonts w:ascii="宋体" w:hAnsi="宋体" w:eastAsia="宋体" w:cs="Times New Roman"/>
                <w:color w:val="auto"/>
              </w:rPr>
            </w:pPr>
          </w:p>
        </w:tc>
      </w:tr>
      <w:tr w14:paraId="1F761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870" w:type="dxa"/>
            <w:vAlign w:val="center"/>
          </w:tcPr>
          <w:p w14:paraId="6F981200">
            <w:pPr>
              <w:spacing w:line="240" w:lineRule="atLeast"/>
              <w:jc w:val="center"/>
              <w:rPr>
                <w:rFonts w:ascii="宋体" w:hAnsi="宋体" w:eastAsia="宋体" w:cs="Times New Roman"/>
                <w:color w:val="auto"/>
              </w:rPr>
            </w:pPr>
            <w:r>
              <w:rPr>
                <w:rFonts w:ascii="宋体" w:hAnsi="宋体" w:eastAsia="宋体" w:cs="Times New Roman"/>
                <w:color w:val="auto"/>
              </w:rPr>
              <w:t>油井作业</w:t>
            </w:r>
          </w:p>
        </w:tc>
        <w:tc>
          <w:tcPr>
            <w:tcW w:w="1077" w:type="dxa"/>
            <w:vAlign w:val="center"/>
          </w:tcPr>
          <w:p w14:paraId="37F77AD8">
            <w:pPr>
              <w:spacing w:line="240" w:lineRule="atLeast"/>
              <w:jc w:val="center"/>
              <w:rPr>
                <w:rFonts w:ascii="宋体" w:hAnsi="宋体" w:eastAsia="宋体" w:cs="Times New Roman"/>
                <w:color w:val="auto"/>
              </w:rPr>
            </w:pPr>
            <w:r>
              <w:rPr>
                <w:rFonts w:ascii="宋体" w:hAnsi="宋体" w:eastAsia="宋体" w:cs="Times New Roman"/>
                <w:color w:val="auto"/>
              </w:rPr>
              <w:t>油井</w:t>
            </w:r>
          </w:p>
        </w:tc>
        <w:tc>
          <w:tcPr>
            <w:tcW w:w="783" w:type="dxa"/>
            <w:vAlign w:val="center"/>
          </w:tcPr>
          <w:p w14:paraId="2C30793A">
            <w:pPr>
              <w:spacing w:line="240" w:lineRule="atLeast"/>
              <w:jc w:val="center"/>
              <w:rPr>
                <w:rFonts w:ascii="宋体" w:hAnsi="宋体" w:eastAsia="宋体" w:cs="Times New Roman"/>
                <w:color w:val="auto"/>
              </w:rPr>
            </w:pPr>
            <w:r>
              <w:rPr>
                <w:rFonts w:ascii="宋体" w:hAnsi="宋体" w:eastAsia="宋体" w:cs="Times New Roman"/>
                <w:color w:val="auto"/>
              </w:rPr>
              <w:t>作业污水</w:t>
            </w:r>
          </w:p>
        </w:tc>
        <w:tc>
          <w:tcPr>
            <w:tcW w:w="1053" w:type="dxa"/>
            <w:vAlign w:val="center"/>
          </w:tcPr>
          <w:p w14:paraId="5AA767DB">
            <w:pPr>
              <w:spacing w:line="240" w:lineRule="atLeast"/>
              <w:jc w:val="center"/>
              <w:rPr>
                <w:rFonts w:ascii="宋体" w:hAnsi="宋体" w:eastAsia="宋体" w:cs="Times New Roman"/>
                <w:color w:val="auto"/>
              </w:rPr>
            </w:pPr>
            <w:r>
              <w:rPr>
                <w:rFonts w:ascii="宋体" w:hAnsi="宋体" w:eastAsia="宋体" w:cs="Times New Roman"/>
                <w:color w:val="auto"/>
              </w:rPr>
              <w:t>石油类</w:t>
            </w:r>
          </w:p>
        </w:tc>
        <w:tc>
          <w:tcPr>
            <w:tcW w:w="717" w:type="dxa"/>
            <w:vAlign w:val="center"/>
          </w:tcPr>
          <w:p w14:paraId="634828D4">
            <w:pPr>
              <w:spacing w:line="240" w:lineRule="atLeast"/>
              <w:jc w:val="center"/>
              <w:rPr>
                <w:rFonts w:ascii="宋体" w:hAnsi="宋体" w:eastAsia="宋体" w:cs="Times New Roman"/>
                <w:color w:val="auto"/>
              </w:rPr>
            </w:pPr>
            <w:r>
              <w:rPr>
                <w:rFonts w:ascii="宋体" w:hAnsi="宋体" w:eastAsia="宋体" w:cs="Times New Roman"/>
                <w:color w:val="auto"/>
              </w:rPr>
              <w:t>类比法</w:t>
            </w:r>
          </w:p>
        </w:tc>
        <w:tc>
          <w:tcPr>
            <w:tcW w:w="1148" w:type="dxa"/>
            <w:vAlign w:val="center"/>
          </w:tcPr>
          <w:p w14:paraId="625338E9">
            <w:pPr>
              <w:spacing w:line="240" w:lineRule="atLeast"/>
              <w:jc w:val="center"/>
              <w:rPr>
                <w:rFonts w:ascii="宋体" w:hAnsi="宋体" w:eastAsia="宋体" w:cs="Times New Roman"/>
                <w:snapToGrid w:val="0"/>
                <w:color w:val="auto"/>
              </w:rPr>
            </w:pPr>
            <w:r>
              <w:rPr>
                <w:rFonts w:ascii="宋体" w:hAnsi="宋体" w:eastAsia="宋体" w:cs="Times New Roman"/>
                <w:color w:val="auto"/>
              </w:rPr>
              <w:t>10.64</w:t>
            </w:r>
          </w:p>
        </w:tc>
        <w:tc>
          <w:tcPr>
            <w:tcW w:w="1134" w:type="dxa"/>
            <w:vAlign w:val="center"/>
          </w:tcPr>
          <w:p w14:paraId="2DBB3210">
            <w:pPr>
              <w:spacing w:line="240" w:lineRule="atLeast"/>
              <w:jc w:val="center"/>
              <w:rPr>
                <w:rFonts w:ascii="宋体" w:hAnsi="宋体" w:eastAsia="宋体" w:cs="Times New Roman"/>
                <w:color w:val="auto"/>
              </w:rPr>
            </w:pPr>
            <w:r>
              <w:rPr>
                <w:rFonts w:ascii="宋体" w:hAnsi="宋体" w:eastAsia="宋体" w:cs="Times New Roman"/>
                <w:color w:val="auto"/>
              </w:rPr>
              <w:t>1000</w:t>
            </w:r>
          </w:p>
        </w:tc>
        <w:tc>
          <w:tcPr>
            <w:tcW w:w="1131" w:type="dxa"/>
            <w:vAlign w:val="center"/>
          </w:tcPr>
          <w:p w14:paraId="017C6D7A">
            <w:pPr>
              <w:spacing w:line="240" w:lineRule="atLeast"/>
              <w:jc w:val="center"/>
              <w:rPr>
                <w:rFonts w:ascii="宋体" w:hAnsi="宋体" w:eastAsia="宋体" w:cs="Times New Roman"/>
                <w:snapToGrid w:val="0"/>
                <w:color w:val="auto"/>
              </w:rPr>
            </w:pPr>
            <w:r>
              <w:rPr>
                <w:rFonts w:ascii="宋体" w:hAnsi="宋体" w:eastAsia="宋体" w:cs="Times New Roman"/>
                <w:snapToGrid w:val="0"/>
                <w:color w:val="auto"/>
              </w:rPr>
              <w:t>0.01</w:t>
            </w:r>
          </w:p>
        </w:tc>
        <w:tc>
          <w:tcPr>
            <w:tcW w:w="1694" w:type="dxa"/>
            <w:vAlign w:val="center"/>
          </w:tcPr>
          <w:p w14:paraId="1D8096BF">
            <w:pPr>
              <w:spacing w:line="240" w:lineRule="atLeast"/>
              <w:jc w:val="center"/>
              <w:rPr>
                <w:rFonts w:ascii="宋体" w:hAnsi="宋体" w:eastAsia="宋体" w:cs="Times New Roman"/>
                <w:color w:val="auto"/>
              </w:rPr>
            </w:pPr>
            <w:r>
              <w:rPr>
                <w:rFonts w:ascii="宋体" w:hAnsi="宋体" w:eastAsia="宋体" w:cs="Times New Roman"/>
                <w:color w:val="auto"/>
              </w:rPr>
              <w:t>通过罐车回收后拉运至朝二联含油污水处理站处理后回注油层</w:t>
            </w:r>
          </w:p>
        </w:tc>
        <w:tc>
          <w:tcPr>
            <w:tcW w:w="717" w:type="dxa"/>
            <w:vAlign w:val="center"/>
          </w:tcPr>
          <w:p w14:paraId="6923E46B">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846" w:type="dxa"/>
            <w:vAlign w:val="center"/>
          </w:tcPr>
          <w:p w14:paraId="20FEC9B5">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1091" w:type="dxa"/>
            <w:vAlign w:val="center"/>
          </w:tcPr>
          <w:p w14:paraId="698CE50A">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846" w:type="dxa"/>
            <w:vAlign w:val="center"/>
          </w:tcPr>
          <w:p w14:paraId="5D3BAAFD">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885" w:type="dxa"/>
            <w:vAlign w:val="center"/>
          </w:tcPr>
          <w:p w14:paraId="551B9D80">
            <w:pPr>
              <w:spacing w:line="240" w:lineRule="atLeast"/>
              <w:jc w:val="center"/>
              <w:rPr>
                <w:rFonts w:ascii="宋体" w:hAnsi="宋体" w:eastAsia="宋体" w:cs="Times New Roman"/>
                <w:color w:val="auto"/>
              </w:rPr>
            </w:pPr>
            <w:r>
              <w:rPr>
                <w:rFonts w:ascii="宋体" w:hAnsi="宋体" w:eastAsia="宋体" w:cs="Times New Roman"/>
                <w:color w:val="auto"/>
              </w:rPr>
              <w:t>油井作业期</w:t>
            </w:r>
          </w:p>
        </w:tc>
      </w:tr>
      <w:tr w14:paraId="6D275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870" w:type="dxa"/>
            <w:vAlign w:val="center"/>
          </w:tcPr>
          <w:p w14:paraId="11A06FF8">
            <w:pPr>
              <w:spacing w:line="240" w:lineRule="atLeast"/>
              <w:jc w:val="center"/>
              <w:rPr>
                <w:rFonts w:ascii="宋体" w:hAnsi="宋体" w:eastAsia="宋体" w:cs="Times New Roman"/>
                <w:color w:val="auto"/>
              </w:rPr>
            </w:pPr>
            <w:r>
              <w:rPr>
                <w:rFonts w:ascii="宋体" w:hAnsi="宋体" w:eastAsia="宋体" w:cs="Times New Roman"/>
                <w:color w:val="auto"/>
              </w:rPr>
              <w:t>油井洗井</w:t>
            </w:r>
          </w:p>
        </w:tc>
        <w:tc>
          <w:tcPr>
            <w:tcW w:w="1077" w:type="dxa"/>
            <w:vAlign w:val="center"/>
          </w:tcPr>
          <w:p w14:paraId="52F428A0">
            <w:pPr>
              <w:spacing w:line="240" w:lineRule="atLeast"/>
              <w:jc w:val="center"/>
              <w:rPr>
                <w:rFonts w:ascii="宋体" w:hAnsi="宋体" w:eastAsia="宋体" w:cs="Times New Roman"/>
                <w:color w:val="auto"/>
              </w:rPr>
            </w:pPr>
            <w:r>
              <w:rPr>
                <w:rFonts w:ascii="宋体" w:hAnsi="宋体" w:eastAsia="宋体" w:cs="Times New Roman"/>
                <w:color w:val="auto"/>
              </w:rPr>
              <w:t>油井</w:t>
            </w:r>
          </w:p>
        </w:tc>
        <w:tc>
          <w:tcPr>
            <w:tcW w:w="783" w:type="dxa"/>
            <w:vAlign w:val="center"/>
          </w:tcPr>
          <w:p w14:paraId="7BC7706B">
            <w:pPr>
              <w:spacing w:line="240" w:lineRule="atLeast"/>
              <w:jc w:val="center"/>
              <w:rPr>
                <w:rFonts w:ascii="宋体" w:hAnsi="宋体" w:eastAsia="宋体" w:cs="Times New Roman"/>
                <w:color w:val="auto"/>
              </w:rPr>
            </w:pPr>
            <w:r>
              <w:rPr>
                <w:rFonts w:ascii="宋体" w:hAnsi="宋体" w:eastAsia="宋体" w:cs="Times New Roman"/>
                <w:color w:val="auto"/>
              </w:rPr>
              <w:t>洗井污水</w:t>
            </w:r>
          </w:p>
        </w:tc>
        <w:tc>
          <w:tcPr>
            <w:tcW w:w="1053" w:type="dxa"/>
            <w:vAlign w:val="center"/>
          </w:tcPr>
          <w:p w14:paraId="2D30A119">
            <w:pPr>
              <w:spacing w:line="240" w:lineRule="atLeast"/>
              <w:jc w:val="center"/>
              <w:rPr>
                <w:rFonts w:ascii="宋体" w:hAnsi="宋体" w:eastAsia="宋体" w:cs="Times New Roman"/>
                <w:color w:val="auto"/>
              </w:rPr>
            </w:pPr>
            <w:r>
              <w:rPr>
                <w:rFonts w:ascii="宋体" w:hAnsi="宋体" w:eastAsia="宋体" w:cs="Times New Roman"/>
                <w:color w:val="auto"/>
              </w:rPr>
              <w:t>石油类</w:t>
            </w:r>
          </w:p>
        </w:tc>
        <w:tc>
          <w:tcPr>
            <w:tcW w:w="717" w:type="dxa"/>
            <w:vAlign w:val="center"/>
          </w:tcPr>
          <w:p w14:paraId="3DA10909">
            <w:pPr>
              <w:spacing w:line="240" w:lineRule="atLeast"/>
              <w:jc w:val="center"/>
              <w:rPr>
                <w:rFonts w:ascii="宋体" w:hAnsi="宋体" w:eastAsia="宋体" w:cs="Times New Roman"/>
                <w:color w:val="auto"/>
              </w:rPr>
            </w:pPr>
            <w:r>
              <w:rPr>
                <w:rFonts w:ascii="宋体" w:hAnsi="宋体" w:eastAsia="宋体" w:cs="Times New Roman"/>
                <w:color w:val="auto"/>
              </w:rPr>
              <w:t>类比法</w:t>
            </w:r>
          </w:p>
        </w:tc>
        <w:tc>
          <w:tcPr>
            <w:tcW w:w="1148" w:type="dxa"/>
            <w:vAlign w:val="center"/>
          </w:tcPr>
          <w:p w14:paraId="65E466A6">
            <w:pPr>
              <w:spacing w:line="240" w:lineRule="atLeast"/>
              <w:jc w:val="center"/>
              <w:rPr>
                <w:rFonts w:ascii="宋体" w:hAnsi="宋体" w:eastAsia="宋体" w:cs="Times New Roman"/>
                <w:color w:val="auto"/>
              </w:rPr>
            </w:pPr>
            <w:r>
              <w:rPr>
                <w:rFonts w:ascii="宋体" w:hAnsi="宋体" w:eastAsia="宋体" w:cs="Times New Roman"/>
                <w:color w:val="auto"/>
              </w:rPr>
              <w:t>1155.9</w:t>
            </w:r>
          </w:p>
        </w:tc>
        <w:tc>
          <w:tcPr>
            <w:tcW w:w="1134" w:type="dxa"/>
            <w:vAlign w:val="center"/>
          </w:tcPr>
          <w:p w14:paraId="0642D9FB">
            <w:pPr>
              <w:spacing w:line="240" w:lineRule="atLeast"/>
              <w:jc w:val="center"/>
              <w:rPr>
                <w:rFonts w:ascii="宋体" w:hAnsi="宋体" w:eastAsia="宋体" w:cs="Times New Roman"/>
                <w:color w:val="auto"/>
              </w:rPr>
            </w:pPr>
            <w:r>
              <w:rPr>
                <w:rFonts w:ascii="宋体" w:hAnsi="宋体" w:eastAsia="宋体" w:cs="Times New Roman"/>
                <w:color w:val="auto"/>
              </w:rPr>
              <w:t>1000</w:t>
            </w:r>
          </w:p>
        </w:tc>
        <w:tc>
          <w:tcPr>
            <w:tcW w:w="1131" w:type="dxa"/>
            <w:vAlign w:val="center"/>
          </w:tcPr>
          <w:p w14:paraId="4DB12655">
            <w:pPr>
              <w:spacing w:line="240" w:lineRule="atLeast"/>
              <w:jc w:val="center"/>
              <w:rPr>
                <w:rFonts w:ascii="宋体" w:hAnsi="宋体" w:eastAsia="宋体" w:cs="Times New Roman"/>
                <w:snapToGrid w:val="0"/>
                <w:color w:val="auto"/>
              </w:rPr>
            </w:pPr>
            <w:r>
              <w:rPr>
                <w:rFonts w:ascii="宋体" w:hAnsi="宋体" w:eastAsia="宋体" w:cs="Times New Roman"/>
                <w:snapToGrid w:val="0"/>
                <w:color w:val="auto"/>
              </w:rPr>
              <w:t>1.16</w:t>
            </w:r>
          </w:p>
        </w:tc>
        <w:tc>
          <w:tcPr>
            <w:tcW w:w="1694" w:type="dxa"/>
            <w:vAlign w:val="center"/>
          </w:tcPr>
          <w:p w14:paraId="201874E8">
            <w:pPr>
              <w:spacing w:line="240" w:lineRule="atLeast"/>
              <w:jc w:val="center"/>
              <w:rPr>
                <w:rFonts w:ascii="宋体" w:hAnsi="宋体" w:eastAsia="宋体" w:cs="Times New Roman"/>
                <w:color w:val="auto"/>
              </w:rPr>
            </w:pPr>
            <w:r>
              <w:rPr>
                <w:rFonts w:ascii="宋体" w:hAnsi="宋体" w:eastAsia="宋体" w:cs="Times New Roman"/>
                <w:color w:val="auto"/>
              </w:rPr>
              <w:t>热洗废水由罐车回收后拉运至朝二联含油污水处理站处理后回注油层</w:t>
            </w:r>
          </w:p>
        </w:tc>
        <w:tc>
          <w:tcPr>
            <w:tcW w:w="717" w:type="dxa"/>
            <w:vAlign w:val="center"/>
          </w:tcPr>
          <w:p w14:paraId="65499C94">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846" w:type="dxa"/>
            <w:vAlign w:val="center"/>
          </w:tcPr>
          <w:p w14:paraId="5408D1BA">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1091" w:type="dxa"/>
            <w:vAlign w:val="center"/>
          </w:tcPr>
          <w:p w14:paraId="71629EFD">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846" w:type="dxa"/>
            <w:vAlign w:val="center"/>
          </w:tcPr>
          <w:p w14:paraId="6F7A489E">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885" w:type="dxa"/>
            <w:vAlign w:val="center"/>
          </w:tcPr>
          <w:p w14:paraId="4140C737">
            <w:pPr>
              <w:spacing w:line="240" w:lineRule="atLeast"/>
              <w:jc w:val="center"/>
              <w:rPr>
                <w:rFonts w:ascii="宋体" w:hAnsi="宋体" w:eastAsia="宋体" w:cs="Times New Roman"/>
                <w:color w:val="auto"/>
              </w:rPr>
            </w:pPr>
            <w:r>
              <w:rPr>
                <w:rFonts w:ascii="宋体" w:hAnsi="宋体" w:eastAsia="宋体" w:cs="Times New Roman"/>
                <w:color w:val="auto"/>
              </w:rPr>
              <w:t>洗井期间</w:t>
            </w:r>
          </w:p>
        </w:tc>
      </w:tr>
      <w:tr w14:paraId="49BB5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870" w:type="dxa"/>
            <w:vAlign w:val="center"/>
          </w:tcPr>
          <w:p w14:paraId="1A8869A7">
            <w:pPr>
              <w:spacing w:line="240" w:lineRule="atLeast"/>
              <w:jc w:val="center"/>
              <w:rPr>
                <w:rFonts w:ascii="宋体" w:hAnsi="宋体" w:eastAsia="宋体" w:cs="Times New Roman"/>
                <w:color w:val="auto"/>
              </w:rPr>
            </w:pPr>
            <w:r>
              <w:rPr>
                <w:rFonts w:ascii="宋体" w:hAnsi="宋体" w:eastAsia="宋体" w:cs="Times New Roman"/>
                <w:color w:val="auto"/>
              </w:rPr>
              <w:t>原油</w:t>
            </w:r>
          </w:p>
          <w:p w14:paraId="7E49FAB7">
            <w:pPr>
              <w:spacing w:line="240" w:lineRule="atLeast"/>
              <w:jc w:val="center"/>
              <w:rPr>
                <w:rFonts w:ascii="宋体" w:hAnsi="宋体" w:eastAsia="宋体" w:cs="Times New Roman"/>
                <w:color w:val="auto"/>
              </w:rPr>
            </w:pPr>
            <w:r>
              <w:rPr>
                <w:rFonts w:ascii="宋体" w:hAnsi="宋体" w:eastAsia="宋体" w:cs="Times New Roman"/>
                <w:color w:val="auto"/>
              </w:rPr>
              <w:t>集输</w:t>
            </w:r>
          </w:p>
        </w:tc>
        <w:tc>
          <w:tcPr>
            <w:tcW w:w="1077" w:type="dxa"/>
            <w:vAlign w:val="center"/>
          </w:tcPr>
          <w:p w14:paraId="77243085">
            <w:pPr>
              <w:spacing w:line="240" w:lineRule="atLeast"/>
              <w:jc w:val="center"/>
              <w:rPr>
                <w:rFonts w:ascii="宋体" w:hAnsi="宋体" w:eastAsia="宋体" w:cs="Times New Roman"/>
                <w:color w:val="auto"/>
              </w:rPr>
            </w:pPr>
            <w:r>
              <w:rPr>
                <w:rFonts w:ascii="宋体" w:hAnsi="宋体" w:eastAsia="宋体" w:cs="Times New Roman"/>
                <w:color w:val="auto"/>
              </w:rPr>
              <w:t>原油处理装置</w:t>
            </w:r>
          </w:p>
        </w:tc>
        <w:tc>
          <w:tcPr>
            <w:tcW w:w="783" w:type="dxa"/>
            <w:vAlign w:val="center"/>
          </w:tcPr>
          <w:p w14:paraId="426649D7">
            <w:pPr>
              <w:spacing w:line="240" w:lineRule="atLeast"/>
              <w:jc w:val="center"/>
              <w:rPr>
                <w:rFonts w:ascii="宋体" w:hAnsi="宋体" w:eastAsia="宋体" w:cs="Times New Roman"/>
                <w:color w:val="auto"/>
              </w:rPr>
            </w:pPr>
            <w:r>
              <w:rPr>
                <w:rFonts w:ascii="宋体" w:hAnsi="宋体" w:eastAsia="宋体" w:cs="Times New Roman"/>
                <w:color w:val="auto"/>
              </w:rPr>
              <w:t>油田采出水</w:t>
            </w:r>
          </w:p>
        </w:tc>
        <w:tc>
          <w:tcPr>
            <w:tcW w:w="1053" w:type="dxa"/>
            <w:vAlign w:val="center"/>
          </w:tcPr>
          <w:p w14:paraId="692B89C1">
            <w:pPr>
              <w:spacing w:line="240" w:lineRule="atLeast"/>
              <w:jc w:val="center"/>
              <w:rPr>
                <w:rFonts w:ascii="宋体" w:hAnsi="宋体" w:eastAsia="宋体" w:cs="Times New Roman"/>
                <w:color w:val="auto"/>
              </w:rPr>
            </w:pPr>
            <w:r>
              <w:rPr>
                <w:rFonts w:ascii="宋体" w:hAnsi="宋体" w:eastAsia="宋体" w:cs="Times New Roman"/>
                <w:color w:val="auto"/>
              </w:rPr>
              <w:t>石油类</w:t>
            </w:r>
          </w:p>
        </w:tc>
        <w:tc>
          <w:tcPr>
            <w:tcW w:w="717" w:type="dxa"/>
            <w:vAlign w:val="center"/>
          </w:tcPr>
          <w:p w14:paraId="4650AA59">
            <w:pPr>
              <w:spacing w:line="240" w:lineRule="atLeast"/>
              <w:jc w:val="center"/>
              <w:rPr>
                <w:rFonts w:ascii="宋体" w:hAnsi="宋体" w:eastAsia="宋体" w:cs="Times New Roman"/>
                <w:color w:val="auto"/>
              </w:rPr>
            </w:pPr>
            <w:r>
              <w:rPr>
                <w:rFonts w:ascii="宋体" w:hAnsi="宋体" w:eastAsia="宋体" w:cs="Times New Roman"/>
                <w:color w:val="auto"/>
              </w:rPr>
              <w:t>物料</w:t>
            </w:r>
          </w:p>
          <w:p w14:paraId="1FA3EE21">
            <w:pPr>
              <w:spacing w:line="240" w:lineRule="atLeast"/>
              <w:jc w:val="center"/>
              <w:rPr>
                <w:rFonts w:ascii="宋体" w:hAnsi="宋体" w:eastAsia="宋体" w:cs="Times New Roman"/>
                <w:color w:val="auto"/>
              </w:rPr>
            </w:pPr>
            <w:r>
              <w:rPr>
                <w:rFonts w:ascii="宋体" w:hAnsi="宋体" w:eastAsia="宋体" w:cs="Times New Roman"/>
                <w:color w:val="auto"/>
              </w:rPr>
              <w:t>衡算法</w:t>
            </w:r>
          </w:p>
        </w:tc>
        <w:tc>
          <w:tcPr>
            <w:tcW w:w="1148" w:type="dxa"/>
            <w:vAlign w:val="center"/>
          </w:tcPr>
          <w:p w14:paraId="6EF31AA3">
            <w:pPr>
              <w:spacing w:line="240" w:lineRule="atLeast"/>
              <w:jc w:val="center"/>
              <w:rPr>
                <w:rFonts w:ascii="宋体" w:hAnsi="宋体" w:eastAsia="宋体" w:cs="Times New Roman"/>
                <w:color w:val="auto"/>
              </w:rPr>
            </w:pPr>
            <w:r>
              <w:rPr>
                <w:rFonts w:ascii="宋体" w:hAnsi="宋体" w:eastAsia="宋体" w:cs="Times New Roman"/>
                <w:snapToGrid w:val="0"/>
                <w:color w:val="auto"/>
              </w:rPr>
              <w:t>21700</w:t>
            </w:r>
          </w:p>
        </w:tc>
        <w:tc>
          <w:tcPr>
            <w:tcW w:w="1134" w:type="dxa"/>
            <w:vAlign w:val="center"/>
          </w:tcPr>
          <w:p w14:paraId="7F51D752">
            <w:pPr>
              <w:spacing w:line="240" w:lineRule="atLeast"/>
              <w:jc w:val="center"/>
              <w:rPr>
                <w:rFonts w:ascii="宋体" w:hAnsi="宋体" w:eastAsia="宋体" w:cs="Times New Roman"/>
                <w:color w:val="auto"/>
              </w:rPr>
            </w:pPr>
            <w:r>
              <w:rPr>
                <w:rFonts w:ascii="宋体" w:hAnsi="宋体" w:eastAsia="宋体" w:cs="Times New Roman"/>
                <w:color w:val="auto"/>
              </w:rPr>
              <w:t>1000</w:t>
            </w:r>
          </w:p>
        </w:tc>
        <w:tc>
          <w:tcPr>
            <w:tcW w:w="1131" w:type="dxa"/>
            <w:vAlign w:val="center"/>
          </w:tcPr>
          <w:p w14:paraId="01BE6B97">
            <w:pPr>
              <w:spacing w:line="240" w:lineRule="atLeast"/>
              <w:jc w:val="center"/>
              <w:rPr>
                <w:rFonts w:ascii="宋体" w:hAnsi="宋体" w:eastAsia="宋体" w:cs="Times New Roman"/>
                <w:color w:val="auto"/>
              </w:rPr>
            </w:pPr>
            <w:r>
              <w:rPr>
                <w:rFonts w:ascii="宋体" w:hAnsi="宋体" w:eastAsia="宋体" w:cs="Times New Roman"/>
                <w:snapToGrid w:val="0"/>
                <w:color w:val="auto"/>
              </w:rPr>
              <w:t>21.7</w:t>
            </w:r>
          </w:p>
        </w:tc>
        <w:tc>
          <w:tcPr>
            <w:tcW w:w="1694" w:type="dxa"/>
            <w:vAlign w:val="center"/>
          </w:tcPr>
          <w:p w14:paraId="01322AA5">
            <w:pPr>
              <w:spacing w:line="240" w:lineRule="atLeast"/>
              <w:rPr>
                <w:rFonts w:ascii="宋体" w:hAnsi="宋体" w:eastAsia="宋体" w:cs="Times New Roman"/>
                <w:color w:val="auto"/>
              </w:rPr>
            </w:pPr>
            <w:r>
              <w:rPr>
                <w:rFonts w:ascii="宋体" w:hAnsi="宋体" w:eastAsia="宋体" w:cs="Times New Roman"/>
                <w:color w:val="auto"/>
              </w:rPr>
              <w:t>管输进入朝二联含油污水处理站处理后回注油层</w:t>
            </w:r>
          </w:p>
        </w:tc>
        <w:tc>
          <w:tcPr>
            <w:tcW w:w="717" w:type="dxa"/>
            <w:vAlign w:val="center"/>
          </w:tcPr>
          <w:p w14:paraId="7C9AA48D">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846" w:type="dxa"/>
            <w:vAlign w:val="center"/>
          </w:tcPr>
          <w:p w14:paraId="53A7B74B">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1091" w:type="dxa"/>
            <w:vAlign w:val="center"/>
          </w:tcPr>
          <w:p w14:paraId="642F8BA4">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846" w:type="dxa"/>
            <w:vAlign w:val="center"/>
          </w:tcPr>
          <w:p w14:paraId="0F0CF2CA">
            <w:pPr>
              <w:spacing w:line="240" w:lineRule="atLeast"/>
              <w:jc w:val="center"/>
              <w:rPr>
                <w:rFonts w:ascii="宋体" w:hAnsi="宋体" w:eastAsia="宋体" w:cs="Times New Roman"/>
                <w:color w:val="auto"/>
              </w:rPr>
            </w:pPr>
            <w:r>
              <w:rPr>
                <w:rFonts w:ascii="宋体" w:hAnsi="宋体" w:eastAsia="宋体" w:cs="Times New Roman"/>
                <w:color w:val="auto"/>
              </w:rPr>
              <w:t>/</w:t>
            </w:r>
          </w:p>
        </w:tc>
        <w:tc>
          <w:tcPr>
            <w:tcW w:w="885" w:type="dxa"/>
            <w:vAlign w:val="center"/>
          </w:tcPr>
          <w:p w14:paraId="7ECAEB8C">
            <w:pPr>
              <w:spacing w:line="240" w:lineRule="atLeast"/>
              <w:jc w:val="center"/>
              <w:rPr>
                <w:rFonts w:ascii="宋体" w:hAnsi="宋体" w:eastAsia="宋体" w:cs="Times New Roman"/>
                <w:color w:val="auto"/>
              </w:rPr>
            </w:pPr>
            <w:r>
              <w:rPr>
                <w:rFonts w:ascii="宋体" w:hAnsi="宋体" w:eastAsia="宋体" w:cs="Times New Roman"/>
                <w:color w:val="auto"/>
              </w:rPr>
              <w:t>7200</w:t>
            </w:r>
          </w:p>
        </w:tc>
      </w:tr>
    </w:tbl>
    <w:p w14:paraId="32A91313">
      <w:pPr>
        <w:pStyle w:val="276"/>
        <w:widowControl w:val="0"/>
        <w:spacing w:line="440" w:lineRule="exact"/>
        <w:ind w:firstLine="0" w:firstLineChars="0"/>
        <w:jc w:val="center"/>
        <w:rPr>
          <w:color w:val="auto"/>
        </w:rPr>
      </w:pPr>
      <w:r>
        <w:rPr>
          <w:color w:val="auto"/>
          <w:kern w:val="2"/>
          <w:szCs w:val="20"/>
        </w:rPr>
        <w:t>表3.12-18</w:t>
      </w:r>
      <w:r>
        <w:rPr>
          <w:color w:val="auto"/>
        </w:rPr>
        <w:t xml:space="preserve"> 运营期噪声污染源源强核算结果及相关参数表</w:t>
      </w:r>
    </w:p>
    <w:tbl>
      <w:tblPr>
        <w:tblStyle w:val="81"/>
        <w:tblW w:w="139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5"/>
        <w:gridCol w:w="1187"/>
        <w:gridCol w:w="1010"/>
        <w:gridCol w:w="1030"/>
        <w:gridCol w:w="1242"/>
        <w:gridCol w:w="1410"/>
        <w:gridCol w:w="2463"/>
        <w:gridCol w:w="1072"/>
        <w:gridCol w:w="1075"/>
        <w:gridCol w:w="1128"/>
        <w:gridCol w:w="1380"/>
      </w:tblGrid>
      <w:tr w14:paraId="748BA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95" w:type="dxa"/>
            <w:vMerge w:val="restart"/>
            <w:vAlign w:val="center"/>
          </w:tcPr>
          <w:p w14:paraId="1B4DA129">
            <w:pPr>
              <w:jc w:val="center"/>
              <w:rPr>
                <w:rFonts w:ascii="宋体" w:hAnsi="宋体" w:eastAsia="宋体" w:cs="Times New Roman"/>
                <w:color w:val="auto"/>
              </w:rPr>
            </w:pPr>
            <w:r>
              <w:rPr>
                <w:rFonts w:ascii="宋体" w:hAnsi="宋体" w:eastAsia="宋体" w:cs="Times New Roman"/>
                <w:color w:val="auto"/>
              </w:rPr>
              <w:t>工序/生产线</w:t>
            </w:r>
          </w:p>
        </w:tc>
        <w:tc>
          <w:tcPr>
            <w:tcW w:w="1187" w:type="dxa"/>
            <w:vMerge w:val="restart"/>
            <w:vAlign w:val="center"/>
          </w:tcPr>
          <w:p w14:paraId="0C2C72E5">
            <w:pPr>
              <w:jc w:val="center"/>
              <w:rPr>
                <w:rFonts w:ascii="宋体" w:hAnsi="宋体" w:eastAsia="宋体" w:cs="Times New Roman"/>
                <w:color w:val="auto"/>
              </w:rPr>
            </w:pPr>
            <w:r>
              <w:rPr>
                <w:rFonts w:ascii="宋体" w:hAnsi="宋体" w:eastAsia="宋体" w:cs="Times New Roman"/>
                <w:color w:val="auto"/>
              </w:rPr>
              <w:t>装置</w:t>
            </w:r>
          </w:p>
        </w:tc>
        <w:tc>
          <w:tcPr>
            <w:tcW w:w="1010" w:type="dxa"/>
            <w:vMerge w:val="restart"/>
            <w:vAlign w:val="center"/>
          </w:tcPr>
          <w:p w14:paraId="20407C3B">
            <w:pPr>
              <w:jc w:val="center"/>
              <w:rPr>
                <w:rFonts w:ascii="宋体" w:hAnsi="宋体" w:eastAsia="宋体" w:cs="Times New Roman"/>
                <w:color w:val="auto"/>
              </w:rPr>
            </w:pPr>
            <w:r>
              <w:rPr>
                <w:rFonts w:ascii="宋体" w:hAnsi="宋体" w:eastAsia="宋体" w:cs="Times New Roman"/>
                <w:color w:val="auto"/>
              </w:rPr>
              <w:t>噪声源</w:t>
            </w:r>
          </w:p>
        </w:tc>
        <w:tc>
          <w:tcPr>
            <w:tcW w:w="1030" w:type="dxa"/>
            <w:vMerge w:val="restart"/>
            <w:vAlign w:val="center"/>
          </w:tcPr>
          <w:p w14:paraId="64EAB062">
            <w:pPr>
              <w:jc w:val="center"/>
              <w:rPr>
                <w:rFonts w:ascii="宋体" w:hAnsi="宋体" w:eastAsia="宋体" w:cs="Times New Roman"/>
                <w:color w:val="auto"/>
              </w:rPr>
            </w:pPr>
            <w:r>
              <w:rPr>
                <w:rFonts w:ascii="宋体" w:hAnsi="宋体" w:eastAsia="宋体" w:cs="Times New Roman"/>
                <w:color w:val="auto"/>
              </w:rPr>
              <w:t>声源类型</w:t>
            </w:r>
          </w:p>
        </w:tc>
        <w:tc>
          <w:tcPr>
            <w:tcW w:w="2652" w:type="dxa"/>
            <w:gridSpan w:val="2"/>
            <w:vAlign w:val="center"/>
          </w:tcPr>
          <w:p w14:paraId="1A7D8E59">
            <w:pPr>
              <w:jc w:val="center"/>
              <w:rPr>
                <w:rFonts w:ascii="宋体" w:hAnsi="宋体" w:eastAsia="宋体" w:cs="Times New Roman"/>
                <w:color w:val="auto"/>
              </w:rPr>
            </w:pPr>
            <w:r>
              <w:rPr>
                <w:rFonts w:ascii="宋体" w:hAnsi="宋体" w:eastAsia="宋体" w:cs="Times New Roman"/>
                <w:color w:val="auto"/>
              </w:rPr>
              <w:t>噪声声源</w:t>
            </w:r>
          </w:p>
        </w:tc>
        <w:tc>
          <w:tcPr>
            <w:tcW w:w="3535" w:type="dxa"/>
            <w:gridSpan w:val="2"/>
            <w:vAlign w:val="center"/>
          </w:tcPr>
          <w:p w14:paraId="5DCAB1A4">
            <w:pPr>
              <w:jc w:val="center"/>
              <w:rPr>
                <w:rFonts w:ascii="宋体" w:hAnsi="宋体" w:eastAsia="宋体" w:cs="Times New Roman"/>
                <w:color w:val="auto"/>
              </w:rPr>
            </w:pPr>
            <w:r>
              <w:rPr>
                <w:rFonts w:ascii="宋体" w:hAnsi="宋体" w:eastAsia="宋体" w:cs="Times New Roman"/>
                <w:color w:val="auto"/>
              </w:rPr>
              <w:t>降噪措施</w:t>
            </w:r>
          </w:p>
        </w:tc>
        <w:tc>
          <w:tcPr>
            <w:tcW w:w="2203" w:type="dxa"/>
            <w:gridSpan w:val="2"/>
            <w:vAlign w:val="center"/>
          </w:tcPr>
          <w:p w14:paraId="440DBB17">
            <w:pPr>
              <w:jc w:val="center"/>
              <w:rPr>
                <w:rFonts w:ascii="宋体" w:hAnsi="宋体" w:eastAsia="宋体" w:cs="Times New Roman"/>
                <w:color w:val="auto"/>
              </w:rPr>
            </w:pPr>
            <w:r>
              <w:rPr>
                <w:rFonts w:ascii="宋体" w:hAnsi="宋体" w:eastAsia="宋体" w:cs="Times New Roman"/>
                <w:color w:val="auto"/>
              </w:rPr>
              <w:t>噪声排放值</w:t>
            </w:r>
          </w:p>
        </w:tc>
        <w:tc>
          <w:tcPr>
            <w:tcW w:w="1380" w:type="dxa"/>
            <w:vMerge w:val="restart"/>
            <w:vAlign w:val="center"/>
          </w:tcPr>
          <w:p w14:paraId="5DCF4B61">
            <w:pPr>
              <w:jc w:val="center"/>
              <w:rPr>
                <w:rFonts w:ascii="宋体" w:hAnsi="宋体" w:eastAsia="宋体" w:cs="Times New Roman"/>
                <w:color w:val="auto"/>
              </w:rPr>
            </w:pPr>
            <w:r>
              <w:rPr>
                <w:rFonts w:ascii="宋体" w:hAnsi="宋体" w:eastAsia="宋体" w:cs="Times New Roman"/>
                <w:color w:val="auto"/>
              </w:rPr>
              <w:t>持续时间（h）</w:t>
            </w:r>
          </w:p>
        </w:tc>
      </w:tr>
      <w:tr w14:paraId="107F8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95" w:type="dxa"/>
            <w:vMerge w:val="continue"/>
            <w:vAlign w:val="center"/>
          </w:tcPr>
          <w:p w14:paraId="2BF54984">
            <w:pPr>
              <w:jc w:val="center"/>
              <w:rPr>
                <w:rFonts w:ascii="宋体" w:hAnsi="宋体" w:eastAsia="宋体" w:cs="Times New Roman"/>
                <w:color w:val="auto"/>
              </w:rPr>
            </w:pPr>
          </w:p>
        </w:tc>
        <w:tc>
          <w:tcPr>
            <w:tcW w:w="1187" w:type="dxa"/>
            <w:vMerge w:val="continue"/>
            <w:vAlign w:val="center"/>
          </w:tcPr>
          <w:p w14:paraId="7C121F72">
            <w:pPr>
              <w:jc w:val="center"/>
              <w:rPr>
                <w:rFonts w:ascii="宋体" w:hAnsi="宋体" w:eastAsia="宋体" w:cs="Times New Roman"/>
                <w:color w:val="auto"/>
              </w:rPr>
            </w:pPr>
          </w:p>
        </w:tc>
        <w:tc>
          <w:tcPr>
            <w:tcW w:w="1010" w:type="dxa"/>
            <w:vMerge w:val="continue"/>
            <w:vAlign w:val="center"/>
          </w:tcPr>
          <w:p w14:paraId="5E4D5817">
            <w:pPr>
              <w:jc w:val="center"/>
              <w:rPr>
                <w:rFonts w:ascii="宋体" w:hAnsi="宋体" w:eastAsia="宋体" w:cs="Times New Roman"/>
                <w:color w:val="auto"/>
              </w:rPr>
            </w:pPr>
          </w:p>
        </w:tc>
        <w:tc>
          <w:tcPr>
            <w:tcW w:w="1030" w:type="dxa"/>
            <w:vMerge w:val="continue"/>
            <w:vAlign w:val="center"/>
          </w:tcPr>
          <w:p w14:paraId="583957F9">
            <w:pPr>
              <w:jc w:val="center"/>
              <w:rPr>
                <w:rFonts w:ascii="宋体" w:hAnsi="宋体" w:eastAsia="宋体" w:cs="Times New Roman"/>
                <w:color w:val="auto"/>
              </w:rPr>
            </w:pPr>
          </w:p>
        </w:tc>
        <w:tc>
          <w:tcPr>
            <w:tcW w:w="1242" w:type="dxa"/>
            <w:vAlign w:val="center"/>
          </w:tcPr>
          <w:p w14:paraId="2AF0E1B2">
            <w:pPr>
              <w:jc w:val="center"/>
              <w:rPr>
                <w:rFonts w:ascii="宋体" w:hAnsi="宋体" w:eastAsia="宋体" w:cs="Times New Roman"/>
                <w:color w:val="auto"/>
              </w:rPr>
            </w:pPr>
            <w:r>
              <w:rPr>
                <w:rFonts w:ascii="宋体" w:hAnsi="宋体" w:eastAsia="宋体" w:cs="Times New Roman"/>
                <w:color w:val="auto"/>
              </w:rPr>
              <w:t>核算方法</w:t>
            </w:r>
          </w:p>
        </w:tc>
        <w:tc>
          <w:tcPr>
            <w:tcW w:w="1410" w:type="dxa"/>
            <w:vAlign w:val="center"/>
          </w:tcPr>
          <w:p w14:paraId="760F3544">
            <w:pPr>
              <w:jc w:val="center"/>
              <w:rPr>
                <w:rFonts w:ascii="宋体" w:hAnsi="宋体" w:eastAsia="宋体" w:cs="Times New Roman"/>
                <w:color w:val="auto"/>
              </w:rPr>
            </w:pPr>
            <w:r>
              <w:rPr>
                <w:rFonts w:ascii="宋体" w:hAnsi="宋体" w:eastAsia="宋体" w:cs="Times New Roman"/>
                <w:color w:val="auto"/>
              </w:rPr>
              <w:t>噪声值</w:t>
            </w:r>
          </w:p>
          <w:p w14:paraId="407B561B">
            <w:pPr>
              <w:jc w:val="center"/>
              <w:rPr>
                <w:rFonts w:ascii="宋体" w:hAnsi="宋体" w:eastAsia="宋体" w:cs="Times New Roman"/>
                <w:color w:val="auto"/>
              </w:rPr>
            </w:pPr>
            <w:r>
              <w:rPr>
                <w:rFonts w:ascii="宋体" w:hAnsi="宋体" w:eastAsia="宋体" w:cs="Times New Roman"/>
                <w:color w:val="auto"/>
              </w:rPr>
              <w:t>dB（A）</w:t>
            </w:r>
          </w:p>
        </w:tc>
        <w:tc>
          <w:tcPr>
            <w:tcW w:w="2463" w:type="dxa"/>
            <w:vAlign w:val="center"/>
          </w:tcPr>
          <w:p w14:paraId="56A332EF">
            <w:pPr>
              <w:jc w:val="center"/>
              <w:rPr>
                <w:rFonts w:ascii="宋体" w:hAnsi="宋体" w:eastAsia="宋体" w:cs="Times New Roman"/>
                <w:color w:val="auto"/>
              </w:rPr>
            </w:pPr>
            <w:r>
              <w:rPr>
                <w:rFonts w:ascii="宋体" w:hAnsi="宋体" w:eastAsia="宋体" w:cs="Times New Roman"/>
                <w:color w:val="auto"/>
              </w:rPr>
              <w:t>工艺</w:t>
            </w:r>
          </w:p>
        </w:tc>
        <w:tc>
          <w:tcPr>
            <w:tcW w:w="1072" w:type="dxa"/>
            <w:vAlign w:val="center"/>
          </w:tcPr>
          <w:p w14:paraId="4DE5CE98">
            <w:pPr>
              <w:jc w:val="center"/>
              <w:rPr>
                <w:rFonts w:ascii="宋体" w:hAnsi="宋体" w:eastAsia="宋体" w:cs="Times New Roman"/>
                <w:color w:val="auto"/>
              </w:rPr>
            </w:pPr>
            <w:r>
              <w:rPr>
                <w:rFonts w:ascii="宋体" w:hAnsi="宋体" w:eastAsia="宋体" w:cs="Times New Roman"/>
                <w:color w:val="auto"/>
              </w:rPr>
              <w:t>降噪效果</w:t>
            </w:r>
          </w:p>
        </w:tc>
        <w:tc>
          <w:tcPr>
            <w:tcW w:w="1075" w:type="dxa"/>
            <w:vAlign w:val="center"/>
          </w:tcPr>
          <w:p w14:paraId="043379E9">
            <w:pPr>
              <w:jc w:val="center"/>
              <w:rPr>
                <w:rFonts w:ascii="宋体" w:hAnsi="宋体" w:eastAsia="宋体" w:cs="Times New Roman"/>
                <w:color w:val="auto"/>
              </w:rPr>
            </w:pPr>
            <w:r>
              <w:rPr>
                <w:rFonts w:ascii="宋体" w:hAnsi="宋体" w:eastAsia="宋体" w:cs="Times New Roman"/>
                <w:color w:val="auto"/>
              </w:rPr>
              <w:t>核算方法</w:t>
            </w:r>
          </w:p>
        </w:tc>
        <w:tc>
          <w:tcPr>
            <w:tcW w:w="1128" w:type="dxa"/>
            <w:vAlign w:val="center"/>
          </w:tcPr>
          <w:p w14:paraId="45D88735">
            <w:pPr>
              <w:jc w:val="center"/>
              <w:rPr>
                <w:rFonts w:ascii="宋体" w:hAnsi="宋体" w:eastAsia="宋体" w:cs="Times New Roman"/>
                <w:color w:val="auto"/>
              </w:rPr>
            </w:pPr>
            <w:r>
              <w:rPr>
                <w:rFonts w:ascii="宋体" w:hAnsi="宋体" w:eastAsia="宋体" w:cs="Times New Roman"/>
                <w:color w:val="auto"/>
              </w:rPr>
              <w:t>噪声值</w:t>
            </w:r>
          </w:p>
          <w:p w14:paraId="1EC7D280">
            <w:pPr>
              <w:jc w:val="center"/>
              <w:rPr>
                <w:rFonts w:ascii="宋体" w:hAnsi="宋体" w:eastAsia="宋体" w:cs="Times New Roman"/>
                <w:color w:val="auto"/>
              </w:rPr>
            </w:pPr>
            <w:r>
              <w:rPr>
                <w:rFonts w:ascii="宋体" w:hAnsi="宋体" w:eastAsia="宋体" w:cs="Times New Roman"/>
                <w:color w:val="auto"/>
              </w:rPr>
              <w:t>dB（A）</w:t>
            </w:r>
          </w:p>
        </w:tc>
        <w:tc>
          <w:tcPr>
            <w:tcW w:w="1380" w:type="dxa"/>
            <w:vMerge w:val="continue"/>
            <w:vAlign w:val="center"/>
          </w:tcPr>
          <w:p w14:paraId="72E32E98">
            <w:pPr>
              <w:jc w:val="center"/>
              <w:rPr>
                <w:rFonts w:ascii="宋体" w:hAnsi="宋体" w:eastAsia="宋体" w:cs="Times New Roman"/>
                <w:color w:val="auto"/>
              </w:rPr>
            </w:pPr>
          </w:p>
        </w:tc>
      </w:tr>
      <w:tr w14:paraId="3E63A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95" w:type="dxa"/>
            <w:vAlign w:val="center"/>
          </w:tcPr>
          <w:p w14:paraId="06D0206A">
            <w:pPr>
              <w:jc w:val="center"/>
              <w:rPr>
                <w:rFonts w:ascii="宋体" w:hAnsi="宋体" w:eastAsia="宋体" w:cs="Times New Roman"/>
                <w:color w:val="auto"/>
              </w:rPr>
            </w:pPr>
            <w:r>
              <w:rPr>
                <w:rFonts w:ascii="宋体" w:hAnsi="宋体" w:eastAsia="宋体" w:cs="Times New Roman"/>
                <w:color w:val="auto"/>
              </w:rPr>
              <w:t>井场</w:t>
            </w:r>
          </w:p>
        </w:tc>
        <w:tc>
          <w:tcPr>
            <w:tcW w:w="1187" w:type="dxa"/>
            <w:vAlign w:val="center"/>
          </w:tcPr>
          <w:p w14:paraId="79783E73">
            <w:pPr>
              <w:jc w:val="center"/>
              <w:rPr>
                <w:rFonts w:ascii="宋体" w:hAnsi="宋体" w:eastAsia="宋体" w:cs="Times New Roman"/>
                <w:color w:val="auto"/>
              </w:rPr>
            </w:pPr>
            <w:r>
              <w:rPr>
                <w:rFonts w:ascii="宋体" w:hAnsi="宋体" w:eastAsia="宋体" w:cs="Times New Roman"/>
                <w:color w:val="auto"/>
              </w:rPr>
              <w:t>抽油</w:t>
            </w:r>
          </w:p>
        </w:tc>
        <w:tc>
          <w:tcPr>
            <w:tcW w:w="1010" w:type="dxa"/>
            <w:vAlign w:val="center"/>
          </w:tcPr>
          <w:p w14:paraId="1500A79C">
            <w:pPr>
              <w:jc w:val="center"/>
              <w:rPr>
                <w:rFonts w:ascii="宋体" w:hAnsi="宋体" w:eastAsia="宋体" w:cs="Times New Roman"/>
                <w:color w:val="auto"/>
              </w:rPr>
            </w:pPr>
            <w:r>
              <w:rPr>
                <w:rFonts w:ascii="宋体" w:hAnsi="宋体" w:eastAsia="宋体" w:cs="Times New Roman"/>
                <w:color w:val="auto"/>
              </w:rPr>
              <w:t>抽油机</w:t>
            </w:r>
          </w:p>
        </w:tc>
        <w:tc>
          <w:tcPr>
            <w:tcW w:w="1030" w:type="dxa"/>
            <w:vAlign w:val="center"/>
          </w:tcPr>
          <w:p w14:paraId="552AB974">
            <w:pPr>
              <w:jc w:val="center"/>
              <w:rPr>
                <w:rFonts w:ascii="宋体" w:hAnsi="宋体" w:eastAsia="宋体" w:cs="Times New Roman"/>
                <w:color w:val="auto"/>
              </w:rPr>
            </w:pPr>
            <w:r>
              <w:rPr>
                <w:rFonts w:ascii="宋体" w:hAnsi="宋体" w:eastAsia="宋体" w:cs="Times New Roman"/>
                <w:color w:val="auto"/>
              </w:rPr>
              <w:t>连续</w:t>
            </w:r>
          </w:p>
        </w:tc>
        <w:tc>
          <w:tcPr>
            <w:tcW w:w="1242" w:type="dxa"/>
            <w:vAlign w:val="center"/>
          </w:tcPr>
          <w:p w14:paraId="6319704E">
            <w:pPr>
              <w:jc w:val="center"/>
              <w:rPr>
                <w:rFonts w:ascii="宋体" w:hAnsi="宋体" w:eastAsia="宋体" w:cs="Times New Roman"/>
                <w:color w:val="auto"/>
              </w:rPr>
            </w:pPr>
            <w:r>
              <w:rPr>
                <w:rFonts w:ascii="宋体" w:hAnsi="宋体" w:eastAsia="宋体" w:cs="Times New Roman"/>
                <w:color w:val="auto"/>
              </w:rPr>
              <w:t>类比法</w:t>
            </w:r>
          </w:p>
        </w:tc>
        <w:tc>
          <w:tcPr>
            <w:tcW w:w="1410" w:type="dxa"/>
            <w:vAlign w:val="center"/>
          </w:tcPr>
          <w:p w14:paraId="61F64005">
            <w:pPr>
              <w:jc w:val="center"/>
              <w:rPr>
                <w:rFonts w:ascii="宋体" w:hAnsi="宋体" w:eastAsia="宋体" w:cs="Times New Roman"/>
                <w:color w:val="auto"/>
              </w:rPr>
            </w:pPr>
            <w:r>
              <w:rPr>
                <w:rFonts w:ascii="宋体" w:hAnsi="宋体" w:eastAsia="宋体" w:cs="Times New Roman"/>
                <w:color w:val="auto"/>
              </w:rPr>
              <w:t>65-80</w:t>
            </w:r>
          </w:p>
        </w:tc>
        <w:tc>
          <w:tcPr>
            <w:tcW w:w="2463" w:type="dxa"/>
            <w:vAlign w:val="center"/>
          </w:tcPr>
          <w:p w14:paraId="3F02D7EF">
            <w:pPr>
              <w:jc w:val="center"/>
              <w:rPr>
                <w:rFonts w:ascii="宋体" w:hAnsi="宋体" w:eastAsia="宋体" w:cs="Times New Roman"/>
                <w:color w:val="auto"/>
              </w:rPr>
            </w:pPr>
            <w:r>
              <w:rPr>
                <w:rFonts w:ascii="宋体" w:hAnsi="宋体" w:eastAsia="宋体" w:cs="Times New Roman"/>
                <w:color w:val="auto"/>
              </w:rPr>
              <w:t>低噪声设备、定期保养</w:t>
            </w:r>
          </w:p>
        </w:tc>
        <w:tc>
          <w:tcPr>
            <w:tcW w:w="1072" w:type="dxa"/>
            <w:vAlign w:val="center"/>
          </w:tcPr>
          <w:p w14:paraId="6B22B6AD">
            <w:pPr>
              <w:jc w:val="center"/>
              <w:rPr>
                <w:rFonts w:ascii="宋体" w:hAnsi="宋体" w:eastAsia="宋体" w:cs="Times New Roman"/>
                <w:color w:val="auto"/>
              </w:rPr>
            </w:pPr>
            <w:r>
              <w:rPr>
                <w:rFonts w:ascii="宋体" w:hAnsi="宋体" w:eastAsia="宋体" w:cs="Times New Roman"/>
                <w:color w:val="auto"/>
              </w:rPr>
              <w:t>/</w:t>
            </w:r>
          </w:p>
        </w:tc>
        <w:tc>
          <w:tcPr>
            <w:tcW w:w="1075" w:type="dxa"/>
            <w:vAlign w:val="center"/>
          </w:tcPr>
          <w:p w14:paraId="2DC6F64C">
            <w:pPr>
              <w:jc w:val="center"/>
              <w:rPr>
                <w:rFonts w:ascii="宋体" w:hAnsi="宋体" w:eastAsia="宋体" w:cs="Times New Roman"/>
                <w:color w:val="auto"/>
              </w:rPr>
            </w:pPr>
            <w:r>
              <w:rPr>
                <w:rFonts w:ascii="宋体" w:hAnsi="宋体" w:eastAsia="宋体" w:cs="Times New Roman"/>
                <w:color w:val="auto"/>
              </w:rPr>
              <w:t>类比法</w:t>
            </w:r>
          </w:p>
        </w:tc>
        <w:tc>
          <w:tcPr>
            <w:tcW w:w="1128" w:type="dxa"/>
            <w:vAlign w:val="center"/>
          </w:tcPr>
          <w:p w14:paraId="44E3875E">
            <w:pPr>
              <w:jc w:val="center"/>
              <w:rPr>
                <w:rFonts w:ascii="宋体" w:hAnsi="宋体" w:eastAsia="宋体" w:cs="Times New Roman"/>
                <w:color w:val="auto"/>
              </w:rPr>
            </w:pPr>
            <w:r>
              <w:rPr>
                <w:rFonts w:ascii="宋体" w:hAnsi="宋体" w:eastAsia="宋体" w:cs="Times New Roman"/>
                <w:color w:val="auto"/>
              </w:rPr>
              <w:t>65-80</w:t>
            </w:r>
          </w:p>
        </w:tc>
        <w:tc>
          <w:tcPr>
            <w:tcW w:w="1380" w:type="dxa"/>
            <w:vAlign w:val="center"/>
          </w:tcPr>
          <w:p w14:paraId="67CCFF1B">
            <w:pPr>
              <w:jc w:val="center"/>
              <w:rPr>
                <w:rFonts w:ascii="宋体" w:hAnsi="宋体" w:eastAsia="宋体" w:cs="Times New Roman"/>
                <w:color w:val="auto"/>
              </w:rPr>
            </w:pPr>
            <w:r>
              <w:rPr>
                <w:rFonts w:ascii="宋体" w:hAnsi="宋体" w:eastAsia="宋体" w:cs="Times New Roman"/>
                <w:color w:val="auto"/>
              </w:rPr>
              <w:t>7200</w:t>
            </w:r>
          </w:p>
        </w:tc>
      </w:tr>
      <w:tr w14:paraId="1DDC5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995" w:type="dxa"/>
            <w:vAlign w:val="center"/>
          </w:tcPr>
          <w:p w14:paraId="0FF62682">
            <w:pPr>
              <w:jc w:val="center"/>
              <w:rPr>
                <w:rFonts w:ascii="宋体" w:hAnsi="宋体" w:eastAsia="宋体" w:cs="Times New Roman"/>
                <w:color w:val="auto"/>
              </w:rPr>
            </w:pPr>
            <w:r>
              <w:rPr>
                <w:rFonts w:ascii="宋体" w:hAnsi="宋体" w:eastAsia="宋体" w:cs="Times New Roman"/>
                <w:color w:val="auto"/>
              </w:rPr>
              <w:t>拉油点</w:t>
            </w:r>
          </w:p>
        </w:tc>
        <w:tc>
          <w:tcPr>
            <w:tcW w:w="1187" w:type="dxa"/>
            <w:vAlign w:val="center"/>
          </w:tcPr>
          <w:p w14:paraId="713005B1">
            <w:pPr>
              <w:jc w:val="center"/>
              <w:rPr>
                <w:rFonts w:ascii="宋体" w:hAnsi="宋体" w:eastAsia="宋体" w:cs="Times New Roman"/>
                <w:color w:val="auto"/>
              </w:rPr>
            </w:pPr>
            <w:r>
              <w:rPr>
                <w:rFonts w:ascii="宋体" w:hAnsi="宋体" w:eastAsia="宋体" w:cs="Times New Roman"/>
                <w:color w:val="auto"/>
              </w:rPr>
              <w:t>储罐</w:t>
            </w:r>
          </w:p>
        </w:tc>
        <w:tc>
          <w:tcPr>
            <w:tcW w:w="1010" w:type="dxa"/>
            <w:vAlign w:val="center"/>
          </w:tcPr>
          <w:p w14:paraId="5A57478B">
            <w:pPr>
              <w:jc w:val="center"/>
              <w:rPr>
                <w:rFonts w:ascii="宋体" w:hAnsi="宋体" w:eastAsia="宋体" w:cs="Times New Roman"/>
                <w:color w:val="auto"/>
              </w:rPr>
            </w:pPr>
            <w:r>
              <w:rPr>
                <w:rFonts w:ascii="宋体" w:hAnsi="宋体" w:eastAsia="宋体" w:cs="Times New Roman"/>
                <w:color w:val="auto"/>
              </w:rPr>
              <w:t>燃烧器</w:t>
            </w:r>
          </w:p>
        </w:tc>
        <w:tc>
          <w:tcPr>
            <w:tcW w:w="1030" w:type="dxa"/>
            <w:vAlign w:val="center"/>
          </w:tcPr>
          <w:p w14:paraId="61607D3B">
            <w:pPr>
              <w:jc w:val="center"/>
              <w:rPr>
                <w:rFonts w:ascii="宋体" w:hAnsi="宋体" w:eastAsia="宋体" w:cs="Times New Roman"/>
                <w:color w:val="auto"/>
              </w:rPr>
            </w:pPr>
            <w:r>
              <w:rPr>
                <w:rFonts w:ascii="宋体" w:hAnsi="宋体" w:eastAsia="宋体" w:cs="Times New Roman"/>
                <w:color w:val="auto"/>
              </w:rPr>
              <w:t>连续</w:t>
            </w:r>
          </w:p>
        </w:tc>
        <w:tc>
          <w:tcPr>
            <w:tcW w:w="1242" w:type="dxa"/>
            <w:vAlign w:val="center"/>
          </w:tcPr>
          <w:p w14:paraId="4DB12330">
            <w:pPr>
              <w:jc w:val="center"/>
              <w:rPr>
                <w:rFonts w:ascii="宋体" w:hAnsi="宋体" w:eastAsia="宋体" w:cs="Times New Roman"/>
                <w:color w:val="auto"/>
              </w:rPr>
            </w:pPr>
            <w:r>
              <w:rPr>
                <w:rFonts w:ascii="宋体" w:hAnsi="宋体" w:eastAsia="宋体" w:cs="Times New Roman"/>
                <w:color w:val="auto"/>
              </w:rPr>
              <w:t>类比法</w:t>
            </w:r>
          </w:p>
        </w:tc>
        <w:tc>
          <w:tcPr>
            <w:tcW w:w="1410" w:type="dxa"/>
            <w:vAlign w:val="center"/>
          </w:tcPr>
          <w:p w14:paraId="1F9FD1B7">
            <w:pPr>
              <w:jc w:val="center"/>
              <w:rPr>
                <w:rFonts w:ascii="宋体" w:hAnsi="宋体" w:eastAsia="宋体" w:cs="Times New Roman"/>
                <w:color w:val="auto"/>
              </w:rPr>
            </w:pPr>
            <w:r>
              <w:rPr>
                <w:rFonts w:ascii="宋体" w:hAnsi="宋体" w:eastAsia="宋体" w:cs="Times New Roman"/>
                <w:color w:val="auto"/>
              </w:rPr>
              <w:t>70-75</w:t>
            </w:r>
          </w:p>
        </w:tc>
        <w:tc>
          <w:tcPr>
            <w:tcW w:w="2463" w:type="dxa"/>
            <w:vAlign w:val="center"/>
          </w:tcPr>
          <w:p w14:paraId="513D14D3">
            <w:pPr>
              <w:jc w:val="center"/>
              <w:rPr>
                <w:rFonts w:ascii="宋体" w:hAnsi="宋体" w:eastAsia="宋体" w:cs="Times New Roman"/>
                <w:color w:val="auto"/>
              </w:rPr>
            </w:pPr>
            <w:r>
              <w:rPr>
                <w:rFonts w:ascii="宋体" w:hAnsi="宋体" w:eastAsia="宋体" w:cs="Times New Roman"/>
                <w:color w:val="auto"/>
              </w:rPr>
              <w:t>低噪声设备、定期保养</w:t>
            </w:r>
          </w:p>
        </w:tc>
        <w:tc>
          <w:tcPr>
            <w:tcW w:w="1072" w:type="dxa"/>
            <w:vAlign w:val="center"/>
          </w:tcPr>
          <w:p w14:paraId="2F54B719">
            <w:pPr>
              <w:jc w:val="center"/>
              <w:rPr>
                <w:rFonts w:ascii="宋体" w:hAnsi="宋体" w:eastAsia="宋体" w:cs="Times New Roman"/>
                <w:color w:val="auto"/>
              </w:rPr>
            </w:pPr>
            <w:r>
              <w:rPr>
                <w:rFonts w:ascii="宋体" w:hAnsi="宋体" w:eastAsia="宋体" w:cs="Times New Roman"/>
                <w:color w:val="auto"/>
              </w:rPr>
              <w:t>/</w:t>
            </w:r>
          </w:p>
        </w:tc>
        <w:tc>
          <w:tcPr>
            <w:tcW w:w="1075" w:type="dxa"/>
            <w:vAlign w:val="center"/>
          </w:tcPr>
          <w:p w14:paraId="600108C1">
            <w:pPr>
              <w:jc w:val="center"/>
              <w:rPr>
                <w:rFonts w:ascii="宋体" w:hAnsi="宋体" w:eastAsia="宋体" w:cs="Times New Roman"/>
                <w:color w:val="auto"/>
              </w:rPr>
            </w:pPr>
            <w:r>
              <w:rPr>
                <w:rFonts w:ascii="宋体" w:hAnsi="宋体" w:eastAsia="宋体" w:cs="Times New Roman"/>
                <w:color w:val="auto"/>
              </w:rPr>
              <w:t>类比法</w:t>
            </w:r>
          </w:p>
        </w:tc>
        <w:tc>
          <w:tcPr>
            <w:tcW w:w="1128" w:type="dxa"/>
            <w:vAlign w:val="center"/>
          </w:tcPr>
          <w:p w14:paraId="22B9C9AE">
            <w:pPr>
              <w:jc w:val="center"/>
              <w:rPr>
                <w:rFonts w:ascii="宋体" w:hAnsi="宋体" w:eastAsia="宋体" w:cs="Times New Roman"/>
                <w:color w:val="auto"/>
              </w:rPr>
            </w:pPr>
            <w:r>
              <w:rPr>
                <w:rFonts w:ascii="宋体" w:hAnsi="宋体" w:eastAsia="宋体" w:cs="Times New Roman"/>
                <w:color w:val="auto"/>
              </w:rPr>
              <w:t>70-75</w:t>
            </w:r>
          </w:p>
        </w:tc>
        <w:tc>
          <w:tcPr>
            <w:tcW w:w="1380" w:type="dxa"/>
            <w:vAlign w:val="center"/>
          </w:tcPr>
          <w:p w14:paraId="4C7ACB76">
            <w:pPr>
              <w:jc w:val="center"/>
              <w:rPr>
                <w:rFonts w:ascii="宋体" w:hAnsi="宋体" w:eastAsia="宋体" w:cs="Times New Roman"/>
                <w:color w:val="auto"/>
              </w:rPr>
            </w:pPr>
            <w:r>
              <w:rPr>
                <w:rFonts w:ascii="宋体" w:hAnsi="宋体" w:eastAsia="宋体" w:cs="Times New Roman"/>
                <w:color w:val="auto"/>
              </w:rPr>
              <w:t>8760</w:t>
            </w:r>
          </w:p>
        </w:tc>
      </w:tr>
    </w:tbl>
    <w:p w14:paraId="281C2C64">
      <w:pPr>
        <w:pStyle w:val="276"/>
        <w:widowControl w:val="0"/>
        <w:spacing w:line="440" w:lineRule="exact"/>
        <w:ind w:firstLine="0" w:firstLineChars="0"/>
        <w:jc w:val="center"/>
        <w:rPr>
          <w:color w:val="auto"/>
          <w:kern w:val="2"/>
        </w:rPr>
      </w:pPr>
      <w:r>
        <w:rPr>
          <w:color w:val="auto"/>
          <w:kern w:val="2"/>
        </w:rPr>
        <w:t>表3.12-19 运营期</w:t>
      </w:r>
      <w:r>
        <w:rPr>
          <w:color w:val="auto"/>
        </w:rPr>
        <w:t>固体废物</w:t>
      </w:r>
      <w:r>
        <w:rPr>
          <w:color w:val="auto"/>
          <w:kern w:val="2"/>
        </w:rPr>
        <w:t>污染源源强核算结果及相关参数一览表</w:t>
      </w:r>
    </w:p>
    <w:tbl>
      <w:tblPr>
        <w:tblStyle w:val="81"/>
        <w:tblW w:w="139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3"/>
        <w:gridCol w:w="1313"/>
        <w:gridCol w:w="1312"/>
        <w:gridCol w:w="1094"/>
        <w:gridCol w:w="1150"/>
        <w:gridCol w:w="1043"/>
        <w:gridCol w:w="2551"/>
        <w:gridCol w:w="992"/>
        <w:gridCol w:w="3224"/>
      </w:tblGrid>
      <w:tr w14:paraId="153ED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13" w:type="dxa"/>
            <w:vMerge w:val="restart"/>
            <w:vAlign w:val="center"/>
          </w:tcPr>
          <w:p w14:paraId="5BDFC56E">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工序/生产线</w:t>
            </w:r>
          </w:p>
        </w:tc>
        <w:tc>
          <w:tcPr>
            <w:tcW w:w="1313" w:type="dxa"/>
            <w:vMerge w:val="restart"/>
            <w:vAlign w:val="center"/>
          </w:tcPr>
          <w:p w14:paraId="32A5E348">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装置</w:t>
            </w:r>
          </w:p>
        </w:tc>
        <w:tc>
          <w:tcPr>
            <w:tcW w:w="1312" w:type="dxa"/>
            <w:vMerge w:val="restart"/>
            <w:vAlign w:val="center"/>
          </w:tcPr>
          <w:p w14:paraId="210CFE3A">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固体废物名称</w:t>
            </w:r>
          </w:p>
        </w:tc>
        <w:tc>
          <w:tcPr>
            <w:tcW w:w="1094" w:type="dxa"/>
            <w:vMerge w:val="restart"/>
            <w:vAlign w:val="center"/>
          </w:tcPr>
          <w:p w14:paraId="0A81ABF9">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固废属性</w:t>
            </w:r>
          </w:p>
        </w:tc>
        <w:tc>
          <w:tcPr>
            <w:tcW w:w="2193" w:type="dxa"/>
            <w:gridSpan w:val="2"/>
            <w:vAlign w:val="center"/>
          </w:tcPr>
          <w:p w14:paraId="2BAF2C13">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产生情况</w:t>
            </w:r>
          </w:p>
        </w:tc>
        <w:tc>
          <w:tcPr>
            <w:tcW w:w="3543" w:type="dxa"/>
            <w:gridSpan w:val="2"/>
            <w:vAlign w:val="center"/>
          </w:tcPr>
          <w:p w14:paraId="7A3AACB7">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处置措施</w:t>
            </w:r>
          </w:p>
        </w:tc>
        <w:tc>
          <w:tcPr>
            <w:tcW w:w="3224" w:type="dxa"/>
            <w:vMerge w:val="restart"/>
            <w:vAlign w:val="center"/>
          </w:tcPr>
          <w:p w14:paraId="3800E430">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最终去向</w:t>
            </w:r>
          </w:p>
        </w:tc>
      </w:tr>
      <w:tr w14:paraId="1AE4B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13" w:type="dxa"/>
            <w:vMerge w:val="continue"/>
            <w:vAlign w:val="center"/>
          </w:tcPr>
          <w:p w14:paraId="27677FB5">
            <w:pPr>
              <w:tabs>
                <w:tab w:val="center" w:pos="4153"/>
                <w:tab w:val="right" w:pos="8306"/>
              </w:tabs>
              <w:spacing w:line="320" w:lineRule="exact"/>
              <w:jc w:val="center"/>
              <w:rPr>
                <w:rFonts w:ascii="宋体" w:hAnsi="宋体" w:eastAsia="宋体" w:cs="Times New Roman"/>
                <w:snapToGrid w:val="0"/>
                <w:color w:val="auto"/>
              </w:rPr>
            </w:pPr>
          </w:p>
        </w:tc>
        <w:tc>
          <w:tcPr>
            <w:tcW w:w="1313" w:type="dxa"/>
            <w:vMerge w:val="continue"/>
            <w:vAlign w:val="center"/>
          </w:tcPr>
          <w:p w14:paraId="489B1CBE">
            <w:pPr>
              <w:tabs>
                <w:tab w:val="center" w:pos="4153"/>
                <w:tab w:val="right" w:pos="8306"/>
              </w:tabs>
              <w:spacing w:line="320" w:lineRule="exact"/>
              <w:jc w:val="center"/>
              <w:rPr>
                <w:rFonts w:ascii="宋体" w:hAnsi="宋体" w:eastAsia="宋体" w:cs="Times New Roman"/>
                <w:snapToGrid w:val="0"/>
                <w:color w:val="auto"/>
              </w:rPr>
            </w:pPr>
          </w:p>
        </w:tc>
        <w:tc>
          <w:tcPr>
            <w:tcW w:w="1312" w:type="dxa"/>
            <w:vMerge w:val="continue"/>
            <w:vAlign w:val="center"/>
          </w:tcPr>
          <w:p w14:paraId="01AA84A3">
            <w:pPr>
              <w:tabs>
                <w:tab w:val="center" w:pos="4153"/>
                <w:tab w:val="right" w:pos="8306"/>
              </w:tabs>
              <w:spacing w:line="320" w:lineRule="exact"/>
              <w:jc w:val="center"/>
              <w:rPr>
                <w:rFonts w:ascii="宋体" w:hAnsi="宋体" w:eastAsia="宋体" w:cs="Times New Roman"/>
                <w:snapToGrid w:val="0"/>
                <w:color w:val="auto"/>
              </w:rPr>
            </w:pPr>
          </w:p>
        </w:tc>
        <w:tc>
          <w:tcPr>
            <w:tcW w:w="1094" w:type="dxa"/>
            <w:vMerge w:val="continue"/>
            <w:vAlign w:val="center"/>
          </w:tcPr>
          <w:p w14:paraId="05AF0C01">
            <w:pPr>
              <w:tabs>
                <w:tab w:val="center" w:pos="4153"/>
                <w:tab w:val="right" w:pos="8306"/>
              </w:tabs>
              <w:spacing w:line="320" w:lineRule="exact"/>
              <w:jc w:val="center"/>
              <w:rPr>
                <w:rFonts w:ascii="宋体" w:hAnsi="宋体" w:eastAsia="宋体" w:cs="Times New Roman"/>
                <w:snapToGrid w:val="0"/>
                <w:color w:val="auto"/>
              </w:rPr>
            </w:pPr>
          </w:p>
        </w:tc>
        <w:tc>
          <w:tcPr>
            <w:tcW w:w="1150" w:type="dxa"/>
            <w:vAlign w:val="center"/>
          </w:tcPr>
          <w:p w14:paraId="276C2AFB">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核算方法</w:t>
            </w:r>
          </w:p>
        </w:tc>
        <w:tc>
          <w:tcPr>
            <w:tcW w:w="1043" w:type="dxa"/>
            <w:vAlign w:val="center"/>
          </w:tcPr>
          <w:p w14:paraId="7BB99485">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产生量（t/a）</w:t>
            </w:r>
          </w:p>
        </w:tc>
        <w:tc>
          <w:tcPr>
            <w:tcW w:w="2551" w:type="dxa"/>
            <w:vAlign w:val="center"/>
          </w:tcPr>
          <w:p w14:paraId="1983AFDD">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工艺</w:t>
            </w:r>
          </w:p>
        </w:tc>
        <w:tc>
          <w:tcPr>
            <w:tcW w:w="992" w:type="dxa"/>
            <w:vAlign w:val="center"/>
          </w:tcPr>
          <w:p w14:paraId="6BFE5E9D">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处置量（t/a）</w:t>
            </w:r>
          </w:p>
        </w:tc>
        <w:tc>
          <w:tcPr>
            <w:tcW w:w="3224" w:type="dxa"/>
            <w:vMerge w:val="continue"/>
            <w:vAlign w:val="center"/>
          </w:tcPr>
          <w:p w14:paraId="1880A91E">
            <w:pPr>
              <w:tabs>
                <w:tab w:val="center" w:pos="4153"/>
                <w:tab w:val="right" w:pos="8306"/>
              </w:tabs>
              <w:spacing w:line="320" w:lineRule="exact"/>
              <w:jc w:val="center"/>
              <w:rPr>
                <w:rFonts w:ascii="宋体" w:hAnsi="宋体" w:eastAsia="宋体" w:cs="Times New Roman"/>
                <w:snapToGrid w:val="0"/>
                <w:color w:val="auto"/>
              </w:rPr>
            </w:pPr>
          </w:p>
        </w:tc>
      </w:tr>
      <w:tr w14:paraId="23519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1313" w:type="dxa"/>
            <w:vAlign w:val="center"/>
          </w:tcPr>
          <w:p w14:paraId="5324DAC8">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原油集输</w:t>
            </w:r>
          </w:p>
        </w:tc>
        <w:tc>
          <w:tcPr>
            <w:tcW w:w="1313" w:type="dxa"/>
            <w:vAlign w:val="center"/>
          </w:tcPr>
          <w:p w14:paraId="47EA0AA4">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拉油点储罐、场站</w:t>
            </w:r>
          </w:p>
        </w:tc>
        <w:tc>
          <w:tcPr>
            <w:tcW w:w="1312" w:type="dxa"/>
            <w:vAlign w:val="center"/>
          </w:tcPr>
          <w:p w14:paraId="78A70333">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含油污泥</w:t>
            </w:r>
          </w:p>
        </w:tc>
        <w:tc>
          <w:tcPr>
            <w:tcW w:w="1094" w:type="dxa"/>
            <w:vAlign w:val="center"/>
          </w:tcPr>
          <w:p w14:paraId="3A32C2A0">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危险废物</w:t>
            </w:r>
          </w:p>
        </w:tc>
        <w:tc>
          <w:tcPr>
            <w:tcW w:w="1150" w:type="dxa"/>
            <w:vAlign w:val="center"/>
          </w:tcPr>
          <w:p w14:paraId="48613AC8">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043" w:type="dxa"/>
            <w:vAlign w:val="center"/>
          </w:tcPr>
          <w:p w14:paraId="5518EF82">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color w:val="auto"/>
              </w:rPr>
              <w:t>0.348</w:t>
            </w:r>
          </w:p>
        </w:tc>
        <w:tc>
          <w:tcPr>
            <w:tcW w:w="2551" w:type="dxa"/>
            <w:vAlign w:val="center"/>
          </w:tcPr>
          <w:p w14:paraId="38A93ACC">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热解+冷凝</w:t>
            </w:r>
          </w:p>
        </w:tc>
        <w:tc>
          <w:tcPr>
            <w:tcW w:w="992" w:type="dxa"/>
            <w:vAlign w:val="center"/>
          </w:tcPr>
          <w:p w14:paraId="4F418584">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color w:val="auto"/>
              </w:rPr>
              <w:t>0.348</w:t>
            </w:r>
          </w:p>
        </w:tc>
        <w:tc>
          <w:tcPr>
            <w:tcW w:w="3224" w:type="dxa"/>
            <w:vMerge w:val="restart"/>
            <w:vAlign w:val="center"/>
          </w:tcPr>
          <w:p w14:paraId="1FABF7E4">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由罐车拉运至朝一联含油污泥处理站减量化处理后，再委托大庆博昕晶化科技有限公司处理达标后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r>
      <w:tr w14:paraId="752DE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13" w:type="dxa"/>
            <w:vAlign w:val="center"/>
          </w:tcPr>
          <w:p w14:paraId="0D3F2DD4">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油井作业</w:t>
            </w:r>
          </w:p>
        </w:tc>
        <w:tc>
          <w:tcPr>
            <w:tcW w:w="1313" w:type="dxa"/>
            <w:vAlign w:val="center"/>
          </w:tcPr>
          <w:p w14:paraId="4BCDDF5A">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油井</w:t>
            </w:r>
          </w:p>
        </w:tc>
        <w:tc>
          <w:tcPr>
            <w:tcW w:w="1312" w:type="dxa"/>
            <w:vAlign w:val="center"/>
          </w:tcPr>
          <w:p w14:paraId="33FE6885">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color w:val="auto"/>
              </w:rPr>
              <w:t>落地油</w:t>
            </w:r>
          </w:p>
        </w:tc>
        <w:tc>
          <w:tcPr>
            <w:tcW w:w="1094" w:type="dxa"/>
            <w:vAlign w:val="center"/>
          </w:tcPr>
          <w:p w14:paraId="41FC9494">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危险废物</w:t>
            </w:r>
          </w:p>
        </w:tc>
        <w:tc>
          <w:tcPr>
            <w:tcW w:w="1150" w:type="dxa"/>
            <w:vAlign w:val="center"/>
          </w:tcPr>
          <w:p w14:paraId="11DCB893">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043" w:type="dxa"/>
            <w:vAlign w:val="center"/>
          </w:tcPr>
          <w:p w14:paraId="5BA1ABD4">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color w:val="auto"/>
              </w:rPr>
              <w:t>0.13</w:t>
            </w:r>
          </w:p>
        </w:tc>
        <w:tc>
          <w:tcPr>
            <w:tcW w:w="2551" w:type="dxa"/>
            <w:vAlign w:val="center"/>
          </w:tcPr>
          <w:p w14:paraId="6449C858">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热解+冷凝</w:t>
            </w:r>
          </w:p>
        </w:tc>
        <w:tc>
          <w:tcPr>
            <w:tcW w:w="992" w:type="dxa"/>
            <w:vAlign w:val="center"/>
          </w:tcPr>
          <w:p w14:paraId="7D97BA1F">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color w:val="auto"/>
              </w:rPr>
              <w:t>0.13</w:t>
            </w:r>
          </w:p>
        </w:tc>
        <w:tc>
          <w:tcPr>
            <w:tcW w:w="3224" w:type="dxa"/>
            <w:vMerge w:val="continue"/>
            <w:vAlign w:val="center"/>
          </w:tcPr>
          <w:p w14:paraId="40CC3584">
            <w:pPr>
              <w:tabs>
                <w:tab w:val="center" w:pos="4153"/>
                <w:tab w:val="right" w:pos="8306"/>
              </w:tabs>
              <w:spacing w:line="320" w:lineRule="exact"/>
              <w:jc w:val="center"/>
              <w:rPr>
                <w:rFonts w:ascii="宋体" w:hAnsi="宋体" w:eastAsia="宋体" w:cs="Times New Roman"/>
                <w:iCs/>
                <w:color w:val="auto"/>
              </w:rPr>
            </w:pPr>
          </w:p>
        </w:tc>
      </w:tr>
      <w:tr w14:paraId="40258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13" w:type="dxa"/>
            <w:vAlign w:val="center"/>
          </w:tcPr>
          <w:p w14:paraId="7CC41304">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油井作业</w:t>
            </w:r>
          </w:p>
        </w:tc>
        <w:tc>
          <w:tcPr>
            <w:tcW w:w="1313" w:type="dxa"/>
            <w:vAlign w:val="center"/>
          </w:tcPr>
          <w:p w14:paraId="091A8D8C">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油井</w:t>
            </w:r>
          </w:p>
        </w:tc>
        <w:tc>
          <w:tcPr>
            <w:tcW w:w="1312" w:type="dxa"/>
            <w:vAlign w:val="center"/>
          </w:tcPr>
          <w:p w14:paraId="5AB4E888">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含油废防渗布</w:t>
            </w:r>
          </w:p>
        </w:tc>
        <w:tc>
          <w:tcPr>
            <w:tcW w:w="1094" w:type="dxa"/>
            <w:vAlign w:val="center"/>
          </w:tcPr>
          <w:p w14:paraId="69499DD8">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危险废物</w:t>
            </w:r>
          </w:p>
        </w:tc>
        <w:tc>
          <w:tcPr>
            <w:tcW w:w="1150" w:type="dxa"/>
            <w:vAlign w:val="center"/>
          </w:tcPr>
          <w:p w14:paraId="48394BA6">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1043" w:type="dxa"/>
            <w:vAlign w:val="center"/>
          </w:tcPr>
          <w:p w14:paraId="5917F386">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0.07</w:t>
            </w:r>
          </w:p>
        </w:tc>
        <w:tc>
          <w:tcPr>
            <w:tcW w:w="2551" w:type="dxa"/>
            <w:vAlign w:val="center"/>
          </w:tcPr>
          <w:p w14:paraId="06E63BD1">
            <w:pPr>
              <w:tabs>
                <w:tab w:val="center" w:pos="4153"/>
                <w:tab w:val="right" w:pos="8306"/>
              </w:tabs>
              <w:spacing w:line="320" w:lineRule="exact"/>
              <w:jc w:val="center"/>
              <w:rPr>
                <w:rFonts w:ascii="宋体" w:hAnsi="宋体" w:eastAsia="宋体" w:cs="Times New Roman"/>
                <w:color w:val="auto"/>
              </w:rPr>
            </w:pPr>
            <w:r>
              <w:rPr>
                <w:rFonts w:ascii="宋体" w:hAnsi="宋体" w:eastAsia="宋体" w:cs="Times New Roman"/>
                <w:snapToGrid w:val="0"/>
                <w:color w:val="auto"/>
              </w:rPr>
              <w:t>收集后暂存于第十采油厂综合固废储存库，定期委托有资质单位处理</w:t>
            </w:r>
          </w:p>
        </w:tc>
        <w:tc>
          <w:tcPr>
            <w:tcW w:w="992" w:type="dxa"/>
            <w:vAlign w:val="center"/>
          </w:tcPr>
          <w:p w14:paraId="49917620">
            <w:pPr>
              <w:tabs>
                <w:tab w:val="center" w:pos="4153"/>
                <w:tab w:val="right" w:pos="8306"/>
              </w:tabs>
              <w:spacing w:line="320" w:lineRule="exact"/>
              <w:jc w:val="center"/>
              <w:rPr>
                <w:rFonts w:ascii="宋体" w:hAnsi="宋体" w:eastAsia="宋体" w:cs="Times New Roman"/>
                <w:snapToGrid w:val="0"/>
                <w:color w:val="auto"/>
              </w:rPr>
            </w:pPr>
            <w:r>
              <w:rPr>
                <w:rFonts w:ascii="宋体" w:hAnsi="宋体" w:eastAsia="宋体" w:cs="Times New Roman"/>
                <w:snapToGrid w:val="0"/>
                <w:color w:val="auto"/>
              </w:rPr>
              <w:t>0.07</w:t>
            </w:r>
          </w:p>
        </w:tc>
        <w:tc>
          <w:tcPr>
            <w:tcW w:w="3224" w:type="dxa"/>
            <w:vAlign w:val="center"/>
          </w:tcPr>
          <w:p w14:paraId="6C6D821D">
            <w:pPr>
              <w:tabs>
                <w:tab w:val="center" w:pos="4153"/>
                <w:tab w:val="right" w:pos="8306"/>
              </w:tabs>
              <w:spacing w:line="320" w:lineRule="exact"/>
              <w:jc w:val="center"/>
              <w:rPr>
                <w:rFonts w:ascii="宋体" w:hAnsi="宋体" w:eastAsia="宋体" w:cs="Times New Roman"/>
                <w:color w:val="auto"/>
              </w:rPr>
            </w:pPr>
            <w:r>
              <w:rPr>
                <w:rFonts w:ascii="宋体" w:hAnsi="宋体" w:eastAsia="宋体" w:cs="Times New Roman"/>
                <w:snapToGrid w:val="0"/>
                <w:color w:val="auto"/>
              </w:rPr>
              <w:t>由有资质单位进行处理</w:t>
            </w:r>
          </w:p>
        </w:tc>
      </w:tr>
    </w:tbl>
    <w:p w14:paraId="79B52E46">
      <w:pPr>
        <w:pStyle w:val="276"/>
        <w:widowControl w:val="0"/>
        <w:spacing w:line="440" w:lineRule="exact"/>
        <w:ind w:firstLine="0" w:firstLineChars="0"/>
        <w:jc w:val="center"/>
        <w:rPr>
          <w:color w:val="auto"/>
        </w:rPr>
      </w:pPr>
      <w:r>
        <w:rPr>
          <w:color w:val="auto"/>
        </w:rPr>
        <w:t>表3.12-20 退役期废气污染源源强核算结果及相关参数一览表</w:t>
      </w:r>
    </w:p>
    <w:tbl>
      <w:tblPr>
        <w:tblStyle w:val="81"/>
        <w:tblW w:w="139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5"/>
        <w:gridCol w:w="647"/>
        <w:gridCol w:w="686"/>
        <w:gridCol w:w="1251"/>
        <w:gridCol w:w="915"/>
        <w:gridCol w:w="1052"/>
        <w:gridCol w:w="1184"/>
        <w:gridCol w:w="6"/>
        <w:gridCol w:w="697"/>
        <w:gridCol w:w="1086"/>
        <w:gridCol w:w="918"/>
        <w:gridCol w:w="649"/>
        <w:gridCol w:w="1052"/>
        <w:gridCol w:w="1315"/>
        <w:gridCol w:w="1013"/>
        <w:gridCol w:w="876"/>
      </w:tblGrid>
      <w:tr w14:paraId="55281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5" w:type="dxa"/>
            <w:vMerge w:val="restart"/>
            <w:vAlign w:val="center"/>
          </w:tcPr>
          <w:p w14:paraId="36BD2147">
            <w:pPr>
              <w:adjustRightInd w:val="0"/>
              <w:spacing w:line="360" w:lineRule="exact"/>
              <w:jc w:val="center"/>
              <w:rPr>
                <w:rFonts w:ascii="宋体" w:hAnsi="宋体" w:eastAsia="宋体" w:cs="Times New Roman"/>
                <w:color w:val="auto"/>
              </w:rPr>
            </w:pPr>
            <w:r>
              <w:rPr>
                <w:rFonts w:ascii="宋体" w:hAnsi="宋体" w:eastAsia="宋体" w:cs="Times New Roman"/>
                <w:color w:val="auto"/>
              </w:rPr>
              <w:t>工序</w:t>
            </w:r>
          </w:p>
        </w:tc>
        <w:tc>
          <w:tcPr>
            <w:tcW w:w="647" w:type="dxa"/>
            <w:vMerge w:val="restart"/>
            <w:vAlign w:val="center"/>
          </w:tcPr>
          <w:p w14:paraId="10B25F5C">
            <w:pPr>
              <w:adjustRightInd w:val="0"/>
              <w:spacing w:line="360" w:lineRule="exact"/>
              <w:jc w:val="center"/>
              <w:rPr>
                <w:rFonts w:ascii="宋体" w:hAnsi="宋体" w:eastAsia="宋体" w:cs="Times New Roman"/>
                <w:color w:val="auto"/>
              </w:rPr>
            </w:pPr>
            <w:r>
              <w:rPr>
                <w:rFonts w:ascii="宋体" w:hAnsi="宋体" w:eastAsia="宋体" w:cs="Times New Roman"/>
                <w:color w:val="auto"/>
              </w:rPr>
              <w:t>装置</w:t>
            </w:r>
          </w:p>
        </w:tc>
        <w:tc>
          <w:tcPr>
            <w:tcW w:w="686" w:type="dxa"/>
            <w:vMerge w:val="restart"/>
            <w:vAlign w:val="center"/>
          </w:tcPr>
          <w:p w14:paraId="2601199A">
            <w:pPr>
              <w:adjustRightInd w:val="0"/>
              <w:spacing w:line="360" w:lineRule="exact"/>
              <w:jc w:val="center"/>
              <w:rPr>
                <w:rFonts w:ascii="宋体" w:hAnsi="宋体" w:eastAsia="宋体" w:cs="Times New Roman"/>
                <w:color w:val="auto"/>
              </w:rPr>
            </w:pPr>
            <w:r>
              <w:rPr>
                <w:rFonts w:ascii="宋体" w:hAnsi="宋体" w:eastAsia="宋体" w:cs="Times New Roman"/>
                <w:color w:val="auto"/>
              </w:rPr>
              <w:t>污染源</w:t>
            </w:r>
          </w:p>
        </w:tc>
        <w:tc>
          <w:tcPr>
            <w:tcW w:w="1251" w:type="dxa"/>
            <w:vMerge w:val="restart"/>
            <w:vAlign w:val="center"/>
          </w:tcPr>
          <w:p w14:paraId="133FDFDF">
            <w:pPr>
              <w:adjustRightInd w:val="0"/>
              <w:spacing w:line="360" w:lineRule="exact"/>
              <w:jc w:val="center"/>
              <w:rPr>
                <w:rFonts w:ascii="宋体" w:hAnsi="宋体" w:eastAsia="宋体" w:cs="Times New Roman"/>
                <w:color w:val="auto"/>
              </w:rPr>
            </w:pPr>
            <w:r>
              <w:rPr>
                <w:rFonts w:ascii="宋体" w:hAnsi="宋体" w:eastAsia="宋体" w:cs="Times New Roman"/>
                <w:color w:val="auto"/>
              </w:rPr>
              <w:t>污染物</w:t>
            </w:r>
          </w:p>
        </w:tc>
        <w:tc>
          <w:tcPr>
            <w:tcW w:w="3854" w:type="dxa"/>
            <w:gridSpan w:val="5"/>
            <w:vAlign w:val="center"/>
          </w:tcPr>
          <w:p w14:paraId="147C26F6">
            <w:pPr>
              <w:adjustRightInd w:val="0"/>
              <w:spacing w:line="360" w:lineRule="exact"/>
              <w:jc w:val="center"/>
              <w:rPr>
                <w:rFonts w:ascii="宋体" w:hAnsi="宋体" w:eastAsia="宋体" w:cs="Times New Roman"/>
                <w:color w:val="auto"/>
              </w:rPr>
            </w:pPr>
            <w:r>
              <w:rPr>
                <w:rFonts w:ascii="宋体" w:hAnsi="宋体" w:eastAsia="宋体" w:cs="Times New Roman"/>
                <w:color w:val="auto"/>
              </w:rPr>
              <w:t>污染物产生</w:t>
            </w:r>
          </w:p>
        </w:tc>
        <w:tc>
          <w:tcPr>
            <w:tcW w:w="2004" w:type="dxa"/>
            <w:gridSpan w:val="2"/>
            <w:vAlign w:val="center"/>
          </w:tcPr>
          <w:p w14:paraId="79EF60A3">
            <w:pPr>
              <w:adjustRightInd w:val="0"/>
              <w:spacing w:line="360" w:lineRule="exact"/>
              <w:jc w:val="center"/>
              <w:rPr>
                <w:rFonts w:ascii="宋体" w:hAnsi="宋体" w:eastAsia="宋体" w:cs="Times New Roman"/>
                <w:color w:val="auto"/>
              </w:rPr>
            </w:pPr>
            <w:r>
              <w:rPr>
                <w:rFonts w:ascii="宋体" w:hAnsi="宋体" w:eastAsia="宋体" w:cs="Times New Roman"/>
                <w:color w:val="auto"/>
              </w:rPr>
              <w:t>治理措施</w:t>
            </w:r>
          </w:p>
        </w:tc>
        <w:tc>
          <w:tcPr>
            <w:tcW w:w="4029" w:type="dxa"/>
            <w:gridSpan w:val="4"/>
            <w:vAlign w:val="center"/>
          </w:tcPr>
          <w:p w14:paraId="6F5B5309">
            <w:pPr>
              <w:adjustRightInd w:val="0"/>
              <w:spacing w:line="360" w:lineRule="exact"/>
              <w:jc w:val="center"/>
              <w:rPr>
                <w:rFonts w:ascii="宋体" w:hAnsi="宋体" w:eastAsia="宋体" w:cs="Times New Roman"/>
                <w:color w:val="auto"/>
              </w:rPr>
            </w:pPr>
            <w:r>
              <w:rPr>
                <w:rFonts w:ascii="宋体" w:hAnsi="宋体" w:eastAsia="宋体" w:cs="Times New Roman"/>
                <w:color w:val="auto"/>
              </w:rPr>
              <w:t>污染物排放</w:t>
            </w:r>
          </w:p>
        </w:tc>
        <w:tc>
          <w:tcPr>
            <w:tcW w:w="876" w:type="dxa"/>
            <w:vMerge w:val="restart"/>
            <w:vAlign w:val="center"/>
          </w:tcPr>
          <w:p w14:paraId="1D8D69FF">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排放时间d</w:t>
            </w:r>
          </w:p>
        </w:tc>
      </w:tr>
      <w:tr w14:paraId="594CB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5" w:type="dxa"/>
            <w:vMerge w:val="continue"/>
            <w:vAlign w:val="center"/>
          </w:tcPr>
          <w:p w14:paraId="7E8D898C">
            <w:pPr>
              <w:adjustRightInd w:val="0"/>
              <w:spacing w:line="360" w:lineRule="exact"/>
              <w:jc w:val="center"/>
              <w:rPr>
                <w:rFonts w:ascii="宋体" w:hAnsi="宋体" w:eastAsia="宋体" w:cs="Times New Roman"/>
                <w:color w:val="auto"/>
              </w:rPr>
            </w:pPr>
          </w:p>
        </w:tc>
        <w:tc>
          <w:tcPr>
            <w:tcW w:w="647" w:type="dxa"/>
            <w:vMerge w:val="continue"/>
            <w:vAlign w:val="center"/>
          </w:tcPr>
          <w:p w14:paraId="16E2B307">
            <w:pPr>
              <w:adjustRightInd w:val="0"/>
              <w:spacing w:line="360" w:lineRule="exact"/>
              <w:jc w:val="center"/>
              <w:rPr>
                <w:rFonts w:ascii="宋体" w:hAnsi="宋体" w:eastAsia="宋体" w:cs="Times New Roman"/>
                <w:color w:val="auto"/>
              </w:rPr>
            </w:pPr>
          </w:p>
        </w:tc>
        <w:tc>
          <w:tcPr>
            <w:tcW w:w="686" w:type="dxa"/>
            <w:vMerge w:val="continue"/>
            <w:vAlign w:val="center"/>
          </w:tcPr>
          <w:p w14:paraId="11FACE11">
            <w:pPr>
              <w:adjustRightInd w:val="0"/>
              <w:spacing w:line="360" w:lineRule="exact"/>
              <w:jc w:val="center"/>
              <w:rPr>
                <w:rFonts w:ascii="宋体" w:hAnsi="宋体" w:eastAsia="宋体" w:cs="Times New Roman"/>
                <w:color w:val="auto"/>
              </w:rPr>
            </w:pPr>
          </w:p>
        </w:tc>
        <w:tc>
          <w:tcPr>
            <w:tcW w:w="1251" w:type="dxa"/>
            <w:vMerge w:val="continue"/>
            <w:vAlign w:val="center"/>
          </w:tcPr>
          <w:p w14:paraId="5DC01055">
            <w:pPr>
              <w:adjustRightInd w:val="0"/>
              <w:spacing w:line="360" w:lineRule="exact"/>
              <w:jc w:val="center"/>
              <w:rPr>
                <w:rFonts w:ascii="宋体" w:hAnsi="宋体" w:eastAsia="宋体" w:cs="Times New Roman"/>
                <w:color w:val="auto"/>
              </w:rPr>
            </w:pPr>
          </w:p>
        </w:tc>
        <w:tc>
          <w:tcPr>
            <w:tcW w:w="915" w:type="dxa"/>
            <w:vAlign w:val="center"/>
          </w:tcPr>
          <w:p w14:paraId="2C3F6286">
            <w:pPr>
              <w:adjustRightInd w:val="0"/>
              <w:spacing w:line="360" w:lineRule="exact"/>
              <w:jc w:val="center"/>
              <w:rPr>
                <w:rFonts w:ascii="宋体" w:hAnsi="宋体" w:eastAsia="宋体" w:cs="Times New Roman"/>
                <w:color w:val="auto"/>
              </w:rPr>
            </w:pPr>
            <w:r>
              <w:rPr>
                <w:rFonts w:ascii="宋体" w:hAnsi="宋体" w:eastAsia="宋体" w:cs="Times New Roman"/>
                <w:color w:val="auto"/>
              </w:rPr>
              <w:t>核算方法</w:t>
            </w:r>
          </w:p>
        </w:tc>
        <w:tc>
          <w:tcPr>
            <w:tcW w:w="1052" w:type="dxa"/>
            <w:vAlign w:val="center"/>
          </w:tcPr>
          <w:p w14:paraId="16B379C3">
            <w:pPr>
              <w:adjustRightInd w:val="0"/>
              <w:spacing w:line="360" w:lineRule="exact"/>
              <w:jc w:val="center"/>
              <w:rPr>
                <w:rFonts w:ascii="宋体" w:hAnsi="宋体" w:eastAsia="宋体" w:cs="Times New Roman"/>
                <w:color w:val="auto"/>
              </w:rPr>
            </w:pPr>
            <w:r>
              <w:rPr>
                <w:rFonts w:ascii="宋体" w:hAnsi="宋体" w:eastAsia="宋体" w:cs="Times New Roman"/>
                <w:color w:val="auto"/>
              </w:rPr>
              <w:t>废气产生量m</w:t>
            </w:r>
            <w:r>
              <w:rPr>
                <w:rFonts w:ascii="宋体" w:hAnsi="宋体" w:eastAsia="宋体" w:cs="Times New Roman"/>
                <w:color w:val="auto"/>
                <w:vertAlign w:val="superscript"/>
              </w:rPr>
              <w:t>3</w:t>
            </w:r>
          </w:p>
        </w:tc>
        <w:tc>
          <w:tcPr>
            <w:tcW w:w="1184" w:type="dxa"/>
            <w:vAlign w:val="center"/>
          </w:tcPr>
          <w:p w14:paraId="7E52E176">
            <w:pPr>
              <w:adjustRightInd w:val="0"/>
              <w:spacing w:line="360" w:lineRule="exact"/>
              <w:jc w:val="center"/>
              <w:rPr>
                <w:rFonts w:ascii="宋体" w:hAnsi="宋体" w:eastAsia="宋体" w:cs="Times New Roman"/>
                <w:color w:val="auto"/>
              </w:rPr>
            </w:pPr>
            <w:r>
              <w:rPr>
                <w:rFonts w:ascii="宋体" w:hAnsi="宋体" w:eastAsia="宋体" w:cs="Times New Roman"/>
                <w:color w:val="auto"/>
              </w:rPr>
              <w:t>产生浓度mg/m</w:t>
            </w:r>
            <w:r>
              <w:rPr>
                <w:rFonts w:ascii="宋体" w:hAnsi="宋体" w:eastAsia="宋体" w:cs="Times New Roman"/>
                <w:color w:val="auto"/>
                <w:vertAlign w:val="superscript"/>
              </w:rPr>
              <w:t>3</w:t>
            </w:r>
          </w:p>
        </w:tc>
        <w:tc>
          <w:tcPr>
            <w:tcW w:w="703" w:type="dxa"/>
            <w:gridSpan w:val="2"/>
            <w:vAlign w:val="center"/>
          </w:tcPr>
          <w:p w14:paraId="4CA071D7">
            <w:pPr>
              <w:adjustRightInd w:val="0"/>
              <w:spacing w:line="360" w:lineRule="exact"/>
              <w:jc w:val="center"/>
              <w:rPr>
                <w:rFonts w:ascii="宋体" w:hAnsi="宋体" w:eastAsia="宋体" w:cs="Times New Roman"/>
                <w:color w:val="auto"/>
              </w:rPr>
            </w:pPr>
            <w:r>
              <w:rPr>
                <w:rFonts w:ascii="宋体" w:hAnsi="宋体" w:eastAsia="宋体" w:cs="Times New Roman"/>
                <w:color w:val="auto"/>
              </w:rPr>
              <w:t>产生量t</w:t>
            </w:r>
          </w:p>
        </w:tc>
        <w:tc>
          <w:tcPr>
            <w:tcW w:w="1086" w:type="dxa"/>
            <w:vAlign w:val="center"/>
          </w:tcPr>
          <w:p w14:paraId="423C1641">
            <w:pPr>
              <w:adjustRightInd w:val="0"/>
              <w:spacing w:line="360" w:lineRule="exact"/>
              <w:jc w:val="center"/>
              <w:rPr>
                <w:rFonts w:ascii="宋体" w:hAnsi="宋体" w:eastAsia="宋体" w:cs="Times New Roman"/>
                <w:color w:val="auto"/>
              </w:rPr>
            </w:pPr>
            <w:r>
              <w:rPr>
                <w:rFonts w:ascii="宋体" w:hAnsi="宋体" w:eastAsia="宋体" w:cs="Times New Roman"/>
                <w:color w:val="auto"/>
              </w:rPr>
              <w:t>工艺</w:t>
            </w:r>
          </w:p>
        </w:tc>
        <w:tc>
          <w:tcPr>
            <w:tcW w:w="918" w:type="dxa"/>
            <w:vAlign w:val="center"/>
          </w:tcPr>
          <w:p w14:paraId="162E8A97">
            <w:pPr>
              <w:adjustRightInd w:val="0"/>
              <w:spacing w:line="360" w:lineRule="exact"/>
              <w:jc w:val="center"/>
              <w:rPr>
                <w:rFonts w:ascii="宋体" w:hAnsi="宋体" w:eastAsia="宋体" w:cs="Times New Roman"/>
                <w:color w:val="auto"/>
              </w:rPr>
            </w:pPr>
            <w:r>
              <w:rPr>
                <w:rFonts w:ascii="宋体" w:hAnsi="宋体" w:eastAsia="宋体" w:cs="Times New Roman"/>
                <w:color w:val="auto"/>
              </w:rPr>
              <w:t>效率%</w:t>
            </w:r>
          </w:p>
        </w:tc>
        <w:tc>
          <w:tcPr>
            <w:tcW w:w="649" w:type="dxa"/>
            <w:vAlign w:val="center"/>
          </w:tcPr>
          <w:p w14:paraId="12878791">
            <w:pPr>
              <w:adjustRightInd w:val="0"/>
              <w:spacing w:line="360" w:lineRule="exact"/>
              <w:jc w:val="center"/>
              <w:rPr>
                <w:rFonts w:ascii="宋体" w:hAnsi="宋体" w:eastAsia="宋体" w:cs="Times New Roman"/>
                <w:color w:val="auto"/>
              </w:rPr>
            </w:pPr>
            <w:r>
              <w:rPr>
                <w:rFonts w:ascii="宋体" w:hAnsi="宋体" w:eastAsia="宋体" w:cs="Times New Roman"/>
                <w:color w:val="auto"/>
              </w:rPr>
              <w:t>核算方法</w:t>
            </w:r>
          </w:p>
        </w:tc>
        <w:tc>
          <w:tcPr>
            <w:tcW w:w="1052" w:type="dxa"/>
            <w:vAlign w:val="center"/>
          </w:tcPr>
          <w:p w14:paraId="74688ECE">
            <w:pPr>
              <w:adjustRightInd w:val="0"/>
              <w:spacing w:line="360" w:lineRule="exact"/>
              <w:jc w:val="center"/>
              <w:rPr>
                <w:rFonts w:ascii="宋体" w:hAnsi="宋体" w:eastAsia="宋体" w:cs="Times New Roman"/>
                <w:color w:val="auto"/>
              </w:rPr>
            </w:pPr>
            <w:r>
              <w:rPr>
                <w:rFonts w:ascii="宋体" w:hAnsi="宋体" w:eastAsia="宋体" w:cs="Times New Roman"/>
                <w:color w:val="auto"/>
              </w:rPr>
              <w:t>废气排放量</w:t>
            </w:r>
          </w:p>
        </w:tc>
        <w:tc>
          <w:tcPr>
            <w:tcW w:w="1315" w:type="dxa"/>
            <w:vAlign w:val="center"/>
          </w:tcPr>
          <w:p w14:paraId="6A3B5976">
            <w:pPr>
              <w:adjustRightInd w:val="0"/>
              <w:spacing w:line="360" w:lineRule="exact"/>
              <w:jc w:val="center"/>
              <w:rPr>
                <w:rFonts w:ascii="宋体" w:hAnsi="宋体" w:eastAsia="宋体" w:cs="Times New Roman"/>
                <w:color w:val="auto"/>
              </w:rPr>
            </w:pPr>
            <w:r>
              <w:rPr>
                <w:rFonts w:ascii="宋体" w:hAnsi="宋体" w:eastAsia="宋体" w:cs="Times New Roman"/>
                <w:color w:val="auto"/>
              </w:rPr>
              <w:t>排放浓度mg/m</w:t>
            </w:r>
            <w:r>
              <w:rPr>
                <w:rFonts w:ascii="宋体" w:hAnsi="宋体" w:eastAsia="宋体" w:cs="Times New Roman"/>
                <w:color w:val="auto"/>
                <w:vertAlign w:val="superscript"/>
              </w:rPr>
              <w:t>3</w:t>
            </w:r>
          </w:p>
        </w:tc>
        <w:tc>
          <w:tcPr>
            <w:tcW w:w="1013" w:type="dxa"/>
            <w:vAlign w:val="center"/>
          </w:tcPr>
          <w:p w14:paraId="01E401FA">
            <w:pPr>
              <w:adjustRightInd w:val="0"/>
              <w:spacing w:line="360" w:lineRule="exact"/>
              <w:jc w:val="center"/>
              <w:rPr>
                <w:rFonts w:ascii="宋体" w:hAnsi="宋体" w:eastAsia="宋体" w:cs="Times New Roman"/>
                <w:color w:val="auto"/>
              </w:rPr>
            </w:pPr>
            <w:r>
              <w:rPr>
                <w:rFonts w:ascii="宋体" w:hAnsi="宋体" w:eastAsia="宋体" w:cs="Times New Roman"/>
                <w:color w:val="auto"/>
              </w:rPr>
              <w:t>排放量</w:t>
            </w:r>
          </w:p>
          <w:p w14:paraId="232C7BD6">
            <w:pPr>
              <w:adjustRightInd w:val="0"/>
              <w:spacing w:line="360" w:lineRule="exact"/>
              <w:jc w:val="center"/>
              <w:rPr>
                <w:rFonts w:ascii="宋体" w:hAnsi="宋体" w:eastAsia="宋体" w:cs="Times New Roman"/>
                <w:color w:val="auto"/>
              </w:rPr>
            </w:pPr>
            <w:r>
              <w:rPr>
                <w:rFonts w:ascii="宋体" w:hAnsi="宋体" w:eastAsia="宋体" w:cs="Times New Roman"/>
                <w:color w:val="auto"/>
              </w:rPr>
              <w:t>t</w:t>
            </w:r>
          </w:p>
        </w:tc>
        <w:tc>
          <w:tcPr>
            <w:tcW w:w="876" w:type="dxa"/>
            <w:vMerge w:val="continue"/>
            <w:vAlign w:val="center"/>
          </w:tcPr>
          <w:p w14:paraId="7C977411">
            <w:pPr>
              <w:keepNext/>
              <w:adjustRightInd w:val="0"/>
              <w:spacing w:line="360" w:lineRule="exact"/>
              <w:jc w:val="center"/>
              <w:rPr>
                <w:rFonts w:ascii="宋体" w:hAnsi="宋体" w:eastAsia="宋体" w:cs="Times New Roman"/>
                <w:color w:val="auto"/>
              </w:rPr>
            </w:pPr>
          </w:p>
        </w:tc>
      </w:tr>
      <w:tr w14:paraId="72061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5" w:type="dxa"/>
            <w:vMerge w:val="restart"/>
            <w:vAlign w:val="center"/>
          </w:tcPr>
          <w:p w14:paraId="6E39C96E">
            <w:pPr>
              <w:adjustRightInd w:val="0"/>
              <w:spacing w:line="360" w:lineRule="exact"/>
              <w:jc w:val="center"/>
              <w:rPr>
                <w:rFonts w:ascii="宋体" w:hAnsi="宋体" w:eastAsia="宋体" w:cs="Times New Roman"/>
                <w:color w:val="auto"/>
              </w:rPr>
            </w:pPr>
            <w:r>
              <w:rPr>
                <w:rFonts w:ascii="宋体" w:hAnsi="宋体" w:eastAsia="宋体" w:cs="Times New Roman"/>
                <w:color w:val="auto"/>
              </w:rPr>
              <w:t>施工</w:t>
            </w:r>
          </w:p>
        </w:tc>
        <w:tc>
          <w:tcPr>
            <w:tcW w:w="647" w:type="dxa"/>
            <w:vAlign w:val="center"/>
          </w:tcPr>
          <w:p w14:paraId="39F17C98">
            <w:pPr>
              <w:adjustRightInd w:val="0"/>
              <w:spacing w:line="360" w:lineRule="exact"/>
              <w:jc w:val="center"/>
              <w:rPr>
                <w:rFonts w:ascii="宋体" w:hAnsi="宋体" w:eastAsia="宋体" w:cs="Times New Roman"/>
                <w:color w:val="auto"/>
              </w:rPr>
            </w:pPr>
            <w:r>
              <w:rPr>
                <w:rFonts w:ascii="宋体" w:hAnsi="宋体" w:eastAsia="宋体" w:cs="Times New Roman"/>
                <w:color w:val="auto"/>
              </w:rPr>
              <w:t>施工场地</w:t>
            </w:r>
          </w:p>
        </w:tc>
        <w:tc>
          <w:tcPr>
            <w:tcW w:w="686" w:type="dxa"/>
            <w:vAlign w:val="center"/>
          </w:tcPr>
          <w:p w14:paraId="0045A1F9">
            <w:pPr>
              <w:adjustRightInd w:val="0"/>
              <w:spacing w:line="360" w:lineRule="exact"/>
              <w:jc w:val="center"/>
              <w:rPr>
                <w:rFonts w:ascii="宋体" w:hAnsi="宋体" w:eastAsia="宋体" w:cs="Times New Roman"/>
                <w:color w:val="auto"/>
              </w:rPr>
            </w:pPr>
            <w:r>
              <w:rPr>
                <w:rFonts w:ascii="宋体" w:hAnsi="宋体" w:eastAsia="宋体" w:cs="Times New Roman"/>
                <w:color w:val="auto"/>
              </w:rPr>
              <w:t>施工扬尘</w:t>
            </w:r>
          </w:p>
        </w:tc>
        <w:tc>
          <w:tcPr>
            <w:tcW w:w="1251" w:type="dxa"/>
            <w:vAlign w:val="center"/>
          </w:tcPr>
          <w:p w14:paraId="0A637D44">
            <w:pPr>
              <w:adjustRightInd w:val="0"/>
              <w:spacing w:line="360" w:lineRule="exact"/>
              <w:jc w:val="center"/>
              <w:rPr>
                <w:rFonts w:ascii="宋体" w:hAnsi="宋体" w:eastAsia="宋体" w:cs="Times New Roman"/>
                <w:color w:val="auto"/>
              </w:rPr>
            </w:pPr>
            <w:r>
              <w:rPr>
                <w:rFonts w:ascii="宋体" w:hAnsi="宋体" w:eastAsia="宋体" w:cs="Times New Roman"/>
                <w:color w:val="auto"/>
              </w:rPr>
              <w:t>颗粒物</w:t>
            </w:r>
          </w:p>
        </w:tc>
        <w:tc>
          <w:tcPr>
            <w:tcW w:w="915" w:type="dxa"/>
            <w:tcBorders>
              <w:right w:val="single" w:color="auto" w:sz="4" w:space="0"/>
            </w:tcBorders>
            <w:vAlign w:val="center"/>
          </w:tcPr>
          <w:p w14:paraId="25C948D6">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52" w:type="dxa"/>
            <w:tcBorders>
              <w:left w:val="single" w:color="auto" w:sz="4" w:space="0"/>
              <w:right w:val="single" w:color="auto" w:sz="4" w:space="0"/>
            </w:tcBorders>
            <w:vAlign w:val="center"/>
          </w:tcPr>
          <w:p w14:paraId="35FC0543">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84" w:type="dxa"/>
            <w:tcBorders>
              <w:left w:val="single" w:color="auto" w:sz="4" w:space="0"/>
              <w:right w:val="single" w:color="auto" w:sz="4" w:space="0"/>
            </w:tcBorders>
            <w:vAlign w:val="center"/>
          </w:tcPr>
          <w:p w14:paraId="2062A988">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703" w:type="dxa"/>
            <w:gridSpan w:val="2"/>
            <w:tcBorders>
              <w:left w:val="single" w:color="auto" w:sz="4" w:space="0"/>
            </w:tcBorders>
            <w:vAlign w:val="center"/>
          </w:tcPr>
          <w:p w14:paraId="040E7B76">
            <w:pPr>
              <w:adjustRightInd w:val="0"/>
              <w:spacing w:line="360" w:lineRule="exact"/>
              <w:jc w:val="center"/>
              <w:rPr>
                <w:rFonts w:ascii="宋体" w:hAnsi="宋体" w:eastAsia="宋体" w:cs="Times New Roman"/>
                <w:color w:val="auto"/>
              </w:rPr>
            </w:pPr>
            <w:r>
              <w:rPr>
                <w:rFonts w:ascii="宋体" w:hAnsi="宋体" w:eastAsia="宋体" w:cs="Times New Roman"/>
                <w:color w:val="auto"/>
              </w:rPr>
              <w:t>少量</w:t>
            </w:r>
          </w:p>
        </w:tc>
        <w:tc>
          <w:tcPr>
            <w:tcW w:w="2004" w:type="dxa"/>
            <w:gridSpan w:val="2"/>
            <w:vAlign w:val="center"/>
          </w:tcPr>
          <w:p w14:paraId="3AA3020F">
            <w:pPr>
              <w:adjustRightInd w:val="0"/>
              <w:spacing w:line="360" w:lineRule="exact"/>
              <w:jc w:val="center"/>
              <w:rPr>
                <w:rFonts w:ascii="宋体" w:hAnsi="宋体" w:eastAsia="宋体" w:cs="Times New Roman"/>
                <w:color w:val="auto"/>
              </w:rPr>
            </w:pPr>
            <w:r>
              <w:rPr>
                <w:rFonts w:ascii="宋体" w:hAnsi="宋体" w:eastAsia="宋体" w:cs="Times New Roman"/>
                <w:color w:val="auto"/>
              </w:rPr>
              <w:t>车辆密闭运输、施工材料覆盖、洒水抑尘</w:t>
            </w:r>
          </w:p>
        </w:tc>
        <w:tc>
          <w:tcPr>
            <w:tcW w:w="649" w:type="dxa"/>
            <w:vAlign w:val="center"/>
          </w:tcPr>
          <w:p w14:paraId="1A92C907">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52" w:type="dxa"/>
            <w:vAlign w:val="center"/>
          </w:tcPr>
          <w:p w14:paraId="0C36C147">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315" w:type="dxa"/>
            <w:vAlign w:val="center"/>
          </w:tcPr>
          <w:p w14:paraId="2BA168F5">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13" w:type="dxa"/>
            <w:vAlign w:val="center"/>
          </w:tcPr>
          <w:p w14:paraId="6A444044">
            <w:pPr>
              <w:adjustRightInd w:val="0"/>
              <w:spacing w:line="360" w:lineRule="exact"/>
              <w:jc w:val="center"/>
              <w:rPr>
                <w:rFonts w:ascii="宋体" w:hAnsi="宋体" w:eastAsia="宋体" w:cs="Times New Roman"/>
                <w:color w:val="auto"/>
              </w:rPr>
            </w:pPr>
            <w:r>
              <w:rPr>
                <w:rFonts w:ascii="宋体" w:hAnsi="宋体" w:eastAsia="宋体" w:cs="Times New Roman"/>
                <w:color w:val="auto"/>
              </w:rPr>
              <w:t>少量</w:t>
            </w:r>
          </w:p>
        </w:tc>
        <w:tc>
          <w:tcPr>
            <w:tcW w:w="876" w:type="dxa"/>
            <w:vAlign w:val="center"/>
          </w:tcPr>
          <w:p w14:paraId="5762528F">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30</w:t>
            </w:r>
          </w:p>
        </w:tc>
      </w:tr>
      <w:tr w14:paraId="2C5AA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5" w:type="dxa"/>
            <w:vMerge w:val="continue"/>
            <w:vAlign w:val="center"/>
          </w:tcPr>
          <w:p w14:paraId="6F2CF54F">
            <w:pPr>
              <w:adjustRightInd w:val="0"/>
              <w:spacing w:line="360" w:lineRule="exact"/>
              <w:jc w:val="center"/>
              <w:rPr>
                <w:rFonts w:ascii="宋体" w:hAnsi="宋体" w:eastAsia="宋体" w:cs="Times New Roman"/>
                <w:color w:val="auto"/>
              </w:rPr>
            </w:pPr>
          </w:p>
        </w:tc>
        <w:tc>
          <w:tcPr>
            <w:tcW w:w="647" w:type="dxa"/>
            <w:vAlign w:val="center"/>
          </w:tcPr>
          <w:p w14:paraId="2ACBCE03">
            <w:pPr>
              <w:adjustRightInd w:val="0"/>
              <w:spacing w:line="360" w:lineRule="exact"/>
              <w:jc w:val="center"/>
              <w:rPr>
                <w:rFonts w:ascii="宋体" w:hAnsi="宋体" w:eastAsia="宋体" w:cs="Times New Roman"/>
                <w:color w:val="auto"/>
              </w:rPr>
            </w:pPr>
            <w:r>
              <w:rPr>
                <w:rFonts w:ascii="宋体" w:hAnsi="宋体" w:eastAsia="宋体" w:cs="Times New Roman"/>
                <w:color w:val="auto"/>
              </w:rPr>
              <w:t>车辆</w:t>
            </w:r>
          </w:p>
        </w:tc>
        <w:tc>
          <w:tcPr>
            <w:tcW w:w="686" w:type="dxa"/>
            <w:vAlign w:val="center"/>
          </w:tcPr>
          <w:p w14:paraId="67AB1BBC">
            <w:pPr>
              <w:adjustRightInd w:val="0"/>
              <w:spacing w:line="360" w:lineRule="exact"/>
              <w:jc w:val="center"/>
              <w:rPr>
                <w:rFonts w:ascii="宋体" w:hAnsi="宋体" w:eastAsia="宋体" w:cs="Times New Roman"/>
                <w:color w:val="auto"/>
              </w:rPr>
            </w:pPr>
            <w:r>
              <w:rPr>
                <w:rFonts w:ascii="宋体" w:hAnsi="宋体" w:eastAsia="宋体" w:cs="Times New Roman"/>
                <w:color w:val="auto"/>
              </w:rPr>
              <w:t>车辆尾气</w:t>
            </w:r>
          </w:p>
        </w:tc>
        <w:tc>
          <w:tcPr>
            <w:tcW w:w="1251" w:type="dxa"/>
            <w:vAlign w:val="center"/>
          </w:tcPr>
          <w:p w14:paraId="2A53E28D">
            <w:pPr>
              <w:adjustRightInd w:val="0"/>
              <w:spacing w:line="360" w:lineRule="exact"/>
              <w:jc w:val="center"/>
              <w:rPr>
                <w:rFonts w:ascii="宋体" w:hAnsi="宋体" w:eastAsia="宋体" w:cs="Times New Roman"/>
                <w:color w:val="auto"/>
              </w:rPr>
            </w:pPr>
            <w:r>
              <w:rPr>
                <w:rFonts w:ascii="宋体" w:hAnsi="宋体" w:eastAsia="宋体" w:cs="Times New Roman"/>
                <w:color w:val="auto"/>
                <w:lang w:val="zh-CN"/>
              </w:rPr>
              <w:t>NO</w:t>
            </w:r>
            <w:r>
              <w:rPr>
                <w:rFonts w:ascii="宋体" w:hAnsi="宋体" w:eastAsia="宋体" w:cs="Times New Roman"/>
                <w:color w:val="auto"/>
                <w:vertAlign w:val="subscript"/>
                <w:lang w:val="zh-CN"/>
              </w:rPr>
              <w:t>2</w:t>
            </w:r>
            <w:r>
              <w:rPr>
                <w:rFonts w:ascii="宋体" w:hAnsi="宋体" w:eastAsia="宋体" w:cs="Times New Roman"/>
                <w:color w:val="auto"/>
                <w:lang w:val="zh-CN"/>
              </w:rPr>
              <w:t>、CO、HC</w:t>
            </w:r>
          </w:p>
        </w:tc>
        <w:tc>
          <w:tcPr>
            <w:tcW w:w="915" w:type="dxa"/>
            <w:tcBorders>
              <w:right w:val="single" w:color="auto" w:sz="4" w:space="0"/>
            </w:tcBorders>
            <w:vAlign w:val="center"/>
          </w:tcPr>
          <w:p w14:paraId="6F26FA3C">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52" w:type="dxa"/>
            <w:tcBorders>
              <w:left w:val="single" w:color="auto" w:sz="4" w:space="0"/>
              <w:right w:val="single" w:color="auto" w:sz="4" w:space="0"/>
            </w:tcBorders>
            <w:vAlign w:val="center"/>
          </w:tcPr>
          <w:p w14:paraId="455AC6C8">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190" w:type="dxa"/>
            <w:gridSpan w:val="2"/>
            <w:tcBorders>
              <w:left w:val="single" w:color="auto" w:sz="4" w:space="0"/>
              <w:right w:val="single" w:color="auto" w:sz="4" w:space="0"/>
            </w:tcBorders>
            <w:vAlign w:val="center"/>
          </w:tcPr>
          <w:p w14:paraId="4688D194">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697" w:type="dxa"/>
            <w:tcBorders>
              <w:left w:val="single" w:color="auto" w:sz="4" w:space="0"/>
            </w:tcBorders>
            <w:vAlign w:val="center"/>
          </w:tcPr>
          <w:p w14:paraId="09DCFC53">
            <w:pPr>
              <w:spacing w:line="360" w:lineRule="exact"/>
              <w:jc w:val="center"/>
              <w:rPr>
                <w:rFonts w:ascii="宋体" w:hAnsi="宋体" w:eastAsia="宋体" w:cs="Times New Roman"/>
                <w:color w:val="auto"/>
              </w:rPr>
            </w:pPr>
            <w:r>
              <w:rPr>
                <w:rFonts w:ascii="宋体" w:hAnsi="宋体" w:eastAsia="宋体" w:cs="Times New Roman"/>
                <w:color w:val="auto"/>
              </w:rPr>
              <w:t>少量</w:t>
            </w:r>
          </w:p>
        </w:tc>
        <w:tc>
          <w:tcPr>
            <w:tcW w:w="2004" w:type="dxa"/>
            <w:gridSpan w:val="2"/>
            <w:vAlign w:val="center"/>
          </w:tcPr>
          <w:p w14:paraId="7DC8C2A8">
            <w:pPr>
              <w:adjustRightInd w:val="0"/>
              <w:spacing w:line="360" w:lineRule="exact"/>
              <w:jc w:val="center"/>
              <w:rPr>
                <w:rFonts w:ascii="宋体" w:hAnsi="宋体" w:eastAsia="宋体" w:cs="Times New Roman"/>
                <w:color w:val="auto"/>
              </w:rPr>
            </w:pPr>
            <w:r>
              <w:rPr>
                <w:rFonts w:ascii="宋体" w:hAnsi="宋体" w:eastAsia="宋体" w:cs="Times New Roman"/>
                <w:color w:val="auto"/>
              </w:rPr>
              <w:t>施工车辆选用高标号汽柴油，尾气达标排放</w:t>
            </w:r>
          </w:p>
        </w:tc>
        <w:tc>
          <w:tcPr>
            <w:tcW w:w="649" w:type="dxa"/>
            <w:vAlign w:val="center"/>
          </w:tcPr>
          <w:p w14:paraId="19E0A450">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52" w:type="dxa"/>
            <w:vAlign w:val="center"/>
          </w:tcPr>
          <w:p w14:paraId="5A0C5F83">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315" w:type="dxa"/>
            <w:vAlign w:val="center"/>
          </w:tcPr>
          <w:p w14:paraId="27B90540">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13" w:type="dxa"/>
            <w:vAlign w:val="center"/>
          </w:tcPr>
          <w:p w14:paraId="000B27DE">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876" w:type="dxa"/>
            <w:vAlign w:val="center"/>
          </w:tcPr>
          <w:p w14:paraId="47052B4B">
            <w:pPr>
              <w:keepNext/>
              <w:adjustRightInd w:val="0"/>
              <w:spacing w:line="360" w:lineRule="exact"/>
              <w:jc w:val="center"/>
              <w:rPr>
                <w:rFonts w:ascii="宋体" w:hAnsi="宋体" w:eastAsia="宋体" w:cs="Times New Roman"/>
                <w:color w:val="auto"/>
              </w:rPr>
            </w:pPr>
            <w:r>
              <w:rPr>
                <w:rFonts w:ascii="宋体" w:hAnsi="宋体" w:eastAsia="宋体" w:cs="Times New Roman"/>
                <w:color w:val="auto"/>
              </w:rPr>
              <w:t>30</w:t>
            </w:r>
          </w:p>
        </w:tc>
      </w:tr>
    </w:tbl>
    <w:p w14:paraId="2CA6E4B8">
      <w:pPr>
        <w:pStyle w:val="276"/>
        <w:widowControl w:val="0"/>
        <w:spacing w:line="440" w:lineRule="exact"/>
        <w:ind w:firstLine="0" w:firstLineChars="0"/>
        <w:jc w:val="center"/>
        <w:rPr>
          <w:color w:val="auto"/>
          <w:kern w:val="21"/>
        </w:rPr>
      </w:pPr>
      <w:r>
        <w:rPr>
          <w:color w:val="auto"/>
          <w:kern w:val="21"/>
        </w:rPr>
        <w:t>表</w:t>
      </w:r>
      <w:r>
        <w:rPr>
          <w:color w:val="auto"/>
        </w:rPr>
        <w:t>3.12-21</w:t>
      </w:r>
      <w:r>
        <w:rPr>
          <w:color w:val="auto"/>
          <w:kern w:val="21"/>
        </w:rPr>
        <w:t xml:space="preserve">   退役期</w:t>
      </w:r>
      <w:r>
        <w:rPr>
          <w:color w:val="auto"/>
        </w:rPr>
        <w:t>废水</w:t>
      </w:r>
      <w:r>
        <w:rPr>
          <w:color w:val="auto"/>
          <w:kern w:val="21"/>
        </w:rPr>
        <w:t>污染源源强核算结果及相关参数一览表</w:t>
      </w:r>
    </w:p>
    <w:tbl>
      <w:tblPr>
        <w:tblStyle w:val="81"/>
        <w:tblW w:w="139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7"/>
        <w:gridCol w:w="631"/>
        <w:gridCol w:w="710"/>
        <w:gridCol w:w="847"/>
        <w:gridCol w:w="850"/>
        <w:gridCol w:w="992"/>
        <w:gridCol w:w="850"/>
        <w:gridCol w:w="899"/>
        <w:gridCol w:w="2932"/>
        <w:gridCol w:w="850"/>
        <w:gridCol w:w="710"/>
        <w:gridCol w:w="707"/>
        <w:gridCol w:w="718"/>
        <w:gridCol w:w="899"/>
        <w:gridCol w:w="760"/>
      </w:tblGrid>
      <w:tr w14:paraId="077C8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7" w:type="dxa"/>
            <w:vMerge w:val="restart"/>
            <w:vAlign w:val="center"/>
          </w:tcPr>
          <w:p w14:paraId="19A139C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工序</w:t>
            </w:r>
          </w:p>
        </w:tc>
        <w:tc>
          <w:tcPr>
            <w:tcW w:w="631" w:type="dxa"/>
            <w:vMerge w:val="restart"/>
            <w:vAlign w:val="center"/>
          </w:tcPr>
          <w:p w14:paraId="5932D72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装置</w:t>
            </w:r>
          </w:p>
        </w:tc>
        <w:tc>
          <w:tcPr>
            <w:tcW w:w="710" w:type="dxa"/>
            <w:vMerge w:val="restart"/>
            <w:vAlign w:val="center"/>
          </w:tcPr>
          <w:p w14:paraId="0E747B5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污染源</w:t>
            </w:r>
          </w:p>
        </w:tc>
        <w:tc>
          <w:tcPr>
            <w:tcW w:w="847" w:type="dxa"/>
            <w:vMerge w:val="restart"/>
            <w:vAlign w:val="center"/>
          </w:tcPr>
          <w:p w14:paraId="25AC645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污染物</w:t>
            </w:r>
          </w:p>
        </w:tc>
        <w:tc>
          <w:tcPr>
            <w:tcW w:w="3591" w:type="dxa"/>
            <w:gridSpan w:val="4"/>
            <w:vAlign w:val="center"/>
          </w:tcPr>
          <w:p w14:paraId="6193209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污染物产生</w:t>
            </w:r>
          </w:p>
        </w:tc>
        <w:tc>
          <w:tcPr>
            <w:tcW w:w="3782" w:type="dxa"/>
            <w:gridSpan w:val="2"/>
            <w:vAlign w:val="center"/>
          </w:tcPr>
          <w:p w14:paraId="64574F9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治理措施</w:t>
            </w:r>
          </w:p>
        </w:tc>
        <w:tc>
          <w:tcPr>
            <w:tcW w:w="3034" w:type="dxa"/>
            <w:gridSpan w:val="4"/>
            <w:vAlign w:val="center"/>
          </w:tcPr>
          <w:p w14:paraId="04967B2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污染物排放</w:t>
            </w:r>
          </w:p>
        </w:tc>
        <w:tc>
          <w:tcPr>
            <w:tcW w:w="760" w:type="dxa"/>
            <w:vMerge w:val="restart"/>
            <w:vAlign w:val="center"/>
          </w:tcPr>
          <w:p w14:paraId="1BFE57D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排放时间d</w:t>
            </w:r>
          </w:p>
        </w:tc>
      </w:tr>
      <w:tr w14:paraId="7DAB3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7" w:type="dxa"/>
            <w:vMerge w:val="continue"/>
            <w:vAlign w:val="center"/>
          </w:tcPr>
          <w:p w14:paraId="4F0A5663">
            <w:pPr>
              <w:adjustRightInd w:val="0"/>
              <w:snapToGrid w:val="0"/>
              <w:spacing w:line="360" w:lineRule="exact"/>
              <w:jc w:val="center"/>
              <w:rPr>
                <w:rFonts w:ascii="宋体" w:hAnsi="宋体" w:eastAsia="宋体" w:cs="Times New Roman"/>
                <w:color w:val="auto"/>
              </w:rPr>
            </w:pPr>
          </w:p>
        </w:tc>
        <w:tc>
          <w:tcPr>
            <w:tcW w:w="631" w:type="dxa"/>
            <w:vMerge w:val="continue"/>
            <w:vAlign w:val="center"/>
          </w:tcPr>
          <w:p w14:paraId="5AA0F30C">
            <w:pPr>
              <w:adjustRightInd w:val="0"/>
              <w:snapToGrid w:val="0"/>
              <w:spacing w:line="360" w:lineRule="exact"/>
              <w:jc w:val="center"/>
              <w:rPr>
                <w:rFonts w:ascii="宋体" w:hAnsi="宋体" w:eastAsia="宋体" w:cs="Times New Roman"/>
                <w:color w:val="auto"/>
              </w:rPr>
            </w:pPr>
          </w:p>
        </w:tc>
        <w:tc>
          <w:tcPr>
            <w:tcW w:w="710" w:type="dxa"/>
            <w:vMerge w:val="continue"/>
            <w:vAlign w:val="center"/>
          </w:tcPr>
          <w:p w14:paraId="6B990074">
            <w:pPr>
              <w:adjustRightInd w:val="0"/>
              <w:snapToGrid w:val="0"/>
              <w:spacing w:line="360" w:lineRule="exact"/>
              <w:jc w:val="center"/>
              <w:rPr>
                <w:rFonts w:ascii="宋体" w:hAnsi="宋体" w:eastAsia="宋体" w:cs="Times New Roman"/>
                <w:color w:val="auto"/>
              </w:rPr>
            </w:pPr>
          </w:p>
        </w:tc>
        <w:tc>
          <w:tcPr>
            <w:tcW w:w="847" w:type="dxa"/>
            <w:vMerge w:val="continue"/>
            <w:vAlign w:val="center"/>
          </w:tcPr>
          <w:p w14:paraId="67B34DF6">
            <w:pPr>
              <w:adjustRightInd w:val="0"/>
              <w:snapToGrid w:val="0"/>
              <w:spacing w:line="360" w:lineRule="exact"/>
              <w:jc w:val="center"/>
              <w:rPr>
                <w:rFonts w:ascii="宋体" w:hAnsi="宋体" w:eastAsia="宋体" w:cs="Times New Roman"/>
                <w:color w:val="auto"/>
              </w:rPr>
            </w:pPr>
          </w:p>
        </w:tc>
        <w:tc>
          <w:tcPr>
            <w:tcW w:w="850" w:type="dxa"/>
            <w:vAlign w:val="center"/>
          </w:tcPr>
          <w:p w14:paraId="64C2BEE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核算方法</w:t>
            </w:r>
          </w:p>
        </w:tc>
        <w:tc>
          <w:tcPr>
            <w:tcW w:w="992" w:type="dxa"/>
            <w:vAlign w:val="center"/>
          </w:tcPr>
          <w:p w14:paraId="1E22199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废水产生量m</w:t>
            </w:r>
            <w:r>
              <w:rPr>
                <w:rFonts w:ascii="宋体" w:hAnsi="宋体" w:eastAsia="宋体" w:cs="Times New Roman"/>
                <w:color w:val="auto"/>
                <w:vertAlign w:val="superscript"/>
              </w:rPr>
              <w:t>3</w:t>
            </w:r>
          </w:p>
        </w:tc>
        <w:tc>
          <w:tcPr>
            <w:tcW w:w="850" w:type="dxa"/>
            <w:vAlign w:val="center"/>
          </w:tcPr>
          <w:p w14:paraId="1D3C1A0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产生浓度mg/L</w:t>
            </w:r>
          </w:p>
        </w:tc>
        <w:tc>
          <w:tcPr>
            <w:tcW w:w="899" w:type="dxa"/>
            <w:vAlign w:val="center"/>
          </w:tcPr>
          <w:p w14:paraId="25C07C6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产生量t</w:t>
            </w:r>
          </w:p>
        </w:tc>
        <w:tc>
          <w:tcPr>
            <w:tcW w:w="2932" w:type="dxa"/>
            <w:vAlign w:val="center"/>
          </w:tcPr>
          <w:p w14:paraId="6470614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工艺</w:t>
            </w:r>
          </w:p>
        </w:tc>
        <w:tc>
          <w:tcPr>
            <w:tcW w:w="850" w:type="dxa"/>
            <w:vAlign w:val="center"/>
          </w:tcPr>
          <w:p w14:paraId="46513BB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效率/%</w:t>
            </w:r>
          </w:p>
        </w:tc>
        <w:tc>
          <w:tcPr>
            <w:tcW w:w="710" w:type="dxa"/>
            <w:vAlign w:val="center"/>
          </w:tcPr>
          <w:p w14:paraId="356D6BB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核算方法</w:t>
            </w:r>
          </w:p>
        </w:tc>
        <w:tc>
          <w:tcPr>
            <w:tcW w:w="707" w:type="dxa"/>
            <w:vAlign w:val="center"/>
          </w:tcPr>
          <w:p w14:paraId="41C961A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废水排放量m</w:t>
            </w:r>
            <w:r>
              <w:rPr>
                <w:rFonts w:ascii="宋体" w:hAnsi="宋体" w:eastAsia="宋体" w:cs="Times New Roman"/>
                <w:color w:val="auto"/>
                <w:vertAlign w:val="superscript"/>
              </w:rPr>
              <w:t>3</w:t>
            </w:r>
          </w:p>
        </w:tc>
        <w:tc>
          <w:tcPr>
            <w:tcW w:w="718" w:type="dxa"/>
            <w:vAlign w:val="center"/>
          </w:tcPr>
          <w:p w14:paraId="65B53E2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排放</w:t>
            </w:r>
          </w:p>
          <w:p w14:paraId="751D63B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浓度mg/L</w:t>
            </w:r>
          </w:p>
        </w:tc>
        <w:tc>
          <w:tcPr>
            <w:tcW w:w="899" w:type="dxa"/>
            <w:vAlign w:val="center"/>
          </w:tcPr>
          <w:p w14:paraId="038804C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排放量t</w:t>
            </w:r>
          </w:p>
        </w:tc>
        <w:tc>
          <w:tcPr>
            <w:tcW w:w="760" w:type="dxa"/>
            <w:vMerge w:val="continue"/>
            <w:vAlign w:val="center"/>
          </w:tcPr>
          <w:p w14:paraId="142C2C46">
            <w:pPr>
              <w:adjustRightInd w:val="0"/>
              <w:snapToGrid w:val="0"/>
              <w:spacing w:line="360" w:lineRule="exact"/>
              <w:jc w:val="center"/>
              <w:rPr>
                <w:rFonts w:ascii="宋体" w:hAnsi="宋体" w:eastAsia="宋体" w:cs="Times New Roman"/>
                <w:color w:val="auto"/>
              </w:rPr>
            </w:pPr>
          </w:p>
        </w:tc>
      </w:tr>
      <w:tr w14:paraId="42B39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jc w:val="center"/>
        </w:trPr>
        <w:tc>
          <w:tcPr>
            <w:tcW w:w="637" w:type="dxa"/>
            <w:vMerge w:val="restart"/>
            <w:vAlign w:val="center"/>
          </w:tcPr>
          <w:p w14:paraId="2C1FE3DC">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施工</w:t>
            </w:r>
          </w:p>
        </w:tc>
        <w:tc>
          <w:tcPr>
            <w:tcW w:w="631" w:type="dxa"/>
            <w:vMerge w:val="restart"/>
            <w:vAlign w:val="center"/>
          </w:tcPr>
          <w:p w14:paraId="5E752D3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生活</w:t>
            </w:r>
          </w:p>
        </w:tc>
        <w:tc>
          <w:tcPr>
            <w:tcW w:w="710" w:type="dxa"/>
            <w:vMerge w:val="restart"/>
            <w:vAlign w:val="center"/>
          </w:tcPr>
          <w:p w14:paraId="5053621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生活污水</w:t>
            </w:r>
          </w:p>
        </w:tc>
        <w:tc>
          <w:tcPr>
            <w:tcW w:w="847" w:type="dxa"/>
            <w:vAlign w:val="center"/>
          </w:tcPr>
          <w:p w14:paraId="29E76D3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COD</w:t>
            </w:r>
          </w:p>
        </w:tc>
        <w:tc>
          <w:tcPr>
            <w:tcW w:w="850" w:type="dxa"/>
            <w:vMerge w:val="restart"/>
            <w:vAlign w:val="center"/>
          </w:tcPr>
          <w:p w14:paraId="2E55B4C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992" w:type="dxa"/>
            <w:vMerge w:val="restart"/>
            <w:vAlign w:val="center"/>
          </w:tcPr>
          <w:p w14:paraId="2905931C">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38.4</w:t>
            </w:r>
          </w:p>
        </w:tc>
        <w:tc>
          <w:tcPr>
            <w:tcW w:w="850" w:type="dxa"/>
            <w:vAlign w:val="center"/>
          </w:tcPr>
          <w:p w14:paraId="55E957F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300</w:t>
            </w:r>
          </w:p>
        </w:tc>
        <w:tc>
          <w:tcPr>
            <w:tcW w:w="899" w:type="dxa"/>
            <w:vAlign w:val="center"/>
          </w:tcPr>
          <w:p w14:paraId="73E05A7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0.0115</w:t>
            </w:r>
          </w:p>
        </w:tc>
        <w:tc>
          <w:tcPr>
            <w:tcW w:w="2932" w:type="dxa"/>
            <w:vMerge w:val="restart"/>
            <w:vAlign w:val="center"/>
          </w:tcPr>
          <w:p w14:paraId="00FABEB4">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排入施工现场临时防渗旱厕，定期拉运至第十采油厂厂区污水泵房，经地下管网输至第十采油厂厂区生活污水处理站处理达标后排入牛毛沟</w:t>
            </w:r>
          </w:p>
        </w:tc>
        <w:tc>
          <w:tcPr>
            <w:tcW w:w="850" w:type="dxa"/>
            <w:tcBorders>
              <w:bottom w:val="single" w:color="auto" w:sz="4" w:space="0"/>
            </w:tcBorders>
            <w:vAlign w:val="center"/>
          </w:tcPr>
          <w:p w14:paraId="2E72B97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710" w:type="dxa"/>
            <w:vMerge w:val="restart"/>
            <w:vAlign w:val="center"/>
          </w:tcPr>
          <w:p w14:paraId="0241B4F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707" w:type="dxa"/>
            <w:vMerge w:val="restart"/>
            <w:vAlign w:val="center"/>
          </w:tcPr>
          <w:p w14:paraId="2DC7550F">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38.4</w:t>
            </w:r>
          </w:p>
        </w:tc>
        <w:tc>
          <w:tcPr>
            <w:tcW w:w="718" w:type="dxa"/>
            <w:tcBorders>
              <w:bottom w:val="single" w:color="auto" w:sz="4" w:space="0"/>
            </w:tcBorders>
            <w:vAlign w:val="center"/>
          </w:tcPr>
          <w:p w14:paraId="5316F7E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300</w:t>
            </w:r>
          </w:p>
        </w:tc>
        <w:tc>
          <w:tcPr>
            <w:tcW w:w="899" w:type="dxa"/>
            <w:tcBorders>
              <w:bottom w:val="single" w:color="auto" w:sz="4" w:space="0"/>
            </w:tcBorders>
            <w:vAlign w:val="center"/>
          </w:tcPr>
          <w:p w14:paraId="333245A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0.0115</w:t>
            </w:r>
          </w:p>
        </w:tc>
        <w:tc>
          <w:tcPr>
            <w:tcW w:w="760" w:type="dxa"/>
            <w:vMerge w:val="restart"/>
            <w:vAlign w:val="center"/>
          </w:tcPr>
          <w:p w14:paraId="2AA623A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30</w:t>
            </w:r>
          </w:p>
        </w:tc>
      </w:tr>
      <w:tr w14:paraId="461E6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37" w:type="dxa"/>
            <w:vMerge w:val="continue"/>
            <w:vAlign w:val="center"/>
          </w:tcPr>
          <w:p w14:paraId="7FA0E44A">
            <w:pPr>
              <w:adjustRightInd w:val="0"/>
              <w:snapToGrid w:val="0"/>
              <w:spacing w:line="360" w:lineRule="exact"/>
              <w:jc w:val="center"/>
              <w:rPr>
                <w:rFonts w:ascii="宋体" w:hAnsi="宋体" w:eastAsia="宋体" w:cs="Times New Roman"/>
                <w:color w:val="auto"/>
              </w:rPr>
            </w:pPr>
          </w:p>
        </w:tc>
        <w:tc>
          <w:tcPr>
            <w:tcW w:w="631" w:type="dxa"/>
            <w:vMerge w:val="continue"/>
            <w:vAlign w:val="center"/>
          </w:tcPr>
          <w:p w14:paraId="5A62E623">
            <w:pPr>
              <w:adjustRightInd w:val="0"/>
              <w:snapToGrid w:val="0"/>
              <w:spacing w:line="360" w:lineRule="exact"/>
              <w:jc w:val="center"/>
              <w:rPr>
                <w:rFonts w:ascii="宋体" w:hAnsi="宋体" w:eastAsia="宋体" w:cs="Times New Roman"/>
                <w:color w:val="auto"/>
              </w:rPr>
            </w:pPr>
          </w:p>
        </w:tc>
        <w:tc>
          <w:tcPr>
            <w:tcW w:w="710" w:type="dxa"/>
            <w:vMerge w:val="continue"/>
            <w:vAlign w:val="center"/>
          </w:tcPr>
          <w:p w14:paraId="1F23C547">
            <w:pPr>
              <w:adjustRightInd w:val="0"/>
              <w:snapToGrid w:val="0"/>
              <w:spacing w:line="360" w:lineRule="exact"/>
              <w:jc w:val="center"/>
              <w:rPr>
                <w:rFonts w:ascii="宋体" w:hAnsi="宋体" w:eastAsia="宋体" w:cs="Times New Roman"/>
                <w:color w:val="auto"/>
              </w:rPr>
            </w:pPr>
          </w:p>
        </w:tc>
        <w:tc>
          <w:tcPr>
            <w:tcW w:w="847" w:type="dxa"/>
            <w:vAlign w:val="center"/>
          </w:tcPr>
          <w:p w14:paraId="3A53F23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氨氮</w:t>
            </w:r>
          </w:p>
        </w:tc>
        <w:tc>
          <w:tcPr>
            <w:tcW w:w="850" w:type="dxa"/>
            <w:vMerge w:val="continue"/>
            <w:vAlign w:val="center"/>
          </w:tcPr>
          <w:p w14:paraId="4180BF8A">
            <w:pPr>
              <w:adjustRightInd w:val="0"/>
              <w:snapToGrid w:val="0"/>
              <w:spacing w:line="360" w:lineRule="exact"/>
              <w:jc w:val="center"/>
              <w:rPr>
                <w:rFonts w:ascii="宋体" w:hAnsi="宋体" w:eastAsia="宋体" w:cs="Times New Roman"/>
                <w:color w:val="auto"/>
              </w:rPr>
            </w:pPr>
          </w:p>
        </w:tc>
        <w:tc>
          <w:tcPr>
            <w:tcW w:w="992" w:type="dxa"/>
            <w:vMerge w:val="continue"/>
            <w:vAlign w:val="center"/>
          </w:tcPr>
          <w:p w14:paraId="0340DF83">
            <w:pPr>
              <w:adjustRightInd w:val="0"/>
              <w:snapToGrid w:val="0"/>
              <w:spacing w:line="360" w:lineRule="exact"/>
              <w:jc w:val="center"/>
              <w:rPr>
                <w:rFonts w:ascii="宋体" w:hAnsi="宋体" w:eastAsia="宋体" w:cs="Times New Roman"/>
                <w:color w:val="auto"/>
              </w:rPr>
            </w:pPr>
          </w:p>
        </w:tc>
        <w:tc>
          <w:tcPr>
            <w:tcW w:w="850" w:type="dxa"/>
            <w:vAlign w:val="center"/>
          </w:tcPr>
          <w:p w14:paraId="6ACB57E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30</w:t>
            </w:r>
          </w:p>
        </w:tc>
        <w:tc>
          <w:tcPr>
            <w:tcW w:w="899" w:type="dxa"/>
            <w:vAlign w:val="center"/>
          </w:tcPr>
          <w:p w14:paraId="15F8961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0.00115</w:t>
            </w:r>
          </w:p>
        </w:tc>
        <w:tc>
          <w:tcPr>
            <w:tcW w:w="2932" w:type="dxa"/>
            <w:vMerge w:val="continue"/>
            <w:vAlign w:val="center"/>
          </w:tcPr>
          <w:p w14:paraId="7CA38284">
            <w:pPr>
              <w:adjustRightInd w:val="0"/>
              <w:snapToGrid w:val="0"/>
              <w:spacing w:line="360" w:lineRule="exact"/>
              <w:jc w:val="center"/>
              <w:rPr>
                <w:rFonts w:ascii="宋体" w:hAnsi="宋体" w:eastAsia="宋体" w:cs="Times New Roman"/>
                <w:color w:val="auto"/>
              </w:rPr>
            </w:pPr>
          </w:p>
        </w:tc>
        <w:tc>
          <w:tcPr>
            <w:tcW w:w="850" w:type="dxa"/>
            <w:tcBorders>
              <w:top w:val="single" w:color="auto" w:sz="4" w:space="0"/>
            </w:tcBorders>
            <w:vAlign w:val="center"/>
          </w:tcPr>
          <w:p w14:paraId="27D2F3B2">
            <w:pPr>
              <w:spacing w:line="360" w:lineRule="exact"/>
              <w:jc w:val="center"/>
              <w:rPr>
                <w:rFonts w:ascii="宋体" w:hAnsi="宋体" w:eastAsia="宋体" w:cs="Times New Roman"/>
                <w:color w:val="auto"/>
              </w:rPr>
            </w:pPr>
            <w:r>
              <w:rPr>
                <w:rFonts w:ascii="宋体" w:hAnsi="宋体" w:eastAsia="宋体" w:cs="Times New Roman"/>
                <w:color w:val="auto"/>
              </w:rPr>
              <w:t>/</w:t>
            </w:r>
          </w:p>
        </w:tc>
        <w:tc>
          <w:tcPr>
            <w:tcW w:w="710" w:type="dxa"/>
            <w:vMerge w:val="continue"/>
            <w:vAlign w:val="center"/>
          </w:tcPr>
          <w:p w14:paraId="62DBC350">
            <w:pPr>
              <w:spacing w:line="360" w:lineRule="exact"/>
              <w:jc w:val="center"/>
              <w:rPr>
                <w:rFonts w:ascii="宋体" w:hAnsi="宋体" w:eastAsia="宋体" w:cs="Times New Roman"/>
                <w:color w:val="auto"/>
              </w:rPr>
            </w:pPr>
          </w:p>
        </w:tc>
        <w:tc>
          <w:tcPr>
            <w:tcW w:w="707" w:type="dxa"/>
            <w:vMerge w:val="continue"/>
            <w:vAlign w:val="center"/>
          </w:tcPr>
          <w:p w14:paraId="23E0B120">
            <w:pPr>
              <w:spacing w:line="360" w:lineRule="exact"/>
              <w:jc w:val="center"/>
              <w:rPr>
                <w:rFonts w:ascii="宋体" w:hAnsi="宋体" w:eastAsia="宋体" w:cs="Times New Roman"/>
                <w:color w:val="auto"/>
              </w:rPr>
            </w:pPr>
          </w:p>
        </w:tc>
        <w:tc>
          <w:tcPr>
            <w:tcW w:w="718" w:type="dxa"/>
            <w:tcBorders>
              <w:top w:val="single" w:color="auto" w:sz="4" w:space="0"/>
            </w:tcBorders>
            <w:vAlign w:val="center"/>
          </w:tcPr>
          <w:p w14:paraId="7DF7E306">
            <w:pPr>
              <w:spacing w:line="360" w:lineRule="exact"/>
              <w:jc w:val="center"/>
              <w:rPr>
                <w:rFonts w:ascii="宋体" w:hAnsi="宋体" w:eastAsia="宋体" w:cs="Times New Roman"/>
                <w:color w:val="auto"/>
              </w:rPr>
            </w:pPr>
            <w:r>
              <w:rPr>
                <w:rFonts w:ascii="宋体" w:hAnsi="宋体" w:eastAsia="宋体" w:cs="Times New Roman"/>
                <w:color w:val="auto"/>
              </w:rPr>
              <w:t>30</w:t>
            </w:r>
          </w:p>
        </w:tc>
        <w:tc>
          <w:tcPr>
            <w:tcW w:w="899" w:type="dxa"/>
            <w:tcBorders>
              <w:top w:val="single" w:color="auto" w:sz="4" w:space="0"/>
            </w:tcBorders>
            <w:vAlign w:val="center"/>
          </w:tcPr>
          <w:p w14:paraId="29CD6B8C">
            <w:pPr>
              <w:spacing w:line="360" w:lineRule="exact"/>
              <w:jc w:val="center"/>
              <w:rPr>
                <w:rFonts w:ascii="宋体" w:hAnsi="宋体" w:eastAsia="宋体" w:cs="Times New Roman"/>
                <w:color w:val="auto"/>
              </w:rPr>
            </w:pPr>
            <w:r>
              <w:rPr>
                <w:rFonts w:ascii="宋体" w:hAnsi="宋体" w:eastAsia="宋体" w:cs="Times New Roman"/>
                <w:color w:val="auto"/>
              </w:rPr>
              <w:t>0.00115</w:t>
            </w:r>
          </w:p>
        </w:tc>
        <w:tc>
          <w:tcPr>
            <w:tcW w:w="760" w:type="dxa"/>
            <w:vMerge w:val="continue"/>
            <w:vAlign w:val="center"/>
          </w:tcPr>
          <w:p w14:paraId="48A391D5">
            <w:pPr>
              <w:adjustRightInd w:val="0"/>
              <w:snapToGrid w:val="0"/>
              <w:spacing w:line="360" w:lineRule="exact"/>
              <w:jc w:val="center"/>
              <w:rPr>
                <w:rFonts w:ascii="宋体" w:hAnsi="宋体" w:eastAsia="宋体" w:cs="Times New Roman"/>
                <w:color w:val="auto"/>
              </w:rPr>
            </w:pPr>
          </w:p>
        </w:tc>
      </w:tr>
    </w:tbl>
    <w:p w14:paraId="1741D4D7">
      <w:pPr>
        <w:pStyle w:val="276"/>
        <w:widowControl w:val="0"/>
        <w:spacing w:line="440" w:lineRule="exact"/>
        <w:ind w:firstLine="0" w:firstLineChars="0"/>
        <w:jc w:val="center"/>
        <w:rPr>
          <w:color w:val="auto"/>
          <w:kern w:val="2"/>
          <w:szCs w:val="20"/>
        </w:rPr>
      </w:pPr>
      <w:r>
        <w:rPr>
          <w:color w:val="auto"/>
          <w:kern w:val="2"/>
          <w:szCs w:val="20"/>
        </w:rPr>
        <w:t>表</w:t>
      </w:r>
      <w:r>
        <w:rPr>
          <w:color w:val="auto"/>
        </w:rPr>
        <w:t>3.12-22</w:t>
      </w:r>
      <w:r>
        <w:rPr>
          <w:color w:val="auto"/>
          <w:kern w:val="2"/>
          <w:szCs w:val="20"/>
        </w:rPr>
        <w:t xml:space="preserve">   退役期</w:t>
      </w:r>
      <w:r>
        <w:rPr>
          <w:color w:val="auto"/>
        </w:rPr>
        <w:t>噪声污染</w:t>
      </w:r>
      <w:r>
        <w:rPr>
          <w:color w:val="auto"/>
          <w:kern w:val="2"/>
          <w:szCs w:val="20"/>
        </w:rPr>
        <w:t>源源强核算结果及相关参数一览表</w:t>
      </w:r>
    </w:p>
    <w:tbl>
      <w:tblPr>
        <w:tblStyle w:val="81"/>
        <w:tblW w:w="139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5"/>
        <w:gridCol w:w="1028"/>
        <w:gridCol w:w="1133"/>
        <w:gridCol w:w="1701"/>
        <w:gridCol w:w="1416"/>
        <w:gridCol w:w="1701"/>
        <w:gridCol w:w="1111"/>
        <w:gridCol w:w="1094"/>
        <w:gridCol w:w="1058"/>
        <w:gridCol w:w="1701"/>
        <w:gridCol w:w="954"/>
      </w:tblGrid>
      <w:tr w14:paraId="37805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5" w:type="dxa"/>
            <w:vMerge w:val="restart"/>
            <w:vAlign w:val="center"/>
          </w:tcPr>
          <w:p w14:paraId="538EFA72">
            <w:pPr>
              <w:adjustRightInd w:val="0"/>
              <w:spacing w:line="360" w:lineRule="exact"/>
              <w:jc w:val="center"/>
              <w:rPr>
                <w:rFonts w:ascii="宋体" w:hAnsi="宋体" w:eastAsia="宋体" w:cs="Times New Roman"/>
                <w:color w:val="auto"/>
              </w:rPr>
            </w:pPr>
            <w:r>
              <w:rPr>
                <w:rFonts w:ascii="宋体" w:hAnsi="宋体" w:eastAsia="宋体" w:cs="Times New Roman"/>
                <w:color w:val="auto"/>
              </w:rPr>
              <w:t>工序</w:t>
            </w:r>
          </w:p>
        </w:tc>
        <w:tc>
          <w:tcPr>
            <w:tcW w:w="1028" w:type="dxa"/>
            <w:vMerge w:val="restart"/>
            <w:vAlign w:val="center"/>
          </w:tcPr>
          <w:p w14:paraId="2F2AC60D">
            <w:pPr>
              <w:adjustRightInd w:val="0"/>
              <w:spacing w:line="360" w:lineRule="exact"/>
              <w:jc w:val="center"/>
              <w:rPr>
                <w:rFonts w:ascii="宋体" w:hAnsi="宋体" w:eastAsia="宋体" w:cs="Times New Roman"/>
                <w:color w:val="auto"/>
              </w:rPr>
            </w:pPr>
            <w:r>
              <w:rPr>
                <w:rFonts w:ascii="宋体" w:hAnsi="宋体" w:eastAsia="宋体" w:cs="Times New Roman"/>
                <w:color w:val="auto"/>
              </w:rPr>
              <w:t>装置</w:t>
            </w:r>
          </w:p>
        </w:tc>
        <w:tc>
          <w:tcPr>
            <w:tcW w:w="1133" w:type="dxa"/>
            <w:vMerge w:val="restart"/>
            <w:vAlign w:val="center"/>
          </w:tcPr>
          <w:p w14:paraId="16FCA403">
            <w:pPr>
              <w:adjustRightInd w:val="0"/>
              <w:spacing w:line="360" w:lineRule="exact"/>
              <w:jc w:val="center"/>
              <w:rPr>
                <w:rFonts w:ascii="宋体" w:hAnsi="宋体" w:eastAsia="宋体" w:cs="Times New Roman"/>
                <w:color w:val="auto"/>
              </w:rPr>
            </w:pPr>
            <w:r>
              <w:rPr>
                <w:rFonts w:ascii="宋体" w:hAnsi="宋体" w:eastAsia="宋体" w:cs="Times New Roman"/>
                <w:color w:val="auto"/>
              </w:rPr>
              <w:t>噪声源</w:t>
            </w:r>
          </w:p>
        </w:tc>
        <w:tc>
          <w:tcPr>
            <w:tcW w:w="1701" w:type="dxa"/>
            <w:vMerge w:val="restart"/>
            <w:vAlign w:val="center"/>
          </w:tcPr>
          <w:p w14:paraId="752CBEE9">
            <w:pPr>
              <w:adjustRightInd w:val="0"/>
              <w:spacing w:line="360" w:lineRule="exact"/>
              <w:jc w:val="center"/>
              <w:rPr>
                <w:rFonts w:ascii="宋体" w:hAnsi="宋体" w:eastAsia="宋体" w:cs="Times New Roman"/>
                <w:color w:val="auto"/>
              </w:rPr>
            </w:pPr>
            <w:r>
              <w:rPr>
                <w:rFonts w:ascii="宋体" w:hAnsi="宋体" w:eastAsia="宋体" w:cs="Times New Roman"/>
                <w:color w:val="auto"/>
              </w:rPr>
              <w:t>声源类型（频发、偶发等）</w:t>
            </w:r>
          </w:p>
        </w:tc>
        <w:tc>
          <w:tcPr>
            <w:tcW w:w="3117" w:type="dxa"/>
            <w:gridSpan w:val="2"/>
            <w:vAlign w:val="center"/>
          </w:tcPr>
          <w:p w14:paraId="50A4D6D9">
            <w:pPr>
              <w:adjustRightInd w:val="0"/>
              <w:spacing w:line="360" w:lineRule="exact"/>
              <w:jc w:val="center"/>
              <w:rPr>
                <w:rFonts w:ascii="宋体" w:hAnsi="宋体" w:eastAsia="宋体" w:cs="Times New Roman"/>
                <w:color w:val="auto"/>
              </w:rPr>
            </w:pPr>
            <w:r>
              <w:rPr>
                <w:rFonts w:ascii="宋体" w:hAnsi="宋体" w:eastAsia="宋体" w:cs="Times New Roman"/>
                <w:color w:val="auto"/>
              </w:rPr>
              <w:t>噪声源强</w:t>
            </w:r>
          </w:p>
        </w:tc>
        <w:tc>
          <w:tcPr>
            <w:tcW w:w="2205" w:type="dxa"/>
            <w:gridSpan w:val="2"/>
            <w:vAlign w:val="center"/>
          </w:tcPr>
          <w:p w14:paraId="5ED31361">
            <w:pPr>
              <w:adjustRightInd w:val="0"/>
              <w:spacing w:line="360" w:lineRule="exact"/>
              <w:jc w:val="center"/>
              <w:rPr>
                <w:rFonts w:ascii="宋体" w:hAnsi="宋体" w:eastAsia="宋体" w:cs="Times New Roman"/>
                <w:color w:val="auto"/>
              </w:rPr>
            </w:pPr>
            <w:r>
              <w:rPr>
                <w:rFonts w:ascii="宋体" w:hAnsi="宋体" w:eastAsia="宋体" w:cs="Times New Roman"/>
                <w:color w:val="auto"/>
              </w:rPr>
              <w:t>降噪措施</w:t>
            </w:r>
          </w:p>
        </w:tc>
        <w:tc>
          <w:tcPr>
            <w:tcW w:w="2759" w:type="dxa"/>
            <w:gridSpan w:val="2"/>
            <w:vAlign w:val="center"/>
          </w:tcPr>
          <w:p w14:paraId="629B5431">
            <w:pPr>
              <w:adjustRightInd w:val="0"/>
              <w:spacing w:line="360" w:lineRule="exact"/>
              <w:jc w:val="center"/>
              <w:rPr>
                <w:rFonts w:ascii="宋体" w:hAnsi="宋体" w:eastAsia="宋体" w:cs="Times New Roman"/>
                <w:color w:val="auto"/>
              </w:rPr>
            </w:pPr>
            <w:r>
              <w:rPr>
                <w:rFonts w:ascii="宋体" w:hAnsi="宋体" w:eastAsia="宋体" w:cs="Times New Roman"/>
                <w:color w:val="auto"/>
              </w:rPr>
              <w:t>噪声值排放</w:t>
            </w:r>
          </w:p>
        </w:tc>
        <w:tc>
          <w:tcPr>
            <w:tcW w:w="954" w:type="dxa"/>
            <w:vMerge w:val="restart"/>
            <w:vAlign w:val="center"/>
          </w:tcPr>
          <w:p w14:paraId="7BF9C17A">
            <w:pPr>
              <w:adjustRightInd w:val="0"/>
              <w:spacing w:line="360" w:lineRule="exact"/>
              <w:jc w:val="center"/>
              <w:rPr>
                <w:rFonts w:ascii="宋体" w:hAnsi="宋体" w:eastAsia="宋体" w:cs="Times New Roman"/>
                <w:color w:val="auto"/>
              </w:rPr>
            </w:pPr>
            <w:r>
              <w:rPr>
                <w:rFonts w:ascii="宋体" w:hAnsi="宋体" w:eastAsia="宋体" w:cs="Times New Roman"/>
                <w:color w:val="auto"/>
              </w:rPr>
              <w:t>持续时间d</w:t>
            </w:r>
          </w:p>
        </w:tc>
      </w:tr>
      <w:tr w14:paraId="5A1B9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5" w:type="dxa"/>
            <w:vMerge w:val="continue"/>
            <w:vAlign w:val="center"/>
          </w:tcPr>
          <w:p w14:paraId="50CF995D">
            <w:pPr>
              <w:adjustRightInd w:val="0"/>
              <w:spacing w:line="360" w:lineRule="exact"/>
              <w:jc w:val="center"/>
              <w:rPr>
                <w:rFonts w:ascii="宋体" w:hAnsi="宋体" w:eastAsia="宋体" w:cs="Times New Roman"/>
                <w:color w:val="auto"/>
              </w:rPr>
            </w:pPr>
          </w:p>
        </w:tc>
        <w:tc>
          <w:tcPr>
            <w:tcW w:w="1028" w:type="dxa"/>
            <w:vMerge w:val="continue"/>
            <w:vAlign w:val="center"/>
          </w:tcPr>
          <w:p w14:paraId="473B67D7">
            <w:pPr>
              <w:adjustRightInd w:val="0"/>
              <w:spacing w:line="360" w:lineRule="exact"/>
              <w:jc w:val="center"/>
              <w:rPr>
                <w:rFonts w:ascii="宋体" w:hAnsi="宋体" w:eastAsia="宋体" w:cs="Times New Roman"/>
                <w:color w:val="auto"/>
              </w:rPr>
            </w:pPr>
          </w:p>
        </w:tc>
        <w:tc>
          <w:tcPr>
            <w:tcW w:w="1133" w:type="dxa"/>
            <w:vMerge w:val="continue"/>
            <w:vAlign w:val="center"/>
          </w:tcPr>
          <w:p w14:paraId="4D0B81E4">
            <w:pPr>
              <w:adjustRightInd w:val="0"/>
              <w:spacing w:line="360" w:lineRule="exact"/>
              <w:jc w:val="center"/>
              <w:rPr>
                <w:rFonts w:ascii="宋体" w:hAnsi="宋体" w:eastAsia="宋体" w:cs="Times New Roman"/>
                <w:color w:val="auto"/>
              </w:rPr>
            </w:pPr>
          </w:p>
        </w:tc>
        <w:tc>
          <w:tcPr>
            <w:tcW w:w="1701" w:type="dxa"/>
            <w:vMerge w:val="continue"/>
            <w:vAlign w:val="center"/>
          </w:tcPr>
          <w:p w14:paraId="4D82D90D">
            <w:pPr>
              <w:adjustRightInd w:val="0"/>
              <w:spacing w:line="360" w:lineRule="exact"/>
              <w:jc w:val="center"/>
              <w:rPr>
                <w:rFonts w:ascii="宋体" w:hAnsi="宋体" w:eastAsia="宋体" w:cs="Times New Roman"/>
                <w:color w:val="auto"/>
              </w:rPr>
            </w:pPr>
          </w:p>
        </w:tc>
        <w:tc>
          <w:tcPr>
            <w:tcW w:w="1416" w:type="dxa"/>
            <w:vAlign w:val="center"/>
          </w:tcPr>
          <w:p w14:paraId="2FCD9DAB">
            <w:pPr>
              <w:adjustRightInd w:val="0"/>
              <w:spacing w:line="360" w:lineRule="exact"/>
              <w:jc w:val="center"/>
              <w:rPr>
                <w:rFonts w:ascii="宋体" w:hAnsi="宋体" w:eastAsia="宋体" w:cs="Times New Roman"/>
                <w:color w:val="auto"/>
              </w:rPr>
            </w:pPr>
            <w:r>
              <w:rPr>
                <w:rFonts w:ascii="宋体" w:hAnsi="宋体" w:eastAsia="宋体" w:cs="Times New Roman"/>
                <w:color w:val="auto"/>
              </w:rPr>
              <w:t>核算方法</w:t>
            </w:r>
          </w:p>
        </w:tc>
        <w:tc>
          <w:tcPr>
            <w:tcW w:w="1701" w:type="dxa"/>
            <w:vAlign w:val="center"/>
          </w:tcPr>
          <w:p w14:paraId="7E2669B5">
            <w:pPr>
              <w:adjustRightInd w:val="0"/>
              <w:spacing w:line="360" w:lineRule="exact"/>
              <w:jc w:val="center"/>
              <w:rPr>
                <w:rFonts w:ascii="宋体" w:hAnsi="宋体" w:eastAsia="宋体" w:cs="Times New Roman"/>
                <w:color w:val="auto"/>
              </w:rPr>
            </w:pPr>
            <w:r>
              <w:rPr>
                <w:rFonts w:ascii="宋体" w:hAnsi="宋体" w:eastAsia="宋体" w:cs="Times New Roman"/>
                <w:color w:val="auto"/>
              </w:rPr>
              <w:t>噪声值/dB（A）</w:t>
            </w:r>
          </w:p>
        </w:tc>
        <w:tc>
          <w:tcPr>
            <w:tcW w:w="1111" w:type="dxa"/>
            <w:vAlign w:val="center"/>
          </w:tcPr>
          <w:p w14:paraId="22B234A0">
            <w:pPr>
              <w:adjustRightInd w:val="0"/>
              <w:spacing w:line="360" w:lineRule="exact"/>
              <w:jc w:val="center"/>
              <w:rPr>
                <w:rFonts w:ascii="宋体" w:hAnsi="宋体" w:eastAsia="宋体" w:cs="Times New Roman"/>
                <w:color w:val="auto"/>
              </w:rPr>
            </w:pPr>
            <w:r>
              <w:rPr>
                <w:rFonts w:ascii="宋体" w:hAnsi="宋体" w:eastAsia="宋体" w:cs="Times New Roman"/>
                <w:color w:val="auto"/>
              </w:rPr>
              <w:t>工艺</w:t>
            </w:r>
          </w:p>
        </w:tc>
        <w:tc>
          <w:tcPr>
            <w:tcW w:w="1094" w:type="dxa"/>
            <w:vAlign w:val="center"/>
          </w:tcPr>
          <w:p w14:paraId="299998F2">
            <w:pPr>
              <w:adjustRightInd w:val="0"/>
              <w:spacing w:line="360" w:lineRule="exact"/>
              <w:jc w:val="center"/>
              <w:rPr>
                <w:rFonts w:ascii="宋体" w:hAnsi="宋体" w:eastAsia="宋体" w:cs="Times New Roman"/>
                <w:color w:val="auto"/>
              </w:rPr>
            </w:pPr>
            <w:r>
              <w:rPr>
                <w:rFonts w:ascii="宋体" w:hAnsi="宋体" w:eastAsia="宋体" w:cs="Times New Roman"/>
                <w:color w:val="auto"/>
              </w:rPr>
              <w:t>降噪效果</w:t>
            </w:r>
          </w:p>
        </w:tc>
        <w:tc>
          <w:tcPr>
            <w:tcW w:w="1058" w:type="dxa"/>
            <w:vAlign w:val="center"/>
          </w:tcPr>
          <w:p w14:paraId="048D45F2">
            <w:pPr>
              <w:adjustRightInd w:val="0"/>
              <w:spacing w:line="360" w:lineRule="exact"/>
              <w:jc w:val="center"/>
              <w:rPr>
                <w:rFonts w:ascii="宋体" w:hAnsi="宋体" w:eastAsia="宋体" w:cs="Times New Roman"/>
                <w:color w:val="auto"/>
              </w:rPr>
            </w:pPr>
            <w:r>
              <w:rPr>
                <w:rFonts w:ascii="宋体" w:hAnsi="宋体" w:eastAsia="宋体" w:cs="Times New Roman"/>
                <w:color w:val="auto"/>
              </w:rPr>
              <w:t>核算方法</w:t>
            </w:r>
          </w:p>
        </w:tc>
        <w:tc>
          <w:tcPr>
            <w:tcW w:w="1701" w:type="dxa"/>
            <w:vAlign w:val="center"/>
          </w:tcPr>
          <w:p w14:paraId="3AC11A13">
            <w:pPr>
              <w:adjustRightInd w:val="0"/>
              <w:spacing w:line="360" w:lineRule="exact"/>
              <w:jc w:val="center"/>
              <w:rPr>
                <w:rFonts w:ascii="宋体" w:hAnsi="宋体" w:eastAsia="宋体" w:cs="Times New Roman"/>
                <w:color w:val="auto"/>
              </w:rPr>
            </w:pPr>
            <w:r>
              <w:rPr>
                <w:rFonts w:ascii="宋体" w:hAnsi="宋体" w:eastAsia="宋体" w:cs="Times New Roman"/>
                <w:color w:val="auto"/>
              </w:rPr>
              <w:t>噪声值/dB（A）</w:t>
            </w:r>
          </w:p>
        </w:tc>
        <w:tc>
          <w:tcPr>
            <w:tcW w:w="954" w:type="dxa"/>
            <w:vMerge w:val="continue"/>
            <w:vAlign w:val="center"/>
          </w:tcPr>
          <w:p w14:paraId="1D12177B">
            <w:pPr>
              <w:adjustRightInd w:val="0"/>
              <w:spacing w:line="360" w:lineRule="exact"/>
              <w:jc w:val="center"/>
              <w:rPr>
                <w:rFonts w:ascii="宋体" w:hAnsi="宋体" w:eastAsia="宋体" w:cs="Times New Roman"/>
                <w:color w:val="auto"/>
              </w:rPr>
            </w:pPr>
          </w:p>
        </w:tc>
      </w:tr>
      <w:tr w14:paraId="77865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5" w:type="dxa"/>
            <w:vMerge w:val="restart"/>
            <w:vAlign w:val="center"/>
          </w:tcPr>
          <w:p w14:paraId="6F467567">
            <w:pPr>
              <w:adjustRightInd w:val="0"/>
              <w:spacing w:line="360" w:lineRule="exact"/>
              <w:jc w:val="center"/>
              <w:rPr>
                <w:rFonts w:ascii="宋体" w:hAnsi="宋体" w:eastAsia="宋体" w:cs="Times New Roman"/>
                <w:color w:val="auto"/>
              </w:rPr>
            </w:pPr>
            <w:r>
              <w:rPr>
                <w:rFonts w:ascii="宋体" w:hAnsi="宋体" w:eastAsia="宋体" w:cs="Times New Roman"/>
                <w:color w:val="auto"/>
              </w:rPr>
              <w:t>退役井场、管线施工</w:t>
            </w:r>
          </w:p>
        </w:tc>
        <w:tc>
          <w:tcPr>
            <w:tcW w:w="1028" w:type="dxa"/>
            <w:vMerge w:val="restart"/>
            <w:vAlign w:val="center"/>
          </w:tcPr>
          <w:p w14:paraId="7D12EF6B">
            <w:pPr>
              <w:adjustRightInd w:val="0"/>
              <w:spacing w:line="360" w:lineRule="exact"/>
              <w:jc w:val="center"/>
              <w:rPr>
                <w:rFonts w:ascii="宋体" w:hAnsi="宋体" w:eastAsia="宋体" w:cs="Times New Roman"/>
                <w:color w:val="auto"/>
              </w:rPr>
            </w:pPr>
            <w:r>
              <w:rPr>
                <w:rFonts w:ascii="宋体" w:hAnsi="宋体" w:eastAsia="宋体" w:cs="Times New Roman"/>
                <w:color w:val="auto"/>
              </w:rPr>
              <w:t>施工机械</w:t>
            </w:r>
          </w:p>
        </w:tc>
        <w:tc>
          <w:tcPr>
            <w:tcW w:w="1133" w:type="dxa"/>
            <w:vAlign w:val="center"/>
          </w:tcPr>
          <w:p w14:paraId="5A77D794">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挖掘机</w:t>
            </w:r>
          </w:p>
        </w:tc>
        <w:tc>
          <w:tcPr>
            <w:tcW w:w="1701" w:type="dxa"/>
            <w:vAlign w:val="center"/>
          </w:tcPr>
          <w:p w14:paraId="42961E6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非连续稳态声源</w:t>
            </w:r>
          </w:p>
        </w:tc>
        <w:tc>
          <w:tcPr>
            <w:tcW w:w="1416" w:type="dxa"/>
            <w:vMerge w:val="restart"/>
            <w:vAlign w:val="center"/>
          </w:tcPr>
          <w:p w14:paraId="14196D3A">
            <w:pPr>
              <w:adjustRightInd w:val="0"/>
              <w:spacing w:line="360" w:lineRule="exact"/>
              <w:jc w:val="center"/>
              <w:rPr>
                <w:rFonts w:ascii="宋体" w:hAnsi="宋体" w:eastAsia="宋体" w:cs="Times New Roman"/>
                <w:color w:val="auto"/>
              </w:rPr>
            </w:pPr>
            <w:r>
              <w:rPr>
                <w:rFonts w:ascii="宋体" w:hAnsi="宋体" w:eastAsia="宋体" w:cs="Times New Roman"/>
                <w:color w:val="auto"/>
              </w:rPr>
              <w:t>类比法</w:t>
            </w:r>
          </w:p>
        </w:tc>
        <w:tc>
          <w:tcPr>
            <w:tcW w:w="1701" w:type="dxa"/>
            <w:vAlign w:val="center"/>
          </w:tcPr>
          <w:p w14:paraId="2E7FFDB3">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82～90</w:t>
            </w:r>
          </w:p>
        </w:tc>
        <w:tc>
          <w:tcPr>
            <w:tcW w:w="1111" w:type="dxa"/>
            <w:vMerge w:val="restart"/>
            <w:vAlign w:val="center"/>
          </w:tcPr>
          <w:p w14:paraId="7F347545">
            <w:pPr>
              <w:adjustRightInd w:val="0"/>
              <w:spacing w:line="360" w:lineRule="exact"/>
              <w:jc w:val="center"/>
              <w:rPr>
                <w:rFonts w:ascii="宋体" w:hAnsi="宋体" w:eastAsia="宋体" w:cs="Times New Roman"/>
                <w:color w:val="auto"/>
              </w:rPr>
            </w:pPr>
            <w:r>
              <w:rPr>
                <w:rFonts w:ascii="宋体" w:hAnsi="宋体" w:eastAsia="宋体" w:cs="Times New Roman"/>
                <w:color w:val="auto"/>
              </w:rPr>
              <w:t xml:space="preserve">定期维护和保养 </w:t>
            </w:r>
          </w:p>
        </w:tc>
        <w:tc>
          <w:tcPr>
            <w:tcW w:w="1094" w:type="dxa"/>
            <w:vAlign w:val="center"/>
          </w:tcPr>
          <w:p w14:paraId="1A83CF94">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58" w:type="dxa"/>
            <w:vAlign w:val="center"/>
          </w:tcPr>
          <w:p w14:paraId="4DBF2FD1">
            <w:pPr>
              <w:adjustRightInd w:val="0"/>
              <w:spacing w:line="360" w:lineRule="exact"/>
              <w:jc w:val="center"/>
              <w:rPr>
                <w:rFonts w:ascii="宋体" w:hAnsi="宋体" w:eastAsia="宋体" w:cs="Times New Roman"/>
                <w:color w:val="auto"/>
              </w:rPr>
            </w:pPr>
            <w:r>
              <w:rPr>
                <w:rFonts w:ascii="宋体" w:hAnsi="宋体" w:eastAsia="宋体" w:cs="Times New Roman"/>
                <w:color w:val="auto"/>
              </w:rPr>
              <w:t>类比法</w:t>
            </w:r>
          </w:p>
        </w:tc>
        <w:tc>
          <w:tcPr>
            <w:tcW w:w="1701" w:type="dxa"/>
            <w:vAlign w:val="center"/>
          </w:tcPr>
          <w:p w14:paraId="3A9A309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82～90</w:t>
            </w:r>
          </w:p>
        </w:tc>
        <w:tc>
          <w:tcPr>
            <w:tcW w:w="954" w:type="dxa"/>
            <w:vMerge w:val="restart"/>
            <w:vAlign w:val="center"/>
          </w:tcPr>
          <w:p w14:paraId="48476F51">
            <w:pPr>
              <w:adjustRightInd w:val="0"/>
              <w:spacing w:line="360" w:lineRule="exact"/>
              <w:jc w:val="center"/>
              <w:rPr>
                <w:rFonts w:ascii="宋体" w:hAnsi="宋体" w:eastAsia="宋体" w:cs="Times New Roman"/>
                <w:color w:val="auto"/>
              </w:rPr>
            </w:pPr>
            <w:r>
              <w:rPr>
                <w:rFonts w:ascii="宋体" w:hAnsi="宋体" w:eastAsia="宋体" w:cs="Times New Roman"/>
                <w:color w:val="auto"/>
              </w:rPr>
              <w:t>30</w:t>
            </w:r>
          </w:p>
        </w:tc>
      </w:tr>
      <w:tr w14:paraId="33E24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5" w:type="dxa"/>
            <w:vMerge w:val="continue"/>
            <w:vAlign w:val="center"/>
          </w:tcPr>
          <w:p w14:paraId="786E5F1A">
            <w:pPr>
              <w:adjustRightInd w:val="0"/>
              <w:spacing w:line="360" w:lineRule="exact"/>
              <w:jc w:val="center"/>
              <w:rPr>
                <w:rFonts w:ascii="宋体" w:hAnsi="宋体" w:eastAsia="宋体" w:cs="Times New Roman"/>
                <w:color w:val="auto"/>
              </w:rPr>
            </w:pPr>
          </w:p>
        </w:tc>
        <w:tc>
          <w:tcPr>
            <w:tcW w:w="1028" w:type="dxa"/>
            <w:vMerge w:val="continue"/>
            <w:vAlign w:val="center"/>
          </w:tcPr>
          <w:p w14:paraId="3D43680C">
            <w:pPr>
              <w:adjustRightInd w:val="0"/>
              <w:spacing w:line="360" w:lineRule="exact"/>
              <w:jc w:val="center"/>
              <w:rPr>
                <w:rFonts w:ascii="宋体" w:hAnsi="宋体" w:eastAsia="宋体" w:cs="Times New Roman"/>
                <w:color w:val="auto"/>
              </w:rPr>
            </w:pPr>
          </w:p>
        </w:tc>
        <w:tc>
          <w:tcPr>
            <w:tcW w:w="1133" w:type="dxa"/>
            <w:vAlign w:val="center"/>
          </w:tcPr>
          <w:p w14:paraId="5DFB7B1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吊装机</w:t>
            </w:r>
          </w:p>
        </w:tc>
        <w:tc>
          <w:tcPr>
            <w:tcW w:w="1701" w:type="dxa"/>
            <w:vAlign w:val="center"/>
          </w:tcPr>
          <w:p w14:paraId="13ADD5F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连续稳态声源</w:t>
            </w:r>
          </w:p>
        </w:tc>
        <w:tc>
          <w:tcPr>
            <w:tcW w:w="1416" w:type="dxa"/>
            <w:vMerge w:val="continue"/>
            <w:vAlign w:val="center"/>
          </w:tcPr>
          <w:p w14:paraId="0EF5DF1D">
            <w:pPr>
              <w:adjustRightInd w:val="0"/>
              <w:spacing w:line="360" w:lineRule="exact"/>
              <w:jc w:val="center"/>
              <w:rPr>
                <w:rFonts w:ascii="宋体" w:hAnsi="宋体" w:eastAsia="宋体" w:cs="Times New Roman"/>
                <w:color w:val="auto"/>
              </w:rPr>
            </w:pPr>
          </w:p>
        </w:tc>
        <w:tc>
          <w:tcPr>
            <w:tcW w:w="1701" w:type="dxa"/>
            <w:vAlign w:val="center"/>
          </w:tcPr>
          <w:p w14:paraId="097D1D7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73～81</w:t>
            </w:r>
          </w:p>
        </w:tc>
        <w:tc>
          <w:tcPr>
            <w:tcW w:w="1111" w:type="dxa"/>
            <w:vMerge w:val="continue"/>
            <w:vAlign w:val="center"/>
          </w:tcPr>
          <w:p w14:paraId="1FE07ECE">
            <w:pPr>
              <w:adjustRightInd w:val="0"/>
              <w:spacing w:line="360" w:lineRule="exact"/>
              <w:jc w:val="center"/>
              <w:rPr>
                <w:rFonts w:ascii="宋体" w:hAnsi="宋体" w:eastAsia="宋体" w:cs="Times New Roman"/>
                <w:color w:val="auto"/>
              </w:rPr>
            </w:pPr>
          </w:p>
        </w:tc>
        <w:tc>
          <w:tcPr>
            <w:tcW w:w="1094" w:type="dxa"/>
            <w:vAlign w:val="center"/>
          </w:tcPr>
          <w:p w14:paraId="026D6222">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58" w:type="dxa"/>
            <w:vAlign w:val="center"/>
          </w:tcPr>
          <w:p w14:paraId="395A55CB">
            <w:pPr>
              <w:adjustRightInd w:val="0"/>
              <w:spacing w:line="360" w:lineRule="exact"/>
              <w:jc w:val="center"/>
              <w:rPr>
                <w:rFonts w:ascii="宋体" w:hAnsi="宋体" w:eastAsia="宋体" w:cs="Times New Roman"/>
                <w:color w:val="auto"/>
              </w:rPr>
            </w:pPr>
            <w:r>
              <w:rPr>
                <w:rFonts w:ascii="宋体" w:hAnsi="宋体" w:eastAsia="宋体" w:cs="Times New Roman"/>
                <w:color w:val="auto"/>
              </w:rPr>
              <w:t>类比法</w:t>
            </w:r>
          </w:p>
        </w:tc>
        <w:tc>
          <w:tcPr>
            <w:tcW w:w="1701" w:type="dxa"/>
            <w:vAlign w:val="center"/>
          </w:tcPr>
          <w:p w14:paraId="599A235D">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73～81</w:t>
            </w:r>
          </w:p>
        </w:tc>
        <w:tc>
          <w:tcPr>
            <w:tcW w:w="954" w:type="dxa"/>
            <w:vMerge w:val="continue"/>
            <w:vAlign w:val="center"/>
          </w:tcPr>
          <w:p w14:paraId="094B96BB">
            <w:pPr>
              <w:adjustRightInd w:val="0"/>
              <w:spacing w:line="360" w:lineRule="exact"/>
              <w:jc w:val="center"/>
              <w:rPr>
                <w:rFonts w:ascii="宋体" w:hAnsi="宋体" w:eastAsia="宋体" w:cs="Times New Roman"/>
                <w:color w:val="auto"/>
              </w:rPr>
            </w:pPr>
          </w:p>
        </w:tc>
      </w:tr>
      <w:tr w14:paraId="0EAAD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5" w:type="dxa"/>
            <w:vMerge w:val="continue"/>
            <w:vAlign w:val="center"/>
          </w:tcPr>
          <w:p w14:paraId="0A96B03F">
            <w:pPr>
              <w:adjustRightInd w:val="0"/>
              <w:spacing w:line="360" w:lineRule="exact"/>
              <w:jc w:val="center"/>
              <w:rPr>
                <w:rFonts w:ascii="宋体" w:hAnsi="宋体" w:eastAsia="宋体" w:cs="Times New Roman"/>
                <w:color w:val="auto"/>
              </w:rPr>
            </w:pPr>
          </w:p>
        </w:tc>
        <w:tc>
          <w:tcPr>
            <w:tcW w:w="1028" w:type="dxa"/>
            <w:vMerge w:val="continue"/>
            <w:vAlign w:val="center"/>
          </w:tcPr>
          <w:p w14:paraId="51F42A8A">
            <w:pPr>
              <w:adjustRightInd w:val="0"/>
              <w:spacing w:line="360" w:lineRule="exact"/>
              <w:jc w:val="center"/>
              <w:rPr>
                <w:rFonts w:ascii="宋体" w:hAnsi="宋体" w:eastAsia="宋体" w:cs="Times New Roman"/>
                <w:color w:val="auto"/>
              </w:rPr>
            </w:pPr>
          </w:p>
        </w:tc>
        <w:tc>
          <w:tcPr>
            <w:tcW w:w="1133" w:type="dxa"/>
            <w:vAlign w:val="center"/>
          </w:tcPr>
          <w:p w14:paraId="1F10DF2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推土机</w:t>
            </w:r>
          </w:p>
        </w:tc>
        <w:tc>
          <w:tcPr>
            <w:tcW w:w="1701" w:type="dxa"/>
            <w:vAlign w:val="center"/>
          </w:tcPr>
          <w:p w14:paraId="654EA287">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非连续稳态声源</w:t>
            </w:r>
          </w:p>
        </w:tc>
        <w:tc>
          <w:tcPr>
            <w:tcW w:w="1416" w:type="dxa"/>
            <w:vMerge w:val="continue"/>
            <w:vAlign w:val="center"/>
          </w:tcPr>
          <w:p w14:paraId="14BE0570">
            <w:pPr>
              <w:adjustRightInd w:val="0"/>
              <w:spacing w:line="360" w:lineRule="exact"/>
              <w:jc w:val="center"/>
              <w:rPr>
                <w:rFonts w:ascii="宋体" w:hAnsi="宋体" w:eastAsia="宋体" w:cs="Times New Roman"/>
                <w:color w:val="auto"/>
              </w:rPr>
            </w:pPr>
          </w:p>
        </w:tc>
        <w:tc>
          <w:tcPr>
            <w:tcW w:w="1701" w:type="dxa"/>
            <w:vAlign w:val="center"/>
          </w:tcPr>
          <w:p w14:paraId="58E35ED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83～88</w:t>
            </w:r>
          </w:p>
        </w:tc>
        <w:tc>
          <w:tcPr>
            <w:tcW w:w="1111" w:type="dxa"/>
            <w:vMerge w:val="continue"/>
            <w:vAlign w:val="center"/>
          </w:tcPr>
          <w:p w14:paraId="25BA7769">
            <w:pPr>
              <w:adjustRightInd w:val="0"/>
              <w:spacing w:line="360" w:lineRule="exact"/>
              <w:jc w:val="center"/>
              <w:rPr>
                <w:rFonts w:ascii="宋体" w:hAnsi="宋体" w:eastAsia="宋体" w:cs="Times New Roman"/>
                <w:color w:val="auto"/>
              </w:rPr>
            </w:pPr>
          </w:p>
        </w:tc>
        <w:tc>
          <w:tcPr>
            <w:tcW w:w="1094" w:type="dxa"/>
            <w:vAlign w:val="center"/>
          </w:tcPr>
          <w:p w14:paraId="7D83C30B">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58" w:type="dxa"/>
            <w:vAlign w:val="center"/>
          </w:tcPr>
          <w:p w14:paraId="42DE7D46">
            <w:pPr>
              <w:adjustRightInd w:val="0"/>
              <w:spacing w:line="360" w:lineRule="exact"/>
              <w:jc w:val="center"/>
              <w:rPr>
                <w:rFonts w:ascii="宋体" w:hAnsi="宋体" w:eastAsia="宋体" w:cs="Times New Roman"/>
                <w:color w:val="auto"/>
              </w:rPr>
            </w:pPr>
            <w:r>
              <w:rPr>
                <w:rFonts w:ascii="宋体" w:hAnsi="宋体" w:eastAsia="宋体" w:cs="Times New Roman"/>
                <w:color w:val="auto"/>
              </w:rPr>
              <w:t>类比法</w:t>
            </w:r>
          </w:p>
        </w:tc>
        <w:tc>
          <w:tcPr>
            <w:tcW w:w="1701" w:type="dxa"/>
            <w:vAlign w:val="center"/>
          </w:tcPr>
          <w:p w14:paraId="6C78BF11">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83～88</w:t>
            </w:r>
          </w:p>
        </w:tc>
        <w:tc>
          <w:tcPr>
            <w:tcW w:w="954" w:type="dxa"/>
            <w:vMerge w:val="continue"/>
            <w:vAlign w:val="center"/>
          </w:tcPr>
          <w:p w14:paraId="6F46EACE">
            <w:pPr>
              <w:adjustRightInd w:val="0"/>
              <w:spacing w:line="360" w:lineRule="exact"/>
              <w:jc w:val="center"/>
              <w:rPr>
                <w:rFonts w:ascii="宋体" w:hAnsi="宋体" w:eastAsia="宋体" w:cs="Times New Roman"/>
                <w:color w:val="auto"/>
              </w:rPr>
            </w:pPr>
          </w:p>
        </w:tc>
      </w:tr>
      <w:tr w14:paraId="3F1C5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95" w:type="dxa"/>
            <w:vMerge w:val="continue"/>
            <w:vAlign w:val="center"/>
          </w:tcPr>
          <w:p w14:paraId="4ADEA185">
            <w:pPr>
              <w:adjustRightInd w:val="0"/>
              <w:spacing w:line="360" w:lineRule="exact"/>
              <w:jc w:val="center"/>
              <w:rPr>
                <w:rFonts w:ascii="宋体" w:hAnsi="宋体" w:eastAsia="宋体" w:cs="Times New Roman"/>
                <w:color w:val="auto"/>
              </w:rPr>
            </w:pPr>
          </w:p>
        </w:tc>
        <w:tc>
          <w:tcPr>
            <w:tcW w:w="1028" w:type="dxa"/>
            <w:vMerge w:val="continue"/>
            <w:vAlign w:val="center"/>
          </w:tcPr>
          <w:p w14:paraId="59E747C7">
            <w:pPr>
              <w:spacing w:line="360" w:lineRule="exact"/>
              <w:jc w:val="center"/>
              <w:rPr>
                <w:rFonts w:ascii="宋体" w:hAnsi="宋体" w:eastAsia="宋体" w:cs="Times New Roman"/>
                <w:snapToGrid w:val="0"/>
                <w:color w:val="auto"/>
              </w:rPr>
            </w:pPr>
          </w:p>
        </w:tc>
        <w:tc>
          <w:tcPr>
            <w:tcW w:w="1133" w:type="dxa"/>
            <w:vAlign w:val="center"/>
          </w:tcPr>
          <w:p w14:paraId="18B97CAE">
            <w:pPr>
              <w:spacing w:line="360" w:lineRule="exact"/>
              <w:jc w:val="center"/>
              <w:rPr>
                <w:rFonts w:ascii="宋体" w:hAnsi="宋体" w:eastAsia="宋体" w:cs="Times New Roman"/>
                <w:color w:val="auto"/>
              </w:rPr>
            </w:pPr>
            <w:r>
              <w:rPr>
                <w:rFonts w:ascii="宋体" w:hAnsi="宋体" w:eastAsia="宋体" w:cs="Times New Roman"/>
                <w:color w:val="auto"/>
              </w:rPr>
              <w:t>运输车辆</w:t>
            </w:r>
          </w:p>
        </w:tc>
        <w:tc>
          <w:tcPr>
            <w:tcW w:w="1701" w:type="dxa"/>
            <w:vAlign w:val="center"/>
          </w:tcPr>
          <w:p w14:paraId="1EF0DB7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非连续稳态声源</w:t>
            </w:r>
          </w:p>
        </w:tc>
        <w:tc>
          <w:tcPr>
            <w:tcW w:w="1416" w:type="dxa"/>
            <w:vMerge w:val="continue"/>
            <w:vAlign w:val="center"/>
          </w:tcPr>
          <w:p w14:paraId="191FCC7B">
            <w:pPr>
              <w:adjustRightInd w:val="0"/>
              <w:spacing w:line="360" w:lineRule="exact"/>
              <w:jc w:val="center"/>
              <w:rPr>
                <w:rFonts w:ascii="宋体" w:hAnsi="宋体" w:eastAsia="宋体" w:cs="Times New Roman"/>
                <w:color w:val="auto"/>
              </w:rPr>
            </w:pPr>
          </w:p>
        </w:tc>
        <w:tc>
          <w:tcPr>
            <w:tcW w:w="1701" w:type="dxa"/>
            <w:vAlign w:val="center"/>
          </w:tcPr>
          <w:p w14:paraId="73F44E44">
            <w:pPr>
              <w:spacing w:line="360" w:lineRule="exact"/>
              <w:jc w:val="center"/>
              <w:rPr>
                <w:rFonts w:ascii="宋体" w:hAnsi="宋体" w:eastAsia="宋体" w:cs="Times New Roman"/>
                <w:color w:val="auto"/>
              </w:rPr>
            </w:pPr>
            <w:r>
              <w:rPr>
                <w:rFonts w:ascii="宋体" w:hAnsi="宋体" w:eastAsia="宋体" w:cs="Times New Roman"/>
                <w:snapToGrid w:val="0"/>
                <w:color w:val="auto"/>
              </w:rPr>
              <w:t>82～90</w:t>
            </w:r>
          </w:p>
        </w:tc>
        <w:tc>
          <w:tcPr>
            <w:tcW w:w="1111" w:type="dxa"/>
            <w:vMerge w:val="continue"/>
            <w:vAlign w:val="center"/>
          </w:tcPr>
          <w:p w14:paraId="7E6B80C2">
            <w:pPr>
              <w:adjustRightInd w:val="0"/>
              <w:spacing w:line="360" w:lineRule="exact"/>
              <w:jc w:val="center"/>
              <w:rPr>
                <w:rFonts w:ascii="宋体" w:hAnsi="宋体" w:eastAsia="宋体" w:cs="Times New Roman"/>
                <w:color w:val="auto"/>
              </w:rPr>
            </w:pPr>
          </w:p>
        </w:tc>
        <w:tc>
          <w:tcPr>
            <w:tcW w:w="1094" w:type="dxa"/>
            <w:vAlign w:val="center"/>
          </w:tcPr>
          <w:p w14:paraId="7D378EA1">
            <w:pPr>
              <w:adjustRightInd w:val="0"/>
              <w:spacing w:line="360" w:lineRule="exact"/>
              <w:jc w:val="center"/>
              <w:rPr>
                <w:rFonts w:ascii="宋体" w:hAnsi="宋体" w:eastAsia="宋体" w:cs="Times New Roman"/>
                <w:color w:val="auto"/>
              </w:rPr>
            </w:pPr>
            <w:r>
              <w:rPr>
                <w:rFonts w:ascii="宋体" w:hAnsi="宋体" w:eastAsia="宋体" w:cs="Times New Roman"/>
                <w:color w:val="auto"/>
              </w:rPr>
              <w:t>/</w:t>
            </w:r>
          </w:p>
        </w:tc>
        <w:tc>
          <w:tcPr>
            <w:tcW w:w="1058" w:type="dxa"/>
            <w:vAlign w:val="center"/>
          </w:tcPr>
          <w:p w14:paraId="5767B5F1">
            <w:pPr>
              <w:adjustRightInd w:val="0"/>
              <w:spacing w:line="360" w:lineRule="exact"/>
              <w:jc w:val="center"/>
              <w:rPr>
                <w:rFonts w:ascii="宋体" w:hAnsi="宋体" w:eastAsia="宋体" w:cs="Times New Roman"/>
                <w:color w:val="auto"/>
              </w:rPr>
            </w:pPr>
            <w:r>
              <w:rPr>
                <w:rFonts w:ascii="宋体" w:hAnsi="宋体" w:eastAsia="宋体" w:cs="Times New Roman"/>
                <w:color w:val="auto"/>
              </w:rPr>
              <w:t>类比法</w:t>
            </w:r>
          </w:p>
        </w:tc>
        <w:tc>
          <w:tcPr>
            <w:tcW w:w="1701" w:type="dxa"/>
            <w:vAlign w:val="center"/>
          </w:tcPr>
          <w:p w14:paraId="40BBB757">
            <w:pPr>
              <w:spacing w:line="360" w:lineRule="exact"/>
              <w:jc w:val="center"/>
              <w:rPr>
                <w:rFonts w:ascii="宋体" w:hAnsi="宋体" w:eastAsia="宋体" w:cs="Times New Roman"/>
                <w:color w:val="auto"/>
              </w:rPr>
            </w:pPr>
            <w:r>
              <w:rPr>
                <w:rFonts w:ascii="宋体" w:hAnsi="宋体" w:eastAsia="宋体" w:cs="Times New Roman"/>
                <w:snapToGrid w:val="0"/>
                <w:color w:val="auto"/>
              </w:rPr>
              <w:t>82～90</w:t>
            </w:r>
          </w:p>
        </w:tc>
        <w:tc>
          <w:tcPr>
            <w:tcW w:w="954" w:type="dxa"/>
            <w:vMerge w:val="continue"/>
            <w:vAlign w:val="center"/>
          </w:tcPr>
          <w:p w14:paraId="7C7567CF">
            <w:pPr>
              <w:adjustRightInd w:val="0"/>
              <w:spacing w:line="360" w:lineRule="exact"/>
              <w:jc w:val="center"/>
              <w:rPr>
                <w:rFonts w:ascii="宋体" w:hAnsi="宋体" w:eastAsia="宋体" w:cs="Times New Roman"/>
                <w:color w:val="auto"/>
              </w:rPr>
            </w:pPr>
          </w:p>
        </w:tc>
      </w:tr>
    </w:tbl>
    <w:p w14:paraId="3E2592CA">
      <w:pPr>
        <w:pStyle w:val="276"/>
        <w:widowControl w:val="0"/>
        <w:spacing w:line="440" w:lineRule="exact"/>
        <w:ind w:firstLine="0" w:firstLineChars="0"/>
        <w:jc w:val="center"/>
        <w:rPr>
          <w:color w:val="auto"/>
          <w:kern w:val="2"/>
        </w:rPr>
      </w:pPr>
      <w:r>
        <w:rPr>
          <w:color w:val="auto"/>
          <w:kern w:val="2"/>
        </w:rPr>
        <w:t>表</w:t>
      </w:r>
      <w:r>
        <w:rPr>
          <w:color w:val="auto"/>
        </w:rPr>
        <w:t>3.12-23</w:t>
      </w:r>
      <w:r>
        <w:rPr>
          <w:color w:val="auto"/>
          <w:kern w:val="2"/>
        </w:rPr>
        <w:t xml:space="preserve"> </w:t>
      </w:r>
      <w:r>
        <w:rPr>
          <w:color w:val="auto"/>
        </w:rPr>
        <w:t>退役</w:t>
      </w:r>
      <w:r>
        <w:rPr>
          <w:color w:val="auto"/>
          <w:kern w:val="2"/>
        </w:rPr>
        <w:t>期固体废物污染源强核算结果表</w:t>
      </w:r>
    </w:p>
    <w:tbl>
      <w:tblPr>
        <w:tblStyle w:val="81"/>
        <w:tblW w:w="140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2058"/>
        <w:gridCol w:w="1176"/>
        <w:gridCol w:w="992"/>
        <w:gridCol w:w="1276"/>
        <w:gridCol w:w="992"/>
        <w:gridCol w:w="6631"/>
      </w:tblGrid>
      <w:tr w14:paraId="3F9E4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restart"/>
            <w:vAlign w:val="center"/>
          </w:tcPr>
          <w:p w14:paraId="427D2D0B">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工序</w:t>
            </w:r>
          </w:p>
        </w:tc>
        <w:tc>
          <w:tcPr>
            <w:tcW w:w="2058" w:type="dxa"/>
            <w:vMerge w:val="restart"/>
            <w:vAlign w:val="center"/>
          </w:tcPr>
          <w:p w14:paraId="5735DAC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固体废物名称</w:t>
            </w:r>
          </w:p>
        </w:tc>
        <w:tc>
          <w:tcPr>
            <w:tcW w:w="2168" w:type="dxa"/>
            <w:gridSpan w:val="2"/>
            <w:vAlign w:val="center"/>
          </w:tcPr>
          <w:p w14:paraId="4817180D">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产生情况</w:t>
            </w:r>
          </w:p>
        </w:tc>
        <w:tc>
          <w:tcPr>
            <w:tcW w:w="2268" w:type="dxa"/>
            <w:gridSpan w:val="2"/>
            <w:vAlign w:val="center"/>
          </w:tcPr>
          <w:p w14:paraId="39028C0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处置措施</w:t>
            </w:r>
          </w:p>
        </w:tc>
        <w:tc>
          <w:tcPr>
            <w:tcW w:w="6631" w:type="dxa"/>
            <w:vMerge w:val="restart"/>
            <w:vAlign w:val="center"/>
          </w:tcPr>
          <w:p w14:paraId="31C3CD0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最终排放去向</w:t>
            </w:r>
          </w:p>
        </w:tc>
      </w:tr>
      <w:tr w14:paraId="09A4B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3749A6B1">
            <w:pPr>
              <w:spacing w:line="360" w:lineRule="exact"/>
              <w:jc w:val="center"/>
              <w:rPr>
                <w:rFonts w:ascii="宋体" w:hAnsi="宋体" w:eastAsia="宋体" w:cs="Times New Roman"/>
                <w:snapToGrid w:val="0"/>
                <w:color w:val="auto"/>
              </w:rPr>
            </w:pPr>
          </w:p>
        </w:tc>
        <w:tc>
          <w:tcPr>
            <w:tcW w:w="2058" w:type="dxa"/>
            <w:vMerge w:val="continue"/>
            <w:vAlign w:val="center"/>
          </w:tcPr>
          <w:p w14:paraId="1F8C992A">
            <w:pPr>
              <w:spacing w:line="360" w:lineRule="exact"/>
              <w:jc w:val="center"/>
              <w:rPr>
                <w:rFonts w:ascii="宋体" w:hAnsi="宋体" w:eastAsia="宋体" w:cs="Times New Roman"/>
                <w:snapToGrid w:val="0"/>
                <w:color w:val="auto"/>
              </w:rPr>
            </w:pPr>
          </w:p>
        </w:tc>
        <w:tc>
          <w:tcPr>
            <w:tcW w:w="1176" w:type="dxa"/>
            <w:vAlign w:val="center"/>
          </w:tcPr>
          <w:p w14:paraId="6FDC90F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核算方法</w:t>
            </w:r>
          </w:p>
        </w:tc>
        <w:tc>
          <w:tcPr>
            <w:tcW w:w="992" w:type="dxa"/>
            <w:vAlign w:val="center"/>
          </w:tcPr>
          <w:p w14:paraId="7BB209C0">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产生量</w:t>
            </w:r>
          </w:p>
        </w:tc>
        <w:tc>
          <w:tcPr>
            <w:tcW w:w="1276" w:type="dxa"/>
            <w:vAlign w:val="center"/>
          </w:tcPr>
          <w:p w14:paraId="782D099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工艺</w:t>
            </w:r>
          </w:p>
        </w:tc>
        <w:tc>
          <w:tcPr>
            <w:tcW w:w="992" w:type="dxa"/>
            <w:vAlign w:val="center"/>
          </w:tcPr>
          <w:p w14:paraId="72D646B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处置量</w:t>
            </w:r>
          </w:p>
        </w:tc>
        <w:tc>
          <w:tcPr>
            <w:tcW w:w="6631" w:type="dxa"/>
            <w:vMerge w:val="continue"/>
            <w:vAlign w:val="center"/>
          </w:tcPr>
          <w:p w14:paraId="2163B85E">
            <w:pPr>
              <w:spacing w:line="360" w:lineRule="exact"/>
              <w:jc w:val="center"/>
              <w:rPr>
                <w:rFonts w:ascii="宋体" w:hAnsi="宋体" w:eastAsia="宋体" w:cs="Times New Roman"/>
                <w:snapToGrid w:val="0"/>
                <w:color w:val="auto"/>
              </w:rPr>
            </w:pPr>
          </w:p>
        </w:tc>
      </w:tr>
      <w:tr w14:paraId="23DFC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trPr>
        <w:tc>
          <w:tcPr>
            <w:tcW w:w="877" w:type="dxa"/>
            <w:vMerge w:val="continue"/>
            <w:vAlign w:val="center"/>
          </w:tcPr>
          <w:p w14:paraId="0F48E13A">
            <w:pPr>
              <w:spacing w:line="360" w:lineRule="exact"/>
              <w:jc w:val="center"/>
              <w:rPr>
                <w:rFonts w:ascii="宋体" w:hAnsi="宋体" w:eastAsia="宋体" w:cs="Times New Roman"/>
                <w:snapToGrid w:val="0"/>
                <w:color w:val="auto"/>
              </w:rPr>
            </w:pPr>
          </w:p>
        </w:tc>
        <w:tc>
          <w:tcPr>
            <w:tcW w:w="2058" w:type="dxa"/>
            <w:vAlign w:val="center"/>
          </w:tcPr>
          <w:p w14:paraId="79F5260A">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生活垃圾</w:t>
            </w:r>
          </w:p>
        </w:tc>
        <w:tc>
          <w:tcPr>
            <w:tcW w:w="1176" w:type="dxa"/>
            <w:vAlign w:val="center"/>
          </w:tcPr>
          <w:p w14:paraId="4CC141C5">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992" w:type="dxa"/>
            <w:vAlign w:val="center"/>
          </w:tcPr>
          <w:p w14:paraId="2D051163">
            <w:pPr>
              <w:spacing w:line="360" w:lineRule="exact"/>
              <w:jc w:val="center"/>
              <w:rPr>
                <w:rFonts w:ascii="宋体" w:hAnsi="宋体" w:eastAsia="宋体" w:cs="Times New Roman"/>
                <w:color w:val="auto"/>
                <w:lang w:val="zh-CN"/>
              </w:rPr>
            </w:pPr>
            <w:r>
              <w:rPr>
                <w:rFonts w:ascii="宋体" w:hAnsi="宋体" w:eastAsia="宋体" w:cs="Times New Roman"/>
                <w:color w:val="auto"/>
              </w:rPr>
              <w:t>0.3t</w:t>
            </w:r>
          </w:p>
        </w:tc>
        <w:tc>
          <w:tcPr>
            <w:tcW w:w="1276" w:type="dxa"/>
            <w:vAlign w:val="center"/>
          </w:tcPr>
          <w:p w14:paraId="3678CF3E">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焚烧</w:t>
            </w:r>
          </w:p>
        </w:tc>
        <w:tc>
          <w:tcPr>
            <w:tcW w:w="992" w:type="dxa"/>
            <w:vAlign w:val="center"/>
          </w:tcPr>
          <w:p w14:paraId="53B353EA">
            <w:pPr>
              <w:spacing w:line="360" w:lineRule="exact"/>
              <w:jc w:val="center"/>
              <w:rPr>
                <w:rFonts w:ascii="宋体" w:hAnsi="宋体" w:eastAsia="宋体" w:cs="Times New Roman"/>
                <w:color w:val="auto"/>
                <w:lang w:val="zh-CN"/>
              </w:rPr>
            </w:pPr>
            <w:r>
              <w:rPr>
                <w:rFonts w:ascii="宋体" w:hAnsi="宋体" w:eastAsia="宋体" w:cs="Times New Roman"/>
                <w:color w:val="auto"/>
              </w:rPr>
              <w:t>0.3t</w:t>
            </w:r>
          </w:p>
        </w:tc>
        <w:tc>
          <w:tcPr>
            <w:tcW w:w="6631" w:type="dxa"/>
            <w:vAlign w:val="center"/>
          </w:tcPr>
          <w:p w14:paraId="21A72268">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统一收集</w:t>
            </w:r>
            <w:r>
              <w:rPr>
                <w:rFonts w:ascii="宋体" w:hAnsi="宋体" w:eastAsia="宋体" w:cs="Times New Roman"/>
                <w:color w:val="auto"/>
                <w:kern w:val="21"/>
              </w:rPr>
              <w:t>拉运至肇源县利民城市垃圾处理有限公司处理</w:t>
            </w:r>
          </w:p>
        </w:tc>
      </w:tr>
      <w:tr w14:paraId="18AA3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5ADF2F17">
            <w:pPr>
              <w:spacing w:line="360" w:lineRule="exact"/>
              <w:jc w:val="center"/>
              <w:rPr>
                <w:rFonts w:ascii="宋体" w:hAnsi="宋体" w:eastAsia="宋体" w:cs="Times New Roman"/>
                <w:snapToGrid w:val="0"/>
                <w:color w:val="auto"/>
              </w:rPr>
            </w:pPr>
          </w:p>
        </w:tc>
        <w:tc>
          <w:tcPr>
            <w:tcW w:w="2058" w:type="dxa"/>
            <w:vAlign w:val="center"/>
          </w:tcPr>
          <w:p w14:paraId="3F1E59A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封井建筑垃圾</w:t>
            </w:r>
          </w:p>
        </w:tc>
        <w:tc>
          <w:tcPr>
            <w:tcW w:w="1176" w:type="dxa"/>
            <w:vAlign w:val="center"/>
          </w:tcPr>
          <w:p w14:paraId="0A621C6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992" w:type="dxa"/>
            <w:vAlign w:val="center"/>
          </w:tcPr>
          <w:p w14:paraId="70E89938">
            <w:pPr>
              <w:spacing w:line="360" w:lineRule="exact"/>
              <w:jc w:val="center"/>
              <w:rPr>
                <w:rFonts w:ascii="宋体" w:hAnsi="宋体" w:eastAsia="宋体" w:cs="Times New Roman"/>
                <w:color w:val="auto"/>
              </w:rPr>
            </w:pPr>
            <w:r>
              <w:rPr>
                <w:rFonts w:ascii="宋体" w:hAnsi="宋体" w:eastAsia="宋体" w:cs="Times New Roman"/>
                <w:color w:val="auto"/>
              </w:rPr>
              <w:t>0.8t</w:t>
            </w:r>
          </w:p>
        </w:tc>
        <w:tc>
          <w:tcPr>
            <w:tcW w:w="1276" w:type="dxa"/>
            <w:vAlign w:val="center"/>
          </w:tcPr>
          <w:p w14:paraId="264AF893">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填埋处理</w:t>
            </w:r>
          </w:p>
        </w:tc>
        <w:tc>
          <w:tcPr>
            <w:tcW w:w="992" w:type="dxa"/>
            <w:vAlign w:val="center"/>
          </w:tcPr>
          <w:p w14:paraId="252EE35D">
            <w:pPr>
              <w:spacing w:line="360" w:lineRule="exact"/>
              <w:jc w:val="center"/>
              <w:rPr>
                <w:rFonts w:ascii="宋体" w:hAnsi="宋体" w:eastAsia="宋体" w:cs="Times New Roman"/>
                <w:color w:val="auto"/>
              </w:rPr>
            </w:pPr>
            <w:r>
              <w:rPr>
                <w:rFonts w:ascii="宋体" w:hAnsi="宋体" w:eastAsia="宋体" w:cs="Times New Roman"/>
                <w:color w:val="auto"/>
              </w:rPr>
              <w:t>0.8t</w:t>
            </w:r>
          </w:p>
        </w:tc>
        <w:tc>
          <w:tcPr>
            <w:tcW w:w="6631" w:type="dxa"/>
            <w:vAlign w:val="center"/>
          </w:tcPr>
          <w:p w14:paraId="12D536F6">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统一收集后拉运至建筑垃圾调配场处置</w:t>
            </w:r>
          </w:p>
        </w:tc>
      </w:tr>
      <w:tr w14:paraId="4BBBD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77" w:type="dxa"/>
            <w:vMerge w:val="continue"/>
            <w:vAlign w:val="center"/>
          </w:tcPr>
          <w:p w14:paraId="55DF0E9A">
            <w:pPr>
              <w:spacing w:line="360" w:lineRule="exact"/>
              <w:jc w:val="center"/>
              <w:rPr>
                <w:rFonts w:ascii="宋体" w:hAnsi="宋体" w:eastAsia="宋体" w:cs="Times New Roman"/>
                <w:snapToGrid w:val="0"/>
                <w:color w:val="auto"/>
              </w:rPr>
            </w:pPr>
          </w:p>
        </w:tc>
        <w:tc>
          <w:tcPr>
            <w:tcW w:w="2058" w:type="dxa"/>
            <w:vAlign w:val="center"/>
          </w:tcPr>
          <w:p w14:paraId="69401491">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废旧设备</w:t>
            </w:r>
          </w:p>
        </w:tc>
        <w:tc>
          <w:tcPr>
            <w:tcW w:w="1176" w:type="dxa"/>
            <w:vAlign w:val="center"/>
          </w:tcPr>
          <w:p w14:paraId="5A61EAB9">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类比法</w:t>
            </w:r>
          </w:p>
        </w:tc>
        <w:tc>
          <w:tcPr>
            <w:tcW w:w="992" w:type="dxa"/>
            <w:vAlign w:val="center"/>
          </w:tcPr>
          <w:p w14:paraId="79769232">
            <w:pPr>
              <w:spacing w:line="360" w:lineRule="exact"/>
              <w:jc w:val="center"/>
              <w:rPr>
                <w:rFonts w:ascii="宋体" w:hAnsi="宋体" w:eastAsia="宋体" w:cs="Times New Roman"/>
                <w:color w:val="auto"/>
                <w:lang w:val="zh-CN"/>
              </w:rPr>
            </w:pPr>
            <w:r>
              <w:rPr>
                <w:rFonts w:ascii="宋体" w:hAnsi="宋体" w:eastAsia="宋体" w:cs="Times New Roman"/>
                <w:color w:val="auto"/>
              </w:rPr>
              <w:t>16台套</w:t>
            </w:r>
          </w:p>
        </w:tc>
        <w:tc>
          <w:tcPr>
            <w:tcW w:w="1276" w:type="dxa"/>
            <w:vAlign w:val="center"/>
          </w:tcPr>
          <w:p w14:paraId="54D383F2">
            <w:pPr>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回收再利用</w:t>
            </w:r>
          </w:p>
        </w:tc>
        <w:tc>
          <w:tcPr>
            <w:tcW w:w="992" w:type="dxa"/>
            <w:vAlign w:val="center"/>
          </w:tcPr>
          <w:p w14:paraId="5179B773">
            <w:pPr>
              <w:spacing w:line="360" w:lineRule="exact"/>
              <w:jc w:val="center"/>
              <w:rPr>
                <w:rFonts w:ascii="宋体" w:hAnsi="宋体" w:eastAsia="宋体" w:cs="Times New Roman"/>
                <w:color w:val="auto"/>
              </w:rPr>
            </w:pPr>
            <w:r>
              <w:rPr>
                <w:rFonts w:ascii="宋体" w:hAnsi="宋体" w:eastAsia="宋体" w:cs="Times New Roman"/>
                <w:color w:val="auto"/>
              </w:rPr>
              <w:t>16台套</w:t>
            </w:r>
          </w:p>
        </w:tc>
        <w:tc>
          <w:tcPr>
            <w:tcW w:w="6631" w:type="dxa"/>
            <w:vAlign w:val="center"/>
          </w:tcPr>
          <w:p w14:paraId="457F9D21">
            <w:pPr>
              <w:spacing w:line="360" w:lineRule="exact"/>
              <w:jc w:val="center"/>
              <w:rPr>
                <w:rFonts w:ascii="宋体" w:hAnsi="宋体" w:eastAsia="宋体" w:cs="Times New Roman"/>
                <w:snapToGrid w:val="0"/>
                <w:color w:val="auto"/>
              </w:rPr>
            </w:pPr>
            <w:r>
              <w:rPr>
                <w:rFonts w:ascii="宋体" w:hAnsi="宋体" w:eastAsia="宋体" w:cs="Times New Roman"/>
                <w:color w:val="auto"/>
              </w:rPr>
              <w:t>全部回收至第十采油厂物资库</w:t>
            </w:r>
          </w:p>
        </w:tc>
      </w:tr>
    </w:tbl>
    <w:p w14:paraId="0092D2AC">
      <w:pPr>
        <w:rPr>
          <w:rFonts w:ascii="宋体" w:hAnsi="宋体" w:eastAsia="宋体" w:cs="Times New Roman"/>
          <w:color w:val="auto"/>
          <w:szCs w:val="20"/>
        </w:rPr>
        <w:sectPr>
          <w:type w:val="continuous"/>
          <w:pgSz w:w="16838" w:h="11906" w:orient="landscape"/>
          <w:pgMar w:top="1418" w:right="1418" w:bottom="1418" w:left="1418" w:header="851" w:footer="992" w:gutter="0"/>
          <w:cols w:space="720" w:num="1"/>
          <w:docGrid w:type="lines" w:linePitch="326" w:charSpace="0"/>
        </w:sectPr>
      </w:pPr>
    </w:p>
    <w:p w14:paraId="729FAD1C">
      <w:pPr>
        <w:pStyle w:val="6"/>
        <w:rPr>
          <w:color w:val="auto"/>
        </w:rPr>
      </w:pPr>
      <w:bookmarkStart w:id="900" w:name="_Toc62550103"/>
      <w:bookmarkStart w:id="901" w:name="_Toc74812351"/>
      <w:bookmarkStart w:id="902" w:name="_Toc29987"/>
      <w:r>
        <w:rPr>
          <w:rFonts w:hint="eastAsia"/>
          <w:color w:val="auto"/>
        </w:rPr>
        <w:t>生态影响分析</w:t>
      </w:r>
    </w:p>
    <w:p w14:paraId="72C1084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施工期生态影响分析</w:t>
      </w:r>
    </w:p>
    <w:p w14:paraId="726858FF">
      <w:pPr>
        <w:pStyle w:val="4"/>
        <w:ind w:firstLine="480"/>
        <w:rPr>
          <w:color w:val="auto"/>
        </w:rPr>
      </w:pPr>
      <w:r>
        <w:rPr>
          <w:rFonts w:hint="eastAsia"/>
          <w:color w:val="auto"/>
        </w:rPr>
        <w:t>（1）施工作业带清理和管沟开挖</w:t>
      </w:r>
    </w:p>
    <w:p w14:paraId="282B258D">
      <w:pPr>
        <w:pStyle w:val="4"/>
        <w:ind w:firstLine="480"/>
        <w:rPr>
          <w:color w:val="auto"/>
        </w:rPr>
      </w:pPr>
      <w:r>
        <w:rPr>
          <w:rFonts w:hint="eastAsia"/>
          <w:color w:val="auto"/>
        </w:rPr>
        <w:t>本项目所在区域以农田、草地为主，油田在开发阶段中的管线、道路等施工过程会对区域内的生态环境，特别是建设范围内的生态环境造成严重影响。本项目施工期影响主要表现在占用土地、改变土地利用类型、扰动土层、破坏植被。</w:t>
      </w:r>
    </w:p>
    <w:p w14:paraId="1A4C4FE4">
      <w:pPr>
        <w:pStyle w:val="4"/>
        <w:ind w:firstLine="480"/>
        <w:rPr>
          <w:color w:val="auto"/>
        </w:rPr>
      </w:pPr>
      <w:r>
        <w:rPr>
          <w:rFonts w:hint="eastAsia"/>
          <w:color w:val="auto"/>
        </w:rPr>
        <w:t>本项目管道主要采用沟埋方式敷设。管道敷设施工作业带控制在</w:t>
      </w:r>
      <w:r>
        <w:rPr>
          <w:color w:val="auto"/>
        </w:rPr>
        <w:t>10</w:t>
      </w:r>
      <w:r>
        <w:rPr>
          <w:rFonts w:hint="eastAsia"/>
          <w:color w:val="auto"/>
        </w:rPr>
        <w:t>m范围内。管沟开挖作业带范围内的土壤和植被都会受到扰动或者破坏，尤其是在开挖管沟约5m的范围内，植被破坏严重。</w:t>
      </w:r>
    </w:p>
    <w:p w14:paraId="7CA1A41C">
      <w:pPr>
        <w:pStyle w:val="4"/>
        <w:ind w:firstLine="480"/>
        <w:rPr>
          <w:color w:val="auto"/>
        </w:rPr>
      </w:pPr>
      <w:r>
        <w:rPr>
          <w:rFonts w:hint="eastAsia"/>
          <w:color w:val="auto"/>
        </w:rPr>
        <w:t>（2）工程占地</w:t>
      </w:r>
    </w:p>
    <w:p w14:paraId="6021AE8C">
      <w:pPr>
        <w:pStyle w:val="4"/>
        <w:ind w:firstLine="480"/>
        <w:rPr>
          <w:color w:val="auto"/>
        </w:rPr>
      </w:pPr>
      <w:r>
        <w:rPr>
          <w:rFonts w:hint="eastAsia"/>
          <w:color w:val="auto"/>
        </w:rPr>
        <w:t>本项目主要占地类型为基本草原，占地面积合计</w:t>
      </w:r>
      <w:r>
        <w:rPr>
          <w:rFonts w:cs="Times New Roman"/>
          <w:color w:val="auto"/>
          <w:lang w:bidi="ar"/>
        </w:rPr>
        <w:t>7.714</w:t>
      </w:r>
      <w:r>
        <w:rPr>
          <w:rFonts w:hint="eastAsia"/>
          <w:color w:val="auto"/>
        </w:rPr>
        <w:t>hm</w:t>
      </w:r>
      <w:r>
        <w:rPr>
          <w:rFonts w:hint="eastAsia"/>
          <w:color w:val="auto"/>
          <w:vertAlign w:val="superscript"/>
        </w:rPr>
        <w:t>2</w:t>
      </w:r>
      <w:r>
        <w:rPr>
          <w:rFonts w:hint="eastAsia"/>
          <w:color w:val="auto"/>
        </w:rPr>
        <w:t>，其中永久占地</w:t>
      </w:r>
      <w:r>
        <w:rPr>
          <w:color w:val="auto"/>
        </w:rPr>
        <w:t>3.254</w:t>
      </w:r>
      <w:r>
        <w:rPr>
          <w:rFonts w:hint="eastAsia"/>
          <w:color w:val="auto"/>
        </w:rPr>
        <w:t>hm</w:t>
      </w:r>
      <w:r>
        <w:rPr>
          <w:rFonts w:hint="eastAsia"/>
          <w:color w:val="auto"/>
          <w:vertAlign w:val="superscript"/>
        </w:rPr>
        <w:t>2</w:t>
      </w:r>
      <w:r>
        <w:rPr>
          <w:rFonts w:hint="eastAsia"/>
          <w:color w:val="auto"/>
        </w:rPr>
        <w:t>，临时占地</w:t>
      </w:r>
      <w:r>
        <w:rPr>
          <w:color w:val="auto"/>
        </w:rPr>
        <w:t>4.46</w:t>
      </w:r>
      <w:r>
        <w:rPr>
          <w:rFonts w:hint="eastAsia"/>
          <w:color w:val="auto"/>
        </w:rPr>
        <w:t>hm</w:t>
      </w:r>
      <w:r>
        <w:rPr>
          <w:rFonts w:hint="eastAsia"/>
          <w:color w:val="auto"/>
          <w:vertAlign w:val="superscript"/>
        </w:rPr>
        <w:t>2</w:t>
      </w:r>
      <w:r>
        <w:rPr>
          <w:rFonts w:hint="eastAsia"/>
          <w:color w:val="auto"/>
        </w:rPr>
        <w:t>。永久占用的土地将永久性的改变土地利用结构和功能；临时占地将在短期改变土地利用的结构和功能，但施工结束后可恢复原有使用功能。</w:t>
      </w:r>
    </w:p>
    <w:p w14:paraId="07320BC0">
      <w:pPr>
        <w:pStyle w:val="4"/>
        <w:ind w:firstLine="480"/>
        <w:rPr>
          <w:color w:val="auto"/>
        </w:rPr>
      </w:pPr>
      <w:r>
        <w:rPr>
          <w:rFonts w:hint="eastAsia"/>
          <w:color w:val="auto"/>
        </w:rPr>
        <w:t>（3）破坏、污染土壤</w:t>
      </w:r>
    </w:p>
    <w:p w14:paraId="25F984E4">
      <w:pPr>
        <w:pStyle w:val="4"/>
        <w:ind w:firstLine="480"/>
        <w:rPr>
          <w:color w:val="auto"/>
        </w:rPr>
      </w:pPr>
      <w:r>
        <w:rPr>
          <w:rFonts w:hint="eastAsia"/>
          <w:color w:val="auto"/>
        </w:rPr>
        <w:t>本项目对土壤的影响主要表现为对土壤性质、土壤肥力和土壤污染的影响三个方面。项目土方的开挖和回填，将造成土壤结构的改变，进而导致土壤肥力的降低，对当地植被的生长和产量造成一定影响。</w:t>
      </w:r>
    </w:p>
    <w:p w14:paraId="706BE4E2">
      <w:pPr>
        <w:pStyle w:val="4"/>
        <w:ind w:firstLine="480"/>
        <w:rPr>
          <w:color w:val="auto"/>
        </w:rPr>
      </w:pPr>
      <w:r>
        <w:rPr>
          <w:rFonts w:hint="eastAsia"/>
          <w:color w:val="auto"/>
        </w:rPr>
        <w:t>（4）水土流失</w:t>
      </w:r>
    </w:p>
    <w:p w14:paraId="7638ABEF">
      <w:pPr>
        <w:pStyle w:val="4"/>
        <w:ind w:firstLine="480"/>
        <w:rPr>
          <w:color w:val="auto"/>
        </w:rPr>
      </w:pPr>
      <w:r>
        <w:rPr>
          <w:rFonts w:hint="eastAsia"/>
          <w:color w:val="auto"/>
        </w:rPr>
        <w:t>项目井场及道路施工扰动，将使施工区域周围的土壤结构和地表植被遭到破坏，打破了地表的原有平衡状态，使得土壤结构变松，加剧区域的水土流失。</w:t>
      </w:r>
    </w:p>
    <w:p w14:paraId="7728D726">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运营期生态影响分析</w:t>
      </w:r>
    </w:p>
    <w:p w14:paraId="74D2B939">
      <w:pPr>
        <w:pStyle w:val="4"/>
        <w:ind w:firstLine="480"/>
        <w:rPr>
          <w:color w:val="auto"/>
        </w:rPr>
      </w:pPr>
      <w:r>
        <w:rPr>
          <w:rFonts w:hint="eastAsia"/>
          <w:color w:val="auto"/>
        </w:rPr>
        <w:t>本项目建成后，临时占地得到有效的填充平整、恢复植被，道路两侧及井场周围植被得到恢复，以降低土地沙漠化，减少水土流失。</w:t>
      </w:r>
    </w:p>
    <w:p w14:paraId="5318B99D">
      <w:pPr>
        <w:pStyle w:val="4"/>
        <w:ind w:firstLine="480"/>
        <w:rPr>
          <w:color w:val="auto"/>
        </w:rPr>
      </w:pPr>
      <w:r>
        <w:rPr>
          <w:rFonts w:hint="eastAsia"/>
          <w:color w:val="auto"/>
        </w:rPr>
        <w:t>运营期对生态系统的影响主要是井下作业对生态的影响。井下作业均在井场的永久占地范围内进行，同时在作业时铺设防渗布，油井产生的作业废水进入集油系统，作业废水由罐车拉运至朝二联含油污水处理站处理，不会排入外环境，对生态环境的影响较小。但如果作业时管理不善，导致大量污油水喷溅到植物上或散落到土壤中，就会影响植物的光合作用，导致其生产力下降。</w:t>
      </w:r>
    </w:p>
    <w:p w14:paraId="7695AA4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退役期</w:t>
      </w:r>
      <w:r>
        <w:rPr>
          <w:rFonts w:ascii="宋体" w:hAnsi="宋体" w:eastAsia="宋体" w:cs="Times New Roman"/>
          <w:b/>
          <w:bCs/>
          <w:color w:val="auto"/>
          <w:szCs w:val="28"/>
        </w:rPr>
        <w:t>生态</w:t>
      </w:r>
      <w:r>
        <w:rPr>
          <w:rFonts w:hint="eastAsia" w:ascii="宋体" w:hAnsi="宋体" w:eastAsia="宋体" w:cs="Times New Roman"/>
          <w:b/>
          <w:bCs/>
          <w:color w:val="auto"/>
          <w:szCs w:val="28"/>
        </w:rPr>
        <w:t>影响分析</w:t>
      </w:r>
    </w:p>
    <w:p w14:paraId="66B160DE">
      <w:pPr>
        <w:pStyle w:val="4"/>
        <w:ind w:firstLine="480"/>
        <w:rPr>
          <w:color w:val="auto"/>
        </w:rPr>
      </w:pPr>
      <w:r>
        <w:rPr>
          <w:rFonts w:hint="eastAsia"/>
          <w:color w:val="auto"/>
        </w:rPr>
        <w:t>退役期将按照土地复垦相关要求进行植被恢复。</w:t>
      </w:r>
    </w:p>
    <w:p w14:paraId="1BA8D08D">
      <w:pPr>
        <w:pStyle w:val="5"/>
        <w:rPr>
          <w:bCs w:val="0"/>
          <w:color w:val="auto"/>
        </w:rPr>
      </w:pPr>
      <w:bookmarkStart w:id="903" w:name="_Toc212033024"/>
      <w:r>
        <w:rPr>
          <w:bCs w:val="0"/>
          <w:color w:val="auto"/>
        </w:rPr>
        <w:t>清洁生产分析</w:t>
      </w:r>
      <w:bookmarkEnd w:id="900"/>
      <w:bookmarkEnd w:id="901"/>
      <w:bookmarkEnd w:id="902"/>
      <w:bookmarkEnd w:id="903"/>
    </w:p>
    <w:p w14:paraId="36557050">
      <w:pPr>
        <w:pStyle w:val="276"/>
        <w:widowControl w:val="0"/>
        <w:ind w:firstLine="480"/>
        <w:jc w:val="both"/>
        <w:rPr>
          <w:color w:val="auto"/>
        </w:rPr>
      </w:pPr>
      <w:r>
        <w:rPr>
          <w:color w:val="auto"/>
        </w:rPr>
        <w:t>参照</w:t>
      </w:r>
      <w:r>
        <w:rPr>
          <w:snapToGrid w:val="0"/>
          <w:color w:val="auto"/>
          <w:lang w:bidi="zh-CN"/>
        </w:rPr>
        <w:t>《</w:t>
      </w:r>
      <w:r>
        <w:rPr>
          <w:color w:val="auto"/>
        </w:rPr>
        <w:t>石油和天然气开采行业清洁生产评价指标体系（试行）》（国家发展改革委、工业和信息化部公告2009年第3号）中对钻井、井下作业以及油气集输等工程定性指标的要求，简要分析施工期和运营期清洁生产工艺。</w:t>
      </w:r>
    </w:p>
    <w:p w14:paraId="06C29029">
      <w:pPr>
        <w:pStyle w:val="6"/>
        <w:rPr>
          <w:color w:val="auto"/>
        </w:rPr>
      </w:pPr>
      <w:bookmarkStart w:id="904" w:name="_Toc80971399"/>
      <w:bookmarkStart w:id="905" w:name="_Toc76976268"/>
      <w:bookmarkStart w:id="906" w:name="_Toc106810322"/>
      <w:bookmarkStart w:id="907" w:name="_Toc78816482"/>
      <w:bookmarkStart w:id="908" w:name="_Toc84929254"/>
      <w:bookmarkStart w:id="909" w:name="_Toc77067680"/>
      <w:bookmarkStart w:id="910" w:name="_Toc143099596"/>
      <w:bookmarkStart w:id="911" w:name="_Toc86141953"/>
      <w:bookmarkStart w:id="912" w:name="_Toc85640778"/>
      <w:bookmarkStart w:id="913" w:name="_Toc100822136"/>
      <w:bookmarkStart w:id="914" w:name="_Toc80588277"/>
      <w:bookmarkStart w:id="915" w:name="_Toc103610895"/>
      <w:bookmarkStart w:id="916" w:name="_Toc83209499"/>
      <w:bookmarkStart w:id="917" w:name="_Toc85640779"/>
      <w:bookmarkStart w:id="918" w:name="_Toc80971400"/>
      <w:bookmarkStart w:id="919" w:name="_Toc127192360"/>
      <w:bookmarkStart w:id="920" w:name="_Toc78816483"/>
      <w:bookmarkStart w:id="921" w:name="_Toc76976269"/>
      <w:bookmarkStart w:id="922" w:name="_Toc84929255"/>
      <w:bookmarkStart w:id="923" w:name="_Toc80588278"/>
      <w:bookmarkStart w:id="924" w:name="_Toc86141954"/>
      <w:bookmarkStart w:id="925" w:name="_Toc126863411"/>
      <w:bookmarkStart w:id="926" w:name="_Toc131167311"/>
      <w:bookmarkStart w:id="927" w:name="_Toc77067681"/>
      <w:bookmarkStart w:id="928" w:name="_Toc83209500"/>
      <w:r>
        <w:rPr>
          <w:color w:val="auto"/>
        </w:rPr>
        <w:t>钻井过程的清洁生产工艺</w:t>
      </w:r>
      <w:bookmarkEnd w:id="904"/>
      <w:bookmarkEnd w:id="905"/>
      <w:bookmarkEnd w:id="906"/>
      <w:bookmarkEnd w:id="907"/>
      <w:bookmarkEnd w:id="908"/>
      <w:bookmarkEnd w:id="909"/>
      <w:bookmarkEnd w:id="910"/>
      <w:bookmarkEnd w:id="911"/>
      <w:bookmarkEnd w:id="912"/>
      <w:bookmarkEnd w:id="913"/>
      <w:bookmarkEnd w:id="914"/>
      <w:bookmarkEnd w:id="915"/>
      <w:bookmarkEnd w:id="916"/>
    </w:p>
    <w:p w14:paraId="71211DA7">
      <w:pPr>
        <w:pStyle w:val="276"/>
        <w:widowControl w:val="0"/>
        <w:ind w:firstLine="480"/>
        <w:jc w:val="both"/>
        <w:rPr>
          <w:color w:val="auto"/>
          <w:kern w:val="2"/>
        </w:rPr>
      </w:pPr>
      <w:r>
        <w:rPr>
          <w:color w:val="auto"/>
          <w:kern w:val="2"/>
        </w:rPr>
        <w:t>（1）本项目部分钻井布井采用丛式井，不但最大限度减少废物排放，而且减少了井场占地，从而减轻了对土壤、生态及植被的影响。</w:t>
      </w:r>
    </w:p>
    <w:p w14:paraId="1E7B88AE">
      <w:pPr>
        <w:pStyle w:val="276"/>
        <w:widowControl w:val="0"/>
        <w:ind w:firstLine="480"/>
        <w:jc w:val="both"/>
        <w:rPr>
          <w:color w:val="auto"/>
          <w:kern w:val="2"/>
        </w:rPr>
      </w:pPr>
      <w:r>
        <w:rPr>
          <w:color w:val="auto"/>
          <w:kern w:val="2"/>
        </w:rPr>
        <w:t>（2）作业井场将采用泥浆</w:t>
      </w:r>
      <w:r>
        <w:rPr>
          <w:color w:val="auto"/>
        </w:rPr>
        <w:t>循环系统</w:t>
      </w:r>
      <w:r>
        <w:rPr>
          <w:color w:val="auto"/>
          <w:kern w:val="2"/>
        </w:rPr>
        <w:t>及落地油回收系统等环保设施，最大限度地减少废弃泥浆的产生和污染物的排放。</w:t>
      </w:r>
    </w:p>
    <w:p w14:paraId="04373C2E">
      <w:pPr>
        <w:pStyle w:val="276"/>
        <w:widowControl w:val="0"/>
        <w:ind w:firstLine="480"/>
        <w:jc w:val="both"/>
        <w:rPr>
          <w:color w:val="auto"/>
          <w:kern w:val="2"/>
        </w:rPr>
      </w:pPr>
      <w:r>
        <w:rPr>
          <w:color w:val="auto"/>
          <w:kern w:val="2"/>
        </w:rPr>
        <w:t>（3）固井工艺采用一次上返、全井段封固。若水泥浆没有返至地面，采用“一次上返+井口回填”固井工艺。优先采用“常规密度+低</w:t>
      </w:r>
      <w:r>
        <w:rPr>
          <w:color w:val="auto"/>
        </w:rPr>
        <w:t>密度</w:t>
      </w:r>
      <w:r>
        <w:rPr>
          <w:color w:val="auto"/>
          <w:kern w:val="2"/>
        </w:rPr>
        <w:t>”水泥浆体系，一次上返固井工艺，实现全井段封固。避免了各个含水层之间的地下水串层以及套外返水事故对地下水的污染。同时，固井水泥中加入防窜降失水剂，有效控制了泥浆的失水。</w:t>
      </w:r>
    </w:p>
    <w:p w14:paraId="560C5054">
      <w:pPr>
        <w:pStyle w:val="276"/>
        <w:widowControl w:val="0"/>
        <w:ind w:firstLine="480"/>
        <w:jc w:val="both"/>
        <w:rPr>
          <w:color w:val="auto"/>
          <w:kern w:val="2"/>
        </w:rPr>
      </w:pPr>
      <w:r>
        <w:rPr>
          <w:color w:val="auto"/>
          <w:kern w:val="2"/>
        </w:rPr>
        <w:t>（4）在钻井时，井口安装井控装置，</w:t>
      </w:r>
      <w:r>
        <w:rPr>
          <w:color w:val="auto"/>
        </w:rPr>
        <w:t>最大限度</w:t>
      </w:r>
      <w:r>
        <w:rPr>
          <w:color w:val="auto"/>
          <w:kern w:val="2"/>
        </w:rPr>
        <w:t>的避免井喷事故的发生。在修井时，安装封井器，避免原油、污水喷出。</w:t>
      </w:r>
    </w:p>
    <w:p w14:paraId="31729962">
      <w:pPr>
        <w:pStyle w:val="6"/>
        <w:rPr>
          <w:color w:val="auto"/>
        </w:rPr>
      </w:pPr>
      <w:bookmarkStart w:id="929" w:name="_Toc143099597"/>
      <w:r>
        <w:rPr>
          <w:color w:val="auto"/>
        </w:rPr>
        <w:t>井下作业的清洁生产工艺</w:t>
      </w:r>
      <w:bookmarkEnd w:id="917"/>
      <w:bookmarkEnd w:id="918"/>
      <w:bookmarkEnd w:id="919"/>
      <w:bookmarkEnd w:id="920"/>
      <w:bookmarkEnd w:id="921"/>
      <w:bookmarkEnd w:id="922"/>
      <w:bookmarkEnd w:id="923"/>
      <w:bookmarkEnd w:id="924"/>
      <w:bookmarkEnd w:id="925"/>
      <w:bookmarkEnd w:id="926"/>
      <w:bookmarkEnd w:id="927"/>
      <w:bookmarkEnd w:id="928"/>
      <w:bookmarkEnd w:id="929"/>
    </w:p>
    <w:p w14:paraId="1473098A">
      <w:pPr>
        <w:pStyle w:val="276"/>
        <w:widowControl w:val="0"/>
        <w:ind w:firstLine="480"/>
        <w:jc w:val="both"/>
        <w:rPr>
          <w:color w:val="auto"/>
          <w:kern w:val="2"/>
        </w:rPr>
      </w:pPr>
      <w:r>
        <w:rPr>
          <w:color w:val="auto"/>
          <w:kern w:val="2"/>
        </w:rPr>
        <w:t>（1）在井场，加强油井井口的密闭，减少井口烃类的无组织挥发，控制分离器压力，杜绝放空，在设备的选型设计时充分考虑其承受的压力，阀门、油泵等设备装置密闭性能高，杜绝烃类气体跑冒等无组织排放。</w:t>
      </w:r>
    </w:p>
    <w:p w14:paraId="1C41AACF">
      <w:pPr>
        <w:pStyle w:val="276"/>
        <w:widowControl w:val="0"/>
        <w:ind w:firstLine="480"/>
        <w:jc w:val="both"/>
        <w:rPr>
          <w:color w:val="auto"/>
          <w:kern w:val="2"/>
        </w:rPr>
      </w:pPr>
      <w:r>
        <w:rPr>
          <w:color w:val="auto"/>
          <w:kern w:val="2"/>
        </w:rPr>
        <w:t>（2）起下油管时，安装自封式封井器，避免原油、污水喷出。另外对运输车辆采取防渗漏、溢流和散落的措施。</w:t>
      </w:r>
    </w:p>
    <w:p w14:paraId="1E42791B">
      <w:pPr>
        <w:pStyle w:val="276"/>
        <w:widowControl w:val="0"/>
        <w:ind w:firstLine="480"/>
        <w:jc w:val="both"/>
        <w:rPr>
          <w:color w:val="auto"/>
          <w:kern w:val="2"/>
        </w:rPr>
      </w:pPr>
      <w:r>
        <w:rPr>
          <w:color w:val="auto"/>
          <w:kern w:val="2"/>
        </w:rPr>
        <w:t>（3）在井下作业过程中，产生的作业污水经区块含油污水处理站处理后回注油层，对作业过程中散落的落地油，采用“铺设作业，带罐上岗”的作业模式，可使落地油的回收率达到 100%。</w:t>
      </w:r>
    </w:p>
    <w:p w14:paraId="772CB33B">
      <w:pPr>
        <w:pStyle w:val="276"/>
        <w:widowControl w:val="0"/>
        <w:ind w:firstLine="480"/>
        <w:jc w:val="both"/>
        <w:rPr>
          <w:color w:val="auto"/>
          <w:kern w:val="2"/>
        </w:rPr>
      </w:pPr>
      <w:r>
        <w:rPr>
          <w:color w:val="auto"/>
          <w:kern w:val="2"/>
        </w:rPr>
        <w:t>（4）压裂液使用无毒无害可回收的压裂液，压裂返排液全部罐车收集，进罐率达到 100%，减少对环境的危害。</w:t>
      </w:r>
    </w:p>
    <w:p w14:paraId="08E4E801">
      <w:pPr>
        <w:pStyle w:val="6"/>
        <w:rPr>
          <w:color w:val="auto"/>
        </w:rPr>
      </w:pPr>
      <w:bookmarkStart w:id="930" w:name="_Toc85640780"/>
      <w:bookmarkStart w:id="931" w:name="_Toc143099598"/>
      <w:bookmarkStart w:id="932" w:name="_Toc83209501"/>
      <w:bookmarkStart w:id="933" w:name="_Toc80588279"/>
      <w:bookmarkStart w:id="934" w:name="_Toc84929256"/>
      <w:bookmarkStart w:id="935" w:name="_Toc76976270"/>
      <w:bookmarkStart w:id="936" w:name="_Toc77067682"/>
      <w:bookmarkStart w:id="937" w:name="_Toc80971401"/>
      <w:bookmarkStart w:id="938" w:name="_Toc86141955"/>
      <w:bookmarkStart w:id="939" w:name="_Toc131167312"/>
      <w:bookmarkStart w:id="940" w:name="_Toc126863412"/>
      <w:bookmarkStart w:id="941" w:name="_Toc127192361"/>
      <w:bookmarkStart w:id="942" w:name="_Toc78816484"/>
      <w:r>
        <w:rPr>
          <w:color w:val="auto"/>
        </w:rPr>
        <w:t>油气集输的清洁生产</w:t>
      </w:r>
      <w:bookmarkEnd w:id="930"/>
      <w:bookmarkEnd w:id="931"/>
      <w:bookmarkEnd w:id="932"/>
      <w:bookmarkEnd w:id="933"/>
      <w:bookmarkEnd w:id="934"/>
      <w:bookmarkEnd w:id="935"/>
      <w:bookmarkEnd w:id="936"/>
      <w:bookmarkEnd w:id="937"/>
      <w:bookmarkEnd w:id="938"/>
      <w:bookmarkEnd w:id="939"/>
      <w:bookmarkEnd w:id="940"/>
      <w:bookmarkEnd w:id="941"/>
      <w:bookmarkEnd w:id="942"/>
    </w:p>
    <w:p w14:paraId="50A534B8">
      <w:pPr>
        <w:pStyle w:val="276"/>
        <w:widowControl w:val="0"/>
        <w:ind w:firstLine="480"/>
        <w:jc w:val="both"/>
        <w:rPr>
          <w:color w:val="auto"/>
          <w:kern w:val="2"/>
        </w:rPr>
      </w:pPr>
      <w:r>
        <w:rPr>
          <w:color w:val="auto"/>
          <w:kern w:val="2"/>
        </w:rPr>
        <w:t>（1）优化布局</w:t>
      </w:r>
    </w:p>
    <w:p w14:paraId="6CE4662F">
      <w:pPr>
        <w:pStyle w:val="276"/>
        <w:widowControl w:val="0"/>
        <w:ind w:firstLine="480"/>
        <w:jc w:val="both"/>
        <w:rPr>
          <w:color w:val="auto"/>
          <w:kern w:val="2"/>
        </w:rPr>
      </w:pPr>
      <w:r>
        <w:rPr>
          <w:color w:val="auto"/>
          <w:kern w:val="2"/>
        </w:rPr>
        <w:t>集输系统的优化主要采用优化布站理论和管网优化理论，依托井组密闭增压技术、集输半径界定技术，最大限度的实现油田</w:t>
      </w:r>
      <w:r>
        <w:rPr>
          <w:color w:val="auto"/>
        </w:rPr>
        <w:t>地面</w:t>
      </w:r>
      <w:r>
        <w:rPr>
          <w:color w:val="auto"/>
          <w:kern w:val="2"/>
        </w:rPr>
        <w:t>系统的最优化布局。</w:t>
      </w:r>
    </w:p>
    <w:p w14:paraId="11311622">
      <w:pPr>
        <w:pStyle w:val="276"/>
        <w:widowControl w:val="0"/>
        <w:ind w:firstLine="480"/>
        <w:jc w:val="both"/>
        <w:rPr>
          <w:color w:val="auto"/>
          <w:kern w:val="2"/>
        </w:rPr>
      </w:pPr>
      <w:r>
        <w:rPr>
          <w:color w:val="auto"/>
          <w:kern w:val="2"/>
        </w:rPr>
        <w:t>本项目开发采取总体方案设计、总体布局，结合当地地形地貌特征，合理确定线路位置和走向，最大限度的减少地面工程建设投资。</w:t>
      </w:r>
    </w:p>
    <w:p w14:paraId="232ACFF9">
      <w:pPr>
        <w:pStyle w:val="276"/>
        <w:widowControl w:val="0"/>
        <w:ind w:firstLine="480"/>
        <w:jc w:val="both"/>
        <w:rPr>
          <w:color w:val="auto"/>
          <w:kern w:val="2"/>
        </w:rPr>
      </w:pPr>
      <w:r>
        <w:rPr>
          <w:color w:val="auto"/>
          <w:kern w:val="2"/>
        </w:rPr>
        <w:t>针对本项目油田开发的特点，并结合</w:t>
      </w:r>
      <w:r>
        <w:rPr>
          <w:color w:val="auto"/>
        </w:rPr>
        <w:t>当地</w:t>
      </w:r>
      <w:r>
        <w:rPr>
          <w:color w:val="auto"/>
          <w:kern w:val="2"/>
        </w:rPr>
        <w:t>自然地形和集油工艺特点，集输系统主要采用以联合站为中心，转油站为骨架，按二级或三级布站形式汇集成地面原油集输管网体系。井场管线集油格局，以适应整个产建工程开发区域自然地形特点和开发需要。</w:t>
      </w:r>
    </w:p>
    <w:p w14:paraId="3C795115">
      <w:pPr>
        <w:pStyle w:val="276"/>
        <w:widowControl w:val="0"/>
        <w:ind w:firstLine="480"/>
        <w:jc w:val="both"/>
        <w:rPr>
          <w:color w:val="auto"/>
          <w:kern w:val="2"/>
        </w:rPr>
      </w:pPr>
      <w:r>
        <w:rPr>
          <w:color w:val="auto"/>
          <w:kern w:val="2"/>
        </w:rPr>
        <w:t>（2）油气集输采用密闭集输</w:t>
      </w:r>
      <w:r>
        <w:rPr>
          <w:color w:val="auto"/>
        </w:rPr>
        <w:t>流程</w:t>
      </w:r>
    </w:p>
    <w:p w14:paraId="1528735D">
      <w:pPr>
        <w:pStyle w:val="276"/>
        <w:widowControl w:val="0"/>
        <w:ind w:firstLine="480"/>
        <w:jc w:val="both"/>
        <w:rPr>
          <w:color w:val="auto"/>
          <w:kern w:val="2"/>
        </w:rPr>
      </w:pPr>
      <w:r>
        <w:rPr>
          <w:color w:val="auto"/>
          <w:kern w:val="2"/>
        </w:rPr>
        <w:t>本项目井场</w:t>
      </w:r>
      <w:r>
        <w:rPr>
          <w:rFonts w:hint="eastAsia"/>
          <w:color w:val="auto"/>
          <w:kern w:val="2"/>
        </w:rPr>
        <w:t>井口设加热棒，采出液井</w:t>
      </w:r>
      <w:r>
        <w:rPr>
          <w:color w:val="auto"/>
          <w:kern w:val="2"/>
        </w:rPr>
        <w:t>集输管线收集至新建</w:t>
      </w:r>
      <w:r>
        <w:rPr>
          <w:rFonts w:hint="eastAsia"/>
          <w:color w:val="auto"/>
          <w:kern w:val="2"/>
        </w:rPr>
        <w:t>3</w:t>
      </w:r>
      <w:r>
        <w:rPr>
          <w:color w:val="auto"/>
          <w:kern w:val="2"/>
        </w:rPr>
        <w:t>座拉油点，集输管线全密闭。拉油点储罐密闭，</w:t>
      </w:r>
      <w:r>
        <w:rPr>
          <w:color w:val="auto"/>
        </w:rPr>
        <w:t>伴生气用于拉油点多功能储罐加热炉自耗</w:t>
      </w:r>
      <w:r>
        <w:rPr>
          <w:color w:val="auto"/>
          <w:kern w:val="2"/>
        </w:rPr>
        <w:t>，不外排。</w:t>
      </w:r>
    </w:p>
    <w:p w14:paraId="4BDE7D5E">
      <w:pPr>
        <w:pStyle w:val="276"/>
        <w:widowControl w:val="0"/>
        <w:ind w:firstLine="480"/>
        <w:jc w:val="both"/>
        <w:rPr>
          <w:color w:val="auto"/>
          <w:kern w:val="2"/>
        </w:rPr>
      </w:pPr>
      <w:r>
        <w:rPr>
          <w:color w:val="auto"/>
          <w:kern w:val="2"/>
        </w:rPr>
        <w:t>（3）油田采出水处理</w:t>
      </w:r>
    </w:p>
    <w:p w14:paraId="317C5D09">
      <w:pPr>
        <w:pStyle w:val="276"/>
        <w:widowControl w:val="0"/>
        <w:ind w:firstLine="480"/>
        <w:jc w:val="both"/>
        <w:rPr>
          <w:color w:val="auto"/>
          <w:kern w:val="2"/>
        </w:rPr>
      </w:pPr>
      <w:r>
        <w:rPr>
          <w:color w:val="auto"/>
          <w:kern w:val="2"/>
        </w:rPr>
        <w:t>为了保护环境和节约用水，本项目</w:t>
      </w:r>
      <w:r>
        <w:rPr>
          <w:rFonts w:hint="eastAsia"/>
          <w:color w:val="auto"/>
          <w:kern w:val="2"/>
        </w:rPr>
        <w:t>运营期</w:t>
      </w:r>
      <w:r>
        <w:rPr>
          <w:color w:val="auto"/>
          <w:kern w:val="2"/>
        </w:rPr>
        <w:t>油田采出水全部经朝二联含油污水处理站处理达标后回注油层，不外排。</w:t>
      </w:r>
    </w:p>
    <w:p w14:paraId="0B09EC9A">
      <w:pPr>
        <w:pStyle w:val="276"/>
        <w:widowControl w:val="0"/>
        <w:ind w:firstLine="480"/>
        <w:jc w:val="both"/>
        <w:rPr>
          <w:color w:val="auto"/>
          <w:kern w:val="2"/>
        </w:rPr>
      </w:pPr>
      <w:r>
        <w:rPr>
          <w:color w:val="auto"/>
          <w:kern w:val="2"/>
        </w:rPr>
        <w:t>（4）在井场、道路、集输管线等系统施工完成后立即平整占地，临时占地土地全部复耕，可有效降低工程施工对环境的影响。</w:t>
      </w:r>
    </w:p>
    <w:p w14:paraId="16C68A9E">
      <w:pPr>
        <w:pStyle w:val="6"/>
        <w:rPr>
          <w:color w:val="auto"/>
        </w:rPr>
      </w:pPr>
      <w:bookmarkStart w:id="943" w:name="_Toc80971402"/>
      <w:bookmarkStart w:id="944" w:name="_Toc131167313"/>
      <w:bookmarkStart w:id="945" w:name="_Toc80588280"/>
      <w:bookmarkStart w:id="946" w:name="_Toc77067683"/>
      <w:bookmarkStart w:id="947" w:name="_Toc127192362"/>
      <w:bookmarkStart w:id="948" w:name="_Toc76976271"/>
      <w:bookmarkStart w:id="949" w:name="_Toc84929257"/>
      <w:bookmarkStart w:id="950" w:name="_Toc83209502"/>
      <w:bookmarkStart w:id="951" w:name="_Toc85640781"/>
      <w:bookmarkStart w:id="952" w:name="_Toc78816485"/>
      <w:bookmarkStart w:id="953" w:name="_Toc126863413"/>
      <w:bookmarkStart w:id="954" w:name="_Toc86141956"/>
      <w:bookmarkStart w:id="955" w:name="_Toc143099599"/>
      <w:r>
        <w:rPr>
          <w:color w:val="auto"/>
        </w:rPr>
        <w:t>先进的环境管理</w:t>
      </w:r>
      <w:bookmarkEnd w:id="943"/>
      <w:bookmarkEnd w:id="944"/>
      <w:bookmarkEnd w:id="945"/>
      <w:bookmarkEnd w:id="946"/>
      <w:bookmarkEnd w:id="947"/>
      <w:bookmarkEnd w:id="948"/>
      <w:bookmarkEnd w:id="949"/>
      <w:bookmarkEnd w:id="950"/>
      <w:bookmarkEnd w:id="951"/>
      <w:bookmarkEnd w:id="952"/>
      <w:bookmarkEnd w:id="953"/>
      <w:bookmarkEnd w:id="954"/>
      <w:bookmarkEnd w:id="955"/>
    </w:p>
    <w:p w14:paraId="59C08B7D">
      <w:pPr>
        <w:pStyle w:val="276"/>
        <w:widowControl w:val="0"/>
        <w:ind w:firstLine="480"/>
        <w:jc w:val="both"/>
        <w:rPr>
          <w:color w:val="auto"/>
          <w:kern w:val="2"/>
        </w:rPr>
      </w:pPr>
      <w:r>
        <w:rPr>
          <w:color w:val="auto"/>
          <w:kern w:val="2"/>
        </w:rPr>
        <w:t>本项目在实施过程中，积极推行HSE管理体系，对项目实施HSE管理，同时对全体员工进行相应的HSE培训，使职工自觉遵守HSE管理体系并积极保护其人身安全和周围环境，尽量减少直至杜绝环境污染事故的发生。</w:t>
      </w:r>
    </w:p>
    <w:p w14:paraId="4AB42E2D">
      <w:pPr>
        <w:pStyle w:val="6"/>
        <w:rPr>
          <w:color w:val="auto"/>
        </w:rPr>
      </w:pPr>
      <w:r>
        <w:rPr>
          <w:color w:val="auto"/>
        </w:rPr>
        <w:t>合理有效的污染物处置措施</w:t>
      </w:r>
    </w:p>
    <w:p w14:paraId="7D5C402C">
      <w:pPr>
        <w:pStyle w:val="276"/>
        <w:widowControl w:val="0"/>
        <w:ind w:firstLine="480"/>
        <w:jc w:val="both"/>
        <w:rPr>
          <w:color w:val="auto"/>
          <w:kern w:val="2"/>
        </w:rPr>
      </w:pPr>
      <w:r>
        <w:rPr>
          <w:color w:val="auto"/>
          <w:kern w:val="2"/>
        </w:rPr>
        <w:t>本项目运营期产生的含油废防渗布收集后暂存于第十采油厂综合固废储存库，定期委托有资质单位处理；</w:t>
      </w:r>
      <w:r>
        <w:rPr>
          <w:color w:val="auto"/>
          <w:kern w:val="2"/>
          <w:szCs w:val="20"/>
        </w:rPr>
        <w:t>依托场站各罐体中</w:t>
      </w:r>
      <w:r>
        <w:rPr>
          <w:color w:val="auto"/>
          <w:kern w:val="2"/>
        </w:rPr>
        <w:t>产生的含油污泥及井下作业阶段回收的落地油由罐车拉运至朝一联含油污泥处理站减量化处理后，再委托大庆博昕晶化科技有限公司处理满足《油田含油污泥处置与利用污染控制要求》（DB23/T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作业污水</w:t>
      </w:r>
      <w:r>
        <w:rPr>
          <w:color w:val="auto"/>
        </w:rPr>
        <w:t>通过罐车回收后拉运至朝二联含油污水处理站处理满足《大庆油田地面工程建设设计规定》（Q/SYDQ0639-2015）及《碎屑岩油藏注水水质指标技术要求及分析方法》（SY/T5329-2022）限值要求后回注油层，不外排；</w:t>
      </w:r>
      <w:r>
        <w:rPr>
          <w:color w:val="auto"/>
          <w:kern w:val="2"/>
        </w:rPr>
        <w:t>洗井污水由罐车拉运至朝二联含油污水处理站处理满足《大庆油田地面工程建设设计规定》（Q/SYDQ0639-2015）及《碎屑岩油藏注水水质指标技术要求及分析方法》（SY/T5329-2022）限值要求后回注油层，不外排。根据上述分析，本项目将清洁生产贯穿于设计、建设与生产的全过程，符合清洁生产要求，清洁生产水平达到国内先进水平。</w:t>
      </w:r>
      <w:bookmarkEnd w:id="859"/>
    </w:p>
    <w:p w14:paraId="5716D14B">
      <w:pPr>
        <w:pStyle w:val="3"/>
        <w:numPr>
          <w:ilvl w:val="0"/>
          <w:numId w:val="15"/>
        </w:numPr>
        <w:spacing w:before="180" w:after="180" w:line="440" w:lineRule="exact"/>
        <w:ind w:left="0" w:firstLine="0"/>
        <w:rPr>
          <w:rFonts w:ascii="宋体" w:hAnsi="宋体" w:eastAsia="宋体"/>
          <w:b w:val="0"/>
          <w:snapToGrid w:val="0"/>
          <w:color w:val="auto"/>
          <w:szCs w:val="30"/>
        </w:rPr>
        <w:sectPr>
          <w:headerReference r:id="rId8" w:type="default"/>
          <w:pgSz w:w="11907" w:h="16840"/>
          <w:pgMar w:top="1418" w:right="1418" w:bottom="1418" w:left="1418" w:header="851" w:footer="425" w:gutter="0"/>
          <w:cols w:space="720" w:num="1"/>
          <w:docGrid w:type="lines" w:linePitch="326" w:charSpace="0"/>
        </w:sectPr>
      </w:pPr>
      <w:bookmarkStart w:id="956" w:name="_Toc502736485"/>
    </w:p>
    <w:p w14:paraId="21680716">
      <w:pPr>
        <w:pStyle w:val="3"/>
        <w:rPr>
          <w:rFonts w:ascii="宋体" w:hAnsi="宋体" w:eastAsia="宋体"/>
          <w:bCs/>
          <w:color w:val="auto"/>
        </w:rPr>
      </w:pPr>
      <w:bookmarkStart w:id="957" w:name="_Toc11223"/>
      <w:bookmarkStart w:id="958" w:name="_Toc212033025"/>
      <w:r>
        <w:rPr>
          <w:rFonts w:ascii="宋体" w:hAnsi="宋体" w:eastAsia="宋体"/>
          <w:bCs/>
          <w:color w:val="auto"/>
        </w:rPr>
        <w:t>环境现状调查与评价</w:t>
      </w:r>
      <w:bookmarkEnd w:id="956"/>
      <w:bookmarkEnd w:id="957"/>
      <w:bookmarkEnd w:id="958"/>
    </w:p>
    <w:p w14:paraId="2EE48C7E">
      <w:pPr>
        <w:pStyle w:val="5"/>
        <w:rPr>
          <w:bCs w:val="0"/>
          <w:color w:val="auto"/>
        </w:rPr>
      </w:pPr>
      <w:bookmarkStart w:id="959" w:name="_Toc475378598"/>
      <w:bookmarkStart w:id="960" w:name="_Toc502736486"/>
      <w:bookmarkStart w:id="961" w:name="_Toc3019"/>
      <w:bookmarkStart w:id="962" w:name="_Toc212033026"/>
      <w:bookmarkStart w:id="963" w:name="_Toc255391947"/>
      <w:bookmarkStart w:id="964" w:name="_Toc472585619"/>
      <w:bookmarkStart w:id="965" w:name="_Toc472590896"/>
      <w:bookmarkStart w:id="966" w:name="_Toc127950100"/>
      <w:bookmarkStart w:id="967" w:name="_Toc296952023"/>
      <w:bookmarkStart w:id="968" w:name="_Toc101092159"/>
      <w:bookmarkStart w:id="969" w:name="_Toc449393546"/>
      <w:r>
        <w:rPr>
          <w:bCs w:val="0"/>
          <w:color w:val="auto"/>
        </w:rPr>
        <w:t>自然环境</w:t>
      </w:r>
      <w:bookmarkEnd w:id="959"/>
      <w:bookmarkEnd w:id="960"/>
      <w:r>
        <w:rPr>
          <w:bCs w:val="0"/>
          <w:color w:val="auto"/>
        </w:rPr>
        <w:t>状况</w:t>
      </w:r>
      <w:bookmarkEnd w:id="961"/>
      <w:bookmarkEnd w:id="962"/>
    </w:p>
    <w:bookmarkEnd w:id="963"/>
    <w:bookmarkEnd w:id="964"/>
    <w:bookmarkEnd w:id="965"/>
    <w:bookmarkEnd w:id="966"/>
    <w:bookmarkEnd w:id="967"/>
    <w:bookmarkEnd w:id="968"/>
    <w:bookmarkEnd w:id="969"/>
    <w:p w14:paraId="10EE8BC7">
      <w:pPr>
        <w:pStyle w:val="6"/>
        <w:rPr>
          <w:color w:val="auto"/>
        </w:rPr>
      </w:pPr>
      <w:bookmarkStart w:id="970" w:name="_Toc244330526"/>
      <w:bookmarkStart w:id="971" w:name="_Toc57707943"/>
      <w:bookmarkStart w:id="972" w:name="_Toc244330360"/>
      <w:bookmarkStart w:id="973" w:name="_Toc143099602"/>
      <w:bookmarkStart w:id="974" w:name="_Toc78816488"/>
      <w:bookmarkStart w:id="975" w:name="_Toc422224741"/>
      <w:bookmarkStart w:id="976" w:name="_Toc84929260"/>
      <w:bookmarkStart w:id="977" w:name="_Toc57976695"/>
      <w:bookmarkStart w:id="978" w:name="_Toc67860158"/>
      <w:bookmarkStart w:id="979" w:name="_Toc61597257"/>
      <w:bookmarkStart w:id="980" w:name="_Toc77067686"/>
      <w:bookmarkStart w:id="981" w:name="_Toc131167316"/>
      <w:bookmarkStart w:id="982" w:name="_Toc127192365"/>
      <w:bookmarkStart w:id="983" w:name="_Toc244329286"/>
      <w:bookmarkStart w:id="984" w:name="_Toc76976274"/>
      <w:bookmarkStart w:id="985" w:name="_Toc83209505"/>
      <w:bookmarkStart w:id="986" w:name="_Toc86141959"/>
      <w:bookmarkStart w:id="987" w:name="_Toc57203273"/>
      <w:bookmarkStart w:id="988" w:name="_Toc85640784"/>
      <w:bookmarkStart w:id="989" w:name="_Toc17898192"/>
      <w:bookmarkStart w:id="990" w:name="_Toc126863416"/>
      <w:bookmarkStart w:id="991" w:name="_Toc80971405"/>
      <w:bookmarkStart w:id="992" w:name="_Toc402352943"/>
      <w:bookmarkStart w:id="993" w:name="_Toc80588283"/>
      <w:bookmarkStart w:id="994" w:name="_Toc70050207"/>
      <w:r>
        <w:rPr>
          <w:color w:val="auto"/>
        </w:rPr>
        <w:t>地理位置</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2A750824">
      <w:pPr>
        <w:pStyle w:val="276"/>
        <w:widowControl w:val="0"/>
        <w:ind w:firstLine="480"/>
        <w:jc w:val="both"/>
        <w:rPr>
          <w:color w:val="auto"/>
        </w:rPr>
      </w:pPr>
      <w:bookmarkStart w:id="995" w:name="_Toc244330528"/>
      <w:bookmarkStart w:id="996" w:name="_Toc244329288"/>
      <w:bookmarkStart w:id="997" w:name="_Toc422224744"/>
      <w:bookmarkStart w:id="998" w:name="_Toc502736490"/>
      <w:bookmarkStart w:id="999" w:name="_Toc244330362"/>
      <w:bookmarkStart w:id="1000" w:name="_Toc402352946"/>
      <w:r>
        <w:rPr>
          <w:snapToGrid w:val="0"/>
          <w:color w:val="auto"/>
          <w:szCs w:val="20"/>
        </w:rPr>
        <w:t>本项目源212区块位于大庆市肇源县和平乡，区块东部为朝阳沟油田，西部为头台油田，北部为肇州油田，区内地势平坦。地理坐标为东经</w:t>
      </w:r>
      <w:r>
        <w:rPr>
          <w:color w:val="auto"/>
          <w:sz w:val="21"/>
          <w:szCs w:val="21"/>
        </w:rPr>
        <w:t>125°2′43.709″～125°10′23.518″</w:t>
      </w:r>
      <w:r>
        <w:rPr>
          <w:snapToGrid w:val="0"/>
          <w:color w:val="auto"/>
          <w:szCs w:val="20"/>
        </w:rPr>
        <w:t>，北纬</w:t>
      </w:r>
      <w:r>
        <w:rPr>
          <w:color w:val="auto"/>
          <w:sz w:val="21"/>
          <w:szCs w:val="21"/>
        </w:rPr>
        <w:t>45°30′44.347″～45°34′10.248″</w:t>
      </w:r>
      <w:r>
        <w:rPr>
          <w:snapToGrid w:val="0"/>
          <w:color w:val="auto"/>
          <w:szCs w:val="20"/>
        </w:rPr>
        <w:t>。</w:t>
      </w:r>
      <w:r>
        <w:rPr>
          <w:color w:val="auto"/>
        </w:rPr>
        <w:t>具体地理位置见附图1。</w:t>
      </w:r>
    </w:p>
    <w:p w14:paraId="66C6256B">
      <w:pPr>
        <w:pStyle w:val="6"/>
        <w:rPr>
          <w:color w:val="auto"/>
        </w:rPr>
      </w:pPr>
      <w:bookmarkStart w:id="1001" w:name="_Toc69690848"/>
      <w:bookmarkStart w:id="1002" w:name="_Toc74812121"/>
      <w:bookmarkStart w:id="1003" w:name="_Toc126863417"/>
      <w:bookmarkStart w:id="1004" w:name="_Toc77667333"/>
      <w:bookmarkStart w:id="1005" w:name="_Toc127192366"/>
      <w:bookmarkStart w:id="1006" w:name="_Toc67523630"/>
      <w:bookmarkStart w:id="1007" w:name="_Toc74812360"/>
      <w:bookmarkStart w:id="1008" w:name="_Toc143099603"/>
      <w:bookmarkStart w:id="1009" w:name="_Toc131167317"/>
      <w:bookmarkStart w:id="1010" w:name="_Toc71371983"/>
      <w:r>
        <w:rPr>
          <w:color w:val="auto"/>
        </w:rPr>
        <w:t>地形地貌</w:t>
      </w:r>
      <w:bookmarkEnd w:id="1001"/>
      <w:bookmarkEnd w:id="1002"/>
      <w:bookmarkEnd w:id="1003"/>
      <w:bookmarkEnd w:id="1004"/>
      <w:bookmarkEnd w:id="1005"/>
      <w:bookmarkEnd w:id="1006"/>
      <w:bookmarkEnd w:id="1007"/>
      <w:bookmarkEnd w:id="1008"/>
      <w:bookmarkEnd w:id="1009"/>
      <w:bookmarkEnd w:id="1010"/>
    </w:p>
    <w:p w14:paraId="5A9659A1">
      <w:pPr>
        <w:pStyle w:val="276"/>
        <w:widowControl w:val="0"/>
        <w:ind w:firstLine="480"/>
        <w:jc w:val="both"/>
        <w:rPr>
          <w:snapToGrid w:val="0"/>
          <w:color w:val="auto"/>
        </w:rPr>
      </w:pPr>
      <w:r>
        <w:rPr>
          <w:snapToGrid w:val="0"/>
          <w:color w:val="auto"/>
          <w:szCs w:val="20"/>
        </w:rPr>
        <w:t>本项目位于松花江、嫩江一级阶地上，境内无山岭，地势平坦，总体地势呈东高西低。地貌表现为波状起伏的低平原，稍高处为平缓漫岗，平地上为耕地和草地。本项目占地均位于耕地中，地貌类型较单一。区内地势较平坦，地面海拔在151m～180m。</w:t>
      </w:r>
    </w:p>
    <w:p w14:paraId="54F95492">
      <w:pPr>
        <w:pStyle w:val="6"/>
        <w:rPr>
          <w:color w:val="auto"/>
        </w:rPr>
      </w:pPr>
      <w:bookmarkStart w:id="1011" w:name="_Toc69690849"/>
      <w:bookmarkStart w:id="1012" w:name="_Toc131167318"/>
      <w:bookmarkStart w:id="1013" w:name="_Toc127192367"/>
      <w:bookmarkStart w:id="1014" w:name="_Toc77667334"/>
      <w:bookmarkStart w:id="1015" w:name="_Toc74812361"/>
      <w:bookmarkStart w:id="1016" w:name="_Toc74812122"/>
      <w:bookmarkStart w:id="1017" w:name="_Toc67523631"/>
      <w:bookmarkStart w:id="1018" w:name="_Toc143099604"/>
      <w:bookmarkStart w:id="1019" w:name="_Toc71371984"/>
      <w:bookmarkStart w:id="1020" w:name="_Toc126863418"/>
      <w:r>
        <w:rPr>
          <w:color w:val="auto"/>
        </w:rPr>
        <w:t>气象特征</w:t>
      </w:r>
      <w:bookmarkEnd w:id="1011"/>
      <w:bookmarkEnd w:id="1012"/>
      <w:bookmarkEnd w:id="1013"/>
      <w:bookmarkEnd w:id="1014"/>
      <w:bookmarkEnd w:id="1015"/>
      <w:bookmarkEnd w:id="1016"/>
      <w:bookmarkEnd w:id="1017"/>
      <w:bookmarkEnd w:id="1018"/>
      <w:bookmarkEnd w:id="1019"/>
      <w:bookmarkEnd w:id="1020"/>
    </w:p>
    <w:p w14:paraId="7C2E5222">
      <w:pPr>
        <w:pStyle w:val="276"/>
        <w:widowControl w:val="0"/>
        <w:ind w:firstLine="480"/>
        <w:jc w:val="both"/>
        <w:rPr>
          <w:color w:val="auto"/>
        </w:rPr>
      </w:pPr>
      <w:r>
        <w:rPr>
          <w:color w:val="auto"/>
        </w:rPr>
        <w:t>该地区属北温带大陆性季风气候，四季分明，受蒙古内陆冷空气和海洋暖流季风影响较大，冬季漫长而寒冷干燥，夏季短暂而温湿多雨，春秋季风交替，气温变化大，冰封期长，无霜期短，冻土深达2～2.2m。</w:t>
      </w:r>
    </w:p>
    <w:p w14:paraId="1811CE2D">
      <w:pPr>
        <w:pStyle w:val="276"/>
        <w:widowControl w:val="0"/>
        <w:ind w:firstLine="480"/>
        <w:jc w:val="both"/>
        <w:rPr>
          <w:color w:val="auto"/>
        </w:rPr>
      </w:pPr>
      <w:r>
        <w:rPr>
          <w:color w:val="auto"/>
        </w:rPr>
        <w:t>气温：年平均气温3.3℃，年极端最高气温38.9℃，年极端最低气温-36.2℃。</w:t>
      </w:r>
    </w:p>
    <w:p w14:paraId="7E1F5682">
      <w:pPr>
        <w:pStyle w:val="276"/>
        <w:widowControl w:val="0"/>
        <w:ind w:firstLine="480"/>
        <w:jc w:val="both"/>
        <w:rPr>
          <w:color w:val="auto"/>
        </w:rPr>
      </w:pPr>
      <w:r>
        <w:rPr>
          <w:color w:val="auto"/>
        </w:rPr>
        <w:t>风速：平均风速3.7 m/s，年最大风速为22.7m/s。</w:t>
      </w:r>
    </w:p>
    <w:p w14:paraId="1346A1FB">
      <w:pPr>
        <w:pStyle w:val="276"/>
        <w:widowControl w:val="0"/>
        <w:ind w:firstLine="480"/>
        <w:jc w:val="both"/>
        <w:rPr>
          <w:color w:val="auto"/>
        </w:rPr>
      </w:pPr>
      <w:r>
        <w:rPr>
          <w:color w:val="auto"/>
        </w:rPr>
        <w:t>降水量：年平均442.0mm，年最大降水量651.2 mm。</w:t>
      </w:r>
    </w:p>
    <w:p w14:paraId="17C0CB44">
      <w:pPr>
        <w:pStyle w:val="276"/>
        <w:widowControl w:val="0"/>
        <w:ind w:firstLine="480"/>
        <w:jc w:val="both"/>
        <w:rPr>
          <w:color w:val="auto"/>
        </w:rPr>
      </w:pPr>
      <w:r>
        <w:rPr>
          <w:color w:val="auto"/>
        </w:rPr>
        <w:t>降雪量：平均积雪158d，最大积雪深度220.0mm。</w:t>
      </w:r>
    </w:p>
    <w:p w14:paraId="5A42A234">
      <w:pPr>
        <w:pStyle w:val="276"/>
        <w:widowControl w:val="0"/>
        <w:ind w:firstLine="480"/>
        <w:jc w:val="both"/>
        <w:rPr>
          <w:color w:val="auto"/>
        </w:rPr>
      </w:pPr>
      <w:r>
        <w:rPr>
          <w:color w:val="auto"/>
        </w:rPr>
        <w:t>蒸发量：年平均蒸发量1531.4mm，年最大蒸发量1711.0mm，年最小蒸发量1378.4mm。</w:t>
      </w:r>
    </w:p>
    <w:p w14:paraId="49558F10">
      <w:pPr>
        <w:pStyle w:val="276"/>
        <w:widowControl w:val="0"/>
        <w:ind w:firstLine="480"/>
        <w:jc w:val="both"/>
        <w:rPr>
          <w:color w:val="auto"/>
        </w:rPr>
      </w:pPr>
      <w:r>
        <w:rPr>
          <w:color w:val="auto"/>
        </w:rPr>
        <w:t>湿度：年平均相对湿度为63%。</w:t>
      </w:r>
    </w:p>
    <w:p w14:paraId="725E4169">
      <w:pPr>
        <w:pStyle w:val="276"/>
        <w:widowControl w:val="0"/>
        <w:ind w:firstLine="480"/>
        <w:jc w:val="both"/>
        <w:rPr>
          <w:color w:val="auto"/>
        </w:rPr>
      </w:pPr>
      <w:r>
        <w:rPr>
          <w:color w:val="auto"/>
        </w:rPr>
        <w:t>年日照时数：2595.8小时。</w:t>
      </w:r>
    </w:p>
    <w:p w14:paraId="250048DD">
      <w:pPr>
        <w:pStyle w:val="6"/>
        <w:rPr>
          <w:color w:val="auto"/>
        </w:rPr>
      </w:pPr>
      <w:bookmarkStart w:id="1021" w:name="_Toc143099605"/>
      <w:bookmarkStart w:id="1022" w:name="_Toc74812362"/>
      <w:bookmarkStart w:id="1023" w:name="_Toc74812123"/>
      <w:bookmarkStart w:id="1024" w:name="_Toc71371985"/>
      <w:bookmarkStart w:id="1025" w:name="_Toc127192368"/>
      <w:bookmarkStart w:id="1026" w:name="_Toc77667335"/>
      <w:bookmarkStart w:id="1027" w:name="_Toc126863419"/>
      <w:bookmarkStart w:id="1028" w:name="_Toc131167319"/>
      <w:r>
        <w:rPr>
          <w:color w:val="auto"/>
        </w:rPr>
        <w:t>地表水</w:t>
      </w:r>
      <w:bookmarkEnd w:id="1021"/>
      <w:r>
        <w:rPr>
          <w:color w:val="auto"/>
        </w:rPr>
        <w:t>体</w:t>
      </w:r>
    </w:p>
    <w:p w14:paraId="16F81989">
      <w:pPr>
        <w:pStyle w:val="276"/>
        <w:widowControl w:val="0"/>
        <w:ind w:firstLine="480"/>
        <w:jc w:val="both"/>
        <w:rPr>
          <w:color w:val="auto"/>
        </w:rPr>
      </w:pPr>
      <w:r>
        <w:rPr>
          <w:color w:val="auto"/>
        </w:rPr>
        <w:t>本项目评价范围内地表水体为</w:t>
      </w:r>
      <w:r>
        <w:rPr>
          <w:rFonts w:hint="eastAsia"/>
          <w:color w:val="auto"/>
        </w:rPr>
        <w:t>源斜2401东侧中心东四支渠</w:t>
      </w:r>
      <w:r>
        <w:rPr>
          <w:color w:val="auto"/>
        </w:rPr>
        <w:t>、源1011</w:t>
      </w:r>
      <w:r>
        <w:rPr>
          <w:rFonts w:hint="eastAsia"/>
          <w:color w:val="auto"/>
        </w:rPr>
        <w:t>南侧360m中心西干渠以及</w:t>
      </w:r>
      <w:r>
        <w:rPr>
          <w:color w:val="auto"/>
        </w:rPr>
        <w:t>源1011</w:t>
      </w:r>
      <w:r>
        <w:rPr>
          <w:rFonts w:hint="eastAsia"/>
          <w:color w:val="auto"/>
        </w:rPr>
        <w:t>北侧250m的西大海。中心东四支渠与中心西干渠，均为排涝渠，</w:t>
      </w:r>
    </w:p>
    <w:p w14:paraId="46F848AD">
      <w:pPr>
        <w:pStyle w:val="276"/>
        <w:widowControl w:val="0"/>
        <w:ind w:firstLine="480"/>
        <w:jc w:val="both"/>
        <w:rPr>
          <w:color w:val="auto"/>
        </w:rPr>
      </w:pPr>
      <w:r>
        <w:rPr>
          <w:rFonts w:hint="eastAsia"/>
          <w:color w:val="auto"/>
        </w:rPr>
        <w:t>西大海位于</w:t>
      </w:r>
      <w:r>
        <w:rPr>
          <w:color w:val="auto"/>
        </w:rPr>
        <w:fldChar w:fldCharType="begin"/>
      </w:r>
      <w:r>
        <w:rPr>
          <w:color w:val="auto"/>
        </w:rPr>
        <w:instrText xml:space="preserve"> HYPERLINK "https://baike.baidu.com/item/%E9%BB%91%E9%BE%99%E6%B1%9F%E7%9C%81/129397?fromModule=lemma_inlink" \t "https://baike.baidu.com/item/%E9%BB%91%E9%BE%99%E6%B1%9F%E8%82%87%E6%BA%90%E8%A5%BF%E6%B5%B7%E7%9C%81%E7%BA%A7%E6%B9%BF%E5%9C%B0%E5%85%AC%E5%9B%AD/_blank" </w:instrText>
      </w:r>
      <w:r>
        <w:rPr>
          <w:color w:val="auto"/>
        </w:rPr>
        <w:fldChar w:fldCharType="separate"/>
      </w:r>
      <w:r>
        <w:rPr>
          <w:rFonts w:hint="eastAsia"/>
          <w:color w:val="auto"/>
        </w:rPr>
        <w:t>黑龙江省</w:t>
      </w:r>
      <w:r>
        <w:rPr>
          <w:color w:val="auto"/>
        </w:rPr>
        <w:fldChar w:fldCharType="end"/>
      </w:r>
      <w:r>
        <w:rPr>
          <w:color w:val="auto"/>
        </w:rPr>
        <w:fldChar w:fldCharType="begin"/>
      </w:r>
      <w:r>
        <w:rPr>
          <w:color w:val="auto"/>
        </w:rPr>
        <w:instrText xml:space="preserve"> HYPERLINK "https://baike.baidu.com/item/%E5%A4%A7%E5%BA%86%E5%B8%82/2921791?fromModule=lemma_inlink" \t "https://baike.baidu.com/item/%E9%BB%91%E9%BE%99%E6%B1%9F%E8%82%87%E6%BA%90%E8%A5%BF%E6%B5%B7%E7%9C%81%E7%BA%A7%E6%B9%BF%E5%9C%B0%E5%85%AC%E5%9B%AD/_blank" </w:instrText>
      </w:r>
      <w:r>
        <w:rPr>
          <w:color w:val="auto"/>
        </w:rPr>
        <w:fldChar w:fldCharType="separate"/>
      </w:r>
      <w:r>
        <w:rPr>
          <w:rFonts w:hint="eastAsia"/>
          <w:color w:val="auto"/>
        </w:rPr>
        <w:t>大庆市</w:t>
      </w:r>
      <w:r>
        <w:rPr>
          <w:rFonts w:hint="eastAsia"/>
          <w:color w:val="auto"/>
        </w:rPr>
        <w:fldChar w:fldCharType="end"/>
      </w:r>
      <w:r>
        <w:rPr>
          <w:color w:val="auto"/>
        </w:rPr>
        <w:fldChar w:fldCharType="begin"/>
      </w:r>
      <w:r>
        <w:rPr>
          <w:color w:val="auto"/>
        </w:rPr>
        <w:instrText xml:space="preserve"> HYPERLINK "https://baike.baidu.com/item/%E8%82%87%E6%BA%90%E5%8E%BF/8703927?fromModule=lemma_inlink" \t "https://baike.baidu.com/item/%E9%BB%91%E9%BE%99%E6%B1%9F%E8%82%87%E6%BA%90%E8%A5%BF%E6%B5%B7%E7%9C%81%E7%BA%A7%E6%B9%BF%E5%9C%B0%E5%85%AC%E5%9B%AD/_blank" </w:instrText>
      </w:r>
      <w:r>
        <w:rPr>
          <w:color w:val="auto"/>
        </w:rPr>
        <w:fldChar w:fldCharType="separate"/>
      </w:r>
      <w:r>
        <w:rPr>
          <w:rFonts w:hint="eastAsia"/>
          <w:color w:val="auto"/>
        </w:rPr>
        <w:t>肇源县</w:t>
      </w:r>
      <w:r>
        <w:rPr>
          <w:rFonts w:hint="eastAsia"/>
          <w:color w:val="auto"/>
        </w:rPr>
        <w:fldChar w:fldCharType="end"/>
      </w:r>
      <w:r>
        <w:rPr>
          <w:rFonts w:hint="eastAsia"/>
          <w:color w:val="auto"/>
        </w:rPr>
        <w:t>境内，地处</w:t>
      </w:r>
      <w:r>
        <w:rPr>
          <w:color w:val="auto"/>
        </w:rPr>
        <w:fldChar w:fldCharType="begin"/>
      </w:r>
      <w:r>
        <w:rPr>
          <w:color w:val="auto"/>
        </w:rPr>
        <w:instrText xml:space="preserve"> HYPERLINK "https://baike.baidu.com/item/%E6%9D%BE%E5%AB%A9%E5%B9%B3%E5%8E%9F/360602?fromModule=lemma_inlink" \t "https://baike.baidu.com/item/%E9%BB%91%E9%BE%99%E6%B1%9F%E8%82%87%E6%BA%90%E8%A5%BF%E6%B5%B7%E7%9C%81%E7%BA%A7%E6%B9%BF%E5%9C%B0%E5%85%AC%E5%9B%AD/_blank" </w:instrText>
      </w:r>
      <w:r>
        <w:rPr>
          <w:color w:val="auto"/>
        </w:rPr>
        <w:fldChar w:fldCharType="separate"/>
      </w:r>
      <w:r>
        <w:rPr>
          <w:rFonts w:hint="eastAsia"/>
          <w:color w:val="auto"/>
        </w:rPr>
        <w:t>松嫩平原</w:t>
      </w:r>
      <w:r>
        <w:rPr>
          <w:rFonts w:hint="eastAsia"/>
          <w:color w:val="auto"/>
        </w:rPr>
        <w:fldChar w:fldCharType="end"/>
      </w:r>
      <w:r>
        <w:rPr>
          <w:rFonts w:hint="eastAsia"/>
          <w:color w:val="auto"/>
        </w:rPr>
        <w:t>腹地，</w:t>
      </w:r>
      <w:r>
        <w:rPr>
          <w:color w:val="auto"/>
        </w:rPr>
        <w:fldChar w:fldCharType="begin"/>
      </w:r>
      <w:r>
        <w:rPr>
          <w:color w:val="auto"/>
        </w:rPr>
        <w:instrText xml:space="preserve"> HYPERLINK "https://baike.baidu.com/item/%E6%9D%BE%E8%8A%B1%E6%B1%9F/29902?fromModule=lemma_inlink" \t "https://baike.baidu.com/item/%E9%BB%91%E9%BE%99%E6%B1%9F%E8%82%87%E6%BA%90%E8%A5%BF%E6%B5%B7%E7%9C%81%E7%BA%A7%E6%B9%BF%E5%9C%B0%E5%85%AC%E5%9B%AD/_blank" </w:instrText>
      </w:r>
      <w:r>
        <w:rPr>
          <w:color w:val="auto"/>
        </w:rPr>
        <w:fldChar w:fldCharType="separate"/>
      </w:r>
      <w:r>
        <w:rPr>
          <w:rFonts w:hint="eastAsia"/>
          <w:color w:val="auto"/>
        </w:rPr>
        <w:t>松花江</w:t>
      </w:r>
      <w:r>
        <w:rPr>
          <w:rFonts w:hint="eastAsia"/>
          <w:color w:val="auto"/>
        </w:rPr>
        <w:fldChar w:fldCharType="end"/>
      </w:r>
      <w:r>
        <w:rPr>
          <w:rFonts w:hint="eastAsia"/>
          <w:color w:val="auto"/>
        </w:rPr>
        <w:t>、</w:t>
      </w:r>
      <w:r>
        <w:rPr>
          <w:color w:val="auto"/>
        </w:rPr>
        <w:fldChar w:fldCharType="begin"/>
      </w:r>
      <w:r>
        <w:rPr>
          <w:color w:val="auto"/>
        </w:rPr>
        <w:instrText xml:space="preserve"> HYPERLINK "https://baike.baidu.com/item/%E5%AB%A9%E6%B1%9F/24770?fromModule=lemma_inlink" \t "https://baike.baidu.com/item/%E9%BB%91%E9%BE%99%E6%B1%9F%E8%82%87%E6%BA%90%E8%A5%BF%E6%B5%B7%E7%9C%81%E7%BA%A7%E6%B9%BF%E5%9C%B0%E5%85%AC%E5%9B%AD/_blank" </w:instrText>
      </w:r>
      <w:r>
        <w:rPr>
          <w:color w:val="auto"/>
        </w:rPr>
        <w:fldChar w:fldCharType="separate"/>
      </w:r>
      <w:r>
        <w:rPr>
          <w:rFonts w:hint="eastAsia"/>
          <w:color w:val="auto"/>
        </w:rPr>
        <w:t>嫩江</w:t>
      </w:r>
      <w:r>
        <w:rPr>
          <w:rFonts w:hint="eastAsia"/>
          <w:color w:val="auto"/>
        </w:rPr>
        <w:fldChar w:fldCharType="end"/>
      </w:r>
      <w:r>
        <w:rPr>
          <w:rFonts w:hint="eastAsia"/>
          <w:color w:val="auto"/>
        </w:rPr>
        <w:t>两江北岸，距县城2k</w:t>
      </w:r>
      <w:r>
        <w:rPr>
          <w:color w:val="auto"/>
        </w:rPr>
        <w:t>m</w:t>
      </w:r>
      <w:r>
        <w:rPr>
          <w:rFonts w:hint="eastAsia"/>
          <w:color w:val="auto"/>
        </w:rPr>
        <w:t>，规划面积345ha。</w:t>
      </w:r>
    </w:p>
    <w:bookmarkEnd w:id="1022"/>
    <w:bookmarkEnd w:id="1023"/>
    <w:bookmarkEnd w:id="1024"/>
    <w:bookmarkEnd w:id="1025"/>
    <w:bookmarkEnd w:id="1026"/>
    <w:bookmarkEnd w:id="1027"/>
    <w:bookmarkEnd w:id="1028"/>
    <w:p w14:paraId="3E08FF9F">
      <w:pPr>
        <w:pStyle w:val="6"/>
        <w:rPr>
          <w:color w:val="auto"/>
        </w:rPr>
      </w:pPr>
      <w:r>
        <w:rPr>
          <w:color w:val="auto"/>
        </w:rPr>
        <w:t>水文地质</w:t>
      </w:r>
    </w:p>
    <w:p w14:paraId="7A434A6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地形地貌</w:t>
      </w:r>
    </w:p>
    <w:p w14:paraId="0289605B">
      <w:pPr>
        <w:pStyle w:val="276"/>
        <w:widowControl w:val="0"/>
        <w:ind w:firstLine="480"/>
        <w:jc w:val="both"/>
        <w:rPr>
          <w:color w:val="auto"/>
        </w:rPr>
      </w:pPr>
      <w:r>
        <w:rPr>
          <w:rFonts w:hint="eastAsia"/>
          <w:color w:val="auto"/>
        </w:rPr>
        <w:t>调查区地表普遍被第四系覆盖。地表为缓波状起伏的低平原地貌景观。地面海拔高程在121.79～193.21m之间，相对高差71.42m。地势起伏较大，区内分布着大面积农田、林带、油井，局部分布有村庄。</w:t>
      </w:r>
    </w:p>
    <w:p w14:paraId="6B4232E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地质概况</w:t>
      </w:r>
    </w:p>
    <w:p w14:paraId="65A8FDA6">
      <w:pPr>
        <w:pStyle w:val="276"/>
        <w:widowControl w:val="0"/>
        <w:ind w:firstLine="480"/>
        <w:jc w:val="both"/>
        <w:rPr>
          <w:color w:val="auto"/>
        </w:rPr>
      </w:pPr>
      <w:r>
        <w:rPr>
          <w:color w:val="auto"/>
        </w:rPr>
        <w:t>根据地质钻探资料分析，区域浅部地层从上到下依次为第四系、第三系大安组，白垩系明水组地层。</w:t>
      </w:r>
    </w:p>
    <w:p w14:paraId="1F17BFC5">
      <w:pPr>
        <w:pStyle w:val="276"/>
        <w:widowControl w:val="0"/>
        <w:ind w:firstLine="480"/>
        <w:jc w:val="both"/>
        <w:rPr>
          <w:color w:val="auto"/>
        </w:rPr>
      </w:pPr>
      <w:r>
        <w:rPr>
          <w:color w:val="auto"/>
        </w:rPr>
        <w:t>（1）白垩系明水组（K</w:t>
      </w:r>
      <w:r>
        <w:rPr>
          <w:color w:val="auto"/>
          <w:vertAlign w:val="subscript"/>
        </w:rPr>
        <w:t>2</w:t>
      </w:r>
      <w:r>
        <w:rPr>
          <w:color w:val="auto"/>
        </w:rPr>
        <w:t>m）</w:t>
      </w:r>
    </w:p>
    <w:p w14:paraId="6D24A2B5">
      <w:pPr>
        <w:pStyle w:val="276"/>
        <w:widowControl w:val="0"/>
        <w:ind w:firstLine="480"/>
        <w:jc w:val="both"/>
        <w:rPr>
          <w:color w:val="auto"/>
        </w:rPr>
      </w:pPr>
      <w:r>
        <w:rPr>
          <w:rFonts w:hint="eastAsia"/>
          <w:color w:val="auto"/>
        </w:rPr>
        <w:t>1）</w:t>
      </w:r>
      <w:r>
        <w:rPr>
          <w:color w:val="auto"/>
        </w:rPr>
        <w:t>明水组一段（K</w:t>
      </w:r>
      <w:r>
        <w:rPr>
          <w:color w:val="auto"/>
          <w:vertAlign w:val="subscript"/>
        </w:rPr>
        <w:t>2</w:t>
      </w:r>
      <w:r>
        <w:rPr>
          <w:color w:val="auto"/>
        </w:rPr>
        <w:t>m</w:t>
      </w:r>
      <w:r>
        <w:rPr>
          <w:color w:val="auto"/>
          <w:vertAlign w:val="subscript"/>
        </w:rPr>
        <w:t>1</w:t>
      </w:r>
      <w:r>
        <w:rPr>
          <w:color w:val="auto"/>
        </w:rPr>
        <w:t>）</w:t>
      </w:r>
    </w:p>
    <w:p w14:paraId="3182F829">
      <w:pPr>
        <w:pStyle w:val="276"/>
        <w:widowControl w:val="0"/>
        <w:ind w:firstLine="480"/>
        <w:jc w:val="both"/>
        <w:rPr>
          <w:color w:val="auto"/>
        </w:rPr>
      </w:pPr>
      <w:r>
        <w:rPr>
          <w:color w:val="auto"/>
        </w:rPr>
        <w:t>明水组一段由灰绿色砂岩、泥质砂岩夹厚度为15.0-40.0m的两层灰黑色、灰色泥岩组成的两个明显正旋回沉积物组成。明水组一段在区内的厚度变化较大，局部地区相差较大，一般为120.0-163.5m，局部地区厚度大于200.0m。</w:t>
      </w:r>
    </w:p>
    <w:p w14:paraId="087700DC">
      <w:pPr>
        <w:pStyle w:val="276"/>
        <w:widowControl w:val="0"/>
        <w:ind w:firstLine="480"/>
        <w:jc w:val="both"/>
        <w:rPr>
          <w:color w:val="auto"/>
        </w:rPr>
      </w:pPr>
      <w:r>
        <w:rPr>
          <w:rFonts w:hint="eastAsia"/>
          <w:color w:val="auto"/>
        </w:rPr>
        <w:t>2）</w:t>
      </w:r>
      <w:r>
        <w:rPr>
          <w:color w:val="auto"/>
        </w:rPr>
        <w:t>明水组二段（K2m2）</w:t>
      </w:r>
    </w:p>
    <w:p w14:paraId="5868A1BB">
      <w:pPr>
        <w:pStyle w:val="276"/>
        <w:widowControl w:val="0"/>
        <w:ind w:firstLine="480"/>
        <w:jc w:val="both"/>
        <w:rPr>
          <w:color w:val="auto"/>
        </w:rPr>
      </w:pPr>
      <w:r>
        <w:rPr>
          <w:color w:val="auto"/>
        </w:rPr>
        <w:t>明水组二段为棕红色、砖红、灰及灰绿色泥岩，泥质粉砂岩与灰、灰绿、灰白色细砂岩、中粗砂岩及含砾中粗砂岩组成的湖相沉积或以湖相为主的湖相冲积层。顶部砖红色泥岩分布较为稳定。明水组二段的主要特点是多种颜色混杂，以棕红色为主。明水组二段区域分布特征与明水组一段基本相同，只是分布范围略小。南向北逐渐增厚，一般120.0～220.0m。明水组二段与下伏明水组一段呈整合接触。</w:t>
      </w:r>
    </w:p>
    <w:p w14:paraId="41116A69">
      <w:pPr>
        <w:pStyle w:val="276"/>
        <w:widowControl w:val="0"/>
        <w:ind w:firstLine="480"/>
        <w:jc w:val="both"/>
        <w:rPr>
          <w:color w:val="auto"/>
        </w:rPr>
      </w:pPr>
      <w:r>
        <w:rPr>
          <w:color w:val="auto"/>
        </w:rPr>
        <w:t>（2）第三系大安组（N</w:t>
      </w:r>
      <w:r>
        <w:rPr>
          <w:color w:val="auto"/>
          <w:vertAlign w:val="subscript"/>
        </w:rPr>
        <w:t>1</w:t>
      </w:r>
      <w:r>
        <w:rPr>
          <w:color w:val="auto"/>
        </w:rPr>
        <w:t>d）</w:t>
      </w:r>
    </w:p>
    <w:p w14:paraId="542C1210">
      <w:pPr>
        <w:pStyle w:val="276"/>
        <w:widowControl w:val="0"/>
        <w:ind w:firstLine="480"/>
        <w:jc w:val="both"/>
        <w:rPr>
          <w:color w:val="auto"/>
        </w:rPr>
      </w:pPr>
      <w:r>
        <w:rPr>
          <w:color w:val="auto"/>
        </w:rPr>
        <w:t>分布在项目区西南部，上部灰绿色粉砂岩和青灰色泥岩，中部为灰绿色泥岩，下部为灰白色含砾砂岩和砂砾岩。</w:t>
      </w:r>
    </w:p>
    <w:p w14:paraId="39BDDA70">
      <w:pPr>
        <w:pStyle w:val="276"/>
        <w:widowControl w:val="0"/>
        <w:ind w:firstLine="480"/>
        <w:jc w:val="both"/>
        <w:rPr>
          <w:color w:val="auto"/>
        </w:rPr>
      </w:pPr>
      <w:r>
        <w:rPr>
          <w:color w:val="auto"/>
        </w:rPr>
        <w:t>（3）第四系（Q）</w:t>
      </w:r>
    </w:p>
    <w:p w14:paraId="4371C05F">
      <w:pPr>
        <w:pStyle w:val="276"/>
        <w:widowControl w:val="0"/>
        <w:ind w:firstLine="480"/>
        <w:jc w:val="both"/>
        <w:rPr>
          <w:color w:val="auto"/>
        </w:rPr>
      </w:pPr>
      <w:r>
        <w:rPr>
          <w:rFonts w:hint="eastAsia"/>
          <w:color w:val="auto"/>
        </w:rPr>
        <w:t>1）</w:t>
      </w:r>
      <w:r>
        <w:rPr>
          <w:color w:val="auto"/>
        </w:rPr>
        <w:t>全新统冲积层（Q</w:t>
      </w:r>
      <w:r>
        <w:rPr>
          <w:color w:val="auto"/>
          <w:vertAlign w:val="subscript"/>
        </w:rPr>
        <w:t>4</w:t>
      </w:r>
      <w:r>
        <w:rPr>
          <w:color w:val="auto"/>
        </w:rPr>
        <w:t>）</w:t>
      </w:r>
    </w:p>
    <w:p w14:paraId="7DEDD380">
      <w:pPr>
        <w:pStyle w:val="276"/>
        <w:widowControl w:val="0"/>
        <w:ind w:firstLine="480"/>
        <w:jc w:val="both"/>
        <w:rPr>
          <w:color w:val="auto"/>
        </w:rPr>
      </w:pPr>
      <w:r>
        <w:rPr>
          <w:color w:val="auto"/>
        </w:rPr>
        <w:t>主要分布在河漫滩冲积层、低平原内残留湖泡的沉积层及近代风砂层等。厚度不等，只有数米，分布不稳定。</w:t>
      </w:r>
    </w:p>
    <w:p w14:paraId="27D7D149">
      <w:pPr>
        <w:pStyle w:val="276"/>
        <w:widowControl w:val="0"/>
        <w:ind w:firstLine="480"/>
        <w:jc w:val="both"/>
        <w:rPr>
          <w:color w:val="auto"/>
        </w:rPr>
      </w:pPr>
      <w:r>
        <w:rPr>
          <w:color w:val="auto"/>
        </w:rPr>
        <w:t>2</w:t>
      </w:r>
      <w:r>
        <w:rPr>
          <w:rFonts w:hint="eastAsia"/>
          <w:color w:val="auto"/>
        </w:rPr>
        <w:t>）</w:t>
      </w:r>
      <w:r>
        <w:rPr>
          <w:color w:val="auto"/>
        </w:rPr>
        <w:t>上更新统哈尔尔组（Q</w:t>
      </w:r>
      <w:r>
        <w:rPr>
          <w:color w:val="auto"/>
          <w:vertAlign w:val="subscript"/>
        </w:rPr>
        <w:t>3</w:t>
      </w:r>
      <w:r>
        <w:rPr>
          <w:color w:val="auto"/>
        </w:rPr>
        <w:t>）</w:t>
      </w:r>
    </w:p>
    <w:p w14:paraId="1D8493B2">
      <w:pPr>
        <w:pStyle w:val="276"/>
        <w:widowControl w:val="0"/>
        <w:ind w:firstLine="480"/>
        <w:jc w:val="both"/>
        <w:rPr>
          <w:color w:val="auto"/>
        </w:rPr>
      </w:pPr>
      <w:r>
        <w:rPr>
          <w:color w:val="auto"/>
        </w:rPr>
        <w:t>广泛分布于区域，岩性为粉质粘土和粉细砂。粉质粘土：黄褐色-褐黄色，软塑-可塑，土质不均匀，局部夹有粉土，手捻有砂粒感，含氧化铁斑点，中压缩性，干强度中等，韧性中等，稍有光滑，无摇振反应，地层厚度为5-10.5m。局部夹粉土、粉细砂层，微显层理，裂隙较发育，具有大的孔隙。分布于评价区表层。</w:t>
      </w:r>
    </w:p>
    <w:p w14:paraId="0222D3A8">
      <w:pPr>
        <w:pStyle w:val="276"/>
        <w:widowControl w:val="0"/>
        <w:ind w:firstLine="480"/>
        <w:jc w:val="both"/>
        <w:rPr>
          <w:color w:val="auto"/>
        </w:rPr>
      </w:pPr>
      <w:r>
        <w:rPr>
          <w:rFonts w:hint="eastAsia"/>
          <w:color w:val="auto"/>
        </w:rPr>
        <w:t>3）</w:t>
      </w:r>
      <w:r>
        <w:rPr>
          <w:color w:val="auto"/>
        </w:rPr>
        <w:t>中更新统荒山组（Q</w:t>
      </w:r>
      <w:r>
        <w:rPr>
          <w:color w:val="auto"/>
          <w:vertAlign w:val="subscript"/>
        </w:rPr>
        <w:t>2</w:t>
      </w:r>
      <w:r>
        <w:rPr>
          <w:color w:val="auto"/>
        </w:rPr>
        <w:t>）</w:t>
      </w:r>
    </w:p>
    <w:p w14:paraId="0D1E8C28">
      <w:pPr>
        <w:spacing w:line="440" w:lineRule="exact"/>
        <w:ind w:firstLine="420" w:firstLineChars="200"/>
        <w:rPr>
          <w:rFonts w:ascii="宋体" w:hAnsi="宋体" w:eastAsia="宋体" w:cs="Times New Roman"/>
          <w:color w:val="auto"/>
        </w:rPr>
      </w:pPr>
      <w:r>
        <w:rPr>
          <w:rFonts w:ascii="宋体" w:hAnsi="宋体" w:eastAsia="宋体" w:cs="Times New Roman"/>
          <w:color w:val="auto"/>
        </w:rPr>
        <w:t>广泛分布区域，岩性为河湖相沉积的灰黑色粘土，地层厚度较为均匀，微显层理，局部夹有粉细砂层，致密坚硬，局部由铁质浸染，地层厚度为25.0-30.5m。土质致密，渗透性较差，为区域弱透水层，由铁质浸染的斑点条带，含铁钙质结核及白色钙质斑点。</w:t>
      </w:r>
    </w:p>
    <w:p w14:paraId="67F38FE1">
      <w:pPr>
        <w:pStyle w:val="6"/>
        <w:rPr>
          <w:color w:val="auto"/>
        </w:rPr>
      </w:pPr>
      <w:bookmarkStart w:id="1029" w:name="_Toc74812124"/>
      <w:bookmarkStart w:id="1030" w:name="_Toc127192369"/>
      <w:bookmarkStart w:id="1031" w:name="_Toc141286336"/>
      <w:bookmarkStart w:id="1032" w:name="_Toc71371986"/>
      <w:bookmarkStart w:id="1033" w:name="_Toc131167320"/>
      <w:bookmarkStart w:id="1034" w:name="_Toc77667336"/>
      <w:bookmarkStart w:id="1035" w:name="_Toc126863420"/>
      <w:bookmarkStart w:id="1036" w:name="_Toc74812363"/>
      <w:r>
        <w:rPr>
          <w:rFonts w:hint="eastAsia"/>
          <w:color w:val="auto"/>
        </w:rPr>
        <w:t>水文地质条件</w:t>
      </w:r>
      <w:bookmarkEnd w:id="1029"/>
      <w:bookmarkEnd w:id="1030"/>
      <w:bookmarkEnd w:id="1031"/>
      <w:bookmarkEnd w:id="1032"/>
      <w:bookmarkEnd w:id="1033"/>
      <w:bookmarkEnd w:id="1034"/>
      <w:bookmarkEnd w:id="1035"/>
      <w:bookmarkEnd w:id="1036"/>
    </w:p>
    <w:p w14:paraId="05E3A82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地下水的形成条件</w:t>
      </w:r>
    </w:p>
    <w:p w14:paraId="09B6FA00">
      <w:pPr>
        <w:pStyle w:val="276"/>
        <w:widowControl w:val="0"/>
        <w:ind w:firstLine="480"/>
        <w:jc w:val="both"/>
        <w:rPr>
          <w:color w:val="auto"/>
        </w:rPr>
      </w:pPr>
      <w:r>
        <w:rPr>
          <w:color w:val="auto"/>
        </w:rPr>
        <w:t>根据地下水的埋藏条件及含水层介质、水力性质等，区内地下水类型可划分为第四系上更新统松散层孔隙潜水、第三系大安组孔隙裂隙承压水和白垩系上统明水组孔隙裂隙承压水。</w:t>
      </w:r>
    </w:p>
    <w:p w14:paraId="4BA181F4">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含水层</w:t>
      </w:r>
    </w:p>
    <w:p w14:paraId="0E035113">
      <w:pPr>
        <w:pStyle w:val="276"/>
        <w:widowControl w:val="0"/>
        <w:ind w:firstLine="480"/>
        <w:jc w:val="both"/>
        <w:rPr>
          <w:color w:val="auto"/>
        </w:rPr>
      </w:pPr>
      <w:r>
        <w:rPr>
          <w:color w:val="auto"/>
        </w:rPr>
        <w:t>（1）第四系上更新统松散层孔隙潜水</w:t>
      </w:r>
    </w:p>
    <w:p w14:paraId="3049FACE">
      <w:pPr>
        <w:pStyle w:val="276"/>
        <w:widowControl w:val="0"/>
        <w:ind w:firstLine="480"/>
        <w:jc w:val="both"/>
        <w:rPr>
          <w:color w:val="auto"/>
          <w:szCs w:val="32"/>
        </w:rPr>
      </w:pPr>
      <w:r>
        <w:rPr>
          <w:color w:val="auto"/>
          <w:szCs w:val="32"/>
        </w:rPr>
        <w:t>分布于全区，含水层岩性为上</w:t>
      </w:r>
      <w:r>
        <w:rPr>
          <w:color w:val="auto"/>
        </w:rPr>
        <w:t>更新统</w:t>
      </w:r>
      <w:r>
        <w:rPr>
          <w:color w:val="auto"/>
          <w:szCs w:val="32"/>
        </w:rPr>
        <w:t>哈尔滨组粉细砂组成，厚度0～3.5m。地下水水位埋深2.4～5.5m，弱富水性，单井涌水量在50～100m</w:t>
      </w:r>
      <w:r>
        <w:rPr>
          <w:color w:val="auto"/>
          <w:szCs w:val="32"/>
          <w:vertAlign w:val="superscript"/>
        </w:rPr>
        <w:t>3</w:t>
      </w:r>
      <w:r>
        <w:rPr>
          <w:color w:val="auto"/>
          <w:szCs w:val="32"/>
        </w:rPr>
        <w:t>/d，地下水化学类型以HCO</w:t>
      </w:r>
      <w:r>
        <w:rPr>
          <w:color w:val="auto"/>
          <w:szCs w:val="32"/>
          <w:vertAlign w:val="subscript"/>
        </w:rPr>
        <w:t>3</w:t>
      </w:r>
      <w:r>
        <w:rPr>
          <w:color w:val="auto"/>
          <w:szCs w:val="32"/>
        </w:rPr>
        <w:t>-Na、HCO</w:t>
      </w:r>
      <w:r>
        <w:rPr>
          <w:color w:val="auto"/>
          <w:szCs w:val="32"/>
          <w:vertAlign w:val="subscript"/>
        </w:rPr>
        <w:t>3</w:t>
      </w:r>
      <w:r>
        <w:rPr>
          <w:color w:val="auto"/>
          <w:szCs w:val="32"/>
        </w:rPr>
        <w:t>-Na·Ca型水为主。该层水为大气降水的垂直入渗补给，无开采供水条件。</w:t>
      </w:r>
    </w:p>
    <w:p w14:paraId="21276D75">
      <w:pPr>
        <w:pStyle w:val="276"/>
        <w:widowControl w:val="0"/>
        <w:ind w:firstLine="480"/>
        <w:jc w:val="both"/>
        <w:rPr>
          <w:color w:val="auto"/>
          <w:szCs w:val="32"/>
        </w:rPr>
      </w:pPr>
      <w:r>
        <w:rPr>
          <w:color w:val="auto"/>
          <w:szCs w:val="32"/>
        </w:rPr>
        <w:t>（2）第三系大安组孔隙裂隙承压水含水层</w:t>
      </w:r>
    </w:p>
    <w:p w14:paraId="009ED2F6">
      <w:pPr>
        <w:pStyle w:val="276"/>
        <w:widowControl w:val="0"/>
        <w:ind w:firstLine="480"/>
        <w:jc w:val="both"/>
        <w:rPr>
          <w:color w:val="auto"/>
          <w:szCs w:val="32"/>
        </w:rPr>
      </w:pPr>
      <w:r>
        <w:rPr>
          <w:color w:val="auto"/>
          <w:szCs w:val="32"/>
        </w:rPr>
        <w:t>分布在项目区西南部，含水层岩性为灰白色含砾砂岩和砂砾岩。地下水水位埋深8.4～12.5m，中等富水性，含水层厚度10～20m，单</w:t>
      </w:r>
      <w:r>
        <w:rPr>
          <w:color w:val="auto"/>
        </w:rPr>
        <w:t>井涌水量</w:t>
      </w:r>
      <w:r>
        <w:rPr>
          <w:color w:val="auto"/>
          <w:szCs w:val="32"/>
        </w:rPr>
        <w:t>在600～1000m</w:t>
      </w:r>
      <w:r>
        <w:rPr>
          <w:color w:val="auto"/>
          <w:szCs w:val="32"/>
          <w:vertAlign w:val="superscript"/>
        </w:rPr>
        <w:t>3</w:t>
      </w:r>
      <w:r>
        <w:rPr>
          <w:color w:val="auto"/>
          <w:szCs w:val="32"/>
        </w:rPr>
        <w:t>/d，地下水化学类型以HCO</w:t>
      </w:r>
      <w:r>
        <w:rPr>
          <w:color w:val="auto"/>
          <w:szCs w:val="32"/>
          <w:vertAlign w:val="subscript"/>
        </w:rPr>
        <w:t>3</w:t>
      </w:r>
      <w:r>
        <w:rPr>
          <w:color w:val="auto"/>
          <w:szCs w:val="32"/>
        </w:rPr>
        <w:t>-Na·Ca型水为主。</w:t>
      </w:r>
    </w:p>
    <w:p w14:paraId="680FD658">
      <w:pPr>
        <w:pStyle w:val="276"/>
        <w:widowControl w:val="0"/>
        <w:ind w:firstLine="480"/>
        <w:jc w:val="both"/>
        <w:rPr>
          <w:color w:val="auto"/>
          <w:szCs w:val="32"/>
        </w:rPr>
      </w:pPr>
      <w:r>
        <w:rPr>
          <w:color w:val="auto"/>
          <w:szCs w:val="32"/>
        </w:rPr>
        <w:t>（</w:t>
      </w:r>
      <w:r>
        <w:rPr>
          <w:rFonts w:hint="eastAsia"/>
          <w:color w:val="auto"/>
          <w:szCs w:val="32"/>
        </w:rPr>
        <w:t>3</w:t>
      </w:r>
      <w:r>
        <w:rPr>
          <w:color w:val="auto"/>
          <w:szCs w:val="32"/>
        </w:rPr>
        <w:t>）白垩系上统明水组孔隙裂隙承压水含水层</w:t>
      </w:r>
    </w:p>
    <w:p w14:paraId="429EE9E7">
      <w:pPr>
        <w:pStyle w:val="276"/>
        <w:widowControl w:val="0"/>
        <w:ind w:firstLine="480"/>
        <w:jc w:val="both"/>
        <w:rPr>
          <w:color w:val="auto"/>
          <w:szCs w:val="32"/>
        </w:rPr>
      </w:pPr>
      <w:r>
        <w:rPr>
          <w:color w:val="auto"/>
          <w:szCs w:val="32"/>
        </w:rPr>
        <w:t>明水组二段：岩性主要是含中粗砂岩组成，质软，成岩性较差，含水层分布不均，连续性较差，透水性一般、富水性一般，含砾砂岩含水层单层厚度较薄，层数较多，一般由4～6个层组成，单层厚度3.0～20.0m，含水层顶板埋深50～70m，二段</w:t>
      </w:r>
      <w:r>
        <w:rPr>
          <w:color w:val="auto"/>
        </w:rPr>
        <w:t>含水层</w:t>
      </w:r>
      <w:r>
        <w:rPr>
          <w:color w:val="auto"/>
          <w:szCs w:val="32"/>
        </w:rPr>
        <w:t>组单井涌水量一般可达800～1200m</w:t>
      </w:r>
      <w:r>
        <w:rPr>
          <w:color w:val="auto"/>
          <w:szCs w:val="32"/>
          <w:vertAlign w:val="superscript"/>
        </w:rPr>
        <w:t>3</w:t>
      </w:r>
      <w:r>
        <w:rPr>
          <w:color w:val="auto"/>
          <w:szCs w:val="32"/>
        </w:rPr>
        <w:t>/d（273mm）。</w:t>
      </w:r>
    </w:p>
    <w:p w14:paraId="6580127D">
      <w:pPr>
        <w:pStyle w:val="276"/>
        <w:widowControl w:val="0"/>
        <w:ind w:firstLine="480"/>
        <w:jc w:val="both"/>
        <w:rPr>
          <w:color w:val="auto"/>
          <w:szCs w:val="32"/>
        </w:rPr>
      </w:pPr>
      <w:r>
        <w:rPr>
          <w:color w:val="auto"/>
          <w:szCs w:val="32"/>
        </w:rPr>
        <w:t>明水组一段：岩性主要是含砾砂岩和砂砾岩组成，质软，成岩性较差，含水层分布稳定性较好，透水性一般、富水性一般，一段含砾砂岩含水层单层厚度较薄，层数一般3～5层，单层厚度3.0～29.0m，累计含水层厚度10.0～45.0m，含水层顶板埋深60～120m。单井涌水量（237mm井管）一般都能达到1000～1500m</w:t>
      </w:r>
      <w:r>
        <w:rPr>
          <w:color w:val="auto"/>
          <w:szCs w:val="32"/>
          <w:vertAlign w:val="superscript"/>
        </w:rPr>
        <w:t>3</w:t>
      </w:r>
      <w:r>
        <w:rPr>
          <w:color w:val="auto"/>
          <w:szCs w:val="32"/>
        </w:rPr>
        <w:t>/d，水质为重碳酸钠型水。</w:t>
      </w:r>
    </w:p>
    <w:p w14:paraId="7D5241DD">
      <w:pPr>
        <w:pStyle w:val="276"/>
        <w:widowControl w:val="0"/>
        <w:ind w:firstLine="480"/>
        <w:jc w:val="both"/>
        <w:rPr>
          <w:color w:val="auto"/>
          <w:szCs w:val="32"/>
        </w:rPr>
      </w:pPr>
      <w:r>
        <w:rPr>
          <w:color w:val="auto"/>
          <w:szCs w:val="32"/>
        </w:rPr>
        <w:t>明水组含水层的矿化度为480～860g/L，总硬度为66～95mg/L（以CaCO</w:t>
      </w:r>
      <w:r>
        <w:rPr>
          <w:color w:val="auto"/>
          <w:szCs w:val="32"/>
          <w:vertAlign w:val="subscript"/>
        </w:rPr>
        <w:t>3</w:t>
      </w:r>
      <w:r>
        <w:rPr>
          <w:color w:val="auto"/>
          <w:szCs w:val="32"/>
        </w:rPr>
        <w:t>计），水质类型为重碳酸钠型水。</w:t>
      </w:r>
    </w:p>
    <w:p w14:paraId="57B5B02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地下水的补给、径流和排泄条件</w:t>
      </w:r>
    </w:p>
    <w:p w14:paraId="70346F9C">
      <w:pPr>
        <w:pStyle w:val="276"/>
        <w:widowControl w:val="0"/>
        <w:ind w:firstLine="480"/>
        <w:jc w:val="both"/>
        <w:rPr>
          <w:color w:val="auto"/>
          <w:szCs w:val="32"/>
        </w:rPr>
      </w:pPr>
      <w:r>
        <w:rPr>
          <w:color w:val="auto"/>
          <w:szCs w:val="32"/>
        </w:rPr>
        <w:t>地下水系统及其周围环境决定了地下水补给、径流、排泄特征，而其补给、径流和排泄构成了含水层地下水流系统形成条件。</w:t>
      </w:r>
    </w:p>
    <w:p w14:paraId="26AA9588">
      <w:pPr>
        <w:pStyle w:val="276"/>
        <w:widowControl w:val="0"/>
        <w:ind w:firstLine="480"/>
        <w:jc w:val="both"/>
        <w:rPr>
          <w:color w:val="auto"/>
          <w:szCs w:val="32"/>
        </w:rPr>
      </w:pPr>
      <w:r>
        <w:rPr>
          <w:rFonts w:hint="eastAsia"/>
          <w:color w:val="auto"/>
          <w:szCs w:val="32"/>
        </w:rPr>
        <w:t>（1）</w:t>
      </w:r>
      <w:r>
        <w:rPr>
          <w:color w:val="auto"/>
          <w:szCs w:val="32"/>
        </w:rPr>
        <w:t>地下水补给</w:t>
      </w:r>
    </w:p>
    <w:p w14:paraId="79373E92">
      <w:pPr>
        <w:pStyle w:val="276"/>
        <w:widowControl w:val="0"/>
        <w:ind w:firstLine="480"/>
        <w:jc w:val="both"/>
        <w:rPr>
          <w:color w:val="auto"/>
          <w:szCs w:val="32"/>
        </w:rPr>
      </w:pPr>
      <w:r>
        <w:rPr>
          <w:rFonts w:hint="eastAsia"/>
          <w:color w:val="auto"/>
          <w:szCs w:val="32"/>
        </w:rPr>
        <w:t>1）</w:t>
      </w:r>
      <w:r>
        <w:rPr>
          <w:color w:val="auto"/>
          <w:szCs w:val="32"/>
        </w:rPr>
        <w:t>大气降雨补给</w:t>
      </w:r>
    </w:p>
    <w:p w14:paraId="576861C5">
      <w:pPr>
        <w:pStyle w:val="276"/>
        <w:widowControl w:val="0"/>
        <w:ind w:firstLine="480"/>
        <w:jc w:val="both"/>
        <w:rPr>
          <w:color w:val="auto"/>
          <w:szCs w:val="32"/>
        </w:rPr>
      </w:pPr>
      <w:r>
        <w:rPr>
          <w:color w:val="auto"/>
          <w:szCs w:val="32"/>
        </w:rPr>
        <w:t>从区域主要含水层分布可以看出，含水层的补给主要地表水补给和降雨垂向补给上部第四系孔隙潜水含水层，潜水通过透水层越流补给下部的大安组、</w:t>
      </w:r>
      <w:r>
        <w:rPr>
          <w:color w:val="auto"/>
        </w:rPr>
        <w:t>明水组</w:t>
      </w:r>
      <w:r>
        <w:rPr>
          <w:color w:val="auto"/>
          <w:szCs w:val="32"/>
        </w:rPr>
        <w:t>含水层。</w:t>
      </w:r>
    </w:p>
    <w:p w14:paraId="5A7BB0C9">
      <w:pPr>
        <w:pStyle w:val="276"/>
        <w:widowControl w:val="0"/>
        <w:ind w:firstLine="480"/>
        <w:jc w:val="both"/>
        <w:rPr>
          <w:color w:val="auto"/>
          <w:szCs w:val="32"/>
        </w:rPr>
      </w:pPr>
      <w:r>
        <w:rPr>
          <w:rFonts w:hint="eastAsia"/>
          <w:color w:val="auto"/>
          <w:szCs w:val="32"/>
        </w:rPr>
        <w:t>2）</w:t>
      </w:r>
      <w:r>
        <w:rPr>
          <w:color w:val="auto"/>
          <w:szCs w:val="32"/>
        </w:rPr>
        <w:t>地表水体的入渗补给</w:t>
      </w:r>
    </w:p>
    <w:p w14:paraId="5639F047">
      <w:pPr>
        <w:pStyle w:val="276"/>
        <w:widowControl w:val="0"/>
        <w:ind w:firstLine="480"/>
        <w:jc w:val="both"/>
        <w:rPr>
          <w:color w:val="auto"/>
          <w:szCs w:val="32"/>
        </w:rPr>
      </w:pPr>
      <w:r>
        <w:rPr>
          <w:color w:val="auto"/>
          <w:szCs w:val="32"/>
        </w:rPr>
        <w:t>本项目周边区域湖泡水的入渗水量构成了第四系潜水补给的主要来源。</w:t>
      </w:r>
    </w:p>
    <w:p w14:paraId="07C3A4CB">
      <w:pPr>
        <w:pStyle w:val="276"/>
        <w:widowControl w:val="0"/>
        <w:ind w:firstLine="480"/>
        <w:jc w:val="both"/>
        <w:rPr>
          <w:color w:val="auto"/>
          <w:szCs w:val="32"/>
        </w:rPr>
      </w:pPr>
      <w:r>
        <w:rPr>
          <w:rFonts w:hint="eastAsia"/>
          <w:color w:val="auto"/>
          <w:szCs w:val="32"/>
        </w:rPr>
        <w:t>3）</w:t>
      </w:r>
      <w:r>
        <w:rPr>
          <w:color w:val="auto"/>
          <w:szCs w:val="32"/>
        </w:rPr>
        <w:t>侧向补给</w:t>
      </w:r>
    </w:p>
    <w:p w14:paraId="7795C0C8">
      <w:pPr>
        <w:pStyle w:val="276"/>
        <w:widowControl w:val="0"/>
        <w:ind w:firstLine="480"/>
        <w:jc w:val="both"/>
        <w:rPr>
          <w:color w:val="auto"/>
          <w:szCs w:val="32"/>
        </w:rPr>
      </w:pPr>
      <w:r>
        <w:rPr>
          <w:color w:val="auto"/>
          <w:szCs w:val="32"/>
        </w:rPr>
        <w:t>在天然条件下，主要来自区域以外广泛连续分布的同一含水层中的地下水，地下水在水动力驱动下，通过水平方向径流补给区域内地下水，根据水文地质分布特征，项目区地下水侧向主要接受东北向西南方向都有一定量的地下水侧向补给。</w:t>
      </w:r>
    </w:p>
    <w:p w14:paraId="4711ABF9">
      <w:pPr>
        <w:pStyle w:val="276"/>
        <w:widowControl w:val="0"/>
        <w:ind w:firstLine="480"/>
        <w:jc w:val="both"/>
        <w:rPr>
          <w:color w:val="auto"/>
          <w:szCs w:val="32"/>
        </w:rPr>
      </w:pPr>
      <w:r>
        <w:rPr>
          <w:rFonts w:hint="eastAsia"/>
          <w:color w:val="auto"/>
          <w:szCs w:val="32"/>
        </w:rPr>
        <w:t>（2）</w:t>
      </w:r>
      <w:r>
        <w:rPr>
          <w:color w:val="auto"/>
          <w:szCs w:val="32"/>
        </w:rPr>
        <w:t>地下水径流</w:t>
      </w:r>
    </w:p>
    <w:p w14:paraId="0BFF37EB">
      <w:pPr>
        <w:pStyle w:val="276"/>
        <w:widowControl w:val="0"/>
        <w:ind w:firstLine="480"/>
        <w:jc w:val="both"/>
        <w:rPr>
          <w:color w:val="auto"/>
          <w:szCs w:val="32"/>
        </w:rPr>
      </w:pPr>
      <w:r>
        <w:rPr>
          <w:color w:val="auto"/>
          <w:szCs w:val="32"/>
        </w:rPr>
        <w:t>项目区内地下水的径流方向在不同层位</w:t>
      </w:r>
      <w:r>
        <w:rPr>
          <w:color w:val="auto"/>
        </w:rPr>
        <w:t>有所不同</w:t>
      </w:r>
      <w:r>
        <w:rPr>
          <w:color w:val="auto"/>
          <w:szCs w:val="32"/>
        </w:rPr>
        <w:t>。上部潜水含水层主要由粉细砂组成，颗粒较细，分布不连续，透水性较差，且受地形影响，地下水径流滞缓，项目区范围内地下水流向不明显，区域上总体流向随地势由西北向东南流。而承压含水层是该区供水的主要来源，地下水开采量较大而且相对集中，区域水位下降较大，由于人工流场的形成，改变了地下水的天然径流状态，地下水位是东北高西南低，地下水的径流方向则为北东向西南。</w:t>
      </w:r>
    </w:p>
    <w:p w14:paraId="5910D849">
      <w:pPr>
        <w:pStyle w:val="276"/>
        <w:widowControl w:val="0"/>
        <w:ind w:firstLine="480"/>
        <w:jc w:val="both"/>
        <w:rPr>
          <w:color w:val="auto"/>
          <w:szCs w:val="32"/>
        </w:rPr>
      </w:pPr>
      <w:r>
        <w:rPr>
          <w:rFonts w:hint="eastAsia"/>
          <w:color w:val="auto"/>
          <w:szCs w:val="32"/>
        </w:rPr>
        <w:t>（3）</w:t>
      </w:r>
      <w:r>
        <w:rPr>
          <w:color w:val="auto"/>
          <w:szCs w:val="32"/>
        </w:rPr>
        <w:t>地下水的排泄</w:t>
      </w:r>
    </w:p>
    <w:p w14:paraId="76463EE9">
      <w:pPr>
        <w:pStyle w:val="276"/>
        <w:widowControl w:val="0"/>
        <w:ind w:firstLine="480"/>
        <w:jc w:val="both"/>
        <w:rPr>
          <w:color w:val="auto"/>
          <w:szCs w:val="32"/>
        </w:rPr>
      </w:pPr>
      <w:r>
        <w:rPr>
          <w:color w:val="auto"/>
          <w:szCs w:val="32"/>
        </w:rPr>
        <w:t>根据调查区的地质及水文地质条件和地下水开采情况分析，地下水的排泄方式主要有三种：蒸发排泄、地下水的径流排泄、地下水人工开采排泄。</w:t>
      </w:r>
    </w:p>
    <w:p w14:paraId="7FE85B0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地下水动态</w:t>
      </w:r>
    </w:p>
    <w:p w14:paraId="0FF98C24">
      <w:pPr>
        <w:pStyle w:val="276"/>
        <w:widowControl w:val="0"/>
        <w:ind w:firstLine="480"/>
        <w:jc w:val="both"/>
        <w:rPr>
          <w:color w:val="auto"/>
          <w:szCs w:val="32"/>
        </w:rPr>
      </w:pPr>
      <w:r>
        <w:rPr>
          <w:color w:val="auto"/>
          <w:szCs w:val="32"/>
        </w:rPr>
        <w:t>区域潜水含水层埋深较浅，水位变化主要受大气降水补给影响较大。根据已有资料，地下水枯水期为1～3月份，丰水期为7～9月份。调查期间（2021年3月）潜水埋深1.0m～5.5m之间，潜水埋深变化较大，水位变化差4.5m左右。地下水流动缓慢，潜水位的高低受地形控制，调查区内潜水流向主要由东北向</w:t>
      </w:r>
      <w:r>
        <w:rPr>
          <w:rFonts w:hint="eastAsia"/>
          <w:color w:val="auto"/>
          <w:szCs w:val="32"/>
        </w:rPr>
        <w:t>西南</w:t>
      </w:r>
      <w:r>
        <w:rPr>
          <w:color w:val="auto"/>
          <w:szCs w:val="32"/>
        </w:rPr>
        <w:t>。</w:t>
      </w:r>
    </w:p>
    <w:p w14:paraId="7381FE24">
      <w:pPr>
        <w:pStyle w:val="276"/>
        <w:widowControl w:val="0"/>
        <w:ind w:firstLine="480"/>
        <w:jc w:val="both"/>
        <w:rPr>
          <w:color w:val="auto"/>
          <w:szCs w:val="32"/>
        </w:rPr>
      </w:pPr>
      <w:r>
        <w:rPr>
          <w:color w:val="auto"/>
          <w:szCs w:val="32"/>
        </w:rPr>
        <w:t>调查区内第四系承压水含水层主要受大气降水补给和人工开采影响较大。调查期间（2020年8月）水位埋深1.72m～3.5m之间，水位埋深变化较大，水位变化差1.78m。流向主要由东北向西南。</w:t>
      </w:r>
    </w:p>
    <w:p w14:paraId="5CFFACB4">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包气带现状</w:t>
      </w:r>
    </w:p>
    <w:p w14:paraId="57915885">
      <w:pPr>
        <w:pStyle w:val="276"/>
        <w:widowControl w:val="0"/>
        <w:ind w:firstLine="480"/>
        <w:jc w:val="both"/>
        <w:rPr>
          <w:color w:val="auto"/>
        </w:rPr>
      </w:pPr>
      <w:r>
        <w:rPr>
          <w:rFonts w:hint="eastAsia"/>
          <w:color w:val="auto"/>
        </w:rPr>
        <w:t>（1）建设场地地质概况</w:t>
      </w:r>
    </w:p>
    <w:p w14:paraId="7DFDCC11">
      <w:pPr>
        <w:pStyle w:val="276"/>
        <w:widowControl w:val="0"/>
        <w:ind w:firstLine="480"/>
        <w:jc w:val="both"/>
        <w:rPr>
          <w:color w:val="auto"/>
        </w:rPr>
      </w:pPr>
      <w:r>
        <w:rPr>
          <w:rFonts w:hint="eastAsia"/>
          <w:color w:val="auto"/>
        </w:rPr>
        <w:t>项目区内包气带均为第四系松散堆积层，堆积厚度大，分布范围广。按地貌成因形态类型主要为冲积低平原沉积地层。</w:t>
      </w:r>
    </w:p>
    <w:p w14:paraId="0C8A9BA5">
      <w:pPr>
        <w:pStyle w:val="276"/>
        <w:widowControl w:val="0"/>
        <w:ind w:firstLine="480"/>
        <w:jc w:val="both"/>
        <w:rPr>
          <w:color w:val="auto"/>
        </w:rPr>
      </w:pPr>
      <w:r>
        <w:rPr>
          <w:rFonts w:hint="eastAsia"/>
          <w:color w:val="auto"/>
        </w:rPr>
        <w:t>根据本次勘察地下水及浅部地层特征，调查区包气带厚度最大值为5.5</w:t>
      </w:r>
      <w:r>
        <w:rPr>
          <w:color w:val="auto"/>
        </w:rPr>
        <w:t>m。</w:t>
      </w:r>
    </w:p>
    <w:p w14:paraId="3C81B8F9">
      <w:pPr>
        <w:pStyle w:val="276"/>
        <w:widowControl w:val="0"/>
        <w:ind w:firstLine="480"/>
        <w:jc w:val="both"/>
        <w:rPr>
          <w:color w:val="auto"/>
        </w:rPr>
      </w:pPr>
      <w:r>
        <w:rPr>
          <w:rFonts w:hint="eastAsia"/>
          <w:color w:val="auto"/>
        </w:rPr>
        <w:t>粉质粘土：黄褐色</w:t>
      </w:r>
      <w:r>
        <w:rPr>
          <w:color w:val="auto"/>
        </w:rPr>
        <w:t>-褐黄色，可塑，土质不均匀，局部夹有粉土，手捻有砂粒感，</w:t>
      </w:r>
      <w:r>
        <w:rPr>
          <w:rFonts w:hint="eastAsia"/>
          <w:color w:val="auto"/>
        </w:rPr>
        <w:t>含氧化铁斑点，中压缩性，干强度中等，韧性中等，稍有光滑，无摇振反应，地层厚度</w:t>
      </w:r>
      <w:r>
        <w:rPr>
          <w:color w:val="auto"/>
        </w:rPr>
        <w:t>3.60～4.50m。</w:t>
      </w:r>
    </w:p>
    <w:p w14:paraId="57A1EC7E">
      <w:pPr>
        <w:pStyle w:val="276"/>
        <w:widowControl w:val="0"/>
        <w:ind w:firstLine="480"/>
        <w:jc w:val="both"/>
        <w:rPr>
          <w:color w:val="auto"/>
        </w:rPr>
      </w:pPr>
      <w:r>
        <w:rPr>
          <w:rFonts w:hint="eastAsia"/>
          <w:color w:val="auto"/>
        </w:rPr>
        <w:t>粉细砂：黄色，稍密，饱和，颗粒均一，级配差，主要矿物成份由石英、长石组成，含少量暗色矿物。土层分布不连续，地层厚度</w:t>
      </w:r>
      <w:r>
        <w:rPr>
          <w:color w:val="auto"/>
        </w:rPr>
        <w:t>2.10～2.40m。</w:t>
      </w:r>
    </w:p>
    <w:p w14:paraId="79FA74E9">
      <w:pPr>
        <w:pStyle w:val="276"/>
        <w:widowControl w:val="0"/>
        <w:ind w:firstLine="480"/>
        <w:jc w:val="both"/>
        <w:rPr>
          <w:color w:val="auto"/>
        </w:rPr>
      </w:pPr>
      <w:r>
        <w:rPr>
          <w:rFonts w:hint="eastAsia"/>
          <w:color w:val="auto"/>
        </w:rPr>
        <w:t>（</w:t>
      </w:r>
      <w:r>
        <w:rPr>
          <w:color w:val="auto"/>
        </w:rPr>
        <w:t>2）建设场地包气带防污性能</w:t>
      </w:r>
    </w:p>
    <w:p w14:paraId="1864185E">
      <w:pPr>
        <w:pStyle w:val="276"/>
        <w:widowControl w:val="0"/>
        <w:ind w:firstLine="480"/>
        <w:jc w:val="both"/>
        <w:rPr>
          <w:color w:val="auto"/>
        </w:rPr>
      </w:pPr>
      <w:r>
        <w:rPr>
          <w:rFonts w:hint="eastAsia"/>
          <w:color w:val="auto"/>
        </w:rPr>
        <w:t>根据《环境影响评价技术导则地下水环境》（</w:t>
      </w:r>
      <w:r>
        <w:rPr>
          <w:color w:val="auto"/>
        </w:rPr>
        <w:t>HJ610-2016）天然包气带防污性能分</w:t>
      </w:r>
      <w:r>
        <w:rPr>
          <w:rFonts w:hint="eastAsia"/>
          <w:color w:val="auto"/>
        </w:rPr>
        <w:t>级参照表，本项目建设场地区包气带防污性能分级见表</w:t>
      </w:r>
      <w:r>
        <w:rPr>
          <w:color w:val="auto"/>
        </w:rPr>
        <w:t>4.1-2。</w:t>
      </w:r>
    </w:p>
    <w:p w14:paraId="53077C3A">
      <w:pPr>
        <w:spacing w:line="440" w:lineRule="exact"/>
        <w:ind w:firstLine="420" w:firstLineChars="200"/>
        <w:jc w:val="center"/>
        <w:rPr>
          <w:rFonts w:ascii="宋体" w:hAnsi="宋体" w:eastAsia="宋体" w:cs="Times New Roman"/>
          <w:color w:val="auto"/>
        </w:rPr>
      </w:pPr>
      <w:r>
        <w:rPr>
          <w:rFonts w:hint="eastAsia" w:ascii="宋体" w:hAnsi="宋体" w:eastAsia="宋体" w:cs="Times New Roman"/>
          <w:color w:val="auto"/>
        </w:rPr>
        <w:t>表</w:t>
      </w:r>
      <w:r>
        <w:rPr>
          <w:rFonts w:ascii="宋体" w:hAnsi="宋体" w:eastAsia="宋体" w:cs="Times New Roman"/>
          <w:color w:val="auto"/>
        </w:rPr>
        <w:t xml:space="preserve"> 4.1-2 包气带防污性能分级</w:t>
      </w:r>
    </w:p>
    <w:tbl>
      <w:tblPr>
        <w:tblStyle w:val="81"/>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8566"/>
      </w:tblGrid>
      <w:tr w14:paraId="3C01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dxa"/>
            <w:vAlign w:val="center"/>
          </w:tcPr>
          <w:p w14:paraId="6135B21B">
            <w:pPr>
              <w:spacing w:line="360" w:lineRule="exact"/>
              <w:jc w:val="center"/>
              <w:rPr>
                <w:rFonts w:ascii="宋体" w:hAnsi="宋体" w:eastAsia="宋体" w:cs="Times New Roman"/>
                <w:color w:val="auto"/>
              </w:rPr>
            </w:pPr>
            <w:r>
              <w:rPr>
                <w:rFonts w:hint="eastAsia" w:ascii="宋体" w:hAnsi="宋体" w:eastAsia="宋体" w:cs="Times New Roman"/>
                <w:color w:val="auto"/>
              </w:rPr>
              <w:t>分级</w:t>
            </w:r>
          </w:p>
        </w:tc>
        <w:tc>
          <w:tcPr>
            <w:tcW w:w="8566" w:type="dxa"/>
            <w:vAlign w:val="center"/>
          </w:tcPr>
          <w:p w14:paraId="63FEAB5F">
            <w:pPr>
              <w:spacing w:line="360" w:lineRule="exact"/>
              <w:jc w:val="center"/>
              <w:rPr>
                <w:rFonts w:ascii="宋体" w:hAnsi="宋体" w:eastAsia="宋体" w:cs="Times New Roman"/>
                <w:color w:val="auto"/>
              </w:rPr>
            </w:pPr>
            <w:r>
              <w:rPr>
                <w:rFonts w:hint="eastAsia" w:ascii="宋体" w:hAnsi="宋体" w:eastAsia="宋体" w:cs="Times New Roman"/>
                <w:color w:val="auto"/>
              </w:rPr>
              <w:t>包气带岩土的渗透性能</w:t>
            </w:r>
          </w:p>
        </w:tc>
      </w:tr>
      <w:tr w14:paraId="1B2A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dxa"/>
            <w:vAlign w:val="center"/>
          </w:tcPr>
          <w:p w14:paraId="155FEFC2">
            <w:pPr>
              <w:spacing w:line="360" w:lineRule="exact"/>
              <w:jc w:val="center"/>
              <w:rPr>
                <w:rFonts w:ascii="宋体" w:hAnsi="宋体" w:eastAsia="宋体" w:cs="Times New Roman"/>
                <w:color w:val="auto"/>
              </w:rPr>
            </w:pPr>
            <w:r>
              <w:rPr>
                <w:rFonts w:hint="eastAsia" w:ascii="宋体" w:hAnsi="宋体" w:eastAsia="宋体" w:cs="Times New Roman"/>
                <w:color w:val="auto"/>
              </w:rPr>
              <w:t>强</w:t>
            </w:r>
          </w:p>
        </w:tc>
        <w:tc>
          <w:tcPr>
            <w:tcW w:w="8566" w:type="dxa"/>
            <w:vAlign w:val="center"/>
          </w:tcPr>
          <w:p w14:paraId="1C7DA4DE">
            <w:pPr>
              <w:spacing w:line="360" w:lineRule="exact"/>
              <w:rPr>
                <w:rFonts w:ascii="宋体" w:hAnsi="宋体" w:eastAsia="宋体" w:cs="Times New Roman"/>
                <w:color w:val="auto"/>
              </w:rPr>
            </w:pPr>
            <w:r>
              <w:rPr>
                <w:rFonts w:hint="eastAsia" w:ascii="宋体" w:hAnsi="宋体" w:eastAsia="宋体" w:cs="Times New Roman"/>
                <w:color w:val="auto"/>
              </w:rPr>
              <w:t>岩（土）层单层厚度</w:t>
            </w:r>
            <w:r>
              <w:rPr>
                <w:rFonts w:ascii="宋体" w:hAnsi="宋体" w:eastAsia="宋体" w:cs="Times New Roman"/>
                <w:color w:val="auto"/>
              </w:rPr>
              <w:t>Mb≥1.0m，渗透系数K≤10</w:t>
            </w:r>
            <w:r>
              <w:rPr>
                <w:rFonts w:ascii="宋体" w:hAnsi="宋体" w:eastAsia="宋体" w:cs="Times New Roman"/>
                <w:color w:val="auto"/>
                <w:vertAlign w:val="superscript"/>
              </w:rPr>
              <w:t>-6</w:t>
            </w:r>
            <w:r>
              <w:rPr>
                <w:rFonts w:ascii="宋体" w:hAnsi="宋体" w:eastAsia="宋体" w:cs="Times New Roman"/>
                <w:color w:val="auto"/>
              </w:rPr>
              <w:t>cm/s，且分布连续、稳定。</w:t>
            </w:r>
          </w:p>
        </w:tc>
      </w:tr>
      <w:tr w14:paraId="01CE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dxa"/>
            <w:vAlign w:val="center"/>
          </w:tcPr>
          <w:p w14:paraId="4E258D11">
            <w:pPr>
              <w:spacing w:line="360" w:lineRule="exact"/>
              <w:jc w:val="center"/>
              <w:rPr>
                <w:rFonts w:ascii="宋体" w:hAnsi="宋体" w:eastAsia="宋体" w:cs="Times New Roman"/>
                <w:color w:val="auto"/>
              </w:rPr>
            </w:pPr>
            <w:r>
              <w:rPr>
                <w:rFonts w:hint="eastAsia" w:ascii="宋体" w:hAnsi="宋体" w:eastAsia="宋体" w:cs="Times New Roman"/>
                <w:color w:val="auto"/>
              </w:rPr>
              <w:t>中</w:t>
            </w:r>
          </w:p>
        </w:tc>
        <w:tc>
          <w:tcPr>
            <w:tcW w:w="8566" w:type="dxa"/>
            <w:vAlign w:val="center"/>
          </w:tcPr>
          <w:p w14:paraId="11A1A89C">
            <w:pPr>
              <w:spacing w:line="360" w:lineRule="exact"/>
              <w:jc w:val="center"/>
              <w:rPr>
                <w:rFonts w:ascii="宋体" w:hAnsi="宋体" w:eastAsia="宋体" w:cs="Times New Roman"/>
                <w:color w:val="auto"/>
              </w:rPr>
            </w:pPr>
            <w:r>
              <w:rPr>
                <w:rFonts w:hint="eastAsia" w:ascii="宋体" w:hAnsi="宋体" w:eastAsia="宋体" w:cs="Times New Roman"/>
                <w:color w:val="auto"/>
              </w:rPr>
              <w:t>岩（土）层单层厚度</w:t>
            </w:r>
            <w:r>
              <w:rPr>
                <w:rFonts w:ascii="宋体" w:hAnsi="宋体" w:eastAsia="宋体" w:cs="Times New Roman"/>
                <w:color w:val="auto"/>
              </w:rPr>
              <w:t>0.5m≤Mb＜1.0m，渗透系数K≤10</w:t>
            </w:r>
            <w:r>
              <w:rPr>
                <w:rFonts w:ascii="宋体" w:hAnsi="宋体" w:eastAsia="宋体" w:cs="Times New Roman"/>
                <w:color w:val="auto"/>
                <w:vertAlign w:val="superscript"/>
              </w:rPr>
              <w:t>-6</w:t>
            </w:r>
            <w:r>
              <w:rPr>
                <w:rFonts w:ascii="宋体" w:hAnsi="宋体" w:eastAsia="宋体" w:cs="Times New Roman"/>
                <w:color w:val="auto"/>
              </w:rPr>
              <w:t>cm/s，且分布连续、稳定。</w:t>
            </w:r>
            <w:r>
              <w:rPr>
                <w:rFonts w:hint="eastAsia" w:ascii="宋体" w:hAnsi="宋体" w:eastAsia="宋体" w:cs="Times New Roman"/>
                <w:color w:val="auto"/>
              </w:rPr>
              <w:t>岩（土）层单层厚度</w:t>
            </w:r>
            <w:r>
              <w:rPr>
                <w:rFonts w:ascii="宋体" w:hAnsi="宋体" w:eastAsia="宋体" w:cs="Times New Roman"/>
                <w:color w:val="auto"/>
              </w:rPr>
              <w:t>Mb≥1.0m，渗透系数1×10</w:t>
            </w:r>
            <w:r>
              <w:rPr>
                <w:rFonts w:ascii="宋体" w:hAnsi="宋体" w:eastAsia="宋体" w:cs="Times New Roman"/>
                <w:color w:val="auto"/>
                <w:vertAlign w:val="superscript"/>
              </w:rPr>
              <w:t>-6</w:t>
            </w:r>
            <w:r>
              <w:rPr>
                <w:rFonts w:ascii="宋体" w:hAnsi="宋体" w:eastAsia="宋体" w:cs="Times New Roman"/>
                <w:color w:val="auto"/>
              </w:rPr>
              <w:t>cm/s＜K≤1×10</w:t>
            </w:r>
            <w:r>
              <w:rPr>
                <w:rFonts w:ascii="宋体" w:hAnsi="宋体" w:eastAsia="宋体" w:cs="Times New Roman"/>
                <w:color w:val="auto"/>
                <w:vertAlign w:val="superscript"/>
              </w:rPr>
              <w:t>-4</w:t>
            </w:r>
            <w:r>
              <w:rPr>
                <w:rFonts w:ascii="宋体" w:hAnsi="宋体" w:eastAsia="宋体" w:cs="Times New Roman"/>
                <w:color w:val="auto"/>
              </w:rPr>
              <w:t>cm/s，且分布连续、稳定。</w:t>
            </w:r>
          </w:p>
        </w:tc>
      </w:tr>
      <w:tr w14:paraId="1F2D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dxa"/>
            <w:vAlign w:val="center"/>
          </w:tcPr>
          <w:p w14:paraId="5B514D05">
            <w:pPr>
              <w:spacing w:line="360" w:lineRule="exact"/>
              <w:jc w:val="center"/>
              <w:rPr>
                <w:rFonts w:ascii="宋体" w:hAnsi="宋体" w:eastAsia="宋体" w:cs="Times New Roman"/>
                <w:color w:val="auto"/>
              </w:rPr>
            </w:pPr>
            <w:r>
              <w:rPr>
                <w:rFonts w:hint="eastAsia" w:ascii="宋体" w:hAnsi="宋体" w:eastAsia="宋体" w:cs="Times New Roman"/>
                <w:color w:val="auto"/>
              </w:rPr>
              <w:t>弱</w:t>
            </w:r>
          </w:p>
        </w:tc>
        <w:tc>
          <w:tcPr>
            <w:tcW w:w="8566" w:type="dxa"/>
            <w:vAlign w:val="center"/>
          </w:tcPr>
          <w:p w14:paraId="590490A2">
            <w:pPr>
              <w:spacing w:line="360" w:lineRule="exact"/>
              <w:jc w:val="center"/>
              <w:rPr>
                <w:rFonts w:ascii="宋体" w:hAnsi="宋体" w:eastAsia="宋体" w:cs="Times New Roman"/>
                <w:color w:val="auto"/>
              </w:rPr>
            </w:pPr>
            <w:r>
              <w:rPr>
                <w:rFonts w:hint="eastAsia" w:ascii="宋体" w:hAnsi="宋体" w:eastAsia="宋体" w:cs="Times New Roman"/>
                <w:color w:val="auto"/>
              </w:rPr>
              <w:t>岩（土）层不满足上述“强”和“中”条件。</w:t>
            </w:r>
          </w:p>
        </w:tc>
      </w:tr>
    </w:tbl>
    <w:p w14:paraId="300F0808">
      <w:pPr>
        <w:pStyle w:val="276"/>
        <w:widowControl w:val="0"/>
        <w:ind w:firstLine="480"/>
        <w:jc w:val="both"/>
        <w:rPr>
          <w:color w:val="auto"/>
        </w:rPr>
      </w:pPr>
      <w:r>
        <w:rPr>
          <w:rFonts w:hint="eastAsia"/>
          <w:color w:val="auto"/>
        </w:rPr>
        <w:t>本区域包气带厚度5.5</w:t>
      </w:r>
      <w:r>
        <w:rPr>
          <w:color w:val="auto"/>
        </w:rPr>
        <w:t>m（</w:t>
      </w:r>
      <w:r>
        <w:rPr>
          <w:rFonts w:hint="eastAsia"/>
          <w:color w:val="auto"/>
        </w:rPr>
        <w:t>大于</w:t>
      </w:r>
      <w:r>
        <w:rPr>
          <w:color w:val="auto"/>
        </w:rPr>
        <w:t>1.0m），根据地质资料，项目包气带岩性主要为粘土、</w:t>
      </w:r>
      <w:r>
        <w:rPr>
          <w:rFonts w:hint="eastAsia"/>
          <w:color w:val="auto"/>
        </w:rPr>
        <w:t>细砂，参照水文地质参数表，项目区域包气带防污性能为中。</w:t>
      </w:r>
    </w:p>
    <w:p w14:paraId="4BB3DFD7">
      <w:pPr>
        <w:pStyle w:val="6"/>
        <w:rPr>
          <w:color w:val="auto"/>
        </w:rPr>
      </w:pPr>
      <w:bookmarkStart w:id="1037" w:name="_Toc77667338"/>
      <w:bookmarkStart w:id="1038" w:name="_Toc126863421"/>
      <w:bookmarkStart w:id="1039" w:name="_Toc69690854"/>
      <w:bookmarkStart w:id="1040" w:name="_Toc127192370"/>
      <w:bookmarkStart w:id="1041" w:name="_Toc71371988"/>
      <w:bookmarkStart w:id="1042" w:name="_Toc74812126"/>
      <w:bookmarkStart w:id="1043" w:name="_Toc143099608"/>
      <w:bookmarkStart w:id="1044" w:name="_Toc67523636"/>
      <w:bookmarkStart w:id="1045" w:name="_Toc131167321"/>
      <w:bookmarkStart w:id="1046" w:name="_Toc74812365"/>
      <w:r>
        <w:rPr>
          <w:color w:val="auto"/>
        </w:rPr>
        <w:t>土壤情况</w:t>
      </w:r>
      <w:bookmarkEnd w:id="1037"/>
      <w:bookmarkEnd w:id="1038"/>
      <w:bookmarkEnd w:id="1039"/>
      <w:bookmarkEnd w:id="1040"/>
      <w:bookmarkEnd w:id="1041"/>
      <w:bookmarkEnd w:id="1042"/>
      <w:bookmarkEnd w:id="1043"/>
      <w:bookmarkEnd w:id="1044"/>
      <w:bookmarkEnd w:id="1045"/>
      <w:bookmarkEnd w:id="1046"/>
    </w:p>
    <w:p w14:paraId="4E9F1924">
      <w:pPr>
        <w:pStyle w:val="276"/>
        <w:widowControl w:val="0"/>
        <w:ind w:firstLine="480"/>
        <w:jc w:val="both"/>
        <w:rPr>
          <w:color w:val="auto"/>
        </w:rPr>
      </w:pPr>
      <w:r>
        <w:rPr>
          <w:color w:val="auto"/>
        </w:rPr>
        <w:t>评价区属嫩江的冲积地带，区内土壤早期为洪积、冲、风积而成。是第四全新统疏松沉积物所覆盖，质地粘重，地形平坦，祗稍现坡状起伏。此地土壤受气候、地形、地质、水文地质、生物等影响，逐步形成现在土壤类型。根据调查本项目评价范围内土壤类型主要为</w:t>
      </w:r>
      <w:r>
        <w:rPr>
          <w:rFonts w:hint="eastAsia"/>
          <w:color w:val="auto"/>
        </w:rPr>
        <w:t>草甸土</w:t>
      </w:r>
      <w:r>
        <w:rPr>
          <w:color w:val="auto"/>
        </w:rPr>
        <w:t>，本项目区域土壤类型分布图见附图1</w:t>
      </w:r>
      <w:r>
        <w:rPr>
          <w:rFonts w:hint="eastAsia"/>
          <w:color w:val="auto"/>
        </w:rPr>
        <w:t>0</w:t>
      </w:r>
      <w:r>
        <w:rPr>
          <w:color w:val="auto"/>
        </w:rPr>
        <w:t>。</w:t>
      </w:r>
    </w:p>
    <w:p w14:paraId="48945258">
      <w:pPr>
        <w:pStyle w:val="276"/>
        <w:widowControl w:val="0"/>
        <w:ind w:firstLine="480"/>
        <w:jc w:val="both"/>
        <w:rPr>
          <w:color w:val="auto"/>
        </w:rPr>
      </w:pPr>
      <w:r>
        <w:rPr>
          <w:rFonts w:hint="eastAsia"/>
          <w:color w:val="auto"/>
        </w:rPr>
        <w:t>草甸土主要是在草甸植被下变化而成。因为分布地形较低，地下水较高和气候因素，多数附加有盐化过程，部分附加有潜育化过程。草甸子肥力较高，一般黑土层20～40cm，有机质含量在3～4%，全氮在0.1～0.2%，全磷在0.09～0.12%。土浆粘重，冷浆，耕性不好，通透性差，该类土壤适宜发展水稻、向日葵、甜菜等作物。</w:t>
      </w:r>
    </w:p>
    <w:p w14:paraId="7D27D2C1">
      <w:pPr>
        <w:pStyle w:val="6"/>
        <w:rPr>
          <w:color w:val="auto"/>
        </w:rPr>
      </w:pPr>
      <w:bookmarkStart w:id="1047" w:name="_Toc143099609"/>
      <w:bookmarkStart w:id="1048" w:name="_Toc69690855"/>
      <w:bookmarkStart w:id="1049" w:name="_Toc74812366"/>
      <w:bookmarkStart w:id="1050" w:name="_Toc127192371"/>
      <w:bookmarkStart w:id="1051" w:name="_Toc131167322"/>
      <w:bookmarkStart w:id="1052" w:name="_Toc77667339"/>
      <w:bookmarkStart w:id="1053" w:name="_Toc67523637"/>
      <w:bookmarkStart w:id="1054" w:name="_Toc126863422"/>
      <w:bookmarkStart w:id="1055" w:name="_Toc71371989"/>
      <w:bookmarkStart w:id="1056" w:name="_Toc74812127"/>
      <w:r>
        <w:rPr>
          <w:color w:val="auto"/>
        </w:rPr>
        <w:t>植被情况</w:t>
      </w:r>
      <w:bookmarkEnd w:id="1047"/>
      <w:bookmarkEnd w:id="1048"/>
      <w:bookmarkEnd w:id="1049"/>
      <w:bookmarkEnd w:id="1050"/>
      <w:bookmarkEnd w:id="1051"/>
      <w:bookmarkEnd w:id="1052"/>
      <w:bookmarkEnd w:id="1053"/>
      <w:bookmarkEnd w:id="1054"/>
      <w:bookmarkEnd w:id="1055"/>
      <w:bookmarkEnd w:id="1056"/>
    </w:p>
    <w:p w14:paraId="7BCD3FAE">
      <w:pPr>
        <w:pStyle w:val="276"/>
        <w:widowControl w:val="0"/>
        <w:ind w:firstLine="480"/>
        <w:jc w:val="both"/>
        <w:rPr>
          <w:color w:val="auto"/>
        </w:rPr>
      </w:pPr>
      <w:r>
        <w:rPr>
          <w:color w:val="auto"/>
        </w:rPr>
        <w:t>地区内原始植被主要为草甸草原类植物，以中旱生的多年生草本植物为建群种，主要为羊草、针茅、洽草、隐子草和杂类草类型。植被群落着生在沙质漫岗上，其土壤干燥，完全依赖大气降水。在地势低洼地带，以星星草、芦苇和杂草等中旱生植物为主。由于气候的变化和人类活动的影响，地区内森林植物退却，原生林木很少，林木主要以农田防护林、护村林和护路林等为主，品种以速生林杨树为主。农田植被以旱田植被为主，粮食作物包括玉米、大豆、高粱、谷子、小麦等，经济作物有向日葵、蓖麻子、油菜子、花生等。</w:t>
      </w:r>
    </w:p>
    <w:p w14:paraId="0C10E2EF">
      <w:pPr>
        <w:pStyle w:val="6"/>
        <w:rPr>
          <w:color w:val="auto"/>
        </w:rPr>
      </w:pPr>
      <w:bookmarkStart w:id="1057" w:name="_Toc71371990"/>
      <w:bookmarkStart w:id="1058" w:name="_Toc127192372"/>
      <w:bookmarkStart w:id="1059" w:name="_Toc131167323"/>
      <w:bookmarkStart w:id="1060" w:name="_Toc77667340"/>
      <w:bookmarkStart w:id="1061" w:name="_Toc126863423"/>
      <w:bookmarkStart w:id="1062" w:name="_Toc143099610"/>
      <w:bookmarkStart w:id="1063" w:name="_Toc69690856"/>
      <w:bookmarkStart w:id="1064" w:name="_Toc67523638"/>
      <w:bookmarkStart w:id="1065" w:name="_Toc74812128"/>
      <w:bookmarkStart w:id="1066" w:name="_Toc74812367"/>
      <w:r>
        <w:rPr>
          <w:color w:val="auto"/>
        </w:rPr>
        <w:t>动植分布</w:t>
      </w:r>
      <w:bookmarkEnd w:id="1057"/>
      <w:bookmarkEnd w:id="1058"/>
      <w:bookmarkEnd w:id="1059"/>
      <w:bookmarkEnd w:id="1060"/>
      <w:bookmarkEnd w:id="1061"/>
      <w:bookmarkEnd w:id="1062"/>
      <w:bookmarkEnd w:id="1063"/>
      <w:bookmarkEnd w:id="1064"/>
      <w:bookmarkEnd w:id="1065"/>
      <w:bookmarkEnd w:id="1066"/>
    </w:p>
    <w:p w14:paraId="7EDEB3E0">
      <w:pPr>
        <w:pStyle w:val="276"/>
        <w:widowControl w:val="0"/>
        <w:ind w:firstLine="480"/>
        <w:jc w:val="both"/>
        <w:rPr>
          <w:color w:val="auto"/>
        </w:rPr>
      </w:pPr>
      <w:r>
        <w:rPr>
          <w:color w:val="auto"/>
        </w:rPr>
        <w:t>区域内野生动物种类和数量均较少，伴随人类生存的耕地小型鼠类、麻雀、家燕等种群数量较多，使陆生动物区系具有典型的耕地动物群色彩。</w:t>
      </w:r>
    </w:p>
    <w:p w14:paraId="40A79C66">
      <w:pPr>
        <w:pStyle w:val="5"/>
        <w:rPr>
          <w:bCs w:val="0"/>
          <w:color w:val="auto"/>
        </w:rPr>
      </w:pPr>
      <w:bookmarkStart w:id="1067" w:name="_Toc212033027"/>
      <w:bookmarkStart w:id="1068" w:name="_Toc16816"/>
      <w:bookmarkStart w:id="1069" w:name="_Toc41655196"/>
      <w:bookmarkStart w:id="1070" w:name="_Toc15781"/>
      <w:r>
        <w:rPr>
          <w:bCs w:val="0"/>
          <w:color w:val="auto"/>
        </w:rPr>
        <w:t>环境保护目标调查</w:t>
      </w:r>
      <w:bookmarkEnd w:id="1067"/>
      <w:bookmarkEnd w:id="1068"/>
      <w:bookmarkEnd w:id="1069"/>
    </w:p>
    <w:p w14:paraId="7927D0FD">
      <w:pPr>
        <w:pStyle w:val="276"/>
        <w:widowControl w:val="0"/>
        <w:ind w:firstLine="480"/>
        <w:jc w:val="both"/>
        <w:rPr>
          <w:color w:val="auto"/>
          <w:kern w:val="2"/>
        </w:rPr>
      </w:pPr>
      <w:r>
        <w:rPr>
          <w:color w:val="auto"/>
          <w:kern w:val="2"/>
        </w:rPr>
        <w:t>本项目区域范围内不涉及国家公园、自然保护区、风景名胜区、世界文化和自然遗产地、海洋特别保护区、饮用水水源保护区，不涉及基本草原、自然公园（森林公园、地质公园、海洋公园等）、重要湿地、天然林、重点保护野生动物栖息地、重点保护</w:t>
      </w:r>
      <w:r>
        <w:rPr>
          <w:color w:val="auto"/>
        </w:rPr>
        <w:t>野生</w:t>
      </w:r>
      <w:r>
        <w:rPr>
          <w:color w:val="auto"/>
          <w:kern w:val="2"/>
        </w:rPr>
        <w:t>植物生长繁殖地、重要水生生物的自然产卵场、索饵场、越冬场和洄游通道、天然渔场、沙化土地封禁保护区、封闭及半封闭海域，不涉及以医疗卫生、文化教育、科研、行政办公为主要功能的区域，以及文物保护单位等环境敏感区，也不在生态保护红线范围内。项目占地类型为耕地（基本农田和一般耕地）和草地，评价范围内不涉及地下水水源井。项目</w:t>
      </w:r>
      <w:r>
        <w:rPr>
          <w:rFonts w:hint="eastAsia"/>
          <w:color w:val="auto"/>
          <w:kern w:val="2"/>
        </w:rPr>
        <w:t>主要</w:t>
      </w:r>
      <w:r>
        <w:rPr>
          <w:color w:val="auto"/>
          <w:kern w:val="2"/>
        </w:rPr>
        <w:t>涉及</w:t>
      </w:r>
      <w:r>
        <w:rPr>
          <w:rFonts w:hint="eastAsia"/>
          <w:color w:val="auto"/>
          <w:kern w:val="2"/>
        </w:rPr>
        <w:t>永久基本农田、一般湿地、肇源莲花湖国家湿地公园、</w:t>
      </w:r>
      <w:r>
        <w:rPr>
          <w:color w:val="auto"/>
          <w:kern w:val="2"/>
        </w:rPr>
        <w:t>以</w:t>
      </w:r>
      <w:r>
        <w:rPr>
          <w:rFonts w:hint="eastAsia"/>
          <w:color w:val="auto"/>
          <w:kern w:val="2"/>
        </w:rPr>
        <w:t>及</w:t>
      </w:r>
      <w:r>
        <w:rPr>
          <w:color w:val="auto"/>
          <w:kern w:val="2"/>
        </w:rPr>
        <w:t>居住</w:t>
      </w:r>
      <w:r>
        <w:rPr>
          <w:rFonts w:hint="eastAsia"/>
          <w:color w:val="auto"/>
          <w:kern w:val="2"/>
        </w:rPr>
        <w:t>区等</w:t>
      </w:r>
      <w:r>
        <w:rPr>
          <w:color w:val="auto"/>
          <w:kern w:val="2"/>
        </w:rPr>
        <w:t>。</w:t>
      </w:r>
    </w:p>
    <w:p w14:paraId="0789753F">
      <w:pPr>
        <w:pStyle w:val="276"/>
        <w:widowControl w:val="0"/>
        <w:ind w:firstLine="480"/>
        <w:jc w:val="both"/>
        <w:rPr>
          <w:color w:val="auto"/>
          <w:kern w:val="2"/>
        </w:rPr>
      </w:pPr>
      <w:r>
        <w:rPr>
          <w:color w:val="auto"/>
          <w:kern w:val="2"/>
        </w:rPr>
        <w:t>（1）永久基本农田</w:t>
      </w:r>
    </w:p>
    <w:p w14:paraId="3F63A4C3">
      <w:pPr>
        <w:pStyle w:val="276"/>
        <w:widowControl w:val="0"/>
        <w:ind w:firstLine="480"/>
        <w:jc w:val="both"/>
        <w:rPr>
          <w:color w:val="auto"/>
          <w:kern w:val="2"/>
        </w:rPr>
      </w:pPr>
      <w:r>
        <w:rPr>
          <w:color w:val="auto"/>
          <w:kern w:val="2"/>
        </w:rPr>
        <w:t>根据《基本农田保护条例》，国家能源、交通、水利、军事设施等重点建设项目选址确实无法避开永久基本农田保护区，需要占用永久基本农田，涉及农用地转用或者征收土地的，应报请相关主管部门同意，并补充划入数量和质量相当的永久基本农田或按规定缴纳耕地开垦费，专款用于开垦新的耕地。油田开发工程占地完全避开永久基本农田的可能性较低，在不可避免的条件下需占用永久基本农田时，施工完毕后1年内，临时占地全部恢复原有植被类型，即占用农田全部恢复为耕地。临时占地恢复也可在征地过程中给予农民一定的费用补偿，由农民自行进行土地恢复。本项目永久占用基本农田面积共</w:t>
      </w:r>
      <w:r>
        <w:rPr>
          <w:rFonts w:hint="eastAsia"/>
          <w:color w:val="auto"/>
          <w:kern w:val="2"/>
        </w:rPr>
        <w:t>1.463</w:t>
      </w:r>
      <w:r>
        <w:rPr>
          <w:color w:val="auto"/>
          <w:kern w:val="2"/>
        </w:rPr>
        <w:t>hm</w:t>
      </w:r>
      <w:r>
        <w:rPr>
          <w:color w:val="auto"/>
          <w:kern w:val="2"/>
          <w:vertAlign w:val="superscript"/>
        </w:rPr>
        <w:t>2</w:t>
      </w:r>
      <w:r>
        <w:rPr>
          <w:color w:val="auto"/>
          <w:kern w:val="2"/>
        </w:rPr>
        <w:t>，补偿可按永久基本农田标准给予农民。对于占用的永久基本农田应按照《中华人民共和国土地管理法》中“占多少、垦多少”的原则，补充数量和质量相当的永久基本农田。</w:t>
      </w:r>
    </w:p>
    <w:p w14:paraId="6CB4B37D">
      <w:pPr>
        <w:pStyle w:val="276"/>
        <w:widowControl w:val="0"/>
        <w:ind w:firstLine="480"/>
        <w:jc w:val="both"/>
        <w:rPr>
          <w:color w:val="auto"/>
          <w:kern w:val="2"/>
        </w:rPr>
      </w:pPr>
      <w:r>
        <w:rPr>
          <w:color w:val="auto"/>
          <w:kern w:val="2"/>
        </w:rPr>
        <w:t>本项目所在区域属于</w:t>
      </w:r>
      <w:r>
        <w:rPr>
          <w:rFonts w:hint="eastAsia"/>
          <w:color w:val="auto"/>
          <w:kern w:val="2"/>
        </w:rPr>
        <w:t>肇源县</w:t>
      </w:r>
      <w:r>
        <w:rPr>
          <w:color w:val="auto"/>
          <w:kern w:val="2"/>
        </w:rPr>
        <w:t>基本农田保护区，</w:t>
      </w:r>
      <w:r>
        <w:rPr>
          <w:rFonts w:hint="eastAsia"/>
          <w:color w:val="auto"/>
          <w:kern w:val="2"/>
        </w:rPr>
        <w:t>本项目</w:t>
      </w:r>
      <w:r>
        <w:rPr>
          <w:color w:val="auto"/>
          <w:kern w:val="2"/>
        </w:rPr>
        <w:t>临时占用永久基本农田</w:t>
      </w:r>
      <w:r>
        <w:rPr>
          <w:rFonts w:hint="eastAsia"/>
          <w:color w:val="auto"/>
          <w:kern w:val="2"/>
        </w:rPr>
        <w:t>2.7</w:t>
      </w:r>
      <w:r>
        <w:rPr>
          <w:color w:val="auto"/>
          <w:kern w:val="2"/>
        </w:rPr>
        <w:t>hm</w:t>
      </w:r>
      <w:r>
        <w:rPr>
          <w:color w:val="auto"/>
          <w:kern w:val="2"/>
          <w:vertAlign w:val="superscript"/>
        </w:rPr>
        <w:t>2</w:t>
      </w:r>
      <w:r>
        <w:rPr>
          <w:color w:val="auto"/>
          <w:kern w:val="2"/>
        </w:rPr>
        <w:t>，对农业生产的直接影响主要体现为占用耕地而造成粮食减产，对于临时占地造成的农作物减产，除应对其进行经济补偿外，工程开工前，编制表土剥离施工方案，先剥离占地范围内表层土，井场范围表层土堆置于井场内设置的表土剥离临时堆放区，并对堆放区做好水保措施，待施工结束后，回填占地范围，并采用表土复耕，增肥作业，恢复临时占用耕地的生产力，本项目的建设对当地土地利用格局影响在可接受范围内。</w:t>
      </w:r>
    </w:p>
    <w:p w14:paraId="6B56BCC4">
      <w:pPr>
        <w:pStyle w:val="276"/>
        <w:widowControl w:val="0"/>
        <w:ind w:firstLine="480"/>
        <w:jc w:val="both"/>
        <w:rPr>
          <w:color w:val="auto"/>
          <w:kern w:val="2"/>
        </w:rPr>
      </w:pPr>
      <w:r>
        <w:rPr>
          <w:color w:val="auto"/>
          <w:kern w:val="2"/>
        </w:rPr>
        <w:t>通过调查可知，本项目区域内探井井场地面均进行了平整，钻井结束后及时的进行了地貌恢复等生态恢复，临时占用耕地已恢复耕作，通过</w:t>
      </w:r>
      <w:r>
        <w:rPr>
          <w:color w:val="auto"/>
        </w:rPr>
        <w:t>一系列</w:t>
      </w:r>
      <w:r>
        <w:rPr>
          <w:color w:val="auto"/>
          <w:kern w:val="2"/>
        </w:rPr>
        <w:t>生态保护措施后，油田的开发对区域农田生态系统没有造成明显影响。随着开发力度增加，油田累积占地面积逐渐增大，但随着临时占地逐渐进行植被恢复后，临时占地面积逐渐消失，目前农田内井场临时占地均进行了复耕，并不再占用。</w:t>
      </w:r>
    </w:p>
    <w:p w14:paraId="79949CDE">
      <w:pPr>
        <w:pStyle w:val="276"/>
        <w:widowControl w:val="0"/>
        <w:ind w:firstLine="480"/>
        <w:jc w:val="both"/>
        <w:rPr>
          <w:color w:val="auto"/>
          <w:kern w:val="2"/>
        </w:rPr>
      </w:pPr>
      <w:r>
        <w:rPr>
          <w:color w:val="auto"/>
          <w:kern w:val="2"/>
        </w:rPr>
        <w:t>（2）</w:t>
      </w:r>
      <w:r>
        <w:rPr>
          <w:rFonts w:hint="eastAsia"/>
          <w:color w:val="auto"/>
          <w:kern w:val="2"/>
        </w:rPr>
        <w:t>水土流失重点治理区与</w:t>
      </w:r>
      <w:r>
        <w:rPr>
          <w:color w:val="auto"/>
          <w:kern w:val="2"/>
        </w:rPr>
        <w:t>水土流失重点</w:t>
      </w:r>
      <w:r>
        <w:rPr>
          <w:rFonts w:hint="eastAsia"/>
          <w:color w:val="auto"/>
          <w:kern w:val="2"/>
        </w:rPr>
        <w:t>预防</w:t>
      </w:r>
      <w:r>
        <w:rPr>
          <w:color w:val="auto"/>
          <w:kern w:val="2"/>
        </w:rPr>
        <w:t>区</w:t>
      </w:r>
    </w:p>
    <w:p w14:paraId="5552DF9E">
      <w:pPr>
        <w:pStyle w:val="276"/>
        <w:widowControl w:val="0"/>
        <w:ind w:firstLine="480"/>
        <w:jc w:val="both"/>
        <w:rPr>
          <w:color w:val="auto"/>
        </w:rPr>
      </w:pPr>
      <w:r>
        <w:rPr>
          <w:rFonts w:hint="eastAsia"/>
          <w:color w:val="auto"/>
        </w:rPr>
        <w:t>根据《大庆市水土保持规划》（2015～2030年），大庆市划定了市级水土流失重点预防区和重点治理区，本项目占地位于大庆市肇源县和平乡和肇源镇，属于水土流失重点预防区与水土流失重点治理区。</w:t>
      </w:r>
    </w:p>
    <w:p w14:paraId="67598AAF">
      <w:pPr>
        <w:pStyle w:val="276"/>
        <w:widowControl w:val="0"/>
        <w:ind w:firstLine="480"/>
        <w:jc w:val="both"/>
        <w:rPr>
          <w:color w:val="auto"/>
        </w:rPr>
      </w:pPr>
      <w:r>
        <w:rPr>
          <w:rFonts w:hint="eastAsia"/>
          <w:color w:val="auto"/>
        </w:rPr>
        <w:t>（3）</w:t>
      </w:r>
      <w:r>
        <w:rPr>
          <w:color w:val="auto"/>
        </w:rPr>
        <w:t>一般湿地</w:t>
      </w:r>
    </w:p>
    <w:p w14:paraId="712A570E">
      <w:pPr>
        <w:pStyle w:val="276"/>
        <w:widowControl w:val="0"/>
        <w:ind w:firstLine="480"/>
        <w:jc w:val="both"/>
        <w:rPr>
          <w:color w:val="auto"/>
        </w:rPr>
      </w:pPr>
      <w:r>
        <w:rPr>
          <w:color w:val="auto"/>
        </w:rPr>
        <w:t>根据《黑龙江省湿地名录》（2022年版），本项目土壤影响范围内分布</w:t>
      </w:r>
      <w:r>
        <w:rPr>
          <w:rFonts w:hint="eastAsia"/>
          <w:color w:val="auto"/>
        </w:rPr>
        <w:t>8</w:t>
      </w:r>
      <w:r>
        <w:rPr>
          <w:color w:val="auto"/>
        </w:rPr>
        <w:t>处湿地，保护级别均为一般湿地，</w:t>
      </w:r>
      <w:r>
        <w:rPr>
          <w:rFonts w:hint="eastAsia"/>
          <w:color w:val="auto"/>
        </w:rPr>
        <w:t>湿地类型均为沼泽地。</w:t>
      </w:r>
      <w:r>
        <w:rPr>
          <w:color w:val="auto"/>
        </w:rPr>
        <w:t>分别为</w:t>
      </w:r>
      <w:r>
        <w:rPr>
          <w:rFonts w:hint="eastAsia"/>
          <w:color w:val="auto"/>
        </w:rPr>
        <w:t>①</w:t>
      </w:r>
      <w:r>
        <w:rPr>
          <w:snapToGrid w:val="0"/>
          <w:color w:val="auto"/>
        </w:rPr>
        <w:t>湿地图斑标识码230622211000087145，斑块面积9.8839hm</w:t>
      </w:r>
      <w:r>
        <w:rPr>
          <w:snapToGrid w:val="0"/>
          <w:color w:val="auto"/>
          <w:vertAlign w:val="superscript"/>
        </w:rPr>
        <w:t>2</w:t>
      </w:r>
      <w:r>
        <w:rPr>
          <w:snapToGrid w:val="0"/>
          <w:color w:val="auto"/>
        </w:rPr>
        <w:t>，</w:t>
      </w:r>
      <w:r>
        <w:rPr>
          <w:rFonts w:hint="eastAsia"/>
          <w:snapToGrid w:val="0"/>
          <w:color w:val="auto"/>
        </w:rPr>
        <w:t>权属肇源镇政府，</w:t>
      </w:r>
      <w:r>
        <w:rPr>
          <w:snapToGrid w:val="0"/>
          <w:color w:val="auto"/>
        </w:rPr>
        <w:t>位于本项目源1011井场</w:t>
      </w:r>
      <w:r>
        <w:rPr>
          <w:rFonts w:hint="eastAsia"/>
          <w:snapToGrid w:val="0"/>
          <w:color w:val="auto"/>
        </w:rPr>
        <w:t>东</w:t>
      </w:r>
      <w:r>
        <w:rPr>
          <w:snapToGrid w:val="0"/>
          <w:color w:val="auto"/>
        </w:rPr>
        <w:t>北</w:t>
      </w:r>
      <w:r>
        <w:rPr>
          <w:rFonts w:hint="eastAsia"/>
          <w:snapToGrid w:val="0"/>
          <w:color w:val="auto"/>
        </w:rPr>
        <w:t>93</w:t>
      </w:r>
      <w:r>
        <w:rPr>
          <w:snapToGrid w:val="0"/>
          <w:color w:val="auto"/>
        </w:rPr>
        <w:t>0m；</w:t>
      </w:r>
      <w:r>
        <w:rPr>
          <w:rFonts w:hint="eastAsia"/>
          <w:snapToGrid w:val="0"/>
          <w:color w:val="auto"/>
        </w:rPr>
        <w:t>②</w:t>
      </w:r>
      <w:r>
        <w:rPr>
          <w:snapToGrid w:val="0"/>
          <w:color w:val="auto"/>
        </w:rPr>
        <w:t>湿地图斑标识码230622211000087564，斑块面积3.9547hm</w:t>
      </w:r>
      <w:r>
        <w:rPr>
          <w:snapToGrid w:val="0"/>
          <w:color w:val="auto"/>
          <w:vertAlign w:val="superscript"/>
        </w:rPr>
        <w:t>2</w:t>
      </w:r>
      <w:r>
        <w:rPr>
          <w:snapToGrid w:val="0"/>
          <w:color w:val="auto"/>
        </w:rPr>
        <w:t>，</w:t>
      </w:r>
      <w:r>
        <w:rPr>
          <w:rFonts w:hint="eastAsia"/>
          <w:snapToGrid w:val="0"/>
          <w:color w:val="auto"/>
        </w:rPr>
        <w:t>权属友谊村，</w:t>
      </w:r>
      <w:r>
        <w:rPr>
          <w:snapToGrid w:val="0"/>
          <w:color w:val="auto"/>
        </w:rPr>
        <w:t>位于本项目源1011井场</w:t>
      </w:r>
      <w:r>
        <w:rPr>
          <w:rFonts w:hint="eastAsia"/>
          <w:snapToGrid w:val="0"/>
          <w:color w:val="auto"/>
        </w:rPr>
        <w:t>西</w:t>
      </w:r>
      <w:r>
        <w:rPr>
          <w:snapToGrid w:val="0"/>
          <w:color w:val="auto"/>
        </w:rPr>
        <w:t>北</w:t>
      </w:r>
      <w:r>
        <w:rPr>
          <w:rFonts w:hint="eastAsia"/>
          <w:snapToGrid w:val="0"/>
          <w:color w:val="auto"/>
        </w:rPr>
        <w:t>35</w:t>
      </w:r>
      <w:r>
        <w:rPr>
          <w:snapToGrid w:val="0"/>
          <w:color w:val="auto"/>
        </w:rPr>
        <w:t>0m；</w:t>
      </w:r>
      <w:r>
        <w:rPr>
          <w:rFonts w:hint="eastAsia"/>
          <w:snapToGrid w:val="0"/>
          <w:color w:val="auto"/>
        </w:rPr>
        <w:t>③</w:t>
      </w:r>
      <w:r>
        <w:rPr>
          <w:snapToGrid w:val="0"/>
          <w:color w:val="auto"/>
        </w:rPr>
        <w:t>湿地图斑标识码'230622211000094779，斑块面积1.1253hm</w:t>
      </w:r>
      <w:r>
        <w:rPr>
          <w:snapToGrid w:val="0"/>
          <w:color w:val="auto"/>
          <w:vertAlign w:val="superscript"/>
        </w:rPr>
        <w:t>2</w:t>
      </w:r>
      <w:r>
        <w:rPr>
          <w:snapToGrid w:val="0"/>
          <w:color w:val="auto"/>
        </w:rPr>
        <w:t>，</w:t>
      </w:r>
      <w:r>
        <w:rPr>
          <w:rFonts w:hint="eastAsia"/>
          <w:snapToGrid w:val="0"/>
          <w:color w:val="auto"/>
        </w:rPr>
        <w:t>权属和平村</w:t>
      </w:r>
      <w:r>
        <w:rPr>
          <w:snapToGrid w:val="0"/>
          <w:color w:val="auto"/>
        </w:rPr>
        <w:t>，位于本项目源斜2401</w:t>
      </w:r>
      <w:r>
        <w:rPr>
          <w:rFonts w:hint="eastAsia"/>
          <w:snapToGrid w:val="0"/>
          <w:color w:val="auto"/>
        </w:rPr>
        <w:t>西北50</w:t>
      </w:r>
      <w:r>
        <w:rPr>
          <w:snapToGrid w:val="0"/>
          <w:color w:val="auto"/>
        </w:rPr>
        <w:t>0m</w:t>
      </w:r>
      <w:r>
        <w:rPr>
          <w:rFonts w:hint="eastAsia"/>
          <w:color w:val="auto"/>
        </w:rPr>
        <w:t>；</w:t>
      </w:r>
      <w:r>
        <w:rPr>
          <w:rFonts w:hint="eastAsia"/>
          <w:snapToGrid w:val="0"/>
          <w:color w:val="auto"/>
        </w:rPr>
        <w:t>④</w:t>
      </w:r>
      <w:r>
        <w:rPr>
          <w:snapToGrid w:val="0"/>
          <w:color w:val="auto"/>
        </w:rPr>
        <w:t>湿地图斑标识码230622211000094780，斑块面积1.8572hm</w:t>
      </w:r>
      <w:r>
        <w:rPr>
          <w:snapToGrid w:val="0"/>
          <w:color w:val="auto"/>
          <w:vertAlign w:val="superscript"/>
        </w:rPr>
        <w:t>2</w:t>
      </w:r>
      <w:r>
        <w:rPr>
          <w:snapToGrid w:val="0"/>
          <w:color w:val="auto"/>
        </w:rPr>
        <w:t>，</w:t>
      </w:r>
      <w:r>
        <w:rPr>
          <w:rFonts w:hint="eastAsia"/>
          <w:snapToGrid w:val="0"/>
          <w:color w:val="auto"/>
        </w:rPr>
        <w:t>权属</w:t>
      </w:r>
      <w:r>
        <w:rPr>
          <w:snapToGrid w:val="0"/>
          <w:color w:val="auto"/>
        </w:rPr>
        <w:t>和平村</w:t>
      </w:r>
      <w:r>
        <w:rPr>
          <w:rFonts w:hint="eastAsia"/>
          <w:snapToGrid w:val="0"/>
          <w:color w:val="auto"/>
        </w:rPr>
        <w:t>，</w:t>
      </w:r>
      <w:r>
        <w:rPr>
          <w:snapToGrid w:val="0"/>
          <w:color w:val="auto"/>
        </w:rPr>
        <w:t>位于本项目源斜2401</w:t>
      </w:r>
      <w:r>
        <w:rPr>
          <w:rFonts w:hint="eastAsia"/>
          <w:snapToGrid w:val="0"/>
          <w:color w:val="auto"/>
        </w:rPr>
        <w:t>西北23</w:t>
      </w:r>
      <w:r>
        <w:rPr>
          <w:snapToGrid w:val="0"/>
          <w:color w:val="auto"/>
        </w:rPr>
        <w:t>0m；</w:t>
      </w:r>
      <w:r>
        <w:rPr>
          <w:rFonts w:hint="eastAsia"/>
          <w:snapToGrid w:val="0"/>
          <w:color w:val="auto"/>
        </w:rPr>
        <w:t>⑤</w:t>
      </w:r>
      <w:r>
        <w:rPr>
          <w:snapToGrid w:val="0"/>
          <w:color w:val="auto"/>
        </w:rPr>
        <w:t>湿地图斑标识码230622211000095057，斑块面积0.7632hm</w:t>
      </w:r>
      <w:r>
        <w:rPr>
          <w:snapToGrid w:val="0"/>
          <w:color w:val="auto"/>
          <w:vertAlign w:val="superscript"/>
        </w:rPr>
        <w:t>2</w:t>
      </w:r>
      <w:r>
        <w:rPr>
          <w:snapToGrid w:val="0"/>
          <w:color w:val="auto"/>
        </w:rPr>
        <w:t>，</w:t>
      </w:r>
      <w:r>
        <w:rPr>
          <w:rFonts w:hint="eastAsia"/>
          <w:snapToGrid w:val="0"/>
          <w:color w:val="auto"/>
        </w:rPr>
        <w:t>权属</w:t>
      </w:r>
      <w:r>
        <w:rPr>
          <w:snapToGrid w:val="0"/>
          <w:color w:val="auto"/>
        </w:rPr>
        <w:t>和平村</w:t>
      </w:r>
      <w:r>
        <w:rPr>
          <w:rFonts w:hint="eastAsia"/>
          <w:snapToGrid w:val="0"/>
          <w:color w:val="auto"/>
        </w:rPr>
        <w:t>，</w:t>
      </w:r>
      <w:r>
        <w:rPr>
          <w:snapToGrid w:val="0"/>
          <w:color w:val="auto"/>
        </w:rPr>
        <w:t>位于本项目源斜2401</w:t>
      </w:r>
      <w:r>
        <w:rPr>
          <w:rFonts w:hint="eastAsia"/>
          <w:snapToGrid w:val="0"/>
          <w:color w:val="auto"/>
        </w:rPr>
        <w:t>西北780</w:t>
      </w:r>
      <w:r>
        <w:rPr>
          <w:snapToGrid w:val="0"/>
          <w:color w:val="auto"/>
        </w:rPr>
        <w:t>m；</w:t>
      </w:r>
      <w:r>
        <w:rPr>
          <w:rFonts w:hint="eastAsia"/>
          <w:snapToGrid w:val="0"/>
          <w:color w:val="auto"/>
        </w:rPr>
        <w:t>⑥</w:t>
      </w:r>
      <w:r>
        <w:rPr>
          <w:snapToGrid w:val="0"/>
          <w:color w:val="auto"/>
        </w:rPr>
        <w:t>湿地图斑标识码'230622211000096083，斑块面积0.5hm</w:t>
      </w:r>
      <w:r>
        <w:rPr>
          <w:snapToGrid w:val="0"/>
          <w:color w:val="auto"/>
          <w:vertAlign w:val="superscript"/>
        </w:rPr>
        <w:t>2</w:t>
      </w:r>
      <w:r>
        <w:rPr>
          <w:snapToGrid w:val="0"/>
          <w:color w:val="auto"/>
        </w:rPr>
        <w:t>，</w:t>
      </w:r>
      <w:r>
        <w:rPr>
          <w:rFonts w:hint="eastAsia"/>
          <w:snapToGrid w:val="0"/>
          <w:color w:val="auto"/>
        </w:rPr>
        <w:t>权属</w:t>
      </w:r>
      <w:r>
        <w:rPr>
          <w:snapToGrid w:val="0"/>
          <w:color w:val="auto"/>
        </w:rPr>
        <w:t>和平村，位于本项目源斜2401东</w:t>
      </w:r>
      <w:r>
        <w:rPr>
          <w:rFonts w:hint="eastAsia"/>
          <w:snapToGrid w:val="0"/>
          <w:color w:val="auto"/>
        </w:rPr>
        <w:t>北80</w:t>
      </w:r>
      <w:r>
        <w:rPr>
          <w:snapToGrid w:val="0"/>
          <w:color w:val="auto"/>
        </w:rPr>
        <w:t>0m</w:t>
      </w:r>
      <w:r>
        <w:rPr>
          <w:rFonts w:hint="eastAsia"/>
          <w:color w:val="auto"/>
        </w:rPr>
        <w:t>；</w:t>
      </w:r>
      <w:r>
        <w:rPr>
          <w:rFonts w:hint="eastAsia"/>
          <w:snapToGrid w:val="0"/>
          <w:color w:val="auto"/>
        </w:rPr>
        <w:t>⑦</w:t>
      </w:r>
      <w:r>
        <w:rPr>
          <w:snapToGrid w:val="0"/>
          <w:color w:val="auto"/>
        </w:rPr>
        <w:t>湿地图斑标识码'230622211000098103，斑块面积0.2617hm</w:t>
      </w:r>
      <w:r>
        <w:rPr>
          <w:snapToGrid w:val="0"/>
          <w:color w:val="auto"/>
          <w:vertAlign w:val="superscript"/>
        </w:rPr>
        <w:t>2</w:t>
      </w:r>
      <w:r>
        <w:rPr>
          <w:snapToGrid w:val="0"/>
          <w:color w:val="auto"/>
        </w:rPr>
        <w:t>，</w:t>
      </w:r>
      <w:r>
        <w:rPr>
          <w:rFonts w:hint="eastAsia"/>
          <w:snapToGrid w:val="0"/>
          <w:color w:val="auto"/>
        </w:rPr>
        <w:t>权属</w:t>
      </w:r>
      <w:r>
        <w:rPr>
          <w:snapToGrid w:val="0"/>
          <w:color w:val="auto"/>
        </w:rPr>
        <w:t>和平村，位于本项目源斜2401</w:t>
      </w:r>
      <w:r>
        <w:rPr>
          <w:rFonts w:hint="eastAsia"/>
          <w:snapToGrid w:val="0"/>
          <w:color w:val="auto"/>
        </w:rPr>
        <w:t>西北980</w:t>
      </w:r>
      <w:r>
        <w:rPr>
          <w:snapToGrid w:val="0"/>
          <w:color w:val="auto"/>
        </w:rPr>
        <w:t>m</w:t>
      </w:r>
      <w:r>
        <w:rPr>
          <w:rFonts w:hint="eastAsia"/>
          <w:color w:val="auto"/>
        </w:rPr>
        <w:t>；</w:t>
      </w:r>
      <w:r>
        <w:rPr>
          <w:rFonts w:hint="eastAsia"/>
          <w:snapToGrid w:val="0"/>
          <w:color w:val="auto"/>
        </w:rPr>
        <w:t>⑧</w:t>
      </w:r>
      <w:r>
        <w:rPr>
          <w:snapToGrid w:val="0"/>
          <w:color w:val="auto"/>
        </w:rPr>
        <w:t>湿地图斑标识码230622211000098110，斑块面积0.1786hm</w:t>
      </w:r>
      <w:r>
        <w:rPr>
          <w:snapToGrid w:val="0"/>
          <w:color w:val="auto"/>
          <w:vertAlign w:val="superscript"/>
        </w:rPr>
        <w:t>2</w:t>
      </w:r>
      <w:r>
        <w:rPr>
          <w:snapToGrid w:val="0"/>
          <w:color w:val="auto"/>
        </w:rPr>
        <w:t>，</w:t>
      </w:r>
      <w:r>
        <w:rPr>
          <w:rFonts w:hint="eastAsia"/>
          <w:snapToGrid w:val="0"/>
          <w:color w:val="auto"/>
        </w:rPr>
        <w:t>权属</w:t>
      </w:r>
      <w:r>
        <w:rPr>
          <w:snapToGrid w:val="0"/>
          <w:color w:val="auto"/>
        </w:rPr>
        <w:t>和平村，位于本项目源斜2401</w:t>
      </w:r>
      <w:r>
        <w:rPr>
          <w:rFonts w:hint="eastAsia"/>
          <w:snapToGrid w:val="0"/>
          <w:color w:val="auto"/>
        </w:rPr>
        <w:t>西北950</w:t>
      </w:r>
      <w:r>
        <w:rPr>
          <w:snapToGrid w:val="0"/>
          <w:color w:val="auto"/>
        </w:rPr>
        <w:t>m</w:t>
      </w:r>
      <w:r>
        <w:rPr>
          <w:color w:val="auto"/>
        </w:rPr>
        <w:t>。</w:t>
      </w:r>
    </w:p>
    <w:p w14:paraId="005A9B1E">
      <w:pPr>
        <w:pStyle w:val="276"/>
        <w:widowControl w:val="0"/>
        <w:ind w:firstLine="480"/>
        <w:jc w:val="both"/>
        <w:rPr>
          <w:color w:val="auto"/>
          <w:kern w:val="2"/>
        </w:rPr>
      </w:pPr>
      <w:r>
        <w:rPr>
          <w:color w:val="auto"/>
        </w:rPr>
        <w:t>本项目永久占地和临时占地均不涉及以上湿地。</w:t>
      </w:r>
    </w:p>
    <w:p w14:paraId="2EFD7816">
      <w:pPr>
        <w:pStyle w:val="276"/>
        <w:widowControl w:val="0"/>
        <w:ind w:firstLine="480"/>
        <w:jc w:val="both"/>
        <w:rPr>
          <w:color w:val="auto"/>
          <w:kern w:val="2"/>
        </w:rPr>
      </w:pPr>
      <w:r>
        <w:rPr>
          <w:color w:val="auto"/>
          <w:kern w:val="2"/>
        </w:rPr>
        <w:t>（</w:t>
      </w:r>
      <w:r>
        <w:rPr>
          <w:rFonts w:hint="eastAsia"/>
          <w:color w:val="auto"/>
          <w:kern w:val="2"/>
        </w:rPr>
        <w:t>4</w:t>
      </w:r>
      <w:r>
        <w:rPr>
          <w:color w:val="auto"/>
          <w:kern w:val="2"/>
        </w:rPr>
        <w:t>）居住区</w:t>
      </w:r>
    </w:p>
    <w:p w14:paraId="4CF4A196">
      <w:pPr>
        <w:pStyle w:val="276"/>
        <w:widowControl w:val="0"/>
        <w:ind w:firstLine="480"/>
        <w:jc w:val="both"/>
        <w:rPr>
          <w:color w:val="auto"/>
          <w:kern w:val="2"/>
        </w:rPr>
      </w:pPr>
      <w:r>
        <w:rPr>
          <w:color w:val="auto"/>
          <w:kern w:val="2"/>
        </w:rPr>
        <w:t>本项目周边2.5km范围内主要分布有</w:t>
      </w:r>
      <w:r>
        <w:rPr>
          <w:color w:val="auto"/>
        </w:rPr>
        <w:t>后欧力马屯、四方山屯、刘兽医屯、王家粉坊屯</w:t>
      </w:r>
      <w:r>
        <w:rPr>
          <w:color w:val="auto"/>
          <w:kern w:val="2"/>
        </w:rPr>
        <w:t>等村屯，根据</w:t>
      </w:r>
      <w:r>
        <w:rPr>
          <w:color w:val="auto"/>
        </w:rPr>
        <w:t>《大庆市人民政府关于印发大庆市声环境功能区划分、大庆市环境空气质量功能区划分、大庆市地表水环境功能区划分的通知》</w:t>
      </w:r>
      <w:r>
        <w:rPr>
          <w:color w:val="auto"/>
          <w:kern w:val="2"/>
        </w:rPr>
        <w:t>（庆政发[2019]11号），区域内环境空气质量执行《环境空气质量标准》（GB3095-2012）及其修改单中的二级标准，项目所在区域声环境执行《声环境质量标准》（GB3096-2008）中2类区标准，项目区域周边居住区声环境执行《声环境质量标准》（GB3096-2008）中1类区标准。</w:t>
      </w:r>
    </w:p>
    <w:p w14:paraId="5FE7C531">
      <w:pPr>
        <w:pStyle w:val="276"/>
        <w:widowControl w:val="0"/>
        <w:ind w:firstLine="480"/>
        <w:jc w:val="both"/>
        <w:rPr>
          <w:color w:val="auto"/>
          <w:kern w:val="2"/>
        </w:rPr>
      </w:pPr>
      <w:r>
        <w:rPr>
          <w:color w:val="auto"/>
          <w:kern w:val="2"/>
        </w:rPr>
        <w:t>（</w:t>
      </w:r>
      <w:r>
        <w:rPr>
          <w:rFonts w:hint="eastAsia"/>
          <w:color w:val="auto"/>
          <w:kern w:val="2"/>
        </w:rPr>
        <w:t>5</w:t>
      </w:r>
      <w:r>
        <w:rPr>
          <w:color w:val="auto"/>
          <w:kern w:val="2"/>
        </w:rPr>
        <w:t>）占地类型</w:t>
      </w:r>
    </w:p>
    <w:p w14:paraId="5984D080">
      <w:pPr>
        <w:pStyle w:val="276"/>
        <w:widowControl w:val="0"/>
        <w:ind w:firstLine="480"/>
        <w:jc w:val="both"/>
        <w:rPr>
          <w:color w:val="auto"/>
          <w:kern w:val="2"/>
        </w:rPr>
      </w:pPr>
      <w:r>
        <w:rPr>
          <w:color w:val="auto"/>
          <w:kern w:val="2"/>
        </w:rPr>
        <w:t>根据工程占地统计情况，本项目总占地</w:t>
      </w:r>
      <w:r>
        <w:rPr>
          <w:rFonts w:hint="eastAsia"/>
          <w:color w:val="auto"/>
          <w:kern w:val="2"/>
        </w:rPr>
        <w:t>7.714</w:t>
      </w:r>
      <w:r>
        <w:rPr>
          <w:color w:val="auto"/>
          <w:kern w:val="2"/>
        </w:rPr>
        <w:t>hm</w:t>
      </w:r>
      <w:r>
        <w:rPr>
          <w:color w:val="auto"/>
          <w:kern w:val="2"/>
          <w:vertAlign w:val="superscript"/>
        </w:rPr>
        <w:t>2</w:t>
      </w:r>
      <w:r>
        <w:rPr>
          <w:color w:val="auto"/>
          <w:kern w:val="2"/>
        </w:rPr>
        <w:t>，其中永久占地</w:t>
      </w:r>
      <w:r>
        <w:rPr>
          <w:rFonts w:hint="eastAsia"/>
          <w:color w:val="auto"/>
          <w:kern w:val="2"/>
        </w:rPr>
        <w:t>3.254</w:t>
      </w:r>
      <w:r>
        <w:rPr>
          <w:color w:val="auto"/>
          <w:kern w:val="2"/>
        </w:rPr>
        <w:t>hm</w:t>
      </w:r>
      <w:r>
        <w:rPr>
          <w:color w:val="auto"/>
          <w:kern w:val="2"/>
          <w:vertAlign w:val="superscript"/>
        </w:rPr>
        <w:t>2</w:t>
      </w:r>
      <w:r>
        <w:rPr>
          <w:color w:val="auto"/>
          <w:kern w:val="2"/>
        </w:rPr>
        <w:t>，临时占地</w:t>
      </w:r>
      <w:r>
        <w:rPr>
          <w:rFonts w:hint="eastAsia"/>
          <w:color w:val="auto"/>
          <w:kern w:val="2"/>
        </w:rPr>
        <w:t>4.46</w:t>
      </w:r>
      <w:r>
        <w:rPr>
          <w:color w:val="auto"/>
          <w:kern w:val="2"/>
        </w:rPr>
        <w:t>hm</w:t>
      </w:r>
      <w:r>
        <w:rPr>
          <w:color w:val="auto"/>
          <w:kern w:val="2"/>
          <w:vertAlign w:val="superscript"/>
        </w:rPr>
        <w:t>2</w:t>
      </w:r>
      <w:r>
        <w:rPr>
          <w:color w:val="auto"/>
          <w:kern w:val="2"/>
        </w:rPr>
        <w:t>，根据《大庆市国土空间总体规划》（2021-</w:t>
      </w:r>
      <w:r>
        <w:rPr>
          <w:color w:val="auto"/>
        </w:rPr>
        <w:t>2035</w:t>
      </w:r>
      <w:r>
        <w:rPr>
          <w:color w:val="auto"/>
          <w:kern w:val="2"/>
        </w:rPr>
        <w:t>）及现场勘查，项目占地类型为（永久基本农田）和草地（一般草地）。</w:t>
      </w:r>
    </w:p>
    <w:p w14:paraId="573FA753">
      <w:pPr>
        <w:pStyle w:val="276"/>
        <w:widowControl w:val="0"/>
        <w:ind w:firstLine="480"/>
        <w:jc w:val="both"/>
        <w:rPr>
          <w:color w:val="auto"/>
          <w:kern w:val="2"/>
        </w:rPr>
      </w:pPr>
      <w:r>
        <w:rPr>
          <w:color w:val="auto"/>
          <w:kern w:val="2"/>
        </w:rPr>
        <w:t>（5）地表水体</w:t>
      </w:r>
    </w:p>
    <w:p w14:paraId="4002F96A">
      <w:pPr>
        <w:pStyle w:val="276"/>
        <w:widowControl w:val="0"/>
        <w:ind w:firstLine="480"/>
        <w:jc w:val="both"/>
        <w:rPr>
          <w:color w:val="auto"/>
          <w:kern w:val="2"/>
        </w:rPr>
      </w:pPr>
      <w:r>
        <w:rPr>
          <w:color w:val="auto"/>
          <w:kern w:val="2"/>
          <w:lang w:bidi="zh-CN"/>
        </w:rPr>
        <w:t>项目区域附近地表水体为</w:t>
      </w:r>
      <w:r>
        <w:rPr>
          <w:rFonts w:hint="eastAsia"/>
          <w:color w:val="auto"/>
          <w:kern w:val="2"/>
          <w:lang w:bidi="zh-CN"/>
        </w:rPr>
        <w:t>中心西干渠、中心东四干渠</w:t>
      </w:r>
      <w:r>
        <w:rPr>
          <w:color w:val="auto"/>
          <w:kern w:val="2"/>
          <w:lang w:bidi="zh-CN"/>
        </w:rPr>
        <w:t>、</w:t>
      </w:r>
      <w:r>
        <w:rPr>
          <w:rFonts w:hint="eastAsia"/>
          <w:color w:val="auto"/>
          <w:kern w:val="2"/>
          <w:lang w:bidi="zh-CN"/>
        </w:rPr>
        <w:t>西大海（</w:t>
      </w:r>
      <w:r>
        <w:rPr>
          <w:rFonts w:hint="eastAsia"/>
          <w:color w:val="auto"/>
          <w:kern w:val="2"/>
        </w:rPr>
        <w:t>肇源莲花湖国家湿地公园</w:t>
      </w:r>
      <w:r>
        <w:rPr>
          <w:rFonts w:hint="eastAsia"/>
          <w:color w:val="auto"/>
          <w:kern w:val="2"/>
          <w:lang w:bidi="zh-CN"/>
        </w:rPr>
        <w:t>）</w:t>
      </w:r>
      <w:r>
        <w:rPr>
          <w:color w:val="auto"/>
          <w:kern w:val="2"/>
          <w:lang w:bidi="zh-CN"/>
        </w:rPr>
        <w:t>，根据</w:t>
      </w:r>
      <w:r>
        <w:rPr>
          <w:color w:val="auto"/>
          <w:kern w:val="2"/>
          <w:szCs w:val="20"/>
        </w:rPr>
        <w:t>《大庆市人民政府关于印发大庆市声环境功能区划分、大庆市环境空气质量功能区划分、大庆市地表水环境功能区划分的通知》（庆政发[2019]11号）</w:t>
      </w:r>
      <w:r>
        <w:rPr>
          <w:color w:val="auto"/>
          <w:kern w:val="2"/>
          <w:lang w:bidi="zh-CN"/>
        </w:rPr>
        <w:t>，以上地表水体均无环境功能区划，不执行《地表水环境质量标准》（GB3838-2002）</w:t>
      </w:r>
      <w:r>
        <w:rPr>
          <w:color w:val="auto"/>
          <w:kern w:val="2"/>
        </w:rPr>
        <w:t>。</w:t>
      </w:r>
    </w:p>
    <w:p w14:paraId="4D271E51">
      <w:pPr>
        <w:pStyle w:val="276"/>
        <w:widowControl w:val="0"/>
        <w:ind w:firstLine="480"/>
        <w:jc w:val="both"/>
        <w:rPr>
          <w:color w:val="auto"/>
          <w:kern w:val="2"/>
        </w:rPr>
      </w:pPr>
      <w:r>
        <w:rPr>
          <w:color w:val="auto"/>
          <w:kern w:val="2"/>
        </w:rPr>
        <w:t>（6）地下饮用水源</w:t>
      </w:r>
      <w:r>
        <w:rPr>
          <w:color w:val="auto"/>
        </w:rPr>
        <w:t>保护区</w:t>
      </w:r>
    </w:p>
    <w:p w14:paraId="70C2D5DA">
      <w:pPr>
        <w:pStyle w:val="276"/>
        <w:widowControl w:val="0"/>
        <w:ind w:firstLine="480"/>
        <w:jc w:val="both"/>
        <w:rPr>
          <w:color w:val="auto"/>
          <w:kern w:val="2"/>
        </w:rPr>
      </w:pPr>
      <w:r>
        <w:rPr>
          <w:color w:val="auto"/>
          <w:kern w:val="2"/>
        </w:rPr>
        <w:t>根据</w:t>
      </w:r>
      <w:r>
        <w:rPr>
          <w:color w:val="auto"/>
        </w:rPr>
        <w:t>《全省地市级饮用水水源保护区基础信息名录（2022年）》</w:t>
      </w:r>
      <w:r>
        <w:rPr>
          <w:color w:val="auto"/>
          <w:kern w:val="2"/>
        </w:rPr>
        <w:t>、《全省县区级饮用水水源保护区基础信息名录（2022年）》</w:t>
      </w:r>
      <w:r>
        <w:rPr>
          <w:color w:val="auto"/>
        </w:rPr>
        <w:t>《黑龙江省人民政府关于调整撤销新建哈尔滨等11个地市384个集中式饮用水水源保护区》</w:t>
      </w:r>
      <w:r>
        <w:rPr>
          <w:color w:val="auto"/>
          <w:kern w:val="2"/>
        </w:rPr>
        <w:t>（黑政函〔2019〕118号）和《黑龙江省人民政府关于调整撤销新建哈尔滨市等市（地）197个集中式饮用水水源保护区》（黑政函〔2020〕97号））以及现场实际勘察，评价区域内无集中式饮用水水源，根据《全省在用饮用水水源保护区基础信息名录》（2020年），调查区域周边分布</w:t>
      </w:r>
      <w:r>
        <w:rPr>
          <w:rFonts w:hint="eastAsia"/>
          <w:color w:val="auto"/>
          <w:kern w:val="2"/>
        </w:rPr>
        <w:t>肇源镇</w:t>
      </w:r>
      <w:r>
        <w:rPr>
          <w:color w:val="auto"/>
          <w:kern w:val="2"/>
        </w:rPr>
        <w:t>饮用水源，不在本项目评价范围内</w:t>
      </w:r>
      <w:r>
        <w:rPr>
          <w:rFonts w:hint="eastAsia"/>
          <w:color w:val="auto"/>
          <w:kern w:val="2"/>
        </w:rPr>
        <w:t>；</w:t>
      </w:r>
      <w:r>
        <w:rPr>
          <w:color w:val="auto"/>
          <w:kern w:val="2"/>
        </w:rPr>
        <w:t>调查区域内</w:t>
      </w:r>
      <w:r>
        <w:rPr>
          <w:rFonts w:hint="eastAsia"/>
          <w:color w:val="auto"/>
          <w:kern w:val="2"/>
        </w:rPr>
        <w:t>和平乡</w:t>
      </w:r>
      <w:r>
        <w:rPr>
          <w:color w:val="auto"/>
          <w:kern w:val="2"/>
        </w:rPr>
        <w:t>村屯内有少量</w:t>
      </w:r>
      <w:r>
        <w:rPr>
          <w:rFonts w:hint="eastAsia"/>
          <w:color w:val="auto"/>
          <w:kern w:val="2"/>
        </w:rPr>
        <w:t>分散式水源，属</w:t>
      </w:r>
      <w:r>
        <w:rPr>
          <w:color w:val="auto"/>
          <w:kern w:val="2"/>
        </w:rPr>
        <w:t>于</w:t>
      </w:r>
      <w:r>
        <w:rPr>
          <w:rFonts w:hint="eastAsia"/>
          <w:color w:val="auto"/>
          <w:kern w:val="2"/>
        </w:rPr>
        <w:t>村民</w:t>
      </w:r>
      <w:r>
        <w:rPr>
          <w:color w:val="auto"/>
          <w:kern w:val="2"/>
        </w:rPr>
        <w:t>饮用水源。</w:t>
      </w:r>
    </w:p>
    <w:p w14:paraId="7D92F085">
      <w:pPr>
        <w:pStyle w:val="5"/>
        <w:rPr>
          <w:bCs w:val="0"/>
          <w:color w:val="auto"/>
        </w:rPr>
      </w:pPr>
      <w:bookmarkStart w:id="1071" w:name="_Toc212033028"/>
      <w:bookmarkStart w:id="1072" w:name="_Toc14575"/>
      <w:r>
        <w:rPr>
          <w:bCs w:val="0"/>
          <w:color w:val="auto"/>
        </w:rPr>
        <w:t>环境质量现状调查与评价</w:t>
      </w:r>
      <w:bookmarkEnd w:id="1070"/>
      <w:bookmarkEnd w:id="1071"/>
      <w:bookmarkEnd w:id="1072"/>
    </w:p>
    <w:p w14:paraId="092226EA">
      <w:pPr>
        <w:pStyle w:val="276"/>
        <w:widowControl w:val="0"/>
        <w:ind w:firstLine="480"/>
        <w:jc w:val="both"/>
        <w:rPr>
          <w:color w:val="auto"/>
          <w:kern w:val="2"/>
        </w:rPr>
      </w:pPr>
      <w:bookmarkStart w:id="1073" w:name="_Toc430689874"/>
      <w:bookmarkStart w:id="1074" w:name="_Toc438540824"/>
      <w:bookmarkStart w:id="1075" w:name="_Toc430692059"/>
      <w:r>
        <w:rPr>
          <w:color w:val="auto"/>
          <w:kern w:val="2"/>
        </w:rPr>
        <w:t>委托大庆中环评价检测有限公司于2025年</w:t>
      </w:r>
      <w:r>
        <w:rPr>
          <w:rFonts w:hint="eastAsia"/>
          <w:color w:val="auto"/>
          <w:kern w:val="2"/>
        </w:rPr>
        <w:t>8</w:t>
      </w:r>
      <w:r>
        <w:rPr>
          <w:color w:val="auto"/>
          <w:kern w:val="2"/>
        </w:rPr>
        <w:t>月1</w:t>
      </w:r>
      <w:r>
        <w:rPr>
          <w:rFonts w:hint="eastAsia"/>
          <w:color w:val="auto"/>
          <w:kern w:val="2"/>
        </w:rPr>
        <w:t>7</w:t>
      </w:r>
      <w:r>
        <w:rPr>
          <w:color w:val="auto"/>
          <w:kern w:val="2"/>
        </w:rPr>
        <w:t>日～2</w:t>
      </w:r>
      <w:r>
        <w:rPr>
          <w:rFonts w:hint="eastAsia"/>
          <w:color w:val="auto"/>
          <w:kern w:val="2"/>
        </w:rPr>
        <w:t>7</w:t>
      </w:r>
      <w:r>
        <w:rPr>
          <w:color w:val="auto"/>
          <w:kern w:val="2"/>
        </w:rPr>
        <w:t>日对评价范围内环境空气、土壤环境、地表水环境、地下水环境、声环境质量现状进行了监测。</w:t>
      </w:r>
    </w:p>
    <w:p w14:paraId="7E3B9793">
      <w:pPr>
        <w:pStyle w:val="6"/>
        <w:rPr>
          <w:color w:val="auto"/>
        </w:rPr>
      </w:pPr>
      <w:bookmarkStart w:id="1076" w:name="_Toc77067697"/>
      <w:bookmarkStart w:id="1077" w:name="_Toc70050220"/>
      <w:bookmarkStart w:id="1078" w:name="_Toc85640795"/>
      <w:bookmarkStart w:id="1079" w:name="_Toc127192375"/>
      <w:bookmarkStart w:id="1080" w:name="_Toc80588294"/>
      <w:bookmarkStart w:id="1081" w:name="_Toc86141970"/>
      <w:bookmarkStart w:id="1082" w:name="_Toc57203284"/>
      <w:bookmarkStart w:id="1083" w:name="_Toc61597270"/>
      <w:bookmarkStart w:id="1084" w:name="_Toc76976285"/>
      <w:bookmarkStart w:id="1085" w:name="_Toc126863426"/>
      <w:bookmarkStart w:id="1086" w:name="_Toc29642917"/>
      <w:bookmarkStart w:id="1087" w:name="_Toc80971416"/>
      <w:bookmarkStart w:id="1088" w:name="_Toc38545054"/>
      <w:bookmarkStart w:id="1089" w:name="_Toc38296421"/>
      <w:bookmarkStart w:id="1090" w:name="_Toc57976706"/>
      <w:bookmarkStart w:id="1091" w:name="_Toc41655198"/>
      <w:bookmarkStart w:id="1092" w:name="_Toc84929271"/>
      <w:bookmarkStart w:id="1093" w:name="_Toc29644701"/>
      <w:bookmarkStart w:id="1094" w:name="_Toc131167326"/>
      <w:bookmarkStart w:id="1095" w:name="_Toc29643949"/>
      <w:bookmarkStart w:id="1096" w:name="_Toc67860171"/>
      <w:bookmarkStart w:id="1097" w:name="_Toc34124483"/>
      <w:bookmarkStart w:id="1098" w:name="_Toc57707954"/>
      <w:bookmarkStart w:id="1099" w:name="_Toc31473"/>
      <w:bookmarkStart w:id="1100" w:name="_Toc78816499"/>
      <w:bookmarkStart w:id="1101" w:name="_Toc83209516"/>
      <w:bookmarkStart w:id="1102" w:name="_Toc143099613"/>
      <w:r>
        <w:rPr>
          <w:color w:val="auto"/>
        </w:rPr>
        <w:t>环境空气质量现状监测与评价</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4F32E7E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环境空气质量达标区判定</w:t>
      </w:r>
    </w:p>
    <w:p w14:paraId="6EF83CF2">
      <w:pPr>
        <w:pStyle w:val="276"/>
        <w:widowControl w:val="0"/>
        <w:ind w:firstLine="480"/>
        <w:jc w:val="both"/>
        <w:rPr>
          <w:color w:val="auto"/>
          <w:kern w:val="2"/>
          <w:szCs w:val="20"/>
        </w:rPr>
      </w:pPr>
      <w:r>
        <w:rPr>
          <w:color w:val="auto"/>
          <w:kern w:val="2"/>
          <w:szCs w:val="20"/>
        </w:rPr>
        <w:t>本项目区域环境空气质量引用空气质量自动监测站萨区政府监测点2024年全年的监测资料，该监测站点地形、气候条件与本项目评价范围相近。本项目区域空气质量现状评价见表4.3-1。</w:t>
      </w:r>
    </w:p>
    <w:p w14:paraId="73ACD2F4">
      <w:pPr>
        <w:pStyle w:val="276"/>
        <w:widowControl w:val="0"/>
        <w:spacing w:line="440" w:lineRule="exact"/>
        <w:ind w:firstLine="0" w:firstLineChars="0"/>
        <w:jc w:val="center"/>
        <w:rPr>
          <w:color w:val="auto"/>
          <w:kern w:val="2"/>
        </w:rPr>
      </w:pPr>
      <w:r>
        <w:rPr>
          <w:color w:val="auto"/>
          <w:kern w:val="2"/>
        </w:rPr>
        <w:t xml:space="preserve">表4.3-1 </w:t>
      </w:r>
      <w:r>
        <w:rPr>
          <w:color w:val="auto"/>
        </w:rPr>
        <w:t>区域</w:t>
      </w:r>
      <w:r>
        <w:rPr>
          <w:color w:val="auto"/>
          <w:kern w:val="2"/>
        </w:rPr>
        <w:t>空气质量现状评价表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1"/>
        <w:gridCol w:w="872"/>
        <w:gridCol w:w="763"/>
        <w:gridCol w:w="721"/>
        <w:gridCol w:w="1653"/>
        <w:gridCol w:w="924"/>
        <w:gridCol w:w="924"/>
        <w:gridCol w:w="908"/>
        <w:gridCol w:w="659"/>
        <w:gridCol w:w="836"/>
      </w:tblGrid>
      <w:tr w14:paraId="3E6FA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restart"/>
            <w:shd w:val="clear" w:color="auto" w:fill="auto"/>
            <w:vAlign w:val="center"/>
          </w:tcPr>
          <w:p w14:paraId="4825C796">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点位 名称</w:t>
            </w:r>
          </w:p>
        </w:tc>
        <w:tc>
          <w:tcPr>
            <w:tcW w:w="900" w:type="pct"/>
            <w:gridSpan w:val="2"/>
            <w:shd w:val="clear" w:color="auto" w:fill="auto"/>
            <w:vAlign w:val="center"/>
          </w:tcPr>
          <w:p w14:paraId="6C66A386">
            <w:pPr>
              <w:autoSpaceDE w:val="0"/>
              <w:autoSpaceDN w:val="0"/>
              <w:jc w:val="center"/>
              <w:rPr>
                <w:rFonts w:ascii="宋体" w:hAnsi="宋体" w:eastAsia="宋体" w:cs="Times New Roman"/>
                <w:color w:val="auto"/>
                <w:szCs w:val="22"/>
                <w:lang w:bidi="zh-CN"/>
              </w:rPr>
            </w:pPr>
            <w:r>
              <w:rPr>
                <w:rFonts w:ascii="宋体" w:hAnsi="宋体" w:eastAsia="宋体" w:cs="Times New Roman"/>
                <w:color w:val="auto"/>
                <w:szCs w:val="22"/>
                <w:lang w:val="zh-CN" w:bidi="zh-CN"/>
              </w:rPr>
              <w:t>监测点坐标</w:t>
            </w:r>
            <w:r>
              <w:rPr>
                <w:rFonts w:hint="eastAsia" w:ascii="宋体" w:hAnsi="宋体" w:eastAsia="宋体" w:cs="Times New Roman"/>
                <w:color w:val="auto"/>
                <w:szCs w:val="22"/>
                <w:lang w:bidi="zh-CN"/>
              </w:rPr>
              <w:t>/</w:t>
            </w:r>
            <w:r>
              <w:rPr>
                <w:rFonts w:hint="eastAsia" w:ascii="宋体" w:hAnsi="宋体" w:eastAsia="宋体" w:cs="Times New Roman"/>
                <w:color w:val="auto"/>
              </w:rPr>
              <w:t>°</w:t>
            </w:r>
          </w:p>
        </w:tc>
        <w:tc>
          <w:tcPr>
            <w:tcW w:w="397" w:type="pct"/>
            <w:vMerge w:val="restart"/>
            <w:shd w:val="clear" w:color="auto" w:fill="auto"/>
            <w:vAlign w:val="center"/>
          </w:tcPr>
          <w:p w14:paraId="389C4A4F">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污染 物</w:t>
            </w:r>
          </w:p>
        </w:tc>
        <w:tc>
          <w:tcPr>
            <w:tcW w:w="910" w:type="pct"/>
            <w:vMerge w:val="restart"/>
            <w:shd w:val="clear" w:color="auto" w:fill="auto"/>
            <w:vAlign w:val="center"/>
          </w:tcPr>
          <w:p w14:paraId="5EDB91A3">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年评价指标</w:t>
            </w:r>
          </w:p>
        </w:tc>
        <w:tc>
          <w:tcPr>
            <w:tcW w:w="509" w:type="pct"/>
            <w:vMerge w:val="restart"/>
            <w:shd w:val="clear" w:color="auto" w:fill="auto"/>
            <w:vAlign w:val="center"/>
          </w:tcPr>
          <w:p w14:paraId="286F0B5C">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评价标准μg/m</w:t>
            </w:r>
            <w:r>
              <w:rPr>
                <w:rFonts w:ascii="宋体" w:hAnsi="宋体" w:eastAsia="宋体" w:cs="Times New Roman"/>
                <w:color w:val="auto"/>
                <w:szCs w:val="22"/>
                <w:vertAlign w:val="superscript"/>
                <w:lang w:val="zh-CN" w:bidi="zh-CN"/>
              </w:rPr>
              <w:t>3</w:t>
            </w:r>
          </w:p>
        </w:tc>
        <w:tc>
          <w:tcPr>
            <w:tcW w:w="509" w:type="pct"/>
            <w:vMerge w:val="restart"/>
            <w:shd w:val="clear" w:color="auto" w:fill="auto"/>
            <w:vAlign w:val="center"/>
          </w:tcPr>
          <w:p w14:paraId="4713868A">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现状浓度μg/m</w:t>
            </w:r>
            <w:r>
              <w:rPr>
                <w:rFonts w:ascii="宋体" w:hAnsi="宋体" w:eastAsia="宋体" w:cs="Times New Roman"/>
                <w:color w:val="auto"/>
                <w:szCs w:val="22"/>
                <w:vertAlign w:val="superscript"/>
                <w:lang w:val="zh-CN" w:bidi="zh-CN"/>
              </w:rPr>
              <w:t>3</w:t>
            </w:r>
          </w:p>
        </w:tc>
        <w:tc>
          <w:tcPr>
            <w:tcW w:w="500" w:type="pct"/>
            <w:vMerge w:val="restart"/>
            <w:shd w:val="clear" w:color="auto" w:fill="auto"/>
            <w:vAlign w:val="center"/>
          </w:tcPr>
          <w:p w14:paraId="531D25DD">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最大浓度占标率%</w:t>
            </w:r>
          </w:p>
        </w:tc>
        <w:tc>
          <w:tcPr>
            <w:tcW w:w="363" w:type="pct"/>
            <w:vMerge w:val="restart"/>
            <w:shd w:val="clear" w:color="auto" w:fill="auto"/>
            <w:vAlign w:val="center"/>
          </w:tcPr>
          <w:p w14:paraId="20425EF0">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超标率%</w:t>
            </w:r>
          </w:p>
        </w:tc>
        <w:tc>
          <w:tcPr>
            <w:tcW w:w="460" w:type="pct"/>
            <w:vMerge w:val="restart"/>
            <w:shd w:val="clear" w:color="auto" w:fill="auto"/>
            <w:vAlign w:val="center"/>
          </w:tcPr>
          <w:p w14:paraId="2D40D3E3">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p w14:paraId="2B0D75DF">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情况</w:t>
            </w:r>
          </w:p>
        </w:tc>
      </w:tr>
      <w:tr w14:paraId="699BD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continue"/>
            <w:shd w:val="clear" w:color="auto" w:fill="auto"/>
            <w:vAlign w:val="center"/>
          </w:tcPr>
          <w:p w14:paraId="5D6597A3">
            <w:pPr>
              <w:jc w:val="center"/>
              <w:rPr>
                <w:rFonts w:ascii="宋体" w:hAnsi="宋体" w:eastAsia="宋体" w:cs="Times New Roman"/>
                <w:color w:val="auto"/>
              </w:rPr>
            </w:pPr>
          </w:p>
        </w:tc>
        <w:tc>
          <w:tcPr>
            <w:tcW w:w="480" w:type="pct"/>
            <w:shd w:val="clear" w:color="auto" w:fill="auto"/>
            <w:vAlign w:val="center"/>
          </w:tcPr>
          <w:p w14:paraId="1D773C5B">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经度</w:t>
            </w:r>
          </w:p>
        </w:tc>
        <w:tc>
          <w:tcPr>
            <w:tcW w:w="420" w:type="pct"/>
            <w:shd w:val="clear" w:color="auto" w:fill="auto"/>
            <w:vAlign w:val="center"/>
          </w:tcPr>
          <w:p w14:paraId="0253375E">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纬度</w:t>
            </w:r>
          </w:p>
        </w:tc>
        <w:tc>
          <w:tcPr>
            <w:tcW w:w="397" w:type="pct"/>
            <w:vMerge w:val="continue"/>
            <w:shd w:val="clear" w:color="auto" w:fill="auto"/>
            <w:vAlign w:val="center"/>
          </w:tcPr>
          <w:p w14:paraId="4D7FCF7D">
            <w:pPr>
              <w:jc w:val="center"/>
              <w:rPr>
                <w:rFonts w:ascii="宋体" w:hAnsi="宋体" w:eastAsia="宋体" w:cs="Times New Roman"/>
                <w:color w:val="auto"/>
              </w:rPr>
            </w:pPr>
          </w:p>
        </w:tc>
        <w:tc>
          <w:tcPr>
            <w:tcW w:w="910" w:type="pct"/>
            <w:vMerge w:val="continue"/>
            <w:shd w:val="clear" w:color="auto" w:fill="auto"/>
            <w:vAlign w:val="center"/>
          </w:tcPr>
          <w:p w14:paraId="3B47CD0C">
            <w:pPr>
              <w:jc w:val="center"/>
              <w:rPr>
                <w:rFonts w:ascii="宋体" w:hAnsi="宋体" w:eastAsia="宋体" w:cs="Times New Roman"/>
                <w:color w:val="auto"/>
              </w:rPr>
            </w:pPr>
          </w:p>
        </w:tc>
        <w:tc>
          <w:tcPr>
            <w:tcW w:w="509" w:type="pct"/>
            <w:vMerge w:val="continue"/>
            <w:shd w:val="clear" w:color="auto" w:fill="auto"/>
            <w:vAlign w:val="center"/>
          </w:tcPr>
          <w:p w14:paraId="4C921FA6">
            <w:pPr>
              <w:jc w:val="center"/>
              <w:rPr>
                <w:rFonts w:ascii="宋体" w:hAnsi="宋体" w:eastAsia="宋体" w:cs="Times New Roman"/>
                <w:color w:val="auto"/>
              </w:rPr>
            </w:pPr>
          </w:p>
        </w:tc>
        <w:tc>
          <w:tcPr>
            <w:tcW w:w="509" w:type="pct"/>
            <w:vMerge w:val="continue"/>
            <w:shd w:val="clear" w:color="auto" w:fill="auto"/>
            <w:vAlign w:val="center"/>
          </w:tcPr>
          <w:p w14:paraId="1CD4F86D">
            <w:pPr>
              <w:jc w:val="center"/>
              <w:rPr>
                <w:rFonts w:ascii="宋体" w:hAnsi="宋体" w:eastAsia="宋体" w:cs="Times New Roman"/>
                <w:color w:val="auto"/>
              </w:rPr>
            </w:pPr>
          </w:p>
        </w:tc>
        <w:tc>
          <w:tcPr>
            <w:tcW w:w="500" w:type="pct"/>
            <w:vMerge w:val="continue"/>
            <w:shd w:val="clear" w:color="auto" w:fill="auto"/>
            <w:vAlign w:val="center"/>
          </w:tcPr>
          <w:p w14:paraId="314B2E43">
            <w:pPr>
              <w:jc w:val="center"/>
              <w:rPr>
                <w:rFonts w:ascii="宋体" w:hAnsi="宋体" w:eastAsia="宋体" w:cs="Times New Roman"/>
                <w:color w:val="auto"/>
              </w:rPr>
            </w:pPr>
          </w:p>
        </w:tc>
        <w:tc>
          <w:tcPr>
            <w:tcW w:w="363" w:type="pct"/>
            <w:vMerge w:val="continue"/>
            <w:shd w:val="clear" w:color="auto" w:fill="auto"/>
            <w:vAlign w:val="center"/>
          </w:tcPr>
          <w:p w14:paraId="2C3A90D0">
            <w:pPr>
              <w:jc w:val="center"/>
              <w:rPr>
                <w:rFonts w:ascii="宋体" w:hAnsi="宋体" w:eastAsia="宋体" w:cs="Times New Roman"/>
                <w:color w:val="auto"/>
              </w:rPr>
            </w:pPr>
          </w:p>
        </w:tc>
        <w:tc>
          <w:tcPr>
            <w:tcW w:w="460" w:type="pct"/>
            <w:vMerge w:val="continue"/>
            <w:shd w:val="clear" w:color="auto" w:fill="auto"/>
            <w:vAlign w:val="center"/>
          </w:tcPr>
          <w:p w14:paraId="5DD2588C">
            <w:pPr>
              <w:jc w:val="center"/>
              <w:rPr>
                <w:rFonts w:ascii="宋体" w:hAnsi="宋体" w:eastAsia="宋体" w:cs="Times New Roman"/>
                <w:color w:val="auto"/>
              </w:rPr>
            </w:pPr>
          </w:p>
        </w:tc>
      </w:tr>
      <w:tr w14:paraId="0481B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restart"/>
            <w:shd w:val="clear" w:color="auto" w:fill="auto"/>
            <w:vAlign w:val="center"/>
          </w:tcPr>
          <w:p w14:paraId="1B6D0528">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空气质量自动监测站-萨区政府监测点</w:t>
            </w:r>
          </w:p>
        </w:tc>
        <w:tc>
          <w:tcPr>
            <w:tcW w:w="480" w:type="pct"/>
            <w:vMerge w:val="restart"/>
            <w:shd w:val="clear" w:color="auto" w:fill="auto"/>
            <w:vAlign w:val="center"/>
          </w:tcPr>
          <w:p w14:paraId="406B8721">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125.141</w:t>
            </w:r>
          </w:p>
        </w:tc>
        <w:tc>
          <w:tcPr>
            <w:tcW w:w="420" w:type="pct"/>
            <w:vMerge w:val="restart"/>
            <w:shd w:val="clear" w:color="auto" w:fill="auto"/>
            <w:vAlign w:val="center"/>
          </w:tcPr>
          <w:p w14:paraId="782BCE48">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46.634</w:t>
            </w:r>
          </w:p>
        </w:tc>
        <w:tc>
          <w:tcPr>
            <w:tcW w:w="397" w:type="pct"/>
            <w:vMerge w:val="restart"/>
            <w:shd w:val="clear" w:color="auto" w:fill="auto"/>
            <w:vAlign w:val="center"/>
          </w:tcPr>
          <w:p w14:paraId="4395A36E">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SO</w:t>
            </w:r>
            <w:r>
              <w:rPr>
                <w:rFonts w:ascii="宋体" w:hAnsi="宋体" w:eastAsia="宋体" w:cs="Times New Roman"/>
                <w:color w:val="auto"/>
                <w:szCs w:val="22"/>
                <w:vertAlign w:val="subscript"/>
                <w:lang w:val="zh-CN" w:bidi="zh-CN"/>
              </w:rPr>
              <w:t>2</w:t>
            </w:r>
          </w:p>
        </w:tc>
        <w:tc>
          <w:tcPr>
            <w:tcW w:w="910" w:type="pct"/>
            <w:shd w:val="clear" w:color="auto" w:fill="auto"/>
            <w:vAlign w:val="center"/>
          </w:tcPr>
          <w:p w14:paraId="5EAB95CA">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年平均质量浓度</w:t>
            </w:r>
          </w:p>
        </w:tc>
        <w:tc>
          <w:tcPr>
            <w:tcW w:w="509" w:type="pct"/>
            <w:shd w:val="clear" w:color="auto" w:fill="auto"/>
            <w:vAlign w:val="center"/>
          </w:tcPr>
          <w:p w14:paraId="779E569F">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60</w:t>
            </w:r>
          </w:p>
        </w:tc>
        <w:tc>
          <w:tcPr>
            <w:tcW w:w="509" w:type="pct"/>
            <w:shd w:val="clear" w:color="auto" w:fill="auto"/>
            <w:vAlign w:val="center"/>
          </w:tcPr>
          <w:p w14:paraId="106E15B7">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8</w:t>
            </w:r>
          </w:p>
        </w:tc>
        <w:tc>
          <w:tcPr>
            <w:tcW w:w="500" w:type="pct"/>
            <w:shd w:val="clear" w:color="auto" w:fill="auto"/>
            <w:vAlign w:val="center"/>
          </w:tcPr>
          <w:p w14:paraId="6A43BC02">
            <w:pPr>
              <w:jc w:val="center"/>
              <w:rPr>
                <w:rFonts w:ascii="宋体" w:hAnsi="宋体" w:eastAsia="宋体" w:cs="Times New Roman"/>
                <w:color w:val="auto"/>
              </w:rPr>
            </w:pPr>
            <w:r>
              <w:rPr>
                <w:rFonts w:ascii="宋体" w:hAnsi="宋体" w:eastAsia="宋体" w:cs="Times New Roman"/>
                <w:color w:val="auto"/>
              </w:rPr>
              <w:t>13.33</w:t>
            </w:r>
          </w:p>
        </w:tc>
        <w:tc>
          <w:tcPr>
            <w:tcW w:w="363" w:type="pct"/>
            <w:shd w:val="clear" w:color="auto" w:fill="auto"/>
            <w:vAlign w:val="center"/>
          </w:tcPr>
          <w:p w14:paraId="43909136">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w:t>
            </w:r>
          </w:p>
        </w:tc>
        <w:tc>
          <w:tcPr>
            <w:tcW w:w="460" w:type="pct"/>
            <w:shd w:val="clear" w:color="auto" w:fill="auto"/>
            <w:vAlign w:val="center"/>
          </w:tcPr>
          <w:p w14:paraId="1C1FA175">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tc>
      </w:tr>
      <w:tr w14:paraId="174CB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continue"/>
            <w:shd w:val="clear" w:color="auto" w:fill="auto"/>
            <w:vAlign w:val="center"/>
          </w:tcPr>
          <w:p w14:paraId="7FEFE35C">
            <w:pPr>
              <w:jc w:val="center"/>
              <w:rPr>
                <w:rFonts w:ascii="宋体" w:hAnsi="宋体" w:eastAsia="宋体" w:cs="Times New Roman"/>
                <w:color w:val="auto"/>
              </w:rPr>
            </w:pPr>
          </w:p>
        </w:tc>
        <w:tc>
          <w:tcPr>
            <w:tcW w:w="480" w:type="pct"/>
            <w:vMerge w:val="continue"/>
            <w:shd w:val="clear" w:color="auto" w:fill="auto"/>
            <w:vAlign w:val="center"/>
          </w:tcPr>
          <w:p w14:paraId="30F243FF">
            <w:pPr>
              <w:jc w:val="center"/>
              <w:rPr>
                <w:rFonts w:ascii="宋体" w:hAnsi="宋体" w:eastAsia="宋体" w:cs="Times New Roman"/>
                <w:color w:val="auto"/>
              </w:rPr>
            </w:pPr>
          </w:p>
        </w:tc>
        <w:tc>
          <w:tcPr>
            <w:tcW w:w="420" w:type="pct"/>
            <w:vMerge w:val="continue"/>
            <w:shd w:val="clear" w:color="auto" w:fill="auto"/>
            <w:vAlign w:val="center"/>
          </w:tcPr>
          <w:p w14:paraId="592765FA">
            <w:pPr>
              <w:jc w:val="center"/>
              <w:rPr>
                <w:rFonts w:ascii="宋体" w:hAnsi="宋体" w:eastAsia="宋体" w:cs="Times New Roman"/>
                <w:color w:val="auto"/>
              </w:rPr>
            </w:pPr>
          </w:p>
        </w:tc>
        <w:tc>
          <w:tcPr>
            <w:tcW w:w="397" w:type="pct"/>
            <w:vMerge w:val="continue"/>
            <w:shd w:val="clear" w:color="auto" w:fill="auto"/>
            <w:vAlign w:val="center"/>
          </w:tcPr>
          <w:p w14:paraId="57800794">
            <w:pPr>
              <w:jc w:val="center"/>
              <w:rPr>
                <w:rFonts w:ascii="宋体" w:hAnsi="宋体" w:eastAsia="宋体" w:cs="Times New Roman"/>
                <w:color w:val="auto"/>
              </w:rPr>
            </w:pPr>
          </w:p>
        </w:tc>
        <w:tc>
          <w:tcPr>
            <w:tcW w:w="910" w:type="pct"/>
            <w:shd w:val="clear" w:color="auto" w:fill="auto"/>
            <w:vAlign w:val="center"/>
          </w:tcPr>
          <w:p w14:paraId="65AF97D9">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24小时平均第 98位百分位数</w:t>
            </w:r>
          </w:p>
        </w:tc>
        <w:tc>
          <w:tcPr>
            <w:tcW w:w="509" w:type="pct"/>
            <w:shd w:val="clear" w:color="auto" w:fill="auto"/>
            <w:vAlign w:val="center"/>
          </w:tcPr>
          <w:p w14:paraId="1C614CEE">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150</w:t>
            </w:r>
          </w:p>
        </w:tc>
        <w:tc>
          <w:tcPr>
            <w:tcW w:w="509" w:type="pct"/>
            <w:shd w:val="clear" w:color="auto" w:fill="auto"/>
            <w:vAlign w:val="center"/>
          </w:tcPr>
          <w:p w14:paraId="5BD10BEB">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13</w:t>
            </w:r>
          </w:p>
        </w:tc>
        <w:tc>
          <w:tcPr>
            <w:tcW w:w="500" w:type="pct"/>
            <w:shd w:val="clear" w:color="auto" w:fill="auto"/>
            <w:vAlign w:val="center"/>
          </w:tcPr>
          <w:p w14:paraId="7DC31ED1">
            <w:pPr>
              <w:jc w:val="center"/>
              <w:rPr>
                <w:rFonts w:ascii="宋体" w:hAnsi="宋体" w:eastAsia="宋体" w:cs="Times New Roman"/>
                <w:color w:val="auto"/>
              </w:rPr>
            </w:pPr>
            <w:r>
              <w:rPr>
                <w:rFonts w:ascii="宋体" w:hAnsi="宋体" w:eastAsia="宋体" w:cs="Times New Roman"/>
                <w:color w:val="auto"/>
              </w:rPr>
              <w:t>8.67</w:t>
            </w:r>
          </w:p>
        </w:tc>
        <w:tc>
          <w:tcPr>
            <w:tcW w:w="363" w:type="pct"/>
            <w:shd w:val="clear" w:color="auto" w:fill="auto"/>
            <w:vAlign w:val="center"/>
          </w:tcPr>
          <w:p w14:paraId="41824012">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w:t>
            </w:r>
          </w:p>
        </w:tc>
        <w:tc>
          <w:tcPr>
            <w:tcW w:w="460" w:type="pct"/>
            <w:shd w:val="clear" w:color="auto" w:fill="auto"/>
            <w:vAlign w:val="center"/>
          </w:tcPr>
          <w:p w14:paraId="3CE0CE07">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tc>
      </w:tr>
      <w:tr w14:paraId="03A2A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continue"/>
            <w:shd w:val="clear" w:color="auto" w:fill="auto"/>
            <w:vAlign w:val="center"/>
          </w:tcPr>
          <w:p w14:paraId="74A4BBA0">
            <w:pPr>
              <w:jc w:val="center"/>
              <w:rPr>
                <w:rFonts w:ascii="宋体" w:hAnsi="宋体" w:eastAsia="宋体" w:cs="Times New Roman"/>
                <w:color w:val="auto"/>
              </w:rPr>
            </w:pPr>
          </w:p>
        </w:tc>
        <w:tc>
          <w:tcPr>
            <w:tcW w:w="480" w:type="pct"/>
            <w:vMerge w:val="continue"/>
            <w:shd w:val="clear" w:color="auto" w:fill="auto"/>
            <w:vAlign w:val="center"/>
          </w:tcPr>
          <w:p w14:paraId="6EBEE5F4">
            <w:pPr>
              <w:jc w:val="center"/>
              <w:rPr>
                <w:rFonts w:ascii="宋体" w:hAnsi="宋体" w:eastAsia="宋体" w:cs="Times New Roman"/>
                <w:color w:val="auto"/>
              </w:rPr>
            </w:pPr>
          </w:p>
        </w:tc>
        <w:tc>
          <w:tcPr>
            <w:tcW w:w="420" w:type="pct"/>
            <w:vMerge w:val="continue"/>
            <w:shd w:val="clear" w:color="auto" w:fill="auto"/>
            <w:vAlign w:val="center"/>
          </w:tcPr>
          <w:p w14:paraId="2C88B329">
            <w:pPr>
              <w:jc w:val="center"/>
              <w:rPr>
                <w:rFonts w:ascii="宋体" w:hAnsi="宋体" w:eastAsia="宋体" w:cs="Times New Roman"/>
                <w:color w:val="auto"/>
              </w:rPr>
            </w:pPr>
          </w:p>
        </w:tc>
        <w:tc>
          <w:tcPr>
            <w:tcW w:w="397" w:type="pct"/>
            <w:vMerge w:val="restart"/>
            <w:shd w:val="clear" w:color="auto" w:fill="auto"/>
            <w:vAlign w:val="center"/>
          </w:tcPr>
          <w:p w14:paraId="134DE691">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NO</w:t>
            </w:r>
            <w:r>
              <w:rPr>
                <w:rFonts w:ascii="宋体" w:hAnsi="宋体" w:eastAsia="宋体" w:cs="Times New Roman"/>
                <w:color w:val="auto"/>
                <w:szCs w:val="22"/>
                <w:vertAlign w:val="subscript"/>
                <w:lang w:val="zh-CN" w:bidi="zh-CN"/>
              </w:rPr>
              <w:t>2</w:t>
            </w:r>
          </w:p>
        </w:tc>
        <w:tc>
          <w:tcPr>
            <w:tcW w:w="910" w:type="pct"/>
            <w:shd w:val="clear" w:color="auto" w:fill="auto"/>
            <w:vAlign w:val="center"/>
          </w:tcPr>
          <w:p w14:paraId="2E9304C5">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年平均质量浓度</w:t>
            </w:r>
          </w:p>
        </w:tc>
        <w:tc>
          <w:tcPr>
            <w:tcW w:w="509" w:type="pct"/>
            <w:shd w:val="clear" w:color="auto" w:fill="auto"/>
            <w:vAlign w:val="center"/>
          </w:tcPr>
          <w:p w14:paraId="592AC6F7">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40</w:t>
            </w:r>
          </w:p>
        </w:tc>
        <w:tc>
          <w:tcPr>
            <w:tcW w:w="509" w:type="pct"/>
            <w:shd w:val="clear" w:color="auto" w:fill="auto"/>
            <w:vAlign w:val="center"/>
          </w:tcPr>
          <w:p w14:paraId="591FE3EC">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18</w:t>
            </w:r>
          </w:p>
        </w:tc>
        <w:tc>
          <w:tcPr>
            <w:tcW w:w="500" w:type="pct"/>
            <w:shd w:val="clear" w:color="auto" w:fill="auto"/>
            <w:vAlign w:val="center"/>
          </w:tcPr>
          <w:p w14:paraId="3777A7AE">
            <w:pPr>
              <w:jc w:val="center"/>
              <w:rPr>
                <w:rFonts w:ascii="宋体" w:hAnsi="宋体" w:eastAsia="宋体" w:cs="Times New Roman"/>
                <w:color w:val="auto"/>
              </w:rPr>
            </w:pPr>
            <w:r>
              <w:rPr>
                <w:rFonts w:ascii="宋体" w:hAnsi="宋体" w:eastAsia="宋体" w:cs="Times New Roman"/>
                <w:color w:val="auto"/>
              </w:rPr>
              <w:t>45.0</w:t>
            </w:r>
          </w:p>
        </w:tc>
        <w:tc>
          <w:tcPr>
            <w:tcW w:w="363" w:type="pct"/>
            <w:shd w:val="clear" w:color="auto" w:fill="auto"/>
            <w:vAlign w:val="center"/>
          </w:tcPr>
          <w:p w14:paraId="04689AFA">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w:t>
            </w:r>
          </w:p>
        </w:tc>
        <w:tc>
          <w:tcPr>
            <w:tcW w:w="460" w:type="pct"/>
            <w:shd w:val="clear" w:color="auto" w:fill="auto"/>
            <w:vAlign w:val="center"/>
          </w:tcPr>
          <w:p w14:paraId="3C0E175A">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tc>
      </w:tr>
      <w:tr w14:paraId="18327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continue"/>
            <w:shd w:val="clear" w:color="auto" w:fill="auto"/>
            <w:vAlign w:val="center"/>
          </w:tcPr>
          <w:p w14:paraId="125993C4">
            <w:pPr>
              <w:jc w:val="center"/>
              <w:rPr>
                <w:rFonts w:ascii="宋体" w:hAnsi="宋体" w:eastAsia="宋体" w:cs="Times New Roman"/>
                <w:color w:val="auto"/>
              </w:rPr>
            </w:pPr>
          </w:p>
        </w:tc>
        <w:tc>
          <w:tcPr>
            <w:tcW w:w="480" w:type="pct"/>
            <w:vMerge w:val="continue"/>
            <w:shd w:val="clear" w:color="auto" w:fill="auto"/>
            <w:vAlign w:val="center"/>
          </w:tcPr>
          <w:p w14:paraId="11867BB5">
            <w:pPr>
              <w:jc w:val="center"/>
              <w:rPr>
                <w:rFonts w:ascii="宋体" w:hAnsi="宋体" w:eastAsia="宋体" w:cs="Times New Roman"/>
                <w:color w:val="auto"/>
              </w:rPr>
            </w:pPr>
          </w:p>
        </w:tc>
        <w:tc>
          <w:tcPr>
            <w:tcW w:w="420" w:type="pct"/>
            <w:vMerge w:val="continue"/>
            <w:shd w:val="clear" w:color="auto" w:fill="auto"/>
            <w:vAlign w:val="center"/>
          </w:tcPr>
          <w:p w14:paraId="6F447663">
            <w:pPr>
              <w:jc w:val="center"/>
              <w:rPr>
                <w:rFonts w:ascii="宋体" w:hAnsi="宋体" w:eastAsia="宋体" w:cs="Times New Roman"/>
                <w:color w:val="auto"/>
              </w:rPr>
            </w:pPr>
          </w:p>
        </w:tc>
        <w:tc>
          <w:tcPr>
            <w:tcW w:w="397" w:type="pct"/>
            <w:vMerge w:val="continue"/>
            <w:shd w:val="clear" w:color="auto" w:fill="auto"/>
            <w:vAlign w:val="center"/>
          </w:tcPr>
          <w:p w14:paraId="307EB78A">
            <w:pPr>
              <w:jc w:val="center"/>
              <w:rPr>
                <w:rFonts w:ascii="宋体" w:hAnsi="宋体" w:eastAsia="宋体" w:cs="Times New Roman"/>
                <w:color w:val="auto"/>
              </w:rPr>
            </w:pPr>
          </w:p>
        </w:tc>
        <w:tc>
          <w:tcPr>
            <w:tcW w:w="910" w:type="pct"/>
            <w:shd w:val="clear" w:color="auto" w:fill="auto"/>
            <w:vAlign w:val="center"/>
          </w:tcPr>
          <w:p w14:paraId="0854017A">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24小时平均第98位百分位数</w:t>
            </w:r>
          </w:p>
        </w:tc>
        <w:tc>
          <w:tcPr>
            <w:tcW w:w="509" w:type="pct"/>
            <w:shd w:val="clear" w:color="auto" w:fill="auto"/>
            <w:vAlign w:val="center"/>
          </w:tcPr>
          <w:p w14:paraId="19C95EB8">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80</w:t>
            </w:r>
          </w:p>
        </w:tc>
        <w:tc>
          <w:tcPr>
            <w:tcW w:w="509" w:type="pct"/>
            <w:shd w:val="clear" w:color="auto" w:fill="auto"/>
            <w:vAlign w:val="center"/>
          </w:tcPr>
          <w:p w14:paraId="5D437190">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31</w:t>
            </w:r>
          </w:p>
        </w:tc>
        <w:tc>
          <w:tcPr>
            <w:tcW w:w="500" w:type="pct"/>
            <w:shd w:val="clear" w:color="auto" w:fill="auto"/>
            <w:vAlign w:val="center"/>
          </w:tcPr>
          <w:p w14:paraId="7F688E68">
            <w:pPr>
              <w:jc w:val="center"/>
              <w:rPr>
                <w:rFonts w:ascii="宋体" w:hAnsi="宋体" w:eastAsia="宋体" w:cs="Times New Roman"/>
                <w:color w:val="auto"/>
              </w:rPr>
            </w:pPr>
            <w:r>
              <w:rPr>
                <w:rFonts w:ascii="宋体" w:hAnsi="宋体" w:eastAsia="宋体" w:cs="Times New Roman"/>
                <w:color w:val="auto"/>
              </w:rPr>
              <w:t>38.75</w:t>
            </w:r>
          </w:p>
        </w:tc>
        <w:tc>
          <w:tcPr>
            <w:tcW w:w="363" w:type="pct"/>
            <w:shd w:val="clear" w:color="auto" w:fill="auto"/>
            <w:vAlign w:val="center"/>
          </w:tcPr>
          <w:p w14:paraId="692C179A">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w:t>
            </w:r>
          </w:p>
        </w:tc>
        <w:tc>
          <w:tcPr>
            <w:tcW w:w="460" w:type="pct"/>
            <w:shd w:val="clear" w:color="auto" w:fill="auto"/>
            <w:vAlign w:val="center"/>
          </w:tcPr>
          <w:p w14:paraId="5B925778">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tc>
      </w:tr>
      <w:tr w14:paraId="6FCE4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continue"/>
            <w:shd w:val="clear" w:color="auto" w:fill="auto"/>
            <w:vAlign w:val="center"/>
          </w:tcPr>
          <w:p w14:paraId="644C2A42">
            <w:pPr>
              <w:jc w:val="center"/>
              <w:rPr>
                <w:rFonts w:ascii="宋体" w:hAnsi="宋体" w:eastAsia="宋体" w:cs="Times New Roman"/>
                <w:color w:val="auto"/>
              </w:rPr>
            </w:pPr>
          </w:p>
        </w:tc>
        <w:tc>
          <w:tcPr>
            <w:tcW w:w="480" w:type="pct"/>
            <w:vMerge w:val="continue"/>
            <w:shd w:val="clear" w:color="auto" w:fill="auto"/>
            <w:vAlign w:val="center"/>
          </w:tcPr>
          <w:p w14:paraId="58FE1744">
            <w:pPr>
              <w:jc w:val="center"/>
              <w:rPr>
                <w:rFonts w:ascii="宋体" w:hAnsi="宋体" w:eastAsia="宋体" w:cs="Times New Roman"/>
                <w:color w:val="auto"/>
              </w:rPr>
            </w:pPr>
          </w:p>
        </w:tc>
        <w:tc>
          <w:tcPr>
            <w:tcW w:w="420" w:type="pct"/>
            <w:vMerge w:val="continue"/>
            <w:shd w:val="clear" w:color="auto" w:fill="auto"/>
            <w:vAlign w:val="center"/>
          </w:tcPr>
          <w:p w14:paraId="26CF7E1F">
            <w:pPr>
              <w:jc w:val="center"/>
              <w:rPr>
                <w:rFonts w:ascii="宋体" w:hAnsi="宋体" w:eastAsia="宋体" w:cs="Times New Roman"/>
                <w:color w:val="auto"/>
              </w:rPr>
            </w:pPr>
          </w:p>
        </w:tc>
        <w:tc>
          <w:tcPr>
            <w:tcW w:w="397" w:type="pct"/>
            <w:vMerge w:val="restart"/>
            <w:shd w:val="clear" w:color="auto" w:fill="auto"/>
            <w:vAlign w:val="center"/>
          </w:tcPr>
          <w:p w14:paraId="01262CC1">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PM</w:t>
            </w:r>
            <w:r>
              <w:rPr>
                <w:rFonts w:ascii="宋体" w:hAnsi="宋体" w:eastAsia="宋体" w:cs="Times New Roman"/>
                <w:color w:val="auto"/>
                <w:szCs w:val="22"/>
                <w:vertAlign w:val="subscript"/>
                <w:lang w:val="zh-CN" w:bidi="zh-CN"/>
              </w:rPr>
              <w:t>10</w:t>
            </w:r>
          </w:p>
        </w:tc>
        <w:tc>
          <w:tcPr>
            <w:tcW w:w="910" w:type="pct"/>
            <w:shd w:val="clear" w:color="auto" w:fill="auto"/>
            <w:vAlign w:val="center"/>
          </w:tcPr>
          <w:p w14:paraId="308F9226">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年平均质量浓度</w:t>
            </w:r>
          </w:p>
        </w:tc>
        <w:tc>
          <w:tcPr>
            <w:tcW w:w="509" w:type="pct"/>
            <w:shd w:val="clear" w:color="auto" w:fill="auto"/>
            <w:vAlign w:val="center"/>
          </w:tcPr>
          <w:p w14:paraId="0EE691D4">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70</w:t>
            </w:r>
          </w:p>
        </w:tc>
        <w:tc>
          <w:tcPr>
            <w:tcW w:w="509" w:type="pct"/>
            <w:shd w:val="clear" w:color="auto" w:fill="auto"/>
            <w:vAlign w:val="center"/>
          </w:tcPr>
          <w:p w14:paraId="3E751EB6">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39</w:t>
            </w:r>
          </w:p>
        </w:tc>
        <w:tc>
          <w:tcPr>
            <w:tcW w:w="500" w:type="pct"/>
            <w:shd w:val="clear" w:color="auto" w:fill="auto"/>
            <w:vAlign w:val="center"/>
          </w:tcPr>
          <w:p w14:paraId="2E280027">
            <w:pPr>
              <w:jc w:val="center"/>
              <w:rPr>
                <w:rFonts w:ascii="宋体" w:hAnsi="宋体" w:eastAsia="宋体" w:cs="Times New Roman"/>
                <w:color w:val="auto"/>
              </w:rPr>
            </w:pPr>
            <w:r>
              <w:rPr>
                <w:rFonts w:ascii="宋体" w:hAnsi="宋体" w:eastAsia="宋体" w:cs="Times New Roman"/>
                <w:color w:val="auto"/>
              </w:rPr>
              <w:t>55.71</w:t>
            </w:r>
          </w:p>
        </w:tc>
        <w:tc>
          <w:tcPr>
            <w:tcW w:w="363" w:type="pct"/>
            <w:shd w:val="clear" w:color="auto" w:fill="auto"/>
            <w:vAlign w:val="center"/>
          </w:tcPr>
          <w:p w14:paraId="4F9A93A9">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w:t>
            </w:r>
          </w:p>
        </w:tc>
        <w:tc>
          <w:tcPr>
            <w:tcW w:w="460" w:type="pct"/>
            <w:shd w:val="clear" w:color="auto" w:fill="auto"/>
            <w:vAlign w:val="center"/>
          </w:tcPr>
          <w:p w14:paraId="781F9CC6">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tc>
      </w:tr>
      <w:tr w14:paraId="16ABB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continue"/>
            <w:shd w:val="clear" w:color="auto" w:fill="auto"/>
            <w:vAlign w:val="center"/>
          </w:tcPr>
          <w:p w14:paraId="572F6385">
            <w:pPr>
              <w:jc w:val="center"/>
              <w:rPr>
                <w:rFonts w:ascii="宋体" w:hAnsi="宋体" w:eastAsia="宋体" w:cs="Times New Roman"/>
                <w:color w:val="auto"/>
              </w:rPr>
            </w:pPr>
          </w:p>
        </w:tc>
        <w:tc>
          <w:tcPr>
            <w:tcW w:w="480" w:type="pct"/>
            <w:vMerge w:val="continue"/>
            <w:shd w:val="clear" w:color="auto" w:fill="auto"/>
            <w:vAlign w:val="center"/>
          </w:tcPr>
          <w:p w14:paraId="5009B7F6">
            <w:pPr>
              <w:jc w:val="center"/>
              <w:rPr>
                <w:rFonts w:ascii="宋体" w:hAnsi="宋体" w:eastAsia="宋体" w:cs="Times New Roman"/>
                <w:color w:val="auto"/>
              </w:rPr>
            </w:pPr>
          </w:p>
        </w:tc>
        <w:tc>
          <w:tcPr>
            <w:tcW w:w="420" w:type="pct"/>
            <w:vMerge w:val="continue"/>
            <w:shd w:val="clear" w:color="auto" w:fill="auto"/>
            <w:vAlign w:val="center"/>
          </w:tcPr>
          <w:p w14:paraId="1FE33F9F">
            <w:pPr>
              <w:jc w:val="center"/>
              <w:rPr>
                <w:rFonts w:ascii="宋体" w:hAnsi="宋体" w:eastAsia="宋体" w:cs="Times New Roman"/>
                <w:color w:val="auto"/>
              </w:rPr>
            </w:pPr>
          </w:p>
        </w:tc>
        <w:tc>
          <w:tcPr>
            <w:tcW w:w="397" w:type="pct"/>
            <w:vMerge w:val="continue"/>
            <w:shd w:val="clear" w:color="auto" w:fill="auto"/>
            <w:vAlign w:val="center"/>
          </w:tcPr>
          <w:p w14:paraId="6C0C75C6">
            <w:pPr>
              <w:jc w:val="center"/>
              <w:rPr>
                <w:rFonts w:ascii="宋体" w:hAnsi="宋体" w:eastAsia="宋体" w:cs="Times New Roman"/>
                <w:color w:val="auto"/>
              </w:rPr>
            </w:pPr>
          </w:p>
        </w:tc>
        <w:tc>
          <w:tcPr>
            <w:tcW w:w="910" w:type="pct"/>
            <w:shd w:val="clear" w:color="auto" w:fill="auto"/>
            <w:vAlign w:val="center"/>
          </w:tcPr>
          <w:p w14:paraId="350F23EB">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24小时平均第 95位百分位数</w:t>
            </w:r>
          </w:p>
        </w:tc>
        <w:tc>
          <w:tcPr>
            <w:tcW w:w="509" w:type="pct"/>
            <w:shd w:val="clear" w:color="auto" w:fill="auto"/>
            <w:vAlign w:val="center"/>
          </w:tcPr>
          <w:p w14:paraId="20E1B2EF">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150</w:t>
            </w:r>
          </w:p>
        </w:tc>
        <w:tc>
          <w:tcPr>
            <w:tcW w:w="509" w:type="pct"/>
            <w:shd w:val="clear" w:color="auto" w:fill="auto"/>
            <w:vAlign w:val="center"/>
          </w:tcPr>
          <w:p w14:paraId="0D9A3605">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87</w:t>
            </w:r>
          </w:p>
        </w:tc>
        <w:tc>
          <w:tcPr>
            <w:tcW w:w="500" w:type="pct"/>
            <w:shd w:val="clear" w:color="auto" w:fill="auto"/>
            <w:vAlign w:val="center"/>
          </w:tcPr>
          <w:p w14:paraId="70172452">
            <w:pPr>
              <w:jc w:val="center"/>
              <w:rPr>
                <w:rFonts w:ascii="宋体" w:hAnsi="宋体" w:eastAsia="宋体" w:cs="Times New Roman"/>
                <w:color w:val="auto"/>
              </w:rPr>
            </w:pPr>
            <w:r>
              <w:rPr>
                <w:rFonts w:ascii="宋体" w:hAnsi="宋体" w:eastAsia="宋体" w:cs="Times New Roman"/>
                <w:color w:val="auto"/>
              </w:rPr>
              <w:t>58.0</w:t>
            </w:r>
          </w:p>
        </w:tc>
        <w:tc>
          <w:tcPr>
            <w:tcW w:w="363" w:type="pct"/>
            <w:shd w:val="clear" w:color="auto" w:fill="auto"/>
            <w:vAlign w:val="center"/>
          </w:tcPr>
          <w:p w14:paraId="42D95B12">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w:t>
            </w:r>
          </w:p>
        </w:tc>
        <w:tc>
          <w:tcPr>
            <w:tcW w:w="460" w:type="pct"/>
            <w:shd w:val="clear" w:color="auto" w:fill="auto"/>
            <w:vAlign w:val="center"/>
          </w:tcPr>
          <w:p w14:paraId="27878FFE">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tc>
      </w:tr>
      <w:tr w14:paraId="61254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continue"/>
            <w:shd w:val="clear" w:color="auto" w:fill="auto"/>
            <w:vAlign w:val="center"/>
          </w:tcPr>
          <w:p w14:paraId="559449A7">
            <w:pPr>
              <w:jc w:val="center"/>
              <w:rPr>
                <w:rFonts w:ascii="宋体" w:hAnsi="宋体" w:eastAsia="宋体" w:cs="Times New Roman"/>
                <w:color w:val="auto"/>
              </w:rPr>
            </w:pPr>
          </w:p>
        </w:tc>
        <w:tc>
          <w:tcPr>
            <w:tcW w:w="480" w:type="pct"/>
            <w:vMerge w:val="continue"/>
            <w:shd w:val="clear" w:color="auto" w:fill="auto"/>
            <w:vAlign w:val="center"/>
          </w:tcPr>
          <w:p w14:paraId="34DA6DAD">
            <w:pPr>
              <w:jc w:val="center"/>
              <w:rPr>
                <w:rFonts w:ascii="宋体" w:hAnsi="宋体" w:eastAsia="宋体" w:cs="Times New Roman"/>
                <w:color w:val="auto"/>
              </w:rPr>
            </w:pPr>
          </w:p>
        </w:tc>
        <w:tc>
          <w:tcPr>
            <w:tcW w:w="420" w:type="pct"/>
            <w:vMerge w:val="continue"/>
            <w:shd w:val="clear" w:color="auto" w:fill="auto"/>
            <w:vAlign w:val="center"/>
          </w:tcPr>
          <w:p w14:paraId="3AAE4FCD">
            <w:pPr>
              <w:jc w:val="center"/>
              <w:rPr>
                <w:rFonts w:ascii="宋体" w:hAnsi="宋体" w:eastAsia="宋体" w:cs="Times New Roman"/>
                <w:color w:val="auto"/>
              </w:rPr>
            </w:pPr>
          </w:p>
        </w:tc>
        <w:tc>
          <w:tcPr>
            <w:tcW w:w="397" w:type="pct"/>
            <w:vMerge w:val="restart"/>
            <w:shd w:val="clear" w:color="auto" w:fill="auto"/>
            <w:vAlign w:val="center"/>
          </w:tcPr>
          <w:p w14:paraId="4C385007">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PM</w:t>
            </w:r>
            <w:r>
              <w:rPr>
                <w:rFonts w:ascii="宋体" w:hAnsi="宋体" w:eastAsia="宋体" w:cs="Times New Roman"/>
                <w:color w:val="auto"/>
                <w:szCs w:val="22"/>
                <w:vertAlign w:val="subscript"/>
                <w:lang w:val="zh-CN" w:bidi="zh-CN"/>
              </w:rPr>
              <w:t>2.5</w:t>
            </w:r>
          </w:p>
        </w:tc>
        <w:tc>
          <w:tcPr>
            <w:tcW w:w="910" w:type="pct"/>
            <w:shd w:val="clear" w:color="auto" w:fill="auto"/>
            <w:vAlign w:val="center"/>
          </w:tcPr>
          <w:p w14:paraId="2762ED3E">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年平均质量浓度</w:t>
            </w:r>
          </w:p>
        </w:tc>
        <w:tc>
          <w:tcPr>
            <w:tcW w:w="509" w:type="pct"/>
            <w:shd w:val="clear" w:color="auto" w:fill="auto"/>
            <w:vAlign w:val="center"/>
          </w:tcPr>
          <w:p w14:paraId="19342F0E">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35</w:t>
            </w:r>
          </w:p>
        </w:tc>
        <w:tc>
          <w:tcPr>
            <w:tcW w:w="509" w:type="pct"/>
            <w:shd w:val="clear" w:color="auto" w:fill="auto"/>
            <w:vAlign w:val="center"/>
          </w:tcPr>
          <w:p w14:paraId="01FDE32A">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24</w:t>
            </w:r>
          </w:p>
        </w:tc>
        <w:tc>
          <w:tcPr>
            <w:tcW w:w="500" w:type="pct"/>
            <w:shd w:val="clear" w:color="auto" w:fill="auto"/>
            <w:vAlign w:val="center"/>
          </w:tcPr>
          <w:p w14:paraId="040062C8">
            <w:pPr>
              <w:jc w:val="center"/>
              <w:rPr>
                <w:rFonts w:ascii="宋体" w:hAnsi="宋体" w:eastAsia="宋体" w:cs="Times New Roman"/>
                <w:color w:val="auto"/>
              </w:rPr>
            </w:pPr>
            <w:r>
              <w:rPr>
                <w:rFonts w:ascii="宋体" w:hAnsi="宋体" w:eastAsia="宋体" w:cs="Times New Roman"/>
                <w:color w:val="auto"/>
              </w:rPr>
              <w:t>68.57</w:t>
            </w:r>
          </w:p>
        </w:tc>
        <w:tc>
          <w:tcPr>
            <w:tcW w:w="363" w:type="pct"/>
            <w:shd w:val="clear" w:color="auto" w:fill="auto"/>
            <w:vAlign w:val="center"/>
          </w:tcPr>
          <w:p w14:paraId="1DDA3FB1">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w:t>
            </w:r>
          </w:p>
        </w:tc>
        <w:tc>
          <w:tcPr>
            <w:tcW w:w="460" w:type="pct"/>
            <w:shd w:val="clear" w:color="auto" w:fill="auto"/>
            <w:vAlign w:val="center"/>
          </w:tcPr>
          <w:p w14:paraId="58CA3A23">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tc>
      </w:tr>
      <w:tr w14:paraId="28BCD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continue"/>
            <w:shd w:val="clear" w:color="auto" w:fill="auto"/>
            <w:vAlign w:val="center"/>
          </w:tcPr>
          <w:p w14:paraId="6D46C40B">
            <w:pPr>
              <w:jc w:val="center"/>
              <w:rPr>
                <w:rFonts w:ascii="宋体" w:hAnsi="宋体" w:eastAsia="宋体" w:cs="Times New Roman"/>
                <w:color w:val="auto"/>
              </w:rPr>
            </w:pPr>
          </w:p>
        </w:tc>
        <w:tc>
          <w:tcPr>
            <w:tcW w:w="480" w:type="pct"/>
            <w:vMerge w:val="continue"/>
            <w:shd w:val="clear" w:color="auto" w:fill="auto"/>
            <w:vAlign w:val="center"/>
          </w:tcPr>
          <w:p w14:paraId="4EDBC61E">
            <w:pPr>
              <w:jc w:val="center"/>
              <w:rPr>
                <w:rFonts w:ascii="宋体" w:hAnsi="宋体" w:eastAsia="宋体" w:cs="Times New Roman"/>
                <w:color w:val="auto"/>
              </w:rPr>
            </w:pPr>
          </w:p>
        </w:tc>
        <w:tc>
          <w:tcPr>
            <w:tcW w:w="420" w:type="pct"/>
            <w:vMerge w:val="continue"/>
            <w:shd w:val="clear" w:color="auto" w:fill="auto"/>
            <w:vAlign w:val="center"/>
          </w:tcPr>
          <w:p w14:paraId="604C4AEF">
            <w:pPr>
              <w:jc w:val="center"/>
              <w:rPr>
                <w:rFonts w:ascii="宋体" w:hAnsi="宋体" w:eastAsia="宋体" w:cs="Times New Roman"/>
                <w:color w:val="auto"/>
              </w:rPr>
            </w:pPr>
          </w:p>
        </w:tc>
        <w:tc>
          <w:tcPr>
            <w:tcW w:w="397" w:type="pct"/>
            <w:vMerge w:val="continue"/>
            <w:shd w:val="clear" w:color="auto" w:fill="auto"/>
            <w:vAlign w:val="center"/>
          </w:tcPr>
          <w:p w14:paraId="69E38B16">
            <w:pPr>
              <w:jc w:val="center"/>
              <w:rPr>
                <w:rFonts w:ascii="宋体" w:hAnsi="宋体" w:eastAsia="宋体" w:cs="Times New Roman"/>
                <w:color w:val="auto"/>
              </w:rPr>
            </w:pPr>
          </w:p>
        </w:tc>
        <w:tc>
          <w:tcPr>
            <w:tcW w:w="910" w:type="pct"/>
            <w:shd w:val="clear" w:color="auto" w:fill="auto"/>
            <w:vAlign w:val="center"/>
          </w:tcPr>
          <w:p w14:paraId="595BCA25">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24小时平均第95位百分位数</w:t>
            </w:r>
          </w:p>
        </w:tc>
        <w:tc>
          <w:tcPr>
            <w:tcW w:w="509" w:type="pct"/>
            <w:shd w:val="clear" w:color="auto" w:fill="auto"/>
            <w:vAlign w:val="center"/>
          </w:tcPr>
          <w:p w14:paraId="3166D0A6">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75</w:t>
            </w:r>
          </w:p>
        </w:tc>
        <w:tc>
          <w:tcPr>
            <w:tcW w:w="509" w:type="pct"/>
            <w:shd w:val="clear" w:color="auto" w:fill="auto"/>
            <w:vAlign w:val="center"/>
          </w:tcPr>
          <w:p w14:paraId="505F36A9">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61</w:t>
            </w:r>
          </w:p>
        </w:tc>
        <w:tc>
          <w:tcPr>
            <w:tcW w:w="500" w:type="pct"/>
            <w:shd w:val="clear" w:color="auto" w:fill="auto"/>
            <w:vAlign w:val="center"/>
          </w:tcPr>
          <w:p w14:paraId="6FC0E0BC">
            <w:pPr>
              <w:jc w:val="center"/>
              <w:rPr>
                <w:rFonts w:ascii="宋体" w:hAnsi="宋体" w:eastAsia="宋体" w:cs="Times New Roman"/>
                <w:color w:val="auto"/>
              </w:rPr>
            </w:pPr>
            <w:r>
              <w:rPr>
                <w:rFonts w:ascii="宋体" w:hAnsi="宋体" w:eastAsia="宋体" w:cs="Times New Roman"/>
                <w:color w:val="auto"/>
              </w:rPr>
              <w:t>81.3</w:t>
            </w:r>
          </w:p>
        </w:tc>
        <w:tc>
          <w:tcPr>
            <w:tcW w:w="363" w:type="pct"/>
            <w:shd w:val="clear" w:color="auto" w:fill="auto"/>
            <w:vAlign w:val="center"/>
          </w:tcPr>
          <w:p w14:paraId="557A895A">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w:t>
            </w:r>
          </w:p>
        </w:tc>
        <w:tc>
          <w:tcPr>
            <w:tcW w:w="460" w:type="pct"/>
            <w:shd w:val="clear" w:color="auto" w:fill="auto"/>
            <w:vAlign w:val="center"/>
          </w:tcPr>
          <w:p w14:paraId="58F421AD">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tc>
      </w:tr>
      <w:tr w14:paraId="65EA7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continue"/>
            <w:shd w:val="clear" w:color="auto" w:fill="auto"/>
            <w:vAlign w:val="center"/>
          </w:tcPr>
          <w:p w14:paraId="70973B79">
            <w:pPr>
              <w:jc w:val="center"/>
              <w:rPr>
                <w:rFonts w:ascii="宋体" w:hAnsi="宋体" w:eastAsia="宋体" w:cs="Times New Roman"/>
                <w:color w:val="auto"/>
              </w:rPr>
            </w:pPr>
          </w:p>
        </w:tc>
        <w:tc>
          <w:tcPr>
            <w:tcW w:w="480" w:type="pct"/>
            <w:vMerge w:val="continue"/>
            <w:shd w:val="clear" w:color="auto" w:fill="auto"/>
            <w:vAlign w:val="center"/>
          </w:tcPr>
          <w:p w14:paraId="74D17DE6">
            <w:pPr>
              <w:jc w:val="center"/>
              <w:rPr>
                <w:rFonts w:ascii="宋体" w:hAnsi="宋体" w:eastAsia="宋体" w:cs="Times New Roman"/>
                <w:color w:val="auto"/>
              </w:rPr>
            </w:pPr>
          </w:p>
        </w:tc>
        <w:tc>
          <w:tcPr>
            <w:tcW w:w="420" w:type="pct"/>
            <w:vMerge w:val="continue"/>
            <w:shd w:val="clear" w:color="auto" w:fill="auto"/>
            <w:vAlign w:val="center"/>
          </w:tcPr>
          <w:p w14:paraId="23D7E4F4">
            <w:pPr>
              <w:jc w:val="center"/>
              <w:rPr>
                <w:rFonts w:ascii="宋体" w:hAnsi="宋体" w:eastAsia="宋体" w:cs="Times New Roman"/>
                <w:color w:val="auto"/>
              </w:rPr>
            </w:pPr>
          </w:p>
        </w:tc>
        <w:tc>
          <w:tcPr>
            <w:tcW w:w="397" w:type="pct"/>
            <w:shd w:val="clear" w:color="auto" w:fill="auto"/>
            <w:vAlign w:val="center"/>
          </w:tcPr>
          <w:p w14:paraId="2C773CFC">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CO</w:t>
            </w:r>
          </w:p>
        </w:tc>
        <w:tc>
          <w:tcPr>
            <w:tcW w:w="910" w:type="pct"/>
            <w:shd w:val="clear" w:color="auto" w:fill="auto"/>
            <w:vAlign w:val="center"/>
          </w:tcPr>
          <w:p w14:paraId="756B48F0">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24小时平均第95位百分位数</w:t>
            </w:r>
          </w:p>
        </w:tc>
        <w:tc>
          <w:tcPr>
            <w:tcW w:w="509" w:type="pct"/>
            <w:shd w:val="clear" w:color="auto" w:fill="auto"/>
            <w:vAlign w:val="center"/>
          </w:tcPr>
          <w:p w14:paraId="2FDA24A3">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4000</w:t>
            </w:r>
          </w:p>
        </w:tc>
        <w:tc>
          <w:tcPr>
            <w:tcW w:w="509" w:type="pct"/>
            <w:shd w:val="clear" w:color="auto" w:fill="auto"/>
            <w:vAlign w:val="center"/>
          </w:tcPr>
          <w:p w14:paraId="5EBC4805">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0.7</w:t>
            </w:r>
          </w:p>
        </w:tc>
        <w:tc>
          <w:tcPr>
            <w:tcW w:w="500" w:type="pct"/>
            <w:shd w:val="clear" w:color="auto" w:fill="auto"/>
            <w:vAlign w:val="center"/>
          </w:tcPr>
          <w:p w14:paraId="7823DA9A">
            <w:pPr>
              <w:jc w:val="center"/>
              <w:rPr>
                <w:rFonts w:ascii="宋体" w:hAnsi="宋体" w:eastAsia="宋体" w:cs="Times New Roman"/>
                <w:color w:val="auto"/>
              </w:rPr>
            </w:pPr>
            <w:r>
              <w:rPr>
                <w:rFonts w:ascii="宋体" w:hAnsi="宋体" w:eastAsia="宋体" w:cs="Times New Roman"/>
                <w:color w:val="auto"/>
              </w:rPr>
              <w:t>0.02</w:t>
            </w:r>
          </w:p>
        </w:tc>
        <w:tc>
          <w:tcPr>
            <w:tcW w:w="363" w:type="pct"/>
            <w:shd w:val="clear" w:color="auto" w:fill="auto"/>
            <w:vAlign w:val="center"/>
          </w:tcPr>
          <w:p w14:paraId="128650A4">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w:t>
            </w:r>
          </w:p>
        </w:tc>
        <w:tc>
          <w:tcPr>
            <w:tcW w:w="460" w:type="pct"/>
            <w:shd w:val="clear" w:color="auto" w:fill="auto"/>
            <w:vAlign w:val="center"/>
          </w:tcPr>
          <w:p w14:paraId="45D05F72">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tc>
      </w:tr>
      <w:tr w14:paraId="222F7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2" w:type="pct"/>
            <w:vMerge w:val="continue"/>
            <w:shd w:val="clear" w:color="auto" w:fill="auto"/>
            <w:vAlign w:val="center"/>
          </w:tcPr>
          <w:p w14:paraId="6EEE909E">
            <w:pPr>
              <w:jc w:val="center"/>
              <w:rPr>
                <w:rFonts w:ascii="宋体" w:hAnsi="宋体" w:eastAsia="宋体" w:cs="Times New Roman"/>
                <w:color w:val="auto"/>
              </w:rPr>
            </w:pPr>
          </w:p>
        </w:tc>
        <w:tc>
          <w:tcPr>
            <w:tcW w:w="480" w:type="pct"/>
            <w:vMerge w:val="continue"/>
            <w:shd w:val="clear" w:color="auto" w:fill="auto"/>
            <w:vAlign w:val="center"/>
          </w:tcPr>
          <w:p w14:paraId="512EF595">
            <w:pPr>
              <w:jc w:val="center"/>
              <w:rPr>
                <w:rFonts w:ascii="宋体" w:hAnsi="宋体" w:eastAsia="宋体" w:cs="Times New Roman"/>
                <w:color w:val="auto"/>
              </w:rPr>
            </w:pPr>
          </w:p>
        </w:tc>
        <w:tc>
          <w:tcPr>
            <w:tcW w:w="420" w:type="pct"/>
            <w:vMerge w:val="continue"/>
            <w:shd w:val="clear" w:color="auto" w:fill="auto"/>
            <w:vAlign w:val="center"/>
          </w:tcPr>
          <w:p w14:paraId="11903C75">
            <w:pPr>
              <w:jc w:val="center"/>
              <w:rPr>
                <w:rFonts w:ascii="宋体" w:hAnsi="宋体" w:eastAsia="宋体" w:cs="Times New Roman"/>
                <w:color w:val="auto"/>
              </w:rPr>
            </w:pPr>
          </w:p>
        </w:tc>
        <w:tc>
          <w:tcPr>
            <w:tcW w:w="397" w:type="pct"/>
            <w:shd w:val="clear" w:color="auto" w:fill="auto"/>
            <w:vAlign w:val="center"/>
          </w:tcPr>
          <w:p w14:paraId="656C1A7C">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O</w:t>
            </w:r>
            <w:r>
              <w:rPr>
                <w:rFonts w:ascii="宋体" w:hAnsi="宋体" w:eastAsia="宋体" w:cs="Times New Roman"/>
                <w:color w:val="auto"/>
                <w:szCs w:val="22"/>
                <w:vertAlign w:val="subscript"/>
                <w:lang w:val="zh-CN" w:bidi="zh-CN"/>
              </w:rPr>
              <w:t>3</w:t>
            </w:r>
          </w:p>
        </w:tc>
        <w:tc>
          <w:tcPr>
            <w:tcW w:w="910" w:type="pct"/>
            <w:shd w:val="clear" w:color="auto" w:fill="auto"/>
            <w:vAlign w:val="center"/>
          </w:tcPr>
          <w:p w14:paraId="7F40F9E9">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8小时平均第90 位百分位数</w:t>
            </w:r>
          </w:p>
        </w:tc>
        <w:tc>
          <w:tcPr>
            <w:tcW w:w="509" w:type="pct"/>
            <w:shd w:val="clear" w:color="auto" w:fill="auto"/>
            <w:vAlign w:val="center"/>
          </w:tcPr>
          <w:p w14:paraId="7AC04AF0">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160</w:t>
            </w:r>
          </w:p>
        </w:tc>
        <w:tc>
          <w:tcPr>
            <w:tcW w:w="509" w:type="pct"/>
            <w:shd w:val="clear" w:color="auto" w:fill="auto"/>
            <w:vAlign w:val="center"/>
          </w:tcPr>
          <w:p w14:paraId="3E07DD96">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114</w:t>
            </w:r>
          </w:p>
        </w:tc>
        <w:tc>
          <w:tcPr>
            <w:tcW w:w="500" w:type="pct"/>
            <w:shd w:val="clear" w:color="auto" w:fill="auto"/>
            <w:vAlign w:val="center"/>
          </w:tcPr>
          <w:p w14:paraId="4ECC9BD5">
            <w:pPr>
              <w:jc w:val="center"/>
              <w:rPr>
                <w:rFonts w:ascii="宋体" w:hAnsi="宋体" w:eastAsia="宋体" w:cs="Times New Roman"/>
                <w:color w:val="auto"/>
              </w:rPr>
            </w:pPr>
            <w:r>
              <w:rPr>
                <w:rFonts w:ascii="宋体" w:hAnsi="宋体" w:eastAsia="宋体" w:cs="Times New Roman"/>
                <w:color w:val="auto"/>
              </w:rPr>
              <w:t>71.25</w:t>
            </w:r>
          </w:p>
        </w:tc>
        <w:tc>
          <w:tcPr>
            <w:tcW w:w="363" w:type="pct"/>
            <w:shd w:val="clear" w:color="auto" w:fill="auto"/>
            <w:vAlign w:val="center"/>
          </w:tcPr>
          <w:p w14:paraId="1A831A24">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w:t>
            </w:r>
          </w:p>
        </w:tc>
        <w:tc>
          <w:tcPr>
            <w:tcW w:w="460" w:type="pct"/>
            <w:shd w:val="clear" w:color="auto" w:fill="auto"/>
            <w:vAlign w:val="center"/>
          </w:tcPr>
          <w:p w14:paraId="328E8FCD">
            <w:pPr>
              <w:autoSpaceDE w:val="0"/>
              <w:autoSpaceDN w:val="0"/>
              <w:jc w:val="center"/>
              <w:rPr>
                <w:rFonts w:ascii="宋体" w:hAnsi="宋体" w:eastAsia="宋体" w:cs="Times New Roman"/>
                <w:color w:val="auto"/>
                <w:szCs w:val="22"/>
                <w:lang w:val="zh-CN" w:bidi="zh-CN"/>
              </w:rPr>
            </w:pPr>
            <w:r>
              <w:rPr>
                <w:rFonts w:ascii="宋体" w:hAnsi="宋体" w:eastAsia="宋体" w:cs="Times New Roman"/>
                <w:color w:val="auto"/>
                <w:szCs w:val="22"/>
                <w:lang w:val="zh-CN" w:bidi="zh-CN"/>
              </w:rPr>
              <w:t>达标</w:t>
            </w:r>
          </w:p>
        </w:tc>
      </w:tr>
    </w:tbl>
    <w:p w14:paraId="113D20B7">
      <w:pPr>
        <w:pStyle w:val="276"/>
        <w:widowControl w:val="0"/>
        <w:ind w:firstLine="480"/>
        <w:jc w:val="both"/>
        <w:rPr>
          <w:color w:val="auto"/>
          <w:kern w:val="2"/>
          <w:szCs w:val="20"/>
        </w:rPr>
      </w:pPr>
      <w:r>
        <w:rPr>
          <w:color w:val="auto"/>
          <w:kern w:val="2"/>
          <w:szCs w:val="22"/>
        </w:rPr>
        <w:t>以上统计结果表明，项目所在区域内空气污染因子PM</w:t>
      </w:r>
      <w:r>
        <w:rPr>
          <w:color w:val="auto"/>
          <w:kern w:val="2"/>
          <w:szCs w:val="22"/>
          <w:vertAlign w:val="subscript"/>
        </w:rPr>
        <w:t>10</w:t>
      </w:r>
      <w:r>
        <w:rPr>
          <w:color w:val="auto"/>
          <w:kern w:val="2"/>
          <w:szCs w:val="22"/>
        </w:rPr>
        <w:t>、PM</w:t>
      </w:r>
      <w:r>
        <w:rPr>
          <w:color w:val="auto"/>
          <w:kern w:val="2"/>
          <w:szCs w:val="22"/>
          <w:vertAlign w:val="subscript"/>
        </w:rPr>
        <w:t>2.5</w:t>
      </w:r>
      <w:r>
        <w:rPr>
          <w:color w:val="auto"/>
          <w:kern w:val="2"/>
          <w:szCs w:val="22"/>
        </w:rPr>
        <w:t>、SO</w:t>
      </w:r>
      <w:r>
        <w:rPr>
          <w:color w:val="auto"/>
          <w:kern w:val="2"/>
          <w:szCs w:val="22"/>
          <w:vertAlign w:val="subscript"/>
        </w:rPr>
        <w:t>2</w:t>
      </w:r>
      <w:r>
        <w:rPr>
          <w:color w:val="auto"/>
          <w:kern w:val="2"/>
          <w:szCs w:val="22"/>
        </w:rPr>
        <w:t>、NO</w:t>
      </w:r>
      <w:r>
        <w:rPr>
          <w:color w:val="auto"/>
          <w:kern w:val="2"/>
          <w:szCs w:val="22"/>
          <w:vertAlign w:val="subscript"/>
        </w:rPr>
        <w:t>2</w:t>
      </w:r>
      <w:r>
        <w:rPr>
          <w:color w:val="auto"/>
          <w:kern w:val="2"/>
          <w:szCs w:val="22"/>
        </w:rPr>
        <w:t>、CO、O</w:t>
      </w:r>
      <w:r>
        <w:rPr>
          <w:color w:val="auto"/>
          <w:kern w:val="2"/>
          <w:szCs w:val="22"/>
          <w:vertAlign w:val="subscript"/>
        </w:rPr>
        <w:t>3</w:t>
      </w:r>
      <w:r>
        <w:rPr>
          <w:color w:val="auto"/>
          <w:kern w:val="2"/>
          <w:szCs w:val="22"/>
        </w:rPr>
        <w:t>均满足《环境空气质量标准》（GB3095-2012）及其修改单中二级标准的要求，判定项目所在区域为达标区。</w:t>
      </w:r>
    </w:p>
    <w:p w14:paraId="711CCE9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环境空气质量现状补充监测</w:t>
      </w:r>
    </w:p>
    <w:p w14:paraId="792D7274">
      <w:pPr>
        <w:pStyle w:val="276"/>
        <w:widowControl w:val="0"/>
        <w:ind w:firstLine="480"/>
        <w:jc w:val="both"/>
        <w:rPr>
          <w:color w:val="auto"/>
          <w:kern w:val="21"/>
        </w:rPr>
      </w:pPr>
      <w:r>
        <w:rPr>
          <w:color w:val="auto"/>
          <w:kern w:val="21"/>
        </w:rPr>
        <w:t>（1）监测点位布设</w:t>
      </w:r>
    </w:p>
    <w:p w14:paraId="5F8CCDFD">
      <w:pPr>
        <w:pStyle w:val="276"/>
        <w:widowControl w:val="0"/>
        <w:ind w:firstLine="480"/>
        <w:jc w:val="both"/>
        <w:rPr>
          <w:color w:val="auto"/>
          <w:kern w:val="21"/>
        </w:rPr>
      </w:pPr>
      <w:r>
        <w:rPr>
          <w:color w:val="auto"/>
          <w:kern w:val="21"/>
        </w:rPr>
        <w:t>根据《环境影响评价技术导则 大气环境》（HJ2.2-2018），以近20年统计的当地主导风向为轴向，在厂址及主导风向下风向 5 km范围内设置 1～2 个监测点。因此根据区域井位分布特点，本项目共布设6个环境空气监测点位。</w:t>
      </w:r>
    </w:p>
    <w:p w14:paraId="37C75ADF">
      <w:pPr>
        <w:pStyle w:val="276"/>
        <w:widowControl w:val="0"/>
        <w:ind w:firstLine="480"/>
        <w:jc w:val="both"/>
        <w:rPr>
          <w:color w:val="auto"/>
          <w:kern w:val="21"/>
        </w:rPr>
      </w:pPr>
      <w:r>
        <w:rPr>
          <w:color w:val="auto"/>
          <w:kern w:val="21"/>
        </w:rPr>
        <w:t>本项目委托大庆中环评价检测有限公司于</w:t>
      </w:r>
      <w:r>
        <w:rPr>
          <w:color w:val="auto"/>
          <w:kern w:val="2"/>
        </w:rPr>
        <w:t>2025年</w:t>
      </w:r>
      <w:r>
        <w:rPr>
          <w:rFonts w:hint="eastAsia"/>
          <w:color w:val="auto"/>
          <w:kern w:val="2"/>
        </w:rPr>
        <w:t>8</w:t>
      </w:r>
      <w:r>
        <w:rPr>
          <w:color w:val="auto"/>
          <w:kern w:val="2"/>
        </w:rPr>
        <w:t>月1</w:t>
      </w:r>
      <w:r>
        <w:rPr>
          <w:rFonts w:hint="eastAsia"/>
          <w:color w:val="auto"/>
          <w:kern w:val="2"/>
        </w:rPr>
        <w:t>7</w:t>
      </w:r>
      <w:r>
        <w:rPr>
          <w:color w:val="auto"/>
          <w:kern w:val="2"/>
        </w:rPr>
        <w:t>日至2025年</w:t>
      </w:r>
      <w:r>
        <w:rPr>
          <w:rFonts w:hint="eastAsia"/>
          <w:color w:val="auto"/>
          <w:kern w:val="2"/>
        </w:rPr>
        <w:t>8</w:t>
      </w:r>
      <w:r>
        <w:rPr>
          <w:color w:val="auto"/>
          <w:kern w:val="2"/>
        </w:rPr>
        <w:t>月2</w:t>
      </w:r>
      <w:r>
        <w:rPr>
          <w:rFonts w:hint="eastAsia"/>
          <w:color w:val="auto"/>
          <w:kern w:val="2"/>
        </w:rPr>
        <w:t>7</w:t>
      </w:r>
      <w:r>
        <w:rPr>
          <w:color w:val="auto"/>
          <w:kern w:val="2"/>
        </w:rPr>
        <w:t>日</w:t>
      </w:r>
      <w:r>
        <w:rPr>
          <w:color w:val="auto"/>
          <w:kern w:val="21"/>
        </w:rPr>
        <w:t>对评价区域特征污染物进行环境质量现状补充监测，</w:t>
      </w:r>
      <w:r>
        <w:rPr>
          <w:color w:val="auto"/>
        </w:rPr>
        <w:t>区域</w:t>
      </w:r>
      <w:r>
        <w:rPr>
          <w:color w:val="auto"/>
          <w:kern w:val="21"/>
        </w:rPr>
        <w:t>特征污染物为非甲烷总烃、TSP，具体点位见表</w:t>
      </w:r>
      <w:r>
        <w:rPr>
          <w:color w:val="auto"/>
          <w:kern w:val="2"/>
          <w:szCs w:val="20"/>
        </w:rPr>
        <w:t>4.3-</w:t>
      </w:r>
      <w:r>
        <w:rPr>
          <w:color w:val="auto"/>
          <w:kern w:val="21"/>
        </w:rPr>
        <w:t>2，现状监测点位见附图</w:t>
      </w:r>
      <w:r>
        <w:rPr>
          <w:rFonts w:hint="eastAsia"/>
          <w:color w:val="auto"/>
          <w:kern w:val="21"/>
        </w:rPr>
        <w:t>6</w:t>
      </w:r>
      <w:r>
        <w:rPr>
          <w:color w:val="auto"/>
          <w:kern w:val="21"/>
        </w:rPr>
        <w:t>。</w:t>
      </w:r>
    </w:p>
    <w:p w14:paraId="75F5EF6E">
      <w:pPr>
        <w:pStyle w:val="276"/>
        <w:widowControl w:val="0"/>
        <w:spacing w:line="440" w:lineRule="exact"/>
        <w:ind w:firstLine="0" w:firstLineChars="0"/>
        <w:jc w:val="center"/>
        <w:rPr>
          <w:color w:val="auto"/>
          <w:kern w:val="21"/>
        </w:rPr>
      </w:pPr>
      <w:r>
        <w:rPr>
          <w:color w:val="auto"/>
          <w:kern w:val="21"/>
        </w:rPr>
        <w:t>表</w:t>
      </w:r>
      <w:r>
        <w:rPr>
          <w:color w:val="auto"/>
          <w:kern w:val="2"/>
          <w:szCs w:val="20"/>
        </w:rPr>
        <w:t>4.3-</w:t>
      </w:r>
      <w:r>
        <w:rPr>
          <w:color w:val="auto"/>
          <w:kern w:val="21"/>
        </w:rPr>
        <w:t xml:space="preserve">2 </w:t>
      </w:r>
      <w:r>
        <w:rPr>
          <w:color w:val="auto"/>
        </w:rPr>
        <w:t>环境</w:t>
      </w:r>
      <w:r>
        <w:rPr>
          <w:color w:val="auto"/>
          <w:kern w:val="21"/>
        </w:rPr>
        <w:t>空气现状监测点位</w:t>
      </w:r>
    </w:p>
    <w:tbl>
      <w:tblPr>
        <w:tblStyle w:val="81"/>
        <w:tblW w:w="9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1418"/>
        <w:gridCol w:w="1134"/>
        <w:gridCol w:w="1139"/>
        <w:gridCol w:w="704"/>
        <w:gridCol w:w="1275"/>
        <w:gridCol w:w="1982"/>
        <w:gridCol w:w="846"/>
      </w:tblGrid>
      <w:tr w14:paraId="23A18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Merge w:val="restart"/>
            <w:vAlign w:val="center"/>
          </w:tcPr>
          <w:p w14:paraId="76EF47AB">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序号</w:t>
            </w:r>
          </w:p>
        </w:tc>
        <w:tc>
          <w:tcPr>
            <w:tcW w:w="1418" w:type="dxa"/>
            <w:vMerge w:val="restart"/>
            <w:vAlign w:val="center"/>
          </w:tcPr>
          <w:p w14:paraId="549D5CF0">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监测点名称</w:t>
            </w:r>
          </w:p>
        </w:tc>
        <w:tc>
          <w:tcPr>
            <w:tcW w:w="2273" w:type="dxa"/>
            <w:gridSpan w:val="2"/>
            <w:vAlign w:val="center"/>
          </w:tcPr>
          <w:p w14:paraId="340339BB">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监测点坐标</w:t>
            </w:r>
            <w:r>
              <w:rPr>
                <w:rFonts w:hint="eastAsia" w:ascii="宋体" w:hAnsi="宋体" w:eastAsia="宋体" w:cs="Times New Roman"/>
                <w:color w:val="auto"/>
                <w:kern w:val="21"/>
              </w:rPr>
              <w:t>/</w:t>
            </w:r>
            <w:r>
              <w:rPr>
                <w:rFonts w:hint="eastAsia" w:ascii="宋体" w:hAnsi="宋体" w:eastAsia="宋体" w:cs="Times New Roman"/>
                <w:color w:val="auto"/>
              </w:rPr>
              <w:t>°</w:t>
            </w:r>
          </w:p>
        </w:tc>
        <w:tc>
          <w:tcPr>
            <w:tcW w:w="704" w:type="dxa"/>
            <w:vMerge w:val="restart"/>
            <w:vAlign w:val="center"/>
          </w:tcPr>
          <w:p w14:paraId="7ACA8CE7">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监测因子</w:t>
            </w:r>
          </w:p>
        </w:tc>
        <w:tc>
          <w:tcPr>
            <w:tcW w:w="1275" w:type="dxa"/>
            <w:vMerge w:val="restart"/>
            <w:vAlign w:val="center"/>
          </w:tcPr>
          <w:p w14:paraId="478C6F2E">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监测时段</w:t>
            </w:r>
          </w:p>
        </w:tc>
        <w:tc>
          <w:tcPr>
            <w:tcW w:w="1982" w:type="dxa"/>
            <w:vMerge w:val="restart"/>
            <w:vAlign w:val="center"/>
          </w:tcPr>
          <w:p w14:paraId="71921BE3">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相对厂址方位</w:t>
            </w:r>
          </w:p>
        </w:tc>
        <w:tc>
          <w:tcPr>
            <w:tcW w:w="846" w:type="dxa"/>
            <w:vMerge w:val="restart"/>
            <w:vAlign w:val="center"/>
          </w:tcPr>
          <w:p w14:paraId="0D44CE0D">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相对厂界距离</w:t>
            </w:r>
          </w:p>
        </w:tc>
      </w:tr>
      <w:tr w14:paraId="11465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vMerge w:val="continue"/>
            <w:vAlign w:val="center"/>
          </w:tcPr>
          <w:p w14:paraId="0617F757">
            <w:pPr>
              <w:spacing w:line="360" w:lineRule="exact"/>
              <w:jc w:val="center"/>
              <w:rPr>
                <w:rFonts w:ascii="宋体" w:hAnsi="宋体" w:eastAsia="宋体" w:cs="Times New Roman"/>
                <w:color w:val="auto"/>
                <w:kern w:val="21"/>
              </w:rPr>
            </w:pPr>
          </w:p>
        </w:tc>
        <w:tc>
          <w:tcPr>
            <w:tcW w:w="1418" w:type="dxa"/>
            <w:vMerge w:val="continue"/>
            <w:vAlign w:val="center"/>
          </w:tcPr>
          <w:p w14:paraId="607876BB">
            <w:pPr>
              <w:spacing w:line="360" w:lineRule="exact"/>
              <w:jc w:val="center"/>
              <w:rPr>
                <w:rFonts w:ascii="宋体" w:hAnsi="宋体" w:eastAsia="宋体" w:cs="Times New Roman"/>
                <w:color w:val="auto"/>
                <w:kern w:val="21"/>
              </w:rPr>
            </w:pPr>
          </w:p>
        </w:tc>
        <w:tc>
          <w:tcPr>
            <w:tcW w:w="1134" w:type="dxa"/>
            <w:vAlign w:val="center"/>
          </w:tcPr>
          <w:p w14:paraId="086FD1A2">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经度</w:t>
            </w:r>
          </w:p>
        </w:tc>
        <w:tc>
          <w:tcPr>
            <w:tcW w:w="1139" w:type="dxa"/>
            <w:vAlign w:val="center"/>
          </w:tcPr>
          <w:p w14:paraId="44C9E455">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纬度</w:t>
            </w:r>
          </w:p>
        </w:tc>
        <w:tc>
          <w:tcPr>
            <w:tcW w:w="704" w:type="dxa"/>
            <w:vMerge w:val="continue"/>
            <w:vAlign w:val="center"/>
          </w:tcPr>
          <w:p w14:paraId="1049585D">
            <w:pPr>
              <w:spacing w:line="360" w:lineRule="exact"/>
              <w:jc w:val="center"/>
              <w:rPr>
                <w:rFonts w:ascii="宋体" w:hAnsi="宋体" w:eastAsia="宋体" w:cs="Times New Roman"/>
                <w:color w:val="auto"/>
                <w:kern w:val="21"/>
              </w:rPr>
            </w:pPr>
          </w:p>
        </w:tc>
        <w:tc>
          <w:tcPr>
            <w:tcW w:w="1275" w:type="dxa"/>
            <w:vMerge w:val="continue"/>
            <w:vAlign w:val="center"/>
          </w:tcPr>
          <w:p w14:paraId="68CFA633">
            <w:pPr>
              <w:spacing w:line="360" w:lineRule="exact"/>
              <w:jc w:val="center"/>
              <w:rPr>
                <w:rFonts w:ascii="宋体" w:hAnsi="宋体" w:eastAsia="宋体" w:cs="Times New Roman"/>
                <w:color w:val="auto"/>
                <w:kern w:val="21"/>
              </w:rPr>
            </w:pPr>
          </w:p>
        </w:tc>
        <w:tc>
          <w:tcPr>
            <w:tcW w:w="1982" w:type="dxa"/>
            <w:vMerge w:val="continue"/>
            <w:vAlign w:val="center"/>
          </w:tcPr>
          <w:p w14:paraId="0127D822">
            <w:pPr>
              <w:spacing w:line="360" w:lineRule="exact"/>
              <w:jc w:val="center"/>
              <w:rPr>
                <w:rFonts w:ascii="宋体" w:hAnsi="宋体" w:eastAsia="宋体" w:cs="Times New Roman"/>
                <w:color w:val="auto"/>
                <w:kern w:val="21"/>
              </w:rPr>
            </w:pPr>
          </w:p>
        </w:tc>
        <w:tc>
          <w:tcPr>
            <w:tcW w:w="846" w:type="dxa"/>
            <w:vMerge w:val="continue"/>
            <w:vAlign w:val="center"/>
          </w:tcPr>
          <w:p w14:paraId="709B4F83">
            <w:pPr>
              <w:spacing w:line="360" w:lineRule="exact"/>
              <w:jc w:val="center"/>
              <w:rPr>
                <w:rFonts w:ascii="宋体" w:hAnsi="宋体" w:eastAsia="宋体" w:cs="Times New Roman"/>
                <w:color w:val="auto"/>
                <w:kern w:val="21"/>
              </w:rPr>
            </w:pPr>
          </w:p>
        </w:tc>
      </w:tr>
      <w:tr w14:paraId="68F54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noWrap/>
            <w:vAlign w:val="center"/>
          </w:tcPr>
          <w:p w14:paraId="52E4E4CF">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A1</w:t>
            </w:r>
          </w:p>
        </w:tc>
        <w:tc>
          <w:tcPr>
            <w:tcW w:w="1418" w:type="dxa"/>
            <w:noWrap/>
            <w:vAlign w:val="center"/>
          </w:tcPr>
          <w:p w14:paraId="322ABA75">
            <w:pPr>
              <w:spacing w:line="360" w:lineRule="exact"/>
              <w:jc w:val="center"/>
              <w:rPr>
                <w:rFonts w:ascii="宋体" w:hAnsi="宋体" w:eastAsia="宋体" w:cs="Times New Roman"/>
                <w:color w:val="auto"/>
                <w:kern w:val="21"/>
              </w:rPr>
            </w:pPr>
            <w:r>
              <w:rPr>
                <w:rFonts w:hint="eastAsia" w:ascii="宋体" w:hAnsi="宋体" w:eastAsia="宋体" w:cs="Times New Roman"/>
                <w:color w:val="auto"/>
                <w:kern w:val="21"/>
              </w:rPr>
              <w:t>3</w:t>
            </w:r>
            <w:r>
              <w:rPr>
                <w:rFonts w:ascii="宋体" w:hAnsi="宋体" w:eastAsia="宋体" w:cs="Times New Roman"/>
                <w:color w:val="auto"/>
                <w:kern w:val="21"/>
              </w:rPr>
              <w:t>#平台井场</w:t>
            </w:r>
          </w:p>
        </w:tc>
        <w:tc>
          <w:tcPr>
            <w:tcW w:w="1134" w:type="dxa"/>
            <w:vAlign w:val="center"/>
          </w:tcPr>
          <w:p w14:paraId="2C3FEB81">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125.17320</w:t>
            </w:r>
          </w:p>
        </w:tc>
        <w:tc>
          <w:tcPr>
            <w:tcW w:w="1139" w:type="dxa"/>
            <w:vAlign w:val="center"/>
          </w:tcPr>
          <w:p w14:paraId="2B3A74E7">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45.56462</w:t>
            </w:r>
          </w:p>
        </w:tc>
        <w:tc>
          <w:tcPr>
            <w:tcW w:w="704" w:type="dxa"/>
            <w:vMerge w:val="restart"/>
            <w:noWrap/>
            <w:vAlign w:val="center"/>
          </w:tcPr>
          <w:p w14:paraId="7CA38EDE">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非甲烷总烃、TSP</w:t>
            </w:r>
          </w:p>
        </w:tc>
        <w:tc>
          <w:tcPr>
            <w:tcW w:w="1275" w:type="dxa"/>
            <w:vMerge w:val="restart"/>
            <w:noWrap/>
            <w:vAlign w:val="center"/>
          </w:tcPr>
          <w:p w14:paraId="29ACC965">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2025.8.17-</w:t>
            </w:r>
          </w:p>
          <w:p w14:paraId="64B6ED26">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2025.8.23</w:t>
            </w:r>
          </w:p>
        </w:tc>
        <w:tc>
          <w:tcPr>
            <w:tcW w:w="1982" w:type="dxa"/>
            <w:noWrap/>
            <w:vAlign w:val="center"/>
          </w:tcPr>
          <w:p w14:paraId="58B4B341">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拟建井场</w:t>
            </w:r>
          </w:p>
        </w:tc>
        <w:tc>
          <w:tcPr>
            <w:tcW w:w="846" w:type="dxa"/>
            <w:noWrap/>
            <w:vAlign w:val="center"/>
          </w:tcPr>
          <w:p w14:paraId="274DA666">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w:t>
            </w:r>
          </w:p>
        </w:tc>
      </w:tr>
      <w:tr w14:paraId="65043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noWrap/>
            <w:vAlign w:val="center"/>
          </w:tcPr>
          <w:p w14:paraId="2575725D">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A2</w:t>
            </w:r>
          </w:p>
        </w:tc>
        <w:tc>
          <w:tcPr>
            <w:tcW w:w="1418" w:type="dxa"/>
            <w:noWrap/>
            <w:vAlign w:val="center"/>
          </w:tcPr>
          <w:p w14:paraId="25B1295C">
            <w:pPr>
              <w:spacing w:line="360" w:lineRule="exact"/>
              <w:jc w:val="center"/>
              <w:rPr>
                <w:rFonts w:ascii="宋体" w:hAnsi="宋体" w:eastAsia="宋体" w:cs="Times New Roman"/>
                <w:color w:val="auto"/>
                <w:kern w:val="21"/>
              </w:rPr>
            </w:pPr>
            <w:r>
              <w:rPr>
                <w:rFonts w:ascii="宋体" w:hAnsi="宋体" w:eastAsia="宋体" w:cs="Times New Roman"/>
                <w:color w:val="auto"/>
                <w:kern w:val="24"/>
              </w:rPr>
              <w:t>后欧力马屯</w:t>
            </w:r>
          </w:p>
        </w:tc>
        <w:tc>
          <w:tcPr>
            <w:tcW w:w="1134" w:type="dxa"/>
            <w:vAlign w:val="center"/>
          </w:tcPr>
          <w:p w14:paraId="188C8484">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125.17038</w:t>
            </w:r>
          </w:p>
        </w:tc>
        <w:tc>
          <w:tcPr>
            <w:tcW w:w="1139" w:type="dxa"/>
            <w:vAlign w:val="center"/>
          </w:tcPr>
          <w:p w14:paraId="61C48A7A">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45.56833</w:t>
            </w:r>
          </w:p>
        </w:tc>
        <w:tc>
          <w:tcPr>
            <w:tcW w:w="704" w:type="dxa"/>
            <w:vMerge w:val="continue"/>
            <w:noWrap/>
            <w:vAlign w:val="center"/>
          </w:tcPr>
          <w:p w14:paraId="4C0151F2">
            <w:pPr>
              <w:spacing w:line="360" w:lineRule="exact"/>
              <w:jc w:val="center"/>
              <w:rPr>
                <w:rFonts w:ascii="宋体" w:hAnsi="宋体" w:eastAsia="宋体" w:cs="Times New Roman"/>
                <w:color w:val="auto"/>
                <w:kern w:val="21"/>
              </w:rPr>
            </w:pPr>
          </w:p>
        </w:tc>
        <w:tc>
          <w:tcPr>
            <w:tcW w:w="1275" w:type="dxa"/>
            <w:vMerge w:val="continue"/>
            <w:noWrap/>
            <w:vAlign w:val="center"/>
          </w:tcPr>
          <w:p w14:paraId="69B192C5">
            <w:pPr>
              <w:spacing w:line="360" w:lineRule="exact"/>
              <w:jc w:val="center"/>
              <w:rPr>
                <w:rFonts w:ascii="宋体" w:hAnsi="宋体" w:eastAsia="宋体" w:cs="Times New Roman"/>
                <w:color w:val="auto"/>
                <w:kern w:val="21"/>
              </w:rPr>
            </w:pPr>
          </w:p>
        </w:tc>
        <w:tc>
          <w:tcPr>
            <w:tcW w:w="1982" w:type="dxa"/>
            <w:noWrap/>
            <w:vAlign w:val="center"/>
          </w:tcPr>
          <w:p w14:paraId="5C5871F2">
            <w:pPr>
              <w:spacing w:line="360" w:lineRule="exact"/>
              <w:jc w:val="center"/>
              <w:rPr>
                <w:rFonts w:ascii="宋体" w:hAnsi="宋体" w:eastAsia="宋体" w:cs="Times New Roman"/>
                <w:color w:val="auto"/>
                <w:kern w:val="21"/>
              </w:rPr>
            </w:pPr>
            <w:r>
              <w:rPr>
                <w:rFonts w:hint="eastAsia" w:ascii="宋体" w:hAnsi="宋体" w:eastAsia="宋体" w:cs="Times New Roman"/>
                <w:color w:val="auto"/>
                <w:kern w:val="21"/>
              </w:rPr>
              <w:t>3</w:t>
            </w:r>
            <w:r>
              <w:rPr>
                <w:rFonts w:ascii="宋体" w:hAnsi="宋体" w:eastAsia="宋体" w:cs="Times New Roman"/>
                <w:color w:val="auto"/>
                <w:kern w:val="21"/>
              </w:rPr>
              <w:t>#平台西北侧</w:t>
            </w:r>
          </w:p>
        </w:tc>
        <w:tc>
          <w:tcPr>
            <w:tcW w:w="846" w:type="dxa"/>
            <w:noWrap/>
            <w:vAlign w:val="center"/>
          </w:tcPr>
          <w:p w14:paraId="48183DB6">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300m</w:t>
            </w:r>
          </w:p>
        </w:tc>
      </w:tr>
      <w:tr w14:paraId="63207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noWrap/>
            <w:vAlign w:val="center"/>
          </w:tcPr>
          <w:p w14:paraId="6EF441BF">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A3</w:t>
            </w:r>
          </w:p>
        </w:tc>
        <w:tc>
          <w:tcPr>
            <w:tcW w:w="1418" w:type="dxa"/>
            <w:noWrap/>
            <w:vAlign w:val="center"/>
          </w:tcPr>
          <w:p w14:paraId="2B8B1CAC">
            <w:pPr>
              <w:spacing w:line="360" w:lineRule="exact"/>
              <w:jc w:val="center"/>
              <w:rPr>
                <w:rFonts w:ascii="宋体" w:hAnsi="宋体" w:eastAsia="宋体" w:cs="Times New Roman"/>
                <w:color w:val="auto"/>
                <w:kern w:val="24"/>
              </w:rPr>
            </w:pPr>
            <w:r>
              <w:rPr>
                <w:rFonts w:ascii="宋体" w:hAnsi="宋体" w:eastAsia="宋体" w:cs="Times New Roman"/>
                <w:color w:val="auto"/>
                <w:kern w:val="24"/>
              </w:rPr>
              <w:t>王家园子屯</w:t>
            </w:r>
          </w:p>
        </w:tc>
        <w:tc>
          <w:tcPr>
            <w:tcW w:w="1134" w:type="dxa"/>
            <w:vAlign w:val="center"/>
          </w:tcPr>
          <w:p w14:paraId="12D7B5B3">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125.16569</w:t>
            </w:r>
          </w:p>
        </w:tc>
        <w:tc>
          <w:tcPr>
            <w:tcW w:w="1139" w:type="dxa"/>
            <w:vAlign w:val="center"/>
          </w:tcPr>
          <w:p w14:paraId="786244E1">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45.55666</w:t>
            </w:r>
          </w:p>
        </w:tc>
        <w:tc>
          <w:tcPr>
            <w:tcW w:w="704" w:type="dxa"/>
            <w:vMerge w:val="continue"/>
            <w:noWrap/>
            <w:vAlign w:val="center"/>
          </w:tcPr>
          <w:p w14:paraId="6CF9560F">
            <w:pPr>
              <w:spacing w:line="360" w:lineRule="exact"/>
              <w:jc w:val="center"/>
              <w:rPr>
                <w:rFonts w:ascii="宋体" w:hAnsi="宋体" w:eastAsia="宋体" w:cs="Times New Roman"/>
                <w:color w:val="auto"/>
                <w:kern w:val="21"/>
              </w:rPr>
            </w:pPr>
          </w:p>
        </w:tc>
        <w:tc>
          <w:tcPr>
            <w:tcW w:w="1275" w:type="dxa"/>
            <w:vMerge w:val="continue"/>
            <w:noWrap/>
            <w:vAlign w:val="center"/>
          </w:tcPr>
          <w:p w14:paraId="34677410">
            <w:pPr>
              <w:spacing w:line="360" w:lineRule="exact"/>
              <w:jc w:val="center"/>
              <w:rPr>
                <w:rFonts w:ascii="宋体" w:hAnsi="宋体" w:eastAsia="宋体" w:cs="Times New Roman"/>
                <w:color w:val="auto"/>
                <w:kern w:val="21"/>
              </w:rPr>
            </w:pPr>
          </w:p>
        </w:tc>
        <w:tc>
          <w:tcPr>
            <w:tcW w:w="1982" w:type="dxa"/>
            <w:noWrap/>
            <w:vAlign w:val="center"/>
          </w:tcPr>
          <w:p w14:paraId="7FDC51F7">
            <w:pPr>
              <w:spacing w:line="360" w:lineRule="exact"/>
              <w:jc w:val="center"/>
              <w:rPr>
                <w:rFonts w:ascii="宋体" w:hAnsi="宋体" w:eastAsia="宋体" w:cs="Times New Roman"/>
                <w:color w:val="auto"/>
                <w:kern w:val="21"/>
              </w:rPr>
            </w:pPr>
            <w:r>
              <w:rPr>
                <w:rFonts w:hint="eastAsia" w:ascii="宋体" w:hAnsi="宋体" w:eastAsia="宋体" w:cs="Times New Roman"/>
                <w:color w:val="auto"/>
                <w:kern w:val="21"/>
              </w:rPr>
              <w:t>3</w:t>
            </w:r>
            <w:r>
              <w:rPr>
                <w:rFonts w:ascii="宋体" w:hAnsi="宋体" w:eastAsia="宋体" w:cs="Times New Roman"/>
                <w:color w:val="auto"/>
                <w:kern w:val="21"/>
              </w:rPr>
              <w:t>#平台西南侧</w:t>
            </w:r>
          </w:p>
        </w:tc>
        <w:tc>
          <w:tcPr>
            <w:tcW w:w="846" w:type="dxa"/>
            <w:noWrap/>
            <w:vAlign w:val="center"/>
          </w:tcPr>
          <w:p w14:paraId="42416DDC">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910m</w:t>
            </w:r>
          </w:p>
        </w:tc>
      </w:tr>
      <w:tr w14:paraId="4A0C9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noWrap/>
            <w:vAlign w:val="center"/>
          </w:tcPr>
          <w:p w14:paraId="6FA675BF">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A4</w:t>
            </w:r>
          </w:p>
        </w:tc>
        <w:tc>
          <w:tcPr>
            <w:tcW w:w="1418" w:type="dxa"/>
            <w:noWrap/>
            <w:vAlign w:val="center"/>
          </w:tcPr>
          <w:p w14:paraId="600023BC">
            <w:pPr>
              <w:spacing w:line="360" w:lineRule="exact"/>
              <w:jc w:val="center"/>
              <w:rPr>
                <w:rFonts w:ascii="宋体" w:hAnsi="宋体" w:eastAsia="宋体" w:cs="Times New Roman"/>
                <w:color w:val="auto"/>
                <w:kern w:val="24"/>
              </w:rPr>
            </w:pPr>
            <w:r>
              <w:rPr>
                <w:rFonts w:ascii="宋体" w:hAnsi="宋体" w:eastAsia="宋体" w:cs="Times New Roman"/>
                <w:color w:val="auto"/>
                <w:kern w:val="21"/>
              </w:rPr>
              <w:t>源1011井场</w:t>
            </w:r>
          </w:p>
        </w:tc>
        <w:tc>
          <w:tcPr>
            <w:tcW w:w="1134" w:type="dxa"/>
            <w:vAlign w:val="center"/>
          </w:tcPr>
          <w:p w14:paraId="0067CD2D">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125.04547</w:t>
            </w:r>
          </w:p>
        </w:tc>
        <w:tc>
          <w:tcPr>
            <w:tcW w:w="1139" w:type="dxa"/>
            <w:vAlign w:val="center"/>
          </w:tcPr>
          <w:p w14:paraId="2936DDB6">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45.51232</w:t>
            </w:r>
          </w:p>
        </w:tc>
        <w:tc>
          <w:tcPr>
            <w:tcW w:w="704" w:type="dxa"/>
            <w:vMerge w:val="continue"/>
            <w:noWrap/>
            <w:vAlign w:val="center"/>
          </w:tcPr>
          <w:p w14:paraId="38E468F5">
            <w:pPr>
              <w:spacing w:line="360" w:lineRule="exact"/>
              <w:jc w:val="center"/>
              <w:rPr>
                <w:rFonts w:ascii="宋体" w:hAnsi="宋体" w:eastAsia="宋体" w:cs="Times New Roman"/>
                <w:color w:val="auto"/>
                <w:kern w:val="21"/>
              </w:rPr>
            </w:pPr>
          </w:p>
        </w:tc>
        <w:tc>
          <w:tcPr>
            <w:tcW w:w="1275" w:type="dxa"/>
            <w:vMerge w:val="restart"/>
            <w:noWrap/>
            <w:vAlign w:val="center"/>
          </w:tcPr>
          <w:p w14:paraId="2D9B5F10">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2025.8.21-</w:t>
            </w:r>
          </w:p>
          <w:p w14:paraId="3C9ABD68">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2025.8.27</w:t>
            </w:r>
          </w:p>
        </w:tc>
        <w:tc>
          <w:tcPr>
            <w:tcW w:w="1982" w:type="dxa"/>
            <w:noWrap/>
            <w:vAlign w:val="center"/>
          </w:tcPr>
          <w:p w14:paraId="17611B65">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拟建井场</w:t>
            </w:r>
          </w:p>
        </w:tc>
        <w:tc>
          <w:tcPr>
            <w:tcW w:w="846" w:type="dxa"/>
            <w:noWrap/>
            <w:vAlign w:val="center"/>
          </w:tcPr>
          <w:p w14:paraId="0364B8A7">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w:t>
            </w:r>
          </w:p>
        </w:tc>
      </w:tr>
      <w:tr w14:paraId="68614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noWrap/>
            <w:vAlign w:val="center"/>
          </w:tcPr>
          <w:p w14:paraId="5F638635">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A5</w:t>
            </w:r>
          </w:p>
        </w:tc>
        <w:tc>
          <w:tcPr>
            <w:tcW w:w="1418" w:type="dxa"/>
            <w:noWrap/>
            <w:vAlign w:val="center"/>
          </w:tcPr>
          <w:p w14:paraId="0820822A">
            <w:pPr>
              <w:spacing w:line="360" w:lineRule="exact"/>
              <w:jc w:val="center"/>
              <w:rPr>
                <w:rFonts w:ascii="宋体" w:hAnsi="宋体" w:eastAsia="宋体" w:cs="Times New Roman"/>
                <w:color w:val="auto"/>
                <w:kern w:val="24"/>
              </w:rPr>
            </w:pPr>
            <w:r>
              <w:rPr>
                <w:rFonts w:ascii="宋体" w:hAnsi="宋体" w:eastAsia="宋体" w:cs="Times New Roman"/>
                <w:color w:val="auto"/>
                <w:kern w:val="24"/>
              </w:rPr>
              <w:t>刘兽医屯</w:t>
            </w:r>
          </w:p>
        </w:tc>
        <w:tc>
          <w:tcPr>
            <w:tcW w:w="1134" w:type="dxa"/>
            <w:vAlign w:val="center"/>
          </w:tcPr>
          <w:p w14:paraId="622E2FBE">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125.04248</w:t>
            </w:r>
          </w:p>
        </w:tc>
        <w:tc>
          <w:tcPr>
            <w:tcW w:w="1139" w:type="dxa"/>
            <w:vAlign w:val="center"/>
          </w:tcPr>
          <w:p w14:paraId="20EA657D">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45.51192</w:t>
            </w:r>
          </w:p>
        </w:tc>
        <w:tc>
          <w:tcPr>
            <w:tcW w:w="704" w:type="dxa"/>
            <w:vMerge w:val="continue"/>
            <w:noWrap/>
            <w:vAlign w:val="center"/>
          </w:tcPr>
          <w:p w14:paraId="5B44419A">
            <w:pPr>
              <w:spacing w:line="360" w:lineRule="exact"/>
              <w:jc w:val="center"/>
              <w:rPr>
                <w:rFonts w:ascii="宋体" w:hAnsi="宋体" w:eastAsia="宋体" w:cs="Times New Roman"/>
                <w:color w:val="auto"/>
                <w:kern w:val="21"/>
              </w:rPr>
            </w:pPr>
          </w:p>
        </w:tc>
        <w:tc>
          <w:tcPr>
            <w:tcW w:w="1275" w:type="dxa"/>
            <w:vMerge w:val="continue"/>
            <w:noWrap/>
            <w:vAlign w:val="center"/>
          </w:tcPr>
          <w:p w14:paraId="64959EF0">
            <w:pPr>
              <w:spacing w:line="360" w:lineRule="exact"/>
              <w:jc w:val="center"/>
              <w:rPr>
                <w:rFonts w:ascii="宋体" w:hAnsi="宋体" w:eastAsia="宋体" w:cs="Times New Roman"/>
                <w:color w:val="auto"/>
                <w:kern w:val="21"/>
              </w:rPr>
            </w:pPr>
          </w:p>
        </w:tc>
        <w:tc>
          <w:tcPr>
            <w:tcW w:w="1982" w:type="dxa"/>
            <w:noWrap/>
            <w:vAlign w:val="center"/>
          </w:tcPr>
          <w:p w14:paraId="5AFF4FE7">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源1011西侧</w:t>
            </w:r>
          </w:p>
        </w:tc>
        <w:tc>
          <w:tcPr>
            <w:tcW w:w="846" w:type="dxa"/>
            <w:noWrap/>
            <w:vAlign w:val="center"/>
          </w:tcPr>
          <w:p w14:paraId="0FA92E48">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140m</w:t>
            </w:r>
          </w:p>
        </w:tc>
      </w:tr>
      <w:tr w14:paraId="1B4E1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 w:type="dxa"/>
            <w:noWrap/>
            <w:vAlign w:val="center"/>
          </w:tcPr>
          <w:p w14:paraId="75E3CA0D">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A6</w:t>
            </w:r>
          </w:p>
        </w:tc>
        <w:tc>
          <w:tcPr>
            <w:tcW w:w="1418" w:type="dxa"/>
            <w:noWrap/>
            <w:vAlign w:val="center"/>
          </w:tcPr>
          <w:p w14:paraId="3ECB5AEB">
            <w:pPr>
              <w:spacing w:line="360" w:lineRule="exact"/>
              <w:jc w:val="center"/>
              <w:rPr>
                <w:rFonts w:ascii="宋体" w:hAnsi="宋体" w:eastAsia="宋体" w:cs="Times New Roman"/>
                <w:color w:val="auto"/>
                <w:kern w:val="24"/>
              </w:rPr>
            </w:pPr>
            <w:r>
              <w:rPr>
                <w:rFonts w:ascii="宋体" w:hAnsi="宋体" w:eastAsia="宋体" w:cs="Times New Roman"/>
                <w:color w:val="auto"/>
                <w:kern w:val="24"/>
              </w:rPr>
              <w:t>四方山屯</w:t>
            </w:r>
          </w:p>
        </w:tc>
        <w:tc>
          <w:tcPr>
            <w:tcW w:w="1134" w:type="dxa"/>
            <w:vAlign w:val="center"/>
          </w:tcPr>
          <w:p w14:paraId="1A6BCF80">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125.13778</w:t>
            </w:r>
          </w:p>
        </w:tc>
        <w:tc>
          <w:tcPr>
            <w:tcW w:w="1139" w:type="dxa"/>
            <w:vAlign w:val="center"/>
          </w:tcPr>
          <w:p w14:paraId="35042B15">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45.52767</w:t>
            </w:r>
          </w:p>
        </w:tc>
        <w:tc>
          <w:tcPr>
            <w:tcW w:w="704" w:type="dxa"/>
            <w:vMerge w:val="continue"/>
            <w:noWrap/>
            <w:vAlign w:val="center"/>
          </w:tcPr>
          <w:p w14:paraId="7BF58656">
            <w:pPr>
              <w:spacing w:line="360" w:lineRule="exact"/>
              <w:jc w:val="center"/>
              <w:rPr>
                <w:rFonts w:ascii="宋体" w:hAnsi="宋体" w:eastAsia="宋体" w:cs="Times New Roman"/>
                <w:color w:val="auto"/>
                <w:kern w:val="21"/>
              </w:rPr>
            </w:pPr>
          </w:p>
        </w:tc>
        <w:tc>
          <w:tcPr>
            <w:tcW w:w="1275" w:type="dxa"/>
            <w:vMerge w:val="continue"/>
            <w:noWrap/>
            <w:vAlign w:val="center"/>
          </w:tcPr>
          <w:p w14:paraId="152F9CE9">
            <w:pPr>
              <w:spacing w:line="360" w:lineRule="exact"/>
              <w:jc w:val="center"/>
              <w:rPr>
                <w:rFonts w:ascii="宋体" w:hAnsi="宋体" w:eastAsia="宋体" w:cs="Times New Roman"/>
                <w:color w:val="auto"/>
                <w:kern w:val="21"/>
              </w:rPr>
            </w:pPr>
          </w:p>
        </w:tc>
        <w:tc>
          <w:tcPr>
            <w:tcW w:w="1982" w:type="dxa"/>
            <w:noWrap/>
            <w:vAlign w:val="center"/>
          </w:tcPr>
          <w:p w14:paraId="5EA3604C">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源斜2401西南侧</w:t>
            </w:r>
          </w:p>
        </w:tc>
        <w:tc>
          <w:tcPr>
            <w:tcW w:w="846" w:type="dxa"/>
            <w:noWrap/>
            <w:vAlign w:val="center"/>
          </w:tcPr>
          <w:p w14:paraId="3CB232A7">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700m</w:t>
            </w:r>
          </w:p>
        </w:tc>
      </w:tr>
    </w:tbl>
    <w:p w14:paraId="1D0FA23A">
      <w:pPr>
        <w:pStyle w:val="276"/>
        <w:widowControl w:val="0"/>
        <w:ind w:firstLine="480"/>
        <w:jc w:val="both"/>
        <w:rPr>
          <w:color w:val="auto"/>
          <w:szCs w:val="28"/>
        </w:rPr>
      </w:pPr>
      <w:r>
        <w:rPr>
          <w:color w:val="auto"/>
          <w:szCs w:val="28"/>
        </w:rPr>
        <w:t>（2）监测项目</w:t>
      </w:r>
    </w:p>
    <w:p w14:paraId="7BCF503A">
      <w:pPr>
        <w:pStyle w:val="276"/>
        <w:widowControl w:val="0"/>
        <w:ind w:firstLine="480"/>
        <w:jc w:val="both"/>
        <w:rPr>
          <w:color w:val="auto"/>
          <w:szCs w:val="28"/>
        </w:rPr>
      </w:pPr>
      <w:r>
        <w:rPr>
          <w:color w:val="auto"/>
          <w:szCs w:val="28"/>
        </w:rPr>
        <w:t>根据当地的环境空气质量特征，结合本项目大气污染物排放特点，确定环境空气质量监测因子为非甲烷总烃、TSP。</w:t>
      </w:r>
    </w:p>
    <w:p w14:paraId="5B45B402">
      <w:pPr>
        <w:pStyle w:val="276"/>
        <w:widowControl w:val="0"/>
        <w:ind w:firstLine="480"/>
        <w:jc w:val="both"/>
        <w:rPr>
          <w:color w:val="auto"/>
          <w:szCs w:val="28"/>
        </w:rPr>
      </w:pPr>
      <w:r>
        <w:rPr>
          <w:color w:val="auto"/>
          <w:szCs w:val="28"/>
        </w:rPr>
        <w:t>（3）监测频次</w:t>
      </w:r>
    </w:p>
    <w:p w14:paraId="1C17A325">
      <w:pPr>
        <w:pStyle w:val="276"/>
        <w:widowControl w:val="0"/>
        <w:ind w:firstLine="480"/>
        <w:jc w:val="both"/>
        <w:rPr>
          <w:color w:val="auto"/>
          <w:szCs w:val="28"/>
        </w:rPr>
      </w:pPr>
      <w:r>
        <w:rPr>
          <w:color w:val="auto"/>
          <w:szCs w:val="28"/>
        </w:rPr>
        <w:t>非甲烷总烃监测频次为连续7天，每天采样4次，监测小时值；TSP监测频次为连续7天，监测日均值，每日监测24小时。</w:t>
      </w:r>
    </w:p>
    <w:p w14:paraId="51DA83EE">
      <w:pPr>
        <w:pStyle w:val="276"/>
        <w:widowControl w:val="0"/>
        <w:ind w:firstLine="480"/>
        <w:jc w:val="both"/>
        <w:rPr>
          <w:color w:val="auto"/>
          <w:szCs w:val="28"/>
        </w:rPr>
      </w:pPr>
      <w:r>
        <w:rPr>
          <w:color w:val="auto"/>
          <w:szCs w:val="28"/>
        </w:rPr>
        <w:t>（4）评价方法</w:t>
      </w:r>
    </w:p>
    <w:p w14:paraId="470411DC">
      <w:pPr>
        <w:pStyle w:val="276"/>
        <w:widowControl w:val="0"/>
        <w:ind w:firstLine="480"/>
        <w:jc w:val="both"/>
        <w:rPr>
          <w:color w:val="auto"/>
          <w:szCs w:val="28"/>
        </w:rPr>
      </w:pPr>
      <w:r>
        <w:rPr>
          <w:color w:val="auto"/>
          <w:szCs w:val="28"/>
        </w:rPr>
        <w:t>评价采用最大浓度占标率法，利用各监测点监测数据，统计各类污染物浓度范围、最大浓度占标率、最大超标倍数。数学表达式如下：</w:t>
      </w:r>
    </w:p>
    <w:p w14:paraId="022DFAF2">
      <w:pPr>
        <w:spacing w:line="440" w:lineRule="exact"/>
        <w:ind w:firstLine="420" w:firstLineChars="200"/>
        <w:jc w:val="center"/>
        <w:rPr>
          <w:rFonts w:ascii="宋体" w:hAnsi="宋体" w:eastAsia="宋体" w:cs="Times New Roman"/>
          <w:color w:val="auto"/>
          <w:szCs w:val="28"/>
        </w:rPr>
      </w:pPr>
      <w:r>
        <w:rPr>
          <w:rFonts w:ascii="宋体" w:hAnsi="宋体" w:eastAsia="宋体" w:cs="Times New Roman"/>
          <w:color w:val="auto"/>
          <w:szCs w:val="28"/>
        </w:rPr>
        <w:t>I</w:t>
      </w:r>
      <w:r>
        <w:rPr>
          <w:rFonts w:ascii="宋体" w:hAnsi="宋体" w:eastAsia="宋体" w:cs="Times New Roman"/>
          <w:color w:val="auto"/>
          <w:szCs w:val="28"/>
          <w:vertAlign w:val="subscript"/>
        </w:rPr>
        <w:t>i</w:t>
      </w:r>
      <w:r>
        <w:rPr>
          <w:rFonts w:ascii="宋体" w:hAnsi="宋体" w:eastAsia="宋体" w:cs="Times New Roman"/>
          <w:color w:val="auto"/>
          <w:szCs w:val="28"/>
        </w:rPr>
        <w:t>＝C</w:t>
      </w:r>
      <w:r>
        <w:rPr>
          <w:rFonts w:ascii="宋体" w:hAnsi="宋体" w:eastAsia="宋体" w:cs="Times New Roman"/>
          <w:color w:val="auto"/>
          <w:szCs w:val="28"/>
          <w:vertAlign w:val="subscript"/>
        </w:rPr>
        <w:t>i</w:t>
      </w:r>
      <w:r>
        <w:rPr>
          <w:rFonts w:ascii="宋体" w:hAnsi="宋体" w:eastAsia="宋体" w:cs="Times New Roman"/>
          <w:color w:val="auto"/>
          <w:szCs w:val="28"/>
        </w:rPr>
        <w:t>/C</w:t>
      </w:r>
      <w:r>
        <w:rPr>
          <w:rFonts w:ascii="宋体" w:hAnsi="宋体" w:eastAsia="宋体" w:cs="Times New Roman"/>
          <w:color w:val="auto"/>
          <w:szCs w:val="28"/>
          <w:vertAlign w:val="subscript"/>
        </w:rPr>
        <w:t>oi</w:t>
      </w:r>
      <w:r>
        <w:rPr>
          <w:rFonts w:ascii="宋体" w:hAnsi="宋体" w:eastAsia="宋体" w:cs="Times New Roman"/>
          <w:color w:val="auto"/>
          <w:szCs w:val="28"/>
        </w:rPr>
        <w:t>×100%</w:t>
      </w:r>
    </w:p>
    <w:p w14:paraId="3900B71C">
      <w:pPr>
        <w:pStyle w:val="276"/>
        <w:widowControl w:val="0"/>
        <w:ind w:firstLine="480"/>
        <w:jc w:val="both"/>
        <w:rPr>
          <w:color w:val="auto"/>
          <w:szCs w:val="28"/>
        </w:rPr>
      </w:pPr>
      <w:r>
        <w:rPr>
          <w:color w:val="auto"/>
          <w:szCs w:val="28"/>
        </w:rPr>
        <w:t>式中：I</w:t>
      </w:r>
      <w:r>
        <w:rPr>
          <w:color w:val="auto"/>
          <w:szCs w:val="28"/>
          <w:vertAlign w:val="subscript"/>
        </w:rPr>
        <w:t>i</w:t>
      </w:r>
      <w:r>
        <w:rPr>
          <w:color w:val="auto"/>
          <w:szCs w:val="28"/>
        </w:rPr>
        <w:t>—第i种污染物的最大浓度占标率，%；</w:t>
      </w:r>
    </w:p>
    <w:p w14:paraId="6B7D728E">
      <w:pPr>
        <w:pStyle w:val="276"/>
        <w:widowControl w:val="0"/>
        <w:ind w:firstLine="480"/>
        <w:jc w:val="both"/>
        <w:rPr>
          <w:color w:val="auto"/>
          <w:szCs w:val="28"/>
        </w:rPr>
      </w:pPr>
      <w:r>
        <w:rPr>
          <w:color w:val="auto"/>
          <w:szCs w:val="28"/>
        </w:rPr>
        <w:t xml:space="preserve">     C</w:t>
      </w:r>
      <w:r>
        <w:rPr>
          <w:color w:val="auto"/>
          <w:szCs w:val="28"/>
          <w:vertAlign w:val="subscript"/>
        </w:rPr>
        <w:t>i</w:t>
      </w:r>
      <w:r>
        <w:rPr>
          <w:color w:val="auto"/>
          <w:szCs w:val="28"/>
        </w:rPr>
        <w:t>—第i种污染物平均浓度，mg/m</w:t>
      </w:r>
      <w:r>
        <w:rPr>
          <w:color w:val="auto"/>
          <w:szCs w:val="28"/>
          <w:vertAlign w:val="superscript"/>
        </w:rPr>
        <w:t>3</w:t>
      </w:r>
      <w:r>
        <w:rPr>
          <w:color w:val="auto"/>
          <w:szCs w:val="28"/>
        </w:rPr>
        <w:t>；</w:t>
      </w:r>
    </w:p>
    <w:p w14:paraId="46A0AA12">
      <w:pPr>
        <w:pStyle w:val="276"/>
        <w:widowControl w:val="0"/>
        <w:ind w:firstLine="480"/>
        <w:jc w:val="both"/>
        <w:rPr>
          <w:color w:val="auto"/>
          <w:szCs w:val="28"/>
        </w:rPr>
      </w:pPr>
      <w:r>
        <w:rPr>
          <w:color w:val="auto"/>
          <w:szCs w:val="28"/>
        </w:rPr>
        <w:t xml:space="preserve">    C</w:t>
      </w:r>
      <w:r>
        <w:rPr>
          <w:color w:val="auto"/>
          <w:szCs w:val="28"/>
          <w:vertAlign w:val="subscript"/>
        </w:rPr>
        <w:t>0i</w:t>
      </w:r>
      <w:r>
        <w:rPr>
          <w:color w:val="auto"/>
          <w:szCs w:val="28"/>
        </w:rPr>
        <w:t>—第i种污染物环境质量标准，mg/m</w:t>
      </w:r>
      <w:r>
        <w:rPr>
          <w:color w:val="auto"/>
          <w:szCs w:val="28"/>
          <w:vertAlign w:val="superscript"/>
        </w:rPr>
        <w:t>3</w:t>
      </w:r>
      <w:r>
        <w:rPr>
          <w:color w:val="auto"/>
          <w:szCs w:val="28"/>
        </w:rPr>
        <w:t>。</w:t>
      </w:r>
    </w:p>
    <w:p w14:paraId="1CA95161">
      <w:pPr>
        <w:pStyle w:val="276"/>
        <w:widowControl w:val="0"/>
        <w:ind w:firstLine="480"/>
        <w:jc w:val="both"/>
        <w:rPr>
          <w:color w:val="auto"/>
          <w:szCs w:val="28"/>
        </w:rPr>
      </w:pPr>
      <w:r>
        <w:rPr>
          <w:color w:val="auto"/>
          <w:szCs w:val="28"/>
        </w:rPr>
        <w:t>若I</w:t>
      </w:r>
      <w:r>
        <w:rPr>
          <w:color w:val="auto"/>
          <w:szCs w:val="28"/>
          <w:vertAlign w:val="subscript"/>
        </w:rPr>
        <w:t>i</w:t>
      </w:r>
      <w:r>
        <w:rPr>
          <w:color w:val="auto"/>
          <w:szCs w:val="28"/>
        </w:rPr>
        <w:t>≥100%，表明该项指标超过了相应的环境空气质量标准，不能满足使用功能要求。若I</w:t>
      </w:r>
      <w:r>
        <w:rPr>
          <w:color w:val="auto"/>
          <w:szCs w:val="28"/>
          <w:vertAlign w:val="subscript"/>
        </w:rPr>
        <w:t>i</w:t>
      </w:r>
      <w:r>
        <w:rPr>
          <w:color w:val="auto"/>
          <w:szCs w:val="28"/>
        </w:rPr>
        <w:t>＜100%，则该指标满足环境空气质量标准，可以满足使用功能</w:t>
      </w:r>
      <w:r>
        <w:rPr>
          <w:color w:val="auto"/>
        </w:rPr>
        <w:t>要求</w:t>
      </w:r>
      <w:r>
        <w:rPr>
          <w:color w:val="auto"/>
          <w:szCs w:val="28"/>
        </w:rPr>
        <w:t>。</w:t>
      </w:r>
    </w:p>
    <w:p w14:paraId="26A3ABBD">
      <w:pPr>
        <w:pStyle w:val="276"/>
        <w:widowControl w:val="0"/>
        <w:ind w:firstLine="480"/>
        <w:jc w:val="both"/>
        <w:rPr>
          <w:color w:val="auto"/>
          <w:szCs w:val="28"/>
        </w:rPr>
      </w:pPr>
      <w:r>
        <w:rPr>
          <w:color w:val="auto"/>
          <w:szCs w:val="28"/>
        </w:rPr>
        <w:t>（5）评价标准</w:t>
      </w:r>
    </w:p>
    <w:p w14:paraId="70003FA8">
      <w:pPr>
        <w:pStyle w:val="276"/>
        <w:widowControl w:val="0"/>
        <w:ind w:firstLine="480"/>
        <w:jc w:val="both"/>
        <w:rPr>
          <w:color w:val="auto"/>
          <w:szCs w:val="28"/>
        </w:rPr>
      </w:pPr>
      <w:r>
        <w:rPr>
          <w:color w:val="auto"/>
          <w:szCs w:val="28"/>
        </w:rPr>
        <w:t>非甲烷总烃执行《大气污染物综合排放标准详解》中的2.0mg/m</w:t>
      </w:r>
      <w:r>
        <w:rPr>
          <w:color w:val="auto"/>
          <w:szCs w:val="28"/>
          <w:vertAlign w:val="superscript"/>
        </w:rPr>
        <w:t>3</w:t>
      </w:r>
      <w:r>
        <w:rPr>
          <w:color w:val="auto"/>
          <w:szCs w:val="28"/>
        </w:rPr>
        <w:t>标准限值，TSP执行</w:t>
      </w:r>
      <w:r>
        <w:rPr>
          <w:color w:val="auto"/>
          <w:kern w:val="2"/>
          <w:szCs w:val="20"/>
        </w:rPr>
        <w:t>《环境空气质量标准》（GB3095-2012）及其修改单中的二级标准</w:t>
      </w:r>
      <w:r>
        <w:rPr>
          <w:color w:val="auto"/>
          <w:szCs w:val="28"/>
        </w:rPr>
        <w:t>。</w:t>
      </w:r>
    </w:p>
    <w:p w14:paraId="5497139B">
      <w:pPr>
        <w:pStyle w:val="276"/>
        <w:widowControl w:val="0"/>
        <w:ind w:firstLine="480"/>
        <w:jc w:val="both"/>
        <w:rPr>
          <w:color w:val="auto"/>
          <w:szCs w:val="28"/>
        </w:rPr>
      </w:pPr>
      <w:r>
        <w:rPr>
          <w:color w:val="auto"/>
          <w:szCs w:val="28"/>
        </w:rPr>
        <w:t>（6）监测及评价结果</w:t>
      </w:r>
    </w:p>
    <w:p w14:paraId="42D7F9A6">
      <w:pPr>
        <w:pStyle w:val="276"/>
        <w:widowControl w:val="0"/>
        <w:ind w:firstLine="480"/>
        <w:jc w:val="both"/>
        <w:rPr>
          <w:color w:val="auto"/>
          <w:kern w:val="21"/>
        </w:rPr>
      </w:pPr>
      <w:r>
        <w:rPr>
          <w:color w:val="auto"/>
          <w:szCs w:val="28"/>
        </w:rPr>
        <w:t>特征污染物现状监测及评价结果详见表</w:t>
      </w:r>
      <w:r>
        <w:rPr>
          <w:color w:val="auto"/>
          <w:kern w:val="2"/>
          <w:szCs w:val="20"/>
        </w:rPr>
        <w:t>4.3-</w:t>
      </w:r>
      <w:r>
        <w:rPr>
          <w:color w:val="auto"/>
          <w:szCs w:val="28"/>
        </w:rPr>
        <w:t>3。</w:t>
      </w:r>
    </w:p>
    <w:p w14:paraId="7291350F">
      <w:pPr>
        <w:pStyle w:val="276"/>
        <w:widowControl w:val="0"/>
        <w:spacing w:line="440" w:lineRule="exact"/>
        <w:ind w:firstLine="0" w:firstLineChars="0"/>
        <w:jc w:val="center"/>
        <w:rPr>
          <w:color w:val="auto"/>
          <w:kern w:val="21"/>
        </w:rPr>
      </w:pPr>
      <w:r>
        <w:rPr>
          <w:color w:val="auto"/>
          <w:kern w:val="21"/>
        </w:rPr>
        <w:t>表</w:t>
      </w:r>
      <w:r>
        <w:rPr>
          <w:color w:val="auto"/>
          <w:kern w:val="2"/>
          <w:szCs w:val="20"/>
        </w:rPr>
        <w:t>4.3-</w:t>
      </w:r>
      <w:r>
        <w:rPr>
          <w:color w:val="auto"/>
          <w:kern w:val="21"/>
        </w:rPr>
        <w:t xml:space="preserve">3 </w:t>
      </w:r>
      <w:r>
        <w:rPr>
          <w:color w:val="auto"/>
          <w:szCs w:val="28"/>
        </w:rPr>
        <w:t>特征污染物现状监测及评价结果</w:t>
      </w:r>
      <w:r>
        <w:rPr>
          <w:color w:val="auto"/>
          <w:kern w:val="21"/>
        </w:rPr>
        <w:t xml:space="preserve"> 单位：mg/m</w:t>
      </w:r>
      <w:r>
        <w:rPr>
          <w:color w:val="auto"/>
          <w:kern w:val="21"/>
          <w:vertAlign w:val="superscript"/>
        </w:rPr>
        <w:t>3</w:t>
      </w:r>
    </w:p>
    <w:tbl>
      <w:tblPr>
        <w:tblStyle w:val="81"/>
        <w:tblW w:w="90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3"/>
        <w:gridCol w:w="1134"/>
        <w:gridCol w:w="1134"/>
        <w:gridCol w:w="659"/>
        <w:gridCol w:w="480"/>
        <w:gridCol w:w="850"/>
        <w:gridCol w:w="1276"/>
        <w:gridCol w:w="709"/>
        <w:gridCol w:w="693"/>
        <w:gridCol w:w="726"/>
      </w:tblGrid>
      <w:tr w14:paraId="130CA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Merge w:val="restart"/>
            <w:vAlign w:val="center"/>
          </w:tcPr>
          <w:p w14:paraId="47AD85E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监测点位</w:t>
            </w:r>
          </w:p>
        </w:tc>
        <w:tc>
          <w:tcPr>
            <w:tcW w:w="2268" w:type="dxa"/>
            <w:gridSpan w:val="2"/>
            <w:vAlign w:val="center"/>
          </w:tcPr>
          <w:p w14:paraId="66F68F5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监测点坐标</w:t>
            </w:r>
            <w:r>
              <w:rPr>
                <w:rFonts w:hint="eastAsia" w:ascii="宋体" w:hAnsi="宋体" w:eastAsia="宋体" w:cs="Times New Roman"/>
                <w:color w:val="auto"/>
              </w:rPr>
              <w:t>/°</w:t>
            </w:r>
          </w:p>
        </w:tc>
        <w:tc>
          <w:tcPr>
            <w:tcW w:w="659" w:type="dxa"/>
            <w:vMerge w:val="restart"/>
            <w:vAlign w:val="center"/>
          </w:tcPr>
          <w:p w14:paraId="1BE6AF3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污染物</w:t>
            </w:r>
          </w:p>
        </w:tc>
        <w:tc>
          <w:tcPr>
            <w:tcW w:w="480" w:type="dxa"/>
            <w:vMerge w:val="restart"/>
            <w:vAlign w:val="center"/>
          </w:tcPr>
          <w:p w14:paraId="7BDC8EF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平均时间</w:t>
            </w:r>
          </w:p>
        </w:tc>
        <w:tc>
          <w:tcPr>
            <w:tcW w:w="850" w:type="dxa"/>
            <w:vMerge w:val="restart"/>
            <w:vAlign w:val="center"/>
          </w:tcPr>
          <w:p w14:paraId="5764BC1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评价</w:t>
            </w:r>
          </w:p>
          <w:p w14:paraId="4E8FD69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标准mg/m</w:t>
            </w:r>
            <w:r>
              <w:rPr>
                <w:rFonts w:ascii="宋体" w:hAnsi="宋体" w:eastAsia="宋体" w:cs="Times New Roman"/>
                <w:color w:val="auto"/>
                <w:vertAlign w:val="superscript"/>
              </w:rPr>
              <w:t>3</w:t>
            </w:r>
          </w:p>
        </w:tc>
        <w:tc>
          <w:tcPr>
            <w:tcW w:w="1276" w:type="dxa"/>
            <w:vMerge w:val="restart"/>
            <w:vAlign w:val="center"/>
          </w:tcPr>
          <w:p w14:paraId="7F27D60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监测浓度范围mg/m</w:t>
            </w:r>
            <w:r>
              <w:rPr>
                <w:rFonts w:ascii="宋体" w:hAnsi="宋体" w:eastAsia="宋体" w:cs="Times New Roman"/>
                <w:color w:val="auto"/>
                <w:vertAlign w:val="superscript"/>
              </w:rPr>
              <w:t>3</w:t>
            </w:r>
          </w:p>
        </w:tc>
        <w:tc>
          <w:tcPr>
            <w:tcW w:w="709" w:type="dxa"/>
            <w:vMerge w:val="restart"/>
            <w:vAlign w:val="center"/>
          </w:tcPr>
          <w:p w14:paraId="364A20A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最大浓度占标率%</w:t>
            </w:r>
          </w:p>
        </w:tc>
        <w:tc>
          <w:tcPr>
            <w:tcW w:w="693" w:type="dxa"/>
            <w:vMerge w:val="restart"/>
            <w:vAlign w:val="center"/>
          </w:tcPr>
          <w:p w14:paraId="54D3B8B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超标率%</w:t>
            </w:r>
          </w:p>
        </w:tc>
        <w:tc>
          <w:tcPr>
            <w:tcW w:w="726" w:type="dxa"/>
            <w:vMerge w:val="restart"/>
            <w:vAlign w:val="center"/>
          </w:tcPr>
          <w:p w14:paraId="5961ABE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达标情况</w:t>
            </w:r>
          </w:p>
        </w:tc>
      </w:tr>
      <w:tr w14:paraId="5FED3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Merge w:val="continue"/>
            <w:vAlign w:val="center"/>
          </w:tcPr>
          <w:p w14:paraId="676D4636">
            <w:pPr>
              <w:adjustRightInd w:val="0"/>
              <w:snapToGrid w:val="0"/>
              <w:spacing w:line="360" w:lineRule="exact"/>
              <w:jc w:val="center"/>
              <w:rPr>
                <w:rFonts w:ascii="宋体" w:hAnsi="宋体" w:eastAsia="宋体" w:cs="Times New Roman"/>
                <w:color w:val="auto"/>
              </w:rPr>
            </w:pPr>
          </w:p>
        </w:tc>
        <w:tc>
          <w:tcPr>
            <w:tcW w:w="1134" w:type="dxa"/>
            <w:vAlign w:val="center"/>
          </w:tcPr>
          <w:p w14:paraId="662B7D9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经度</w:t>
            </w:r>
          </w:p>
        </w:tc>
        <w:tc>
          <w:tcPr>
            <w:tcW w:w="1134" w:type="dxa"/>
            <w:vAlign w:val="center"/>
          </w:tcPr>
          <w:p w14:paraId="2D7D693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纬度</w:t>
            </w:r>
          </w:p>
        </w:tc>
        <w:tc>
          <w:tcPr>
            <w:tcW w:w="659" w:type="dxa"/>
            <w:vMerge w:val="continue"/>
            <w:vAlign w:val="center"/>
          </w:tcPr>
          <w:p w14:paraId="3F3928C9">
            <w:pPr>
              <w:adjustRightInd w:val="0"/>
              <w:snapToGrid w:val="0"/>
              <w:spacing w:line="360" w:lineRule="exact"/>
              <w:jc w:val="center"/>
              <w:rPr>
                <w:rFonts w:ascii="宋体" w:hAnsi="宋体" w:eastAsia="宋体" w:cs="Times New Roman"/>
                <w:color w:val="auto"/>
              </w:rPr>
            </w:pPr>
          </w:p>
        </w:tc>
        <w:tc>
          <w:tcPr>
            <w:tcW w:w="480" w:type="dxa"/>
            <w:vMerge w:val="continue"/>
            <w:vAlign w:val="center"/>
          </w:tcPr>
          <w:p w14:paraId="0EDE7267">
            <w:pPr>
              <w:adjustRightInd w:val="0"/>
              <w:snapToGrid w:val="0"/>
              <w:spacing w:line="360" w:lineRule="exact"/>
              <w:jc w:val="center"/>
              <w:rPr>
                <w:rFonts w:ascii="宋体" w:hAnsi="宋体" w:eastAsia="宋体" w:cs="Times New Roman"/>
                <w:color w:val="auto"/>
              </w:rPr>
            </w:pPr>
          </w:p>
        </w:tc>
        <w:tc>
          <w:tcPr>
            <w:tcW w:w="850" w:type="dxa"/>
            <w:vMerge w:val="continue"/>
            <w:vAlign w:val="center"/>
          </w:tcPr>
          <w:p w14:paraId="06D7828F">
            <w:pPr>
              <w:adjustRightInd w:val="0"/>
              <w:snapToGrid w:val="0"/>
              <w:spacing w:line="360" w:lineRule="exact"/>
              <w:jc w:val="center"/>
              <w:rPr>
                <w:rFonts w:ascii="宋体" w:hAnsi="宋体" w:eastAsia="宋体" w:cs="Times New Roman"/>
                <w:color w:val="auto"/>
              </w:rPr>
            </w:pPr>
          </w:p>
        </w:tc>
        <w:tc>
          <w:tcPr>
            <w:tcW w:w="1276" w:type="dxa"/>
            <w:vMerge w:val="continue"/>
            <w:vAlign w:val="center"/>
          </w:tcPr>
          <w:p w14:paraId="14B850B7">
            <w:pPr>
              <w:adjustRightInd w:val="0"/>
              <w:snapToGrid w:val="0"/>
              <w:spacing w:line="360" w:lineRule="exact"/>
              <w:jc w:val="center"/>
              <w:rPr>
                <w:rFonts w:ascii="宋体" w:hAnsi="宋体" w:eastAsia="宋体" w:cs="Times New Roman"/>
                <w:color w:val="auto"/>
              </w:rPr>
            </w:pPr>
          </w:p>
        </w:tc>
        <w:tc>
          <w:tcPr>
            <w:tcW w:w="709" w:type="dxa"/>
            <w:vMerge w:val="continue"/>
            <w:vAlign w:val="center"/>
          </w:tcPr>
          <w:p w14:paraId="7DFD28C2">
            <w:pPr>
              <w:adjustRightInd w:val="0"/>
              <w:snapToGrid w:val="0"/>
              <w:spacing w:line="360" w:lineRule="exact"/>
              <w:jc w:val="center"/>
              <w:rPr>
                <w:rFonts w:ascii="宋体" w:hAnsi="宋体" w:eastAsia="宋体" w:cs="Times New Roman"/>
                <w:color w:val="auto"/>
              </w:rPr>
            </w:pPr>
          </w:p>
        </w:tc>
        <w:tc>
          <w:tcPr>
            <w:tcW w:w="693" w:type="dxa"/>
            <w:vMerge w:val="continue"/>
            <w:vAlign w:val="center"/>
          </w:tcPr>
          <w:p w14:paraId="7411A817">
            <w:pPr>
              <w:adjustRightInd w:val="0"/>
              <w:snapToGrid w:val="0"/>
              <w:spacing w:line="360" w:lineRule="exact"/>
              <w:jc w:val="center"/>
              <w:rPr>
                <w:rFonts w:ascii="宋体" w:hAnsi="宋体" w:eastAsia="宋体" w:cs="Times New Roman"/>
                <w:color w:val="auto"/>
              </w:rPr>
            </w:pPr>
          </w:p>
        </w:tc>
        <w:tc>
          <w:tcPr>
            <w:tcW w:w="726" w:type="dxa"/>
            <w:vMerge w:val="continue"/>
            <w:vAlign w:val="center"/>
          </w:tcPr>
          <w:p w14:paraId="646A5FE2">
            <w:pPr>
              <w:adjustRightInd w:val="0"/>
              <w:snapToGrid w:val="0"/>
              <w:spacing w:line="360" w:lineRule="exact"/>
              <w:jc w:val="center"/>
              <w:rPr>
                <w:rFonts w:ascii="宋体" w:hAnsi="宋体" w:eastAsia="宋体" w:cs="Times New Roman"/>
                <w:color w:val="auto"/>
              </w:rPr>
            </w:pPr>
          </w:p>
        </w:tc>
      </w:tr>
      <w:tr w14:paraId="6E380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2BB2F8F3">
            <w:pPr>
              <w:spacing w:line="360" w:lineRule="exact"/>
              <w:jc w:val="center"/>
              <w:rPr>
                <w:rFonts w:ascii="宋体" w:hAnsi="宋体" w:eastAsia="宋体" w:cs="Times New Roman"/>
                <w:color w:val="auto"/>
                <w:kern w:val="21"/>
              </w:rPr>
            </w:pPr>
            <w:r>
              <w:rPr>
                <w:rFonts w:hint="eastAsia" w:ascii="宋体" w:hAnsi="宋体" w:eastAsia="宋体" w:cs="Times New Roman"/>
                <w:color w:val="auto"/>
                <w:kern w:val="21"/>
              </w:rPr>
              <w:t>3</w:t>
            </w:r>
            <w:r>
              <w:rPr>
                <w:rFonts w:ascii="宋体" w:hAnsi="宋体" w:eastAsia="宋体" w:cs="Times New Roman"/>
                <w:color w:val="auto"/>
                <w:kern w:val="21"/>
              </w:rPr>
              <w:t>#平台井场</w:t>
            </w:r>
          </w:p>
        </w:tc>
        <w:tc>
          <w:tcPr>
            <w:tcW w:w="1134" w:type="dxa"/>
            <w:vAlign w:val="center"/>
          </w:tcPr>
          <w:p w14:paraId="0C053A1A">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125.17320</w:t>
            </w:r>
          </w:p>
        </w:tc>
        <w:tc>
          <w:tcPr>
            <w:tcW w:w="1134" w:type="dxa"/>
            <w:vAlign w:val="center"/>
          </w:tcPr>
          <w:p w14:paraId="3F92B749">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45.56462</w:t>
            </w:r>
          </w:p>
        </w:tc>
        <w:tc>
          <w:tcPr>
            <w:tcW w:w="659" w:type="dxa"/>
            <w:vMerge w:val="restart"/>
            <w:vAlign w:val="center"/>
          </w:tcPr>
          <w:p w14:paraId="7A8E3C1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非甲烷总烃</w:t>
            </w:r>
          </w:p>
        </w:tc>
        <w:tc>
          <w:tcPr>
            <w:tcW w:w="480" w:type="dxa"/>
            <w:vMerge w:val="restart"/>
            <w:vAlign w:val="center"/>
          </w:tcPr>
          <w:p w14:paraId="3DA33C2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1h</w:t>
            </w:r>
          </w:p>
        </w:tc>
        <w:tc>
          <w:tcPr>
            <w:tcW w:w="850" w:type="dxa"/>
            <w:vAlign w:val="center"/>
          </w:tcPr>
          <w:p w14:paraId="3A46A3D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276" w:type="dxa"/>
            <w:vAlign w:val="center"/>
          </w:tcPr>
          <w:p w14:paraId="43075CF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0.44-0.66</w:t>
            </w:r>
          </w:p>
        </w:tc>
        <w:tc>
          <w:tcPr>
            <w:tcW w:w="709" w:type="dxa"/>
            <w:vAlign w:val="center"/>
          </w:tcPr>
          <w:p w14:paraId="0C8774D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33</w:t>
            </w:r>
          </w:p>
        </w:tc>
        <w:tc>
          <w:tcPr>
            <w:tcW w:w="693" w:type="dxa"/>
            <w:vAlign w:val="center"/>
          </w:tcPr>
          <w:p w14:paraId="4399F32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041329D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5A42A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763034A9">
            <w:pPr>
              <w:spacing w:line="360" w:lineRule="exact"/>
              <w:jc w:val="center"/>
              <w:rPr>
                <w:rFonts w:ascii="宋体" w:hAnsi="宋体" w:eastAsia="宋体" w:cs="Times New Roman"/>
                <w:color w:val="auto"/>
                <w:kern w:val="21"/>
              </w:rPr>
            </w:pPr>
            <w:r>
              <w:rPr>
                <w:rFonts w:ascii="宋体" w:hAnsi="宋体" w:eastAsia="宋体" w:cs="Times New Roman"/>
                <w:color w:val="auto"/>
                <w:kern w:val="24"/>
              </w:rPr>
              <w:t>后欧力马屯</w:t>
            </w:r>
          </w:p>
        </w:tc>
        <w:tc>
          <w:tcPr>
            <w:tcW w:w="1134" w:type="dxa"/>
            <w:vAlign w:val="center"/>
          </w:tcPr>
          <w:p w14:paraId="32612192">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125.17038</w:t>
            </w:r>
          </w:p>
        </w:tc>
        <w:tc>
          <w:tcPr>
            <w:tcW w:w="1134" w:type="dxa"/>
            <w:vAlign w:val="center"/>
          </w:tcPr>
          <w:p w14:paraId="5351A05A">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45.56833</w:t>
            </w:r>
          </w:p>
        </w:tc>
        <w:tc>
          <w:tcPr>
            <w:tcW w:w="659" w:type="dxa"/>
            <w:vMerge w:val="continue"/>
            <w:vAlign w:val="center"/>
          </w:tcPr>
          <w:p w14:paraId="7D816D04">
            <w:pPr>
              <w:adjustRightInd w:val="0"/>
              <w:snapToGrid w:val="0"/>
              <w:spacing w:line="360" w:lineRule="exact"/>
              <w:jc w:val="center"/>
              <w:rPr>
                <w:rFonts w:ascii="宋体" w:hAnsi="宋体" w:eastAsia="宋体" w:cs="Times New Roman"/>
                <w:color w:val="auto"/>
              </w:rPr>
            </w:pPr>
          </w:p>
        </w:tc>
        <w:tc>
          <w:tcPr>
            <w:tcW w:w="480" w:type="dxa"/>
            <w:vMerge w:val="continue"/>
            <w:vAlign w:val="center"/>
          </w:tcPr>
          <w:p w14:paraId="694027DD">
            <w:pPr>
              <w:adjustRightInd w:val="0"/>
              <w:snapToGrid w:val="0"/>
              <w:spacing w:line="360" w:lineRule="exact"/>
              <w:jc w:val="center"/>
              <w:rPr>
                <w:rFonts w:ascii="宋体" w:hAnsi="宋体" w:eastAsia="宋体" w:cs="Times New Roman"/>
                <w:color w:val="auto"/>
              </w:rPr>
            </w:pPr>
          </w:p>
        </w:tc>
        <w:tc>
          <w:tcPr>
            <w:tcW w:w="850" w:type="dxa"/>
            <w:vAlign w:val="center"/>
          </w:tcPr>
          <w:p w14:paraId="5D463B6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276" w:type="dxa"/>
            <w:vAlign w:val="center"/>
          </w:tcPr>
          <w:p w14:paraId="6A61AA6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0.40-0.65</w:t>
            </w:r>
          </w:p>
        </w:tc>
        <w:tc>
          <w:tcPr>
            <w:tcW w:w="709" w:type="dxa"/>
            <w:vAlign w:val="center"/>
          </w:tcPr>
          <w:p w14:paraId="3FD2C59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32.5</w:t>
            </w:r>
          </w:p>
        </w:tc>
        <w:tc>
          <w:tcPr>
            <w:tcW w:w="693" w:type="dxa"/>
            <w:vAlign w:val="center"/>
          </w:tcPr>
          <w:p w14:paraId="13F26CE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56496F6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2D198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4A19A86A">
            <w:pPr>
              <w:spacing w:line="360" w:lineRule="exact"/>
              <w:jc w:val="center"/>
              <w:rPr>
                <w:rFonts w:ascii="宋体" w:hAnsi="宋体" w:eastAsia="宋体" w:cs="Times New Roman"/>
                <w:color w:val="auto"/>
                <w:kern w:val="21"/>
              </w:rPr>
            </w:pPr>
            <w:r>
              <w:rPr>
                <w:rFonts w:ascii="宋体" w:hAnsi="宋体" w:eastAsia="宋体" w:cs="Times New Roman"/>
                <w:color w:val="auto"/>
                <w:kern w:val="24"/>
              </w:rPr>
              <w:t>王家园子屯</w:t>
            </w:r>
          </w:p>
        </w:tc>
        <w:tc>
          <w:tcPr>
            <w:tcW w:w="1134" w:type="dxa"/>
            <w:vAlign w:val="center"/>
          </w:tcPr>
          <w:p w14:paraId="555ECA1E">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125.16569</w:t>
            </w:r>
          </w:p>
        </w:tc>
        <w:tc>
          <w:tcPr>
            <w:tcW w:w="1134" w:type="dxa"/>
            <w:vAlign w:val="center"/>
          </w:tcPr>
          <w:p w14:paraId="307CB20C">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45.55666</w:t>
            </w:r>
          </w:p>
        </w:tc>
        <w:tc>
          <w:tcPr>
            <w:tcW w:w="659" w:type="dxa"/>
            <w:vMerge w:val="continue"/>
            <w:vAlign w:val="center"/>
          </w:tcPr>
          <w:p w14:paraId="3AC74556">
            <w:pPr>
              <w:adjustRightInd w:val="0"/>
              <w:snapToGrid w:val="0"/>
              <w:spacing w:line="320" w:lineRule="exact"/>
              <w:jc w:val="center"/>
              <w:rPr>
                <w:rFonts w:ascii="宋体" w:hAnsi="宋体" w:eastAsia="宋体" w:cs="Times New Roman"/>
                <w:color w:val="auto"/>
              </w:rPr>
            </w:pPr>
          </w:p>
        </w:tc>
        <w:tc>
          <w:tcPr>
            <w:tcW w:w="480" w:type="dxa"/>
            <w:vMerge w:val="continue"/>
            <w:vAlign w:val="center"/>
          </w:tcPr>
          <w:p w14:paraId="09BBB8F4">
            <w:pPr>
              <w:adjustRightInd w:val="0"/>
              <w:snapToGrid w:val="0"/>
              <w:spacing w:line="320" w:lineRule="exact"/>
              <w:jc w:val="center"/>
              <w:rPr>
                <w:rFonts w:ascii="宋体" w:hAnsi="宋体" w:eastAsia="宋体" w:cs="Times New Roman"/>
                <w:color w:val="auto"/>
              </w:rPr>
            </w:pPr>
          </w:p>
        </w:tc>
        <w:tc>
          <w:tcPr>
            <w:tcW w:w="850" w:type="dxa"/>
            <w:vAlign w:val="center"/>
          </w:tcPr>
          <w:p w14:paraId="01B331C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276" w:type="dxa"/>
            <w:vAlign w:val="center"/>
          </w:tcPr>
          <w:p w14:paraId="5289373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0.44-0.62</w:t>
            </w:r>
          </w:p>
        </w:tc>
        <w:tc>
          <w:tcPr>
            <w:tcW w:w="709" w:type="dxa"/>
            <w:vAlign w:val="center"/>
          </w:tcPr>
          <w:p w14:paraId="751750D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31</w:t>
            </w:r>
          </w:p>
        </w:tc>
        <w:tc>
          <w:tcPr>
            <w:tcW w:w="693" w:type="dxa"/>
            <w:vAlign w:val="center"/>
          </w:tcPr>
          <w:p w14:paraId="1A84D9C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75A3EF2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7FB7C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47B04236">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源1011井场</w:t>
            </w:r>
          </w:p>
        </w:tc>
        <w:tc>
          <w:tcPr>
            <w:tcW w:w="1134" w:type="dxa"/>
            <w:vAlign w:val="center"/>
          </w:tcPr>
          <w:p w14:paraId="4FE8FAAA">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125.04547</w:t>
            </w:r>
          </w:p>
        </w:tc>
        <w:tc>
          <w:tcPr>
            <w:tcW w:w="1134" w:type="dxa"/>
            <w:vAlign w:val="center"/>
          </w:tcPr>
          <w:p w14:paraId="37E53EEC">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45.51232</w:t>
            </w:r>
          </w:p>
        </w:tc>
        <w:tc>
          <w:tcPr>
            <w:tcW w:w="659" w:type="dxa"/>
            <w:vMerge w:val="continue"/>
            <w:vAlign w:val="center"/>
          </w:tcPr>
          <w:p w14:paraId="70ABC48A">
            <w:pPr>
              <w:adjustRightInd w:val="0"/>
              <w:snapToGrid w:val="0"/>
              <w:spacing w:line="360" w:lineRule="exact"/>
              <w:jc w:val="center"/>
              <w:rPr>
                <w:rFonts w:ascii="宋体" w:hAnsi="宋体" w:eastAsia="宋体" w:cs="Times New Roman"/>
                <w:color w:val="auto"/>
              </w:rPr>
            </w:pPr>
          </w:p>
        </w:tc>
        <w:tc>
          <w:tcPr>
            <w:tcW w:w="480" w:type="dxa"/>
            <w:vMerge w:val="continue"/>
            <w:vAlign w:val="center"/>
          </w:tcPr>
          <w:p w14:paraId="089FD60D">
            <w:pPr>
              <w:adjustRightInd w:val="0"/>
              <w:snapToGrid w:val="0"/>
              <w:spacing w:line="360" w:lineRule="exact"/>
              <w:jc w:val="center"/>
              <w:rPr>
                <w:rFonts w:ascii="宋体" w:hAnsi="宋体" w:eastAsia="宋体" w:cs="Times New Roman"/>
                <w:color w:val="auto"/>
              </w:rPr>
            </w:pPr>
          </w:p>
        </w:tc>
        <w:tc>
          <w:tcPr>
            <w:tcW w:w="850" w:type="dxa"/>
            <w:vAlign w:val="center"/>
          </w:tcPr>
          <w:p w14:paraId="76E3643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276" w:type="dxa"/>
            <w:vAlign w:val="center"/>
          </w:tcPr>
          <w:p w14:paraId="0C87CA3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0.41-0.63</w:t>
            </w:r>
          </w:p>
        </w:tc>
        <w:tc>
          <w:tcPr>
            <w:tcW w:w="709" w:type="dxa"/>
            <w:vAlign w:val="center"/>
          </w:tcPr>
          <w:p w14:paraId="5064E01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31.5</w:t>
            </w:r>
          </w:p>
        </w:tc>
        <w:tc>
          <w:tcPr>
            <w:tcW w:w="693" w:type="dxa"/>
            <w:vAlign w:val="center"/>
          </w:tcPr>
          <w:p w14:paraId="48F4C85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71B6751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7869F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4931EFF7">
            <w:pPr>
              <w:spacing w:line="360" w:lineRule="exact"/>
              <w:jc w:val="center"/>
              <w:rPr>
                <w:rFonts w:ascii="宋体" w:hAnsi="宋体" w:eastAsia="宋体" w:cs="Times New Roman"/>
                <w:color w:val="auto"/>
                <w:kern w:val="24"/>
              </w:rPr>
            </w:pPr>
            <w:r>
              <w:rPr>
                <w:rFonts w:ascii="宋体" w:hAnsi="宋体" w:eastAsia="宋体" w:cs="Times New Roman"/>
                <w:color w:val="auto"/>
                <w:kern w:val="24"/>
              </w:rPr>
              <w:t>刘兽医屯</w:t>
            </w:r>
          </w:p>
        </w:tc>
        <w:tc>
          <w:tcPr>
            <w:tcW w:w="1134" w:type="dxa"/>
            <w:vAlign w:val="center"/>
          </w:tcPr>
          <w:p w14:paraId="1BCFA87B">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125.04248</w:t>
            </w:r>
          </w:p>
        </w:tc>
        <w:tc>
          <w:tcPr>
            <w:tcW w:w="1134" w:type="dxa"/>
            <w:vAlign w:val="center"/>
          </w:tcPr>
          <w:p w14:paraId="087F30AF">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45.51192</w:t>
            </w:r>
          </w:p>
        </w:tc>
        <w:tc>
          <w:tcPr>
            <w:tcW w:w="659" w:type="dxa"/>
            <w:vMerge w:val="continue"/>
            <w:vAlign w:val="center"/>
          </w:tcPr>
          <w:p w14:paraId="127B4D51">
            <w:pPr>
              <w:adjustRightInd w:val="0"/>
              <w:snapToGrid w:val="0"/>
              <w:spacing w:line="360" w:lineRule="exact"/>
              <w:jc w:val="center"/>
              <w:rPr>
                <w:rFonts w:ascii="宋体" w:hAnsi="宋体" w:eastAsia="宋体" w:cs="Times New Roman"/>
                <w:color w:val="auto"/>
              </w:rPr>
            </w:pPr>
          </w:p>
        </w:tc>
        <w:tc>
          <w:tcPr>
            <w:tcW w:w="480" w:type="dxa"/>
            <w:vMerge w:val="continue"/>
            <w:vAlign w:val="center"/>
          </w:tcPr>
          <w:p w14:paraId="1F51E88E">
            <w:pPr>
              <w:adjustRightInd w:val="0"/>
              <w:snapToGrid w:val="0"/>
              <w:spacing w:line="360" w:lineRule="exact"/>
              <w:jc w:val="center"/>
              <w:rPr>
                <w:rFonts w:ascii="宋体" w:hAnsi="宋体" w:eastAsia="宋体" w:cs="Times New Roman"/>
                <w:color w:val="auto"/>
              </w:rPr>
            </w:pPr>
          </w:p>
        </w:tc>
        <w:tc>
          <w:tcPr>
            <w:tcW w:w="850" w:type="dxa"/>
            <w:vAlign w:val="center"/>
          </w:tcPr>
          <w:p w14:paraId="2453580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276" w:type="dxa"/>
            <w:vAlign w:val="center"/>
          </w:tcPr>
          <w:p w14:paraId="2C656A4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0.41-0.63</w:t>
            </w:r>
          </w:p>
        </w:tc>
        <w:tc>
          <w:tcPr>
            <w:tcW w:w="709" w:type="dxa"/>
            <w:vAlign w:val="center"/>
          </w:tcPr>
          <w:p w14:paraId="49AAD5D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31.5</w:t>
            </w:r>
          </w:p>
        </w:tc>
        <w:tc>
          <w:tcPr>
            <w:tcW w:w="693" w:type="dxa"/>
            <w:vAlign w:val="center"/>
          </w:tcPr>
          <w:p w14:paraId="39D9C3B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72350E1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322C2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1473C035">
            <w:pPr>
              <w:spacing w:line="360" w:lineRule="exact"/>
              <w:jc w:val="center"/>
              <w:rPr>
                <w:rFonts w:ascii="宋体" w:hAnsi="宋体" w:eastAsia="宋体" w:cs="Times New Roman"/>
                <w:color w:val="auto"/>
                <w:kern w:val="24"/>
              </w:rPr>
            </w:pPr>
            <w:r>
              <w:rPr>
                <w:rFonts w:ascii="宋体" w:hAnsi="宋体" w:eastAsia="宋体" w:cs="Times New Roman"/>
                <w:color w:val="auto"/>
                <w:kern w:val="24"/>
              </w:rPr>
              <w:t>四方山屯</w:t>
            </w:r>
          </w:p>
        </w:tc>
        <w:tc>
          <w:tcPr>
            <w:tcW w:w="1134" w:type="dxa"/>
            <w:vAlign w:val="center"/>
          </w:tcPr>
          <w:p w14:paraId="37A18001">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125.13778</w:t>
            </w:r>
          </w:p>
        </w:tc>
        <w:tc>
          <w:tcPr>
            <w:tcW w:w="1134" w:type="dxa"/>
            <w:vAlign w:val="center"/>
          </w:tcPr>
          <w:p w14:paraId="49B87C88">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45.52767</w:t>
            </w:r>
          </w:p>
        </w:tc>
        <w:tc>
          <w:tcPr>
            <w:tcW w:w="659" w:type="dxa"/>
            <w:vMerge w:val="continue"/>
            <w:vAlign w:val="center"/>
          </w:tcPr>
          <w:p w14:paraId="458E42E6">
            <w:pPr>
              <w:adjustRightInd w:val="0"/>
              <w:snapToGrid w:val="0"/>
              <w:spacing w:line="360" w:lineRule="exact"/>
              <w:jc w:val="center"/>
              <w:rPr>
                <w:rFonts w:ascii="宋体" w:hAnsi="宋体" w:eastAsia="宋体" w:cs="Times New Roman"/>
                <w:color w:val="auto"/>
              </w:rPr>
            </w:pPr>
          </w:p>
        </w:tc>
        <w:tc>
          <w:tcPr>
            <w:tcW w:w="480" w:type="dxa"/>
            <w:vMerge w:val="continue"/>
            <w:vAlign w:val="center"/>
          </w:tcPr>
          <w:p w14:paraId="7DA9550E">
            <w:pPr>
              <w:adjustRightInd w:val="0"/>
              <w:snapToGrid w:val="0"/>
              <w:spacing w:line="360" w:lineRule="exact"/>
              <w:jc w:val="center"/>
              <w:rPr>
                <w:rFonts w:ascii="宋体" w:hAnsi="宋体" w:eastAsia="宋体" w:cs="Times New Roman"/>
                <w:color w:val="auto"/>
              </w:rPr>
            </w:pPr>
          </w:p>
        </w:tc>
        <w:tc>
          <w:tcPr>
            <w:tcW w:w="850" w:type="dxa"/>
            <w:vAlign w:val="center"/>
          </w:tcPr>
          <w:p w14:paraId="643102A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276" w:type="dxa"/>
            <w:vAlign w:val="center"/>
          </w:tcPr>
          <w:p w14:paraId="4740AC2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0.40-0.61</w:t>
            </w:r>
          </w:p>
        </w:tc>
        <w:tc>
          <w:tcPr>
            <w:tcW w:w="709" w:type="dxa"/>
            <w:vAlign w:val="center"/>
          </w:tcPr>
          <w:p w14:paraId="1718E69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30.5</w:t>
            </w:r>
          </w:p>
        </w:tc>
        <w:tc>
          <w:tcPr>
            <w:tcW w:w="693" w:type="dxa"/>
            <w:vAlign w:val="center"/>
          </w:tcPr>
          <w:p w14:paraId="31536FA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68EEF4A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5F1D3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61E3EDAD">
            <w:pPr>
              <w:spacing w:line="360" w:lineRule="exact"/>
              <w:jc w:val="center"/>
              <w:rPr>
                <w:rFonts w:ascii="宋体" w:hAnsi="宋体" w:eastAsia="宋体" w:cs="Times New Roman"/>
                <w:color w:val="auto"/>
                <w:kern w:val="24"/>
              </w:rPr>
            </w:pPr>
            <w:r>
              <w:rPr>
                <w:rFonts w:hint="eastAsia" w:ascii="宋体" w:hAnsi="宋体" w:eastAsia="宋体" w:cs="Times New Roman"/>
                <w:color w:val="auto"/>
                <w:kern w:val="21"/>
              </w:rPr>
              <w:t>3</w:t>
            </w:r>
            <w:r>
              <w:rPr>
                <w:rFonts w:ascii="宋体" w:hAnsi="宋体" w:eastAsia="宋体" w:cs="Times New Roman"/>
                <w:color w:val="auto"/>
                <w:kern w:val="21"/>
              </w:rPr>
              <w:t>#平台井场</w:t>
            </w:r>
          </w:p>
        </w:tc>
        <w:tc>
          <w:tcPr>
            <w:tcW w:w="1134" w:type="dxa"/>
            <w:vAlign w:val="center"/>
          </w:tcPr>
          <w:p w14:paraId="0021F306">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125.17320</w:t>
            </w:r>
          </w:p>
        </w:tc>
        <w:tc>
          <w:tcPr>
            <w:tcW w:w="1134" w:type="dxa"/>
            <w:vAlign w:val="center"/>
          </w:tcPr>
          <w:p w14:paraId="3174D33F">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45.56462</w:t>
            </w:r>
          </w:p>
        </w:tc>
        <w:tc>
          <w:tcPr>
            <w:tcW w:w="659" w:type="dxa"/>
            <w:vMerge w:val="restart"/>
            <w:vAlign w:val="center"/>
          </w:tcPr>
          <w:p w14:paraId="69D8D5D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TSP</w:t>
            </w:r>
          </w:p>
        </w:tc>
        <w:tc>
          <w:tcPr>
            <w:tcW w:w="480" w:type="dxa"/>
            <w:vMerge w:val="restart"/>
            <w:vAlign w:val="center"/>
          </w:tcPr>
          <w:p w14:paraId="3E90FCBD">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24h</w:t>
            </w:r>
          </w:p>
        </w:tc>
        <w:tc>
          <w:tcPr>
            <w:tcW w:w="850" w:type="dxa"/>
            <w:vAlign w:val="center"/>
          </w:tcPr>
          <w:p w14:paraId="5B3CB1C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1276" w:type="dxa"/>
            <w:vAlign w:val="center"/>
          </w:tcPr>
          <w:p w14:paraId="427C23D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0.051-0.062</w:t>
            </w:r>
          </w:p>
        </w:tc>
        <w:tc>
          <w:tcPr>
            <w:tcW w:w="709" w:type="dxa"/>
            <w:vAlign w:val="center"/>
          </w:tcPr>
          <w:p w14:paraId="2F76AF3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20.67</w:t>
            </w:r>
          </w:p>
        </w:tc>
        <w:tc>
          <w:tcPr>
            <w:tcW w:w="693" w:type="dxa"/>
            <w:vAlign w:val="center"/>
          </w:tcPr>
          <w:p w14:paraId="772CA3D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0696B7F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25C71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7FE05EB6">
            <w:pPr>
              <w:spacing w:line="360" w:lineRule="exact"/>
              <w:jc w:val="center"/>
              <w:rPr>
                <w:rFonts w:ascii="宋体" w:hAnsi="宋体" w:eastAsia="宋体" w:cs="Times New Roman"/>
                <w:color w:val="auto"/>
                <w:kern w:val="24"/>
              </w:rPr>
            </w:pPr>
            <w:r>
              <w:rPr>
                <w:rFonts w:ascii="宋体" w:hAnsi="宋体" w:eastAsia="宋体" w:cs="Times New Roman"/>
                <w:color w:val="auto"/>
                <w:kern w:val="24"/>
              </w:rPr>
              <w:t>后欧力马屯</w:t>
            </w:r>
          </w:p>
        </w:tc>
        <w:tc>
          <w:tcPr>
            <w:tcW w:w="1134" w:type="dxa"/>
            <w:vAlign w:val="center"/>
          </w:tcPr>
          <w:p w14:paraId="5D9E6EB7">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125.17038</w:t>
            </w:r>
          </w:p>
        </w:tc>
        <w:tc>
          <w:tcPr>
            <w:tcW w:w="1134" w:type="dxa"/>
            <w:vAlign w:val="center"/>
          </w:tcPr>
          <w:p w14:paraId="220A5366">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45.56833</w:t>
            </w:r>
          </w:p>
        </w:tc>
        <w:tc>
          <w:tcPr>
            <w:tcW w:w="659" w:type="dxa"/>
            <w:vMerge w:val="continue"/>
            <w:vAlign w:val="center"/>
          </w:tcPr>
          <w:p w14:paraId="012E3FA2">
            <w:pPr>
              <w:adjustRightInd w:val="0"/>
              <w:snapToGrid w:val="0"/>
              <w:spacing w:line="360" w:lineRule="exact"/>
              <w:jc w:val="center"/>
              <w:rPr>
                <w:rFonts w:ascii="宋体" w:hAnsi="宋体" w:eastAsia="宋体" w:cs="Times New Roman"/>
                <w:color w:val="auto"/>
              </w:rPr>
            </w:pPr>
          </w:p>
        </w:tc>
        <w:tc>
          <w:tcPr>
            <w:tcW w:w="480" w:type="dxa"/>
            <w:vMerge w:val="continue"/>
            <w:vAlign w:val="center"/>
          </w:tcPr>
          <w:p w14:paraId="664BD994">
            <w:pPr>
              <w:adjustRightInd w:val="0"/>
              <w:snapToGrid w:val="0"/>
              <w:spacing w:line="360" w:lineRule="exact"/>
              <w:jc w:val="center"/>
              <w:rPr>
                <w:rFonts w:ascii="宋体" w:hAnsi="宋体" w:eastAsia="宋体" w:cs="Times New Roman"/>
                <w:color w:val="auto"/>
              </w:rPr>
            </w:pPr>
          </w:p>
        </w:tc>
        <w:tc>
          <w:tcPr>
            <w:tcW w:w="850" w:type="dxa"/>
            <w:vAlign w:val="center"/>
          </w:tcPr>
          <w:p w14:paraId="06E6F7A9">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1276" w:type="dxa"/>
            <w:vAlign w:val="center"/>
          </w:tcPr>
          <w:p w14:paraId="65B7B4C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0.050-0.061</w:t>
            </w:r>
          </w:p>
        </w:tc>
        <w:tc>
          <w:tcPr>
            <w:tcW w:w="709" w:type="dxa"/>
            <w:vAlign w:val="center"/>
          </w:tcPr>
          <w:p w14:paraId="539E505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20.33</w:t>
            </w:r>
          </w:p>
        </w:tc>
        <w:tc>
          <w:tcPr>
            <w:tcW w:w="693" w:type="dxa"/>
            <w:vAlign w:val="center"/>
          </w:tcPr>
          <w:p w14:paraId="7B7C051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5FDC697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03338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618757B2">
            <w:pPr>
              <w:spacing w:line="360" w:lineRule="exact"/>
              <w:jc w:val="center"/>
              <w:rPr>
                <w:rFonts w:ascii="宋体" w:hAnsi="宋体" w:eastAsia="宋体" w:cs="Times New Roman"/>
                <w:color w:val="auto"/>
                <w:kern w:val="24"/>
              </w:rPr>
            </w:pPr>
            <w:r>
              <w:rPr>
                <w:rFonts w:ascii="宋体" w:hAnsi="宋体" w:eastAsia="宋体" w:cs="Times New Roman"/>
                <w:color w:val="auto"/>
                <w:kern w:val="24"/>
              </w:rPr>
              <w:t>王家园子屯</w:t>
            </w:r>
          </w:p>
        </w:tc>
        <w:tc>
          <w:tcPr>
            <w:tcW w:w="1134" w:type="dxa"/>
            <w:vAlign w:val="center"/>
          </w:tcPr>
          <w:p w14:paraId="203C35E3">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125.16569</w:t>
            </w:r>
          </w:p>
        </w:tc>
        <w:tc>
          <w:tcPr>
            <w:tcW w:w="1134" w:type="dxa"/>
            <w:vAlign w:val="center"/>
          </w:tcPr>
          <w:p w14:paraId="40EC005C">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45.55666</w:t>
            </w:r>
          </w:p>
        </w:tc>
        <w:tc>
          <w:tcPr>
            <w:tcW w:w="659" w:type="dxa"/>
            <w:vMerge w:val="continue"/>
            <w:vAlign w:val="center"/>
          </w:tcPr>
          <w:p w14:paraId="38D69A6C">
            <w:pPr>
              <w:adjustRightInd w:val="0"/>
              <w:snapToGrid w:val="0"/>
              <w:spacing w:line="360" w:lineRule="exact"/>
              <w:jc w:val="center"/>
              <w:rPr>
                <w:rFonts w:ascii="宋体" w:hAnsi="宋体" w:eastAsia="宋体" w:cs="Times New Roman"/>
                <w:color w:val="auto"/>
              </w:rPr>
            </w:pPr>
          </w:p>
        </w:tc>
        <w:tc>
          <w:tcPr>
            <w:tcW w:w="480" w:type="dxa"/>
            <w:vMerge w:val="continue"/>
            <w:vAlign w:val="center"/>
          </w:tcPr>
          <w:p w14:paraId="1BEEE246">
            <w:pPr>
              <w:adjustRightInd w:val="0"/>
              <w:snapToGrid w:val="0"/>
              <w:spacing w:line="360" w:lineRule="exact"/>
              <w:jc w:val="center"/>
              <w:rPr>
                <w:rFonts w:ascii="宋体" w:hAnsi="宋体" w:eastAsia="宋体" w:cs="Times New Roman"/>
                <w:color w:val="auto"/>
              </w:rPr>
            </w:pPr>
          </w:p>
        </w:tc>
        <w:tc>
          <w:tcPr>
            <w:tcW w:w="850" w:type="dxa"/>
            <w:vAlign w:val="center"/>
          </w:tcPr>
          <w:p w14:paraId="366B646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1276" w:type="dxa"/>
            <w:vAlign w:val="center"/>
          </w:tcPr>
          <w:p w14:paraId="50F6CBF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0.051-0.062</w:t>
            </w:r>
          </w:p>
        </w:tc>
        <w:tc>
          <w:tcPr>
            <w:tcW w:w="709" w:type="dxa"/>
            <w:vAlign w:val="center"/>
          </w:tcPr>
          <w:p w14:paraId="26FC47D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20.67</w:t>
            </w:r>
          </w:p>
        </w:tc>
        <w:tc>
          <w:tcPr>
            <w:tcW w:w="693" w:type="dxa"/>
            <w:vAlign w:val="center"/>
          </w:tcPr>
          <w:p w14:paraId="375D771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17ADD79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4842E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6B410D6A">
            <w:pPr>
              <w:spacing w:line="360" w:lineRule="exact"/>
              <w:jc w:val="center"/>
              <w:rPr>
                <w:rFonts w:ascii="宋体" w:hAnsi="宋体" w:eastAsia="宋体" w:cs="Times New Roman"/>
                <w:color w:val="auto"/>
                <w:kern w:val="24"/>
              </w:rPr>
            </w:pPr>
            <w:r>
              <w:rPr>
                <w:rFonts w:ascii="宋体" w:hAnsi="宋体" w:eastAsia="宋体" w:cs="Times New Roman"/>
                <w:color w:val="auto"/>
                <w:kern w:val="21"/>
              </w:rPr>
              <w:t>源1011井场</w:t>
            </w:r>
          </w:p>
        </w:tc>
        <w:tc>
          <w:tcPr>
            <w:tcW w:w="1134" w:type="dxa"/>
            <w:vAlign w:val="center"/>
          </w:tcPr>
          <w:p w14:paraId="39AC944C">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125.04547</w:t>
            </w:r>
          </w:p>
        </w:tc>
        <w:tc>
          <w:tcPr>
            <w:tcW w:w="1134" w:type="dxa"/>
            <w:vAlign w:val="center"/>
          </w:tcPr>
          <w:p w14:paraId="2CC1EAAC">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45.51232</w:t>
            </w:r>
          </w:p>
        </w:tc>
        <w:tc>
          <w:tcPr>
            <w:tcW w:w="659" w:type="dxa"/>
            <w:vMerge w:val="continue"/>
            <w:vAlign w:val="center"/>
          </w:tcPr>
          <w:p w14:paraId="265491C4">
            <w:pPr>
              <w:adjustRightInd w:val="0"/>
              <w:snapToGrid w:val="0"/>
              <w:spacing w:line="360" w:lineRule="exact"/>
              <w:jc w:val="center"/>
              <w:rPr>
                <w:rFonts w:ascii="宋体" w:hAnsi="宋体" w:eastAsia="宋体" w:cs="Times New Roman"/>
                <w:color w:val="auto"/>
              </w:rPr>
            </w:pPr>
          </w:p>
        </w:tc>
        <w:tc>
          <w:tcPr>
            <w:tcW w:w="480" w:type="dxa"/>
            <w:vMerge w:val="continue"/>
            <w:vAlign w:val="center"/>
          </w:tcPr>
          <w:p w14:paraId="1568D868">
            <w:pPr>
              <w:adjustRightInd w:val="0"/>
              <w:snapToGrid w:val="0"/>
              <w:spacing w:line="360" w:lineRule="exact"/>
              <w:jc w:val="center"/>
              <w:rPr>
                <w:rFonts w:ascii="宋体" w:hAnsi="宋体" w:eastAsia="宋体" w:cs="Times New Roman"/>
                <w:color w:val="auto"/>
              </w:rPr>
            </w:pPr>
          </w:p>
        </w:tc>
        <w:tc>
          <w:tcPr>
            <w:tcW w:w="850" w:type="dxa"/>
            <w:vAlign w:val="center"/>
          </w:tcPr>
          <w:p w14:paraId="7242DD34">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1276" w:type="dxa"/>
            <w:vAlign w:val="center"/>
          </w:tcPr>
          <w:p w14:paraId="0A2D026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0.051-0.066</w:t>
            </w:r>
          </w:p>
        </w:tc>
        <w:tc>
          <w:tcPr>
            <w:tcW w:w="709" w:type="dxa"/>
            <w:vAlign w:val="center"/>
          </w:tcPr>
          <w:p w14:paraId="7BC24CF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22</w:t>
            </w:r>
          </w:p>
        </w:tc>
        <w:tc>
          <w:tcPr>
            <w:tcW w:w="693" w:type="dxa"/>
            <w:vAlign w:val="center"/>
          </w:tcPr>
          <w:p w14:paraId="68104D6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5475DA4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57162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49112C74">
            <w:pPr>
              <w:spacing w:line="360" w:lineRule="exact"/>
              <w:jc w:val="center"/>
              <w:rPr>
                <w:rFonts w:ascii="宋体" w:hAnsi="宋体" w:eastAsia="宋体" w:cs="Times New Roman"/>
                <w:color w:val="auto"/>
                <w:kern w:val="24"/>
              </w:rPr>
            </w:pPr>
            <w:r>
              <w:rPr>
                <w:rFonts w:ascii="宋体" w:hAnsi="宋体" w:eastAsia="宋体" w:cs="Times New Roman"/>
                <w:color w:val="auto"/>
                <w:kern w:val="24"/>
              </w:rPr>
              <w:t>刘兽医屯</w:t>
            </w:r>
          </w:p>
        </w:tc>
        <w:tc>
          <w:tcPr>
            <w:tcW w:w="1134" w:type="dxa"/>
            <w:vAlign w:val="center"/>
          </w:tcPr>
          <w:p w14:paraId="32E33D73">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125.04248</w:t>
            </w:r>
          </w:p>
        </w:tc>
        <w:tc>
          <w:tcPr>
            <w:tcW w:w="1134" w:type="dxa"/>
            <w:vAlign w:val="center"/>
          </w:tcPr>
          <w:p w14:paraId="52B9406A">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45.51192</w:t>
            </w:r>
          </w:p>
        </w:tc>
        <w:tc>
          <w:tcPr>
            <w:tcW w:w="659" w:type="dxa"/>
            <w:vMerge w:val="continue"/>
            <w:vAlign w:val="center"/>
          </w:tcPr>
          <w:p w14:paraId="27E901F8">
            <w:pPr>
              <w:adjustRightInd w:val="0"/>
              <w:snapToGrid w:val="0"/>
              <w:spacing w:line="360" w:lineRule="exact"/>
              <w:jc w:val="center"/>
              <w:rPr>
                <w:rFonts w:ascii="宋体" w:hAnsi="宋体" w:eastAsia="宋体" w:cs="Times New Roman"/>
                <w:color w:val="auto"/>
              </w:rPr>
            </w:pPr>
          </w:p>
        </w:tc>
        <w:tc>
          <w:tcPr>
            <w:tcW w:w="480" w:type="dxa"/>
            <w:vMerge w:val="continue"/>
            <w:vAlign w:val="center"/>
          </w:tcPr>
          <w:p w14:paraId="30FD4A4E">
            <w:pPr>
              <w:adjustRightInd w:val="0"/>
              <w:snapToGrid w:val="0"/>
              <w:spacing w:line="360" w:lineRule="exact"/>
              <w:jc w:val="center"/>
              <w:rPr>
                <w:rFonts w:ascii="宋体" w:hAnsi="宋体" w:eastAsia="宋体" w:cs="Times New Roman"/>
                <w:color w:val="auto"/>
              </w:rPr>
            </w:pPr>
          </w:p>
        </w:tc>
        <w:tc>
          <w:tcPr>
            <w:tcW w:w="850" w:type="dxa"/>
            <w:vAlign w:val="center"/>
          </w:tcPr>
          <w:p w14:paraId="0018698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1276" w:type="dxa"/>
            <w:vAlign w:val="center"/>
          </w:tcPr>
          <w:p w14:paraId="4396308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0.050-0.064</w:t>
            </w:r>
          </w:p>
        </w:tc>
        <w:tc>
          <w:tcPr>
            <w:tcW w:w="709" w:type="dxa"/>
            <w:vAlign w:val="center"/>
          </w:tcPr>
          <w:p w14:paraId="73D13B0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21.33</w:t>
            </w:r>
          </w:p>
        </w:tc>
        <w:tc>
          <w:tcPr>
            <w:tcW w:w="693" w:type="dxa"/>
            <w:vAlign w:val="center"/>
          </w:tcPr>
          <w:p w14:paraId="3CD2970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75F8710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r w14:paraId="4345C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13" w:type="dxa"/>
            <w:vAlign w:val="center"/>
          </w:tcPr>
          <w:p w14:paraId="082C522F">
            <w:pPr>
              <w:spacing w:line="360" w:lineRule="exact"/>
              <w:jc w:val="center"/>
              <w:rPr>
                <w:rFonts w:ascii="宋体" w:hAnsi="宋体" w:eastAsia="宋体" w:cs="Times New Roman"/>
                <w:color w:val="auto"/>
                <w:kern w:val="24"/>
              </w:rPr>
            </w:pPr>
            <w:r>
              <w:rPr>
                <w:rFonts w:ascii="宋体" w:hAnsi="宋体" w:eastAsia="宋体" w:cs="Times New Roman"/>
                <w:color w:val="auto"/>
                <w:kern w:val="24"/>
              </w:rPr>
              <w:t>四方山屯</w:t>
            </w:r>
          </w:p>
        </w:tc>
        <w:tc>
          <w:tcPr>
            <w:tcW w:w="1134" w:type="dxa"/>
            <w:vAlign w:val="center"/>
          </w:tcPr>
          <w:p w14:paraId="275978E4">
            <w:pPr>
              <w:spacing w:line="360" w:lineRule="exact"/>
              <w:jc w:val="center"/>
              <w:rPr>
                <w:rFonts w:ascii="宋体" w:hAnsi="宋体" w:eastAsia="宋体" w:cs="Times New Roman"/>
                <w:color w:val="auto"/>
                <w:kern w:val="21"/>
              </w:rPr>
            </w:pPr>
            <w:r>
              <w:rPr>
                <w:rFonts w:ascii="宋体" w:hAnsi="宋体" w:eastAsia="宋体" w:cs="Times New Roman"/>
                <w:color w:val="auto"/>
                <w:kern w:val="21"/>
              </w:rPr>
              <w:t>125.13778</w:t>
            </w:r>
          </w:p>
        </w:tc>
        <w:tc>
          <w:tcPr>
            <w:tcW w:w="1134" w:type="dxa"/>
            <w:vAlign w:val="center"/>
          </w:tcPr>
          <w:p w14:paraId="2E7F95ED">
            <w:pPr>
              <w:spacing w:line="340" w:lineRule="exact"/>
              <w:jc w:val="center"/>
              <w:rPr>
                <w:rFonts w:ascii="宋体" w:hAnsi="宋体" w:eastAsia="宋体" w:cs="Times New Roman"/>
                <w:color w:val="auto"/>
                <w:kern w:val="21"/>
              </w:rPr>
            </w:pPr>
            <w:r>
              <w:rPr>
                <w:rFonts w:ascii="宋体" w:hAnsi="宋体" w:eastAsia="宋体" w:cs="Times New Roman"/>
                <w:color w:val="auto"/>
                <w:kern w:val="21"/>
              </w:rPr>
              <w:t>45.52767</w:t>
            </w:r>
          </w:p>
        </w:tc>
        <w:tc>
          <w:tcPr>
            <w:tcW w:w="659" w:type="dxa"/>
            <w:vMerge w:val="continue"/>
            <w:vAlign w:val="center"/>
          </w:tcPr>
          <w:p w14:paraId="6FA7696E">
            <w:pPr>
              <w:adjustRightInd w:val="0"/>
              <w:snapToGrid w:val="0"/>
              <w:spacing w:line="360" w:lineRule="exact"/>
              <w:jc w:val="center"/>
              <w:rPr>
                <w:rFonts w:ascii="宋体" w:hAnsi="宋体" w:eastAsia="宋体" w:cs="Times New Roman"/>
                <w:color w:val="auto"/>
              </w:rPr>
            </w:pPr>
          </w:p>
        </w:tc>
        <w:tc>
          <w:tcPr>
            <w:tcW w:w="480" w:type="dxa"/>
            <w:vMerge w:val="continue"/>
            <w:vAlign w:val="center"/>
          </w:tcPr>
          <w:p w14:paraId="048493FB">
            <w:pPr>
              <w:adjustRightInd w:val="0"/>
              <w:snapToGrid w:val="0"/>
              <w:spacing w:line="360" w:lineRule="exact"/>
              <w:jc w:val="center"/>
              <w:rPr>
                <w:rFonts w:ascii="宋体" w:hAnsi="宋体" w:eastAsia="宋体" w:cs="Times New Roman"/>
                <w:color w:val="auto"/>
              </w:rPr>
            </w:pPr>
          </w:p>
        </w:tc>
        <w:tc>
          <w:tcPr>
            <w:tcW w:w="850" w:type="dxa"/>
            <w:vAlign w:val="center"/>
          </w:tcPr>
          <w:p w14:paraId="6D2DB0C3">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1276" w:type="dxa"/>
            <w:vAlign w:val="center"/>
          </w:tcPr>
          <w:p w14:paraId="0CE32BF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0.051-0.065</w:t>
            </w:r>
          </w:p>
        </w:tc>
        <w:tc>
          <w:tcPr>
            <w:tcW w:w="709" w:type="dxa"/>
            <w:vAlign w:val="center"/>
          </w:tcPr>
          <w:p w14:paraId="021A77C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21.67</w:t>
            </w:r>
          </w:p>
        </w:tc>
        <w:tc>
          <w:tcPr>
            <w:tcW w:w="693" w:type="dxa"/>
            <w:vAlign w:val="center"/>
          </w:tcPr>
          <w:p w14:paraId="4C71C6F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726" w:type="dxa"/>
            <w:vAlign w:val="center"/>
          </w:tcPr>
          <w:p w14:paraId="43EBAC8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达标</w:t>
            </w:r>
          </w:p>
        </w:tc>
      </w:tr>
    </w:tbl>
    <w:p w14:paraId="668F6093">
      <w:pPr>
        <w:pStyle w:val="276"/>
        <w:widowControl w:val="0"/>
        <w:ind w:firstLine="480"/>
        <w:jc w:val="both"/>
        <w:rPr>
          <w:color w:val="auto"/>
          <w:kern w:val="21"/>
        </w:rPr>
      </w:pPr>
      <w:r>
        <w:rPr>
          <w:color w:val="auto"/>
          <w:kern w:val="21"/>
        </w:rPr>
        <w:t>评价结果表明，评价区域特征污染物非甲烷总烃满足《大气污染物综合排放标准详解》</w:t>
      </w:r>
      <w:r>
        <w:rPr>
          <w:color w:val="auto"/>
          <w:szCs w:val="28"/>
        </w:rPr>
        <w:t>中的2.0mg/m</w:t>
      </w:r>
      <w:r>
        <w:rPr>
          <w:color w:val="auto"/>
          <w:szCs w:val="28"/>
          <w:vertAlign w:val="superscript"/>
        </w:rPr>
        <w:t>3</w:t>
      </w:r>
      <w:r>
        <w:rPr>
          <w:color w:val="auto"/>
          <w:szCs w:val="28"/>
        </w:rPr>
        <w:t>标准要求，</w:t>
      </w:r>
      <w:r>
        <w:rPr>
          <w:color w:val="auto"/>
          <w:kern w:val="21"/>
        </w:rPr>
        <w:t>TSP满足</w:t>
      </w:r>
      <w:r>
        <w:rPr>
          <w:color w:val="auto"/>
          <w:kern w:val="2"/>
          <w:szCs w:val="20"/>
        </w:rPr>
        <w:t>《环境空气质量标准》（GB3095-2012）及其修改单中的二级标准</w:t>
      </w:r>
      <w:r>
        <w:rPr>
          <w:color w:val="auto"/>
          <w:szCs w:val="28"/>
        </w:rPr>
        <w:t>，说明评价区域内大气环境质量较好。</w:t>
      </w:r>
    </w:p>
    <w:p w14:paraId="2578C298">
      <w:pPr>
        <w:pStyle w:val="6"/>
        <w:rPr>
          <w:color w:val="auto"/>
        </w:rPr>
      </w:pPr>
      <w:bookmarkStart w:id="1103" w:name="_Toc143099614"/>
      <w:bookmarkStart w:id="1104" w:name="_Toc29644702"/>
      <w:bookmarkStart w:id="1105" w:name="_Toc57203285"/>
      <w:bookmarkStart w:id="1106" w:name="_Toc85640796"/>
      <w:bookmarkStart w:id="1107" w:name="_Toc430692061"/>
      <w:bookmarkStart w:id="1108" w:name="_Toc61597271"/>
      <w:bookmarkStart w:id="1109" w:name="_Toc126863427"/>
      <w:bookmarkStart w:id="1110" w:name="_Toc34124484"/>
      <w:bookmarkStart w:id="1111" w:name="_Toc438540826"/>
      <w:bookmarkStart w:id="1112" w:name="_Toc80971417"/>
      <w:bookmarkStart w:id="1113" w:name="_Toc430689876"/>
      <w:bookmarkStart w:id="1114" w:name="_Toc29642918"/>
      <w:bookmarkStart w:id="1115" w:name="_Toc57707955"/>
      <w:bookmarkStart w:id="1116" w:name="_Toc8019"/>
      <w:bookmarkStart w:id="1117" w:name="_Toc77067698"/>
      <w:bookmarkStart w:id="1118" w:name="_Toc29643950"/>
      <w:bookmarkStart w:id="1119" w:name="_Toc41655199"/>
      <w:bookmarkStart w:id="1120" w:name="_Toc127192376"/>
      <w:bookmarkStart w:id="1121" w:name="_Toc70050221"/>
      <w:bookmarkStart w:id="1122" w:name="_Toc131167327"/>
      <w:bookmarkStart w:id="1123" w:name="_Toc80588295"/>
      <w:bookmarkStart w:id="1124" w:name="_Toc84929272"/>
      <w:bookmarkStart w:id="1125" w:name="_Toc76976286"/>
      <w:bookmarkStart w:id="1126" w:name="_Toc86141971"/>
      <w:bookmarkStart w:id="1127" w:name="_Toc83209517"/>
      <w:bookmarkStart w:id="1128" w:name="_Toc57976707"/>
      <w:bookmarkStart w:id="1129" w:name="_Toc67860172"/>
      <w:bookmarkStart w:id="1130" w:name="_Toc38545055"/>
      <w:bookmarkStart w:id="1131" w:name="_Toc78816500"/>
      <w:bookmarkStart w:id="1132" w:name="_Toc38296422"/>
      <w:r>
        <w:rPr>
          <w:color w:val="auto"/>
        </w:rPr>
        <w:t>地下水环境质量现状评价</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24CDF6DF">
      <w:pPr>
        <w:pStyle w:val="276"/>
        <w:widowControl w:val="0"/>
        <w:ind w:firstLine="480"/>
        <w:jc w:val="both"/>
        <w:rPr>
          <w:color w:val="auto"/>
          <w:kern w:val="21"/>
          <w:szCs w:val="20"/>
        </w:rPr>
      </w:pPr>
      <w:r>
        <w:rPr>
          <w:color w:val="auto"/>
          <w:kern w:val="21"/>
          <w:szCs w:val="20"/>
        </w:rPr>
        <w:t>根据本项目地层特征，以及地下水含水层特点和区域水资源开发利用情况，参照《环境影响评价技术导则 地下水环境》（HJ 610-2016），详见下表。</w:t>
      </w:r>
    </w:p>
    <w:p w14:paraId="0C847E97">
      <w:pPr>
        <w:pStyle w:val="276"/>
        <w:widowControl w:val="0"/>
        <w:spacing w:line="440" w:lineRule="exact"/>
        <w:ind w:firstLine="0" w:firstLineChars="0"/>
        <w:jc w:val="center"/>
        <w:rPr>
          <w:color w:val="auto"/>
          <w:kern w:val="21"/>
          <w:szCs w:val="20"/>
        </w:rPr>
      </w:pPr>
      <w:r>
        <w:rPr>
          <w:color w:val="auto"/>
          <w:kern w:val="21"/>
          <w:szCs w:val="20"/>
        </w:rPr>
        <w:t>表</w:t>
      </w:r>
      <w:r>
        <w:rPr>
          <w:color w:val="auto"/>
          <w:kern w:val="2"/>
          <w:szCs w:val="20"/>
        </w:rPr>
        <w:t>4.3-4</w:t>
      </w:r>
      <w:r>
        <w:rPr>
          <w:color w:val="auto"/>
          <w:kern w:val="21"/>
          <w:szCs w:val="20"/>
        </w:rPr>
        <w:t xml:space="preserve"> </w:t>
      </w:r>
      <w:r>
        <w:rPr>
          <w:color w:val="auto"/>
          <w:szCs w:val="28"/>
        </w:rPr>
        <w:t>地下水</w:t>
      </w:r>
      <w:r>
        <w:rPr>
          <w:color w:val="auto"/>
          <w:kern w:val="21"/>
          <w:szCs w:val="20"/>
        </w:rPr>
        <w:t>环境现状监测频率参照表</w:t>
      </w:r>
    </w:p>
    <w:tbl>
      <w:tblPr>
        <w:tblStyle w:val="81"/>
        <w:tblW w:w="90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64"/>
        <w:gridCol w:w="1076"/>
        <w:gridCol w:w="1386"/>
        <w:gridCol w:w="1084"/>
        <w:gridCol w:w="1232"/>
        <w:gridCol w:w="1386"/>
        <w:gridCol w:w="933"/>
      </w:tblGrid>
      <w:tr w14:paraId="664BC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4" w:type="dxa"/>
            <w:vAlign w:val="center"/>
          </w:tcPr>
          <w:p w14:paraId="51F91576">
            <w:pPr>
              <w:snapToGrid w:val="0"/>
              <w:spacing w:line="360" w:lineRule="exact"/>
              <w:jc w:val="center"/>
              <w:rPr>
                <w:rFonts w:ascii="宋体" w:hAnsi="宋体" w:eastAsia="宋体" w:cs="Times New Roman"/>
                <w:color w:val="auto"/>
              </w:rPr>
            </w:pPr>
            <w:r>
              <w:rPr>
                <w:rFonts w:ascii="宋体" w:hAnsi="宋体" w:eastAsia="宋体" w:cs="Times New Roman"/>
                <w:color w:val="auto"/>
              </w:rPr>
              <w:t>评价等级</w:t>
            </w:r>
          </w:p>
        </w:tc>
        <w:tc>
          <w:tcPr>
            <w:tcW w:w="3546" w:type="dxa"/>
            <w:gridSpan w:val="3"/>
            <w:vAlign w:val="center"/>
          </w:tcPr>
          <w:p w14:paraId="5BB928F5">
            <w:pPr>
              <w:snapToGrid w:val="0"/>
              <w:spacing w:line="360" w:lineRule="exact"/>
              <w:jc w:val="center"/>
              <w:rPr>
                <w:rFonts w:ascii="宋体" w:hAnsi="宋体" w:eastAsia="宋体" w:cs="Times New Roman"/>
                <w:color w:val="auto"/>
              </w:rPr>
            </w:pPr>
            <w:r>
              <w:rPr>
                <w:rFonts w:ascii="宋体" w:hAnsi="宋体" w:eastAsia="宋体" w:cs="Times New Roman"/>
                <w:color w:val="auto"/>
              </w:rPr>
              <w:t>水位监测频率</w:t>
            </w:r>
          </w:p>
        </w:tc>
        <w:tc>
          <w:tcPr>
            <w:tcW w:w="3551" w:type="dxa"/>
            <w:gridSpan w:val="3"/>
            <w:vAlign w:val="center"/>
          </w:tcPr>
          <w:p w14:paraId="696517B8">
            <w:pPr>
              <w:snapToGrid w:val="0"/>
              <w:spacing w:line="360" w:lineRule="exact"/>
              <w:jc w:val="center"/>
              <w:rPr>
                <w:rFonts w:ascii="宋体" w:hAnsi="宋体" w:eastAsia="宋体" w:cs="Times New Roman"/>
                <w:color w:val="auto"/>
              </w:rPr>
            </w:pPr>
            <w:r>
              <w:rPr>
                <w:rFonts w:ascii="宋体" w:hAnsi="宋体" w:eastAsia="宋体" w:cs="Times New Roman"/>
                <w:color w:val="auto"/>
              </w:rPr>
              <w:t>水质监测频率</w:t>
            </w:r>
          </w:p>
        </w:tc>
      </w:tr>
      <w:tr w14:paraId="5CA59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4" w:type="dxa"/>
            <w:vAlign w:val="center"/>
          </w:tcPr>
          <w:p w14:paraId="0494521D">
            <w:pPr>
              <w:snapToGrid w:val="0"/>
              <w:spacing w:line="360" w:lineRule="exact"/>
              <w:jc w:val="center"/>
              <w:rPr>
                <w:rFonts w:ascii="宋体" w:hAnsi="宋体" w:eastAsia="宋体" w:cs="Times New Roman"/>
                <w:color w:val="auto"/>
              </w:rPr>
            </w:pPr>
            <w:r>
              <w:rPr>
                <w:rFonts w:ascii="宋体" w:hAnsi="宋体" w:eastAsia="宋体" w:cs="Times New Roman"/>
                <w:color w:val="auto"/>
              </w:rPr>
              <w:t>分布区</w:t>
            </w:r>
          </w:p>
        </w:tc>
        <w:tc>
          <w:tcPr>
            <w:tcW w:w="1076" w:type="dxa"/>
            <w:vAlign w:val="center"/>
          </w:tcPr>
          <w:p w14:paraId="491EC4C7">
            <w:pPr>
              <w:snapToGrid w:val="0"/>
              <w:spacing w:line="360" w:lineRule="exact"/>
              <w:jc w:val="center"/>
              <w:rPr>
                <w:rFonts w:ascii="宋体" w:hAnsi="宋体" w:eastAsia="宋体" w:cs="Times New Roman"/>
                <w:color w:val="auto"/>
              </w:rPr>
            </w:pPr>
            <w:r>
              <w:rPr>
                <w:rFonts w:ascii="宋体" w:hAnsi="宋体" w:eastAsia="宋体" w:cs="Times New Roman"/>
                <w:color w:val="auto"/>
              </w:rPr>
              <w:t>一级</w:t>
            </w:r>
          </w:p>
        </w:tc>
        <w:tc>
          <w:tcPr>
            <w:tcW w:w="1386" w:type="dxa"/>
            <w:vAlign w:val="center"/>
          </w:tcPr>
          <w:p w14:paraId="3C6FE082">
            <w:pPr>
              <w:snapToGrid w:val="0"/>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1084" w:type="dxa"/>
            <w:vAlign w:val="center"/>
          </w:tcPr>
          <w:p w14:paraId="2B04A961">
            <w:pPr>
              <w:snapToGrid w:val="0"/>
              <w:spacing w:line="360" w:lineRule="exact"/>
              <w:jc w:val="center"/>
              <w:rPr>
                <w:rFonts w:ascii="宋体" w:hAnsi="宋体" w:eastAsia="宋体" w:cs="Times New Roman"/>
                <w:color w:val="auto"/>
              </w:rPr>
            </w:pPr>
            <w:r>
              <w:rPr>
                <w:rFonts w:ascii="宋体" w:hAnsi="宋体" w:eastAsia="宋体" w:cs="Times New Roman"/>
                <w:color w:val="auto"/>
              </w:rPr>
              <w:t>三级</w:t>
            </w:r>
          </w:p>
        </w:tc>
        <w:tc>
          <w:tcPr>
            <w:tcW w:w="1232" w:type="dxa"/>
            <w:vAlign w:val="center"/>
          </w:tcPr>
          <w:p w14:paraId="6CE2B305">
            <w:pPr>
              <w:snapToGrid w:val="0"/>
              <w:spacing w:line="360" w:lineRule="exact"/>
              <w:jc w:val="center"/>
              <w:rPr>
                <w:rFonts w:ascii="宋体" w:hAnsi="宋体" w:eastAsia="宋体" w:cs="Times New Roman"/>
                <w:color w:val="auto"/>
              </w:rPr>
            </w:pPr>
            <w:r>
              <w:rPr>
                <w:rFonts w:ascii="宋体" w:hAnsi="宋体" w:eastAsia="宋体" w:cs="Times New Roman"/>
                <w:color w:val="auto"/>
              </w:rPr>
              <w:t>一级</w:t>
            </w:r>
          </w:p>
        </w:tc>
        <w:tc>
          <w:tcPr>
            <w:tcW w:w="1386" w:type="dxa"/>
            <w:vAlign w:val="center"/>
          </w:tcPr>
          <w:p w14:paraId="4FFABD47">
            <w:pPr>
              <w:snapToGrid w:val="0"/>
              <w:spacing w:line="360" w:lineRule="exact"/>
              <w:jc w:val="center"/>
              <w:rPr>
                <w:rFonts w:ascii="宋体" w:hAnsi="宋体" w:eastAsia="宋体" w:cs="Times New Roman"/>
                <w:color w:val="auto"/>
              </w:rPr>
            </w:pPr>
            <w:r>
              <w:rPr>
                <w:rFonts w:ascii="宋体" w:hAnsi="宋体" w:eastAsia="宋体" w:cs="Times New Roman"/>
                <w:color w:val="auto"/>
              </w:rPr>
              <w:t>二级（√）</w:t>
            </w:r>
          </w:p>
        </w:tc>
        <w:tc>
          <w:tcPr>
            <w:tcW w:w="933" w:type="dxa"/>
            <w:vAlign w:val="center"/>
          </w:tcPr>
          <w:p w14:paraId="613C2D60">
            <w:pPr>
              <w:snapToGrid w:val="0"/>
              <w:spacing w:line="360" w:lineRule="exact"/>
              <w:jc w:val="center"/>
              <w:rPr>
                <w:rFonts w:ascii="宋体" w:hAnsi="宋体" w:eastAsia="宋体" w:cs="Times New Roman"/>
                <w:color w:val="auto"/>
              </w:rPr>
            </w:pPr>
            <w:r>
              <w:rPr>
                <w:rFonts w:ascii="宋体" w:hAnsi="宋体" w:eastAsia="宋体" w:cs="Times New Roman"/>
                <w:color w:val="auto"/>
              </w:rPr>
              <w:t>三级</w:t>
            </w:r>
          </w:p>
        </w:tc>
      </w:tr>
      <w:tr w14:paraId="2F2F0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4" w:type="dxa"/>
            <w:vAlign w:val="center"/>
          </w:tcPr>
          <w:p w14:paraId="5833B63A">
            <w:pPr>
              <w:snapToGrid w:val="0"/>
              <w:spacing w:line="360" w:lineRule="exact"/>
              <w:jc w:val="center"/>
              <w:rPr>
                <w:rFonts w:ascii="宋体" w:hAnsi="宋体" w:eastAsia="宋体" w:cs="Times New Roman"/>
                <w:color w:val="auto"/>
              </w:rPr>
            </w:pPr>
            <w:r>
              <w:rPr>
                <w:rFonts w:ascii="宋体" w:hAnsi="宋体" w:eastAsia="宋体" w:cs="Times New Roman"/>
                <w:color w:val="auto"/>
              </w:rPr>
              <w:t>山前冲（洪）积</w:t>
            </w:r>
          </w:p>
        </w:tc>
        <w:tc>
          <w:tcPr>
            <w:tcW w:w="1076" w:type="dxa"/>
            <w:vAlign w:val="center"/>
          </w:tcPr>
          <w:p w14:paraId="52E2BF03">
            <w:pPr>
              <w:snapToGrid w:val="0"/>
              <w:spacing w:line="360" w:lineRule="exact"/>
              <w:jc w:val="center"/>
              <w:rPr>
                <w:rFonts w:ascii="宋体" w:hAnsi="宋体" w:eastAsia="宋体" w:cs="Times New Roman"/>
                <w:color w:val="auto"/>
              </w:rPr>
            </w:pPr>
            <w:r>
              <w:rPr>
                <w:rFonts w:ascii="宋体" w:hAnsi="宋体" w:eastAsia="宋体" w:cs="Times New Roman"/>
                <w:color w:val="auto"/>
              </w:rPr>
              <w:t>枯平丰</w:t>
            </w:r>
          </w:p>
        </w:tc>
        <w:tc>
          <w:tcPr>
            <w:tcW w:w="1386" w:type="dxa"/>
            <w:vAlign w:val="center"/>
          </w:tcPr>
          <w:p w14:paraId="5FC6BE2A">
            <w:pPr>
              <w:snapToGrid w:val="0"/>
              <w:spacing w:line="360" w:lineRule="exact"/>
              <w:jc w:val="center"/>
              <w:rPr>
                <w:rFonts w:ascii="宋体" w:hAnsi="宋体" w:eastAsia="宋体" w:cs="Times New Roman"/>
                <w:color w:val="auto"/>
              </w:rPr>
            </w:pPr>
            <w:r>
              <w:rPr>
                <w:rFonts w:ascii="宋体" w:hAnsi="宋体" w:eastAsia="宋体" w:cs="Times New Roman"/>
                <w:color w:val="auto"/>
              </w:rPr>
              <w:t>枯丰</w:t>
            </w:r>
          </w:p>
        </w:tc>
        <w:tc>
          <w:tcPr>
            <w:tcW w:w="1084" w:type="dxa"/>
            <w:vAlign w:val="center"/>
          </w:tcPr>
          <w:p w14:paraId="667A368F">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232" w:type="dxa"/>
            <w:vAlign w:val="center"/>
          </w:tcPr>
          <w:p w14:paraId="798BFBF7">
            <w:pPr>
              <w:snapToGrid w:val="0"/>
              <w:spacing w:line="360" w:lineRule="exact"/>
              <w:jc w:val="center"/>
              <w:rPr>
                <w:rFonts w:ascii="宋体" w:hAnsi="宋体" w:eastAsia="宋体" w:cs="Times New Roman"/>
                <w:color w:val="auto"/>
              </w:rPr>
            </w:pPr>
            <w:r>
              <w:rPr>
                <w:rFonts w:ascii="宋体" w:hAnsi="宋体" w:eastAsia="宋体" w:cs="Times New Roman"/>
                <w:color w:val="auto"/>
              </w:rPr>
              <w:t>枯平丰</w:t>
            </w:r>
          </w:p>
        </w:tc>
        <w:tc>
          <w:tcPr>
            <w:tcW w:w="1386" w:type="dxa"/>
            <w:vAlign w:val="center"/>
          </w:tcPr>
          <w:p w14:paraId="0A4E21C7">
            <w:pPr>
              <w:snapToGrid w:val="0"/>
              <w:spacing w:line="360" w:lineRule="exact"/>
              <w:jc w:val="center"/>
              <w:rPr>
                <w:rFonts w:ascii="宋体" w:hAnsi="宋体" w:eastAsia="宋体" w:cs="Times New Roman"/>
                <w:color w:val="auto"/>
              </w:rPr>
            </w:pPr>
            <w:r>
              <w:rPr>
                <w:rFonts w:ascii="宋体" w:hAnsi="宋体" w:eastAsia="宋体" w:cs="Times New Roman"/>
                <w:color w:val="auto"/>
              </w:rPr>
              <w:t>枯丰</w:t>
            </w:r>
          </w:p>
        </w:tc>
        <w:tc>
          <w:tcPr>
            <w:tcW w:w="933" w:type="dxa"/>
            <w:vAlign w:val="center"/>
          </w:tcPr>
          <w:p w14:paraId="72728A42">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r>
      <w:tr w14:paraId="34E51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4" w:type="dxa"/>
            <w:vAlign w:val="center"/>
          </w:tcPr>
          <w:p w14:paraId="39C507C4">
            <w:pPr>
              <w:snapToGrid w:val="0"/>
              <w:spacing w:line="360" w:lineRule="exact"/>
              <w:jc w:val="center"/>
              <w:rPr>
                <w:rFonts w:ascii="宋体" w:hAnsi="宋体" w:eastAsia="宋体" w:cs="Times New Roman"/>
                <w:color w:val="auto"/>
              </w:rPr>
            </w:pPr>
            <w:r>
              <w:rPr>
                <w:rFonts w:ascii="宋体" w:hAnsi="宋体" w:eastAsia="宋体" w:cs="Times New Roman"/>
                <w:color w:val="auto"/>
              </w:rPr>
              <w:t>滨海（含填海区）</w:t>
            </w:r>
          </w:p>
        </w:tc>
        <w:tc>
          <w:tcPr>
            <w:tcW w:w="1076" w:type="dxa"/>
            <w:vAlign w:val="center"/>
          </w:tcPr>
          <w:p w14:paraId="56C7C577">
            <w:pPr>
              <w:snapToGrid w:val="0"/>
              <w:spacing w:line="360" w:lineRule="exact"/>
              <w:jc w:val="center"/>
              <w:rPr>
                <w:rFonts w:ascii="宋体" w:hAnsi="宋体" w:eastAsia="宋体" w:cs="Times New Roman"/>
                <w:color w:val="auto"/>
              </w:rPr>
            </w:pPr>
            <w:r>
              <w:rPr>
                <w:rFonts w:ascii="宋体" w:hAnsi="宋体" w:eastAsia="宋体" w:cs="Times New Roman"/>
                <w:color w:val="auto"/>
              </w:rPr>
              <w:t>二期a</w:t>
            </w:r>
          </w:p>
        </w:tc>
        <w:tc>
          <w:tcPr>
            <w:tcW w:w="1386" w:type="dxa"/>
            <w:vAlign w:val="center"/>
          </w:tcPr>
          <w:p w14:paraId="48EF4936">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084" w:type="dxa"/>
            <w:vAlign w:val="center"/>
          </w:tcPr>
          <w:p w14:paraId="1ED8746F">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232" w:type="dxa"/>
            <w:vAlign w:val="center"/>
          </w:tcPr>
          <w:p w14:paraId="70F79BAA">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386" w:type="dxa"/>
            <w:vAlign w:val="center"/>
          </w:tcPr>
          <w:p w14:paraId="661BC4B0">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933" w:type="dxa"/>
            <w:vAlign w:val="center"/>
          </w:tcPr>
          <w:p w14:paraId="52557E8F">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r>
      <w:tr w14:paraId="57230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4" w:type="dxa"/>
            <w:vAlign w:val="center"/>
          </w:tcPr>
          <w:p w14:paraId="550950A1">
            <w:pPr>
              <w:snapToGrid w:val="0"/>
              <w:spacing w:line="360" w:lineRule="exact"/>
              <w:jc w:val="center"/>
              <w:rPr>
                <w:rFonts w:ascii="宋体" w:hAnsi="宋体" w:eastAsia="宋体" w:cs="Times New Roman"/>
                <w:color w:val="auto"/>
              </w:rPr>
            </w:pPr>
            <w:r>
              <w:rPr>
                <w:rFonts w:ascii="宋体" w:hAnsi="宋体" w:eastAsia="宋体" w:cs="Times New Roman"/>
                <w:color w:val="auto"/>
              </w:rPr>
              <w:t>其他平原区（√）</w:t>
            </w:r>
          </w:p>
        </w:tc>
        <w:tc>
          <w:tcPr>
            <w:tcW w:w="1076" w:type="dxa"/>
            <w:vAlign w:val="center"/>
          </w:tcPr>
          <w:p w14:paraId="616705E8">
            <w:pPr>
              <w:snapToGrid w:val="0"/>
              <w:spacing w:line="360" w:lineRule="exact"/>
              <w:jc w:val="center"/>
              <w:rPr>
                <w:rFonts w:ascii="宋体" w:hAnsi="宋体" w:eastAsia="宋体" w:cs="Times New Roman"/>
                <w:color w:val="auto"/>
              </w:rPr>
            </w:pPr>
            <w:r>
              <w:rPr>
                <w:rFonts w:ascii="宋体" w:hAnsi="宋体" w:eastAsia="宋体" w:cs="Times New Roman"/>
                <w:color w:val="auto"/>
              </w:rPr>
              <w:t>枯丰</w:t>
            </w:r>
          </w:p>
        </w:tc>
        <w:tc>
          <w:tcPr>
            <w:tcW w:w="1386" w:type="dxa"/>
            <w:vAlign w:val="center"/>
          </w:tcPr>
          <w:p w14:paraId="485A71D1">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084" w:type="dxa"/>
            <w:vAlign w:val="center"/>
          </w:tcPr>
          <w:p w14:paraId="50CD4547">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232" w:type="dxa"/>
            <w:vAlign w:val="center"/>
          </w:tcPr>
          <w:p w14:paraId="6DE79346">
            <w:pPr>
              <w:snapToGrid w:val="0"/>
              <w:spacing w:line="360" w:lineRule="exact"/>
              <w:jc w:val="center"/>
              <w:rPr>
                <w:rFonts w:ascii="宋体" w:hAnsi="宋体" w:eastAsia="宋体" w:cs="Times New Roman"/>
                <w:color w:val="auto"/>
              </w:rPr>
            </w:pPr>
            <w:r>
              <w:rPr>
                <w:rFonts w:ascii="宋体" w:hAnsi="宋体" w:eastAsia="宋体" w:cs="Times New Roman"/>
                <w:color w:val="auto"/>
              </w:rPr>
              <w:t>枯</w:t>
            </w:r>
          </w:p>
        </w:tc>
        <w:tc>
          <w:tcPr>
            <w:tcW w:w="1386" w:type="dxa"/>
            <w:vAlign w:val="center"/>
          </w:tcPr>
          <w:p w14:paraId="6809E681">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933" w:type="dxa"/>
            <w:vAlign w:val="center"/>
          </w:tcPr>
          <w:p w14:paraId="5EDCC94A">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r>
      <w:tr w14:paraId="4EEB8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4" w:type="dxa"/>
            <w:vAlign w:val="center"/>
          </w:tcPr>
          <w:p w14:paraId="74F717D5">
            <w:pPr>
              <w:snapToGrid w:val="0"/>
              <w:spacing w:line="360" w:lineRule="exact"/>
              <w:jc w:val="center"/>
              <w:rPr>
                <w:rFonts w:ascii="宋体" w:hAnsi="宋体" w:eastAsia="宋体" w:cs="Times New Roman"/>
                <w:color w:val="auto"/>
              </w:rPr>
            </w:pPr>
            <w:r>
              <w:rPr>
                <w:rFonts w:ascii="宋体" w:hAnsi="宋体" w:eastAsia="宋体" w:cs="Times New Roman"/>
                <w:color w:val="auto"/>
              </w:rPr>
              <w:t>黄土地区</w:t>
            </w:r>
          </w:p>
        </w:tc>
        <w:tc>
          <w:tcPr>
            <w:tcW w:w="1076" w:type="dxa"/>
            <w:vAlign w:val="center"/>
          </w:tcPr>
          <w:p w14:paraId="465A2D2E">
            <w:pPr>
              <w:snapToGrid w:val="0"/>
              <w:spacing w:line="360" w:lineRule="exact"/>
              <w:jc w:val="center"/>
              <w:rPr>
                <w:rFonts w:ascii="宋体" w:hAnsi="宋体" w:eastAsia="宋体" w:cs="Times New Roman"/>
                <w:color w:val="auto"/>
              </w:rPr>
            </w:pPr>
            <w:r>
              <w:rPr>
                <w:rFonts w:ascii="宋体" w:hAnsi="宋体" w:eastAsia="宋体" w:cs="Times New Roman"/>
                <w:color w:val="auto"/>
              </w:rPr>
              <w:t>枯平丰</w:t>
            </w:r>
          </w:p>
        </w:tc>
        <w:tc>
          <w:tcPr>
            <w:tcW w:w="1386" w:type="dxa"/>
            <w:vAlign w:val="center"/>
          </w:tcPr>
          <w:p w14:paraId="0C841FA5">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084" w:type="dxa"/>
            <w:vAlign w:val="center"/>
          </w:tcPr>
          <w:p w14:paraId="43BEBFED">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232" w:type="dxa"/>
            <w:vAlign w:val="center"/>
          </w:tcPr>
          <w:p w14:paraId="07D5CFC7">
            <w:pPr>
              <w:snapToGrid w:val="0"/>
              <w:spacing w:line="360" w:lineRule="exact"/>
              <w:jc w:val="center"/>
              <w:rPr>
                <w:rFonts w:ascii="宋体" w:hAnsi="宋体" w:eastAsia="宋体" w:cs="Times New Roman"/>
                <w:color w:val="auto"/>
              </w:rPr>
            </w:pPr>
            <w:r>
              <w:rPr>
                <w:rFonts w:ascii="宋体" w:hAnsi="宋体" w:eastAsia="宋体" w:cs="Times New Roman"/>
                <w:color w:val="auto"/>
              </w:rPr>
              <w:t>二期</w:t>
            </w:r>
          </w:p>
        </w:tc>
        <w:tc>
          <w:tcPr>
            <w:tcW w:w="1386" w:type="dxa"/>
            <w:vAlign w:val="center"/>
          </w:tcPr>
          <w:p w14:paraId="3090AF41">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933" w:type="dxa"/>
            <w:vAlign w:val="center"/>
          </w:tcPr>
          <w:p w14:paraId="39A01FAA">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r>
      <w:tr w14:paraId="2B275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4" w:type="dxa"/>
            <w:vAlign w:val="center"/>
          </w:tcPr>
          <w:p w14:paraId="3CDDF5B2">
            <w:pPr>
              <w:snapToGrid w:val="0"/>
              <w:spacing w:line="360" w:lineRule="exact"/>
              <w:jc w:val="center"/>
              <w:rPr>
                <w:rFonts w:ascii="宋体" w:hAnsi="宋体" w:eastAsia="宋体" w:cs="Times New Roman"/>
                <w:color w:val="auto"/>
              </w:rPr>
            </w:pPr>
            <w:r>
              <w:rPr>
                <w:rFonts w:ascii="宋体" w:hAnsi="宋体" w:eastAsia="宋体" w:cs="Times New Roman"/>
                <w:color w:val="auto"/>
              </w:rPr>
              <w:t>沙漠地区</w:t>
            </w:r>
          </w:p>
        </w:tc>
        <w:tc>
          <w:tcPr>
            <w:tcW w:w="1076" w:type="dxa"/>
            <w:vAlign w:val="center"/>
          </w:tcPr>
          <w:p w14:paraId="2A2792AB">
            <w:pPr>
              <w:snapToGrid w:val="0"/>
              <w:spacing w:line="360" w:lineRule="exact"/>
              <w:jc w:val="center"/>
              <w:rPr>
                <w:rFonts w:ascii="宋体" w:hAnsi="宋体" w:eastAsia="宋体" w:cs="Times New Roman"/>
                <w:color w:val="auto"/>
              </w:rPr>
            </w:pPr>
            <w:r>
              <w:rPr>
                <w:rFonts w:ascii="宋体" w:hAnsi="宋体" w:eastAsia="宋体" w:cs="Times New Roman"/>
                <w:color w:val="auto"/>
              </w:rPr>
              <w:t>枯丰</w:t>
            </w:r>
          </w:p>
        </w:tc>
        <w:tc>
          <w:tcPr>
            <w:tcW w:w="1386" w:type="dxa"/>
            <w:vAlign w:val="center"/>
          </w:tcPr>
          <w:p w14:paraId="4B327E44">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084" w:type="dxa"/>
            <w:vAlign w:val="center"/>
          </w:tcPr>
          <w:p w14:paraId="6B22CFDE">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232" w:type="dxa"/>
            <w:vAlign w:val="center"/>
          </w:tcPr>
          <w:p w14:paraId="318D5755">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386" w:type="dxa"/>
            <w:vAlign w:val="center"/>
          </w:tcPr>
          <w:p w14:paraId="165C3013">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933" w:type="dxa"/>
            <w:vAlign w:val="center"/>
          </w:tcPr>
          <w:p w14:paraId="69ACF45C">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r>
      <w:tr w14:paraId="3A7BB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4" w:type="dxa"/>
            <w:vAlign w:val="center"/>
          </w:tcPr>
          <w:p w14:paraId="1EEB0FBC">
            <w:pPr>
              <w:snapToGrid w:val="0"/>
              <w:spacing w:line="360" w:lineRule="exact"/>
              <w:jc w:val="center"/>
              <w:rPr>
                <w:rFonts w:ascii="宋体" w:hAnsi="宋体" w:eastAsia="宋体" w:cs="Times New Roman"/>
                <w:color w:val="auto"/>
              </w:rPr>
            </w:pPr>
            <w:r>
              <w:rPr>
                <w:rFonts w:ascii="宋体" w:hAnsi="宋体" w:eastAsia="宋体" w:cs="Times New Roman"/>
                <w:color w:val="auto"/>
              </w:rPr>
              <w:t>丘陵山区</w:t>
            </w:r>
          </w:p>
        </w:tc>
        <w:tc>
          <w:tcPr>
            <w:tcW w:w="1076" w:type="dxa"/>
            <w:vAlign w:val="center"/>
          </w:tcPr>
          <w:p w14:paraId="3AC76BCD">
            <w:pPr>
              <w:snapToGrid w:val="0"/>
              <w:spacing w:line="360" w:lineRule="exact"/>
              <w:jc w:val="center"/>
              <w:rPr>
                <w:rFonts w:ascii="宋体" w:hAnsi="宋体" w:eastAsia="宋体" w:cs="Times New Roman"/>
                <w:color w:val="auto"/>
              </w:rPr>
            </w:pPr>
            <w:r>
              <w:rPr>
                <w:rFonts w:ascii="宋体" w:hAnsi="宋体" w:eastAsia="宋体" w:cs="Times New Roman"/>
                <w:color w:val="auto"/>
              </w:rPr>
              <w:t>枯丰</w:t>
            </w:r>
          </w:p>
        </w:tc>
        <w:tc>
          <w:tcPr>
            <w:tcW w:w="1386" w:type="dxa"/>
            <w:vAlign w:val="center"/>
          </w:tcPr>
          <w:p w14:paraId="0F7F5C69">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084" w:type="dxa"/>
            <w:vAlign w:val="center"/>
          </w:tcPr>
          <w:p w14:paraId="2408DFD1">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232" w:type="dxa"/>
            <w:vAlign w:val="center"/>
          </w:tcPr>
          <w:p w14:paraId="037F2D32">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386" w:type="dxa"/>
            <w:vAlign w:val="center"/>
          </w:tcPr>
          <w:p w14:paraId="40F58997">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933" w:type="dxa"/>
            <w:vAlign w:val="center"/>
          </w:tcPr>
          <w:p w14:paraId="26AC4910">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r>
      <w:tr w14:paraId="7E418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4" w:type="dxa"/>
            <w:vAlign w:val="center"/>
          </w:tcPr>
          <w:p w14:paraId="3648ADF7">
            <w:pPr>
              <w:snapToGrid w:val="0"/>
              <w:spacing w:line="360" w:lineRule="exact"/>
              <w:jc w:val="center"/>
              <w:rPr>
                <w:rFonts w:ascii="宋体" w:hAnsi="宋体" w:eastAsia="宋体" w:cs="Times New Roman"/>
                <w:color w:val="auto"/>
              </w:rPr>
            </w:pPr>
            <w:r>
              <w:rPr>
                <w:rFonts w:ascii="宋体" w:hAnsi="宋体" w:eastAsia="宋体" w:cs="Times New Roman"/>
                <w:color w:val="auto"/>
              </w:rPr>
              <w:t>岩溶裂隙</w:t>
            </w:r>
          </w:p>
        </w:tc>
        <w:tc>
          <w:tcPr>
            <w:tcW w:w="1076" w:type="dxa"/>
            <w:vAlign w:val="center"/>
          </w:tcPr>
          <w:p w14:paraId="1D46B36D">
            <w:pPr>
              <w:snapToGrid w:val="0"/>
              <w:spacing w:line="360" w:lineRule="exact"/>
              <w:jc w:val="center"/>
              <w:rPr>
                <w:rFonts w:ascii="宋体" w:hAnsi="宋体" w:eastAsia="宋体" w:cs="Times New Roman"/>
                <w:color w:val="auto"/>
              </w:rPr>
            </w:pPr>
            <w:r>
              <w:rPr>
                <w:rFonts w:ascii="宋体" w:hAnsi="宋体" w:eastAsia="宋体" w:cs="Times New Roman"/>
                <w:color w:val="auto"/>
              </w:rPr>
              <w:t>枯丰</w:t>
            </w:r>
          </w:p>
        </w:tc>
        <w:tc>
          <w:tcPr>
            <w:tcW w:w="1386" w:type="dxa"/>
            <w:vAlign w:val="center"/>
          </w:tcPr>
          <w:p w14:paraId="3C5E1625">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084" w:type="dxa"/>
            <w:vAlign w:val="center"/>
          </w:tcPr>
          <w:p w14:paraId="0084501A">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232" w:type="dxa"/>
            <w:vAlign w:val="center"/>
          </w:tcPr>
          <w:p w14:paraId="6F01B3EF">
            <w:pPr>
              <w:snapToGrid w:val="0"/>
              <w:spacing w:line="360" w:lineRule="exact"/>
              <w:jc w:val="center"/>
              <w:rPr>
                <w:rFonts w:ascii="宋体" w:hAnsi="宋体" w:eastAsia="宋体" w:cs="Times New Roman"/>
                <w:color w:val="auto"/>
              </w:rPr>
            </w:pPr>
            <w:r>
              <w:rPr>
                <w:rFonts w:ascii="宋体" w:hAnsi="宋体" w:eastAsia="宋体" w:cs="Times New Roman"/>
                <w:color w:val="auto"/>
              </w:rPr>
              <w:t>枯丰</w:t>
            </w:r>
          </w:p>
        </w:tc>
        <w:tc>
          <w:tcPr>
            <w:tcW w:w="1386" w:type="dxa"/>
            <w:vAlign w:val="center"/>
          </w:tcPr>
          <w:p w14:paraId="2F60C466">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933" w:type="dxa"/>
            <w:vAlign w:val="center"/>
          </w:tcPr>
          <w:p w14:paraId="2E5B43B7">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r>
      <w:tr w14:paraId="1031E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4" w:type="dxa"/>
            <w:vAlign w:val="center"/>
          </w:tcPr>
          <w:p w14:paraId="3223F3AB">
            <w:pPr>
              <w:snapToGrid w:val="0"/>
              <w:spacing w:line="360" w:lineRule="exact"/>
              <w:jc w:val="center"/>
              <w:rPr>
                <w:rFonts w:ascii="宋体" w:hAnsi="宋体" w:eastAsia="宋体" w:cs="Times New Roman"/>
                <w:color w:val="auto"/>
              </w:rPr>
            </w:pPr>
            <w:r>
              <w:rPr>
                <w:rFonts w:ascii="宋体" w:hAnsi="宋体" w:eastAsia="宋体" w:cs="Times New Roman"/>
                <w:color w:val="auto"/>
              </w:rPr>
              <w:t>岩溶管道</w:t>
            </w:r>
          </w:p>
        </w:tc>
        <w:tc>
          <w:tcPr>
            <w:tcW w:w="1076" w:type="dxa"/>
            <w:vAlign w:val="center"/>
          </w:tcPr>
          <w:p w14:paraId="2847A23E">
            <w:pPr>
              <w:snapToGrid w:val="0"/>
              <w:spacing w:line="360" w:lineRule="exact"/>
              <w:jc w:val="center"/>
              <w:rPr>
                <w:rFonts w:ascii="宋体" w:hAnsi="宋体" w:eastAsia="宋体" w:cs="Times New Roman"/>
                <w:color w:val="auto"/>
              </w:rPr>
            </w:pPr>
            <w:r>
              <w:rPr>
                <w:rFonts w:ascii="宋体" w:hAnsi="宋体" w:eastAsia="宋体" w:cs="Times New Roman"/>
                <w:color w:val="auto"/>
              </w:rPr>
              <w:t>二期</w:t>
            </w:r>
          </w:p>
        </w:tc>
        <w:tc>
          <w:tcPr>
            <w:tcW w:w="1386" w:type="dxa"/>
            <w:vAlign w:val="center"/>
          </w:tcPr>
          <w:p w14:paraId="5F27E410">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084" w:type="dxa"/>
            <w:vAlign w:val="center"/>
          </w:tcPr>
          <w:p w14:paraId="186514DA">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1232" w:type="dxa"/>
            <w:vAlign w:val="center"/>
          </w:tcPr>
          <w:p w14:paraId="78DDBD44">
            <w:pPr>
              <w:snapToGrid w:val="0"/>
              <w:spacing w:line="360" w:lineRule="exact"/>
              <w:jc w:val="center"/>
              <w:rPr>
                <w:rFonts w:ascii="宋体" w:hAnsi="宋体" w:eastAsia="宋体" w:cs="Times New Roman"/>
                <w:color w:val="auto"/>
              </w:rPr>
            </w:pPr>
            <w:r>
              <w:rPr>
                <w:rFonts w:ascii="宋体" w:hAnsi="宋体" w:eastAsia="宋体" w:cs="Times New Roman"/>
                <w:color w:val="auto"/>
              </w:rPr>
              <w:t>二期</w:t>
            </w:r>
          </w:p>
        </w:tc>
        <w:tc>
          <w:tcPr>
            <w:tcW w:w="1386" w:type="dxa"/>
            <w:vAlign w:val="center"/>
          </w:tcPr>
          <w:p w14:paraId="6DB2E43E">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c>
          <w:tcPr>
            <w:tcW w:w="933" w:type="dxa"/>
            <w:vAlign w:val="center"/>
          </w:tcPr>
          <w:p w14:paraId="02EB192F">
            <w:pPr>
              <w:snapToGrid w:val="0"/>
              <w:spacing w:line="360" w:lineRule="exact"/>
              <w:jc w:val="center"/>
              <w:rPr>
                <w:rFonts w:ascii="宋体" w:hAnsi="宋体" w:eastAsia="宋体" w:cs="Times New Roman"/>
                <w:color w:val="auto"/>
              </w:rPr>
            </w:pPr>
            <w:r>
              <w:rPr>
                <w:rFonts w:ascii="宋体" w:hAnsi="宋体" w:eastAsia="宋体" w:cs="Times New Roman"/>
                <w:color w:val="auto"/>
              </w:rPr>
              <w:t>一期</w:t>
            </w:r>
          </w:p>
        </w:tc>
      </w:tr>
      <w:tr w14:paraId="1A4B7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061" w:type="dxa"/>
            <w:gridSpan w:val="7"/>
            <w:vAlign w:val="center"/>
          </w:tcPr>
          <w:p w14:paraId="648D42E0">
            <w:pPr>
              <w:snapToGrid w:val="0"/>
              <w:spacing w:line="360" w:lineRule="exact"/>
              <w:jc w:val="center"/>
              <w:rPr>
                <w:rFonts w:ascii="宋体" w:hAnsi="宋体" w:eastAsia="宋体" w:cs="Times New Roman"/>
                <w:color w:val="auto"/>
              </w:rPr>
            </w:pPr>
            <w:r>
              <w:rPr>
                <w:rFonts w:ascii="宋体" w:hAnsi="宋体" w:eastAsia="宋体" w:cs="Times New Roman"/>
                <w:color w:val="auto"/>
              </w:rPr>
              <w:t>a “二期”的间隔有明显水位变化，其变化幅度接近年内变幅。</w:t>
            </w:r>
          </w:p>
        </w:tc>
      </w:tr>
    </w:tbl>
    <w:p w14:paraId="5C25C1BE">
      <w:pPr>
        <w:pStyle w:val="276"/>
        <w:widowControl w:val="0"/>
        <w:ind w:firstLine="480"/>
        <w:jc w:val="both"/>
        <w:rPr>
          <w:color w:val="auto"/>
        </w:rPr>
      </w:pPr>
      <w:r>
        <w:rPr>
          <w:color w:val="auto"/>
        </w:rPr>
        <w:t>一般情况下，地下水水位监测点数宜大于相应评价级别地下水水质监测点数的2倍。二级评价项目潜水含水层的水质监测点应不少于5个，可能受建设项目影响且具有饮用水开发利用价值的含水层2-4个。原则上建设项目场地上游和两侧的地下水水质监测点均不得少于1个，建设项目场地及其下游影响区的地下水水质监测点不得少于2个。</w:t>
      </w:r>
      <w:r>
        <w:rPr>
          <w:rFonts w:hint="eastAsia"/>
          <w:color w:val="auto"/>
        </w:rPr>
        <w:t>本项目地下水水位依托《</w:t>
      </w:r>
      <w:r>
        <w:rPr>
          <w:color w:val="auto"/>
          <w:spacing w:val="-5"/>
        </w:rPr>
        <w:t>肇源油田滚动外扩区钻井工程项目</w:t>
      </w:r>
      <w:r>
        <w:rPr>
          <w:rFonts w:hint="eastAsia"/>
          <w:color w:val="auto"/>
        </w:rPr>
        <w:t>环境影响报告书》中</w:t>
      </w:r>
      <w:r>
        <w:rPr>
          <w:color w:val="auto"/>
        </w:rPr>
        <w:t>地下水水位监测点</w:t>
      </w:r>
      <w:r>
        <w:rPr>
          <w:rFonts w:hint="eastAsia"/>
          <w:color w:val="auto"/>
        </w:rPr>
        <w:t>30</w:t>
      </w:r>
      <w:r>
        <w:rPr>
          <w:color w:val="auto"/>
        </w:rPr>
        <w:t>个</w:t>
      </w:r>
      <w:r>
        <w:rPr>
          <w:rFonts w:hint="eastAsia"/>
          <w:color w:val="auto"/>
        </w:rPr>
        <w:t>，地下水水质监测点位为本次布设，共计16个</w:t>
      </w:r>
      <w:r>
        <w:rPr>
          <w:color w:val="auto"/>
        </w:rPr>
        <w:t>。</w:t>
      </w:r>
    </w:p>
    <w:p w14:paraId="2F867BE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地下水位监测</w:t>
      </w:r>
    </w:p>
    <w:p w14:paraId="554D0E22">
      <w:pPr>
        <w:pStyle w:val="276"/>
        <w:widowControl w:val="0"/>
        <w:ind w:firstLine="480"/>
        <w:jc w:val="both"/>
        <w:rPr>
          <w:color w:val="auto"/>
        </w:rPr>
      </w:pPr>
      <w:r>
        <w:rPr>
          <w:color w:val="auto"/>
        </w:rPr>
        <w:t>（1）监测点位</w:t>
      </w:r>
    </w:p>
    <w:p w14:paraId="082422CB">
      <w:pPr>
        <w:pStyle w:val="276"/>
        <w:widowControl w:val="0"/>
        <w:ind w:firstLine="480"/>
        <w:jc w:val="both"/>
        <w:rPr>
          <w:color w:val="auto"/>
        </w:rPr>
      </w:pPr>
      <w:r>
        <w:rPr>
          <w:color w:val="auto"/>
        </w:rPr>
        <w:t>根据本项目地层特征，以及地下水含水层特点和区域水资源开发利用情况，参照《环境影响评价技术导则 地下水环境》（HJ 610-2016），</w:t>
      </w:r>
      <w:r>
        <w:rPr>
          <w:rFonts w:hint="eastAsia"/>
          <w:color w:val="auto"/>
          <w:lang w:val="en-US" w:eastAsia="zh-CN"/>
        </w:rPr>
        <w:t>本次</w:t>
      </w:r>
      <w:r>
        <w:rPr>
          <w:rFonts w:hint="eastAsia"/>
          <w:color w:val="auto"/>
        </w:rPr>
        <w:t>对</w:t>
      </w:r>
      <w:r>
        <w:rPr>
          <w:color w:val="auto"/>
        </w:rPr>
        <w:t>周边区域内布设地下水水位监测点</w:t>
      </w:r>
      <w:r>
        <w:rPr>
          <w:rFonts w:hint="eastAsia"/>
          <w:color w:val="auto"/>
        </w:rPr>
        <w:t>3</w:t>
      </w:r>
      <w:r>
        <w:rPr>
          <w:rFonts w:hint="eastAsia"/>
          <w:color w:val="auto"/>
          <w:lang w:val="en-US" w:eastAsia="zh-CN"/>
        </w:rPr>
        <w:t>2</w:t>
      </w:r>
      <w:r>
        <w:rPr>
          <w:color w:val="auto"/>
        </w:rPr>
        <w:t>个，其中，潜水水位监测点</w:t>
      </w:r>
      <w:r>
        <w:rPr>
          <w:rFonts w:hint="eastAsia"/>
          <w:color w:val="auto"/>
        </w:rPr>
        <w:t>26</w:t>
      </w:r>
      <w:r>
        <w:rPr>
          <w:color w:val="auto"/>
        </w:rPr>
        <w:t>个，承压水水位监测点</w:t>
      </w:r>
      <w:r>
        <w:rPr>
          <w:rFonts w:hint="eastAsia"/>
          <w:color w:val="auto"/>
          <w:lang w:val="en-US" w:eastAsia="zh-CN"/>
        </w:rPr>
        <w:t>8</w:t>
      </w:r>
      <w:r>
        <w:rPr>
          <w:color w:val="auto"/>
        </w:rPr>
        <w:t>个。</w:t>
      </w:r>
    </w:p>
    <w:p w14:paraId="6D57838F">
      <w:pPr>
        <w:pStyle w:val="276"/>
        <w:widowControl w:val="0"/>
        <w:spacing w:line="440" w:lineRule="exact"/>
        <w:ind w:firstLine="0" w:firstLineChars="0"/>
        <w:jc w:val="center"/>
        <w:rPr>
          <w:color w:val="auto"/>
          <w:kern w:val="21"/>
          <w:szCs w:val="20"/>
        </w:rPr>
      </w:pPr>
      <w:r>
        <w:rPr>
          <w:color w:val="auto"/>
          <w:kern w:val="21"/>
          <w:szCs w:val="20"/>
        </w:rPr>
        <w:t xml:space="preserve">表4.3-5 </w:t>
      </w:r>
      <w:r>
        <w:rPr>
          <w:color w:val="auto"/>
          <w:szCs w:val="28"/>
        </w:rPr>
        <w:t>地下水</w:t>
      </w:r>
      <w:r>
        <w:rPr>
          <w:color w:val="auto"/>
          <w:kern w:val="21"/>
          <w:szCs w:val="20"/>
        </w:rPr>
        <w:t>水位监测点基本情况表</w:t>
      </w:r>
    </w:p>
    <w:tbl>
      <w:tblPr>
        <w:tblStyle w:val="174"/>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7"/>
        <w:gridCol w:w="1611"/>
        <w:gridCol w:w="1607"/>
        <w:gridCol w:w="1607"/>
        <w:gridCol w:w="1607"/>
        <w:gridCol w:w="1614"/>
      </w:tblGrid>
      <w:tr w14:paraId="05DB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462D94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编号</w:t>
            </w:r>
          </w:p>
        </w:tc>
        <w:tc>
          <w:tcPr>
            <w:tcW w:w="894" w:type="pct"/>
            <w:noWrap w:val="0"/>
            <w:vAlign w:val="center"/>
          </w:tcPr>
          <w:p w14:paraId="25253B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监测点位置</w:t>
            </w:r>
          </w:p>
        </w:tc>
        <w:tc>
          <w:tcPr>
            <w:tcW w:w="892" w:type="pct"/>
            <w:noWrap w:val="0"/>
            <w:vAlign w:val="center"/>
          </w:tcPr>
          <w:p w14:paraId="657834C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水位埋深（m）</w:t>
            </w:r>
          </w:p>
        </w:tc>
        <w:tc>
          <w:tcPr>
            <w:tcW w:w="892" w:type="pct"/>
            <w:noWrap w:val="0"/>
            <w:vAlign w:val="center"/>
          </w:tcPr>
          <w:p w14:paraId="1A5EF0A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水温（℃）</w:t>
            </w:r>
          </w:p>
        </w:tc>
        <w:tc>
          <w:tcPr>
            <w:tcW w:w="892" w:type="pct"/>
            <w:noWrap w:val="0"/>
            <w:vAlign w:val="center"/>
          </w:tcPr>
          <w:p w14:paraId="2350C28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井深</w:t>
            </w:r>
            <w:r>
              <w:rPr>
                <w:rFonts w:ascii="Times New Roman" w:hAnsi="Times New Roman" w:eastAsia="Times New Roman" w:cs="Times New Roman"/>
                <w:color w:val="auto"/>
                <w:sz w:val="21"/>
                <w:szCs w:val="21"/>
                <w:lang w:eastAsia="en-US"/>
              </w:rPr>
              <w:t>（m）</w:t>
            </w:r>
          </w:p>
        </w:tc>
        <w:tc>
          <w:tcPr>
            <w:tcW w:w="895" w:type="pct"/>
            <w:noWrap w:val="0"/>
            <w:vAlign w:val="center"/>
          </w:tcPr>
          <w:p w14:paraId="49BA0C5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监测含水层</w:t>
            </w:r>
          </w:p>
        </w:tc>
      </w:tr>
      <w:tr w14:paraId="4AA3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788CE0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1</w:t>
            </w:r>
          </w:p>
        </w:tc>
        <w:tc>
          <w:tcPr>
            <w:tcW w:w="894" w:type="pct"/>
            <w:noWrap w:val="0"/>
            <w:vAlign w:val="center"/>
          </w:tcPr>
          <w:p w14:paraId="75446B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吴家围子屯</w:t>
            </w:r>
          </w:p>
        </w:tc>
        <w:tc>
          <w:tcPr>
            <w:tcW w:w="892" w:type="pct"/>
            <w:noWrap w:val="0"/>
            <w:vAlign w:val="center"/>
          </w:tcPr>
          <w:p w14:paraId="7CBFFA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18.3</w:t>
            </w:r>
          </w:p>
        </w:tc>
        <w:tc>
          <w:tcPr>
            <w:tcW w:w="892" w:type="pct"/>
            <w:noWrap w:val="0"/>
            <w:vAlign w:val="center"/>
          </w:tcPr>
          <w:p w14:paraId="4747F82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10.4</w:t>
            </w:r>
          </w:p>
        </w:tc>
        <w:tc>
          <w:tcPr>
            <w:tcW w:w="892" w:type="pct"/>
            <w:noWrap w:val="0"/>
            <w:vAlign w:val="center"/>
          </w:tcPr>
          <w:p w14:paraId="03B7F0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4.5</w:t>
            </w:r>
          </w:p>
        </w:tc>
        <w:tc>
          <w:tcPr>
            <w:tcW w:w="895" w:type="pct"/>
            <w:noWrap w:val="0"/>
            <w:vAlign w:val="center"/>
          </w:tcPr>
          <w:p w14:paraId="1C202A8C">
            <w:pPr>
              <w:pStyle w:val="280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eastAsia="宋体"/>
                <w:color w:val="auto"/>
                <w:sz w:val="21"/>
                <w:szCs w:val="21"/>
                <w:lang w:val="en-US" w:eastAsia="zh-CN"/>
              </w:rPr>
            </w:pPr>
            <w:r>
              <w:rPr>
                <w:rFonts w:hint="eastAsia"/>
                <w:color w:val="auto"/>
                <w:sz w:val="21"/>
                <w:szCs w:val="21"/>
                <w:lang w:val="en-US" w:eastAsia="zh-CN"/>
              </w:rPr>
              <w:t>潜水井</w:t>
            </w:r>
          </w:p>
        </w:tc>
      </w:tr>
      <w:tr w14:paraId="48C6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2C6A92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2</w:t>
            </w:r>
          </w:p>
        </w:tc>
        <w:tc>
          <w:tcPr>
            <w:tcW w:w="894" w:type="pct"/>
            <w:noWrap w:val="0"/>
            <w:vAlign w:val="center"/>
          </w:tcPr>
          <w:p w14:paraId="19F23E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华南屯</w:t>
            </w:r>
          </w:p>
        </w:tc>
        <w:tc>
          <w:tcPr>
            <w:tcW w:w="892" w:type="pct"/>
            <w:noWrap w:val="0"/>
            <w:vAlign w:val="center"/>
          </w:tcPr>
          <w:p w14:paraId="2B05CB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w:t>
            </w:r>
          </w:p>
        </w:tc>
        <w:tc>
          <w:tcPr>
            <w:tcW w:w="892" w:type="pct"/>
            <w:noWrap w:val="0"/>
            <w:vAlign w:val="center"/>
          </w:tcPr>
          <w:p w14:paraId="2CB9E60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12.2</w:t>
            </w:r>
          </w:p>
        </w:tc>
        <w:tc>
          <w:tcPr>
            <w:tcW w:w="892" w:type="pct"/>
            <w:noWrap w:val="0"/>
            <w:vAlign w:val="center"/>
          </w:tcPr>
          <w:p w14:paraId="4FB325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18</w:t>
            </w:r>
          </w:p>
        </w:tc>
        <w:tc>
          <w:tcPr>
            <w:tcW w:w="895" w:type="pct"/>
            <w:noWrap w:val="0"/>
            <w:vAlign w:val="center"/>
          </w:tcPr>
          <w:p w14:paraId="1C502F2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6CCD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2EEB436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3</w:t>
            </w:r>
          </w:p>
        </w:tc>
        <w:tc>
          <w:tcPr>
            <w:tcW w:w="894" w:type="pct"/>
            <w:noWrap w:val="0"/>
            <w:vAlign w:val="center"/>
          </w:tcPr>
          <w:p w14:paraId="63D90D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王家粉坊屯</w:t>
            </w:r>
          </w:p>
        </w:tc>
        <w:tc>
          <w:tcPr>
            <w:tcW w:w="892" w:type="pct"/>
            <w:noWrap w:val="0"/>
            <w:vAlign w:val="center"/>
          </w:tcPr>
          <w:p w14:paraId="65729D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6</w:t>
            </w:r>
          </w:p>
        </w:tc>
        <w:tc>
          <w:tcPr>
            <w:tcW w:w="892" w:type="pct"/>
            <w:noWrap w:val="0"/>
            <w:vAlign w:val="center"/>
          </w:tcPr>
          <w:p w14:paraId="3185E1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11.7</w:t>
            </w:r>
          </w:p>
        </w:tc>
        <w:tc>
          <w:tcPr>
            <w:tcW w:w="892" w:type="pct"/>
            <w:noWrap w:val="0"/>
            <w:vAlign w:val="center"/>
          </w:tcPr>
          <w:p w14:paraId="160CF45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8</w:t>
            </w:r>
          </w:p>
        </w:tc>
        <w:tc>
          <w:tcPr>
            <w:tcW w:w="895" w:type="pct"/>
            <w:noWrap w:val="0"/>
            <w:vAlign w:val="center"/>
          </w:tcPr>
          <w:p w14:paraId="14DC256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olor w:val="auto"/>
                <w:sz w:val="21"/>
                <w:szCs w:val="21"/>
                <w:lang w:val="en-US"/>
              </w:rPr>
            </w:pPr>
            <w:r>
              <w:rPr>
                <w:rFonts w:hint="eastAsia"/>
                <w:color w:val="auto"/>
                <w:sz w:val="21"/>
                <w:szCs w:val="21"/>
                <w:lang w:val="en-US" w:eastAsia="zh-CN"/>
              </w:rPr>
              <w:t>承压水井</w:t>
            </w:r>
          </w:p>
        </w:tc>
      </w:tr>
      <w:tr w14:paraId="0859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585319F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4</w:t>
            </w:r>
          </w:p>
        </w:tc>
        <w:tc>
          <w:tcPr>
            <w:tcW w:w="894" w:type="pct"/>
            <w:noWrap w:val="0"/>
            <w:vAlign w:val="center"/>
          </w:tcPr>
          <w:p w14:paraId="5136B80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小欧力马屯</w:t>
            </w:r>
          </w:p>
        </w:tc>
        <w:tc>
          <w:tcPr>
            <w:tcW w:w="892" w:type="pct"/>
            <w:noWrap w:val="0"/>
            <w:vAlign w:val="center"/>
          </w:tcPr>
          <w:p w14:paraId="2E2867B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6</w:t>
            </w:r>
          </w:p>
        </w:tc>
        <w:tc>
          <w:tcPr>
            <w:tcW w:w="892" w:type="pct"/>
            <w:noWrap w:val="0"/>
            <w:vAlign w:val="center"/>
          </w:tcPr>
          <w:p w14:paraId="094BC93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8.4</w:t>
            </w:r>
          </w:p>
        </w:tc>
        <w:tc>
          <w:tcPr>
            <w:tcW w:w="892" w:type="pct"/>
            <w:noWrap w:val="0"/>
            <w:vAlign w:val="center"/>
          </w:tcPr>
          <w:p w14:paraId="6B26E2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28.5</w:t>
            </w:r>
          </w:p>
        </w:tc>
        <w:tc>
          <w:tcPr>
            <w:tcW w:w="895" w:type="pct"/>
            <w:noWrap w:val="0"/>
            <w:vAlign w:val="center"/>
          </w:tcPr>
          <w:p w14:paraId="5CE4C2F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2D40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5D5D88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5</w:t>
            </w:r>
          </w:p>
        </w:tc>
        <w:tc>
          <w:tcPr>
            <w:tcW w:w="894" w:type="pct"/>
            <w:noWrap w:val="0"/>
            <w:vAlign w:val="center"/>
          </w:tcPr>
          <w:p w14:paraId="155B1D4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赵家围子</w:t>
            </w:r>
          </w:p>
        </w:tc>
        <w:tc>
          <w:tcPr>
            <w:tcW w:w="892" w:type="pct"/>
            <w:noWrap w:val="0"/>
            <w:vAlign w:val="center"/>
          </w:tcPr>
          <w:p w14:paraId="249C132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w:t>
            </w:r>
          </w:p>
        </w:tc>
        <w:tc>
          <w:tcPr>
            <w:tcW w:w="892" w:type="pct"/>
            <w:noWrap w:val="0"/>
            <w:vAlign w:val="center"/>
          </w:tcPr>
          <w:p w14:paraId="312309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13.4</w:t>
            </w:r>
          </w:p>
        </w:tc>
        <w:tc>
          <w:tcPr>
            <w:tcW w:w="892" w:type="pct"/>
            <w:noWrap w:val="0"/>
            <w:vAlign w:val="center"/>
          </w:tcPr>
          <w:p w14:paraId="3E0B173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17</w:t>
            </w:r>
          </w:p>
        </w:tc>
        <w:tc>
          <w:tcPr>
            <w:tcW w:w="895" w:type="pct"/>
            <w:noWrap w:val="0"/>
            <w:vAlign w:val="center"/>
          </w:tcPr>
          <w:p w14:paraId="7854A55B">
            <w:pPr>
              <w:pStyle w:val="280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承压水井</w:t>
            </w:r>
          </w:p>
        </w:tc>
      </w:tr>
      <w:tr w14:paraId="6D1D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563FAA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6</w:t>
            </w:r>
          </w:p>
        </w:tc>
        <w:tc>
          <w:tcPr>
            <w:tcW w:w="894" w:type="pct"/>
            <w:noWrap w:val="0"/>
            <w:vAlign w:val="center"/>
          </w:tcPr>
          <w:p w14:paraId="080336B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腰欧力马屯</w:t>
            </w:r>
          </w:p>
        </w:tc>
        <w:tc>
          <w:tcPr>
            <w:tcW w:w="892" w:type="pct"/>
            <w:noWrap w:val="0"/>
            <w:vAlign w:val="center"/>
          </w:tcPr>
          <w:p w14:paraId="58B881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6</w:t>
            </w:r>
          </w:p>
        </w:tc>
        <w:tc>
          <w:tcPr>
            <w:tcW w:w="892" w:type="pct"/>
            <w:noWrap w:val="0"/>
            <w:vAlign w:val="center"/>
          </w:tcPr>
          <w:p w14:paraId="2234D9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8.6</w:t>
            </w:r>
          </w:p>
        </w:tc>
        <w:tc>
          <w:tcPr>
            <w:tcW w:w="892" w:type="pct"/>
            <w:noWrap w:val="0"/>
            <w:vAlign w:val="center"/>
          </w:tcPr>
          <w:p w14:paraId="0C610D7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18</w:t>
            </w:r>
          </w:p>
        </w:tc>
        <w:tc>
          <w:tcPr>
            <w:tcW w:w="895" w:type="pct"/>
            <w:noWrap w:val="0"/>
            <w:vAlign w:val="center"/>
          </w:tcPr>
          <w:p w14:paraId="38B8FA9E">
            <w:pPr>
              <w:pStyle w:val="280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75DD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40EF75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7</w:t>
            </w:r>
          </w:p>
        </w:tc>
        <w:tc>
          <w:tcPr>
            <w:tcW w:w="894" w:type="pct"/>
            <w:noWrap w:val="0"/>
            <w:vAlign w:val="center"/>
          </w:tcPr>
          <w:p w14:paraId="4635798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王家园子</w:t>
            </w:r>
          </w:p>
        </w:tc>
        <w:tc>
          <w:tcPr>
            <w:tcW w:w="892" w:type="pct"/>
            <w:noWrap w:val="0"/>
            <w:vAlign w:val="center"/>
          </w:tcPr>
          <w:p w14:paraId="6D318F0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7</w:t>
            </w:r>
          </w:p>
        </w:tc>
        <w:tc>
          <w:tcPr>
            <w:tcW w:w="892" w:type="pct"/>
            <w:noWrap w:val="0"/>
            <w:vAlign w:val="center"/>
          </w:tcPr>
          <w:p w14:paraId="6141316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7.9</w:t>
            </w:r>
          </w:p>
        </w:tc>
        <w:tc>
          <w:tcPr>
            <w:tcW w:w="892" w:type="pct"/>
            <w:noWrap w:val="0"/>
            <w:vAlign w:val="center"/>
          </w:tcPr>
          <w:p w14:paraId="0D6131D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16</w:t>
            </w:r>
          </w:p>
        </w:tc>
        <w:tc>
          <w:tcPr>
            <w:tcW w:w="895" w:type="pct"/>
            <w:noWrap w:val="0"/>
            <w:vAlign w:val="center"/>
          </w:tcPr>
          <w:p w14:paraId="0005E6B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承压水井</w:t>
            </w:r>
          </w:p>
        </w:tc>
      </w:tr>
      <w:tr w14:paraId="40A3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344478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8</w:t>
            </w:r>
          </w:p>
        </w:tc>
        <w:tc>
          <w:tcPr>
            <w:tcW w:w="894" w:type="pct"/>
            <w:noWrap w:val="0"/>
            <w:vAlign w:val="center"/>
          </w:tcPr>
          <w:p w14:paraId="32DDFF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和平乡</w:t>
            </w:r>
          </w:p>
        </w:tc>
        <w:tc>
          <w:tcPr>
            <w:tcW w:w="892" w:type="pct"/>
            <w:noWrap w:val="0"/>
            <w:vAlign w:val="center"/>
          </w:tcPr>
          <w:p w14:paraId="4313FD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12.6</w:t>
            </w:r>
          </w:p>
        </w:tc>
        <w:tc>
          <w:tcPr>
            <w:tcW w:w="892" w:type="pct"/>
            <w:noWrap w:val="0"/>
            <w:vAlign w:val="center"/>
          </w:tcPr>
          <w:p w14:paraId="573269B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7.9</w:t>
            </w:r>
          </w:p>
        </w:tc>
        <w:tc>
          <w:tcPr>
            <w:tcW w:w="892" w:type="pct"/>
            <w:noWrap w:val="0"/>
            <w:vAlign w:val="center"/>
          </w:tcPr>
          <w:p w14:paraId="24692C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29.3</w:t>
            </w:r>
          </w:p>
        </w:tc>
        <w:tc>
          <w:tcPr>
            <w:tcW w:w="895" w:type="pct"/>
            <w:noWrap w:val="0"/>
            <w:vAlign w:val="center"/>
          </w:tcPr>
          <w:p w14:paraId="682B756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承压水井</w:t>
            </w:r>
          </w:p>
        </w:tc>
      </w:tr>
      <w:tr w14:paraId="41C6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5C6D994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z w:val="21"/>
                <w:szCs w:val="21"/>
                <w:lang w:eastAsia="en-US"/>
              </w:rPr>
              <w:t>9</w:t>
            </w:r>
          </w:p>
        </w:tc>
        <w:tc>
          <w:tcPr>
            <w:tcW w:w="894" w:type="pct"/>
            <w:noWrap w:val="0"/>
            <w:vAlign w:val="center"/>
          </w:tcPr>
          <w:p w14:paraId="64B3C6E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东风屯</w:t>
            </w:r>
          </w:p>
        </w:tc>
        <w:tc>
          <w:tcPr>
            <w:tcW w:w="892" w:type="pct"/>
            <w:noWrap w:val="0"/>
            <w:vAlign w:val="center"/>
          </w:tcPr>
          <w:p w14:paraId="5085E8F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4</w:t>
            </w:r>
          </w:p>
        </w:tc>
        <w:tc>
          <w:tcPr>
            <w:tcW w:w="892" w:type="pct"/>
            <w:noWrap w:val="0"/>
            <w:vAlign w:val="center"/>
          </w:tcPr>
          <w:p w14:paraId="066727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8.1</w:t>
            </w:r>
          </w:p>
        </w:tc>
        <w:tc>
          <w:tcPr>
            <w:tcW w:w="892" w:type="pct"/>
            <w:noWrap w:val="0"/>
            <w:vAlign w:val="center"/>
          </w:tcPr>
          <w:p w14:paraId="1D2FC3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28.9</w:t>
            </w:r>
          </w:p>
        </w:tc>
        <w:tc>
          <w:tcPr>
            <w:tcW w:w="895" w:type="pct"/>
            <w:noWrap w:val="0"/>
            <w:vAlign w:val="center"/>
          </w:tcPr>
          <w:p w14:paraId="41742E1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0596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21CDAA7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12"/>
                <w:sz w:val="21"/>
                <w:szCs w:val="21"/>
                <w:lang w:eastAsia="en-US"/>
              </w:rPr>
              <w:t>10</w:t>
            </w:r>
          </w:p>
        </w:tc>
        <w:tc>
          <w:tcPr>
            <w:tcW w:w="894" w:type="pct"/>
            <w:noWrap w:val="0"/>
            <w:vAlign w:val="center"/>
          </w:tcPr>
          <w:p w14:paraId="68F445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小东屯</w:t>
            </w:r>
          </w:p>
        </w:tc>
        <w:tc>
          <w:tcPr>
            <w:tcW w:w="892" w:type="pct"/>
            <w:noWrap w:val="0"/>
            <w:vAlign w:val="center"/>
          </w:tcPr>
          <w:p w14:paraId="49FA0C7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3.5</w:t>
            </w:r>
          </w:p>
        </w:tc>
        <w:tc>
          <w:tcPr>
            <w:tcW w:w="892" w:type="pct"/>
            <w:noWrap w:val="0"/>
            <w:vAlign w:val="center"/>
          </w:tcPr>
          <w:p w14:paraId="49E24DE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11.6</w:t>
            </w:r>
          </w:p>
        </w:tc>
        <w:tc>
          <w:tcPr>
            <w:tcW w:w="892" w:type="pct"/>
            <w:noWrap w:val="0"/>
            <w:vAlign w:val="center"/>
          </w:tcPr>
          <w:p w14:paraId="671B2D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27.7</w:t>
            </w:r>
          </w:p>
        </w:tc>
        <w:tc>
          <w:tcPr>
            <w:tcW w:w="895" w:type="pct"/>
            <w:noWrap w:val="0"/>
            <w:vAlign w:val="center"/>
          </w:tcPr>
          <w:p w14:paraId="52EFC53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259A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6628379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12"/>
                <w:sz w:val="21"/>
                <w:szCs w:val="21"/>
                <w:lang w:eastAsia="en-US"/>
              </w:rPr>
              <w:t>11</w:t>
            </w:r>
          </w:p>
        </w:tc>
        <w:tc>
          <w:tcPr>
            <w:tcW w:w="894" w:type="pct"/>
            <w:noWrap w:val="0"/>
            <w:vAlign w:val="center"/>
          </w:tcPr>
          <w:p w14:paraId="529FA4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三撮房屯</w:t>
            </w:r>
          </w:p>
        </w:tc>
        <w:tc>
          <w:tcPr>
            <w:tcW w:w="892" w:type="pct"/>
            <w:noWrap w:val="0"/>
            <w:vAlign w:val="center"/>
          </w:tcPr>
          <w:p w14:paraId="56BB65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8.6</w:t>
            </w:r>
          </w:p>
        </w:tc>
        <w:tc>
          <w:tcPr>
            <w:tcW w:w="892" w:type="pct"/>
            <w:noWrap w:val="0"/>
            <w:vAlign w:val="center"/>
          </w:tcPr>
          <w:p w14:paraId="16F7D5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12.7</w:t>
            </w:r>
          </w:p>
        </w:tc>
        <w:tc>
          <w:tcPr>
            <w:tcW w:w="892" w:type="pct"/>
            <w:noWrap w:val="0"/>
            <w:vAlign w:val="center"/>
          </w:tcPr>
          <w:p w14:paraId="18B7D74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16.4</w:t>
            </w:r>
          </w:p>
        </w:tc>
        <w:tc>
          <w:tcPr>
            <w:tcW w:w="895" w:type="pct"/>
            <w:noWrap w:val="0"/>
            <w:vAlign w:val="center"/>
          </w:tcPr>
          <w:p w14:paraId="33B504F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069F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4FAB2F8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12"/>
                <w:sz w:val="21"/>
                <w:szCs w:val="21"/>
                <w:lang w:eastAsia="en-US"/>
              </w:rPr>
              <w:t>12</w:t>
            </w:r>
          </w:p>
        </w:tc>
        <w:tc>
          <w:tcPr>
            <w:tcW w:w="894" w:type="pct"/>
            <w:noWrap w:val="0"/>
            <w:vAlign w:val="center"/>
          </w:tcPr>
          <w:p w14:paraId="2D7933D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张真新屯</w:t>
            </w:r>
          </w:p>
        </w:tc>
        <w:tc>
          <w:tcPr>
            <w:tcW w:w="892" w:type="pct"/>
            <w:noWrap w:val="0"/>
            <w:vAlign w:val="center"/>
          </w:tcPr>
          <w:p w14:paraId="3A5EE98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20</w:t>
            </w:r>
          </w:p>
        </w:tc>
        <w:tc>
          <w:tcPr>
            <w:tcW w:w="892" w:type="pct"/>
            <w:noWrap w:val="0"/>
            <w:vAlign w:val="center"/>
          </w:tcPr>
          <w:p w14:paraId="063E7C7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13.8</w:t>
            </w:r>
          </w:p>
        </w:tc>
        <w:tc>
          <w:tcPr>
            <w:tcW w:w="892" w:type="pct"/>
            <w:noWrap w:val="0"/>
            <w:vAlign w:val="center"/>
          </w:tcPr>
          <w:p w14:paraId="6EFF191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27</w:t>
            </w:r>
          </w:p>
        </w:tc>
        <w:tc>
          <w:tcPr>
            <w:tcW w:w="895" w:type="pct"/>
            <w:noWrap w:val="0"/>
            <w:vAlign w:val="center"/>
          </w:tcPr>
          <w:p w14:paraId="02516A7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6251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7970AE0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12"/>
                <w:sz w:val="21"/>
                <w:szCs w:val="21"/>
                <w:lang w:eastAsia="en-US"/>
              </w:rPr>
              <w:t>13</w:t>
            </w:r>
          </w:p>
        </w:tc>
        <w:tc>
          <w:tcPr>
            <w:tcW w:w="894" w:type="pct"/>
            <w:noWrap w:val="0"/>
            <w:vAlign w:val="center"/>
          </w:tcPr>
          <w:p w14:paraId="416E2D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张花马屯</w:t>
            </w:r>
          </w:p>
        </w:tc>
        <w:tc>
          <w:tcPr>
            <w:tcW w:w="892" w:type="pct"/>
            <w:noWrap w:val="0"/>
            <w:vAlign w:val="center"/>
          </w:tcPr>
          <w:p w14:paraId="641375A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5.9</w:t>
            </w:r>
          </w:p>
        </w:tc>
        <w:tc>
          <w:tcPr>
            <w:tcW w:w="892" w:type="pct"/>
            <w:noWrap w:val="0"/>
            <w:vAlign w:val="center"/>
          </w:tcPr>
          <w:p w14:paraId="465D3BC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9.1</w:t>
            </w:r>
          </w:p>
        </w:tc>
        <w:tc>
          <w:tcPr>
            <w:tcW w:w="892" w:type="pct"/>
            <w:noWrap w:val="0"/>
            <w:vAlign w:val="center"/>
          </w:tcPr>
          <w:p w14:paraId="45173B2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16</w:t>
            </w:r>
          </w:p>
        </w:tc>
        <w:tc>
          <w:tcPr>
            <w:tcW w:w="895" w:type="pct"/>
            <w:noWrap w:val="0"/>
            <w:vAlign w:val="center"/>
          </w:tcPr>
          <w:p w14:paraId="07EF01C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0262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62DAC91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12"/>
                <w:sz w:val="21"/>
                <w:szCs w:val="21"/>
                <w:lang w:eastAsia="en-US"/>
              </w:rPr>
              <w:t>14</w:t>
            </w:r>
          </w:p>
        </w:tc>
        <w:tc>
          <w:tcPr>
            <w:tcW w:w="894" w:type="pct"/>
            <w:noWrap w:val="0"/>
            <w:vAlign w:val="center"/>
          </w:tcPr>
          <w:p w14:paraId="62A8C23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代龙村</w:t>
            </w:r>
          </w:p>
        </w:tc>
        <w:tc>
          <w:tcPr>
            <w:tcW w:w="892" w:type="pct"/>
            <w:noWrap w:val="0"/>
            <w:vAlign w:val="center"/>
          </w:tcPr>
          <w:p w14:paraId="2BA21FF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15</w:t>
            </w:r>
          </w:p>
        </w:tc>
        <w:tc>
          <w:tcPr>
            <w:tcW w:w="892" w:type="pct"/>
            <w:noWrap w:val="0"/>
            <w:vAlign w:val="center"/>
          </w:tcPr>
          <w:p w14:paraId="0EF32C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12.6</w:t>
            </w:r>
          </w:p>
        </w:tc>
        <w:tc>
          <w:tcPr>
            <w:tcW w:w="892" w:type="pct"/>
            <w:noWrap w:val="0"/>
            <w:vAlign w:val="center"/>
          </w:tcPr>
          <w:p w14:paraId="7D8DB9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21</w:t>
            </w:r>
          </w:p>
        </w:tc>
        <w:tc>
          <w:tcPr>
            <w:tcW w:w="895" w:type="pct"/>
            <w:noWrap w:val="0"/>
            <w:vAlign w:val="center"/>
          </w:tcPr>
          <w:p w14:paraId="2ABC02E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3246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6F5F4C7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12"/>
                <w:sz w:val="21"/>
                <w:szCs w:val="21"/>
                <w:lang w:eastAsia="en-US"/>
              </w:rPr>
              <w:t>15</w:t>
            </w:r>
          </w:p>
        </w:tc>
        <w:tc>
          <w:tcPr>
            <w:tcW w:w="894" w:type="pct"/>
            <w:noWrap w:val="0"/>
            <w:vAlign w:val="center"/>
          </w:tcPr>
          <w:p w14:paraId="0D2856D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前永利村</w:t>
            </w:r>
          </w:p>
        </w:tc>
        <w:tc>
          <w:tcPr>
            <w:tcW w:w="892" w:type="pct"/>
            <w:noWrap w:val="0"/>
            <w:vAlign w:val="center"/>
          </w:tcPr>
          <w:p w14:paraId="64E82F7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22.1</w:t>
            </w:r>
          </w:p>
        </w:tc>
        <w:tc>
          <w:tcPr>
            <w:tcW w:w="892" w:type="pct"/>
            <w:noWrap w:val="0"/>
            <w:vAlign w:val="center"/>
          </w:tcPr>
          <w:p w14:paraId="4F69691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11.3</w:t>
            </w:r>
          </w:p>
        </w:tc>
        <w:tc>
          <w:tcPr>
            <w:tcW w:w="892" w:type="pct"/>
            <w:noWrap w:val="0"/>
            <w:vAlign w:val="center"/>
          </w:tcPr>
          <w:p w14:paraId="3396FF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30.1</w:t>
            </w:r>
          </w:p>
        </w:tc>
        <w:tc>
          <w:tcPr>
            <w:tcW w:w="895" w:type="pct"/>
            <w:noWrap w:val="0"/>
            <w:vAlign w:val="center"/>
          </w:tcPr>
          <w:p w14:paraId="27CCFBD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33A9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2D3B918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12"/>
                <w:sz w:val="21"/>
                <w:szCs w:val="21"/>
                <w:lang w:eastAsia="en-US"/>
              </w:rPr>
              <w:t>16</w:t>
            </w:r>
          </w:p>
        </w:tc>
        <w:tc>
          <w:tcPr>
            <w:tcW w:w="894" w:type="pct"/>
            <w:noWrap w:val="0"/>
            <w:vAlign w:val="center"/>
          </w:tcPr>
          <w:p w14:paraId="5D507BD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大三马架</w:t>
            </w:r>
          </w:p>
        </w:tc>
        <w:tc>
          <w:tcPr>
            <w:tcW w:w="892" w:type="pct"/>
            <w:noWrap w:val="0"/>
            <w:vAlign w:val="center"/>
          </w:tcPr>
          <w:p w14:paraId="6EF551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22.4</w:t>
            </w:r>
          </w:p>
        </w:tc>
        <w:tc>
          <w:tcPr>
            <w:tcW w:w="892" w:type="pct"/>
            <w:noWrap w:val="0"/>
            <w:vAlign w:val="center"/>
          </w:tcPr>
          <w:p w14:paraId="52E71D9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12.1</w:t>
            </w:r>
          </w:p>
        </w:tc>
        <w:tc>
          <w:tcPr>
            <w:tcW w:w="892" w:type="pct"/>
            <w:noWrap w:val="0"/>
            <w:vAlign w:val="center"/>
          </w:tcPr>
          <w:p w14:paraId="05EE0A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29</w:t>
            </w:r>
          </w:p>
        </w:tc>
        <w:tc>
          <w:tcPr>
            <w:tcW w:w="895" w:type="pct"/>
            <w:noWrap w:val="0"/>
            <w:vAlign w:val="center"/>
          </w:tcPr>
          <w:p w14:paraId="78D7BBBB">
            <w:pPr>
              <w:pStyle w:val="280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承压水井</w:t>
            </w:r>
          </w:p>
        </w:tc>
      </w:tr>
      <w:tr w14:paraId="1817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790C6B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12"/>
                <w:sz w:val="21"/>
                <w:szCs w:val="21"/>
                <w:lang w:eastAsia="en-US"/>
              </w:rPr>
              <w:t>17</w:t>
            </w:r>
          </w:p>
        </w:tc>
        <w:tc>
          <w:tcPr>
            <w:tcW w:w="894" w:type="pct"/>
            <w:noWrap w:val="0"/>
            <w:vAlign w:val="center"/>
          </w:tcPr>
          <w:p w14:paraId="37CD1B8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东小山屯</w:t>
            </w:r>
          </w:p>
        </w:tc>
        <w:tc>
          <w:tcPr>
            <w:tcW w:w="892" w:type="pct"/>
            <w:noWrap w:val="0"/>
            <w:vAlign w:val="center"/>
          </w:tcPr>
          <w:p w14:paraId="595160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19.7</w:t>
            </w:r>
          </w:p>
        </w:tc>
        <w:tc>
          <w:tcPr>
            <w:tcW w:w="892" w:type="pct"/>
            <w:noWrap w:val="0"/>
            <w:vAlign w:val="center"/>
          </w:tcPr>
          <w:p w14:paraId="55CF3A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12.3</w:t>
            </w:r>
          </w:p>
        </w:tc>
        <w:tc>
          <w:tcPr>
            <w:tcW w:w="892" w:type="pct"/>
            <w:noWrap w:val="0"/>
            <w:vAlign w:val="center"/>
          </w:tcPr>
          <w:p w14:paraId="59D63F1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25</w:t>
            </w:r>
          </w:p>
        </w:tc>
        <w:tc>
          <w:tcPr>
            <w:tcW w:w="895" w:type="pct"/>
            <w:noWrap w:val="0"/>
            <w:vAlign w:val="center"/>
          </w:tcPr>
          <w:p w14:paraId="7E13D39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56E4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287332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12"/>
                <w:sz w:val="21"/>
                <w:szCs w:val="21"/>
                <w:lang w:eastAsia="en-US"/>
              </w:rPr>
              <w:t>18</w:t>
            </w:r>
          </w:p>
        </w:tc>
        <w:tc>
          <w:tcPr>
            <w:tcW w:w="894" w:type="pct"/>
            <w:noWrap w:val="0"/>
            <w:vAlign w:val="center"/>
          </w:tcPr>
          <w:p w14:paraId="7F84E1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刘兽医屯</w:t>
            </w:r>
          </w:p>
        </w:tc>
        <w:tc>
          <w:tcPr>
            <w:tcW w:w="892" w:type="pct"/>
            <w:noWrap w:val="0"/>
            <w:vAlign w:val="center"/>
          </w:tcPr>
          <w:p w14:paraId="1E76A90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14.2</w:t>
            </w:r>
          </w:p>
        </w:tc>
        <w:tc>
          <w:tcPr>
            <w:tcW w:w="892" w:type="pct"/>
            <w:noWrap w:val="0"/>
            <w:vAlign w:val="center"/>
          </w:tcPr>
          <w:p w14:paraId="27C67C2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12.7</w:t>
            </w:r>
          </w:p>
        </w:tc>
        <w:tc>
          <w:tcPr>
            <w:tcW w:w="892" w:type="pct"/>
            <w:noWrap w:val="0"/>
            <w:vAlign w:val="center"/>
          </w:tcPr>
          <w:p w14:paraId="72521CD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18</w:t>
            </w:r>
          </w:p>
        </w:tc>
        <w:tc>
          <w:tcPr>
            <w:tcW w:w="895" w:type="pct"/>
            <w:noWrap w:val="0"/>
            <w:vAlign w:val="center"/>
          </w:tcPr>
          <w:p w14:paraId="18E0021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3F0F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16A4065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12"/>
                <w:sz w:val="21"/>
                <w:szCs w:val="21"/>
                <w:lang w:eastAsia="en-US"/>
              </w:rPr>
              <w:t>19</w:t>
            </w:r>
          </w:p>
        </w:tc>
        <w:tc>
          <w:tcPr>
            <w:tcW w:w="894" w:type="pct"/>
            <w:noWrap w:val="0"/>
            <w:vAlign w:val="center"/>
          </w:tcPr>
          <w:p w14:paraId="0D1F3FC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新力屯</w:t>
            </w:r>
          </w:p>
        </w:tc>
        <w:tc>
          <w:tcPr>
            <w:tcW w:w="892" w:type="pct"/>
            <w:noWrap w:val="0"/>
            <w:vAlign w:val="center"/>
          </w:tcPr>
          <w:p w14:paraId="20008BF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13.6</w:t>
            </w:r>
          </w:p>
        </w:tc>
        <w:tc>
          <w:tcPr>
            <w:tcW w:w="892" w:type="pct"/>
            <w:noWrap w:val="0"/>
            <w:vAlign w:val="center"/>
          </w:tcPr>
          <w:p w14:paraId="5886773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11.9</w:t>
            </w:r>
          </w:p>
        </w:tc>
        <w:tc>
          <w:tcPr>
            <w:tcW w:w="892" w:type="pct"/>
            <w:noWrap w:val="0"/>
            <w:vAlign w:val="center"/>
          </w:tcPr>
          <w:p w14:paraId="173A356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17</w:t>
            </w:r>
          </w:p>
        </w:tc>
        <w:tc>
          <w:tcPr>
            <w:tcW w:w="895" w:type="pct"/>
            <w:noWrap w:val="0"/>
            <w:vAlign w:val="center"/>
          </w:tcPr>
          <w:p w14:paraId="6DE532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7F57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33B683A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2"/>
                <w:sz w:val="21"/>
                <w:szCs w:val="21"/>
                <w:lang w:eastAsia="en-US"/>
              </w:rPr>
              <w:t>20</w:t>
            </w:r>
          </w:p>
        </w:tc>
        <w:tc>
          <w:tcPr>
            <w:tcW w:w="894" w:type="pct"/>
            <w:noWrap w:val="0"/>
            <w:vAlign w:val="center"/>
          </w:tcPr>
          <w:p w14:paraId="5A50FA7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安家屯</w:t>
            </w:r>
          </w:p>
        </w:tc>
        <w:tc>
          <w:tcPr>
            <w:tcW w:w="892" w:type="pct"/>
            <w:noWrap w:val="0"/>
            <w:vAlign w:val="center"/>
          </w:tcPr>
          <w:p w14:paraId="4284DBC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17.2</w:t>
            </w:r>
          </w:p>
        </w:tc>
        <w:tc>
          <w:tcPr>
            <w:tcW w:w="892" w:type="pct"/>
            <w:noWrap w:val="0"/>
            <w:vAlign w:val="center"/>
          </w:tcPr>
          <w:p w14:paraId="145F5C0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11.4</w:t>
            </w:r>
          </w:p>
        </w:tc>
        <w:tc>
          <w:tcPr>
            <w:tcW w:w="892" w:type="pct"/>
            <w:noWrap w:val="0"/>
            <w:vAlign w:val="center"/>
          </w:tcPr>
          <w:p w14:paraId="7A42CF7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22</w:t>
            </w:r>
          </w:p>
        </w:tc>
        <w:tc>
          <w:tcPr>
            <w:tcW w:w="895" w:type="pct"/>
            <w:noWrap w:val="0"/>
            <w:vAlign w:val="center"/>
          </w:tcPr>
          <w:p w14:paraId="4D771F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7BBE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779396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2"/>
                <w:sz w:val="21"/>
                <w:szCs w:val="21"/>
                <w:lang w:eastAsia="en-US"/>
              </w:rPr>
              <w:t>21</w:t>
            </w:r>
          </w:p>
        </w:tc>
        <w:tc>
          <w:tcPr>
            <w:tcW w:w="894" w:type="pct"/>
            <w:noWrap w:val="0"/>
            <w:vAlign w:val="center"/>
          </w:tcPr>
          <w:p w14:paraId="7220BD6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白家坟屯</w:t>
            </w:r>
          </w:p>
        </w:tc>
        <w:tc>
          <w:tcPr>
            <w:tcW w:w="892" w:type="pct"/>
            <w:noWrap w:val="0"/>
            <w:vAlign w:val="center"/>
          </w:tcPr>
          <w:p w14:paraId="772ED39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5</w:t>
            </w:r>
          </w:p>
        </w:tc>
        <w:tc>
          <w:tcPr>
            <w:tcW w:w="892" w:type="pct"/>
            <w:noWrap w:val="0"/>
            <w:vAlign w:val="center"/>
          </w:tcPr>
          <w:p w14:paraId="4D67FE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13.1</w:t>
            </w:r>
          </w:p>
        </w:tc>
        <w:tc>
          <w:tcPr>
            <w:tcW w:w="892" w:type="pct"/>
            <w:noWrap w:val="0"/>
            <w:vAlign w:val="center"/>
          </w:tcPr>
          <w:p w14:paraId="59CFB2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15</w:t>
            </w:r>
          </w:p>
        </w:tc>
        <w:tc>
          <w:tcPr>
            <w:tcW w:w="895" w:type="pct"/>
            <w:noWrap w:val="0"/>
            <w:vAlign w:val="center"/>
          </w:tcPr>
          <w:p w14:paraId="27D9635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590C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57FDE4D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2"/>
                <w:sz w:val="21"/>
                <w:szCs w:val="21"/>
                <w:lang w:eastAsia="en-US"/>
              </w:rPr>
              <w:t>22</w:t>
            </w:r>
          </w:p>
        </w:tc>
        <w:tc>
          <w:tcPr>
            <w:tcW w:w="894" w:type="pct"/>
            <w:noWrap w:val="0"/>
            <w:vAlign w:val="center"/>
          </w:tcPr>
          <w:p w14:paraId="59BA5C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大湾子屯</w:t>
            </w:r>
          </w:p>
        </w:tc>
        <w:tc>
          <w:tcPr>
            <w:tcW w:w="892" w:type="pct"/>
            <w:noWrap w:val="0"/>
            <w:vAlign w:val="center"/>
          </w:tcPr>
          <w:p w14:paraId="7D680B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22.1</w:t>
            </w:r>
          </w:p>
        </w:tc>
        <w:tc>
          <w:tcPr>
            <w:tcW w:w="892" w:type="pct"/>
            <w:noWrap w:val="0"/>
            <w:vAlign w:val="center"/>
          </w:tcPr>
          <w:p w14:paraId="440B7D8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8.0</w:t>
            </w:r>
          </w:p>
        </w:tc>
        <w:tc>
          <w:tcPr>
            <w:tcW w:w="892" w:type="pct"/>
            <w:noWrap w:val="0"/>
            <w:vAlign w:val="center"/>
          </w:tcPr>
          <w:p w14:paraId="06971FD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25.1</w:t>
            </w:r>
          </w:p>
        </w:tc>
        <w:tc>
          <w:tcPr>
            <w:tcW w:w="895" w:type="pct"/>
            <w:noWrap w:val="0"/>
            <w:vAlign w:val="center"/>
          </w:tcPr>
          <w:p w14:paraId="2415C13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46F7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64E65F1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2"/>
                <w:sz w:val="21"/>
                <w:szCs w:val="21"/>
                <w:lang w:eastAsia="en-US"/>
              </w:rPr>
              <w:t>23</w:t>
            </w:r>
          </w:p>
        </w:tc>
        <w:tc>
          <w:tcPr>
            <w:tcW w:w="894" w:type="pct"/>
            <w:noWrap w:val="0"/>
            <w:vAlign w:val="center"/>
          </w:tcPr>
          <w:p w14:paraId="28C1A26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华原村</w:t>
            </w:r>
          </w:p>
        </w:tc>
        <w:tc>
          <w:tcPr>
            <w:tcW w:w="892" w:type="pct"/>
            <w:noWrap w:val="0"/>
            <w:vAlign w:val="center"/>
          </w:tcPr>
          <w:p w14:paraId="6B08BC5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23.7</w:t>
            </w:r>
          </w:p>
        </w:tc>
        <w:tc>
          <w:tcPr>
            <w:tcW w:w="892" w:type="pct"/>
            <w:noWrap w:val="0"/>
            <w:vAlign w:val="center"/>
          </w:tcPr>
          <w:p w14:paraId="15099C4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11.2</w:t>
            </w:r>
          </w:p>
        </w:tc>
        <w:tc>
          <w:tcPr>
            <w:tcW w:w="892" w:type="pct"/>
            <w:noWrap w:val="0"/>
            <w:vAlign w:val="center"/>
          </w:tcPr>
          <w:p w14:paraId="77E8A80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30</w:t>
            </w:r>
          </w:p>
        </w:tc>
        <w:tc>
          <w:tcPr>
            <w:tcW w:w="895" w:type="pct"/>
            <w:noWrap w:val="0"/>
            <w:vAlign w:val="center"/>
          </w:tcPr>
          <w:p w14:paraId="50DE8A4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4694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18F86B9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2"/>
                <w:sz w:val="21"/>
                <w:szCs w:val="21"/>
                <w:lang w:eastAsia="en-US"/>
              </w:rPr>
              <w:t>24</w:t>
            </w:r>
          </w:p>
        </w:tc>
        <w:tc>
          <w:tcPr>
            <w:tcW w:w="894" w:type="pct"/>
            <w:noWrap w:val="0"/>
            <w:vAlign w:val="center"/>
          </w:tcPr>
          <w:p w14:paraId="59A43A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东兴村</w:t>
            </w:r>
          </w:p>
        </w:tc>
        <w:tc>
          <w:tcPr>
            <w:tcW w:w="892" w:type="pct"/>
            <w:noWrap w:val="0"/>
            <w:vAlign w:val="center"/>
          </w:tcPr>
          <w:p w14:paraId="09BBB73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2.6</w:t>
            </w:r>
          </w:p>
        </w:tc>
        <w:tc>
          <w:tcPr>
            <w:tcW w:w="892" w:type="pct"/>
            <w:noWrap w:val="0"/>
            <w:vAlign w:val="center"/>
          </w:tcPr>
          <w:p w14:paraId="50E6660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12.9</w:t>
            </w:r>
          </w:p>
        </w:tc>
        <w:tc>
          <w:tcPr>
            <w:tcW w:w="892" w:type="pct"/>
            <w:noWrap w:val="0"/>
            <w:vAlign w:val="center"/>
          </w:tcPr>
          <w:p w14:paraId="36F4DA8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16.4</w:t>
            </w:r>
          </w:p>
        </w:tc>
        <w:tc>
          <w:tcPr>
            <w:tcW w:w="895" w:type="pct"/>
            <w:noWrap w:val="0"/>
            <w:vAlign w:val="center"/>
          </w:tcPr>
          <w:p w14:paraId="09779D30">
            <w:pPr>
              <w:pStyle w:val="280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承压水井</w:t>
            </w:r>
          </w:p>
        </w:tc>
      </w:tr>
      <w:tr w14:paraId="5546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exact"/>
        </w:trPr>
        <w:tc>
          <w:tcPr>
            <w:tcW w:w="531" w:type="pct"/>
            <w:noWrap w:val="0"/>
            <w:vAlign w:val="center"/>
          </w:tcPr>
          <w:p w14:paraId="1D51492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2"/>
                <w:sz w:val="21"/>
                <w:szCs w:val="21"/>
                <w:lang w:eastAsia="en-US"/>
              </w:rPr>
              <w:t>25</w:t>
            </w:r>
          </w:p>
        </w:tc>
        <w:tc>
          <w:tcPr>
            <w:tcW w:w="894" w:type="pct"/>
            <w:noWrap w:val="0"/>
            <w:vAlign w:val="center"/>
          </w:tcPr>
          <w:p w14:paraId="25D9DB2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姜店甲屯</w:t>
            </w:r>
          </w:p>
        </w:tc>
        <w:tc>
          <w:tcPr>
            <w:tcW w:w="892" w:type="pct"/>
            <w:noWrap w:val="0"/>
            <w:vAlign w:val="center"/>
          </w:tcPr>
          <w:p w14:paraId="384D81C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5.8</w:t>
            </w:r>
          </w:p>
        </w:tc>
        <w:tc>
          <w:tcPr>
            <w:tcW w:w="892" w:type="pct"/>
            <w:noWrap w:val="0"/>
            <w:vAlign w:val="center"/>
          </w:tcPr>
          <w:p w14:paraId="21BF5B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12.7</w:t>
            </w:r>
          </w:p>
        </w:tc>
        <w:tc>
          <w:tcPr>
            <w:tcW w:w="892" w:type="pct"/>
            <w:noWrap w:val="0"/>
            <w:vAlign w:val="center"/>
          </w:tcPr>
          <w:p w14:paraId="0B8258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16</w:t>
            </w:r>
          </w:p>
        </w:tc>
        <w:tc>
          <w:tcPr>
            <w:tcW w:w="895" w:type="pct"/>
            <w:noWrap w:val="0"/>
            <w:vAlign w:val="center"/>
          </w:tcPr>
          <w:p w14:paraId="2E9445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34EB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728883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2"/>
                <w:sz w:val="21"/>
                <w:szCs w:val="21"/>
                <w:lang w:eastAsia="en-US"/>
              </w:rPr>
              <w:t>26</w:t>
            </w:r>
          </w:p>
        </w:tc>
        <w:tc>
          <w:tcPr>
            <w:tcW w:w="894" w:type="pct"/>
            <w:noWrap w:val="0"/>
            <w:vAlign w:val="center"/>
          </w:tcPr>
          <w:p w14:paraId="66A5441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孙秀屯</w:t>
            </w:r>
          </w:p>
        </w:tc>
        <w:tc>
          <w:tcPr>
            <w:tcW w:w="892" w:type="pct"/>
            <w:noWrap w:val="0"/>
            <w:vAlign w:val="center"/>
          </w:tcPr>
          <w:p w14:paraId="5C5D56D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9.6</w:t>
            </w:r>
          </w:p>
        </w:tc>
        <w:tc>
          <w:tcPr>
            <w:tcW w:w="892" w:type="pct"/>
            <w:noWrap w:val="0"/>
            <w:vAlign w:val="center"/>
          </w:tcPr>
          <w:p w14:paraId="6B26579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12.4</w:t>
            </w:r>
          </w:p>
        </w:tc>
        <w:tc>
          <w:tcPr>
            <w:tcW w:w="892" w:type="pct"/>
            <w:noWrap w:val="0"/>
            <w:vAlign w:val="center"/>
          </w:tcPr>
          <w:p w14:paraId="31BCB41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17.4</w:t>
            </w:r>
          </w:p>
        </w:tc>
        <w:tc>
          <w:tcPr>
            <w:tcW w:w="895" w:type="pct"/>
            <w:noWrap w:val="0"/>
            <w:vAlign w:val="center"/>
          </w:tcPr>
          <w:p w14:paraId="1F708B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0573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1F7307E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2"/>
                <w:sz w:val="21"/>
                <w:szCs w:val="21"/>
                <w:lang w:eastAsia="en-US"/>
              </w:rPr>
              <w:t>27</w:t>
            </w:r>
          </w:p>
        </w:tc>
        <w:tc>
          <w:tcPr>
            <w:tcW w:w="894" w:type="pct"/>
            <w:noWrap w:val="0"/>
            <w:vAlign w:val="center"/>
          </w:tcPr>
          <w:p w14:paraId="3AC1265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宋玉田屯</w:t>
            </w:r>
          </w:p>
        </w:tc>
        <w:tc>
          <w:tcPr>
            <w:tcW w:w="892" w:type="pct"/>
            <w:noWrap w:val="0"/>
            <w:vAlign w:val="center"/>
          </w:tcPr>
          <w:p w14:paraId="6D1B16F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9.4</w:t>
            </w:r>
          </w:p>
        </w:tc>
        <w:tc>
          <w:tcPr>
            <w:tcW w:w="892" w:type="pct"/>
            <w:noWrap w:val="0"/>
            <w:vAlign w:val="center"/>
          </w:tcPr>
          <w:p w14:paraId="3C6CBE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12.7</w:t>
            </w:r>
          </w:p>
        </w:tc>
        <w:tc>
          <w:tcPr>
            <w:tcW w:w="892" w:type="pct"/>
            <w:noWrap w:val="0"/>
            <w:vAlign w:val="center"/>
          </w:tcPr>
          <w:p w14:paraId="247A967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18.7</w:t>
            </w:r>
          </w:p>
        </w:tc>
        <w:tc>
          <w:tcPr>
            <w:tcW w:w="895" w:type="pct"/>
            <w:noWrap w:val="0"/>
            <w:vAlign w:val="center"/>
          </w:tcPr>
          <w:p w14:paraId="6CC07CF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391E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2DA3933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2"/>
                <w:sz w:val="21"/>
                <w:szCs w:val="21"/>
                <w:lang w:eastAsia="en-US"/>
              </w:rPr>
              <w:t>28</w:t>
            </w:r>
          </w:p>
        </w:tc>
        <w:tc>
          <w:tcPr>
            <w:tcW w:w="894" w:type="pct"/>
            <w:noWrap w:val="0"/>
            <w:vAlign w:val="center"/>
          </w:tcPr>
          <w:p w14:paraId="3B1514B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韩家粉坊</w:t>
            </w:r>
          </w:p>
        </w:tc>
        <w:tc>
          <w:tcPr>
            <w:tcW w:w="892" w:type="pct"/>
            <w:noWrap w:val="0"/>
            <w:vAlign w:val="center"/>
          </w:tcPr>
          <w:p w14:paraId="775E636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7.2</w:t>
            </w:r>
          </w:p>
        </w:tc>
        <w:tc>
          <w:tcPr>
            <w:tcW w:w="892" w:type="pct"/>
            <w:noWrap w:val="0"/>
            <w:vAlign w:val="center"/>
          </w:tcPr>
          <w:p w14:paraId="15465F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8.9</w:t>
            </w:r>
          </w:p>
        </w:tc>
        <w:tc>
          <w:tcPr>
            <w:tcW w:w="892" w:type="pct"/>
            <w:noWrap w:val="0"/>
            <w:vAlign w:val="center"/>
          </w:tcPr>
          <w:p w14:paraId="15ED125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15.5</w:t>
            </w:r>
          </w:p>
        </w:tc>
        <w:tc>
          <w:tcPr>
            <w:tcW w:w="895" w:type="pct"/>
            <w:noWrap w:val="0"/>
            <w:vAlign w:val="center"/>
          </w:tcPr>
          <w:p w14:paraId="2C844B33">
            <w:pPr>
              <w:pStyle w:val="280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eastAsia="宋体"/>
                <w:color w:val="auto"/>
                <w:sz w:val="21"/>
                <w:szCs w:val="21"/>
                <w:lang w:val="en-US" w:eastAsia="zh-CN"/>
              </w:rPr>
            </w:pPr>
            <w:r>
              <w:rPr>
                <w:rFonts w:hint="eastAsia"/>
                <w:color w:val="auto"/>
                <w:sz w:val="21"/>
                <w:szCs w:val="21"/>
                <w:lang w:val="en-US" w:eastAsia="zh-CN"/>
              </w:rPr>
              <w:t>承压水井</w:t>
            </w:r>
          </w:p>
        </w:tc>
      </w:tr>
      <w:tr w14:paraId="0064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73BCD51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2"/>
                <w:sz w:val="21"/>
                <w:szCs w:val="21"/>
                <w:lang w:eastAsia="en-US"/>
              </w:rPr>
              <w:t>29</w:t>
            </w:r>
          </w:p>
        </w:tc>
        <w:tc>
          <w:tcPr>
            <w:tcW w:w="894" w:type="pct"/>
            <w:noWrap w:val="0"/>
            <w:vAlign w:val="center"/>
          </w:tcPr>
          <w:p w14:paraId="080E59F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小后屯</w:t>
            </w:r>
          </w:p>
        </w:tc>
        <w:tc>
          <w:tcPr>
            <w:tcW w:w="892" w:type="pct"/>
            <w:noWrap w:val="0"/>
            <w:vAlign w:val="center"/>
          </w:tcPr>
          <w:p w14:paraId="3A69A06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5.2</w:t>
            </w:r>
          </w:p>
        </w:tc>
        <w:tc>
          <w:tcPr>
            <w:tcW w:w="892" w:type="pct"/>
            <w:noWrap w:val="0"/>
            <w:vAlign w:val="center"/>
          </w:tcPr>
          <w:p w14:paraId="0ECF50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9.1</w:t>
            </w:r>
          </w:p>
        </w:tc>
        <w:tc>
          <w:tcPr>
            <w:tcW w:w="892" w:type="pct"/>
            <w:noWrap w:val="0"/>
            <w:vAlign w:val="center"/>
          </w:tcPr>
          <w:p w14:paraId="5565F3F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12.4</w:t>
            </w:r>
          </w:p>
        </w:tc>
        <w:tc>
          <w:tcPr>
            <w:tcW w:w="895" w:type="pct"/>
            <w:noWrap w:val="0"/>
            <w:vAlign w:val="center"/>
          </w:tcPr>
          <w:p w14:paraId="03976F0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3EEC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7FDFCF7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auto"/>
                <w:sz w:val="21"/>
                <w:szCs w:val="21"/>
                <w:lang w:eastAsia="en-US"/>
              </w:rPr>
            </w:pPr>
            <w:r>
              <w:rPr>
                <w:rFonts w:ascii="Times New Roman" w:hAnsi="Times New Roman" w:eastAsia="Times New Roman" w:cs="Times New Roman"/>
                <w:color w:val="auto"/>
                <w:spacing w:val="-4"/>
                <w:sz w:val="21"/>
                <w:szCs w:val="21"/>
                <w:lang w:eastAsia="en-US"/>
              </w:rPr>
              <w:t>30</w:t>
            </w:r>
          </w:p>
        </w:tc>
        <w:tc>
          <w:tcPr>
            <w:tcW w:w="894" w:type="pct"/>
            <w:noWrap w:val="0"/>
            <w:vAlign w:val="center"/>
          </w:tcPr>
          <w:p w14:paraId="4B9095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双马架屯</w:t>
            </w:r>
          </w:p>
        </w:tc>
        <w:tc>
          <w:tcPr>
            <w:tcW w:w="892" w:type="pct"/>
            <w:noWrap w:val="0"/>
            <w:vAlign w:val="center"/>
          </w:tcPr>
          <w:p w14:paraId="469F011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6.2</w:t>
            </w:r>
          </w:p>
        </w:tc>
        <w:tc>
          <w:tcPr>
            <w:tcW w:w="892" w:type="pct"/>
            <w:noWrap w:val="0"/>
            <w:vAlign w:val="center"/>
          </w:tcPr>
          <w:p w14:paraId="7503CD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9.0</w:t>
            </w:r>
          </w:p>
        </w:tc>
        <w:tc>
          <w:tcPr>
            <w:tcW w:w="892" w:type="pct"/>
            <w:noWrap w:val="0"/>
            <w:vAlign w:val="center"/>
          </w:tcPr>
          <w:p w14:paraId="7253A0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18.5</w:t>
            </w:r>
          </w:p>
        </w:tc>
        <w:tc>
          <w:tcPr>
            <w:tcW w:w="895" w:type="pct"/>
            <w:noWrap w:val="0"/>
            <w:vAlign w:val="center"/>
          </w:tcPr>
          <w:p w14:paraId="0FACDA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olor w:val="auto"/>
                <w:sz w:val="21"/>
                <w:szCs w:val="21"/>
              </w:rPr>
            </w:pPr>
            <w:r>
              <w:rPr>
                <w:rFonts w:hint="eastAsia"/>
                <w:color w:val="auto"/>
                <w:sz w:val="21"/>
                <w:szCs w:val="21"/>
                <w:lang w:val="en-US" w:eastAsia="zh-CN"/>
              </w:rPr>
              <w:t>潜水井</w:t>
            </w:r>
          </w:p>
        </w:tc>
      </w:tr>
      <w:tr w14:paraId="26A8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exact"/>
        </w:trPr>
        <w:tc>
          <w:tcPr>
            <w:tcW w:w="531" w:type="pct"/>
            <w:noWrap w:val="0"/>
            <w:vAlign w:val="center"/>
          </w:tcPr>
          <w:p w14:paraId="4222AB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31</w:t>
            </w:r>
          </w:p>
        </w:tc>
        <w:tc>
          <w:tcPr>
            <w:tcW w:w="894" w:type="pct"/>
            <w:noWrap w:val="0"/>
            <w:vAlign w:val="center"/>
          </w:tcPr>
          <w:p w14:paraId="3BD5359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协力屯</w:t>
            </w:r>
          </w:p>
        </w:tc>
        <w:tc>
          <w:tcPr>
            <w:tcW w:w="892" w:type="pct"/>
            <w:noWrap w:val="0"/>
            <w:vAlign w:val="center"/>
          </w:tcPr>
          <w:p w14:paraId="7EA405A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14.7</w:t>
            </w:r>
          </w:p>
        </w:tc>
        <w:tc>
          <w:tcPr>
            <w:tcW w:w="892" w:type="pct"/>
            <w:noWrap w:val="0"/>
            <w:vAlign w:val="center"/>
          </w:tcPr>
          <w:p w14:paraId="32342AF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13.3</w:t>
            </w:r>
          </w:p>
        </w:tc>
        <w:tc>
          <w:tcPr>
            <w:tcW w:w="892" w:type="pct"/>
            <w:noWrap w:val="0"/>
            <w:vAlign w:val="center"/>
          </w:tcPr>
          <w:p w14:paraId="552D07B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20</w:t>
            </w:r>
          </w:p>
        </w:tc>
        <w:tc>
          <w:tcPr>
            <w:tcW w:w="895" w:type="pct"/>
            <w:noWrap w:val="0"/>
            <w:vAlign w:val="center"/>
          </w:tcPr>
          <w:p w14:paraId="14219457">
            <w:pPr>
              <w:pStyle w:val="280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5"/>
                <w:sz w:val="21"/>
                <w:szCs w:val="21"/>
              </w:rPr>
            </w:pPr>
            <w:r>
              <w:rPr>
                <w:rFonts w:hint="eastAsia"/>
                <w:color w:val="auto"/>
                <w:sz w:val="21"/>
                <w:szCs w:val="21"/>
                <w:lang w:val="en-US" w:eastAsia="zh-CN"/>
              </w:rPr>
              <w:t>承压水井</w:t>
            </w:r>
          </w:p>
        </w:tc>
      </w:tr>
      <w:tr w14:paraId="7626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exact"/>
        </w:trPr>
        <w:tc>
          <w:tcPr>
            <w:tcW w:w="531" w:type="pct"/>
            <w:noWrap w:val="0"/>
            <w:vAlign w:val="center"/>
          </w:tcPr>
          <w:p w14:paraId="2288BF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32</w:t>
            </w:r>
          </w:p>
        </w:tc>
        <w:tc>
          <w:tcPr>
            <w:tcW w:w="894" w:type="pct"/>
            <w:noWrap w:val="0"/>
            <w:vAlign w:val="center"/>
          </w:tcPr>
          <w:p w14:paraId="067E59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蒙古屯</w:t>
            </w:r>
          </w:p>
        </w:tc>
        <w:tc>
          <w:tcPr>
            <w:tcW w:w="892" w:type="pct"/>
            <w:noWrap w:val="0"/>
            <w:vAlign w:val="center"/>
          </w:tcPr>
          <w:p w14:paraId="160ADD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12</w:t>
            </w:r>
          </w:p>
        </w:tc>
        <w:tc>
          <w:tcPr>
            <w:tcW w:w="892" w:type="pct"/>
            <w:noWrap w:val="0"/>
            <w:vAlign w:val="center"/>
          </w:tcPr>
          <w:p w14:paraId="368D02E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8.7</w:t>
            </w:r>
          </w:p>
        </w:tc>
        <w:tc>
          <w:tcPr>
            <w:tcW w:w="892" w:type="pct"/>
            <w:noWrap w:val="0"/>
            <w:vAlign w:val="center"/>
          </w:tcPr>
          <w:p w14:paraId="7E4857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26.9</w:t>
            </w:r>
          </w:p>
        </w:tc>
        <w:tc>
          <w:tcPr>
            <w:tcW w:w="895" w:type="pct"/>
            <w:noWrap w:val="0"/>
            <w:vAlign w:val="center"/>
          </w:tcPr>
          <w:p w14:paraId="1D325810">
            <w:pPr>
              <w:pStyle w:val="2800"/>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color w:val="auto"/>
                <w:spacing w:val="5"/>
                <w:sz w:val="21"/>
                <w:szCs w:val="21"/>
              </w:rPr>
            </w:pPr>
            <w:r>
              <w:rPr>
                <w:rFonts w:hint="eastAsia"/>
                <w:color w:val="auto"/>
                <w:sz w:val="21"/>
                <w:szCs w:val="21"/>
                <w:lang w:val="en-US" w:eastAsia="zh-CN"/>
              </w:rPr>
              <w:t>潜水井</w:t>
            </w:r>
          </w:p>
        </w:tc>
      </w:tr>
    </w:tbl>
    <w:p w14:paraId="522F8479">
      <w:pPr>
        <w:pStyle w:val="276"/>
        <w:widowControl w:val="0"/>
        <w:ind w:firstLine="480"/>
        <w:jc w:val="both"/>
        <w:rPr>
          <w:color w:val="auto"/>
        </w:rPr>
      </w:pPr>
      <w:r>
        <w:rPr>
          <w:color w:val="auto"/>
        </w:rPr>
        <w:t>（2）监测频率</w:t>
      </w:r>
    </w:p>
    <w:p w14:paraId="03FA077A">
      <w:pPr>
        <w:pStyle w:val="276"/>
        <w:widowControl w:val="0"/>
        <w:ind w:firstLine="480"/>
        <w:jc w:val="both"/>
        <w:rPr>
          <w:color w:val="auto"/>
        </w:rPr>
      </w:pPr>
      <w:r>
        <w:rPr>
          <w:color w:val="auto"/>
        </w:rPr>
        <w:t>本项目位于松嫩平原区低平原区，依据《环境影响评价技术导则 地下水环境》（HJ 610-2016）中表4中的要求，本次地下水位监测频率为一期。</w:t>
      </w:r>
    </w:p>
    <w:p w14:paraId="29FD8DEA">
      <w:pPr>
        <w:pStyle w:val="276"/>
        <w:widowControl w:val="0"/>
        <w:ind w:firstLine="480"/>
        <w:jc w:val="both"/>
        <w:rPr>
          <w:color w:val="auto"/>
        </w:rPr>
      </w:pPr>
      <w:r>
        <w:rPr>
          <w:color w:val="auto"/>
        </w:rPr>
        <w:t>（3）现状地下水流场</w:t>
      </w:r>
    </w:p>
    <w:p w14:paraId="7F3A257E">
      <w:pPr>
        <w:pStyle w:val="276"/>
        <w:widowControl w:val="0"/>
        <w:ind w:firstLine="480"/>
        <w:jc w:val="both"/>
        <w:rPr>
          <w:color w:val="auto"/>
        </w:rPr>
      </w:pPr>
      <w:r>
        <w:rPr>
          <w:color w:val="auto"/>
        </w:rPr>
        <w:t>1</w:t>
      </w:r>
      <w:r>
        <w:rPr>
          <w:rFonts w:hint="eastAsia"/>
          <w:color w:val="auto"/>
        </w:rPr>
        <w:t>）</w:t>
      </w:r>
      <w:r>
        <w:rPr>
          <w:color w:val="auto"/>
        </w:rPr>
        <w:t>第四系孔隙潜水流场</w:t>
      </w:r>
    </w:p>
    <w:p w14:paraId="74BD4AA8">
      <w:pPr>
        <w:pStyle w:val="276"/>
        <w:widowControl w:val="0"/>
        <w:ind w:firstLine="480"/>
        <w:jc w:val="both"/>
        <w:rPr>
          <w:color w:val="auto"/>
        </w:rPr>
      </w:pPr>
      <w:r>
        <w:rPr>
          <w:color w:val="auto"/>
        </w:rPr>
        <w:t>本次对区域潜水水位进行了监测，具体见表4.3-5，评价区内地下水流由东北向西南，地下水水力坡度0.3‰。潜水地下水等水位线图见附图11。</w:t>
      </w:r>
    </w:p>
    <w:p w14:paraId="1CE600DA">
      <w:pPr>
        <w:pStyle w:val="276"/>
        <w:widowControl w:val="0"/>
        <w:ind w:firstLine="480"/>
        <w:jc w:val="both"/>
        <w:rPr>
          <w:color w:val="auto"/>
        </w:rPr>
      </w:pPr>
      <w:r>
        <w:rPr>
          <w:color w:val="auto"/>
        </w:rPr>
        <w:t>2</w:t>
      </w:r>
      <w:r>
        <w:rPr>
          <w:rFonts w:hint="eastAsia"/>
          <w:color w:val="auto"/>
        </w:rPr>
        <w:t>）</w:t>
      </w:r>
      <w:r>
        <w:rPr>
          <w:color w:val="auto"/>
        </w:rPr>
        <w:t>承压水流场</w:t>
      </w:r>
    </w:p>
    <w:p w14:paraId="3EBB5B60">
      <w:pPr>
        <w:pStyle w:val="79"/>
        <w:spacing w:after="0" w:line="440" w:lineRule="exact"/>
        <w:ind w:firstLine="480" w:firstLineChars="200"/>
        <w:rPr>
          <w:rFonts w:ascii="宋体" w:hAnsi="宋体"/>
          <w:color w:val="auto"/>
          <w:szCs w:val="24"/>
        </w:rPr>
      </w:pPr>
      <w:r>
        <w:rPr>
          <w:rFonts w:ascii="宋体" w:hAnsi="宋体"/>
          <w:color w:val="auto"/>
          <w:szCs w:val="24"/>
        </w:rPr>
        <w:t>本次对区域承压水水位进行了监测，承压水井和潜水井分布位置能够覆盖项目区域，监测井情况见表4.3-5，评价区内承压水地下水流总体由东北向西南，地下水水力坡度0.</w:t>
      </w:r>
      <w:r>
        <w:rPr>
          <w:rFonts w:hint="eastAsia" w:ascii="宋体" w:hAnsi="宋体"/>
          <w:color w:val="auto"/>
          <w:szCs w:val="24"/>
        </w:rPr>
        <w:t>4</w:t>
      </w:r>
      <w:r>
        <w:rPr>
          <w:rFonts w:ascii="宋体" w:hAnsi="宋体"/>
          <w:color w:val="auto"/>
          <w:szCs w:val="24"/>
        </w:rPr>
        <w:t>‰。承压水等水位线图见附图12。</w:t>
      </w:r>
    </w:p>
    <w:p w14:paraId="34AD43D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地下水水质监测</w:t>
      </w:r>
    </w:p>
    <w:p w14:paraId="7610AABB">
      <w:pPr>
        <w:pStyle w:val="276"/>
        <w:widowControl w:val="0"/>
        <w:ind w:firstLine="480"/>
        <w:jc w:val="both"/>
        <w:rPr>
          <w:color w:val="auto"/>
        </w:rPr>
      </w:pPr>
      <w:r>
        <w:rPr>
          <w:color w:val="auto"/>
        </w:rPr>
        <w:t>（1）地下水质监测因子</w:t>
      </w:r>
    </w:p>
    <w:p w14:paraId="7872AC09">
      <w:pPr>
        <w:pStyle w:val="276"/>
        <w:widowControl w:val="0"/>
        <w:ind w:firstLine="480"/>
        <w:jc w:val="both"/>
        <w:rPr>
          <w:color w:val="auto"/>
        </w:rPr>
      </w:pPr>
      <w:r>
        <w:rPr>
          <w:color w:val="auto"/>
        </w:rPr>
        <w:t>监测因子：K</w:t>
      </w:r>
      <w:r>
        <w:rPr>
          <w:color w:val="auto"/>
          <w:vertAlign w:val="superscript"/>
        </w:rPr>
        <w:t>+</w:t>
      </w:r>
      <w:r>
        <w:rPr>
          <w:color w:val="auto"/>
        </w:rPr>
        <w:t>、Na</w:t>
      </w:r>
      <w:r>
        <w:rPr>
          <w:color w:val="auto"/>
          <w:vertAlign w:val="superscript"/>
        </w:rPr>
        <w:t>+</w:t>
      </w:r>
      <w:r>
        <w:rPr>
          <w:color w:val="auto"/>
        </w:rPr>
        <w:t>、Ca</w:t>
      </w:r>
      <w:r>
        <w:rPr>
          <w:color w:val="auto"/>
          <w:vertAlign w:val="superscript"/>
        </w:rPr>
        <w:t>2+</w:t>
      </w:r>
      <w:r>
        <w:rPr>
          <w:color w:val="auto"/>
        </w:rPr>
        <w:t>、Mg</w:t>
      </w:r>
      <w:r>
        <w:rPr>
          <w:color w:val="auto"/>
          <w:vertAlign w:val="superscript"/>
        </w:rPr>
        <w:t>2+</w:t>
      </w:r>
      <w:r>
        <w:rPr>
          <w:color w:val="auto"/>
        </w:rPr>
        <w:t>、CO</w:t>
      </w:r>
      <w:r>
        <w:rPr>
          <w:color w:val="auto"/>
          <w:vertAlign w:val="subscript"/>
        </w:rPr>
        <w:t>3</w:t>
      </w:r>
      <w:r>
        <w:rPr>
          <w:color w:val="auto"/>
          <w:vertAlign w:val="superscript"/>
        </w:rPr>
        <w:t>2-</w:t>
      </w:r>
      <w:r>
        <w:rPr>
          <w:color w:val="auto"/>
        </w:rPr>
        <w:t>、HCO</w:t>
      </w:r>
      <w:r>
        <w:rPr>
          <w:color w:val="auto"/>
          <w:vertAlign w:val="subscript"/>
        </w:rPr>
        <w:t>3</w:t>
      </w:r>
      <w:r>
        <w:rPr>
          <w:color w:val="auto"/>
          <w:vertAlign w:val="superscript"/>
        </w:rPr>
        <w:t>-</w:t>
      </w:r>
      <w:r>
        <w:rPr>
          <w:color w:val="auto"/>
        </w:rPr>
        <w:t>、Cl</w:t>
      </w:r>
      <w:r>
        <w:rPr>
          <w:color w:val="auto"/>
          <w:vertAlign w:val="superscript"/>
        </w:rPr>
        <w:t>-</w:t>
      </w:r>
      <w:r>
        <w:rPr>
          <w:color w:val="auto"/>
        </w:rPr>
        <w:t>、SO</w:t>
      </w:r>
      <w:r>
        <w:rPr>
          <w:color w:val="auto"/>
          <w:vertAlign w:val="subscript"/>
        </w:rPr>
        <w:t>4</w:t>
      </w:r>
      <w:r>
        <w:rPr>
          <w:color w:val="auto"/>
          <w:vertAlign w:val="superscript"/>
        </w:rPr>
        <w:t>2-</w:t>
      </w:r>
      <w:r>
        <w:rPr>
          <w:color w:val="auto"/>
        </w:rPr>
        <w:t>、pH、氨氮、硝酸盐、亚硝酸盐、挥发性酚类、氰化物、砷、汞、铬（六价）、总硬度、铅、氟化物、镉、铁、锰、溶解性总固体、耗氧量、总大肠菌群、菌落总数、石油类、硫化物、钡。</w:t>
      </w:r>
    </w:p>
    <w:p w14:paraId="623EC8E2">
      <w:pPr>
        <w:pStyle w:val="276"/>
        <w:widowControl w:val="0"/>
        <w:ind w:firstLine="480"/>
        <w:jc w:val="both"/>
        <w:rPr>
          <w:color w:val="auto"/>
        </w:rPr>
      </w:pPr>
      <w:r>
        <w:rPr>
          <w:color w:val="auto"/>
        </w:rPr>
        <w:t>（2）水质监测布点</w:t>
      </w:r>
    </w:p>
    <w:p w14:paraId="1DAD6A6F">
      <w:pPr>
        <w:pStyle w:val="276"/>
        <w:widowControl w:val="0"/>
        <w:ind w:firstLine="480"/>
        <w:jc w:val="both"/>
        <w:rPr>
          <w:color w:val="auto"/>
          <w:kern w:val="21"/>
          <w:szCs w:val="20"/>
        </w:rPr>
      </w:pPr>
      <w:r>
        <w:rPr>
          <w:color w:val="auto"/>
          <w:kern w:val="21"/>
          <w:szCs w:val="20"/>
        </w:rPr>
        <w:t>根据本项目地层特征，以及地下水含水层特点和区域水资源开发利用情况，参照《环境影响评价技术导则 地下水环境》（HJ610-2016），本次共布设</w:t>
      </w:r>
      <w:r>
        <w:rPr>
          <w:rFonts w:hint="eastAsia"/>
          <w:color w:val="auto"/>
          <w:kern w:val="21"/>
          <w:szCs w:val="20"/>
        </w:rPr>
        <w:t>16</w:t>
      </w:r>
      <w:r>
        <w:rPr>
          <w:color w:val="auto"/>
          <w:kern w:val="21"/>
          <w:szCs w:val="20"/>
        </w:rPr>
        <w:t>个水质监测点。</w:t>
      </w:r>
      <w:r>
        <w:rPr>
          <w:color w:val="auto"/>
        </w:rPr>
        <w:t>地下水水质监测布点见附图5-</w:t>
      </w:r>
      <w:r>
        <w:rPr>
          <w:rFonts w:hint="eastAsia"/>
          <w:color w:val="auto"/>
        </w:rPr>
        <w:t>3</w:t>
      </w:r>
      <w:r>
        <w:rPr>
          <w:color w:val="auto"/>
        </w:rPr>
        <w:t>。</w:t>
      </w:r>
    </w:p>
    <w:p w14:paraId="20D8E01F">
      <w:pPr>
        <w:pStyle w:val="276"/>
        <w:widowControl w:val="0"/>
        <w:ind w:firstLine="480"/>
        <w:jc w:val="both"/>
        <w:rPr>
          <w:color w:val="auto"/>
        </w:rPr>
      </w:pPr>
      <w:r>
        <w:rPr>
          <w:color w:val="auto"/>
        </w:rPr>
        <w:t>地下水水质监测布点信息见表4.3-6。</w:t>
      </w:r>
    </w:p>
    <w:p w14:paraId="3B1AB6CA">
      <w:pPr>
        <w:pStyle w:val="276"/>
        <w:widowControl w:val="0"/>
        <w:spacing w:line="440" w:lineRule="exact"/>
        <w:ind w:firstLine="0" w:firstLineChars="0"/>
        <w:jc w:val="center"/>
        <w:rPr>
          <w:color w:val="auto"/>
        </w:rPr>
      </w:pPr>
      <w:r>
        <w:rPr>
          <w:color w:val="auto"/>
        </w:rPr>
        <w:t xml:space="preserve">表4.3-6 </w:t>
      </w:r>
      <w:r>
        <w:rPr>
          <w:color w:val="auto"/>
          <w:szCs w:val="28"/>
        </w:rPr>
        <w:t>地下水</w:t>
      </w:r>
      <w:r>
        <w:rPr>
          <w:color w:val="auto"/>
        </w:rPr>
        <w:t>水质监测布点信息表</w:t>
      </w:r>
    </w:p>
    <w:tbl>
      <w:tblPr>
        <w:tblStyle w:val="8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338"/>
        <w:gridCol w:w="830"/>
        <w:gridCol w:w="1247"/>
        <w:gridCol w:w="1684"/>
        <w:gridCol w:w="966"/>
        <w:gridCol w:w="1155"/>
        <w:gridCol w:w="1137"/>
      </w:tblGrid>
      <w:tr w14:paraId="5666F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0AE33FB3">
            <w:pPr>
              <w:snapToGrid w:val="0"/>
              <w:spacing w:line="360" w:lineRule="exact"/>
              <w:jc w:val="center"/>
              <w:rPr>
                <w:rFonts w:ascii="宋体" w:hAnsi="宋体" w:eastAsia="宋体" w:cs="Times New Roman"/>
                <w:color w:val="auto"/>
              </w:rPr>
            </w:pPr>
            <w:r>
              <w:rPr>
                <w:rFonts w:ascii="宋体" w:hAnsi="宋体" w:eastAsia="宋体" w:cs="Times New Roman"/>
                <w:color w:val="auto"/>
              </w:rPr>
              <w:t>编号</w:t>
            </w:r>
          </w:p>
        </w:tc>
        <w:tc>
          <w:tcPr>
            <w:tcW w:w="1338" w:type="dxa"/>
            <w:vAlign w:val="center"/>
          </w:tcPr>
          <w:p w14:paraId="4B0F611C">
            <w:pPr>
              <w:snapToGrid w:val="0"/>
              <w:spacing w:line="360" w:lineRule="exact"/>
              <w:jc w:val="center"/>
              <w:rPr>
                <w:rFonts w:ascii="宋体" w:hAnsi="宋体" w:eastAsia="宋体" w:cs="Times New Roman"/>
                <w:color w:val="auto"/>
              </w:rPr>
            </w:pPr>
            <w:r>
              <w:rPr>
                <w:rFonts w:ascii="宋体" w:hAnsi="宋体" w:eastAsia="宋体" w:cs="Times New Roman"/>
                <w:color w:val="auto"/>
              </w:rPr>
              <w:t>监测点位</w:t>
            </w:r>
          </w:p>
        </w:tc>
        <w:tc>
          <w:tcPr>
            <w:tcW w:w="830" w:type="dxa"/>
            <w:vAlign w:val="center"/>
          </w:tcPr>
          <w:p w14:paraId="280D5A05">
            <w:pPr>
              <w:snapToGrid w:val="0"/>
              <w:spacing w:line="360" w:lineRule="exact"/>
              <w:jc w:val="center"/>
              <w:rPr>
                <w:rFonts w:ascii="宋体" w:hAnsi="宋体" w:eastAsia="宋体" w:cs="Times New Roman"/>
                <w:color w:val="auto"/>
              </w:rPr>
            </w:pPr>
            <w:r>
              <w:rPr>
                <w:rFonts w:ascii="宋体" w:hAnsi="宋体" w:eastAsia="宋体" w:cs="Times New Roman"/>
                <w:color w:val="auto"/>
              </w:rPr>
              <w:t>监测层位</w:t>
            </w:r>
          </w:p>
        </w:tc>
        <w:tc>
          <w:tcPr>
            <w:tcW w:w="1247" w:type="dxa"/>
            <w:vAlign w:val="center"/>
          </w:tcPr>
          <w:p w14:paraId="23434C68">
            <w:pPr>
              <w:snapToGrid w:val="0"/>
              <w:spacing w:line="360" w:lineRule="exact"/>
              <w:jc w:val="center"/>
              <w:rPr>
                <w:rFonts w:ascii="宋体" w:hAnsi="宋体" w:eastAsia="宋体" w:cs="Times New Roman"/>
                <w:color w:val="auto"/>
              </w:rPr>
            </w:pPr>
            <w:r>
              <w:rPr>
                <w:rFonts w:ascii="宋体" w:hAnsi="宋体" w:eastAsia="宋体" w:cs="Times New Roman"/>
                <w:color w:val="auto"/>
              </w:rPr>
              <w:t>坐标</w:t>
            </w:r>
            <w:r>
              <w:rPr>
                <w:rFonts w:hint="eastAsia" w:ascii="宋体" w:hAnsi="宋体" w:eastAsia="宋体" w:cs="Times New Roman"/>
                <w:color w:val="auto"/>
              </w:rPr>
              <w:t>/°</w:t>
            </w:r>
          </w:p>
        </w:tc>
        <w:tc>
          <w:tcPr>
            <w:tcW w:w="1684" w:type="dxa"/>
            <w:vAlign w:val="center"/>
          </w:tcPr>
          <w:p w14:paraId="67D6FC68">
            <w:pPr>
              <w:snapToGrid w:val="0"/>
              <w:spacing w:line="360" w:lineRule="exact"/>
              <w:jc w:val="center"/>
              <w:rPr>
                <w:rFonts w:ascii="宋体" w:hAnsi="宋体" w:eastAsia="宋体" w:cs="Times New Roman"/>
                <w:color w:val="auto"/>
              </w:rPr>
            </w:pPr>
            <w:r>
              <w:rPr>
                <w:rFonts w:ascii="宋体" w:hAnsi="宋体" w:eastAsia="宋体" w:cs="Times New Roman"/>
                <w:color w:val="auto"/>
              </w:rPr>
              <w:t>相对位置</w:t>
            </w:r>
          </w:p>
        </w:tc>
        <w:tc>
          <w:tcPr>
            <w:tcW w:w="966" w:type="dxa"/>
            <w:vAlign w:val="center"/>
          </w:tcPr>
          <w:p w14:paraId="3D9E1EB0">
            <w:pPr>
              <w:snapToGrid w:val="0"/>
              <w:spacing w:line="360" w:lineRule="exact"/>
              <w:jc w:val="center"/>
              <w:rPr>
                <w:rFonts w:ascii="宋体" w:hAnsi="宋体" w:eastAsia="宋体" w:cs="Times New Roman"/>
                <w:color w:val="auto"/>
              </w:rPr>
            </w:pPr>
            <w:r>
              <w:rPr>
                <w:rFonts w:ascii="宋体" w:hAnsi="宋体" w:eastAsia="宋体" w:cs="Times New Roman"/>
                <w:color w:val="auto"/>
              </w:rPr>
              <w:t>井深（m）</w:t>
            </w:r>
          </w:p>
        </w:tc>
        <w:tc>
          <w:tcPr>
            <w:tcW w:w="1155" w:type="dxa"/>
            <w:vAlign w:val="center"/>
          </w:tcPr>
          <w:p w14:paraId="760C17E8">
            <w:pPr>
              <w:snapToGrid w:val="0"/>
              <w:spacing w:line="360" w:lineRule="exact"/>
              <w:jc w:val="center"/>
              <w:rPr>
                <w:rFonts w:ascii="宋体" w:hAnsi="宋体" w:eastAsia="宋体" w:cs="Times New Roman"/>
                <w:color w:val="auto"/>
              </w:rPr>
            </w:pPr>
            <w:r>
              <w:rPr>
                <w:rFonts w:ascii="宋体" w:hAnsi="宋体" w:eastAsia="宋体" w:cs="Times New Roman"/>
                <w:color w:val="auto"/>
              </w:rPr>
              <w:t>与地下水流向关系</w:t>
            </w:r>
          </w:p>
        </w:tc>
        <w:tc>
          <w:tcPr>
            <w:tcW w:w="1137" w:type="dxa"/>
            <w:vAlign w:val="center"/>
          </w:tcPr>
          <w:p w14:paraId="48FE148B">
            <w:pPr>
              <w:snapToGrid w:val="0"/>
              <w:spacing w:line="360" w:lineRule="exact"/>
              <w:jc w:val="center"/>
              <w:rPr>
                <w:rFonts w:ascii="宋体" w:hAnsi="宋体" w:eastAsia="宋体" w:cs="Times New Roman"/>
                <w:color w:val="auto"/>
              </w:rPr>
            </w:pPr>
            <w:r>
              <w:rPr>
                <w:rFonts w:ascii="宋体" w:hAnsi="宋体" w:eastAsia="宋体" w:cs="Times New Roman"/>
                <w:color w:val="auto"/>
              </w:rPr>
              <w:t>水井功能</w:t>
            </w:r>
          </w:p>
        </w:tc>
      </w:tr>
      <w:tr w14:paraId="2994C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47F84D11">
            <w:pPr>
              <w:snapToGrid w:val="0"/>
              <w:spacing w:line="360" w:lineRule="exact"/>
              <w:jc w:val="center"/>
              <w:rPr>
                <w:rFonts w:ascii="宋体" w:hAnsi="宋体" w:eastAsia="宋体" w:cs="Times New Roman"/>
                <w:color w:val="auto"/>
              </w:rPr>
            </w:pPr>
            <w:r>
              <w:rPr>
                <w:rFonts w:ascii="宋体" w:hAnsi="宋体" w:eastAsia="宋体" w:cs="Times New Roman"/>
                <w:color w:val="auto"/>
              </w:rPr>
              <w:t>D1</w:t>
            </w:r>
          </w:p>
        </w:tc>
        <w:tc>
          <w:tcPr>
            <w:tcW w:w="1338" w:type="dxa"/>
            <w:vAlign w:val="center"/>
          </w:tcPr>
          <w:p w14:paraId="1BB16550">
            <w:pPr>
              <w:snapToGrid w:val="0"/>
              <w:spacing w:line="360" w:lineRule="exact"/>
              <w:jc w:val="center"/>
              <w:rPr>
                <w:rFonts w:ascii="宋体" w:hAnsi="宋体" w:eastAsia="宋体" w:cs="Times New Roman"/>
                <w:color w:val="auto"/>
              </w:rPr>
            </w:pPr>
            <w:r>
              <w:rPr>
                <w:rFonts w:ascii="宋体" w:hAnsi="宋体" w:eastAsia="宋体" w:cs="Times New Roman"/>
                <w:color w:val="auto"/>
              </w:rPr>
              <w:t>王家粉</w:t>
            </w:r>
            <w:r>
              <w:rPr>
                <w:rFonts w:hint="eastAsia" w:ascii="宋体" w:hAnsi="宋体" w:eastAsia="宋体" w:cs="Times New Roman"/>
                <w:color w:val="auto"/>
              </w:rPr>
              <w:t>坊</w:t>
            </w:r>
            <w:r>
              <w:rPr>
                <w:rFonts w:ascii="宋体" w:hAnsi="宋体" w:eastAsia="宋体" w:cs="Times New Roman"/>
                <w:color w:val="auto"/>
              </w:rPr>
              <w:t>屯水井</w:t>
            </w:r>
          </w:p>
        </w:tc>
        <w:tc>
          <w:tcPr>
            <w:tcW w:w="830" w:type="dxa"/>
            <w:vAlign w:val="center"/>
          </w:tcPr>
          <w:p w14:paraId="7F886342">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2E54D9D5">
            <w:pPr>
              <w:snapToGrid w:val="0"/>
              <w:spacing w:line="360" w:lineRule="exact"/>
              <w:jc w:val="center"/>
              <w:rPr>
                <w:rFonts w:ascii="宋体" w:hAnsi="宋体" w:eastAsia="宋体" w:cs="Times New Roman"/>
                <w:color w:val="auto"/>
              </w:rPr>
            </w:pPr>
            <w:r>
              <w:rPr>
                <w:rFonts w:ascii="宋体" w:hAnsi="宋体" w:eastAsia="宋体" w:cs="Times New Roman"/>
                <w:color w:val="auto"/>
              </w:rPr>
              <w:t>125.16255</w:t>
            </w:r>
            <w:r>
              <w:rPr>
                <w:rFonts w:hint="eastAsia" w:ascii="宋体" w:hAnsi="宋体" w:eastAsia="宋体" w:cs="Times New Roman"/>
                <w:color w:val="auto"/>
              </w:rPr>
              <w:t>，</w:t>
            </w:r>
            <w:r>
              <w:rPr>
                <w:rFonts w:ascii="宋体" w:hAnsi="宋体" w:eastAsia="宋体" w:cs="Times New Roman"/>
                <w:color w:val="auto"/>
              </w:rPr>
              <w:t>45.57808</w:t>
            </w:r>
          </w:p>
        </w:tc>
        <w:tc>
          <w:tcPr>
            <w:tcW w:w="1684" w:type="dxa"/>
            <w:vAlign w:val="center"/>
          </w:tcPr>
          <w:p w14:paraId="083587CA">
            <w:pPr>
              <w:snapToGrid w:val="0"/>
              <w:spacing w:line="360" w:lineRule="exact"/>
              <w:jc w:val="center"/>
              <w:rPr>
                <w:rFonts w:ascii="宋体" w:hAnsi="宋体" w:eastAsia="宋体" w:cs="Times New Roman"/>
                <w:color w:val="auto"/>
              </w:rPr>
            </w:pPr>
            <w:r>
              <w:rPr>
                <w:rFonts w:ascii="宋体" w:hAnsi="宋体" w:eastAsia="宋体" w:cs="Times New Roman"/>
                <w:color w:val="auto"/>
              </w:rPr>
              <w:t>源212-扶平3</w:t>
            </w:r>
            <w:r>
              <w:rPr>
                <w:rFonts w:hint="eastAsia" w:ascii="宋体" w:hAnsi="宋体" w:eastAsia="宋体" w:cs="Times New Roman"/>
                <w:color w:val="auto"/>
              </w:rPr>
              <w:t>东北1200m</w:t>
            </w:r>
          </w:p>
        </w:tc>
        <w:tc>
          <w:tcPr>
            <w:tcW w:w="966" w:type="dxa"/>
            <w:vAlign w:val="center"/>
          </w:tcPr>
          <w:p w14:paraId="08A707D5">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13</w:t>
            </w:r>
          </w:p>
        </w:tc>
        <w:tc>
          <w:tcPr>
            <w:tcW w:w="1155" w:type="dxa"/>
            <w:vAlign w:val="center"/>
          </w:tcPr>
          <w:p w14:paraId="0AE439BE">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w:t>
            </w:r>
            <w:r>
              <w:rPr>
                <w:rFonts w:ascii="宋体" w:hAnsi="宋体" w:eastAsia="宋体" w:cs="Times New Roman"/>
                <w:color w:val="auto"/>
              </w:rPr>
              <w:t>上游</w:t>
            </w:r>
          </w:p>
        </w:tc>
        <w:tc>
          <w:tcPr>
            <w:tcW w:w="1137" w:type="dxa"/>
            <w:vAlign w:val="center"/>
          </w:tcPr>
          <w:p w14:paraId="7087ECD0">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6A18C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4C088FF0">
            <w:pPr>
              <w:snapToGrid w:val="0"/>
              <w:spacing w:line="360" w:lineRule="exact"/>
              <w:jc w:val="center"/>
              <w:rPr>
                <w:rFonts w:ascii="宋体" w:hAnsi="宋体" w:eastAsia="宋体" w:cs="Times New Roman"/>
                <w:color w:val="auto"/>
              </w:rPr>
            </w:pPr>
            <w:r>
              <w:rPr>
                <w:rFonts w:ascii="宋体" w:hAnsi="宋体" w:eastAsia="宋体" w:cs="Times New Roman"/>
                <w:color w:val="auto"/>
              </w:rPr>
              <w:t>D2</w:t>
            </w:r>
          </w:p>
        </w:tc>
        <w:tc>
          <w:tcPr>
            <w:tcW w:w="1338" w:type="dxa"/>
            <w:vAlign w:val="center"/>
          </w:tcPr>
          <w:p w14:paraId="7F86D196">
            <w:pPr>
              <w:snapToGrid w:val="0"/>
              <w:spacing w:line="360" w:lineRule="exact"/>
              <w:jc w:val="center"/>
              <w:rPr>
                <w:rFonts w:ascii="宋体" w:hAnsi="宋体" w:eastAsia="宋体" w:cs="Times New Roman"/>
                <w:color w:val="auto"/>
              </w:rPr>
            </w:pPr>
            <w:r>
              <w:rPr>
                <w:rFonts w:ascii="宋体" w:hAnsi="宋体" w:eastAsia="宋体" w:cs="Times New Roman"/>
                <w:color w:val="auto"/>
              </w:rPr>
              <w:t>小欧力马屯水井</w:t>
            </w:r>
          </w:p>
        </w:tc>
        <w:tc>
          <w:tcPr>
            <w:tcW w:w="830" w:type="dxa"/>
            <w:vAlign w:val="center"/>
          </w:tcPr>
          <w:p w14:paraId="72235ACE">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515F7FA7">
            <w:pPr>
              <w:snapToGrid w:val="0"/>
              <w:spacing w:line="360" w:lineRule="exact"/>
              <w:jc w:val="center"/>
              <w:rPr>
                <w:rFonts w:ascii="宋体" w:hAnsi="宋体" w:eastAsia="宋体" w:cs="Times New Roman"/>
                <w:color w:val="auto"/>
              </w:rPr>
            </w:pPr>
            <w:r>
              <w:rPr>
                <w:rFonts w:ascii="宋体" w:hAnsi="宋体" w:eastAsia="宋体" w:cs="Times New Roman"/>
                <w:color w:val="auto"/>
              </w:rPr>
              <w:t>125.18676</w:t>
            </w:r>
            <w:r>
              <w:rPr>
                <w:rFonts w:hint="eastAsia" w:ascii="宋体" w:hAnsi="宋体" w:eastAsia="宋体" w:cs="Times New Roman"/>
                <w:color w:val="auto"/>
              </w:rPr>
              <w:t>，</w:t>
            </w:r>
            <w:r>
              <w:rPr>
                <w:rFonts w:ascii="宋体" w:hAnsi="宋体" w:eastAsia="宋体" w:cs="Times New Roman"/>
                <w:color w:val="auto"/>
              </w:rPr>
              <w:t>45.57446</w:t>
            </w:r>
          </w:p>
        </w:tc>
        <w:tc>
          <w:tcPr>
            <w:tcW w:w="1684" w:type="dxa"/>
            <w:vAlign w:val="center"/>
          </w:tcPr>
          <w:p w14:paraId="57B11C62">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3#平台东北1500m</w:t>
            </w:r>
          </w:p>
        </w:tc>
        <w:tc>
          <w:tcPr>
            <w:tcW w:w="966" w:type="dxa"/>
            <w:vAlign w:val="center"/>
          </w:tcPr>
          <w:p w14:paraId="409AB8F6">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20</w:t>
            </w:r>
          </w:p>
        </w:tc>
        <w:tc>
          <w:tcPr>
            <w:tcW w:w="1155" w:type="dxa"/>
            <w:vAlign w:val="center"/>
          </w:tcPr>
          <w:p w14:paraId="0AB69BA6">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w:t>
            </w:r>
            <w:r>
              <w:rPr>
                <w:rFonts w:ascii="宋体" w:hAnsi="宋体" w:eastAsia="宋体" w:cs="Times New Roman"/>
                <w:color w:val="auto"/>
              </w:rPr>
              <w:t>上游</w:t>
            </w:r>
          </w:p>
        </w:tc>
        <w:tc>
          <w:tcPr>
            <w:tcW w:w="1137" w:type="dxa"/>
            <w:vAlign w:val="center"/>
          </w:tcPr>
          <w:p w14:paraId="1A7DE076">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1EAA0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53CA714B">
            <w:pPr>
              <w:snapToGrid w:val="0"/>
              <w:spacing w:line="360" w:lineRule="exact"/>
              <w:jc w:val="center"/>
              <w:rPr>
                <w:rFonts w:ascii="宋体" w:hAnsi="宋体" w:eastAsia="宋体" w:cs="Times New Roman"/>
                <w:color w:val="auto"/>
              </w:rPr>
            </w:pPr>
            <w:r>
              <w:rPr>
                <w:rFonts w:ascii="宋体" w:hAnsi="宋体" w:eastAsia="宋体" w:cs="Times New Roman"/>
                <w:color w:val="auto"/>
              </w:rPr>
              <w:t>D3</w:t>
            </w:r>
          </w:p>
        </w:tc>
        <w:tc>
          <w:tcPr>
            <w:tcW w:w="1338" w:type="dxa"/>
            <w:vAlign w:val="center"/>
          </w:tcPr>
          <w:p w14:paraId="18693339">
            <w:pPr>
              <w:snapToGrid w:val="0"/>
              <w:spacing w:line="360" w:lineRule="exact"/>
              <w:jc w:val="center"/>
              <w:rPr>
                <w:rFonts w:ascii="宋体" w:hAnsi="宋体" w:eastAsia="宋体" w:cs="Times New Roman"/>
                <w:color w:val="auto"/>
              </w:rPr>
            </w:pPr>
            <w:r>
              <w:rPr>
                <w:rFonts w:ascii="宋体" w:hAnsi="宋体" w:eastAsia="宋体" w:cs="Times New Roman"/>
                <w:color w:val="auto"/>
              </w:rPr>
              <w:t>后欧力马屯水井</w:t>
            </w:r>
          </w:p>
        </w:tc>
        <w:tc>
          <w:tcPr>
            <w:tcW w:w="830" w:type="dxa"/>
            <w:vAlign w:val="center"/>
          </w:tcPr>
          <w:p w14:paraId="16DED78B">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7DFFAE0F">
            <w:pPr>
              <w:snapToGrid w:val="0"/>
              <w:spacing w:line="360" w:lineRule="exact"/>
              <w:jc w:val="center"/>
              <w:rPr>
                <w:rFonts w:ascii="宋体" w:hAnsi="宋体" w:eastAsia="宋体" w:cs="Times New Roman"/>
                <w:color w:val="auto"/>
              </w:rPr>
            </w:pPr>
            <w:r>
              <w:rPr>
                <w:rFonts w:ascii="宋体" w:hAnsi="宋体" w:eastAsia="宋体" w:cs="Times New Roman"/>
                <w:color w:val="auto"/>
              </w:rPr>
              <w:t>125.16904</w:t>
            </w:r>
            <w:r>
              <w:rPr>
                <w:rFonts w:hint="eastAsia" w:ascii="宋体" w:hAnsi="宋体" w:eastAsia="宋体" w:cs="Times New Roman"/>
                <w:color w:val="auto"/>
              </w:rPr>
              <w:t>，</w:t>
            </w:r>
            <w:r>
              <w:rPr>
                <w:rFonts w:ascii="宋体" w:hAnsi="宋体" w:eastAsia="宋体" w:cs="Times New Roman"/>
                <w:color w:val="auto"/>
              </w:rPr>
              <w:t>45.56689</w:t>
            </w:r>
          </w:p>
        </w:tc>
        <w:tc>
          <w:tcPr>
            <w:tcW w:w="1684" w:type="dxa"/>
            <w:vAlign w:val="center"/>
          </w:tcPr>
          <w:p w14:paraId="54C568FD">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3#平台西北400</w:t>
            </w:r>
          </w:p>
        </w:tc>
        <w:tc>
          <w:tcPr>
            <w:tcW w:w="966" w:type="dxa"/>
            <w:vAlign w:val="center"/>
          </w:tcPr>
          <w:p w14:paraId="34598F59">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15</w:t>
            </w:r>
          </w:p>
        </w:tc>
        <w:tc>
          <w:tcPr>
            <w:tcW w:w="1155" w:type="dxa"/>
            <w:vAlign w:val="center"/>
          </w:tcPr>
          <w:p w14:paraId="6ADD1036">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区域内</w:t>
            </w:r>
          </w:p>
        </w:tc>
        <w:tc>
          <w:tcPr>
            <w:tcW w:w="1137" w:type="dxa"/>
            <w:vAlign w:val="center"/>
          </w:tcPr>
          <w:p w14:paraId="3DC3E160">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75BDE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7AD4E807">
            <w:pPr>
              <w:snapToGrid w:val="0"/>
              <w:spacing w:line="360" w:lineRule="exact"/>
              <w:jc w:val="center"/>
              <w:rPr>
                <w:rFonts w:ascii="宋体" w:hAnsi="宋体" w:eastAsia="宋体" w:cs="Times New Roman"/>
                <w:color w:val="auto"/>
              </w:rPr>
            </w:pPr>
            <w:r>
              <w:rPr>
                <w:rFonts w:ascii="宋体" w:hAnsi="宋体" w:eastAsia="宋体" w:cs="Times New Roman"/>
                <w:color w:val="auto"/>
              </w:rPr>
              <w:t>D4</w:t>
            </w:r>
          </w:p>
        </w:tc>
        <w:tc>
          <w:tcPr>
            <w:tcW w:w="1338" w:type="dxa"/>
            <w:vAlign w:val="center"/>
          </w:tcPr>
          <w:p w14:paraId="54D64B27">
            <w:pPr>
              <w:snapToGrid w:val="0"/>
              <w:spacing w:line="360" w:lineRule="exact"/>
              <w:jc w:val="center"/>
              <w:rPr>
                <w:rFonts w:ascii="宋体" w:hAnsi="宋体" w:eastAsia="宋体" w:cs="Times New Roman"/>
                <w:color w:val="auto"/>
              </w:rPr>
            </w:pPr>
            <w:r>
              <w:rPr>
                <w:rFonts w:ascii="宋体" w:hAnsi="宋体" w:eastAsia="宋体" w:cs="Times New Roman"/>
                <w:color w:val="auto"/>
              </w:rPr>
              <w:t>赵家围子水井</w:t>
            </w:r>
          </w:p>
        </w:tc>
        <w:tc>
          <w:tcPr>
            <w:tcW w:w="830" w:type="dxa"/>
            <w:vAlign w:val="center"/>
          </w:tcPr>
          <w:p w14:paraId="3C0E05B0">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00FD07B5">
            <w:pPr>
              <w:snapToGrid w:val="0"/>
              <w:spacing w:line="360" w:lineRule="exact"/>
              <w:jc w:val="center"/>
              <w:rPr>
                <w:rFonts w:ascii="宋体" w:hAnsi="宋体" w:eastAsia="宋体" w:cs="Times New Roman"/>
                <w:color w:val="auto"/>
              </w:rPr>
            </w:pPr>
            <w:r>
              <w:rPr>
                <w:rFonts w:ascii="宋体" w:hAnsi="宋体" w:eastAsia="宋体" w:cs="Times New Roman"/>
                <w:color w:val="auto"/>
              </w:rPr>
              <w:t>125.13163</w:t>
            </w:r>
            <w:r>
              <w:rPr>
                <w:rFonts w:hint="eastAsia" w:ascii="宋体" w:hAnsi="宋体" w:eastAsia="宋体" w:cs="Times New Roman"/>
                <w:color w:val="auto"/>
              </w:rPr>
              <w:t>，</w:t>
            </w:r>
            <w:r>
              <w:rPr>
                <w:rFonts w:ascii="宋体" w:hAnsi="宋体" w:eastAsia="宋体" w:cs="Times New Roman"/>
                <w:color w:val="auto"/>
              </w:rPr>
              <w:t>45.57208</w:t>
            </w:r>
          </w:p>
        </w:tc>
        <w:tc>
          <w:tcPr>
            <w:tcW w:w="1684" w:type="dxa"/>
            <w:vAlign w:val="center"/>
          </w:tcPr>
          <w:p w14:paraId="061D6B45">
            <w:pPr>
              <w:snapToGrid w:val="0"/>
              <w:spacing w:line="360" w:lineRule="exact"/>
              <w:jc w:val="center"/>
              <w:rPr>
                <w:rFonts w:ascii="宋体" w:hAnsi="宋体" w:eastAsia="宋体" w:cs="Times New Roman"/>
                <w:color w:val="auto"/>
              </w:rPr>
            </w:pPr>
            <w:r>
              <w:rPr>
                <w:rFonts w:ascii="宋体" w:hAnsi="宋体" w:eastAsia="宋体" w:cs="Times New Roman"/>
                <w:color w:val="auto"/>
              </w:rPr>
              <w:t>源212-扶平3</w:t>
            </w:r>
            <w:r>
              <w:rPr>
                <w:rFonts w:hint="eastAsia" w:ascii="宋体" w:hAnsi="宋体" w:eastAsia="宋体" w:cs="Times New Roman"/>
                <w:color w:val="auto"/>
              </w:rPr>
              <w:t>西1700m</w:t>
            </w:r>
          </w:p>
        </w:tc>
        <w:tc>
          <w:tcPr>
            <w:tcW w:w="966" w:type="dxa"/>
            <w:vAlign w:val="center"/>
          </w:tcPr>
          <w:p w14:paraId="31A8F89B">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18</w:t>
            </w:r>
          </w:p>
        </w:tc>
        <w:tc>
          <w:tcPr>
            <w:tcW w:w="1155" w:type="dxa"/>
            <w:vAlign w:val="center"/>
          </w:tcPr>
          <w:p w14:paraId="3A561CAC">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区域侧向</w:t>
            </w:r>
          </w:p>
        </w:tc>
        <w:tc>
          <w:tcPr>
            <w:tcW w:w="1137" w:type="dxa"/>
            <w:vAlign w:val="center"/>
          </w:tcPr>
          <w:p w14:paraId="1496BC2E">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12203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11B9ADAC">
            <w:pPr>
              <w:snapToGrid w:val="0"/>
              <w:spacing w:line="360" w:lineRule="exact"/>
              <w:jc w:val="center"/>
              <w:rPr>
                <w:rFonts w:ascii="宋体" w:hAnsi="宋体" w:eastAsia="宋体" w:cs="Times New Roman"/>
                <w:color w:val="auto"/>
              </w:rPr>
            </w:pPr>
            <w:r>
              <w:rPr>
                <w:rFonts w:ascii="宋体" w:hAnsi="宋体" w:eastAsia="宋体" w:cs="Times New Roman"/>
                <w:color w:val="auto"/>
              </w:rPr>
              <w:t>D5</w:t>
            </w:r>
          </w:p>
        </w:tc>
        <w:tc>
          <w:tcPr>
            <w:tcW w:w="1338" w:type="dxa"/>
            <w:vAlign w:val="center"/>
          </w:tcPr>
          <w:p w14:paraId="1B4858A8">
            <w:pPr>
              <w:snapToGrid w:val="0"/>
              <w:spacing w:line="360" w:lineRule="exact"/>
              <w:jc w:val="center"/>
              <w:rPr>
                <w:rFonts w:ascii="宋体" w:hAnsi="宋体" w:eastAsia="宋体" w:cs="Times New Roman"/>
                <w:color w:val="auto"/>
              </w:rPr>
            </w:pPr>
            <w:r>
              <w:rPr>
                <w:rFonts w:ascii="宋体" w:hAnsi="宋体" w:eastAsia="宋体" w:cs="Times New Roman"/>
                <w:color w:val="auto"/>
              </w:rPr>
              <w:t>腰欧力马屯水井</w:t>
            </w:r>
          </w:p>
        </w:tc>
        <w:tc>
          <w:tcPr>
            <w:tcW w:w="830" w:type="dxa"/>
            <w:vAlign w:val="center"/>
          </w:tcPr>
          <w:p w14:paraId="417DEF36">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174EBDB7">
            <w:pPr>
              <w:snapToGrid w:val="0"/>
              <w:spacing w:line="360" w:lineRule="exact"/>
              <w:jc w:val="center"/>
              <w:rPr>
                <w:rFonts w:ascii="宋体" w:hAnsi="宋体" w:eastAsia="宋体" w:cs="Times New Roman"/>
                <w:color w:val="auto"/>
              </w:rPr>
            </w:pPr>
            <w:r>
              <w:rPr>
                <w:rFonts w:ascii="宋体" w:hAnsi="宋体" w:eastAsia="宋体" w:cs="Times New Roman"/>
                <w:color w:val="auto"/>
              </w:rPr>
              <w:t>125.18775</w:t>
            </w:r>
            <w:r>
              <w:rPr>
                <w:rFonts w:hint="eastAsia" w:ascii="宋体" w:hAnsi="宋体" w:eastAsia="宋体" w:cs="Times New Roman"/>
                <w:color w:val="auto"/>
              </w:rPr>
              <w:t>，</w:t>
            </w:r>
            <w:r>
              <w:rPr>
                <w:rFonts w:ascii="宋体" w:hAnsi="宋体" w:eastAsia="宋体" w:cs="Times New Roman"/>
                <w:color w:val="auto"/>
              </w:rPr>
              <w:t>45.56632</w:t>
            </w:r>
          </w:p>
        </w:tc>
        <w:tc>
          <w:tcPr>
            <w:tcW w:w="1684" w:type="dxa"/>
            <w:vAlign w:val="center"/>
          </w:tcPr>
          <w:p w14:paraId="42D0D9D1">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3#平台东北1200m</w:t>
            </w:r>
          </w:p>
        </w:tc>
        <w:tc>
          <w:tcPr>
            <w:tcW w:w="966" w:type="dxa"/>
            <w:vAlign w:val="center"/>
          </w:tcPr>
          <w:p w14:paraId="6140F393">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15</w:t>
            </w:r>
          </w:p>
        </w:tc>
        <w:tc>
          <w:tcPr>
            <w:tcW w:w="1155" w:type="dxa"/>
            <w:vAlign w:val="center"/>
          </w:tcPr>
          <w:p w14:paraId="13CD47A4">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区域侧向</w:t>
            </w:r>
          </w:p>
        </w:tc>
        <w:tc>
          <w:tcPr>
            <w:tcW w:w="1137" w:type="dxa"/>
            <w:vAlign w:val="center"/>
          </w:tcPr>
          <w:p w14:paraId="45420E02">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74C66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79A0B9C4">
            <w:pPr>
              <w:snapToGrid w:val="0"/>
              <w:spacing w:line="360" w:lineRule="exact"/>
              <w:jc w:val="center"/>
              <w:rPr>
                <w:rFonts w:ascii="宋体" w:hAnsi="宋体" w:eastAsia="宋体" w:cs="Times New Roman"/>
                <w:color w:val="auto"/>
              </w:rPr>
            </w:pPr>
            <w:r>
              <w:rPr>
                <w:rFonts w:ascii="宋体" w:hAnsi="宋体" w:eastAsia="宋体" w:cs="Times New Roman"/>
                <w:color w:val="auto"/>
              </w:rPr>
              <w:t>D6</w:t>
            </w:r>
          </w:p>
        </w:tc>
        <w:tc>
          <w:tcPr>
            <w:tcW w:w="1338" w:type="dxa"/>
            <w:vAlign w:val="center"/>
          </w:tcPr>
          <w:p w14:paraId="26039AED">
            <w:pPr>
              <w:snapToGrid w:val="0"/>
              <w:spacing w:line="360" w:lineRule="exact"/>
              <w:jc w:val="center"/>
              <w:rPr>
                <w:rFonts w:ascii="宋体" w:hAnsi="宋体" w:eastAsia="宋体" w:cs="Times New Roman"/>
                <w:color w:val="auto"/>
              </w:rPr>
            </w:pPr>
            <w:r>
              <w:rPr>
                <w:rFonts w:ascii="宋体" w:hAnsi="宋体" w:eastAsia="宋体" w:cs="Times New Roman"/>
                <w:color w:val="auto"/>
              </w:rPr>
              <w:t>王家园子屯水井</w:t>
            </w:r>
          </w:p>
        </w:tc>
        <w:tc>
          <w:tcPr>
            <w:tcW w:w="830" w:type="dxa"/>
            <w:vAlign w:val="center"/>
          </w:tcPr>
          <w:p w14:paraId="735B4059">
            <w:pPr>
              <w:snapToGrid w:val="0"/>
              <w:spacing w:line="360" w:lineRule="exact"/>
              <w:jc w:val="center"/>
              <w:rPr>
                <w:rFonts w:ascii="宋体" w:hAnsi="宋体" w:eastAsia="宋体" w:cs="Times New Roman"/>
                <w:color w:val="auto"/>
              </w:rPr>
            </w:pPr>
            <w:r>
              <w:rPr>
                <w:rFonts w:ascii="宋体" w:hAnsi="宋体" w:eastAsia="宋体" w:cs="Times New Roman"/>
                <w:color w:val="auto"/>
              </w:rPr>
              <w:t>承压水</w:t>
            </w:r>
          </w:p>
        </w:tc>
        <w:tc>
          <w:tcPr>
            <w:tcW w:w="1247" w:type="dxa"/>
            <w:vAlign w:val="center"/>
          </w:tcPr>
          <w:p w14:paraId="0EC096C3">
            <w:pPr>
              <w:snapToGrid w:val="0"/>
              <w:spacing w:line="360" w:lineRule="exact"/>
              <w:jc w:val="center"/>
              <w:rPr>
                <w:rFonts w:ascii="宋体" w:hAnsi="宋体" w:eastAsia="宋体" w:cs="Times New Roman"/>
                <w:color w:val="auto"/>
              </w:rPr>
            </w:pPr>
            <w:r>
              <w:rPr>
                <w:rFonts w:ascii="宋体" w:hAnsi="宋体" w:eastAsia="宋体" w:cs="Times New Roman"/>
                <w:color w:val="auto"/>
              </w:rPr>
              <w:t>125.16272</w:t>
            </w:r>
            <w:r>
              <w:rPr>
                <w:rFonts w:hint="eastAsia" w:ascii="宋体" w:hAnsi="宋体" w:eastAsia="宋体" w:cs="Times New Roman"/>
                <w:color w:val="auto"/>
              </w:rPr>
              <w:t>，</w:t>
            </w:r>
            <w:r>
              <w:rPr>
                <w:rFonts w:ascii="宋体" w:hAnsi="宋体" w:eastAsia="宋体" w:cs="Times New Roman"/>
                <w:color w:val="auto"/>
              </w:rPr>
              <w:t>45.55621</w:t>
            </w:r>
          </w:p>
        </w:tc>
        <w:tc>
          <w:tcPr>
            <w:tcW w:w="1684" w:type="dxa"/>
            <w:vAlign w:val="center"/>
          </w:tcPr>
          <w:p w14:paraId="0D647735">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3#平台西南1200m</w:t>
            </w:r>
          </w:p>
        </w:tc>
        <w:tc>
          <w:tcPr>
            <w:tcW w:w="966" w:type="dxa"/>
            <w:vAlign w:val="center"/>
          </w:tcPr>
          <w:p w14:paraId="623DE0DA">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65</w:t>
            </w:r>
          </w:p>
        </w:tc>
        <w:tc>
          <w:tcPr>
            <w:tcW w:w="1155" w:type="dxa"/>
            <w:vAlign w:val="center"/>
          </w:tcPr>
          <w:p w14:paraId="7AE7F8AA">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区域下游</w:t>
            </w:r>
          </w:p>
        </w:tc>
        <w:tc>
          <w:tcPr>
            <w:tcW w:w="1137" w:type="dxa"/>
            <w:vAlign w:val="center"/>
          </w:tcPr>
          <w:p w14:paraId="303B7A0F">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4A695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7A28D1E6">
            <w:pPr>
              <w:snapToGrid w:val="0"/>
              <w:spacing w:line="360" w:lineRule="exact"/>
              <w:jc w:val="center"/>
              <w:rPr>
                <w:rFonts w:ascii="宋体" w:hAnsi="宋体" w:eastAsia="宋体" w:cs="Times New Roman"/>
                <w:color w:val="auto"/>
              </w:rPr>
            </w:pPr>
            <w:r>
              <w:rPr>
                <w:rFonts w:ascii="宋体" w:hAnsi="宋体" w:eastAsia="宋体" w:cs="Times New Roman"/>
                <w:color w:val="auto"/>
              </w:rPr>
              <w:t>D7</w:t>
            </w:r>
          </w:p>
        </w:tc>
        <w:tc>
          <w:tcPr>
            <w:tcW w:w="1338" w:type="dxa"/>
            <w:vAlign w:val="center"/>
          </w:tcPr>
          <w:p w14:paraId="0B0954E0">
            <w:pPr>
              <w:snapToGrid w:val="0"/>
              <w:spacing w:line="360" w:lineRule="exact"/>
              <w:jc w:val="center"/>
              <w:rPr>
                <w:rFonts w:ascii="宋体" w:hAnsi="宋体" w:eastAsia="宋体" w:cs="Times New Roman"/>
                <w:color w:val="auto"/>
              </w:rPr>
            </w:pPr>
            <w:r>
              <w:rPr>
                <w:rFonts w:ascii="宋体" w:hAnsi="宋体" w:eastAsia="宋体" w:cs="Times New Roman"/>
                <w:color w:val="auto"/>
              </w:rPr>
              <w:t>和平乡水井</w:t>
            </w:r>
          </w:p>
        </w:tc>
        <w:tc>
          <w:tcPr>
            <w:tcW w:w="830" w:type="dxa"/>
            <w:vAlign w:val="center"/>
          </w:tcPr>
          <w:p w14:paraId="0009D3A5">
            <w:pPr>
              <w:snapToGrid w:val="0"/>
              <w:spacing w:line="360" w:lineRule="exact"/>
              <w:jc w:val="center"/>
              <w:rPr>
                <w:rFonts w:ascii="宋体" w:hAnsi="宋体" w:eastAsia="宋体" w:cs="Times New Roman"/>
                <w:color w:val="auto"/>
              </w:rPr>
            </w:pPr>
            <w:r>
              <w:rPr>
                <w:rFonts w:ascii="宋体" w:hAnsi="宋体" w:eastAsia="宋体" w:cs="Times New Roman"/>
                <w:color w:val="auto"/>
              </w:rPr>
              <w:t>承压水</w:t>
            </w:r>
          </w:p>
        </w:tc>
        <w:tc>
          <w:tcPr>
            <w:tcW w:w="1247" w:type="dxa"/>
            <w:vAlign w:val="center"/>
          </w:tcPr>
          <w:p w14:paraId="1409123F">
            <w:pPr>
              <w:snapToGrid w:val="0"/>
              <w:spacing w:line="360" w:lineRule="exact"/>
              <w:jc w:val="center"/>
              <w:rPr>
                <w:rFonts w:ascii="宋体" w:hAnsi="宋体" w:eastAsia="宋体" w:cs="Times New Roman"/>
                <w:color w:val="auto"/>
              </w:rPr>
            </w:pPr>
            <w:r>
              <w:rPr>
                <w:rFonts w:ascii="宋体" w:hAnsi="宋体" w:eastAsia="宋体" w:cs="Times New Roman"/>
                <w:color w:val="auto"/>
              </w:rPr>
              <w:t>125.149899,45.558415</w:t>
            </w:r>
          </w:p>
        </w:tc>
        <w:tc>
          <w:tcPr>
            <w:tcW w:w="1684" w:type="dxa"/>
            <w:vAlign w:val="center"/>
          </w:tcPr>
          <w:p w14:paraId="3B0DC24C">
            <w:pPr>
              <w:snapToGrid w:val="0"/>
              <w:spacing w:line="360" w:lineRule="exact"/>
              <w:jc w:val="center"/>
              <w:rPr>
                <w:rFonts w:ascii="宋体" w:hAnsi="宋体" w:eastAsia="宋体" w:cs="Times New Roman"/>
                <w:color w:val="auto"/>
              </w:rPr>
            </w:pPr>
            <w:r>
              <w:rPr>
                <w:rFonts w:ascii="宋体" w:hAnsi="宋体" w:eastAsia="宋体" w:cs="Times New Roman"/>
                <w:color w:val="auto"/>
              </w:rPr>
              <w:t>源212-扶平3</w:t>
            </w:r>
            <w:r>
              <w:rPr>
                <w:rFonts w:hint="eastAsia" w:ascii="宋体" w:hAnsi="宋体" w:eastAsia="宋体" w:cs="Times New Roman"/>
                <w:color w:val="auto"/>
              </w:rPr>
              <w:t>西南1700m</w:t>
            </w:r>
          </w:p>
        </w:tc>
        <w:tc>
          <w:tcPr>
            <w:tcW w:w="966" w:type="dxa"/>
            <w:vAlign w:val="center"/>
          </w:tcPr>
          <w:p w14:paraId="19E3A2B7">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65</w:t>
            </w:r>
          </w:p>
        </w:tc>
        <w:tc>
          <w:tcPr>
            <w:tcW w:w="1155" w:type="dxa"/>
            <w:vAlign w:val="center"/>
          </w:tcPr>
          <w:p w14:paraId="4CE60439">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区域下游</w:t>
            </w:r>
          </w:p>
        </w:tc>
        <w:tc>
          <w:tcPr>
            <w:tcW w:w="1137" w:type="dxa"/>
            <w:vAlign w:val="center"/>
          </w:tcPr>
          <w:p w14:paraId="2F3CCBF6">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6EDEE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46B8712A">
            <w:pPr>
              <w:snapToGrid w:val="0"/>
              <w:spacing w:line="360" w:lineRule="exact"/>
              <w:jc w:val="center"/>
              <w:rPr>
                <w:rFonts w:ascii="宋体" w:hAnsi="宋体" w:eastAsia="宋体" w:cs="Times New Roman"/>
                <w:color w:val="auto"/>
              </w:rPr>
            </w:pPr>
            <w:r>
              <w:rPr>
                <w:rFonts w:ascii="宋体" w:hAnsi="宋体" w:eastAsia="宋体" w:cs="Times New Roman"/>
                <w:color w:val="auto"/>
              </w:rPr>
              <w:t>D8</w:t>
            </w:r>
          </w:p>
        </w:tc>
        <w:tc>
          <w:tcPr>
            <w:tcW w:w="1338" w:type="dxa"/>
            <w:vAlign w:val="center"/>
          </w:tcPr>
          <w:p w14:paraId="2CDA3445">
            <w:pPr>
              <w:snapToGrid w:val="0"/>
              <w:spacing w:line="360" w:lineRule="exact"/>
              <w:jc w:val="center"/>
              <w:rPr>
                <w:rFonts w:ascii="宋体" w:hAnsi="宋体" w:eastAsia="宋体" w:cs="Times New Roman"/>
                <w:color w:val="auto"/>
              </w:rPr>
            </w:pPr>
            <w:r>
              <w:rPr>
                <w:rFonts w:ascii="宋体" w:hAnsi="宋体" w:eastAsia="宋体" w:cs="Times New Roman"/>
                <w:color w:val="auto"/>
              </w:rPr>
              <w:t>工商家属房水井</w:t>
            </w:r>
          </w:p>
        </w:tc>
        <w:tc>
          <w:tcPr>
            <w:tcW w:w="830" w:type="dxa"/>
            <w:vAlign w:val="center"/>
          </w:tcPr>
          <w:p w14:paraId="4A141701">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7FC35654">
            <w:pPr>
              <w:snapToGrid w:val="0"/>
              <w:spacing w:line="360" w:lineRule="exact"/>
              <w:jc w:val="center"/>
              <w:rPr>
                <w:rFonts w:ascii="宋体" w:hAnsi="宋体" w:eastAsia="宋体" w:cs="Times New Roman"/>
                <w:color w:val="auto"/>
              </w:rPr>
            </w:pPr>
            <w:r>
              <w:rPr>
                <w:rFonts w:ascii="宋体" w:hAnsi="宋体" w:eastAsia="宋体" w:cs="Times New Roman"/>
                <w:color w:val="auto"/>
              </w:rPr>
              <w:t>125.05787</w:t>
            </w:r>
            <w:r>
              <w:rPr>
                <w:rFonts w:hint="eastAsia" w:ascii="宋体" w:hAnsi="宋体" w:eastAsia="宋体" w:cs="Times New Roman"/>
                <w:color w:val="auto"/>
              </w:rPr>
              <w:t>，</w:t>
            </w:r>
            <w:r>
              <w:rPr>
                <w:rFonts w:ascii="宋体" w:hAnsi="宋体" w:eastAsia="宋体" w:cs="Times New Roman"/>
                <w:color w:val="auto"/>
              </w:rPr>
              <w:t>45.52251</w:t>
            </w:r>
          </w:p>
        </w:tc>
        <w:tc>
          <w:tcPr>
            <w:tcW w:w="1684" w:type="dxa"/>
            <w:vAlign w:val="center"/>
          </w:tcPr>
          <w:p w14:paraId="03D3D3F9">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源1011东北1500m</w:t>
            </w:r>
          </w:p>
        </w:tc>
        <w:tc>
          <w:tcPr>
            <w:tcW w:w="966" w:type="dxa"/>
            <w:vAlign w:val="center"/>
          </w:tcPr>
          <w:p w14:paraId="7077A9E2">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15</w:t>
            </w:r>
          </w:p>
        </w:tc>
        <w:tc>
          <w:tcPr>
            <w:tcW w:w="1155" w:type="dxa"/>
            <w:vAlign w:val="center"/>
          </w:tcPr>
          <w:p w14:paraId="39BD264F">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w:t>
            </w:r>
            <w:r>
              <w:rPr>
                <w:rFonts w:ascii="宋体" w:hAnsi="宋体" w:eastAsia="宋体" w:cs="Times New Roman"/>
                <w:color w:val="auto"/>
              </w:rPr>
              <w:t>上游</w:t>
            </w:r>
          </w:p>
        </w:tc>
        <w:tc>
          <w:tcPr>
            <w:tcW w:w="1137" w:type="dxa"/>
            <w:vAlign w:val="center"/>
          </w:tcPr>
          <w:p w14:paraId="28736B0F">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53101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78613DA6">
            <w:pPr>
              <w:snapToGrid w:val="0"/>
              <w:spacing w:line="360" w:lineRule="exact"/>
              <w:jc w:val="center"/>
              <w:rPr>
                <w:rFonts w:ascii="宋体" w:hAnsi="宋体" w:eastAsia="宋体" w:cs="Times New Roman"/>
                <w:color w:val="auto"/>
              </w:rPr>
            </w:pPr>
            <w:r>
              <w:rPr>
                <w:rFonts w:ascii="宋体" w:hAnsi="宋体" w:eastAsia="宋体" w:cs="Times New Roman"/>
                <w:color w:val="auto"/>
              </w:rPr>
              <w:t>D9</w:t>
            </w:r>
          </w:p>
        </w:tc>
        <w:tc>
          <w:tcPr>
            <w:tcW w:w="1338" w:type="dxa"/>
            <w:vAlign w:val="center"/>
          </w:tcPr>
          <w:p w14:paraId="45870FA7">
            <w:pPr>
              <w:snapToGrid w:val="0"/>
              <w:spacing w:line="360" w:lineRule="exact"/>
              <w:jc w:val="center"/>
              <w:rPr>
                <w:rFonts w:ascii="宋体" w:hAnsi="宋体" w:eastAsia="宋体" w:cs="Times New Roman"/>
                <w:color w:val="auto"/>
              </w:rPr>
            </w:pPr>
            <w:r>
              <w:rPr>
                <w:rFonts w:ascii="宋体" w:hAnsi="宋体" w:eastAsia="宋体" w:cs="Times New Roman"/>
                <w:color w:val="auto"/>
              </w:rPr>
              <w:t>大姚屯水井</w:t>
            </w:r>
          </w:p>
        </w:tc>
        <w:tc>
          <w:tcPr>
            <w:tcW w:w="830" w:type="dxa"/>
            <w:vAlign w:val="center"/>
          </w:tcPr>
          <w:p w14:paraId="6970475E">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136EC8DA">
            <w:pPr>
              <w:snapToGrid w:val="0"/>
              <w:spacing w:line="360" w:lineRule="exact"/>
              <w:jc w:val="center"/>
              <w:rPr>
                <w:rFonts w:ascii="宋体" w:hAnsi="宋体" w:eastAsia="宋体" w:cs="Times New Roman"/>
                <w:color w:val="auto"/>
              </w:rPr>
            </w:pPr>
            <w:r>
              <w:rPr>
                <w:rFonts w:ascii="宋体" w:hAnsi="宋体" w:eastAsia="宋体" w:cs="Times New Roman"/>
                <w:color w:val="auto"/>
              </w:rPr>
              <w:t>125.05020</w:t>
            </w:r>
            <w:r>
              <w:rPr>
                <w:rFonts w:hint="eastAsia" w:ascii="宋体" w:hAnsi="宋体" w:eastAsia="宋体" w:cs="Times New Roman"/>
                <w:color w:val="auto"/>
              </w:rPr>
              <w:t>，</w:t>
            </w:r>
            <w:r>
              <w:rPr>
                <w:rFonts w:ascii="宋体" w:hAnsi="宋体" w:eastAsia="宋体" w:cs="Times New Roman"/>
                <w:color w:val="auto"/>
              </w:rPr>
              <w:t>45.51378</w:t>
            </w:r>
          </w:p>
        </w:tc>
        <w:tc>
          <w:tcPr>
            <w:tcW w:w="1684" w:type="dxa"/>
            <w:vAlign w:val="center"/>
          </w:tcPr>
          <w:p w14:paraId="1C1C15A9">
            <w:pPr>
              <w:snapToGrid w:val="0"/>
              <w:spacing w:line="360" w:lineRule="exact"/>
              <w:jc w:val="center"/>
              <w:rPr>
                <w:rFonts w:ascii="宋体" w:hAnsi="宋体" w:eastAsia="宋体" w:cs="Times New Roman"/>
                <w:color w:val="auto"/>
              </w:rPr>
            </w:pPr>
            <w:r>
              <w:rPr>
                <w:rFonts w:ascii="宋体" w:hAnsi="宋体" w:eastAsia="宋体" w:cs="Times New Roman"/>
                <w:color w:val="auto"/>
              </w:rPr>
              <w:t>源1011</w:t>
            </w:r>
            <w:r>
              <w:rPr>
                <w:rFonts w:hint="eastAsia" w:ascii="宋体" w:hAnsi="宋体" w:eastAsia="宋体" w:cs="Times New Roman"/>
                <w:color w:val="auto"/>
              </w:rPr>
              <w:t>东南400m</w:t>
            </w:r>
          </w:p>
        </w:tc>
        <w:tc>
          <w:tcPr>
            <w:tcW w:w="966" w:type="dxa"/>
            <w:vAlign w:val="center"/>
          </w:tcPr>
          <w:p w14:paraId="7C77AC4A">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13</w:t>
            </w:r>
          </w:p>
        </w:tc>
        <w:tc>
          <w:tcPr>
            <w:tcW w:w="1155" w:type="dxa"/>
            <w:vAlign w:val="center"/>
          </w:tcPr>
          <w:p w14:paraId="1619800E">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区域下游</w:t>
            </w:r>
          </w:p>
        </w:tc>
        <w:tc>
          <w:tcPr>
            <w:tcW w:w="1137" w:type="dxa"/>
            <w:vAlign w:val="center"/>
          </w:tcPr>
          <w:p w14:paraId="6B526596">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0A8F8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2B47216B">
            <w:pPr>
              <w:snapToGrid w:val="0"/>
              <w:spacing w:line="360" w:lineRule="exact"/>
              <w:jc w:val="center"/>
              <w:rPr>
                <w:rFonts w:ascii="宋体" w:hAnsi="宋体" w:eastAsia="宋体" w:cs="Times New Roman"/>
                <w:color w:val="auto"/>
              </w:rPr>
            </w:pPr>
            <w:r>
              <w:rPr>
                <w:rFonts w:ascii="宋体" w:hAnsi="宋体" w:eastAsia="宋体" w:cs="Times New Roman"/>
                <w:color w:val="auto"/>
              </w:rPr>
              <w:t>D10</w:t>
            </w:r>
          </w:p>
        </w:tc>
        <w:tc>
          <w:tcPr>
            <w:tcW w:w="1338" w:type="dxa"/>
            <w:vAlign w:val="center"/>
          </w:tcPr>
          <w:p w14:paraId="62D9DE23">
            <w:pPr>
              <w:snapToGrid w:val="0"/>
              <w:spacing w:line="360" w:lineRule="exact"/>
              <w:jc w:val="center"/>
              <w:rPr>
                <w:rFonts w:ascii="宋体" w:hAnsi="宋体" w:eastAsia="宋体" w:cs="Times New Roman"/>
                <w:color w:val="auto"/>
              </w:rPr>
            </w:pPr>
            <w:r>
              <w:rPr>
                <w:rFonts w:ascii="宋体" w:hAnsi="宋体" w:eastAsia="宋体" w:cs="Times New Roman"/>
                <w:color w:val="auto"/>
              </w:rPr>
              <w:t>黑岗子屯</w:t>
            </w:r>
          </w:p>
        </w:tc>
        <w:tc>
          <w:tcPr>
            <w:tcW w:w="830" w:type="dxa"/>
            <w:vAlign w:val="center"/>
          </w:tcPr>
          <w:p w14:paraId="5B2BBD81">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3811E112">
            <w:pPr>
              <w:snapToGrid w:val="0"/>
              <w:spacing w:line="360" w:lineRule="exact"/>
              <w:jc w:val="center"/>
              <w:rPr>
                <w:rFonts w:ascii="宋体" w:hAnsi="宋体" w:eastAsia="宋体" w:cs="Times New Roman"/>
                <w:color w:val="auto"/>
              </w:rPr>
            </w:pPr>
            <w:r>
              <w:rPr>
                <w:rFonts w:ascii="宋体" w:hAnsi="宋体" w:eastAsia="宋体" w:cs="Times New Roman"/>
                <w:color w:val="auto"/>
              </w:rPr>
              <w:t>125.02555</w:t>
            </w:r>
            <w:r>
              <w:rPr>
                <w:rFonts w:hint="eastAsia" w:ascii="宋体" w:hAnsi="宋体" w:eastAsia="宋体" w:cs="Times New Roman"/>
                <w:color w:val="auto"/>
              </w:rPr>
              <w:t>，</w:t>
            </w:r>
            <w:r>
              <w:rPr>
                <w:rFonts w:ascii="宋体" w:hAnsi="宋体" w:eastAsia="宋体" w:cs="Times New Roman"/>
                <w:color w:val="auto"/>
              </w:rPr>
              <w:t>45.51864</w:t>
            </w:r>
          </w:p>
        </w:tc>
        <w:tc>
          <w:tcPr>
            <w:tcW w:w="1684" w:type="dxa"/>
            <w:vAlign w:val="center"/>
          </w:tcPr>
          <w:p w14:paraId="20F435E6">
            <w:pPr>
              <w:snapToGrid w:val="0"/>
              <w:spacing w:line="360" w:lineRule="exact"/>
              <w:jc w:val="center"/>
              <w:rPr>
                <w:rFonts w:ascii="宋体" w:hAnsi="宋体" w:eastAsia="宋体" w:cs="Times New Roman"/>
                <w:color w:val="auto"/>
              </w:rPr>
            </w:pPr>
            <w:r>
              <w:rPr>
                <w:rFonts w:ascii="宋体" w:hAnsi="宋体" w:eastAsia="宋体" w:cs="Times New Roman"/>
                <w:color w:val="auto"/>
              </w:rPr>
              <w:t>源1011</w:t>
            </w:r>
            <w:r>
              <w:rPr>
                <w:rFonts w:hint="eastAsia" w:ascii="宋体" w:hAnsi="宋体" w:eastAsia="宋体" w:cs="Times New Roman"/>
                <w:color w:val="auto"/>
              </w:rPr>
              <w:t>西北1700m</w:t>
            </w:r>
          </w:p>
        </w:tc>
        <w:tc>
          <w:tcPr>
            <w:tcW w:w="966" w:type="dxa"/>
            <w:vAlign w:val="center"/>
          </w:tcPr>
          <w:p w14:paraId="53C48189">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18</w:t>
            </w:r>
          </w:p>
        </w:tc>
        <w:tc>
          <w:tcPr>
            <w:tcW w:w="1155" w:type="dxa"/>
            <w:vAlign w:val="center"/>
          </w:tcPr>
          <w:p w14:paraId="34AA3B76">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区域侧向</w:t>
            </w:r>
          </w:p>
        </w:tc>
        <w:tc>
          <w:tcPr>
            <w:tcW w:w="1137" w:type="dxa"/>
            <w:vAlign w:val="center"/>
          </w:tcPr>
          <w:p w14:paraId="01B7FDC8">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3BC63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3E792C22">
            <w:pPr>
              <w:snapToGrid w:val="0"/>
              <w:spacing w:line="360" w:lineRule="exact"/>
              <w:jc w:val="center"/>
              <w:rPr>
                <w:rFonts w:ascii="宋体" w:hAnsi="宋体" w:eastAsia="宋体" w:cs="Times New Roman"/>
                <w:color w:val="auto"/>
              </w:rPr>
            </w:pPr>
            <w:r>
              <w:rPr>
                <w:rFonts w:ascii="宋体" w:hAnsi="宋体" w:eastAsia="宋体" w:cs="Times New Roman"/>
                <w:color w:val="auto"/>
              </w:rPr>
              <w:t>D11</w:t>
            </w:r>
          </w:p>
        </w:tc>
        <w:tc>
          <w:tcPr>
            <w:tcW w:w="1338" w:type="dxa"/>
            <w:vAlign w:val="center"/>
          </w:tcPr>
          <w:p w14:paraId="499EF18D">
            <w:pPr>
              <w:snapToGrid w:val="0"/>
              <w:spacing w:line="360" w:lineRule="exact"/>
              <w:jc w:val="center"/>
              <w:rPr>
                <w:rFonts w:ascii="宋体" w:hAnsi="宋体" w:eastAsia="宋体" w:cs="Times New Roman"/>
                <w:color w:val="auto"/>
              </w:rPr>
            </w:pPr>
            <w:r>
              <w:rPr>
                <w:rFonts w:ascii="宋体" w:hAnsi="宋体" w:eastAsia="宋体" w:cs="Times New Roman"/>
                <w:color w:val="auto"/>
              </w:rPr>
              <w:t>刘兽医屯</w:t>
            </w:r>
          </w:p>
        </w:tc>
        <w:tc>
          <w:tcPr>
            <w:tcW w:w="830" w:type="dxa"/>
            <w:vAlign w:val="center"/>
          </w:tcPr>
          <w:p w14:paraId="71A59DA3">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799D7A3C">
            <w:pPr>
              <w:snapToGrid w:val="0"/>
              <w:spacing w:line="360" w:lineRule="exact"/>
              <w:jc w:val="center"/>
              <w:rPr>
                <w:rFonts w:ascii="宋体" w:hAnsi="宋体" w:eastAsia="宋体" w:cs="Times New Roman"/>
                <w:color w:val="auto"/>
              </w:rPr>
            </w:pPr>
            <w:r>
              <w:rPr>
                <w:rFonts w:ascii="宋体" w:hAnsi="宋体" w:eastAsia="宋体" w:cs="Times New Roman"/>
                <w:color w:val="auto"/>
              </w:rPr>
              <w:t>125.04188</w:t>
            </w:r>
            <w:r>
              <w:rPr>
                <w:rFonts w:hint="eastAsia" w:ascii="宋体" w:hAnsi="宋体" w:eastAsia="宋体" w:cs="Times New Roman"/>
                <w:color w:val="auto"/>
              </w:rPr>
              <w:t>，</w:t>
            </w:r>
            <w:r>
              <w:rPr>
                <w:rFonts w:ascii="宋体" w:hAnsi="宋体" w:eastAsia="宋体" w:cs="Times New Roman"/>
                <w:color w:val="auto"/>
              </w:rPr>
              <w:t>45.51051</w:t>
            </w:r>
          </w:p>
        </w:tc>
        <w:tc>
          <w:tcPr>
            <w:tcW w:w="1684" w:type="dxa"/>
            <w:vAlign w:val="center"/>
          </w:tcPr>
          <w:p w14:paraId="29675219">
            <w:pPr>
              <w:snapToGrid w:val="0"/>
              <w:spacing w:line="360" w:lineRule="exact"/>
              <w:jc w:val="center"/>
              <w:rPr>
                <w:rFonts w:ascii="宋体" w:hAnsi="宋体" w:eastAsia="宋体" w:cs="Times New Roman"/>
                <w:color w:val="auto"/>
              </w:rPr>
            </w:pPr>
            <w:r>
              <w:rPr>
                <w:rFonts w:ascii="宋体" w:hAnsi="宋体" w:eastAsia="宋体" w:cs="Times New Roman"/>
                <w:color w:val="auto"/>
              </w:rPr>
              <w:t>源1011</w:t>
            </w:r>
            <w:r>
              <w:rPr>
                <w:rFonts w:hint="eastAsia" w:ascii="宋体" w:hAnsi="宋体" w:eastAsia="宋体" w:cs="Times New Roman"/>
                <w:color w:val="auto"/>
              </w:rPr>
              <w:t>西南350m</w:t>
            </w:r>
          </w:p>
        </w:tc>
        <w:tc>
          <w:tcPr>
            <w:tcW w:w="966" w:type="dxa"/>
            <w:vAlign w:val="center"/>
          </w:tcPr>
          <w:p w14:paraId="7BC55E1F">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20</w:t>
            </w:r>
          </w:p>
        </w:tc>
        <w:tc>
          <w:tcPr>
            <w:tcW w:w="1155" w:type="dxa"/>
            <w:vAlign w:val="center"/>
          </w:tcPr>
          <w:p w14:paraId="5DB8D1AE">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区域下游</w:t>
            </w:r>
          </w:p>
        </w:tc>
        <w:tc>
          <w:tcPr>
            <w:tcW w:w="1137" w:type="dxa"/>
            <w:vAlign w:val="center"/>
          </w:tcPr>
          <w:p w14:paraId="1650FB52">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518C5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3F1E0189">
            <w:pPr>
              <w:snapToGrid w:val="0"/>
              <w:spacing w:line="360" w:lineRule="exact"/>
              <w:jc w:val="center"/>
              <w:rPr>
                <w:rFonts w:ascii="宋体" w:hAnsi="宋体" w:eastAsia="宋体" w:cs="Times New Roman"/>
                <w:color w:val="auto"/>
              </w:rPr>
            </w:pPr>
            <w:r>
              <w:rPr>
                <w:rFonts w:ascii="宋体" w:hAnsi="宋体" w:eastAsia="宋体" w:cs="Times New Roman"/>
                <w:color w:val="auto"/>
              </w:rPr>
              <w:t>D12</w:t>
            </w:r>
          </w:p>
        </w:tc>
        <w:tc>
          <w:tcPr>
            <w:tcW w:w="1338" w:type="dxa"/>
            <w:vAlign w:val="center"/>
          </w:tcPr>
          <w:p w14:paraId="7D2DBFE1">
            <w:pPr>
              <w:snapToGrid w:val="0"/>
              <w:spacing w:line="360" w:lineRule="exact"/>
              <w:jc w:val="center"/>
              <w:rPr>
                <w:rFonts w:ascii="宋体" w:hAnsi="宋体" w:eastAsia="宋体" w:cs="Times New Roman"/>
                <w:color w:val="auto"/>
              </w:rPr>
            </w:pPr>
            <w:r>
              <w:rPr>
                <w:rFonts w:ascii="宋体" w:hAnsi="宋体" w:eastAsia="宋体" w:cs="Times New Roman"/>
                <w:color w:val="auto"/>
              </w:rPr>
              <w:t>友谊村</w:t>
            </w:r>
          </w:p>
        </w:tc>
        <w:tc>
          <w:tcPr>
            <w:tcW w:w="830" w:type="dxa"/>
            <w:vAlign w:val="center"/>
          </w:tcPr>
          <w:p w14:paraId="5F271625">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79896992">
            <w:pPr>
              <w:snapToGrid w:val="0"/>
              <w:spacing w:line="360" w:lineRule="exact"/>
              <w:jc w:val="center"/>
              <w:rPr>
                <w:rFonts w:ascii="宋体" w:hAnsi="宋体" w:eastAsia="宋体" w:cs="Times New Roman"/>
                <w:color w:val="auto"/>
              </w:rPr>
            </w:pPr>
            <w:r>
              <w:rPr>
                <w:rFonts w:ascii="宋体" w:hAnsi="宋体" w:eastAsia="宋体" w:cs="Times New Roman"/>
                <w:color w:val="auto"/>
              </w:rPr>
              <w:t>125.03857</w:t>
            </w:r>
            <w:r>
              <w:rPr>
                <w:rFonts w:hint="eastAsia" w:ascii="宋体" w:hAnsi="宋体" w:eastAsia="宋体" w:cs="Times New Roman"/>
                <w:color w:val="auto"/>
              </w:rPr>
              <w:t>，</w:t>
            </w:r>
            <w:r>
              <w:rPr>
                <w:rFonts w:ascii="宋体" w:hAnsi="宋体" w:eastAsia="宋体" w:cs="Times New Roman"/>
                <w:color w:val="auto"/>
              </w:rPr>
              <w:t>45.50629</w:t>
            </w:r>
          </w:p>
        </w:tc>
        <w:tc>
          <w:tcPr>
            <w:tcW w:w="1684" w:type="dxa"/>
            <w:vAlign w:val="center"/>
          </w:tcPr>
          <w:p w14:paraId="27A407F7">
            <w:pPr>
              <w:snapToGrid w:val="0"/>
              <w:spacing w:line="360" w:lineRule="exact"/>
              <w:jc w:val="center"/>
              <w:rPr>
                <w:rFonts w:ascii="宋体" w:hAnsi="宋体" w:eastAsia="宋体" w:cs="Times New Roman"/>
                <w:color w:val="auto"/>
              </w:rPr>
            </w:pPr>
            <w:r>
              <w:rPr>
                <w:rFonts w:ascii="宋体" w:hAnsi="宋体" w:eastAsia="宋体" w:cs="Times New Roman"/>
                <w:color w:val="auto"/>
              </w:rPr>
              <w:t>源1011</w:t>
            </w:r>
            <w:r>
              <w:rPr>
                <w:rFonts w:hint="eastAsia" w:ascii="宋体" w:hAnsi="宋体" w:eastAsia="宋体" w:cs="Times New Roman"/>
                <w:color w:val="auto"/>
              </w:rPr>
              <w:t>西南850m</w:t>
            </w:r>
          </w:p>
        </w:tc>
        <w:tc>
          <w:tcPr>
            <w:tcW w:w="966" w:type="dxa"/>
            <w:vAlign w:val="center"/>
          </w:tcPr>
          <w:p w14:paraId="5AD2675F">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11</w:t>
            </w:r>
          </w:p>
        </w:tc>
        <w:tc>
          <w:tcPr>
            <w:tcW w:w="1155" w:type="dxa"/>
            <w:vAlign w:val="center"/>
          </w:tcPr>
          <w:p w14:paraId="54D47CC7">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区域下游</w:t>
            </w:r>
          </w:p>
        </w:tc>
        <w:tc>
          <w:tcPr>
            <w:tcW w:w="1137" w:type="dxa"/>
            <w:vAlign w:val="center"/>
          </w:tcPr>
          <w:p w14:paraId="76C3D341">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6B7DF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0F60F5FE">
            <w:pPr>
              <w:snapToGrid w:val="0"/>
              <w:spacing w:line="360" w:lineRule="exact"/>
              <w:jc w:val="center"/>
              <w:rPr>
                <w:rFonts w:ascii="宋体" w:hAnsi="宋体" w:eastAsia="宋体" w:cs="Times New Roman"/>
                <w:color w:val="auto"/>
              </w:rPr>
            </w:pPr>
            <w:r>
              <w:rPr>
                <w:rFonts w:ascii="宋体" w:hAnsi="宋体" w:eastAsia="宋体" w:cs="Times New Roman"/>
                <w:color w:val="auto"/>
              </w:rPr>
              <w:t>D13</w:t>
            </w:r>
          </w:p>
        </w:tc>
        <w:tc>
          <w:tcPr>
            <w:tcW w:w="1338" w:type="dxa"/>
            <w:vAlign w:val="center"/>
          </w:tcPr>
          <w:p w14:paraId="15C9CDAB">
            <w:pPr>
              <w:snapToGrid w:val="0"/>
              <w:spacing w:line="360" w:lineRule="exact"/>
              <w:jc w:val="center"/>
              <w:rPr>
                <w:rFonts w:ascii="宋体" w:hAnsi="宋体" w:eastAsia="宋体" w:cs="Times New Roman"/>
                <w:color w:val="auto"/>
              </w:rPr>
            </w:pPr>
            <w:r>
              <w:rPr>
                <w:rFonts w:ascii="宋体" w:hAnsi="宋体" w:eastAsia="宋体" w:cs="Times New Roman"/>
                <w:color w:val="auto"/>
              </w:rPr>
              <w:t>友谊村</w:t>
            </w:r>
          </w:p>
        </w:tc>
        <w:tc>
          <w:tcPr>
            <w:tcW w:w="830" w:type="dxa"/>
            <w:vAlign w:val="center"/>
          </w:tcPr>
          <w:p w14:paraId="79E3DC07">
            <w:pPr>
              <w:snapToGrid w:val="0"/>
              <w:spacing w:line="360" w:lineRule="exact"/>
              <w:jc w:val="center"/>
              <w:rPr>
                <w:rFonts w:ascii="宋体" w:hAnsi="宋体" w:eastAsia="宋体" w:cs="Times New Roman"/>
                <w:color w:val="auto"/>
              </w:rPr>
            </w:pPr>
            <w:r>
              <w:rPr>
                <w:rFonts w:ascii="宋体" w:hAnsi="宋体" w:eastAsia="宋体" w:cs="Times New Roman"/>
                <w:color w:val="auto"/>
              </w:rPr>
              <w:t>承压水</w:t>
            </w:r>
          </w:p>
        </w:tc>
        <w:tc>
          <w:tcPr>
            <w:tcW w:w="1247" w:type="dxa"/>
            <w:vAlign w:val="center"/>
          </w:tcPr>
          <w:p w14:paraId="357D009D">
            <w:pPr>
              <w:snapToGrid w:val="0"/>
              <w:spacing w:line="360" w:lineRule="exact"/>
              <w:jc w:val="center"/>
              <w:rPr>
                <w:rFonts w:ascii="宋体" w:hAnsi="宋体" w:eastAsia="宋体" w:cs="Times New Roman"/>
                <w:color w:val="auto"/>
              </w:rPr>
            </w:pPr>
            <w:r>
              <w:rPr>
                <w:rFonts w:ascii="宋体" w:hAnsi="宋体" w:eastAsia="宋体" w:cs="Times New Roman"/>
                <w:color w:val="auto"/>
              </w:rPr>
              <w:t>125.04220</w:t>
            </w:r>
            <w:r>
              <w:rPr>
                <w:rFonts w:hint="eastAsia" w:ascii="宋体" w:hAnsi="宋体" w:eastAsia="宋体" w:cs="Times New Roman"/>
                <w:color w:val="auto"/>
              </w:rPr>
              <w:t>，</w:t>
            </w:r>
            <w:r>
              <w:rPr>
                <w:rFonts w:ascii="宋体" w:hAnsi="宋体" w:eastAsia="宋体" w:cs="Times New Roman"/>
                <w:color w:val="auto"/>
              </w:rPr>
              <w:t>45.50684</w:t>
            </w:r>
          </w:p>
        </w:tc>
        <w:tc>
          <w:tcPr>
            <w:tcW w:w="1684" w:type="dxa"/>
            <w:vAlign w:val="center"/>
          </w:tcPr>
          <w:p w14:paraId="178D5B7B">
            <w:pPr>
              <w:snapToGrid w:val="0"/>
              <w:spacing w:line="360" w:lineRule="exact"/>
              <w:jc w:val="center"/>
              <w:rPr>
                <w:rFonts w:ascii="宋体" w:hAnsi="宋体" w:eastAsia="宋体" w:cs="Times New Roman"/>
                <w:color w:val="auto"/>
              </w:rPr>
            </w:pPr>
            <w:r>
              <w:rPr>
                <w:rFonts w:ascii="宋体" w:hAnsi="宋体" w:eastAsia="宋体" w:cs="Times New Roman"/>
                <w:color w:val="auto"/>
              </w:rPr>
              <w:t>源1011</w:t>
            </w:r>
            <w:r>
              <w:rPr>
                <w:rFonts w:hint="eastAsia" w:ascii="宋体" w:hAnsi="宋体" w:eastAsia="宋体" w:cs="Times New Roman"/>
                <w:color w:val="auto"/>
              </w:rPr>
              <w:t>西南650m</w:t>
            </w:r>
          </w:p>
        </w:tc>
        <w:tc>
          <w:tcPr>
            <w:tcW w:w="966" w:type="dxa"/>
            <w:vAlign w:val="center"/>
          </w:tcPr>
          <w:p w14:paraId="24FB4C5C">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65</w:t>
            </w:r>
          </w:p>
        </w:tc>
        <w:tc>
          <w:tcPr>
            <w:tcW w:w="1155" w:type="dxa"/>
            <w:vAlign w:val="center"/>
          </w:tcPr>
          <w:p w14:paraId="57AD349F">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区域下游</w:t>
            </w:r>
          </w:p>
        </w:tc>
        <w:tc>
          <w:tcPr>
            <w:tcW w:w="1137" w:type="dxa"/>
            <w:vAlign w:val="center"/>
          </w:tcPr>
          <w:p w14:paraId="2AC89161">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75117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59E0531D">
            <w:pPr>
              <w:snapToGrid w:val="0"/>
              <w:spacing w:line="360" w:lineRule="exact"/>
              <w:jc w:val="center"/>
              <w:rPr>
                <w:rFonts w:ascii="宋体" w:hAnsi="宋体" w:eastAsia="宋体" w:cs="Times New Roman"/>
                <w:color w:val="auto"/>
              </w:rPr>
            </w:pPr>
            <w:r>
              <w:rPr>
                <w:rFonts w:ascii="宋体" w:hAnsi="宋体" w:eastAsia="宋体" w:cs="Times New Roman"/>
                <w:color w:val="auto"/>
              </w:rPr>
              <w:t>D14</w:t>
            </w:r>
          </w:p>
        </w:tc>
        <w:tc>
          <w:tcPr>
            <w:tcW w:w="1338" w:type="dxa"/>
            <w:vAlign w:val="center"/>
          </w:tcPr>
          <w:p w14:paraId="0DE17327">
            <w:pPr>
              <w:snapToGrid w:val="0"/>
              <w:spacing w:line="360" w:lineRule="exact"/>
              <w:jc w:val="center"/>
              <w:rPr>
                <w:rFonts w:ascii="宋体" w:hAnsi="宋体" w:eastAsia="宋体" w:cs="Times New Roman"/>
                <w:color w:val="auto"/>
              </w:rPr>
            </w:pPr>
            <w:r>
              <w:rPr>
                <w:rFonts w:ascii="宋体" w:hAnsi="宋体" w:eastAsia="宋体" w:cs="Times New Roman"/>
                <w:color w:val="auto"/>
              </w:rPr>
              <w:t>协力屯</w:t>
            </w:r>
          </w:p>
        </w:tc>
        <w:tc>
          <w:tcPr>
            <w:tcW w:w="830" w:type="dxa"/>
            <w:vAlign w:val="center"/>
          </w:tcPr>
          <w:p w14:paraId="1D0B5D10">
            <w:pPr>
              <w:snapToGrid w:val="0"/>
              <w:spacing w:line="360" w:lineRule="exact"/>
              <w:jc w:val="center"/>
              <w:rPr>
                <w:rFonts w:ascii="宋体" w:hAnsi="宋体" w:eastAsia="宋体" w:cs="Times New Roman"/>
                <w:color w:val="auto"/>
              </w:rPr>
            </w:pPr>
            <w:r>
              <w:rPr>
                <w:rFonts w:ascii="宋体" w:hAnsi="宋体" w:eastAsia="宋体" w:cs="Times New Roman"/>
                <w:color w:val="auto"/>
              </w:rPr>
              <w:t>承压水</w:t>
            </w:r>
          </w:p>
        </w:tc>
        <w:tc>
          <w:tcPr>
            <w:tcW w:w="1247" w:type="dxa"/>
            <w:vAlign w:val="center"/>
          </w:tcPr>
          <w:p w14:paraId="57FDE3A3">
            <w:pPr>
              <w:snapToGrid w:val="0"/>
              <w:spacing w:line="360" w:lineRule="exact"/>
              <w:jc w:val="center"/>
              <w:rPr>
                <w:rFonts w:ascii="宋体" w:hAnsi="宋体" w:eastAsia="宋体" w:cs="Times New Roman"/>
                <w:color w:val="auto"/>
              </w:rPr>
            </w:pPr>
            <w:r>
              <w:rPr>
                <w:rFonts w:ascii="宋体" w:hAnsi="宋体" w:eastAsia="宋体" w:cs="Times New Roman"/>
                <w:color w:val="auto"/>
              </w:rPr>
              <w:t>125.03453</w:t>
            </w:r>
            <w:r>
              <w:rPr>
                <w:rFonts w:hint="eastAsia" w:ascii="宋体" w:hAnsi="宋体" w:eastAsia="宋体" w:cs="Times New Roman"/>
                <w:color w:val="auto"/>
              </w:rPr>
              <w:t>，</w:t>
            </w:r>
            <w:r>
              <w:rPr>
                <w:rFonts w:ascii="宋体" w:hAnsi="宋体" w:eastAsia="宋体" w:cs="Times New Roman"/>
                <w:color w:val="auto"/>
              </w:rPr>
              <w:t>45.50788</w:t>
            </w:r>
          </w:p>
        </w:tc>
        <w:tc>
          <w:tcPr>
            <w:tcW w:w="1684" w:type="dxa"/>
            <w:vAlign w:val="center"/>
          </w:tcPr>
          <w:p w14:paraId="4212C03A">
            <w:pPr>
              <w:snapToGrid w:val="0"/>
              <w:spacing w:line="360" w:lineRule="exact"/>
              <w:jc w:val="center"/>
              <w:rPr>
                <w:rFonts w:ascii="宋体" w:hAnsi="宋体" w:eastAsia="宋体" w:cs="Times New Roman"/>
                <w:color w:val="auto"/>
              </w:rPr>
            </w:pPr>
            <w:r>
              <w:rPr>
                <w:rFonts w:ascii="宋体" w:hAnsi="宋体" w:eastAsia="宋体" w:cs="Times New Roman"/>
                <w:color w:val="auto"/>
              </w:rPr>
              <w:t>源1011</w:t>
            </w:r>
            <w:r>
              <w:rPr>
                <w:rFonts w:hint="eastAsia" w:ascii="宋体" w:hAnsi="宋体" w:eastAsia="宋体" w:cs="Times New Roman"/>
                <w:color w:val="auto"/>
              </w:rPr>
              <w:t>西南900m</w:t>
            </w:r>
          </w:p>
        </w:tc>
        <w:tc>
          <w:tcPr>
            <w:tcW w:w="966" w:type="dxa"/>
            <w:vAlign w:val="center"/>
          </w:tcPr>
          <w:p w14:paraId="64654D01">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65</w:t>
            </w:r>
          </w:p>
        </w:tc>
        <w:tc>
          <w:tcPr>
            <w:tcW w:w="1155" w:type="dxa"/>
            <w:vAlign w:val="center"/>
          </w:tcPr>
          <w:p w14:paraId="1D481AB3">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区域下游</w:t>
            </w:r>
          </w:p>
        </w:tc>
        <w:tc>
          <w:tcPr>
            <w:tcW w:w="1137" w:type="dxa"/>
            <w:vAlign w:val="center"/>
          </w:tcPr>
          <w:p w14:paraId="7234F7C0">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712C4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3B61C441">
            <w:pPr>
              <w:snapToGrid w:val="0"/>
              <w:spacing w:line="360" w:lineRule="exact"/>
              <w:jc w:val="center"/>
              <w:rPr>
                <w:rFonts w:ascii="宋体" w:hAnsi="宋体" w:eastAsia="宋体" w:cs="Times New Roman"/>
                <w:color w:val="auto"/>
              </w:rPr>
            </w:pPr>
            <w:r>
              <w:rPr>
                <w:rFonts w:ascii="宋体" w:hAnsi="宋体" w:eastAsia="宋体" w:cs="Times New Roman"/>
                <w:color w:val="auto"/>
              </w:rPr>
              <w:t>D15</w:t>
            </w:r>
          </w:p>
        </w:tc>
        <w:tc>
          <w:tcPr>
            <w:tcW w:w="1338" w:type="dxa"/>
            <w:vAlign w:val="center"/>
          </w:tcPr>
          <w:p w14:paraId="30B2BC2B">
            <w:pPr>
              <w:snapToGrid w:val="0"/>
              <w:spacing w:line="360" w:lineRule="exact"/>
              <w:jc w:val="center"/>
              <w:rPr>
                <w:rFonts w:ascii="宋体" w:hAnsi="宋体" w:eastAsia="宋体" w:cs="Times New Roman"/>
                <w:color w:val="auto"/>
              </w:rPr>
            </w:pPr>
            <w:r>
              <w:rPr>
                <w:rFonts w:ascii="宋体" w:hAnsi="宋体" w:eastAsia="宋体" w:cs="Times New Roman"/>
                <w:color w:val="auto"/>
              </w:rPr>
              <w:t>蒙古屯</w:t>
            </w:r>
          </w:p>
        </w:tc>
        <w:tc>
          <w:tcPr>
            <w:tcW w:w="830" w:type="dxa"/>
            <w:vAlign w:val="center"/>
          </w:tcPr>
          <w:p w14:paraId="53E98D32">
            <w:pPr>
              <w:snapToGrid w:val="0"/>
              <w:spacing w:line="360" w:lineRule="exact"/>
              <w:jc w:val="center"/>
              <w:rPr>
                <w:rFonts w:ascii="宋体" w:hAnsi="宋体" w:eastAsia="宋体" w:cs="Times New Roman"/>
                <w:color w:val="auto"/>
              </w:rPr>
            </w:pPr>
            <w:r>
              <w:rPr>
                <w:rFonts w:ascii="宋体" w:hAnsi="宋体" w:eastAsia="宋体" w:cs="Times New Roman"/>
                <w:color w:val="auto"/>
              </w:rPr>
              <w:t>潜水</w:t>
            </w:r>
          </w:p>
        </w:tc>
        <w:tc>
          <w:tcPr>
            <w:tcW w:w="1247" w:type="dxa"/>
            <w:vAlign w:val="center"/>
          </w:tcPr>
          <w:p w14:paraId="41DA8D42">
            <w:pPr>
              <w:snapToGrid w:val="0"/>
              <w:spacing w:line="360" w:lineRule="exact"/>
              <w:jc w:val="center"/>
              <w:rPr>
                <w:rFonts w:ascii="宋体" w:hAnsi="宋体" w:eastAsia="宋体" w:cs="Times New Roman"/>
                <w:color w:val="auto"/>
              </w:rPr>
            </w:pPr>
            <w:r>
              <w:rPr>
                <w:rFonts w:ascii="宋体" w:hAnsi="宋体" w:eastAsia="宋体" w:cs="Times New Roman"/>
                <w:color w:val="auto"/>
              </w:rPr>
              <w:t>125.16948</w:t>
            </w:r>
            <w:r>
              <w:rPr>
                <w:rFonts w:hint="eastAsia" w:ascii="宋体" w:hAnsi="宋体" w:eastAsia="宋体" w:cs="Times New Roman"/>
                <w:color w:val="auto"/>
              </w:rPr>
              <w:t>，</w:t>
            </w:r>
            <w:r>
              <w:rPr>
                <w:rFonts w:ascii="宋体" w:hAnsi="宋体" w:eastAsia="宋体" w:cs="Times New Roman"/>
                <w:color w:val="auto"/>
              </w:rPr>
              <w:t>45.54227</w:t>
            </w:r>
          </w:p>
        </w:tc>
        <w:tc>
          <w:tcPr>
            <w:tcW w:w="1684" w:type="dxa"/>
            <w:vAlign w:val="center"/>
          </w:tcPr>
          <w:p w14:paraId="7869EB80">
            <w:pPr>
              <w:snapToGrid w:val="0"/>
              <w:spacing w:line="360" w:lineRule="exact"/>
              <w:jc w:val="center"/>
              <w:rPr>
                <w:rFonts w:ascii="宋体" w:hAnsi="宋体" w:eastAsia="宋体" w:cs="Times New Roman"/>
                <w:color w:val="auto"/>
              </w:rPr>
            </w:pPr>
            <w:r>
              <w:rPr>
                <w:rFonts w:ascii="宋体" w:hAnsi="宋体" w:eastAsia="宋体" w:cs="Times New Roman"/>
                <w:color w:val="auto"/>
              </w:rPr>
              <w:t>源斜2401</w:t>
            </w:r>
            <w:r>
              <w:rPr>
                <w:rFonts w:hint="eastAsia" w:ascii="宋体" w:hAnsi="宋体" w:eastAsia="宋体" w:cs="Times New Roman"/>
                <w:color w:val="auto"/>
              </w:rPr>
              <w:t>东北4200m</w:t>
            </w:r>
          </w:p>
        </w:tc>
        <w:tc>
          <w:tcPr>
            <w:tcW w:w="966" w:type="dxa"/>
            <w:vAlign w:val="center"/>
          </w:tcPr>
          <w:p w14:paraId="127C7521">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15</w:t>
            </w:r>
          </w:p>
        </w:tc>
        <w:tc>
          <w:tcPr>
            <w:tcW w:w="1155" w:type="dxa"/>
            <w:vAlign w:val="center"/>
          </w:tcPr>
          <w:p w14:paraId="4BA62E8E">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w:t>
            </w:r>
            <w:r>
              <w:rPr>
                <w:rFonts w:ascii="宋体" w:hAnsi="宋体" w:eastAsia="宋体" w:cs="Times New Roman"/>
                <w:color w:val="auto"/>
              </w:rPr>
              <w:t>上游</w:t>
            </w:r>
          </w:p>
        </w:tc>
        <w:tc>
          <w:tcPr>
            <w:tcW w:w="1137" w:type="dxa"/>
            <w:vAlign w:val="center"/>
          </w:tcPr>
          <w:p w14:paraId="4154E6EF">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牲畜饮用、</w:t>
            </w:r>
            <w:r>
              <w:rPr>
                <w:rFonts w:ascii="宋体" w:hAnsi="宋体" w:eastAsia="宋体" w:cs="Times New Roman"/>
                <w:color w:val="auto"/>
              </w:rPr>
              <w:t>灌溉</w:t>
            </w:r>
          </w:p>
        </w:tc>
      </w:tr>
      <w:tr w14:paraId="37291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4" w:type="dxa"/>
            <w:vAlign w:val="center"/>
          </w:tcPr>
          <w:p w14:paraId="4ABFC9D3">
            <w:pPr>
              <w:snapToGrid w:val="0"/>
              <w:spacing w:line="360" w:lineRule="exact"/>
              <w:jc w:val="center"/>
              <w:rPr>
                <w:rFonts w:ascii="宋体" w:hAnsi="宋体" w:eastAsia="宋体" w:cs="Times New Roman"/>
                <w:color w:val="auto"/>
              </w:rPr>
            </w:pPr>
            <w:r>
              <w:rPr>
                <w:rFonts w:ascii="宋体" w:hAnsi="宋体" w:eastAsia="宋体" w:cs="Times New Roman"/>
                <w:color w:val="auto"/>
              </w:rPr>
              <w:t>D16</w:t>
            </w:r>
          </w:p>
        </w:tc>
        <w:tc>
          <w:tcPr>
            <w:tcW w:w="1338" w:type="dxa"/>
            <w:vAlign w:val="center"/>
          </w:tcPr>
          <w:p w14:paraId="3AAE72B4">
            <w:pPr>
              <w:snapToGrid w:val="0"/>
              <w:spacing w:line="360" w:lineRule="exact"/>
              <w:jc w:val="center"/>
              <w:rPr>
                <w:rFonts w:ascii="宋体" w:hAnsi="宋体" w:eastAsia="宋体" w:cs="Times New Roman"/>
                <w:color w:val="auto"/>
              </w:rPr>
            </w:pPr>
            <w:r>
              <w:rPr>
                <w:rFonts w:ascii="宋体" w:hAnsi="宋体" w:eastAsia="宋体" w:cs="Times New Roman"/>
                <w:color w:val="auto"/>
              </w:rPr>
              <w:t>四方山屯</w:t>
            </w:r>
          </w:p>
        </w:tc>
        <w:tc>
          <w:tcPr>
            <w:tcW w:w="830" w:type="dxa"/>
            <w:vAlign w:val="center"/>
          </w:tcPr>
          <w:p w14:paraId="51732F11">
            <w:pPr>
              <w:snapToGrid w:val="0"/>
              <w:spacing w:line="360" w:lineRule="exact"/>
              <w:jc w:val="center"/>
              <w:rPr>
                <w:rFonts w:ascii="宋体" w:hAnsi="宋体" w:eastAsia="宋体" w:cs="Times New Roman"/>
                <w:color w:val="auto"/>
              </w:rPr>
            </w:pPr>
            <w:r>
              <w:rPr>
                <w:rFonts w:ascii="宋体" w:hAnsi="宋体" w:eastAsia="宋体" w:cs="Times New Roman"/>
                <w:color w:val="auto"/>
              </w:rPr>
              <w:t>承压水</w:t>
            </w:r>
          </w:p>
        </w:tc>
        <w:tc>
          <w:tcPr>
            <w:tcW w:w="1247" w:type="dxa"/>
            <w:vAlign w:val="center"/>
          </w:tcPr>
          <w:p w14:paraId="4AE18A8C">
            <w:pPr>
              <w:snapToGrid w:val="0"/>
              <w:spacing w:line="360" w:lineRule="exact"/>
              <w:jc w:val="center"/>
              <w:rPr>
                <w:rFonts w:ascii="宋体" w:hAnsi="宋体" w:eastAsia="宋体" w:cs="Times New Roman"/>
                <w:color w:val="auto"/>
              </w:rPr>
            </w:pPr>
            <w:r>
              <w:rPr>
                <w:rFonts w:ascii="宋体" w:hAnsi="宋体" w:eastAsia="宋体" w:cs="Times New Roman"/>
                <w:color w:val="auto"/>
              </w:rPr>
              <w:t>125.13680</w:t>
            </w:r>
            <w:r>
              <w:rPr>
                <w:rFonts w:hint="eastAsia" w:ascii="宋体" w:hAnsi="宋体" w:eastAsia="宋体" w:cs="Times New Roman"/>
                <w:color w:val="auto"/>
              </w:rPr>
              <w:t>，</w:t>
            </w:r>
            <w:r>
              <w:rPr>
                <w:rFonts w:ascii="宋体" w:hAnsi="宋体" w:eastAsia="宋体" w:cs="Times New Roman"/>
                <w:color w:val="auto"/>
              </w:rPr>
              <w:t>45.52562</w:t>
            </w:r>
          </w:p>
        </w:tc>
        <w:tc>
          <w:tcPr>
            <w:tcW w:w="1684" w:type="dxa"/>
            <w:vAlign w:val="center"/>
          </w:tcPr>
          <w:p w14:paraId="498D01DD">
            <w:pPr>
              <w:snapToGrid w:val="0"/>
              <w:spacing w:line="360" w:lineRule="exact"/>
              <w:jc w:val="center"/>
              <w:rPr>
                <w:rFonts w:ascii="宋体" w:hAnsi="宋体" w:eastAsia="宋体" w:cs="Times New Roman"/>
                <w:color w:val="auto"/>
              </w:rPr>
            </w:pPr>
            <w:r>
              <w:rPr>
                <w:rFonts w:ascii="宋体" w:hAnsi="宋体" w:eastAsia="宋体" w:cs="Times New Roman"/>
                <w:color w:val="auto"/>
              </w:rPr>
              <w:t>源斜2401</w:t>
            </w:r>
            <w:r>
              <w:rPr>
                <w:rFonts w:hint="eastAsia" w:ascii="宋体" w:hAnsi="宋体" w:eastAsia="宋体" w:cs="Times New Roman"/>
                <w:color w:val="auto"/>
              </w:rPr>
              <w:t>西南2100m</w:t>
            </w:r>
          </w:p>
        </w:tc>
        <w:tc>
          <w:tcPr>
            <w:tcW w:w="966" w:type="dxa"/>
            <w:vAlign w:val="center"/>
          </w:tcPr>
          <w:p w14:paraId="418D4F6E">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65</w:t>
            </w:r>
          </w:p>
        </w:tc>
        <w:tc>
          <w:tcPr>
            <w:tcW w:w="1155" w:type="dxa"/>
            <w:vAlign w:val="center"/>
          </w:tcPr>
          <w:p w14:paraId="652D0820">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区域下游</w:t>
            </w:r>
          </w:p>
        </w:tc>
        <w:tc>
          <w:tcPr>
            <w:tcW w:w="1137" w:type="dxa"/>
            <w:vAlign w:val="center"/>
          </w:tcPr>
          <w:p w14:paraId="0B9D9350">
            <w:pPr>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饮用、</w:t>
            </w:r>
            <w:r>
              <w:rPr>
                <w:rFonts w:ascii="宋体" w:hAnsi="宋体" w:eastAsia="宋体" w:cs="Times New Roman"/>
                <w:color w:val="auto"/>
              </w:rPr>
              <w:t>灌溉</w:t>
            </w:r>
          </w:p>
        </w:tc>
      </w:tr>
    </w:tbl>
    <w:p w14:paraId="3E36BDC8">
      <w:pPr>
        <w:pStyle w:val="276"/>
        <w:widowControl w:val="0"/>
        <w:ind w:firstLine="480"/>
        <w:jc w:val="both"/>
        <w:rPr>
          <w:color w:val="auto"/>
        </w:rPr>
      </w:pPr>
      <w:r>
        <w:rPr>
          <w:color w:val="auto"/>
        </w:rPr>
        <w:t>（3）监测时间及频次</w:t>
      </w:r>
    </w:p>
    <w:p w14:paraId="551B66BD">
      <w:pPr>
        <w:pStyle w:val="276"/>
        <w:widowControl w:val="0"/>
        <w:ind w:firstLine="480"/>
        <w:jc w:val="both"/>
        <w:rPr>
          <w:color w:val="auto"/>
        </w:rPr>
      </w:pPr>
      <w:r>
        <w:rPr>
          <w:color w:val="auto"/>
        </w:rPr>
        <w:t>2025年</w:t>
      </w:r>
      <w:r>
        <w:rPr>
          <w:rFonts w:hint="eastAsia"/>
          <w:color w:val="auto"/>
        </w:rPr>
        <w:t>8</w:t>
      </w:r>
      <w:r>
        <w:rPr>
          <w:color w:val="auto"/>
        </w:rPr>
        <w:t>月</w:t>
      </w:r>
      <w:r>
        <w:rPr>
          <w:rFonts w:hint="eastAsia"/>
          <w:color w:val="auto"/>
        </w:rPr>
        <w:t>17</w:t>
      </w:r>
      <w:r>
        <w:rPr>
          <w:color w:val="auto"/>
        </w:rPr>
        <w:t>日</w:t>
      </w:r>
      <w:r>
        <w:rPr>
          <w:rFonts w:hint="eastAsia"/>
          <w:color w:val="auto"/>
        </w:rPr>
        <w:t>、</w:t>
      </w:r>
      <w:r>
        <w:rPr>
          <w:color w:val="auto"/>
        </w:rPr>
        <w:t>2025年</w:t>
      </w:r>
      <w:r>
        <w:rPr>
          <w:rFonts w:hint="eastAsia"/>
          <w:color w:val="auto"/>
        </w:rPr>
        <w:t>8</w:t>
      </w:r>
      <w:r>
        <w:rPr>
          <w:color w:val="auto"/>
        </w:rPr>
        <w:t>月</w:t>
      </w:r>
      <w:r>
        <w:rPr>
          <w:rFonts w:hint="eastAsia"/>
          <w:color w:val="auto"/>
        </w:rPr>
        <w:t>21</w:t>
      </w:r>
      <w:r>
        <w:rPr>
          <w:color w:val="auto"/>
        </w:rPr>
        <w:t>日对地下水质监测井取样1次。</w:t>
      </w:r>
    </w:p>
    <w:p w14:paraId="17414CA2">
      <w:pPr>
        <w:pStyle w:val="276"/>
        <w:widowControl w:val="0"/>
        <w:ind w:firstLine="480"/>
        <w:jc w:val="both"/>
        <w:rPr>
          <w:color w:val="auto"/>
        </w:rPr>
      </w:pPr>
      <w:r>
        <w:rPr>
          <w:color w:val="auto"/>
        </w:rPr>
        <w:t>（4）监测结果</w:t>
      </w:r>
    </w:p>
    <w:p w14:paraId="3F25B2E0">
      <w:pPr>
        <w:pStyle w:val="276"/>
        <w:widowControl w:val="0"/>
        <w:ind w:firstLine="480"/>
        <w:jc w:val="both"/>
        <w:rPr>
          <w:color w:val="auto"/>
        </w:rPr>
      </w:pPr>
      <w:r>
        <w:rPr>
          <w:color w:val="auto"/>
        </w:rPr>
        <w:t>地下水水质现状监测结果见表4.3-7。</w:t>
      </w:r>
    </w:p>
    <w:p w14:paraId="244C14EB">
      <w:pPr>
        <w:pStyle w:val="276"/>
        <w:widowControl w:val="0"/>
        <w:spacing w:line="440" w:lineRule="exact"/>
        <w:ind w:firstLine="0" w:firstLineChars="0"/>
        <w:jc w:val="center"/>
        <w:rPr>
          <w:color w:val="auto"/>
        </w:rPr>
      </w:pPr>
      <w:r>
        <w:rPr>
          <w:color w:val="auto"/>
        </w:rPr>
        <w:t xml:space="preserve">表4.3-7   </w:t>
      </w:r>
      <w:r>
        <w:rPr>
          <w:color w:val="auto"/>
          <w:szCs w:val="28"/>
        </w:rPr>
        <w:t>地下水</w:t>
      </w:r>
      <w:r>
        <w:rPr>
          <w:color w:val="auto"/>
        </w:rPr>
        <w:t xml:space="preserve">水质现状监测结果 </w:t>
      </w:r>
    </w:p>
    <w:p w14:paraId="15CB312C">
      <w:pPr>
        <w:jc w:val="right"/>
        <w:rPr>
          <w:rFonts w:ascii="宋体" w:hAnsi="宋体" w:eastAsia="宋体" w:cs="Times New Roman"/>
          <w:color w:val="auto"/>
          <w:sz w:val="16"/>
          <w:szCs w:val="16"/>
        </w:rPr>
      </w:pPr>
      <w:r>
        <w:rPr>
          <w:rFonts w:ascii="宋体" w:hAnsi="宋体" w:eastAsia="宋体" w:cs="Times New Roman"/>
          <w:color w:val="auto"/>
          <w:sz w:val="16"/>
          <w:szCs w:val="16"/>
        </w:rPr>
        <w:t>单位：mg/L(pH无量纲、总大肠菌群MPN/100mL、菌落总数CFU/mL)</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910"/>
        <w:gridCol w:w="910"/>
        <w:gridCol w:w="910"/>
        <w:gridCol w:w="910"/>
        <w:gridCol w:w="910"/>
        <w:gridCol w:w="910"/>
        <w:gridCol w:w="910"/>
        <w:gridCol w:w="914"/>
        <w:gridCol w:w="737"/>
      </w:tblGrid>
      <w:tr w14:paraId="75C0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2F2A287F">
            <w:pPr>
              <w:jc w:val="center"/>
              <w:textAlignment w:val="center"/>
              <w:rPr>
                <w:rFonts w:ascii="宋体" w:hAnsi="宋体" w:eastAsia="宋体" w:cs="Times New Roman"/>
                <w:color w:val="auto"/>
              </w:rPr>
            </w:pPr>
            <w:r>
              <w:rPr>
                <w:rFonts w:ascii="宋体" w:hAnsi="宋体" w:eastAsia="宋体" w:cs="Times New Roman"/>
                <w:color w:val="auto"/>
              </w:rPr>
              <w:t>监测时间</w:t>
            </w:r>
          </w:p>
        </w:tc>
        <w:tc>
          <w:tcPr>
            <w:tcW w:w="6370" w:type="dxa"/>
            <w:gridSpan w:val="7"/>
            <w:tcBorders>
              <w:tl2br w:val="nil"/>
              <w:tr2bl w:val="nil"/>
            </w:tcBorders>
            <w:vAlign w:val="center"/>
          </w:tcPr>
          <w:p w14:paraId="7F605CDC">
            <w:pPr>
              <w:jc w:val="center"/>
              <w:textAlignment w:val="center"/>
              <w:rPr>
                <w:rFonts w:ascii="宋体" w:hAnsi="宋体" w:eastAsia="宋体" w:cs="Times New Roman"/>
                <w:color w:val="auto"/>
              </w:rPr>
            </w:pPr>
            <w:r>
              <w:rPr>
                <w:rFonts w:ascii="宋体" w:hAnsi="宋体" w:eastAsia="宋体" w:cs="Times New Roman"/>
                <w:color w:val="auto"/>
              </w:rPr>
              <w:t>2025.08.17</w:t>
            </w:r>
          </w:p>
        </w:tc>
        <w:tc>
          <w:tcPr>
            <w:tcW w:w="914" w:type="dxa"/>
            <w:tcBorders>
              <w:tl2br w:val="nil"/>
              <w:tr2bl w:val="nil"/>
            </w:tcBorders>
            <w:vAlign w:val="center"/>
          </w:tcPr>
          <w:p w14:paraId="2ED76420">
            <w:pPr>
              <w:jc w:val="center"/>
              <w:textAlignment w:val="center"/>
              <w:rPr>
                <w:rFonts w:ascii="宋体" w:hAnsi="宋体" w:eastAsia="宋体" w:cs="Times New Roman"/>
                <w:color w:val="auto"/>
              </w:rPr>
            </w:pPr>
            <w:r>
              <w:rPr>
                <w:rFonts w:ascii="宋体" w:hAnsi="宋体" w:eastAsia="宋体" w:cs="Times New Roman"/>
                <w:color w:val="auto"/>
              </w:rPr>
              <w:t>2025.8.21</w:t>
            </w:r>
          </w:p>
        </w:tc>
        <w:tc>
          <w:tcPr>
            <w:tcW w:w="735" w:type="dxa"/>
            <w:tcBorders>
              <w:tl2br w:val="nil"/>
              <w:tr2bl w:val="nil"/>
            </w:tcBorders>
            <w:vAlign w:val="center"/>
          </w:tcPr>
          <w:p w14:paraId="1828F160">
            <w:pPr>
              <w:jc w:val="center"/>
              <w:textAlignment w:val="center"/>
              <w:rPr>
                <w:rFonts w:ascii="宋体" w:hAnsi="宋体" w:eastAsia="宋体" w:cs="Times New Roman"/>
                <w:color w:val="auto"/>
              </w:rPr>
            </w:pPr>
          </w:p>
        </w:tc>
      </w:tr>
      <w:tr w14:paraId="22EC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7B419A1D">
            <w:pPr>
              <w:jc w:val="center"/>
              <w:textAlignment w:val="center"/>
              <w:rPr>
                <w:rFonts w:ascii="宋体" w:hAnsi="宋体" w:eastAsia="宋体" w:cs="Times New Roman"/>
                <w:color w:val="auto"/>
              </w:rPr>
            </w:pPr>
            <w:r>
              <w:rPr>
                <w:rFonts w:ascii="宋体" w:hAnsi="宋体" w:eastAsia="宋体" w:cs="Times New Roman"/>
                <w:color w:val="auto"/>
              </w:rPr>
              <w:t>监测项目</w:t>
            </w:r>
          </w:p>
        </w:tc>
        <w:tc>
          <w:tcPr>
            <w:tcW w:w="910" w:type="dxa"/>
            <w:tcBorders>
              <w:tl2br w:val="nil"/>
              <w:tr2bl w:val="nil"/>
            </w:tcBorders>
            <w:vAlign w:val="center"/>
          </w:tcPr>
          <w:p w14:paraId="1EC23D1A">
            <w:pPr>
              <w:jc w:val="center"/>
              <w:textAlignment w:val="center"/>
              <w:rPr>
                <w:rFonts w:ascii="宋体" w:hAnsi="宋体" w:eastAsia="宋体" w:cs="Times New Roman"/>
                <w:color w:val="auto"/>
                <w:lang w:bidi="ar"/>
              </w:rPr>
            </w:pPr>
            <w:r>
              <w:rPr>
                <w:rFonts w:ascii="宋体" w:hAnsi="宋体" w:eastAsia="宋体" w:cs="Times New Roman"/>
                <w:color w:val="auto"/>
                <w:lang w:bidi="ar"/>
              </w:rPr>
              <w:t>王家粉屯(林家、潜水)</w:t>
            </w:r>
          </w:p>
        </w:tc>
        <w:tc>
          <w:tcPr>
            <w:tcW w:w="910" w:type="dxa"/>
            <w:tcBorders>
              <w:tl2br w:val="nil"/>
              <w:tr2bl w:val="nil"/>
            </w:tcBorders>
            <w:vAlign w:val="center"/>
          </w:tcPr>
          <w:p w14:paraId="1CAEDDF2">
            <w:pPr>
              <w:jc w:val="center"/>
              <w:textAlignment w:val="center"/>
              <w:rPr>
                <w:rFonts w:ascii="宋体" w:hAnsi="宋体" w:eastAsia="宋体" w:cs="Times New Roman"/>
                <w:color w:val="auto"/>
                <w:lang w:bidi="ar"/>
              </w:rPr>
            </w:pPr>
            <w:r>
              <w:rPr>
                <w:rFonts w:ascii="宋体" w:hAnsi="宋体" w:eastAsia="宋体" w:cs="Times New Roman"/>
                <w:color w:val="auto"/>
                <w:lang w:bidi="ar"/>
              </w:rPr>
              <w:t>小欧力马屯（孙家、潜水）</w:t>
            </w:r>
          </w:p>
        </w:tc>
        <w:tc>
          <w:tcPr>
            <w:tcW w:w="910" w:type="dxa"/>
            <w:tcBorders>
              <w:tl2br w:val="nil"/>
              <w:tr2bl w:val="nil"/>
            </w:tcBorders>
            <w:vAlign w:val="center"/>
          </w:tcPr>
          <w:p w14:paraId="7B855C09">
            <w:pPr>
              <w:jc w:val="center"/>
              <w:textAlignment w:val="center"/>
              <w:rPr>
                <w:rFonts w:ascii="宋体" w:hAnsi="宋体" w:eastAsia="宋体" w:cs="Times New Roman"/>
                <w:color w:val="auto"/>
                <w:lang w:bidi="ar"/>
              </w:rPr>
            </w:pPr>
            <w:r>
              <w:rPr>
                <w:rFonts w:ascii="宋体" w:hAnsi="宋体" w:eastAsia="宋体" w:cs="Times New Roman"/>
                <w:color w:val="auto"/>
                <w:lang w:bidi="ar"/>
              </w:rPr>
              <w:t>后欧力马屯(张家、潜水)</w:t>
            </w:r>
          </w:p>
        </w:tc>
        <w:tc>
          <w:tcPr>
            <w:tcW w:w="910" w:type="dxa"/>
            <w:tcBorders>
              <w:tl2br w:val="nil"/>
              <w:tr2bl w:val="nil"/>
            </w:tcBorders>
            <w:vAlign w:val="center"/>
          </w:tcPr>
          <w:p w14:paraId="4628BE47">
            <w:pPr>
              <w:jc w:val="center"/>
              <w:textAlignment w:val="center"/>
              <w:rPr>
                <w:rFonts w:ascii="宋体" w:hAnsi="宋体" w:eastAsia="宋体" w:cs="Times New Roman"/>
                <w:color w:val="auto"/>
                <w:lang w:bidi="ar"/>
              </w:rPr>
            </w:pPr>
            <w:r>
              <w:rPr>
                <w:rFonts w:ascii="宋体" w:hAnsi="宋体" w:eastAsia="宋体" w:cs="Times New Roman"/>
                <w:color w:val="auto"/>
                <w:lang w:bidi="ar"/>
              </w:rPr>
              <w:t>赵家围子（李家、潜水）</w:t>
            </w:r>
          </w:p>
        </w:tc>
        <w:tc>
          <w:tcPr>
            <w:tcW w:w="910" w:type="dxa"/>
            <w:tcBorders>
              <w:tl2br w:val="nil"/>
              <w:tr2bl w:val="nil"/>
            </w:tcBorders>
            <w:vAlign w:val="center"/>
          </w:tcPr>
          <w:p w14:paraId="2418911F">
            <w:pPr>
              <w:jc w:val="center"/>
              <w:textAlignment w:val="center"/>
              <w:rPr>
                <w:rFonts w:ascii="宋体" w:hAnsi="宋体" w:eastAsia="宋体" w:cs="Times New Roman"/>
                <w:color w:val="auto"/>
                <w:lang w:bidi="ar"/>
              </w:rPr>
            </w:pPr>
            <w:r>
              <w:rPr>
                <w:rFonts w:ascii="宋体" w:hAnsi="宋体" w:eastAsia="宋体" w:cs="Times New Roman"/>
                <w:color w:val="auto"/>
                <w:lang w:bidi="ar"/>
              </w:rPr>
              <w:t>腰欧力马屯(王家、潜水)</w:t>
            </w:r>
          </w:p>
        </w:tc>
        <w:tc>
          <w:tcPr>
            <w:tcW w:w="910" w:type="dxa"/>
            <w:tcBorders>
              <w:tl2br w:val="nil"/>
              <w:tr2bl w:val="nil"/>
            </w:tcBorders>
            <w:vAlign w:val="center"/>
          </w:tcPr>
          <w:p w14:paraId="5D84183E">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王家园子屯（房家、承压水）</w:t>
            </w:r>
          </w:p>
        </w:tc>
        <w:tc>
          <w:tcPr>
            <w:tcW w:w="910" w:type="dxa"/>
            <w:tcBorders>
              <w:tl2br w:val="nil"/>
              <w:tr2bl w:val="nil"/>
            </w:tcBorders>
            <w:vAlign w:val="center"/>
          </w:tcPr>
          <w:p w14:paraId="2FA2F564">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和平乡（谷家、承压水））</w:t>
            </w:r>
          </w:p>
        </w:tc>
        <w:tc>
          <w:tcPr>
            <w:tcW w:w="914" w:type="dxa"/>
            <w:tcBorders>
              <w:tl2br w:val="nil"/>
              <w:tr2bl w:val="nil"/>
            </w:tcBorders>
            <w:vAlign w:val="center"/>
          </w:tcPr>
          <w:p w14:paraId="19ACC244">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工商家属房(程家、潜水)</w:t>
            </w:r>
          </w:p>
        </w:tc>
        <w:tc>
          <w:tcPr>
            <w:tcW w:w="735" w:type="dxa"/>
            <w:tcBorders>
              <w:tl2br w:val="nil"/>
              <w:tr2bl w:val="nil"/>
            </w:tcBorders>
            <w:vAlign w:val="center"/>
          </w:tcPr>
          <w:p w14:paraId="13A56261">
            <w:pPr>
              <w:jc w:val="center"/>
              <w:textAlignment w:val="center"/>
              <w:rPr>
                <w:rFonts w:ascii="宋体" w:hAnsi="宋体" w:eastAsia="宋体" w:cs="Times New Roman"/>
                <w:color w:val="auto"/>
                <w:lang w:val="zh-CN"/>
              </w:rPr>
            </w:pPr>
            <w:r>
              <w:rPr>
                <w:rFonts w:ascii="宋体" w:hAnsi="宋体" w:eastAsia="宋体" w:cs="Times New Roman"/>
                <w:color w:val="auto"/>
                <w:lang w:val="zh-CN"/>
              </w:rPr>
              <w:t>标准</w:t>
            </w:r>
          </w:p>
          <w:p w14:paraId="4ABBD524">
            <w:pPr>
              <w:jc w:val="center"/>
              <w:textAlignment w:val="center"/>
              <w:rPr>
                <w:rFonts w:ascii="宋体" w:hAnsi="宋体" w:eastAsia="宋体" w:cs="Times New Roman"/>
                <w:color w:val="auto"/>
              </w:rPr>
            </w:pPr>
            <w:r>
              <w:rPr>
                <w:rFonts w:ascii="宋体" w:hAnsi="宋体" w:eastAsia="宋体" w:cs="Times New Roman"/>
                <w:color w:val="auto"/>
                <w:lang w:val="zh-CN"/>
              </w:rPr>
              <w:t>限值</w:t>
            </w:r>
          </w:p>
        </w:tc>
      </w:tr>
      <w:tr w14:paraId="176E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268" w:type="dxa"/>
            <w:tcBorders>
              <w:tl2br w:val="nil"/>
              <w:tr2bl w:val="nil"/>
            </w:tcBorders>
            <w:vAlign w:val="center"/>
          </w:tcPr>
          <w:p w14:paraId="6A978DDA">
            <w:pPr>
              <w:jc w:val="center"/>
              <w:textAlignment w:val="center"/>
              <w:rPr>
                <w:rFonts w:ascii="宋体" w:hAnsi="宋体" w:eastAsia="宋体" w:cs="Times New Roman"/>
                <w:color w:val="auto"/>
              </w:rPr>
            </w:pPr>
            <w:r>
              <w:rPr>
                <w:rFonts w:ascii="宋体" w:hAnsi="宋体" w:eastAsia="宋体" w:cs="Times New Roman"/>
                <w:color w:val="auto"/>
                <w:lang w:bidi="ar"/>
              </w:rPr>
              <w:t>K</w:t>
            </w:r>
            <w:r>
              <w:rPr>
                <w:rFonts w:ascii="宋体" w:hAnsi="宋体" w:eastAsia="宋体" w:cs="Times New Roman"/>
                <w:color w:val="auto"/>
                <w:vertAlign w:val="superscript"/>
                <w:lang w:bidi="ar"/>
              </w:rPr>
              <w:t>+</w:t>
            </w:r>
          </w:p>
        </w:tc>
        <w:tc>
          <w:tcPr>
            <w:tcW w:w="910" w:type="dxa"/>
            <w:tcBorders>
              <w:tl2br w:val="nil"/>
              <w:tr2bl w:val="nil"/>
            </w:tcBorders>
            <w:vAlign w:val="center"/>
          </w:tcPr>
          <w:p w14:paraId="5329D0EA">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3.21</w:t>
            </w:r>
          </w:p>
        </w:tc>
        <w:tc>
          <w:tcPr>
            <w:tcW w:w="910" w:type="dxa"/>
            <w:tcBorders>
              <w:tl2br w:val="nil"/>
              <w:tr2bl w:val="nil"/>
            </w:tcBorders>
            <w:vAlign w:val="center"/>
          </w:tcPr>
          <w:p w14:paraId="0640905B">
            <w:pPr>
              <w:jc w:val="center"/>
              <w:textAlignment w:val="center"/>
              <w:rPr>
                <w:rFonts w:ascii="宋体" w:hAnsi="宋体" w:eastAsia="宋体" w:cs="Times New Roman"/>
                <w:color w:val="auto"/>
                <w:lang w:bidi="ar"/>
              </w:rPr>
            </w:pPr>
            <w:r>
              <w:rPr>
                <w:rFonts w:ascii="宋体" w:hAnsi="宋体" w:eastAsia="宋体" w:cs="Times New Roman"/>
                <w:color w:val="auto"/>
                <w:lang w:bidi="ar"/>
              </w:rPr>
              <w:t>2.77</w:t>
            </w:r>
          </w:p>
        </w:tc>
        <w:tc>
          <w:tcPr>
            <w:tcW w:w="910" w:type="dxa"/>
            <w:tcBorders>
              <w:tl2br w:val="nil"/>
              <w:tr2bl w:val="nil"/>
            </w:tcBorders>
            <w:vAlign w:val="center"/>
          </w:tcPr>
          <w:p w14:paraId="75EEA362">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2.92</w:t>
            </w:r>
          </w:p>
        </w:tc>
        <w:tc>
          <w:tcPr>
            <w:tcW w:w="910" w:type="dxa"/>
            <w:tcBorders>
              <w:tl2br w:val="nil"/>
              <w:tr2bl w:val="nil"/>
            </w:tcBorders>
            <w:vAlign w:val="center"/>
          </w:tcPr>
          <w:p w14:paraId="5EFEECDF">
            <w:pPr>
              <w:jc w:val="center"/>
              <w:textAlignment w:val="center"/>
              <w:rPr>
                <w:rFonts w:ascii="宋体" w:hAnsi="宋体" w:eastAsia="宋体" w:cs="Times New Roman"/>
                <w:color w:val="auto"/>
                <w:lang w:bidi="ar"/>
              </w:rPr>
            </w:pPr>
            <w:r>
              <w:rPr>
                <w:rFonts w:ascii="宋体" w:hAnsi="宋体" w:eastAsia="宋体" w:cs="Times New Roman"/>
                <w:color w:val="auto"/>
                <w:lang w:bidi="ar"/>
              </w:rPr>
              <w:t>2.81</w:t>
            </w:r>
          </w:p>
        </w:tc>
        <w:tc>
          <w:tcPr>
            <w:tcW w:w="910" w:type="dxa"/>
            <w:tcBorders>
              <w:tl2br w:val="nil"/>
              <w:tr2bl w:val="nil"/>
            </w:tcBorders>
            <w:vAlign w:val="center"/>
          </w:tcPr>
          <w:p w14:paraId="74D21408">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3.04</w:t>
            </w:r>
          </w:p>
        </w:tc>
        <w:tc>
          <w:tcPr>
            <w:tcW w:w="910" w:type="dxa"/>
            <w:tcBorders>
              <w:tl2br w:val="nil"/>
              <w:tr2bl w:val="nil"/>
            </w:tcBorders>
            <w:vAlign w:val="center"/>
          </w:tcPr>
          <w:p w14:paraId="3A575BC3">
            <w:pPr>
              <w:jc w:val="center"/>
              <w:textAlignment w:val="center"/>
              <w:rPr>
                <w:rFonts w:ascii="宋体" w:hAnsi="宋体" w:eastAsia="宋体" w:cs="Times New Roman"/>
                <w:color w:val="auto"/>
                <w:lang w:bidi="ar"/>
              </w:rPr>
            </w:pPr>
            <w:r>
              <w:rPr>
                <w:rFonts w:ascii="宋体" w:hAnsi="宋体" w:eastAsia="宋体" w:cs="Times New Roman"/>
                <w:color w:val="auto"/>
                <w:lang w:bidi="ar"/>
              </w:rPr>
              <w:t>1.58</w:t>
            </w:r>
          </w:p>
        </w:tc>
        <w:tc>
          <w:tcPr>
            <w:tcW w:w="910" w:type="dxa"/>
            <w:tcBorders>
              <w:tl2br w:val="nil"/>
              <w:tr2bl w:val="nil"/>
            </w:tcBorders>
            <w:vAlign w:val="center"/>
          </w:tcPr>
          <w:p w14:paraId="44680E33">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1.37</w:t>
            </w:r>
          </w:p>
        </w:tc>
        <w:tc>
          <w:tcPr>
            <w:tcW w:w="914" w:type="dxa"/>
            <w:tcBorders>
              <w:tl2br w:val="nil"/>
              <w:tr2bl w:val="nil"/>
            </w:tcBorders>
            <w:vAlign w:val="center"/>
          </w:tcPr>
          <w:p w14:paraId="66F58381">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2.45</w:t>
            </w:r>
          </w:p>
        </w:tc>
        <w:tc>
          <w:tcPr>
            <w:tcW w:w="735" w:type="dxa"/>
            <w:tcBorders>
              <w:tl2br w:val="nil"/>
              <w:tr2bl w:val="nil"/>
            </w:tcBorders>
            <w:vAlign w:val="center"/>
          </w:tcPr>
          <w:p w14:paraId="73C2E8EA">
            <w:pPr>
              <w:jc w:val="center"/>
              <w:textAlignment w:val="center"/>
              <w:rPr>
                <w:rFonts w:ascii="宋体" w:hAnsi="宋体" w:eastAsia="宋体" w:cs="Times New Roman"/>
                <w:color w:val="auto"/>
              </w:rPr>
            </w:pPr>
            <w:r>
              <w:rPr>
                <w:rFonts w:ascii="宋体" w:hAnsi="宋体" w:eastAsia="宋体" w:cs="Times New Roman"/>
                <w:color w:val="auto"/>
              </w:rPr>
              <w:t>-</w:t>
            </w:r>
          </w:p>
        </w:tc>
      </w:tr>
      <w:tr w14:paraId="66E2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004A13D1">
            <w:pPr>
              <w:jc w:val="center"/>
              <w:textAlignment w:val="center"/>
              <w:rPr>
                <w:rFonts w:ascii="宋体" w:hAnsi="宋体" w:eastAsia="宋体" w:cs="Times New Roman"/>
                <w:color w:val="auto"/>
              </w:rPr>
            </w:pPr>
            <w:r>
              <w:rPr>
                <w:rFonts w:ascii="宋体" w:hAnsi="宋体" w:eastAsia="宋体" w:cs="Times New Roman"/>
                <w:color w:val="auto"/>
                <w:lang w:bidi="ar"/>
              </w:rPr>
              <w:t>Na</w:t>
            </w:r>
            <w:r>
              <w:rPr>
                <w:rFonts w:ascii="宋体" w:hAnsi="宋体" w:eastAsia="宋体" w:cs="Times New Roman"/>
                <w:color w:val="auto"/>
                <w:vertAlign w:val="superscript"/>
                <w:lang w:bidi="ar"/>
              </w:rPr>
              <w:t>+</w:t>
            </w:r>
          </w:p>
        </w:tc>
        <w:tc>
          <w:tcPr>
            <w:tcW w:w="910" w:type="dxa"/>
            <w:tcBorders>
              <w:tl2br w:val="nil"/>
              <w:tr2bl w:val="nil"/>
            </w:tcBorders>
            <w:vAlign w:val="center"/>
          </w:tcPr>
          <w:p w14:paraId="34E6F76B">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52.6</w:t>
            </w:r>
          </w:p>
        </w:tc>
        <w:tc>
          <w:tcPr>
            <w:tcW w:w="910" w:type="dxa"/>
            <w:tcBorders>
              <w:tl2br w:val="nil"/>
              <w:tr2bl w:val="nil"/>
            </w:tcBorders>
            <w:vAlign w:val="center"/>
          </w:tcPr>
          <w:p w14:paraId="1BAE8A15">
            <w:pPr>
              <w:jc w:val="center"/>
              <w:textAlignment w:val="center"/>
              <w:rPr>
                <w:rFonts w:ascii="宋体" w:hAnsi="宋体" w:eastAsia="宋体" w:cs="Times New Roman"/>
                <w:color w:val="auto"/>
                <w:lang w:bidi="ar"/>
              </w:rPr>
            </w:pPr>
            <w:r>
              <w:rPr>
                <w:rFonts w:ascii="宋体" w:hAnsi="宋体" w:eastAsia="宋体" w:cs="Times New Roman"/>
                <w:color w:val="auto"/>
                <w:lang w:bidi="ar"/>
              </w:rPr>
              <w:t>58.3</w:t>
            </w:r>
          </w:p>
        </w:tc>
        <w:tc>
          <w:tcPr>
            <w:tcW w:w="910" w:type="dxa"/>
            <w:tcBorders>
              <w:tl2br w:val="nil"/>
              <w:tr2bl w:val="nil"/>
            </w:tcBorders>
            <w:vAlign w:val="center"/>
          </w:tcPr>
          <w:p w14:paraId="11F41110">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60.6</w:t>
            </w:r>
          </w:p>
        </w:tc>
        <w:tc>
          <w:tcPr>
            <w:tcW w:w="910" w:type="dxa"/>
            <w:tcBorders>
              <w:tl2br w:val="nil"/>
              <w:tr2bl w:val="nil"/>
            </w:tcBorders>
            <w:vAlign w:val="center"/>
          </w:tcPr>
          <w:p w14:paraId="5B3F4696">
            <w:pPr>
              <w:jc w:val="center"/>
              <w:textAlignment w:val="center"/>
              <w:rPr>
                <w:rFonts w:ascii="宋体" w:hAnsi="宋体" w:eastAsia="宋体" w:cs="Times New Roman"/>
                <w:color w:val="auto"/>
                <w:lang w:bidi="ar"/>
              </w:rPr>
            </w:pPr>
            <w:r>
              <w:rPr>
                <w:rFonts w:ascii="宋体" w:hAnsi="宋体" w:eastAsia="宋体" w:cs="Times New Roman"/>
                <w:color w:val="auto"/>
                <w:lang w:bidi="ar"/>
              </w:rPr>
              <w:t>57.6</w:t>
            </w:r>
          </w:p>
        </w:tc>
        <w:tc>
          <w:tcPr>
            <w:tcW w:w="910" w:type="dxa"/>
            <w:tcBorders>
              <w:tl2br w:val="nil"/>
              <w:tr2bl w:val="nil"/>
            </w:tcBorders>
            <w:vAlign w:val="center"/>
          </w:tcPr>
          <w:p w14:paraId="2583D60A">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62.1</w:t>
            </w:r>
          </w:p>
        </w:tc>
        <w:tc>
          <w:tcPr>
            <w:tcW w:w="910" w:type="dxa"/>
            <w:tcBorders>
              <w:tl2br w:val="nil"/>
              <w:tr2bl w:val="nil"/>
            </w:tcBorders>
            <w:vAlign w:val="center"/>
          </w:tcPr>
          <w:p w14:paraId="4DB7068A">
            <w:pPr>
              <w:jc w:val="center"/>
              <w:textAlignment w:val="center"/>
              <w:rPr>
                <w:rFonts w:ascii="宋体" w:hAnsi="宋体" w:eastAsia="宋体" w:cs="Times New Roman"/>
                <w:color w:val="auto"/>
                <w:lang w:bidi="ar"/>
              </w:rPr>
            </w:pPr>
            <w:r>
              <w:rPr>
                <w:rFonts w:ascii="宋体" w:hAnsi="宋体" w:eastAsia="宋体" w:cs="Times New Roman"/>
                <w:color w:val="auto"/>
                <w:lang w:bidi="ar"/>
              </w:rPr>
              <w:t>43.5</w:t>
            </w:r>
          </w:p>
        </w:tc>
        <w:tc>
          <w:tcPr>
            <w:tcW w:w="910" w:type="dxa"/>
            <w:tcBorders>
              <w:tl2br w:val="nil"/>
              <w:tr2bl w:val="nil"/>
            </w:tcBorders>
            <w:vAlign w:val="center"/>
          </w:tcPr>
          <w:p w14:paraId="0182ABDC">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46.9</w:t>
            </w:r>
          </w:p>
        </w:tc>
        <w:tc>
          <w:tcPr>
            <w:tcW w:w="914" w:type="dxa"/>
            <w:tcBorders>
              <w:tl2br w:val="nil"/>
              <w:tr2bl w:val="nil"/>
            </w:tcBorders>
            <w:vAlign w:val="center"/>
          </w:tcPr>
          <w:p w14:paraId="0D07D497">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53.3</w:t>
            </w:r>
          </w:p>
        </w:tc>
        <w:tc>
          <w:tcPr>
            <w:tcW w:w="735" w:type="dxa"/>
            <w:tcBorders>
              <w:tl2br w:val="nil"/>
              <w:tr2bl w:val="nil"/>
            </w:tcBorders>
            <w:vAlign w:val="center"/>
          </w:tcPr>
          <w:p w14:paraId="00736B25">
            <w:pPr>
              <w:jc w:val="center"/>
              <w:textAlignment w:val="center"/>
              <w:rPr>
                <w:rFonts w:ascii="宋体" w:hAnsi="宋体" w:eastAsia="宋体" w:cs="Times New Roman"/>
                <w:color w:val="auto"/>
              </w:rPr>
            </w:pPr>
            <w:r>
              <w:rPr>
                <w:rFonts w:ascii="宋体" w:hAnsi="宋体" w:eastAsia="宋体" w:cs="Times New Roman"/>
                <w:color w:val="auto"/>
              </w:rPr>
              <w:t>≤200</w:t>
            </w:r>
          </w:p>
        </w:tc>
      </w:tr>
      <w:tr w14:paraId="47D7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09C9B752">
            <w:pPr>
              <w:jc w:val="center"/>
              <w:textAlignment w:val="center"/>
              <w:rPr>
                <w:rFonts w:ascii="宋体" w:hAnsi="宋体" w:eastAsia="宋体" w:cs="Times New Roman"/>
                <w:color w:val="auto"/>
              </w:rPr>
            </w:pPr>
            <w:r>
              <w:rPr>
                <w:rFonts w:ascii="宋体" w:hAnsi="宋体" w:eastAsia="宋体" w:cs="Times New Roman"/>
                <w:color w:val="auto"/>
                <w:lang w:bidi="ar"/>
              </w:rPr>
              <w:t>Ca</w:t>
            </w:r>
            <w:r>
              <w:rPr>
                <w:rFonts w:ascii="宋体" w:hAnsi="宋体" w:eastAsia="宋体" w:cs="Times New Roman"/>
                <w:color w:val="auto"/>
                <w:vertAlign w:val="superscript"/>
                <w:lang w:bidi="ar"/>
              </w:rPr>
              <w:t>2+</w:t>
            </w:r>
          </w:p>
        </w:tc>
        <w:tc>
          <w:tcPr>
            <w:tcW w:w="910" w:type="dxa"/>
            <w:tcBorders>
              <w:tl2br w:val="nil"/>
              <w:tr2bl w:val="nil"/>
            </w:tcBorders>
            <w:vAlign w:val="center"/>
          </w:tcPr>
          <w:p w14:paraId="1A8A89E0">
            <w:pPr>
              <w:jc w:val="center"/>
              <w:textAlignment w:val="center"/>
              <w:rPr>
                <w:rFonts w:ascii="宋体" w:hAnsi="宋体" w:eastAsia="宋体" w:cs="Times New Roman"/>
                <w:color w:val="auto"/>
                <w:lang w:bidi="ar"/>
              </w:rPr>
            </w:pPr>
            <w:r>
              <w:rPr>
                <w:rFonts w:ascii="宋体" w:hAnsi="宋体" w:eastAsia="宋体" w:cs="Times New Roman"/>
                <w:color w:val="auto"/>
                <w:lang w:bidi="ar"/>
              </w:rPr>
              <w:t>42.8</w:t>
            </w:r>
          </w:p>
        </w:tc>
        <w:tc>
          <w:tcPr>
            <w:tcW w:w="910" w:type="dxa"/>
            <w:tcBorders>
              <w:tl2br w:val="nil"/>
              <w:tr2bl w:val="nil"/>
            </w:tcBorders>
            <w:vAlign w:val="center"/>
          </w:tcPr>
          <w:p w14:paraId="4FD81BFC">
            <w:pPr>
              <w:jc w:val="center"/>
              <w:textAlignment w:val="center"/>
              <w:rPr>
                <w:rFonts w:ascii="宋体" w:hAnsi="宋体" w:eastAsia="宋体" w:cs="Times New Roman"/>
                <w:color w:val="auto"/>
                <w:lang w:bidi="ar"/>
              </w:rPr>
            </w:pPr>
            <w:r>
              <w:rPr>
                <w:rFonts w:ascii="宋体" w:hAnsi="宋体" w:eastAsia="宋体" w:cs="Times New Roman"/>
                <w:color w:val="auto"/>
                <w:lang w:bidi="ar"/>
              </w:rPr>
              <w:t>48.5</w:t>
            </w:r>
          </w:p>
        </w:tc>
        <w:tc>
          <w:tcPr>
            <w:tcW w:w="910" w:type="dxa"/>
            <w:tcBorders>
              <w:tl2br w:val="nil"/>
              <w:tr2bl w:val="nil"/>
            </w:tcBorders>
            <w:vAlign w:val="center"/>
          </w:tcPr>
          <w:p w14:paraId="30B66292">
            <w:pPr>
              <w:jc w:val="center"/>
              <w:textAlignment w:val="center"/>
              <w:rPr>
                <w:rFonts w:ascii="宋体" w:hAnsi="宋体" w:eastAsia="宋体" w:cs="Times New Roman"/>
                <w:color w:val="auto"/>
                <w:lang w:bidi="ar"/>
              </w:rPr>
            </w:pPr>
            <w:r>
              <w:rPr>
                <w:rFonts w:ascii="宋体" w:hAnsi="宋体" w:eastAsia="宋体" w:cs="Times New Roman"/>
                <w:color w:val="auto"/>
                <w:lang w:bidi="ar"/>
              </w:rPr>
              <w:t>48.0</w:t>
            </w:r>
          </w:p>
        </w:tc>
        <w:tc>
          <w:tcPr>
            <w:tcW w:w="910" w:type="dxa"/>
            <w:tcBorders>
              <w:tl2br w:val="nil"/>
              <w:tr2bl w:val="nil"/>
            </w:tcBorders>
            <w:vAlign w:val="center"/>
          </w:tcPr>
          <w:p w14:paraId="5FF05494">
            <w:pPr>
              <w:jc w:val="center"/>
              <w:textAlignment w:val="center"/>
              <w:rPr>
                <w:rFonts w:ascii="宋体" w:hAnsi="宋体" w:eastAsia="宋体" w:cs="Times New Roman"/>
                <w:color w:val="auto"/>
                <w:lang w:bidi="ar"/>
              </w:rPr>
            </w:pPr>
            <w:r>
              <w:rPr>
                <w:rFonts w:ascii="宋体" w:hAnsi="宋体" w:eastAsia="宋体" w:cs="Times New Roman"/>
                <w:color w:val="auto"/>
                <w:lang w:bidi="ar"/>
              </w:rPr>
              <w:t>45.9</w:t>
            </w:r>
          </w:p>
        </w:tc>
        <w:tc>
          <w:tcPr>
            <w:tcW w:w="910" w:type="dxa"/>
            <w:tcBorders>
              <w:tl2br w:val="nil"/>
              <w:tr2bl w:val="nil"/>
            </w:tcBorders>
            <w:vAlign w:val="center"/>
          </w:tcPr>
          <w:p w14:paraId="21E98DEE">
            <w:pPr>
              <w:jc w:val="center"/>
              <w:textAlignment w:val="center"/>
              <w:rPr>
                <w:rFonts w:ascii="宋体" w:hAnsi="宋体" w:eastAsia="宋体" w:cs="Times New Roman"/>
                <w:color w:val="auto"/>
                <w:lang w:bidi="ar"/>
              </w:rPr>
            </w:pPr>
            <w:r>
              <w:rPr>
                <w:rFonts w:ascii="宋体" w:hAnsi="宋体" w:eastAsia="宋体" w:cs="Times New Roman"/>
                <w:color w:val="auto"/>
                <w:lang w:bidi="ar"/>
              </w:rPr>
              <w:t>44.7</w:t>
            </w:r>
          </w:p>
        </w:tc>
        <w:tc>
          <w:tcPr>
            <w:tcW w:w="910" w:type="dxa"/>
            <w:tcBorders>
              <w:tl2br w:val="nil"/>
              <w:tr2bl w:val="nil"/>
            </w:tcBorders>
            <w:vAlign w:val="center"/>
          </w:tcPr>
          <w:p w14:paraId="17F6A6F9">
            <w:pPr>
              <w:jc w:val="center"/>
              <w:textAlignment w:val="center"/>
              <w:rPr>
                <w:rFonts w:ascii="宋体" w:hAnsi="宋体" w:eastAsia="宋体" w:cs="Times New Roman"/>
                <w:color w:val="auto"/>
                <w:lang w:bidi="ar"/>
              </w:rPr>
            </w:pPr>
            <w:r>
              <w:rPr>
                <w:rFonts w:ascii="宋体" w:hAnsi="宋体" w:eastAsia="宋体" w:cs="Times New Roman"/>
                <w:color w:val="auto"/>
                <w:lang w:bidi="ar"/>
              </w:rPr>
              <w:t>37.4</w:t>
            </w:r>
          </w:p>
        </w:tc>
        <w:tc>
          <w:tcPr>
            <w:tcW w:w="910" w:type="dxa"/>
            <w:tcBorders>
              <w:tl2br w:val="nil"/>
              <w:tr2bl w:val="nil"/>
            </w:tcBorders>
            <w:vAlign w:val="center"/>
          </w:tcPr>
          <w:p w14:paraId="6C706B2E">
            <w:pPr>
              <w:jc w:val="center"/>
              <w:textAlignment w:val="center"/>
              <w:rPr>
                <w:rFonts w:ascii="宋体" w:hAnsi="宋体" w:eastAsia="宋体" w:cs="Times New Roman"/>
                <w:color w:val="auto"/>
                <w:lang w:bidi="ar"/>
              </w:rPr>
            </w:pPr>
            <w:r>
              <w:rPr>
                <w:rFonts w:ascii="宋体" w:hAnsi="宋体" w:eastAsia="宋体" w:cs="Times New Roman"/>
                <w:color w:val="auto"/>
                <w:lang w:bidi="ar"/>
              </w:rPr>
              <w:t>34.2</w:t>
            </w:r>
          </w:p>
        </w:tc>
        <w:tc>
          <w:tcPr>
            <w:tcW w:w="914" w:type="dxa"/>
            <w:tcBorders>
              <w:tl2br w:val="nil"/>
              <w:tr2bl w:val="nil"/>
            </w:tcBorders>
            <w:vAlign w:val="center"/>
          </w:tcPr>
          <w:p w14:paraId="2FCCC3EA">
            <w:pPr>
              <w:jc w:val="center"/>
              <w:textAlignment w:val="center"/>
              <w:rPr>
                <w:rFonts w:ascii="宋体" w:hAnsi="宋体" w:eastAsia="宋体" w:cs="Times New Roman"/>
                <w:color w:val="auto"/>
                <w:lang w:bidi="ar"/>
              </w:rPr>
            </w:pPr>
            <w:r>
              <w:rPr>
                <w:rFonts w:ascii="宋体" w:hAnsi="宋体" w:eastAsia="宋体" w:cs="Times New Roman"/>
                <w:color w:val="auto"/>
                <w:lang w:bidi="ar"/>
              </w:rPr>
              <w:t>46.1</w:t>
            </w:r>
          </w:p>
        </w:tc>
        <w:tc>
          <w:tcPr>
            <w:tcW w:w="735" w:type="dxa"/>
            <w:tcBorders>
              <w:tl2br w:val="nil"/>
              <w:tr2bl w:val="nil"/>
            </w:tcBorders>
            <w:vAlign w:val="center"/>
          </w:tcPr>
          <w:p w14:paraId="5D84B9C1">
            <w:pPr>
              <w:jc w:val="center"/>
              <w:textAlignment w:val="center"/>
              <w:rPr>
                <w:rFonts w:ascii="宋体" w:hAnsi="宋体" w:eastAsia="宋体" w:cs="Times New Roman"/>
                <w:color w:val="auto"/>
              </w:rPr>
            </w:pPr>
            <w:r>
              <w:rPr>
                <w:rFonts w:ascii="宋体" w:hAnsi="宋体" w:eastAsia="宋体" w:cs="Times New Roman"/>
                <w:color w:val="auto"/>
              </w:rPr>
              <w:t>-</w:t>
            </w:r>
          </w:p>
        </w:tc>
      </w:tr>
      <w:tr w14:paraId="7682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1E604910">
            <w:pPr>
              <w:jc w:val="center"/>
              <w:textAlignment w:val="center"/>
              <w:rPr>
                <w:rFonts w:ascii="宋体" w:hAnsi="宋体" w:eastAsia="宋体" w:cs="Times New Roman"/>
                <w:color w:val="auto"/>
              </w:rPr>
            </w:pPr>
            <w:r>
              <w:rPr>
                <w:rFonts w:ascii="宋体" w:hAnsi="宋体" w:eastAsia="宋体" w:cs="Times New Roman"/>
                <w:color w:val="auto"/>
                <w:lang w:bidi="ar"/>
              </w:rPr>
              <w:t>Mg</w:t>
            </w:r>
            <w:r>
              <w:rPr>
                <w:rFonts w:ascii="宋体" w:hAnsi="宋体" w:eastAsia="宋体" w:cs="Times New Roman"/>
                <w:color w:val="auto"/>
                <w:vertAlign w:val="superscript"/>
                <w:lang w:bidi="ar"/>
              </w:rPr>
              <w:t>2+</w:t>
            </w:r>
          </w:p>
        </w:tc>
        <w:tc>
          <w:tcPr>
            <w:tcW w:w="910" w:type="dxa"/>
            <w:tcBorders>
              <w:tl2br w:val="nil"/>
              <w:tr2bl w:val="nil"/>
            </w:tcBorders>
            <w:vAlign w:val="center"/>
          </w:tcPr>
          <w:p w14:paraId="6EDFB6F0">
            <w:pPr>
              <w:jc w:val="center"/>
              <w:textAlignment w:val="center"/>
              <w:rPr>
                <w:rFonts w:ascii="宋体" w:hAnsi="宋体" w:eastAsia="宋体" w:cs="Times New Roman"/>
                <w:color w:val="auto"/>
                <w:lang w:bidi="ar"/>
              </w:rPr>
            </w:pPr>
            <w:r>
              <w:rPr>
                <w:rFonts w:ascii="宋体" w:hAnsi="宋体" w:eastAsia="宋体" w:cs="Times New Roman"/>
                <w:color w:val="auto"/>
                <w:lang w:bidi="ar"/>
              </w:rPr>
              <w:t>10.3</w:t>
            </w:r>
          </w:p>
        </w:tc>
        <w:tc>
          <w:tcPr>
            <w:tcW w:w="910" w:type="dxa"/>
            <w:tcBorders>
              <w:tl2br w:val="nil"/>
              <w:tr2bl w:val="nil"/>
            </w:tcBorders>
            <w:vAlign w:val="center"/>
          </w:tcPr>
          <w:p w14:paraId="177A0402">
            <w:pPr>
              <w:jc w:val="center"/>
              <w:textAlignment w:val="center"/>
              <w:rPr>
                <w:rFonts w:ascii="宋体" w:hAnsi="宋体" w:eastAsia="宋体" w:cs="Times New Roman"/>
                <w:color w:val="auto"/>
                <w:lang w:bidi="ar"/>
              </w:rPr>
            </w:pPr>
            <w:r>
              <w:rPr>
                <w:rFonts w:ascii="宋体" w:hAnsi="宋体" w:eastAsia="宋体" w:cs="Times New Roman"/>
                <w:color w:val="auto"/>
                <w:lang w:bidi="ar"/>
              </w:rPr>
              <w:t>11.2</w:t>
            </w:r>
          </w:p>
        </w:tc>
        <w:tc>
          <w:tcPr>
            <w:tcW w:w="910" w:type="dxa"/>
            <w:tcBorders>
              <w:tl2br w:val="nil"/>
              <w:tr2bl w:val="nil"/>
            </w:tcBorders>
            <w:vAlign w:val="center"/>
          </w:tcPr>
          <w:p w14:paraId="3EF88D14">
            <w:pPr>
              <w:jc w:val="center"/>
              <w:textAlignment w:val="center"/>
              <w:rPr>
                <w:rFonts w:ascii="宋体" w:hAnsi="宋体" w:eastAsia="宋体" w:cs="Times New Roman"/>
                <w:color w:val="auto"/>
                <w:lang w:bidi="ar"/>
              </w:rPr>
            </w:pPr>
            <w:r>
              <w:rPr>
                <w:rFonts w:ascii="宋体" w:hAnsi="宋体" w:eastAsia="宋体" w:cs="Times New Roman"/>
                <w:color w:val="auto"/>
                <w:lang w:bidi="ar"/>
              </w:rPr>
              <w:t>11.5</w:t>
            </w:r>
          </w:p>
        </w:tc>
        <w:tc>
          <w:tcPr>
            <w:tcW w:w="910" w:type="dxa"/>
            <w:tcBorders>
              <w:tl2br w:val="nil"/>
              <w:tr2bl w:val="nil"/>
            </w:tcBorders>
            <w:vAlign w:val="center"/>
          </w:tcPr>
          <w:p w14:paraId="604915A0">
            <w:pPr>
              <w:jc w:val="center"/>
              <w:textAlignment w:val="center"/>
              <w:rPr>
                <w:rFonts w:ascii="宋体" w:hAnsi="宋体" w:eastAsia="宋体" w:cs="Times New Roman"/>
                <w:color w:val="auto"/>
                <w:lang w:bidi="ar"/>
              </w:rPr>
            </w:pPr>
            <w:r>
              <w:rPr>
                <w:rFonts w:ascii="宋体" w:hAnsi="宋体" w:eastAsia="宋体" w:cs="Times New Roman"/>
                <w:color w:val="auto"/>
                <w:lang w:bidi="ar"/>
              </w:rPr>
              <w:t>10.7</w:t>
            </w:r>
          </w:p>
        </w:tc>
        <w:tc>
          <w:tcPr>
            <w:tcW w:w="910" w:type="dxa"/>
            <w:tcBorders>
              <w:tl2br w:val="nil"/>
              <w:tr2bl w:val="nil"/>
            </w:tcBorders>
            <w:vAlign w:val="center"/>
          </w:tcPr>
          <w:p w14:paraId="6ECF8166">
            <w:pPr>
              <w:jc w:val="center"/>
              <w:textAlignment w:val="center"/>
              <w:rPr>
                <w:rFonts w:ascii="宋体" w:hAnsi="宋体" w:eastAsia="宋体" w:cs="Times New Roman"/>
                <w:color w:val="auto"/>
                <w:lang w:bidi="ar"/>
              </w:rPr>
            </w:pPr>
            <w:r>
              <w:rPr>
                <w:rFonts w:ascii="宋体" w:hAnsi="宋体" w:eastAsia="宋体" w:cs="Times New Roman"/>
                <w:color w:val="auto"/>
                <w:lang w:bidi="ar"/>
              </w:rPr>
              <w:t>10.5</w:t>
            </w:r>
          </w:p>
        </w:tc>
        <w:tc>
          <w:tcPr>
            <w:tcW w:w="910" w:type="dxa"/>
            <w:tcBorders>
              <w:tl2br w:val="nil"/>
              <w:tr2bl w:val="nil"/>
            </w:tcBorders>
            <w:vAlign w:val="center"/>
          </w:tcPr>
          <w:p w14:paraId="29A423F0">
            <w:pPr>
              <w:jc w:val="center"/>
              <w:textAlignment w:val="center"/>
              <w:rPr>
                <w:rFonts w:ascii="宋体" w:hAnsi="宋体" w:eastAsia="宋体" w:cs="Times New Roman"/>
                <w:color w:val="auto"/>
                <w:lang w:bidi="ar"/>
              </w:rPr>
            </w:pPr>
            <w:r>
              <w:rPr>
                <w:rFonts w:ascii="宋体" w:hAnsi="宋体" w:eastAsia="宋体" w:cs="Times New Roman"/>
                <w:color w:val="auto"/>
                <w:lang w:bidi="ar"/>
              </w:rPr>
              <w:t>7.22</w:t>
            </w:r>
          </w:p>
        </w:tc>
        <w:tc>
          <w:tcPr>
            <w:tcW w:w="910" w:type="dxa"/>
            <w:tcBorders>
              <w:tl2br w:val="nil"/>
              <w:tr2bl w:val="nil"/>
            </w:tcBorders>
            <w:vAlign w:val="center"/>
          </w:tcPr>
          <w:p w14:paraId="190367A9">
            <w:pPr>
              <w:jc w:val="center"/>
              <w:textAlignment w:val="center"/>
              <w:rPr>
                <w:rFonts w:ascii="宋体" w:hAnsi="宋体" w:eastAsia="宋体" w:cs="Times New Roman"/>
                <w:color w:val="auto"/>
                <w:lang w:bidi="ar"/>
              </w:rPr>
            </w:pPr>
            <w:r>
              <w:rPr>
                <w:rFonts w:ascii="宋体" w:hAnsi="宋体" w:eastAsia="宋体" w:cs="Times New Roman"/>
                <w:color w:val="auto"/>
                <w:lang w:bidi="ar"/>
              </w:rPr>
              <w:t>6.85</w:t>
            </w:r>
          </w:p>
        </w:tc>
        <w:tc>
          <w:tcPr>
            <w:tcW w:w="914" w:type="dxa"/>
            <w:tcBorders>
              <w:tl2br w:val="nil"/>
              <w:tr2bl w:val="nil"/>
            </w:tcBorders>
            <w:vAlign w:val="center"/>
          </w:tcPr>
          <w:p w14:paraId="32AC7E16">
            <w:pPr>
              <w:jc w:val="center"/>
              <w:textAlignment w:val="center"/>
              <w:rPr>
                <w:rFonts w:ascii="宋体" w:hAnsi="宋体" w:eastAsia="宋体" w:cs="Times New Roman"/>
                <w:color w:val="auto"/>
                <w:lang w:bidi="ar"/>
              </w:rPr>
            </w:pPr>
            <w:r>
              <w:rPr>
                <w:rFonts w:ascii="宋体" w:hAnsi="宋体" w:eastAsia="宋体" w:cs="Times New Roman"/>
                <w:color w:val="auto"/>
                <w:lang w:bidi="ar"/>
              </w:rPr>
              <w:t>10.1</w:t>
            </w:r>
          </w:p>
        </w:tc>
        <w:tc>
          <w:tcPr>
            <w:tcW w:w="735" w:type="dxa"/>
            <w:tcBorders>
              <w:tl2br w:val="nil"/>
              <w:tr2bl w:val="nil"/>
            </w:tcBorders>
            <w:vAlign w:val="center"/>
          </w:tcPr>
          <w:p w14:paraId="1E6DD49B">
            <w:pPr>
              <w:jc w:val="center"/>
              <w:textAlignment w:val="center"/>
              <w:rPr>
                <w:rFonts w:ascii="宋体" w:hAnsi="宋体" w:eastAsia="宋体" w:cs="Times New Roman"/>
                <w:color w:val="auto"/>
              </w:rPr>
            </w:pPr>
            <w:r>
              <w:rPr>
                <w:rFonts w:ascii="宋体" w:hAnsi="宋体" w:eastAsia="宋体" w:cs="Times New Roman"/>
                <w:color w:val="auto"/>
              </w:rPr>
              <w:t>-</w:t>
            </w:r>
          </w:p>
        </w:tc>
      </w:tr>
      <w:tr w14:paraId="796B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74E5BE01">
            <w:pPr>
              <w:jc w:val="center"/>
              <w:textAlignment w:val="center"/>
              <w:rPr>
                <w:rFonts w:ascii="宋体" w:hAnsi="宋体" w:eastAsia="宋体" w:cs="Times New Roman"/>
                <w:color w:val="auto"/>
              </w:rPr>
            </w:pPr>
            <w:r>
              <w:rPr>
                <w:rFonts w:ascii="宋体" w:hAnsi="宋体" w:eastAsia="宋体" w:cs="Times New Roman"/>
                <w:color w:val="auto"/>
                <w:lang w:bidi="ar"/>
              </w:rPr>
              <w:t>HCO</w:t>
            </w:r>
            <w:r>
              <w:rPr>
                <w:rFonts w:ascii="宋体" w:hAnsi="宋体" w:eastAsia="宋体" w:cs="Times New Roman"/>
                <w:color w:val="auto"/>
                <w:vertAlign w:val="subscript"/>
                <w:lang w:bidi="ar"/>
              </w:rPr>
              <w:t>3</w:t>
            </w:r>
            <w:r>
              <w:rPr>
                <w:rFonts w:ascii="宋体" w:hAnsi="宋体" w:eastAsia="宋体" w:cs="Times New Roman"/>
                <w:color w:val="auto"/>
                <w:vertAlign w:val="superscript"/>
                <w:lang w:bidi="ar"/>
              </w:rPr>
              <w:t>-</w:t>
            </w:r>
          </w:p>
        </w:tc>
        <w:tc>
          <w:tcPr>
            <w:tcW w:w="910" w:type="dxa"/>
            <w:tcBorders>
              <w:tl2br w:val="nil"/>
              <w:tr2bl w:val="nil"/>
            </w:tcBorders>
            <w:vAlign w:val="center"/>
          </w:tcPr>
          <w:p w14:paraId="2CB71FFB">
            <w:pPr>
              <w:jc w:val="center"/>
              <w:textAlignment w:val="center"/>
              <w:rPr>
                <w:rFonts w:ascii="宋体" w:hAnsi="宋体" w:eastAsia="宋体" w:cs="Times New Roman"/>
                <w:color w:val="auto"/>
                <w:lang w:bidi="ar"/>
              </w:rPr>
            </w:pPr>
            <w:r>
              <w:rPr>
                <w:rFonts w:ascii="宋体" w:hAnsi="宋体" w:eastAsia="宋体" w:cs="Times New Roman"/>
                <w:color w:val="auto"/>
                <w:lang w:bidi="ar"/>
              </w:rPr>
              <w:t>205</w:t>
            </w:r>
          </w:p>
        </w:tc>
        <w:tc>
          <w:tcPr>
            <w:tcW w:w="910" w:type="dxa"/>
            <w:tcBorders>
              <w:tl2br w:val="nil"/>
              <w:tr2bl w:val="nil"/>
            </w:tcBorders>
            <w:vAlign w:val="center"/>
          </w:tcPr>
          <w:p w14:paraId="08529E27">
            <w:pPr>
              <w:jc w:val="center"/>
              <w:textAlignment w:val="center"/>
              <w:rPr>
                <w:rFonts w:ascii="宋体" w:hAnsi="宋体" w:eastAsia="宋体" w:cs="Times New Roman"/>
                <w:color w:val="auto"/>
                <w:lang w:bidi="ar"/>
              </w:rPr>
            </w:pPr>
            <w:r>
              <w:rPr>
                <w:rFonts w:ascii="宋体" w:hAnsi="宋体" w:eastAsia="宋体" w:cs="Times New Roman"/>
                <w:color w:val="auto"/>
                <w:lang w:bidi="ar"/>
              </w:rPr>
              <w:t>247</w:t>
            </w:r>
          </w:p>
        </w:tc>
        <w:tc>
          <w:tcPr>
            <w:tcW w:w="910" w:type="dxa"/>
            <w:tcBorders>
              <w:tl2br w:val="nil"/>
              <w:tr2bl w:val="nil"/>
            </w:tcBorders>
            <w:vAlign w:val="center"/>
          </w:tcPr>
          <w:p w14:paraId="6489F9F5">
            <w:pPr>
              <w:jc w:val="center"/>
              <w:textAlignment w:val="center"/>
              <w:rPr>
                <w:rFonts w:ascii="宋体" w:hAnsi="宋体" w:eastAsia="宋体" w:cs="Times New Roman"/>
                <w:color w:val="auto"/>
                <w:lang w:bidi="ar"/>
              </w:rPr>
            </w:pPr>
            <w:r>
              <w:rPr>
                <w:rFonts w:ascii="宋体" w:hAnsi="宋体" w:eastAsia="宋体" w:cs="Times New Roman"/>
                <w:color w:val="auto"/>
                <w:lang w:bidi="ar"/>
              </w:rPr>
              <w:t>238</w:t>
            </w:r>
          </w:p>
        </w:tc>
        <w:tc>
          <w:tcPr>
            <w:tcW w:w="910" w:type="dxa"/>
            <w:tcBorders>
              <w:tl2br w:val="nil"/>
              <w:tr2bl w:val="nil"/>
            </w:tcBorders>
            <w:vAlign w:val="center"/>
          </w:tcPr>
          <w:p w14:paraId="1C472A43">
            <w:pPr>
              <w:jc w:val="center"/>
              <w:textAlignment w:val="center"/>
              <w:rPr>
                <w:rFonts w:ascii="宋体" w:hAnsi="宋体" w:eastAsia="宋体" w:cs="Times New Roman"/>
                <w:color w:val="auto"/>
                <w:lang w:bidi="ar"/>
              </w:rPr>
            </w:pPr>
            <w:r>
              <w:rPr>
                <w:rFonts w:ascii="宋体" w:hAnsi="宋体" w:eastAsia="宋体" w:cs="Times New Roman"/>
                <w:color w:val="auto"/>
                <w:lang w:bidi="ar"/>
              </w:rPr>
              <w:t>234</w:t>
            </w:r>
          </w:p>
        </w:tc>
        <w:tc>
          <w:tcPr>
            <w:tcW w:w="910" w:type="dxa"/>
            <w:tcBorders>
              <w:tl2br w:val="nil"/>
              <w:tr2bl w:val="nil"/>
            </w:tcBorders>
            <w:vAlign w:val="center"/>
          </w:tcPr>
          <w:p w14:paraId="712D0249">
            <w:pPr>
              <w:jc w:val="center"/>
              <w:textAlignment w:val="center"/>
              <w:rPr>
                <w:rFonts w:ascii="宋体" w:hAnsi="宋体" w:eastAsia="宋体" w:cs="Times New Roman"/>
                <w:color w:val="auto"/>
                <w:lang w:bidi="ar"/>
              </w:rPr>
            </w:pPr>
            <w:r>
              <w:rPr>
                <w:rFonts w:ascii="宋体" w:hAnsi="宋体" w:eastAsia="宋体" w:cs="Times New Roman"/>
                <w:color w:val="auto"/>
                <w:lang w:bidi="ar"/>
              </w:rPr>
              <w:t>228</w:t>
            </w:r>
          </w:p>
        </w:tc>
        <w:tc>
          <w:tcPr>
            <w:tcW w:w="910" w:type="dxa"/>
            <w:tcBorders>
              <w:tl2br w:val="nil"/>
              <w:tr2bl w:val="nil"/>
            </w:tcBorders>
            <w:vAlign w:val="center"/>
          </w:tcPr>
          <w:p w14:paraId="66BDA254">
            <w:pPr>
              <w:jc w:val="center"/>
              <w:textAlignment w:val="center"/>
              <w:rPr>
                <w:rFonts w:ascii="宋体" w:hAnsi="宋体" w:eastAsia="宋体" w:cs="Times New Roman"/>
                <w:color w:val="auto"/>
                <w:lang w:bidi="ar"/>
              </w:rPr>
            </w:pPr>
            <w:r>
              <w:rPr>
                <w:rFonts w:ascii="宋体" w:hAnsi="宋体" w:eastAsia="宋体" w:cs="Times New Roman"/>
                <w:color w:val="auto"/>
                <w:lang w:bidi="ar"/>
              </w:rPr>
              <w:t>149</w:t>
            </w:r>
          </w:p>
        </w:tc>
        <w:tc>
          <w:tcPr>
            <w:tcW w:w="910" w:type="dxa"/>
            <w:tcBorders>
              <w:tl2br w:val="nil"/>
              <w:tr2bl w:val="nil"/>
            </w:tcBorders>
            <w:vAlign w:val="center"/>
          </w:tcPr>
          <w:p w14:paraId="14095B71">
            <w:pPr>
              <w:jc w:val="center"/>
              <w:textAlignment w:val="center"/>
              <w:rPr>
                <w:rFonts w:ascii="宋体" w:hAnsi="宋体" w:eastAsia="宋体" w:cs="Times New Roman"/>
                <w:color w:val="auto"/>
                <w:lang w:bidi="ar"/>
              </w:rPr>
            </w:pPr>
            <w:r>
              <w:rPr>
                <w:rFonts w:ascii="宋体" w:hAnsi="宋体" w:eastAsia="宋体" w:cs="Times New Roman"/>
                <w:color w:val="auto"/>
                <w:lang w:bidi="ar"/>
              </w:rPr>
              <w:t>152</w:t>
            </w:r>
          </w:p>
        </w:tc>
        <w:tc>
          <w:tcPr>
            <w:tcW w:w="914" w:type="dxa"/>
            <w:tcBorders>
              <w:tl2br w:val="nil"/>
              <w:tr2bl w:val="nil"/>
            </w:tcBorders>
            <w:vAlign w:val="center"/>
          </w:tcPr>
          <w:p w14:paraId="4605B93E">
            <w:pPr>
              <w:jc w:val="center"/>
              <w:textAlignment w:val="center"/>
              <w:rPr>
                <w:rFonts w:ascii="宋体" w:hAnsi="宋体" w:eastAsia="宋体" w:cs="Times New Roman"/>
                <w:color w:val="auto"/>
                <w:lang w:bidi="ar"/>
              </w:rPr>
            </w:pPr>
            <w:r>
              <w:rPr>
                <w:rFonts w:ascii="宋体" w:hAnsi="宋体" w:eastAsia="宋体" w:cs="Times New Roman"/>
                <w:color w:val="auto"/>
                <w:lang w:bidi="ar"/>
              </w:rPr>
              <w:t>231</w:t>
            </w:r>
          </w:p>
        </w:tc>
        <w:tc>
          <w:tcPr>
            <w:tcW w:w="735" w:type="dxa"/>
            <w:tcBorders>
              <w:tl2br w:val="nil"/>
              <w:tr2bl w:val="nil"/>
            </w:tcBorders>
            <w:vAlign w:val="center"/>
          </w:tcPr>
          <w:p w14:paraId="64A06C64">
            <w:pPr>
              <w:jc w:val="center"/>
              <w:textAlignment w:val="center"/>
              <w:rPr>
                <w:rFonts w:ascii="宋体" w:hAnsi="宋体" w:eastAsia="宋体" w:cs="Times New Roman"/>
                <w:color w:val="auto"/>
              </w:rPr>
            </w:pPr>
            <w:r>
              <w:rPr>
                <w:rFonts w:ascii="宋体" w:hAnsi="宋体" w:eastAsia="宋体" w:cs="Times New Roman"/>
                <w:color w:val="auto"/>
              </w:rPr>
              <w:t>-</w:t>
            </w:r>
          </w:p>
        </w:tc>
      </w:tr>
      <w:tr w14:paraId="4563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20F47020">
            <w:pPr>
              <w:jc w:val="center"/>
              <w:textAlignment w:val="center"/>
              <w:rPr>
                <w:rFonts w:ascii="宋体" w:hAnsi="宋体" w:eastAsia="宋体" w:cs="Times New Roman"/>
                <w:color w:val="auto"/>
              </w:rPr>
            </w:pPr>
            <w:r>
              <w:rPr>
                <w:rFonts w:ascii="宋体" w:hAnsi="宋体" w:eastAsia="宋体" w:cs="Times New Roman"/>
                <w:color w:val="auto"/>
                <w:lang w:bidi="ar"/>
              </w:rPr>
              <w:t>CO</w:t>
            </w:r>
            <w:r>
              <w:rPr>
                <w:rFonts w:ascii="宋体" w:hAnsi="宋体" w:eastAsia="宋体" w:cs="Times New Roman"/>
                <w:color w:val="auto"/>
                <w:vertAlign w:val="subscript"/>
                <w:lang w:bidi="ar"/>
              </w:rPr>
              <w:t>3</w:t>
            </w:r>
            <w:r>
              <w:rPr>
                <w:rFonts w:ascii="宋体" w:hAnsi="宋体" w:eastAsia="宋体" w:cs="Times New Roman"/>
                <w:color w:val="auto"/>
                <w:vertAlign w:val="superscript"/>
                <w:lang w:bidi="ar"/>
              </w:rPr>
              <w:t>2-</w:t>
            </w:r>
          </w:p>
        </w:tc>
        <w:tc>
          <w:tcPr>
            <w:tcW w:w="910" w:type="dxa"/>
            <w:tcBorders>
              <w:tl2br w:val="nil"/>
              <w:tr2bl w:val="nil"/>
            </w:tcBorders>
            <w:vAlign w:val="center"/>
          </w:tcPr>
          <w:p w14:paraId="5C7E35FE">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10" w:type="dxa"/>
            <w:tcBorders>
              <w:tl2br w:val="nil"/>
              <w:tr2bl w:val="nil"/>
            </w:tcBorders>
            <w:vAlign w:val="center"/>
          </w:tcPr>
          <w:p w14:paraId="70EA3E37">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10" w:type="dxa"/>
            <w:tcBorders>
              <w:tl2br w:val="nil"/>
              <w:tr2bl w:val="nil"/>
            </w:tcBorders>
            <w:vAlign w:val="center"/>
          </w:tcPr>
          <w:p w14:paraId="6561C83A">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10" w:type="dxa"/>
            <w:tcBorders>
              <w:tl2br w:val="nil"/>
              <w:tr2bl w:val="nil"/>
            </w:tcBorders>
            <w:vAlign w:val="center"/>
          </w:tcPr>
          <w:p w14:paraId="734B49D6">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10" w:type="dxa"/>
            <w:tcBorders>
              <w:tl2br w:val="nil"/>
              <w:tr2bl w:val="nil"/>
            </w:tcBorders>
            <w:vAlign w:val="center"/>
          </w:tcPr>
          <w:p w14:paraId="2A5C7EBF">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10" w:type="dxa"/>
            <w:tcBorders>
              <w:tl2br w:val="nil"/>
              <w:tr2bl w:val="nil"/>
            </w:tcBorders>
            <w:vAlign w:val="center"/>
          </w:tcPr>
          <w:p w14:paraId="39771D5C">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10" w:type="dxa"/>
            <w:tcBorders>
              <w:tl2br w:val="nil"/>
              <w:tr2bl w:val="nil"/>
            </w:tcBorders>
            <w:vAlign w:val="center"/>
          </w:tcPr>
          <w:p w14:paraId="29AE2033">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14" w:type="dxa"/>
            <w:tcBorders>
              <w:tl2br w:val="nil"/>
              <w:tr2bl w:val="nil"/>
            </w:tcBorders>
            <w:vAlign w:val="center"/>
          </w:tcPr>
          <w:p w14:paraId="18160CD6">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735" w:type="dxa"/>
            <w:tcBorders>
              <w:tl2br w:val="nil"/>
              <w:tr2bl w:val="nil"/>
            </w:tcBorders>
            <w:vAlign w:val="center"/>
          </w:tcPr>
          <w:p w14:paraId="20F72C16">
            <w:pPr>
              <w:jc w:val="center"/>
              <w:textAlignment w:val="center"/>
              <w:rPr>
                <w:rFonts w:ascii="宋体" w:hAnsi="宋体" w:eastAsia="宋体" w:cs="Times New Roman"/>
                <w:color w:val="auto"/>
              </w:rPr>
            </w:pPr>
            <w:r>
              <w:rPr>
                <w:rFonts w:ascii="宋体" w:hAnsi="宋体" w:eastAsia="宋体" w:cs="Times New Roman"/>
                <w:color w:val="auto"/>
              </w:rPr>
              <w:t>-</w:t>
            </w:r>
          </w:p>
        </w:tc>
      </w:tr>
      <w:tr w14:paraId="5F6B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020DF3FE">
            <w:pPr>
              <w:jc w:val="center"/>
              <w:textAlignment w:val="center"/>
              <w:rPr>
                <w:rFonts w:ascii="宋体" w:hAnsi="宋体" w:eastAsia="宋体" w:cs="Times New Roman"/>
                <w:color w:val="auto"/>
              </w:rPr>
            </w:pPr>
            <w:r>
              <w:rPr>
                <w:rFonts w:ascii="宋体" w:hAnsi="宋体" w:eastAsia="宋体" w:cs="Times New Roman"/>
                <w:color w:val="auto"/>
                <w:lang w:bidi="ar"/>
              </w:rPr>
              <w:t>Cl</w:t>
            </w:r>
            <w:r>
              <w:rPr>
                <w:rFonts w:ascii="宋体" w:hAnsi="宋体" w:eastAsia="宋体" w:cs="Times New Roman"/>
                <w:color w:val="auto"/>
                <w:vertAlign w:val="superscript"/>
                <w:lang w:bidi="ar"/>
              </w:rPr>
              <w:t>-</w:t>
            </w:r>
          </w:p>
        </w:tc>
        <w:tc>
          <w:tcPr>
            <w:tcW w:w="910" w:type="dxa"/>
            <w:tcBorders>
              <w:tl2br w:val="nil"/>
              <w:tr2bl w:val="nil"/>
            </w:tcBorders>
            <w:vAlign w:val="center"/>
          </w:tcPr>
          <w:p w14:paraId="6C560F18">
            <w:pPr>
              <w:jc w:val="center"/>
              <w:textAlignment w:val="center"/>
              <w:rPr>
                <w:rFonts w:ascii="宋体" w:hAnsi="宋体" w:eastAsia="宋体" w:cs="Times New Roman"/>
                <w:color w:val="auto"/>
                <w:lang w:bidi="ar"/>
              </w:rPr>
            </w:pPr>
            <w:r>
              <w:rPr>
                <w:rFonts w:ascii="宋体" w:hAnsi="宋体" w:eastAsia="宋体" w:cs="Times New Roman"/>
                <w:color w:val="auto"/>
                <w:lang w:bidi="ar"/>
              </w:rPr>
              <w:t>48</w:t>
            </w:r>
          </w:p>
        </w:tc>
        <w:tc>
          <w:tcPr>
            <w:tcW w:w="910" w:type="dxa"/>
            <w:tcBorders>
              <w:tl2br w:val="nil"/>
              <w:tr2bl w:val="nil"/>
            </w:tcBorders>
            <w:vAlign w:val="center"/>
          </w:tcPr>
          <w:p w14:paraId="3C8DF1EC">
            <w:pPr>
              <w:jc w:val="center"/>
              <w:textAlignment w:val="center"/>
              <w:rPr>
                <w:rFonts w:ascii="宋体" w:hAnsi="宋体" w:eastAsia="宋体" w:cs="Times New Roman"/>
                <w:color w:val="auto"/>
                <w:lang w:bidi="ar"/>
              </w:rPr>
            </w:pPr>
            <w:r>
              <w:rPr>
                <w:rFonts w:ascii="宋体" w:hAnsi="宋体" w:eastAsia="宋体" w:cs="Times New Roman"/>
                <w:color w:val="auto"/>
                <w:lang w:bidi="ar"/>
              </w:rPr>
              <w:t>50</w:t>
            </w:r>
          </w:p>
        </w:tc>
        <w:tc>
          <w:tcPr>
            <w:tcW w:w="910" w:type="dxa"/>
            <w:tcBorders>
              <w:tl2br w:val="nil"/>
              <w:tr2bl w:val="nil"/>
            </w:tcBorders>
            <w:vAlign w:val="center"/>
          </w:tcPr>
          <w:p w14:paraId="2C86D25D">
            <w:pPr>
              <w:jc w:val="center"/>
              <w:textAlignment w:val="center"/>
              <w:rPr>
                <w:rFonts w:ascii="宋体" w:hAnsi="宋体" w:eastAsia="宋体" w:cs="Times New Roman"/>
                <w:color w:val="auto"/>
                <w:lang w:bidi="ar"/>
              </w:rPr>
            </w:pPr>
            <w:r>
              <w:rPr>
                <w:rFonts w:ascii="宋体" w:hAnsi="宋体" w:eastAsia="宋体" w:cs="Times New Roman"/>
                <w:color w:val="auto"/>
                <w:lang w:bidi="ar"/>
              </w:rPr>
              <w:t>57</w:t>
            </w:r>
          </w:p>
        </w:tc>
        <w:tc>
          <w:tcPr>
            <w:tcW w:w="910" w:type="dxa"/>
            <w:tcBorders>
              <w:tl2br w:val="nil"/>
              <w:tr2bl w:val="nil"/>
            </w:tcBorders>
            <w:vAlign w:val="center"/>
          </w:tcPr>
          <w:p w14:paraId="4B40F547">
            <w:pPr>
              <w:jc w:val="center"/>
              <w:textAlignment w:val="center"/>
              <w:rPr>
                <w:rFonts w:ascii="宋体" w:hAnsi="宋体" w:eastAsia="宋体" w:cs="Times New Roman"/>
                <w:color w:val="auto"/>
                <w:lang w:bidi="ar"/>
              </w:rPr>
            </w:pPr>
            <w:r>
              <w:rPr>
                <w:rFonts w:ascii="宋体" w:hAnsi="宋体" w:eastAsia="宋体" w:cs="Times New Roman"/>
                <w:color w:val="auto"/>
                <w:lang w:bidi="ar"/>
              </w:rPr>
              <w:t>49</w:t>
            </w:r>
          </w:p>
        </w:tc>
        <w:tc>
          <w:tcPr>
            <w:tcW w:w="910" w:type="dxa"/>
            <w:tcBorders>
              <w:tl2br w:val="nil"/>
              <w:tr2bl w:val="nil"/>
            </w:tcBorders>
            <w:vAlign w:val="center"/>
          </w:tcPr>
          <w:p w14:paraId="160E872D">
            <w:pPr>
              <w:jc w:val="center"/>
              <w:textAlignment w:val="center"/>
              <w:rPr>
                <w:rFonts w:ascii="宋体" w:hAnsi="宋体" w:eastAsia="宋体" w:cs="Times New Roman"/>
                <w:color w:val="auto"/>
                <w:lang w:bidi="ar"/>
              </w:rPr>
            </w:pPr>
            <w:r>
              <w:rPr>
                <w:rFonts w:ascii="宋体" w:hAnsi="宋体" w:eastAsia="宋体" w:cs="Times New Roman"/>
                <w:color w:val="auto"/>
                <w:lang w:bidi="ar"/>
              </w:rPr>
              <w:t>53</w:t>
            </w:r>
          </w:p>
        </w:tc>
        <w:tc>
          <w:tcPr>
            <w:tcW w:w="910" w:type="dxa"/>
            <w:tcBorders>
              <w:tl2br w:val="nil"/>
              <w:tr2bl w:val="nil"/>
            </w:tcBorders>
            <w:vAlign w:val="center"/>
          </w:tcPr>
          <w:p w14:paraId="46648FC8">
            <w:pPr>
              <w:jc w:val="center"/>
              <w:textAlignment w:val="center"/>
              <w:rPr>
                <w:rFonts w:ascii="宋体" w:hAnsi="宋体" w:eastAsia="宋体" w:cs="Times New Roman"/>
                <w:color w:val="auto"/>
                <w:lang w:bidi="ar"/>
              </w:rPr>
            </w:pPr>
            <w:r>
              <w:rPr>
                <w:rFonts w:ascii="宋体" w:hAnsi="宋体" w:eastAsia="宋体" w:cs="Times New Roman"/>
                <w:color w:val="auto"/>
                <w:lang w:bidi="ar"/>
              </w:rPr>
              <w:t>41</w:t>
            </w:r>
          </w:p>
        </w:tc>
        <w:tc>
          <w:tcPr>
            <w:tcW w:w="910" w:type="dxa"/>
            <w:tcBorders>
              <w:tl2br w:val="nil"/>
              <w:tr2bl w:val="nil"/>
            </w:tcBorders>
            <w:vAlign w:val="center"/>
          </w:tcPr>
          <w:p w14:paraId="1AECBB9B">
            <w:pPr>
              <w:jc w:val="center"/>
              <w:textAlignment w:val="center"/>
              <w:rPr>
                <w:rFonts w:ascii="宋体" w:hAnsi="宋体" w:eastAsia="宋体" w:cs="Times New Roman"/>
                <w:color w:val="auto"/>
                <w:lang w:bidi="ar"/>
              </w:rPr>
            </w:pPr>
            <w:r>
              <w:rPr>
                <w:rFonts w:ascii="宋体" w:hAnsi="宋体" w:eastAsia="宋体" w:cs="Times New Roman"/>
                <w:color w:val="auto"/>
                <w:lang w:bidi="ar"/>
              </w:rPr>
              <w:t>38</w:t>
            </w:r>
          </w:p>
        </w:tc>
        <w:tc>
          <w:tcPr>
            <w:tcW w:w="914" w:type="dxa"/>
            <w:tcBorders>
              <w:tl2br w:val="nil"/>
              <w:tr2bl w:val="nil"/>
            </w:tcBorders>
            <w:vAlign w:val="center"/>
          </w:tcPr>
          <w:p w14:paraId="06E5FBE2">
            <w:pPr>
              <w:jc w:val="center"/>
              <w:textAlignment w:val="center"/>
              <w:rPr>
                <w:rFonts w:ascii="宋体" w:hAnsi="宋体" w:eastAsia="宋体" w:cs="Times New Roman"/>
                <w:color w:val="auto"/>
                <w:lang w:bidi="ar"/>
              </w:rPr>
            </w:pPr>
            <w:r>
              <w:rPr>
                <w:rFonts w:ascii="宋体" w:hAnsi="宋体" w:eastAsia="宋体" w:cs="Times New Roman"/>
                <w:color w:val="auto"/>
                <w:lang w:bidi="ar"/>
              </w:rPr>
              <w:t>47</w:t>
            </w:r>
          </w:p>
        </w:tc>
        <w:tc>
          <w:tcPr>
            <w:tcW w:w="735" w:type="dxa"/>
            <w:tcBorders>
              <w:tl2br w:val="nil"/>
              <w:tr2bl w:val="nil"/>
            </w:tcBorders>
            <w:vAlign w:val="center"/>
          </w:tcPr>
          <w:p w14:paraId="3FFCC705">
            <w:pPr>
              <w:jc w:val="center"/>
              <w:textAlignment w:val="center"/>
              <w:rPr>
                <w:rFonts w:ascii="宋体" w:hAnsi="宋体" w:eastAsia="宋体" w:cs="Times New Roman"/>
                <w:color w:val="auto"/>
              </w:rPr>
            </w:pPr>
            <w:r>
              <w:rPr>
                <w:rFonts w:ascii="宋体" w:hAnsi="宋体" w:eastAsia="宋体" w:cs="Times New Roman"/>
                <w:color w:val="auto"/>
              </w:rPr>
              <w:t>≤250</w:t>
            </w:r>
          </w:p>
        </w:tc>
      </w:tr>
      <w:tr w14:paraId="2C9D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4B8897AC">
            <w:pPr>
              <w:jc w:val="center"/>
              <w:textAlignment w:val="center"/>
              <w:rPr>
                <w:rFonts w:ascii="宋体" w:hAnsi="宋体" w:eastAsia="宋体" w:cs="Times New Roman"/>
                <w:color w:val="auto"/>
              </w:rPr>
            </w:pPr>
            <w:r>
              <w:rPr>
                <w:rFonts w:ascii="宋体" w:hAnsi="宋体" w:eastAsia="宋体" w:cs="Times New Roman"/>
                <w:color w:val="auto"/>
                <w:lang w:bidi="ar"/>
              </w:rPr>
              <w:t>SO</w:t>
            </w:r>
            <w:r>
              <w:rPr>
                <w:rFonts w:ascii="宋体" w:hAnsi="宋体" w:eastAsia="宋体" w:cs="Times New Roman"/>
                <w:color w:val="auto"/>
                <w:vertAlign w:val="subscript"/>
                <w:lang w:bidi="ar"/>
              </w:rPr>
              <w:t>4</w:t>
            </w:r>
            <w:r>
              <w:rPr>
                <w:rFonts w:ascii="宋体" w:hAnsi="宋体" w:eastAsia="宋体" w:cs="Times New Roman"/>
                <w:color w:val="auto"/>
                <w:vertAlign w:val="superscript"/>
                <w:lang w:bidi="ar"/>
              </w:rPr>
              <w:t>2-</w:t>
            </w:r>
          </w:p>
        </w:tc>
        <w:tc>
          <w:tcPr>
            <w:tcW w:w="910" w:type="dxa"/>
            <w:tcBorders>
              <w:tl2br w:val="nil"/>
              <w:tr2bl w:val="nil"/>
            </w:tcBorders>
            <w:vAlign w:val="center"/>
          </w:tcPr>
          <w:p w14:paraId="522F8FEE">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44</w:t>
            </w:r>
          </w:p>
        </w:tc>
        <w:tc>
          <w:tcPr>
            <w:tcW w:w="910" w:type="dxa"/>
            <w:tcBorders>
              <w:tl2br w:val="nil"/>
              <w:tr2bl w:val="nil"/>
            </w:tcBorders>
            <w:vAlign w:val="center"/>
          </w:tcPr>
          <w:p w14:paraId="05B16D43">
            <w:pPr>
              <w:jc w:val="center"/>
              <w:textAlignment w:val="center"/>
              <w:rPr>
                <w:rFonts w:ascii="宋体" w:hAnsi="宋体" w:eastAsia="宋体" w:cs="Times New Roman"/>
                <w:color w:val="auto"/>
                <w:lang w:bidi="ar"/>
              </w:rPr>
            </w:pPr>
            <w:r>
              <w:rPr>
                <w:rFonts w:ascii="宋体" w:hAnsi="宋体" w:eastAsia="宋体" w:cs="Times New Roman"/>
                <w:color w:val="auto"/>
                <w:lang w:bidi="ar"/>
              </w:rPr>
              <w:t>39</w:t>
            </w:r>
          </w:p>
        </w:tc>
        <w:tc>
          <w:tcPr>
            <w:tcW w:w="910" w:type="dxa"/>
            <w:tcBorders>
              <w:tl2br w:val="nil"/>
              <w:tr2bl w:val="nil"/>
            </w:tcBorders>
            <w:vAlign w:val="center"/>
          </w:tcPr>
          <w:p w14:paraId="02B967FA">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39</w:t>
            </w:r>
          </w:p>
        </w:tc>
        <w:tc>
          <w:tcPr>
            <w:tcW w:w="910" w:type="dxa"/>
            <w:tcBorders>
              <w:tl2br w:val="nil"/>
              <w:tr2bl w:val="nil"/>
            </w:tcBorders>
            <w:vAlign w:val="center"/>
          </w:tcPr>
          <w:p w14:paraId="1DD6A3FC">
            <w:pPr>
              <w:jc w:val="center"/>
              <w:textAlignment w:val="center"/>
              <w:rPr>
                <w:rFonts w:ascii="宋体" w:hAnsi="宋体" w:eastAsia="宋体" w:cs="Times New Roman"/>
                <w:color w:val="auto"/>
                <w:lang w:bidi="ar"/>
              </w:rPr>
            </w:pPr>
            <w:r>
              <w:rPr>
                <w:rFonts w:ascii="宋体" w:hAnsi="宋体" w:eastAsia="宋体" w:cs="Times New Roman"/>
                <w:color w:val="auto"/>
                <w:lang w:bidi="ar"/>
              </w:rPr>
              <w:t>42</w:t>
            </w:r>
          </w:p>
        </w:tc>
        <w:tc>
          <w:tcPr>
            <w:tcW w:w="910" w:type="dxa"/>
            <w:tcBorders>
              <w:tl2br w:val="nil"/>
              <w:tr2bl w:val="nil"/>
            </w:tcBorders>
            <w:vAlign w:val="center"/>
          </w:tcPr>
          <w:p w14:paraId="4E5DBCEF">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42</w:t>
            </w:r>
          </w:p>
        </w:tc>
        <w:tc>
          <w:tcPr>
            <w:tcW w:w="910" w:type="dxa"/>
            <w:tcBorders>
              <w:tl2br w:val="nil"/>
              <w:tr2bl w:val="nil"/>
            </w:tcBorders>
            <w:vAlign w:val="center"/>
          </w:tcPr>
          <w:p w14:paraId="7D260B1E">
            <w:pPr>
              <w:jc w:val="center"/>
              <w:textAlignment w:val="center"/>
              <w:rPr>
                <w:rFonts w:ascii="宋体" w:hAnsi="宋体" w:eastAsia="宋体" w:cs="Times New Roman"/>
                <w:color w:val="auto"/>
                <w:lang w:bidi="ar"/>
              </w:rPr>
            </w:pPr>
            <w:r>
              <w:rPr>
                <w:rFonts w:ascii="宋体" w:hAnsi="宋体" w:eastAsia="宋体" w:cs="Times New Roman"/>
                <w:color w:val="auto"/>
                <w:lang w:bidi="ar"/>
              </w:rPr>
              <w:t>27</w:t>
            </w:r>
          </w:p>
        </w:tc>
        <w:tc>
          <w:tcPr>
            <w:tcW w:w="910" w:type="dxa"/>
            <w:tcBorders>
              <w:tl2br w:val="nil"/>
              <w:tr2bl w:val="nil"/>
            </w:tcBorders>
            <w:vAlign w:val="center"/>
          </w:tcPr>
          <w:p w14:paraId="37856620">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29</w:t>
            </w:r>
          </w:p>
        </w:tc>
        <w:tc>
          <w:tcPr>
            <w:tcW w:w="914" w:type="dxa"/>
            <w:tcBorders>
              <w:tl2br w:val="nil"/>
              <w:tr2bl w:val="nil"/>
            </w:tcBorders>
            <w:vAlign w:val="center"/>
          </w:tcPr>
          <w:p w14:paraId="13ABA694">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32</w:t>
            </w:r>
          </w:p>
        </w:tc>
        <w:tc>
          <w:tcPr>
            <w:tcW w:w="735" w:type="dxa"/>
            <w:tcBorders>
              <w:tl2br w:val="nil"/>
              <w:tr2bl w:val="nil"/>
            </w:tcBorders>
            <w:vAlign w:val="center"/>
          </w:tcPr>
          <w:p w14:paraId="3B224426">
            <w:pPr>
              <w:jc w:val="center"/>
              <w:textAlignment w:val="center"/>
              <w:rPr>
                <w:rFonts w:ascii="宋体" w:hAnsi="宋体" w:eastAsia="宋体" w:cs="Times New Roman"/>
                <w:color w:val="auto"/>
              </w:rPr>
            </w:pPr>
            <w:r>
              <w:rPr>
                <w:rFonts w:ascii="宋体" w:hAnsi="宋体" w:eastAsia="宋体" w:cs="Times New Roman"/>
                <w:color w:val="auto"/>
              </w:rPr>
              <w:t>≤250</w:t>
            </w:r>
          </w:p>
        </w:tc>
      </w:tr>
      <w:tr w14:paraId="51CE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248BD20D">
            <w:pPr>
              <w:jc w:val="center"/>
              <w:textAlignment w:val="center"/>
              <w:rPr>
                <w:rFonts w:ascii="宋体" w:hAnsi="宋体" w:eastAsia="宋体" w:cs="Times New Roman"/>
                <w:color w:val="auto"/>
              </w:rPr>
            </w:pPr>
            <w:r>
              <w:rPr>
                <w:rFonts w:ascii="宋体" w:hAnsi="宋体" w:eastAsia="宋体" w:cs="Times New Roman"/>
                <w:color w:val="auto"/>
              </w:rPr>
              <w:t>pH</w:t>
            </w:r>
          </w:p>
        </w:tc>
        <w:tc>
          <w:tcPr>
            <w:tcW w:w="910" w:type="dxa"/>
            <w:tcBorders>
              <w:tl2br w:val="nil"/>
              <w:tr2bl w:val="nil"/>
            </w:tcBorders>
            <w:vAlign w:val="center"/>
          </w:tcPr>
          <w:p w14:paraId="23060063">
            <w:pPr>
              <w:jc w:val="center"/>
              <w:textAlignment w:val="center"/>
              <w:rPr>
                <w:rFonts w:ascii="宋体" w:hAnsi="宋体" w:eastAsia="宋体" w:cs="Times New Roman"/>
                <w:color w:val="auto"/>
                <w:lang w:bidi="ar"/>
              </w:rPr>
            </w:pPr>
            <w:r>
              <w:rPr>
                <w:rFonts w:ascii="宋体" w:hAnsi="宋体" w:eastAsia="宋体" w:cs="Times New Roman"/>
                <w:color w:val="auto"/>
                <w:lang w:bidi="ar"/>
              </w:rPr>
              <w:t>7.4</w:t>
            </w:r>
          </w:p>
        </w:tc>
        <w:tc>
          <w:tcPr>
            <w:tcW w:w="910" w:type="dxa"/>
            <w:tcBorders>
              <w:tl2br w:val="nil"/>
              <w:tr2bl w:val="nil"/>
            </w:tcBorders>
            <w:vAlign w:val="center"/>
          </w:tcPr>
          <w:p w14:paraId="38498A44">
            <w:pPr>
              <w:jc w:val="center"/>
              <w:textAlignment w:val="center"/>
              <w:rPr>
                <w:rFonts w:ascii="宋体" w:hAnsi="宋体" w:eastAsia="宋体" w:cs="Times New Roman"/>
                <w:color w:val="auto"/>
                <w:lang w:bidi="ar"/>
              </w:rPr>
            </w:pPr>
            <w:r>
              <w:rPr>
                <w:rFonts w:ascii="宋体" w:hAnsi="宋体" w:eastAsia="宋体" w:cs="Times New Roman"/>
                <w:color w:val="auto"/>
                <w:lang w:bidi="ar"/>
              </w:rPr>
              <w:t>7.6</w:t>
            </w:r>
          </w:p>
        </w:tc>
        <w:tc>
          <w:tcPr>
            <w:tcW w:w="910" w:type="dxa"/>
            <w:tcBorders>
              <w:tl2br w:val="nil"/>
              <w:tr2bl w:val="nil"/>
            </w:tcBorders>
            <w:vAlign w:val="center"/>
          </w:tcPr>
          <w:p w14:paraId="784A244C">
            <w:pPr>
              <w:jc w:val="center"/>
              <w:textAlignment w:val="center"/>
              <w:rPr>
                <w:rFonts w:ascii="宋体" w:hAnsi="宋体" w:eastAsia="宋体" w:cs="Times New Roman"/>
                <w:color w:val="auto"/>
                <w:lang w:bidi="ar"/>
              </w:rPr>
            </w:pPr>
            <w:r>
              <w:rPr>
                <w:rFonts w:ascii="宋体" w:hAnsi="宋体" w:eastAsia="宋体" w:cs="Times New Roman"/>
                <w:color w:val="auto"/>
                <w:lang w:bidi="ar"/>
              </w:rPr>
              <w:t>7.7</w:t>
            </w:r>
          </w:p>
        </w:tc>
        <w:tc>
          <w:tcPr>
            <w:tcW w:w="910" w:type="dxa"/>
            <w:tcBorders>
              <w:tl2br w:val="nil"/>
              <w:tr2bl w:val="nil"/>
            </w:tcBorders>
            <w:vAlign w:val="center"/>
          </w:tcPr>
          <w:p w14:paraId="4F5F7065">
            <w:pPr>
              <w:jc w:val="center"/>
              <w:textAlignment w:val="center"/>
              <w:rPr>
                <w:rFonts w:ascii="宋体" w:hAnsi="宋体" w:eastAsia="宋体" w:cs="Times New Roman"/>
                <w:color w:val="auto"/>
                <w:lang w:bidi="ar"/>
              </w:rPr>
            </w:pPr>
            <w:r>
              <w:rPr>
                <w:rFonts w:ascii="宋体" w:hAnsi="宋体" w:eastAsia="宋体" w:cs="Times New Roman"/>
                <w:color w:val="auto"/>
                <w:lang w:bidi="ar"/>
              </w:rPr>
              <w:t>7.5</w:t>
            </w:r>
          </w:p>
        </w:tc>
        <w:tc>
          <w:tcPr>
            <w:tcW w:w="910" w:type="dxa"/>
            <w:tcBorders>
              <w:tl2br w:val="nil"/>
              <w:tr2bl w:val="nil"/>
            </w:tcBorders>
            <w:vAlign w:val="center"/>
          </w:tcPr>
          <w:p w14:paraId="1B67A50A">
            <w:pPr>
              <w:jc w:val="center"/>
              <w:textAlignment w:val="center"/>
              <w:rPr>
                <w:rFonts w:ascii="宋体" w:hAnsi="宋体" w:eastAsia="宋体" w:cs="Times New Roman"/>
                <w:color w:val="auto"/>
                <w:lang w:bidi="ar"/>
              </w:rPr>
            </w:pPr>
            <w:r>
              <w:rPr>
                <w:rFonts w:ascii="宋体" w:hAnsi="宋体" w:eastAsia="宋体" w:cs="Times New Roman"/>
                <w:color w:val="auto"/>
                <w:lang w:bidi="ar"/>
              </w:rPr>
              <w:t>7.9</w:t>
            </w:r>
          </w:p>
        </w:tc>
        <w:tc>
          <w:tcPr>
            <w:tcW w:w="910" w:type="dxa"/>
            <w:tcBorders>
              <w:tl2br w:val="nil"/>
              <w:tr2bl w:val="nil"/>
            </w:tcBorders>
            <w:vAlign w:val="center"/>
          </w:tcPr>
          <w:p w14:paraId="72333C02">
            <w:pPr>
              <w:jc w:val="center"/>
              <w:textAlignment w:val="center"/>
              <w:rPr>
                <w:rFonts w:ascii="宋体" w:hAnsi="宋体" w:eastAsia="宋体" w:cs="Times New Roman"/>
                <w:color w:val="auto"/>
                <w:lang w:bidi="ar"/>
              </w:rPr>
            </w:pPr>
            <w:r>
              <w:rPr>
                <w:rFonts w:ascii="宋体" w:hAnsi="宋体" w:eastAsia="宋体" w:cs="Times New Roman"/>
                <w:color w:val="auto"/>
                <w:lang w:bidi="ar"/>
              </w:rPr>
              <w:t>7.8</w:t>
            </w:r>
          </w:p>
        </w:tc>
        <w:tc>
          <w:tcPr>
            <w:tcW w:w="910" w:type="dxa"/>
            <w:tcBorders>
              <w:tl2br w:val="nil"/>
              <w:tr2bl w:val="nil"/>
            </w:tcBorders>
            <w:vAlign w:val="center"/>
          </w:tcPr>
          <w:p w14:paraId="32920E97">
            <w:pPr>
              <w:jc w:val="center"/>
              <w:textAlignment w:val="center"/>
              <w:rPr>
                <w:rFonts w:ascii="宋体" w:hAnsi="宋体" w:eastAsia="宋体" w:cs="Times New Roman"/>
                <w:color w:val="auto"/>
                <w:lang w:bidi="ar"/>
              </w:rPr>
            </w:pPr>
            <w:r>
              <w:rPr>
                <w:rFonts w:ascii="宋体" w:hAnsi="宋体" w:eastAsia="宋体" w:cs="Times New Roman"/>
                <w:color w:val="auto"/>
                <w:lang w:bidi="ar"/>
              </w:rPr>
              <w:t>7.5</w:t>
            </w:r>
          </w:p>
        </w:tc>
        <w:tc>
          <w:tcPr>
            <w:tcW w:w="914" w:type="dxa"/>
            <w:tcBorders>
              <w:tl2br w:val="nil"/>
              <w:tr2bl w:val="nil"/>
            </w:tcBorders>
            <w:vAlign w:val="center"/>
          </w:tcPr>
          <w:p w14:paraId="2846860E">
            <w:pPr>
              <w:jc w:val="center"/>
              <w:textAlignment w:val="center"/>
              <w:rPr>
                <w:rFonts w:ascii="宋体" w:hAnsi="宋体" w:eastAsia="宋体" w:cs="Times New Roman"/>
                <w:color w:val="auto"/>
                <w:lang w:bidi="ar"/>
              </w:rPr>
            </w:pPr>
            <w:r>
              <w:rPr>
                <w:rFonts w:ascii="宋体" w:hAnsi="宋体" w:eastAsia="宋体" w:cs="Times New Roman"/>
                <w:color w:val="auto"/>
                <w:lang w:bidi="ar"/>
              </w:rPr>
              <w:t>7.7</w:t>
            </w:r>
          </w:p>
        </w:tc>
        <w:tc>
          <w:tcPr>
            <w:tcW w:w="735" w:type="dxa"/>
            <w:tcBorders>
              <w:tl2br w:val="nil"/>
              <w:tr2bl w:val="nil"/>
            </w:tcBorders>
            <w:vAlign w:val="center"/>
          </w:tcPr>
          <w:p w14:paraId="3491A0B4">
            <w:pPr>
              <w:jc w:val="center"/>
              <w:textAlignment w:val="center"/>
              <w:rPr>
                <w:rFonts w:ascii="宋体" w:hAnsi="宋体" w:eastAsia="宋体" w:cs="Times New Roman"/>
                <w:color w:val="auto"/>
              </w:rPr>
            </w:pPr>
            <w:r>
              <w:rPr>
                <w:rFonts w:ascii="宋体" w:hAnsi="宋体" w:eastAsia="宋体" w:cs="Times New Roman"/>
                <w:color w:val="auto"/>
              </w:rPr>
              <w:t>6.5～8.5</w:t>
            </w:r>
          </w:p>
        </w:tc>
      </w:tr>
      <w:tr w14:paraId="2073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06FAA24A">
            <w:pPr>
              <w:jc w:val="center"/>
              <w:textAlignment w:val="center"/>
              <w:rPr>
                <w:rFonts w:ascii="宋体" w:hAnsi="宋体" w:eastAsia="宋体" w:cs="Times New Roman"/>
                <w:color w:val="auto"/>
              </w:rPr>
            </w:pPr>
            <w:r>
              <w:rPr>
                <w:rFonts w:ascii="宋体" w:hAnsi="宋体" w:eastAsia="宋体" w:cs="Times New Roman"/>
                <w:color w:val="auto"/>
              </w:rPr>
              <w:t>总硬度（以CaCO</w:t>
            </w:r>
            <w:r>
              <w:rPr>
                <w:rFonts w:ascii="宋体" w:hAnsi="宋体" w:eastAsia="宋体" w:cs="Times New Roman"/>
                <w:color w:val="auto"/>
                <w:vertAlign w:val="subscript"/>
              </w:rPr>
              <w:t>3</w:t>
            </w:r>
            <w:r>
              <w:rPr>
                <w:rFonts w:ascii="宋体" w:hAnsi="宋体" w:eastAsia="宋体" w:cs="Times New Roman"/>
                <w:color w:val="auto"/>
              </w:rPr>
              <w:t>计）</w:t>
            </w:r>
          </w:p>
        </w:tc>
        <w:tc>
          <w:tcPr>
            <w:tcW w:w="910" w:type="dxa"/>
            <w:tcBorders>
              <w:tl2br w:val="nil"/>
              <w:tr2bl w:val="nil"/>
            </w:tcBorders>
            <w:vAlign w:val="center"/>
          </w:tcPr>
          <w:p w14:paraId="5830979F">
            <w:pPr>
              <w:jc w:val="center"/>
              <w:textAlignment w:val="center"/>
              <w:rPr>
                <w:rFonts w:ascii="宋体" w:hAnsi="宋体" w:eastAsia="宋体" w:cs="Times New Roman"/>
                <w:color w:val="auto"/>
                <w:lang w:bidi="ar"/>
              </w:rPr>
            </w:pPr>
            <w:r>
              <w:rPr>
                <w:rFonts w:ascii="宋体" w:hAnsi="宋体" w:eastAsia="宋体" w:cs="Times New Roman"/>
                <w:color w:val="auto"/>
                <w:lang w:bidi="ar"/>
              </w:rPr>
              <w:t>150</w:t>
            </w:r>
          </w:p>
        </w:tc>
        <w:tc>
          <w:tcPr>
            <w:tcW w:w="910" w:type="dxa"/>
            <w:tcBorders>
              <w:tl2br w:val="nil"/>
              <w:tr2bl w:val="nil"/>
            </w:tcBorders>
            <w:vAlign w:val="center"/>
          </w:tcPr>
          <w:p w14:paraId="5B358514">
            <w:pPr>
              <w:jc w:val="center"/>
              <w:textAlignment w:val="center"/>
              <w:rPr>
                <w:rFonts w:ascii="宋体" w:hAnsi="宋体" w:eastAsia="宋体" w:cs="Times New Roman"/>
                <w:color w:val="auto"/>
                <w:lang w:bidi="ar"/>
              </w:rPr>
            </w:pPr>
            <w:r>
              <w:rPr>
                <w:rFonts w:ascii="宋体" w:hAnsi="宋体" w:eastAsia="宋体" w:cs="Times New Roman"/>
                <w:color w:val="auto"/>
                <w:lang w:bidi="ar"/>
              </w:rPr>
              <w:t>168</w:t>
            </w:r>
          </w:p>
        </w:tc>
        <w:tc>
          <w:tcPr>
            <w:tcW w:w="910" w:type="dxa"/>
            <w:tcBorders>
              <w:tl2br w:val="nil"/>
              <w:tr2bl w:val="nil"/>
            </w:tcBorders>
            <w:vAlign w:val="center"/>
          </w:tcPr>
          <w:p w14:paraId="2F3F33B2">
            <w:pPr>
              <w:jc w:val="center"/>
              <w:textAlignment w:val="center"/>
              <w:rPr>
                <w:rFonts w:ascii="宋体" w:hAnsi="宋体" w:eastAsia="宋体" w:cs="Times New Roman"/>
                <w:color w:val="auto"/>
                <w:lang w:bidi="ar"/>
              </w:rPr>
            </w:pPr>
            <w:r>
              <w:rPr>
                <w:rFonts w:ascii="宋体" w:hAnsi="宋体" w:eastAsia="宋体" w:cs="Times New Roman"/>
                <w:color w:val="auto"/>
                <w:lang w:bidi="ar"/>
              </w:rPr>
              <w:t>168</w:t>
            </w:r>
          </w:p>
        </w:tc>
        <w:tc>
          <w:tcPr>
            <w:tcW w:w="910" w:type="dxa"/>
            <w:tcBorders>
              <w:tl2br w:val="nil"/>
              <w:tr2bl w:val="nil"/>
            </w:tcBorders>
            <w:vAlign w:val="center"/>
          </w:tcPr>
          <w:p w14:paraId="26AF0EEE">
            <w:pPr>
              <w:jc w:val="center"/>
              <w:textAlignment w:val="center"/>
              <w:rPr>
                <w:rFonts w:ascii="宋体" w:hAnsi="宋体" w:eastAsia="宋体" w:cs="Times New Roman"/>
                <w:color w:val="auto"/>
                <w:lang w:bidi="ar"/>
              </w:rPr>
            </w:pPr>
            <w:r>
              <w:rPr>
                <w:rFonts w:ascii="宋体" w:hAnsi="宋体" w:eastAsia="宋体" w:cs="Times New Roman"/>
                <w:color w:val="auto"/>
                <w:lang w:bidi="ar"/>
              </w:rPr>
              <w:t>159</w:t>
            </w:r>
          </w:p>
        </w:tc>
        <w:tc>
          <w:tcPr>
            <w:tcW w:w="910" w:type="dxa"/>
            <w:tcBorders>
              <w:tl2br w:val="nil"/>
              <w:tr2bl w:val="nil"/>
            </w:tcBorders>
            <w:vAlign w:val="center"/>
          </w:tcPr>
          <w:p w14:paraId="24DC7D14">
            <w:pPr>
              <w:jc w:val="center"/>
              <w:textAlignment w:val="center"/>
              <w:rPr>
                <w:rFonts w:ascii="宋体" w:hAnsi="宋体" w:eastAsia="宋体" w:cs="Times New Roman"/>
                <w:color w:val="auto"/>
                <w:lang w:bidi="ar"/>
              </w:rPr>
            </w:pPr>
            <w:r>
              <w:rPr>
                <w:rFonts w:ascii="宋体" w:hAnsi="宋体" w:eastAsia="宋体" w:cs="Times New Roman"/>
                <w:color w:val="auto"/>
                <w:lang w:bidi="ar"/>
              </w:rPr>
              <w:t>156</w:t>
            </w:r>
          </w:p>
        </w:tc>
        <w:tc>
          <w:tcPr>
            <w:tcW w:w="910" w:type="dxa"/>
            <w:tcBorders>
              <w:tl2br w:val="nil"/>
              <w:tr2bl w:val="nil"/>
            </w:tcBorders>
            <w:vAlign w:val="center"/>
          </w:tcPr>
          <w:p w14:paraId="39B74015">
            <w:pPr>
              <w:jc w:val="center"/>
              <w:textAlignment w:val="center"/>
              <w:rPr>
                <w:rFonts w:ascii="宋体" w:hAnsi="宋体" w:eastAsia="宋体" w:cs="Times New Roman"/>
                <w:color w:val="auto"/>
                <w:lang w:bidi="ar"/>
              </w:rPr>
            </w:pPr>
            <w:r>
              <w:rPr>
                <w:rFonts w:ascii="宋体" w:hAnsi="宋体" w:eastAsia="宋体" w:cs="Times New Roman"/>
                <w:color w:val="auto"/>
                <w:lang w:bidi="ar"/>
              </w:rPr>
              <w:t>124</w:t>
            </w:r>
          </w:p>
        </w:tc>
        <w:tc>
          <w:tcPr>
            <w:tcW w:w="910" w:type="dxa"/>
            <w:tcBorders>
              <w:tl2br w:val="nil"/>
              <w:tr2bl w:val="nil"/>
            </w:tcBorders>
            <w:vAlign w:val="center"/>
          </w:tcPr>
          <w:p w14:paraId="46223AF9">
            <w:pPr>
              <w:jc w:val="center"/>
              <w:textAlignment w:val="center"/>
              <w:rPr>
                <w:rFonts w:ascii="宋体" w:hAnsi="宋体" w:eastAsia="宋体" w:cs="Times New Roman"/>
                <w:color w:val="auto"/>
                <w:lang w:bidi="ar"/>
              </w:rPr>
            </w:pPr>
            <w:r>
              <w:rPr>
                <w:rFonts w:ascii="宋体" w:hAnsi="宋体" w:eastAsia="宋体" w:cs="Times New Roman"/>
                <w:color w:val="auto"/>
                <w:lang w:bidi="ar"/>
              </w:rPr>
              <w:t>114</w:t>
            </w:r>
          </w:p>
        </w:tc>
        <w:tc>
          <w:tcPr>
            <w:tcW w:w="914" w:type="dxa"/>
            <w:tcBorders>
              <w:tl2br w:val="nil"/>
              <w:tr2bl w:val="nil"/>
            </w:tcBorders>
            <w:vAlign w:val="center"/>
          </w:tcPr>
          <w:p w14:paraId="2A3D3807">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157</w:t>
            </w:r>
          </w:p>
        </w:tc>
        <w:tc>
          <w:tcPr>
            <w:tcW w:w="735" w:type="dxa"/>
            <w:tcBorders>
              <w:tl2br w:val="nil"/>
              <w:tr2bl w:val="nil"/>
            </w:tcBorders>
            <w:vAlign w:val="center"/>
          </w:tcPr>
          <w:p w14:paraId="099B28A8">
            <w:pPr>
              <w:jc w:val="center"/>
              <w:textAlignment w:val="center"/>
              <w:rPr>
                <w:rFonts w:ascii="宋体" w:hAnsi="宋体" w:eastAsia="宋体" w:cs="Times New Roman"/>
                <w:color w:val="auto"/>
                <w:lang w:val="en-GB"/>
              </w:rPr>
            </w:pPr>
            <w:r>
              <w:rPr>
                <w:rFonts w:ascii="宋体" w:hAnsi="宋体" w:eastAsia="宋体" w:cs="Times New Roman"/>
                <w:color w:val="auto"/>
                <w:lang w:val="en-GB"/>
              </w:rPr>
              <w:t>≤450</w:t>
            </w:r>
          </w:p>
        </w:tc>
      </w:tr>
      <w:tr w14:paraId="2E1B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0720ED88">
            <w:pPr>
              <w:jc w:val="center"/>
              <w:textAlignment w:val="center"/>
              <w:rPr>
                <w:rFonts w:ascii="宋体" w:hAnsi="宋体" w:eastAsia="宋体" w:cs="Times New Roman"/>
                <w:color w:val="auto"/>
              </w:rPr>
            </w:pPr>
            <w:r>
              <w:rPr>
                <w:rFonts w:ascii="宋体" w:hAnsi="宋体" w:eastAsia="宋体" w:cs="Times New Roman"/>
                <w:color w:val="auto"/>
              </w:rPr>
              <w:t>溶解性总固体</w:t>
            </w:r>
          </w:p>
        </w:tc>
        <w:tc>
          <w:tcPr>
            <w:tcW w:w="910" w:type="dxa"/>
            <w:tcBorders>
              <w:tl2br w:val="nil"/>
              <w:tr2bl w:val="nil"/>
            </w:tcBorders>
            <w:vAlign w:val="center"/>
          </w:tcPr>
          <w:p w14:paraId="154528B7">
            <w:pPr>
              <w:jc w:val="center"/>
              <w:textAlignment w:val="center"/>
              <w:rPr>
                <w:rFonts w:ascii="宋体" w:hAnsi="宋体" w:eastAsia="宋体" w:cs="Times New Roman"/>
                <w:color w:val="auto"/>
                <w:lang w:bidi="ar"/>
              </w:rPr>
            </w:pPr>
            <w:r>
              <w:rPr>
                <w:rFonts w:ascii="宋体" w:hAnsi="宋体" w:eastAsia="宋体" w:cs="Times New Roman"/>
                <w:color w:val="auto"/>
                <w:lang w:bidi="ar"/>
              </w:rPr>
              <w:t>480</w:t>
            </w:r>
          </w:p>
        </w:tc>
        <w:tc>
          <w:tcPr>
            <w:tcW w:w="910" w:type="dxa"/>
            <w:tcBorders>
              <w:tl2br w:val="nil"/>
              <w:tr2bl w:val="nil"/>
            </w:tcBorders>
            <w:vAlign w:val="center"/>
          </w:tcPr>
          <w:p w14:paraId="1937B1B3">
            <w:pPr>
              <w:jc w:val="center"/>
              <w:textAlignment w:val="center"/>
              <w:rPr>
                <w:rFonts w:ascii="宋体" w:hAnsi="宋体" w:eastAsia="宋体" w:cs="Times New Roman"/>
                <w:color w:val="auto"/>
                <w:lang w:bidi="ar"/>
              </w:rPr>
            </w:pPr>
            <w:r>
              <w:rPr>
                <w:rFonts w:ascii="宋体" w:hAnsi="宋体" w:eastAsia="宋体" w:cs="Times New Roman"/>
                <w:color w:val="auto"/>
                <w:lang w:bidi="ar"/>
              </w:rPr>
              <w:t>540</w:t>
            </w:r>
          </w:p>
        </w:tc>
        <w:tc>
          <w:tcPr>
            <w:tcW w:w="910" w:type="dxa"/>
            <w:tcBorders>
              <w:tl2br w:val="nil"/>
              <w:tr2bl w:val="nil"/>
            </w:tcBorders>
            <w:vAlign w:val="center"/>
          </w:tcPr>
          <w:p w14:paraId="08A8E2DE">
            <w:pPr>
              <w:jc w:val="center"/>
              <w:textAlignment w:val="center"/>
              <w:rPr>
                <w:rFonts w:ascii="宋体" w:hAnsi="宋体" w:eastAsia="宋体" w:cs="Times New Roman"/>
                <w:color w:val="auto"/>
                <w:lang w:bidi="ar"/>
              </w:rPr>
            </w:pPr>
            <w:r>
              <w:rPr>
                <w:rFonts w:ascii="宋体" w:hAnsi="宋体" w:eastAsia="宋体" w:cs="Times New Roman"/>
                <w:color w:val="auto"/>
                <w:lang w:bidi="ar"/>
              </w:rPr>
              <w:t>541</w:t>
            </w:r>
          </w:p>
        </w:tc>
        <w:tc>
          <w:tcPr>
            <w:tcW w:w="910" w:type="dxa"/>
            <w:tcBorders>
              <w:tl2br w:val="nil"/>
              <w:tr2bl w:val="nil"/>
            </w:tcBorders>
            <w:vAlign w:val="center"/>
          </w:tcPr>
          <w:p w14:paraId="52141306">
            <w:pPr>
              <w:jc w:val="center"/>
              <w:textAlignment w:val="center"/>
              <w:rPr>
                <w:rFonts w:ascii="宋体" w:hAnsi="宋体" w:eastAsia="宋体" w:cs="Times New Roman"/>
                <w:color w:val="auto"/>
                <w:lang w:bidi="ar"/>
              </w:rPr>
            </w:pPr>
            <w:r>
              <w:rPr>
                <w:rFonts w:ascii="宋体" w:hAnsi="宋体" w:eastAsia="宋体" w:cs="Times New Roman"/>
                <w:color w:val="auto"/>
                <w:lang w:bidi="ar"/>
              </w:rPr>
              <w:t>522</w:t>
            </w:r>
          </w:p>
        </w:tc>
        <w:tc>
          <w:tcPr>
            <w:tcW w:w="910" w:type="dxa"/>
            <w:tcBorders>
              <w:tl2br w:val="nil"/>
              <w:tr2bl w:val="nil"/>
            </w:tcBorders>
            <w:vAlign w:val="center"/>
          </w:tcPr>
          <w:p w14:paraId="672AA5BE">
            <w:pPr>
              <w:jc w:val="center"/>
              <w:textAlignment w:val="center"/>
              <w:rPr>
                <w:rFonts w:ascii="宋体" w:hAnsi="宋体" w:eastAsia="宋体" w:cs="Times New Roman"/>
                <w:color w:val="auto"/>
                <w:lang w:bidi="ar"/>
              </w:rPr>
            </w:pPr>
            <w:r>
              <w:rPr>
                <w:rFonts w:ascii="宋体" w:hAnsi="宋体" w:eastAsia="宋体" w:cs="Times New Roman"/>
                <w:color w:val="auto"/>
                <w:lang w:bidi="ar"/>
              </w:rPr>
              <w:t>521</w:t>
            </w:r>
          </w:p>
        </w:tc>
        <w:tc>
          <w:tcPr>
            <w:tcW w:w="910" w:type="dxa"/>
            <w:tcBorders>
              <w:tl2br w:val="nil"/>
              <w:tr2bl w:val="nil"/>
            </w:tcBorders>
            <w:vAlign w:val="center"/>
          </w:tcPr>
          <w:p w14:paraId="6A255EAF">
            <w:pPr>
              <w:jc w:val="center"/>
              <w:textAlignment w:val="center"/>
              <w:rPr>
                <w:rFonts w:ascii="宋体" w:hAnsi="宋体" w:eastAsia="宋体" w:cs="Times New Roman"/>
                <w:color w:val="auto"/>
                <w:lang w:bidi="ar"/>
              </w:rPr>
            </w:pPr>
            <w:r>
              <w:rPr>
                <w:rFonts w:ascii="宋体" w:hAnsi="宋体" w:eastAsia="宋体" w:cs="Times New Roman"/>
                <w:color w:val="auto"/>
                <w:lang w:bidi="ar"/>
              </w:rPr>
              <w:t>368</w:t>
            </w:r>
          </w:p>
        </w:tc>
        <w:tc>
          <w:tcPr>
            <w:tcW w:w="910" w:type="dxa"/>
            <w:tcBorders>
              <w:tl2br w:val="nil"/>
              <w:tr2bl w:val="nil"/>
            </w:tcBorders>
            <w:vAlign w:val="center"/>
          </w:tcPr>
          <w:p w14:paraId="36AE58A9">
            <w:pPr>
              <w:jc w:val="center"/>
              <w:textAlignment w:val="center"/>
              <w:rPr>
                <w:rFonts w:ascii="宋体" w:hAnsi="宋体" w:eastAsia="宋体" w:cs="Times New Roman"/>
                <w:color w:val="auto"/>
                <w:lang w:bidi="ar"/>
              </w:rPr>
            </w:pPr>
            <w:r>
              <w:rPr>
                <w:rFonts w:ascii="宋体" w:hAnsi="宋体" w:eastAsia="宋体" w:cs="Times New Roman"/>
                <w:color w:val="auto"/>
                <w:lang w:bidi="ar"/>
              </w:rPr>
              <w:t>366</w:t>
            </w:r>
          </w:p>
        </w:tc>
        <w:tc>
          <w:tcPr>
            <w:tcW w:w="914" w:type="dxa"/>
            <w:tcBorders>
              <w:tl2br w:val="nil"/>
              <w:tr2bl w:val="nil"/>
            </w:tcBorders>
            <w:vAlign w:val="center"/>
          </w:tcPr>
          <w:p w14:paraId="598C1340">
            <w:pPr>
              <w:jc w:val="center"/>
              <w:textAlignment w:val="center"/>
              <w:rPr>
                <w:rFonts w:ascii="宋体" w:hAnsi="宋体" w:eastAsia="宋体" w:cs="Times New Roman"/>
                <w:color w:val="auto"/>
                <w:lang w:bidi="ar"/>
              </w:rPr>
            </w:pPr>
            <w:r>
              <w:rPr>
                <w:rFonts w:ascii="宋体" w:hAnsi="宋体" w:eastAsia="宋体" w:cs="Times New Roman"/>
                <w:color w:val="auto"/>
                <w:lang w:bidi="ar"/>
              </w:rPr>
              <w:t>501</w:t>
            </w:r>
          </w:p>
        </w:tc>
        <w:tc>
          <w:tcPr>
            <w:tcW w:w="735" w:type="dxa"/>
            <w:tcBorders>
              <w:tl2br w:val="nil"/>
              <w:tr2bl w:val="nil"/>
            </w:tcBorders>
            <w:vAlign w:val="center"/>
          </w:tcPr>
          <w:p w14:paraId="6DCB5F81">
            <w:pPr>
              <w:jc w:val="center"/>
              <w:textAlignment w:val="center"/>
              <w:rPr>
                <w:rFonts w:ascii="宋体" w:hAnsi="宋体" w:eastAsia="宋体" w:cs="Times New Roman"/>
                <w:color w:val="auto"/>
              </w:rPr>
            </w:pPr>
            <w:r>
              <w:rPr>
                <w:rFonts w:ascii="宋体" w:hAnsi="宋体" w:eastAsia="宋体" w:cs="Times New Roman"/>
                <w:color w:val="auto"/>
              </w:rPr>
              <w:t>≤1000</w:t>
            </w:r>
          </w:p>
        </w:tc>
      </w:tr>
      <w:tr w14:paraId="57ED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7BE9A52E">
            <w:pPr>
              <w:jc w:val="center"/>
              <w:textAlignment w:val="center"/>
              <w:rPr>
                <w:rFonts w:ascii="宋体" w:hAnsi="宋体" w:eastAsia="宋体" w:cs="Times New Roman"/>
                <w:color w:val="auto"/>
              </w:rPr>
            </w:pPr>
            <w:r>
              <w:rPr>
                <w:rFonts w:ascii="宋体" w:hAnsi="宋体" w:eastAsia="宋体" w:cs="Times New Roman"/>
                <w:color w:val="auto"/>
              </w:rPr>
              <w:t>耗氧量(COD</w:t>
            </w:r>
            <w:r>
              <w:rPr>
                <w:rFonts w:ascii="宋体" w:hAnsi="宋体" w:eastAsia="宋体" w:cs="Times New Roman"/>
                <w:color w:val="auto"/>
                <w:vertAlign w:val="subscript"/>
              </w:rPr>
              <w:t>Mn</w:t>
            </w:r>
            <w:r>
              <w:rPr>
                <w:rFonts w:ascii="宋体" w:hAnsi="宋体" w:eastAsia="宋体" w:cs="Times New Roman"/>
                <w:color w:val="auto"/>
              </w:rPr>
              <w:t>法，以O</w:t>
            </w:r>
            <w:r>
              <w:rPr>
                <w:rFonts w:ascii="宋体" w:hAnsi="宋体" w:eastAsia="宋体" w:cs="Times New Roman"/>
                <w:color w:val="auto"/>
                <w:vertAlign w:val="subscript"/>
              </w:rPr>
              <w:t>2</w:t>
            </w:r>
            <w:r>
              <w:rPr>
                <w:rFonts w:ascii="宋体" w:hAnsi="宋体" w:eastAsia="宋体" w:cs="Times New Roman"/>
                <w:color w:val="auto"/>
              </w:rPr>
              <w:t>计)</w:t>
            </w:r>
          </w:p>
        </w:tc>
        <w:tc>
          <w:tcPr>
            <w:tcW w:w="910" w:type="dxa"/>
            <w:tcBorders>
              <w:tl2br w:val="nil"/>
              <w:tr2bl w:val="nil"/>
            </w:tcBorders>
            <w:vAlign w:val="center"/>
          </w:tcPr>
          <w:p w14:paraId="4D72CFFE">
            <w:pPr>
              <w:jc w:val="center"/>
              <w:textAlignment w:val="center"/>
              <w:rPr>
                <w:rFonts w:ascii="宋体" w:hAnsi="宋体" w:eastAsia="宋体" w:cs="Times New Roman"/>
                <w:color w:val="auto"/>
                <w:lang w:bidi="ar"/>
              </w:rPr>
            </w:pPr>
            <w:r>
              <w:rPr>
                <w:rFonts w:ascii="宋体" w:hAnsi="宋体" w:eastAsia="宋体" w:cs="Times New Roman"/>
                <w:color w:val="auto"/>
                <w:lang w:bidi="ar"/>
              </w:rPr>
              <w:t>1.7</w:t>
            </w:r>
          </w:p>
        </w:tc>
        <w:tc>
          <w:tcPr>
            <w:tcW w:w="910" w:type="dxa"/>
            <w:tcBorders>
              <w:tl2br w:val="nil"/>
              <w:tr2bl w:val="nil"/>
            </w:tcBorders>
            <w:vAlign w:val="center"/>
          </w:tcPr>
          <w:p w14:paraId="48A22DE5">
            <w:pPr>
              <w:jc w:val="center"/>
              <w:textAlignment w:val="center"/>
              <w:rPr>
                <w:rFonts w:ascii="宋体" w:hAnsi="宋体" w:eastAsia="宋体" w:cs="Times New Roman"/>
                <w:color w:val="auto"/>
                <w:lang w:bidi="ar"/>
              </w:rPr>
            </w:pPr>
            <w:r>
              <w:rPr>
                <w:rFonts w:ascii="宋体" w:hAnsi="宋体" w:eastAsia="宋体" w:cs="Times New Roman"/>
                <w:color w:val="auto"/>
                <w:lang w:bidi="ar"/>
              </w:rPr>
              <w:t>2.2</w:t>
            </w:r>
          </w:p>
        </w:tc>
        <w:tc>
          <w:tcPr>
            <w:tcW w:w="910" w:type="dxa"/>
            <w:tcBorders>
              <w:tl2br w:val="nil"/>
              <w:tr2bl w:val="nil"/>
            </w:tcBorders>
            <w:vAlign w:val="center"/>
          </w:tcPr>
          <w:p w14:paraId="10C7963E">
            <w:pPr>
              <w:jc w:val="center"/>
              <w:textAlignment w:val="center"/>
              <w:rPr>
                <w:rFonts w:ascii="宋体" w:hAnsi="宋体" w:eastAsia="宋体" w:cs="Times New Roman"/>
                <w:color w:val="auto"/>
                <w:lang w:bidi="ar"/>
              </w:rPr>
            </w:pPr>
            <w:r>
              <w:rPr>
                <w:rFonts w:ascii="宋体" w:hAnsi="宋体" w:eastAsia="宋体" w:cs="Times New Roman"/>
                <w:color w:val="auto"/>
                <w:lang w:bidi="ar"/>
              </w:rPr>
              <w:t>2.1</w:t>
            </w:r>
          </w:p>
        </w:tc>
        <w:tc>
          <w:tcPr>
            <w:tcW w:w="910" w:type="dxa"/>
            <w:tcBorders>
              <w:tl2br w:val="nil"/>
              <w:tr2bl w:val="nil"/>
            </w:tcBorders>
            <w:vAlign w:val="center"/>
          </w:tcPr>
          <w:p w14:paraId="53DB7927">
            <w:pPr>
              <w:jc w:val="center"/>
              <w:textAlignment w:val="center"/>
              <w:rPr>
                <w:rFonts w:ascii="宋体" w:hAnsi="宋体" w:eastAsia="宋体" w:cs="Times New Roman"/>
                <w:color w:val="auto"/>
                <w:lang w:bidi="ar"/>
              </w:rPr>
            </w:pPr>
            <w:r>
              <w:rPr>
                <w:rFonts w:ascii="宋体" w:hAnsi="宋体" w:eastAsia="宋体" w:cs="Times New Roman"/>
                <w:color w:val="auto"/>
                <w:lang w:bidi="ar"/>
              </w:rPr>
              <w:t>2.3</w:t>
            </w:r>
          </w:p>
        </w:tc>
        <w:tc>
          <w:tcPr>
            <w:tcW w:w="910" w:type="dxa"/>
            <w:tcBorders>
              <w:tl2br w:val="nil"/>
              <w:tr2bl w:val="nil"/>
            </w:tcBorders>
            <w:vAlign w:val="center"/>
          </w:tcPr>
          <w:p w14:paraId="25C3A297">
            <w:pPr>
              <w:jc w:val="center"/>
              <w:textAlignment w:val="center"/>
              <w:rPr>
                <w:rFonts w:ascii="宋体" w:hAnsi="宋体" w:eastAsia="宋体" w:cs="Times New Roman"/>
                <w:color w:val="auto"/>
                <w:lang w:bidi="ar"/>
              </w:rPr>
            </w:pPr>
            <w:r>
              <w:rPr>
                <w:rFonts w:ascii="宋体" w:hAnsi="宋体" w:eastAsia="宋体" w:cs="Times New Roman"/>
                <w:color w:val="auto"/>
                <w:lang w:bidi="ar"/>
              </w:rPr>
              <w:t>1.9</w:t>
            </w:r>
          </w:p>
        </w:tc>
        <w:tc>
          <w:tcPr>
            <w:tcW w:w="910" w:type="dxa"/>
            <w:tcBorders>
              <w:tl2br w:val="nil"/>
              <w:tr2bl w:val="nil"/>
            </w:tcBorders>
            <w:vAlign w:val="center"/>
          </w:tcPr>
          <w:p w14:paraId="5D413107">
            <w:pPr>
              <w:jc w:val="center"/>
              <w:textAlignment w:val="center"/>
              <w:rPr>
                <w:rFonts w:ascii="宋体" w:hAnsi="宋体" w:eastAsia="宋体" w:cs="Times New Roman"/>
                <w:color w:val="auto"/>
                <w:lang w:bidi="ar"/>
              </w:rPr>
            </w:pPr>
            <w:r>
              <w:rPr>
                <w:rFonts w:ascii="宋体" w:hAnsi="宋体" w:eastAsia="宋体" w:cs="Times New Roman"/>
                <w:color w:val="auto"/>
                <w:lang w:bidi="ar"/>
              </w:rPr>
              <w:t>1.8</w:t>
            </w:r>
          </w:p>
        </w:tc>
        <w:tc>
          <w:tcPr>
            <w:tcW w:w="910" w:type="dxa"/>
            <w:tcBorders>
              <w:tl2br w:val="nil"/>
              <w:tr2bl w:val="nil"/>
            </w:tcBorders>
            <w:vAlign w:val="center"/>
          </w:tcPr>
          <w:p w14:paraId="2902BFE6">
            <w:pPr>
              <w:jc w:val="center"/>
              <w:textAlignment w:val="center"/>
              <w:rPr>
                <w:rFonts w:ascii="宋体" w:hAnsi="宋体" w:eastAsia="宋体" w:cs="Times New Roman"/>
                <w:color w:val="auto"/>
                <w:lang w:bidi="ar"/>
              </w:rPr>
            </w:pPr>
            <w:r>
              <w:rPr>
                <w:rFonts w:ascii="宋体" w:hAnsi="宋体" w:eastAsia="宋体" w:cs="Times New Roman"/>
                <w:color w:val="auto"/>
                <w:lang w:bidi="ar"/>
              </w:rPr>
              <w:t>1.6</w:t>
            </w:r>
          </w:p>
        </w:tc>
        <w:tc>
          <w:tcPr>
            <w:tcW w:w="914" w:type="dxa"/>
            <w:tcBorders>
              <w:tl2br w:val="nil"/>
              <w:tr2bl w:val="nil"/>
            </w:tcBorders>
            <w:vAlign w:val="center"/>
          </w:tcPr>
          <w:p w14:paraId="698892AC">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2.1</w:t>
            </w:r>
          </w:p>
        </w:tc>
        <w:tc>
          <w:tcPr>
            <w:tcW w:w="735" w:type="dxa"/>
            <w:tcBorders>
              <w:tl2br w:val="nil"/>
              <w:tr2bl w:val="nil"/>
            </w:tcBorders>
            <w:vAlign w:val="center"/>
          </w:tcPr>
          <w:p w14:paraId="376FD290">
            <w:pPr>
              <w:jc w:val="center"/>
              <w:textAlignment w:val="center"/>
              <w:rPr>
                <w:rFonts w:ascii="宋体" w:hAnsi="宋体" w:eastAsia="宋体" w:cs="Times New Roman"/>
                <w:color w:val="auto"/>
                <w:lang w:val="en-GB"/>
              </w:rPr>
            </w:pPr>
            <w:r>
              <w:rPr>
                <w:rFonts w:ascii="宋体" w:hAnsi="宋体" w:eastAsia="宋体" w:cs="Times New Roman"/>
                <w:color w:val="auto"/>
                <w:lang w:val="en-GB"/>
              </w:rPr>
              <w:t>≤3.0</w:t>
            </w:r>
          </w:p>
        </w:tc>
      </w:tr>
      <w:tr w14:paraId="4476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51E1AE54">
            <w:pPr>
              <w:jc w:val="center"/>
              <w:textAlignment w:val="center"/>
              <w:rPr>
                <w:rFonts w:ascii="宋体" w:hAnsi="宋体" w:eastAsia="宋体" w:cs="Times New Roman"/>
                <w:color w:val="auto"/>
              </w:rPr>
            </w:pPr>
            <w:r>
              <w:rPr>
                <w:rFonts w:ascii="宋体" w:hAnsi="宋体" w:eastAsia="宋体" w:cs="Times New Roman"/>
                <w:color w:val="auto"/>
              </w:rPr>
              <w:t>挥发酚</w:t>
            </w:r>
          </w:p>
        </w:tc>
        <w:tc>
          <w:tcPr>
            <w:tcW w:w="910" w:type="dxa"/>
            <w:tcBorders>
              <w:tl2br w:val="nil"/>
              <w:tr2bl w:val="nil"/>
            </w:tcBorders>
            <w:vAlign w:val="center"/>
          </w:tcPr>
          <w:p w14:paraId="59E9A41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7349869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66BDF09A">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1FC42D5F">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440D5EC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4FFA5DF3">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52F302B3">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4" w:type="dxa"/>
            <w:tcBorders>
              <w:tl2br w:val="nil"/>
              <w:tr2bl w:val="nil"/>
            </w:tcBorders>
            <w:vAlign w:val="center"/>
          </w:tcPr>
          <w:p w14:paraId="4FBB7B8C">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0.0003L</w:t>
            </w:r>
          </w:p>
        </w:tc>
        <w:tc>
          <w:tcPr>
            <w:tcW w:w="735" w:type="dxa"/>
            <w:tcBorders>
              <w:tl2br w:val="nil"/>
              <w:tr2bl w:val="nil"/>
            </w:tcBorders>
            <w:vAlign w:val="center"/>
          </w:tcPr>
          <w:p w14:paraId="667F80A0">
            <w:pPr>
              <w:jc w:val="center"/>
              <w:textAlignment w:val="center"/>
              <w:rPr>
                <w:rFonts w:ascii="宋体" w:hAnsi="宋体" w:eastAsia="宋体" w:cs="Times New Roman"/>
                <w:color w:val="auto"/>
                <w:lang w:val="en-GB"/>
              </w:rPr>
            </w:pPr>
            <w:r>
              <w:rPr>
                <w:rFonts w:ascii="宋体" w:hAnsi="宋体" w:eastAsia="宋体" w:cs="Times New Roman"/>
                <w:color w:val="auto"/>
                <w:lang w:val="en-GB"/>
              </w:rPr>
              <w:t>≤0.002</w:t>
            </w:r>
          </w:p>
        </w:tc>
      </w:tr>
      <w:tr w14:paraId="31E7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0C7425E7">
            <w:pPr>
              <w:jc w:val="center"/>
              <w:textAlignment w:val="center"/>
              <w:rPr>
                <w:rFonts w:ascii="宋体" w:hAnsi="宋体" w:eastAsia="宋体" w:cs="Times New Roman"/>
                <w:color w:val="auto"/>
              </w:rPr>
            </w:pPr>
            <w:r>
              <w:rPr>
                <w:rFonts w:ascii="宋体" w:hAnsi="宋体" w:eastAsia="宋体" w:cs="Times New Roman"/>
                <w:color w:val="auto"/>
              </w:rPr>
              <w:t>氰化物</w:t>
            </w:r>
          </w:p>
        </w:tc>
        <w:tc>
          <w:tcPr>
            <w:tcW w:w="910" w:type="dxa"/>
            <w:tcBorders>
              <w:tl2br w:val="nil"/>
              <w:tr2bl w:val="nil"/>
            </w:tcBorders>
            <w:vAlign w:val="center"/>
          </w:tcPr>
          <w:p w14:paraId="5EDECDC8">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10" w:type="dxa"/>
            <w:tcBorders>
              <w:tl2br w:val="nil"/>
              <w:tr2bl w:val="nil"/>
            </w:tcBorders>
            <w:vAlign w:val="center"/>
          </w:tcPr>
          <w:p w14:paraId="24895AB5">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10" w:type="dxa"/>
            <w:tcBorders>
              <w:tl2br w:val="nil"/>
              <w:tr2bl w:val="nil"/>
            </w:tcBorders>
            <w:vAlign w:val="center"/>
          </w:tcPr>
          <w:p w14:paraId="44699E8E">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10" w:type="dxa"/>
            <w:tcBorders>
              <w:tl2br w:val="nil"/>
              <w:tr2bl w:val="nil"/>
            </w:tcBorders>
            <w:vAlign w:val="center"/>
          </w:tcPr>
          <w:p w14:paraId="22F48E65">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10" w:type="dxa"/>
            <w:tcBorders>
              <w:tl2br w:val="nil"/>
              <w:tr2bl w:val="nil"/>
            </w:tcBorders>
            <w:vAlign w:val="center"/>
          </w:tcPr>
          <w:p w14:paraId="1B07863F">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10" w:type="dxa"/>
            <w:tcBorders>
              <w:tl2br w:val="nil"/>
              <w:tr2bl w:val="nil"/>
            </w:tcBorders>
            <w:vAlign w:val="center"/>
          </w:tcPr>
          <w:p w14:paraId="0AB5D24B">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10" w:type="dxa"/>
            <w:tcBorders>
              <w:tl2br w:val="nil"/>
              <w:tr2bl w:val="nil"/>
            </w:tcBorders>
            <w:vAlign w:val="center"/>
          </w:tcPr>
          <w:p w14:paraId="7C512B95">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14" w:type="dxa"/>
            <w:tcBorders>
              <w:tl2br w:val="nil"/>
              <w:tr2bl w:val="nil"/>
            </w:tcBorders>
            <w:vAlign w:val="center"/>
          </w:tcPr>
          <w:p w14:paraId="5101F701">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0.002L</w:t>
            </w:r>
          </w:p>
        </w:tc>
        <w:tc>
          <w:tcPr>
            <w:tcW w:w="735" w:type="dxa"/>
            <w:tcBorders>
              <w:tl2br w:val="nil"/>
              <w:tr2bl w:val="nil"/>
            </w:tcBorders>
            <w:vAlign w:val="center"/>
          </w:tcPr>
          <w:p w14:paraId="536DAF37">
            <w:pPr>
              <w:jc w:val="center"/>
              <w:textAlignment w:val="center"/>
              <w:rPr>
                <w:rFonts w:ascii="宋体" w:hAnsi="宋体" w:eastAsia="宋体" w:cs="Times New Roman"/>
                <w:color w:val="auto"/>
                <w:lang w:val="en-GB"/>
              </w:rPr>
            </w:pPr>
            <w:r>
              <w:rPr>
                <w:rFonts w:ascii="宋体" w:hAnsi="宋体" w:eastAsia="宋体" w:cs="Times New Roman"/>
                <w:color w:val="auto"/>
                <w:lang w:val="en-GB"/>
              </w:rPr>
              <w:t>≤0.05</w:t>
            </w:r>
          </w:p>
        </w:tc>
      </w:tr>
      <w:tr w14:paraId="38F1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1DFBBE33">
            <w:pPr>
              <w:jc w:val="center"/>
              <w:textAlignment w:val="center"/>
              <w:rPr>
                <w:rFonts w:ascii="宋体" w:hAnsi="宋体" w:eastAsia="宋体" w:cs="Times New Roman"/>
                <w:color w:val="auto"/>
              </w:rPr>
            </w:pPr>
            <w:r>
              <w:rPr>
                <w:rFonts w:ascii="宋体" w:hAnsi="宋体" w:eastAsia="宋体" w:cs="Times New Roman"/>
                <w:color w:val="auto"/>
              </w:rPr>
              <w:t>氟化物</w:t>
            </w:r>
          </w:p>
        </w:tc>
        <w:tc>
          <w:tcPr>
            <w:tcW w:w="910" w:type="dxa"/>
            <w:tcBorders>
              <w:tl2br w:val="nil"/>
              <w:tr2bl w:val="nil"/>
            </w:tcBorders>
            <w:vAlign w:val="center"/>
          </w:tcPr>
          <w:p w14:paraId="5DBC632C">
            <w:pPr>
              <w:jc w:val="center"/>
              <w:textAlignment w:val="center"/>
              <w:rPr>
                <w:rFonts w:ascii="宋体" w:hAnsi="宋体" w:eastAsia="宋体" w:cs="Times New Roman"/>
                <w:color w:val="auto"/>
                <w:lang w:bidi="ar"/>
              </w:rPr>
            </w:pPr>
            <w:r>
              <w:rPr>
                <w:rFonts w:ascii="宋体" w:hAnsi="宋体" w:eastAsia="宋体" w:cs="Times New Roman"/>
                <w:color w:val="auto"/>
                <w:lang w:bidi="ar"/>
              </w:rPr>
              <w:t>0.52</w:t>
            </w:r>
          </w:p>
        </w:tc>
        <w:tc>
          <w:tcPr>
            <w:tcW w:w="910" w:type="dxa"/>
            <w:tcBorders>
              <w:tl2br w:val="nil"/>
              <w:tr2bl w:val="nil"/>
            </w:tcBorders>
            <w:vAlign w:val="center"/>
          </w:tcPr>
          <w:p w14:paraId="1F35751D">
            <w:pPr>
              <w:jc w:val="center"/>
              <w:textAlignment w:val="center"/>
              <w:rPr>
                <w:rFonts w:ascii="宋体" w:hAnsi="宋体" w:eastAsia="宋体" w:cs="Times New Roman"/>
                <w:color w:val="auto"/>
                <w:lang w:bidi="ar"/>
              </w:rPr>
            </w:pPr>
            <w:r>
              <w:rPr>
                <w:rFonts w:ascii="宋体" w:hAnsi="宋体" w:eastAsia="宋体" w:cs="Times New Roman"/>
                <w:color w:val="auto"/>
                <w:lang w:bidi="ar"/>
              </w:rPr>
              <w:t>0.42</w:t>
            </w:r>
          </w:p>
        </w:tc>
        <w:tc>
          <w:tcPr>
            <w:tcW w:w="910" w:type="dxa"/>
            <w:tcBorders>
              <w:tl2br w:val="nil"/>
              <w:tr2bl w:val="nil"/>
            </w:tcBorders>
            <w:vAlign w:val="center"/>
          </w:tcPr>
          <w:p w14:paraId="60DAA31D">
            <w:pPr>
              <w:jc w:val="center"/>
              <w:textAlignment w:val="center"/>
              <w:rPr>
                <w:rFonts w:ascii="宋体" w:hAnsi="宋体" w:eastAsia="宋体" w:cs="Times New Roman"/>
                <w:color w:val="auto"/>
                <w:lang w:bidi="ar"/>
              </w:rPr>
            </w:pPr>
            <w:r>
              <w:rPr>
                <w:rFonts w:ascii="宋体" w:hAnsi="宋体" w:eastAsia="宋体" w:cs="Times New Roman"/>
                <w:color w:val="auto"/>
                <w:lang w:bidi="ar"/>
              </w:rPr>
              <w:t>0.51</w:t>
            </w:r>
          </w:p>
        </w:tc>
        <w:tc>
          <w:tcPr>
            <w:tcW w:w="910" w:type="dxa"/>
            <w:tcBorders>
              <w:tl2br w:val="nil"/>
              <w:tr2bl w:val="nil"/>
            </w:tcBorders>
            <w:vAlign w:val="center"/>
          </w:tcPr>
          <w:p w14:paraId="3EB0779C">
            <w:pPr>
              <w:jc w:val="center"/>
              <w:textAlignment w:val="center"/>
              <w:rPr>
                <w:rFonts w:ascii="宋体" w:hAnsi="宋体" w:eastAsia="宋体" w:cs="Times New Roman"/>
                <w:color w:val="auto"/>
                <w:lang w:bidi="ar"/>
              </w:rPr>
            </w:pPr>
            <w:r>
              <w:rPr>
                <w:rFonts w:ascii="宋体" w:hAnsi="宋体" w:eastAsia="宋体" w:cs="Times New Roman"/>
                <w:color w:val="auto"/>
                <w:lang w:bidi="ar"/>
              </w:rPr>
              <w:t>0.45</w:t>
            </w:r>
          </w:p>
        </w:tc>
        <w:tc>
          <w:tcPr>
            <w:tcW w:w="910" w:type="dxa"/>
            <w:tcBorders>
              <w:tl2br w:val="nil"/>
              <w:tr2bl w:val="nil"/>
            </w:tcBorders>
            <w:vAlign w:val="center"/>
          </w:tcPr>
          <w:p w14:paraId="12E980FA">
            <w:pPr>
              <w:jc w:val="center"/>
              <w:textAlignment w:val="center"/>
              <w:rPr>
                <w:rFonts w:ascii="宋体" w:hAnsi="宋体" w:eastAsia="宋体" w:cs="Times New Roman"/>
                <w:color w:val="auto"/>
                <w:lang w:bidi="ar"/>
              </w:rPr>
            </w:pPr>
            <w:r>
              <w:rPr>
                <w:rFonts w:ascii="宋体" w:hAnsi="宋体" w:eastAsia="宋体" w:cs="Times New Roman"/>
                <w:color w:val="auto"/>
                <w:lang w:bidi="ar"/>
              </w:rPr>
              <w:t>0.46</w:t>
            </w:r>
          </w:p>
        </w:tc>
        <w:tc>
          <w:tcPr>
            <w:tcW w:w="910" w:type="dxa"/>
            <w:tcBorders>
              <w:tl2br w:val="nil"/>
              <w:tr2bl w:val="nil"/>
            </w:tcBorders>
            <w:vAlign w:val="center"/>
          </w:tcPr>
          <w:p w14:paraId="2305C07A">
            <w:pPr>
              <w:jc w:val="center"/>
              <w:textAlignment w:val="center"/>
              <w:rPr>
                <w:rFonts w:ascii="宋体" w:hAnsi="宋体" w:eastAsia="宋体" w:cs="Times New Roman"/>
                <w:color w:val="auto"/>
                <w:lang w:bidi="ar"/>
              </w:rPr>
            </w:pPr>
            <w:r>
              <w:rPr>
                <w:rFonts w:ascii="宋体" w:hAnsi="宋体" w:eastAsia="宋体" w:cs="Times New Roman"/>
                <w:color w:val="auto"/>
                <w:lang w:bidi="ar"/>
              </w:rPr>
              <w:t>0.21</w:t>
            </w:r>
          </w:p>
        </w:tc>
        <w:tc>
          <w:tcPr>
            <w:tcW w:w="910" w:type="dxa"/>
            <w:tcBorders>
              <w:tl2br w:val="nil"/>
              <w:tr2bl w:val="nil"/>
            </w:tcBorders>
            <w:vAlign w:val="center"/>
          </w:tcPr>
          <w:p w14:paraId="2EB5D101">
            <w:pPr>
              <w:jc w:val="center"/>
              <w:textAlignment w:val="center"/>
              <w:rPr>
                <w:rFonts w:ascii="宋体" w:hAnsi="宋体" w:eastAsia="宋体" w:cs="Times New Roman"/>
                <w:color w:val="auto"/>
                <w:lang w:bidi="ar"/>
              </w:rPr>
            </w:pPr>
            <w:r>
              <w:rPr>
                <w:rFonts w:ascii="宋体" w:hAnsi="宋体" w:eastAsia="宋体" w:cs="Times New Roman"/>
                <w:color w:val="auto"/>
                <w:lang w:bidi="ar"/>
              </w:rPr>
              <w:t>0.27</w:t>
            </w:r>
          </w:p>
        </w:tc>
        <w:tc>
          <w:tcPr>
            <w:tcW w:w="914" w:type="dxa"/>
            <w:tcBorders>
              <w:tl2br w:val="nil"/>
              <w:tr2bl w:val="nil"/>
            </w:tcBorders>
            <w:vAlign w:val="center"/>
          </w:tcPr>
          <w:p w14:paraId="101FCE2F">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0.46</w:t>
            </w:r>
          </w:p>
        </w:tc>
        <w:tc>
          <w:tcPr>
            <w:tcW w:w="735" w:type="dxa"/>
            <w:tcBorders>
              <w:tl2br w:val="nil"/>
              <w:tr2bl w:val="nil"/>
            </w:tcBorders>
            <w:vAlign w:val="center"/>
          </w:tcPr>
          <w:p w14:paraId="2F35AB1B">
            <w:pPr>
              <w:jc w:val="center"/>
              <w:textAlignment w:val="center"/>
              <w:rPr>
                <w:rFonts w:ascii="宋体" w:hAnsi="宋体" w:eastAsia="宋体" w:cs="Times New Roman"/>
                <w:color w:val="auto"/>
                <w:lang w:val="en-GB"/>
              </w:rPr>
            </w:pPr>
            <w:r>
              <w:rPr>
                <w:rFonts w:ascii="宋体" w:hAnsi="宋体" w:eastAsia="宋体" w:cs="Times New Roman"/>
                <w:color w:val="auto"/>
                <w:lang w:val="en-GB"/>
              </w:rPr>
              <w:t>≤1.0</w:t>
            </w:r>
          </w:p>
        </w:tc>
      </w:tr>
      <w:tr w14:paraId="510E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348FC9AC">
            <w:pPr>
              <w:jc w:val="center"/>
              <w:textAlignment w:val="center"/>
              <w:rPr>
                <w:rFonts w:ascii="宋体" w:hAnsi="宋体" w:eastAsia="宋体" w:cs="Times New Roman"/>
                <w:color w:val="auto"/>
              </w:rPr>
            </w:pPr>
            <w:r>
              <w:rPr>
                <w:rFonts w:ascii="宋体" w:hAnsi="宋体" w:eastAsia="宋体" w:cs="Times New Roman"/>
                <w:color w:val="auto"/>
              </w:rPr>
              <w:t>硝酸盐(以N计)</w:t>
            </w:r>
          </w:p>
        </w:tc>
        <w:tc>
          <w:tcPr>
            <w:tcW w:w="910" w:type="dxa"/>
            <w:tcBorders>
              <w:tl2br w:val="nil"/>
              <w:tr2bl w:val="nil"/>
            </w:tcBorders>
            <w:vAlign w:val="center"/>
          </w:tcPr>
          <w:p w14:paraId="0B389764">
            <w:pPr>
              <w:jc w:val="center"/>
              <w:textAlignment w:val="center"/>
              <w:rPr>
                <w:rFonts w:ascii="宋体" w:hAnsi="宋体" w:eastAsia="宋体" w:cs="Times New Roman"/>
                <w:color w:val="auto"/>
                <w:lang w:bidi="ar"/>
              </w:rPr>
            </w:pPr>
            <w:r>
              <w:rPr>
                <w:rFonts w:ascii="宋体" w:hAnsi="宋体" w:eastAsia="宋体" w:cs="Times New Roman"/>
                <w:color w:val="auto"/>
                <w:lang w:bidi="ar"/>
              </w:rPr>
              <w:t>2.28</w:t>
            </w:r>
          </w:p>
        </w:tc>
        <w:tc>
          <w:tcPr>
            <w:tcW w:w="910" w:type="dxa"/>
            <w:tcBorders>
              <w:tl2br w:val="nil"/>
              <w:tr2bl w:val="nil"/>
            </w:tcBorders>
            <w:vAlign w:val="center"/>
          </w:tcPr>
          <w:p w14:paraId="15148AE2">
            <w:pPr>
              <w:jc w:val="center"/>
              <w:textAlignment w:val="center"/>
              <w:rPr>
                <w:rFonts w:ascii="宋体" w:hAnsi="宋体" w:eastAsia="宋体" w:cs="Times New Roman"/>
                <w:color w:val="auto"/>
                <w:lang w:bidi="ar"/>
              </w:rPr>
            </w:pPr>
            <w:r>
              <w:rPr>
                <w:rFonts w:ascii="宋体" w:hAnsi="宋体" w:eastAsia="宋体" w:cs="Times New Roman"/>
                <w:color w:val="auto"/>
                <w:lang w:bidi="ar"/>
              </w:rPr>
              <w:t>2.41</w:t>
            </w:r>
          </w:p>
        </w:tc>
        <w:tc>
          <w:tcPr>
            <w:tcW w:w="910" w:type="dxa"/>
            <w:tcBorders>
              <w:tl2br w:val="nil"/>
              <w:tr2bl w:val="nil"/>
            </w:tcBorders>
            <w:vAlign w:val="center"/>
          </w:tcPr>
          <w:p w14:paraId="5020B261">
            <w:pPr>
              <w:jc w:val="center"/>
              <w:textAlignment w:val="center"/>
              <w:rPr>
                <w:rFonts w:ascii="宋体" w:hAnsi="宋体" w:eastAsia="宋体" w:cs="Times New Roman"/>
                <w:color w:val="auto"/>
                <w:lang w:bidi="ar"/>
              </w:rPr>
            </w:pPr>
            <w:r>
              <w:rPr>
                <w:rFonts w:ascii="宋体" w:hAnsi="宋体" w:eastAsia="宋体" w:cs="Times New Roman"/>
                <w:color w:val="auto"/>
                <w:lang w:bidi="ar"/>
              </w:rPr>
              <w:t>2.19</w:t>
            </w:r>
          </w:p>
        </w:tc>
        <w:tc>
          <w:tcPr>
            <w:tcW w:w="910" w:type="dxa"/>
            <w:tcBorders>
              <w:tl2br w:val="nil"/>
              <w:tr2bl w:val="nil"/>
            </w:tcBorders>
            <w:vAlign w:val="center"/>
          </w:tcPr>
          <w:p w14:paraId="11680883">
            <w:pPr>
              <w:jc w:val="center"/>
              <w:textAlignment w:val="center"/>
              <w:rPr>
                <w:rFonts w:ascii="宋体" w:hAnsi="宋体" w:eastAsia="宋体" w:cs="Times New Roman"/>
                <w:color w:val="auto"/>
                <w:lang w:bidi="ar"/>
              </w:rPr>
            </w:pPr>
            <w:r>
              <w:rPr>
                <w:rFonts w:ascii="宋体" w:hAnsi="宋体" w:eastAsia="宋体" w:cs="Times New Roman"/>
                <w:color w:val="auto"/>
                <w:lang w:bidi="ar"/>
              </w:rPr>
              <w:t>2.78</w:t>
            </w:r>
          </w:p>
        </w:tc>
        <w:tc>
          <w:tcPr>
            <w:tcW w:w="910" w:type="dxa"/>
            <w:tcBorders>
              <w:tl2br w:val="nil"/>
              <w:tr2bl w:val="nil"/>
            </w:tcBorders>
            <w:vAlign w:val="center"/>
          </w:tcPr>
          <w:p w14:paraId="5F1B31D3">
            <w:pPr>
              <w:jc w:val="center"/>
              <w:textAlignment w:val="center"/>
              <w:rPr>
                <w:rFonts w:ascii="宋体" w:hAnsi="宋体" w:eastAsia="宋体" w:cs="Times New Roman"/>
                <w:color w:val="auto"/>
                <w:lang w:bidi="ar"/>
              </w:rPr>
            </w:pPr>
            <w:r>
              <w:rPr>
                <w:rFonts w:ascii="宋体" w:hAnsi="宋体" w:eastAsia="宋体" w:cs="Times New Roman"/>
                <w:color w:val="auto"/>
                <w:lang w:bidi="ar"/>
              </w:rPr>
              <w:t>3.05</w:t>
            </w:r>
          </w:p>
        </w:tc>
        <w:tc>
          <w:tcPr>
            <w:tcW w:w="910" w:type="dxa"/>
            <w:tcBorders>
              <w:tl2br w:val="nil"/>
              <w:tr2bl w:val="nil"/>
            </w:tcBorders>
            <w:vAlign w:val="center"/>
          </w:tcPr>
          <w:p w14:paraId="31535A3F">
            <w:pPr>
              <w:jc w:val="center"/>
              <w:textAlignment w:val="center"/>
              <w:rPr>
                <w:rFonts w:ascii="宋体" w:hAnsi="宋体" w:eastAsia="宋体" w:cs="Times New Roman"/>
                <w:color w:val="auto"/>
                <w:lang w:bidi="ar"/>
              </w:rPr>
            </w:pPr>
            <w:r>
              <w:rPr>
                <w:rFonts w:ascii="宋体" w:hAnsi="宋体" w:eastAsia="宋体" w:cs="Times New Roman"/>
                <w:color w:val="auto"/>
                <w:lang w:bidi="ar"/>
              </w:rPr>
              <w:t>1.39</w:t>
            </w:r>
          </w:p>
        </w:tc>
        <w:tc>
          <w:tcPr>
            <w:tcW w:w="910" w:type="dxa"/>
            <w:tcBorders>
              <w:tl2br w:val="nil"/>
              <w:tr2bl w:val="nil"/>
            </w:tcBorders>
            <w:vAlign w:val="center"/>
          </w:tcPr>
          <w:p w14:paraId="65BA009F">
            <w:pPr>
              <w:jc w:val="center"/>
              <w:textAlignment w:val="center"/>
              <w:rPr>
                <w:rFonts w:ascii="宋体" w:hAnsi="宋体" w:eastAsia="宋体" w:cs="Times New Roman"/>
                <w:color w:val="auto"/>
                <w:lang w:bidi="ar"/>
              </w:rPr>
            </w:pPr>
            <w:r>
              <w:rPr>
                <w:rFonts w:ascii="宋体" w:hAnsi="宋体" w:eastAsia="宋体" w:cs="Times New Roman"/>
                <w:color w:val="auto"/>
                <w:lang w:bidi="ar"/>
              </w:rPr>
              <w:t>1.58</w:t>
            </w:r>
          </w:p>
        </w:tc>
        <w:tc>
          <w:tcPr>
            <w:tcW w:w="914" w:type="dxa"/>
            <w:tcBorders>
              <w:tl2br w:val="nil"/>
              <w:tr2bl w:val="nil"/>
            </w:tcBorders>
            <w:vAlign w:val="center"/>
          </w:tcPr>
          <w:p w14:paraId="2BB6B685">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2.45</w:t>
            </w:r>
          </w:p>
        </w:tc>
        <w:tc>
          <w:tcPr>
            <w:tcW w:w="735" w:type="dxa"/>
            <w:tcBorders>
              <w:tl2br w:val="nil"/>
              <w:tr2bl w:val="nil"/>
            </w:tcBorders>
            <w:vAlign w:val="center"/>
          </w:tcPr>
          <w:p w14:paraId="1B84CF3B">
            <w:pPr>
              <w:jc w:val="center"/>
              <w:textAlignment w:val="center"/>
              <w:rPr>
                <w:rFonts w:ascii="宋体" w:hAnsi="宋体" w:eastAsia="宋体" w:cs="Times New Roman"/>
                <w:color w:val="auto"/>
                <w:lang w:val="en-GB"/>
              </w:rPr>
            </w:pPr>
            <w:r>
              <w:rPr>
                <w:rFonts w:ascii="宋体" w:hAnsi="宋体" w:eastAsia="宋体" w:cs="Times New Roman"/>
                <w:color w:val="auto"/>
                <w:lang w:val="en-GB"/>
              </w:rPr>
              <w:t>≤20</w:t>
            </w:r>
          </w:p>
        </w:tc>
      </w:tr>
      <w:tr w14:paraId="241E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3EC637BD">
            <w:pPr>
              <w:jc w:val="center"/>
              <w:textAlignment w:val="center"/>
              <w:rPr>
                <w:rFonts w:ascii="宋体" w:hAnsi="宋体" w:eastAsia="宋体" w:cs="Times New Roman"/>
                <w:color w:val="auto"/>
              </w:rPr>
            </w:pPr>
            <w:r>
              <w:rPr>
                <w:rFonts w:ascii="宋体" w:hAnsi="宋体" w:eastAsia="宋体" w:cs="Times New Roman"/>
                <w:color w:val="auto"/>
              </w:rPr>
              <w:t>亚硝酸盐(以N计)</w:t>
            </w:r>
          </w:p>
        </w:tc>
        <w:tc>
          <w:tcPr>
            <w:tcW w:w="910" w:type="dxa"/>
            <w:tcBorders>
              <w:tl2br w:val="nil"/>
              <w:tr2bl w:val="nil"/>
            </w:tcBorders>
            <w:vAlign w:val="center"/>
          </w:tcPr>
          <w:p w14:paraId="55551C55">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3D2CDE71">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7D5E6EA9">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2AC852E4">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6220B44A">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1BB17551">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01EE76A0">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4" w:type="dxa"/>
            <w:tcBorders>
              <w:tl2br w:val="nil"/>
              <w:tr2bl w:val="nil"/>
            </w:tcBorders>
            <w:vAlign w:val="center"/>
          </w:tcPr>
          <w:p w14:paraId="34499591">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735" w:type="dxa"/>
            <w:tcBorders>
              <w:tl2br w:val="nil"/>
              <w:tr2bl w:val="nil"/>
            </w:tcBorders>
            <w:vAlign w:val="center"/>
          </w:tcPr>
          <w:p w14:paraId="05FBB36C">
            <w:pPr>
              <w:jc w:val="center"/>
              <w:textAlignment w:val="center"/>
              <w:rPr>
                <w:rFonts w:ascii="宋体" w:hAnsi="宋体" w:eastAsia="宋体" w:cs="Times New Roman"/>
                <w:color w:val="auto"/>
              </w:rPr>
            </w:pPr>
            <w:r>
              <w:rPr>
                <w:rFonts w:ascii="宋体" w:hAnsi="宋体" w:eastAsia="宋体" w:cs="Times New Roman"/>
                <w:color w:val="auto"/>
              </w:rPr>
              <w:t>≤1.0</w:t>
            </w:r>
          </w:p>
        </w:tc>
      </w:tr>
      <w:tr w14:paraId="79F7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52B368DF">
            <w:pPr>
              <w:jc w:val="center"/>
              <w:textAlignment w:val="center"/>
              <w:rPr>
                <w:rFonts w:ascii="宋体" w:hAnsi="宋体" w:eastAsia="宋体" w:cs="Times New Roman"/>
                <w:color w:val="auto"/>
              </w:rPr>
            </w:pPr>
            <w:r>
              <w:rPr>
                <w:rFonts w:ascii="宋体" w:hAnsi="宋体" w:eastAsia="宋体" w:cs="Times New Roman"/>
                <w:color w:val="auto"/>
              </w:rPr>
              <w:t>氨氮</w:t>
            </w:r>
          </w:p>
        </w:tc>
        <w:tc>
          <w:tcPr>
            <w:tcW w:w="910" w:type="dxa"/>
            <w:tcBorders>
              <w:tl2br w:val="nil"/>
              <w:tr2bl w:val="nil"/>
            </w:tcBorders>
            <w:vAlign w:val="center"/>
          </w:tcPr>
          <w:p w14:paraId="47CB1DEF">
            <w:pPr>
              <w:jc w:val="center"/>
              <w:textAlignment w:val="center"/>
              <w:rPr>
                <w:rFonts w:ascii="宋体" w:hAnsi="宋体" w:eastAsia="宋体" w:cs="Times New Roman"/>
                <w:color w:val="auto"/>
                <w:lang w:bidi="ar"/>
              </w:rPr>
            </w:pPr>
            <w:r>
              <w:rPr>
                <w:rFonts w:ascii="宋体" w:hAnsi="宋体" w:eastAsia="宋体" w:cs="Times New Roman"/>
                <w:color w:val="auto"/>
                <w:lang w:bidi="ar"/>
              </w:rPr>
              <w:t>0.202</w:t>
            </w:r>
          </w:p>
        </w:tc>
        <w:tc>
          <w:tcPr>
            <w:tcW w:w="910" w:type="dxa"/>
            <w:tcBorders>
              <w:tl2br w:val="nil"/>
              <w:tr2bl w:val="nil"/>
            </w:tcBorders>
            <w:vAlign w:val="center"/>
          </w:tcPr>
          <w:p w14:paraId="56483B61">
            <w:pPr>
              <w:jc w:val="center"/>
              <w:textAlignment w:val="center"/>
              <w:rPr>
                <w:rFonts w:ascii="宋体" w:hAnsi="宋体" w:eastAsia="宋体" w:cs="Times New Roman"/>
                <w:color w:val="auto"/>
                <w:lang w:bidi="ar"/>
              </w:rPr>
            </w:pPr>
            <w:r>
              <w:rPr>
                <w:rFonts w:ascii="宋体" w:hAnsi="宋体" w:eastAsia="宋体" w:cs="Times New Roman"/>
                <w:color w:val="auto"/>
                <w:lang w:bidi="ar"/>
              </w:rPr>
              <w:t>0.245</w:t>
            </w:r>
          </w:p>
        </w:tc>
        <w:tc>
          <w:tcPr>
            <w:tcW w:w="910" w:type="dxa"/>
            <w:tcBorders>
              <w:tl2br w:val="nil"/>
              <w:tr2bl w:val="nil"/>
            </w:tcBorders>
            <w:vAlign w:val="center"/>
          </w:tcPr>
          <w:p w14:paraId="2C1AE51C">
            <w:pPr>
              <w:jc w:val="center"/>
              <w:textAlignment w:val="center"/>
              <w:rPr>
                <w:rFonts w:ascii="宋体" w:hAnsi="宋体" w:eastAsia="宋体" w:cs="Times New Roman"/>
                <w:color w:val="auto"/>
                <w:lang w:bidi="ar"/>
              </w:rPr>
            </w:pPr>
            <w:r>
              <w:rPr>
                <w:rFonts w:ascii="宋体" w:hAnsi="宋体" w:eastAsia="宋体" w:cs="Times New Roman"/>
                <w:color w:val="auto"/>
                <w:lang w:bidi="ar"/>
              </w:rPr>
              <w:t>0.199</w:t>
            </w:r>
          </w:p>
        </w:tc>
        <w:tc>
          <w:tcPr>
            <w:tcW w:w="910" w:type="dxa"/>
            <w:tcBorders>
              <w:tl2br w:val="nil"/>
              <w:tr2bl w:val="nil"/>
            </w:tcBorders>
            <w:vAlign w:val="center"/>
          </w:tcPr>
          <w:p w14:paraId="1ED43A17">
            <w:pPr>
              <w:jc w:val="center"/>
              <w:textAlignment w:val="center"/>
              <w:rPr>
                <w:rFonts w:ascii="宋体" w:hAnsi="宋体" w:eastAsia="宋体" w:cs="Times New Roman"/>
                <w:color w:val="auto"/>
                <w:lang w:bidi="ar"/>
              </w:rPr>
            </w:pPr>
            <w:r>
              <w:rPr>
                <w:rFonts w:ascii="宋体" w:hAnsi="宋体" w:eastAsia="宋体" w:cs="Times New Roman"/>
                <w:color w:val="auto"/>
                <w:lang w:bidi="ar"/>
              </w:rPr>
              <w:t>0.225</w:t>
            </w:r>
          </w:p>
        </w:tc>
        <w:tc>
          <w:tcPr>
            <w:tcW w:w="910" w:type="dxa"/>
            <w:tcBorders>
              <w:tl2br w:val="nil"/>
              <w:tr2bl w:val="nil"/>
            </w:tcBorders>
            <w:vAlign w:val="center"/>
          </w:tcPr>
          <w:p w14:paraId="4EC552CE">
            <w:pPr>
              <w:jc w:val="center"/>
              <w:textAlignment w:val="center"/>
              <w:rPr>
                <w:rFonts w:ascii="宋体" w:hAnsi="宋体" w:eastAsia="宋体" w:cs="Times New Roman"/>
                <w:color w:val="auto"/>
                <w:lang w:bidi="ar"/>
              </w:rPr>
            </w:pPr>
            <w:r>
              <w:rPr>
                <w:rFonts w:ascii="宋体" w:hAnsi="宋体" w:eastAsia="宋体" w:cs="Times New Roman"/>
                <w:color w:val="auto"/>
                <w:lang w:bidi="ar"/>
              </w:rPr>
              <w:t>0.277</w:t>
            </w:r>
          </w:p>
        </w:tc>
        <w:tc>
          <w:tcPr>
            <w:tcW w:w="910" w:type="dxa"/>
            <w:tcBorders>
              <w:tl2br w:val="nil"/>
              <w:tr2bl w:val="nil"/>
            </w:tcBorders>
            <w:vAlign w:val="center"/>
          </w:tcPr>
          <w:p w14:paraId="0306897F">
            <w:pPr>
              <w:jc w:val="center"/>
              <w:textAlignment w:val="center"/>
              <w:rPr>
                <w:rFonts w:ascii="宋体" w:hAnsi="宋体" w:eastAsia="宋体" w:cs="Times New Roman"/>
                <w:color w:val="auto"/>
                <w:lang w:bidi="ar"/>
              </w:rPr>
            </w:pPr>
            <w:r>
              <w:rPr>
                <w:rFonts w:ascii="宋体" w:hAnsi="宋体" w:eastAsia="宋体" w:cs="Times New Roman"/>
                <w:color w:val="auto"/>
                <w:lang w:bidi="ar"/>
              </w:rPr>
              <w:t>0.192</w:t>
            </w:r>
          </w:p>
        </w:tc>
        <w:tc>
          <w:tcPr>
            <w:tcW w:w="910" w:type="dxa"/>
            <w:tcBorders>
              <w:tl2br w:val="nil"/>
              <w:tr2bl w:val="nil"/>
            </w:tcBorders>
            <w:vAlign w:val="center"/>
          </w:tcPr>
          <w:p w14:paraId="2CD58CC1">
            <w:pPr>
              <w:jc w:val="center"/>
              <w:textAlignment w:val="center"/>
              <w:rPr>
                <w:rFonts w:ascii="宋体" w:hAnsi="宋体" w:eastAsia="宋体" w:cs="Times New Roman"/>
                <w:color w:val="auto"/>
                <w:lang w:bidi="ar"/>
              </w:rPr>
            </w:pPr>
            <w:r>
              <w:rPr>
                <w:rFonts w:ascii="宋体" w:hAnsi="宋体" w:eastAsia="宋体" w:cs="Times New Roman"/>
                <w:color w:val="auto"/>
                <w:lang w:bidi="ar"/>
              </w:rPr>
              <w:t>0.176</w:t>
            </w:r>
          </w:p>
        </w:tc>
        <w:tc>
          <w:tcPr>
            <w:tcW w:w="914" w:type="dxa"/>
            <w:tcBorders>
              <w:tl2br w:val="nil"/>
              <w:tr2bl w:val="nil"/>
            </w:tcBorders>
            <w:vAlign w:val="center"/>
          </w:tcPr>
          <w:p w14:paraId="178583C3">
            <w:pPr>
              <w:jc w:val="center"/>
              <w:textAlignment w:val="center"/>
              <w:rPr>
                <w:rFonts w:ascii="宋体" w:hAnsi="宋体" w:eastAsia="宋体" w:cs="Times New Roman"/>
                <w:color w:val="auto"/>
                <w:lang w:bidi="ar"/>
              </w:rPr>
            </w:pPr>
            <w:r>
              <w:rPr>
                <w:rFonts w:ascii="宋体" w:hAnsi="宋体" w:eastAsia="宋体" w:cs="Times New Roman"/>
                <w:color w:val="auto"/>
                <w:lang w:bidi="ar"/>
              </w:rPr>
              <w:t>0.310</w:t>
            </w:r>
          </w:p>
        </w:tc>
        <w:tc>
          <w:tcPr>
            <w:tcW w:w="735" w:type="dxa"/>
            <w:tcBorders>
              <w:tl2br w:val="nil"/>
              <w:tr2bl w:val="nil"/>
            </w:tcBorders>
            <w:vAlign w:val="center"/>
          </w:tcPr>
          <w:p w14:paraId="781C8A6E">
            <w:pPr>
              <w:jc w:val="center"/>
              <w:textAlignment w:val="center"/>
              <w:rPr>
                <w:rFonts w:ascii="宋体" w:hAnsi="宋体" w:eastAsia="宋体" w:cs="Times New Roman"/>
                <w:color w:val="auto"/>
              </w:rPr>
            </w:pPr>
            <w:r>
              <w:rPr>
                <w:rFonts w:ascii="宋体" w:hAnsi="宋体" w:eastAsia="宋体" w:cs="Times New Roman"/>
                <w:color w:val="auto"/>
              </w:rPr>
              <w:t>≤0.5</w:t>
            </w:r>
          </w:p>
        </w:tc>
      </w:tr>
      <w:tr w14:paraId="026C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2BBAC029">
            <w:pPr>
              <w:jc w:val="center"/>
              <w:textAlignment w:val="center"/>
              <w:rPr>
                <w:rFonts w:ascii="宋体" w:hAnsi="宋体" w:eastAsia="宋体" w:cs="Times New Roman"/>
                <w:color w:val="auto"/>
              </w:rPr>
            </w:pPr>
            <w:r>
              <w:rPr>
                <w:rFonts w:ascii="宋体" w:hAnsi="宋体" w:eastAsia="宋体" w:cs="Times New Roman"/>
                <w:color w:val="auto"/>
              </w:rPr>
              <w:t>六价铬</w:t>
            </w:r>
          </w:p>
        </w:tc>
        <w:tc>
          <w:tcPr>
            <w:tcW w:w="910" w:type="dxa"/>
            <w:tcBorders>
              <w:tl2br w:val="nil"/>
              <w:tr2bl w:val="nil"/>
            </w:tcBorders>
            <w:vAlign w:val="center"/>
          </w:tcPr>
          <w:p w14:paraId="366AB764">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10" w:type="dxa"/>
            <w:tcBorders>
              <w:tl2br w:val="nil"/>
              <w:tr2bl w:val="nil"/>
            </w:tcBorders>
            <w:vAlign w:val="center"/>
          </w:tcPr>
          <w:p w14:paraId="370A50A5">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10" w:type="dxa"/>
            <w:tcBorders>
              <w:tl2br w:val="nil"/>
              <w:tr2bl w:val="nil"/>
            </w:tcBorders>
            <w:vAlign w:val="center"/>
          </w:tcPr>
          <w:p w14:paraId="21C49133">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10" w:type="dxa"/>
            <w:tcBorders>
              <w:tl2br w:val="nil"/>
              <w:tr2bl w:val="nil"/>
            </w:tcBorders>
            <w:vAlign w:val="center"/>
          </w:tcPr>
          <w:p w14:paraId="0D032168">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10" w:type="dxa"/>
            <w:tcBorders>
              <w:tl2br w:val="nil"/>
              <w:tr2bl w:val="nil"/>
            </w:tcBorders>
            <w:vAlign w:val="center"/>
          </w:tcPr>
          <w:p w14:paraId="4C253805">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10" w:type="dxa"/>
            <w:tcBorders>
              <w:tl2br w:val="nil"/>
              <w:tr2bl w:val="nil"/>
            </w:tcBorders>
            <w:vAlign w:val="center"/>
          </w:tcPr>
          <w:p w14:paraId="4AE2FC38">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10" w:type="dxa"/>
            <w:tcBorders>
              <w:tl2br w:val="nil"/>
              <w:tr2bl w:val="nil"/>
            </w:tcBorders>
            <w:vAlign w:val="center"/>
          </w:tcPr>
          <w:p w14:paraId="00F2D979">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14" w:type="dxa"/>
            <w:tcBorders>
              <w:tl2br w:val="nil"/>
              <w:tr2bl w:val="nil"/>
            </w:tcBorders>
            <w:vAlign w:val="center"/>
          </w:tcPr>
          <w:p w14:paraId="7F8DA45C">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0.004L</w:t>
            </w:r>
          </w:p>
        </w:tc>
        <w:tc>
          <w:tcPr>
            <w:tcW w:w="735" w:type="dxa"/>
            <w:tcBorders>
              <w:tl2br w:val="nil"/>
              <w:tr2bl w:val="nil"/>
            </w:tcBorders>
            <w:vAlign w:val="center"/>
          </w:tcPr>
          <w:p w14:paraId="77E76078">
            <w:pPr>
              <w:jc w:val="center"/>
              <w:textAlignment w:val="center"/>
              <w:rPr>
                <w:rFonts w:ascii="宋体" w:hAnsi="宋体" w:eastAsia="宋体" w:cs="Times New Roman"/>
                <w:color w:val="auto"/>
                <w:lang w:val="en-GB"/>
              </w:rPr>
            </w:pPr>
            <w:r>
              <w:rPr>
                <w:rFonts w:ascii="宋体" w:hAnsi="宋体" w:eastAsia="宋体" w:cs="Times New Roman"/>
                <w:color w:val="auto"/>
                <w:lang w:val="en-GB"/>
              </w:rPr>
              <w:t>≤0.05</w:t>
            </w:r>
          </w:p>
        </w:tc>
      </w:tr>
      <w:tr w14:paraId="150D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252D7360">
            <w:pPr>
              <w:jc w:val="center"/>
              <w:textAlignment w:val="center"/>
              <w:rPr>
                <w:rFonts w:ascii="宋体" w:hAnsi="宋体" w:eastAsia="宋体" w:cs="Times New Roman"/>
                <w:color w:val="auto"/>
              </w:rPr>
            </w:pPr>
            <w:r>
              <w:rPr>
                <w:rFonts w:ascii="宋体" w:hAnsi="宋体" w:eastAsia="宋体" w:cs="Times New Roman"/>
                <w:color w:val="auto"/>
              </w:rPr>
              <w:t>砷</w:t>
            </w:r>
          </w:p>
        </w:tc>
        <w:tc>
          <w:tcPr>
            <w:tcW w:w="910" w:type="dxa"/>
            <w:tcBorders>
              <w:tl2br w:val="nil"/>
              <w:tr2bl w:val="nil"/>
            </w:tcBorders>
            <w:vAlign w:val="center"/>
          </w:tcPr>
          <w:p w14:paraId="5BAFF45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083E26AC">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535E3F45">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61AE090A">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6C9DAFB4">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786A7BE1">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0" w:type="dxa"/>
            <w:tcBorders>
              <w:tl2br w:val="nil"/>
              <w:tr2bl w:val="nil"/>
            </w:tcBorders>
            <w:vAlign w:val="center"/>
          </w:tcPr>
          <w:p w14:paraId="281F71B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4" w:type="dxa"/>
            <w:tcBorders>
              <w:tl2br w:val="nil"/>
              <w:tr2bl w:val="nil"/>
            </w:tcBorders>
            <w:vAlign w:val="center"/>
          </w:tcPr>
          <w:p w14:paraId="595AEAAC">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0.0003L</w:t>
            </w:r>
          </w:p>
        </w:tc>
        <w:tc>
          <w:tcPr>
            <w:tcW w:w="735" w:type="dxa"/>
            <w:tcBorders>
              <w:tl2br w:val="nil"/>
              <w:tr2bl w:val="nil"/>
            </w:tcBorders>
            <w:vAlign w:val="center"/>
          </w:tcPr>
          <w:p w14:paraId="0FE9BD3A">
            <w:pPr>
              <w:jc w:val="center"/>
              <w:textAlignment w:val="center"/>
              <w:rPr>
                <w:rFonts w:ascii="宋体" w:hAnsi="宋体" w:eastAsia="宋体" w:cs="Times New Roman"/>
                <w:color w:val="auto"/>
                <w:lang w:val="en-GB"/>
              </w:rPr>
            </w:pPr>
            <w:r>
              <w:rPr>
                <w:rFonts w:ascii="宋体" w:hAnsi="宋体" w:eastAsia="宋体" w:cs="Times New Roman"/>
                <w:color w:val="auto"/>
                <w:lang w:val="en-GB"/>
              </w:rPr>
              <w:t>≤0.01</w:t>
            </w:r>
          </w:p>
        </w:tc>
      </w:tr>
      <w:tr w14:paraId="4142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30C7C5CB">
            <w:pPr>
              <w:jc w:val="center"/>
              <w:textAlignment w:val="center"/>
              <w:rPr>
                <w:rFonts w:ascii="宋体" w:hAnsi="宋体" w:eastAsia="宋体" w:cs="Times New Roman"/>
                <w:color w:val="auto"/>
              </w:rPr>
            </w:pPr>
            <w:r>
              <w:rPr>
                <w:rFonts w:ascii="宋体" w:hAnsi="宋体" w:eastAsia="宋体" w:cs="Times New Roman"/>
                <w:color w:val="auto"/>
              </w:rPr>
              <w:t>铅</w:t>
            </w:r>
          </w:p>
        </w:tc>
        <w:tc>
          <w:tcPr>
            <w:tcW w:w="910" w:type="dxa"/>
            <w:tcBorders>
              <w:tl2br w:val="nil"/>
              <w:tr2bl w:val="nil"/>
            </w:tcBorders>
            <w:vAlign w:val="center"/>
          </w:tcPr>
          <w:p w14:paraId="7AFBB803">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10" w:type="dxa"/>
            <w:tcBorders>
              <w:tl2br w:val="nil"/>
              <w:tr2bl w:val="nil"/>
            </w:tcBorders>
            <w:vAlign w:val="center"/>
          </w:tcPr>
          <w:p w14:paraId="25CF3EEE">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10" w:type="dxa"/>
            <w:tcBorders>
              <w:tl2br w:val="nil"/>
              <w:tr2bl w:val="nil"/>
            </w:tcBorders>
            <w:vAlign w:val="center"/>
          </w:tcPr>
          <w:p w14:paraId="1AAE0369">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10" w:type="dxa"/>
            <w:tcBorders>
              <w:tl2br w:val="nil"/>
              <w:tr2bl w:val="nil"/>
            </w:tcBorders>
            <w:vAlign w:val="center"/>
          </w:tcPr>
          <w:p w14:paraId="20C5898B">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10" w:type="dxa"/>
            <w:tcBorders>
              <w:tl2br w:val="nil"/>
              <w:tr2bl w:val="nil"/>
            </w:tcBorders>
            <w:vAlign w:val="center"/>
          </w:tcPr>
          <w:p w14:paraId="553A6E64">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10" w:type="dxa"/>
            <w:tcBorders>
              <w:tl2br w:val="nil"/>
              <w:tr2bl w:val="nil"/>
            </w:tcBorders>
            <w:vAlign w:val="center"/>
          </w:tcPr>
          <w:p w14:paraId="3DA9C473">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10" w:type="dxa"/>
            <w:tcBorders>
              <w:tl2br w:val="nil"/>
              <w:tr2bl w:val="nil"/>
            </w:tcBorders>
            <w:vAlign w:val="center"/>
          </w:tcPr>
          <w:p w14:paraId="34E24C9D">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14" w:type="dxa"/>
            <w:tcBorders>
              <w:tl2br w:val="nil"/>
              <w:tr2bl w:val="nil"/>
            </w:tcBorders>
            <w:vAlign w:val="center"/>
          </w:tcPr>
          <w:p w14:paraId="68A1FEE5">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0.001L</w:t>
            </w:r>
          </w:p>
        </w:tc>
        <w:tc>
          <w:tcPr>
            <w:tcW w:w="735" w:type="dxa"/>
            <w:tcBorders>
              <w:tl2br w:val="nil"/>
              <w:tr2bl w:val="nil"/>
            </w:tcBorders>
            <w:vAlign w:val="center"/>
          </w:tcPr>
          <w:p w14:paraId="29BC8B8F">
            <w:pPr>
              <w:jc w:val="center"/>
              <w:textAlignment w:val="center"/>
              <w:rPr>
                <w:rFonts w:ascii="宋体" w:hAnsi="宋体" w:eastAsia="宋体" w:cs="Times New Roman"/>
                <w:color w:val="auto"/>
                <w:lang w:val="en-GB"/>
              </w:rPr>
            </w:pPr>
            <w:r>
              <w:rPr>
                <w:rFonts w:ascii="宋体" w:hAnsi="宋体" w:eastAsia="宋体" w:cs="Times New Roman"/>
                <w:color w:val="auto"/>
                <w:lang w:val="en-GB"/>
              </w:rPr>
              <w:t>≤0.01</w:t>
            </w:r>
          </w:p>
        </w:tc>
      </w:tr>
      <w:tr w14:paraId="5467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3492A173">
            <w:pPr>
              <w:jc w:val="center"/>
              <w:textAlignment w:val="center"/>
              <w:rPr>
                <w:rFonts w:ascii="宋体" w:hAnsi="宋体" w:eastAsia="宋体" w:cs="Times New Roman"/>
                <w:color w:val="auto"/>
              </w:rPr>
            </w:pPr>
            <w:r>
              <w:rPr>
                <w:rFonts w:ascii="宋体" w:hAnsi="宋体" w:eastAsia="宋体" w:cs="Times New Roman"/>
                <w:color w:val="auto"/>
              </w:rPr>
              <w:t>铁</w:t>
            </w:r>
          </w:p>
        </w:tc>
        <w:tc>
          <w:tcPr>
            <w:tcW w:w="910" w:type="dxa"/>
            <w:tcBorders>
              <w:tl2br w:val="nil"/>
              <w:tr2bl w:val="nil"/>
            </w:tcBorders>
            <w:vAlign w:val="center"/>
          </w:tcPr>
          <w:p w14:paraId="78489888">
            <w:pPr>
              <w:jc w:val="center"/>
              <w:textAlignment w:val="center"/>
              <w:rPr>
                <w:rFonts w:ascii="宋体" w:hAnsi="宋体" w:eastAsia="宋体" w:cs="Times New Roman"/>
                <w:color w:val="auto"/>
                <w:lang w:bidi="ar"/>
              </w:rPr>
            </w:pPr>
            <w:r>
              <w:rPr>
                <w:rFonts w:ascii="宋体" w:hAnsi="宋体" w:eastAsia="宋体" w:cs="Times New Roman"/>
                <w:color w:val="auto"/>
                <w:lang w:bidi="ar"/>
              </w:rPr>
              <w:t>0.28</w:t>
            </w:r>
          </w:p>
        </w:tc>
        <w:tc>
          <w:tcPr>
            <w:tcW w:w="910" w:type="dxa"/>
            <w:tcBorders>
              <w:tl2br w:val="nil"/>
              <w:tr2bl w:val="nil"/>
            </w:tcBorders>
            <w:vAlign w:val="center"/>
          </w:tcPr>
          <w:p w14:paraId="14109EDB">
            <w:pPr>
              <w:jc w:val="center"/>
              <w:textAlignment w:val="center"/>
              <w:rPr>
                <w:rFonts w:ascii="宋体" w:hAnsi="宋体" w:eastAsia="宋体" w:cs="Times New Roman"/>
                <w:color w:val="auto"/>
                <w:lang w:bidi="ar"/>
              </w:rPr>
            </w:pPr>
            <w:r>
              <w:rPr>
                <w:rFonts w:ascii="宋体" w:hAnsi="宋体" w:eastAsia="宋体" w:cs="Times New Roman"/>
                <w:color w:val="auto"/>
                <w:lang w:bidi="ar"/>
              </w:rPr>
              <w:t>0.29</w:t>
            </w:r>
          </w:p>
        </w:tc>
        <w:tc>
          <w:tcPr>
            <w:tcW w:w="910" w:type="dxa"/>
            <w:tcBorders>
              <w:tl2br w:val="nil"/>
              <w:tr2bl w:val="nil"/>
            </w:tcBorders>
            <w:vAlign w:val="center"/>
          </w:tcPr>
          <w:p w14:paraId="5CAAFE5D">
            <w:pPr>
              <w:jc w:val="center"/>
              <w:textAlignment w:val="center"/>
              <w:rPr>
                <w:rFonts w:ascii="宋体" w:hAnsi="宋体" w:eastAsia="宋体" w:cs="Times New Roman"/>
                <w:color w:val="auto"/>
                <w:lang w:bidi="ar"/>
              </w:rPr>
            </w:pPr>
            <w:r>
              <w:rPr>
                <w:rFonts w:ascii="宋体" w:hAnsi="宋体" w:eastAsia="宋体" w:cs="Times New Roman"/>
                <w:color w:val="auto"/>
                <w:lang w:bidi="ar"/>
              </w:rPr>
              <w:t>0.28</w:t>
            </w:r>
          </w:p>
        </w:tc>
        <w:tc>
          <w:tcPr>
            <w:tcW w:w="910" w:type="dxa"/>
            <w:tcBorders>
              <w:tl2br w:val="nil"/>
              <w:tr2bl w:val="nil"/>
            </w:tcBorders>
            <w:vAlign w:val="center"/>
          </w:tcPr>
          <w:p w14:paraId="26ED2894">
            <w:pPr>
              <w:jc w:val="center"/>
              <w:textAlignment w:val="center"/>
              <w:rPr>
                <w:rFonts w:ascii="宋体" w:hAnsi="宋体" w:eastAsia="宋体" w:cs="Times New Roman"/>
                <w:color w:val="auto"/>
                <w:lang w:bidi="ar"/>
              </w:rPr>
            </w:pPr>
            <w:r>
              <w:rPr>
                <w:rFonts w:ascii="宋体" w:hAnsi="宋体" w:eastAsia="宋体" w:cs="Times New Roman"/>
                <w:color w:val="auto"/>
                <w:lang w:bidi="ar"/>
              </w:rPr>
              <w:t>0.27</w:t>
            </w:r>
          </w:p>
        </w:tc>
        <w:tc>
          <w:tcPr>
            <w:tcW w:w="910" w:type="dxa"/>
            <w:tcBorders>
              <w:tl2br w:val="nil"/>
              <w:tr2bl w:val="nil"/>
            </w:tcBorders>
            <w:vAlign w:val="center"/>
          </w:tcPr>
          <w:p w14:paraId="733A73BB">
            <w:pPr>
              <w:jc w:val="center"/>
              <w:textAlignment w:val="center"/>
              <w:rPr>
                <w:rFonts w:ascii="宋体" w:hAnsi="宋体" w:eastAsia="宋体" w:cs="Times New Roman"/>
                <w:color w:val="auto"/>
                <w:lang w:bidi="ar"/>
              </w:rPr>
            </w:pPr>
            <w:r>
              <w:rPr>
                <w:rFonts w:ascii="宋体" w:hAnsi="宋体" w:eastAsia="宋体" w:cs="Times New Roman"/>
                <w:color w:val="auto"/>
                <w:lang w:bidi="ar"/>
              </w:rPr>
              <w:t>0.26</w:t>
            </w:r>
          </w:p>
        </w:tc>
        <w:tc>
          <w:tcPr>
            <w:tcW w:w="910" w:type="dxa"/>
            <w:tcBorders>
              <w:tl2br w:val="nil"/>
              <w:tr2bl w:val="nil"/>
            </w:tcBorders>
            <w:vAlign w:val="center"/>
          </w:tcPr>
          <w:p w14:paraId="2476AF17">
            <w:pPr>
              <w:jc w:val="center"/>
              <w:textAlignment w:val="center"/>
              <w:rPr>
                <w:rFonts w:ascii="宋体" w:hAnsi="宋体" w:eastAsia="宋体" w:cs="Times New Roman"/>
                <w:color w:val="auto"/>
                <w:lang w:bidi="ar"/>
              </w:rPr>
            </w:pPr>
            <w:r>
              <w:rPr>
                <w:rFonts w:ascii="宋体" w:hAnsi="宋体" w:eastAsia="宋体" w:cs="Times New Roman"/>
                <w:color w:val="auto"/>
                <w:lang w:bidi="ar"/>
              </w:rPr>
              <w:t>0.21</w:t>
            </w:r>
          </w:p>
        </w:tc>
        <w:tc>
          <w:tcPr>
            <w:tcW w:w="910" w:type="dxa"/>
            <w:tcBorders>
              <w:tl2br w:val="nil"/>
              <w:tr2bl w:val="nil"/>
            </w:tcBorders>
            <w:vAlign w:val="center"/>
          </w:tcPr>
          <w:p w14:paraId="7827DD65">
            <w:pPr>
              <w:jc w:val="center"/>
              <w:textAlignment w:val="center"/>
              <w:rPr>
                <w:rFonts w:ascii="宋体" w:hAnsi="宋体" w:eastAsia="宋体" w:cs="Times New Roman"/>
                <w:color w:val="auto"/>
                <w:lang w:bidi="ar"/>
              </w:rPr>
            </w:pPr>
            <w:r>
              <w:rPr>
                <w:rFonts w:ascii="宋体" w:hAnsi="宋体" w:eastAsia="宋体" w:cs="Times New Roman"/>
                <w:color w:val="auto"/>
                <w:lang w:bidi="ar"/>
              </w:rPr>
              <w:t>0.22</w:t>
            </w:r>
          </w:p>
        </w:tc>
        <w:tc>
          <w:tcPr>
            <w:tcW w:w="914" w:type="dxa"/>
            <w:tcBorders>
              <w:tl2br w:val="nil"/>
              <w:tr2bl w:val="nil"/>
            </w:tcBorders>
            <w:vAlign w:val="center"/>
          </w:tcPr>
          <w:p w14:paraId="2C6555F1">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0.27</w:t>
            </w:r>
          </w:p>
        </w:tc>
        <w:tc>
          <w:tcPr>
            <w:tcW w:w="735" w:type="dxa"/>
            <w:tcBorders>
              <w:tl2br w:val="nil"/>
              <w:tr2bl w:val="nil"/>
            </w:tcBorders>
            <w:vAlign w:val="center"/>
          </w:tcPr>
          <w:p w14:paraId="469EC7E8">
            <w:pPr>
              <w:jc w:val="center"/>
              <w:textAlignment w:val="center"/>
              <w:rPr>
                <w:rFonts w:ascii="宋体" w:hAnsi="宋体" w:eastAsia="宋体" w:cs="Times New Roman"/>
                <w:color w:val="auto"/>
                <w:lang w:val="en-GB"/>
              </w:rPr>
            </w:pPr>
            <w:r>
              <w:rPr>
                <w:rFonts w:ascii="宋体" w:hAnsi="宋体" w:eastAsia="宋体" w:cs="Times New Roman"/>
                <w:color w:val="auto"/>
                <w:lang w:val="en-GB"/>
              </w:rPr>
              <w:t>≤0.3</w:t>
            </w:r>
          </w:p>
        </w:tc>
      </w:tr>
      <w:tr w14:paraId="12C1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30674772">
            <w:pPr>
              <w:jc w:val="center"/>
              <w:textAlignment w:val="center"/>
              <w:rPr>
                <w:rFonts w:ascii="宋体" w:hAnsi="宋体" w:eastAsia="宋体" w:cs="Times New Roman"/>
                <w:color w:val="auto"/>
              </w:rPr>
            </w:pPr>
            <w:r>
              <w:rPr>
                <w:rFonts w:ascii="宋体" w:hAnsi="宋体" w:eastAsia="宋体" w:cs="Times New Roman"/>
                <w:color w:val="auto"/>
              </w:rPr>
              <w:t>汞</w:t>
            </w:r>
          </w:p>
        </w:tc>
        <w:tc>
          <w:tcPr>
            <w:tcW w:w="910" w:type="dxa"/>
            <w:tcBorders>
              <w:tl2br w:val="nil"/>
              <w:tr2bl w:val="nil"/>
            </w:tcBorders>
            <w:vAlign w:val="center"/>
          </w:tcPr>
          <w:p w14:paraId="052CA8F3">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10" w:type="dxa"/>
            <w:tcBorders>
              <w:tl2br w:val="nil"/>
              <w:tr2bl w:val="nil"/>
            </w:tcBorders>
            <w:vAlign w:val="center"/>
          </w:tcPr>
          <w:p w14:paraId="1D5A1F29">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10" w:type="dxa"/>
            <w:tcBorders>
              <w:tl2br w:val="nil"/>
              <w:tr2bl w:val="nil"/>
            </w:tcBorders>
            <w:vAlign w:val="center"/>
          </w:tcPr>
          <w:p w14:paraId="256A3A2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10" w:type="dxa"/>
            <w:tcBorders>
              <w:tl2br w:val="nil"/>
              <w:tr2bl w:val="nil"/>
            </w:tcBorders>
            <w:vAlign w:val="center"/>
          </w:tcPr>
          <w:p w14:paraId="77464807">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10" w:type="dxa"/>
            <w:tcBorders>
              <w:tl2br w:val="nil"/>
              <w:tr2bl w:val="nil"/>
            </w:tcBorders>
            <w:vAlign w:val="center"/>
          </w:tcPr>
          <w:p w14:paraId="5E462E86">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10" w:type="dxa"/>
            <w:tcBorders>
              <w:tl2br w:val="nil"/>
              <w:tr2bl w:val="nil"/>
            </w:tcBorders>
            <w:vAlign w:val="center"/>
          </w:tcPr>
          <w:p w14:paraId="4573BFC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10" w:type="dxa"/>
            <w:tcBorders>
              <w:tl2br w:val="nil"/>
              <w:tr2bl w:val="nil"/>
            </w:tcBorders>
            <w:vAlign w:val="center"/>
          </w:tcPr>
          <w:p w14:paraId="0491A4E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14" w:type="dxa"/>
            <w:tcBorders>
              <w:tl2br w:val="nil"/>
              <w:tr2bl w:val="nil"/>
            </w:tcBorders>
            <w:vAlign w:val="center"/>
          </w:tcPr>
          <w:p w14:paraId="62707A80">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0.00004L</w:t>
            </w:r>
          </w:p>
        </w:tc>
        <w:tc>
          <w:tcPr>
            <w:tcW w:w="735" w:type="dxa"/>
            <w:tcBorders>
              <w:tl2br w:val="nil"/>
              <w:tr2bl w:val="nil"/>
            </w:tcBorders>
            <w:vAlign w:val="center"/>
          </w:tcPr>
          <w:p w14:paraId="10186402">
            <w:pPr>
              <w:jc w:val="center"/>
              <w:textAlignment w:val="center"/>
              <w:rPr>
                <w:rFonts w:ascii="宋体" w:hAnsi="宋体" w:eastAsia="宋体" w:cs="Times New Roman"/>
                <w:color w:val="auto"/>
                <w:lang w:val="en-GB"/>
              </w:rPr>
            </w:pPr>
            <w:r>
              <w:rPr>
                <w:rFonts w:ascii="宋体" w:hAnsi="宋体" w:eastAsia="宋体" w:cs="Times New Roman"/>
                <w:color w:val="auto"/>
                <w:lang w:val="en-GB"/>
              </w:rPr>
              <w:t>≤0.001</w:t>
            </w:r>
          </w:p>
        </w:tc>
      </w:tr>
      <w:tr w14:paraId="5E80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1F0A1215">
            <w:pPr>
              <w:jc w:val="center"/>
              <w:textAlignment w:val="center"/>
              <w:rPr>
                <w:rFonts w:ascii="宋体" w:hAnsi="宋体" w:eastAsia="宋体" w:cs="Times New Roman"/>
                <w:color w:val="auto"/>
              </w:rPr>
            </w:pPr>
            <w:r>
              <w:rPr>
                <w:rFonts w:ascii="宋体" w:hAnsi="宋体" w:eastAsia="宋体" w:cs="Times New Roman"/>
                <w:color w:val="auto"/>
              </w:rPr>
              <w:t>锰</w:t>
            </w:r>
          </w:p>
        </w:tc>
        <w:tc>
          <w:tcPr>
            <w:tcW w:w="910" w:type="dxa"/>
            <w:tcBorders>
              <w:tl2br w:val="nil"/>
              <w:tr2bl w:val="nil"/>
            </w:tcBorders>
            <w:vAlign w:val="center"/>
          </w:tcPr>
          <w:p w14:paraId="60646174">
            <w:pPr>
              <w:jc w:val="center"/>
              <w:textAlignment w:val="center"/>
              <w:rPr>
                <w:rFonts w:ascii="宋体" w:hAnsi="宋体" w:eastAsia="宋体" w:cs="Times New Roman"/>
                <w:color w:val="auto"/>
                <w:lang w:bidi="ar"/>
              </w:rPr>
            </w:pPr>
            <w:r>
              <w:rPr>
                <w:rFonts w:ascii="宋体" w:hAnsi="宋体" w:eastAsia="宋体" w:cs="Times New Roman"/>
                <w:color w:val="auto"/>
                <w:lang w:bidi="ar"/>
              </w:rPr>
              <w:t>0.11</w:t>
            </w:r>
          </w:p>
        </w:tc>
        <w:tc>
          <w:tcPr>
            <w:tcW w:w="910" w:type="dxa"/>
            <w:tcBorders>
              <w:tl2br w:val="nil"/>
              <w:tr2bl w:val="nil"/>
            </w:tcBorders>
            <w:vAlign w:val="center"/>
          </w:tcPr>
          <w:p w14:paraId="05FB9754">
            <w:pPr>
              <w:jc w:val="center"/>
              <w:textAlignment w:val="center"/>
              <w:rPr>
                <w:rFonts w:ascii="宋体" w:hAnsi="宋体" w:eastAsia="宋体" w:cs="Times New Roman"/>
                <w:color w:val="auto"/>
                <w:lang w:bidi="ar"/>
              </w:rPr>
            </w:pPr>
            <w:r>
              <w:rPr>
                <w:rFonts w:ascii="宋体" w:hAnsi="宋体" w:eastAsia="宋体" w:cs="Times New Roman"/>
                <w:color w:val="auto"/>
                <w:lang w:bidi="ar"/>
              </w:rPr>
              <w:t>0.09</w:t>
            </w:r>
          </w:p>
        </w:tc>
        <w:tc>
          <w:tcPr>
            <w:tcW w:w="910" w:type="dxa"/>
            <w:tcBorders>
              <w:tl2br w:val="nil"/>
              <w:tr2bl w:val="nil"/>
            </w:tcBorders>
            <w:vAlign w:val="center"/>
          </w:tcPr>
          <w:p w14:paraId="1FE9327B">
            <w:pPr>
              <w:jc w:val="center"/>
              <w:textAlignment w:val="center"/>
              <w:rPr>
                <w:rFonts w:ascii="宋体" w:hAnsi="宋体" w:eastAsia="宋体" w:cs="Times New Roman"/>
                <w:color w:val="auto"/>
                <w:lang w:bidi="ar"/>
              </w:rPr>
            </w:pPr>
            <w:r>
              <w:rPr>
                <w:rFonts w:ascii="宋体" w:hAnsi="宋体" w:eastAsia="宋体" w:cs="Times New Roman"/>
                <w:color w:val="auto"/>
                <w:lang w:bidi="ar"/>
              </w:rPr>
              <w:t>0.11</w:t>
            </w:r>
          </w:p>
        </w:tc>
        <w:tc>
          <w:tcPr>
            <w:tcW w:w="910" w:type="dxa"/>
            <w:tcBorders>
              <w:tl2br w:val="nil"/>
              <w:tr2bl w:val="nil"/>
            </w:tcBorders>
            <w:vAlign w:val="center"/>
          </w:tcPr>
          <w:p w14:paraId="50425EAA">
            <w:pPr>
              <w:jc w:val="center"/>
              <w:textAlignment w:val="center"/>
              <w:rPr>
                <w:rFonts w:ascii="宋体" w:hAnsi="宋体" w:eastAsia="宋体" w:cs="Times New Roman"/>
                <w:color w:val="auto"/>
                <w:lang w:bidi="ar"/>
              </w:rPr>
            </w:pPr>
            <w:r>
              <w:rPr>
                <w:rFonts w:ascii="宋体" w:hAnsi="宋体" w:eastAsia="宋体" w:cs="Times New Roman"/>
                <w:color w:val="auto"/>
                <w:lang w:bidi="ar"/>
              </w:rPr>
              <w:t>0.09</w:t>
            </w:r>
          </w:p>
        </w:tc>
        <w:tc>
          <w:tcPr>
            <w:tcW w:w="910" w:type="dxa"/>
            <w:tcBorders>
              <w:tl2br w:val="nil"/>
              <w:tr2bl w:val="nil"/>
            </w:tcBorders>
            <w:vAlign w:val="center"/>
          </w:tcPr>
          <w:p w14:paraId="1D3692A0">
            <w:pPr>
              <w:jc w:val="center"/>
              <w:textAlignment w:val="center"/>
              <w:rPr>
                <w:rFonts w:ascii="宋体" w:hAnsi="宋体" w:eastAsia="宋体" w:cs="Times New Roman"/>
                <w:color w:val="auto"/>
                <w:lang w:bidi="ar"/>
              </w:rPr>
            </w:pPr>
            <w:r>
              <w:rPr>
                <w:rFonts w:ascii="宋体" w:hAnsi="宋体" w:eastAsia="宋体" w:cs="Times New Roman"/>
                <w:color w:val="auto"/>
                <w:lang w:bidi="ar"/>
              </w:rPr>
              <w:t>0.10</w:t>
            </w:r>
          </w:p>
        </w:tc>
        <w:tc>
          <w:tcPr>
            <w:tcW w:w="910" w:type="dxa"/>
            <w:tcBorders>
              <w:tl2br w:val="nil"/>
              <w:tr2bl w:val="nil"/>
            </w:tcBorders>
            <w:vAlign w:val="center"/>
          </w:tcPr>
          <w:p w14:paraId="51A3C90F">
            <w:pPr>
              <w:jc w:val="center"/>
              <w:textAlignment w:val="center"/>
              <w:rPr>
                <w:rFonts w:ascii="宋体" w:hAnsi="宋体" w:eastAsia="宋体" w:cs="Times New Roman"/>
                <w:color w:val="auto"/>
                <w:lang w:bidi="ar"/>
              </w:rPr>
            </w:pPr>
            <w:r>
              <w:rPr>
                <w:rFonts w:ascii="宋体" w:hAnsi="宋体" w:eastAsia="宋体" w:cs="Times New Roman"/>
                <w:color w:val="auto"/>
                <w:lang w:bidi="ar"/>
              </w:rPr>
              <w:t>0.02</w:t>
            </w:r>
          </w:p>
        </w:tc>
        <w:tc>
          <w:tcPr>
            <w:tcW w:w="910" w:type="dxa"/>
            <w:tcBorders>
              <w:tl2br w:val="nil"/>
              <w:tr2bl w:val="nil"/>
            </w:tcBorders>
            <w:vAlign w:val="center"/>
          </w:tcPr>
          <w:p w14:paraId="1365227D">
            <w:pPr>
              <w:jc w:val="center"/>
              <w:textAlignment w:val="center"/>
              <w:rPr>
                <w:rFonts w:ascii="宋体" w:hAnsi="宋体" w:eastAsia="宋体" w:cs="Times New Roman"/>
                <w:color w:val="auto"/>
                <w:lang w:bidi="ar"/>
              </w:rPr>
            </w:pPr>
            <w:r>
              <w:rPr>
                <w:rFonts w:ascii="宋体" w:hAnsi="宋体" w:eastAsia="宋体" w:cs="Times New Roman"/>
                <w:color w:val="auto"/>
                <w:lang w:bidi="ar"/>
              </w:rPr>
              <w:t>0.03</w:t>
            </w:r>
          </w:p>
        </w:tc>
        <w:tc>
          <w:tcPr>
            <w:tcW w:w="914" w:type="dxa"/>
            <w:tcBorders>
              <w:tl2br w:val="nil"/>
              <w:tr2bl w:val="nil"/>
            </w:tcBorders>
            <w:vAlign w:val="center"/>
          </w:tcPr>
          <w:p w14:paraId="29E8C750">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0.09</w:t>
            </w:r>
          </w:p>
        </w:tc>
        <w:tc>
          <w:tcPr>
            <w:tcW w:w="735" w:type="dxa"/>
            <w:tcBorders>
              <w:tl2br w:val="nil"/>
              <w:tr2bl w:val="nil"/>
            </w:tcBorders>
            <w:vAlign w:val="center"/>
          </w:tcPr>
          <w:p w14:paraId="623320DA">
            <w:pPr>
              <w:jc w:val="center"/>
              <w:textAlignment w:val="center"/>
              <w:rPr>
                <w:rFonts w:ascii="宋体" w:hAnsi="宋体" w:eastAsia="宋体" w:cs="Times New Roman"/>
                <w:color w:val="auto"/>
                <w:lang w:val="en-GB"/>
              </w:rPr>
            </w:pPr>
            <w:r>
              <w:rPr>
                <w:rFonts w:ascii="宋体" w:hAnsi="宋体" w:eastAsia="宋体" w:cs="Times New Roman"/>
                <w:color w:val="auto"/>
                <w:lang w:val="en-GB"/>
              </w:rPr>
              <w:t>≤0.1</w:t>
            </w:r>
          </w:p>
        </w:tc>
      </w:tr>
      <w:tr w14:paraId="079B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7680EBC6">
            <w:pPr>
              <w:jc w:val="center"/>
              <w:textAlignment w:val="center"/>
              <w:rPr>
                <w:rFonts w:ascii="宋体" w:hAnsi="宋体" w:eastAsia="宋体" w:cs="Times New Roman"/>
                <w:color w:val="auto"/>
              </w:rPr>
            </w:pPr>
            <w:r>
              <w:rPr>
                <w:rFonts w:ascii="宋体" w:hAnsi="宋体" w:eastAsia="宋体" w:cs="Times New Roman"/>
                <w:color w:val="auto"/>
              </w:rPr>
              <w:t>镉</w:t>
            </w:r>
          </w:p>
        </w:tc>
        <w:tc>
          <w:tcPr>
            <w:tcW w:w="910" w:type="dxa"/>
            <w:tcBorders>
              <w:tl2br w:val="nil"/>
              <w:tr2bl w:val="nil"/>
            </w:tcBorders>
            <w:vAlign w:val="center"/>
          </w:tcPr>
          <w:p w14:paraId="4AE1FA46">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10" w:type="dxa"/>
            <w:tcBorders>
              <w:tl2br w:val="nil"/>
              <w:tr2bl w:val="nil"/>
            </w:tcBorders>
            <w:vAlign w:val="center"/>
          </w:tcPr>
          <w:p w14:paraId="5A4B2645">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10" w:type="dxa"/>
            <w:tcBorders>
              <w:tl2br w:val="nil"/>
              <w:tr2bl w:val="nil"/>
            </w:tcBorders>
            <w:vAlign w:val="center"/>
          </w:tcPr>
          <w:p w14:paraId="100812EA">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10" w:type="dxa"/>
            <w:tcBorders>
              <w:tl2br w:val="nil"/>
              <w:tr2bl w:val="nil"/>
            </w:tcBorders>
            <w:vAlign w:val="center"/>
          </w:tcPr>
          <w:p w14:paraId="20CA596D">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10" w:type="dxa"/>
            <w:tcBorders>
              <w:tl2br w:val="nil"/>
              <w:tr2bl w:val="nil"/>
            </w:tcBorders>
            <w:vAlign w:val="center"/>
          </w:tcPr>
          <w:p w14:paraId="0DD569D7">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10" w:type="dxa"/>
            <w:tcBorders>
              <w:tl2br w:val="nil"/>
              <w:tr2bl w:val="nil"/>
            </w:tcBorders>
            <w:vAlign w:val="center"/>
          </w:tcPr>
          <w:p w14:paraId="4F4A1C45">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10" w:type="dxa"/>
            <w:tcBorders>
              <w:tl2br w:val="nil"/>
              <w:tr2bl w:val="nil"/>
            </w:tcBorders>
            <w:vAlign w:val="center"/>
          </w:tcPr>
          <w:p w14:paraId="692B61A0">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14" w:type="dxa"/>
            <w:tcBorders>
              <w:tl2br w:val="nil"/>
              <w:tr2bl w:val="nil"/>
            </w:tcBorders>
            <w:vAlign w:val="center"/>
          </w:tcPr>
          <w:p w14:paraId="404D19CE">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0.0001L</w:t>
            </w:r>
          </w:p>
        </w:tc>
        <w:tc>
          <w:tcPr>
            <w:tcW w:w="735" w:type="dxa"/>
            <w:tcBorders>
              <w:tl2br w:val="nil"/>
              <w:tr2bl w:val="nil"/>
            </w:tcBorders>
            <w:vAlign w:val="center"/>
          </w:tcPr>
          <w:p w14:paraId="68E3D624">
            <w:pPr>
              <w:jc w:val="center"/>
              <w:textAlignment w:val="center"/>
              <w:rPr>
                <w:rFonts w:ascii="宋体" w:hAnsi="宋体" w:eastAsia="宋体" w:cs="Times New Roman"/>
                <w:color w:val="auto"/>
                <w:lang w:val="en-GB"/>
              </w:rPr>
            </w:pPr>
            <w:r>
              <w:rPr>
                <w:rFonts w:ascii="宋体" w:hAnsi="宋体" w:eastAsia="宋体" w:cs="Times New Roman"/>
                <w:color w:val="auto"/>
                <w:lang w:val="en-GB"/>
              </w:rPr>
              <w:t>≤0.005</w:t>
            </w:r>
          </w:p>
        </w:tc>
      </w:tr>
      <w:tr w14:paraId="0923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61B18059">
            <w:pPr>
              <w:jc w:val="center"/>
              <w:textAlignment w:val="center"/>
              <w:rPr>
                <w:rFonts w:ascii="宋体" w:hAnsi="宋体" w:eastAsia="宋体" w:cs="Times New Roman"/>
                <w:color w:val="auto"/>
              </w:rPr>
            </w:pPr>
            <w:r>
              <w:rPr>
                <w:rFonts w:ascii="宋体" w:hAnsi="宋体" w:eastAsia="宋体" w:cs="Times New Roman"/>
                <w:color w:val="auto"/>
              </w:rPr>
              <w:t>石油类</w:t>
            </w:r>
          </w:p>
        </w:tc>
        <w:tc>
          <w:tcPr>
            <w:tcW w:w="910" w:type="dxa"/>
            <w:tcBorders>
              <w:tl2br w:val="nil"/>
              <w:tr2bl w:val="nil"/>
            </w:tcBorders>
            <w:vAlign w:val="center"/>
          </w:tcPr>
          <w:p w14:paraId="7195CEE4">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1B2EE4A3">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7105F297">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0C387F99">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6E83C40E">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5005451F">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75398FCC">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4" w:type="dxa"/>
            <w:tcBorders>
              <w:tl2br w:val="nil"/>
              <w:tr2bl w:val="nil"/>
            </w:tcBorders>
            <w:vAlign w:val="center"/>
          </w:tcPr>
          <w:p w14:paraId="3C4E87A3">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0.01L</w:t>
            </w:r>
          </w:p>
        </w:tc>
        <w:tc>
          <w:tcPr>
            <w:tcW w:w="735" w:type="dxa"/>
            <w:tcBorders>
              <w:tl2br w:val="nil"/>
              <w:tr2bl w:val="nil"/>
            </w:tcBorders>
            <w:vAlign w:val="center"/>
          </w:tcPr>
          <w:p w14:paraId="2BB63BE0">
            <w:pPr>
              <w:jc w:val="center"/>
              <w:textAlignment w:val="center"/>
              <w:rPr>
                <w:rFonts w:ascii="宋体" w:hAnsi="宋体" w:eastAsia="宋体" w:cs="Times New Roman"/>
                <w:color w:val="auto"/>
                <w:lang w:val="en-GB"/>
              </w:rPr>
            </w:pPr>
            <w:r>
              <w:rPr>
                <w:rFonts w:ascii="宋体" w:hAnsi="宋体" w:eastAsia="宋体" w:cs="Times New Roman"/>
                <w:color w:val="auto"/>
                <w:lang w:val="en-GB"/>
              </w:rPr>
              <w:t>≤0.05</w:t>
            </w:r>
          </w:p>
        </w:tc>
      </w:tr>
      <w:tr w14:paraId="5EFE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3F96E03B">
            <w:pPr>
              <w:jc w:val="center"/>
              <w:textAlignment w:val="center"/>
              <w:rPr>
                <w:rFonts w:ascii="宋体" w:hAnsi="宋体" w:eastAsia="宋体" w:cs="Times New Roman"/>
                <w:color w:val="auto"/>
              </w:rPr>
            </w:pPr>
            <w:r>
              <w:rPr>
                <w:rFonts w:ascii="宋体" w:hAnsi="宋体" w:eastAsia="宋体" w:cs="Times New Roman"/>
                <w:color w:val="auto"/>
              </w:rPr>
              <w:t>总大肠菌群</w:t>
            </w:r>
          </w:p>
        </w:tc>
        <w:tc>
          <w:tcPr>
            <w:tcW w:w="910" w:type="dxa"/>
            <w:tcBorders>
              <w:tl2br w:val="nil"/>
              <w:tr2bl w:val="nil"/>
            </w:tcBorders>
            <w:vAlign w:val="center"/>
          </w:tcPr>
          <w:p w14:paraId="1A2509DB">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10" w:type="dxa"/>
            <w:tcBorders>
              <w:tl2br w:val="nil"/>
              <w:tr2bl w:val="nil"/>
            </w:tcBorders>
            <w:vAlign w:val="center"/>
          </w:tcPr>
          <w:p w14:paraId="19F7E8E8">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10" w:type="dxa"/>
            <w:tcBorders>
              <w:tl2br w:val="nil"/>
              <w:tr2bl w:val="nil"/>
            </w:tcBorders>
            <w:vAlign w:val="center"/>
          </w:tcPr>
          <w:p w14:paraId="56AED7A8">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10" w:type="dxa"/>
            <w:tcBorders>
              <w:tl2br w:val="nil"/>
              <w:tr2bl w:val="nil"/>
            </w:tcBorders>
            <w:vAlign w:val="center"/>
          </w:tcPr>
          <w:p w14:paraId="0C943DE6">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10" w:type="dxa"/>
            <w:tcBorders>
              <w:tl2br w:val="nil"/>
              <w:tr2bl w:val="nil"/>
            </w:tcBorders>
            <w:vAlign w:val="center"/>
          </w:tcPr>
          <w:p w14:paraId="2E174951">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10" w:type="dxa"/>
            <w:tcBorders>
              <w:tl2br w:val="nil"/>
              <w:tr2bl w:val="nil"/>
            </w:tcBorders>
            <w:vAlign w:val="center"/>
          </w:tcPr>
          <w:p w14:paraId="4E647B12">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10" w:type="dxa"/>
            <w:tcBorders>
              <w:tl2br w:val="nil"/>
              <w:tr2bl w:val="nil"/>
            </w:tcBorders>
            <w:vAlign w:val="center"/>
          </w:tcPr>
          <w:p w14:paraId="7FD248C9">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14" w:type="dxa"/>
            <w:tcBorders>
              <w:tl2br w:val="nil"/>
              <w:tr2bl w:val="nil"/>
            </w:tcBorders>
            <w:vAlign w:val="center"/>
          </w:tcPr>
          <w:p w14:paraId="413F52C3">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2L</w:t>
            </w:r>
          </w:p>
        </w:tc>
        <w:tc>
          <w:tcPr>
            <w:tcW w:w="735" w:type="dxa"/>
            <w:tcBorders>
              <w:tl2br w:val="nil"/>
              <w:tr2bl w:val="nil"/>
            </w:tcBorders>
            <w:vAlign w:val="center"/>
          </w:tcPr>
          <w:p w14:paraId="3556D38A">
            <w:pPr>
              <w:jc w:val="center"/>
              <w:textAlignment w:val="center"/>
              <w:rPr>
                <w:rFonts w:ascii="宋体" w:hAnsi="宋体" w:eastAsia="宋体" w:cs="Times New Roman"/>
                <w:color w:val="auto"/>
                <w:lang w:val="en-GB"/>
              </w:rPr>
            </w:pPr>
            <w:r>
              <w:rPr>
                <w:rFonts w:ascii="宋体" w:hAnsi="宋体" w:eastAsia="宋体" w:cs="Times New Roman"/>
                <w:color w:val="auto"/>
                <w:lang w:val="en-GB"/>
              </w:rPr>
              <w:t>≤3.0</w:t>
            </w:r>
          </w:p>
        </w:tc>
      </w:tr>
      <w:tr w14:paraId="3C2C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5637D0D4">
            <w:pPr>
              <w:jc w:val="center"/>
              <w:textAlignment w:val="center"/>
              <w:rPr>
                <w:rFonts w:ascii="宋体" w:hAnsi="宋体" w:eastAsia="宋体" w:cs="Times New Roman"/>
                <w:color w:val="auto"/>
              </w:rPr>
            </w:pPr>
            <w:r>
              <w:rPr>
                <w:rFonts w:ascii="宋体" w:hAnsi="宋体" w:eastAsia="宋体" w:cs="Times New Roman"/>
                <w:color w:val="auto"/>
              </w:rPr>
              <w:t>菌落总数</w:t>
            </w:r>
          </w:p>
        </w:tc>
        <w:tc>
          <w:tcPr>
            <w:tcW w:w="910" w:type="dxa"/>
            <w:tcBorders>
              <w:tl2br w:val="nil"/>
              <w:tr2bl w:val="nil"/>
            </w:tcBorders>
            <w:vAlign w:val="center"/>
          </w:tcPr>
          <w:p w14:paraId="36534243">
            <w:pPr>
              <w:jc w:val="center"/>
              <w:textAlignment w:val="center"/>
              <w:rPr>
                <w:rFonts w:ascii="宋体" w:hAnsi="宋体" w:eastAsia="宋体" w:cs="Times New Roman"/>
                <w:color w:val="auto"/>
                <w:lang w:bidi="ar"/>
              </w:rPr>
            </w:pPr>
            <w:r>
              <w:rPr>
                <w:rFonts w:ascii="宋体" w:hAnsi="宋体" w:eastAsia="宋体" w:cs="Times New Roman"/>
                <w:color w:val="auto"/>
                <w:lang w:bidi="ar"/>
              </w:rPr>
              <w:t>12</w:t>
            </w:r>
          </w:p>
        </w:tc>
        <w:tc>
          <w:tcPr>
            <w:tcW w:w="910" w:type="dxa"/>
            <w:tcBorders>
              <w:tl2br w:val="nil"/>
              <w:tr2bl w:val="nil"/>
            </w:tcBorders>
            <w:vAlign w:val="center"/>
          </w:tcPr>
          <w:p w14:paraId="3321D7BC">
            <w:pPr>
              <w:jc w:val="center"/>
              <w:textAlignment w:val="center"/>
              <w:rPr>
                <w:rFonts w:ascii="宋体" w:hAnsi="宋体" w:eastAsia="宋体" w:cs="Times New Roman"/>
                <w:color w:val="auto"/>
                <w:lang w:bidi="ar"/>
              </w:rPr>
            </w:pPr>
            <w:r>
              <w:rPr>
                <w:rFonts w:ascii="宋体" w:hAnsi="宋体" w:eastAsia="宋体" w:cs="Times New Roman"/>
                <w:color w:val="auto"/>
                <w:lang w:bidi="ar"/>
              </w:rPr>
              <w:t>13</w:t>
            </w:r>
          </w:p>
        </w:tc>
        <w:tc>
          <w:tcPr>
            <w:tcW w:w="910" w:type="dxa"/>
            <w:tcBorders>
              <w:tl2br w:val="nil"/>
              <w:tr2bl w:val="nil"/>
            </w:tcBorders>
            <w:vAlign w:val="center"/>
          </w:tcPr>
          <w:p w14:paraId="345E2781">
            <w:pPr>
              <w:jc w:val="center"/>
              <w:textAlignment w:val="center"/>
              <w:rPr>
                <w:rFonts w:ascii="宋体" w:hAnsi="宋体" w:eastAsia="宋体" w:cs="Times New Roman"/>
                <w:color w:val="auto"/>
                <w:lang w:bidi="ar"/>
              </w:rPr>
            </w:pPr>
            <w:r>
              <w:rPr>
                <w:rFonts w:ascii="宋体" w:hAnsi="宋体" w:eastAsia="宋体" w:cs="Times New Roman"/>
                <w:color w:val="auto"/>
                <w:lang w:bidi="ar"/>
              </w:rPr>
              <w:t>12</w:t>
            </w:r>
          </w:p>
        </w:tc>
        <w:tc>
          <w:tcPr>
            <w:tcW w:w="910" w:type="dxa"/>
            <w:tcBorders>
              <w:tl2br w:val="nil"/>
              <w:tr2bl w:val="nil"/>
            </w:tcBorders>
            <w:vAlign w:val="center"/>
          </w:tcPr>
          <w:p w14:paraId="1B1E6266">
            <w:pPr>
              <w:jc w:val="center"/>
              <w:textAlignment w:val="center"/>
              <w:rPr>
                <w:rFonts w:ascii="宋体" w:hAnsi="宋体" w:eastAsia="宋体" w:cs="Times New Roman"/>
                <w:color w:val="auto"/>
                <w:lang w:bidi="ar"/>
              </w:rPr>
            </w:pPr>
            <w:r>
              <w:rPr>
                <w:rFonts w:ascii="宋体" w:hAnsi="宋体" w:eastAsia="宋体" w:cs="Times New Roman"/>
                <w:color w:val="auto"/>
                <w:lang w:bidi="ar"/>
              </w:rPr>
              <w:t>10</w:t>
            </w:r>
          </w:p>
        </w:tc>
        <w:tc>
          <w:tcPr>
            <w:tcW w:w="910" w:type="dxa"/>
            <w:tcBorders>
              <w:tl2br w:val="nil"/>
              <w:tr2bl w:val="nil"/>
            </w:tcBorders>
            <w:vAlign w:val="center"/>
          </w:tcPr>
          <w:p w14:paraId="77B1910F">
            <w:pPr>
              <w:jc w:val="center"/>
              <w:textAlignment w:val="center"/>
              <w:rPr>
                <w:rFonts w:ascii="宋体" w:hAnsi="宋体" w:eastAsia="宋体" w:cs="Times New Roman"/>
                <w:color w:val="auto"/>
                <w:lang w:bidi="ar"/>
              </w:rPr>
            </w:pPr>
            <w:r>
              <w:rPr>
                <w:rFonts w:ascii="宋体" w:hAnsi="宋体" w:eastAsia="宋体" w:cs="Times New Roman"/>
                <w:color w:val="auto"/>
                <w:lang w:bidi="ar"/>
              </w:rPr>
              <w:t>11</w:t>
            </w:r>
          </w:p>
        </w:tc>
        <w:tc>
          <w:tcPr>
            <w:tcW w:w="910" w:type="dxa"/>
            <w:tcBorders>
              <w:tl2br w:val="nil"/>
              <w:tr2bl w:val="nil"/>
            </w:tcBorders>
            <w:vAlign w:val="center"/>
          </w:tcPr>
          <w:p w14:paraId="7216DA84">
            <w:pPr>
              <w:jc w:val="center"/>
              <w:textAlignment w:val="center"/>
              <w:rPr>
                <w:rFonts w:ascii="宋体" w:hAnsi="宋体" w:eastAsia="宋体" w:cs="Times New Roman"/>
                <w:color w:val="auto"/>
                <w:lang w:bidi="ar"/>
              </w:rPr>
            </w:pPr>
            <w:r>
              <w:rPr>
                <w:rFonts w:ascii="宋体" w:hAnsi="宋体" w:eastAsia="宋体" w:cs="Times New Roman"/>
                <w:color w:val="auto"/>
                <w:lang w:bidi="ar"/>
              </w:rPr>
              <w:t>7</w:t>
            </w:r>
          </w:p>
        </w:tc>
        <w:tc>
          <w:tcPr>
            <w:tcW w:w="910" w:type="dxa"/>
            <w:tcBorders>
              <w:tl2br w:val="nil"/>
              <w:tr2bl w:val="nil"/>
            </w:tcBorders>
            <w:vAlign w:val="center"/>
          </w:tcPr>
          <w:p w14:paraId="71C9F3B5">
            <w:pPr>
              <w:jc w:val="center"/>
              <w:textAlignment w:val="center"/>
              <w:rPr>
                <w:rFonts w:ascii="宋体" w:hAnsi="宋体" w:eastAsia="宋体" w:cs="Times New Roman"/>
                <w:color w:val="auto"/>
                <w:lang w:bidi="ar"/>
              </w:rPr>
            </w:pPr>
            <w:r>
              <w:rPr>
                <w:rFonts w:ascii="宋体" w:hAnsi="宋体" w:eastAsia="宋体" w:cs="Times New Roman"/>
                <w:color w:val="auto"/>
                <w:lang w:bidi="ar"/>
              </w:rPr>
              <w:t>6</w:t>
            </w:r>
          </w:p>
        </w:tc>
        <w:tc>
          <w:tcPr>
            <w:tcW w:w="914" w:type="dxa"/>
            <w:tcBorders>
              <w:tl2br w:val="nil"/>
              <w:tr2bl w:val="nil"/>
            </w:tcBorders>
            <w:vAlign w:val="center"/>
          </w:tcPr>
          <w:p w14:paraId="6B976D66">
            <w:pPr>
              <w:jc w:val="center"/>
              <w:textAlignment w:val="center"/>
              <w:rPr>
                <w:rFonts w:ascii="宋体" w:hAnsi="宋体" w:eastAsia="宋体" w:cs="Times New Roman"/>
                <w:color w:val="auto"/>
                <w:lang w:val="en-GB" w:bidi="ar"/>
              </w:rPr>
            </w:pPr>
            <w:r>
              <w:rPr>
                <w:rFonts w:ascii="宋体" w:hAnsi="宋体" w:eastAsia="宋体" w:cs="Times New Roman"/>
                <w:color w:val="auto"/>
                <w:lang w:bidi="ar"/>
              </w:rPr>
              <w:t>11</w:t>
            </w:r>
          </w:p>
        </w:tc>
        <w:tc>
          <w:tcPr>
            <w:tcW w:w="735" w:type="dxa"/>
            <w:tcBorders>
              <w:tl2br w:val="nil"/>
              <w:tr2bl w:val="nil"/>
            </w:tcBorders>
            <w:vAlign w:val="center"/>
          </w:tcPr>
          <w:p w14:paraId="2B4CCBA1">
            <w:pPr>
              <w:jc w:val="center"/>
              <w:textAlignment w:val="center"/>
              <w:rPr>
                <w:rFonts w:ascii="宋体" w:hAnsi="宋体" w:eastAsia="宋体" w:cs="Times New Roman"/>
                <w:color w:val="auto"/>
                <w:lang w:val="en-GB"/>
              </w:rPr>
            </w:pPr>
            <w:r>
              <w:rPr>
                <w:rFonts w:ascii="宋体" w:hAnsi="宋体" w:eastAsia="宋体" w:cs="Times New Roman"/>
                <w:color w:val="auto"/>
                <w:lang w:val="en-GB"/>
              </w:rPr>
              <w:t>≤100</w:t>
            </w:r>
          </w:p>
        </w:tc>
      </w:tr>
      <w:tr w14:paraId="3718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1A6CE196">
            <w:pPr>
              <w:jc w:val="center"/>
              <w:textAlignment w:val="center"/>
              <w:rPr>
                <w:rFonts w:ascii="宋体" w:hAnsi="宋体" w:eastAsia="宋体" w:cs="Times New Roman"/>
                <w:color w:val="auto"/>
              </w:rPr>
            </w:pPr>
            <w:r>
              <w:rPr>
                <w:rFonts w:ascii="宋体" w:hAnsi="宋体" w:eastAsia="宋体" w:cs="Times New Roman"/>
                <w:color w:val="auto"/>
              </w:rPr>
              <w:t>硫化物</w:t>
            </w:r>
          </w:p>
        </w:tc>
        <w:tc>
          <w:tcPr>
            <w:tcW w:w="910" w:type="dxa"/>
            <w:tcBorders>
              <w:tl2br w:val="nil"/>
              <w:tr2bl w:val="nil"/>
            </w:tcBorders>
            <w:vAlign w:val="center"/>
          </w:tcPr>
          <w:p w14:paraId="5E17038B">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33EFD359">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128BCDBC">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186054F4">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42A7DC33">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3CB755E9">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0" w:type="dxa"/>
            <w:tcBorders>
              <w:tl2br w:val="nil"/>
              <w:tr2bl w:val="nil"/>
            </w:tcBorders>
            <w:vAlign w:val="center"/>
          </w:tcPr>
          <w:p w14:paraId="6067AD20">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4" w:type="dxa"/>
            <w:tcBorders>
              <w:tl2br w:val="nil"/>
              <w:tr2bl w:val="nil"/>
            </w:tcBorders>
            <w:vAlign w:val="center"/>
          </w:tcPr>
          <w:p w14:paraId="04698A88">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735" w:type="dxa"/>
            <w:tcBorders>
              <w:tl2br w:val="nil"/>
              <w:tr2bl w:val="nil"/>
            </w:tcBorders>
            <w:vAlign w:val="center"/>
          </w:tcPr>
          <w:p w14:paraId="5FF43814">
            <w:pPr>
              <w:jc w:val="center"/>
              <w:textAlignment w:val="center"/>
              <w:rPr>
                <w:rFonts w:ascii="宋体" w:hAnsi="宋体" w:eastAsia="宋体" w:cs="Times New Roman"/>
                <w:color w:val="auto"/>
                <w:lang w:val="en-GB"/>
              </w:rPr>
            </w:pPr>
            <w:r>
              <w:rPr>
                <w:rFonts w:ascii="宋体" w:hAnsi="宋体" w:eastAsia="宋体" w:cs="Times New Roman"/>
                <w:color w:val="auto"/>
              </w:rPr>
              <w:t>≤0.02</w:t>
            </w:r>
          </w:p>
        </w:tc>
      </w:tr>
      <w:tr w14:paraId="6C93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tcBorders>
              <w:tl2br w:val="nil"/>
              <w:tr2bl w:val="nil"/>
            </w:tcBorders>
            <w:vAlign w:val="center"/>
          </w:tcPr>
          <w:p w14:paraId="3A1D1C92">
            <w:pPr>
              <w:jc w:val="center"/>
              <w:textAlignment w:val="center"/>
              <w:rPr>
                <w:rFonts w:ascii="宋体" w:hAnsi="宋体" w:eastAsia="宋体" w:cs="Times New Roman"/>
                <w:color w:val="auto"/>
              </w:rPr>
            </w:pPr>
            <w:r>
              <w:rPr>
                <w:rFonts w:ascii="宋体" w:hAnsi="宋体" w:eastAsia="宋体" w:cs="Times New Roman"/>
                <w:color w:val="auto"/>
              </w:rPr>
              <w:t>钡</w:t>
            </w:r>
          </w:p>
        </w:tc>
        <w:tc>
          <w:tcPr>
            <w:tcW w:w="910" w:type="dxa"/>
            <w:tcBorders>
              <w:tl2br w:val="nil"/>
              <w:tr2bl w:val="nil"/>
            </w:tcBorders>
            <w:vAlign w:val="center"/>
          </w:tcPr>
          <w:p w14:paraId="09DDE143">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2017811D">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40C0EABC">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43FA06CA">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69E33AB6">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4D505552">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0" w:type="dxa"/>
            <w:tcBorders>
              <w:tl2br w:val="nil"/>
              <w:tr2bl w:val="nil"/>
            </w:tcBorders>
            <w:vAlign w:val="center"/>
          </w:tcPr>
          <w:p w14:paraId="1DE618A3">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4" w:type="dxa"/>
            <w:tcBorders>
              <w:tl2br w:val="nil"/>
              <w:tr2bl w:val="nil"/>
            </w:tcBorders>
            <w:vAlign w:val="center"/>
          </w:tcPr>
          <w:p w14:paraId="1F4BE3A2">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735" w:type="dxa"/>
            <w:tcBorders>
              <w:tl2br w:val="nil"/>
              <w:tr2bl w:val="nil"/>
            </w:tcBorders>
            <w:vAlign w:val="center"/>
          </w:tcPr>
          <w:p w14:paraId="3D687D17">
            <w:pPr>
              <w:jc w:val="center"/>
              <w:textAlignment w:val="center"/>
              <w:rPr>
                <w:rFonts w:ascii="宋体" w:hAnsi="宋体" w:eastAsia="宋体" w:cs="Times New Roman"/>
                <w:color w:val="auto"/>
                <w:lang w:val="en-GB"/>
              </w:rPr>
            </w:pPr>
            <w:r>
              <w:rPr>
                <w:rFonts w:ascii="宋体" w:hAnsi="宋体" w:eastAsia="宋体" w:cs="Times New Roman"/>
                <w:color w:val="auto"/>
              </w:rPr>
              <w:t>≤0.70</w:t>
            </w:r>
          </w:p>
        </w:tc>
      </w:tr>
    </w:tbl>
    <w:p w14:paraId="7B5B7CA8">
      <w:pPr>
        <w:spacing w:line="440" w:lineRule="exact"/>
        <w:jc w:val="center"/>
        <w:rPr>
          <w:rFonts w:ascii="宋体" w:hAnsi="宋体" w:eastAsia="宋体" w:cs="Times New Roman"/>
          <w:color w:val="auto"/>
        </w:rPr>
      </w:pPr>
      <w:r>
        <w:rPr>
          <w:rFonts w:ascii="宋体" w:hAnsi="宋体" w:eastAsia="宋体" w:cs="Times New Roman"/>
          <w:color w:val="auto"/>
        </w:rPr>
        <w:t xml:space="preserve">续表4.3-7   </w:t>
      </w:r>
      <w:r>
        <w:rPr>
          <w:rFonts w:ascii="宋体" w:hAnsi="宋体" w:eastAsia="宋体" w:cs="Times New Roman"/>
          <w:color w:val="auto"/>
          <w:szCs w:val="28"/>
        </w:rPr>
        <w:t>地下水</w:t>
      </w:r>
      <w:r>
        <w:rPr>
          <w:rFonts w:ascii="宋体" w:hAnsi="宋体" w:eastAsia="宋体" w:cs="Times New Roman"/>
          <w:color w:val="auto"/>
        </w:rPr>
        <w:t xml:space="preserve">水质现状监测结果 </w:t>
      </w:r>
    </w:p>
    <w:p w14:paraId="7FCA4239">
      <w:pPr>
        <w:jc w:val="right"/>
        <w:rPr>
          <w:rFonts w:ascii="宋体" w:hAnsi="宋体" w:eastAsia="宋体" w:cs="Times New Roman"/>
          <w:color w:val="auto"/>
          <w:sz w:val="16"/>
          <w:szCs w:val="16"/>
        </w:rPr>
      </w:pPr>
      <w:r>
        <w:rPr>
          <w:rFonts w:ascii="宋体" w:hAnsi="宋体" w:eastAsia="宋体" w:cs="Times New Roman"/>
          <w:color w:val="auto"/>
          <w:sz w:val="16"/>
          <w:szCs w:val="16"/>
        </w:rPr>
        <w:t>单位：mg/L(pH无量纲、总大肠菌群MPN/100mL、菌落总数CFU/mL)</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908"/>
        <w:gridCol w:w="908"/>
        <w:gridCol w:w="908"/>
        <w:gridCol w:w="908"/>
        <w:gridCol w:w="908"/>
        <w:gridCol w:w="908"/>
        <w:gridCol w:w="908"/>
        <w:gridCol w:w="911"/>
        <w:gridCol w:w="737"/>
      </w:tblGrid>
      <w:tr w14:paraId="485A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0D5B7507">
            <w:pPr>
              <w:jc w:val="center"/>
              <w:textAlignment w:val="center"/>
              <w:rPr>
                <w:rFonts w:ascii="宋体" w:hAnsi="宋体" w:eastAsia="宋体" w:cs="Times New Roman"/>
                <w:color w:val="auto"/>
              </w:rPr>
            </w:pPr>
            <w:r>
              <w:rPr>
                <w:rFonts w:ascii="宋体" w:hAnsi="宋体" w:eastAsia="宋体" w:cs="Times New Roman"/>
                <w:color w:val="auto"/>
              </w:rPr>
              <w:t>监测时间</w:t>
            </w:r>
          </w:p>
        </w:tc>
        <w:tc>
          <w:tcPr>
            <w:tcW w:w="8002" w:type="dxa"/>
            <w:gridSpan w:val="9"/>
            <w:tcBorders>
              <w:tl2br w:val="nil"/>
              <w:tr2bl w:val="nil"/>
            </w:tcBorders>
            <w:vAlign w:val="center"/>
          </w:tcPr>
          <w:p w14:paraId="08A54BD0">
            <w:pPr>
              <w:jc w:val="center"/>
              <w:textAlignment w:val="center"/>
              <w:rPr>
                <w:rFonts w:ascii="宋体" w:hAnsi="宋体" w:eastAsia="宋体" w:cs="Times New Roman"/>
                <w:color w:val="auto"/>
              </w:rPr>
            </w:pPr>
            <w:r>
              <w:rPr>
                <w:rFonts w:ascii="宋体" w:hAnsi="宋体" w:eastAsia="宋体" w:cs="Times New Roman"/>
                <w:color w:val="auto"/>
              </w:rPr>
              <w:t>2025.08.21</w:t>
            </w:r>
          </w:p>
        </w:tc>
      </w:tr>
      <w:tr w14:paraId="6042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43EBDB0E">
            <w:pPr>
              <w:jc w:val="center"/>
              <w:textAlignment w:val="center"/>
              <w:rPr>
                <w:rFonts w:ascii="宋体" w:hAnsi="宋体" w:eastAsia="宋体" w:cs="Times New Roman"/>
                <w:color w:val="auto"/>
              </w:rPr>
            </w:pPr>
            <w:r>
              <w:rPr>
                <w:rFonts w:ascii="宋体" w:hAnsi="宋体" w:eastAsia="宋体" w:cs="Times New Roman"/>
                <w:color w:val="auto"/>
              </w:rPr>
              <w:t>监测项目</w:t>
            </w:r>
          </w:p>
        </w:tc>
        <w:tc>
          <w:tcPr>
            <w:tcW w:w="908" w:type="dxa"/>
            <w:tcBorders>
              <w:tl2br w:val="nil"/>
              <w:tr2bl w:val="nil"/>
            </w:tcBorders>
            <w:vAlign w:val="center"/>
          </w:tcPr>
          <w:p w14:paraId="4A3F85E5">
            <w:pPr>
              <w:jc w:val="center"/>
              <w:textAlignment w:val="center"/>
              <w:rPr>
                <w:rFonts w:ascii="宋体" w:hAnsi="宋体" w:eastAsia="宋体" w:cs="Times New Roman"/>
                <w:color w:val="auto"/>
                <w:lang w:bidi="ar"/>
              </w:rPr>
            </w:pPr>
            <w:r>
              <w:rPr>
                <w:rFonts w:ascii="宋体" w:hAnsi="宋体" w:eastAsia="宋体" w:cs="Times New Roman"/>
                <w:color w:val="auto"/>
                <w:lang w:bidi="ar"/>
              </w:rPr>
              <w:t>大姚屯（苏家、潜水）</w:t>
            </w:r>
          </w:p>
        </w:tc>
        <w:tc>
          <w:tcPr>
            <w:tcW w:w="908" w:type="dxa"/>
            <w:tcBorders>
              <w:tl2br w:val="nil"/>
              <w:tr2bl w:val="nil"/>
            </w:tcBorders>
            <w:vAlign w:val="center"/>
          </w:tcPr>
          <w:p w14:paraId="02008BEB">
            <w:pPr>
              <w:jc w:val="center"/>
              <w:textAlignment w:val="center"/>
              <w:rPr>
                <w:rFonts w:ascii="宋体" w:hAnsi="宋体" w:eastAsia="宋体" w:cs="Times New Roman"/>
                <w:color w:val="auto"/>
                <w:lang w:bidi="ar"/>
              </w:rPr>
            </w:pPr>
            <w:r>
              <w:rPr>
                <w:rFonts w:ascii="宋体" w:hAnsi="宋体" w:eastAsia="宋体" w:cs="Times New Roman"/>
                <w:color w:val="auto"/>
                <w:lang w:bidi="ar"/>
              </w:rPr>
              <w:t>黑岗子屯(张家、潜水)</w:t>
            </w:r>
          </w:p>
        </w:tc>
        <w:tc>
          <w:tcPr>
            <w:tcW w:w="908" w:type="dxa"/>
            <w:tcBorders>
              <w:tl2br w:val="nil"/>
              <w:tr2bl w:val="nil"/>
            </w:tcBorders>
            <w:vAlign w:val="center"/>
          </w:tcPr>
          <w:p w14:paraId="6A047529">
            <w:pPr>
              <w:jc w:val="center"/>
              <w:textAlignment w:val="center"/>
              <w:rPr>
                <w:rFonts w:ascii="宋体" w:hAnsi="宋体" w:eastAsia="宋体" w:cs="Times New Roman"/>
                <w:color w:val="auto"/>
                <w:lang w:bidi="ar"/>
              </w:rPr>
            </w:pPr>
            <w:r>
              <w:rPr>
                <w:rFonts w:ascii="宋体" w:hAnsi="宋体" w:eastAsia="宋体" w:cs="Times New Roman"/>
                <w:color w:val="auto"/>
                <w:lang w:bidi="ar"/>
              </w:rPr>
              <w:t>刘兽医屯（刘家、潜水）</w:t>
            </w:r>
          </w:p>
        </w:tc>
        <w:tc>
          <w:tcPr>
            <w:tcW w:w="908" w:type="dxa"/>
            <w:tcBorders>
              <w:tl2br w:val="nil"/>
              <w:tr2bl w:val="nil"/>
            </w:tcBorders>
            <w:vAlign w:val="center"/>
          </w:tcPr>
          <w:p w14:paraId="480F87FA">
            <w:pPr>
              <w:jc w:val="center"/>
              <w:textAlignment w:val="center"/>
              <w:rPr>
                <w:rFonts w:ascii="宋体" w:hAnsi="宋体" w:eastAsia="宋体" w:cs="Times New Roman"/>
                <w:color w:val="auto"/>
                <w:lang w:bidi="ar"/>
              </w:rPr>
            </w:pPr>
            <w:r>
              <w:rPr>
                <w:rFonts w:ascii="宋体" w:hAnsi="宋体" w:eastAsia="宋体" w:cs="Times New Roman"/>
                <w:color w:val="auto"/>
                <w:lang w:bidi="ar"/>
              </w:rPr>
              <w:t>友谊村(白家、潜水)</w:t>
            </w:r>
          </w:p>
        </w:tc>
        <w:tc>
          <w:tcPr>
            <w:tcW w:w="908" w:type="dxa"/>
            <w:tcBorders>
              <w:tl2br w:val="nil"/>
              <w:tr2bl w:val="nil"/>
            </w:tcBorders>
            <w:vAlign w:val="center"/>
          </w:tcPr>
          <w:p w14:paraId="16E069C0">
            <w:pPr>
              <w:jc w:val="center"/>
              <w:textAlignment w:val="center"/>
              <w:rPr>
                <w:rFonts w:ascii="宋体" w:hAnsi="宋体" w:eastAsia="宋体" w:cs="Times New Roman"/>
                <w:color w:val="auto"/>
                <w:lang w:bidi="ar"/>
              </w:rPr>
            </w:pPr>
            <w:r>
              <w:rPr>
                <w:rFonts w:ascii="宋体" w:hAnsi="宋体" w:eastAsia="宋体" w:cs="Times New Roman"/>
                <w:color w:val="auto"/>
                <w:lang w:bidi="ar"/>
              </w:rPr>
              <w:t>友谊村（侯家、承压水）</w:t>
            </w:r>
          </w:p>
        </w:tc>
        <w:tc>
          <w:tcPr>
            <w:tcW w:w="908" w:type="dxa"/>
            <w:tcBorders>
              <w:tl2br w:val="nil"/>
              <w:tr2bl w:val="nil"/>
            </w:tcBorders>
            <w:vAlign w:val="center"/>
          </w:tcPr>
          <w:p w14:paraId="3A459BC1">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协力屯(单家、承压水)</w:t>
            </w:r>
          </w:p>
        </w:tc>
        <w:tc>
          <w:tcPr>
            <w:tcW w:w="908" w:type="dxa"/>
            <w:tcBorders>
              <w:tl2br w:val="nil"/>
              <w:tr2bl w:val="nil"/>
            </w:tcBorders>
            <w:vAlign w:val="center"/>
          </w:tcPr>
          <w:p w14:paraId="1B750D03">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蒙古屯（林家、潜水）</w:t>
            </w:r>
          </w:p>
        </w:tc>
        <w:tc>
          <w:tcPr>
            <w:tcW w:w="911" w:type="dxa"/>
            <w:tcBorders>
              <w:tl2br w:val="nil"/>
              <w:tr2bl w:val="nil"/>
            </w:tcBorders>
            <w:vAlign w:val="center"/>
          </w:tcPr>
          <w:p w14:paraId="7480F405">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四方山屯（周家、承压水）</w:t>
            </w:r>
          </w:p>
        </w:tc>
        <w:tc>
          <w:tcPr>
            <w:tcW w:w="735" w:type="dxa"/>
            <w:tcBorders>
              <w:tl2br w:val="nil"/>
              <w:tr2bl w:val="nil"/>
            </w:tcBorders>
            <w:vAlign w:val="center"/>
          </w:tcPr>
          <w:p w14:paraId="121E4C0B">
            <w:pPr>
              <w:jc w:val="center"/>
              <w:textAlignment w:val="center"/>
              <w:rPr>
                <w:rFonts w:ascii="宋体" w:hAnsi="宋体" w:eastAsia="宋体" w:cs="Times New Roman"/>
                <w:color w:val="auto"/>
                <w:lang w:val="zh-CN"/>
              </w:rPr>
            </w:pPr>
            <w:r>
              <w:rPr>
                <w:rFonts w:ascii="宋体" w:hAnsi="宋体" w:eastAsia="宋体" w:cs="Times New Roman"/>
                <w:color w:val="auto"/>
                <w:lang w:val="zh-CN"/>
              </w:rPr>
              <w:t>标准</w:t>
            </w:r>
          </w:p>
          <w:p w14:paraId="2F580EF3">
            <w:pPr>
              <w:jc w:val="center"/>
              <w:textAlignment w:val="center"/>
              <w:rPr>
                <w:rFonts w:ascii="宋体" w:hAnsi="宋体" w:eastAsia="宋体" w:cs="Times New Roman"/>
                <w:color w:val="auto"/>
              </w:rPr>
            </w:pPr>
            <w:r>
              <w:rPr>
                <w:rFonts w:ascii="宋体" w:hAnsi="宋体" w:eastAsia="宋体" w:cs="Times New Roman"/>
                <w:color w:val="auto"/>
                <w:lang w:val="zh-CN"/>
              </w:rPr>
              <w:t>限值</w:t>
            </w:r>
          </w:p>
        </w:tc>
      </w:tr>
      <w:tr w14:paraId="3A35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285" w:type="dxa"/>
            <w:tcBorders>
              <w:tl2br w:val="nil"/>
              <w:tr2bl w:val="nil"/>
            </w:tcBorders>
            <w:vAlign w:val="center"/>
          </w:tcPr>
          <w:p w14:paraId="69EA40B3">
            <w:pPr>
              <w:jc w:val="center"/>
              <w:textAlignment w:val="center"/>
              <w:rPr>
                <w:rFonts w:ascii="宋体" w:hAnsi="宋体" w:eastAsia="宋体" w:cs="Times New Roman"/>
                <w:color w:val="auto"/>
              </w:rPr>
            </w:pPr>
            <w:r>
              <w:rPr>
                <w:rFonts w:ascii="宋体" w:hAnsi="宋体" w:eastAsia="宋体" w:cs="Times New Roman"/>
                <w:color w:val="auto"/>
                <w:lang w:bidi="ar"/>
              </w:rPr>
              <w:t>K</w:t>
            </w:r>
            <w:r>
              <w:rPr>
                <w:rFonts w:ascii="宋体" w:hAnsi="宋体" w:eastAsia="宋体" w:cs="Times New Roman"/>
                <w:color w:val="auto"/>
                <w:vertAlign w:val="superscript"/>
                <w:lang w:bidi="ar"/>
              </w:rPr>
              <w:t>+</w:t>
            </w:r>
          </w:p>
        </w:tc>
        <w:tc>
          <w:tcPr>
            <w:tcW w:w="908" w:type="dxa"/>
            <w:tcBorders>
              <w:tl2br w:val="nil"/>
              <w:tr2bl w:val="nil"/>
            </w:tcBorders>
            <w:vAlign w:val="center"/>
          </w:tcPr>
          <w:p w14:paraId="5AC113E7">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1.96</w:t>
            </w:r>
          </w:p>
        </w:tc>
        <w:tc>
          <w:tcPr>
            <w:tcW w:w="908" w:type="dxa"/>
            <w:tcBorders>
              <w:tl2br w:val="nil"/>
              <w:tr2bl w:val="nil"/>
            </w:tcBorders>
            <w:vAlign w:val="center"/>
          </w:tcPr>
          <w:p w14:paraId="3C256EF1">
            <w:pPr>
              <w:jc w:val="center"/>
              <w:textAlignment w:val="center"/>
              <w:rPr>
                <w:rFonts w:ascii="宋体" w:hAnsi="宋体" w:eastAsia="宋体" w:cs="Times New Roman"/>
                <w:color w:val="auto"/>
                <w:lang w:bidi="ar"/>
              </w:rPr>
            </w:pPr>
            <w:r>
              <w:rPr>
                <w:rFonts w:ascii="宋体" w:hAnsi="宋体" w:eastAsia="宋体" w:cs="Times New Roman"/>
                <w:color w:val="auto"/>
                <w:lang w:bidi="ar"/>
              </w:rPr>
              <w:t>2.91</w:t>
            </w:r>
          </w:p>
        </w:tc>
        <w:tc>
          <w:tcPr>
            <w:tcW w:w="908" w:type="dxa"/>
            <w:tcBorders>
              <w:tl2br w:val="nil"/>
              <w:tr2bl w:val="nil"/>
            </w:tcBorders>
            <w:vAlign w:val="center"/>
          </w:tcPr>
          <w:p w14:paraId="031DEE38">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2.12</w:t>
            </w:r>
          </w:p>
        </w:tc>
        <w:tc>
          <w:tcPr>
            <w:tcW w:w="908" w:type="dxa"/>
            <w:tcBorders>
              <w:tl2br w:val="nil"/>
              <w:tr2bl w:val="nil"/>
            </w:tcBorders>
            <w:vAlign w:val="center"/>
          </w:tcPr>
          <w:p w14:paraId="2E488594">
            <w:pPr>
              <w:jc w:val="center"/>
              <w:textAlignment w:val="center"/>
              <w:rPr>
                <w:rFonts w:ascii="宋体" w:hAnsi="宋体" w:eastAsia="宋体" w:cs="Times New Roman"/>
                <w:color w:val="auto"/>
                <w:lang w:bidi="ar"/>
              </w:rPr>
            </w:pPr>
            <w:r>
              <w:rPr>
                <w:rFonts w:ascii="宋体" w:hAnsi="宋体" w:eastAsia="宋体" w:cs="Times New Roman"/>
                <w:color w:val="auto"/>
                <w:lang w:bidi="ar"/>
              </w:rPr>
              <w:t>2.44</w:t>
            </w:r>
          </w:p>
        </w:tc>
        <w:tc>
          <w:tcPr>
            <w:tcW w:w="908" w:type="dxa"/>
            <w:tcBorders>
              <w:tl2br w:val="nil"/>
              <w:tr2bl w:val="nil"/>
            </w:tcBorders>
            <w:vAlign w:val="center"/>
          </w:tcPr>
          <w:p w14:paraId="2F395131">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1.11</w:t>
            </w:r>
          </w:p>
        </w:tc>
        <w:tc>
          <w:tcPr>
            <w:tcW w:w="908" w:type="dxa"/>
            <w:tcBorders>
              <w:tl2br w:val="nil"/>
              <w:tr2bl w:val="nil"/>
            </w:tcBorders>
            <w:vAlign w:val="center"/>
          </w:tcPr>
          <w:p w14:paraId="44EC87C9">
            <w:pPr>
              <w:jc w:val="center"/>
              <w:textAlignment w:val="center"/>
              <w:rPr>
                <w:rFonts w:ascii="宋体" w:hAnsi="宋体" w:eastAsia="宋体" w:cs="Times New Roman"/>
                <w:color w:val="auto"/>
                <w:lang w:bidi="ar"/>
              </w:rPr>
            </w:pPr>
            <w:r>
              <w:rPr>
                <w:rFonts w:ascii="宋体" w:hAnsi="宋体" w:eastAsia="宋体" w:cs="Times New Roman"/>
                <w:color w:val="auto"/>
                <w:lang w:bidi="ar"/>
              </w:rPr>
              <w:t>1.27</w:t>
            </w:r>
          </w:p>
        </w:tc>
        <w:tc>
          <w:tcPr>
            <w:tcW w:w="908" w:type="dxa"/>
            <w:tcBorders>
              <w:tl2br w:val="nil"/>
              <w:tr2bl w:val="nil"/>
            </w:tcBorders>
            <w:vAlign w:val="center"/>
          </w:tcPr>
          <w:p w14:paraId="412212B2">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2.56</w:t>
            </w:r>
          </w:p>
        </w:tc>
        <w:tc>
          <w:tcPr>
            <w:tcW w:w="911" w:type="dxa"/>
            <w:tcBorders>
              <w:tl2br w:val="nil"/>
              <w:tr2bl w:val="nil"/>
            </w:tcBorders>
            <w:vAlign w:val="center"/>
          </w:tcPr>
          <w:p w14:paraId="533406FD">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1.18</w:t>
            </w:r>
          </w:p>
        </w:tc>
        <w:tc>
          <w:tcPr>
            <w:tcW w:w="735" w:type="dxa"/>
            <w:tcBorders>
              <w:tl2br w:val="nil"/>
              <w:tr2bl w:val="nil"/>
            </w:tcBorders>
            <w:vAlign w:val="center"/>
          </w:tcPr>
          <w:p w14:paraId="0DFCE6F6">
            <w:pPr>
              <w:jc w:val="center"/>
              <w:textAlignment w:val="center"/>
              <w:rPr>
                <w:rFonts w:ascii="宋体" w:hAnsi="宋体" w:eastAsia="宋体" w:cs="Times New Roman"/>
                <w:color w:val="auto"/>
              </w:rPr>
            </w:pPr>
            <w:r>
              <w:rPr>
                <w:rFonts w:ascii="宋体" w:hAnsi="宋体" w:eastAsia="宋体" w:cs="Times New Roman"/>
                <w:color w:val="auto"/>
              </w:rPr>
              <w:t>-</w:t>
            </w:r>
          </w:p>
        </w:tc>
      </w:tr>
      <w:tr w14:paraId="3995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268D8C5F">
            <w:pPr>
              <w:jc w:val="center"/>
              <w:textAlignment w:val="center"/>
              <w:rPr>
                <w:rFonts w:ascii="宋体" w:hAnsi="宋体" w:eastAsia="宋体" w:cs="Times New Roman"/>
                <w:color w:val="auto"/>
              </w:rPr>
            </w:pPr>
            <w:r>
              <w:rPr>
                <w:rFonts w:ascii="宋体" w:hAnsi="宋体" w:eastAsia="宋体" w:cs="Times New Roman"/>
                <w:color w:val="auto"/>
                <w:lang w:bidi="ar"/>
              </w:rPr>
              <w:t>Na</w:t>
            </w:r>
            <w:r>
              <w:rPr>
                <w:rFonts w:ascii="宋体" w:hAnsi="宋体" w:eastAsia="宋体" w:cs="Times New Roman"/>
                <w:color w:val="auto"/>
                <w:vertAlign w:val="superscript"/>
                <w:lang w:bidi="ar"/>
              </w:rPr>
              <w:t>+</w:t>
            </w:r>
          </w:p>
        </w:tc>
        <w:tc>
          <w:tcPr>
            <w:tcW w:w="908" w:type="dxa"/>
            <w:tcBorders>
              <w:tl2br w:val="nil"/>
              <w:tr2bl w:val="nil"/>
            </w:tcBorders>
            <w:vAlign w:val="center"/>
          </w:tcPr>
          <w:p w14:paraId="1F4ED727">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50.4</w:t>
            </w:r>
          </w:p>
        </w:tc>
        <w:tc>
          <w:tcPr>
            <w:tcW w:w="908" w:type="dxa"/>
            <w:tcBorders>
              <w:tl2br w:val="nil"/>
              <w:tr2bl w:val="nil"/>
            </w:tcBorders>
            <w:vAlign w:val="center"/>
          </w:tcPr>
          <w:p w14:paraId="2EA0C750">
            <w:pPr>
              <w:jc w:val="center"/>
              <w:textAlignment w:val="center"/>
              <w:rPr>
                <w:rFonts w:ascii="宋体" w:hAnsi="宋体" w:eastAsia="宋体" w:cs="Times New Roman"/>
                <w:color w:val="auto"/>
                <w:lang w:bidi="ar"/>
              </w:rPr>
            </w:pPr>
            <w:r>
              <w:rPr>
                <w:rFonts w:ascii="宋体" w:hAnsi="宋体" w:eastAsia="宋体" w:cs="Times New Roman"/>
                <w:color w:val="auto"/>
                <w:lang w:bidi="ar"/>
              </w:rPr>
              <w:t>61.3</w:t>
            </w:r>
          </w:p>
        </w:tc>
        <w:tc>
          <w:tcPr>
            <w:tcW w:w="908" w:type="dxa"/>
            <w:tcBorders>
              <w:tl2br w:val="nil"/>
              <w:tr2bl w:val="nil"/>
            </w:tcBorders>
            <w:vAlign w:val="center"/>
          </w:tcPr>
          <w:p w14:paraId="690B213A">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57.3</w:t>
            </w:r>
          </w:p>
        </w:tc>
        <w:tc>
          <w:tcPr>
            <w:tcW w:w="908" w:type="dxa"/>
            <w:tcBorders>
              <w:tl2br w:val="nil"/>
              <w:tr2bl w:val="nil"/>
            </w:tcBorders>
            <w:vAlign w:val="center"/>
          </w:tcPr>
          <w:p w14:paraId="6B068DC0">
            <w:pPr>
              <w:jc w:val="center"/>
              <w:textAlignment w:val="center"/>
              <w:rPr>
                <w:rFonts w:ascii="宋体" w:hAnsi="宋体" w:eastAsia="宋体" w:cs="Times New Roman"/>
                <w:color w:val="auto"/>
                <w:lang w:bidi="ar"/>
              </w:rPr>
            </w:pPr>
            <w:r>
              <w:rPr>
                <w:rFonts w:ascii="宋体" w:hAnsi="宋体" w:eastAsia="宋体" w:cs="Times New Roman"/>
                <w:color w:val="auto"/>
                <w:lang w:bidi="ar"/>
              </w:rPr>
              <w:t>52.2</w:t>
            </w:r>
          </w:p>
        </w:tc>
        <w:tc>
          <w:tcPr>
            <w:tcW w:w="908" w:type="dxa"/>
            <w:tcBorders>
              <w:tl2br w:val="nil"/>
              <w:tr2bl w:val="nil"/>
            </w:tcBorders>
            <w:vAlign w:val="center"/>
          </w:tcPr>
          <w:p w14:paraId="7578FD3A">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41.8</w:t>
            </w:r>
          </w:p>
        </w:tc>
        <w:tc>
          <w:tcPr>
            <w:tcW w:w="908" w:type="dxa"/>
            <w:tcBorders>
              <w:tl2br w:val="nil"/>
              <w:tr2bl w:val="nil"/>
            </w:tcBorders>
            <w:vAlign w:val="center"/>
          </w:tcPr>
          <w:p w14:paraId="3D978B4A">
            <w:pPr>
              <w:jc w:val="center"/>
              <w:textAlignment w:val="center"/>
              <w:rPr>
                <w:rFonts w:ascii="宋体" w:hAnsi="宋体" w:eastAsia="宋体" w:cs="Times New Roman"/>
                <w:color w:val="auto"/>
                <w:lang w:bidi="ar"/>
              </w:rPr>
            </w:pPr>
            <w:r>
              <w:rPr>
                <w:rFonts w:ascii="宋体" w:hAnsi="宋体" w:eastAsia="宋体" w:cs="Times New Roman"/>
                <w:color w:val="auto"/>
                <w:lang w:bidi="ar"/>
              </w:rPr>
              <w:t>43.5</w:t>
            </w:r>
          </w:p>
        </w:tc>
        <w:tc>
          <w:tcPr>
            <w:tcW w:w="908" w:type="dxa"/>
            <w:tcBorders>
              <w:tl2br w:val="nil"/>
              <w:tr2bl w:val="nil"/>
            </w:tcBorders>
            <w:vAlign w:val="center"/>
          </w:tcPr>
          <w:p w14:paraId="79C75B0A">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54.7</w:t>
            </w:r>
          </w:p>
        </w:tc>
        <w:tc>
          <w:tcPr>
            <w:tcW w:w="911" w:type="dxa"/>
            <w:tcBorders>
              <w:tl2br w:val="nil"/>
              <w:tr2bl w:val="nil"/>
            </w:tcBorders>
            <w:vAlign w:val="center"/>
          </w:tcPr>
          <w:p w14:paraId="6FFC8192">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40.5</w:t>
            </w:r>
          </w:p>
        </w:tc>
        <w:tc>
          <w:tcPr>
            <w:tcW w:w="735" w:type="dxa"/>
            <w:tcBorders>
              <w:tl2br w:val="nil"/>
              <w:tr2bl w:val="nil"/>
            </w:tcBorders>
            <w:vAlign w:val="center"/>
          </w:tcPr>
          <w:p w14:paraId="4503B074">
            <w:pPr>
              <w:jc w:val="center"/>
              <w:textAlignment w:val="center"/>
              <w:rPr>
                <w:rFonts w:ascii="宋体" w:hAnsi="宋体" w:eastAsia="宋体" w:cs="Times New Roman"/>
                <w:color w:val="auto"/>
              </w:rPr>
            </w:pPr>
            <w:r>
              <w:rPr>
                <w:rFonts w:ascii="宋体" w:hAnsi="宋体" w:eastAsia="宋体" w:cs="Times New Roman"/>
                <w:color w:val="auto"/>
              </w:rPr>
              <w:t>≤200</w:t>
            </w:r>
          </w:p>
        </w:tc>
      </w:tr>
      <w:tr w14:paraId="55DF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2CE1758B">
            <w:pPr>
              <w:jc w:val="center"/>
              <w:textAlignment w:val="center"/>
              <w:rPr>
                <w:rFonts w:ascii="宋体" w:hAnsi="宋体" w:eastAsia="宋体" w:cs="Times New Roman"/>
                <w:color w:val="auto"/>
              </w:rPr>
            </w:pPr>
            <w:r>
              <w:rPr>
                <w:rFonts w:ascii="宋体" w:hAnsi="宋体" w:eastAsia="宋体" w:cs="Times New Roman"/>
                <w:color w:val="auto"/>
                <w:lang w:bidi="ar"/>
              </w:rPr>
              <w:t>Ca</w:t>
            </w:r>
            <w:r>
              <w:rPr>
                <w:rFonts w:ascii="宋体" w:hAnsi="宋体" w:eastAsia="宋体" w:cs="Times New Roman"/>
                <w:color w:val="auto"/>
                <w:vertAlign w:val="superscript"/>
                <w:lang w:bidi="ar"/>
              </w:rPr>
              <w:t>2+</w:t>
            </w:r>
          </w:p>
        </w:tc>
        <w:tc>
          <w:tcPr>
            <w:tcW w:w="908" w:type="dxa"/>
            <w:tcBorders>
              <w:tl2br w:val="nil"/>
              <w:tr2bl w:val="nil"/>
            </w:tcBorders>
            <w:vAlign w:val="center"/>
          </w:tcPr>
          <w:p w14:paraId="60672764">
            <w:pPr>
              <w:jc w:val="center"/>
              <w:textAlignment w:val="center"/>
              <w:rPr>
                <w:rFonts w:ascii="宋体" w:hAnsi="宋体" w:eastAsia="宋体" w:cs="Times New Roman"/>
                <w:color w:val="auto"/>
                <w:lang w:bidi="ar"/>
              </w:rPr>
            </w:pPr>
            <w:r>
              <w:rPr>
                <w:rFonts w:ascii="宋体" w:hAnsi="宋体" w:eastAsia="宋体" w:cs="Times New Roman"/>
                <w:color w:val="auto"/>
                <w:lang w:bidi="ar"/>
              </w:rPr>
              <w:t>41.3</w:t>
            </w:r>
          </w:p>
        </w:tc>
        <w:tc>
          <w:tcPr>
            <w:tcW w:w="908" w:type="dxa"/>
            <w:tcBorders>
              <w:tl2br w:val="nil"/>
              <w:tr2bl w:val="nil"/>
            </w:tcBorders>
            <w:vAlign w:val="center"/>
          </w:tcPr>
          <w:p w14:paraId="705F159F">
            <w:pPr>
              <w:jc w:val="center"/>
              <w:textAlignment w:val="center"/>
              <w:rPr>
                <w:rFonts w:ascii="宋体" w:hAnsi="宋体" w:eastAsia="宋体" w:cs="Times New Roman"/>
                <w:color w:val="auto"/>
                <w:lang w:bidi="ar"/>
              </w:rPr>
            </w:pPr>
            <w:r>
              <w:rPr>
                <w:rFonts w:ascii="宋体" w:hAnsi="宋体" w:eastAsia="宋体" w:cs="Times New Roman"/>
                <w:color w:val="auto"/>
                <w:lang w:bidi="ar"/>
              </w:rPr>
              <w:t>52.4</w:t>
            </w:r>
          </w:p>
        </w:tc>
        <w:tc>
          <w:tcPr>
            <w:tcW w:w="908" w:type="dxa"/>
            <w:tcBorders>
              <w:tl2br w:val="nil"/>
              <w:tr2bl w:val="nil"/>
            </w:tcBorders>
            <w:vAlign w:val="center"/>
          </w:tcPr>
          <w:p w14:paraId="0ACD5CFE">
            <w:pPr>
              <w:jc w:val="center"/>
              <w:textAlignment w:val="center"/>
              <w:rPr>
                <w:rFonts w:ascii="宋体" w:hAnsi="宋体" w:eastAsia="宋体" w:cs="Times New Roman"/>
                <w:color w:val="auto"/>
                <w:lang w:bidi="ar"/>
              </w:rPr>
            </w:pPr>
            <w:r>
              <w:rPr>
                <w:rFonts w:ascii="宋体" w:hAnsi="宋体" w:eastAsia="宋体" w:cs="Times New Roman"/>
                <w:color w:val="auto"/>
                <w:lang w:bidi="ar"/>
              </w:rPr>
              <w:t>48.5</w:t>
            </w:r>
          </w:p>
        </w:tc>
        <w:tc>
          <w:tcPr>
            <w:tcW w:w="908" w:type="dxa"/>
            <w:tcBorders>
              <w:tl2br w:val="nil"/>
              <w:tr2bl w:val="nil"/>
            </w:tcBorders>
            <w:vAlign w:val="center"/>
          </w:tcPr>
          <w:p w14:paraId="037522DE">
            <w:pPr>
              <w:jc w:val="center"/>
              <w:textAlignment w:val="center"/>
              <w:rPr>
                <w:rFonts w:ascii="宋体" w:hAnsi="宋体" w:eastAsia="宋体" w:cs="Times New Roman"/>
                <w:color w:val="auto"/>
                <w:lang w:bidi="ar"/>
              </w:rPr>
            </w:pPr>
            <w:r>
              <w:rPr>
                <w:rFonts w:ascii="宋体" w:hAnsi="宋体" w:eastAsia="宋体" w:cs="Times New Roman"/>
                <w:color w:val="auto"/>
                <w:lang w:bidi="ar"/>
              </w:rPr>
              <w:t>41.7</w:t>
            </w:r>
          </w:p>
        </w:tc>
        <w:tc>
          <w:tcPr>
            <w:tcW w:w="908" w:type="dxa"/>
            <w:tcBorders>
              <w:tl2br w:val="nil"/>
              <w:tr2bl w:val="nil"/>
            </w:tcBorders>
            <w:vAlign w:val="center"/>
          </w:tcPr>
          <w:p w14:paraId="3FC740AB">
            <w:pPr>
              <w:jc w:val="center"/>
              <w:textAlignment w:val="center"/>
              <w:rPr>
                <w:rFonts w:ascii="宋体" w:hAnsi="宋体" w:eastAsia="宋体" w:cs="Times New Roman"/>
                <w:color w:val="auto"/>
                <w:lang w:bidi="ar"/>
              </w:rPr>
            </w:pPr>
            <w:r>
              <w:rPr>
                <w:rFonts w:ascii="宋体" w:hAnsi="宋体" w:eastAsia="宋体" w:cs="Times New Roman"/>
                <w:color w:val="auto"/>
                <w:lang w:bidi="ar"/>
              </w:rPr>
              <w:t>35.2</w:t>
            </w:r>
          </w:p>
        </w:tc>
        <w:tc>
          <w:tcPr>
            <w:tcW w:w="908" w:type="dxa"/>
            <w:tcBorders>
              <w:tl2br w:val="nil"/>
              <w:tr2bl w:val="nil"/>
            </w:tcBorders>
            <w:vAlign w:val="center"/>
          </w:tcPr>
          <w:p w14:paraId="5A08A56E">
            <w:pPr>
              <w:jc w:val="center"/>
              <w:textAlignment w:val="center"/>
              <w:rPr>
                <w:rFonts w:ascii="宋体" w:hAnsi="宋体" w:eastAsia="宋体" w:cs="Times New Roman"/>
                <w:color w:val="auto"/>
                <w:lang w:bidi="ar"/>
              </w:rPr>
            </w:pPr>
            <w:r>
              <w:rPr>
                <w:rFonts w:ascii="宋体" w:hAnsi="宋体" w:eastAsia="宋体" w:cs="Times New Roman"/>
                <w:color w:val="auto"/>
                <w:lang w:bidi="ar"/>
              </w:rPr>
              <w:t>31.6</w:t>
            </w:r>
          </w:p>
        </w:tc>
        <w:tc>
          <w:tcPr>
            <w:tcW w:w="908" w:type="dxa"/>
            <w:tcBorders>
              <w:tl2br w:val="nil"/>
              <w:tr2bl w:val="nil"/>
            </w:tcBorders>
            <w:vAlign w:val="center"/>
          </w:tcPr>
          <w:p w14:paraId="18BF477A">
            <w:pPr>
              <w:jc w:val="center"/>
              <w:textAlignment w:val="center"/>
              <w:rPr>
                <w:rFonts w:ascii="宋体" w:hAnsi="宋体" w:eastAsia="宋体" w:cs="Times New Roman"/>
                <w:color w:val="auto"/>
                <w:lang w:bidi="ar"/>
              </w:rPr>
            </w:pPr>
            <w:r>
              <w:rPr>
                <w:rFonts w:ascii="宋体" w:hAnsi="宋体" w:eastAsia="宋体" w:cs="Times New Roman"/>
                <w:color w:val="auto"/>
                <w:lang w:bidi="ar"/>
              </w:rPr>
              <w:t>48.3</w:t>
            </w:r>
          </w:p>
        </w:tc>
        <w:tc>
          <w:tcPr>
            <w:tcW w:w="911" w:type="dxa"/>
            <w:tcBorders>
              <w:tl2br w:val="nil"/>
              <w:tr2bl w:val="nil"/>
            </w:tcBorders>
            <w:vAlign w:val="center"/>
          </w:tcPr>
          <w:p w14:paraId="7D25D6FA">
            <w:pPr>
              <w:jc w:val="center"/>
              <w:textAlignment w:val="center"/>
              <w:rPr>
                <w:rFonts w:ascii="宋体" w:hAnsi="宋体" w:eastAsia="宋体" w:cs="Times New Roman"/>
                <w:color w:val="auto"/>
                <w:lang w:bidi="ar"/>
              </w:rPr>
            </w:pPr>
            <w:r>
              <w:rPr>
                <w:rFonts w:ascii="宋体" w:hAnsi="宋体" w:eastAsia="宋体" w:cs="Times New Roman"/>
                <w:color w:val="auto"/>
                <w:lang w:bidi="ar"/>
              </w:rPr>
              <w:t>30.8</w:t>
            </w:r>
          </w:p>
        </w:tc>
        <w:tc>
          <w:tcPr>
            <w:tcW w:w="735" w:type="dxa"/>
            <w:tcBorders>
              <w:tl2br w:val="nil"/>
              <w:tr2bl w:val="nil"/>
            </w:tcBorders>
            <w:vAlign w:val="center"/>
          </w:tcPr>
          <w:p w14:paraId="2FB535D9">
            <w:pPr>
              <w:jc w:val="center"/>
              <w:textAlignment w:val="center"/>
              <w:rPr>
                <w:rFonts w:ascii="宋体" w:hAnsi="宋体" w:eastAsia="宋体" w:cs="Times New Roman"/>
                <w:color w:val="auto"/>
              </w:rPr>
            </w:pPr>
            <w:r>
              <w:rPr>
                <w:rFonts w:ascii="宋体" w:hAnsi="宋体" w:eastAsia="宋体" w:cs="Times New Roman"/>
                <w:color w:val="auto"/>
              </w:rPr>
              <w:t>-</w:t>
            </w:r>
          </w:p>
        </w:tc>
      </w:tr>
      <w:tr w14:paraId="002A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7DC6E91F">
            <w:pPr>
              <w:jc w:val="center"/>
              <w:textAlignment w:val="center"/>
              <w:rPr>
                <w:rFonts w:ascii="宋体" w:hAnsi="宋体" w:eastAsia="宋体" w:cs="Times New Roman"/>
                <w:color w:val="auto"/>
              </w:rPr>
            </w:pPr>
            <w:r>
              <w:rPr>
                <w:rFonts w:ascii="宋体" w:hAnsi="宋体" w:eastAsia="宋体" w:cs="Times New Roman"/>
                <w:color w:val="auto"/>
                <w:lang w:bidi="ar"/>
              </w:rPr>
              <w:t>Mg</w:t>
            </w:r>
            <w:r>
              <w:rPr>
                <w:rFonts w:ascii="宋体" w:hAnsi="宋体" w:eastAsia="宋体" w:cs="Times New Roman"/>
                <w:color w:val="auto"/>
                <w:vertAlign w:val="superscript"/>
                <w:lang w:bidi="ar"/>
              </w:rPr>
              <w:t>2+</w:t>
            </w:r>
          </w:p>
        </w:tc>
        <w:tc>
          <w:tcPr>
            <w:tcW w:w="908" w:type="dxa"/>
            <w:tcBorders>
              <w:tl2br w:val="nil"/>
              <w:tr2bl w:val="nil"/>
            </w:tcBorders>
            <w:vAlign w:val="center"/>
          </w:tcPr>
          <w:p w14:paraId="52EA3ABA">
            <w:pPr>
              <w:jc w:val="center"/>
              <w:textAlignment w:val="center"/>
              <w:rPr>
                <w:rFonts w:ascii="宋体" w:hAnsi="宋体" w:eastAsia="宋体" w:cs="Times New Roman"/>
                <w:color w:val="auto"/>
                <w:lang w:bidi="ar"/>
              </w:rPr>
            </w:pPr>
            <w:r>
              <w:rPr>
                <w:rFonts w:ascii="宋体" w:hAnsi="宋体" w:eastAsia="宋体" w:cs="Times New Roman"/>
                <w:color w:val="auto"/>
                <w:lang w:bidi="ar"/>
              </w:rPr>
              <w:t>8.92</w:t>
            </w:r>
          </w:p>
        </w:tc>
        <w:tc>
          <w:tcPr>
            <w:tcW w:w="908" w:type="dxa"/>
            <w:tcBorders>
              <w:tl2br w:val="nil"/>
              <w:tr2bl w:val="nil"/>
            </w:tcBorders>
            <w:vAlign w:val="center"/>
          </w:tcPr>
          <w:p w14:paraId="7EDBE422">
            <w:pPr>
              <w:jc w:val="center"/>
              <w:textAlignment w:val="center"/>
              <w:rPr>
                <w:rFonts w:ascii="宋体" w:hAnsi="宋体" w:eastAsia="宋体" w:cs="Times New Roman"/>
                <w:color w:val="auto"/>
                <w:lang w:bidi="ar"/>
              </w:rPr>
            </w:pPr>
            <w:r>
              <w:rPr>
                <w:rFonts w:ascii="宋体" w:hAnsi="宋体" w:eastAsia="宋体" w:cs="Times New Roman"/>
                <w:color w:val="auto"/>
                <w:lang w:bidi="ar"/>
              </w:rPr>
              <w:t>11.1</w:t>
            </w:r>
          </w:p>
        </w:tc>
        <w:tc>
          <w:tcPr>
            <w:tcW w:w="908" w:type="dxa"/>
            <w:tcBorders>
              <w:tl2br w:val="nil"/>
              <w:tr2bl w:val="nil"/>
            </w:tcBorders>
            <w:vAlign w:val="center"/>
          </w:tcPr>
          <w:p w14:paraId="54CBE223">
            <w:pPr>
              <w:jc w:val="center"/>
              <w:textAlignment w:val="center"/>
              <w:rPr>
                <w:rFonts w:ascii="宋体" w:hAnsi="宋体" w:eastAsia="宋体" w:cs="Times New Roman"/>
                <w:color w:val="auto"/>
                <w:lang w:bidi="ar"/>
              </w:rPr>
            </w:pPr>
            <w:r>
              <w:rPr>
                <w:rFonts w:ascii="宋体" w:hAnsi="宋体" w:eastAsia="宋体" w:cs="Times New Roman"/>
                <w:color w:val="auto"/>
                <w:lang w:bidi="ar"/>
              </w:rPr>
              <w:t>10.2</w:t>
            </w:r>
          </w:p>
        </w:tc>
        <w:tc>
          <w:tcPr>
            <w:tcW w:w="908" w:type="dxa"/>
            <w:tcBorders>
              <w:tl2br w:val="nil"/>
              <w:tr2bl w:val="nil"/>
            </w:tcBorders>
            <w:vAlign w:val="center"/>
          </w:tcPr>
          <w:p w14:paraId="2CAF473C">
            <w:pPr>
              <w:jc w:val="center"/>
              <w:textAlignment w:val="center"/>
              <w:rPr>
                <w:rFonts w:ascii="宋体" w:hAnsi="宋体" w:eastAsia="宋体" w:cs="Times New Roman"/>
                <w:color w:val="auto"/>
                <w:lang w:bidi="ar"/>
              </w:rPr>
            </w:pPr>
            <w:r>
              <w:rPr>
                <w:rFonts w:ascii="宋体" w:hAnsi="宋体" w:eastAsia="宋体" w:cs="Times New Roman"/>
                <w:color w:val="auto"/>
                <w:lang w:bidi="ar"/>
              </w:rPr>
              <w:t>9.12</w:t>
            </w:r>
          </w:p>
        </w:tc>
        <w:tc>
          <w:tcPr>
            <w:tcW w:w="908" w:type="dxa"/>
            <w:tcBorders>
              <w:tl2br w:val="nil"/>
              <w:tr2bl w:val="nil"/>
            </w:tcBorders>
            <w:vAlign w:val="center"/>
          </w:tcPr>
          <w:p w14:paraId="5B4C9F90">
            <w:pPr>
              <w:jc w:val="center"/>
              <w:textAlignment w:val="center"/>
              <w:rPr>
                <w:rFonts w:ascii="宋体" w:hAnsi="宋体" w:eastAsia="宋体" w:cs="Times New Roman"/>
                <w:color w:val="auto"/>
                <w:lang w:bidi="ar"/>
              </w:rPr>
            </w:pPr>
            <w:r>
              <w:rPr>
                <w:rFonts w:ascii="宋体" w:hAnsi="宋体" w:eastAsia="宋体" w:cs="Times New Roman"/>
                <w:color w:val="auto"/>
                <w:lang w:bidi="ar"/>
              </w:rPr>
              <w:t>6.41</w:t>
            </w:r>
          </w:p>
        </w:tc>
        <w:tc>
          <w:tcPr>
            <w:tcW w:w="908" w:type="dxa"/>
            <w:tcBorders>
              <w:tl2br w:val="nil"/>
              <w:tr2bl w:val="nil"/>
            </w:tcBorders>
            <w:vAlign w:val="center"/>
          </w:tcPr>
          <w:p w14:paraId="25923E31">
            <w:pPr>
              <w:jc w:val="center"/>
              <w:textAlignment w:val="center"/>
              <w:rPr>
                <w:rFonts w:ascii="宋体" w:hAnsi="宋体" w:eastAsia="宋体" w:cs="Times New Roman"/>
                <w:color w:val="auto"/>
                <w:lang w:bidi="ar"/>
              </w:rPr>
            </w:pPr>
            <w:r>
              <w:rPr>
                <w:rFonts w:ascii="宋体" w:hAnsi="宋体" w:eastAsia="宋体" w:cs="Times New Roman"/>
                <w:color w:val="auto"/>
                <w:lang w:bidi="ar"/>
              </w:rPr>
              <w:t>6.24</w:t>
            </w:r>
          </w:p>
        </w:tc>
        <w:tc>
          <w:tcPr>
            <w:tcW w:w="908" w:type="dxa"/>
            <w:tcBorders>
              <w:tl2br w:val="nil"/>
              <w:tr2bl w:val="nil"/>
            </w:tcBorders>
            <w:vAlign w:val="center"/>
          </w:tcPr>
          <w:p w14:paraId="7668A056">
            <w:pPr>
              <w:jc w:val="center"/>
              <w:textAlignment w:val="center"/>
              <w:rPr>
                <w:rFonts w:ascii="宋体" w:hAnsi="宋体" w:eastAsia="宋体" w:cs="Times New Roman"/>
                <w:color w:val="auto"/>
                <w:lang w:bidi="ar"/>
              </w:rPr>
            </w:pPr>
            <w:r>
              <w:rPr>
                <w:rFonts w:ascii="宋体" w:hAnsi="宋体" w:eastAsia="宋体" w:cs="Times New Roman"/>
                <w:color w:val="auto"/>
                <w:lang w:bidi="ar"/>
              </w:rPr>
              <w:t>8.99</w:t>
            </w:r>
          </w:p>
        </w:tc>
        <w:tc>
          <w:tcPr>
            <w:tcW w:w="911" w:type="dxa"/>
            <w:tcBorders>
              <w:tl2br w:val="nil"/>
              <w:tr2bl w:val="nil"/>
            </w:tcBorders>
            <w:vAlign w:val="center"/>
          </w:tcPr>
          <w:p w14:paraId="26DBE879">
            <w:pPr>
              <w:jc w:val="center"/>
              <w:textAlignment w:val="center"/>
              <w:rPr>
                <w:rFonts w:ascii="宋体" w:hAnsi="宋体" w:eastAsia="宋体" w:cs="Times New Roman"/>
                <w:color w:val="auto"/>
                <w:lang w:bidi="ar"/>
              </w:rPr>
            </w:pPr>
            <w:r>
              <w:rPr>
                <w:rFonts w:ascii="宋体" w:hAnsi="宋体" w:eastAsia="宋体" w:cs="Times New Roman"/>
                <w:color w:val="auto"/>
                <w:lang w:bidi="ar"/>
              </w:rPr>
              <w:t>6.07</w:t>
            </w:r>
          </w:p>
        </w:tc>
        <w:tc>
          <w:tcPr>
            <w:tcW w:w="735" w:type="dxa"/>
            <w:tcBorders>
              <w:tl2br w:val="nil"/>
              <w:tr2bl w:val="nil"/>
            </w:tcBorders>
            <w:vAlign w:val="center"/>
          </w:tcPr>
          <w:p w14:paraId="5D722CB7">
            <w:pPr>
              <w:jc w:val="center"/>
              <w:textAlignment w:val="center"/>
              <w:rPr>
                <w:rFonts w:ascii="宋体" w:hAnsi="宋体" w:eastAsia="宋体" w:cs="Times New Roman"/>
                <w:color w:val="auto"/>
              </w:rPr>
            </w:pPr>
            <w:r>
              <w:rPr>
                <w:rFonts w:ascii="宋体" w:hAnsi="宋体" w:eastAsia="宋体" w:cs="Times New Roman"/>
                <w:color w:val="auto"/>
              </w:rPr>
              <w:t>-</w:t>
            </w:r>
          </w:p>
        </w:tc>
      </w:tr>
      <w:tr w14:paraId="6C18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7515FDB8">
            <w:pPr>
              <w:jc w:val="center"/>
              <w:textAlignment w:val="center"/>
              <w:rPr>
                <w:rFonts w:ascii="宋体" w:hAnsi="宋体" w:eastAsia="宋体" w:cs="Times New Roman"/>
                <w:color w:val="auto"/>
              </w:rPr>
            </w:pPr>
            <w:r>
              <w:rPr>
                <w:rFonts w:ascii="宋体" w:hAnsi="宋体" w:eastAsia="宋体" w:cs="Times New Roman"/>
                <w:color w:val="auto"/>
                <w:lang w:bidi="ar"/>
              </w:rPr>
              <w:t>HCO</w:t>
            </w:r>
            <w:r>
              <w:rPr>
                <w:rFonts w:ascii="宋体" w:hAnsi="宋体" w:eastAsia="宋体" w:cs="Times New Roman"/>
                <w:color w:val="auto"/>
                <w:vertAlign w:val="subscript"/>
                <w:lang w:bidi="ar"/>
              </w:rPr>
              <w:t>3</w:t>
            </w:r>
            <w:r>
              <w:rPr>
                <w:rFonts w:ascii="宋体" w:hAnsi="宋体" w:eastAsia="宋体" w:cs="Times New Roman"/>
                <w:color w:val="auto"/>
                <w:vertAlign w:val="superscript"/>
                <w:lang w:bidi="ar"/>
              </w:rPr>
              <w:t>-</w:t>
            </w:r>
          </w:p>
        </w:tc>
        <w:tc>
          <w:tcPr>
            <w:tcW w:w="908" w:type="dxa"/>
            <w:tcBorders>
              <w:tl2br w:val="nil"/>
              <w:tr2bl w:val="nil"/>
            </w:tcBorders>
            <w:vAlign w:val="center"/>
          </w:tcPr>
          <w:p w14:paraId="67B37022">
            <w:pPr>
              <w:jc w:val="center"/>
              <w:textAlignment w:val="center"/>
              <w:rPr>
                <w:rFonts w:ascii="宋体" w:hAnsi="宋体" w:eastAsia="宋体" w:cs="Times New Roman"/>
                <w:color w:val="auto"/>
                <w:lang w:bidi="ar"/>
              </w:rPr>
            </w:pPr>
            <w:r>
              <w:rPr>
                <w:rFonts w:ascii="宋体" w:hAnsi="宋体" w:eastAsia="宋体" w:cs="Times New Roman"/>
                <w:color w:val="auto"/>
                <w:lang w:bidi="ar"/>
              </w:rPr>
              <w:t>209</w:t>
            </w:r>
          </w:p>
        </w:tc>
        <w:tc>
          <w:tcPr>
            <w:tcW w:w="908" w:type="dxa"/>
            <w:tcBorders>
              <w:tl2br w:val="nil"/>
              <w:tr2bl w:val="nil"/>
            </w:tcBorders>
            <w:vAlign w:val="center"/>
          </w:tcPr>
          <w:p w14:paraId="69E1ACFA">
            <w:pPr>
              <w:jc w:val="center"/>
              <w:textAlignment w:val="center"/>
              <w:rPr>
                <w:rFonts w:ascii="宋体" w:hAnsi="宋体" w:eastAsia="宋体" w:cs="Times New Roman"/>
                <w:color w:val="auto"/>
                <w:lang w:bidi="ar"/>
              </w:rPr>
            </w:pPr>
            <w:r>
              <w:rPr>
                <w:rFonts w:ascii="宋体" w:hAnsi="宋体" w:eastAsia="宋体" w:cs="Times New Roman"/>
                <w:color w:val="auto"/>
                <w:lang w:bidi="ar"/>
              </w:rPr>
              <w:t>242</w:t>
            </w:r>
          </w:p>
        </w:tc>
        <w:tc>
          <w:tcPr>
            <w:tcW w:w="908" w:type="dxa"/>
            <w:tcBorders>
              <w:tl2br w:val="nil"/>
              <w:tr2bl w:val="nil"/>
            </w:tcBorders>
            <w:vAlign w:val="center"/>
          </w:tcPr>
          <w:p w14:paraId="11B5F0DA">
            <w:pPr>
              <w:jc w:val="center"/>
              <w:textAlignment w:val="center"/>
              <w:rPr>
                <w:rFonts w:ascii="宋体" w:hAnsi="宋体" w:eastAsia="宋体" w:cs="Times New Roman"/>
                <w:color w:val="auto"/>
                <w:lang w:bidi="ar"/>
              </w:rPr>
            </w:pPr>
            <w:r>
              <w:rPr>
                <w:rFonts w:ascii="宋体" w:hAnsi="宋体" w:eastAsia="宋体" w:cs="Times New Roman"/>
                <w:color w:val="auto"/>
                <w:lang w:bidi="ar"/>
              </w:rPr>
              <w:t>225</w:t>
            </w:r>
          </w:p>
        </w:tc>
        <w:tc>
          <w:tcPr>
            <w:tcW w:w="908" w:type="dxa"/>
            <w:tcBorders>
              <w:tl2br w:val="nil"/>
              <w:tr2bl w:val="nil"/>
            </w:tcBorders>
            <w:vAlign w:val="center"/>
          </w:tcPr>
          <w:p w14:paraId="0BE5A29B">
            <w:pPr>
              <w:jc w:val="center"/>
              <w:textAlignment w:val="center"/>
              <w:rPr>
                <w:rFonts w:ascii="宋体" w:hAnsi="宋体" w:eastAsia="宋体" w:cs="Times New Roman"/>
                <w:color w:val="auto"/>
                <w:lang w:bidi="ar"/>
              </w:rPr>
            </w:pPr>
            <w:r>
              <w:rPr>
                <w:rFonts w:ascii="宋体" w:hAnsi="宋体" w:eastAsia="宋体" w:cs="Times New Roman"/>
                <w:color w:val="auto"/>
                <w:lang w:bidi="ar"/>
              </w:rPr>
              <w:t>206</w:t>
            </w:r>
          </w:p>
        </w:tc>
        <w:tc>
          <w:tcPr>
            <w:tcW w:w="908" w:type="dxa"/>
            <w:tcBorders>
              <w:tl2br w:val="nil"/>
              <w:tr2bl w:val="nil"/>
            </w:tcBorders>
            <w:vAlign w:val="center"/>
          </w:tcPr>
          <w:p w14:paraId="039BCBC2">
            <w:pPr>
              <w:jc w:val="center"/>
              <w:textAlignment w:val="center"/>
              <w:rPr>
                <w:rFonts w:ascii="宋体" w:hAnsi="宋体" w:eastAsia="宋体" w:cs="Times New Roman"/>
                <w:color w:val="auto"/>
                <w:lang w:bidi="ar"/>
              </w:rPr>
            </w:pPr>
            <w:r>
              <w:rPr>
                <w:rFonts w:ascii="宋体" w:hAnsi="宋体" w:eastAsia="宋体" w:cs="Times New Roman"/>
                <w:color w:val="auto"/>
                <w:lang w:bidi="ar"/>
              </w:rPr>
              <w:t>163</w:t>
            </w:r>
          </w:p>
        </w:tc>
        <w:tc>
          <w:tcPr>
            <w:tcW w:w="908" w:type="dxa"/>
            <w:tcBorders>
              <w:tl2br w:val="nil"/>
              <w:tr2bl w:val="nil"/>
            </w:tcBorders>
            <w:vAlign w:val="center"/>
          </w:tcPr>
          <w:p w14:paraId="0AE494D7">
            <w:pPr>
              <w:jc w:val="center"/>
              <w:textAlignment w:val="center"/>
              <w:rPr>
                <w:rFonts w:ascii="宋体" w:hAnsi="宋体" w:eastAsia="宋体" w:cs="Times New Roman"/>
                <w:color w:val="auto"/>
                <w:lang w:bidi="ar"/>
              </w:rPr>
            </w:pPr>
            <w:r>
              <w:rPr>
                <w:rFonts w:ascii="宋体" w:hAnsi="宋体" w:eastAsia="宋体" w:cs="Times New Roman"/>
                <w:color w:val="auto"/>
                <w:lang w:bidi="ar"/>
              </w:rPr>
              <w:t>160</w:t>
            </w:r>
          </w:p>
        </w:tc>
        <w:tc>
          <w:tcPr>
            <w:tcW w:w="908" w:type="dxa"/>
            <w:tcBorders>
              <w:tl2br w:val="nil"/>
              <w:tr2bl w:val="nil"/>
            </w:tcBorders>
            <w:vAlign w:val="center"/>
          </w:tcPr>
          <w:p w14:paraId="7E2EBAE4">
            <w:pPr>
              <w:jc w:val="center"/>
              <w:textAlignment w:val="center"/>
              <w:rPr>
                <w:rFonts w:ascii="宋体" w:hAnsi="宋体" w:eastAsia="宋体" w:cs="Times New Roman"/>
                <w:color w:val="auto"/>
                <w:lang w:bidi="ar"/>
              </w:rPr>
            </w:pPr>
            <w:r>
              <w:rPr>
                <w:rFonts w:ascii="宋体" w:hAnsi="宋体" w:eastAsia="宋体" w:cs="Times New Roman"/>
                <w:color w:val="auto"/>
                <w:lang w:bidi="ar"/>
              </w:rPr>
              <w:t>211</w:t>
            </w:r>
          </w:p>
        </w:tc>
        <w:tc>
          <w:tcPr>
            <w:tcW w:w="911" w:type="dxa"/>
            <w:tcBorders>
              <w:tl2br w:val="nil"/>
              <w:tr2bl w:val="nil"/>
            </w:tcBorders>
            <w:vAlign w:val="center"/>
          </w:tcPr>
          <w:p w14:paraId="61C4C545">
            <w:pPr>
              <w:jc w:val="center"/>
              <w:textAlignment w:val="center"/>
              <w:rPr>
                <w:rFonts w:ascii="宋体" w:hAnsi="宋体" w:eastAsia="宋体" w:cs="Times New Roman"/>
                <w:color w:val="auto"/>
                <w:lang w:bidi="ar"/>
              </w:rPr>
            </w:pPr>
            <w:r>
              <w:rPr>
                <w:rFonts w:ascii="宋体" w:hAnsi="宋体" w:eastAsia="宋体" w:cs="Times New Roman"/>
                <w:color w:val="auto"/>
                <w:lang w:bidi="ar"/>
              </w:rPr>
              <w:t>149</w:t>
            </w:r>
          </w:p>
        </w:tc>
        <w:tc>
          <w:tcPr>
            <w:tcW w:w="735" w:type="dxa"/>
            <w:tcBorders>
              <w:tl2br w:val="nil"/>
              <w:tr2bl w:val="nil"/>
            </w:tcBorders>
            <w:vAlign w:val="center"/>
          </w:tcPr>
          <w:p w14:paraId="54D0DF6D">
            <w:pPr>
              <w:jc w:val="center"/>
              <w:textAlignment w:val="center"/>
              <w:rPr>
                <w:rFonts w:ascii="宋体" w:hAnsi="宋体" w:eastAsia="宋体" w:cs="Times New Roman"/>
                <w:color w:val="auto"/>
              </w:rPr>
            </w:pPr>
            <w:r>
              <w:rPr>
                <w:rFonts w:ascii="宋体" w:hAnsi="宋体" w:eastAsia="宋体" w:cs="Times New Roman"/>
                <w:color w:val="auto"/>
              </w:rPr>
              <w:t>-</w:t>
            </w:r>
          </w:p>
        </w:tc>
      </w:tr>
      <w:tr w14:paraId="436F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795C0CF3">
            <w:pPr>
              <w:jc w:val="center"/>
              <w:textAlignment w:val="center"/>
              <w:rPr>
                <w:rFonts w:ascii="宋体" w:hAnsi="宋体" w:eastAsia="宋体" w:cs="Times New Roman"/>
                <w:color w:val="auto"/>
              </w:rPr>
            </w:pPr>
            <w:r>
              <w:rPr>
                <w:rFonts w:ascii="宋体" w:hAnsi="宋体" w:eastAsia="宋体" w:cs="Times New Roman"/>
                <w:color w:val="auto"/>
                <w:lang w:bidi="ar"/>
              </w:rPr>
              <w:t>CO</w:t>
            </w:r>
            <w:r>
              <w:rPr>
                <w:rFonts w:ascii="宋体" w:hAnsi="宋体" w:eastAsia="宋体" w:cs="Times New Roman"/>
                <w:color w:val="auto"/>
                <w:vertAlign w:val="subscript"/>
                <w:lang w:bidi="ar"/>
              </w:rPr>
              <w:t>3</w:t>
            </w:r>
            <w:r>
              <w:rPr>
                <w:rFonts w:ascii="宋体" w:hAnsi="宋体" w:eastAsia="宋体" w:cs="Times New Roman"/>
                <w:color w:val="auto"/>
                <w:vertAlign w:val="superscript"/>
                <w:lang w:bidi="ar"/>
              </w:rPr>
              <w:t>2-</w:t>
            </w:r>
          </w:p>
        </w:tc>
        <w:tc>
          <w:tcPr>
            <w:tcW w:w="908" w:type="dxa"/>
            <w:tcBorders>
              <w:tl2br w:val="nil"/>
              <w:tr2bl w:val="nil"/>
            </w:tcBorders>
            <w:vAlign w:val="center"/>
          </w:tcPr>
          <w:p w14:paraId="5B69B518">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08" w:type="dxa"/>
            <w:tcBorders>
              <w:tl2br w:val="nil"/>
              <w:tr2bl w:val="nil"/>
            </w:tcBorders>
            <w:vAlign w:val="center"/>
          </w:tcPr>
          <w:p w14:paraId="01554C70">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08" w:type="dxa"/>
            <w:tcBorders>
              <w:tl2br w:val="nil"/>
              <w:tr2bl w:val="nil"/>
            </w:tcBorders>
            <w:vAlign w:val="center"/>
          </w:tcPr>
          <w:p w14:paraId="40621BAF">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08" w:type="dxa"/>
            <w:tcBorders>
              <w:tl2br w:val="nil"/>
              <w:tr2bl w:val="nil"/>
            </w:tcBorders>
            <w:vAlign w:val="center"/>
          </w:tcPr>
          <w:p w14:paraId="0ECCEEDB">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08" w:type="dxa"/>
            <w:tcBorders>
              <w:tl2br w:val="nil"/>
              <w:tr2bl w:val="nil"/>
            </w:tcBorders>
            <w:vAlign w:val="center"/>
          </w:tcPr>
          <w:p w14:paraId="66F4042C">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08" w:type="dxa"/>
            <w:tcBorders>
              <w:tl2br w:val="nil"/>
              <w:tr2bl w:val="nil"/>
            </w:tcBorders>
            <w:vAlign w:val="center"/>
          </w:tcPr>
          <w:p w14:paraId="3A510A2A">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08" w:type="dxa"/>
            <w:tcBorders>
              <w:tl2br w:val="nil"/>
              <w:tr2bl w:val="nil"/>
            </w:tcBorders>
            <w:vAlign w:val="center"/>
          </w:tcPr>
          <w:p w14:paraId="51FFC29A">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911" w:type="dxa"/>
            <w:tcBorders>
              <w:tl2br w:val="nil"/>
              <w:tr2bl w:val="nil"/>
            </w:tcBorders>
            <w:vAlign w:val="center"/>
          </w:tcPr>
          <w:p w14:paraId="5BD96383">
            <w:pPr>
              <w:jc w:val="center"/>
              <w:textAlignment w:val="center"/>
              <w:rPr>
                <w:rFonts w:ascii="宋体" w:hAnsi="宋体" w:eastAsia="宋体" w:cs="Times New Roman"/>
                <w:color w:val="auto"/>
                <w:lang w:bidi="ar"/>
              </w:rPr>
            </w:pPr>
            <w:r>
              <w:rPr>
                <w:rFonts w:ascii="宋体" w:hAnsi="宋体" w:eastAsia="宋体" w:cs="Times New Roman"/>
                <w:color w:val="auto"/>
                <w:lang w:bidi="ar"/>
              </w:rPr>
              <w:t>5L</w:t>
            </w:r>
          </w:p>
        </w:tc>
        <w:tc>
          <w:tcPr>
            <w:tcW w:w="735" w:type="dxa"/>
            <w:tcBorders>
              <w:tl2br w:val="nil"/>
              <w:tr2bl w:val="nil"/>
            </w:tcBorders>
            <w:vAlign w:val="center"/>
          </w:tcPr>
          <w:p w14:paraId="3DCB8310">
            <w:pPr>
              <w:jc w:val="center"/>
              <w:textAlignment w:val="center"/>
              <w:rPr>
                <w:rFonts w:ascii="宋体" w:hAnsi="宋体" w:eastAsia="宋体" w:cs="Times New Roman"/>
                <w:color w:val="auto"/>
              </w:rPr>
            </w:pPr>
            <w:r>
              <w:rPr>
                <w:rFonts w:ascii="宋体" w:hAnsi="宋体" w:eastAsia="宋体" w:cs="Times New Roman"/>
                <w:color w:val="auto"/>
              </w:rPr>
              <w:t>-</w:t>
            </w:r>
          </w:p>
        </w:tc>
      </w:tr>
      <w:tr w14:paraId="583E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352E6EF8">
            <w:pPr>
              <w:jc w:val="center"/>
              <w:textAlignment w:val="center"/>
              <w:rPr>
                <w:rFonts w:ascii="宋体" w:hAnsi="宋体" w:eastAsia="宋体" w:cs="Times New Roman"/>
                <w:color w:val="auto"/>
              </w:rPr>
            </w:pPr>
            <w:r>
              <w:rPr>
                <w:rFonts w:ascii="宋体" w:hAnsi="宋体" w:eastAsia="宋体" w:cs="Times New Roman"/>
                <w:color w:val="auto"/>
                <w:lang w:bidi="ar"/>
              </w:rPr>
              <w:t>Cl</w:t>
            </w:r>
            <w:r>
              <w:rPr>
                <w:rFonts w:ascii="宋体" w:hAnsi="宋体" w:eastAsia="宋体" w:cs="Times New Roman"/>
                <w:color w:val="auto"/>
                <w:vertAlign w:val="superscript"/>
                <w:lang w:bidi="ar"/>
              </w:rPr>
              <w:t>-</w:t>
            </w:r>
          </w:p>
        </w:tc>
        <w:tc>
          <w:tcPr>
            <w:tcW w:w="908" w:type="dxa"/>
            <w:tcBorders>
              <w:tl2br w:val="nil"/>
              <w:tr2bl w:val="nil"/>
            </w:tcBorders>
            <w:vAlign w:val="center"/>
          </w:tcPr>
          <w:p w14:paraId="5163F4C3">
            <w:pPr>
              <w:jc w:val="center"/>
              <w:textAlignment w:val="center"/>
              <w:rPr>
                <w:rFonts w:ascii="宋体" w:hAnsi="宋体" w:eastAsia="宋体" w:cs="Times New Roman"/>
                <w:color w:val="auto"/>
                <w:lang w:bidi="ar"/>
              </w:rPr>
            </w:pPr>
            <w:r>
              <w:rPr>
                <w:rFonts w:ascii="宋体" w:hAnsi="宋体" w:eastAsia="宋体" w:cs="Times New Roman"/>
                <w:color w:val="auto"/>
                <w:lang w:bidi="ar"/>
              </w:rPr>
              <w:t>40</w:t>
            </w:r>
          </w:p>
        </w:tc>
        <w:tc>
          <w:tcPr>
            <w:tcW w:w="908" w:type="dxa"/>
            <w:tcBorders>
              <w:tl2br w:val="nil"/>
              <w:tr2bl w:val="nil"/>
            </w:tcBorders>
            <w:vAlign w:val="center"/>
          </w:tcPr>
          <w:p w14:paraId="02B1C06C">
            <w:pPr>
              <w:jc w:val="center"/>
              <w:textAlignment w:val="center"/>
              <w:rPr>
                <w:rFonts w:ascii="宋体" w:hAnsi="宋体" w:eastAsia="宋体" w:cs="Times New Roman"/>
                <w:color w:val="auto"/>
                <w:lang w:bidi="ar"/>
              </w:rPr>
            </w:pPr>
            <w:r>
              <w:rPr>
                <w:rFonts w:ascii="宋体" w:hAnsi="宋体" w:eastAsia="宋体" w:cs="Times New Roman"/>
                <w:color w:val="auto"/>
                <w:lang w:bidi="ar"/>
              </w:rPr>
              <w:t>51</w:t>
            </w:r>
          </w:p>
        </w:tc>
        <w:tc>
          <w:tcPr>
            <w:tcW w:w="908" w:type="dxa"/>
            <w:tcBorders>
              <w:tl2br w:val="nil"/>
              <w:tr2bl w:val="nil"/>
            </w:tcBorders>
            <w:vAlign w:val="center"/>
          </w:tcPr>
          <w:p w14:paraId="782FB211">
            <w:pPr>
              <w:jc w:val="center"/>
              <w:textAlignment w:val="center"/>
              <w:rPr>
                <w:rFonts w:ascii="宋体" w:hAnsi="宋体" w:eastAsia="宋体" w:cs="Times New Roman"/>
                <w:color w:val="auto"/>
                <w:lang w:bidi="ar"/>
              </w:rPr>
            </w:pPr>
            <w:r>
              <w:rPr>
                <w:rFonts w:ascii="宋体" w:hAnsi="宋体" w:eastAsia="宋体" w:cs="Times New Roman"/>
                <w:color w:val="auto"/>
                <w:lang w:bidi="ar"/>
              </w:rPr>
              <w:t>43</w:t>
            </w:r>
          </w:p>
        </w:tc>
        <w:tc>
          <w:tcPr>
            <w:tcW w:w="908" w:type="dxa"/>
            <w:tcBorders>
              <w:tl2br w:val="nil"/>
              <w:tr2bl w:val="nil"/>
            </w:tcBorders>
            <w:vAlign w:val="center"/>
          </w:tcPr>
          <w:p w14:paraId="58CF3747">
            <w:pPr>
              <w:jc w:val="center"/>
              <w:textAlignment w:val="center"/>
              <w:rPr>
                <w:rFonts w:ascii="宋体" w:hAnsi="宋体" w:eastAsia="宋体" w:cs="Times New Roman"/>
                <w:color w:val="auto"/>
                <w:lang w:bidi="ar"/>
              </w:rPr>
            </w:pPr>
            <w:r>
              <w:rPr>
                <w:rFonts w:ascii="宋体" w:hAnsi="宋体" w:eastAsia="宋体" w:cs="Times New Roman"/>
                <w:color w:val="auto"/>
                <w:lang w:bidi="ar"/>
              </w:rPr>
              <w:t>48</w:t>
            </w:r>
          </w:p>
        </w:tc>
        <w:tc>
          <w:tcPr>
            <w:tcW w:w="908" w:type="dxa"/>
            <w:tcBorders>
              <w:tl2br w:val="nil"/>
              <w:tr2bl w:val="nil"/>
            </w:tcBorders>
            <w:vAlign w:val="center"/>
          </w:tcPr>
          <w:p w14:paraId="20888E5D">
            <w:pPr>
              <w:jc w:val="center"/>
              <w:textAlignment w:val="center"/>
              <w:rPr>
                <w:rFonts w:ascii="宋体" w:hAnsi="宋体" w:eastAsia="宋体" w:cs="Times New Roman"/>
                <w:color w:val="auto"/>
                <w:lang w:bidi="ar"/>
              </w:rPr>
            </w:pPr>
            <w:r>
              <w:rPr>
                <w:rFonts w:ascii="宋体" w:hAnsi="宋体" w:eastAsia="宋体" w:cs="Times New Roman"/>
                <w:color w:val="auto"/>
                <w:lang w:bidi="ar"/>
              </w:rPr>
              <w:t>36</w:t>
            </w:r>
          </w:p>
        </w:tc>
        <w:tc>
          <w:tcPr>
            <w:tcW w:w="908" w:type="dxa"/>
            <w:tcBorders>
              <w:tl2br w:val="nil"/>
              <w:tr2bl w:val="nil"/>
            </w:tcBorders>
            <w:vAlign w:val="center"/>
          </w:tcPr>
          <w:p w14:paraId="31CA4B05">
            <w:pPr>
              <w:jc w:val="center"/>
              <w:textAlignment w:val="center"/>
              <w:rPr>
                <w:rFonts w:ascii="宋体" w:hAnsi="宋体" w:eastAsia="宋体" w:cs="Times New Roman"/>
                <w:color w:val="auto"/>
                <w:lang w:bidi="ar"/>
              </w:rPr>
            </w:pPr>
            <w:r>
              <w:rPr>
                <w:rFonts w:ascii="宋体" w:hAnsi="宋体" w:eastAsia="宋体" w:cs="Times New Roman"/>
                <w:color w:val="auto"/>
                <w:lang w:bidi="ar"/>
              </w:rPr>
              <w:t>31</w:t>
            </w:r>
          </w:p>
        </w:tc>
        <w:tc>
          <w:tcPr>
            <w:tcW w:w="908" w:type="dxa"/>
            <w:tcBorders>
              <w:tl2br w:val="nil"/>
              <w:tr2bl w:val="nil"/>
            </w:tcBorders>
            <w:vAlign w:val="center"/>
          </w:tcPr>
          <w:p w14:paraId="38ACD25D">
            <w:pPr>
              <w:jc w:val="center"/>
              <w:textAlignment w:val="center"/>
              <w:rPr>
                <w:rFonts w:ascii="宋体" w:hAnsi="宋体" w:eastAsia="宋体" w:cs="Times New Roman"/>
                <w:color w:val="auto"/>
                <w:lang w:bidi="ar"/>
              </w:rPr>
            </w:pPr>
            <w:r>
              <w:rPr>
                <w:rFonts w:ascii="宋体" w:hAnsi="宋体" w:eastAsia="宋体" w:cs="Times New Roman"/>
                <w:color w:val="auto"/>
                <w:lang w:bidi="ar"/>
              </w:rPr>
              <w:t>49</w:t>
            </w:r>
          </w:p>
        </w:tc>
        <w:tc>
          <w:tcPr>
            <w:tcW w:w="911" w:type="dxa"/>
            <w:tcBorders>
              <w:tl2br w:val="nil"/>
              <w:tr2bl w:val="nil"/>
            </w:tcBorders>
            <w:vAlign w:val="center"/>
          </w:tcPr>
          <w:p w14:paraId="590F0191">
            <w:pPr>
              <w:jc w:val="center"/>
              <w:textAlignment w:val="center"/>
              <w:rPr>
                <w:rFonts w:ascii="宋体" w:hAnsi="宋体" w:eastAsia="宋体" w:cs="Times New Roman"/>
                <w:color w:val="auto"/>
                <w:lang w:bidi="ar"/>
              </w:rPr>
            </w:pPr>
            <w:r>
              <w:rPr>
                <w:rFonts w:ascii="宋体" w:hAnsi="宋体" w:eastAsia="宋体" w:cs="Times New Roman"/>
                <w:color w:val="auto"/>
                <w:lang w:bidi="ar"/>
              </w:rPr>
              <w:t>37</w:t>
            </w:r>
          </w:p>
        </w:tc>
        <w:tc>
          <w:tcPr>
            <w:tcW w:w="735" w:type="dxa"/>
            <w:tcBorders>
              <w:tl2br w:val="nil"/>
              <w:tr2bl w:val="nil"/>
            </w:tcBorders>
            <w:vAlign w:val="center"/>
          </w:tcPr>
          <w:p w14:paraId="2FBBF1F7">
            <w:pPr>
              <w:jc w:val="center"/>
              <w:textAlignment w:val="center"/>
              <w:rPr>
                <w:rFonts w:ascii="宋体" w:hAnsi="宋体" w:eastAsia="宋体" w:cs="Times New Roman"/>
                <w:color w:val="auto"/>
              </w:rPr>
            </w:pPr>
            <w:r>
              <w:rPr>
                <w:rFonts w:ascii="宋体" w:hAnsi="宋体" w:eastAsia="宋体" w:cs="Times New Roman"/>
                <w:color w:val="auto"/>
              </w:rPr>
              <w:t>≤250</w:t>
            </w:r>
          </w:p>
        </w:tc>
      </w:tr>
      <w:tr w14:paraId="79F4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6CD61CDB">
            <w:pPr>
              <w:jc w:val="center"/>
              <w:textAlignment w:val="center"/>
              <w:rPr>
                <w:rFonts w:ascii="宋体" w:hAnsi="宋体" w:eastAsia="宋体" w:cs="Times New Roman"/>
                <w:color w:val="auto"/>
              </w:rPr>
            </w:pPr>
            <w:r>
              <w:rPr>
                <w:rFonts w:ascii="宋体" w:hAnsi="宋体" w:eastAsia="宋体" w:cs="Times New Roman"/>
                <w:color w:val="auto"/>
                <w:lang w:bidi="ar"/>
              </w:rPr>
              <w:t>SO</w:t>
            </w:r>
            <w:r>
              <w:rPr>
                <w:rFonts w:ascii="宋体" w:hAnsi="宋体" w:eastAsia="宋体" w:cs="Times New Roman"/>
                <w:color w:val="auto"/>
                <w:vertAlign w:val="subscript"/>
                <w:lang w:bidi="ar"/>
              </w:rPr>
              <w:t>4</w:t>
            </w:r>
            <w:r>
              <w:rPr>
                <w:rFonts w:ascii="宋体" w:hAnsi="宋体" w:eastAsia="宋体" w:cs="Times New Roman"/>
                <w:color w:val="auto"/>
                <w:vertAlign w:val="superscript"/>
                <w:lang w:bidi="ar"/>
              </w:rPr>
              <w:t>2-</w:t>
            </w:r>
          </w:p>
        </w:tc>
        <w:tc>
          <w:tcPr>
            <w:tcW w:w="908" w:type="dxa"/>
            <w:tcBorders>
              <w:tl2br w:val="nil"/>
              <w:tr2bl w:val="nil"/>
            </w:tcBorders>
            <w:vAlign w:val="center"/>
          </w:tcPr>
          <w:p w14:paraId="6D1DF464">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38</w:t>
            </w:r>
          </w:p>
        </w:tc>
        <w:tc>
          <w:tcPr>
            <w:tcW w:w="908" w:type="dxa"/>
            <w:tcBorders>
              <w:tl2br w:val="nil"/>
              <w:tr2bl w:val="nil"/>
            </w:tcBorders>
            <w:vAlign w:val="center"/>
          </w:tcPr>
          <w:p w14:paraId="3135A3D4">
            <w:pPr>
              <w:jc w:val="center"/>
              <w:textAlignment w:val="center"/>
              <w:rPr>
                <w:rFonts w:ascii="宋体" w:hAnsi="宋体" w:eastAsia="宋体" w:cs="Times New Roman"/>
                <w:color w:val="auto"/>
                <w:lang w:bidi="ar"/>
              </w:rPr>
            </w:pPr>
            <w:r>
              <w:rPr>
                <w:rFonts w:ascii="宋体" w:hAnsi="宋体" w:eastAsia="宋体" w:cs="Times New Roman"/>
                <w:color w:val="auto"/>
                <w:lang w:bidi="ar"/>
              </w:rPr>
              <w:t>44</w:t>
            </w:r>
          </w:p>
        </w:tc>
        <w:tc>
          <w:tcPr>
            <w:tcW w:w="908" w:type="dxa"/>
            <w:tcBorders>
              <w:tl2br w:val="nil"/>
              <w:tr2bl w:val="nil"/>
            </w:tcBorders>
            <w:vAlign w:val="center"/>
          </w:tcPr>
          <w:p w14:paraId="71DACD76">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35</w:t>
            </w:r>
          </w:p>
        </w:tc>
        <w:tc>
          <w:tcPr>
            <w:tcW w:w="908" w:type="dxa"/>
            <w:tcBorders>
              <w:tl2br w:val="nil"/>
              <w:tr2bl w:val="nil"/>
            </w:tcBorders>
            <w:vAlign w:val="center"/>
          </w:tcPr>
          <w:p w14:paraId="720912B6">
            <w:pPr>
              <w:jc w:val="center"/>
              <w:textAlignment w:val="center"/>
              <w:rPr>
                <w:rFonts w:ascii="宋体" w:hAnsi="宋体" w:eastAsia="宋体" w:cs="Times New Roman"/>
                <w:color w:val="auto"/>
                <w:lang w:bidi="ar"/>
              </w:rPr>
            </w:pPr>
            <w:r>
              <w:rPr>
                <w:rFonts w:ascii="宋体" w:hAnsi="宋体" w:eastAsia="宋体" w:cs="Times New Roman"/>
                <w:color w:val="auto"/>
                <w:lang w:bidi="ar"/>
              </w:rPr>
              <w:t>33</w:t>
            </w:r>
          </w:p>
        </w:tc>
        <w:tc>
          <w:tcPr>
            <w:tcW w:w="908" w:type="dxa"/>
            <w:tcBorders>
              <w:tl2br w:val="nil"/>
              <w:tr2bl w:val="nil"/>
            </w:tcBorders>
            <w:vAlign w:val="center"/>
          </w:tcPr>
          <w:p w14:paraId="611FD138">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24</w:t>
            </w:r>
          </w:p>
        </w:tc>
        <w:tc>
          <w:tcPr>
            <w:tcW w:w="908" w:type="dxa"/>
            <w:tcBorders>
              <w:tl2br w:val="nil"/>
              <w:tr2bl w:val="nil"/>
            </w:tcBorders>
            <w:vAlign w:val="center"/>
          </w:tcPr>
          <w:p w14:paraId="1CAA29FD">
            <w:pPr>
              <w:jc w:val="center"/>
              <w:textAlignment w:val="center"/>
              <w:rPr>
                <w:rFonts w:ascii="宋体" w:hAnsi="宋体" w:eastAsia="宋体" w:cs="Times New Roman"/>
                <w:color w:val="auto"/>
                <w:lang w:bidi="ar"/>
              </w:rPr>
            </w:pPr>
            <w:r>
              <w:rPr>
                <w:rFonts w:ascii="宋体" w:hAnsi="宋体" w:eastAsia="宋体" w:cs="Times New Roman"/>
                <w:color w:val="auto"/>
                <w:lang w:bidi="ar"/>
              </w:rPr>
              <w:t>28</w:t>
            </w:r>
          </w:p>
        </w:tc>
        <w:tc>
          <w:tcPr>
            <w:tcW w:w="908" w:type="dxa"/>
            <w:tcBorders>
              <w:tl2br w:val="nil"/>
              <w:tr2bl w:val="nil"/>
            </w:tcBorders>
            <w:vAlign w:val="center"/>
          </w:tcPr>
          <w:p w14:paraId="47197DD1">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36</w:t>
            </w:r>
          </w:p>
        </w:tc>
        <w:tc>
          <w:tcPr>
            <w:tcW w:w="911" w:type="dxa"/>
            <w:tcBorders>
              <w:tl2br w:val="nil"/>
              <w:tr2bl w:val="nil"/>
            </w:tcBorders>
            <w:vAlign w:val="center"/>
          </w:tcPr>
          <w:p w14:paraId="37FC8987">
            <w:pPr>
              <w:jc w:val="center"/>
              <w:textAlignment w:val="center"/>
              <w:rPr>
                <w:rFonts w:ascii="宋体" w:hAnsi="宋体" w:eastAsia="宋体" w:cs="Times New Roman"/>
                <w:color w:val="auto"/>
                <w:lang w:val="zh-CN" w:bidi="ar"/>
              </w:rPr>
            </w:pPr>
            <w:r>
              <w:rPr>
                <w:rFonts w:ascii="宋体" w:hAnsi="宋体" w:eastAsia="宋体" w:cs="Times New Roman"/>
                <w:color w:val="auto"/>
                <w:lang w:bidi="ar"/>
              </w:rPr>
              <w:t>28</w:t>
            </w:r>
          </w:p>
        </w:tc>
        <w:tc>
          <w:tcPr>
            <w:tcW w:w="735" w:type="dxa"/>
            <w:tcBorders>
              <w:tl2br w:val="nil"/>
              <w:tr2bl w:val="nil"/>
            </w:tcBorders>
            <w:vAlign w:val="center"/>
          </w:tcPr>
          <w:p w14:paraId="6E34C845">
            <w:pPr>
              <w:jc w:val="center"/>
              <w:textAlignment w:val="center"/>
              <w:rPr>
                <w:rFonts w:ascii="宋体" w:hAnsi="宋体" w:eastAsia="宋体" w:cs="Times New Roman"/>
                <w:color w:val="auto"/>
              </w:rPr>
            </w:pPr>
            <w:r>
              <w:rPr>
                <w:rFonts w:ascii="宋体" w:hAnsi="宋体" w:eastAsia="宋体" w:cs="Times New Roman"/>
                <w:color w:val="auto"/>
              </w:rPr>
              <w:t>≤250</w:t>
            </w:r>
          </w:p>
        </w:tc>
      </w:tr>
      <w:tr w14:paraId="35E6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212A4517">
            <w:pPr>
              <w:jc w:val="center"/>
              <w:textAlignment w:val="center"/>
              <w:rPr>
                <w:rFonts w:ascii="宋体" w:hAnsi="宋体" w:eastAsia="宋体" w:cs="Times New Roman"/>
                <w:color w:val="auto"/>
              </w:rPr>
            </w:pPr>
            <w:r>
              <w:rPr>
                <w:rFonts w:ascii="宋体" w:hAnsi="宋体" w:eastAsia="宋体" w:cs="Times New Roman"/>
                <w:color w:val="auto"/>
              </w:rPr>
              <w:t>pH</w:t>
            </w:r>
          </w:p>
        </w:tc>
        <w:tc>
          <w:tcPr>
            <w:tcW w:w="908" w:type="dxa"/>
            <w:tcBorders>
              <w:tl2br w:val="nil"/>
              <w:tr2bl w:val="nil"/>
            </w:tcBorders>
            <w:vAlign w:val="center"/>
          </w:tcPr>
          <w:p w14:paraId="6DA94D4F">
            <w:pPr>
              <w:jc w:val="center"/>
              <w:textAlignment w:val="center"/>
              <w:rPr>
                <w:rFonts w:ascii="宋体" w:hAnsi="宋体" w:eastAsia="宋体" w:cs="Times New Roman"/>
                <w:color w:val="auto"/>
                <w:lang w:bidi="ar"/>
              </w:rPr>
            </w:pPr>
            <w:r>
              <w:rPr>
                <w:rFonts w:ascii="宋体" w:hAnsi="宋体" w:eastAsia="宋体" w:cs="Times New Roman"/>
                <w:color w:val="auto"/>
                <w:lang w:bidi="ar"/>
              </w:rPr>
              <w:t>7.8</w:t>
            </w:r>
          </w:p>
        </w:tc>
        <w:tc>
          <w:tcPr>
            <w:tcW w:w="908" w:type="dxa"/>
            <w:tcBorders>
              <w:tl2br w:val="nil"/>
              <w:tr2bl w:val="nil"/>
            </w:tcBorders>
            <w:vAlign w:val="center"/>
          </w:tcPr>
          <w:p w14:paraId="1307B442">
            <w:pPr>
              <w:jc w:val="center"/>
              <w:textAlignment w:val="center"/>
              <w:rPr>
                <w:rFonts w:ascii="宋体" w:hAnsi="宋体" w:eastAsia="宋体" w:cs="Times New Roman"/>
                <w:color w:val="auto"/>
                <w:lang w:bidi="ar"/>
              </w:rPr>
            </w:pPr>
            <w:r>
              <w:rPr>
                <w:rFonts w:ascii="宋体" w:hAnsi="宋体" w:eastAsia="宋体" w:cs="Times New Roman"/>
                <w:color w:val="auto"/>
                <w:lang w:bidi="ar"/>
              </w:rPr>
              <w:t>7.6</w:t>
            </w:r>
          </w:p>
        </w:tc>
        <w:tc>
          <w:tcPr>
            <w:tcW w:w="908" w:type="dxa"/>
            <w:tcBorders>
              <w:tl2br w:val="nil"/>
              <w:tr2bl w:val="nil"/>
            </w:tcBorders>
            <w:vAlign w:val="center"/>
          </w:tcPr>
          <w:p w14:paraId="299AF276">
            <w:pPr>
              <w:jc w:val="center"/>
              <w:textAlignment w:val="center"/>
              <w:rPr>
                <w:rFonts w:ascii="宋体" w:hAnsi="宋体" w:eastAsia="宋体" w:cs="Times New Roman"/>
                <w:color w:val="auto"/>
                <w:lang w:bidi="ar"/>
              </w:rPr>
            </w:pPr>
            <w:r>
              <w:rPr>
                <w:rFonts w:ascii="宋体" w:hAnsi="宋体" w:eastAsia="宋体" w:cs="Times New Roman"/>
                <w:color w:val="auto"/>
                <w:lang w:bidi="ar"/>
              </w:rPr>
              <w:t>7.7</w:t>
            </w:r>
          </w:p>
        </w:tc>
        <w:tc>
          <w:tcPr>
            <w:tcW w:w="908" w:type="dxa"/>
            <w:tcBorders>
              <w:tl2br w:val="nil"/>
              <w:tr2bl w:val="nil"/>
            </w:tcBorders>
            <w:vAlign w:val="center"/>
          </w:tcPr>
          <w:p w14:paraId="38547255">
            <w:pPr>
              <w:jc w:val="center"/>
              <w:textAlignment w:val="center"/>
              <w:rPr>
                <w:rFonts w:ascii="宋体" w:hAnsi="宋体" w:eastAsia="宋体" w:cs="Times New Roman"/>
                <w:color w:val="auto"/>
                <w:lang w:bidi="ar"/>
              </w:rPr>
            </w:pPr>
            <w:r>
              <w:rPr>
                <w:rFonts w:ascii="宋体" w:hAnsi="宋体" w:eastAsia="宋体" w:cs="Times New Roman"/>
                <w:color w:val="auto"/>
                <w:lang w:bidi="ar"/>
              </w:rPr>
              <w:t>7.6</w:t>
            </w:r>
          </w:p>
        </w:tc>
        <w:tc>
          <w:tcPr>
            <w:tcW w:w="908" w:type="dxa"/>
            <w:tcBorders>
              <w:tl2br w:val="nil"/>
              <w:tr2bl w:val="nil"/>
            </w:tcBorders>
            <w:vAlign w:val="center"/>
          </w:tcPr>
          <w:p w14:paraId="1AB2FC13">
            <w:pPr>
              <w:jc w:val="center"/>
              <w:textAlignment w:val="center"/>
              <w:rPr>
                <w:rFonts w:ascii="宋体" w:hAnsi="宋体" w:eastAsia="宋体" w:cs="Times New Roman"/>
                <w:color w:val="auto"/>
                <w:lang w:bidi="ar"/>
              </w:rPr>
            </w:pPr>
            <w:r>
              <w:rPr>
                <w:rFonts w:ascii="宋体" w:hAnsi="宋体" w:eastAsia="宋体" w:cs="Times New Roman"/>
                <w:color w:val="auto"/>
                <w:lang w:bidi="ar"/>
              </w:rPr>
              <w:t>7.5</w:t>
            </w:r>
          </w:p>
        </w:tc>
        <w:tc>
          <w:tcPr>
            <w:tcW w:w="908" w:type="dxa"/>
            <w:tcBorders>
              <w:tl2br w:val="nil"/>
              <w:tr2bl w:val="nil"/>
            </w:tcBorders>
            <w:vAlign w:val="center"/>
          </w:tcPr>
          <w:p w14:paraId="5F7D2C88">
            <w:pPr>
              <w:jc w:val="center"/>
              <w:textAlignment w:val="center"/>
              <w:rPr>
                <w:rFonts w:ascii="宋体" w:hAnsi="宋体" w:eastAsia="宋体" w:cs="Times New Roman"/>
                <w:color w:val="auto"/>
                <w:lang w:bidi="ar"/>
              </w:rPr>
            </w:pPr>
            <w:r>
              <w:rPr>
                <w:rFonts w:ascii="宋体" w:hAnsi="宋体" w:eastAsia="宋体" w:cs="Times New Roman"/>
                <w:color w:val="auto"/>
                <w:lang w:bidi="ar"/>
              </w:rPr>
              <w:t>7.6</w:t>
            </w:r>
          </w:p>
        </w:tc>
        <w:tc>
          <w:tcPr>
            <w:tcW w:w="908" w:type="dxa"/>
            <w:tcBorders>
              <w:tl2br w:val="nil"/>
              <w:tr2bl w:val="nil"/>
            </w:tcBorders>
            <w:vAlign w:val="center"/>
          </w:tcPr>
          <w:p w14:paraId="6022501F">
            <w:pPr>
              <w:jc w:val="center"/>
              <w:textAlignment w:val="center"/>
              <w:rPr>
                <w:rFonts w:ascii="宋体" w:hAnsi="宋体" w:eastAsia="宋体" w:cs="Times New Roman"/>
                <w:color w:val="auto"/>
                <w:lang w:bidi="ar"/>
              </w:rPr>
            </w:pPr>
            <w:r>
              <w:rPr>
                <w:rFonts w:ascii="宋体" w:hAnsi="宋体" w:eastAsia="宋体" w:cs="Times New Roman"/>
                <w:color w:val="auto"/>
                <w:lang w:bidi="ar"/>
              </w:rPr>
              <w:t>7.7</w:t>
            </w:r>
          </w:p>
        </w:tc>
        <w:tc>
          <w:tcPr>
            <w:tcW w:w="911" w:type="dxa"/>
            <w:tcBorders>
              <w:tl2br w:val="nil"/>
              <w:tr2bl w:val="nil"/>
            </w:tcBorders>
            <w:vAlign w:val="center"/>
          </w:tcPr>
          <w:p w14:paraId="1F6892A0">
            <w:pPr>
              <w:jc w:val="center"/>
              <w:textAlignment w:val="center"/>
              <w:rPr>
                <w:rFonts w:ascii="宋体" w:hAnsi="宋体" w:eastAsia="宋体" w:cs="Times New Roman"/>
                <w:color w:val="auto"/>
                <w:lang w:bidi="ar"/>
              </w:rPr>
            </w:pPr>
            <w:r>
              <w:rPr>
                <w:rFonts w:ascii="宋体" w:hAnsi="宋体" w:eastAsia="宋体" w:cs="Times New Roman"/>
                <w:color w:val="auto"/>
                <w:lang w:bidi="ar"/>
              </w:rPr>
              <w:t>7.5</w:t>
            </w:r>
          </w:p>
        </w:tc>
        <w:tc>
          <w:tcPr>
            <w:tcW w:w="735" w:type="dxa"/>
            <w:tcBorders>
              <w:tl2br w:val="nil"/>
              <w:tr2bl w:val="nil"/>
            </w:tcBorders>
            <w:vAlign w:val="center"/>
          </w:tcPr>
          <w:p w14:paraId="09CDC40B">
            <w:pPr>
              <w:jc w:val="center"/>
              <w:textAlignment w:val="center"/>
              <w:rPr>
                <w:rFonts w:ascii="宋体" w:hAnsi="宋体" w:eastAsia="宋体" w:cs="Times New Roman"/>
                <w:color w:val="auto"/>
              </w:rPr>
            </w:pPr>
            <w:r>
              <w:rPr>
                <w:rFonts w:ascii="宋体" w:hAnsi="宋体" w:eastAsia="宋体" w:cs="Times New Roman"/>
                <w:color w:val="auto"/>
              </w:rPr>
              <w:t>6.5～8.5</w:t>
            </w:r>
          </w:p>
        </w:tc>
      </w:tr>
      <w:tr w14:paraId="0C19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687510A3">
            <w:pPr>
              <w:jc w:val="center"/>
              <w:textAlignment w:val="center"/>
              <w:rPr>
                <w:rFonts w:ascii="宋体" w:hAnsi="宋体" w:eastAsia="宋体" w:cs="Times New Roman"/>
                <w:color w:val="auto"/>
              </w:rPr>
            </w:pPr>
            <w:r>
              <w:rPr>
                <w:rFonts w:ascii="宋体" w:hAnsi="宋体" w:eastAsia="宋体" w:cs="Times New Roman"/>
                <w:color w:val="auto"/>
              </w:rPr>
              <w:t>总硬度（以CaCO</w:t>
            </w:r>
            <w:r>
              <w:rPr>
                <w:rFonts w:ascii="宋体" w:hAnsi="宋体" w:eastAsia="宋体" w:cs="Times New Roman"/>
                <w:color w:val="auto"/>
                <w:vertAlign w:val="subscript"/>
              </w:rPr>
              <w:t>3</w:t>
            </w:r>
            <w:r>
              <w:rPr>
                <w:rFonts w:ascii="宋体" w:hAnsi="宋体" w:eastAsia="宋体" w:cs="Times New Roman"/>
                <w:color w:val="auto"/>
              </w:rPr>
              <w:t>计）</w:t>
            </w:r>
          </w:p>
        </w:tc>
        <w:tc>
          <w:tcPr>
            <w:tcW w:w="908" w:type="dxa"/>
            <w:tcBorders>
              <w:tl2br w:val="nil"/>
              <w:tr2bl w:val="nil"/>
            </w:tcBorders>
            <w:vAlign w:val="center"/>
          </w:tcPr>
          <w:p w14:paraId="6E0C2344">
            <w:pPr>
              <w:jc w:val="center"/>
              <w:textAlignment w:val="center"/>
              <w:rPr>
                <w:rFonts w:ascii="宋体" w:hAnsi="宋体" w:eastAsia="宋体" w:cs="Times New Roman"/>
                <w:color w:val="auto"/>
                <w:lang w:bidi="ar"/>
              </w:rPr>
            </w:pPr>
            <w:r>
              <w:rPr>
                <w:rFonts w:ascii="宋体" w:hAnsi="宋体" w:eastAsia="宋体" w:cs="Times New Roman"/>
                <w:color w:val="auto"/>
                <w:lang w:bidi="ar"/>
              </w:rPr>
              <w:t>140</w:t>
            </w:r>
          </w:p>
        </w:tc>
        <w:tc>
          <w:tcPr>
            <w:tcW w:w="908" w:type="dxa"/>
            <w:tcBorders>
              <w:tl2br w:val="nil"/>
              <w:tr2bl w:val="nil"/>
            </w:tcBorders>
            <w:vAlign w:val="center"/>
          </w:tcPr>
          <w:p w14:paraId="62B1D0AD">
            <w:pPr>
              <w:jc w:val="center"/>
              <w:textAlignment w:val="center"/>
              <w:rPr>
                <w:rFonts w:ascii="宋体" w:hAnsi="宋体" w:eastAsia="宋体" w:cs="Times New Roman"/>
                <w:color w:val="auto"/>
                <w:lang w:bidi="ar"/>
              </w:rPr>
            </w:pPr>
            <w:r>
              <w:rPr>
                <w:rFonts w:ascii="宋体" w:hAnsi="宋体" w:eastAsia="宋体" w:cs="Times New Roman"/>
                <w:color w:val="auto"/>
                <w:lang w:bidi="ar"/>
              </w:rPr>
              <w:t>177</w:t>
            </w:r>
          </w:p>
        </w:tc>
        <w:tc>
          <w:tcPr>
            <w:tcW w:w="908" w:type="dxa"/>
            <w:tcBorders>
              <w:tl2br w:val="nil"/>
              <w:tr2bl w:val="nil"/>
            </w:tcBorders>
            <w:vAlign w:val="center"/>
          </w:tcPr>
          <w:p w14:paraId="5A9F691E">
            <w:pPr>
              <w:jc w:val="center"/>
              <w:textAlignment w:val="center"/>
              <w:rPr>
                <w:rFonts w:ascii="宋体" w:hAnsi="宋体" w:eastAsia="宋体" w:cs="Times New Roman"/>
                <w:color w:val="auto"/>
                <w:lang w:bidi="ar"/>
              </w:rPr>
            </w:pPr>
            <w:r>
              <w:rPr>
                <w:rFonts w:ascii="宋体" w:hAnsi="宋体" w:eastAsia="宋体" w:cs="Times New Roman"/>
                <w:color w:val="auto"/>
                <w:lang w:bidi="ar"/>
              </w:rPr>
              <w:t>164</w:t>
            </w:r>
          </w:p>
        </w:tc>
        <w:tc>
          <w:tcPr>
            <w:tcW w:w="908" w:type="dxa"/>
            <w:tcBorders>
              <w:tl2br w:val="nil"/>
              <w:tr2bl w:val="nil"/>
            </w:tcBorders>
            <w:vAlign w:val="center"/>
          </w:tcPr>
          <w:p w14:paraId="30908FCC">
            <w:pPr>
              <w:jc w:val="center"/>
              <w:textAlignment w:val="center"/>
              <w:rPr>
                <w:rFonts w:ascii="宋体" w:hAnsi="宋体" w:eastAsia="宋体" w:cs="Times New Roman"/>
                <w:color w:val="auto"/>
                <w:lang w:bidi="ar"/>
              </w:rPr>
            </w:pPr>
            <w:r>
              <w:rPr>
                <w:rFonts w:ascii="宋体" w:hAnsi="宋体" w:eastAsia="宋体" w:cs="Times New Roman"/>
                <w:color w:val="auto"/>
                <w:lang w:bidi="ar"/>
              </w:rPr>
              <w:t>142</w:t>
            </w:r>
          </w:p>
        </w:tc>
        <w:tc>
          <w:tcPr>
            <w:tcW w:w="908" w:type="dxa"/>
            <w:tcBorders>
              <w:tl2br w:val="nil"/>
              <w:tr2bl w:val="nil"/>
            </w:tcBorders>
            <w:vAlign w:val="center"/>
          </w:tcPr>
          <w:p w14:paraId="34E94E2A">
            <w:pPr>
              <w:jc w:val="center"/>
              <w:textAlignment w:val="center"/>
              <w:rPr>
                <w:rFonts w:ascii="宋体" w:hAnsi="宋体" w:eastAsia="宋体" w:cs="Times New Roman"/>
                <w:color w:val="auto"/>
                <w:lang w:bidi="ar"/>
              </w:rPr>
            </w:pPr>
            <w:r>
              <w:rPr>
                <w:rFonts w:ascii="宋体" w:hAnsi="宋体" w:eastAsia="宋体" w:cs="Times New Roman"/>
                <w:color w:val="auto"/>
                <w:lang w:bidi="ar"/>
              </w:rPr>
              <w:t>115</w:t>
            </w:r>
          </w:p>
        </w:tc>
        <w:tc>
          <w:tcPr>
            <w:tcW w:w="908" w:type="dxa"/>
            <w:tcBorders>
              <w:tl2br w:val="nil"/>
              <w:tr2bl w:val="nil"/>
            </w:tcBorders>
            <w:vAlign w:val="center"/>
          </w:tcPr>
          <w:p w14:paraId="75687EEA">
            <w:pPr>
              <w:jc w:val="center"/>
              <w:textAlignment w:val="center"/>
              <w:rPr>
                <w:rFonts w:ascii="宋体" w:hAnsi="宋体" w:eastAsia="宋体" w:cs="Times New Roman"/>
                <w:color w:val="auto"/>
                <w:lang w:bidi="ar"/>
              </w:rPr>
            </w:pPr>
            <w:r>
              <w:rPr>
                <w:rFonts w:ascii="宋体" w:hAnsi="宋体" w:eastAsia="宋体" w:cs="Times New Roman"/>
                <w:color w:val="auto"/>
                <w:lang w:bidi="ar"/>
              </w:rPr>
              <w:t>105</w:t>
            </w:r>
          </w:p>
        </w:tc>
        <w:tc>
          <w:tcPr>
            <w:tcW w:w="908" w:type="dxa"/>
            <w:tcBorders>
              <w:tl2br w:val="nil"/>
              <w:tr2bl w:val="nil"/>
            </w:tcBorders>
            <w:vAlign w:val="center"/>
          </w:tcPr>
          <w:p w14:paraId="44D9D929">
            <w:pPr>
              <w:jc w:val="center"/>
              <w:textAlignment w:val="center"/>
              <w:rPr>
                <w:rFonts w:ascii="宋体" w:hAnsi="宋体" w:eastAsia="宋体" w:cs="Times New Roman"/>
                <w:color w:val="auto"/>
                <w:lang w:bidi="ar"/>
              </w:rPr>
            </w:pPr>
            <w:r>
              <w:rPr>
                <w:rFonts w:ascii="宋体" w:hAnsi="宋体" w:eastAsia="宋体" w:cs="Times New Roman"/>
                <w:color w:val="auto"/>
                <w:lang w:bidi="ar"/>
              </w:rPr>
              <w:t>158</w:t>
            </w:r>
          </w:p>
        </w:tc>
        <w:tc>
          <w:tcPr>
            <w:tcW w:w="911" w:type="dxa"/>
            <w:tcBorders>
              <w:tl2br w:val="nil"/>
              <w:tr2bl w:val="nil"/>
            </w:tcBorders>
            <w:vAlign w:val="center"/>
          </w:tcPr>
          <w:p w14:paraId="746CC100">
            <w:pPr>
              <w:jc w:val="center"/>
              <w:textAlignment w:val="center"/>
              <w:rPr>
                <w:rFonts w:ascii="宋体" w:hAnsi="宋体" w:eastAsia="宋体" w:cs="Times New Roman"/>
                <w:color w:val="auto"/>
                <w:lang w:bidi="ar"/>
              </w:rPr>
            </w:pPr>
            <w:r>
              <w:rPr>
                <w:rFonts w:ascii="宋体" w:hAnsi="宋体" w:eastAsia="宋体" w:cs="Times New Roman"/>
                <w:color w:val="auto"/>
                <w:lang w:bidi="ar"/>
              </w:rPr>
              <w:t>102</w:t>
            </w:r>
          </w:p>
        </w:tc>
        <w:tc>
          <w:tcPr>
            <w:tcW w:w="735" w:type="dxa"/>
            <w:tcBorders>
              <w:tl2br w:val="nil"/>
              <w:tr2bl w:val="nil"/>
            </w:tcBorders>
            <w:vAlign w:val="center"/>
          </w:tcPr>
          <w:p w14:paraId="0B35054E">
            <w:pPr>
              <w:jc w:val="center"/>
              <w:textAlignment w:val="center"/>
              <w:rPr>
                <w:rFonts w:ascii="宋体" w:hAnsi="宋体" w:eastAsia="宋体" w:cs="Times New Roman"/>
                <w:color w:val="auto"/>
                <w:lang w:val="en-GB"/>
              </w:rPr>
            </w:pPr>
            <w:r>
              <w:rPr>
                <w:rFonts w:ascii="宋体" w:hAnsi="宋体" w:eastAsia="宋体" w:cs="Times New Roman"/>
                <w:color w:val="auto"/>
                <w:lang w:val="en-GB"/>
              </w:rPr>
              <w:t>≤450</w:t>
            </w:r>
          </w:p>
        </w:tc>
      </w:tr>
      <w:tr w14:paraId="1E20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3D25EB95">
            <w:pPr>
              <w:jc w:val="center"/>
              <w:textAlignment w:val="center"/>
              <w:rPr>
                <w:rFonts w:ascii="宋体" w:hAnsi="宋体" w:eastAsia="宋体" w:cs="Times New Roman"/>
                <w:color w:val="auto"/>
              </w:rPr>
            </w:pPr>
            <w:r>
              <w:rPr>
                <w:rFonts w:ascii="宋体" w:hAnsi="宋体" w:eastAsia="宋体" w:cs="Times New Roman"/>
                <w:color w:val="auto"/>
              </w:rPr>
              <w:t>溶解性总固体</w:t>
            </w:r>
          </w:p>
        </w:tc>
        <w:tc>
          <w:tcPr>
            <w:tcW w:w="908" w:type="dxa"/>
            <w:tcBorders>
              <w:tl2br w:val="nil"/>
              <w:tr2bl w:val="nil"/>
            </w:tcBorders>
            <w:vAlign w:val="center"/>
          </w:tcPr>
          <w:p w14:paraId="72CB7CEE">
            <w:pPr>
              <w:jc w:val="center"/>
              <w:textAlignment w:val="center"/>
              <w:rPr>
                <w:rFonts w:ascii="宋体" w:hAnsi="宋体" w:eastAsia="宋体" w:cs="Times New Roman"/>
                <w:color w:val="auto"/>
                <w:lang w:bidi="ar"/>
              </w:rPr>
            </w:pPr>
            <w:r>
              <w:rPr>
                <w:rFonts w:ascii="宋体" w:hAnsi="宋体" w:eastAsia="宋体" w:cs="Times New Roman"/>
                <w:color w:val="auto"/>
                <w:lang w:bidi="ar"/>
              </w:rPr>
              <w:t>460</w:t>
            </w:r>
          </w:p>
        </w:tc>
        <w:tc>
          <w:tcPr>
            <w:tcW w:w="908" w:type="dxa"/>
            <w:tcBorders>
              <w:tl2br w:val="nil"/>
              <w:tr2bl w:val="nil"/>
            </w:tcBorders>
            <w:vAlign w:val="center"/>
          </w:tcPr>
          <w:p w14:paraId="0384B372">
            <w:pPr>
              <w:jc w:val="center"/>
              <w:textAlignment w:val="center"/>
              <w:rPr>
                <w:rFonts w:ascii="宋体" w:hAnsi="宋体" w:eastAsia="宋体" w:cs="Times New Roman"/>
                <w:color w:val="auto"/>
                <w:lang w:bidi="ar"/>
              </w:rPr>
            </w:pPr>
            <w:r>
              <w:rPr>
                <w:rFonts w:ascii="宋体" w:hAnsi="宋体" w:eastAsia="宋体" w:cs="Times New Roman"/>
                <w:color w:val="auto"/>
                <w:lang w:bidi="ar"/>
              </w:rPr>
              <w:t>553</w:t>
            </w:r>
          </w:p>
        </w:tc>
        <w:tc>
          <w:tcPr>
            <w:tcW w:w="908" w:type="dxa"/>
            <w:tcBorders>
              <w:tl2br w:val="nil"/>
              <w:tr2bl w:val="nil"/>
            </w:tcBorders>
            <w:vAlign w:val="center"/>
          </w:tcPr>
          <w:p w14:paraId="14E4CEFE">
            <w:pPr>
              <w:jc w:val="center"/>
              <w:textAlignment w:val="center"/>
              <w:rPr>
                <w:rFonts w:ascii="宋体" w:hAnsi="宋体" w:eastAsia="宋体" w:cs="Times New Roman"/>
                <w:color w:val="auto"/>
                <w:lang w:bidi="ar"/>
              </w:rPr>
            </w:pPr>
            <w:r>
              <w:rPr>
                <w:rFonts w:ascii="宋体" w:hAnsi="宋体" w:eastAsia="宋体" w:cs="Times New Roman"/>
                <w:color w:val="auto"/>
                <w:lang w:bidi="ar"/>
              </w:rPr>
              <w:t>503</w:t>
            </w:r>
          </w:p>
        </w:tc>
        <w:tc>
          <w:tcPr>
            <w:tcW w:w="908" w:type="dxa"/>
            <w:tcBorders>
              <w:tl2br w:val="nil"/>
              <w:tr2bl w:val="nil"/>
            </w:tcBorders>
            <w:vAlign w:val="center"/>
          </w:tcPr>
          <w:p w14:paraId="28E5B10E">
            <w:pPr>
              <w:jc w:val="center"/>
              <w:textAlignment w:val="center"/>
              <w:rPr>
                <w:rFonts w:ascii="宋体" w:hAnsi="宋体" w:eastAsia="宋体" w:cs="Times New Roman"/>
                <w:color w:val="auto"/>
                <w:lang w:bidi="ar"/>
              </w:rPr>
            </w:pPr>
            <w:r>
              <w:rPr>
                <w:rFonts w:ascii="宋体" w:hAnsi="宋体" w:eastAsia="宋体" w:cs="Times New Roman"/>
                <w:color w:val="auto"/>
                <w:lang w:bidi="ar"/>
              </w:rPr>
              <w:t>464</w:t>
            </w:r>
          </w:p>
        </w:tc>
        <w:tc>
          <w:tcPr>
            <w:tcW w:w="908" w:type="dxa"/>
            <w:tcBorders>
              <w:tl2br w:val="nil"/>
              <w:tr2bl w:val="nil"/>
            </w:tcBorders>
            <w:vAlign w:val="center"/>
          </w:tcPr>
          <w:p w14:paraId="0EC62434">
            <w:pPr>
              <w:jc w:val="center"/>
              <w:textAlignment w:val="center"/>
              <w:rPr>
                <w:rFonts w:ascii="宋体" w:hAnsi="宋体" w:eastAsia="宋体" w:cs="Times New Roman"/>
                <w:color w:val="auto"/>
                <w:lang w:bidi="ar"/>
              </w:rPr>
            </w:pPr>
            <w:r>
              <w:rPr>
                <w:rFonts w:ascii="宋体" w:hAnsi="宋体" w:eastAsia="宋体" w:cs="Times New Roman"/>
                <w:color w:val="auto"/>
                <w:lang w:bidi="ar"/>
              </w:rPr>
              <w:t>365</w:t>
            </w:r>
          </w:p>
        </w:tc>
        <w:tc>
          <w:tcPr>
            <w:tcW w:w="908" w:type="dxa"/>
            <w:tcBorders>
              <w:tl2br w:val="nil"/>
              <w:tr2bl w:val="nil"/>
            </w:tcBorders>
            <w:vAlign w:val="center"/>
          </w:tcPr>
          <w:p w14:paraId="6267A89E">
            <w:pPr>
              <w:jc w:val="center"/>
              <w:textAlignment w:val="center"/>
              <w:rPr>
                <w:rFonts w:ascii="宋体" w:hAnsi="宋体" w:eastAsia="宋体" w:cs="Times New Roman"/>
                <w:color w:val="auto"/>
                <w:lang w:bidi="ar"/>
              </w:rPr>
            </w:pPr>
            <w:r>
              <w:rPr>
                <w:rFonts w:ascii="宋体" w:hAnsi="宋体" w:eastAsia="宋体" w:cs="Times New Roman"/>
                <w:color w:val="auto"/>
                <w:lang w:bidi="ar"/>
              </w:rPr>
              <w:t>354</w:t>
            </w:r>
          </w:p>
        </w:tc>
        <w:tc>
          <w:tcPr>
            <w:tcW w:w="908" w:type="dxa"/>
            <w:tcBorders>
              <w:tl2br w:val="nil"/>
              <w:tr2bl w:val="nil"/>
            </w:tcBorders>
            <w:vAlign w:val="center"/>
          </w:tcPr>
          <w:p w14:paraId="3DBCAB69">
            <w:pPr>
              <w:jc w:val="center"/>
              <w:textAlignment w:val="center"/>
              <w:rPr>
                <w:rFonts w:ascii="宋体" w:hAnsi="宋体" w:eastAsia="宋体" w:cs="Times New Roman"/>
                <w:color w:val="auto"/>
                <w:lang w:bidi="ar"/>
              </w:rPr>
            </w:pPr>
            <w:r>
              <w:rPr>
                <w:rFonts w:ascii="宋体" w:hAnsi="宋体" w:eastAsia="宋体" w:cs="Times New Roman"/>
                <w:color w:val="auto"/>
                <w:lang w:bidi="ar"/>
              </w:rPr>
              <w:t>490</w:t>
            </w:r>
          </w:p>
        </w:tc>
        <w:tc>
          <w:tcPr>
            <w:tcW w:w="911" w:type="dxa"/>
            <w:tcBorders>
              <w:tl2br w:val="nil"/>
              <w:tr2bl w:val="nil"/>
            </w:tcBorders>
            <w:vAlign w:val="center"/>
          </w:tcPr>
          <w:p w14:paraId="0A08B836">
            <w:pPr>
              <w:jc w:val="center"/>
              <w:textAlignment w:val="center"/>
              <w:rPr>
                <w:rFonts w:ascii="宋体" w:hAnsi="宋体" w:eastAsia="宋体" w:cs="Times New Roman"/>
                <w:color w:val="auto"/>
                <w:lang w:bidi="ar"/>
              </w:rPr>
            </w:pPr>
            <w:r>
              <w:rPr>
                <w:rFonts w:ascii="宋体" w:hAnsi="宋体" w:eastAsia="宋体" w:cs="Times New Roman"/>
                <w:color w:val="auto"/>
                <w:lang w:bidi="ar"/>
              </w:rPr>
              <w:t>344</w:t>
            </w:r>
          </w:p>
        </w:tc>
        <w:tc>
          <w:tcPr>
            <w:tcW w:w="735" w:type="dxa"/>
            <w:tcBorders>
              <w:tl2br w:val="nil"/>
              <w:tr2bl w:val="nil"/>
            </w:tcBorders>
            <w:vAlign w:val="center"/>
          </w:tcPr>
          <w:p w14:paraId="0B8F93A9">
            <w:pPr>
              <w:jc w:val="center"/>
              <w:textAlignment w:val="center"/>
              <w:rPr>
                <w:rFonts w:ascii="宋体" w:hAnsi="宋体" w:eastAsia="宋体" w:cs="Times New Roman"/>
                <w:color w:val="auto"/>
              </w:rPr>
            </w:pPr>
            <w:r>
              <w:rPr>
                <w:rFonts w:ascii="宋体" w:hAnsi="宋体" w:eastAsia="宋体" w:cs="Times New Roman"/>
                <w:color w:val="auto"/>
              </w:rPr>
              <w:t>≤1000</w:t>
            </w:r>
          </w:p>
        </w:tc>
      </w:tr>
      <w:tr w14:paraId="0A19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5F431D3D">
            <w:pPr>
              <w:jc w:val="center"/>
              <w:textAlignment w:val="center"/>
              <w:rPr>
                <w:rFonts w:ascii="宋体" w:hAnsi="宋体" w:eastAsia="宋体" w:cs="Times New Roman"/>
                <w:color w:val="auto"/>
              </w:rPr>
            </w:pPr>
            <w:r>
              <w:rPr>
                <w:rFonts w:ascii="宋体" w:hAnsi="宋体" w:eastAsia="宋体" w:cs="Times New Roman"/>
                <w:color w:val="auto"/>
              </w:rPr>
              <w:t>耗氧量(COD</w:t>
            </w:r>
            <w:r>
              <w:rPr>
                <w:rFonts w:ascii="宋体" w:hAnsi="宋体" w:eastAsia="宋体" w:cs="Times New Roman"/>
                <w:color w:val="auto"/>
                <w:vertAlign w:val="subscript"/>
              </w:rPr>
              <w:t>Mn</w:t>
            </w:r>
            <w:r>
              <w:rPr>
                <w:rFonts w:ascii="宋体" w:hAnsi="宋体" w:eastAsia="宋体" w:cs="Times New Roman"/>
                <w:color w:val="auto"/>
              </w:rPr>
              <w:t>法，以O</w:t>
            </w:r>
            <w:r>
              <w:rPr>
                <w:rFonts w:ascii="宋体" w:hAnsi="宋体" w:eastAsia="宋体" w:cs="Times New Roman"/>
                <w:color w:val="auto"/>
                <w:vertAlign w:val="subscript"/>
              </w:rPr>
              <w:t>2</w:t>
            </w:r>
            <w:r>
              <w:rPr>
                <w:rFonts w:ascii="宋体" w:hAnsi="宋体" w:eastAsia="宋体" w:cs="Times New Roman"/>
                <w:color w:val="auto"/>
              </w:rPr>
              <w:t>计)</w:t>
            </w:r>
          </w:p>
        </w:tc>
        <w:tc>
          <w:tcPr>
            <w:tcW w:w="908" w:type="dxa"/>
            <w:tcBorders>
              <w:tl2br w:val="nil"/>
              <w:tr2bl w:val="nil"/>
            </w:tcBorders>
            <w:vAlign w:val="center"/>
          </w:tcPr>
          <w:p w14:paraId="2CC5A14D">
            <w:pPr>
              <w:jc w:val="center"/>
              <w:textAlignment w:val="center"/>
              <w:rPr>
                <w:rFonts w:ascii="宋体" w:hAnsi="宋体" w:eastAsia="宋体" w:cs="Times New Roman"/>
                <w:color w:val="auto"/>
                <w:lang w:bidi="ar"/>
              </w:rPr>
            </w:pPr>
            <w:r>
              <w:rPr>
                <w:rFonts w:ascii="宋体" w:hAnsi="宋体" w:eastAsia="宋体" w:cs="Times New Roman"/>
                <w:color w:val="auto"/>
                <w:lang w:bidi="ar"/>
              </w:rPr>
              <w:t>1.9</w:t>
            </w:r>
          </w:p>
        </w:tc>
        <w:tc>
          <w:tcPr>
            <w:tcW w:w="908" w:type="dxa"/>
            <w:tcBorders>
              <w:tl2br w:val="nil"/>
              <w:tr2bl w:val="nil"/>
            </w:tcBorders>
            <w:vAlign w:val="center"/>
          </w:tcPr>
          <w:p w14:paraId="34C9CF48">
            <w:pPr>
              <w:jc w:val="center"/>
              <w:textAlignment w:val="center"/>
              <w:rPr>
                <w:rFonts w:ascii="宋体" w:hAnsi="宋体" w:eastAsia="宋体" w:cs="Times New Roman"/>
                <w:color w:val="auto"/>
                <w:lang w:bidi="ar"/>
              </w:rPr>
            </w:pPr>
            <w:r>
              <w:rPr>
                <w:rFonts w:ascii="宋体" w:hAnsi="宋体" w:eastAsia="宋体" w:cs="Times New Roman"/>
                <w:color w:val="auto"/>
                <w:lang w:bidi="ar"/>
              </w:rPr>
              <w:t>2.0</w:t>
            </w:r>
          </w:p>
        </w:tc>
        <w:tc>
          <w:tcPr>
            <w:tcW w:w="908" w:type="dxa"/>
            <w:tcBorders>
              <w:tl2br w:val="nil"/>
              <w:tr2bl w:val="nil"/>
            </w:tcBorders>
            <w:vAlign w:val="center"/>
          </w:tcPr>
          <w:p w14:paraId="3D21BB7F">
            <w:pPr>
              <w:jc w:val="center"/>
              <w:textAlignment w:val="center"/>
              <w:rPr>
                <w:rFonts w:ascii="宋体" w:hAnsi="宋体" w:eastAsia="宋体" w:cs="Times New Roman"/>
                <w:color w:val="auto"/>
                <w:lang w:bidi="ar"/>
              </w:rPr>
            </w:pPr>
            <w:r>
              <w:rPr>
                <w:rFonts w:ascii="宋体" w:hAnsi="宋体" w:eastAsia="宋体" w:cs="Times New Roman"/>
                <w:color w:val="auto"/>
                <w:lang w:bidi="ar"/>
              </w:rPr>
              <w:t>2.2</w:t>
            </w:r>
          </w:p>
        </w:tc>
        <w:tc>
          <w:tcPr>
            <w:tcW w:w="908" w:type="dxa"/>
            <w:tcBorders>
              <w:tl2br w:val="nil"/>
              <w:tr2bl w:val="nil"/>
            </w:tcBorders>
            <w:vAlign w:val="center"/>
          </w:tcPr>
          <w:p w14:paraId="5222D5C5">
            <w:pPr>
              <w:jc w:val="center"/>
              <w:textAlignment w:val="center"/>
              <w:rPr>
                <w:rFonts w:ascii="宋体" w:hAnsi="宋体" w:eastAsia="宋体" w:cs="Times New Roman"/>
                <w:color w:val="auto"/>
                <w:lang w:bidi="ar"/>
              </w:rPr>
            </w:pPr>
            <w:r>
              <w:rPr>
                <w:rFonts w:ascii="宋体" w:hAnsi="宋体" w:eastAsia="宋体" w:cs="Times New Roman"/>
                <w:color w:val="auto"/>
                <w:lang w:bidi="ar"/>
              </w:rPr>
              <w:t>1.9</w:t>
            </w:r>
          </w:p>
        </w:tc>
        <w:tc>
          <w:tcPr>
            <w:tcW w:w="908" w:type="dxa"/>
            <w:tcBorders>
              <w:tl2br w:val="nil"/>
              <w:tr2bl w:val="nil"/>
            </w:tcBorders>
            <w:vAlign w:val="center"/>
          </w:tcPr>
          <w:p w14:paraId="1D6FD038">
            <w:pPr>
              <w:jc w:val="center"/>
              <w:textAlignment w:val="center"/>
              <w:rPr>
                <w:rFonts w:ascii="宋体" w:hAnsi="宋体" w:eastAsia="宋体" w:cs="Times New Roman"/>
                <w:color w:val="auto"/>
                <w:lang w:bidi="ar"/>
              </w:rPr>
            </w:pPr>
            <w:r>
              <w:rPr>
                <w:rFonts w:ascii="宋体" w:hAnsi="宋体" w:eastAsia="宋体" w:cs="Times New Roman"/>
                <w:color w:val="auto"/>
                <w:lang w:bidi="ar"/>
              </w:rPr>
              <w:t>1.6</w:t>
            </w:r>
          </w:p>
        </w:tc>
        <w:tc>
          <w:tcPr>
            <w:tcW w:w="908" w:type="dxa"/>
            <w:tcBorders>
              <w:tl2br w:val="nil"/>
              <w:tr2bl w:val="nil"/>
            </w:tcBorders>
            <w:vAlign w:val="center"/>
          </w:tcPr>
          <w:p w14:paraId="6593AC2A">
            <w:pPr>
              <w:jc w:val="center"/>
              <w:textAlignment w:val="center"/>
              <w:rPr>
                <w:rFonts w:ascii="宋体" w:hAnsi="宋体" w:eastAsia="宋体" w:cs="Times New Roman"/>
                <w:color w:val="auto"/>
                <w:lang w:bidi="ar"/>
              </w:rPr>
            </w:pPr>
            <w:r>
              <w:rPr>
                <w:rFonts w:ascii="宋体" w:hAnsi="宋体" w:eastAsia="宋体" w:cs="Times New Roman"/>
                <w:color w:val="auto"/>
                <w:lang w:bidi="ar"/>
              </w:rPr>
              <w:t>1.8</w:t>
            </w:r>
          </w:p>
        </w:tc>
        <w:tc>
          <w:tcPr>
            <w:tcW w:w="908" w:type="dxa"/>
            <w:tcBorders>
              <w:tl2br w:val="nil"/>
              <w:tr2bl w:val="nil"/>
            </w:tcBorders>
            <w:vAlign w:val="center"/>
          </w:tcPr>
          <w:p w14:paraId="6D40AD75">
            <w:pPr>
              <w:jc w:val="center"/>
              <w:textAlignment w:val="center"/>
              <w:rPr>
                <w:rFonts w:ascii="宋体" w:hAnsi="宋体" w:eastAsia="宋体" w:cs="Times New Roman"/>
                <w:color w:val="auto"/>
                <w:lang w:bidi="ar"/>
              </w:rPr>
            </w:pPr>
            <w:r>
              <w:rPr>
                <w:rFonts w:ascii="宋体" w:hAnsi="宋体" w:eastAsia="宋体" w:cs="Times New Roman"/>
                <w:color w:val="auto"/>
                <w:lang w:bidi="ar"/>
              </w:rPr>
              <w:t>2.3</w:t>
            </w:r>
          </w:p>
        </w:tc>
        <w:tc>
          <w:tcPr>
            <w:tcW w:w="911" w:type="dxa"/>
            <w:tcBorders>
              <w:tl2br w:val="nil"/>
              <w:tr2bl w:val="nil"/>
            </w:tcBorders>
            <w:vAlign w:val="center"/>
          </w:tcPr>
          <w:p w14:paraId="654B586A">
            <w:pPr>
              <w:jc w:val="center"/>
              <w:textAlignment w:val="center"/>
              <w:rPr>
                <w:rFonts w:ascii="宋体" w:hAnsi="宋体" w:eastAsia="宋体" w:cs="Times New Roman"/>
                <w:color w:val="auto"/>
                <w:lang w:bidi="ar"/>
              </w:rPr>
            </w:pPr>
            <w:r>
              <w:rPr>
                <w:rFonts w:ascii="宋体" w:hAnsi="宋体" w:eastAsia="宋体" w:cs="Times New Roman"/>
                <w:color w:val="auto"/>
                <w:lang w:bidi="ar"/>
              </w:rPr>
              <w:t>1.6</w:t>
            </w:r>
          </w:p>
        </w:tc>
        <w:tc>
          <w:tcPr>
            <w:tcW w:w="735" w:type="dxa"/>
            <w:tcBorders>
              <w:tl2br w:val="nil"/>
              <w:tr2bl w:val="nil"/>
            </w:tcBorders>
            <w:vAlign w:val="center"/>
          </w:tcPr>
          <w:p w14:paraId="168BBE8A">
            <w:pPr>
              <w:jc w:val="center"/>
              <w:textAlignment w:val="center"/>
              <w:rPr>
                <w:rFonts w:ascii="宋体" w:hAnsi="宋体" w:eastAsia="宋体" w:cs="Times New Roman"/>
                <w:color w:val="auto"/>
                <w:lang w:val="en-GB"/>
              </w:rPr>
            </w:pPr>
            <w:r>
              <w:rPr>
                <w:rFonts w:ascii="宋体" w:hAnsi="宋体" w:eastAsia="宋体" w:cs="Times New Roman"/>
                <w:color w:val="auto"/>
                <w:lang w:val="en-GB"/>
              </w:rPr>
              <w:t>≤3.0</w:t>
            </w:r>
          </w:p>
        </w:tc>
      </w:tr>
      <w:tr w14:paraId="5CEF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0E7A1CE3">
            <w:pPr>
              <w:jc w:val="center"/>
              <w:textAlignment w:val="center"/>
              <w:rPr>
                <w:rFonts w:ascii="宋体" w:hAnsi="宋体" w:eastAsia="宋体" w:cs="Times New Roman"/>
                <w:color w:val="auto"/>
              </w:rPr>
            </w:pPr>
            <w:r>
              <w:rPr>
                <w:rFonts w:ascii="宋体" w:hAnsi="宋体" w:eastAsia="宋体" w:cs="Times New Roman"/>
                <w:color w:val="auto"/>
              </w:rPr>
              <w:t>挥发酚</w:t>
            </w:r>
          </w:p>
        </w:tc>
        <w:tc>
          <w:tcPr>
            <w:tcW w:w="908" w:type="dxa"/>
            <w:tcBorders>
              <w:tl2br w:val="nil"/>
              <w:tr2bl w:val="nil"/>
            </w:tcBorders>
            <w:vAlign w:val="center"/>
          </w:tcPr>
          <w:p w14:paraId="7DB2E4E9">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5304C48A">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78F4D2BF">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6345E9D0">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0C27B74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6AAF6CD8">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66EF87F0">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1" w:type="dxa"/>
            <w:tcBorders>
              <w:tl2br w:val="nil"/>
              <w:tr2bl w:val="nil"/>
            </w:tcBorders>
            <w:vAlign w:val="center"/>
          </w:tcPr>
          <w:p w14:paraId="0E3EEA7E">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735" w:type="dxa"/>
            <w:tcBorders>
              <w:tl2br w:val="nil"/>
              <w:tr2bl w:val="nil"/>
            </w:tcBorders>
            <w:vAlign w:val="center"/>
          </w:tcPr>
          <w:p w14:paraId="1EB69142">
            <w:pPr>
              <w:jc w:val="center"/>
              <w:textAlignment w:val="center"/>
              <w:rPr>
                <w:rFonts w:ascii="宋体" w:hAnsi="宋体" w:eastAsia="宋体" w:cs="Times New Roman"/>
                <w:color w:val="auto"/>
                <w:lang w:val="en-GB"/>
              </w:rPr>
            </w:pPr>
            <w:r>
              <w:rPr>
                <w:rFonts w:ascii="宋体" w:hAnsi="宋体" w:eastAsia="宋体" w:cs="Times New Roman"/>
                <w:color w:val="auto"/>
                <w:lang w:val="en-GB"/>
              </w:rPr>
              <w:t>≤0.002</w:t>
            </w:r>
          </w:p>
        </w:tc>
      </w:tr>
      <w:tr w14:paraId="11E6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639A76DE">
            <w:pPr>
              <w:jc w:val="center"/>
              <w:textAlignment w:val="center"/>
              <w:rPr>
                <w:rFonts w:ascii="宋体" w:hAnsi="宋体" w:eastAsia="宋体" w:cs="Times New Roman"/>
                <w:color w:val="auto"/>
              </w:rPr>
            </w:pPr>
            <w:r>
              <w:rPr>
                <w:rFonts w:ascii="宋体" w:hAnsi="宋体" w:eastAsia="宋体" w:cs="Times New Roman"/>
                <w:color w:val="auto"/>
              </w:rPr>
              <w:t>氰化物</w:t>
            </w:r>
          </w:p>
        </w:tc>
        <w:tc>
          <w:tcPr>
            <w:tcW w:w="908" w:type="dxa"/>
            <w:tcBorders>
              <w:tl2br w:val="nil"/>
              <w:tr2bl w:val="nil"/>
            </w:tcBorders>
            <w:vAlign w:val="center"/>
          </w:tcPr>
          <w:p w14:paraId="37CF1FA1">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08" w:type="dxa"/>
            <w:tcBorders>
              <w:tl2br w:val="nil"/>
              <w:tr2bl w:val="nil"/>
            </w:tcBorders>
            <w:vAlign w:val="center"/>
          </w:tcPr>
          <w:p w14:paraId="1FFD3C6E">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08" w:type="dxa"/>
            <w:tcBorders>
              <w:tl2br w:val="nil"/>
              <w:tr2bl w:val="nil"/>
            </w:tcBorders>
            <w:vAlign w:val="center"/>
          </w:tcPr>
          <w:p w14:paraId="510412BD">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08" w:type="dxa"/>
            <w:tcBorders>
              <w:tl2br w:val="nil"/>
              <w:tr2bl w:val="nil"/>
            </w:tcBorders>
            <w:vAlign w:val="center"/>
          </w:tcPr>
          <w:p w14:paraId="244FC124">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08" w:type="dxa"/>
            <w:tcBorders>
              <w:tl2br w:val="nil"/>
              <w:tr2bl w:val="nil"/>
            </w:tcBorders>
            <w:vAlign w:val="center"/>
          </w:tcPr>
          <w:p w14:paraId="22B14BCF">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08" w:type="dxa"/>
            <w:tcBorders>
              <w:tl2br w:val="nil"/>
              <w:tr2bl w:val="nil"/>
            </w:tcBorders>
            <w:vAlign w:val="center"/>
          </w:tcPr>
          <w:p w14:paraId="06B613DA">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08" w:type="dxa"/>
            <w:tcBorders>
              <w:tl2br w:val="nil"/>
              <w:tr2bl w:val="nil"/>
            </w:tcBorders>
            <w:vAlign w:val="center"/>
          </w:tcPr>
          <w:p w14:paraId="122448E5">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911" w:type="dxa"/>
            <w:tcBorders>
              <w:tl2br w:val="nil"/>
              <w:tr2bl w:val="nil"/>
            </w:tcBorders>
            <w:vAlign w:val="center"/>
          </w:tcPr>
          <w:p w14:paraId="150D4399">
            <w:pPr>
              <w:jc w:val="center"/>
              <w:textAlignment w:val="center"/>
              <w:rPr>
                <w:rFonts w:ascii="宋体" w:hAnsi="宋体" w:eastAsia="宋体" w:cs="Times New Roman"/>
                <w:color w:val="auto"/>
                <w:lang w:bidi="ar"/>
              </w:rPr>
            </w:pPr>
            <w:r>
              <w:rPr>
                <w:rFonts w:ascii="宋体" w:hAnsi="宋体" w:eastAsia="宋体" w:cs="Times New Roman"/>
                <w:color w:val="auto"/>
                <w:lang w:bidi="ar"/>
              </w:rPr>
              <w:t>0.002L</w:t>
            </w:r>
          </w:p>
        </w:tc>
        <w:tc>
          <w:tcPr>
            <w:tcW w:w="735" w:type="dxa"/>
            <w:tcBorders>
              <w:tl2br w:val="nil"/>
              <w:tr2bl w:val="nil"/>
            </w:tcBorders>
            <w:vAlign w:val="center"/>
          </w:tcPr>
          <w:p w14:paraId="38E70638">
            <w:pPr>
              <w:jc w:val="center"/>
              <w:textAlignment w:val="center"/>
              <w:rPr>
                <w:rFonts w:ascii="宋体" w:hAnsi="宋体" w:eastAsia="宋体" w:cs="Times New Roman"/>
                <w:color w:val="auto"/>
                <w:lang w:val="en-GB"/>
              </w:rPr>
            </w:pPr>
            <w:r>
              <w:rPr>
                <w:rFonts w:ascii="宋体" w:hAnsi="宋体" w:eastAsia="宋体" w:cs="Times New Roman"/>
                <w:color w:val="auto"/>
                <w:lang w:val="en-GB"/>
              </w:rPr>
              <w:t>≤0.05</w:t>
            </w:r>
          </w:p>
        </w:tc>
      </w:tr>
      <w:tr w14:paraId="7FA9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507D90FC">
            <w:pPr>
              <w:jc w:val="center"/>
              <w:textAlignment w:val="center"/>
              <w:rPr>
                <w:rFonts w:ascii="宋体" w:hAnsi="宋体" w:eastAsia="宋体" w:cs="Times New Roman"/>
                <w:color w:val="auto"/>
              </w:rPr>
            </w:pPr>
            <w:r>
              <w:rPr>
                <w:rFonts w:ascii="宋体" w:hAnsi="宋体" w:eastAsia="宋体" w:cs="Times New Roman"/>
                <w:color w:val="auto"/>
              </w:rPr>
              <w:t>氟化物</w:t>
            </w:r>
          </w:p>
        </w:tc>
        <w:tc>
          <w:tcPr>
            <w:tcW w:w="908" w:type="dxa"/>
            <w:tcBorders>
              <w:tl2br w:val="nil"/>
              <w:tr2bl w:val="nil"/>
            </w:tcBorders>
            <w:vAlign w:val="center"/>
          </w:tcPr>
          <w:p w14:paraId="7C300236">
            <w:pPr>
              <w:jc w:val="center"/>
              <w:textAlignment w:val="center"/>
              <w:rPr>
                <w:rFonts w:ascii="宋体" w:hAnsi="宋体" w:eastAsia="宋体" w:cs="Times New Roman"/>
                <w:color w:val="auto"/>
                <w:lang w:bidi="ar"/>
              </w:rPr>
            </w:pPr>
            <w:r>
              <w:rPr>
                <w:rFonts w:ascii="宋体" w:hAnsi="宋体" w:eastAsia="宋体" w:cs="Times New Roman"/>
                <w:color w:val="auto"/>
                <w:lang w:bidi="ar"/>
              </w:rPr>
              <w:t>0.37</w:t>
            </w:r>
          </w:p>
        </w:tc>
        <w:tc>
          <w:tcPr>
            <w:tcW w:w="908" w:type="dxa"/>
            <w:tcBorders>
              <w:tl2br w:val="nil"/>
              <w:tr2bl w:val="nil"/>
            </w:tcBorders>
            <w:vAlign w:val="center"/>
          </w:tcPr>
          <w:p w14:paraId="58D1DCAF">
            <w:pPr>
              <w:jc w:val="center"/>
              <w:textAlignment w:val="center"/>
              <w:rPr>
                <w:rFonts w:ascii="宋体" w:hAnsi="宋体" w:eastAsia="宋体" w:cs="Times New Roman"/>
                <w:color w:val="auto"/>
                <w:lang w:bidi="ar"/>
              </w:rPr>
            </w:pPr>
            <w:r>
              <w:rPr>
                <w:rFonts w:ascii="宋体" w:hAnsi="宋体" w:eastAsia="宋体" w:cs="Times New Roman"/>
                <w:color w:val="auto"/>
                <w:lang w:bidi="ar"/>
              </w:rPr>
              <w:t>0.31</w:t>
            </w:r>
          </w:p>
        </w:tc>
        <w:tc>
          <w:tcPr>
            <w:tcW w:w="908" w:type="dxa"/>
            <w:tcBorders>
              <w:tl2br w:val="nil"/>
              <w:tr2bl w:val="nil"/>
            </w:tcBorders>
            <w:vAlign w:val="center"/>
          </w:tcPr>
          <w:p w14:paraId="060C0436">
            <w:pPr>
              <w:jc w:val="center"/>
              <w:textAlignment w:val="center"/>
              <w:rPr>
                <w:rFonts w:ascii="宋体" w:hAnsi="宋体" w:eastAsia="宋体" w:cs="Times New Roman"/>
                <w:color w:val="auto"/>
                <w:lang w:bidi="ar"/>
              </w:rPr>
            </w:pPr>
            <w:r>
              <w:rPr>
                <w:rFonts w:ascii="宋体" w:hAnsi="宋体" w:eastAsia="宋体" w:cs="Times New Roman"/>
                <w:color w:val="auto"/>
                <w:lang w:bidi="ar"/>
              </w:rPr>
              <w:t>0.46</w:t>
            </w:r>
          </w:p>
        </w:tc>
        <w:tc>
          <w:tcPr>
            <w:tcW w:w="908" w:type="dxa"/>
            <w:tcBorders>
              <w:tl2br w:val="nil"/>
              <w:tr2bl w:val="nil"/>
            </w:tcBorders>
            <w:vAlign w:val="center"/>
          </w:tcPr>
          <w:p w14:paraId="160A4EE8">
            <w:pPr>
              <w:jc w:val="center"/>
              <w:textAlignment w:val="center"/>
              <w:rPr>
                <w:rFonts w:ascii="宋体" w:hAnsi="宋体" w:eastAsia="宋体" w:cs="Times New Roman"/>
                <w:color w:val="auto"/>
                <w:lang w:bidi="ar"/>
              </w:rPr>
            </w:pPr>
            <w:r>
              <w:rPr>
                <w:rFonts w:ascii="宋体" w:hAnsi="宋体" w:eastAsia="宋体" w:cs="Times New Roman"/>
                <w:color w:val="auto"/>
                <w:lang w:bidi="ar"/>
              </w:rPr>
              <w:t>0.39</w:t>
            </w:r>
          </w:p>
        </w:tc>
        <w:tc>
          <w:tcPr>
            <w:tcW w:w="908" w:type="dxa"/>
            <w:tcBorders>
              <w:tl2br w:val="nil"/>
              <w:tr2bl w:val="nil"/>
            </w:tcBorders>
            <w:vAlign w:val="center"/>
          </w:tcPr>
          <w:p w14:paraId="2481D21B">
            <w:pPr>
              <w:jc w:val="center"/>
              <w:textAlignment w:val="center"/>
              <w:rPr>
                <w:rFonts w:ascii="宋体" w:hAnsi="宋体" w:eastAsia="宋体" w:cs="Times New Roman"/>
                <w:color w:val="auto"/>
                <w:lang w:bidi="ar"/>
              </w:rPr>
            </w:pPr>
            <w:r>
              <w:rPr>
                <w:rFonts w:ascii="宋体" w:hAnsi="宋体" w:eastAsia="宋体" w:cs="Times New Roman"/>
                <w:color w:val="auto"/>
                <w:lang w:bidi="ar"/>
              </w:rPr>
              <w:t>0.24</w:t>
            </w:r>
          </w:p>
        </w:tc>
        <w:tc>
          <w:tcPr>
            <w:tcW w:w="908" w:type="dxa"/>
            <w:tcBorders>
              <w:tl2br w:val="nil"/>
              <w:tr2bl w:val="nil"/>
            </w:tcBorders>
            <w:vAlign w:val="center"/>
          </w:tcPr>
          <w:p w14:paraId="236615A6">
            <w:pPr>
              <w:jc w:val="center"/>
              <w:textAlignment w:val="center"/>
              <w:rPr>
                <w:rFonts w:ascii="宋体" w:hAnsi="宋体" w:eastAsia="宋体" w:cs="Times New Roman"/>
                <w:color w:val="auto"/>
                <w:lang w:bidi="ar"/>
              </w:rPr>
            </w:pPr>
            <w:r>
              <w:rPr>
                <w:rFonts w:ascii="宋体" w:hAnsi="宋体" w:eastAsia="宋体" w:cs="Times New Roman"/>
                <w:color w:val="auto"/>
                <w:lang w:bidi="ar"/>
              </w:rPr>
              <w:t>0.21</w:t>
            </w:r>
          </w:p>
        </w:tc>
        <w:tc>
          <w:tcPr>
            <w:tcW w:w="908" w:type="dxa"/>
            <w:tcBorders>
              <w:tl2br w:val="nil"/>
              <w:tr2bl w:val="nil"/>
            </w:tcBorders>
            <w:vAlign w:val="center"/>
          </w:tcPr>
          <w:p w14:paraId="1E5951DB">
            <w:pPr>
              <w:jc w:val="center"/>
              <w:textAlignment w:val="center"/>
              <w:rPr>
                <w:rFonts w:ascii="宋体" w:hAnsi="宋体" w:eastAsia="宋体" w:cs="Times New Roman"/>
                <w:color w:val="auto"/>
                <w:lang w:bidi="ar"/>
              </w:rPr>
            </w:pPr>
            <w:r>
              <w:rPr>
                <w:rFonts w:ascii="宋体" w:hAnsi="宋体" w:eastAsia="宋体" w:cs="Times New Roman"/>
                <w:color w:val="auto"/>
                <w:lang w:bidi="ar"/>
              </w:rPr>
              <w:t>0.48</w:t>
            </w:r>
          </w:p>
        </w:tc>
        <w:tc>
          <w:tcPr>
            <w:tcW w:w="911" w:type="dxa"/>
            <w:tcBorders>
              <w:tl2br w:val="nil"/>
              <w:tr2bl w:val="nil"/>
            </w:tcBorders>
            <w:vAlign w:val="center"/>
          </w:tcPr>
          <w:p w14:paraId="63A5FC26">
            <w:pPr>
              <w:jc w:val="center"/>
              <w:textAlignment w:val="center"/>
              <w:rPr>
                <w:rFonts w:ascii="宋体" w:hAnsi="宋体" w:eastAsia="宋体" w:cs="Times New Roman"/>
                <w:color w:val="auto"/>
                <w:lang w:bidi="ar"/>
              </w:rPr>
            </w:pPr>
            <w:r>
              <w:rPr>
                <w:rFonts w:ascii="宋体" w:hAnsi="宋体" w:eastAsia="宋体" w:cs="Times New Roman"/>
                <w:color w:val="auto"/>
                <w:lang w:bidi="ar"/>
              </w:rPr>
              <w:t>0.22</w:t>
            </w:r>
          </w:p>
        </w:tc>
        <w:tc>
          <w:tcPr>
            <w:tcW w:w="735" w:type="dxa"/>
            <w:tcBorders>
              <w:tl2br w:val="nil"/>
              <w:tr2bl w:val="nil"/>
            </w:tcBorders>
            <w:vAlign w:val="center"/>
          </w:tcPr>
          <w:p w14:paraId="71C7237B">
            <w:pPr>
              <w:jc w:val="center"/>
              <w:textAlignment w:val="center"/>
              <w:rPr>
                <w:rFonts w:ascii="宋体" w:hAnsi="宋体" w:eastAsia="宋体" w:cs="Times New Roman"/>
                <w:color w:val="auto"/>
                <w:lang w:val="en-GB"/>
              </w:rPr>
            </w:pPr>
            <w:r>
              <w:rPr>
                <w:rFonts w:ascii="宋体" w:hAnsi="宋体" w:eastAsia="宋体" w:cs="Times New Roman"/>
                <w:color w:val="auto"/>
                <w:lang w:val="en-GB"/>
              </w:rPr>
              <w:t>≤1.0</w:t>
            </w:r>
          </w:p>
        </w:tc>
      </w:tr>
      <w:tr w14:paraId="2634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142B4927">
            <w:pPr>
              <w:jc w:val="center"/>
              <w:textAlignment w:val="center"/>
              <w:rPr>
                <w:rFonts w:ascii="宋体" w:hAnsi="宋体" w:eastAsia="宋体" w:cs="Times New Roman"/>
                <w:color w:val="auto"/>
              </w:rPr>
            </w:pPr>
            <w:r>
              <w:rPr>
                <w:rFonts w:ascii="宋体" w:hAnsi="宋体" w:eastAsia="宋体" w:cs="Times New Roman"/>
                <w:color w:val="auto"/>
              </w:rPr>
              <w:t>硝酸盐(以N计)</w:t>
            </w:r>
          </w:p>
        </w:tc>
        <w:tc>
          <w:tcPr>
            <w:tcW w:w="908" w:type="dxa"/>
            <w:tcBorders>
              <w:tl2br w:val="nil"/>
              <w:tr2bl w:val="nil"/>
            </w:tcBorders>
            <w:vAlign w:val="center"/>
          </w:tcPr>
          <w:p w14:paraId="5BA219EF">
            <w:pPr>
              <w:jc w:val="center"/>
              <w:textAlignment w:val="center"/>
              <w:rPr>
                <w:rFonts w:ascii="宋体" w:hAnsi="宋体" w:eastAsia="宋体" w:cs="Times New Roman"/>
                <w:color w:val="auto"/>
                <w:lang w:bidi="ar"/>
              </w:rPr>
            </w:pPr>
            <w:r>
              <w:rPr>
                <w:rFonts w:ascii="宋体" w:hAnsi="宋体" w:eastAsia="宋体" w:cs="Times New Roman"/>
                <w:color w:val="auto"/>
                <w:lang w:bidi="ar"/>
              </w:rPr>
              <w:t>1.97</w:t>
            </w:r>
          </w:p>
        </w:tc>
        <w:tc>
          <w:tcPr>
            <w:tcW w:w="908" w:type="dxa"/>
            <w:tcBorders>
              <w:tl2br w:val="nil"/>
              <w:tr2bl w:val="nil"/>
            </w:tcBorders>
            <w:vAlign w:val="center"/>
          </w:tcPr>
          <w:p w14:paraId="74C9CB93">
            <w:pPr>
              <w:jc w:val="center"/>
              <w:textAlignment w:val="center"/>
              <w:rPr>
                <w:rFonts w:ascii="宋体" w:hAnsi="宋体" w:eastAsia="宋体" w:cs="Times New Roman"/>
                <w:color w:val="auto"/>
                <w:lang w:bidi="ar"/>
              </w:rPr>
            </w:pPr>
            <w:r>
              <w:rPr>
                <w:rFonts w:ascii="宋体" w:hAnsi="宋体" w:eastAsia="宋体" w:cs="Times New Roman"/>
                <w:color w:val="auto"/>
                <w:lang w:bidi="ar"/>
              </w:rPr>
              <w:t>2.01</w:t>
            </w:r>
          </w:p>
        </w:tc>
        <w:tc>
          <w:tcPr>
            <w:tcW w:w="908" w:type="dxa"/>
            <w:tcBorders>
              <w:tl2br w:val="nil"/>
              <w:tr2bl w:val="nil"/>
            </w:tcBorders>
            <w:vAlign w:val="center"/>
          </w:tcPr>
          <w:p w14:paraId="7C93B9DD">
            <w:pPr>
              <w:jc w:val="center"/>
              <w:textAlignment w:val="center"/>
              <w:rPr>
                <w:rFonts w:ascii="宋体" w:hAnsi="宋体" w:eastAsia="宋体" w:cs="Times New Roman"/>
                <w:color w:val="auto"/>
                <w:lang w:bidi="ar"/>
              </w:rPr>
            </w:pPr>
            <w:r>
              <w:rPr>
                <w:rFonts w:ascii="宋体" w:hAnsi="宋体" w:eastAsia="宋体" w:cs="Times New Roman"/>
                <w:color w:val="auto"/>
                <w:lang w:bidi="ar"/>
              </w:rPr>
              <w:t>2.32</w:t>
            </w:r>
          </w:p>
        </w:tc>
        <w:tc>
          <w:tcPr>
            <w:tcW w:w="908" w:type="dxa"/>
            <w:tcBorders>
              <w:tl2br w:val="nil"/>
              <w:tr2bl w:val="nil"/>
            </w:tcBorders>
            <w:vAlign w:val="center"/>
          </w:tcPr>
          <w:p w14:paraId="4A4E500A">
            <w:pPr>
              <w:jc w:val="center"/>
              <w:textAlignment w:val="center"/>
              <w:rPr>
                <w:rFonts w:ascii="宋体" w:hAnsi="宋体" w:eastAsia="宋体" w:cs="Times New Roman"/>
                <w:color w:val="auto"/>
                <w:lang w:bidi="ar"/>
              </w:rPr>
            </w:pPr>
            <w:r>
              <w:rPr>
                <w:rFonts w:ascii="宋体" w:hAnsi="宋体" w:eastAsia="宋体" w:cs="Times New Roman"/>
                <w:color w:val="auto"/>
                <w:lang w:bidi="ar"/>
              </w:rPr>
              <w:t>2.51</w:t>
            </w:r>
          </w:p>
        </w:tc>
        <w:tc>
          <w:tcPr>
            <w:tcW w:w="908" w:type="dxa"/>
            <w:tcBorders>
              <w:tl2br w:val="nil"/>
              <w:tr2bl w:val="nil"/>
            </w:tcBorders>
            <w:vAlign w:val="center"/>
          </w:tcPr>
          <w:p w14:paraId="39617A1B">
            <w:pPr>
              <w:jc w:val="center"/>
              <w:textAlignment w:val="center"/>
              <w:rPr>
                <w:rFonts w:ascii="宋体" w:hAnsi="宋体" w:eastAsia="宋体" w:cs="Times New Roman"/>
                <w:color w:val="auto"/>
                <w:lang w:bidi="ar"/>
              </w:rPr>
            </w:pPr>
            <w:r>
              <w:rPr>
                <w:rFonts w:ascii="宋体" w:hAnsi="宋体" w:eastAsia="宋体" w:cs="Times New Roman"/>
                <w:color w:val="auto"/>
                <w:lang w:bidi="ar"/>
              </w:rPr>
              <w:t>1.64</w:t>
            </w:r>
          </w:p>
        </w:tc>
        <w:tc>
          <w:tcPr>
            <w:tcW w:w="908" w:type="dxa"/>
            <w:tcBorders>
              <w:tl2br w:val="nil"/>
              <w:tr2bl w:val="nil"/>
            </w:tcBorders>
            <w:vAlign w:val="center"/>
          </w:tcPr>
          <w:p w14:paraId="6B963BEB">
            <w:pPr>
              <w:jc w:val="center"/>
              <w:textAlignment w:val="center"/>
              <w:rPr>
                <w:rFonts w:ascii="宋体" w:hAnsi="宋体" w:eastAsia="宋体" w:cs="Times New Roman"/>
                <w:color w:val="auto"/>
                <w:lang w:bidi="ar"/>
              </w:rPr>
            </w:pPr>
            <w:r>
              <w:rPr>
                <w:rFonts w:ascii="宋体" w:hAnsi="宋体" w:eastAsia="宋体" w:cs="Times New Roman"/>
                <w:color w:val="auto"/>
                <w:lang w:bidi="ar"/>
              </w:rPr>
              <w:t>1.56</w:t>
            </w:r>
          </w:p>
        </w:tc>
        <w:tc>
          <w:tcPr>
            <w:tcW w:w="908" w:type="dxa"/>
            <w:tcBorders>
              <w:tl2br w:val="nil"/>
              <w:tr2bl w:val="nil"/>
            </w:tcBorders>
            <w:vAlign w:val="center"/>
          </w:tcPr>
          <w:p w14:paraId="7D85859A">
            <w:pPr>
              <w:jc w:val="center"/>
              <w:textAlignment w:val="center"/>
              <w:rPr>
                <w:rFonts w:ascii="宋体" w:hAnsi="宋体" w:eastAsia="宋体" w:cs="Times New Roman"/>
                <w:color w:val="auto"/>
                <w:lang w:bidi="ar"/>
              </w:rPr>
            </w:pPr>
            <w:r>
              <w:rPr>
                <w:rFonts w:ascii="宋体" w:hAnsi="宋体" w:eastAsia="宋体" w:cs="Times New Roman"/>
                <w:color w:val="auto"/>
                <w:lang w:bidi="ar"/>
              </w:rPr>
              <w:t>2.18</w:t>
            </w:r>
          </w:p>
        </w:tc>
        <w:tc>
          <w:tcPr>
            <w:tcW w:w="911" w:type="dxa"/>
            <w:tcBorders>
              <w:tl2br w:val="nil"/>
              <w:tr2bl w:val="nil"/>
            </w:tcBorders>
            <w:vAlign w:val="center"/>
          </w:tcPr>
          <w:p w14:paraId="0663600E">
            <w:pPr>
              <w:jc w:val="center"/>
              <w:textAlignment w:val="center"/>
              <w:rPr>
                <w:rFonts w:ascii="宋体" w:hAnsi="宋体" w:eastAsia="宋体" w:cs="Times New Roman"/>
                <w:color w:val="auto"/>
                <w:lang w:bidi="ar"/>
              </w:rPr>
            </w:pPr>
            <w:r>
              <w:rPr>
                <w:rFonts w:ascii="宋体" w:hAnsi="宋体" w:eastAsia="宋体" w:cs="Times New Roman"/>
                <w:color w:val="auto"/>
                <w:lang w:bidi="ar"/>
              </w:rPr>
              <w:t>1.41</w:t>
            </w:r>
          </w:p>
        </w:tc>
        <w:tc>
          <w:tcPr>
            <w:tcW w:w="735" w:type="dxa"/>
            <w:tcBorders>
              <w:tl2br w:val="nil"/>
              <w:tr2bl w:val="nil"/>
            </w:tcBorders>
            <w:vAlign w:val="center"/>
          </w:tcPr>
          <w:p w14:paraId="2D68BD59">
            <w:pPr>
              <w:jc w:val="center"/>
              <w:textAlignment w:val="center"/>
              <w:rPr>
                <w:rFonts w:ascii="宋体" w:hAnsi="宋体" w:eastAsia="宋体" w:cs="Times New Roman"/>
                <w:color w:val="auto"/>
                <w:lang w:val="en-GB"/>
              </w:rPr>
            </w:pPr>
            <w:r>
              <w:rPr>
                <w:rFonts w:ascii="宋体" w:hAnsi="宋体" w:eastAsia="宋体" w:cs="Times New Roman"/>
                <w:color w:val="auto"/>
                <w:lang w:val="en-GB"/>
              </w:rPr>
              <w:t>≤20</w:t>
            </w:r>
          </w:p>
        </w:tc>
      </w:tr>
      <w:tr w14:paraId="55FF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51770172">
            <w:pPr>
              <w:jc w:val="center"/>
              <w:textAlignment w:val="center"/>
              <w:rPr>
                <w:rFonts w:ascii="宋体" w:hAnsi="宋体" w:eastAsia="宋体" w:cs="Times New Roman"/>
                <w:color w:val="auto"/>
              </w:rPr>
            </w:pPr>
            <w:r>
              <w:rPr>
                <w:rFonts w:ascii="宋体" w:hAnsi="宋体" w:eastAsia="宋体" w:cs="Times New Roman"/>
                <w:color w:val="auto"/>
              </w:rPr>
              <w:t>亚硝酸盐(以N计)</w:t>
            </w:r>
          </w:p>
        </w:tc>
        <w:tc>
          <w:tcPr>
            <w:tcW w:w="908" w:type="dxa"/>
            <w:tcBorders>
              <w:tl2br w:val="nil"/>
              <w:tr2bl w:val="nil"/>
            </w:tcBorders>
            <w:vAlign w:val="center"/>
          </w:tcPr>
          <w:p w14:paraId="5D7F47D5">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76F392EA">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7958015B">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4039050E">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6683D3CF">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6A61915A">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3C120BC7">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1" w:type="dxa"/>
            <w:tcBorders>
              <w:tl2br w:val="nil"/>
              <w:tr2bl w:val="nil"/>
            </w:tcBorders>
            <w:vAlign w:val="center"/>
          </w:tcPr>
          <w:p w14:paraId="1B5AA238">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735" w:type="dxa"/>
            <w:tcBorders>
              <w:tl2br w:val="nil"/>
              <w:tr2bl w:val="nil"/>
            </w:tcBorders>
            <w:vAlign w:val="center"/>
          </w:tcPr>
          <w:p w14:paraId="7F0DF869">
            <w:pPr>
              <w:jc w:val="center"/>
              <w:textAlignment w:val="center"/>
              <w:rPr>
                <w:rFonts w:ascii="宋体" w:hAnsi="宋体" w:eastAsia="宋体" w:cs="Times New Roman"/>
                <w:color w:val="auto"/>
              </w:rPr>
            </w:pPr>
            <w:r>
              <w:rPr>
                <w:rFonts w:ascii="宋体" w:hAnsi="宋体" w:eastAsia="宋体" w:cs="Times New Roman"/>
                <w:color w:val="auto"/>
              </w:rPr>
              <w:t>≤1.0</w:t>
            </w:r>
          </w:p>
        </w:tc>
      </w:tr>
      <w:tr w14:paraId="73BE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5131DB49">
            <w:pPr>
              <w:jc w:val="center"/>
              <w:textAlignment w:val="center"/>
              <w:rPr>
                <w:rFonts w:ascii="宋体" w:hAnsi="宋体" w:eastAsia="宋体" w:cs="Times New Roman"/>
                <w:color w:val="auto"/>
              </w:rPr>
            </w:pPr>
            <w:r>
              <w:rPr>
                <w:rFonts w:ascii="宋体" w:hAnsi="宋体" w:eastAsia="宋体" w:cs="Times New Roman"/>
                <w:color w:val="auto"/>
              </w:rPr>
              <w:t>氨氮</w:t>
            </w:r>
          </w:p>
        </w:tc>
        <w:tc>
          <w:tcPr>
            <w:tcW w:w="908" w:type="dxa"/>
            <w:tcBorders>
              <w:tl2br w:val="nil"/>
              <w:tr2bl w:val="nil"/>
            </w:tcBorders>
            <w:vAlign w:val="center"/>
          </w:tcPr>
          <w:p w14:paraId="00B6564A">
            <w:pPr>
              <w:jc w:val="center"/>
              <w:textAlignment w:val="center"/>
              <w:rPr>
                <w:rFonts w:ascii="宋体" w:hAnsi="宋体" w:eastAsia="宋体" w:cs="Times New Roman"/>
                <w:color w:val="auto"/>
                <w:lang w:bidi="ar"/>
              </w:rPr>
            </w:pPr>
            <w:r>
              <w:rPr>
                <w:rFonts w:ascii="宋体" w:hAnsi="宋体" w:eastAsia="宋体" w:cs="Times New Roman"/>
                <w:color w:val="auto"/>
                <w:lang w:bidi="ar"/>
              </w:rPr>
              <w:t>0.287</w:t>
            </w:r>
          </w:p>
        </w:tc>
        <w:tc>
          <w:tcPr>
            <w:tcW w:w="908" w:type="dxa"/>
            <w:tcBorders>
              <w:tl2br w:val="nil"/>
              <w:tr2bl w:val="nil"/>
            </w:tcBorders>
            <w:vAlign w:val="center"/>
          </w:tcPr>
          <w:p w14:paraId="6E191565">
            <w:pPr>
              <w:jc w:val="center"/>
              <w:textAlignment w:val="center"/>
              <w:rPr>
                <w:rFonts w:ascii="宋体" w:hAnsi="宋体" w:eastAsia="宋体" w:cs="Times New Roman"/>
                <w:color w:val="auto"/>
                <w:lang w:bidi="ar"/>
              </w:rPr>
            </w:pPr>
            <w:r>
              <w:rPr>
                <w:rFonts w:ascii="宋体" w:hAnsi="宋体" w:eastAsia="宋体" w:cs="Times New Roman"/>
                <w:color w:val="auto"/>
                <w:lang w:bidi="ar"/>
              </w:rPr>
              <w:t>0.300</w:t>
            </w:r>
          </w:p>
        </w:tc>
        <w:tc>
          <w:tcPr>
            <w:tcW w:w="908" w:type="dxa"/>
            <w:tcBorders>
              <w:tl2br w:val="nil"/>
              <w:tr2bl w:val="nil"/>
            </w:tcBorders>
            <w:vAlign w:val="center"/>
          </w:tcPr>
          <w:p w14:paraId="5356AC97">
            <w:pPr>
              <w:jc w:val="center"/>
              <w:textAlignment w:val="center"/>
              <w:rPr>
                <w:rFonts w:ascii="宋体" w:hAnsi="宋体" w:eastAsia="宋体" w:cs="Times New Roman"/>
                <w:color w:val="auto"/>
                <w:lang w:bidi="ar"/>
              </w:rPr>
            </w:pPr>
            <w:r>
              <w:rPr>
                <w:rFonts w:ascii="宋体" w:hAnsi="宋体" w:eastAsia="宋体" w:cs="Times New Roman"/>
                <w:color w:val="auto"/>
                <w:lang w:bidi="ar"/>
              </w:rPr>
              <w:t>0.336</w:t>
            </w:r>
          </w:p>
        </w:tc>
        <w:tc>
          <w:tcPr>
            <w:tcW w:w="908" w:type="dxa"/>
            <w:tcBorders>
              <w:tl2br w:val="nil"/>
              <w:tr2bl w:val="nil"/>
            </w:tcBorders>
            <w:vAlign w:val="center"/>
          </w:tcPr>
          <w:p w14:paraId="3F280D9F">
            <w:pPr>
              <w:jc w:val="center"/>
              <w:textAlignment w:val="center"/>
              <w:rPr>
                <w:rFonts w:ascii="宋体" w:hAnsi="宋体" w:eastAsia="宋体" w:cs="Times New Roman"/>
                <w:color w:val="auto"/>
                <w:lang w:bidi="ar"/>
              </w:rPr>
            </w:pPr>
            <w:r>
              <w:rPr>
                <w:rFonts w:ascii="宋体" w:hAnsi="宋体" w:eastAsia="宋体" w:cs="Times New Roman"/>
                <w:color w:val="auto"/>
                <w:lang w:bidi="ar"/>
              </w:rPr>
              <w:t>0.268</w:t>
            </w:r>
          </w:p>
        </w:tc>
        <w:tc>
          <w:tcPr>
            <w:tcW w:w="908" w:type="dxa"/>
            <w:tcBorders>
              <w:tl2br w:val="nil"/>
              <w:tr2bl w:val="nil"/>
            </w:tcBorders>
            <w:vAlign w:val="center"/>
          </w:tcPr>
          <w:p w14:paraId="7E9F74C2">
            <w:pPr>
              <w:jc w:val="center"/>
              <w:textAlignment w:val="center"/>
              <w:rPr>
                <w:rFonts w:ascii="宋体" w:hAnsi="宋体" w:eastAsia="宋体" w:cs="Times New Roman"/>
                <w:color w:val="auto"/>
                <w:lang w:bidi="ar"/>
              </w:rPr>
            </w:pPr>
            <w:r>
              <w:rPr>
                <w:rFonts w:ascii="宋体" w:hAnsi="宋体" w:eastAsia="宋体" w:cs="Times New Roman"/>
                <w:color w:val="auto"/>
                <w:lang w:bidi="ar"/>
              </w:rPr>
              <w:t>0.146</w:t>
            </w:r>
          </w:p>
        </w:tc>
        <w:tc>
          <w:tcPr>
            <w:tcW w:w="908" w:type="dxa"/>
            <w:tcBorders>
              <w:tl2br w:val="nil"/>
              <w:tr2bl w:val="nil"/>
            </w:tcBorders>
            <w:vAlign w:val="center"/>
          </w:tcPr>
          <w:p w14:paraId="464F3B2D">
            <w:pPr>
              <w:jc w:val="center"/>
              <w:textAlignment w:val="center"/>
              <w:rPr>
                <w:rFonts w:ascii="宋体" w:hAnsi="宋体" w:eastAsia="宋体" w:cs="Times New Roman"/>
                <w:color w:val="auto"/>
                <w:lang w:bidi="ar"/>
              </w:rPr>
            </w:pPr>
            <w:r>
              <w:rPr>
                <w:rFonts w:ascii="宋体" w:hAnsi="宋体" w:eastAsia="宋体" w:cs="Times New Roman"/>
                <w:color w:val="auto"/>
                <w:lang w:bidi="ar"/>
              </w:rPr>
              <w:t>0.133</w:t>
            </w:r>
          </w:p>
        </w:tc>
        <w:tc>
          <w:tcPr>
            <w:tcW w:w="908" w:type="dxa"/>
            <w:tcBorders>
              <w:tl2br w:val="nil"/>
              <w:tr2bl w:val="nil"/>
            </w:tcBorders>
            <w:vAlign w:val="center"/>
          </w:tcPr>
          <w:p w14:paraId="689DFB32">
            <w:pPr>
              <w:jc w:val="center"/>
              <w:textAlignment w:val="center"/>
              <w:rPr>
                <w:rFonts w:ascii="宋体" w:hAnsi="宋体" w:eastAsia="宋体" w:cs="Times New Roman"/>
                <w:color w:val="auto"/>
                <w:lang w:bidi="ar"/>
              </w:rPr>
            </w:pPr>
            <w:r>
              <w:rPr>
                <w:rFonts w:ascii="宋体" w:hAnsi="宋体" w:eastAsia="宋体" w:cs="Times New Roman"/>
                <w:color w:val="auto"/>
                <w:lang w:bidi="ar"/>
              </w:rPr>
              <w:t>0.274</w:t>
            </w:r>
          </w:p>
        </w:tc>
        <w:tc>
          <w:tcPr>
            <w:tcW w:w="911" w:type="dxa"/>
            <w:tcBorders>
              <w:tl2br w:val="nil"/>
              <w:tr2bl w:val="nil"/>
            </w:tcBorders>
            <w:vAlign w:val="center"/>
          </w:tcPr>
          <w:p w14:paraId="0FBAA2CE">
            <w:pPr>
              <w:jc w:val="center"/>
              <w:textAlignment w:val="center"/>
              <w:rPr>
                <w:rFonts w:ascii="宋体" w:hAnsi="宋体" w:eastAsia="宋体" w:cs="Times New Roman"/>
                <w:color w:val="auto"/>
                <w:lang w:bidi="ar"/>
              </w:rPr>
            </w:pPr>
            <w:r>
              <w:rPr>
                <w:rFonts w:ascii="宋体" w:hAnsi="宋体" w:eastAsia="宋体" w:cs="Times New Roman"/>
                <w:color w:val="auto"/>
                <w:lang w:bidi="ar"/>
              </w:rPr>
              <w:t>0.143</w:t>
            </w:r>
          </w:p>
        </w:tc>
        <w:tc>
          <w:tcPr>
            <w:tcW w:w="735" w:type="dxa"/>
            <w:tcBorders>
              <w:tl2br w:val="nil"/>
              <w:tr2bl w:val="nil"/>
            </w:tcBorders>
            <w:vAlign w:val="center"/>
          </w:tcPr>
          <w:p w14:paraId="0604730F">
            <w:pPr>
              <w:jc w:val="center"/>
              <w:textAlignment w:val="center"/>
              <w:rPr>
                <w:rFonts w:ascii="宋体" w:hAnsi="宋体" w:eastAsia="宋体" w:cs="Times New Roman"/>
                <w:color w:val="auto"/>
              </w:rPr>
            </w:pPr>
            <w:r>
              <w:rPr>
                <w:rFonts w:ascii="宋体" w:hAnsi="宋体" w:eastAsia="宋体" w:cs="Times New Roman"/>
                <w:color w:val="auto"/>
              </w:rPr>
              <w:t>≤0.5</w:t>
            </w:r>
          </w:p>
        </w:tc>
      </w:tr>
      <w:tr w14:paraId="375A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77B5E1D8">
            <w:pPr>
              <w:jc w:val="center"/>
              <w:textAlignment w:val="center"/>
              <w:rPr>
                <w:rFonts w:ascii="宋体" w:hAnsi="宋体" w:eastAsia="宋体" w:cs="Times New Roman"/>
                <w:color w:val="auto"/>
              </w:rPr>
            </w:pPr>
            <w:r>
              <w:rPr>
                <w:rFonts w:ascii="宋体" w:hAnsi="宋体" w:eastAsia="宋体" w:cs="Times New Roman"/>
                <w:color w:val="auto"/>
              </w:rPr>
              <w:t>六价铬</w:t>
            </w:r>
          </w:p>
        </w:tc>
        <w:tc>
          <w:tcPr>
            <w:tcW w:w="908" w:type="dxa"/>
            <w:tcBorders>
              <w:tl2br w:val="nil"/>
              <w:tr2bl w:val="nil"/>
            </w:tcBorders>
            <w:vAlign w:val="center"/>
          </w:tcPr>
          <w:p w14:paraId="17A60B7D">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08" w:type="dxa"/>
            <w:tcBorders>
              <w:tl2br w:val="nil"/>
              <w:tr2bl w:val="nil"/>
            </w:tcBorders>
            <w:vAlign w:val="center"/>
          </w:tcPr>
          <w:p w14:paraId="5813832A">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08" w:type="dxa"/>
            <w:tcBorders>
              <w:tl2br w:val="nil"/>
              <w:tr2bl w:val="nil"/>
            </w:tcBorders>
            <w:vAlign w:val="center"/>
          </w:tcPr>
          <w:p w14:paraId="7F9BCA68">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08" w:type="dxa"/>
            <w:tcBorders>
              <w:tl2br w:val="nil"/>
              <w:tr2bl w:val="nil"/>
            </w:tcBorders>
            <w:vAlign w:val="center"/>
          </w:tcPr>
          <w:p w14:paraId="16B0E40E">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08" w:type="dxa"/>
            <w:tcBorders>
              <w:tl2br w:val="nil"/>
              <w:tr2bl w:val="nil"/>
            </w:tcBorders>
            <w:vAlign w:val="center"/>
          </w:tcPr>
          <w:p w14:paraId="1B29B2B2">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08" w:type="dxa"/>
            <w:tcBorders>
              <w:tl2br w:val="nil"/>
              <w:tr2bl w:val="nil"/>
            </w:tcBorders>
            <w:vAlign w:val="center"/>
          </w:tcPr>
          <w:p w14:paraId="29B926B0">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08" w:type="dxa"/>
            <w:tcBorders>
              <w:tl2br w:val="nil"/>
              <w:tr2bl w:val="nil"/>
            </w:tcBorders>
            <w:vAlign w:val="center"/>
          </w:tcPr>
          <w:p w14:paraId="3F0E077A">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911" w:type="dxa"/>
            <w:tcBorders>
              <w:tl2br w:val="nil"/>
              <w:tr2bl w:val="nil"/>
            </w:tcBorders>
            <w:vAlign w:val="center"/>
          </w:tcPr>
          <w:p w14:paraId="1841AF7C">
            <w:pPr>
              <w:jc w:val="center"/>
              <w:textAlignment w:val="center"/>
              <w:rPr>
                <w:rFonts w:ascii="宋体" w:hAnsi="宋体" w:eastAsia="宋体" w:cs="Times New Roman"/>
                <w:color w:val="auto"/>
                <w:lang w:bidi="ar"/>
              </w:rPr>
            </w:pPr>
            <w:r>
              <w:rPr>
                <w:rFonts w:ascii="宋体" w:hAnsi="宋体" w:eastAsia="宋体" w:cs="Times New Roman"/>
                <w:color w:val="auto"/>
                <w:lang w:bidi="ar"/>
              </w:rPr>
              <w:t>0.004L</w:t>
            </w:r>
          </w:p>
        </w:tc>
        <w:tc>
          <w:tcPr>
            <w:tcW w:w="735" w:type="dxa"/>
            <w:tcBorders>
              <w:tl2br w:val="nil"/>
              <w:tr2bl w:val="nil"/>
            </w:tcBorders>
            <w:vAlign w:val="center"/>
          </w:tcPr>
          <w:p w14:paraId="2AF5EB8F">
            <w:pPr>
              <w:jc w:val="center"/>
              <w:textAlignment w:val="center"/>
              <w:rPr>
                <w:rFonts w:ascii="宋体" w:hAnsi="宋体" w:eastAsia="宋体" w:cs="Times New Roman"/>
                <w:color w:val="auto"/>
                <w:lang w:val="en-GB"/>
              </w:rPr>
            </w:pPr>
            <w:r>
              <w:rPr>
                <w:rFonts w:ascii="宋体" w:hAnsi="宋体" w:eastAsia="宋体" w:cs="Times New Roman"/>
                <w:color w:val="auto"/>
                <w:lang w:val="en-GB"/>
              </w:rPr>
              <w:t>≤0.05</w:t>
            </w:r>
          </w:p>
        </w:tc>
      </w:tr>
      <w:tr w14:paraId="50ED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29C65BB0">
            <w:pPr>
              <w:jc w:val="center"/>
              <w:textAlignment w:val="center"/>
              <w:rPr>
                <w:rFonts w:ascii="宋体" w:hAnsi="宋体" w:eastAsia="宋体" w:cs="Times New Roman"/>
                <w:color w:val="auto"/>
              </w:rPr>
            </w:pPr>
            <w:r>
              <w:rPr>
                <w:rFonts w:ascii="宋体" w:hAnsi="宋体" w:eastAsia="宋体" w:cs="Times New Roman"/>
                <w:color w:val="auto"/>
              </w:rPr>
              <w:t>砷</w:t>
            </w:r>
          </w:p>
        </w:tc>
        <w:tc>
          <w:tcPr>
            <w:tcW w:w="908" w:type="dxa"/>
            <w:tcBorders>
              <w:tl2br w:val="nil"/>
              <w:tr2bl w:val="nil"/>
            </w:tcBorders>
            <w:vAlign w:val="center"/>
          </w:tcPr>
          <w:p w14:paraId="39B8409C">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6C937A0F">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70BE8609">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5828F962">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36F41705">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4D23DC4E">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08" w:type="dxa"/>
            <w:tcBorders>
              <w:tl2br w:val="nil"/>
              <w:tr2bl w:val="nil"/>
            </w:tcBorders>
            <w:vAlign w:val="center"/>
          </w:tcPr>
          <w:p w14:paraId="73C76CB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911" w:type="dxa"/>
            <w:tcBorders>
              <w:tl2br w:val="nil"/>
              <w:tr2bl w:val="nil"/>
            </w:tcBorders>
            <w:vAlign w:val="center"/>
          </w:tcPr>
          <w:p w14:paraId="44A33E51">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c>
          <w:tcPr>
            <w:tcW w:w="735" w:type="dxa"/>
            <w:tcBorders>
              <w:tl2br w:val="nil"/>
              <w:tr2bl w:val="nil"/>
            </w:tcBorders>
            <w:vAlign w:val="center"/>
          </w:tcPr>
          <w:p w14:paraId="459A70FB">
            <w:pPr>
              <w:jc w:val="center"/>
              <w:textAlignment w:val="center"/>
              <w:rPr>
                <w:rFonts w:ascii="宋体" w:hAnsi="宋体" w:eastAsia="宋体" w:cs="Times New Roman"/>
                <w:color w:val="auto"/>
                <w:lang w:val="en-GB"/>
              </w:rPr>
            </w:pPr>
            <w:r>
              <w:rPr>
                <w:rFonts w:ascii="宋体" w:hAnsi="宋体" w:eastAsia="宋体" w:cs="Times New Roman"/>
                <w:color w:val="auto"/>
                <w:lang w:val="en-GB"/>
              </w:rPr>
              <w:t>≤0.01</w:t>
            </w:r>
          </w:p>
        </w:tc>
      </w:tr>
      <w:tr w14:paraId="3240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37ADE3F2">
            <w:pPr>
              <w:jc w:val="center"/>
              <w:textAlignment w:val="center"/>
              <w:rPr>
                <w:rFonts w:ascii="宋体" w:hAnsi="宋体" w:eastAsia="宋体" w:cs="Times New Roman"/>
                <w:color w:val="auto"/>
              </w:rPr>
            </w:pPr>
            <w:r>
              <w:rPr>
                <w:rFonts w:ascii="宋体" w:hAnsi="宋体" w:eastAsia="宋体" w:cs="Times New Roman"/>
                <w:color w:val="auto"/>
              </w:rPr>
              <w:t>铅</w:t>
            </w:r>
          </w:p>
        </w:tc>
        <w:tc>
          <w:tcPr>
            <w:tcW w:w="908" w:type="dxa"/>
            <w:tcBorders>
              <w:tl2br w:val="nil"/>
              <w:tr2bl w:val="nil"/>
            </w:tcBorders>
            <w:vAlign w:val="center"/>
          </w:tcPr>
          <w:p w14:paraId="250E7A75">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08" w:type="dxa"/>
            <w:tcBorders>
              <w:tl2br w:val="nil"/>
              <w:tr2bl w:val="nil"/>
            </w:tcBorders>
            <w:vAlign w:val="center"/>
          </w:tcPr>
          <w:p w14:paraId="377C8F2E">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08" w:type="dxa"/>
            <w:tcBorders>
              <w:tl2br w:val="nil"/>
              <w:tr2bl w:val="nil"/>
            </w:tcBorders>
            <w:vAlign w:val="center"/>
          </w:tcPr>
          <w:p w14:paraId="408DA5C9">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08" w:type="dxa"/>
            <w:tcBorders>
              <w:tl2br w:val="nil"/>
              <w:tr2bl w:val="nil"/>
            </w:tcBorders>
            <w:vAlign w:val="center"/>
          </w:tcPr>
          <w:p w14:paraId="151DF434">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08" w:type="dxa"/>
            <w:tcBorders>
              <w:tl2br w:val="nil"/>
              <w:tr2bl w:val="nil"/>
            </w:tcBorders>
            <w:vAlign w:val="center"/>
          </w:tcPr>
          <w:p w14:paraId="392E1CBF">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08" w:type="dxa"/>
            <w:tcBorders>
              <w:tl2br w:val="nil"/>
              <w:tr2bl w:val="nil"/>
            </w:tcBorders>
            <w:vAlign w:val="center"/>
          </w:tcPr>
          <w:p w14:paraId="3911AB85">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08" w:type="dxa"/>
            <w:tcBorders>
              <w:tl2br w:val="nil"/>
              <w:tr2bl w:val="nil"/>
            </w:tcBorders>
            <w:vAlign w:val="center"/>
          </w:tcPr>
          <w:p w14:paraId="75EDE8E0">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911" w:type="dxa"/>
            <w:tcBorders>
              <w:tl2br w:val="nil"/>
              <w:tr2bl w:val="nil"/>
            </w:tcBorders>
            <w:vAlign w:val="center"/>
          </w:tcPr>
          <w:p w14:paraId="430BD83B">
            <w:pPr>
              <w:jc w:val="center"/>
              <w:textAlignment w:val="center"/>
              <w:rPr>
                <w:rFonts w:ascii="宋体" w:hAnsi="宋体" w:eastAsia="宋体" w:cs="Times New Roman"/>
                <w:color w:val="auto"/>
                <w:lang w:bidi="ar"/>
              </w:rPr>
            </w:pPr>
            <w:r>
              <w:rPr>
                <w:rFonts w:ascii="宋体" w:hAnsi="宋体" w:eastAsia="宋体" w:cs="Times New Roman"/>
                <w:color w:val="auto"/>
                <w:lang w:bidi="ar"/>
              </w:rPr>
              <w:t>0.001L</w:t>
            </w:r>
          </w:p>
        </w:tc>
        <w:tc>
          <w:tcPr>
            <w:tcW w:w="735" w:type="dxa"/>
            <w:tcBorders>
              <w:tl2br w:val="nil"/>
              <w:tr2bl w:val="nil"/>
            </w:tcBorders>
            <w:vAlign w:val="center"/>
          </w:tcPr>
          <w:p w14:paraId="387316D7">
            <w:pPr>
              <w:jc w:val="center"/>
              <w:textAlignment w:val="center"/>
              <w:rPr>
                <w:rFonts w:ascii="宋体" w:hAnsi="宋体" w:eastAsia="宋体" w:cs="Times New Roman"/>
                <w:color w:val="auto"/>
                <w:lang w:val="en-GB"/>
              </w:rPr>
            </w:pPr>
            <w:r>
              <w:rPr>
                <w:rFonts w:ascii="宋体" w:hAnsi="宋体" w:eastAsia="宋体" w:cs="Times New Roman"/>
                <w:color w:val="auto"/>
                <w:lang w:val="en-GB"/>
              </w:rPr>
              <w:t>≤0.01</w:t>
            </w:r>
          </w:p>
        </w:tc>
      </w:tr>
      <w:tr w14:paraId="0776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5F48E1BB">
            <w:pPr>
              <w:jc w:val="center"/>
              <w:textAlignment w:val="center"/>
              <w:rPr>
                <w:rFonts w:ascii="宋体" w:hAnsi="宋体" w:eastAsia="宋体" w:cs="Times New Roman"/>
                <w:color w:val="auto"/>
              </w:rPr>
            </w:pPr>
            <w:r>
              <w:rPr>
                <w:rFonts w:ascii="宋体" w:hAnsi="宋体" w:eastAsia="宋体" w:cs="Times New Roman"/>
                <w:color w:val="auto"/>
              </w:rPr>
              <w:t>铁</w:t>
            </w:r>
          </w:p>
        </w:tc>
        <w:tc>
          <w:tcPr>
            <w:tcW w:w="908" w:type="dxa"/>
            <w:tcBorders>
              <w:tl2br w:val="nil"/>
              <w:tr2bl w:val="nil"/>
            </w:tcBorders>
            <w:vAlign w:val="center"/>
          </w:tcPr>
          <w:p w14:paraId="0A08A817">
            <w:pPr>
              <w:jc w:val="center"/>
              <w:textAlignment w:val="center"/>
              <w:rPr>
                <w:rFonts w:ascii="宋体" w:hAnsi="宋体" w:eastAsia="宋体" w:cs="Times New Roman"/>
                <w:color w:val="auto"/>
                <w:lang w:bidi="ar"/>
              </w:rPr>
            </w:pPr>
            <w:r>
              <w:rPr>
                <w:rFonts w:ascii="宋体" w:hAnsi="宋体" w:eastAsia="宋体" w:cs="Times New Roman"/>
                <w:color w:val="auto"/>
                <w:lang w:bidi="ar"/>
              </w:rPr>
              <w:t>0.28</w:t>
            </w:r>
          </w:p>
        </w:tc>
        <w:tc>
          <w:tcPr>
            <w:tcW w:w="908" w:type="dxa"/>
            <w:tcBorders>
              <w:tl2br w:val="nil"/>
              <w:tr2bl w:val="nil"/>
            </w:tcBorders>
            <w:vAlign w:val="center"/>
          </w:tcPr>
          <w:p w14:paraId="09253614">
            <w:pPr>
              <w:jc w:val="center"/>
              <w:textAlignment w:val="center"/>
              <w:rPr>
                <w:rFonts w:ascii="宋体" w:hAnsi="宋体" w:eastAsia="宋体" w:cs="Times New Roman"/>
                <w:color w:val="auto"/>
                <w:lang w:bidi="ar"/>
              </w:rPr>
            </w:pPr>
            <w:r>
              <w:rPr>
                <w:rFonts w:ascii="宋体" w:hAnsi="宋体" w:eastAsia="宋体" w:cs="Times New Roman"/>
                <w:color w:val="auto"/>
                <w:lang w:bidi="ar"/>
              </w:rPr>
              <w:t>0.28</w:t>
            </w:r>
          </w:p>
        </w:tc>
        <w:tc>
          <w:tcPr>
            <w:tcW w:w="908" w:type="dxa"/>
            <w:tcBorders>
              <w:tl2br w:val="nil"/>
              <w:tr2bl w:val="nil"/>
            </w:tcBorders>
            <w:vAlign w:val="center"/>
          </w:tcPr>
          <w:p w14:paraId="739847D2">
            <w:pPr>
              <w:jc w:val="center"/>
              <w:textAlignment w:val="center"/>
              <w:rPr>
                <w:rFonts w:ascii="宋体" w:hAnsi="宋体" w:eastAsia="宋体" w:cs="Times New Roman"/>
                <w:color w:val="auto"/>
                <w:lang w:bidi="ar"/>
              </w:rPr>
            </w:pPr>
            <w:r>
              <w:rPr>
                <w:rFonts w:ascii="宋体" w:hAnsi="宋体" w:eastAsia="宋体" w:cs="Times New Roman"/>
                <w:color w:val="auto"/>
                <w:lang w:bidi="ar"/>
              </w:rPr>
              <w:t>0.26</w:t>
            </w:r>
          </w:p>
        </w:tc>
        <w:tc>
          <w:tcPr>
            <w:tcW w:w="908" w:type="dxa"/>
            <w:tcBorders>
              <w:tl2br w:val="nil"/>
              <w:tr2bl w:val="nil"/>
            </w:tcBorders>
            <w:vAlign w:val="center"/>
          </w:tcPr>
          <w:p w14:paraId="34084A16">
            <w:pPr>
              <w:jc w:val="center"/>
              <w:textAlignment w:val="center"/>
              <w:rPr>
                <w:rFonts w:ascii="宋体" w:hAnsi="宋体" w:eastAsia="宋体" w:cs="Times New Roman"/>
                <w:color w:val="auto"/>
                <w:lang w:bidi="ar"/>
              </w:rPr>
            </w:pPr>
            <w:r>
              <w:rPr>
                <w:rFonts w:ascii="宋体" w:hAnsi="宋体" w:eastAsia="宋体" w:cs="Times New Roman"/>
                <w:color w:val="auto"/>
                <w:lang w:bidi="ar"/>
              </w:rPr>
              <w:t>0.27</w:t>
            </w:r>
          </w:p>
        </w:tc>
        <w:tc>
          <w:tcPr>
            <w:tcW w:w="908" w:type="dxa"/>
            <w:tcBorders>
              <w:tl2br w:val="nil"/>
              <w:tr2bl w:val="nil"/>
            </w:tcBorders>
            <w:vAlign w:val="center"/>
          </w:tcPr>
          <w:p w14:paraId="3D0EFF24">
            <w:pPr>
              <w:jc w:val="center"/>
              <w:textAlignment w:val="center"/>
              <w:rPr>
                <w:rFonts w:ascii="宋体" w:hAnsi="宋体" w:eastAsia="宋体" w:cs="Times New Roman"/>
                <w:color w:val="auto"/>
                <w:lang w:bidi="ar"/>
              </w:rPr>
            </w:pPr>
            <w:r>
              <w:rPr>
                <w:rFonts w:ascii="宋体" w:hAnsi="宋体" w:eastAsia="宋体" w:cs="Times New Roman"/>
                <w:color w:val="auto"/>
                <w:lang w:bidi="ar"/>
              </w:rPr>
              <w:t>0.21</w:t>
            </w:r>
          </w:p>
        </w:tc>
        <w:tc>
          <w:tcPr>
            <w:tcW w:w="908" w:type="dxa"/>
            <w:tcBorders>
              <w:tl2br w:val="nil"/>
              <w:tr2bl w:val="nil"/>
            </w:tcBorders>
            <w:vAlign w:val="center"/>
          </w:tcPr>
          <w:p w14:paraId="035ED70E">
            <w:pPr>
              <w:jc w:val="center"/>
              <w:textAlignment w:val="center"/>
              <w:rPr>
                <w:rFonts w:ascii="宋体" w:hAnsi="宋体" w:eastAsia="宋体" w:cs="Times New Roman"/>
                <w:color w:val="auto"/>
                <w:lang w:bidi="ar"/>
              </w:rPr>
            </w:pPr>
            <w:r>
              <w:rPr>
                <w:rFonts w:ascii="宋体" w:hAnsi="宋体" w:eastAsia="宋体" w:cs="Times New Roman"/>
                <w:color w:val="auto"/>
                <w:lang w:bidi="ar"/>
              </w:rPr>
              <w:t>0.22</w:t>
            </w:r>
          </w:p>
        </w:tc>
        <w:tc>
          <w:tcPr>
            <w:tcW w:w="908" w:type="dxa"/>
            <w:tcBorders>
              <w:tl2br w:val="nil"/>
              <w:tr2bl w:val="nil"/>
            </w:tcBorders>
            <w:vAlign w:val="center"/>
          </w:tcPr>
          <w:p w14:paraId="686CF8CB">
            <w:pPr>
              <w:jc w:val="center"/>
              <w:textAlignment w:val="center"/>
              <w:rPr>
                <w:rFonts w:ascii="宋体" w:hAnsi="宋体" w:eastAsia="宋体" w:cs="Times New Roman"/>
                <w:color w:val="auto"/>
                <w:lang w:bidi="ar"/>
              </w:rPr>
            </w:pPr>
            <w:r>
              <w:rPr>
                <w:rFonts w:ascii="宋体" w:hAnsi="宋体" w:eastAsia="宋体" w:cs="Times New Roman"/>
                <w:color w:val="auto"/>
                <w:lang w:bidi="ar"/>
              </w:rPr>
              <w:t>0.27</w:t>
            </w:r>
          </w:p>
        </w:tc>
        <w:tc>
          <w:tcPr>
            <w:tcW w:w="911" w:type="dxa"/>
            <w:tcBorders>
              <w:tl2br w:val="nil"/>
              <w:tr2bl w:val="nil"/>
            </w:tcBorders>
            <w:vAlign w:val="center"/>
          </w:tcPr>
          <w:p w14:paraId="3791733D">
            <w:pPr>
              <w:jc w:val="center"/>
              <w:textAlignment w:val="center"/>
              <w:rPr>
                <w:rFonts w:ascii="宋体" w:hAnsi="宋体" w:eastAsia="宋体" w:cs="Times New Roman"/>
                <w:color w:val="auto"/>
                <w:lang w:bidi="ar"/>
              </w:rPr>
            </w:pPr>
            <w:r>
              <w:rPr>
                <w:rFonts w:ascii="宋体" w:hAnsi="宋体" w:eastAsia="宋体" w:cs="Times New Roman"/>
                <w:color w:val="auto"/>
                <w:lang w:bidi="ar"/>
              </w:rPr>
              <w:t>0.23</w:t>
            </w:r>
          </w:p>
        </w:tc>
        <w:tc>
          <w:tcPr>
            <w:tcW w:w="735" w:type="dxa"/>
            <w:tcBorders>
              <w:tl2br w:val="nil"/>
              <w:tr2bl w:val="nil"/>
            </w:tcBorders>
            <w:vAlign w:val="center"/>
          </w:tcPr>
          <w:p w14:paraId="61FECFC9">
            <w:pPr>
              <w:jc w:val="center"/>
              <w:textAlignment w:val="center"/>
              <w:rPr>
                <w:rFonts w:ascii="宋体" w:hAnsi="宋体" w:eastAsia="宋体" w:cs="Times New Roman"/>
                <w:color w:val="auto"/>
                <w:lang w:val="en-GB"/>
              </w:rPr>
            </w:pPr>
            <w:r>
              <w:rPr>
                <w:rFonts w:ascii="宋体" w:hAnsi="宋体" w:eastAsia="宋体" w:cs="Times New Roman"/>
                <w:color w:val="auto"/>
                <w:lang w:val="en-GB"/>
              </w:rPr>
              <w:t>≤0.3</w:t>
            </w:r>
          </w:p>
        </w:tc>
      </w:tr>
      <w:tr w14:paraId="493D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60E9CA21">
            <w:pPr>
              <w:jc w:val="center"/>
              <w:textAlignment w:val="center"/>
              <w:rPr>
                <w:rFonts w:ascii="宋体" w:hAnsi="宋体" w:eastAsia="宋体" w:cs="Times New Roman"/>
                <w:color w:val="auto"/>
              </w:rPr>
            </w:pPr>
            <w:r>
              <w:rPr>
                <w:rFonts w:ascii="宋体" w:hAnsi="宋体" w:eastAsia="宋体" w:cs="Times New Roman"/>
                <w:color w:val="auto"/>
              </w:rPr>
              <w:t>汞</w:t>
            </w:r>
          </w:p>
        </w:tc>
        <w:tc>
          <w:tcPr>
            <w:tcW w:w="908" w:type="dxa"/>
            <w:tcBorders>
              <w:tl2br w:val="nil"/>
              <w:tr2bl w:val="nil"/>
            </w:tcBorders>
            <w:vAlign w:val="center"/>
          </w:tcPr>
          <w:p w14:paraId="03FC31CD">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08" w:type="dxa"/>
            <w:tcBorders>
              <w:tl2br w:val="nil"/>
              <w:tr2bl w:val="nil"/>
            </w:tcBorders>
            <w:vAlign w:val="center"/>
          </w:tcPr>
          <w:p w14:paraId="7D0F48D4">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08" w:type="dxa"/>
            <w:tcBorders>
              <w:tl2br w:val="nil"/>
              <w:tr2bl w:val="nil"/>
            </w:tcBorders>
            <w:vAlign w:val="center"/>
          </w:tcPr>
          <w:p w14:paraId="4E69F888">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08" w:type="dxa"/>
            <w:tcBorders>
              <w:tl2br w:val="nil"/>
              <w:tr2bl w:val="nil"/>
            </w:tcBorders>
            <w:vAlign w:val="center"/>
          </w:tcPr>
          <w:p w14:paraId="52705BA3">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08" w:type="dxa"/>
            <w:tcBorders>
              <w:tl2br w:val="nil"/>
              <w:tr2bl w:val="nil"/>
            </w:tcBorders>
            <w:vAlign w:val="center"/>
          </w:tcPr>
          <w:p w14:paraId="3B785B13">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08" w:type="dxa"/>
            <w:tcBorders>
              <w:tl2br w:val="nil"/>
              <w:tr2bl w:val="nil"/>
            </w:tcBorders>
            <w:vAlign w:val="center"/>
          </w:tcPr>
          <w:p w14:paraId="134AC019">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08" w:type="dxa"/>
            <w:tcBorders>
              <w:tl2br w:val="nil"/>
              <w:tr2bl w:val="nil"/>
            </w:tcBorders>
            <w:vAlign w:val="center"/>
          </w:tcPr>
          <w:p w14:paraId="35B82A8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911" w:type="dxa"/>
            <w:tcBorders>
              <w:tl2br w:val="nil"/>
              <w:tr2bl w:val="nil"/>
            </w:tcBorders>
            <w:vAlign w:val="center"/>
          </w:tcPr>
          <w:p w14:paraId="7544D775">
            <w:pPr>
              <w:jc w:val="center"/>
              <w:textAlignment w:val="center"/>
              <w:rPr>
                <w:rFonts w:ascii="宋体" w:hAnsi="宋体" w:eastAsia="宋体" w:cs="Times New Roman"/>
                <w:color w:val="auto"/>
                <w:lang w:bidi="ar"/>
              </w:rPr>
            </w:pPr>
            <w:r>
              <w:rPr>
                <w:rFonts w:ascii="宋体" w:hAnsi="宋体" w:eastAsia="宋体" w:cs="Times New Roman"/>
                <w:color w:val="auto"/>
                <w:lang w:bidi="ar"/>
              </w:rPr>
              <w:t>0.00004L</w:t>
            </w:r>
          </w:p>
        </w:tc>
        <w:tc>
          <w:tcPr>
            <w:tcW w:w="735" w:type="dxa"/>
            <w:tcBorders>
              <w:tl2br w:val="nil"/>
              <w:tr2bl w:val="nil"/>
            </w:tcBorders>
            <w:vAlign w:val="center"/>
          </w:tcPr>
          <w:p w14:paraId="6D0A8FD9">
            <w:pPr>
              <w:jc w:val="center"/>
              <w:textAlignment w:val="center"/>
              <w:rPr>
                <w:rFonts w:ascii="宋体" w:hAnsi="宋体" w:eastAsia="宋体" w:cs="Times New Roman"/>
                <w:color w:val="auto"/>
                <w:lang w:val="en-GB"/>
              </w:rPr>
            </w:pPr>
            <w:r>
              <w:rPr>
                <w:rFonts w:ascii="宋体" w:hAnsi="宋体" w:eastAsia="宋体" w:cs="Times New Roman"/>
                <w:color w:val="auto"/>
                <w:lang w:val="en-GB"/>
              </w:rPr>
              <w:t>≤0.001</w:t>
            </w:r>
          </w:p>
        </w:tc>
      </w:tr>
      <w:tr w14:paraId="7B3A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5438D9C7">
            <w:pPr>
              <w:jc w:val="center"/>
              <w:textAlignment w:val="center"/>
              <w:rPr>
                <w:rFonts w:ascii="宋体" w:hAnsi="宋体" w:eastAsia="宋体" w:cs="Times New Roman"/>
                <w:color w:val="auto"/>
              </w:rPr>
            </w:pPr>
            <w:r>
              <w:rPr>
                <w:rFonts w:ascii="宋体" w:hAnsi="宋体" w:eastAsia="宋体" w:cs="Times New Roman"/>
                <w:color w:val="auto"/>
              </w:rPr>
              <w:t>锰</w:t>
            </w:r>
          </w:p>
        </w:tc>
        <w:tc>
          <w:tcPr>
            <w:tcW w:w="908" w:type="dxa"/>
            <w:tcBorders>
              <w:tl2br w:val="nil"/>
              <w:tr2bl w:val="nil"/>
            </w:tcBorders>
            <w:vAlign w:val="center"/>
          </w:tcPr>
          <w:p w14:paraId="2407840E">
            <w:pPr>
              <w:jc w:val="center"/>
              <w:textAlignment w:val="center"/>
              <w:rPr>
                <w:rFonts w:ascii="宋体" w:hAnsi="宋体" w:eastAsia="宋体" w:cs="Times New Roman"/>
                <w:color w:val="auto"/>
                <w:lang w:bidi="ar"/>
              </w:rPr>
            </w:pPr>
            <w:r>
              <w:rPr>
                <w:rFonts w:ascii="宋体" w:hAnsi="宋体" w:eastAsia="宋体" w:cs="Times New Roman"/>
                <w:color w:val="auto"/>
                <w:lang w:bidi="ar"/>
              </w:rPr>
              <w:t>0.12</w:t>
            </w:r>
          </w:p>
        </w:tc>
        <w:tc>
          <w:tcPr>
            <w:tcW w:w="908" w:type="dxa"/>
            <w:tcBorders>
              <w:tl2br w:val="nil"/>
              <w:tr2bl w:val="nil"/>
            </w:tcBorders>
            <w:vAlign w:val="center"/>
          </w:tcPr>
          <w:p w14:paraId="4F61E1FB">
            <w:pPr>
              <w:jc w:val="center"/>
              <w:textAlignment w:val="center"/>
              <w:rPr>
                <w:rFonts w:ascii="宋体" w:hAnsi="宋体" w:eastAsia="宋体" w:cs="Times New Roman"/>
                <w:color w:val="auto"/>
                <w:lang w:bidi="ar"/>
              </w:rPr>
            </w:pPr>
            <w:r>
              <w:rPr>
                <w:rFonts w:ascii="宋体" w:hAnsi="宋体" w:eastAsia="宋体" w:cs="Times New Roman"/>
                <w:color w:val="auto"/>
                <w:lang w:bidi="ar"/>
              </w:rPr>
              <w:t>0.10</w:t>
            </w:r>
          </w:p>
        </w:tc>
        <w:tc>
          <w:tcPr>
            <w:tcW w:w="908" w:type="dxa"/>
            <w:tcBorders>
              <w:tl2br w:val="nil"/>
              <w:tr2bl w:val="nil"/>
            </w:tcBorders>
            <w:vAlign w:val="center"/>
          </w:tcPr>
          <w:p w14:paraId="79272C4D">
            <w:pPr>
              <w:jc w:val="center"/>
              <w:textAlignment w:val="center"/>
              <w:rPr>
                <w:rFonts w:ascii="宋体" w:hAnsi="宋体" w:eastAsia="宋体" w:cs="Times New Roman"/>
                <w:color w:val="auto"/>
                <w:lang w:bidi="ar"/>
              </w:rPr>
            </w:pPr>
            <w:r>
              <w:rPr>
                <w:rFonts w:ascii="宋体" w:hAnsi="宋体" w:eastAsia="宋体" w:cs="Times New Roman"/>
                <w:color w:val="auto"/>
                <w:lang w:bidi="ar"/>
              </w:rPr>
              <w:t>0.08</w:t>
            </w:r>
          </w:p>
        </w:tc>
        <w:tc>
          <w:tcPr>
            <w:tcW w:w="908" w:type="dxa"/>
            <w:tcBorders>
              <w:tl2br w:val="nil"/>
              <w:tr2bl w:val="nil"/>
            </w:tcBorders>
            <w:vAlign w:val="center"/>
          </w:tcPr>
          <w:p w14:paraId="6EDB892B">
            <w:pPr>
              <w:jc w:val="center"/>
              <w:textAlignment w:val="center"/>
              <w:rPr>
                <w:rFonts w:ascii="宋体" w:hAnsi="宋体" w:eastAsia="宋体" w:cs="Times New Roman"/>
                <w:color w:val="auto"/>
                <w:lang w:bidi="ar"/>
              </w:rPr>
            </w:pPr>
            <w:r>
              <w:rPr>
                <w:rFonts w:ascii="宋体" w:hAnsi="宋体" w:eastAsia="宋体" w:cs="Times New Roman"/>
                <w:color w:val="auto"/>
                <w:lang w:bidi="ar"/>
              </w:rPr>
              <w:t>0.07</w:t>
            </w:r>
          </w:p>
        </w:tc>
        <w:tc>
          <w:tcPr>
            <w:tcW w:w="908" w:type="dxa"/>
            <w:tcBorders>
              <w:tl2br w:val="nil"/>
              <w:tr2bl w:val="nil"/>
            </w:tcBorders>
            <w:vAlign w:val="center"/>
          </w:tcPr>
          <w:p w14:paraId="772A38EB">
            <w:pPr>
              <w:jc w:val="center"/>
              <w:textAlignment w:val="center"/>
              <w:rPr>
                <w:rFonts w:ascii="宋体" w:hAnsi="宋体" w:eastAsia="宋体" w:cs="Times New Roman"/>
                <w:color w:val="auto"/>
                <w:lang w:bidi="ar"/>
              </w:rPr>
            </w:pPr>
            <w:r>
              <w:rPr>
                <w:rFonts w:ascii="宋体" w:hAnsi="宋体" w:eastAsia="宋体" w:cs="Times New Roman"/>
                <w:color w:val="auto"/>
                <w:lang w:bidi="ar"/>
              </w:rPr>
              <w:t>0.02</w:t>
            </w:r>
          </w:p>
        </w:tc>
        <w:tc>
          <w:tcPr>
            <w:tcW w:w="908" w:type="dxa"/>
            <w:tcBorders>
              <w:tl2br w:val="nil"/>
              <w:tr2bl w:val="nil"/>
            </w:tcBorders>
            <w:vAlign w:val="center"/>
          </w:tcPr>
          <w:p w14:paraId="29D68AC8">
            <w:pPr>
              <w:jc w:val="center"/>
              <w:textAlignment w:val="center"/>
              <w:rPr>
                <w:rFonts w:ascii="宋体" w:hAnsi="宋体" w:eastAsia="宋体" w:cs="Times New Roman"/>
                <w:color w:val="auto"/>
                <w:lang w:bidi="ar"/>
              </w:rPr>
            </w:pPr>
            <w:r>
              <w:rPr>
                <w:rFonts w:ascii="宋体" w:hAnsi="宋体" w:eastAsia="宋体" w:cs="Times New Roman"/>
                <w:color w:val="auto"/>
                <w:lang w:bidi="ar"/>
              </w:rPr>
              <w:t>0.03</w:t>
            </w:r>
          </w:p>
        </w:tc>
        <w:tc>
          <w:tcPr>
            <w:tcW w:w="908" w:type="dxa"/>
            <w:tcBorders>
              <w:tl2br w:val="nil"/>
              <w:tr2bl w:val="nil"/>
            </w:tcBorders>
            <w:vAlign w:val="center"/>
          </w:tcPr>
          <w:p w14:paraId="2696D46E">
            <w:pPr>
              <w:jc w:val="center"/>
              <w:textAlignment w:val="center"/>
              <w:rPr>
                <w:rFonts w:ascii="宋体" w:hAnsi="宋体" w:eastAsia="宋体" w:cs="Times New Roman"/>
                <w:color w:val="auto"/>
                <w:lang w:bidi="ar"/>
              </w:rPr>
            </w:pPr>
            <w:r>
              <w:rPr>
                <w:rFonts w:ascii="宋体" w:hAnsi="宋体" w:eastAsia="宋体" w:cs="Times New Roman"/>
                <w:color w:val="auto"/>
                <w:lang w:bidi="ar"/>
              </w:rPr>
              <w:t>0.11</w:t>
            </w:r>
          </w:p>
        </w:tc>
        <w:tc>
          <w:tcPr>
            <w:tcW w:w="911" w:type="dxa"/>
            <w:tcBorders>
              <w:tl2br w:val="nil"/>
              <w:tr2bl w:val="nil"/>
            </w:tcBorders>
            <w:vAlign w:val="center"/>
          </w:tcPr>
          <w:p w14:paraId="0360352A">
            <w:pPr>
              <w:jc w:val="center"/>
              <w:textAlignment w:val="center"/>
              <w:rPr>
                <w:rFonts w:ascii="宋体" w:hAnsi="宋体" w:eastAsia="宋体" w:cs="Times New Roman"/>
                <w:color w:val="auto"/>
                <w:lang w:bidi="ar"/>
              </w:rPr>
            </w:pPr>
            <w:r>
              <w:rPr>
                <w:rFonts w:ascii="宋体" w:hAnsi="宋体" w:eastAsia="宋体" w:cs="Times New Roman"/>
                <w:color w:val="auto"/>
                <w:lang w:bidi="ar"/>
              </w:rPr>
              <w:t>0.03</w:t>
            </w:r>
          </w:p>
        </w:tc>
        <w:tc>
          <w:tcPr>
            <w:tcW w:w="735" w:type="dxa"/>
            <w:tcBorders>
              <w:tl2br w:val="nil"/>
              <w:tr2bl w:val="nil"/>
            </w:tcBorders>
            <w:vAlign w:val="center"/>
          </w:tcPr>
          <w:p w14:paraId="1CE43E63">
            <w:pPr>
              <w:jc w:val="center"/>
              <w:textAlignment w:val="center"/>
              <w:rPr>
                <w:rFonts w:ascii="宋体" w:hAnsi="宋体" w:eastAsia="宋体" w:cs="Times New Roman"/>
                <w:color w:val="auto"/>
                <w:lang w:val="en-GB"/>
              </w:rPr>
            </w:pPr>
            <w:r>
              <w:rPr>
                <w:rFonts w:ascii="宋体" w:hAnsi="宋体" w:eastAsia="宋体" w:cs="Times New Roman"/>
                <w:color w:val="auto"/>
                <w:lang w:val="en-GB"/>
              </w:rPr>
              <w:t>≤0.1</w:t>
            </w:r>
          </w:p>
        </w:tc>
      </w:tr>
      <w:tr w14:paraId="5098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0068F175">
            <w:pPr>
              <w:jc w:val="center"/>
              <w:textAlignment w:val="center"/>
              <w:rPr>
                <w:rFonts w:ascii="宋体" w:hAnsi="宋体" w:eastAsia="宋体" w:cs="Times New Roman"/>
                <w:color w:val="auto"/>
              </w:rPr>
            </w:pPr>
            <w:r>
              <w:rPr>
                <w:rFonts w:ascii="宋体" w:hAnsi="宋体" w:eastAsia="宋体" w:cs="Times New Roman"/>
                <w:color w:val="auto"/>
              </w:rPr>
              <w:t>镉</w:t>
            </w:r>
          </w:p>
        </w:tc>
        <w:tc>
          <w:tcPr>
            <w:tcW w:w="908" w:type="dxa"/>
            <w:tcBorders>
              <w:tl2br w:val="nil"/>
              <w:tr2bl w:val="nil"/>
            </w:tcBorders>
            <w:vAlign w:val="center"/>
          </w:tcPr>
          <w:p w14:paraId="5503B6B2">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08" w:type="dxa"/>
            <w:tcBorders>
              <w:tl2br w:val="nil"/>
              <w:tr2bl w:val="nil"/>
            </w:tcBorders>
            <w:vAlign w:val="center"/>
          </w:tcPr>
          <w:p w14:paraId="0A84B66A">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08" w:type="dxa"/>
            <w:tcBorders>
              <w:tl2br w:val="nil"/>
              <w:tr2bl w:val="nil"/>
            </w:tcBorders>
            <w:vAlign w:val="center"/>
          </w:tcPr>
          <w:p w14:paraId="2056CA04">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08" w:type="dxa"/>
            <w:tcBorders>
              <w:tl2br w:val="nil"/>
              <w:tr2bl w:val="nil"/>
            </w:tcBorders>
            <w:vAlign w:val="center"/>
          </w:tcPr>
          <w:p w14:paraId="3C90B633">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08" w:type="dxa"/>
            <w:tcBorders>
              <w:tl2br w:val="nil"/>
              <w:tr2bl w:val="nil"/>
            </w:tcBorders>
            <w:vAlign w:val="center"/>
          </w:tcPr>
          <w:p w14:paraId="16AA8597">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08" w:type="dxa"/>
            <w:tcBorders>
              <w:tl2br w:val="nil"/>
              <w:tr2bl w:val="nil"/>
            </w:tcBorders>
            <w:vAlign w:val="center"/>
          </w:tcPr>
          <w:p w14:paraId="26D3BB23">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08" w:type="dxa"/>
            <w:tcBorders>
              <w:tl2br w:val="nil"/>
              <w:tr2bl w:val="nil"/>
            </w:tcBorders>
            <w:vAlign w:val="center"/>
          </w:tcPr>
          <w:p w14:paraId="23BEF9E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911" w:type="dxa"/>
            <w:tcBorders>
              <w:tl2br w:val="nil"/>
              <w:tr2bl w:val="nil"/>
            </w:tcBorders>
            <w:vAlign w:val="center"/>
          </w:tcPr>
          <w:p w14:paraId="70867BC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0.0001L</w:t>
            </w:r>
          </w:p>
        </w:tc>
        <w:tc>
          <w:tcPr>
            <w:tcW w:w="735" w:type="dxa"/>
            <w:tcBorders>
              <w:tl2br w:val="nil"/>
              <w:tr2bl w:val="nil"/>
            </w:tcBorders>
            <w:vAlign w:val="center"/>
          </w:tcPr>
          <w:p w14:paraId="72480943">
            <w:pPr>
              <w:jc w:val="center"/>
              <w:textAlignment w:val="center"/>
              <w:rPr>
                <w:rFonts w:ascii="宋体" w:hAnsi="宋体" w:eastAsia="宋体" w:cs="Times New Roman"/>
                <w:color w:val="auto"/>
                <w:lang w:val="en-GB"/>
              </w:rPr>
            </w:pPr>
            <w:r>
              <w:rPr>
                <w:rFonts w:ascii="宋体" w:hAnsi="宋体" w:eastAsia="宋体" w:cs="Times New Roman"/>
                <w:color w:val="auto"/>
                <w:lang w:val="en-GB"/>
              </w:rPr>
              <w:t>≤0.005</w:t>
            </w:r>
          </w:p>
        </w:tc>
      </w:tr>
      <w:tr w14:paraId="3CC7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7DBD5E6A">
            <w:pPr>
              <w:jc w:val="center"/>
              <w:textAlignment w:val="center"/>
              <w:rPr>
                <w:rFonts w:ascii="宋体" w:hAnsi="宋体" w:eastAsia="宋体" w:cs="Times New Roman"/>
                <w:color w:val="auto"/>
              </w:rPr>
            </w:pPr>
            <w:r>
              <w:rPr>
                <w:rFonts w:ascii="宋体" w:hAnsi="宋体" w:eastAsia="宋体" w:cs="Times New Roman"/>
                <w:color w:val="auto"/>
              </w:rPr>
              <w:t>石油类</w:t>
            </w:r>
          </w:p>
        </w:tc>
        <w:tc>
          <w:tcPr>
            <w:tcW w:w="908" w:type="dxa"/>
            <w:tcBorders>
              <w:tl2br w:val="nil"/>
              <w:tr2bl w:val="nil"/>
            </w:tcBorders>
            <w:vAlign w:val="center"/>
          </w:tcPr>
          <w:p w14:paraId="64DBF441">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6536433E">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6DBE955C">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4374E395">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764B9A07">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4D60E2A6">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18E3C78F">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1" w:type="dxa"/>
            <w:tcBorders>
              <w:tl2br w:val="nil"/>
              <w:tr2bl w:val="nil"/>
            </w:tcBorders>
            <w:vAlign w:val="center"/>
          </w:tcPr>
          <w:p w14:paraId="756B76D6">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735" w:type="dxa"/>
            <w:tcBorders>
              <w:tl2br w:val="nil"/>
              <w:tr2bl w:val="nil"/>
            </w:tcBorders>
            <w:vAlign w:val="center"/>
          </w:tcPr>
          <w:p w14:paraId="36BAF14B">
            <w:pPr>
              <w:jc w:val="center"/>
              <w:textAlignment w:val="center"/>
              <w:rPr>
                <w:rFonts w:ascii="宋体" w:hAnsi="宋体" w:eastAsia="宋体" w:cs="Times New Roman"/>
                <w:color w:val="auto"/>
                <w:lang w:val="en-GB"/>
              </w:rPr>
            </w:pPr>
            <w:r>
              <w:rPr>
                <w:rFonts w:ascii="宋体" w:hAnsi="宋体" w:eastAsia="宋体" w:cs="Times New Roman"/>
                <w:color w:val="auto"/>
                <w:lang w:val="en-GB"/>
              </w:rPr>
              <w:t>≤0.05</w:t>
            </w:r>
          </w:p>
        </w:tc>
      </w:tr>
      <w:tr w14:paraId="5C84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5244EDC9">
            <w:pPr>
              <w:jc w:val="center"/>
              <w:textAlignment w:val="center"/>
              <w:rPr>
                <w:rFonts w:ascii="宋体" w:hAnsi="宋体" w:eastAsia="宋体" w:cs="Times New Roman"/>
                <w:color w:val="auto"/>
              </w:rPr>
            </w:pPr>
            <w:r>
              <w:rPr>
                <w:rFonts w:ascii="宋体" w:hAnsi="宋体" w:eastAsia="宋体" w:cs="Times New Roman"/>
                <w:color w:val="auto"/>
              </w:rPr>
              <w:t>总大肠菌群</w:t>
            </w:r>
          </w:p>
        </w:tc>
        <w:tc>
          <w:tcPr>
            <w:tcW w:w="908" w:type="dxa"/>
            <w:tcBorders>
              <w:tl2br w:val="nil"/>
              <w:tr2bl w:val="nil"/>
            </w:tcBorders>
            <w:vAlign w:val="center"/>
          </w:tcPr>
          <w:p w14:paraId="396308DE">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08" w:type="dxa"/>
            <w:tcBorders>
              <w:tl2br w:val="nil"/>
              <w:tr2bl w:val="nil"/>
            </w:tcBorders>
            <w:vAlign w:val="center"/>
          </w:tcPr>
          <w:p w14:paraId="2758061D">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08" w:type="dxa"/>
            <w:tcBorders>
              <w:tl2br w:val="nil"/>
              <w:tr2bl w:val="nil"/>
            </w:tcBorders>
            <w:vAlign w:val="center"/>
          </w:tcPr>
          <w:p w14:paraId="76EF5BBA">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08" w:type="dxa"/>
            <w:tcBorders>
              <w:tl2br w:val="nil"/>
              <w:tr2bl w:val="nil"/>
            </w:tcBorders>
            <w:vAlign w:val="center"/>
          </w:tcPr>
          <w:p w14:paraId="579EDC90">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08" w:type="dxa"/>
            <w:tcBorders>
              <w:tl2br w:val="nil"/>
              <w:tr2bl w:val="nil"/>
            </w:tcBorders>
            <w:vAlign w:val="center"/>
          </w:tcPr>
          <w:p w14:paraId="04807308">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08" w:type="dxa"/>
            <w:tcBorders>
              <w:tl2br w:val="nil"/>
              <w:tr2bl w:val="nil"/>
            </w:tcBorders>
            <w:vAlign w:val="center"/>
          </w:tcPr>
          <w:p w14:paraId="4EC9B0E7">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08" w:type="dxa"/>
            <w:tcBorders>
              <w:tl2br w:val="nil"/>
              <w:tr2bl w:val="nil"/>
            </w:tcBorders>
            <w:vAlign w:val="center"/>
          </w:tcPr>
          <w:p w14:paraId="2A947432">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911" w:type="dxa"/>
            <w:tcBorders>
              <w:tl2br w:val="nil"/>
              <w:tr2bl w:val="nil"/>
            </w:tcBorders>
            <w:vAlign w:val="center"/>
          </w:tcPr>
          <w:p w14:paraId="1C3A79AF">
            <w:pPr>
              <w:jc w:val="center"/>
              <w:textAlignment w:val="center"/>
              <w:rPr>
                <w:rFonts w:ascii="宋体" w:hAnsi="宋体" w:eastAsia="宋体" w:cs="Times New Roman"/>
                <w:color w:val="auto"/>
                <w:lang w:bidi="ar"/>
              </w:rPr>
            </w:pPr>
            <w:r>
              <w:rPr>
                <w:rFonts w:ascii="宋体" w:hAnsi="宋体" w:eastAsia="宋体" w:cs="Times New Roman"/>
                <w:color w:val="auto"/>
                <w:lang w:bidi="ar"/>
              </w:rPr>
              <w:t>2L</w:t>
            </w:r>
          </w:p>
        </w:tc>
        <w:tc>
          <w:tcPr>
            <w:tcW w:w="735" w:type="dxa"/>
            <w:tcBorders>
              <w:tl2br w:val="nil"/>
              <w:tr2bl w:val="nil"/>
            </w:tcBorders>
            <w:vAlign w:val="center"/>
          </w:tcPr>
          <w:p w14:paraId="0A5AE80C">
            <w:pPr>
              <w:jc w:val="center"/>
              <w:textAlignment w:val="center"/>
              <w:rPr>
                <w:rFonts w:ascii="宋体" w:hAnsi="宋体" w:eastAsia="宋体" w:cs="Times New Roman"/>
                <w:color w:val="auto"/>
                <w:lang w:val="en-GB"/>
              </w:rPr>
            </w:pPr>
            <w:r>
              <w:rPr>
                <w:rFonts w:ascii="宋体" w:hAnsi="宋体" w:eastAsia="宋体" w:cs="Times New Roman"/>
                <w:color w:val="auto"/>
                <w:lang w:val="en-GB"/>
              </w:rPr>
              <w:t>≤3.0</w:t>
            </w:r>
          </w:p>
        </w:tc>
      </w:tr>
      <w:tr w14:paraId="0FF2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6EC7B955">
            <w:pPr>
              <w:jc w:val="center"/>
              <w:textAlignment w:val="center"/>
              <w:rPr>
                <w:rFonts w:ascii="宋体" w:hAnsi="宋体" w:eastAsia="宋体" w:cs="Times New Roman"/>
                <w:color w:val="auto"/>
              </w:rPr>
            </w:pPr>
            <w:r>
              <w:rPr>
                <w:rFonts w:ascii="宋体" w:hAnsi="宋体" w:eastAsia="宋体" w:cs="Times New Roman"/>
                <w:color w:val="auto"/>
              </w:rPr>
              <w:t>菌落总数</w:t>
            </w:r>
          </w:p>
        </w:tc>
        <w:tc>
          <w:tcPr>
            <w:tcW w:w="908" w:type="dxa"/>
            <w:tcBorders>
              <w:tl2br w:val="nil"/>
              <w:tr2bl w:val="nil"/>
            </w:tcBorders>
            <w:vAlign w:val="center"/>
          </w:tcPr>
          <w:p w14:paraId="7F1DDE12">
            <w:pPr>
              <w:jc w:val="center"/>
              <w:textAlignment w:val="center"/>
              <w:rPr>
                <w:rFonts w:ascii="宋体" w:hAnsi="宋体" w:eastAsia="宋体" w:cs="Times New Roman"/>
                <w:color w:val="auto"/>
                <w:lang w:bidi="ar"/>
              </w:rPr>
            </w:pPr>
            <w:r>
              <w:rPr>
                <w:rFonts w:ascii="宋体" w:hAnsi="宋体" w:eastAsia="宋体" w:cs="Times New Roman"/>
                <w:color w:val="auto"/>
                <w:lang w:bidi="ar"/>
              </w:rPr>
              <w:t>12</w:t>
            </w:r>
          </w:p>
        </w:tc>
        <w:tc>
          <w:tcPr>
            <w:tcW w:w="908" w:type="dxa"/>
            <w:tcBorders>
              <w:tl2br w:val="nil"/>
              <w:tr2bl w:val="nil"/>
            </w:tcBorders>
            <w:vAlign w:val="center"/>
          </w:tcPr>
          <w:p w14:paraId="37DD63D5">
            <w:pPr>
              <w:jc w:val="center"/>
              <w:textAlignment w:val="center"/>
              <w:rPr>
                <w:rFonts w:ascii="宋体" w:hAnsi="宋体" w:eastAsia="宋体" w:cs="Times New Roman"/>
                <w:color w:val="auto"/>
                <w:lang w:bidi="ar"/>
              </w:rPr>
            </w:pPr>
            <w:r>
              <w:rPr>
                <w:rFonts w:ascii="宋体" w:hAnsi="宋体" w:eastAsia="宋体" w:cs="Times New Roman"/>
                <w:color w:val="auto"/>
                <w:lang w:bidi="ar"/>
              </w:rPr>
              <w:t>10</w:t>
            </w:r>
          </w:p>
        </w:tc>
        <w:tc>
          <w:tcPr>
            <w:tcW w:w="908" w:type="dxa"/>
            <w:tcBorders>
              <w:tl2br w:val="nil"/>
              <w:tr2bl w:val="nil"/>
            </w:tcBorders>
            <w:vAlign w:val="center"/>
          </w:tcPr>
          <w:p w14:paraId="434BAFA1">
            <w:pPr>
              <w:jc w:val="center"/>
              <w:textAlignment w:val="center"/>
              <w:rPr>
                <w:rFonts w:ascii="宋体" w:hAnsi="宋体" w:eastAsia="宋体" w:cs="Times New Roman"/>
                <w:color w:val="auto"/>
                <w:lang w:bidi="ar"/>
              </w:rPr>
            </w:pPr>
            <w:r>
              <w:rPr>
                <w:rFonts w:ascii="宋体" w:hAnsi="宋体" w:eastAsia="宋体" w:cs="Times New Roman"/>
                <w:color w:val="auto"/>
                <w:lang w:bidi="ar"/>
              </w:rPr>
              <w:t>11</w:t>
            </w:r>
          </w:p>
        </w:tc>
        <w:tc>
          <w:tcPr>
            <w:tcW w:w="908" w:type="dxa"/>
            <w:tcBorders>
              <w:tl2br w:val="nil"/>
              <w:tr2bl w:val="nil"/>
            </w:tcBorders>
            <w:vAlign w:val="center"/>
          </w:tcPr>
          <w:p w14:paraId="499D97BE">
            <w:pPr>
              <w:jc w:val="center"/>
              <w:textAlignment w:val="center"/>
              <w:rPr>
                <w:rFonts w:ascii="宋体" w:hAnsi="宋体" w:eastAsia="宋体" w:cs="Times New Roman"/>
                <w:color w:val="auto"/>
                <w:lang w:bidi="ar"/>
              </w:rPr>
            </w:pPr>
            <w:r>
              <w:rPr>
                <w:rFonts w:ascii="宋体" w:hAnsi="宋体" w:eastAsia="宋体" w:cs="Times New Roman"/>
                <w:color w:val="auto"/>
                <w:lang w:bidi="ar"/>
              </w:rPr>
              <w:t>11</w:t>
            </w:r>
          </w:p>
        </w:tc>
        <w:tc>
          <w:tcPr>
            <w:tcW w:w="908" w:type="dxa"/>
            <w:tcBorders>
              <w:tl2br w:val="nil"/>
              <w:tr2bl w:val="nil"/>
            </w:tcBorders>
            <w:vAlign w:val="center"/>
          </w:tcPr>
          <w:p w14:paraId="3DD32F36">
            <w:pPr>
              <w:jc w:val="center"/>
              <w:textAlignment w:val="center"/>
              <w:rPr>
                <w:rFonts w:ascii="宋体" w:hAnsi="宋体" w:eastAsia="宋体" w:cs="Times New Roman"/>
                <w:color w:val="auto"/>
                <w:lang w:bidi="ar"/>
              </w:rPr>
            </w:pPr>
            <w:r>
              <w:rPr>
                <w:rFonts w:ascii="宋体" w:hAnsi="宋体" w:eastAsia="宋体" w:cs="Times New Roman"/>
                <w:color w:val="auto"/>
                <w:lang w:bidi="ar"/>
              </w:rPr>
              <w:t>8</w:t>
            </w:r>
          </w:p>
        </w:tc>
        <w:tc>
          <w:tcPr>
            <w:tcW w:w="908" w:type="dxa"/>
            <w:tcBorders>
              <w:tl2br w:val="nil"/>
              <w:tr2bl w:val="nil"/>
            </w:tcBorders>
            <w:vAlign w:val="center"/>
          </w:tcPr>
          <w:p w14:paraId="69C706A0">
            <w:pPr>
              <w:jc w:val="center"/>
              <w:textAlignment w:val="center"/>
              <w:rPr>
                <w:rFonts w:ascii="宋体" w:hAnsi="宋体" w:eastAsia="宋体" w:cs="Times New Roman"/>
                <w:color w:val="auto"/>
                <w:lang w:bidi="ar"/>
              </w:rPr>
            </w:pPr>
            <w:r>
              <w:rPr>
                <w:rFonts w:ascii="宋体" w:hAnsi="宋体" w:eastAsia="宋体" w:cs="Times New Roman"/>
                <w:color w:val="auto"/>
                <w:lang w:bidi="ar"/>
              </w:rPr>
              <w:t>9</w:t>
            </w:r>
          </w:p>
        </w:tc>
        <w:tc>
          <w:tcPr>
            <w:tcW w:w="908" w:type="dxa"/>
            <w:tcBorders>
              <w:tl2br w:val="nil"/>
              <w:tr2bl w:val="nil"/>
            </w:tcBorders>
            <w:vAlign w:val="center"/>
          </w:tcPr>
          <w:p w14:paraId="13562A6E">
            <w:pPr>
              <w:jc w:val="center"/>
              <w:textAlignment w:val="center"/>
              <w:rPr>
                <w:rFonts w:ascii="宋体" w:hAnsi="宋体" w:eastAsia="宋体" w:cs="Times New Roman"/>
                <w:color w:val="auto"/>
                <w:lang w:bidi="ar"/>
              </w:rPr>
            </w:pPr>
            <w:r>
              <w:rPr>
                <w:rFonts w:ascii="宋体" w:hAnsi="宋体" w:eastAsia="宋体" w:cs="Times New Roman"/>
                <w:color w:val="auto"/>
                <w:lang w:bidi="ar"/>
              </w:rPr>
              <w:t>12</w:t>
            </w:r>
          </w:p>
        </w:tc>
        <w:tc>
          <w:tcPr>
            <w:tcW w:w="911" w:type="dxa"/>
            <w:tcBorders>
              <w:tl2br w:val="nil"/>
              <w:tr2bl w:val="nil"/>
            </w:tcBorders>
            <w:vAlign w:val="center"/>
          </w:tcPr>
          <w:p w14:paraId="6BA66C90">
            <w:pPr>
              <w:jc w:val="center"/>
              <w:textAlignment w:val="center"/>
              <w:rPr>
                <w:rFonts w:ascii="宋体" w:hAnsi="宋体" w:eastAsia="宋体" w:cs="Times New Roman"/>
                <w:color w:val="auto"/>
                <w:lang w:bidi="ar"/>
              </w:rPr>
            </w:pPr>
            <w:r>
              <w:rPr>
                <w:rFonts w:ascii="宋体" w:hAnsi="宋体" w:eastAsia="宋体" w:cs="Times New Roman"/>
                <w:color w:val="auto"/>
                <w:lang w:bidi="ar"/>
              </w:rPr>
              <w:t>7</w:t>
            </w:r>
          </w:p>
        </w:tc>
        <w:tc>
          <w:tcPr>
            <w:tcW w:w="735" w:type="dxa"/>
            <w:tcBorders>
              <w:tl2br w:val="nil"/>
              <w:tr2bl w:val="nil"/>
            </w:tcBorders>
            <w:vAlign w:val="center"/>
          </w:tcPr>
          <w:p w14:paraId="6A9FCFC3">
            <w:pPr>
              <w:jc w:val="center"/>
              <w:textAlignment w:val="center"/>
              <w:rPr>
                <w:rFonts w:ascii="宋体" w:hAnsi="宋体" w:eastAsia="宋体" w:cs="Times New Roman"/>
                <w:color w:val="auto"/>
                <w:lang w:val="en-GB"/>
              </w:rPr>
            </w:pPr>
            <w:r>
              <w:rPr>
                <w:rFonts w:ascii="宋体" w:hAnsi="宋体" w:eastAsia="宋体" w:cs="Times New Roman"/>
                <w:color w:val="auto"/>
                <w:lang w:val="en-GB"/>
              </w:rPr>
              <w:t>≤100</w:t>
            </w:r>
          </w:p>
        </w:tc>
      </w:tr>
      <w:tr w14:paraId="0D65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61FF757A">
            <w:pPr>
              <w:jc w:val="center"/>
              <w:textAlignment w:val="center"/>
              <w:rPr>
                <w:rFonts w:ascii="宋体" w:hAnsi="宋体" w:eastAsia="宋体" w:cs="Times New Roman"/>
                <w:color w:val="auto"/>
              </w:rPr>
            </w:pPr>
            <w:r>
              <w:rPr>
                <w:rFonts w:ascii="宋体" w:hAnsi="宋体" w:eastAsia="宋体" w:cs="Times New Roman"/>
                <w:color w:val="auto"/>
              </w:rPr>
              <w:t>硫化物</w:t>
            </w:r>
          </w:p>
        </w:tc>
        <w:tc>
          <w:tcPr>
            <w:tcW w:w="908" w:type="dxa"/>
            <w:tcBorders>
              <w:tl2br w:val="nil"/>
              <w:tr2bl w:val="nil"/>
            </w:tcBorders>
            <w:vAlign w:val="center"/>
          </w:tcPr>
          <w:p w14:paraId="204AB60B">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6D368CF9">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60CB2983">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6D046692">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5CDFE307">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14156447">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08" w:type="dxa"/>
            <w:tcBorders>
              <w:tl2br w:val="nil"/>
              <w:tr2bl w:val="nil"/>
            </w:tcBorders>
            <w:vAlign w:val="center"/>
          </w:tcPr>
          <w:p w14:paraId="13B4BE61">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911" w:type="dxa"/>
            <w:tcBorders>
              <w:tl2br w:val="nil"/>
              <w:tr2bl w:val="nil"/>
            </w:tcBorders>
            <w:vAlign w:val="center"/>
          </w:tcPr>
          <w:p w14:paraId="17F846C3">
            <w:pPr>
              <w:jc w:val="center"/>
              <w:textAlignment w:val="center"/>
              <w:rPr>
                <w:rFonts w:ascii="宋体" w:hAnsi="宋体" w:eastAsia="宋体" w:cs="Times New Roman"/>
                <w:color w:val="auto"/>
                <w:lang w:bidi="ar"/>
              </w:rPr>
            </w:pPr>
            <w:r>
              <w:rPr>
                <w:rFonts w:ascii="宋体" w:hAnsi="宋体" w:eastAsia="宋体" w:cs="Times New Roman"/>
                <w:color w:val="auto"/>
                <w:lang w:bidi="ar"/>
              </w:rPr>
              <w:t>0.003L</w:t>
            </w:r>
          </w:p>
        </w:tc>
        <w:tc>
          <w:tcPr>
            <w:tcW w:w="735" w:type="dxa"/>
            <w:tcBorders>
              <w:tl2br w:val="nil"/>
              <w:tr2bl w:val="nil"/>
            </w:tcBorders>
            <w:vAlign w:val="center"/>
          </w:tcPr>
          <w:p w14:paraId="2ABF712C">
            <w:pPr>
              <w:jc w:val="center"/>
              <w:textAlignment w:val="center"/>
              <w:rPr>
                <w:rFonts w:ascii="宋体" w:hAnsi="宋体" w:eastAsia="宋体" w:cs="Times New Roman"/>
                <w:color w:val="auto"/>
                <w:lang w:val="en-GB"/>
              </w:rPr>
            </w:pPr>
            <w:r>
              <w:rPr>
                <w:rFonts w:ascii="宋体" w:hAnsi="宋体" w:eastAsia="宋体" w:cs="Times New Roman"/>
                <w:color w:val="auto"/>
              </w:rPr>
              <w:t>≤0.02</w:t>
            </w:r>
          </w:p>
        </w:tc>
      </w:tr>
      <w:tr w14:paraId="7235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5" w:type="dxa"/>
            <w:tcBorders>
              <w:tl2br w:val="nil"/>
              <w:tr2bl w:val="nil"/>
            </w:tcBorders>
            <w:vAlign w:val="center"/>
          </w:tcPr>
          <w:p w14:paraId="05136C21">
            <w:pPr>
              <w:jc w:val="center"/>
              <w:textAlignment w:val="center"/>
              <w:rPr>
                <w:rFonts w:ascii="宋体" w:hAnsi="宋体" w:eastAsia="宋体" w:cs="Times New Roman"/>
                <w:color w:val="auto"/>
              </w:rPr>
            </w:pPr>
            <w:r>
              <w:rPr>
                <w:rFonts w:ascii="宋体" w:hAnsi="宋体" w:eastAsia="宋体" w:cs="Times New Roman"/>
                <w:color w:val="auto"/>
              </w:rPr>
              <w:t>钡</w:t>
            </w:r>
          </w:p>
        </w:tc>
        <w:tc>
          <w:tcPr>
            <w:tcW w:w="908" w:type="dxa"/>
            <w:tcBorders>
              <w:tl2br w:val="nil"/>
              <w:tr2bl w:val="nil"/>
            </w:tcBorders>
            <w:vAlign w:val="center"/>
          </w:tcPr>
          <w:p w14:paraId="5527D506">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7424395E">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2CB9C475">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6DB29956">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77B17A77">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6EB41BBE">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08" w:type="dxa"/>
            <w:tcBorders>
              <w:tl2br w:val="nil"/>
              <w:tr2bl w:val="nil"/>
            </w:tcBorders>
            <w:vAlign w:val="center"/>
          </w:tcPr>
          <w:p w14:paraId="0E993340">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911" w:type="dxa"/>
            <w:tcBorders>
              <w:tl2br w:val="nil"/>
              <w:tr2bl w:val="nil"/>
            </w:tcBorders>
            <w:vAlign w:val="center"/>
          </w:tcPr>
          <w:p w14:paraId="264FCF08">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735" w:type="dxa"/>
            <w:tcBorders>
              <w:tl2br w:val="nil"/>
              <w:tr2bl w:val="nil"/>
            </w:tcBorders>
            <w:vAlign w:val="center"/>
          </w:tcPr>
          <w:p w14:paraId="5EC622E5">
            <w:pPr>
              <w:jc w:val="center"/>
              <w:textAlignment w:val="center"/>
              <w:rPr>
                <w:rFonts w:ascii="宋体" w:hAnsi="宋体" w:eastAsia="宋体" w:cs="Times New Roman"/>
                <w:color w:val="auto"/>
                <w:lang w:val="en-GB"/>
              </w:rPr>
            </w:pPr>
            <w:r>
              <w:rPr>
                <w:rFonts w:ascii="宋体" w:hAnsi="宋体" w:eastAsia="宋体" w:cs="Times New Roman"/>
                <w:color w:val="auto"/>
              </w:rPr>
              <w:t>≤0.70</w:t>
            </w:r>
          </w:p>
        </w:tc>
      </w:tr>
    </w:tbl>
    <w:p w14:paraId="0F285CF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监测方法</w:t>
      </w:r>
    </w:p>
    <w:p w14:paraId="1A821445">
      <w:pPr>
        <w:pStyle w:val="276"/>
        <w:widowControl w:val="0"/>
        <w:ind w:firstLine="480"/>
        <w:jc w:val="both"/>
        <w:rPr>
          <w:color w:val="auto"/>
        </w:rPr>
      </w:pPr>
      <w:bookmarkStart w:id="1133" w:name="_Ref121218523"/>
      <w:r>
        <w:rPr>
          <w:rFonts w:hint="eastAsia"/>
          <w:color w:val="auto"/>
        </w:rPr>
        <w:t>地下水监测方法详见表4</w:t>
      </w:r>
      <w:r>
        <w:rPr>
          <w:color w:val="auto"/>
        </w:rPr>
        <w:t>.3-8</w:t>
      </w:r>
      <w:r>
        <w:rPr>
          <w:rFonts w:hint="eastAsia"/>
          <w:color w:val="auto"/>
        </w:rPr>
        <w:t>。</w:t>
      </w:r>
    </w:p>
    <w:bookmarkEnd w:id="1133"/>
    <w:p w14:paraId="0B504D92">
      <w:pPr>
        <w:spacing w:line="440" w:lineRule="exact"/>
        <w:jc w:val="center"/>
        <w:rPr>
          <w:rFonts w:ascii="宋体" w:hAnsi="宋体" w:eastAsia="宋体" w:cs="Times New Roman"/>
          <w:color w:val="auto"/>
        </w:rPr>
      </w:pPr>
      <w:bookmarkStart w:id="1134" w:name="_Ref182745219"/>
      <w:r>
        <w:rPr>
          <w:rFonts w:ascii="宋体" w:hAnsi="宋体" w:eastAsia="宋体" w:cs="Times New Roman"/>
          <w:color w:val="auto"/>
        </w:rPr>
        <w:t xml:space="preserve">表 </w:t>
      </w:r>
      <w:bookmarkEnd w:id="1134"/>
      <w:r>
        <w:rPr>
          <w:rFonts w:ascii="宋体" w:hAnsi="宋体" w:eastAsia="宋体" w:cs="Times New Roman"/>
          <w:color w:val="auto"/>
        </w:rPr>
        <w:t>4.3-8 地下水现状监测分析方法</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804"/>
        <w:gridCol w:w="2833"/>
        <w:gridCol w:w="1690"/>
        <w:gridCol w:w="1831"/>
      </w:tblGrid>
      <w:tr w14:paraId="487A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8" w:type="pct"/>
            <w:shd w:val="clear" w:color="auto" w:fill="auto"/>
            <w:vAlign w:val="center"/>
          </w:tcPr>
          <w:p w14:paraId="22BC9DDA">
            <w:pPr>
              <w:adjustRightInd w:val="0"/>
              <w:snapToGrid w:val="0"/>
              <w:jc w:val="center"/>
              <w:rPr>
                <w:rFonts w:asciiTheme="minorEastAsia" w:hAnsiTheme="minorEastAsia"/>
                <w:color w:val="auto"/>
              </w:rPr>
            </w:pPr>
            <w:r>
              <w:rPr>
                <w:rFonts w:hint="eastAsia" w:asciiTheme="minorEastAsia" w:hAnsiTheme="minorEastAsia"/>
                <w:color w:val="auto"/>
              </w:rPr>
              <w:t>监测</w:t>
            </w:r>
          </w:p>
          <w:p w14:paraId="3900766F">
            <w:pPr>
              <w:jc w:val="center"/>
              <w:rPr>
                <w:rFonts w:asciiTheme="minorEastAsia" w:hAnsiTheme="minorEastAsia"/>
                <w:color w:val="auto"/>
              </w:rPr>
            </w:pPr>
            <w:r>
              <w:rPr>
                <w:rFonts w:hint="eastAsia" w:asciiTheme="minorEastAsia" w:hAnsiTheme="minorEastAsia"/>
                <w:color w:val="auto"/>
              </w:rPr>
              <w:t>项目</w:t>
            </w:r>
          </w:p>
        </w:tc>
        <w:tc>
          <w:tcPr>
            <w:tcW w:w="971" w:type="pct"/>
            <w:shd w:val="clear" w:color="auto" w:fill="auto"/>
            <w:vAlign w:val="center"/>
          </w:tcPr>
          <w:p w14:paraId="61CC49AD">
            <w:pPr>
              <w:jc w:val="center"/>
              <w:rPr>
                <w:rFonts w:asciiTheme="minorEastAsia" w:hAnsiTheme="minorEastAsia"/>
                <w:color w:val="auto"/>
              </w:rPr>
            </w:pPr>
            <w:r>
              <w:rPr>
                <w:rFonts w:hint="eastAsia" w:asciiTheme="minorEastAsia" w:hAnsiTheme="minorEastAsia"/>
                <w:color w:val="auto"/>
              </w:rPr>
              <w:t>分析方法名称</w:t>
            </w:r>
          </w:p>
        </w:tc>
        <w:tc>
          <w:tcPr>
            <w:tcW w:w="1525" w:type="pct"/>
            <w:shd w:val="clear" w:color="auto" w:fill="auto"/>
            <w:vAlign w:val="center"/>
          </w:tcPr>
          <w:p w14:paraId="75336B61">
            <w:pPr>
              <w:jc w:val="center"/>
              <w:rPr>
                <w:rFonts w:asciiTheme="minorEastAsia" w:hAnsiTheme="minorEastAsia"/>
                <w:color w:val="auto"/>
              </w:rPr>
            </w:pPr>
            <w:r>
              <w:rPr>
                <w:rFonts w:hint="eastAsia" w:asciiTheme="minorEastAsia" w:hAnsiTheme="minorEastAsia"/>
                <w:color w:val="auto"/>
              </w:rPr>
              <w:t>方法来源及标准号</w:t>
            </w:r>
          </w:p>
        </w:tc>
        <w:tc>
          <w:tcPr>
            <w:tcW w:w="910" w:type="pct"/>
            <w:shd w:val="clear" w:color="auto" w:fill="auto"/>
            <w:vAlign w:val="center"/>
          </w:tcPr>
          <w:p w14:paraId="50AB59E7">
            <w:pPr>
              <w:jc w:val="center"/>
              <w:rPr>
                <w:rFonts w:asciiTheme="minorEastAsia" w:hAnsiTheme="minorEastAsia"/>
                <w:color w:val="auto"/>
              </w:rPr>
            </w:pPr>
            <w:r>
              <w:rPr>
                <w:rFonts w:hint="eastAsia" w:asciiTheme="minorEastAsia" w:hAnsiTheme="minorEastAsia"/>
                <w:color w:val="auto"/>
              </w:rPr>
              <w:t>分析仪器及型号</w:t>
            </w:r>
          </w:p>
        </w:tc>
        <w:tc>
          <w:tcPr>
            <w:tcW w:w="986" w:type="pct"/>
            <w:shd w:val="clear" w:color="auto" w:fill="auto"/>
            <w:vAlign w:val="center"/>
          </w:tcPr>
          <w:p w14:paraId="58A4E1E3">
            <w:pPr>
              <w:adjustRightInd w:val="0"/>
              <w:snapToGrid w:val="0"/>
              <w:jc w:val="center"/>
              <w:rPr>
                <w:rFonts w:asciiTheme="minorEastAsia" w:hAnsiTheme="minorEastAsia"/>
                <w:color w:val="auto"/>
              </w:rPr>
            </w:pPr>
            <w:r>
              <w:rPr>
                <w:rFonts w:hint="eastAsia" w:asciiTheme="minorEastAsia" w:hAnsiTheme="minorEastAsia"/>
                <w:color w:val="auto"/>
              </w:rPr>
              <w:t>方法检出限</w:t>
            </w:r>
          </w:p>
        </w:tc>
      </w:tr>
      <w:tr w14:paraId="1CE9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22B3305D">
            <w:pPr>
              <w:jc w:val="center"/>
              <w:rPr>
                <w:rFonts w:asciiTheme="minorEastAsia" w:hAnsiTheme="minorEastAsia"/>
                <w:color w:val="auto"/>
              </w:rPr>
            </w:pPr>
            <w:r>
              <w:rPr>
                <w:rFonts w:hint="eastAsia" w:asciiTheme="minorEastAsia" w:hAnsiTheme="minorEastAsia"/>
                <w:color w:val="auto"/>
                <w:kern w:val="24"/>
                <w:lang w:bidi="ar"/>
              </w:rPr>
              <w:t>K</w:t>
            </w:r>
            <w:r>
              <w:rPr>
                <w:rFonts w:hint="eastAsia" w:asciiTheme="minorEastAsia" w:hAnsiTheme="minorEastAsia"/>
                <w:color w:val="auto"/>
                <w:kern w:val="24"/>
                <w:vertAlign w:val="superscript"/>
                <w:lang w:bidi="ar"/>
              </w:rPr>
              <w:t>+</w:t>
            </w:r>
          </w:p>
        </w:tc>
        <w:tc>
          <w:tcPr>
            <w:tcW w:w="971" w:type="pct"/>
            <w:shd w:val="clear" w:color="auto" w:fill="auto"/>
            <w:vAlign w:val="center"/>
          </w:tcPr>
          <w:p w14:paraId="4F532492">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lang w:val="zh-CN"/>
              </w:rPr>
              <w:t>水质 钾和钠的测定</w:t>
            </w:r>
            <w:r>
              <w:rPr>
                <w:rFonts w:hint="eastAsia" w:asciiTheme="minorEastAsia" w:hAnsiTheme="minorEastAsia"/>
                <w:color w:val="auto"/>
              </w:rPr>
              <w:t xml:space="preserve">      </w:t>
            </w:r>
            <w:r>
              <w:rPr>
                <w:rFonts w:hint="eastAsia" w:asciiTheme="minorEastAsia" w:hAnsiTheme="minorEastAsia"/>
                <w:color w:val="auto"/>
                <w:lang w:val="zh-CN"/>
              </w:rPr>
              <w:t>火焰原子吸收分光光度法</w:t>
            </w:r>
          </w:p>
        </w:tc>
        <w:tc>
          <w:tcPr>
            <w:tcW w:w="1525" w:type="pct"/>
            <w:shd w:val="clear" w:color="auto" w:fill="auto"/>
            <w:vAlign w:val="center"/>
          </w:tcPr>
          <w:p w14:paraId="43AEC523">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lang w:val="zh-CN"/>
              </w:rPr>
              <w:t>GB</w:t>
            </w:r>
            <w:r>
              <w:rPr>
                <w:rFonts w:hint="eastAsia" w:asciiTheme="minorEastAsia" w:hAnsiTheme="minorEastAsia"/>
                <w:color w:val="auto"/>
              </w:rPr>
              <w:t xml:space="preserve">/T </w:t>
            </w:r>
            <w:r>
              <w:rPr>
                <w:rFonts w:hint="eastAsia" w:asciiTheme="minorEastAsia" w:hAnsiTheme="minorEastAsia"/>
                <w:color w:val="auto"/>
                <w:lang w:val="zh-CN"/>
              </w:rPr>
              <w:t>11904-1989</w:t>
            </w:r>
          </w:p>
        </w:tc>
        <w:tc>
          <w:tcPr>
            <w:tcW w:w="910" w:type="pct"/>
            <w:shd w:val="clear" w:color="auto" w:fill="auto"/>
            <w:vAlign w:val="center"/>
          </w:tcPr>
          <w:p w14:paraId="22CDB039">
            <w:pPr>
              <w:adjustRightInd w:val="0"/>
              <w:snapToGrid w:val="0"/>
              <w:jc w:val="center"/>
              <w:rPr>
                <w:rFonts w:asciiTheme="minorEastAsia" w:hAnsiTheme="minorEastAsia"/>
                <w:color w:val="auto"/>
              </w:rPr>
            </w:pPr>
            <w:r>
              <w:rPr>
                <w:rFonts w:hint="eastAsia" w:asciiTheme="minorEastAsia" w:hAnsiTheme="minorEastAsia"/>
                <w:color w:val="auto"/>
                <w:kern w:val="21"/>
              </w:rPr>
              <w:t>原子吸收分光光度计 AA320N</w:t>
            </w:r>
          </w:p>
        </w:tc>
        <w:tc>
          <w:tcPr>
            <w:tcW w:w="986" w:type="pct"/>
            <w:shd w:val="clear" w:color="auto" w:fill="auto"/>
            <w:vAlign w:val="center"/>
          </w:tcPr>
          <w:p w14:paraId="47EE52BF">
            <w:pPr>
              <w:adjustRightInd w:val="0"/>
              <w:snapToGrid w:val="0"/>
              <w:jc w:val="center"/>
              <w:rPr>
                <w:rFonts w:asciiTheme="minorEastAsia" w:hAnsiTheme="minorEastAsia"/>
                <w:color w:val="auto"/>
              </w:rPr>
            </w:pPr>
            <w:r>
              <w:rPr>
                <w:rFonts w:hint="eastAsia" w:asciiTheme="minorEastAsia" w:hAnsiTheme="minorEastAsia"/>
                <w:color w:val="auto"/>
                <w:kern w:val="21"/>
              </w:rPr>
              <w:t>0.03mg/L</w:t>
            </w:r>
          </w:p>
        </w:tc>
      </w:tr>
      <w:tr w14:paraId="523A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3E3A5D6C">
            <w:pPr>
              <w:jc w:val="center"/>
              <w:textAlignment w:val="center"/>
              <w:rPr>
                <w:rFonts w:asciiTheme="minorEastAsia" w:hAnsiTheme="minorEastAsia"/>
                <w:color w:val="auto"/>
              </w:rPr>
            </w:pPr>
            <w:r>
              <w:rPr>
                <w:rFonts w:hint="eastAsia" w:asciiTheme="minorEastAsia" w:hAnsiTheme="minorEastAsia"/>
                <w:color w:val="auto"/>
                <w:kern w:val="24"/>
                <w:lang w:bidi="ar"/>
              </w:rPr>
              <w:t>Na</w:t>
            </w:r>
            <w:r>
              <w:rPr>
                <w:rFonts w:hint="eastAsia" w:asciiTheme="minorEastAsia" w:hAnsiTheme="minorEastAsia"/>
                <w:color w:val="auto"/>
                <w:kern w:val="24"/>
                <w:vertAlign w:val="superscript"/>
                <w:lang w:bidi="ar"/>
              </w:rPr>
              <w:t>+</w:t>
            </w:r>
          </w:p>
        </w:tc>
        <w:tc>
          <w:tcPr>
            <w:tcW w:w="971" w:type="pct"/>
            <w:shd w:val="clear" w:color="auto" w:fill="auto"/>
            <w:vAlign w:val="center"/>
          </w:tcPr>
          <w:p w14:paraId="601EBD77">
            <w:pPr>
              <w:adjustRightInd w:val="0"/>
              <w:snapToGrid w:val="0"/>
              <w:jc w:val="center"/>
              <w:rPr>
                <w:rFonts w:asciiTheme="minorEastAsia" w:hAnsiTheme="minorEastAsia"/>
                <w:color w:val="auto"/>
              </w:rPr>
            </w:pPr>
            <w:r>
              <w:rPr>
                <w:rFonts w:hint="eastAsia" w:asciiTheme="minorEastAsia" w:hAnsiTheme="minorEastAsia"/>
                <w:color w:val="auto"/>
              </w:rPr>
              <w:t>水质 钾和钠的测定</w:t>
            </w:r>
          </w:p>
          <w:p w14:paraId="16577824">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rPr>
              <w:t>火焰原子吸收分光光度法</w:t>
            </w:r>
          </w:p>
        </w:tc>
        <w:tc>
          <w:tcPr>
            <w:tcW w:w="1525" w:type="pct"/>
            <w:shd w:val="clear" w:color="auto" w:fill="auto"/>
            <w:vAlign w:val="center"/>
          </w:tcPr>
          <w:p w14:paraId="34A8C4DC">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rPr>
              <w:t>GB/T 11904-1989</w:t>
            </w:r>
          </w:p>
        </w:tc>
        <w:tc>
          <w:tcPr>
            <w:tcW w:w="910" w:type="pct"/>
            <w:shd w:val="clear" w:color="auto" w:fill="auto"/>
            <w:vAlign w:val="center"/>
          </w:tcPr>
          <w:p w14:paraId="49950636">
            <w:pPr>
              <w:adjustRightInd w:val="0"/>
              <w:snapToGrid w:val="0"/>
              <w:jc w:val="center"/>
              <w:rPr>
                <w:rFonts w:asciiTheme="minorEastAsia" w:hAnsiTheme="minorEastAsia"/>
                <w:color w:val="auto"/>
              </w:rPr>
            </w:pPr>
            <w:r>
              <w:rPr>
                <w:rFonts w:hint="eastAsia" w:asciiTheme="minorEastAsia" w:hAnsiTheme="minorEastAsia"/>
                <w:color w:val="auto"/>
                <w:kern w:val="21"/>
              </w:rPr>
              <w:t>原子吸收分光光度计 AA320N</w:t>
            </w:r>
          </w:p>
        </w:tc>
        <w:tc>
          <w:tcPr>
            <w:tcW w:w="986" w:type="pct"/>
            <w:shd w:val="clear" w:color="auto" w:fill="auto"/>
            <w:vAlign w:val="center"/>
          </w:tcPr>
          <w:p w14:paraId="751C1ABC">
            <w:pPr>
              <w:adjustRightInd w:val="0"/>
              <w:snapToGrid w:val="0"/>
              <w:jc w:val="center"/>
              <w:rPr>
                <w:rFonts w:asciiTheme="minorEastAsia" w:hAnsiTheme="minorEastAsia"/>
                <w:color w:val="auto"/>
                <w:kern w:val="21"/>
              </w:rPr>
            </w:pPr>
            <w:r>
              <w:rPr>
                <w:rFonts w:hint="eastAsia" w:asciiTheme="minorEastAsia" w:hAnsiTheme="minorEastAsia"/>
                <w:color w:val="auto"/>
              </w:rPr>
              <w:t>0.010</w:t>
            </w:r>
            <w:r>
              <w:rPr>
                <w:rFonts w:hint="eastAsia" w:asciiTheme="minorEastAsia" w:hAnsiTheme="minorEastAsia"/>
                <w:color w:val="auto"/>
                <w:kern w:val="21"/>
              </w:rPr>
              <w:t>mg/L</w:t>
            </w:r>
          </w:p>
        </w:tc>
      </w:tr>
      <w:tr w14:paraId="662A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2A1991B4">
            <w:pPr>
              <w:jc w:val="center"/>
              <w:rPr>
                <w:rFonts w:asciiTheme="minorEastAsia" w:hAnsiTheme="minorEastAsia"/>
                <w:color w:val="auto"/>
              </w:rPr>
            </w:pPr>
            <w:r>
              <w:rPr>
                <w:rFonts w:hint="eastAsia" w:asciiTheme="minorEastAsia" w:hAnsiTheme="minorEastAsia"/>
                <w:color w:val="auto"/>
                <w:kern w:val="24"/>
                <w:lang w:bidi="ar"/>
              </w:rPr>
              <w:t>Ca</w:t>
            </w:r>
            <w:r>
              <w:rPr>
                <w:rFonts w:hint="eastAsia" w:asciiTheme="minorEastAsia" w:hAnsiTheme="minorEastAsia"/>
                <w:color w:val="auto"/>
                <w:kern w:val="24"/>
                <w:vertAlign w:val="superscript"/>
                <w:lang w:bidi="ar"/>
              </w:rPr>
              <w:t>2+</w:t>
            </w:r>
          </w:p>
        </w:tc>
        <w:tc>
          <w:tcPr>
            <w:tcW w:w="971" w:type="pct"/>
            <w:shd w:val="clear" w:color="auto" w:fill="auto"/>
            <w:vAlign w:val="center"/>
          </w:tcPr>
          <w:p w14:paraId="31F763FC">
            <w:pPr>
              <w:adjustRightInd w:val="0"/>
              <w:snapToGrid w:val="0"/>
              <w:jc w:val="center"/>
              <w:rPr>
                <w:rFonts w:asciiTheme="minorEastAsia" w:hAnsiTheme="minorEastAsia"/>
                <w:color w:val="auto"/>
                <w:lang w:val="zh-CN"/>
              </w:rPr>
            </w:pPr>
            <w:r>
              <w:rPr>
                <w:rFonts w:hint="eastAsia" w:asciiTheme="minorEastAsia" w:hAnsiTheme="minorEastAsia"/>
                <w:color w:val="auto"/>
                <w:lang w:val="zh-CN"/>
              </w:rPr>
              <w:t>水质 钙和镁的测定</w:t>
            </w:r>
          </w:p>
          <w:p w14:paraId="7AC379DC">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lang w:val="zh-CN"/>
              </w:rPr>
              <w:t>原子吸收分光光度法</w:t>
            </w:r>
          </w:p>
        </w:tc>
        <w:tc>
          <w:tcPr>
            <w:tcW w:w="1525" w:type="pct"/>
            <w:shd w:val="clear" w:color="auto" w:fill="auto"/>
            <w:vAlign w:val="center"/>
          </w:tcPr>
          <w:p w14:paraId="3826D96B">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lang w:val="zh-CN"/>
              </w:rPr>
              <w:t>GB</w:t>
            </w:r>
            <w:r>
              <w:rPr>
                <w:rFonts w:hint="eastAsia" w:asciiTheme="minorEastAsia" w:hAnsiTheme="minorEastAsia"/>
                <w:color w:val="auto"/>
              </w:rPr>
              <w:t>/T</w:t>
            </w:r>
            <w:r>
              <w:rPr>
                <w:rFonts w:hint="eastAsia" w:asciiTheme="minorEastAsia" w:hAnsiTheme="minorEastAsia"/>
                <w:color w:val="auto"/>
                <w:lang w:val="zh-CN"/>
              </w:rPr>
              <w:t xml:space="preserve"> 11905-1989</w:t>
            </w:r>
          </w:p>
        </w:tc>
        <w:tc>
          <w:tcPr>
            <w:tcW w:w="910" w:type="pct"/>
            <w:shd w:val="clear" w:color="auto" w:fill="auto"/>
            <w:vAlign w:val="center"/>
          </w:tcPr>
          <w:p w14:paraId="456FB84F">
            <w:pPr>
              <w:adjustRightInd w:val="0"/>
              <w:snapToGrid w:val="0"/>
              <w:jc w:val="center"/>
              <w:rPr>
                <w:rFonts w:asciiTheme="minorEastAsia" w:hAnsiTheme="minorEastAsia"/>
                <w:color w:val="auto"/>
              </w:rPr>
            </w:pPr>
            <w:r>
              <w:rPr>
                <w:rFonts w:hint="eastAsia" w:asciiTheme="minorEastAsia" w:hAnsiTheme="minorEastAsia"/>
                <w:color w:val="auto"/>
                <w:kern w:val="21"/>
              </w:rPr>
              <w:t>原子吸收分光光度计 AA320N</w:t>
            </w:r>
          </w:p>
        </w:tc>
        <w:tc>
          <w:tcPr>
            <w:tcW w:w="986" w:type="pct"/>
            <w:shd w:val="clear" w:color="auto" w:fill="auto"/>
            <w:vAlign w:val="center"/>
          </w:tcPr>
          <w:p w14:paraId="69FE91C1">
            <w:pPr>
              <w:adjustRightInd w:val="0"/>
              <w:snapToGrid w:val="0"/>
              <w:jc w:val="center"/>
              <w:rPr>
                <w:rFonts w:asciiTheme="minorEastAsia" w:hAnsiTheme="minorEastAsia"/>
                <w:color w:val="auto"/>
                <w:kern w:val="21"/>
              </w:rPr>
            </w:pPr>
            <w:r>
              <w:rPr>
                <w:rFonts w:hint="eastAsia" w:asciiTheme="minorEastAsia" w:hAnsiTheme="minorEastAsia"/>
                <w:color w:val="auto"/>
                <w:kern w:val="21"/>
              </w:rPr>
              <w:t>0.02mg/L</w:t>
            </w:r>
          </w:p>
        </w:tc>
      </w:tr>
      <w:tr w14:paraId="3CEF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064683C8">
            <w:pPr>
              <w:jc w:val="center"/>
              <w:rPr>
                <w:rFonts w:asciiTheme="minorEastAsia" w:hAnsiTheme="minorEastAsia"/>
                <w:color w:val="auto"/>
              </w:rPr>
            </w:pPr>
            <w:r>
              <w:rPr>
                <w:rFonts w:hint="eastAsia" w:asciiTheme="minorEastAsia" w:hAnsiTheme="minorEastAsia"/>
                <w:color w:val="auto"/>
                <w:kern w:val="24"/>
                <w:lang w:bidi="ar"/>
              </w:rPr>
              <w:t>Mg</w:t>
            </w:r>
            <w:r>
              <w:rPr>
                <w:rFonts w:hint="eastAsia" w:asciiTheme="minorEastAsia" w:hAnsiTheme="minorEastAsia"/>
                <w:color w:val="auto"/>
                <w:kern w:val="24"/>
                <w:vertAlign w:val="superscript"/>
                <w:lang w:bidi="ar"/>
              </w:rPr>
              <w:t>2+</w:t>
            </w:r>
          </w:p>
        </w:tc>
        <w:tc>
          <w:tcPr>
            <w:tcW w:w="971" w:type="pct"/>
            <w:shd w:val="clear" w:color="auto" w:fill="auto"/>
            <w:vAlign w:val="center"/>
          </w:tcPr>
          <w:p w14:paraId="5A3A3F3C">
            <w:pPr>
              <w:adjustRightInd w:val="0"/>
              <w:snapToGrid w:val="0"/>
              <w:jc w:val="center"/>
              <w:rPr>
                <w:rFonts w:asciiTheme="minorEastAsia" w:hAnsiTheme="minorEastAsia"/>
                <w:color w:val="auto"/>
                <w:lang w:val="zh-CN"/>
              </w:rPr>
            </w:pPr>
            <w:r>
              <w:rPr>
                <w:rFonts w:hint="eastAsia" w:asciiTheme="minorEastAsia" w:hAnsiTheme="minorEastAsia"/>
                <w:color w:val="auto"/>
                <w:lang w:val="zh-CN"/>
              </w:rPr>
              <w:t>水质 钙和镁的测定</w:t>
            </w:r>
          </w:p>
          <w:p w14:paraId="0798C7C1">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lang w:val="zh-CN"/>
              </w:rPr>
              <w:t>原子吸收分光光度法</w:t>
            </w:r>
          </w:p>
        </w:tc>
        <w:tc>
          <w:tcPr>
            <w:tcW w:w="1525" w:type="pct"/>
            <w:shd w:val="clear" w:color="auto" w:fill="auto"/>
            <w:vAlign w:val="center"/>
          </w:tcPr>
          <w:p w14:paraId="0B33DA42">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lang w:val="zh-CN"/>
              </w:rPr>
              <w:t>GB</w:t>
            </w:r>
            <w:r>
              <w:rPr>
                <w:rFonts w:hint="eastAsia" w:asciiTheme="minorEastAsia" w:hAnsiTheme="minorEastAsia"/>
                <w:color w:val="auto"/>
              </w:rPr>
              <w:t>/T</w:t>
            </w:r>
            <w:r>
              <w:rPr>
                <w:rFonts w:hint="eastAsia" w:asciiTheme="minorEastAsia" w:hAnsiTheme="minorEastAsia"/>
                <w:color w:val="auto"/>
                <w:lang w:val="zh-CN"/>
              </w:rPr>
              <w:t xml:space="preserve"> 11905-1989</w:t>
            </w:r>
          </w:p>
        </w:tc>
        <w:tc>
          <w:tcPr>
            <w:tcW w:w="910" w:type="pct"/>
            <w:shd w:val="clear" w:color="auto" w:fill="auto"/>
            <w:vAlign w:val="center"/>
          </w:tcPr>
          <w:p w14:paraId="5F48D0B8">
            <w:pPr>
              <w:adjustRightInd w:val="0"/>
              <w:snapToGrid w:val="0"/>
              <w:jc w:val="center"/>
              <w:rPr>
                <w:rFonts w:asciiTheme="minorEastAsia" w:hAnsiTheme="minorEastAsia"/>
                <w:color w:val="auto"/>
              </w:rPr>
            </w:pPr>
            <w:r>
              <w:rPr>
                <w:rFonts w:hint="eastAsia" w:asciiTheme="minorEastAsia" w:hAnsiTheme="minorEastAsia"/>
                <w:color w:val="auto"/>
                <w:kern w:val="21"/>
              </w:rPr>
              <w:t>原子吸收分光光度计 AA320N</w:t>
            </w:r>
          </w:p>
        </w:tc>
        <w:tc>
          <w:tcPr>
            <w:tcW w:w="986" w:type="pct"/>
            <w:shd w:val="clear" w:color="auto" w:fill="auto"/>
            <w:vAlign w:val="center"/>
          </w:tcPr>
          <w:p w14:paraId="077C0C46">
            <w:pPr>
              <w:adjustRightInd w:val="0"/>
              <w:snapToGrid w:val="0"/>
              <w:jc w:val="center"/>
              <w:rPr>
                <w:rFonts w:asciiTheme="minorEastAsia" w:hAnsiTheme="minorEastAsia"/>
                <w:color w:val="auto"/>
                <w:kern w:val="21"/>
              </w:rPr>
            </w:pPr>
            <w:r>
              <w:rPr>
                <w:rFonts w:hint="eastAsia" w:asciiTheme="minorEastAsia" w:hAnsiTheme="minorEastAsia"/>
                <w:color w:val="auto"/>
                <w:kern w:val="21"/>
              </w:rPr>
              <w:t>0.002mg/L</w:t>
            </w:r>
          </w:p>
        </w:tc>
      </w:tr>
      <w:tr w14:paraId="0398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4A822E89">
            <w:pPr>
              <w:adjustRightInd w:val="0"/>
              <w:snapToGrid w:val="0"/>
              <w:jc w:val="center"/>
              <w:rPr>
                <w:rFonts w:asciiTheme="minorEastAsia" w:hAnsiTheme="minorEastAsia"/>
                <w:color w:val="auto"/>
              </w:rPr>
            </w:pPr>
            <w:r>
              <w:rPr>
                <w:rFonts w:hint="eastAsia" w:asciiTheme="minorEastAsia" w:hAnsiTheme="minorEastAsia"/>
                <w:color w:val="auto"/>
              </w:rPr>
              <w:t>CO</w:t>
            </w:r>
            <w:r>
              <w:rPr>
                <w:rFonts w:hint="eastAsia" w:asciiTheme="minorEastAsia" w:hAnsiTheme="minorEastAsia"/>
                <w:color w:val="auto"/>
                <w:vertAlign w:val="subscript"/>
              </w:rPr>
              <w:t>3</w:t>
            </w:r>
            <w:r>
              <w:rPr>
                <w:rFonts w:hint="eastAsia" w:asciiTheme="minorEastAsia" w:hAnsiTheme="minorEastAsia"/>
                <w:color w:val="auto"/>
                <w:vertAlign w:val="superscript"/>
              </w:rPr>
              <w:t>2-</w:t>
            </w:r>
          </w:p>
        </w:tc>
        <w:tc>
          <w:tcPr>
            <w:tcW w:w="971" w:type="pct"/>
            <w:shd w:val="clear" w:color="auto" w:fill="auto"/>
            <w:vAlign w:val="center"/>
          </w:tcPr>
          <w:p w14:paraId="7F400D31">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rPr>
              <w:t>地下水质分析方法 第49部分：碳酸根、重碳酸根和氢氧根离子的测定 滴定法</w:t>
            </w:r>
          </w:p>
        </w:tc>
        <w:tc>
          <w:tcPr>
            <w:tcW w:w="1525" w:type="pct"/>
            <w:shd w:val="clear" w:color="auto" w:fill="auto"/>
            <w:vAlign w:val="center"/>
          </w:tcPr>
          <w:p w14:paraId="5746FF52">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rPr>
              <w:t xml:space="preserve">DZ/T 0064.49-2021 </w:t>
            </w:r>
          </w:p>
        </w:tc>
        <w:tc>
          <w:tcPr>
            <w:tcW w:w="910" w:type="pct"/>
            <w:shd w:val="clear" w:color="auto" w:fill="auto"/>
            <w:vAlign w:val="center"/>
          </w:tcPr>
          <w:p w14:paraId="59BDC3A1">
            <w:pPr>
              <w:adjustRightInd w:val="0"/>
              <w:snapToGrid w:val="0"/>
              <w:jc w:val="center"/>
              <w:rPr>
                <w:rFonts w:asciiTheme="minorEastAsia" w:hAnsiTheme="minorEastAsia"/>
                <w:color w:val="auto"/>
              </w:rPr>
            </w:pPr>
            <w:r>
              <w:rPr>
                <w:rFonts w:hint="eastAsia" w:asciiTheme="minorEastAsia" w:hAnsiTheme="minorEastAsia"/>
                <w:color w:val="auto"/>
              </w:rPr>
              <w:t>滴定管</w:t>
            </w:r>
          </w:p>
        </w:tc>
        <w:tc>
          <w:tcPr>
            <w:tcW w:w="986" w:type="pct"/>
            <w:shd w:val="clear" w:color="auto" w:fill="auto"/>
            <w:vAlign w:val="center"/>
          </w:tcPr>
          <w:p w14:paraId="6006E555">
            <w:pPr>
              <w:jc w:val="center"/>
              <w:rPr>
                <w:rFonts w:asciiTheme="minorEastAsia" w:hAnsiTheme="minorEastAsia"/>
                <w:color w:val="auto"/>
                <w:kern w:val="21"/>
              </w:rPr>
            </w:pPr>
            <w:r>
              <w:rPr>
                <w:rFonts w:hint="eastAsia" w:asciiTheme="minorEastAsia" w:hAnsiTheme="minorEastAsia"/>
                <w:color w:val="auto"/>
              </w:rPr>
              <w:t>5mg/L</w:t>
            </w:r>
          </w:p>
        </w:tc>
      </w:tr>
      <w:tr w14:paraId="18FE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18D65CA3">
            <w:pPr>
              <w:adjustRightInd w:val="0"/>
              <w:snapToGrid w:val="0"/>
              <w:jc w:val="center"/>
              <w:rPr>
                <w:rFonts w:asciiTheme="minorEastAsia" w:hAnsiTheme="minorEastAsia"/>
                <w:color w:val="auto"/>
              </w:rPr>
            </w:pPr>
            <w:r>
              <w:rPr>
                <w:rFonts w:hint="eastAsia" w:asciiTheme="minorEastAsia" w:hAnsiTheme="minorEastAsia"/>
                <w:color w:val="auto"/>
              </w:rPr>
              <w:t>HCO</w:t>
            </w:r>
            <w:r>
              <w:rPr>
                <w:rFonts w:hint="eastAsia" w:asciiTheme="minorEastAsia" w:hAnsiTheme="minorEastAsia"/>
                <w:color w:val="auto"/>
                <w:vertAlign w:val="subscript"/>
              </w:rPr>
              <w:t>3</w:t>
            </w:r>
            <w:r>
              <w:rPr>
                <w:rFonts w:hint="eastAsia" w:asciiTheme="minorEastAsia" w:hAnsiTheme="minorEastAsia"/>
                <w:color w:val="auto"/>
                <w:vertAlign w:val="superscript"/>
              </w:rPr>
              <w:t>-</w:t>
            </w:r>
          </w:p>
        </w:tc>
        <w:tc>
          <w:tcPr>
            <w:tcW w:w="971" w:type="pct"/>
            <w:shd w:val="clear" w:color="auto" w:fill="auto"/>
            <w:vAlign w:val="center"/>
          </w:tcPr>
          <w:p w14:paraId="72AC9860">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rPr>
              <w:t>地下水质分析方法 第49部分：碳酸根、重碳酸根和氢氧根离子的测定 滴定法</w:t>
            </w:r>
          </w:p>
        </w:tc>
        <w:tc>
          <w:tcPr>
            <w:tcW w:w="1525" w:type="pct"/>
            <w:shd w:val="clear" w:color="auto" w:fill="auto"/>
            <w:vAlign w:val="center"/>
          </w:tcPr>
          <w:p w14:paraId="625E9FCC">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rPr>
              <w:t xml:space="preserve">DZ/T 0064.49-2021 </w:t>
            </w:r>
          </w:p>
        </w:tc>
        <w:tc>
          <w:tcPr>
            <w:tcW w:w="910" w:type="pct"/>
            <w:shd w:val="clear" w:color="auto" w:fill="auto"/>
            <w:vAlign w:val="center"/>
          </w:tcPr>
          <w:p w14:paraId="632537F0">
            <w:pPr>
              <w:adjustRightInd w:val="0"/>
              <w:snapToGrid w:val="0"/>
              <w:jc w:val="center"/>
              <w:rPr>
                <w:rFonts w:asciiTheme="minorEastAsia" w:hAnsiTheme="minorEastAsia"/>
                <w:color w:val="auto"/>
              </w:rPr>
            </w:pPr>
            <w:r>
              <w:rPr>
                <w:rFonts w:hint="eastAsia" w:asciiTheme="minorEastAsia" w:hAnsiTheme="minorEastAsia"/>
                <w:color w:val="auto"/>
              </w:rPr>
              <w:t>滴定管</w:t>
            </w:r>
          </w:p>
        </w:tc>
        <w:tc>
          <w:tcPr>
            <w:tcW w:w="986" w:type="pct"/>
            <w:shd w:val="clear" w:color="auto" w:fill="auto"/>
            <w:vAlign w:val="center"/>
          </w:tcPr>
          <w:p w14:paraId="25DFE26F">
            <w:pPr>
              <w:jc w:val="center"/>
              <w:rPr>
                <w:rFonts w:asciiTheme="minorEastAsia" w:hAnsiTheme="minorEastAsia"/>
                <w:color w:val="auto"/>
              </w:rPr>
            </w:pPr>
            <w:r>
              <w:rPr>
                <w:rFonts w:hint="eastAsia" w:asciiTheme="minorEastAsia" w:hAnsiTheme="minorEastAsia"/>
                <w:color w:val="auto"/>
              </w:rPr>
              <w:t>5mg/L</w:t>
            </w:r>
          </w:p>
        </w:tc>
      </w:tr>
      <w:tr w14:paraId="565D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74A396AD">
            <w:pPr>
              <w:adjustRightInd w:val="0"/>
              <w:snapToGrid w:val="0"/>
              <w:jc w:val="center"/>
              <w:rPr>
                <w:rFonts w:asciiTheme="minorEastAsia" w:hAnsiTheme="minorEastAsia"/>
                <w:color w:val="auto"/>
              </w:rPr>
            </w:pPr>
            <w:r>
              <w:rPr>
                <w:rFonts w:hint="eastAsia"/>
                <w:color w:val="auto"/>
              </w:rPr>
              <w:t>SO</w:t>
            </w:r>
            <w:r>
              <w:rPr>
                <w:rFonts w:hint="eastAsia"/>
                <w:color w:val="auto"/>
                <w:vertAlign w:val="subscript"/>
              </w:rPr>
              <w:t>4</w:t>
            </w:r>
            <w:r>
              <w:rPr>
                <w:rFonts w:hint="eastAsia"/>
                <w:color w:val="auto"/>
                <w:vertAlign w:val="superscript"/>
              </w:rPr>
              <w:t>2-</w:t>
            </w:r>
          </w:p>
        </w:tc>
        <w:tc>
          <w:tcPr>
            <w:tcW w:w="971" w:type="pct"/>
            <w:shd w:val="clear" w:color="auto" w:fill="auto"/>
            <w:vAlign w:val="center"/>
          </w:tcPr>
          <w:p w14:paraId="42D85C5D">
            <w:pPr>
              <w:adjustRightInd w:val="0"/>
              <w:snapToGrid w:val="0"/>
              <w:jc w:val="center"/>
              <w:rPr>
                <w:rFonts w:asciiTheme="minorEastAsia" w:hAnsiTheme="minorEastAsia"/>
                <w:color w:val="auto"/>
              </w:rPr>
            </w:pPr>
            <w:r>
              <w:rPr>
                <w:rFonts w:hint="eastAsia" w:asciiTheme="minorEastAsia" w:hAnsiTheme="minorEastAsia"/>
                <w:color w:val="auto"/>
              </w:rPr>
              <w:t>地下水质分析方法第65部分：硫酸盐的测定比浊法</w:t>
            </w:r>
          </w:p>
        </w:tc>
        <w:tc>
          <w:tcPr>
            <w:tcW w:w="1525" w:type="pct"/>
            <w:shd w:val="clear" w:color="auto" w:fill="auto"/>
            <w:vAlign w:val="center"/>
          </w:tcPr>
          <w:p w14:paraId="015C3CD2">
            <w:pPr>
              <w:adjustRightInd w:val="0"/>
              <w:snapToGrid w:val="0"/>
              <w:jc w:val="center"/>
              <w:rPr>
                <w:rFonts w:asciiTheme="minorEastAsia" w:hAnsiTheme="minorEastAsia"/>
                <w:color w:val="auto"/>
              </w:rPr>
            </w:pPr>
            <w:r>
              <w:rPr>
                <w:rFonts w:hint="eastAsia" w:asciiTheme="minorEastAsia" w:hAnsiTheme="minorEastAsia"/>
                <w:color w:val="auto"/>
              </w:rPr>
              <w:t xml:space="preserve">DZ/T 0064.65-2021  </w:t>
            </w:r>
          </w:p>
        </w:tc>
        <w:tc>
          <w:tcPr>
            <w:tcW w:w="910" w:type="pct"/>
            <w:shd w:val="clear" w:color="auto" w:fill="auto"/>
            <w:vAlign w:val="center"/>
          </w:tcPr>
          <w:p w14:paraId="4A960062">
            <w:pPr>
              <w:adjustRightInd w:val="0"/>
              <w:snapToGrid w:val="0"/>
              <w:jc w:val="center"/>
              <w:rPr>
                <w:rFonts w:asciiTheme="minorEastAsia" w:hAnsiTheme="minorEastAsia"/>
                <w:color w:val="auto"/>
              </w:rPr>
            </w:pPr>
            <w:r>
              <w:rPr>
                <w:rFonts w:hint="eastAsia" w:asciiTheme="minorEastAsia" w:hAnsiTheme="minorEastAsia"/>
                <w:color w:val="auto"/>
              </w:rPr>
              <w:t>可见分光光度计   722N</w:t>
            </w:r>
          </w:p>
        </w:tc>
        <w:tc>
          <w:tcPr>
            <w:tcW w:w="986" w:type="pct"/>
            <w:shd w:val="clear" w:color="auto" w:fill="auto"/>
            <w:vAlign w:val="center"/>
          </w:tcPr>
          <w:p w14:paraId="77997D00">
            <w:pPr>
              <w:adjustRightInd w:val="0"/>
              <w:snapToGrid w:val="0"/>
              <w:jc w:val="center"/>
              <w:rPr>
                <w:rFonts w:asciiTheme="minorEastAsia" w:hAnsiTheme="minorEastAsia"/>
                <w:color w:val="auto"/>
              </w:rPr>
            </w:pPr>
            <w:r>
              <w:rPr>
                <w:rFonts w:hint="eastAsia" w:asciiTheme="minorEastAsia" w:hAnsiTheme="minorEastAsia"/>
                <w:color w:val="auto"/>
              </w:rPr>
              <w:t>1mg/L</w:t>
            </w:r>
          </w:p>
        </w:tc>
      </w:tr>
      <w:tr w14:paraId="765B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58380609">
            <w:pPr>
              <w:adjustRightInd w:val="0"/>
              <w:snapToGrid w:val="0"/>
              <w:jc w:val="center"/>
              <w:rPr>
                <w:rFonts w:asciiTheme="minorEastAsia" w:hAnsiTheme="minorEastAsia"/>
                <w:color w:val="auto"/>
              </w:rPr>
            </w:pPr>
            <w:r>
              <w:rPr>
                <w:rFonts w:hint="eastAsia"/>
                <w:color w:val="auto"/>
              </w:rPr>
              <w:t>Cl</w:t>
            </w:r>
            <w:r>
              <w:rPr>
                <w:rFonts w:hint="eastAsia"/>
                <w:color w:val="auto"/>
                <w:vertAlign w:val="superscript"/>
              </w:rPr>
              <w:t>-</w:t>
            </w:r>
          </w:p>
        </w:tc>
        <w:tc>
          <w:tcPr>
            <w:tcW w:w="971" w:type="pct"/>
            <w:shd w:val="clear" w:color="auto" w:fill="auto"/>
            <w:vAlign w:val="center"/>
          </w:tcPr>
          <w:p w14:paraId="784C5A49">
            <w:pPr>
              <w:jc w:val="center"/>
              <w:textAlignment w:val="center"/>
              <w:rPr>
                <w:rFonts w:asciiTheme="minorEastAsia" w:hAnsiTheme="minorEastAsia"/>
                <w:color w:val="auto"/>
                <w:shd w:val="clear" w:color="auto" w:fill="FFFFFF"/>
              </w:rPr>
            </w:pPr>
            <w:r>
              <w:rPr>
                <w:rFonts w:hint="eastAsia" w:asciiTheme="minorEastAsia" w:hAnsiTheme="minorEastAsia"/>
                <w:color w:val="auto"/>
                <w:lang w:bidi="ar"/>
              </w:rPr>
              <w:t>水质 氯化物的测定 硝酸银滴定法</w:t>
            </w:r>
          </w:p>
        </w:tc>
        <w:tc>
          <w:tcPr>
            <w:tcW w:w="1525" w:type="pct"/>
            <w:shd w:val="clear" w:color="auto" w:fill="auto"/>
            <w:vAlign w:val="center"/>
          </w:tcPr>
          <w:p w14:paraId="2430AC9D">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lang w:bidi="ar"/>
              </w:rPr>
              <w:t>GB11896-1989</w:t>
            </w:r>
          </w:p>
        </w:tc>
        <w:tc>
          <w:tcPr>
            <w:tcW w:w="910" w:type="pct"/>
            <w:shd w:val="clear" w:color="auto" w:fill="auto"/>
            <w:vAlign w:val="center"/>
          </w:tcPr>
          <w:p w14:paraId="7A5AD3E1">
            <w:pPr>
              <w:adjustRightInd w:val="0"/>
              <w:snapToGrid w:val="0"/>
              <w:jc w:val="center"/>
              <w:rPr>
                <w:rFonts w:asciiTheme="minorEastAsia" w:hAnsiTheme="minorEastAsia"/>
                <w:color w:val="auto"/>
              </w:rPr>
            </w:pPr>
            <w:r>
              <w:rPr>
                <w:rFonts w:hint="eastAsia" w:asciiTheme="minorEastAsia" w:hAnsiTheme="minorEastAsia"/>
                <w:color w:val="auto"/>
                <w:lang w:bidi="ar"/>
              </w:rPr>
              <w:t>滴定管</w:t>
            </w:r>
          </w:p>
        </w:tc>
        <w:tc>
          <w:tcPr>
            <w:tcW w:w="986" w:type="pct"/>
            <w:shd w:val="clear" w:color="auto" w:fill="auto"/>
            <w:vAlign w:val="center"/>
          </w:tcPr>
          <w:p w14:paraId="097F5E92">
            <w:pPr>
              <w:adjustRightInd w:val="0"/>
              <w:snapToGrid w:val="0"/>
              <w:jc w:val="center"/>
              <w:rPr>
                <w:rFonts w:asciiTheme="minorEastAsia" w:hAnsiTheme="minorEastAsia"/>
                <w:color w:val="auto"/>
              </w:rPr>
            </w:pPr>
            <w:r>
              <w:rPr>
                <w:rFonts w:hint="eastAsia" w:asciiTheme="minorEastAsia" w:hAnsiTheme="minorEastAsia"/>
                <w:color w:val="auto"/>
                <w:lang w:bidi="ar"/>
              </w:rPr>
              <w:t>10mg/L</w:t>
            </w:r>
          </w:p>
        </w:tc>
      </w:tr>
      <w:tr w14:paraId="2B6B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3762B363">
            <w:pPr>
              <w:adjustRightInd w:val="0"/>
              <w:snapToGrid w:val="0"/>
              <w:jc w:val="center"/>
              <w:rPr>
                <w:rFonts w:asciiTheme="minorEastAsia" w:hAnsiTheme="minorEastAsia"/>
                <w:color w:val="auto"/>
              </w:rPr>
            </w:pPr>
            <w:r>
              <w:rPr>
                <w:rFonts w:hint="eastAsia" w:asciiTheme="minorEastAsia" w:hAnsiTheme="minorEastAsia"/>
                <w:color w:val="auto"/>
              </w:rPr>
              <w:t>pH</w:t>
            </w:r>
          </w:p>
        </w:tc>
        <w:tc>
          <w:tcPr>
            <w:tcW w:w="971" w:type="pct"/>
            <w:shd w:val="clear" w:color="auto" w:fill="auto"/>
            <w:vAlign w:val="center"/>
          </w:tcPr>
          <w:p w14:paraId="6088A139">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shd w:val="clear" w:color="auto" w:fill="FFFFFF"/>
              </w:rPr>
              <w:t>水质 pH的测定</w:t>
            </w:r>
          </w:p>
          <w:p w14:paraId="749DF3C0">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shd w:val="clear" w:color="auto" w:fill="FFFFFF"/>
              </w:rPr>
              <w:t xml:space="preserve"> 电极法</w:t>
            </w:r>
          </w:p>
        </w:tc>
        <w:tc>
          <w:tcPr>
            <w:tcW w:w="1525" w:type="pct"/>
            <w:shd w:val="clear" w:color="auto" w:fill="auto"/>
            <w:vAlign w:val="center"/>
          </w:tcPr>
          <w:p w14:paraId="6A9D0A1A">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shd w:val="clear" w:color="auto" w:fill="FFFFFF"/>
              </w:rPr>
              <w:t>HJ 1147-2020</w:t>
            </w:r>
          </w:p>
        </w:tc>
        <w:tc>
          <w:tcPr>
            <w:tcW w:w="910" w:type="pct"/>
            <w:shd w:val="clear" w:color="auto" w:fill="auto"/>
            <w:vAlign w:val="center"/>
          </w:tcPr>
          <w:p w14:paraId="2599834E">
            <w:pPr>
              <w:jc w:val="center"/>
              <w:rPr>
                <w:rFonts w:asciiTheme="minorEastAsia" w:hAnsiTheme="minorEastAsia"/>
                <w:color w:val="auto"/>
              </w:rPr>
            </w:pPr>
            <w:r>
              <w:rPr>
                <w:rFonts w:hint="eastAsia" w:asciiTheme="minorEastAsia" w:hAnsiTheme="minorEastAsia"/>
                <w:color w:val="auto"/>
              </w:rPr>
              <w:t>便携式水质检测仪 pH-03/618/K13</w:t>
            </w:r>
          </w:p>
        </w:tc>
        <w:tc>
          <w:tcPr>
            <w:tcW w:w="986" w:type="pct"/>
            <w:shd w:val="clear" w:color="auto" w:fill="auto"/>
            <w:vAlign w:val="center"/>
          </w:tcPr>
          <w:p w14:paraId="0D4F047B">
            <w:pPr>
              <w:adjustRightInd w:val="0"/>
              <w:snapToGrid w:val="0"/>
              <w:jc w:val="center"/>
              <w:rPr>
                <w:rFonts w:asciiTheme="minorEastAsia" w:hAnsiTheme="minorEastAsia"/>
                <w:color w:val="auto"/>
              </w:rPr>
            </w:pPr>
            <w:r>
              <w:rPr>
                <w:rFonts w:hint="eastAsia" w:asciiTheme="minorEastAsia" w:hAnsiTheme="minorEastAsia"/>
                <w:color w:val="auto"/>
              </w:rPr>
              <w:t>—</w:t>
            </w:r>
          </w:p>
        </w:tc>
      </w:tr>
      <w:tr w14:paraId="5BB7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5AAE6615">
            <w:pPr>
              <w:adjustRightInd w:val="0"/>
              <w:snapToGrid w:val="0"/>
              <w:jc w:val="center"/>
              <w:rPr>
                <w:rFonts w:asciiTheme="minorEastAsia" w:hAnsiTheme="minorEastAsia"/>
                <w:color w:val="auto"/>
              </w:rPr>
            </w:pPr>
            <w:r>
              <w:rPr>
                <w:rFonts w:hint="eastAsia" w:asciiTheme="minorEastAsia" w:hAnsiTheme="minorEastAsia"/>
                <w:color w:val="auto"/>
              </w:rPr>
              <w:t>总硬度</w:t>
            </w:r>
          </w:p>
        </w:tc>
        <w:tc>
          <w:tcPr>
            <w:tcW w:w="971" w:type="pct"/>
            <w:shd w:val="clear" w:color="auto" w:fill="auto"/>
            <w:vAlign w:val="center"/>
          </w:tcPr>
          <w:p w14:paraId="6F8F0BD1">
            <w:pPr>
              <w:adjustRightInd w:val="0"/>
              <w:snapToGrid w:val="0"/>
              <w:ind w:firstLine="210"/>
              <w:jc w:val="center"/>
              <w:rPr>
                <w:rFonts w:cs="宋体" w:asciiTheme="minorEastAsia" w:hAnsiTheme="minorEastAsia"/>
                <w:color w:val="auto"/>
                <w:shd w:val="clear" w:color="auto" w:fill="FFFFFF"/>
              </w:rPr>
            </w:pPr>
            <w:r>
              <w:rPr>
                <w:rFonts w:hint="eastAsia" w:cs="宋体" w:asciiTheme="minorEastAsia" w:hAnsiTheme="minorEastAsia"/>
                <w:color w:val="auto"/>
                <w:shd w:val="clear" w:color="auto" w:fill="FFFFFF"/>
              </w:rPr>
              <w:t>水质钙和镁的总量的测定EDTA滴定法</w:t>
            </w:r>
          </w:p>
        </w:tc>
        <w:tc>
          <w:tcPr>
            <w:tcW w:w="1525" w:type="pct"/>
            <w:shd w:val="clear" w:color="auto" w:fill="auto"/>
            <w:vAlign w:val="center"/>
          </w:tcPr>
          <w:p w14:paraId="5DC5491C">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shd w:val="clear" w:color="auto" w:fill="FFFFFF"/>
              </w:rPr>
              <w:t>GB/T 7477-1987</w:t>
            </w:r>
          </w:p>
        </w:tc>
        <w:tc>
          <w:tcPr>
            <w:tcW w:w="910" w:type="pct"/>
            <w:shd w:val="clear" w:color="auto" w:fill="auto"/>
            <w:vAlign w:val="center"/>
          </w:tcPr>
          <w:p w14:paraId="74929E7F">
            <w:pPr>
              <w:adjustRightInd w:val="0"/>
              <w:snapToGrid w:val="0"/>
              <w:jc w:val="center"/>
              <w:rPr>
                <w:rFonts w:asciiTheme="minorEastAsia" w:hAnsiTheme="minorEastAsia"/>
                <w:color w:val="auto"/>
              </w:rPr>
            </w:pPr>
            <w:r>
              <w:rPr>
                <w:rFonts w:hint="eastAsia" w:asciiTheme="minorEastAsia" w:hAnsiTheme="minorEastAsia"/>
                <w:color w:val="auto"/>
              </w:rPr>
              <w:t>滴定管</w:t>
            </w:r>
          </w:p>
        </w:tc>
        <w:tc>
          <w:tcPr>
            <w:tcW w:w="986" w:type="pct"/>
            <w:shd w:val="clear" w:color="auto" w:fill="auto"/>
            <w:vAlign w:val="center"/>
          </w:tcPr>
          <w:p w14:paraId="37D75A7C">
            <w:pPr>
              <w:adjustRightInd w:val="0"/>
              <w:snapToGrid w:val="0"/>
              <w:jc w:val="center"/>
              <w:rPr>
                <w:rFonts w:asciiTheme="minorEastAsia" w:hAnsiTheme="minorEastAsia"/>
                <w:color w:val="auto"/>
              </w:rPr>
            </w:pPr>
            <w:r>
              <w:rPr>
                <w:rFonts w:hint="eastAsia" w:asciiTheme="minorEastAsia" w:hAnsiTheme="minorEastAsia"/>
                <w:color w:val="auto"/>
              </w:rPr>
              <w:t>5.00</w:t>
            </w:r>
            <w:r>
              <w:rPr>
                <w:rFonts w:hint="eastAsia" w:asciiTheme="minorEastAsia" w:hAnsiTheme="minorEastAsia"/>
                <w:color w:val="auto"/>
                <w:kern w:val="21"/>
              </w:rPr>
              <w:t>mg/L</w:t>
            </w:r>
          </w:p>
        </w:tc>
      </w:tr>
      <w:tr w14:paraId="4718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197B8CE7">
            <w:pPr>
              <w:adjustRightInd w:val="0"/>
              <w:snapToGrid w:val="0"/>
              <w:jc w:val="center"/>
              <w:rPr>
                <w:rFonts w:asciiTheme="minorEastAsia" w:hAnsiTheme="minorEastAsia"/>
                <w:color w:val="auto"/>
              </w:rPr>
            </w:pPr>
            <w:r>
              <w:rPr>
                <w:rFonts w:hint="eastAsia" w:asciiTheme="minorEastAsia" w:hAnsiTheme="minorEastAsia"/>
                <w:color w:val="auto"/>
              </w:rPr>
              <w:t>溶解性总固体</w:t>
            </w:r>
          </w:p>
        </w:tc>
        <w:tc>
          <w:tcPr>
            <w:tcW w:w="971" w:type="pct"/>
            <w:shd w:val="clear" w:color="auto" w:fill="auto"/>
            <w:vAlign w:val="center"/>
          </w:tcPr>
          <w:p w14:paraId="33D92959">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rPr>
              <w:t>地下水质分析方法第 9 部分：溶解性固体总量的测定  重量法</w:t>
            </w:r>
          </w:p>
        </w:tc>
        <w:tc>
          <w:tcPr>
            <w:tcW w:w="1525" w:type="pct"/>
            <w:shd w:val="clear" w:color="auto" w:fill="auto"/>
            <w:vAlign w:val="center"/>
          </w:tcPr>
          <w:p w14:paraId="2D141459">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rPr>
              <w:t>DZ/T 0064.9-2021</w:t>
            </w:r>
          </w:p>
        </w:tc>
        <w:tc>
          <w:tcPr>
            <w:tcW w:w="910" w:type="pct"/>
            <w:shd w:val="clear" w:color="auto" w:fill="auto"/>
            <w:vAlign w:val="center"/>
          </w:tcPr>
          <w:p w14:paraId="765D6C13">
            <w:pPr>
              <w:jc w:val="center"/>
              <w:rPr>
                <w:rFonts w:asciiTheme="minorEastAsia" w:hAnsiTheme="minorEastAsia"/>
                <w:color w:val="auto"/>
              </w:rPr>
            </w:pPr>
            <w:r>
              <w:rPr>
                <w:rFonts w:hint="eastAsia" w:asciiTheme="minorEastAsia" w:hAnsiTheme="minorEastAsia"/>
                <w:color w:val="auto"/>
              </w:rPr>
              <w:t>万分之一天平FA224</w:t>
            </w:r>
          </w:p>
        </w:tc>
        <w:tc>
          <w:tcPr>
            <w:tcW w:w="986" w:type="pct"/>
            <w:shd w:val="clear" w:color="auto" w:fill="auto"/>
            <w:vAlign w:val="center"/>
          </w:tcPr>
          <w:p w14:paraId="79081B9F">
            <w:pPr>
              <w:adjustRightInd w:val="0"/>
              <w:snapToGrid w:val="0"/>
              <w:jc w:val="center"/>
              <w:rPr>
                <w:rFonts w:asciiTheme="minorEastAsia" w:hAnsiTheme="minorEastAsia"/>
                <w:color w:val="auto"/>
              </w:rPr>
            </w:pPr>
            <w:r>
              <w:rPr>
                <w:rFonts w:hint="eastAsia" w:asciiTheme="minorEastAsia" w:hAnsiTheme="minorEastAsia"/>
                <w:color w:val="auto"/>
              </w:rPr>
              <w:t>4mg/L</w:t>
            </w:r>
          </w:p>
        </w:tc>
      </w:tr>
      <w:tr w14:paraId="5218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14DACA61">
            <w:pPr>
              <w:adjustRightInd w:val="0"/>
              <w:snapToGrid w:val="0"/>
              <w:jc w:val="center"/>
              <w:rPr>
                <w:rFonts w:asciiTheme="minorEastAsia" w:hAnsiTheme="minorEastAsia"/>
                <w:color w:val="auto"/>
              </w:rPr>
            </w:pPr>
            <w:r>
              <w:rPr>
                <w:rFonts w:hint="eastAsia" w:asciiTheme="minorEastAsia" w:hAnsiTheme="minorEastAsia"/>
                <w:color w:val="auto"/>
              </w:rPr>
              <w:t>耗氧量</w:t>
            </w:r>
          </w:p>
          <w:p w14:paraId="2892B26C">
            <w:pPr>
              <w:adjustRightInd w:val="0"/>
              <w:snapToGrid w:val="0"/>
              <w:jc w:val="center"/>
              <w:rPr>
                <w:rFonts w:asciiTheme="minorEastAsia" w:hAnsiTheme="minorEastAsia"/>
                <w:color w:val="auto"/>
              </w:rPr>
            </w:pPr>
            <w:r>
              <w:rPr>
                <w:rFonts w:hint="eastAsia" w:asciiTheme="minorEastAsia" w:hAnsiTheme="minorEastAsia"/>
                <w:color w:val="auto"/>
              </w:rPr>
              <w:t>（高锰酸盐指数）</w:t>
            </w:r>
          </w:p>
        </w:tc>
        <w:tc>
          <w:tcPr>
            <w:tcW w:w="971" w:type="pct"/>
            <w:shd w:val="clear" w:color="auto" w:fill="auto"/>
            <w:vAlign w:val="center"/>
          </w:tcPr>
          <w:p w14:paraId="1ED3A224">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shd w:val="clear" w:color="auto" w:fill="FFFFFF"/>
              </w:rPr>
              <w:t>水质 高锰酸盐指数测定</w:t>
            </w:r>
          </w:p>
        </w:tc>
        <w:tc>
          <w:tcPr>
            <w:tcW w:w="1525" w:type="pct"/>
            <w:shd w:val="clear" w:color="auto" w:fill="auto"/>
            <w:vAlign w:val="center"/>
          </w:tcPr>
          <w:p w14:paraId="38000ECD">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shd w:val="clear" w:color="auto" w:fill="FFFFFF"/>
              </w:rPr>
              <w:t>GB/T 11892-1989</w:t>
            </w:r>
          </w:p>
        </w:tc>
        <w:tc>
          <w:tcPr>
            <w:tcW w:w="910" w:type="pct"/>
            <w:shd w:val="clear" w:color="auto" w:fill="auto"/>
            <w:vAlign w:val="center"/>
          </w:tcPr>
          <w:p w14:paraId="7544B280">
            <w:pPr>
              <w:adjustRightInd w:val="0"/>
              <w:snapToGrid w:val="0"/>
              <w:jc w:val="center"/>
              <w:rPr>
                <w:rFonts w:asciiTheme="minorEastAsia" w:hAnsiTheme="minorEastAsia"/>
                <w:color w:val="auto"/>
              </w:rPr>
            </w:pPr>
            <w:r>
              <w:rPr>
                <w:rFonts w:hint="eastAsia" w:asciiTheme="minorEastAsia" w:hAnsiTheme="minorEastAsia"/>
                <w:color w:val="auto"/>
              </w:rPr>
              <w:t>滴定管</w:t>
            </w:r>
          </w:p>
        </w:tc>
        <w:tc>
          <w:tcPr>
            <w:tcW w:w="986" w:type="pct"/>
            <w:shd w:val="clear" w:color="auto" w:fill="auto"/>
            <w:vAlign w:val="center"/>
          </w:tcPr>
          <w:p w14:paraId="6780C525">
            <w:pPr>
              <w:pStyle w:val="169"/>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0.5</w:t>
            </w:r>
            <w:r>
              <w:rPr>
                <w:rFonts w:hint="eastAsia" w:cs="宋体" w:asciiTheme="minorEastAsia" w:hAnsiTheme="minorEastAsia" w:eastAsiaTheme="minorEastAsia"/>
                <w:color w:val="auto"/>
                <w:kern w:val="21"/>
                <w:sz w:val="21"/>
                <w:szCs w:val="21"/>
              </w:rPr>
              <w:t>mg/L</w:t>
            </w:r>
          </w:p>
        </w:tc>
      </w:tr>
      <w:tr w14:paraId="2588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7E83607A">
            <w:pPr>
              <w:adjustRightInd w:val="0"/>
              <w:snapToGrid w:val="0"/>
              <w:jc w:val="center"/>
              <w:rPr>
                <w:rFonts w:asciiTheme="minorEastAsia" w:hAnsiTheme="minorEastAsia"/>
                <w:color w:val="auto"/>
              </w:rPr>
            </w:pPr>
            <w:r>
              <w:rPr>
                <w:rFonts w:hint="eastAsia" w:asciiTheme="minorEastAsia" w:hAnsiTheme="minorEastAsia"/>
                <w:color w:val="auto"/>
              </w:rPr>
              <w:t>挥发酚</w:t>
            </w:r>
          </w:p>
        </w:tc>
        <w:tc>
          <w:tcPr>
            <w:tcW w:w="971" w:type="pct"/>
            <w:shd w:val="clear" w:color="auto" w:fill="auto"/>
            <w:vAlign w:val="center"/>
          </w:tcPr>
          <w:p w14:paraId="111925FA">
            <w:pPr>
              <w:adjustRightInd w:val="0"/>
              <w:snapToGrid w:val="0"/>
              <w:jc w:val="center"/>
              <w:rPr>
                <w:rFonts w:asciiTheme="minorEastAsia" w:hAnsiTheme="minorEastAsia"/>
                <w:color w:val="auto"/>
              </w:rPr>
            </w:pPr>
            <w:r>
              <w:rPr>
                <w:rFonts w:hint="eastAsia" w:asciiTheme="minorEastAsia" w:hAnsiTheme="minorEastAsia"/>
                <w:color w:val="auto"/>
              </w:rPr>
              <w:t>水质 挥发酚的测定</w:t>
            </w:r>
          </w:p>
          <w:p w14:paraId="0CD2B2D4">
            <w:pPr>
              <w:adjustRightInd w:val="0"/>
              <w:snapToGrid w:val="0"/>
              <w:jc w:val="center"/>
              <w:rPr>
                <w:rFonts w:asciiTheme="minorEastAsia" w:hAnsiTheme="minorEastAsia"/>
                <w:color w:val="auto"/>
              </w:rPr>
            </w:pPr>
            <w:r>
              <w:rPr>
                <w:rFonts w:hint="eastAsia" w:asciiTheme="minorEastAsia" w:hAnsiTheme="minorEastAsia"/>
                <w:color w:val="auto"/>
              </w:rPr>
              <w:t>4-氨基安替比林分光光度法（方法1萃取分光光度法）</w:t>
            </w:r>
          </w:p>
        </w:tc>
        <w:tc>
          <w:tcPr>
            <w:tcW w:w="1525" w:type="pct"/>
            <w:shd w:val="clear" w:color="auto" w:fill="auto"/>
            <w:vAlign w:val="center"/>
          </w:tcPr>
          <w:p w14:paraId="0A231BAD">
            <w:pPr>
              <w:adjustRightInd w:val="0"/>
              <w:snapToGrid w:val="0"/>
              <w:jc w:val="center"/>
              <w:rPr>
                <w:rFonts w:asciiTheme="minorEastAsia" w:hAnsiTheme="minorEastAsia"/>
                <w:color w:val="auto"/>
              </w:rPr>
            </w:pPr>
            <w:r>
              <w:rPr>
                <w:rFonts w:hint="eastAsia" w:asciiTheme="minorEastAsia" w:hAnsiTheme="minorEastAsia"/>
                <w:color w:val="auto"/>
              </w:rPr>
              <w:t>HJ 503-2009</w:t>
            </w:r>
          </w:p>
        </w:tc>
        <w:tc>
          <w:tcPr>
            <w:tcW w:w="910" w:type="pct"/>
            <w:shd w:val="clear" w:color="auto" w:fill="auto"/>
            <w:vAlign w:val="center"/>
          </w:tcPr>
          <w:p w14:paraId="7FE97936">
            <w:pPr>
              <w:adjustRightInd w:val="0"/>
              <w:snapToGrid w:val="0"/>
              <w:jc w:val="center"/>
              <w:rPr>
                <w:rFonts w:asciiTheme="minorEastAsia" w:hAnsiTheme="minorEastAsia"/>
                <w:color w:val="auto"/>
              </w:rPr>
            </w:pPr>
            <w:r>
              <w:rPr>
                <w:rFonts w:hint="eastAsia" w:asciiTheme="minorEastAsia" w:hAnsiTheme="minorEastAsia"/>
                <w:color w:val="auto"/>
                <w:kern w:val="21"/>
              </w:rPr>
              <w:t xml:space="preserve">可见分光光度计   </w:t>
            </w:r>
            <w:r>
              <w:rPr>
                <w:rFonts w:hint="eastAsia" w:asciiTheme="minorEastAsia" w:hAnsiTheme="minorEastAsia"/>
                <w:color w:val="auto"/>
              </w:rPr>
              <w:t>722N</w:t>
            </w:r>
          </w:p>
        </w:tc>
        <w:tc>
          <w:tcPr>
            <w:tcW w:w="986" w:type="pct"/>
            <w:shd w:val="clear" w:color="auto" w:fill="auto"/>
            <w:vAlign w:val="center"/>
          </w:tcPr>
          <w:p w14:paraId="3ADC03C1">
            <w:pPr>
              <w:adjustRightInd w:val="0"/>
              <w:snapToGrid w:val="0"/>
              <w:jc w:val="center"/>
              <w:rPr>
                <w:rFonts w:asciiTheme="minorEastAsia" w:hAnsiTheme="minorEastAsia"/>
                <w:color w:val="auto"/>
                <w:kern w:val="21"/>
              </w:rPr>
            </w:pPr>
            <w:r>
              <w:rPr>
                <w:rFonts w:hint="eastAsia" w:asciiTheme="minorEastAsia" w:hAnsiTheme="minorEastAsia"/>
                <w:color w:val="auto"/>
              </w:rPr>
              <w:t>0.0003</w:t>
            </w:r>
            <w:r>
              <w:rPr>
                <w:rFonts w:hint="eastAsia" w:asciiTheme="minorEastAsia" w:hAnsiTheme="minorEastAsia"/>
                <w:color w:val="auto"/>
                <w:kern w:val="21"/>
              </w:rPr>
              <w:t>mg/L</w:t>
            </w:r>
          </w:p>
        </w:tc>
      </w:tr>
      <w:tr w14:paraId="1CB2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0D7D5ABB">
            <w:pPr>
              <w:adjustRightInd w:val="0"/>
              <w:snapToGrid w:val="0"/>
              <w:jc w:val="center"/>
              <w:rPr>
                <w:rFonts w:asciiTheme="minorEastAsia" w:hAnsiTheme="minorEastAsia"/>
                <w:color w:val="auto"/>
              </w:rPr>
            </w:pPr>
            <w:r>
              <w:rPr>
                <w:rFonts w:hint="eastAsia" w:asciiTheme="minorEastAsia" w:hAnsiTheme="minorEastAsia"/>
                <w:color w:val="auto"/>
              </w:rPr>
              <w:t>氟化物</w:t>
            </w:r>
          </w:p>
        </w:tc>
        <w:tc>
          <w:tcPr>
            <w:tcW w:w="971" w:type="pct"/>
            <w:shd w:val="clear" w:color="auto" w:fill="auto"/>
            <w:vAlign w:val="center"/>
          </w:tcPr>
          <w:p w14:paraId="1D0E76F3">
            <w:pPr>
              <w:jc w:val="center"/>
              <w:textAlignment w:val="center"/>
              <w:rPr>
                <w:rFonts w:asciiTheme="minorEastAsia" w:hAnsiTheme="minorEastAsia"/>
                <w:color w:val="auto"/>
                <w:lang w:bidi="ar"/>
              </w:rPr>
            </w:pPr>
            <w:r>
              <w:rPr>
                <w:rFonts w:hint="eastAsia" w:asciiTheme="minorEastAsia" w:hAnsiTheme="minorEastAsia"/>
                <w:color w:val="auto"/>
                <w:lang w:bidi="ar"/>
              </w:rPr>
              <w:t xml:space="preserve">水质 氟化物的测定 氟试剂分光光度法 </w:t>
            </w:r>
          </w:p>
        </w:tc>
        <w:tc>
          <w:tcPr>
            <w:tcW w:w="1525" w:type="pct"/>
            <w:shd w:val="clear" w:color="auto" w:fill="auto"/>
            <w:vAlign w:val="center"/>
          </w:tcPr>
          <w:p w14:paraId="4EF618E6">
            <w:pPr>
              <w:jc w:val="center"/>
              <w:textAlignment w:val="center"/>
              <w:rPr>
                <w:rFonts w:asciiTheme="minorEastAsia" w:hAnsiTheme="minorEastAsia"/>
                <w:color w:val="auto"/>
                <w:lang w:bidi="ar"/>
              </w:rPr>
            </w:pPr>
            <w:r>
              <w:rPr>
                <w:rFonts w:hint="eastAsia" w:asciiTheme="minorEastAsia" w:hAnsiTheme="minorEastAsia"/>
                <w:color w:val="auto"/>
                <w:lang w:bidi="ar"/>
              </w:rPr>
              <w:t>HJ 488-2009</w:t>
            </w:r>
          </w:p>
        </w:tc>
        <w:tc>
          <w:tcPr>
            <w:tcW w:w="910" w:type="pct"/>
            <w:shd w:val="clear" w:color="auto" w:fill="auto"/>
            <w:vAlign w:val="center"/>
          </w:tcPr>
          <w:p w14:paraId="52261A7A">
            <w:pPr>
              <w:jc w:val="center"/>
              <w:textAlignment w:val="center"/>
              <w:rPr>
                <w:rFonts w:asciiTheme="minorEastAsia" w:hAnsiTheme="minorEastAsia"/>
                <w:color w:val="auto"/>
                <w:lang w:bidi="ar"/>
              </w:rPr>
            </w:pPr>
            <w:r>
              <w:rPr>
                <w:rFonts w:hint="eastAsia" w:asciiTheme="minorEastAsia" w:hAnsiTheme="minorEastAsia"/>
                <w:color w:val="auto"/>
                <w:lang w:bidi="ar"/>
              </w:rPr>
              <w:t>可见分光光度计   722N</w:t>
            </w:r>
          </w:p>
        </w:tc>
        <w:tc>
          <w:tcPr>
            <w:tcW w:w="986" w:type="pct"/>
            <w:shd w:val="clear" w:color="auto" w:fill="auto"/>
            <w:vAlign w:val="center"/>
          </w:tcPr>
          <w:p w14:paraId="1AD29BE1">
            <w:pPr>
              <w:jc w:val="center"/>
              <w:textAlignment w:val="center"/>
              <w:rPr>
                <w:rFonts w:asciiTheme="minorEastAsia" w:hAnsiTheme="minorEastAsia"/>
                <w:color w:val="auto"/>
                <w:lang w:bidi="ar"/>
              </w:rPr>
            </w:pPr>
            <w:r>
              <w:rPr>
                <w:rFonts w:hint="eastAsia" w:asciiTheme="minorEastAsia" w:hAnsiTheme="minorEastAsia"/>
                <w:color w:val="auto"/>
                <w:lang w:bidi="ar"/>
              </w:rPr>
              <w:t>0.02mg/L</w:t>
            </w:r>
          </w:p>
        </w:tc>
      </w:tr>
      <w:tr w14:paraId="61BD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1278C0CF">
            <w:pPr>
              <w:adjustRightInd w:val="0"/>
              <w:snapToGrid w:val="0"/>
              <w:jc w:val="center"/>
              <w:rPr>
                <w:rFonts w:asciiTheme="minorEastAsia" w:hAnsiTheme="minorEastAsia"/>
                <w:color w:val="auto"/>
              </w:rPr>
            </w:pPr>
            <w:r>
              <w:rPr>
                <w:rFonts w:hint="eastAsia" w:asciiTheme="minorEastAsia" w:hAnsiTheme="minorEastAsia"/>
                <w:color w:val="auto"/>
              </w:rPr>
              <w:t>硝酸盐氮</w:t>
            </w:r>
          </w:p>
        </w:tc>
        <w:tc>
          <w:tcPr>
            <w:tcW w:w="971" w:type="pct"/>
            <w:shd w:val="clear" w:color="auto" w:fill="auto"/>
            <w:vAlign w:val="center"/>
          </w:tcPr>
          <w:p w14:paraId="3D896D49">
            <w:pPr>
              <w:jc w:val="center"/>
              <w:textAlignment w:val="center"/>
              <w:rPr>
                <w:rFonts w:asciiTheme="minorEastAsia" w:hAnsiTheme="minorEastAsia"/>
                <w:color w:val="auto"/>
                <w:lang w:bidi="ar"/>
              </w:rPr>
            </w:pPr>
            <w:r>
              <w:rPr>
                <w:rFonts w:hint="eastAsia" w:asciiTheme="minorEastAsia" w:hAnsiTheme="minorEastAsia"/>
                <w:color w:val="auto"/>
                <w:lang w:bidi="ar"/>
              </w:rPr>
              <w:t>水质 硝酸盐氮的测定 酚二磺酸分光光度法</w:t>
            </w:r>
          </w:p>
        </w:tc>
        <w:tc>
          <w:tcPr>
            <w:tcW w:w="1525" w:type="pct"/>
            <w:shd w:val="clear" w:color="auto" w:fill="auto"/>
            <w:vAlign w:val="center"/>
          </w:tcPr>
          <w:p w14:paraId="5C326A2D">
            <w:pPr>
              <w:jc w:val="center"/>
              <w:textAlignment w:val="center"/>
              <w:rPr>
                <w:rFonts w:asciiTheme="minorEastAsia" w:hAnsiTheme="minorEastAsia"/>
                <w:color w:val="auto"/>
                <w:lang w:bidi="ar"/>
              </w:rPr>
            </w:pPr>
            <w:r>
              <w:rPr>
                <w:rFonts w:hint="eastAsia" w:asciiTheme="minorEastAsia" w:hAnsiTheme="minorEastAsia"/>
                <w:color w:val="auto"/>
                <w:lang w:bidi="ar"/>
              </w:rPr>
              <w:t>GB/T 7480-1987</w:t>
            </w:r>
          </w:p>
        </w:tc>
        <w:tc>
          <w:tcPr>
            <w:tcW w:w="910" w:type="pct"/>
            <w:shd w:val="clear" w:color="auto" w:fill="auto"/>
            <w:vAlign w:val="center"/>
          </w:tcPr>
          <w:p w14:paraId="15202654">
            <w:pPr>
              <w:jc w:val="center"/>
              <w:textAlignment w:val="center"/>
              <w:rPr>
                <w:rFonts w:asciiTheme="minorEastAsia" w:hAnsiTheme="minorEastAsia"/>
                <w:color w:val="auto"/>
                <w:lang w:bidi="ar"/>
              </w:rPr>
            </w:pPr>
            <w:r>
              <w:rPr>
                <w:rFonts w:hint="eastAsia" w:asciiTheme="minorEastAsia" w:hAnsiTheme="minorEastAsia"/>
                <w:color w:val="auto"/>
                <w:lang w:bidi="ar"/>
              </w:rPr>
              <w:t>可见分光光度计   722N</w:t>
            </w:r>
          </w:p>
        </w:tc>
        <w:tc>
          <w:tcPr>
            <w:tcW w:w="986" w:type="pct"/>
            <w:shd w:val="clear" w:color="auto" w:fill="auto"/>
            <w:vAlign w:val="center"/>
          </w:tcPr>
          <w:p w14:paraId="0D6B2029">
            <w:pPr>
              <w:jc w:val="center"/>
              <w:textAlignment w:val="center"/>
              <w:rPr>
                <w:rFonts w:asciiTheme="minorEastAsia" w:hAnsiTheme="minorEastAsia"/>
                <w:color w:val="auto"/>
                <w:lang w:bidi="ar"/>
              </w:rPr>
            </w:pPr>
            <w:r>
              <w:rPr>
                <w:rFonts w:hint="eastAsia" w:asciiTheme="minorEastAsia" w:hAnsiTheme="minorEastAsia"/>
                <w:color w:val="auto"/>
                <w:lang w:bidi="ar"/>
              </w:rPr>
              <w:t>0.02mg/L</w:t>
            </w:r>
          </w:p>
        </w:tc>
      </w:tr>
      <w:tr w14:paraId="337F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401DFF63">
            <w:pPr>
              <w:adjustRightInd w:val="0"/>
              <w:snapToGrid w:val="0"/>
              <w:jc w:val="center"/>
              <w:rPr>
                <w:rFonts w:asciiTheme="minorEastAsia" w:hAnsiTheme="minorEastAsia"/>
                <w:color w:val="auto"/>
              </w:rPr>
            </w:pPr>
            <w:r>
              <w:rPr>
                <w:rFonts w:hint="eastAsia" w:asciiTheme="minorEastAsia" w:hAnsiTheme="minorEastAsia"/>
                <w:color w:val="auto"/>
              </w:rPr>
              <w:t>亚硝酸盐（氮）</w:t>
            </w:r>
          </w:p>
        </w:tc>
        <w:tc>
          <w:tcPr>
            <w:tcW w:w="971" w:type="pct"/>
            <w:shd w:val="clear" w:color="auto" w:fill="auto"/>
            <w:vAlign w:val="center"/>
          </w:tcPr>
          <w:p w14:paraId="59DB49A9">
            <w:pPr>
              <w:adjustRightInd w:val="0"/>
              <w:snapToGrid w:val="0"/>
              <w:jc w:val="center"/>
              <w:rPr>
                <w:rFonts w:asciiTheme="minorEastAsia" w:hAnsiTheme="minorEastAsia"/>
                <w:color w:val="auto"/>
              </w:rPr>
            </w:pPr>
            <w:r>
              <w:rPr>
                <w:rFonts w:hint="eastAsia" w:asciiTheme="minorEastAsia" w:hAnsiTheme="minorEastAsia"/>
                <w:color w:val="auto"/>
              </w:rPr>
              <w:t>水质 亚硝酸盐氮的测定</w:t>
            </w:r>
          </w:p>
          <w:p w14:paraId="4CA5CA49">
            <w:pPr>
              <w:adjustRightInd w:val="0"/>
              <w:snapToGrid w:val="0"/>
              <w:jc w:val="center"/>
              <w:rPr>
                <w:rFonts w:asciiTheme="minorEastAsia" w:hAnsiTheme="minorEastAsia"/>
                <w:color w:val="auto"/>
              </w:rPr>
            </w:pPr>
            <w:r>
              <w:rPr>
                <w:rFonts w:hint="eastAsia" w:asciiTheme="minorEastAsia" w:hAnsiTheme="minorEastAsia"/>
                <w:color w:val="auto"/>
              </w:rPr>
              <w:t>分光光度法</w:t>
            </w:r>
          </w:p>
        </w:tc>
        <w:tc>
          <w:tcPr>
            <w:tcW w:w="1525" w:type="pct"/>
            <w:shd w:val="clear" w:color="auto" w:fill="auto"/>
            <w:vAlign w:val="center"/>
          </w:tcPr>
          <w:p w14:paraId="0F4E2FF5">
            <w:pPr>
              <w:jc w:val="center"/>
              <w:textAlignment w:val="center"/>
              <w:rPr>
                <w:rFonts w:asciiTheme="minorEastAsia" w:hAnsiTheme="minorEastAsia"/>
                <w:color w:val="auto"/>
              </w:rPr>
            </w:pPr>
            <w:r>
              <w:rPr>
                <w:rFonts w:hint="eastAsia" w:asciiTheme="minorEastAsia" w:hAnsiTheme="minorEastAsia"/>
                <w:color w:val="auto"/>
              </w:rPr>
              <w:t>GB/T 7493-1987</w:t>
            </w:r>
          </w:p>
        </w:tc>
        <w:tc>
          <w:tcPr>
            <w:tcW w:w="910" w:type="pct"/>
            <w:shd w:val="clear" w:color="auto" w:fill="auto"/>
            <w:vAlign w:val="center"/>
          </w:tcPr>
          <w:p w14:paraId="459290E3">
            <w:pPr>
              <w:adjustRightInd w:val="0"/>
              <w:snapToGrid w:val="0"/>
              <w:jc w:val="center"/>
              <w:rPr>
                <w:rFonts w:asciiTheme="minorEastAsia" w:hAnsiTheme="minorEastAsia"/>
                <w:color w:val="auto"/>
              </w:rPr>
            </w:pPr>
            <w:r>
              <w:rPr>
                <w:rFonts w:hint="eastAsia" w:asciiTheme="minorEastAsia" w:hAnsiTheme="minorEastAsia"/>
                <w:color w:val="auto"/>
                <w:kern w:val="21"/>
              </w:rPr>
              <w:t xml:space="preserve">可见分光光度计   </w:t>
            </w:r>
            <w:r>
              <w:rPr>
                <w:rFonts w:hint="eastAsia" w:asciiTheme="minorEastAsia" w:hAnsiTheme="minorEastAsia"/>
                <w:color w:val="auto"/>
              </w:rPr>
              <w:t>722N</w:t>
            </w:r>
          </w:p>
        </w:tc>
        <w:tc>
          <w:tcPr>
            <w:tcW w:w="986" w:type="pct"/>
            <w:shd w:val="clear" w:color="auto" w:fill="auto"/>
            <w:vAlign w:val="center"/>
          </w:tcPr>
          <w:p w14:paraId="22CD27DD">
            <w:pPr>
              <w:pStyle w:val="169"/>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0.003</w:t>
            </w:r>
            <w:r>
              <w:rPr>
                <w:rFonts w:hint="eastAsia" w:cs="宋体" w:asciiTheme="minorEastAsia" w:hAnsiTheme="minorEastAsia" w:eastAsiaTheme="minorEastAsia"/>
                <w:color w:val="auto"/>
                <w:kern w:val="21"/>
                <w:sz w:val="21"/>
                <w:szCs w:val="21"/>
              </w:rPr>
              <w:t>mg/L</w:t>
            </w:r>
          </w:p>
        </w:tc>
      </w:tr>
      <w:tr w14:paraId="4C0F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2AA7EB85">
            <w:pPr>
              <w:adjustRightInd w:val="0"/>
              <w:snapToGrid w:val="0"/>
              <w:jc w:val="center"/>
              <w:rPr>
                <w:rFonts w:asciiTheme="minorEastAsia" w:hAnsiTheme="minorEastAsia"/>
                <w:color w:val="auto"/>
              </w:rPr>
            </w:pPr>
            <w:r>
              <w:rPr>
                <w:rFonts w:hint="eastAsia" w:asciiTheme="minorEastAsia" w:hAnsiTheme="minorEastAsia"/>
                <w:color w:val="auto"/>
              </w:rPr>
              <w:t>氨氮</w:t>
            </w:r>
          </w:p>
        </w:tc>
        <w:tc>
          <w:tcPr>
            <w:tcW w:w="971" w:type="pct"/>
            <w:shd w:val="clear" w:color="auto" w:fill="auto"/>
            <w:vAlign w:val="center"/>
          </w:tcPr>
          <w:p w14:paraId="070321B1">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shd w:val="clear" w:color="auto" w:fill="FFFFFF"/>
              </w:rPr>
              <w:t>水质 氨</w:t>
            </w:r>
            <w:r>
              <w:rPr>
                <w:rFonts w:hint="eastAsia" w:asciiTheme="minorEastAsia" w:hAnsiTheme="minorEastAsia"/>
                <w:color w:val="auto"/>
              </w:rPr>
              <w:t>氮</w:t>
            </w:r>
            <w:r>
              <w:rPr>
                <w:rFonts w:hint="eastAsia" w:asciiTheme="minorEastAsia" w:hAnsiTheme="minorEastAsia"/>
                <w:color w:val="auto"/>
                <w:shd w:val="clear" w:color="auto" w:fill="FFFFFF"/>
              </w:rPr>
              <w:t xml:space="preserve">的测定 </w:t>
            </w:r>
          </w:p>
          <w:p w14:paraId="1E3024A5">
            <w:pPr>
              <w:adjustRightInd w:val="0"/>
              <w:snapToGrid w:val="0"/>
              <w:jc w:val="center"/>
              <w:rPr>
                <w:rFonts w:asciiTheme="minorEastAsia" w:hAnsiTheme="minorEastAsia"/>
                <w:color w:val="auto"/>
              </w:rPr>
            </w:pPr>
            <w:r>
              <w:rPr>
                <w:rFonts w:hint="eastAsia" w:asciiTheme="minorEastAsia" w:hAnsiTheme="minorEastAsia"/>
                <w:color w:val="auto"/>
              </w:rPr>
              <w:t xml:space="preserve">纳氏试剂分光光度法 </w:t>
            </w:r>
          </w:p>
        </w:tc>
        <w:tc>
          <w:tcPr>
            <w:tcW w:w="1525" w:type="pct"/>
            <w:shd w:val="clear" w:color="auto" w:fill="auto"/>
            <w:vAlign w:val="center"/>
          </w:tcPr>
          <w:p w14:paraId="37FAA143">
            <w:pPr>
              <w:adjustRightInd w:val="0"/>
              <w:snapToGrid w:val="0"/>
              <w:jc w:val="center"/>
              <w:rPr>
                <w:rFonts w:asciiTheme="minorEastAsia" w:hAnsiTheme="minorEastAsia"/>
                <w:color w:val="auto"/>
              </w:rPr>
            </w:pPr>
            <w:r>
              <w:rPr>
                <w:rFonts w:hint="eastAsia" w:asciiTheme="minorEastAsia" w:hAnsiTheme="minorEastAsia"/>
                <w:color w:val="auto"/>
              </w:rPr>
              <w:t xml:space="preserve">HJ 535-2009 </w:t>
            </w:r>
          </w:p>
        </w:tc>
        <w:tc>
          <w:tcPr>
            <w:tcW w:w="910" w:type="pct"/>
            <w:shd w:val="clear" w:color="auto" w:fill="auto"/>
            <w:vAlign w:val="center"/>
          </w:tcPr>
          <w:p w14:paraId="25096095">
            <w:pPr>
              <w:adjustRightInd w:val="0"/>
              <w:snapToGrid w:val="0"/>
              <w:jc w:val="center"/>
              <w:rPr>
                <w:rFonts w:asciiTheme="minorEastAsia" w:hAnsiTheme="minorEastAsia"/>
                <w:color w:val="auto"/>
              </w:rPr>
            </w:pPr>
            <w:r>
              <w:rPr>
                <w:rFonts w:hint="eastAsia" w:asciiTheme="minorEastAsia" w:hAnsiTheme="minorEastAsia"/>
                <w:color w:val="auto"/>
              </w:rPr>
              <w:t>紫外可见分光光度计UV752</w:t>
            </w:r>
          </w:p>
        </w:tc>
        <w:tc>
          <w:tcPr>
            <w:tcW w:w="986" w:type="pct"/>
            <w:shd w:val="clear" w:color="auto" w:fill="auto"/>
            <w:vAlign w:val="center"/>
          </w:tcPr>
          <w:p w14:paraId="73CAF46A">
            <w:pPr>
              <w:adjustRightInd w:val="0"/>
              <w:snapToGrid w:val="0"/>
              <w:jc w:val="center"/>
              <w:rPr>
                <w:rFonts w:asciiTheme="minorEastAsia" w:hAnsiTheme="minorEastAsia"/>
                <w:color w:val="auto"/>
                <w:kern w:val="21"/>
              </w:rPr>
            </w:pPr>
            <w:r>
              <w:rPr>
                <w:rFonts w:hint="eastAsia" w:asciiTheme="minorEastAsia" w:hAnsiTheme="minorEastAsia"/>
                <w:color w:val="auto"/>
              </w:rPr>
              <w:t>0.025</w:t>
            </w:r>
            <w:r>
              <w:rPr>
                <w:rFonts w:hint="eastAsia" w:asciiTheme="minorEastAsia" w:hAnsiTheme="minorEastAsia"/>
                <w:color w:val="auto"/>
                <w:kern w:val="21"/>
              </w:rPr>
              <w:t>mg/L</w:t>
            </w:r>
          </w:p>
        </w:tc>
      </w:tr>
      <w:tr w14:paraId="70A9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09CF8FF4">
            <w:pPr>
              <w:adjustRightInd w:val="0"/>
              <w:snapToGrid w:val="0"/>
              <w:jc w:val="center"/>
              <w:rPr>
                <w:rFonts w:asciiTheme="minorEastAsia" w:hAnsiTheme="minorEastAsia"/>
                <w:color w:val="auto"/>
              </w:rPr>
            </w:pPr>
            <w:r>
              <w:rPr>
                <w:rFonts w:hint="eastAsia" w:asciiTheme="minorEastAsia" w:hAnsiTheme="minorEastAsia"/>
                <w:color w:val="auto"/>
              </w:rPr>
              <w:t>六价铬</w:t>
            </w:r>
          </w:p>
        </w:tc>
        <w:tc>
          <w:tcPr>
            <w:tcW w:w="971" w:type="pct"/>
            <w:shd w:val="clear" w:color="auto" w:fill="auto"/>
            <w:vAlign w:val="center"/>
          </w:tcPr>
          <w:p w14:paraId="7AD24C2B">
            <w:pPr>
              <w:adjustRightInd w:val="0"/>
              <w:snapToGrid w:val="0"/>
              <w:jc w:val="center"/>
              <w:rPr>
                <w:rFonts w:asciiTheme="minorEastAsia" w:hAnsiTheme="minorEastAsia"/>
                <w:color w:val="auto"/>
              </w:rPr>
            </w:pPr>
            <w:r>
              <w:rPr>
                <w:rFonts w:hint="eastAsia" w:asciiTheme="minorEastAsia" w:hAnsiTheme="minorEastAsia"/>
                <w:color w:val="auto"/>
              </w:rPr>
              <w:t>水质 六价铬的测定</w:t>
            </w:r>
          </w:p>
          <w:p w14:paraId="70C1073A">
            <w:pPr>
              <w:adjustRightInd w:val="0"/>
              <w:snapToGrid w:val="0"/>
              <w:jc w:val="center"/>
              <w:rPr>
                <w:rFonts w:asciiTheme="minorEastAsia" w:hAnsiTheme="minorEastAsia"/>
                <w:color w:val="auto"/>
              </w:rPr>
            </w:pPr>
            <w:r>
              <w:rPr>
                <w:rFonts w:hint="eastAsia" w:asciiTheme="minorEastAsia" w:hAnsiTheme="minorEastAsia"/>
                <w:color w:val="auto"/>
              </w:rPr>
              <w:t>二苯碳酰二肼分光光度法</w:t>
            </w:r>
          </w:p>
        </w:tc>
        <w:tc>
          <w:tcPr>
            <w:tcW w:w="1525" w:type="pct"/>
            <w:shd w:val="clear" w:color="auto" w:fill="auto"/>
            <w:vAlign w:val="center"/>
          </w:tcPr>
          <w:p w14:paraId="383F34C8">
            <w:pPr>
              <w:adjustRightInd w:val="0"/>
              <w:snapToGrid w:val="0"/>
              <w:jc w:val="center"/>
              <w:rPr>
                <w:rFonts w:asciiTheme="minorEastAsia" w:hAnsiTheme="minorEastAsia"/>
                <w:color w:val="auto"/>
              </w:rPr>
            </w:pPr>
            <w:r>
              <w:rPr>
                <w:rFonts w:hint="eastAsia" w:asciiTheme="minorEastAsia" w:hAnsiTheme="minorEastAsia"/>
                <w:color w:val="auto"/>
              </w:rPr>
              <w:t>GB/T 7467-1987</w:t>
            </w:r>
          </w:p>
        </w:tc>
        <w:tc>
          <w:tcPr>
            <w:tcW w:w="910" w:type="pct"/>
            <w:shd w:val="clear" w:color="auto" w:fill="auto"/>
            <w:vAlign w:val="center"/>
          </w:tcPr>
          <w:p w14:paraId="6BD8A81B">
            <w:pPr>
              <w:adjustRightInd w:val="0"/>
              <w:snapToGrid w:val="0"/>
              <w:jc w:val="center"/>
              <w:rPr>
                <w:rFonts w:asciiTheme="minorEastAsia" w:hAnsiTheme="minorEastAsia"/>
                <w:color w:val="auto"/>
              </w:rPr>
            </w:pPr>
            <w:r>
              <w:rPr>
                <w:rFonts w:hint="eastAsia" w:asciiTheme="minorEastAsia" w:hAnsiTheme="minorEastAsia"/>
                <w:color w:val="auto"/>
                <w:kern w:val="21"/>
              </w:rPr>
              <w:t xml:space="preserve">可见分光光度计   </w:t>
            </w:r>
            <w:r>
              <w:rPr>
                <w:rFonts w:hint="eastAsia" w:asciiTheme="minorEastAsia" w:hAnsiTheme="minorEastAsia"/>
                <w:color w:val="auto"/>
              </w:rPr>
              <w:t>722N</w:t>
            </w:r>
          </w:p>
        </w:tc>
        <w:tc>
          <w:tcPr>
            <w:tcW w:w="986" w:type="pct"/>
            <w:shd w:val="clear" w:color="auto" w:fill="auto"/>
            <w:vAlign w:val="center"/>
          </w:tcPr>
          <w:p w14:paraId="71B610A3">
            <w:pPr>
              <w:pStyle w:val="169"/>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0.004</w:t>
            </w:r>
            <w:r>
              <w:rPr>
                <w:rFonts w:hint="eastAsia" w:cs="宋体" w:asciiTheme="minorEastAsia" w:hAnsiTheme="minorEastAsia" w:eastAsiaTheme="minorEastAsia"/>
                <w:color w:val="auto"/>
                <w:kern w:val="21"/>
                <w:sz w:val="21"/>
                <w:szCs w:val="21"/>
              </w:rPr>
              <w:t>mg/L</w:t>
            </w:r>
          </w:p>
        </w:tc>
      </w:tr>
      <w:tr w14:paraId="6DFB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25729CF8">
            <w:pPr>
              <w:jc w:val="center"/>
              <w:rPr>
                <w:rFonts w:asciiTheme="minorEastAsia" w:hAnsiTheme="minorEastAsia"/>
                <w:color w:val="auto"/>
              </w:rPr>
            </w:pPr>
            <w:r>
              <w:rPr>
                <w:rFonts w:hint="eastAsia" w:asciiTheme="minorEastAsia" w:hAnsiTheme="minorEastAsia"/>
                <w:color w:val="auto"/>
              </w:rPr>
              <w:t>砷</w:t>
            </w:r>
          </w:p>
        </w:tc>
        <w:tc>
          <w:tcPr>
            <w:tcW w:w="971" w:type="pct"/>
            <w:shd w:val="clear" w:color="auto" w:fill="auto"/>
            <w:vAlign w:val="center"/>
          </w:tcPr>
          <w:p w14:paraId="38FC9243">
            <w:pPr>
              <w:jc w:val="center"/>
              <w:textAlignment w:val="center"/>
              <w:rPr>
                <w:rFonts w:asciiTheme="minorEastAsia" w:hAnsiTheme="minorEastAsia"/>
                <w:color w:val="auto"/>
              </w:rPr>
            </w:pPr>
            <w:r>
              <w:rPr>
                <w:rFonts w:hint="eastAsia" w:asciiTheme="minorEastAsia" w:hAnsiTheme="minorEastAsia"/>
                <w:color w:val="auto"/>
              </w:rPr>
              <w:t>水质 汞、砷、硒、铋和锑的测定 原子荧光法</w:t>
            </w:r>
          </w:p>
        </w:tc>
        <w:tc>
          <w:tcPr>
            <w:tcW w:w="1525" w:type="pct"/>
            <w:shd w:val="clear" w:color="auto" w:fill="auto"/>
            <w:vAlign w:val="center"/>
          </w:tcPr>
          <w:p w14:paraId="4C83E8B5">
            <w:pPr>
              <w:jc w:val="center"/>
              <w:textAlignment w:val="center"/>
              <w:rPr>
                <w:rFonts w:asciiTheme="minorEastAsia" w:hAnsiTheme="minorEastAsia"/>
                <w:color w:val="auto"/>
              </w:rPr>
            </w:pPr>
            <w:r>
              <w:rPr>
                <w:rFonts w:hint="eastAsia" w:asciiTheme="minorEastAsia" w:hAnsiTheme="minorEastAsia"/>
                <w:color w:val="auto"/>
              </w:rPr>
              <w:t>HJ 694-2014</w:t>
            </w:r>
          </w:p>
        </w:tc>
        <w:tc>
          <w:tcPr>
            <w:tcW w:w="910" w:type="pct"/>
            <w:shd w:val="clear" w:color="auto" w:fill="auto"/>
            <w:vAlign w:val="center"/>
          </w:tcPr>
          <w:p w14:paraId="7B8355D2">
            <w:pPr>
              <w:jc w:val="center"/>
              <w:rPr>
                <w:rFonts w:asciiTheme="minorEastAsia" w:hAnsiTheme="minorEastAsia"/>
                <w:color w:val="auto"/>
                <w:kern w:val="21"/>
              </w:rPr>
            </w:pPr>
            <w:r>
              <w:rPr>
                <w:rFonts w:hint="eastAsia" w:asciiTheme="minorEastAsia" w:hAnsiTheme="minorEastAsia"/>
                <w:color w:val="auto"/>
                <w:kern w:val="21"/>
              </w:rPr>
              <w:t>原子荧光光度计 AFS-8220</w:t>
            </w:r>
          </w:p>
        </w:tc>
        <w:tc>
          <w:tcPr>
            <w:tcW w:w="986" w:type="pct"/>
            <w:shd w:val="clear" w:color="auto" w:fill="auto"/>
            <w:vAlign w:val="center"/>
          </w:tcPr>
          <w:p w14:paraId="788052F8">
            <w:pPr>
              <w:jc w:val="center"/>
              <w:textAlignment w:val="center"/>
              <w:rPr>
                <w:rFonts w:asciiTheme="minorEastAsia" w:hAnsiTheme="minorEastAsia"/>
                <w:color w:val="auto"/>
              </w:rPr>
            </w:pPr>
            <w:r>
              <w:rPr>
                <w:rFonts w:hint="eastAsia" w:asciiTheme="minorEastAsia" w:hAnsiTheme="minorEastAsia"/>
                <w:color w:val="auto"/>
              </w:rPr>
              <w:t>0.0003mg/L</w:t>
            </w:r>
          </w:p>
        </w:tc>
      </w:tr>
      <w:tr w14:paraId="220E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75C0DA63">
            <w:pPr>
              <w:jc w:val="center"/>
              <w:rPr>
                <w:rFonts w:asciiTheme="minorEastAsia" w:hAnsiTheme="minorEastAsia"/>
                <w:color w:val="auto"/>
              </w:rPr>
            </w:pPr>
            <w:r>
              <w:rPr>
                <w:rFonts w:hint="eastAsia" w:asciiTheme="minorEastAsia" w:hAnsiTheme="minorEastAsia"/>
                <w:color w:val="auto"/>
              </w:rPr>
              <w:t>铅</w:t>
            </w:r>
          </w:p>
        </w:tc>
        <w:tc>
          <w:tcPr>
            <w:tcW w:w="971" w:type="pct"/>
            <w:shd w:val="clear" w:color="auto" w:fill="auto"/>
            <w:vAlign w:val="center"/>
          </w:tcPr>
          <w:p w14:paraId="0287095F">
            <w:pPr>
              <w:jc w:val="center"/>
              <w:rPr>
                <w:rFonts w:asciiTheme="minorEastAsia" w:hAnsiTheme="minorEastAsia"/>
                <w:color w:val="auto"/>
              </w:rPr>
            </w:pPr>
            <w:r>
              <w:rPr>
                <w:rFonts w:hint="eastAsia" w:asciiTheme="minorEastAsia" w:hAnsiTheme="minorEastAsia"/>
                <w:color w:val="auto"/>
              </w:rPr>
              <w:t xml:space="preserve">铜、铅、镉 </w:t>
            </w:r>
            <w:r>
              <w:rPr>
                <w:rFonts w:hint="eastAsia" w:asciiTheme="minorEastAsia" w:hAnsiTheme="minorEastAsia"/>
                <w:color w:val="auto"/>
                <w:shd w:val="clear" w:color="auto" w:fill="FFFFFF"/>
                <w:lang w:bidi="ar"/>
              </w:rPr>
              <w:t xml:space="preserve">石墨炉原子吸收法 </w:t>
            </w:r>
          </w:p>
        </w:tc>
        <w:tc>
          <w:tcPr>
            <w:tcW w:w="1525" w:type="pct"/>
            <w:shd w:val="clear" w:color="auto" w:fill="auto"/>
            <w:vAlign w:val="center"/>
          </w:tcPr>
          <w:p w14:paraId="117F294D">
            <w:pPr>
              <w:jc w:val="center"/>
              <w:rPr>
                <w:rFonts w:asciiTheme="minorEastAsia" w:hAnsiTheme="minorEastAsia"/>
                <w:color w:val="auto"/>
              </w:rPr>
            </w:pPr>
            <w:r>
              <w:rPr>
                <w:rFonts w:hint="eastAsia" w:asciiTheme="minorEastAsia" w:hAnsiTheme="minorEastAsia"/>
                <w:color w:val="auto"/>
              </w:rPr>
              <w:t>《水和废水监测分析方法》（第四版）国家环境保护总（2002年）</w:t>
            </w:r>
          </w:p>
        </w:tc>
        <w:tc>
          <w:tcPr>
            <w:tcW w:w="910" w:type="pct"/>
            <w:shd w:val="clear" w:color="auto" w:fill="auto"/>
            <w:vAlign w:val="center"/>
          </w:tcPr>
          <w:p w14:paraId="566033C2">
            <w:pPr>
              <w:jc w:val="center"/>
              <w:rPr>
                <w:rFonts w:asciiTheme="minorEastAsia" w:hAnsiTheme="minorEastAsia"/>
                <w:color w:val="auto"/>
                <w:kern w:val="21"/>
              </w:rPr>
            </w:pPr>
            <w:r>
              <w:rPr>
                <w:rFonts w:hint="eastAsia" w:asciiTheme="minorEastAsia" w:hAnsiTheme="minorEastAsia"/>
                <w:color w:val="auto"/>
                <w:shd w:val="clear" w:color="auto" w:fill="FFFFFF"/>
                <w:lang w:bidi="ar"/>
              </w:rPr>
              <w:t>石墨炉</w:t>
            </w:r>
            <w:r>
              <w:rPr>
                <w:rFonts w:hint="eastAsia" w:asciiTheme="minorEastAsia" w:hAnsiTheme="minorEastAsia"/>
                <w:color w:val="auto"/>
                <w:kern w:val="21"/>
              </w:rPr>
              <w:t xml:space="preserve">原子吸收分光光度计 </w:t>
            </w:r>
          </w:p>
          <w:p w14:paraId="43AE8094">
            <w:pPr>
              <w:jc w:val="center"/>
              <w:rPr>
                <w:rFonts w:asciiTheme="minorEastAsia" w:hAnsiTheme="minorEastAsia"/>
                <w:color w:val="auto"/>
                <w:kern w:val="21"/>
              </w:rPr>
            </w:pPr>
            <w:r>
              <w:rPr>
                <w:rFonts w:hint="eastAsia" w:asciiTheme="minorEastAsia" w:hAnsiTheme="minorEastAsia"/>
                <w:color w:val="auto"/>
                <w:kern w:val="21"/>
              </w:rPr>
              <w:t>AA320N、</w:t>
            </w:r>
            <w:r>
              <w:rPr>
                <w:rFonts w:hint="eastAsia" w:asciiTheme="minorEastAsia" w:hAnsiTheme="minorEastAsia"/>
                <w:color w:val="auto"/>
                <w:lang w:bidi="ar"/>
              </w:rPr>
              <w:t>GA3202</w:t>
            </w:r>
          </w:p>
        </w:tc>
        <w:tc>
          <w:tcPr>
            <w:tcW w:w="986" w:type="pct"/>
            <w:shd w:val="clear" w:color="auto" w:fill="auto"/>
            <w:vAlign w:val="center"/>
          </w:tcPr>
          <w:p w14:paraId="18878536">
            <w:pPr>
              <w:jc w:val="center"/>
              <w:rPr>
                <w:rFonts w:asciiTheme="minorEastAsia" w:hAnsiTheme="minorEastAsia"/>
                <w:color w:val="auto"/>
              </w:rPr>
            </w:pPr>
            <w:r>
              <w:rPr>
                <w:rFonts w:hint="eastAsia" w:asciiTheme="minorEastAsia" w:hAnsiTheme="minorEastAsia"/>
                <w:color w:val="auto"/>
              </w:rPr>
              <w:t>1.0μg/L</w:t>
            </w:r>
          </w:p>
        </w:tc>
      </w:tr>
      <w:tr w14:paraId="13F8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12333813">
            <w:pPr>
              <w:adjustRightInd w:val="0"/>
              <w:snapToGrid w:val="0"/>
              <w:jc w:val="center"/>
              <w:rPr>
                <w:rFonts w:asciiTheme="minorEastAsia" w:hAnsiTheme="minorEastAsia"/>
                <w:color w:val="auto"/>
              </w:rPr>
            </w:pPr>
            <w:r>
              <w:rPr>
                <w:rFonts w:hint="eastAsia" w:asciiTheme="minorEastAsia" w:hAnsiTheme="minorEastAsia"/>
                <w:color w:val="auto"/>
              </w:rPr>
              <w:t>铁</w:t>
            </w:r>
          </w:p>
        </w:tc>
        <w:tc>
          <w:tcPr>
            <w:tcW w:w="971" w:type="pct"/>
            <w:shd w:val="clear" w:color="auto" w:fill="auto"/>
            <w:vAlign w:val="center"/>
          </w:tcPr>
          <w:p w14:paraId="51FAF323">
            <w:pPr>
              <w:adjustRightInd w:val="0"/>
              <w:snapToGrid w:val="0"/>
              <w:jc w:val="center"/>
              <w:rPr>
                <w:rFonts w:asciiTheme="minorEastAsia" w:hAnsiTheme="minorEastAsia"/>
                <w:color w:val="auto"/>
              </w:rPr>
            </w:pPr>
            <w:r>
              <w:rPr>
                <w:rFonts w:hint="eastAsia" w:asciiTheme="minorEastAsia" w:hAnsiTheme="minorEastAsia"/>
                <w:color w:val="auto"/>
              </w:rPr>
              <w:t>水质 铁、锰的测定</w:t>
            </w:r>
          </w:p>
          <w:p w14:paraId="234E756F">
            <w:pPr>
              <w:adjustRightInd w:val="0"/>
              <w:snapToGrid w:val="0"/>
              <w:jc w:val="center"/>
              <w:rPr>
                <w:rFonts w:asciiTheme="minorEastAsia" w:hAnsiTheme="minorEastAsia"/>
                <w:color w:val="auto"/>
              </w:rPr>
            </w:pPr>
            <w:r>
              <w:rPr>
                <w:rFonts w:hint="eastAsia" w:asciiTheme="minorEastAsia" w:hAnsiTheme="minorEastAsia"/>
                <w:color w:val="auto"/>
              </w:rPr>
              <w:t>火焰原子吸收分光光度法</w:t>
            </w:r>
          </w:p>
        </w:tc>
        <w:tc>
          <w:tcPr>
            <w:tcW w:w="1525" w:type="pct"/>
            <w:shd w:val="clear" w:color="auto" w:fill="auto"/>
            <w:vAlign w:val="center"/>
          </w:tcPr>
          <w:p w14:paraId="13FBF67F">
            <w:pPr>
              <w:adjustRightInd w:val="0"/>
              <w:snapToGrid w:val="0"/>
              <w:jc w:val="center"/>
              <w:rPr>
                <w:rFonts w:asciiTheme="minorEastAsia" w:hAnsiTheme="minorEastAsia"/>
                <w:color w:val="auto"/>
              </w:rPr>
            </w:pPr>
            <w:r>
              <w:rPr>
                <w:rFonts w:hint="eastAsia" w:asciiTheme="minorEastAsia" w:hAnsiTheme="minorEastAsia"/>
                <w:color w:val="auto"/>
              </w:rPr>
              <w:t>GB/T 11911-1989</w:t>
            </w:r>
          </w:p>
        </w:tc>
        <w:tc>
          <w:tcPr>
            <w:tcW w:w="910" w:type="pct"/>
            <w:shd w:val="clear" w:color="auto" w:fill="auto"/>
            <w:vAlign w:val="center"/>
          </w:tcPr>
          <w:p w14:paraId="442C3171">
            <w:pPr>
              <w:adjustRightInd w:val="0"/>
              <w:snapToGrid w:val="0"/>
              <w:jc w:val="center"/>
              <w:rPr>
                <w:rFonts w:asciiTheme="minorEastAsia" w:hAnsiTheme="minorEastAsia"/>
                <w:color w:val="auto"/>
                <w:kern w:val="21"/>
              </w:rPr>
            </w:pPr>
            <w:r>
              <w:rPr>
                <w:rFonts w:hint="eastAsia" w:asciiTheme="minorEastAsia" w:hAnsiTheme="minorEastAsia"/>
                <w:color w:val="auto"/>
                <w:kern w:val="21"/>
              </w:rPr>
              <w:t>原子吸收分光光度计 AA320N</w:t>
            </w:r>
          </w:p>
        </w:tc>
        <w:tc>
          <w:tcPr>
            <w:tcW w:w="986" w:type="pct"/>
            <w:shd w:val="clear" w:color="auto" w:fill="auto"/>
            <w:vAlign w:val="center"/>
          </w:tcPr>
          <w:p w14:paraId="6E718494">
            <w:pPr>
              <w:pStyle w:val="169"/>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0.03</w:t>
            </w:r>
            <w:r>
              <w:rPr>
                <w:rFonts w:hint="eastAsia" w:cs="宋体" w:asciiTheme="minorEastAsia" w:hAnsiTheme="minorEastAsia" w:eastAsiaTheme="minorEastAsia"/>
                <w:color w:val="auto"/>
                <w:kern w:val="21"/>
                <w:sz w:val="21"/>
                <w:szCs w:val="21"/>
              </w:rPr>
              <w:t>mg/L</w:t>
            </w:r>
          </w:p>
        </w:tc>
      </w:tr>
      <w:tr w14:paraId="76DA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303F0439">
            <w:pPr>
              <w:adjustRightInd w:val="0"/>
              <w:snapToGrid w:val="0"/>
              <w:jc w:val="center"/>
              <w:rPr>
                <w:rFonts w:asciiTheme="minorEastAsia" w:hAnsiTheme="minorEastAsia"/>
                <w:color w:val="auto"/>
              </w:rPr>
            </w:pPr>
            <w:r>
              <w:rPr>
                <w:rFonts w:hint="eastAsia" w:asciiTheme="minorEastAsia" w:hAnsiTheme="minorEastAsia"/>
                <w:color w:val="auto"/>
              </w:rPr>
              <w:t>锰</w:t>
            </w:r>
          </w:p>
        </w:tc>
        <w:tc>
          <w:tcPr>
            <w:tcW w:w="971" w:type="pct"/>
            <w:shd w:val="clear" w:color="auto" w:fill="auto"/>
            <w:vAlign w:val="center"/>
          </w:tcPr>
          <w:p w14:paraId="7C91CA15">
            <w:pPr>
              <w:adjustRightInd w:val="0"/>
              <w:snapToGrid w:val="0"/>
              <w:jc w:val="center"/>
              <w:rPr>
                <w:rFonts w:asciiTheme="minorEastAsia" w:hAnsiTheme="minorEastAsia"/>
                <w:color w:val="auto"/>
              </w:rPr>
            </w:pPr>
            <w:r>
              <w:rPr>
                <w:rFonts w:hint="eastAsia" w:asciiTheme="minorEastAsia" w:hAnsiTheme="minorEastAsia"/>
                <w:color w:val="auto"/>
              </w:rPr>
              <w:t>水质 铁、锰的测定</w:t>
            </w:r>
          </w:p>
          <w:p w14:paraId="00027D7F">
            <w:pPr>
              <w:adjustRightInd w:val="0"/>
              <w:snapToGrid w:val="0"/>
              <w:jc w:val="center"/>
              <w:rPr>
                <w:rFonts w:asciiTheme="minorEastAsia" w:hAnsiTheme="minorEastAsia"/>
                <w:color w:val="auto"/>
              </w:rPr>
            </w:pPr>
            <w:r>
              <w:rPr>
                <w:rFonts w:hint="eastAsia" w:asciiTheme="minorEastAsia" w:hAnsiTheme="minorEastAsia"/>
                <w:color w:val="auto"/>
              </w:rPr>
              <w:t>火焰原子吸收分光光度法</w:t>
            </w:r>
          </w:p>
        </w:tc>
        <w:tc>
          <w:tcPr>
            <w:tcW w:w="1525" w:type="pct"/>
            <w:shd w:val="clear" w:color="auto" w:fill="auto"/>
            <w:vAlign w:val="center"/>
          </w:tcPr>
          <w:p w14:paraId="7A9519F8">
            <w:pPr>
              <w:adjustRightInd w:val="0"/>
              <w:snapToGrid w:val="0"/>
              <w:jc w:val="center"/>
              <w:rPr>
                <w:rFonts w:asciiTheme="minorEastAsia" w:hAnsiTheme="minorEastAsia"/>
                <w:color w:val="auto"/>
              </w:rPr>
            </w:pPr>
            <w:r>
              <w:rPr>
                <w:rFonts w:hint="eastAsia" w:asciiTheme="minorEastAsia" w:hAnsiTheme="minorEastAsia"/>
                <w:color w:val="auto"/>
              </w:rPr>
              <w:t>GB/T 11911-1989</w:t>
            </w:r>
          </w:p>
        </w:tc>
        <w:tc>
          <w:tcPr>
            <w:tcW w:w="910" w:type="pct"/>
            <w:shd w:val="clear" w:color="auto" w:fill="auto"/>
            <w:vAlign w:val="center"/>
          </w:tcPr>
          <w:p w14:paraId="45123F13">
            <w:pPr>
              <w:adjustRightInd w:val="0"/>
              <w:snapToGrid w:val="0"/>
              <w:jc w:val="center"/>
              <w:rPr>
                <w:rFonts w:asciiTheme="minorEastAsia" w:hAnsiTheme="minorEastAsia"/>
                <w:color w:val="auto"/>
                <w:kern w:val="21"/>
              </w:rPr>
            </w:pPr>
            <w:r>
              <w:rPr>
                <w:rFonts w:hint="eastAsia" w:asciiTheme="minorEastAsia" w:hAnsiTheme="minorEastAsia"/>
                <w:color w:val="auto"/>
                <w:kern w:val="21"/>
              </w:rPr>
              <w:t>原子吸收分光光度计 AA320N</w:t>
            </w:r>
          </w:p>
        </w:tc>
        <w:tc>
          <w:tcPr>
            <w:tcW w:w="986" w:type="pct"/>
            <w:shd w:val="clear" w:color="auto" w:fill="auto"/>
            <w:vAlign w:val="center"/>
          </w:tcPr>
          <w:p w14:paraId="680A869B">
            <w:pPr>
              <w:pStyle w:val="169"/>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0.01</w:t>
            </w:r>
            <w:r>
              <w:rPr>
                <w:rFonts w:hint="eastAsia" w:cs="宋体" w:asciiTheme="minorEastAsia" w:hAnsiTheme="minorEastAsia" w:eastAsiaTheme="minorEastAsia"/>
                <w:color w:val="auto"/>
                <w:kern w:val="21"/>
                <w:sz w:val="21"/>
                <w:szCs w:val="21"/>
              </w:rPr>
              <w:t>mg/L</w:t>
            </w:r>
          </w:p>
        </w:tc>
      </w:tr>
      <w:tr w14:paraId="4049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41E3D724">
            <w:pPr>
              <w:jc w:val="center"/>
              <w:rPr>
                <w:rFonts w:asciiTheme="minorEastAsia" w:hAnsiTheme="minorEastAsia"/>
                <w:color w:val="auto"/>
              </w:rPr>
            </w:pPr>
            <w:r>
              <w:rPr>
                <w:rFonts w:hint="eastAsia" w:asciiTheme="minorEastAsia" w:hAnsiTheme="minorEastAsia"/>
                <w:color w:val="auto"/>
              </w:rPr>
              <w:t>汞</w:t>
            </w:r>
          </w:p>
        </w:tc>
        <w:tc>
          <w:tcPr>
            <w:tcW w:w="971" w:type="pct"/>
            <w:shd w:val="clear" w:color="auto" w:fill="auto"/>
            <w:vAlign w:val="center"/>
          </w:tcPr>
          <w:p w14:paraId="5CC14F6D">
            <w:pPr>
              <w:jc w:val="center"/>
              <w:textAlignment w:val="center"/>
              <w:rPr>
                <w:rFonts w:asciiTheme="minorEastAsia" w:hAnsiTheme="minorEastAsia"/>
                <w:color w:val="auto"/>
              </w:rPr>
            </w:pPr>
            <w:r>
              <w:rPr>
                <w:rFonts w:hint="eastAsia" w:asciiTheme="minorEastAsia" w:hAnsiTheme="minorEastAsia"/>
                <w:color w:val="auto"/>
              </w:rPr>
              <w:t>水质 汞、砷、硒、铋和锑的测定 原子荧光法</w:t>
            </w:r>
          </w:p>
        </w:tc>
        <w:tc>
          <w:tcPr>
            <w:tcW w:w="1525" w:type="pct"/>
            <w:shd w:val="clear" w:color="auto" w:fill="auto"/>
            <w:vAlign w:val="center"/>
          </w:tcPr>
          <w:p w14:paraId="7F10F025">
            <w:pPr>
              <w:jc w:val="center"/>
              <w:textAlignment w:val="center"/>
              <w:rPr>
                <w:rFonts w:asciiTheme="minorEastAsia" w:hAnsiTheme="minorEastAsia"/>
                <w:color w:val="auto"/>
              </w:rPr>
            </w:pPr>
            <w:r>
              <w:rPr>
                <w:rFonts w:hint="eastAsia" w:asciiTheme="minorEastAsia" w:hAnsiTheme="minorEastAsia"/>
                <w:color w:val="auto"/>
              </w:rPr>
              <w:t>HJ 694-2014</w:t>
            </w:r>
          </w:p>
        </w:tc>
        <w:tc>
          <w:tcPr>
            <w:tcW w:w="910" w:type="pct"/>
            <w:shd w:val="clear" w:color="auto" w:fill="auto"/>
            <w:vAlign w:val="center"/>
          </w:tcPr>
          <w:p w14:paraId="47D9BCB1">
            <w:pPr>
              <w:jc w:val="center"/>
              <w:rPr>
                <w:rFonts w:asciiTheme="minorEastAsia" w:hAnsiTheme="minorEastAsia"/>
                <w:color w:val="auto"/>
                <w:kern w:val="21"/>
              </w:rPr>
            </w:pPr>
            <w:r>
              <w:rPr>
                <w:rFonts w:hint="eastAsia" w:asciiTheme="minorEastAsia" w:hAnsiTheme="minorEastAsia"/>
                <w:color w:val="auto"/>
                <w:kern w:val="21"/>
              </w:rPr>
              <w:t>原子荧光光度计 AFS-8220</w:t>
            </w:r>
          </w:p>
        </w:tc>
        <w:tc>
          <w:tcPr>
            <w:tcW w:w="986" w:type="pct"/>
            <w:shd w:val="clear" w:color="auto" w:fill="auto"/>
            <w:vAlign w:val="center"/>
          </w:tcPr>
          <w:p w14:paraId="0728B8E2">
            <w:pPr>
              <w:jc w:val="center"/>
              <w:textAlignment w:val="center"/>
              <w:rPr>
                <w:rFonts w:asciiTheme="minorEastAsia" w:hAnsiTheme="minorEastAsia"/>
                <w:color w:val="auto"/>
              </w:rPr>
            </w:pPr>
            <w:r>
              <w:rPr>
                <w:rFonts w:hint="eastAsia" w:asciiTheme="minorEastAsia" w:hAnsiTheme="minorEastAsia"/>
                <w:color w:val="auto"/>
              </w:rPr>
              <w:t>0.00004mg/L</w:t>
            </w:r>
          </w:p>
        </w:tc>
      </w:tr>
      <w:tr w14:paraId="2F40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59789A8D">
            <w:pPr>
              <w:adjustRightInd w:val="0"/>
              <w:snapToGrid w:val="0"/>
              <w:jc w:val="center"/>
              <w:rPr>
                <w:rFonts w:asciiTheme="minorEastAsia" w:hAnsiTheme="minorEastAsia"/>
                <w:color w:val="auto"/>
              </w:rPr>
            </w:pPr>
            <w:r>
              <w:rPr>
                <w:rFonts w:hint="eastAsia" w:asciiTheme="minorEastAsia" w:hAnsiTheme="minorEastAsia"/>
                <w:color w:val="auto"/>
              </w:rPr>
              <w:t>菌落总数</w:t>
            </w:r>
          </w:p>
        </w:tc>
        <w:tc>
          <w:tcPr>
            <w:tcW w:w="971" w:type="pct"/>
            <w:shd w:val="clear" w:color="auto" w:fill="auto"/>
            <w:vAlign w:val="center"/>
          </w:tcPr>
          <w:p w14:paraId="02CDFAC7">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rPr>
              <w:t xml:space="preserve"> 生活饮用水标准检验方法 微生物指标（4.1平皿计数法）</w:t>
            </w:r>
          </w:p>
        </w:tc>
        <w:tc>
          <w:tcPr>
            <w:tcW w:w="1525" w:type="pct"/>
            <w:shd w:val="clear" w:color="auto" w:fill="auto"/>
            <w:vAlign w:val="center"/>
          </w:tcPr>
          <w:p w14:paraId="331A58D2">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rPr>
              <w:t>GB/T5750.12-2023</w:t>
            </w:r>
          </w:p>
        </w:tc>
        <w:tc>
          <w:tcPr>
            <w:tcW w:w="910" w:type="pct"/>
            <w:shd w:val="clear" w:color="auto" w:fill="auto"/>
            <w:vAlign w:val="center"/>
          </w:tcPr>
          <w:p w14:paraId="14CE306F">
            <w:pPr>
              <w:jc w:val="center"/>
              <w:textAlignment w:val="center"/>
              <w:rPr>
                <w:rFonts w:asciiTheme="minorEastAsia" w:hAnsiTheme="minorEastAsia"/>
                <w:color w:val="auto"/>
                <w:shd w:val="clear" w:color="auto" w:fill="FFFFFF"/>
              </w:rPr>
            </w:pPr>
            <w:r>
              <w:rPr>
                <w:rFonts w:hint="eastAsia" w:asciiTheme="minorEastAsia" w:hAnsiTheme="minorEastAsia"/>
                <w:color w:val="auto"/>
                <w:lang w:bidi="ar"/>
              </w:rPr>
              <w:t>电热恒温培养箱303-0B</w:t>
            </w:r>
          </w:p>
        </w:tc>
        <w:tc>
          <w:tcPr>
            <w:tcW w:w="986" w:type="pct"/>
            <w:shd w:val="clear" w:color="auto" w:fill="auto"/>
            <w:vAlign w:val="center"/>
          </w:tcPr>
          <w:p w14:paraId="4524C906">
            <w:pPr>
              <w:jc w:val="center"/>
              <w:rPr>
                <w:rFonts w:asciiTheme="minorEastAsia" w:hAnsiTheme="minorEastAsia"/>
                <w:color w:val="auto"/>
              </w:rPr>
            </w:pPr>
            <w:r>
              <w:rPr>
                <w:rFonts w:hint="eastAsia" w:asciiTheme="minorEastAsia" w:hAnsiTheme="minorEastAsia"/>
                <w:color w:val="auto"/>
                <w:kern w:val="21"/>
              </w:rPr>
              <w:t xml:space="preserve">-  </w:t>
            </w:r>
          </w:p>
        </w:tc>
      </w:tr>
      <w:tr w14:paraId="3620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6082FD21">
            <w:pPr>
              <w:jc w:val="center"/>
              <w:rPr>
                <w:rFonts w:asciiTheme="minorEastAsia" w:hAnsiTheme="minorEastAsia"/>
                <w:color w:val="auto"/>
              </w:rPr>
            </w:pPr>
            <w:r>
              <w:rPr>
                <w:rFonts w:hint="eastAsia" w:asciiTheme="minorEastAsia" w:hAnsiTheme="minorEastAsia"/>
                <w:color w:val="auto"/>
              </w:rPr>
              <w:t>总大肠菌群</w:t>
            </w:r>
          </w:p>
        </w:tc>
        <w:tc>
          <w:tcPr>
            <w:tcW w:w="971" w:type="pct"/>
            <w:shd w:val="clear" w:color="auto" w:fill="auto"/>
            <w:vAlign w:val="center"/>
          </w:tcPr>
          <w:p w14:paraId="1C35B953">
            <w:pPr>
              <w:jc w:val="center"/>
              <w:rPr>
                <w:rFonts w:asciiTheme="minorEastAsia" w:hAnsiTheme="minorEastAsia"/>
                <w:color w:val="auto"/>
              </w:rPr>
            </w:pPr>
            <w:r>
              <w:rPr>
                <w:rFonts w:hint="eastAsia" w:asciiTheme="minorEastAsia" w:hAnsiTheme="minorEastAsia"/>
                <w:color w:val="auto"/>
              </w:rPr>
              <w:t>多管发酵法</w:t>
            </w:r>
          </w:p>
        </w:tc>
        <w:tc>
          <w:tcPr>
            <w:tcW w:w="1525" w:type="pct"/>
            <w:shd w:val="clear" w:color="auto" w:fill="auto"/>
            <w:vAlign w:val="center"/>
          </w:tcPr>
          <w:p w14:paraId="541372ED">
            <w:pPr>
              <w:jc w:val="center"/>
              <w:rPr>
                <w:rFonts w:asciiTheme="minorEastAsia" w:hAnsiTheme="minorEastAsia"/>
                <w:color w:val="auto"/>
              </w:rPr>
            </w:pPr>
            <w:r>
              <w:rPr>
                <w:rFonts w:hint="eastAsia" w:asciiTheme="minorEastAsia" w:hAnsiTheme="minorEastAsia"/>
                <w:color w:val="auto"/>
              </w:rPr>
              <w:t>《水和废水监测分析方法》（第四版）国家环境保护总局（2002年）</w:t>
            </w:r>
          </w:p>
        </w:tc>
        <w:tc>
          <w:tcPr>
            <w:tcW w:w="910" w:type="pct"/>
            <w:shd w:val="clear" w:color="auto" w:fill="auto"/>
            <w:vAlign w:val="center"/>
          </w:tcPr>
          <w:p w14:paraId="092CDCC5">
            <w:pPr>
              <w:jc w:val="center"/>
              <w:textAlignment w:val="center"/>
              <w:rPr>
                <w:rFonts w:asciiTheme="minorEastAsia" w:hAnsiTheme="minorEastAsia"/>
                <w:color w:val="auto"/>
              </w:rPr>
            </w:pPr>
            <w:r>
              <w:rPr>
                <w:rFonts w:hint="eastAsia" w:asciiTheme="minorEastAsia" w:hAnsiTheme="minorEastAsia"/>
                <w:color w:val="auto"/>
                <w:lang w:bidi="ar"/>
              </w:rPr>
              <w:t>电热恒温培养箱303-0B</w:t>
            </w:r>
          </w:p>
        </w:tc>
        <w:tc>
          <w:tcPr>
            <w:tcW w:w="986" w:type="pct"/>
            <w:shd w:val="clear" w:color="auto" w:fill="auto"/>
            <w:vAlign w:val="center"/>
          </w:tcPr>
          <w:p w14:paraId="191E2FE9">
            <w:pPr>
              <w:jc w:val="center"/>
              <w:rPr>
                <w:rFonts w:asciiTheme="minorEastAsia" w:hAnsiTheme="minorEastAsia"/>
                <w:color w:val="auto"/>
              </w:rPr>
            </w:pPr>
            <w:r>
              <w:rPr>
                <w:rFonts w:hint="eastAsia" w:asciiTheme="minorEastAsia" w:hAnsiTheme="minorEastAsia"/>
                <w:color w:val="auto"/>
              </w:rPr>
              <w:t>2MPN/100mL</w:t>
            </w:r>
          </w:p>
        </w:tc>
      </w:tr>
      <w:tr w14:paraId="2BB2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1FEFBBA9">
            <w:pPr>
              <w:jc w:val="center"/>
              <w:rPr>
                <w:rFonts w:asciiTheme="minorEastAsia" w:hAnsiTheme="minorEastAsia"/>
                <w:color w:val="auto"/>
              </w:rPr>
            </w:pPr>
            <w:r>
              <w:rPr>
                <w:rFonts w:hint="eastAsia" w:asciiTheme="minorEastAsia" w:hAnsiTheme="minorEastAsia"/>
                <w:color w:val="auto"/>
              </w:rPr>
              <w:t>石油类</w:t>
            </w:r>
          </w:p>
        </w:tc>
        <w:tc>
          <w:tcPr>
            <w:tcW w:w="971" w:type="pct"/>
            <w:shd w:val="clear" w:color="auto" w:fill="auto"/>
            <w:vAlign w:val="center"/>
          </w:tcPr>
          <w:p w14:paraId="4AFEFA37">
            <w:pPr>
              <w:jc w:val="center"/>
              <w:rPr>
                <w:rFonts w:asciiTheme="minorEastAsia" w:hAnsiTheme="minorEastAsia"/>
                <w:color w:val="auto"/>
              </w:rPr>
            </w:pPr>
            <w:r>
              <w:rPr>
                <w:rFonts w:hint="eastAsia" w:asciiTheme="minorEastAsia" w:hAnsiTheme="minorEastAsia"/>
                <w:color w:val="auto"/>
              </w:rPr>
              <w:t xml:space="preserve">水质 石油类的测定 </w:t>
            </w:r>
          </w:p>
          <w:p w14:paraId="32D1F62F">
            <w:pPr>
              <w:jc w:val="center"/>
              <w:rPr>
                <w:rFonts w:asciiTheme="minorEastAsia" w:hAnsiTheme="minorEastAsia"/>
                <w:color w:val="auto"/>
              </w:rPr>
            </w:pPr>
            <w:r>
              <w:rPr>
                <w:rFonts w:hint="eastAsia" w:asciiTheme="minorEastAsia" w:hAnsiTheme="minorEastAsia"/>
                <w:color w:val="auto"/>
              </w:rPr>
              <w:t>紫外分光光度法（试行）</w:t>
            </w:r>
          </w:p>
        </w:tc>
        <w:tc>
          <w:tcPr>
            <w:tcW w:w="1525" w:type="pct"/>
            <w:shd w:val="clear" w:color="auto" w:fill="auto"/>
            <w:vAlign w:val="center"/>
          </w:tcPr>
          <w:p w14:paraId="3BDE399F">
            <w:pPr>
              <w:jc w:val="center"/>
              <w:rPr>
                <w:rFonts w:asciiTheme="minorEastAsia" w:hAnsiTheme="minorEastAsia"/>
                <w:color w:val="auto"/>
              </w:rPr>
            </w:pPr>
            <w:r>
              <w:rPr>
                <w:rFonts w:hint="eastAsia" w:asciiTheme="minorEastAsia" w:hAnsiTheme="minorEastAsia"/>
                <w:color w:val="auto"/>
              </w:rPr>
              <w:t xml:space="preserve"> HJ 970-2018</w:t>
            </w:r>
          </w:p>
        </w:tc>
        <w:tc>
          <w:tcPr>
            <w:tcW w:w="910" w:type="pct"/>
            <w:shd w:val="clear" w:color="auto" w:fill="auto"/>
            <w:vAlign w:val="center"/>
          </w:tcPr>
          <w:p w14:paraId="57556CB7">
            <w:pPr>
              <w:jc w:val="center"/>
              <w:rPr>
                <w:rFonts w:asciiTheme="minorEastAsia" w:hAnsiTheme="minorEastAsia"/>
                <w:color w:val="auto"/>
              </w:rPr>
            </w:pPr>
            <w:r>
              <w:rPr>
                <w:rFonts w:hint="eastAsia" w:asciiTheme="minorEastAsia" w:hAnsiTheme="minorEastAsia"/>
                <w:color w:val="auto"/>
              </w:rPr>
              <w:t>紫外可见分光光度计UV752</w:t>
            </w:r>
          </w:p>
        </w:tc>
        <w:tc>
          <w:tcPr>
            <w:tcW w:w="986" w:type="pct"/>
            <w:shd w:val="clear" w:color="auto" w:fill="auto"/>
            <w:vAlign w:val="center"/>
          </w:tcPr>
          <w:p w14:paraId="03388E2A">
            <w:pPr>
              <w:jc w:val="center"/>
              <w:rPr>
                <w:rFonts w:asciiTheme="minorEastAsia" w:hAnsiTheme="minorEastAsia"/>
                <w:color w:val="auto"/>
              </w:rPr>
            </w:pPr>
            <w:r>
              <w:rPr>
                <w:rFonts w:hint="eastAsia" w:asciiTheme="minorEastAsia" w:hAnsiTheme="minorEastAsia"/>
                <w:color w:val="auto"/>
              </w:rPr>
              <w:t>0.01</w:t>
            </w:r>
            <w:r>
              <w:rPr>
                <w:rFonts w:hint="eastAsia" w:asciiTheme="minorEastAsia" w:hAnsiTheme="minorEastAsia"/>
                <w:color w:val="auto"/>
                <w:kern w:val="21"/>
              </w:rPr>
              <w:t>mg/L</w:t>
            </w:r>
          </w:p>
        </w:tc>
      </w:tr>
      <w:tr w14:paraId="22A5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7A0CC3FB">
            <w:pPr>
              <w:adjustRightInd w:val="0"/>
              <w:snapToGrid w:val="0"/>
              <w:jc w:val="center"/>
              <w:rPr>
                <w:rFonts w:asciiTheme="minorEastAsia" w:hAnsiTheme="minorEastAsia"/>
                <w:color w:val="auto"/>
              </w:rPr>
            </w:pPr>
            <w:r>
              <w:rPr>
                <w:rFonts w:hint="eastAsia" w:asciiTheme="minorEastAsia" w:hAnsiTheme="minorEastAsia"/>
                <w:color w:val="auto"/>
              </w:rPr>
              <w:t>氰化物</w:t>
            </w:r>
          </w:p>
        </w:tc>
        <w:tc>
          <w:tcPr>
            <w:tcW w:w="971" w:type="pct"/>
            <w:shd w:val="clear" w:color="auto" w:fill="auto"/>
            <w:vAlign w:val="center"/>
          </w:tcPr>
          <w:p w14:paraId="56C76E3E">
            <w:pPr>
              <w:adjustRightInd w:val="0"/>
              <w:snapToGrid w:val="0"/>
              <w:jc w:val="center"/>
              <w:rPr>
                <w:rFonts w:asciiTheme="minorEastAsia" w:hAnsiTheme="minorEastAsia"/>
                <w:color w:val="auto"/>
              </w:rPr>
            </w:pPr>
            <w:r>
              <w:rPr>
                <w:rFonts w:cs="Times New Roman" w:asciiTheme="minorEastAsia" w:hAnsiTheme="minorEastAsia"/>
                <w:color w:val="auto"/>
                <w:shd w:val="clear" w:color="auto" w:fill="FFFFFF"/>
              </w:rPr>
              <w:t>地下水质分析方法第52部分：氰化物的测定吡啶-吡唑啉酮分光光度法</w:t>
            </w:r>
          </w:p>
        </w:tc>
        <w:tc>
          <w:tcPr>
            <w:tcW w:w="1525" w:type="pct"/>
            <w:shd w:val="clear" w:color="auto" w:fill="auto"/>
            <w:vAlign w:val="center"/>
          </w:tcPr>
          <w:p w14:paraId="3BDD1651">
            <w:pPr>
              <w:adjustRightInd w:val="0"/>
              <w:snapToGrid w:val="0"/>
              <w:jc w:val="center"/>
              <w:rPr>
                <w:rFonts w:asciiTheme="minorEastAsia" w:hAnsiTheme="minorEastAsia"/>
                <w:color w:val="auto"/>
              </w:rPr>
            </w:pPr>
            <w:r>
              <w:rPr>
                <w:rFonts w:hint="eastAsia" w:asciiTheme="minorEastAsia" w:hAnsiTheme="minorEastAsia"/>
                <w:color w:val="auto"/>
                <w:shd w:val="clear" w:color="auto" w:fill="FFFFFF"/>
              </w:rPr>
              <w:t>DZ/T 0064.52-2021</w:t>
            </w:r>
          </w:p>
        </w:tc>
        <w:tc>
          <w:tcPr>
            <w:tcW w:w="910" w:type="pct"/>
            <w:shd w:val="clear" w:color="auto" w:fill="auto"/>
            <w:vAlign w:val="center"/>
          </w:tcPr>
          <w:p w14:paraId="2BADFA71">
            <w:pPr>
              <w:adjustRightInd w:val="0"/>
              <w:snapToGrid w:val="0"/>
              <w:jc w:val="center"/>
              <w:rPr>
                <w:rFonts w:asciiTheme="minorEastAsia" w:hAnsiTheme="minorEastAsia"/>
                <w:color w:val="auto"/>
                <w:kern w:val="21"/>
              </w:rPr>
            </w:pPr>
            <w:r>
              <w:rPr>
                <w:rFonts w:hint="eastAsia" w:asciiTheme="minorEastAsia" w:hAnsiTheme="minorEastAsia"/>
                <w:color w:val="auto"/>
                <w:kern w:val="21"/>
              </w:rPr>
              <w:t>可见分光光度722N</w:t>
            </w:r>
          </w:p>
        </w:tc>
        <w:tc>
          <w:tcPr>
            <w:tcW w:w="986" w:type="pct"/>
            <w:shd w:val="clear" w:color="auto" w:fill="auto"/>
            <w:vAlign w:val="center"/>
          </w:tcPr>
          <w:p w14:paraId="4C6D92CC">
            <w:pPr>
              <w:pStyle w:val="169"/>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0.002</w:t>
            </w:r>
            <w:r>
              <w:rPr>
                <w:rFonts w:hint="eastAsia" w:cs="宋体" w:asciiTheme="minorEastAsia" w:hAnsiTheme="minorEastAsia" w:eastAsiaTheme="minorEastAsia"/>
                <w:color w:val="auto"/>
                <w:kern w:val="21"/>
                <w:sz w:val="21"/>
                <w:szCs w:val="21"/>
              </w:rPr>
              <w:t>mg/L</w:t>
            </w:r>
          </w:p>
        </w:tc>
      </w:tr>
      <w:tr w14:paraId="2E7B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41A4D1B3">
            <w:pPr>
              <w:jc w:val="center"/>
              <w:textAlignment w:val="center"/>
              <w:rPr>
                <w:rFonts w:asciiTheme="minorEastAsia" w:hAnsiTheme="minorEastAsia"/>
                <w:color w:val="auto"/>
              </w:rPr>
            </w:pPr>
            <w:r>
              <w:rPr>
                <w:rFonts w:hint="eastAsia" w:asciiTheme="minorEastAsia" w:hAnsiTheme="minorEastAsia"/>
                <w:color w:val="auto"/>
                <w:shd w:val="clear" w:color="auto" w:fill="FFFFFF"/>
                <w:lang w:bidi="ar"/>
              </w:rPr>
              <w:t>镉</w:t>
            </w:r>
          </w:p>
        </w:tc>
        <w:tc>
          <w:tcPr>
            <w:tcW w:w="971" w:type="pct"/>
            <w:shd w:val="clear" w:color="auto" w:fill="auto"/>
            <w:vAlign w:val="center"/>
          </w:tcPr>
          <w:p w14:paraId="6B0D8C27">
            <w:pPr>
              <w:jc w:val="center"/>
              <w:rPr>
                <w:rFonts w:asciiTheme="minorEastAsia" w:hAnsiTheme="minorEastAsia"/>
                <w:color w:val="auto"/>
              </w:rPr>
            </w:pPr>
            <w:r>
              <w:rPr>
                <w:rFonts w:hint="eastAsia" w:asciiTheme="minorEastAsia" w:hAnsiTheme="minorEastAsia"/>
                <w:color w:val="auto"/>
              </w:rPr>
              <w:t xml:space="preserve">铜、铅、镉 </w:t>
            </w:r>
            <w:r>
              <w:rPr>
                <w:rFonts w:hint="eastAsia" w:asciiTheme="minorEastAsia" w:hAnsiTheme="minorEastAsia"/>
                <w:color w:val="auto"/>
                <w:shd w:val="clear" w:color="auto" w:fill="FFFFFF"/>
                <w:lang w:bidi="ar"/>
              </w:rPr>
              <w:t xml:space="preserve">石墨炉原子吸收法 </w:t>
            </w:r>
          </w:p>
        </w:tc>
        <w:tc>
          <w:tcPr>
            <w:tcW w:w="1525" w:type="pct"/>
            <w:shd w:val="clear" w:color="auto" w:fill="auto"/>
            <w:vAlign w:val="center"/>
          </w:tcPr>
          <w:p w14:paraId="01C6A2FE">
            <w:pPr>
              <w:jc w:val="center"/>
              <w:rPr>
                <w:rFonts w:asciiTheme="minorEastAsia" w:hAnsiTheme="minorEastAsia"/>
                <w:color w:val="auto"/>
              </w:rPr>
            </w:pPr>
            <w:r>
              <w:rPr>
                <w:rFonts w:hint="eastAsia" w:asciiTheme="minorEastAsia" w:hAnsiTheme="minorEastAsia"/>
                <w:color w:val="auto"/>
              </w:rPr>
              <w:t>《水和废水监测分析方法》（第四版）国家环境保护总（2002年）</w:t>
            </w:r>
          </w:p>
        </w:tc>
        <w:tc>
          <w:tcPr>
            <w:tcW w:w="910" w:type="pct"/>
            <w:shd w:val="clear" w:color="auto" w:fill="auto"/>
            <w:vAlign w:val="center"/>
          </w:tcPr>
          <w:p w14:paraId="3C679043">
            <w:pPr>
              <w:jc w:val="center"/>
              <w:rPr>
                <w:rFonts w:asciiTheme="minorEastAsia" w:hAnsiTheme="minorEastAsia"/>
                <w:color w:val="auto"/>
                <w:kern w:val="21"/>
              </w:rPr>
            </w:pPr>
            <w:r>
              <w:rPr>
                <w:rFonts w:hint="eastAsia" w:asciiTheme="minorEastAsia" w:hAnsiTheme="minorEastAsia"/>
                <w:color w:val="auto"/>
                <w:shd w:val="clear" w:color="auto" w:fill="FFFFFF"/>
                <w:lang w:bidi="ar"/>
              </w:rPr>
              <w:t>石墨炉</w:t>
            </w:r>
            <w:r>
              <w:rPr>
                <w:rFonts w:hint="eastAsia" w:asciiTheme="minorEastAsia" w:hAnsiTheme="minorEastAsia"/>
                <w:color w:val="auto"/>
                <w:kern w:val="21"/>
              </w:rPr>
              <w:t xml:space="preserve">原子吸收分光光度计 </w:t>
            </w:r>
          </w:p>
          <w:p w14:paraId="6C1637B3">
            <w:pPr>
              <w:jc w:val="center"/>
              <w:rPr>
                <w:rFonts w:asciiTheme="minorEastAsia" w:hAnsiTheme="minorEastAsia"/>
                <w:color w:val="auto"/>
                <w:kern w:val="21"/>
              </w:rPr>
            </w:pPr>
            <w:r>
              <w:rPr>
                <w:rFonts w:hint="eastAsia" w:asciiTheme="minorEastAsia" w:hAnsiTheme="minorEastAsia"/>
                <w:color w:val="auto"/>
                <w:kern w:val="21"/>
              </w:rPr>
              <w:t>AA320N、</w:t>
            </w:r>
            <w:r>
              <w:rPr>
                <w:rFonts w:hint="eastAsia" w:asciiTheme="minorEastAsia" w:hAnsiTheme="minorEastAsia"/>
                <w:color w:val="auto"/>
                <w:lang w:bidi="ar"/>
              </w:rPr>
              <w:t>GA3202</w:t>
            </w:r>
          </w:p>
        </w:tc>
        <w:tc>
          <w:tcPr>
            <w:tcW w:w="986" w:type="pct"/>
            <w:shd w:val="clear" w:color="auto" w:fill="auto"/>
            <w:vAlign w:val="center"/>
          </w:tcPr>
          <w:p w14:paraId="2B63CB4F">
            <w:pPr>
              <w:jc w:val="center"/>
              <w:rPr>
                <w:rFonts w:asciiTheme="minorEastAsia" w:hAnsiTheme="minorEastAsia"/>
                <w:color w:val="auto"/>
                <w:kern w:val="21"/>
              </w:rPr>
            </w:pPr>
            <w:r>
              <w:rPr>
                <w:rFonts w:hint="eastAsia" w:asciiTheme="minorEastAsia" w:hAnsiTheme="minorEastAsia"/>
                <w:color w:val="auto"/>
              </w:rPr>
              <w:t>0.10μg/L</w:t>
            </w:r>
          </w:p>
        </w:tc>
      </w:tr>
      <w:tr w14:paraId="0F32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4EBDE676">
            <w:pPr>
              <w:jc w:val="center"/>
              <w:rPr>
                <w:rFonts w:asciiTheme="minorEastAsia" w:hAnsiTheme="minorEastAsia"/>
                <w:color w:val="auto"/>
                <w:shd w:val="clear" w:color="auto" w:fill="FFFFFF"/>
                <w:lang w:bidi="ar"/>
              </w:rPr>
            </w:pPr>
            <w:r>
              <w:rPr>
                <w:rFonts w:hint="eastAsia" w:asciiTheme="minorEastAsia" w:hAnsiTheme="minorEastAsia"/>
                <w:color w:val="auto"/>
              </w:rPr>
              <w:t>硫化物</w:t>
            </w:r>
          </w:p>
        </w:tc>
        <w:tc>
          <w:tcPr>
            <w:tcW w:w="971" w:type="pct"/>
            <w:shd w:val="clear" w:color="auto" w:fill="auto"/>
            <w:vAlign w:val="center"/>
          </w:tcPr>
          <w:p w14:paraId="663F22D8">
            <w:pPr>
              <w:jc w:val="center"/>
              <w:rPr>
                <w:rFonts w:cs="宋体" w:asciiTheme="minorEastAsia" w:hAnsiTheme="minorEastAsia"/>
                <w:color w:val="auto"/>
                <w:shd w:val="clear" w:color="auto" w:fill="FFFFFF"/>
              </w:rPr>
            </w:pPr>
            <w:r>
              <w:rPr>
                <w:rFonts w:hint="eastAsia" w:cs="宋体" w:asciiTheme="minorEastAsia" w:hAnsiTheme="minorEastAsia"/>
                <w:color w:val="auto"/>
                <w:shd w:val="clear" w:color="auto" w:fill="FFFFFF"/>
              </w:rPr>
              <w:t>水质 硫化物的测定</w:t>
            </w:r>
          </w:p>
          <w:p w14:paraId="1F289A7A">
            <w:pPr>
              <w:jc w:val="center"/>
              <w:rPr>
                <w:rFonts w:cs="宋体" w:asciiTheme="minorEastAsia" w:hAnsiTheme="minorEastAsia"/>
                <w:color w:val="auto"/>
              </w:rPr>
            </w:pPr>
            <w:r>
              <w:rPr>
                <w:rFonts w:hint="eastAsia" w:cs="宋体" w:asciiTheme="minorEastAsia" w:hAnsiTheme="minorEastAsia"/>
                <w:color w:val="auto"/>
                <w:shd w:val="clear" w:color="auto" w:fill="FFFFFF"/>
              </w:rPr>
              <w:t>亚甲基蓝分光光度法</w:t>
            </w:r>
          </w:p>
        </w:tc>
        <w:tc>
          <w:tcPr>
            <w:tcW w:w="1525" w:type="pct"/>
            <w:shd w:val="clear" w:color="auto" w:fill="auto"/>
            <w:vAlign w:val="center"/>
          </w:tcPr>
          <w:p w14:paraId="73BB0446">
            <w:pPr>
              <w:jc w:val="center"/>
              <w:textAlignment w:val="center"/>
              <w:rPr>
                <w:rFonts w:asciiTheme="minorEastAsia" w:hAnsiTheme="minorEastAsia"/>
                <w:color w:val="auto"/>
              </w:rPr>
            </w:pPr>
            <w:r>
              <w:rPr>
                <w:rFonts w:hint="eastAsia" w:asciiTheme="minorEastAsia" w:hAnsiTheme="minorEastAsia"/>
                <w:color w:val="auto"/>
                <w:shd w:val="clear" w:color="auto" w:fill="FFFFFF"/>
              </w:rPr>
              <w:t>HJ1226-2021</w:t>
            </w:r>
          </w:p>
        </w:tc>
        <w:tc>
          <w:tcPr>
            <w:tcW w:w="910" w:type="pct"/>
            <w:shd w:val="clear" w:color="auto" w:fill="auto"/>
            <w:vAlign w:val="center"/>
          </w:tcPr>
          <w:p w14:paraId="689FD5FB">
            <w:pPr>
              <w:jc w:val="center"/>
              <w:rPr>
                <w:rFonts w:asciiTheme="minorEastAsia" w:hAnsiTheme="minorEastAsia"/>
                <w:color w:val="auto"/>
                <w:lang w:bidi="ar"/>
              </w:rPr>
            </w:pPr>
            <w:r>
              <w:rPr>
                <w:rFonts w:hint="eastAsia" w:asciiTheme="minorEastAsia" w:hAnsiTheme="minorEastAsia"/>
                <w:color w:val="auto"/>
                <w:kern w:val="21"/>
              </w:rPr>
              <w:t xml:space="preserve">可见分光光度计  </w:t>
            </w:r>
            <w:r>
              <w:rPr>
                <w:rFonts w:hint="eastAsia" w:asciiTheme="minorEastAsia" w:hAnsiTheme="minorEastAsia"/>
                <w:color w:val="auto"/>
              </w:rPr>
              <w:t>722N</w:t>
            </w:r>
          </w:p>
        </w:tc>
        <w:tc>
          <w:tcPr>
            <w:tcW w:w="986" w:type="pct"/>
            <w:shd w:val="clear" w:color="auto" w:fill="auto"/>
            <w:vAlign w:val="center"/>
          </w:tcPr>
          <w:p w14:paraId="56E0F565">
            <w:pPr>
              <w:jc w:val="center"/>
              <w:textAlignment w:val="center"/>
              <w:rPr>
                <w:rFonts w:asciiTheme="minorEastAsia" w:hAnsiTheme="minorEastAsia"/>
                <w:color w:val="auto"/>
              </w:rPr>
            </w:pPr>
            <w:r>
              <w:rPr>
                <w:rFonts w:hint="eastAsia" w:asciiTheme="minorEastAsia" w:hAnsiTheme="minorEastAsia"/>
                <w:color w:val="auto"/>
              </w:rPr>
              <w:t>0.003mg/L</w:t>
            </w:r>
          </w:p>
        </w:tc>
      </w:tr>
      <w:tr w14:paraId="460C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8" w:type="pct"/>
            <w:shd w:val="clear" w:color="auto" w:fill="auto"/>
            <w:vAlign w:val="center"/>
          </w:tcPr>
          <w:p w14:paraId="3226BCBA">
            <w:pPr>
              <w:jc w:val="center"/>
              <w:rPr>
                <w:rFonts w:asciiTheme="minorEastAsia" w:hAnsiTheme="minorEastAsia"/>
                <w:color w:val="auto"/>
              </w:rPr>
            </w:pPr>
            <w:r>
              <w:rPr>
                <w:rFonts w:hint="eastAsia" w:asciiTheme="minorEastAsia" w:hAnsiTheme="minorEastAsia"/>
                <w:color w:val="auto"/>
              </w:rPr>
              <w:t>钡</w:t>
            </w:r>
          </w:p>
        </w:tc>
        <w:tc>
          <w:tcPr>
            <w:tcW w:w="971" w:type="pct"/>
            <w:shd w:val="clear" w:color="auto" w:fill="auto"/>
            <w:vAlign w:val="center"/>
          </w:tcPr>
          <w:p w14:paraId="1322F334">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shd w:val="clear" w:color="auto" w:fill="FFFFFF"/>
              </w:rPr>
              <w:t>水质 32种元素的测定 电感耦合等离子体发射光谱法</w:t>
            </w:r>
          </w:p>
        </w:tc>
        <w:tc>
          <w:tcPr>
            <w:tcW w:w="1525" w:type="pct"/>
            <w:shd w:val="clear" w:color="auto" w:fill="auto"/>
            <w:vAlign w:val="center"/>
          </w:tcPr>
          <w:p w14:paraId="3ED8DE3E">
            <w:pPr>
              <w:adjustRightInd w:val="0"/>
              <w:snapToGrid w:val="0"/>
              <w:jc w:val="center"/>
              <w:rPr>
                <w:rFonts w:asciiTheme="minorEastAsia" w:hAnsiTheme="minorEastAsia"/>
                <w:color w:val="auto"/>
                <w:shd w:val="clear" w:color="auto" w:fill="FFFFFF"/>
              </w:rPr>
            </w:pPr>
            <w:r>
              <w:rPr>
                <w:rFonts w:hint="eastAsia" w:asciiTheme="minorEastAsia" w:hAnsiTheme="minorEastAsia"/>
                <w:color w:val="auto"/>
                <w:shd w:val="clear" w:color="auto" w:fill="FFFFFF"/>
              </w:rPr>
              <w:t>HJ 776-2015 </w:t>
            </w:r>
          </w:p>
        </w:tc>
        <w:tc>
          <w:tcPr>
            <w:tcW w:w="910" w:type="pct"/>
            <w:shd w:val="clear" w:color="auto" w:fill="auto"/>
            <w:vAlign w:val="center"/>
          </w:tcPr>
          <w:p w14:paraId="20D2CDE3">
            <w:pPr>
              <w:adjustRightInd w:val="0"/>
              <w:snapToGrid w:val="0"/>
              <w:jc w:val="center"/>
              <w:rPr>
                <w:rFonts w:asciiTheme="minorEastAsia" w:hAnsiTheme="minorEastAsia"/>
                <w:color w:val="auto"/>
              </w:rPr>
            </w:pPr>
            <w:r>
              <w:rPr>
                <w:rFonts w:hint="eastAsia" w:asciiTheme="minorEastAsia" w:hAnsiTheme="minorEastAsia"/>
                <w:color w:val="auto"/>
              </w:rPr>
              <w:t>电感耦合等离子体发射光谱仪</w:t>
            </w:r>
            <w:r>
              <w:rPr>
                <w:rFonts w:hint="eastAsia" w:asciiTheme="minorEastAsia" w:hAnsiTheme="minorEastAsia"/>
                <w:color w:val="auto"/>
                <w:lang w:bidi="ar"/>
              </w:rPr>
              <w:t>Optima 7000DV</w:t>
            </w:r>
          </w:p>
        </w:tc>
        <w:tc>
          <w:tcPr>
            <w:tcW w:w="986" w:type="pct"/>
            <w:shd w:val="clear" w:color="auto" w:fill="auto"/>
            <w:vAlign w:val="center"/>
          </w:tcPr>
          <w:p w14:paraId="52313D61">
            <w:pPr>
              <w:adjustRightInd w:val="0"/>
              <w:snapToGrid w:val="0"/>
              <w:jc w:val="center"/>
              <w:rPr>
                <w:rFonts w:asciiTheme="minorEastAsia" w:hAnsiTheme="minorEastAsia"/>
                <w:color w:val="auto"/>
              </w:rPr>
            </w:pPr>
            <w:r>
              <w:rPr>
                <w:rFonts w:hint="eastAsia" w:asciiTheme="minorEastAsia" w:hAnsiTheme="minorEastAsia"/>
                <w:color w:val="auto"/>
                <w:kern w:val="21"/>
              </w:rPr>
              <w:t>0.01mg/L</w:t>
            </w:r>
          </w:p>
        </w:tc>
      </w:tr>
    </w:tbl>
    <w:p w14:paraId="6A0D90F2">
      <w:pPr>
        <w:rPr>
          <w:rFonts w:ascii="宋体" w:hAnsi="宋体" w:eastAsia="宋体"/>
          <w:color w:val="auto"/>
        </w:rPr>
      </w:pPr>
    </w:p>
    <w:p w14:paraId="257E79F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地下水水质现状评价</w:t>
      </w:r>
    </w:p>
    <w:p w14:paraId="0019E1B6">
      <w:pPr>
        <w:spacing w:line="440" w:lineRule="exact"/>
        <w:ind w:firstLine="480" w:firstLineChars="200"/>
        <w:rPr>
          <w:rFonts w:ascii="宋体" w:hAnsi="宋体" w:eastAsia="宋体"/>
          <w:color w:val="auto"/>
          <w:sz w:val="24"/>
        </w:rPr>
      </w:pPr>
      <w:r>
        <w:rPr>
          <w:rFonts w:ascii="宋体" w:hAnsi="宋体" w:eastAsia="宋体"/>
          <w:color w:val="auto"/>
          <w:sz w:val="24"/>
        </w:rPr>
        <w:t>（1）评价标准</w:t>
      </w:r>
    </w:p>
    <w:p w14:paraId="7BF4A295">
      <w:pPr>
        <w:pStyle w:val="276"/>
        <w:widowControl w:val="0"/>
        <w:ind w:firstLine="480"/>
        <w:jc w:val="both"/>
        <w:rPr>
          <w:color w:val="auto"/>
        </w:rPr>
      </w:pPr>
      <w:r>
        <w:rPr>
          <w:color w:val="auto"/>
        </w:rPr>
        <w:t>采用《地下水质量标准》（GB/T14848-2017）中</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类标准，石油类参照《地表水环境质量标准》（GB3838-2002）中的II类标准执行≤0.05mg/L。</w:t>
      </w:r>
    </w:p>
    <w:p w14:paraId="730E396B">
      <w:pPr>
        <w:pStyle w:val="276"/>
        <w:widowControl w:val="0"/>
        <w:ind w:firstLine="480"/>
        <w:jc w:val="both"/>
        <w:rPr>
          <w:color w:val="auto"/>
        </w:rPr>
      </w:pPr>
      <w:r>
        <w:rPr>
          <w:color w:val="auto"/>
        </w:rPr>
        <w:t>（2）评价方法</w:t>
      </w:r>
    </w:p>
    <w:p w14:paraId="03BDBF20">
      <w:pPr>
        <w:pStyle w:val="276"/>
        <w:widowControl w:val="0"/>
        <w:ind w:firstLine="480"/>
        <w:jc w:val="both"/>
        <w:rPr>
          <w:color w:val="auto"/>
        </w:rPr>
      </w:pPr>
      <w:r>
        <w:rPr>
          <w:color w:val="auto"/>
        </w:rPr>
        <w:t>采用单因子标准指数法对地下水水质现状监测结果进行评价，评价模式如下：</w:t>
      </w:r>
    </w:p>
    <w:p w14:paraId="2159EED7">
      <w:pPr>
        <w:ind w:firstLine="2940" w:firstLineChars="1400"/>
        <w:rPr>
          <w:rFonts w:ascii="宋体" w:hAnsi="宋体" w:eastAsia="宋体" w:cs="Times New Roman"/>
          <w:color w:val="auto"/>
        </w:rPr>
      </w:pPr>
      <w:r>
        <w:rPr>
          <w:rFonts w:ascii="宋体" w:hAnsi="宋体" w:eastAsia="宋体" w:cs="Times New Roman"/>
          <w:color w:val="auto"/>
        </w:rPr>
        <w:drawing>
          <wp:inline distT="0" distB="0" distL="0" distR="0">
            <wp:extent cx="762000" cy="333375"/>
            <wp:effectExtent l="0" t="0" r="0" b="8890"/>
            <wp:docPr id="1352728135" name="图片 135272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35" name="图片 1352728135"/>
                    <pic:cNvPicPr>
                      <a:picLocks noChangeAspect="1" noChangeArrowheads="1"/>
                    </pic:cNvPicPr>
                  </pic:nvPicPr>
                  <pic:blipFill>
                    <a:blip r:embed="rId58"/>
                    <a:srcRect/>
                    <a:stretch>
                      <a:fillRect/>
                    </a:stretch>
                  </pic:blipFill>
                  <pic:spPr>
                    <a:xfrm>
                      <a:off x="0" y="0"/>
                      <a:ext cx="762000" cy="333375"/>
                    </a:xfrm>
                    <a:prstGeom prst="rect">
                      <a:avLst/>
                    </a:prstGeom>
                    <a:noFill/>
                    <a:ln>
                      <a:noFill/>
                    </a:ln>
                  </pic:spPr>
                </pic:pic>
              </a:graphicData>
            </a:graphic>
          </wp:inline>
        </w:drawing>
      </w:r>
    </w:p>
    <w:p w14:paraId="122C7B23">
      <w:pPr>
        <w:pStyle w:val="276"/>
        <w:widowControl w:val="0"/>
        <w:ind w:firstLine="480"/>
        <w:jc w:val="both"/>
        <w:rPr>
          <w:color w:val="auto"/>
        </w:rPr>
      </w:pPr>
      <w:r>
        <w:rPr>
          <w:color w:val="auto"/>
        </w:rPr>
        <w:t>式中：S</w:t>
      </w:r>
      <w:r>
        <w:rPr>
          <w:color w:val="auto"/>
          <w:vertAlign w:val="subscript"/>
        </w:rPr>
        <w:t>i,j</w:t>
      </w:r>
      <w:r>
        <w:rPr>
          <w:color w:val="auto"/>
        </w:rPr>
        <w:t>——水质单因子i在第j点的标准指数；</w:t>
      </w:r>
    </w:p>
    <w:p w14:paraId="4F7C96B3">
      <w:pPr>
        <w:pStyle w:val="276"/>
        <w:widowControl w:val="0"/>
        <w:ind w:firstLine="480"/>
        <w:jc w:val="both"/>
        <w:rPr>
          <w:color w:val="auto"/>
        </w:rPr>
      </w:pPr>
      <w:r>
        <w:rPr>
          <w:color w:val="auto"/>
        </w:rPr>
        <w:t>C</w:t>
      </w:r>
      <w:r>
        <w:rPr>
          <w:color w:val="auto"/>
          <w:vertAlign w:val="subscript"/>
        </w:rPr>
        <w:t>ij</w:t>
      </w:r>
      <w:r>
        <w:rPr>
          <w:color w:val="auto"/>
        </w:rPr>
        <w:t xml:space="preserve"> ——水质评价因子i在第j点的监测值，mg/L；</w:t>
      </w:r>
    </w:p>
    <w:p w14:paraId="79AE3893">
      <w:pPr>
        <w:pStyle w:val="276"/>
        <w:widowControl w:val="0"/>
        <w:ind w:firstLine="480"/>
        <w:jc w:val="both"/>
        <w:rPr>
          <w:color w:val="auto"/>
        </w:rPr>
      </w:pPr>
      <w:r>
        <w:rPr>
          <w:color w:val="auto"/>
        </w:rPr>
        <w:t>C</w:t>
      </w:r>
      <w:r>
        <w:rPr>
          <w:color w:val="auto"/>
          <w:vertAlign w:val="subscript"/>
        </w:rPr>
        <w:t>si</w:t>
      </w:r>
      <w:r>
        <w:rPr>
          <w:color w:val="auto"/>
        </w:rPr>
        <w:t>——i因子的评价标准，mg/L。</w:t>
      </w:r>
    </w:p>
    <w:p w14:paraId="2BBD60A8">
      <w:pPr>
        <w:pStyle w:val="276"/>
        <w:widowControl w:val="0"/>
        <w:ind w:firstLine="480"/>
        <w:jc w:val="both"/>
        <w:rPr>
          <w:color w:val="auto"/>
        </w:rPr>
      </w:pPr>
      <w:r>
        <w:rPr>
          <w:color w:val="auto"/>
        </w:rPr>
        <w:t>pH的标准指数公式：</w:t>
      </w:r>
    </w:p>
    <w:p w14:paraId="1B31CD3F">
      <w:pPr>
        <w:pStyle w:val="276"/>
        <w:widowControl w:val="0"/>
        <w:ind w:firstLine="480"/>
        <w:jc w:val="both"/>
        <w:rPr>
          <w:color w:val="auto"/>
        </w:rPr>
      </w:pPr>
      <w:r>
        <w:rPr>
          <w:color w:val="auto"/>
        </w:rPr>
        <w:t>pH</w:t>
      </w:r>
      <w:r>
        <w:rPr>
          <w:color w:val="auto"/>
          <w:vertAlign w:val="subscript"/>
        </w:rPr>
        <w:t>j</w:t>
      </w:r>
      <w:r>
        <w:rPr>
          <w:color w:val="auto"/>
        </w:rPr>
        <w:t>≤7.0时</w:t>
      </w:r>
    </w:p>
    <w:p w14:paraId="609BB6E9">
      <w:pPr>
        <w:spacing w:line="360" w:lineRule="auto"/>
        <w:ind w:firstLine="2205" w:firstLineChars="1050"/>
        <w:rPr>
          <w:rFonts w:ascii="宋体" w:hAnsi="宋体" w:eastAsia="宋体" w:cs="Times New Roman"/>
          <w:color w:val="auto"/>
        </w:rPr>
      </w:pPr>
      <w:r>
        <w:rPr>
          <w:rFonts w:ascii="宋体" w:hAnsi="宋体" w:eastAsia="宋体" w:cs="Times New Roman"/>
          <w:color w:val="auto"/>
        </w:rPr>
        <w:drawing>
          <wp:inline distT="0" distB="0" distL="0" distR="0">
            <wp:extent cx="1238250" cy="447675"/>
            <wp:effectExtent l="0" t="0" r="0" b="8255"/>
            <wp:docPr id="1352728136" name="图片 135272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36" name="图片 1352728136"/>
                    <pic:cNvPicPr>
                      <a:picLocks noChangeAspect="1" noChangeArrowheads="1"/>
                    </pic:cNvPicPr>
                  </pic:nvPicPr>
                  <pic:blipFill>
                    <a:blip r:embed="rId59"/>
                    <a:srcRect/>
                    <a:stretch>
                      <a:fillRect/>
                    </a:stretch>
                  </pic:blipFill>
                  <pic:spPr>
                    <a:xfrm>
                      <a:off x="0" y="0"/>
                      <a:ext cx="1238250" cy="447675"/>
                    </a:xfrm>
                    <a:prstGeom prst="rect">
                      <a:avLst/>
                    </a:prstGeom>
                    <a:noFill/>
                    <a:ln>
                      <a:noFill/>
                    </a:ln>
                  </pic:spPr>
                </pic:pic>
              </a:graphicData>
            </a:graphic>
          </wp:inline>
        </w:drawing>
      </w:r>
    </w:p>
    <w:p w14:paraId="50C4FE5B">
      <w:pPr>
        <w:pStyle w:val="276"/>
        <w:widowControl w:val="0"/>
        <w:ind w:firstLine="480"/>
        <w:jc w:val="both"/>
        <w:rPr>
          <w:color w:val="auto"/>
        </w:rPr>
      </w:pPr>
      <w:r>
        <w:rPr>
          <w:color w:val="auto"/>
        </w:rPr>
        <w:t>pH</w:t>
      </w:r>
      <w:r>
        <w:rPr>
          <w:color w:val="auto"/>
          <w:vertAlign w:val="subscript"/>
        </w:rPr>
        <w:t>j</w:t>
      </w:r>
      <w:r>
        <w:rPr>
          <w:color w:val="auto"/>
        </w:rPr>
        <w:t>＞7.0时</w:t>
      </w:r>
    </w:p>
    <w:p w14:paraId="305ED09C">
      <w:pPr>
        <w:spacing w:line="360" w:lineRule="auto"/>
        <w:ind w:firstLine="2205" w:firstLineChars="1050"/>
        <w:rPr>
          <w:rFonts w:ascii="宋体" w:hAnsi="宋体" w:eastAsia="宋体" w:cs="Times New Roman"/>
          <w:color w:val="auto"/>
        </w:rPr>
      </w:pPr>
      <w:r>
        <w:rPr>
          <w:rFonts w:ascii="宋体" w:hAnsi="宋体" w:eastAsia="宋体" w:cs="Times New Roman"/>
          <w:color w:val="auto"/>
        </w:rPr>
        <w:drawing>
          <wp:inline distT="0" distB="0" distL="0" distR="0">
            <wp:extent cx="1266825" cy="457200"/>
            <wp:effectExtent l="0" t="0" r="9525" b="0"/>
            <wp:docPr id="1352728137" name="图片 135272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37" name="图片 1352728137"/>
                    <pic:cNvPicPr>
                      <a:picLocks noChangeAspect="1" noChangeArrowheads="1"/>
                    </pic:cNvPicPr>
                  </pic:nvPicPr>
                  <pic:blipFill>
                    <a:blip r:embed="rId60"/>
                    <a:srcRect/>
                    <a:stretch>
                      <a:fillRect/>
                    </a:stretch>
                  </pic:blipFill>
                  <pic:spPr>
                    <a:xfrm>
                      <a:off x="0" y="0"/>
                      <a:ext cx="1266825" cy="457200"/>
                    </a:xfrm>
                    <a:prstGeom prst="rect">
                      <a:avLst/>
                    </a:prstGeom>
                    <a:noFill/>
                    <a:ln>
                      <a:noFill/>
                    </a:ln>
                  </pic:spPr>
                </pic:pic>
              </a:graphicData>
            </a:graphic>
          </wp:inline>
        </w:drawing>
      </w:r>
    </w:p>
    <w:p w14:paraId="4075CB8F">
      <w:pPr>
        <w:pStyle w:val="276"/>
        <w:widowControl w:val="0"/>
        <w:ind w:firstLine="480"/>
        <w:jc w:val="both"/>
        <w:rPr>
          <w:color w:val="auto"/>
        </w:rPr>
      </w:pPr>
      <w:r>
        <w:rPr>
          <w:color w:val="auto"/>
        </w:rPr>
        <w:t>式中：S</w:t>
      </w:r>
      <w:r>
        <w:rPr>
          <w:color w:val="auto"/>
          <w:vertAlign w:val="subscript"/>
        </w:rPr>
        <w:t>pH.j</w:t>
      </w:r>
      <w:r>
        <w:rPr>
          <w:color w:val="auto"/>
        </w:rPr>
        <w:t>——pH值的单项指数；</w:t>
      </w:r>
    </w:p>
    <w:p w14:paraId="020F1375">
      <w:pPr>
        <w:pStyle w:val="276"/>
        <w:widowControl w:val="0"/>
        <w:ind w:firstLine="480"/>
        <w:jc w:val="both"/>
        <w:rPr>
          <w:color w:val="auto"/>
        </w:rPr>
      </w:pPr>
      <w:r>
        <w:rPr>
          <w:color w:val="auto"/>
        </w:rPr>
        <w:t>pH</w:t>
      </w:r>
      <w:r>
        <w:rPr>
          <w:color w:val="auto"/>
          <w:vertAlign w:val="subscript"/>
        </w:rPr>
        <w:t>j</w:t>
      </w:r>
      <w:r>
        <w:rPr>
          <w:color w:val="auto"/>
        </w:rPr>
        <w:t>——j点pH值监测值；</w:t>
      </w:r>
    </w:p>
    <w:p w14:paraId="176A0F34">
      <w:pPr>
        <w:pStyle w:val="276"/>
        <w:widowControl w:val="0"/>
        <w:ind w:firstLine="480"/>
        <w:jc w:val="both"/>
        <w:rPr>
          <w:color w:val="auto"/>
        </w:rPr>
      </w:pPr>
      <w:r>
        <w:rPr>
          <w:color w:val="auto"/>
        </w:rPr>
        <w:t>pH</w:t>
      </w:r>
      <w:r>
        <w:rPr>
          <w:color w:val="auto"/>
          <w:vertAlign w:val="subscript"/>
        </w:rPr>
        <w:t>su</w:t>
      </w:r>
      <w:r>
        <w:rPr>
          <w:color w:val="auto"/>
        </w:rPr>
        <w:t>——水质标准中pH值上限；</w:t>
      </w:r>
    </w:p>
    <w:p w14:paraId="5AD5EB00">
      <w:pPr>
        <w:pStyle w:val="276"/>
        <w:widowControl w:val="0"/>
        <w:ind w:firstLine="480"/>
        <w:jc w:val="both"/>
        <w:rPr>
          <w:color w:val="auto"/>
        </w:rPr>
      </w:pPr>
      <w:r>
        <w:rPr>
          <w:color w:val="auto"/>
        </w:rPr>
        <w:t>pH</w:t>
      </w:r>
      <w:r>
        <w:rPr>
          <w:color w:val="auto"/>
          <w:vertAlign w:val="subscript"/>
        </w:rPr>
        <w:t>sd</w:t>
      </w:r>
      <w:r>
        <w:rPr>
          <w:color w:val="auto"/>
        </w:rPr>
        <w:t>——水质标准中pH值下限。</w:t>
      </w:r>
    </w:p>
    <w:p w14:paraId="5BA536D1">
      <w:pPr>
        <w:pStyle w:val="276"/>
        <w:widowControl w:val="0"/>
        <w:ind w:firstLine="480"/>
        <w:jc w:val="both"/>
        <w:rPr>
          <w:color w:val="auto"/>
        </w:rPr>
      </w:pPr>
      <w:r>
        <w:rPr>
          <w:color w:val="auto"/>
        </w:rPr>
        <w:t>当单因子标准指数＞1 时，表示该水质参数所表征的污染物已满足不了标准要求，水体已受到污染；反之，则满足标准要求。</w:t>
      </w:r>
    </w:p>
    <w:p w14:paraId="6C34C544">
      <w:pPr>
        <w:pStyle w:val="276"/>
        <w:widowControl w:val="0"/>
        <w:ind w:firstLine="480"/>
        <w:jc w:val="both"/>
        <w:rPr>
          <w:color w:val="auto"/>
        </w:rPr>
      </w:pPr>
      <w:r>
        <w:rPr>
          <w:color w:val="auto"/>
        </w:rPr>
        <w:t>（3）单因子标准指数</w:t>
      </w:r>
    </w:p>
    <w:p w14:paraId="3F80BDA3">
      <w:pPr>
        <w:pStyle w:val="276"/>
        <w:widowControl w:val="0"/>
        <w:ind w:firstLine="480"/>
        <w:jc w:val="both"/>
        <w:rPr>
          <w:color w:val="auto"/>
        </w:rPr>
      </w:pPr>
      <w:r>
        <w:rPr>
          <w:color w:val="auto"/>
        </w:rPr>
        <w:t>地下水单因子标准指数计算结果见表4.3-9。</w:t>
      </w:r>
    </w:p>
    <w:p w14:paraId="48F7DA79">
      <w:pPr>
        <w:pStyle w:val="79"/>
        <w:ind w:firstLine="240"/>
        <w:rPr>
          <w:rFonts w:ascii="宋体" w:hAnsi="宋体"/>
          <w:color w:val="auto"/>
        </w:rPr>
        <w:sectPr>
          <w:headerReference r:id="rId9" w:type="default"/>
          <w:pgSz w:w="11907" w:h="16840"/>
          <w:pgMar w:top="1418" w:right="1418" w:bottom="1418" w:left="1418" w:header="851" w:footer="425" w:gutter="0"/>
          <w:cols w:space="720" w:num="1"/>
          <w:docGrid w:type="lines" w:linePitch="326" w:charSpace="0"/>
        </w:sectPr>
      </w:pPr>
    </w:p>
    <w:p w14:paraId="67854000">
      <w:pPr>
        <w:pStyle w:val="276"/>
        <w:widowControl w:val="0"/>
        <w:spacing w:line="440" w:lineRule="exact"/>
        <w:ind w:firstLine="0" w:firstLineChars="0"/>
        <w:jc w:val="center"/>
        <w:rPr>
          <w:color w:val="auto"/>
        </w:rPr>
      </w:pPr>
      <w:r>
        <w:rPr>
          <w:color w:val="auto"/>
        </w:rPr>
        <w:t xml:space="preserve">表4.3-9 </w:t>
      </w:r>
      <w:r>
        <w:rPr>
          <w:color w:val="auto"/>
          <w:szCs w:val="28"/>
        </w:rPr>
        <w:t>地下水</w:t>
      </w:r>
      <w:r>
        <w:rPr>
          <w:color w:val="auto"/>
        </w:rPr>
        <w:t xml:space="preserve">单因子标准指数计算结果 </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Layout w:type="autofit"/>
        <w:tblCellMar>
          <w:top w:w="0" w:type="dxa"/>
          <w:left w:w="108" w:type="dxa"/>
          <w:bottom w:w="0" w:type="dxa"/>
          <w:right w:w="108" w:type="dxa"/>
        </w:tblCellMar>
      </w:tblPr>
      <w:tblGrid>
        <w:gridCol w:w="855"/>
        <w:gridCol w:w="982"/>
        <w:gridCol w:w="919"/>
        <w:gridCol w:w="919"/>
        <w:gridCol w:w="919"/>
        <w:gridCol w:w="920"/>
        <w:gridCol w:w="920"/>
        <w:gridCol w:w="920"/>
        <w:gridCol w:w="920"/>
        <w:gridCol w:w="920"/>
        <w:gridCol w:w="920"/>
        <w:gridCol w:w="920"/>
        <w:gridCol w:w="920"/>
        <w:gridCol w:w="920"/>
        <w:gridCol w:w="920"/>
        <w:gridCol w:w="920"/>
        <w:gridCol w:w="920"/>
        <w:gridCol w:w="920"/>
        <w:gridCol w:w="920"/>
        <w:gridCol w:w="920"/>
        <w:gridCol w:w="962"/>
        <w:gridCol w:w="920"/>
        <w:gridCol w:w="915"/>
      </w:tblGrid>
      <w:tr w14:paraId="287B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7DF53D5A">
            <w:pPr>
              <w:jc w:val="center"/>
              <w:rPr>
                <w:rFonts w:ascii="宋体" w:hAnsi="宋体" w:eastAsia="宋体"/>
                <w:color w:val="auto"/>
              </w:rPr>
            </w:pPr>
            <w:r>
              <w:rPr>
                <w:rFonts w:hint="eastAsia" w:ascii="宋体" w:hAnsi="宋体" w:eastAsia="宋体"/>
                <w:color w:val="auto"/>
              </w:rPr>
              <w:t>监测项目</w:t>
            </w:r>
          </w:p>
        </w:tc>
        <w:tc>
          <w:tcPr>
            <w:tcW w:w="232" w:type="pct"/>
            <w:shd w:val="clear" w:color="000000" w:fill="FFFFFF"/>
            <w:vAlign w:val="center"/>
          </w:tcPr>
          <w:p w14:paraId="443FA17A">
            <w:pPr>
              <w:jc w:val="center"/>
              <w:rPr>
                <w:rFonts w:ascii="宋体" w:hAnsi="宋体" w:eastAsia="宋体"/>
                <w:color w:val="auto"/>
              </w:rPr>
            </w:pPr>
            <w:r>
              <w:rPr>
                <w:rFonts w:hint="eastAsia" w:ascii="宋体" w:hAnsi="宋体" w:eastAsia="宋体"/>
                <w:color w:val="auto"/>
              </w:rPr>
              <w:t>王家粉屯(林家、潜水)</w:t>
            </w:r>
          </w:p>
        </w:tc>
        <w:tc>
          <w:tcPr>
            <w:tcW w:w="217" w:type="pct"/>
            <w:shd w:val="clear" w:color="000000" w:fill="FFFFFF"/>
            <w:vAlign w:val="center"/>
          </w:tcPr>
          <w:p w14:paraId="5822A1DB">
            <w:pPr>
              <w:jc w:val="center"/>
              <w:rPr>
                <w:rFonts w:ascii="宋体" w:hAnsi="宋体" w:eastAsia="宋体"/>
                <w:color w:val="auto"/>
              </w:rPr>
            </w:pPr>
            <w:r>
              <w:rPr>
                <w:rFonts w:hint="eastAsia" w:ascii="宋体" w:hAnsi="宋体" w:eastAsia="宋体"/>
                <w:color w:val="auto"/>
              </w:rPr>
              <w:t>小欧力马屯（孙家、潜水）</w:t>
            </w:r>
          </w:p>
        </w:tc>
        <w:tc>
          <w:tcPr>
            <w:tcW w:w="217" w:type="pct"/>
            <w:shd w:val="clear" w:color="000000" w:fill="FFFFFF"/>
            <w:vAlign w:val="center"/>
          </w:tcPr>
          <w:p w14:paraId="43A834E9">
            <w:pPr>
              <w:jc w:val="center"/>
              <w:rPr>
                <w:rFonts w:ascii="宋体" w:hAnsi="宋体" w:eastAsia="宋体"/>
                <w:color w:val="auto"/>
              </w:rPr>
            </w:pPr>
            <w:r>
              <w:rPr>
                <w:rFonts w:hint="eastAsia" w:ascii="宋体" w:hAnsi="宋体" w:eastAsia="宋体"/>
                <w:color w:val="auto"/>
              </w:rPr>
              <w:t>后欧力马屯(张家、潜水)</w:t>
            </w:r>
          </w:p>
        </w:tc>
        <w:tc>
          <w:tcPr>
            <w:tcW w:w="217" w:type="pct"/>
            <w:shd w:val="clear" w:color="000000" w:fill="FFFFFF"/>
            <w:vAlign w:val="center"/>
          </w:tcPr>
          <w:p w14:paraId="2702AD22">
            <w:pPr>
              <w:jc w:val="center"/>
              <w:rPr>
                <w:rFonts w:ascii="宋体" w:hAnsi="宋体" w:eastAsia="宋体"/>
                <w:color w:val="auto"/>
              </w:rPr>
            </w:pPr>
            <w:r>
              <w:rPr>
                <w:rFonts w:hint="eastAsia" w:ascii="宋体" w:hAnsi="宋体" w:eastAsia="宋体"/>
                <w:color w:val="auto"/>
              </w:rPr>
              <w:t>赵家围子（李家、潜水）</w:t>
            </w:r>
          </w:p>
        </w:tc>
        <w:tc>
          <w:tcPr>
            <w:tcW w:w="217" w:type="pct"/>
            <w:shd w:val="clear" w:color="000000" w:fill="FFFFFF"/>
            <w:vAlign w:val="center"/>
          </w:tcPr>
          <w:p w14:paraId="2CB8A6B4">
            <w:pPr>
              <w:jc w:val="center"/>
              <w:rPr>
                <w:rFonts w:ascii="宋体" w:hAnsi="宋体" w:eastAsia="宋体"/>
                <w:color w:val="auto"/>
              </w:rPr>
            </w:pPr>
            <w:r>
              <w:rPr>
                <w:rFonts w:hint="eastAsia" w:ascii="宋体" w:hAnsi="宋体" w:eastAsia="宋体"/>
                <w:color w:val="auto"/>
              </w:rPr>
              <w:t>腰欧力马屯(王家、潜水)</w:t>
            </w:r>
          </w:p>
        </w:tc>
        <w:tc>
          <w:tcPr>
            <w:tcW w:w="217" w:type="pct"/>
            <w:shd w:val="clear" w:color="000000" w:fill="FFFFFF"/>
            <w:vAlign w:val="center"/>
          </w:tcPr>
          <w:p w14:paraId="42E00774">
            <w:pPr>
              <w:jc w:val="center"/>
              <w:rPr>
                <w:rFonts w:ascii="宋体" w:hAnsi="宋体" w:eastAsia="宋体"/>
                <w:color w:val="auto"/>
              </w:rPr>
            </w:pPr>
            <w:r>
              <w:rPr>
                <w:rFonts w:hint="eastAsia" w:ascii="宋体" w:hAnsi="宋体" w:eastAsia="宋体"/>
                <w:color w:val="auto"/>
              </w:rPr>
              <w:t>王家园子屯（房家、承压水）</w:t>
            </w:r>
          </w:p>
        </w:tc>
        <w:tc>
          <w:tcPr>
            <w:tcW w:w="217" w:type="pct"/>
            <w:shd w:val="clear" w:color="000000" w:fill="FFFFFF"/>
            <w:vAlign w:val="center"/>
          </w:tcPr>
          <w:p w14:paraId="278AD298">
            <w:pPr>
              <w:jc w:val="center"/>
              <w:rPr>
                <w:rFonts w:ascii="宋体" w:hAnsi="宋体" w:eastAsia="宋体"/>
                <w:color w:val="auto"/>
              </w:rPr>
            </w:pPr>
            <w:r>
              <w:rPr>
                <w:rFonts w:hint="eastAsia" w:ascii="宋体" w:hAnsi="宋体" w:eastAsia="宋体"/>
                <w:color w:val="auto"/>
              </w:rPr>
              <w:t>和平乡（谷家、承压水））</w:t>
            </w:r>
          </w:p>
        </w:tc>
        <w:tc>
          <w:tcPr>
            <w:tcW w:w="217" w:type="pct"/>
            <w:shd w:val="clear" w:color="000000" w:fill="FFFFFF"/>
            <w:vAlign w:val="center"/>
          </w:tcPr>
          <w:p w14:paraId="13BDE8D0">
            <w:pPr>
              <w:jc w:val="center"/>
              <w:rPr>
                <w:rFonts w:ascii="宋体" w:hAnsi="宋体" w:eastAsia="宋体"/>
                <w:color w:val="auto"/>
              </w:rPr>
            </w:pPr>
            <w:r>
              <w:rPr>
                <w:rFonts w:hint="eastAsia" w:ascii="宋体" w:hAnsi="宋体" w:eastAsia="宋体"/>
                <w:color w:val="auto"/>
              </w:rPr>
              <w:t>工商家属房(程家、潜水)</w:t>
            </w:r>
          </w:p>
        </w:tc>
        <w:tc>
          <w:tcPr>
            <w:tcW w:w="217" w:type="pct"/>
            <w:shd w:val="clear" w:color="000000" w:fill="FFFFFF"/>
            <w:vAlign w:val="center"/>
          </w:tcPr>
          <w:p w14:paraId="779933FF">
            <w:pPr>
              <w:jc w:val="center"/>
              <w:rPr>
                <w:rFonts w:ascii="宋体" w:hAnsi="宋体" w:eastAsia="宋体"/>
                <w:color w:val="auto"/>
              </w:rPr>
            </w:pPr>
            <w:r>
              <w:rPr>
                <w:rFonts w:hint="eastAsia" w:ascii="宋体" w:hAnsi="宋体" w:eastAsia="宋体"/>
                <w:color w:val="auto"/>
              </w:rPr>
              <w:t>大姚屯（苏家、潜水）</w:t>
            </w:r>
          </w:p>
        </w:tc>
        <w:tc>
          <w:tcPr>
            <w:tcW w:w="217" w:type="pct"/>
            <w:shd w:val="clear" w:color="000000" w:fill="FFFFFF"/>
            <w:vAlign w:val="center"/>
          </w:tcPr>
          <w:p w14:paraId="4B6CC5EE">
            <w:pPr>
              <w:jc w:val="center"/>
              <w:rPr>
                <w:rFonts w:ascii="宋体" w:hAnsi="宋体" w:eastAsia="宋体"/>
                <w:color w:val="auto"/>
              </w:rPr>
            </w:pPr>
            <w:r>
              <w:rPr>
                <w:rFonts w:hint="eastAsia" w:ascii="宋体" w:hAnsi="宋体" w:eastAsia="宋体"/>
                <w:color w:val="auto"/>
              </w:rPr>
              <w:t>黑岗子屯(张家、潜水)</w:t>
            </w:r>
          </w:p>
        </w:tc>
        <w:tc>
          <w:tcPr>
            <w:tcW w:w="217" w:type="pct"/>
            <w:shd w:val="clear" w:color="000000" w:fill="FFFFFF"/>
            <w:vAlign w:val="center"/>
          </w:tcPr>
          <w:p w14:paraId="26F224E3">
            <w:pPr>
              <w:jc w:val="center"/>
              <w:rPr>
                <w:rFonts w:ascii="宋体" w:hAnsi="宋体" w:eastAsia="宋体"/>
                <w:color w:val="auto"/>
              </w:rPr>
            </w:pPr>
            <w:r>
              <w:rPr>
                <w:rFonts w:hint="eastAsia" w:ascii="宋体" w:hAnsi="宋体" w:eastAsia="宋体"/>
                <w:color w:val="auto"/>
              </w:rPr>
              <w:t>刘兽医屯（刘家、潜水）</w:t>
            </w:r>
          </w:p>
        </w:tc>
        <w:tc>
          <w:tcPr>
            <w:tcW w:w="217" w:type="pct"/>
            <w:shd w:val="clear" w:color="000000" w:fill="FFFFFF"/>
            <w:vAlign w:val="center"/>
          </w:tcPr>
          <w:p w14:paraId="327DE1BF">
            <w:pPr>
              <w:jc w:val="center"/>
              <w:rPr>
                <w:rFonts w:ascii="宋体" w:hAnsi="宋体" w:eastAsia="宋体"/>
                <w:color w:val="auto"/>
              </w:rPr>
            </w:pPr>
            <w:r>
              <w:rPr>
                <w:rFonts w:hint="eastAsia" w:ascii="宋体" w:hAnsi="宋体" w:eastAsia="宋体"/>
                <w:color w:val="auto"/>
              </w:rPr>
              <w:t>友谊村(白家、潜水)</w:t>
            </w:r>
          </w:p>
        </w:tc>
        <w:tc>
          <w:tcPr>
            <w:tcW w:w="217" w:type="pct"/>
            <w:shd w:val="clear" w:color="000000" w:fill="FFFFFF"/>
            <w:vAlign w:val="center"/>
          </w:tcPr>
          <w:p w14:paraId="224A2897">
            <w:pPr>
              <w:jc w:val="center"/>
              <w:rPr>
                <w:rFonts w:ascii="宋体" w:hAnsi="宋体" w:eastAsia="宋体"/>
                <w:color w:val="auto"/>
              </w:rPr>
            </w:pPr>
            <w:r>
              <w:rPr>
                <w:rFonts w:hint="eastAsia" w:ascii="宋体" w:hAnsi="宋体" w:eastAsia="宋体"/>
                <w:color w:val="auto"/>
              </w:rPr>
              <w:t>友谊村（侯家、承压水）</w:t>
            </w:r>
          </w:p>
        </w:tc>
        <w:tc>
          <w:tcPr>
            <w:tcW w:w="217" w:type="pct"/>
            <w:shd w:val="clear" w:color="000000" w:fill="FFFFFF"/>
            <w:vAlign w:val="center"/>
          </w:tcPr>
          <w:p w14:paraId="1203F848">
            <w:pPr>
              <w:jc w:val="center"/>
              <w:rPr>
                <w:rFonts w:ascii="宋体" w:hAnsi="宋体" w:eastAsia="宋体"/>
                <w:color w:val="auto"/>
              </w:rPr>
            </w:pPr>
            <w:r>
              <w:rPr>
                <w:rFonts w:hint="eastAsia" w:ascii="宋体" w:hAnsi="宋体" w:eastAsia="宋体"/>
                <w:color w:val="auto"/>
              </w:rPr>
              <w:t>协力屯(单家、承压水)</w:t>
            </w:r>
          </w:p>
        </w:tc>
        <w:tc>
          <w:tcPr>
            <w:tcW w:w="217" w:type="pct"/>
            <w:shd w:val="clear" w:color="000000" w:fill="FFFFFF"/>
            <w:vAlign w:val="center"/>
          </w:tcPr>
          <w:p w14:paraId="3D58AA50">
            <w:pPr>
              <w:jc w:val="center"/>
              <w:rPr>
                <w:rFonts w:ascii="宋体" w:hAnsi="宋体" w:eastAsia="宋体"/>
                <w:color w:val="auto"/>
              </w:rPr>
            </w:pPr>
            <w:r>
              <w:rPr>
                <w:rFonts w:hint="eastAsia" w:ascii="宋体" w:hAnsi="宋体" w:eastAsia="宋体"/>
                <w:color w:val="auto"/>
              </w:rPr>
              <w:t>蒙古屯（林家、潜水）</w:t>
            </w:r>
          </w:p>
        </w:tc>
        <w:tc>
          <w:tcPr>
            <w:tcW w:w="217" w:type="pct"/>
            <w:shd w:val="clear" w:color="000000" w:fill="FFFFFF"/>
            <w:vAlign w:val="center"/>
          </w:tcPr>
          <w:p w14:paraId="0D8A95D5">
            <w:pPr>
              <w:jc w:val="center"/>
              <w:rPr>
                <w:rFonts w:ascii="宋体" w:hAnsi="宋体" w:eastAsia="宋体"/>
                <w:color w:val="auto"/>
              </w:rPr>
            </w:pPr>
            <w:r>
              <w:rPr>
                <w:rFonts w:hint="eastAsia" w:ascii="宋体" w:hAnsi="宋体" w:eastAsia="宋体"/>
                <w:color w:val="auto"/>
              </w:rPr>
              <w:t>四方山屯（周家、承压水）</w:t>
            </w:r>
          </w:p>
        </w:tc>
        <w:tc>
          <w:tcPr>
            <w:tcW w:w="217" w:type="pct"/>
            <w:shd w:val="clear" w:color="000000" w:fill="FFFFFF"/>
            <w:vAlign w:val="center"/>
          </w:tcPr>
          <w:p w14:paraId="18A2CCE5">
            <w:pPr>
              <w:jc w:val="center"/>
              <w:rPr>
                <w:rFonts w:ascii="宋体" w:hAnsi="宋体" w:eastAsia="宋体"/>
                <w:color w:val="auto"/>
              </w:rPr>
            </w:pPr>
            <w:r>
              <w:rPr>
                <w:rFonts w:hint="eastAsia" w:ascii="宋体" w:hAnsi="宋体" w:eastAsia="宋体"/>
                <w:color w:val="auto"/>
              </w:rPr>
              <w:t>最大值</w:t>
            </w:r>
          </w:p>
        </w:tc>
        <w:tc>
          <w:tcPr>
            <w:tcW w:w="217" w:type="pct"/>
            <w:shd w:val="clear" w:color="000000" w:fill="FFFFFF"/>
            <w:vAlign w:val="center"/>
          </w:tcPr>
          <w:p w14:paraId="389B2FBA">
            <w:pPr>
              <w:jc w:val="center"/>
              <w:rPr>
                <w:rFonts w:ascii="宋体" w:hAnsi="宋体" w:eastAsia="宋体"/>
                <w:color w:val="auto"/>
              </w:rPr>
            </w:pPr>
            <w:r>
              <w:rPr>
                <w:rFonts w:hint="eastAsia" w:ascii="宋体" w:hAnsi="宋体" w:eastAsia="宋体"/>
                <w:color w:val="auto"/>
              </w:rPr>
              <w:t>最小值</w:t>
            </w:r>
          </w:p>
        </w:tc>
        <w:tc>
          <w:tcPr>
            <w:tcW w:w="217" w:type="pct"/>
            <w:shd w:val="clear" w:color="000000" w:fill="FFFFFF"/>
            <w:vAlign w:val="center"/>
          </w:tcPr>
          <w:p w14:paraId="3482D7CD">
            <w:pPr>
              <w:jc w:val="center"/>
              <w:rPr>
                <w:rFonts w:ascii="宋体" w:hAnsi="宋体" w:eastAsia="宋体"/>
                <w:color w:val="auto"/>
              </w:rPr>
            </w:pPr>
            <w:r>
              <w:rPr>
                <w:rFonts w:hint="eastAsia" w:ascii="宋体" w:hAnsi="宋体" w:eastAsia="宋体"/>
                <w:color w:val="auto"/>
              </w:rPr>
              <w:t>标准值</w:t>
            </w:r>
          </w:p>
        </w:tc>
        <w:tc>
          <w:tcPr>
            <w:tcW w:w="227" w:type="pct"/>
            <w:shd w:val="clear" w:color="000000" w:fill="FFFFFF"/>
            <w:noWrap/>
            <w:vAlign w:val="center"/>
          </w:tcPr>
          <w:p w14:paraId="1A9D9629">
            <w:pPr>
              <w:jc w:val="center"/>
              <w:rPr>
                <w:rFonts w:ascii="宋体" w:hAnsi="宋体" w:eastAsia="宋体"/>
                <w:color w:val="auto"/>
              </w:rPr>
            </w:pPr>
            <w:r>
              <w:rPr>
                <w:rFonts w:hint="eastAsia" w:ascii="宋体" w:hAnsi="宋体" w:eastAsia="宋体"/>
                <w:color w:val="auto"/>
              </w:rPr>
              <w:t>均值</w:t>
            </w:r>
          </w:p>
        </w:tc>
        <w:tc>
          <w:tcPr>
            <w:tcW w:w="217" w:type="pct"/>
            <w:shd w:val="clear" w:color="000000" w:fill="FFFFFF"/>
            <w:vAlign w:val="center"/>
          </w:tcPr>
          <w:p w14:paraId="2A966FB3">
            <w:pPr>
              <w:jc w:val="center"/>
              <w:rPr>
                <w:rFonts w:ascii="宋体" w:hAnsi="宋体" w:eastAsia="宋体"/>
                <w:color w:val="auto"/>
              </w:rPr>
            </w:pPr>
            <w:r>
              <w:rPr>
                <w:rFonts w:hint="eastAsia" w:ascii="宋体" w:hAnsi="宋体" w:eastAsia="宋体"/>
                <w:color w:val="auto"/>
              </w:rPr>
              <w:t>检出率</w:t>
            </w:r>
          </w:p>
        </w:tc>
        <w:tc>
          <w:tcPr>
            <w:tcW w:w="217" w:type="pct"/>
            <w:shd w:val="clear" w:color="000000" w:fill="FFFFFF"/>
            <w:vAlign w:val="center"/>
          </w:tcPr>
          <w:p w14:paraId="6847E078">
            <w:pPr>
              <w:jc w:val="center"/>
              <w:rPr>
                <w:rFonts w:ascii="宋体" w:hAnsi="宋体" w:eastAsia="宋体"/>
                <w:color w:val="auto"/>
              </w:rPr>
            </w:pPr>
            <w:r>
              <w:rPr>
                <w:rFonts w:hint="eastAsia" w:ascii="宋体" w:hAnsi="宋体" w:eastAsia="宋体"/>
                <w:color w:val="auto"/>
              </w:rPr>
              <w:t>超标率</w:t>
            </w:r>
          </w:p>
        </w:tc>
      </w:tr>
      <w:tr w14:paraId="51E4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1DA607FE">
            <w:pPr>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232" w:type="pct"/>
            <w:shd w:val="clear" w:color="000000" w:fill="FFFFFF"/>
            <w:noWrap/>
            <w:vAlign w:val="center"/>
          </w:tcPr>
          <w:p w14:paraId="058D65F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C8E0555">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F6F5BBC">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E1EE435">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225A5D6">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957E1C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B7C68E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ED0495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79990A7">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94F239E">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C165325">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F8077C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E7EDB44">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3AE835E">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8F26172">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5914A5F">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1DF174D">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68D90F5">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FFED261">
            <w:pPr>
              <w:jc w:val="center"/>
              <w:rPr>
                <w:rFonts w:ascii="宋体" w:hAnsi="宋体" w:eastAsia="宋体"/>
                <w:color w:val="auto"/>
                <w:szCs w:val="22"/>
              </w:rPr>
            </w:pPr>
            <w:r>
              <w:rPr>
                <w:rFonts w:hint="eastAsia" w:ascii="宋体" w:hAnsi="宋体" w:eastAsia="宋体"/>
                <w:color w:val="auto"/>
                <w:szCs w:val="22"/>
              </w:rPr>
              <w:t>/</w:t>
            </w:r>
          </w:p>
        </w:tc>
        <w:tc>
          <w:tcPr>
            <w:tcW w:w="227" w:type="pct"/>
            <w:shd w:val="clear" w:color="000000" w:fill="FFFFFF"/>
            <w:noWrap/>
            <w:vAlign w:val="center"/>
          </w:tcPr>
          <w:p w14:paraId="1DD9C91A">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704B9A5">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B52C88F">
            <w:pPr>
              <w:jc w:val="center"/>
              <w:rPr>
                <w:rFonts w:ascii="宋体" w:hAnsi="宋体" w:eastAsia="宋体"/>
                <w:color w:val="auto"/>
                <w:szCs w:val="22"/>
              </w:rPr>
            </w:pPr>
            <w:r>
              <w:rPr>
                <w:rFonts w:hint="eastAsia" w:ascii="宋体" w:hAnsi="宋体" w:eastAsia="宋体"/>
                <w:color w:val="auto"/>
                <w:szCs w:val="22"/>
              </w:rPr>
              <w:t>/</w:t>
            </w:r>
          </w:p>
        </w:tc>
      </w:tr>
      <w:tr w14:paraId="3D95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52749C3B">
            <w:pPr>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232" w:type="pct"/>
            <w:shd w:val="clear" w:color="000000" w:fill="FFFFFF"/>
            <w:vAlign w:val="center"/>
          </w:tcPr>
          <w:p w14:paraId="5E9A76E6">
            <w:pPr>
              <w:jc w:val="center"/>
              <w:rPr>
                <w:rFonts w:ascii="宋体" w:hAnsi="宋体" w:eastAsia="宋体" w:cs="Times New Roman"/>
                <w:color w:val="auto"/>
              </w:rPr>
            </w:pPr>
            <w:r>
              <w:rPr>
                <w:rFonts w:ascii="宋体" w:hAnsi="宋体" w:eastAsia="宋体" w:cs="Times New Roman"/>
                <w:color w:val="auto"/>
              </w:rPr>
              <w:t>0.263</w:t>
            </w:r>
          </w:p>
        </w:tc>
        <w:tc>
          <w:tcPr>
            <w:tcW w:w="217" w:type="pct"/>
            <w:shd w:val="clear" w:color="000000" w:fill="FFFFFF"/>
            <w:vAlign w:val="center"/>
          </w:tcPr>
          <w:p w14:paraId="66D02BDF">
            <w:pPr>
              <w:jc w:val="center"/>
              <w:rPr>
                <w:rFonts w:ascii="宋体" w:hAnsi="宋体" w:eastAsia="宋体" w:cs="Times New Roman"/>
                <w:color w:val="auto"/>
              </w:rPr>
            </w:pPr>
            <w:r>
              <w:rPr>
                <w:rFonts w:ascii="宋体" w:hAnsi="宋体" w:eastAsia="宋体" w:cs="Times New Roman"/>
                <w:color w:val="auto"/>
              </w:rPr>
              <w:t>0.292</w:t>
            </w:r>
          </w:p>
        </w:tc>
        <w:tc>
          <w:tcPr>
            <w:tcW w:w="217" w:type="pct"/>
            <w:shd w:val="clear" w:color="000000" w:fill="FFFFFF"/>
            <w:vAlign w:val="center"/>
          </w:tcPr>
          <w:p w14:paraId="5B2FED71">
            <w:pPr>
              <w:jc w:val="center"/>
              <w:rPr>
                <w:rFonts w:ascii="宋体" w:hAnsi="宋体" w:eastAsia="宋体" w:cs="Times New Roman"/>
                <w:color w:val="auto"/>
              </w:rPr>
            </w:pPr>
            <w:r>
              <w:rPr>
                <w:rFonts w:ascii="宋体" w:hAnsi="宋体" w:eastAsia="宋体" w:cs="Times New Roman"/>
                <w:color w:val="auto"/>
              </w:rPr>
              <w:t>0.303</w:t>
            </w:r>
          </w:p>
        </w:tc>
        <w:tc>
          <w:tcPr>
            <w:tcW w:w="217" w:type="pct"/>
            <w:shd w:val="clear" w:color="000000" w:fill="FFFFFF"/>
            <w:vAlign w:val="center"/>
          </w:tcPr>
          <w:p w14:paraId="58B4E350">
            <w:pPr>
              <w:jc w:val="center"/>
              <w:rPr>
                <w:rFonts w:ascii="宋体" w:hAnsi="宋体" w:eastAsia="宋体" w:cs="Times New Roman"/>
                <w:color w:val="auto"/>
              </w:rPr>
            </w:pPr>
            <w:r>
              <w:rPr>
                <w:rFonts w:ascii="宋体" w:hAnsi="宋体" w:eastAsia="宋体" w:cs="Times New Roman"/>
                <w:color w:val="auto"/>
              </w:rPr>
              <w:t>0.288</w:t>
            </w:r>
          </w:p>
        </w:tc>
        <w:tc>
          <w:tcPr>
            <w:tcW w:w="217" w:type="pct"/>
            <w:shd w:val="clear" w:color="000000" w:fill="FFFFFF"/>
            <w:vAlign w:val="center"/>
          </w:tcPr>
          <w:p w14:paraId="2E81570B">
            <w:pPr>
              <w:jc w:val="center"/>
              <w:rPr>
                <w:rFonts w:ascii="宋体" w:hAnsi="宋体" w:eastAsia="宋体" w:cs="Times New Roman"/>
                <w:color w:val="auto"/>
              </w:rPr>
            </w:pPr>
            <w:r>
              <w:rPr>
                <w:rFonts w:ascii="宋体" w:hAnsi="宋体" w:eastAsia="宋体" w:cs="Times New Roman"/>
                <w:color w:val="auto"/>
              </w:rPr>
              <w:t>0.311</w:t>
            </w:r>
          </w:p>
        </w:tc>
        <w:tc>
          <w:tcPr>
            <w:tcW w:w="217" w:type="pct"/>
            <w:shd w:val="clear" w:color="000000" w:fill="FFFFFF"/>
            <w:vAlign w:val="center"/>
          </w:tcPr>
          <w:p w14:paraId="32F518D0">
            <w:pPr>
              <w:jc w:val="center"/>
              <w:rPr>
                <w:rFonts w:ascii="宋体" w:hAnsi="宋体" w:eastAsia="宋体" w:cs="Times New Roman"/>
                <w:color w:val="auto"/>
              </w:rPr>
            </w:pPr>
            <w:r>
              <w:rPr>
                <w:rFonts w:ascii="宋体" w:hAnsi="宋体" w:eastAsia="宋体" w:cs="Times New Roman"/>
                <w:color w:val="auto"/>
              </w:rPr>
              <w:t>0.218</w:t>
            </w:r>
          </w:p>
        </w:tc>
        <w:tc>
          <w:tcPr>
            <w:tcW w:w="217" w:type="pct"/>
            <w:shd w:val="clear" w:color="000000" w:fill="FFFFFF"/>
            <w:vAlign w:val="center"/>
          </w:tcPr>
          <w:p w14:paraId="7FC5B8E7">
            <w:pPr>
              <w:jc w:val="center"/>
              <w:rPr>
                <w:rFonts w:ascii="宋体" w:hAnsi="宋体" w:eastAsia="宋体" w:cs="Times New Roman"/>
                <w:color w:val="auto"/>
              </w:rPr>
            </w:pPr>
            <w:r>
              <w:rPr>
                <w:rFonts w:ascii="宋体" w:hAnsi="宋体" w:eastAsia="宋体" w:cs="Times New Roman"/>
                <w:color w:val="auto"/>
              </w:rPr>
              <w:t>0.235</w:t>
            </w:r>
          </w:p>
        </w:tc>
        <w:tc>
          <w:tcPr>
            <w:tcW w:w="217" w:type="pct"/>
            <w:shd w:val="clear" w:color="000000" w:fill="FFFFFF"/>
            <w:vAlign w:val="center"/>
          </w:tcPr>
          <w:p w14:paraId="5F5371D9">
            <w:pPr>
              <w:jc w:val="center"/>
              <w:rPr>
                <w:rFonts w:ascii="宋体" w:hAnsi="宋体" w:eastAsia="宋体" w:cs="Times New Roman"/>
                <w:color w:val="auto"/>
              </w:rPr>
            </w:pPr>
            <w:r>
              <w:rPr>
                <w:rFonts w:ascii="宋体" w:hAnsi="宋体" w:eastAsia="宋体" w:cs="Times New Roman"/>
                <w:color w:val="auto"/>
              </w:rPr>
              <w:t>0.267</w:t>
            </w:r>
          </w:p>
        </w:tc>
        <w:tc>
          <w:tcPr>
            <w:tcW w:w="217" w:type="pct"/>
            <w:shd w:val="clear" w:color="000000" w:fill="FFFFFF"/>
            <w:vAlign w:val="center"/>
          </w:tcPr>
          <w:p w14:paraId="1F437C75">
            <w:pPr>
              <w:jc w:val="center"/>
              <w:rPr>
                <w:rFonts w:ascii="宋体" w:hAnsi="宋体" w:eastAsia="宋体" w:cs="Times New Roman"/>
                <w:color w:val="auto"/>
              </w:rPr>
            </w:pPr>
            <w:r>
              <w:rPr>
                <w:rFonts w:ascii="宋体" w:hAnsi="宋体" w:eastAsia="宋体" w:cs="Times New Roman"/>
                <w:color w:val="auto"/>
              </w:rPr>
              <w:t>0.252</w:t>
            </w:r>
          </w:p>
        </w:tc>
        <w:tc>
          <w:tcPr>
            <w:tcW w:w="217" w:type="pct"/>
            <w:shd w:val="clear" w:color="000000" w:fill="FFFFFF"/>
            <w:vAlign w:val="center"/>
          </w:tcPr>
          <w:p w14:paraId="7B0A5A2F">
            <w:pPr>
              <w:jc w:val="center"/>
              <w:rPr>
                <w:rFonts w:ascii="宋体" w:hAnsi="宋体" w:eastAsia="宋体" w:cs="Times New Roman"/>
                <w:color w:val="auto"/>
              </w:rPr>
            </w:pPr>
            <w:r>
              <w:rPr>
                <w:rFonts w:ascii="宋体" w:hAnsi="宋体" w:eastAsia="宋体" w:cs="Times New Roman"/>
                <w:color w:val="auto"/>
              </w:rPr>
              <w:t>0.307</w:t>
            </w:r>
          </w:p>
        </w:tc>
        <w:tc>
          <w:tcPr>
            <w:tcW w:w="217" w:type="pct"/>
            <w:shd w:val="clear" w:color="000000" w:fill="FFFFFF"/>
            <w:vAlign w:val="center"/>
          </w:tcPr>
          <w:p w14:paraId="5732BA6E">
            <w:pPr>
              <w:jc w:val="center"/>
              <w:rPr>
                <w:rFonts w:ascii="宋体" w:hAnsi="宋体" w:eastAsia="宋体" w:cs="Times New Roman"/>
                <w:color w:val="auto"/>
              </w:rPr>
            </w:pPr>
            <w:r>
              <w:rPr>
                <w:rFonts w:ascii="宋体" w:hAnsi="宋体" w:eastAsia="宋体" w:cs="Times New Roman"/>
                <w:color w:val="auto"/>
              </w:rPr>
              <w:t>0.287</w:t>
            </w:r>
          </w:p>
        </w:tc>
        <w:tc>
          <w:tcPr>
            <w:tcW w:w="217" w:type="pct"/>
            <w:shd w:val="clear" w:color="000000" w:fill="FFFFFF"/>
            <w:vAlign w:val="center"/>
          </w:tcPr>
          <w:p w14:paraId="5026E374">
            <w:pPr>
              <w:jc w:val="center"/>
              <w:rPr>
                <w:rFonts w:ascii="宋体" w:hAnsi="宋体" w:eastAsia="宋体" w:cs="Times New Roman"/>
                <w:color w:val="auto"/>
              </w:rPr>
            </w:pPr>
            <w:r>
              <w:rPr>
                <w:rFonts w:ascii="宋体" w:hAnsi="宋体" w:eastAsia="宋体" w:cs="Times New Roman"/>
                <w:color w:val="auto"/>
              </w:rPr>
              <w:t>0.261</w:t>
            </w:r>
          </w:p>
        </w:tc>
        <w:tc>
          <w:tcPr>
            <w:tcW w:w="217" w:type="pct"/>
            <w:shd w:val="clear" w:color="000000" w:fill="FFFFFF"/>
            <w:vAlign w:val="center"/>
          </w:tcPr>
          <w:p w14:paraId="7EF0BCA4">
            <w:pPr>
              <w:jc w:val="center"/>
              <w:rPr>
                <w:rFonts w:ascii="宋体" w:hAnsi="宋体" w:eastAsia="宋体" w:cs="Times New Roman"/>
                <w:color w:val="auto"/>
              </w:rPr>
            </w:pPr>
            <w:r>
              <w:rPr>
                <w:rFonts w:ascii="宋体" w:hAnsi="宋体" w:eastAsia="宋体" w:cs="Times New Roman"/>
                <w:color w:val="auto"/>
              </w:rPr>
              <w:t>0.209</w:t>
            </w:r>
          </w:p>
        </w:tc>
        <w:tc>
          <w:tcPr>
            <w:tcW w:w="217" w:type="pct"/>
            <w:shd w:val="clear" w:color="000000" w:fill="FFFFFF"/>
            <w:vAlign w:val="center"/>
          </w:tcPr>
          <w:p w14:paraId="7481E82B">
            <w:pPr>
              <w:jc w:val="center"/>
              <w:rPr>
                <w:rFonts w:ascii="宋体" w:hAnsi="宋体" w:eastAsia="宋体" w:cs="Times New Roman"/>
                <w:color w:val="auto"/>
              </w:rPr>
            </w:pPr>
            <w:r>
              <w:rPr>
                <w:rFonts w:ascii="宋体" w:hAnsi="宋体" w:eastAsia="宋体" w:cs="Times New Roman"/>
                <w:color w:val="auto"/>
              </w:rPr>
              <w:t>0.218</w:t>
            </w:r>
          </w:p>
        </w:tc>
        <w:tc>
          <w:tcPr>
            <w:tcW w:w="217" w:type="pct"/>
            <w:shd w:val="clear" w:color="000000" w:fill="FFFFFF"/>
            <w:vAlign w:val="center"/>
          </w:tcPr>
          <w:p w14:paraId="36B4BEEB">
            <w:pPr>
              <w:jc w:val="center"/>
              <w:rPr>
                <w:rFonts w:ascii="宋体" w:hAnsi="宋体" w:eastAsia="宋体" w:cs="Times New Roman"/>
                <w:color w:val="auto"/>
              </w:rPr>
            </w:pPr>
            <w:r>
              <w:rPr>
                <w:rFonts w:ascii="宋体" w:hAnsi="宋体" w:eastAsia="宋体" w:cs="Times New Roman"/>
                <w:color w:val="auto"/>
              </w:rPr>
              <w:t>0.274</w:t>
            </w:r>
          </w:p>
        </w:tc>
        <w:tc>
          <w:tcPr>
            <w:tcW w:w="217" w:type="pct"/>
            <w:shd w:val="clear" w:color="000000" w:fill="FFFFFF"/>
            <w:vAlign w:val="center"/>
          </w:tcPr>
          <w:p w14:paraId="4F0D1C9B">
            <w:pPr>
              <w:jc w:val="center"/>
              <w:rPr>
                <w:rFonts w:ascii="宋体" w:hAnsi="宋体" w:eastAsia="宋体" w:cs="Times New Roman"/>
                <w:color w:val="auto"/>
              </w:rPr>
            </w:pPr>
            <w:r>
              <w:rPr>
                <w:rFonts w:ascii="宋体" w:hAnsi="宋体" w:eastAsia="宋体" w:cs="Times New Roman"/>
                <w:color w:val="auto"/>
              </w:rPr>
              <w:t>0.203</w:t>
            </w:r>
          </w:p>
        </w:tc>
        <w:tc>
          <w:tcPr>
            <w:tcW w:w="217" w:type="pct"/>
            <w:shd w:val="clear" w:color="000000" w:fill="FFFFFF"/>
            <w:noWrap/>
            <w:vAlign w:val="center"/>
          </w:tcPr>
          <w:p w14:paraId="450F3AFA">
            <w:pPr>
              <w:jc w:val="center"/>
              <w:rPr>
                <w:rFonts w:ascii="宋体" w:hAnsi="宋体" w:eastAsia="宋体"/>
                <w:color w:val="auto"/>
                <w:szCs w:val="22"/>
              </w:rPr>
            </w:pPr>
            <w:r>
              <w:rPr>
                <w:rFonts w:hint="eastAsia" w:ascii="宋体" w:hAnsi="宋体" w:eastAsia="宋体"/>
                <w:color w:val="auto"/>
                <w:szCs w:val="22"/>
              </w:rPr>
              <w:t>0.311</w:t>
            </w:r>
          </w:p>
        </w:tc>
        <w:tc>
          <w:tcPr>
            <w:tcW w:w="217" w:type="pct"/>
            <w:shd w:val="clear" w:color="000000" w:fill="FFFFFF"/>
            <w:noWrap/>
            <w:vAlign w:val="center"/>
          </w:tcPr>
          <w:p w14:paraId="74566C66">
            <w:pPr>
              <w:jc w:val="center"/>
              <w:rPr>
                <w:rFonts w:ascii="宋体" w:hAnsi="宋体" w:eastAsia="宋体"/>
                <w:color w:val="auto"/>
                <w:szCs w:val="22"/>
              </w:rPr>
            </w:pPr>
            <w:r>
              <w:rPr>
                <w:rFonts w:hint="eastAsia" w:ascii="宋体" w:hAnsi="宋体" w:eastAsia="宋体"/>
                <w:color w:val="auto"/>
                <w:szCs w:val="22"/>
              </w:rPr>
              <w:t>0.203</w:t>
            </w:r>
          </w:p>
        </w:tc>
        <w:tc>
          <w:tcPr>
            <w:tcW w:w="217" w:type="pct"/>
            <w:shd w:val="clear" w:color="000000" w:fill="FFFFFF"/>
            <w:noWrap/>
            <w:vAlign w:val="center"/>
          </w:tcPr>
          <w:p w14:paraId="32896E41">
            <w:pPr>
              <w:jc w:val="center"/>
              <w:rPr>
                <w:rFonts w:ascii="宋体" w:hAnsi="宋体" w:eastAsia="宋体"/>
                <w:color w:val="auto"/>
                <w:szCs w:val="22"/>
              </w:rPr>
            </w:pPr>
            <w:r>
              <w:rPr>
                <w:rFonts w:hint="eastAsia" w:ascii="宋体" w:hAnsi="宋体" w:eastAsia="宋体"/>
                <w:color w:val="auto"/>
                <w:szCs w:val="22"/>
              </w:rPr>
              <w:t>0.035</w:t>
            </w:r>
          </w:p>
        </w:tc>
        <w:tc>
          <w:tcPr>
            <w:tcW w:w="227" w:type="pct"/>
            <w:shd w:val="clear" w:color="000000" w:fill="FFFFFF"/>
            <w:noWrap/>
            <w:vAlign w:val="center"/>
          </w:tcPr>
          <w:p w14:paraId="5D578E5A">
            <w:pPr>
              <w:jc w:val="center"/>
              <w:rPr>
                <w:rFonts w:ascii="宋体" w:hAnsi="宋体" w:eastAsia="宋体"/>
                <w:color w:val="auto"/>
                <w:szCs w:val="22"/>
              </w:rPr>
            </w:pPr>
            <w:r>
              <w:rPr>
                <w:rFonts w:hint="eastAsia" w:ascii="宋体" w:hAnsi="宋体" w:eastAsia="宋体"/>
                <w:color w:val="auto"/>
                <w:szCs w:val="22"/>
              </w:rPr>
              <w:t>0.26175</w:t>
            </w:r>
          </w:p>
        </w:tc>
        <w:tc>
          <w:tcPr>
            <w:tcW w:w="217" w:type="pct"/>
            <w:shd w:val="clear" w:color="000000" w:fill="FFFFFF"/>
            <w:noWrap/>
            <w:vAlign w:val="center"/>
          </w:tcPr>
          <w:p w14:paraId="02FCEB44">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3BDA37A4">
            <w:pPr>
              <w:jc w:val="center"/>
              <w:rPr>
                <w:rFonts w:ascii="宋体" w:hAnsi="宋体" w:eastAsia="宋体"/>
                <w:color w:val="auto"/>
                <w:szCs w:val="22"/>
              </w:rPr>
            </w:pPr>
            <w:r>
              <w:rPr>
                <w:rFonts w:hint="eastAsia" w:ascii="宋体" w:hAnsi="宋体" w:eastAsia="宋体"/>
                <w:color w:val="auto"/>
                <w:szCs w:val="22"/>
              </w:rPr>
              <w:t>0</w:t>
            </w:r>
          </w:p>
        </w:tc>
      </w:tr>
      <w:tr w14:paraId="73A4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340" w:hRule="atLeast"/>
        </w:trPr>
        <w:tc>
          <w:tcPr>
            <w:tcW w:w="202" w:type="pct"/>
            <w:shd w:val="clear" w:color="000000" w:fill="FFFFFF"/>
            <w:vAlign w:val="center"/>
          </w:tcPr>
          <w:p w14:paraId="26C2A5D5">
            <w:pPr>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232" w:type="pct"/>
            <w:shd w:val="clear" w:color="000000" w:fill="FFFFFF"/>
            <w:noWrap/>
            <w:vAlign w:val="center"/>
          </w:tcPr>
          <w:p w14:paraId="1460B493">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CFC16DC">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E05DD3F">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205A63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DC7184D">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9FC06E9">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4A1D05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EC18BB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218DE3D">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F12BB6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CAB3D53">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05C5EEA">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2B1EE9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F1B819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D47F439">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C70EB2C">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2FAE73A">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2E8579CF">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19EB697">
            <w:pPr>
              <w:jc w:val="center"/>
              <w:rPr>
                <w:rFonts w:ascii="宋体" w:hAnsi="宋体" w:eastAsia="宋体"/>
                <w:color w:val="auto"/>
                <w:szCs w:val="22"/>
              </w:rPr>
            </w:pPr>
            <w:r>
              <w:rPr>
                <w:rFonts w:hint="eastAsia" w:ascii="宋体" w:hAnsi="宋体" w:eastAsia="宋体"/>
                <w:color w:val="auto"/>
                <w:szCs w:val="22"/>
              </w:rPr>
              <w:t>/</w:t>
            </w:r>
          </w:p>
        </w:tc>
        <w:tc>
          <w:tcPr>
            <w:tcW w:w="227" w:type="pct"/>
            <w:shd w:val="clear" w:color="000000" w:fill="FFFFFF"/>
            <w:noWrap/>
            <w:vAlign w:val="center"/>
          </w:tcPr>
          <w:p w14:paraId="50CFA82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971DBB2">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006101C">
            <w:pPr>
              <w:jc w:val="center"/>
              <w:rPr>
                <w:rFonts w:ascii="宋体" w:hAnsi="宋体" w:eastAsia="宋体"/>
                <w:color w:val="auto"/>
                <w:szCs w:val="22"/>
              </w:rPr>
            </w:pPr>
            <w:r>
              <w:rPr>
                <w:rFonts w:hint="eastAsia" w:ascii="宋体" w:hAnsi="宋体" w:eastAsia="宋体"/>
                <w:color w:val="auto"/>
                <w:szCs w:val="22"/>
              </w:rPr>
              <w:t>/</w:t>
            </w:r>
          </w:p>
        </w:tc>
      </w:tr>
      <w:tr w14:paraId="6483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14ECE409">
            <w:pPr>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232" w:type="pct"/>
            <w:shd w:val="clear" w:color="000000" w:fill="FFFFFF"/>
            <w:noWrap/>
            <w:vAlign w:val="center"/>
          </w:tcPr>
          <w:p w14:paraId="5EF4E098">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359115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AFA320F">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2B5F370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ECDD4C3">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9682DE8">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CB5FADD">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C65EB78">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D0725C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63FF158">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E1A9875">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D579207">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389E1FF">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BAFCA1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1E938D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2B355696">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84775DC">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288149B2">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2F5042A">
            <w:pPr>
              <w:jc w:val="center"/>
              <w:rPr>
                <w:rFonts w:ascii="宋体" w:hAnsi="宋体" w:eastAsia="宋体"/>
                <w:color w:val="auto"/>
                <w:szCs w:val="22"/>
              </w:rPr>
            </w:pPr>
            <w:r>
              <w:rPr>
                <w:rFonts w:hint="eastAsia" w:ascii="宋体" w:hAnsi="宋体" w:eastAsia="宋体"/>
                <w:color w:val="auto"/>
                <w:szCs w:val="22"/>
              </w:rPr>
              <w:t>/</w:t>
            </w:r>
          </w:p>
        </w:tc>
        <w:tc>
          <w:tcPr>
            <w:tcW w:w="227" w:type="pct"/>
            <w:shd w:val="clear" w:color="000000" w:fill="FFFFFF"/>
            <w:noWrap/>
            <w:vAlign w:val="center"/>
          </w:tcPr>
          <w:p w14:paraId="0CAD7236">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50348E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A0FA03F">
            <w:pPr>
              <w:jc w:val="center"/>
              <w:rPr>
                <w:rFonts w:ascii="宋体" w:hAnsi="宋体" w:eastAsia="宋体"/>
                <w:color w:val="auto"/>
                <w:szCs w:val="22"/>
              </w:rPr>
            </w:pPr>
            <w:r>
              <w:rPr>
                <w:rFonts w:hint="eastAsia" w:ascii="宋体" w:hAnsi="宋体" w:eastAsia="宋体"/>
                <w:color w:val="auto"/>
                <w:szCs w:val="22"/>
              </w:rPr>
              <w:t>/</w:t>
            </w:r>
          </w:p>
        </w:tc>
      </w:tr>
      <w:tr w14:paraId="5F86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340" w:hRule="atLeast"/>
        </w:trPr>
        <w:tc>
          <w:tcPr>
            <w:tcW w:w="202" w:type="pct"/>
            <w:shd w:val="clear" w:color="000000" w:fill="FFFFFF"/>
            <w:vAlign w:val="center"/>
          </w:tcPr>
          <w:p w14:paraId="1ADCB5B8">
            <w:pPr>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232" w:type="pct"/>
            <w:shd w:val="clear" w:color="000000" w:fill="FFFFFF"/>
            <w:noWrap/>
            <w:vAlign w:val="center"/>
          </w:tcPr>
          <w:p w14:paraId="20340F1D">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8349904">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4DEDAE2">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480054A">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E57C505">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82E223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CE26F5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5D55522">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42FE9F7">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D2FA928">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8794A42">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022A104">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B87E488">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756F338">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DBDA5ED">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F93553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23993FF">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5EF762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E939752">
            <w:pPr>
              <w:jc w:val="center"/>
              <w:rPr>
                <w:rFonts w:ascii="宋体" w:hAnsi="宋体" w:eastAsia="宋体"/>
                <w:color w:val="auto"/>
                <w:szCs w:val="22"/>
              </w:rPr>
            </w:pPr>
            <w:r>
              <w:rPr>
                <w:rFonts w:hint="eastAsia" w:ascii="宋体" w:hAnsi="宋体" w:eastAsia="宋体"/>
                <w:color w:val="auto"/>
                <w:szCs w:val="22"/>
              </w:rPr>
              <w:t>/</w:t>
            </w:r>
          </w:p>
        </w:tc>
        <w:tc>
          <w:tcPr>
            <w:tcW w:w="227" w:type="pct"/>
            <w:shd w:val="clear" w:color="000000" w:fill="FFFFFF"/>
            <w:noWrap/>
            <w:vAlign w:val="center"/>
          </w:tcPr>
          <w:p w14:paraId="5F20FBA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F623D56">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6D7CAA8">
            <w:pPr>
              <w:jc w:val="center"/>
              <w:rPr>
                <w:rFonts w:ascii="宋体" w:hAnsi="宋体" w:eastAsia="宋体"/>
                <w:color w:val="auto"/>
                <w:szCs w:val="22"/>
              </w:rPr>
            </w:pPr>
            <w:r>
              <w:rPr>
                <w:rFonts w:hint="eastAsia" w:ascii="宋体" w:hAnsi="宋体" w:eastAsia="宋体"/>
                <w:color w:val="auto"/>
                <w:szCs w:val="22"/>
              </w:rPr>
              <w:t>/</w:t>
            </w:r>
          </w:p>
        </w:tc>
      </w:tr>
      <w:tr w14:paraId="4E8A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44355061">
            <w:pPr>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232" w:type="pct"/>
            <w:shd w:val="clear" w:color="000000" w:fill="FFFFFF"/>
            <w:noWrap/>
            <w:vAlign w:val="center"/>
          </w:tcPr>
          <w:p w14:paraId="4C5977CC">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F55AFC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545BAB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F17D7C4">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0BD4E45">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970A5A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18ECEEE">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EA55833">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8359144">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A12B78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B18212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7BD4803">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380695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055142E">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AF3F4B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BFEE4D3">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C9D20CF">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3007AD8">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4757B8D">
            <w:pPr>
              <w:jc w:val="center"/>
              <w:rPr>
                <w:rFonts w:ascii="宋体" w:hAnsi="宋体" w:eastAsia="宋体"/>
                <w:color w:val="auto"/>
                <w:szCs w:val="22"/>
              </w:rPr>
            </w:pPr>
            <w:r>
              <w:rPr>
                <w:rFonts w:hint="eastAsia" w:ascii="宋体" w:hAnsi="宋体" w:eastAsia="宋体"/>
                <w:color w:val="auto"/>
                <w:szCs w:val="22"/>
              </w:rPr>
              <w:t>/</w:t>
            </w:r>
          </w:p>
        </w:tc>
        <w:tc>
          <w:tcPr>
            <w:tcW w:w="227" w:type="pct"/>
            <w:shd w:val="clear" w:color="000000" w:fill="FFFFFF"/>
            <w:noWrap/>
            <w:vAlign w:val="center"/>
          </w:tcPr>
          <w:p w14:paraId="2A1183DA">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CFBFB7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9E9EF32">
            <w:pPr>
              <w:jc w:val="center"/>
              <w:rPr>
                <w:rFonts w:ascii="宋体" w:hAnsi="宋体" w:eastAsia="宋体"/>
                <w:color w:val="auto"/>
                <w:szCs w:val="22"/>
              </w:rPr>
            </w:pPr>
            <w:r>
              <w:rPr>
                <w:rFonts w:hint="eastAsia" w:ascii="宋体" w:hAnsi="宋体" w:eastAsia="宋体"/>
                <w:color w:val="auto"/>
                <w:szCs w:val="22"/>
              </w:rPr>
              <w:t>/</w:t>
            </w:r>
          </w:p>
        </w:tc>
      </w:tr>
      <w:tr w14:paraId="6D9F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29C26772">
            <w:pPr>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232" w:type="pct"/>
            <w:shd w:val="clear" w:color="000000" w:fill="FFFFFF"/>
            <w:noWrap/>
            <w:vAlign w:val="center"/>
          </w:tcPr>
          <w:p w14:paraId="2207456D">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BFF253E">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644694E">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988AE8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2B9B442F">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E93973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F1BFDA7">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FDEDB30">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38BB374">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1703C16">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9BDF4C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7636502">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B26CFD9">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2B0094A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0543FFC">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B27748C">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43AEFC12">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2B0916E2">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6BF9580">
            <w:pPr>
              <w:jc w:val="center"/>
              <w:rPr>
                <w:rFonts w:ascii="宋体" w:hAnsi="宋体" w:eastAsia="宋体"/>
                <w:color w:val="auto"/>
                <w:szCs w:val="22"/>
              </w:rPr>
            </w:pPr>
            <w:r>
              <w:rPr>
                <w:rFonts w:hint="eastAsia" w:ascii="宋体" w:hAnsi="宋体" w:eastAsia="宋体"/>
                <w:color w:val="auto"/>
                <w:szCs w:val="22"/>
              </w:rPr>
              <w:t>/</w:t>
            </w:r>
          </w:p>
        </w:tc>
        <w:tc>
          <w:tcPr>
            <w:tcW w:w="227" w:type="pct"/>
            <w:shd w:val="clear" w:color="000000" w:fill="FFFFFF"/>
            <w:noWrap/>
            <w:vAlign w:val="center"/>
          </w:tcPr>
          <w:p w14:paraId="4ED70838">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2A63397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B9F6983">
            <w:pPr>
              <w:jc w:val="center"/>
              <w:rPr>
                <w:rFonts w:ascii="宋体" w:hAnsi="宋体" w:eastAsia="宋体"/>
                <w:color w:val="auto"/>
                <w:szCs w:val="22"/>
              </w:rPr>
            </w:pPr>
            <w:r>
              <w:rPr>
                <w:rFonts w:hint="eastAsia" w:ascii="宋体" w:hAnsi="宋体" w:eastAsia="宋体"/>
                <w:color w:val="auto"/>
                <w:szCs w:val="22"/>
              </w:rPr>
              <w:t>/</w:t>
            </w:r>
          </w:p>
        </w:tc>
      </w:tr>
      <w:tr w14:paraId="3B55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1C4B36A2">
            <w:pPr>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232" w:type="pct"/>
            <w:shd w:val="clear" w:color="000000" w:fill="FFFFFF"/>
            <w:noWrap/>
            <w:vAlign w:val="center"/>
          </w:tcPr>
          <w:p w14:paraId="0C7B99F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CCEDD57">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270E446C">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963B9C6">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1DAD944">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3CDD49B">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A61FC0C">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C0F4BFA">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11E273CA">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780C82D">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28C3E3D">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93C8679">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1FFA167">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26DFD744">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7452264A">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0E93D5E1">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880C8EA">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FA8B157">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65A84BDE">
            <w:pPr>
              <w:jc w:val="center"/>
              <w:rPr>
                <w:rFonts w:ascii="宋体" w:hAnsi="宋体" w:eastAsia="宋体"/>
                <w:color w:val="auto"/>
                <w:szCs w:val="22"/>
              </w:rPr>
            </w:pPr>
            <w:r>
              <w:rPr>
                <w:rFonts w:hint="eastAsia" w:ascii="宋体" w:hAnsi="宋体" w:eastAsia="宋体"/>
                <w:color w:val="auto"/>
                <w:szCs w:val="22"/>
              </w:rPr>
              <w:t>/</w:t>
            </w:r>
          </w:p>
        </w:tc>
        <w:tc>
          <w:tcPr>
            <w:tcW w:w="227" w:type="pct"/>
            <w:shd w:val="clear" w:color="000000" w:fill="FFFFFF"/>
            <w:noWrap/>
            <w:vAlign w:val="center"/>
          </w:tcPr>
          <w:p w14:paraId="047367C2">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5A60245D">
            <w:pPr>
              <w:jc w:val="center"/>
              <w:rPr>
                <w:rFonts w:ascii="宋体" w:hAnsi="宋体" w:eastAsia="宋体"/>
                <w:color w:val="auto"/>
                <w:szCs w:val="22"/>
              </w:rPr>
            </w:pPr>
            <w:r>
              <w:rPr>
                <w:rFonts w:hint="eastAsia" w:ascii="宋体" w:hAnsi="宋体" w:eastAsia="宋体"/>
                <w:color w:val="auto"/>
                <w:szCs w:val="22"/>
              </w:rPr>
              <w:t>/</w:t>
            </w:r>
          </w:p>
        </w:tc>
        <w:tc>
          <w:tcPr>
            <w:tcW w:w="217" w:type="pct"/>
            <w:shd w:val="clear" w:color="000000" w:fill="FFFFFF"/>
            <w:noWrap/>
            <w:vAlign w:val="center"/>
          </w:tcPr>
          <w:p w14:paraId="355FE80A">
            <w:pPr>
              <w:jc w:val="center"/>
              <w:rPr>
                <w:rFonts w:ascii="宋体" w:hAnsi="宋体" w:eastAsia="宋体"/>
                <w:color w:val="auto"/>
                <w:szCs w:val="22"/>
              </w:rPr>
            </w:pPr>
            <w:r>
              <w:rPr>
                <w:rFonts w:hint="eastAsia" w:ascii="宋体" w:hAnsi="宋体" w:eastAsia="宋体"/>
                <w:color w:val="auto"/>
                <w:szCs w:val="22"/>
              </w:rPr>
              <w:t>/</w:t>
            </w:r>
          </w:p>
        </w:tc>
      </w:tr>
      <w:tr w14:paraId="3B30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5F542E4D">
            <w:pPr>
              <w:jc w:val="center"/>
              <w:rPr>
                <w:rFonts w:ascii="宋体" w:hAnsi="宋体" w:eastAsia="宋体" w:cs="Times New Roman"/>
                <w:color w:val="auto"/>
              </w:rPr>
            </w:pPr>
            <w:r>
              <w:rPr>
                <w:rFonts w:ascii="宋体" w:hAnsi="宋体" w:eastAsia="宋体" w:cs="Times New Roman"/>
                <w:color w:val="auto"/>
              </w:rPr>
              <w:t>pH</w:t>
            </w:r>
          </w:p>
        </w:tc>
        <w:tc>
          <w:tcPr>
            <w:tcW w:w="232" w:type="pct"/>
            <w:shd w:val="clear" w:color="000000" w:fill="FFFFFF"/>
            <w:vAlign w:val="center"/>
          </w:tcPr>
          <w:p w14:paraId="3B811BE9">
            <w:pPr>
              <w:jc w:val="center"/>
              <w:rPr>
                <w:rFonts w:ascii="宋体" w:hAnsi="宋体" w:eastAsia="宋体" w:cs="Times New Roman"/>
                <w:color w:val="auto"/>
              </w:rPr>
            </w:pPr>
            <w:r>
              <w:rPr>
                <w:rFonts w:ascii="宋体" w:hAnsi="宋体" w:eastAsia="宋体" w:cs="Times New Roman"/>
                <w:color w:val="auto"/>
              </w:rPr>
              <w:t>0.267</w:t>
            </w:r>
          </w:p>
        </w:tc>
        <w:tc>
          <w:tcPr>
            <w:tcW w:w="217" w:type="pct"/>
            <w:shd w:val="clear" w:color="000000" w:fill="FFFFFF"/>
            <w:vAlign w:val="center"/>
          </w:tcPr>
          <w:p w14:paraId="63188E9D">
            <w:pPr>
              <w:jc w:val="center"/>
              <w:rPr>
                <w:rFonts w:ascii="宋体" w:hAnsi="宋体" w:eastAsia="宋体" w:cs="Times New Roman"/>
                <w:color w:val="auto"/>
              </w:rPr>
            </w:pPr>
            <w:r>
              <w:rPr>
                <w:rFonts w:ascii="宋体" w:hAnsi="宋体" w:eastAsia="宋体" w:cs="Times New Roman"/>
                <w:color w:val="auto"/>
              </w:rPr>
              <w:t>0.4</w:t>
            </w:r>
          </w:p>
        </w:tc>
        <w:tc>
          <w:tcPr>
            <w:tcW w:w="217" w:type="pct"/>
            <w:shd w:val="clear" w:color="000000" w:fill="FFFFFF"/>
            <w:vAlign w:val="center"/>
          </w:tcPr>
          <w:p w14:paraId="4023F620">
            <w:pPr>
              <w:jc w:val="center"/>
              <w:rPr>
                <w:rFonts w:ascii="宋体" w:hAnsi="宋体" w:eastAsia="宋体" w:cs="Times New Roman"/>
                <w:color w:val="auto"/>
              </w:rPr>
            </w:pPr>
            <w:r>
              <w:rPr>
                <w:rFonts w:ascii="宋体" w:hAnsi="宋体" w:eastAsia="宋体" w:cs="Times New Roman"/>
                <w:color w:val="auto"/>
              </w:rPr>
              <w:t>0.467</w:t>
            </w:r>
          </w:p>
        </w:tc>
        <w:tc>
          <w:tcPr>
            <w:tcW w:w="217" w:type="pct"/>
            <w:shd w:val="clear" w:color="000000" w:fill="FFFFFF"/>
            <w:vAlign w:val="center"/>
          </w:tcPr>
          <w:p w14:paraId="3EA60257">
            <w:pPr>
              <w:jc w:val="center"/>
              <w:rPr>
                <w:rFonts w:ascii="宋体" w:hAnsi="宋体" w:eastAsia="宋体" w:cs="Times New Roman"/>
                <w:color w:val="auto"/>
              </w:rPr>
            </w:pPr>
            <w:r>
              <w:rPr>
                <w:rFonts w:ascii="宋体" w:hAnsi="宋体" w:eastAsia="宋体" w:cs="Times New Roman"/>
                <w:color w:val="auto"/>
              </w:rPr>
              <w:t>0.333</w:t>
            </w:r>
          </w:p>
        </w:tc>
        <w:tc>
          <w:tcPr>
            <w:tcW w:w="217" w:type="pct"/>
            <w:shd w:val="clear" w:color="000000" w:fill="FFFFFF"/>
            <w:vAlign w:val="center"/>
          </w:tcPr>
          <w:p w14:paraId="01B49FD9">
            <w:pPr>
              <w:jc w:val="center"/>
              <w:rPr>
                <w:rFonts w:ascii="宋体" w:hAnsi="宋体" w:eastAsia="宋体" w:cs="Times New Roman"/>
                <w:color w:val="auto"/>
              </w:rPr>
            </w:pPr>
            <w:r>
              <w:rPr>
                <w:rFonts w:ascii="宋体" w:hAnsi="宋体" w:eastAsia="宋体" w:cs="Times New Roman"/>
                <w:color w:val="auto"/>
              </w:rPr>
              <w:t>0.6</w:t>
            </w:r>
          </w:p>
        </w:tc>
        <w:tc>
          <w:tcPr>
            <w:tcW w:w="217" w:type="pct"/>
            <w:shd w:val="clear" w:color="000000" w:fill="FFFFFF"/>
            <w:vAlign w:val="center"/>
          </w:tcPr>
          <w:p w14:paraId="0964EBF3">
            <w:pPr>
              <w:jc w:val="center"/>
              <w:rPr>
                <w:rFonts w:ascii="宋体" w:hAnsi="宋体" w:eastAsia="宋体" w:cs="Times New Roman"/>
                <w:color w:val="auto"/>
              </w:rPr>
            </w:pPr>
            <w:r>
              <w:rPr>
                <w:rFonts w:ascii="宋体" w:hAnsi="宋体" w:eastAsia="宋体" w:cs="Times New Roman"/>
                <w:color w:val="auto"/>
              </w:rPr>
              <w:t>0.533</w:t>
            </w:r>
          </w:p>
        </w:tc>
        <w:tc>
          <w:tcPr>
            <w:tcW w:w="217" w:type="pct"/>
            <w:shd w:val="clear" w:color="000000" w:fill="FFFFFF"/>
            <w:vAlign w:val="center"/>
          </w:tcPr>
          <w:p w14:paraId="7FBC91E2">
            <w:pPr>
              <w:jc w:val="center"/>
              <w:rPr>
                <w:rFonts w:ascii="宋体" w:hAnsi="宋体" w:eastAsia="宋体" w:cs="Times New Roman"/>
                <w:color w:val="auto"/>
              </w:rPr>
            </w:pPr>
            <w:r>
              <w:rPr>
                <w:rFonts w:ascii="宋体" w:hAnsi="宋体" w:eastAsia="宋体" w:cs="Times New Roman"/>
                <w:color w:val="auto"/>
              </w:rPr>
              <w:t>0.333</w:t>
            </w:r>
          </w:p>
        </w:tc>
        <w:tc>
          <w:tcPr>
            <w:tcW w:w="217" w:type="pct"/>
            <w:shd w:val="clear" w:color="000000" w:fill="FFFFFF"/>
            <w:vAlign w:val="center"/>
          </w:tcPr>
          <w:p w14:paraId="00357C50">
            <w:pPr>
              <w:jc w:val="center"/>
              <w:rPr>
                <w:rFonts w:ascii="宋体" w:hAnsi="宋体" w:eastAsia="宋体" w:cs="Times New Roman"/>
                <w:color w:val="auto"/>
              </w:rPr>
            </w:pPr>
            <w:r>
              <w:rPr>
                <w:rFonts w:ascii="宋体" w:hAnsi="宋体" w:eastAsia="宋体" w:cs="Times New Roman"/>
                <w:color w:val="auto"/>
              </w:rPr>
              <w:t>0.467</w:t>
            </w:r>
          </w:p>
        </w:tc>
        <w:tc>
          <w:tcPr>
            <w:tcW w:w="217" w:type="pct"/>
            <w:shd w:val="clear" w:color="000000" w:fill="FFFFFF"/>
            <w:vAlign w:val="center"/>
          </w:tcPr>
          <w:p w14:paraId="1EEEBEF0">
            <w:pPr>
              <w:jc w:val="center"/>
              <w:rPr>
                <w:rFonts w:ascii="宋体" w:hAnsi="宋体" w:eastAsia="宋体" w:cs="Times New Roman"/>
                <w:color w:val="auto"/>
              </w:rPr>
            </w:pPr>
            <w:r>
              <w:rPr>
                <w:rFonts w:ascii="宋体" w:hAnsi="宋体" w:eastAsia="宋体" w:cs="Times New Roman"/>
                <w:color w:val="auto"/>
              </w:rPr>
              <w:t>0.533</w:t>
            </w:r>
          </w:p>
        </w:tc>
        <w:tc>
          <w:tcPr>
            <w:tcW w:w="217" w:type="pct"/>
            <w:shd w:val="clear" w:color="000000" w:fill="FFFFFF"/>
            <w:vAlign w:val="center"/>
          </w:tcPr>
          <w:p w14:paraId="481FC7AB">
            <w:pPr>
              <w:jc w:val="center"/>
              <w:rPr>
                <w:rFonts w:ascii="宋体" w:hAnsi="宋体" w:eastAsia="宋体" w:cs="Times New Roman"/>
                <w:color w:val="auto"/>
              </w:rPr>
            </w:pPr>
            <w:r>
              <w:rPr>
                <w:rFonts w:ascii="宋体" w:hAnsi="宋体" w:eastAsia="宋体" w:cs="Times New Roman"/>
                <w:color w:val="auto"/>
              </w:rPr>
              <w:t>0.4</w:t>
            </w:r>
          </w:p>
        </w:tc>
        <w:tc>
          <w:tcPr>
            <w:tcW w:w="217" w:type="pct"/>
            <w:shd w:val="clear" w:color="000000" w:fill="FFFFFF"/>
            <w:vAlign w:val="center"/>
          </w:tcPr>
          <w:p w14:paraId="063BC21E">
            <w:pPr>
              <w:jc w:val="center"/>
              <w:rPr>
                <w:rFonts w:ascii="宋体" w:hAnsi="宋体" w:eastAsia="宋体" w:cs="Times New Roman"/>
                <w:color w:val="auto"/>
              </w:rPr>
            </w:pPr>
            <w:r>
              <w:rPr>
                <w:rFonts w:ascii="宋体" w:hAnsi="宋体" w:eastAsia="宋体" w:cs="Times New Roman"/>
                <w:color w:val="auto"/>
              </w:rPr>
              <w:t>0.467</w:t>
            </w:r>
          </w:p>
        </w:tc>
        <w:tc>
          <w:tcPr>
            <w:tcW w:w="217" w:type="pct"/>
            <w:shd w:val="clear" w:color="000000" w:fill="FFFFFF"/>
            <w:vAlign w:val="center"/>
          </w:tcPr>
          <w:p w14:paraId="3D92A7F4">
            <w:pPr>
              <w:jc w:val="center"/>
              <w:rPr>
                <w:rFonts w:ascii="宋体" w:hAnsi="宋体" w:eastAsia="宋体" w:cs="Times New Roman"/>
                <w:color w:val="auto"/>
              </w:rPr>
            </w:pPr>
            <w:r>
              <w:rPr>
                <w:rFonts w:ascii="宋体" w:hAnsi="宋体" w:eastAsia="宋体" w:cs="Times New Roman"/>
                <w:color w:val="auto"/>
              </w:rPr>
              <w:t>0.4</w:t>
            </w:r>
          </w:p>
        </w:tc>
        <w:tc>
          <w:tcPr>
            <w:tcW w:w="217" w:type="pct"/>
            <w:shd w:val="clear" w:color="000000" w:fill="FFFFFF"/>
            <w:vAlign w:val="center"/>
          </w:tcPr>
          <w:p w14:paraId="3E42182D">
            <w:pPr>
              <w:jc w:val="center"/>
              <w:rPr>
                <w:rFonts w:ascii="宋体" w:hAnsi="宋体" w:eastAsia="宋体" w:cs="Times New Roman"/>
                <w:color w:val="auto"/>
              </w:rPr>
            </w:pPr>
            <w:r>
              <w:rPr>
                <w:rFonts w:ascii="宋体" w:hAnsi="宋体" w:eastAsia="宋体" w:cs="Times New Roman"/>
                <w:color w:val="auto"/>
              </w:rPr>
              <w:t>0.333</w:t>
            </w:r>
          </w:p>
        </w:tc>
        <w:tc>
          <w:tcPr>
            <w:tcW w:w="217" w:type="pct"/>
            <w:shd w:val="clear" w:color="000000" w:fill="FFFFFF"/>
            <w:vAlign w:val="center"/>
          </w:tcPr>
          <w:p w14:paraId="08A65CB4">
            <w:pPr>
              <w:jc w:val="center"/>
              <w:rPr>
                <w:rFonts w:ascii="宋体" w:hAnsi="宋体" w:eastAsia="宋体" w:cs="Times New Roman"/>
                <w:color w:val="auto"/>
              </w:rPr>
            </w:pPr>
            <w:r>
              <w:rPr>
                <w:rFonts w:ascii="宋体" w:hAnsi="宋体" w:eastAsia="宋体" w:cs="Times New Roman"/>
                <w:color w:val="auto"/>
              </w:rPr>
              <w:t>0.4</w:t>
            </w:r>
          </w:p>
        </w:tc>
        <w:tc>
          <w:tcPr>
            <w:tcW w:w="217" w:type="pct"/>
            <w:shd w:val="clear" w:color="000000" w:fill="FFFFFF"/>
            <w:vAlign w:val="center"/>
          </w:tcPr>
          <w:p w14:paraId="713F1D82">
            <w:pPr>
              <w:jc w:val="center"/>
              <w:rPr>
                <w:rFonts w:ascii="宋体" w:hAnsi="宋体" w:eastAsia="宋体" w:cs="Times New Roman"/>
                <w:color w:val="auto"/>
              </w:rPr>
            </w:pPr>
            <w:r>
              <w:rPr>
                <w:rFonts w:ascii="宋体" w:hAnsi="宋体" w:eastAsia="宋体" w:cs="Times New Roman"/>
                <w:color w:val="auto"/>
              </w:rPr>
              <w:t>0.467</w:t>
            </w:r>
          </w:p>
        </w:tc>
        <w:tc>
          <w:tcPr>
            <w:tcW w:w="217" w:type="pct"/>
            <w:shd w:val="clear" w:color="000000" w:fill="FFFFFF"/>
            <w:vAlign w:val="center"/>
          </w:tcPr>
          <w:p w14:paraId="1D5C064E">
            <w:pPr>
              <w:jc w:val="center"/>
              <w:rPr>
                <w:rFonts w:ascii="宋体" w:hAnsi="宋体" w:eastAsia="宋体" w:cs="Times New Roman"/>
                <w:color w:val="auto"/>
              </w:rPr>
            </w:pPr>
            <w:r>
              <w:rPr>
                <w:rFonts w:ascii="宋体" w:hAnsi="宋体" w:eastAsia="宋体" w:cs="Times New Roman"/>
                <w:color w:val="auto"/>
              </w:rPr>
              <w:t>0.333</w:t>
            </w:r>
          </w:p>
        </w:tc>
        <w:tc>
          <w:tcPr>
            <w:tcW w:w="217" w:type="pct"/>
            <w:shd w:val="clear" w:color="000000" w:fill="FFFFFF"/>
            <w:noWrap/>
            <w:vAlign w:val="center"/>
          </w:tcPr>
          <w:p w14:paraId="6E6A9E66">
            <w:pPr>
              <w:jc w:val="center"/>
              <w:rPr>
                <w:rFonts w:ascii="宋体" w:hAnsi="宋体" w:eastAsia="宋体"/>
                <w:color w:val="auto"/>
                <w:szCs w:val="22"/>
              </w:rPr>
            </w:pPr>
            <w:r>
              <w:rPr>
                <w:rFonts w:hint="eastAsia" w:ascii="宋体" w:hAnsi="宋体" w:eastAsia="宋体"/>
                <w:color w:val="auto"/>
                <w:szCs w:val="22"/>
              </w:rPr>
              <w:t>0.6</w:t>
            </w:r>
          </w:p>
        </w:tc>
        <w:tc>
          <w:tcPr>
            <w:tcW w:w="217" w:type="pct"/>
            <w:shd w:val="clear" w:color="000000" w:fill="FFFFFF"/>
            <w:noWrap/>
            <w:vAlign w:val="center"/>
          </w:tcPr>
          <w:p w14:paraId="0B4B9483">
            <w:pPr>
              <w:jc w:val="center"/>
              <w:rPr>
                <w:rFonts w:ascii="宋体" w:hAnsi="宋体" w:eastAsia="宋体"/>
                <w:color w:val="auto"/>
                <w:szCs w:val="22"/>
              </w:rPr>
            </w:pPr>
            <w:r>
              <w:rPr>
                <w:rFonts w:hint="eastAsia" w:ascii="宋体" w:hAnsi="宋体" w:eastAsia="宋体"/>
                <w:color w:val="auto"/>
                <w:szCs w:val="22"/>
              </w:rPr>
              <w:t>0.267</w:t>
            </w:r>
          </w:p>
        </w:tc>
        <w:tc>
          <w:tcPr>
            <w:tcW w:w="217" w:type="pct"/>
            <w:shd w:val="clear" w:color="000000" w:fill="FFFFFF"/>
            <w:noWrap/>
            <w:vAlign w:val="center"/>
          </w:tcPr>
          <w:p w14:paraId="6D8D16F7">
            <w:pPr>
              <w:jc w:val="center"/>
              <w:rPr>
                <w:rFonts w:ascii="宋体" w:hAnsi="宋体" w:eastAsia="宋体"/>
                <w:color w:val="auto"/>
                <w:szCs w:val="22"/>
              </w:rPr>
            </w:pPr>
            <w:r>
              <w:rPr>
                <w:rFonts w:hint="eastAsia" w:ascii="宋体" w:hAnsi="宋体" w:eastAsia="宋体"/>
                <w:color w:val="auto"/>
                <w:szCs w:val="22"/>
              </w:rPr>
              <w:t>0.087</w:t>
            </w:r>
          </w:p>
        </w:tc>
        <w:tc>
          <w:tcPr>
            <w:tcW w:w="227" w:type="pct"/>
            <w:shd w:val="clear" w:color="000000" w:fill="FFFFFF"/>
            <w:noWrap/>
            <w:vAlign w:val="center"/>
          </w:tcPr>
          <w:p w14:paraId="58B6F678">
            <w:pPr>
              <w:jc w:val="center"/>
              <w:rPr>
                <w:rFonts w:ascii="宋体" w:hAnsi="宋体" w:eastAsia="宋体"/>
                <w:color w:val="auto"/>
                <w:szCs w:val="22"/>
              </w:rPr>
            </w:pPr>
            <w:r>
              <w:rPr>
                <w:rFonts w:hint="eastAsia" w:ascii="宋体" w:hAnsi="宋体" w:eastAsia="宋体"/>
                <w:color w:val="auto"/>
                <w:szCs w:val="22"/>
              </w:rPr>
              <w:t>0.42</w:t>
            </w:r>
          </w:p>
        </w:tc>
        <w:tc>
          <w:tcPr>
            <w:tcW w:w="217" w:type="pct"/>
            <w:shd w:val="clear" w:color="000000" w:fill="FFFFFF"/>
            <w:noWrap/>
            <w:vAlign w:val="center"/>
          </w:tcPr>
          <w:p w14:paraId="7E1A336E">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4E33FAFF">
            <w:pPr>
              <w:jc w:val="center"/>
              <w:rPr>
                <w:rFonts w:ascii="宋体" w:hAnsi="宋体" w:eastAsia="宋体"/>
                <w:color w:val="auto"/>
                <w:szCs w:val="22"/>
              </w:rPr>
            </w:pPr>
            <w:r>
              <w:rPr>
                <w:rFonts w:hint="eastAsia" w:ascii="宋体" w:hAnsi="宋体" w:eastAsia="宋体"/>
                <w:color w:val="auto"/>
                <w:szCs w:val="22"/>
              </w:rPr>
              <w:t>0</w:t>
            </w:r>
          </w:p>
        </w:tc>
      </w:tr>
      <w:tr w14:paraId="73A3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340" w:hRule="atLeast"/>
        </w:trPr>
        <w:tc>
          <w:tcPr>
            <w:tcW w:w="202" w:type="pct"/>
            <w:shd w:val="clear" w:color="000000" w:fill="FFFFFF"/>
            <w:vAlign w:val="center"/>
          </w:tcPr>
          <w:p w14:paraId="5D61B482">
            <w:pPr>
              <w:jc w:val="center"/>
              <w:rPr>
                <w:rFonts w:ascii="宋体" w:hAnsi="宋体" w:eastAsia="宋体"/>
                <w:color w:val="auto"/>
              </w:rPr>
            </w:pPr>
            <w:r>
              <w:rPr>
                <w:rFonts w:hint="eastAsia" w:ascii="宋体" w:hAnsi="宋体" w:eastAsia="宋体"/>
                <w:color w:val="auto"/>
              </w:rPr>
              <w:t>总硬度（以CaCO</w:t>
            </w:r>
            <w:r>
              <w:rPr>
                <w:rFonts w:hint="eastAsia" w:ascii="宋体" w:hAnsi="宋体" w:eastAsia="宋体"/>
                <w:color w:val="auto"/>
                <w:vertAlign w:val="subscript"/>
              </w:rPr>
              <w:t>3</w:t>
            </w:r>
            <w:r>
              <w:rPr>
                <w:rFonts w:hint="eastAsia" w:ascii="宋体" w:hAnsi="宋体" w:eastAsia="宋体"/>
                <w:color w:val="auto"/>
              </w:rPr>
              <w:t>计）</w:t>
            </w:r>
          </w:p>
        </w:tc>
        <w:tc>
          <w:tcPr>
            <w:tcW w:w="232" w:type="pct"/>
            <w:shd w:val="clear" w:color="000000" w:fill="FFFFFF"/>
            <w:vAlign w:val="center"/>
          </w:tcPr>
          <w:p w14:paraId="0856C91B">
            <w:pPr>
              <w:jc w:val="center"/>
              <w:rPr>
                <w:rFonts w:ascii="宋体" w:hAnsi="宋体" w:eastAsia="宋体" w:cs="Times New Roman"/>
                <w:color w:val="auto"/>
              </w:rPr>
            </w:pPr>
            <w:r>
              <w:rPr>
                <w:rFonts w:ascii="宋体" w:hAnsi="宋体" w:eastAsia="宋体" w:cs="Times New Roman"/>
                <w:color w:val="auto"/>
              </w:rPr>
              <w:t>0.333</w:t>
            </w:r>
          </w:p>
        </w:tc>
        <w:tc>
          <w:tcPr>
            <w:tcW w:w="217" w:type="pct"/>
            <w:shd w:val="clear" w:color="000000" w:fill="FFFFFF"/>
            <w:vAlign w:val="center"/>
          </w:tcPr>
          <w:p w14:paraId="046DB72D">
            <w:pPr>
              <w:jc w:val="center"/>
              <w:rPr>
                <w:rFonts w:ascii="宋体" w:hAnsi="宋体" w:eastAsia="宋体" w:cs="Times New Roman"/>
                <w:color w:val="auto"/>
              </w:rPr>
            </w:pPr>
            <w:r>
              <w:rPr>
                <w:rFonts w:ascii="宋体" w:hAnsi="宋体" w:eastAsia="宋体" w:cs="Times New Roman"/>
                <w:color w:val="auto"/>
              </w:rPr>
              <w:t>0.373</w:t>
            </w:r>
          </w:p>
        </w:tc>
        <w:tc>
          <w:tcPr>
            <w:tcW w:w="217" w:type="pct"/>
            <w:shd w:val="clear" w:color="000000" w:fill="FFFFFF"/>
            <w:vAlign w:val="center"/>
          </w:tcPr>
          <w:p w14:paraId="0018ECD4">
            <w:pPr>
              <w:jc w:val="center"/>
              <w:rPr>
                <w:rFonts w:ascii="宋体" w:hAnsi="宋体" w:eastAsia="宋体" w:cs="Times New Roman"/>
                <w:color w:val="auto"/>
              </w:rPr>
            </w:pPr>
            <w:r>
              <w:rPr>
                <w:rFonts w:ascii="宋体" w:hAnsi="宋体" w:eastAsia="宋体" w:cs="Times New Roman"/>
                <w:color w:val="auto"/>
              </w:rPr>
              <w:t>0.373</w:t>
            </w:r>
          </w:p>
        </w:tc>
        <w:tc>
          <w:tcPr>
            <w:tcW w:w="217" w:type="pct"/>
            <w:shd w:val="clear" w:color="000000" w:fill="FFFFFF"/>
            <w:vAlign w:val="center"/>
          </w:tcPr>
          <w:p w14:paraId="57422C53">
            <w:pPr>
              <w:jc w:val="center"/>
              <w:rPr>
                <w:rFonts w:ascii="宋体" w:hAnsi="宋体" w:eastAsia="宋体" w:cs="Times New Roman"/>
                <w:color w:val="auto"/>
              </w:rPr>
            </w:pPr>
            <w:r>
              <w:rPr>
                <w:rFonts w:ascii="宋体" w:hAnsi="宋体" w:eastAsia="宋体" w:cs="Times New Roman"/>
                <w:color w:val="auto"/>
              </w:rPr>
              <w:t>0.353</w:t>
            </w:r>
          </w:p>
        </w:tc>
        <w:tc>
          <w:tcPr>
            <w:tcW w:w="217" w:type="pct"/>
            <w:shd w:val="clear" w:color="000000" w:fill="FFFFFF"/>
            <w:vAlign w:val="center"/>
          </w:tcPr>
          <w:p w14:paraId="20AB458C">
            <w:pPr>
              <w:jc w:val="center"/>
              <w:rPr>
                <w:rFonts w:ascii="宋体" w:hAnsi="宋体" w:eastAsia="宋体" w:cs="Times New Roman"/>
                <w:color w:val="auto"/>
              </w:rPr>
            </w:pPr>
            <w:r>
              <w:rPr>
                <w:rFonts w:ascii="宋体" w:hAnsi="宋体" w:eastAsia="宋体" w:cs="Times New Roman"/>
                <w:color w:val="auto"/>
              </w:rPr>
              <w:t>0.347</w:t>
            </w:r>
          </w:p>
        </w:tc>
        <w:tc>
          <w:tcPr>
            <w:tcW w:w="217" w:type="pct"/>
            <w:shd w:val="clear" w:color="000000" w:fill="FFFFFF"/>
            <w:vAlign w:val="center"/>
          </w:tcPr>
          <w:p w14:paraId="6597C15B">
            <w:pPr>
              <w:jc w:val="center"/>
              <w:rPr>
                <w:rFonts w:ascii="宋体" w:hAnsi="宋体" w:eastAsia="宋体" w:cs="Times New Roman"/>
                <w:color w:val="auto"/>
              </w:rPr>
            </w:pPr>
            <w:r>
              <w:rPr>
                <w:rFonts w:ascii="宋体" w:hAnsi="宋体" w:eastAsia="宋体" w:cs="Times New Roman"/>
                <w:color w:val="auto"/>
              </w:rPr>
              <w:t>0.276</w:t>
            </w:r>
          </w:p>
        </w:tc>
        <w:tc>
          <w:tcPr>
            <w:tcW w:w="217" w:type="pct"/>
            <w:shd w:val="clear" w:color="000000" w:fill="FFFFFF"/>
            <w:vAlign w:val="center"/>
          </w:tcPr>
          <w:p w14:paraId="09E1B46D">
            <w:pPr>
              <w:jc w:val="center"/>
              <w:rPr>
                <w:rFonts w:ascii="宋体" w:hAnsi="宋体" w:eastAsia="宋体" w:cs="Times New Roman"/>
                <w:color w:val="auto"/>
              </w:rPr>
            </w:pPr>
            <w:r>
              <w:rPr>
                <w:rFonts w:ascii="宋体" w:hAnsi="宋体" w:eastAsia="宋体" w:cs="Times New Roman"/>
                <w:color w:val="auto"/>
              </w:rPr>
              <w:t>0.253</w:t>
            </w:r>
          </w:p>
        </w:tc>
        <w:tc>
          <w:tcPr>
            <w:tcW w:w="217" w:type="pct"/>
            <w:shd w:val="clear" w:color="000000" w:fill="FFFFFF"/>
            <w:vAlign w:val="center"/>
          </w:tcPr>
          <w:p w14:paraId="32D37072">
            <w:pPr>
              <w:jc w:val="center"/>
              <w:rPr>
                <w:rFonts w:ascii="宋体" w:hAnsi="宋体" w:eastAsia="宋体" w:cs="Times New Roman"/>
                <w:color w:val="auto"/>
              </w:rPr>
            </w:pPr>
            <w:r>
              <w:rPr>
                <w:rFonts w:ascii="宋体" w:hAnsi="宋体" w:eastAsia="宋体" w:cs="Times New Roman"/>
                <w:color w:val="auto"/>
              </w:rPr>
              <w:t>0.349</w:t>
            </w:r>
          </w:p>
        </w:tc>
        <w:tc>
          <w:tcPr>
            <w:tcW w:w="217" w:type="pct"/>
            <w:shd w:val="clear" w:color="000000" w:fill="FFFFFF"/>
            <w:vAlign w:val="center"/>
          </w:tcPr>
          <w:p w14:paraId="748D9DC0">
            <w:pPr>
              <w:jc w:val="center"/>
              <w:rPr>
                <w:rFonts w:ascii="宋体" w:hAnsi="宋体" w:eastAsia="宋体" w:cs="Times New Roman"/>
                <w:color w:val="auto"/>
              </w:rPr>
            </w:pPr>
            <w:r>
              <w:rPr>
                <w:rFonts w:ascii="宋体" w:hAnsi="宋体" w:eastAsia="宋体" w:cs="Times New Roman"/>
                <w:color w:val="auto"/>
              </w:rPr>
              <w:t>0.311</w:t>
            </w:r>
          </w:p>
        </w:tc>
        <w:tc>
          <w:tcPr>
            <w:tcW w:w="217" w:type="pct"/>
            <w:shd w:val="clear" w:color="000000" w:fill="FFFFFF"/>
            <w:vAlign w:val="center"/>
          </w:tcPr>
          <w:p w14:paraId="77E9D4DE">
            <w:pPr>
              <w:jc w:val="center"/>
              <w:rPr>
                <w:rFonts w:ascii="宋体" w:hAnsi="宋体" w:eastAsia="宋体" w:cs="Times New Roman"/>
                <w:color w:val="auto"/>
              </w:rPr>
            </w:pPr>
            <w:r>
              <w:rPr>
                <w:rFonts w:ascii="宋体" w:hAnsi="宋体" w:eastAsia="宋体" w:cs="Times New Roman"/>
                <w:color w:val="auto"/>
              </w:rPr>
              <w:t>0.393</w:t>
            </w:r>
          </w:p>
        </w:tc>
        <w:tc>
          <w:tcPr>
            <w:tcW w:w="217" w:type="pct"/>
            <w:shd w:val="clear" w:color="000000" w:fill="FFFFFF"/>
            <w:vAlign w:val="center"/>
          </w:tcPr>
          <w:p w14:paraId="60984E3E">
            <w:pPr>
              <w:jc w:val="center"/>
              <w:rPr>
                <w:rFonts w:ascii="宋体" w:hAnsi="宋体" w:eastAsia="宋体" w:cs="Times New Roman"/>
                <w:color w:val="auto"/>
              </w:rPr>
            </w:pPr>
            <w:r>
              <w:rPr>
                <w:rFonts w:ascii="宋体" w:hAnsi="宋体" w:eastAsia="宋体" w:cs="Times New Roman"/>
                <w:color w:val="auto"/>
              </w:rPr>
              <w:t>0.364</w:t>
            </w:r>
          </w:p>
        </w:tc>
        <w:tc>
          <w:tcPr>
            <w:tcW w:w="217" w:type="pct"/>
            <w:shd w:val="clear" w:color="000000" w:fill="FFFFFF"/>
            <w:vAlign w:val="center"/>
          </w:tcPr>
          <w:p w14:paraId="4DFE9BA1">
            <w:pPr>
              <w:jc w:val="center"/>
              <w:rPr>
                <w:rFonts w:ascii="宋体" w:hAnsi="宋体" w:eastAsia="宋体" w:cs="Times New Roman"/>
                <w:color w:val="auto"/>
              </w:rPr>
            </w:pPr>
            <w:r>
              <w:rPr>
                <w:rFonts w:ascii="宋体" w:hAnsi="宋体" w:eastAsia="宋体" w:cs="Times New Roman"/>
                <w:color w:val="auto"/>
              </w:rPr>
              <w:t>0.316</w:t>
            </w:r>
          </w:p>
        </w:tc>
        <w:tc>
          <w:tcPr>
            <w:tcW w:w="217" w:type="pct"/>
            <w:shd w:val="clear" w:color="000000" w:fill="FFFFFF"/>
            <w:vAlign w:val="center"/>
          </w:tcPr>
          <w:p w14:paraId="3BA55A09">
            <w:pPr>
              <w:jc w:val="center"/>
              <w:rPr>
                <w:rFonts w:ascii="宋体" w:hAnsi="宋体" w:eastAsia="宋体" w:cs="Times New Roman"/>
                <w:color w:val="auto"/>
              </w:rPr>
            </w:pPr>
            <w:r>
              <w:rPr>
                <w:rFonts w:ascii="宋体" w:hAnsi="宋体" w:eastAsia="宋体" w:cs="Times New Roman"/>
                <w:color w:val="auto"/>
              </w:rPr>
              <w:t>0.256</w:t>
            </w:r>
          </w:p>
        </w:tc>
        <w:tc>
          <w:tcPr>
            <w:tcW w:w="217" w:type="pct"/>
            <w:shd w:val="clear" w:color="000000" w:fill="FFFFFF"/>
            <w:vAlign w:val="center"/>
          </w:tcPr>
          <w:p w14:paraId="517BF059">
            <w:pPr>
              <w:jc w:val="center"/>
              <w:rPr>
                <w:rFonts w:ascii="宋体" w:hAnsi="宋体" w:eastAsia="宋体" w:cs="Times New Roman"/>
                <w:color w:val="auto"/>
              </w:rPr>
            </w:pPr>
            <w:r>
              <w:rPr>
                <w:rFonts w:ascii="宋体" w:hAnsi="宋体" w:eastAsia="宋体" w:cs="Times New Roman"/>
                <w:color w:val="auto"/>
              </w:rPr>
              <w:t>0.233</w:t>
            </w:r>
          </w:p>
        </w:tc>
        <w:tc>
          <w:tcPr>
            <w:tcW w:w="217" w:type="pct"/>
            <w:shd w:val="clear" w:color="000000" w:fill="FFFFFF"/>
            <w:vAlign w:val="center"/>
          </w:tcPr>
          <w:p w14:paraId="1AC06173">
            <w:pPr>
              <w:jc w:val="center"/>
              <w:rPr>
                <w:rFonts w:ascii="宋体" w:hAnsi="宋体" w:eastAsia="宋体" w:cs="Times New Roman"/>
                <w:color w:val="auto"/>
              </w:rPr>
            </w:pPr>
            <w:r>
              <w:rPr>
                <w:rFonts w:ascii="宋体" w:hAnsi="宋体" w:eastAsia="宋体" w:cs="Times New Roman"/>
                <w:color w:val="auto"/>
              </w:rPr>
              <w:t>0.351</w:t>
            </w:r>
          </w:p>
        </w:tc>
        <w:tc>
          <w:tcPr>
            <w:tcW w:w="217" w:type="pct"/>
            <w:shd w:val="clear" w:color="000000" w:fill="FFFFFF"/>
            <w:vAlign w:val="center"/>
          </w:tcPr>
          <w:p w14:paraId="61672775">
            <w:pPr>
              <w:jc w:val="center"/>
              <w:rPr>
                <w:rFonts w:ascii="宋体" w:hAnsi="宋体" w:eastAsia="宋体" w:cs="Times New Roman"/>
                <w:color w:val="auto"/>
              </w:rPr>
            </w:pPr>
            <w:r>
              <w:rPr>
                <w:rFonts w:ascii="宋体" w:hAnsi="宋体" w:eastAsia="宋体" w:cs="Times New Roman"/>
                <w:color w:val="auto"/>
              </w:rPr>
              <w:t>0.227</w:t>
            </w:r>
          </w:p>
        </w:tc>
        <w:tc>
          <w:tcPr>
            <w:tcW w:w="217" w:type="pct"/>
            <w:shd w:val="clear" w:color="000000" w:fill="FFFFFF"/>
            <w:noWrap/>
            <w:vAlign w:val="center"/>
          </w:tcPr>
          <w:p w14:paraId="4D619390">
            <w:pPr>
              <w:jc w:val="center"/>
              <w:rPr>
                <w:rFonts w:ascii="宋体" w:hAnsi="宋体" w:eastAsia="宋体"/>
                <w:color w:val="auto"/>
                <w:szCs w:val="22"/>
              </w:rPr>
            </w:pPr>
            <w:r>
              <w:rPr>
                <w:rFonts w:hint="eastAsia" w:ascii="宋体" w:hAnsi="宋体" w:eastAsia="宋体"/>
                <w:color w:val="auto"/>
                <w:szCs w:val="22"/>
              </w:rPr>
              <w:t>0.393</w:t>
            </w:r>
          </w:p>
        </w:tc>
        <w:tc>
          <w:tcPr>
            <w:tcW w:w="217" w:type="pct"/>
            <w:shd w:val="clear" w:color="000000" w:fill="FFFFFF"/>
            <w:noWrap/>
            <w:vAlign w:val="center"/>
          </w:tcPr>
          <w:p w14:paraId="3366CFE8">
            <w:pPr>
              <w:jc w:val="center"/>
              <w:rPr>
                <w:rFonts w:ascii="宋体" w:hAnsi="宋体" w:eastAsia="宋体"/>
                <w:color w:val="auto"/>
                <w:szCs w:val="22"/>
              </w:rPr>
            </w:pPr>
            <w:r>
              <w:rPr>
                <w:rFonts w:hint="eastAsia" w:ascii="宋体" w:hAnsi="宋体" w:eastAsia="宋体"/>
                <w:color w:val="auto"/>
                <w:szCs w:val="22"/>
              </w:rPr>
              <w:t>0.227</w:t>
            </w:r>
          </w:p>
        </w:tc>
        <w:tc>
          <w:tcPr>
            <w:tcW w:w="217" w:type="pct"/>
            <w:shd w:val="clear" w:color="000000" w:fill="FFFFFF"/>
            <w:noWrap/>
            <w:vAlign w:val="center"/>
          </w:tcPr>
          <w:p w14:paraId="0A42D3E5">
            <w:pPr>
              <w:jc w:val="center"/>
              <w:rPr>
                <w:rFonts w:ascii="宋体" w:hAnsi="宋体" w:eastAsia="宋体"/>
                <w:color w:val="auto"/>
                <w:szCs w:val="22"/>
              </w:rPr>
            </w:pPr>
            <w:r>
              <w:rPr>
                <w:rFonts w:hint="eastAsia" w:ascii="宋体" w:hAnsi="宋体" w:eastAsia="宋体"/>
                <w:color w:val="auto"/>
                <w:szCs w:val="22"/>
              </w:rPr>
              <w:t>0.052</w:t>
            </w:r>
          </w:p>
        </w:tc>
        <w:tc>
          <w:tcPr>
            <w:tcW w:w="227" w:type="pct"/>
            <w:shd w:val="clear" w:color="000000" w:fill="FFFFFF"/>
            <w:noWrap/>
            <w:vAlign w:val="center"/>
          </w:tcPr>
          <w:p w14:paraId="40C7BF26">
            <w:pPr>
              <w:jc w:val="center"/>
              <w:rPr>
                <w:rFonts w:ascii="宋体" w:hAnsi="宋体" w:eastAsia="宋体"/>
                <w:color w:val="auto"/>
                <w:szCs w:val="22"/>
              </w:rPr>
            </w:pPr>
            <w:r>
              <w:rPr>
                <w:rFonts w:hint="eastAsia" w:ascii="宋体" w:hAnsi="宋体" w:eastAsia="宋体"/>
                <w:color w:val="auto"/>
                <w:szCs w:val="22"/>
              </w:rPr>
              <w:t>0.319</w:t>
            </w:r>
          </w:p>
        </w:tc>
        <w:tc>
          <w:tcPr>
            <w:tcW w:w="217" w:type="pct"/>
            <w:shd w:val="clear" w:color="000000" w:fill="FFFFFF"/>
            <w:noWrap/>
            <w:vAlign w:val="center"/>
          </w:tcPr>
          <w:p w14:paraId="49FCEF2B">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077020B6">
            <w:pPr>
              <w:jc w:val="center"/>
              <w:rPr>
                <w:rFonts w:ascii="宋体" w:hAnsi="宋体" w:eastAsia="宋体"/>
                <w:color w:val="auto"/>
                <w:szCs w:val="22"/>
              </w:rPr>
            </w:pPr>
            <w:r>
              <w:rPr>
                <w:rFonts w:hint="eastAsia" w:ascii="宋体" w:hAnsi="宋体" w:eastAsia="宋体"/>
                <w:color w:val="auto"/>
                <w:szCs w:val="22"/>
              </w:rPr>
              <w:t>0</w:t>
            </w:r>
          </w:p>
        </w:tc>
      </w:tr>
      <w:tr w14:paraId="61F4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67A3FE3D">
            <w:pPr>
              <w:jc w:val="center"/>
              <w:rPr>
                <w:rFonts w:ascii="宋体" w:hAnsi="宋体" w:eastAsia="宋体"/>
                <w:color w:val="auto"/>
              </w:rPr>
            </w:pPr>
            <w:r>
              <w:rPr>
                <w:rFonts w:hint="eastAsia" w:ascii="宋体" w:hAnsi="宋体" w:eastAsia="宋体"/>
                <w:color w:val="auto"/>
              </w:rPr>
              <w:t>溶解性总固体</w:t>
            </w:r>
          </w:p>
        </w:tc>
        <w:tc>
          <w:tcPr>
            <w:tcW w:w="232" w:type="pct"/>
            <w:shd w:val="clear" w:color="000000" w:fill="FFFFFF"/>
            <w:vAlign w:val="center"/>
          </w:tcPr>
          <w:p w14:paraId="195D6A11">
            <w:pPr>
              <w:jc w:val="center"/>
              <w:rPr>
                <w:rFonts w:ascii="宋体" w:hAnsi="宋体" w:eastAsia="宋体" w:cs="Times New Roman"/>
                <w:color w:val="auto"/>
              </w:rPr>
            </w:pPr>
            <w:r>
              <w:rPr>
                <w:rFonts w:ascii="宋体" w:hAnsi="宋体" w:eastAsia="宋体" w:cs="Times New Roman"/>
                <w:color w:val="auto"/>
              </w:rPr>
              <w:t>0.48</w:t>
            </w:r>
          </w:p>
        </w:tc>
        <w:tc>
          <w:tcPr>
            <w:tcW w:w="217" w:type="pct"/>
            <w:shd w:val="clear" w:color="000000" w:fill="FFFFFF"/>
            <w:vAlign w:val="center"/>
          </w:tcPr>
          <w:p w14:paraId="2FBAC3FA">
            <w:pPr>
              <w:jc w:val="center"/>
              <w:rPr>
                <w:rFonts w:ascii="宋体" w:hAnsi="宋体" w:eastAsia="宋体" w:cs="Times New Roman"/>
                <w:color w:val="auto"/>
              </w:rPr>
            </w:pPr>
            <w:r>
              <w:rPr>
                <w:rFonts w:ascii="宋体" w:hAnsi="宋体" w:eastAsia="宋体" w:cs="Times New Roman"/>
                <w:color w:val="auto"/>
              </w:rPr>
              <w:t>0.54</w:t>
            </w:r>
          </w:p>
        </w:tc>
        <w:tc>
          <w:tcPr>
            <w:tcW w:w="217" w:type="pct"/>
            <w:shd w:val="clear" w:color="000000" w:fill="FFFFFF"/>
            <w:vAlign w:val="center"/>
          </w:tcPr>
          <w:p w14:paraId="2AFD1155">
            <w:pPr>
              <w:jc w:val="center"/>
              <w:rPr>
                <w:rFonts w:ascii="宋体" w:hAnsi="宋体" w:eastAsia="宋体" w:cs="Times New Roman"/>
                <w:color w:val="auto"/>
              </w:rPr>
            </w:pPr>
            <w:r>
              <w:rPr>
                <w:rFonts w:ascii="宋体" w:hAnsi="宋体" w:eastAsia="宋体" w:cs="Times New Roman"/>
                <w:color w:val="auto"/>
              </w:rPr>
              <w:t>0.541</w:t>
            </w:r>
          </w:p>
        </w:tc>
        <w:tc>
          <w:tcPr>
            <w:tcW w:w="217" w:type="pct"/>
            <w:shd w:val="clear" w:color="000000" w:fill="FFFFFF"/>
            <w:vAlign w:val="center"/>
          </w:tcPr>
          <w:p w14:paraId="498EB69B">
            <w:pPr>
              <w:jc w:val="center"/>
              <w:rPr>
                <w:rFonts w:ascii="宋体" w:hAnsi="宋体" w:eastAsia="宋体" w:cs="Times New Roman"/>
                <w:color w:val="auto"/>
              </w:rPr>
            </w:pPr>
            <w:r>
              <w:rPr>
                <w:rFonts w:ascii="宋体" w:hAnsi="宋体" w:eastAsia="宋体" w:cs="Times New Roman"/>
                <w:color w:val="auto"/>
              </w:rPr>
              <w:t>0.522</w:t>
            </w:r>
          </w:p>
        </w:tc>
        <w:tc>
          <w:tcPr>
            <w:tcW w:w="217" w:type="pct"/>
            <w:shd w:val="clear" w:color="000000" w:fill="FFFFFF"/>
            <w:vAlign w:val="center"/>
          </w:tcPr>
          <w:p w14:paraId="03003227">
            <w:pPr>
              <w:jc w:val="center"/>
              <w:rPr>
                <w:rFonts w:ascii="宋体" w:hAnsi="宋体" w:eastAsia="宋体" w:cs="Times New Roman"/>
                <w:color w:val="auto"/>
              </w:rPr>
            </w:pPr>
            <w:r>
              <w:rPr>
                <w:rFonts w:ascii="宋体" w:hAnsi="宋体" w:eastAsia="宋体" w:cs="Times New Roman"/>
                <w:color w:val="auto"/>
              </w:rPr>
              <w:t>0.521</w:t>
            </w:r>
          </w:p>
        </w:tc>
        <w:tc>
          <w:tcPr>
            <w:tcW w:w="217" w:type="pct"/>
            <w:shd w:val="clear" w:color="000000" w:fill="FFFFFF"/>
            <w:vAlign w:val="center"/>
          </w:tcPr>
          <w:p w14:paraId="3990AD7A">
            <w:pPr>
              <w:jc w:val="center"/>
              <w:rPr>
                <w:rFonts w:ascii="宋体" w:hAnsi="宋体" w:eastAsia="宋体" w:cs="Times New Roman"/>
                <w:color w:val="auto"/>
              </w:rPr>
            </w:pPr>
            <w:r>
              <w:rPr>
                <w:rFonts w:ascii="宋体" w:hAnsi="宋体" w:eastAsia="宋体" w:cs="Times New Roman"/>
                <w:color w:val="auto"/>
              </w:rPr>
              <w:t>0.368</w:t>
            </w:r>
          </w:p>
        </w:tc>
        <w:tc>
          <w:tcPr>
            <w:tcW w:w="217" w:type="pct"/>
            <w:shd w:val="clear" w:color="000000" w:fill="FFFFFF"/>
            <w:vAlign w:val="center"/>
          </w:tcPr>
          <w:p w14:paraId="7E5BFAB5">
            <w:pPr>
              <w:jc w:val="center"/>
              <w:rPr>
                <w:rFonts w:ascii="宋体" w:hAnsi="宋体" w:eastAsia="宋体" w:cs="Times New Roman"/>
                <w:color w:val="auto"/>
              </w:rPr>
            </w:pPr>
            <w:r>
              <w:rPr>
                <w:rFonts w:ascii="宋体" w:hAnsi="宋体" w:eastAsia="宋体" w:cs="Times New Roman"/>
                <w:color w:val="auto"/>
              </w:rPr>
              <w:t>0.366</w:t>
            </w:r>
          </w:p>
        </w:tc>
        <w:tc>
          <w:tcPr>
            <w:tcW w:w="217" w:type="pct"/>
            <w:shd w:val="clear" w:color="000000" w:fill="FFFFFF"/>
            <w:vAlign w:val="center"/>
          </w:tcPr>
          <w:p w14:paraId="29ADFD59">
            <w:pPr>
              <w:jc w:val="center"/>
              <w:rPr>
                <w:rFonts w:ascii="宋体" w:hAnsi="宋体" w:eastAsia="宋体" w:cs="Times New Roman"/>
                <w:color w:val="auto"/>
              </w:rPr>
            </w:pPr>
            <w:r>
              <w:rPr>
                <w:rFonts w:ascii="宋体" w:hAnsi="宋体" w:eastAsia="宋体" w:cs="Times New Roman"/>
                <w:color w:val="auto"/>
              </w:rPr>
              <w:t>0.501</w:t>
            </w:r>
          </w:p>
        </w:tc>
        <w:tc>
          <w:tcPr>
            <w:tcW w:w="217" w:type="pct"/>
            <w:shd w:val="clear" w:color="000000" w:fill="FFFFFF"/>
            <w:vAlign w:val="center"/>
          </w:tcPr>
          <w:p w14:paraId="12DD0219">
            <w:pPr>
              <w:jc w:val="center"/>
              <w:rPr>
                <w:rFonts w:ascii="宋体" w:hAnsi="宋体" w:eastAsia="宋体" w:cs="Times New Roman"/>
                <w:color w:val="auto"/>
              </w:rPr>
            </w:pPr>
            <w:r>
              <w:rPr>
                <w:rFonts w:ascii="宋体" w:hAnsi="宋体" w:eastAsia="宋体" w:cs="Times New Roman"/>
                <w:color w:val="auto"/>
              </w:rPr>
              <w:t>0.46</w:t>
            </w:r>
          </w:p>
        </w:tc>
        <w:tc>
          <w:tcPr>
            <w:tcW w:w="217" w:type="pct"/>
            <w:shd w:val="clear" w:color="000000" w:fill="FFFFFF"/>
            <w:vAlign w:val="center"/>
          </w:tcPr>
          <w:p w14:paraId="43A6267D">
            <w:pPr>
              <w:jc w:val="center"/>
              <w:rPr>
                <w:rFonts w:ascii="宋体" w:hAnsi="宋体" w:eastAsia="宋体" w:cs="Times New Roman"/>
                <w:color w:val="auto"/>
              </w:rPr>
            </w:pPr>
            <w:r>
              <w:rPr>
                <w:rFonts w:ascii="宋体" w:hAnsi="宋体" w:eastAsia="宋体" w:cs="Times New Roman"/>
                <w:color w:val="auto"/>
              </w:rPr>
              <w:t>0.553</w:t>
            </w:r>
          </w:p>
        </w:tc>
        <w:tc>
          <w:tcPr>
            <w:tcW w:w="217" w:type="pct"/>
            <w:shd w:val="clear" w:color="000000" w:fill="FFFFFF"/>
            <w:vAlign w:val="center"/>
          </w:tcPr>
          <w:p w14:paraId="581F6618">
            <w:pPr>
              <w:jc w:val="center"/>
              <w:rPr>
                <w:rFonts w:ascii="宋体" w:hAnsi="宋体" w:eastAsia="宋体" w:cs="Times New Roman"/>
                <w:color w:val="auto"/>
              </w:rPr>
            </w:pPr>
            <w:r>
              <w:rPr>
                <w:rFonts w:ascii="宋体" w:hAnsi="宋体" w:eastAsia="宋体" w:cs="Times New Roman"/>
                <w:color w:val="auto"/>
              </w:rPr>
              <w:t>0.503</w:t>
            </w:r>
          </w:p>
        </w:tc>
        <w:tc>
          <w:tcPr>
            <w:tcW w:w="217" w:type="pct"/>
            <w:shd w:val="clear" w:color="000000" w:fill="FFFFFF"/>
            <w:vAlign w:val="center"/>
          </w:tcPr>
          <w:p w14:paraId="479C9B02">
            <w:pPr>
              <w:jc w:val="center"/>
              <w:rPr>
                <w:rFonts w:ascii="宋体" w:hAnsi="宋体" w:eastAsia="宋体" w:cs="Times New Roman"/>
                <w:color w:val="auto"/>
              </w:rPr>
            </w:pPr>
            <w:r>
              <w:rPr>
                <w:rFonts w:ascii="宋体" w:hAnsi="宋体" w:eastAsia="宋体" w:cs="Times New Roman"/>
                <w:color w:val="auto"/>
              </w:rPr>
              <w:t>0.464</w:t>
            </w:r>
          </w:p>
        </w:tc>
        <w:tc>
          <w:tcPr>
            <w:tcW w:w="217" w:type="pct"/>
            <w:shd w:val="clear" w:color="000000" w:fill="FFFFFF"/>
            <w:vAlign w:val="center"/>
          </w:tcPr>
          <w:p w14:paraId="5DF371F8">
            <w:pPr>
              <w:jc w:val="center"/>
              <w:rPr>
                <w:rFonts w:ascii="宋体" w:hAnsi="宋体" w:eastAsia="宋体" w:cs="Times New Roman"/>
                <w:color w:val="auto"/>
              </w:rPr>
            </w:pPr>
            <w:r>
              <w:rPr>
                <w:rFonts w:ascii="宋体" w:hAnsi="宋体" w:eastAsia="宋体" w:cs="Times New Roman"/>
                <w:color w:val="auto"/>
              </w:rPr>
              <w:t>0.365</w:t>
            </w:r>
          </w:p>
        </w:tc>
        <w:tc>
          <w:tcPr>
            <w:tcW w:w="217" w:type="pct"/>
            <w:shd w:val="clear" w:color="000000" w:fill="FFFFFF"/>
            <w:vAlign w:val="center"/>
          </w:tcPr>
          <w:p w14:paraId="5F68138E">
            <w:pPr>
              <w:jc w:val="center"/>
              <w:rPr>
                <w:rFonts w:ascii="宋体" w:hAnsi="宋体" w:eastAsia="宋体" w:cs="Times New Roman"/>
                <w:color w:val="auto"/>
              </w:rPr>
            </w:pPr>
            <w:r>
              <w:rPr>
                <w:rFonts w:ascii="宋体" w:hAnsi="宋体" w:eastAsia="宋体" w:cs="Times New Roman"/>
                <w:color w:val="auto"/>
              </w:rPr>
              <w:t>0.354</w:t>
            </w:r>
          </w:p>
        </w:tc>
        <w:tc>
          <w:tcPr>
            <w:tcW w:w="217" w:type="pct"/>
            <w:shd w:val="clear" w:color="000000" w:fill="FFFFFF"/>
            <w:vAlign w:val="center"/>
          </w:tcPr>
          <w:p w14:paraId="36C30DF8">
            <w:pPr>
              <w:jc w:val="center"/>
              <w:rPr>
                <w:rFonts w:ascii="宋体" w:hAnsi="宋体" w:eastAsia="宋体" w:cs="Times New Roman"/>
                <w:color w:val="auto"/>
              </w:rPr>
            </w:pPr>
            <w:r>
              <w:rPr>
                <w:rFonts w:ascii="宋体" w:hAnsi="宋体" w:eastAsia="宋体" w:cs="Times New Roman"/>
                <w:color w:val="auto"/>
              </w:rPr>
              <w:t>0.49</w:t>
            </w:r>
          </w:p>
        </w:tc>
        <w:tc>
          <w:tcPr>
            <w:tcW w:w="217" w:type="pct"/>
            <w:shd w:val="clear" w:color="000000" w:fill="FFFFFF"/>
            <w:vAlign w:val="center"/>
          </w:tcPr>
          <w:p w14:paraId="73FBC5B2">
            <w:pPr>
              <w:jc w:val="center"/>
              <w:rPr>
                <w:rFonts w:ascii="宋体" w:hAnsi="宋体" w:eastAsia="宋体" w:cs="Times New Roman"/>
                <w:color w:val="auto"/>
              </w:rPr>
            </w:pPr>
            <w:r>
              <w:rPr>
                <w:rFonts w:ascii="宋体" w:hAnsi="宋体" w:eastAsia="宋体" w:cs="Times New Roman"/>
                <w:color w:val="auto"/>
              </w:rPr>
              <w:t>0.344</w:t>
            </w:r>
          </w:p>
        </w:tc>
        <w:tc>
          <w:tcPr>
            <w:tcW w:w="217" w:type="pct"/>
            <w:shd w:val="clear" w:color="000000" w:fill="FFFFFF"/>
            <w:noWrap/>
            <w:vAlign w:val="center"/>
          </w:tcPr>
          <w:p w14:paraId="1CDC3F5E">
            <w:pPr>
              <w:jc w:val="center"/>
              <w:rPr>
                <w:rFonts w:ascii="宋体" w:hAnsi="宋体" w:eastAsia="宋体"/>
                <w:color w:val="auto"/>
                <w:szCs w:val="22"/>
              </w:rPr>
            </w:pPr>
            <w:r>
              <w:rPr>
                <w:rFonts w:hint="eastAsia" w:ascii="宋体" w:hAnsi="宋体" w:eastAsia="宋体"/>
                <w:color w:val="auto"/>
                <w:szCs w:val="22"/>
              </w:rPr>
              <w:t>0.553</w:t>
            </w:r>
          </w:p>
        </w:tc>
        <w:tc>
          <w:tcPr>
            <w:tcW w:w="217" w:type="pct"/>
            <w:shd w:val="clear" w:color="000000" w:fill="FFFFFF"/>
            <w:noWrap/>
            <w:vAlign w:val="center"/>
          </w:tcPr>
          <w:p w14:paraId="4877BCCF">
            <w:pPr>
              <w:jc w:val="center"/>
              <w:rPr>
                <w:rFonts w:ascii="宋体" w:hAnsi="宋体" w:eastAsia="宋体"/>
                <w:color w:val="auto"/>
                <w:szCs w:val="22"/>
              </w:rPr>
            </w:pPr>
            <w:r>
              <w:rPr>
                <w:rFonts w:hint="eastAsia" w:ascii="宋体" w:hAnsi="宋体" w:eastAsia="宋体"/>
                <w:color w:val="auto"/>
                <w:szCs w:val="22"/>
              </w:rPr>
              <w:t>0.344</w:t>
            </w:r>
          </w:p>
        </w:tc>
        <w:tc>
          <w:tcPr>
            <w:tcW w:w="217" w:type="pct"/>
            <w:shd w:val="clear" w:color="000000" w:fill="FFFFFF"/>
            <w:noWrap/>
            <w:vAlign w:val="center"/>
          </w:tcPr>
          <w:p w14:paraId="34932BDD">
            <w:pPr>
              <w:jc w:val="center"/>
              <w:rPr>
                <w:rFonts w:ascii="宋体" w:hAnsi="宋体" w:eastAsia="宋体"/>
                <w:color w:val="auto"/>
                <w:szCs w:val="22"/>
              </w:rPr>
            </w:pPr>
            <w:r>
              <w:rPr>
                <w:rFonts w:hint="eastAsia" w:ascii="宋体" w:hAnsi="宋体" w:eastAsia="宋体"/>
                <w:color w:val="auto"/>
                <w:szCs w:val="22"/>
              </w:rPr>
              <w:t>0.073</w:t>
            </w:r>
          </w:p>
        </w:tc>
        <w:tc>
          <w:tcPr>
            <w:tcW w:w="227" w:type="pct"/>
            <w:shd w:val="clear" w:color="000000" w:fill="FFFFFF"/>
            <w:noWrap/>
            <w:vAlign w:val="center"/>
          </w:tcPr>
          <w:p w14:paraId="0D068EE3">
            <w:pPr>
              <w:jc w:val="center"/>
              <w:rPr>
                <w:rFonts w:ascii="宋体" w:hAnsi="宋体" w:eastAsia="宋体"/>
                <w:color w:val="auto"/>
                <w:szCs w:val="22"/>
              </w:rPr>
            </w:pPr>
            <w:r>
              <w:rPr>
                <w:rFonts w:hint="eastAsia" w:ascii="宋体" w:hAnsi="宋体" w:eastAsia="宋体"/>
                <w:color w:val="auto"/>
                <w:szCs w:val="22"/>
              </w:rPr>
              <w:t>0.461</w:t>
            </w:r>
          </w:p>
        </w:tc>
        <w:tc>
          <w:tcPr>
            <w:tcW w:w="217" w:type="pct"/>
            <w:shd w:val="clear" w:color="000000" w:fill="FFFFFF"/>
            <w:noWrap/>
            <w:vAlign w:val="center"/>
          </w:tcPr>
          <w:p w14:paraId="4FA44686">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6C325506">
            <w:pPr>
              <w:jc w:val="center"/>
              <w:rPr>
                <w:rFonts w:ascii="宋体" w:hAnsi="宋体" w:eastAsia="宋体"/>
                <w:color w:val="auto"/>
                <w:szCs w:val="22"/>
              </w:rPr>
            </w:pPr>
            <w:r>
              <w:rPr>
                <w:rFonts w:hint="eastAsia" w:ascii="宋体" w:hAnsi="宋体" w:eastAsia="宋体"/>
                <w:color w:val="auto"/>
                <w:szCs w:val="22"/>
              </w:rPr>
              <w:t>0</w:t>
            </w:r>
          </w:p>
        </w:tc>
      </w:tr>
      <w:tr w14:paraId="4330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04670563">
            <w:pPr>
              <w:jc w:val="center"/>
              <w:rPr>
                <w:rFonts w:ascii="宋体" w:hAnsi="宋体" w:eastAsia="宋体"/>
                <w:color w:val="auto"/>
              </w:rPr>
            </w:pPr>
            <w:r>
              <w:rPr>
                <w:rFonts w:hint="eastAsia" w:ascii="宋体" w:hAnsi="宋体" w:eastAsia="宋体"/>
                <w:color w:val="auto"/>
              </w:rPr>
              <w:t>耗氧量(COD</w:t>
            </w:r>
            <w:r>
              <w:rPr>
                <w:rFonts w:hint="eastAsia" w:ascii="宋体" w:hAnsi="宋体" w:eastAsia="宋体"/>
                <w:color w:val="auto"/>
                <w:vertAlign w:val="subscript"/>
              </w:rPr>
              <w:t>Mn</w:t>
            </w:r>
            <w:r>
              <w:rPr>
                <w:rFonts w:hint="eastAsia" w:ascii="宋体" w:hAnsi="宋体" w:eastAsia="宋体"/>
                <w:color w:val="auto"/>
              </w:rPr>
              <w:t>法，以O</w:t>
            </w:r>
            <w:r>
              <w:rPr>
                <w:rFonts w:hint="eastAsia" w:ascii="宋体" w:hAnsi="宋体" w:eastAsia="宋体"/>
                <w:color w:val="auto"/>
                <w:vertAlign w:val="subscript"/>
              </w:rPr>
              <w:t>2</w:t>
            </w:r>
            <w:r>
              <w:rPr>
                <w:rFonts w:hint="eastAsia" w:ascii="宋体" w:hAnsi="宋体" w:eastAsia="宋体"/>
                <w:color w:val="auto"/>
              </w:rPr>
              <w:t>计)</w:t>
            </w:r>
          </w:p>
        </w:tc>
        <w:tc>
          <w:tcPr>
            <w:tcW w:w="232" w:type="pct"/>
            <w:shd w:val="clear" w:color="000000" w:fill="FFFFFF"/>
            <w:vAlign w:val="center"/>
          </w:tcPr>
          <w:p w14:paraId="7F465DA9">
            <w:pPr>
              <w:jc w:val="center"/>
              <w:rPr>
                <w:rFonts w:ascii="宋体" w:hAnsi="宋体" w:eastAsia="宋体" w:cs="Times New Roman"/>
                <w:color w:val="auto"/>
              </w:rPr>
            </w:pPr>
            <w:r>
              <w:rPr>
                <w:rFonts w:ascii="宋体" w:hAnsi="宋体" w:eastAsia="宋体" w:cs="Times New Roman"/>
                <w:color w:val="auto"/>
              </w:rPr>
              <w:t>0.567</w:t>
            </w:r>
          </w:p>
        </w:tc>
        <w:tc>
          <w:tcPr>
            <w:tcW w:w="217" w:type="pct"/>
            <w:shd w:val="clear" w:color="000000" w:fill="FFFFFF"/>
            <w:vAlign w:val="center"/>
          </w:tcPr>
          <w:p w14:paraId="49840D29">
            <w:pPr>
              <w:jc w:val="center"/>
              <w:rPr>
                <w:rFonts w:ascii="宋体" w:hAnsi="宋体" w:eastAsia="宋体" w:cs="Times New Roman"/>
                <w:color w:val="auto"/>
              </w:rPr>
            </w:pPr>
            <w:r>
              <w:rPr>
                <w:rFonts w:ascii="宋体" w:hAnsi="宋体" w:eastAsia="宋体" w:cs="Times New Roman"/>
                <w:color w:val="auto"/>
              </w:rPr>
              <w:t>0.733</w:t>
            </w:r>
          </w:p>
        </w:tc>
        <w:tc>
          <w:tcPr>
            <w:tcW w:w="217" w:type="pct"/>
            <w:shd w:val="clear" w:color="000000" w:fill="FFFFFF"/>
            <w:vAlign w:val="center"/>
          </w:tcPr>
          <w:p w14:paraId="69F9C5F8">
            <w:pPr>
              <w:jc w:val="center"/>
              <w:rPr>
                <w:rFonts w:ascii="宋体" w:hAnsi="宋体" w:eastAsia="宋体" w:cs="Times New Roman"/>
                <w:color w:val="auto"/>
              </w:rPr>
            </w:pPr>
            <w:r>
              <w:rPr>
                <w:rFonts w:ascii="宋体" w:hAnsi="宋体" w:eastAsia="宋体" w:cs="Times New Roman"/>
                <w:color w:val="auto"/>
              </w:rPr>
              <w:t>0.7</w:t>
            </w:r>
          </w:p>
        </w:tc>
        <w:tc>
          <w:tcPr>
            <w:tcW w:w="217" w:type="pct"/>
            <w:shd w:val="clear" w:color="000000" w:fill="FFFFFF"/>
            <w:vAlign w:val="center"/>
          </w:tcPr>
          <w:p w14:paraId="2E2CA066">
            <w:pPr>
              <w:jc w:val="center"/>
              <w:rPr>
                <w:rFonts w:ascii="宋体" w:hAnsi="宋体" w:eastAsia="宋体" w:cs="Times New Roman"/>
                <w:color w:val="auto"/>
              </w:rPr>
            </w:pPr>
            <w:r>
              <w:rPr>
                <w:rFonts w:ascii="宋体" w:hAnsi="宋体" w:eastAsia="宋体" w:cs="Times New Roman"/>
                <w:color w:val="auto"/>
              </w:rPr>
              <w:t>0.767</w:t>
            </w:r>
          </w:p>
        </w:tc>
        <w:tc>
          <w:tcPr>
            <w:tcW w:w="217" w:type="pct"/>
            <w:shd w:val="clear" w:color="000000" w:fill="FFFFFF"/>
            <w:vAlign w:val="center"/>
          </w:tcPr>
          <w:p w14:paraId="011232B7">
            <w:pPr>
              <w:jc w:val="center"/>
              <w:rPr>
                <w:rFonts w:ascii="宋体" w:hAnsi="宋体" w:eastAsia="宋体" w:cs="Times New Roman"/>
                <w:color w:val="auto"/>
              </w:rPr>
            </w:pPr>
            <w:r>
              <w:rPr>
                <w:rFonts w:ascii="宋体" w:hAnsi="宋体" w:eastAsia="宋体" w:cs="Times New Roman"/>
                <w:color w:val="auto"/>
              </w:rPr>
              <w:t>0.633</w:t>
            </w:r>
          </w:p>
        </w:tc>
        <w:tc>
          <w:tcPr>
            <w:tcW w:w="217" w:type="pct"/>
            <w:shd w:val="clear" w:color="000000" w:fill="FFFFFF"/>
            <w:vAlign w:val="center"/>
          </w:tcPr>
          <w:p w14:paraId="323038CC">
            <w:pPr>
              <w:jc w:val="center"/>
              <w:rPr>
                <w:rFonts w:ascii="宋体" w:hAnsi="宋体" w:eastAsia="宋体" w:cs="Times New Roman"/>
                <w:color w:val="auto"/>
              </w:rPr>
            </w:pPr>
            <w:r>
              <w:rPr>
                <w:rFonts w:ascii="宋体" w:hAnsi="宋体" w:eastAsia="宋体" w:cs="Times New Roman"/>
                <w:color w:val="auto"/>
              </w:rPr>
              <w:t>0.6</w:t>
            </w:r>
          </w:p>
        </w:tc>
        <w:tc>
          <w:tcPr>
            <w:tcW w:w="217" w:type="pct"/>
            <w:shd w:val="clear" w:color="000000" w:fill="FFFFFF"/>
            <w:vAlign w:val="center"/>
          </w:tcPr>
          <w:p w14:paraId="7EFFCB4A">
            <w:pPr>
              <w:jc w:val="center"/>
              <w:rPr>
                <w:rFonts w:ascii="宋体" w:hAnsi="宋体" w:eastAsia="宋体" w:cs="Times New Roman"/>
                <w:color w:val="auto"/>
              </w:rPr>
            </w:pPr>
            <w:r>
              <w:rPr>
                <w:rFonts w:ascii="宋体" w:hAnsi="宋体" w:eastAsia="宋体" w:cs="Times New Roman"/>
                <w:color w:val="auto"/>
              </w:rPr>
              <w:t>0.533</w:t>
            </w:r>
          </w:p>
        </w:tc>
        <w:tc>
          <w:tcPr>
            <w:tcW w:w="217" w:type="pct"/>
            <w:shd w:val="clear" w:color="000000" w:fill="FFFFFF"/>
            <w:vAlign w:val="center"/>
          </w:tcPr>
          <w:p w14:paraId="3626D1C7">
            <w:pPr>
              <w:jc w:val="center"/>
              <w:rPr>
                <w:rFonts w:ascii="宋体" w:hAnsi="宋体" w:eastAsia="宋体" w:cs="Times New Roman"/>
                <w:color w:val="auto"/>
              </w:rPr>
            </w:pPr>
            <w:r>
              <w:rPr>
                <w:rFonts w:ascii="宋体" w:hAnsi="宋体" w:eastAsia="宋体" w:cs="Times New Roman"/>
                <w:color w:val="auto"/>
              </w:rPr>
              <w:t>0.7</w:t>
            </w:r>
          </w:p>
        </w:tc>
        <w:tc>
          <w:tcPr>
            <w:tcW w:w="217" w:type="pct"/>
            <w:shd w:val="clear" w:color="000000" w:fill="FFFFFF"/>
            <w:vAlign w:val="center"/>
          </w:tcPr>
          <w:p w14:paraId="0A4A9324">
            <w:pPr>
              <w:jc w:val="center"/>
              <w:rPr>
                <w:rFonts w:ascii="宋体" w:hAnsi="宋体" w:eastAsia="宋体" w:cs="Times New Roman"/>
                <w:color w:val="auto"/>
              </w:rPr>
            </w:pPr>
            <w:r>
              <w:rPr>
                <w:rFonts w:ascii="宋体" w:hAnsi="宋体" w:eastAsia="宋体" w:cs="Times New Roman"/>
                <w:color w:val="auto"/>
              </w:rPr>
              <w:t>0.633</w:t>
            </w:r>
          </w:p>
        </w:tc>
        <w:tc>
          <w:tcPr>
            <w:tcW w:w="217" w:type="pct"/>
            <w:shd w:val="clear" w:color="000000" w:fill="FFFFFF"/>
            <w:vAlign w:val="center"/>
          </w:tcPr>
          <w:p w14:paraId="69FB895E">
            <w:pPr>
              <w:jc w:val="center"/>
              <w:rPr>
                <w:rFonts w:ascii="宋体" w:hAnsi="宋体" w:eastAsia="宋体" w:cs="Times New Roman"/>
                <w:color w:val="auto"/>
              </w:rPr>
            </w:pPr>
            <w:r>
              <w:rPr>
                <w:rFonts w:ascii="宋体" w:hAnsi="宋体" w:eastAsia="宋体" w:cs="Times New Roman"/>
                <w:color w:val="auto"/>
              </w:rPr>
              <w:t>0.667</w:t>
            </w:r>
          </w:p>
        </w:tc>
        <w:tc>
          <w:tcPr>
            <w:tcW w:w="217" w:type="pct"/>
            <w:shd w:val="clear" w:color="000000" w:fill="FFFFFF"/>
            <w:vAlign w:val="center"/>
          </w:tcPr>
          <w:p w14:paraId="71D1CB50">
            <w:pPr>
              <w:jc w:val="center"/>
              <w:rPr>
                <w:rFonts w:ascii="宋体" w:hAnsi="宋体" w:eastAsia="宋体" w:cs="Times New Roman"/>
                <w:color w:val="auto"/>
              </w:rPr>
            </w:pPr>
            <w:r>
              <w:rPr>
                <w:rFonts w:ascii="宋体" w:hAnsi="宋体" w:eastAsia="宋体" w:cs="Times New Roman"/>
                <w:color w:val="auto"/>
              </w:rPr>
              <w:t>0.733</w:t>
            </w:r>
          </w:p>
        </w:tc>
        <w:tc>
          <w:tcPr>
            <w:tcW w:w="217" w:type="pct"/>
            <w:shd w:val="clear" w:color="000000" w:fill="FFFFFF"/>
            <w:vAlign w:val="center"/>
          </w:tcPr>
          <w:p w14:paraId="1871B90C">
            <w:pPr>
              <w:jc w:val="center"/>
              <w:rPr>
                <w:rFonts w:ascii="宋体" w:hAnsi="宋体" w:eastAsia="宋体" w:cs="Times New Roman"/>
                <w:color w:val="auto"/>
              </w:rPr>
            </w:pPr>
            <w:r>
              <w:rPr>
                <w:rFonts w:ascii="宋体" w:hAnsi="宋体" w:eastAsia="宋体" w:cs="Times New Roman"/>
                <w:color w:val="auto"/>
              </w:rPr>
              <w:t>0.633</w:t>
            </w:r>
          </w:p>
        </w:tc>
        <w:tc>
          <w:tcPr>
            <w:tcW w:w="217" w:type="pct"/>
            <w:shd w:val="clear" w:color="000000" w:fill="FFFFFF"/>
            <w:vAlign w:val="center"/>
          </w:tcPr>
          <w:p w14:paraId="5DD4B3EF">
            <w:pPr>
              <w:jc w:val="center"/>
              <w:rPr>
                <w:rFonts w:ascii="宋体" w:hAnsi="宋体" w:eastAsia="宋体" w:cs="Times New Roman"/>
                <w:color w:val="auto"/>
              </w:rPr>
            </w:pPr>
            <w:r>
              <w:rPr>
                <w:rFonts w:ascii="宋体" w:hAnsi="宋体" w:eastAsia="宋体" w:cs="Times New Roman"/>
                <w:color w:val="auto"/>
              </w:rPr>
              <w:t>0.533</w:t>
            </w:r>
          </w:p>
        </w:tc>
        <w:tc>
          <w:tcPr>
            <w:tcW w:w="217" w:type="pct"/>
            <w:shd w:val="clear" w:color="000000" w:fill="FFFFFF"/>
            <w:vAlign w:val="center"/>
          </w:tcPr>
          <w:p w14:paraId="4407C8F7">
            <w:pPr>
              <w:jc w:val="center"/>
              <w:rPr>
                <w:rFonts w:ascii="宋体" w:hAnsi="宋体" w:eastAsia="宋体" w:cs="Times New Roman"/>
                <w:color w:val="auto"/>
              </w:rPr>
            </w:pPr>
            <w:r>
              <w:rPr>
                <w:rFonts w:ascii="宋体" w:hAnsi="宋体" w:eastAsia="宋体" w:cs="Times New Roman"/>
                <w:color w:val="auto"/>
              </w:rPr>
              <w:t>0.6</w:t>
            </w:r>
          </w:p>
        </w:tc>
        <w:tc>
          <w:tcPr>
            <w:tcW w:w="217" w:type="pct"/>
            <w:shd w:val="clear" w:color="000000" w:fill="FFFFFF"/>
            <w:vAlign w:val="center"/>
          </w:tcPr>
          <w:p w14:paraId="79B59035">
            <w:pPr>
              <w:jc w:val="center"/>
              <w:rPr>
                <w:rFonts w:ascii="宋体" w:hAnsi="宋体" w:eastAsia="宋体" w:cs="Times New Roman"/>
                <w:color w:val="auto"/>
              </w:rPr>
            </w:pPr>
            <w:r>
              <w:rPr>
                <w:rFonts w:ascii="宋体" w:hAnsi="宋体" w:eastAsia="宋体" w:cs="Times New Roman"/>
                <w:color w:val="auto"/>
              </w:rPr>
              <w:t>0.767</w:t>
            </w:r>
          </w:p>
        </w:tc>
        <w:tc>
          <w:tcPr>
            <w:tcW w:w="217" w:type="pct"/>
            <w:shd w:val="clear" w:color="000000" w:fill="FFFFFF"/>
            <w:vAlign w:val="center"/>
          </w:tcPr>
          <w:p w14:paraId="456A3159">
            <w:pPr>
              <w:jc w:val="center"/>
              <w:rPr>
                <w:rFonts w:ascii="宋体" w:hAnsi="宋体" w:eastAsia="宋体" w:cs="Times New Roman"/>
                <w:color w:val="auto"/>
              </w:rPr>
            </w:pPr>
            <w:r>
              <w:rPr>
                <w:rFonts w:ascii="宋体" w:hAnsi="宋体" w:eastAsia="宋体" w:cs="Times New Roman"/>
                <w:color w:val="auto"/>
              </w:rPr>
              <w:t>0.533</w:t>
            </w:r>
          </w:p>
        </w:tc>
        <w:tc>
          <w:tcPr>
            <w:tcW w:w="217" w:type="pct"/>
            <w:shd w:val="clear" w:color="000000" w:fill="FFFFFF"/>
            <w:noWrap/>
            <w:vAlign w:val="center"/>
          </w:tcPr>
          <w:p w14:paraId="15F3F2FC">
            <w:pPr>
              <w:jc w:val="center"/>
              <w:rPr>
                <w:rFonts w:ascii="宋体" w:hAnsi="宋体" w:eastAsia="宋体"/>
                <w:color w:val="auto"/>
                <w:szCs w:val="22"/>
              </w:rPr>
            </w:pPr>
            <w:r>
              <w:rPr>
                <w:rFonts w:hint="eastAsia" w:ascii="宋体" w:hAnsi="宋体" w:eastAsia="宋体"/>
                <w:color w:val="auto"/>
                <w:szCs w:val="22"/>
              </w:rPr>
              <w:t>0.767</w:t>
            </w:r>
          </w:p>
        </w:tc>
        <w:tc>
          <w:tcPr>
            <w:tcW w:w="217" w:type="pct"/>
            <w:shd w:val="clear" w:color="000000" w:fill="FFFFFF"/>
            <w:noWrap/>
            <w:vAlign w:val="center"/>
          </w:tcPr>
          <w:p w14:paraId="4ABD643F">
            <w:pPr>
              <w:jc w:val="center"/>
              <w:rPr>
                <w:rFonts w:ascii="宋体" w:hAnsi="宋体" w:eastAsia="宋体"/>
                <w:color w:val="auto"/>
                <w:szCs w:val="22"/>
              </w:rPr>
            </w:pPr>
            <w:r>
              <w:rPr>
                <w:rFonts w:hint="eastAsia" w:ascii="宋体" w:hAnsi="宋体" w:eastAsia="宋体"/>
                <w:color w:val="auto"/>
                <w:szCs w:val="22"/>
              </w:rPr>
              <w:t>0.533</w:t>
            </w:r>
          </w:p>
        </w:tc>
        <w:tc>
          <w:tcPr>
            <w:tcW w:w="217" w:type="pct"/>
            <w:shd w:val="clear" w:color="000000" w:fill="FFFFFF"/>
            <w:noWrap/>
            <w:vAlign w:val="center"/>
          </w:tcPr>
          <w:p w14:paraId="5EBB8F4A">
            <w:pPr>
              <w:jc w:val="center"/>
              <w:rPr>
                <w:rFonts w:ascii="宋体" w:hAnsi="宋体" w:eastAsia="宋体"/>
                <w:color w:val="auto"/>
                <w:szCs w:val="22"/>
              </w:rPr>
            </w:pPr>
            <w:r>
              <w:rPr>
                <w:rFonts w:hint="eastAsia" w:ascii="宋体" w:hAnsi="宋体" w:eastAsia="宋体"/>
                <w:color w:val="auto"/>
                <w:szCs w:val="22"/>
              </w:rPr>
              <w:t>0.079</w:t>
            </w:r>
          </w:p>
        </w:tc>
        <w:tc>
          <w:tcPr>
            <w:tcW w:w="227" w:type="pct"/>
            <w:shd w:val="clear" w:color="000000" w:fill="FFFFFF"/>
            <w:noWrap/>
            <w:vAlign w:val="center"/>
          </w:tcPr>
          <w:p w14:paraId="5C74F1E2">
            <w:pPr>
              <w:jc w:val="center"/>
              <w:rPr>
                <w:rFonts w:ascii="宋体" w:hAnsi="宋体" w:eastAsia="宋体"/>
                <w:color w:val="auto"/>
                <w:szCs w:val="22"/>
              </w:rPr>
            </w:pPr>
            <w:r>
              <w:rPr>
                <w:rFonts w:hint="eastAsia" w:ascii="宋体" w:hAnsi="宋体" w:eastAsia="宋体"/>
                <w:color w:val="auto"/>
                <w:szCs w:val="22"/>
              </w:rPr>
              <w:t>0.646</w:t>
            </w:r>
          </w:p>
        </w:tc>
        <w:tc>
          <w:tcPr>
            <w:tcW w:w="217" w:type="pct"/>
            <w:shd w:val="clear" w:color="000000" w:fill="FFFFFF"/>
            <w:noWrap/>
            <w:vAlign w:val="center"/>
          </w:tcPr>
          <w:p w14:paraId="0D704971">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27BE1B77">
            <w:pPr>
              <w:jc w:val="center"/>
              <w:rPr>
                <w:rFonts w:ascii="宋体" w:hAnsi="宋体" w:eastAsia="宋体"/>
                <w:color w:val="auto"/>
                <w:szCs w:val="22"/>
              </w:rPr>
            </w:pPr>
            <w:r>
              <w:rPr>
                <w:rFonts w:hint="eastAsia" w:ascii="宋体" w:hAnsi="宋体" w:eastAsia="宋体"/>
                <w:color w:val="auto"/>
                <w:szCs w:val="22"/>
              </w:rPr>
              <w:t>0</w:t>
            </w:r>
          </w:p>
        </w:tc>
      </w:tr>
      <w:tr w14:paraId="1B0E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340" w:hRule="atLeast"/>
        </w:trPr>
        <w:tc>
          <w:tcPr>
            <w:tcW w:w="202" w:type="pct"/>
            <w:shd w:val="clear" w:color="000000" w:fill="FFFFFF"/>
            <w:vAlign w:val="center"/>
          </w:tcPr>
          <w:p w14:paraId="33C0A879">
            <w:pPr>
              <w:jc w:val="center"/>
              <w:rPr>
                <w:rFonts w:ascii="宋体" w:hAnsi="宋体" w:eastAsia="宋体"/>
                <w:color w:val="auto"/>
              </w:rPr>
            </w:pPr>
            <w:r>
              <w:rPr>
                <w:rFonts w:hint="eastAsia" w:ascii="宋体" w:hAnsi="宋体" w:eastAsia="宋体"/>
                <w:color w:val="auto"/>
              </w:rPr>
              <w:t>挥发酚</w:t>
            </w:r>
          </w:p>
        </w:tc>
        <w:tc>
          <w:tcPr>
            <w:tcW w:w="232" w:type="pct"/>
            <w:shd w:val="clear" w:color="000000" w:fill="FFFFFF"/>
            <w:noWrap/>
            <w:vAlign w:val="center"/>
          </w:tcPr>
          <w:p w14:paraId="010C0898">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45B27281">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69DF9D0C">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4298C707">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7A182012">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0A934C27">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4FDD2026">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7127438B">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0A57215D">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4BA7959F">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7723CE5F">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33B11C02">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2C8C3831">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1A5483DF">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3753D435">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2600D90F">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0993EC32">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0AD8E22E">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3D69B20A">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1ADFED5F">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1BA210C8">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336A9622">
            <w:pPr>
              <w:jc w:val="center"/>
              <w:rPr>
                <w:rFonts w:ascii="宋体" w:hAnsi="宋体" w:eastAsia="宋体"/>
                <w:color w:val="auto"/>
                <w:szCs w:val="22"/>
              </w:rPr>
            </w:pPr>
            <w:r>
              <w:rPr>
                <w:rFonts w:hint="eastAsia" w:ascii="宋体" w:hAnsi="宋体" w:eastAsia="宋体"/>
                <w:color w:val="auto"/>
                <w:szCs w:val="22"/>
              </w:rPr>
              <w:t>0</w:t>
            </w:r>
          </w:p>
        </w:tc>
      </w:tr>
      <w:tr w14:paraId="6C4C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340" w:hRule="atLeast"/>
        </w:trPr>
        <w:tc>
          <w:tcPr>
            <w:tcW w:w="202" w:type="pct"/>
            <w:shd w:val="clear" w:color="000000" w:fill="FFFFFF"/>
            <w:vAlign w:val="center"/>
          </w:tcPr>
          <w:p w14:paraId="12E4A5A2">
            <w:pPr>
              <w:jc w:val="center"/>
              <w:rPr>
                <w:rFonts w:ascii="宋体" w:hAnsi="宋体" w:eastAsia="宋体"/>
                <w:color w:val="auto"/>
              </w:rPr>
            </w:pPr>
            <w:r>
              <w:rPr>
                <w:rFonts w:hint="eastAsia" w:ascii="宋体" w:hAnsi="宋体" w:eastAsia="宋体"/>
                <w:color w:val="auto"/>
              </w:rPr>
              <w:t>氰化物</w:t>
            </w:r>
          </w:p>
        </w:tc>
        <w:tc>
          <w:tcPr>
            <w:tcW w:w="232" w:type="pct"/>
            <w:shd w:val="clear" w:color="000000" w:fill="FFFFFF"/>
            <w:noWrap/>
            <w:vAlign w:val="center"/>
          </w:tcPr>
          <w:p w14:paraId="68B2EE9F">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33794180">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4DD28904">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20DF3D2A">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2F3A3E83">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687D01A7">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1EB54A3F">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2BEE1FEA">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694B235B">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0298419D">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2619D890">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4895CC74">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35D15B34">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3BA4A44C">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363FB93F">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45B28439">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6C874C7B">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1D8DF95B">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6AA3D679">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2A67C590">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6A12E47A">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71D3FAE1">
            <w:pPr>
              <w:jc w:val="center"/>
              <w:rPr>
                <w:rFonts w:ascii="宋体" w:hAnsi="宋体" w:eastAsia="宋体"/>
                <w:color w:val="auto"/>
                <w:szCs w:val="22"/>
              </w:rPr>
            </w:pPr>
            <w:r>
              <w:rPr>
                <w:rFonts w:hint="eastAsia" w:ascii="宋体" w:hAnsi="宋体" w:eastAsia="宋体"/>
                <w:color w:val="auto"/>
                <w:szCs w:val="22"/>
              </w:rPr>
              <w:t>0</w:t>
            </w:r>
          </w:p>
        </w:tc>
      </w:tr>
      <w:tr w14:paraId="20BF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4AE82740">
            <w:pPr>
              <w:jc w:val="center"/>
              <w:rPr>
                <w:rFonts w:ascii="宋体" w:hAnsi="宋体" w:eastAsia="宋体"/>
                <w:color w:val="auto"/>
              </w:rPr>
            </w:pPr>
            <w:r>
              <w:rPr>
                <w:rFonts w:hint="eastAsia" w:ascii="宋体" w:hAnsi="宋体" w:eastAsia="宋体"/>
                <w:color w:val="auto"/>
              </w:rPr>
              <w:t>氟化物</w:t>
            </w:r>
          </w:p>
        </w:tc>
        <w:tc>
          <w:tcPr>
            <w:tcW w:w="232" w:type="pct"/>
            <w:shd w:val="clear" w:color="000000" w:fill="FFFFFF"/>
            <w:vAlign w:val="center"/>
          </w:tcPr>
          <w:p w14:paraId="4736AF1F">
            <w:pPr>
              <w:jc w:val="center"/>
              <w:rPr>
                <w:rFonts w:ascii="宋体" w:hAnsi="宋体" w:eastAsia="宋体" w:cs="Times New Roman"/>
                <w:color w:val="auto"/>
              </w:rPr>
            </w:pPr>
            <w:r>
              <w:rPr>
                <w:rFonts w:ascii="宋体" w:hAnsi="宋体" w:eastAsia="宋体" w:cs="Times New Roman"/>
                <w:color w:val="auto"/>
              </w:rPr>
              <w:t>0.52</w:t>
            </w:r>
          </w:p>
        </w:tc>
        <w:tc>
          <w:tcPr>
            <w:tcW w:w="217" w:type="pct"/>
            <w:shd w:val="clear" w:color="000000" w:fill="FFFFFF"/>
            <w:vAlign w:val="center"/>
          </w:tcPr>
          <w:p w14:paraId="17E90F2E">
            <w:pPr>
              <w:jc w:val="center"/>
              <w:rPr>
                <w:rFonts w:ascii="宋体" w:hAnsi="宋体" w:eastAsia="宋体" w:cs="Times New Roman"/>
                <w:color w:val="auto"/>
              </w:rPr>
            </w:pPr>
            <w:r>
              <w:rPr>
                <w:rFonts w:ascii="宋体" w:hAnsi="宋体" w:eastAsia="宋体" w:cs="Times New Roman"/>
                <w:color w:val="auto"/>
              </w:rPr>
              <w:t>0.42</w:t>
            </w:r>
          </w:p>
        </w:tc>
        <w:tc>
          <w:tcPr>
            <w:tcW w:w="217" w:type="pct"/>
            <w:shd w:val="clear" w:color="000000" w:fill="FFFFFF"/>
            <w:vAlign w:val="center"/>
          </w:tcPr>
          <w:p w14:paraId="62F82629">
            <w:pPr>
              <w:jc w:val="center"/>
              <w:rPr>
                <w:rFonts w:ascii="宋体" w:hAnsi="宋体" w:eastAsia="宋体" w:cs="Times New Roman"/>
                <w:color w:val="auto"/>
              </w:rPr>
            </w:pPr>
            <w:r>
              <w:rPr>
                <w:rFonts w:ascii="宋体" w:hAnsi="宋体" w:eastAsia="宋体" w:cs="Times New Roman"/>
                <w:color w:val="auto"/>
              </w:rPr>
              <w:t>0.51</w:t>
            </w:r>
          </w:p>
        </w:tc>
        <w:tc>
          <w:tcPr>
            <w:tcW w:w="217" w:type="pct"/>
            <w:shd w:val="clear" w:color="000000" w:fill="FFFFFF"/>
            <w:vAlign w:val="center"/>
          </w:tcPr>
          <w:p w14:paraId="64DCD38D">
            <w:pPr>
              <w:jc w:val="center"/>
              <w:rPr>
                <w:rFonts w:ascii="宋体" w:hAnsi="宋体" w:eastAsia="宋体" w:cs="Times New Roman"/>
                <w:color w:val="auto"/>
              </w:rPr>
            </w:pPr>
            <w:r>
              <w:rPr>
                <w:rFonts w:ascii="宋体" w:hAnsi="宋体" w:eastAsia="宋体" w:cs="Times New Roman"/>
                <w:color w:val="auto"/>
              </w:rPr>
              <w:t>0.45</w:t>
            </w:r>
          </w:p>
        </w:tc>
        <w:tc>
          <w:tcPr>
            <w:tcW w:w="217" w:type="pct"/>
            <w:shd w:val="clear" w:color="000000" w:fill="FFFFFF"/>
            <w:vAlign w:val="center"/>
          </w:tcPr>
          <w:p w14:paraId="06ACAE34">
            <w:pPr>
              <w:jc w:val="center"/>
              <w:rPr>
                <w:rFonts w:ascii="宋体" w:hAnsi="宋体" w:eastAsia="宋体" w:cs="Times New Roman"/>
                <w:color w:val="auto"/>
              </w:rPr>
            </w:pPr>
            <w:r>
              <w:rPr>
                <w:rFonts w:ascii="宋体" w:hAnsi="宋体" w:eastAsia="宋体" w:cs="Times New Roman"/>
                <w:color w:val="auto"/>
              </w:rPr>
              <w:t>0.46</w:t>
            </w:r>
          </w:p>
        </w:tc>
        <w:tc>
          <w:tcPr>
            <w:tcW w:w="217" w:type="pct"/>
            <w:shd w:val="clear" w:color="000000" w:fill="FFFFFF"/>
            <w:vAlign w:val="center"/>
          </w:tcPr>
          <w:p w14:paraId="29A3BC89">
            <w:pPr>
              <w:jc w:val="center"/>
              <w:rPr>
                <w:rFonts w:ascii="宋体" w:hAnsi="宋体" w:eastAsia="宋体" w:cs="Times New Roman"/>
                <w:color w:val="auto"/>
              </w:rPr>
            </w:pPr>
            <w:r>
              <w:rPr>
                <w:rFonts w:ascii="宋体" w:hAnsi="宋体" w:eastAsia="宋体" w:cs="Times New Roman"/>
                <w:color w:val="auto"/>
              </w:rPr>
              <w:t>0.21</w:t>
            </w:r>
          </w:p>
        </w:tc>
        <w:tc>
          <w:tcPr>
            <w:tcW w:w="217" w:type="pct"/>
            <w:shd w:val="clear" w:color="000000" w:fill="FFFFFF"/>
            <w:vAlign w:val="center"/>
          </w:tcPr>
          <w:p w14:paraId="09849DBA">
            <w:pPr>
              <w:jc w:val="center"/>
              <w:rPr>
                <w:rFonts w:ascii="宋体" w:hAnsi="宋体" w:eastAsia="宋体" w:cs="Times New Roman"/>
                <w:color w:val="auto"/>
              </w:rPr>
            </w:pPr>
            <w:r>
              <w:rPr>
                <w:rFonts w:ascii="宋体" w:hAnsi="宋体" w:eastAsia="宋体" w:cs="Times New Roman"/>
                <w:color w:val="auto"/>
              </w:rPr>
              <w:t>0.27</w:t>
            </w:r>
          </w:p>
        </w:tc>
        <w:tc>
          <w:tcPr>
            <w:tcW w:w="217" w:type="pct"/>
            <w:shd w:val="clear" w:color="000000" w:fill="FFFFFF"/>
            <w:vAlign w:val="center"/>
          </w:tcPr>
          <w:p w14:paraId="3FA3A6C3">
            <w:pPr>
              <w:jc w:val="center"/>
              <w:rPr>
                <w:rFonts w:ascii="宋体" w:hAnsi="宋体" w:eastAsia="宋体" w:cs="Times New Roman"/>
                <w:color w:val="auto"/>
              </w:rPr>
            </w:pPr>
            <w:r>
              <w:rPr>
                <w:rFonts w:ascii="宋体" w:hAnsi="宋体" w:eastAsia="宋体" w:cs="Times New Roman"/>
                <w:color w:val="auto"/>
              </w:rPr>
              <w:t>0.46</w:t>
            </w:r>
          </w:p>
        </w:tc>
        <w:tc>
          <w:tcPr>
            <w:tcW w:w="217" w:type="pct"/>
            <w:shd w:val="clear" w:color="000000" w:fill="FFFFFF"/>
            <w:vAlign w:val="center"/>
          </w:tcPr>
          <w:p w14:paraId="0441578B">
            <w:pPr>
              <w:jc w:val="center"/>
              <w:rPr>
                <w:rFonts w:ascii="宋体" w:hAnsi="宋体" w:eastAsia="宋体" w:cs="Times New Roman"/>
                <w:color w:val="auto"/>
              </w:rPr>
            </w:pPr>
            <w:r>
              <w:rPr>
                <w:rFonts w:ascii="宋体" w:hAnsi="宋体" w:eastAsia="宋体" w:cs="Times New Roman"/>
                <w:color w:val="auto"/>
              </w:rPr>
              <w:t>0.37</w:t>
            </w:r>
          </w:p>
        </w:tc>
        <w:tc>
          <w:tcPr>
            <w:tcW w:w="217" w:type="pct"/>
            <w:shd w:val="clear" w:color="000000" w:fill="FFFFFF"/>
            <w:vAlign w:val="center"/>
          </w:tcPr>
          <w:p w14:paraId="59C814A9">
            <w:pPr>
              <w:jc w:val="center"/>
              <w:rPr>
                <w:rFonts w:ascii="宋体" w:hAnsi="宋体" w:eastAsia="宋体" w:cs="Times New Roman"/>
                <w:color w:val="auto"/>
              </w:rPr>
            </w:pPr>
            <w:r>
              <w:rPr>
                <w:rFonts w:ascii="宋体" w:hAnsi="宋体" w:eastAsia="宋体" w:cs="Times New Roman"/>
                <w:color w:val="auto"/>
              </w:rPr>
              <w:t>0.31</w:t>
            </w:r>
          </w:p>
        </w:tc>
        <w:tc>
          <w:tcPr>
            <w:tcW w:w="217" w:type="pct"/>
            <w:shd w:val="clear" w:color="000000" w:fill="FFFFFF"/>
            <w:vAlign w:val="center"/>
          </w:tcPr>
          <w:p w14:paraId="6BCD74D4">
            <w:pPr>
              <w:jc w:val="center"/>
              <w:rPr>
                <w:rFonts w:ascii="宋体" w:hAnsi="宋体" w:eastAsia="宋体" w:cs="Times New Roman"/>
                <w:color w:val="auto"/>
              </w:rPr>
            </w:pPr>
            <w:r>
              <w:rPr>
                <w:rFonts w:ascii="宋体" w:hAnsi="宋体" w:eastAsia="宋体" w:cs="Times New Roman"/>
                <w:color w:val="auto"/>
              </w:rPr>
              <w:t>0.46</w:t>
            </w:r>
          </w:p>
        </w:tc>
        <w:tc>
          <w:tcPr>
            <w:tcW w:w="217" w:type="pct"/>
            <w:shd w:val="clear" w:color="000000" w:fill="FFFFFF"/>
            <w:vAlign w:val="center"/>
          </w:tcPr>
          <w:p w14:paraId="4407D643">
            <w:pPr>
              <w:jc w:val="center"/>
              <w:rPr>
                <w:rFonts w:ascii="宋体" w:hAnsi="宋体" w:eastAsia="宋体" w:cs="Times New Roman"/>
                <w:color w:val="auto"/>
              </w:rPr>
            </w:pPr>
            <w:r>
              <w:rPr>
                <w:rFonts w:ascii="宋体" w:hAnsi="宋体" w:eastAsia="宋体" w:cs="Times New Roman"/>
                <w:color w:val="auto"/>
              </w:rPr>
              <w:t>0.39</w:t>
            </w:r>
          </w:p>
        </w:tc>
        <w:tc>
          <w:tcPr>
            <w:tcW w:w="217" w:type="pct"/>
            <w:shd w:val="clear" w:color="000000" w:fill="FFFFFF"/>
            <w:vAlign w:val="center"/>
          </w:tcPr>
          <w:p w14:paraId="7BB39BE2">
            <w:pPr>
              <w:jc w:val="center"/>
              <w:rPr>
                <w:rFonts w:ascii="宋体" w:hAnsi="宋体" w:eastAsia="宋体" w:cs="Times New Roman"/>
                <w:color w:val="auto"/>
              </w:rPr>
            </w:pPr>
            <w:r>
              <w:rPr>
                <w:rFonts w:ascii="宋体" w:hAnsi="宋体" w:eastAsia="宋体" w:cs="Times New Roman"/>
                <w:color w:val="auto"/>
              </w:rPr>
              <w:t>0.24</w:t>
            </w:r>
          </w:p>
        </w:tc>
        <w:tc>
          <w:tcPr>
            <w:tcW w:w="217" w:type="pct"/>
            <w:shd w:val="clear" w:color="000000" w:fill="FFFFFF"/>
            <w:vAlign w:val="center"/>
          </w:tcPr>
          <w:p w14:paraId="34701B3F">
            <w:pPr>
              <w:jc w:val="center"/>
              <w:rPr>
                <w:rFonts w:ascii="宋体" w:hAnsi="宋体" w:eastAsia="宋体" w:cs="Times New Roman"/>
                <w:color w:val="auto"/>
              </w:rPr>
            </w:pPr>
            <w:r>
              <w:rPr>
                <w:rFonts w:ascii="宋体" w:hAnsi="宋体" w:eastAsia="宋体" w:cs="Times New Roman"/>
                <w:color w:val="auto"/>
              </w:rPr>
              <w:t>0.21</w:t>
            </w:r>
          </w:p>
        </w:tc>
        <w:tc>
          <w:tcPr>
            <w:tcW w:w="217" w:type="pct"/>
            <w:shd w:val="clear" w:color="000000" w:fill="FFFFFF"/>
            <w:vAlign w:val="center"/>
          </w:tcPr>
          <w:p w14:paraId="4BD21A53">
            <w:pPr>
              <w:jc w:val="center"/>
              <w:rPr>
                <w:rFonts w:ascii="宋体" w:hAnsi="宋体" w:eastAsia="宋体" w:cs="Times New Roman"/>
                <w:color w:val="auto"/>
              </w:rPr>
            </w:pPr>
            <w:r>
              <w:rPr>
                <w:rFonts w:ascii="宋体" w:hAnsi="宋体" w:eastAsia="宋体" w:cs="Times New Roman"/>
                <w:color w:val="auto"/>
              </w:rPr>
              <w:t>0.48</w:t>
            </w:r>
          </w:p>
        </w:tc>
        <w:tc>
          <w:tcPr>
            <w:tcW w:w="217" w:type="pct"/>
            <w:shd w:val="clear" w:color="000000" w:fill="FFFFFF"/>
            <w:vAlign w:val="center"/>
          </w:tcPr>
          <w:p w14:paraId="5648C535">
            <w:pPr>
              <w:jc w:val="center"/>
              <w:rPr>
                <w:rFonts w:ascii="宋体" w:hAnsi="宋体" w:eastAsia="宋体" w:cs="Times New Roman"/>
                <w:color w:val="auto"/>
              </w:rPr>
            </w:pPr>
            <w:r>
              <w:rPr>
                <w:rFonts w:ascii="宋体" w:hAnsi="宋体" w:eastAsia="宋体" w:cs="Times New Roman"/>
                <w:color w:val="auto"/>
              </w:rPr>
              <w:t>0.22</w:t>
            </w:r>
          </w:p>
        </w:tc>
        <w:tc>
          <w:tcPr>
            <w:tcW w:w="217" w:type="pct"/>
            <w:shd w:val="clear" w:color="000000" w:fill="FFFFFF"/>
            <w:noWrap/>
            <w:vAlign w:val="center"/>
          </w:tcPr>
          <w:p w14:paraId="40C2610A">
            <w:pPr>
              <w:jc w:val="center"/>
              <w:rPr>
                <w:rFonts w:ascii="宋体" w:hAnsi="宋体" w:eastAsia="宋体"/>
                <w:color w:val="auto"/>
                <w:szCs w:val="22"/>
              </w:rPr>
            </w:pPr>
            <w:r>
              <w:rPr>
                <w:rFonts w:hint="eastAsia" w:ascii="宋体" w:hAnsi="宋体" w:eastAsia="宋体"/>
                <w:color w:val="auto"/>
                <w:szCs w:val="22"/>
              </w:rPr>
              <w:t>0.52</w:t>
            </w:r>
          </w:p>
        </w:tc>
        <w:tc>
          <w:tcPr>
            <w:tcW w:w="217" w:type="pct"/>
            <w:shd w:val="clear" w:color="000000" w:fill="FFFFFF"/>
            <w:noWrap/>
            <w:vAlign w:val="center"/>
          </w:tcPr>
          <w:p w14:paraId="7C118DDA">
            <w:pPr>
              <w:jc w:val="center"/>
              <w:rPr>
                <w:rFonts w:ascii="宋体" w:hAnsi="宋体" w:eastAsia="宋体"/>
                <w:color w:val="auto"/>
                <w:szCs w:val="22"/>
              </w:rPr>
            </w:pPr>
            <w:r>
              <w:rPr>
                <w:rFonts w:hint="eastAsia" w:ascii="宋体" w:hAnsi="宋体" w:eastAsia="宋体"/>
                <w:color w:val="auto"/>
                <w:szCs w:val="22"/>
              </w:rPr>
              <w:t>0.21</w:t>
            </w:r>
          </w:p>
        </w:tc>
        <w:tc>
          <w:tcPr>
            <w:tcW w:w="217" w:type="pct"/>
            <w:shd w:val="clear" w:color="000000" w:fill="FFFFFF"/>
            <w:noWrap/>
            <w:vAlign w:val="center"/>
          </w:tcPr>
          <w:p w14:paraId="487BE080">
            <w:pPr>
              <w:jc w:val="center"/>
              <w:rPr>
                <w:rFonts w:ascii="宋体" w:hAnsi="宋体" w:eastAsia="宋体"/>
                <w:color w:val="auto"/>
                <w:szCs w:val="22"/>
              </w:rPr>
            </w:pPr>
            <w:r>
              <w:rPr>
                <w:rFonts w:hint="eastAsia" w:ascii="宋体" w:hAnsi="宋体" w:eastAsia="宋体"/>
                <w:color w:val="auto"/>
                <w:szCs w:val="22"/>
              </w:rPr>
              <w:t>0.109</w:t>
            </w:r>
          </w:p>
        </w:tc>
        <w:tc>
          <w:tcPr>
            <w:tcW w:w="227" w:type="pct"/>
            <w:shd w:val="clear" w:color="000000" w:fill="FFFFFF"/>
            <w:noWrap/>
            <w:vAlign w:val="center"/>
          </w:tcPr>
          <w:p w14:paraId="53607587">
            <w:pPr>
              <w:jc w:val="center"/>
              <w:rPr>
                <w:rFonts w:ascii="宋体" w:hAnsi="宋体" w:eastAsia="宋体"/>
                <w:color w:val="auto"/>
                <w:szCs w:val="22"/>
              </w:rPr>
            </w:pPr>
            <w:r>
              <w:rPr>
                <w:rFonts w:hint="eastAsia" w:ascii="宋体" w:hAnsi="宋体" w:eastAsia="宋体"/>
                <w:color w:val="auto"/>
                <w:szCs w:val="22"/>
              </w:rPr>
              <w:t>0.374</w:t>
            </w:r>
          </w:p>
        </w:tc>
        <w:tc>
          <w:tcPr>
            <w:tcW w:w="217" w:type="pct"/>
            <w:shd w:val="clear" w:color="000000" w:fill="FFFFFF"/>
            <w:noWrap/>
            <w:vAlign w:val="center"/>
          </w:tcPr>
          <w:p w14:paraId="36898C84">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55E080F0">
            <w:pPr>
              <w:jc w:val="center"/>
              <w:rPr>
                <w:rFonts w:ascii="宋体" w:hAnsi="宋体" w:eastAsia="宋体"/>
                <w:color w:val="auto"/>
                <w:szCs w:val="22"/>
              </w:rPr>
            </w:pPr>
            <w:r>
              <w:rPr>
                <w:rFonts w:hint="eastAsia" w:ascii="宋体" w:hAnsi="宋体" w:eastAsia="宋体"/>
                <w:color w:val="auto"/>
                <w:szCs w:val="22"/>
              </w:rPr>
              <w:t>0</w:t>
            </w:r>
          </w:p>
        </w:tc>
      </w:tr>
      <w:tr w14:paraId="28B7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68F88FAB">
            <w:pPr>
              <w:jc w:val="center"/>
              <w:rPr>
                <w:rFonts w:ascii="宋体" w:hAnsi="宋体" w:eastAsia="宋体"/>
                <w:color w:val="auto"/>
              </w:rPr>
            </w:pPr>
            <w:r>
              <w:rPr>
                <w:rFonts w:hint="eastAsia" w:ascii="宋体" w:hAnsi="宋体" w:eastAsia="宋体"/>
                <w:color w:val="auto"/>
              </w:rPr>
              <w:t>硝酸盐(以N计)</w:t>
            </w:r>
          </w:p>
        </w:tc>
        <w:tc>
          <w:tcPr>
            <w:tcW w:w="232" w:type="pct"/>
            <w:shd w:val="clear" w:color="000000" w:fill="FFFFFF"/>
            <w:vAlign w:val="center"/>
          </w:tcPr>
          <w:p w14:paraId="22AC7115">
            <w:pPr>
              <w:jc w:val="center"/>
              <w:rPr>
                <w:rFonts w:ascii="宋体" w:hAnsi="宋体" w:eastAsia="宋体" w:cs="Times New Roman"/>
                <w:color w:val="auto"/>
              </w:rPr>
            </w:pPr>
            <w:r>
              <w:rPr>
                <w:rFonts w:ascii="宋体" w:hAnsi="宋体" w:eastAsia="宋体" w:cs="Times New Roman"/>
                <w:color w:val="auto"/>
              </w:rPr>
              <w:t>0.114</w:t>
            </w:r>
          </w:p>
        </w:tc>
        <w:tc>
          <w:tcPr>
            <w:tcW w:w="217" w:type="pct"/>
            <w:shd w:val="clear" w:color="000000" w:fill="FFFFFF"/>
            <w:vAlign w:val="center"/>
          </w:tcPr>
          <w:p w14:paraId="4C7B03ED">
            <w:pPr>
              <w:jc w:val="center"/>
              <w:rPr>
                <w:rFonts w:ascii="宋体" w:hAnsi="宋体" w:eastAsia="宋体" w:cs="Times New Roman"/>
                <w:color w:val="auto"/>
              </w:rPr>
            </w:pPr>
            <w:r>
              <w:rPr>
                <w:rFonts w:ascii="宋体" w:hAnsi="宋体" w:eastAsia="宋体" w:cs="Times New Roman"/>
                <w:color w:val="auto"/>
              </w:rPr>
              <w:t>0.121</w:t>
            </w:r>
          </w:p>
        </w:tc>
        <w:tc>
          <w:tcPr>
            <w:tcW w:w="217" w:type="pct"/>
            <w:shd w:val="clear" w:color="000000" w:fill="FFFFFF"/>
            <w:vAlign w:val="center"/>
          </w:tcPr>
          <w:p w14:paraId="26527803">
            <w:pPr>
              <w:jc w:val="center"/>
              <w:rPr>
                <w:rFonts w:ascii="宋体" w:hAnsi="宋体" w:eastAsia="宋体" w:cs="Times New Roman"/>
                <w:color w:val="auto"/>
              </w:rPr>
            </w:pPr>
            <w:r>
              <w:rPr>
                <w:rFonts w:ascii="宋体" w:hAnsi="宋体" w:eastAsia="宋体" w:cs="Times New Roman"/>
                <w:color w:val="auto"/>
              </w:rPr>
              <w:t>0.11</w:t>
            </w:r>
          </w:p>
        </w:tc>
        <w:tc>
          <w:tcPr>
            <w:tcW w:w="217" w:type="pct"/>
            <w:shd w:val="clear" w:color="000000" w:fill="FFFFFF"/>
            <w:vAlign w:val="center"/>
          </w:tcPr>
          <w:p w14:paraId="44D2C78F">
            <w:pPr>
              <w:jc w:val="center"/>
              <w:rPr>
                <w:rFonts w:ascii="宋体" w:hAnsi="宋体" w:eastAsia="宋体" w:cs="Times New Roman"/>
                <w:color w:val="auto"/>
              </w:rPr>
            </w:pPr>
            <w:r>
              <w:rPr>
                <w:rFonts w:ascii="宋体" w:hAnsi="宋体" w:eastAsia="宋体" w:cs="Times New Roman"/>
                <w:color w:val="auto"/>
              </w:rPr>
              <w:t>0.139</w:t>
            </w:r>
          </w:p>
        </w:tc>
        <w:tc>
          <w:tcPr>
            <w:tcW w:w="217" w:type="pct"/>
            <w:shd w:val="clear" w:color="000000" w:fill="FFFFFF"/>
            <w:vAlign w:val="center"/>
          </w:tcPr>
          <w:p w14:paraId="653E82D4">
            <w:pPr>
              <w:jc w:val="center"/>
              <w:rPr>
                <w:rFonts w:ascii="宋体" w:hAnsi="宋体" w:eastAsia="宋体" w:cs="Times New Roman"/>
                <w:color w:val="auto"/>
              </w:rPr>
            </w:pPr>
            <w:r>
              <w:rPr>
                <w:rFonts w:ascii="宋体" w:hAnsi="宋体" w:eastAsia="宋体" w:cs="Times New Roman"/>
                <w:color w:val="auto"/>
              </w:rPr>
              <w:t>0.153</w:t>
            </w:r>
          </w:p>
        </w:tc>
        <w:tc>
          <w:tcPr>
            <w:tcW w:w="217" w:type="pct"/>
            <w:shd w:val="clear" w:color="000000" w:fill="FFFFFF"/>
            <w:vAlign w:val="center"/>
          </w:tcPr>
          <w:p w14:paraId="2A2DDC9A">
            <w:pPr>
              <w:jc w:val="center"/>
              <w:rPr>
                <w:rFonts w:ascii="宋体" w:hAnsi="宋体" w:eastAsia="宋体" w:cs="Times New Roman"/>
                <w:color w:val="auto"/>
              </w:rPr>
            </w:pPr>
            <w:r>
              <w:rPr>
                <w:rFonts w:ascii="宋体" w:hAnsi="宋体" w:eastAsia="宋体" w:cs="Times New Roman"/>
                <w:color w:val="auto"/>
              </w:rPr>
              <w:t>0.07</w:t>
            </w:r>
          </w:p>
        </w:tc>
        <w:tc>
          <w:tcPr>
            <w:tcW w:w="217" w:type="pct"/>
            <w:shd w:val="clear" w:color="000000" w:fill="FFFFFF"/>
            <w:vAlign w:val="center"/>
          </w:tcPr>
          <w:p w14:paraId="3C74D4C4">
            <w:pPr>
              <w:jc w:val="center"/>
              <w:rPr>
                <w:rFonts w:ascii="宋体" w:hAnsi="宋体" w:eastAsia="宋体" w:cs="Times New Roman"/>
                <w:color w:val="auto"/>
              </w:rPr>
            </w:pPr>
            <w:r>
              <w:rPr>
                <w:rFonts w:ascii="宋体" w:hAnsi="宋体" w:eastAsia="宋体" w:cs="Times New Roman"/>
                <w:color w:val="auto"/>
              </w:rPr>
              <w:t>0.079</w:t>
            </w:r>
          </w:p>
        </w:tc>
        <w:tc>
          <w:tcPr>
            <w:tcW w:w="217" w:type="pct"/>
            <w:shd w:val="clear" w:color="000000" w:fill="FFFFFF"/>
            <w:vAlign w:val="center"/>
          </w:tcPr>
          <w:p w14:paraId="69132E5B">
            <w:pPr>
              <w:jc w:val="center"/>
              <w:rPr>
                <w:rFonts w:ascii="宋体" w:hAnsi="宋体" w:eastAsia="宋体" w:cs="Times New Roman"/>
                <w:color w:val="auto"/>
              </w:rPr>
            </w:pPr>
            <w:r>
              <w:rPr>
                <w:rFonts w:ascii="宋体" w:hAnsi="宋体" w:eastAsia="宋体" w:cs="Times New Roman"/>
                <w:color w:val="auto"/>
              </w:rPr>
              <w:t>0.123</w:t>
            </w:r>
          </w:p>
        </w:tc>
        <w:tc>
          <w:tcPr>
            <w:tcW w:w="217" w:type="pct"/>
            <w:shd w:val="clear" w:color="000000" w:fill="FFFFFF"/>
            <w:vAlign w:val="center"/>
          </w:tcPr>
          <w:p w14:paraId="1FE63A05">
            <w:pPr>
              <w:jc w:val="center"/>
              <w:rPr>
                <w:rFonts w:ascii="宋体" w:hAnsi="宋体" w:eastAsia="宋体" w:cs="Times New Roman"/>
                <w:color w:val="auto"/>
              </w:rPr>
            </w:pPr>
            <w:r>
              <w:rPr>
                <w:rFonts w:ascii="宋体" w:hAnsi="宋体" w:eastAsia="宋体" w:cs="Times New Roman"/>
                <w:color w:val="auto"/>
              </w:rPr>
              <w:t>0.099</w:t>
            </w:r>
          </w:p>
        </w:tc>
        <w:tc>
          <w:tcPr>
            <w:tcW w:w="217" w:type="pct"/>
            <w:shd w:val="clear" w:color="000000" w:fill="FFFFFF"/>
            <w:vAlign w:val="center"/>
          </w:tcPr>
          <w:p w14:paraId="5E4C86F0">
            <w:pPr>
              <w:jc w:val="center"/>
              <w:rPr>
                <w:rFonts w:ascii="宋体" w:hAnsi="宋体" w:eastAsia="宋体" w:cs="Times New Roman"/>
                <w:color w:val="auto"/>
              </w:rPr>
            </w:pPr>
            <w:r>
              <w:rPr>
                <w:rFonts w:ascii="宋体" w:hAnsi="宋体" w:eastAsia="宋体" w:cs="Times New Roman"/>
                <w:color w:val="auto"/>
              </w:rPr>
              <w:t>0.101</w:t>
            </w:r>
          </w:p>
        </w:tc>
        <w:tc>
          <w:tcPr>
            <w:tcW w:w="217" w:type="pct"/>
            <w:shd w:val="clear" w:color="000000" w:fill="FFFFFF"/>
            <w:vAlign w:val="center"/>
          </w:tcPr>
          <w:p w14:paraId="38E19D13">
            <w:pPr>
              <w:jc w:val="center"/>
              <w:rPr>
                <w:rFonts w:ascii="宋体" w:hAnsi="宋体" w:eastAsia="宋体" w:cs="Times New Roman"/>
                <w:color w:val="auto"/>
              </w:rPr>
            </w:pPr>
            <w:r>
              <w:rPr>
                <w:rFonts w:ascii="宋体" w:hAnsi="宋体" w:eastAsia="宋体" w:cs="Times New Roman"/>
                <w:color w:val="auto"/>
              </w:rPr>
              <w:t>0.116</w:t>
            </w:r>
          </w:p>
        </w:tc>
        <w:tc>
          <w:tcPr>
            <w:tcW w:w="217" w:type="pct"/>
            <w:shd w:val="clear" w:color="000000" w:fill="FFFFFF"/>
            <w:vAlign w:val="center"/>
          </w:tcPr>
          <w:p w14:paraId="4253AD5B">
            <w:pPr>
              <w:jc w:val="center"/>
              <w:rPr>
                <w:rFonts w:ascii="宋体" w:hAnsi="宋体" w:eastAsia="宋体" w:cs="Times New Roman"/>
                <w:color w:val="auto"/>
              </w:rPr>
            </w:pPr>
            <w:r>
              <w:rPr>
                <w:rFonts w:ascii="宋体" w:hAnsi="宋体" w:eastAsia="宋体" w:cs="Times New Roman"/>
                <w:color w:val="auto"/>
              </w:rPr>
              <w:t>0.126</w:t>
            </w:r>
          </w:p>
        </w:tc>
        <w:tc>
          <w:tcPr>
            <w:tcW w:w="217" w:type="pct"/>
            <w:shd w:val="clear" w:color="000000" w:fill="FFFFFF"/>
            <w:vAlign w:val="center"/>
          </w:tcPr>
          <w:p w14:paraId="1F2E5287">
            <w:pPr>
              <w:jc w:val="center"/>
              <w:rPr>
                <w:rFonts w:ascii="宋体" w:hAnsi="宋体" w:eastAsia="宋体" w:cs="Times New Roman"/>
                <w:color w:val="auto"/>
              </w:rPr>
            </w:pPr>
            <w:r>
              <w:rPr>
                <w:rFonts w:ascii="宋体" w:hAnsi="宋体" w:eastAsia="宋体" w:cs="Times New Roman"/>
                <w:color w:val="auto"/>
              </w:rPr>
              <w:t>0.082</w:t>
            </w:r>
          </w:p>
        </w:tc>
        <w:tc>
          <w:tcPr>
            <w:tcW w:w="217" w:type="pct"/>
            <w:shd w:val="clear" w:color="000000" w:fill="FFFFFF"/>
            <w:vAlign w:val="center"/>
          </w:tcPr>
          <w:p w14:paraId="4F20D00C">
            <w:pPr>
              <w:jc w:val="center"/>
              <w:rPr>
                <w:rFonts w:ascii="宋体" w:hAnsi="宋体" w:eastAsia="宋体" w:cs="Times New Roman"/>
                <w:color w:val="auto"/>
              </w:rPr>
            </w:pPr>
            <w:r>
              <w:rPr>
                <w:rFonts w:ascii="宋体" w:hAnsi="宋体" w:eastAsia="宋体" w:cs="Times New Roman"/>
                <w:color w:val="auto"/>
              </w:rPr>
              <w:t>0.078</w:t>
            </w:r>
          </w:p>
        </w:tc>
        <w:tc>
          <w:tcPr>
            <w:tcW w:w="217" w:type="pct"/>
            <w:shd w:val="clear" w:color="000000" w:fill="FFFFFF"/>
            <w:vAlign w:val="center"/>
          </w:tcPr>
          <w:p w14:paraId="38DA2F61">
            <w:pPr>
              <w:jc w:val="center"/>
              <w:rPr>
                <w:rFonts w:ascii="宋体" w:hAnsi="宋体" w:eastAsia="宋体" w:cs="Times New Roman"/>
                <w:color w:val="auto"/>
              </w:rPr>
            </w:pPr>
            <w:r>
              <w:rPr>
                <w:rFonts w:ascii="宋体" w:hAnsi="宋体" w:eastAsia="宋体" w:cs="Times New Roman"/>
                <w:color w:val="auto"/>
              </w:rPr>
              <w:t>0.109</w:t>
            </w:r>
          </w:p>
        </w:tc>
        <w:tc>
          <w:tcPr>
            <w:tcW w:w="217" w:type="pct"/>
            <w:shd w:val="clear" w:color="000000" w:fill="FFFFFF"/>
            <w:vAlign w:val="center"/>
          </w:tcPr>
          <w:p w14:paraId="25587FF8">
            <w:pPr>
              <w:jc w:val="center"/>
              <w:rPr>
                <w:rFonts w:ascii="宋体" w:hAnsi="宋体" w:eastAsia="宋体" w:cs="Times New Roman"/>
                <w:color w:val="auto"/>
              </w:rPr>
            </w:pPr>
            <w:r>
              <w:rPr>
                <w:rFonts w:ascii="宋体" w:hAnsi="宋体" w:eastAsia="宋体" w:cs="Times New Roman"/>
                <w:color w:val="auto"/>
              </w:rPr>
              <w:t>0.071</w:t>
            </w:r>
          </w:p>
        </w:tc>
        <w:tc>
          <w:tcPr>
            <w:tcW w:w="217" w:type="pct"/>
            <w:shd w:val="clear" w:color="000000" w:fill="FFFFFF"/>
            <w:noWrap/>
            <w:vAlign w:val="center"/>
          </w:tcPr>
          <w:p w14:paraId="4F321DDE">
            <w:pPr>
              <w:jc w:val="center"/>
              <w:rPr>
                <w:rFonts w:ascii="宋体" w:hAnsi="宋体" w:eastAsia="宋体"/>
                <w:color w:val="auto"/>
                <w:szCs w:val="22"/>
              </w:rPr>
            </w:pPr>
            <w:r>
              <w:rPr>
                <w:rFonts w:hint="eastAsia" w:ascii="宋体" w:hAnsi="宋体" w:eastAsia="宋体"/>
                <w:color w:val="auto"/>
                <w:szCs w:val="22"/>
              </w:rPr>
              <w:t>0.153</w:t>
            </w:r>
          </w:p>
        </w:tc>
        <w:tc>
          <w:tcPr>
            <w:tcW w:w="217" w:type="pct"/>
            <w:shd w:val="clear" w:color="000000" w:fill="FFFFFF"/>
            <w:noWrap/>
            <w:vAlign w:val="center"/>
          </w:tcPr>
          <w:p w14:paraId="50B0A025">
            <w:pPr>
              <w:jc w:val="center"/>
              <w:rPr>
                <w:rFonts w:ascii="宋体" w:hAnsi="宋体" w:eastAsia="宋体"/>
                <w:color w:val="auto"/>
                <w:szCs w:val="22"/>
              </w:rPr>
            </w:pPr>
            <w:r>
              <w:rPr>
                <w:rFonts w:hint="eastAsia" w:ascii="宋体" w:hAnsi="宋体" w:eastAsia="宋体"/>
                <w:color w:val="auto"/>
                <w:szCs w:val="22"/>
              </w:rPr>
              <w:t>0.07</w:t>
            </w:r>
          </w:p>
        </w:tc>
        <w:tc>
          <w:tcPr>
            <w:tcW w:w="217" w:type="pct"/>
            <w:shd w:val="clear" w:color="000000" w:fill="FFFFFF"/>
            <w:noWrap/>
            <w:vAlign w:val="center"/>
          </w:tcPr>
          <w:p w14:paraId="22FC84C2">
            <w:pPr>
              <w:jc w:val="center"/>
              <w:rPr>
                <w:rFonts w:ascii="宋体" w:hAnsi="宋体" w:eastAsia="宋体"/>
                <w:color w:val="auto"/>
                <w:szCs w:val="22"/>
              </w:rPr>
            </w:pPr>
            <w:r>
              <w:rPr>
                <w:rFonts w:hint="eastAsia" w:ascii="宋体" w:hAnsi="宋体" w:eastAsia="宋体"/>
                <w:color w:val="auto"/>
                <w:szCs w:val="22"/>
              </w:rPr>
              <w:t>0.029</w:t>
            </w:r>
          </w:p>
        </w:tc>
        <w:tc>
          <w:tcPr>
            <w:tcW w:w="227" w:type="pct"/>
            <w:shd w:val="clear" w:color="000000" w:fill="FFFFFF"/>
            <w:noWrap/>
            <w:vAlign w:val="center"/>
          </w:tcPr>
          <w:p w14:paraId="4C7DCDBC">
            <w:pPr>
              <w:jc w:val="center"/>
              <w:rPr>
                <w:rFonts w:ascii="宋体" w:hAnsi="宋体" w:eastAsia="宋体"/>
                <w:color w:val="auto"/>
                <w:szCs w:val="22"/>
              </w:rPr>
            </w:pPr>
            <w:r>
              <w:rPr>
                <w:rFonts w:hint="eastAsia" w:ascii="宋体" w:hAnsi="宋体" w:eastAsia="宋体"/>
                <w:color w:val="auto"/>
                <w:szCs w:val="22"/>
              </w:rPr>
              <w:t>0.106</w:t>
            </w:r>
          </w:p>
        </w:tc>
        <w:tc>
          <w:tcPr>
            <w:tcW w:w="217" w:type="pct"/>
            <w:shd w:val="clear" w:color="000000" w:fill="FFFFFF"/>
            <w:noWrap/>
            <w:vAlign w:val="center"/>
          </w:tcPr>
          <w:p w14:paraId="114A752C">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707DE496">
            <w:pPr>
              <w:jc w:val="center"/>
              <w:rPr>
                <w:rFonts w:ascii="宋体" w:hAnsi="宋体" w:eastAsia="宋体"/>
                <w:color w:val="auto"/>
                <w:szCs w:val="22"/>
              </w:rPr>
            </w:pPr>
            <w:r>
              <w:rPr>
                <w:rFonts w:hint="eastAsia" w:ascii="宋体" w:hAnsi="宋体" w:eastAsia="宋体"/>
                <w:color w:val="auto"/>
                <w:szCs w:val="22"/>
              </w:rPr>
              <w:t>0</w:t>
            </w:r>
          </w:p>
        </w:tc>
      </w:tr>
      <w:tr w14:paraId="5CEC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17286452">
            <w:pPr>
              <w:jc w:val="center"/>
              <w:rPr>
                <w:rFonts w:ascii="宋体" w:hAnsi="宋体" w:eastAsia="宋体"/>
                <w:color w:val="auto"/>
              </w:rPr>
            </w:pPr>
            <w:r>
              <w:rPr>
                <w:rFonts w:hint="eastAsia" w:ascii="宋体" w:hAnsi="宋体" w:eastAsia="宋体"/>
                <w:color w:val="auto"/>
              </w:rPr>
              <w:t>亚硝酸盐(以N计)</w:t>
            </w:r>
          </w:p>
        </w:tc>
        <w:tc>
          <w:tcPr>
            <w:tcW w:w="232" w:type="pct"/>
            <w:shd w:val="clear" w:color="000000" w:fill="FFFFFF"/>
            <w:noWrap/>
            <w:vAlign w:val="center"/>
          </w:tcPr>
          <w:p w14:paraId="039D4B33">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445A99DA">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62CD0E1E">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6FA39180">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7111DE52">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558AF5AF">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4F002B31">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5485D0DD">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2CAA94DD">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271DAF50">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38DB5F6A">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52E826B2">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2F21558E">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2CDBE8BA">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0B7BEDA2">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2C580CF6">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48F5FA2E">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1F8B951F">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48E49B01">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051B5FEA">
            <w:pPr>
              <w:jc w:val="center"/>
              <w:rPr>
                <w:rFonts w:ascii="宋体" w:hAnsi="宋体" w:eastAsia="宋体"/>
                <w:color w:val="auto"/>
                <w:szCs w:val="22"/>
              </w:rPr>
            </w:pPr>
            <w:r>
              <w:rPr>
                <w:rFonts w:hint="eastAsia" w:ascii="宋体" w:hAnsi="宋体" w:eastAsia="宋体"/>
                <w:color w:val="auto"/>
                <w:szCs w:val="22"/>
              </w:rPr>
              <w:t>0.0015</w:t>
            </w:r>
          </w:p>
        </w:tc>
        <w:tc>
          <w:tcPr>
            <w:tcW w:w="217" w:type="pct"/>
            <w:shd w:val="clear" w:color="000000" w:fill="FFFFFF"/>
            <w:noWrap/>
            <w:vAlign w:val="center"/>
          </w:tcPr>
          <w:p w14:paraId="063B52BA">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2CE15E52">
            <w:pPr>
              <w:jc w:val="center"/>
              <w:rPr>
                <w:rFonts w:ascii="宋体" w:hAnsi="宋体" w:eastAsia="宋体"/>
                <w:color w:val="auto"/>
                <w:szCs w:val="22"/>
              </w:rPr>
            </w:pPr>
            <w:r>
              <w:rPr>
                <w:rFonts w:hint="eastAsia" w:ascii="宋体" w:hAnsi="宋体" w:eastAsia="宋体"/>
                <w:color w:val="auto"/>
                <w:szCs w:val="22"/>
              </w:rPr>
              <w:t>0</w:t>
            </w:r>
          </w:p>
        </w:tc>
      </w:tr>
      <w:tr w14:paraId="2D79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6F197F6F">
            <w:pPr>
              <w:jc w:val="center"/>
              <w:rPr>
                <w:rFonts w:ascii="宋体" w:hAnsi="宋体" w:eastAsia="宋体"/>
                <w:color w:val="auto"/>
              </w:rPr>
            </w:pPr>
            <w:r>
              <w:rPr>
                <w:rFonts w:hint="eastAsia" w:ascii="宋体" w:hAnsi="宋体" w:eastAsia="宋体"/>
                <w:color w:val="auto"/>
              </w:rPr>
              <w:t>氨氮</w:t>
            </w:r>
          </w:p>
        </w:tc>
        <w:tc>
          <w:tcPr>
            <w:tcW w:w="232" w:type="pct"/>
            <w:shd w:val="clear" w:color="000000" w:fill="FFFFFF"/>
            <w:vAlign w:val="center"/>
          </w:tcPr>
          <w:p w14:paraId="403AC048">
            <w:pPr>
              <w:jc w:val="center"/>
              <w:rPr>
                <w:rFonts w:ascii="宋体" w:hAnsi="宋体" w:eastAsia="宋体" w:cs="Times New Roman"/>
                <w:color w:val="auto"/>
              </w:rPr>
            </w:pPr>
            <w:r>
              <w:rPr>
                <w:rFonts w:ascii="宋体" w:hAnsi="宋体" w:eastAsia="宋体" w:cs="Times New Roman"/>
                <w:color w:val="auto"/>
              </w:rPr>
              <w:t>0.404</w:t>
            </w:r>
          </w:p>
        </w:tc>
        <w:tc>
          <w:tcPr>
            <w:tcW w:w="217" w:type="pct"/>
            <w:shd w:val="clear" w:color="000000" w:fill="FFFFFF"/>
            <w:vAlign w:val="center"/>
          </w:tcPr>
          <w:p w14:paraId="28EF66D8">
            <w:pPr>
              <w:jc w:val="center"/>
              <w:rPr>
                <w:rFonts w:ascii="宋体" w:hAnsi="宋体" w:eastAsia="宋体" w:cs="Times New Roman"/>
                <w:color w:val="auto"/>
              </w:rPr>
            </w:pPr>
            <w:r>
              <w:rPr>
                <w:rFonts w:ascii="宋体" w:hAnsi="宋体" w:eastAsia="宋体" w:cs="Times New Roman"/>
                <w:color w:val="auto"/>
              </w:rPr>
              <w:t>0.49</w:t>
            </w:r>
          </w:p>
        </w:tc>
        <w:tc>
          <w:tcPr>
            <w:tcW w:w="217" w:type="pct"/>
            <w:shd w:val="clear" w:color="000000" w:fill="FFFFFF"/>
            <w:vAlign w:val="center"/>
          </w:tcPr>
          <w:p w14:paraId="03493A66">
            <w:pPr>
              <w:jc w:val="center"/>
              <w:rPr>
                <w:rFonts w:ascii="宋体" w:hAnsi="宋体" w:eastAsia="宋体" w:cs="Times New Roman"/>
                <w:color w:val="auto"/>
              </w:rPr>
            </w:pPr>
            <w:r>
              <w:rPr>
                <w:rFonts w:ascii="宋体" w:hAnsi="宋体" w:eastAsia="宋体" w:cs="Times New Roman"/>
                <w:color w:val="auto"/>
              </w:rPr>
              <w:t>0.398</w:t>
            </w:r>
          </w:p>
        </w:tc>
        <w:tc>
          <w:tcPr>
            <w:tcW w:w="217" w:type="pct"/>
            <w:shd w:val="clear" w:color="000000" w:fill="FFFFFF"/>
            <w:vAlign w:val="center"/>
          </w:tcPr>
          <w:p w14:paraId="2B520AEF">
            <w:pPr>
              <w:jc w:val="center"/>
              <w:rPr>
                <w:rFonts w:ascii="宋体" w:hAnsi="宋体" w:eastAsia="宋体" w:cs="Times New Roman"/>
                <w:color w:val="auto"/>
              </w:rPr>
            </w:pPr>
            <w:r>
              <w:rPr>
                <w:rFonts w:ascii="宋体" w:hAnsi="宋体" w:eastAsia="宋体" w:cs="Times New Roman"/>
                <w:color w:val="auto"/>
              </w:rPr>
              <w:t>0.45</w:t>
            </w:r>
          </w:p>
        </w:tc>
        <w:tc>
          <w:tcPr>
            <w:tcW w:w="217" w:type="pct"/>
            <w:shd w:val="clear" w:color="000000" w:fill="FFFFFF"/>
            <w:vAlign w:val="center"/>
          </w:tcPr>
          <w:p w14:paraId="057A4F4B">
            <w:pPr>
              <w:jc w:val="center"/>
              <w:rPr>
                <w:rFonts w:ascii="宋体" w:hAnsi="宋体" w:eastAsia="宋体" w:cs="Times New Roman"/>
                <w:color w:val="auto"/>
              </w:rPr>
            </w:pPr>
            <w:r>
              <w:rPr>
                <w:rFonts w:ascii="宋体" w:hAnsi="宋体" w:eastAsia="宋体" w:cs="Times New Roman"/>
                <w:color w:val="auto"/>
              </w:rPr>
              <w:t>0.554</w:t>
            </w:r>
          </w:p>
        </w:tc>
        <w:tc>
          <w:tcPr>
            <w:tcW w:w="217" w:type="pct"/>
            <w:shd w:val="clear" w:color="000000" w:fill="FFFFFF"/>
            <w:vAlign w:val="center"/>
          </w:tcPr>
          <w:p w14:paraId="404099E8">
            <w:pPr>
              <w:jc w:val="center"/>
              <w:rPr>
                <w:rFonts w:ascii="宋体" w:hAnsi="宋体" w:eastAsia="宋体" w:cs="Times New Roman"/>
                <w:color w:val="auto"/>
              </w:rPr>
            </w:pPr>
            <w:r>
              <w:rPr>
                <w:rFonts w:ascii="宋体" w:hAnsi="宋体" w:eastAsia="宋体" w:cs="Times New Roman"/>
                <w:color w:val="auto"/>
              </w:rPr>
              <w:t>0.384</w:t>
            </w:r>
          </w:p>
        </w:tc>
        <w:tc>
          <w:tcPr>
            <w:tcW w:w="217" w:type="pct"/>
            <w:shd w:val="clear" w:color="000000" w:fill="FFFFFF"/>
            <w:vAlign w:val="center"/>
          </w:tcPr>
          <w:p w14:paraId="095D32D3">
            <w:pPr>
              <w:jc w:val="center"/>
              <w:rPr>
                <w:rFonts w:ascii="宋体" w:hAnsi="宋体" w:eastAsia="宋体" w:cs="Times New Roman"/>
                <w:color w:val="auto"/>
              </w:rPr>
            </w:pPr>
            <w:r>
              <w:rPr>
                <w:rFonts w:ascii="宋体" w:hAnsi="宋体" w:eastAsia="宋体" w:cs="Times New Roman"/>
                <w:color w:val="auto"/>
              </w:rPr>
              <w:t>0.352</w:t>
            </w:r>
          </w:p>
        </w:tc>
        <w:tc>
          <w:tcPr>
            <w:tcW w:w="217" w:type="pct"/>
            <w:shd w:val="clear" w:color="000000" w:fill="FFFFFF"/>
            <w:vAlign w:val="center"/>
          </w:tcPr>
          <w:p w14:paraId="57737E73">
            <w:pPr>
              <w:jc w:val="center"/>
              <w:rPr>
                <w:rFonts w:ascii="宋体" w:hAnsi="宋体" w:eastAsia="宋体" w:cs="Times New Roman"/>
                <w:color w:val="auto"/>
              </w:rPr>
            </w:pPr>
            <w:r>
              <w:rPr>
                <w:rFonts w:ascii="宋体" w:hAnsi="宋体" w:eastAsia="宋体" w:cs="Times New Roman"/>
                <w:color w:val="auto"/>
              </w:rPr>
              <w:t>0.62</w:t>
            </w:r>
          </w:p>
        </w:tc>
        <w:tc>
          <w:tcPr>
            <w:tcW w:w="217" w:type="pct"/>
            <w:shd w:val="clear" w:color="000000" w:fill="FFFFFF"/>
            <w:vAlign w:val="center"/>
          </w:tcPr>
          <w:p w14:paraId="04C6EBA8">
            <w:pPr>
              <w:jc w:val="center"/>
              <w:rPr>
                <w:rFonts w:ascii="宋体" w:hAnsi="宋体" w:eastAsia="宋体" w:cs="Times New Roman"/>
                <w:color w:val="auto"/>
              </w:rPr>
            </w:pPr>
            <w:r>
              <w:rPr>
                <w:rFonts w:ascii="宋体" w:hAnsi="宋体" w:eastAsia="宋体" w:cs="Times New Roman"/>
                <w:color w:val="auto"/>
              </w:rPr>
              <w:t>0.574</w:t>
            </w:r>
          </w:p>
        </w:tc>
        <w:tc>
          <w:tcPr>
            <w:tcW w:w="217" w:type="pct"/>
            <w:shd w:val="clear" w:color="000000" w:fill="FFFFFF"/>
            <w:vAlign w:val="center"/>
          </w:tcPr>
          <w:p w14:paraId="5E4B3265">
            <w:pPr>
              <w:jc w:val="center"/>
              <w:rPr>
                <w:rFonts w:ascii="宋体" w:hAnsi="宋体" w:eastAsia="宋体" w:cs="Times New Roman"/>
                <w:color w:val="auto"/>
              </w:rPr>
            </w:pPr>
            <w:r>
              <w:rPr>
                <w:rFonts w:ascii="宋体" w:hAnsi="宋体" w:eastAsia="宋体" w:cs="Times New Roman"/>
                <w:color w:val="auto"/>
              </w:rPr>
              <w:t>0.6</w:t>
            </w:r>
          </w:p>
        </w:tc>
        <w:tc>
          <w:tcPr>
            <w:tcW w:w="217" w:type="pct"/>
            <w:shd w:val="clear" w:color="000000" w:fill="FFFFFF"/>
            <w:vAlign w:val="center"/>
          </w:tcPr>
          <w:p w14:paraId="05D92689">
            <w:pPr>
              <w:jc w:val="center"/>
              <w:rPr>
                <w:rFonts w:ascii="宋体" w:hAnsi="宋体" w:eastAsia="宋体" w:cs="Times New Roman"/>
                <w:color w:val="auto"/>
              </w:rPr>
            </w:pPr>
            <w:r>
              <w:rPr>
                <w:rFonts w:ascii="宋体" w:hAnsi="宋体" w:eastAsia="宋体" w:cs="Times New Roman"/>
                <w:color w:val="auto"/>
              </w:rPr>
              <w:t>0.672</w:t>
            </w:r>
          </w:p>
        </w:tc>
        <w:tc>
          <w:tcPr>
            <w:tcW w:w="217" w:type="pct"/>
            <w:shd w:val="clear" w:color="000000" w:fill="FFFFFF"/>
            <w:vAlign w:val="center"/>
          </w:tcPr>
          <w:p w14:paraId="76A80113">
            <w:pPr>
              <w:jc w:val="center"/>
              <w:rPr>
                <w:rFonts w:ascii="宋体" w:hAnsi="宋体" w:eastAsia="宋体" w:cs="Times New Roman"/>
                <w:color w:val="auto"/>
              </w:rPr>
            </w:pPr>
            <w:r>
              <w:rPr>
                <w:rFonts w:ascii="宋体" w:hAnsi="宋体" w:eastAsia="宋体" w:cs="Times New Roman"/>
                <w:color w:val="auto"/>
              </w:rPr>
              <w:t>0.536</w:t>
            </w:r>
          </w:p>
        </w:tc>
        <w:tc>
          <w:tcPr>
            <w:tcW w:w="217" w:type="pct"/>
            <w:shd w:val="clear" w:color="000000" w:fill="FFFFFF"/>
            <w:vAlign w:val="center"/>
          </w:tcPr>
          <w:p w14:paraId="263E35A8">
            <w:pPr>
              <w:jc w:val="center"/>
              <w:rPr>
                <w:rFonts w:ascii="宋体" w:hAnsi="宋体" w:eastAsia="宋体" w:cs="Times New Roman"/>
                <w:color w:val="auto"/>
              </w:rPr>
            </w:pPr>
            <w:r>
              <w:rPr>
                <w:rFonts w:ascii="宋体" w:hAnsi="宋体" w:eastAsia="宋体" w:cs="Times New Roman"/>
                <w:color w:val="auto"/>
              </w:rPr>
              <w:t>0.292</w:t>
            </w:r>
          </w:p>
        </w:tc>
        <w:tc>
          <w:tcPr>
            <w:tcW w:w="217" w:type="pct"/>
            <w:shd w:val="clear" w:color="000000" w:fill="FFFFFF"/>
            <w:vAlign w:val="center"/>
          </w:tcPr>
          <w:p w14:paraId="3B9D3C55">
            <w:pPr>
              <w:jc w:val="center"/>
              <w:rPr>
                <w:rFonts w:ascii="宋体" w:hAnsi="宋体" w:eastAsia="宋体" w:cs="Times New Roman"/>
                <w:color w:val="auto"/>
              </w:rPr>
            </w:pPr>
            <w:r>
              <w:rPr>
                <w:rFonts w:ascii="宋体" w:hAnsi="宋体" w:eastAsia="宋体" w:cs="Times New Roman"/>
                <w:color w:val="auto"/>
              </w:rPr>
              <w:t>0.266</w:t>
            </w:r>
          </w:p>
        </w:tc>
        <w:tc>
          <w:tcPr>
            <w:tcW w:w="217" w:type="pct"/>
            <w:shd w:val="clear" w:color="000000" w:fill="FFFFFF"/>
            <w:vAlign w:val="center"/>
          </w:tcPr>
          <w:p w14:paraId="1A205B9A">
            <w:pPr>
              <w:jc w:val="center"/>
              <w:rPr>
                <w:rFonts w:ascii="宋体" w:hAnsi="宋体" w:eastAsia="宋体" w:cs="Times New Roman"/>
                <w:color w:val="auto"/>
              </w:rPr>
            </w:pPr>
            <w:r>
              <w:rPr>
                <w:rFonts w:ascii="宋体" w:hAnsi="宋体" w:eastAsia="宋体" w:cs="Times New Roman"/>
                <w:color w:val="auto"/>
              </w:rPr>
              <w:t>0.548</w:t>
            </w:r>
          </w:p>
        </w:tc>
        <w:tc>
          <w:tcPr>
            <w:tcW w:w="217" w:type="pct"/>
            <w:shd w:val="clear" w:color="000000" w:fill="FFFFFF"/>
            <w:vAlign w:val="center"/>
          </w:tcPr>
          <w:p w14:paraId="6666EACD">
            <w:pPr>
              <w:jc w:val="center"/>
              <w:rPr>
                <w:rFonts w:ascii="宋体" w:hAnsi="宋体" w:eastAsia="宋体" w:cs="Times New Roman"/>
                <w:color w:val="auto"/>
              </w:rPr>
            </w:pPr>
            <w:r>
              <w:rPr>
                <w:rFonts w:ascii="宋体" w:hAnsi="宋体" w:eastAsia="宋体" w:cs="Times New Roman"/>
                <w:color w:val="auto"/>
              </w:rPr>
              <w:t>0.286</w:t>
            </w:r>
          </w:p>
        </w:tc>
        <w:tc>
          <w:tcPr>
            <w:tcW w:w="217" w:type="pct"/>
            <w:shd w:val="clear" w:color="000000" w:fill="FFFFFF"/>
            <w:noWrap/>
            <w:vAlign w:val="center"/>
          </w:tcPr>
          <w:p w14:paraId="154A9BBC">
            <w:pPr>
              <w:jc w:val="center"/>
              <w:rPr>
                <w:rFonts w:ascii="宋体" w:hAnsi="宋体" w:eastAsia="宋体"/>
                <w:color w:val="auto"/>
                <w:szCs w:val="22"/>
              </w:rPr>
            </w:pPr>
            <w:r>
              <w:rPr>
                <w:rFonts w:hint="eastAsia" w:ascii="宋体" w:hAnsi="宋体" w:eastAsia="宋体"/>
                <w:color w:val="auto"/>
                <w:szCs w:val="22"/>
              </w:rPr>
              <w:t>0.672</w:t>
            </w:r>
          </w:p>
        </w:tc>
        <w:tc>
          <w:tcPr>
            <w:tcW w:w="217" w:type="pct"/>
            <w:shd w:val="clear" w:color="000000" w:fill="FFFFFF"/>
            <w:noWrap/>
            <w:vAlign w:val="center"/>
          </w:tcPr>
          <w:p w14:paraId="6A4525EE">
            <w:pPr>
              <w:jc w:val="center"/>
              <w:rPr>
                <w:rFonts w:ascii="宋体" w:hAnsi="宋体" w:eastAsia="宋体"/>
                <w:color w:val="auto"/>
                <w:szCs w:val="22"/>
              </w:rPr>
            </w:pPr>
            <w:r>
              <w:rPr>
                <w:rFonts w:hint="eastAsia" w:ascii="宋体" w:hAnsi="宋体" w:eastAsia="宋体"/>
                <w:color w:val="auto"/>
                <w:szCs w:val="22"/>
              </w:rPr>
              <w:t>0.266</w:t>
            </w:r>
          </w:p>
        </w:tc>
        <w:tc>
          <w:tcPr>
            <w:tcW w:w="217" w:type="pct"/>
            <w:shd w:val="clear" w:color="000000" w:fill="FFFFFF"/>
            <w:noWrap/>
            <w:vAlign w:val="center"/>
          </w:tcPr>
          <w:p w14:paraId="79CD02DC">
            <w:pPr>
              <w:jc w:val="center"/>
              <w:rPr>
                <w:rFonts w:ascii="宋体" w:hAnsi="宋体" w:eastAsia="宋体"/>
                <w:color w:val="auto"/>
                <w:szCs w:val="22"/>
              </w:rPr>
            </w:pPr>
            <w:r>
              <w:rPr>
                <w:rFonts w:hint="eastAsia" w:ascii="宋体" w:hAnsi="宋体" w:eastAsia="宋体"/>
                <w:color w:val="auto"/>
                <w:szCs w:val="22"/>
              </w:rPr>
              <w:t>0.124</w:t>
            </w:r>
          </w:p>
        </w:tc>
        <w:tc>
          <w:tcPr>
            <w:tcW w:w="227" w:type="pct"/>
            <w:shd w:val="clear" w:color="000000" w:fill="FFFFFF"/>
            <w:noWrap/>
            <w:vAlign w:val="center"/>
          </w:tcPr>
          <w:p w14:paraId="48F3A53C">
            <w:pPr>
              <w:jc w:val="center"/>
              <w:rPr>
                <w:rFonts w:ascii="宋体" w:hAnsi="宋体" w:eastAsia="宋体"/>
                <w:color w:val="auto"/>
                <w:szCs w:val="22"/>
              </w:rPr>
            </w:pPr>
            <w:r>
              <w:rPr>
                <w:rFonts w:hint="eastAsia" w:ascii="宋体" w:hAnsi="宋体" w:eastAsia="宋体"/>
                <w:color w:val="auto"/>
                <w:szCs w:val="22"/>
              </w:rPr>
              <w:t>0.464</w:t>
            </w:r>
          </w:p>
        </w:tc>
        <w:tc>
          <w:tcPr>
            <w:tcW w:w="217" w:type="pct"/>
            <w:shd w:val="clear" w:color="000000" w:fill="FFFFFF"/>
            <w:noWrap/>
            <w:vAlign w:val="center"/>
          </w:tcPr>
          <w:p w14:paraId="4616DD9E">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7640C2AC">
            <w:pPr>
              <w:jc w:val="center"/>
              <w:rPr>
                <w:rFonts w:ascii="宋体" w:hAnsi="宋体" w:eastAsia="宋体"/>
                <w:color w:val="auto"/>
                <w:szCs w:val="22"/>
              </w:rPr>
            </w:pPr>
            <w:r>
              <w:rPr>
                <w:rFonts w:hint="eastAsia" w:ascii="宋体" w:hAnsi="宋体" w:eastAsia="宋体"/>
                <w:color w:val="auto"/>
                <w:szCs w:val="22"/>
              </w:rPr>
              <w:t>0</w:t>
            </w:r>
          </w:p>
        </w:tc>
      </w:tr>
      <w:tr w14:paraId="2944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1F2F37A3">
            <w:pPr>
              <w:jc w:val="center"/>
              <w:rPr>
                <w:rFonts w:ascii="宋体" w:hAnsi="宋体" w:eastAsia="宋体"/>
                <w:color w:val="auto"/>
              </w:rPr>
            </w:pPr>
            <w:r>
              <w:rPr>
                <w:rFonts w:hint="eastAsia" w:ascii="宋体" w:hAnsi="宋体" w:eastAsia="宋体"/>
                <w:color w:val="auto"/>
              </w:rPr>
              <w:t>六价铬</w:t>
            </w:r>
          </w:p>
        </w:tc>
        <w:tc>
          <w:tcPr>
            <w:tcW w:w="232" w:type="pct"/>
            <w:shd w:val="clear" w:color="000000" w:fill="FFFFFF"/>
            <w:noWrap/>
            <w:vAlign w:val="center"/>
          </w:tcPr>
          <w:p w14:paraId="71761FF5">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5BB4FF9A">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49BE8BB0">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2E01C97D">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159B7F21">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0968C9BE">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14102CB5">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4B8FD573">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67FC715F">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5A96261F">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4D416095">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60230E7E">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3BEFD3DC">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7A9F81D3">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544472DD">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60F761D3">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0D70B7D1">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38489070">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52D9E56A">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0C42ED5A">
            <w:pPr>
              <w:jc w:val="center"/>
              <w:rPr>
                <w:rFonts w:ascii="宋体" w:hAnsi="宋体" w:eastAsia="宋体"/>
                <w:color w:val="auto"/>
                <w:szCs w:val="22"/>
              </w:rPr>
            </w:pPr>
            <w:r>
              <w:rPr>
                <w:rFonts w:hint="eastAsia" w:ascii="宋体" w:hAnsi="宋体" w:eastAsia="宋体"/>
                <w:color w:val="auto"/>
                <w:szCs w:val="22"/>
              </w:rPr>
              <w:t>0.04</w:t>
            </w:r>
          </w:p>
        </w:tc>
        <w:tc>
          <w:tcPr>
            <w:tcW w:w="217" w:type="pct"/>
            <w:shd w:val="clear" w:color="000000" w:fill="FFFFFF"/>
            <w:noWrap/>
            <w:vAlign w:val="center"/>
          </w:tcPr>
          <w:p w14:paraId="7E984100">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32029CC1">
            <w:pPr>
              <w:jc w:val="center"/>
              <w:rPr>
                <w:rFonts w:ascii="宋体" w:hAnsi="宋体" w:eastAsia="宋体"/>
                <w:color w:val="auto"/>
                <w:szCs w:val="22"/>
              </w:rPr>
            </w:pPr>
            <w:r>
              <w:rPr>
                <w:rFonts w:hint="eastAsia" w:ascii="宋体" w:hAnsi="宋体" w:eastAsia="宋体"/>
                <w:color w:val="auto"/>
                <w:szCs w:val="22"/>
              </w:rPr>
              <w:t>0</w:t>
            </w:r>
          </w:p>
        </w:tc>
      </w:tr>
      <w:tr w14:paraId="4360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4019C33B">
            <w:pPr>
              <w:jc w:val="center"/>
              <w:rPr>
                <w:rFonts w:ascii="宋体" w:hAnsi="宋体" w:eastAsia="宋体"/>
                <w:color w:val="auto"/>
              </w:rPr>
            </w:pPr>
            <w:r>
              <w:rPr>
                <w:rFonts w:hint="eastAsia" w:ascii="宋体" w:hAnsi="宋体" w:eastAsia="宋体"/>
                <w:color w:val="auto"/>
              </w:rPr>
              <w:t>砷</w:t>
            </w:r>
          </w:p>
        </w:tc>
        <w:tc>
          <w:tcPr>
            <w:tcW w:w="232" w:type="pct"/>
            <w:shd w:val="clear" w:color="000000" w:fill="FFFFFF"/>
            <w:noWrap/>
            <w:vAlign w:val="center"/>
          </w:tcPr>
          <w:p w14:paraId="3763764A">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7DBDD623">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76CCF413">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2FBC6461">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6963B13B">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30931607">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15C0CC1C">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2062FF2D">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10E4333F">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1D8EBFD2">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08619D28">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23D6AE0C">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7DDFC3C5">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0C664C5D">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4B8C3F8F">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5E6F3E7E">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6CBD570A">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36C110B8">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27AB46E0">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70CAC5A8">
            <w:pPr>
              <w:jc w:val="center"/>
              <w:rPr>
                <w:rFonts w:ascii="宋体" w:hAnsi="宋体" w:eastAsia="宋体"/>
                <w:color w:val="auto"/>
                <w:szCs w:val="22"/>
              </w:rPr>
            </w:pPr>
            <w:r>
              <w:rPr>
                <w:rFonts w:hint="eastAsia" w:ascii="宋体" w:hAnsi="宋体" w:eastAsia="宋体"/>
                <w:color w:val="auto"/>
                <w:szCs w:val="22"/>
              </w:rPr>
              <w:t>0.015</w:t>
            </w:r>
          </w:p>
        </w:tc>
        <w:tc>
          <w:tcPr>
            <w:tcW w:w="217" w:type="pct"/>
            <w:shd w:val="clear" w:color="000000" w:fill="FFFFFF"/>
            <w:noWrap/>
            <w:vAlign w:val="center"/>
          </w:tcPr>
          <w:p w14:paraId="2E0DA668">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5CB5BEAB">
            <w:pPr>
              <w:jc w:val="center"/>
              <w:rPr>
                <w:rFonts w:ascii="宋体" w:hAnsi="宋体" w:eastAsia="宋体"/>
                <w:color w:val="auto"/>
                <w:szCs w:val="22"/>
              </w:rPr>
            </w:pPr>
            <w:r>
              <w:rPr>
                <w:rFonts w:hint="eastAsia" w:ascii="宋体" w:hAnsi="宋体" w:eastAsia="宋体"/>
                <w:color w:val="auto"/>
                <w:szCs w:val="22"/>
              </w:rPr>
              <w:t>0</w:t>
            </w:r>
          </w:p>
        </w:tc>
      </w:tr>
      <w:tr w14:paraId="2D07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340" w:hRule="atLeast"/>
        </w:trPr>
        <w:tc>
          <w:tcPr>
            <w:tcW w:w="202" w:type="pct"/>
            <w:shd w:val="clear" w:color="000000" w:fill="FFFFFF"/>
            <w:vAlign w:val="center"/>
          </w:tcPr>
          <w:p w14:paraId="69FF9C2E">
            <w:pPr>
              <w:jc w:val="center"/>
              <w:rPr>
                <w:rFonts w:ascii="宋体" w:hAnsi="宋体" w:eastAsia="宋体"/>
                <w:color w:val="auto"/>
              </w:rPr>
            </w:pPr>
            <w:r>
              <w:rPr>
                <w:rFonts w:hint="eastAsia" w:ascii="宋体" w:hAnsi="宋体" w:eastAsia="宋体"/>
                <w:color w:val="auto"/>
              </w:rPr>
              <w:t>铅</w:t>
            </w:r>
          </w:p>
        </w:tc>
        <w:tc>
          <w:tcPr>
            <w:tcW w:w="232" w:type="pct"/>
            <w:shd w:val="clear" w:color="000000" w:fill="FFFFFF"/>
            <w:noWrap/>
            <w:vAlign w:val="center"/>
          </w:tcPr>
          <w:p w14:paraId="0E178A8C">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382ADDAC">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5F86EDE4">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56613EEF">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6BB8415F">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16B0BE98">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158C820C">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4A65BC02">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3BEA74AA">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2C8A72BA">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566022A9">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411E861C">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4B0BBC69">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1C47D2A0">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0A680CBC">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54BD3C25">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7AB94BF4">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31A3BACA">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7141A7A1">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7EC8B9EE">
            <w:pPr>
              <w:jc w:val="center"/>
              <w:rPr>
                <w:rFonts w:ascii="宋体" w:hAnsi="宋体" w:eastAsia="宋体"/>
                <w:color w:val="auto"/>
                <w:szCs w:val="22"/>
              </w:rPr>
            </w:pPr>
            <w:r>
              <w:rPr>
                <w:rFonts w:hint="eastAsia" w:ascii="宋体" w:hAnsi="宋体" w:eastAsia="宋体"/>
                <w:color w:val="auto"/>
                <w:szCs w:val="22"/>
              </w:rPr>
              <w:t>0.05</w:t>
            </w:r>
          </w:p>
        </w:tc>
        <w:tc>
          <w:tcPr>
            <w:tcW w:w="217" w:type="pct"/>
            <w:shd w:val="clear" w:color="000000" w:fill="FFFFFF"/>
            <w:noWrap/>
            <w:vAlign w:val="center"/>
          </w:tcPr>
          <w:p w14:paraId="7591D5C5">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76C2DF93">
            <w:pPr>
              <w:jc w:val="center"/>
              <w:rPr>
                <w:rFonts w:ascii="宋体" w:hAnsi="宋体" w:eastAsia="宋体"/>
                <w:color w:val="auto"/>
                <w:szCs w:val="22"/>
              </w:rPr>
            </w:pPr>
            <w:r>
              <w:rPr>
                <w:rFonts w:hint="eastAsia" w:ascii="宋体" w:hAnsi="宋体" w:eastAsia="宋体"/>
                <w:color w:val="auto"/>
                <w:szCs w:val="22"/>
              </w:rPr>
              <w:t>0</w:t>
            </w:r>
          </w:p>
        </w:tc>
      </w:tr>
      <w:tr w14:paraId="5470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24D158FE">
            <w:pPr>
              <w:jc w:val="center"/>
              <w:rPr>
                <w:rFonts w:ascii="宋体" w:hAnsi="宋体" w:eastAsia="宋体"/>
                <w:color w:val="auto"/>
              </w:rPr>
            </w:pPr>
            <w:r>
              <w:rPr>
                <w:rFonts w:hint="eastAsia" w:ascii="宋体" w:hAnsi="宋体" w:eastAsia="宋体"/>
                <w:color w:val="auto"/>
              </w:rPr>
              <w:t>铁</w:t>
            </w:r>
          </w:p>
        </w:tc>
        <w:tc>
          <w:tcPr>
            <w:tcW w:w="232" w:type="pct"/>
            <w:shd w:val="clear" w:color="000000" w:fill="FFFFFF"/>
            <w:vAlign w:val="center"/>
          </w:tcPr>
          <w:p w14:paraId="0E4FDBBF">
            <w:pPr>
              <w:jc w:val="center"/>
              <w:rPr>
                <w:rFonts w:ascii="宋体" w:hAnsi="宋体" w:eastAsia="宋体" w:cs="Times New Roman"/>
                <w:color w:val="auto"/>
              </w:rPr>
            </w:pPr>
            <w:r>
              <w:rPr>
                <w:rFonts w:ascii="宋体" w:hAnsi="宋体" w:eastAsia="宋体" w:cs="Times New Roman"/>
                <w:color w:val="auto"/>
              </w:rPr>
              <w:t>0.933</w:t>
            </w:r>
          </w:p>
        </w:tc>
        <w:tc>
          <w:tcPr>
            <w:tcW w:w="217" w:type="pct"/>
            <w:shd w:val="clear" w:color="000000" w:fill="FFFFFF"/>
            <w:vAlign w:val="center"/>
          </w:tcPr>
          <w:p w14:paraId="28ADEF34">
            <w:pPr>
              <w:jc w:val="center"/>
              <w:rPr>
                <w:rFonts w:ascii="宋体" w:hAnsi="宋体" w:eastAsia="宋体" w:cs="Times New Roman"/>
                <w:color w:val="auto"/>
              </w:rPr>
            </w:pPr>
            <w:r>
              <w:rPr>
                <w:rFonts w:ascii="宋体" w:hAnsi="宋体" w:eastAsia="宋体" w:cs="Times New Roman"/>
                <w:color w:val="auto"/>
              </w:rPr>
              <w:t>0.967</w:t>
            </w:r>
          </w:p>
        </w:tc>
        <w:tc>
          <w:tcPr>
            <w:tcW w:w="217" w:type="pct"/>
            <w:shd w:val="clear" w:color="000000" w:fill="FFFFFF"/>
            <w:vAlign w:val="center"/>
          </w:tcPr>
          <w:p w14:paraId="33BE55F0">
            <w:pPr>
              <w:jc w:val="center"/>
              <w:rPr>
                <w:rFonts w:ascii="宋体" w:hAnsi="宋体" w:eastAsia="宋体" w:cs="Times New Roman"/>
                <w:color w:val="auto"/>
              </w:rPr>
            </w:pPr>
            <w:r>
              <w:rPr>
                <w:rFonts w:ascii="宋体" w:hAnsi="宋体" w:eastAsia="宋体" w:cs="Times New Roman"/>
                <w:color w:val="auto"/>
              </w:rPr>
              <w:t>0.933</w:t>
            </w:r>
          </w:p>
        </w:tc>
        <w:tc>
          <w:tcPr>
            <w:tcW w:w="217" w:type="pct"/>
            <w:shd w:val="clear" w:color="000000" w:fill="FFFFFF"/>
            <w:vAlign w:val="center"/>
          </w:tcPr>
          <w:p w14:paraId="27F3ACEF">
            <w:pPr>
              <w:jc w:val="center"/>
              <w:rPr>
                <w:rFonts w:ascii="宋体" w:hAnsi="宋体" w:eastAsia="宋体" w:cs="Times New Roman"/>
                <w:color w:val="auto"/>
              </w:rPr>
            </w:pPr>
            <w:r>
              <w:rPr>
                <w:rFonts w:ascii="宋体" w:hAnsi="宋体" w:eastAsia="宋体" w:cs="Times New Roman"/>
                <w:color w:val="auto"/>
              </w:rPr>
              <w:t>0.9</w:t>
            </w:r>
          </w:p>
        </w:tc>
        <w:tc>
          <w:tcPr>
            <w:tcW w:w="217" w:type="pct"/>
            <w:shd w:val="clear" w:color="000000" w:fill="FFFFFF"/>
            <w:vAlign w:val="center"/>
          </w:tcPr>
          <w:p w14:paraId="4A3E1102">
            <w:pPr>
              <w:jc w:val="center"/>
              <w:rPr>
                <w:rFonts w:ascii="宋体" w:hAnsi="宋体" w:eastAsia="宋体" w:cs="Times New Roman"/>
                <w:color w:val="auto"/>
              </w:rPr>
            </w:pPr>
            <w:r>
              <w:rPr>
                <w:rFonts w:ascii="宋体" w:hAnsi="宋体" w:eastAsia="宋体" w:cs="Times New Roman"/>
                <w:color w:val="auto"/>
              </w:rPr>
              <w:t>0.867</w:t>
            </w:r>
          </w:p>
        </w:tc>
        <w:tc>
          <w:tcPr>
            <w:tcW w:w="217" w:type="pct"/>
            <w:shd w:val="clear" w:color="000000" w:fill="FFFFFF"/>
            <w:vAlign w:val="center"/>
          </w:tcPr>
          <w:p w14:paraId="4A1F5ECE">
            <w:pPr>
              <w:jc w:val="center"/>
              <w:rPr>
                <w:rFonts w:ascii="宋体" w:hAnsi="宋体" w:eastAsia="宋体" w:cs="Times New Roman"/>
                <w:color w:val="auto"/>
              </w:rPr>
            </w:pPr>
            <w:r>
              <w:rPr>
                <w:rFonts w:ascii="宋体" w:hAnsi="宋体" w:eastAsia="宋体" w:cs="Times New Roman"/>
                <w:color w:val="auto"/>
              </w:rPr>
              <w:t>0.7</w:t>
            </w:r>
          </w:p>
        </w:tc>
        <w:tc>
          <w:tcPr>
            <w:tcW w:w="217" w:type="pct"/>
            <w:shd w:val="clear" w:color="000000" w:fill="FFFFFF"/>
            <w:vAlign w:val="center"/>
          </w:tcPr>
          <w:p w14:paraId="3084DFF3">
            <w:pPr>
              <w:jc w:val="center"/>
              <w:rPr>
                <w:rFonts w:ascii="宋体" w:hAnsi="宋体" w:eastAsia="宋体" w:cs="Times New Roman"/>
                <w:color w:val="auto"/>
              </w:rPr>
            </w:pPr>
            <w:r>
              <w:rPr>
                <w:rFonts w:ascii="宋体" w:hAnsi="宋体" w:eastAsia="宋体" w:cs="Times New Roman"/>
                <w:color w:val="auto"/>
              </w:rPr>
              <w:t>0.733</w:t>
            </w:r>
          </w:p>
        </w:tc>
        <w:tc>
          <w:tcPr>
            <w:tcW w:w="217" w:type="pct"/>
            <w:shd w:val="clear" w:color="000000" w:fill="FFFFFF"/>
            <w:vAlign w:val="center"/>
          </w:tcPr>
          <w:p w14:paraId="74904251">
            <w:pPr>
              <w:jc w:val="center"/>
              <w:rPr>
                <w:rFonts w:ascii="宋体" w:hAnsi="宋体" w:eastAsia="宋体" w:cs="Times New Roman"/>
                <w:color w:val="auto"/>
              </w:rPr>
            </w:pPr>
            <w:r>
              <w:rPr>
                <w:rFonts w:ascii="宋体" w:hAnsi="宋体" w:eastAsia="宋体" w:cs="Times New Roman"/>
                <w:color w:val="auto"/>
              </w:rPr>
              <w:t>0.9</w:t>
            </w:r>
          </w:p>
        </w:tc>
        <w:tc>
          <w:tcPr>
            <w:tcW w:w="217" w:type="pct"/>
            <w:shd w:val="clear" w:color="000000" w:fill="FFFFFF"/>
            <w:vAlign w:val="center"/>
          </w:tcPr>
          <w:p w14:paraId="5D4D23D8">
            <w:pPr>
              <w:jc w:val="center"/>
              <w:rPr>
                <w:rFonts w:ascii="宋体" w:hAnsi="宋体" w:eastAsia="宋体" w:cs="Times New Roman"/>
                <w:color w:val="auto"/>
              </w:rPr>
            </w:pPr>
            <w:r>
              <w:rPr>
                <w:rFonts w:ascii="宋体" w:hAnsi="宋体" w:eastAsia="宋体" w:cs="Times New Roman"/>
                <w:color w:val="auto"/>
              </w:rPr>
              <w:t>0.933</w:t>
            </w:r>
          </w:p>
        </w:tc>
        <w:tc>
          <w:tcPr>
            <w:tcW w:w="217" w:type="pct"/>
            <w:shd w:val="clear" w:color="000000" w:fill="FFFFFF"/>
            <w:vAlign w:val="center"/>
          </w:tcPr>
          <w:p w14:paraId="73651093">
            <w:pPr>
              <w:jc w:val="center"/>
              <w:rPr>
                <w:rFonts w:ascii="宋体" w:hAnsi="宋体" w:eastAsia="宋体" w:cs="Times New Roman"/>
                <w:color w:val="auto"/>
              </w:rPr>
            </w:pPr>
            <w:r>
              <w:rPr>
                <w:rFonts w:ascii="宋体" w:hAnsi="宋体" w:eastAsia="宋体" w:cs="Times New Roman"/>
                <w:color w:val="auto"/>
              </w:rPr>
              <w:t>0.933</w:t>
            </w:r>
          </w:p>
        </w:tc>
        <w:tc>
          <w:tcPr>
            <w:tcW w:w="217" w:type="pct"/>
            <w:shd w:val="clear" w:color="000000" w:fill="FFFFFF"/>
            <w:vAlign w:val="center"/>
          </w:tcPr>
          <w:p w14:paraId="0739C1F4">
            <w:pPr>
              <w:jc w:val="center"/>
              <w:rPr>
                <w:rFonts w:ascii="宋体" w:hAnsi="宋体" w:eastAsia="宋体" w:cs="Times New Roman"/>
                <w:color w:val="auto"/>
              </w:rPr>
            </w:pPr>
            <w:r>
              <w:rPr>
                <w:rFonts w:ascii="宋体" w:hAnsi="宋体" w:eastAsia="宋体" w:cs="Times New Roman"/>
                <w:color w:val="auto"/>
              </w:rPr>
              <w:t>0.867</w:t>
            </w:r>
          </w:p>
        </w:tc>
        <w:tc>
          <w:tcPr>
            <w:tcW w:w="217" w:type="pct"/>
            <w:shd w:val="clear" w:color="000000" w:fill="FFFFFF"/>
            <w:vAlign w:val="center"/>
          </w:tcPr>
          <w:p w14:paraId="4DD26C81">
            <w:pPr>
              <w:jc w:val="center"/>
              <w:rPr>
                <w:rFonts w:ascii="宋体" w:hAnsi="宋体" w:eastAsia="宋体" w:cs="Times New Roman"/>
                <w:color w:val="auto"/>
              </w:rPr>
            </w:pPr>
            <w:r>
              <w:rPr>
                <w:rFonts w:ascii="宋体" w:hAnsi="宋体" w:eastAsia="宋体" w:cs="Times New Roman"/>
                <w:color w:val="auto"/>
              </w:rPr>
              <w:t>0.9</w:t>
            </w:r>
          </w:p>
        </w:tc>
        <w:tc>
          <w:tcPr>
            <w:tcW w:w="217" w:type="pct"/>
            <w:shd w:val="clear" w:color="000000" w:fill="FFFFFF"/>
            <w:vAlign w:val="center"/>
          </w:tcPr>
          <w:p w14:paraId="1C9979EA">
            <w:pPr>
              <w:jc w:val="center"/>
              <w:rPr>
                <w:rFonts w:ascii="宋体" w:hAnsi="宋体" w:eastAsia="宋体" w:cs="Times New Roman"/>
                <w:color w:val="auto"/>
              </w:rPr>
            </w:pPr>
            <w:r>
              <w:rPr>
                <w:rFonts w:ascii="宋体" w:hAnsi="宋体" w:eastAsia="宋体" w:cs="Times New Roman"/>
                <w:color w:val="auto"/>
              </w:rPr>
              <w:t>0.7</w:t>
            </w:r>
          </w:p>
        </w:tc>
        <w:tc>
          <w:tcPr>
            <w:tcW w:w="217" w:type="pct"/>
            <w:shd w:val="clear" w:color="000000" w:fill="FFFFFF"/>
            <w:vAlign w:val="center"/>
          </w:tcPr>
          <w:p w14:paraId="46E6D2CF">
            <w:pPr>
              <w:jc w:val="center"/>
              <w:rPr>
                <w:rFonts w:ascii="宋体" w:hAnsi="宋体" w:eastAsia="宋体" w:cs="Times New Roman"/>
                <w:color w:val="auto"/>
              </w:rPr>
            </w:pPr>
            <w:r>
              <w:rPr>
                <w:rFonts w:ascii="宋体" w:hAnsi="宋体" w:eastAsia="宋体" w:cs="Times New Roman"/>
                <w:color w:val="auto"/>
              </w:rPr>
              <w:t>0.733</w:t>
            </w:r>
          </w:p>
        </w:tc>
        <w:tc>
          <w:tcPr>
            <w:tcW w:w="217" w:type="pct"/>
            <w:shd w:val="clear" w:color="000000" w:fill="FFFFFF"/>
            <w:vAlign w:val="center"/>
          </w:tcPr>
          <w:p w14:paraId="20323002">
            <w:pPr>
              <w:jc w:val="center"/>
              <w:rPr>
                <w:rFonts w:ascii="宋体" w:hAnsi="宋体" w:eastAsia="宋体" w:cs="Times New Roman"/>
                <w:color w:val="auto"/>
              </w:rPr>
            </w:pPr>
            <w:r>
              <w:rPr>
                <w:rFonts w:ascii="宋体" w:hAnsi="宋体" w:eastAsia="宋体" w:cs="Times New Roman"/>
                <w:color w:val="auto"/>
              </w:rPr>
              <w:t>0.9</w:t>
            </w:r>
          </w:p>
        </w:tc>
        <w:tc>
          <w:tcPr>
            <w:tcW w:w="217" w:type="pct"/>
            <w:shd w:val="clear" w:color="000000" w:fill="FFFFFF"/>
            <w:vAlign w:val="center"/>
          </w:tcPr>
          <w:p w14:paraId="40688A47">
            <w:pPr>
              <w:jc w:val="center"/>
              <w:rPr>
                <w:rFonts w:ascii="宋体" w:hAnsi="宋体" w:eastAsia="宋体" w:cs="Times New Roman"/>
                <w:color w:val="auto"/>
              </w:rPr>
            </w:pPr>
            <w:r>
              <w:rPr>
                <w:rFonts w:ascii="宋体" w:hAnsi="宋体" w:eastAsia="宋体" w:cs="Times New Roman"/>
                <w:color w:val="auto"/>
              </w:rPr>
              <w:t>0.767</w:t>
            </w:r>
          </w:p>
        </w:tc>
        <w:tc>
          <w:tcPr>
            <w:tcW w:w="217" w:type="pct"/>
            <w:shd w:val="clear" w:color="000000" w:fill="FFFFFF"/>
            <w:noWrap/>
            <w:vAlign w:val="center"/>
          </w:tcPr>
          <w:p w14:paraId="058D9F90">
            <w:pPr>
              <w:jc w:val="center"/>
              <w:rPr>
                <w:rFonts w:ascii="宋体" w:hAnsi="宋体" w:eastAsia="宋体"/>
                <w:color w:val="auto"/>
                <w:szCs w:val="22"/>
              </w:rPr>
            </w:pPr>
            <w:r>
              <w:rPr>
                <w:rFonts w:hint="eastAsia" w:ascii="宋体" w:hAnsi="宋体" w:eastAsia="宋体"/>
                <w:color w:val="auto"/>
                <w:szCs w:val="22"/>
              </w:rPr>
              <w:t>0.967</w:t>
            </w:r>
          </w:p>
        </w:tc>
        <w:tc>
          <w:tcPr>
            <w:tcW w:w="217" w:type="pct"/>
            <w:shd w:val="clear" w:color="000000" w:fill="FFFFFF"/>
            <w:noWrap/>
            <w:vAlign w:val="center"/>
          </w:tcPr>
          <w:p w14:paraId="252EFBA8">
            <w:pPr>
              <w:jc w:val="center"/>
              <w:rPr>
                <w:rFonts w:ascii="宋体" w:hAnsi="宋体" w:eastAsia="宋体"/>
                <w:color w:val="auto"/>
                <w:szCs w:val="22"/>
              </w:rPr>
            </w:pPr>
            <w:r>
              <w:rPr>
                <w:rFonts w:hint="eastAsia" w:ascii="宋体" w:hAnsi="宋体" w:eastAsia="宋体"/>
                <w:color w:val="auto"/>
                <w:szCs w:val="22"/>
              </w:rPr>
              <w:t>0.7</w:t>
            </w:r>
          </w:p>
        </w:tc>
        <w:tc>
          <w:tcPr>
            <w:tcW w:w="217" w:type="pct"/>
            <w:shd w:val="clear" w:color="000000" w:fill="FFFFFF"/>
            <w:noWrap/>
            <w:vAlign w:val="center"/>
          </w:tcPr>
          <w:p w14:paraId="1679132E">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3DE19990">
            <w:pPr>
              <w:jc w:val="center"/>
              <w:rPr>
                <w:rFonts w:ascii="宋体" w:hAnsi="宋体" w:eastAsia="宋体"/>
                <w:color w:val="auto"/>
                <w:szCs w:val="22"/>
              </w:rPr>
            </w:pPr>
            <w:r>
              <w:rPr>
                <w:rFonts w:hint="eastAsia" w:ascii="宋体" w:hAnsi="宋体" w:eastAsia="宋体"/>
                <w:color w:val="auto"/>
                <w:szCs w:val="22"/>
              </w:rPr>
              <w:t>0.854</w:t>
            </w:r>
          </w:p>
        </w:tc>
        <w:tc>
          <w:tcPr>
            <w:tcW w:w="217" w:type="pct"/>
            <w:shd w:val="clear" w:color="000000" w:fill="FFFFFF"/>
            <w:noWrap/>
            <w:vAlign w:val="center"/>
          </w:tcPr>
          <w:p w14:paraId="12CCF897">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5C697313">
            <w:pPr>
              <w:jc w:val="center"/>
              <w:rPr>
                <w:rFonts w:ascii="宋体" w:hAnsi="宋体" w:eastAsia="宋体"/>
                <w:color w:val="auto"/>
                <w:szCs w:val="22"/>
              </w:rPr>
            </w:pPr>
            <w:r>
              <w:rPr>
                <w:rFonts w:hint="eastAsia" w:ascii="宋体" w:hAnsi="宋体" w:eastAsia="宋体"/>
                <w:color w:val="auto"/>
                <w:szCs w:val="22"/>
              </w:rPr>
              <w:t>0</w:t>
            </w:r>
          </w:p>
        </w:tc>
      </w:tr>
      <w:tr w14:paraId="6C18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7AC196C5">
            <w:pPr>
              <w:jc w:val="center"/>
              <w:rPr>
                <w:rFonts w:ascii="宋体" w:hAnsi="宋体" w:eastAsia="宋体"/>
                <w:color w:val="auto"/>
              </w:rPr>
            </w:pPr>
            <w:r>
              <w:rPr>
                <w:rFonts w:hint="eastAsia" w:ascii="宋体" w:hAnsi="宋体" w:eastAsia="宋体"/>
                <w:color w:val="auto"/>
              </w:rPr>
              <w:t>汞</w:t>
            </w:r>
          </w:p>
        </w:tc>
        <w:tc>
          <w:tcPr>
            <w:tcW w:w="232" w:type="pct"/>
            <w:shd w:val="clear" w:color="000000" w:fill="FFFFFF"/>
            <w:noWrap/>
            <w:vAlign w:val="center"/>
          </w:tcPr>
          <w:p w14:paraId="6FC1F382">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7EA7AA73">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0142F119">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0027EE2E">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16E900A1">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03C9DC05">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720A6A61">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149FFEC8">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58FDF5BA">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21C8CDD1">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2F8C9E53">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40A28FFF">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377B0C2B">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068EA1FF">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28E954FB">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1A6DF482">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0749D21B">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360E1619">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55729113">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2734777F">
            <w:pPr>
              <w:jc w:val="center"/>
              <w:rPr>
                <w:rFonts w:ascii="宋体" w:hAnsi="宋体" w:eastAsia="宋体"/>
                <w:color w:val="auto"/>
                <w:szCs w:val="22"/>
              </w:rPr>
            </w:pPr>
            <w:r>
              <w:rPr>
                <w:rFonts w:hint="eastAsia" w:ascii="宋体" w:hAnsi="宋体" w:eastAsia="宋体"/>
                <w:color w:val="auto"/>
                <w:szCs w:val="22"/>
              </w:rPr>
              <w:t>0.02</w:t>
            </w:r>
          </w:p>
        </w:tc>
        <w:tc>
          <w:tcPr>
            <w:tcW w:w="217" w:type="pct"/>
            <w:shd w:val="clear" w:color="000000" w:fill="FFFFFF"/>
            <w:noWrap/>
            <w:vAlign w:val="center"/>
          </w:tcPr>
          <w:p w14:paraId="22D904B3">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7A961E64">
            <w:pPr>
              <w:jc w:val="center"/>
              <w:rPr>
                <w:rFonts w:ascii="宋体" w:hAnsi="宋体" w:eastAsia="宋体"/>
                <w:color w:val="auto"/>
                <w:szCs w:val="22"/>
              </w:rPr>
            </w:pPr>
            <w:r>
              <w:rPr>
                <w:rFonts w:hint="eastAsia" w:ascii="宋体" w:hAnsi="宋体" w:eastAsia="宋体"/>
                <w:color w:val="auto"/>
                <w:szCs w:val="22"/>
              </w:rPr>
              <w:t>0</w:t>
            </w:r>
          </w:p>
        </w:tc>
      </w:tr>
      <w:tr w14:paraId="5244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10869ADD">
            <w:pPr>
              <w:jc w:val="center"/>
              <w:rPr>
                <w:rFonts w:ascii="宋体" w:hAnsi="宋体" w:eastAsia="宋体"/>
                <w:color w:val="auto"/>
              </w:rPr>
            </w:pPr>
            <w:r>
              <w:rPr>
                <w:rFonts w:hint="eastAsia" w:ascii="宋体" w:hAnsi="宋体" w:eastAsia="宋体"/>
                <w:color w:val="auto"/>
              </w:rPr>
              <w:t>锰</w:t>
            </w:r>
          </w:p>
        </w:tc>
        <w:tc>
          <w:tcPr>
            <w:tcW w:w="232" w:type="pct"/>
            <w:shd w:val="clear" w:color="000000" w:fill="FFFFFF"/>
            <w:vAlign w:val="center"/>
          </w:tcPr>
          <w:p w14:paraId="16EFD931">
            <w:pPr>
              <w:jc w:val="center"/>
              <w:rPr>
                <w:rFonts w:ascii="宋体" w:hAnsi="宋体" w:eastAsia="宋体" w:cs="Times New Roman"/>
                <w:color w:val="auto"/>
              </w:rPr>
            </w:pPr>
            <w:r>
              <w:rPr>
                <w:rFonts w:ascii="宋体" w:hAnsi="宋体" w:eastAsia="宋体" w:cs="Times New Roman"/>
                <w:color w:val="auto"/>
              </w:rPr>
              <w:t>1.1</w:t>
            </w:r>
          </w:p>
        </w:tc>
        <w:tc>
          <w:tcPr>
            <w:tcW w:w="217" w:type="pct"/>
            <w:shd w:val="clear" w:color="000000" w:fill="FFFFFF"/>
            <w:vAlign w:val="center"/>
          </w:tcPr>
          <w:p w14:paraId="0A6BFC87">
            <w:pPr>
              <w:jc w:val="center"/>
              <w:rPr>
                <w:rFonts w:ascii="宋体" w:hAnsi="宋体" w:eastAsia="宋体" w:cs="Times New Roman"/>
                <w:color w:val="auto"/>
              </w:rPr>
            </w:pPr>
            <w:r>
              <w:rPr>
                <w:rFonts w:ascii="宋体" w:hAnsi="宋体" w:eastAsia="宋体" w:cs="Times New Roman"/>
                <w:color w:val="auto"/>
              </w:rPr>
              <w:t>0.9</w:t>
            </w:r>
          </w:p>
        </w:tc>
        <w:tc>
          <w:tcPr>
            <w:tcW w:w="217" w:type="pct"/>
            <w:shd w:val="clear" w:color="000000" w:fill="FFFFFF"/>
            <w:vAlign w:val="center"/>
          </w:tcPr>
          <w:p w14:paraId="6BC384B5">
            <w:pPr>
              <w:jc w:val="center"/>
              <w:rPr>
                <w:rFonts w:ascii="宋体" w:hAnsi="宋体" w:eastAsia="宋体" w:cs="Times New Roman"/>
                <w:color w:val="auto"/>
              </w:rPr>
            </w:pPr>
            <w:r>
              <w:rPr>
                <w:rFonts w:ascii="宋体" w:hAnsi="宋体" w:eastAsia="宋体" w:cs="Times New Roman"/>
                <w:color w:val="auto"/>
              </w:rPr>
              <w:t>1.1</w:t>
            </w:r>
          </w:p>
        </w:tc>
        <w:tc>
          <w:tcPr>
            <w:tcW w:w="217" w:type="pct"/>
            <w:shd w:val="clear" w:color="000000" w:fill="FFFFFF"/>
            <w:vAlign w:val="center"/>
          </w:tcPr>
          <w:p w14:paraId="46C70066">
            <w:pPr>
              <w:jc w:val="center"/>
              <w:rPr>
                <w:rFonts w:ascii="宋体" w:hAnsi="宋体" w:eastAsia="宋体" w:cs="Times New Roman"/>
                <w:color w:val="auto"/>
              </w:rPr>
            </w:pPr>
            <w:r>
              <w:rPr>
                <w:rFonts w:ascii="宋体" w:hAnsi="宋体" w:eastAsia="宋体" w:cs="Times New Roman"/>
                <w:color w:val="auto"/>
              </w:rPr>
              <w:t>0.9</w:t>
            </w:r>
          </w:p>
        </w:tc>
        <w:tc>
          <w:tcPr>
            <w:tcW w:w="217" w:type="pct"/>
            <w:shd w:val="clear" w:color="000000" w:fill="FFFFFF"/>
            <w:vAlign w:val="center"/>
          </w:tcPr>
          <w:p w14:paraId="5B673194">
            <w:pPr>
              <w:jc w:val="center"/>
              <w:rPr>
                <w:rFonts w:ascii="宋体" w:hAnsi="宋体" w:eastAsia="宋体" w:cs="Times New Roman"/>
                <w:color w:val="auto"/>
              </w:rPr>
            </w:pPr>
            <w:r>
              <w:rPr>
                <w:rFonts w:ascii="宋体" w:hAnsi="宋体" w:eastAsia="宋体" w:cs="Times New Roman"/>
                <w:color w:val="auto"/>
              </w:rPr>
              <w:t>1</w:t>
            </w:r>
          </w:p>
        </w:tc>
        <w:tc>
          <w:tcPr>
            <w:tcW w:w="217" w:type="pct"/>
            <w:shd w:val="clear" w:color="000000" w:fill="FFFFFF"/>
            <w:vAlign w:val="center"/>
          </w:tcPr>
          <w:p w14:paraId="20E5E385">
            <w:pPr>
              <w:jc w:val="center"/>
              <w:rPr>
                <w:rFonts w:ascii="宋体" w:hAnsi="宋体" w:eastAsia="宋体" w:cs="Times New Roman"/>
                <w:color w:val="auto"/>
              </w:rPr>
            </w:pPr>
            <w:r>
              <w:rPr>
                <w:rFonts w:ascii="宋体" w:hAnsi="宋体" w:eastAsia="宋体" w:cs="Times New Roman"/>
                <w:color w:val="auto"/>
              </w:rPr>
              <w:t>0.2</w:t>
            </w:r>
          </w:p>
        </w:tc>
        <w:tc>
          <w:tcPr>
            <w:tcW w:w="217" w:type="pct"/>
            <w:shd w:val="clear" w:color="000000" w:fill="FFFFFF"/>
            <w:vAlign w:val="center"/>
          </w:tcPr>
          <w:p w14:paraId="2E56163F">
            <w:pPr>
              <w:jc w:val="center"/>
              <w:rPr>
                <w:rFonts w:ascii="宋体" w:hAnsi="宋体" w:eastAsia="宋体" w:cs="Times New Roman"/>
                <w:color w:val="auto"/>
              </w:rPr>
            </w:pPr>
            <w:r>
              <w:rPr>
                <w:rFonts w:ascii="宋体" w:hAnsi="宋体" w:eastAsia="宋体" w:cs="Times New Roman"/>
                <w:color w:val="auto"/>
              </w:rPr>
              <w:t>0.3</w:t>
            </w:r>
          </w:p>
        </w:tc>
        <w:tc>
          <w:tcPr>
            <w:tcW w:w="217" w:type="pct"/>
            <w:shd w:val="clear" w:color="000000" w:fill="FFFFFF"/>
            <w:vAlign w:val="center"/>
          </w:tcPr>
          <w:p w14:paraId="37A039D1">
            <w:pPr>
              <w:jc w:val="center"/>
              <w:rPr>
                <w:rFonts w:ascii="宋体" w:hAnsi="宋体" w:eastAsia="宋体" w:cs="Times New Roman"/>
                <w:color w:val="auto"/>
              </w:rPr>
            </w:pPr>
            <w:r>
              <w:rPr>
                <w:rFonts w:ascii="宋体" w:hAnsi="宋体" w:eastAsia="宋体" w:cs="Times New Roman"/>
                <w:color w:val="auto"/>
              </w:rPr>
              <w:t>0.9</w:t>
            </w:r>
          </w:p>
        </w:tc>
        <w:tc>
          <w:tcPr>
            <w:tcW w:w="217" w:type="pct"/>
            <w:shd w:val="clear" w:color="000000" w:fill="FFFFFF"/>
            <w:vAlign w:val="center"/>
          </w:tcPr>
          <w:p w14:paraId="18D6D2FB">
            <w:pPr>
              <w:jc w:val="center"/>
              <w:rPr>
                <w:rFonts w:ascii="宋体" w:hAnsi="宋体" w:eastAsia="宋体" w:cs="Times New Roman"/>
                <w:color w:val="auto"/>
              </w:rPr>
            </w:pPr>
            <w:r>
              <w:rPr>
                <w:rFonts w:ascii="宋体" w:hAnsi="宋体" w:eastAsia="宋体" w:cs="Times New Roman"/>
                <w:color w:val="auto"/>
              </w:rPr>
              <w:t>1.2</w:t>
            </w:r>
          </w:p>
        </w:tc>
        <w:tc>
          <w:tcPr>
            <w:tcW w:w="217" w:type="pct"/>
            <w:shd w:val="clear" w:color="000000" w:fill="FFFFFF"/>
            <w:vAlign w:val="center"/>
          </w:tcPr>
          <w:p w14:paraId="0468A8AD">
            <w:pPr>
              <w:jc w:val="center"/>
              <w:rPr>
                <w:rFonts w:ascii="宋体" w:hAnsi="宋体" w:eastAsia="宋体" w:cs="Times New Roman"/>
                <w:color w:val="auto"/>
              </w:rPr>
            </w:pPr>
            <w:r>
              <w:rPr>
                <w:rFonts w:ascii="宋体" w:hAnsi="宋体" w:eastAsia="宋体" w:cs="Times New Roman"/>
                <w:color w:val="auto"/>
              </w:rPr>
              <w:t>1</w:t>
            </w:r>
          </w:p>
        </w:tc>
        <w:tc>
          <w:tcPr>
            <w:tcW w:w="217" w:type="pct"/>
            <w:shd w:val="clear" w:color="000000" w:fill="FFFFFF"/>
            <w:vAlign w:val="center"/>
          </w:tcPr>
          <w:p w14:paraId="3E1B9EE2">
            <w:pPr>
              <w:jc w:val="center"/>
              <w:rPr>
                <w:rFonts w:ascii="宋体" w:hAnsi="宋体" w:eastAsia="宋体" w:cs="Times New Roman"/>
                <w:color w:val="auto"/>
              </w:rPr>
            </w:pPr>
            <w:r>
              <w:rPr>
                <w:rFonts w:ascii="宋体" w:hAnsi="宋体" w:eastAsia="宋体" w:cs="Times New Roman"/>
                <w:color w:val="auto"/>
              </w:rPr>
              <w:t>0.8</w:t>
            </w:r>
          </w:p>
        </w:tc>
        <w:tc>
          <w:tcPr>
            <w:tcW w:w="217" w:type="pct"/>
            <w:shd w:val="clear" w:color="000000" w:fill="FFFFFF"/>
            <w:vAlign w:val="center"/>
          </w:tcPr>
          <w:p w14:paraId="44AB1A1F">
            <w:pPr>
              <w:jc w:val="center"/>
              <w:rPr>
                <w:rFonts w:ascii="宋体" w:hAnsi="宋体" w:eastAsia="宋体" w:cs="Times New Roman"/>
                <w:color w:val="auto"/>
              </w:rPr>
            </w:pPr>
            <w:r>
              <w:rPr>
                <w:rFonts w:ascii="宋体" w:hAnsi="宋体" w:eastAsia="宋体" w:cs="Times New Roman"/>
                <w:color w:val="auto"/>
              </w:rPr>
              <w:t>0.7</w:t>
            </w:r>
          </w:p>
        </w:tc>
        <w:tc>
          <w:tcPr>
            <w:tcW w:w="217" w:type="pct"/>
            <w:shd w:val="clear" w:color="000000" w:fill="FFFFFF"/>
            <w:vAlign w:val="center"/>
          </w:tcPr>
          <w:p w14:paraId="7315DED1">
            <w:pPr>
              <w:jc w:val="center"/>
              <w:rPr>
                <w:rFonts w:ascii="宋体" w:hAnsi="宋体" w:eastAsia="宋体" w:cs="Times New Roman"/>
                <w:color w:val="auto"/>
              </w:rPr>
            </w:pPr>
            <w:r>
              <w:rPr>
                <w:rFonts w:ascii="宋体" w:hAnsi="宋体" w:eastAsia="宋体" w:cs="Times New Roman"/>
                <w:color w:val="auto"/>
              </w:rPr>
              <w:t>0.2</w:t>
            </w:r>
          </w:p>
        </w:tc>
        <w:tc>
          <w:tcPr>
            <w:tcW w:w="217" w:type="pct"/>
            <w:shd w:val="clear" w:color="000000" w:fill="FFFFFF"/>
            <w:vAlign w:val="center"/>
          </w:tcPr>
          <w:p w14:paraId="2911E3AD">
            <w:pPr>
              <w:jc w:val="center"/>
              <w:rPr>
                <w:rFonts w:ascii="宋体" w:hAnsi="宋体" w:eastAsia="宋体" w:cs="Times New Roman"/>
                <w:color w:val="auto"/>
              </w:rPr>
            </w:pPr>
            <w:r>
              <w:rPr>
                <w:rFonts w:ascii="宋体" w:hAnsi="宋体" w:eastAsia="宋体" w:cs="Times New Roman"/>
                <w:color w:val="auto"/>
              </w:rPr>
              <w:t>0.3</w:t>
            </w:r>
          </w:p>
        </w:tc>
        <w:tc>
          <w:tcPr>
            <w:tcW w:w="217" w:type="pct"/>
            <w:shd w:val="clear" w:color="000000" w:fill="FFFFFF"/>
            <w:vAlign w:val="center"/>
          </w:tcPr>
          <w:p w14:paraId="2E581F1E">
            <w:pPr>
              <w:jc w:val="center"/>
              <w:rPr>
                <w:rFonts w:ascii="宋体" w:hAnsi="宋体" w:eastAsia="宋体" w:cs="Times New Roman"/>
                <w:color w:val="auto"/>
              </w:rPr>
            </w:pPr>
            <w:r>
              <w:rPr>
                <w:rFonts w:ascii="宋体" w:hAnsi="宋体" w:eastAsia="宋体" w:cs="Times New Roman"/>
                <w:color w:val="auto"/>
              </w:rPr>
              <w:t>1.1</w:t>
            </w:r>
          </w:p>
        </w:tc>
        <w:tc>
          <w:tcPr>
            <w:tcW w:w="217" w:type="pct"/>
            <w:shd w:val="clear" w:color="000000" w:fill="FFFFFF"/>
            <w:vAlign w:val="center"/>
          </w:tcPr>
          <w:p w14:paraId="05AE8F61">
            <w:pPr>
              <w:jc w:val="center"/>
              <w:rPr>
                <w:rFonts w:ascii="宋体" w:hAnsi="宋体" w:eastAsia="宋体" w:cs="Times New Roman"/>
                <w:color w:val="auto"/>
              </w:rPr>
            </w:pPr>
            <w:r>
              <w:rPr>
                <w:rFonts w:ascii="宋体" w:hAnsi="宋体" w:eastAsia="宋体" w:cs="Times New Roman"/>
                <w:color w:val="auto"/>
              </w:rPr>
              <w:t>0.3</w:t>
            </w:r>
          </w:p>
        </w:tc>
        <w:tc>
          <w:tcPr>
            <w:tcW w:w="217" w:type="pct"/>
            <w:shd w:val="clear" w:color="000000" w:fill="FFFFFF"/>
            <w:noWrap/>
            <w:vAlign w:val="center"/>
          </w:tcPr>
          <w:p w14:paraId="14BF28AC">
            <w:pPr>
              <w:jc w:val="center"/>
              <w:rPr>
                <w:rFonts w:ascii="宋体" w:hAnsi="宋体" w:eastAsia="宋体"/>
                <w:color w:val="auto"/>
                <w:szCs w:val="22"/>
              </w:rPr>
            </w:pPr>
            <w:r>
              <w:rPr>
                <w:rFonts w:hint="eastAsia" w:ascii="宋体" w:hAnsi="宋体" w:eastAsia="宋体"/>
                <w:color w:val="auto"/>
                <w:szCs w:val="22"/>
              </w:rPr>
              <w:t>1.2</w:t>
            </w:r>
          </w:p>
        </w:tc>
        <w:tc>
          <w:tcPr>
            <w:tcW w:w="217" w:type="pct"/>
            <w:shd w:val="clear" w:color="000000" w:fill="FFFFFF"/>
            <w:noWrap/>
            <w:vAlign w:val="center"/>
          </w:tcPr>
          <w:p w14:paraId="04881D50">
            <w:pPr>
              <w:jc w:val="center"/>
              <w:rPr>
                <w:rFonts w:ascii="宋体" w:hAnsi="宋体" w:eastAsia="宋体"/>
                <w:color w:val="auto"/>
                <w:szCs w:val="22"/>
              </w:rPr>
            </w:pPr>
            <w:r>
              <w:rPr>
                <w:rFonts w:hint="eastAsia" w:ascii="宋体" w:hAnsi="宋体" w:eastAsia="宋体"/>
                <w:color w:val="auto"/>
                <w:szCs w:val="22"/>
              </w:rPr>
              <w:t>0.2</w:t>
            </w:r>
          </w:p>
        </w:tc>
        <w:tc>
          <w:tcPr>
            <w:tcW w:w="217" w:type="pct"/>
            <w:shd w:val="clear" w:color="000000" w:fill="FFFFFF"/>
            <w:noWrap/>
            <w:vAlign w:val="center"/>
          </w:tcPr>
          <w:p w14:paraId="74D93CD5">
            <w:pPr>
              <w:jc w:val="center"/>
              <w:rPr>
                <w:rFonts w:ascii="宋体" w:hAnsi="宋体" w:eastAsia="宋体"/>
                <w:color w:val="auto"/>
                <w:szCs w:val="22"/>
              </w:rPr>
            </w:pPr>
            <w:r>
              <w:rPr>
                <w:rFonts w:hint="eastAsia" w:ascii="宋体" w:hAnsi="宋体" w:eastAsia="宋体"/>
                <w:color w:val="auto"/>
                <w:szCs w:val="22"/>
              </w:rPr>
              <w:t>0.352</w:t>
            </w:r>
          </w:p>
        </w:tc>
        <w:tc>
          <w:tcPr>
            <w:tcW w:w="227" w:type="pct"/>
            <w:shd w:val="clear" w:color="000000" w:fill="FFFFFF"/>
            <w:noWrap/>
            <w:vAlign w:val="center"/>
          </w:tcPr>
          <w:p w14:paraId="4CFFAF1D">
            <w:pPr>
              <w:jc w:val="center"/>
              <w:rPr>
                <w:rFonts w:ascii="宋体" w:hAnsi="宋体" w:eastAsia="宋体"/>
                <w:color w:val="auto"/>
                <w:szCs w:val="22"/>
              </w:rPr>
            </w:pPr>
            <w:r>
              <w:rPr>
                <w:rFonts w:hint="eastAsia" w:ascii="宋体" w:hAnsi="宋体" w:eastAsia="宋体"/>
                <w:color w:val="auto"/>
                <w:szCs w:val="22"/>
              </w:rPr>
              <w:t>0.75</w:t>
            </w:r>
          </w:p>
        </w:tc>
        <w:tc>
          <w:tcPr>
            <w:tcW w:w="217" w:type="pct"/>
            <w:shd w:val="clear" w:color="000000" w:fill="FFFFFF"/>
            <w:noWrap/>
            <w:vAlign w:val="center"/>
          </w:tcPr>
          <w:p w14:paraId="07EDCF91">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4940B3F5">
            <w:pPr>
              <w:jc w:val="center"/>
              <w:rPr>
                <w:rFonts w:ascii="宋体" w:hAnsi="宋体" w:eastAsia="宋体"/>
                <w:color w:val="auto"/>
                <w:szCs w:val="22"/>
              </w:rPr>
            </w:pPr>
            <w:r>
              <w:rPr>
                <w:rFonts w:ascii="宋体" w:hAnsi="宋体" w:eastAsia="宋体"/>
                <w:color w:val="auto"/>
                <w:szCs w:val="22"/>
              </w:rPr>
              <w:t>31.25</w:t>
            </w:r>
          </w:p>
        </w:tc>
      </w:tr>
      <w:tr w14:paraId="13E4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2EAFB20E">
            <w:pPr>
              <w:jc w:val="center"/>
              <w:rPr>
                <w:rFonts w:ascii="宋体" w:hAnsi="宋体" w:eastAsia="宋体"/>
                <w:color w:val="auto"/>
              </w:rPr>
            </w:pPr>
            <w:r>
              <w:rPr>
                <w:rFonts w:hint="eastAsia" w:ascii="宋体" w:hAnsi="宋体" w:eastAsia="宋体"/>
                <w:color w:val="auto"/>
              </w:rPr>
              <w:t>镉</w:t>
            </w:r>
          </w:p>
        </w:tc>
        <w:tc>
          <w:tcPr>
            <w:tcW w:w="232" w:type="pct"/>
            <w:shd w:val="clear" w:color="000000" w:fill="FFFFFF"/>
            <w:noWrap/>
            <w:vAlign w:val="center"/>
          </w:tcPr>
          <w:p w14:paraId="254E7C42">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4F01BA28">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104F63A1">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50ADDBD2">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38D6FA4E">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2A4D5535">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73CAA80B">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409DAD60">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7C110D9E">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35446D1F">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1D1B0885">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31228A05">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1515A208">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79F5D9EE">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67B6752C">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5DBA009C">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43B64287">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4223176D">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57467707">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45513DDB">
            <w:pPr>
              <w:jc w:val="center"/>
              <w:rPr>
                <w:rFonts w:ascii="宋体" w:hAnsi="宋体" w:eastAsia="宋体"/>
                <w:color w:val="auto"/>
                <w:szCs w:val="22"/>
              </w:rPr>
            </w:pPr>
            <w:r>
              <w:rPr>
                <w:rFonts w:hint="eastAsia" w:ascii="宋体" w:hAnsi="宋体" w:eastAsia="宋体"/>
                <w:color w:val="auto"/>
                <w:szCs w:val="22"/>
              </w:rPr>
              <w:t>0.01</w:t>
            </w:r>
          </w:p>
        </w:tc>
        <w:tc>
          <w:tcPr>
            <w:tcW w:w="217" w:type="pct"/>
            <w:shd w:val="clear" w:color="000000" w:fill="FFFFFF"/>
            <w:noWrap/>
            <w:vAlign w:val="center"/>
          </w:tcPr>
          <w:p w14:paraId="58BECD21">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2AD04B46">
            <w:pPr>
              <w:jc w:val="center"/>
              <w:rPr>
                <w:rFonts w:ascii="宋体" w:hAnsi="宋体" w:eastAsia="宋体"/>
                <w:color w:val="auto"/>
                <w:szCs w:val="22"/>
              </w:rPr>
            </w:pPr>
            <w:r>
              <w:rPr>
                <w:rFonts w:hint="eastAsia" w:ascii="宋体" w:hAnsi="宋体" w:eastAsia="宋体"/>
                <w:color w:val="auto"/>
                <w:szCs w:val="22"/>
              </w:rPr>
              <w:t>0</w:t>
            </w:r>
          </w:p>
        </w:tc>
      </w:tr>
      <w:tr w14:paraId="46C3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3FFEADED">
            <w:pPr>
              <w:jc w:val="center"/>
              <w:rPr>
                <w:rFonts w:ascii="宋体" w:hAnsi="宋体" w:eastAsia="宋体"/>
                <w:color w:val="auto"/>
              </w:rPr>
            </w:pPr>
            <w:r>
              <w:rPr>
                <w:rFonts w:hint="eastAsia" w:ascii="宋体" w:hAnsi="宋体" w:eastAsia="宋体"/>
                <w:color w:val="auto"/>
              </w:rPr>
              <w:t>石油类</w:t>
            </w:r>
          </w:p>
        </w:tc>
        <w:tc>
          <w:tcPr>
            <w:tcW w:w="232" w:type="pct"/>
            <w:shd w:val="clear" w:color="000000" w:fill="FFFFFF"/>
            <w:noWrap/>
            <w:vAlign w:val="center"/>
          </w:tcPr>
          <w:p w14:paraId="2863252E">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7E962582">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6129D739">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1D328E3C">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3787562F">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5E02205D">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12A08114">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3284A852">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263A1347">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1D025B32">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7E713CD1">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59370BD8">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2FCE494B">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17DE8456">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4E8792A9">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421238CF">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501A27C1">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1673E6B1">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7765C407">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161E356F">
            <w:pPr>
              <w:jc w:val="center"/>
              <w:rPr>
                <w:rFonts w:ascii="宋体" w:hAnsi="宋体" w:eastAsia="宋体"/>
                <w:color w:val="auto"/>
                <w:szCs w:val="22"/>
              </w:rPr>
            </w:pPr>
            <w:r>
              <w:rPr>
                <w:rFonts w:hint="eastAsia" w:ascii="宋体" w:hAnsi="宋体" w:eastAsia="宋体"/>
                <w:color w:val="auto"/>
                <w:szCs w:val="22"/>
              </w:rPr>
              <w:t>0.1</w:t>
            </w:r>
          </w:p>
        </w:tc>
        <w:tc>
          <w:tcPr>
            <w:tcW w:w="217" w:type="pct"/>
            <w:shd w:val="clear" w:color="000000" w:fill="FFFFFF"/>
            <w:noWrap/>
            <w:vAlign w:val="center"/>
          </w:tcPr>
          <w:p w14:paraId="1FF4A497">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075AF05A">
            <w:pPr>
              <w:jc w:val="center"/>
              <w:rPr>
                <w:rFonts w:ascii="宋体" w:hAnsi="宋体" w:eastAsia="宋体"/>
                <w:color w:val="auto"/>
                <w:szCs w:val="22"/>
              </w:rPr>
            </w:pPr>
            <w:r>
              <w:rPr>
                <w:rFonts w:hint="eastAsia" w:ascii="宋体" w:hAnsi="宋体" w:eastAsia="宋体"/>
                <w:color w:val="auto"/>
                <w:szCs w:val="22"/>
              </w:rPr>
              <w:t>0</w:t>
            </w:r>
          </w:p>
        </w:tc>
      </w:tr>
      <w:tr w14:paraId="3185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5194FAEA">
            <w:pPr>
              <w:jc w:val="center"/>
              <w:rPr>
                <w:rFonts w:ascii="宋体" w:hAnsi="宋体" w:eastAsia="宋体"/>
                <w:color w:val="auto"/>
              </w:rPr>
            </w:pPr>
            <w:r>
              <w:rPr>
                <w:rFonts w:hint="eastAsia" w:ascii="宋体" w:hAnsi="宋体" w:eastAsia="宋体"/>
                <w:color w:val="auto"/>
              </w:rPr>
              <w:t>总大肠菌群</w:t>
            </w:r>
          </w:p>
        </w:tc>
        <w:tc>
          <w:tcPr>
            <w:tcW w:w="232" w:type="pct"/>
            <w:shd w:val="clear" w:color="000000" w:fill="FFFFFF"/>
            <w:noWrap/>
            <w:vAlign w:val="center"/>
          </w:tcPr>
          <w:p w14:paraId="5B6AB2F4">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27603394">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30A76EB0">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224E1913">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2924BE27">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019FA641">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64B9B50C">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4363785C">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5A0D2F0C">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46D2C017">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1E201F4E">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515DAADB">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11708441">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248E6C49">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06DCE89E">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63D49C6F">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6E824083">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15F1DAE7">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7A678663">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709B8630">
            <w:pPr>
              <w:jc w:val="center"/>
              <w:rPr>
                <w:rFonts w:ascii="宋体" w:hAnsi="宋体" w:eastAsia="宋体"/>
                <w:color w:val="auto"/>
                <w:szCs w:val="22"/>
              </w:rPr>
            </w:pPr>
            <w:r>
              <w:rPr>
                <w:rFonts w:hint="eastAsia" w:ascii="宋体" w:hAnsi="宋体" w:eastAsia="宋体"/>
                <w:color w:val="auto"/>
                <w:szCs w:val="22"/>
              </w:rPr>
              <w:t>0.33</w:t>
            </w:r>
          </w:p>
        </w:tc>
        <w:tc>
          <w:tcPr>
            <w:tcW w:w="217" w:type="pct"/>
            <w:shd w:val="clear" w:color="000000" w:fill="FFFFFF"/>
            <w:noWrap/>
            <w:vAlign w:val="center"/>
          </w:tcPr>
          <w:p w14:paraId="1977D3F4">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250AFC80">
            <w:pPr>
              <w:jc w:val="center"/>
              <w:rPr>
                <w:rFonts w:ascii="宋体" w:hAnsi="宋体" w:eastAsia="宋体"/>
                <w:color w:val="auto"/>
                <w:szCs w:val="22"/>
              </w:rPr>
            </w:pPr>
            <w:r>
              <w:rPr>
                <w:rFonts w:hint="eastAsia" w:ascii="宋体" w:hAnsi="宋体" w:eastAsia="宋体"/>
                <w:color w:val="auto"/>
                <w:szCs w:val="22"/>
              </w:rPr>
              <w:t>0</w:t>
            </w:r>
          </w:p>
        </w:tc>
      </w:tr>
      <w:tr w14:paraId="1E16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6C2E440F">
            <w:pPr>
              <w:jc w:val="center"/>
              <w:rPr>
                <w:rFonts w:ascii="宋体" w:hAnsi="宋体" w:eastAsia="宋体"/>
                <w:color w:val="auto"/>
              </w:rPr>
            </w:pPr>
            <w:r>
              <w:rPr>
                <w:rFonts w:hint="eastAsia" w:ascii="宋体" w:hAnsi="宋体" w:eastAsia="宋体"/>
                <w:color w:val="auto"/>
              </w:rPr>
              <w:t>菌落总数</w:t>
            </w:r>
          </w:p>
        </w:tc>
        <w:tc>
          <w:tcPr>
            <w:tcW w:w="232" w:type="pct"/>
            <w:shd w:val="clear" w:color="000000" w:fill="FFFFFF"/>
            <w:vAlign w:val="center"/>
          </w:tcPr>
          <w:p w14:paraId="45F5F23A">
            <w:pPr>
              <w:jc w:val="center"/>
              <w:rPr>
                <w:rFonts w:ascii="宋体" w:hAnsi="宋体" w:eastAsia="宋体" w:cs="Times New Roman"/>
                <w:color w:val="auto"/>
              </w:rPr>
            </w:pPr>
            <w:r>
              <w:rPr>
                <w:rFonts w:ascii="宋体" w:hAnsi="宋体" w:eastAsia="宋体" w:cs="Times New Roman"/>
                <w:color w:val="auto"/>
              </w:rPr>
              <w:t>0.12</w:t>
            </w:r>
          </w:p>
        </w:tc>
        <w:tc>
          <w:tcPr>
            <w:tcW w:w="217" w:type="pct"/>
            <w:shd w:val="clear" w:color="000000" w:fill="FFFFFF"/>
            <w:vAlign w:val="center"/>
          </w:tcPr>
          <w:p w14:paraId="075A81CD">
            <w:pPr>
              <w:jc w:val="center"/>
              <w:rPr>
                <w:rFonts w:ascii="宋体" w:hAnsi="宋体" w:eastAsia="宋体" w:cs="Times New Roman"/>
                <w:color w:val="auto"/>
              </w:rPr>
            </w:pPr>
            <w:r>
              <w:rPr>
                <w:rFonts w:ascii="宋体" w:hAnsi="宋体" w:eastAsia="宋体" w:cs="Times New Roman"/>
                <w:color w:val="auto"/>
              </w:rPr>
              <w:t>0.13</w:t>
            </w:r>
          </w:p>
        </w:tc>
        <w:tc>
          <w:tcPr>
            <w:tcW w:w="217" w:type="pct"/>
            <w:shd w:val="clear" w:color="000000" w:fill="FFFFFF"/>
            <w:vAlign w:val="center"/>
          </w:tcPr>
          <w:p w14:paraId="36324A13">
            <w:pPr>
              <w:jc w:val="center"/>
              <w:rPr>
                <w:rFonts w:ascii="宋体" w:hAnsi="宋体" w:eastAsia="宋体" w:cs="Times New Roman"/>
                <w:color w:val="auto"/>
              </w:rPr>
            </w:pPr>
            <w:r>
              <w:rPr>
                <w:rFonts w:ascii="宋体" w:hAnsi="宋体" w:eastAsia="宋体" w:cs="Times New Roman"/>
                <w:color w:val="auto"/>
              </w:rPr>
              <w:t>0.12</w:t>
            </w:r>
          </w:p>
        </w:tc>
        <w:tc>
          <w:tcPr>
            <w:tcW w:w="217" w:type="pct"/>
            <w:shd w:val="clear" w:color="000000" w:fill="FFFFFF"/>
            <w:vAlign w:val="center"/>
          </w:tcPr>
          <w:p w14:paraId="42508202">
            <w:pPr>
              <w:jc w:val="center"/>
              <w:rPr>
                <w:rFonts w:ascii="宋体" w:hAnsi="宋体" w:eastAsia="宋体" w:cs="Times New Roman"/>
                <w:color w:val="auto"/>
              </w:rPr>
            </w:pPr>
            <w:r>
              <w:rPr>
                <w:rFonts w:ascii="宋体" w:hAnsi="宋体" w:eastAsia="宋体" w:cs="Times New Roman"/>
                <w:color w:val="auto"/>
              </w:rPr>
              <w:t>0.1</w:t>
            </w:r>
          </w:p>
        </w:tc>
        <w:tc>
          <w:tcPr>
            <w:tcW w:w="217" w:type="pct"/>
            <w:shd w:val="clear" w:color="000000" w:fill="FFFFFF"/>
            <w:vAlign w:val="center"/>
          </w:tcPr>
          <w:p w14:paraId="25986F07">
            <w:pPr>
              <w:jc w:val="center"/>
              <w:rPr>
                <w:rFonts w:ascii="宋体" w:hAnsi="宋体" w:eastAsia="宋体" w:cs="Times New Roman"/>
                <w:color w:val="auto"/>
              </w:rPr>
            </w:pPr>
            <w:r>
              <w:rPr>
                <w:rFonts w:ascii="宋体" w:hAnsi="宋体" w:eastAsia="宋体" w:cs="Times New Roman"/>
                <w:color w:val="auto"/>
              </w:rPr>
              <w:t>0.11</w:t>
            </w:r>
          </w:p>
        </w:tc>
        <w:tc>
          <w:tcPr>
            <w:tcW w:w="217" w:type="pct"/>
            <w:shd w:val="clear" w:color="000000" w:fill="FFFFFF"/>
            <w:vAlign w:val="center"/>
          </w:tcPr>
          <w:p w14:paraId="63E83363">
            <w:pPr>
              <w:jc w:val="center"/>
              <w:rPr>
                <w:rFonts w:ascii="宋体" w:hAnsi="宋体" w:eastAsia="宋体" w:cs="Times New Roman"/>
                <w:color w:val="auto"/>
              </w:rPr>
            </w:pPr>
            <w:r>
              <w:rPr>
                <w:rFonts w:ascii="宋体" w:hAnsi="宋体" w:eastAsia="宋体" w:cs="Times New Roman"/>
                <w:color w:val="auto"/>
              </w:rPr>
              <w:t>0.07</w:t>
            </w:r>
          </w:p>
        </w:tc>
        <w:tc>
          <w:tcPr>
            <w:tcW w:w="217" w:type="pct"/>
            <w:shd w:val="clear" w:color="000000" w:fill="FFFFFF"/>
            <w:vAlign w:val="center"/>
          </w:tcPr>
          <w:p w14:paraId="5E08409E">
            <w:pPr>
              <w:jc w:val="center"/>
              <w:rPr>
                <w:rFonts w:ascii="宋体" w:hAnsi="宋体" w:eastAsia="宋体" w:cs="Times New Roman"/>
                <w:color w:val="auto"/>
              </w:rPr>
            </w:pPr>
            <w:r>
              <w:rPr>
                <w:rFonts w:ascii="宋体" w:hAnsi="宋体" w:eastAsia="宋体" w:cs="Times New Roman"/>
                <w:color w:val="auto"/>
              </w:rPr>
              <w:t>0.06</w:t>
            </w:r>
          </w:p>
        </w:tc>
        <w:tc>
          <w:tcPr>
            <w:tcW w:w="217" w:type="pct"/>
            <w:shd w:val="clear" w:color="000000" w:fill="FFFFFF"/>
            <w:vAlign w:val="center"/>
          </w:tcPr>
          <w:p w14:paraId="7DA3DD90">
            <w:pPr>
              <w:jc w:val="center"/>
              <w:rPr>
                <w:rFonts w:ascii="宋体" w:hAnsi="宋体" w:eastAsia="宋体" w:cs="Times New Roman"/>
                <w:color w:val="auto"/>
              </w:rPr>
            </w:pPr>
            <w:r>
              <w:rPr>
                <w:rFonts w:ascii="宋体" w:hAnsi="宋体" w:eastAsia="宋体" w:cs="Times New Roman"/>
                <w:color w:val="auto"/>
              </w:rPr>
              <w:t>0.11</w:t>
            </w:r>
          </w:p>
        </w:tc>
        <w:tc>
          <w:tcPr>
            <w:tcW w:w="217" w:type="pct"/>
            <w:shd w:val="clear" w:color="000000" w:fill="FFFFFF"/>
            <w:vAlign w:val="center"/>
          </w:tcPr>
          <w:p w14:paraId="1277DA4C">
            <w:pPr>
              <w:jc w:val="center"/>
              <w:rPr>
                <w:rFonts w:ascii="宋体" w:hAnsi="宋体" w:eastAsia="宋体" w:cs="Times New Roman"/>
                <w:color w:val="auto"/>
              </w:rPr>
            </w:pPr>
            <w:r>
              <w:rPr>
                <w:rFonts w:ascii="宋体" w:hAnsi="宋体" w:eastAsia="宋体" w:cs="Times New Roman"/>
                <w:color w:val="auto"/>
              </w:rPr>
              <w:t>0.12</w:t>
            </w:r>
          </w:p>
        </w:tc>
        <w:tc>
          <w:tcPr>
            <w:tcW w:w="217" w:type="pct"/>
            <w:shd w:val="clear" w:color="000000" w:fill="FFFFFF"/>
            <w:vAlign w:val="center"/>
          </w:tcPr>
          <w:p w14:paraId="1AFE4830">
            <w:pPr>
              <w:jc w:val="center"/>
              <w:rPr>
                <w:rFonts w:ascii="宋体" w:hAnsi="宋体" w:eastAsia="宋体" w:cs="Times New Roman"/>
                <w:color w:val="auto"/>
              </w:rPr>
            </w:pPr>
            <w:r>
              <w:rPr>
                <w:rFonts w:ascii="宋体" w:hAnsi="宋体" w:eastAsia="宋体" w:cs="Times New Roman"/>
                <w:color w:val="auto"/>
              </w:rPr>
              <w:t>0.1</w:t>
            </w:r>
          </w:p>
        </w:tc>
        <w:tc>
          <w:tcPr>
            <w:tcW w:w="217" w:type="pct"/>
            <w:shd w:val="clear" w:color="000000" w:fill="FFFFFF"/>
            <w:vAlign w:val="center"/>
          </w:tcPr>
          <w:p w14:paraId="28242438">
            <w:pPr>
              <w:jc w:val="center"/>
              <w:rPr>
                <w:rFonts w:ascii="宋体" w:hAnsi="宋体" w:eastAsia="宋体" w:cs="Times New Roman"/>
                <w:color w:val="auto"/>
              </w:rPr>
            </w:pPr>
            <w:r>
              <w:rPr>
                <w:rFonts w:ascii="宋体" w:hAnsi="宋体" w:eastAsia="宋体" w:cs="Times New Roman"/>
                <w:color w:val="auto"/>
              </w:rPr>
              <w:t>0.11</w:t>
            </w:r>
          </w:p>
        </w:tc>
        <w:tc>
          <w:tcPr>
            <w:tcW w:w="217" w:type="pct"/>
            <w:shd w:val="clear" w:color="000000" w:fill="FFFFFF"/>
            <w:vAlign w:val="center"/>
          </w:tcPr>
          <w:p w14:paraId="0D8E3676">
            <w:pPr>
              <w:jc w:val="center"/>
              <w:rPr>
                <w:rFonts w:ascii="宋体" w:hAnsi="宋体" w:eastAsia="宋体" w:cs="Times New Roman"/>
                <w:color w:val="auto"/>
              </w:rPr>
            </w:pPr>
            <w:r>
              <w:rPr>
                <w:rFonts w:ascii="宋体" w:hAnsi="宋体" w:eastAsia="宋体" w:cs="Times New Roman"/>
                <w:color w:val="auto"/>
              </w:rPr>
              <w:t>0.11</w:t>
            </w:r>
          </w:p>
        </w:tc>
        <w:tc>
          <w:tcPr>
            <w:tcW w:w="217" w:type="pct"/>
            <w:shd w:val="clear" w:color="000000" w:fill="FFFFFF"/>
            <w:vAlign w:val="center"/>
          </w:tcPr>
          <w:p w14:paraId="23CC1699">
            <w:pPr>
              <w:jc w:val="center"/>
              <w:rPr>
                <w:rFonts w:ascii="宋体" w:hAnsi="宋体" w:eastAsia="宋体" w:cs="Times New Roman"/>
                <w:color w:val="auto"/>
              </w:rPr>
            </w:pPr>
            <w:r>
              <w:rPr>
                <w:rFonts w:ascii="宋体" w:hAnsi="宋体" w:eastAsia="宋体" w:cs="Times New Roman"/>
                <w:color w:val="auto"/>
              </w:rPr>
              <w:t>0.08</w:t>
            </w:r>
          </w:p>
        </w:tc>
        <w:tc>
          <w:tcPr>
            <w:tcW w:w="217" w:type="pct"/>
            <w:shd w:val="clear" w:color="000000" w:fill="FFFFFF"/>
            <w:vAlign w:val="center"/>
          </w:tcPr>
          <w:p w14:paraId="678BBB3B">
            <w:pPr>
              <w:jc w:val="center"/>
              <w:rPr>
                <w:rFonts w:ascii="宋体" w:hAnsi="宋体" w:eastAsia="宋体" w:cs="Times New Roman"/>
                <w:color w:val="auto"/>
              </w:rPr>
            </w:pPr>
            <w:r>
              <w:rPr>
                <w:rFonts w:ascii="宋体" w:hAnsi="宋体" w:eastAsia="宋体" w:cs="Times New Roman"/>
                <w:color w:val="auto"/>
              </w:rPr>
              <w:t>0.09</w:t>
            </w:r>
          </w:p>
        </w:tc>
        <w:tc>
          <w:tcPr>
            <w:tcW w:w="217" w:type="pct"/>
            <w:shd w:val="clear" w:color="000000" w:fill="FFFFFF"/>
            <w:vAlign w:val="center"/>
          </w:tcPr>
          <w:p w14:paraId="769AA37E">
            <w:pPr>
              <w:jc w:val="center"/>
              <w:rPr>
                <w:rFonts w:ascii="宋体" w:hAnsi="宋体" w:eastAsia="宋体" w:cs="Times New Roman"/>
                <w:color w:val="auto"/>
              </w:rPr>
            </w:pPr>
            <w:r>
              <w:rPr>
                <w:rFonts w:ascii="宋体" w:hAnsi="宋体" w:eastAsia="宋体" w:cs="Times New Roman"/>
                <w:color w:val="auto"/>
              </w:rPr>
              <w:t>0.12</w:t>
            </w:r>
          </w:p>
        </w:tc>
        <w:tc>
          <w:tcPr>
            <w:tcW w:w="217" w:type="pct"/>
            <w:shd w:val="clear" w:color="000000" w:fill="FFFFFF"/>
            <w:vAlign w:val="center"/>
          </w:tcPr>
          <w:p w14:paraId="257F098B">
            <w:pPr>
              <w:jc w:val="center"/>
              <w:rPr>
                <w:rFonts w:ascii="宋体" w:hAnsi="宋体" w:eastAsia="宋体" w:cs="Times New Roman"/>
                <w:color w:val="auto"/>
              </w:rPr>
            </w:pPr>
            <w:r>
              <w:rPr>
                <w:rFonts w:ascii="宋体" w:hAnsi="宋体" w:eastAsia="宋体" w:cs="Times New Roman"/>
                <w:color w:val="auto"/>
              </w:rPr>
              <w:t>0.07</w:t>
            </w:r>
          </w:p>
        </w:tc>
        <w:tc>
          <w:tcPr>
            <w:tcW w:w="217" w:type="pct"/>
            <w:shd w:val="clear" w:color="000000" w:fill="FFFFFF"/>
            <w:noWrap/>
            <w:vAlign w:val="center"/>
          </w:tcPr>
          <w:p w14:paraId="159DDB36">
            <w:pPr>
              <w:jc w:val="center"/>
              <w:rPr>
                <w:rFonts w:ascii="宋体" w:hAnsi="宋体" w:eastAsia="宋体"/>
                <w:color w:val="auto"/>
                <w:szCs w:val="22"/>
              </w:rPr>
            </w:pPr>
            <w:r>
              <w:rPr>
                <w:rFonts w:hint="eastAsia" w:ascii="宋体" w:hAnsi="宋体" w:eastAsia="宋体"/>
                <w:color w:val="auto"/>
                <w:szCs w:val="22"/>
              </w:rPr>
              <w:t>0.13</w:t>
            </w:r>
          </w:p>
        </w:tc>
        <w:tc>
          <w:tcPr>
            <w:tcW w:w="217" w:type="pct"/>
            <w:shd w:val="clear" w:color="000000" w:fill="FFFFFF"/>
            <w:noWrap/>
            <w:vAlign w:val="center"/>
          </w:tcPr>
          <w:p w14:paraId="63EF658E">
            <w:pPr>
              <w:jc w:val="center"/>
              <w:rPr>
                <w:rFonts w:ascii="宋体" w:hAnsi="宋体" w:eastAsia="宋体"/>
                <w:color w:val="auto"/>
                <w:szCs w:val="22"/>
              </w:rPr>
            </w:pPr>
            <w:r>
              <w:rPr>
                <w:rFonts w:hint="eastAsia" w:ascii="宋体" w:hAnsi="宋体" w:eastAsia="宋体"/>
                <w:color w:val="auto"/>
                <w:szCs w:val="22"/>
              </w:rPr>
              <w:t>0.06</w:t>
            </w:r>
          </w:p>
        </w:tc>
        <w:tc>
          <w:tcPr>
            <w:tcW w:w="217" w:type="pct"/>
            <w:shd w:val="clear" w:color="000000" w:fill="FFFFFF"/>
            <w:noWrap/>
            <w:vAlign w:val="center"/>
          </w:tcPr>
          <w:p w14:paraId="7217E89A">
            <w:pPr>
              <w:jc w:val="center"/>
              <w:rPr>
                <w:rFonts w:ascii="宋体" w:hAnsi="宋体" w:eastAsia="宋体"/>
                <w:color w:val="auto"/>
                <w:szCs w:val="22"/>
              </w:rPr>
            </w:pPr>
            <w:r>
              <w:rPr>
                <w:rFonts w:hint="eastAsia" w:ascii="宋体" w:hAnsi="宋体" w:eastAsia="宋体"/>
                <w:color w:val="auto"/>
                <w:szCs w:val="22"/>
              </w:rPr>
              <w:t>0.02</w:t>
            </w:r>
          </w:p>
        </w:tc>
        <w:tc>
          <w:tcPr>
            <w:tcW w:w="227" w:type="pct"/>
            <w:shd w:val="clear" w:color="000000" w:fill="FFFFFF"/>
            <w:noWrap/>
            <w:vAlign w:val="center"/>
          </w:tcPr>
          <w:p w14:paraId="1A434AFE">
            <w:pPr>
              <w:jc w:val="center"/>
              <w:rPr>
                <w:rFonts w:ascii="宋体" w:hAnsi="宋体" w:eastAsia="宋体"/>
                <w:color w:val="auto"/>
                <w:szCs w:val="22"/>
              </w:rPr>
            </w:pPr>
            <w:r>
              <w:rPr>
                <w:rFonts w:hint="eastAsia" w:ascii="宋体" w:hAnsi="宋体" w:eastAsia="宋体"/>
                <w:color w:val="auto"/>
                <w:szCs w:val="22"/>
              </w:rPr>
              <w:t>0.101</w:t>
            </w:r>
          </w:p>
        </w:tc>
        <w:tc>
          <w:tcPr>
            <w:tcW w:w="217" w:type="pct"/>
            <w:shd w:val="clear" w:color="000000" w:fill="FFFFFF"/>
            <w:noWrap/>
            <w:vAlign w:val="center"/>
          </w:tcPr>
          <w:p w14:paraId="22A0AD3E">
            <w:pPr>
              <w:jc w:val="center"/>
              <w:rPr>
                <w:rFonts w:ascii="宋体" w:hAnsi="宋体" w:eastAsia="宋体"/>
                <w:color w:val="auto"/>
                <w:szCs w:val="22"/>
              </w:rPr>
            </w:pPr>
            <w:r>
              <w:rPr>
                <w:rFonts w:hint="eastAsia" w:ascii="宋体" w:hAnsi="宋体" w:eastAsia="宋体"/>
                <w:color w:val="auto"/>
                <w:szCs w:val="22"/>
              </w:rPr>
              <w:t>100</w:t>
            </w:r>
          </w:p>
        </w:tc>
        <w:tc>
          <w:tcPr>
            <w:tcW w:w="217" w:type="pct"/>
            <w:shd w:val="clear" w:color="000000" w:fill="FFFFFF"/>
            <w:noWrap/>
            <w:vAlign w:val="center"/>
          </w:tcPr>
          <w:p w14:paraId="0922FB7E">
            <w:pPr>
              <w:jc w:val="center"/>
              <w:rPr>
                <w:rFonts w:ascii="宋体" w:hAnsi="宋体" w:eastAsia="宋体"/>
                <w:color w:val="auto"/>
                <w:szCs w:val="22"/>
              </w:rPr>
            </w:pPr>
            <w:r>
              <w:rPr>
                <w:rFonts w:hint="eastAsia" w:ascii="宋体" w:hAnsi="宋体" w:eastAsia="宋体"/>
                <w:color w:val="auto"/>
                <w:szCs w:val="22"/>
              </w:rPr>
              <w:t>0</w:t>
            </w:r>
          </w:p>
        </w:tc>
      </w:tr>
      <w:tr w14:paraId="729B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6BDDCCA0">
            <w:pPr>
              <w:jc w:val="center"/>
              <w:rPr>
                <w:rFonts w:ascii="宋体" w:hAnsi="宋体" w:eastAsia="宋体"/>
                <w:color w:val="auto"/>
              </w:rPr>
            </w:pPr>
            <w:r>
              <w:rPr>
                <w:rFonts w:hint="eastAsia" w:ascii="宋体" w:hAnsi="宋体" w:eastAsia="宋体"/>
                <w:color w:val="auto"/>
              </w:rPr>
              <w:t>硫化物</w:t>
            </w:r>
          </w:p>
        </w:tc>
        <w:tc>
          <w:tcPr>
            <w:tcW w:w="232" w:type="pct"/>
            <w:shd w:val="clear" w:color="000000" w:fill="FFFFFF"/>
            <w:noWrap/>
            <w:vAlign w:val="center"/>
          </w:tcPr>
          <w:p w14:paraId="37000159">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16408A7A">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450D2750">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24A9FC5C">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28431629">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30B5FA56">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50518E1B">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63C58BFB">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2C9804C9">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5EFC5C5F">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1270A20C">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060571AB">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19E64F4B">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337C9D21">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4EA4CD42">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236347C0">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32C4645F">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334B5F43">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6D926381">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240047B9">
            <w:pPr>
              <w:jc w:val="center"/>
              <w:rPr>
                <w:rFonts w:ascii="宋体" w:hAnsi="宋体" w:eastAsia="宋体"/>
                <w:color w:val="auto"/>
                <w:szCs w:val="22"/>
              </w:rPr>
            </w:pPr>
            <w:r>
              <w:rPr>
                <w:rFonts w:hint="eastAsia" w:ascii="宋体" w:hAnsi="宋体" w:eastAsia="宋体"/>
                <w:color w:val="auto"/>
                <w:szCs w:val="22"/>
              </w:rPr>
              <w:t>0.075</w:t>
            </w:r>
          </w:p>
        </w:tc>
        <w:tc>
          <w:tcPr>
            <w:tcW w:w="217" w:type="pct"/>
            <w:shd w:val="clear" w:color="000000" w:fill="FFFFFF"/>
            <w:noWrap/>
            <w:vAlign w:val="center"/>
          </w:tcPr>
          <w:p w14:paraId="39CC416D">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6BF6B56E">
            <w:pPr>
              <w:jc w:val="center"/>
              <w:rPr>
                <w:rFonts w:ascii="宋体" w:hAnsi="宋体" w:eastAsia="宋体"/>
                <w:color w:val="auto"/>
                <w:szCs w:val="22"/>
              </w:rPr>
            </w:pPr>
            <w:r>
              <w:rPr>
                <w:rFonts w:hint="eastAsia" w:ascii="宋体" w:hAnsi="宋体" w:eastAsia="宋体"/>
                <w:color w:val="auto"/>
                <w:szCs w:val="22"/>
              </w:rPr>
              <w:t>0</w:t>
            </w:r>
          </w:p>
        </w:tc>
      </w:tr>
      <w:tr w14:paraId="646A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shd w:val="clear" w:color="000000" w:fill="FFFFFF"/>
            <w:vAlign w:val="center"/>
          </w:tcPr>
          <w:p w14:paraId="48A8C474">
            <w:pPr>
              <w:jc w:val="center"/>
              <w:rPr>
                <w:rFonts w:ascii="宋体" w:hAnsi="宋体" w:eastAsia="宋体"/>
                <w:color w:val="auto"/>
              </w:rPr>
            </w:pPr>
            <w:r>
              <w:rPr>
                <w:rFonts w:hint="eastAsia" w:ascii="宋体" w:hAnsi="宋体" w:eastAsia="宋体"/>
                <w:color w:val="auto"/>
              </w:rPr>
              <w:t>钡</w:t>
            </w:r>
          </w:p>
        </w:tc>
        <w:tc>
          <w:tcPr>
            <w:tcW w:w="232" w:type="pct"/>
            <w:shd w:val="clear" w:color="000000" w:fill="FFFFFF"/>
            <w:noWrap/>
            <w:vAlign w:val="center"/>
          </w:tcPr>
          <w:p w14:paraId="0D856B7D">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5279499D">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1209F683">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2342B757">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51803D7A">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3FC345FD">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4160DE7D">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3C444A9C">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22EF1D6A">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4A481DB6">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4BA89D6B">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1EABE498">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436D6313">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567EB129">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555F42E4">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42960C3B">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11600063">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2AFB9E59">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11F681A5">
            <w:pPr>
              <w:jc w:val="center"/>
              <w:rPr>
                <w:rFonts w:ascii="宋体" w:hAnsi="宋体" w:eastAsia="宋体"/>
                <w:color w:val="auto"/>
                <w:szCs w:val="22"/>
              </w:rPr>
            </w:pPr>
            <w:r>
              <w:rPr>
                <w:rFonts w:hint="eastAsia" w:ascii="宋体" w:hAnsi="宋体" w:eastAsia="宋体"/>
                <w:color w:val="auto"/>
                <w:szCs w:val="22"/>
              </w:rPr>
              <w:t>0</w:t>
            </w:r>
          </w:p>
        </w:tc>
        <w:tc>
          <w:tcPr>
            <w:tcW w:w="227" w:type="pct"/>
            <w:shd w:val="clear" w:color="000000" w:fill="FFFFFF"/>
            <w:noWrap/>
            <w:vAlign w:val="center"/>
          </w:tcPr>
          <w:p w14:paraId="38D84B18">
            <w:pPr>
              <w:jc w:val="center"/>
              <w:rPr>
                <w:rFonts w:ascii="宋体" w:hAnsi="宋体" w:eastAsia="宋体"/>
                <w:color w:val="auto"/>
                <w:szCs w:val="22"/>
              </w:rPr>
            </w:pPr>
            <w:r>
              <w:rPr>
                <w:rFonts w:hint="eastAsia" w:ascii="宋体" w:hAnsi="宋体" w:eastAsia="宋体"/>
                <w:color w:val="auto"/>
                <w:szCs w:val="22"/>
              </w:rPr>
              <w:t>0.007</w:t>
            </w:r>
          </w:p>
        </w:tc>
        <w:tc>
          <w:tcPr>
            <w:tcW w:w="217" w:type="pct"/>
            <w:shd w:val="clear" w:color="000000" w:fill="FFFFFF"/>
            <w:noWrap/>
            <w:vAlign w:val="center"/>
          </w:tcPr>
          <w:p w14:paraId="5CC59B61">
            <w:pPr>
              <w:jc w:val="center"/>
              <w:rPr>
                <w:rFonts w:ascii="宋体" w:hAnsi="宋体" w:eastAsia="宋体"/>
                <w:color w:val="auto"/>
                <w:szCs w:val="22"/>
              </w:rPr>
            </w:pPr>
            <w:r>
              <w:rPr>
                <w:rFonts w:hint="eastAsia" w:ascii="宋体" w:hAnsi="宋体" w:eastAsia="宋体"/>
                <w:color w:val="auto"/>
                <w:szCs w:val="22"/>
              </w:rPr>
              <w:t>0</w:t>
            </w:r>
          </w:p>
        </w:tc>
        <w:tc>
          <w:tcPr>
            <w:tcW w:w="217" w:type="pct"/>
            <w:shd w:val="clear" w:color="000000" w:fill="FFFFFF"/>
            <w:noWrap/>
            <w:vAlign w:val="center"/>
          </w:tcPr>
          <w:p w14:paraId="23E6B2E7">
            <w:pPr>
              <w:jc w:val="center"/>
              <w:rPr>
                <w:rFonts w:ascii="宋体" w:hAnsi="宋体" w:eastAsia="宋体"/>
                <w:color w:val="auto"/>
                <w:szCs w:val="22"/>
              </w:rPr>
            </w:pPr>
            <w:r>
              <w:rPr>
                <w:rFonts w:hint="eastAsia" w:ascii="宋体" w:hAnsi="宋体" w:eastAsia="宋体"/>
                <w:color w:val="auto"/>
                <w:szCs w:val="22"/>
              </w:rPr>
              <w:t>0</w:t>
            </w:r>
          </w:p>
        </w:tc>
      </w:tr>
    </w:tbl>
    <w:p w14:paraId="5561AF60">
      <w:pPr>
        <w:rPr>
          <w:rFonts w:ascii="宋体" w:hAnsi="宋体" w:eastAsia="宋体"/>
          <w:color w:val="auto"/>
        </w:rPr>
      </w:pPr>
    </w:p>
    <w:p w14:paraId="1F91C839">
      <w:pPr>
        <w:pStyle w:val="79"/>
        <w:ind w:firstLine="240"/>
        <w:rPr>
          <w:rFonts w:ascii="宋体" w:hAnsi="宋体"/>
          <w:color w:val="auto"/>
        </w:rPr>
        <w:sectPr>
          <w:pgSz w:w="23811" w:h="16838" w:orient="landscape"/>
          <w:pgMar w:top="1418" w:right="1418" w:bottom="1418" w:left="1418" w:header="851" w:footer="425" w:gutter="0"/>
          <w:cols w:space="720" w:num="1"/>
          <w:docGrid w:type="lines" w:linePitch="326" w:charSpace="0"/>
        </w:sectPr>
      </w:pPr>
    </w:p>
    <w:p w14:paraId="36BAFE16">
      <w:pPr>
        <w:pStyle w:val="79"/>
        <w:ind w:firstLine="240"/>
        <w:rPr>
          <w:rFonts w:ascii="宋体" w:hAnsi="宋体"/>
          <w:color w:val="auto"/>
        </w:rPr>
      </w:pPr>
    </w:p>
    <w:p w14:paraId="3EB2617E">
      <w:pPr>
        <w:pStyle w:val="276"/>
        <w:widowControl w:val="0"/>
        <w:ind w:firstLine="480"/>
        <w:jc w:val="both"/>
        <w:rPr>
          <w:color w:val="auto"/>
          <w:kern w:val="21"/>
        </w:rPr>
      </w:pPr>
      <w:r>
        <w:rPr>
          <w:color w:val="auto"/>
          <w:kern w:val="21"/>
        </w:rPr>
        <w:t>（4）现状评价结论</w:t>
      </w:r>
    </w:p>
    <w:p w14:paraId="5C52EDE5">
      <w:pPr>
        <w:pStyle w:val="276"/>
        <w:widowControl w:val="0"/>
        <w:ind w:firstLine="480"/>
        <w:jc w:val="both"/>
        <w:rPr>
          <w:color w:val="auto"/>
          <w:kern w:val="21"/>
        </w:rPr>
      </w:pPr>
      <w:r>
        <w:rPr>
          <w:color w:val="auto"/>
          <w:kern w:val="21"/>
        </w:rPr>
        <w:t>由以上地下水单因子标准指数分析可知，评价区域地下水潜水水质除锰外均满足《地下水质量标准》（GB/T 148488-2017）中的Ⅲ类标准要求，石油类满足《地表水环境质量标准》（GB 3838-2002）II类标准。其中锰因子水质监测浓度占标率偏高，主要是由于评价区域地层中富含锰矿物，还原条件下转化的Mn</w:t>
      </w:r>
      <w:r>
        <w:rPr>
          <w:color w:val="auto"/>
          <w:kern w:val="21"/>
          <w:vertAlign w:val="superscript"/>
        </w:rPr>
        <w:t>2+</w:t>
      </w:r>
      <w:r>
        <w:rPr>
          <w:color w:val="auto"/>
          <w:kern w:val="21"/>
        </w:rPr>
        <w:t>在CO</w:t>
      </w:r>
      <w:r>
        <w:rPr>
          <w:color w:val="auto"/>
          <w:kern w:val="21"/>
          <w:vertAlign w:val="subscript"/>
        </w:rPr>
        <w:t>2</w:t>
      </w:r>
      <w:r>
        <w:rPr>
          <w:color w:val="auto"/>
          <w:kern w:val="21"/>
        </w:rPr>
        <w:t>作用下溶入地下水中，形成锰浓度偏高的水文地质化学环境。</w:t>
      </w:r>
    </w:p>
    <w:p w14:paraId="747D6333">
      <w:pPr>
        <w:pStyle w:val="276"/>
        <w:widowControl w:val="0"/>
        <w:ind w:firstLine="480"/>
        <w:jc w:val="both"/>
        <w:rPr>
          <w:color w:val="auto"/>
        </w:rPr>
      </w:pPr>
      <w:r>
        <w:rPr>
          <w:color w:val="auto"/>
        </w:rPr>
        <w:t>评价区域承压水</w:t>
      </w:r>
      <w:r>
        <w:rPr>
          <w:color w:val="auto"/>
          <w:kern w:val="21"/>
        </w:rPr>
        <w:t>水质均满足《地下水质量标准》（GB/T 148488-2017）中的Ⅲ类标准要求，石油类满足《地表水环境质量标准》（GB 3838-2002）II类标准。</w:t>
      </w:r>
    </w:p>
    <w:p w14:paraId="095382C8">
      <w:pPr>
        <w:pStyle w:val="276"/>
        <w:widowControl w:val="0"/>
        <w:ind w:firstLine="480"/>
        <w:jc w:val="both"/>
        <w:rPr>
          <w:color w:val="auto"/>
        </w:rPr>
      </w:pPr>
      <w:r>
        <w:rPr>
          <w:color w:val="auto"/>
        </w:rPr>
        <w:t>（5）区域地下水化学类型分析</w:t>
      </w:r>
    </w:p>
    <w:p w14:paraId="63CCF1D2">
      <w:pPr>
        <w:pStyle w:val="276"/>
        <w:widowControl w:val="0"/>
        <w:ind w:firstLine="480"/>
        <w:jc w:val="both"/>
        <w:rPr>
          <w:color w:val="auto"/>
          <w:szCs w:val="20"/>
        </w:rPr>
      </w:pPr>
      <w:r>
        <w:rPr>
          <w:color w:val="auto"/>
          <w:szCs w:val="20"/>
        </w:rPr>
        <w:t>根据舒卡列夫分类法，按地下水中Ca</w:t>
      </w:r>
      <w:r>
        <w:rPr>
          <w:color w:val="auto"/>
          <w:szCs w:val="20"/>
          <w:vertAlign w:val="superscript"/>
        </w:rPr>
        <w:t>2+</w:t>
      </w:r>
      <w:r>
        <w:rPr>
          <w:color w:val="auto"/>
          <w:szCs w:val="20"/>
        </w:rPr>
        <w:t>、Mg</w:t>
      </w:r>
      <w:r>
        <w:rPr>
          <w:color w:val="auto"/>
          <w:szCs w:val="20"/>
          <w:vertAlign w:val="superscript"/>
        </w:rPr>
        <w:t>2+</w:t>
      </w:r>
      <w:r>
        <w:rPr>
          <w:color w:val="auto"/>
          <w:szCs w:val="20"/>
        </w:rPr>
        <w:t>、Na</w:t>
      </w:r>
      <w:r>
        <w:rPr>
          <w:color w:val="auto"/>
          <w:szCs w:val="20"/>
          <w:vertAlign w:val="superscript"/>
        </w:rPr>
        <w:t>+</w:t>
      </w:r>
      <w:r>
        <w:rPr>
          <w:color w:val="auto"/>
          <w:szCs w:val="20"/>
        </w:rPr>
        <w:t>、K</w:t>
      </w:r>
      <w:r>
        <w:rPr>
          <w:color w:val="auto"/>
          <w:szCs w:val="20"/>
          <w:vertAlign w:val="superscript"/>
        </w:rPr>
        <w:t>+</w:t>
      </w:r>
      <w:r>
        <w:rPr>
          <w:color w:val="auto"/>
          <w:szCs w:val="20"/>
        </w:rPr>
        <w:t>、Cl</w:t>
      </w:r>
      <w:r>
        <w:rPr>
          <w:color w:val="auto"/>
          <w:szCs w:val="20"/>
          <w:vertAlign w:val="superscript"/>
        </w:rPr>
        <w:t>-</w:t>
      </w:r>
      <w:r>
        <w:rPr>
          <w:color w:val="auto"/>
          <w:szCs w:val="20"/>
        </w:rPr>
        <w:t>、SO</w:t>
      </w:r>
      <w:r>
        <w:rPr>
          <w:color w:val="auto"/>
          <w:szCs w:val="20"/>
          <w:vertAlign w:val="subscript"/>
        </w:rPr>
        <w:t>4</w:t>
      </w:r>
      <w:r>
        <w:rPr>
          <w:color w:val="auto"/>
          <w:szCs w:val="20"/>
          <w:vertAlign w:val="superscript"/>
        </w:rPr>
        <w:t>2-</w:t>
      </w:r>
      <w:r>
        <w:rPr>
          <w:color w:val="auto"/>
          <w:szCs w:val="20"/>
        </w:rPr>
        <w:t>、HCO</w:t>
      </w:r>
      <w:r>
        <w:rPr>
          <w:color w:val="auto"/>
          <w:szCs w:val="20"/>
          <w:vertAlign w:val="subscript"/>
        </w:rPr>
        <w:t>3</w:t>
      </w:r>
      <w:r>
        <w:rPr>
          <w:color w:val="auto"/>
          <w:szCs w:val="20"/>
          <w:vertAlign w:val="superscript"/>
        </w:rPr>
        <w:t>-</w:t>
      </w:r>
      <w:r>
        <w:rPr>
          <w:color w:val="auto"/>
          <w:szCs w:val="20"/>
        </w:rPr>
        <w:t>含量，将Meq（毫克当量）百分数大于25% 的阴、阳离子进行组合，每种类型以阿拉伯数字为代号，共49类。舒卡列夫分类表见</w:t>
      </w:r>
      <w:r>
        <w:rPr>
          <w:color w:val="auto"/>
        </w:rPr>
        <w:t>表4.3-</w:t>
      </w:r>
      <w:r>
        <w:rPr>
          <w:color w:val="auto"/>
          <w:szCs w:val="20"/>
        </w:rPr>
        <w:t>1</w:t>
      </w:r>
      <w:r>
        <w:rPr>
          <w:rFonts w:hint="eastAsia"/>
          <w:color w:val="auto"/>
          <w:szCs w:val="20"/>
        </w:rPr>
        <w:t>0</w:t>
      </w:r>
      <w:r>
        <w:rPr>
          <w:color w:val="auto"/>
          <w:szCs w:val="20"/>
        </w:rPr>
        <w:t xml:space="preserve">。 </w:t>
      </w:r>
    </w:p>
    <w:p w14:paraId="4865E3D9">
      <w:pPr>
        <w:pStyle w:val="276"/>
        <w:widowControl w:val="0"/>
        <w:spacing w:line="440" w:lineRule="exact"/>
        <w:ind w:firstLine="0" w:firstLineChars="0"/>
        <w:jc w:val="center"/>
        <w:rPr>
          <w:color w:val="auto"/>
          <w:szCs w:val="20"/>
        </w:rPr>
      </w:pPr>
      <w:r>
        <w:rPr>
          <w:color w:val="auto"/>
        </w:rPr>
        <w:t>表4.3-</w:t>
      </w:r>
      <w:r>
        <w:rPr>
          <w:color w:val="auto"/>
          <w:szCs w:val="20"/>
        </w:rPr>
        <w:t>1</w:t>
      </w:r>
      <w:r>
        <w:rPr>
          <w:rFonts w:hint="eastAsia"/>
          <w:color w:val="auto"/>
          <w:szCs w:val="20"/>
        </w:rPr>
        <w:t>0</w:t>
      </w:r>
      <w:r>
        <w:rPr>
          <w:color w:val="auto"/>
          <w:szCs w:val="20"/>
        </w:rPr>
        <w:t xml:space="preserve"> </w:t>
      </w:r>
      <w:r>
        <w:rPr>
          <w:color w:val="auto"/>
        </w:rPr>
        <w:t>舒卡列夫</w:t>
      </w:r>
      <w:r>
        <w:rPr>
          <w:color w:val="auto"/>
          <w:szCs w:val="20"/>
        </w:rPr>
        <w:t>分类表</w:t>
      </w:r>
    </w:p>
    <w:tbl>
      <w:tblPr>
        <w:tblStyle w:val="81"/>
        <w:tblW w:w="90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0"/>
        <w:gridCol w:w="823"/>
        <w:gridCol w:w="1187"/>
        <w:gridCol w:w="1504"/>
        <w:gridCol w:w="1047"/>
        <w:gridCol w:w="772"/>
        <w:gridCol w:w="872"/>
        <w:gridCol w:w="596"/>
      </w:tblGrid>
      <w:tr w14:paraId="1F9A3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260" w:type="dxa"/>
            <w:vAlign w:val="center"/>
          </w:tcPr>
          <w:p w14:paraId="07E2DE84">
            <w:pPr>
              <w:spacing w:line="360" w:lineRule="exact"/>
              <w:jc w:val="center"/>
              <w:rPr>
                <w:rFonts w:ascii="宋体" w:hAnsi="宋体" w:eastAsia="宋体" w:cs="Times New Roman"/>
                <w:color w:val="auto"/>
              </w:rPr>
            </w:pPr>
            <w:r>
              <w:rPr>
                <w:rFonts w:ascii="宋体" w:hAnsi="宋体" w:eastAsia="宋体" w:cs="Times New Roman"/>
                <w:color w:val="auto"/>
              </w:rPr>
              <w:t>含量＞25%Meq的离子</w:t>
            </w:r>
          </w:p>
        </w:tc>
        <w:tc>
          <w:tcPr>
            <w:tcW w:w="823" w:type="dxa"/>
            <w:vAlign w:val="center"/>
          </w:tcPr>
          <w:p w14:paraId="257F29E6">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p>
        </w:tc>
        <w:tc>
          <w:tcPr>
            <w:tcW w:w="1187" w:type="dxa"/>
            <w:vAlign w:val="center"/>
          </w:tcPr>
          <w:p w14:paraId="1A771C06">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rPr>
              <w:t>+SO</w:t>
            </w:r>
            <w:r>
              <w:rPr>
                <w:rFonts w:ascii="宋体" w:hAnsi="宋体" w:eastAsia="宋体" w:cs="Times New Roman"/>
                <w:color w:val="auto"/>
                <w:vertAlign w:val="subscript"/>
              </w:rPr>
              <w:t>4</w:t>
            </w:r>
          </w:p>
        </w:tc>
        <w:tc>
          <w:tcPr>
            <w:tcW w:w="1504" w:type="dxa"/>
            <w:vAlign w:val="center"/>
          </w:tcPr>
          <w:p w14:paraId="667ABFE2">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rPr>
              <w:t>+Cl</w:t>
            </w:r>
          </w:p>
        </w:tc>
        <w:tc>
          <w:tcPr>
            <w:tcW w:w="1047" w:type="dxa"/>
            <w:vAlign w:val="center"/>
          </w:tcPr>
          <w:p w14:paraId="0E2039AA">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rPr>
              <w:t>+Cl</w:t>
            </w:r>
          </w:p>
        </w:tc>
        <w:tc>
          <w:tcPr>
            <w:tcW w:w="772" w:type="dxa"/>
            <w:vAlign w:val="center"/>
          </w:tcPr>
          <w:p w14:paraId="0550EC34">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p>
        </w:tc>
        <w:tc>
          <w:tcPr>
            <w:tcW w:w="872" w:type="dxa"/>
            <w:vAlign w:val="center"/>
          </w:tcPr>
          <w:p w14:paraId="0C823846">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rPr>
              <w:t>+Cl</w:t>
            </w:r>
          </w:p>
        </w:tc>
        <w:tc>
          <w:tcPr>
            <w:tcW w:w="596" w:type="dxa"/>
            <w:vAlign w:val="center"/>
          </w:tcPr>
          <w:p w14:paraId="7AB57D70">
            <w:pPr>
              <w:spacing w:line="360" w:lineRule="exact"/>
              <w:jc w:val="center"/>
              <w:rPr>
                <w:rFonts w:ascii="宋体" w:hAnsi="宋体" w:eastAsia="宋体" w:cs="Times New Roman"/>
                <w:color w:val="auto"/>
              </w:rPr>
            </w:pPr>
            <w:r>
              <w:rPr>
                <w:rFonts w:ascii="宋体" w:hAnsi="宋体" w:eastAsia="宋体" w:cs="Times New Roman"/>
                <w:color w:val="auto"/>
              </w:rPr>
              <w:t>Cl</w:t>
            </w:r>
          </w:p>
        </w:tc>
      </w:tr>
      <w:tr w14:paraId="51C5A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60" w:type="dxa"/>
            <w:vAlign w:val="center"/>
          </w:tcPr>
          <w:p w14:paraId="797309D5">
            <w:pPr>
              <w:spacing w:line="360" w:lineRule="exact"/>
              <w:jc w:val="center"/>
              <w:rPr>
                <w:rFonts w:ascii="宋体" w:hAnsi="宋体" w:eastAsia="宋体" w:cs="Times New Roman"/>
                <w:color w:val="auto"/>
              </w:rPr>
            </w:pPr>
            <w:r>
              <w:rPr>
                <w:rFonts w:ascii="宋体" w:hAnsi="宋体" w:eastAsia="宋体" w:cs="Times New Roman"/>
                <w:color w:val="auto"/>
              </w:rPr>
              <w:t>Ca</w:t>
            </w:r>
          </w:p>
        </w:tc>
        <w:tc>
          <w:tcPr>
            <w:tcW w:w="823" w:type="dxa"/>
            <w:vAlign w:val="center"/>
          </w:tcPr>
          <w:p w14:paraId="4D4D18FA">
            <w:pPr>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1187" w:type="dxa"/>
            <w:vAlign w:val="center"/>
          </w:tcPr>
          <w:p w14:paraId="21C41E8A">
            <w:pPr>
              <w:spacing w:line="360" w:lineRule="exact"/>
              <w:jc w:val="center"/>
              <w:rPr>
                <w:rFonts w:ascii="宋体" w:hAnsi="宋体" w:eastAsia="宋体" w:cs="Times New Roman"/>
                <w:color w:val="auto"/>
              </w:rPr>
            </w:pPr>
            <w:r>
              <w:rPr>
                <w:rFonts w:ascii="宋体" w:hAnsi="宋体" w:eastAsia="宋体" w:cs="Times New Roman"/>
                <w:color w:val="auto"/>
              </w:rPr>
              <w:t>8</w:t>
            </w:r>
          </w:p>
        </w:tc>
        <w:tc>
          <w:tcPr>
            <w:tcW w:w="1504" w:type="dxa"/>
            <w:vAlign w:val="center"/>
          </w:tcPr>
          <w:p w14:paraId="7BD4674D">
            <w:pPr>
              <w:spacing w:line="360" w:lineRule="exact"/>
              <w:jc w:val="center"/>
              <w:rPr>
                <w:rFonts w:ascii="宋体" w:hAnsi="宋体" w:eastAsia="宋体" w:cs="Times New Roman"/>
                <w:color w:val="auto"/>
              </w:rPr>
            </w:pPr>
            <w:r>
              <w:rPr>
                <w:rFonts w:ascii="宋体" w:hAnsi="宋体" w:eastAsia="宋体" w:cs="Times New Roman"/>
                <w:color w:val="auto"/>
              </w:rPr>
              <w:t>15</w:t>
            </w:r>
          </w:p>
        </w:tc>
        <w:tc>
          <w:tcPr>
            <w:tcW w:w="1047" w:type="dxa"/>
            <w:vAlign w:val="center"/>
          </w:tcPr>
          <w:p w14:paraId="1E8BE6A4">
            <w:pPr>
              <w:spacing w:line="360" w:lineRule="exact"/>
              <w:jc w:val="center"/>
              <w:rPr>
                <w:rFonts w:ascii="宋体" w:hAnsi="宋体" w:eastAsia="宋体" w:cs="Times New Roman"/>
                <w:color w:val="auto"/>
              </w:rPr>
            </w:pPr>
            <w:r>
              <w:rPr>
                <w:rFonts w:ascii="宋体" w:hAnsi="宋体" w:eastAsia="宋体" w:cs="Times New Roman"/>
                <w:color w:val="auto"/>
              </w:rPr>
              <w:t>22</w:t>
            </w:r>
          </w:p>
        </w:tc>
        <w:tc>
          <w:tcPr>
            <w:tcW w:w="772" w:type="dxa"/>
            <w:vAlign w:val="center"/>
          </w:tcPr>
          <w:p w14:paraId="781BEA2E">
            <w:pPr>
              <w:spacing w:line="360" w:lineRule="exact"/>
              <w:jc w:val="center"/>
              <w:rPr>
                <w:rFonts w:ascii="宋体" w:hAnsi="宋体" w:eastAsia="宋体" w:cs="Times New Roman"/>
                <w:color w:val="auto"/>
              </w:rPr>
            </w:pPr>
            <w:r>
              <w:rPr>
                <w:rFonts w:ascii="宋体" w:hAnsi="宋体" w:eastAsia="宋体" w:cs="Times New Roman"/>
                <w:color w:val="auto"/>
              </w:rPr>
              <w:t>29</w:t>
            </w:r>
          </w:p>
        </w:tc>
        <w:tc>
          <w:tcPr>
            <w:tcW w:w="872" w:type="dxa"/>
            <w:vAlign w:val="center"/>
          </w:tcPr>
          <w:p w14:paraId="61F3E749">
            <w:pPr>
              <w:spacing w:line="360" w:lineRule="exact"/>
              <w:jc w:val="center"/>
              <w:rPr>
                <w:rFonts w:ascii="宋体" w:hAnsi="宋体" w:eastAsia="宋体" w:cs="Times New Roman"/>
                <w:color w:val="auto"/>
              </w:rPr>
            </w:pPr>
            <w:r>
              <w:rPr>
                <w:rFonts w:ascii="宋体" w:hAnsi="宋体" w:eastAsia="宋体" w:cs="Times New Roman"/>
                <w:color w:val="auto"/>
              </w:rPr>
              <w:t>36</w:t>
            </w:r>
          </w:p>
        </w:tc>
        <w:tc>
          <w:tcPr>
            <w:tcW w:w="596" w:type="dxa"/>
            <w:vAlign w:val="center"/>
          </w:tcPr>
          <w:p w14:paraId="64FCD008">
            <w:pPr>
              <w:spacing w:line="360" w:lineRule="exact"/>
              <w:jc w:val="center"/>
              <w:rPr>
                <w:rFonts w:ascii="宋体" w:hAnsi="宋体" w:eastAsia="宋体" w:cs="Times New Roman"/>
                <w:color w:val="auto"/>
              </w:rPr>
            </w:pPr>
            <w:r>
              <w:rPr>
                <w:rFonts w:ascii="宋体" w:hAnsi="宋体" w:eastAsia="宋体" w:cs="Times New Roman"/>
                <w:color w:val="auto"/>
              </w:rPr>
              <w:t>43</w:t>
            </w:r>
          </w:p>
        </w:tc>
      </w:tr>
      <w:tr w14:paraId="2BB97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60" w:type="dxa"/>
            <w:vAlign w:val="center"/>
          </w:tcPr>
          <w:p w14:paraId="27B31F30">
            <w:pPr>
              <w:spacing w:line="360" w:lineRule="exact"/>
              <w:jc w:val="center"/>
              <w:rPr>
                <w:rFonts w:ascii="宋体" w:hAnsi="宋体" w:eastAsia="宋体" w:cs="Times New Roman"/>
                <w:color w:val="auto"/>
              </w:rPr>
            </w:pPr>
            <w:r>
              <w:rPr>
                <w:rFonts w:ascii="宋体" w:hAnsi="宋体" w:eastAsia="宋体" w:cs="Times New Roman"/>
                <w:color w:val="auto"/>
              </w:rPr>
              <w:t>Ca+Mg</w:t>
            </w:r>
          </w:p>
        </w:tc>
        <w:tc>
          <w:tcPr>
            <w:tcW w:w="823" w:type="dxa"/>
            <w:vAlign w:val="center"/>
          </w:tcPr>
          <w:p w14:paraId="1DC02E96">
            <w:pPr>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187" w:type="dxa"/>
            <w:vAlign w:val="center"/>
          </w:tcPr>
          <w:p w14:paraId="70C7E22B">
            <w:pPr>
              <w:spacing w:line="360" w:lineRule="exact"/>
              <w:jc w:val="center"/>
              <w:rPr>
                <w:rFonts w:ascii="宋体" w:hAnsi="宋体" w:eastAsia="宋体" w:cs="Times New Roman"/>
                <w:color w:val="auto"/>
              </w:rPr>
            </w:pPr>
            <w:r>
              <w:rPr>
                <w:rFonts w:ascii="宋体" w:hAnsi="宋体" w:eastAsia="宋体" w:cs="Times New Roman"/>
                <w:color w:val="auto"/>
              </w:rPr>
              <w:t>9</w:t>
            </w:r>
          </w:p>
        </w:tc>
        <w:tc>
          <w:tcPr>
            <w:tcW w:w="1504" w:type="dxa"/>
            <w:vAlign w:val="center"/>
          </w:tcPr>
          <w:p w14:paraId="3F3C75DF">
            <w:pPr>
              <w:spacing w:line="360" w:lineRule="exact"/>
              <w:jc w:val="center"/>
              <w:rPr>
                <w:rFonts w:ascii="宋体" w:hAnsi="宋体" w:eastAsia="宋体" w:cs="Times New Roman"/>
                <w:color w:val="auto"/>
              </w:rPr>
            </w:pPr>
            <w:r>
              <w:rPr>
                <w:rFonts w:ascii="宋体" w:hAnsi="宋体" w:eastAsia="宋体" w:cs="Times New Roman"/>
                <w:color w:val="auto"/>
              </w:rPr>
              <w:t>16</w:t>
            </w:r>
          </w:p>
        </w:tc>
        <w:tc>
          <w:tcPr>
            <w:tcW w:w="1047" w:type="dxa"/>
            <w:vAlign w:val="center"/>
          </w:tcPr>
          <w:p w14:paraId="0D82B55F">
            <w:pPr>
              <w:spacing w:line="360" w:lineRule="exact"/>
              <w:jc w:val="center"/>
              <w:rPr>
                <w:rFonts w:ascii="宋体" w:hAnsi="宋体" w:eastAsia="宋体" w:cs="Times New Roman"/>
                <w:color w:val="auto"/>
              </w:rPr>
            </w:pPr>
            <w:r>
              <w:rPr>
                <w:rFonts w:ascii="宋体" w:hAnsi="宋体" w:eastAsia="宋体" w:cs="Times New Roman"/>
                <w:color w:val="auto"/>
              </w:rPr>
              <w:t>23</w:t>
            </w:r>
          </w:p>
        </w:tc>
        <w:tc>
          <w:tcPr>
            <w:tcW w:w="772" w:type="dxa"/>
            <w:vAlign w:val="center"/>
          </w:tcPr>
          <w:p w14:paraId="6A74AA51">
            <w:pPr>
              <w:spacing w:line="360" w:lineRule="exact"/>
              <w:jc w:val="center"/>
              <w:rPr>
                <w:rFonts w:ascii="宋体" w:hAnsi="宋体" w:eastAsia="宋体" w:cs="Times New Roman"/>
                <w:color w:val="auto"/>
              </w:rPr>
            </w:pPr>
            <w:r>
              <w:rPr>
                <w:rFonts w:ascii="宋体" w:hAnsi="宋体" w:eastAsia="宋体" w:cs="Times New Roman"/>
                <w:color w:val="auto"/>
              </w:rPr>
              <w:t>30</w:t>
            </w:r>
          </w:p>
        </w:tc>
        <w:tc>
          <w:tcPr>
            <w:tcW w:w="872" w:type="dxa"/>
            <w:vAlign w:val="center"/>
          </w:tcPr>
          <w:p w14:paraId="18B6D718">
            <w:pPr>
              <w:spacing w:line="360" w:lineRule="exact"/>
              <w:jc w:val="center"/>
              <w:rPr>
                <w:rFonts w:ascii="宋体" w:hAnsi="宋体" w:eastAsia="宋体" w:cs="Times New Roman"/>
                <w:color w:val="auto"/>
              </w:rPr>
            </w:pPr>
            <w:r>
              <w:rPr>
                <w:rFonts w:ascii="宋体" w:hAnsi="宋体" w:eastAsia="宋体" w:cs="Times New Roman"/>
                <w:color w:val="auto"/>
              </w:rPr>
              <w:t>37</w:t>
            </w:r>
          </w:p>
        </w:tc>
        <w:tc>
          <w:tcPr>
            <w:tcW w:w="596" w:type="dxa"/>
            <w:vAlign w:val="center"/>
          </w:tcPr>
          <w:p w14:paraId="39667C40">
            <w:pPr>
              <w:spacing w:line="360" w:lineRule="exact"/>
              <w:jc w:val="center"/>
              <w:rPr>
                <w:rFonts w:ascii="宋体" w:hAnsi="宋体" w:eastAsia="宋体" w:cs="Times New Roman"/>
                <w:color w:val="auto"/>
              </w:rPr>
            </w:pPr>
            <w:r>
              <w:rPr>
                <w:rFonts w:ascii="宋体" w:hAnsi="宋体" w:eastAsia="宋体" w:cs="Times New Roman"/>
                <w:color w:val="auto"/>
              </w:rPr>
              <w:t>44</w:t>
            </w:r>
          </w:p>
        </w:tc>
      </w:tr>
      <w:tr w14:paraId="574D5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60" w:type="dxa"/>
            <w:vAlign w:val="center"/>
          </w:tcPr>
          <w:p w14:paraId="0503B869">
            <w:pPr>
              <w:spacing w:line="360" w:lineRule="exact"/>
              <w:jc w:val="center"/>
              <w:rPr>
                <w:rFonts w:ascii="宋体" w:hAnsi="宋体" w:eastAsia="宋体" w:cs="Times New Roman"/>
                <w:color w:val="auto"/>
              </w:rPr>
            </w:pPr>
            <w:r>
              <w:rPr>
                <w:rFonts w:ascii="宋体" w:hAnsi="宋体" w:eastAsia="宋体" w:cs="Times New Roman"/>
                <w:color w:val="auto"/>
              </w:rPr>
              <w:t>Mg</w:t>
            </w:r>
          </w:p>
        </w:tc>
        <w:tc>
          <w:tcPr>
            <w:tcW w:w="823" w:type="dxa"/>
            <w:vAlign w:val="center"/>
          </w:tcPr>
          <w:p w14:paraId="7AC6588D">
            <w:pPr>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1187" w:type="dxa"/>
            <w:vAlign w:val="center"/>
          </w:tcPr>
          <w:p w14:paraId="26401335">
            <w:pPr>
              <w:spacing w:line="360" w:lineRule="exact"/>
              <w:jc w:val="center"/>
              <w:rPr>
                <w:rFonts w:ascii="宋体" w:hAnsi="宋体" w:eastAsia="宋体" w:cs="Times New Roman"/>
                <w:color w:val="auto"/>
              </w:rPr>
            </w:pPr>
            <w:r>
              <w:rPr>
                <w:rFonts w:ascii="宋体" w:hAnsi="宋体" w:eastAsia="宋体" w:cs="Times New Roman"/>
                <w:color w:val="auto"/>
              </w:rPr>
              <w:t>10</w:t>
            </w:r>
          </w:p>
        </w:tc>
        <w:tc>
          <w:tcPr>
            <w:tcW w:w="1504" w:type="dxa"/>
            <w:vAlign w:val="center"/>
          </w:tcPr>
          <w:p w14:paraId="032DA702">
            <w:pPr>
              <w:spacing w:line="360" w:lineRule="exact"/>
              <w:jc w:val="center"/>
              <w:rPr>
                <w:rFonts w:ascii="宋体" w:hAnsi="宋体" w:eastAsia="宋体" w:cs="Times New Roman"/>
                <w:color w:val="auto"/>
              </w:rPr>
            </w:pPr>
            <w:r>
              <w:rPr>
                <w:rFonts w:ascii="宋体" w:hAnsi="宋体" w:eastAsia="宋体" w:cs="Times New Roman"/>
                <w:color w:val="auto"/>
              </w:rPr>
              <w:t>17</w:t>
            </w:r>
          </w:p>
        </w:tc>
        <w:tc>
          <w:tcPr>
            <w:tcW w:w="1047" w:type="dxa"/>
            <w:vAlign w:val="center"/>
          </w:tcPr>
          <w:p w14:paraId="096CA789">
            <w:pPr>
              <w:spacing w:line="360" w:lineRule="exact"/>
              <w:jc w:val="center"/>
              <w:rPr>
                <w:rFonts w:ascii="宋体" w:hAnsi="宋体" w:eastAsia="宋体" w:cs="Times New Roman"/>
                <w:color w:val="auto"/>
              </w:rPr>
            </w:pPr>
            <w:r>
              <w:rPr>
                <w:rFonts w:ascii="宋体" w:hAnsi="宋体" w:eastAsia="宋体" w:cs="Times New Roman"/>
                <w:color w:val="auto"/>
              </w:rPr>
              <w:t>24</w:t>
            </w:r>
          </w:p>
        </w:tc>
        <w:tc>
          <w:tcPr>
            <w:tcW w:w="772" w:type="dxa"/>
            <w:vAlign w:val="center"/>
          </w:tcPr>
          <w:p w14:paraId="2863E1E7">
            <w:pPr>
              <w:spacing w:line="360" w:lineRule="exact"/>
              <w:jc w:val="center"/>
              <w:rPr>
                <w:rFonts w:ascii="宋体" w:hAnsi="宋体" w:eastAsia="宋体" w:cs="Times New Roman"/>
                <w:color w:val="auto"/>
              </w:rPr>
            </w:pPr>
            <w:r>
              <w:rPr>
                <w:rFonts w:ascii="宋体" w:hAnsi="宋体" w:eastAsia="宋体" w:cs="Times New Roman"/>
                <w:color w:val="auto"/>
              </w:rPr>
              <w:t>31</w:t>
            </w:r>
          </w:p>
        </w:tc>
        <w:tc>
          <w:tcPr>
            <w:tcW w:w="872" w:type="dxa"/>
            <w:vAlign w:val="center"/>
          </w:tcPr>
          <w:p w14:paraId="1ADE2F0E">
            <w:pPr>
              <w:spacing w:line="360" w:lineRule="exact"/>
              <w:jc w:val="center"/>
              <w:rPr>
                <w:rFonts w:ascii="宋体" w:hAnsi="宋体" w:eastAsia="宋体" w:cs="Times New Roman"/>
                <w:color w:val="auto"/>
              </w:rPr>
            </w:pPr>
            <w:r>
              <w:rPr>
                <w:rFonts w:ascii="宋体" w:hAnsi="宋体" w:eastAsia="宋体" w:cs="Times New Roman"/>
                <w:color w:val="auto"/>
              </w:rPr>
              <w:t>38</w:t>
            </w:r>
          </w:p>
        </w:tc>
        <w:tc>
          <w:tcPr>
            <w:tcW w:w="596" w:type="dxa"/>
            <w:vAlign w:val="center"/>
          </w:tcPr>
          <w:p w14:paraId="58BFF600">
            <w:pPr>
              <w:spacing w:line="360" w:lineRule="exact"/>
              <w:jc w:val="center"/>
              <w:rPr>
                <w:rFonts w:ascii="宋体" w:hAnsi="宋体" w:eastAsia="宋体" w:cs="Times New Roman"/>
                <w:color w:val="auto"/>
              </w:rPr>
            </w:pPr>
            <w:r>
              <w:rPr>
                <w:rFonts w:ascii="宋体" w:hAnsi="宋体" w:eastAsia="宋体" w:cs="Times New Roman"/>
                <w:color w:val="auto"/>
              </w:rPr>
              <w:t>45</w:t>
            </w:r>
          </w:p>
        </w:tc>
      </w:tr>
      <w:tr w14:paraId="626FD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60" w:type="dxa"/>
            <w:vAlign w:val="center"/>
          </w:tcPr>
          <w:p w14:paraId="4C594727">
            <w:pPr>
              <w:spacing w:line="360" w:lineRule="exact"/>
              <w:jc w:val="center"/>
              <w:rPr>
                <w:rFonts w:ascii="宋体" w:hAnsi="宋体" w:eastAsia="宋体" w:cs="Times New Roman"/>
                <w:color w:val="auto"/>
              </w:rPr>
            </w:pPr>
            <w:r>
              <w:rPr>
                <w:rFonts w:ascii="宋体" w:hAnsi="宋体" w:eastAsia="宋体" w:cs="Times New Roman"/>
                <w:color w:val="auto"/>
              </w:rPr>
              <w:t>Na+Ca</w:t>
            </w:r>
          </w:p>
        </w:tc>
        <w:tc>
          <w:tcPr>
            <w:tcW w:w="823" w:type="dxa"/>
            <w:vAlign w:val="center"/>
          </w:tcPr>
          <w:p w14:paraId="180B7E35">
            <w:pPr>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1187" w:type="dxa"/>
            <w:vAlign w:val="center"/>
          </w:tcPr>
          <w:p w14:paraId="0BF58555">
            <w:pPr>
              <w:spacing w:line="360" w:lineRule="exact"/>
              <w:jc w:val="center"/>
              <w:rPr>
                <w:rFonts w:ascii="宋体" w:hAnsi="宋体" w:eastAsia="宋体" w:cs="Times New Roman"/>
                <w:color w:val="auto"/>
              </w:rPr>
            </w:pPr>
            <w:r>
              <w:rPr>
                <w:rFonts w:ascii="宋体" w:hAnsi="宋体" w:eastAsia="宋体" w:cs="Times New Roman"/>
                <w:color w:val="auto"/>
              </w:rPr>
              <w:t>11</w:t>
            </w:r>
          </w:p>
        </w:tc>
        <w:tc>
          <w:tcPr>
            <w:tcW w:w="1504" w:type="dxa"/>
            <w:vAlign w:val="center"/>
          </w:tcPr>
          <w:p w14:paraId="6508CBB1">
            <w:pPr>
              <w:spacing w:line="360" w:lineRule="exact"/>
              <w:jc w:val="center"/>
              <w:rPr>
                <w:rFonts w:ascii="宋体" w:hAnsi="宋体" w:eastAsia="宋体" w:cs="Times New Roman"/>
                <w:color w:val="auto"/>
              </w:rPr>
            </w:pPr>
            <w:r>
              <w:rPr>
                <w:rFonts w:ascii="宋体" w:hAnsi="宋体" w:eastAsia="宋体" w:cs="Times New Roman"/>
                <w:color w:val="auto"/>
              </w:rPr>
              <w:t>18</w:t>
            </w:r>
          </w:p>
        </w:tc>
        <w:tc>
          <w:tcPr>
            <w:tcW w:w="1047" w:type="dxa"/>
            <w:vAlign w:val="center"/>
          </w:tcPr>
          <w:p w14:paraId="1D7B3FE3">
            <w:pPr>
              <w:spacing w:line="360" w:lineRule="exact"/>
              <w:jc w:val="center"/>
              <w:rPr>
                <w:rFonts w:ascii="宋体" w:hAnsi="宋体" w:eastAsia="宋体" w:cs="Times New Roman"/>
                <w:color w:val="auto"/>
              </w:rPr>
            </w:pPr>
            <w:r>
              <w:rPr>
                <w:rFonts w:ascii="宋体" w:hAnsi="宋体" w:eastAsia="宋体" w:cs="Times New Roman"/>
                <w:color w:val="auto"/>
              </w:rPr>
              <w:t>25</w:t>
            </w:r>
          </w:p>
        </w:tc>
        <w:tc>
          <w:tcPr>
            <w:tcW w:w="772" w:type="dxa"/>
            <w:vAlign w:val="center"/>
          </w:tcPr>
          <w:p w14:paraId="1C4EA13D">
            <w:pPr>
              <w:spacing w:line="360" w:lineRule="exact"/>
              <w:jc w:val="center"/>
              <w:rPr>
                <w:rFonts w:ascii="宋体" w:hAnsi="宋体" w:eastAsia="宋体" w:cs="Times New Roman"/>
                <w:color w:val="auto"/>
              </w:rPr>
            </w:pPr>
            <w:r>
              <w:rPr>
                <w:rFonts w:ascii="宋体" w:hAnsi="宋体" w:eastAsia="宋体" w:cs="Times New Roman"/>
                <w:color w:val="auto"/>
              </w:rPr>
              <w:t>32</w:t>
            </w:r>
          </w:p>
        </w:tc>
        <w:tc>
          <w:tcPr>
            <w:tcW w:w="872" w:type="dxa"/>
            <w:vAlign w:val="center"/>
          </w:tcPr>
          <w:p w14:paraId="0F8C565D">
            <w:pPr>
              <w:spacing w:line="360" w:lineRule="exact"/>
              <w:jc w:val="center"/>
              <w:rPr>
                <w:rFonts w:ascii="宋体" w:hAnsi="宋体" w:eastAsia="宋体" w:cs="Times New Roman"/>
                <w:color w:val="auto"/>
              </w:rPr>
            </w:pPr>
            <w:r>
              <w:rPr>
                <w:rFonts w:ascii="宋体" w:hAnsi="宋体" w:eastAsia="宋体" w:cs="Times New Roman"/>
                <w:color w:val="auto"/>
              </w:rPr>
              <w:t>39</w:t>
            </w:r>
          </w:p>
        </w:tc>
        <w:tc>
          <w:tcPr>
            <w:tcW w:w="596" w:type="dxa"/>
            <w:vAlign w:val="center"/>
          </w:tcPr>
          <w:p w14:paraId="15D9DFEA">
            <w:pPr>
              <w:spacing w:line="360" w:lineRule="exact"/>
              <w:jc w:val="center"/>
              <w:rPr>
                <w:rFonts w:ascii="宋体" w:hAnsi="宋体" w:eastAsia="宋体" w:cs="Times New Roman"/>
                <w:color w:val="auto"/>
              </w:rPr>
            </w:pPr>
            <w:r>
              <w:rPr>
                <w:rFonts w:ascii="宋体" w:hAnsi="宋体" w:eastAsia="宋体" w:cs="Times New Roman"/>
                <w:color w:val="auto"/>
              </w:rPr>
              <w:t>46</w:t>
            </w:r>
          </w:p>
        </w:tc>
      </w:tr>
      <w:tr w14:paraId="7D2B6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60" w:type="dxa"/>
            <w:vAlign w:val="center"/>
          </w:tcPr>
          <w:p w14:paraId="783E6F72">
            <w:pPr>
              <w:spacing w:line="360" w:lineRule="exact"/>
              <w:jc w:val="center"/>
              <w:rPr>
                <w:rFonts w:ascii="宋体" w:hAnsi="宋体" w:eastAsia="宋体" w:cs="Times New Roman"/>
                <w:color w:val="auto"/>
              </w:rPr>
            </w:pPr>
            <w:r>
              <w:rPr>
                <w:rFonts w:ascii="宋体" w:hAnsi="宋体" w:eastAsia="宋体" w:cs="Times New Roman"/>
                <w:color w:val="auto"/>
              </w:rPr>
              <w:t>Na+Ca+Mg</w:t>
            </w:r>
          </w:p>
        </w:tc>
        <w:tc>
          <w:tcPr>
            <w:tcW w:w="823" w:type="dxa"/>
            <w:vAlign w:val="center"/>
          </w:tcPr>
          <w:p w14:paraId="0E465643">
            <w:pPr>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1187" w:type="dxa"/>
            <w:vAlign w:val="center"/>
          </w:tcPr>
          <w:p w14:paraId="3B6806E8">
            <w:pPr>
              <w:spacing w:line="360" w:lineRule="exact"/>
              <w:jc w:val="center"/>
              <w:rPr>
                <w:rFonts w:ascii="宋体" w:hAnsi="宋体" w:eastAsia="宋体" w:cs="Times New Roman"/>
                <w:color w:val="auto"/>
              </w:rPr>
            </w:pPr>
            <w:r>
              <w:rPr>
                <w:rFonts w:ascii="宋体" w:hAnsi="宋体" w:eastAsia="宋体" w:cs="Times New Roman"/>
                <w:color w:val="auto"/>
              </w:rPr>
              <w:t>12</w:t>
            </w:r>
          </w:p>
        </w:tc>
        <w:tc>
          <w:tcPr>
            <w:tcW w:w="1504" w:type="dxa"/>
            <w:vAlign w:val="center"/>
          </w:tcPr>
          <w:p w14:paraId="20DDBF76">
            <w:pPr>
              <w:spacing w:line="360" w:lineRule="exact"/>
              <w:jc w:val="center"/>
              <w:rPr>
                <w:rFonts w:ascii="宋体" w:hAnsi="宋体" w:eastAsia="宋体" w:cs="Times New Roman"/>
                <w:color w:val="auto"/>
              </w:rPr>
            </w:pPr>
            <w:r>
              <w:rPr>
                <w:rFonts w:ascii="宋体" w:hAnsi="宋体" w:eastAsia="宋体" w:cs="Times New Roman"/>
                <w:color w:val="auto"/>
              </w:rPr>
              <w:t>19</w:t>
            </w:r>
          </w:p>
        </w:tc>
        <w:tc>
          <w:tcPr>
            <w:tcW w:w="1047" w:type="dxa"/>
            <w:vAlign w:val="center"/>
          </w:tcPr>
          <w:p w14:paraId="7606C8C9">
            <w:pPr>
              <w:spacing w:line="360" w:lineRule="exact"/>
              <w:jc w:val="center"/>
              <w:rPr>
                <w:rFonts w:ascii="宋体" w:hAnsi="宋体" w:eastAsia="宋体" w:cs="Times New Roman"/>
                <w:color w:val="auto"/>
              </w:rPr>
            </w:pPr>
            <w:r>
              <w:rPr>
                <w:rFonts w:ascii="宋体" w:hAnsi="宋体" w:eastAsia="宋体" w:cs="Times New Roman"/>
                <w:color w:val="auto"/>
              </w:rPr>
              <w:t>26</w:t>
            </w:r>
          </w:p>
        </w:tc>
        <w:tc>
          <w:tcPr>
            <w:tcW w:w="772" w:type="dxa"/>
            <w:vAlign w:val="center"/>
          </w:tcPr>
          <w:p w14:paraId="7D51CCB0">
            <w:pPr>
              <w:spacing w:line="360" w:lineRule="exact"/>
              <w:jc w:val="center"/>
              <w:rPr>
                <w:rFonts w:ascii="宋体" w:hAnsi="宋体" w:eastAsia="宋体" w:cs="Times New Roman"/>
                <w:color w:val="auto"/>
              </w:rPr>
            </w:pPr>
            <w:r>
              <w:rPr>
                <w:rFonts w:ascii="宋体" w:hAnsi="宋体" w:eastAsia="宋体" w:cs="Times New Roman"/>
                <w:color w:val="auto"/>
              </w:rPr>
              <w:t>33</w:t>
            </w:r>
          </w:p>
        </w:tc>
        <w:tc>
          <w:tcPr>
            <w:tcW w:w="872" w:type="dxa"/>
            <w:vAlign w:val="center"/>
          </w:tcPr>
          <w:p w14:paraId="46267DF0">
            <w:pPr>
              <w:spacing w:line="360" w:lineRule="exact"/>
              <w:jc w:val="center"/>
              <w:rPr>
                <w:rFonts w:ascii="宋体" w:hAnsi="宋体" w:eastAsia="宋体" w:cs="Times New Roman"/>
                <w:color w:val="auto"/>
              </w:rPr>
            </w:pPr>
            <w:r>
              <w:rPr>
                <w:rFonts w:ascii="宋体" w:hAnsi="宋体" w:eastAsia="宋体" w:cs="Times New Roman"/>
                <w:color w:val="auto"/>
              </w:rPr>
              <w:t>40</w:t>
            </w:r>
          </w:p>
        </w:tc>
        <w:tc>
          <w:tcPr>
            <w:tcW w:w="596" w:type="dxa"/>
            <w:vAlign w:val="center"/>
          </w:tcPr>
          <w:p w14:paraId="4DBA3FB8">
            <w:pPr>
              <w:spacing w:line="360" w:lineRule="exact"/>
              <w:jc w:val="center"/>
              <w:rPr>
                <w:rFonts w:ascii="宋体" w:hAnsi="宋体" w:eastAsia="宋体" w:cs="Times New Roman"/>
                <w:color w:val="auto"/>
              </w:rPr>
            </w:pPr>
            <w:r>
              <w:rPr>
                <w:rFonts w:ascii="宋体" w:hAnsi="宋体" w:eastAsia="宋体" w:cs="Times New Roman"/>
                <w:color w:val="auto"/>
              </w:rPr>
              <w:t>47</w:t>
            </w:r>
          </w:p>
        </w:tc>
      </w:tr>
      <w:tr w14:paraId="668FD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60" w:type="dxa"/>
            <w:vAlign w:val="center"/>
          </w:tcPr>
          <w:p w14:paraId="0503B710">
            <w:pPr>
              <w:spacing w:line="360" w:lineRule="exact"/>
              <w:jc w:val="center"/>
              <w:rPr>
                <w:rFonts w:ascii="宋体" w:hAnsi="宋体" w:eastAsia="宋体" w:cs="Times New Roman"/>
                <w:color w:val="auto"/>
              </w:rPr>
            </w:pPr>
            <w:r>
              <w:rPr>
                <w:rFonts w:ascii="宋体" w:hAnsi="宋体" w:eastAsia="宋体" w:cs="Times New Roman"/>
                <w:color w:val="auto"/>
              </w:rPr>
              <w:t>Na+Mg</w:t>
            </w:r>
          </w:p>
        </w:tc>
        <w:tc>
          <w:tcPr>
            <w:tcW w:w="823" w:type="dxa"/>
            <w:vAlign w:val="center"/>
          </w:tcPr>
          <w:p w14:paraId="7A92A538">
            <w:pPr>
              <w:spacing w:line="360" w:lineRule="exact"/>
              <w:jc w:val="center"/>
              <w:rPr>
                <w:rFonts w:ascii="宋体" w:hAnsi="宋体" w:eastAsia="宋体" w:cs="Times New Roman"/>
                <w:color w:val="auto"/>
              </w:rPr>
            </w:pPr>
            <w:r>
              <w:rPr>
                <w:rFonts w:ascii="宋体" w:hAnsi="宋体" w:eastAsia="宋体" w:cs="Times New Roman"/>
                <w:color w:val="auto"/>
              </w:rPr>
              <w:t>6</w:t>
            </w:r>
          </w:p>
        </w:tc>
        <w:tc>
          <w:tcPr>
            <w:tcW w:w="1187" w:type="dxa"/>
            <w:vAlign w:val="center"/>
          </w:tcPr>
          <w:p w14:paraId="66D94F53">
            <w:pPr>
              <w:spacing w:line="360" w:lineRule="exact"/>
              <w:jc w:val="center"/>
              <w:rPr>
                <w:rFonts w:ascii="宋体" w:hAnsi="宋体" w:eastAsia="宋体" w:cs="Times New Roman"/>
                <w:color w:val="auto"/>
              </w:rPr>
            </w:pPr>
            <w:r>
              <w:rPr>
                <w:rFonts w:ascii="宋体" w:hAnsi="宋体" w:eastAsia="宋体" w:cs="Times New Roman"/>
                <w:color w:val="auto"/>
              </w:rPr>
              <w:t>13</w:t>
            </w:r>
          </w:p>
        </w:tc>
        <w:tc>
          <w:tcPr>
            <w:tcW w:w="1504" w:type="dxa"/>
            <w:vAlign w:val="center"/>
          </w:tcPr>
          <w:p w14:paraId="39C51844">
            <w:pPr>
              <w:spacing w:line="360" w:lineRule="exact"/>
              <w:jc w:val="center"/>
              <w:rPr>
                <w:rFonts w:ascii="宋体" w:hAnsi="宋体" w:eastAsia="宋体" w:cs="Times New Roman"/>
                <w:color w:val="auto"/>
              </w:rPr>
            </w:pPr>
            <w:r>
              <w:rPr>
                <w:rFonts w:ascii="宋体" w:hAnsi="宋体" w:eastAsia="宋体" w:cs="Times New Roman"/>
                <w:color w:val="auto"/>
              </w:rPr>
              <w:t>20</w:t>
            </w:r>
          </w:p>
        </w:tc>
        <w:tc>
          <w:tcPr>
            <w:tcW w:w="1047" w:type="dxa"/>
            <w:vAlign w:val="center"/>
          </w:tcPr>
          <w:p w14:paraId="5940BEDF">
            <w:pPr>
              <w:spacing w:line="360" w:lineRule="exact"/>
              <w:jc w:val="center"/>
              <w:rPr>
                <w:rFonts w:ascii="宋体" w:hAnsi="宋体" w:eastAsia="宋体" w:cs="Times New Roman"/>
                <w:color w:val="auto"/>
              </w:rPr>
            </w:pPr>
            <w:r>
              <w:rPr>
                <w:rFonts w:ascii="宋体" w:hAnsi="宋体" w:eastAsia="宋体" w:cs="Times New Roman"/>
                <w:color w:val="auto"/>
              </w:rPr>
              <w:t>27</w:t>
            </w:r>
          </w:p>
        </w:tc>
        <w:tc>
          <w:tcPr>
            <w:tcW w:w="772" w:type="dxa"/>
            <w:vAlign w:val="center"/>
          </w:tcPr>
          <w:p w14:paraId="23E74682">
            <w:pPr>
              <w:spacing w:line="360" w:lineRule="exact"/>
              <w:jc w:val="center"/>
              <w:rPr>
                <w:rFonts w:ascii="宋体" w:hAnsi="宋体" w:eastAsia="宋体" w:cs="Times New Roman"/>
                <w:color w:val="auto"/>
              </w:rPr>
            </w:pPr>
            <w:r>
              <w:rPr>
                <w:rFonts w:ascii="宋体" w:hAnsi="宋体" w:eastAsia="宋体" w:cs="Times New Roman"/>
                <w:color w:val="auto"/>
              </w:rPr>
              <w:t>34</w:t>
            </w:r>
          </w:p>
        </w:tc>
        <w:tc>
          <w:tcPr>
            <w:tcW w:w="872" w:type="dxa"/>
            <w:vAlign w:val="center"/>
          </w:tcPr>
          <w:p w14:paraId="7A88A65D">
            <w:pPr>
              <w:spacing w:line="360" w:lineRule="exact"/>
              <w:jc w:val="center"/>
              <w:rPr>
                <w:rFonts w:ascii="宋体" w:hAnsi="宋体" w:eastAsia="宋体" w:cs="Times New Roman"/>
                <w:color w:val="auto"/>
              </w:rPr>
            </w:pPr>
            <w:r>
              <w:rPr>
                <w:rFonts w:ascii="宋体" w:hAnsi="宋体" w:eastAsia="宋体" w:cs="Times New Roman"/>
                <w:color w:val="auto"/>
              </w:rPr>
              <w:t>41</w:t>
            </w:r>
          </w:p>
        </w:tc>
        <w:tc>
          <w:tcPr>
            <w:tcW w:w="596" w:type="dxa"/>
            <w:vAlign w:val="center"/>
          </w:tcPr>
          <w:p w14:paraId="67634661">
            <w:pPr>
              <w:spacing w:line="360" w:lineRule="exact"/>
              <w:jc w:val="center"/>
              <w:rPr>
                <w:rFonts w:ascii="宋体" w:hAnsi="宋体" w:eastAsia="宋体" w:cs="Times New Roman"/>
                <w:color w:val="auto"/>
              </w:rPr>
            </w:pPr>
            <w:r>
              <w:rPr>
                <w:rFonts w:ascii="宋体" w:hAnsi="宋体" w:eastAsia="宋体" w:cs="Times New Roman"/>
                <w:color w:val="auto"/>
              </w:rPr>
              <w:t>48</w:t>
            </w:r>
          </w:p>
        </w:tc>
      </w:tr>
      <w:tr w14:paraId="6BB99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60" w:type="dxa"/>
            <w:vAlign w:val="center"/>
          </w:tcPr>
          <w:p w14:paraId="37183525">
            <w:pPr>
              <w:spacing w:line="360" w:lineRule="exact"/>
              <w:jc w:val="center"/>
              <w:rPr>
                <w:rFonts w:ascii="宋体" w:hAnsi="宋体" w:eastAsia="宋体" w:cs="Times New Roman"/>
                <w:color w:val="auto"/>
              </w:rPr>
            </w:pPr>
            <w:r>
              <w:rPr>
                <w:rFonts w:ascii="宋体" w:hAnsi="宋体" w:eastAsia="宋体" w:cs="Times New Roman"/>
                <w:color w:val="auto"/>
              </w:rPr>
              <w:t>Na</w:t>
            </w:r>
          </w:p>
        </w:tc>
        <w:tc>
          <w:tcPr>
            <w:tcW w:w="823" w:type="dxa"/>
            <w:vAlign w:val="center"/>
          </w:tcPr>
          <w:p w14:paraId="36BB9A25">
            <w:pPr>
              <w:spacing w:line="360" w:lineRule="exact"/>
              <w:jc w:val="center"/>
              <w:rPr>
                <w:rFonts w:ascii="宋体" w:hAnsi="宋体" w:eastAsia="宋体" w:cs="Times New Roman"/>
                <w:color w:val="auto"/>
              </w:rPr>
            </w:pPr>
            <w:r>
              <w:rPr>
                <w:rFonts w:ascii="宋体" w:hAnsi="宋体" w:eastAsia="宋体" w:cs="Times New Roman"/>
                <w:color w:val="auto"/>
              </w:rPr>
              <w:t>7</w:t>
            </w:r>
          </w:p>
        </w:tc>
        <w:tc>
          <w:tcPr>
            <w:tcW w:w="1187" w:type="dxa"/>
            <w:vAlign w:val="center"/>
          </w:tcPr>
          <w:p w14:paraId="56153EC7">
            <w:pPr>
              <w:spacing w:line="360" w:lineRule="exact"/>
              <w:jc w:val="center"/>
              <w:rPr>
                <w:rFonts w:ascii="宋体" w:hAnsi="宋体" w:eastAsia="宋体" w:cs="Times New Roman"/>
                <w:color w:val="auto"/>
              </w:rPr>
            </w:pPr>
            <w:r>
              <w:rPr>
                <w:rFonts w:ascii="宋体" w:hAnsi="宋体" w:eastAsia="宋体" w:cs="Times New Roman"/>
                <w:color w:val="auto"/>
              </w:rPr>
              <w:t>14</w:t>
            </w:r>
          </w:p>
        </w:tc>
        <w:tc>
          <w:tcPr>
            <w:tcW w:w="1504" w:type="dxa"/>
            <w:vAlign w:val="center"/>
          </w:tcPr>
          <w:p w14:paraId="0816411F">
            <w:pPr>
              <w:spacing w:line="360" w:lineRule="exact"/>
              <w:jc w:val="center"/>
              <w:rPr>
                <w:rFonts w:ascii="宋体" w:hAnsi="宋体" w:eastAsia="宋体" w:cs="Times New Roman"/>
                <w:color w:val="auto"/>
              </w:rPr>
            </w:pPr>
            <w:r>
              <w:rPr>
                <w:rFonts w:ascii="宋体" w:hAnsi="宋体" w:eastAsia="宋体" w:cs="Times New Roman"/>
                <w:color w:val="auto"/>
              </w:rPr>
              <w:t>21</w:t>
            </w:r>
          </w:p>
        </w:tc>
        <w:tc>
          <w:tcPr>
            <w:tcW w:w="1047" w:type="dxa"/>
            <w:vAlign w:val="center"/>
          </w:tcPr>
          <w:p w14:paraId="58CCFA28">
            <w:pPr>
              <w:spacing w:line="360" w:lineRule="exact"/>
              <w:jc w:val="center"/>
              <w:rPr>
                <w:rFonts w:ascii="宋体" w:hAnsi="宋体" w:eastAsia="宋体" w:cs="Times New Roman"/>
                <w:color w:val="auto"/>
              </w:rPr>
            </w:pPr>
            <w:r>
              <w:rPr>
                <w:rFonts w:ascii="宋体" w:hAnsi="宋体" w:eastAsia="宋体" w:cs="Times New Roman"/>
                <w:color w:val="auto"/>
              </w:rPr>
              <w:t>28</w:t>
            </w:r>
          </w:p>
        </w:tc>
        <w:tc>
          <w:tcPr>
            <w:tcW w:w="772" w:type="dxa"/>
            <w:vAlign w:val="center"/>
          </w:tcPr>
          <w:p w14:paraId="4AA5BDB4">
            <w:pPr>
              <w:spacing w:line="360" w:lineRule="exact"/>
              <w:jc w:val="center"/>
              <w:rPr>
                <w:rFonts w:ascii="宋体" w:hAnsi="宋体" w:eastAsia="宋体" w:cs="Times New Roman"/>
                <w:color w:val="auto"/>
              </w:rPr>
            </w:pPr>
            <w:r>
              <w:rPr>
                <w:rFonts w:ascii="宋体" w:hAnsi="宋体" w:eastAsia="宋体" w:cs="Times New Roman"/>
                <w:color w:val="auto"/>
              </w:rPr>
              <w:t>35</w:t>
            </w:r>
          </w:p>
        </w:tc>
        <w:tc>
          <w:tcPr>
            <w:tcW w:w="872" w:type="dxa"/>
            <w:vAlign w:val="center"/>
          </w:tcPr>
          <w:p w14:paraId="536B6ED1">
            <w:pPr>
              <w:spacing w:line="360" w:lineRule="exact"/>
              <w:jc w:val="center"/>
              <w:rPr>
                <w:rFonts w:ascii="宋体" w:hAnsi="宋体" w:eastAsia="宋体" w:cs="Times New Roman"/>
                <w:color w:val="auto"/>
              </w:rPr>
            </w:pPr>
            <w:r>
              <w:rPr>
                <w:rFonts w:ascii="宋体" w:hAnsi="宋体" w:eastAsia="宋体" w:cs="Times New Roman"/>
                <w:color w:val="auto"/>
              </w:rPr>
              <w:t>42</w:t>
            </w:r>
          </w:p>
        </w:tc>
        <w:tc>
          <w:tcPr>
            <w:tcW w:w="596" w:type="dxa"/>
            <w:vAlign w:val="center"/>
          </w:tcPr>
          <w:p w14:paraId="5B872C41">
            <w:pPr>
              <w:spacing w:line="360" w:lineRule="exact"/>
              <w:jc w:val="center"/>
              <w:rPr>
                <w:rFonts w:ascii="宋体" w:hAnsi="宋体" w:eastAsia="宋体" w:cs="Times New Roman"/>
                <w:color w:val="auto"/>
              </w:rPr>
            </w:pPr>
            <w:r>
              <w:rPr>
                <w:rFonts w:ascii="宋体" w:hAnsi="宋体" w:eastAsia="宋体" w:cs="Times New Roman"/>
                <w:color w:val="auto"/>
              </w:rPr>
              <w:t>49</w:t>
            </w:r>
          </w:p>
        </w:tc>
      </w:tr>
    </w:tbl>
    <w:p w14:paraId="4A99AC75">
      <w:pPr>
        <w:pStyle w:val="276"/>
        <w:widowControl w:val="0"/>
        <w:ind w:firstLine="480"/>
        <w:jc w:val="both"/>
        <w:rPr>
          <w:color w:val="auto"/>
          <w:szCs w:val="20"/>
        </w:rPr>
      </w:pPr>
      <w:r>
        <w:rPr>
          <w:color w:val="auto"/>
          <w:szCs w:val="20"/>
        </w:rPr>
        <w:t>按矿化度又分为4组：A组矿化度&lt; 1.5g/L，B组1.5～10g/L，C组10～40g/L，D组&gt; 40g/L。命名时在数字与字母间加连接号。</w:t>
      </w:r>
    </w:p>
    <w:p w14:paraId="0479E0E5">
      <w:pPr>
        <w:pStyle w:val="276"/>
        <w:widowControl w:val="0"/>
        <w:ind w:firstLine="480"/>
        <w:jc w:val="both"/>
        <w:rPr>
          <w:color w:val="auto"/>
          <w:kern w:val="2"/>
          <w:szCs w:val="32"/>
        </w:rPr>
      </w:pPr>
      <w:r>
        <w:rPr>
          <w:color w:val="auto"/>
          <w:szCs w:val="32"/>
        </w:rPr>
        <w:t>根据本项目地下水监测结果，分别计算承压水、潜水各监测点位中SO</w:t>
      </w:r>
      <w:r>
        <w:rPr>
          <w:color w:val="auto"/>
          <w:szCs w:val="32"/>
          <w:vertAlign w:val="subscript"/>
        </w:rPr>
        <w:t>4</w:t>
      </w:r>
      <w:r>
        <w:rPr>
          <w:color w:val="auto"/>
          <w:szCs w:val="32"/>
          <w:vertAlign w:val="superscript"/>
        </w:rPr>
        <w:t>2－</w:t>
      </w:r>
      <w:r>
        <w:rPr>
          <w:color w:val="auto"/>
          <w:szCs w:val="32"/>
        </w:rPr>
        <w:t>、Cl</w:t>
      </w:r>
      <w:r>
        <w:rPr>
          <w:color w:val="auto"/>
          <w:szCs w:val="32"/>
          <w:vertAlign w:val="superscript"/>
        </w:rPr>
        <w:t>－</w:t>
      </w:r>
      <w:r>
        <w:rPr>
          <w:color w:val="auto"/>
          <w:szCs w:val="32"/>
        </w:rPr>
        <w:t>、HCO</w:t>
      </w:r>
      <w:r>
        <w:rPr>
          <w:color w:val="auto"/>
          <w:szCs w:val="32"/>
          <w:vertAlign w:val="subscript"/>
        </w:rPr>
        <w:t>3</w:t>
      </w:r>
      <w:r>
        <w:rPr>
          <w:color w:val="auto"/>
          <w:szCs w:val="32"/>
          <w:vertAlign w:val="superscript"/>
        </w:rPr>
        <w:t>－</w:t>
      </w:r>
      <w:r>
        <w:rPr>
          <w:color w:val="auto"/>
          <w:szCs w:val="32"/>
        </w:rPr>
        <w:t>、CO</w:t>
      </w:r>
      <w:r>
        <w:rPr>
          <w:color w:val="auto"/>
          <w:szCs w:val="32"/>
          <w:vertAlign w:val="subscript"/>
        </w:rPr>
        <w:t>3</w:t>
      </w:r>
      <w:r>
        <w:rPr>
          <w:color w:val="auto"/>
          <w:szCs w:val="32"/>
          <w:vertAlign w:val="superscript"/>
        </w:rPr>
        <w:t>2－</w:t>
      </w:r>
      <w:r>
        <w:rPr>
          <w:color w:val="auto"/>
          <w:szCs w:val="32"/>
        </w:rPr>
        <w:t>、Ca</w:t>
      </w:r>
      <w:r>
        <w:rPr>
          <w:color w:val="auto"/>
          <w:szCs w:val="32"/>
          <w:vertAlign w:val="superscript"/>
        </w:rPr>
        <w:t>2＋</w:t>
      </w:r>
      <w:r>
        <w:rPr>
          <w:color w:val="auto"/>
          <w:szCs w:val="32"/>
        </w:rPr>
        <w:t>、Mg</w:t>
      </w:r>
      <w:r>
        <w:rPr>
          <w:color w:val="auto"/>
          <w:szCs w:val="32"/>
          <w:vertAlign w:val="superscript"/>
        </w:rPr>
        <w:t>2＋</w:t>
      </w:r>
      <w:r>
        <w:rPr>
          <w:color w:val="auto"/>
          <w:szCs w:val="32"/>
        </w:rPr>
        <w:t>、Na</w:t>
      </w:r>
      <w:r>
        <w:rPr>
          <w:color w:val="auto"/>
          <w:szCs w:val="32"/>
          <w:vertAlign w:val="superscript"/>
        </w:rPr>
        <w:t>＋</w:t>
      </w:r>
      <w:r>
        <w:rPr>
          <w:color w:val="auto"/>
          <w:szCs w:val="32"/>
        </w:rPr>
        <w:t>、 K</w:t>
      </w:r>
      <w:r>
        <w:rPr>
          <w:color w:val="auto"/>
          <w:szCs w:val="32"/>
          <w:vertAlign w:val="superscript"/>
        </w:rPr>
        <w:t>＋</w:t>
      </w:r>
      <w:r>
        <w:rPr>
          <w:color w:val="auto"/>
          <w:szCs w:val="32"/>
        </w:rPr>
        <w:t>浓度均值，进而计算各</w:t>
      </w:r>
      <w:r>
        <w:rPr>
          <w:color w:val="auto"/>
        </w:rPr>
        <w:t>离子</w:t>
      </w:r>
      <w:r>
        <w:rPr>
          <w:color w:val="auto"/>
          <w:szCs w:val="32"/>
        </w:rPr>
        <w:t>Meq（毫克当量）百分数及监测点位矿化度，从而对工程区域内承压水、潜水的水化学类型进行分类，</w:t>
      </w:r>
      <w:r>
        <w:rPr>
          <w:color w:val="auto"/>
          <w:kern w:val="2"/>
          <w:szCs w:val="32"/>
        </w:rPr>
        <w:t>工程所在地潜水水质八大离子浓度统计结果见表</w:t>
      </w:r>
      <w:r>
        <w:rPr>
          <w:color w:val="auto"/>
          <w:kern w:val="2"/>
          <w:szCs w:val="20"/>
        </w:rPr>
        <w:t>4.3-1</w:t>
      </w:r>
      <w:r>
        <w:rPr>
          <w:rFonts w:hint="eastAsia"/>
          <w:color w:val="auto"/>
          <w:kern w:val="2"/>
          <w:szCs w:val="20"/>
        </w:rPr>
        <w:t>1</w:t>
      </w:r>
      <w:r>
        <w:rPr>
          <w:color w:val="auto"/>
          <w:kern w:val="2"/>
          <w:szCs w:val="32"/>
        </w:rPr>
        <w:t>，工程所在地承压水水质八大离子浓度统计结果见表</w:t>
      </w:r>
      <w:r>
        <w:rPr>
          <w:color w:val="auto"/>
          <w:kern w:val="2"/>
          <w:szCs w:val="20"/>
        </w:rPr>
        <w:t>4.3-1</w:t>
      </w:r>
      <w:r>
        <w:rPr>
          <w:rFonts w:hint="eastAsia"/>
          <w:color w:val="auto"/>
          <w:kern w:val="2"/>
          <w:szCs w:val="20"/>
        </w:rPr>
        <w:t>2</w:t>
      </w:r>
      <w:r>
        <w:rPr>
          <w:color w:val="auto"/>
          <w:kern w:val="2"/>
          <w:szCs w:val="32"/>
        </w:rPr>
        <w:t>。</w:t>
      </w:r>
    </w:p>
    <w:p w14:paraId="52B5633E">
      <w:pPr>
        <w:pStyle w:val="276"/>
        <w:widowControl w:val="0"/>
        <w:spacing w:line="440" w:lineRule="exact"/>
        <w:ind w:firstLine="0" w:firstLineChars="0"/>
        <w:jc w:val="center"/>
        <w:rPr>
          <w:color w:val="auto"/>
          <w:kern w:val="21"/>
          <w:szCs w:val="20"/>
        </w:rPr>
      </w:pPr>
      <w:r>
        <w:rPr>
          <w:color w:val="auto"/>
          <w:kern w:val="21"/>
          <w:szCs w:val="20"/>
        </w:rPr>
        <w:t>表</w:t>
      </w:r>
      <w:r>
        <w:rPr>
          <w:color w:val="auto"/>
          <w:kern w:val="2"/>
          <w:szCs w:val="20"/>
        </w:rPr>
        <w:t>4.3-1</w:t>
      </w:r>
      <w:r>
        <w:rPr>
          <w:rFonts w:hint="eastAsia"/>
          <w:color w:val="auto"/>
          <w:kern w:val="2"/>
          <w:szCs w:val="20"/>
        </w:rPr>
        <w:t>1</w:t>
      </w:r>
      <w:r>
        <w:rPr>
          <w:color w:val="auto"/>
          <w:kern w:val="21"/>
          <w:szCs w:val="20"/>
        </w:rPr>
        <w:t xml:space="preserve"> </w:t>
      </w:r>
      <w:r>
        <w:rPr>
          <w:color w:val="auto"/>
        </w:rPr>
        <w:t>潜水</w:t>
      </w:r>
      <w:r>
        <w:rPr>
          <w:color w:val="auto"/>
          <w:kern w:val="21"/>
          <w:szCs w:val="20"/>
        </w:rPr>
        <w:t>水质八大离子水化学类型分析结果</w:t>
      </w:r>
    </w:p>
    <w:tbl>
      <w:tblPr>
        <w:tblStyle w:val="81"/>
        <w:tblW w:w="90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9"/>
        <w:gridCol w:w="1206"/>
        <w:gridCol w:w="1444"/>
        <w:gridCol w:w="1447"/>
        <w:gridCol w:w="1590"/>
        <w:gridCol w:w="1022"/>
        <w:gridCol w:w="839"/>
      </w:tblGrid>
      <w:tr w14:paraId="6B3E2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Align w:val="center"/>
          </w:tcPr>
          <w:p w14:paraId="13AD2841">
            <w:pPr>
              <w:spacing w:line="360" w:lineRule="exact"/>
              <w:jc w:val="center"/>
              <w:rPr>
                <w:rFonts w:ascii="宋体" w:hAnsi="宋体" w:eastAsia="宋体" w:cs="Times New Roman"/>
                <w:color w:val="auto"/>
              </w:rPr>
            </w:pPr>
            <w:r>
              <w:rPr>
                <w:rFonts w:ascii="宋体" w:hAnsi="宋体" w:eastAsia="宋体" w:cs="Times New Roman"/>
                <w:color w:val="auto"/>
              </w:rPr>
              <w:t>监测井点位</w:t>
            </w:r>
          </w:p>
        </w:tc>
        <w:tc>
          <w:tcPr>
            <w:tcW w:w="1206" w:type="dxa"/>
            <w:vAlign w:val="center"/>
          </w:tcPr>
          <w:p w14:paraId="74EDFA36">
            <w:pPr>
              <w:spacing w:line="360" w:lineRule="exact"/>
              <w:jc w:val="center"/>
              <w:rPr>
                <w:rFonts w:ascii="宋体" w:hAnsi="宋体" w:eastAsia="宋体" w:cs="Times New Roman"/>
                <w:color w:val="auto"/>
              </w:rPr>
            </w:pPr>
            <w:r>
              <w:rPr>
                <w:rFonts w:ascii="宋体" w:hAnsi="宋体" w:eastAsia="宋体" w:cs="Times New Roman"/>
                <w:color w:val="auto"/>
              </w:rPr>
              <w:t>离子名称</w:t>
            </w:r>
          </w:p>
        </w:tc>
        <w:tc>
          <w:tcPr>
            <w:tcW w:w="1444" w:type="dxa"/>
            <w:vAlign w:val="center"/>
          </w:tcPr>
          <w:p w14:paraId="68A4D716">
            <w:pPr>
              <w:spacing w:line="360" w:lineRule="exact"/>
              <w:jc w:val="center"/>
              <w:rPr>
                <w:rFonts w:ascii="宋体" w:hAnsi="宋体" w:eastAsia="宋体" w:cs="Times New Roman"/>
                <w:color w:val="auto"/>
              </w:rPr>
            </w:pPr>
            <w:r>
              <w:rPr>
                <w:rFonts w:ascii="宋体" w:hAnsi="宋体" w:eastAsia="宋体" w:cs="Times New Roman"/>
                <w:color w:val="auto"/>
              </w:rPr>
              <w:t>毫克当量（mg/L）</w:t>
            </w:r>
          </w:p>
        </w:tc>
        <w:tc>
          <w:tcPr>
            <w:tcW w:w="1447" w:type="dxa"/>
            <w:vAlign w:val="center"/>
          </w:tcPr>
          <w:p w14:paraId="16DC4F5F">
            <w:pPr>
              <w:spacing w:line="360" w:lineRule="exact"/>
              <w:jc w:val="center"/>
              <w:rPr>
                <w:rFonts w:ascii="宋体" w:hAnsi="宋体" w:eastAsia="宋体" w:cs="Times New Roman"/>
                <w:color w:val="auto"/>
              </w:rPr>
            </w:pPr>
            <w:r>
              <w:rPr>
                <w:rFonts w:ascii="宋体" w:hAnsi="宋体" w:eastAsia="宋体" w:cs="Times New Roman"/>
                <w:color w:val="auto"/>
              </w:rPr>
              <w:t>毫克当量百分比（%）</w:t>
            </w:r>
          </w:p>
        </w:tc>
        <w:tc>
          <w:tcPr>
            <w:tcW w:w="1590" w:type="dxa"/>
            <w:vAlign w:val="center"/>
          </w:tcPr>
          <w:p w14:paraId="1CDDA3F7">
            <w:pPr>
              <w:spacing w:line="360" w:lineRule="exact"/>
              <w:jc w:val="center"/>
              <w:rPr>
                <w:rFonts w:ascii="宋体" w:hAnsi="宋体" w:eastAsia="宋体" w:cs="Times New Roman"/>
                <w:color w:val="auto"/>
              </w:rPr>
            </w:pPr>
            <w:r>
              <w:rPr>
                <w:rFonts w:ascii="宋体" w:hAnsi="宋体" w:eastAsia="宋体" w:cs="Times New Roman"/>
                <w:color w:val="auto"/>
              </w:rPr>
              <w:t>离子毫克当量合计（mg/L）</w:t>
            </w:r>
          </w:p>
        </w:tc>
        <w:tc>
          <w:tcPr>
            <w:tcW w:w="1022" w:type="dxa"/>
            <w:vAlign w:val="center"/>
          </w:tcPr>
          <w:p w14:paraId="7DE7F3E6">
            <w:pPr>
              <w:spacing w:line="360" w:lineRule="exact"/>
              <w:jc w:val="center"/>
              <w:rPr>
                <w:rFonts w:ascii="宋体" w:hAnsi="宋体" w:eastAsia="宋体" w:cs="Times New Roman"/>
                <w:color w:val="auto"/>
              </w:rPr>
            </w:pPr>
            <w:r>
              <w:rPr>
                <w:rFonts w:ascii="宋体" w:hAnsi="宋体" w:eastAsia="宋体" w:cs="Times New Roman"/>
                <w:color w:val="auto"/>
              </w:rPr>
              <w:t>相对误差%</w:t>
            </w:r>
          </w:p>
        </w:tc>
        <w:tc>
          <w:tcPr>
            <w:tcW w:w="839" w:type="dxa"/>
            <w:vAlign w:val="center"/>
          </w:tcPr>
          <w:p w14:paraId="4684AF19">
            <w:pPr>
              <w:spacing w:line="360" w:lineRule="exact"/>
              <w:jc w:val="center"/>
              <w:rPr>
                <w:rFonts w:ascii="宋体" w:hAnsi="宋体" w:eastAsia="宋体" w:cs="Times New Roman"/>
                <w:color w:val="auto"/>
              </w:rPr>
            </w:pPr>
            <w:r>
              <w:rPr>
                <w:rFonts w:ascii="宋体" w:hAnsi="宋体" w:eastAsia="宋体" w:cs="Times New Roman"/>
                <w:color w:val="auto"/>
              </w:rPr>
              <w:t>矿化度</w:t>
            </w:r>
          </w:p>
        </w:tc>
      </w:tr>
      <w:tr w14:paraId="447A0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4A2AD9C9">
            <w:pPr>
              <w:jc w:val="center"/>
              <w:textAlignment w:val="center"/>
              <w:rPr>
                <w:rFonts w:ascii="宋体" w:hAnsi="宋体" w:eastAsia="宋体" w:cs="Times New Roman"/>
                <w:color w:val="auto"/>
              </w:rPr>
            </w:pPr>
            <w:r>
              <w:rPr>
                <w:rFonts w:ascii="宋体" w:hAnsi="宋体" w:eastAsia="宋体" w:cs="Times New Roman"/>
                <w:color w:val="auto"/>
                <w:lang w:bidi="ar"/>
              </w:rPr>
              <w:t>王家粉屯(林家、潜水)</w:t>
            </w:r>
          </w:p>
        </w:tc>
        <w:tc>
          <w:tcPr>
            <w:tcW w:w="1206" w:type="dxa"/>
            <w:vAlign w:val="center"/>
          </w:tcPr>
          <w:p w14:paraId="68F1DEF1">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2202A51C">
            <w:pPr>
              <w:spacing w:line="360" w:lineRule="exact"/>
              <w:jc w:val="center"/>
              <w:rPr>
                <w:rFonts w:ascii="宋体" w:hAnsi="宋体" w:eastAsia="宋体" w:cs="Times New Roman"/>
                <w:color w:val="auto"/>
              </w:rPr>
            </w:pPr>
            <w:r>
              <w:rPr>
                <w:rFonts w:ascii="宋体" w:hAnsi="宋体" w:eastAsia="宋体" w:cs="Times New Roman"/>
                <w:color w:val="auto"/>
              </w:rPr>
              <w:t xml:space="preserve">0.082 </w:t>
            </w:r>
          </w:p>
        </w:tc>
        <w:tc>
          <w:tcPr>
            <w:tcW w:w="1447" w:type="dxa"/>
            <w:vAlign w:val="center"/>
          </w:tcPr>
          <w:p w14:paraId="5A84E9AE">
            <w:pPr>
              <w:spacing w:line="360" w:lineRule="exact"/>
              <w:jc w:val="center"/>
              <w:rPr>
                <w:rFonts w:ascii="宋体" w:hAnsi="宋体" w:eastAsia="宋体" w:cs="Times New Roman"/>
                <w:color w:val="auto"/>
              </w:rPr>
            </w:pPr>
            <w:r>
              <w:rPr>
                <w:rFonts w:ascii="宋体" w:hAnsi="宋体" w:eastAsia="宋体" w:cs="Times New Roman"/>
                <w:color w:val="auto"/>
              </w:rPr>
              <w:t xml:space="preserve">1.533 </w:t>
            </w:r>
          </w:p>
        </w:tc>
        <w:tc>
          <w:tcPr>
            <w:tcW w:w="1590" w:type="dxa"/>
            <w:vMerge w:val="restart"/>
            <w:vAlign w:val="center"/>
          </w:tcPr>
          <w:p w14:paraId="38058F21">
            <w:pPr>
              <w:spacing w:line="360" w:lineRule="exact"/>
              <w:jc w:val="center"/>
              <w:rPr>
                <w:rFonts w:ascii="宋体" w:hAnsi="宋体" w:eastAsia="宋体" w:cs="Times New Roman"/>
                <w:color w:val="auto"/>
              </w:rPr>
            </w:pPr>
            <w:r>
              <w:rPr>
                <w:rFonts w:ascii="宋体" w:hAnsi="宋体" w:eastAsia="宋体" w:cs="Times New Roman"/>
                <w:color w:val="auto"/>
              </w:rPr>
              <w:t xml:space="preserve">5.368 </w:t>
            </w:r>
          </w:p>
        </w:tc>
        <w:tc>
          <w:tcPr>
            <w:tcW w:w="1022" w:type="dxa"/>
            <w:vMerge w:val="restart"/>
            <w:vAlign w:val="center"/>
          </w:tcPr>
          <w:p w14:paraId="4850B370">
            <w:pPr>
              <w:spacing w:line="360" w:lineRule="exact"/>
              <w:jc w:val="center"/>
              <w:rPr>
                <w:rFonts w:ascii="宋体" w:hAnsi="宋体" w:eastAsia="宋体" w:cs="Times New Roman"/>
                <w:color w:val="auto"/>
              </w:rPr>
            </w:pPr>
            <w:r>
              <w:rPr>
                <w:rFonts w:ascii="宋体" w:hAnsi="宋体" w:eastAsia="宋体" w:cs="Times New Roman"/>
                <w:color w:val="auto"/>
              </w:rPr>
              <w:t xml:space="preserve">2.55 </w:t>
            </w:r>
          </w:p>
        </w:tc>
        <w:tc>
          <w:tcPr>
            <w:tcW w:w="839" w:type="dxa"/>
            <w:vMerge w:val="restart"/>
            <w:vAlign w:val="center"/>
          </w:tcPr>
          <w:p w14:paraId="5B00B058">
            <w:pPr>
              <w:spacing w:line="360" w:lineRule="exact"/>
              <w:jc w:val="center"/>
              <w:rPr>
                <w:rFonts w:ascii="宋体" w:hAnsi="宋体" w:eastAsia="宋体" w:cs="Times New Roman"/>
                <w:color w:val="auto"/>
              </w:rPr>
            </w:pPr>
            <w:r>
              <w:rPr>
                <w:rFonts w:ascii="宋体" w:hAnsi="宋体" w:eastAsia="宋体" w:cs="Times New Roman"/>
                <w:color w:val="auto"/>
              </w:rPr>
              <w:t xml:space="preserve">0.41 </w:t>
            </w:r>
          </w:p>
        </w:tc>
      </w:tr>
      <w:tr w14:paraId="3E480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842F6EC">
            <w:pPr>
              <w:spacing w:line="360" w:lineRule="exact"/>
              <w:jc w:val="center"/>
              <w:rPr>
                <w:rFonts w:ascii="宋体" w:hAnsi="宋体" w:eastAsia="宋体" w:cs="Times New Roman"/>
                <w:color w:val="auto"/>
              </w:rPr>
            </w:pPr>
          </w:p>
        </w:tc>
        <w:tc>
          <w:tcPr>
            <w:tcW w:w="1206" w:type="dxa"/>
            <w:vAlign w:val="center"/>
          </w:tcPr>
          <w:p w14:paraId="5C0785B0">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27A0957E">
            <w:pPr>
              <w:spacing w:line="360" w:lineRule="exact"/>
              <w:jc w:val="center"/>
              <w:rPr>
                <w:rFonts w:ascii="宋体" w:hAnsi="宋体" w:eastAsia="宋体" w:cs="Times New Roman"/>
                <w:color w:val="auto"/>
              </w:rPr>
            </w:pPr>
            <w:r>
              <w:rPr>
                <w:rFonts w:ascii="宋体" w:hAnsi="宋体" w:eastAsia="宋体" w:cs="Times New Roman"/>
                <w:color w:val="auto"/>
              </w:rPr>
              <w:t xml:space="preserve">2.287 </w:t>
            </w:r>
          </w:p>
        </w:tc>
        <w:tc>
          <w:tcPr>
            <w:tcW w:w="1447" w:type="dxa"/>
            <w:vAlign w:val="center"/>
          </w:tcPr>
          <w:p w14:paraId="5693D378">
            <w:pPr>
              <w:spacing w:line="360" w:lineRule="exact"/>
              <w:jc w:val="center"/>
              <w:rPr>
                <w:rFonts w:ascii="宋体" w:hAnsi="宋体" w:eastAsia="宋体" w:cs="Times New Roman"/>
                <w:color w:val="auto"/>
              </w:rPr>
            </w:pPr>
            <w:r>
              <w:rPr>
                <w:rFonts w:ascii="宋体" w:hAnsi="宋体" w:eastAsia="宋体" w:cs="Times New Roman"/>
                <w:color w:val="auto"/>
              </w:rPr>
              <w:t xml:space="preserve">42.607 </w:t>
            </w:r>
          </w:p>
        </w:tc>
        <w:tc>
          <w:tcPr>
            <w:tcW w:w="1590" w:type="dxa"/>
            <w:vMerge w:val="continue"/>
            <w:vAlign w:val="center"/>
          </w:tcPr>
          <w:p w14:paraId="0024947D">
            <w:pPr>
              <w:spacing w:line="360" w:lineRule="exact"/>
              <w:jc w:val="center"/>
              <w:rPr>
                <w:rFonts w:ascii="宋体" w:hAnsi="宋体" w:eastAsia="宋体" w:cs="Times New Roman"/>
                <w:color w:val="auto"/>
              </w:rPr>
            </w:pPr>
          </w:p>
        </w:tc>
        <w:tc>
          <w:tcPr>
            <w:tcW w:w="1022" w:type="dxa"/>
            <w:vMerge w:val="continue"/>
            <w:vAlign w:val="center"/>
          </w:tcPr>
          <w:p w14:paraId="1661367C">
            <w:pPr>
              <w:spacing w:line="360" w:lineRule="exact"/>
              <w:jc w:val="center"/>
              <w:rPr>
                <w:rFonts w:ascii="宋体" w:hAnsi="宋体" w:eastAsia="宋体" w:cs="Times New Roman"/>
                <w:color w:val="auto"/>
              </w:rPr>
            </w:pPr>
          </w:p>
        </w:tc>
        <w:tc>
          <w:tcPr>
            <w:tcW w:w="839" w:type="dxa"/>
            <w:vMerge w:val="continue"/>
            <w:vAlign w:val="center"/>
          </w:tcPr>
          <w:p w14:paraId="2A73F9EF">
            <w:pPr>
              <w:spacing w:line="360" w:lineRule="exact"/>
              <w:jc w:val="center"/>
              <w:rPr>
                <w:rFonts w:ascii="宋体" w:hAnsi="宋体" w:eastAsia="宋体" w:cs="Times New Roman"/>
                <w:color w:val="auto"/>
              </w:rPr>
            </w:pPr>
          </w:p>
        </w:tc>
      </w:tr>
      <w:tr w14:paraId="1C313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B63CAFC">
            <w:pPr>
              <w:spacing w:line="360" w:lineRule="exact"/>
              <w:jc w:val="center"/>
              <w:rPr>
                <w:rFonts w:ascii="宋体" w:hAnsi="宋体" w:eastAsia="宋体" w:cs="Times New Roman"/>
                <w:color w:val="auto"/>
              </w:rPr>
            </w:pPr>
          </w:p>
        </w:tc>
        <w:tc>
          <w:tcPr>
            <w:tcW w:w="1206" w:type="dxa"/>
            <w:vAlign w:val="center"/>
          </w:tcPr>
          <w:p w14:paraId="6E6F193C">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3727FE05">
            <w:pPr>
              <w:spacing w:line="360" w:lineRule="exact"/>
              <w:jc w:val="center"/>
              <w:rPr>
                <w:rFonts w:ascii="宋体" w:hAnsi="宋体" w:eastAsia="宋体" w:cs="Times New Roman"/>
                <w:color w:val="auto"/>
              </w:rPr>
            </w:pPr>
            <w:r>
              <w:rPr>
                <w:rFonts w:ascii="宋体" w:hAnsi="宋体" w:eastAsia="宋体" w:cs="Times New Roman"/>
                <w:color w:val="auto"/>
              </w:rPr>
              <w:t xml:space="preserve">2.140 </w:t>
            </w:r>
          </w:p>
        </w:tc>
        <w:tc>
          <w:tcPr>
            <w:tcW w:w="1447" w:type="dxa"/>
            <w:vAlign w:val="center"/>
          </w:tcPr>
          <w:p w14:paraId="1448DCF6">
            <w:pPr>
              <w:spacing w:line="360" w:lineRule="exact"/>
              <w:jc w:val="center"/>
              <w:rPr>
                <w:rFonts w:ascii="宋体" w:hAnsi="宋体" w:eastAsia="宋体" w:cs="Times New Roman"/>
                <w:color w:val="auto"/>
              </w:rPr>
            </w:pPr>
            <w:r>
              <w:rPr>
                <w:rFonts w:ascii="宋体" w:hAnsi="宋体" w:eastAsia="宋体" w:cs="Times New Roman"/>
                <w:color w:val="auto"/>
              </w:rPr>
              <w:t xml:space="preserve">39.869 </w:t>
            </w:r>
          </w:p>
        </w:tc>
        <w:tc>
          <w:tcPr>
            <w:tcW w:w="1590" w:type="dxa"/>
            <w:vMerge w:val="continue"/>
            <w:vAlign w:val="center"/>
          </w:tcPr>
          <w:p w14:paraId="4A51865C">
            <w:pPr>
              <w:spacing w:line="360" w:lineRule="exact"/>
              <w:jc w:val="center"/>
              <w:rPr>
                <w:rFonts w:ascii="宋体" w:hAnsi="宋体" w:eastAsia="宋体" w:cs="Times New Roman"/>
                <w:color w:val="auto"/>
              </w:rPr>
            </w:pPr>
          </w:p>
        </w:tc>
        <w:tc>
          <w:tcPr>
            <w:tcW w:w="1022" w:type="dxa"/>
            <w:vMerge w:val="continue"/>
            <w:vAlign w:val="center"/>
          </w:tcPr>
          <w:p w14:paraId="349C4BB8">
            <w:pPr>
              <w:spacing w:line="360" w:lineRule="exact"/>
              <w:jc w:val="center"/>
              <w:rPr>
                <w:rFonts w:ascii="宋体" w:hAnsi="宋体" w:eastAsia="宋体" w:cs="Times New Roman"/>
                <w:color w:val="auto"/>
              </w:rPr>
            </w:pPr>
          </w:p>
        </w:tc>
        <w:tc>
          <w:tcPr>
            <w:tcW w:w="839" w:type="dxa"/>
            <w:vMerge w:val="continue"/>
            <w:vAlign w:val="center"/>
          </w:tcPr>
          <w:p w14:paraId="6B119294">
            <w:pPr>
              <w:spacing w:line="360" w:lineRule="exact"/>
              <w:jc w:val="center"/>
              <w:rPr>
                <w:rFonts w:ascii="宋体" w:hAnsi="宋体" w:eastAsia="宋体" w:cs="Times New Roman"/>
                <w:color w:val="auto"/>
              </w:rPr>
            </w:pPr>
          </w:p>
        </w:tc>
      </w:tr>
      <w:tr w14:paraId="6CE32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6E0FAFB">
            <w:pPr>
              <w:spacing w:line="360" w:lineRule="exact"/>
              <w:jc w:val="center"/>
              <w:rPr>
                <w:rFonts w:ascii="宋体" w:hAnsi="宋体" w:eastAsia="宋体" w:cs="Times New Roman"/>
                <w:color w:val="auto"/>
              </w:rPr>
            </w:pPr>
          </w:p>
        </w:tc>
        <w:tc>
          <w:tcPr>
            <w:tcW w:w="1206" w:type="dxa"/>
            <w:vAlign w:val="center"/>
          </w:tcPr>
          <w:p w14:paraId="200939F7">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1D0176D9">
            <w:pPr>
              <w:spacing w:line="360" w:lineRule="exact"/>
              <w:jc w:val="center"/>
              <w:rPr>
                <w:rFonts w:ascii="宋体" w:hAnsi="宋体" w:eastAsia="宋体" w:cs="Times New Roman"/>
                <w:color w:val="auto"/>
              </w:rPr>
            </w:pPr>
            <w:r>
              <w:rPr>
                <w:rFonts w:ascii="宋体" w:hAnsi="宋体" w:eastAsia="宋体" w:cs="Times New Roman"/>
                <w:color w:val="auto"/>
              </w:rPr>
              <w:t xml:space="preserve">0.858 </w:t>
            </w:r>
          </w:p>
        </w:tc>
        <w:tc>
          <w:tcPr>
            <w:tcW w:w="1447" w:type="dxa"/>
            <w:vAlign w:val="center"/>
          </w:tcPr>
          <w:p w14:paraId="5C392C8F">
            <w:pPr>
              <w:spacing w:line="360" w:lineRule="exact"/>
              <w:jc w:val="center"/>
              <w:rPr>
                <w:rFonts w:ascii="宋体" w:hAnsi="宋体" w:eastAsia="宋体" w:cs="Times New Roman"/>
                <w:color w:val="auto"/>
              </w:rPr>
            </w:pPr>
            <w:r>
              <w:rPr>
                <w:rFonts w:ascii="宋体" w:hAnsi="宋体" w:eastAsia="宋体" w:cs="Times New Roman"/>
                <w:color w:val="auto"/>
              </w:rPr>
              <w:t xml:space="preserve">15.991 </w:t>
            </w:r>
          </w:p>
        </w:tc>
        <w:tc>
          <w:tcPr>
            <w:tcW w:w="1590" w:type="dxa"/>
            <w:vMerge w:val="continue"/>
            <w:vAlign w:val="center"/>
          </w:tcPr>
          <w:p w14:paraId="186F5FF7">
            <w:pPr>
              <w:spacing w:line="360" w:lineRule="exact"/>
              <w:jc w:val="center"/>
              <w:rPr>
                <w:rFonts w:ascii="宋体" w:hAnsi="宋体" w:eastAsia="宋体" w:cs="Times New Roman"/>
                <w:color w:val="auto"/>
              </w:rPr>
            </w:pPr>
          </w:p>
        </w:tc>
        <w:tc>
          <w:tcPr>
            <w:tcW w:w="1022" w:type="dxa"/>
            <w:vMerge w:val="continue"/>
            <w:vAlign w:val="center"/>
          </w:tcPr>
          <w:p w14:paraId="03C13D6F">
            <w:pPr>
              <w:spacing w:line="360" w:lineRule="exact"/>
              <w:jc w:val="center"/>
              <w:rPr>
                <w:rFonts w:ascii="宋体" w:hAnsi="宋体" w:eastAsia="宋体" w:cs="Times New Roman"/>
                <w:color w:val="auto"/>
              </w:rPr>
            </w:pPr>
          </w:p>
        </w:tc>
        <w:tc>
          <w:tcPr>
            <w:tcW w:w="839" w:type="dxa"/>
            <w:vMerge w:val="continue"/>
            <w:vAlign w:val="center"/>
          </w:tcPr>
          <w:p w14:paraId="275E6F5E">
            <w:pPr>
              <w:spacing w:line="360" w:lineRule="exact"/>
              <w:jc w:val="center"/>
              <w:rPr>
                <w:rFonts w:ascii="宋体" w:hAnsi="宋体" w:eastAsia="宋体" w:cs="Times New Roman"/>
                <w:color w:val="auto"/>
              </w:rPr>
            </w:pPr>
          </w:p>
        </w:tc>
      </w:tr>
      <w:tr w14:paraId="579D8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1ED3F5A">
            <w:pPr>
              <w:spacing w:line="360" w:lineRule="exact"/>
              <w:jc w:val="center"/>
              <w:rPr>
                <w:rFonts w:ascii="宋体" w:hAnsi="宋体" w:eastAsia="宋体" w:cs="Times New Roman"/>
                <w:color w:val="auto"/>
              </w:rPr>
            </w:pPr>
          </w:p>
        </w:tc>
        <w:tc>
          <w:tcPr>
            <w:tcW w:w="1206" w:type="dxa"/>
            <w:vAlign w:val="center"/>
          </w:tcPr>
          <w:p w14:paraId="65A453E8">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6C33E0EB">
            <w:pPr>
              <w:spacing w:line="360" w:lineRule="exact"/>
              <w:jc w:val="center"/>
              <w:rPr>
                <w:rFonts w:ascii="宋体" w:hAnsi="宋体" w:eastAsia="宋体" w:cs="Times New Roman"/>
                <w:color w:val="auto"/>
              </w:rPr>
            </w:pPr>
            <w:r>
              <w:rPr>
                <w:rFonts w:ascii="宋体" w:hAnsi="宋体" w:eastAsia="宋体" w:cs="Times New Roman"/>
                <w:color w:val="auto"/>
              </w:rPr>
              <w:t xml:space="preserve">-3.361 </w:t>
            </w:r>
          </w:p>
        </w:tc>
        <w:tc>
          <w:tcPr>
            <w:tcW w:w="1447" w:type="dxa"/>
            <w:vAlign w:val="center"/>
          </w:tcPr>
          <w:p w14:paraId="1D4877F5">
            <w:pPr>
              <w:spacing w:line="360" w:lineRule="exact"/>
              <w:jc w:val="center"/>
              <w:rPr>
                <w:rFonts w:ascii="宋体" w:hAnsi="宋体" w:eastAsia="宋体" w:cs="Times New Roman"/>
                <w:color w:val="auto"/>
              </w:rPr>
            </w:pPr>
            <w:r>
              <w:rPr>
                <w:rFonts w:ascii="宋体" w:hAnsi="宋体" w:eastAsia="宋体" w:cs="Times New Roman"/>
                <w:color w:val="auto"/>
              </w:rPr>
              <w:t xml:space="preserve">59.494 </w:t>
            </w:r>
          </w:p>
        </w:tc>
        <w:tc>
          <w:tcPr>
            <w:tcW w:w="1590" w:type="dxa"/>
            <w:vMerge w:val="restart"/>
            <w:vAlign w:val="center"/>
          </w:tcPr>
          <w:p w14:paraId="002EAABB">
            <w:pPr>
              <w:spacing w:line="360" w:lineRule="exact"/>
              <w:jc w:val="center"/>
              <w:rPr>
                <w:rFonts w:ascii="宋体" w:hAnsi="宋体" w:eastAsia="宋体" w:cs="Times New Roman"/>
                <w:color w:val="auto"/>
              </w:rPr>
            </w:pPr>
            <w:r>
              <w:rPr>
                <w:rFonts w:ascii="宋体" w:hAnsi="宋体" w:eastAsia="宋体" w:cs="Times New Roman"/>
                <w:color w:val="auto"/>
              </w:rPr>
              <w:t xml:space="preserve">5.649 </w:t>
            </w:r>
          </w:p>
        </w:tc>
        <w:tc>
          <w:tcPr>
            <w:tcW w:w="1022" w:type="dxa"/>
            <w:vMerge w:val="continue"/>
            <w:vAlign w:val="center"/>
          </w:tcPr>
          <w:p w14:paraId="1958684E">
            <w:pPr>
              <w:spacing w:line="360" w:lineRule="exact"/>
              <w:jc w:val="center"/>
              <w:rPr>
                <w:rFonts w:ascii="宋体" w:hAnsi="宋体" w:eastAsia="宋体" w:cs="Times New Roman"/>
                <w:color w:val="auto"/>
              </w:rPr>
            </w:pPr>
          </w:p>
        </w:tc>
        <w:tc>
          <w:tcPr>
            <w:tcW w:w="839" w:type="dxa"/>
            <w:vMerge w:val="continue"/>
            <w:vAlign w:val="center"/>
          </w:tcPr>
          <w:p w14:paraId="6FA63DCB">
            <w:pPr>
              <w:spacing w:line="360" w:lineRule="exact"/>
              <w:jc w:val="center"/>
              <w:rPr>
                <w:rFonts w:ascii="宋体" w:hAnsi="宋体" w:eastAsia="宋体" w:cs="Times New Roman"/>
                <w:color w:val="auto"/>
              </w:rPr>
            </w:pPr>
          </w:p>
        </w:tc>
      </w:tr>
      <w:tr w14:paraId="45ADA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1FFF83D">
            <w:pPr>
              <w:spacing w:line="360" w:lineRule="exact"/>
              <w:jc w:val="center"/>
              <w:rPr>
                <w:rFonts w:ascii="宋体" w:hAnsi="宋体" w:eastAsia="宋体" w:cs="Times New Roman"/>
                <w:color w:val="auto"/>
              </w:rPr>
            </w:pPr>
          </w:p>
        </w:tc>
        <w:tc>
          <w:tcPr>
            <w:tcW w:w="1206" w:type="dxa"/>
            <w:vAlign w:val="center"/>
          </w:tcPr>
          <w:p w14:paraId="63E32FB3">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1DA9C351">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14B6B360">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400C1F26">
            <w:pPr>
              <w:spacing w:line="360" w:lineRule="exact"/>
              <w:jc w:val="center"/>
              <w:rPr>
                <w:rFonts w:ascii="宋体" w:hAnsi="宋体" w:eastAsia="宋体" w:cs="Times New Roman"/>
                <w:color w:val="auto"/>
              </w:rPr>
            </w:pPr>
          </w:p>
        </w:tc>
        <w:tc>
          <w:tcPr>
            <w:tcW w:w="1022" w:type="dxa"/>
            <w:vMerge w:val="continue"/>
            <w:vAlign w:val="center"/>
          </w:tcPr>
          <w:p w14:paraId="2C13D444">
            <w:pPr>
              <w:spacing w:line="360" w:lineRule="exact"/>
              <w:jc w:val="center"/>
              <w:rPr>
                <w:rFonts w:ascii="宋体" w:hAnsi="宋体" w:eastAsia="宋体" w:cs="Times New Roman"/>
                <w:color w:val="auto"/>
              </w:rPr>
            </w:pPr>
          </w:p>
        </w:tc>
        <w:tc>
          <w:tcPr>
            <w:tcW w:w="839" w:type="dxa"/>
            <w:vMerge w:val="continue"/>
            <w:vAlign w:val="center"/>
          </w:tcPr>
          <w:p w14:paraId="0FC2F7EB">
            <w:pPr>
              <w:spacing w:line="360" w:lineRule="exact"/>
              <w:jc w:val="center"/>
              <w:rPr>
                <w:rFonts w:ascii="宋体" w:hAnsi="宋体" w:eastAsia="宋体" w:cs="Times New Roman"/>
                <w:color w:val="auto"/>
              </w:rPr>
            </w:pPr>
          </w:p>
        </w:tc>
      </w:tr>
      <w:tr w14:paraId="4D332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315BAC08">
            <w:pPr>
              <w:spacing w:line="360" w:lineRule="exact"/>
              <w:jc w:val="center"/>
              <w:rPr>
                <w:rFonts w:ascii="宋体" w:hAnsi="宋体" w:eastAsia="宋体" w:cs="Times New Roman"/>
                <w:color w:val="auto"/>
              </w:rPr>
            </w:pPr>
          </w:p>
        </w:tc>
        <w:tc>
          <w:tcPr>
            <w:tcW w:w="1206" w:type="dxa"/>
            <w:vAlign w:val="center"/>
          </w:tcPr>
          <w:p w14:paraId="24E37F15">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468F09BE">
            <w:pPr>
              <w:spacing w:line="360" w:lineRule="exact"/>
              <w:jc w:val="center"/>
              <w:rPr>
                <w:rFonts w:ascii="宋体" w:hAnsi="宋体" w:eastAsia="宋体" w:cs="Times New Roman"/>
                <w:color w:val="auto"/>
              </w:rPr>
            </w:pPr>
            <w:r>
              <w:rPr>
                <w:rFonts w:ascii="宋体" w:hAnsi="宋体" w:eastAsia="宋体" w:cs="Times New Roman"/>
                <w:color w:val="auto"/>
              </w:rPr>
              <w:t xml:space="preserve">-1.371 </w:t>
            </w:r>
          </w:p>
        </w:tc>
        <w:tc>
          <w:tcPr>
            <w:tcW w:w="1447" w:type="dxa"/>
            <w:vAlign w:val="center"/>
          </w:tcPr>
          <w:p w14:paraId="787591F1">
            <w:pPr>
              <w:spacing w:line="360" w:lineRule="exact"/>
              <w:jc w:val="center"/>
              <w:rPr>
                <w:rFonts w:ascii="宋体" w:hAnsi="宋体" w:eastAsia="宋体" w:cs="Times New Roman"/>
                <w:color w:val="auto"/>
              </w:rPr>
            </w:pPr>
            <w:r>
              <w:rPr>
                <w:rFonts w:ascii="宋体" w:hAnsi="宋体" w:eastAsia="宋体" w:cs="Times New Roman"/>
                <w:color w:val="auto"/>
              </w:rPr>
              <w:t xml:space="preserve">24.278 </w:t>
            </w:r>
          </w:p>
        </w:tc>
        <w:tc>
          <w:tcPr>
            <w:tcW w:w="1590" w:type="dxa"/>
            <w:vMerge w:val="continue"/>
            <w:vAlign w:val="center"/>
          </w:tcPr>
          <w:p w14:paraId="516CB52C">
            <w:pPr>
              <w:spacing w:line="360" w:lineRule="exact"/>
              <w:jc w:val="center"/>
              <w:rPr>
                <w:rFonts w:ascii="宋体" w:hAnsi="宋体" w:eastAsia="宋体" w:cs="Times New Roman"/>
                <w:color w:val="auto"/>
              </w:rPr>
            </w:pPr>
          </w:p>
        </w:tc>
        <w:tc>
          <w:tcPr>
            <w:tcW w:w="1022" w:type="dxa"/>
            <w:vMerge w:val="continue"/>
            <w:vAlign w:val="center"/>
          </w:tcPr>
          <w:p w14:paraId="526F451B">
            <w:pPr>
              <w:spacing w:line="360" w:lineRule="exact"/>
              <w:jc w:val="center"/>
              <w:rPr>
                <w:rFonts w:ascii="宋体" w:hAnsi="宋体" w:eastAsia="宋体" w:cs="Times New Roman"/>
                <w:color w:val="auto"/>
              </w:rPr>
            </w:pPr>
          </w:p>
        </w:tc>
        <w:tc>
          <w:tcPr>
            <w:tcW w:w="839" w:type="dxa"/>
            <w:vMerge w:val="continue"/>
            <w:vAlign w:val="center"/>
          </w:tcPr>
          <w:p w14:paraId="11BAFAC6">
            <w:pPr>
              <w:spacing w:line="360" w:lineRule="exact"/>
              <w:jc w:val="center"/>
              <w:rPr>
                <w:rFonts w:ascii="宋体" w:hAnsi="宋体" w:eastAsia="宋体" w:cs="Times New Roman"/>
                <w:color w:val="auto"/>
              </w:rPr>
            </w:pPr>
          </w:p>
        </w:tc>
      </w:tr>
      <w:tr w14:paraId="0A48F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3EB38332">
            <w:pPr>
              <w:spacing w:line="360" w:lineRule="exact"/>
              <w:jc w:val="center"/>
              <w:rPr>
                <w:rFonts w:ascii="宋体" w:hAnsi="宋体" w:eastAsia="宋体" w:cs="Times New Roman"/>
                <w:color w:val="auto"/>
              </w:rPr>
            </w:pPr>
          </w:p>
        </w:tc>
        <w:tc>
          <w:tcPr>
            <w:tcW w:w="1206" w:type="dxa"/>
            <w:vAlign w:val="center"/>
          </w:tcPr>
          <w:p w14:paraId="07BCF800">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7782BB83">
            <w:pPr>
              <w:spacing w:line="360" w:lineRule="exact"/>
              <w:jc w:val="center"/>
              <w:rPr>
                <w:rFonts w:ascii="宋体" w:hAnsi="宋体" w:eastAsia="宋体" w:cs="Times New Roman"/>
                <w:color w:val="auto"/>
              </w:rPr>
            </w:pPr>
            <w:r>
              <w:rPr>
                <w:rFonts w:ascii="宋体" w:hAnsi="宋体" w:eastAsia="宋体" w:cs="Times New Roman"/>
                <w:color w:val="auto"/>
              </w:rPr>
              <w:t xml:space="preserve">-0.917 </w:t>
            </w:r>
          </w:p>
        </w:tc>
        <w:tc>
          <w:tcPr>
            <w:tcW w:w="1447" w:type="dxa"/>
            <w:vAlign w:val="center"/>
          </w:tcPr>
          <w:p w14:paraId="6D609489">
            <w:pPr>
              <w:spacing w:line="360" w:lineRule="exact"/>
              <w:jc w:val="center"/>
              <w:rPr>
                <w:rFonts w:ascii="宋体" w:hAnsi="宋体" w:eastAsia="宋体" w:cs="Times New Roman"/>
                <w:color w:val="auto"/>
              </w:rPr>
            </w:pPr>
            <w:r>
              <w:rPr>
                <w:rFonts w:ascii="宋体" w:hAnsi="宋体" w:eastAsia="宋体" w:cs="Times New Roman"/>
                <w:color w:val="auto"/>
              </w:rPr>
              <w:t xml:space="preserve">16.228 </w:t>
            </w:r>
          </w:p>
        </w:tc>
        <w:tc>
          <w:tcPr>
            <w:tcW w:w="1590" w:type="dxa"/>
            <w:vMerge w:val="continue"/>
            <w:vAlign w:val="center"/>
          </w:tcPr>
          <w:p w14:paraId="2D2F4707">
            <w:pPr>
              <w:spacing w:line="360" w:lineRule="exact"/>
              <w:jc w:val="center"/>
              <w:rPr>
                <w:rFonts w:ascii="宋体" w:hAnsi="宋体" w:eastAsia="宋体" w:cs="Times New Roman"/>
                <w:color w:val="auto"/>
              </w:rPr>
            </w:pPr>
          </w:p>
        </w:tc>
        <w:tc>
          <w:tcPr>
            <w:tcW w:w="1022" w:type="dxa"/>
            <w:vMerge w:val="continue"/>
            <w:vAlign w:val="center"/>
          </w:tcPr>
          <w:p w14:paraId="09C4A9BE">
            <w:pPr>
              <w:spacing w:line="360" w:lineRule="exact"/>
              <w:jc w:val="center"/>
              <w:rPr>
                <w:rFonts w:ascii="宋体" w:hAnsi="宋体" w:eastAsia="宋体" w:cs="Times New Roman"/>
                <w:color w:val="auto"/>
              </w:rPr>
            </w:pPr>
          </w:p>
        </w:tc>
        <w:tc>
          <w:tcPr>
            <w:tcW w:w="839" w:type="dxa"/>
            <w:vMerge w:val="continue"/>
            <w:vAlign w:val="center"/>
          </w:tcPr>
          <w:p w14:paraId="58B09B77">
            <w:pPr>
              <w:spacing w:line="360" w:lineRule="exact"/>
              <w:jc w:val="center"/>
              <w:rPr>
                <w:rFonts w:ascii="宋体" w:hAnsi="宋体" w:eastAsia="宋体" w:cs="Times New Roman"/>
                <w:color w:val="auto"/>
              </w:rPr>
            </w:pPr>
          </w:p>
        </w:tc>
      </w:tr>
      <w:tr w14:paraId="57B6E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2CF74DD5">
            <w:pPr>
              <w:jc w:val="center"/>
              <w:textAlignment w:val="center"/>
              <w:rPr>
                <w:rFonts w:ascii="宋体" w:hAnsi="宋体" w:eastAsia="宋体" w:cs="Times New Roman"/>
                <w:color w:val="auto"/>
              </w:rPr>
            </w:pPr>
            <w:r>
              <w:rPr>
                <w:rFonts w:ascii="宋体" w:hAnsi="宋体" w:eastAsia="宋体" w:cs="Times New Roman"/>
                <w:color w:val="auto"/>
                <w:lang w:bidi="ar"/>
              </w:rPr>
              <w:t>小欧力马屯（孙家、潜水）</w:t>
            </w:r>
          </w:p>
        </w:tc>
        <w:tc>
          <w:tcPr>
            <w:tcW w:w="1206" w:type="dxa"/>
            <w:vAlign w:val="center"/>
          </w:tcPr>
          <w:p w14:paraId="2671BE12">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74957C45">
            <w:pPr>
              <w:spacing w:line="360" w:lineRule="exact"/>
              <w:jc w:val="center"/>
              <w:rPr>
                <w:rFonts w:ascii="宋体" w:hAnsi="宋体" w:eastAsia="宋体" w:cs="Times New Roman"/>
                <w:color w:val="auto"/>
              </w:rPr>
            </w:pPr>
            <w:r>
              <w:rPr>
                <w:rFonts w:ascii="宋体" w:hAnsi="宋体" w:eastAsia="宋体" w:cs="Times New Roman"/>
                <w:color w:val="auto"/>
              </w:rPr>
              <w:t xml:space="preserve">0.071 </w:t>
            </w:r>
          </w:p>
        </w:tc>
        <w:tc>
          <w:tcPr>
            <w:tcW w:w="1447" w:type="dxa"/>
            <w:vAlign w:val="center"/>
          </w:tcPr>
          <w:p w14:paraId="25CD6B10">
            <w:pPr>
              <w:spacing w:line="360" w:lineRule="exact"/>
              <w:jc w:val="center"/>
              <w:rPr>
                <w:rFonts w:ascii="宋体" w:hAnsi="宋体" w:eastAsia="宋体" w:cs="Times New Roman"/>
                <w:color w:val="auto"/>
              </w:rPr>
            </w:pPr>
            <w:r>
              <w:rPr>
                <w:rFonts w:ascii="宋体" w:hAnsi="宋体" w:eastAsia="宋体" w:cs="Times New Roman"/>
                <w:color w:val="auto"/>
              </w:rPr>
              <w:t xml:space="preserve">1.191 </w:t>
            </w:r>
          </w:p>
        </w:tc>
        <w:tc>
          <w:tcPr>
            <w:tcW w:w="1590" w:type="dxa"/>
            <w:vMerge w:val="restart"/>
            <w:vAlign w:val="center"/>
          </w:tcPr>
          <w:p w14:paraId="5491125D">
            <w:pPr>
              <w:spacing w:line="360" w:lineRule="exact"/>
              <w:jc w:val="center"/>
              <w:rPr>
                <w:rFonts w:ascii="宋体" w:hAnsi="宋体" w:eastAsia="宋体" w:cs="Times New Roman"/>
                <w:color w:val="auto"/>
              </w:rPr>
            </w:pPr>
            <w:r>
              <w:rPr>
                <w:rFonts w:ascii="宋体" w:hAnsi="宋体" w:eastAsia="宋体" w:cs="Times New Roman"/>
                <w:color w:val="auto"/>
              </w:rPr>
              <w:t xml:space="preserve">5.964 </w:t>
            </w:r>
          </w:p>
        </w:tc>
        <w:tc>
          <w:tcPr>
            <w:tcW w:w="1022" w:type="dxa"/>
            <w:vMerge w:val="restart"/>
            <w:vAlign w:val="center"/>
          </w:tcPr>
          <w:p w14:paraId="5C7A538C">
            <w:pPr>
              <w:spacing w:line="360" w:lineRule="exact"/>
              <w:jc w:val="center"/>
              <w:rPr>
                <w:rFonts w:ascii="宋体" w:hAnsi="宋体" w:eastAsia="宋体" w:cs="Times New Roman"/>
                <w:color w:val="auto"/>
              </w:rPr>
            </w:pPr>
            <w:r>
              <w:rPr>
                <w:rFonts w:ascii="宋体" w:hAnsi="宋体" w:eastAsia="宋体" w:cs="Times New Roman"/>
                <w:color w:val="auto"/>
              </w:rPr>
              <w:t xml:space="preserve">2.66 </w:t>
            </w:r>
          </w:p>
        </w:tc>
        <w:tc>
          <w:tcPr>
            <w:tcW w:w="839" w:type="dxa"/>
            <w:vMerge w:val="restart"/>
            <w:vAlign w:val="center"/>
          </w:tcPr>
          <w:p w14:paraId="5BE412ED">
            <w:pPr>
              <w:spacing w:line="360" w:lineRule="exact"/>
              <w:jc w:val="center"/>
              <w:rPr>
                <w:rFonts w:ascii="宋体" w:hAnsi="宋体" w:eastAsia="宋体" w:cs="Times New Roman"/>
                <w:color w:val="auto"/>
              </w:rPr>
            </w:pPr>
            <w:r>
              <w:rPr>
                <w:rFonts w:ascii="宋体" w:hAnsi="宋体" w:eastAsia="宋体" w:cs="Times New Roman"/>
                <w:color w:val="auto"/>
              </w:rPr>
              <w:t xml:space="preserve">0.46 </w:t>
            </w:r>
          </w:p>
        </w:tc>
      </w:tr>
      <w:tr w14:paraId="47FD1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F798D86">
            <w:pPr>
              <w:spacing w:line="360" w:lineRule="exact"/>
              <w:jc w:val="center"/>
              <w:rPr>
                <w:rFonts w:ascii="宋体" w:hAnsi="宋体" w:eastAsia="宋体" w:cs="Times New Roman"/>
                <w:color w:val="auto"/>
              </w:rPr>
            </w:pPr>
          </w:p>
        </w:tc>
        <w:tc>
          <w:tcPr>
            <w:tcW w:w="1206" w:type="dxa"/>
            <w:vAlign w:val="center"/>
          </w:tcPr>
          <w:p w14:paraId="15371CF5">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7E5E9D38">
            <w:pPr>
              <w:spacing w:line="360" w:lineRule="exact"/>
              <w:jc w:val="center"/>
              <w:rPr>
                <w:rFonts w:ascii="宋体" w:hAnsi="宋体" w:eastAsia="宋体" w:cs="Times New Roman"/>
                <w:color w:val="auto"/>
              </w:rPr>
            </w:pPr>
            <w:r>
              <w:rPr>
                <w:rFonts w:ascii="宋体" w:hAnsi="宋体" w:eastAsia="宋体" w:cs="Times New Roman"/>
                <w:color w:val="auto"/>
              </w:rPr>
              <w:t xml:space="preserve">2.535 </w:t>
            </w:r>
          </w:p>
        </w:tc>
        <w:tc>
          <w:tcPr>
            <w:tcW w:w="1447" w:type="dxa"/>
            <w:vAlign w:val="center"/>
          </w:tcPr>
          <w:p w14:paraId="0EC272B8">
            <w:pPr>
              <w:spacing w:line="360" w:lineRule="exact"/>
              <w:jc w:val="center"/>
              <w:rPr>
                <w:rFonts w:ascii="宋体" w:hAnsi="宋体" w:eastAsia="宋体" w:cs="Times New Roman"/>
                <w:color w:val="auto"/>
              </w:rPr>
            </w:pPr>
            <w:r>
              <w:rPr>
                <w:rFonts w:ascii="宋体" w:hAnsi="宋体" w:eastAsia="宋体" w:cs="Times New Roman"/>
                <w:color w:val="auto"/>
              </w:rPr>
              <w:t xml:space="preserve">42.500 </w:t>
            </w:r>
          </w:p>
        </w:tc>
        <w:tc>
          <w:tcPr>
            <w:tcW w:w="1590" w:type="dxa"/>
            <w:vMerge w:val="continue"/>
            <w:vAlign w:val="center"/>
          </w:tcPr>
          <w:p w14:paraId="54B7BC9B">
            <w:pPr>
              <w:spacing w:line="360" w:lineRule="exact"/>
              <w:jc w:val="center"/>
              <w:rPr>
                <w:rFonts w:ascii="宋体" w:hAnsi="宋体" w:eastAsia="宋体" w:cs="Times New Roman"/>
                <w:color w:val="auto"/>
              </w:rPr>
            </w:pPr>
          </w:p>
        </w:tc>
        <w:tc>
          <w:tcPr>
            <w:tcW w:w="1022" w:type="dxa"/>
            <w:vMerge w:val="continue"/>
            <w:vAlign w:val="center"/>
          </w:tcPr>
          <w:p w14:paraId="27CB7641">
            <w:pPr>
              <w:spacing w:line="360" w:lineRule="exact"/>
              <w:jc w:val="center"/>
              <w:rPr>
                <w:rFonts w:ascii="宋体" w:hAnsi="宋体" w:eastAsia="宋体" w:cs="Times New Roman"/>
                <w:color w:val="auto"/>
              </w:rPr>
            </w:pPr>
          </w:p>
        </w:tc>
        <w:tc>
          <w:tcPr>
            <w:tcW w:w="839" w:type="dxa"/>
            <w:vMerge w:val="continue"/>
            <w:vAlign w:val="center"/>
          </w:tcPr>
          <w:p w14:paraId="43845D53">
            <w:pPr>
              <w:spacing w:line="360" w:lineRule="exact"/>
              <w:jc w:val="center"/>
              <w:rPr>
                <w:rFonts w:ascii="宋体" w:hAnsi="宋体" w:eastAsia="宋体" w:cs="Times New Roman"/>
                <w:color w:val="auto"/>
              </w:rPr>
            </w:pPr>
          </w:p>
        </w:tc>
      </w:tr>
      <w:tr w14:paraId="280D5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4863828">
            <w:pPr>
              <w:spacing w:line="360" w:lineRule="exact"/>
              <w:jc w:val="center"/>
              <w:rPr>
                <w:rFonts w:ascii="宋体" w:hAnsi="宋体" w:eastAsia="宋体" w:cs="Times New Roman"/>
                <w:color w:val="auto"/>
              </w:rPr>
            </w:pPr>
          </w:p>
        </w:tc>
        <w:tc>
          <w:tcPr>
            <w:tcW w:w="1206" w:type="dxa"/>
            <w:vAlign w:val="center"/>
          </w:tcPr>
          <w:p w14:paraId="3C254593">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7CEAF995">
            <w:pPr>
              <w:spacing w:line="360" w:lineRule="exact"/>
              <w:jc w:val="center"/>
              <w:rPr>
                <w:rFonts w:ascii="宋体" w:hAnsi="宋体" w:eastAsia="宋体" w:cs="Times New Roman"/>
                <w:color w:val="auto"/>
              </w:rPr>
            </w:pPr>
            <w:r>
              <w:rPr>
                <w:rFonts w:ascii="宋体" w:hAnsi="宋体" w:eastAsia="宋体" w:cs="Times New Roman"/>
                <w:color w:val="auto"/>
              </w:rPr>
              <w:t xml:space="preserve">2.425 </w:t>
            </w:r>
          </w:p>
        </w:tc>
        <w:tc>
          <w:tcPr>
            <w:tcW w:w="1447" w:type="dxa"/>
            <w:vAlign w:val="center"/>
          </w:tcPr>
          <w:p w14:paraId="5D75B985">
            <w:pPr>
              <w:spacing w:line="360" w:lineRule="exact"/>
              <w:jc w:val="center"/>
              <w:rPr>
                <w:rFonts w:ascii="宋体" w:hAnsi="宋体" w:eastAsia="宋体" w:cs="Times New Roman"/>
                <w:color w:val="auto"/>
              </w:rPr>
            </w:pPr>
            <w:r>
              <w:rPr>
                <w:rFonts w:ascii="宋体" w:hAnsi="宋体" w:eastAsia="宋体" w:cs="Times New Roman"/>
                <w:color w:val="auto"/>
              </w:rPr>
              <w:t xml:space="preserve">40.660 </w:t>
            </w:r>
          </w:p>
        </w:tc>
        <w:tc>
          <w:tcPr>
            <w:tcW w:w="1590" w:type="dxa"/>
            <w:vMerge w:val="continue"/>
            <w:vAlign w:val="center"/>
          </w:tcPr>
          <w:p w14:paraId="085B0ED8">
            <w:pPr>
              <w:spacing w:line="360" w:lineRule="exact"/>
              <w:jc w:val="center"/>
              <w:rPr>
                <w:rFonts w:ascii="宋体" w:hAnsi="宋体" w:eastAsia="宋体" w:cs="Times New Roman"/>
                <w:color w:val="auto"/>
              </w:rPr>
            </w:pPr>
          </w:p>
        </w:tc>
        <w:tc>
          <w:tcPr>
            <w:tcW w:w="1022" w:type="dxa"/>
            <w:vMerge w:val="continue"/>
            <w:vAlign w:val="center"/>
          </w:tcPr>
          <w:p w14:paraId="28551AAF">
            <w:pPr>
              <w:spacing w:line="360" w:lineRule="exact"/>
              <w:jc w:val="center"/>
              <w:rPr>
                <w:rFonts w:ascii="宋体" w:hAnsi="宋体" w:eastAsia="宋体" w:cs="Times New Roman"/>
                <w:color w:val="auto"/>
              </w:rPr>
            </w:pPr>
          </w:p>
        </w:tc>
        <w:tc>
          <w:tcPr>
            <w:tcW w:w="839" w:type="dxa"/>
            <w:vMerge w:val="continue"/>
            <w:vAlign w:val="center"/>
          </w:tcPr>
          <w:p w14:paraId="63ED777A">
            <w:pPr>
              <w:spacing w:line="360" w:lineRule="exact"/>
              <w:jc w:val="center"/>
              <w:rPr>
                <w:rFonts w:ascii="宋体" w:hAnsi="宋体" w:eastAsia="宋体" w:cs="Times New Roman"/>
                <w:color w:val="auto"/>
              </w:rPr>
            </w:pPr>
          </w:p>
        </w:tc>
      </w:tr>
      <w:tr w14:paraId="57AAD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3BE9F70">
            <w:pPr>
              <w:spacing w:line="360" w:lineRule="exact"/>
              <w:jc w:val="center"/>
              <w:rPr>
                <w:rFonts w:ascii="宋体" w:hAnsi="宋体" w:eastAsia="宋体" w:cs="Times New Roman"/>
                <w:color w:val="auto"/>
              </w:rPr>
            </w:pPr>
          </w:p>
        </w:tc>
        <w:tc>
          <w:tcPr>
            <w:tcW w:w="1206" w:type="dxa"/>
            <w:vAlign w:val="center"/>
          </w:tcPr>
          <w:p w14:paraId="62F760F4">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474F659B">
            <w:pPr>
              <w:spacing w:line="360" w:lineRule="exact"/>
              <w:jc w:val="center"/>
              <w:rPr>
                <w:rFonts w:ascii="宋体" w:hAnsi="宋体" w:eastAsia="宋体" w:cs="Times New Roman"/>
                <w:color w:val="auto"/>
              </w:rPr>
            </w:pPr>
            <w:r>
              <w:rPr>
                <w:rFonts w:ascii="宋体" w:hAnsi="宋体" w:eastAsia="宋体" w:cs="Times New Roman"/>
                <w:color w:val="auto"/>
              </w:rPr>
              <w:t xml:space="preserve">0.933 </w:t>
            </w:r>
          </w:p>
        </w:tc>
        <w:tc>
          <w:tcPr>
            <w:tcW w:w="1447" w:type="dxa"/>
            <w:vAlign w:val="center"/>
          </w:tcPr>
          <w:p w14:paraId="4BF9B38A">
            <w:pPr>
              <w:spacing w:line="360" w:lineRule="exact"/>
              <w:jc w:val="center"/>
              <w:rPr>
                <w:rFonts w:ascii="宋体" w:hAnsi="宋体" w:eastAsia="宋体" w:cs="Times New Roman"/>
                <w:color w:val="auto"/>
              </w:rPr>
            </w:pPr>
            <w:r>
              <w:rPr>
                <w:rFonts w:ascii="宋体" w:hAnsi="宋体" w:eastAsia="宋体" w:cs="Times New Roman"/>
                <w:color w:val="auto"/>
              </w:rPr>
              <w:t xml:space="preserve">15.649 </w:t>
            </w:r>
          </w:p>
        </w:tc>
        <w:tc>
          <w:tcPr>
            <w:tcW w:w="1590" w:type="dxa"/>
            <w:vMerge w:val="continue"/>
            <w:vAlign w:val="center"/>
          </w:tcPr>
          <w:p w14:paraId="456992DE">
            <w:pPr>
              <w:spacing w:line="360" w:lineRule="exact"/>
              <w:jc w:val="center"/>
              <w:rPr>
                <w:rFonts w:ascii="宋体" w:hAnsi="宋体" w:eastAsia="宋体" w:cs="Times New Roman"/>
                <w:color w:val="auto"/>
              </w:rPr>
            </w:pPr>
          </w:p>
        </w:tc>
        <w:tc>
          <w:tcPr>
            <w:tcW w:w="1022" w:type="dxa"/>
            <w:vMerge w:val="continue"/>
            <w:vAlign w:val="center"/>
          </w:tcPr>
          <w:p w14:paraId="7E343167">
            <w:pPr>
              <w:spacing w:line="360" w:lineRule="exact"/>
              <w:jc w:val="center"/>
              <w:rPr>
                <w:rFonts w:ascii="宋体" w:hAnsi="宋体" w:eastAsia="宋体" w:cs="Times New Roman"/>
                <w:color w:val="auto"/>
              </w:rPr>
            </w:pPr>
          </w:p>
        </w:tc>
        <w:tc>
          <w:tcPr>
            <w:tcW w:w="839" w:type="dxa"/>
            <w:vMerge w:val="continue"/>
            <w:vAlign w:val="center"/>
          </w:tcPr>
          <w:p w14:paraId="335825B1">
            <w:pPr>
              <w:spacing w:line="360" w:lineRule="exact"/>
              <w:jc w:val="center"/>
              <w:rPr>
                <w:rFonts w:ascii="宋体" w:hAnsi="宋体" w:eastAsia="宋体" w:cs="Times New Roman"/>
                <w:color w:val="auto"/>
              </w:rPr>
            </w:pPr>
          </w:p>
        </w:tc>
      </w:tr>
      <w:tr w14:paraId="5C362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056D60A">
            <w:pPr>
              <w:spacing w:line="360" w:lineRule="exact"/>
              <w:jc w:val="center"/>
              <w:rPr>
                <w:rFonts w:ascii="宋体" w:hAnsi="宋体" w:eastAsia="宋体" w:cs="Times New Roman"/>
                <w:color w:val="auto"/>
              </w:rPr>
            </w:pPr>
          </w:p>
        </w:tc>
        <w:tc>
          <w:tcPr>
            <w:tcW w:w="1206" w:type="dxa"/>
            <w:vAlign w:val="center"/>
          </w:tcPr>
          <w:p w14:paraId="2E5E2E8D">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6E2CA6CB">
            <w:pPr>
              <w:spacing w:line="360" w:lineRule="exact"/>
              <w:jc w:val="center"/>
              <w:rPr>
                <w:rFonts w:ascii="宋体" w:hAnsi="宋体" w:eastAsia="宋体" w:cs="Times New Roman"/>
                <w:color w:val="auto"/>
              </w:rPr>
            </w:pPr>
            <w:r>
              <w:rPr>
                <w:rFonts w:ascii="宋体" w:hAnsi="宋体" w:eastAsia="宋体" w:cs="Times New Roman"/>
                <w:color w:val="auto"/>
              </w:rPr>
              <w:t xml:space="preserve">-4.049 </w:t>
            </w:r>
          </w:p>
        </w:tc>
        <w:tc>
          <w:tcPr>
            <w:tcW w:w="1447" w:type="dxa"/>
            <w:vAlign w:val="center"/>
          </w:tcPr>
          <w:p w14:paraId="4207B634">
            <w:pPr>
              <w:spacing w:line="360" w:lineRule="exact"/>
              <w:jc w:val="center"/>
              <w:rPr>
                <w:rFonts w:ascii="宋体" w:hAnsi="宋体" w:eastAsia="宋体" w:cs="Times New Roman"/>
                <w:color w:val="auto"/>
              </w:rPr>
            </w:pPr>
            <w:r>
              <w:rPr>
                <w:rFonts w:ascii="宋体" w:hAnsi="宋体" w:eastAsia="宋体" w:cs="Times New Roman"/>
                <w:color w:val="auto"/>
              </w:rPr>
              <w:t xml:space="preserve">64.372 </w:t>
            </w:r>
          </w:p>
        </w:tc>
        <w:tc>
          <w:tcPr>
            <w:tcW w:w="1590" w:type="dxa"/>
            <w:vMerge w:val="restart"/>
            <w:vAlign w:val="center"/>
          </w:tcPr>
          <w:p w14:paraId="3CE5B77E">
            <w:pPr>
              <w:spacing w:line="360" w:lineRule="exact"/>
              <w:jc w:val="center"/>
              <w:rPr>
                <w:rFonts w:ascii="宋体" w:hAnsi="宋体" w:eastAsia="宋体" w:cs="Times New Roman"/>
                <w:color w:val="auto"/>
              </w:rPr>
            </w:pPr>
            <w:r>
              <w:rPr>
                <w:rFonts w:ascii="宋体" w:hAnsi="宋体" w:eastAsia="宋体" w:cs="Times New Roman"/>
                <w:color w:val="auto"/>
              </w:rPr>
              <w:t xml:space="preserve">6.290 </w:t>
            </w:r>
          </w:p>
        </w:tc>
        <w:tc>
          <w:tcPr>
            <w:tcW w:w="1022" w:type="dxa"/>
            <w:vMerge w:val="continue"/>
            <w:vAlign w:val="center"/>
          </w:tcPr>
          <w:p w14:paraId="53BD2501">
            <w:pPr>
              <w:spacing w:line="360" w:lineRule="exact"/>
              <w:jc w:val="center"/>
              <w:rPr>
                <w:rFonts w:ascii="宋体" w:hAnsi="宋体" w:eastAsia="宋体" w:cs="Times New Roman"/>
                <w:color w:val="auto"/>
              </w:rPr>
            </w:pPr>
          </w:p>
        </w:tc>
        <w:tc>
          <w:tcPr>
            <w:tcW w:w="839" w:type="dxa"/>
            <w:vMerge w:val="continue"/>
            <w:vAlign w:val="center"/>
          </w:tcPr>
          <w:p w14:paraId="1A41751A">
            <w:pPr>
              <w:spacing w:line="360" w:lineRule="exact"/>
              <w:jc w:val="center"/>
              <w:rPr>
                <w:rFonts w:ascii="宋体" w:hAnsi="宋体" w:eastAsia="宋体" w:cs="Times New Roman"/>
                <w:color w:val="auto"/>
              </w:rPr>
            </w:pPr>
          </w:p>
        </w:tc>
      </w:tr>
      <w:tr w14:paraId="7C2B0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3E35505">
            <w:pPr>
              <w:spacing w:line="360" w:lineRule="exact"/>
              <w:jc w:val="center"/>
              <w:rPr>
                <w:rFonts w:ascii="宋体" w:hAnsi="宋体" w:eastAsia="宋体" w:cs="Times New Roman"/>
                <w:color w:val="auto"/>
              </w:rPr>
            </w:pPr>
          </w:p>
        </w:tc>
        <w:tc>
          <w:tcPr>
            <w:tcW w:w="1206" w:type="dxa"/>
            <w:vAlign w:val="center"/>
          </w:tcPr>
          <w:p w14:paraId="63415C28">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5D796556">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15318948">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286C5E5B">
            <w:pPr>
              <w:spacing w:line="360" w:lineRule="exact"/>
              <w:jc w:val="center"/>
              <w:rPr>
                <w:rFonts w:ascii="宋体" w:hAnsi="宋体" w:eastAsia="宋体" w:cs="Times New Roman"/>
                <w:color w:val="auto"/>
              </w:rPr>
            </w:pPr>
          </w:p>
        </w:tc>
        <w:tc>
          <w:tcPr>
            <w:tcW w:w="1022" w:type="dxa"/>
            <w:vMerge w:val="continue"/>
            <w:vAlign w:val="center"/>
          </w:tcPr>
          <w:p w14:paraId="606CA2AC">
            <w:pPr>
              <w:spacing w:line="360" w:lineRule="exact"/>
              <w:jc w:val="center"/>
              <w:rPr>
                <w:rFonts w:ascii="宋体" w:hAnsi="宋体" w:eastAsia="宋体" w:cs="Times New Roman"/>
                <w:color w:val="auto"/>
              </w:rPr>
            </w:pPr>
          </w:p>
        </w:tc>
        <w:tc>
          <w:tcPr>
            <w:tcW w:w="839" w:type="dxa"/>
            <w:vMerge w:val="continue"/>
            <w:vAlign w:val="center"/>
          </w:tcPr>
          <w:p w14:paraId="42A9839D">
            <w:pPr>
              <w:spacing w:line="360" w:lineRule="exact"/>
              <w:jc w:val="center"/>
              <w:rPr>
                <w:rFonts w:ascii="宋体" w:hAnsi="宋体" w:eastAsia="宋体" w:cs="Times New Roman"/>
                <w:color w:val="auto"/>
              </w:rPr>
            </w:pPr>
          </w:p>
        </w:tc>
      </w:tr>
      <w:tr w14:paraId="2FDD2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93D297D">
            <w:pPr>
              <w:spacing w:line="360" w:lineRule="exact"/>
              <w:jc w:val="center"/>
              <w:rPr>
                <w:rFonts w:ascii="宋体" w:hAnsi="宋体" w:eastAsia="宋体" w:cs="Times New Roman"/>
                <w:color w:val="auto"/>
              </w:rPr>
            </w:pPr>
          </w:p>
        </w:tc>
        <w:tc>
          <w:tcPr>
            <w:tcW w:w="1206" w:type="dxa"/>
            <w:vAlign w:val="center"/>
          </w:tcPr>
          <w:p w14:paraId="5A6D5070">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2EB3C316">
            <w:pPr>
              <w:spacing w:line="360" w:lineRule="exact"/>
              <w:jc w:val="center"/>
              <w:rPr>
                <w:rFonts w:ascii="宋体" w:hAnsi="宋体" w:eastAsia="宋体" w:cs="Times New Roman"/>
                <w:color w:val="auto"/>
              </w:rPr>
            </w:pPr>
            <w:r>
              <w:rPr>
                <w:rFonts w:ascii="宋体" w:hAnsi="宋体" w:eastAsia="宋体" w:cs="Times New Roman"/>
                <w:color w:val="auto"/>
              </w:rPr>
              <w:t xml:space="preserve">-1.429 </w:t>
            </w:r>
          </w:p>
        </w:tc>
        <w:tc>
          <w:tcPr>
            <w:tcW w:w="1447" w:type="dxa"/>
            <w:vAlign w:val="center"/>
          </w:tcPr>
          <w:p w14:paraId="414FFA22">
            <w:pPr>
              <w:spacing w:line="360" w:lineRule="exact"/>
              <w:jc w:val="center"/>
              <w:rPr>
                <w:rFonts w:ascii="宋体" w:hAnsi="宋体" w:eastAsia="宋体" w:cs="Times New Roman"/>
                <w:color w:val="auto"/>
              </w:rPr>
            </w:pPr>
            <w:r>
              <w:rPr>
                <w:rFonts w:ascii="宋体" w:hAnsi="宋体" w:eastAsia="宋体" w:cs="Times New Roman"/>
                <w:color w:val="auto"/>
              </w:rPr>
              <w:t xml:space="preserve">22.711 </w:t>
            </w:r>
          </w:p>
        </w:tc>
        <w:tc>
          <w:tcPr>
            <w:tcW w:w="1590" w:type="dxa"/>
            <w:vMerge w:val="continue"/>
            <w:vAlign w:val="center"/>
          </w:tcPr>
          <w:p w14:paraId="343BCDB5">
            <w:pPr>
              <w:spacing w:line="360" w:lineRule="exact"/>
              <w:jc w:val="center"/>
              <w:rPr>
                <w:rFonts w:ascii="宋体" w:hAnsi="宋体" w:eastAsia="宋体" w:cs="Times New Roman"/>
                <w:color w:val="auto"/>
              </w:rPr>
            </w:pPr>
          </w:p>
        </w:tc>
        <w:tc>
          <w:tcPr>
            <w:tcW w:w="1022" w:type="dxa"/>
            <w:vMerge w:val="continue"/>
            <w:vAlign w:val="center"/>
          </w:tcPr>
          <w:p w14:paraId="754F6D0C">
            <w:pPr>
              <w:spacing w:line="360" w:lineRule="exact"/>
              <w:jc w:val="center"/>
              <w:rPr>
                <w:rFonts w:ascii="宋体" w:hAnsi="宋体" w:eastAsia="宋体" w:cs="Times New Roman"/>
                <w:color w:val="auto"/>
              </w:rPr>
            </w:pPr>
          </w:p>
        </w:tc>
        <w:tc>
          <w:tcPr>
            <w:tcW w:w="839" w:type="dxa"/>
            <w:vMerge w:val="continue"/>
            <w:vAlign w:val="center"/>
          </w:tcPr>
          <w:p w14:paraId="03174C77">
            <w:pPr>
              <w:spacing w:line="360" w:lineRule="exact"/>
              <w:jc w:val="center"/>
              <w:rPr>
                <w:rFonts w:ascii="宋体" w:hAnsi="宋体" w:eastAsia="宋体" w:cs="Times New Roman"/>
                <w:color w:val="auto"/>
              </w:rPr>
            </w:pPr>
          </w:p>
        </w:tc>
      </w:tr>
      <w:tr w14:paraId="5D021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17A0991">
            <w:pPr>
              <w:spacing w:line="360" w:lineRule="exact"/>
              <w:jc w:val="center"/>
              <w:rPr>
                <w:rFonts w:ascii="宋体" w:hAnsi="宋体" w:eastAsia="宋体" w:cs="Times New Roman"/>
                <w:color w:val="auto"/>
              </w:rPr>
            </w:pPr>
          </w:p>
        </w:tc>
        <w:tc>
          <w:tcPr>
            <w:tcW w:w="1206" w:type="dxa"/>
            <w:vAlign w:val="center"/>
          </w:tcPr>
          <w:p w14:paraId="51CDDA7D">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6143CCF1">
            <w:pPr>
              <w:spacing w:line="360" w:lineRule="exact"/>
              <w:jc w:val="center"/>
              <w:rPr>
                <w:rFonts w:ascii="宋体" w:hAnsi="宋体" w:eastAsia="宋体" w:cs="Times New Roman"/>
                <w:color w:val="auto"/>
              </w:rPr>
            </w:pPr>
            <w:r>
              <w:rPr>
                <w:rFonts w:ascii="宋体" w:hAnsi="宋体" w:eastAsia="宋体" w:cs="Times New Roman"/>
                <w:color w:val="auto"/>
              </w:rPr>
              <w:t xml:space="preserve">-0.813 </w:t>
            </w:r>
          </w:p>
        </w:tc>
        <w:tc>
          <w:tcPr>
            <w:tcW w:w="1447" w:type="dxa"/>
            <w:vAlign w:val="center"/>
          </w:tcPr>
          <w:p w14:paraId="011A2A19">
            <w:pPr>
              <w:spacing w:line="360" w:lineRule="exact"/>
              <w:jc w:val="center"/>
              <w:rPr>
                <w:rFonts w:ascii="宋体" w:hAnsi="宋体" w:eastAsia="宋体" w:cs="Times New Roman"/>
                <w:color w:val="auto"/>
              </w:rPr>
            </w:pPr>
            <w:r>
              <w:rPr>
                <w:rFonts w:ascii="宋体" w:hAnsi="宋体" w:eastAsia="宋体" w:cs="Times New Roman"/>
                <w:color w:val="auto"/>
              </w:rPr>
              <w:t xml:space="preserve">12.917 </w:t>
            </w:r>
          </w:p>
        </w:tc>
        <w:tc>
          <w:tcPr>
            <w:tcW w:w="1590" w:type="dxa"/>
            <w:vMerge w:val="continue"/>
            <w:vAlign w:val="center"/>
          </w:tcPr>
          <w:p w14:paraId="63CDADD0">
            <w:pPr>
              <w:spacing w:line="360" w:lineRule="exact"/>
              <w:jc w:val="center"/>
              <w:rPr>
                <w:rFonts w:ascii="宋体" w:hAnsi="宋体" w:eastAsia="宋体" w:cs="Times New Roman"/>
                <w:color w:val="auto"/>
              </w:rPr>
            </w:pPr>
          </w:p>
        </w:tc>
        <w:tc>
          <w:tcPr>
            <w:tcW w:w="1022" w:type="dxa"/>
            <w:vMerge w:val="continue"/>
            <w:vAlign w:val="center"/>
          </w:tcPr>
          <w:p w14:paraId="6491EF42">
            <w:pPr>
              <w:spacing w:line="360" w:lineRule="exact"/>
              <w:jc w:val="center"/>
              <w:rPr>
                <w:rFonts w:ascii="宋体" w:hAnsi="宋体" w:eastAsia="宋体" w:cs="Times New Roman"/>
                <w:color w:val="auto"/>
              </w:rPr>
            </w:pPr>
          </w:p>
        </w:tc>
        <w:tc>
          <w:tcPr>
            <w:tcW w:w="839" w:type="dxa"/>
            <w:vMerge w:val="continue"/>
            <w:vAlign w:val="center"/>
          </w:tcPr>
          <w:p w14:paraId="4D94B574">
            <w:pPr>
              <w:spacing w:line="360" w:lineRule="exact"/>
              <w:jc w:val="center"/>
              <w:rPr>
                <w:rFonts w:ascii="宋体" w:hAnsi="宋体" w:eastAsia="宋体" w:cs="Times New Roman"/>
                <w:color w:val="auto"/>
              </w:rPr>
            </w:pPr>
          </w:p>
        </w:tc>
      </w:tr>
      <w:tr w14:paraId="4273A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33D3D282">
            <w:pPr>
              <w:jc w:val="center"/>
              <w:textAlignment w:val="center"/>
              <w:rPr>
                <w:rFonts w:ascii="宋体" w:hAnsi="宋体" w:eastAsia="宋体" w:cs="Times New Roman"/>
                <w:color w:val="auto"/>
              </w:rPr>
            </w:pPr>
            <w:r>
              <w:rPr>
                <w:rFonts w:ascii="宋体" w:hAnsi="宋体" w:eastAsia="宋体" w:cs="Times New Roman"/>
                <w:color w:val="auto"/>
                <w:lang w:bidi="ar"/>
              </w:rPr>
              <w:t>后欧力马屯(张家、潜水)</w:t>
            </w:r>
          </w:p>
        </w:tc>
        <w:tc>
          <w:tcPr>
            <w:tcW w:w="1206" w:type="dxa"/>
            <w:vAlign w:val="center"/>
          </w:tcPr>
          <w:p w14:paraId="603F8AD5">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00BE03C5">
            <w:pPr>
              <w:spacing w:line="360" w:lineRule="exact"/>
              <w:jc w:val="center"/>
              <w:rPr>
                <w:rFonts w:ascii="宋体" w:hAnsi="宋体" w:eastAsia="宋体" w:cs="Times New Roman"/>
                <w:color w:val="auto"/>
              </w:rPr>
            </w:pPr>
            <w:r>
              <w:rPr>
                <w:rFonts w:ascii="宋体" w:hAnsi="宋体" w:eastAsia="宋体" w:cs="Times New Roman"/>
                <w:color w:val="auto"/>
              </w:rPr>
              <w:t xml:space="preserve">0.075 </w:t>
            </w:r>
          </w:p>
        </w:tc>
        <w:tc>
          <w:tcPr>
            <w:tcW w:w="1447" w:type="dxa"/>
            <w:vAlign w:val="center"/>
          </w:tcPr>
          <w:p w14:paraId="14A34FBF">
            <w:pPr>
              <w:spacing w:line="360" w:lineRule="exact"/>
              <w:jc w:val="center"/>
              <w:rPr>
                <w:rFonts w:ascii="宋体" w:hAnsi="宋体" w:eastAsia="宋体" w:cs="Times New Roman"/>
                <w:color w:val="auto"/>
              </w:rPr>
            </w:pPr>
            <w:r>
              <w:rPr>
                <w:rFonts w:ascii="宋体" w:hAnsi="宋体" w:eastAsia="宋体" w:cs="Times New Roman"/>
                <w:color w:val="auto"/>
              </w:rPr>
              <w:t xml:space="preserve">1.234 </w:t>
            </w:r>
          </w:p>
        </w:tc>
        <w:tc>
          <w:tcPr>
            <w:tcW w:w="1590" w:type="dxa"/>
            <w:vMerge w:val="restart"/>
            <w:vAlign w:val="center"/>
          </w:tcPr>
          <w:p w14:paraId="5837082F">
            <w:pPr>
              <w:spacing w:line="360" w:lineRule="exact"/>
              <w:jc w:val="center"/>
              <w:rPr>
                <w:rFonts w:ascii="宋体" w:hAnsi="宋体" w:eastAsia="宋体" w:cs="Times New Roman"/>
                <w:color w:val="auto"/>
              </w:rPr>
            </w:pPr>
            <w:r>
              <w:rPr>
                <w:rFonts w:ascii="宋体" w:hAnsi="宋体" w:eastAsia="宋体" w:cs="Times New Roman"/>
                <w:color w:val="auto"/>
              </w:rPr>
              <w:t xml:space="preserve">6.068 </w:t>
            </w:r>
          </w:p>
        </w:tc>
        <w:tc>
          <w:tcPr>
            <w:tcW w:w="1022" w:type="dxa"/>
            <w:vMerge w:val="restart"/>
            <w:vAlign w:val="center"/>
          </w:tcPr>
          <w:p w14:paraId="5241E873">
            <w:pPr>
              <w:spacing w:line="360" w:lineRule="exact"/>
              <w:jc w:val="center"/>
              <w:rPr>
                <w:rFonts w:ascii="宋体" w:hAnsi="宋体" w:eastAsia="宋体" w:cs="Times New Roman"/>
                <w:color w:val="auto"/>
              </w:rPr>
            </w:pPr>
            <w:r>
              <w:rPr>
                <w:rFonts w:ascii="宋体" w:hAnsi="宋体" w:eastAsia="宋体" w:cs="Times New Roman"/>
                <w:color w:val="auto"/>
              </w:rPr>
              <w:t xml:space="preserve">2.21 </w:t>
            </w:r>
          </w:p>
        </w:tc>
        <w:tc>
          <w:tcPr>
            <w:tcW w:w="839" w:type="dxa"/>
            <w:vMerge w:val="restart"/>
            <w:vAlign w:val="center"/>
          </w:tcPr>
          <w:p w14:paraId="457F5F31">
            <w:pPr>
              <w:spacing w:line="360" w:lineRule="exact"/>
              <w:jc w:val="center"/>
              <w:rPr>
                <w:rFonts w:ascii="宋体" w:hAnsi="宋体" w:eastAsia="宋体" w:cs="Times New Roman"/>
                <w:color w:val="auto"/>
              </w:rPr>
            </w:pPr>
            <w:r>
              <w:rPr>
                <w:rFonts w:ascii="宋体" w:hAnsi="宋体" w:eastAsia="宋体" w:cs="Times New Roman"/>
                <w:color w:val="auto"/>
              </w:rPr>
              <w:t xml:space="preserve">0.46 </w:t>
            </w:r>
          </w:p>
        </w:tc>
      </w:tr>
      <w:tr w14:paraId="09C95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99B63A1">
            <w:pPr>
              <w:spacing w:line="360" w:lineRule="exact"/>
              <w:jc w:val="center"/>
              <w:rPr>
                <w:rFonts w:ascii="宋体" w:hAnsi="宋体" w:eastAsia="宋体" w:cs="Times New Roman"/>
                <w:color w:val="auto"/>
              </w:rPr>
            </w:pPr>
          </w:p>
        </w:tc>
        <w:tc>
          <w:tcPr>
            <w:tcW w:w="1206" w:type="dxa"/>
            <w:vAlign w:val="center"/>
          </w:tcPr>
          <w:p w14:paraId="094A13F3">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79EBF970">
            <w:pPr>
              <w:spacing w:line="360" w:lineRule="exact"/>
              <w:jc w:val="center"/>
              <w:rPr>
                <w:rFonts w:ascii="宋体" w:hAnsi="宋体" w:eastAsia="宋体" w:cs="Times New Roman"/>
                <w:color w:val="auto"/>
              </w:rPr>
            </w:pPr>
            <w:r>
              <w:rPr>
                <w:rFonts w:ascii="宋体" w:hAnsi="宋体" w:eastAsia="宋体" w:cs="Times New Roman"/>
                <w:color w:val="auto"/>
              </w:rPr>
              <w:t xml:space="preserve">2.635 </w:t>
            </w:r>
          </w:p>
        </w:tc>
        <w:tc>
          <w:tcPr>
            <w:tcW w:w="1447" w:type="dxa"/>
            <w:vAlign w:val="center"/>
          </w:tcPr>
          <w:p w14:paraId="6CCD2550">
            <w:pPr>
              <w:spacing w:line="360" w:lineRule="exact"/>
              <w:jc w:val="center"/>
              <w:rPr>
                <w:rFonts w:ascii="宋体" w:hAnsi="宋体" w:eastAsia="宋体" w:cs="Times New Roman"/>
                <w:color w:val="auto"/>
              </w:rPr>
            </w:pPr>
            <w:r>
              <w:rPr>
                <w:rFonts w:ascii="宋体" w:hAnsi="宋体" w:eastAsia="宋体" w:cs="Times New Roman"/>
                <w:color w:val="auto"/>
              </w:rPr>
              <w:t xml:space="preserve">43.421 </w:t>
            </w:r>
          </w:p>
        </w:tc>
        <w:tc>
          <w:tcPr>
            <w:tcW w:w="1590" w:type="dxa"/>
            <w:vMerge w:val="continue"/>
            <w:vAlign w:val="center"/>
          </w:tcPr>
          <w:p w14:paraId="151D4FFF">
            <w:pPr>
              <w:spacing w:line="360" w:lineRule="exact"/>
              <w:jc w:val="center"/>
              <w:rPr>
                <w:rFonts w:ascii="宋体" w:hAnsi="宋体" w:eastAsia="宋体" w:cs="Times New Roman"/>
                <w:color w:val="auto"/>
              </w:rPr>
            </w:pPr>
          </w:p>
        </w:tc>
        <w:tc>
          <w:tcPr>
            <w:tcW w:w="1022" w:type="dxa"/>
            <w:vMerge w:val="continue"/>
            <w:vAlign w:val="center"/>
          </w:tcPr>
          <w:p w14:paraId="2092ACB3">
            <w:pPr>
              <w:spacing w:line="360" w:lineRule="exact"/>
              <w:jc w:val="center"/>
              <w:rPr>
                <w:rFonts w:ascii="宋体" w:hAnsi="宋体" w:eastAsia="宋体" w:cs="Times New Roman"/>
                <w:color w:val="auto"/>
              </w:rPr>
            </w:pPr>
          </w:p>
        </w:tc>
        <w:tc>
          <w:tcPr>
            <w:tcW w:w="839" w:type="dxa"/>
            <w:vMerge w:val="continue"/>
            <w:vAlign w:val="center"/>
          </w:tcPr>
          <w:p w14:paraId="35F8184F">
            <w:pPr>
              <w:spacing w:line="360" w:lineRule="exact"/>
              <w:jc w:val="center"/>
              <w:rPr>
                <w:rFonts w:ascii="宋体" w:hAnsi="宋体" w:eastAsia="宋体" w:cs="Times New Roman"/>
                <w:color w:val="auto"/>
              </w:rPr>
            </w:pPr>
          </w:p>
        </w:tc>
      </w:tr>
      <w:tr w14:paraId="36628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0CB11F58">
            <w:pPr>
              <w:spacing w:line="360" w:lineRule="exact"/>
              <w:jc w:val="center"/>
              <w:rPr>
                <w:rFonts w:ascii="宋体" w:hAnsi="宋体" w:eastAsia="宋体" w:cs="Times New Roman"/>
                <w:color w:val="auto"/>
              </w:rPr>
            </w:pPr>
          </w:p>
        </w:tc>
        <w:tc>
          <w:tcPr>
            <w:tcW w:w="1206" w:type="dxa"/>
            <w:vAlign w:val="center"/>
          </w:tcPr>
          <w:p w14:paraId="020C3B21">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2A451165">
            <w:pPr>
              <w:spacing w:line="360" w:lineRule="exact"/>
              <w:jc w:val="center"/>
              <w:rPr>
                <w:rFonts w:ascii="宋体" w:hAnsi="宋体" w:eastAsia="宋体" w:cs="Times New Roman"/>
                <w:color w:val="auto"/>
              </w:rPr>
            </w:pPr>
            <w:r>
              <w:rPr>
                <w:rFonts w:ascii="宋体" w:hAnsi="宋体" w:eastAsia="宋体" w:cs="Times New Roman"/>
                <w:color w:val="auto"/>
              </w:rPr>
              <w:t xml:space="preserve">2.400 </w:t>
            </w:r>
          </w:p>
        </w:tc>
        <w:tc>
          <w:tcPr>
            <w:tcW w:w="1447" w:type="dxa"/>
            <w:vAlign w:val="center"/>
          </w:tcPr>
          <w:p w14:paraId="36B91035">
            <w:pPr>
              <w:spacing w:line="360" w:lineRule="exact"/>
              <w:jc w:val="center"/>
              <w:rPr>
                <w:rFonts w:ascii="宋体" w:hAnsi="宋体" w:eastAsia="宋体" w:cs="Times New Roman"/>
                <w:color w:val="auto"/>
              </w:rPr>
            </w:pPr>
            <w:r>
              <w:rPr>
                <w:rFonts w:ascii="宋体" w:hAnsi="宋体" w:eastAsia="宋体" w:cs="Times New Roman"/>
                <w:color w:val="auto"/>
              </w:rPr>
              <w:t xml:space="preserve">39.552 </w:t>
            </w:r>
          </w:p>
        </w:tc>
        <w:tc>
          <w:tcPr>
            <w:tcW w:w="1590" w:type="dxa"/>
            <w:vMerge w:val="continue"/>
            <w:vAlign w:val="center"/>
          </w:tcPr>
          <w:p w14:paraId="74AF9ACA">
            <w:pPr>
              <w:spacing w:line="360" w:lineRule="exact"/>
              <w:jc w:val="center"/>
              <w:rPr>
                <w:rFonts w:ascii="宋体" w:hAnsi="宋体" w:eastAsia="宋体" w:cs="Times New Roman"/>
                <w:color w:val="auto"/>
              </w:rPr>
            </w:pPr>
          </w:p>
        </w:tc>
        <w:tc>
          <w:tcPr>
            <w:tcW w:w="1022" w:type="dxa"/>
            <w:vMerge w:val="continue"/>
            <w:vAlign w:val="center"/>
          </w:tcPr>
          <w:p w14:paraId="0FD239E9">
            <w:pPr>
              <w:spacing w:line="360" w:lineRule="exact"/>
              <w:jc w:val="center"/>
              <w:rPr>
                <w:rFonts w:ascii="宋体" w:hAnsi="宋体" w:eastAsia="宋体" w:cs="Times New Roman"/>
                <w:color w:val="auto"/>
              </w:rPr>
            </w:pPr>
          </w:p>
        </w:tc>
        <w:tc>
          <w:tcPr>
            <w:tcW w:w="839" w:type="dxa"/>
            <w:vMerge w:val="continue"/>
            <w:vAlign w:val="center"/>
          </w:tcPr>
          <w:p w14:paraId="0F04634F">
            <w:pPr>
              <w:spacing w:line="360" w:lineRule="exact"/>
              <w:jc w:val="center"/>
              <w:rPr>
                <w:rFonts w:ascii="宋体" w:hAnsi="宋体" w:eastAsia="宋体" w:cs="Times New Roman"/>
                <w:color w:val="auto"/>
              </w:rPr>
            </w:pPr>
          </w:p>
        </w:tc>
      </w:tr>
      <w:tr w14:paraId="269ED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C220B98">
            <w:pPr>
              <w:spacing w:line="360" w:lineRule="exact"/>
              <w:jc w:val="center"/>
              <w:rPr>
                <w:rFonts w:ascii="宋体" w:hAnsi="宋体" w:eastAsia="宋体" w:cs="Times New Roman"/>
                <w:color w:val="auto"/>
              </w:rPr>
            </w:pPr>
          </w:p>
        </w:tc>
        <w:tc>
          <w:tcPr>
            <w:tcW w:w="1206" w:type="dxa"/>
            <w:vAlign w:val="center"/>
          </w:tcPr>
          <w:p w14:paraId="4123BF01">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13635BB6">
            <w:pPr>
              <w:spacing w:line="360" w:lineRule="exact"/>
              <w:jc w:val="center"/>
              <w:rPr>
                <w:rFonts w:ascii="宋体" w:hAnsi="宋体" w:eastAsia="宋体" w:cs="Times New Roman"/>
                <w:color w:val="auto"/>
              </w:rPr>
            </w:pPr>
            <w:r>
              <w:rPr>
                <w:rFonts w:ascii="宋体" w:hAnsi="宋体" w:eastAsia="宋体" w:cs="Times New Roman"/>
                <w:color w:val="auto"/>
              </w:rPr>
              <w:t xml:space="preserve">0.958 </w:t>
            </w:r>
          </w:p>
        </w:tc>
        <w:tc>
          <w:tcPr>
            <w:tcW w:w="1447" w:type="dxa"/>
            <w:vAlign w:val="center"/>
          </w:tcPr>
          <w:p w14:paraId="65C2207E">
            <w:pPr>
              <w:spacing w:line="360" w:lineRule="exact"/>
              <w:jc w:val="center"/>
              <w:rPr>
                <w:rFonts w:ascii="宋体" w:hAnsi="宋体" w:eastAsia="宋体" w:cs="Times New Roman"/>
                <w:color w:val="auto"/>
              </w:rPr>
            </w:pPr>
            <w:r>
              <w:rPr>
                <w:rFonts w:ascii="宋体" w:hAnsi="宋体" w:eastAsia="宋体" w:cs="Times New Roman"/>
                <w:color w:val="auto"/>
              </w:rPr>
              <w:t xml:space="preserve">15.793 </w:t>
            </w:r>
          </w:p>
        </w:tc>
        <w:tc>
          <w:tcPr>
            <w:tcW w:w="1590" w:type="dxa"/>
            <w:vMerge w:val="continue"/>
            <w:vAlign w:val="center"/>
          </w:tcPr>
          <w:p w14:paraId="636577A2">
            <w:pPr>
              <w:spacing w:line="360" w:lineRule="exact"/>
              <w:jc w:val="center"/>
              <w:rPr>
                <w:rFonts w:ascii="宋体" w:hAnsi="宋体" w:eastAsia="宋体" w:cs="Times New Roman"/>
                <w:color w:val="auto"/>
              </w:rPr>
            </w:pPr>
          </w:p>
        </w:tc>
        <w:tc>
          <w:tcPr>
            <w:tcW w:w="1022" w:type="dxa"/>
            <w:vMerge w:val="continue"/>
            <w:vAlign w:val="center"/>
          </w:tcPr>
          <w:p w14:paraId="46AB7757">
            <w:pPr>
              <w:spacing w:line="360" w:lineRule="exact"/>
              <w:jc w:val="center"/>
              <w:rPr>
                <w:rFonts w:ascii="宋体" w:hAnsi="宋体" w:eastAsia="宋体" w:cs="Times New Roman"/>
                <w:color w:val="auto"/>
              </w:rPr>
            </w:pPr>
          </w:p>
        </w:tc>
        <w:tc>
          <w:tcPr>
            <w:tcW w:w="839" w:type="dxa"/>
            <w:vMerge w:val="continue"/>
            <w:vAlign w:val="center"/>
          </w:tcPr>
          <w:p w14:paraId="3B0E1741">
            <w:pPr>
              <w:spacing w:line="360" w:lineRule="exact"/>
              <w:jc w:val="center"/>
              <w:rPr>
                <w:rFonts w:ascii="宋体" w:hAnsi="宋体" w:eastAsia="宋体" w:cs="Times New Roman"/>
                <w:color w:val="auto"/>
              </w:rPr>
            </w:pPr>
          </w:p>
        </w:tc>
      </w:tr>
      <w:tr w14:paraId="7A103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370AE8E1">
            <w:pPr>
              <w:spacing w:line="360" w:lineRule="exact"/>
              <w:jc w:val="center"/>
              <w:rPr>
                <w:rFonts w:ascii="宋体" w:hAnsi="宋体" w:eastAsia="宋体" w:cs="Times New Roman"/>
                <w:color w:val="auto"/>
              </w:rPr>
            </w:pPr>
          </w:p>
        </w:tc>
        <w:tc>
          <w:tcPr>
            <w:tcW w:w="1206" w:type="dxa"/>
            <w:vAlign w:val="center"/>
          </w:tcPr>
          <w:p w14:paraId="3894D05D">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400A4458">
            <w:pPr>
              <w:spacing w:line="360" w:lineRule="exact"/>
              <w:jc w:val="center"/>
              <w:rPr>
                <w:rFonts w:ascii="宋体" w:hAnsi="宋体" w:eastAsia="宋体" w:cs="Times New Roman"/>
                <w:color w:val="auto"/>
              </w:rPr>
            </w:pPr>
            <w:r>
              <w:rPr>
                <w:rFonts w:ascii="宋体" w:hAnsi="宋体" w:eastAsia="宋体" w:cs="Times New Roman"/>
                <w:color w:val="auto"/>
              </w:rPr>
              <w:t xml:space="preserve">-3.902 </w:t>
            </w:r>
          </w:p>
        </w:tc>
        <w:tc>
          <w:tcPr>
            <w:tcW w:w="1447" w:type="dxa"/>
            <w:vAlign w:val="center"/>
          </w:tcPr>
          <w:p w14:paraId="64ECC586">
            <w:pPr>
              <w:spacing w:line="360" w:lineRule="exact"/>
              <w:jc w:val="center"/>
              <w:rPr>
                <w:rFonts w:ascii="宋体" w:hAnsi="宋体" w:eastAsia="宋体" w:cs="Times New Roman"/>
                <w:color w:val="auto"/>
              </w:rPr>
            </w:pPr>
            <w:r>
              <w:rPr>
                <w:rFonts w:ascii="宋体" w:hAnsi="宋体" w:eastAsia="宋体" w:cs="Times New Roman"/>
                <w:color w:val="auto"/>
              </w:rPr>
              <w:t xml:space="preserve">61.514 </w:t>
            </w:r>
          </w:p>
        </w:tc>
        <w:tc>
          <w:tcPr>
            <w:tcW w:w="1590" w:type="dxa"/>
            <w:vMerge w:val="restart"/>
            <w:vAlign w:val="center"/>
          </w:tcPr>
          <w:p w14:paraId="6A62928C">
            <w:pPr>
              <w:spacing w:line="360" w:lineRule="exact"/>
              <w:jc w:val="center"/>
              <w:rPr>
                <w:rFonts w:ascii="宋体" w:hAnsi="宋体" w:eastAsia="宋体" w:cs="Times New Roman"/>
                <w:color w:val="auto"/>
              </w:rPr>
            </w:pPr>
            <w:r>
              <w:rPr>
                <w:rFonts w:ascii="宋体" w:hAnsi="宋体" w:eastAsia="宋体" w:cs="Times New Roman"/>
                <w:color w:val="auto"/>
              </w:rPr>
              <w:t xml:space="preserve">6.343 </w:t>
            </w:r>
          </w:p>
        </w:tc>
        <w:tc>
          <w:tcPr>
            <w:tcW w:w="1022" w:type="dxa"/>
            <w:vMerge w:val="continue"/>
            <w:vAlign w:val="center"/>
          </w:tcPr>
          <w:p w14:paraId="629D0223">
            <w:pPr>
              <w:spacing w:line="360" w:lineRule="exact"/>
              <w:jc w:val="center"/>
              <w:rPr>
                <w:rFonts w:ascii="宋体" w:hAnsi="宋体" w:eastAsia="宋体" w:cs="Times New Roman"/>
                <w:color w:val="auto"/>
              </w:rPr>
            </w:pPr>
          </w:p>
        </w:tc>
        <w:tc>
          <w:tcPr>
            <w:tcW w:w="839" w:type="dxa"/>
            <w:vMerge w:val="continue"/>
            <w:vAlign w:val="center"/>
          </w:tcPr>
          <w:p w14:paraId="3C67ED87">
            <w:pPr>
              <w:spacing w:line="360" w:lineRule="exact"/>
              <w:jc w:val="center"/>
              <w:rPr>
                <w:rFonts w:ascii="宋体" w:hAnsi="宋体" w:eastAsia="宋体" w:cs="Times New Roman"/>
                <w:color w:val="auto"/>
              </w:rPr>
            </w:pPr>
          </w:p>
        </w:tc>
      </w:tr>
      <w:tr w14:paraId="402D7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AC29D01">
            <w:pPr>
              <w:spacing w:line="360" w:lineRule="exact"/>
              <w:jc w:val="center"/>
              <w:rPr>
                <w:rFonts w:ascii="宋体" w:hAnsi="宋体" w:eastAsia="宋体" w:cs="Times New Roman"/>
                <w:color w:val="auto"/>
              </w:rPr>
            </w:pPr>
          </w:p>
        </w:tc>
        <w:tc>
          <w:tcPr>
            <w:tcW w:w="1206" w:type="dxa"/>
            <w:vAlign w:val="center"/>
          </w:tcPr>
          <w:p w14:paraId="770E1171">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71C01355">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70B2AAAC">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114A8000">
            <w:pPr>
              <w:spacing w:line="360" w:lineRule="exact"/>
              <w:jc w:val="center"/>
              <w:rPr>
                <w:rFonts w:ascii="宋体" w:hAnsi="宋体" w:eastAsia="宋体" w:cs="Times New Roman"/>
                <w:color w:val="auto"/>
              </w:rPr>
            </w:pPr>
          </w:p>
        </w:tc>
        <w:tc>
          <w:tcPr>
            <w:tcW w:w="1022" w:type="dxa"/>
            <w:vMerge w:val="continue"/>
            <w:vAlign w:val="center"/>
          </w:tcPr>
          <w:p w14:paraId="721D28AF">
            <w:pPr>
              <w:spacing w:line="360" w:lineRule="exact"/>
              <w:jc w:val="center"/>
              <w:rPr>
                <w:rFonts w:ascii="宋体" w:hAnsi="宋体" w:eastAsia="宋体" w:cs="Times New Roman"/>
                <w:color w:val="auto"/>
              </w:rPr>
            </w:pPr>
          </w:p>
        </w:tc>
        <w:tc>
          <w:tcPr>
            <w:tcW w:w="839" w:type="dxa"/>
            <w:vMerge w:val="continue"/>
            <w:vAlign w:val="center"/>
          </w:tcPr>
          <w:p w14:paraId="63AEB39D">
            <w:pPr>
              <w:spacing w:line="360" w:lineRule="exact"/>
              <w:jc w:val="center"/>
              <w:rPr>
                <w:rFonts w:ascii="宋体" w:hAnsi="宋体" w:eastAsia="宋体" w:cs="Times New Roman"/>
                <w:color w:val="auto"/>
              </w:rPr>
            </w:pPr>
          </w:p>
        </w:tc>
      </w:tr>
      <w:tr w14:paraId="4CC1F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B9D2F87">
            <w:pPr>
              <w:spacing w:line="360" w:lineRule="exact"/>
              <w:jc w:val="center"/>
              <w:rPr>
                <w:rFonts w:ascii="宋体" w:hAnsi="宋体" w:eastAsia="宋体" w:cs="Times New Roman"/>
                <w:color w:val="auto"/>
              </w:rPr>
            </w:pPr>
          </w:p>
        </w:tc>
        <w:tc>
          <w:tcPr>
            <w:tcW w:w="1206" w:type="dxa"/>
            <w:vAlign w:val="center"/>
          </w:tcPr>
          <w:p w14:paraId="483519F2">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383132D4">
            <w:pPr>
              <w:spacing w:line="360" w:lineRule="exact"/>
              <w:jc w:val="center"/>
              <w:rPr>
                <w:rFonts w:ascii="宋体" w:hAnsi="宋体" w:eastAsia="宋体" w:cs="Times New Roman"/>
                <w:color w:val="auto"/>
              </w:rPr>
            </w:pPr>
            <w:r>
              <w:rPr>
                <w:rFonts w:ascii="宋体" w:hAnsi="宋体" w:eastAsia="宋体" w:cs="Times New Roman"/>
                <w:color w:val="auto"/>
              </w:rPr>
              <w:t xml:space="preserve">-1.629 </w:t>
            </w:r>
          </w:p>
        </w:tc>
        <w:tc>
          <w:tcPr>
            <w:tcW w:w="1447" w:type="dxa"/>
            <w:vAlign w:val="center"/>
          </w:tcPr>
          <w:p w14:paraId="5277C7A8">
            <w:pPr>
              <w:spacing w:line="360" w:lineRule="exact"/>
              <w:jc w:val="center"/>
              <w:rPr>
                <w:rFonts w:ascii="宋体" w:hAnsi="宋体" w:eastAsia="宋体" w:cs="Times New Roman"/>
                <w:color w:val="auto"/>
              </w:rPr>
            </w:pPr>
            <w:r>
              <w:rPr>
                <w:rFonts w:ascii="宋体" w:hAnsi="宋体" w:eastAsia="宋体" w:cs="Times New Roman"/>
                <w:color w:val="auto"/>
              </w:rPr>
              <w:t xml:space="preserve">25.676 </w:t>
            </w:r>
          </w:p>
        </w:tc>
        <w:tc>
          <w:tcPr>
            <w:tcW w:w="1590" w:type="dxa"/>
            <w:vMerge w:val="continue"/>
            <w:vAlign w:val="center"/>
          </w:tcPr>
          <w:p w14:paraId="58334D4C">
            <w:pPr>
              <w:spacing w:line="360" w:lineRule="exact"/>
              <w:jc w:val="center"/>
              <w:rPr>
                <w:rFonts w:ascii="宋体" w:hAnsi="宋体" w:eastAsia="宋体" w:cs="Times New Roman"/>
                <w:color w:val="auto"/>
              </w:rPr>
            </w:pPr>
          </w:p>
        </w:tc>
        <w:tc>
          <w:tcPr>
            <w:tcW w:w="1022" w:type="dxa"/>
            <w:vMerge w:val="continue"/>
            <w:vAlign w:val="center"/>
          </w:tcPr>
          <w:p w14:paraId="43295193">
            <w:pPr>
              <w:spacing w:line="360" w:lineRule="exact"/>
              <w:jc w:val="center"/>
              <w:rPr>
                <w:rFonts w:ascii="宋体" w:hAnsi="宋体" w:eastAsia="宋体" w:cs="Times New Roman"/>
                <w:color w:val="auto"/>
              </w:rPr>
            </w:pPr>
          </w:p>
        </w:tc>
        <w:tc>
          <w:tcPr>
            <w:tcW w:w="839" w:type="dxa"/>
            <w:vMerge w:val="continue"/>
            <w:vAlign w:val="center"/>
          </w:tcPr>
          <w:p w14:paraId="232B3CA3">
            <w:pPr>
              <w:spacing w:line="360" w:lineRule="exact"/>
              <w:jc w:val="center"/>
              <w:rPr>
                <w:rFonts w:ascii="宋体" w:hAnsi="宋体" w:eastAsia="宋体" w:cs="Times New Roman"/>
                <w:color w:val="auto"/>
              </w:rPr>
            </w:pPr>
          </w:p>
        </w:tc>
      </w:tr>
      <w:tr w14:paraId="7F1DA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7378D3F">
            <w:pPr>
              <w:spacing w:line="360" w:lineRule="exact"/>
              <w:jc w:val="center"/>
              <w:rPr>
                <w:rFonts w:ascii="宋体" w:hAnsi="宋体" w:eastAsia="宋体" w:cs="Times New Roman"/>
                <w:color w:val="auto"/>
              </w:rPr>
            </w:pPr>
          </w:p>
        </w:tc>
        <w:tc>
          <w:tcPr>
            <w:tcW w:w="1206" w:type="dxa"/>
            <w:vAlign w:val="center"/>
          </w:tcPr>
          <w:p w14:paraId="39329329">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64446D99">
            <w:pPr>
              <w:spacing w:line="360" w:lineRule="exact"/>
              <w:jc w:val="center"/>
              <w:rPr>
                <w:rFonts w:ascii="宋体" w:hAnsi="宋体" w:eastAsia="宋体" w:cs="Times New Roman"/>
                <w:color w:val="auto"/>
              </w:rPr>
            </w:pPr>
            <w:r>
              <w:rPr>
                <w:rFonts w:ascii="宋体" w:hAnsi="宋体" w:eastAsia="宋体" w:cs="Times New Roman"/>
                <w:color w:val="auto"/>
              </w:rPr>
              <w:t xml:space="preserve">-0.813 </w:t>
            </w:r>
          </w:p>
        </w:tc>
        <w:tc>
          <w:tcPr>
            <w:tcW w:w="1447" w:type="dxa"/>
            <w:vAlign w:val="center"/>
          </w:tcPr>
          <w:p w14:paraId="302D8164">
            <w:pPr>
              <w:spacing w:line="360" w:lineRule="exact"/>
              <w:jc w:val="center"/>
              <w:rPr>
                <w:rFonts w:ascii="宋体" w:hAnsi="宋体" w:eastAsia="宋体" w:cs="Times New Roman"/>
                <w:color w:val="auto"/>
              </w:rPr>
            </w:pPr>
            <w:r>
              <w:rPr>
                <w:rFonts w:ascii="宋体" w:hAnsi="宋体" w:eastAsia="宋体" w:cs="Times New Roman"/>
                <w:color w:val="auto"/>
              </w:rPr>
              <w:t xml:space="preserve">12.810 </w:t>
            </w:r>
          </w:p>
        </w:tc>
        <w:tc>
          <w:tcPr>
            <w:tcW w:w="1590" w:type="dxa"/>
            <w:vMerge w:val="continue"/>
            <w:vAlign w:val="center"/>
          </w:tcPr>
          <w:p w14:paraId="5CC9A800">
            <w:pPr>
              <w:spacing w:line="360" w:lineRule="exact"/>
              <w:jc w:val="center"/>
              <w:rPr>
                <w:rFonts w:ascii="宋体" w:hAnsi="宋体" w:eastAsia="宋体" w:cs="Times New Roman"/>
                <w:color w:val="auto"/>
              </w:rPr>
            </w:pPr>
          </w:p>
        </w:tc>
        <w:tc>
          <w:tcPr>
            <w:tcW w:w="1022" w:type="dxa"/>
            <w:vMerge w:val="continue"/>
            <w:vAlign w:val="center"/>
          </w:tcPr>
          <w:p w14:paraId="3F3EFD90">
            <w:pPr>
              <w:spacing w:line="360" w:lineRule="exact"/>
              <w:jc w:val="center"/>
              <w:rPr>
                <w:rFonts w:ascii="宋体" w:hAnsi="宋体" w:eastAsia="宋体" w:cs="Times New Roman"/>
                <w:color w:val="auto"/>
              </w:rPr>
            </w:pPr>
          </w:p>
        </w:tc>
        <w:tc>
          <w:tcPr>
            <w:tcW w:w="839" w:type="dxa"/>
            <w:vMerge w:val="continue"/>
            <w:vAlign w:val="center"/>
          </w:tcPr>
          <w:p w14:paraId="6E9256ED">
            <w:pPr>
              <w:spacing w:line="360" w:lineRule="exact"/>
              <w:jc w:val="center"/>
              <w:rPr>
                <w:rFonts w:ascii="宋体" w:hAnsi="宋体" w:eastAsia="宋体" w:cs="Times New Roman"/>
                <w:color w:val="auto"/>
              </w:rPr>
            </w:pPr>
          </w:p>
        </w:tc>
      </w:tr>
      <w:tr w14:paraId="1E9E9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2F5887E6">
            <w:pPr>
              <w:jc w:val="center"/>
              <w:textAlignment w:val="center"/>
              <w:rPr>
                <w:rFonts w:ascii="宋体" w:hAnsi="宋体" w:eastAsia="宋体" w:cs="Times New Roman"/>
                <w:color w:val="auto"/>
              </w:rPr>
            </w:pPr>
            <w:r>
              <w:rPr>
                <w:rFonts w:ascii="宋体" w:hAnsi="宋体" w:eastAsia="宋体" w:cs="Times New Roman"/>
                <w:color w:val="auto"/>
                <w:lang w:bidi="ar"/>
              </w:rPr>
              <w:t>赵家围子（李家、潜水）</w:t>
            </w:r>
          </w:p>
        </w:tc>
        <w:tc>
          <w:tcPr>
            <w:tcW w:w="1206" w:type="dxa"/>
            <w:vAlign w:val="center"/>
          </w:tcPr>
          <w:p w14:paraId="726256B2">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41A4EA31">
            <w:pPr>
              <w:spacing w:line="360" w:lineRule="exact"/>
              <w:jc w:val="center"/>
              <w:rPr>
                <w:rFonts w:ascii="宋体" w:hAnsi="宋体" w:eastAsia="宋体" w:cs="Times New Roman"/>
                <w:color w:val="auto"/>
              </w:rPr>
            </w:pPr>
            <w:r>
              <w:rPr>
                <w:rFonts w:ascii="宋体" w:hAnsi="宋体" w:eastAsia="宋体" w:cs="Times New Roman"/>
                <w:color w:val="auto"/>
              </w:rPr>
              <w:t xml:space="preserve">0.072 </w:t>
            </w:r>
          </w:p>
        </w:tc>
        <w:tc>
          <w:tcPr>
            <w:tcW w:w="1447" w:type="dxa"/>
            <w:vAlign w:val="center"/>
          </w:tcPr>
          <w:p w14:paraId="6EB939A2">
            <w:pPr>
              <w:spacing w:line="360" w:lineRule="exact"/>
              <w:jc w:val="center"/>
              <w:rPr>
                <w:rFonts w:ascii="宋体" w:hAnsi="宋体" w:eastAsia="宋体" w:cs="Times New Roman"/>
                <w:color w:val="auto"/>
              </w:rPr>
            </w:pPr>
            <w:r>
              <w:rPr>
                <w:rFonts w:ascii="宋体" w:hAnsi="宋体" w:eastAsia="宋体" w:cs="Times New Roman"/>
                <w:color w:val="auto"/>
              </w:rPr>
              <w:t xml:space="preserve">1.250 </w:t>
            </w:r>
          </w:p>
        </w:tc>
        <w:tc>
          <w:tcPr>
            <w:tcW w:w="1590" w:type="dxa"/>
            <w:vMerge w:val="restart"/>
            <w:vAlign w:val="center"/>
          </w:tcPr>
          <w:p w14:paraId="52E4E1E7">
            <w:pPr>
              <w:spacing w:line="360" w:lineRule="exact"/>
              <w:jc w:val="center"/>
              <w:rPr>
                <w:rFonts w:ascii="宋体" w:hAnsi="宋体" w:eastAsia="宋体" w:cs="Times New Roman"/>
                <w:color w:val="auto"/>
              </w:rPr>
            </w:pPr>
            <w:r>
              <w:rPr>
                <w:rFonts w:ascii="宋体" w:hAnsi="宋体" w:eastAsia="宋体" w:cs="Times New Roman"/>
                <w:color w:val="auto"/>
              </w:rPr>
              <w:t xml:space="preserve">5.763 </w:t>
            </w:r>
          </w:p>
        </w:tc>
        <w:tc>
          <w:tcPr>
            <w:tcW w:w="1022" w:type="dxa"/>
            <w:vMerge w:val="restart"/>
            <w:vAlign w:val="center"/>
          </w:tcPr>
          <w:p w14:paraId="31BB440B">
            <w:pPr>
              <w:spacing w:line="360" w:lineRule="exact"/>
              <w:jc w:val="center"/>
              <w:rPr>
                <w:rFonts w:ascii="宋体" w:hAnsi="宋体" w:eastAsia="宋体" w:cs="Times New Roman"/>
                <w:color w:val="auto"/>
              </w:rPr>
            </w:pPr>
            <w:r>
              <w:rPr>
                <w:rFonts w:ascii="宋体" w:hAnsi="宋体" w:eastAsia="宋体" w:cs="Times New Roman"/>
                <w:color w:val="auto"/>
              </w:rPr>
              <w:t xml:space="preserve">2.93 </w:t>
            </w:r>
          </w:p>
        </w:tc>
        <w:tc>
          <w:tcPr>
            <w:tcW w:w="839" w:type="dxa"/>
            <w:vMerge w:val="restart"/>
            <w:vAlign w:val="center"/>
          </w:tcPr>
          <w:p w14:paraId="782E2DC3">
            <w:pPr>
              <w:spacing w:line="360" w:lineRule="exact"/>
              <w:jc w:val="center"/>
              <w:rPr>
                <w:rFonts w:ascii="宋体" w:hAnsi="宋体" w:eastAsia="宋体" w:cs="Times New Roman"/>
                <w:color w:val="auto"/>
              </w:rPr>
            </w:pPr>
            <w:r>
              <w:rPr>
                <w:rFonts w:ascii="宋体" w:hAnsi="宋体" w:eastAsia="宋体" w:cs="Times New Roman"/>
                <w:color w:val="auto"/>
              </w:rPr>
              <w:t xml:space="preserve">0.44 </w:t>
            </w:r>
          </w:p>
        </w:tc>
      </w:tr>
      <w:tr w14:paraId="054E6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4C2BCD4">
            <w:pPr>
              <w:spacing w:line="360" w:lineRule="exact"/>
              <w:jc w:val="center"/>
              <w:rPr>
                <w:rFonts w:ascii="宋体" w:hAnsi="宋体" w:eastAsia="宋体" w:cs="Times New Roman"/>
                <w:color w:val="auto"/>
              </w:rPr>
            </w:pPr>
          </w:p>
        </w:tc>
        <w:tc>
          <w:tcPr>
            <w:tcW w:w="1206" w:type="dxa"/>
            <w:vAlign w:val="center"/>
          </w:tcPr>
          <w:p w14:paraId="7DD2EE39">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2009FF6A">
            <w:pPr>
              <w:spacing w:line="360" w:lineRule="exact"/>
              <w:jc w:val="center"/>
              <w:rPr>
                <w:rFonts w:ascii="宋体" w:hAnsi="宋体" w:eastAsia="宋体" w:cs="Times New Roman"/>
                <w:color w:val="auto"/>
              </w:rPr>
            </w:pPr>
            <w:r>
              <w:rPr>
                <w:rFonts w:ascii="宋体" w:hAnsi="宋体" w:eastAsia="宋体" w:cs="Times New Roman"/>
                <w:color w:val="auto"/>
              </w:rPr>
              <w:t xml:space="preserve">2.504 </w:t>
            </w:r>
          </w:p>
        </w:tc>
        <w:tc>
          <w:tcPr>
            <w:tcW w:w="1447" w:type="dxa"/>
            <w:vAlign w:val="center"/>
          </w:tcPr>
          <w:p w14:paraId="3A983EFA">
            <w:pPr>
              <w:spacing w:line="360" w:lineRule="exact"/>
              <w:jc w:val="center"/>
              <w:rPr>
                <w:rFonts w:ascii="宋体" w:hAnsi="宋体" w:eastAsia="宋体" w:cs="Times New Roman"/>
                <w:color w:val="auto"/>
              </w:rPr>
            </w:pPr>
            <w:r>
              <w:rPr>
                <w:rFonts w:ascii="宋体" w:hAnsi="宋体" w:eastAsia="宋体" w:cs="Times New Roman"/>
                <w:color w:val="auto"/>
              </w:rPr>
              <w:t xml:space="preserve">43.455 </w:t>
            </w:r>
          </w:p>
        </w:tc>
        <w:tc>
          <w:tcPr>
            <w:tcW w:w="1590" w:type="dxa"/>
            <w:vMerge w:val="continue"/>
            <w:vAlign w:val="center"/>
          </w:tcPr>
          <w:p w14:paraId="7DB4E2DF">
            <w:pPr>
              <w:spacing w:line="360" w:lineRule="exact"/>
              <w:jc w:val="center"/>
              <w:rPr>
                <w:rFonts w:ascii="宋体" w:hAnsi="宋体" w:eastAsia="宋体" w:cs="Times New Roman"/>
                <w:color w:val="auto"/>
              </w:rPr>
            </w:pPr>
          </w:p>
        </w:tc>
        <w:tc>
          <w:tcPr>
            <w:tcW w:w="1022" w:type="dxa"/>
            <w:vMerge w:val="continue"/>
            <w:vAlign w:val="center"/>
          </w:tcPr>
          <w:p w14:paraId="1F706DFD">
            <w:pPr>
              <w:spacing w:line="360" w:lineRule="exact"/>
              <w:jc w:val="center"/>
              <w:rPr>
                <w:rFonts w:ascii="宋体" w:hAnsi="宋体" w:eastAsia="宋体" w:cs="Times New Roman"/>
                <w:color w:val="auto"/>
              </w:rPr>
            </w:pPr>
          </w:p>
        </w:tc>
        <w:tc>
          <w:tcPr>
            <w:tcW w:w="839" w:type="dxa"/>
            <w:vMerge w:val="continue"/>
            <w:vAlign w:val="center"/>
          </w:tcPr>
          <w:p w14:paraId="373848D2">
            <w:pPr>
              <w:spacing w:line="360" w:lineRule="exact"/>
              <w:jc w:val="center"/>
              <w:rPr>
                <w:rFonts w:ascii="宋体" w:hAnsi="宋体" w:eastAsia="宋体" w:cs="Times New Roman"/>
                <w:color w:val="auto"/>
              </w:rPr>
            </w:pPr>
          </w:p>
        </w:tc>
      </w:tr>
      <w:tr w14:paraId="1DC6B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BA518B6">
            <w:pPr>
              <w:spacing w:line="360" w:lineRule="exact"/>
              <w:jc w:val="center"/>
              <w:rPr>
                <w:rFonts w:ascii="宋体" w:hAnsi="宋体" w:eastAsia="宋体" w:cs="Times New Roman"/>
                <w:color w:val="auto"/>
              </w:rPr>
            </w:pPr>
          </w:p>
        </w:tc>
        <w:tc>
          <w:tcPr>
            <w:tcW w:w="1206" w:type="dxa"/>
            <w:vAlign w:val="center"/>
          </w:tcPr>
          <w:p w14:paraId="77B1B569">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77897F4B">
            <w:pPr>
              <w:spacing w:line="360" w:lineRule="exact"/>
              <w:jc w:val="center"/>
              <w:rPr>
                <w:rFonts w:ascii="宋体" w:hAnsi="宋体" w:eastAsia="宋体" w:cs="Times New Roman"/>
                <w:color w:val="auto"/>
              </w:rPr>
            </w:pPr>
            <w:r>
              <w:rPr>
                <w:rFonts w:ascii="宋体" w:hAnsi="宋体" w:eastAsia="宋体" w:cs="Times New Roman"/>
                <w:color w:val="auto"/>
              </w:rPr>
              <w:t xml:space="preserve">2.295 </w:t>
            </w:r>
          </w:p>
        </w:tc>
        <w:tc>
          <w:tcPr>
            <w:tcW w:w="1447" w:type="dxa"/>
            <w:vAlign w:val="center"/>
          </w:tcPr>
          <w:p w14:paraId="70E54DB7">
            <w:pPr>
              <w:spacing w:line="360" w:lineRule="exact"/>
              <w:jc w:val="center"/>
              <w:rPr>
                <w:rFonts w:ascii="宋体" w:hAnsi="宋体" w:eastAsia="宋体" w:cs="Times New Roman"/>
                <w:color w:val="auto"/>
              </w:rPr>
            </w:pPr>
            <w:r>
              <w:rPr>
                <w:rFonts w:ascii="宋体" w:hAnsi="宋体" w:eastAsia="宋体" w:cs="Times New Roman"/>
                <w:color w:val="auto"/>
              </w:rPr>
              <w:t xml:space="preserve">39.823 </w:t>
            </w:r>
          </w:p>
        </w:tc>
        <w:tc>
          <w:tcPr>
            <w:tcW w:w="1590" w:type="dxa"/>
            <w:vMerge w:val="continue"/>
            <w:vAlign w:val="center"/>
          </w:tcPr>
          <w:p w14:paraId="27E34DDB">
            <w:pPr>
              <w:spacing w:line="360" w:lineRule="exact"/>
              <w:jc w:val="center"/>
              <w:rPr>
                <w:rFonts w:ascii="宋体" w:hAnsi="宋体" w:eastAsia="宋体" w:cs="Times New Roman"/>
                <w:color w:val="auto"/>
              </w:rPr>
            </w:pPr>
          </w:p>
        </w:tc>
        <w:tc>
          <w:tcPr>
            <w:tcW w:w="1022" w:type="dxa"/>
            <w:vMerge w:val="continue"/>
            <w:vAlign w:val="center"/>
          </w:tcPr>
          <w:p w14:paraId="562EA572">
            <w:pPr>
              <w:spacing w:line="360" w:lineRule="exact"/>
              <w:jc w:val="center"/>
              <w:rPr>
                <w:rFonts w:ascii="宋体" w:hAnsi="宋体" w:eastAsia="宋体" w:cs="Times New Roman"/>
                <w:color w:val="auto"/>
              </w:rPr>
            </w:pPr>
          </w:p>
        </w:tc>
        <w:tc>
          <w:tcPr>
            <w:tcW w:w="839" w:type="dxa"/>
            <w:vMerge w:val="continue"/>
            <w:vAlign w:val="center"/>
          </w:tcPr>
          <w:p w14:paraId="568DECEA">
            <w:pPr>
              <w:spacing w:line="360" w:lineRule="exact"/>
              <w:jc w:val="center"/>
              <w:rPr>
                <w:rFonts w:ascii="宋体" w:hAnsi="宋体" w:eastAsia="宋体" w:cs="Times New Roman"/>
                <w:color w:val="auto"/>
              </w:rPr>
            </w:pPr>
          </w:p>
        </w:tc>
      </w:tr>
      <w:tr w14:paraId="2B06E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BC4846E">
            <w:pPr>
              <w:spacing w:line="360" w:lineRule="exact"/>
              <w:jc w:val="center"/>
              <w:rPr>
                <w:rFonts w:ascii="宋体" w:hAnsi="宋体" w:eastAsia="宋体" w:cs="Times New Roman"/>
                <w:color w:val="auto"/>
              </w:rPr>
            </w:pPr>
          </w:p>
        </w:tc>
        <w:tc>
          <w:tcPr>
            <w:tcW w:w="1206" w:type="dxa"/>
            <w:vAlign w:val="center"/>
          </w:tcPr>
          <w:p w14:paraId="6D195723">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0030B834">
            <w:pPr>
              <w:spacing w:line="360" w:lineRule="exact"/>
              <w:jc w:val="center"/>
              <w:rPr>
                <w:rFonts w:ascii="宋体" w:hAnsi="宋体" w:eastAsia="宋体" w:cs="Times New Roman"/>
                <w:color w:val="auto"/>
              </w:rPr>
            </w:pPr>
            <w:r>
              <w:rPr>
                <w:rFonts w:ascii="宋体" w:hAnsi="宋体" w:eastAsia="宋体" w:cs="Times New Roman"/>
                <w:color w:val="auto"/>
              </w:rPr>
              <w:t xml:space="preserve">0.892 </w:t>
            </w:r>
          </w:p>
        </w:tc>
        <w:tc>
          <w:tcPr>
            <w:tcW w:w="1447" w:type="dxa"/>
            <w:vAlign w:val="center"/>
          </w:tcPr>
          <w:p w14:paraId="68175850">
            <w:pPr>
              <w:spacing w:line="360" w:lineRule="exact"/>
              <w:jc w:val="center"/>
              <w:rPr>
                <w:rFonts w:ascii="宋体" w:hAnsi="宋体" w:eastAsia="宋体" w:cs="Times New Roman"/>
                <w:color w:val="auto"/>
              </w:rPr>
            </w:pPr>
            <w:r>
              <w:rPr>
                <w:rFonts w:ascii="宋体" w:hAnsi="宋体" w:eastAsia="宋体" w:cs="Times New Roman"/>
                <w:color w:val="auto"/>
              </w:rPr>
              <w:t xml:space="preserve">15.472 </w:t>
            </w:r>
          </w:p>
        </w:tc>
        <w:tc>
          <w:tcPr>
            <w:tcW w:w="1590" w:type="dxa"/>
            <w:vMerge w:val="continue"/>
            <w:vAlign w:val="center"/>
          </w:tcPr>
          <w:p w14:paraId="62A3E275">
            <w:pPr>
              <w:spacing w:line="360" w:lineRule="exact"/>
              <w:jc w:val="center"/>
              <w:rPr>
                <w:rFonts w:ascii="宋体" w:hAnsi="宋体" w:eastAsia="宋体" w:cs="Times New Roman"/>
                <w:color w:val="auto"/>
              </w:rPr>
            </w:pPr>
          </w:p>
        </w:tc>
        <w:tc>
          <w:tcPr>
            <w:tcW w:w="1022" w:type="dxa"/>
            <w:vMerge w:val="continue"/>
            <w:vAlign w:val="center"/>
          </w:tcPr>
          <w:p w14:paraId="44339239">
            <w:pPr>
              <w:spacing w:line="360" w:lineRule="exact"/>
              <w:jc w:val="center"/>
              <w:rPr>
                <w:rFonts w:ascii="宋体" w:hAnsi="宋体" w:eastAsia="宋体" w:cs="Times New Roman"/>
                <w:color w:val="auto"/>
              </w:rPr>
            </w:pPr>
          </w:p>
        </w:tc>
        <w:tc>
          <w:tcPr>
            <w:tcW w:w="839" w:type="dxa"/>
            <w:vMerge w:val="continue"/>
            <w:vAlign w:val="center"/>
          </w:tcPr>
          <w:p w14:paraId="097D67E2">
            <w:pPr>
              <w:spacing w:line="360" w:lineRule="exact"/>
              <w:jc w:val="center"/>
              <w:rPr>
                <w:rFonts w:ascii="宋体" w:hAnsi="宋体" w:eastAsia="宋体" w:cs="Times New Roman"/>
                <w:color w:val="auto"/>
              </w:rPr>
            </w:pPr>
          </w:p>
        </w:tc>
      </w:tr>
      <w:tr w14:paraId="279A5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3E6E487">
            <w:pPr>
              <w:spacing w:line="360" w:lineRule="exact"/>
              <w:jc w:val="center"/>
              <w:rPr>
                <w:rFonts w:ascii="宋体" w:hAnsi="宋体" w:eastAsia="宋体" w:cs="Times New Roman"/>
                <w:color w:val="auto"/>
              </w:rPr>
            </w:pPr>
          </w:p>
        </w:tc>
        <w:tc>
          <w:tcPr>
            <w:tcW w:w="1206" w:type="dxa"/>
            <w:vAlign w:val="center"/>
          </w:tcPr>
          <w:p w14:paraId="0BD9E24B">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40CB0328">
            <w:pPr>
              <w:spacing w:line="360" w:lineRule="exact"/>
              <w:jc w:val="center"/>
              <w:rPr>
                <w:rFonts w:ascii="宋体" w:hAnsi="宋体" w:eastAsia="宋体" w:cs="Times New Roman"/>
                <w:color w:val="auto"/>
              </w:rPr>
            </w:pPr>
            <w:r>
              <w:rPr>
                <w:rFonts w:ascii="宋体" w:hAnsi="宋体" w:eastAsia="宋体" w:cs="Times New Roman"/>
                <w:color w:val="auto"/>
              </w:rPr>
              <w:t xml:space="preserve">-3.836 </w:t>
            </w:r>
          </w:p>
        </w:tc>
        <w:tc>
          <w:tcPr>
            <w:tcW w:w="1447" w:type="dxa"/>
            <w:vAlign w:val="center"/>
          </w:tcPr>
          <w:p w14:paraId="4744D9F1">
            <w:pPr>
              <w:spacing w:line="360" w:lineRule="exact"/>
              <w:jc w:val="center"/>
              <w:rPr>
                <w:rFonts w:ascii="宋体" w:hAnsi="宋体" w:eastAsia="宋体" w:cs="Times New Roman"/>
                <w:color w:val="auto"/>
              </w:rPr>
            </w:pPr>
            <w:r>
              <w:rPr>
                <w:rFonts w:ascii="宋体" w:hAnsi="宋体" w:eastAsia="宋体" w:cs="Times New Roman"/>
                <w:color w:val="auto"/>
              </w:rPr>
              <w:t xml:space="preserve">62.772 </w:t>
            </w:r>
          </w:p>
        </w:tc>
        <w:tc>
          <w:tcPr>
            <w:tcW w:w="1590" w:type="dxa"/>
            <w:vMerge w:val="restart"/>
            <w:vAlign w:val="center"/>
          </w:tcPr>
          <w:p w14:paraId="3769C62C">
            <w:pPr>
              <w:spacing w:line="360" w:lineRule="exact"/>
              <w:jc w:val="center"/>
              <w:rPr>
                <w:rFonts w:ascii="宋体" w:hAnsi="宋体" w:eastAsia="宋体" w:cs="Times New Roman"/>
                <w:color w:val="auto"/>
              </w:rPr>
            </w:pPr>
            <w:r>
              <w:rPr>
                <w:rFonts w:ascii="宋体" w:hAnsi="宋体" w:eastAsia="宋体" w:cs="Times New Roman"/>
                <w:color w:val="auto"/>
              </w:rPr>
              <w:t xml:space="preserve">6.111 </w:t>
            </w:r>
          </w:p>
        </w:tc>
        <w:tc>
          <w:tcPr>
            <w:tcW w:w="1022" w:type="dxa"/>
            <w:vMerge w:val="continue"/>
            <w:vAlign w:val="center"/>
          </w:tcPr>
          <w:p w14:paraId="6FE454BB">
            <w:pPr>
              <w:spacing w:line="360" w:lineRule="exact"/>
              <w:jc w:val="center"/>
              <w:rPr>
                <w:rFonts w:ascii="宋体" w:hAnsi="宋体" w:eastAsia="宋体" w:cs="Times New Roman"/>
                <w:color w:val="auto"/>
              </w:rPr>
            </w:pPr>
          </w:p>
        </w:tc>
        <w:tc>
          <w:tcPr>
            <w:tcW w:w="839" w:type="dxa"/>
            <w:vMerge w:val="continue"/>
            <w:vAlign w:val="center"/>
          </w:tcPr>
          <w:p w14:paraId="25938677">
            <w:pPr>
              <w:spacing w:line="360" w:lineRule="exact"/>
              <w:jc w:val="center"/>
              <w:rPr>
                <w:rFonts w:ascii="宋体" w:hAnsi="宋体" w:eastAsia="宋体" w:cs="Times New Roman"/>
                <w:color w:val="auto"/>
              </w:rPr>
            </w:pPr>
          </w:p>
        </w:tc>
      </w:tr>
      <w:tr w14:paraId="26230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7505473">
            <w:pPr>
              <w:spacing w:line="360" w:lineRule="exact"/>
              <w:jc w:val="center"/>
              <w:rPr>
                <w:rFonts w:ascii="宋体" w:hAnsi="宋体" w:eastAsia="宋体" w:cs="Times New Roman"/>
                <w:color w:val="auto"/>
              </w:rPr>
            </w:pPr>
          </w:p>
        </w:tc>
        <w:tc>
          <w:tcPr>
            <w:tcW w:w="1206" w:type="dxa"/>
            <w:vAlign w:val="center"/>
          </w:tcPr>
          <w:p w14:paraId="0FC4C022">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0A0B919A">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78DD6BBA">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617AB3E8">
            <w:pPr>
              <w:spacing w:line="360" w:lineRule="exact"/>
              <w:jc w:val="center"/>
              <w:rPr>
                <w:rFonts w:ascii="宋体" w:hAnsi="宋体" w:eastAsia="宋体" w:cs="Times New Roman"/>
                <w:color w:val="auto"/>
              </w:rPr>
            </w:pPr>
          </w:p>
        </w:tc>
        <w:tc>
          <w:tcPr>
            <w:tcW w:w="1022" w:type="dxa"/>
            <w:vMerge w:val="continue"/>
            <w:vAlign w:val="center"/>
          </w:tcPr>
          <w:p w14:paraId="3B54B681">
            <w:pPr>
              <w:spacing w:line="360" w:lineRule="exact"/>
              <w:jc w:val="center"/>
              <w:rPr>
                <w:rFonts w:ascii="宋体" w:hAnsi="宋体" w:eastAsia="宋体" w:cs="Times New Roman"/>
                <w:color w:val="auto"/>
              </w:rPr>
            </w:pPr>
          </w:p>
        </w:tc>
        <w:tc>
          <w:tcPr>
            <w:tcW w:w="839" w:type="dxa"/>
            <w:vMerge w:val="continue"/>
            <w:vAlign w:val="center"/>
          </w:tcPr>
          <w:p w14:paraId="3BEA49EE">
            <w:pPr>
              <w:spacing w:line="360" w:lineRule="exact"/>
              <w:jc w:val="center"/>
              <w:rPr>
                <w:rFonts w:ascii="宋体" w:hAnsi="宋体" w:eastAsia="宋体" w:cs="Times New Roman"/>
                <w:color w:val="auto"/>
              </w:rPr>
            </w:pPr>
          </w:p>
        </w:tc>
      </w:tr>
      <w:tr w14:paraId="45081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98A5C40">
            <w:pPr>
              <w:spacing w:line="360" w:lineRule="exact"/>
              <w:jc w:val="center"/>
              <w:rPr>
                <w:rFonts w:ascii="宋体" w:hAnsi="宋体" w:eastAsia="宋体" w:cs="Times New Roman"/>
                <w:color w:val="auto"/>
              </w:rPr>
            </w:pPr>
          </w:p>
        </w:tc>
        <w:tc>
          <w:tcPr>
            <w:tcW w:w="1206" w:type="dxa"/>
            <w:vAlign w:val="center"/>
          </w:tcPr>
          <w:p w14:paraId="3C01C39D">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2ABA3900">
            <w:pPr>
              <w:spacing w:line="360" w:lineRule="exact"/>
              <w:jc w:val="center"/>
              <w:rPr>
                <w:rFonts w:ascii="宋体" w:hAnsi="宋体" w:eastAsia="宋体" w:cs="Times New Roman"/>
                <w:color w:val="auto"/>
              </w:rPr>
            </w:pPr>
            <w:r>
              <w:rPr>
                <w:rFonts w:ascii="宋体" w:hAnsi="宋体" w:eastAsia="宋体" w:cs="Times New Roman"/>
                <w:color w:val="auto"/>
              </w:rPr>
              <w:t xml:space="preserve">-1.400 </w:t>
            </w:r>
          </w:p>
        </w:tc>
        <w:tc>
          <w:tcPr>
            <w:tcW w:w="1447" w:type="dxa"/>
            <w:vAlign w:val="center"/>
          </w:tcPr>
          <w:p w14:paraId="45297C1B">
            <w:pPr>
              <w:spacing w:line="360" w:lineRule="exact"/>
              <w:jc w:val="center"/>
              <w:rPr>
                <w:rFonts w:ascii="宋体" w:hAnsi="宋体" w:eastAsia="宋体" w:cs="Times New Roman"/>
                <w:color w:val="auto"/>
              </w:rPr>
            </w:pPr>
            <w:r>
              <w:rPr>
                <w:rFonts w:ascii="宋体" w:hAnsi="宋体" w:eastAsia="宋体" w:cs="Times New Roman"/>
                <w:color w:val="auto"/>
              </w:rPr>
              <w:t xml:space="preserve">22.909 </w:t>
            </w:r>
          </w:p>
        </w:tc>
        <w:tc>
          <w:tcPr>
            <w:tcW w:w="1590" w:type="dxa"/>
            <w:vMerge w:val="continue"/>
            <w:vAlign w:val="center"/>
          </w:tcPr>
          <w:p w14:paraId="638B001B">
            <w:pPr>
              <w:spacing w:line="360" w:lineRule="exact"/>
              <w:jc w:val="center"/>
              <w:rPr>
                <w:rFonts w:ascii="宋体" w:hAnsi="宋体" w:eastAsia="宋体" w:cs="Times New Roman"/>
                <w:color w:val="auto"/>
              </w:rPr>
            </w:pPr>
          </w:p>
        </w:tc>
        <w:tc>
          <w:tcPr>
            <w:tcW w:w="1022" w:type="dxa"/>
            <w:vMerge w:val="continue"/>
            <w:vAlign w:val="center"/>
          </w:tcPr>
          <w:p w14:paraId="66900604">
            <w:pPr>
              <w:spacing w:line="360" w:lineRule="exact"/>
              <w:jc w:val="center"/>
              <w:rPr>
                <w:rFonts w:ascii="宋体" w:hAnsi="宋体" w:eastAsia="宋体" w:cs="Times New Roman"/>
                <w:color w:val="auto"/>
              </w:rPr>
            </w:pPr>
          </w:p>
        </w:tc>
        <w:tc>
          <w:tcPr>
            <w:tcW w:w="839" w:type="dxa"/>
            <w:vMerge w:val="continue"/>
            <w:vAlign w:val="center"/>
          </w:tcPr>
          <w:p w14:paraId="3E43AB1C">
            <w:pPr>
              <w:spacing w:line="360" w:lineRule="exact"/>
              <w:jc w:val="center"/>
              <w:rPr>
                <w:rFonts w:ascii="宋体" w:hAnsi="宋体" w:eastAsia="宋体" w:cs="Times New Roman"/>
                <w:color w:val="auto"/>
              </w:rPr>
            </w:pPr>
          </w:p>
        </w:tc>
      </w:tr>
      <w:tr w14:paraId="2FDB4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2FFBF70">
            <w:pPr>
              <w:spacing w:line="360" w:lineRule="exact"/>
              <w:jc w:val="center"/>
              <w:rPr>
                <w:rFonts w:ascii="宋体" w:hAnsi="宋体" w:eastAsia="宋体" w:cs="Times New Roman"/>
                <w:color w:val="auto"/>
              </w:rPr>
            </w:pPr>
          </w:p>
        </w:tc>
        <w:tc>
          <w:tcPr>
            <w:tcW w:w="1206" w:type="dxa"/>
            <w:vAlign w:val="center"/>
          </w:tcPr>
          <w:p w14:paraId="086004A2">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669E5F44">
            <w:pPr>
              <w:spacing w:line="360" w:lineRule="exact"/>
              <w:jc w:val="center"/>
              <w:rPr>
                <w:rFonts w:ascii="宋体" w:hAnsi="宋体" w:eastAsia="宋体" w:cs="Times New Roman"/>
                <w:color w:val="auto"/>
              </w:rPr>
            </w:pPr>
            <w:r>
              <w:rPr>
                <w:rFonts w:ascii="宋体" w:hAnsi="宋体" w:eastAsia="宋体" w:cs="Times New Roman"/>
                <w:color w:val="auto"/>
              </w:rPr>
              <w:t xml:space="preserve">-0.875 </w:t>
            </w:r>
          </w:p>
        </w:tc>
        <w:tc>
          <w:tcPr>
            <w:tcW w:w="1447" w:type="dxa"/>
            <w:vAlign w:val="center"/>
          </w:tcPr>
          <w:p w14:paraId="64B9982E">
            <w:pPr>
              <w:spacing w:line="360" w:lineRule="exact"/>
              <w:jc w:val="center"/>
              <w:rPr>
                <w:rFonts w:ascii="宋体" w:hAnsi="宋体" w:eastAsia="宋体" w:cs="Times New Roman"/>
                <w:color w:val="auto"/>
              </w:rPr>
            </w:pPr>
            <w:r>
              <w:rPr>
                <w:rFonts w:ascii="宋体" w:hAnsi="宋体" w:eastAsia="宋体" w:cs="Times New Roman"/>
                <w:color w:val="auto"/>
              </w:rPr>
              <w:t xml:space="preserve">14.318 </w:t>
            </w:r>
          </w:p>
        </w:tc>
        <w:tc>
          <w:tcPr>
            <w:tcW w:w="1590" w:type="dxa"/>
            <w:vMerge w:val="continue"/>
            <w:vAlign w:val="center"/>
          </w:tcPr>
          <w:p w14:paraId="3F100CCE">
            <w:pPr>
              <w:spacing w:line="360" w:lineRule="exact"/>
              <w:jc w:val="center"/>
              <w:rPr>
                <w:rFonts w:ascii="宋体" w:hAnsi="宋体" w:eastAsia="宋体" w:cs="Times New Roman"/>
                <w:color w:val="auto"/>
              </w:rPr>
            </w:pPr>
          </w:p>
        </w:tc>
        <w:tc>
          <w:tcPr>
            <w:tcW w:w="1022" w:type="dxa"/>
            <w:vMerge w:val="continue"/>
            <w:vAlign w:val="center"/>
          </w:tcPr>
          <w:p w14:paraId="65C80A7C">
            <w:pPr>
              <w:spacing w:line="360" w:lineRule="exact"/>
              <w:jc w:val="center"/>
              <w:rPr>
                <w:rFonts w:ascii="宋体" w:hAnsi="宋体" w:eastAsia="宋体" w:cs="Times New Roman"/>
                <w:color w:val="auto"/>
              </w:rPr>
            </w:pPr>
          </w:p>
        </w:tc>
        <w:tc>
          <w:tcPr>
            <w:tcW w:w="839" w:type="dxa"/>
            <w:vMerge w:val="continue"/>
            <w:vAlign w:val="center"/>
          </w:tcPr>
          <w:p w14:paraId="4647141C">
            <w:pPr>
              <w:spacing w:line="360" w:lineRule="exact"/>
              <w:jc w:val="center"/>
              <w:rPr>
                <w:rFonts w:ascii="宋体" w:hAnsi="宋体" w:eastAsia="宋体" w:cs="Times New Roman"/>
                <w:color w:val="auto"/>
              </w:rPr>
            </w:pPr>
          </w:p>
        </w:tc>
      </w:tr>
      <w:tr w14:paraId="25C4B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09492F68">
            <w:pPr>
              <w:jc w:val="center"/>
              <w:textAlignment w:val="center"/>
              <w:rPr>
                <w:rFonts w:ascii="宋体" w:hAnsi="宋体" w:eastAsia="宋体" w:cs="Times New Roman"/>
                <w:color w:val="auto"/>
              </w:rPr>
            </w:pPr>
            <w:r>
              <w:rPr>
                <w:rFonts w:ascii="宋体" w:hAnsi="宋体" w:eastAsia="宋体" w:cs="Times New Roman"/>
                <w:color w:val="auto"/>
                <w:lang w:bidi="ar"/>
              </w:rPr>
              <w:t>腰欧力马屯(王家、潜水)</w:t>
            </w:r>
          </w:p>
        </w:tc>
        <w:tc>
          <w:tcPr>
            <w:tcW w:w="1206" w:type="dxa"/>
            <w:vAlign w:val="center"/>
          </w:tcPr>
          <w:p w14:paraId="57AC60C0">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0B0899E4">
            <w:pPr>
              <w:spacing w:line="360" w:lineRule="exact"/>
              <w:jc w:val="center"/>
              <w:rPr>
                <w:rFonts w:ascii="宋体" w:hAnsi="宋体" w:eastAsia="宋体" w:cs="Times New Roman"/>
                <w:color w:val="auto"/>
              </w:rPr>
            </w:pPr>
            <w:r>
              <w:rPr>
                <w:rFonts w:ascii="宋体" w:hAnsi="宋体" w:eastAsia="宋体" w:cs="Times New Roman"/>
                <w:color w:val="auto"/>
              </w:rPr>
              <w:t xml:space="preserve">0.078 </w:t>
            </w:r>
          </w:p>
        </w:tc>
        <w:tc>
          <w:tcPr>
            <w:tcW w:w="1447" w:type="dxa"/>
            <w:vAlign w:val="center"/>
          </w:tcPr>
          <w:p w14:paraId="64048822">
            <w:pPr>
              <w:spacing w:line="360" w:lineRule="exact"/>
              <w:jc w:val="center"/>
              <w:rPr>
                <w:rFonts w:ascii="宋体" w:hAnsi="宋体" w:eastAsia="宋体" w:cs="Times New Roman"/>
                <w:color w:val="auto"/>
              </w:rPr>
            </w:pPr>
            <w:r>
              <w:rPr>
                <w:rFonts w:ascii="宋体" w:hAnsi="宋体" w:eastAsia="宋体" w:cs="Times New Roman"/>
                <w:color w:val="auto"/>
              </w:rPr>
              <w:t xml:space="preserve">1.324 </w:t>
            </w:r>
          </w:p>
        </w:tc>
        <w:tc>
          <w:tcPr>
            <w:tcW w:w="1590" w:type="dxa"/>
            <w:vMerge w:val="restart"/>
            <w:vAlign w:val="center"/>
          </w:tcPr>
          <w:p w14:paraId="1CE7650F">
            <w:pPr>
              <w:spacing w:line="360" w:lineRule="exact"/>
              <w:jc w:val="center"/>
              <w:rPr>
                <w:rFonts w:ascii="宋体" w:hAnsi="宋体" w:eastAsia="宋体" w:cs="Times New Roman"/>
                <w:color w:val="auto"/>
              </w:rPr>
            </w:pPr>
            <w:r>
              <w:rPr>
                <w:rFonts w:ascii="宋体" w:hAnsi="宋体" w:eastAsia="宋体" w:cs="Times New Roman"/>
                <w:color w:val="auto"/>
              </w:rPr>
              <w:t xml:space="preserve">5.888 </w:t>
            </w:r>
          </w:p>
        </w:tc>
        <w:tc>
          <w:tcPr>
            <w:tcW w:w="1022" w:type="dxa"/>
            <w:vMerge w:val="restart"/>
            <w:vAlign w:val="center"/>
          </w:tcPr>
          <w:p w14:paraId="741CA8B8">
            <w:pPr>
              <w:spacing w:line="360" w:lineRule="exact"/>
              <w:jc w:val="center"/>
              <w:rPr>
                <w:rFonts w:ascii="宋体" w:hAnsi="宋体" w:eastAsia="宋体" w:cs="Times New Roman"/>
                <w:color w:val="auto"/>
              </w:rPr>
            </w:pPr>
            <w:r>
              <w:rPr>
                <w:rFonts w:ascii="宋体" w:hAnsi="宋体" w:eastAsia="宋体" w:cs="Times New Roman"/>
                <w:color w:val="auto"/>
              </w:rPr>
              <w:t xml:space="preserve">1.99 </w:t>
            </w:r>
          </w:p>
        </w:tc>
        <w:tc>
          <w:tcPr>
            <w:tcW w:w="839" w:type="dxa"/>
            <w:vMerge w:val="restart"/>
            <w:vAlign w:val="center"/>
          </w:tcPr>
          <w:p w14:paraId="0A81847F">
            <w:pPr>
              <w:spacing w:line="360" w:lineRule="exact"/>
              <w:jc w:val="center"/>
              <w:rPr>
                <w:rFonts w:ascii="宋体" w:hAnsi="宋体" w:eastAsia="宋体" w:cs="Times New Roman"/>
                <w:color w:val="auto"/>
              </w:rPr>
            </w:pPr>
            <w:r>
              <w:rPr>
                <w:rFonts w:ascii="宋体" w:hAnsi="宋体" w:eastAsia="宋体" w:cs="Times New Roman"/>
                <w:color w:val="auto"/>
              </w:rPr>
              <w:t xml:space="preserve">0.44 </w:t>
            </w:r>
          </w:p>
        </w:tc>
      </w:tr>
      <w:tr w14:paraId="69476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063E63F4">
            <w:pPr>
              <w:spacing w:line="360" w:lineRule="exact"/>
              <w:jc w:val="center"/>
              <w:rPr>
                <w:rFonts w:ascii="宋体" w:hAnsi="宋体" w:eastAsia="宋体" w:cs="Times New Roman"/>
                <w:color w:val="auto"/>
              </w:rPr>
            </w:pPr>
          </w:p>
        </w:tc>
        <w:tc>
          <w:tcPr>
            <w:tcW w:w="1206" w:type="dxa"/>
            <w:vAlign w:val="center"/>
          </w:tcPr>
          <w:p w14:paraId="228D2996">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1C811DD6">
            <w:pPr>
              <w:spacing w:line="360" w:lineRule="exact"/>
              <w:jc w:val="center"/>
              <w:rPr>
                <w:rFonts w:ascii="宋体" w:hAnsi="宋体" w:eastAsia="宋体" w:cs="Times New Roman"/>
                <w:color w:val="auto"/>
              </w:rPr>
            </w:pPr>
            <w:r>
              <w:rPr>
                <w:rFonts w:ascii="宋体" w:hAnsi="宋体" w:eastAsia="宋体" w:cs="Times New Roman"/>
                <w:color w:val="auto"/>
              </w:rPr>
              <w:t xml:space="preserve">2.700 </w:t>
            </w:r>
          </w:p>
        </w:tc>
        <w:tc>
          <w:tcPr>
            <w:tcW w:w="1447" w:type="dxa"/>
            <w:vAlign w:val="center"/>
          </w:tcPr>
          <w:p w14:paraId="20625304">
            <w:pPr>
              <w:spacing w:line="360" w:lineRule="exact"/>
              <w:jc w:val="center"/>
              <w:rPr>
                <w:rFonts w:ascii="宋体" w:hAnsi="宋体" w:eastAsia="宋体" w:cs="Times New Roman"/>
                <w:color w:val="auto"/>
              </w:rPr>
            </w:pPr>
            <w:r>
              <w:rPr>
                <w:rFonts w:ascii="宋体" w:hAnsi="宋体" w:eastAsia="宋体" w:cs="Times New Roman"/>
                <w:color w:val="auto"/>
              </w:rPr>
              <w:t xml:space="preserve">45.856 </w:t>
            </w:r>
          </w:p>
        </w:tc>
        <w:tc>
          <w:tcPr>
            <w:tcW w:w="1590" w:type="dxa"/>
            <w:vMerge w:val="continue"/>
            <w:vAlign w:val="center"/>
          </w:tcPr>
          <w:p w14:paraId="771783BC">
            <w:pPr>
              <w:spacing w:line="360" w:lineRule="exact"/>
              <w:jc w:val="center"/>
              <w:rPr>
                <w:rFonts w:ascii="宋体" w:hAnsi="宋体" w:eastAsia="宋体" w:cs="Times New Roman"/>
                <w:color w:val="auto"/>
              </w:rPr>
            </w:pPr>
          </w:p>
        </w:tc>
        <w:tc>
          <w:tcPr>
            <w:tcW w:w="1022" w:type="dxa"/>
            <w:vMerge w:val="continue"/>
            <w:vAlign w:val="center"/>
          </w:tcPr>
          <w:p w14:paraId="5C25C7D8">
            <w:pPr>
              <w:spacing w:line="360" w:lineRule="exact"/>
              <w:jc w:val="center"/>
              <w:rPr>
                <w:rFonts w:ascii="宋体" w:hAnsi="宋体" w:eastAsia="宋体" w:cs="Times New Roman"/>
                <w:color w:val="auto"/>
              </w:rPr>
            </w:pPr>
          </w:p>
        </w:tc>
        <w:tc>
          <w:tcPr>
            <w:tcW w:w="839" w:type="dxa"/>
            <w:vMerge w:val="continue"/>
            <w:vAlign w:val="center"/>
          </w:tcPr>
          <w:p w14:paraId="30708FBF">
            <w:pPr>
              <w:spacing w:line="360" w:lineRule="exact"/>
              <w:jc w:val="center"/>
              <w:rPr>
                <w:rFonts w:ascii="宋体" w:hAnsi="宋体" w:eastAsia="宋体" w:cs="Times New Roman"/>
                <w:color w:val="auto"/>
              </w:rPr>
            </w:pPr>
          </w:p>
        </w:tc>
      </w:tr>
      <w:tr w14:paraId="2AFD7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3B6A2C0">
            <w:pPr>
              <w:spacing w:line="360" w:lineRule="exact"/>
              <w:jc w:val="center"/>
              <w:rPr>
                <w:rFonts w:ascii="宋体" w:hAnsi="宋体" w:eastAsia="宋体" w:cs="Times New Roman"/>
                <w:color w:val="auto"/>
              </w:rPr>
            </w:pPr>
          </w:p>
        </w:tc>
        <w:tc>
          <w:tcPr>
            <w:tcW w:w="1206" w:type="dxa"/>
            <w:vAlign w:val="center"/>
          </w:tcPr>
          <w:p w14:paraId="408E85CD">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36AFF299">
            <w:pPr>
              <w:spacing w:line="360" w:lineRule="exact"/>
              <w:jc w:val="center"/>
              <w:rPr>
                <w:rFonts w:ascii="宋体" w:hAnsi="宋体" w:eastAsia="宋体" w:cs="Times New Roman"/>
                <w:color w:val="auto"/>
              </w:rPr>
            </w:pPr>
            <w:r>
              <w:rPr>
                <w:rFonts w:ascii="宋体" w:hAnsi="宋体" w:eastAsia="宋体" w:cs="Times New Roman"/>
                <w:color w:val="auto"/>
              </w:rPr>
              <w:t xml:space="preserve">2.235 </w:t>
            </w:r>
          </w:p>
        </w:tc>
        <w:tc>
          <w:tcPr>
            <w:tcW w:w="1447" w:type="dxa"/>
            <w:vAlign w:val="center"/>
          </w:tcPr>
          <w:p w14:paraId="16FAAB5B">
            <w:pPr>
              <w:spacing w:line="360" w:lineRule="exact"/>
              <w:jc w:val="center"/>
              <w:rPr>
                <w:rFonts w:ascii="宋体" w:hAnsi="宋体" w:eastAsia="宋体" w:cs="Times New Roman"/>
                <w:color w:val="auto"/>
              </w:rPr>
            </w:pPr>
            <w:r>
              <w:rPr>
                <w:rFonts w:ascii="宋体" w:hAnsi="宋体" w:eastAsia="宋体" w:cs="Times New Roman"/>
                <w:color w:val="auto"/>
              </w:rPr>
              <w:t xml:space="preserve">37.959 </w:t>
            </w:r>
          </w:p>
        </w:tc>
        <w:tc>
          <w:tcPr>
            <w:tcW w:w="1590" w:type="dxa"/>
            <w:vMerge w:val="continue"/>
            <w:vAlign w:val="center"/>
          </w:tcPr>
          <w:p w14:paraId="298C7862">
            <w:pPr>
              <w:spacing w:line="360" w:lineRule="exact"/>
              <w:jc w:val="center"/>
              <w:rPr>
                <w:rFonts w:ascii="宋体" w:hAnsi="宋体" w:eastAsia="宋体" w:cs="Times New Roman"/>
                <w:color w:val="auto"/>
              </w:rPr>
            </w:pPr>
          </w:p>
        </w:tc>
        <w:tc>
          <w:tcPr>
            <w:tcW w:w="1022" w:type="dxa"/>
            <w:vMerge w:val="continue"/>
            <w:vAlign w:val="center"/>
          </w:tcPr>
          <w:p w14:paraId="0CF31588">
            <w:pPr>
              <w:spacing w:line="360" w:lineRule="exact"/>
              <w:jc w:val="center"/>
              <w:rPr>
                <w:rFonts w:ascii="宋体" w:hAnsi="宋体" w:eastAsia="宋体" w:cs="Times New Roman"/>
                <w:color w:val="auto"/>
              </w:rPr>
            </w:pPr>
          </w:p>
        </w:tc>
        <w:tc>
          <w:tcPr>
            <w:tcW w:w="839" w:type="dxa"/>
            <w:vMerge w:val="continue"/>
            <w:vAlign w:val="center"/>
          </w:tcPr>
          <w:p w14:paraId="648DB249">
            <w:pPr>
              <w:spacing w:line="360" w:lineRule="exact"/>
              <w:jc w:val="center"/>
              <w:rPr>
                <w:rFonts w:ascii="宋体" w:hAnsi="宋体" w:eastAsia="宋体" w:cs="Times New Roman"/>
                <w:color w:val="auto"/>
              </w:rPr>
            </w:pPr>
          </w:p>
        </w:tc>
      </w:tr>
      <w:tr w14:paraId="2C946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8CA5A91">
            <w:pPr>
              <w:spacing w:line="360" w:lineRule="exact"/>
              <w:jc w:val="center"/>
              <w:rPr>
                <w:rFonts w:ascii="宋体" w:hAnsi="宋体" w:eastAsia="宋体" w:cs="Times New Roman"/>
                <w:color w:val="auto"/>
              </w:rPr>
            </w:pPr>
          </w:p>
        </w:tc>
        <w:tc>
          <w:tcPr>
            <w:tcW w:w="1206" w:type="dxa"/>
            <w:vAlign w:val="center"/>
          </w:tcPr>
          <w:p w14:paraId="66014F48">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5B4B587E">
            <w:pPr>
              <w:spacing w:line="360" w:lineRule="exact"/>
              <w:jc w:val="center"/>
              <w:rPr>
                <w:rFonts w:ascii="宋体" w:hAnsi="宋体" w:eastAsia="宋体" w:cs="Times New Roman"/>
                <w:color w:val="auto"/>
              </w:rPr>
            </w:pPr>
            <w:r>
              <w:rPr>
                <w:rFonts w:ascii="宋体" w:hAnsi="宋体" w:eastAsia="宋体" w:cs="Times New Roman"/>
                <w:color w:val="auto"/>
              </w:rPr>
              <w:t xml:space="preserve">0.875 </w:t>
            </w:r>
          </w:p>
        </w:tc>
        <w:tc>
          <w:tcPr>
            <w:tcW w:w="1447" w:type="dxa"/>
            <w:vAlign w:val="center"/>
          </w:tcPr>
          <w:p w14:paraId="748EC3B8">
            <w:pPr>
              <w:spacing w:line="360" w:lineRule="exact"/>
              <w:jc w:val="center"/>
              <w:rPr>
                <w:rFonts w:ascii="宋体" w:hAnsi="宋体" w:eastAsia="宋体" w:cs="Times New Roman"/>
                <w:color w:val="auto"/>
              </w:rPr>
            </w:pPr>
            <w:r>
              <w:rPr>
                <w:rFonts w:ascii="宋体" w:hAnsi="宋体" w:eastAsia="宋体" w:cs="Times New Roman"/>
                <w:color w:val="auto"/>
              </w:rPr>
              <w:t xml:space="preserve">14.861 </w:t>
            </w:r>
          </w:p>
        </w:tc>
        <w:tc>
          <w:tcPr>
            <w:tcW w:w="1590" w:type="dxa"/>
            <w:vMerge w:val="continue"/>
            <w:vAlign w:val="center"/>
          </w:tcPr>
          <w:p w14:paraId="23F763E7">
            <w:pPr>
              <w:spacing w:line="360" w:lineRule="exact"/>
              <w:jc w:val="center"/>
              <w:rPr>
                <w:rFonts w:ascii="宋体" w:hAnsi="宋体" w:eastAsia="宋体" w:cs="Times New Roman"/>
                <w:color w:val="auto"/>
              </w:rPr>
            </w:pPr>
          </w:p>
        </w:tc>
        <w:tc>
          <w:tcPr>
            <w:tcW w:w="1022" w:type="dxa"/>
            <w:vMerge w:val="continue"/>
            <w:vAlign w:val="center"/>
          </w:tcPr>
          <w:p w14:paraId="64C06AB5">
            <w:pPr>
              <w:spacing w:line="360" w:lineRule="exact"/>
              <w:jc w:val="center"/>
              <w:rPr>
                <w:rFonts w:ascii="宋体" w:hAnsi="宋体" w:eastAsia="宋体" w:cs="Times New Roman"/>
                <w:color w:val="auto"/>
              </w:rPr>
            </w:pPr>
          </w:p>
        </w:tc>
        <w:tc>
          <w:tcPr>
            <w:tcW w:w="839" w:type="dxa"/>
            <w:vMerge w:val="continue"/>
            <w:vAlign w:val="center"/>
          </w:tcPr>
          <w:p w14:paraId="44CAA122">
            <w:pPr>
              <w:spacing w:line="360" w:lineRule="exact"/>
              <w:jc w:val="center"/>
              <w:rPr>
                <w:rFonts w:ascii="宋体" w:hAnsi="宋体" w:eastAsia="宋体" w:cs="Times New Roman"/>
                <w:color w:val="auto"/>
              </w:rPr>
            </w:pPr>
          </w:p>
        </w:tc>
      </w:tr>
      <w:tr w14:paraId="050E1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4440A70">
            <w:pPr>
              <w:spacing w:line="360" w:lineRule="exact"/>
              <w:jc w:val="center"/>
              <w:rPr>
                <w:rFonts w:ascii="宋体" w:hAnsi="宋体" w:eastAsia="宋体" w:cs="Times New Roman"/>
                <w:color w:val="auto"/>
              </w:rPr>
            </w:pPr>
          </w:p>
        </w:tc>
        <w:tc>
          <w:tcPr>
            <w:tcW w:w="1206" w:type="dxa"/>
            <w:vAlign w:val="center"/>
          </w:tcPr>
          <w:p w14:paraId="51515B27">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3922D9A9">
            <w:pPr>
              <w:spacing w:line="360" w:lineRule="exact"/>
              <w:jc w:val="center"/>
              <w:rPr>
                <w:rFonts w:ascii="宋体" w:hAnsi="宋体" w:eastAsia="宋体" w:cs="Times New Roman"/>
                <w:color w:val="auto"/>
              </w:rPr>
            </w:pPr>
            <w:r>
              <w:rPr>
                <w:rFonts w:ascii="宋体" w:hAnsi="宋体" w:eastAsia="宋体" w:cs="Times New Roman"/>
                <w:color w:val="auto"/>
              </w:rPr>
              <w:t xml:space="preserve">-3.738 </w:t>
            </w:r>
          </w:p>
        </w:tc>
        <w:tc>
          <w:tcPr>
            <w:tcW w:w="1447" w:type="dxa"/>
            <w:vAlign w:val="center"/>
          </w:tcPr>
          <w:p w14:paraId="0904F0DB">
            <w:pPr>
              <w:spacing w:line="360" w:lineRule="exact"/>
              <w:jc w:val="center"/>
              <w:rPr>
                <w:rFonts w:ascii="宋体" w:hAnsi="宋体" w:eastAsia="宋体" w:cs="Times New Roman"/>
                <w:color w:val="auto"/>
              </w:rPr>
            </w:pPr>
            <w:r>
              <w:rPr>
                <w:rFonts w:ascii="宋体" w:hAnsi="宋体" w:eastAsia="宋体" w:cs="Times New Roman"/>
                <w:color w:val="auto"/>
              </w:rPr>
              <w:t xml:space="preserve">61.004 </w:t>
            </w:r>
          </w:p>
        </w:tc>
        <w:tc>
          <w:tcPr>
            <w:tcW w:w="1590" w:type="dxa"/>
            <w:vMerge w:val="restart"/>
            <w:vAlign w:val="center"/>
          </w:tcPr>
          <w:p w14:paraId="1D98A77A">
            <w:pPr>
              <w:spacing w:line="360" w:lineRule="exact"/>
              <w:jc w:val="center"/>
              <w:rPr>
                <w:rFonts w:ascii="宋体" w:hAnsi="宋体" w:eastAsia="宋体" w:cs="Times New Roman"/>
                <w:color w:val="auto"/>
              </w:rPr>
            </w:pPr>
            <w:r>
              <w:rPr>
                <w:rFonts w:ascii="宋体" w:hAnsi="宋体" w:eastAsia="宋体" w:cs="Times New Roman"/>
                <w:color w:val="auto"/>
              </w:rPr>
              <w:t xml:space="preserve">6.127 </w:t>
            </w:r>
          </w:p>
        </w:tc>
        <w:tc>
          <w:tcPr>
            <w:tcW w:w="1022" w:type="dxa"/>
            <w:vMerge w:val="continue"/>
            <w:vAlign w:val="center"/>
          </w:tcPr>
          <w:p w14:paraId="045DA35A">
            <w:pPr>
              <w:spacing w:line="360" w:lineRule="exact"/>
              <w:jc w:val="center"/>
              <w:rPr>
                <w:rFonts w:ascii="宋体" w:hAnsi="宋体" w:eastAsia="宋体" w:cs="Times New Roman"/>
                <w:color w:val="auto"/>
              </w:rPr>
            </w:pPr>
          </w:p>
        </w:tc>
        <w:tc>
          <w:tcPr>
            <w:tcW w:w="839" w:type="dxa"/>
            <w:vMerge w:val="continue"/>
            <w:vAlign w:val="center"/>
          </w:tcPr>
          <w:p w14:paraId="175077BC">
            <w:pPr>
              <w:spacing w:line="360" w:lineRule="exact"/>
              <w:jc w:val="center"/>
              <w:rPr>
                <w:rFonts w:ascii="宋体" w:hAnsi="宋体" w:eastAsia="宋体" w:cs="Times New Roman"/>
                <w:color w:val="auto"/>
              </w:rPr>
            </w:pPr>
          </w:p>
        </w:tc>
      </w:tr>
      <w:tr w14:paraId="5E465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08BE7443">
            <w:pPr>
              <w:spacing w:line="360" w:lineRule="exact"/>
              <w:jc w:val="center"/>
              <w:rPr>
                <w:rFonts w:ascii="宋体" w:hAnsi="宋体" w:eastAsia="宋体" w:cs="Times New Roman"/>
                <w:color w:val="auto"/>
              </w:rPr>
            </w:pPr>
          </w:p>
        </w:tc>
        <w:tc>
          <w:tcPr>
            <w:tcW w:w="1206" w:type="dxa"/>
            <w:vAlign w:val="center"/>
          </w:tcPr>
          <w:p w14:paraId="0D7EDC46">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56D52A2B">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4ABF8B10">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3146BDAE">
            <w:pPr>
              <w:spacing w:line="360" w:lineRule="exact"/>
              <w:jc w:val="center"/>
              <w:rPr>
                <w:rFonts w:ascii="宋体" w:hAnsi="宋体" w:eastAsia="宋体" w:cs="Times New Roman"/>
                <w:color w:val="auto"/>
              </w:rPr>
            </w:pPr>
          </w:p>
        </w:tc>
        <w:tc>
          <w:tcPr>
            <w:tcW w:w="1022" w:type="dxa"/>
            <w:vMerge w:val="continue"/>
            <w:vAlign w:val="center"/>
          </w:tcPr>
          <w:p w14:paraId="01E78006">
            <w:pPr>
              <w:spacing w:line="360" w:lineRule="exact"/>
              <w:jc w:val="center"/>
              <w:rPr>
                <w:rFonts w:ascii="宋体" w:hAnsi="宋体" w:eastAsia="宋体" w:cs="Times New Roman"/>
                <w:color w:val="auto"/>
              </w:rPr>
            </w:pPr>
          </w:p>
        </w:tc>
        <w:tc>
          <w:tcPr>
            <w:tcW w:w="839" w:type="dxa"/>
            <w:vMerge w:val="continue"/>
            <w:vAlign w:val="center"/>
          </w:tcPr>
          <w:p w14:paraId="2927286B">
            <w:pPr>
              <w:spacing w:line="360" w:lineRule="exact"/>
              <w:jc w:val="center"/>
              <w:rPr>
                <w:rFonts w:ascii="宋体" w:hAnsi="宋体" w:eastAsia="宋体" w:cs="Times New Roman"/>
                <w:color w:val="auto"/>
              </w:rPr>
            </w:pPr>
          </w:p>
        </w:tc>
      </w:tr>
      <w:tr w14:paraId="47E0B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C004D3E">
            <w:pPr>
              <w:spacing w:line="360" w:lineRule="exact"/>
              <w:jc w:val="center"/>
              <w:rPr>
                <w:rFonts w:ascii="宋体" w:hAnsi="宋体" w:eastAsia="宋体" w:cs="Times New Roman"/>
                <w:color w:val="auto"/>
              </w:rPr>
            </w:pPr>
          </w:p>
        </w:tc>
        <w:tc>
          <w:tcPr>
            <w:tcW w:w="1206" w:type="dxa"/>
            <w:vAlign w:val="center"/>
          </w:tcPr>
          <w:p w14:paraId="42A02C20">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15C990FC">
            <w:pPr>
              <w:spacing w:line="360" w:lineRule="exact"/>
              <w:jc w:val="center"/>
              <w:rPr>
                <w:rFonts w:ascii="宋体" w:hAnsi="宋体" w:eastAsia="宋体" w:cs="Times New Roman"/>
                <w:color w:val="auto"/>
              </w:rPr>
            </w:pPr>
            <w:r>
              <w:rPr>
                <w:rFonts w:ascii="宋体" w:hAnsi="宋体" w:eastAsia="宋体" w:cs="Times New Roman"/>
                <w:color w:val="auto"/>
              </w:rPr>
              <w:t xml:space="preserve">-1.514 </w:t>
            </w:r>
          </w:p>
        </w:tc>
        <w:tc>
          <w:tcPr>
            <w:tcW w:w="1447" w:type="dxa"/>
            <w:vAlign w:val="center"/>
          </w:tcPr>
          <w:p w14:paraId="70CBC05A">
            <w:pPr>
              <w:spacing w:line="360" w:lineRule="exact"/>
              <w:jc w:val="center"/>
              <w:rPr>
                <w:rFonts w:ascii="宋体" w:hAnsi="宋体" w:eastAsia="宋体" w:cs="Times New Roman"/>
                <w:color w:val="auto"/>
              </w:rPr>
            </w:pPr>
            <w:r>
              <w:rPr>
                <w:rFonts w:ascii="宋体" w:hAnsi="宋体" w:eastAsia="宋体" w:cs="Times New Roman"/>
                <w:color w:val="auto"/>
              </w:rPr>
              <w:t xml:space="preserve">24.715 </w:t>
            </w:r>
          </w:p>
        </w:tc>
        <w:tc>
          <w:tcPr>
            <w:tcW w:w="1590" w:type="dxa"/>
            <w:vMerge w:val="continue"/>
            <w:vAlign w:val="center"/>
          </w:tcPr>
          <w:p w14:paraId="539F2E5C">
            <w:pPr>
              <w:spacing w:line="360" w:lineRule="exact"/>
              <w:jc w:val="center"/>
              <w:rPr>
                <w:rFonts w:ascii="宋体" w:hAnsi="宋体" w:eastAsia="宋体" w:cs="Times New Roman"/>
                <w:color w:val="auto"/>
              </w:rPr>
            </w:pPr>
          </w:p>
        </w:tc>
        <w:tc>
          <w:tcPr>
            <w:tcW w:w="1022" w:type="dxa"/>
            <w:vMerge w:val="continue"/>
            <w:vAlign w:val="center"/>
          </w:tcPr>
          <w:p w14:paraId="1CC26E65">
            <w:pPr>
              <w:spacing w:line="360" w:lineRule="exact"/>
              <w:jc w:val="center"/>
              <w:rPr>
                <w:rFonts w:ascii="宋体" w:hAnsi="宋体" w:eastAsia="宋体" w:cs="Times New Roman"/>
                <w:color w:val="auto"/>
              </w:rPr>
            </w:pPr>
          </w:p>
        </w:tc>
        <w:tc>
          <w:tcPr>
            <w:tcW w:w="839" w:type="dxa"/>
            <w:vMerge w:val="continue"/>
            <w:vAlign w:val="center"/>
          </w:tcPr>
          <w:p w14:paraId="6A11CC8A">
            <w:pPr>
              <w:spacing w:line="360" w:lineRule="exact"/>
              <w:jc w:val="center"/>
              <w:rPr>
                <w:rFonts w:ascii="宋体" w:hAnsi="宋体" w:eastAsia="宋体" w:cs="Times New Roman"/>
                <w:color w:val="auto"/>
              </w:rPr>
            </w:pPr>
          </w:p>
        </w:tc>
      </w:tr>
      <w:tr w14:paraId="366C8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3FEAB18">
            <w:pPr>
              <w:spacing w:line="360" w:lineRule="exact"/>
              <w:jc w:val="center"/>
              <w:rPr>
                <w:rFonts w:ascii="宋体" w:hAnsi="宋体" w:eastAsia="宋体" w:cs="Times New Roman"/>
                <w:color w:val="auto"/>
              </w:rPr>
            </w:pPr>
          </w:p>
        </w:tc>
        <w:tc>
          <w:tcPr>
            <w:tcW w:w="1206" w:type="dxa"/>
            <w:vAlign w:val="center"/>
          </w:tcPr>
          <w:p w14:paraId="2BF66175">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26057FA6">
            <w:pPr>
              <w:spacing w:line="360" w:lineRule="exact"/>
              <w:jc w:val="center"/>
              <w:rPr>
                <w:rFonts w:ascii="宋体" w:hAnsi="宋体" w:eastAsia="宋体" w:cs="Times New Roman"/>
                <w:color w:val="auto"/>
              </w:rPr>
            </w:pPr>
            <w:r>
              <w:rPr>
                <w:rFonts w:ascii="宋体" w:hAnsi="宋体" w:eastAsia="宋体" w:cs="Times New Roman"/>
                <w:color w:val="auto"/>
              </w:rPr>
              <w:t xml:space="preserve">-0.875 </w:t>
            </w:r>
          </w:p>
        </w:tc>
        <w:tc>
          <w:tcPr>
            <w:tcW w:w="1447" w:type="dxa"/>
            <w:vAlign w:val="center"/>
          </w:tcPr>
          <w:p w14:paraId="3BFEDB59">
            <w:pPr>
              <w:spacing w:line="360" w:lineRule="exact"/>
              <w:jc w:val="center"/>
              <w:rPr>
                <w:rFonts w:ascii="宋体" w:hAnsi="宋体" w:eastAsia="宋体" w:cs="Times New Roman"/>
                <w:color w:val="auto"/>
              </w:rPr>
            </w:pPr>
            <w:r>
              <w:rPr>
                <w:rFonts w:ascii="宋体" w:hAnsi="宋体" w:eastAsia="宋体" w:cs="Times New Roman"/>
                <w:color w:val="auto"/>
              </w:rPr>
              <w:t xml:space="preserve">14.281 </w:t>
            </w:r>
          </w:p>
        </w:tc>
        <w:tc>
          <w:tcPr>
            <w:tcW w:w="1590" w:type="dxa"/>
            <w:vMerge w:val="continue"/>
            <w:vAlign w:val="center"/>
          </w:tcPr>
          <w:p w14:paraId="3B31A938">
            <w:pPr>
              <w:spacing w:line="360" w:lineRule="exact"/>
              <w:jc w:val="center"/>
              <w:rPr>
                <w:rFonts w:ascii="宋体" w:hAnsi="宋体" w:eastAsia="宋体" w:cs="Times New Roman"/>
                <w:color w:val="auto"/>
              </w:rPr>
            </w:pPr>
          </w:p>
        </w:tc>
        <w:tc>
          <w:tcPr>
            <w:tcW w:w="1022" w:type="dxa"/>
            <w:vMerge w:val="continue"/>
            <w:vAlign w:val="center"/>
          </w:tcPr>
          <w:p w14:paraId="7B35928C">
            <w:pPr>
              <w:spacing w:line="360" w:lineRule="exact"/>
              <w:jc w:val="center"/>
              <w:rPr>
                <w:rFonts w:ascii="宋体" w:hAnsi="宋体" w:eastAsia="宋体" w:cs="Times New Roman"/>
                <w:color w:val="auto"/>
              </w:rPr>
            </w:pPr>
          </w:p>
        </w:tc>
        <w:tc>
          <w:tcPr>
            <w:tcW w:w="839" w:type="dxa"/>
            <w:vMerge w:val="continue"/>
            <w:vAlign w:val="center"/>
          </w:tcPr>
          <w:p w14:paraId="5143F075">
            <w:pPr>
              <w:spacing w:line="360" w:lineRule="exact"/>
              <w:jc w:val="center"/>
              <w:rPr>
                <w:rFonts w:ascii="宋体" w:hAnsi="宋体" w:eastAsia="宋体" w:cs="Times New Roman"/>
                <w:color w:val="auto"/>
              </w:rPr>
            </w:pPr>
          </w:p>
        </w:tc>
      </w:tr>
      <w:tr w14:paraId="1CF3A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7D459680">
            <w:pPr>
              <w:jc w:val="center"/>
              <w:textAlignment w:val="center"/>
              <w:rPr>
                <w:rFonts w:ascii="宋体" w:hAnsi="宋体" w:eastAsia="宋体" w:cs="Times New Roman"/>
                <w:color w:val="auto"/>
              </w:rPr>
            </w:pPr>
            <w:r>
              <w:rPr>
                <w:rFonts w:ascii="宋体" w:hAnsi="宋体" w:eastAsia="宋体" w:cs="Times New Roman"/>
                <w:color w:val="auto"/>
                <w:lang w:bidi="ar"/>
              </w:rPr>
              <w:t>工商家属房(程家、潜水)</w:t>
            </w:r>
          </w:p>
        </w:tc>
        <w:tc>
          <w:tcPr>
            <w:tcW w:w="1206" w:type="dxa"/>
            <w:vAlign w:val="center"/>
          </w:tcPr>
          <w:p w14:paraId="71ABAD26">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621E865C">
            <w:pPr>
              <w:spacing w:line="360" w:lineRule="exact"/>
              <w:jc w:val="center"/>
              <w:rPr>
                <w:rFonts w:ascii="宋体" w:hAnsi="宋体" w:eastAsia="宋体" w:cs="Times New Roman"/>
                <w:color w:val="auto"/>
              </w:rPr>
            </w:pPr>
            <w:r>
              <w:rPr>
                <w:rFonts w:ascii="宋体" w:hAnsi="宋体" w:eastAsia="宋体" w:cs="Times New Roman"/>
                <w:color w:val="auto"/>
              </w:rPr>
              <w:t xml:space="preserve">0.063 </w:t>
            </w:r>
          </w:p>
        </w:tc>
        <w:tc>
          <w:tcPr>
            <w:tcW w:w="1447" w:type="dxa"/>
            <w:vAlign w:val="center"/>
          </w:tcPr>
          <w:p w14:paraId="4815657E">
            <w:pPr>
              <w:spacing w:line="360" w:lineRule="exact"/>
              <w:jc w:val="center"/>
              <w:rPr>
                <w:rFonts w:ascii="宋体" w:hAnsi="宋体" w:eastAsia="宋体" w:cs="Times New Roman"/>
                <w:color w:val="auto"/>
              </w:rPr>
            </w:pPr>
            <w:r>
              <w:rPr>
                <w:rFonts w:ascii="宋体" w:hAnsi="宋体" w:eastAsia="宋体" w:cs="Times New Roman"/>
                <w:color w:val="auto"/>
              </w:rPr>
              <w:t xml:space="preserve">1.137 </w:t>
            </w:r>
          </w:p>
        </w:tc>
        <w:tc>
          <w:tcPr>
            <w:tcW w:w="1590" w:type="dxa"/>
            <w:vMerge w:val="restart"/>
            <w:vAlign w:val="center"/>
          </w:tcPr>
          <w:p w14:paraId="77E36617">
            <w:pPr>
              <w:spacing w:line="360" w:lineRule="exact"/>
              <w:jc w:val="center"/>
              <w:rPr>
                <w:rFonts w:ascii="宋体" w:hAnsi="宋体" w:eastAsia="宋体" w:cs="Times New Roman"/>
                <w:color w:val="auto"/>
              </w:rPr>
            </w:pPr>
            <w:r>
              <w:rPr>
                <w:rFonts w:ascii="宋体" w:hAnsi="宋体" w:eastAsia="宋体" w:cs="Times New Roman"/>
                <w:color w:val="auto"/>
              </w:rPr>
              <w:t xml:space="preserve">5.527 </w:t>
            </w:r>
          </w:p>
        </w:tc>
        <w:tc>
          <w:tcPr>
            <w:tcW w:w="1022" w:type="dxa"/>
            <w:vMerge w:val="restart"/>
            <w:vAlign w:val="center"/>
          </w:tcPr>
          <w:p w14:paraId="69D07FF5">
            <w:pPr>
              <w:spacing w:line="360" w:lineRule="exact"/>
              <w:jc w:val="center"/>
              <w:rPr>
                <w:rFonts w:ascii="宋体" w:hAnsi="宋体" w:eastAsia="宋体" w:cs="Times New Roman"/>
                <w:color w:val="auto"/>
              </w:rPr>
            </w:pPr>
            <w:r>
              <w:rPr>
                <w:rFonts w:ascii="宋体" w:hAnsi="宋体" w:eastAsia="宋体" w:cs="Times New Roman"/>
                <w:color w:val="auto"/>
              </w:rPr>
              <w:t xml:space="preserve">2.38 </w:t>
            </w:r>
          </w:p>
        </w:tc>
        <w:tc>
          <w:tcPr>
            <w:tcW w:w="839" w:type="dxa"/>
            <w:vMerge w:val="restart"/>
            <w:vAlign w:val="center"/>
          </w:tcPr>
          <w:p w14:paraId="7EC9C0BA">
            <w:pPr>
              <w:spacing w:line="360" w:lineRule="exact"/>
              <w:jc w:val="center"/>
              <w:rPr>
                <w:rFonts w:ascii="宋体" w:hAnsi="宋体" w:eastAsia="宋体" w:cs="Times New Roman"/>
                <w:color w:val="auto"/>
              </w:rPr>
            </w:pPr>
            <w:r>
              <w:rPr>
                <w:rFonts w:ascii="宋体" w:hAnsi="宋体" w:eastAsia="宋体" w:cs="Times New Roman"/>
                <w:color w:val="auto"/>
              </w:rPr>
              <w:t xml:space="preserve">0.42 </w:t>
            </w:r>
          </w:p>
        </w:tc>
      </w:tr>
      <w:tr w14:paraId="4218F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9705ED0">
            <w:pPr>
              <w:spacing w:line="360" w:lineRule="exact"/>
              <w:jc w:val="center"/>
              <w:rPr>
                <w:rFonts w:ascii="宋体" w:hAnsi="宋体" w:eastAsia="宋体" w:cs="Times New Roman"/>
                <w:color w:val="auto"/>
              </w:rPr>
            </w:pPr>
          </w:p>
        </w:tc>
        <w:tc>
          <w:tcPr>
            <w:tcW w:w="1206" w:type="dxa"/>
            <w:vAlign w:val="center"/>
          </w:tcPr>
          <w:p w14:paraId="76F2216F">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41F9914A">
            <w:pPr>
              <w:spacing w:line="360" w:lineRule="exact"/>
              <w:jc w:val="center"/>
              <w:rPr>
                <w:rFonts w:ascii="宋体" w:hAnsi="宋体" w:eastAsia="宋体" w:cs="Times New Roman"/>
                <w:color w:val="auto"/>
              </w:rPr>
            </w:pPr>
            <w:r>
              <w:rPr>
                <w:rFonts w:ascii="宋体" w:hAnsi="宋体" w:eastAsia="宋体" w:cs="Times New Roman"/>
                <w:color w:val="auto"/>
              </w:rPr>
              <w:t xml:space="preserve">2.317 </w:t>
            </w:r>
          </w:p>
        </w:tc>
        <w:tc>
          <w:tcPr>
            <w:tcW w:w="1447" w:type="dxa"/>
            <w:vAlign w:val="center"/>
          </w:tcPr>
          <w:p w14:paraId="1E47A85D">
            <w:pPr>
              <w:spacing w:line="360" w:lineRule="exact"/>
              <w:jc w:val="center"/>
              <w:rPr>
                <w:rFonts w:ascii="宋体" w:hAnsi="宋体" w:eastAsia="宋体" w:cs="Times New Roman"/>
                <w:color w:val="auto"/>
              </w:rPr>
            </w:pPr>
            <w:r>
              <w:rPr>
                <w:rFonts w:ascii="宋体" w:hAnsi="宋体" w:eastAsia="宋体" w:cs="Times New Roman"/>
                <w:color w:val="auto"/>
              </w:rPr>
              <w:t xml:space="preserve">41.929 </w:t>
            </w:r>
          </w:p>
        </w:tc>
        <w:tc>
          <w:tcPr>
            <w:tcW w:w="1590" w:type="dxa"/>
            <w:vMerge w:val="continue"/>
            <w:vAlign w:val="center"/>
          </w:tcPr>
          <w:p w14:paraId="3E12C184">
            <w:pPr>
              <w:spacing w:line="360" w:lineRule="exact"/>
              <w:jc w:val="center"/>
              <w:rPr>
                <w:rFonts w:ascii="宋体" w:hAnsi="宋体" w:eastAsia="宋体" w:cs="Times New Roman"/>
                <w:color w:val="auto"/>
              </w:rPr>
            </w:pPr>
          </w:p>
        </w:tc>
        <w:tc>
          <w:tcPr>
            <w:tcW w:w="1022" w:type="dxa"/>
            <w:vMerge w:val="continue"/>
            <w:vAlign w:val="center"/>
          </w:tcPr>
          <w:p w14:paraId="7096B499">
            <w:pPr>
              <w:spacing w:line="360" w:lineRule="exact"/>
              <w:jc w:val="center"/>
              <w:rPr>
                <w:rFonts w:ascii="宋体" w:hAnsi="宋体" w:eastAsia="宋体" w:cs="Times New Roman"/>
                <w:color w:val="auto"/>
              </w:rPr>
            </w:pPr>
          </w:p>
        </w:tc>
        <w:tc>
          <w:tcPr>
            <w:tcW w:w="839" w:type="dxa"/>
            <w:vMerge w:val="continue"/>
            <w:vAlign w:val="center"/>
          </w:tcPr>
          <w:p w14:paraId="609B5501">
            <w:pPr>
              <w:spacing w:line="360" w:lineRule="exact"/>
              <w:jc w:val="center"/>
              <w:rPr>
                <w:rFonts w:ascii="宋体" w:hAnsi="宋体" w:eastAsia="宋体" w:cs="Times New Roman"/>
                <w:color w:val="auto"/>
              </w:rPr>
            </w:pPr>
          </w:p>
        </w:tc>
      </w:tr>
      <w:tr w14:paraId="648CB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2F9B1BB">
            <w:pPr>
              <w:spacing w:line="360" w:lineRule="exact"/>
              <w:jc w:val="center"/>
              <w:rPr>
                <w:rFonts w:ascii="宋体" w:hAnsi="宋体" w:eastAsia="宋体" w:cs="Times New Roman"/>
                <w:color w:val="auto"/>
              </w:rPr>
            </w:pPr>
          </w:p>
        </w:tc>
        <w:tc>
          <w:tcPr>
            <w:tcW w:w="1206" w:type="dxa"/>
            <w:vAlign w:val="center"/>
          </w:tcPr>
          <w:p w14:paraId="50242907">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1646C012">
            <w:pPr>
              <w:spacing w:line="360" w:lineRule="exact"/>
              <w:jc w:val="center"/>
              <w:rPr>
                <w:rFonts w:ascii="宋体" w:hAnsi="宋体" w:eastAsia="宋体" w:cs="Times New Roman"/>
                <w:color w:val="auto"/>
              </w:rPr>
            </w:pPr>
            <w:r>
              <w:rPr>
                <w:rFonts w:ascii="宋体" w:hAnsi="宋体" w:eastAsia="宋体" w:cs="Times New Roman"/>
                <w:color w:val="auto"/>
              </w:rPr>
              <w:t xml:space="preserve">2.305 </w:t>
            </w:r>
          </w:p>
        </w:tc>
        <w:tc>
          <w:tcPr>
            <w:tcW w:w="1447" w:type="dxa"/>
            <w:vAlign w:val="center"/>
          </w:tcPr>
          <w:p w14:paraId="334333CD">
            <w:pPr>
              <w:spacing w:line="360" w:lineRule="exact"/>
              <w:jc w:val="center"/>
              <w:rPr>
                <w:rFonts w:ascii="宋体" w:hAnsi="宋体" w:eastAsia="宋体" w:cs="Times New Roman"/>
                <w:color w:val="auto"/>
              </w:rPr>
            </w:pPr>
            <w:r>
              <w:rPr>
                <w:rFonts w:ascii="宋体" w:hAnsi="宋体" w:eastAsia="宋体" w:cs="Times New Roman"/>
                <w:color w:val="auto"/>
              </w:rPr>
              <w:t xml:space="preserve">41.705 </w:t>
            </w:r>
          </w:p>
        </w:tc>
        <w:tc>
          <w:tcPr>
            <w:tcW w:w="1590" w:type="dxa"/>
            <w:vMerge w:val="continue"/>
            <w:vAlign w:val="center"/>
          </w:tcPr>
          <w:p w14:paraId="34272154">
            <w:pPr>
              <w:spacing w:line="360" w:lineRule="exact"/>
              <w:jc w:val="center"/>
              <w:rPr>
                <w:rFonts w:ascii="宋体" w:hAnsi="宋体" w:eastAsia="宋体" w:cs="Times New Roman"/>
                <w:color w:val="auto"/>
              </w:rPr>
            </w:pPr>
          </w:p>
        </w:tc>
        <w:tc>
          <w:tcPr>
            <w:tcW w:w="1022" w:type="dxa"/>
            <w:vMerge w:val="continue"/>
            <w:vAlign w:val="center"/>
          </w:tcPr>
          <w:p w14:paraId="5C3675E5">
            <w:pPr>
              <w:spacing w:line="360" w:lineRule="exact"/>
              <w:jc w:val="center"/>
              <w:rPr>
                <w:rFonts w:ascii="宋体" w:hAnsi="宋体" w:eastAsia="宋体" w:cs="Times New Roman"/>
                <w:color w:val="auto"/>
              </w:rPr>
            </w:pPr>
          </w:p>
        </w:tc>
        <w:tc>
          <w:tcPr>
            <w:tcW w:w="839" w:type="dxa"/>
            <w:vMerge w:val="continue"/>
            <w:vAlign w:val="center"/>
          </w:tcPr>
          <w:p w14:paraId="3055BEFD">
            <w:pPr>
              <w:spacing w:line="360" w:lineRule="exact"/>
              <w:jc w:val="center"/>
              <w:rPr>
                <w:rFonts w:ascii="宋体" w:hAnsi="宋体" w:eastAsia="宋体" w:cs="Times New Roman"/>
                <w:color w:val="auto"/>
              </w:rPr>
            </w:pPr>
          </w:p>
        </w:tc>
      </w:tr>
      <w:tr w14:paraId="48A92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06A92D7F">
            <w:pPr>
              <w:spacing w:line="360" w:lineRule="exact"/>
              <w:jc w:val="center"/>
              <w:rPr>
                <w:rFonts w:ascii="宋体" w:hAnsi="宋体" w:eastAsia="宋体" w:cs="Times New Roman"/>
                <w:color w:val="auto"/>
              </w:rPr>
            </w:pPr>
          </w:p>
        </w:tc>
        <w:tc>
          <w:tcPr>
            <w:tcW w:w="1206" w:type="dxa"/>
            <w:vAlign w:val="center"/>
          </w:tcPr>
          <w:p w14:paraId="23431B0F">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6071D195">
            <w:pPr>
              <w:spacing w:line="360" w:lineRule="exact"/>
              <w:jc w:val="center"/>
              <w:rPr>
                <w:rFonts w:ascii="宋体" w:hAnsi="宋体" w:eastAsia="宋体" w:cs="Times New Roman"/>
                <w:color w:val="auto"/>
              </w:rPr>
            </w:pPr>
            <w:r>
              <w:rPr>
                <w:rFonts w:ascii="宋体" w:hAnsi="宋体" w:eastAsia="宋体" w:cs="Times New Roman"/>
                <w:color w:val="auto"/>
              </w:rPr>
              <w:t xml:space="preserve">0.842 </w:t>
            </w:r>
          </w:p>
        </w:tc>
        <w:tc>
          <w:tcPr>
            <w:tcW w:w="1447" w:type="dxa"/>
            <w:vAlign w:val="center"/>
          </w:tcPr>
          <w:p w14:paraId="098237BE">
            <w:pPr>
              <w:spacing w:line="360" w:lineRule="exact"/>
              <w:jc w:val="center"/>
              <w:rPr>
                <w:rFonts w:ascii="宋体" w:hAnsi="宋体" w:eastAsia="宋体" w:cs="Times New Roman"/>
                <w:color w:val="auto"/>
              </w:rPr>
            </w:pPr>
            <w:r>
              <w:rPr>
                <w:rFonts w:ascii="宋体" w:hAnsi="宋体" w:eastAsia="宋体" w:cs="Times New Roman"/>
                <w:color w:val="auto"/>
              </w:rPr>
              <w:t xml:space="preserve">15.229 </w:t>
            </w:r>
          </w:p>
        </w:tc>
        <w:tc>
          <w:tcPr>
            <w:tcW w:w="1590" w:type="dxa"/>
            <w:vMerge w:val="continue"/>
            <w:vAlign w:val="center"/>
          </w:tcPr>
          <w:p w14:paraId="63A13C1A">
            <w:pPr>
              <w:spacing w:line="360" w:lineRule="exact"/>
              <w:jc w:val="center"/>
              <w:rPr>
                <w:rFonts w:ascii="宋体" w:hAnsi="宋体" w:eastAsia="宋体" w:cs="Times New Roman"/>
                <w:color w:val="auto"/>
              </w:rPr>
            </w:pPr>
          </w:p>
        </w:tc>
        <w:tc>
          <w:tcPr>
            <w:tcW w:w="1022" w:type="dxa"/>
            <w:vMerge w:val="continue"/>
            <w:vAlign w:val="center"/>
          </w:tcPr>
          <w:p w14:paraId="3B8BA79C">
            <w:pPr>
              <w:spacing w:line="360" w:lineRule="exact"/>
              <w:jc w:val="center"/>
              <w:rPr>
                <w:rFonts w:ascii="宋体" w:hAnsi="宋体" w:eastAsia="宋体" w:cs="Times New Roman"/>
                <w:color w:val="auto"/>
              </w:rPr>
            </w:pPr>
          </w:p>
        </w:tc>
        <w:tc>
          <w:tcPr>
            <w:tcW w:w="839" w:type="dxa"/>
            <w:vMerge w:val="continue"/>
            <w:vAlign w:val="center"/>
          </w:tcPr>
          <w:p w14:paraId="77A9D04E">
            <w:pPr>
              <w:spacing w:line="360" w:lineRule="exact"/>
              <w:jc w:val="center"/>
              <w:rPr>
                <w:rFonts w:ascii="宋体" w:hAnsi="宋体" w:eastAsia="宋体" w:cs="Times New Roman"/>
                <w:color w:val="auto"/>
              </w:rPr>
            </w:pPr>
          </w:p>
        </w:tc>
      </w:tr>
      <w:tr w14:paraId="0BC2A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C9168C0">
            <w:pPr>
              <w:spacing w:line="360" w:lineRule="exact"/>
              <w:jc w:val="center"/>
              <w:rPr>
                <w:rFonts w:ascii="宋体" w:hAnsi="宋体" w:eastAsia="宋体" w:cs="Times New Roman"/>
                <w:color w:val="auto"/>
              </w:rPr>
            </w:pPr>
          </w:p>
        </w:tc>
        <w:tc>
          <w:tcPr>
            <w:tcW w:w="1206" w:type="dxa"/>
            <w:vAlign w:val="center"/>
          </w:tcPr>
          <w:p w14:paraId="116C45A6">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01B8B81E">
            <w:pPr>
              <w:spacing w:line="360" w:lineRule="exact"/>
              <w:jc w:val="center"/>
              <w:rPr>
                <w:rFonts w:ascii="宋体" w:hAnsi="宋体" w:eastAsia="宋体" w:cs="Times New Roman"/>
                <w:color w:val="auto"/>
              </w:rPr>
            </w:pPr>
            <w:r>
              <w:rPr>
                <w:rFonts w:ascii="宋体" w:hAnsi="宋体" w:eastAsia="宋体" w:cs="Times New Roman"/>
                <w:color w:val="auto"/>
              </w:rPr>
              <w:t xml:space="preserve">-3.787 </w:t>
            </w:r>
          </w:p>
        </w:tc>
        <w:tc>
          <w:tcPr>
            <w:tcW w:w="1447" w:type="dxa"/>
            <w:vAlign w:val="center"/>
          </w:tcPr>
          <w:p w14:paraId="267BFCF7">
            <w:pPr>
              <w:spacing w:line="360" w:lineRule="exact"/>
              <w:jc w:val="center"/>
              <w:rPr>
                <w:rFonts w:ascii="宋体" w:hAnsi="宋体" w:eastAsia="宋体" w:cs="Times New Roman"/>
                <w:color w:val="auto"/>
              </w:rPr>
            </w:pPr>
            <w:r>
              <w:rPr>
                <w:rFonts w:ascii="宋体" w:hAnsi="宋体" w:eastAsia="宋体" w:cs="Times New Roman"/>
                <w:color w:val="auto"/>
              </w:rPr>
              <w:t xml:space="preserve">65.332 </w:t>
            </w:r>
          </w:p>
        </w:tc>
        <w:tc>
          <w:tcPr>
            <w:tcW w:w="1590" w:type="dxa"/>
            <w:vMerge w:val="restart"/>
            <w:vAlign w:val="center"/>
          </w:tcPr>
          <w:p w14:paraId="7DA44DB2">
            <w:pPr>
              <w:spacing w:line="360" w:lineRule="exact"/>
              <w:jc w:val="center"/>
              <w:rPr>
                <w:rFonts w:ascii="宋体" w:hAnsi="宋体" w:eastAsia="宋体" w:cs="Times New Roman"/>
                <w:color w:val="auto"/>
              </w:rPr>
            </w:pPr>
            <w:r>
              <w:rPr>
                <w:rFonts w:ascii="宋体" w:hAnsi="宋体" w:eastAsia="宋体" w:cs="Times New Roman"/>
                <w:color w:val="auto"/>
              </w:rPr>
              <w:t xml:space="preserve">5.796 </w:t>
            </w:r>
          </w:p>
        </w:tc>
        <w:tc>
          <w:tcPr>
            <w:tcW w:w="1022" w:type="dxa"/>
            <w:vMerge w:val="continue"/>
            <w:vAlign w:val="center"/>
          </w:tcPr>
          <w:p w14:paraId="23459ED3">
            <w:pPr>
              <w:spacing w:line="360" w:lineRule="exact"/>
              <w:jc w:val="center"/>
              <w:rPr>
                <w:rFonts w:ascii="宋体" w:hAnsi="宋体" w:eastAsia="宋体" w:cs="Times New Roman"/>
                <w:color w:val="auto"/>
              </w:rPr>
            </w:pPr>
          </w:p>
        </w:tc>
        <w:tc>
          <w:tcPr>
            <w:tcW w:w="839" w:type="dxa"/>
            <w:vMerge w:val="continue"/>
            <w:vAlign w:val="center"/>
          </w:tcPr>
          <w:p w14:paraId="40EAD38D">
            <w:pPr>
              <w:spacing w:line="360" w:lineRule="exact"/>
              <w:jc w:val="center"/>
              <w:rPr>
                <w:rFonts w:ascii="宋体" w:hAnsi="宋体" w:eastAsia="宋体" w:cs="Times New Roman"/>
                <w:color w:val="auto"/>
              </w:rPr>
            </w:pPr>
          </w:p>
        </w:tc>
      </w:tr>
      <w:tr w14:paraId="56131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659DFC4">
            <w:pPr>
              <w:spacing w:line="360" w:lineRule="exact"/>
              <w:jc w:val="center"/>
              <w:rPr>
                <w:rFonts w:ascii="宋体" w:hAnsi="宋体" w:eastAsia="宋体" w:cs="Times New Roman"/>
                <w:color w:val="auto"/>
              </w:rPr>
            </w:pPr>
          </w:p>
        </w:tc>
        <w:tc>
          <w:tcPr>
            <w:tcW w:w="1206" w:type="dxa"/>
            <w:vAlign w:val="center"/>
          </w:tcPr>
          <w:p w14:paraId="00EA4676">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369DD1B1">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5F824F50">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25299777">
            <w:pPr>
              <w:spacing w:line="360" w:lineRule="exact"/>
              <w:jc w:val="center"/>
              <w:rPr>
                <w:rFonts w:ascii="宋体" w:hAnsi="宋体" w:eastAsia="宋体" w:cs="Times New Roman"/>
                <w:color w:val="auto"/>
              </w:rPr>
            </w:pPr>
          </w:p>
        </w:tc>
        <w:tc>
          <w:tcPr>
            <w:tcW w:w="1022" w:type="dxa"/>
            <w:vMerge w:val="continue"/>
            <w:vAlign w:val="center"/>
          </w:tcPr>
          <w:p w14:paraId="47A47D2F">
            <w:pPr>
              <w:spacing w:line="360" w:lineRule="exact"/>
              <w:jc w:val="center"/>
              <w:rPr>
                <w:rFonts w:ascii="宋体" w:hAnsi="宋体" w:eastAsia="宋体" w:cs="Times New Roman"/>
                <w:color w:val="auto"/>
              </w:rPr>
            </w:pPr>
          </w:p>
        </w:tc>
        <w:tc>
          <w:tcPr>
            <w:tcW w:w="839" w:type="dxa"/>
            <w:vMerge w:val="continue"/>
            <w:vAlign w:val="center"/>
          </w:tcPr>
          <w:p w14:paraId="0C633C75">
            <w:pPr>
              <w:spacing w:line="360" w:lineRule="exact"/>
              <w:jc w:val="center"/>
              <w:rPr>
                <w:rFonts w:ascii="宋体" w:hAnsi="宋体" w:eastAsia="宋体" w:cs="Times New Roman"/>
                <w:color w:val="auto"/>
              </w:rPr>
            </w:pPr>
          </w:p>
        </w:tc>
      </w:tr>
      <w:tr w14:paraId="70621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35D21B14">
            <w:pPr>
              <w:spacing w:line="360" w:lineRule="exact"/>
              <w:jc w:val="center"/>
              <w:rPr>
                <w:rFonts w:ascii="宋体" w:hAnsi="宋体" w:eastAsia="宋体" w:cs="Times New Roman"/>
                <w:color w:val="auto"/>
              </w:rPr>
            </w:pPr>
          </w:p>
        </w:tc>
        <w:tc>
          <w:tcPr>
            <w:tcW w:w="1206" w:type="dxa"/>
            <w:vAlign w:val="center"/>
          </w:tcPr>
          <w:p w14:paraId="586591ED">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4B9C0BC3">
            <w:pPr>
              <w:spacing w:line="360" w:lineRule="exact"/>
              <w:jc w:val="center"/>
              <w:rPr>
                <w:rFonts w:ascii="宋体" w:hAnsi="宋体" w:eastAsia="宋体" w:cs="Times New Roman"/>
                <w:color w:val="auto"/>
              </w:rPr>
            </w:pPr>
            <w:r>
              <w:rPr>
                <w:rFonts w:ascii="宋体" w:hAnsi="宋体" w:eastAsia="宋体" w:cs="Times New Roman"/>
                <w:color w:val="auto"/>
              </w:rPr>
              <w:t xml:space="preserve">-1.343 </w:t>
            </w:r>
          </w:p>
        </w:tc>
        <w:tc>
          <w:tcPr>
            <w:tcW w:w="1447" w:type="dxa"/>
            <w:vAlign w:val="center"/>
          </w:tcPr>
          <w:p w14:paraId="3C7C0970">
            <w:pPr>
              <w:spacing w:line="360" w:lineRule="exact"/>
              <w:jc w:val="center"/>
              <w:rPr>
                <w:rFonts w:ascii="宋体" w:hAnsi="宋体" w:eastAsia="宋体" w:cs="Times New Roman"/>
                <w:color w:val="auto"/>
              </w:rPr>
            </w:pPr>
            <w:r>
              <w:rPr>
                <w:rFonts w:ascii="宋体" w:hAnsi="宋体" w:eastAsia="宋体" w:cs="Times New Roman"/>
                <w:color w:val="auto"/>
              </w:rPr>
              <w:t xml:space="preserve">23.167 </w:t>
            </w:r>
          </w:p>
        </w:tc>
        <w:tc>
          <w:tcPr>
            <w:tcW w:w="1590" w:type="dxa"/>
            <w:vMerge w:val="continue"/>
            <w:vAlign w:val="center"/>
          </w:tcPr>
          <w:p w14:paraId="7D82E01B">
            <w:pPr>
              <w:spacing w:line="360" w:lineRule="exact"/>
              <w:jc w:val="center"/>
              <w:rPr>
                <w:rFonts w:ascii="宋体" w:hAnsi="宋体" w:eastAsia="宋体" w:cs="Times New Roman"/>
                <w:color w:val="auto"/>
              </w:rPr>
            </w:pPr>
          </w:p>
        </w:tc>
        <w:tc>
          <w:tcPr>
            <w:tcW w:w="1022" w:type="dxa"/>
            <w:vMerge w:val="continue"/>
            <w:vAlign w:val="center"/>
          </w:tcPr>
          <w:p w14:paraId="20DC6485">
            <w:pPr>
              <w:spacing w:line="360" w:lineRule="exact"/>
              <w:jc w:val="center"/>
              <w:rPr>
                <w:rFonts w:ascii="宋体" w:hAnsi="宋体" w:eastAsia="宋体" w:cs="Times New Roman"/>
                <w:color w:val="auto"/>
              </w:rPr>
            </w:pPr>
          </w:p>
        </w:tc>
        <w:tc>
          <w:tcPr>
            <w:tcW w:w="839" w:type="dxa"/>
            <w:vMerge w:val="continue"/>
            <w:vAlign w:val="center"/>
          </w:tcPr>
          <w:p w14:paraId="42090DC5">
            <w:pPr>
              <w:spacing w:line="360" w:lineRule="exact"/>
              <w:jc w:val="center"/>
              <w:rPr>
                <w:rFonts w:ascii="宋体" w:hAnsi="宋体" w:eastAsia="宋体" w:cs="Times New Roman"/>
                <w:color w:val="auto"/>
              </w:rPr>
            </w:pPr>
          </w:p>
        </w:tc>
      </w:tr>
      <w:tr w14:paraId="6FA27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DCDC545">
            <w:pPr>
              <w:spacing w:line="360" w:lineRule="exact"/>
              <w:jc w:val="center"/>
              <w:rPr>
                <w:rFonts w:ascii="宋体" w:hAnsi="宋体" w:eastAsia="宋体" w:cs="Times New Roman"/>
                <w:color w:val="auto"/>
              </w:rPr>
            </w:pPr>
          </w:p>
        </w:tc>
        <w:tc>
          <w:tcPr>
            <w:tcW w:w="1206" w:type="dxa"/>
            <w:vAlign w:val="center"/>
          </w:tcPr>
          <w:p w14:paraId="5A15E186">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1479BC75">
            <w:pPr>
              <w:spacing w:line="360" w:lineRule="exact"/>
              <w:jc w:val="center"/>
              <w:rPr>
                <w:rFonts w:ascii="宋体" w:hAnsi="宋体" w:eastAsia="宋体" w:cs="Times New Roman"/>
                <w:color w:val="auto"/>
              </w:rPr>
            </w:pPr>
            <w:r>
              <w:rPr>
                <w:rFonts w:ascii="宋体" w:hAnsi="宋体" w:eastAsia="宋体" w:cs="Times New Roman"/>
                <w:color w:val="auto"/>
              </w:rPr>
              <w:t xml:space="preserve">-0.667 </w:t>
            </w:r>
          </w:p>
        </w:tc>
        <w:tc>
          <w:tcPr>
            <w:tcW w:w="1447" w:type="dxa"/>
            <w:vAlign w:val="center"/>
          </w:tcPr>
          <w:p w14:paraId="1D3F81C3">
            <w:pPr>
              <w:spacing w:line="360" w:lineRule="exact"/>
              <w:jc w:val="center"/>
              <w:rPr>
                <w:rFonts w:ascii="宋体" w:hAnsi="宋体" w:eastAsia="宋体" w:cs="Times New Roman"/>
                <w:color w:val="auto"/>
              </w:rPr>
            </w:pPr>
            <w:r>
              <w:rPr>
                <w:rFonts w:ascii="宋体" w:hAnsi="宋体" w:eastAsia="宋体" w:cs="Times New Roman"/>
                <w:color w:val="auto"/>
              </w:rPr>
              <w:t xml:space="preserve">11.501 </w:t>
            </w:r>
          </w:p>
        </w:tc>
        <w:tc>
          <w:tcPr>
            <w:tcW w:w="1590" w:type="dxa"/>
            <w:vMerge w:val="continue"/>
            <w:vAlign w:val="center"/>
          </w:tcPr>
          <w:p w14:paraId="2861E497">
            <w:pPr>
              <w:spacing w:line="360" w:lineRule="exact"/>
              <w:jc w:val="center"/>
              <w:rPr>
                <w:rFonts w:ascii="宋体" w:hAnsi="宋体" w:eastAsia="宋体" w:cs="Times New Roman"/>
                <w:color w:val="auto"/>
              </w:rPr>
            </w:pPr>
          </w:p>
        </w:tc>
        <w:tc>
          <w:tcPr>
            <w:tcW w:w="1022" w:type="dxa"/>
            <w:vMerge w:val="continue"/>
            <w:vAlign w:val="center"/>
          </w:tcPr>
          <w:p w14:paraId="4E8B4B06">
            <w:pPr>
              <w:spacing w:line="360" w:lineRule="exact"/>
              <w:jc w:val="center"/>
              <w:rPr>
                <w:rFonts w:ascii="宋体" w:hAnsi="宋体" w:eastAsia="宋体" w:cs="Times New Roman"/>
                <w:color w:val="auto"/>
              </w:rPr>
            </w:pPr>
          </w:p>
        </w:tc>
        <w:tc>
          <w:tcPr>
            <w:tcW w:w="839" w:type="dxa"/>
            <w:vMerge w:val="continue"/>
            <w:vAlign w:val="center"/>
          </w:tcPr>
          <w:p w14:paraId="50C9FAAC">
            <w:pPr>
              <w:spacing w:line="360" w:lineRule="exact"/>
              <w:jc w:val="center"/>
              <w:rPr>
                <w:rFonts w:ascii="宋体" w:hAnsi="宋体" w:eastAsia="宋体" w:cs="Times New Roman"/>
                <w:color w:val="auto"/>
              </w:rPr>
            </w:pPr>
          </w:p>
        </w:tc>
      </w:tr>
      <w:tr w14:paraId="416A3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477B7B24">
            <w:pPr>
              <w:jc w:val="center"/>
              <w:textAlignment w:val="center"/>
              <w:rPr>
                <w:rFonts w:ascii="宋体" w:hAnsi="宋体" w:eastAsia="宋体" w:cs="Times New Roman"/>
                <w:color w:val="auto"/>
              </w:rPr>
            </w:pPr>
            <w:r>
              <w:rPr>
                <w:rFonts w:ascii="宋体" w:hAnsi="宋体" w:eastAsia="宋体" w:cs="Times New Roman"/>
                <w:color w:val="auto"/>
                <w:lang w:bidi="ar"/>
              </w:rPr>
              <w:t>大姚屯（苏家、潜水）</w:t>
            </w:r>
          </w:p>
        </w:tc>
        <w:tc>
          <w:tcPr>
            <w:tcW w:w="1206" w:type="dxa"/>
            <w:vAlign w:val="center"/>
          </w:tcPr>
          <w:p w14:paraId="672FF303">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358A9940">
            <w:pPr>
              <w:spacing w:line="360" w:lineRule="exact"/>
              <w:jc w:val="center"/>
              <w:rPr>
                <w:rFonts w:ascii="宋体" w:hAnsi="宋体" w:eastAsia="宋体" w:cs="Times New Roman"/>
                <w:color w:val="auto"/>
              </w:rPr>
            </w:pPr>
            <w:r>
              <w:rPr>
                <w:rFonts w:ascii="宋体" w:hAnsi="宋体" w:eastAsia="宋体" w:cs="Times New Roman"/>
                <w:color w:val="auto"/>
              </w:rPr>
              <w:t xml:space="preserve">0.050 </w:t>
            </w:r>
          </w:p>
        </w:tc>
        <w:tc>
          <w:tcPr>
            <w:tcW w:w="1447" w:type="dxa"/>
            <w:vAlign w:val="center"/>
          </w:tcPr>
          <w:p w14:paraId="2125F9F4">
            <w:pPr>
              <w:spacing w:line="360" w:lineRule="exact"/>
              <w:jc w:val="center"/>
              <w:rPr>
                <w:rFonts w:ascii="宋体" w:hAnsi="宋体" w:eastAsia="宋体" w:cs="Times New Roman"/>
                <w:color w:val="auto"/>
              </w:rPr>
            </w:pPr>
            <w:r>
              <w:rPr>
                <w:rFonts w:ascii="宋体" w:hAnsi="宋体" w:eastAsia="宋体" w:cs="Times New Roman"/>
                <w:color w:val="auto"/>
              </w:rPr>
              <w:t xml:space="preserve">0.995 </w:t>
            </w:r>
          </w:p>
        </w:tc>
        <w:tc>
          <w:tcPr>
            <w:tcW w:w="1590" w:type="dxa"/>
            <w:vMerge w:val="restart"/>
            <w:vAlign w:val="center"/>
          </w:tcPr>
          <w:p w14:paraId="48F2C6FA">
            <w:pPr>
              <w:spacing w:line="360" w:lineRule="exact"/>
              <w:jc w:val="center"/>
              <w:rPr>
                <w:rFonts w:ascii="宋体" w:hAnsi="宋体" w:eastAsia="宋体" w:cs="Times New Roman"/>
                <w:color w:val="auto"/>
              </w:rPr>
            </w:pPr>
            <w:r>
              <w:rPr>
                <w:rFonts w:ascii="宋体" w:hAnsi="宋体" w:eastAsia="宋体" w:cs="Times New Roman"/>
                <w:color w:val="auto"/>
              </w:rPr>
              <w:t xml:space="preserve">5.050 </w:t>
            </w:r>
          </w:p>
        </w:tc>
        <w:tc>
          <w:tcPr>
            <w:tcW w:w="1022" w:type="dxa"/>
            <w:vMerge w:val="restart"/>
            <w:vAlign w:val="center"/>
          </w:tcPr>
          <w:p w14:paraId="24C84DA6">
            <w:pPr>
              <w:spacing w:line="360" w:lineRule="exact"/>
              <w:jc w:val="center"/>
              <w:rPr>
                <w:rFonts w:ascii="宋体" w:hAnsi="宋体" w:eastAsia="宋体" w:cs="Times New Roman"/>
                <w:color w:val="auto"/>
              </w:rPr>
            </w:pPr>
            <w:r>
              <w:rPr>
                <w:rFonts w:ascii="宋体" w:hAnsi="宋体" w:eastAsia="宋体" w:cs="Times New Roman"/>
                <w:color w:val="auto"/>
              </w:rPr>
              <w:t xml:space="preserve">2.99 </w:t>
            </w:r>
          </w:p>
        </w:tc>
        <w:tc>
          <w:tcPr>
            <w:tcW w:w="839" w:type="dxa"/>
            <w:vMerge w:val="restart"/>
            <w:vAlign w:val="center"/>
          </w:tcPr>
          <w:p w14:paraId="33579134">
            <w:pPr>
              <w:spacing w:line="360" w:lineRule="exact"/>
              <w:jc w:val="center"/>
              <w:rPr>
                <w:rFonts w:ascii="宋体" w:hAnsi="宋体" w:eastAsia="宋体" w:cs="Times New Roman"/>
                <w:color w:val="auto"/>
              </w:rPr>
            </w:pPr>
            <w:r>
              <w:rPr>
                <w:rFonts w:ascii="宋体" w:hAnsi="宋体" w:eastAsia="宋体" w:cs="Times New Roman"/>
                <w:color w:val="auto"/>
              </w:rPr>
              <w:t xml:space="preserve">0.39 </w:t>
            </w:r>
          </w:p>
        </w:tc>
      </w:tr>
      <w:tr w14:paraId="29B4F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3F42575">
            <w:pPr>
              <w:spacing w:line="360" w:lineRule="exact"/>
              <w:jc w:val="center"/>
              <w:rPr>
                <w:rFonts w:ascii="宋体" w:hAnsi="宋体" w:eastAsia="宋体" w:cs="Times New Roman"/>
                <w:color w:val="auto"/>
              </w:rPr>
            </w:pPr>
          </w:p>
        </w:tc>
        <w:tc>
          <w:tcPr>
            <w:tcW w:w="1206" w:type="dxa"/>
            <w:vAlign w:val="center"/>
          </w:tcPr>
          <w:p w14:paraId="684DB778">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088458C1">
            <w:pPr>
              <w:spacing w:line="360" w:lineRule="exact"/>
              <w:jc w:val="center"/>
              <w:rPr>
                <w:rFonts w:ascii="宋体" w:hAnsi="宋体" w:eastAsia="宋体" w:cs="Times New Roman"/>
                <w:color w:val="auto"/>
              </w:rPr>
            </w:pPr>
            <w:r>
              <w:rPr>
                <w:rFonts w:ascii="宋体" w:hAnsi="宋体" w:eastAsia="宋体" w:cs="Times New Roman"/>
                <w:color w:val="auto"/>
              </w:rPr>
              <w:t xml:space="preserve">2.191 </w:t>
            </w:r>
          </w:p>
        </w:tc>
        <w:tc>
          <w:tcPr>
            <w:tcW w:w="1447" w:type="dxa"/>
            <w:vAlign w:val="center"/>
          </w:tcPr>
          <w:p w14:paraId="584D95A4">
            <w:pPr>
              <w:spacing w:line="360" w:lineRule="exact"/>
              <w:jc w:val="center"/>
              <w:rPr>
                <w:rFonts w:ascii="宋体" w:hAnsi="宋体" w:eastAsia="宋体" w:cs="Times New Roman"/>
                <w:color w:val="auto"/>
              </w:rPr>
            </w:pPr>
            <w:r>
              <w:rPr>
                <w:rFonts w:ascii="宋体" w:hAnsi="宋体" w:eastAsia="宋体" w:cs="Times New Roman"/>
                <w:color w:val="auto"/>
              </w:rPr>
              <w:t xml:space="preserve">43.393 </w:t>
            </w:r>
          </w:p>
        </w:tc>
        <w:tc>
          <w:tcPr>
            <w:tcW w:w="1590" w:type="dxa"/>
            <w:vMerge w:val="continue"/>
            <w:vAlign w:val="center"/>
          </w:tcPr>
          <w:p w14:paraId="337290E4">
            <w:pPr>
              <w:spacing w:line="360" w:lineRule="exact"/>
              <w:jc w:val="center"/>
              <w:rPr>
                <w:rFonts w:ascii="宋体" w:hAnsi="宋体" w:eastAsia="宋体" w:cs="Times New Roman"/>
                <w:color w:val="auto"/>
              </w:rPr>
            </w:pPr>
          </w:p>
        </w:tc>
        <w:tc>
          <w:tcPr>
            <w:tcW w:w="1022" w:type="dxa"/>
            <w:vMerge w:val="continue"/>
            <w:vAlign w:val="center"/>
          </w:tcPr>
          <w:p w14:paraId="4D2D4C46">
            <w:pPr>
              <w:spacing w:line="360" w:lineRule="exact"/>
              <w:jc w:val="center"/>
              <w:rPr>
                <w:rFonts w:ascii="宋体" w:hAnsi="宋体" w:eastAsia="宋体" w:cs="Times New Roman"/>
                <w:color w:val="auto"/>
              </w:rPr>
            </w:pPr>
          </w:p>
        </w:tc>
        <w:tc>
          <w:tcPr>
            <w:tcW w:w="839" w:type="dxa"/>
            <w:vMerge w:val="continue"/>
            <w:vAlign w:val="center"/>
          </w:tcPr>
          <w:p w14:paraId="5DD40447">
            <w:pPr>
              <w:spacing w:line="360" w:lineRule="exact"/>
              <w:jc w:val="center"/>
              <w:rPr>
                <w:rFonts w:ascii="宋体" w:hAnsi="宋体" w:eastAsia="宋体" w:cs="Times New Roman"/>
                <w:color w:val="auto"/>
              </w:rPr>
            </w:pPr>
          </w:p>
        </w:tc>
      </w:tr>
      <w:tr w14:paraId="5178E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DC3643C">
            <w:pPr>
              <w:spacing w:line="360" w:lineRule="exact"/>
              <w:jc w:val="center"/>
              <w:rPr>
                <w:rFonts w:ascii="宋体" w:hAnsi="宋体" w:eastAsia="宋体" w:cs="Times New Roman"/>
                <w:color w:val="auto"/>
              </w:rPr>
            </w:pPr>
          </w:p>
        </w:tc>
        <w:tc>
          <w:tcPr>
            <w:tcW w:w="1206" w:type="dxa"/>
            <w:vAlign w:val="center"/>
          </w:tcPr>
          <w:p w14:paraId="6BE901F9">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64FDA5CA">
            <w:pPr>
              <w:spacing w:line="360" w:lineRule="exact"/>
              <w:jc w:val="center"/>
              <w:rPr>
                <w:rFonts w:ascii="宋体" w:hAnsi="宋体" w:eastAsia="宋体" w:cs="Times New Roman"/>
                <w:color w:val="auto"/>
              </w:rPr>
            </w:pPr>
            <w:r>
              <w:rPr>
                <w:rFonts w:ascii="宋体" w:hAnsi="宋体" w:eastAsia="宋体" w:cs="Times New Roman"/>
                <w:color w:val="auto"/>
              </w:rPr>
              <w:t xml:space="preserve">2.065 </w:t>
            </w:r>
          </w:p>
        </w:tc>
        <w:tc>
          <w:tcPr>
            <w:tcW w:w="1447" w:type="dxa"/>
            <w:vAlign w:val="center"/>
          </w:tcPr>
          <w:p w14:paraId="71CE2BCB">
            <w:pPr>
              <w:spacing w:line="360" w:lineRule="exact"/>
              <w:jc w:val="center"/>
              <w:rPr>
                <w:rFonts w:ascii="宋体" w:hAnsi="宋体" w:eastAsia="宋体" w:cs="Times New Roman"/>
                <w:color w:val="auto"/>
              </w:rPr>
            </w:pPr>
            <w:r>
              <w:rPr>
                <w:rFonts w:ascii="宋体" w:hAnsi="宋体" w:eastAsia="宋体" w:cs="Times New Roman"/>
                <w:color w:val="auto"/>
              </w:rPr>
              <w:t xml:space="preserve">40.892 </w:t>
            </w:r>
          </w:p>
        </w:tc>
        <w:tc>
          <w:tcPr>
            <w:tcW w:w="1590" w:type="dxa"/>
            <w:vMerge w:val="continue"/>
            <w:vAlign w:val="center"/>
          </w:tcPr>
          <w:p w14:paraId="0D72FCCA">
            <w:pPr>
              <w:spacing w:line="360" w:lineRule="exact"/>
              <w:jc w:val="center"/>
              <w:rPr>
                <w:rFonts w:ascii="宋体" w:hAnsi="宋体" w:eastAsia="宋体" w:cs="Times New Roman"/>
                <w:color w:val="auto"/>
              </w:rPr>
            </w:pPr>
          </w:p>
        </w:tc>
        <w:tc>
          <w:tcPr>
            <w:tcW w:w="1022" w:type="dxa"/>
            <w:vMerge w:val="continue"/>
            <w:vAlign w:val="center"/>
          </w:tcPr>
          <w:p w14:paraId="0F58968C">
            <w:pPr>
              <w:spacing w:line="360" w:lineRule="exact"/>
              <w:jc w:val="center"/>
              <w:rPr>
                <w:rFonts w:ascii="宋体" w:hAnsi="宋体" w:eastAsia="宋体" w:cs="Times New Roman"/>
                <w:color w:val="auto"/>
              </w:rPr>
            </w:pPr>
          </w:p>
        </w:tc>
        <w:tc>
          <w:tcPr>
            <w:tcW w:w="839" w:type="dxa"/>
            <w:vMerge w:val="continue"/>
            <w:vAlign w:val="center"/>
          </w:tcPr>
          <w:p w14:paraId="54941F12">
            <w:pPr>
              <w:spacing w:line="360" w:lineRule="exact"/>
              <w:jc w:val="center"/>
              <w:rPr>
                <w:rFonts w:ascii="宋体" w:hAnsi="宋体" w:eastAsia="宋体" w:cs="Times New Roman"/>
                <w:color w:val="auto"/>
              </w:rPr>
            </w:pPr>
          </w:p>
        </w:tc>
      </w:tr>
      <w:tr w14:paraId="7B50F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661A3C0">
            <w:pPr>
              <w:spacing w:line="360" w:lineRule="exact"/>
              <w:jc w:val="center"/>
              <w:rPr>
                <w:rFonts w:ascii="宋体" w:hAnsi="宋体" w:eastAsia="宋体" w:cs="Times New Roman"/>
                <w:color w:val="auto"/>
              </w:rPr>
            </w:pPr>
          </w:p>
        </w:tc>
        <w:tc>
          <w:tcPr>
            <w:tcW w:w="1206" w:type="dxa"/>
            <w:vAlign w:val="center"/>
          </w:tcPr>
          <w:p w14:paraId="0AD3D565">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7BAE3298">
            <w:pPr>
              <w:spacing w:line="360" w:lineRule="exact"/>
              <w:jc w:val="center"/>
              <w:rPr>
                <w:rFonts w:ascii="宋体" w:hAnsi="宋体" w:eastAsia="宋体" w:cs="Times New Roman"/>
                <w:color w:val="auto"/>
              </w:rPr>
            </w:pPr>
            <w:r>
              <w:rPr>
                <w:rFonts w:ascii="宋体" w:hAnsi="宋体" w:eastAsia="宋体" w:cs="Times New Roman"/>
                <w:color w:val="auto"/>
              </w:rPr>
              <w:t xml:space="preserve">0.743 </w:t>
            </w:r>
          </w:p>
        </w:tc>
        <w:tc>
          <w:tcPr>
            <w:tcW w:w="1447" w:type="dxa"/>
            <w:vAlign w:val="center"/>
          </w:tcPr>
          <w:p w14:paraId="64D7E62E">
            <w:pPr>
              <w:spacing w:line="360" w:lineRule="exact"/>
              <w:jc w:val="center"/>
              <w:rPr>
                <w:rFonts w:ascii="宋体" w:hAnsi="宋体" w:eastAsia="宋体" w:cs="Times New Roman"/>
                <w:color w:val="auto"/>
              </w:rPr>
            </w:pPr>
            <w:r>
              <w:rPr>
                <w:rFonts w:ascii="宋体" w:hAnsi="宋体" w:eastAsia="宋体" w:cs="Times New Roman"/>
                <w:color w:val="auto"/>
              </w:rPr>
              <w:t xml:space="preserve">14.720 </w:t>
            </w:r>
          </w:p>
        </w:tc>
        <w:tc>
          <w:tcPr>
            <w:tcW w:w="1590" w:type="dxa"/>
            <w:vMerge w:val="continue"/>
            <w:vAlign w:val="center"/>
          </w:tcPr>
          <w:p w14:paraId="49A66161">
            <w:pPr>
              <w:spacing w:line="360" w:lineRule="exact"/>
              <w:jc w:val="center"/>
              <w:rPr>
                <w:rFonts w:ascii="宋体" w:hAnsi="宋体" w:eastAsia="宋体" w:cs="Times New Roman"/>
                <w:color w:val="auto"/>
              </w:rPr>
            </w:pPr>
          </w:p>
        </w:tc>
        <w:tc>
          <w:tcPr>
            <w:tcW w:w="1022" w:type="dxa"/>
            <w:vMerge w:val="continue"/>
            <w:vAlign w:val="center"/>
          </w:tcPr>
          <w:p w14:paraId="0EF2AAF2">
            <w:pPr>
              <w:spacing w:line="360" w:lineRule="exact"/>
              <w:jc w:val="center"/>
              <w:rPr>
                <w:rFonts w:ascii="宋体" w:hAnsi="宋体" w:eastAsia="宋体" w:cs="Times New Roman"/>
                <w:color w:val="auto"/>
              </w:rPr>
            </w:pPr>
          </w:p>
        </w:tc>
        <w:tc>
          <w:tcPr>
            <w:tcW w:w="839" w:type="dxa"/>
            <w:vMerge w:val="continue"/>
            <w:vAlign w:val="center"/>
          </w:tcPr>
          <w:p w14:paraId="0E94BE30">
            <w:pPr>
              <w:spacing w:line="360" w:lineRule="exact"/>
              <w:jc w:val="center"/>
              <w:rPr>
                <w:rFonts w:ascii="宋体" w:hAnsi="宋体" w:eastAsia="宋体" w:cs="Times New Roman"/>
                <w:color w:val="auto"/>
              </w:rPr>
            </w:pPr>
          </w:p>
        </w:tc>
      </w:tr>
      <w:tr w14:paraId="1EFCD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CAF6964">
            <w:pPr>
              <w:spacing w:line="360" w:lineRule="exact"/>
              <w:jc w:val="center"/>
              <w:rPr>
                <w:rFonts w:ascii="宋体" w:hAnsi="宋体" w:eastAsia="宋体" w:cs="Times New Roman"/>
                <w:color w:val="auto"/>
              </w:rPr>
            </w:pPr>
          </w:p>
        </w:tc>
        <w:tc>
          <w:tcPr>
            <w:tcW w:w="1206" w:type="dxa"/>
            <w:vAlign w:val="center"/>
          </w:tcPr>
          <w:p w14:paraId="206B079C">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450F9CE6">
            <w:pPr>
              <w:spacing w:line="360" w:lineRule="exact"/>
              <w:jc w:val="center"/>
              <w:rPr>
                <w:rFonts w:ascii="宋体" w:hAnsi="宋体" w:eastAsia="宋体" w:cs="Times New Roman"/>
                <w:color w:val="auto"/>
              </w:rPr>
            </w:pPr>
            <w:r>
              <w:rPr>
                <w:rFonts w:ascii="宋体" w:hAnsi="宋体" w:eastAsia="宋体" w:cs="Times New Roman"/>
                <w:color w:val="auto"/>
              </w:rPr>
              <w:t xml:space="preserve">-3.426 </w:t>
            </w:r>
          </w:p>
        </w:tc>
        <w:tc>
          <w:tcPr>
            <w:tcW w:w="1447" w:type="dxa"/>
            <w:vAlign w:val="center"/>
          </w:tcPr>
          <w:p w14:paraId="03030A5C">
            <w:pPr>
              <w:spacing w:line="360" w:lineRule="exact"/>
              <w:jc w:val="center"/>
              <w:rPr>
                <w:rFonts w:ascii="宋体" w:hAnsi="宋体" w:eastAsia="宋体" w:cs="Times New Roman"/>
                <w:color w:val="auto"/>
              </w:rPr>
            </w:pPr>
            <w:r>
              <w:rPr>
                <w:rFonts w:ascii="宋体" w:hAnsi="宋体" w:eastAsia="宋体" w:cs="Times New Roman"/>
                <w:color w:val="auto"/>
              </w:rPr>
              <w:t xml:space="preserve">63.913 </w:t>
            </w:r>
          </w:p>
        </w:tc>
        <w:tc>
          <w:tcPr>
            <w:tcW w:w="1590" w:type="dxa"/>
            <w:vMerge w:val="restart"/>
            <w:vAlign w:val="center"/>
          </w:tcPr>
          <w:p w14:paraId="26B126FE">
            <w:pPr>
              <w:spacing w:line="360" w:lineRule="exact"/>
              <w:jc w:val="center"/>
              <w:rPr>
                <w:rFonts w:ascii="宋体" w:hAnsi="宋体" w:eastAsia="宋体" w:cs="Times New Roman"/>
                <w:color w:val="auto"/>
              </w:rPr>
            </w:pPr>
            <w:r>
              <w:rPr>
                <w:rFonts w:ascii="宋体" w:hAnsi="宋体" w:eastAsia="宋体" w:cs="Times New Roman"/>
                <w:color w:val="auto"/>
              </w:rPr>
              <w:t xml:space="preserve">5.361 </w:t>
            </w:r>
          </w:p>
        </w:tc>
        <w:tc>
          <w:tcPr>
            <w:tcW w:w="1022" w:type="dxa"/>
            <w:vMerge w:val="continue"/>
            <w:vAlign w:val="center"/>
          </w:tcPr>
          <w:p w14:paraId="7531A142">
            <w:pPr>
              <w:spacing w:line="360" w:lineRule="exact"/>
              <w:jc w:val="center"/>
              <w:rPr>
                <w:rFonts w:ascii="宋体" w:hAnsi="宋体" w:eastAsia="宋体" w:cs="Times New Roman"/>
                <w:color w:val="auto"/>
              </w:rPr>
            </w:pPr>
          </w:p>
        </w:tc>
        <w:tc>
          <w:tcPr>
            <w:tcW w:w="839" w:type="dxa"/>
            <w:vMerge w:val="continue"/>
            <w:vAlign w:val="center"/>
          </w:tcPr>
          <w:p w14:paraId="0C0460A8">
            <w:pPr>
              <w:spacing w:line="360" w:lineRule="exact"/>
              <w:jc w:val="center"/>
              <w:rPr>
                <w:rFonts w:ascii="宋体" w:hAnsi="宋体" w:eastAsia="宋体" w:cs="Times New Roman"/>
                <w:color w:val="auto"/>
              </w:rPr>
            </w:pPr>
          </w:p>
        </w:tc>
      </w:tr>
      <w:tr w14:paraId="54F95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468EAC1">
            <w:pPr>
              <w:spacing w:line="360" w:lineRule="exact"/>
              <w:jc w:val="center"/>
              <w:rPr>
                <w:rFonts w:ascii="宋体" w:hAnsi="宋体" w:eastAsia="宋体" w:cs="Times New Roman"/>
                <w:color w:val="auto"/>
              </w:rPr>
            </w:pPr>
          </w:p>
        </w:tc>
        <w:tc>
          <w:tcPr>
            <w:tcW w:w="1206" w:type="dxa"/>
            <w:vAlign w:val="center"/>
          </w:tcPr>
          <w:p w14:paraId="2802E015">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115B43AC">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753FE03E">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2E8AA4A8">
            <w:pPr>
              <w:spacing w:line="360" w:lineRule="exact"/>
              <w:jc w:val="center"/>
              <w:rPr>
                <w:rFonts w:ascii="宋体" w:hAnsi="宋体" w:eastAsia="宋体" w:cs="Times New Roman"/>
                <w:color w:val="auto"/>
              </w:rPr>
            </w:pPr>
          </w:p>
        </w:tc>
        <w:tc>
          <w:tcPr>
            <w:tcW w:w="1022" w:type="dxa"/>
            <w:vMerge w:val="continue"/>
            <w:vAlign w:val="center"/>
          </w:tcPr>
          <w:p w14:paraId="17DB9DDF">
            <w:pPr>
              <w:spacing w:line="360" w:lineRule="exact"/>
              <w:jc w:val="center"/>
              <w:rPr>
                <w:rFonts w:ascii="宋体" w:hAnsi="宋体" w:eastAsia="宋体" w:cs="Times New Roman"/>
                <w:color w:val="auto"/>
              </w:rPr>
            </w:pPr>
          </w:p>
        </w:tc>
        <w:tc>
          <w:tcPr>
            <w:tcW w:w="839" w:type="dxa"/>
            <w:vMerge w:val="continue"/>
            <w:vAlign w:val="center"/>
          </w:tcPr>
          <w:p w14:paraId="5F442982">
            <w:pPr>
              <w:spacing w:line="360" w:lineRule="exact"/>
              <w:jc w:val="center"/>
              <w:rPr>
                <w:rFonts w:ascii="宋体" w:hAnsi="宋体" w:eastAsia="宋体" w:cs="Times New Roman"/>
                <w:color w:val="auto"/>
              </w:rPr>
            </w:pPr>
          </w:p>
        </w:tc>
      </w:tr>
      <w:tr w14:paraId="66244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C2F0210">
            <w:pPr>
              <w:spacing w:line="360" w:lineRule="exact"/>
              <w:jc w:val="center"/>
              <w:rPr>
                <w:rFonts w:ascii="宋体" w:hAnsi="宋体" w:eastAsia="宋体" w:cs="Times New Roman"/>
                <w:color w:val="auto"/>
              </w:rPr>
            </w:pPr>
          </w:p>
        </w:tc>
        <w:tc>
          <w:tcPr>
            <w:tcW w:w="1206" w:type="dxa"/>
            <w:vAlign w:val="center"/>
          </w:tcPr>
          <w:p w14:paraId="326F1E84">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6BF28DC9">
            <w:pPr>
              <w:spacing w:line="360" w:lineRule="exact"/>
              <w:jc w:val="center"/>
              <w:rPr>
                <w:rFonts w:ascii="宋体" w:hAnsi="宋体" w:eastAsia="宋体" w:cs="Times New Roman"/>
                <w:color w:val="auto"/>
              </w:rPr>
            </w:pPr>
            <w:r>
              <w:rPr>
                <w:rFonts w:ascii="宋体" w:hAnsi="宋体" w:eastAsia="宋体" w:cs="Times New Roman"/>
                <w:color w:val="auto"/>
              </w:rPr>
              <w:t xml:space="preserve">-1.143 </w:t>
            </w:r>
          </w:p>
        </w:tc>
        <w:tc>
          <w:tcPr>
            <w:tcW w:w="1447" w:type="dxa"/>
            <w:vAlign w:val="center"/>
          </w:tcPr>
          <w:p w14:paraId="53363E12">
            <w:pPr>
              <w:spacing w:line="360" w:lineRule="exact"/>
              <w:jc w:val="center"/>
              <w:rPr>
                <w:rFonts w:ascii="宋体" w:hAnsi="宋体" w:eastAsia="宋体" w:cs="Times New Roman"/>
                <w:color w:val="auto"/>
              </w:rPr>
            </w:pPr>
            <w:r>
              <w:rPr>
                <w:rFonts w:ascii="宋体" w:hAnsi="宋体" w:eastAsia="宋体" w:cs="Times New Roman"/>
                <w:color w:val="auto"/>
              </w:rPr>
              <w:t xml:space="preserve">21.319 </w:t>
            </w:r>
          </w:p>
        </w:tc>
        <w:tc>
          <w:tcPr>
            <w:tcW w:w="1590" w:type="dxa"/>
            <w:vMerge w:val="continue"/>
            <w:vAlign w:val="center"/>
          </w:tcPr>
          <w:p w14:paraId="62F821A9">
            <w:pPr>
              <w:spacing w:line="360" w:lineRule="exact"/>
              <w:jc w:val="center"/>
              <w:rPr>
                <w:rFonts w:ascii="宋体" w:hAnsi="宋体" w:eastAsia="宋体" w:cs="Times New Roman"/>
                <w:color w:val="auto"/>
              </w:rPr>
            </w:pPr>
          </w:p>
        </w:tc>
        <w:tc>
          <w:tcPr>
            <w:tcW w:w="1022" w:type="dxa"/>
            <w:vMerge w:val="continue"/>
            <w:vAlign w:val="center"/>
          </w:tcPr>
          <w:p w14:paraId="64304A87">
            <w:pPr>
              <w:spacing w:line="360" w:lineRule="exact"/>
              <w:jc w:val="center"/>
              <w:rPr>
                <w:rFonts w:ascii="宋体" w:hAnsi="宋体" w:eastAsia="宋体" w:cs="Times New Roman"/>
                <w:color w:val="auto"/>
              </w:rPr>
            </w:pPr>
          </w:p>
        </w:tc>
        <w:tc>
          <w:tcPr>
            <w:tcW w:w="839" w:type="dxa"/>
            <w:vMerge w:val="continue"/>
            <w:vAlign w:val="center"/>
          </w:tcPr>
          <w:p w14:paraId="2BA7F9BB">
            <w:pPr>
              <w:spacing w:line="360" w:lineRule="exact"/>
              <w:jc w:val="center"/>
              <w:rPr>
                <w:rFonts w:ascii="宋体" w:hAnsi="宋体" w:eastAsia="宋体" w:cs="Times New Roman"/>
                <w:color w:val="auto"/>
              </w:rPr>
            </w:pPr>
          </w:p>
        </w:tc>
      </w:tr>
      <w:tr w14:paraId="2A2F4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90BF62B">
            <w:pPr>
              <w:spacing w:line="360" w:lineRule="exact"/>
              <w:jc w:val="center"/>
              <w:rPr>
                <w:rFonts w:ascii="宋体" w:hAnsi="宋体" w:eastAsia="宋体" w:cs="Times New Roman"/>
                <w:color w:val="auto"/>
              </w:rPr>
            </w:pPr>
          </w:p>
        </w:tc>
        <w:tc>
          <w:tcPr>
            <w:tcW w:w="1206" w:type="dxa"/>
            <w:vAlign w:val="center"/>
          </w:tcPr>
          <w:p w14:paraId="7AEF85B7">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51E9C33A">
            <w:pPr>
              <w:spacing w:line="360" w:lineRule="exact"/>
              <w:jc w:val="center"/>
              <w:rPr>
                <w:rFonts w:ascii="宋体" w:hAnsi="宋体" w:eastAsia="宋体" w:cs="Times New Roman"/>
                <w:color w:val="auto"/>
              </w:rPr>
            </w:pPr>
            <w:r>
              <w:rPr>
                <w:rFonts w:ascii="宋体" w:hAnsi="宋体" w:eastAsia="宋体" w:cs="Times New Roman"/>
                <w:color w:val="auto"/>
              </w:rPr>
              <w:t xml:space="preserve">-0.792 </w:t>
            </w:r>
          </w:p>
        </w:tc>
        <w:tc>
          <w:tcPr>
            <w:tcW w:w="1447" w:type="dxa"/>
            <w:vAlign w:val="center"/>
          </w:tcPr>
          <w:p w14:paraId="0FF36AC1">
            <w:pPr>
              <w:spacing w:line="360" w:lineRule="exact"/>
              <w:jc w:val="center"/>
              <w:rPr>
                <w:rFonts w:ascii="宋体" w:hAnsi="宋体" w:eastAsia="宋体" w:cs="Times New Roman"/>
                <w:color w:val="auto"/>
              </w:rPr>
            </w:pPr>
            <w:r>
              <w:rPr>
                <w:rFonts w:ascii="宋体" w:hAnsi="宋体" w:eastAsia="宋体" w:cs="Times New Roman"/>
                <w:color w:val="auto"/>
              </w:rPr>
              <w:t xml:space="preserve">14.768 </w:t>
            </w:r>
          </w:p>
        </w:tc>
        <w:tc>
          <w:tcPr>
            <w:tcW w:w="1590" w:type="dxa"/>
            <w:vMerge w:val="continue"/>
            <w:vAlign w:val="center"/>
          </w:tcPr>
          <w:p w14:paraId="08532A0F">
            <w:pPr>
              <w:spacing w:line="360" w:lineRule="exact"/>
              <w:jc w:val="center"/>
              <w:rPr>
                <w:rFonts w:ascii="宋体" w:hAnsi="宋体" w:eastAsia="宋体" w:cs="Times New Roman"/>
                <w:color w:val="auto"/>
              </w:rPr>
            </w:pPr>
          </w:p>
        </w:tc>
        <w:tc>
          <w:tcPr>
            <w:tcW w:w="1022" w:type="dxa"/>
            <w:vMerge w:val="continue"/>
            <w:vAlign w:val="center"/>
          </w:tcPr>
          <w:p w14:paraId="798140E9">
            <w:pPr>
              <w:spacing w:line="360" w:lineRule="exact"/>
              <w:jc w:val="center"/>
              <w:rPr>
                <w:rFonts w:ascii="宋体" w:hAnsi="宋体" w:eastAsia="宋体" w:cs="Times New Roman"/>
                <w:color w:val="auto"/>
              </w:rPr>
            </w:pPr>
          </w:p>
        </w:tc>
        <w:tc>
          <w:tcPr>
            <w:tcW w:w="839" w:type="dxa"/>
            <w:vMerge w:val="continue"/>
            <w:vAlign w:val="center"/>
          </w:tcPr>
          <w:p w14:paraId="6EA42513">
            <w:pPr>
              <w:spacing w:line="360" w:lineRule="exact"/>
              <w:jc w:val="center"/>
              <w:rPr>
                <w:rFonts w:ascii="宋体" w:hAnsi="宋体" w:eastAsia="宋体" w:cs="Times New Roman"/>
                <w:color w:val="auto"/>
              </w:rPr>
            </w:pPr>
          </w:p>
        </w:tc>
      </w:tr>
      <w:tr w14:paraId="3C449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721B4C7C">
            <w:pPr>
              <w:jc w:val="center"/>
              <w:textAlignment w:val="center"/>
              <w:rPr>
                <w:rFonts w:ascii="宋体" w:hAnsi="宋体" w:eastAsia="宋体" w:cs="Times New Roman"/>
                <w:color w:val="auto"/>
              </w:rPr>
            </w:pPr>
            <w:r>
              <w:rPr>
                <w:rFonts w:ascii="宋体" w:hAnsi="宋体" w:eastAsia="宋体" w:cs="Times New Roman"/>
                <w:color w:val="auto"/>
                <w:lang w:bidi="ar"/>
              </w:rPr>
              <w:t>黑岗子屯(张家、潜水)</w:t>
            </w:r>
          </w:p>
        </w:tc>
        <w:tc>
          <w:tcPr>
            <w:tcW w:w="1206" w:type="dxa"/>
            <w:vAlign w:val="center"/>
          </w:tcPr>
          <w:p w14:paraId="1C522DE1">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17B6DBE5">
            <w:pPr>
              <w:spacing w:line="360" w:lineRule="exact"/>
              <w:jc w:val="center"/>
              <w:rPr>
                <w:rFonts w:ascii="宋体" w:hAnsi="宋体" w:eastAsia="宋体" w:cs="Times New Roman"/>
                <w:color w:val="auto"/>
              </w:rPr>
            </w:pPr>
            <w:r>
              <w:rPr>
                <w:rFonts w:ascii="宋体" w:hAnsi="宋体" w:eastAsia="宋体" w:cs="Times New Roman"/>
                <w:color w:val="auto"/>
              </w:rPr>
              <w:t xml:space="preserve">0.075 </w:t>
            </w:r>
          </w:p>
        </w:tc>
        <w:tc>
          <w:tcPr>
            <w:tcW w:w="1447" w:type="dxa"/>
            <w:vAlign w:val="center"/>
          </w:tcPr>
          <w:p w14:paraId="5D1E9AC9">
            <w:pPr>
              <w:spacing w:line="360" w:lineRule="exact"/>
              <w:jc w:val="center"/>
              <w:rPr>
                <w:rFonts w:ascii="宋体" w:hAnsi="宋体" w:eastAsia="宋体" w:cs="Times New Roman"/>
                <w:color w:val="auto"/>
              </w:rPr>
            </w:pPr>
            <w:r>
              <w:rPr>
                <w:rFonts w:ascii="宋体" w:hAnsi="宋体" w:eastAsia="宋体" w:cs="Times New Roman"/>
                <w:color w:val="auto"/>
              </w:rPr>
              <w:t xml:space="preserve">1.187 </w:t>
            </w:r>
          </w:p>
        </w:tc>
        <w:tc>
          <w:tcPr>
            <w:tcW w:w="1590" w:type="dxa"/>
            <w:vMerge w:val="restart"/>
            <w:vAlign w:val="center"/>
          </w:tcPr>
          <w:p w14:paraId="7A24EC81">
            <w:pPr>
              <w:spacing w:line="360" w:lineRule="exact"/>
              <w:jc w:val="center"/>
              <w:rPr>
                <w:rFonts w:ascii="宋体" w:hAnsi="宋体" w:eastAsia="宋体" w:cs="Times New Roman"/>
                <w:color w:val="auto"/>
              </w:rPr>
            </w:pPr>
            <w:r>
              <w:rPr>
                <w:rFonts w:ascii="宋体" w:hAnsi="宋体" w:eastAsia="宋体" w:cs="Times New Roman"/>
                <w:color w:val="auto"/>
              </w:rPr>
              <w:t xml:space="preserve">6.285 </w:t>
            </w:r>
          </w:p>
        </w:tc>
        <w:tc>
          <w:tcPr>
            <w:tcW w:w="1022" w:type="dxa"/>
            <w:vMerge w:val="restart"/>
            <w:vAlign w:val="center"/>
          </w:tcPr>
          <w:p w14:paraId="759208BF">
            <w:pPr>
              <w:spacing w:line="360" w:lineRule="exact"/>
              <w:jc w:val="center"/>
              <w:rPr>
                <w:rFonts w:ascii="宋体" w:hAnsi="宋体" w:eastAsia="宋体" w:cs="Times New Roman"/>
                <w:color w:val="auto"/>
              </w:rPr>
            </w:pPr>
            <w:r>
              <w:rPr>
                <w:rFonts w:ascii="宋体" w:hAnsi="宋体" w:eastAsia="宋体" w:cs="Times New Roman"/>
                <w:color w:val="auto"/>
              </w:rPr>
              <w:t xml:space="preserve">0.45 </w:t>
            </w:r>
          </w:p>
        </w:tc>
        <w:tc>
          <w:tcPr>
            <w:tcW w:w="839" w:type="dxa"/>
            <w:vMerge w:val="restart"/>
            <w:vAlign w:val="center"/>
          </w:tcPr>
          <w:p w14:paraId="7E667933">
            <w:pPr>
              <w:spacing w:line="360" w:lineRule="exact"/>
              <w:jc w:val="center"/>
              <w:rPr>
                <w:rFonts w:ascii="宋体" w:hAnsi="宋体" w:eastAsia="宋体" w:cs="Times New Roman"/>
                <w:color w:val="auto"/>
              </w:rPr>
            </w:pPr>
            <w:r>
              <w:rPr>
                <w:rFonts w:ascii="宋体" w:hAnsi="宋体" w:eastAsia="宋体" w:cs="Times New Roman"/>
                <w:color w:val="auto"/>
              </w:rPr>
              <w:t xml:space="preserve">0.46 </w:t>
            </w:r>
          </w:p>
        </w:tc>
      </w:tr>
      <w:tr w14:paraId="69006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E4BF25F">
            <w:pPr>
              <w:spacing w:line="360" w:lineRule="exact"/>
              <w:jc w:val="center"/>
              <w:rPr>
                <w:rFonts w:ascii="宋体" w:hAnsi="宋体" w:eastAsia="宋体" w:cs="Times New Roman"/>
                <w:color w:val="auto"/>
              </w:rPr>
            </w:pPr>
          </w:p>
        </w:tc>
        <w:tc>
          <w:tcPr>
            <w:tcW w:w="1206" w:type="dxa"/>
            <w:vAlign w:val="center"/>
          </w:tcPr>
          <w:p w14:paraId="329DFC61">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71E7F538">
            <w:pPr>
              <w:spacing w:line="360" w:lineRule="exact"/>
              <w:jc w:val="center"/>
              <w:rPr>
                <w:rFonts w:ascii="宋体" w:hAnsi="宋体" w:eastAsia="宋体" w:cs="Times New Roman"/>
                <w:color w:val="auto"/>
              </w:rPr>
            </w:pPr>
            <w:r>
              <w:rPr>
                <w:rFonts w:ascii="宋体" w:hAnsi="宋体" w:eastAsia="宋体" w:cs="Times New Roman"/>
                <w:color w:val="auto"/>
              </w:rPr>
              <w:t xml:space="preserve">2.665 </w:t>
            </w:r>
          </w:p>
        </w:tc>
        <w:tc>
          <w:tcPr>
            <w:tcW w:w="1447" w:type="dxa"/>
            <w:vAlign w:val="center"/>
          </w:tcPr>
          <w:p w14:paraId="6AB75955">
            <w:pPr>
              <w:spacing w:line="360" w:lineRule="exact"/>
              <w:jc w:val="center"/>
              <w:rPr>
                <w:rFonts w:ascii="宋体" w:hAnsi="宋体" w:eastAsia="宋体" w:cs="Times New Roman"/>
                <w:color w:val="auto"/>
              </w:rPr>
            </w:pPr>
            <w:r>
              <w:rPr>
                <w:rFonts w:ascii="宋体" w:hAnsi="宋体" w:eastAsia="宋体" w:cs="Times New Roman"/>
                <w:color w:val="auto"/>
              </w:rPr>
              <w:t xml:space="preserve">42.407 </w:t>
            </w:r>
          </w:p>
        </w:tc>
        <w:tc>
          <w:tcPr>
            <w:tcW w:w="1590" w:type="dxa"/>
            <w:vMerge w:val="continue"/>
            <w:vAlign w:val="center"/>
          </w:tcPr>
          <w:p w14:paraId="16EAF29D">
            <w:pPr>
              <w:spacing w:line="360" w:lineRule="exact"/>
              <w:jc w:val="center"/>
              <w:rPr>
                <w:rFonts w:ascii="宋体" w:hAnsi="宋体" w:eastAsia="宋体" w:cs="Times New Roman"/>
                <w:color w:val="auto"/>
              </w:rPr>
            </w:pPr>
          </w:p>
        </w:tc>
        <w:tc>
          <w:tcPr>
            <w:tcW w:w="1022" w:type="dxa"/>
            <w:vMerge w:val="continue"/>
            <w:vAlign w:val="center"/>
          </w:tcPr>
          <w:p w14:paraId="4E6A379E">
            <w:pPr>
              <w:spacing w:line="360" w:lineRule="exact"/>
              <w:jc w:val="center"/>
              <w:rPr>
                <w:rFonts w:ascii="宋体" w:hAnsi="宋体" w:eastAsia="宋体" w:cs="Times New Roman"/>
                <w:color w:val="auto"/>
              </w:rPr>
            </w:pPr>
          </w:p>
        </w:tc>
        <w:tc>
          <w:tcPr>
            <w:tcW w:w="839" w:type="dxa"/>
            <w:vMerge w:val="continue"/>
            <w:vAlign w:val="center"/>
          </w:tcPr>
          <w:p w14:paraId="5BE48648">
            <w:pPr>
              <w:spacing w:line="360" w:lineRule="exact"/>
              <w:jc w:val="center"/>
              <w:rPr>
                <w:rFonts w:ascii="宋体" w:hAnsi="宋体" w:eastAsia="宋体" w:cs="Times New Roman"/>
                <w:color w:val="auto"/>
              </w:rPr>
            </w:pPr>
          </w:p>
        </w:tc>
      </w:tr>
      <w:tr w14:paraId="25C24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FC32DDD">
            <w:pPr>
              <w:spacing w:line="360" w:lineRule="exact"/>
              <w:jc w:val="center"/>
              <w:rPr>
                <w:rFonts w:ascii="宋体" w:hAnsi="宋体" w:eastAsia="宋体" w:cs="Times New Roman"/>
                <w:color w:val="auto"/>
              </w:rPr>
            </w:pPr>
          </w:p>
        </w:tc>
        <w:tc>
          <w:tcPr>
            <w:tcW w:w="1206" w:type="dxa"/>
            <w:vAlign w:val="center"/>
          </w:tcPr>
          <w:p w14:paraId="0DC359BF">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1A569B6D">
            <w:pPr>
              <w:spacing w:line="360" w:lineRule="exact"/>
              <w:jc w:val="center"/>
              <w:rPr>
                <w:rFonts w:ascii="宋体" w:hAnsi="宋体" w:eastAsia="宋体" w:cs="Times New Roman"/>
                <w:color w:val="auto"/>
              </w:rPr>
            </w:pPr>
            <w:r>
              <w:rPr>
                <w:rFonts w:ascii="宋体" w:hAnsi="宋体" w:eastAsia="宋体" w:cs="Times New Roman"/>
                <w:color w:val="auto"/>
              </w:rPr>
              <w:t xml:space="preserve">2.620 </w:t>
            </w:r>
          </w:p>
        </w:tc>
        <w:tc>
          <w:tcPr>
            <w:tcW w:w="1447" w:type="dxa"/>
            <w:vAlign w:val="center"/>
          </w:tcPr>
          <w:p w14:paraId="0795706E">
            <w:pPr>
              <w:spacing w:line="360" w:lineRule="exact"/>
              <w:jc w:val="center"/>
              <w:rPr>
                <w:rFonts w:ascii="宋体" w:hAnsi="宋体" w:eastAsia="宋体" w:cs="Times New Roman"/>
                <w:color w:val="auto"/>
              </w:rPr>
            </w:pPr>
            <w:r>
              <w:rPr>
                <w:rFonts w:ascii="宋体" w:hAnsi="宋体" w:eastAsia="宋体" w:cs="Times New Roman"/>
                <w:color w:val="auto"/>
              </w:rPr>
              <w:t xml:space="preserve">41.688 </w:t>
            </w:r>
          </w:p>
        </w:tc>
        <w:tc>
          <w:tcPr>
            <w:tcW w:w="1590" w:type="dxa"/>
            <w:vMerge w:val="continue"/>
            <w:vAlign w:val="center"/>
          </w:tcPr>
          <w:p w14:paraId="0B06D88C">
            <w:pPr>
              <w:spacing w:line="360" w:lineRule="exact"/>
              <w:jc w:val="center"/>
              <w:rPr>
                <w:rFonts w:ascii="宋体" w:hAnsi="宋体" w:eastAsia="宋体" w:cs="Times New Roman"/>
                <w:color w:val="auto"/>
              </w:rPr>
            </w:pPr>
          </w:p>
        </w:tc>
        <w:tc>
          <w:tcPr>
            <w:tcW w:w="1022" w:type="dxa"/>
            <w:vMerge w:val="continue"/>
            <w:vAlign w:val="center"/>
          </w:tcPr>
          <w:p w14:paraId="20AE2942">
            <w:pPr>
              <w:spacing w:line="360" w:lineRule="exact"/>
              <w:jc w:val="center"/>
              <w:rPr>
                <w:rFonts w:ascii="宋体" w:hAnsi="宋体" w:eastAsia="宋体" w:cs="Times New Roman"/>
                <w:color w:val="auto"/>
              </w:rPr>
            </w:pPr>
          </w:p>
        </w:tc>
        <w:tc>
          <w:tcPr>
            <w:tcW w:w="839" w:type="dxa"/>
            <w:vMerge w:val="continue"/>
            <w:vAlign w:val="center"/>
          </w:tcPr>
          <w:p w14:paraId="54719DDF">
            <w:pPr>
              <w:spacing w:line="360" w:lineRule="exact"/>
              <w:jc w:val="center"/>
              <w:rPr>
                <w:rFonts w:ascii="宋体" w:hAnsi="宋体" w:eastAsia="宋体" w:cs="Times New Roman"/>
                <w:color w:val="auto"/>
              </w:rPr>
            </w:pPr>
          </w:p>
        </w:tc>
      </w:tr>
      <w:tr w14:paraId="48573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9096330">
            <w:pPr>
              <w:spacing w:line="360" w:lineRule="exact"/>
              <w:jc w:val="center"/>
              <w:rPr>
                <w:rFonts w:ascii="宋体" w:hAnsi="宋体" w:eastAsia="宋体" w:cs="Times New Roman"/>
                <w:color w:val="auto"/>
              </w:rPr>
            </w:pPr>
          </w:p>
        </w:tc>
        <w:tc>
          <w:tcPr>
            <w:tcW w:w="1206" w:type="dxa"/>
            <w:vAlign w:val="center"/>
          </w:tcPr>
          <w:p w14:paraId="682F044C">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6EC4CBF8">
            <w:pPr>
              <w:spacing w:line="360" w:lineRule="exact"/>
              <w:jc w:val="center"/>
              <w:rPr>
                <w:rFonts w:ascii="宋体" w:hAnsi="宋体" w:eastAsia="宋体" w:cs="Times New Roman"/>
                <w:color w:val="auto"/>
              </w:rPr>
            </w:pPr>
            <w:r>
              <w:rPr>
                <w:rFonts w:ascii="宋体" w:hAnsi="宋体" w:eastAsia="宋体" w:cs="Times New Roman"/>
                <w:color w:val="auto"/>
              </w:rPr>
              <w:t xml:space="preserve">0.925 </w:t>
            </w:r>
          </w:p>
        </w:tc>
        <w:tc>
          <w:tcPr>
            <w:tcW w:w="1447" w:type="dxa"/>
            <w:vAlign w:val="center"/>
          </w:tcPr>
          <w:p w14:paraId="0ED1ECAC">
            <w:pPr>
              <w:spacing w:line="360" w:lineRule="exact"/>
              <w:jc w:val="center"/>
              <w:rPr>
                <w:rFonts w:ascii="宋体" w:hAnsi="宋体" w:eastAsia="宋体" w:cs="Times New Roman"/>
                <w:color w:val="auto"/>
              </w:rPr>
            </w:pPr>
            <w:r>
              <w:rPr>
                <w:rFonts w:ascii="宋体" w:hAnsi="宋体" w:eastAsia="宋体" w:cs="Times New Roman"/>
                <w:color w:val="auto"/>
              </w:rPr>
              <w:t xml:space="preserve">14.718 </w:t>
            </w:r>
          </w:p>
        </w:tc>
        <w:tc>
          <w:tcPr>
            <w:tcW w:w="1590" w:type="dxa"/>
            <w:vMerge w:val="continue"/>
            <w:vAlign w:val="center"/>
          </w:tcPr>
          <w:p w14:paraId="26713477">
            <w:pPr>
              <w:spacing w:line="360" w:lineRule="exact"/>
              <w:jc w:val="center"/>
              <w:rPr>
                <w:rFonts w:ascii="宋体" w:hAnsi="宋体" w:eastAsia="宋体" w:cs="Times New Roman"/>
                <w:color w:val="auto"/>
              </w:rPr>
            </w:pPr>
          </w:p>
        </w:tc>
        <w:tc>
          <w:tcPr>
            <w:tcW w:w="1022" w:type="dxa"/>
            <w:vMerge w:val="continue"/>
            <w:vAlign w:val="center"/>
          </w:tcPr>
          <w:p w14:paraId="5FF672A0">
            <w:pPr>
              <w:spacing w:line="360" w:lineRule="exact"/>
              <w:jc w:val="center"/>
              <w:rPr>
                <w:rFonts w:ascii="宋体" w:hAnsi="宋体" w:eastAsia="宋体" w:cs="Times New Roman"/>
                <w:color w:val="auto"/>
              </w:rPr>
            </w:pPr>
          </w:p>
        </w:tc>
        <w:tc>
          <w:tcPr>
            <w:tcW w:w="839" w:type="dxa"/>
            <w:vMerge w:val="continue"/>
            <w:vAlign w:val="center"/>
          </w:tcPr>
          <w:p w14:paraId="0C984336">
            <w:pPr>
              <w:spacing w:line="360" w:lineRule="exact"/>
              <w:jc w:val="center"/>
              <w:rPr>
                <w:rFonts w:ascii="宋体" w:hAnsi="宋体" w:eastAsia="宋体" w:cs="Times New Roman"/>
                <w:color w:val="auto"/>
              </w:rPr>
            </w:pPr>
          </w:p>
        </w:tc>
      </w:tr>
      <w:tr w14:paraId="177C9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4A68327">
            <w:pPr>
              <w:spacing w:line="360" w:lineRule="exact"/>
              <w:jc w:val="center"/>
              <w:rPr>
                <w:rFonts w:ascii="宋体" w:hAnsi="宋体" w:eastAsia="宋体" w:cs="Times New Roman"/>
                <w:color w:val="auto"/>
              </w:rPr>
            </w:pPr>
          </w:p>
        </w:tc>
        <w:tc>
          <w:tcPr>
            <w:tcW w:w="1206" w:type="dxa"/>
            <w:vAlign w:val="center"/>
          </w:tcPr>
          <w:p w14:paraId="1302579F">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5BE82A2E">
            <w:pPr>
              <w:spacing w:line="360" w:lineRule="exact"/>
              <w:jc w:val="center"/>
              <w:rPr>
                <w:rFonts w:ascii="宋体" w:hAnsi="宋体" w:eastAsia="宋体" w:cs="Times New Roman"/>
                <w:color w:val="auto"/>
              </w:rPr>
            </w:pPr>
            <w:r>
              <w:rPr>
                <w:rFonts w:ascii="宋体" w:hAnsi="宋体" w:eastAsia="宋体" w:cs="Times New Roman"/>
                <w:color w:val="auto"/>
              </w:rPr>
              <w:t xml:space="preserve">-3.967 </w:t>
            </w:r>
          </w:p>
        </w:tc>
        <w:tc>
          <w:tcPr>
            <w:tcW w:w="1447" w:type="dxa"/>
            <w:vAlign w:val="center"/>
          </w:tcPr>
          <w:p w14:paraId="74A7021F">
            <w:pPr>
              <w:spacing w:line="360" w:lineRule="exact"/>
              <w:jc w:val="center"/>
              <w:rPr>
                <w:rFonts w:ascii="宋体" w:hAnsi="宋体" w:eastAsia="宋体" w:cs="Times New Roman"/>
                <w:color w:val="auto"/>
              </w:rPr>
            </w:pPr>
            <w:r>
              <w:rPr>
                <w:rFonts w:ascii="宋体" w:hAnsi="宋体" w:eastAsia="宋体" w:cs="Times New Roman"/>
                <w:color w:val="auto"/>
              </w:rPr>
              <w:t xml:space="preserve">62.564 </w:t>
            </w:r>
          </w:p>
        </w:tc>
        <w:tc>
          <w:tcPr>
            <w:tcW w:w="1590" w:type="dxa"/>
            <w:vMerge w:val="restart"/>
            <w:vAlign w:val="center"/>
          </w:tcPr>
          <w:p w14:paraId="4609502E">
            <w:pPr>
              <w:spacing w:line="360" w:lineRule="exact"/>
              <w:jc w:val="center"/>
              <w:rPr>
                <w:rFonts w:ascii="宋体" w:hAnsi="宋体" w:eastAsia="宋体" w:cs="Times New Roman"/>
                <w:color w:val="auto"/>
              </w:rPr>
            </w:pPr>
            <w:r>
              <w:rPr>
                <w:rFonts w:ascii="宋体" w:hAnsi="宋体" w:eastAsia="宋体" w:cs="Times New Roman"/>
                <w:color w:val="auto"/>
              </w:rPr>
              <w:t xml:space="preserve">6.341 </w:t>
            </w:r>
          </w:p>
        </w:tc>
        <w:tc>
          <w:tcPr>
            <w:tcW w:w="1022" w:type="dxa"/>
            <w:vMerge w:val="continue"/>
            <w:vAlign w:val="center"/>
          </w:tcPr>
          <w:p w14:paraId="6E55C45B">
            <w:pPr>
              <w:spacing w:line="360" w:lineRule="exact"/>
              <w:jc w:val="center"/>
              <w:rPr>
                <w:rFonts w:ascii="宋体" w:hAnsi="宋体" w:eastAsia="宋体" w:cs="Times New Roman"/>
                <w:color w:val="auto"/>
              </w:rPr>
            </w:pPr>
          </w:p>
        </w:tc>
        <w:tc>
          <w:tcPr>
            <w:tcW w:w="839" w:type="dxa"/>
            <w:vMerge w:val="continue"/>
            <w:vAlign w:val="center"/>
          </w:tcPr>
          <w:p w14:paraId="6B5ADA7B">
            <w:pPr>
              <w:spacing w:line="360" w:lineRule="exact"/>
              <w:jc w:val="center"/>
              <w:rPr>
                <w:rFonts w:ascii="宋体" w:hAnsi="宋体" w:eastAsia="宋体" w:cs="Times New Roman"/>
                <w:color w:val="auto"/>
              </w:rPr>
            </w:pPr>
          </w:p>
        </w:tc>
      </w:tr>
      <w:tr w14:paraId="2B946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0EA9099">
            <w:pPr>
              <w:spacing w:line="360" w:lineRule="exact"/>
              <w:jc w:val="center"/>
              <w:rPr>
                <w:rFonts w:ascii="宋体" w:hAnsi="宋体" w:eastAsia="宋体" w:cs="Times New Roman"/>
                <w:color w:val="auto"/>
              </w:rPr>
            </w:pPr>
          </w:p>
        </w:tc>
        <w:tc>
          <w:tcPr>
            <w:tcW w:w="1206" w:type="dxa"/>
            <w:vAlign w:val="center"/>
          </w:tcPr>
          <w:p w14:paraId="61B9F447">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35DD3890">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02CFADF4">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7451219C">
            <w:pPr>
              <w:spacing w:line="360" w:lineRule="exact"/>
              <w:jc w:val="center"/>
              <w:rPr>
                <w:rFonts w:ascii="宋体" w:hAnsi="宋体" w:eastAsia="宋体" w:cs="Times New Roman"/>
                <w:color w:val="auto"/>
              </w:rPr>
            </w:pPr>
          </w:p>
        </w:tc>
        <w:tc>
          <w:tcPr>
            <w:tcW w:w="1022" w:type="dxa"/>
            <w:vMerge w:val="continue"/>
            <w:vAlign w:val="center"/>
          </w:tcPr>
          <w:p w14:paraId="678351D0">
            <w:pPr>
              <w:spacing w:line="360" w:lineRule="exact"/>
              <w:jc w:val="center"/>
              <w:rPr>
                <w:rFonts w:ascii="宋体" w:hAnsi="宋体" w:eastAsia="宋体" w:cs="Times New Roman"/>
                <w:color w:val="auto"/>
              </w:rPr>
            </w:pPr>
          </w:p>
        </w:tc>
        <w:tc>
          <w:tcPr>
            <w:tcW w:w="839" w:type="dxa"/>
            <w:vMerge w:val="continue"/>
            <w:vAlign w:val="center"/>
          </w:tcPr>
          <w:p w14:paraId="33E677F3">
            <w:pPr>
              <w:spacing w:line="360" w:lineRule="exact"/>
              <w:jc w:val="center"/>
              <w:rPr>
                <w:rFonts w:ascii="宋体" w:hAnsi="宋体" w:eastAsia="宋体" w:cs="Times New Roman"/>
                <w:color w:val="auto"/>
              </w:rPr>
            </w:pPr>
          </w:p>
        </w:tc>
      </w:tr>
      <w:tr w14:paraId="51C48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66E06A7">
            <w:pPr>
              <w:spacing w:line="360" w:lineRule="exact"/>
              <w:jc w:val="center"/>
              <w:rPr>
                <w:rFonts w:ascii="宋体" w:hAnsi="宋体" w:eastAsia="宋体" w:cs="Times New Roman"/>
                <w:color w:val="auto"/>
              </w:rPr>
            </w:pPr>
          </w:p>
        </w:tc>
        <w:tc>
          <w:tcPr>
            <w:tcW w:w="1206" w:type="dxa"/>
            <w:vAlign w:val="center"/>
          </w:tcPr>
          <w:p w14:paraId="76021E9D">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4A5D673E">
            <w:pPr>
              <w:spacing w:line="360" w:lineRule="exact"/>
              <w:jc w:val="center"/>
              <w:rPr>
                <w:rFonts w:ascii="宋体" w:hAnsi="宋体" w:eastAsia="宋体" w:cs="Times New Roman"/>
                <w:color w:val="auto"/>
              </w:rPr>
            </w:pPr>
            <w:r>
              <w:rPr>
                <w:rFonts w:ascii="宋体" w:hAnsi="宋体" w:eastAsia="宋体" w:cs="Times New Roman"/>
                <w:color w:val="auto"/>
              </w:rPr>
              <w:t xml:space="preserve">-1.457 </w:t>
            </w:r>
          </w:p>
        </w:tc>
        <w:tc>
          <w:tcPr>
            <w:tcW w:w="1447" w:type="dxa"/>
            <w:vAlign w:val="center"/>
          </w:tcPr>
          <w:p w14:paraId="7C4E9940">
            <w:pPr>
              <w:spacing w:line="360" w:lineRule="exact"/>
              <w:jc w:val="center"/>
              <w:rPr>
                <w:rFonts w:ascii="宋体" w:hAnsi="宋体" w:eastAsia="宋体" w:cs="Times New Roman"/>
                <w:color w:val="auto"/>
              </w:rPr>
            </w:pPr>
            <w:r>
              <w:rPr>
                <w:rFonts w:ascii="宋体" w:hAnsi="宋体" w:eastAsia="宋体" w:cs="Times New Roman"/>
                <w:color w:val="auto"/>
              </w:rPr>
              <w:t xml:space="preserve">22.980 </w:t>
            </w:r>
          </w:p>
        </w:tc>
        <w:tc>
          <w:tcPr>
            <w:tcW w:w="1590" w:type="dxa"/>
            <w:vMerge w:val="continue"/>
            <w:vAlign w:val="center"/>
          </w:tcPr>
          <w:p w14:paraId="6E5A2362">
            <w:pPr>
              <w:spacing w:line="360" w:lineRule="exact"/>
              <w:jc w:val="center"/>
              <w:rPr>
                <w:rFonts w:ascii="宋体" w:hAnsi="宋体" w:eastAsia="宋体" w:cs="Times New Roman"/>
                <w:color w:val="auto"/>
              </w:rPr>
            </w:pPr>
          </w:p>
        </w:tc>
        <w:tc>
          <w:tcPr>
            <w:tcW w:w="1022" w:type="dxa"/>
            <w:vMerge w:val="continue"/>
            <w:vAlign w:val="center"/>
          </w:tcPr>
          <w:p w14:paraId="130C5F9D">
            <w:pPr>
              <w:spacing w:line="360" w:lineRule="exact"/>
              <w:jc w:val="center"/>
              <w:rPr>
                <w:rFonts w:ascii="宋体" w:hAnsi="宋体" w:eastAsia="宋体" w:cs="Times New Roman"/>
                <w:color w:val="auto"/>
              </w:rPr>
            </w:pPr>
          </w:p>
        </w:tc>
        <w:tc>
          <w:tcPr>
            <w:tcW w:w="839" w:type="dxa"/>
            <w:vMerge w:val="continue"/>
            <w:vAlign w:val="center"/>
          </w:tcPr>
          <w:p w14:paraId="5CBCCAFF">
            <w:pPr>
              <w:spacing w:line="360" w:lineRule="exact"/>
              <w:jc w:val="center"/>
              <w:rPr>
                <w:rFonts w:ascii="宋体" w:hAnsi="宋体" w:eastAsia="宋体" w:cs="Times New Roman"/>
                <w:color w:val="auto"/>
              </w:rPr>
            </w:pPr>
          </w:p>
        </w:tc>
      </w:tr>
      <w:tr w14:paraId="2F396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B2E840C">
            <w:pPr>
              <w:spacing w:line="360" w:lineRule="exact"/>
              <w:jc w:val="center"/>
              <w:rPr>
                <w:rFonts w:ascii="宋体" w:hAnsi="宋体" w:eastAsia="宋体" w:cs="Times New Roman"/>
                <w:color w:val="auto"/>
              </w:rPr>
            </w:pPr>
          </w:p>
        </w:tc>
        <w:tc>
          <w:tcPr>
            <w:tcW w:w="1206" w:type="dxa"/>
            <w:vAlign w:val="center"/>
          </w:tcPr>
          <w:p w14:paraId="428CABA8">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29A22A11">
            <w:pPr>
              <w:spacing w:line="360" w:lineRule="exact"/>
              <w:jc w:val="center"/>
              <w:rPr>
                <w:rFonts w:ascii="宋体" w:hAnsi="宋体" w:eastAsia="宋体" w:cs="Times New Roman"/>
                <w:color w:val="auto"/>
              </w:rPr>
            </w:pPr>
            <w:r>
              <w:rPr>
                <w:rFonts w:ascii="宋体" w:hAnsi="宋体" w:eastAsia="宋体" w:cs="Times New Roman"/>
                <w:color w:val="auto"/>
              </w:rPr>
              <w:t xml:space="preserve">-0.917 </w:t>
            </w:r>
          </w:p>
        </w:tc>
        <w:tc>
          <w:tcPr>
            <w:tcW w:w="1447" w:type="dxa"/>
            <w:vAlign w:val="center"/>
          </w:tcPr>
          <w:p w14:paraId="4D34A671">
            <w:pPr>
              <w:spacing w:line="360" w:lineRule="exact"/>
              <w:jc w:val="center"/>
              <w:rPr>
                <w:rFonts w:ascii="宋体" w:hAnsi="宋体" w:eastAsia="宋体" w:cs="Times New Roman"/>
                <w:color w:val="auto"/>
              </w:rPr>
            </w:pPr>
            <w:r>
              <w:rPr>
                <w:rFonts w:ascii="宋体" w:hAnsi="宋体" w:eastAsia="宋体" w:cs="Times New Roman"/>
                <w:color w:val="auto"/>
              </w:rPr>
              <w:t xml:space="preserve">14.456 </w:t>
            </w:r>
          </w:p>
        </w:tc>
        <w:tc>
          <w:tcPr>
            <w:tcW w:w="1590" w:type="dxa"/>
            <w:vMerge w:val="continue"/>
            <w:vAlign w:val="center"/>
          </w:tcPr>
          <w:p w14:paraId="77E215D6">
            <w:pPr>
              <w:spacing w:line="360" w:lineRule="exact"/>
              <w:jc w:val="center"/>
              <w:rPr>
                <w:rFonts w:ascii="宋体" w:hAnsi="宋体" w:eastAsia="宋体" w:cs="Times New Roman"/>
                <w:color w:val="auto"/>
              </w:rPr>
            </w:pPr>
          </w:p>
        </w:tc>
        <w:tc>
          <w:tcPr>
            <w:tcW w:w="1022" w:type="dxa"/>
            <w:vMerge w:val="continue"/>
            <w:vAlign w:val="center"/>
          </w:tcPr>
          <w:p w14:paraId="376CBC50">
            <w:pPr>
              <w:spacing w:line="360" w:lineRule="exact"/>
              <w:jc w:val="center"/>
              <w:rPr>
                <w:rFonts w:ascii="宋体" w:hAnsi="宋体" w:eastAsia="宋体" w:cs="Times New Roman"/>
                <w:color w:val="auto"/>
              </w:rPr>
            </w:pPr>
          </w:p>
        </w:tc>
        <w:tc>
          <w:tcPr>
            <w:tcW w:w="839" w:type="dxa"/>
            <w:vMerge w:val="continue"/>
            <w:vAlign w:val="center"/>
          </w:tcPr>
          <w:p w14:paraId="61810F6B">
            <w:pPr>
              <w:spacing w:line="360" w:lineRule="exact"/>
              <w:jc w:val="center"/>
              <w:rPr>
                <w:rFonts w:ascii="宋体" w:hAnsi="宋体" w:eastAsia="宋体" w:cs="Times New Roman"/>
                <w:color w:val="auto"/>
              </w:rPr>
            </w:pPr>
          </w:p>
        </w:tc>
      </w:tr>
      <w:tr w14:paraId="2E6F7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48D2F3AC">
            <w:pPr>
              <w:jc w:val="center"/>
              <w:textAlignment w:val="center"/>
              <w:rPr>
                <w:rFonts w:ascii="宋体" w:hAnsi="宋体" w:eastAsia="宋体" w:cs="Times New Roman"/>
                <w:color w:val="auto"/>
              </w:rPr>
            </w:pPr>
            <w:r>
              <w:rPr>
                <w:rFonts w:ascii="宋体" w:hAnsi="宋体" w:eastAsia="宋体" w:cs="Times New Roman"/>
                <w:color w:val="auto"/>
                <w:lang w:bidi="ar"/>
              </w:rPr>
              <w:t>刘兽医屯（刘家、潜水）</w:t>
            </w:r>
          </w:p>
        </w:tc>
        <w:tc>
          <w:tcPr>
            <w:tcW w:w="1206" w:type="dxa"/>
            <w:vAlign w:val="center"/>
          </w:tcPr>
          <w:p w14:paraId="5FDAED64">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6CD20259">
            <w:pPr>
              <w:spacing w:line="360" w:lineRule="exact"/>
              <w:jc w:val="center"/>
              <w:rPr>
                <w:rFonts w:ascii="宋体" w:hAnsi="宋体" w:eastAsia="宋体" w:cs="Times New Roman"/>
                <w:color w:val="auto"/>
              </w:rPr>
            </w:pPr>
            <w:r>
              <w:rPr>
                <w:rFonts w:ascii="宋体" w:hAnsi="宋体" w:eastAsia="宋体" w:cs="Times New Roman"/>
                <w:color w:val="auto"/>
              </w:rPr>
              <w:t xml:space="preserve">0.054 </w:t>
            </w:r>
          </w:p>
        </w:tc>
        <w:tc>
          <w:tcPr>
            <w:tcW w:w="1447" w:type="dxa"/>
            <w:vAlign w:val="center"/>
          </w:tcPr>
          <w:p w14:paraId="4FB0F52F">
            <w:pPr>
              <w:spacing w:line="360" w:lineRule="exact"/>
              <w:jc w:val="center"/>
              <w:rPr>
                <w:rFonts w:ascii="宋体" w:hAnsi="宋体" w:eastAsia="宋体" w:cs="Times New Roman"/>
                <w:color w:val="auto"/>
              </w:rPr>
            </w:pPr>
            <w:r>
              <w:rPr>
                <w:rFonts w:ascii="宋体" w:hAnsi="宋体" w:eastAsia="宋体" w:cs="Times New Roman"/>
                <w:color w:val="auto"/>
              </w:rPr>
              <w:t xml:space="preserve">0.934 </w:t>
            </w:r>
          </w:p>
        </w:tc>
        <w:tc>
          <w:tcPr>
            <w:tcW w:w="1590" w:type="dxa"/>
            <w:vMerge w:val="restart"/>
            <w:vAlign w:val="center"/>
          </w:tcPr>
          <w:p w14:paraId="52BAF8CB">
            <w:pPr>
              <w:spacing w:line="360" w:lineRule="exact"/>
              <w:jc w:val="center"/>
              <w:rPr>
                <w:rFonts w:ascii="宋体" w:hAnsi="宋体" w:eastAsia="宋体" w:cs="Times New Roman"/>
                <w:color w:val="auto"/>
              </w:rPr>
            </w:pPr>
            <w:r>
              <w:rPr>
                <w:rFonts w:ascii="宋体" w:hAnsi="宋体" w:eastAsia="宋体" w:cs="Times New Roman"/>
                <w:color w:val="auto"/>
              </w:rPr>
              <w:t xml:space="preserve">5.821 </w:t>
            </w:r>
          </w:p>
        </w:tc>
        <w:tc>
          <w:tcPr>
            <w:tcW w:w="1022" w:type="dxa"/>
            <w:vMerge w:val="restart"/>
            <w:vAlign w:val="center"/>
          </w:tcPr>
          <w:p w14:paraId="69E77316">
            <w:pPr>
              <w:spacing w:line="360" w:lineRule="exact"/>
              <w:jc w:val="center"/>
              <w:rPr>
                <w:rFonts w:ascii="宋体" w:hAnsi="宋体" w:eastAsia="宋体" w:cs="Times New Roman"/>
                <w:color w:val="auto"/>
              </w:rPr>
            </w:pPr>
            <w:r>
              <w:rPr>
                <w:rFonts w:ascii="宋体" w:hAnsi="宋体" w:eastAsia="宋体" w:cs="Times New Roman"/>
                <w:color w:val="auto"/>
              </w:rPr>
              <w:t xml:space="preserve">1.52 </w:t>
            </w:r>
          </w:p>
        </w:tc>
        <w:tc>
          <w:tcPr>
            <w:tcW w:w="839" w:type="dxa"/>
            <w:vMerge w:val="restart"/>
            <w:vAlign w:val="center"/>
          </w:tcPr>
          <w:p w14:paraId="6F37100C">
            <w:pPr>
              <w:spacing w:line="360" w:lineRule="exact"/>
              <w:jc w:val="center"/>
              <w:rPr>
                <w:rFonts w:ascii="宋体" w:hAnsi="宋体" w:eastAsia="宋体" w:cs="Times New Roman"/>
                <w:color w:val="auto"/>
              </w:rPr>
            </w:pPr>
            <w:r>
              <w:rPr>
                <w:rFonts w:ascii="宋体" w:hAnsi="宋体" w:eastAsia="宋体" w:cs="Times New Roman"/>
                <w:color w:val="auto"/>
              </w:rPr>
              <w:t xml:space="preserve">0.42 </w:t>
            </w:r>
          </w:p>
        </w:tc>
      </w:tr>
      <w:tr w14:paraId="27FED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05FF29BA">
            <w:pPr>
              <w:spacing w:line="360" w:lineRule="exact"/>
              <w:jc w:val="center"/>
              <w:rPr>
                <w:rFonts w:ascii="宋体" w:hAnsi="宋体" w:eastAsia="宋体" w:cs="Times New Roman"/>
                <w:color w:val="auto"/>
              </w:rPr>
            </w:pPr>
          </w:p>
        </w:tc>
        <w:tc>
          <w:tcPr>
            <w:tcW w:w="1206" w:type="dxa"/>
            <w:vAlign w:val="center"/>
          </w:tcPr>
          <w:p w14:paraId="28F08310">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2DE0C306">
            <w:pPr>
              <w:spacing w:line="360" w:lineRule="exact"/>
              <w:jc w:val="center"/>
              <w:rPr>
                <w:rFonts w:ascii="宋体" w:hAnsi="宋体" w:eastAsia="宋体" w:cs="Times New Roman"/>
                <w:color w:val="auto"/>
              </w:rPr>
            </w:pPr>
            <w:r>
              <w:rPr>
                <w:rFonts w:ascii="宋体" w:hAnsi="宋体" w:eastAsia="宋体" w:cs="Times New Roman"/>
                <w:color w:val="auto"/>
              </w:rPr>
              <w:t xml:space="preserve">2.491 </w:t>
            </w:r>
          </w:p>
        </w:tc>
        <w:tc>
          <w:tcPr>
            <w:tcW w:w="1447" w:type="dxa"/>
            <w:vAlign w:val="center"/>
          </w:tcPr>
          <w:p w14:paraId="22A6783A">
            <w:pPr>
              <w:spacing w:line="360" w:lineRule="exact"/>
              <w:jc w:val="center"/>
              <w:rPr>
                <w:rFonts w:ascii="宋体" w:hAnsi="宋体" w:eastAsia="宋体" w:cs="Times New Roman"/>
                <w:color w:val="auto"/>
              </w:rPr>
            </w:pPr>
            <w:r>
              <w:rPr>
                <w:rFonts w:ascii="宋体" w:hAnsi="宋体" w:eastAsia="宋体" w:cs="Times New Roman"/>
                <w:color w:val="auto"/>
              </w:rPr>
              <w:t xml:space="preserve">42.801 </w:t>
            </w:r>
          </w:p>
        </w:tc>
        <w:tc>
          <w:tcPr>
            <w:tcW w:w="1590" w:type="dxa"/>
            <w:vMerge w:val="continue"/>
            <w:vAlign w:val="center"/>
          </w:tcPr>
          <w:p w14:paraId="675F01A4">
            <w:pPr>
              <w:spacing w:line="360" w:lineRule="exact"/>
              <w:jc w:val="center"/>
              <w:rPr>
                <w:rFonts w:ascii="宋体" w:hAnsi="宋体" w:eastAsia="宋体" w:cs="Times New Roman"/>
                <w:color w:val="auto"/>
              </w:rPr>
            </w:pPr>
          </w:p>
        </w:tc>
        <w:tc>
          <w:tcPr>
            <w:tcW w:w="1022" w:type="dxa"/>
            <w:vMerge w:val="continue"/>
            <w:vAlign w:val="center"/>
          </w:tcPr>
          <w:p w14:paraId="42CECFBD">
            <w:pPr>
              <w:spacing w:line="360" w:lineRule="exact"/>
              <w:jc w:val="center"/>
              <w:rPr>
                <w:rFonts w:ascii="宋体" w:hAnsi="宋体" w:eastAsia="宋体" w:cs="Times New Roman"/>
                <w:color w:val="auto"/>
              </w:rPr>
            </w:pPr>
          </w:p>
        </w:tc>
        <w:tc>
          <w:tcPr>
            <w:tcW w:w="839" w:type="dxa"/>
            <w:vMerge w:val="continue"/>
            <w:vAlign w:val="center"/>
          </w:tcPr>
          <w:p w14:paraId="1304535D">
            <w:pPr>
              <w:spacing w:line="360" w:lineRule="exact"/>
              <w:jc w:val="center"/>
              <w:rPr>
                <w:rFonts w:ascii="宋体" w:hAnsi="宋体" w:eastAsia="宋体" w:cs="Times New Roman"/>
                <w:color w:val="auto"/>
              </w:rPr>
            </w:pPr>
          </w:p>
        </w:tc>
      </w:tr>
      <w:tr w14:paraId="2A2A1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6B60615">
            <w:pPr>
              <w:spacing w:line="360" w:lineRule="exact"/>
              <w:jc w:val="center"/>
              <w:rPr>
                <w:rFonts w:ascii="宋体" w:hAnsi="宋体" w:eastAsia="宋体" w:cs="Times New Roman"/>
                <w:color w:val="auto"/>
              </w:rPr>
            </w:pPr>
          </w:p>
        </w:tc>
        <w:tc>
          <w:tcPr>
            <w:tcW w:w="1206" w:type="dxa"/>
            <w:vAlign w:val="center"/>
          </w:tcPr>
          <w:p w14:paraId="40145841">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678A7C91">
            <w:pPr>
              <w:spacing w:line="360" w:lineRule="exact"/>
              <w:jc w:val="center"/>
              <w:rPr>
                <w:rFonts w:ascii="宋体" w:hAnsi="宋体" w:eastAsia="宋体" w:cs="Times New Roman"/>
                <w:color w:val="auto"/>
              </w:rPr>
            </w:pPr>
            <w:r>
              <w:rPr>
                <w:rFonts w:ascii="宋体" w:hAnsi="宋体" w:eastAsia="宋体" w:cs="Times New Roman"/>
                <w:color w:val="auto"/>
              </w:rPr>
              <w:t xml:space="preserve">2.425 </w:t>
            </w:r>
          </w:p>
        </w:tc>
        <w:tc>
          <w:tcPr>
            <w:tcW w:w="1447" w:type="dxa"/>
            <w:vAlign w:val="center"/>
          </w:tcPr>
          <w:p w14:paraId="46D9C767">
            <w:pPr>
              <w:spacing w:line="360" w:lineRule="exact"/>
              <w:jc w:val="center"/>
              <w:rPr>
                <w:rFonts w:ascii="宋体" w:hAnsi="宋体" w:eastAsia="宋体" w:cs="Times New Roman"/>
                <w:color w:val="auto"/>
              </w:rPr>
            </w:pPr>
            <w:r>
              <w:rPr>
                <w:rFonts w:ascii="宋体" w:hAnsi="宋体" w:eastAsia="宋体" w:cs="Times New Roman"/>
                <w:color w:val="auto"/>
              </w:rPr>
              <w:t xml:space="preserve">41.662 </w:t>
            </w:r>
          </w:p>
        </w:tc>
        <w:tc>
          <w:tcPr>
            <w:tcW w:w="1590" w:type="dxa"/>
            <w:vMerge w:val="continue"/>
            <w:vAlign w:val="center"/>
          </w:tcPr>
          <w:p w14:paraId="2BC39682">
            <w:pPr>
              <w:spacing w:line="360" w:lineRule="exact"/>
              <w:jc w:val="center"/>
              <w:rPr>
                <w:rFonts w:ascii="宋体" w:hAnsi="宋体" w:eastAsia="宋体" w:cs="Times New Roman"/>
                <w:color w:val="auto"/>
              </w:rPr>
            </w:pPr>
          </w:p>
        </w:tc>
        <w:tc>
          <w:tcPr>
            <w:tcW w:w="1022" w:type="dxa"/>
            <w:vMerge w:val="continue"/>
            <w:vAlign w:val="center"/>
          </w:tcPr>
          <w:p w14:paraId="0971B5C6">
            <w:pPr>
              <w:spacing w:line="360" w:lineRule="exact"/>
              <w:jc w:val="center"/>
              <w:rPr>
                <w:rFonts w:ascii="宋体" w:hAnsi="宋体" w:eastAsia="宋体" w:cs="Times New Roman"/>
                <w:color w:val="auto"/>
              </w:rPr>
            </w:pPr>
          </w:p>
        </w:tc>
        <w:tc>
          <w:tcPr>
            <w:tcW w:w="839" w:type="dxa"/>
            <w:vMerge w:val="continue"/>
            <w:vAlign w:val="center"/>
          </w:tcPr>
          <w:p w14:paraId="6A571769">
            <w:pPr>
              <w:spacing w:line="360" w:lineRule="exact"/>
              <w:jc w:val="center"/>
              <w:rPr>
                <w:rFonts w:ascii="宋体" w:hAnsi="宋体" w:eastAsia="宋体" w:cs="Times New Roman"/>
                <w:color w:val="auto"/>
              </w:rPr>
            </w:pPr>
          </w:p>
        </w:tc>
      </w:tr>
      <w:tr w14:paraId="61570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BC023A7">
            <w:pPr>
              <w:spacing w:line="360" w:lineRule="exact"/>
              <w:jc w:val="center"/>
              <w:rPr>
                <w:rFonts w:ascii="宋体" w:hAnsi="宋体" w:eastAsia="宋体" w:cs="Times New Roman"/>
                <w:color w:val="auto"/>
              </w:rPr>
            </w:pPr>
          </w:p>
        </w:tc>
        <w:tc>
          <w:tcPr>
            <w:tcW w:w="1206" w:type="dxa"/>
            <w:vAlign w:val="center"/>
          </w:tcPr>
          <w:p w14:paraId="0524854E">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651AA753">
            <w:pPr>
              <w:spacing w:line="360" w:lineRule="exact"/>
              <w:jc w:val="center"/>
              <w:rPr>
                <w:rFonts w:ascii="宋体" w:hAnsi="宋体" w:eastAsia="宋体" w:cs="Times New Roman"/>
                <w:color w:val="auto"/>
              </w:rPr>
            </w:pPr>
            <w:r>
              <w:rPr>
                <w:rFonts w:ascii="宋体" w:hAnsi="宋体" w:eastAsia="宋体" w:cs="Times New Roman"/>
                <w:color w:val="auto"/>
              </w:rPr>
              <w:t xml:space="preserve">0.850 </w:t>
            </w:r>
          </w:p>
        </w:tc>
        <w:tc>
          <w:tcPr>
            <w:tcW w:w="1447" w:type="dxa"/>
            <w:vAlign w:val="center"/>
          </w:tcPr>
          <w:p w14:paraId="4A91F883">
            <w:pPr>
              <w:spacing w:line="360" w:lineRule="exact"/>
              <w:jc w:val="center"/>
              <w:rPr>
                <w:rFonts w:ascii="宋体" w:hAnsi="宋体" w:eastAsia="宋体" w:cs="Times New Roman"/>
                <w:color w:val="auto"/>
              </w:rPr>
            </w:pPr>
            <w:r>
              <w:rPr>
                <w:rFonts w:ascii="宋体" w:hAnsi="宋体" w:eastAsia="宋体" w:cs="Times New Roman"/>
                <w:color w:val="auto"/>
              </w:rPr>
              <w:t xml:space="preserve">14.603 </w:t>
            </w:r>
          </w:p>
        </w:tc>
        <w:tc>
          <w:tcPr>
            <w:tcW w:w="1590" w:type="dxa"/>
            <w:vMerge w:val="continue"/>
            <w:vAlign w:val="center"/>
          </w:tcPr>
          <w:p w14:paraId="5CF79FDE">
            <w:pPr>
              <w:spacing w:line="360" w:lineRule="exact"/>
              <w:jc w:val="center"/>
              <w:rPr>
                <w:rFonts w:ascii="宋体" w:hAnsi="宋体" w:eastAsia="宋体" w:cs="Times New Roman"/>
                <w:color w:val="auto"/>
              </w:rPr>
            </w:pPr>
          </w:p>
        </w:tc>
        <w:tc>
          <w:tcPr>
            <w:tcW w:w="1022" w:type="dxa"/>
            <w:vMerge w:val="continue"/>
            <w:vAlign w:val="center"/>
          </w:tcPr>
          <w:p w14:paraId="22BCDF2B">
            <w:pPr>
              <w:spacing w:line="360" w:lineRule="exact"/>
              <w:jc w:val="center"/>
              <w:rPr>
                <w:rFonts w:ascii="宋体" w:hAnsi="宋体" w:eastAsia="宋体" w:cs="Times New Roman"/>
                <w:color w:val="auto"/>
              </w:rPr>
            </w:pPr>
          </w:p>
        </w:tc>
        <w:tc>
          <w:tcPr>
            <w:tcW w:w="839" w:type="dxa"/>
            <w:vMerge w:val="continue"/>
            <w:vAlign w:val="center"/>
          </w:tcPr>
          <w:p w14:paraId="42CA2E17">
            <w:pPr>
              <w:spacing w:line="360" w:lineRule="exact"/>
              <w:jc w:val="center"/>
              <w:rPr>
                <w:rFonts w:ascii="宋体" w:hAnsi="宋体" w:eastAsia="宋体" w:cs="Times New Roman"/>
                <w:color w:val="auto"/>
              </w:rPr>
            </w:pPr>
          </w:p>
        </w:tc>
      </w:tr>
      <w:tr w14:paraId="6ABE4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3D094C1">
            <w:pPr>
              <w:spacing w:line="360" w:lineRule="exact"/>
              <w:jc w:val="center"/>
              <w:rPr>
                <w:rFonts w:ascii="宋体" w:hAnsi="宋体" w:eastAsia="宋体" w:cs="Times New Roman"/>
                <w:color w:val="auto"/>
              </w:rPr>
            </w:pPr>
          </w:p>
        </w:tc>
        <w:tc>
          <w:tcPr>
            <w:tcW w:w="1206" w:type="dxa"/>
            <w:vAlign w:val="center"/>
          </w:tcPr>
          <w:p w14:paraId="53E79C4F">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776467A0">
            <w:pPr>
              <w:spacing w:line="360" w:lineRule="exact"/>
              <w:jc w:val="center"/>
              <w:rPr>
                <w:rFonts w:ascii="宋体" w:hAnsi="宋体" w:eastAsia="宋体" w:cs="Times New Roman"/>
                <w:color w:val="auto"/>
              </w:rPr>
            </w:pPr>
            <w:r>
              <w:rPr>
                <w:rFonts w:ascii="宋体" w:hAnsi="宋体" w:eastAsia="宋体" w:cs="Times New Roman"/>
                <w:color w:val="auto"/>
              </w:rPr>
              <w:t xml:space="preserve">-3.689 </w:t>
            </w:r>
          </w:p>
        </w:tc>
        <w:tc>
          <w:tcPr>
            <w:tcW w:w="1447" w:type="dxa"/>
            <w:vAlign w:val="center"/>
          </w:tcPr>
          <w:p w14:paraId="61E858AA">
            <w:pPr>
              <w:spacing w:line="360" w:lineRule="exact"/>
              <w:jc w:val="center"/>
              <w:rPr>
                <w:rFonts w:ascii="宋体" w:hAnsi="宋体" w:eastAsia="宋体" w:cs="Times New Roman"/>
                <w:color w:val="auto"/>
              </w:rPr>
            </w:pPr>
            <w:r>
              <w:rPr>
                <w:rFonts w:ascii="宋体" w:hAnsi="宋体" w:eastAsia="宋体" w:cs="Times New Roman"/>
                <w:color w:val="auto"/>
              </w:rPr>
              <w:t xml:space="preserve">65.327 </w:t>
            </w:r>
          </w:p>
        </w:tc>
        <w:tc>
          <w:tcPr>
            <w:tcW w:w="1590" w:type="dxa"/>
            <w:vMerge w:val="restart"/>
            <w:vAlign w:val="center"/>
          </w:tcPr>
          <w:p w14:paraId="299E4F32">
            <w:pPr>
              <w:spacing w:line="360" w:lineRule="exact"/>
              <w:jc w:val="center"/>
              <w:rPr>
                <w:rFonts w:ascii="宋体" w:hAnsi="宋体" w:eastAsia="宋体" w:cs="Times New Roman"/>
                <w:color w:val="auto"/>
              </w:rPr>
            </w:pPr>
            <w:r>
              <w:rPr>
                <w:rFonts w:ascii="宋体" w:hAnsi="宋体" w:eastAsia="宋体" w:cs="Times New Roman"/>
                <w:color w:val="auto"/>
              </w:rPr>
              <w:t xml:space="preserve">5.646 </w:t>
            </w:r>
          </w:p>
        </w:tc>
        <w:tc>
          <w:tcPr>
            <w:tcW w:w="1022" w:type="dxa"/>
            <w:vMerge w:val="continue"/>
            <w:vAlign w:val="center"/>
          </w:tcPr>
          <w:p w14:paraId="3950F80C">
            <w:pPr>
              <w:spacing w:line="360" w:lineRule="exact"/>
              <w:jc w:val="center"/>
              <w:rPr>
                <w:rFonts w:ascii="宋体" w:hAnsi="宋体" w:eastAsia="宋体" w:cs="Times New Roman"/>
                <w:color w:val="auto"/>
              </w:rPr>
            </w:pPr>
          </w:p>
        </w:tc>
        <w:tc>
          <w:tcPr>
            <w:tcW w:w="839" w:type="dxa"/>
            <w:vMerge w:val="continue"/>
            <w:vAlign w:val="center"/>
          </w:tcPr>
          <w:p w14:paraId="7248B7C0">
            <w:pPr>
              <w:spacing w:line="360" w:lineRule="exact"/>
              <w:jc w:val="center"/>
              <w:rPr>
                <w:rFonts w:ascii="宋体" w:hAnsi="宋体" w:eastAsia="宋体" w:cs="Times New Roman"/>
                <w:color w:val="auto"/>
              </w:rPr>
            </w:pPr>
          </w:p>
        </w:tc>
      </w:tr>
      <w:tr w14:paraId="54CCA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0C2F752">
            <w:pPr>
              <w:spacing w:line="360" w:lineRule="exact"/>
              <w:jc w:val="center"/>
              <w:rPr>
                <w:rFonts w:ascii="宋体" w:hAnsi="宋体" w:eastAsia="宋体" w:cs="Times New Roman"/>
                <w:color w:val="auto"/>
              </w:rPr>
            </w:pPr>
          </w:p>
        </w:tc>
        <w:tc>
          <w:tcPr>
            <w:tcW w:w="1206" w:type="dxa"/>
            <w:vAlign w:val="center"/>
          </w:tcPr>
          <w:p w14:paraId="7296D928">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2015C19A">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7DB10456">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0B005DD1">
            <w:pPr>
              <w:spacing w:line="360" w:lineRule="exact"/>
              <w:jc w:val="center"/>
              <w:rPr>
                <w:rFonts w:ascii="宋体" w:hAnsi="宋体" w:eastAsia="宋体" w:cs="Times New Roman"/>
                <w:color w:val="auto"/>
              </w:rPr>
            </w:pPr>
          </w:p>
        </w:tc>
        <w:tc>
          <w:tcPr>
            <w:tcW w:w="1022" w:type="dxa"/>
            <w:vMerge w:val="continue"/>
            <w:vAlign w:val="center"/>
          </w:tcPr>
          <w:p w14:paraId="281BD718">
            <w:pPr>
              <w:spacing w:line="360" w:lineRule="exact"/>
              <w:jc w:val="center"/>
              <w:rPr>
                <w:rFonts w:ascii="宋体" w:hAnsi="宋体" w:eastAsia="宋体" w:cs="Times New Roman"/>
                <w:color w:val="auto"/>
              </w:rPr>
            </w:pPr>
          </w:p>
        </w:tc>
        <w:tc>
          <w:tcPr>
            <w:tcW w:w="839" w:type="dxa"/>
            <w:vMerge w:val="continue"/>
            <w:vAlign w:val="center"/>
          </w:tcPr>
          <w:p w14:paraId="4F178816">
            <w:pPr>
              <w:spacing w:line="360" w:lineRule="exact"/>
              <w:jc w:val="center"/>
              <w:rPr>
                <w:rFonts w:ascii="宋体" w:hAnsi="宋体" w:eastAsia="宋体" w:cs="Times New Roman"/>
                <w:color w:val="auto"/>
              </w:rPr>
            </w:pPr>
          </w:p>
        </w:tc>
      </w:tr>
      <w:tr w14:paraId="2665E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9721322">
            <w:pPr>
              <w:spacing w:line="360" w:lineRule="exact"/>
              <w:jc w:val="center"/>
              <w:rPr>
                <w:rFonts w:ascii="宋体" w:hAnsi="宋体" w:eastAsia="宋体" w:cs="Times New Roman"/>
                <w:color w:val="auto"/>
              </w:rPr>
            </w:pPr>
          </w:p>
        </w:tc>
        <w:tc>
          <w:tcPr>
            <w:tcW w:w="1206" w:type="dxa"/>
            <w:vAlign w:val="center"/>
          </w:tcPr>
          <w:p w14:paraId="3854D898">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2A05FF82">
            <w:pPr>
              <w:spacing w:line="360" w:lineRule="exact"/>
              <w:jc w:val="center"/>
              <w:rPr>
                <w:rFonts w:ascii="宋体" w:hAnsi="宋体" w:eastAsia="宋体" w:cs="Times New Roman"/>
                <w:color w:val="auto"/>
              </w:rPr>
            </w:pPr>
            <w:r>
              <w:rPr>
                <w:rFonts w:ascii="宋体" w:hAnsi="宋体" w:eastAsia="宋体" w:cs="Times New Roman"/>
                <w:color w:val="auto"/>
              </w:rPr>
              <w:t xml:space="preserve">-1.229 </w:t>
            </w:r>
          </w:p>
        </w:tc>
        <w:tc>
          <w:tcPr>
            <w:tcW w:w="1447" w:type="dxa"/>
            <w:vAlign w:val="center"/>
          </w:tcPr>
          <w:p w14:paraId="4327F239">
            <w:pPr>
              <w:spacing w:line="360" w:lineRule="exact"/>
              <w:jc w:val="center"/>
              <w:rPr>
                <w:rFonts w:ascii="宋体" w:hAnsi="宋体" w:eastAsia="宋体" w:cs="Times New Roman"/>
                <w:color w:val="auto"/>
              </w:rPr>
            </w:pPr>
            <w:r>
              <w:rPr>
                <w:rFonts w:ascii="宋体" w:hAnsi="宋体" w:eastAsia="宋体" w:cs="Times New Roman"/>
                <w:color w:val="auto"/>
              </w:rPr>
              <w:t xml:space="preserve">21.759 </w:t>
            </w:r>
          </w:p>
        </w:tc>
        <w:tc>
          <w:tcPr>
            <w:tcW w:w="1590" w:type="dxa"/>
            <w:vMerge w:val="continue"/>
            <w:vAlign w:val="center"/>
          </w:tcPr>
          <w:p w14:paraId="6E843FEF">
            <w:pPr>
              <w:spacing w:line="360" w:lineRule="exact"/>
              <w:jc w:val="center"/>
              <w:rPr>
                <w:rFonts w:ascii="宋体" w:hAnsi="宋体" w:eastAsia="宋体" w:cs="Times New Roman"/>
                <w:color w:val="auto"/>
              </w:rPr>
            </w:pPr>
          </w:p>
        </w:tc>
        <w:tc>
          <w:tcPr>
            <w:tcW w:w="1022" w:type="dxa"/>
            <w:vMerge w:val="continue"/>
            <w:vAlign w:val="center"/>
          </w:tcPr>
          <w:p w14:paraId="62959BBF">
            <w:pPr>
              <w:spacing w:line="360" w:lineRule="exact"/>
              <w:jc w:val="center"/>
              <w:rPr>
                <w:rFonts w:ascii="宋体" w:hAnsi="宋体" w:eastAsia="宋体" w:cs="Times New Roman"/>
                <w:color w:val="auto"/>
              </w:rPr>
            </w:pPr>
          </w:p>
        </w:tc>
        <w:tc>
          <w:tcPr>
            <w:tcW w:w="839" w:type="dxa"/>
            <w:vMerge w:val="continue"/>
            <w:vAlign w:val="center"/>
          </w:tcPr>
          <w:p w14:paraId="2084EC32">
            <w:pPr>
              <w:spacing w:line="360" w:lineRule="exact"/>
              <w:jc w:val="center"/>
              <w:rPr>
                <w:rFonts w:ascii="宋体" w:hAnsi="宋体" w:eastAsia="宋体" w:cs="Times New Roman"/>
                <w:color w:val="auto"/>
              </w:rPr>
            </w:pPr>
          </w:p>
        </w:tc>
      </w:tr>
      <w:tr w14:paraId="51F3E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F351FEF">
            <w:pPr>
              <w:spacing w:line="360" w:lineRule="exact"/>
              <w:jc w:val="center"/>
              <w:rPr>
                <w:rFonts w:ascii="宋体" w:hAnsi="宋体" w:eastAsia="宋体" w:cs="Times New Roman"/>
                <w:color w:val="auto"/>
              </w:rPr>
            </w:pPr>
          </w:p>
        </w:tc>
        <w:tc>
          <w:tcPr>
            <w:tcW w:w="1206" w:type="dxa"/>
            <w:vAlign w:val="center"/>
          </w:tcPr>
          <w:p w14:paraId="2416D610">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1B1EED2B">
            <w:pPr>
              <w:spacing w:line="360" w:lineRule="exact"/>
              <w:jc w:val="center"/>
              <w:rPr>
                <w:rFonts w:ascii="宋体" w:hAnsi="宋体" w:eastAsia="宋体" w:cs="Times New Roman"/>
                <w:color w:val="auto"/>
              </w:rPr>
            </w:pPr>
            <w:r>
              <w:rPr>
                <w:rFonts w:ascii="宋体" w:hAnsi="宋体" w:eastAsia="宋体" w:cs="Times New Roman"/>
                <w:color w:val="auto"/>
              </w:rPr>
              <w:t xml:space="preserve">-0.729 </w:t>
            </w:r>
          </w:p>
        </w:tc>
        <w:tc>
          <w:tcPr>
            <w:tcW w:w="1447" w:type="dxa"/>
            <w:vAlign w:val="center"/>
          </w:tcPr>
          <w:p w14:paraId="0C7D5DCC">
            <w:pPr>
              <w:spacing w:line="360" w:lineRule="exact"/>
              <w:jc w:val="center"/>
              <w:rPr>
                <w:rFonts w:ascii="宋体" w:hAnsi="宋体" w:eastAsia="宋体" w:cs="Times New Roman"/>
                <w:color w:val="auto"/>
              </w:rPr>
            </w:pPr>
            <w:r>
              <w:rPr>
                <w:rFonts w:ascii="宋体" w:hAnsi="宋体" w:eastAsia="宋体" w:cs="Times New Roman"/>
                <w:color w:val="auto"/>
              </w:rPr>
              <w:t xml:space="preserve">12.914 </w:t>
            </w:r>
          </w:p>
        </w:tc>
        <w:tc>
          <w:tcPr>
            <w:tcW w:w="1590" w:type="dxa"/>
            <w:vMerge w:val="continue"/>
            <w:vAlign w:val="center"/>
          </w:tcPr>
          <w:p w14:paraId="4084000D">
            <w:pPr>
              <w:spacing w:line="360" w:lineRule="exact"/>
              <w:jc w:val="center"/>
              <w:rPr>
                <w:rFonts w:ascii="宋体" w:hAnsi="宋体" w:eastAsia="宋体" w:cs="Times New Roman"/>
                <w:color w:val="auto"/>
              </w:rPr>
            </w:pPr>
          </w:p>
        </w:tc>
        <w:tc>
          <w:tcPr>
            <w:tcW w:w="1022" w:type="dxa"/>
            <w:vMerge w:val="continue"/>
            <w:vAlign w:val="center"/>
          </w:tcPr>
          <w:p w14:paraId="2302BB41">
            <w:pPr>
              <w:spacing w:line="360" w:lineRule="exact"/>
              <w:jc w:val="center"/>
              <w:rPr>
                <w:rFonts w:ascii="宋体" w:hAnsi="宋体" w:eastAsia="宋体" w:cs="Times New Roman"/>
                <w:color w:val="auto"/>
              </w:rPr>
            </w:pPr>
          </w:p>
        </w:tc>
        <w:tc>
          <w:tcPr>
            <w:tcW w:w="839" w:type="dxa"/>
            <w:vMerge w:val="continue"/>
            <w:vAlign w:val="center"/>
          </w:tcPr>
          <w:p w14:paraId="3AD67FDC">
            <w:pPr>
              <w:spacing w:line="360" w:lineRule="exact"/>
              <w:jc w:val="center"/>
              <w:rPr>
                <w:rFonts w:ascii="宋体" w:hAnsi="宋体" w:eastAsia="宋体" w:cs="Times New Roman"/>
                <w:color w:val="auto"/>
              </w:rPr>
            </w:pPr>
          </w:p>
        </w:tc>
      </w:tr>
      <w:tr w14:paraId="67209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15DF5B94">
            <w:pPr>
              <w:jc w:val="center"/>
              <w:textAlignment w:val="center"/>
              <w:rPr>
                <w:rFonts w:ascii="宋体" w:hAnsi="宋体" w:eastAsia="宋体" w:cs="Times New Roman"/>
                <w:color w:val="auto"/>
              </w:rPr>
            </w:pPr>
            <w:r>
              <w:rPr>
                <w:rFonts w:ascii="宋体" w:hAnsi="宋体" w:eastAsia="宋体" w:cs="Times New Roman"/>
                <w:color w:val="auto"/>
                <w:lang w:bidi="ar"/>
              </w:rPr>
              <w:t>友谊村(白家、潜水)</w:t>
            </w:r>
          </w:p>
        </w:tc>
        <w:tc>
          <w:tcPr>
            <w:tcW w:w="1206" w:type="dxa"/>
            <w:vAlign w:val="center"/>
          </w:tcPr>
          <w:p w14:paraId="34C8EA06">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1AC6B6EF">
            <w:pPr>
              <w:spacing w:line="360" w:lineRule="exact"/>
              <w:jc w:val="center"/>
              <w:rPr>
                <w:rFonts w:ascii="宋体" w:hAnsi="宋体" w:eastAsia="宋体" w:cs="Times New Roman"/>
                <w:color w:val="auto"/>
              </w:rPr>
            </w:pPr>
            <w:r>
              <w:rPr>
                <w:rFonts w:ascii="宋体" w:hAnsi="宋体" w:eastAsia="宋体" w:cs="Times New Roman"/>
                <w:color w:val="auto"/>
              </w:rPr>
              <w:t xml:space="preserve">0.063 </w:t>
            </w:r>
          </w:p>
        </w:tc>
        <w:tc>
          <w:tcPr>
            <w:tcW w:w="1447" w:type="dxa"/>
            <w:vAlign w:val="center"/>
          </w:tcPr>
          <w:p w14:paraId="54649EA1">
            <w:pPr>
              <w:spacing w:line="360" w:lineRule="exact"/>
              <w:jc w:val="center"/>
              <w:rPr>
                <w:rFonts w:ascii="宋体" w:hAnsi="宋体" w:eastAsia="宋体" w:cs="Times New Roman"/>
                <w:color w:val="auto"/>
              </w:rPr>
            </w:pPr>
            <w:r>
              <w:rPr>
                <w:rFonts w:ascii="宋体" w:hAnsi="宋体" w:eastAsia="宋体" w:cs="Times New Roman"/>
                <w:color w:val="auto"/>
              </w:rPr>
              <w:t xml:space="preserve">1.208 </w:t>
            </w:r>
          </w:p>
        </w:tc>
        <w:tc>
          <w:tcPr>
            <w:tcW w:w="1590" w:type="dxa"/>
            <w:vMerge w:val="restart"/>
            <w:vAlign w:val="center"/>
          </w:tcPr>
          <w:p w14:paraId="33265BFC">
            <w:pPr>
              <w:spacing w:line="360" w:lineRule="exact"/>
              <w:jc w:val="center"/>
              <w:rPr>
                <w:rFonts w:ascii="宋体" w:hAnsi="宋体" w:eastAsia="宋体" w:cs="Times New Roman"/>
                <w:color w:val="auto"/>
              </w:rPr>
            </w:pPr>
            <w:r>
              <w:rPr>
                <w:rFonts w:ascii="宋体" w:hAnsi="宋体" w:eastAsia="宋体" w:cs="Times New Roman"/>
                <w:color w:val="auto"/>
              </w:rPr>
              <w:t xml:space="preserve">5.177 </w:t>
            </w:r>
          </w:p>
        </w:tc>
        <w:tc>
          <w:tcPr>
            <w:tcW w:w="1022" w:type="dxa"/>
            <w:vMerge w:val="restart"/>
            <w:vAlign w:val="center"/>
          </w:tcPr>
          <w:p w14:paraId="61A38FB0">
            <w:pPr>
              <w:spacing w:line="360" w:lineRule="exact"/>
              <w:jc w:val="center"/>
              <w:rPr>
                <w:rFonts w:ascii="宋体" w:hAnsi="宋体" w:eastAsia="宋体" w:cs="Times New Roman"/>
                <w:color w:val="auto"/>
              </w:rPr>
            </w:pPr>
            <w:r>
              <w:rPr>
                <w:rFonts w:ascii="宋体" w:hAnsi="宋体" w:eastAsia="宋体" w:cs="Times New Roman"/>
                <w:color w:val="auto"/>
              </w:rPr>
              <w:t xml:space="preserve">2.44 </w:t>
            </w:r>
          </w:p>
        </w:tc>
        <w:tc>
          <w:tcPr>
            <w:tcW w:w="839" w:type="dxa"/>
            <w:vMerge w:val="restart"/>
            <w:vAlign w:val="center"/>
          </w:tcPr>
          <w:p w14:paraId="5ACC352B">
            <w:pPr>
              <w:spacing w:line="360" w:lineRule="exact"/>
              <w:jc w:val="center"/>
              <w:rPr>
                <w:rFonts w:ascii="宋体" w:hAnsi="宋体" w:eastAsia="宋体" w:cs="Times New Roman"/>
                <w:color w:val="auto"/>
              </w:rPr>
            </w:pPr>
            <w:r>
              <w:rPr>
                <w:rFonts w:ascii="宋体" w:hAnsi="宋体" w:eastAsia="宋体" w:cs="Times New Roman"/>
                <w:color w:val="auto"/>
              </w:rPr>
              <w:t xml:space="preserve">0.39 </w:t>
            </w:r>
          </w:p>
        </w:tc>
      </w:tr>
      <w:tr w14:paraId="481D5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779F3DF">
            <w:pPr>
              <w:spacing w:line="360" w:lineRule="exact"/>
              <w:jc w:val="center"/>
              <w:rPr>
                <w:rFonts w:ascii="宋体" w:hAnsi="宋体" w:eastAsia="宋体" w:cs="Times New Roman"/>
                <w:color w:val="auto"/>
              </w:rPr>
            </w:pPr>
          </w:p>
        </w:tc>
        <w:tc>
          <w:tcPr>
            <w:tcW w:w="1206" w:type="dxa"/>
            <w:vAlign w:val="center"/>
          </w:tcPr>
          <w:p w14:paraId="4C8DAA32">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71C7277D">
            <w:pPr>
              <w:spacing w:line="360" w:lineRule="exact"/>
              <w:jc w:val="center"/>
              <w:rPr>
                <w:rFonts w:ascii="宋体" w:hAnsi="宋体" w:eastAsia="宋体" w:cs="Times New Roman"/>
                <w:color w:val="auto"/>
              </w:rPr>
            </w:pPr>
            <w:r>
              <w:rPr>
                <w:rFonts w:ascii="宋体" w:hAnsi="宋体" w:eastAsia="宋体" w:cs="Times New Roman"/>
                <w:color w:val="auto"/>
              </w:rPr>
              <w:t xml:space="preserve">2.270 </w:t>
            </w:r>
          </w:p>
        </w:tc>
        <w:tc>
          <w:tcPr>
            <w:tcW w:w="1447" w:type="dxa"/>
            <w:vAlign w:val="center"/>
          </w:tcPr>
          <w:p w14:paraId="0042D2C3">
            <w:pPr>
              <w:spacing w:line="360" w:lineRule="exact"/>
              <w:jc w:val="center"/>
              <w:rPr>
                <w:rFonts w:ascii="宋体" w:hAnsi="宋体" w:eastAsia="宋体" w:cs="Times New Roman"/>
                <w:color w:val="auto"/>
              </w:rPr>
            </w:pPr>
            <w:r>
              <w:rPr>
                <w:rFonts w:ascii="宋体" w:hAnsi="宋体" w:eastAsia="宋体" w:cs="Times New Roman"/>
                <w:color w:val="auto"/>
              </w:rPr>
              <w:t xml:space="preserve">43.838 </w:t>
            </w:r>
          </w:p>
        </w:tc>
        <w:tc>
          <w:tcPr>
            <w:tcW w:w="1590" w:type="dxa"/>
            <w:vMerge w:val="continue"/>
            <w:vAlign w:val="center"/>
          </w:tcPr>
          <w:p w14:paraId="1E9C2921">
            <w:pPr>
              <w:spacing w:line="360" w:lineRule="exact"/>
              <w:jc w:val="center"/>
              <w:rPr>
                <w:rFonts w:ascii="宋体" w:hAnsi="宋体" w:eastAsia="宋体" w:cs="Times New Roman"/>
                <w:color w:val="auto"/>
              </w:rPr>
            </w:pPr>
          </w:p>
        </w:tc>
        <w:tc>
          <w:tcPr>
            <w:tcW w:w="1022" w:type="dxa"/>
            <w:vMerge w:val="continue"/>
            <w:vAlign w:val="center"/>
          </w:tcPr>
          <w:p w14:paraId="67E2A9DC">
            <w:pPr>
              <w:spacing w:line="360" w:lineRule="exact"/>
              <w:jc w:val="center"/>
              <w:rPr>
                <w:rFonts w:ascii="宋体" w:hAnsi="宋体" w:eastAsia="宋体" w:cs="Times New Roman"/>
                <w:color w:val="auto"/>
              </w:rPr>
            </w:pPr>
          </w:p>
        </w:tc>
        <w:tc>
          <w:tcPr>
            <w:tcW w:w="839" w:type="dxa"/>
            <w:vMerge w:val="continue"/>
            <w:vAlign w:val="center"/>
          </w:tcPr>
          <w:p w14:paraId="7D9B4119">
            <w:pPr>
              <w:spacing w:line="360" w:lineRule="exact"/>
              <w:jc w:val="center"/>
              <w:rPr>
                <w:rFonts w:ascii="宋体" w:hAnsi="宋体" w:eastAsia="宋体" w:cs="Times New Roman"/>
                <w:color w:val="auto"/>
              </w:rPr>
            </w:pPr>
          </w:p>
        </w:tc>
      </w:tr>
      <w:tr w14:paraId="57891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89297E4">
            <w:pPr>
              <w:spacing w:line="360" w:lineRule="exact"/>
              <w:jc w:val="center"/>
              <w:rPr>
                <w:rFonts w:ascii="宋体" w:hAnsi="宋体" w:eastAsia="宋体" w:cs="Times New Roman"/>
                <w:color w:val="auto"/>
              </w:rPr>
            </w:pPr>
          </w:p>
        </w:tc>
        <w:tc>
          <w:tcPr>
            <w:tcW w:w="1206" w:type="dxa"/>
            <w:vAlign w:val="center"/>
          </w:tcPr>
          <w:p w14:paraId="1AD9E165">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33A891D2">
            <w:pPr>
              <w:spacing w:line="360" w:lineRule="exact"/>
              <w:jc w:val="center"/>
              <w:rPr>
                <w:rFonts w:ascii="宋体" w:hAnsi="宋体" w:eastAsia="宋体" w:cs="Times New Roman"/>
                <w:color w:val="auto"/>
              </w:rPr>
            </w:pPr>
            <w:r>
              <w:rPr>
                <w:rFonts w:ascii="宋体" w:hAnsi="宋体" w:eastAsia="宋体" w:cs="Times New Roman"/>
                <w:color w:val="auto"/>
              </w:rPr>
              <w:t xml:space="preserve">2.085 </w:t>
            </w:r>
          </w:p>
        </w:tc>
        <w:tc>
          <w:tcPr>
            <w:tcW w:w="1447" w:type="dxa"/>
            <w:vAlign w:val="center"/>
          </w:tcPr>
          <w:p w14:paraId="64EEEC9E">
            <w:pPr>
              <w:spacing w:line="360" w:lineRule="exact"/>
              <w:jc w:val="center"/>
              <w:rPr>
                <w:rFonts w:ascii="宋体" w:hAnsi="宋体" w:eastAsia="宋体" w:cs="Times New Roman"/>
                <w:color w:val="auto"/>
              </w:rPr>
            </w:pPr>
            <w:r>
              <w:rPr>
                <w:rFonts w:ascii="宋体" w:hAnsi="宋体" w:eastAsia="宋体" w:cs="Times New Roman"/>
                <w:color w:val="auto"/>
              </w:rPr>
              <w:t xml:space="preserve">40.273 </w:t>
            </w:r>
          </w:p>
        </w:tc>
        <w:tc>
          <w:tcPr>
            <w:tcW w:w="1590" w:type="dxa"/>
            <w:vMerge w:val="continue"/>
            <w:vAlign w:val="center"/>
          </w:tcPr>
          <w:p w14:paraId="3CF8669B">
            <w:pPr>
              <w:spacing w:line="360" w:lineRule="exact"/>
              <w:jc w:val="center"/>
              <w:rPr>
                <w:rFonts w:ascii="宋体" w:hAnsi="宋体" w:eastAsia="宋体" w:cs="Times New Roman"/>
                <w:color w:val="auto"/>
              </w:rPr>
            </w:pPr>
          </w:p>
        </w:tc>
        <w:tc>
          <w:tcPr>
            <w:tcW w:w="1022" w:type="dxa"/>
            <w:vMerge w:val="continue"/>
            <w:vAlign w:val="center"/>
          </w:tcPr>
          <w:p w14:paraId="20850FCB">
            <w:pPr>
              <w:spacing w:line="360" w:lineRule="exact"/>
              <w:jc w:val="center"/>
              <w:rPr>
                <w:rFonts w:ascii="宋体" w:hAnsi="宋体" w:eastAsia="宋体" w:cs="Times New Roman"/>
                <w:color w:val="auto"/>
              </w:rPr>
            </w:pPr>
          </w:p>
        </w:tc>
        <w:tc>
          <w:tcPr>
            <w:tcW w:w="839" w:type="dxa"/>
            <w:vMerge w:val="continue"/>
            <w:vAlign w:val="center"/>
          </w:tcPr>
          <w:p w14:paraId="2BBB9D2A">
            <w:pPr>
              <w:spacing w:line="360" w:lineRule="exact"/>
              <w:jc w:val="center"/>
              <w:rPr>
                <w:rFonts w:ascii="宋体" w:hAnsi="宋体" w:eastAsia="宋体" w:cs="Times New Roman"/>
                <w:color w:val="auto"/>
              </w:rPr>
            </w:pPr>
          </w:p>
        </w:tc>
      </w:tr>
      <w:tr w14:paraId="7F19E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0BDD4AA">
            <w:pPr>
              <w:spacing w:line="360" w:lineRule="exact"/>
              <w:jc w:val="center"/>
              <w:rPr>
                <w:rFonts w:ascii="宋体" w:hAnsi="宋体" w:eastAsia="宋体" w:cs="Times New Roman"/>
                <w:color w:val="auto"/>
              </w:rPr>
            </w:pPr>
          </w:p>
        </w:tc>
        <w:tc>
          <w:tcPr>
            <w:tcW w:w="1206" w:type="dxa"/>
            <w:vAlign w:val="center"/>
          </w:tcPr>
          <w:p w14:paraId="4D945C51">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4FA6721B">
            <w:pPr>
              <w:spacing w:line="360" w:lineRule="exact"/>
              <w:jc w:val="center"/>
              <w:rPr>
                <w:rFonts w:ascii="宋体" w:hAnsi="宋体" w:eastAsia="宋体" w:cs="Times New Roman"/>
                <w:color w:val="auto"/>
              </w:rPr>
            </w:pPr>
            <w:r>
              <w:rPr>
                <w:rFonts w:ascii="宋体" w:hAnsi="宋体" w:eastAsia="宋体" w:cs="Times New Roman"/>
                <w:color w:val="auto"/>
              </w:rPr>
              <w:t xml:space="preserve">0.760 </w:t>
            </w:r>
          </w:p>
        </w:tc>
        <w:tc>
          <w:tcPr>
            <w:tcW w:w="1447" w:type="dxa"/>
            <w:vAlign w:val="center"/>
          </w:tcPr>
          <w:p w14:paraId="3F74581D">
            <w:pPr>
              <w:spacing w:line="360" w:lineRule="exact"/>
              <w:jc w:val="center"/>
              <w:rPr>
                <w:rFonts w:ascii="宋体" w:hAnsi="宋体" w:eastAsia="宋体" w:cs="Times New Roman"/>
                <w:color w:val="auto"/>
              </w:rPr>
            </w:pPr>
            <w:r>
              <w:rPr>
                <w:rFonts w:ascii="宋体" w:hAnsi="宋体" w:eastAsia="宋体" w:cs="Times New Roman"/>
                <w:color w:val="auto"/>
              </w:rPr>
              <w:t xml:space="preserve">14.680 </w:t>
            </w:r>
          </w:p>
        </w:tc>
        <w:tc>
          <w:tcPr>
            <w:tcW w:w="1590" w:type="dxa"/>
            <w:vMerge w:val="continue"/>
            <w:vAlign w:val="center"/>
          </w:tcPr>
          <w:p w14:paraId="6D65365C">
            <w:pPr>
              <w:spacing w:line="360" w:lineRule="exact"/>
              <w:jc w:val="center"/>
              <w:rPr>
                <w:rFonts w:ascii="宋体" w:hAnsi="宋体" w:eastAsia="宋体" w:cs="Times New Roman"/>
                <w:color w:val="auto"/>
              </w:rPr>
            </w:pPr>
          </w:p>
        </w:tc>
        <w:tc>
          <w:tcPr>
            <w:tcW w:w="1022" w:type="dxa"/>
            <w:vMerge w:val="continue"/>
            <w:vAlign w:val="center"/>
          </w:tcPr>
          <w:p w14:paraId="5EE361DA">
            <w:pPr>
              <w:spacing w:line="360" w:lineRule="exact"/>
              <w:jc w:val="center"/>
              <w:rPr>
                <w:rFonts w:ascii="宋体" w:hAnsi="宋体" w:eastAsia="宋体" w:cs="Times New Roman"/>
                <w:color w:val="auto"/>
              </w:rPr>
            </w:pPr>
          </w:p>
        </w:tc>
        <w:tc>
          <w:tcPr>
            <w:tcW w:w="839" w:type="dxa"/>
            <w:vMerge w:val="continue"/>
            <w:vAlign w:val="center"/>
          </w:tcPr>
          <w:p w14:paraId="542DE0E7">
            <w:pPr>
              <w:spacing w:line="360" w:lineRule="exact"/>
              <w:jc w:val="center"/>
              <w:rPr>
                <w:rFonts w:ascii="宋体" w:hAnsi="宋体" w:eastAsia="宋体" w:cs="Times New Roman"/>
                <w:color w:val="auto"/>
              </w:rPr>
            </w:pPr>
          </w:p>
        </w:tc>
      </w:tr>
      <w:tr w14:paraId="02A03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10BF5E5">
            <w:pPr>
              <w:spacing w:line="360" w:lineRule="exact"/>
              <w:jc w:val="center"/>
              <w:rPr>
                <w:rFonts w:ascii="宋体" w:hAnsi="宋体" w:eastAsia="宋体" w:cs="Times New Roman"/>
                <w:color w:val="auto"/>
              </w:rPr>
            </w:pPr>
          </w:p>
        </w:tc>
        <w:tc>
          <w:tcPr>
            <w:tcW w:w="1206" w:type="dxa"/>
            <w:vAlign w:val="center"/>
          </w:tcPr>
          <w:p w14:paraId="62E52164">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0B3ED2F2">
            <w:pPr>
              <w:spacing w:line="360" w:lineRule="exact"/>
              <w:jc w:val="center"/>
              <w:rPr>
                <w:rFonts w:ascii="宋体" w:hAnsi="宋体" w:eastAsia="宋体" w:cs="Times New Roman"/>
                <w:color w:val="auto"/>
              </w:rPr>
            </w:pPr>
            <w:r>
              <w:rPr>
                <w:rFonts w:ascii="宋体" w:hAnsi="宋体" w:eastAsia="宋体" w:cs="Times New Roman"/>
                <w:color w:val="auto"/>
              </w:rPr>
              <w:t xml:space="preserve">-3.377 </w:t>
            </w:r>
          </w:p>
        </w:tc>
        <w:tc>
          <w:tcPr>
            <w:tcW w:w="1447" w:type="dxa"/>
            <w:vAlign w:val="center"/>
          </w:tcPr>
          <w:p w14:paraId="042F4AAF">
            <w:pPr>
              <w:spacing w:line="360" w:lineRule="exact"/>
              <w:jc w:val="center"/>
              <w:rPr>
                <w:rFonts w:ascii="宋体" w:hAnsi="宋体" w:eastAsia="宋体" w:cs="Times New Roman"/>
                <w:color w:val="auto"/>
              </w:rPr>
            </w:pPr>
            <w:r>
              <w:rPr>
                <w:rFonts w:ascii="宋体" w:hAnsi="宋体" w:eastAsia="宋体" w:cs="Times New Roman"/>
                <w:color w:val="auto"/>
              </w:rPr>
              <w:t xml:space="preserve">62.124 </w:t>
            </w:r>
          </w:p>
        </w:tc>
        <w:tc>
          <w:tcPr>
            <w:tcW w:w="1590" w:type="dxa"/>
            <w:vMerge w:val="restart"/>
            <w:vAlign w:val="center"/>
          </w:tcPr>
          <w:p w14:paraId="2550DAF7">
            <w:pPr>
              <w:spacing w:line="360" w:lineRule="exact"/>
              <w:jc w:val="center"/>
              <w:rPr>
                <w:rFonts w:ascii="宋体" w:hAnsi="宋体" w:eastAsia="宋体" w:cs="Times New Roman"/>
                <w:color w:val="auto"/>
              </w:rPr>
            </w:pPr>
            <w:r>
              <w:rPr>
                <w:rFonts w:ascii="宋体" w:hAnsi="宋体" w:eastAsia="宋体" w:cs="Times New Roman"/>
                <w:color w:val="auto"/>
              </w:rPr>
              <w:t xml:space="preserve">5.436 </w:t>
            </w:r>
          </w:p>
        </w:tc>
        <w:tc>
          <w:tcPr>
            <w:tcW w:w="1022" w:type="dxa"/>
            <w:vMerge w:val="continue"/>
            <w:vAlign w:val="center"/>
          </w:tcPr>
          <w:p w14:paraId="29ED02D5">
            <w:pPr>
              <w:spacing w:line="360" w:lineRule="exact"/>
              <w:jc w:val="center"/>
              <w:rPr>
                <w:rFonts w:ascii="宋体" w:hAnsi="宋体" w:eastAsia="宋体" w:cs="Times New Roman"/>
                <w:color w:val="auto"/>
              </w:rPr>
            </w:pPr>
          </w:p>
        </w:tc>
        <w:tc>
          <w:tcPr>
            <w:tcW w:w="839" w:type="dxa"/>
            <w:vMerge w:val="continue"/>
            <w:vAlign w:val="center"/>
          </w:tcPr>
          <w:p w14:paraId="04927BB3">
            <w:pPr>
              <w:spacing w:line="360" w:lineRule="exact"/>
              <w:jc w:val="center"/>
              <w:rPr>
                <w:rFonts w:ascii="宋体" w:hAnsi="宋体" w:eastAsia="宋体" w:cs="Times New Roman"/>
                <w:color w:val="auto"/>
              </w:rPr>
            </w:pPr>
          </w:p>
        </w:tc>
      </w:tr>
      <w:tr w14:paraId="7BDF7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8A156FB">
            <w:pPr>
              <w:spacing w:line="360" w:lineRule="exact"/>
              <w:jc w:val="center"/>
              <w:rPr>
                <w:rFonts w:ascii="宋体" w:hAnsi="宋体" w:eastAsia="宋体" w:cs="Times New Roman"/>
                <w:color w:val="auto"/>
              </w:rPr>
            </w:pPr>
          </w:p>
        </w:tc>
        <w:tc>
          <w:tcPr>
            <w:tcW w:w="1206" w:type="dxa"/>
            <w:vAlign w:val="center"/>
          </w:tcPr>
          <w:p w14:paraId="4092BE2B">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58964013">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17250B8C">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0338A9E4">
            <w:pPr>
              <w:spacing w:line="360" w:lineRule="exact"/>
              <w:jc w:val="center"/>
              <w:rPr>
                <w:rFonts w:ascii="宋体" w:hAnsi="宋体" w:eastAsia="宋体" w:cs="Times New Roman"/>
                <w:color w:val="auto"/>
              </w:rPr>
            </w:pPr>
          </w:p>
        </w:tc>
        <w:tc>
          <w:tcPr>
            <w:tcW w:w="1022" w:type="dxa"/>
            <w:vMerge w:val="continue"/>
            <w:vAlign w:val="center"/>
          </w:tcPr>
          <w:p w14:paraId="2FDA53DD">
            <w:pPr>
              <w:spacing w:line="360" w:lineRule="exact"/>
              <w:jc w:val="center"/>
              <w:rPr>
                <w:rFonts w:ascii="宋体" w:hAnsi="宋体" w:eastAsia="宋体" w:cs="Times New Roman"/>
                <w:color w:val="auto"/>
              </w:rPr>
            </w:pPr>
          </w:p>
        </w:tc>
        <w:tc>
          <w:tcPr>
            <w:tcW w:w="839" w:type="dxa"/>
            <w:vMerge w:val="continue"/>
            <w:vAlign w:val="center"/>
          </w:tcPr>
          <w:p w14:paraId="65D01C6D">
            <w:pPr>
              <w:spacing w:line="360" w:lineRule="exact"/>
              <w:jc w:val="center"/>
              <w:rPr>
                <w:rFonts w:ascii="宋体" w:hAnsi="宋体" w:eastAsia="宋体" w:cs="Times New Roman"/>
                <w:color w:val="auto"/>
              </w:rPr>
            </w:pPr>
          </w:p>
        </w:tc>
      </w:tr>
      <w:tr w14:paraId="78D62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7A3313B">
            <w:pPr>
              <w:spacing w:line="360" w:lineRule="exact"/>
              <w:jc w:val="center"/>
              <w:rPr>
                <w:rFonts w:ascii="宋体" w:hAnsi="宋体" w:eastAsia="宋体" w:cs="Times New Roman"/>
                <w:color w:val="auto"/>
              </w:rPr>
            </w:pPr>
          </w:p>
        </w:tc>
        <w:tc>
          <w:tcPr>
            <w:tcW w:w="1206" w:type="dxa"/>
            <w:vAlign w:val="center"/>
          </w:tcPr>
          <w:p w14:paraId="5AA48C5C">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75A97CC9">
            <w:pPr>
              <w:spacing w:line="360" w:lineRule="exact"/>
              <w:jc w:val="center"/>
              <w:rPr>
                <w:rFonts w:ascii="宋体" w:hAnsi="宋体" w:eastAsia="宋体" w:cs="Times New Roman"/>
                <w:color w:val="auto"/>
              </w:rPr>
            </w:pPr>
            <w:r>
              <w:rPr>
                <w:rFonts w:ascii="宋体" w:hAnsi="宋体" w:eastAsia="宋体" w:cs="Times New Roman"/>
                <w:color w:val="auto"/>
              </w:rPr>
              <w:t xml:space="preserve">-1.371 </w:t>
            </w:r>
          </w:p>
        </w:tc>
        <w:tc>
          <w:tcPr>
            <w:tcW w:w="1447" w:type="dxa"/>
            <w:vAlign w:val="center"/>
          </w:tcPr>
          <w:p w14:paraId="02252349">
            <w:pPr>
              <w:spacing w:line="360" w:lineRule="exact"/>
              <w:jc w:val="center"/>
              <w:rPr>
                <w:rFonts w:ascii="宋体" w:hAnsi="宋体" w:eastAsia="宋体" w:cs="Times New Roman"/>
                <w:color w:val="auto"/>
              </w:rPr>
            </w:pPr>
            <w:r>
              <w:rPr>
                <w:rFonts w:ascii="宋体" w:hAnsi="宋体" w:eastAsia="宋体" w:cs="Times New Roman"/>
                <w:color w:val="auto"/>
              </w:rPr>
              <w:t xml:space="preserve">25.229 </w:t>
            </w:r>
          </w:p>
        </w:tc>
        <w:tc>
          <w:tcPr>
            <w:tcW w:w="1590" w:type="dxa"/>
            <w:vMerge w:val="continue"/>
            <w:vAlign w:val="center"/>
          </w:tcPr>
          <w:p w14:paraId="65C74929">
            <w:pPr>
              <w:spacing w:line="360" w:lineRule="exact"/>
              <w:jc w:val="center"/>
              <w:rPr>
                <w:rFonts w:ascii="宋体" w:hAnsi="宋体" w:eastAsia="宋体" w:cs="Times New Roman"/>
                <w:color w:val="auto"/>
              </w:rPr>
            </w:pPr>
          </w:p>
        </w:tc>
        <w:tc>
          <w:tcPr>
            <w:tcW w:w="1022" w:type="dxa"/>
            <w:vMerge w:val="continue"/>
            <w:vAlign w:val="center"/>
          </w:tcPr>
          <w:p w14:paraId="294E9918">
            <w:pPr>
              <w:spacing w:line="360" w:lineRule="exact"/>
              <w:jc w:val="center"/>
              <w:rPr>
                <w:rFonts w:ascii="宋体" w:hAnsi="宋体" w:eastAsia="宋体" w:cs="Times New Roman"/>
                <w:color w:val="auto"/>
              </w:rPr>
            </w:pPr>
          </w:p>
        </w:tc>
        <w:tc>
          <w:tcPr>
            <w:tcW w:w="839" w:type="dxa"/>
            <w:vMerge w:val="continue"/>
            <w:vAlign w:val="center"/>
          </w:tcPr>
          <w:p w14:paraId="4753E71D">
            <w:pPr>
              <w:spacing w:line="360" w:lineRule="exact"/>
              <w:jc w:val="center"/>
              <w:rPr>
                <w:rFonts w:ascii="宋体" w:hAnsi="宋体" w:eastAsia="宋体" w:cs="Times New Roman"/>
                <w:color w:val="auto"/>
              </w:rPr>
            </w:pPr>
          </w:p>
        </w:tc>
      </w:tr>
      <w:tr w14:paraId="1543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9FAF47E">
            <w:pPr>
              <w:spacing w:line="360" w:lineRule="exact"/>
              <w:jc w:val="center"/>
              <w:rPr>
                <w:rFonts w:ascii="宋体" w:hAnsi="宋体" w:eastAsia="宋体" w:cs="Times New Roman"/>
                <w:color w:val="auto"/>
              </w:rPr>
            </w:pPr>
          </w:p>
        </w:tc>
        <w:tc>
          <w:tcPr>
            <w:tcW w:w="1206" w:type="dxa"/>
            <w:vAlign w:val="center"/>
          </w:tcPr>
          <w:p w14:paraId="3B827199">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164CBCAC">
            <w:pPr>
              <w:spacing w:line="360" w:lineRule="exact"/>
              <w:jc w:val="center"/>
              <w:rPr>
                <w:rFonts w:ascii="宋体" w:hAnsi="宋体" w:eastAsia="宋体" w:cs="Times New Roman"/>
                <w:color w:val="auto"/>
              </w:rPr>
            </w:pPr>
            <w:r>
              <w:rPr>
                <w:rFonts w:ascii="宋体" w:hAnsi="宋体" w:eastAsia="宋体" w:cs="Times New Roman"/>
                <w:color w:val="auto"/>
              </w:rPr>
              <w:t xml:space="preserve">-0.688 </w:t>
            </w:r>
          </w:p>
        </w:tc>
        <w:tc>
          <w:tcPr>
            <w:tcW w:w="1447" w:type="dxa"/>
            <w:vAlign w:val="center"/>
          </w:tcPr>
          <w:p w14:paraId="18EECDE8">
            <w:pPr>
              <w:spacing w:line="360" w:lineRule="exact"/>
              <w:jc w:val="center"/>
              <w:rPr>
                <w:rFonts w:ascii="宋体" w:hAnsi="宋体" w:eastAsia="宋体" w:cs="Times New Roman"/>
                <w:color w:val="auto"/>
              </w:rPr>
            </w:pPr>
            <w:r>
              <w:rPr>
                <w:rFonts w:ascii="宋体" w:hAnsi="宋体" w:eastAsia="宋体" w:cs="Times New Roman"/>
                <w:color w:val="auto"/>
              </w:rPr>
              <w:t xml:space="preserve">12.647 </w:t>
            </w:r>
          </w:p>
        </w:tc>
        <w:tc>
          <w:tcPr>
            <w:tcW w:w="1590" w:type="dxa"/>
            <w:vMerge w:val="continue"/>
            <w:vAlign w:val="center"/>
          </w:tcPr>
          <w:p w14:paraId="1C5DF255">
            <w:pPr>
              <w:spacing w:line="360" w:lineRule="exact"/>
              <w:jc w:val="center"/>
              <w:rPr>
                <w:rFonts w:ascii="宋体" w:hAnsi="宋体" w:eastAsia="宋体" w:cs="Times New Roman"/>
                <w:color w:val="auto"/>
              </w:rPr>
            </w:pPr>
          </w:p>
        </w:tc>
        <w:tc>
          <w:tcPr>
            <w:tcW w:w="1022" w:type="dxa"/>
            <w:vMerge w:val="continue"/>
            <w:vAlign w:val="center"/>
          </w:tcPr>
          <w:p w14:paraId="5B26716E">
            <w:pPr>
              <w:spacing w:line="360" w:lineRule="exact"/>
              <w:jc w:val="center"/>
              <w:rPr>
                <w:rFonts w:ascii="宋体" w:hAnsi="宋体" w:eastAsia="宋体" w:cs="Times New Roman"/>
                <w:color w:val="auto"/>
              </w:rPr>
            </w:pPr>
          </w:p>
        </w:tc>
        <w:tc>
          <w:tcPr>
            <w:tcW w:w="839" w:type="dxa"/>
            <w:vMerge w:val="continue"/>
            <w:vAlign w:val="center"/>
          </w:tcPr>
          <w:p w14:paraId="6CDA7EE5">
            <w:pPr>
              <w:spacing w:line="360" w:lineRule="exact"/>
              <w:jc w:val="center"/>
              <w:rPr>
                <w:rFonts w:ascii="宋体" w:hAnsi="宋体" w:eastAsia="宋体" w:cs="Times New Roman"/>
                <w:color w:val="auto"/>
              </w:rPr>
            </w:pPr>
          </w:p>
        </w:tc>
      </w:tr>
      <w:tr w14:paraId="58EEA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495595E7">
            <w:pPr>
              <w:jc w:val="center"/>
              <w:textAlignment w:val="center"/>
              <w:rPr>
                <w:rFonts w:ascii="宋体" w:hAnsi="宋体" w:eastAsia="宋体" w:cs="Times New Roman"/>
                <w:color w:val="auto"/>
              </w:rPr>
            </w:pPr>
            <w:r>
              <w:rPr>
                <w:rFonts w:ascii="宋体" w:hAnsi="宋体" w:eastAsia="宋体" w:cs="Times New Roman"/>
                <w:color w:val="auto"/>
                <w:lang w:bidi="ar"/>
              </w:rPr>
              <w:t>蒙古屯（林家、潜水）</w:t>
            </w:r>
          </w:p>
        </w:tc>
        <w:tc>
          <w:tcPr>
            <w:tcW w:w="1206" w:type="dxa"/>
            <w:vAlign w:val="center"/>
          </w:tcPr>
          <w:p w14:paraId="7364AD82">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78615852">
            <w:pPr>
              <w:spacing w:line="360" w:lineRule="exact"/>
              <w:jc w:val="center"/>
              <w:rPr>
                <w:rFonts w:ascii="宋体" w:hAnsi="宋体" w:eastAsia="宋体" w:cs="Times New Roman"/>
                <w:color w:val="auto"/>
              </w:rPr>
            </w:pPr>
            <w:r>
              <w:rPr>
                <w:rFonts w:ascii="宋体" w:hAnsi="宋体" w:eastAsia="宋体" w:cs="Times New Roman"/>
                <w:color w:val="auto"/>
              </w:rPr>
              <w:t xml:space="preserve">0.066 </w:t>
            </w:r>
          </w:p>
        </w:tc>
        <w:tc>
          <w:tcPr>
            <w:tcW w:w="1447" w:type="dxa"/>
            <w:vAlign w:val="center"/>
          </w:tcPr>
          <w:p w14:paraId="49864AFC">
            <w:pPr>
              <w:spacing w:line="360" w:lineRule="exact"/>
              <w:jc w:val="center"/>
              <w:rPr>
                <w:rFonts w:ascii="宋体" w:hAnsi="宋体" w:eastAsia="宋体" w:cs="Times New Roman"/>
                <w:color w:val="auto"/>
              </w:rPr>
            </w:pPr>
            <w:r>
              <w:rPr>
                <w:rFonts w:ascii="宋体" w:hAnsi="宋体" w:eastAsia="宋体" w:cs="Times New Roman"/>
                <w:color w:val="auto"/>
              </w:rPr>
              <w:t xml:space="preserve">1.170 </w:t>
            </w:r>
          </w:p>
        </w:tc>
        <w:tc>
          <w:tcPr>
            <w:tcW w:w="1590" w:type="dxa"/>
            <w:vMerge w:val="restart"/>
            <w:vAlign w:val="center"/>
          </w:tcPr>
          <w:p w14:paraId="3FF76F80">
            <w:pPr>
              <w:spacing w:line="360" w:lineRule="exact"/>
              <w:jc w:val="center"/>
              <w:rPr>
                <w:rFonts w:ascii="宋体" w:hAnsi="宋体" w:eastAsia="宋体" w:cs="Times New Roman"/>
                <w:color w:val="auto"/>
              </w:rPr>
            </w:pPr>
            <w:r>
              <w:rPr>
                <w:rFonts w:ascii="宋体" w:hAnsi="宋体" w:eastAsia="宋体" w:cs="Times New Roman"/>
                <w:color w:val="auto"/>
              </w:rPr>
              <w:t xml:space="preserve">5.608 </w:t>
            </w:r>
          </w:p>
        </w:tc>
        <w:tc>
          <w:tcPr>
            <w:tcW w:w="1022" w:type="dxa"/>
            <w:vMerge w:val="restart"/>
            <w:vAlign w:val="center"/>
          </w:tcPr>
          <w:p w14:paraId="127D660F">
            <w:pPr>
              <w:spacing w:line="360" w:lineRule="exact"/>
              <w:jc w:val="center"/>
              <w:rPr>
                <w:rFonts w:ascii="宋体" w:hAnsi="宋体" w:eastAsia="宋体" w:cs="Times New Roman"/>
                <w:color w:val="auto"/>
              </w:rPr>
            </w:pPr>
            <w:r>
              <w:rPr>
                <w:rFonts w:ascii="宋体" w:hAnsi="宋体" w:eastAsia="宋体" w:cs="Times New Roman"/>
                <w:color w:val="auto"/>
              </w:rPr>
              <w:t xml:space="preserve">0.01 </w:t>
            </w:r>
          </w:p>
        </w:tc>
        <w:tc>
          <w:tcPr>
            <w:tcW w:w="839" w:type="dxa"/>
            <w:vMerge w:val="restart"/>
            <w:vAlign w:val="center"/>
          </w:tcPr>
          <w:p w14:paraId="6FC0F7C8">
            <w:pPr>
              <w:spacing w:line="360" w:lineRule="exact"/>
              <w:jc w:val="center"/>
              <w:rPr>
                <w:rFonts w:ascii="宋体" w:hAnsi="宋体" w:eastAsia="宋体" w:cs="Times New Roman"/>
                <w:color w:val="auto"/>
              </w:rPr>
            </w:pPr>
            <w:r>
              <w:rPr>
                <w:rFonts w:ascii="宋体" w:hAnsi="宋体" w:eastAsia="宋体" w:cs="Times New Roman"/>
                <w:color w:val="auto"/>
              </w:rPr>
              <w:t xml:space="preserve">0.41 </w:t>
            </w:r>
          </w:p>
        </w:tc>
      </w:tr>
      <w:tr w14:paraId="42180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651C94B">
            <w:pPr>
              <w:spacing w:line="360" w:lineRule="exact"/>
              <w:jc w:val="center"/>
              <w:rPr>
                <w:rFonts w:ascii="宋体" w:hAnsi="宋体" w:eastAsia="宋体" w:cs="Times New Roman"/>
                <w:color w:val="auto"/>
              </w:rPr>
            </w:pPr>
          </w:p>
        </w:tc>
        <w:tc>
          <w:tcPr>
            <w:tcW w:w="1206" w:type="dxa"/>
            <w:vAlign w:val="center"/>
          </w:tcPr>
          <w:p w14:paraId="1AA42F7F">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27BEC82C">
            <w:pPr>
              <w:spacing w:line="360" w:lineRule="exact"/>
              <w:jc w:val="center"/>
              <w:rPr>
                <w:rFonts w:ascii="宋体" w:hAnsi="宋体" w:eastAsia="宋体" w:cs="Times New Roman"/>
                <w:color w:val="auto"/>
              </w:rPr>
            </w:pPr>
            <w:r>
              <w:rPr>
                <w:rFonts w:ascii="宋体" w:hAnsi="宋体" w:eastAsia="宋体" w:cs="Times New Roman"/>
                <w:color w:val="auto"/>
              </w:rPr>
              <w:t xml:space="preserve">2.378 </w:t>
            </w:r>
          </w:p>
        </w:tc>
        <w:tc>
          <w:tcPr>
            <w:tcW w:w="1447" w:type="dxa"/>
            <w:vAlign w:val="center"/>
          </w:tcPr>
          <w:p w14:paraId="5D11F9D4">
            <w:pPr>
              <w:spacing w:line="360" w:lineRule="exact"/>
              <w:jc w:val="center"/>
              <w:rPr>
                <w:rFonts w:ascii="宋体" w:hAnsi="宋体" w:eastAsia="宋体" w:cs="Times New Roman"/>
                <w:color w:val="auto"/>
              </w:rPr>
            </w:pPr>
            <w:r>
              <w:rPr>
                <w:rFonts w:ascii="宋体" w:hAnsi="宋体" w:eastAsia="宋体" w:cs="Times New Roman"/>
                <w:color w:val="auto"/>
              </w:rPr>
              <w:t xml:space="preserve">42.408 </w:t>
            </w:r>
          </w:p>
        </w:tc>
        <w:tc>
          <w:tcPr>
            <w:tcW w:w="1590" w:type="dxa"/>
            <w:vMerge w:val="continue"/>
            <w:vAlign w:val="center"/>
          </w:tcPr>
          <w:p w14:paraId="15AA1C8D">
            <w:pPr>
              <w:jc w:val="center"/>
              <w:rPr>
                <w:rFonts w:ascii="宋体" w:hAnsi="宋体" w:eastAsia="宋体" w:cs="Times New Roman"/>
                <w:color w:val="auto"/>
              </w:rPr>
            </w:pPr>
          </w:p>
        </w:tc>
        <w:tc>
          <w:tcPr>
            <w:tcW w:w="1022" w:type="dxa"/>
            <w:vMerge w:val="continue"/>
            <w:vAlign w:val="center"/>
          </w:tcPr>
          <w:p w14:paraId="3A15FB3B">
            <w:pPr>
              <w:jc w:val="center"/>
              <w:rPr>
                <w:rFonts w:ascii="宋体" w:hAnsi="宋体" w:eastAsia="宋体" w:cs="Times New Roman"/>
                <w:color w:val="auto"/>
              </w:rPr>
            </w:pPr>
          </w:p>
        </w:tc>
        <w:tc>
          <w:tcPr>
            <w:tcW w:w="839" w:type="dxa"/>
            <w:vMerge w:val="continue"/>
            <w:vAlign w:val="center"/>
          </w:tcPr>
          <w:p w14:paraId="7853CE23">
            <w:pPr>
              <w:jc w:val="center"/>
              <w:rPr>
                <w:rFonts w:ascii="宋体" w:hAnsi="宋体" w:eastAsia="宋体" w:cs="Times New Roman"/>
                <w:color w:val="auto"/>
              </w:rPr>
            </w:pPr>
          </w:p>
        </w:tc>
      </w:tr>
      <w:tr w14:paraId="43F71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FED384C">
            <w:pPr>
              <w:spacing w:line="360" w:lineRule="exact"/>
              <w:jc w:val="center"/>
              <w:rPr>
                <w:rFonts w:ascii="宋体" w:hAnsi="宋体" w:eastAsia="宋体" w:cs="Times New Roman"/>
                <w:color w:val="auto"/>
              </w:rPr>
            </w:pPr>
          </w:p>
        </w:tc>
        <w:tc>
          <w:tcPr>
            <w:tcW w:w="1206" w:type="dxa"/>
            <w:vAlign w:val="center"/>
          </w:tcPr>
          <w:p w14:paraId="3A957BE6">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13BEFA8D">
            <w:pPr>
              <w:spacing w:line="360" w:lineRule="exact"/>
              <w:jc w:val="center"/>
              <w:rPr>
                <w:rFonts w:ascii="宋体" w:hAnsi="宋体" w:eastAsia="宋体" w:cs="Times New Roman"/>
                <w:color w:val="auto"/>
              </w:rPr>
            </w:pPr>
            <w:r>
              <w:rPr>
                <w:rFonts w:ascii="宋体" w:hAnsi="宋体" w:eastAsia="宋体" w:cs="Times New Roman"/>
                <w:color w:val="auto"/>
              </w:rPr>
              <w:t xml:space="preserve">2.415 </w:t>
            </w:r>
          </w:p>
        </w:tc>
        <w:tc>
          <w:tcPr>
            <w:tcW w:w="1447" w:type="dxa"/>
            <w:vAlign w:val="center"/>
          </w:tcPr>
          <w:p w14:paraId="209EBE74">
            <w:pPr>
              <w:spacing w:line="360" w:lineRule="exact"/>
              <w:jc w:val="center"/>
              <w:rPr>
                <w:rFonts w:ascii="宋体" w:hAnsi="宋体" w:eastAsia="宋体" w:cs="Times New Roman"/>
                <w:color w:val="auto"/>
              </w:rPr>
            </w:pPr>
            <w:r>
              <w:rPr>
                <w:rFonts w:ascii="宋体" w:hAnsi="宋体" w:eastAsia="宋体" w:cs="Times New Roman"/>
                <w:color w:val="auto"/>
              </w:rPr>
              <w:t xml:space="preserve">43.063 </w:t>
            </w:r>
          </w:p>
        </w:tc>
        <w:tc>
          <w:tcPr>
            <w:tcW w:w="1590" w:type="dxa"/>
            <w:vMerge w:val="continue"/>
            <w:vAlign w:val="center"/>
          </w:tcPr>
          <w:p w14:paraId="04FD29B5">
            <w:pPr>
              <w:jc w:val="center"/>
              <w:rPr>
                <w:rFonts w:ascii="宋体" w:hAnsi="宋体" w:eastAsia="宋体" w:cs="Times New Roman"/>
                <w:color w:val="auto"/>
              </w:rPr>
            </w:pPr>
          </w:p>
        </w:tc>
        <w:tc>
          <w:tcPr>
            <w:tcW w:w="1022" w:type="dxa"/>
            <w:vMerge w:val="continue"/>
            <w:vAlign w:val="center"/>
          </w:tcPr>
          <w:p w14:paraId="7F35B5C1">
            <w:pPr>
              <w:jc w:val="center"/>
              <w:rPr>
                <w:rFonts w:ascii="宋体" w:hAnsi="宋体" w:eastAsia="宋体" w:cs="Times New Roman"/>
                <w:color w:val="auto"/>
              </w:rPr>
            </w:pPr>
          </w:p>
        </w:tc>
        <w:tc>
          <w:tcPr>
            <w:tcW w:w="839" w:type="dxa"/>
            <w:vMerge w:val="continue"/>
            <w:vAlign w:val="center"/>
          </w:tcPr>
          <w:p w14:paraId="4A8AA55F">
            <w:pPr>
              <w:jc w:val="center"/>
              <w:rPr>
                <w:rFonts w:ascii="宋体" w:hAnsi="宋体" w:eastAsia="宋体" w:cs="Times New Roman"/>
                <w:color w:val="auto"/>
              </w:rPr>
            </w:pPr>
          </w:p>
        </w:tc>
      </w:tr>
      <w:tr w14:paraId="7156E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9F575EE">
            <w:pPr>
              <w:spacing w:line="360" w:lineRule="exact"/>
              <w:jc w:val="center"/>
              <w:rPr>
                <w:rFonts w:ascii="宋体" w:hAnsi="宋体" w:eastAsia="宋体" w:cs="Times New Roman"/>
                <w:color w:val="auto"/>
              </w:rPr>
            </w:pPr>
          </w:p>
        </w:tc>
        <w:tc>
          <w:tcPr>
            <w:tcW w:w="1206" w:type="dxa"/>
            <w:vAlign w:val="center"/>
          </w:tcPr>
          <w:p w14:paraId="58BA1A94">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769A87FD">
            <w:pPr>
              <w:spacing w:line="360" w:lineRule="exact"/>
              <w:jc w:val="center"/>
              <w:rPr>
                <w:rFonts w:ascii="宋体" w:hAnsi="宋体" w:eastAsia="宋体" w:cs="Times New Roman"/>
                <w:color w:val="auto"/>
              </w:rPr>
            </w:pPr>
            <w:r>
              <w:rPr>
                <w:rFonts w:ascii="宋体" w:hAnsi="宋体" w:eastAsia="宋体" w:cs="Times New Roman"/>
                <w:color w:val="auto"/>
              </w:rPr>
              <w:t xml:space="preserve">0.749 </w:t>
            </w:r>
          </w:p>
        </w:tc>
        <w:tc>
          <w:tcPr>
            <w:tcW w:w="1447" w:type="dxa"/>
            <w:vAlign w:val="center"/>
          </w:tcPr>
          <w:p w14:paraId="215FE827">
            <w:pPr>
              <w:spacing w:line="360" w:lineRule="exact"/>
              <w:jc w:val="center"/>
              <w:rPr>
                <w:rFonts w:ascii="宋体" w:hAnsi="宋体" w:eastAsia="宋体" w:cs="Times New Roman"/>
                <w:color w:val="auto"/>
              </w:rPr>
            </w:pPr>
            <w:r>
              <w:rPr>
                <w:rFonts w:ascii="宋体" w:hAnsi="宋体" w:eastAsia="宋体" w:cs="Times New Roman"/>
                <w:color w:val="auto"/>
              </w:rPr>
              <w:t xml:space="preserve">13.359 </w:t>
            </w:r>
          </w:p>
        </w:tc>
        <w:tc>
          <w:tcPr>
            <w:tcW w:w="1590" w:type="dxa"/>
            <w:vMerge w:val="continue"/>
            <w:vAlign w:val="center"/>
          </w:tcPr>
          <w:p w14:paraId="7759E1BA">
            <w:pPr>
              <w:jc w:val="center"/>
              <w:rPr>
                <w:rFonts w:ascii="宋体" w:hAnsi="宋体" w:eastAsia="宋体" w:cs="Times New Roman"/>
                <w:color w:val="auto"/>
              </w:rPr>
            </w:pPr>
          </w:p>
        </w:tc>
        <w:tc>
          <w:tcPr>
            <w:tcW w:w="1022" w:type="dxa"/>
            <w:vMerge w:val="continue"/>
            <w:vAlign w:val="center"/>
          </w:tcPr>
          <w:p w14:paraId="4E359A4D">
            <w:pPr>
              <w:jc w:val="center"/>
              <w:rPr>
                <w:rFonts w:ascii="宋体" w:hAnsi="宋体" w:eastAsia="宋体" w:cs="Times New Roman"/>
                <w:color w:val="auto"/>
              </w:rPr>
            </w:pPr>
          </w:p>
        </w:tc>
        <w:tc>
          <w:tcPr>
            <w:tcW w:w="839" w:type="dxa"/>
            <w:vMerge w:val="continue"/>
            <w:vAlign w:val="center"/>
          </w:tcPr>
          <w:p w14:paraId="796D4E04">
            <w:pPr>
              <w:jc w:val="center"/>
              <w:rPr>
                <w:rFonts w:ascii="宋体" w:hAnsi="宋体" w:eastAsia="宋体" w:cs="Times New Roman"/>
                <w:color w:val="auto"/>
              </w:rPr>
            </w:pPr>
          </w:p>
        </w:tc>
      </w:tr>
      <w:tr w14:paraId="3F4DC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E9C78B5">
            <w:pPr>
              <w:spacing w:line="360" w:lineRule="exact"/>
              <w:jc w:val="center"/>
              <w:rPr>
                <w:rFonts w:ascii="宋体" w:hAnsi="宋体" w:eastAsia="宋体" w:cs="Times New Roman"/>
                <w:color w:val="auto"/>
              </w:rPr>
            </w:pPr>
          </w:p>
        </w:tc>
        <w:tc>
          <w:tcPr>
            <w:tcW w:w="1206" w:type="dxa"/>
            <w:vAlign w:val="center"/>
          </w:tcPr>
          <w:p w14:paraId="43CF9364">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0D5642CA">
            <w:pPr>
              <w:spacing w:line="360" w:lineRule="exact"/>
              <w:jc w:val="center"/>
              <w:rPr>
                <w:rFonts w:ascii="宋体" w:hAnsi="宋体" w:eastAsia="宋体" w:cs="Times New Roman"/>
                <w:color w:val="auto"/>
              </w:rPr>
            </w:pPr>
            <w:r>
              <w:rPr>
                <w:rFonts w:ascii="宋体" w:hAnsi="宋体" w:eastAsia="宋体" w:cs="Times New Roman"/>
                <w:color w:val="auto"/>
              </w:rPr>
              <w:t xml:space="preserve">-3.459 </w:t>
            </w:r>
          </w:p>
        </w:tc>
        <w:tc>
          <w:tcPr>
            <w:tcW w:w="1447" w:type="dxa"/>
            <w:vAlign w:val="center"/>
          </w:tcPr>
          <w:p w14:paraId="414D0298">
            <w:pPr>
              <w:spacing w:line="360" w:lineRule="exact"/>
              <w:jc w:val="center"/>
              <w:rPr>
                <w:rFonts w:ascii="宋体" w:hAnsi="宋体" w:eastAsia="宋体" w:cs="Times New Roman"/>
                <w:color w:val="auto"/>
              </w:rPr>
            </w:pPr>
            <w:r>
              <w:rPr>
                <w:rFonts w:ascii="宋体" w:hAnsi="宋体" w:eastAsia="宋体" w:cs="Times New Roman"/>
                <w:color w:val="auto"/>
              </w:rPr>
              <w:t xml:space="preserve">61.669 </w:t>
            </w:r>
          </w:p>
        </w:tc>
        <w:tc>
          <w:tcPr>
            <w:tcW w:w="1590" w:type="dxa"/>
            <w:vMerge w:val="restart"/>
            <w:vAlign w:val="center"/>
          </w:tcPr>
          <w:p w14:paraId="4269586F">
            <w:pPr>
              <w:spacing w:line="360" w:lineRule="exact"/>
              <w:jc w:val="center"/>
              <w:rPr>
                <w:rFonts w:ascii="宋体" w:hAnsi="宋体" w:eastAsia="宋体" w:cs="Times New Roman"/>
                <w:color w:val="auto"/>
              </w:rPr>
            </w:pPr>
            <w:r>
              <w:rPr>
                <w:rFonts w:ascii="宋体" w:hAnsi="宋体" w:eastAsia="宋体" w:cs="Times New Roman"/>
                <w:color w:val="auto"/>
              </w:rPr>
              <w:t xml:space="preserve">5.609 </w:t>
            </w:r>
          </w:p>
        </w:tc>
        <w:tc>
          <w:tcPr>
            <w:tcW w:w="1022" w:type="dxa"/>
            <w:vMerge w:val="continue"/>
            <w:vAlign w:val="center"/>
          </w:tcPr>
          <w:p w14:paraId="5E7284A5">
            <w:pPr>
              <w:jc w:val="center"/>
              <w:rPr>
                <w:rFonts w:ascii="宋体" w:hAnsi="宋体" w:eastAsia="宋体" w:cs="Times New Roman"/>
                <w:color w:val="auto"/>
              </w:rPr>
            </w:pPr>
          </w:p>
        </w:tc>
        <w:tc>
          <w:tcPr>
            <w:tcW w:w="839" w:type="dxa"/>
            <w:vMerge w:val="continue"/>
            <w:vAlign w:val="center"/>
          </w:tcPr>
          <w:p w14:paraId="6A57A47A">
            <w:pPr>
              <w:jc w:val="center"/>
              <w:rPr>
                <w:rFonts w:ascii="宋体" w:hAnsi="宋体" w:eastAsia="宋体" w:cs="Times New Roman"/>
                <w:color w:val="auto"/>
              </w:rPr>
            </w:pPr>
          </w:p>
        </w:tc>
      </w:tr>
      <w:tr w14:paraId="6CE94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55D3D08">
            <w:pPr>
              <w:spacing w:line="360" w:lineRule="exact"/>
              <w:jc w:val="center"/>
              <w:rPr>
                <w:rFonts w:ascii="宋体" w:hAnsi="宋体" w:eastAsia="宋体" w:cs="Times New Roman"/>
                <w:color w:val="auto"/>
              </w:rPr>
            </w:pPr>
          </w:p>
        </w:tc>
        <w:tc>
          <w:tcPr>
            <w:tcW w:w="1206" w:type="dxa"/>
            <w:vAlign w:val="center"/>
          </w:tcPr>
          <w:p w14:paraId="04FB202B">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310DD74E">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7B09A253">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3BA545EF">
            <w:pPr>
              <w:jc w:val="center"/>
              <w:rPr>
                <w:rFonts w:ascii="宋体" w:hAnsi="宋体" w:eastAsia="宋体" w:cs="Times New Roman"/>
                <w:color w:val="auto"/>
              </w:rPr>
            </w:pPr>
          </w:p>
        </w:tc>
        <w:tc>
          <w:tcPr>
            <w:tcW w:w="1022" w:type="dxa"/>
            <w:vMerge w:val="continue"/>
            <w:vAlign w:val="center"/>
          </w:tcPr>
          <w:p w14:paraId="4E78BE5C">
            <w:pPr>
              <w:jc w:val="center"/>
              <w:rPr>
                <w:rFonts w:ascii="宋体" w:hAnsi="宋体" w:eastAsia="宋体" w:cs="Times New Roman"/>
                <w:color w:val="auto"/>
              </w:rPr>
            </w:pPr>
          </w:p>
        </w:tc>
        <w:tc>
          <w:tcPr>
            <w:tcW w:w="839" w:type="dxa"/>
            <w:vMerge w:val="continue"/>
            <w:vAlign w:val="center"/>
          </w:tcPr>
          <w:p w14:paraId="092BB5C7">
            <w:pPr>
              <w:jc w:val="center"/>
              <w:rPr>
                <w:rFonts w:ascii="宋体" w:hAnsi="宋体" w:eastAsia="宋体" w:cs="Times New Roman"/>
                <w:color w:val="auto"/>
              </w:rPr>
            </w:pPr>
          </w:p>
        </w:tc>
      </w:tr>
      <w:tr w14:paraId="29B4D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CFEFD38">
            <w:pPr>
              <w:spacing w:line="360" w:lineRule="exact"/>
              <w:jc w:val="center"/>
              <w:rPr>
                <w:rFonts w:ascii="宋体" w:hAnsi="宋体" w:eastAsia="宋体" w:cs="Times New Roman"/>
                <w:color w:val="auto"/>
              </w:rPr>
            </w:pPr>
          </w:p>
        </w:tc>
        <w:tc>
          <w:tcPr>
            <w:tcW w:w="1206" w:type="dxa"/>
            <w:vAlign w:val="center"/>
          </w:tcPr>
          <w:p w14:paraId="6D4533C5">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12DFF206">
            <w:pPr>
              <w:spacing w:line="360" w:lineRule="exact"/>
              <w:jc w:val="center"/>
              <w:rPr>
                <w:rFonts w:ascii="宋体" w:hAnsi="宋体" w:eastAsia="宋体" w:cs="Times New Roman"/>
                <w:color w:val="auto"/>
              </w:rPr>
            </w:pPr>
            <w:r>
              <w:rPr>
                <w:rFonts w:ascii="宋体" w:hAnsi="宋体" w:eastAsia="宋体" w:cs="Times New Roman"/>
                <w:color w:val="auto"/>
              </w:rPr>
              <w:t xml:space="preserve">-1.400 </w:t>
            </w:r>
          </w:p>
        </w:tc>
        <w:tc>
          <w:tcPr>
            <w:tcW w:w="1447" w:type="dxa"/>
            <w:vAlign w:val="center"/>
          </w:tcPr>
          <w:p w14:paraId="3454818F">
            <w:pPr>
              <w:spacing w:line="360" w:lineRule="exact"/>
              <w:jc w:val="center"/>
              <w:rPr>
                <w:rFonts w:ascii="宋体" w:hAnsi="宋体" w:eastAsia="宋体" w:cs="Times New Roman"/>
                <w:color w:val="auto"/>
              </w:rPr>
            </w:pPr>
            <w:r>
              <w:rPr>
                <w:rFonts w:ascii="宋体" w:hAnsi="宋体" w:eastAsia="宋体" w:cs="Times New Roman"/>
                <w:color w:val="auto"/>
              </w:rPr>
              <w:t xml:space="preserve">24.960 </w:t>
            </w:r>
          </w:p>
        </w:tc>
        <w:tc>
          <w:tcPr>
            <w:tcW w:w="1590" w:type="dxa"/>
            <w:vMerge w:val="continue"/>
            <w:vAlign w:val="center"/>
          </w:tcPr>
          <w:p w14:paraId="28FB1953">
            <w:pPr>
              <w:jc w:val="center"/>
              <w:rPr>
                <w:rFonts w:ascii="宋体" w:hAnsi="宋体" w:eastAsia="宋体" w:cs="Times New Roman"/>
                <w:color w:val="auto"/>
              </w:rPr>
            </w:pPr>
          </w:p>
        </w:tc>
        <w:tc>
          <w:tcPr>
            <w:tcW w:w="1022" w:type="dxa"/>
            <w:vMerge w:val="continue"/>
            <w:vAlign w:val="center"/>
          </w:tcPr>
          <w:p w14:paraId="44075ED7">
            <w:pPr>
              <w:jc w:val="center"/>
              <w:rPr>
                <w:rFonts w:ascii="宋体" w:hAnsi="宋体" w:eastAsia="宋体" w:cs="Times New Roman"/>
                <w:color w:val="auto"/>
              </w:rPr>
            </w:pPr>
          </w:p>
        </w:tc>
        <w:tc>
          <w:tcPr>
            <w:tcW w:w="839" w:type="dxa"/>
            <w:vMerge w:val="continue"/>
            <w:vAlign w:val="center"/>
          </w:tcPr>
          <w:p w14:paraId="69CE4834">
            <w:pPr>
              <w:jc w:val="center"/>
              <w:rPr>
                <w:rFonts w:ascii="宋体" w:hAnsi="宋体" w:eastAsia="宋体" w:cs="Times New Roman"/>
                <w:color w:val="auto"/>
              </w:rPr>
            </w:pPr>
          </w:p>
        </w:tc>
      </w:tr>
      <w:tr w14:paraId="6D3DA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949E629">
            <w:pPr>
              <w:spacing w:line="360" w:lineRule="exact"/>
              <w:jc w:val="center"/>
              <w:rPr>
                <w:rFonts w:ascii="宋体" w:hAnsi="宋体" w:eastAsia="宋体" w:cs="Times New Roman"/>
                <w:color w:val="auto"/>
              </w:rPr>
            </w:pPr>
          </w:p>
        </w:tc>
        <w:tc>
          <w:tcPr>
            <w:tcW w:w="1206" w:type="dxa"/>
            <w:vAlign w:val="center"/>
          </w:tcPr>
          <w:p w14:paraId="430F5F54">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3FC8E857">
            <w:pPr>
              <w:spacing w:line="360" w:lineRule="exact"/>
              <w:jc w:val="center"/>
              <w:rPr>
                <w:rFonts w:ascii="宋体" w:hAnsi="宋体" w:eastAsia="宋体" w:cs="Times New Roman"/>
                <w:color w:val="auto"/>
              </w:rPr>
            </w:pPr>
            <w:r>
              <w:rPr>
                <w:rFonts w:ascii="宋体" w:hAnsi="宋体" w:eastAsia="宋体" w:cs="Times New Roman"/>
                <w:color w:val="auto"/>
              </w:rPr>
              <w:t xml:space="preserve">-0.750 </w:t>
            </w:r>
          </w:p>
        </w:tc>
        <w:tc>
          <w:tcPr>
            <w:tcW w:w="1447" w:type="dxa"/>
            <w:vAlign w:val="center"/>
          </w:tcPr>
          <w:p w14:paraId="19862EBE">
            <w:pPr>
              <w:spacing w:line="360" w:lineRule="exact"/>
              <w:jc w:val="center"/>
              <w:rPr>
                <w:rFonts w:ascii="宋体" w:hAnsi="宋体" w:eastAsia="宋体" w:cs="Times New Roman"/>
                <w:color w:val="auto"/>
              </w:rPr>
            </w:pPr>
            <w:r>
              <w:rPr>
                <w:rFonts w:ascii="宋体" w:hAnsi="宋体" w:eastAsia="宋体" w:cs="Times New Roman"/>
                <w:color w:val="auto"/>
              </w:rPr>
              <w:t xml:space="preserve">13.371 </w:t>
            </w:r>
          </w:p>
        </w:tc>
        <w:tc>
          <w:tcPr>
            <w:tcW w:w="1590" w:type="dxa"/>
            <w:vMerge w:val="continue"/>
            <w:vAlign w:val="center"/>
          </w:tcPr>
          <w:p w14:paraId="4BBC0065">
            <w:pPr>
              <w:jc w:val="center"/>
              <w:rPr>
                <w:rFonts w:ascii="宋体" w:hAnsi="宋体" w:eastAsia="宋体" w:cs="Times New Roman"/>
                <w:color w:val="auto"/>
              </w:rPr>
            </w:pPr>
          </w:p>
        </w:tc>
        <w:tc>
          <w:tcPr>
            <w:tcW w:w="1022" w:type="dxa"/>
            <w:vMerge w:val="continue"/>
            <w:vAlign w:val="center"/>
          </w:tcPr>
          <w:p w14:paraId="06680693">
            <w:pPr>
              <w:jc w:val="center"/>
              <w:rPr>
                <w:rFonts w:ascii="宋体" w:hAnsi="宋体" w:eastAsia="宋体" w:cs="Times New Roman"/>
                <w:color w:val="auto"/>
              </w:rPr>
            </w:pPr>
          </w:p>
        </w:tc>
        <w:tc>
          <w:tcPr>
            <w:tcW w:w="839" w:type="dxa"/>
            <w:vMerge w:val="continue"/>
            <w:vAlign w:val="center"/>
          </w:tcPr>
          <w:p w14:paraId="5FD0EDBF">
            <w:pPr>
              <w:jc w:val="center"/>
              <w:rPr>
                <w:rFonts w:ascii="宋体" w:hAnsi="宋体" w:eastAsia="宋体" w:cs="Times New Roman"/>
                <w:color w:val="auto"/>
              </w:rPr>
            </w:pPr>
          </w:p>
        </w:tc>
      </w:tr>
    </w:tbl>
    <w:p w14:paraId="7189656D">
      <w:pPr>
        <w:pStyle w:val="276"/>
        <w:widowControl w:val="0"/>
        <w:spacing w:line="440" w:lineRule="exact"/>
        <w:ind w:firstLine="0" w:firstLineChars="0"/>
        <w:jc w:val="center"/>
        <w:rPr>
          <w:color w:val="auto"/>
          <w:kern w:val="21"/>
          <w:szCs w:val="20"/>
        </w:rPr>
      </w:pPr>
      <w:r>
        <w:rPr>
          <w:color w:val="auto"/>
          <w:kern w:val="21"/>
          <w:szCs w:val="20"/>
        </w:rPr>
        <w:t>表</w:t>
      </w:r>
      <w:r>
        <w:rPr>
          <w:color w:val="auto"/>
          <w:kern w:val="2"/>
          <w:szCs w:val="20"/>
        </w:rPr>
        <w:t>4.3-1</w:t>
      </w:r>
      <w:r>
        <w:rPr>
          <w:rFonts w:hint="eastAsia"/>
          <w:color w:val="auto"/>
          <w:kern w:val="2"/>
          <w:szCs w:val="20"/>
        </w:rPr>
        <w:t>2</w:t>
      </w:r>
      <w:r>
        <w:rPr>
          <w:color w:val="auto"/>
          <w:kern w:val="21"/>
          <w:szCs w:val="20"/>
        </w:rPr>
        <w:t xml:space="preserve">   承压水</w:t>
      </w:r>
      <w:r>
        <w:rPr>
          <w:color w:val="auto"/>
        </w:rPr>
        <w:t>水质</w:t>
      </w:r>
      <w:r>
        <w:rPr>
          <w:color w:val="auto"/>
          <w:kern w:val="21"/>
          <w:szCs w:val="20"/>
        </w:rPr>
        <w:t>八大离子浓度评价结果</w:t>
      </w:r>
    </w:p>
    <w:tbl>
      <w:tblPr>
        <w:tblStyle w:val="81"/>
        <w:tblW w:w="90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9"/>
        <w:gridCol w:w="1206"/>
        <w:gridCol w:w="1444"/>
        <w:gridCol w:w="1447"/>
        <w:gridCol w:w="1590"/>
        <w:gridCol w:w="1022"/>
        <w:gridCol w:w="839"/>
      </w:tblGrid>
      <w:tr w14:paraId="18361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Align w:val="center"/>
          </w:tcPr>
          <w:p w14:paraId="3F04ED53">
            <w:pPr>
              <w:spacing w:line="360" w:lineRule="exact"/>
              <w:jc w:val="center"/>
              <w:rPr>
                <w:rFonts w:ascii="宋体" w:hAnsi="宋体" w:eastAsia="宋体" w:cs="Times New Roman"/>
                <w:color w:val="auto"/>
              </w:rPr>
            </w:pPr>
            <w:r>
              <w:rPr>
                <w:rFonts w:ascii="宋体" w:hAnsi="宋体" w:eastAsia="宋体" w:cs="Times New Roman"/>
                <w:color w:val="auto"/>
              </w:rPr>
              <w:t>监测井点位</w:t>
            </w:r>
          </w:p>
        </w:tc>
        <w:tc>
          <w:tcPr>
            <w:tcW w:w="1206" w:type="dxa"/>
            <w:vAlign w:val="center"/>
          </w:tcPr>
          <w:p w14:paraId="3B116431">
            <w:pPr>
              <w:spacing w:line="360" w:lineRule="exact"/>
              <w:jc w:val="center"/>
              <w:rPr>
                <w:rFonts w:ascii="宋体" w:hAnsi="宋体" w:eastAsia="宋体" w:cs="Times New Roman"/>
                <w:color w:val="auto"/>
              </w:rPr>
            </w:pPr>
            <w:r>
              <w:rPr>
                <w:rFonts w:ascii="宋体" w:hAnsi="宋体" w:eastAsia="宋体" w:cs="Times New Roman"/>
                <w:color w:val="auto"/>
              </w:rPr>
              <w:t>离子名称</w:t>
            </w:r>
          </w:p>
        </w:tc>
        <w:tc>
          <w:tcPr>
            <w:tcW w:w="1444" w:type="dxa"/>
            <w:vAlign w:val="center"/>
          </w:tcPr>
          <w:p w14:paraId="253D79E1">
            <w:pPr>
              <w:spacing w:line="360" w:lineRule="exact"/>
              <w:jc w:val="center"/>
              <w:rPr>
                <w:rFonts w:ascii="宋体" w:hAnsi="宋体" w:eastAsia="宋体" w:cs="Times New Roman"/>
                <w:color w:val="auto"/>
              </w:rPr>
            </w:pPr>
            <w:r>
              <w:rPr>
                <w:rFonts w:ascii="宋体" w:hAnsi="宋体" w:eastAsia="宋体" w:cs="Times New Roman"/>
                <w:color w:val="auto"/>
              </w:rPr>
              <w:t>毫克当量（mg/L）</w:t>
            </w:r>
          </w:p>
        </w:tc>
        <w:tc>
          <w:tcPr>
            <w:tcW w:w="1447" w:type="dxa"/>
            <w:vAlign w:val="center"/>
          </w:tcPr>
          <w:p w14:paraId="42796A8E">
            <w:pPr>
              <w:spacing w:line="360" w:lineRule="exact"/>
              <w:jc w:val="center"/>
              <w:rPr>
                <w:rFonts w:ascii="宋体" w:hAnsi="宋体" w:eastAsia="宋体" w:cs="Times New Roman"/>
                <w:color w:val="auto"/>
              </w:rPr>
            </w:pPr>
            <w:r>
              <w:rPr>
                <w:rFonts w:ascii="宋体" w:hAnsi="宋体" w:eastAsia="宋体" w:cs="Times New Roman"/>
                <w:color w:val="auto"/>
              </w:rPr>
              <w:t>毫克当量百分比（%）</w:t>
            </w:r>
          </w:p>
        </w:tc>
        <w:tc>
          <w:tcPr>
            <w:tcW w:w="1590" w:type="dxa"/>
            <w:vAlign w:val="center"/>
          </w:tcPr>
          <w:p w14:paraId="46F99DCE">
            <w:pPr>
              <w:spacing w:line="360" w:lineRule="exact"/>
              <w:jc w:val="center"/>
              <w:rPr>
                <w:rFonts w:ascii="宋体" w:hAnsi="宋体" w:eastAsia="宋体" w:cs="Times New Roman"/>
                <w:color w:val="auto"/>
              </w:rPr>
            </w:pPr>
            <w:r>
              <w:rPr>
                <w:rFonts w:ascii="宋体" w:hAnsi="宋体" w:eastAsia="宋体" w:cs="Times New Roman"/>
                <w:color w:val="auto"/>
              </w:rPr>
              <w:t>离子毫克当量合计（mg/L）</w:t>
            </w:r>
          </w:p>
        </w:tc>
        <w:tc>
          <w:tcPr>
            <w:tcW w:w="1022" w:type="dxa"/>
            <w:vAlign w:val="center"/>
          </w:tcPr>
          <w:p w14:paraId="7127C7F7">
            <w:pPr>
              <w:spacing w:line="360" w:lineRule="exact"/>
              <w:jc w:val="center"/>
              <w:rPr>
                <w:rFonts w:ascii="宋体" w:hAnsi="宋体" w:eastAsia="宋体" w:cs="Times New Roman"/>
                <w:color w:val="auto"/>
              </w:rPr>
            </w:pPr>
            <w:r>
              <w:rPr>
                <w:rFonts w:ascii="宋体" w:hAnsi="宋体" w:eastAsia="宋体" w:cs="Times New Roman"/>
                <w:color w:val="auto"/>
              </w:rPr>
              <w:t>相对误差%</w:t>
            </w:r>
          </w:p>
        </w:tc>
        <w:tc>
          <w:tcPr>
            <w:tcW w:w="839" w:type="dxa"/>
            <w:vAlign w:val="center"/>
          </w:tcPr>
          <w:p w14:paraId="1E2F50A9">
            <w:pPr>
              <w:spacing w:line="360" w:lineRule="exact"/>
              <w:jc w:val="center"/>
              <w:rPr>
                <w:rFonts w:ascii="宋体" w:hAnsi="宋体" w:eastAsia="宋体" w:cs="Times New Roman"/>
                <w:color w:val="auto"/>
              </w:rPr>
            </w:pPr>
            <w:r>
              <w:rPr>
                <w:rFonts w:ascii="宋体" w:hAnsi="宋体" w:eastAsia="宋体" w:cs="Times New Roman"/>
                <w:color w:val="auto"/>
              </w:rPr>
              <w:t>矿化度</w:t>
            </w:r>
          </w:p>
        </w:tc>
      </w:tr>
      <w:tr w14:paraId="70C09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6DEA3CC0">
            <w:pPr>
              <w:jc w:val="center"/>
              <w:textAlignment w:val="center"/>
              <w:rPr>
                <w:rFonts w:ascii="宋体" w:hAnsi="宋体" w:eastAsia="宋体" w:cs="Times New Roman"/>
                <w:color w:val="auto"/>
              </w:rPr>
            </w:pPr>
            <w:r>
              <w:rPr>
                <w:rFonts w:ascii="宋体" w:hAnsi="宋体" w:eastAsia="宋体" w:cs="Times New Roman"/>
                <w:color w:val="auto"/>
                <w:lang w:bidi="ar"/>
              </w:rPr>
              <w:t>王家园子屯（房家、承压水）</w:t>
            </w:r>
          </w:p>
        </w:tc>
        <w:tc>
          <w:tcPr>
            <w:tcW w:w="1206" w:type="dxa"/>
            <w:vAlign w:val="center"/>
          </w:tcPr>
          <w:p w14:paraId="4E2986B6">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2A21E2CA">
            <w:pPr>
              <w:spacing w:line="360" w:lineRule="exact"/>
              <w:jc w:val="center"/>
              <w:rPr>
                <w:rFonts w:ascii="宋体" w:hAnsi="宋体" w:eastAsia="宋体" w:cs="Times New Roman"/>
                <w:color w:val="auto"/>
              </w:rPr>
            </w:pPr>
            <w:r>
              <w:rPr>
                <w:rFonts w:ascii="宋体" w:hAnsi="宋体" w:eastAsia="宋体" w:cs="Times New Roman"/>
                <w:color w:val="auto"/>
              </w:rPr>
              <w:t xml:space="preserve">0.041 </w:t>
            </w:r>
          </w:p>
        </w:tc>
        <w:tc>
          <w:tcPr>
            <w:tcW w:w="1447" w:type="dxa"/>
            <w:vAlign w:val="center"/>
          </w:tcPr>
          <w:p w14:paraId="71061DB8">
            <w:pPr>
              <w:spacing w:line="360" w:lineRule="exact"/>
              <w:jc w:val="center"/>
              <w:rPr>
                <w:rFonts w:ascii="宋体" w:hAnsi="宋体" w:eastAsia="宋体" w:cs="Times New Roman"/>
                <w:color w:val="auto"/>
              </w:rPr>
            </w:pPr>
            <w:r>
              <w:rPr>
                <w:rFonts w:ascii="宋体" w:hAnsi="宋体" w:eastAsia="宋体" w:cs="Times New Roman"/>
                <w:color w:val="auto"/>
              </w:rPr>
              <w:t xml:space="preserve">0.920 </w:t>
            </w:r>
          </w:p>
        </w:tc>
        <w:tc>
          <w:tcPr>
            <w:tcW w:w="1590" w:type="dxa"/>
            <w:vMerge w:val="restart"/>
            <w:vAlign w:val="center"/>
          </w:tcPr>
          <w:p w14:paraId="12AF20D8">
            <w:pPr>
              <w:spacing w:line="360" w:lineRule="exact"/>
              <w:jc w:val="center"/>
              <w:rPr>
                <w:rFonts w:ascii="宋体" w:hAnsi="宋体" w:eastAsia="宋体" w:cs="Times New Roman"/>
                <w:color w:val="auto"/>
              </w:rPr>
            </w:pPr>
            <w:r>
              <w:rPr>
                <w:rFonts w:ascii="宋体" w:hAnsi="宋体" w:eastAsia="宋体" w:cs="Times New Roman"/>
                <w:color w:val="auto"/>
              </w:rPr>
              <w:t xml:space="preserve">4.403 </w:t>
            </w:r>
          </w:p>
        </w:tc>
        <w:tc>
          <w:tcPr>
            <w:tcW w:w="1022" w:type="dxa"/>
            <w:vMerge w:val="restart"/>
            <w:vAlign w:val="center"/>
          </w:tcPr>
          <w:p w14:paraId="638BC1D4">
            <w:pPr>
              <w:spacing w:line="360" w:lineRule="exact"/>
              <w:jc w:val="center"/>
              <w:rPr>
                <w:rFonts w:ascii="宋体" w:hAnsi="宋体" w:eastAsia="宋体" w:cs="Times New Roman"/>
                <w:color w:val="auto"/>
              </w:rPr>
            </w:pPr>
            <w:r>
              <w:rPr>
                <w:rFonts w:ascii="宋体" w:hAnsi="宋体" w:eastAsia="宋体" w:cs="Times New Roman"/>
                <w:color w:val="auto"/>
              </w:rPr>
              <w:t xml:space="preserve">2.64 </w:t>
            </w:r>
          </w:p>
        </w:tc>
        <w:tc>
          <w:tcPr>
            <w:tcW w:w="839" w:type="dxa"/>
            <w:vMerge w:val="restart"/>
            <w:vAlign w:val="center"/>
          </w:tcPr>
          <w:p w14:paraId="0397C72C">
            <w:pPr>
              <w:spacing w:line="360" w:lineRule="exact"/>
              <w:jc w:val="center"/>
              <w:rPr>
                <w:rFonts w:ascii="宋体" w:hAnsi="宋体" w:eastAsia="宋体" w:cs="Times New Roman"/>
                <w:color w:val="auto"/>
              </w:rPr>
            </w:pPr>
            <w:r>
              <w:rPr>
                <w:rFonts w:ascii="宋体" w:hAnsi="宋体" w:eastAsia="宋体" w:cs="Times New Roman"/>
                <w:color w:val="auto"/>
              </w:rPr>
              <w:t xml:space="preserve">0.31 </w:t>
            </w:r>
          </w:p>
        </w:tc>
      </w:tr>
      <w:tr w14:paraId="779BB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8953051">
            <w:pPr>
              <w:spacing w:line="360" w:lineRule="exact"/>
              <w:jc w:val="center"/>
              <w:rPr>
                <w:rFonts w:ascii="宋体" w:hAnsi="宋体" w:eastAsia="宋体" w:cs="Times New Roman"/>
                <w:color w:val="auto"/>
              </w:rPr>
            </w:pPr>
          </w:p>
        </w:tc>
        <w:tc>
          <w:tcPr>
            <w:tcW w:w="1206" w:type="dxa"/>
            <w:vAlign w:val="center"/>
          </w:tcPr>
          <w:p w14:paraId="7E6B4D7E">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7588D235">
            <w:pPr>
              <w:spacing w:line="360" w:lineRule="exact"/>
              <w:jc w:val="center"/>
              <w:rPr>
                <w:rFonts w:ascii="宋体" w:hAnsi="宋体" w:eastAsia="宋体" w:cs="Times New Roman"/>
                <w:color w:val="auto"/>
              </w:rPr>
            </w:pPr>
            <w:r>
              <w:rPr>
                <w:rFonts w:ascii="宋体" w:hAnsi="宋体" w:eastAsia="宋体" w:cs="Times New Roman"/>
                <w:color w:val="auto"/>
              </w:rPr>
              <w:t xml:space="preserve">1.891 </w:t>
            </w:r>
          </w:p>
        </w:tc>
        <w:tc>
          <w:tcPr>
            <w:tcW w:w="1447" w:type="dxa"/>
            <w:vAlign w:val="center"/>
          </w:tcPr>
          <w:p w14:paraId="1CF529C7">
            <w:pPr>
              <w:spacing w:line="360" w:lineRule="exact"/>
              <w:jc w:val="center"/>
              <w:rPr>
                <w:rFonts w:ascii="宋体" w:hAnsi="宋体" w:eastAsia="宋体" w:cs="Times New Roman"/>
                <w:color w:val="auto"/>
              </w:rPr>
            </w:pPr>
            <w:r>
              <w:rPr>
                <w:rFonts w:ascii="宋体" w:hAnsi="宋体" w:eastAsia="宋体" w:cs="Times New Roman"/>
                <w:color w:val="auto"/>
              </w:rPr>
              <w:t xml:space="preserve">42.950 </w:t>
            </w:r>
          </w:p>
        </w:tc>
        <w:tc>
          <w:tcPr>
            <w:tcW w:w="1590" w:type="dxa"/>
            <w:vMerge w:val="continue"/>
            <w:vAlign w:val="center"/>
          </w:tcPr>
          <w:p w14:paraId="045067C7">
            <w:pPr>
              <w:spacing w:line="360" w:lineRule="exact"/>
              <w:jc w:val="center"/>
              <w:rPr>
                <w:rFonts w:ascii="宋体" w:hAnsi="宋体" w:eastAsia="宋体" w:cs="Times New Roman"/>
                <w:color w:val="auto"/>
              </w:rPr>
            </w:pPr>
          </w:p>
        </w:tc>
        <w:tc>
          <w:tcPr>
            <w:tcW w:w="1022" w:type="dxa"/>
            <w:vMerge w:val="continue"/>
            <w:vAlign w:val="center"/>
          </w:tcPr>
          <w:p w14:paraId="1BA9DE6A">
            <w:pPr>
              <w:spacing w:line="360" w:lineRule="exact"/>
              <w:jc w:val="center"/>
              <w:rPr>
                <w:rFonts w:ascii="宋体" w:hAnsi="宋体" w:eastAsia="宋体" w:cs="Times New Roman"/>
                <w:color w:val="auto"/>
              </w:rPr>
            </w:pPr>
          </w:p>
        </w:tc>
        <w:tc>
          <w:tcPr>
            <w:tcW w:w="839" w:type="dxa"/>
            <w:vMerge w:val="continue"/>
            <w:vAlign w:val="center"/>
          </w:tcPr>
          <w:p w14:paraId="5EC646EC">
            <w:pPr>
              <w:spacing w:line="360" w:lineRule="exact"/>
              <w:jc w:val="center"/>
              <w:rPr>
                <w:rFonts w:ascii="宋体" w:hAnsi="宋体" w:eastAsia="宋体" w:cs="Times New Roman"/>
                <w:color w:val="auto"/>
              </w:rPr>
            </w:pPr>
          </w:p>
        </w:tc>
      </w:tr>
      <w:tr w14:paraId="43CA9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AEF15C6">
            <w:pPr>
              <w:spacing w:line="360" w:lineRule="exact"/>
              <w:jc w:val="center"/>
              <w:rPr>
                <w:rFonts w:ascii="宋体" w:hAnsi="宋体" w:eastAsia="宋体" w:cs="Times New Roman"/>
                <w:color w:val="auto"/>
              </w:rPr>
            </w:pPr>
          </w:p>
        </w:tc>
        <w:tc>
          <w:tcPr>
            <w:tcW w:w="1206" w:type="dxa"/>
            <w:vAlign w:val="center"/>
          </w:tcPr>
          <w:p w14:paraId="31230534">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278B5F2E">
            <w:pPr>
              <w:spacing w:line="360" w:lineRule="exact"/>
              <w:jc w:val="center"/>
              <w:rPr>
                <w:rFonts w:ascii="宋体" w:hAnsi="宋体" w:eastAsia="宋体" w:cs="Times New Roman"/>
                <w:color w:val="auto"/>
              </w:rPr>
            </w:pPr>
            <w:r>
              <w:rPr>
                <w:rFonts w:ascii="宋体" w:hAnsi="宋体" w:eastAsia="宋体" w:cs="Times New Roman"/>
                <w:color w:val="auto"/>
              </w:rPr>
              <w:t xml:space="preserve">1.870 </w:t>
            </w:r>
          </w:p>
        </w:tc>
        <w:tc>
          <w:tcPr>
            <w:tcW w:w="1447" w:type="dxa"/>
            <w:vAlign w:val="center"/>
          </w:tcPr>
          <w:p w14:paraId="28CF1F89">
            <w:pPr>
              <w:spacing w:line="360" w:lineRule="exact"/>
              <w:jc w:val="center"/>
              <w:rPr>
                <w:rFonts w:ascii="宋体" w:hAnsi="宋体" w:eastAsia="宋体" w:cs="Times New Roman"/>
                <w:color w:val="auto"/>
              </w:rPr>
            </w:pPr>
            <w:r>
              <w:rPr>
                <w:rFonts w:ascii="宋体" w:hAnsi="宋体" w:eastAsia="宋体" w:cs="Times New Roman"/>
                <w:color w:val="auto"/>
              </w:rPr>
              <w:t xml:space="preserve">42.466 </w:t>
            </w:r>
          </w:p>
        </w:tc>
        <w:tc>
          <w:tcPr>
            <w:tcW w:w="1590" w:type="dxa"/>
            <w:vMerge w:val="continue"/>
            <w:vAlign w:val="center"/>
          </w:tcPr>
          <w:p w14:paraId="2CF98A9C">
            <w:pPr>
              <w:spacing w:line="360" w:lineRule="exact"/>
              <w:jc w:val="center"/>
              <w:rPr>
                <w:rFonts w:ascii="宋体" w:hAnsi="宋体" w:eastAsia="宋体" w:cs="Times New Roman"/>
                <w:color w:val="auto"/>
              </w:rPr>
            </w:pPr>
          </w:p>
        </w:tc>
        <w:tc>
          <w:tcPr>
            <w:tcW w:w="1022" w:type="dxa"/>
            <w:vMerge w:val="continue"/>
            <w:vAlign w:val="center"/>
          </w:tcPr>
          <w:p w14:paraId="7C475337">
            <w:pPr>
              <w:spacing w:line="360" w:lineRule="exact"/>
              <w:jc w:val="center"/>
              <w:rPr>
                <w:rFonts w:ascii="宋体" w:hAnsi="宋体" w:eastAsia="宋体" w:cs="Times New Roman"/>
                <w:color w:val="auto"/>
              </w:rPr>
            </w:pPr>
          </w:p>
        </w:tc>
        <w:tc>
          <w:tcPr>
            <w:tcW w:w="839" w:type="dxa"/>
            <w:vMerge w:val="continue"/>
            <w:vAlign w:val="center"/>
          </w:tcPr>
          <w:p w14:paraId="57506F4C">
            <w:pPr>
              <w:spacing w:line="360" w:lineRule="exact"/>
              <w:jc w:val="center"/>
              <w:rPr>
                <w:rFonts w:ascii="宋体" w:hAnsi="宋体" w:eastAsia="宋体" w:cs="Times New Roman"/>
                <w:color w:val="auto"/>
              </w:rPr>
            </w:pPr>
          </w:p>
        </w:tc>
      </w:tr>
      <w:tr w14:paraId="5CA7A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EE048C2">
            <w:pPr>
              <w:spacing w:line="360" w:lineRule="exact"/>
              <w:jc w:val="center"/>
              <w:rPr>
                <w:rFonts w:ascii="宋体" w:hAnsi="宋体" w:eastAsia="宋体" w:cs="Times New Roman"/>
                <w:color w:val="auto"/>
              </w:rPr>
            </w:pPr>
          </w:p>
        </w:tc>
        <w:tc>
          <w:tcPr>
            <w:tcW w:w="1206" w:type="dxa"/>
            <w:vAlign w:val="center"/>
          </w:tcPr>
          <w:p w14:paraId="0D540CAD">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6C770649">
            <w:pPr>
              <w:spacing w:line="360" w:lineRule="exact"/>
              <w:jc w:val="center"/>
              <w:rPr>
                <w:rFonts w:ascii="宋体" w:hAnsi="宋体" w:eastAsia="宋体" w:cs="Times New Roman"/>
                <w:color w:val="auto"/>
              </w:rPr>
            </w:pPr>
            <w:r>
              <w:rPr>
                <w:rFonts w:ascii="宋体" w:hAnsi="宋体" w:eastAsia="宋体" w:cs="Times New Roman"/>
                <w:color w:val="auto"/>
              </w:rPr>
              <w:t xml:space="preserve">0.602 </w:t>
            </w:r>
          </w:p>
        </w:tc>
        <w:tc>
          <w:tcPr>
            <w:tcW w:w="1447" w:type="dxa"/>
            <w:vAlign w:val="center"/>
          </w:tcPr>
          <w:p w14:paraId="2D391CA0">
            <w:pPr>
              <w:spacing w:line="360" w:lineRule="exact"/>
              <w:jc w:val="center"/>
              <w:rPr>
                <w:rFonts w:ascii="宋体" w:hAnsi="宋体" w:eastAsia="宋体" w:cs="Times New Roman"/>
                <w:color w:val="auto"/>
              </w:rPr>
            </w:pPr>
            <w:r>
              <w:rPr>
                <w:rFonts w:ascii="宋体" w:hAnsi="宋体" w:eastAsia="宋体" w:cs="Times New Roman"/>
                <w:color w:val="auto"/>
              </w:rPr>
              <w:t xml:space="preserve">13.663 </w:t>
            </w:r>
          </w:p>
        </w:tc>
        <w:tc>
          <w:tcPr>
            <w:tcW w:w="1590" w:type="dxa"/>
            <w:vMerge w:val="continue"/>
            <w:vAlign w:val="center"/>
          </w:tcPr>
          <w:p w14:paraId="030BF494">
            <w:pPr>
              <w:spacing w:line="360" w:lineRule="exact"/>
              <w:jc w:val="center"/>
              <w:rPr>
                <w:rFonts w:ascii="宋体" w:hAnsi="宋体" w:eastAsia="宋体" w:cs="Times New Roman"/>
                <w:color w:val="auto"/>
              </w:rPr>
            </w:pPr>
          </w:p>
        </w:tc>
        <w:tc>
          <w:tcPr>
            <w:tcW w:w="1022" w:type="dxa"/>
            <w:vMerge w:val="continue"/>
            <w:vAlign w:val="center"/>
          </w:tcPr>
          <w:p w14:paraId="7CB28C0E">
            <w:pPr>
              <w:spacing w:line="360" w:lineRule="exact"/>
              <w:jc w:val="center"/>
              <w:rPr>
                <w:rFonts w:ascii="宋体" w:hAnsi="宋体" w:eastAsia="宋体" w:cs="Times New Roman"/>
                <w:color w:val="auto"/>
              </w:rPr>
            </w:pPr>
          </w:p>
        </w:tc>
        <w:tc>
          <w:tcPr>
            <w:tcW w:w="839" w:type="dxa"/>
            <w:vMerge w:val="continue"/>
            <w:vAlign w:val="center"/>
          </w:tcPr>
          <w:p w14:paraId="68B4016D">
            <w:pPr>
              <w:spacing w:line="360" w:lineRule="exact"/>
              <w:jc w:val="center"/>
              <w:rPr>
                <w:rFonts w:ascii="宋体" w:hAnsi="宋体" w:eastAsia="宋体" w:cs="Times New Roman"/>
                <w:color w:val="auto"/>
              </w:rPr>
            </w:pPr>
          </w:p>
        </w:tc>
      </w:tr>
      <w:tr w14:paraId="0BCE0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76F4090">
            <w:pPr>
              <w:spacing w:line="360" w:lineRule="exact"/>
              <w:jc w:val="center"/>
              <w:rPr>
                <w:rFonts w:ascii="宋体" w:hAnsi="宋体" w:eastAsia="宋体" w:cs="Times New Roman"/>
                <w:color w:val="auto"/>
              </w:rPr>
            </w:pPr>
          </w:p>
        </w:tc>
        <w:tc>
          <w:tcPr>
            <w:tcW w:w="1206" w:type="dxa"/>
            <w:vAlign w:val="center"/>
          </w:tcPr>
          <w:p w14:paraId="720C9353">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677CCE23">
            <w:pPr>
              <w:spacing w:line="360" w:lineRule="exact"/>
              <w:jc w:val="center"/>
              <w:rPr>
                <w:rFonts w:ascii="宋体" w:hAnsi="宋体" w:eastAsia="宋体" w:cs="Times New Roman"/>
                <w:color w:val="auto"/>
              </w:rPr>
            </w:pPr>
            <w:r>
              <w:rPr>
                <w:rFonts w:ascii="宋体" w:hAnsi="宋体" w:eastAsia="宋体" w:cs="Times New Roman"/>
                <w:color w:val="auto"/>
              </w:rPr>
              <w:t xml:space="preserve">-2.443 </w:t>
            </w:r>
          </w:p>
        </w:tc>
        <w:tc>
          <w:tcPr>
            <w:tcW w:w="1447" w:type="dxa"/>
            <w:vAlign w:val="center"/>
          </w:tcPr>
          <w:p w14:paraId="39FCFFA3">
            <w:pPr>
              <w:spacing w:line="360" w:lineRule="exact"/>
              <w:jc w:val="center"/>
              <w:rPr>
                <w:rFonts w:ascii="宋体" w:hAnsi="宋体" w:eastAsia="宋体" w:cs="Times New Roman"/>
                <w:color w:val="auto"/>
              </w:rPr>
            </w:pPr>
            <w:r>
              <w:rPr>
                <w:rFonts w:ascii="宋体" w:hAnsi="宋体" w:eastAsia="宋体" w:cs="Times New Roman"/>
                <w:color w:val="auto"/>
              </w:rPr>
              <w:t xml:space="preserve">58.484 </w:t>
            </w:r>
          </w:p>
        </w:tc>
        <w:tc>
          <w:tcPr>
            <w:tcW w:w="1590" w:type="dxa"/>
            <w:vMerge w:val="restart"/>
            <w:vAlign w:val="center"/>
          </w:tcPr>
          <w:p w14:paraId="39E7F1C6">
            <w:pPr>
              <w:spacing w:line="360" w:lineRule="exact"/>
              <w:jc w:val="center"/>
              <w:rPr>
                <w:rFonts w:ascii="宋体" w:hAnsi="宋体" w:eastAsia="宋体" w:cs="Times New Roman"/>
                <w:color w:val="auto"/>
              </w:rPr>
            </w:pPr>
            <w:r>
              <w:rPr>
                <w:rFonts w:ascii="宋体" w:hAnsi="宋体" w:eastAsia="宋体" w:cs="Times New Roman"/>
                <w:color w:val="auto"/>
              </w:rPr>
              <w:t xml:space="preserve">4.177 </w:t>
            </w:r>
          </w:p>
        </w:tc>
        <w:tc>
          <w:tcPr>
            <w:tcW w:w="1022" w:type="dxa"/>
            <w:vMerge w:val="continue"/>
            <w:vAlign w:val="center"/>
          </w:tcPr>
          <w:p w14:paraId="1232FF71">
            <w:pPr>
              <w:spacing w:line="360" w:lineRule="exact"/>
              <w:jc w:val="center"/>
              <w:rPr>
                <w:rFonts w:ascii="宋体" w:hAnsi="宋体" w:eastAsia="宋体" w:cs="Times New Roman"/>
                <w:color w:val="auto"/>
              </w:rPr>
            </w:pPr>
          </w:p>
        </w:tc>
        <w:tc>
          <w:tcPr>
            <w:tcW w:w="839" w:type="dxa"/>
            <w:vMerge w:val="continue"/>
            <w:vAlign w:val="center"/>
          </w:tcPr>
          <w:p w14:paraId="497E429B">
            <w:pPr>
              <w:spacing w:line="360" w:lineRule="exact"/>
              <w:jc w:val="center"/>
              <w:rPr>
                <w:rFonts w:ascii="宋体" w:hAnsi="宋体" w:eastAsia="宋体" w:cs="Times New Roman"/>
                <w:color w:val="auto"/>
              </w:rPr>
            </w:pPr>
          </w:p>
        </w:tc>
      </w:tr>
      <w:tr w14:paraId="0D058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94CAD22">
            <w:pPr>
              <w:spacing w:line="360" w:lineRule="exact"/>
              <w:jc w:val="center"/>
              <w:rPr>
                <w:rFonts w:ascii="宋体" w:hAnsi="宋体" w:eastAsia="宋体" w:cs="Times New Roman"/>
                <w:color w:val="auto"/>
              </w:rPr>
            </w:pPr>
          </w:p>
        </w:tc>
        <w:tc>
          <w:tcPr>
            <w:tcW w:w="1206" w:type="dxa"/>
            <w:vAlign w:val="center"/>
          </w:tcPr>
          <w:p w14:paraId="0D9AD755">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0843939A">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23822582">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52E5A64C">
            <w:pPr>
              <w:spacing w:line="360" w:lineRule="exact"/>
              <w:jc w:val="center"/>
              <w:rPr>
                <w:rFonts w:ascii="宋体" w:hAnsi="宋体" w:eastAsia="宋体" w:cs="Times New Roman"/>
                <w:color w:val="auto"/>
              </w:rPr>
            </w:pPr>
          </w:p>
        </w:tc>
        <w:tc>
          <w:tcPr>
            <w:tcW w:w="1022" w:type="dxa"/>
            <w:vMerge w:val="continue"/>
            <w:vAlign w:val="center"/>
          </w:tcPr>
          <w:p w14:paraId="4F2982AE">
            <w:pPr>
              <w:spacing w:line="360" w:lineRule="exact"/>
              <w:jc w:val="center"/>
              <w:rPr>
                <w:rFonts w:ascii="宋体" w:hAnsi="宋体" w:eastAsia="宋体" w:cs="Times New Roman"/>
                <w:color w:val="auto"/>
              </w:rPr>
            </w:pPr>
          </w:p>
        </w:tc>
        <w:tc>
          <w:tcPr>
            <w:tcW w:w="839" w:type="dxa"/>
            <w:vMerge w:val="continue"/>
            <w:vAlign w:val="center"/>
          </w:tcPr>
          <w:p w14:paraId="06873B96">
            <w:pPr>
              <w:spacing w:line="360" w:lineRule="exact"/>
              <w:jc w:val="center"/>
              <w:rPr>
                <w:rFonts w:ascii="宋体" w:hAnsi="宋体" w:eastAsia="宋体" w:cs="Times New Roman"/>
                <w:color w:val="auto"/>
              </w:rPr>
            </w:pPr>
          </w:p>
        </w:tc>
      </w:tr>
      <w:tr w14:paraId="49226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8D72520">
            <w:pPr>
              <w:spacing w:line="360" w:lineRule="exact"/>
              <w:jc w:val="center"/>
              <w:rPr>
                <w:rFonts w:ascii="宋体" w:hAnsi="宋体" w:eastAsia="宋体" w:cs="Times New Roman"/>
                <w:color w:val="auto"/>
              </w:rPr>
            </w:pPr>
          </w:p>
        </w:tc>
        <w:tc>
          <w:tcPr>
            <w:tcW w:w="1206" w:type="dxa"/>
            <w:vAlign w:val="center"/>
          </w:tcPr>
          <w:p w14:paraId="60B7FE69">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0DA7EE6B">
            <w:pPr>
              <w:spacing w:line="360" w:lineRule="exact"/>
              <w:jc w:val="center"/>
              <w:rPr>
                <w:rFonts w:ascii="宋体" w:hAnsi="宋体" w:eastAsia="宋体" w:cs="Times New Roman"/>
                <w:color w:val="auto"/>
              </w:rPr>
            </w:pPr>
            <w:r>
              <w:rPr>
                <w:rFonts w:ascii="宋体" w:hAnsi="宋体" w:eastAsia="宋体" w:cs="Times New Roman"/>
                <w:color w:val="auto"/>
              </w:rPr>
              <w:t xml:space="preserve">-1.171 </w:t>
            </w:r>
          </w:p>
        </w:tc>
        <w:tc>
          <w:tcPr>
            <w:tcW w:w="1447" w:type="dxa"/>
            <w:vAlign w:val="center"/>
          </w:tcPr>
          <w:p w14:paraId="7E724467">
            <w:pPr>
              <w:spacing w:line="360" w:lineRule="exact"/>
              <w:jc w:val="center"/>
              <w:rPr>
                <w:rFonts w:ascii="宋体" w:hAnsi="宋体" w:eastAsia="宋体" w:cs="Times New Roman"/>
                <w:color w:val="auto"/>
              </w:rPr>
            </w:pPr>
            <w:r>
              <w:rPr>
                <w:rFonts w:ascii="宋体" w:hAnsi="宋体" w:eastAsia="宋体" w:cs="Times New Roman"/>
                <w:color w:val="auto"/>
              </w:rPr>
              <w:t xml:space="preserve">28.048 </w:t>
            </w:r>
          </w:p>
        </w:tc>
        <w:tc>
          <w:tcPr>
            <w:tcW w:w="1590" w:type="dxa"/>
            <w:vMerge w:val="continue"/>
            <w:vAlign w:val="center"/>
          </w:tcPr>
          <w:p w14:paraId="00B712D7">
            <w:pPr>
              <w:spacing w:line="360" w:lineRule="exact"/>
              <w:jc w:val="center"/>
              <w:rPr>
                <w:rFonts w:ascii="宋体" w:hAnsi="宋体" w:eastAsia="宋体" w:cs="Times New Roman"/>
                <w:color w:val="auto"/>
              </w:rPr>
            </w:pPr>
          </w:p>
        </w:tc>
        <w:tc>
          <w:tcPr>
            <w:tcW w:w="1022" w:type="dxa"/>
            <w:vMerge w:val="continue"/>
            <w:vAlign w:val="center"/>
          </w:tcPr>
          <w:p w14:paraId="0A5A797B">
            <w:pPr>
              <w:spacing w:line="360" w:lineRule="exact"/>
              <w:jc w:val="center"/>
              <w:rPr>
                <w:rFonts w:ascii="宋体" w:hAnsi="宋体" w:eastAsia="宋体" w:cs="Times New Roman"/>
                <w:color w:val="auto"/>
              </w:rPr>
            </w:pPr>
          </w:p>
        </w:tc>
        <w:tc>
          <w:tcPr>
            <w:tcW w:w="839" w:type="dxa"/>
            <w:vMerge w:val="continue"/>
            <w:vAlign w:val="center"/>
          </w:tcPr>
          <w:p w14:paraId="4BF32014">
            <w:pPr>
              <w:spacing w:line="360" w:lineRule="exact"/>
              <w:jc w:val="center"/>
              <w:rPr>
                <w:rFonts w:ascii="宋体" w:hAnsi="宋体" w:eastAsia="宋体" w:cs="Times New Roman"/>
                <w:color w:val="auto"/>
              </w:rPr>
            </w:pPr>
          </w:p>
        </w:tc>
      </w:tr>
      <w:tr w14:paraId="447E8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8D6763D">
            <w:pPr>
              <w:spacing w:line="360" w:lineRule="exact"/>
              <w:jc w:val="center"/>
              <w:rPr>
                <w:rFonts w:ascii="宋体" w:hAnsi="宋体" w:eastAsia="宋体" w:cs="Times New Roman"/>
                <w:color w:val="auto"/>
              </w:rPr>
            </w:pPr>
          </w:p>
        </w:tc>
        <w:tc>
          <w:tcPr>
            <w:tcW w:w="1206" w:type="dxa"/>
            <w:vAlign w:val="center"/>
          </w:tcPr>
          <w:p w14:paraId="6682EDAE">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47E51F27">
            <w:pPr>
              <w:spacing w:line="360" w:lineRule="exact"/>
              <w:jc w:val="center"/>
              <w:rPr>
                <w:rFonts w:ascii="宋体" w:hAnsi="宋体" w:eastAsia="宋体" w:cs="Times New Roman"/>
                <w:color w:val="auto"/>
              </w:rPr>
            </w:pPr>
            <w:r>
              <w:rPr>
                <w:rFonts w:ascii="宋体" w:hAnsi="宋体" w:eastAsia="宋体" w:cs="Times New Roman"/>
                <w:color w:val="auto"/>
              </w:rPr>
              <w:t xml:space="preserve">-0.563 </w:t>
            </w:r>
          </w:p>
        </w:tc>
        <w:tc>
          <w:tcPr>
            <w:tcW w:w="1447" w:type="dxa"/>
            <w:vAlign w:val="center"/>
          </w:tcPr>
          <w:p w14:paraId="3BE8E712">
            <w:pPr>
              <w:spacing w:line="360" w:lineRule="exact"/>
              <w:jc w:val="center"/>
              <w:rPr>
                <w:rFonts w:ascii="宋体" w:hAnsi="宋体" w:eastAsia="宋体" w:cs="Times New Roman"/>
                <w:color w:val="auto"/>
              </w:rPr>
            </w:pPr>
            <w:r>
              <w:rPr>
                <w:rFonts w:ascii="宋体" w:hAnsi="宋体" w:eastAsia="宋体" w:cs="Times New Roman"/>
                <w:color w:val="auto"/>
              </w:rPr>
              <w:t xml:space="preserve">13.468 </w:t>
            </w:r>
          </w:p>
        </w:tc>
        <w:tc>
          <w:tcPr>
            <w:tcW w:w="1590" w:type="dxa"/>
            <w:vMerge w:val="continue"/>
            <w:vAlign w:val="center"/>
          </w:tcPr>
          <w:p w14:paraId="70F57773">
            <w:pPr>
              <w:spacing w:line="360" w:lineRule="exact"/>
              <w:jc w:val="center"/>
              <w:rPr>
                <w:rFonts w:ascii="宋体" w:hAnsi="宋体" w:eastAsia="宋体" w:cs="Times New Roman"/>
                <w:color w:val="auto"/>
              </w:rPr>
            </w:pPr>
          </w:p>
        </w:tc>
        <w:tc>
          <w:tcPr>
            <w:tcW w:w="1022" w:type="dxa"/>
            <w:vMerge w:val="continue"/>
            <w:vAlign w:val="center"/>
          </w:tcPr>
          <w:p w14:paraId="13F475C9">
            <w:pPr>
              <w:spacing w:line="360" w:lineRule="exact"/>
              <w:jc w:val="center"/>
              <w:rPr>
                <w:rFonts w:ascii="宋体" w:hAnsi="宋体" w:eastAsia="宋体" w:cs="Times New Roman"/>
                <w:color w:val="auto"/>
              </w:rPr>
            </w:pPr>
          </w:p>
        </w:tc>
        <w:tc>
          <w:tcPr>
            <w:tcW w:w="839" w:type="dxa"/>
            <w:vMerge w:val="continue"/>
            <w:vAlign w:val="center"/>
          </w:tcPr>
          <w:p w14:paraId="24574F00">
            <w:pPr>
              <w:spacing w:line="360" w:lineRule="exact"/>
              <w:jc w:val="center"/>
              <w:rPr>
                <w:rFonts w:ascii="宋体" w:hAnsi="宋体" w:eastAsia="宋体" w:cs="Times New Roman"/>
                <w:color w:val="auto"/>
              </w:rPr>
            </w:pPr>
          </w:p>
        </w:tc>
      </w:tr>
      <w:tr w14:paraId="621F3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509" w:type="dxa"/>
            <w:vMerge w:val="restart"/>
            <w:vAlign w:val="center"/>
          </w:tcPr>
          <w:p w14:paraId="454A0D26">
            <w:pPr>
              <w:jc w:val="center"/>
              <w:textAlignment w:val="center"/>
              <w:rPr>
                <w:rFonts w:ascii="宋体" w:hAnsi="宋体" w:eastAsia="宋体" w:cs="Times New Roman"/>
                <w:color w:val="auto"/>
              </w:rPr>
            </w:pPr>
            <w:r>
              <w:rPr>
                <w:rFonts w:ascii="宋体" w:hAnsi="宋体" w:eastAsia="宋体" w:cs="Times New Roman"/>
                <w:color w:val="auto"/>
                <w:lang w:bidi="ar"/>
              </w:rPr>
              <w:t>和平乡（谷家、承压水））</w:t>
            </w:r>
          </w:p>
        </w:tc>
        <w:tc>
          <w:tcPr>
            <w:tcW w:w="1206" w:type="dxa"/>
            <w:vAlign w:val="center"/>
          </w:tcPr>
          <w:p w14:paraId="44E748EA">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77E5183D">
            <w:pPr>
              <w:spacing w:line="360" w:lineRule="exact"/>
              <w:jc w:val="center"/>
              <w:rPr>
                <w:rFonts w:ascii="宋体" w:hAnsi="宋体" w:eastAsia="宋体" w:cs="Times New Roman"/>
                <w:color w:val="auto"/>
              </w:rPr>
            </w:pPr>
            <w:r>
              <w:rPr>
                <w:rFonts w:ascii="宋体" w:hAnsi="宋体" w:eastAsia="宋体" w:cs="Times New Roman"/>
                <w:color w:val="auto"/>
              </w:rPr>
              <w:t xml:space="preserve">0.035 </w:t>
            </w:r>
          </w:p>
        </w:tc>
        <w:tc>
          <w:tcPr>
            <w:tcW w:w="1447" w:type="dxa"/>
            <w:vAlign w:val="center"/>
          </w:tcPr>
          <w:p w14:paraId="2ADFD732">
            <w:pPr>
              <w:spacing w:line="360" w:lineRule="exact"/>
              <w:jc w:val="center"/>
              <w:rPr>
                <w:rFonts w:ascii="宋体" w:hAnsi="宋体" w:eastAsia="宋体" w:cs="Times New Roman"/>
                <w:color w:val="auto"/>
              </w:rPr>
            </w:pPr>
            <w:r>
              <w:rPr>
                <w:rFonts w:ascii="宋体" w:hAnsi="宋体" w:eastAsia="宋体" w:cs="Times New Roman"/>
                <w:color w:val="auto"/>
              </w:rPr>
              <w:t xml:space="preserve">0.807 </w:t>
            </w:r>
          </w:p>
        </w:tc>
        <w:tc>
          <w:tcPr>
            <w:tcW w:w="1590" w:type="dxa"/>
            <w:vMerge w:val="restart"/>
            <w:vAlign w:val="center"/>
          </w:tcPr>
          <w:p w14:paraId="684F5687">
            <w:pPr>
              <w:spacing w:line="360" w:lineRule="exact"/>
              <w:jc w:val="center"/>
              <w:rPr>
                <w:rFonts w:ascii="宋体" w:hAnsi="宋体" w:eastAsia="宋体" w:cs="Times New Roman"/>
                <w:color w:val="auto"/>
              </w:rPr>
            </w:pPr>
            <w:r>
              <w:rPr>
                <w:rFonts w:ascii="宋体" w:hAnsi="宋体" w:eastAsia="宋体" w:cs="Times New Roman"/>
                <w:color w:val="auto"/>
              </w:rPr>
              <w:t xml:space="preserve">4.355 </w:t>
            </w:r>
          </w:p>
        </w:tc>
        <w:tc>
          <w:tcPr>
            <w:tcW w:w="1022" w:type="dxa"/>
            <w:vMerge w:val="restart"/>
            <w:vAlign w:val="center"/>
          </w:tcPr>
          <w:p w14:paraId="46B7702E">
            <w:pPr>
              <w:spacing w:line="360" w:lineRule="exact"/>
              <w:jc w:val="center"/>
              <w:rPr>
                <w:rFonts w:ascii="宋体" w:hAnsi="宋体" w:eastAsia="宋体" w:cs="Times New Roman"/>
                <w:color w:val="auto"/>
              </w:rPr>
            </w:pPr>
            <w:r>
              <w:rPr>
                <w:rFonts w:ascii="宋体" w:hAnsi="宋体" w:eastAsia="宋体" w:cs="Times New Roman"/>
                <w:color w:val="auto"/>
              </w:rPr>
              <w:t xml:space="preserve">2.03 </w:t>
            </w:r>
          </w:p>
        </w:tc>
        <w:tc>
          <w:tcPr>
            <w:tcW w:w="839" w:type="dxa"/>
            <w:vMerge w:val="restart"/>
            <w:vAlign w:val="center"/>
          </w:tcPr>
          <w:p w14:paraId="06576736">
            <w:pPr>
              <w:spacing w:line="360" w:lineRule="exact"/>
              <w:jc w:val="center"/>
              <w:rPr>
                <w:rFonts w:ascii="宋体" w:hAnsi="宋体" w:eastAsia="宋体" w:cs="Times New Roman"/>
                <w:color w:val="auto"/>
              </w:rPr>
            </w:pPr>
            <w:r>
              <w:rPr>
                <w:rFonts w:ascii="宋体" w:hAnsi="宋体" w:eastAsia="宋体" w:cs="Times New Roman"/>
                <w:color w:val="auto"/>
              </w:rPr>
              <w:t xml:space="preserve">0.31 </w:t>
            </w:r>
          </w:p>
        </w:tc>
      </w:tr>
      <w:tr w14:paraId="051DC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256E94B">
            <w:pPr>
              <w:spacing w:line="360" w:lineRule="exact"/>
              <w:jc w:val="center"/>
              <w:rPr>
                <w:rFonts w:ascii="宋体" w:hAnsi="宋体" w:eastAsia="宋体" w:cs="Times New Roman"/>
                <w:color w:val="auto"/>
              </w:rPr>
            </w:pPr>
          </w:p>
        </w:tc>
        <w:tc>
          <w:tcPr>
            <w:tcW w:w="1206" w:type="dxa"/>
            <w:vAlign w:val="center"/>
          </w:tcPr>
          <w:p w14:paraId="3B40D87C">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41BDD8A6">
            <w:pPr>
              <w:spacing w:line="360" w:lineRule="exact"/>
              <w:jc w:val="center"/>
              <w:rPr>
                <w:rFonts w:ascii="宋体" w:hAnsi="宋体" w:eastAsia="宋体" w:cs="Times New Roman"/>
                <w:color w:val="auto"/>
              </w:rPr>
            </w:pPr>
            <w:r>
              <w:rPr>
                <w:rFonts w:ascii="宋体" w:hAnsi="宋体" w:eastAsia="宋体" w:cs="Times New Roman"/>
                <w:color w:val="auto"/>
              </w:rPr>
              <w:t xml:space="preserve">2.039 </w:t>
            </w:r>
          </w:p>
        </w:tc>
        <w:tc>
          <w:tcPr>
            <w:tcW w:w="1447" w:type="dxa"/>
            <w:vAlign w:val="center"/>
          </w:tcPr>
          <w:p w14:paraId="2B2D3CB6">
            <w:pPr>
              <w:spacing w:line="360" w:lineRule="exact"/>
              <w:jc w:val="center"/>
              <w:rPr>
                <w:rFonts w:ascii="宋体" w:hAnsi="宋体" w:eastAsia="宋体" w:cs="Times New Roman"/>
                <w:color w:val="auto"/>
              </w:rPr>
            </w:pPr>
            <w:r>
              <w:rPr>
                <w:rFonts w:ascii="宋体" w:hAnsi="宋体" w:eastAsia="宋体" w:cs="Times New Roman"/>
                <w:color w:val="auto"/>
              </w:rPr>
              <w:t xml:space="preserve">46.822 </w:t>
            </w:r>
          </w:p>
        </w:tc>
        <w:tc>
          <w:tcPr>
            <w:tcW w:w="1590" w:type="dxa"/>
            <w:vMerge w:val="continue"/>
            <w:vAlign w:val="center"/>
          </w:tcPr>
          <w:p w14:paraId="017ED4E2">
            <w:pPr>
              <w:spacing w:line="360" w:lineRule="exact"/>
              <w:jc w:val="center"/>
              <w:rPr>
                <w:rFonts w:ascii="宋体" w:hAnsi="宋体" w:eastAsia="宋体" w:cs="Times New Roman"/>
                <w:color w:val="auto"/>
              </w:rPr>
            </w:pPr>
          </w:p>
        </w:tc>
        <w:tc>
          <w:tcPr>
            <w:tcW w:w="1022" w:type="dxa"/>
            <w:vMerge w:val="continue"/>
            <w:vAlign w:val="center"/>
          </w:tcPr>
          <w:p w14:paraId="79B98F81">
            <w:pPr>
              <w:spacing w:line="360" w:lineRule="exact"/>
              <w:jc w:val="center"/>
              <w:rPr>
                <w:rFonts w:ascii="宋体" w:hAnsi="宋体" w:eastAsia="宋体" w:cs="Times New Roman"/>
                <w:color w:val="auto"/>
              </w:rPr>
            </w:pPr>
          </w:p>
        </w:tc>
        <w:tc>
          <w:tcPr>
            <w:tcW w:w="839" w:type="dxa"/>
            <w:vMerge w:val="continue"/>
            <w:vAlign w:val="center"/>
          </w:tcPr>
          <w:p w14:paraId="5EC34AEA">
            <w:pPr>
              <w:spacing w:line="360" w:lineRule="exact"/>
              <w:jc w:val="center"/>
              <w:rPr>
                <w:rFonts w:ascii="宋体" w:hAnsi="宋体" w:eastAsia="宋体" w:cs="Times New Roman"/>
                <w:color w:val="auto"/>
              </w:rPr>
            </w:pPr>
          </w:p>
        </w:tc>
      </w:tr>
      <w:tr w14:paraId="679D1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509" w:type="dxa"/>
            <w:vMerge w:val="continue"/>
            <w:vAlign w:val="center"/>
          </w:tcPr>
          <w:p w14:paraId="633CF305">
            <w:pPr>
              <w:spacing w:line="360" w:lineRule="exact"/>
              <w:jc w:val="center"/>
              <w:rPr>
                <w:rFonts w:ascii="宋体" w:hAnsi="宋体" w:eastAsia="宋体" w:cs="Times New Roman"/>
                <w:color w:val="auto"/>
              </w:rPr>
            </w:pPr>
          </w:p>
        </w:tc>
        <w:tc>
          <w:tcPr>
            <w:tcW w:w="1206" w:type="dxa"/>
            <w:vAlign w:val="center"/>
          </w:tcPr>
          <w:p w14:paraId="3443F0B1">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2D758307">
            <w:pPr>
              <w:spacing w:line="360" w:lineRule="exact"/>
              <w:jc w:val="center"/>
              <w:rPr>
                <w:rFonts w:ascii="宋体" w:hAnsi="宋体" w:eastAsia="宋体" w:cs="Times New Roman"/>
                <w:color w:val="auto"/>
              </w:rPr>
            </w:pPr>
            <w:r>
              <w:rPr>
                <w:rFonts w:ascii="宋体" w:hAnsi="宋体" w:eastAsia="宋体" w:cs="Times New Roman"/>
                <w:color w:val="auto"/>
              </w:rPr>
              <w:t xml:space="preserve">1.710 </w:t>
            </w:r>
          </w:p>
        </w:tc>
        <w:tc>
          <w:tcPr>
            <w:tcW w:w="1447" w:type="dxa"/>
            <w:vAlign w:val="center"/>
          </w:tcPr>
          <w:p w14:paraId="10307D63">
            <w:pPr>
              <w:spacing w:line="360" w:lineRule="exact"/>
              <w:jc w:val="center"/>
              <w:rPr>
                <w:rFonts w:ascii="宋体" w:hAnsi="宋体" w:eastAsia="宋体" w:cs="Times New Roman"/>
                <w:color w:val="auto"/>
              </w:rPr>
            </w:pPr>
            <w:r>
              <w:rPr>
                <w:rFonts w:ascii="宋体" w:hAnsi="宋体" w:eastAsia="宋体" w:cs="Times New Roman"/>
                <w:color w:val="auto"/>
              </w:rPr>
              <w:t xml:space="preserve">39.264 </w:t>
            </w:r>
          </w:p>
        </w:tc>
        <w:tc>
          <w:tcPr>
            <w:tcW w:w="1590" w:type="dxa"/>
            <w:vMerge w:val="continue"/>
            <w:vAlign w:val="center"/>
          </w:tcPr>
          <w:p w14:paraId="2F46EA46">
            <w:pPr>
              <w:spacing w:line="360" w:lineRule="exact"/>
              <w:jc w:val="center"/>
              <w:rPr>
                <w:rFonts w:ascii="宋体" w:hAnsi="宋体" w:eastAsia="宋体" w:cs="Times New Roman"/>
                <w:color w:val="auto"/>
              </w:rPr>
            </w:pPr>
          </w:p>
        </w:tc>
        <w:tc>
          <w:tcPr>
            <w:tcW w:w="1022" w:type="dxa"/>
            <w:vMerge w:val="continue"/>
            <w:vAlign w:val="center"/>
          </w:tcPr>
          <w:p w14:paraId="4E9658D2">
            <w:pPr>
              <w:spacing w:line="360" w:lineRule="exact"/>
              <w:jc w:val="center"/>
              <w:rPr>
                <w:rFonts w:ascii="宋体" w:hAnsi="宋体" w:eastAsia="宋体" w:cs="Times New Roman"/>
                <w:color w:val="auto"/>
              </w:rPr>
            </w:pPr>
          </w:p>
        </w:tc>
        <w:tc>
          <w:tcPr>
            <w:tcW w:w="839" w:type="dxa"/>
            <w:vMerge w:val="continue"/>
            <w:vAlign w:val="center"/>
          </w:tcPr>
          <w:p w14:paraId="78DA3E83">
            <w:pPr>
              <w:spacing w:line="360" w:lineRule="exact"/>
              <w:jc w:val="center"/>
              <w:rPr>
                <w:rFonts w:ascii="宋体" w:hAnsi="宋体" w:eastAsia="宋体" w:cs="Times New Roman"/>
                <w:color w:val="auto"/>
              </w:rPr>
            </w:pPr>
          </w:p>
        </w:tc>
      </w:tr>
      <w:tr w14:paraId="71246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0F000CF">
            <w:pPr>
              <w:spacing w:line="360" w:lineRule="exact"/>
              <w:jc w:val="center"/>
              <w:rPr>
                <w:rFonts w:ascii="宋体" w:hAnsi="宋体" w:eastAsia="宋体" w:cs="Times New Roman"/>
                <w:color w:val="auto"/>
              </w:rPr>
            </w:pPr>
          </w:p>
        </w:tc>
        <w:tc>
          <w:tcPr>
            <w:tcW w:w="1206" w:type="dxa"/>
            <w:vAlign w:val="center"/>
          </w:tcPr>
          <w:p w14:paraId="625BC6AF">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75E21E55">
            <w:pPr>
              <w:spacing w:line="360" w:lineRule="exact"/>
              <w:jc w:val="center"/>
              <w:rPr>
                <w:rFonts w:ascii="宋体" w:hAnsi="宋体" w:eastAsia="宋体" w:cs="Times New Roman"/>
                <w:color w:val="auto"/>
              </w:rPr>
            </w:pPr>
            <w:r>
              <w:rPr>
                <w:rFonts w:ascii="宋体" w:hAnsi="宋体" w:eastAsia="宋体" w:cs="Times New Roman"/>
                <w:color w:val="auto"/>
              </w:rPr>
              <w:t xml:space="preserve">0.571 </w:t>
            </w:r>
          </w:p>
        </w:tc>
        <w:tc>
          <w:tcPr>
            <w:tcW w:w="1447" w:type="dxa"/>
            <w:vAlign w:val="center"/>
          </w:tcPr>
          <w:p w14:paraId="7EB29F42">
            <w:pPr>
              <w:spacing w:line="360" w:lineRule="exact"/>
              <w:jc w:val="center"/>
              <w:rPr>
                <w:rFonts w:ascii="宋体" w:hAnsi="宋体" w:eastAsia="宋体" w:cs="Times New Roman"/>
                <w:color w:val="auto"/>
              </w:rPr>
            </w:pPr>
            <w:r>
              <w:rPr>
                <w:rFonts w:ascii="宋体" w:hAnsi="宋体" w:eastAsia="宋体" w:cs="Times New Roman"/>
                <w:color w:val="auto"/>
              </w:rPr>
              <w:t xml:space="preserve">13.107 </w:t>
            </w:r>
          </w:p>
        </w:tc>
        <w:tc>
          <w:tcPr>
            <w:tcW w:w="1590" w:type="dxa"/>
            <w:vMerge w:val="continue"/>
            <w:vAlign w:val="center"/>
          </w:tcPr>
          <w:p w14:paraId="259494E6">
            <w:pPr>
              <w:spacing w:line="360" w:lineRule="exact"/>
              <w:jc w:val="center"/>
              <w:rPr>
                <w:rFonts w:ascii="宋体" w:hAnsi="宋体" w:eastAsia="宋体" w:cs="Times New Roman"/>
                <w:color w:val="auto"/>
              </w:rPr>
            </w:pPr>
          </w:p>
        </w:tc>
        <w:tc>
          <w:tcPr>
            <w:tcW w:w="1022" w:type="dxa"/>
            <w:vMerge w:val="continue"/>
            <w:vAlign w:val="center"/>
          </w:tcPr>
          <w:p w14:paraId="50210103">
            <w:pPr>
              <w:spacing w:line="360" w:lineRule="exact"/>
              <w:jc w:val="center"/>
              <w:rPr>
                <w:rFonts w:ascii="宋体" w:hAnsi="宋体" w:eastAsia="宋体" w:cs="Times New Roman"/>
                <w:color w:val="auto"/>
              </w:rPr>
            </w:pPr>
          </w:p>
        </w:tc>
        <w:tc>
          <w:tcPr>
            <w:tcW w:w="839" w:type="dxa"/>
            <w:vMerge w:val="continue"/>
            <w:vAlign w:val="center"/>
          </w:tcPr>
          <w:p w14:paraId="1D30B88B">
            <w:pPr>
              <w:spacing w:line="360" w:lineRule="exact"/>
              <w:jc w:val="center"/>
              <w:rPr>
                <w:rFonts w:ascii="宋体" w:hAnsi="宋体" w:eastAsia="宋体" w:cs="Times New Roman"/>
                <w:color w:val="auto"/>
              </w:rPr>
            </w:pPr>
          </w:p>
        </w:tc>
      </w:tr>
      <w:tr w14:paraId="61ED5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CB3576C">
            <w:pPr>
              <w:spacing w:line="360" w:lineRule="exact"/>
              <w:jc w:val="center"/>
              <w:rPr>
                <w:rFonts w:ascii="宋体" w:hAnsi="宋体" w:eastAsia="宋体" w:cs="Times New Roman"/>
                <w:color w:val="auto"/>
              </w:rPr>
            </w:pPr>
          </w:p>
        </w:tc>
        <w:tc>
          <w:tcPr>
            <w:tcW w:w="1206" w:type="dxa"/>
            <w:vAlign w:val="center"/>
          </w:tcPr>
          <w:p w14:paraId="272D94CA">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1AB1D8F6">
            <w:pPr>
              <w:spacing w:line="360" w:lineRule="exact"/>
              <w:jc w:val="center"/>
              <w:rPr>
                <w:rFonts w:ascii="宋体" w:hAnsi="宋体" w:eastAsia="宋体" w:cs="Times New Roman"/>
                <w:color w:val="auto"/>
              </w:rPr>
            </w:pPr>
            <w:r>
              <w:rPr>
                <w:rFonts w:ascii="宋体" w:hAnsi="宋体" w:eastAsia="宋体" w:cs="Times New Roman"/>
                <w:color w:val="auto"/>
              </w:rPr>
              <w:t xml:space="preserve">-2.492 </w:t>
            </w:r>
          </w:p>
        </w:tc>
        <w:tc>
          <w:tcPr>
            <w:tcW w:w="1447" w:type="dxa"/>
            <w:vAlign w:val="center"/>
          </w:tcPr>
          <w:p w14:paraId="33DD0519">
            <w:pPr>
              <w:spacing w:line="360" w:lineRule="exact"/>
              <w:jc w:val="center"/>
              <w:rPr>
                <w:rFonts w:ascii="宋体" w:hAnsi="宋体" w:eastAsia="宋体" w:cs="Times New Roman"/>
                <w:color w:val="auto"/>
              </w:rPr>
            </w:pPr>
            <w:r>
              <w:rPr>
                <w:rFonts w:ascii="宋体" w:hAnsi="宋体" w:eastAsia="宋体" w:cs="Times New Roman"/>
                <w:color w:val="auto"/>
              </w:rPr>
              <w:t xml:space="preserve">59.589 </w:t>
            </w:r>
          </w:p>
        </w:tc>
        <w:tc>
          <w:tcPr>
            <w:tcW w:w="1590" w:type="dxa"/>
            <w:vMerge w:val="restart"/>
            <w:vAlign w:val="center"/>
          </w:tcPr>
          <w:p w14:paraId="41195E9B">
            <w:pPr>
              <w:spacing w:line="360" w:lineRule="exact"/>
              <w:jc w:val="center"/>
              <w:rPr>
                <w:rFonts w:ascii="宋体" w:hAnsi="宋体" w:eastAsia="宋体" w:cs="Times New Roman"/>
                <w:color w:val="auto"/>
              </w:rPr>
            </w:pPr>
            <w:r>
              <w:rPr>
                <w:rFonts w:ascii="宋体" w:hAnsi="宋体" w:eastAsia="宋体" w:cs="Times New Roman"/>
                <w:color w:val="auto"/>
              </w:rPr>
              <w:t xml:space="preserve">4.182 </w:t>
            </w:r>
          </w:p>
        </w:tc>
        <w:tc>
          <w:tcPr>
            <w:tcW w:w="1022" w:type="dxa"/>
            <w:vMerge w:val="continue"/>
            <w:vAlign w:val="center"/>
          </w:tcPr>
          <w:p w14:paraId="054F47F0">
            <w:pPr>
              <w:spacing w:line="360" w:lineRule="exact"/>
              <w:jc w:val="center"/>
              <w:rPr>
                <w:rFonts w:ascii="宋体" w:hAnsi="宋体" w:eastAsia="宋体" w:cs="Times New Roman"/>
                <w:color w:val="auto"/>
              </w:rPr>
            </w:pPr>
          </w:p>
        </w:tc>
        <w:tc>
          <w:tcPr>
            <w:tcW w:w="839" w:type="dxa"/>
            <w:vMerge w:val="continue"/>
            <w:vAlign w:val="center"/>
          </w:tcPr>
          <w:p w14:paraId="4D877DAE">
            <w:pPr>
              <w:spacing w:line="360" w:lineRule="exact"/>
              <w:jc w:val="center"/>
              <w:rPr>
                <w:rFonts w:ascii="宋体" w:hAnsi="宋体" w:eastAsia="宋体" w:cs="Times New Roman"/>
                <w:color w:val="auto"/>
              </w:rPr>
            </w:pPr>
          </w:p>
        </w:tc>
      </w:tr>
      <w:tr w14:paraId="10505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A52B3A6">
            <w:pPr>
              <w:spacing w:line="360" w:lineRule="exact"/>
              <w:jc w:val="center"/>
              <w:rPr>
                <w:rFonts w:ascii="宋体" w:hAnsi="宋体" w:eastAsia="宋体" w:cs="Times New Roman"/>
                <w:color w:val="auto"/>
              </w:rPr>
            </w:pPr>
          </w:p>
        </w:tc>
        <w:tc>
          <w:tcPr>
            <w:tcW w:w="1206" w:type="dxa"/>
            <w:vAlign w:val="center"/>
          </w:tcPr>
          <w:p w14:paraId="01C2DD9F">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2BBCC8F9">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0476B262">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58A60D60">
            <w:pPr>
              <w:spacing w:line="360" w:lineRule="exact"/>
              <w:jc w:val="center"/>
              <w:rPr>
                <w:rFonts w:ascii="宋体" w:hAnsi="宋体" w:eastAsia="宋体" w:cs="Times New Roman"/>
                <w:color w:val="auto"/>
              </w:rPr>
            </w:pPr>
          </w:p>
        </w:tc>
        <w:tc>
          <w:tcPr>
            <w:tcW w:w="1022" w:type="dxa"/>
            <w:vMerge w:val="continue"/>
            <w:vAlign w:val="center"/>
          </w:tcPr>
          <w:p w14:paraId="755C096B">
            <w:pPr>
              <w:spacing w:line="360" w:lineRule="exact"/>
              <w:jc w:val="center"/>
              <w:rPr>
                <w:rFonts w:ascii="宋体" w:hAnsi="宋体" w:eastAsia="宋体" w:cs="Times New Roman"/>
                <w:color w:val="auto"/>
              </w:rPr>
            </w:pPr>
          </w:p>
        </w:tc>
        <w:tc>
          <w:tcPr>
            <w:tcW w:w="839" w:type="dxa"/>
            <w:vMerge w:val="continue"/>
            <w:vAlign w:val="center"/>
          </w:tcPr>
          <w:p w14:paraId="66E23D23">
            <w:pPr>
              <w:spacing w:line="360" w:lineRule="exact"/>
              <w:jc w:val="center"/>
              <w:rPr>
                <w:rFonts w:ascii="宋体" w:hAnsi="宋体" w:eastAsia="宋体" w:cs="Times New Roman"/>
                <w:color w:val="auto"/>
              </w:rPr>
            </w:pPr>
          </w:p>
        </w:tc>
      </w:tr>
      <w:tr w14:paraId="25C36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62E455F">
            <w:pPr>
              <w:spacing w:line="360" w:lineRule="exact"/>
              <w:jc w:val="center"/>
              <w:rPr>
                <w:rFonts w:ascii="宋体" w:hAnsi="宋体" w:eastAsia="宋体" w:cs="Times New Roman"/>
                <w:color w:val="auto"/>
              </w:rPr>
            </w:pPr>
          </w:p>
        </w:tc>
        <w:tc>
          <w:tcPr>
            <w:tcW w:w="1206" w:type="dxa"/>
            <w:vAlign w:val="center"/>
          </w:tcPr>
          <w:p w14:paraId="68283609">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69ADE018">
            <w:pPr>
              <w:spacing w:line="360" w:lineRule="exact"/>
              <w:jc w:val="center"/>
              <w:rPr>
                <w:rFonts w:ascii="宋体" w:hAnsi="宋体" w:eastAsia="宋体" w:cs="Times New Roman"/>
                <w:color w:val="auto"/>
              </w:rPr>
            </w:pPr>
            <w:r>
              <w:rPr>
                <w:rFonts w:ascii="宋体" w:hAnsi="宋体" w:eastAsia="宋体" w:cs="Times New Roman"/>
                <w:color w:val="auto"/>
              </w:rPr>
              <w:t xml:space="preserve">-1.086 </w:t>
            </w:r>
          </w:p>
        </w:tc>
        <w:tc>
          <w:tcPr>
            <w:tcW w:w="1447" w:type="dxa"/>
            <w:vAlign w:val="center"/>
          </w:tcPr>
          <w:p w14:paraId="4E7AD6FA">
            <w:pPr>
              <w:spacing w:line="360" w:lineRule="exact"/>
              <w:jc w:val="center"/>
              <w:rPr>
                <w:rFonts w:ascii="宋体" w:hAnsi="宋体" w:eastAsia="宋体" w:cs="Times New Roman"/>
                <w:color w:val="auto"/>
              </w:rPr>
            </w:pPr>
            <w:r>
              <w:rPr>
                <w:rFonts w:ascii="宋体" w:hAnsi="宋体" w:eastAsia="宋体" w:cs="Times New Roman"/>
                <w:color w:val="auto"/>
              </w:rPr>
              <w:t xml:space="preserve">25.964 </w:t>
            </w:r>
          </w:p>
        </w:tc>
        <w:tc>
          <w:tcPr>
            <w:tcW w:w="1590" w:type="dxa"/>
            <w:vMerge w:val="continue"/>
            <w:vAlign w:val="center"/>
          </w:tcPr>
          <w:p w14:paraId="599621FD">
            <w:pPr>
              <w:spacing w:line="360" w:lineRule="exact"/>
              <w:jc w:val="center"/>
              <w:rPr>
                <w:rFonts w:ascii="宋体" w:hAnsi="宋体" w:eastAsia="宋体" w:cs="Times New Roman"/>
                <w:color w:val="auto"/>
              </w:rPr>
            </w:pPr>
          </w:p>
        </w:tc>
        <w:tc>
          <w:tcPr>
            <w:tcW w:w="1022" w:type="dxa"/>
            <w:vMerge w:val="continue"/>
            <w:vAlign w:val="center"/>
          </w:tcPr>
          <w:p w14:paraId="6FA2D9B3">
            <w:pPr>
              <w:spacing w:line="360" w:lineRule="exact"/>
              <w:jc w:val="center"/>
              <w:rPr>
                <w:rFonts w:ascii="宋体" w:hAnsi="宋体" w:eastAsia="宋体" w:cs="Times New Roman"/>
                <w:color w:val="auto"/>
              </w:rPr>
            </w:pPr>
          </w:p>
        </w:tc>
        <w:tc>
          <w:tcPr>
            <w:tcW w:w="839" w:type="dxa"/>
            <w:vMerge w:val="continue"/>
            <w:vAlign w:val="center"/>
          </w:tcPr>
          <w:p w14:paraId="55868C5B">
            <w:pPr>
              <w:spacing w:line="360" w:lineRule="exact"/>
              <w:jc w:val="center"/>
              <w:rPr>
                <w:rFonts w:ascii="宋体" w:hAnsi="宋体" w:eastAsia="宋体" w:cs="Times New Roman"/>
                <w:color w:val="auto"/>
              </w:rPr>
            </w:pPr>
          </w:p>
        </w:tc>
      </w:tr>
      <w:tr w14:paraId="6B824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37832BE">
            <w:pPr>
              <w:spacing w:line="360" w:lineRule="exact"/>
              <w:jc w:val="center"/>
              <w:rPr>
                <w:rFonts w:ascii="宋体" w:hAnsi="宋体" w:eastAsia="宋体" w:cs="Times New Roman"/>
                <w:color w:val="auto"/>
              </w:rPr>
            </w:pPr>
          </w:p>
        </w:tc>
        <w:tc>
          <w:tcPr>
            <w:tcW w:w="1206" w:type="dxa"/>
            <w:vAlign w:val="center"/>
          </w:tcPr>
          <w:p w14:paraId="453F7B37">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2F66BECE">
            <w:pPr>
              <w:spacing w:line="360" w:lineRule="exact"/>
              <w:jc w:val="center"/>
              <w:rPr>
                <w:rFonts w:ascii="宋体" w:hAnsi="宋体" w:eastAsia="宋体" w:cs="Times New Roman"/>
                <w:color w:val="auto"/>
              </w:rPr>
            </w:pPr>
            <w:r>
              <w:rPr>
                <w:rFonts w:ascii="宋体" w:hAnsi="宋体" w:eastAsia="宋体" w:cs="Times New Roman"/>
                <w:color w:val="auto"/>
              </w:rPr>
              <w:t xml:space="preserve">-0.604 </w:t>
            </w:r>
          </w:p>
        </w:tc>
        <w:tc>
          <w:tcPr>
            <w:tcW w:w="1447" w:type="dxa"/>
            <w:vAlign w:val="center"/>
          </w:tcPr>
          <w:p w14:paraId="13B2A5CD">
            <w:pPr>
              <w:spacing w:line="360" w:lineRule="exact"/>
              <w:jc w:val="center"/>
              <w:rPr>
                <w:rFonts w:ascii="宋体" w:hAnsi="宋体" w:eastAsia="宋体" w:cs="Times New Roman"/>
                <w:color w:val="auto"/>
              </w:rPr>
            </w:pPr>
            <w:r>
              <w:rPr>
                <w:rFonts w:ascii="宋体" w:hAnsi="宋体" w:eastAsia="宋体" w:cs="Times New Roman"/>
                <w:color w:val="auto"/>
              </w:rPr>
              <w:t xml:space="preserve">14.448 </w:t>
            </w:r>
          </w:p>
        </w:tc>
        <w:tc>
          <w:tcPr>
            <w:tcW w:w="1590" w:type="dxa"/>
            <w:vMerge w:val="continue"/>
            <w:vAlign w:val="center"/>
          </w:tcPr>
          <w:p w14:paraId="478F6F75">
            <w:pPr>
              <w:spacing w:line="360" w:lineRule="exact"/>
              <w:jc w:val="center"/>
              <w:rPr>
                <w:rFonts w:ascii="宋体" w:hAnsi="宋体" w:eastAsia="宋体" w:cs="Times New Roman"/>
                <w:color w:val="auto"/>
              </w:rPr>
            </w:pPr>
          </w:p>
        </w:tc>
        <w:tc>
          <w:tcPr>
            <w:tcW w:w="1022" w:type="dxa"/>
            <w:vMerge w:val="continue"/>
            <w:vAlign w:val="center"/>
          </w:tcPr>
          <w:p w14:paraId="64B3A801">
            <w:pPr>
              <w:spacing w:line="360" w:lineRule="exact"/>
              <w:jc w:val="center"/>
              <w:rPr>
                <w:rFonts w:ascii="宋体" w:hAnsi="宋体" w:eastAsia="宋体" w:cs="Times New Roman"/>
                <w:color w:val="auto"/>
              </w:rPr>
            </w:pPr>
          </w:p>
        </w:tc>
        <w:tc>
          <w:tcPr>
            <w:tcW w:w="839" w:type="dxa"/>
            <w:vMerge w:val="continue"/>
            <w:vAlign w:val="center"/>
          </w:tcPr>
          <w:p w14:paraId="5B4119A9">
            <w:pPr>
              <w:spacing w:line="360" w:lineRule="exact"/>
              <w:jc w:val="center"/>
              <w:rPr>
                <w:rFonts w:ascii="宋体" w:hAnsi="宋体" w:eastAsia="宋体" w:cs="Times New Roman"/>
                <w:color w:val="auto"/>
              </w:rPr>
            </w:pPr>
          </w:p>
        </w:tc>
      </w:tr>
      <w:tr w14:paraId="50971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7FD4C239">
            <w:pPr>
              <w:jc w:val="center"/>
              <w:textAlignment w:val="center"/>
              <w:rPr>
                <w:rFonts w:ascii="宋体" w:hAnsi="宋体" w:eastAsia="宋体" w:cs="Times New Roman"/>
                <w:color w:val="auto"/>
              </w:rPr>
            </w:pPr>
            <w:r>
              <w:rPr>
                <w:rFonts w:ascii="宋体" w:hAnsi="宋体" w:eastAsia="宋体" w:cs="Times New Roman"/>
                <w:color w:val="auto"/>
                <w:lang w:bidi="ar"/>
              </w:rPr>
              <w:t>友谊村（侯家、承压水）</w:t>
            </w:r>
          </w:p>
        </w:tc>
        <w:tc>
          <w:tcPr>
            <w:tcW w:w="1206" w:type="dxa"/>
            <w:vAlign w:val="center"/>
          </w:tcPr>
          <w:p w14:paraId="202C0403">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53A2B1F1">
            <w:pPr>
              <w:spacing w:line="360" w:lineRule="exact"/>
              <w:jc w:val="center"/>
              <w:rPr>
                <w:rFonts w:ascii="宋体" w:hAnsi="宋体" w:eastAsia="宋体" w:cs="Times New Roman"/>
                <w:color w:val="auto"/>
              </w:rPr>
            </w:pPr>
            <w:r>
              <w:rPr>
                <w:rFonts w:ascii="宋体" w:hAnsi="宋体" w:eastAsia="宋体" w:cs="Times New Roman"/>
                <w:color w:val="auto"/>
              </w:rPr>
              <w:t xml:space="preserve">0.028 </w:t>
            </w:r>
          </w:p>
        </w:tc>
        <w:tc>
          <w:tcPr>
            <w:tcW w:w="1447" w:type="dxa"/>
            <w:vAlign w:val="center"/>
          </w:tcPr>
          <w:p w14:paraId="23915600">
            <w:pPr>
              <w:spacing w:line="360" w:lineRule="exact"/>
              <w:jc w:val="center"/>
              <w:rPr>
                <w:rFonts w:ascii="宋体" w:hAnsi="宋体" w:eastAsia="宋体" w:cs="Times New Roman"/>
                <w:color w:val="auto"/>
              </w:rPr>
            </w:pPr>
            <w:r>
              <w:rPr>
                <w:rFonts w:ascii="宋体" w:hAnsi="宋体" w:eastAsia="宋体" w:cs="Times New Roman"/>
                <w:color w:val="auto"/>
              </w:rPr>
              <w:t xml:space="preserve">0.687 </w:t>
            </w:r>
          </w:p>
        </w:tc>
        <w:tc>
          <w:tcPr>
            <w:tcW w:w="1590" w:type="dxa"/>
            <w:vMerge w:val="restart"/>
            <w:vAlign w:val="center"/>
          </w:tcPr>
          <w:p w14:paraId="199D039C">
            <w:pPr>
              <w:spacing w:line="360" w:lineRule="exact"/>
              <w:jc w:val="center"/>
              <w:rPr>
                <w:rFonts w:ascii="宋体" w:hAnsi="宋体" w:eastAsia="宋体" w:cs="Times New Roman"/>
                <w:color w:val="auto"/>
              </w:rPr>
            </w:pPr>
            <w:r>
              <w:rPr>
                <w:rFonts w:ascii="宋体" w:hAnsi="宋体" w:eastAsia="宋体" w:cs="Times New Roman"/>
                <w:color w:val="auto"/>
              </w:rPr>
              <w:t xml:space="preserve">4.140 </w:t>
            </w:r>
          </w:p>
        </w:tc>
        <w:tc>
          <w:tcPr>
            <w:tcW w:w="1022" w:type="dxa"/>
            <w:vMerge w:val="restart"/>
            <w:vAlign w:val="center"/>
          </w:tcPr>
          <w:p w14:paraId="37A047B2">
            <w:pPr>
              <w:spacing w:line="360" w:lineRule="exact"/>
              <w:jc w:val="center"/>
              <w:rPr>
                <w:rFonts w:ascii="宋体" w:hAnsi="宋体" w:eastAsia="宋体" w:cs="Times New Roman"/>
                <w:color w:val="auto"/>
              </w:rPr>
            </w:pPr>
            <w:r>
              <w:rPr>
                <w:rFonts w:ascii="宋体" w:hAnsi="宋体" w:eastAsia="宋体" w:cs="Times New Roman"/>
                <w:color w:val="auto"/>
              </w:rPr>
              <w:t xml:space="preserve">0.73 </w:t>
            </w:r>
          </w:p>
        </w:tc>
        <w:tc>
          <w:tcPr>
            <w:tcW w:w="839" w:type="dxa"/>
            <w:vMerge w:val="restart"/>
            <w:vAlign w:val="center"/>
          </w:tcPr>
          <w:p w14:paraId="1AEB5135">
            <w:pPr>
              <w:spacing w:line="360" w:lineRule="exact"/>
              <w:jc w:val="center"/>
              <w:rPr>
                <w:rFonts w:ascii="宋体" w:hAnsi="宋体" w:eastAsia="宋体" w:cs="Times New Roman"/>
                <w:color w:val="auto"/>
              </w:rPr>
            </w:pPr>
            <w:r>
              <w:rPr>
                <w:rFonts w:ascii="宋体" w:hAnsi="宋体" w:eastAsia="宋体" w:cs="Times New Roman"/>
                <w:color w:val="auto"/>
              </w:rPr>
              <w:t xml:space="preserve">0.31 </w:t>
            </w:r>
          </w:p>
        </w:tc>
      </w:tr>
      <w:tr w14:paraId="56458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EE92099">
            <w:pPr>
              <w:spacing w:line="360" w:lineRule="exact"/>
              <w:jc w:val="center"/>
              <w:rPr>
                <w:rFonts w:ascii="宋体" w:hAnsi="宋体" w:eastAsia="宋体" w:cs="Times New Roman"/>
                <w:color w:val="auto"/>
              </w:rPr>
            </w:pPr>
          </w:p>
        </w:tc>
        <w:tc>
          <w:tcPr>
            <w:tcW w:w="1206" w:type="dxa"/>
            <w:vAlign w:val="center"/>
          </w:tcPr>
          <w:p w14:paraId="60945A4F">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3659628A">
            <w:pPr>
              <w:spacing w:line="360" w:lineRule="exact"/>
              <w:jc w:val="center"/>
              <w:rPr>
                <w:rFonts w:ascii="宋体" w:hAnsi="宋体" w:eastAsia="宋体" w:cs="Times New Roman"/>
                <w:color w:val="auto"/>
              </w:rPr>
            </w:pPr>
            <w:r>
              <w:rPr>
                <w:rFonts w:ascii="宋体" w:hAnsi="宋体" w:eastAsia="宋体" w:cs="Times New Roman"/>
                <w:color w:val="auto"/>
              </w:rPr>
              <w:t xml:space="preserve">1.817 </w:t>
            </w:r>
          </w:p>
        </w:tc>
        <w:tc>
          <w:tcPr>
            <w:tcW w:w="1447" w:type="dxa"/>
            <w:vAlign w:val="center"/>
          </w:tcPr>
          <w:p w14:paraId="1E2619CF">
            <w:pPr>
              <w:spacing w:line="360" w:lineRule="exact"/>
              <w:jc w:val="center"/>
              <w:rPr>
                <w:rFonts w:ascii="宋体" w:hAnsi="宋体" w:eastAsia="宋体" w:cs="Times New Roman"/>
                <w:color w:val="auto"/>
              </w:rPr>
            </w:pPr>
            <w:r>
              <w:rPr>
                <w:rFonts w:ascii="宋体" w:hAnsi="宋体" w:eastAsia="宋体" w:cs="Times New Roman"/>
                <w:color w:val="auto"/>
              </w:rPr>
              <w:t xml:space="preserve">43.898 </w:t>
            </w:r>
          </w:p>
        </w:tc>
        <w:tc>
          <w:tcPr>
            <w:tcW w:w="1590" w:type="dxa"/>
            <w:vMerge w:val="continue"/>
            <w:vAlign w:val="center"/>
          </w:tcPr>
          <w:p w14:paraId="36B8CD3A">
            <w:pPr>
              <w:spacing w:line="360" w:lineRule="exact"/>
              <w:jc w:val="center"/>
              <w:rPr>
                <w:rFonts w:ascii="宋体" w:hAnsi="宋体" w:eastAsia="宋体" w:cs="Times New Roman"/>
                <w:color w:val="auto"/>
              </w:rPr>
            </w:pPr>
          </w:p>
        </w:tc>
        <w:tc>
          <w:tcPr>
            <w:tcW w:w="1022" w:type="dxa"/>
            <w:vMerge w:val="continue"/>
            <w:vAlign w:val="center"/>
          </w:tcPr>
          <w:p w14:paraId="6AA5F84B">
            <w:pPr>
              <w:spacing w:line="360" w:lineRule="exact"/>
              <w:jc w:val="center"/>
              <w:rPr>
                <w:rFonts w:ascii="宋体" w:hAnsi="宋体" w:eastAsia="宋体" w:cs="Times New Roman"/>
                <w:color w:val="auto"/>
              </w:rPr>
            </w:pPr>
          </w:p>
        </w:tc>
        <w:tc>
          <w:tcPr>
            <w:tcW w:w="839" w:type="dxa"/>
            <w:vMerge w:val="continue"/>
            <w:vAlign w:val="center"/>
          </w:tcPr>
          <w:p w14:paraId="7C33475C">
            <w:pPr>
              <w:spacing w:line="360" w:lineRule="exact"/>
              <w:jc w:val="center"/>
              <w:rPr>
                <w:rFonts w:ascii="宋体" w:hAnsi="宋体" w:eastAsia="宋体" w:cs="Times New Roman"/>
                <w:color w:val="auto"/>
              </w:rPr>
            </w:pPr>
          </w:p>
        </w:tc>
      </w:tr>
      <w:tr w14:paraId="6BD18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444FC7DF">
            <w:pPr>
              <w:spacing w:line="360" w:lineRule="exact"/>
              <w:jc w:val="center"/>
              <w:rPr>
                <w:rFonts w:ascii="宋体" w:hAnsi="宋体" w:eastAsia="宋体" w:cs="Times New Roman"/>
                <w:color w:val="auto"/>
              </w:rPr>
            </w:pPr>
          </w:p>
        </w:tc>
        <w:tc>
          <w:tcPr>
            <w:tcW w:w="1206" w:type="dxa"/>
            <w:vAlign w:val="center"/>
          </w:tcPr>
          <w:p w14:paraId="43B39878">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5BED00FE">
            <w:pPr>
              <w:spacing w:line="360" w:lineRule="exact"/>
              <w:jc w:val="center"/>
              <w:rPr>
                <w:rFonts w:ascii="宋体" w:hAnsi="宋体" w:eastAsia="宋体" w:cs="Times New Roman"/>
                <w:color w:val="auto"/>
              </w:rPr>
            </w:pPr>
            <w:r>
              <w:rPr>
                <w:rFonts w:ascii="宋体" w:hAnsi="宋体" w:eastAsia="宋体" w:cs="Times New Roman"/>
                <w:color w:val="auto"/>
              </w:rPr>
              <w:t xml:space="preserve">1.760 </w:t>
            </w:r>
          </w:p>
        </w:tc>
        <w:tc>
          <w:tcPr>
            <w:tcW w:w="1447" w:type="dxa"/>
            <w:vAlign w:val="center"/>
          </w:tcPr>
          <w:p w14:paraId="2E4C0277">
            <w:pPr>
              <w:spacing w:line="360" w:lineRule="exact"/>
              <w:jc w:val="center"/>
              <w:rPr>
                <w:rFonts w:ascii="宋体" w:hAnsi="宋体" w:eastAsia="宋体" w:cs="Times New Roman"/>
                <w:color w:val="auto"/>
              </w:rPr>
            </w:pPr>
            <w:r>
              <w:rPr>
                <w:rFonts w:ascii="宋体" w:hAnsi="宋体" w:eastAsia="宋体" w:cs="Times New Roman"/>
                <w:color w:val="auto"/>
              </w:rPr>
              <w:t xml:space="preserve">42.512 </w:t>
            </w:r>
          </w:p>
        </w:tc>
        <w:tc>
          <w:tcPr>
            <w:tcW w:w="1590" w:type="dxa"/>
            <w:vMerge w:val="continue"/>
            <w:vAlign w:val="center"/>
          </w:tcPr>
          <w:p w14:paraId="3507622D">
            <w:pPr>
              <w:spacing w:line="360" w:lineRule="exact"/>
              <w:jc w:val="center"/>
              <w:rPr>
                <w:rFonts w:ascii="宋体" w:hAnsi="宋体" w:eastAsia="宋体" w:cs="Times New Roman"/>
                <w:color w:val="auto"/>
              </w:rPr>
            </w:pPr>
          </w:p>
        </w:tc>
        <w:tc>
          <w:tcPr>
            <w:tcW w:w="1022" w:type="dxa"/>
            <w:vMerge w:val="continue"/>
            <w:vAlign w:val="center"/>
          </w:tcPr>
          <w:p w14:paraId="774E351B">
            <w:pPr>
              <w:spacing w:line="360" w:lineRule="exact"/>
              <w:jc w:val="center"/>
              <w:rPr>
                <w:rFonts w:ascii="宋体" w:hAnsi="宋体" w:eastAsia="宋体" w:cs="Times New Roman"/>
                <w:color w:val="auto"/>
              </w:rPr>
            </w:pPr>
          </w:p>
        </w:tc>
        <w:tc>
          <w:tcPr>
            <w:tcW w:w="839" w:type="dxa"/>
            <w:vMerge w:val="continue"/>
            <w:vAlign w:val="center"/>
          </w:tcPr>
          <w:p w14:paraId="0E584812">
            <w:pPr>
              <w:spacing w:line="360" w:lineRule="exact"/>
              <w:jc w:val="center"/>
              <w:rPr>
                <w:rFonts w:ascii="宋体" w:hAnsi="宋体" w:eastAsia="宋体" w:cs="Times New Roman"/>
                <w:color w:val="auto"/>
              </w:rPr>
            </w:pPr>
          </w:p>
        </w:tc>
      </w:tr>
      <w:tr w14:paraId="3308E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01CCE51">
            <w:pPr>
              <w:spacing w:line="360" w:lineRule="exact"/>
              <w:jc w:val="center"/>
              <w:rPr>
                <w:rFonts w:ascii="宋体" w:hAnsi="宋体" w:eastAsia="宋体" w:cs="Times New Roman"/>
                <w:color w:val="auto"/>
              </w:rPr>
            </w:pPr>
          </w:p>
        </w:tc>
        <w:tc>
          <w:tcPr>
            <w:tcW w:w="1206" w:type="dxa"/>
            <w:vAlign w:val="center"/>
          </w:tcPr>
          <w:p w14:paraId="4C23D12B">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151C2D00">
            <w:pPr>
              <w:spacing w:line="360" w:lineRule="exact"/>
              <w:jc w:val="center"/>
              <w:rPr>
                <w:rFonts w:ascii="宋体" w:hAnsi="宋体" w:eastAsia="宋体" w:cs="Times New Roman"/>
                <w:color w:val="auto"/>
              </w:rPr>
            </w:pPr>
            <w:r>
              <w:rPr>
                <w:rFonts w:ascii="宋体" w:hAnsi="宋体" w:eastAsia="宋体" w:cs="Times New Roman"/>
                <w:color w:val="auto"/>
              </w:rPr>
              <w:t xml:space="preserve">0.534 </w:t>
            </w:r>
          </w:p>
        </w:tc>
        <w:tc>
          <w:tcPr>
            <w:tcW w:w="1447" w:type="dxa"/>
            <w:vAlign w:val="center"/>
          </w:tcPr>
          <w:p w14:paraId="74F70C53">
            <w:pPr>
              <w:spacing w:line="360" w:lineRule="exact"/>
              <w:jc w:val="center"/>
              <w:rPr>
                <w:rFonts w:ascii="宋体" w:hAnsi="宋体" w:eastAsia="宋体" w:cs="Times New Roman"/>
                <w:color w:val="auto"/>
              </w:rPr>
            </w:pPr>
            <w:r>
              <w:rPr>
                <w:rFonts w:ascii="宋体" w:hAnsi="宋体" w:eastAsia="宋体" w:cs="Times New Roman"/>
                <w:color w:val="auto"/>
              </w:rPr>
              <w:t xml:space="preserve">12.903 </w:t>
            </w:r>
          </w:p>
        </w:tc>
        <w:tc>
          <w:tcPr>
            <w:tcW w:w="1590" w:type="dxa"/>
            <w:vMerge w:val="continue"/>
            <w:vAlign w:val="center"/>
          </w:tcPr>
          <w:p w14:paraId="44A0B640">
            <w:pPr>
              <w:spacing w:line="360" w:lineRule="exact"/>
              <w:jc w:val="center"/>
              <w:rPr>
                <w:rFonts w:ascii="宋体" w:hAnsi="宋体" w:eastAsia="宋体" w:cs="Times New Roman"/>
                <w:color w:val="auto"/>
              </w:rPr>
            </w:pPr>
          </w:p>
        </w:tc>
        <w:tc>
          <w:tcPr>
            <w:tcW w:w="1022" w:type="dxa"/>
            <w:vMerge w:val="continue"/>
            <w:vAlign w:val="center"/>
          </w:tcPr>
          <w:p w14:paraId="647C96E1">
            <w:pPr>
              <w:spacing w:line="360" w:lineRule="exact"/>
              <w:jc w:val="center"/>
              <w:rPr>
                <w:rFonts w:ascii="宋体" w:hAnsi="宋体" w:eastAsia="宋体" w:cs="Times New Roman"/>
                <w:color w:val="auto"/>
              </w:rPr>
            </w:pPr>
          </w:p>
        </w:tc>
        <w:tc>
          <w:tcPr>
            <w:tcW w:w="839" w:type="dxa"/>
            <w:vMerge w:val="continue"/>
            <w:vAlign w:val="center"/>
          </w:tcPr>
          <w:p w14:paraId="1AB52994">
            <w:pPr>
              <w:spacing w:line="360" w:lineRule="exact"/>
              <w:jc w:val="center"/>
              <w:rPr>
                <w:rFonts w:ascii="宋体" w:hAnsi="宋体" w:eastAsia="宋体" w:cs="Times New Roman"/>
                <w:color w:val="auto"/>
              </w:rPr>
            </w:pPr>
          </w:p>
        </w:tc>
      </w:tr>
      <w:tr w14:paraId="6B773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75B9422">
            <w:pPr>
              <w:spacing w:line="360" w:lineRule="exact"/>
              <w:jc w:val="center"/>
              <w:rPr>
                <w:rFonts w:ascii="宋体" w:hAnsi="宋体" w:eastAsia="宋体" w:cs="Times New Roman"/>
                <w:color w:val="auto"/>
              </w:rPr>
            </w:pPr>
          </w:p>
        </w:tc>
        <w:tc>
          <w:tcPr>
            <w:tcW w:w="1206" w:type="dxa"/>
            <w:vAlign w:val="center"/>
          </w:tcPr>
          <w:p w14:paraId="0F4EDFDB">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5FEE7FA4">
            <w:pPr>
              <w:spacing w:line="360" w:lineRule="exact"/>
              <w:jc w:val="center"/>
              <w:rPr>
                <w:rFonts w:ascii="宋体" w:hAnsi="宋体" w:eastAsia="宋体" w:cs="Times New Roman"/>
                <w:color w:val="auto"/>
              </w:rPr>
            </w:pPr>
            <w:r>
              <w:rPr>
                <w:rFonts w:ascii="宋体" w:hAnsi="宋体" w:eastAsia="宋体" w:cs="Times New Roman"/>
                <w:color w:val="auto"/>
              </w:rPr>
              <w:t xml:space="preserve">-2.672 </w:t>
            </w:r>
          </w:p>
        </w:tc>
        <w:tc>
          <w:tcPr>
            <w:tcW w:w="1447" w:type="dxa"/>
            <w:vAlign w:val="center"/>
          </w:tcPr>
          <w:p w14:paraId="5BA3A16D">
            <w:pPr>
              <w:spacing w:line="360" w:lineRule="exact"/>
              <w:jc w:val="center"/>
              <w:rPr>
                <w:rFonts w:ascii="宋体" w:hAnsi="宋体" w:eastAsia="宋体" w:cs="Times New Roman"/>
                <w:color w:val="auto"/>
              </w:rPr>
            </w:pPr>
            <w:r>
              <w:rPr>
                <w:rFonts w:ascii="宋体" w:hAnsi="宋体" w:eastAsia="宋体" w:cs="Times New Roman"/>
                <w:color w:val="auto"/>
              </w:rPr>
              <w:t xml:space="preserve">63.612 </w:t>
            </w:r>
          </w:p>
        </w:tc>
        <w:tc>
          <w:tcPr>
            <w:tcW w:w="1590" w:type="dxa"/>
            <w:vMerge w:val="restart"/>
            <w:vAlign w:val="center"/>
          </w:tcPr>
          <w:p w14:paraId="2F74AD30">
            <w:pPr>
              <w:spacing w:line="360" w:lineRule="exact"/>
              <w:jc w:val="center"/>
              <w:rPr>
                <w:rFonts w:ascii="宋体" w:hAnsi="宋体" w:eastAsia="宋体" w:cs="Times New Roman"/>
                <w:color w:val="auto"/>
              </w:rPr>
            </w:pPr>
            <w:r>
              <w:rPr>
                <w:rFonts w:ascii="宋体" w:hAnsi="宋体" w:eastAsia="宋体" w:cs="Times New Roman"/>
                <w:color w:val="auto"/>
              </w:rPr>
              <w:t xml:space="preserve">4.201 </w:t>
            </w:r>
          </w:p>
        </w:tc>
        <w:tc>
          <w:tcPr>
            <w:tcW w:w="1022" w:type="dxa"/>
            <w:vMerge w:val="continue"/>
            <w:vAlign w:val="center"/>
          </w:tcPr>
          <w:p w14:paraId="2A24D511">
            <w:pPr>
              <w:spacing w:line="360" w:lineRule="exact"/>
              <w:jc w:val="center"/>
              <w:rPr>
                <w:rFonts w:ascii="宋体" w:hAnsi="宋体" w:eastAsia="宋体" w:cs="Times New Roman"/>
                <w:color w:val="auto"/>
              </w:rPr>
            </w:pPr>
          </w:p>
        </w:tc>
        <w:tc>
          <w:tcPr>
            <w:tcW w:w="839" w:type="dxa"/>
            <w:vMerge w:val="continue"/>
            <w:vAlign w:val="center"/>
          </w:tcPr>
          <w:p w14:paraId="620EC3B7">
            <w:pPr>
              <w:spacing w:line="360" w:lineRule="exact"/>
              <w:jc w:val="center"/>
              <w:rPr>
                <w:rFonts w:ascii="宋体" w:hAnsi="宋体" w:eastAsia="宋体" w:cs="Times New Roman"/>
                <w:color w:val="auto"/>
              </w:rPr>
            </w:pPr>
          </w:p>
        </w:tc>
      </w:tr>
      <w:tr w14:paraId="5AF97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83E8FD3">
            <w:pPr>
              <w:spacing w:line="360" w:lineRule="exact"/>
              <w:jc w:val="center"/>
              <w:rPr>
                <w:rFonts w:ascii="宋体" w:hAnsi="宋体" w:eastAsia="宋体" w:cs="Times New Roman"/>
                <w:color w:val="auto"/>
              </w:rPr>
            </w:pPr>
          </w:p>
        </w:tc>
        <w:tc>
          <w:tcPr>
            <w:tcW w:w="1206" w:type="dxa"/>
            <w:vAlign w:val="center"/>
          </w:tcPr>
          <w:p w14:paraId="732075D4">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3F554099">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449C0DB7">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31C7010B">
            <w:pPr>
              <w:spacing w:line="360" w:lineRule="exact"/>
              <w:jc w:val="center"/>
              <w:rPr>
                <w:rFonts w:ascii="宋体" w:hAnsi="宋体" w:eastAsia="宋体" w:cs="Times New Roman"/>
                <w:color w:val="auto"/>
              </w:rPr>
            </w:pPr>
          </w:p>
        </w:tc>
        <w:tc>
          <w:tcPr>
            <w:tcW w:w="1022" w:type="dxa"/>
            <w:vMerge w:val="continue"/>
            <w:vAlign w:val="center"/>
          </w:tcPr>
          <w:p w14:paraId="3A7FDB7D">
            <w:pPr>
              <w:spacing w:line="360" w:lineRule="exact"/>
              <w:jc w:val="center"/>
              <w:rPr>
                <w:rFonts w:ascii="宋体" w:hAnsi="宋体" w:eastAsia="宋体" w:cs="Times New Roman"/>
                <w:color w:val="auto"/>
              </w:rPr>
            </w:pPr>
          </w:p>
        </w:tc>
        <w:tc>
          <w:tcPr>
            <w:tcW w:w="839" w:type="dxa"/>
            <w:vMerge w:val="continue"/>
            <w:vAlign w:val="center"/>
          </w:tcPr>
          <w:p w14:paraId="561411BE">
            <w:pPr>
              <w:spacing w:line="360" w:lineRule="exact"/>
              <w:jc w:val="center"/>
              <w:rPr>
                <w:rFonts w:ascii="宋体" w:hAnsi="宋体" w:eastAsia="宋体" w:cs="Times New Roman"/>
                <w:color w:val="auto"/>
              </w:rPr>
            </w:pPr>
          </w:p>
        </w:tc>
      </w:tr>
      <w:tr w14:paraId="1127B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30381822">
            <w:pPr>
              <w:spacing w:line="360" w:lineRule="exact"/>
              <w:jc w:val="center"/>
              <w:rPr>
                <w:rFonts w:ascii="宋体" w:hAnsi="宋体" w:eastAsia="宋体" w:cs="Times New Roman"/>
                <w:color w:val="auto"/>
              </w:rPr>
            </w:pPr>
          </w:p>
        </w:tc>
        <w:tc>
          <w:tcPr>
            <w:tcW w:w="1206" w:type="dxa"/>
            <w:vAlign w:val="center"/>
          </w:tcPr>
          <w:p w14:paraId="73028EC4">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442BDACE">
            <w:pPr>
              <w:spacing w:line="360" w:lineRule="exact"/>
              <w:jc w:val="center"/>
              <w:rPr>
                <w:rFonts w:ascii="宋体" w:hAnsi="宋体" w:eastAsia="宋体" w:cs="Times New Roman"/>
                <w:color w:val="auto"/>
              </w:rPr>
            </w:pPr>
            <w:r>
              <w:rPr>
                <w:rFonts w:ascii="宋体" w:hAnsi="宋体" w:eastAsia="宋体" w:cs="Times New Roman"/>
                <w:color w:val="auto"/>
              </w:rPr>
              <w:t xml:space="preserve">-1.029 </w:t>
            </w:r>
          </w:p>
        </w:tc>
        <w:tc>
          <w:tcPr>
            <w:tcW w:w="1447" w:type="dxa"/>
            <w:vAlign w:val="center"/>
          </w:tcPr>
          <w:p w14:paraId="6175F65D">
            <w:pPr>
              <w:spacing w:line="360" w:lineRule="exact"/>
              <w:jc w:val="center"/>
              <w:rPr>
                <w:rFonts w:ascii="宋体" w:hAnsi="宋体" w:eastAsia="宋体" w:cs="Times New Roman"/>
                <w:color w:val="auto"/>
              </w:rPr>
            </w:pPr>
            <w:r>
              <w:rPr>
                <w:rFonts w:ascii="宋体" w:hAnsi="宋体" w:eastAsia="宋体" w:cs="Times New Roman"/>
                <w:color w:val="auto"/>
              </w:rPr>
              <w:t xml:space="preserve">24.486 </w:t>
            </w:r>
          </w:p>
        </w:tc>
        <w:tc>
          <w:tcPr>
            <w:tcW w:w="1590" w:type="dxa"/>
            <w:vMerge w:val="continue"/>
            <w:vAlign w:val="center"/>
          </w:tcPr>
          <w:p w14:paraId="05792C59">
            <w:pPr>
              <w:spacing w:line="360" w:lineRule="exact"/>
              <w:jc w:val="center"/>
              <w:rPr>
                <w:rFonts w:ascii="宋体" w:hAnsi="宋体" w:eastAsia="宋体" w:cs="Times New Roman"/>
                <w:color w:val="auto"/>
              </w:rPr>
            </w:pPr>
          </w:p>
        </w:tc>
        <w:tc>
          <w:tcPr>
            <w:tcW w:w="1022" w:type="dxa"/>
            <w:vMerge w:val="continue"/>
            <w:vAlign w:val="center"/>
          </w:tcPr>
          <w:p w14:paraId="14A70EA7">
            <w:pPr>
              <w:spacing w:line="360" w:lineRule="exact"/>
              <w:jc w:val="center"/>
              <w:rPr>
                <w:rFonts w:ascii="宋体" w:hAnsi="宋体" w:eastAsia="宋体" w:cs="Times New Roman"/>
                <w:color w:val="auto"/>
              </w:rPr>
            </w:pPr>
          </w:p>
        </w:tc>
        <w:tc>
          <w:tcPr>
            <w:tcW w:w="839" w:type="dxa"/>
            <w:vMerge w:val="continue"/>
            <w:vAlign w:val="center"/>
          </w:tcPr>
          <w:p w14:paraId="67E9D89C">
            <w:pPr>
              <w:spacing w:line="360" w:lineRule="exact"/>
              <w:jc w:val="center"/>
              <w:rPr>
                <w:rFonts w:ascii="宋体" w:hAnsi="宋体" w:eastAsia="宋体" w:cs="Times New Roman"/>
                <w:color w:val="auto"/>
              </w:rPr>
            </w:pPr>
          </w:p>
        </w:tc>
      </w:tr>
      <w:tr w14:paraId="5D3B3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3CC40892">
            <w:pPr>
              <w:spacing w:line="360" w:lineRule="exact"/>
              <w:jc w:val="center"/>
              <w:rPr>
                <w:rFonts w:ascii="宋体" w:hAnsi="宋体" w:eastAsia="宋体" w:cs="Times New Roman"/>
                <w:color w:val="auto"/>
              </w:rPr>
            </w:pPr>
          </w:p>
        </w:tc>
        <w:tc>
          <w:tcPr>
            <w:tcW w:w="1206" w:type="dxa"/>
            <w:vAlign w:val="center"/>
          </w:tcPr>
          <w:p w14:paraId="47899B3C">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0515309B">
            <w:pPr>
              <w:spacing w:line="360" w:lineRule="exact"/>
              <w:jc w:val="center"/>
              <w:rPr>
                <w:rFonts w:ascii="宋体" w:hAnsi="宋体" w:eastAsia="宋体" w:cs="Times New Roman"/>
                <w:color w:val="auto"/>
              </w:rPr>
            </w:pPr>
            <w:r>
              <w:rPr>
                <w:rFonts w:ascii="宋体" w:hAnsi="宋体" w:eastAsia="宋体" w:cs="Times New Roman"/>
                <w:color w:val="auto"/>
              </w:rPr>
              <w:t xml:space="preserve">-0.500 </w:t>
            </w:r>
          </w:p>
        </w:tc>
        <w:tc>
          <w:tcPr>
            <w:tcW w:w="1447" w:type="dxa"/>
            <w:vAlign w:val="center"/>
          </w:tcPr>
          <w:p w14:paraId="18F65BB0">
            <w:pPr>
              <w:spacing w:line="360" w:lineRule="exact"/>
              <w:jc w:val="center"/>
              <w:rPr>
                <w:rFonts w:ascii="宋体" w:hAnsi="宋体" w:eastAsia="宋体" w:cs="Times New Roman"/>
                <w:color w:val="auto"/>
              </w:rPr>
            </w:pPr>
            <w:r>
              <w:rPr>
                <w:rFonts w:ascii="宋体" w:hAnsi="宋体" w:eastAsia="宋体" w:cs="Times New Roman"/>
                <w:color w:val="auto"/>
              </w:rPr>
              <w:t xml:space="preserve">11.903 </w:t>
            </w:r>
          </w:p>
        </w:tc>
        <w:tc>
          <w:tcPr>
            <w:tcW w:w="1590" w:type="dxa"/>
            <w:vMerge w:val="continue"/>
            <w:vAlign w:val="center"/>
          </w:tcPr>
          <w:p w14:paraId="3E283D50">
            <w:pPr>
              <w:spacing w:line="360" w:lineRule="exact"/>
              <w:jc w:val="center"/>
              <w:rPr>
                <w:rFonts w:ascii="宋体" w:hAnsi="宋体" w:eastAsia="宋体" w:cs="Times New Roman"/>
                <w:color w:val="auto"/>
              </w:rPr>
            </w:pPr>
          </w:p>
        </w:tc>
        <w:tc>
          <w:tcPr>
            <w:tcW w:w="1022" w:type="dxa"/>
            <w:vMerge w:val="continue"/>
            <w:vAlign w:val="center"/>
          </w:tcPr>
          <w:p w14:paraId="28C4FFC1">
            <w:pPr>
              <w:spacing w:line="360" w:lineRule="exact"/>
              <w:jc w:val="center"/>
              <w:rPr>
                <w:rFonts w:ascii="宋体" w:hAnsi="宋体" w:eastAsia="宋体" w:cs="Times New Roman"/>
                <w:color w:val="auto"/>
              </w:rPr>
            </w:pPr>
          </w:p>
        </w:tc>
        <w:tc>
          <w:tcPr>
            <w:tcW w:w="839" w:type="dxa"/>
            <w:vMerge w:val="continue"/>
            <w:vAlign w:val="center"/>
          </w:tcPr>
          <w:p w14:paraId="289452DA">
            <w:pPr>
              <w:spacing w:line="360" w:lineRule="exact"/>
              <w:jc w:val="center"/>
              <w:rPr>
                <w:rFonts w:ascii="宋体" w:hAnsi="宋体" w:eastAsia="宋体" w:cs="Times New Roman"/>
                <w:color w:val="auto"/>
              </w:rPr>
            </w:pPr>
          </w:p>
        </w:tc>
      </w:tr>
      <w:tr w14:paraId="5819D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42BF12B5">
            <w:pPr>
              <w:jc w:val="center"/>
              <w:textAlignment w:val="center"/>
              <w:rPr>
                <w:rFonts w:ascii="宋体" w:hAnsi="宋体" w:eastAsia="宋体" w:cs="Times New Roman"/>
                <w:color w:val="auto"/>
              </w:rPr>
            </w:pPr>
            <w:r>
              <w:rPr>
                <w:rFonts w:ascii="宋体" w:hAnsi="宋体" w:eastAsia="宋体" w:cs="Times New Roman"/>
                <w:color w:val="auto"/>
                <w:lang w:bidi="ar"/>
              </w:rPr>
              <w:t>协力屯(单家、承压水)</w:t>
            </w:r>
          </w:p>
        </w:tc>
        <w:tc>
          <w:tcPr>
            <w:tcW w:w="1206" w:type="dxa"/>
            <w:vAlign w:val="center"/>
          </w:tcPr>
          <w:p w14:paraId="373D7C8D">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4CDFFC0C">
            <w:pPr>
              <w:spacing w:line="360" w:lineRule="exact"/>
              <w:jc w:val="center"/>
              <w:rPr>
                <w:rFonts w:ascii="宋体" w:hAnsi="宋体" w:eastAsia="宋体" w:cs="Times New Roman"/>
                <w:color w:val="auto"/>
              </w:rPr>
            </w:pPr>
            <w:r>
              <w:rPr>
                <w:rFonts w:ascii="宋体" w:hAnsi="宋体" w:eastAsia="宋体" w:cs="Times New Roman"/>
                <w:color w:val="auto"/>
              </w:rPr>
              <w:t xml:space="preserve">0.033 </w:t>
            </w:r>
          </w:p>
        </w:tc>
        <w:tc>
          <w:tcPr>
            <w:tcW w:w="1447" w:type="dxa"/>
            <w:vAlign w:val="center"/>
          </w:tcPr>
          <w:p w14:paraId="47D5357F">
            <w:pPr>
              <w:spacing w:line="360" w:lineRule="exact"/>
              <w:jc w:val="center"/>
              <w:rPr>
                <w:rFonts w:ascii="宋体" w:hAnsi="宋体" w:eastAsia="宋体" w:cs="Times New Roman"/>
                <w:color w:val="auto"/>
              </w:rPr>
            </w:pPr>
            <w:r>
              <w:rPr>
                <w:rFonts w:ascii="宋体" w:hAnsi="宋体" w:eastAsia="宋体" w:cs="Times New Roman"/>
                <w:color w:val="auto"/>
              </w:rPr>
              <w:t xml:space="preserve">0.809 </w:t>
            </w:r>
          </w:p>
        </w:tc>
        <w:tc>
          <w:tcPr>
            <w:tcW w:w="1590" w:type="dxa"/>
            <w:vMerge w:val="restart"/>
            <w:vAlign w:val="center"/>
          </w:tcPr>
          <w:p w14:paraId="59721A82">
            <w:pPr>
              <w:spacing w:line="360" w:lineRule="exact"/>
              <w:jc w:val="center"/>
              <w:rPr>
                <w:rFonts w:ascii="宋体" w:hAnsi="宋体" w:eastAsia="宋体" w:cs="Times New Roman"/>
                <w:color w:val="auto"/>
              </w:rPr>
            </w:pPr>
            <w:r>
              <w:rPr>
                <w:rFonts w:ascii="宋体" w:hAnsi="宋体" w:eastAsia="宋体" w:cs="Times New Roman"/>
                <w:color w:val="auto"/>
              </w:rPr>
              <w:t xml:space="preserve">4.024 </w:t>
            </w:r>
          </w:p>
        </w:tc>
        <w:tc>
          <w:tcPr>
            <w:tcW w:w="1022" w:type="dxa"/>
            <w:vMerge w:val="restart"/>
            <w:vAlign w:val="center"/>
          </w:tcPr>
          <w:p w14:paraId="096FD11C">
            <w:pPr>
              <w:spacing w:line="360" w:lineRule="exact"/>
              <w:jc w:val="center"/>
              <w:rPr>
                <w:rFonts w:ascii="宋体" w:hAnsi="宋体" w:eastAsia="宋体" w:cs="Times New Roman"/>
                <w:color w:val="auto"/>
              </w:rPr>
            </w:pPr>
            <w:r>
              <w:rPr>
                <w:rFonts w:ascii="宋体" w:hAnsi="宋体" w:eastAsia="宋体" w:cs="Times New Roman"/>
                <w:color w:val="auto"/>
              </w:rPr>
              <w:t xml:space="preserve">0.84 </w:t>
            </w:r>
          </w:p>
        </w:tc>
        <w:tc>
          <w:tcPr>
            <w:tcW w:w="839" w:type="dxa"/>
            <w:vMerge w:val="restart"/>
            <w:vAlign w:val="center"/>
          </w:tcPr>
          <w:p w14:paraId="21B5D785">
            <w:pPr>
              <w:spacing w:line="360" w:lineRule="exact"/>
              <w:jc w:val="center"/>
              <w:rPr>
                <w:rFonts w:ascii="宋体" w:hAnsi="宋体" w:eastAsia="宋体" w:cs="Times New Roman"/>
                <w:color w:val="auto"/>
              </w:rPr>
            </w:pPr>
            <w:r>
              <w:rPr>
                <w:rFonts w:ascii="宋体" w:hAnsi="宋体" w:eastAsia="宋体" w:cs="Times New Roman"/>
                <w:color w:val="auto"/>
              </w:rPr>
              <w:t xml:space="preserve">0.30 </w:t>
            </w:r>
          </w:p>
        </w:tc>
      </w:tr>
      <w:tr w14:paraId="7BCFE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1D6621A">
            <w:pPr>
              <w:spacing w:line="360" w:lineRule="exact"/>
              <w:jc w:val="center"/>
              <w:rPr>
                <w:rFonts w:ascii="宋体" w:hAnsi="宋体" w:eastAsia="宋体" w:cs="Times New Roman"/>
                <w:color w:val="auto"/>
              </w:rPr>
            </w:pPr>
          </w:p>
        </w:tc>
        <w:tc>
          <w:tcPr>
            <w:tcW w:w="1206" w:type="dxa"/>
            <w:vAlign w:val="center"/>
          </w:tcPr>
          <w:p w14:paraId="487E6606">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341CC148">
            <w:pPr>
              <w:spacing w:line="360" w:lineRule="exact"/>
              <w:jc w:val="center"/>
              <w:rPr>
                <w:rFonts w:ascii="宋体" w:hAnsi="宋体" w:eastAsia="宋体" w:cs="Times New Roman"/>
                <w:color w:val="auto"/>
              </w:rPr>
            </w:pPr>
            <w:r>
              <w:rPr>
                <w:rFonts w:ascii="宋体" w:hAnsi="宋体" w:eastAsia="宋体" w:cs="Times New Roman"/>
                <w:color w:val="auto"/>
              </w:rPr>
              <w:t xml:space="preserve">1.891 </w:t>
            </w:r>
          </w:p>
        </w:tc>
        <w:tc>
          <w:tcPr>
            <w:tcW w:w="1447" w:type="dxa"/>
            <w:vAlign w:val="center"/>
          </w:tcPr>
          <w:p w14:paraId="4E2FBD79">
            <w:pPr>
              <w:spacing w:line="360" w:lineRule="exact"/>
              <w:jc w:val="center"/>
              <w:rPr>
                <w:rFonts w:ascii="宋体" w:hAnsi="宋体" w:eastAsia="宋体" w:cs="Times New Roman"/>
                <w:color w:val="auto"/>
              </w:rPr>
            </w:pPr>
            <w:r>
              <w:rPr>
                <w:rFonts w:ascii="宋体" w:hAnsi="宋体" w:eastAsia="宋体" w:cs="Times New Roman"/>
                <w:color w:val="auto"/>
              </w:rPr>
              <w:t xml:space="preserve">47.002 </w:t>
            </w:r>
          </w:p>
        </w:tc>
        <w:tc>
          <w:tcPr>
            <w:tcW w:w="1590" w:type="dxa"/>
            <w:vMerge w:val="continue"/>
            <w:vAlign w:val="center"/>
          </w:tcPr>
          <w:p w14:paraId="1884AE64">
            <w:pPr>
              <w:spacing w:line="360" w:lineRule="exact"/>
              <w:jc w:val="center"/>
              <w:rPr>
                <w:rFonts w:ascii="宋体" w:hAnsi="宋体" w:eastAsia="宋体" w:cs="Times New Roman"/>
                <w:color w:val="auto"/>
              </w:rPr>
            </w:pPr>
          </w:p>
        </w:tc>
        <w:tc>
          <w:tcPr>
            <w:tcW w:w="1022" w:type="dxa"/>
            <w:vMerge w:val="continue"/>
            <w:vAlign w:val="center"/>
          </w:tcPr>
          <w:p w14:paraId="3522E73A">
            <w:pPr>
              <w:spacing w:line="360" w:lineRule="exact"/>
              <w:jc w:val="center"/>
              <w:rPr>
                <w:rFonts w:ascii="宋体" w:hAnsi="宋体" w:eastAsia="宋体" w:cs="Times New Roman"/>
                <w:color w:val="auto"/>
              </w:rPr>
            </w:pPr>
          </w:p>
        </w:tc>
        <w:tc>
          <w:tcPr>
            <w:tcW w:w="839" w:type="dxa"/>
            <w:vMerge w:val="continue"/>
            <w:vAlign w:val="center"/>
          </w:tcPr>
          <w:p w14:paraId="170D7F0E">
            <w:pPr>
              <w:spacing w:line="360" w:lineRule="exact"/>
              <w:jc w:val="center"/>
              <w:rPr>
                <w:rFonts w:ascii="宋体" w:hAnsi="宋体" w:eastAsia="宋体" w:cs="Times New Roman"/>
                <w:color w:val="auto"/>
              </w:rPr>
            </w:pPr>
          </w:p>
        </w:tc>
      </w:tr>
      <w:tr w14:paraId="2F518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2D89C79">
            <w:pPr>
              <w:spacing w:line="360" w:lineRule="exact"/>
              <w:jc w:val="center"/>
              <w:rPr>
                <w:rFonts w:ascii="宋体" w:hAnsi="宋体" w:eastAsia="宋体" w:cs="Times New Roman"/>
                <w:color w:val="auto"/>
              </w:rPr>
            </w:pPr>
          </w:p>
        </w:tc>
        <w:tc>
          <w:tcPr>
            <w:tcW w:w="1206" w:type="dxa"/>
            <w:vAlign w:val="center"/>
          </w:tcPr>
          <w:p w14:paraId="7AF7C9F6">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0F0BD3E3">
            <w:pPr>
              <w:spacing w:line="360" w:lineRule="exact"/>
              <w:jc w:val="center"/>
              <w:rPr>
                <w:rFonts w:ascii="宋体" w:hAnsi="宋体" w:eastAsia="宋体" w:cs="Times New Roman"/>
                <w:color w:val="auto"/>
              </w:rPr>
            </w:pPr>
            <w:r>
              <w:rPr>
                <w:rFonts w:ascii="宋体" w:hAnsi="宋体" w:eastAsia="宋体" w:cs="Times New Roman"/>
                <w:color w:val="auto"/>
              </w:rPr>
              <w:t xml:space="preserve">1.580 </w:t>
            </w:r>
          </w:p>
        </w:tc>
        <w:tc>
          <w:tcPr>
            <w:tcW w:w="1447" w:type="dxa"/>
            <w:vAlign w:val="center"/>
          </w:tcPr>
          <w:p w14:paraId="53CC6622">
            <w:pPr>
              <w:spacing w:line="360" w:lineRule="exact"/>
              <w:jc w:val="center"/>
              <w:rPr>
                <w:rFonts w:ascii="宋体" w:hAnsi="宋体" w:eastAsia="宋体" w:cs="Times New Roman"/>
                <w:color w:val="auto"/>
              </w:rPr>
            </w:pPr>
            <w:r>
              <w:rPr>
                <w:rFonts w:ascii="宋体" w:hAnsi="宋体" w:eastAsia="宋体" w:cs="Times New Roman"/>
                <w:color w:val="auto"/>
              </w:rPr>
              <w:t xml:space="preserve">39.266 </w:t>
            </w:r>
          </w:p>
        </w:tc>
        <w:tc>
          <w:tcPr>
            <w:tcW w:w="1590" w:type="dxa"/>
            <w:vMerge w:val="continue"/>
            <w:vAlign w:val="center"/>
          </w:tcPr>
          <w:p w14:paraId="637708CE">
            <w:pPr>
              <w:spacing w:line="360" w:lineRule="exact"/>
              <w:jc w:val="center"/>
              <w:rPr>
                <w:rFonts w:ascii="宋体" w:hAnsi="宋体" w:eastAsia="宋体" w:cs="Times New Roman"/>
                <w:color w:val="auto"/>
              </w:rPr>
            </w:pPr>
          </w:p>
        </w:tc>
        <w:tc>
          <w:tcPr>
            <w:tcW w:w="1022" w:type="dxa"/>
            <w:vMerge w:val="continue"/>
            <w:vAlign w:val="center"/>
          </w:tcPr>
          <w:p w14:paraId="6899BA99">
            <w:pPr>
              <w:spacing w:line="360" w:lineRule="exact"/>
              <w:jc w:val="center"/>
              <w:rPr>
                <w:rFonts w:ascii="宋体" w:hAnsi="宋体" w:eastAsia="宋体" w:cs="Times New Roman"/>
                <w:color w:val="auto"/>
              </w:rPr>
            </w:pPr>
          </w:p>
        </w:tc>
        <w:tc>
          <w:tcPr>
            <w:tcW w:w="839" w:type="dxa"/>
            <w:vMerge w:val="continue"/>
            <w:vAlign w:val="center"/>
          </w:tcPr>
          <w:p w14:paraId="6C9871C5">
            <w:pPr>
              <w:spacing w:line="360" w:lineRule="exact"/>
              <w:jc w:val="center"/>
              <w:rPr>
                <w:rFonts w:ascii="宋体" w:hAnsi="宋体" w:eastAsia="宋体" w:cs="Times New Roman"/>
                <w:color w:val="auto"/>
              </w:rPr>
            </w:pPr>
          </w:p>
        </w:tc>
      </w:tr>
      <w:tr w14:paraId="79458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66FED36">
            <w:pPr>
              <w:spacing w:line="360" w:lineRule="exact"/>
              <w:jc w:val="center"/>
              <w:rPr>
                <w:rFonts w:ascii="宋体" w:hAnsi="宋体" w:eastAsia="宋体" w:cs="Times New Roman"/>
                <w:color w:val="auto"/>
              </w:rPr>
            </w:pPr>
          </w:p>
        </w:tc>
        <w:tc>
          <w:tcPr>
            <w:tcW w:w="1206" w:type="dxa"/>
            <w:vAlign w:val="center"/>
          </w:tcPr>
          <w:p w14:paraId="6EEC0C7A">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70A798AE">
            <w:pPr>
              <w:spacing w:line="360" w:lineRule="exact"/>
              <w:jc w:val="center"/>
              <w:rPr>
                <w:rFonts w:ascii="宋体" w:hAnsi="宋体" w:eastAsia="宋体" w:cs="Times New Roman"/>
                <w:color w:val="auto"/>
              </w:rPr>
            </w:pPr>
            <w:r>
              <w:rPr>
                <w:rFonts w:ascii="宋体" w:hAnsi="宋体" w:eastAsia="宋体" w:cs="Times New Roman"/>
                <w:color w:val="auto"/>
              </w:rPr>
              <w:t xml:space="preserve">0.520 </w:t>
            </w:r>
          </w:p>
        </w:tc>
        <w:tc>
          <w:tcPr>
            <w:tcW w:w="1447" w:type="dxa"/>
            <w:vAlign w:val="center"/>
          </w:tcPr>
          <w:p w14:paraId="68994EDC">
            <w:pPr>
              <w:spacing w:line="360" w:lineRule="exact"/>
              <w:jc w:val="center"/>
              <w:rPr>
                <w:rFonts w:ascii="宋体" w:hAnsi="宋体" w:eastAsia="宋体" w:cs="Times New Roman"/>
                <w:color w:val="auto"/>
              </w:rPr>
            </w:pPr>
            <w:r>
              <w:rPr>
                <w:rFonts w:ascii="宋体" w:hAnsi="宋体" w:eastAsia="宋体" w:cs="Times New Roman"/>
                <w:color w:val="auto"/>
              </w:rPr>
              <w:t xml:space="preserve">12.923 </w:t>
            </w:r>
          </w:p>
        </w:tc>
        <w:tc>
          <w:tcPr>
            <w:tcW w:w="1590" w:type="dxa"/>
            <w:vMerge w:val="continue"/>
            <w:vAlign w:val="center"/>
          </w:tcPr>
          <w:p w14:paraId="5C732D4E">
            <w:pPr>
              <w:spacing w:line="360" w:lineRule="exact"/>
              <w:jc w:val="center"/>
              <w:rPr>
                <w:rFonts w:ascii="宋体" w:hAnsi="宋体" w:eastAsia="宋体" w:cs="Times New Roman"/>
                <w:color w:val="auto"/>
              </w:rPr>
            </w:pPr>
          </w:p>
        </w:tc>
        <w:tc>
          <w:tcPr>
            <w:tcW w:w="1022" w:type="dxa"/>
            <w:vMerge w:val="continue"/>
            <w:vAlign w:val="center"/>
          </w:tcPr>
          <w:p w14:paraId="499DEBF1">
            <w:pPr>
              <w:spacing w:line="360" w:lineRule="exact"/>
              <w:jc w:val="center"/>
              <w:rPr>
                <w:rFonts w:ascii="宋体" w:hAnsi="宋体" w:eastAsia="宋体" w:cs="Times New Roman"/>
                <w:color w:val="auto"/>
              </w:rPr>
            </w:pPr>
          </w:p>
        </w:tc>
        <w:tc>
          <w:tcPr>
            <w:tcW w:w="839" w:type="dxa"/>
            <w:vMerge w:val="continue"/>
            <w:vAlign w:val="center"/>
          </w:tcPr>
          <w:p w14:paraId="4A7157E3">
            <w:pPr>
              <w:spacing w:line="360" w:lineRule="exact"/>
              <w:jc w:val="center"/>
              <w:rPr>
                <w:rFonts w:ascii="宋体" w:hAnsi="宋体" w:eastAsia="宋体" w:cs="Times New Roman"/>
                <w:color w:val="auto"/>
              </w:rPr>
            </w:pPr>
          </w:p>
        </w:tc>
      </w:tr>
      <w:tr w14:paraId="2F54B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BB57B33">
            <w:pPr>
              <w:spacing w:line="360" w:lineRule="exact"/>
              <w:jc w:val="center"/>
              <w:rPr>
                <w:rFonts w:ascii="宋体" w:hAnsi="宋体" w:eastAsia="宋体" w:cs="Times New Roman"/>
                <w:color w:val="auto"/>
              </w:rPr>
            </w:pPr>
          </w:p>
        </w:tc>
        <w:tc>
          <w:tcPr>
            <w:tcW w:w="1206" w:type="dxa"/>
            <w:vAlign w:val="center"/>
          </w:tcPr>
          <w:p w14:paraId="7C444FAE">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63B1C5AA">
            <w:pPr>
              <w:spacing w:line="360" w:lineRule="exact"/>
              <w:jc w:val="center"/>
              <w:rPr>
                <w:rFonts w:ascii="宋体" w:hAnsi="宋体" w:eastAsia="宋体" w:cs="Times New Roman"/>
                <w:color w:val="auto"/>
              </w:rPr>
            </w:pPr>
            <w:r>
              <w:rPr>
                <w:rFonts w:ascii="宋体" w:hAnsi="宋体" w:eastAsia="宋体" w:cs="Times New Roman"/>
                <w:color w:val="auto"/>
              </w:rPr>
              <w:t xml:space="preserve">-2.623 </w:t>
            </w:r>
          </w:p>
        </w:tc>
        <w:tc>
          <w:tcPr>
            <w:tcW w:w="1447" w:type="dxa"/>
            <w:vAlign w:val="center"/>
          </w:tcPr>
          <w:p w14:paraId="35F8E38C">
            <w:pPr>
              <w:spacing w:line="360" w:lineRule="exact"/>
              <w:jc w:val="center"/>
              <w:rPr>
                <w:rFonts w:ascii="宋体" w:hAnsi="宋体" w:eastAsia="宋体" w:cs="Times New Roman"/>
                <w:color w:val="auto"/>
              </w:rPr>
            </w:pPr>
            <w:r>
              <w:rPr>
                <w:rFonts w:ascii="宋体" w:hAnsi="宋体" w:eastAsia="宋体" w:cs="Times New Roman"/>
                <w:color w:val="auto"/>
              </w:rPr>
              <w:t xml:space="preserve">64.100 </w:t>
            </w:r>
          </w:p>
        </w:tc>
        <w:tc>
          <w:tcPr>
            <w:tcW w:w="1590" w:type="dxa"/>
            <w:vMerge w:val="restart"/>
            <w:vAlign w:val="center"/>
          </w:tcPr>
          <w:p w14:paraId="283E5511">
            <w:pPr>
              <w:spacing w:line="360" w:lineRule="exact"/>
              <w:jc w:val="center"/>
              <w:rPr>
                <w:rFonts w:ascii="宋体" w:hAnsi="宋体" w:eastAsia="宋体" w:cs="Times New Roman"/>
                <w:color w:val="auto"/>
              </w:rPr>
            </w:pPr>
            <w:r>
              <w:rPr>
                <w:rFonts w:ascii="宋体" w:hAnsi="宋体" w:eastAsia="宋体" w:cs="Times New Roman"/>
                <w:color w:val="auto"/>
              </w:rPr>
              <w:t xml:space="preserve">4.092 </w:t>
            </w:r>
          </w:p>
        </w:tc>
        <w:tc>
          <w:tcPr>
            <w:tcW w:w="1022" w:type="dxa"/>
            <w:vMerge w:val="continue"/>
            <w:vAlign w:val="center"/>
          </w:tcPr>
          <w:p w14:paraId="7A523388">
            <w:pPr>
              <w:spacing w:line="360" w:lineRule="exact"/>
              <w:jc w:val="center"/>
              <w:rPr>
                <w:rFonts w:ascii="宋体" w:hAnsi="宋体" w:eastAsia="宋体" w:cs="Times New Roman"/>
                <w:color w:val="auto"/>
              </w:rPr>
            </w:pPr>
          </w:p>
        </w:tc>
        <w:tc>
          <w:tcPr>
            <w:tcW w:w="839" w:type="dxa"/>
            <w:vMerge w:val="continue"/>
            <w:vAlign w:val="center"/>
          </w:tcPr>
          <w:p w14:paraId="3E8FD7C0">
            <w:pPr>
              <w:spacing w:line="360" w:lineRule="exact"/>
              <w:jc w:val="center"/>
              <w:rPr>
                <w:rFonts w:ascii="宋体" w:hAnsi="宋体" w:eastAsia="宋体" w:cs="Times New Roman"/>
                <w:color w:val="auto"/>
              </w:rPr>
            </w:pPr>
          </w:p>
        </w:tc>
      </w:tr>
      <w:tr w14:paraId="08BE9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01409B3">
            <w:pPr>
              <w:spacing w:line="360" w:lineRule="exact"/>
              <w:jc w:val="center"/>
              <w:rPr>
                <w:rFonts w:ascii="宋体" w:hAnsi="宋体" w:eastAsia="宋体" w:cs="Times New Roman"/>
                <w:color w:val="auto"/>
              </w:rPr>
            </w:pPr>
          </w:p>
        </w:tc>
        <w:tc>
          <w:tcPr>
            <w:tcW w:w="1206" w:type="dxa"/>
            <w:vAlign w:val="center"/>
          </w:tcPr>
          <w:p w14:paraId="7BC4FCCD">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4F235070">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18D1BE38">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417B228A">
            <w:pPr>
              <w:spacing w:line="360" w:lineRule="exact"/>
              <w:jc w:val="center"/>
              <w:rPr>
                <w:rFonts w:ascii="宋体" w:hAnsi="宋体" w:eastAsia="宋体" w:cs="Times New Roman"/>
                <w:color w:val="auto"/>
              </w:rPr>
            </w:pPr>
          </w:p>
        </w:tc>
        <w:tc>
          <w:tcPr>
            <w:tcW w:w="1022" w:type="dxa"/>
            <w:vMerge w:val="continue"/>
            <w:vAlign w:val="center"/>
          </w:tcPr>
          <w:p w14:paraId="2BE8EAD1">
            <w:pPr>
              <w:spacing w:line="360" w:lineRule="exact"/>
              <w:jc w:val="center"/>
              <w:rPr>
                <w:rFonts w:ascii="宋体" w:hAnsi="宋体" w:eastAsia="宋体" w:cs="Times New Roman"/>
                <w:color w:val="auto"/>
              </w:rPr>
            </w:pPr>
          </w:p>
        </w:tc>
        <w:tc>
          <w:tcPr>
            <w:tcW w:w="839" w:type="dxa"/>
            <w:vMerge w:val="continue"/>
            <w:vAlign w:val="center"/>
          </w:tcPr>
          <w:p w14:paraId="21850FDF">
            <w:pPr>
              <w:spacing w:line="360" w:lineRule="exact"/>
              <w:jc w:val="center"/>
              <w:rPr>
                <w:rFonts w:ascii="宋体" w:hAnsi="宋体" w:eastAsia="宋体" w:cs="Times New Roman"/>
                <w:color w:val="auto"/>
              </w:rPr>
            </w:pPr>
          </w:p>
        </w:tc>
      </w:tr>
      <w:tr w14:paraId="2A2A5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3AC2565">
            <w:pPr>
              <w:spacing w:line="360" w:lineRule="exact"/>
              <w:jc w:val="center"/>
              <w:rPr>
                <w:rFonts w:ascii="宋体" w:hAnsi="宋体" w:eastAsia="宋体" w:cs="Times New Roman"/>
                <w:color w:val="auto"/>
              </w:rPr>
            </w:pPr>
          </w:p>
        </w:tc>
        <w:tc>
          <w:tcPr>
            <w:tcW w:w="1206" w:type="dxa"/>
            <w:vAlign w:val="center"/>
          </w:tcPr>
          <w:p w14:paraId="4E233F86">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3948DB7C">
            <w:pPr>
              <w:spacing w:line="360" w:lineRule="exact"/>
              <w:jc w:val="center"/>
              <w:rPr>
                <w:rFonts w:ascii="宋体" w:hAnsi="宋体" w:eastAsia="宋体" w:cs="Times New Roman"/>
                <w:color w:val="auto"/>
              </w:rPr>
            </w:pPr>
            <w:r>
              <w:rPr>
                <w:rFonts w:ascii="宋体" w:hAnsi="宋体" w:eastAsia="宋体" w:cs="Times New Roman"/>
                <w:color w:val="auto"/>
              </w:rPr>
              <w:t xml:space="preserve">-0.886 </w:t>
            </w:r>
          </w:p>
        </w:tc>
        <w:tc>
          <w:tcPr>
            <w:tcW w:w="1447" w:type="dxa"/>
            <w:vAlign w:val="center"/>
          </w:tcPr>
          <w:p w14:paraId="3B18FBCA">
            <w:pPr>
              <w:spacing w:line="360" w:lineRule="exact"/>
              <w:jc w:val="center"/>
              <w:rPr>
                <w:rFonts w:ascii="宋体" w:hAnsi="宋体" w:eastAsia="宋体" w:cs="Times New Roman"/>
                <w:color w:val="auto"/>
              </w:rPr>
            </w:pPr>
            <w:r>
              <w:rPr>
                <w:rFonts w:ascii="宋体" w:hAnsi="宋体" w:eastAsia="宋体" w:cs="Times New Roman"/>
                <w:color w:val="auto"/>
              </w:rPr>
              <w:t xml:space="preserve">21.645 </w:t>
            </w:r>
          </w:p>
        </w:tc>
        <w:tc>
          <w:tcPr>
            <w:tcW w:w="1590" w:type="dxa"/>
            <w:vMerge w:val="continue"/>
            <w:vAlign w:val="center"/>
          </w:tcPr>
          <w:p w14:paraId="488042C2">
            <w:pPr>
              <w:spacing w:line="360" w:lineRule="exact"/>
              <w:jc w:val="center"/>
              <w:rPr>
                <w:rFonts w:ascii="宋体" w:hAnsi="宋体" w:eastAsia="宋体" w:cs="Times New Roman"/>
                <w:color w:val="auto"/>
              </w:rPr>
            </w:pPr>
          </w:p>
        </w:tc>
        <w:tc>
          <w:tcPr>
            <w:tcW w:w="1022" w:type="dxa"/>
            <w:vMerge w:val="continue"/>
            <w:vAlign w:val="center"/>
          </w:tcPr>
          <w:p w14:paraId="7B8DE62A">
            <w:pPr>
              <w:spacing w:line="360" w:lineRule="exact"/>
              <w:jc w:val="center"/>
              <w:rPr>
                <w:rFonts w:ascii="宋体" w:hAnsi="宋体" w:eastAsia="宋体" w:cs="Times New Roman"/>
                <w:color w:val="auto"/>
              </w:rPr>
            </w:pPr>
          </w:p>
        </w:tc>
        <w:tc>
          <w:tcPr>
            <w:tcW w:w="839" w:type="dxa"/>
            <w:vMerge w:val="continue"/>
            <w:vAlign w:val="center"/>
          </w:tcPr>
          <w:p w14:paraId="0DC3C35C">
            <w:pPr>
              <w:spacing w:line="360" w:lineRule="exact"/>
              <w:jc w:val="center"/>
              <w:rPr>
                <w:rFonts w:ascii="宋体" w:hAnsi="宋体" w:eastAsia="宋体" w:cs="Times New Roman"/>
                <w:color w:val="auto"/>
              </w:rPr>
            </w:pPr>
          </w:p>
        </w:tc>
      </w:tr>
      <w:tr w14:paraId="48F65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360C62C7">
            <w:pPr>
              <w:spacing w:line="360" w:lineRule="exact"/>
              <w:jc w:val="center"/>
              <w:rPr>
                <w:rFonts w:ascii="宋体" w:hAnsi="宋体" w:eastAsia="宋体" w:cs="Times New Roman"/>
                <w:color w:val="auto"/>
              </w:rPr>
            </w:pPr>
          </w:p>
        </w:tc>
        <w:tc>
          <w:tcPr>
            <w:tcW w:w="1206" w:type="dxa"/>
            <w:vAlign w:val="center"/>
          </w:tcPr>
          <w:p w14:paraId="14363F17">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001F242F">
            <w:pPr>
              <w:spacing w:line="360" w:lineRule="exact"/>
              <w:jc w:val="center"/>
              <w:rPr>
                <w:rFonts w:ascii="宋体" w:hAnsi="宋体" w:eastAsia="宋体" w:cs="Times New Roman"/>
                <w:color w:val="auto"/>
              </w:rPr>
            </w:pPr>
            <w:r>
              <w:rPr>
                <w:rFonts w:ascii="宋体" w:hAnsi="宋体" w:eastAsia="宋体" w:cs="Times New Roman"/>
                <w:color w:val="auto"/>
              </w:rPr>
              <w:t xml:space="preserve">-0.583 </w:t>
            </w:r>
          </w:p>
        </w:tc>
        <w:tc>
          <w:tcPr>
            <w:tcW w:w="1447" w:type="dxa"/>
            <w:vAlign w:val="center"/>
          </w:tcPr>
          <w:p w14:paraId="45BBD5D9">
            <w:pPr>
              <w:spacing w:line="360" w:lineRule="exact"/>
              <w:jc w:val="center"/>
              <w:rPr>
                <w:rFonts w:ascii="宋体" w:hAnsi="宋体" w:eastAsia="宋体" w:cs="Times New Roman"/>
                <w:color w:val="auto"/>
              </w:rPr>
            </w:pPr>
            <w:r>
              <w:rPr>
                <w:rFonts w:ascii="宋体" w:hAnsi="宋体" w:eastAsia="宋体" w:cs="Times New Roman"/>
                <w:color w:val="auto"/>
              </w:rPr>
              <w:t xml:space="preserve">14.255 </w:t>
            </w:r>
          </w:p>
        </w:tc>
        <w:tc>
          <w:tcPr>
            <w:tcW w:w="1590" w:type="dxa"/>
            <w:vMerge w:val="continue"/>
            <w:vAlign w:val="center"/>
          </w:tcPr>
          <w:p w14:paraId="5207B734">
            <w:pPr>
              <w:spacing w:line="360" w:lineRule="exact"/>
              <w:jc w:val="center"/>
              <w:rPr>
                <w:rFonts w:ascii="宋体" w:hAnsi="宋体" w:eastAsia="宋体" w:cs="Times New Roman"/>
                <w:color w:val="auto"/>
              </w:rPr>
            </w:pPr>
          </w:p>
        </w:tc>
        <w:tc>
          <w:tcPr>
            <w:tcW w:w="1022" w:type="dxa"/>
            <w:vMerge w:val="continue"/>
            <w:vAlign w:val="center"/>
          </w:tcPr>
          <w:p w14:paraId="0D0C3829">
            <w:pPr>
              <w:spacing w:line="360" w:lineRule="exact"/>
              <w:jc w:val="center"/>
              <w:rPr>
                <w:rFonts w:ascii="宋体" w:hAnsi="宋体" w:eastAsia="宋体" w:cs="Times New Roman"/>
                <w:color w:val="auto"/>
              </w:rPr>
            </w:pPr>
          </w:p>
        </w:tc>
        <w:tc>
          <w:tcPr>
            <w:tcW w:w="839" w:type="dxa"/>
            <w:vMerge w:val="continue"/>
            <w:vAlign w:val="center"/>
          </w:tcPr>
          <w:p w14:paraId="28D33072">
            <w:pPr>
              <w:spacing w:line="360" w:lineRule="exact"/>
              <w:jc w:val="center"/>
              <w:rPr>
                <w:rFonts w:ascii="宋体" w:hAnsi="宋体" w:eastAsia="宋体" w:cs="Times New Roman"/>
                <w:color w:val="auto"/>
              </w:rPr>
            </w:pPr>
          </w:p>
        </w:tc>
      </w:tr>
      <w:tr w14:paraId="28262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2E83145B">
            <w:pPr>
              <w:jc w:val="center"/>
              <w:textAlignment w:val="center"/>
              <w:rPr>
                <w:rFonts w:ascii="宋体" w:hAnsi="宋体" w:eastAsia="宋体" w:cs="Times New Roman"/>
                <w:color w:val="auto"/>
              </w:rPr>
            </w:pPr>
            <w:r>
              <w:rPr>
                <w:rFonts w:ascii="宋体" w:hAnsi="宋体" w:eastAsia="宋体" w:cs="Times New Roman"/>
                <w:color w:val="auto"/>
                <w:lang w:bidi="ar"/>
              </w:rPr>
              <w:t>蒙古屯（林家、潜水）</w:t>
            </w:r>
          </w:p>
        </w:tc>
        <w:tc>
          <w:tcPr>
            <w:tcW w:w="1206" w:type="dxa"/>
            <w:vAlign w:val="center"/>
          </w:tcPr>
          <w:p w14:paraId="75B0B5A8">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1735DCA1">
            <w:pPr>
              <w:spacing w:line="360" w:lineRule="exact"/>
              <w:jc w:val="center"/>
              <w:rPr>
                <w:rFonts w:ascii="宋体" w:hAnsi="宋体" w:eastAsia="宋体" w:cs="Times New Roman"/>
                <w:color w:val="auto"/>
              </w:rPr>
            </w:pPr>
            <w:r>
              <w:rPr>
                <w:rFonts w:ascii="宋体" w:hAnsi="宋体" w:eastAsia="宋体" w:cs="Times New Roman"/>
                <w:color w:val="auto"/>
              </w:rPr>
              <w:t xml:space="preserve">0.066 </w:t>
            </w:r>
          </w:p>
        </w:tc>
        <w:tc>
          <w:tcPr>
            <w:tcW w:w="1447" w:type="dxa"/>
            <w:vAlign w:val="center"/>
          </w:tcPr>
          <w:p w14:paraId="085DC3DD">
            <w:pPr>
              <w:spacing w:line="360" w:lineRule="exact"/>
              <w:jc w:val="center"/>
              <w:rPr>
                <w:rFonts w:ascii="宋体" w:hAnsi="宋体" w:eastAsia="宋体" w:cs="Times New Roman"/>
                <w:color w:val="auto"/>
              </w:rPr>
            </w:pPr>
            <w:r>
              <w:rPr>
                <w:rFonts w:ascii="宋体" w:hAnsi="宋体" w:eastAsia="宋体" w:cs="Times New Roman"/>
                <w:color w:val="auto"/>
              </w:rPr>
              <w:t xml:space="preserve">1.170 </w:t>
            </w:r>
          </w:p>
        </w:tc>
        <w:tc>
          <w:tcPr>
            <w:tcW w:w="1590" w:type="dxa"/>
            <w:vMerge w:val="restart"/>
            <w:vAlign w:val="center"/>
          </w:tcPr>
          <w:p w14:paraId="102FB1AE">
            <w:pPr>
              <w:spacing w:line="360" w:lineRule="exact"/>
              <w:jc w:val="center"/>
              <w:rPr>
                <w:rFonts w:ascii="宋体" w:hAnsi="宋体" w:eastAsia="宋体" w:cs="Times New Roman"/>
                <w:color w:val="auto"/>
              </w:rPr>
            </w:pPr>
            <w:r>
              <w:rPr>
                <w:rFonts w:ascii="宋体" w:hAnsi="宋体" w:eastAsia="宋体" w:cs="Times New Roman"/>
                <w:color w:val="auto"/>
              </w:rPr>
              <w:t xml:space="preserve">5.608 </w:t>
            </w:r>
          </w:p>
        </w:tc>
        <w:tc>
          <w:tcPr>
            <w:tcW w:w="1022" w:type="dxa"/>
            <w:vMerge w:val="restart"/>
            <w:vAlign w:val="center"/>
          </w:tcPr>
          <w:p w14:paraId="10C02320">
            <w:pPr>
              <w:spacing w:line="360" w:lineRule="exact"/>
              <w:jc w:val="center"/>
              <w:rPr>
                <w:rFonts w:ascii="宋体" w:hAnsi="宋体" w:eastAsia="宋体" w:cs="Times New Roman"/>
                <w:color w:val="auto"/>
              </w:rPr>
            </w:pPr>
            <w:r>
              <w:rPr>
                <w:rFonts w:ascii="宋体" w:hAnsi="宋体" w:eastAsia="宋体" w:cs="Times New Roman"/>
                <w:color w:val="auto"/>
              </w:rPr>
              <w:t xml:space="preserve">0.01 </w:t>
            </w:r>
          </w:p>
        </w:tc>
        <w:tc>
          <w:tcPr>
            <w:tcW w:w="839" w:type="dxa"/>
            <w:vMerge w:val="restart"/>
            <w:vAlign w:val="center"/>
          </w:tcPr>
          <w:p w14:paraId="36103DF8">
            <w:pPr>
              <w:spacing w:line="360" w:lineRule="exact"/>
              <w:jc w:val="center"/>
              <w:rPr>
                <w:rFonts w:ascii="宋体" w:hAnsi="宋体" w:eastAsia="宋体" w:cs="Times New Roman"/>
                <w:color w:val="auto"/>
              </w:rPr>
            </w:pPr>
            <w:r>
              <w:rPr>
                <w:rFonts w:ascii="宋体" w:hAnsi="宋体" w:eastAsia="宋体" w:cs="Times New Roman"/>
                <w:color w:val="auto"/>
              </w:rPr>
              <w:t xml:space="preserve">0.41 </w:t>
            </w:r>
          </w:p>
        </w:tc>
      </w:tr>
      <w:tr w14:paraId="19EFE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AC7A7CE">
            <w:pPr>
              <w:spacing w:line="360" w:lineRule="exact"/>
              <w:jc w:val="center"/>
              <w:rPr>
                <w:rFonts w:ascii="宋体" w:hAnsi="宋体" w:eastAsia="宋体" w:cs="Times New Roman"/>
                <w:color w:val="auto"/>
              </w:rPr>
            </w:pPr>
          </w:p>
        </w:tc>
        <w:tc>
          <w:tcPr>
            <w:tcW w:w="1206" w:type="dxa"/>
            <w:vAlign w:val="center"/>
          </w:tcPr>
          <w:p w14:paraId="387D7F66">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418D45AB">
            <w:pPr>
              <w:spacing w:line="360" w:lineRule="exact"/>
              <w:jc w:val="center"/>
              <w:rPr>
                <w:rFonts w:ascii="宋体" w:hAnsi="宋体" w:eastAsia="宋体" w:cs="Times New Roman"/>
                <w:color w:val="auto"/>
              </w:rPr>
            </w:pPr>
            <w:r>
              <w:rPr>
                <w:rFonts w:ascii="宋体" w:hAnsi="宋体" w:eastAsia="宋体" w:cs="Times New Roman"/>
                <w:color w:val="auto"/>
              </w:rPr>
              <w:t xml:space="preserve">2.378 </w:t>
            </w:r>
          </w:p>
        </w:tc>
        <w:tc>
          <w:tcPr>
            <w:tcW w:w="1447" w:type="dxa"/>
            <w:vAlign w:val="center"/>
          </w:tcPr>
          <w:p w14:paraId="63B69440">
            <w:pPr>
              <w:spacing w:line="360" w:lineRule="exact"/>
              <w:jc w:val="center"/>
              <w:rPr>
                <w:rFonts w:ascii="宋体" w:hAnsi="宋体" w:eastAsia="宋体" w:cs="Times New Roman"/>
                <w:color w:val="auto"/>
              </w:rPr>
            </w:pPr>
            <w:r>
              <w:rPr>
                <w:rFonts w:ascii="宋体" w:hAnsi="宋体" w:eastAsia="宋体" w:cs="Times New Roman"/>
                <w:color w:val="auto"/>
              </w:rPr>
              <w:t xml:space="preserve">42.408 </w:t>
            </w:r>
          </w:p>
        </w:tc>
        <w:tc>
          <w:tcPr>
            <w:tcW w:w="1590" w:type="dxa"/>
            <w:vMerge w:val="continue"/>
            <w:vAlign w:val="center"/>
          </w:tcPr>
          <w:p w14:paraId="6E624100">
            <w:pPr>
              <w:spacing w:line="360" w:lineRule="exact"/>
              <w:jc w:val="center"/>
              <w:rPr>
                <w:rFonts w:ascii="宋体" w:hAnsi="宋体" w:eastAsia="宋体" w:cs="Times New Roman"/>
                <w:color w:val="auto"/>
              </w:rPr>
            </w:pPr>
          </w:p>
        </w:tc>
        <w:tc>
          <w:tcPr>
            <w:tcW w:w="1022" w:type="dxa"/>
            <w:vMerge w:val="continue"/>
            <w:vAlign w:val="center"/>
          </w:tcPr>
          <w:p w14:paraId="4A649077">
            <w:pPr>
              <w:spacing w:line="360" w:lineRule="exact"/>
              <w:jc w:val="center"/>
              <w:rPr>
                <w:rFonts w:ascii="宋体" w:hAnsi="宋体" w:eastAsia="宋体" w:cs="Times New Roman"/>
                <w:color w:val="auto"/>
              </w:rPr>
            </w:pPr>
          </w:p>
        </w:tc>
        <w:tc>
          <w:tcPr>
            <w:tcW w:w="839" w:type="dxa"/>
            <w:vMerge w:val="continue"/>
            <w:vAlign w:val="center"/>
          </w:tcPr>
          <w:p w14:paraId="0F06FBA0">
            <w:pPr>
              <w:spacing w:line="360" w:lineRule="exact"/>
              <w:jc w:val="center"/>
              <w:rPr>
                <w:rFonts w:ascii="宋体" w:hAnsi="宋体" w:eastAsia="宋体" w:cs="Times New Roman"/>
                <w:color w:val="auto"/>
              </w:rPr>
            </w:pPr>
          </w:p>
        </w:tc>
      </w:tr>
      <w:tr w14:paraId="7FC2D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246A150A">
            <w:pPr>
              <w:spacing w:line="360" w:lineRule="exact"/>
              <w:jc w:val="center"/>
              <w:rPr>
                <w:rFonts w:ascii="宋体" w:hAnsi="宋体" w:eastAsia="宋体" w:cs="Times New Roman"/>
                <w:color w:val="auto"/>
              </w:rPr>
            </w:pPr>
          </w:p>
        </w:tc>
        <w:tc>
          <w:tcPr>
            <w:tcW w:w="1206" w:type="dxa"/>
            <w:vAlign w:val="center"/>
          </w:tcPr>
          <w:p w14:paraId="14B5DDA1">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2004176C">
            <w:pPr>
              <w:spacing w:line="360" w:lineRule="exact"/>
              <w:jc w:val="center"/>
              <w:rPr>
                <w:rFonts w:ascii="宋体" w:hAnsi="宋体" w:eastAsia="宋体" w:cs="Times New Roman"/>
                <w:color w:val="auto"/>
              </w:rPr>
            </w:pPr>
            <w:r>
              <w:rPr>
                <w:rFonts w:ascii="宋体" w:hAnsi="宋体" w:eastAsia="宋体" w:cs="Times New Roman"/>
                <w:color w:val="auto"/>
              </w:rPr>
              <w:t xml:space="preserve">2.415 </w:t>
            </w:r>
          </w:p>
        </w:tc>
        <w:tc>
          <w:tcPr>
            <w:tcW w:w="1447" w:type="dxa"/>
            <w:vAlign w:val="center"/>
          </w:tcPr>
          <w:p w14:paraId="58034AF9">
            <w:pPr>
              <w:spacing w:line="360" w:lineRule="exact"/>
              <w:jc w:val="center"/>
              <w:rPr>
                <w:rFonts w:ascii="宋体" w:hAnsi="宋体" w:eastAsia="宋体" w:cs="Times New Roman"/>
                <w:color w:val="auto"/>
              </w:rPr>
            </w:pPr>
            <w:r>
              <w:rPr>
                <w:rFonts w:ascii="宋体" w:hAnsi="宋体" w:eastAsia="宋体" w:cs="Times New Roman"/>
                <w:color w:val="auto"/>
              </w:rPr>
              <w:t xml:space="preserve">43.063 </w:t>
            </w:r>
          </w:p>
        </w:tc>
        <w:tc>
          <w:tcPr>
            <w:tcW w:w="1590" w:type="dxa"/>
            <w:vMerge w:val="continue"/>
            <w:vAlign w:val="center"/>
          </w:tcPr>
          <w:p w14:paraId="116009E7">
            <w:pPr>
              <w:spacing w:line="360" w:lineRule="exact"/>
              <w:jc w:val="center"/>
              <w:rPr>
                <w:rFonts w:ascii="宋体" w:hAnsi="宋体" w:eastAsia="宋体" w:cs="Times New Roman"/>
                <w:color w:val="auto"/>
              </w:rPr>
            </w:pPr>
          </w:p>
        </w:tc>
        <w:tc>
          <w:tcPr>
            <w:tcW w:w="1022" w:type="dxa"/>
            <w:vMerge w:val="continue"/>
            <w:vAlign w:val="center"/>
          </w:tcPr>
          <w:p w14:paraId="2C68956C">
            <w:pPr>
              <w:spacing w:line="360" w:lineRule="exact"/>
              <w:jc w:val="center"/>
              <w:rPr>
                <w:rFonts w:ascii="宋体" w:hAnsi="宋体" w:eastAsia="宋体" w:cs="Times New Roman"/>
                <w:color w:val="auto"/>
              </w:rPr>
            </w:pPr>
          </w:p>
        </w:tc>
        <w:tc>
          <w:tcPr>
            <w:tcW w:w="839" w:type="dxa"/>
            <w:vMerge w:val="continue"/>
            <w:vAlign w:val="center"/>
          </w:tcPr>
          <w:p w14:paraId="4339140B">
            <w:pPr>
              <w:spacing w:line="360" w:lineRule="exact"/>
              <w:jc w:val="center"/>
              <w:rPr>
                <w:rFonts w:ascii="宋体" w:hAnsi="宋体" w:eastAsia="宋体" w:cs="Times New Roman"/>
                <w:color w:val="auto"/>
              </w:rPr>
            </w:pPr>
          </w:p>
        </w:tc>
      </w:tr>
      <w:tr w14:paraId="25BAF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01600EF">
            <w:pPr>
              <w:spacing w:line="360" w:lineRule="exact"/>
              <w:jc w:val="center"/>
              <w:rPr>
                <w:rFonts w:ascii="宋体" w:hAnsi="宋体" w:eastAsia="宋体" w:cs="Times New Roman"/>
                <w:color w:val="auto"/>
              </w:rPr>
            </w:pPr>
          </w:p>
        </w:tc>
        <w:tc>
          <w:tcPr>
            <w:tcW w:w="1206" w:type="dxa"/>
            <w:vAlign w:val="center"/>
          </w:tcPr>
          <w:p w14:paraId="172ECA70">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7918D6AB">
            <w:pPr>
              <w:spacing w:line="360" w:lineRule="exact"/>
              <w:jc w:val="center"/>
              <w:rPr>
                <w:rFonts w:ascii="宋体" w:hAnsi="宋体" w:eastAsia="宋体" w:cs="Times New Roman"/>
                <w:color w:val="auto"/>
              </w:rPr>
            </w:pPr>
            <w:r>
              <w:rPr>
                <w:rFonts w:ascii="宋体" w:hAnsi="宋体" w:eastAsia="宋体" w:cs="Times New Roman"/>
                <w:color w:val="auto"/>
              </w:rPr>
              <w:t xml:space="preserve">0.749 </w:t>
            </w:r>
          </w:p>
        </w:tc>
        <w:tc>
          <w:tcPr>
            <w:tcW w:w="1447" w:type="dxa"/>
            <w:vAlign w:val="center"/>
          </w:tcPr>
          <w:p w14:paraId="48F04FDD">
            <w:pPr>
              <w:spacing w:line="360" w:lineRule="exact"/>
              <w:jc w:val="center"/>
              <w:rPr>
                <w:rFonts w:ascii="宋体" w:hAnsi="宋体" w:eastAsia="宋体" w:cs="Times New Roman"/>
                <w:color w:val="auto"/>
              </w:rPr>
            </w:pPr>
            <w:r>
              <w:rPr>
                <w:rFonts w:ascii="宋体" w:hAnsi="宋体" w:eastAsia="宋体" w:cs="Times New Roman"/>
                <w:color w:val="auto"/>
              </w:rPr>
              <w:t xml:space="preserve">13.359 </w:t>
            </w:r>
          </w:p>
        </w:tc>
        <w:tc>
          <w:tcPr>
            <w:tcW w:w="1590" w:type="dxa"/>
            <w:vMerge w:val="continue"/>
            <w:vAlign w:val="center"/>
          </w:tcPr>
          <w:p w14:paraId="4634A0EF">
            <w:pPr>
              <w:spacing w:line="360" w:lineRule="exact"/>
              <w:jc w:val="center"/>
              <w:rPr>
                <w:rFonts w:ascii="宋体" w:hAnsi="宋体" w:eastAsia="宋体" w:cs="Times New Roman"/>
                <w:color w:val="auto"/>
              </w:rPr>
            </w:pPr>
          </w:p>
        </w:tc>
        <w:tc>
          <w:tcPr>
            <w:tcW w:w="1022" w:type="dxa"/>
            <w:vMerge w:val="continue"/>
            <w:vAlign w:val="center"/>
          </w:tcPr>
          <w:p w14:paraId="6C0ECDE2">
            <w:pPr>
              <w:spacing w:line="360" w:lineRule="exact"/>
              <w:jc w:val="center"/>
              <w:rPr>
                <w:rFonts w:ascii="宋体" w:hAnsi="宋体" w:eastAsia="宋体" w:cs="Times New Roman"/>
                <w:color w:val="auto"/>
              </w:rPr>
            </w:pPr>
          </w:p>
        </w:tc>
        <w:tc>
          <w:tcPr>
            <w:tcW w:w="839" w:type="dxa"/>
            <w:vMerge w:val="continue"/>
            <w:vAlign w:val="center"/>
          </w:tcPr>
          <w:p w14:paraId="0EFD47DF">
            <w:pPr>
              <w:spacing w:line="360" w:lineRule="exact"/>
              <w:jc w:val="center"/>
              <w:rPr>
                <w:rFonts w:ascii="宋体" w:hAnsi="宋体" w:eastAsia="宋体" w:cs="Times New Roman"/>
                <w:color w:val="auto"/>
              </w:rPr>
            </w:pPr>
          </w:p>
        </w:tc>
      </w:tr>
      <w:tr w14:paraId="4F425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10BE5983">
            <w:pPr>
              <w:spacing w:line="360" w:lineRule="exact"/>
              <w:jc w:val="center"/>
              <w:rPr>
                <w:rFonts w:ascii="宋体" w:hAnsi="宋体" w:eastAsia="宋体" w:cs="Times New Roman"/>
                <w:color w:val="auto"/>
              </w:rPr>
            </w:pPr>
          </w:p>
        </w:tc>
        <w:tc>
          <w:tcPr>
            <w:tcW w:w="1206" w:type="dxa"/>
            <w:vAlign w:val="center"/>
          </w:tcPr>
          <w:p w14:paraId="717CC03E">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59E7F991">
            <w:pPr>
              <w:spacing w:line="360" w:lineRule="exact"/>
              <w:jc w:val="center"/>
              <w:rPr>
                <w:rFonts w:ascii="宋体" w:hAnsi="宋体" w:eastAsia="宋体" w:cs="Times New Roman"/>
                <w:color w:val="auto"/>
              </w:rPr>
            </w:pPr>
            <w:r>
              <w:rPr>
                <w:rFonts w:ascii="宋体" w:hAnsi="宋体" w:eastAsia="宋体" w:cs="Times New Roman"/>
                <w:color w:val="auto"/>
              </w:rPr>
              <w:t xml:space="preserve">-3.459 </w:t>
            </w:r>
          </w:p>
        </w:tc>
        <w:tc>
          <w:tcPr>
            <w:tcW w:w="1447" w:type="dxa"/>
            <w:vAlign w:val="center"/>
          </w:tcPr>
          <w:p w14:paraId="335E1102">
            <w:pPr>
              <w:spacing w:line="360" w:lineRule="exact"/>
              <w:jc w:val="center"/>
              <w:rPr>
                <w:rFonts w:ascii="宋体" w:hAnsi="宋体" w:eastAsia="宋体" w:cs="Times New Roman"/>
                <w:color w:val="auto"/>
              </w:rPr>
            </w:pPr>
            <w:r>
              <w:rPr>
                <w:rFonts w:ascii="宋体" w:hAnsi="宋体" w:eastAsia="宋体" w:cs="Times New Roman"/>
                <w:color w:val="auto"/>
              </w:rPr>
              <w:t xml:space="preserve">61.669 </w:t>
            </w:r>
          </w:p>
        </w:tc>
        <w:tc>
          <w:tcPr>
            <w:tcW w:w="1590" w:type="dxa"/>
            <w:vMerge w:val="restart"/>
            <w:vAlign w:val="center"/>
          </w:tcPr>
          <w:p w14:paraId="3ABF51B1">
            <w:pPr>
              <w:spacing w:line="360" w:lineRule="exact"/>
              <w:jc w:val="center"/>
              <w:rPr>
                <w:rFonts w:ascii="宋体" w:hAnsi="宋体" w:eastAsia="宋体" w:cs="Times New Roman"/>
                <w:color w:val="auto"/>
              </w:rPr>
            </w:pPr>
            <w:r>
              <w:rPr>
                <w:rFonts w:ascii="宋体" w:hAnsi="宋体" w:eastAsia="宋体" w:cs="Times New Roman"/>
                <w:color w:val="auto"/>
              </w:rPr>
              <w:t xml:space="preserve">5.609 </w:t>
            </w:r>
          </w:p>
        </w:tc>
        <w:tc>
          <w:tcPr>
            <w:tcW w:w="1022" w:type="dxa"/>
            <w:vMerge w:val="continue"/>
            <w:vAlign w:val="center"/>
          </w:tcPr>
          <w:p w14:paraId="58ADD694">
            <w:pPr>
              <w:spacing w:line="360" w:lineRule="exact"/>
              <w:jc w:val="center"/>
              <w:rPr>
                <w:rFonts w:ascii="宋体" w:hAnsi="宋体" w:eastAsia="宋体" w:cs="Times New Roman"/>
                <w:color w:val="auto"/>
              </w:rPr>
            </w:pPr>
          </w:p>
        </w:tc>
        <w:tc>
          <w:tcPr>
            <w:tcW w:w="839" w:type="dxa"/>
            <w:vMerge w:val="continue"/>
            <w:vAlign w:val="center"/>
          </w:tcPr>
          <w:p w14:paraId="200DDF75">
            <w:pPr>
              <w:spacing w:line="360" w:lineRule="exact"/>
              <w:jc w:val="center"/>
              <w:rPr>
                <w:rFonts w:ascii="宋体" w:hAnsi="宋体" w:eastAsia="宋体" w:cs="Times New Roman"/>
                <w:color w:val="auto"/>
              </w:rPr>
            </w:pPr>
          </w:p>
        </w:tc>
      </w:tr>
      <w:tr w14:paraId="0A4B6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3E11D6DA">
            <w:pPr>
              <w:spacing w:line="360" w:lineRule="exact"/>
              <w:jc w:val="center"/>
              <w:rPr>
                <w:rFonts w:ascii="宋体" w:hAnsi="宋体" w:eastAsia="宋体" w:cs="Times New Roman"/>
                <w:color w:val="auto"/>
              </w:rPr>
            </w:pPr>
          </w:p>
        </w:tc>
        <w:tc>
          <w:tcPr>
            <w:tcW w:w="1206" w:type="dxa"/>
            <w:vAlign w:val="center"/>
          </w:tcPr>
          <w:p w14:paraId="4D6C4595">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4DB63D8B">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6363E439">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0A3739AC">
            <w:pPr>
              <w:spacing w:line="360" w:lineRule="exact"/>
              <w:jc w:val="center"/>
              <w:rPr>
                <w:rFonts w:ascii="宋体" w:hAnsi="宋体" w:eastAsia="宋体" w:cs="Times New Roman"/>
                <w:color w:val="auto"/>
              </w:rPr>
            </w:pPr>
          </w:p>
        </w:tc>
        <w:tc>
          <w:tcPr>
            <w:tcW w:w="1022" w:type="dxa"/>
            <w:vMerge w:val="continue"/>
            <w:vAlign w:val="center"/>
          </w:tcPr>
          <w:p w14:paraId="03AC4298">
            <w:pPr>
              <w:spacing w:line="360" w:lineRule="exact"/>
              <w:jc w:val="center"/>
              <w:rPr>
                <w:rFonts w:ascii="宋体" w:hAnsi="宋体" w:eastAsia="宋体" w:cs="Times New Roman"/>
                <w:color w:val="auto"/>
              </w:rPr>
            </w:pPr>
          </w:p>
        </w:tc>
        <w:tc>
          <w:tcPr>
            <w:tcW w:w="839" w:type="dxa"/>
            <w:vMerge w:val="continue"/>
            <w:vAlign w:val="center"/>
          </w:tcPr>
          <w:p w14:paraId="02838329">
            <w:pPr>
              <w:spacing w:line="360" w:lineRule="exact"/>
              <w:jc w:val="center"/>
              <w:rPr>
                <w:rFonts w:ascii="宋体" w:hAnsi="宋体" w:eastAsia="宋体" w:cs="Times New Roman"/>
                <w:color w:val="auto"/>
              </w:rPr>
            </w:pPr>
          </w:p>
        </w:tc>
      </w:tr>
      <w:tr w14:paraId="54C71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0A166B89">
            <w:pPr>
              <w:spacing w:line="360" w:lineRule="exact"/>
              <w:jc w:val="center"/>
              <w:rPr>
                <w:rFonts w:ascii="宋体" w:hAnsi="宋体" w:eastAsia="宋体" w:cs="Times New Roman"/>
                <w:color w:val="auto"/>
              </w:rPr>
            </w:pPr>
          </w:p>
        </w:tc>
        <w:tc>
          <w:tcPr>
            <w:tcW w:w="1206" w:type="dxa"/>
            <w:vAlign w:val="center"/>
          </w:tcPr>
          <w:p w14:paraId="19282135">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338EAC8C">
            <w:pPr>
              <w:spacing w:line="360" w:lineRule="exact"/>
              <w:jc w:val="center"/>
              <w:rPr>
                <w:rFonts w:ascii="宋体" w:hAnsi="宋体" w:eastAsia="宋体" w:cs="Times New Roman"/>
                <w:color w:val="auto"/>
              </w:rPr>
            </w:pPr>
            <w:r>
              <w:rPr>
                <w:rFonts w:ascii="宋体" w:hAnsi="宋体" w:eastAsia="宋体" w:cs="Times New Roman"/>
                <w:color w:val="auto"/>
              </w:rPr>
              <w:t xml:space="preserve">-1.400 </w:t>
            </w:r>
          </w:p>
        </w:tc>
        <w:tc>
          <w:tcPr>
            <w:tcW w:w="1447" w:type="dxa"/>
            <w:vAlign w:val="center"/>
          </w:tcPr>
          <w:p w14:paraId="037E55F3">
            <w:pPr>
              <w:spacing w:line="360" w:lineRule="exact"/>
              <w:jc w:val="center"/>
              <w:rPr>
                <w:rFonts w:ascii="宋体" w:hAnsi="宋体" w:eastAsia="宋体" w:cs="Times New Roman"/>
                <w:color w:val="auto"/>
              </w:rPr>
            </w:pPr>
            <w:r>
              <w:rPr>
                <w:rFonts w:ascii="宋体" w:hAnsi="宋体" w:eastAsia="宋体" w:cs="Times New Roman"/>
                <w:color w:val="auto"/>
              </w:rPr>
              <w:t xml:space="preserve">24.960 </w:t>
            </w:r>
          </w:p>
        </w:tc>
        <w:tc>
          <w:tcPr>
            <w:tcW w:w="1590" w:type="dxa"/>
            <w:vMerge w:val="continue"/>
            <w:vAlign w:val="center"/>
          </w:tcPr>
          <w:p w14:paraId="20B3EBA6">
            <w:pPr>
              <w:spacing w:line="360" w:lineRule="exact"/>
              <w:jc w:val="center"/>
              <w:rPr>
                <w:rFonts w:ascii="宋体" w:hAnsi="宋体" w:eastAsia="宋体" w:cs="Times New Roman"/>
                <w:color w:val="auto"/>
              </w:rPr>
            </w:pPr>
          </w:p>
        </w:tc>
        <w:tc>
          <w:tcPr>
            <w:tcW w:w="1022" w:type="dxa"/>
            <w:vMerge w:val="continue"/>
            <w:vAlign w:val="center"/>
          </w:tcPr>
          <w:p w14:paraId="316404C4">
            <w:pPr>
              <w:spacing w:line="360" w:lineRule="exact"/>
              <w:jc w:val="center"/>
              <w:rPr>
                <w:rFonts w:ascii="宋体" w:hAnsi="宋体" w:eastAsia="宋体" w:cs="Times New Roman"/>
                <w:color w:val="auto"/>
              </w:rPr>
            </w:pPr>
          </w:p>
        </w:tc>
        <w:tc>
          <w:tcPr>
            <w:tcW w:w="839" w:type="dxa"/>
            <w:vMerge w:val="continue"/>
            <w:vAlign w:val="center"/>
          </w:tcPr>
          <w:p w14:paraId="6517954A">
            <w:pPr>
              <w:spacing w:line="360" w:lineRule="exact"/>
              <w:jc w:val="center"/>
              <w:rPr>
                <w:rFonts w:ascii="宋体" w:hAnsi="宋体" w:eastAsia="宋体" w:cs="Times New Roman"/>
                <w:color w:val="auto"/>
              </w:rPr>
            </w:pPr>
          </w:p>
        </w:tc>
      </w:tr>
      <w:tr w14:paraId="255F6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5306A2B">
            <w:pPr>
              <w:spacing w:line="360" w:lineRule="exact"/>
              <w:jc w:val="center"/>
              <w:rPr>
                <w:rFonts w:ascii="宋体" w:hAnsi="宋体" w:eastAsia="宋体" w:cs="Times New Roman"/>
                <w:color w:val="auto"/>
              </w:rPr>
            </w:pPr>
          </w:p>
        </w:tc>
        <w:tc>
          <w:tcPr>
            <w:tcW w:w="1206" w:type="dxa"/>
            <w:vAlign w:val="center"/>
          </w:tcPr>
          <w:p w14:paraId="5D65E489">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28FD51C9">
            <w:pPr>
              <w:spacing w:line="360" w:lineRule="exact"/>
              <w:jc w:val="center"/>
              <w:rPr>
                <w:rFonts w:ascii="宋体" w:hAnsi="宋体" w:eastAsia="宋体" w:cs="Times New Roman"/>
                <w:color w:val="auto"/>
              </w:rPr>
            </w:pPr>
            <w:r>
              <w:rPr>
                <w:rFonts w:ascii="宋体" w:hAnsi="宋体" w:eastAsia="宋体" w:cs="Times New Roman"/>
                <w:color w:val="auto"/>
              </w:rPr>
              <w:t xml:space="preserve">-0.750 </w:t>
            </w:r>
          </w:p>
        </w:tc>
        <w:tc>
          <w:tcPr>
            <w:tcW w:w="1447" w:type="dxa"/>
            <w:vAlign w:val="center"/>
          </w:tcPr>
          <w:p w14:paraId="193742B8">
            <w:pPr>
              <w:spacing w:line="360" w:lineRule="exact"/>
              <w:jc w:val="center"/>
              <w:rPr>
                <w:rFonts w:ascii="宋体" w:hAnsi="宋体" w:eastAsia="宋体" w:cs="Times New Roman"/>
                <w:color w:val="auto"/>
              </w:rPr>
            </w:pPr>
            <w:r>
              <w:rPr>
                <w:rFonts w:ascii="宋体" w:hAnsi="宋体" w:eastAsia="宋体" w:cs="Times New Roman"/>
                <w:color w:val="auto"/>
              </w:rPr>
              <w:t xml:space="preserve">13.371 </w:t>
            </w:r>
          </w:p>
        </w:tc>
        <w:tc>
          <w:tcPr>
            <w:tcW w:w="1590" w:type="dxa"/>
            <w:vMerge w:val="continue"/>
            <w:vAlign w:val="center"/>
          </w:tcPr>
          <w:p w14:paraId="7807573F">
            <w:pPr>
              <w:spacing w:line="360" w:lineRule="exact"/>
              <w:jc w:val="center"/>
              <w:rPr>
                <w:rFonts w:ascii="宋体" w:hAnsi="宋体" w:eastAsia="宋体" w:cs="Times New Roman"/>
                <w:color w:val="auto"/>
              </w:rPr>
            </w:pPr>
          </w:p>
        </w:tc>
        <w:tc>
          <w:tcPr>
            <w:tcW w:w="1022" w:type="dxa"/>
            <w:vMerge w:val="continue"/>
            <w:vAlign w:val="center"/>
          </w:tcPr>
          <w:p w14:paraId="4CAAF3E3">
            <w:pPr>
              <w:spacing w:line="360" w:lineRule="exact"/>
              <w:jc w:val="center"/>
              <w:rPr>
                <w:rFonts w:ascii="宋体" w:hAnsi="宋体" w:eastAsia="宋体" w:cs="Times New Roman"/>
                <w:color w:val="auto"/>
              </w:rPr>
            </w:pPr>
          </w:p>
        </w:tc>
        <w:tc>
          <w:tcPr>
            <w:tcW w:w="839" w:type="dxa"/>
            <w:vMerge w:val="continue"/>
            <w:vAlign w:val="center"/>
          </w:tcPr>
          <w:p w14:paraId="555B29CC">
            <w:pPr>
              <w:spacing w:line="360" w:lineRule="exact"/>
              <w:jc w:val="center"/>
              <w:rPr>
                <w:rFonts w:ascii="宋体" w:hAnsi="宋体" w:eastAsia="宋体" w:cs="Times New Roman"/>
                <w:color w:val="auto"/>
              </w:rPr>
            </w:pPr>
          </w:p>
        </w:tc>
      </w:tr>
      <w:tr w14:paraId="426D1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restart"/>
            <w:vAlign w:val="center"/>
          </w:tcPr>
          <w:p w14:paraId="58A23E8E">
            <w:pPr>
              <w:jc w:val="center"/>
              <w:textAlignment w:val="center"/>
              <w:rPr>
                <w:rFonts w:ascii="宋体" w:hAnsi="宋体" w:eastAsia="宋体" w:cs="Times New Roman"/>
                <w:color w:val="auto"/>
              </w:rPr>
            </w:pPr>
            <w:r>
              <w:rPr>
                <w:rFonts w:ascii="宋体" w:hAnsi="宋体" w:eastAsia="宋体" w:cs="Times New Roman"/>
                <w:color w:val="auto"/>
                <w:lang w:bidi="ar"/>
              </w:rPr>
              <w:t>四方山屯（周家、承压水）</w:t>
            </w:r>
          </w:p>
        </w:tc>
        <w:tc>
          <w:tcPr>
            <w:tcW w:w="1206" w:type="dxa"/>
            <w:vAlign w:val="center"/>
          </w:tcPr>
          <w:p w14:paraId="6346B24A">
            <w:pPr>
              <w:spacing w:line="36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perscript"/>
              </w:rPr>
              <w:t>+</w:t>
            </w:r>
          </w:p>
        </w:tc>
        <w:tc>
          <w:tcPr>
            <w:tcW w:w="1444" w:type="dxa"/>
            <w:vAlign w:val="center"/>
          </w:tcPr>
          <w:p w14:paraId="2A329F85">
            <w:pPr>
              <w:spacing w:line="360" w:lineRule="exact"/>
              <w:jc w:val="center"/>
              <w:rPr>
                <w:rFonts w:ascii="宋体" w:hAnsi="宋体" w:eastAsia="宋体" w:cs="Times New Roman"/>
                <w:color w:val="auto"/>
              </w:rPr>
            </w:pPr>
            <w:r>
              <w:rPr>
                <w:rFonts w:ascii="宋体" w:hAnsi="宋体" w:eastAsia="宋体" w:cs="Times New Roman"/>
                <w:color w:val="auto"/>
              </w:rPr>
              <w:t xml:space="preserve">0.030 </w:t>
            </w:r>
          </w:p>
        </w:tc>
        <w:tc>
          <w:tcPr>
            <w:tcW w:w="1447" w:type="dxa"/>
            <w:vAlign w:val="center"/>
          </w:tcPr>
          <w:p w14:paraId="731E7499">
            <w:pPr>
              <w:spacing w:line="360" w:lineRule="exact"/>
              <w:jc w:val="center"/>
              <w:rPr>
                <w:rFonts w:ascii="宋体" w:hAnsi="宋体" w:eastAsia="宋体" w:cs="Times New Roman"/>
                <w:color w:val="auto"/>
              </w:rPr>
            </w:pPr>
            <w:r>
              <w:rPr>
                <w:rFonts w:ascii="宋体" w:hAnsi="宋体" w:eastAsia="宋体" w:cs="Times New Roman"/>
                <w:color w:val="auto"/>
              </w:rPr>
              <w:t xml:space="preserve">0.789 </w:t>
            </w:r>
          </w:p>
        </w:tc>
        <w:tc>
          <w:tcPr>
            <w:tcW w:w="1590" w:type="dxa"/>
            <w:vMerge w:val="restart"/>
            <w:vAlign w:val="center"/>
          </w:tcPr>
          <w:p w14:paraId="726C1621">
            <w:pPr>
              <w:spacing w:line="360" w:lineRule="exact"/>
              <w:jc w:val="center"/>
              <w:rPr>
                <w:rFonts w:ascii="宋体" w:hAnsi="宋体" w:eastAsia="宋体" w:cs="Times New Roman"/>
                <w:color w:val="auto"/>
              </w:rPr>
            </w:pPr>
            <w:r>
              <w:rPr>
                <w:rFonts w:ascii="宋体" w:hAnsi="宋体" w:eastAsia="宋体" w:cs="Times New Roman"/>
                <w:color w:val="auto"/>
              </w:rPr>
              <w:t xml:space="preserve">3.837 </w:t>
            </w:r>
          </w:p>
        </w:tc>
        <w:tc>
          <w:tcPr>
            <w:tcW w:w="1022" w:type="dxa"/>
            <w:vMerge w:val="restart"/>
            <w:vAlign w:val="center"/>
          </w:tcPr>
          <w:p w14:paraId="3799D644">
            <w:pPr>
              <w:spacing w:line="360" w:lineRule="exact"/>
              <w:jc w:val="center"/>
              <w:rPr>
                <w:rFonts w:ascii="宋体" w:hAnsi="宋体" w:eastAsia="宋体" w:cs="Times New Roman"/>
                <w:color w:val="auto"/>
              </w:rPr>
            </w:pPr>
            <w:r>
              <w:rPr>
                <w:rFonts w:ascii="宋体" w:hAnsi="宋体" w:eastAsia="宋体" w:cs="Times New Roman"/>
                <w:color w:val="auto"/>
              </w:rPr>
              <w:t xml:space="preserve">3.11 </w:t>
            </w:r>
          </w:p>
        </w:tc>
        <w:tc>
          <w:tcPr>
            <w:tcW w:w="839" w:type="dxa"/>
            <w:vMerge w:val="restart"/>
            <w:vAlign w:val="center"/>
          </w:tcPr>
          <w:p w14:paraId="23BDC64C">
            <w:pPr>
              <w:spacing w:line="360" w:lineRule="exact"/>
              <w:jc w:val="center"/>
              <w:rPr>
                <w:rFonts w:ascii="宋体" w:hAnsi="宋体" w:eastAsia="宋体" w:cs="Times New Roman"/>
                <w:color w:val="auto"/>
              </w:rPr>
            </w:pPr>
            <w:r>
              <w:rPr>
                <w:rFonts w:ascii="宋体" w:hAnsi="宋体" w:eastAsia="宋体" w:cs="Times New Roman"/>
                <w:color w:val="auto"/>
              </w:rPr>
              <w:t xml:space="preserve">0.29 </w:t>
            </w:r>
          </w:p>
        </w:tc>
      </w:tr>
      <w:tr w14:paraId="1565C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6D5A384A">
            <w:pPr>
              <w:spacing w:line="360" w:lineRule="exact"/>
              <w:jc w:val="center"/>
              <w:rPr>
                <w:rFonts w:ascii="宋体" w:hAnsi="宋体" w:eastAsia="宋体" w:cs="Times New Roman"/>
                <w:color w:val="auto"/>
              </w:rPr>
            </w:pPr>
          </w:p>
        </w:tc>
        <w:tc>
          <w:tcPr>
            <w:tcW w:w="1206" w:type="dxa"/>
            <w:vAlign w:val="center"/>
          </w:tcPr>
          <w:p w14:paraId="392E583C">
            <w:pPr>
              <w:spacing w:line="360" w:lineRule="exact"/>
              <w:jc w:val="center"/>
              <w:rPr>
                <w:rFonts w:ascii="宋体" w:hAnsi="宋体" w:eastAsia="宋体" w:cs="Times New Roman"/>
                <w:color w:val="auto"/>
              </w:rPr>
            </w:pPr>
            <w:r>
              <w:rPr>
                <w:rFonts w:ascii="宋体" w:hAnsi="宋体" w:eastAsia="宋体" w:cs="Times New Roman"/>
                <w:color w:val="auto"/>
              </w:rPr>
              <w:t>Na</w:t>
            </w:r>
            <w:r>
              <w:rPr>
                <w:rFonts w:ascii="宋体" w:hAnsi="宋体" w:eastAsia="宋体" w:cs="Times New Roman"/>
                <w:color w:val="auto"/>
                <w:vertAlign w:val="superscript"/>
              </w:rPr>
              <w:t>+</w:t>
            </w:r>
          </w:p>
        </w:tc>
        <w:tc>
          <w:tcPr>
            <w:tcW w:w="1444" w:type="dxa"/>
            <w:vAlign w:val="center"/>
          </w:tcPr>
          <w:p w14:paraId="41FBB842">
            <w:pPr>
              <w:spacing w:line="360" w:lineRule="exact"/>
              <w:jc w:val="center"/>
              <w:rPr>
                <w:rFonts w:ascii="宋体" w:hAnsi="宋体" w:eastAsia="宋体" w:cs="Times New Roman"/>
                <w:color w:val="auto"/>
              </w:rPr>
            </w:pPr>
            <w:r>
              <w:rPr>
                <w:rFonts w:ascii="宋体" w:hAnsi="宋体" w:eastAsia="宋体" w:cs="Times New Roman"/>
                <w:color w:val="auto"/>
              </w:rPr>
              <w:t xml:space="preserve">1.761 </w:t>
            </w:r>
          </w:p>
        </w:tc>
        <w:tc>
          <w:tcPr>
            <w:tcW w:w="1447" w:type="dxa"/>
            <w:vAlign w:val="center"/>
          </w:tcPr>
          <w:p w14:paraId="70D89A3C">
            <w:pPr>
              <w:spacing w:line="360" w:lineRule="exact"/>
              <w:jc w:val="center"/>
              <w:rPr>
                <w:rFonts w:ascii="宋体" w:hAnsi="宋体" w:eastAsia="宋体" w:cs="Times New Roman"/>
                <w:color w:val="auto"/>
              </w:rPr>
            </w:pPr>
            <w:r>
              <w:rPr>
                <w:rFonts w:ascii="宋体" w:hAnsi="宋体" w:eastAsia="宋体" w:cs="Times New Roman"/>
                <w:color w:val="auto"/>
              </w:rPr>
              <w:t xml:space="preserve">45.892 </w:t>
            </w:r>
          </w:p>
        </w:tc>
        <w:tc>
          <w:tcPr>
            <w:tcW w:w="1590" w:type="dxa"/>
            <w:vMerge w:val="continue"/>
            <w:vAlign w:val="center"/>
          </w:tcPr>
          <w:p w14:paraId="40A1DCF8">
            <w:pPr>
              <w:spacing w:line="360" w:lineRule="exact"/>
              <w:jc w:val="center"/>
              <w:rPr>
                <w:rFonts w:ascii="宋体" w:hAnsi="宋体" w:eastAsia="宋体" w:cs="Times New Roman"/>
                <w:color w:val="auto"/>
              </w:rPr>
            </w:pPr>
          </w:p>
        </w:tc>
        <w:tc>
          <w:tcPr>
            <w:tcW w:w="1022" w:type="dxa"/>
            <w:vMerge w:val="continue"/>
            <w:vAlign w:val="center"/>
          </w:tcPr>
          <w:p w14:paraId="1CA6E299">
            <w:pPr>
              <w:spacing w:line="360" w:lineRule="exact"/>
              <w:jc w:val="center"/>
              <w:rPr>
                <w:rFonts w:ascii="宋体" w:hAnsi="宋体" w:eastAsia="宋体" w:cs="Times New Roman"/>
                <w:color w:val="auto"/>
              </w:rPr>
            </w:pPr>
          </w:p>
        </w:tc>
        <w:tc>
          <w:tcPr>
            <w:tcW w:w="839" w:type="dxa"/>
            <w:vMerge w:val="continue"/>
            <w:vAlign w:val="center"/>
          </w:tcPr>
          <w:p w14:paraId="494FCC84">
            <w:pPr>
              <w:spacing w:line="360" w:lineRule="exact"/>
              <w:jc w:val="center"/>
              <w:rPr>
                <w:rFonts w:ascii="宋体" w:hAnsi="宋体" w:eastAsia="宋体" w:cs="Times New Roman"/>
                <w:color w:val="auto"/>
              </w:rPr>
            </w:pPr>
          </w:p>
        </w:tc>
      </w:tr>
      <w:tr w14:paraId="6F16C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7BCFDF2C">
            <w:pPr>
              <w:spacing w:line="360" w:lineRule="exact"/>
              <w:jc w:val="center"/>
              <w:rPr>
                <w:rFonts w:ascii="宋体" w:hAnsi="宋体" w:eastAsia="宋体" w:cs="Times New Roman"/>
                <w:color w:val="auto"/>
              </w:rPr>
            </w:pPr>
          </w:p>
        </w:tc>
        <w:tc>
          <w:tcPr>
            <w:tcW w:w="1206" w:type="dxa"/>
            <w:vAlign w:val="center"/>
          </w:tcPr>
          <w:p w14:paraId="70B19A23">
            <w:pPr>
              <w:spacing w:line="360" w:lineRule="exact"/>
              <w:jc w:val="center"/>
              <w:rPr>
                <w:rFonts w:ascii="宋体" w:hAnsi="宋体" w:eastAsia="宋体" w:cs="Times New Roman"/>
                <w:color w:val="auto"/>
              </w:rPr>
            </w:pPr>
            <w:r>
              <w:rPr>
                <w:rFonts w:ascii="宋体" w:hAnsi="宋体" w:eastAsia="宋体" w:cs="Times New Roman"/>
                <w:color w:val="auto"/>
              </w:rPr>
              <w:t>Ca</w:t>
            </w:r>
            <w:r>
              <w:rPr>
                <w:rFonts w:ascii="宋体" w:hAnsi="宋体" w:eastAsia="宋体" w:cs="Times New Roman"/>
                <w:color w:val="auto"/>
                <w:vertAlign w:val="superscript"/>
              </w:rPr>
              <w:t>2+</w:t>
            </w:r>
          </w:p>
        </w:tc>
        <w:tc>
          <w:tcPr>
            <w:tcW w:w="1444" w:type="dxa"/>
            <w:vAlign w:val="center"/>
          </w:tcPr>
          <w:p w14:paraId="687313FE">
            <w:pPr>
              <w:spacing w:line="360" w:lineRule="exact"/>
              <w:jc w:val="center"/>
              <w:rPr>
                <w:rFonts w:ascii="宋体" w:hAnsi="宋体" w:eastAsia="宋体" w:cs="Times New Roman"/>
                <w:color w:val="auto"/>
              </w:rPr>
            </w:pPr>
            <w:r>
              <w:rPr>
                <w:rFonts w:ascii="宋体" w:hAnsi="宋体" w:eastAsia="宋体" w:cs="Times New Roman"/>
                <w:color w:val="auto"/>
              </w:rPr>
              <w:t xml:space="preserve">1.540 </w:t>
            </w:r>
          </w:p>
        </w:tc>
        <w:tc>
          <w:tcPr>
            <w:tcW w:w="1447" w:type="dxa"/>
            <w:vAlign w:val="center"/>
          </w:tcPr>
          <w:p w14:paraId="21D2EB0A">
            <w:pPr>
              <w:spacing w:line="360" w:lineRule="exact"/>
              <w:jc w:val="center"/>
              <w:rPr>
                <w:rFonts w:ascii="宋体" w:hAnsi="宋体" w:eastAsia="宋体" w:cs="Times New Roman"/>
                <w:color w:val="auto"/>
              </w:rPr>
            </w:pPr>
            <w:r>
              <w:rPr>
                <w:rFonts w:ascii="宋体" w:hAnsi="宋体" w:eastAsia="宋体" w:cs="Times New Roman"/>
                <w:color w:val="auto"/>
              </w:rPr>
              <w:t xml:space="preserve">40.136 </w:t>
            </w:r>
          </w:p>
        </w:tc>
        <w:tc>
          <w:tcPr>
            <w:tcW w:w="1590" w:type="dxa"/>
            <w:vMerge w:val="continue"/>
            <w:vAlign w:val="center"/>
          </w:tcPr>
          <w:p w14:paraId="338FAA76">
            <w:pPr>
              <w:spacing w:line="360" w:lineRule="exact"/>
              <w:jc w:val="center"/>
              <w:rPr>
                <w:rFonts w:ascii="宋体" w:hAnsi="宋体" w:eastAsia="宋体" w:cs="Times New Roman"/>
                <w:color w:val="auto"/>
              </w:rPr>
            </w:pPr>
          </w:p>
        </w:tc>
        <w:tc>
          <w:tcPr>
            <w:tcW w:w="1022" w:type="dxa"/>
            <w:vMerge w:val="continue"/>
            <w:vAlign w:val="center"/>
          </w:tcPr>
          <w:p w14:paraId="298B43D1">
            <w:pPr>
              <w:spacing w:line="360" w:lineRule="exact"/>
              <w:jc w:val="center"/>
              <w:rPr>
                <w:rFonts w:ascii="宋体" w:hAnsi="宋体" w:eastAsia="宋体" w:cs="Times New Roman"/>
                <w:color w:val="auto"/>
              </w:rPr>
            </w:pPr>
          </w:p>
        </w:tc>
        <w:tc>
          <w:tcPr>
            <w:tcW w:w="839" w:type="dxa"/>
            <w:vMerge w:val="continue"/>
            <w:vAlign w:val="center"/>
          </w:tcPr>
          <w:p w14:paraId="5EB55F52">
            <w:pPr>
              <w:spacing w:line="360" w:lineRule="exact"/>
              <w:jc w:val="center"/>
              <w:rPr>
                <w:rFonts w:ascii="宋体" w:hAnsi="宋体" w:eastAsia="宋体" w:cs="Times New Roman"/>
                <w:color w:val="auto"/>
              </w:rPr>
            </w:pPr>
          </w:p>
        </w:tc>
      </w:tr>
      <w:tr w14:paraId="46B2C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805467B">
            <w:pPr>
              <w:spacing w:line="360" w:lineRule="exact"/>
              <w:jc w:val="center"/>
              <w:rPr>
                <w:rFonts w:ascii="宋体" w:hAnsi="宋体" w:eastAsia="宋体" w:cs="Times New Roman"/>
                <w:color w:val="auto"/>
              </w:rPr>
            </w:pPr>
          </w:p>
        </w:tc>
        <w:tc>
          <w:tcPr>
            <w:tcW w:w="1206" w:type="dxa"/>
            <w:vAlign w:val="center"/>
          </w:tcPr>
          <w:p w14:paraId="5D6DB985">
            <w:pPr>
              <w:spacing w:line="360" w:lineRule="exact"/>
              <w:jc w:val="center"/>
              <w:rPr>
                <w:rFonts w:ascii="宋体" w:hAnsi="宋体" w:eastAsia="宋体" w:cs="Times New Roman"/>
                <w:color w:val="auto"/>
              </w:rPr>
            </w:pPr>
            <w:r>
              <w:rPr>
                <w:rFonts w:ascii="宋体" w:hAnsi="宋体" w:eastAsia="宋体" w:cs="Times New Roman"/>
                <w:color w:val="auto"/>
              </w:rPr>
              <w:t>Mg</w:t>
            </w:r>
            <w:r>
              <w:rPr>
                <w:rFonts w:ascii="宋体" w:hAnsi="宋体" w:eastAsia="宋体" w:cs="Times New Roman"/>
                <w:color w:val="auto"/>
                <w:vertAlign w:val="superscript"/>
              </w:rPr>
              <w:t>2+</w:t>
            </w:r>
          </w:p>
        </w:tc>
        <w:tc>
          <w:tcPr>
            <w:tcW w:w="1444" w:type="dxa"/>
            <w:vAlign w:val="center"/>
          </w:tcPr>
          <w:p w14:paraId="5572FF2D">
            <w:pPr>
              <w:spacing w:line="360" w:lineRule="exact"/>
              <w:jc w:val="center"/>
              <w:rPr>
                <w:rFonts w:ascii="宋体" w:hAnsi="宋体" w:eastAsia="宋体" w:cs="Times New Roman"/>
                <w:color w:val="auto"/>
              </w:rPr>
            </w:pPr>
            <w:r>
              <w:rPr>
                <w:rFonts w:ascii="宋体" w:hAnsi="宋体" w:eastAsia="宋体" w:cs="Times New Roman"/>
                <w:color w:val="auto"/>
              </w:rPr>
              <w:t xml:space="preserve">0.506 </w:t>
            </w:r>
          </w:p>
        </w:tc>
        <w:tc>
          <w:tcPr>
            <w:tcW w:w="1447" w:type="dxa"/>
            <w:vAlign w:val="center"/>
          </w:tcPr>
          <w:p w14:paraId="37B455B6">
            <w:pPr>
              <w:spacing w:line="360" w:lineRule="exact"/>
              <w:jc w:val="center"/>
              <w:rPr>
                <w:rFonts w:ascii="宋体" w:hAnsi="宋体" w:eastAsia="宋体" w:cs="Times New Roman"/>
                <w:color w:val="auto"/>
              </w:rPr>
            </w:pPr>
            <w:r>
              <w:rPr>
                <w:rFonts w:ascii="宋体" w:hAnsi="宋体" w:eastAsia="宋体" w:cs="Times New Roman"/>
                <w:color w:val="auto"/>
              </w:rPr>
              <w:t xml:space="preserve">13.183 </w:t>
            </w:r>
          </w:p>
        </w:tc>
        <w:tc>
          <w:tcPr>
            <w:tcW w:w="1590" w:type="dxa"/>
            <w:vMerge w:val="continue"/>
            <w:vAlign w:val="center"/>
          </w:tcPr>
          <w:p w14:paraId="1C490455">
            <w:pPr>
              <w:spacing w:line="360" w:lineRule="exact"/>
              <w:jc w:val="center"/>
              <w:rPr>
                <w:rFonts w:ascii="宋体" w:hAnsi="宋体" w:eastAsia="宋体" w:cs="Times New Roman"/>
                <w:color w:val="auto"/>
              </w:rPr>
            </w:pPr>
          </w:p>
        </w:tc>
        <w:tc>
          <w:tcPr>
            <w:tcW w:w="1022" w:type="dxa"/>
            <w:vMerge w:val="continue"/>
            <w:vAlign w:val="center"/>
          </w:tcPr>
          <w:p w14:paraId="3837E2DB">
            <w:pPr>
              <w:spacing w:line="360" w:lineRule="exact"/>
              <w:jc w:val="center"/>
              <w:rPr>
                <w:rFonts w:ascii="宋体" w:hAnsi="宋体" w:eastAsia="宋体" w:cs="Times New Roman"/>
                <w:color w:val="auto"/>
              </w:rPr>
            </w:pPr>
          </w:p>
        </w:tc>
        <w:tc>
          <w:tcPr>
            <w:tcW w:w="839" w:type="dxa"/>
            <w:vMerge w:val="continue"/>
            <w:vAlign w:val="center"/>
          </w:tcPr>
          <w:p w14:paraId="5306CB51">
            <w:pPr>
              <w:spacing w:line="360" w:lineRule="exact"/>
              <w:jc w:val="center"/>
              <w:rPr>
                <w:rFonts w:ascii="宋体" w:hAnsi="宋体" w:eastAsia="宋体" w:cs="Times New Roman"/>
                <w:color w:val="auto"/>
              </w:rPr>
            </w:pPr>
          </w:p>
        </w:tc>
      </w:tr>
      <w:tr w14:paraId="0C576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2B68552">
            <w:pPr>
              <w:spacing w:line="360" w:lineRule="exact"/>
              <w:jc w:val="center"/>
              <w:rPr>
                <w:rFonts w:ascii="宋体" w:hAnsi="宋体" w:eastAsia="宋体" w:cs="Times New Roman"/>
                <w:color w:val="auto"/>
              </w:rPr>
            </w:pPr>
          </w:p>
        </w:tc>
        <w:tc>
          <w:tcPr>
            <w:tcW w:w="1206" w:type="dxa"/>
            <w:vAlign w:val="center"/>
          </w:tcPr>
          <w:p w14:paraId="3F25869C">
            <w:pPr>
              <w:spacing w:line="360" w:lineRule="exact"/>
              <w:jc w:val="center"/>
              <w:rPr>
                <w:rFonts w:ascii="宋体" w:hAnsi="宋体" w:eastAsia="宋体" w:cs="Times New Roman"/>
                <w:color w:val="auto"/>
              </w:rPr>
            </w:pPr>
            <w:r>
              <w:rPr>
                <w:rFonts w:ascii="宋体" w:hAnsi="宋体" w:eastAsia="宋体" w:cs="Times New Roman"/>
                <w:color w:val="auto"/>
              </w:rPr>
              <w:t>HCO</w:t>
            </w:r>
            <w:r>
              <w:rPr>
                <w:rFonts w:ascii="宋体" w:hAnsi="宋体" w:eastAsia="宋体" w:cs="Times New Roman"/>
                <w:color w:val="auto"/>
                <w:vertAlign w:val="subscript"/>
              </w:rPr>
              <w:t>3</w:t>
            </w:r>
            <w:r>
              <w:rPr>
                <w:rFonts w:ascii="宋体" w:hAnsi="宋体" w:eastAsia="宋体" w:cs="Times New Roman"/>
                <w:color w:val="auto"/>
                <w:vertAlign w:val="superscript"/>
              </w:rPr>
              <w:t>-</w:t>
            </w:r>
          </w:p>
        </w:tc>
        <w:tc>
          <w:tcPr>
            <w:tcW w:w="1444" w:type="dxa"/>
            <w:vAlign w:val="center"/>
          </w:tcPr>
          <w:p w14:paraId="1DA9F720">
            <w:pPr>
              <w:spacing w:line="360" w:lineRule="exact"/>
              <w:jc w:val="center"/>
              <w:rPr>
                <w:rFonts w:ascii="宋体" w:hAnsi="宋体" w:eastAsia="宋体" w:cs="Times New Roman"/>
                <w:color w:val="auto"/>
              </w:rPr>
            </w:pPr>
            <w:r>
              <w:rPr>
                <w:rFonts w:ascii="宋体" w:hAnsi="宋体" w:eastAsia="宋体" w:cs="Times New Roman"/>
                <w:color w:val="auto"/>
              </w:rPr>
              <w:t xml:space="preserve">-2.443 </w:t>
            </w:r>
          </w:p>
        </w:tc>
        <w:tc>
          <w:tcPr>
            <w:tcW w:w="1447" w:type="dxa"/>
            <w:vAlign w:val="center"/>
          </w:tcPr>
          <w:p w14:paraId="1C7A420C">
            <w:pPr>
              <w:spacing w:line="360" w:lineRule="exact"/>
              <w:jc w:val="center"/>
              <w:rPr>
                <w:rFonts w:ascii="宋体" w:hAnsi="宋体" w:eastAsia="宋体" w:cs="Times New Roman"/>
                <w:color w:val="auto"/>
              </w:rPr>
            </w:pPr>
            <w:r>
              <w:rPr>
                <w:rFonts w:ascii="宋体" w:hAnsi="宋体" w:eastAsia="宋体" w:cs="Times New Roman"/>
                <w:color w:val="auto"/>
              </w:rPr>
              <w:t xml:space="preserve">59.823 </w:t>
            </w:r>
          </w:p>
        </w:tc>
        <w:tc>
          <w:tcPr>
            <w:tcW w:w="1590" w:type="dxa"/>
            <w:vMerge w:val="restart"/>
            <w:vAlign w:val="center"/>
          </w:tcPr>
          <w:p w14:paraId="19447B69">
            <w:pPr>
              <w:spacing w:line="360" w:lineRule="exact"/>
              <w:jc w:val="center"/>
              <w:rPr>
                <w:rFonts w:ascii="宋体" w:hAnsi="宋体" w:eastAsia="宋体" w:cs="Times New Roman"/>
                <w:color w:val="auto"/>
              </w:rPr>
            </w:pPr>
            <w:r>
              <w:rPr>
                <w:rFonts w:ascii="宋体" w:hAnsi="宋体" w:eastAsia="宋体" w:cs="Times New Roman"/>
                <w:color w:val="auto"/>
              </w:rPr>
              <w:t xml:space="preserve">4.083 </w:t>
            </w:r>
          </w:p>
        </w:tc>
        <w:tc>
          <w:tcPr>
            <w:tcW w:w="1022" w:type="dxa"/>
            <w:vMerge w:val="continue"/>
            <w:vAlign w:val="center"/>
          </w:tcPr>
          <w:p w14:paraId="733F35B2">
            <w:pPr>
              <w:spacing w:line="360" w:lineRule="exact"/>
              <w:jc w:val="center"/>
              <w:rPr>
                <w:rFonts w:ascii="宋体" w:hAnsi="宋体" w:eastAsia="宋体" w:cs="Times New Roman"/>
                <w:color w:val="auto"/>
              </w:rPr>
            </w:pPr>
          </w:p>
        </w:tc>
        <w:tc>
          <w:tcPr>
            <w:tcW w:w="839" w:type="dxa"/>
            <w:vMerge w:val="continue"/>
            <w:vAlign w:val="center"/>
          </w:tcPr>
          <w:p w14:paraId="5AFBE39A">
            <w:pPr>
              <w:spacing w:line="360" w:lineRule="exact"/>
              <w:jc w:val="center"/>
              <w:rPr>
                <w:rFonts w:ascii="宋体" w:hAnsi="宋体" w:eastAsia="宋体" w:cs="Times New Roman"/>
                <w:color w:val="auto"/>
              </w:rPr>
            </w:pPr>
          </w:p>
        </w:tc>
      </w:tr>
      <w:tr w14:paraId="1A105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0F384AE7">
            <w:pPr>
              <w:spacing w:line="360" w:lineRule="exact"/>
              <w:jc w:val="center"/>
              <w:rPr>
                <w:rFonts w:ascii="宋体" w:hAnsi="宋体" w:eastAsia="宋体" w:cs="Times New Roman"/>
                <w:color w:val="auto"/>
              </w:rPr>
            </w:pPr>
          </w:p>
        </w:tc>
        <w:tc>
          <w:tcPr>
            <w:tcW w:w="1206" w:type="dxa"/>
            <w:vAlign w:val="center"/>
          </w:tcPr>
          <w:p w14:paraId="7D9E38EF">
            <w:pPr>
              <w:spacing w:line="360" w:lineRule="exact"/>
              <w:jc w:val="center"/>
              <w:rPr>
                <w:rFonts w:ascii="宋体" w:hAnsi="宋体" w:eastAsia="宋体" w:cs="Times New Roman"/>
                <w:color w:val="auto"/>
              </w:rPr>
            </w:pPr>
            <w:r>
              <w:rPr>
                <w:rFonts w:ascii="宋体" w:hAnsi="宋体" w:eastAsia="宋体" w:cs="Times New Roman"/>
                <w:color w:val="auto"/>
              </w:rPr>
              <w:t>CO</w:t>
            </w:r>
            <w:r>
              <w:rPr>
                <w:rFonts w:ascii="宋体" w:hAnsi="宋体" w:eastAsia="宋体" w:cs="Times New Roman"/>
                <w:color w:val="auto"/>
                <w:vertAlign w:val="subscript"/>
              </w:rPr>
              <w:t>3</w:t>
            </w:r>
            <w:r>
              <w:rPr>
                <w:rFonts w:ascii="宋体" w:hAnsi="宋体" w:eastAsia="宋体" w:cs="Times New Roman"/>
                <w:color w:val="auto"/>
                <w:vertAlign w:val="superscript"/>
              </w:rPr>
              <w:t>2-</w:t>
            </w:r>
          </w:p>
        </w:tc>
        <w:tc>
          <w:tcPr>
            <w:tcW w:w="1444" w:type="dxa"/>
            <w:vAlign w:val="center"/>
          </w:tcPr>
          <w:p w14:paraId="39FB31CB">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447" w:type="dxa"/>
            <w:vAlign w:val="center"/>
          </w:tcPr>
          <w:p w14:paraId="74B21415">
            <w:pPr>
              <w:spacing w:line="360" w:lineRule="exact"/>
              <w:jc w:val="center"/>
              <w:rPr>
                <w:rFonts w:ascii="宋体" w:hAnsi="宋体" w:eastAsia="宋体" w:cs="Times New Roman"/>
                <w:color w:val="auto"/>
              </w:rPr>
            </w:pPr>
            <w:r>
              <w:rPr>
                <w:rFonts w:ascii="宋体" w:hAnsi="宋体" w:eastAsia="宋体" w:cs="Times New Roman"/>
                <w:color w:val="auto"/>
              </w:rPr>
              <w:t xml:space="preserve">0.000 </w:t>
            </w:r>
          </w:p>
        </w:tc>
        <w:tc>
          <w:tcPr>
            <w:tcW w:w="1590" w:type="dxa"/>
            <w:vMerge w:val="continue"/>
            <w:vAlign w:val="center"/>
          </w:tcPr>
          <w:p w14:paraId="6EB95393">
            <w:pPr>
              <w:spacing w:line="360" w:lineRule="exact"/>
              <w:jc w:val="center"/>
              <w:rPr>
                <w:rFonts w:ascii="宋体" w:hAnsi="宋体" w:eastAsia="宋体" w:cs="Times New Roman"/>
                <w:color w:val="auto"/>
              </w:rPr>
            </w:pPr>
          </w:p>
        </w:tc>
        <w:tc>
          <w:tcPr>
            <w:tcW w:w="1022" w:type="dxa"/>
            <w:vMerge w:val="continue"/>
            <w:vAlign w:val="center"/>
          </w:tcPr>
          <w:p w14:paraId="56C8289C">
            <w:pPr>
              <w:spacing w:line="360" w:lineRule="exact"/>
              <w:jc w:val="center"/>
              <w:rPr>
                <w:rFonts w:ascii="宋体" w:hAnsi="宋体" w:eastAsia="宋体" w:cs="Times New Roman"/>
                <w:color w:val="auto"/>
              </w:rPr>
            </w:pPr>
          </w:p>
        </w:tc>
        <w:tc>
          <w:tcPr>
            <w:tcW w:w="839" w:type="dxa"/>
            <w:vMerge w:val="continue"/>
            <w:vAlign w:val="center"/>
          </w:tcPr>
          <w:p w14:paraId="57CACC66">
            <w:pPr>
              <w:spacing w:line="360" w:lineRule="exact"/>
              <w:jc w:val="center"/>
              <w:rPr>
                <w:rFonts w:ascii="宋体" w:hAnsi="宋体" w:eastAsia="宋体" w:cs="Times New Roman"/>
                <w:color w:val="auto"/>
              </w:rPr>
            </w:pPr>
          </w:p>
        </w:tc>
      </w:tr>
      <w:tr w14:paraId="0667D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00AD964D">
            <w:pPr>
              <w:spacing w:line="360" w:lineRule="exact"/>
              <w:jc w:val="center"/>
              <w:rPr>
                <w:rFonts w:ascii="宋体" w:hAnsi="宋体" w:eastAsia="宋体" w:cs="Times New Roman"/>
                <w:color w:val="auto"/>
              </w:rPr>
            </w:pPr>
          </w:p>
        </w:tc>
        <w:tc>
          <w:tcPr>
            <w:tcW w:w="1206" w:type="dxa"/>
            <w:vAlign w:val="center"/>
          </w:tcPr>
          <w:p w14:paraId="1E6BBAED">
            <w:pPr>
              <w:spacing w:line="360" w:lineRule="exact"/>
              <w:jc w:val="center"/>
              <w:rPr>
                <w:rFonts w:ascii="宋体" w:hAnsi="宋体" w:eastAsia="宋体" w:cs="Times New Roman"/>
                <w:color w:val="auto"/>
              </w:rPr>
            </w:pPr>
            <w:r>
              <w:rPr>
                <w:rFonts w:ascii="宋体" w:hAnsi="宋体" w:eastAsia="宋体" w:cs="Times New Roman"/>
                <w:color w:val="auto"/>
              </w:rPr>
              <w:t>Cl</w:t>
            </w:r>
            <w:r>
              <w:rPr>
                <w:rFonts w:ascii="宋体" w:hAnsi="宋体" w:eastAsia="宋体" w:cs="Times New Roman"/>
                <w:color w:val="auto"/>
                <w:vertAlign w:val="superscript"/>
              </w:rPr>
              <w:t>-</w:t>
            </w:r>
          </w:p>
        </w:tc>
        <w:tc>
          <w:tcPr>
            <w:tcW w:w="1444" w:type="dxa"/>
            <w:vAlign w:val="center"/>
          </w:tcPr>
          <w:p w14:paraId="25EEDD5C">
            <w:pPr>
              <w:spacing w:line="360" w:lineRule="exact"/>
              <w:jc w:val="center"/>
              <w:rPr>
                <w:rFonts w:ascii="宋体" w:hAnsi="宋体" w:eastAsia="宋体" w:cs="Times New Roman"/>
                <w:color w:val="auto"/>
              </w:rPr>
            </w:pPr>
            <w:r>
              <w:rPr>
                <w:rFonts w:ascii="宋体" w:hAnsi="宋体" w:eastAsia="宋体" w:cs="Times New Roman"/>
                <w:color w:val="auto"/>
              </w:rPr>
              <w:t xml:space="preserve">-1.057 </w:t>
            </w:r>
          </w:p>
        </w:tc>
        <w:tc>
          <w:tcPr>
            <w:tcW w:w="1447" w:type="dxa"/>
            <w:vAlign w:val="center"/>
          </w:tcPr>
          <w:p w14:paraId="57AEC76F">
            <w:pPr>
              <w:spacing w:line="360" w:lineRule="exact"/>
              <w:jc w:val="center"/>
              <w:rPr>
                <w:rFonts w:ascii="宋体" w:hAnsi="宋体" w:eastAsia="宋体" w:cs="Times New Roman"/>
                <w:color w:val="auto"/>
              </w:rPr>
            </w:pPr>
            <w:r>
              <w:rPr>
                <w:rFonts w:ascii="宋体" w:hAnsi="宋体" w:eastAsia="宋体" w:cs="Times New Roman"/>
                <w:color w:val="auto"/>
              </w:rPr>
              <w:t xml:space="preserve">25.891 </w:t>
            </w:r>
          </w:p>
        </w:tc>
        <w:tc>
          <w:tcPr>
            <w:tcW w:w="1590" w:type="dxa"/>
            <w:vMerge w:val="continue"/>
            <w:vAlign w:val="center"/>
          </w:tcPr>
          <w:p w14:paraId="6725C793">
            <w:pPr>
              <w:spacing w:line="360" w:lineRule="exact"/>
              <w:jc w:val="center"/>
              <w:rPr>
                <w:rFonts w:ascii="宋体" w:hAnsi="宋体" w:eastAsia="宋体" w:cs="Times New Roman"/>
                <w:color w:val="auto"/>
              </w:rPr>
            </w:pPr>
          </w:p>
        </w:tc>
        <w:tc>
          <w:tcPr>
            <w:tcW w:w="1022" w:type="dxa"/>
            <w:vMerge w:val="continue"/>
            <w:vAlign w:val="center"/>
          </w:tcPr>
          <w:p w14:paraId="2F663742">
            <w:pPr>
              <w:spacing w:line="360" w:lineRule="exact"/>
              <w:jc w:val="center"/>
              <w:rPr>
                <w:rFonts w:ascii="宋体" w:hAnsi="宋体" w:eastAsia="宋体" w:cs="Times New Roman"/>
                <w:color w:val="auto"/>
              </w:rPr>
            </w:pPr>
          </w:p>
        </w:tc>
        <w:tc>
          <w:tcPr>
            <w:tcW w:w="839" w:type="dxa"/>
            <w:vMerge w:val="continue"/>
            <w:vAlign w:val="center"/>
          </w:tcPr>
          <w:p w14:paraId="7F62A52E">
            <w:pPr>
              <w:spacing w:line="360" w:lineRule="exact"/>
              <w:jc w:val="center"/>
              <w:rPr>
                <w:rFonts w:ascii="宋体" w:hAnsi="宋体" w:eastAsia="宋体" w:cs="Times New Roman"/>
                <w:color w:val="auto"/>
              </w:rPr>
            </w:pPr>
          </w:p>
        </w:tc>
      </w:tr>
      <w:tr w14:paraId="62DC2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09" w:type="dxa"/>
            <w:vMerge w:val="continue"/>
            <w:vAlign w:val="center"/>
          </w:tcPr>
          <w:p w14:paraId="59A8969E">
            <w:pPr>
              <w:spacing w:line="360" w:lineRule="exact"/>
              <w:jc w:val="center"/>
              <w:rPr>
                <w:rFonts w:ascii="宋体" w:hAnsi="宋体" w:eastAsia="宋体" w:cs="Times New Roman"/>
                <w:color w:val="auto"/>
              </w:rPr>
            </w:pPr>
          </w:p>
        </w:tc>
        <w:tc>
          <w:tcPr>
            <w:tcW w:w="1206" w:type="dxa"/>
            <w:vAlign w:val="center"/>
          </w:tcPr>
          <w:p w14:paraId="33A70A8F">
            <w:pPr>
              <w:spacing w:line="36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4</w:t>
            </w:r>
            <w:r>
              <w:rPr>
                <w:rFonts w:ascii="宋体" w:hAnsi="宋体" w:eastAsia="宋体" w:cs="Times New Roman"/>
                <w:color w:val="auto"/>
                <w:vertAlign w:val="superscript"/>
              </w:rPr>
              <w:t>2-</w:t>
            </w:r>
          </w:p>
        </w:tc>
        <w:tc>
          <w:tcPr>
            <w:tcW w:w="1444" w:type="dxa"/>
            <w:vAlign w:val="center"/>
          </w:tcPr>
          <w:p w14:paraId="2A4CDDA7">
            <w:pPr>
              <w:spacing w:line="360" w:lineRule="exact"/>
              <w:jc w:val="center"/>
              <w:rPr>
                <w:rFonts w:ascii="宋体" w:hAnsi="宋体" w:eastAsia="宋体" w:cs="Times New Roman"/>
                <w:color w:val="auto"/>
              </w:rPr>
            </w:pPr>
            <w:r>
              <w:rPr>
                <w:rFonts w:ascii="宋体" w:hAnsi="宋体" w:eastAsia="宋体" w:cs="Times New Roman"/>
                <w:color w:val="auto"/>
              </w:rPr>
              <w:t xml:space="preserve">-0.583 </w:t>
            </w:r>
          </w:p>
        </w:tc>
        <w:tc>
          <w:tcPr>
            <w:tcW w:w="1447" w:type="dxa"/>
            <w:vAlign w:val="center"/>
          </w:tcPr>
          <w:p w14:paraId="61E01101">
            <w:pPr>
              <w:spacing w:line="360" w:lineRule="exact"/>
              <w:jc w:val="center"/>
              <w:rPr>
                <w:rFonts w:ascii="宋体" w:hAnsi="宋体" w:eastAsia="宋体" w:cs="Times New Roman"/>
                <w:color w:val="auto"/>
              </w:rPr>
            </w:pPr>
            <w:r>
              <w:rPr>
                <w:rFonts w:ascii="宋体" w:hAnsi="宋体" w:eastAsia="宋体" w:cs="Times New Roman"/>
                <w:color w:val="auto"/>
              </w:rPr>
              <w:t xml:space="preserve">14.287 </w:t>
            </w:r>
          </w:p>
        </w:tc>
        <w:tc>
          <w:tcPr>
            <w:tcW w:w="1590" w:type="dxa"/>
            <w:vMerge w:val="continue"/>
            <w:vAlign w:val="center"/>
          </w:tcPr>
          <w:p w14:paraId="6BF93C30">
            <w:pPr>
              <w:spacing w:line="360" w:lineRule="exact"/>
              <w:jc w:val="center"/>
              <w:rPr>
                <w:rFonts w:ascii="宋体" w:hAnsi="宋体" w:eastAsia="宋体" w:cs="Times New Roman"/>
                <w:color w:val="auto"/>
              </w:rPr>
            </w:pPr>
          </w:p>
        </w:tc>
        <w:tc>
          <w:tcPr>
            <w:tcW w:w="1022" w:type="dxa"/>
            <w:vMerge w:val="continue"/>
            <w:vAlign w:val="center"/>
          </w:tcPr>
          <w:p w14:paraId="5386DBB2">
            <w:pPr>
              <w:spacing w:line="360" w:lineRule="exact"/>
              <w:jc w:val="center"/>
              <w:rPr>
                <w:rFonts w:ascii="宋体" w:hAnsi="宋体" w:eastAsia="宋体" w:cs="Times New Roman"/>
                <w:color w:val="auto"/>
              </w:rPr>
            </w:pPr>
          </w:p>
        </w:tc>
        <w:tc>
          <w:tcPr>
            <w:tcW w:w="839" w:type="dxa"/>
            <w:vMerge w:val="continue"/>
            <w:vAlign w:val="center"/>
          </w:tcPr>
          <w:p w14:paraId="77A728FB">
            <w:pPr>
              <w:spacing w:line="360" w:lineRule="exact"/>
              <w:jc w:val="center"/>
              <w:rPr>
                <w:rFonts w:ascii="宋体" w:hAnsi="宋体" w:eastAsia="宋体" w:cs="Times New Roman"/>
                <w:color w:val="auto"/>
              </w:rPr>
            </w:pPr>
          </w:p>
        </w:tc>
      </w:tr>
    </w:tbl>
    <w:p w14:paraId="32A737E2">
      <w:pPr>
        <w:pStyle w:val="276"/>
        <w:widowControl w:val="0"/>
        <w:ind w:firstLine="480"/>
        <w:jc w:val="both"/>
        <w:rPr>
          <w:color w:val="auto"/>
          <w:kern w:val="2"/>
          <w:szCs w:val="32"/>
        </w:rPr>
      </w:pPr>
      <w:r>
        <w:rPr>
          <w:color w:val="auto"/>
          <w:kern w:val="2"/>
          <w:szCs w:val="32"/>
        </w:rPr>
        <w:t>通过对区域内地下水八大离子监测结果可知，本项目所在区域地下水化学类型以HCO</w:t>
      </w:r>
      <w:r>
        <w:rPr>
          <w:color w:val="auto"/>
          <w:kern w:val="2"/>
          <w:szCs w:val="32"/>
          <w:vertAlign w:val="subscript"/>
        </w:rPr>
        <w:t>3</w:t>
      </w:r>
      <w:r>
        <w:rPr>
          <w:color w:val="auto"/>
          <w:kern w:val="2"/>
          <w:szCs w:val="32"/>
        </w:rPr>
        <w:t>-Na+Ca，4-A型淡水型及HCO</w:t>
      </w:r>
      <w:r>
        <w:rPr>
          <w:color w:val="auto"/>
          <w:kern w:val="2"/>
          <w:szCs w:val="32"/>
          <w:vertAlign w:val="subscript"/>
        </w:rPr>
        <w:t>3</w:t>
      </w:r>
      <w:r>
        <w:rPr>
          <w:color w:val="auto"/>
          <w:kern w:val="2"/>
          <w:szCs w:val="32"/>
        </w:rPr>
        <w:t>+Cl -Na+Ca，25-A型淡水型为主，地下水矿化度较低，水质情况较好。根据上表可知，项目区域水质总阳离子（钠、钾、钙、镁）与阴离子（硫酸盐、氯化物、碳酸盐、重碳酸盐）毫克当量浓度相对误差不大于5%，阴阳离子平衡。</w:t>
      </w:r>
    </w:p>
    <w:p w14:paraId="5417A394">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地下水环境质量现状评价结论</w:t>
      </w:r>
    </w:p>
    <w:p w14:paraId="29EB53BC">
      <w:pPr>
        <w:pStyle w:val="276"/>
        <w:widowControl w:val="0"/>
        <w:ind w:firstLine="480"/>
        <w:jc w:val="both"/>
        <w:rPr>
          <w:color w:val="auto"/>
        </w:rPr>
      </w:pPr>
      <w:r>
        <w:rPr>
          <w:color w:val="auto"/>
          <w:szCs w:val="20"/>
        </w:rPr>
        <w:t>由以上地下水单因子标准指数分析可知，评价区域地下水潜水水质除锰外均满足《地下水质量标准》（GB/T 148488-2017）中的Ⅲ类标准要求，石油类</w:t>
      </w:r>
      <w:r>
        <w:rPr>
          <w:color w:val="auto"/>
        </w:rPr>
        <w:t>满足</w:t>
      </w:r>
      <w:r>
        <w:rPr>
          <w:color w:val="auto"/>
          <w:szCs w:val="20"/>
        </w:rPr>
        <w:t>《地表水环境质量标准》（GB 3838-2002）II类标准。其中锰因子水质监测浓度占标率偏高，主要是由于评价区域地层中富含锰矿物，还原条件下转化的Mn</w:t>
      </w:r>
      <w:r>
        <w:rPr>
          <w:color w:val="auto"/>
          <w:szCs w:val="20"/>
          <w:vertAlign w:val="superscript"/>
        </w:rPr>
        <w:t>2+</w:t>
      </w:r>
      <w:r>
        <w:rPr>
          <w:color w:val="auto"/>
          <w:szCs w:val="20"/>
        </w:rPr>
        <w:t>在CO</w:t>
      </w:r>
      <w:r>
        <w:rPr>
          <w:color w:val="auto"/>
          <w:szCs w:val="20"/>
          <w:vertAlign w:val="subscript"/>
        </w:rPr>
        <w:t>2</w:t>
      </w:r>
      <w:r>
        <w:rPr>
          <w:color w:val="auto"/>
          <w:szCs w:val="20"/>
        </w:rPr>
        <w:t>作用下溶入地下水中，形成锰浓度偏高的水文地质化学环境。</w:t>
      </w:r>
      <w:r>
        <w:rPr>
          <w:color w:val="auto"/>
        </w:rPr>
        <w:t>评价区域承压水</w:t>
      </w:r>
      <w:r>
        <w:rPr>
          <w:color w:val="auto"/>
          <w:kern w:val="21"/>
        </w:rPr>
        <w:t>水质均满足《地下水质量标准》（GB/T 148488-2017）中的Ⅲ类标准要求，石油类满足《地表水环境质量标准》（GB3838-2002）II类标准。</w:t>
      </w:r>
      <w:r>
        <w:rPr>
          <w:color w:val="auto"/>
        </w:rPr>
        <w:t>评价区域</w:t>
      </w:r>
      <w:r>
        <w:rPr>
          <w:color w:val="auto"/>
          <w:szCs w:val="20"/>
        </w:rPr>
        <w:t>地下水化学类型主要为4-A型HCO</w:t>
      </w:r>
      <w:r>
        <w:rPr>
          <w:color w:val="auto"/>
          <w:szCs w:val="20"/>
          <w:vertAlign w:val="subscript"/>
        </w:rPr>
        <w:t>3</w:t>
      </w:r>
      <w:r>
        <w:rPr>
          <w:color w:val="auto"/>
          <w:szCs w:val="20"/>
        </w:rPr>
        <w:t>-</w:t>
      </w:r>
      <w:r>
        <w:rPr>
          <w:color w:val="auto"/>
          <w:szCs w:val="21"/>
        </w:rPr>
        <w:t xml:space="preserve"> </w:t>
      </w:r>
      <w:r>
        <w:rPr>
          <w:color w:val="auto"/>
          <w:szCs w:val="20"/>
        </w:rPr>
        <w:t>Na+Ca淡水及25-A型HCO</w:t>
      </w:r>
      <w:r>
        <w:rPr>
          <w:color w:val="auto"/>
          <w:szCs w:val="20"/>
          <w:vertAlign w:val="subscript"/>
        </w:rPr>
        <w:t>3</w:t>
      </w:r>
      <w:r>
        <w:rPr>
          <w:color w:val="auto"/>
          <w:szCs w:val="20"/>
        </w:rPr>
        <w:t>+Cl -Na+Ca淡水。</w:t>
      </w:r>
    </w:p>
    <w:p w14:paraId="43F82D83">
      <w:pPr>
        <w:pStyle w:val="6"/>
        <w:rPr>
          <w:color w:val="auto"/>
        </w:rPr>
      </w:pPr>
      <w:bookmarkStart w:id="1135" w:name="_Toc77067699"/>
      <w:bookmarkStart w:id="1136" w:name="_Toc29642919"/>
      <w:bookmarkStart w:id="1137" w:name="_Toc78816501"/>
      <w:bookmarkStart w:id="1138" w:name="_Toc143099615"/>
      <w:bookmarkStart w:id="1139" w:name="_Toc38545057"/>
      <w:bookmarkStart w:id="1140" w:name="_Toc57707956"/>
      <w:bookmarkStart w:id="1141" w:name="_Toc34124485"/>
      <w:bookmarkStart w:id="1142" w:name="_Toc85640797"/>
      <w:bookmarkStart w:id="1143" w:name="_Toc80588296"/>
      <w:bookmarkStart w:id="1144" w:name="_Toc83209518"/>
      <w:bookmarkStart w:id="1145" w:name="_Toc86141972"/>
      <w:bookmarkStart w:id="1146" w:name="_Toc67860173"/>
      <w:bookmarkStart w:id="1147" w:name="_Toc70050222"/>
      <w:bookmarkStart w:id="1148" w:name="_Toc126863428"/>
      <w:bookmarkStart w:id="1149" w:name="_Toc80971418"/>
      <w:bookmarkStart w:id="1150" w:name="_Toc41655201"/>
      <w:bookmarkStart w:id="1151" w:name="_Toc38296424"/>
      <w:bookmarkStart w:id="1152" w:name="_Toc61597272"/>
      <w:bookmarkStart w:id="1153" w:name="_Toc76976287"/>
      <w:bookmarkStart w:id="1154" w:name="_Toc21648"/>
      <w:bookmarkStart w:id="1155" w:name="_Toc131167328"/>
      <w:bookmarkStart w:id="1156" w:name="_Toc127192377"/>
      <w:bookmarkStart w:id="1157" w:name="_Toc84929273"/>
      <w:bookmarkStart w:id="1158" w:name="_Toc57203286"/>
      <w:bookmarkStart w:id="1159" w:name="_Toc29643951"/>
      <w:bookmarkStart w:id="1160" w:name="_Toc29644703"/>
      <w:bookmarkStart w:id="1161" w:name="_Toc57976708"/>
      <w:r>
        <w:rPr>
          <w:color w:val="auto"/>
        </w:rPr>
        <w:t>地表水环境质量现状</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22F6C8BE">
      <w:pPr>
        <w:pStyle w:val="276"/>
        <w:widowControl w:val="0"/>
        <w:ind w:firstLine="480"/>
        <w:jc w:val="both"/>
        <w:rPr>
          <w:color w:val="auto"/>
          <w:szCs w:val="20"/>
        </w:rPr>
      </w:pPr>
      <w:r>
        <w:rPr>
          <w:color w:val="auto"/>
          <w:szCs w:val="20"/>
        </w:rPr>
        <w:t>本项目运营期不排放废水，属于水污染影响型三级B</w:t>
      </w:r>
      <w:r>
        <w:rPr>
          <w:color w:val="auto"/>
        </w:rPr>
        <w:t>评价</w:t>
      </w:r>
      <w:r>
        <w:rPr>
          <w:color w:val="auto"/>
          <w:szCs w:val="20"/>
        </w:rPr>
        <w:t>，可不开展区域污染源调查。</w:t>
      </w:r>
    </w:p>
    <w:p w14:paraId="707FE5CE">
      <w:pPr>
        <w:pStyle w:val="276"/>
        <w:widowControl w:val="0"/>
        <w:ind w:firstLine="480"/>
        <w:jc w:val="both"/>
        <w:rPr>
          <w:color w:val="auto"/>
          <w:szCs w:val="20"/>
        </w:rPr>
      </w:pPr>
      <w:r>
        <w:rPr>
          <w:color w:val="auto"/>
          <w:szCs w:val="20"/>
        </w:rPr>
        <w:t>本项目评价范围内地表水体为源1011北侧240m西大海、南侧360m</w:t>
      </w:r>
      <w:r>
        <w:rPr>
          <w:color w:val="auto"/>
          <w:kern w:val="24"/>
          <w:szCs w:val="21"/>
        </w:rPr>
        <w:t>中心西干渠</w:t>
      </w:r>
      <w:r>
        <w:rPr>
          <w:color w:val="auto"/>
          <w:szCs w:val="20"/>
        </w:rPr>
        <w:t>，为进一步了解区域内地表水现状数据，</w:t>
      </w:r>
      <w:r>
        <w:rPr>
          <w:color w:val="auto"/>
        </w:rPr>
        <w:t>大庆中环评价检测有限公司于</w:t>
      </w:r>
      <w:r>
        <w:rPr>
          <w:color w:val="auto"/>
          <w:szCs w:val="20"/>
        </w:rPr>
        <w:t>2025年8月21日～22日对本项目周边的地表水体进行了监测。</w:t>
      </w:r>
    </w:p>
    <w:p w14:paraId="75A0064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地表水环境质量调查</w:t>
      </w:r>
    </w:p>
    <w:p w14:paraId="171E7232">
      <w:pPr>
        <w:pStyle w:val="276"/>
        <w:widowControl w:val="0"/>
        <w:ind w:firstLine="480"/>
        <w:jc w:val="both"/>
        <w:rPr>
          <w:color w:val="auto"/>
          <w:szCs w:val="20"/>
        </w:rPr>
      </w:pPr>
      <w:r>
        <w:rPr>
          <w:color w:val="auto"/>
          <w:szCs w:val="20"/>
        </w:rPr>
        <w:t>根据《2023年大庆市生态环境状况公报》，2023年大庆市6个国控考核断面（白沙滩断面、嫩江口内断面、肇源断面、拉林河口下断面、红旗水库出口断面、古恰泄洪闸口断面）中，5个（白沙滩断面、嫩江口内断面、肇源断面、拉林河口下断面、红旗水库出口断面）达到《地表水环境质量标准》（GB3838-2002）Ⅲ类标准，国控考核断面水质优良率83.3%。</w:t>
      </w:r>
    </w:p>
    <w:p w14:paraId="060FA0E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地表水环境质量现状监测</w:t>
      </w:r>
    </w:p>
    <w:p w14:paraId="209BEB33">
      <w:pPr>
        <w:pStyle w:val="276"/>
        <w:widowControl w:val="0"/>
        <w:ind w:firstLine="480"/>
        <w:jc w:val="both"/>
        <w:rPr>
          <w:color w:val="auto"/>
          <w:szCs w:val="20"/>
        </w:rPr>
      </w:pPr>
      <w:r>
        <w:rPr>
          <w:color w:val="auto"/>
          <w:szCs w:val="20"/>
        </w:rPr>
        <w:t>（1）监测点位</w:t>
      </w:r>
    </w:p>
    <w:p w14:paraId="189AC8FD">
      <w:pPr>
        <w:pStyle w:val="276"/>
        <w:widowControl w:val="0"/>
        <w:ind w:firstLine="480"/>
        <w:jc w:val="both"/>
        <w:rPr>
          <w:color w:val="auto"/>
          <w:szCs w:val="20"/>
        </w:rPr>
      </w:pPr>
      <w:r>
        <w:rPr>
          <w:color w:val="auto"/>
          <w:szCs w:val="20"/>
        </w:rPr>
        <w:t>本次评价布设2个监测点，监测点布设情况见</w:t>
      </w:r>
      <w:r>
        <w:rPr>
          <w:color w:val="auto"/>
        </w:rPr>
        <w:t>表4.3-</w:t>
      </w:r>
      <w:r>
        <w:rPr>
          <w:color w:val="auto"/>
          <w:szCs w:val="20"/>
        </w:rPr>
        <w:t>1</w:t>
      </w:r>
      <w:r>
        <w:rPr>
          <w:rFonts w:hint="eastAsia"/>
          <w:color w:val="auto"/>
          <w:szCs w:val="20"/>
        </w:rPr>
        <w:t>3</w:t>
      </w:r>
      <w:r>
        <w:rPr>
          <w:color w:val="auto"/>
          <w:szCs w:val="20"/>
        </w:rPr>
        <w:t>。</w:t>
      </w:r>
    </w:p>
    <w:p w14:paraId="051D5400">
      <w:pPr>
        <w:pStyle w:val="276"/>
        <w:widowControl w:val="0"/>
        <w:spacing w:line="440" w:lineRule="exact"/>
        <w:ind w:firstLine="0" w:firstLineChars="0"/>
        <w:jc w:val="center"/>
        <w:rPr>
          <w:color w:val="auto"/>
          <w:szCs w:val="20"/>
        </w:rPr>
      </w:pPr>
      <w:r>
        <w:rPr>
          <w:color w:val="auto"/>
        </w:rPr>
        <w:t>表4.3-</w:t>
      </w:r>
      <w:r>
        <w:rPr>
          <w:color w:val="auto"/>
          <w:szCs w:val="20"/>
        </w:rPr>
        <w:t>1</w:t>
      </w:r>
      <w:r>
        <w:rPr>
          <w:rFonts w:hint="eastAsia"/>
          <w:color w:val="auto"/>
          <w:szCs w:val="20"/>
        </w:rPr>
        <w:t>3</w:t>
      </w:r>
      <w:r>
        <w:rPr>
          <w:color w:val="auto"/>
          <w:szCs w:val="20"/>
        </w:rPr>
        <w:t xml:space="preserve"> </w:t>
      </w:r>
      <w:r>
        <w:rPr>
          <w:color w:val="auto"/>
          <w:kern w:val="21"/>
          <w:szCs w:val="20"/>
        </w:rPr>
        <w:t>监测点</w:t>
      </w:r>
      <w:r>
        <w:rPr>
          <w:color w:val="auto"/>
          <w:szCs w:val="20"/>
        </w:rPr>
        <w:t>布设情况</w:t>
      </w:r>
    </w:p>
    <w:tbl>
      <w:tblPr>
        <w:tblStyle w:val="81"/>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835"/>
        <w:gridCol w:w="3827"/>
        <w:gridCol w:w="2550"/>
      </w:tblGrid>
      <w:tr w14:paraId="0A98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9" w:type="dxa"/>
          </w:tcPr>
          <w:p w14:paraId="512C3F6B">
            <w:pPr>
              <w:spacing w:line="320" w:lineRule="exact"/>
              <w:jc w:val="center"/>
              <w:rPr>
                <w:rFonts w:ascii="宋体" w:hAnsi="宋体" w:eastAsia="宋体" w:cs="Times New Roman"/>
                <w:color w:val="auto"/>
              </w:rPr>
            </w:pPr>
            <w:r>
              <w:rPr>
                <w:rFonts w:ascii="宋体" w:hAnsi="宋体" w:eastAsia="宋体" w:cs="Times New Roman"/>
                <w:color w:val="auto"/>
              </w:rPr>
              <w:t>序号</w:t>
            </w:r>
          </w:p>
        </w:tc>
        <w:tc>
          <w:tcPr>
            <w:tcW w:w="1835" w:type="dxa"/>
            <w:vAlign w:val="center"/>
          </w:tcPr>
          <w:p w14:paraId="2989C749">
            <w:pPr>
              <w:spacing w:line="320" w:lineRule="exact"/>
              <w:jc w:val="center"/>
              <w:rPr>
                <w:rFonts w:ascii="宋体" w:hAnsi="宋体" w:eastAsia="宋体" w:cs="Times New Roman"/>
                <w:color w:val="auto"/>
              </w:rPr>
            </w:pPr>
            <w:r>
              <w:rPr>
                <w:rFonts w:ascii="宋体" w:hAnsi="宋体" w:eastAsia="宋体" w:cs="Times New Roman"/>
                <w:color w:val="auto"/>
              </w:rPr>
              <w:t>监测点</w:t>
            </w:r>
          </w:p>
        </w:tc>
        <w:tc>
          <w:tcPr>
            <w:tcW w:w="3827" w:type="dxa"/>
            <w:vAlign w:val="center"/>
          </w:tcPr>
          <w:p w14:paraId="25AF0613">
            <w:pPr>
              <w:spacing w:line="320" w:lineRule="exact"/>
              <w:jc w:val="center"/>
              <w:rPr>
                <w:rFonts w:ascii="宋体" w:hAnsi="宋体" w:eastAsia="宋体" w:cs="Times New Roman"/>
                <w:color w:val="auto"/>
              </w:rPr>
            </w:pPr>
            <w:r>
              <w:rPr>
                <w:rFonts w:ascii="宋体" w:hAnsi="宋体" w:eastAsia="宋体" w:cs="Times New Roman"/>
                <w:color w:val="auto"/>
              </w:rPr>
              <w:t>监测点位与本项目位置关系</w:t>
            </w:r>
          </w:p>
        </w:tc>
        <w:tc>
          <w:tcPr>
            <w:tcW w:w="2550" w:type="dxa"/>
            <w:vAlign w:val="center"/>
          </w:tcPr>
          <w:p w14:paraId="4688D67A">
            <w:pPr>
              <w:spacing w:line="320" w:lineRule="exact"/>
              <w:jc w:val="center"/>
              <w:rPr>
                <w:rFonts w:ascii="宋体" w:hAnsi="宋体" w:eastAsia="宋体" w:cs="Times New Roman"/>
                <w:color w:val="auto"/>
              </w:rPr>
            </w:pPr>
            <w:r>
              <w:rPr>
                <w:rFonts w:ascii="宋体" w:hAnsi="宋体" w:eastAsia="宋体" w:cs="Times New Roman"/>
                <w:color w:val="auto"/>
              </w:rPr>
              <w:t>坐标</w:t>
            </w:r>
            <w:r>
              <w:rPr>
                <w:rFonts w:hint="eastAsia" w:ascii="宋体" w:hAnsi="宋体" w:eastAsia="宋体" w:cs="Times New Roman"/>
                <w:color w:val="auto"/>
              </w:rPr>
              <w:t>/°</w:t>
            </w:r>
          </w:p>
        </w:tc>
      </w:tr>
      <w:tr w14:paraId="1266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9" w:type="dxa"/>
          </w:tcPr>
          <w:p w14:paraId="254C9D09">
            <w:pPr>
              <w:spacing w:line="320" w:lineRule="exact"/>
              <w:jc w:val="center"/>
              <w:rPr>
                <w:rFonts w:ascii="宋体" w:hAnsi="宋体" w:eastAsia="宋体" w:cs="Times New Roman"/>
                <w:color w:val="auto"/>
              </w:rPr>
            </w:pPr>
            <w:r>
              <w:rPr>
                <w:rFonts w:ascii="宋体" w:hAnsi="宋体" w:eastAsia="宋体" w:cs="Times New Roman"/>
                <w:color w:val="auto"/>
              </w:rPr>
              <w:t>W1</w:t>
            </w:r>
          </w:p>
        </w:tc>
        <w:tc>
          <w:tcPr>
            <w:tcW w:w="1835" w:type="dxa"/>
            <w:vAlign w:val="center"/>
          </w:tcPr>
          <w:p w14:paraId="07312389">
            <w:pPr>
              <w:spacing w:line="320" w:lineRule="exact"/>
              <w:jc w:val="center"/>
              <w:rPr>
                <w:rFonts w:ascii="宋体" w:hAnsi="宋体" w:eastAsia="宋体" w:cs="Times New Roman"/>
                <w:color w:val="auto"/>
              </w:rPr>
            </w:pPr>
            <w:r>
              <w:rPr>
                <w:rFonts w:ascii="宋体" w:hAnsi="宋体" w:eastAsia="宋体" w:cs="Times New Roman"/>
                <w:color w:val="auto"/>
                <w:kern w:val="24"/>
              </w:rPr>
              <w:t>西大海</w:t>
            </w:r>
          </w:p>
        </w:tc>
        <w:tc>
          <w:tcPr>
            <w:tcW w:w="3827" w:type="dxa"/>
            <w:vAlign w:val="center"/>
          </w:tcPr>
          <w:p w14:paraId="032CFA44">
            <w:pPr>
              <w:spacing w:line="320" w:lineRule="exact"/>
              <w:jc w:val="center"/>
              <w:rPr>
                <w:rFonts w:ascii="宋体" w:hAnsi="宋体" w:eastAsia="宋体" w:cs="Times New Roman"/>
                <w:color w:val="auto"/>
              </w:rPr>
            </w:pPr>
            <w:r>
              <w:rPr>
                <w:rFonts w:ascii="宋体" w:hAnsi="宋体" w:eastAsia="宋体" w:cs="Times New Roman"/>
                <w:color w:val="auto"/>
              </w:rPr>
              <w:t>源1011井场</w:t>
            </w:r>
            <w:r>
              <w:rPr>
                <w:rFonts w:hint="eastAsia" w:ascii="宋体" w:hAnsi="宋体" w:eastAsia="宋体" w:cs="Times New Roman"/>
                <w:color w:val="auto"/>
              </w:rPr>
              <w:t>北</w:t>
            </w:r>
            <w:r>
              <w:rPr>
                <w:rFonts w:ascii="宋体" w:hAnsi="宋体" w:eastAsia="宋体" w:cs="Times New Roman"/>
                <w:color w:val="auto"/>
              </w:rPr>
              <w:t>侧240m</w:t>
            </w:r>
          </w:p>
        </w:tc>
        <w:tc>
          <w:tcPr>
            <w:tcW w:w="2550" w:type="dxa"/>
            <w:vAlign w:val="center"/>
          </w:tcPr>
          <w:p w14:paraId="6F89BEB8">
            <w:pPr>
              <w:spacing w:line="320" w:lineRule="exact"/>
              <w:jc w:val="center"/>
              <w:rPr>
                <w:rFonts w:ascii="宋体" w:hAnsi="宋体" w:eastAsia="宋体" w:cs="Times New Roman"/>
                <w:color w:val="auto"/>
              </w:rPr>
            </w:pPr>
            <w:r>
              <w:rPr>
                <w:rFonts w:ascii="宋体" w:hAnsi="宋体" w:eastAsia="宋体" w:cs="Times New Roman"/>
                <w:color w:val="auto"/>
              </w:rPr>
              <w:t>125.04496</w:t>
            </w:r>
            <w:r>
              <w:rPr>
                <w:rFonts w:hint="eastAsia" w:ascii="宋体" w:hAnsi="宋体" w:eastAsia="宋体" w:cs="Times New Roman"/>
                <w:color w:val="auto"/>
              </w:rPr>
              <w:t>，</w:t>
            </w:r>
            <w:r>
              <w:rPr>
                <w:rFonts w:ascii="宋体" w:hAnsi="宋体" w:eastAsia="宋体" w:cs="Times New Roman"/>
                <w:color w:val="auto"/>
              </w:rPr>
              <w:t>45.51489</w:t>
            </w:r>
          </w:p>
        </w:tc>
      </w:tr>
      <w:tr w14:paraId="0E64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9" w:type="dxa"/>
          </w:tcPr>
          <w:p w14:paraId="0221CB9C">
            <w:pPr>
              <w:spacing w:line="320" w:lineRule="exact"/>
              <w:jc w:val="center"/>
              <w:rPr>
                <w:rFonts w:ascii="宋体" w:hAnsi="宋体" w:eastAsia="宋体" w:cs="Times New Roman"/>
                <w:color w:val="auto"/>
              </w:rPr>
            </w:pPr>
            <w:r>
              <w:rPr>
                <w:rFonts w:ascii="宋体" w:hAnsi="宋体" w:eastAsia="宋体" w:cs="Times New Roman"/>
                <w:color w:val="auto"/>
              </w:rPr>
              <w:t>W2</w:t>
            </w:r>
          </w:p>
        </w:tc>
        <w:tc>
          <w:tcPr>
            <w:tcW w:w="1835" w:type="dxa"/>
            <w:vAlign w:val="center"/>
          </w:tcPr>
          <w:p w14:paraId="658CC9C8">
            <w:pPr>
              <w:spacing w:line="320" w:lineRule="exact"/>
              <w:jc w:val="center"/>
              <w:rPr>
                <w:rFonts w:ascii="宋体" w:hAnsi="宋体" w:eastAsia="宋体" w:cs="Times New Roman"/>
                <w:color w:val="auto"/>
              </w:rPr>
            </w:pPr>
            <w:r>
              <w:rPr>
                <w:rFonts w:ascii="宋体" w:hAnsi="宋体" w:eastAsia="宋体" w:cs="Times New Roman"/>
                <w:color w:val="auto"/>
              </w:rPr>
              <w:t>中心西干渠</w:t>
            </w:r>
          </w:p>
        </w:tc>
        <w:tc>
          <w:tcPr>
            <w:tcW w:w="3827" w:type="dxa"/>
            <w:vAlign w:val="center"/>
          </w:tcPr>
          <w:p w14:paraId="6525DAA5">
            <w:pPr>
              <w:spacing w:line="320" w:lineRule="exact"/>
              <w:jc w:val="center"/>
              <w:rPr>
                <w:rFonts w:ascii="宋体" w:hAnsi="宋体" w:eastAsia="宋体" w:cs="Times New Roman"/>
                <w:color w:val="auto"/>
              </w:rPr>
            </w:pPr>
            <w:r>
              <w:rPr>
                <w:rFonts w:ascii="宋体" w:hAnsi="宋体" w:eastAsia="宋体" w:cs="Times New Roman"/>
                <w:color w:val="auto"/>
              </w:rPr>
              <w:t>源1011井场南侧360m中心西干渠</w:t>
            </w:r>
          </w:p>
        </w:tc>
        <w:tc>
          <w:tcPr>
            <w:tcW w:w="2550" w:type="dxa"/>
            <w:vAlign w:val="center"/>
          </w:tcPr>
          <w:p w14:paraId="7841C660">
            <w:pPr>
              <w:spacing w:line="320" w:lineRule="exact"/>
              <w:jc w:val="center"/>
              <w:rPr>
                <w:rFonts w:ascii="宋体" w:hAnsi="宋体" w:eastAsia="宋体" w:cs="Times New Roman"/>
                <w:color w:val="auto"/>
              </w:rPr>
            </w:pPr>
            <w:r>
              <w:rPr>
                <w:rFonts w:ascii="宋体" w:hAnsi="宋体" w:eastAsia="宋体" w:cs="Times New Roman"/>
                <w:color w:val="auto"/>
              </w:rPr>
              <w:t>125.04547</w:t>
            </w:r>
            <w:r>
              <w:rPr>
                <w:rFonts w:hint="eastAsia" w:ascii="宋体" w:hAnsi="宋体" w:eastAsia="宋体" w:cs="Times New Roman"/>
                <w:color w:val="auto"/>
              </w:rPr>
              <w:t>，</w:t>
            </w:r>
            <w:r>
              <w:rPr>
                <w:rFonts w:ascii="宋体" w:hAnsi="宋体" w:eastAsia="宋体" w:cs="Times New Roman"/>
                <w:color w:val="auto"/>
              </w:rPr>
              <w:t>45.50888</w:t>
            </w:r>
          </w:p>
        </w:tc>
      </w:tr>
    </w:tbl>
    <w:p w14:paraId="3AE8CE2E">
      <w:pPr>
        <w:pStyle w:val="276"/>
        <w:widowControl w:val="0"/>
        <w:ind w:firstLine="480"/>
        <w:jc w:val="both"/>
        <w:rPr>
          <w:color w:val="auto"/>
          <w:szCs w:val="20"/>
        </w:rPr>
      </w:pPr>
      <w:r>
        <w:rPr>
          <w:color w:val="auto"/>
          <w:szCs w:val="20"/>
        </w:rPr>
        <w:t>（2）监测因子</w:t>
      </w:r>
    </w:p>
    <w:p w14:paraId="103A99E0">
      <w:pPr>
        <w:pStyle w:val="276"/>
        <w:widowControl w:val="0"/>
        <w:ind w:firstLine="480"/>
        <w:jc w:val="both"/>
        <w:rPr>
          <w:color w:val="auto"/>
          <w:szCs w:val="20"/>
        </w:rPr>
      </w:pPr>
      <w:r>
        <w:rPr>
          <w:snapToGrid w:val="0"/>
          <w:color w:val="auto"/>
        </w:rPr>
        <w:t>pH 值、悬浮物、COD、BOD</w:t>
      </w:r>
      <w:r>
        <w:rPr>
          <w:snapToGrid w:val="0"/>
          <w:color w:val="auto"/>
          <w:vertAlign w:val="subscript"/>
        </w:rPr>
        <w:t>5</w:t>
      </w:r>
      <w:r>
        <w:rPr>
          <w:snapToGrid w:val="0"/>
          <w:color w:val="auto"/>
        </w:rPr>
        <w:t>、氨氮、总磷、石油类、挥发酚、硫化物、阴离子表面活性剂、汞、总铬、六价铬、镉、砷、镍、铅、溶解氧、水温</w:t>
      </w:r>
      <w:r>
        <w:rPr>
          <w:color w:val="auto"/>
          <w:szCs w:val="20"/>
        </w:rPr>
        <w:t>。</w:t>
      </w:r>
    </w:p>
    <w:p w14:paraId="332DCDB7">
      <w:pPr>
        <w:pStyle w:val="276"/>
        <w:widowControl w:val="0"/>
        <w:ind w:firstLine="480"/>
        <w:jc w:val="both"/>
        <w:rPr>
          <w:color w:val="auto"/>
          <w:szCs w:val="20"/>
        </w:rPr>
      </w:pPr>
      <w:r>
        <w:rPr>
          <w:color w:val="auto"/>
          <w:szCs w:val="20"/>
        </w:rPr>
        <w:t>（3）监测时间</w:t>
      </w:r>
    </w:p>
    <w:p w14:paraId="7F39A6D0">
      <w:pPr>
        <w:pStyle w:val="276"/>
        <w:widowControl w:val="0"/>
        <w:ind w:firstLine="480"/>
        <w:jc w:val="both"/>
        <w:rPr>
          <w:color w:val="auto"/>
          <w:szCs w:val="20"/>
        </w:rPr>
      </w:pPr>
      <w:r>
        <w:rPr>
          <w:color w:val="auto"/>
          <w:szCs w:val="20"/>
        </w:rPr>
        <w:t>2025年8月21日～22日。</w:t>
      </w:r>
    </w:p>
    <w:p w14:paraId="61C188C0">
      <w:pPr>
        <w:pStyle w:val="276"/>
        <w:widowControl w:val="0"/>
        <w:ind w:firstLine="480"/>
        <w:jc w:val="both"/>
        <w:rPr>
          <w:color w:val="auto"/>
          <w:szCs w:val="20"/>
        </w:rPr>
      </w:pPr>
      <w:r>
        <w:rPr>
          <w:color w:val="auto"/>
          <w:szCs w:val="20"/>
        </w:rPr>
        <w:t>（4）监测频率</w:t>
      </w:r>
    </w:p>
    <w:p w14:paraId="58A80C15">
      <w:pPr>
        <w:pStyle w:val="276"/>
        <w:widowControl w:val="0"/>
        <w:ind w:firstLine="480"/>
        <w:jc w:val="both"/>
        <w:rPr>
          <w:color w:val="auto"/>
          <w:szCs w:val="20"/>
        </w:rPr>
      </w:pPr>
      <w:r>
        <w:rPr>
          <w:color w:val="auto"/>
          <w:szCs w:val="20"/>
        </w:rPr>
        <w:t>连续取样2天，每天一次；溶解氧和水温每间隔6 h取样监测一次。</w:t>
      </w:r>
    </w:p>
    <w:p w14:paraId="41E475C5">
      <w:pPr>
        <w:pStyle w:val="276"/>
        <w:widowControl w:val="0"/>
        <w:ind w:firstLine="480"/>
        <w:jc w:val="both"/>
        <w:rPr>
          <w:color w:val="auto"/>
          <w:szCs w:val="20"/>
        </w:rPr>
      </w:pPr>
      <w:r>
        <w:rPr>
          <w:color w:val="auto"/>
          <w:szCs w:val="20"/>
        </w:rPr>
        <w:t>（5）监测结果</w:t>
      </w:r>
    </w:p>
    <w:p w14:paraId="7486CEDF">
      <w:pPr>
        <w:pStyle w:val="276"/>
        <w:widowControl w:val="0"/>
        <w:ind w:firstLine="480"/>
        <w:jc w:val="both"/>
        <w:rPr>
          <w:color w:val="auto"/>
          <w:szCs w:val="20"/>
        </w:rPr>
      </w:pPr>
      <w:r>
        <w:rPr>
          <w:color w:val="auto"/>
          <w:szCs w:val="20"/>
        </w:rPr>
        <w:t>水质监测数据见</w:t>
      </w:r>
      <w:r>
        <w:rPr>
          <w:color w:val="auto"/>
        </w:rPr>
        <w:t>表4.3-1</w:t>
      </w:r>
      <w:r>
        <w:rPr>
          <w:rFonts w:hint="eastAsia"/>
          <w:color w:val="auto"/>
        </w:rPr>
        <w:t>4</w:t>
      </w:r>
      <w:r>
        <w:rPr>
          <w:color w:val="auto"/>
        </w:rPr>
        <w:t>。</w:t>
      </w:r>
    </w:p>
    <w:p w14:paraId="72BB25B6">
      <w:pPr>
        <w:pStyle w:val="276"/>
        <w:widowControl w:val="0"/>
        <w:spacing w:line="440" w:lineRule="exact"/>
        <w:ind w:firstLine="0" w:firstLineChars="0"/>
        <w:jc w:val="center"/>
        <w:rPr>
          <w:color w:val="auto"/>
          <w:szCs w:val="20"/>
        </w:rPr>
      </w:pPr>
      <w:r>
        <w:rPr>
          <w:color w:val="auto"/>
        </w:rPr>
        <w:t>表4.3-</w:t>
      </w:r>
      <w:r>
        <w:rPr>
          <w:color w:val="auto"/>
          <w:szCs w:val="20"/>
        </w:rPr>
        <w:t>1</w:t>
      </w:r>
      <w:r>
        <w:rPr>
          <w:rFonts w:hint="eastAsia"/>
          <w:color w:val="auto"/>
          <w:szCs w:val="20"/>
        </w:rPr>
        <w:t>4</w:t>
      </w:r>
      <w:r>
        <w:rPr>
          <w:color w:val="auto"/>
          <w:szCs w:val="20"/>
        </w:rPr>
        <w:t xml:space="preserve"> 地表水监测数据表 单位：mg/L（pH无量纲）</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0"/>
        <w:gridCol w:w="1220"/>
        <w:gridCol w:w="2977"/>
        <w:gridCol w:w="2980"/>
      </w:tblGrid>
      <w:tr w14:paraId="7A83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3" w:type="pct"/>
            <w:gridSpan w:val="2"/>
            <w:shd w:val="clear" w:color="auto" w:fill="auto"/>
            <w:vAlign w:val="center"/>
          </w:tcPr>
          <w:p w14:paraId="10A2BC1E">
            <w:pPr>
              <w:jc w:val="center"/>
              <w:rPr>
                <w:rFonts w:ascii="宋体" w:hAnsi="宋体" w:eastAsia="宋体" w:cs="Times New Roman"/>
                <w:color w:val="auto"/>
              </w:rPr>
            </w:pPr>
            <w:r>
              <w:rPr>
                <w:rFonts w:ascii="宋体" w:hAnsi="宋体" w:eastAsia="宋体" w:cs="Times New Roman"/>
                <w:color w:val="auto"/>
              </w:rPr>
              <w:t>监测时间</w:t>
            </w:r>
          </w:p>
        </w:tc>
        <w:tc>
          <w:tcPr>
            <w:tcW w:w="1603" w:type="pct"/>
            <w:shd w:val="clear" w:color="auto" w:fill="auto"/>
            <w:vAlign w:val="center"/>
          </w:tcPr>
          <w:p w14:paraId="4E178E42">
            <w:pPr>
              <w:jc w:val="center"/>
              <w:rPr>
                <w:rFonts w:ascii="宋体" w:hAnsi="宋体" w:eastAsia="宋体" w:cs="Times New Roman"/>
                <w:color w:val="auto"/>
              </w:rPr>
            </w:pPr>
            <w:r>
              <w:rPr>
                <w:rFonts w:ascii="宋体" w:hAnsi="宋体" w:eastAsia="宋体" w:cs="Times New Roman"/>
                <w:color w:val="auto"/>
              </w:rPr>
              <w:t>2025.08.21</w:t>
            </w:r>
          </w:p>
        </w:tc>
        <w:tc>
          <w:tcPr>
            <w:tcW w:w="1603" w:type="pct"/>
            <w:shd w:val="clear" w:color="auto" w:fill="auto"/>
            <w:vAlign w:val="center"/>
          </w:tcPr>
          <w:p w14:paraId="78B95F20">
            <w:pPr>
              <w:jc w:val="center"/>
              <w:rPr>
                <w:rFonts w:ascii="宋体" w:hAnsi="宋体" w:eastAsia="宋体" w:cs="Times New Roman"/>
                <w:color w:val="auto"/>
              </w:rPr>
            </w:pPr>
            <w:r>
              <w:rPr>
                <w:rFonts w:ascii="宋体" w:hAnsi="宋体" w:eastAsia="宋体" w:cs="Times New Roman"/>
                <w:color w:val="auto"/>
              </w:rPr>
              <w:t>2025.08.22</w:t>
            </w:r>
          </w:p>
        </w:tc>
      </w:tr>
      <w:tr w14:paraId="1223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3" w:type="pct"/>
            <w:gridSpan w:val="2"/>
            <w:shd w:val="clear" w:color="auto" w:fill="auto"/>
            <w:vAlign w:val="center"/>
          </w:tcPr>
          <w:p w14:paraId="1BB01E8A">
            <w:pPr>
              <w:jc w:val="center"/>
              <w:rPr>
                <w:rFonts w:ascii="宋体" w:hAnsi="宋体" w:eastAsia="宋体" w:cs="Times New Roman"/>
                <w:color w:val="auto"/>
              </w:rPr>
            </w:pPr>
            <w:r>
              <w:rPr>
                <w:rFonts w:ascii="宋体" w:hAnsi="宋体" w:eastAsia="宋体" w:cs="Times New Roman"/>
                <w:color w:val="auto"/>
              </w:rPr>
              <w:t>监测点位</w:t>
            </w:r>
          </w:p>
        </w:tc>
        <w:tc>
          <w:tcPr>
            <w:tcW w:w="3207" w:type="pct"/>
            <w:gridSpan w:val="2"/>
            <w:shd w:val="clear" w:color="auto" w:fill="auto"/>
            <w:vAlign w:val="center"/>
          </w:tcPr>
          <w:p w14:paraId="4E90553F">
            <w:pPr>
              <w:jc w:val="center"/>
              <w:rPr>
                <w:rFonts w:ascii="宋体" w:hAnsi="宋体" w:eastAsia="宋体" w:cs="Times New Roman"/>
                <w:color w:val="auto"/>
                <w:kern w:val="24"/>
              </w:rPr>
            </w:pPr>
            <w:r>
              <w:rPr>
                <w:rFonts w:ascii="宋体" w:hAnsi="宋体" w:eastAsia="宋体" w:cs="Times New Roman"/>
                <w:color w:val="auto"/>
                <w:kern w:val="24"/>
              </w:rPr>
              <w:t>西大海</w:t>
            </w:r>
          </w:p>
        </w:tc>
      </w:tr>
      <w:tr w14:paraId="16E5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696E3A75">
            <w:pPr>
              <w:jc w:val="center"/>
              <w:rPr>
                <w:rFonts w:ascii="宋体" w:hAnsi="宋体" w:eastAsia="宋体" w:cs="Times New Roman"/>
                <w:color w:val="auto"/>
              </w:rPr>
            </w:pPr>
            <w:r>
              <w:rPr>
                <w:rFonts w:ascii="宋体" w:hAnsi="宋体" w:eastAsia="宋体" w:cs="Times New Roman"/>
                <w:color w:val="auto"/>
              </w:rPr>
              <w:t>监测项目</w:t>
            </w:r>
          </w:p>
        </w:tc>
        <w:tc>
          <w:tcPr>
            <w:tcW w:w="657" w:type="pct"/>
            <w:shd w:val="clear" w:color="auto" w:fill="auto"/>
            <w:vAlign w:val="center"/>
          </w:tcPr>
          <w:p w14:paraId="44C5868D">
            <w:pPr>
              <w:jc w:val="center"/>
              <w:rPr>
                <w:rFonts w:ascii="宋体" w:hAnsi="宋体" w:eastAsia="宋体" w:cs="Times New Roman"/>
                <w:color w:val="auto"/>
              </w:rPr>
            </w:pPr>
            <w:r>
              <w:rPr>
                <w:rFonts w:ascii="宋体" w:hAnsi="宋体" w:eastAsia="宋体" w:cs="Times New Roman"/>
                <w:color w:val="auto"/>
              </w:rPr>
              <w:t>单位</w:t>
            </w:r>
          </w:p>
        </w:tc>
        <w:tc>
          <w:tcPr>
            <w:tcW w:w="1603" w:type="pct"/>
            <w:shd w:val="clear" w:color="auto" w:fill="auto"/>
            <w:vAlign w:val="center"/>
          </w:tcPr>
          <w:p w14:paraId="68C7A636">
            <w:pPr>
              <w:jc w:val="center"/>
              <w:rPr>
                <w:rFonts w:ascii="宋体" w:hAnsi="宋体" w:eastAsia="宋体" w:cs="Times New Roman"/>
                <w:color w:val="auto"/>
              </w:rPr>
            </w:pPr>
            <w:r>
              <w:rPr>
                <w:rFonts w:ascii="宋体" w:hAnsi="宋体" w:eastAsia="宋体" w:cs="Times New Roman"/>
                <w:color w:val="auto"/>
              </w:rPr>
              <w:t>DB250821Q01</w:t>
            </w:r>
          </w:p>
        </w:tc>
        <w:tc>
          <w:tcPr>
            <w:tcW w:w="1603" w:type="pct"/>
            <w:shd w:val="clear" w:color="auto" w:fill="auto"/>
            <w:vAlign w:val="center"/>
          </w:tcPr>
          <w:p w14:paraId="4E406166">
            <w:pPr>
              <w:jc w:val="center"/>
              <w:rPr>
                <w:rFonts w:ascii="宋体" w:hAnsi="宋体" w:eastAsia="宋体" w:cs="Times New Roman"/>
                <w:color w:val="auto"/>
              </w:rPr>
            </w:pPr>
            <w:r>
              <w:rPr>
                <w:rFonts w:ascii="宋体" w:hAnsi="宋体" w:eastAsia="宋体" w:cs="Times New Roman"/>
                <w:color w:val="auto"/>
              </w:rPr>
              <w:t>DB250822Q01</w:t>
            </w:r>
          </w:p>
        </w:tc>
      </w:tr>
      <w:tr w14:paraId="716F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79042134">
            <w:pPr>
              <w:jc w:val="center"/>
              <w:rPr>
                <w:rFonts w:ascii="宋体" w:hAnsi="宋体" w:eastAsia="宋体" w:cs="Times New Roman"/>
                <w:color w:val="auto"/>
                <w:shd w:val="clear" w:color="auto" w:fill="FFFFFF"/>
              </w:rPr>
            </w:pPr>
            <w:r>
              <w:rPr>
                <w:rFonts w:ascii="宋体" w:hAnsi="宋体" w:eastAsia="宋体" w:cs="Times New Roman"/>
                <w:color w:val="auto"/>
              </w:rPr>
              <w:t>pH</w:t>
            </w:r>
          </w:p>
        </w:tc>
        <w:tc>
          <w:tcPr>
            <w:tcW w:w="657" w:type="pct"/>
            <w:shd w:val="clear" w:color="auto" w:fill="auto"/>
            <w:vAlign w:val="center"/>
          </w:tcPr>
          <w:p w14:paraId="2E7ACCBD">
            <w:pPr>
              <w:jc w:val="center"/>
              <w:rPr>
                <w:rFonts w:ascii="宋体" w:hAnsi="宋体" w:eastAsia="宋体" w:cs="Times New Roman"/>
                <w:color w:val="auto"/>
                <w:shd w:val="clear" w:color="auto" w:fill="FFFFFF"/>
              </w:rPr>
            </w:pPr>
            <w:r>
              <w:rPr>
                <w:rFonts w:ascii="宋体" w:hAnsi="宋体" w:eastAsia="宋体" w:cs="Times New Roman"/>
                <w:color w:val="auto"/>
              </w:rPr>
              <w:t>无量纲</w:t>
            </w:r>
          </w:p>
        </w:tc>
        <w:tc>
          <w:tcPr>
            <w:tcW w:w="1603" w:type="pct"/>
            <w:shd w:val="clear" w:color="auto" w:fill="auto"/>
            <w:vAlign w:val="center"/>
          </w:tcPr>
          <w:p w14:paraId="380D4A73">
            <w:pPr>
              <w:jc w:val="center"/>
              <w:textAlignment w:val="center"/>
              <w:rPr>
                <w:rFonts w:ascii="宋体" w:hAnsi="宋体" w:eastAsia="宋体" w:cs="Times New Roman"/>
                <w:color w:val="auto"/>
              </w:rPr>
            </w:pPr>
            <w:r>
              <w:rPr>
                <w:rFonts w:ascii="宋体" w:hAnsi="宋体" w:eastAsia="宋体" w:cs="Times New Roman"/>
                <w:color w:val="auto"/>
              </w:rPr>
              <w:t>8.8</w:t>
            </w:r>
          </w:p>
        </w:tc>
        <w:tc>
          <w:tcPr>
            <w:tcW w:w="1603" w:type="pct"/>
            <w:shd w:val="clear" w:color="auto" w:fill="auto"/>
            <w:vAlign w:val="center"/>
          </w:tcPr>
          <w:p w14:paraId="70EDE4CF">
            <w:pPr>
              <w:jc w:val="center"/>
              <w:textAlignment w:val="center"/>
              <w:rPr>
                <w:rFonts w:ascii="宋体" w:hAnsi="宋体" w:eastAsia="宋体" w:cs="Times New Roman"/>
                <w:color w:val="auto"/>
              </w:rPr>
            </w:pPr>
            <w:r>
              <w:rPr>
                <w:rFonts w:ascii="宋体" w:hAnsi="宋体" w:eastAsia="宋体" w:cs="Times New Roman"/>
                <w:color w:val="auto"/>
              </w:rPr>
              <w:t>8.7</w:t>
            </w:r>
          </w:p>
        </w:tc>
      </w:tr>
      <w:tr w14:paraId="75EB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6653CB72">
            <w:pPr>
              <w:jc w:val="center"/>
              <w:rPr>
                <w:rFonts w:ascii="宋体" w:hAnsi="宋体" w:eastAsia="宋体" w:cs="Times New Roman"/>
                <w:color w:val="auto"/>
                <w:shd w:val="clear" w:color="auto" w:fill="FFFFFF"/>
              </w:rPr>
            </w:pPr>
            <w:r>
              <w:rPr>
                <w:rFonts w:ascii="宋体" w:hAnsi="宋体" w:eastAsia="宋体" w:cs="Times New Roman"/>
                <w:color w:val="auto"/>
              </w:rPr>
              <w:t>COD</w:t>
            </w:r>
            <w:r>
              <w:rPr>
                <w:rFonts w:ascii="宋体" w:hAnsi="宋体" w:eastAsia="宋体" w:cs="Times New Roman"/>
                <w:color w:val="auto"/>
                <w:vertAlign w:val="subscript"/>
              </w:rPr>
              <w:t>cr</w:t>
            </w:r>
          </w:p>
        </w:tc>
        <w:tc>
          <w:tcPr>
            <w:tcW w:w="657" w:type="pct"/>
            <w:shd w:val="clear" w:color="auto" w:fill="auto"/>
            <w:vAlign w:val="center"/>
          </w:tcPr>
          <w:p w14:paraId="37B0BEBD">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129228D6">
            <w:pPr>
              <w:jc w:val="center"/>
              <w:textAlignment w:val="center"/>
              <w:rPr>
                <w:rFonts w:ascii="宋体" w:hAnsi="宋体" w:eastAsia="宋体" w:cs="Times New Roman"/>
                <w:color w:val="auto"/>
              </w:rPr>
            </w:pPr>
            <w:r>
              <w:rPr>
                <w:rFonts w:ascii="宋体" w:hAnsi="宋体" w:eastAsia="宋体" w:cs="Times New Roman"/>
                <w:color w:val="auto"/>
              </w:rPr>
              <w:t>27</w:t>
            </w:r>
          </w:p>
        </w:tc>
        <w:tc>
          <w:tcPr>
            <w:tcW w:w="1603" w:type="pct"/>
            <w:shd w:val="clear" w:color="auto" w:fill="auto"/>
            <w:vAlign w:val="center"/>
          </w:tcPr>
          <w:p w14:paraId="0C355ADC">
            <w:pPr>
              <w:jc w:val="center"/>
              <w:textAlignment w:val="center"/>
              <w:rPr>
                <w:rFonts w:ascii="宋体" w:hAnsi="宋体" w:eastAsia="宋体" w:cs="Times New Roman"/>
                <w:color w:val="auto"/>
              </w:rPr>
            </w:pPr>
            <w:r>
              <w:rPr>
                <w:rFonts w:ascii="宋体" w:hAnsi="宋体" w:eastAsia="宋体" w:cs="Times New Roman"/>
                <w:color w:val="auto"/>
              </w:rPr>
              <w:t>25</w:t>
            </w:r>
          </w:p>
        </w:tc>
      </w:tr>
      <w:tr w14:paraId="6DE9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6087CDF1">
            <w:pPr>
              <w:jc w:val="center"/>
              <w:rPr>
                <w:rFonts w:ascii="宋体" w:hAnsi="宋体" w:eastAsia="宋体" w:cs="Times New Roman"/>
                <w:color w:val="auto"/>
                <w:shd w:val="clear" w:color="auto" w:fill="FFFFFF"/>
              </w:rPr>
            </w:pPr>
            <w:r>
              <w:rPr>
                <w:rFonts w:ascii="宋体" w:hAnsi="宋体" w:eastAsia="宋体" w:cs="Times New Roman"/>
                <w:color w:val="auto"/>
              </w:rPr>
              <w:t>BOD</w:t>
            </w:r>
            <w:r>
              <w:rPr>
                <w:rFonts w:ascii="宋体" w:hAnsi="宋体" w:eastAsia="宋体" w:cs="Times New Roman"/>
                <w:color w:val="auto"/>
                <w:vertAlign w:val="subscript"/>
              </w:rPr>
              <w:t>5</w:t>
            </w:r>
          </w:p>
        </w:tc>
        <w:tc>
          <w:tcPr>
            <w:tcW w:w="657" w:type="pct"/>
            <w:shd w:val="clear" w:color="auto" w:fill="auto"/>
            <w:vAlign w:val="center"/>
          </w:tcPr>
          <w:p w14:paraId="54F482AC">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4345DE72">
            <w:pPr>
              <w:jc w:val="center"/>
              <w:textAlignment w:val="center"/>
              <w:rPr>
                <w:rFonts w:ascii="宋体" w:hAnsi="宋体" w:eastAsia="宋体" w:cs="Times New Roman"/>
                <w:color w:val="auto"/>
              </w:rPr>
            </w:pPr>
            <w:r>
              <w:rPr>
                <w:rFonts w:ascii="宋体" w:hAnsi="宋体" w:eastAsia="宋体" w:cs="Times New Roman"/>
                <w:color w:val="auto"/>
              </w:rPr>
              <w:t>3.6</w:t>
            </w:r>
          </w:p>
        </w:tc>
        <w:tc>
          <w:tcPr>
            <w:tcW w:w="1603" w:type="pct"/>
            <w:shd w:val="clear" w:color="auto" w:fill="auto"/>
            <w:vAlign w:val="center"/>
          </w:tcPr>
          <w:p w14:paraId="6A738CB6">
            <w:pPr>
              <w:jc w:val="center"/>
              <w:textAlignment w:val="center"/>
              <w:rPr>
                <w:rFonts w:ascii="宋体" w:hAnsi="宋体" w:eastAsia="宋体" w:cs="Times New Roman"/>
                <w:color w:val="auto"/>
              </w:rPr>
            </w:pPr>
            <w:r>
              <w:rPr>
                <w:rFonts w:ascii="宋体" w:hAnsi="宋体" w:eastAsia="宋体" w:cs="Times New Roman"/>
                <w:color w:val="auto"/>
              </w:rPr>
              <w:t>3.3</w:t>
            </w:r>
          </w:p>
        </w:tc>
      </w:tr>
      <w:tr w14:paraId="0535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44E99260">
            <w:pPr>
              <w:jc w:val="center"/>
              <w:rPr>
                <w:rFonts w:ascii="宋体" w:hAnsi="宋体" w:eastAsia="宋体" w:cs="Times New Roman"/>
                <w:color w:val="auto"/>
                <w:shd w:val="clear" w:color="auto" w:fill="FFFFFF"/>
              </w:rPr>
            </w:pPr>
            <w:r>
              <w:rPr>
                <w:rFonts w:ascii="宋体" w:hAnsi="宋体" w:eastAsia="宋体" w:cs="Times New Roman"/>
                <w:color w:val="auto"/>
              </w:rPr>
              <w:t>氨氮</w:t>
            </w:r>
          </w:p>
        </w:tc>
        <w:tc>
          <w:tcPr>
            <w:tcW w:w="657" w:type="pct"/>
            <w:shd w:val="clear" w:color="auto" w:fill="auto"/>
            <w:vAlign w:val="center"/>
          </w:tcPr>
          <w:p w14:paraId="4FA136D4">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76C14791">
            <w:pPr>
              <w:jc w:val="center"/>
              <w:textAlignment w:val="center"/>
              <w:rPr>
                <w:rFonts w:ascii="宋体" w:hAnsi="宋体" w:eastAsia="宋体" w:cs="Times New Roman"/>
                <w:color w:val="auto"/>
              </w:rPr>
            </w:pPr>
            <w:r>
              <w:rPr>
                <w:rFonts w:ascii="宋体" w:hAnsi="宋体" w:eastAsia="宋体" w:cs="Times New Roman"/>
                <w:color w:val="auto"/>
              </w:rPr>
              <w:t>0.638</w:t>
            </w:r>
          </w:p>
        </w:tc>
        <w:tc>
          <w:tcPr>
            <w:tcW w:w="1603" w:type="pct"/>
            <w:shd w:val="clear" w:color="auto" w:fill="auto"/>
            <w:vAlign w:val="center"/>
          </w:tcPr>
          <w:p w14:paraId="6FE37CBC">
            <w:pPr>
              <w:jc w:val="center"/>
              <w:textAlignment w:val="center"/>
              <w:rPr>
                <w:rFonts w:ascii="宋体" w:hAnsi="宋体" w:eastAsia="宋体" w:cs="Times New Roman"/>
                <w:color w:val="auto"/>
              </w:rPr>
            </w:pPr>
            <w:r>
              <w:rPr>
                <w:rFonts w:ascii="宋体" w:hAnsi="宋体" w:eastAsia="宋体" w:cs="Times New Roman"/>
                <w:color w:val="auto"/>
              </w:rPr>
              <w:t>0.625</w:t>
            </w:r>
          </w:p>
        </w:tc>
      </w:tr>
      <w:tr w14:paraId="76DA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63A330D1">
            <w:pPr>
              <w:jc w:val="center"/>
              <w:rPr>
                <w:rFonts w:ascii="宋体" w:hAnsi="宋体" w:eastAsia="宋体" w:cs="Times New Roman"/>
                <w:color w:val="auto"/>
                <w:shd w:val="clear" w:color="auto" w:fill="FFFFFF"/>
              </w:rPr>
            </w:pPr>
            <w:r>
              <w:rPr>
                <w:rFonts w:ascii="宋体" w:hAnsi="宋体" w:eastAsia="宋体" w:cs="Times New Roman"/>
                <w:color w:val="auto"/>
              </w:rPr>
              <w:t>总磷</w:t>
            </w:r>
          </w:p>
        </w:tc>
        <w:tc>
          <w:tcPr>
            <w:tcW w:w="657" w:type="pct"/>
            <w:shd w:val="clear" w:color="auto" w:fill="auto"/>
            <w:vAlign w:val="center"/>
          </w:tcPr>
          <w:p w14:paraId="0694B206">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117E3978">
            <w:pPr>
              <w:jc w:val="center"/>
              <w:textAlignment w:val="center"/>
              <w:rPr>
                <w:rFonts w:ascii="宋体" w:hAnsi="宋体" w:eastAsia="宋体" w:cs="Times New Roman"/>
                <w:color w:val="auto"/>
              </w:rPr>
            </w:pPr>
            <w:r>
              <w:rPr>
                <w:rFonts w:ascii="宋体" w:hAnsi="宋体" w:eastAsia="宋体" w:cs="Times New Roman"/>
                <w:color w:val="auto"/>
              </w:rPr>
              <w:t>0.17</w:t>
            </w:r>
          </w:p>
        </w:tc>
        <w:tc>
          <w:tcPr>
            <w:tcW w:w="1603" w:type="pct"/>
            <w:shd w:val="clear" w:color="auto" w:fill="auto"/>
            <w:vAlign w:val="center"/>
          </w:tcPr>
          <w:p w14:paraId="326F674B">
            <w:pPr>
              <w:jc w:val="center"/>
              <w:textAlignment w:val="center"/>
              <w:rPr>
                <w:rFonts w:ascii="宋体" w:hAnsi="宋体" w:eastAsia="宋体" w:cs="Times New Roman"/>
                <w:color w:val="auto"/>
              </w:rPr>
            </w:pPr>
            <w:r>
              <w:rPr>
                <w:rFonts w:ascii="宋体" w:hAnsi="宋体" w:eastAsia="宋体" w:cs="Times New Roman"/>
                <w:color w:val="auto"/>
              </w:rPr>
              <w:t>0.12</w:t>
            </w:r>
          </w:p>
        </w:tc>
      </w:tr>
      <w:tr w14:paraId="1BD8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356D324E">
            <w:pPr>
              <w:jc w:val="center"/>
              <w:rPr>
                <w:rFonts w:ascii="宋体" w:hAnsi="宋体" w:eastAsia="宋体" w:cs="Times New Roman"/>
                <w:color w:val="auto"/>
              </w:rPr>
            </w:pPr>
            <w:r>
              <w:rPr>
                <w:rFonts w:ascii="宋体" w:hAnsi="宋体" w:eastAsia="宋体" w:cs="Times New Roman"/>
                <w:color w:val="auto"/>
                <w:shd w:val="clear" w:color="auto" w:fill="FFFFFF"/>
              </w:rPr>
              <w:t>石油类</w:t>
            </w:r>
          </w:p>
        </w:tc>
        <w:tc>
          <w:tcPr>
            <w:tcW w:w="657" w:type="pct"/>
            <w:shd w:val="clear" w:color="auto" w:fill="auto"/>
            <w:vAlign w:val="center"/>
          </w:tcPr>
          <w:p w14:paraId="392FB8AC">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76CC6C42">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c>
          <w:tcPr>
            <w:tcW w:w="1603" w:type="pct"/>
            <w:shd w:val="clear" w:color="auto" w:fill="auto"/>
            <w:vAlign w:val="center"/>
          </w:tcPr>
          <w:p w14:paraId="1B620EA6">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r>
      <w:tr w14:paraId="39E2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6399DC72">
            <w:pPr>
              <w:jc w:val="center"/>
              <w:rPr>
                <w:rFonts w:ascii="宋体" w:hAnsi="宋体" w:eastAsia="宋体" w:cs="Times New Roman"/>
                <w:color w:val="auto"/>
                <w:shd w:val="clear" w:color="auto" w:fill="FFFFFF"/>
              </w:rPr>
            </w:pPr>
            <w:r>
              <w:rPr>
                <w:rFonts w:ascii="宋体" w:hAnsi="宋体" w:eastAsia="宋体" w:cs="Times New Roman"/>
                <w:color w:val="auto"/>
              </w:rPr>
              <w:t>挥发酚</w:t>
            </w:r>
          </w:p>
        </w:tc>
        <w:tc>
          <w:tcPr>
            <w:tcW w:w="657" w:type="pct"/>
            <w:shd w:val="clear" w:color="auto" w:fill="auto"/>
            <w:vAlign w:val="center"/>
          </w:tcPr>
          <w:p w14:paraId="20AAE6F2">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576A8A1C">
            <w:pPr>
              <w:jc w:val="center"/>
              <w:textAlignment w:val="center"/>
              <w:rPr>
                <w:rFonts w:ascii="宋体" w:hAnsi="宋体" w:eastAsia="宋体" w:cs="Times New Roman"/>
                <w:color w:val="auto"/>
              </w:rPr>
            </w:pPr>
            <w:r>
              <w:rPr>
                <w:rFonts w:ascii="宋体" w:hAnsi="宋体" w:eastAsia="宋体" w:cs="Times New Roman"/>
                <w:color w:val="auto"/>
                <w:lang w:bidi="ar"/>
              </w:rPr>
              <w:t>0.0003L</w:t>
            </w:r>
          </w:p>
        </w:tc>
        <w:tc>
          <w:tcPr>
            <w:tcW w:w="1603" w:type="pct"/>
            <w:shd w:val="clear" w:color="auto" w:fill="auto"/>
            <w:vAlign w:val="center"/>
          </w:tcPr>
          <w:p w14:paraId="2D4136DB">
            <w:pPr>
              <w:jc w:val="center"/>
              <w:textAlignment w:val="center"/>
              <w:rPr>
                <w:rFonts w:ascii="宋体" w:hAnsi="宋体" w:eastAsia="宋体" w:cs="Times New Roman"/>
                <w:color w:val="auto"/>
                <w:lang w:bidi="ar"/>
              </w:rPr>
            </w:pPr>
            <w:r>
              <w:rPr>
                <w:rFonts w:ascii="宋体" w:hAnsi="宋体" w:eastAsia="宋体" w:cs="Times New Roman"/>
                <w:color w:val="auto"/>
                <w:lang w:bidi="ar"/>
              </w:rPr>
              <w:t>0.0003L</w:t>
            </w:r>
          </w:p>
        </w:tc>
      </w:tr>
      <w:tr w14:paraId="13B2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34ABB354">
            <w:pPr>
              <w:jc w:val="center"/>
              <w:rPr>
                <w:rFonts w:ascii="宋体" w:hAnsi="宋体" w:eastAsia="宋体" w:cs="Times New Roman"/>
                <w:color w:val="auto"/>
              </w:rPr>
            </w:pPr>
            <w:r>
              <w:rPr>
                <w:rFonts w:ascii="宋体" w:hAnsi="宋体" w:eastAsia="宋体" w:cs="Times New Roman"/>
                <w:color w:val="auto"/>
              </w:rPr>
              <w:t>悬浮物</w:t>
            </w:r>
          </w:p>
        </w:tc>
        <w:tc>
          <w:tcPr>
            <w:tcW w:w="657" w:type="pct"/>
            <w:shd w:val="clear" w:color="auto" w:fill="auto"/>
            <w:vAlign w:val="center"/>
          </w:tcPr>
          <w:p w14:paraId="3A0B7196">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641159B0">
            <w:pPr>
              <w:jc w:val="center"/>
              <w:textAlignment w:val="center"/>
              <w:rPr>
                <w:rFonts w:ascii="宋体" w:hAnsi="宋体" w:eastAsia="宋体" w:cs="Times New Roman"/>
                <w:color w:val="auto"/>
              </w:rPr>
            </w:pPr>
            <w:r>
              <w:rPr>
                <w:rFonts w:ascii="宋体" w:hAnsi="宋体" w:eastAsia="宋体" w:cs="Times New Roman"/>
                <w:color w:val="auto"/>
                <w:lang w:bidi="ar"/>
              </w:rPr>
              <w:t>25</w:t>
            </w:r>
          </w:p>
        </w:tc>
        <w:tc>
          <w:tcPr>
            <w:tcW w:w="1603" w:type="pct"/>
            <w:shd w:val="clear" w:color="auto" w:fill="auto"/>
            <w:vAlign w:val="center"/>
          </w:tcPr>
          <w:p w14:paraId="08AA98BF">
            <w:pPr>
              <w:jc w:val="center"/>
              <w:textAlignment w:val="center"/>
              <w:rPr>
                <w:rFonts w:ascii="宋体" w:hAnsi="宋体" w:eastAsia="宋体" w:cs="Times New Roman"/>
                <w:color w:val="auto"/>
              </w:rPr>
            </w:pPr>
            <w:r>
              <w:rPr>
                <w:rFonts w:ascii="宋体" w:hAnsi="宋体" w:eastAsia="宋体" w:cs="Times New Roman"/>
                <w:color w:val="auto"/>
                <w:lang w:bidi="ar"/>
              </w:rPr>
              <w:t>23</w:t>
            </w:r>
          </w:p>
        </w:tc>
      </w:tr>
      <w:tr w14:paraId="4BA7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43359594">
            <w:pPr>
              <w:jc w:val="center"/>
              <w:rPr>
                <w:rFonts w:ascii="宋体" w:hAnsi="宋体" w:eastAsia="宋体" w:cs="Times New Roman"/>
                <w:color w:val="auto"/>
              </w:rPr>
            </w:pPr>
            <w:r>
              <w:rPr>
                <w:rFonts w:ascii="宋体" w:hAnsi="宋体" w:eastAsia="宋体" w:cs="Times New Roman"/>
                <w:color w:val="auto"/>
              </w:rPr>
              <w:t>砷</w:t>
            </w:r>
          </w:p>
        </w:tc>
        <w:tc>
          <w:tcPr>
            <w:tcW w:w="657" w:type="pct"/>
            <w:shd w:val="clear" w:color="auto" w:fill="auto"/>
            <w:vAlign w:val="center"/>
          </w:tcPr>
          <w:p w14:paraId="79B82874">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28F4D43E">
            <w:pPr>
              <w:jc w:val="center"/>
              <w:textAlignment w:val="center"/>
              <w:rPr>
                <w:rFonts w:ascii="宋体" w:hAnsi="宋体" w:eastAsia="宋体" w:cs="Times New Roman"/>
                <w:color w:val="auto"/>
              </w:rPr>
            </w:pPr>
            <w:r>
              <w:rPr>
                <w:rFonts w:ascii="宋体" w:hAnsi="宋体" w:eastAsia="宋体" w:cs="Times New Roman"/>
                <w:color w:val="auto"/>
                <w:lang w:bidi="ar"/>
              </w:rPr>
              <w:t>0.0003L</w:t>
            </w:r>
          </w:p>
        </w:tc>
        <w:tc>
          <w:tcPr>
            <w:tcW w:w="1603" w:type="pct"/>
            <w:shd w:val="clear" w:color="auto" w:fill="auto"/>
            <w:vAlign w:val="center"/>
          </w:tcPr>
          <w:p w14:paraId="537F09CA">
            <w:pPr>
              <w:jc w:val="center"/>
              <w:textAlignment w:val="center"/>
              <w:rPr>
                <w:rFonts w:ascii="宋体" w:hAnsi="宋体" w:eastAsia="宋体" w:cs="Times New Roman"/>
                <w:color w:val="auto"/>
              </w:rPr>
            </w:pPr>
            <w:r>
              <w:rPr>
                <w:rFonts w:ascii="宋体" w:hAnsi="宋体" w:eastAsia="宋体" w:cs="Times New Roman"/>
                <w:color w:val="auto"/>
                <w:lang w:bidi="ar"/>
              </w:rPr>
              <w:t>0.0003L</w:t>
            </w:r>
          </w:p>
        </w:tc>
      </w:tr>
      <w:tr w14:paraId="0F48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73A22380">
            <w:pPr>
              <w:jc w:val="center"/>
              <w:rPr>
                <w:rFonts w:ascii="宋体" w:hAnsi="宋体" w:eastAsia="宋体" w:cs="Times New Roman"/>
                <w:color w:val="auto"/>
              </w:rPr>
            </w:pPr>
            <w:r>
              <w:rPr>
                <w:rFonts w:ascii="宋体" w:hAnsi="宋体" w:eastAsia="宋体" w:cs="Times New Roman"/>
                <w:color w:val="auto"/>
              </w:rPr>
              <w:t>汞</w:t>
            </w:r>
          </w:p>
        </w:tc>
        <w:tc>
          <w:tcPr>
            <w:tcW w:w="657" w:type="pct"/>
            <w:shd w:val="clear" w:color="auto" w:fill="auto"/>
            <w:vAlign w:val="center"/>
          </w:tcPr>
          <w:p w14:paraId="2E38DAB0">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562A6F13">
            <w:pPr>
              <w:adjustRightInd w:val="0"/>
              <w:snapToGrid w:val="0"/>
              <w:jc w:val="center"/>
              <w:rPr>
                <w:rFonts w:ascii="宋体" w:hAnsi="宋体" w:eastAsia="宋体" w:cs="Times New Roman"/>
                <w:color w:val="auto"/>
              </w:rPr>
            </w:pPr>
            <w:r>
              <w:rPr>
                <w:rFonts w:ascii="宋体" w:hAnsi="宋体" w:eastAsia="宋体" w:cs="Times New Roman"/>
                <w:color w:val="auto"/>
              </w:rPr>
              <w:t>0.00004L</w:t>
            </w:r>
          </w:p>
        </w:tc>
        <w:tc>
          <w:tcPr>
            <w:tcW w:w="1603" w:type="pct"/>
            <w:shd w:val="clear" w:color="auto" w:fill="auto"/>
            <w:vAlign w:val="center"/>
          </w:tcPr>
          <w:p w14:paraId="34F3FD47">
            <w:pPr>
              <w:adjustRightInd w:val="0"/>
              <w:snapToGrid w:val="0"/>
              <w:jc w:val="center"/>
              <w:rPr>
                <w:rFonts w:ascii="宋体" w:hAnsi="宋体" w:eastAsia="宋体" w:cs="Times New Roman"/>
                <w:color w:val="auto"/>
              </w:rPr>
            </w:pPr>
            <w:r>
              <w:rPr>
                <w:rFonts w:ascii="宋体" w:hAnsi="宋体" w:eastAsia="宋体" w:cs="Times New Roman"/>
                <w:color w:val="auto"/>
              </w:rPr>
              <w:t>0.00004L</w:t>
            </w:r>
          </w:p>
        </w:tc>
      </w:tr>
      <w:tr w14:paraId="2BDF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63579768">
            <w:pPr>
              <w:jc w:val="center"/>
              <w:rPr>
                <w:rFonts w:ascii="宋体" w:hAnsi="宋体" w:eastAsia="宋体" w:cs="Times New Roman"/>
                <w:color w:val="auto"/>
              </w:rPr>
            </w:pPr>
            <w:r>
              <w:rPr>
                <w:rFonts w:ascii="宋体" w:hAnsi="宋体" w:eastAsia="宋体" w:cs="Times New Roman"/>
                <w:color w:val="auto"/>
              </w:rPr>
              <w:t>镉</w:t>
            </w:r>
          </w:p>
        </w:tc>
        <w:tc>
          <w:tcPr>
            <w:tcW w:w="657" w:type="pct"/>
            <w:shd w:val="clear" w:color="auto" w:fill="auto"/>
            <w:vAlign w:val="center"/>
          </w:tcPr>
          <w:p w14:paraId="32586166">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039D601F">
            <w:pPr>
              <w:pStyle w:val="169"/>
              <w:rPr>
                <w:rFonts w:ascii="宋体" w:hAnsi="宋体"/>
                <w:color w:val="auto"/>
                <w:sz w:val="21"/>
              </w:rPr>
            </w:pPr>
            <w:r>
              <w:rPr>
                <w:rFonts w:ascii="宋体" w:hAnsi="宋体"/>
                <w:color w:val="auto"/>
                <w:sz w:val="21"/>
              </w:rPr>
              <w:t>0.0001L</w:t>
            </w:r>
          </w:p>
        </w:tc>
        <w:tc>
          <w:tcPr>
            <w:tcW w:w="1603" w:type="pct"/>
            <w:shd w:val="clear" w:color="auto" w:fill="auto"/>
            <w:vAlign w:val="center"/>
          </w:tcPr>
          <w:p w14:paraId="477D457A">
            <w:pPr>
              <w:pStyle w:val="169"/>
              <w:rPr>
                <w:rFonts w:ascii="宋体" w:hAnsi="宋体"/>
                <w:color w:val="auto"/>
                <w:sz w:val="21"/>
              </w:rPr>
            </w:pPr>
            <w:r>
              <w:rPr>
                <w:rFonts w:ascii="宋体" w:hAnsi="宋体"/>
                <w:color w:val="auto"/>
                <w:sz w:val="21"/>
              </w:rPr>
              <w:t>0.0001L</w:t>
            </w:r>
          </w:p>
        </w:tc>
      </w:tr>
      <w:tr w14:paraId="371F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2ACEF3AF">
            <w:pPr>
              <w:jc w:val="center"/>
              <w:rPr>
                <w:rFonts w:ascii="宋体" w:hAnsi="宋体" w:eastAsia="宋体" w:cs="Times New Roman"/>
                <w:color w:val="auto"/>
              </w:rPr>
            </w:pPr>
            <w:r>
              <w:rPr>
                <w:rFonts w:ascii="宋体" w:hAnsi="宋体" w:eastAsia="宋体" w:cs="Times New Roman"/>
                <w:color w:val="auto"/>
              </w:rPr>
              <w:t>六价铬</w:t>
            </w:r>
          </w:p>
        </w:tc>
        <w:tc>
          <w:tcPr>
            <w:tcW w:w="657" w:type="pct"/>
            <w:shd w:val="clear" w:color="auto" w:fill="auto"/>
            <w:vAlign w:val="center"/>
          </w:tcPr>
          <w:p w14:paraId="606741C3">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7452B0BA">
            <w:pPr>
              <w:jc w:val="center"/>
              <w:textAlignment w:val="center"/>
              <w:rPr>
                <w:rFonts w:ascii="宋体" w:hAnsi="宋体" w:eastAsia="宋体" w:cs="Times New Roman"/>
                <w:color w:val="auto"/>
              </w:rPr>
            </w:pPr>
            <w:r>
              <w:rPr>
                <w:rFonts w:ascii="宋体" w:hAnsi="宋体" w:eastAsia="宋体" w:cs="Times New Roman"/>
                <w:color w:val="auto"/>
                <w:lang w:bidi="ar"/>
              </w:rPr>
              <w:t>0.004L</w:t>
            </w:r>
          </w:p>
        </w:tc>
        <w:tc>
          <w:tcPr>
            <w:tcW w:w="1603" w:type="pct"/>
            <w:shd w:val="clear" w:color="auto" w:fill="auto"/>
            <w:vAlign w:val="center"/>
          </w:tcPr>
          <w:p w14:paraId="2352B613">
            <w:pPr>
              <w:jc w:val="center"/>
              <w:textAlignment w:val="center"/>
              <w:rPr>
                <w:rFonts w:ascii="宋体" w:hAnsi="宋体" w:eastAsia="宋体" w:cs="Times New Roman"/>
                <w:color w:val="auto"/>
              </w:rPr>
            </w:pPr>
            <w:r>
              <w:rPr>
                <w:rFonts w:ascii="宋体" w:hAnsi="宋体" w:eastAsia="宋体" w:cs="Times New Roman"/>
                <w:color w:val="auto"/>
                <w:lang w:bidi="ar"/>
              </w:rPr>
              <w:t>0.004L</w:t>
            </w:r>
          </w:p>
        </w:tc>
      </w:tr>
      <w:tr w14:paraId="38CA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57A0FCD6">
            <w:pPr>
              <w:jc w:val="center"/>
              <w:rPr>
                <w:rFonts w:ascii="宋体" w:hAnsi="宋体" w:eastAsia="宋体" w:cs="Times New Roman"/>
                <w:color w:val="auto"/>
              </w:rPr>
            </w:pPr>
            <w:r>
              <w:rPr>
                <w:rFonts w:ascii="宋体" w:hAnsi="宋体" w:eastAsia="宋体" w:cs="Times New Roman"/>
                <w:color w:val="auto"/>
              </w:rPr>
              <w:t>铅</w:t>
            </w:r>
          </w:p>
        </w:tc>
        <w:tc>
          <w:tcPr>
            <w:tcW w:w="657" w:type="pct"/>
            <w:shd w:val="clear" w:color="auto" w:fill="auto"/>
            <w:vAlign w:val="center"/>
          </w:tcPr>
          <w:p w14:paraId="561084EB">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52C809C8">
            <w:pPr>
              <w:jc w:val="center"/>
              <w:textAlignment w:val="center"/>
              <w:rPr>
                <w:rFonts w:ascii="宋体" w:hAnsi="宋体" w:eastAsia="宋体" w:cs="Times New Roman"/>
                <w:color w:val="auto"/>
              </w:rPr>
            </w:pPr>
            <w:r>
              <w:rPr>
                <w:rFonts w:ascii="宋体" w:hAnsi="宋体" w:eastAsia="宋体" w:cs="Times New Roman"/>
                <w:color w:val="auto"/>
              </w:rPr>
              <w:t>0.001L</w:t>
            </w:r>
          </w:p>
        </w:tc>
        <w:tc>
          <w:tcPr>
            <w:tcW w:w="1603" w:type="pct"/>
            <w:shd w:val="clear" w:color="auto" w:fill="auto"/>
            <w:vAlign w:val="center"/>
          </w:tcPr>
          <w:p w14:paraId="5F2C1266">
            <w:pPr>
              <w:jc w:val="center"/>
              <w:textAlignment w:val="center"/>
              <w:rPr>
                <w:rFonts w:ascii="宋体" w:hAnsi="宋体" w:eastAsia="宋体" w:cs="Times New Roman"/>
                <w:color w:val="auto"/>
              </w:rPr>
            </w:pPr>
            <w:r>
              <w:rPr>
                <w:rFonts w:ascii="宋体" w:hAnsi="宋体" w:eastAsia="宋体" w:cs="Times New Roman"/>
                <w:color w:val="auto"/>
              </w:rPr>
              <w:t>0.001L</w:t>
            </w:r>
          </w:p>
        </w:tc>
      </w:tr>
      <w:tr w14:paraId="01B0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54D8A206">
            <w:pPr>
              <w:jc w:val="center"/>
              <w:rPr>
                <w:rFonts w:ascii="宋体" w:hAnsi="宋体" w:eastAsia="宋体" w:cs="Times New Roman"/>
                <w:color w:val="auto"/>
              </w:rPr>
            </w:pPr>
            <w:r>
              <w:rPr>
                <w:rFonts w:ascii="宋体" w:hAnsi="宋体" w:eastAsia="宋体" w:cs="Times New Roman"/>
                <w:color w:val="auto"/>
              </w:rPr>
              <w:t>镍</w:t>
            </w:r>
          </w:p>
        </w:tc>
        <w:tc>
          <w:tcPr>
            <w:tcW w:w="657" w:type="pct"/>
            <w:shd w:val="clear" w:color="auto" w:fill="auto"/>
            <w:vAlign w:val="center"/>
          </w:tcPr>
          <w:p w14:paraId="15CC9B4C">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656E614A">
            <w:pPr>
              <w:jc w:val="center"/>
              <w:textAlignment w:val="center"/>
              <w:rPr>
                <w:rFonts w:ascii="宋体" w:hAnsi="宋体" w:eastAsia="宋体" w:cs="Times New Roman"/>
                <w:color w:val="auto"/>
              </w:rPr>
            </w:pPr>
            <w:r>
              <w:rPr>
                <w:rFonts w:ascii="宋体" w:hAnsi="宋体" w:eastAsia="宋体" w:cs="Times New Roman"/>
                <w:color w:val="auto"/>
              </w:rPr>
              <w:t>0.05L</w:t>
            </w:r>
          </w:p>
        </w:tc>
        <w:tc>
          <w:tcPr>
            <w:tcW w:w="1603" w:type="pct"/>
            <w:shd w:val="clear" w:color="auto" w:fill="auto"/>
            <w:vAlign w:val="center"/>
          </w:tcPr>
          <w:p w14:paraId="569733F1">
            <w:pPr>
              <w:jc w:val="center"/>
              <w:textAlignment w:val="center"/>
              <w:rPr>
                <w:rFonts w:ascii="宋体" w:hAnsi="宋体" w:eastAsia="宋体" w:cs="Times New Roman"/>
                <w:color w:val="auto"/>
              </w:rPr>
            </w:pPr>
            <w:r>
              <w:rPr>
                <w:rFonts w:ascii="宋体" w:hAnsi="宋体" w:eastAsia="宋体" w:cs="Times New Roman"/>
                <w:color w:val="auto"/>
              </w:rPr>
              <w:t>0.05L</w:t>
            </w:r>
          </w:p>
        </w:tc>
      </w:tr>
      <w:tr w14:paraId="4905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6A245D0D">
            <w:pPr>
              <w:jc w:val="center"/>
              <w:rPr>
                <w:rFonts w:ascii="宋体" w:hAnsi="宋体" w:eastAsia="宋体" w:cs="Times New Roman"/>
                <w:color w:val="auto"/>
              </w:rPr>
            </w:pPr>
            <w:r>
              <w:rPr>
                <w:rFonts w:ascii="宋体" w:hAnsi="宋体" w:eastAsia="宋体" w:cs="Times New Roman"/>
                <w:color w:val="auto"/>
              </w:rPr>
              <w:t>铬</w:t>
            </w:r>
          </w:p>
        </w:tc>
        <w:tc>
          <w:tcPr>
            <w:tcW w:w="657" w:type="pct"/>
            <w:shd w:val="clear" w:color="auto" w:fill="auto"/>
            <w:vAlign w:val="center"/>
          </w:tcPr>
          <w:p w14:paraId="1012A90C">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36EBFC5D">
            <w:pPr>
              <w:jc w:val="center"/>
              <w:textAlignment w:val="center"/>
              <w:rPr>
                <w:rFonts w:ascii="宋体" w:hAnsi="宋体" w:eastAsia="宋体" w:cs="Times New Roman"/>
                <w:color w:val="auto"/>
              </w:rPr>
            </w:pPr>
            <w:r>
              <w:rPr>
                <w:rFonts w:ascii="宋体" w:hAnsi="宋体" w:eastAsia="宋体" w:cs="Times New Roman"/>
                <w:color w:val="auto"/>
              </w:rPr>
              <w:t>0.03L</w:t>
            </w:r>
          </w:p>
        </w:tc>
        <w:tc>
          <w:tcPr>
            <w:tcW w:w="1603" w:type="pct"/>
            <w:shd w:val="clear" w:color="auto" w:fill="auto"/>
            <w:vAlign w:val="center"/>
          </w:tcPr>
          <w:p w14:paraId="163D4ECF">
            <w:pPr>
              <w:jc w:val="center"/>
              <w:textAlignment w:val="center"/>
              <w:rPr>
                <w:rFonts w:ascii="宋体" w:hAnsi="宋体" w:eastAsia="宋体" w:cs="Times New Roman"/>
                <w:color w:val="auto"/>
              </w:rPr>
            </w:pPr>
            <w:r>
              <w:rPr>
                <w:rFonts w:ascii="宋体" w:hAnsi="宋体" w:eastAsia="宋体" w:cs="Times New Roman"/>
                <w:color w:val="auto"/>
              </w:rPr>
              <w:t>0.03L</w:t>
            </w:r>
          </w:p>
        </w:tc>
      </w:tr>
      <w:tr w14:paraId="6922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638C4372">
            <w:pPr>
              <w:jc w:val="center"/>
              <w:rPr>
                <w:rFonts w:ascii="宋体" w:hAnsi="宋体" w:eastAsia="宋体" w:cs="Times New Roman"/>
                <w:color w:val="auto"/>
              </w:rPr>
            </w:pPr>
            <w:r>
              <w:rPr>
                <w:rFonts w:ascii="宋体" w:hAnsi="宋体" w:eastAsia="宋体" w:cs="Times New Roman"/>
                <w:color w:val="auto"/>
              </w:rPr>
              <w:t>阴离子表面活性剂</w:t>
            </w:r>
          </w:p>
        </w:tc>
        <w:tc>
          <w:tcPr>
            <w:tcW w:w="657" w:type="pct"/>
            <w:shd w:val="clear" w:color="auto" w:fill="auto"/>
            <w:vAlign w:val="center"/>
          </w:tcPr>
          <w:p w14:paraId="17046547">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1EAE07BF">
            <w:pPr>
              <w:jc w:val="center"/>
              <w:textAlignment w:val="center"/>
              <w:rPr>
                <w:rFonts w:ascii="宋体" w:hAnsi="宋体" w:eastAsia="宋体" w:cs="Times New Roman"/>
                <w:color w:val="auto"/>
              </w:rPr>
            </w:pPr>
            <w:r>
              <w:rPr>
                <w:rFonts w:ascii="宋体" w:hAnsi="宋体" w:eastAsia="宋体" w:cs="Times New Roman"/>
                <w:color w:val="auto"/>
              </w:rPr>
              <w:t>0.05L</w:t>
            </w:r>
          </w:p>
        </w:tc>
        <w:tc>
          <w:tcPr>
            <w:tcW w:w="1603" w:type="pct"/>
            <w:shd w:val="clear" w:color="auto" w:fill="auto"/>
            <w:vAlign w:val="center"/>
          </w:tcPr>
          <w:p w14:paraId="156BF1A5">
            <w:pPr>
              <w:jc w:val="center"/>
              <w:textAlignment w:val="center"/>
              <w:rPr>
                <w:rFonts w:ascii="宋体" w:hAnsi="宋体" w:eastAsia="宋体" w:cs="Times New Roman"/>
                <w:color w:val="auto"/>
              </w:rPr>
            </w:pPr>
            <w:r>
              <w:rPr>
                <w:rFonts w:ascii="宋体" w:hAnsi="宋体" w:eastAsia="宋体" w:cs="Times New Roman"/>
                <w:color w:val="auto"/>
              </w:rPr>
              <w:t>0.05L</w:t>
            </w:r>
          </w:p>
        </w:tc>
      </w:tr>
      <w:tr w14:paraId="34D6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5BD21B87">
            <w:pPr>
              <w:jc w:val="center"/>
              <w:rPr>
                <w:rFonts w:ascii="宋体" w:hAnsi="宋体" w:eastAsia="宋体" w:cs="Times New Roman"/>
                <w:color w:val="auto"/>
              </w:rPr>
            </w:pPr>
            <w:r>
              <w:rPr>
                <w:rFonts w:ascii="宋体" w:hAnsi="宋体" w:eastAsia="宋体" w:cs="Times New Roman"/>
                <w:color w:val="auto"/>
              </w:rPr>
              <w:t>硫化物</w:t>
            </w:r>
          </w:p>
        </w:tc>
        <w:tc>
          <w:tcPr>
            <w:tcW w:w="657" w:type="pct"/>
            <w:shd w:val="clear" w:color="auto" w:fill="auto"/>
            <w:vAlign w:val="center"/>
          </w:tcPr>
          <w:p w14:paraId="2676EE73">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3BA6748A">
            <w:pPr>
              <w:jc w:val="center"/>
              <w:textAlignment w:val="center"/>
              <w:rPr>
                <w:rFonts w:ascii="宋体" w:hAnsi="宋体" w:eastAsia="宋体" w:cs="Times New Roman"/>
                <w:color w:val="auto"/>
              </w:rPr>
            </w:pPr>
            <w:r>
              <w:rPr>
                <w:rFonts w:ascii="宋体" w:hAnsi="宋体" w:eastAsia="宋体" w:cs="Times New Roman"/>
                <w:color w:val="auto"/>
              </w:rPr>
              <w:t>0.01L</w:t>
            </w:r>
          </w:p>
        </w:tc>
        <w:tc>
          <w:tcPr>
            <w:tcW w:w="1603" w:type="pct"/>
            <w:shd w:val="clear" w:color="auto" w:fill="auto"/>
            <w:vAlign w:val="center"/>
          </w:tcPr>
          <w:p w14:paraId="7BD1A5E6">
            <w:pPr>
              <w:jc w:val="center"/>
              <w:textAlignment w:val="center"/>
              <w:rPr>
                <w:rFonts w:ascii="宋体" w:hAnsi="宋体" w:eastAsia="宋体" w:cs="Times New Roman"/>
                <w:color w:val="auto"/>
              </w:rPr>
            </w:pPr>
            <w:r>
              <w:rPr>
                <w:rFonts w:ascii="宋体" w:hAnsi="宋体" w:eastAsia="宋体" w:cs="Times New Roman"/>
                <w:color w:val="auto"/>
              </w:rPr>
              <w:t>0.01L</w:t>
            </w:r>
          </w:p>
        </w:tc>
      </w:tr>
      <w:tr w14:paraId="7877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restart"/>
            <w:shd w:val="clear" w:color="auto" w:fill="auto"/>
            <w:vAlign w:val="center"/>
          </w:tcPr>
          <w:p w14:paraId="20EAE750">
            <w:pPr>
              <w:jc w:val="center"/>
              <w:rPr>
                <w:rFonts w:ascii="宋体" w:hAnsi="宋体" w:eastAsia="宋体" w:cs="Times New Roman"/>
                <w:color w:val="auto"/>
              </w:rPr>
            </w:pPr>
            <w:r>
              <w:rPr>
                <w:rFonts w:ascii="宋体" w:hAnsi="宋体" w:eastAsia="宋体" w:cs="Times New Roman"/>
                <w:color w:val="auto"/>
              </w:rPr>
              <w:t>溶解氧（</w:t>
            </w:r>
            <w:r>
              <w:rPr>
                <w:rFonts w:ascii="宋体" w:hAnsi="宋体" w:eastAsia="宋体" w:cs="Times New Roman"/>
                <w:color w:val="auto"/>
                <w:shd w:val="clear" w:color="auto" w:fill="FFFFFF"/>
              </w:rPr>
              <w:t>mg/L</w:t>
            </w:r>
            <w:r>
              <w:rPr>
                <w:rFonts w:ascii="宋体" w:hAnsi="宋体" w:eastAsia="宋体" w:cs="Times New Roman"/>
                <w:color w:val="auto"/>
              </w:rPr>
              <w:t>）</w:t>
            </w:r>
          </w:p>
        </w:tc>
        <w:tc>
          <w:tcPr>
            <w:tcW w:w="657" w:type="pct"/>
            <w:shd w:val="clear" w:color="auto" w:fill="auto"/>
            <w:vAlign w:val="center"/>
          </w:tcPr>
          <w:p w14:paraId="6EB89EE8">
            <w:pPr>
              <w:jc w:val="center"/>
              <w:textAlignment w:val="center"/>
              <w:rPr>
                <w:rFonts w:ascii="宋体" w:hAnsi="宋体" w:eastAsia="宋体" w:cs="Times New Roman"/>
                <w:color w:val="auto"/>
                <w:shd w:val="clear" w:color="auto" w:fill="FFFFFF"/>
              </w:rPr>
            </w:pPr>
            <w:r>
              <w:rPr>
                <w:rFonts w:ascii="宋体" w:hAnsi="宋体" w:eastAsia="宋体" w:cs="Times New Roman"/>
                <w:color w:val="auto"/>
              </w:rPr>
              <w:t>02:12</w:t>
            </w:r>
          </w:p>
        </w:tc>
        <w:tc>
          <w:tcPr>
            <w:tcW w:w="1603" w:type="pct"/>
            <w:shd w:val="clear" w:color="auto" w:fill="auto"/>
            <w:vAlign w:val="center"/>
          </w:tcPr>
          <w:p w14:paraId="3BB528FC">
            <w:pPr>
              <w:jc w:val="center"/>
              <w:textAlignment w:val="center"/>
              <w:rPr>
                <w:rFonts w:ascii="宋体" w:hAnsi="宋体" w:eastAsia="宋体" w:cs="Times New Roman"/>
                <w:color w:val="auto"/>
              </w:rPr>
            </w:pPr>
            <w:r>
              <w:rPr>
                <w:rFonts w:ascii="宋体" w:hAnsi="宋体" w:eastAsia="宋体" w:cs="Times New Roman"/>
                <w:color w:val="auto"/>
              </w:rPr>
              <w:t>5.4</w:t>
            </w:r>
          </w:p>
        </w:tc>
        <w:tc>
          <w:tcPr>
            <w:tcW w:w="1603" w:type="pct"/>
            <w:shd w:val="clear" w:color="auto" w:fill="auto"/>
            <w:vAlign w:val="center"/>
          </w:tcPr>
          <w:p w14:paraId="2FF22B62">
            <w:pPr>
              <w:jc w:val="center"/>
              <w:textAlignment w:val="center"/>
              <w:rPr>
                <w:rFonts w:ascii="宋体" w:hAnsi="宋体" w:eastAsia="宋体" w:cs="Times New Roman"/>
                <w:color w:val="auto"/>
              </w:rPr>
            </w:pPr>
            <w:r>
              <w:rPr>
                <w:rFonts w:ascii="宋体" w:hAnsi="宋体" w:eastAsia="宋体" w:cs="Times New Roman"/>
                <w:color w:val="auto"/>
              </w:rPr>
              <w:t>02:10</w:t>
            </w:r>
          </w:p>
        </w:tc>
      </w:tr>
      <w:tr w14:paraId="6310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0A6C15DC">
            <w:pPr>
              <w:jc w:val="center"/>
              <w:rPr>
                <w:rFonts w:ascii="宋体" w:hAnsi="宋体" w:eastAsia="宋体" w:cs="Times New Roman"/>
                <w:color w:val="auto"/>
              </w:rPr>
            </w:pPr>
          </w:p>
        </w:tc>
        <w:tc>
          <w:tcPr>
            <w:tcW w:w="657" w:type="pct"/>
            <w:shd w:val="clear" w:color="auto" w:fill="auto"/>
            <w:vAlign w:val="center"/>
          </w:tcPr>
          <w:p w14:paraId="6F8F5ED4">
            <w:pPr>
              <w:jc w:val="center"/>
              <w:textAlignment w:val="center"/>
              <w:rPr>
                <w:rFonts w:ascii="宋体" w:hAnsi="宋体" w:eastAsia="宋体" w:cs="Times New Roman"/>
                <w:color w:val="auto"/>
                <w:shd w:val="clear" w:color="auto" w:fill="FFFFFF"/>
              </w:rPr>
            </w:pPr>
            <w:r>
              <w:rPr>
                <w:rFonts w:ascii="宋体" w:hAnsi="宋体" w:eastAsia="宋体" w:cs="Times New Roman"/>
                <w:color w:val="auto"/>
              </w:rPr>
              <w:t>08:08</w:t>
            </w:r>
          </w:p>
        </w:tc>
        <w:tc>
          <w:tcPr>
            <w:tcW w:w="1603" w:type="pct"/>
            <w:shd w:val="clear" w:color="auto" w:fill="auto"/>
            <w:vAlign w:val="center"/>
          </w:tcPr>
          <w:p w14:paraId="6A35D6E9">
            <w:pPr>
              <w:jc w:val="center"/>
              <w:textAlignment w:val="center"/>
              <w:rPr>
                <w:rFonts w:ascii="宋体" w:hAnsi="宋体" w:eastAsia="宋体" w:cs="Times New Roman"/>
                <w:color w:val="auto"/>
              </w:rPr>
            </w:pPr>
            <w:r>
              <w:rPr>
                <w:rFonts w:ascii="宋体" w:hAnsi="宋体" w:eastAsia="宋体" w:cs="Times New Roman"/>
                <w:color w:val="auto"/>
              </w:rPr>
              <w:t>6.6</w:t>
            </w:r>
          </w:p>
        </w:tc>
        <w:tc>
          <w:tcPr>
            <w:tcW w:w="1603" w:type="pct"/>
            <w:shd w:val="clear" w:color="auto" w:fill="auto"/>
            <w:vAlign w:val="center"/>
          </w:tcPr>
          <w:p w14:paraId="2E829810">
            <w:pPr>
              <w:jc w:val="center"/>
              <w:textAlignment w:val="center"/>
              <w:rPr>
                <w:rFonts w:ascii="宋体" w:hAnsi="宋体" w:eastAsia="宋体" w:cs="Times New Roman"/>
                <w:color w:val="auto"/>
              </w:rPr>
            </w:pPr>
            <w:r>
              <w:rPr>
                <w:rFonts w:ascii="宋体" w:hAnsi="宋体" w:eastAsia="宋体" w:cs="Times New Roman"/>
                <w:color w:val="auto"/>
              </w:rPr>
              <w:t>08:05</w:t>
            </w:r>
          </w:p>
        </w:tc>
      </w:tr>
      <w:tr w14:paraId="525A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0A5DACBF">
            <w:pPr>
              <w:jc w:val="center"/>
              <w:rPr>
                <w:rFonts w:ascii="宋体" w:hAnsi="宋体" w:eastAsia="宋体" w:cs="Times New Roman"/>
                <w:color w:val="auto"/>
              </w:rPr>
            </w:pPr>
          </w:p>
        </w:tc>
        <w:tc>
          <w:tcPr>
            <w:tcW w:w="657" w:type="pct"/>
            <w:shd w:val="clear" w:color="auto" w:fill="auto"/>
            <w:vAlign w:val="center"/>
          </w:tcPr>
          <w:p w14:paraId="46B8E26B">
            <w:pPr>
              <w:jc w:val="center"/>
              <w:textAlignment w:val="center"/>
              <w:rPr>
                <w:rFonts w:ascii="宋体" w:hAnsi="宋体" w:eastAsia="宋体" w:cs="Times New Roman"/>
                <w:color w:val="auto"/>
                <w:shd w:val="clear" w:color="auto" w:fill="FFFFFF"/>
              </w:rPr>
            </w:pPr>
            <w:r>
              <w:rPr>
                <w:rFonts w:ascii="宋体" w:hAnsi="宋体" w:eastAsia="宋体" w:cs="Times New Roman"/>
                <w:color w:val="auto"/>
              </w:rPr>
              <w:t>14:06</w:t>
            </w:r>
          </w:p>
        </w:tc>
        <w:tc>
          <w:tcPr>
            <w:tcW w:w="1603" w:type="pct"/>
            <w:shd w:val="clear" w:color="auto" w:fill="auto"/>
            <w:vAlign w:val="center"/>
          </w:tcPr>
          <w:p w14:paraId="3DD30434">
            <w:pPr>
              <w:jc w:val="center"/>
              <w:textAlignment w:val="center"/>
              <w:rPr>
                <w:rFonts w:ascii="宋体" w:hAnsi="宋体" w:eastAsia="宋体" w:cs="Times New Roman"/>
                <w:color w:val="auto"/>
              </w:rPr>
            </w:pPr>
            <w:r>
              <w:rPr>
                <w:rFonts w:ascii="宋体" w:hAnsi="宋体" w:eastAsia="宋体" w:cs="Times New Roman"/>
                <w:color w:val="auto"/>
              </w:rPr>
              <w:t>7.8</w:t>
            </w:r>
          </w:p>
        </w:tc>
        <w:tc>
          <w:tcPr>
            <w:tcW w:w="1603" w:type="pct"/>
            <w:shd w:val="clear" w:color="auto" w:fill="auto"/>
            <w:vAlign w:val="center"/>
          </w:tcPr>
          <w:p w14:paraId="635516DB">
            <w:pPr>
              <w:jc w:val="center"/>
              <w:textAlignment w:val="center"/>
              <w:rPr>
                <w:rFonts w:ascii="宋体" w:hAnsi="宋体" w:eastAsia="宋体" w:cs="Times New Roman"/>
                <w:color w:val="auto"/>
              </w:rPr>
            </w:pPr>
            <w:r>
              <w:rPr>
                <w:rFonts w:ascii="宋体" w:hAnsi="宋体" w:eastAsia="宋体" w:cs="Times New Roman"/>
                <w:color w:val="auto"/>
              </w:rPr>
              <w:t>14:08</w:t>
            </w:r>
          </w:p>
        </w:tc>
      </w:tr>
      <w:tr w14:paraId="49A1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7C8BAF6E">
            <w:pPr>
              <w:jc w:val="center"/>
              <w:rPr>
                <w:rFonts w:ascii="宋体" w:hAnsi="宋体" w:eastAsia="宋体" w:cs="Times New Roman"/>
                <w:color w:val="auto"/>
              </w:rPr>
            </w:pPr>
          </w:p>
        </w:tc>
        <w:tc>
          <w:tcPr>
            <w:tcW w:w="657" w:type="pct"/>
            <w:shd w:val="clear" w:color="auto" w:fill="auto"/>
            <w:vAlign w:val="center"/>
          </w:tcPr>
          <w:p w14:paraId="15D5FA30">
            <w:pPr>
              <w:jc w:val="center"/>
              <w:textAlignment w:val="center"/>
              <w:rPr>
                <w:rFonts w:ascii="宋体" w:hAnsi="宋体" w:eastAsia="宋体" w:cs="Times New Roman"/>
                <w:color w:val="auto"/>
                <w:shd w:val="clear" w:color="auto" w:fill="FFFFFF"/>
              </w:rPr>
            </w:pPr>
            <w:r>
              <w:rPr>
                <w:rFonts w:ascii="宋体" w:hAnsi="宋体" w:eastAsia="宋体" w:cs="Times New Roman"/>
                <w:color w:val="auto"/>
              </w:rPr>
              <w:t>20:10</w:t>
            </w:r>
          </w:p>
        </w:tc>
        <w:tc>
          <w:tcPr>
            <w:tcW w:w="1603" w:type="pct"/>
            <w:shd w:val="clear" w:color="auto" w:fill="auto"/>
            <w:vAlign w:val="center"/>
          </w:tcPr>
          <w:p w14:paraId="4CEBB437">
            <w:pPr>
              <w:jc w:val="center"/>
              <w:textAlignment w:val="center"/>
              <w:rPr>
                <w:rFonts w:ascii="宋体" w:hAnsi="宋体" w:eastAsia="宋体" w:cs="Times New Roman"/>
                <w:color w:val="auto"/>
              </w:rPr>
            </w:pPr>
            <w:r>
              <w:rPr>
                <w:rFonts w:ascii="宋体" w:hAnsi="宋体" w:eastAsia="宋体" w:cs="Times New Roman"/>
                <w:color w:val="auto"/>
              </w:rPr>
              <w:t>5.9</w:t>
            </w:r>
          </w:p>
        </w:tc>
        <w:tc>
          <w:tcPr>
            <w:tcW w:w="1603" w:type="pct"/>
            <w:shd w:val="clear" w:color="auto" w:fill="auto"/>
            <w:vAlign w:val="center"/>
          </w:tcPr>
          <w:p w14:paraId="096D8557">
            <w:pPr>
              <w:jc w:val="center"/>
              <w:textAlignment w:val="center"/>
              <w:rPr>
                <w:rFonts w:ascii="宋体" w:hAnsi="宋体" w:eastAsia="宋体" w:cs="Times New Roman"/>
                <w:color w:val="auto"/>
              </w:rPr>
            </w:pPr>
            <w:r>
              <w:rPr>
                <w:rFonts w:ascii="宋体" w:hAnsi="宋体" w:eastAsia="宋体" w:cs="Times New Roman"/>
                <w:color w:val="auto"/>
              </w:rPr>
              <w:t>20:06</w:t>
            </w:r>
          </w:p>
        </w:tc>
      </w:tr>
      <w:tr w14:paraId="4784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restart"/>
            <w:shd w:val="clear" w:color="auto" w:fill="auto"/>
            <w:vAlign w:val="center"/>
          </w:tcPr>
          <w:p w14:paraId="41D156DF">
            <w:pPr>
              <w:jc w:val="center"/>
              <w:rPr>
                <w:rFonts w:ascii="宋体" w:hAnsi="宋体" w:eastAsia="宋体" w:cs="Times New Roman"/>
                <w:color w:val="auto"/>
              </w:rPr>
            </w:pPr>
            <w:r>
              <w:rPr>
                <w:rFonts w:ascii="宋体" w:hAnsi="宋体" w:eastAsia="宋体" w:cs="Times New Roman"/>
                <w:color w:val="auto"/>
              </w:rPr>
              <w:t>水温（℃）</w:t>
            </w:r>
          </w:p>
        </w:tc>
        <w:tc>
          <w:tcPr>
            <w:tcW w:w="657" w:type="pct"/>
            <w:shd w:val="clear" w:color="auto" w:fill="auto"/>
            <w:vAlign w:val="center"/>
          </w:tcPr>
          <w:p w14:paraId="16FE8075">
            <w:pPr>
              <w:jc w:val="center"/>
              <w:textAlignment w:val="center"/>
              <w:rPr>
                <w:rFonts w:ascii="宋体" w:hAnsi="宋体" w:eastAsia="宋体" w:cs="Times New Roman"/>
                <w:color w:val="auto"/>
                <w:shd w:val="clear" w:color="auto" w:fill="FFFFFF"/>
              </w:rPr>
            </w:pPr>
            <w:r>
              <w:rPr>
                <w:rFonts w:ascii="宋体" w:hAnsi="宋体" w:eastAsia="宋体" w:cs="Times New Roman"/>
                <w:color w:val="auto"/>
              </w:rPr>
              <w:t>02:12</w:t>
            </w:r>
          </w:p>
        </w:tc>
        <w:tc>
          <w:tcPr>
            <w:tcW w:w="1603" w:type="pct"/>
            <w:shd w:val="clear" w:color="auto" w:fill="auto"/>
            <w:vAlign w:val="center"/>
          </w:tcPr>
          <w:p w14:paraId="3C92BB02">
            <w:pPr>
              <w:jc w:val="center"/>
              <w:textAlignment w:val="center"/>
              <w:rPr>
                <w:rFonts w:ascii="宋体" w:hAnsi="宋体" w:eastAsia="宋体" w:cs="Times New Roman"/>
                <w:color w:val="auto"/>
              </w:rPr>
            </w:pPr>
            <w:r>
              <w:rPr>
                <w:rFonts w:ascii="宋体" w:hAnsi="宋体" w:eastAsia="宋体" w:cs="Times New Roman"/>
                <w:color w:val="auto"/>
              </w:rPr>
              <w:t>15.4</w:t>
            </w:r>
          </w:p>
        </w:tc>
        <w:tc>
          <w:tcPr>
            <w:tcW w:w="1603" w:type="pct"/>
            <w:shd w:val="clear" w:color="auto" w:fill="auto"/>
            <w:vAlign w:val="center"/>
          </w:tcPr>
          <w:p w14:paraId="641CFF89">
            <w:pPr>
              <w:jc w:val="center"/>
              <w:textAlignment w:val="center"/>
              <w:rPr>
                <w:rFonts w:ascii="宋体" w:hAnsi="宋体" w:eastAsia="宋体" w:cs="Times New Roman"/>
                <w:color w:val="auto"/>
              </w:rPr>
            </w:pPr>
            <w:r>
              <w:rPr>
                <w:rFonts w:ascii="宋体" w:hAnsi="宋体" w:eastAsia="宋体" w:cs="Times New Roman"/>
                <w:color w:val="auto"/>
              </w:rPr>
              <w:t>02:10</w:t>
            </w:r>
          </w:p>
        </w:tc>
      </w:tr>
      <w:tr w14:paraId="7AB0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30E7ECDE">
            <w:pPr>
              <w:jc w:val="center"/>
              <w:rPr>
                <w:rFonts w:ascii="宋体" w:hAnsi="宋体" w:eastAsia="宋体" w:cs="Times New Roman"/>
                <w:color w:val="auto"/>
              </w:rPr>
            </w:pPr>
          </w:p>
        </w:tc>
        <w:tc>
          <w:tcPr>
            <w:tcW w:w="657" w:type="pct"/>
            <w:shd w:val="clear" w:color="auto" w:fill="auto"/>
            <w:vAlign w:val="center"/>
          </w:tcPr>
          <w:p w14:paraId="4C76D3D2">
            <w:pPr>
              <w:jc w:val="center"/>
              <w:textAlignment w:val="center"/>
              <w:rPr>
                <w:rFonts w:ascii="宋体" w:hAnsi="宋体" w:eastAsia="宋体" w:cs="Times New Roman"/>
                <w:color w:val="auto"/>
              </w:rPr>
            </w:pPr>
            <w:r>
              <w:rPr>
                <w:rFonts w:ascii="宋体" w:hAnsi="宋体" w:eastAsia="宋体" w:cs="Times New Roman"/>
                <w:color w:val="auto"/>
              </w:rPr>
              <w:t>08:08</w:t>
            </w:r>
          </w:p>
        </w:tc>
        <w:tc>
          <w:tcPr>
            <w:tcW w:w="1603" w:type="pct"/>
            <w:shd w:val="clear" w:color="auto" w:fill="auto"/>
            <w:vAlign w:val="center"/>
          </w:tcPr>
          <w:p w14:paraId="05A8EA99">
            <w:pPr>
              <w:jc w:val="center"/>
              <w:textAlignment w:val="center"/>
              <w:rPr>
                <w:rFonts w:ascii="宋体" w:hAnsi="宋体" w:eastAsia="宋体" w:cs="Times New Roman"/>
                <w:color w:val="auto"/>
              </w:rPr>
            </w:pPr>
            <w:r>
              <w:rPr>
                <w:rFonts w:ascii="宋体" w:hAnsi="宋体" w:eastAsia="宋体" w:cs="Times New Roman"/>
                <w:color w:val="auto"/>
              </w:rPr>
              <w:t>17.2</w:t>
            </w:r>
          </w:p>
        </w:tc>
        <w:tc>
          <w:tcPr>
            <w:tcW w:w="1603" w:type="pct"/>
            <w:shd w:val="clear" w:color="auto" w:fill="auto"/>
            <w:vAlign w:val="center"/>
          </w:tcPr>
          <w:p w14:paraId="3C3C91C0">
            <w:pPr>
              <w:jc w:val="center"/>
              <w:textAlignment w:val="center"/>
              <w:rPr>
                <w:rFonts w:ascii="宋体" w:hAnsi="宋体" w:eastAsia="宋体" w:cs="Times New Roman"/>
                <w:color w:val="auto"/>
              </w:rPr>
            </w:pPr>
            <w:r>
              <w:rPr>
                <w:rFonts w:ascii="宋体" w:hAnsi="宋体" w:eastAsia="宋体" w:cs="Times New Roman"/>
                <w:color w:val="auto"/>
              </w:rPr>
              <w:t>08:05</w:t>
            </w:r>
          </w:p>
        </w:tc>
      </w:tr>
      <w:tr w14:paraId="73E5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577A19E8">
            <w:pPr>
              <w:jc w:val="center"/>
              <w:rPr>
                <w:rFonts w:ascii="宋体" w:hAnsi="宋体" w:eastAsia="宋体" w:cs="Times New Roman"/>
                <w:color w:val="auto"/>
              </w:rPr>
            </w:pPr>
          </w:p>
        </w:tc>
        <w:tc>
          <w:tcPr>
            <w:tcW w:w="657" w:type="pct"/>
            <w:shd w:val="clear" w:color="auto" w:fill="auto"/>
            <w:vAlign w:val="center"/>
          </w:tcPr>
          <w:p w14:paraId="0240C435">
            <w:pPr>
              <w:jc w:val="center"/>
              <w:textAlignment w:val="center"/>
              <w:rPr>
                <w:rFonts w:ascii="宋体" w:hAnsi="宋体" w:eastAsia="宋体" w:cs="Times New Roman"/>
                <w:color w:val="auto"/>
              </w:rPr>
            </w:pPr>
            <w:r>
              <w:rPr>
                <w:rFonts w:ascii="宋体" w:hAnsi="宋体" w:eastAsia="宋体" w:cs="Times New Roman"/>
                <w:color w:val="auto"/>
              </w:rPr>
              <w:t>14:06</w:t>
            </w:r>
          </w:p>
        </w:tc>
        <w:tc>
          <w:tcPr>
            <w:tcW w:w="1603" w:type="pct"/>
            <w:shd w:val="clear" w:color="auto" w:fill="auto"/>
            <w:vAlign w:val="center"/>
          </w:tcPr>
          <w:p w14:paraId="09B3E073">
            <w:pPr>
              <w:jc w:val="center"/>
              <w:textAlignment w:val="center"/>
              <w:rPr>
                <w:rFonts w:ascii="宋体" w:hAnsi="宋体" w:eastAsia="宋体" w:cs="Times New Roman"/>
                <w:color w:val="auto"/>
              </w:rPr>
            </w:pPr>
            <w:r>
              <w:rPr>
                <w:rFonts w:ascii="宋体" w:hAnsi="宋体" w:eastAsia="宋体" w:cs="Times New Roman"/>
                <w:color w:val="auto"/>
              </w:rPr>
              <w:t>20.1</w:t>
            </w:r>
          </w:p>
        </w:tc>
        <w:tc>
          <w:tcPr>
            <w:tcW w:w="1603" w:type="pct"/>
            <w:shd w:val="clear" w:color="auto" w:fill="auto"/>
            <w:vAlign w:val="center"/>
          </w:tcPr>
          <w:p w14:paraId="54B66249">
            <w:pPr>
              <w:jc w:val="center"/>
              <w:textAlignment w:val="center"/>
              <w:rPr>
                <w:rFonts w:ascii="宋体" w:hAnsi="宋体" w:eastAsia="宋体" w:cs="Times New Roman"/>
                <w:color w:val="auto"/>
              </w:rPr>
            </w:pPr>
            <w:r>
              <w:rPr>
                <w:rFonts w:ascii="宋体" w:hAnsi="宋体" w:eastAsia="宋体" w:cs="Times New Roman"/>
                <w:color w:val="auto"/>
              </w:rPr>
              <w:t>14:08</w:t>
            </w:r>
          </w:p>
        </w:tc>
      </w:tr>
      <w:tr w14:paraId="3713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4549F06C">
            <w:pPr>
              <w:jc w:val="center"/>
              <w:rPr>
                <w:rFonts w:ascii="宋体" w:hAnsi="宋体" w:eastAsia="宋体" w:cs="Times New Roman"/>
                <w:color w:val="auto"/>
              </w:rPr>
            </w:pPr>
          </w:p>
        </w:tc>
        <w:tc>
          <w:tcPr>
            <w:tcW w:w="657" w:type="pct"/>
            <w:shd w:val="clear" w:color="auto" w:fill="auto"/>
            <w:vAlign w:val="center"/>
          </w:tcPr>
          <w:p w14:paraId="40993EC5">
            <w:pPr>
              <w:jc w:val="center"/>
              <w:textAlignment w:val="center"/>
              <w:rPr>
                <w:rFonts w:ascii="宋体" w:hAnsi="宋体" w:eastAsia="宋体" w:cs="Times New Roman"/>
                <w:color w:val="auto"/>
              </w:rPr>
            </w:pPr>
            <w:r>
              <w:rPr>
                <w:rFonts w:ascii="宋体" w:hAnsi="宋体" w:eastAsia="宋体" w:cs="Times New Roman"/>
                <w:color w:val="auto"/>
              </w:rPr>
              <w:t>20:10</w:t>
            </w:r>
          </w:p>
        </w:tc>
        <w:tc>
          <w:tcPr>
            <w:tcW w:w="1603" w:type="pct"/>
            <w:shd w:val="clear" w:color="auto" w:fill="auto"/>
            <w:vAlign w:val="center"/>
          </w:tcPr>
          <w:p w14:paraId="5209D5BF">
            <w:pPr>
              <w:jc w:val="center"/>
              <w:textAlignment w:val="center"/>
              <w:rPr>
                <w:rFonts w:ascii="宋体" w:hAnsi="宋体" w:eastAsia="宋体" w:cs="Times New Roman"/>
                <w:color w:val="auto"/>
              </w:rPr>
            </w:pPr>
            <w:r>
              <w:rPr>
                <w:rFonts w:ascii="宋体" w:hAnsi="宋体" w:eastAsia="宋体" w:cs="Times New Roman"/>
                <w:color w:val="auto"/>
              </w:rPr>
              <w:t>16.9</w:t>
            </w:r>
          </w:p>
        </w:tc>
        <w:tc>
          <w:tcPr>
            <w:tcW w:w="1603" w:type="pct"/>
            <w:shd w:val="clear" w:color="auto" w:fill="auto"/>
            <w:vAlign w:val="center"/>
          </w:tcPr>
          <w:p w14:paraId="5E59D37B">
            <w:pPr>
              <w:jc w:val="center"/>
              <w:textAlignment w:val="center"/>
              <w:rPr>
                <w:rFonts w:ascii="宋体" w:hAnsi="宋体" w:eastAsia="宋体" w:cs="Times New Roman"/>
                <w:color w:val="auto"/>
              </w:rPr>
            </w:pPr>
            <w:r>
              <w:rPr>
                <w:rFonts w:ascii="宋体" w:hAnsi="宋体" w:eastAsia="宋体" w:cs="Times New Roman"/>
                <w:color w:val="auto"/>
              </w:rPr>
              <w:t>20:06</w:t>
            </w:r>
          </w:p>
        </w:tc>
      </w:tr>
      <w:tr w14:paraId="4E31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3" w:type="pct"/>
            <w:gridSpan w:val="2"/>
            <w:shd w:val="clear" w:color="auto" w:fill="auto"/>
            <w:vAlign w:val="center"/>
          </w:tcPr>
          <w:p w14:paraId="6F027C40">
            <w:pPr>
              <w:jc w:val="center"/>
              <w:rPr>
                <w:rFonts w:ascii="宋体" w:hAnsi="宋体" w:eastAsia="宋体" w:cs="Times New Roman"/>
                <w:color w:val="auto"/>
              </w:rPr>
            </w:pPr>
            <w:r>
              <w:rPr>
                <w:rFonts w:ascii="宋体" w:hAnsi="宋体" w:eastAsia="宋体" w:cs="Times New Roman"/>
                <w:color w:val="auto"/>
              </w:rPr>
              <w:t>监测点位</w:t>
            </w:r>
          </w:p>
        </w:tc>
        <w:tc>
          <w:tcPr>
            <w:tcW w:w="3207" w:type="pct"/>
            <w:gridSpan w:val="2"/>
            <w:shd w:val="clear" w:color="auto" w:fill="auto"/>
            <w:vAlign w:val="center"/>
          </w:tcPr>
          <w:p w14:paraId="4D659C7C">
            <w:pPr>
              <w:jc w:val="center"/>
              <w:rPr>
                <w:rFonts w:ascii="宋体" w:hAnsi="宋体" w:eastAsia="宋体" w:cs="Times New Roman"/>
                <w:color w:val="auto"/>
                <w:kern w:val="24"/>
              </w:rPr>
            </w:pPr>
            <w:r>
              <w:rPr>
                <w:rFonts w:ascii="宋体" w:hAnsi="宋体" w:eastAsia="宋体" w:cs="Times New Roman"/>
                <w:color w:val="auto"/>
                <w:kern w:val="24"/>
              </w:rPr>
              <w:t>中心西干渠</w:t>
            </w:r>
          </w:p>
        </w:tc>
      </w:tr>
      <w:tr w14:paraId="0514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4C4BCEDC">
            <w:pPr>
              <w:jc w:val="center"/>
              <w:rPr>
                <w:rFonts w:ascii="宋体" w:hAnsi="宋体" w:eastAsia="宋体" w:cs="Times New Roman"/>
                <w:color w:val="auto"/>
              </w:rPr>
            </w:pPr>
            <w:r>
              <w:rPr>
                <w:rFonts w:ascii="宋体" w:hAnsi="宋体" w:eastAsia="宋体" w:cs="Times New Roman"/>
                <w:color w:val="auto"/>
              </w:rPr>
              <w:t>监测项目</w:t>
            </w:r>
          </w:p>
        </w:tc>
        <w:tc>
          <w:tcPr>
            <w:tcW w:w="657" w:type="pct"/>
            <w:shd w:val="clear" w:color="auto" w:fill="auto"/>
            <w:vAlign w:val="center"/>
          </w:tcPr>
          <w:p w14:paraId="134BBDCB">
            <w:pPr>
              <w:jc w:val="center"/>
              <w:rPr>
                <w:rFonts w:ascii="宋体" w:hAnsi="宋体" w:eastAsia="宋体" w:cs="Times New Roman"/>
                <w:color w:val="auto"/>
              </w:rPr>
            </w:pPr>
            <w:r>
              <w:rPr>
                <w:rFonts w:ascii="宋体" w:hAnsi="宋体" w:eastAsia="宋体" w:cs="Times New Roman"/>
                <w:color w:val="auto"/>
              </w:rPr>
              <w:t>单位</w:t>
            </w:r>
          </w:p>
        </w:tc>
        <w:tc>
          <w:tcPr>
            <w:tcW w:w="1603" w:type="pct"/>
            <w:shd w:val="clear" w:color="auto" w:fill="auto"/>
            <w:vAlign w:val="center"/>
          </w:tcPr>
          <w:p w14:paraId="5BBCCF7D">
            <w:pPr>
              <w:jc w:val="center"/>
              <w:rPr>
                <w:rFonts w:ascii="宋体" w:hAnsi="宋体" w:eastAsia="宋体" w:cs="Times New Roman"/>
                <w:color w:val="auto"/>
              </w:rPr>
            </w:pPr>
            <w:r>
              <w:rPr>
                <w:rFonts w:ascii="宋体" w:hAnsi="宋体" w:eastAsia="宋体" w:cs="Times New Roman"/>
                <w:color w:val="auto"/>
              </w:rPr>
              <w:t>DB250821Q02</w:t>
            </w:r>
          </w:p>
        </w:tc>
        <w:tc>
          <w:tcPr>
            <w:tcW w:w="1603" w:type="pct"/>
            <w:shd w:val="clear" w:color="auto" w:fill="auto"/>
            <w:vAlign w:val="center"/>
          </w:tcPr>
          <w:p w14:paraId="7570D7D5">
            <w:pPr>
              <w:jc w:val="center"/>
              <w:rPr>
                <w:rFonts w:ascii="宋体" w:hAnsi="宋体" w:eastAsia="宋体" w:cs="Times New Roman"/>
                <w:color w:val="auto"/>
              </w:rPr>
            </w:pPr>
            <w:r>
              <w:rPr>
                <w:rFonts w:ascii="宋体" w:hAnsi="宋体" w:eastAsia="宋体" w:cs="Times New Roman"/>
                <w:color w:val="auto"/>
              </w:rPr>
              <w:t>DB250822Q02</w:t>
            </w:r>
          </w:p>
        </w:tc>
      </w:tr>
      <w:tr w14:paraId="5DEB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102F1089">
            <w:pPr>
              <w:jc w:val="center"/>
              <w:rPr>
                <w:rFonts w:ascii="宋体" w:hAnsi="宋体" w:eastAsia="宋体" w:cs="Times New Roman"/>
                <w:color w:val="auto"/>
                <w:shd w:val="clear" w:color="auto" w:fill="FFFFFF"/>
              </w:rPr>
            </w:pPr>
            <w:r>
              <w:rPr>
                <w:rFonts w:ascii="宋体" w:hAnsi="宋体" w:eastAsia="宋体" w:cs="Times New Roman"/>
                <w:color w:val="auto"/>
              </w:rPr>
              <w:t>pH</w:t>
            </w:r>
          </w:p>
        </w:tc>
        <w:tc>
          <w:tcPr>
            <w:tcW w:w="657" w:type="pct"/>
            <w:shd w:val="clear" w:color="auto" w:fill="auto"/>
            <w:vAlign w:val="center"/>
          </w:tcPr>
          <w:p w14:paraId="789A0EC4">
            <w:pPr>
              <w:jc w:val="center"/>
              <w:rPr>
                <w:rFonts w:ascii="宋体" w:hAnsi="宋体" w:eastAsia="宋体" w:cs="Times New Roman"/>
                <w:color w:val="auto"/>
                <w:shd w:val="clear" w:color="auto" w:fill="FFFFFF"/>
              </w:rPr>
            </w:pPr>
            <w:r>
              <w:rPr>
                <w:rFonts w:ascii="宋体" w:hAnsi="宋体" w:eastAsia="宋体" w:cs="Times New Roman"/>
                <w:color w:val="auto"/>
              </w:rPr>
              <w:t>无量纲</w:t>
            </w:r>
          </w:p>
        </w:tc>
        <w:tc>
          <w:tcPr>
            <w:tcW w:w="1603" w:type="pct"/>
            <w:shd w:val="clear" w:color="auto" w:fill="auto"/>
            <w:vAlign w:val="center"/>
          </w:tcPr>
          <w:p w14:paraId="49355B7B">
            <w:pPr>
              <w:jc w:val="center"/>
              <w:textAlignment w:val="center"/>
              <w:rPr>
                <w:rFonts w:ascii="宋体" w:hAnsi="宋体" w:eastAsia="宋体" w:cs="Times New Roman"/>
                <w:color w:val="auto"/>
              </w:rPr>
            </w:pPr>
            <w:r>
              <w:rPr>
                <w:rFonts w:ascii="宋体" w:hAnsi="宋体" w:eastAsia="宋体" w:cs="Times New Roman"/>
                <w:color w:val="auto"/>
              </w:rPr>
              <w:t>7.9</w:t>
            </w:r>
          </w:p>
        </w:tc>
        <w:tc>
          <w:tcPr>
            <w:tcW w:w="1603" w:type="pct"/>
            <w:shd w:val="clear" w:color="auto" w:fill="auto"/>
            <w:vAlign w:val="center"/>
          </w:tcPr>
          <w:p w14:paraId="1F035547">
            <w:pPr>
              <w:jc w:val="center"/>
              <w:textAlignment w:val="center"/>
              <w:rPr>
                <w:rFonts w:ascii="宋体" w:hAnsi="宋体" w:eastAsia="宋体" w:cs="Times New Roman"/>
                <w:color w:val="auto"/>
              </w:rPr>
            </w:pPr>
            <w:r>
              <w:rPr>
                <w:rFonts w:ascii="宋体" w:hAnsi="宋体" w:eastAsia="宋体" w:cs="Times New Roman"/>
                <w:color w:val="auto"/>
              </w:rPr>
              <w:t>8.0</w:t>
            </w:r>
          </w:p>
        </w:tc>
      </w:tr>
      <w:tr w14:paraId="3E72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25CBCA5E">
            <w:pPr>
              <w:jc w:val="center"/>
              <w:rPr>
                <w:rFonts w:ascii="宋体" w:hAnsi="宋体" w:eastAsia="宋体" w:cs="Times New Roman"/>
                <w:color w:val="auto"/>
              </w:rPr>
            </w:pPr>
            <w:r>
              <w:rPr>
                <w:rFonts w:ascii="宋体" w:hAnsi="宋体" w:eastAsia="宋体" w:cs="Times New Roman"/>
                <w:color w:val="auto"/>
              </w:rPr>
              <w:t>COD</w:t>
            </w:r>
            <w:r>
              <w:rPr>
                <w:rFonts w:ascii="宋体" w:hAnsi="宋体" w:eastAsia="宋体" w:cs="Times New Roman"/>
                <w:color w:val="auto"/>
                <w:vertAlign w:val="subscript"/>
              </w:rPr>
              <w:t>cr</w:t>
            </w:r>
          </w:p>
        </w:tc>
        <w:tc>
          <w:tcPr>
            <w:tcW w:w="657" w:type="pct"/>
            <w:shd w:val="clear" w:color="auto" w:fill="auto"/>
            <w:vAlign w:val="center"/>
          </w:tcPr>
          <w:p w14:paraId="161F3B23">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472C7007">
            <w:pPr>
              <w:jc w:val="center"/>
              <w:textAlignment w:val="center"/>
              <w:rPr>
                <w:rFonts w:ascii="宋体" w:hAnsi="宋体" w:eastAsia="宋体" w:cs="Times New Roman"/>
                <w:color w:val="auto"/>
              </w:rPr>
            </w:pPr>
            <w:r>
              <w:rPr>
                <w:rFonts w:ascii="宋体" w:hAnsi="宋体" w:eastAsia="宋体" w:cs="Times New Roman"/>
                <w:color w:val="auto"/>
              </w:rPr>
              <w:t>31</w:t>
            </w:r>
          </w:p>
        </w:tc>
        <w:tc>
          <w:tcPr>
            <w:tcW w:w="1603" w:type="pct"/>
            <w:shd w:val="clear" w:color="auto" w:fill="auto"/>
            <w:vAlign w:val="center"/>
          </w:tcPr>
          <w:p w14:paraId="0ED28CDF">
            <w:pPr>
              <w:jc w:val="center"/>
              <w:textAlignment w:val="center"/>
              <w:rPr>
                <w:rFonts w:ascii="宋体" w:hAnsi="宋体" w:eastAsia="宋体" w:cs="Times New Roman"/>
                <w:color w:val="auto"/>
              </w:rPr>
            </w:pPr>
            <w:r>
              <w:rPr>
                <w:rFonts w:ascii="宋体" w:hAnsi="宋体" w:eastAsia="宋体" w:cs="Times New Roman"/>
                <w:color w:val="auto"/>
              </w:rPr>
              <w:t>30</w:t>
            </w:r>
          </w:p>
        </w:tc>
      </w:tr>
      <w:tr w14:paraId="6232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5A6271B4">
            <w:pPr>
              <w:jc w:val="center"/>
              <w:rPr>
                <w:rFonts w:ascii="宋体" w:hAnsi="宋体" w:eastAsia="宋体" w:cs="Times New Roman"/>
                <w:color w:val="auto"/>
              </w:rPr>
            </w:pPr>
            <w:r>
              <w:rPr>
                <w:rFonts w:ascii="宋体" w:hAnsi="宋体" w:eastAsia="宋体" w:cs="Times New Roman"/>
                <w:color w:val="auto"/>
              </w:rPr>
              <w:t>BOD</w:t>
            </w:r>
            <w:r>
              <w:rPr>
                <w:rFonts w:ascii="宋体" w:hAnsi="宋体" w:eastAsia="宋体" w:cs="Times New Roman"/>
                <w:color w:val="auto"/>
                <w:vertAlign w:val="subscript"/>
              </w:rPr>
              <w:t>5</w:t>
            </w:r>
          </w:p>
        </w:tc>
        <w:tc>
          <w:tcPr>
            <w:tcW w:w="657" w:type="pct"/>
            <w:shd w:val="clear" w:color="auto" w:fill="auto"/>
            <w:vAlign w:val="center"/>
          </w:tcPr>
          <w:p w14:paraId="0DB0F1C4">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5837AAD8">
            <w:pPr>
              <w:jc w:val="center"/>
              <w:textAlignment w:val="center"/>
              <w:rPr>
                <w:rFonts w:ascii="宋体" w:hAnsi="宋体" w:eastAsia="宋体" w:cs="Times New Roman"/>
                <w:color w:val="auto"/>
              </w:rPr>
            </w:pPr>
            <w:r>
              <w:rPr>
                <w:rFonts w:ascii="宋体" w:hAnsi="宋体" w:eastAsia="宋体" w:cs="Times New Roman"/>
                <w:color w:val="auto"/>
              </w:rPr>
              <w:t>4.2</w:t>
            </w:r>
          </w:p>
        </w:tc>
        <w:tc>
          <w:tcPr>
            <w:tcW w:w="1603" w:type="pct"/>
            <w:shd w:val="clear" w:color="auto" w:fill="auto"/>
            <w:vAlign w:val="center"/>
          </w:tcPr>
          <w:p w14:paraId="6AA1F49C">
            <w:pPr>
              <w:jc w:val="center"/>
              <w:textAlignment w:val="center"/>
              <w:rPr>
                <w:rFonts w:ascii="宋体" w:hAnsi="宋体" w:eastAsia="宋体" w:cs="Times New Roman"/>
                <w:color w:val="auto"/>
              </w:rPr>
            </w:pPr>
            <w:r>
              <w:rPr>
                <w:rFonts w:ascii="宋体" w:hAnsi="宋体" w:eastAsia="宋体" w:cs="Times New Roman"/>
                <w:color w:val="auto"/>
              </w:rPr>
              <w:t>4.0</w:t>
            </w:r>
          </w:p>
        </w:tc>
      </w:tr>
      <w:tr w14:paraId="25E9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33D7F836">
            <w:pPr>
              <w:jc w:val="center"/>
              <w:rPr>
                <w:rFonts w:ascii="宋体" w:hAnsi="宋体" w:eastAsia="宋体" w:cs="Times New Roman"/>
                <w:color w:val="auto"/>
                <w:shd w:val="clear" w:color="auto" w:fill="FFFFFF"/>
              </w:rPr>
            </w:pPr>
            <w:r>
              <w:rPr>
                <w:rFonts w:ascii="宋体" w:hAnsi="宋体" w:eastAsia="宋体" w:cs="Times New Roman"/>
                <w:color w:val="auto"/>
              </w:rPr>
              <w:t>氨氮</w:t>
            </w:r>
          </w:p>
        </w:tc>
        <w:tc>
          <w:tcPr>
            <w:tcW w:w="657" w:type="pct"/>
            <w:shd w:val="clear" w:color="auto" w:fill="auto"/>
            <w:vAlign w:val="center"/>
          </w:tcPr>
          <w:p w14:paraId="7F5A07BB">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3BE78227">
            <w:pPr>
              <w:jc w:val="center"/>
              <w:textAlignment w:val="center"/>
              <w:rPr>
                <w:rFonts w:ascii="宋体" w:hAnsi="宋体" w:eastAsia="宋体" w:cs="Times New Roman"/>
                <w:color w:val="auto"/>
              </w:rPr>
            </w:pPr>
            <w:r>
              <w:rPr>
                <w:rFonts w:ascii="宋体" w:hAnsi="宋体" w:eastAsia="宋体" w:cs="Times New Roman"/>
                <w:color w:val="auto"/>
              </w:rPr>
              <w:t>0.999</w:t>
            </w:r>
          </w:p>
        </w:tc>
        <w:tc>
          <w:tcPr>
            <w:tcW w:w="1603" w:type="pct"/>
            <w:shd w:val="clear" w:color="auto" w:fill="auto"/>
            <w:vAlign w:val="center"/>
          </w:tcPr>
          <w:p w14:paraId="3B78D754">
            <w:pPr>
              <w:jc w:val="center"/>
              <w:textAlignment w:val="center"/>
              <w:rPr>
                <w:rFonts w:ascii="宋体" w:hAnsi="宋体" w:eastAsia="宋体" w:cs="Times New Roman"/>
                <w:color w:val="auto"/>
              </w:rPr>
            </w:pPr>
            <w:r>
              <w:rPr>
                <w:rFonts w:ascii="宋体" w:hAnsi="宋体" w:eastAsia="宋体" w:cs="Times New Roman"/>
                <w:color w:val="auto"/>
              </w:rPr>
              <w:t>0.986</w:t>
            </w:r>
          </w:p>
        </w:tc>
      </w:tr>
      <w:tr w14:paraId="3D0E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09972AA0">
            <w:pPr>
              <w:jc w:val="center"/>
              <w:rPr>
                <w:rFonts w:ascii="宋体" w:hAnsi="宋体" w:eastAsia="宋体" w:cs="Times New Roman"/>
                <w:color w:val="auto"/>
                <w:shd w:val="clear" w:color="auto" w:fill="FFFFFF"/>
              </w:rPr>
            </w:pPr>
            <w:r>
              <w:rPr>
                <w:rFonts w:ascii="宋体" w:hAnsi="宋体" w:eastAsia="宋体" w:cs="Times New Roman"/>
                <w:color w:val="auto"/>
              </w:rPr>
              <w:t>总磷</w:t>
            </w:r>
          </w:p>
        </w:tc>
        <w:tc>
          <w:tcPr>
            <w:tcW w:w="657" w:type="pct"/>
            <w:shd w:val="clear" w:color="auto" w:fill="auto"/>
            <w:vAlign w:val="center"/>
          </w:tcPr>
          <w:p w14:paraId="074AEFAE">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60D9987C">
            <w:pPr>
              <w:jc w:val="center"/>
              <w:textAlignment w:val="center"/>
              <w:rPr>
                <w:rFonts w:ascii="宋体" w:hAnsi="宋体" w:eastAsia="宋体" w:cs="Times New Roman"/>
                <w:color w:val="auto"/>
              </w:rPr>
            </w:pPr>
            <w:r>
              <w:rPr>
                <w:rFonts w:ascii="宋体" w:hAnsi="宋体" w:eastAsia="宋体" w:cs="Times New Roman"/>
                <w:color w:val="auto"/>
              </w:rPr>
              <w:t>0.13</w:t>
            </w:r>
          </w:p>
        </w:tc>
        <w:tc>
          <w:tcPr>
            <w:tcW w:w="1603" w:type="pct"/>
            <w:shd w:val="clear" w:color="auto" w:fill="auto"/>
            <w:vAlign w:val="center"/>
          </w:tcPr>
          <w:p w14:paraId="16BBC8AE">
            <w:pPr>
              <w:jc w:val="center"/>
              <w:textAlignment w:val="center"/>
              <w:rPr>
                <w:rFonts w:ascii="宋体" w:hAnsi="宋体" w:eastAsia="宋体" w:cs="Times New Roman"/>
                <w:color w:val="auto"/>
              </w:rPr>
            </w:pPr>
            <w:r>
              <w:rPr>
                <w:rFonts w:ascii="宋体" w:hAnsi="宋体" w:eastAsia="宋体" w:cs="Times New Roman"/>
                <w:color w:val="auto"/>
              </w:rPr>
              <w:t>0.17</w:t>
            </w:r>
          </w:p>
        </w:tc>
      </w:tr>
      <w:tr w14:paraId="3782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71C9B8CA">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石油类</w:t>
            </w:r>
          </w:p>
        </w:tc>
        <w:tc>
          <w:tcPr>
            <w:tcW w:w="657" w:type="pct"/>
            <w:shd w:val="clear" w:color="auto" w:fill="auto"/>
            <w:vAlign w:val="center"/>
          </w:tcPr>
          <w:p w14:paraId="62C3217B">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72E84E83">
            <w:pPr>
              <w:jc w:val="center"/>
              <w:textAlignment w:val="center"/>
              <w:rPr>
                <w:rFonts w:ascii="宋体" w:hAnsi="宋体" w:eastAsia="宋体" w:cs="Times New Roman"/>
                <w:color w:val="auto"/>
              </w:rPr>
            </w:pPr>
            <w:r>
              <w:rPr>
                <w:rFonts w:ascii="宋体" w:hAnsi="宋体" w:eastAsia="宋体" w:cs="Times New Roman"/>
                <w:color w:val="auto"/>
                <w:lang w:bidi="ar"/>
              </w:rPr>
              <w:t>0.01L</w:t>
            </w:r>
          </w:p>
        </w:tc>
        <w:tc>
          <w:tcPr>
            <w:tcW w:w="1603" w:type="pct"/>
            <w:shd w:val="clear" w:color="auto" w:fill="auto"/>
            <w:vAlign w:val="center"/>
          </w:tcPr>
          <w:p w14:paraId="5518E7D5">
            <w:pPr>
              <w:jc w:val="center"/>
              <w:textAlignment w:val="center"/>
              <w:rPr>
                <w:rFonts w:ascii="宋体" w:hAnsi="宋体" w:eastAsia="宋体" w:cs="Times New Roman"/>
                <w:color w:val="auto"/>
                <w:lang w:bidi="ar"/>
              </w:rPr>
            </w:pPr>
            <w:r>
              <w:rPr>
                <w:rFonts w:ascii="宋体" w:hAnsi="宋体" w:eastAsia="宋体" w:cs="Times New Roman"/>
                <w:color w:val="auto"/>
                <w:lang w:bidi="ar"/>
              </w:rPr>
              <w:t>0.01L</w:t>
            </w:r>
          </w:p>
        </w:tc>
      </w:tr>
      <w:tr w14:paraId="6D97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2C449F4B">
            <w:pPr>
              <w:jc w:val="center"/>
              <w:rPr>
                <w:rFonts w:ascii="宋体" w:hAnsi="宋体" w:eastAsia="宋体" w:cs="Times New Roman"/>
                <w:color w:val="auto"/>
              </w:rPr>
            </w:pPr>
            <w:r>
              <w:rPr>
                <w:rFonts w:ascii="宋体" w:hAnsi="宋体" w:eastAsia="宋体" w:cs="Times New Roman"/>
                <w:color w:val="auto"/>
              </w:rPr>
              <w:t>挥发酚</w:t>
            </w:r>
          </w:p>
        </w:tc>
        <w:tc>
          <w:tcPr>
            <w:tcW w:w="657" w:type="pct"/>
            <w:shd w:val="clear" w:color="auto" w:fill="auto"/>
            <w:vAlign w:val="center"/>
          </w:tcPr>
          <w:p w14:paraId="5F9FC328">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0F0EB73E">
            <w:pPr>
              <w:jc w:val="center"/>
              <w:textAlignment w:val="center"/>
              <w:rPr>
                <w:rFonts w:ascii="宋体" w:hAnsi="宋体" w:eastAsia="宋体" w:cs="Times New Roman"/>
                <w:color w:val="auto"/>
              </w:rPr>
            </w:pPr>
            <w:r>
              <w:rPr>
                <w:rFonts w:ascii="宋体" w:hAnsi="宋体" w:eastAsia="宋体" w:cs="Times New Roman"/>
                <w:color w:val="auto"/>
                <w:lang w:bidi="ar"/>
              </w:rPr>
              <w:t>0.0003L</w:t>
            </w:r>
          </w:p>
        </w:tc>
        <w:tc>
          <w:tcPr>
            <w:tcW w:w="1603" w:type="pct"/>
            <w:shd w:val="clear" w:color="auto" w:fill="auto"/>
            <w:vAlign w:val="center"/>
          </w:tcPr>
          <w:p w14:paraId="4298739B">
            <w:pPr>
              <w:jc w:val="center"/>
              <w:textAlignment w:val="center"/>
              <w:rPr>
                <w:rFonts w:ascii="宋体" w:hAnsi="宋体" w:eastAsia="宋体" w:cs="Times New Roman"/>
                <w:color w:val="auto"/>
              </w:rPr>
            </w:pPr>
            <w:r>
              <w:rPr>
                <w:rFonts w:ascii="宋体" w:hAnsi="宋体" w:eastAsia="宋体" w:cs="Times New Roman"/>
                <w:color w:val="auto"/>
                <w:lang w:bidi="ar"/>
              </w:rPr>
              <w:t>0.0003L</w:t>
            </w:r>
          </w:p>
        </w:tc>
      </w:tr>
      <w:tr w14:paraId="3FC3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7412C5BE">
            <w:pPr>
              <w:jc w:val="center"/>
              <w:rPr>
                <w:rFonts w:ascii="宋体" w:hAnsi="宋体" w:eastAsia="宋体" w:cs="Times New Roman"/>
                <w:color w:val="auto"/>
              </w:rPr>
            </w:pPr>
            <w:r>
              <w:rPr>
                <w:rFonts w:ascii="宋体" w:hAnsi="宋体" w:eastAsia="宋体" w:cs="Times New Roman"/>
                <w:color w:val="auto"/>
              </w:rPr>
              <w:t>悬浮物</w:t>
            </w:r>
          </w:p>
        </w:tc>
        <w:tc>
          <w:tcPr>
            <w:tcW w:w="657" w:type="pct"/>
            <w:shd w:val="clear" w:color="auto" w:fill="auto"/>
            <w:vAlign w:val="center"/>
          </w:tcPr>
          <w:p w14:paraId="0F390A14">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1A446514">
            <w:pPr>
              <w:jc w:val="center"/>
              <w:textAlignment w:val="center"/>
              <w:rPr>
                <w:rFonts w:ascii="宋体" w:hAnsi="宋体" w:eastAsia="宋体" w:cs="Times New Roman"/>
                <w:color w:val="auto"/>
              </w:rPr>
            </w:pPr>
            <w:r>
              <w:rPr>
                <w:rFonts w:ascii="宋体" w:hAnsi="宋体" w:eastAsia="宋体" w:cs="Times New Roman"/>
                <w:color w:val="auto"/>
                <w:lang w:bidi="ar"/>
              </w:rPr>
              <w:t>11</w:t>
            </w:r>
          </w:p>
        </w:tc>
        <w:tc>
          <w:tcPr>
            <w:tcW w:w="1603" w:type="pct"/>
            <w:shd w:val="clear" w:color="auto" w:fill="auto"/>
            <w:vAlign w:val="center"/>
          </w:tcPr>
          <w:p w14:paraId="4CE67280">
            <w:pPr>
              <w:jc w:val="center"/>
              <w:textAlignment w:val="center"/>
              <w:rPr>
                <w:rFonts w:ascii="宋体" w:hAnsi="宋体" w:eastAsia="宋体" w:cs="Times New Roman"/>
                <w:color w:val="auto"/>
              </w:rPr>
            </w:pPr>
            <w:r>
              <w:rPr>
                <w:rFonts w:ascii="宋体" w:hAnsi="宋体" w:eastAsia="宋体" w:cs="Times New Roman"/>
                <w:color w:val="auto"/>
                <w:lang w:bidi="ar"/>
              </w:rPr>
              <w:t>10</w:t>
            </w:r>
          </w:p>
        </w:tc>
      </w:tr>
      <w:tr w14:paraId="500B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4B4D9F84">
            <w:pPr>
              <w:jc w:val="center"/>
              <w:rPr>
                <w:rFonts w:ascii="宋体" w:hAnsi="宋体" w:eastAsia="宋体" w:cs="Times New Roman"/>
                <w:color w:val="auto"/>
              </w:rPr>
            </w:pPr>
            <w:r>
              <w:rPr>
                <w:rFonts w:ascii="宋体" w:hAnsi="宋体" w:eastAsia="宋体" w:cs="Times New Roman"/>
                <w:color w:val="auto"/>
              </w:rPr>
              <w:t>砷</w:t>
            </w:r>
          </w:p>
        </w:tc>
        <w:tc>
          <w:tcPr>
            <w:tcW w:w="657" w:type="pct"/>
            <w:shd w:val="clear" w:color="auto" w:fill="auto"/>
            <w:vAlign w:val="center"/>
          </w:tcPr>
          <w:p w14:paraId="7BED5641">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5B12EA81">
            <w:pPr>
              <w:jc w:val="center"/>
              <w:textAlignment w:val="center"/>
              <w:rPr>
                <w:rFonts w:ascii="宋体" w:hAnsi="宋体" w:eastAsia="宋体" w:cs="Times New Roman"/>
                <w:color w:val="auto"/>
              </w:rPr>
            </w:pPr>
            <w:r>
              <w:rPr>
                <w:rFonts w:ascii="宋体" w:hAnsi="宋体" w:eastAsia="宋体" w:cs="Times New Roman"/>
                <w:color w:val="auto"/>
                <w:lang w:bidi="ar"/>
              </w:rPr>
              <w:t>0.0003L</w:t>
            </w:r>
          </w:p>
        </w:tc>
        <w:tc>
          <w:tcPr>
            <w:tcW w:w="1603" w:type="pct"/>
            <w:shd w:val="clear" w:color="auto" w:fill="auto"/>
            <w:vAlign w:val="center"/>
          </w:tcPr>
          <w:p w14:paraId="7FBB5078">
            <w:pPr>
              <w:jc w:val="center"/>
              <w:textAlignment w:val="center"/>
              <w:rPr>
                <w:rFonts w:ascii="宋体" w:hAnsi="宋体" w:eastAsia="宋体" w:cs="Times New Roman"/>
                <w:color w:val="auto"/>
              </w:rPr>
            </w:pPr>
            <w:r>
              <w:rPr>
                <w:rFonts w:ascii="宋体" w:hAnsi="宋体" w:eastAsia="宋体" w:cs="Times New Roman"/>
                <w:color w:val="auto"/>
                <w:lang w:bidi="ar"/>
              </w:rPr>
              <w:t>0.0003L</w:t>
            </w:r>
          </w:p>
        </w:tc>
      </w:tr>
      <w:tr w14:paraId="61D0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51AE0FFE">
            <w:pPr>
              <w:jc w:val="center"/>
              <w:rPr>
                <w:rFonts w:ascii="宋体" w:hAnsi="宋体" w:eastAsia="宋体" w:cs="Times New Roman"/>
                <w:color w:val="auto"/>
              </w:rPr>
            </w:pPr>
            <w:r>
              <w:rPr>
                <w:rFonts w:ascii="宋体" w:hAnsi="宋体" w:eastAsia="宋体" w:cs="Times New Roman"/>
                <w:color w:val="auto"/>
              </w:rPr>
              <w:t>汞</w:t>
            </w:r>
          </w:p>
        </w:tc>
        <w:tc>
          <w:tcPr>
            <w:tcW w:w="657" w:type="pct"/>
            <w:shd w:val="clear" w:color="auto" w:fill="auto"/>
            <w:vAlign w:val="center"/>
          </w:tcPr>
          <w:p w14:paraId="1DA864D5">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603105E3">
            <w:pPr>
              <w:adjustRightInd w:val="0"/>
              <w:snapToGrid w:val="0"/>
              <w:jc w:val="center"/>
              <w:rPr>
                <w:rFonts w:ascii="宋体" w:hAnsi="宋体" w:eastAsia="宋体" w:cs="Times New Roman"/>
                <w:color w:val="auto"/>
              </w:rPr>
            </w:pPr>
            <w:r>
              <w:rPr>
                <w:rFonts w:ascii="宋体" w:hAnsi="宋体" w:eastAsia="宋体" w:cs="Times New Roman"/>
                <w:color w:val="auto"/>
              </w:rPr>
              <w:t>0.00004L</w:t>
            </w:r>
          </w:p>
        </w:tc>
        <w:tc>
          <w:tcPr>
            <w:tcW w:w="1603" w:type="pct"/>
            <w:shd w:val="clear" w:color="auto" w:fill="auto"/>
            <w:vAlign w:val="center"/>
          </w:tcPr>
          <w:p w14:paraId="53BBAC61">
            <w:pPr>
              <w:adjustRightInd w:val="0"/>
              <w:snapToGrid w:val="0"/>
              <w:jc w:val="center"/>
              <w:rPr>
                <w:rFonts w:ascii="宋体" w:hAnsi="宋体" w:eastAsia="宋体" w:cs="Times New Roman"/>
                <w:color w:val="auto"/>
              </w:rPr>
            </w:pPr>
            <w:r>
              <w:rPr>
                <w:rFonts w:ascii="宋体" w:hAnsi="宋体" w:eastAsia="宋体" w:cs="Times New Roman"/>
                <w:color w:val="auto"/>
              </w:rPr>
              <w:t>0.00004L</w:t>
            </w:r>
          </w:p>
        </w:tc>
      </w:tr>
      <w:tr w14:paraId="52F3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2915A562">
            <w:pPr>
              <w:jc w:val="center"/>
              <w:rPr>
                <w:rFonts w:ascii="宋体" w:hAnsi="宋体" w:eastAsia="宋体" w:cs="Times New Roman"/>
                <w:color w:val="auto"/>
              </w:rPr>
            </w:pPr>
            <w:r>
              <w:rPr>
                <w:rFonts w:ascii="宋体" w:hAnsi="宋体" w:eastAsia="宋体" w:cs="Times New Roman"/>
                <w:color w:val="auto"/>
              </w:rPr>
              <w:t>镉</w:t>
            </w:r>
          </w:p>
        </w:tc>
        <w:tc>
          <w:tcPr>
            <w:tcW w:w="657" w:type="pct"/>
            <w:shd w:val="clear" w:color="auto" w:fill="auto"/>
            <w:vAlign w:val="center"/>
          </w:tcPr>
          <w:p w14:paraId="3E766037">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5E55FFFC">
            <w:pPr>
              <w:pStyle w:val="169"/>
              <w:rPr>
                <w:rFonts w:ascii="宋体" w:hAnsi="宋体"/>
                <w:color w:val="auto"/>
                <w:sz w:val="21"/>
              </w:rPr>
            </w:pPr>
            <w:r>
              <w:rPr>
                <w:rFonts w:ascii="宋体" w:hAnsi="宋体"/>
                <w:color w:val="auto"/>
                <w:sz w:val="21"/>
              </w:rPr>
              <w:t>0.0001L</w:t>
            </w:r>
          </w:p>
        </w:tc>
        <w:tc>
          <w:tcPr>
            <w:tcW w:w="1603" w:type="pct"/>
            <w:shd w:val="clear" w:color="auto" w:fill="auto"/>
            <w:vAlign w:val="center"/>
          </w:tcPr>
          <w:p w14:paraId="244A56DE">
            <w:pPr>
              <w:pStyle w:val="169"/>
              <w:rPr>
                <w:rFonts w:ascii="宋体" w:hAnsi="宋体"/>
                <w:color w:val="auto"/>
                <w:sz w:val="21"/>
              </w:rPr>
            </w:pPr>
            <w:r>
              <w:rPr>
                <w:rFonts w:ascii="宋体" w:hAnsi="宋体"/>
                <w:color w:val="auto"/>
                <w:sz w:val="21"/>
              </w:rPr>
              <w:t>0.0001L</w:t>
            </w:r>
          </w:p>
        </w:tc>
      </w:tr>
      <w:tr w14:paraId="1F23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590B48CD">
            <w:pPr>
              <w:jc w:val="center"/>
              <w:rPr>
                <w:rFonts w:ascii="宋体" w:hAnsi="宋体" w:eastAsia="宋体" w:cs="Times New Roman"/>
                <w:color w:val="auto"/>
              </w:rPr>
            </w:pPr>
            <w:r>
              <w:rPr>
                <w:rFonts w:ascii="宋体" w:hAnsi="宋体" w:eastAsia="宋体" w:cs="Times New Roman"/>
                <w:color w:val="auto"/>
              </w:rPr>
              <w:t>六价铬</w:t>
            </w:r>
          </w:p>
        </w:tc>
        <w:tc>
          <w:tcPr>
            <w:tcW w:w="657" w:type="pct"/>
            <w:shd w:val="clear" w:color="auto" w:fill="auto"/>
            <w:vAlign w:val="center"/>
          </w:tcPr>
          <w:p w14:paraId="20F4D25E">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6B371738">
            <w:pPr>
              <w:jc w:val="center"/>
              <w:textAlignment w:val="center"/>
              <w:rPr>
                <w:rFonts w:ascii="宋体" w:hAnsi="宋体" w:eastAsia="宋体" w:cs="Times New Roman"/>
                <w:color w:val="auto"/>
              </w:rPr>
            </w:pPr>
            <w:r>
              <w:rPr>
                <w:rFonts w:ascii="宋体" w:hAnsi="宋体" w:eastAsia="宋体" w:cs="Times New Roman"/>
                <w:color w:val="auto"/>
                <w:lang w:bidi="ar"/>
              </w:rPr>
              <w:t>0.004L</w:t>
            </w:r>
          </w:p>
        </w:tc>
        <w:tc>
          <w:tcPr>
            <w:tcW w:w="1603" w:type="pct"/>
            <w:shd w:val="clear" w:color="auto" w:fill="auto"/>
            <w:vAlign w:val="center"/>
          </w:tcPr>
          <w:p w14:paraId="3B82AC97">
            <w:pPr>
              <w:jc w:val="center"/>
              <w:textAlignment w:val="center"/>
              <w:rPr>
                <w:rFonts w:ascii="宋体" w:hAnsi="宋体" w:eastAsia="宋体" w:cs="Times New Roman"/>
                <w:color w:val="auto"/>
              </w:rPr>
            </w:pPr>
            <w:r>
              <w:rPr>
                <w:rFonts w:ascii="宋体" w:hAnsi="宋体" w:eastAsia="宋体" w:cs="Times New Roman"/>
                <w:color w:val="auto"/>
                <w:lang w:bidi="ar"/>
              </w:rPr>
              <w:t>0.004L</w:t>
            </w:r>
          </w:p>
        </w:tc>
      </w:tr>
      <w:tr w14:paraId="3840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40CA6733">
            <w:pPr>
              <w:jc w:val="center"/>
              <w:rPr>
                <w:rFonts w:ascii="宋体" w:hAnsi="宋体" w:eastAsia="宋体" w:cs="Times New Roman"/>
                <w:color w:val="auto"/>
              </w:rPr>
            </w:pPr>
            <w:r>
              <w:rPr>
                <w:rFonts w:ascii="宋体" w:hAnsi="宋体" w:eastAsia="宋体" w:cs="Times New Roman"/>
                <w:color w:val="auto"/>
              </w:rPr>
              <w:t>铅</w:t>
            </w:r>
          </w:p>
        </w:tc>
        <w:tc>
          <w:tcPr>
            <w:tcW w:w="657" w:type="pct"/>
            <w:shd w:val="clear" w:color="auto" w:fill="auto"/>
            <w:vAlign w:val="center"/>
          </w:tcPr>
          <w:p w14:paraId="2FE5E9D1">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2247CC0C">
            <w:pPr>
              <w:jc w:val="center"/>
              <w:textAlignment w:val="center"/>
              <w:rPr>
                <w:rFonts w:ascii="宋体" w:hAnsi="宋体" w:eastAsia="宋体" w:cs="Times New Roman"/>
                <w:color w:val="auto"/>
              </w:rPr>
            </w:pPr>
            <w:r>
              <w:rPr>
                <w:rFonts w:ascii="宋体" w:hAnsi="宋体" w:eastAsia="宋体" w:cs="Times New Roman"/>
                <w:color w:val="auto"/>
              </w:rPr>
              <w:t>0.001L</w:t>
            </w:r>
          </w:p>
        </w:tc>
        <w:tc>
          <w:tcPr>
            <w:tcW w:w="1603" w:type="pct"/>
            <w:shd w:val="clear" w:color="auto" w:fill="auto"/>
            <w:vAlign w:val="center"/>
          </w:tcPr>
          <w:p w14:paraId="376BA906">
            <w:pPr>
              <w:jc w:val="center"/>
              <w:textAlignment w:val="center"/>
              <w:rPr>
                <w:rFonts w:ascii="宋体" w:hAnsi="宋体" w:eastAsia="宋体" w:cs="Times New Roman"/>
                <w:color w:val="auto"/>
              </w:rPr>
            </w:pPr>
            <w:r>
              <w:rPr>
                <w:rFonts w:ascii="宋体" w:hAnsi="宋体" w:eastAsia="宋体" w:cs="Times New Roman"/>
                <w:color w:val="auto"/>
              </w:rPr>
              <w:t>0.001L</w:t>
            </w:r>
          </w:p>
        </w:tc>
      </w:tr>
      <w:tr w14:paraId="2065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0E71B2A8">
            <w:pPr>
              <w:jc w:val="center"/>
              <w:rPr>
                <w:rFonts w:ascii="宋体" w:hAnsi="宋体" w:eastAsia="宋体" w:cs="Times New Roman"/>
                <w:color w:val="auto"/>
              </w:rPr>
            </w:pPr>
            <w:r>
              <w:rPr>
                <w:rFonts w:ascii="宋体" w:hAnsi="宋体" w:eastAsia="宋体" w:cs="Times New Roman"/>
                <w:color w:val="auto"/>
              </w:rPr>
              <w:t>镍</w:t>
            </w:r>
          </w:p>
        </w:tc>
        <w:tc>
          <w:tcPr>
            <w:tcW w:w="657" w:type="pct"/>
            <w:shd w:val="clear" w:color="auto" w:fill="auto"/>
            <w:vAlign w:val="center"/>
          </w:tcPr>
          <w:p w14:paraId="3ADF9A78">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2F35B35A">
            <w:pPr>
              <w:jc w:val="center"/>
              <w:textAlignment w:val="center"/>
              <w:rPr>
                <w:rFonts w:ascii="宋体" w:hAnsi="宋体" w:eastAsia="宋体" w:cs="Times New Roman"/>
                <w:color w:val="auto"/>
              </w:rPr>
            </w:pPr>
            <w:r>
              <w:rPr>
                <w:rFonts w:ascii="宋体" w:hAnsi="宋体" w:eastAsia="宋体" w:cs="Times New Roman"/>
                <w:color w:val="auto"/>
              </w:rPr>
              <w:t>0.05L</w:t>
            </w:r>
          </w:p>
        </w:tc>
        <w:tc>
          <w:tcPr>
            <w:tcW w:w="1603" w:type="pct"/>
            <w:shd w:val="clear" w:color="auto" w:fill="auto"/>
            <w:vAlign w:val="center"/>
          </w:tcPr>
          <w:p w14:paraId="3A2E61A8">
            <w:pPr>
              <w:jc w:val="center"/>
              <w:textAlignment w:val="center"/>
              <w:rPr>
                <w:rFonts w:ascii="宋体" w:hAnsi="宋体" w:eastAsia="宋体" w:cs="Times New Roman"/>
                <w:color w:val="auto"/>
              </w:rPr>
            </w:pPr>
            <w:r>
              <w:rPr>
                <w:rFonts w:ascii="宋体" w:hAnsi="宋体" w:eastAsia="宋体" w:cs="Times New Roman"/>
                <w:color w:val="auto"/>
              </w:rPr>
              <w:t>0.05L</w:t>
            </w:r>
          </w:p>
        </w:tc>
      </w:tr>
      <w:tr w14:paraId="3C01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66A1E26D">
            <w:pPr>
              <w:jc w:val="center"/>
              <w:rPr>
                <w:rFonts w:ascii="宋体" w:hAnsi="宋体" w:eastAsia="宋体" w:cs="Times New Roman"/>
                <w:color w:val="auto"/>
              </w:rPr>
            </w:pPr>
            <w:r>
              <w:rPr>
                <w:rFonts w:ascii="宋体" w:hAnsi="宋体" w:eastAsia="宋体" w:cs="Times New Roman"/>
                <w:color w:val="auto"/>
              </w:rPr>
              <w:t>铬</w:t>
            </w:r>
          </w:p>
        </w:tc>
        <w:tc>
          <w:tcPr>
            <w:tcW w:w="657" w:type="pct"/>
            <w:shd w:val="clear" w:color="auto" w:fill="auto"/>
            <w:vAlign w:val="center"/>
          </w:tcPr>
          <w:p w14:paraId="6B78526D">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01FF0FD8">
            <w:pPr>
              <w:jc w:val="center"/>
              <w:textAlignment w:val="center"/>
              <w:rPr>
                <w:rFonts w:ascii="宋体" w:hAnsi="宋体" w:eastAsia="宋体" w:cs="Times New Roman"/>
                <w:color w:val="auto"/>
              </w:rPr>
            </w:pPr>
            <w:r>
              <w:rPr>
                <w:rFonts w:ascii="宋体" w:hAnsi="宋体" w:eastAsia="宋体" w:cs="Times New Roman"/>
                <w:color w:val="auto"/>
              </w:rPr>
              <w:t>0.03L</w:t>
            </w:r>
          </w:p>
        </w:tc>
        <w:tc>
          <w:tcPr>
            <w:tcW w:w="1603" w:type="pct"/>
            <w:shd w:val="clear" w:color="auto" w:fill="auto"/>
            <w:vAlign w:val="center"/>
          </w:tcPr>
          <w:p w14:paraId="310F88D8">
            <w:pPr>
              <w:jc w:val="center"/>
              <w:textAlignment w:val="center"/>
              <w:rPr>
                <w:rFonts w:ascii="宋体" w:hAnsi="宋体" w:eastAsia="宋体" w:cs="Times New Roman"/>
                <w:color w:val="auto"/>
              </w:rPr>
            </w:pPr>
            <w:r>
              <w:rPr>
                <w:rFonts w:ascii="宋体" w:hAnsi="宋体" w:eastAsia="宋体" w:cs="Times New Roman"/>
                <w:color w:val="auto"/>
              </w:rPr>
              <w:t>0.03L</w:t>
            </w:r>
          </w:p>
        </w:tc>
      </w:tr>
      <w:tr w14:paraId="6F2E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21063234">
            <w:pPr>
              <w:jc w:val="center"/>
              <w:rPr>
                <w:rFonts w:ascii="宋体" w:hAnsi="宋体" w:eastAsia="宋体" w:cs="Times New Roman"/>
                <w:color w:val="auto"/>
              </w:rPr>
            </w:pPr>
            <w:r>
              <w:rPr>
                <w:rFonts w:ascii="宋体" w:hAnsi="宋体" w:eastAsia="宋体" w:cs="Times New Roman"/>
                <w:color w:val="auto"/>
              </w:rPr>
              <w:t>阴离子表面活性剂</w:t>
            </w:r>
          </w:p>
        </w:tc>
        <w:tc>
          <w:tcPr>
            <w:tcW w:w="657" w:type="pct"/>
            <w:shd w:val="clear" w:color="auto" w:fill="auto"/>
            <w:vAlign w:val="center"/>
          </w:tcPr>
          <w:p w14:paraId="05C0A72C">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4AD9F1E4">
            <w:pPr>
              <w:jc w:val="center"/>
              <w:textAlignment w:val="center"/>
              <w:rPr>
                <w:rFonts w:ascii="宋体" w:hAnsi="宋体" w:eastAsia="宋体" w:cs="Times New Roman"/>
                <w:color w:val="auto"/>
              </w:rPr>
            </w:pPr>
            <w:r>
              <w:rPr>
                <w:rFonts w:ascii="宋体" w:hAnsi="宋体" w:eastAsia="宋体" w:cs="Times New Roman"/>
                <w:color w:val="auto"/>
              </w:rPr>
              <w:t>0.05L</w:t>
            </w:r>
          </w:p>
        </w:tc>
        <w:tc>
          <w:tcPr>
            <w:tcW w:w="1603" w:type="pct"/>
            <w:shd w:val="clear" w:color="auto" w:fill="auto"/>
            <w:vAlign w:val="center"/>
          </w:tcPr>
          <w:p w14:paraId="2621866E">
            <w:pPr>
              <w:jc w:val="center"/>
              <w:textAlignment w:val="center"/>
              <w:rPr>
                <w:rFonts w:ascii="宋体" w:hAnsi="宋体" w:eastAsia="宋体" w:cs="Times New Roman"/>
                <w:color w:val="auto"/>
              </w:rPr>
            </w:pPr>
            <w:r>
              <w:rPr>
                <w:rFonts w:ascii="宋体" w:hAnsi="宋体" w:eastAsia="宋体" w:cs="Times New Roman"/>
                <w:color w:val="auto"/>
              </w:rPr>
              <w:t>0.05L</w:t>
            </w:r>
          </w:p>
        </w:tc>
      </w:tr>
      <w:tr w14:paraId="70B9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shd w:val="clear" w:color="auto" w:fill="auto"/>
            <w:vAlign w:val="center"/>
          </w:tcPr>
          <w:p w14:paraId="770E1F88">
            <w:pPr>
              <w:jc w:val="center"/>
              <w:rPr>
                <w:rFonts w:ascii="宋体" w:hAnsi="宋体" w:eastAsia="宋体" w:cs="Times New Roman"/>
                <w:color w:val="auto"/>
              </w:rPr>
            </w:pPr>
            <w:r>
              <w:rPr>
                <w:rFonts w:ascii="宋体" w:hAnsi="宋体" w:eastAsia="宋体" w:cs="Times New Roman"/>
                <w:color w:val="auto"/>
              </w:rPr>
              <w:t>硫化物</w:t>
            </w:r>
          </w:p>
        </w:tc>
        <w:tc>
          <w:tcPr>
            <w:tcW w:w="657" w:type="pct"/>
            <w:shd w:val="clear" w:color="auto" w:fill="auto"/>
            <w:vAlign w:val="center"/>
          </w:tcPr>
          <w:p w14:paraId="73DCAD99">
            <w:pPr>
              <w:jc w:val="center"/>
              <w:rPr>
                <w:rFonts w:ascii="宋体" w:hAnsi="宋体" w:eastAsia="宋体" w:cs="Times New Roman"/>
                <w:color w:val="auto"/>
                <w:shd w:val="clear" w:color="auto" w:fill="FFFFFF"/>
              </w:rPr>
            </w:pPr>
            <w:r>
              <w:rPr>
                <w:rFonts w:ascii="宋体" w:hAnsi="宋体" w:eastAsia="宋体" w:cs="Times New Roman"/>
                <w:color w:val="auto"/>
                <w:shd w:val="clear" w:color="auto" w:fill="FFFFFF"/>
              </w:rPr>
              <w:t>mg/L</w:t>
            </w:r>
          </w:p>
        </w:tc>
        <w:tc>
          <w:tcPr>
            <w:tcW w:w="1603" w:type="pct"/>
            <w:shd w:val="clear" w:color="auto" w:fill="auto"/>
            <w:vAlign w:val="center"/>
          </w:tcPr>
          <w:p w14:paraId="73FCB6E6">
            <w:pPr>
              <w:jc w:val="center"/>
              <w:textAlignment w:val="center"/>
              <w:rPr>
                <w:rFonts w:ascii="宋体" w:hAnsi="宋体" w:eastAsia="宋体" w:cs="Times New Roman"/>
                <w:color w:val="auto"/>
              </w:rPr>
            </w:pPr>
            <w:r>
              <w:rPr>
                <w:rFonts w:ascii="宋体" w:hAnsi="宋体" w:eastAsia="宋体" w:cs="Times New Roman"/>
                <w:color w:val="auto"/>
              </w:rPr>
              <w:t>0.01L</w:t>
            </w:r>
          </w:p>
        </w:tc>
        <w:tc>
          <w:tcPr>
            <w:tcW w:w="1603" w:type="pct"/>
            <w:shd w:val="clear" w:color="auto" w:fill="auto"/>
            <w:vAlign w:val="center"/>
          </w:tcPr>
          <w:p w14:paraId="41017A2F">
            <w:pPr>
              <w:jc w:val="center"/>
              <w:textAlignment w:val="center"/>
              <w:rPr>
                <w:rFonts w:ascii="宋体" w:hAnsi="宋体" w:eastAsia="宋体" w:cs="Times New Roman"/>
                <w:color w:val="auto"/>
              </w:rPr>
            </w:pPr>
            <w:r>
              <w:rPr>
                <w:rFonts w:ascii="宋体" w:hAnsi="宋体" w:eastAsia="宋体" w:cs="Times New Roman"/>
                <w:color w:val="auto"/>
              </w:rPr>
              <w:t>0.01L</w:t>
            </w:r>
          </w:p>
        </w:tc>
      </w:tr>
      <w:tr w14:paraId="159C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restart"/>
            <w:shd w:val="clear" w:color="auto" w:fill="auto"/>
            <w:vAlign w:val="center"/>
          </w:tcPr>
          <w:p w14:paraId="0C2C044E">
            <w:pPr>
              <w:jc w:val="center"/>
              <w:rPr>
                <w:rFonts w:ascii="宋体" w:hAnsi="宋体" w:eastAsia="宋体" w:cs="Times New Roman"/>
                <w:color w:val="auto"/>
              </w:rPr>
            </w:pPr>
            <w:r>
              <w:rPr>
                <w:rFonts w:ascii="宋体" w:hAnsi="宋体" w:eastAsia="宋体" w:cs="Times New Roman"/>
                <w:color w:val="auto"/>
              </w:rPr>
              <w:t>溶解氧（</w:t>
            </w:r>
            <w:r>
              <w:rPr>
                <w:rFonts w:ascii="宋体" w:hAnsi="宋体" w:eastAsia="宋体" w:cs="Times New Roman"/>
                <w:color w:val="auto"/>
                <w:shd w:val="clear" w:color="auto" w:fill="FFFFFF"/>
              </w:rPr>
              <w:t>mg/L</w:t>
            </w:r>
            <w:r>
              <w:rPr>
                <w:rFonts w:ascii="宋体" w:hAnsi="宋体" w:eastAsia="宋体" w:cs="Times New Roman"/>
                <w:color w:val="auto"/>
              </w:rPr>
              <w:t>）</w:t>
            </w:r>
          </w:p>
        </w:tc>
        <w:tc>
          <w:tcPr>
            <w:tcW w:w="657" w:type="pct"/>
            <w:shd w:val="clear" w:color="auto" w:fill="auto"/>
            <w:vAlign w:val="center"/>
          </w:tcPr>
          <w:p w14:paraId="0FADD7D1">
            <w:pPr>
              <w:jc w:val="center"/>
              <w:textAlignment w:val="center"/>
              <w:rPr>
                <w:rFonts w:ascii="宋体" w:hAnsi="宋体" w:eastAsia="宋体" w:cs="Times New Roman"/>
                <w:color w:val="auto"/>
                <w:shd w:val="clear" w:color="auto" w:fill="FFFFFF"/>
              </w:rPr>
            </w:pPr>
            <w:r>
              <w:rPr>
                <w:rFonts w:ascii="宋体" w:hAnsi="宋体" w:eastAsia="宋体" w:cs="Times New Roman"/>
                <w:color w:val="auto"/>
              </w:rPr>
              <w:t>02:38</w:t>
            </w:r>
          </w:p>
        </w:tc>
        <w:tc>
          <w:tcPr>
            <w:tcW w:w="1603" w:type="pct"/>
            <w:shd w:val="clear" w:color="auto" w:fill="auto"/>
            <w:vAlign w:val="center"/>
          </w:tcPr>
          <w:p w14:paraId="1B3D183D">
            <w:pPr>
              <w:jc w:val="center"/>
              <w:textAlignment w:val="center"/>
              <w:rPr>
                <w:rFonts w:ascii="宋体" w:hAnsi="宋体" w:eastAsia="宋体" w:cs="Times New Roman"/>
                <w:color w:val="auto"/>
              </w:rPr>
            </w:pPr>
            <w:r>
              <w:rPr>
                <w:rFonts w:ascii="宋体" w:hAnsi="宋体" w:eastAsia="宋体" w:cs="Times New Roman"/>
                <w:color w:val="auto"/>
              </w:rPr>
              <w:t>6.2</w:t>
            </w:r>
          </w:p>
        </w:tc>
        <w:tc>
          <w:tcPr>
            <w:tcW w:w="1603" w:type="pct"/>
            <w:shd w:val="clear" w:color="auto" w:fill="auto"/>
            <w:vAlign w:val="center"/>
          </w:tcPr>
          <w:p w14:paraId="11D78F31">
            <w:pPr>
              <w:jc w:val="center"/>
              <w:textAlignment w:val="center"/>
              <w:rPr>
                <w:rFonts w:ascii="宋体" w:hAnsi="宋体" w:eastAsia="宋体" w:cs="Times New Roman"/>
                <w:color w:val="auto"/>
              </w:rPr>
            </w:pPr>
            <w:r>
              <w:rPr>
                <w:rFonts w:ascii="宋体" w:hAnsi="宋体" w:eastAsia="宋体" w:cs="Times New Roman"/>
                <w:color w:val="auto"/>
              </w:rPr>
              <w:t>02:37</w:t>
            </w:r>
          </w:p>
        </w:tc>
      </w:tr>
      <w:tr w14:paraId="2FC6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41162F83">
            <w:pPr>
              <w:jc w:val="center"/>
              <w:rPr>
                <w:rFonts w:ascii="宋体" w:hAnsi="宋体" w:eastAsia="宋体" w:cs="Times New Roman"/>
                <w:color w:val="auto"/>
              </w:rPr>
            </w:pPr>
          </w:p>
        </w:tc>
        <w:tc>
          <w:tcPr>
            <w:tcW w:w="657" w:type="pct"/>
            <w:shd w:val="clear" w:color="auto" w:fill="auto"/>
            <w:vAlign w:val="center"/>
          </w:tcPr>
          <w:p w14:paraId="0B298092">
            <w:pPr>
              <w:jc w:val="center"/>
              <w:textAlignment w:val="center"/>
              <w:rPr>
                <w:rFonts w:ascii="宋体" w:hAnsi="宋体" w:eastAsia="宋体" w:cs="Times New Roman"/>
                <w:color w:val="auto"/>
                <w:shd w:val="clear" w:color="auto" w:fill="FFFFFF"/>
              </w:rPr>
            </w:pPr>
            <w:r>
              <w:rPr>
                <w:rFonts w:ascii="宋体" w:hAnsi="宋体" w:eastAsia="宋体" w:cs="Times New Roman"/>
                <w:color w:val="auto"/>
              </w:rPr>
              <w:t>08:35</w:t>
            </w:r>
          </w:p>
        </w:tc>
        <w:tc>
          <w:tcPr>
            <w:tcW w:w="1603" w:type="pct"/>
            <w:shd w:val="clear" w:color="auto" w:fill="auto"/>
            <w:vAlign w:val="center"/>
          </w:tcPr>
          <w:p w14:paraId="52361B8F">
            <w:pPr>
              <w:jc w:val="center"/>
              <w:textAlignment w:val="center"/>
              <w:rPr>
                <w:rFonts w:ascii="宋体" w:hAnsi="宋体" w:eastAsia="宋体" w:cs="Times New Roman"/>
                <w:color w:val="auto"/>
              </w:rPr>
            </w:pPr>
            <w:r>
              <w:rPr>
                <w:rFonts w:ascii="宋体" w:hAnsi="宋体" w:eastAsia="宋体" w:cs="Times New Roman"/>
                <w:color w:val="auto"/>
              </w:rPr>
              <w:t>5.7</w:t>
            </w:r>
          </w:p>
        </w:tc>
        <w:tc>
          <w:tcPr>
            <w:tcW w:w="1603" w:type="pct"/>
            <w:shd w:val="clear" w:color="auto" w:fill="auto"/>
            <w:vAlign w:val="center"/>
          </w:tcPr>
          <w:p w14:paraId="00CC1179">
            <w:pPr>
              <w:jc w:val="center"/>
              <w:textAlignment w:val="center"/>
              <w:rPr>
                <w:rFonts w:ascii="宋体" w:hAnsi="宋体" w:eastAsia="宋体" w:cs="Times New Roman"/>
                <w:color w:val="auto"/>
              </w:rPr>
            </w:pPr>
            <w:r>
              <w:rPr>
                <w:rFonts w:ascii="宋体" w:hAnsi="宋体" w:eastAsia="宋体" w:cs="Times New Roman"/>
                <w:color w:val="auto"/>
              </w:rPr>
              <w:t>08:38</w:t>
            </w:r>
          </w:p>
        </w:tc>
      </w:tr>
      <w:tr w14:paraId="7AC3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0014353E">
            <w:pPr>
              <w:jc w:val="center"/>
              <w:rPr>
                <w:rFonts w:ascii="宋体" w:hAnsi="宋体" w:eastAsia="宋体" w:cs="Times New Roman"/>
                <w:color w:val="auto"/>
              </w:rPr>
            </w:pPr>
          </w:p>
        </w:tc>
        <w:tc>
          <w:tcPr>
            <w:tcW w:w="657" w:type="pct"/>
            <w:shd w:val="clear" w:color="auto" w:fill="auto"/>
            <w:vAlign w:val="center"/>
          </w:tcPr>
          <w:p w14:paraId="224B4AA7">
            <w:pPr>
              <w:jc w:val="center"/>
              <w:textAlignment w:val="center"/>
              <w:rPr>
                <w:rFonts w:ascii="宋体" w:hAnsi="宋体" w:eastAsia="宋体" w:cs="Times New Roman"/>
                <w:color w:val="auto"/>
                <w:shd w:val="clear" w:color="auto" w:fill="FFFFFF"/>
              </w:rPr>
            </w:pPr>
            <w:r>
              <w:rPr>
                <w:rFonts w:ascii="宋体" w:hAnsi="宋体" w:eastAsia="宋体" w:cs="Times New Roman"/>
                <w:color w:val="auto"/>
              </w:rPr>
              <w:t>14:34</w:t>
            </w:r>
          </w:p>
        </w:tc>
        <w:tc>
          <w:tcPr>
            <w:tcW w:w="1603" w:type="pct"/>
            <w:shd w:val="clear" w:color="auto" w:fill="auto"/>
            <w:vAlign w:val="center"/>
          </w:tcPr>
          <w:p w14:paraId="3D7BB090">
            <w:pPr>
              <w:jc w:val="center"/>
              <w:textAlignment w:val="center"/>
              <w:rPr>
                <w:rFonts w:ascii="宋体" w:hAnsi="宋体" w:eastAsia="宋体" w:cs="Times New Roman"/>
                <w:color w:val="auto"/>
              </w:rPr>
            </w:pPr>
            <w:r>
              <w:rPr>
                <w:rFonts w:ascii="宋体" w:hAnsi="宋体" w:eastAsia="宋体" w:cs="Times New Roman"/>
                <w:color w:val="auto"/>
              </w:rPr>
              <w:t>7.2</w:t>
            </w:r>
          </w:p>
        </w:tc>
        <w:tc>
          <w:tcPr>
            <w:tcW w:w="1603" w:type="pct"/>
            <w:shd w:val="clear" w:color="auto" w:fill="auto"/>
            <w:vAlign w:val="center"/>
          </w:tcPr>
          <w:p w14:paraId="4D316382">
            <w:pPr>
              <w:jc w:val="center"/>
              <w:textAlignment w:val="center"/>
              <w:rPr>
                <w:rFonts w:ascii="宋体" w:hAnsi="宋体" w:eastAsia="宋体" w:cs="Times New Roman"/>
                <w:color w:val="auto"/>
              </w:rPr>
            </w:pPr>
            <w:r>
              <w:rPr>
                <w:rFonts w:ascii="宋体" w:hAnsi="宋体" w:eastAsia="宋体" w:cs="Times New Roman"/>
                <w:color w:val="auto"/>
              </w:rPr>
              <w:t>14:36</w:t>
            </w:r>
          </w:p>
        </w:tc>
      </w:tr>
      <w:tr w14:paraId="5833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32DF479D">
            <w:pPr>
              <w:jc w:val="center"/>
              <w:rPr>
                <w:rFonts w:ascii="宋体" w:hAnsi="宋体" w:eastAsia="宋体" w:cs="Times New Roman"/>
                <w:color w:val="auto"/>
              </w:rPr>
            </w:pPr>
          </w:p>
        </w:tc>
        <w:tc>
          <w:tcPr>
            <w:tcW w:w="657" w:type="pct"/>
            <w:shd w:val="clear" w:color="auto" w:fill="auto"/>
            <w:vAlign w:val="center"/>
          </w:tcPr>
          <w:p w14:paraId="3ACB25E1">
            <w:pPr>
              <w:jc w:val="center"/>
              <w:textAlignment w:val="center"/>
              <w:rPr>
                <w:rFonts w:ascii="宋体" w:hAnsi="宋体" w:eastAsia="宋体" w:cs="Times New Roman"/>
                <w:color w:val="auto"/>
                <w:shd w:val="clear" w:color="auto" w:fill="FFFFFF"/>
              </w:rPr>
            </w:pPr>
            <w:r>
              <w:rPr>
                <w:rFonts w:ascii="宋体" w:hAnsi="宋体" w:eastAsia="宋体" w:cs="Times New Roman"/>
                <w:color w:val="auto"/>
              </w:rPr>
              <w:t>20:37</w:t>
            </w:r>
          </w:p>
        </w:tc>
        <w:tc>
          <w:tcPr>
            <w:tcW w:w="1603" w:type="pct"/>
            <w:shd w:val="clear" w:color="auto" w:fill="auto"/>
            <w:vAlign w:val="center"/>
          </w:tcPr>
          <w:p w14:paraId="1E790C65">
            <w:pPr>
              <w:jc w:val="center"/>
              <w:textAlignment w:val="center"/>
              <w:rPr>
                <w:rFonts w:ascii="宋体" w:hAnsi="宋体" w:eastAsia="宋体" w:cs="Times New Roman"/>
                <w:color w:val="auto"/>
              </w:rPr>
            </w:pPr>
            <w:r>
              <w:rPr>
                <w:rFonts w:ascii="宋体" w:hAnsi="宋体" w:eastAsia="宋体" w:cs="Times New Roman"/>
                <w:color w:val="auto"/>
              </w:rPr>
              <w:t>6.3</w:t>
            </w:r>
          </w:p>
        </w:tc>
        <w:tc>
          <w:tcPr>
            <w:tcW w:w="1603" w:type="pct"/>
            <w:shd w:val="clear" w:color="auto" w:fill="auto"/>
            <w:vAlign w:val="center"/>
          </w:tcPr>
          <w:p w14:paraId="24DD487F">
            <w:pPr>
              <w:jc w:val="center"/>
              <w:textAlignment w:val="center"/>
              <w:rPr>
                <w:rFonts w:ascii="宋体" w:hAnsi="宋体" w:eastAsia="宋体" w:cs="Times New Roman"/>
                <w:color w:val="auto"/>
              </w:rPr>
            </w:pPr>
            <w:r>
              <w:rPr>
                <w:rFonts w:ascii="宋体" w:hAnsi="宋体" w:eastAsia="宋体" w:cs="Times New Roman"/>
                <w:color w:val="auto"/>
              </w:rPr>
              <w:t>20:37</w:t>
            </w:r>
          </w:p>
        </w:tc>
      </w:tr>
      <w:tr w14:paraId="18AE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restart"/>
            <w:shd w:val="clear" w:color="auto" w:fill="auto"/>
            <w:vAlign w:val="center"/>
          </w:tcPr>
          <w:p w14:paraId="3896F30E">
            <w:pPr>
              <w:jc w:val="center"/>
              <w:rPr>
                <w:rFonts w:ascii="宋体" w:hAnsi="宋体" w:eastAsia="宋体" w:cs="Times New Roman"/>
                <w:color w:val="auto"/>
              </w:rPr>
            </w:pPr>
            <w:r>
              <w:rPr>
                <w:rFonts w:ascii="宋体" w:hAnsi="宋体" w:eastAsia="宋体" w:cs="Times New Roman"/>
                <w:color w:val="auto"/>
              </w:rPr>
              <w:t>水温（℃）</w:t>
            </w:r>
          </w:p>
        </w:tc>
        <w:tc>
          <w:tcPr>
            <w:tcW w:w="657" w:type="pct"/>
            <w:shd w:val="clear" w:color="auto" w:fill="auto"/>
            <w:vAlign w:val="center"/>
          </w:tcPr>
          <w:p w14:paraId="11F72ADE">
            <w:pPr>
              <w:jc w:val="center"/>
              <w:textAlignment w:val="center"/>
              <w:rPr>
                <w:rFonts w:ascii="宋体" w:hAnsi="宋体" w:eastAsia="宋体" w:cs="Times New Roman"/>
                <w:color w:val="auto"/>
                <w:shd w:val="clear" w:color="auto" w:fill="FFFFFF"/>
              </w:rPr>
            </w:pPr>
            <w:r>
              <w:rPr>
                <w:rFonts w:ascii="宋体" w:hAnsi="宋体" w:eastAsia="宋体" w:cs="Times New Roman"/>
                <w:color w:val="auto"/>
              </w:rPr>
              <w:t>02:38</w:t>
            </w:r>
          </w:p>
        </w:tc>
        <w:tc>
          <w:tcPr>
            <w:tcW w:w="1603" w:type="pct"/>
            <w:shd w:val="clear" w:color="auto" w:fill="auto"/>
            <w:vAlign w:val="center"/>
          </w:tcPr>
          <w:p w14:paraId="523444C3">
            <w:pPr>
              <w:jc w:val="center"/>
              <w:textAlignment w:val="center"/>
              <w:rPr>
                <w:rFonts w:ascii="宋体" w:hAnsi="宋体" w:eastAsia="宋体" w:cs="Times New Roman"/>
                <w:color w:val="auto"/>
              </w:rPr>
            </w:pPr>
            <w:r>
              <w:rPr>
                <w:rFonts w:ascii="宋体" w:hAnsi="宋体" w:eastAsia="宋体" w:cs="Times New Roman"/>
                <w:color w:val="auto"/>
              </w:rPr>
              <w:t>15.3</w:t>
            </w:r>
          </w:p>
        </w:tc>
        <w:tc>
          <w:tcPr>
            <w:tcW w:w="1603" w:type="pct"/>
            <w:shd w:val="clear" w:color="auto" w:fill="auto"/>
            <w:vAlign w:val="center"/>
          </w:tcPr>
          <w:p w14:paraId="3A3EDCEF">
            <w:pPr>
              <w:jc w:val="center"/>
              <w:textAlignment w:val="center"/>
              <w:rPr>
                <w:rFonts w:ascii="宋体" w:hAnsi="宋体" w:eastAsia="宋体" w:cs="Times New Roman"/>
                <w:color w:val="auto"/>
              </w:rPr>
            </w:pPr>
            <w:r>
              <w:rPr>
                <w:rFonts w:ascii="宋体" w:hAnsi="宋体" w:eastAsia="宋体" w:cs="Times New Roman"/>
                <w:color w:val="auto"/>
              </w:rPr>
              <w:t>02:37</w:t>
            </w:r>
          </w:p>
        </w:tc>
      </w:tr>
      <w:tr w14:paraId="7721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7B4FDB04">
            <w:pPr>
              <w:jc w:val="center"/>
              <w:rPr>
                <w:rFonts w:ascii="宋体" w:hAnsi="宋体" w:eastAsia="宋体" w:cs="Times New Roman"/>
                <w:color w:val="auto"/>
              </w:rPr>
            </w:pPr>
          </w:p>
        </w:tc>
        <w:tc>
          <w:tcPr>
            <w:tcW w:w="657" w:type="pct"/>
            <w:shd w:val="clear" w:color="auto" w:fill="auto"/>
            <w:vAlign w:val="center"/>
          </w:tcPr>
          <w:p w14:paraId="41921938">
            <w:pPr>
              <w:jc w:val="center"/>
              <w:textAlignment w:val="center"/>
              <w:rPr>
                <w:rFonts w:ascii="宋体" w:hAnsi="宋体" w:eastAsia="宋体" w:cs="Times New Roman"/>
                <w:color w:val="auto"/>
              </w:rPr>
            </w:pPr>
            <w:r>
              <w:rPr>
                <w:rFonts w:ascii="宋体" w:hAnsi="宋体" w:eastAsia="宋体" w:cs="Times New Roman"/>
                <w:color w:val="auto"/>
              </w:rPr>
              <w:t>08:35</w:t>
            </w:r>
          </w:p>
        </w:tc>
        <w:tc>
          <w:tcPr>
            <w:tcW w:w="1603" w:type="pct"/>
            <w:shd w:val="clear" w:color="auto" w:fill="auto"/>
            <w:vAlign w:val="center"/>
          </w:tcPr>
          <w:p w14:paraId="1CDE616C">
            <w:pPr>
              <w:jc w:val="center"/>
              <w:textAlignment w:val="center"/>
              <w:rPr>
                <w:rFonts w:ascii="宋体" w:hAnsi="宋体" w:eastAsia="宋体" w:cs="Times New Roman"/>
                <w:color w:val="auto"/>
              </w:rPr>
            </w:pPr>
            <w:r>
              <w:rPr>
                <w:rFonts w:ascii="宋体" w:hAnsi="宋体" w:eastAsia="宋体" w:cs="Times New Roman"/>
                <w:color w:val="auto"/>
              </w:rPr>
              <w:t>17.0</w:t>
            </w:r>
          </w:p>
        </w:tc>
        <w:tc>
          <w:tcPr>
            <w:tcW w:w="1603" w:type="pct"/>
            <w:shd w:val="clear" w:color="auto" w:fill="auto"/>
            <w:vAlign w:val="center"/>
          </w:tcPr>
          <w:p w14:paraId="1A4C2B2D">
            <w:pPr>
              <w:jc w:val="center"/>
              <w:textAlignment w:val="center"/>
              <w:rPr>
                <w:rFonts w:ascii="宋体" w:hAnsi="宋体" w:eastAsia="宋体" w:cs="Times New Roman"/>
                <w:color w:val="auto"/>
              </w:rPr>
            </w:pPr>
            <w:r>
              <w:rPr>
                <w:rFonts w:ascii="宋体" w:hAnsi="宋体" w:eastAsia="宋体" w:cs="Times New Roman"/>
                <w:color w:val="auto"/>
              </w:rPr>
              <w:t>08:38</w:t>
            </w:r>
          </w:p>
        </w:tc>
      </w:tr>
      <w:tr w14:paraId="2E99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4DE21A0B">
            <w:pPr>
              <w:jc w:val="center"/>
              <w:rPr>
                <w:rFonts w:ascii="宋体" w:hAnsi="宋体" w:eastAsia="宋体" w:cs="Times New Roman"/>
                <w:color w:val="auto"/>
              </w:rPr>
            </w:pPr>
          </w:p>
        </w:tc>
        <w:tc>
          <w:tcPr>
            <w:tcW w:w="657" w:type="pct"/>
            <w:shd w:val="clear" w:color="auto" w:fill="auto"/>
            <w:vAlign w:val="center"/>
          </w:tcPr>
          <w:p w14:paraId="760DF953">
            <w:pPr>
              <w:jc w:val="center"/>
              <w:textAlignment w:val="center"/>
              <w:rPr>
                <w:rFonts w:ascii="宋体" w:hAnsi="宋体" w:eastAsia="宋体" w:cs="Times New Roman"/>
                <w:color w:val="auto"/>
              </w:rPr>
            </w:pPr>
            <w:r>
              <w:rPr>
                <w:rFonts w:ascii="宋体" w:hAnsi="宋体" w:eastAsia="宋体" w:cs="Times New Roman"/>
                <w:color w:val="auto"/>
              </w:rPr>
              <w:t>14:34</w:t>
            </w:r>
          </w:p>
        </w:tc>
        <w:tc>
          <w:tcPr>
            <w:tcW w:w="1603" w:type="pct"/>
            <w:shd w:val="clear" w:color="auto" w:fill="auto"/>
            <w:vAlign w:val="center"/>
          </w:tcPr>
          <w:p w14:paraId="1122E37C">
            <w:pPr>
              <w:jc w:val="center"/>
              <w:textAlignment w:val="center"/>
              <w:rPr>
                <w:rFonts w:ascii="宋体" w:hAnsi="宋体" w:eastAsia="宋体" w:cs="Times New Roman"/>
                <w:color w:val="auto"/>
              </w:rPr>
            </w:pPr>
            <w:r>
              <w:rPr>
                <w:rFonts w:ascii="宋体" w:hAnsi="宋体" w:eastAsia="宋体" w:cs="Times New Roman"/>
                <w:color w:val="auto"/>
              </w:rPr>
              <w:t>20.2</w:t>
            </w:r>
          </w:p>
        </w:tc>
        <w:tc>
          <w:tcPr>
            <w:tcW w:w="1603" w:type="pct"/>
            <w:shd w:val="clear" w:color="auto" w:fill="auto"/>
            <w:vAlign w:val="center"/>
          </w:tcPr>
          <w:p w14:paraId="027DC91E">
            <w:pPr>
              <w:jc w:val="center"/>
              <w:textAlignment w:val="center"/>
              <w:rPr>
                <w:rFonts w:ascii="宋体" w:hAnsi="宋体" w:eastAsia="宋体" w:cs="Times New Roman"/>
                <w:color w:val="auto"/>
              </w:rPr>
            </w:pPr>
            <w:r>
              <w:rPr>
                <w:rFonts w:ascii="宋体" w:hAnsi="宋体" w:eastAsia="宋体" w:cs="Times New Roman"/>
                <w:color w:val="auto"/>
              </w:rPr>
              <w:t>14:36</w:t>
            </w:r>
          </w:p>
        </w:tc>
      </w:tr>
      <w:tr w14:paraId="5D39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6" w:type="pct"/>
            <w:vMerge w:val="continue"/>
            <w:shd w:val="clear" w:color="auto" w:fill="auto"/>
            <w:vAlign w:val="center"/>
          </w:tcPr>
          <w:p w14:paraId="4724CD18">
            <w:pPr>
              <w:jc w:val="center"/>
              <w:rPr>
                <w:rFonts w:ascii="宋体" w:hAnsi="宋体" w:eastAsia="宋体" w:cs="Times New Roman"/>
                <w:color w:val="auto"/>
              </w:rPr>
            </w:pPr>
          </w:p>
        </w:tc>
        <w:tc>
          <w:tcPr>
            <w:tcW w:w="657" w:type="pct"/>
            <w:shd w:val="clear" w:color="auto" w:fill="auto"/>
            <w:vAlign w:val="center"/>
          </w:tcPr>
          <w:p w14:paraId="69DCDA2C">
            <w:pPr>
              <w:jc w:val="center"/>
              <w:textAlignment w:val="center"/>
              <w:rPr>
                <w:rFonts w:ascii="宋体" w:hAnsi="宋体" w:eastAsia="宋体" w:cs="Times New Roman"/>
                <w:color w:val="auto"/>
              </w:rPr>
            </w:pPr>
            <w:r>
              <w:rPr>
                <w:rFonts w:ascii="宋体" w:hAnsi="宋体" w:eastAsia="宋体" w:cs="Times New Roman"/>
                <w:color w:val="auto"/>
              </w:rPr>
              <w:t>20:37</w:t>
            </w:r>
          </w:p>
        </w:tc>
        <w:tc>
          <w:tcPr>
            <w:tcW w:w="1603" w:type="pct"/>
            <w:shd w:val="clear" w:color="auto" w:fill="auto"/>
            <w:vAlign w:val="center"/>
          </w:tcPr>
          <w:p w14:paraId="58AABCA0">
            <w:pPr>
              <w:jc w:val="center"/>
              <w:textAlignment w:val="center"/>
              <w:rPr>
                <w:rFonts w:ascii="宋体" w:hAnsi="宋体" w:eastAsia="宋体" w:cs="Times New Roman"/>
                <w:color w:val="auto"/>
              </w:rPr>
            </w:pPr>
            <w:r>
              <w:rPr>
                <w:rFonts w:ascii="宋体" w:hAnsi="宋体" w:eastAsia="宋体" w:cs="Times New Roman"/>
                <w:color w:val="auto"/>
              </w:rPr>
              <w:t>16.8</w:t>
            </w:r>
          </w:p>
        </w:tc>
        <w:tc>
          <w:tcPr>
            <w:tcW w:w="1603" w:type="pct"/>
            <w:shd w:val="clear" w:color="auto" w:fill="auto"/>
            <w:vAlign w:val="center"/>
          </w:tcPr>
          <w:p w14:paraId="29131C85">
            <w:pPr>
              <w:jc w:val="center"/>
              <w:textAlignment w:val="center"/>
              <w:rPr>
                <w:rFonts w:ascii="宋体" w:hAnsi="宋体" w:eastAsia="宋体" w:cs="Times New Roman"/>
                <w:color w:val="auto"/>
              </w:rPr>
            </w:pPr>
            <w:r>
              <w:rPr>
                <w:rFonts w:ascii="宋体" w:hAnsi="宋体" w:eastAsia="宋体" w:cs="Times New Roman"/>
                <w:color w:val="auto"/>
              </w:rPr>
              <w:t>20:37</w:t>
            </w:r>
          </w:p>
        </w:tc>
      </w:tr>
    </w:tbl>
    <w:p w14:paraId="1013F9D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地表水环境质量现状结论</w:t>
      </w:r>
    </w:p>
    <w:p w14:paraId="69646A18">
      <w:pPr>
        <w:pStyle w:val="276"/>
        <w:widowControl w:val="0"/>
        <w:ind w:firstLine="480"/>
        <w:jc w:val="both"/>
        <w:rPr>
          <w:color w:val="auto"/>
        </w:rPr>
      </w:pPr>
      <w:r>
        <w:rPr>
          <w:color w:val="auto"/>
          <w:kern w:val="2"/>
          <w:lang w:bidi="zh-CN"/>
        </w:rPr>
        <w:t>项目区域地表水体均无环境功能区划，不执行《地表水环境质量标准》（GB3838-2002），</w:t>
      </w:r>
      <w:r>
        <w:rPr>
          <w:color w:val="auto"/>
          <w:kern w:val="21"/>
        </w:rPr>
        <w:t>由监测结果可知，以上地表水体中本项目特征因子石油类未检出。本次监测掌握了项目周边地表水体水质现状，为后续项目投产运行后及时了解地表水环境质量变化</w:t>
      </w:r>
      <w:r>
        <w:rPr>
          <w:color w:val="auto"/>
        </w:rPr>
        <w:t>提供</w:t>
      </w:r>
      <w:r>
        <w:rPr>
          <w:color w:val="auto"/>
          <w:kern w:val="21"/>
        </w:rPr>
        <w:t>参考依据。</w:t>
      </w:r>
    </w:p>
    <w:p w14:paraId="4C471560">
      <w:pPr>
        <w:pStyle w:val="6"/>
        <w:rPr>
          <w:color w:val="auto"/>
        </w:rPr>
      </w:pPr>
      <w:bookmarkStart w:id="1162" w:name="_Toc29642920"/>
      <w:bookmarkStart w:id="1163" w:name="_Toc83209519"/>
      <w:bookmarkStart w:id="1164" w:name="_Toc67860174"/>
      <w:bookmarkStart w:id="1165" w:name="_Toc57976709"/>
      <w:bookmarkStart w:id="1166" w:name="_Toc77067700"/>
      <w:bookmarkStart w:id="1167" w:name="_Toc80971419"/>
      <w:bookmarkStart w:id="1168" w:name="_Toc34124486"/>
      <w:bookmarkStart w:id="1169" w:name="_Toc85640798"/>
      <w:bookmarkStart w:id="1170" w:name="_Toc29644704"/>
      <w:bookmarkStart w:id="1171" w:name="_Toc57707957"/>
      <w:bookmarkStart w:id="1172" w:name="_Toc26653"/>
      <w:bookmarkStart w:id="1173" w:name="_Toc76976288"/>
      <w:bookmarkStart w:id="1174" w:name="_Toc57203287"/>
      <w:bookmarkStart w:id="1175" w:name="_Toc131167329"/>
      <w:bookmarkStart w:id="1176" w:name="_Toc78816502"/>
      <w:bookmarkStart w:id="1177" w:name="_Toc38296425"/>
      <w:bookmarkStart w:id="1178" w:name="_Toc143099616"/>
      <w:bookmarkStart w:id="1179" w:name="_Toc84929274"/>
      <w:bookmarkStart w:id="1180" w:name="_Toc38545058"/>
      <w:bookmarkStart w:id="1181" w:name="_Toc126863429"/>
      <w:bookmarkStart w:id="1182" w:name="_Toc86141973"/>
      <w:bookmarkStart w:id="1183" w:name="_Toc61597273"/>
      <w:bookmarkStart w:id="1184" w:name="_Toc70050223"/>
      <w:bookmarkStart w:id="1185" w:name="_Toc41655202"/>
      <w:bookmarkStart w:id="1186" w:name="_Toc80588297"/>
      <w:bookmarkStart w:id="1187" w:name="_Toc127192378"/>
      <w:bookmarkStart w:id="1188" w:name="_Toc29643952"/>
      <w:r>
        <w:rPr>
          <w:color w:val="auto"/>
        </w:rPr>
        <w:t>声环境质量现状监测与评价</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5E0BEAF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声环境质量现状监测</w:t>
      </w:r>
    </w:p>
    <w:p w14:paraId="0A425044">
      <w:pPr>
        <w:pStyle w:val="276"/>
        <w:widowControl w:val="0"/>
        <w:ind w:firstLine="480"/>
        <w:jc w:val="both"/>
        <w:rPr>
          <w:color w:val="auto"/>
          <w:kern w:val="21"/>
        </w:rPr>
      </w:pPr>
      <w:r>
        <w:rPr>
          <w:color w:val="auto"/>
          <w:kern w:val="21"/>
        </w:rPr>
        <w:t>（1）监测点布设</w:t>
      </w:r>
    </w:p>
    <w:p w14:paraId="2D0DF335">
      <w:pPr>
        <w:pStyle w:val="276"/>
        <w:widowControl w:val="0"/>
        <w:ind w:firstLine="480"/>
        <w:jc w:val="both"/>
        <w:rPr>
          <w:color w:val="auto"/>
          <w:kern w:val="21"/>
        </w:rPr>
      </w:pPr>
      <w:r>
        <w:rPr>
          <w:color w:val="auto"/>
          <w:kern w:val="21"/>
        </w:rPr>
        <w:t>根据</w:t>
      </w:r>
      <w:r>
        <w:rPr>
          <w:color w:val="auto"/>
          <w:kern w:val="21"/>
          <w:lang w:bidi="zh-CN"/>
        </w:rPr>
        <w:t>《环境影响评价技术导则 陆地石油天然气开发建设项目》（HJ349-2023）</w:t>
      </w:r>
      <w:r>
        <w:rPr>
          <w:color w:val="auto"/>
          <w:kern w:val="21"/>
        </w:rPr>
        <w:t>要求，选取距本项目最近的声环境敏感点，根据拟建</w:t>
      </w:r>
      <w:r>
        <w:rPr>
          <w:color w:val="auto"/>
        </w:rPr>
        <w:t>井场布置</w:t>
      </w:r>
      <w:r>
        <w:rPr>
          <w:color w:val="auto"/>
          <w:kern w:val="21"/>
        </w:rPr>
        <w:t>情况进行布点，监测点布设见表</w:t>
      </w:r>
      <w:r>
        <w:rPr>
          <w:color w:val="auto"/>
          <w:kern w:val="2"/>
          <w:szCs w:val="20"/>
        </w:rPr>
        <w:t>4.3-1</w:t>
      </w:r>
      <w:r>
        <w:rPr>
          <w:rFonts w:hint="eastAsia"/>
          <w:color w:val="auto"/>
          <w:kern w:val="2"/>
          <w:szCs w:val="20"/>
        </w:rPr>
        <w:t>5</w:t>
      </w:r>
      <w:r>
        <w:rPr>
          <w:color w:val="auto"/>
          <w:kern w:val="21"/>
        </w:rPr>
        <w:t>，具体监测点位见附图</w:t>
      </w:r>
      <w:r>
        <w:rPr>
          <w:rFonts w:hint="eastAsia"/>
          <w:color w:val="auto"/>
          <w:kern w:val="21"/>
        </w:rPr>
        <w:t>6</w:t>
      </w:r>
      <w:r>
        <w:rPr>
          <w:color w:val="auto"/>
          <w:kern w:val="21"/>
        </w:rPr>
        <w:t>。</w:t>
      </w:r>
    </w:p>
    <w:p w14:paraId="0B37FC11">
      <w:pPr>
        <w:pStyle w:val="276"/>
        <w:widowControl w:val="0"/>
        <w:spacing w:line="440" w:lineRule="exact"/>
        <w:ind w:firstLine="0" w:firstLineChars="0"/>
        <w:jc w:val="center"/>
        <w:rPr>
          <w:color w:val="auto"/>
          <w:kern w:val="21"/>
        </w:rPr>
      </w:pPr>
      <w:r>
        <w:rPr>
          <w:color w:val="auto"/>
          <w:kern w:val="21"/>
        </w:rPr>
        <w:t>表</w:t>
      </w:r>
      <w:r>
        <w:rPr>
          <w:color w:val="auto"/>
          <w:kern w:val="2"/>
          <w:szCs w:val="20"/>
        </w:rPr>
        <w:t>4.3-1</w:t>
      </w:r>
      <w:r>
        <w:rPr>
          <w:rFonts w:hint="eastAsia"/>
          <w:color w:val="auto"/>
          <w:kern w:val="2"/>
          <w:szCs w:val="20"/>
        </w:rPr>
        <w:t>5</w:t>
      </w:r>
      <w:r>
        <w:rPr>
          <w:color w:val="auto"/>
          <w:kern w:val="21"/>
        </w:rPr>
        <w:t xml:space="preserve"> 声环境现状监测点位表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4"/>
        <w:gridCol w:w="2140"/>
        <w:gridCol w:w="3080"/>
        <w:gridCol w:w="3163"/>
      </w:tblGrid>
      <w:tr w14:paraId="1AB3E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7" w:type="pct"/>
            <w:shd w:val="clear" w:color="auto" w:fill="auto"/>
            <w:vAlign w:val="center"/>
          </w:tcPr>
          <w:p w14:paraId="7DCDDA69">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序号</w:t>
            </w:r>
          </w:p>
        </w:tc>
        <w:tc>
          <w:tcPr>
            <w:tcW w:w="1152" w:type="pct"/>
            <w:shd w:val="clear" w:color="auto" w:fill="auto"/>
            <w:vAlign w:val="center"/>
          </w:tcPr>
          <w:p w14:paraId="5D40DDDC">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监测点</w:t>
            </w:r>
          </w:p>
        </w:tc>
        <w:tc>
          <w:tcPr>
            <w:tcW w:w="1658" w:type="pct"/>
            <w:shd w:val="clear" w:color="auto" w:fill="auto"/>
            <w:vAlign w:val="center"/>
          </w:tcPr>
          <w:p w14:paraId="1C8C3A88">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监测坐标</w:t>
            </w:r>
            <w:r>
              <w:rPr>
                <w:rFonts w:hint="eastAsia" w:ascii="宋体" w:hAnsi="宋体" w:eastAsia="宋体" w:cs="Times New Roman"/>
                <w:color w:val="auto"/>
                <w:kern w:val="21"/>
              </w:rPr>
              <w:t>/</w:t>
            </w:r>
            <w:r>
              <w:rPr>
                <w:rFonts w:hint="eastAsia" w:ascii="宋体" w:hAnsi="宋体" w:eastAsia="宋体" w:cs="Times New Roman"/>
                <w:color w:val="auto"/>
              </w:rPr>
              <w:t>°</w:t>
            </w:r>
          </w:p>
        </w:tc>
        <w:tc>
          <w:tcPr>
            <w:tcW w:w="1703" w:type="pct"/>
            <w:shd w:val="clear" w:color="auto" w:fill="auto"/>
            <w:vAlign w:val="center"/>
          </w:tcPr>
          <w:p w14:paraId="4AAE45AD">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项目位置关系</w:t>
            </w:r>
          </w:p>
        </w:tc>
      </w:tr>
      <w:tr w14:paraId="5F996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7" w:type="pct"/>
            <w:shd w:val="clear" w:color="auto" w:fill="auto"/>
            <w:vAlign w:val="center"/>
          </w:tcPr>
          <w:p w14:paraId="02EFEF63">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N1</w:t>
            </w:r>
          </w:p>
        </w:tc>
        <w:tc>
          <w:tcPr>
            <w:tcW w:w="1152" w:type="pct"/>
            <w:shd w:val="clear" w:color="auto" w:fill="auto"/>
            <w:vAlign w:val="center"/>
          </w:tcPr>
          <w:p w14:paraId="49BF515A">
            <w:pPr>
              <w:adjustRightInd w:val="0"/>
              <w:snapToGrid w:val="0"/>
              <w:jc w:val="center"/>
              <w:rPr>
                <w:rFonts w:ascii="宋体" w:hAnsi="宋体" w:eastAsia="宋体" w:cs="Times New Roman"/>
                <w:color w:val="auto"/>
                <w:kern w:val="21"/>
              </w:rPr>
            </w:pPr>
            <w:r>
              <w:rPr>
                <w:rFonts w:hint="eastAsia" w:ascii="宋体" w:hAnsi="宋体" w:eastAsia="宋体" w:cs="Times New Roman"/>
                <w:color w:val="auto"/>
                <w:kern w:val="21"/>
              </w:rPr>
              <w:t>3</w:t>
            </w:r>
            <w:r>
              <w:rPr>
                <w:rFonts w:ascii="宋体" w:hAnsi="宋体" w:eastAsia="宋体" w:cs="Times New Roman"/>
                <w:color w:val="auto"/>
                <w:kern w:val="21"/>
              </w:rPr>
              <w:t>#平台井场</w:t>
            </w:r>
          </w:p>
        </w:tc>
        <w:tc>
          <w:tcPr>
            <w:tcW w:w="1658" w:type="pct"/>
            <w:shd w:val="clear" w:color="auto" w:fill="auto"/>
            <w:vAlign w:val="center"/>
          </w:tcPr>
          <w:p w14:paraId="4BA0BFDD">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45.56462，125.17320</w:t>
            </w:r>
          </w:p>
        </w:tc>
        <w:tc>
          <w:tcPr>
            <w:tcW w:w="1703" w:type="pct"/>
            <w:shd w:val="clear" w:color="auto" w:fill="auto"/>
            <w:vAlign w:val="center"/>
          </w:tcPr>
          <w:p w14:paraId="70ED6DC7">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拟建井场</w:t>
            </w:r>
          </w:p>
        </w:tc>
      </w:tr>
      <w:tr w14:paraId="227AA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7" w:type="pct"/>
            <w:shd w:val="clear" w:color="auto" w:fill="auto"/>
            <w:vAlign w:val="center"/>
          </w:tcPr>
          <w:p w14:paraId="1BD4B7DA">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N2</w:t>
            </w:r>
          </w:p>
        </w:tc>
        <w:tc>
          <w:tcPr>
            <w:tcW w:w="1152" w:type="pct"/>
            <w:shd w:val="clear" w:color="auto" w:fill="auto"/>
            <w:vAlign w:val="center"/>
          </w:tcPr>
          <w:p w14:paraId="4A9DE596">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源1011</w:t>
            </w:r>
          </w:p>
        </w:tc>
        <w:tc>
          <w:tcPr>
            <w:tcW w:w="1658" w:type="pct"/>
            <w:shd w:val="clear" w:color="auto" w:fill="auto"/>
            <w:vAlign w:val="center"/>
          </w:tcPr>
          <w:p w14:paraId="267D7898">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45.51232，125.04547</w:t>
            </w:r>
          </w:p>
        </w:tc>
        <w:tc>
          <w:tcPr>
            <w:tcW w:w="1703" w:type="pct"/>
            <w:shd w:val="clear" w:color="auto" w:fill="auto"/>
            <w:vAlign w:val="center"/>
          </w:tcPr>
          <w:p w14:paraId="36883589">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拟建井场</w:t>
            </w:r>
          </w:p>
        </w:tc>
      </w:tr>
      <w:tr w14:paraId="2D788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7" w:type="pct"/>
            <w:shd w:val="clear" w:color="auto" w:fill="auto"/>
            <w:vAlign w:val="center"/>
          </w:tcPr>
          <w:p w14:paraId="572CFBCA">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N3</w:t>
            </w:r>
          </w:p>
        </w:tc>
        <w:tc>
          <w:tcPr>
            <w:tcW w:w="1152" w:type="pct"/>
            <w:shd w:val="clear" w:color="auto" w:fill="auto"/>
            <w:vAlign w:val="center"/>
          </w:tcPr>
          <w:p w14:paraId="73C4575C">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后欧力马屯</w:t>
            </w:r>
          </w:p>
        </w:tc>
        <w:tc>
          <w:tcPr>
            <w:tcW w:w="1658" w:type="pct"/>
            <w:shd w:val="clear" w:color="auto" w:fill="auto"/>
            <w:vAlign w:val="center"/>
          </w:tcPr>
          <w:p w14:paraId="4E58629A">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45.56622，125.16758</w:t>
            </w:r>
          </w:p>
        </w:tc>
        <w:tc>
          <w:tcPr>
            <w:tcW w:w="1703" w:type="pct"/>
            <w:shd w:val="clear" w:color="auto" w:fill="auto"/>
            <w:vAlign w:val="center"/>
          </w:tcPr>
          <w:p w14:paraId="2FCB834A">
            <w:pPr>
              <w:adjustRightInd w:val="0"/>
              <w:snapToGrid w:val="0"/>
              <w:jc w:val="center"/>
              <w:rPr>
                <w:rFonts w:ascii="宋体" w:hAnsi="宋体" w:eastAsia="宋体" w:cs="Times New Roman"/>
                <w:color w:val="auto"/>
                <w:kern w:val="21"/>
              </w:rPr>
            </w:pPr>
            <w:r>
              <w:rPr>
                <w:rFonts w:hint="eastAsia" w:ascii="宋体" w:hAnsi="宋体" w:eastAsia="宋体" w:cs="Times New Roman"/>
                <w:color w:val="auto"/>
                <w:kern w:val="21"/>
              </w:rPr>
              <w:t>3</w:t>
            </w:r>
            <w:r>
              <w:rPr>
                <w:rFonts w:ascii="宋体" w:hAnsi="宋体" w:eastAsia="宋体" w:cs="Times New Roman"/>
                <w:color w:val="auto"/>
                <w:kern w:val="21"/>
              </w:rPr>
              <w:t>#平台西北侧300m</w:t>
            </w:r>
          </w:p>
        </w:tc>
      </w:tr>
      <w:tr w14:paraId="13969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7" w:type="pct"/>
            <w:shd w:val="clear" w:color="auto" w:fill="auto"/>
            <w:vAlign w:val="center"/>
          </w:tcPr>
          <w:p w14:paraId="0357BD41">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N4</w:t>
            </w:r>
          </w:p>
        </w:tc>
        <w:tc>
          <w:tcPr>
            <w:tcW w:w="1152" w:type="pct"/>
            <w:shd w:val="clear" w:color="auto" w:fill="auto"/>
            <w:vAlign w:val="center"/>
          </w:tcPr>
          <w:p w14:paraId="58041E5C">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刘兽医屯</w:t>
            </w:r>
          </w:p>
        </w:tc>
        <w:tc>
          <w:tcPr>
            <w:tcW w:w="1658" w:type="pct"/>
            <w:shd w:val="clear" w:color="auto" w:fill="auto"/>
            <w:vAlign w:val="center"/>
          </w:tcPr>
          <w:p w14:paraId="310D8EA8">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45.51211，125.04365</w:t>
            </w:r>
          </w:p>
        </w:tc>
        <w:tc>
          <w:tcPr>
            <w:tcW w:w="1703" w:type="pct"/>
            <w:shd w:val="clear" w:color="auto" w:fill="auto"/>
            <w:vAlign w:val="center"/>
          </w:tcPr>
          <w:p w14:paraId="702697B3">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源1011西侧140m</w:t>
            </w:r>
          </w:p>
        </w:tc>
      </w:tr>
    </w:tbl>
    <w:p w14:paraId="125CD096">
      <w:pPr>
        <w:pStyle w:val="276"/>
        <w:widowControl w:val="0"/>
        <w:ind w:firstLine="480"/>
        <w:jc w:val="both"/>
        <w:rPr>
          <w:color w:val="auto"/>
        </w:rPr>
      </w:pPr>
      <w:r>
        <w:rPr>
          <w:color w:val="auto"/>
        </w:rPr>
        <w:t>（2）监测时间及频次</w:t>
      </w:r>
    </w:p>
    <w:p w14:paraId="0DBAC5D7">
      <w:pPr>
        <w:pStyle w:val="276"/>
        <w:widowControl w:val="0"/>
        <w:ind w:firstLine="480"/>
        <w:jc w:val="both"/>
        <w:rPr>
          <w:color w:val="auto"/>
        </w:rPr>
      </w:pPr>
      <w:r>
        <w:rPr>
          <w:color w:val="auto"/>
        </w:rPr>
        <w:t>监测时间：2025年8月18日～19日、2025年8月21日～22日</w:t>
      </w:r>
    </w:p>
    <w:p w14:paraId="51447730">
      <w:pPr>
        <w:pStyle w:val="276"/>
        <w:widowControl w:val="0"/>
        <w:ind w:firstLine="480"/>
        <w:jc w:val="both"/>
        <w:rPr>
          <w:color w:val="auto"/>
        </w:rPr>
      </w:pPr>
      <w:r>
        <w:rPr>
          <w:color w:val="auto"/>
        </w:rPr>
        <w:t>监测频次：连续监测2天，昼夜各1次。</w:t>
      </w:r>
    </w:p>
    <w:p w14:paraId="4A9D3B1D">
      <w:pPr>
        <w:pStyle w:val="276"/>
        <w:widowControl w:val="0"/>
        <w:ind w:firstLine="480"/>
        <w:jc w:val="both"/>
        <w:rPr>
          <w:color w:val="auto"/>
        </w:rPr>
      </w:pPr>
      <w:r>
        <w:rPr>
          <w:color w:val="auto"/>
        </w:rPr>
        <w:t>（3）监测结果</w:t>
      </w:r>
    </w:p>
    <w:p w14:paraId="0CF196BD">
      <w:pPr>
        <w:pStyle w:val="276"/>
        <w:widowControl w:val="0"/>
        <w:ind w:firstLine="480"/>
        <w:jc w:val="both"/>
        <w:rPr>
          <w:color w:val="auto"/>
        </w:rPr>
      </w:pPr>
      <w:r>
        <w:rPr>
          <w:color w:val="auto"/>
        </w:rPr>
        <w:t>声环境现状监测结果见表4.3-1</w:t>
      </w:r>
      <w:r>
        <w:rPr>
          <w:rFonts w:hint="eastAsia"/>
          <w:color w:val="auto"/>
        </w:rPr>
        <w:t>6</w:t>
      </w:r>
      <w:r>
        <w:rPr>
          <w:color w:val="auto"/>
        </w:rPr>
        <w:t>。</w:t>
      </w:r>
    </w:p>
    <w:p w14:paraId="2B3083EA">
      <w:pPr>
        <w:pStyle w:val="276"/>
        <w:widowControl w:val="0"/>
        <w:spacing w:line="440" w:lineRule="exact"/>
        <w:ind w:firstLine="0" w:firstLineChars="0"/>
        <w:jc w:val="center"/>
        <w:rPr>
          <w:color w:val="auto"/>
          <w:kern w:val="21"/>
        </w:rPr>
      </w:pPr>
      <w:r>
        <w:rPr>
          <w:color w:val="auto"/>
          <w:kern w:val="21"/>
        </w:rPr>
        <w:t>表</w:t>
      </w:r>
      <w:r>
        <w:rPr>
          <w:color w:val="auto"/>
          <w:kern w:val="2"/>
          <w:szCs w:val="20"/>
        </w:rPr>
        <w:t>4.3-1</w:t>
      </w:r>
      <w:r>
        <w:rPr>
          <w:rFonts w:hint="eastAsia"/>
          <w:color w:val="auto"/>
          <w:kern w:val="2"/>
          <w:szCs w:val="20"/>
        </w:rPr>
        <w:t>6</w:t>
      </w:r>
      <w:r>
        <w:rPr>
          <w:color w:val="auto"/>
          <w:kern w:val="21"/>
        </w:rPr>
        <w:t xml:space="preserve"> 声环境现状监测结果表 单位：dB（A）</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1750"/>
        <w:gridCol w:w="1742"/>
        <w:gridCol w:w="1761"/>
        <w:gridCol w:w="1742"/>
      </w:tblGrid>
      <w:tr w14:paraId="321D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Merge w:val="restart"/>
            <w:shd w:val="clear" w:color="auto" w:fill="auto"/>
            <w:vAlign w:val="center"/>
          </w:tcPr>
          <w:p w14:paraId="7F4164C5">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监测点位</w:t>
            </w:r>
          </w:p>
        </w:tc>
        <w:tc>
          <w:tcPr>
            <w:tcW w:w="1880" w:type="pct"/>
            <w:gridSpan w:val="2"/>
            <w:shd w:val="clear" w:color="auto" w:fill="auto"/>
            <w:vAlign w:val="center"/>
          </w:tcPr>
          <w:p w14:paraId="0AC3E5B0">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2025.08.18</w:t>
            </w:r>
          </w:p>
        </w:tc>
        <w:tc>
          <w:tcPr>
            <w:tcW w:w="1886" w:type="pct"/>
            <w:gridSpan w:val="2"/>
            <w:shd w:val="clear" w:color="auto" w:fill="auto"/>
            <w:vAlign w:val="center"/>
          </w:tcPr>
          <w:p w14:paraId="184F37D4">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2025.08.19</w:t>
            </w:r>
          </w:p>
        </w:tc>
      </w:tr>
      <w:tr w14:paraId="298A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Merge w:val="continue"/>
            <w:shd w:val="clear" w:color="auto" w:fill="auto"/>
            <w:vAlign w:val="center"/>
          </w:tcPr>
          <w:p w14:paraId="30740878">
            <w:pPr>
              <w:adjustRightInd w:val="0"/>
              <w:snapToGrid w:val="0"/>
              <w:jc w:val="center"/>
              <w:rPr>
                <w:rFonts w:ascii="宋体" w:hAnsi="宋体" w:eastAsia="宋体" w:cs="Times New Roman"/>
                <w:color w:val="auto"/>
                <w:kern w:val="21"/>
              </w:rPr>
            </w:pPr>
          </w:p>
        </w:tc>
        <w:tc>
          <w:tcPr>
            <w:tcW w:w="942" w:type="pct"/>
            <w:shd w:val="clear" w:color="auto" w:fill="auto"/>
            <w:vAlign w:val="center"/>
          </w:tcPr>
          <w:p w14:paraId="6E75BF9A">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昼间</w:t>
            </w:r>
          </w:p>
        </w:tc>
        <w:tc>
          <w:tcPr>
            <w:tcW w:w="938" w:type="pct"/>
            <w:shd w:val="clear" w:color="auto" w:fill="auto"/>
            <w:vAlign w:val="center"/>
          </w:tcPr>
          <w:p w14:paraId="3644793F">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夜间</w:t>
            </w:r>
          </w:p>
        </w:tc>
        <w:tc>
          <w:tcPr>
            <w:tcW w:w="948" w:type="pct"/>
            <w:shd w:val="clear" w:color="auto" w:fill="auto"/>
            <w:vAlign w:val="center"/>
          </w:tcPr>
          <w:p w14:paraId="7BEC3AED">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昼间</w:t>
            </w:r>
          </w:p>
        </w:tc>
        <w:tc>
          <w:tcPr>
            <w:tcW w:w="938" w:type="pct"/>
            <w:shd w:val="clear" w:color="auto" w:fill="auto"/>
            <w:vAlign w:val="center"/>
          </w:tcPr>
          <w:p w14:paraId="309D9C85">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夜间</w:t>
            </w:r>
          </w:p>
        </w:tc>
      </w:tr>
      <w:tr w14:paraId="3FFD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shd w:val="clear" w:color="auto" w:fill="auto"/>
            <w:vAlign w:val="center"/>
          </w:tcPr>
          <w:p w14:paraId="3ED37CFF">
            <w:pPr>
              <w:adjustRightInd w:val="0"/>
              <w:snapToGrid w:val="0"/>
              <w:jc w:val="center"/>
              <w:rPr>
                <w:rFonts w:ascii="宋体" w:hAnsi="宋体" w:eastAsia="宋体" w:cs="Times New Roman"/>
                <w:color w:val="auto"/>
                <w:kern w:val="21"/>
              </w:rPr>
            </w:pPr>
            <w:r>
              <w:rPr>
                <w:rFonts w:hint="eastAsia" w:ascii="宋体" w:hAnsi="宋体" w:eastAsia="宋体" w:cs="Times New Roman"/>
                <w:color w:val="auto"/>
                <w:kern w:val="21"/>
              </w:rPr>
              <w:t>3</w:t>
            </w:r>
            <w:r>
              <w:rPr>
                <w:rFonts w:ascii="宋体" w:hAnsi="宋体" w:eastAsia="宋体" w:cs="Times New Roman"/>
                <w:color w:val="auto"/>
                <w:kern w:val="21"/>
              </w:rPr>
              <w:t>#平台井场</w:t>
            </w:r>
          </w:p>
        </w:tc>
        <w:tc>
          <w:tcPr>
            <w:tcW w:w="942" w:type="pct"/>
            <w:shd w:val="clear" w:color="auto" w:fill="auto"/>
            <w:vAlign w:val="center"/>
          </w:tcPr>
          <w:p w14:paraId="526F27B7">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44.5</w:t>
            </w:r>
          </w:p>
        </w:tc>
        <w:tc>
          <w:tcPr>
            <w:tcW w:w="938" w:type="pct"/>
            <w:shd w:val="clear" w:color="auto" w:fill="auto"/>
            <w:vAlign w:val="center"/>
          </w:tcPr>
          <w:p w14:paraId="0D537299">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42.9</w:t>
            </w:r>
          </w:p>
        </w:tc>
        <w:tc>
          <w:tcPr>
            <w:tcW w:w="948" w:type="pct"/>
            <w:shd w:val="clear" w:color="auto" w:fill="auto"/>
            <w:vAlign w:val="center"/>
          </w:tcPr>
          <w:p w14:paraId="55600643">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44.1</w:t>
            </w:r>
          </w:p>
        </w:tc>
        <w:tc>
          <w:tcPr>
            <w:tcW w:w="938" w:type="pct"/>
            <w:shd w:val="clear" w:color="auto" w:fill="auto"/>
            <w:vAlign w:val="center"/>
          </w:tcPr>
          <w:p w14:paraId="5FDD1865">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42.2</w:t>
            </w:r>
          </w:p>
        </w:tc>
      </w:tr>
      <w:tr w14:paraId="3AC3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shd w:val="clear" w:color="auto" w:fill="auto"/>
            <w:vAlign w:val="center"/>
          </w:tcPr>
          <w:p w14:paraId="07FA1DEB">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后欧力马屯</w:t>
            </w:r>
          </w:p>
        </w:tc>
        <w:tc>
          <w:tcPr>
            <w:tcW w:w="942" w:type="pct"/>
            <w:shd w:val="clear" w:color="auto" w:fill="auto"/>
            <w:vAlign w:val="center"/>
          </w:tcPr>
          <w:p w14:paraId="215A8755">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47.3</w:t>
            </w:r>
          </w:p>
        </w:tc>
        <w:tc>
          <w:tcPr>
            <w:tcW w:w="938" w:type="pct"/>
            <w:shd w:val="clear" w:color="auto" w:fill="auto"/>
            <w:vAlign w:val="center"/>
          </w:tcPr>
          <w:p w14:paraId="29067BE2">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42.5</w:t>
            </w:r>
          </w:p>
        </w:tc>
        <w:tc>
          <w:tcPr>
            <w:tcW w:w="948" w:type="pct"/>
            <w:shd w:val="clear" w:color="auto" w:fill="auto"/>
            <w:vAlign w:val="center"/>
          </w:tcPr>
          <w:p w14:paraId="78CB42D2">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47.6</w:t>
            </w:r>
          </w:p>
        </w:tc>
        <w:tc>
          <w:tcPr>
            <w:tcW w:w="938" w:type="pct"/>
            <w:shd w:val="clear" w:color="auto" w:fill="auto"/>
            <w:vAlign w:val="center"/>
          </w:tcPr>
          <w:p w14:paraId="28CF7B8F">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42.9</w:t>
            </w:r>
          </w:p>
        </w:tc>
      </w:tr>
      <w:tr w14:paraId="0577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Merge w:val="restart"/>
            <w:shd w:val="clear" w:color="auto" w:fill="auto"/>
            <w:vAlign w:val="center"/>
          </w:tcPr>
          <w:p w14:paraId="09868494">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监测点位</w:t>
            </w:r>
          </w:p>
        </w:tc>
        <w:tc>
          <w:tcPr>
            <w:tcW w:w="1880" w:type="pct"/>
            <w:gridSpan w:val="2"/>
            <w:shd w:val="clear" w:color="auto" w:fill="auto"/>
            <w:vAlign w:val="center"/>
          </w:tcPr>
          <w:p w14:paraId="0898D099">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2025.08.21</w:t>
            </w:r>
          </w:p>
        </w:tc>
        <w:tc>
          <w:tcPr>
            <w:tcW w:w="1886" w:type="pct"/>
            <w:gridSpan w:val="2"/>
            <w:shd w:val="clear" w:color="auto" w:fill="auto"/>
            <w:vAlign w:val="center"/>
          </w:tcPr>
          <w:p w14:paraId="69874536">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2025.08.22</w:t>
            </w:r>
          </w:p>
        </w:tc>
      </w:tr>
      <w:tr w14:paraId="0823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Merge w:val="continue"/>
            <w:shd w:val="clear" w:color="auto" w:fill="auto"/>
            <w:vAlign w:val="center"/>
          </w:tcPr>
          <w:p w14:paraId="4560693D">
            <w:pPr>
              <w:adjustRightInd w:val="0"/>
              <w:snapToGrid w:val="0"/>
              <w:jc w:val="center"/>
              <w:rPr>
                <w:rFonts w:ascii="宋体" w:hAnsi="宋体" w:eastAsia="宋体" w:cs="Times New Roman"/>
                <w:color w:val="auto"/>
                <w:kern w:val="21"/>
              </w:rPr>
            </w:pPr>
          </w:p>
        </w:tc>
        <w:tc>
          <w:tcPr>
            <w:tcW w:w="942" w:type="pct"/>
            <w:shd w:val="clear" w:color="auto" w:fill="auto"/>
            <w:vAlign w:val="center"/>
          </w:tcPr>
          <w:p w14:paraId="1EB22F71">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昼间</w:t>
            </w:r>
          </w:p>
        </w:tc>
        <w:tc>
          <w:tcPr>
            <w:tcW w:w="938" w:type="pct"/>
            <w:shd w:val="clear" w:color="auto" w:fill="auto"/>
            <w:vAlign w:val="center"/>
          </w:tcPr>
          <w:p w14:paraId="34D2B334">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夜间</w:t>
            </w:r>
          </w:p>
        </w:tc>
        <w:tc>
          <w:tcPr>
            <w:tcW w:w="948" w:type="pct"/>
            <w:shd w:val="clear" w:color="auto" w:fill="auto"/>
            <w:vAlign w:val="center"/>
          </w:tcPr>
          <w:p w14:paraId="1231B1BA">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昼间</w:t>
            </w:r>
          </w:p>
        </w:tc>
        <w:tc>
          <w:tcPr>
            <w:tcW w:w="938" w:type="pct"/>
            <w:shd w:val="clear" w:color="auto" w:fill="auto"/>
            <w:vAlign w:val="center"/>
          </w:tcPr>
          <w:p w14:paraId="177BEC43">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夜间</w:t>
            </w:r>
          </w:p>
        </w:tc>
      </w:tr>
      <w:tr w14:paraId="3E38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shd w:val="clear" w:color="auto" w:fill="auto"/>
            <w:vAlign w:val="center"/>
          </w:tcPr>
          <w:p w14:paraId="5649BE79">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源1011</w:t>
            </w:r>
          </w:p>
        </w:tc>
        <w:tc>
          <w:tcPr>
            <w:tcW w:w="942" w:type="pct"/>
            <w:shd w:val="clear" w:color="auto" w:fill="auto"/>
            <w:vAlign w:val="center"/>
          </w:tcPr>
          <w:p w14:paraId="661D0CE2">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44.5</w:t>
            </w:r>
          </w:p>
        </w:tc>
        <w:tc>
          <w:tcPr>
            <w:tcW w:w="938" w:type="pct"/>
            <w:shd w:val="clear" w:color="auto" w:fill="auto"/>
            <w:vAlign w:val="center"/>
          </w:tcPr>
          <w:p w14:paraId="03842DA5">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42.9</w:t>
            </w:r>
          </w:p>
        </w:tc>
        <w:tc>
          <w:tcPr>
            <w:tcW w:w="948" w:type="pct"/>
            <w:shd w:val="clear" w:color="auto" w:fill="auto"/>
            <w:vAlign w:val="center"/>
          </w:tcPr>
          <w:p w14:paraId="00D7C9DE">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44.1</w:t>
            </w:r>
          </w:p>
        </w:tc>
        <w:tc>
          <w:tcPr>
            <w:tcW w:w="938" w:type="pct"/>
            <w:shd w:val="clear" w:color="auto" w:fill="auto"/>
            <w:vAlign w:val="center"/>
          </w:tcPr>
          <w:p w14:paraId="71680297">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42.2</w:t>
            </w:r>
          </w:p>
        </w:tc>
      </w:tr>
      <w:tr w14:paraId="2BF7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shd w:val="clear" w:color="auto" w:fill="auto"/>
            <w:vAlign w:val="center"/>
          </w:tcPr>
          <w:p w14:paraId="134F28A2">
            <w:pPr>
              <w:adjustRightInd w:val="0"/>
              <w:snapToGrid w:val="0"/>
              <w:jc w:val="center"/>
              <w:rPr>
                <w:rFonts w:ascii="宋体" w:hAnsi="宋体" w:eastAsia="宋体" w:cs="Times New Roman"/>
                <w:color w:val="auto"/>
                <w:kern w:val="21"/>
              </w:rPr>
            </w:pPr>
            <w:bookmarkStart w:id="1189" w:name="_Hlk211699650"/>
            <w:r>
              <w:rPr>
                <w:rFonts w:ascii="宋体" w:hAnsi="宋体" w:eastAsia="宋体" w:cs="Times New Roman"/>
                <w:color w:val="auto"/>
                <w:kern w:val="21"/>
              </w:rPr>
              <w:t>刘兽医屯</w:t>
            </w:r>
          </w:p>
        </w:tc>
        <w:tc>
          <w:tcPr>
            <w:tcW w:w="942" w:type="pct"/>
            <w:shd w:val="clear" w:color="auto" w:fill="auto"/>
            <w:vAlign w:val="center"/>
          </w:tcPr>
          <w:p w14:paraId="5ED697FB">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47.3</w:t>
            </w:r>
          </w:p>
        </w:tc>
        <w:tc>
          <w:tcPr>
            <w:tcW w:w="938" w:type="pct"/>
            <w:shd w:val="clear" w:color="auto" w:fill="auto"/>
            <w:vAlign w:val="center"/>
          </w:tcPr>
          <w:p w14:paraId="69915CCF">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42.5</w:t>
            </w:r>
          </w:p>
        </w:tc>
        <w:tc>
          <w:tcPr>
            <w:tcW w:w="948" w:type="pct"/>
            <w:shd w:val="clear" w:color="auto" w:fill="auto"/>
            <w:vAlign w:val="center"/>
          </w:tcPr>
          <w:p w14:paraId="08A26F3B">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47.6</w:t>
            </w:r>
          </w:p>
        </w:tc>
        <w:tc>
          <w:tcPr>
            <w:tcW w:w="938" w:type="pct"/>
            <w:shd w:val="clear" w:color="auto" w:fill="auto"/>
            <w:vAlign w:val="center"/>
          </w:tcPr>
          <w:p w14:paraId="5A91F1D7">
            <w:pPr>
              <w:adjustRightInd w:val="0"/>
              <w:snapToGrid w:val="0"/>
              <w:jc w:val="center"/>
              <w:rPr>
                <w:rFonts w:ascii="宋体" w:hAnsi="宋体" w:eastAsia="宋体" w:cs="Times New Roman"/>
                <w:color w:val="auto"/>
                <w:kern w:val="21"/>
              </w:rPr>
            </w:pPr>
            <w:r>
              <w:rPr>
                <w:rFonts w:ascii="宋体" w:hAnsi="宋体" w:eastAsia="宋体" w:cs="Times New Roman"/>
                <w:color w:val="auto"/>
                <w:kern w:val="21"/>
              </w:rPr>
              <w:t>42.9</w:t>
            </w:r>
          </w:p>
        </w:tc>
      </w:tr>
      <w:bookmarkEnd w:id="1189"/>
    </w:tbl>
    <w:p w14:paraId="5631D4B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声环境质量现状评价</w:t>
      </w:r>
    </w:p>
    <w:p w14:paraId="50BAEF16">
      <w:pPr>
        <w:pStyle w:val="276"/>
        <w:widowControl w:val="0"/>
        <w:ind w:firstLine="480"/>
        <w:jc w:val="both"/>
        <w:rPr>
          <w:color w:val="auto"/>
        </w:rPr>
      </w:pPr>
      <w:r>
        <w:rPr>
          <w:color w:val="auto"/>
        </w:rPr>
        <w:t>（1）评价标准</w:t>
      </w:r>
    </w:p>
    <w:p w14:paraId="2E730113">
      <w:pPr>
        <w:pStyle w:val="276"/>
        <w:widowControl w:val="0"/>
        <w:ind w:firstLine="480"/>
        <w:jc w:val="both"/>
        <w:rPr>
          <w:color w:val="auto"/>
        </w:rPr>
      </w:pPr>
      <w:r>
        <w:rPr>
          <w:color w:val="auto"/>
        </w:rPr>
        <w:t>根据建设项目区域声环境功能区划，村屯声环境执行《声环境质量标准》（GB3096-2008）1类标准。</w:t>
      </w:r>
    </w:p>
    <w:p w14:paraId="0CFD06D4">
      <w:pPr>
        <w:pStyle w:val="276"/>
        <w:widowControl w:val="0"/>
        <w:ind w:firstLine="480"/>
        <w:jc w:val="both"/>
        <w:rPr>
          <w:color w:val="auto"/>
        </w:rPr>
      </w:pPr>
      <w:r>
        <w:rPr>
          <w:color w:val="auto"/>
        </w:rPr>
        <w:t>（2）评价方法</w:t>
      </w:r>
    </w:p>
    <w:p w14:paraId="61FBAD15">
      <w:pPr>
        <w:pStyle w:val="276"/>
        <w:widowControl w:val="0"/>
        <w:ind w:firstLine="480"/>
        <w:jc w:val="both"/>
        <w:rPr>
          <w:color w:val="auto"/>
        </w:rPr>
      </w:pPr>
      <w:r>
        <w:rPr>
          <w:color w:val="auto"/>
        </w:rPr>
        <w:t>声环境质量现状评价采用对标法进行评价。</w:t>
      </w:r>
    </w:p>
    <w:p w14:paraId="0F2BF611">
      <w:pPr>
        <w:pStyle w:val="276"/>
        <w:widowControl w:val="0"/>
        <w:ind w:firstLine="480"/>
        <w:jc w:val="both"/>
        <w:rPr>
          <w:color w:val="auto"/>
        </w:rPr>
      </w:pPr>
      <w:r>
        <w:rPr>
          <w:color w:val="auto"/>
        </w:rPr>
        <w:t>（3）评价结论</w:t>
      </w:r>
    </w:p>
    <w:p w14:paraId="248BB22F">
      <w:pPr>
        <w:pStyle w:val="276"/>
        <w:widowControl w:val="0"/>
        <w:ind w:firstLine="480"/>
        <w:jc w:val="both"/>
        <w:rPr>
          <w:color w:val="auto"/>
        </w:rPr>
      </w:pPr>
      <w:r>
        <w:rPr>
          <w:color w:val="auto"/>
        </w:rPr>
        <w:t>由声环境质量现状监测结果与执行评价标准限值对比分析可知，项目区域声环境满足《声环境质量标准》（GB3096-2008）2类标准</w:t>
      </w:r>
      <w:r>
        <w:rPr>
          <w:rFonts w:hint="eastAsia"/>
          <w:color w:val="auto"/>
        </w:rPr>
        <w:t>，村屯声环境满足1</w:t>
      </w:r>
      <w:r>
        <w:rPr>
          <w:color w:val="auto"/>
        </w:rPr>
        <w:t>类标准。</w:t>
      </w:r>
    </w:p>
    <w:p w14:paraId="1E3F7DE8">
      <w:pPr>
        <w:pStyle w:val="6"/>
        <w:rPr>
          <w:color w:val="auto"/>
        </w:rPr>
      </w:pPr>
      <w:bookmarkStart w:id="1190" w:name="_Toc126863430"/>
      <w:bookmarkStart w:id="1191" w:name="_Toc29643953"/>
      <w:bookmarkStart w:id="1192" w:name="_Toc127192379"/>
      <w:bookmarkStart w:id="1193" w:name="_Toc143099617"/>
      <w:bookmarkStart w:id="1194" w:name="_Toc70050224"/>
      <w:bookmarkStart w:id="1195" w:name="_Toc41655203"/>
      <w:bookmarkStart w:id="1196" w:name="_Toc86141974"/>
      <w:bookmarkStart w:id="1197" w:name="_Toc78816503"/>
      <w:bookmarkStart w:id="1198" w:name="_Toc29642921"/>
      <w:bookmarkStart w:id="1199" w:name="_Toc76976289"/>
      <w:bookmarkStart w:id="1200" w:name="_Toc57976710"/>
      <w:bookmarkStart w:id="1201" w:name="_Toc131167330"/>
      <w:bookmarkStart w:id="1202" w:name="_Toc67860175"/>
      <w:bookmarkStart w:id="1203" w:name="_Toc38296426"/>
      <w:bookmarkStart w:id="1204" w:name="_Toc84929275"/>
      <w:bookmarkStart w:id="1205" w:name="_Toc38545059"/>
      <w:bookmarkStart w:id="1206" w:name="_Toc29644705"/>
      <w:bookmarkStart w:id="1207" w:name="_Toc83209520"/>
      <w:bookmarkStart w:id="1208" w:name="_Toc77067701"/>
      <w:bookmarkStart w:id="1209" w:name="_Toc57707958"/>
      <w:bookmarkStart w:id="1210" w:name="_Toc61597274"/>
      <w:bookmarkStart w:id="1211" w:name="_Toc80588298"/>
      <w:bookmarkStart w:id="1212" w:name="_Toc34124487"/>
      <w:bookmarkStart w:id="1213" w:name="_Toc57203288"/>
      <w:bookmarkStart w:id="1214" w:name="_Toc1114"/>
      <w:bookmarkStart w:id="1215" w:name="_Toc80971420"/>
      <w:bookmarkStart w:id="1216" w:name="_Toc85640799"/>
      <w:r>
        <w:rPr>
          <w:color w:val="auto"/>
        </w:rPr>
        <w:t>土壤质量现状监测与评价</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04CDF60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土壤理化特性调查</w:t>
      </w:r>
    </w:p>
    <w:p w14:paraId="6C649F6B">
      <w:pPr>
        <w:pStyle w:val="276"/>
        <w:widowControl w:val="0"/>
        <w:ind w:firstLine="480"/>
        <w:jc w:val="both"/>
        <w:rPr>
          <w:color w:val="auto"/>
          <w:szCs w:val="20"/>
        </w:rPr>
      </w:pPr>
      <w:r>
        <w:rPr>
          <w:color w:val="auto"/>
          <w:szCs w:val="20"/>
        </w:rPr>
        <w:t>本项目评价范围内主要为草甸土，在充分收集资料的基础上，根据土壤环境影响类型、建设项目特征与评价需要，有针对性地选择土壤理化特性调查内容，具体土壤理化特性调查见表4.3-</w:t>
      </w:r>
      <w:r>
        <w:rPr>
          <w:rFonts w:hint="eastAsia"/>
          <w:color w:val="auto"/>
          <w:szCs w:val="20"/>
        </w:rPr>
        <w:t>17</w:t>
      </w:r>
      <w:r>
        <w:rPr>
          <w:color w:val="auto"/>
          <w:szCs w:val="20"/>
        </w:rPr>
        <w:t>，区域内土壤构型（土壤剖面）见表4.3-</w:t>
      </w:r>
      <w:r>
        <w:rPr>
          <w:rFonts w:hint="eastAsia"/>
          <w:color w:val="auto"/>
          <w:szCs w:val="20"/>
        </w:rPr>
        <w:t>18</w:t>
      </w:r>
      <w:r>
        <w:rPr>
          <w:color w:val="auto"/>
          <w:szCs w:val="20"/>
        </w:rPr>
        <w:t>。</w:t>
      </w:r>
    </w:p>
    <w:p w14:paraId="6B44B824">
      <w:pPr>
        <w:pStyle w:val="276"/>
        <w:widowControl w:val="0"/>
        <w:spacing w:line="440" w:lineRule="exact"/>
        <w:ind w:firstLine="480"/>
        <w:jc w:val="center"/>
        <w:rPr>
          <w:color w:val="auto"/>
          <w:szCs w:val="20"/>
        </w:rPr>
      </w:pPr>
      <w:r>
        <w:rPr>
          <w:color w:val="auto"/>
          <w:szCs w:val="20"/>
        </w:rPr>
        <w:t>表4.3-</w:t>
      </w:r>
      <w:r>
        <w:rPr>
          <w:rFonts w:hint="eastAsia"/>
          <w:color w:val="auto"/>
          <w:szCs w:val="20"/>
        </w:rPr>
        <w:t>17</w:t>
      </w:r>
      <w:r>
        <w:rPr>
          <w:color w:val="auto"/>
          <w:szCs w:val="20"/>
        </w:rPr>
        <w:t xml:space="preserve"> 土壤</w:t>
      </w:r>
      <w:r>
        <w:rPr>
          <w:color w:val="auto"/>
          <w:kern w:val="21"/>
        </w:rPr>
        <w:t>理化</w:t>
      </w:r>
      <w:r>
        <w:rPr>
          <w:color w:val="auto"/>
          <w:szCs w:val="20"/>
        </w:rPr>
        <w:t>特性调查表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6"/>
        <w:gridCol w:w="2296"/>
        <w:gridCol w:w="1898"/>
        <w:gridCol w:w="1898"/>
        <w:gridCol w:w="1903"/>
      </w:tblGrid>
      <w:tr w14:paraId="469B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62" w:type="pct"/>
            <w:gridSpan w:val="2"/>
            <w:shd w:val="clear" w:color="auto" w:fill="auto"/>
            <w:vAlign w:val="center"/>
          </w:tcPr>
          <w:p w14:paraId="4659290D">
            <w:pPr>
              <w:autoSpaceDE w:val="0"/>
              <w:autoSpaceDN w:val="0"/>
              <w:jc w:val="center"/>
              <w:rPr>
                <w:rFonts w:ascii="宋体" w:hAnsi="宋体" w:eastAsia="宋体" w:cs="Times New Roman"/>
                <w:color w:val="auto"/>
              </w:rPr>
            </w:pPr>
            <w:bookmarkStart w:id="1217" w:name="OLE_LINK67"/>
            <w:r>
              <w:rPr>
                <w:rFonts w:ascii="宋体" w:hAnsi="宋体" w:eastAsia="宋体" w:cs="Times New Roman"/>
                <w:color w:val="auto"/>
              </w:rPr>
              <w:t>时间</w:t>
            </w:r>
          </w:p>
        </w:tc>
        <w:tc>
          <w:tcPr>
            <w:tcW w:w="3138" w:type="pct"/>
            <w:gridSpan w:val="3"/>
            <w:shd w:val="clear" w:color="auto" w:fill="auto"/>
            <w:vAlign w:val="center"/>
          </w:tcPr>
          <w:p w14:paraId="6588A7D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2025.08.17</w:t>
            </w:r>
          </w:p>
        </w:tc>
      </w:tr>
      <w:tr w14:paraId="20B0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62" w:type="pct"/>
            <w:gridSpan w:val="2"/>
            <w:shd w:val="clear" w:color="auto" w:fill="auto"/>
            <w:vAlign w:val="center"/>
          </w:tcPr>
          <w:p w14:paraId="43ED8126">
            <w:pPr>
              <w:autoSpaceDE w:val="0"/>
              <w:autoSpaceDN w:val="0"/>
              <w:jc w:val="center"/>
              <w:rPr>
                <w:rFonts w:ascii="宋体" w:hAnsi="宋体" w:eastAsia="宋体" w:cs="Times New Roman"/>
                <w:color w:val="auto"/>
              </w:rPr>
            </w:pPr>
            <w:r>
              <w:rPr>
                <w:rFonts w:ascii="宋体" w:hAnsi="宋体" w:eastAsia="宋体" w:cs="Times New Roman"/>
                <w:color w:val="auto"/>
              </w:rPr>
              <w:t>点号</w:t>
            </w:r>
          </w:p>
        </w:tc>
        <w:tc>
          <w:tcPr>
            <w:tcW w:w="3138" w:type="pct"/>
            <w:gridSpan w:val="3"/>
            <w:shd w:val="clear" w:color="auto" w:fill="auto"/>
            <w:vAlign w:val="center"/>
          </w:tcPr>
          <w:p w14:paraId="0980790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拟建源212-扶平4</w:t>
            </w:r>
          </w:p>
        </w:tc>
      </w:tr>
      <w:tr w14:paraId="12DC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62" w:type="pct"/>
            <w:gridSpan w:val="2"/>
            <w:shd w:val="clear" w:color="auto" w:fill="auto"/>
            <w:vAlign w:val="center"/>
          </w:tcPr>
          <w:p w14:paraId="3B401D7B">
            <w:pPr>
              <w:autoSpaceDE w:val="0"/>
              <w:autoSpaceDN w:val="0"/>
              <w:jc w:val="center"/>
              <w:rPr>
                <w:rFonts w:ascii="宋体" w:hAnsi="宋体" w:eastAsia="宋体" w:cs="Times New Roman"/>
                <w:color w:val="auto"/>
              </w:rPr>
            </w:pPr>
            <w:r>
              <w:rPr>
                <w:rFonts w:ascii="宋体" w:hAnsi="宋体" w:eastAsia="宋体" w:cs="Times New Roman"/>
                <w:color w:val="auto"/>
              </w:rPr>
              <w:t>层次</w:t>
            </w:r>
          </w:p>
        </w:tc>
        <w:tc>
          <w:tcPr>
            <w:tcW w:w="1045" w:type="pct"/>
            <w:shd w:val="clear" w:color="auto" w:fill="auto"/>
            <w:vAlign w:val="center"/>
          </w:tcPr>
          <w:p w14:paraId="25B7CB3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0-50cm</w:t>
            </w:r>
          </w:p>
        </w:tc>
        <w:tc>
          <w:tcPr>
            <w:tcW w:w="1045" w:type="pct"/>
            <w:shd w:val="clear" w:color="auto" w:fill="auto"/>
            <w:vAlign w:val="center"/>
          </w:tcPr>
          <w:p w14:paraId="16FC5E3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50-150cm</w:t>
            </w:r>
          </w:p>
        </w:tc>
        <w:tc>
          <w:tcPr>
            <w:tcW w:w="1048" w:type="pct"/>
            <w:shd w:val="clear" w:color="auto" w:fill="auto"/>
            <w:vAlign w:val="center"/>
          </w:tcPr>
          <w:p w14:paraId="6AB73E44">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150-300cm</w:t>
            </w:r>
          </w:p>
        </w:tc>
      </w:tr>
      <w:tr w14:paraId="62B3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restart"/>
            <w:shd w:val="clear" w:color="auto" w:fill="auto"/>
            <w:vAlign w:val="center"/>
          </w:tcPr>
          <w:p w14:paraId="37AC9C1A">
            <w:pPr>
              <w:autoSpaceDE w:val="0"/>
              <w:autoSpaceDN w:val="0"/>
              <w:jc w:val="center"/>
              <w:rPr>
                <w:rFonts w:ascii="宋体" w:hAnsi="宋体" w:eastAsia="宋体" w:cs="Times New Roman"/>
                <w:color w:val="auto"/>
              </w:rPr>
            </w:pPr>
            <w:r>
              <w:rPr>
                <w:rFonts w:ascii="宋体" w:hAnsi="宋体" w:eastAsia="宋体" w:cs="Times New Roman"/>
                <w:color w:val="auto"/>
              </w:rPr>
              <w:t>现场记录</w:t>
            </w:r>
          </w:p>
        </w:tc>
        <w:tc>
          <w:tcPr>
            <w:tcW w:w="1264" w:type="pct"/>
            <w:shd w:val="clear" w:color="auto" w:fill="auto"/>
            <w:vAlign w:val="center"/>
          </w:tcPr>
          <w:p w14:paraId="73ED61EA">
            <w:pPr>
              <w:autoSpaceDE w:val="0"/>
              <w:autoSpaceDN w:val="0"/>
              <w:jc w:val="center"/>
              <w:rPr>
                <w:rFonts w:ascii="宋体" w:hAnsi="宋体" w:eastAsia="宋体" w:cs="Times New Roman"/>
                <w:color w:val="auto"/>
              </w:rPr>
            </w:pPr>
            <w:r>
              <w:rPr>
                <w:rFonts w:ascii="宋体" w:hAnsi="宋体" w:eastAsia="宋体" w:cs="Times New Roman"/>
                <w:color w:val="auto"/>
              </w:rPr>
              <w:t>颜色</w:t>
            </w:r>
          </w:p>
        </w:tc>
        <w:tc>
          <w:tcPr>
            <w:tcW w:w="1045" w:type="pct"/>
            <w:shd w:val="clear" w:color="auto" w:fill="auto"/>
            <w:vAlign w:val="center"/>
          </w:tcPr>
          <w:p w14:paraId="74D2515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黑色</w:t>
            </w:r>
          </w:p>
        </w:tc>
        <w:tc>
          <w:tcPr>
            <w:tcW w:w="1045" w:type="pct"/>
            <w:shd w:val="clear" w:color="auto" w:fill="auto"/>
            <w:vAlign w:val="center"/>
          </w:tcPr>
          <w:p w14:paraId="4387F9E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黑色</w:t>
            </w:r>
          </w:p>
        </w:tc>
        <w:tc>
          <w:tcPr>
            <w:tcW w:w="1048" w:type="pct"/>
            <w:shd w:val="clear" w:color="auto" w:fill="auto"/>
            <w:vAlign w:val="center"/>
          </w:tcPr>
          <w:p w14:paraId="528C12A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黑色</w:t>
            </w:r>
          </w:p>
        </w:tc>
      </w:tr>
      <w:tr w14:paraId="678C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1733F261">
            <w:pPr>
              <w:jc w:val="center"/>
              <w:rPr>
                <w:rFonts w:ascii="宋体" w:hAnsi="宋体" w:eastAsia="宋体" w:cs="Times New Roman"/>
                <w:color w:val="auto"/>
              </w:rPr>
            </w:pPr>
          </w:p>
        </w:tc>
        <w:tc>
          <w:tcPr>
            <w:tcW w:w="1264" w:type="pct"/>
            <w:shd w:val="clear" w:color="auto" w:fill="auto"/>
            <w:vAlign w:val="center"/>
          </w:tcPr>
          <w:p w14:paraId="3EE626A4">
            <w:pPr>
              <w:autoSpaceDE w:val="0"/>
              <w:autoSpaceDN w:val="0"/>
              <w:jc w:val="center"/>
              <w:rPr>
                <w:rFonts w:ascii="宋体" w:hAnsi="宋体" w:eastAsia="宋体" w:cs="Times New Roman"/>
                <w:color w:val="auto"/>
              </w:rPr>
            </w:pPr>
            <w:r>
              <w:rPr>
                <w:rFonts w:ascii="宋体" w:hAnsi="宋体" w:eastAsia="宋体" w:cs="Times New Roman"/>
                <w:color w:val="auto"/>
              </w:rPr>
              <w:t>结构</w:t>
            </w:r>
          </w:p>
        </w:tc>
        <w:tc>
          <w:tcPr>
            <w:tcW w:w="1045" w:type="pct"/>
            <w:shd w:val="clear" w:color="auto" w:fill="auto"/>
            <w:vAlign w:val="center"/>
          </w:tcPr>
          <w:p w14:paraId="1E652C4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块状</w:t>
            </w:r>
          </w:p>
        </w:tc>
        <w:tc>
          <w:tcPr>
            <w:tcW w:w="1045" w:type="pct"/>
            <w:shd w:val="clear" w:color="auto" w:fill="auto"/>
            <w:vAlign w:val="center"/>
          </w:tcPr>
          <w:p w14:paraId="2A60A3A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面状</w:t>
            </w:r>
          </w:p>
        </w:tc>
        <w:tc>
          <w:tcPr>
            <w:tcW w:w="1048" w:type="pct"/>
            <w:shd w:val="clear" w:color="auto" w:fill="auto"/>
            <w:vAlign w:val="center"/>
          </w:tcPr>
          <w:p w14:paraId="5873A4F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面状</w:t>
            </w:r>
          </w:p>
        </w:tc>
      </w:tr>
      <w:tr w14:paraId="463D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1BD7ED85">
            <w:pPr>
              <w:jc w:val="center"/>
              <w:rPr>
                <w:rFonts w:ascii="宋体" w:hAnsi="宋体" w:eastAsia="宋体" w:cs="Times New Roman"/>
                <w:color w:val="auto"/>
              </w:rPr>
            </w:pPr>
          </w:p>
        </w:tc>
        <w:tc>
          <w:tcPr>
            <w:tcW w:w="1264" w:type="pct"/>
            <w:shd w:val="clear" w:color="auto" w:fill="auto"/>
            <w:vAlign w:val="center"/>
          </w:tcPr>
          <w:p w14:paraId="45BFBFF6">
            <w:pPr>
              <w:autoSpaceDE w:val="0"/>
              <w:autoSpaceDN w:val="0"/>
              <w:jc w:val="center"/>
              <w:rPr>
                <w:rFonts w:ascii="宋体" w:hAnsi="宋体" w:eastAsia="宋体" w:cs="Times New Roman"/>
                <w:color w:val="auto"/>
              </w:rPr>
            </w:pPr>
            <w:r>
              <w:rPr>
                <w:rFonts w:ascii="宋体" w:hAnsi="宋体" w:eastAsia="宋体" w:cs="Times New Roman"/>
                <w:color w:val="auto"/>
              </w:rPr>
              <w:t>质地</w:t>
            </w:r>
          </w:p>
        </w:tc>
        <w:tc>
          <w:tcPr>
            <w:tcW w:w="1045" w:type="pct"/>
            <w:shd w:val="clear" w:color="auto" w:fill="auto"/>
            <w:vAlign w:val="center"/>
          </w:tcPr>
          <w:p w14:paraId="6834267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壤土</w:t>
            </w:r>
          </w:p>
        </w:tc>
        <w:tc>
          <w:tcPr>
            <w:tcW w:w="1045" w:type="pct"/>
            <w:shd w:val="clear" w:color="auto" w:fill="auto"/>
            <w:vAlign w:val="center"/>
          </w:tcPr>
          <w:p w14:paraId="33B59FB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壤土</w:t>
            </w:r>
          </w:p>
        </w:tc>
        <w:tc>
          <w:tcPr>
            <w:tcW w:w="1048" w:type="pct"/>
            <w:shd w:val="clear" w:color="auto" w:fill="auto"/>
            <w:vAlign w:val="center"/>
          </w:tcPr>
          <w:p w14:paraId="59BD178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壤土</w:t>
            </w:r>
          </w:p>
        </w:tc>
      </w:tr>
      <w:tr w14:paraId="0CF4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4192FF7C">
            <w:pPr>
              <w:jc w:val="center"/>
              <w:rPr>
                <w:rFonts w:ascii="宋体" w:hAnsi="宋体" w:eastAsia="宋体" w:cs="Times New Roman"/>
                <w:color w:val="auto"/>
              </w:rPr>
            </w:pPr>
          </w:p>
        </w:tc>
        <w:tc>
          <w:tcPr>
            <w:tcW w:w="1264" w:type="pct"/>
            <w:shd w:val="clear" w:color="auto" w:fill="auto"/>
            <w:vAlign w:val="center"/>
          </w:tcPr>
          <w:p w14:paraId="3F6000BA">
            <w:pPr>
              <w:autoSpaceDE w:val="0"/>
              <w:autoSpaceDN w:val="0"/>
              <w:jc w:val="center"/>
              <w:rPr>
                <w:rFonts w:ascii="宋体" w:hAnsi="宋体" w:eastAsia="宋体" w:cs="Times New Roman"/>
                <w:color w:val="auto"/>
              </w:rPr>
            </w:pPr>
            <w:r>
              <w:rPr>
                <w:rFonts w:ascii="宋体" w:hAnsi="宋体" w:eastAsia="宋体" w:cs="Times New Roman"/>
                <w:color w:val="auto"/>
              </w:rPr>
              <w:t>砂砾含量</w:t>
            </w:r>
          </w:p>
        </w:tc>
        <w:tc>
          <w:tcPr>
            <w:tcW w:w="1045" w:type="pct"/>
            <w:shd w:val="clear" w:color="auto" w:fill="auto"/>
            <w:vAlign w:val="center"/>
          </w:tcPr>
          <w:p w14:paraId="6108C0C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25～45%</w:t>
            </w:r>
          </w:p>
        </w:tc>
        <w:tc>
          <w:tcPr>
            <w:tcW w:w="1045" w:type="pct"/>
            <w:shd w:val="clear" w:color="auto" w:fill="auto"/>
            <w:vAlign w:val="center"/>
          </w:tcPr>
          <w:p w14:paraId="27D7762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25～45%</w:t>
            </w:r>
          </w:p>
        </w:tc>
        <w:tc>
          <w:tcPr>
            <w:tcW w:w="1048" w:type="pct"/>
            <w:shd w:val="clear" w:color="auto" w:fill="auto"/>
            <w:vAlign w:val="center"/>
          </w:tcPr>
          <w:p w14:paraId="0FDC2E9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25～45%</w:t>
            </w:r>
          </w:p>
        </w:tc>
      </w:tr>
      <w:tr w14:paraId="6106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1E3F5E96">
            <w:pPr>
              <w:jc w:val="center"/>
              <w:rPr>
                <w:rFonts w:ascii="宋体" w:hAnsi="宋体" w:eastAsia="宋体" w:cs="Times New Roman"/>
                <w:color w:val="auto"/>
              </w:rPr>
            </w:pPr>
          </w:p>
        </w:tc>
        <w:tc>
          <w:tcPr>
            <w:tcW w:w="1264" w:type="pct"/>
            <w:shd w:val="clear" w:color="auto" w:fill="auto"/>
            <w:vAlign w:val="center"/>
          </w:tcPr>
          <w:p w14:paraId="001C540C">
            <w:pPr>
              <w:autoSpaceDE w:val="0"/>
              <w:autoSpaceDN w:val="0"/>
              <w:jc w:val="center"/>
              <w:rPr>
                <w:rFonts w:ascii="宋体" w:hAnsi="宋体" w:eastAsia="宋体" w:cs="Times New Roman"/>
                <w:color w:val="auto"/>
              </w:rPr>
            </w:pPr>
            <w:r>
              <w:rPr>
                <w:rFonts w:ascii="宋体" w:hAnsi="宋体" w:eastAsia="宋体" w:cs="Times New Roman"/>
                <w:color w:val="auto"/>
              </w:rPr>
              <w:t>其他异物</w:t>
            </w:r>
          </w:p>
        </w:tc>
        <w:tc>
          <w:tcPr>
            <w:tcW w:w="1045" w:type="pct"/>
            <w:shd w:val="clear" w:color="auto" w:fill="auto"/>
            <w:vAlign w:val="center"/>
          </w:tcPr>
          <w:p w14:paraId="59D102A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植物根系</w:t>
            </w:r>
          </w:p>
        </w:tc>
        <w:tc>
          <w:tcPr>
            <w:tcW w:w="1045" w:type="pct"/>
            <w:shd w:val="clear" w:color="auto" w:fill="auto"/>
            <w:vAlign w:val="center"/>
          </w:tcPr>
          <w:p w14:paraId="425EFC7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1048" w:type="pct"/>
            <w:shd w:val="clear" w:color="auto" w:fill="auto"/>
            <w:vAlign w:val="center"/>
          </w:tcPr>
          <w:p w14:paraId="5108FE0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r>
      <w:tr w14:paraId="622B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restart"/>
            <w:shd w:val="clear" w:color="auto" w:fill="auto"/>
            <w:vAlign w:val="center"/>
          </w:tcPr>
          <w:p w14:paraId="4D057F83">
            <w:pPr>
              <w:autoSpaceDE w:val="0"/>
              <w:autoSpaceDN w:val="0"/>
              <w:jc w:val="center"/>
              <w:rPr>
                <w:rFonts w:ascii="宋体" w:hAnsi="宋体" w:eastAsia="宋体" w:cs="Times New Roman"/>
                <w:color w:val="auto"/>
              </w:rPr>
            </w:pPr>
            <w:r>
              <w:rPr>
                <w:rFonts w:ascii="宋体" w:hAnsi="宋体" w:eastAsia="宋体" w:cs="Times New Roman"/>
                <w:color w:val="auto"/>
              </w:rPr>
              <w:t>实验室测定</w:t>
            </w:r>
          </w:p>
        </w:tc>
        <w:tc>
          <w:tcPr>
            <w:tcW w:w="1264" w:type="pct"/>
            <w:shd w:val="clear" w:color="auto" w:fill="auto"/>
            <w:vAlign w:val="center"/>
          </w:tcPr>
          <w:p w14:paraId="66F9A28C">
            <w:pPr>
              <w:autoSpaceDE w:val="0"/>
              <w:autoSpaceDN w:val="0"/>
              <w:jc w:val="center"/>
              <w:rPr>
                <w:rFonts w:ascii="宋体" w:hAnsi="宋体" w:eastAsia="宋体" w:cs="Times New Roman"/>
                <w:color w:val="auto"/>
              </w:rPr>
            </w:pPr>
            <w:r>
              <w:rPr>
                <w:rFonts w:ascii="宋体" w:hAnsi="宋体" w:eastAsia="宋体" w:cs="Times New Roman"/>
                <w:color w:val="auto"/>
              </w:rPr>
              <w:t>pH 值</w:t>
            </w:r>
          </w:p>
        </w:tc>
        <w:tc>
          <w:tcPr>
            <w:tcW w:w="1045" w:type="pct"/>
            <w:shd w:val="clear" w:color="auto" w:fill="auto"/>
            <w:vAlign w:val="center"/>
          </w:tcPr>
          <w:p w14:paraId="11DDCC8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7.81</w:t>
            </w:r>
          </w:p>
        </w:tc>
        <w:tc>
          <w:tcPr>
            <w:tcW w:w="1045" w:type="pct"/>
            <w:shd w:val="clear" w:color="auto" w:fill="auto"/>
            <w:vAlign w:val="center"/>
          </w:tcPr>
          <w:p w14:paraId="04FBE73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7.78</w:t>
            </w:r>
          </w:p>
        </w:tc>
        <w:tc>
          <w:tcPr>
            <w:tcW w:w="1048" w:type="pct"/>
            <w:shd w:val="clear" w:color="auto" w:fill="auto"/>
            <w:vAlign w:val="center"/>
          </w:tcPr>
          <w:p w14:paraId="4EE27EE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8.13</w:t>
            </w:r>
          </w:p>
        </w:tc>
      </w:tr>
      <w:tr w14:paraId="1806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2D88C8B2">
            <w:pPr>
              <w:jc w:val="center"/>
              <w:rPr>
                <w:rFonts w:ascii="宋体" w:hAnsi="宋体" w:eastAsia="宋体" w:cs="Times New Roman"/>
                <w:color w:val="auto"/>
              </w:rPr>
            </w:pPr>
          </w:p>
        </w:tc>
        <w:tc>
          <w:tcPr>
            <w:tcW w:w="1264" w:type="pct"/>
            <w:shd w:val="clear" w:color="auto" w:fill="auto"/>
            <w:vAlign w:val="center"/>
          </w:tcPr>
          <w:p w14:paraId="7388297B">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阳离子交换量(</w:t>
            </w:r>
            <w:r>
              <w:rPr>
                <w:rFonts w:ascii="宋体" w:hAnsi="宋体" w:eastAsia="宋体" w:cs="Times New Roman"/>
                <w:color w:val="auto"/>
              </w:rPr>
              <w:t>cmol+/kg)</w:t>
            </w:r>
          </w:p>
        </w:tc>
        <w:tc>
          <w:tcPr>
            <w:tcW w:w="1045" w:type="pct"/>
            <w:shd w:val="clear" w:color="auto" w:fill="auto"/>
            <w:vAlign w:val="center"/>
          </w:tcPr>
          <w:p w14:paraId="49AC453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10.7</w:t>
            </w:r>
          </w:p>
        </w:tc>
        <w:tc>
          <w:tcPr>
            <w:tcW w:w="1045" w:type="pct"/>
            <w:shd w:val="clear" w:color="auto" w:fill="auto"/>
            <w:vAlign w:val="center"/>
          </w:tcPr>
          <w:p w14:paraId="70E7968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12.2</w:t>
            </w:r>
          </w:p>
        </w:tc>
        <w:tc>
          <w:tcPr>
            <w:tcW w:w="1048" w:type="pct"/>
            <w:shd w:val="clear" w:color="auto" w:fill="auto"/>
            <w:vAlign w:val="center"/>
          </w:tcPr>
          <w:p w14:paraId="7F87CE6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11.5</w:t>
            </w:r>
          </w:p>
        </w:tc>
      </w:tr>
      <w:tr w14:paraId="6BB7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41D24BB8">
            <w:pPr>
              <w:jc w:val="center"/>
              <w:rPr>
                <w:rFonts w:ascii="宋体" w:hAnsi="宋体" w:eastAsia="宋体" w:cs="Times New Roman"/>
                <w:color w:val="auto"/>
              </w:rPr>
            </w:pPr>
          </w:p>
        </w:tc>
        <w:tc>
          <w:tcPr>
            <w:tcW w:w="1264" w:type="pct"/>
            <w:shd w:val="clear" w:color="auto" w:fill="auto"/>
            <w:vAlign w:val="center"/>
          </w:tcPr>
          <w:p w14:paraId="3BAFA384">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氧化还原电位</w:t>
            </w:r>
            <w:r>
              <w:rPr>
                <w:rFonts w:ascii="宋体" w:hAnsi="宋体" w:eastAsia="宋体" w:cs="Times New Roman"/>
                <w:color w:val="auto"/>
              </w:rPr>
              <w:t>（mv）</w:t>
            </w:r>
          </w:p>
        </w:tc>
        <w:tc>
          <w:tcPr>
            <w:tcW w:w="1045" w:type="pct"/>
            <w:shd w:val="clear" w:color="auto" w:fill="auto"/>
            <w:vAlign w:val="center"/>
          </w:tcPr>
          <w:p w14:paraId="5C20D85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196</w:t>
            </w:r>
          </w:p>
        </w:tc>
        <w:tc>
          <w:tcPr>
            <w:tcW w:w="1045" w:type="pct"/>
            <w:shd w:val="clear" w:color="auto" w:fill="auto"/>
            <w:vAlign w:val="center"/>
          </w:tcPr>
          <w:p w14:paraId="7318763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202</w:t>
            </w:r>
          </w:p>
        </w:tc>
        <w:tc>
          <w:tcPr>
            <w:tcW w:w="1048" w:type="pct"/>
            <w:shd w:val="clear" w:color="auto" w:fill="auto"/>
            <w:vAlign w:val="center"/>
          </w:tcPr>
          <w:p w14:paraId="0C7B27E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179</w:t>
            </w:r>
          </w:p>
        </w:tc>
      </w:tr>
      <w:tr w14:paraId="7B55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6D7CCD15">
            <w:pPr>
              <w:jc w:val="center"/>
              <w:rPr>
                <w:rFonts w:ascii="宋体" w:hAnsi="宋体" w:eastAsia="宋体" w:cs="Times New Roman"/>
                <w:color w:val="auto"/>
              </w:rPr>
            </w:pPr>
          </w:p>
        </w:tc>
        <w:tc>
          <w:tcPr>
            <w:tcW w:w="1264" w:type="pct"/>
            <w:shd w:val="clear" w:color="auto" w:fill="auto"/>
            <w:vAlign w:val="center"/>
          </w:tcPr>
          <w:p w14:paraId="67D4958A">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饱和导水率(</w:t>
            </w:r>
            <w:r>
              <w:rPr>
                <w:rFonts w:ascii="宋体" w:hAnsi="宋体" w:eastAsia="宋体" w:cs="Times New Roman"/>
                <w:color w:val="auto"/>
              </w:rPr>
              <w:t>m</w:t>
            </w:r>
            <w:r>
              <w:rPr>
                <w:rFonts w:ascii="宋体" w:hAnsi="宋体" w:eastAsia="宋体" w:cs="Times New Roman"/>
                <w:snapToGrid w:val="0"/>
                <w:color w:val="auto"/>
              </w:rPr>
              <w:t>m/min)</w:t>
            </w:r>
          </w:p>
        </w:tc>
        <w:tc>
          <w:tcPr>
            <w:tcW w:w="1045" w:type="pct"/>
            <w:shd w:val="clear" w:color="auto" w:fill="auto"/>
            <w:vAlign w:val="center"/>
          </w:tcPr>
          <w:p w14:paraId="6179B32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1.230</w:t>
            </w:r>
          </w:p>
        </w:tc>
        <w:tc>
          <w:tcPr>
            <w:tcW w:w="1045" w:type="pct"/>
            <w:shd w:val="clear" w:color="auto" w:fill="auto"/>
            <w:vAlign w:val="center"/>
          </w:tcPr>
          <w:p w14:paraId="14DB188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1.258</w:t>
            </w:r>
          </w:p>
        </w:tc>
        <w:tc>
          <w:tcPr>
            <w:tcW w:w="1048" w:type="pct"/>
            <w:shd w:val="clear" w:color="auto" w:fill="auto"/>
            <w:vAlign w:val="center"/>
          </w:tcPr>
          <w:p w14:paraId="34494E8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1.262</w:t>
            </w:r>
          </w:p>
        </w:tc>
      </w:tr>
      <w:tr w14:paraId="613E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20B5DB2B">
            <w:pPr>
              <w:jc w:val="center"/>
              <w:rPr>
                <w:rFonts w:ascii="宋体" w:hAnsi="宋体" w:eastAsia="宋体" w:cs="Times New Roman"/>
                <w:color w:val="auto"/>
              </w:rPr>
            </w:pPr>
          </w:p>
        </w:tc>
        <w:tc>
          <w:tcPr>
            <w:tcW w:w="1264" w:type="pct"/>
            <w:shd w:val="clear" w:color="auto" w:fill="auto"/>
            <w:vAlign w:val="center"/>
          </w:tcPr>
          <w:p w14:paraId="7BA5CADF">
            <w:pPr>
              <w:adjustRightInd w:val="0"/>
              <w:snapToGrid w:val="0"/>
              <w:jc w:val="center"/>
              <w:rPr>
                <w:rFonts w:ascii="宋体" w:hAnsi="宋体" w:eastAsia="宋体" w:cs="Times New Roman"/>
                <w:color w:val="auto"/>
              </w:rPr>
            </w:pPr>
            <w:r>
              <w:rPr>
                <w:rFonts w:ascii="宋体" w:hAnsi="宋体" w:eastAsia="宋体" w:cs="Times New Roman"/>
                <w:snapToGrid w:val="0"/>
                <w:color w:val="auto"/>
              </w:rPr>
              <w:t>土壤容重 (g/cm</w:t>
            </w:r>
            <w:r>
              <w:rPr>
                <w:rFonts w:ascii="宋体" w:hAnsi="宋体" w:eastAsia="宋体" w:cs="Times New Roman"/>
                <w:snapToGrid w:val="0"/>
                <w:color w:val="auto"/>
                <w:vertAlign w:val="superscript"/>
              </w:rPr>
              <w:t>3</w:t>
            </w:r>
            <w:r>
              <w:rPr>
                <w:rFonts w:ascii="宋体" w:hAnsi="宋体" w:eastAsia="宋体" w:cs="Times New Roman"/>
                <w:snapToGrid w:val="0"/>
                <w:color w:val="auto"/>
              </w:rPr>
              <w:t>)</w:t>
            </w:r>
          </w:p>
        </w:tc>
        <w:tc>
          <w:tcPr>
            <w:tcW w:w="1045" w:type="pct"/>
            <w:shd w:val="clear" w:color="auto" w:fill="auto"/>
            <w:vAlign w:val="center"/>
          </w:tcPr>
          <w:p w14:paraId="2264CD7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1.48</w:t>
            </w:r>
          </w:p>
        </w:tc>
        <w:tc>
          <w:tcPr>
            <w:tcW w:w="1045" w:type="pct"/>
            <w:shd w:val="clear" w:color="auto" w:fill="auto"/>
            <w:vAlign w:val="center"/>
          </w:tcPr>
          <w:p w14:paraId="102A286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1.42</w:t>
            </w:r>
          </w:p>
        </w:tc>
        <w:tc>
          <w:tcPr>
            <w:tcW w:w="1048" w:type="pct"/>
            <w:shd w:val="clear" w:color="auto" w:fill="auto"/>
            <w:vAlign w:val="center"/>
          </w:tcPr>
          <w:p w14:paraId="3C5D457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1.47</w:t>
            </w:r>
          </w:p>
        </w:tc>
      </w:tr>
      <w:tr w14:paraId="6919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480C201D">
            <w:pPr>
              <w:jc w:val="center"/>
              <w:rPr>
                <w:rFonts w:ascii="宋体" w:hAnsi="宋体" w:eastAsia="宋体" w:cs="Times New Roman"/>
                <w:color w:val="auto"/>
              </w:rPr>
            </w:pPr>
          </w:p>
        </w:tc>
        <w:tc>
          <w:tcPr>
            <w:tcW w:w="1264" w:type="pct"/>
            <w:shd w:val="clear" w:color="auto" w:fill="auto"/>
            <w:vAlign w:val="center"/>
          </w:tcPr>
          <w:p w14:paraId="1438CC62">
            <w:pPr>
              <w:adjustRightInd w:val="0"/>
              <w:snapToGrid w:val="0"/>
              <w:jc w:val="center"/>
              <w:rPr>
                <w:rFonts w:ascii="宋体" w:hAnsi="宋体" w:eastAsia="宋体" w:cs="Times New Roman"/>
                <w:color w:val="auto"/>
              </w:rPr>
            </w:pPr>
            <w:r>
              <w:rPr>
                <w:rFonts w:ascii="宋体" w:hAnsi="宋体" w:eastAsia="宋体" w:cs="Times New Roman"/>
                <w:snapToGrid w:val="0"/>
                <w:color w:val="auto"/>
              </w:rPr>
              <w:t>孔隙度(%)</w:t>
            </w:r>
          </w:p>
        </w:tc>
        <w:tc>
          <w:tcPr>
            <w:tcW w:w="1045" w:type="pct"/>
            <w:shd w:val="clear" w:color="auto" w:fill="auto"/>
            <w:vAlign w:val="center"/>
          </w:tcPr>
          <w:p w14:paraId="620588E4">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44.2</w:t>
            </w:r>
          </w:p>
        </w:tc>
        <w:tc>
          <w:tcPr>
            <w:tcW w:w="1045" w:type="pct"/>
            <w:shd w:val="clear" w:color="auto" w:fill="auto"/>
            <w:vAlign w:val="center"/>
          </w:tcPr>
          <w:p w14:paraId="0961830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46.4</w:t>
            </w:r>
          </w:p>
        </w:tc>
        <w:tc>
          <w:tcPr>
            <w:tcW w:w="1048" w:type="pct"/>
            <w:shd w:val="clear" w:color="auto" w:fill="auto"/>
            <w:vAlign w:val="center"/>
          </w:tcPr>
          <w:p w14:paraId="7CEB474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44.5</w:t>
            </w:r>
          </w:p>
        </w:tc>
      </w:tr>
      <w:tr w14:paraId="14E5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62" w:type="pct"/>
            <w:gridSpan w:val="2"/>
            <w:shd w:val="clear" w:color="auto" w:fill="auto"/>
            <w:vAlign w:val="center"/>
          </w:tcPr>
          <w:p w14:paraId="0DC04F71">
            <w:pPr>
              <w:autoSpaceDE w:val="0"/>
              <w:autoSpaceDN w:val="0"/>
              <w:jc w:val="center"/>
              <w:rPr>
                <w:rFonts w:ascii="宋体" w:hAnsi="宋体" w:eastAsia="宋体" w:cs="Times New Roman"/>
                <w:color w:val="auto"/>
              </w:rPr>
            </w:pPr>
            <w:r>
              <w:rPr>
                <w:rFonts w:ascii="宋体" w:hAnsi="宋体" w:eastAsia="宋体" w:cs="Times New Roman"/>
                <w:color w:val="auto"/>
              </w:rPr>
              <w:t>点号</w:t>
            </w:r>
          </w:p>
        </w:tc>
        <w:tc>
          <w:tcPr>
            <w:tcW w:w="3138" w:type="pct"/>
            <w:gridSpan w:val="3"/>
            <w:shd w:val="clear" w:color="auto" w:fill="auto"/>
            <w:vAlign w:val="center"/>
          </w:tcPr>
          <w:p w14:paraId="25B4672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拟建</w:t>
            </w:r>
            <w:r>
              <w:rPr>
                <w:rFonts w:hint="eastAsia" w:ascii="宋体" w:hAnsi="宋体" w:eastAsia="宋体" w:cs="Times New Roman"/>
                <w:snapToGrid w:val="0"/>
                <w:color w:val="auto"/>
              </w:rPr>
              <w:t>3#平台井场</w:t>
            </w:r>
          </w:p>
        </w:tc>
      </w:tr>
      <w:tr w14:paraId="5F1C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62" w:type="pct"/>
            <w:gridSpan w:val="2"/>
            <w:shd w:val="clear" w:color="auto" w:fill="auto"/>
            <w:vAlign w:val="center"/>
          </w:tcPr>
          <w:p w14:paraId="40EC932D">
            <w:pPr>
              <w:autoSpaceDE w:val="0"/>
              <w:autoSpaceDN w:val="0"/>
              <w:jc w:val="center"/>
              <w:rPr>
                <w:rFonts w:ascii="宋体" w:hAnsi="宋体" w:eastAsia="宋体" w:cs="Times New Roman"/>
                <w:color w:val="auto"/>
              </w:rPr>
            </w:pPr>
            <w:r>
              <w:rPr>
                <w:rFonts w:ascii="宋体" w:hAnsi="宋体" w:eastAsia="宋体" w:cs="Times New Roman"/>
                <w:color w:val="auto"/>
              </w:rPr>
              <w:t>层次</w:t>
            </w:r>
          </w:p>
        </w:tc>
        <w:tc>
          <w:tcPr>
            <w:tcW w:w="1045" w:type="pct"/>
            <w:shd w:val="clear" w:color="auto" w:fill="auto"/>
            <w:vAlign w:val="center"/>
          </w:tcPr>
          <w:p w14:paraId="4ED6FEE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0-50cm</w:t>
            </w:r>
          </w:p>
        </w:tc>
        <w:tc>
          <w:tcPr>
            <w:tcW w:w="1045" w:type="pct"/>
            <w:shd w:val="clear" w:color="auto" w:fill="auto"/>
            <w:vAlign w:val="center"/>
          </w:tcPr>
          <w:p w14:paraId="28FD26A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50-150cm</w:t>
            </w:r>
          </w:p>
        </w:tc>
        <w:tc>
          <w:tcPr>
            <w:tcW w:w="1048" w:type="pct"/>
            <w:shd w:val="clear" w:color="auto" w:fill="auto"/>
            <w:vAlign w:val="center"/>
          </w:tcPr>
          <w:p w14:paraId="12BFB20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150-300cm</w:t>
            </w:r>
          </w:p>
        </w:tc>
      </w:tr>
      <w:tr w14:paraId="503E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restart"/>
            <w:shd w:val="clear" w:color="auto" w:fill="auto"/>
            <w:vAlign w:val="center"/>
          </w:tcPr>
          <w:p w14:paraId="62039768">
            <w:pPr>
              <w:autoSpaceDE w:val="0"/>
              <w:autoSpaceDN w:val="0"/>
              <w:jc w:val="center"/>
              <w:rPr>
                <w:rFonts w:ascii="宋体" w:hAnsi="宋体" w:eastAsia="宋体" w:cs="Times New Roman"/>
                <w:color w:val="auto"/>
              </w:rPr>
            </w:pPr>
            <w:r>
              <w:rPr>
                <w:rFonts w:ascii="宋体" w:hAnsi="宋体" w:eastAsia="宋体" w:cs="Times New Roman"/>
                <w:color w:val="auto"/>
              </w:rPr>
              <w:t>现场记录</w:t>
            </w:r>
          </w:p>
        </w:tc>
        <w:tc>
          <w:tcPr>
            <w:tcW w:w="1264" w:type="pct"/>
            <w:shd w:val="clear" w:color="auto" w:fill="auto"/>
            <w:vAlign w:val="center"/>
          </w:tcPr>
          <w:p w14:paraId="3ED468D1">
            <w:pPr>
              <w:autoSpaceDE w:val="0"/>
              <w:autoSpaceDN w:val="0"/>
              <w:jc w:val="center"/>
              <w:rPr>
                <w:rFonts w:ascii="宋体" w:hAnsi="宋体" w:eastAsia="宋体" w:cs="Times New Roman"/>
                <w:color w:val="auto"/>
              </w:rPr>
            </w:pPr>
            <w:r>
              <w:rPr>
                <w:rFonts w:ascii="宋体" w:hAnsi="宋体" w:eastAsia="宋体" w:cs="Times New Roman"/>
                <w:color w:val="auto"/>
              </w:rPr>
              <w:t>颜色</w:t>
            </w:r>
          </w:p>
        </w:tc>
        <w:tc>
          <w:tcPr>
            <w:tcW w:w="1045" w:type="pct"/>
            <w:shd w:val="clear" w:color="auto" w:fill="auto"/>
            <w:vAlign w:val="center"/>
          </w:tcPr>
          <w:p w14:paraId="75C5F35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黑色</w:t>
            </w:r>
          </w:p>
        </w:tc>
        <w:tc>
          <w:tcPr>
            <w:tcW w:w="1045" w:type="pct"/>
            <w:shd w:val="clear" w:color="auto" w:fill="auto"/>
            <w:vAlign w:val="center"/>
          </w:tcPr>
          <w:p w14:paraId="461438A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黑色</w:t>
            </w:r>
          </w:p>
        </w:tc>
        <w:tc>
          <w:tcPr>
            <w:tcW w:w="1048" w:type="pct"/>
            <w:shd w:val="clear" w:color="auto" w:fill="auto"/>
            <w:vAlign w:val="center"/>
          </w:tcPr>
          <w:p w14:paraId="10CE2A6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黑色</w:t>
            </w:r>
          </w:p>
        </w:tc>
      </w:tr>
      <w:tr w14:paraId="51CD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7EBF217F">
            <w:pPr>
              <w:jc w:val="center"/>
              <w:rPr>
                <w:rFonts w:ascii="宋体" w:hAnsi="宋体" w:eastAsia="宋体" w:cs="Times New Roman"/>
                <w:color w:val="auto"/>
              </w:rPr>
            </w:pPr>
          </w:p>
        </w:tc>
        <w:tc>
          <w:tcPr>
            <w:tcW w:w="1264" w:type="pct"/>
            <w:shd w:val="clear" w:color="auto" w:fill="auto"/>
            <w:vAlign w:val="center"/>
          </w:tcPr>
          <w:p w14:paraId="05750006">
            <w:pPr>
              <w:autoSpaceDE w:val="0"/>
              <w:autoSpaceDN w:val="0"/>
              <w:jc w:val="center"/>
              <w:rPr>
                <w:rFonts w:ascii="宋体" w:hAnsi="宋体" w:eastAsia="宋体" w:cs="Times New Roman"/>
                <w:color w:val="auto"/>
              </w:rPr>
            </w:pPr>
            <w:r>
              <w:rPr>
                <w:rFonts w:ascii="宋体" w:hAnsi="宋体" w:eastAsia="宋体" w:cs="Times New Roman"/>
                <w:color w:val="auto"/>
              </w:rPr>
              <w:t>结构</w:t>
            </w:r>
          </w:p>
        </w:tc>
        <w:tc>
          <w:tcPr>
            <w:tcW w:w="1045" w:type="pct"/>
            <w:shd w:val="clear" w:color="auto" w:fill="auto"/>
            <w:vAlign w:val="center"/>
          </w:tcPr>
          <w:p w14:paraId="748E957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块状</w:t>
            </w:r>
          </w:p>
        </w:tc>
        <w:tc>
          <w:tcPr>
            <w:tcW w:w="1045" w:type="pct"/>
            <w:shd w:val="clear" w:color="auto" w:fill="auto"/>
            <w:vAlign w:val="center"/>
          </w:tcPr>
          <w:p w14:paraId="1D089AF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面状</w:t>
            </w:r>
          </w:p>
        </w:tc>
        <w:tc>
          <w:tcPr>
            <w:tcW w:w="1048" w:type="pct"/>
            <w:shd w:val="clear" w:color="auto" w:fill="auto"/>
            <w:vAlign w:val="center"/>
          </w:tcPr>
          <w:p w14:paraId="6E2D100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面状</w:t>
            </w:r>
          </w:p>
        </w:tc>
      </w:tr>
      <w:tr w14:paraId="520A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5AF0101F">
            <w:pPr>
              <w:jc w:val="center"/>
              <w:rPr>
                <w:rFonts w:ascii="宋体" w:hAnsi="宋体" w:eastAsia="宋体" w:cs="Times New Roman"/>
                <w:color w:val="auto"/>
              </w:rPr>
            </w:pPr>
          </w:p>
        </w:tc>
        <w:tc>
          <w:tcPr>
            <w:tcW w:w="1264" w:type="pct"/>
            <w:shd w:val="clear" w:color="auto" w:fill="auto"/>
            <w:vAlign w:val="center"/>
          </w:tcPr>
          <w:p w14:paraId="46A752EC">
            <w:pPr>
              <w:autoSpaceDE w:val="0"/>
              <w:autoSpaceDN w:val="0"/>
              <w:jc w:val="center"/>
              <w:rPr>
                <w:rFonts w:ascii="宋体" w:hAnsi="宋体" w:eastAsia="宋体" w:cs="Times New Roman"/>
                <w:color w:val="auto"/>
              </w:rPr>
            </w:pPr>
            <w:r>
              <w:rPr>
                <w:rFonts w:ascii="宋体" w:hAnsi="宋体" w:eastAsia="宋体" w:cs="Times New Roman"/>
                <w:color w:val="auto"/>
              </w:rPr>
              <w:t>质地</w:t>
            </w:r>
          </w:p>
        </w:tc>
        <w:tc>
          <w:tcPr>
            <w:tcW w:w="1045" w:type="pct"/>
            <w:shd w:val="clear" w:color="auto" w:fill="auto"/>
            <w:vAlign w:val="center"/>
          </w:tcPr>
          <w:p w14:paraId="1C25038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壤土</w:t>
            </w:r>
          </w:p>
        </w:tc>
        <w:tc>
          <w:tcPr>
            <w:tcW w:w="1045" w:type="pct"/>
            <w:shd w:val="clear" w:color="auto" w:fill="auto"/>
            <w:vAlign w:val="center"/>
          </w:tcPr>
          <w:p w14:paraId="5304F2B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壤土</w:t>
            </w:r>
          </w:p>
        </w:tc>
        <w:tc>
          <w:tcPr>
            <w:tcW w:w="1048" w:type="pct"/>
            <w:shd w:val="clear" w:color="auto" w:fill="auto"/>
            <w:vAlign w:val="center"/>
          </w:tcPr>
          <w:p w14:paraId="7FE0117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壤土</w:t>
            </w:r>
          </w:p>
        </w:tc>
      </w:tr>
      <w:tr w14:paraId="1B68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6E629C73">
            <w:pPr>
              <w:jc w:val="center"/>
              <w:rPr>
                <w:rFonts w:ascii="宋体" w:hAnsi="宋体" w:eastAsia="宋体" w:cs="Times New Roman"/>
                <w:color w:val="auto"/>
              </w:rPr>
            </w:pPr>
          </w:p>
        </w:tc>
        <w:tc>
          <w:tcPr>
            <w:tcW w:w="1264" w:type="pct"/>
            <w:shd w:val="clear" w:color="auto" w:fill="auto"/>
            <w:vAlign w:val="center"/>
          </w:tcPr>
          <w:p w14:paraId="5818E967">
            <w:pPr>
              <w:autoSpaceDE w:val="0"/>
              <w:autoSpaceDN w:val="0"/>
              <w:jc w:val="center"/>
              <w:rPr>
                <w:rFonts w:ascii="宋体" w:hAnsi="宋体" w:eastAsia="宋体" w:cs="Times New Roman"/>
                <w:color w:val="auto"/>
              </w:rPr>
            </w:pPr>
            <w:r>
              <w:rPr>
                <w:rFonts w:ascii="宋体" w:hAnsi="宋体" w:eastAsia="宋体" w:cs="Times New Roman"/>
                <w:color w:val="auto"/>
              </w:rPr>
              <w:t>砂砾含量</w:t>
            </w:r>
          </w:p>
        </w:tc>
        <w:tc>
          <w:tcPr>
            <w:tcW w:w="1045" w:type="pct"/>
            <w:shd w:val="clear" w:color="auto" w:fill="auto"/>
            <w:vAlign w:val="center"/>
          </w:tcPr>
          <w:p w14:paraId="4EBEF78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25～45%</w:t>
            </w:r>
          </w:p>
        </w:tc>
        <w:tc>
          <w:tcPr>
            <w:tcW w:w="1045" w:type="pct"/>
            <w:shd w:val="clear" w:color="auto" w:fill="auto"/>
            <w:vAlign w:val="center"/>
          </w:tcPr>
          <w:p w14:paraId="0F2B9B9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25～45%</w:t>
            </w:r>
          </w:p>
        </w:tc>
        <w:tc>
          <w:tcPr>
            <w:tcW w:w="1048" w:type="pct"/>
            <w:shd w:val="clear" w:color="auto" w:fill="auto"/>
            <w:vAlign w:val="center"/>
          </w:tcPr>
          <w:p w14:paraId="16FDA324">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25～45%</w:t>
            </w:r>
          </w:p>
        </w:tc>
      </w:tr>
      <w:tr w14:paraId="7D9C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0B39B257">
            <w:pPr>
              <w:jc w:val="center"/>
              <w:rPr>
                <w:rFonts w:ascii="宋体" w:hAnsi="宋体" w:eastAsia="宋体" w:cs="Times New Roman"/>
                <w:color w:val="auto"/>
              </w:rPr>
            </w:pPr>
          </w:p>
        </w:tc>
        <w:tc>
          <w:tcPr>
            <w:tcW w:w="1264" w:type="pct"/>
            <w:shd w:val="clear" w:color="auto" w:fill="auto"/>
            <w:vAlign w:val="center"/>
          </w:tcPr>
          <w:p w14:paraId="3F7B6881">
            <w:pPr>
              <w:autoSpaceDE w:val="0"/>
              <w:autoSpaceDN w:val="0"/>
              <w:jc w:val="center"/>
              <w:rPr>
                <w:rFonts w:ascii="宋体" w:hAnsi="宋体" w:eastAsia="宋体" w:cs="Times New Roman"/>
                <w:color w:val="auto"/>
              </w:rPr>
            </w:pPr>
            <w:r>
              <w:rPr>
                <w:rFonts w:ascii="宋体" w:hAnsi="宋体" w:eastAsia="宋体" w:cs="Times New Roman"/>
                <w:color w:val="auto"/>
              </w:rPr>
              <w:t>其他异物</w:t>
            </w:r>
          </w:p>
        </w:tc>
        <w:tc>
          <w:tcPr>
            <w:tcW w:w="1045" w:type="pct"/>
            <w:shd w:val="clear" w:color="auto" w:fill="auto"/>
            <w:vAlign w:val="center"/>
          </w:tcPr>
          <w:p w14:paraId="7C64FFD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植物根系</w:t>
            </w:r>
          </w:p>
        </w:tc>
        <w:tc>
          <w:tcPr>
            <w:tcW w:w="1045" w:type="pct"/>
            <w:shd w:val="clear" w:color="auto" w:fill="auto"/>
            <w:vAlign w:val="center"/>
          </w:tcPr>
          <w:p w14:paraId="49B7D94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1048" w:type="pct"/>
            <w:shd w:val="clear" w:color="auto" w:fill="auto"/>
            <w:vAlign w:val="center"/>
          </w:tcPr>
          <w:p w14:paraId="2D179AD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r>
      <w:tr w14:paraId="3001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restart"/>
            <w:shd w:val="clear" w:color="auto" w:fill="auto"/>
            <w:vAlign w:val="center"/>
          </w:tcPr>
          <w:p w14:paraId="072AC6AC">
            <w:pPr>
              <w:autoSpaceDE w:val="0"/>
              <w:autoSpaceDN w:val="0"/>
              <w:jc w:val="center"/>
              <w:rPr>
                <w:rFonts w:ascii="宋体" w:hAnsi="宋体" w:eastAsia="宋体" w:cs="Times New Roman"/>
                <w:color w:val="auto"/>
              </w:rPr>
            </w:pPr>
            <w:r>
              <w:rPr>
                <w:rFonts w:ascii="宋体" w:hAnsi="宋体" w:eastAsia="宋体" w:cs="Times New Roman"/>
                <w:color w:val="auto"/>
              </w:rPr>
              <w:t>实验室测定</w:t>
            </w:r>
          </w:p>
        </w:tc>
        <w:tc>
          <w:tcPr>
            <w:tcW w:w="1264" w:type="pct"/>
            <w:shd w:val="clear" w:color="auto" w:fill="auto"/>
            <w:vAlign w:val="center"/>
          </w:tcPr>
          <w:p w14:paraId="0F146C4F">
            <w:pPr>
              <w:autoSpaceDE w:val="0"/>
              <w:autoSpaceDN w:val="0"/>
              <w:jc w:val="center"/>
              <w:rPr>
                <w:rFonts w:ascii="宋体" w:hAnsi="宋体" w:eastAsia="宋体" w:cs="Times New Roman"/>
                <w:color w:val="auto"/>
              </w:rPr>
            </w:pPr>
            <w:r>
              <w:rPr>
                <w:rFonts w:ascii="宋体" w:hAnsi="宋体" w:eastAsia="宋体" w:cs="Times New Roman"/>
                <w:color w:val="auto"/>
              </w:rPr>
              <w:t>pH 值</w:t>
            </w:r>
          </w:p>
        </w:tc>
        <w:tc>
          <w:tcPr>
            <w:tcW w:w="1045" w:type="pct"/>
            <w:shd w:val="clear" w:color="auto" w:fill="auto"/>
            <w:vAlign w:val="center"/>
          </w:tcPr>
          <w:p w14:paraId="1D8BD28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8.08</w:t>
            </w:r>
          </w:p>
        </w:tc>
        <w:tc>
          <w:tcPr>
            <w:tcW w:w="1045" w:type="pct"/>
            <w:shd w:val="clear" w:color="auto" w:fill="auto"/>
            <w:vAlign w:val="center"/>
          </w:tcPr>
          <w:p w14:paraId="1818C8A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7.96</w:t>
            </w:r>
          </w:p>
        </w:tc>
        <w:tc>
          <w:tcPr>
            <w:tcW w:w="1048" w:type="pct"/>
            <w:shd w:val="clear" w:color="auto" w:fill="auto"/>
            <w:vAlign w:val="center"/>
          </w:tcPr>
          <w:p w14:paraId="09D79F2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8.13</w:t>
            </w:r>
          </w:p>
        </w:tc>
      </w:tr>
      <w:tr w14:paraId="6062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55F80452">
            <w:pPr>
              <w:jc w:val="center"/>
              <w:rPr>
                <w:rFonts w:ascii="宋体" w:hAnsi="宋体" w:eastAsia="宋体" w:cs="Times New Roman"/>
                <w:color w:val="auto"/>
              </w:rPr>
            </w:pPr>
          </w:p>
        </w:tc>
        <w:tc>
          <w:tcPr>
            <w:tcW w:w="1264" w:type="pct"/>
            <w:shd w:val="clear" w:color="auto" w:fill="auto"/>
            <w:vAlign w:val="center"/>
          </w:tcPr>
          <w:p w14:paraId="26CA983B">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阳离子交换量(</w:t>
            </w:r>
            <w:r>
              <w:rPr>
                <w:rFonts w:ascii="宋体" w:hAnsi="宋体" w:eastAsia="宋体" w:cs="Times New Roman"/>
                <w:color w:val="auto"/>
              </w:rPr>
              <w:t>cmol+/kg)</w:t>
            </w:r>
          </w:p>
        </w:tc>
        <w:tc>
          <w:tcPr>
            <w:tcW w:w="1045" w:type="pct"/>
            <w:shd w:val="clear" w:color="auto" w:fill="auto"/>
            <w:vAlign w:val="center"/>
          </w:tcPr>
          <w:p w14:paraId="453ECC2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10.9</w:t>
            </w:r>
          </w:p>
        </w:tc>
        <w:tc>
          <w:tcPr>
            <w:tcW w:w="1045" w:type="pct"/>
            <w:shd w:val="clear" w:color="auto" w:fill="auto"/>
            <w:vAlign w:val="center"/>
          </w:tcPr>
          <w:p w14:paraId="1529C66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11.8</w:t>
            </w:r>
          </w:p>
        </w:tc>
        <w:tc>
          <w:tcPr>
            <w:tcW w:w="1048" w:type="pct"/>
            <w:shd w:val="clear" w:color="auto" w:fill="auto"/>
            <w:vAlign w:val="center"/>
          </w:tcPr>
          <w:p w14:paraId="7EAD7B5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12.0</w:t>
            </w:r>
          </w:p>
        </w:tc>
      </w:tr>
      <w:tr w14:paraId="228B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41E4A862">
            <w:pPr>
              <w:jc w:val="center"/>
              <w:rPr>
                <w:rFonts w:ascii="宋体" w:hAnsi="宋体" w:eastAsia="宋体" w:cs="Times New Roman"/>
                <w:color w:val="auto"/>
              </w:rPr>
            </w:pPr>
          </w:p>
        </w:tc>
        <w:tc>
          <w:tcPr>
            <w:tcW w:w="1264" w:type="pct"/>
            <w:shd w:val="clear" w:color="auto" w:fill="auto"/>
            <w:vAlign w:val="center"/>
          </w:tcPr>
          <w:p w14:paraId="7C1C8812">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氧化还原电位</w:t>
            </w:r>
            <w:r>
              <w:rPr>
                <w:rFonts w:ascii="宋体" w:hAnsi="宋体" w:eastAsia="宋体" w:cs="Times New Roman"/>
                <w:color w:val="auto"/>
              </w:rPr>
              <w:t>（mv）</w:t>
            </w:r>
          </w:p>
        </w:tc>
        <w:tc>
          <w:tcPr>
            <w:tcW w:w="1045" w:type="pct"/>
            <w:shd w:val="clear" w:color="auto" w:fill="auto"/>
            <w:vAlign w:val="center"/>
          </w:tcPr>
          <w:p w14:paraId="6D9D1DE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177</w:t>
            </w:r>
          </w:p>
        </w:tc>
        <w:tc>
          <w:tcPr>
            <w:tcW w:w="1045" w:type="pct"/>
            <w:shd w:val="clear" w:color="auto" w:fill="auto"/>
            <w:vAlign w:val="center"/>
          </w:tcPr>
          <w:p w14:paraId="3F90775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195</w:t>
            </w:r>
          </w:p>
        </w:tc>
        <w:tc>
          <w:tcPr>
            <w:tcW w:w="1048" w:type="pct"/>
            <w:shd w:val="clear" w:color="auto" w:fill="auto"/>
            <w:vAlign w:val="center"/>
          </w:tcPr>
          <w:p w14:paraId="243F116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184</w:t>
            </w:r>
          </w:p>
        </w:tc>
      </w:tr>
      <w:tr w14:paraId="43DB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620FA568">
            <w:pPr>
              <w:jc w:val="center"/>
              <w:rPr>
                <w:rFonts w:ascii="宋体" w:hAnsi="宋体" w:eastAsia="宋体" w:cs="Times New Roman"/>
                <w:color w:val="auto"/>
              </w:rPr>
            </w:pPr>
          </w:p>
        </w:tc>
        <w:tc>
          <w:tcPr>
            <w:tcW w:w="1264" w:type="pct"/>
            <w:shd w:val="clear" w:color="auto" w:fill="auto"/>
            <w:vAlign w:val="center"/>
          </w:tcPr>
          <w:p w14:paraId="0D49608C">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饱和导水率(</w:t>
            </w:r>
            <w:r>
              <w:rPr>
                <w:rFonts w:ascii="宋体" w:hAnsi="宋体" w:eastAsia="宋体" w:cs="Times New Roman"/>
                <w:color w:val="auto"/>
              </w:rPr>
              <w:t>m</w:t>
            </w:r>
            <w:r>
              <w:rPr>
                <w:rFonts w:ascii="宋体" w:hAnsi="宋体" w:eastAsia="宋体" w:cs="Times New Roman"/>
                <w:snapToGrid w:val="0"/>
                <w:color w:val="auto"/>
              </w:rPr>
              <w:t>m/min)</w:t>
            </w:r>
          </w:p>
        </w:tc>
        <w:tc>
          <w:tcPr>
            <w:tcW w:w="1045" w:type="pct"/>
            <w:shd w:val="clear" w:color="auto" w:fill="auto"/>
            <w:vAlign w:val="center"/>
          </w:tcPr>
          <w:p w14:paraId="5309A59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1.156</w:t>
            </w:r>
          </w:p>
        </w:tc>
        <w:tc>
          <w:tcPr>
            <w:tcW w:w="1045" w:type="pct"/>
            <w:shd w:val="clear" w:color="auto" w:fill="auto"/>
            <w:vAlign w:val="center"/>
          </w:tcPr>
          <w:p w14:paraId="342162D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1.216</w:t>
            </w:r>
          </w:p>
        </w:tc>
        <w:tc>
          <w:tcPr>
            <w:tcW w:w="1048" w:type="pct"/>
            <w:shd w:val="clear" w:color="auto" w:fill="auto"/>
            <w:vAlign w:val="center"/>
          </w:tcPr>
          <w:p w14:paraId="7FD9068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1.188</w:t>
            </w:r>
          </w:p>
        </w:tc>
      </w:tr>
      <w:tr w14:paraId="6AE9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4FEAE972">
            <w:pPr>
              <w:jc w:val="center"/>
              <w:rPr>
                <w:rFonts w:ascii="宋体" w:hAnsi="宋体" w:eastAsia="宋体" w:cs="Times New Roman"/>
                <w:color w:val="auto"/>
              </w:rPr>
            </w:pPr>
          </w:p>
        </w:tc>
        <w:tc>
          <w:tcPr>
            <w:tcW w:w="1264" w:type="pct"/>
            <w:shd w:val="clear" w:color="auto" w:fill="auto"/>
            <w:vAlign w:val="center"/>
          </w:tcPr>
          <w:p w14:paraId="020AA75D">
            <w:pPr>
              <w:adjustRightInd w:val="0"/>
              <w:snapToGrid w:val="0"/>
              <w:jc w:val="center"/>
              <w:rPr>
                <w:rFonts w:ascii="宋体" w:hAnsi="宋体" w:eastAsia="宋体" w:cs="Times New Roman"/>
                <w:color w:val="auto"/>
              </w:rPr>
            </w:pPr>
            <w:r>
              <w:rPr>
                <w:rFonts w:ascii="宋体" w:hAnsi="宋体" w:eastAsia="宋体" w:cs="Times New Roman"/>
                <w:snapToGrid w:val="0"/>
                <w:color w:val="auto"/>
              </w:rPr>
              <w:t>土壤容重 (g/cm</w:t>
            </w:r>
            <w:r>
              <w:rPr>
                <w:rFonts w:ascii="宋体" w:hAnsi="宋体" w:eastAsia="宋体" w:cs="Times New Roman"/>
                <w:snapToGrid w:val="0"/>
                <w:color w:val="auto"/>
                <w:vertAlign w:val="superscript"/>
              </w:rPr>
              <w:t>3</w:t>
            </w:r>
            <w:r>
              <w:rPr>
                <w:rFonts w:ascii="宋体" w:hAnsi="宋体" w:eastAsia="宋体" w:cs="Times New Roman"/>
                <w:snapToGrid w:val="0"/>
                <w:color w:val="auto"/>
              </w:rPr>
              <w:t>)</w:t>
            </w:r>
          </w:p>
        </w:tc>
        <w:tc>
          <w:tcPr>
            <w:tcW w:w="1045" w:type="pct"/>
            <w:shd w:val="clear" w:color="auto" w:fill="auto"/>
            <w:vAlign w:val="center"/>
          </w:tcPr>
          <w:p w14:paraId="6DC3524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1.40</w:t>
            </w:r>
          </w:p>
        </w:tc>
        <w:tc>
          <w:tcPr>
            <w:tcW w:w="1045" w:type="pct"/>
            <w:shd w:val="clear" w:color="auto" w:fill="auto"/>
            <w:vAlign w:val="center"/>
          </w:tcPr>
          <w:p w14:paraId="79396B0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1.45</w:t>
            </w:r>
          </w:p>
        </w:tc>
        <w:tc>
          <w:tcPr>
            <w:tcW w:w="1048" w:type="pct"/>
            <w:shd w:val="clear" w:color="auto" w:fill="auto"/>
            <w:vAlign w:val="center"/>
          </w:tcPr>
          <w:p w14:paraId="2ACBE3A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1.42</w:t>
            </w:r>
          </w:p>
        </w:tc>
      </w:tr>
      <w:tr w14:paraId="1EA3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Merge w:val="continue"/>
            <w:shd w:val="clear" w:color="auto" w:fill="auto"/>
            <w:vAlign w:val="center"/>
          </w:tcPr>
          <w:p w14:paraId="15CBDC85">
            <w:pPr>
              <w:jc w:val="center"/>
              <w:rPr>
                <w:rFonts w:ascii="宋体" w:hAnsi="宋体" w:eastAsia="宋体" w:cs="Times New Roman"/>
                <w:color w:val="auto"/>
              </w:rPr>
            </w:pPr>
          </w:p>
        </w:tc>
        <w:tc>
          <w:tcPr>
            <w:tcW w:w="1264" w:type="pct"/>
            <w:shd w:val="clear" w:color="auto" w:fill="auto"/>
            <w:vAlign w:val="center"/>
          </w:tcPr>
          <w:p w14:paraId="48D7A279">
            <w:pPr>
              <w:adjustRightInd w:val="0"/>
              <w:snapToGrid w:val="0"/>
              <w:jc w:val="center"/>
              <w:rPr>
                <w:rFonts w:ascii="宋体" w:hAnsi="宋体" w:eastAsia="宋体" w:cs="Times New Roman"/>
                <w:color w:val="auto"/>
              </w:rPr>
            </w:pPr>
            <w:r>
              <w:rPr>
                <w:rFonts w:ascii="宋体" w:hAnsi="宋体" w:eastAsia="宋体" w:cs="Times New Roman"/>
                <w:snapToGrid w:val="0"/>
                <w:color w:val="auto"/>
              </w:rPr>
              <w:t>孔隙度(%)</w:t>
            </w:r>
          </w:p>
        </w:tc>
        <w:tc>
          <w:tcPr>
            <w:tcW w:w="1045" w:type="pct"/>
            <w:shd w:val="clear" w:color="auto" w:fill="auto"/>
            <w:vAlign w:val="center"/>
          </w:tcPr>
          <w:p w14:paraId="1380D2B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47.2</w:t>
            </w:r>
          </w:p>
        </w:tc>
        <w:tc>
          <w:tcPr>
            <w:tcW w:w="1045" w:type="pct"/>
            <w:shd w:val="clear" w:color="auto" w:fill="auto"/>
            <w:vAlign w:val="center"/>
          </w:tcPr>
          <w:p w14:paraId="5020EA1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45.3</w:t>
            </w:r>
          </w:p>
        </w:tc>
        <w:tc>
          <w:tcPr>
            <w:tcW w:w="1048" w:type="pct"/>
            <w:shd w:val="clear" w:color="auto" w:fill="auto"/>
            <w:vAlign w:val="center"/>
          </w:tcPr>
          <w:p w14:paraId="19C1108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46.4</w:t>
            </w:r>
          </w:p>
        </w:tc>
      </w:tr>
      <w:bookmarkEnd w:id="1217"/>
    </w:tbl>
    <w:p w14:paraId="1245701E">
      <w:pPr>
        <w:pStyle w:val="276"/>
        <w:widowControl w:val="0"/>
        <w:spacing w:line="440" w:lineRule="exact"/>
        <w:ind w:firstLine="0" w:firstLineChars="0"/>
        <w:jc w:val="center"/>
        <w:rPr>
          <w:color w:val="auto"/>
          <w:szCs w:val="20"/>
        </w:rPr>
      </w:pPr>
    </w:p>
    <w:p w14:paraId="0CEAFBB4">
      <w:pPr>
        <w:pStyle w:val="276"/>
        <w:widowControl w:val="0"/>
        <w:spacing w:line="440" w:lineRule="exact"/>
        <w:ind w:firstLine="0" w:firstLineChars="0"/>
        <w:jc w:val="center"/>
        <w:rPr>
          <w:color w:val="auto"/>
          <w:szCs w:val="20"/>
        </w:rPr>
      </w:pPr>
      <w:r>
        <w:rPr>
          <w:color w:val="auto"/>
          <w:szCs w:val="20"/>
        </w:rPr>
        <w:t>表4.3-</w:t>
      </w:r>
      <w:r>
        <w:rPr>
          <w:rFonts w:hint="eastAsia"/>
          <w:color w:val="auto"/>
          <w:szCs w:val="20"/>
        </w:rPr>
        <w:t>18</w:t>
      </w:r>
      <w:r>
        <w:rPr>
          <w:color w:val="auto"/>
          <w:szCs w:val="20"/>
        </w:rPr>
        <w:t xml:space="preserve"> 区域内土壤构型（土壤剖面）</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2957"/>
        <w:gridCol w:w="2582"/>
        <w:gridCol w:w="2795"/>
      </w:tblGrid>
      <w:tr w14:paraId="2552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shd w:val="clear" w:color="auto" w:fill="auto"/>
            <w:vAlign w:val="center"/>
          </w:tcPr>
          <w:p w14:paraId="2DC6E2D6">
            <w:pPr>
              <w:jc w:val="center"/>
              <w:rPr>
                <w:rFonts w:ascii="宋体" w:hAnsi="宋体" w:eastAsia="宋体" w:cs="Times New Roman"/>
                <w:color w:val="auto"/>
              </w:rPr>
            </w:pPr>
            <w:r>
              <w:rPr>
                <w:rFonts w:ascii="宋体" w:hAnsi="宋体" w:eastAsia="宋体" w:cs="Times New Roman"/>
                <w:color w:val="auto"/>
              </w:rPr>
              <w:t>点号</w:t>
            </w:r>
          </w:p>
        </w:tc>
        <w:tc>
          <w:tcPr>
            <w:tcW w:w="1592" w:type="pct"/>
            <w:shd w:val="clear" w:color="auto" w:fill="auto"/>
            <w:vAlign w:val="center"/>
          </w:tcPr>
          <w:p w14:paraId="41F8F94B">
            <w:pPr>
              <w:jc w:val="center"/>
              <w:rPr>
                <w:rFonts w:ascii="宋体" w:hAnsi="宋体" w:eastAsia="宋体" w:cs="Times New Roman"/>
                <w:color w:val="auto"/>
              </w:rPr>
            </w:pPr>
            <w:r>
              <w:rPr>
                <w:rFonts w:ascii="宋体" w:hAnsi="宋体" w:eastAsia="宋体" w:cs="Times New Roman"/>
                <w:color w:val="auto"/>
              </w:rPr>
              <w:t>景观照片</w:t>
            </w:r>
          </w:p>
        </w:tc>
        <w:tc>
          <w:tcPr>
            <w:tcW w:w="1390" w:type="pct"/>
            <w:shd w:val="clear" w:color="auto" w:fill="auto"/>
            <w:vAlign w:val="center"/>
          </w:tcPr>
          <w:p w14:paraId="07808C04">
            <w:pPr>
              <w:jc w:val="center"/>
              <w:rPr>
                <w:rFonts w:ascii="宋体" w:hAnsi="宋体" w:eastAsia="宋体" w:cs="Times New Roman"/>
                <w:color w:val="auto"/>
              </w:rPr>
            </w:pPr>
            <w:r>
              <w:rPr>
                <w:rFonts w:ascii="宋体" w:hAnsi="宋体" w:eastAsia="宋体" w:cs="Times New Roman"/>
                <w:color w:val="auto"/>
              </w:rPr>
              <w:t>土壤剖面照片</w:t>
            </w:r>
          </w:p>
        </w:tc>
        <w:tc>
          <w:tcPr>
            <w:tcW w:w="1505" w:type="pct"/>
            <w:shd w:val="clear" w:color="auto" w:fill="auto"/>
            <w:vAlign w:val="center"/>
          </w:tcPr>
          <w:p w14:paraId="698819CB">
            <w:pPr>
              <w:jc w:val="center"/>
              <w:rPr>
                <w:rFonts w:ascii="宋体" w:hAnsi="宋体" w:eastAsia="宋体" w:cs="Times New Roman"/>
                <w:color w:val="auto"/>
              </w:rPr>
            </w:pPr>
            <w:r>
              <w:rPr>
                <w:rFonts w:ascii="宋体" w:hAnsi="宋体" w:eastAsia="宋体" w:cs="Times New Roman"/>
                <w:color w:val="auto"/>
              </w:rPr>
              <w:t>层次</w:t>
            </w:r>
          </w:p>
        </w:tc>
      </w:tr>
      <w:tr w14:paraId="68A6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shd w:val="clear" w:color="auto" w:fill="auto"/>
            <w:vAlign w:val="center"/>
          </w:tcPr>
          <w:p w14:paraId="63F6D7D3">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拟建</w:t>
            </w:r>
            <w:r>
              <w:rPr>
                <w:rFonts w:ascii="宋体" w:hAnsi="宋体" w:eastAsia="宋体" w:cs="Times New Roman"/>
                <w:color w:val="auto"/>
              </w:rPr>
              <w:t>源212-扶平4</w:t>
            </w:r>
            <w:r>
              <w:rPr>
                <w:rFonts w:hint="eastAsia" w:ascii="宋体" w:hAnsi="宋体" w:eastAsia="宋体" w:cs="Times New Roman"/>
                <w:color w:val="auto"/>
                <w:lang w:bidi="ar"/>
              </w:rPr>
              <w:t>井场</w:t>
            </w:r>
          </w:p>
        </w:tc>
        <w:tc>
          <w:tcPr>
            <w:tcW w:w="1592" w:type="pct"/>
            <w:vMerge w:val="restart"/>
            <w:shd w:val="clear" w:color="auto" w:fill="auto"/>
            <w:vAlign w:val="center"/>
          </w:tcPr>
          <w:p w14:paraId="0FC2AF4B">
            <w:pPr>
              <w:jc w:val="center"/>
              <w:rPr>
                <w:rFonts w:ascii="宋体" w:hAnsi="宋体" w:eastAsia="宋体" w:cs="Times New Roman"/>
                <w:color w:val="auto"/>
              </w:rPr>
            </w:pPr>
            <w:r>
              <w:rPr>
                <w:rFonts w:ascii="宋体" w:hAnsi="宋体" w:eastAsia="宋体" w:cs="Times New Roman"/>
                <w:color w:val="auto"/>
              </w:rPr>
              <w:drawing>
                <wp:inline distT="0" distB="0" distL="114300" distR="114300">
                  <wp:extent cx="1574165" cy="2819400"/>
                  <wp:effectExtent l="0" t="0" r="6985" b="0"/>
                  <wp:docPr id="90" name="图片 4" descr="4d07c01794ec7ab40f129afc076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descr="4d07c01794ec7ab40f129afc0766982"/>
                          <pic:cNvPicPr>
                            <a:picLocks noChangeAspect="1"/>
                          </pic:cNvPicPr>
                        </pic:nvPicPr>
                        <pic:blipFill>
                          <a:blip r:embed="rId61"/>
                          <a:stretch>
                            <a:fillRect/>
                          </a:stretch>
                        </pic:blipFill>
                        <pic:spPr>
                          <a:xfrm>
                            <a:off x="0" y="0"/>
                            <a:ext cx="1574165" cy="2819400"/>
                          </a:xfrm>
                          <a:prstGeom prst="rect">
                            <a:avLst/>
                          </a:prstGeom>
                          <a:noFill/>
                          <a:ln>
                            <a:noFill/>
                          </a:ln>
                        </pic:spPr>
                      </pic:pic>
                    </a:graphicData>
                  </a:graphic>
                </wp:inline>
              </w:drawing>
            </w:r>
          </w:p>
        </w:tc>
        <w:tc>
          <w:tcPr>
            <w:tcW w:w="1390" w:type="pct"/>
            <w:vMerge w:val="restart"/>
            <w:shd w:val="clear" w:color="auto" w:fill="auto"/>
            <w:vAlign w:val="center"/>
          </w:tcPr>
          <w:p w14:paraId="3ACB8A77">
            <w:pPr>
              <w:jc w:val="center"/>
              <w:rPr>
                <w:rFonts w:ascii="宋体" w:hAnsi="宋体" w:eastAsia="宋体" w:cs="Times New Roman"/>
                <w:color w:val="auto"/>
              </w:rPr>
            </w:pPr>
            <w:r>
              <w:rPr>
                <w:rFonts w:ascii="宋体" w:hAnsi="宋体" w:eastAsia="宋体" w:cs="Times New Roman"/>
                <w:color w:val="auto"/>
              </w:rPr>
              <w:drawing>
                <wp:inline distT="0" distB="0" distL="114300" distR="114300">
                  <wp:extent cx="1354455" cy="2829560"/>
                  <wp:effectExtent l="0" t="0" r="17145" b="8890"/>
                  <wp:docPr id="96" name="图片 5" descr="0836199aebf45687577a6398c382e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descr="0836199aebf45687577a6398c382e74d"/>
                          <pic:cNvPicPr>
                            <a:picLocks noChangeAspect="1"/>
                          </pic:cNvPicPr>
                        </pic:nvPicPr>
                        <pic:blipFill>
                          <a:blip r:embed="rId62"/>
                          <a:stretch>
                            <a:fillRect/>
                          </a:stretch>
                        </pic:blipFill>
                        <pic:spPr>
                          <a:xfrm>
                            <a:off x="0" y="0"/>
                            <a:ext cx="1354455" cy="2829560"/>
                          </a:xfrm>
                          <a:prstGeom prst="rect">
                            <a:avLst/>
                          </a:prstGeom>
                          <a:noFill/>
                          <a:ln>
                            <a:noFill/>
                          </a:ln>
                        </pic:spPr>
                      </pic:pic>
                    </a:graphicData>
                  </a:graphic>
                </wp:inline>
              </w:drawing>
            </w:r>
          </w:p>
        </w:tc>
        <w:tc>
          <w:tcPr>
            <w:tcW w:w="1505" w:type="pct"/>
            <w:shd w:val="clear" w:color="auto" w:fill="auto"/>
            <w:vAlign w:val="center"/>
          </w:tcPr>
          <w:p w14:paraId="2D8BD63E">
            <w:pPr>
              <w:adjustRightInd w:val="0"/>
              <w:snapToGrid w:val="0"/>
              <w:jc w:val="center"/>
              <w:rPr>
                <w:rFonts w:ascii="宋体" w:hAnsi="宋体" w:eastAsia="宋体"/>
                <w:smallCaps/>
                <w:color w:val="auto"/>
              </w:rPr>
            </w:pPr>
            <w:r>
              <w:rPr>
                <w:rFonts w:ascii="宋体" w:hAnsi="宋体" w:eastAsia="宋体"/>
                <w:color w:val="auto"/>
              </w:rPr>
              <w:t xml:space="preserve">0-0.5m </w:t>
            </w:r>
            <w:r>
              <w:rPr>
                <w:rFonts w:ascii="宋体" w:hAnsi="宋体" w:eastAsia="宋体" w:cs="Times New Roman"/>
                <w:snapToGrid w:val="0"/>
                <w:color w:val="auto"/>
              </w:rPr>
              <w:t>块状结构</w:t>
            </w:r>
            <w:r>
              <w:rPr>
                <w:rFonts w:ascii="宋体" w:hAnsi="宋体" w:eastAsia="宋体"/>
                <w:color w:val="auto"/>
              </w:rPr>
              <w:t xml:space="preserve">  壤土</w:t>
            </w:r>
          </w:p>
        </w:tc>
      </w:tr>
      <w:tr w14:paraId="5B4A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shd w:val="clear" w:color="auto" w:fill="auto"/>
            <w:vAlign w:val="center"/>
          </w:tcPr>
          <w:p w14:paraId="615E8876">
            <w:pPr>
              <w:jc w:val="center"/>
              <w:rPr>
                <w:rFonts w:ascii="宋体" w:hAnsi="宋体" w:eastAsia="宋体" w:cs="Times New Roman"/>
                <w:color w:val="auto"/>
              </w:rPr>
            </w:pPr>
          </w:p>
        </w:tc>
        <w:tc>
          <w:tcPr>
            <w:tcW w:w="1592" w:type="pct"/>
            <w:vMerge w:val="continue"/>
            <w:shd w:val="clear" w:color="auto" w:fill="auto"/>
            <w:vAlign w:val="center"/>
          </w:tcPr>
          <w:p w14:paraId="02A5FEF2">
            <w:pPr>
              <w:jc w:val="center"/>
              <w:rPr>
                <w:rFonts w:ascii="宋体" w:hAnsi="宋体" w:eastAsia="宋体" w:cs="Times New Roman"/>
                <w:color w:val="auto"/>
              </w:rPr>
            </w:pPr>
          </w:p>
        </w:tc>
        <w:tc>
          <w:tcPr>
            <w:tcW w:w="1390" w:type="pct"/>
            <w:vMerge w:val="continue"/>
            <w:shd w:val="clear" w:color="auto" w:fill="auto"/>
            <w:vAlign w:val="center"/>
          </w:tcPr>
          <w:p w14:paraId="353248DB">
            <w:pPr>
              <w:jc w:val="center"/>
              <w:rPr>
                <w:rFonts w:ascii="宋体" w:hAnsi="宋体" w:eastAsia="宋体" w:cs="Times New Roman"/>
                <w:color w:val="auto"/>
              </w:rPr>
            </w:pPr>
          </w:p>
        </w:tc>
        <w:tc>
          <w:tcPr>
            <w:tcW w:w="1505" w:type="pct"/>
            <w:shd w:val="clear" w:color="auto" w:fill="auto"/>
            <w:vAlign w:val="center"/>
          </w:tcPr>
          <w:p w14:paraId="6521C337">
            <w:pPr>
              <w:adjustRightInd w:val="0"/>
              <w:snapToGrid w:val="0"/>
              <w:jc w:val="center"/>
              <w:rPr>
                <w:rFonts w:ascii="宋体" w:hAnsi="宋体" w:eastAsia="宋体"/>
                <w:smallCaps/>
                <w:color w:val="auto"/>
              </w:rPr>
            </w:pPr>
            <w:r>
              <w:rPr>
                <w:rFonts w:ascii="宋体" w:hAnsi="宋体" w:eastAsia="宋体"/>
                <w:color w:val="auto"/>
              </w:rPr>
              <w:t>0.5-1.5m 面状</w:t>
            </w:r>
            <w:r>
              <w:rPr>
                <w:rFonts w:ascii="宋体" w:hAnsi="宋体" w:eastAsia="宋体" w:cs="Times New Roman"/>
                <w:snapToGrid w:val="0"/>
                <w:color w:val="auto"/>
              </w:rPr>
              <w:t>结构</w:t>
            </w:r>
            <w:r>
              <w:rPr>
                <w:rFonts w:ascii="宋体" w:hAnsi="宋体" w:eastAsia="宋体"/>
                <w:color w:val="auto"/>
              </w:rPr>
              <w:t xml:space="preserve">  壤土</w:t>
            </w:r>
          </w:p>
        </w:tc>
      </w:tr>
      <w:tr w14:paraId="1D01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shd w:val="clear" w:color="auto" w:fill="auto"/>
            <w:vAlign w:val="center"/>
          </w:tcPr>
          <w:p w14:paraId="6598F5DF">
            <w:pPr>
              <w:jc w:val="center"/>
              <w:rPr>
                <w:rFonts w:ascii="宋体" w:hAnsi="宋体" w:eastAsia="宋体" w:cs="Times New Roman"/>
                <w:color w:val="auto"/>
              </w:rPr>
            </w:pPr>
          </w:p>
        </w:tc>
        <w:tc>
          <w:tcPr>
            <w:tcW w:w="1592" w:type="pct"/>
            <w:vMerge w:val="continue"/>
            <w:shd w:val="clear" w:color="auto" w:fill="auto"/>
            <w:vAlign w:val="center"/>
          </w:tcPr>
          <w:p w14:paraId="381D5D3B">
            <w:pPr>
              <w:jc w:val="center"/>
              <w:rPr>
                <w:rFonts w:ascii="宋体" w:hAnsi="宋体" w:eastAsia="宋体" w:cs="Times New Roman"/>
                <w:color w:val="auto"/>
              </w:rPr>
            </w:pPr>
          </w:p>
        </w:tc>
        <w:tc>
          <w:tcPr>
            <w:tcW w:w="1390" w:type="pct"/>
            <w:vMerge w:val="continue"/>
            <w:shd w:val="clear" w:color="auto" w:fill="auto"/>
            <w:vAlign w:val="center"/>
          </w:tcPr>
          <w:p w14:paraId="598E6584">
            <w:pPr>
              <w:jc w:val="center"/>
              <w:rPr>
                <w:rFonts w:ascii="宋体" w:hAnsi="宋体" w:eastAsia="宋体" w:cs="Times New Roman"/>
                <w:color w:val="auto"/>
              </w:rPr>
            </w:pPr>
          </w:p>
        </w:tc>
        <w:tc>
          <w:tcPr>
            <w:tcW w:w="1505" w:type="pct"/>
            <w:shd w:val="clear" w:color="auto" w:fill="auto"/>
            <w:vAlign w:val="center"/>
          </w:tcPr>
          <w:p w14:paraId="46D964ED">
            <w:pPr>
              <w:adjustRightInd w:val="0"/>
              <w:snapToGrid w:val="0"/>
              <w:jc w:val="center"/>
              <w:rPr>
                <w:rFonts w:ascii="宋体" w:hAnsi="宋体" w:eastAsia="宋体" w:cs="Times New Roman"/>
                <w:color w:val="auto"/>
              </w:rPr>
            </w:pPr>
            <w:r>
              <w:rPr>
                <w:rFonts w:ascii="宋体" w:hAnsi="宋体" w:eastAsia="宋体" w:cs="Times New Roman"/>
                <w:snapToGrid w:val="0"/>
                <w:color w:val="auto"/>
              </w:rPr>
              <w:t xml:space="preserve">1.5-3m </w:t>
            </w:r>
            <w:r>
              <w:rPr>
                <w:rFonts w:ascii="宋体" w:hAnsi="宋体" w:eastAsia="宋体" w:cs="Times New Roman"/>
                <w:color w:val="auto"/>
              </w:rPr>
              <w:t>面状</w:t>
            </w:r>
            <w:r>
              <w:rPr>
                <w:rFonts w:ascii="宋体" w:hAnsi="宋体" w:eastAsia="宋体" w:cs="Times New Roman"/>
                <w:snapToGrid w:val="0"/>
                <w:color w:val="auto"/>
              </w:rPr>
              <w:t>结构  壤土</w:t>
            </w:r>
          </w:p>
        </w:tc>
      </w:tr>
      <w:tr w14:paraId="4B65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shd w:val="clear" w:color="auto" w:fill="auto"/>
            <w:vAlign w:val="center"/>
          </w:tcPr>
          <w:p w14:paraId="639B86CD">
            <w:pPr>
              <w:jc w:val="center"/>
              <w:rPr>
                <w:rFonts w:ascii="宋体" w:hAnsi="宋体" w:eastAsia="宋体" w:cs="Times New Roman"/>
                <w:color w:val="auto"/>
              </w:rPr>
            </w:pPr>
          </w:p>
        </w:tc>
        <w:tc>
          <w:tcPr>
            <w:tcW w:w="1592" w:type="pct"/>
            <w:vMerge w:val="continue"/>
            <w:shd w:val="clear" w:color="auto" w:fill="auto"/>
            <w:vAlign w:val="center"/>
          </w:tcPr>
          <w:p w14:paraId="608F42A2">
            <w:pPr>
              <w:jc w:val="center"/>
              <w:rPr>
                <w:rFonts w:ascii="宋体" w:hAnsi="宋体" w:eastAsia="宋体" w:cs="Times New Roman"/>
                <w:color w:val="auto"/>
              </w:rPr>
            </w:pPr>
          </w:p>
        </w:tc>
        <w:tc>
          <w:tcPr>
            <w:tcW w:w="1390" w:type="pct"/>
            <w:vMerge w:val="continue"/>
            <w:shd w:val="clear" w:color="auto" w:fill="auto"/>
            <w:vAlign w:val="center"/>
          </w:tcPr>
          <w:p w14:paraId="72FC2AB9">
            <w:pPr>
              <w:jc w:val="center"/>
              <w:rPr>
                <w:rFonts w:ascii="宋体" w:hAnsi="宋体" w:eastAsia="宋体" w:cs="Times New Roman"/>
                <w:color w:val="auto"/>
              </w:rPr>
            </w:pPr>
          </w:p>
        </w:tc>
        <w:tc>
          <w:tcPr>
            <w:tcW w:w="1505" w:type="pct"/>
            <w:shd w:val="clear" w:color="auto" w:fill="auto"/>
            <w:vAlign w:val="center"/>
          </w:tcPr>
          <w:p w14:paraId="4EFFEE4C">
            <w:pPr>
              <w:jc w:val="center"/>
              <w:rPr>
                <w:rFonts w:ascii="宋体" w:hAnsi="宋体" w:eastAsia="宋体" w:cs="Times New Roman"/>
                <w:color w:val="auto"/>
              </w:rPr>
            </w:pPr>
            <w:r>
              <w:rPr>
                <w:rFonts w:ascii="宋体" w:hAnsi="宋体" w:eastAsia="宋体" w:cs="Times New Roman"/>
                <w:color w:val="auto"/>
              </w:rPr>
              <w:drawing>
                <wp:inline distT="0" distB="0" distL="114300" distR="114300">
                  <wp:extent cx="1386840" cy="1913255"/>
                  <wp:effectExtent l="0" t="0" r="3810" b="10795"/>
                  <wp:docPr id="99" name="图片 6" descr="e04be7ededc51e4585acf55f928d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descr="e04be7ededc51e4585acf55f928d443"/>
                          <pic:cNvPicPr>
                            <a:picLocks noChangeAspect="1"/>
                          </pic:cNvPicPr>
                        </pic:nvPicPr>
                        <pic:blipFill>
                          <a:blip r:embed="rId63"/>
                          <a:stretch>
                            <a:fillRect/>
                          </a:stretch>
                        </pic:blipFill>
                        <pic:spPr>
                          <a:xfrm>
                            <a:off x="0" y="0"/>
                            <a:ext cx="1386840" cy="1913255"/>
                          </a:xfrm>
                          <a:prstGeom prst="rect">
                            <a:avLst/>
                          </a:prstGeom>
                          <a:noFill/>
                          <a:ln>
                            <a:noFill/>
                          </a:ln>
                        </pic:spPr>
                      </pic:pic>
                    </a:graphicData>
                  </a:graphic>
                </wp:inline>
              </w:drawing>
            </w:r>
          </w:p>
        </w:tc>
      </w:tr>
      <w:tr w14:paraId="0575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shd w:val="clear" w:color="auto" w:fill="auto"/>
            <w:vAlign w:val="center"/>
          </w:tcPr>
          <w:p w14:paraId="17A21474">
            <w:pPr>
              <w:jc w:val="center"/>
              <w:rPr>
                <w:rFonts w:ascii="宋体" w:hAnsi="宋体" w:eastAsia="宋体" w:cs="Times New Roman"/>
                <w:color w:val="auto"/>
              </w:rPr>
            </w:pPr>
            <w:r>
              <w:rPr>
                <w:rFonts w:ascii="宋体" w:hAnsi="宋体" w:eastAsia="宋体" w:cs="Times New Roman"/>
                <w:color w:val="auto"/>
                <w:kern w:val="24"/>
              </w:rPr>
              <w:t>拟建</w:t>
            </w:r>
            <w:r>
              <w:rPr>
                <w:rFonts w:hint="eastAsia" w:ascii="宋体" w:hAnsi="宋体" w:eastAsia="宋体" w:cs="Times New Roman"/>
                <w:color w:val="auto"/>
                <w:lang w:bidi="ar"/>
              </w:rPr>
              <w:t>3#平台井场</w:t>
            </w:r>
          </w:p>
        </w:tc>
        <w:tc>
          <w:tcPr>
            <w:tcW w:w="1592" w:type="pct"/>
            <w:vMerge w:val="restart"/>
            <w:shd w:val="clear" w:color="auto" w:fill="auto"/>
            <w:vAlign w:val="center"/>
          </w:tcPr>
          <w:p w14:paraId="3FF7592B">
            <w:pPr>
              <w:jc w:val="center"/>
              <w:rPr>
                <w:rFonts w:ascii="宋体" w:hAnsi="宋体" w:eastAsia="宋体" w:cs="Times New Roman"/>
                <w:color w:val="auto"/>
              </w:rPr>
            </w:pPr>
            <w:r>
              <w:rPr>
                <w:rFonts w:ascii="宋体" w:hAnsi="宋体" w:eastAsia="宋体" w:cs="Times New Roman"/>
                <w:color w:val="auto"/>
              </w:rPr>
              <w:drawing>
                <wp:inline distT="0" distB="0" distL="114300" distR="114300">
                  <wp:extent cx="1411605" cy="2759075"/>
                  <wp:effectExtent l="0" t="0" r="17145" b="3175"/>
                  <wp:docPr id="100" name="图片 7" descr="91e530ac1414296a33ec20940988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descr="91e530ac1414296a33ec20940988ef8"/>
                          <pic:cNvPicPr>
                            <a:picLocks noChangeAspect="1"/>
                          </pic:cNvPicPr>
                        </pic:nvPicPr>
                        <pic:blipFill>
                          <a:blip r:embed="rId64"/>
                          <a:stretch>
                            <a:fillRect/>
                          </a:stretch>
                        </pic:blipFill>
                        <pic:spPr>
                          <a:xfrm>
                            <a:off x="0" y="0"/>
                            <a:ext cx="1411605" cy="2759075"/>
                          </a:xfrm>
                          <a:prstGeom prst="rect">
                            <a:avLst/>
                          </a:prstGeom>
                          <a:noFill/>
                          <a:ln>
                            <a:noFill/>
                          </a:ln>
                        </pic:spPr>
                      </pic:pic>
                    </a:graphicData>
                  </a:graphic>
                </wp:inline>
              </w:drawing>
            </w:r>
          </w:p>
        </w:tc>
        <w:tc>
          <w:tcPr>
            <w:tcW w:w="1390" w:type="pct"/>
            <w:vMerge w:val="restart"/>
            <w:shd w:val="clear" w:color="auto" w:fill="auto"/>
            <w:vAlign w:val="center"/>
          </w:tcPr>
          <w:p w14:paraId="0F2494D9">
            <w:pPr>
              <w:jc w:val="center"/>
              <w:rPr>
                <w:rFonts w:ascii="宋体" w:hAnsi="宋体" w:eastAsia="宋体" w:cs="Times New Roman"/>
                <w:color w:val="auto"/>
              </w:rPr>
            </w:pPr>
            <w:r>
              <w:rPr>
                <w:rFonts w:ascii="宋体" w:hAnsi="宋体" w:eastAsia="宋体" w:cs="Times New Roman"/>
                <w:color w:val="auto"/>
              </w:rPr>
              <w:drawing>
                <wp:inline distT="0" distB="0" distL="114300" distR="114300">
                  <wp:extent cx="1136015" cy="2525395"/>
                  <wp:effectExtent l="0" t="0" r="6985" b="8255"/>
                  <wp:docPr id="101" name="图片 8" descr="02ca0fc48b2d6b2be3e4b09c1802c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descr="02ca0fc48b2d6b2be3e4b09c1802c57f"/>
                          <pic:cNvPicPr>
                            <a:picLocks noChangeAspect="1"/>
                          </pic:cNvPicPr>
                        </pic:nvPicPr>
                        <pic:blipFill>
                          <a:blip r:embed="rId65"/>
                          <a:stretch>
                            <a:fillRect/>
                          </a:stretch>
                        </pic:blipFill>
                        <pic:spPr>
                          <a:xfrm>
                            <a:off x="0" y="0"/>
                            <a:ext cx="1136015" cy="2525395"/>
                          </a:xfrm>
                          <a:prstGeom prst="rect">
                            <a:avLst/>
                          </a:prstGeom>
                          <a:noFill/>
                          <a:ln>
                            <a:noFill/>
                          </a:ln>
                        </pic:spPr>
                      </pic:pic>
                    </a:graphicData>
                  </a:graphic>
                </wp:inline>
              </w:drawing>
            </w:r>
          </w:p>
        </w:tc>
        <w:tc>
          <w:tcPr>
            <w:tcW w:w="1505" w:type="pct"/>
            <w:shd w:val="clear" w:color="auto" w:fill="auto"/>
            <w:vAlign w:val="center"/>
          </w:tcPr>
          <w:p w14:paraId="096F1497">
            <w:pPr>
              <w:pStyle w:val="202"/>
              <w:spacing w:before="163" w:after="65" w:line="240" w:lineRule="auto"/>
              <w:rPr>
                <w:rFonts w:ascii="宋体" w:hAnsi="宋体" w:eastAsia="宋体"/>
                <w:b w:val="0"/>
                <w:smallCaps/>
                <w:color w:val="auto"/>
                <w:sz w:val="21"/>
                <w:szCs w:val="21"/>
              </w:rPr>
            </w:pPr>
            <w:r>
              <w:rPr>
                <w:rFonts w:ascii="宋体" w:hAnsi="宋体" w:eastAsia="宋体"/>
                <w:b w:val="0"/>
                <w:color w:val="auto"/>
                <w:sz w:val="21"/>
                <w:szCs w:val="21"/>
              </w:rPr>
              <w:t>0-0.5m</w:t>
            </w:r>
            <w:r>
              <w:rPr>
                <w:rFonts w:ascii="宋体" w:hAnsi="宋体" w:eastAsia="宋体"/>
                <w:b w:val="0"/>
                <w:color w:val="auto"/>
              </w:rPr>
              <w:t xml:space="preserve"> </w:t>
            </w:r>
            <w:r>
              <w:rPr>
                <w:rFonts w:ascii="宋体" w:hAnsi="宋体" w:eastAsia="宋体"/>
                <w:b w:val="0"/>
                <w:snapToGrid/>
                <w:color w:val="auto"/>
                <w:sz w:val="21"/>
                <w:szCs w:val="21"/>
              </w:rPr>
              <w:t>块状结构</w:t>
            </w:r>
            <w:r>
              <w:rPr>
                <w:rFonts w:ascii="宋体" w:hAnsi="宋体" w:eastAsia="宋体"/>
                <w:b w:val="0"/>
                <w:color w:val="auto"/>
                <w:sz w:val="21"/>
                <w:szCs w:val="21"/>
              </w:rPr>
              <w:t xml:space="preserve">  壤土</w:t>
            </w:r>
          </w:p>
        </w:tc>
      </w:tr>
      <w:tr w14:paraId="13F8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shd w:val="clear" w:color="auto" w:fill="auto"/>
            <w:vAlign w:val="center"/>
          </w:tcPr>
          <w:p w14:paraId="094DFE7B">
            <w:pPr>
              <w:pStyle w:val="202"/>
              <w:spacing w:before="163" w:after="65" w:line="240" w:lineRule="auto"/>
              <w:rPr>
                <w:rFonts w:ascii="宋体" w:hAnsi="宋体" w:eastAsia="宋体"/>
                <w:b w:val="0"/>
                <w:smallCaps/>
                <w:color w:val="auto"/>
                <w:kern w:val="24"/>
                <w:sz w:val="21"/>
                <w:szCs w:val="21"/>
              </w:rPr>
            </w:pPr>
          </w:p>
        </w:tc>
        <w:tc>
          <w:tcPr>
            <w:tcW w:w="1592" w:type="pct"/>
            <w:vMerge w:val="continue"/>
            <w:shd w:val="clear" w:color="auto" w:fill="auto"/>
            <w:vAlign w:val="center"/>
          </w:tcPr>
          <w:p w14:paraId="102862D8">
            <w:pPr>
              <w:pStyle w:val="202"/>
              <w:spacing w:before="163" w:after="65" w:line="240" w:lineRule="auto"/>
              <w:rPr>
                <w:rFonts w:ascii="宋体" w:hAnsi="宋体" w:eastAsia="宋体"/>
                <w:b w:val="0"/>
                <w:smallCaps/>
                <w:color w:val="auto"/>
                <w:sz w:val="21"/>
                <w:szCs w:val="21"/>
              </w:rPr>
            </w:pPr>
          </w:p>
        </w:tc>
        <w:tc>
          <w:tcPr>
            <w:tcW w:w="1390" w:type="pct"/>
            <w:vMerge w:val="continue"/>
            <w:shd w:val="clear" w:color="auto" w:fill="auto"/>
            <w:vAlign w:val="center"/>
          </w:tcPr>
          <w:p w14:paraId="7864A7BF">
            <w:pPr>
              <w:pStyle w:val="202"/>
              <w:spacing w:before="163" w:after="65" w:line="240" w:lineRule="auto"/>
              <w:rPr>
                <w:rFonts w:ascii="宋体" w:hAnsi="宋体" w:eastAsia="宋体"/>
                <w:b w:val="0"/>
                <w:smallCaps/>
                <w:color w:val="auto"/>
                <w:sz w:val="21"/>
                <w:szCs w:val="21"/>
              </w:rPr>
            </w:pPr>
          </w:p>
        </w:tc>
        <w:tc>
          <w:tcPr>
            <w:tcW w:w="1505" w:type="pct"/>
            <w:shd w:val="clear" w:color="auto" w:fill="auto"/>
            <w:vAlign w:val="center"/>
          </w:tcPr>
          <w:p w14:paraId="48843BD4">
            <w:pPr>
              <w:pStyle w:val="202"/>
              <w:spacing w:before="163" w:after="65" w:line="240" w:lineRule="auto"/>
              <w:rPr>
                <w:rFonts w:ascii="宋体" w:hAnsi="宋体" w:eastAsia="宋体"/>
                <w:b w:val="0"/>
                <w:smallCaps/>
                <w:color w:val="auto"/>
                <w:sz w:val="21"/>
                <w:szCs w:val="21"/>
              </w:rPr>
            </w:pPr>
            <w:r>
              <w:rPr>
                <w:rFonts w:ascii="宋体" w:hAnsi="宋体" w:eastAsia="宋体"/>
                <w:b w:val="0"/>
                <w:color w:val="auto"/>
                <w:sz w:val="21"/>
                <w:szCs w:val="21"/>
              </w:rPr>
              <w:t>0.5-1.5m 面状</w:t>
            </w:r>
            <w:r>
              <w:rPr>
                <w:rFonts w:ascii="宋体" w:hAnsi="宋体" w:eastAsia="宋体"/>
                <w:b w:val="0"/>
                <w:snapToGrid/>
                <w:color w:val="auto"/>
                <w:sz w:val="21"/>
                <w:szCs w:val="21"/>
              </w:rPr>
              <w:t>结构</w:t>
            </w:r>
            <w:r>
              <w:rPr>
                <w:rFonts w:ascii="宋体" w:hAnsi="宋体" w:eastAsia="宋体"/>
                <w:b w:val="0"/>
                <w:color w:val="auto"/>
                <w:sz w:val="21"/>
                <w:szCs w:val="21"/>
              </w:rPr>
              <w:t xml:space="preserve">  壤土</w:t>
            </w:r>
          </w:p>
        </w:tc>
      </w:tr>
      <w:tr w14:paraId="2BA0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shd w:val="clear" w:color="auto" w:fill="auto"/>
            <w:vAlign w:val="center"/>
          </w:tcPr>
          <w:p w14:paraId="2E43DBB7">
            <w:pPr>
              <w:pStyle w:val="202"/>
              <w:spacing w:before="163" w:after="65" w:line="240" w:lineRule="auto"/>
              <w:rPr>
                <w:rFonts w:ascii="宋体" w:hAnsi="宋体" w:eastAsia="宋体"/>
                <w:b w:val="0"/>
                <w:smallCaps/>
                <w:color w:val="auto"/>
                <w:kern w:val="24"/>
                <w:sz w:val="21"/>
                <w:szCs w:val="21"/>
              </w:rPr>
            </w:pPr>
          </w:p>
        </w:tc>
        <w:tc>
          <w:tcPr>
            <w:tcW w:w="1592" w:type="pct"/>
            <w:vMerge w:val="continue"/>
            <w:shd w:val="clear" w:color="auto" w:fill="auto"/>
            <w:vAlign w:val="center"/>
          </w:tcPr>
          <w:p w14:paraId="7C50C462">
            <w:pPr>
              <w:pStyle w:val="202"/>
              <w:spacing w:before="163" w:after="65" w:line="240" w:lineRule="auto"/>
              <w:rPr>
                <w:rFonts w:ascii="宋体" w:hAnsi="宋体" w:eastAsia="宋体"/>
                <w:b w:val="0"/>
                <w:smallCaps/>
                <w:color w:val="auto"/>
                <w:sz w:val="21"/>
                <w:szCs w:val="21"/>
              </w:rPr>
            </w:pPr>
          </w:p>
        </w:tc>
        <w:tc>
          <w:tcPr>
            <w:tcW w:w="1390" w:type="pct"/>
            <w:vMerge w:val="continue"/>
            <w:shd w:val="clear" w:color="auto" w:fill="auto"/>
            <w:vAlign w:val="center"/>
          </w:tcPr>
          <w:p w14:paraId="418AD9B0">
            <w:pPr>
              <w:pStyle w:val="202"/>
              <w:spacing w:before="163" w:after="65" w:line="240" w:lineRule="auto"/>
              <w:rPr>
                <w:rFonts w:ascii="宋体" w:hAnsi="宋体" w:eastAsia="宋体"/>
                <w:b w:val="0"/>
                <w:smallCaps/>
                <w:color w:val="auto"/>
                <w:sz w:val="21"/>
                <w:szCs w:val="21"/>
              </w:rPr>
            </w:pPr>
          </w:p>
        </w:tc>
        <w:tc>
          <w:tcPr>
            <w:tcW w:w="1505" w:type="pct"/>
            <w:shd w:val="clear" w:color="auto" w:fill="auto"/>
            <w:vAlign w:val="center"/>
          </w:tcPr>
          <w:p w14:paraId="06CE18F8">
            <w:pPr>
              <w:jc w:val="center"/>
              <w:rPr>
                <w:rFonts w:ascii="宋体" w:hAnsi="宋体" w:eastAsia="宋体" w:cs="Times New Roman"/>
                <w:snapToGrid w:val="0"/>
                <w:color w:val="auto"/>
              </w:rPr>
            </w:pPr>
            <w:r>
              <w:rPr>
                <w:rFonts w:ascii="宋体" w:hAnsi="宋体" w:eastAsia="宋体" w:cs="Times New Roman"/>
                <w:snapToGrid w:val="0"/>
                <w:color w:val="auto"/>
              </w:rPr>
              <w:t xml:space="preserve">1.5-3m </w:t>
            </w:r>
            <w:r>
              <w:rPr>
                <w:rFonts w:ascii="宋体" w:hAnsi="宋体" w:eastAsia="宋体" w:cs="Times New Roman"/>
                <w:color w:val="auto"/>
              </w:rPr>
              <w:t>面状</w:t>
            </w:r>
            <w:r>
              <w:rPr>
                <w:rFonts w:ascii="宋体" w:hAnsi="宋体" w:eastAsia="宋体" w:cs="Times New Roman"/>
                <w:snapToGrid w:val="0"/>
                <w:color w:val="auto"/>
              </w:rPr>
              <w:t>结构  壤土</w:t>
            </w:r>
          </w:p>
        </w:tc>
      </w:tr>
      <w:tr w14:paraId="665D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shd w:val="clear" w:color="auto" w:fill="auto"/>
            <w:vAlign w:val="center"/>
          </w:tcPr>
          <w:p w14:paraId="4D685340">
            <w:pPr>
              <w:jc w:val="center"/>
              <w:rPr>
                <w:rFonts w:ascii="宋体" w:hAnsi="宋体" w:eastAsia="宋体" w:cs="Times New Roman"/>
                <w:color w:val="auto"/>
              </w:rPr>
            </w:pPr>
          </w:p>
        </w:tc>
        <w:tc>
          <w:tcPr>
            <w:tcW w:w="1592" w:type="pct"/>
            <w:vMerge w:val="continue"/>
            <w:shd w:val="clear" w:color="auto" w:fill="auto"/>
            <w:vAlign w:val="center"/>
          </w:tcPr>
          <w:p w14:paraId="364E9910">
            <w:pPr>
              <w:jc w:val="center"/>
              <w:rPr>
                <w:rFonts w:ascii="宋体" w:hAnsi="宋体" w:eastAsia="宋体" w:cs="Times New Roman"/>
                <w:color w:val="auto"/>
              </w:rPr>
            </w:pPr>
          </w:p>
        </w:tc>
        <w:tc>
          <w:tcPr>
            <w:tcW w:w="1390" w:type="pct"/>
            <w:vMerge w:val="continue"/>
            <w:shd w:val="clear" w:color="auto" w:fill="auto"/>
            <w:vAlign w:val="center"/>
          </w:tcPr>
          <w:p w14:paraId="0052DA5A">
            <w:pPr>
              <w:jc w:val="center"/>
              <w:rPr>
                <w:rFonts w:ascii="宋体" w:hAnsi="宋体" w:eastAsia="宋体" w:cs="Times New Roman"/>
                <w:color w:val="auto"/>
              </w:rPr>
            </w:pPr>
          </w:p>
        </w:tc>
        <w:tc>
          <w:tcPr>
            <w:tcW w:w="1505" w:type="pct"/>
            <w:shd w:val="clear" w:color="auto" w:fill="auto"/>
            <w:vAlign w:val="center"/>
          </w:tcPr>
          <w:p w14:paraId="058F5284">
            <w:pPr>
              <w:jc w:val="center"/>
              <w:rPr>
                <w:rFonts w:ascii="宋体" w:hAnsi="宋体" w:eastAsia="宋体" w:cs="Times New Roman"/>
                <w:color w:val="auto"/>
              </w:rPr>
            </w:pPr>
            <w:r>
              <w:rPr>
                <w:rFonts w:ascii="宋体" w:hAnsi="宋体" w:eastAsia="宋体" w:cs="Times New Roman"/>
                <w:color w:val="auto"/>
              </w:rPr>
              <w:drawing>
                <wp:inline distT="0" distB="0" distL="114300" distR="114300">
                  <wp:extent cx="1243330" cy="1953260"/>
                  <wp:effectExtent l="0" t="0" r="13970" b="8890"/>
                  <wp:docPr id="102" name="图片 9" descr="c23cc577d94d528884bcf6cae39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 descr="c23cc577d94d528884bcf6cae395800"/>
                          <pic:cNvPicPr>
                            <a:picLocks noChangeAspect="1"/>
                          </pic:cNvPicPr>
                        </pic:nvPicPr>
                        <pic:blipFill>
                          <a:blip r:embed="rId66"/>
                          <a:stretch>
                            <a:fillRect/>
                          </a:stretch>
                        </pic:blipFill>
                        <pic:spPr>
                          <a:xfrm>
                            <a:off x="0" y="0"/>
                            <a:ext cx="1243330" cy="1953260"/>
                          </a:xfrm>
                          <a:prstGeom prst="rect">
                            <a:avLst/>
                          </a:prstGeom>
                          <a:noFill/>
                          <a:ln>
                            <a:noFill/>
                          </a:ln>
                        </pic:spPr>
                      </pic:pic>
                    </a:graphicData>
                  </a:graphic>
                </wp:inline>
              </w:drawing>
            </w:r>
          </w:p>
        </w:tc>
      </w:tr>
      <w:tr w14:paraId="41CA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shd w:val="clear" w:color="auto" w:fill="auto"/>
            <w:vAlign w:val="center"/>
          </w:tcPr>
          <w:p w14:paraId="223AB8A5">
            <w:pPr>
              <w:jc w:val="center"/>
              <w:rPr>
                <w:rFonts w:ascii="宋体" w:hAnsi="宋体" w:eastAsia="宋体" w:cs="Times New Roman"/>
                <w:color w:val="auto"/>
              </w:rPr>
            </w:pPr>
            <w:r>
              <w:rPr>
                <w:rFonts w:ascii="宋体" w:hAnsi="宋体" w:eastAsia="宋体" w:cs="Times New Roman"/>
                <w:color w:val="auto"/>
              </w:rPr>
              <w:t>注：应给出带标尺的土壤剖面照片及其景观照片</w:t>
            </w:r>
          </w:p>
        </w:tc>
      </w:tr>
      <w:tr w14:paraId="0A7A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shd w:val="clear" w:color="auto" w:fill="auto"/>
            <w:vAlign w:val="center"/>
          </w:tcPr>
          <w:p w14:paraId="0D36CD99">
            <w:pPr>
              <w:jc w:val="center"/>
              <w:rPr>
                <w:rFonts w:ascii="宋体" w:hAnsi="宋体" w:eastAsia="宋体" w:cs="Times New Roman"/>
                <w:color w:val="auto"/>
              </w:rPr>
            </w:pPr>
            <w:r>
              <w:rPr>
                <w:rFonts w:ascii="宋体" w:hAnsi="宋体" w:eastAsia="宋体" w:cs="Times New Roman"/>
                <w:color w:val="auto"/>
              </w:rPr>
              <w:t>根据土壤分层情况描述土壤的理化特性</w:t>
            </w:r>
          </w:p>
        </w:tc>
      </w:tr>
    </w:tbl>
    <w:p w14:paraId="0C573FD2">
      <w:pPr>
        <w:rPr>
          <w:rFonts w:ascii="宋体" w:hAnsi="宋体" w:eastAsia="宋体" w:cs="Times New Roman"/>
          <w:color w:val="auto"/>
        </w:rPr>
      </w:pPr>
    </w:p>
    <w:p w14:paraId="0A3801CE">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土壤环境质量现状监测</w:t>
      </w:r>
    </w:p>
    <w:p w14:paraId="21A9FD40">
      <w:pPr>
        <w:pStyle w:val="276"/>
        <w:widowControl w:val="0"/>
        <w:ind w:firstLine="480"/>
        <w:jc w:val="both"/>
        <w:rPr>
          <w:color w:val="auto"/>
          <w:kern w:val="21"/>
        </w:rPr>
      </w:pPr>
      <w:r>
        <w:rPr>
          <w:color w:val="auto"/>
          <w:kern w:val="21"/>
        </w:rPr>
        <w:t>（1）采样点布设</w:t>
      </w:r>
    </w:p>
    <w:p w14:paraId="116549AF">
      <w:pPr>
        <w:pStyle w:val="276"/>
        <w:widowControl w:val="0"/>
        <w:ind w:firstLine="480"/>
        <w:jc w:val="both"/>
        <w:rPr>
          <w:color w:val="auto"/>
          <w:kern w:val="21"/>
        </w:rPr>
      </w:pPr>
      <w:r>
        <w:rPr>
          <w:color w:val="auto"/>
          <w:kern w:val="21"/>
        </w:rPr>
        <w:t>本项目土壤环境影响类型属于污染影响型项目，评价等级为一级，确定本项目占地范围内共布设2个表层样监测点，5个柱状样监测点，占地范围外共布设4个表层样点，土壤现状监测点位详见表</w:t>
      </w:r>
      <w:r>
        <w:rPr>
          <w:color w:val="auto"/>
          <w:kern w:val="2"/>
          <w:szCs w:val="20"/>
        </w:rPr>
        <w:t>4.3-</w:t>
      </w:r>
      <w:r>
        <w:rPr>
          <w:rFonts w:hint="eastAsia"/>
          <w:color w:val="auto"/>
          <w:kern w:val="2"/>
          <w:szCs w:val="20"/>
        </w:rPr>
        <w:t>18</w:t>
      </w:r>
      <w:r>
        <w:rPr>
          <w:color w:val="auto"/>
          <w:kern w:val="21"/>
        </w:rPr>
        <w:t>，本项目区域土壤类型分布图见附</w:t>
      </w:r>
      <w:r>
        <w:rPr>
          <w:rFonts w:hint="eastAsia"/>
          <w:color w:val="auto"/>
          <w:kern w:val="21"/>
        </w:rPr>
        <w:t>10</w:t>
      </w:r>
      <w:r>
        <w:rPr>
          <w:color w:val="auto"/>
          <w:kern w:val="21"/>
        </w:rPr>
        <w:t>，监测点位置见附图</w:t>
      </w:r>
      <w:r>
        <w:rPr>
          <w:rFonts w:hint="eastAsia"/>
          <w:color w:val="auto"/>
          <w:kern w:val="21"/>
        </w:rPr>
        <w:t>6</w:t>
      </w:r>
      <w:r>
        <w:rPr>
          <w:color w:val="auto"/>
          <w:kern w:val="21"/>
        </w:rPr>
        <w:t>。</w:t>
      </w:r>
    </w:p>
    <w:p w14:paraId="75C87259">
      <w:pPr>
        <w:pStyle w:val="276"/>
        <w:widowControl w:val="0"/>
        <w:spacing w:line="440" w:lineRule="exact"/>
        <w:ind w:firstLine="0" w:firstLineChars="0"/>
        <w:jc w:val="center"/>
        <w:rPr>
          <w:color w:val="auto"/>
          <w:kern w:val="21"/>
          <w:lang w:bidi="zh-CN"/>
        </w:rPr>
      </w:pPr>
      <w:r>
        <w:rPr>
          <w:color w:val="auto"/>
          <w:kern w:val="21"/>
          <w:lang w:bidi="zh-CN"/>
        </w:rPr>
        <w:t>表</w:t>
      </w:r>
      <w:r>
        <w:rPr>
          <w:color w:val="auto"/>
          <w:kern w:val="2"/>
          <w:szCs w:val="20"/>
        </w:rPr>
        <w:t>4.3-</w:t>
      </w:r>
      <w:r>
        <w:rPr>
          <w:rFonts w:hint="eastAsia"/>
          <w:color w:val="auto"/>
          <w:kern w:val="2"/>
          <w:szCs w:val="20"/>
        </w:rPr>
        <w:t>18</w:t>
      </w:r>
      <w:r>
        <w:rPr>
          <w:color w:val="auto"/>
          <w:kern w:val="21"/>
          <w:lang w:bidi="zh-CN"/>
        </w:rPr>
        <w:t xml:space="preserve"> 土壤现状监测点位</w:t>
      </w:r>
    </w:p>
    <w:tbl>
      <w:tblPr>
        <w:tblStyle w:val="8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1846"/>
        <w:gridCol w:w="1274"/>
        <w:gridCol w:w="1702"/>
        <w:gridCol w:w="850"/>
        <w:gridCol w:w="2827"/>
      </w:tblGrid>
      <w:tr w14:paraId="371EC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25D7ADE1">
            <w:pPr>
              <w:jc w:val="center"/>
              <w:rPr>
                <w:rFonts w:ascii="宋体" w:hAnsi="宋体" w:eastAsia="宋体" w:cs="Times New Roman"/>
                <w:color w:val="auto"/>
              </w:rPr>
            </w:pPr>
            <w:r>
              <w:rPr>
                <w:rFonts w:ascii="宋体" w:hAnsi="宋体" w:eastAsia="宋体" w:cs="Times New Roman"/>
                <w:color w:val="auto"/>
              </w:rPr>
              <w:t>编号</w:t>
            </w:r>
          </w:p>
        </w:tc>
        <w:tc>
          <w:tcPr>
            <w:tcW w:w="1846" w:type="dxa"/>
            <w:vAlign w:val="center"/>
          </w:tcPr>
          <w:p w14:paraId="5E3659CB">
            <w:pPr>
              <w:jc w:val="center"/>
              <w:rPr>
                <w:rFonts w:ascii="宋体" w:hAnsi="宋体" w:eastAsia="宋体" w:cs="Times New Roman"/>
                <w:color w:val="auto"/>
              </w:rPr>
            </w:pPr>
            <w:r>
              <w:rPr>
                <w:rFonts w:ascii="宋体" w:hAnsi="宋体" w:eastAsia="宋体" w:cs="Times New Roman"/>
                <w:color w:val="auto"/>
              </w:rPr>
              <w:t>监测点名称</w:t>
            </w:r>
          </w:p>
        </w:tc>
        <w:tc>
          <w:tcPr>
            <w:tcW w:w="1274" w:type="dxa"/>
            <w:vAlign w:val="center"/>
          </w:tcPr>
          <w:p w14:paraId="661F9E68">
            <w:pPr>
              <w:jc w:val="center"/>
              <w:rPr>
                <w:rFonts w:ascii="宋体" w:hAnsi="宋体" w:eastAsia="宋体" w:cs="Times New Roman"/>
                <w:color w:val="auto"/>
              </w:rPr>
            </w:pPr>
            <w:r>
              <w:rPr>
                <w:rFonts w:ascii="宋体" w:hAnsi="宋体" w:eastAsia="宋体" w:cs="Times New Roman"/>
                <w:color w:val="auto"/>
              </w:rPr>
              <w:t>坐标</w:t>
            </w:r>
            <w:r>
              <w:rPr>
                <w:rFonts w:hint="eastAsia" w:ascii="宋体" w:hAnsi="宋体" w:eastAsia="宋体" w:cs="Times New Roman"/>
                <w:color w:val="auto"/>
              </w:rPr>
              <w:t>/°</w:t>
            </w:r>
          </w:p>
        </w:tc>
        <w:tc>
          <w:tcPr>
            <w:tcW w:w="1702" w:type="dxa"/>
            <w:vAlign w:val="center"/>
          </w:tcPr>
          <w:p w14:paraId="660CD791">
            <w:pPr>
              <w:jc w:val="center"/>
              <w:rPr>
                <w:rFonts w:ascii="宋体" w:hAnsi="宋体" w:eastAsia="宋体" w:cs="Times New Roman"/>
                <w:color w:val="auto"/>
              </w:rPr>
            </w:pPr>
            <w:r>
              <w:rPr>
                <w:rFonts w:ascii="宋体" w:hAnsi="宋体" w:eastAsia="宋体" w:cs="Times New Roman"/>
                <w:color w:val="auto"/>
              </w:rPr>
              <w:t>执行标准</w:t>
            </w:r>
          </w:p>
        </w:tc>
        <w:tc>
          <w:tcPr>
            <w:tcW w:w="850" w:type="dxa"/>
            <w:vAlign w:val="center"/>
          </w:tcPr>
          <w:p w14:paraId="15B6C313">
            <w:pPr>
              <w:jc w:val="center"/>
              <w:rPr>
                <w:rFonts w:ascii="宋体" w:hAnsi="宋体" w:eastAsia="宋体" w:cs="Times New Roman"/>
                <w:color w:val="auto"/>
              </w:rPr>
            </w:pPr>
            <w:r>
              <w:rPr>
                <w:rFonts w:ascii="宋体" w:hAnsi="宋体" w:eastAsia="宋体" w:cs="Times New Roman"/>
                <w:color w:val="auto"/>
              </w:rPr>
              <w:t>土壤类型</w:t>
            </w:r>
          </w:p>
        </w:tc>
        <w:tc>
          <w:tcPr>
            <w:tcW w:w="2827" w:type="dxa"/>
            <w:vAlign w:val="center"/>
          </w:tcPr>
          <w:p w14:paraId="1F666AE0">
            <w:pPr>
              <w:jc w:val="center"/>
              <w:rPr>
                <w:rFonts w:ascii="宋体" w:hAnsi="宋体" w:eastAsia="宋体" w:cs="Times New Roman"/>
                <w:color w:val="auto"/>
              </w:rPr>
            </w:pPr>
            <w:r>
              <w:rPr>
                <w:rFonts w:ascii="宋体" w:hAnsi="宋体" w:eastAsia="宋体" w:cs="Times New Roman"/>
                <w:color w:val="auto"/>
              </w:rPr>
              <w:t>备注</w:t>
            </w:r>
          </w:p>
        </w:tc>
      </w:tr>
      <w:tr w14:paraId="614BE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32778E1A">
            <w:pPr>
              <w:adjustRightInd w:val="0"/>
              <w:snapToGrid w:val="0"/>
              <w:jc w:val="center"/>
              <w:rPr>
                <w:rFonts w:ascii="宋体" w:hAnsi="宋体" w:eastAsia="宋体" w:cs="Times New Roman"/>
                <w:color w:val="auto"/>
              </w:rPr>
            </w:pPr>
            <w:r>
              <w:rPr>
                <w:rFonts w:ascii="宋体" w:hAnsi="宋体" w:eastAsia="宋体" w:cs="Times New Roman"/>
                <w:color w:val="auto"/>
              </w:rPr>
              <w:t>S1</w:t>
            </w:r>
          </w:p>
        </w:tc>
        <w:tc>
          <w:tcPr>
            <w:tcW w:w="1846" w:type="dxa"/>
            <w:vAlign w:val="center"/>
          </w:tcPr>
          <w:p w14:paraId="2F9348C6">
            <w:pPr>
              <w:adjustRightInd w:val="0"/>
              <w:snapToGrid w:val="0"/>
              <w:jc w:val="center"/>
              <w:rPr>
                <w:rFonts w:ascii="宋体" w:hAnsi="宋体" w:eastAsia="宋体" w:cs="Times New Roman"/>
                <w:color w:val="auto"/>
              </w:rPr>
            </w:pPr>
            <w:r>
              <w:rPr>
                <w:rFonts w:hint="eastAsia" w:ascii="宋体" w:hAnsi="宋体" w:eastAsia="宋体" w:cs="Times New Roman"/>
                <w:color w:val="auto"/>
              </w:rPr>
              <w:t>拟建源212-扶平3井场内</w:t>
            </w:r>
          </w:p>
        </w:tc>
        <w:tc>
          <w:tcPr>
            <w:tcW w:w="1274" w:type="dxa"/>
            <w:vAlign w:val="center"/>
          </w:tcPr>
          <w:p w14:paraId="405B98CA">
            <w:pPr>
              <w:adjustRightInd w:val="0"/>
              <w:snapToGrid w:val="0"/>
              <w:jc w:val="center"/>
              <w:rPr>
                <w:rFonts w:ascii="宋体" w:hAnsi="宋体" w:eastAsia="宋体" w:cs="Times New Roman"/>
                <w:color w:val="auto"/>
              </w:rPr>
            </w:pPr>
            <w:r>
              <w:rPr>
                <w:rFonts w:ascii="宋体" w:hAnsi="宋体" w:eastAsia="宋体" w:cs="Times New Roman"/>
                <w:color w:val="auto"/>
              </w:rPr>
              <w:t>125.15330</w:t>
            </w:r>
            <w:r>
              <w:rPr>
                <w:rFonts w:hint="eastAsia" w:ascii="宋体" w:hAnsi="宋体" w:eastAsia="宋体" w:cs="Times New Roman"/>
                <w:color w:val="auto"/>
              </w:rPr>
              <w:t>，</w:t>
            </w:r>
            <w:r>
              <w:rPr>
                <w:rFonts w:ascii="宋体" w:hAnsi="宋体" w:eastAsia="宋体" w:cs="Times New Roman"/>
                <w:color w:val="auto"/>
              </w:rPr>
              <w:t>45.56951</w:t>
            </w:r>
          </w:p>
        </w:tc>
        <w:tc>
          <w:tcPr>
            <w:tcW w:w="1702" w:type="dxa"/>
            <w:vMerge w:val="restart"/>
            <w:vAlign w:val="center"/>
          </w:tcPr>
          <w:p w14:paraId="15015474">
            <w:pPr>
              <w:adjustRightInd w:val="0"/>
              <w:snapToGrid w:val="0"/>
              <w:jc w:val="center"/>
              <w:rPr>
                <w:rFonts w:ascii="宋体" w:hAnsi="宋体" w:eastAsia="宋体" w:cs="Times New Roman"/>
                <w:color w:val="auto"/>
              </w:rPr>
            </w:pPr>
            <w:r>
              <w:rPr>
                <w:rFonts w:ascii="宋体" w:hAnsi="宋体" w:eastAsia="宋体" w:cs="Times New Roman"/>
                <w:color w:val="auto"/>
              </w:rPr>
              <w:t>《土壤环境质量 建设用地土壤污染风险管控标准（试行）》（GB36600-2018）中第二类用地筛选值</w:t>
            </w:r>
          </w:p>
        </w:tc>
        <w:tc>
          <w:tcPr>
            <w:tcW w:w="850" w:type="dxa"/>
            <w:vAlign w:val="center"/>
          </w:tcPr>
          <w:p w14:paraId="6F119C29">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11A0CFAD">
            <w:pPr>
              <w:adjustRightInd w:val="0"/>
              <w:snapToGrid w:val="0"/>
              <w:jc w:val="center"/>
              <w:rPr>
                <w:rFonts w:ascii="宋体" w:hAnsi="宋体" w:eastAsia="宋体" w:cs="Times New Roman"/>
                <w:color w:val="auto"/>
              </w:rPr>
            </w:pPr>
            <w:r>
              <w:rPr>
                <w:rFonts w:ascii="宋体" w:hAnsi="宋体" w:eastAsia="宋体" w:cs="Times New Roman"/>
                <w:color w:val="auto"/>
              </w:rPr>
              <w:t>采取柱状样，在0～0.5m、0.5～1.5m、1.5～3m分别取样</w:t>
            </w:r>
          </w:p>
        </w:tc>
      </w:tr>
      <w:tr w14:paraId="1E674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36E55295">
            <w:pPr>
              <w:adjustRightInd w:val="0"/>
              <w:snapToGrid w:val="0"/>
              <w:jc w:val="center"/>
              <w:rPr>
                <w:rFonts w:ascii="宋体" w:hAnsi="宋体" w:eastAsia="宋体" w:cs="Times New Roman"/>
                <w:color w:val="auto"/>
              </w:rPr>
            </w:pPr>
            <w:r>
              <w:rPr>
                <w:rFonts w:ascii="宋体" w:hAnsi="宋体" w:eastAsia="宋体" w:cs="Times New Roman"/>
                <w:color w:val="auto"/>
              </w:rPr>
              <w:t>S2</w:t>
            </w:r>
          </w:p>
        </w:tc>
        <w:tc>
          <w:tcPr>
            <w:tcW w:w="1846" w:type="dxa"/>
            <w:vAlign w:val="center"/>
          </w:tcPr>
          <w:p w14:paraId="169DE53D">
            <w:pPr>
              <w:adjustRightInd w:val="0"/>
              <w:snapToGrid w:val="0"/>
              <w:jc w:val="center"/>
              <w:rPr>
                <w:rFonts w:ascii="宋体" w:hAnsi="宋体" w:eastAsia="宋体" w:cs="Times New Roman"/>
                <w:color w:val="auto"/>
              </w:rPr>
            </w:pPr>
            <w:r>
              <w:rPr>
                <w:rFonts w:ascii="宋体" w:hAnsi="宋体" w:eastAsia="宋体" w:cs="Times New Roman"/>
                <w:color w:val="auto"/>
              </w:rPr>
              <w:t>拟建源212-扶平4</w:t>
            </w:r>
            <w:r>
              <w:rPr>
                <w:rFonts w:hint="eastAsia" w:ascii="宋体" w:hAnsi="宋体" w:eastAsia="宋体" w:cs="Times New Roman"/>
                <w:color w:val="auto"/>
              </w:rPr>
              <w:t>井场内</w:t>
            </w:r>
          </w:p>
        </w:tc>
        <w:tc>
          <w:tcPr>
            <w:tcW w:w="1274" w:type="dxa"/>
            <w:vAlign w:val="center"/>
          </w:tcPr>
          <w:p w14:paraId="42701719">
            <w:pPr>
              <w:adjustRightInd w:val="0"/>
              <w:snapToGrid w:val="0"/>
              <w:jc w:val="center"/>
              <w:rPr>
                <w:rFonts w:ascii="宋体" w:hAnsi="宋体" w:eastAsia="宋体" w:cs="Times New Roman"/>
                <w:color w:val="auto"/>
              </w:rPr>
            </w:pPr>
            <w:r>
              <w:rPr>
                <w:rFonts w:ascii="宋体" w:hAnsi="宋体" w:eastAsia="宋体" w:cs="Times New Roman"/>
                <w:color w:val="auto"/>
              </w:rPr>
              <w:t>125.16246</w:t>
            </w:r>
            <w:r>
              <w:rPr>
                <w:rFonts w:hint="eastAsia" w:ascii="宋体" w:hAnsi="宋体" w:eastAsia="宋体" w:cs="Times New Roman"/>
                <w:color w:val="auto"/>
              </w:rPr>
              <w:t>，</w:t>
            </w:r>
            <w:r>
              <w:rPr>
                <w:rFonts w:ascii="宋体" w:hAnsi="宋体" w:eastAsia="宋体" w:cs="Times New Roman"/>
                <w:color w:val="auto"/>
              </w:rPr>
              <w:t>45.56705</w:t>
            </w:r>
          </w:p>
        </w:tc>
        <w:tc>
          <w:tcPr>
            <w:tcW w:w="1702" w:type="dxa"/>
            <w:vMerge w:val="continue"/>
            <w:vAlign w:val="center"/>
          </w:tcPr>
          <w:p w14:paraId="6132EDED">
            <w:pPr>
              <w:adjustRightInd w:val="0"/>
              <w:snapToGrid w:val="0"/>
              <w:jc w:val="center"/>
              <w:rPr>
                <w:rFonts w:ascii="宋体" w:hAnsi="宋体" w:eastAsia="宋体" w:cs="Times New Roman"/>
                <w:color w:val="auto"/>
              </w:rPr>
            </w:pPr>
          </w:p>
        </w:tc>
        <w:tc>
          <w:tcPr>
            <w:tcW w:w="850" w:type="dxa"/>
            <w:vAlign w:val="center"/>
          </w:tcPr>
          <w:p w14:paraId="79DE80C0">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67FE35EA">
            <w:pPr>
              <w:adjustRightInd w:val="0"/>
              <w:snapToGrid w:val="0"/>
              <w:jc w:val="center"/>
              <w:rPr>
                <w:rFonts w:ascii="宋体" w:hAnsi="宋体" w:eastAsia="宋体" w:cs="Times New Roman"/>
                <w:color w:val="auto"/>
              </w:rPr>
            </w:pPr>
            <w:r>
              <w:rPr>
                <w:rFonts w:ascii="宋体" w:hAnsi="宋体" w:eastAsia="宋体" w:cs="Times New Roman"/>
                <w:color w:val="auto"/>
              </w:rPr>
              <w:t>采取柱状样，在0～0.5m、0.5～1.5m、1.5～3m分别取样</w:t>
            </w:r>
          </w:p>
        </w:tc>
      </w:tr>
      <w:tr w14:paraId="31D70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7C50F8B8">
            <w:pPr>
              <w:adjustRightInd w:val="0"/>
              <w:snapToGrid w:val="0"/>
              <w:jc w:val="center"/>
              <w:rPr>
                <w:rFonts w:ascii="宋体" w:hAnsi="宋体" w:eastAsia="宋体" w:cs="Times New Roman"/>
                <w:color w:val="auto"/>
              </w:rPr>
            </w:pPr>
            <w:r>
              <w:rPr>
                <w:rFonts w:ascii="宋体" w:hAnsi="宋体" w:eastAsia="宋体" w:cs="Times New Roman"/>
                <w:color w:val="auto"/>
              </w:rPr>
              <w:t>S3</w:t>
            </w:r>
          </w:p>
        </w:tc>
        <w:tc>
          <w:tcPr>
            <w:tcW w:w="1846" w:type="dxa"/>
            <w:vAlign w:val="center"/>
          </w:tcPr>
          <w:p w14:paraId="496297DD">
            <w:pPr>
              <w:adjustRightInd w:val="0"/>
              <w:snapToGrid w:val="0"/>
              <w:jc w:val="center"/>
              <w:rPr>
                <w:rFonts w:ascii="宋体" w:hAnsi="宋体" w:eastAsia="宋体" w:cs="Times New Roman"/>
                <w:color w:val="auto"/>
              </w:rPr>
            </w:pPr>
            <w:r>
              <w:rPr>
                <w:rFonts w:ascii="宋体" w:hAnsi="宋体" w:eastAsia="宋体" w:cs="Times New Roman"/>
                <w:color w:val="auto"/>
              </w:rPr>
              <w:t>拟建</w:t>
            </w:r>
            <w:r>
              <w:rPr>
                <w:rFonts w:hint="eastAsia" w:ascii="宋体" w:hAnsi="宋体" w:eastAsia="宋体" w:cs="Times New Roman"/>
                <w:color w:val="auto"/>
              </w:rPr>
              <w:t>3#平台井场内</w:t>
            </w:r>
          </w:p>
        </w:tc>
        <w:tc>
          <w:tcPr>
            <w:tcW w:w="1274" w:type="dxa"/>
            <w:vAlign w:val="center"/>
          </w:tcPr>
          <w:p w14:paraId="6668DE36">
            <w:pPr>
              <w:adjustRightInd w:val="0"/>
              <w:snapToGrid w:val="0"/>
              <w:jc w:val="center"/>
              <w:rPr>
                <w:rFonts w:ascii="宋体" w:hAnsi="宋体" w:eastAsia="宋体" w:cs="Times New Roman"/>
                <w:color w:val="auto"/>
              </w:rPr>
            </w:pPr>
            <w:r>
              <w:rPr>
                <w:rFonts w:ascii="宋体" w:hAnsi="宋体" w:eastAsia="宋体" w:cs="Times New Roman"/>
                <w:color w:val="auto"/>
                <w:kern w:val="21"/>
              </w:rPr>
              <w:t>125.17320</w:t>
            </w:r>
            <w:r>
              <w:rPr>
                <w:rFonts w:hint="eastAsia" w:ascii="宋体" w:hAnsi="宋体" w:eastAsia="宋体" w:cs="Times New Roman"/>
                <w:color w:val="auto"/>
                <w:kern w:val="21"/>
              </w:rPr>
              <w:t>，</w:t>
            </w:r>
            <w:r>
              <w:rPr>
                <w:rFonts w:ascii="宋体" w:hAnsi="宋体" w:eastAsia="宋体" w:cs="Times New Roman"/>
                <w:color w:val="auto"/>
                <w:kern w:val="21"/>
              </w:rPr>
              <w:t>45.56462</w:t>
            </w:r>
          </w:p>
        </w:tc>
        <w:tc>
          <w:tcPr>
            <w:tcW w:w="1702" w:type="dxa"/>
            <w:vMerge w:val="continue"/>
            <w:vAlign w:val="center"/>
          </w:tcPr>
          <w:p w14:paraId="6021B128">
            <w:pPr>
              <w:adjustRightInd w:val="0"/>
              <w:snapToGrid w:val="0"/>
              <w:jc w:val="center"/>
              <w:rPr>
                <w:rFonts w:ascii="宋体" w:hAnsi="宋体" w:eastAsia="宋体" w:cs="Times New Roman"/>
                <w:color w:val="auto"/>
              </w:rPr>
            </w:pPr>
          </w:p>
        </w:tc>
        <w:tc>
          <w:tcPr>
            <w:tcW w:w="850" w:type="dxa"/>
            <w:vAlign w:val="center"/>
          </w:tcPr>
          <w:p w14:paraId="079628D2">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26A8B93D">
            <w:pPr>
              <w:adjustRightInd w:val="0"/>
              <w:snapToGrid w:val="0"/>
              <w:jc w:val="center"/>
              <w:rPr>
                <w:rFonts w:ascii="宋体" w:hAnsi="宋体" w:eastAsia="宋体" w:cs="Times New Roman"/>
                <w:color w:val="auto"/>
              </w:rPr>
            </w:pPr>
            <w:r>
              <w:rPr>
                <w:rFonts w:ascii="宋体" w:hAnsi="宋体" w:eastAsia="宋体" w:cs="Times New Roman"/>
                <w:color w:val="auto"/>
              </w:rPr>
              <w:t>采取柱状样，在0～0.5m、0.5～1.5m、1.5～3m分别取样</w:t>
            </w:r>
          </w:p>
        </w:tc>
      </w:tr>
      <w:tr w14:paraId="4372B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62" w:type="dxa"/>
            <w:vAlign w:val="center"/>
          </w:tcPr>
          <w:p w14:paraId="225197C9">
            <w:pPr>
              <w:adjustRightInd w:val="0"/>
              <w:snapToGrid w:val="0"/>
              <w:jc w:val="center"/>
              <w:rPr>
                <w:rFonts w:ascii="宋体" w:hAnsi="宋体" w:eastAsia="宋体" w:cs="Times New Roman"/>
                <w:color w:val="auto"/>
              </w:rPr>
            </w:pPr>
            <w:r>
              <w:rPr>
                <w:rFonts w:ascii="宋体" w:hAnsi="宋体" w:eastAsia="宋体" w:cs="Times New Roman"/>
                <w:color w:val="auto"/>
              </w:rPr>
              <w:t>S4</w:t>
            </w:r>
          </w:p>
        </w:tc>
        <w:tc>
          <w:tcPr>
            <w:tcW w:w="1846" w:type="dxa"/>
            <w:vAlign w:val="center"/>
          </w:tcPr>
          <w:p w14:paraId="2F38BD3B">
            <w:pPr>
              <w:adjustRightInd w:val="0"/>
              <w:snapToGrid w:val="0"/>
              <w:jc w:val="center"/>
              <w:rPr>
                <w:rFonts w:ascii="宋体" w:hAnsi="宋体" w:eastAsia="宋体" w:cs="Times New Roman"/>
                <w:color w:val="auto"/>
              </w:rPr>
            </w:pPr>
            <w:r>
              <w:rPr>
                <w:rFonts w:ascii="宋体" w:hAnsi="宋体" w:eastAsia="宋体" w:cs="Times New Roman"/>
                <w:color w:val="auto"/>
              </w:rPr>
              <w:t>拟建源</w:t>
            </w:r>
            <w:r>
              <w:rPr>
                <w:rFonts w:hint="eastAsia" w:ascii="宋体" w:hAnsi="宋体" w:eastAsia="宋体" w:cs="Times New Roman"/>
                <w:color w:val="auto"/>
              </w:rPr>
              <w:t>源1011井场内</w:t>
            </w:r>
          </w:p>
        </w:tc>
        <w:tc>
          <w:tcPr>
            <w:tcW w:w="1274" w:type="dxa"/>
            <w:vAlign w:val="center"/>
          </w:tcPr>
          <w:p w14:paraId="2EC057A7">
            <w:pPr>
              <w:adjustRightInd w:val="0"/>
              <w:snapToGrid w:val="0"/>
              <w:jc w:val="center"/>
              <w:rPr>
                <w:rFonts w:ascii="宋体" w:hAnsi="宋体" w:eastAsia="宋体" w:cs="Times New Roman"/>
                <w:color w:val="auto"/>
              </w:rPr>
            </w:pPr>
            <w:r>
              <w:rPr>
                <w:rFonts w:ascii="宋体" w:hAnsi="宋体" w:eastAsia="宋体" w:cs="Times New Roman"/>
                <w:color w:val="auto"/>
                <w:kern w:val="21"/>
              </w:rPr>
              <w:t>125.04547</w:t>
            </w:r>
            <w:r>
              <w:rPr>
                <w:rFonts w:hint="eastAsia" w:ascii="宋体" w:hAnsi="宋体" w:eastAsia="宋体" w:cs="Times New Roman"/>
                <w:color w:val="auto"/>
                <w:kern w:val="21"/>
              </w:rPr>
              <w:t>，</w:t>
            </w:r>
            <w:r>
              <w:rPr>
                <w:rFonts w:ascii="宋体" w:hAnsi="宋体" w:eastAsia="宋体" w:cs="Times New Roman"/>
                <w:color w:val="auto"/>
                <w:kern w:val="21"/>
              </w:rPr>
              <w:t>45.51232</w:t>
            </w:r>
          </w:p>
        </w:tc>
        <w:tc>
          <w:tcPr>
            <w:tcW w:w="1702" w:type="dxa"/>
            <w:vMerge w:val="continue"/>
            <w:vAlign w:val="center"/>
          </w:tcPr>
          <w:p w14:paraId="23EF65A1">
            <w:pPr>
              <w:adjustRightInd w:val="0"/>
              <w:snapToGrid w:val="0"/>
              <w:jc w:val="center"/>
              <w:rPr>
                <w:rFonts w:ascii="宋体" w:hAnsi="宋体" w:eastAsia="宋体" w:cs="Times New Roman"/>
                <w:color w:val="auto"/>
              </w:rPr>
            </w:pPr>
          </w:p>
        </w:tc>
        <w:tc>
          <w:tcPr>
            <w:tcW w:w="850" w:type="dxa"/>
            <w:vAlign w:val="center"/>
          </w:tcPr>
          <w:p w14:paraId="321AA1AA">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42B8B7DF">
            <w:pPr>
              <w:adjustRightInd w:val="0"/>
              <w:snapToGrid w:val="0"/>
              <w:jc w:val="center"/>
              <w:rPr>
                <w:rFonts w:ascii="宋体" w:hAnsi="宋体" w:eastAsia="宋体" w:cs="Times New Roman"/>
                <w:color w:val="auto"/>
              </w:rPr>
            </w:pPr>
            <w:r>
              <w:rPr>
                <w:rFonts w:ascii="宋体" w:hAnsi="宋体" w:eastAsia="宋体" w:cs="Times New Roman"/>
                <w:color w:val="auto"/>
              </w:rPr>
              <w:t>采取柱状样，在0～0.5m、0.5～1.5m、1.5～3m分别取样</w:t>
            </w:r>
          </w:p>
        </w:tc>
      </w:tr>
      <w:tr w14:paraId="78B7D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2353CA16">
            <w:pPr>
              <w:adjustRightInd w:val="0"/>
              <w:snapToGrid w:val="0"/>
              <w:jc w:val="center"/>
              <w:rPr>
                <w:rFonts w:ascii="宋体" w:hAnsi="宋体" w:eastAsia="宋体" w:cs="Times New Roman"/>
                <w:color w:val="auto"/>
              </w:rPr>
            </w:pPr>
            <w:r>
              <w:rPr>
                <w:rFonts w:ascii="宋体" w:hAnsi="宋体" w:eastAsia="宋体" w:cs="Times New Roman"/>
                <w:color w:val="auto"/>
              </w:rPr>
              <w:t>S5</w:t>
            </w:r>
          </w:p>
        </w:tc>
        <w:tc>
          <w:tcPr>
            <w:tcW w:w="1846" w:type="dxa"/>
            <w:vAlign w:val="center"/>
          </w:tcPr>
          <w:p w14:paraId="607C73AD">
            <w:pPr>
              <w:adjustRightInd w:val="0"/>
              <w:snapToGrid w:val="0"/>
              <w:jc w:val="center"/>
              <w:rPr>
                <w:rFonts w:ascii="宋体" w:hAnsi="宋体" w:eastAsia="宋体" w:cs="Times New Roman"/>
                <w:color w:val="auto"/>
              </w:rPr>
            </w:pPr>
            <w:r>
              <w:rPr>
                <w:rFonts w:ascii="宋体" w:hAnsi="宋体" w:eastAsia="宋体" w:cs="Times New Roman"/>
                <w:color w:val="auto"/>
              </w:rPr>
              <w:t>拟建</w:t>
            </w:r>
            <w:r>
              <w:rPr>
                <w:rFonts w:hint="eastAsia" w:ascii="宋体" w:hAnsi="宋体" w:eastAsia="宋体" w:cs="Times New Roman"/>
                <w:color w:val="auto"/>
              </w:rPr>
              <w:t>源2401井场内</w:t>
            </w:r>
          </w:p>
        </w:tc>
        <w:tc>
          <w:tcPr>
            <w:tcW w:w="1274" w:type="dxa"/>
            <w:vAlign w:val="center"/>
          </w:tcPr>
          <w:p w14:paraId="216E8AD7">
            <w:pPr>
              <w:adjustRightInd w:val="0"/>
              <w:snapToGrid w:val="0"/>
              <w:jc w:val="center"/>
              <w:rPr>
                <w:rFonts w:ascii="宋体" w:hAnsi="宋体" w:eastAsia="宋体" w:cs="Times New Roman"/>
                <w:color w:val="auto"/>
              </w:rPr>
            </w:pPr>
            <w:r>
              <w:rPr>
                <w:rFonts w:ascii="宋体" w:hAnsi="宋体" w:eastAsia="宋体" w:cs="Times New Roman"/>
                <w:color w:val="auto"/>
              </w:rPr>
              <w:t>125.14505</w:t>
            </w:r>
            <w:r>
              <w:rPr>
                <w:rFonts w:hint="eastAsia" w:ascii="宋体" w:hAnsi="宋体" w:eastAsia="宋体" w:cs="Times New Roman"/>
                <w:color w:val="auto"/>
              </w:rPr>
              <w:t>，</w:t>
            </w:r>
            <w:r>
              <w:rPr>
                <w:rFonts w:ascii="宋体" w:hAnsi="宋体" w:eastAsia="宋体" w:cs="Times New Roman"/>
                <w:color w:val="auto"/>
              </w:rPr>
              <w:t>45.53281</w:t>
            </w:r>
          </w:p>
        </w:tc>
        <w:tc>
          <w:tcPr>
            <w:tcW w:w="1702" w:type="dxa"/>
            <w:vMerge w:val="continue"/>
            <w:vAlign w:val="center"/>
          </w:tcPr>
          <w:p w14:paraId="28D12F87">
            <w:pPr>
              <w:adjustRightInd w:val="0"/>
              <w:snapToGrid w:val="0"/>
              <w:jc w:val="center"/>
              <w:rPr>
                <w:rFonts w:ascii="宋体" w:hAnsi="宋体" w:eastAsia="宋体" w:cs="Times New Roman"/>
                <w:color w:val="auto"/>
              </w:rPr>
            </w:pPr>
          </w:p>
        </w:tc>
        <w:tc>
          <w:tcPr>
            <w:tcW w:w="850" w:type="dxa"/>
            <w:vAlign w:val="center"/>
          </w:tcPr>
          <w:p w14:paraId="7C190436">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66C39855">
            <w:pPr>
              <w:adjustRightInd w:val="0"/>
              <w:snapToGrid w:val="0"/>
              <w:jc w:val="center"/>
              <w:rPr>
                <w:rFonts w:ascii="宋体" w:hAnsi="宋体" w:eastAsia="宋体" w:cs="Times New Roman"/>
                <w:color w:val="auto"/>
              </w:rPr>
            </w:pPr>
            <w:r>
              <w:rPr>
                <w:rFonts w:ascii="宋体" w:hAnsi="宋体" w:eastAsia="宋体" w:cs="Times New Roman"/>
                <w:color w:val="auto"/>
              </w:rPr>
              <w:t>采取柱状样，在0～0.5m、0.5～1.5m、1.5～3m分别取样</w:t>
            </w:r>
          </w:p>
        </w:tc>
      </w:tr>
      <w:tr w14:paraId="2286A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3F3A323D">
            <w:pPr>
              <w:adjustRightInd w:val="0"/>
              <w:snapToGrid w:val="0"/>
              <w:jc w:val="center"/>
              <w:rPr>
                <w:rFonts w:ascii="宋体" w:hAnsi="宋体" w:eastAsia="宋体" w:cs="Times New Roman"/>
                <w:color w:val="auto"/>
              </w:rPr>
            </w:pPr>
            <w:r>
              <w:rPr>
                <w:rFonts w:ascii="宋体" w:hAnsi="宋体" w:eastAsia="宋体" w:cs="Times New Roman"/>
                <w:color w:val="auto"/>
              </w:rPr>
              <w:t>S6</w:t>
            </w:r>
          </w:p>
        </w:tc>
        <w:tc>
          <w:tcPr>
            <w:tcW w:w="1846" w:type="dxa"/>
            <w:vAlign w:val="center"/>
          </w:tcPr>
          <w:p w14:paraId="36A62C7F">
            <w:pPr>
              <w:adjustRightInd w:val="0"/>
              <w:snapToGrid w:val="0"/>
              <w:jc w:val="center"/>
              <w:rPr>
                <w:rFonts w:ascii="宋体" w:hAnsi="宋体" w:eastAsia="宋体" w:cs="Times New Roman"/>
                <w:color w:val="auto"/>
              </w:rPr>
            </w:pPr>
            <w:r>
              <w:rPr>
                <w:rFonts w:hint="eastAsia" w:ascii="宋体" w:hAnsi="宋体" w:eastAsia="宋体" w:cs="Times New Roman"/>
                <w:color w:val="auto"/>
              </w:rPr>
              <w:t>拟建源212-扶平4井场内</w:t>
            </w:r>
          </w:p>
        </w:tc>
        <w:tc>
          <w:tcPr>
            <w:tcW w:w="1274" w:type="dxa"/>
            <w:vAlign w:val="center"/>
          </w:tcPr>
          <w:p w14:paraId="2005D1EA">
            <w:pPr>
              <w:adjustRightInd w:val="0"/>
              <w:snapToGrid w:val="0"/>
              <w:jc w:val="center"/>
              <w:rPr>
                <w:rFonts w:ascii="宋体" w:hAnsi="宋体" w:eastAsia="宋体" w:cs="Times New Roman"/>
                <w:color w:val="auto"/>
              </w:rPr>
            </w:pPr>
            <w:r>
              <w:rPr>
                <w:rFonts w:ascii="宋体" w:hAnsi="宋体" w:eastAsia="宋体" w:cs="Times New Roman"/>
                <w:color w:val="auto"/>
              </w:rPr>
              <w:t>125.16246</w:t>
            </w:r>
            <w:r>
              <w:rPr>
                <w:rFonts w:hint="eastAsia" w:ascii="宋体" w:hAnsi="宋体" w:eastAsia="宋体" w:cs="Times New Roman"/>
                <w:color w:val="auto"/>
              </w:rPr>
              <w:t>，</w:t>
            </w:r>
            <w:r>
              <w:rPr>
                <w:rFonts w:ascii="宋体" w:hAnsi="宋体" w:eastAsia="宋体" w:cs="Times New Roman"/>
                <w:color w:val="auto"/>
              </w:rPr>
              <w:t>45.56705</w:t>
            </w:r>
          </w:p>
        </w:tc>
        <w:tc>
          <w:tcPr>
            <w:tcW w:w="1702" w:type="dxa"/>
            <w:vMerge w:val="continue"/>
            <w:vAlign w:val="center"/>
          </w:tcPr>
          <w:p w14:paraId="1A52C651">
            <w:pPr>
              <w:adjustRightInd w:val="0"/>
              <w:snapToGrid w:val="0"/>
              <w:jc w:val="center"/>
              <w:rPr>
                <w:rFonts w:ascii="宋体" w:hAnsi="宋体" w:eastAsia="宋体" w:cs="Times New Roman"/>
                <w:color w:val="auto"/>
              </w:rPr>
            </w:pPr>
          </w:p>
        </w:tc>
        <w:tc>
          <w:tcPr>
            <w:tcW w:w="850" w:type="dxa"/>
            <w:vAlign w:val="center"/>
          </w:tcPr>
          <w:p w14:paraId="748ECFC3">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25C570D7">
            <w:pPr>
              <w:adjustRightInd w:val="0"/>
              <w:snapToGrid w:val="0"/>
              <w:jc w:val="center"/>
              <w:rPr>
                <w:rFonts w:ascii="宋体" w:hAnsi="宋体" w:eastAsia="宋体" w:cs="Times New Roman"/>
                <w:color w:val="auto"/>
              </w:rPr>
            </w:pPr>
            <w:r>
              <w:rPr>
                <w:rFonts w:ascii="宋体" w:hAnsi="宋体" w:eastAsia="宋体" w:cs="Times New Roman"/>
                <w:color w:val="auto"/>
              </w:rPr>
              <w:t>采取表层样，在0～0.2m取样</w:t>
            </w:r>
          </w:p>
        </w:tc>
      </w:tr>
      <w:tr w14:paraId="09791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236CD963">
            <w:pPr>
              <w:adjustRightInd w:val="0"/>
              <w:snapToGrid w:val="0"/>
              <w:jc w:val="center"/>
              <w:rPr>
                <w:rFonts w:ascii="宋体" w:hAnsi="宋体" w:eastAsia="宋体" w:cs="Times New Roman"/>
                <w:color w:val="auto"/>
              </w:rPr>
            </w:pPr>
            <w:r>
              <w:rPr>
                <w:rFonts w:ascii="宋体" w:hAnsi="宋体" w:eastAsia="宋体" w:cs="Times New Roman"/>
                <w:color w:val="auto"/>
              </w:rPr>
              <w:t>S7</w:t>
            </w:r>
          </w:p>
        </w:tc>
        <w:tc>
          <w:tcPr>
            <w:tcW w:w="1846" w:type="dxa"/>
            <w:vAlign w:val="center"/>
          </w:tcPr>
          <w:p w14:paraId="21DC66AF">
            <w:pPr>
              <w:adjustRightInd w:val="0"/>
              <w:snapToGrid w:val="0"/>
              <w:jc w:val="center"/>
              <w:rPr>
                <w:rFonts w:ascii="宋体" w:hAnsi="宋体" w:eastAsia="宋体" w:cs="Times New Roman"/>
                <w:color w:val="auto"/>
              </w:rPr>
            </w:pPr>
            <w:r>
              <w:rPr>
                <w:rFonts w:ascii="宋体" w:hAnsi="宋体" w:eastAsia="宋体" w:cs="Times New Roman"/>
                <w:color w:val="auto"/>
              </w:rPr>
              <w:t>拟建</w:t>
            </w:r>
            <w:r>
              <w:rPr>
                <w:rFonts w:hint="eastAsia" w:ascii="宋体" w:hAnsi="宋体" w:eastAsia="宋体" w:cs="Times New Roman"/>
                <w:color w:val="auto"/>
              </w:rPr>
              <w:t>3#平台井场内</w:t>
            </w:r>
          </w:p>
        </w:tc>
        <w:tc>
          <w:tcPr>
            <w:tcW w:w="1274" w:type="dxa"/>
            <w:vAlign w:val="center"/>
          </w:tcPr>
          <w:p w14:paraId="1F5C1880">
            <w:pPr>
              <w:adjustRightInd w:val="0"/>
              <w:snapToGrid w:val="0"/>
              <w:jc w:val="center"/>
              <w:rPr>
                <w:rFonts w:ascii="宋体" w:hAnsi="宋体" w:eastAsia="宋体" w:cs="Times New Roman"/>
                <w:color w:val="auto"/>
              </w:rPr>
            </w:pPr>
            <w:r>
              <w:rPr>
                <w:rFonts w:ascii="宋体" w:hAnsi="宋体" w:eastAsia="宋体" w:cs="Times New Roman"/>
                <w:color w:val="auto"/>
                <w:kern w:val="21"/>
              </w:rPr>
              <w:t>125.17320</w:t>
            </w:r>
            <w:r>
              <w:rPr>
                <w:rFonts w:hint="eastAsia" w:ascii="宋体" w:hAnsi="宋体" w:eastAsia="宋体" w:cs="Times New Roman"/>
                <w:color w:val="auto"/>
                <w:kern w:val="21"/>
              </w:rPr>
              <w:t>，</w:t>
            </w:r>
            <w:r>
              <w:rPr>
                <w:rFonts w:ascii="宋体" w:hAnsi="宋体" w:eastAsia="宋体" w:cs="Times New Roman"/>
                <w:color w:val="auto"/>
                <w:kern w:val="21"/>
              </w:rPr>
              <w:t>45.56462</w:t>
            </w:r>
          </w:p>
        </w:tc>
        <w:tc>
          <w:tcPr>
            <w:tcW w:w="1702" w:type="dxa"/>
            <w:vMerge w:val="continue"/>
            <w:vAlign w:val="center"/>
          </w:tcPr>
          <w:p w14:paraId="2B24A092">
            <w:pPr>
              <w:adjustRightInd w:val="0"/>
              <w:snapToGrid w:val="0"/>
              <w:jc w:val="center"/>
              <w:rPr>
                <w:rFonts w:ascii="宋体" w:hAnsi="宋体" w:eastAsia="宋体" w:cs="Times New Roman"/>
                <w:color w:val="auto"/>
              </w:rPr>
            </w:pPr>
          </w:p>
        </w:tc>
        <w:tc>
          <w:tcPr>
            <w:tcW w:w="850" w:type="dxa"/>
            <w:vAlign w:val="center"/>
          </w:tcPr>
          <w:p w14:paraId="3730D21D">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66F96A8A">
            <w:pPr>
              <w:adjustRightInd w:val="0"/>
              <w:snapToGrid w:val="0"/>
              <w:jc w:val="center"/>
              <w:rPr>
                <w:rFonts w:ascii="宋体" w:hAnsi="宋体" w:eastAsia="宋体" w:cs="Times New Roman"/>
                <w:color w:val="auto"/>
              </w:rPr>
            </w:pPr>
            <w:r>
              <w:rPr>
                <w:rFonts w:ascii="宋体" w:hAnsi="宋体" w:eastAsia="宋体" w:cs="Times New Roman"/>
                <w:color w:val="auto"/>
              </w:rPr>
              <w:t>采取表层样，在0～0.2m取样</w:t>
            </w:r>
          </w:p>
        </w:tc>
      </w:tr>
      <w:tr w14:paraId="68E55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06B3A246">
            <w:pPr>
              <w:adjustRightInd w:val="0"/>
              <w:snapToGrid w:val="0"/>
              <w:jc w:val="center"/>
              <w:rPr>
                <w:rFonts w:ascii="宋体" w:hAnsi="宋体" w:eastAsia="宋体" w:cs="Times New Roman"/>
                <w:color w:val="auto"/>
              </w:rPr>
            </w:pPr>
            <w:r>
              <w:rPr>
                <w:rFonts w:ascii="宋体" w:hAnsi="宋体" w:eastAsia="宋体" w:cs="Times New Roman"/>
                <w:color w:val="auto"/>
              </w:rPr>
              <w:t>S8</w:t>
            </w:r>
          </w:p>
        </w:tc>
        <w:tc>
          <w:tcPr>
            <w:tcW w:w="1846" w:type="dxa"/>
            <w:vAlign w:val="center"/>
          </w:tcPr>
          <w:p w14:paraId="34651938">
            <w:pPr>
              <w:adjustRightInd w:val="0"/>
              <w:snapToGrid w:val="0"/>
              <w:jc w:val="center"/>
              <w:rPr>
                <w:rFonts w:ascii="宋体" w:hAnsi="宋体" w:eastAsia="宋体" w:cs="Times New Roman"/>
                <w:color w:val="auto"/>
              </w:rPr>
            </w:pPr>
            <w:r>
              <w:rPr>
                <w:rFonts w:ascii="宋体" w:hAnsi="宋体" w:eastAsia="宋体" w:cs="Times New Roman"/>
                <w:color w:val="auto"/>
              </w:rPr>
              <w:t>后欧力马屯</w:t>
            </w:r>
          </w:p>
        </w:tc>
        <w:tc>
          <w:tcPr>
            <w:tcW w:w="1274" w:type="dxa"/>
            <w:vAlign w:val="center"/>
          </w:tcPr>
          <w:p w14:paraId="25853F41">
            <w:pPr>
              <w:adjustRightInd w:val="0"/>
              <w:snapToGrid w:val="0"/>
              <w:jc w:val="center"/>
              <w:rPr>
                <w:rFonts w:ascii="宋体" w:hAnsi="宋体" w:eastAsia="宋体" w:cs="Times New Roman"/>
                <w:color w:val="auto"/>
              </w:rPr>
            </w:pPr>
            <w:r>
              <w:rPr>
                <w:rFonts w:ascii="宋体" w:hAnsi="宋体" w:eastAsia="宋体" w:cs="Times New Roman"/>
                <w:color w:val="auto"/>
                <w:kern w:val="21"/>
              </w:rPr>
              <w:t>125.17038</w:t>
            </w:r>
            <w:r>
              <w:rPr>
                <w:rFonts w:hint="eastAsia" w:ascii="宋体" w:hAnsi="宋体" w:eastAsia="宋体" w:cs="Times New Roman"/>
                <w:color w:val="auto"/>
                <w:kern w:val="21"/>
              </w:rPr>
              <w:t>，</w:t>
            </w:r>
            <w:r>
              <w:rPr>
                <w:rFonts w:ascii="宋体" w:hAnsi="宋体" w:eastAsia="宋体" w:cs="Times New Roman"/>
                <w:color w:val="auto"/>
                <w:kern w:val="21"/>
              </w:rPr>
              <w:t>45.56833</w:t>
            </w:r>
          </w:p>
        </w:tc>
        <w:tc>
          <w:tcPr>
            <w:tcW w:w="1702" w:type="dxa"/>
            <w:tcBorders>
              <w:top w:val="single" w:color="auto" w:sz="4" w:space="0"/>
            </w:tcBorders>
            <w:vAlign w:val="center"/>
          </w:tcPr>
          <w:p w14:paraId="03D86627">
            <w:pPr>
              <w:adjustRightInd w:val="0"/>
              <w:snapToGrid w:val="0"/>
              <w:jc w:val="center"/>
              <w:rPr>
                <w:rFonts w:ascii="宋体" w:hAnsi="宋体" w:eastAsia="宋体" w:cs="Times New Roman"/>
                <w:color w:val="auto"/>
              </w:rPr>
            </w:pPr>
            <w:r>
              <w:rPr>
                <w:rFonts w:ascii="宋体" w:hAnsi="宋体" w:eastAsia="宋体" w:cs="Times New Roman"/>
                <w:color w:val="auto"/>
              </w:rPr>
              <w:t>《土壤环境质量 建设用地土壤污染风险管控标准（试行）》（GB36600-2018）中第一类用地筛选值</w:t>
            </w:r>
          </w:p>
        </w:tc>
        <w:tc>
          <w:tcPr>
            <w:tcW w:w="850" w:type="dxa"/>
            <w:vAlign w:val="center"/>
          </w:tcPr>
          <w:p w14:paraId="1FD388DD">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11363D96">
            <w:pPr>
              <w:adjustRightInd w:val="0"/>
              <w:snapToGrid w:val="0"/>
              <w:jc w:val="center"/>
              <w:rPr>
                <w:rFonts w:ascii="宋体" w:hAnsi="宋体" w:eastAsia="宋体" w:cs="Times New Roman"/>
                <w:color w:val="auto"/>
              </w:rPr>
            </w:pPr>
            <w:r>
              <w:rPr>
                <w:rFonts w:ascii="宋体" w:hAnsi="宋体" w:eastAsia="宋体" w:cs="Times New Roman"/>
                <w:color w:val="auto"/>
              </w:rPr>
              <w:t>采取表层样，在0～0.2m取样</w:t>
            </w:r>
          </w:p>
        </w:tc>
      </w:tr>
      <w:tr w14:paraId="3290B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4190F667">
            <w:pPr>
              <w:adjustRightInd w:val="0"/>
              <w:snapToGrid w:val="0"/>
              <w:jc w:val="center"/>
              <w:rPr>
                <w:rFonts w:ascii="宋体" w:hAnsi="宋体" w:eastAsia="宋体" w:cs="Times New Roman"/>
                <w:color w:val="auto"/>
              </w:rPr>
            </w:pPr>
            <w:r>
              <w:rPr>
                <w:rFonts w:ascii="宋体" w:hAnsi="宋体" w:eastAsia="宋体" w:cs="Times New Roman"/>
                <w:color w:val="auto"/>
              </w:rPr>
              <w:t>S9</w:t>
            </w:r>
          </w:p>
        </w:tc>
        <w:tc>
          <w:tcPr>
            <w:tcW w:w="1846" w:type="dxa"/>
            <w:vAlign w:val="center"/>
          </w:tcPr>
          <w:p w14:paraId="7149AEBF">
            <w:pPr>
              <w:adjustRightInd w:val="0"/>
              <w:snapToGrid w:val="0"/>
              <w:jc w:val="center"/>
              <w:rPr>
                <w:rFonts w:ascii="宋体" w:hAnsi="宋体" w:eastAsia="宋体" w:cs="Times New Roman"/>
                <w:color w:val="auto"/>
              </w:rPr>
            </w:pPr>
            <w:r>
              <w:rPr>
                <w:rFonts w:ascii="宋体" w:hAnsi="宋体" w:eastAsia="宋体" w:cs="Times New Roman"/>
                <w:color w:val="auto"/>
              </w:rPr>
              <w:t>朝二联卸油点</w:t>
            </w:r>
          </w:p>
          <w:p w14:paraId="32C1D3B8">
            <w:pPr>
              <w:adjustRightInd w:val="0"/>
              <w:snapToGrid w:val="0"/>
              <w:jc w:val="center"/>
              <w:rPr>
                <w:rFonts w:ascii="宋体" w:hAnsi="宋体" w:eastAsia="宋体" w:cs="Times New Roman"/>
                <w:color w:val="auto"/>
              </w:rPr>
            </w:pPr>
            <w:r>
              <w:rPr>
                <w:rFonts w:ascii="宋体" w:hAnsi="宋体" w:eastAsia="宋体" w:cs="Times New Roman"/>
                <w:color w:val="auto"/>
              </w:rPr>
              <w:t>北侧100m耕地</w:t>
            </w:r>
          </w:p>
        </w:tc>
        <w:tc>
          <w:tcPr>
            <w:tcW w:w="1274" w:type="dxa"/>
            <w:vAlign w:val="center"/>
          </w:tcPr>
          <w:p w14:paraId="50E3F6E9">
            <w:pPr>
              <w:adjustRightInd w:val="0"/>
              <w:snapToGrid w:val="0"/>
              <w:jc w:val="center"/>
              <w:rPr>
                <w:rFonts w:ascii="宋体" w:hAnsi="宋体" w:eastAsia="宋体" w:cs="Times New Roman"/>
                <w:color w:val="auto"/>
              </w:rPr>
            </w:pPr>
            <w:r>
              <w:rPr>
                <w:rFonts w:ascii="宋体" w:hAnsi="宋体" w:eastAsia="宋体" w:cs="Times New Roman"/>
                <w:color w:val="auto"/>
              </w:rPr>
              <w:t>125.49271</w:t>
            </w:r>
            <w:r>
              <w:rPr>
                <w:rFonts w:hint="eastAsia" w:ascii="宋体" w:hAnsi="宋体" w:eastAsia="宋体" w:cs="Times New Roman"/>
                <w:color w:val="auto"/>
              </w:rPr>
              <w:t>，</w:t>
            </w:r>
            <w:r>
              <w:rPr>
                <w:rFonts w:ascii="宋体" w:hAnsi="宋体" w:eastAsia="宋体" w:cs="Times New Roman"/>
                <w:color w:val="auto"/>
              </w:rPr>
              <w:t>45.63910</w:t>
            </w:r>
          </w:p>
        </w:tc>
        <w:tc>
          <w:tcPr>
            <w:tcW w:w="1702" w:type="dxa"/>
            <w:vMerge w:val="restart"/>
            <w:vAlign w:val="center"/>
          </w:tcPr>
          <w:p w14:paraId="548423E8">
            <w:pPr>
              <w:adjustRightInd w:val="0"/>
              <w:snapToGrid w:val="0"/>
              <w:jc w:val="center"/>
              <w:rPr>
                <w:rFonts w:ascii="宋体" w:hAnsi="宋体" w:eastAsia="宋体" w:cs="Times New Roman"/>
                <w:color w:val="auto"/>
              </w:rPr>
            </w:pPr>
            <w:r>
              <w:rPr>
                <w:rFonts w:ascii="宋体" w:hAnsi="宋体" w:eastAsia="宋体" w:cs="Times New Roman"/>
                <w:color w:val="auto"/>
              </w:rPr>
              <w:t>《土壤环境质量 农用地土壤污染风险管控标准（试行）》（GB 15618-2018）中的筛选值（其他）</w:t>
            </w:r>
          </w:p>
        </w:tc>
        <w:tc>
          <w:tcPr>
            <w:tcW w:w="850" w:type="dxa"/>
            <w:vAlign w:val="center"/>
          </w:tcPr>
          <w:p w14:paraId="6C625E42">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14C70829">
            <w:pPr>
              <w:adjustRightInd w:val="0"/>
              <w:snapToGrid w:val="0"/>
              <w:jc w:val="center"/>
              <w:rPr>
                <w:rFonts w:ascii="宋体" w:hAnsi="宋体" w:eastAsia="宋体" w:cs="Times New Roman"/>
                <w:color w:val="auto"/>
              </w:rPr>
            </w:pPr>
            <w:r>
              <w:rPr>
                <w:rFonts w:ascii="宋体" w:hAnsi="宋体" w:eastAsia="宋体" w:cs="Times New Roman"/>
                <w:color w:val="auto"/>
              </w:rPr>
              <w:t>采取表层样，在0～0.2m取样</w:t>
            </w:r>
          </w:p>
        </w:tc>
      </w:tr>
      <w:tr w14:paraId="03EDE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758455F1">
            <w:pPr>
              <w:adjustRightInd w:val="0"/>
              <w:snapToGrid w:val="0"/>
              <w:jc w:val="center"/>
              <w:rPr>
                <w:rFonts w:ascii="宋体" w:hAnsi="宋体" w:eastAsia="宋体" w:cs="Times New Roman"/>
                <w:color w:val="auto"/>
              </w:rPr>
            </w:pPr>
            <w:r>
              <w:rPr>
                <w:rFonts w:ascii="宋体" w:hAnsi="宋体" w:eastAsia="宋体" w:cs="Times New Roman"/>
                <w:color w:val="auto"/>
              </w:rPr>
              <w:t>S10</w:t>
            </w:r>
          </w:p>
        </w:tc>
        <w:tc>
          <w:tcPr>
            <w:tcW w:w="1846" w:type="dxa"/>
            <w:vAlign w:val="center"/>
          </w:tcPr>
          <w:p w14:paraId="70E1E905">
            <w:pPr>
              <w:adjustRightInd w:val="0"/>
              <w:snapToGrid w:val="0"/>
              <w:jc w:val="center"/>
              <w:rPr>
                <w:rFonts w:ascii="宋体" w:hAnsi="宋体" w:eastAsia="宋体" w:cs="Times New Roman"/>
                <w:color w:val="auto"/>
              </w:rPr>
            </w:pPr>
            <w:r>
              <w:rPr>
                <w:rFonts w:ascii="宋体" w:hAnsi="宋体" w:eastAsia="宋体" w:cs="Times New Roman"/>
                <w:color w:val="auto"/>
              </w:rPr>
              <w:t>拟建源212-扶平3井西侧100m</w:t>
            </w:r>
            <w:r>
              <w:rPr>
                <w:rFonts w:hint="eastAsia" w:ascii="宋体" w:hAnsi="宋体" w:eastAsia="宋体" w:cs="Times New Roman"/>
                <w:color w:val="auto"/>
              </w:rPr>
              <w:t>耕地</w:t>
            </w:r>
          </w:p>
        </w:tc>
        <w:tc>
          <w:tcPr>
            <w:tcW w:w="1274" w:type="dxa"/>
            <w:vAlign w:val="center"/>
          </w:tcPr>
          <w:p w14:paraId="25B5695E">
            <w:pPr>
              <w:adjustRightInd w:val="0"/>
              <w:snapToGrid w:val="0"/>
              <w:jc w:val="center"/>
              <w:rPr>
                <w:rFonts w:ascii="宋体" w:hAnsi="宋体" w:eastAsia="宋体" w:cs="Times New Roman"/>
                <w:color w:val="auto"/>
              </w:rPr>
            </w:pPr>
            <w:r>
              <w:rPr>
                <w:rFonts w:ascii="宋体" w:hAnsi="宋体" w:eastAsia="宋体" w:cs="Times New Roman"/>
                <w:color w:val="auto"/>
              </w:rPr>
              <w:t>125.15164</w:t>
            </w:r>
            <w:r>
              <w:rPr>
                <w:rFonts w:hint="eastAsia" w:ascii="宋体" w:hAnsi="宋体" w:eastAsia="宋体" w:cs="Times New Roman"/>
                <w:color w:val="auto"/>
              </w:rPr>
              <w:t>，</w:t>
            </w:r>
            <w:r>
              <w:rPr>
                <w:rFonts w:ascii="宋体" w:hAnsi="宋体" w:eastAsia="宋体" w:cs="Times New Roman"/>
                <w:color w:val="auto"/>
              </w:rPr>
              <w:t>45.56949</w:t>
            </w:r>
          </w:p>
        </w:tc>
        <w:tc>
          <w:tcPr>
            <w:tcW w:w="1702" w:type="dxa"/>
            <w:vMerge w:val="continue"/>
            <w:vAlign w:val="center"/>
          </w:tcPr>
          <w:p w14:paraId="3B97FB10">
            <w:pPr>
              <w:adjustRightInd w:val="0"/>
              <w:snapToGrid w:val="0"/>
              <w:jc w:val="center"/>
              <w:rPr>
                <w:rFonts w:ascii="宋体" w:hAnsi="宋体" w:eastAsia="宋体" w:cs="Times New Roman"/>
                <w:color w:val="auto"/>
              </w:rPr>
            </w:pPr>
          </w:p>
        </w:tc>
        <w:tc>
          <w:tcPr>
            <w:tcW w:w="850" w:type="dxa"/>
            <w:vAlign w:val="center"/>
          </w:tcPr>
          <w:p w14:paraId="50876C54">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7653B259">
            <w:pPr>
              <w:adjustRightInd w:val="0"/>
              <w:snapToGrid w:val="0"/>
              <w:jc w:val="center"/>
              <w:rPr>
                <w:rFonts w:ascii="宋体" w:hAnsi="宋体" w:eastAsia="宋体" w:cs="Times New Roman"/>
                <w:color w:val="auto"/>
              </w:rPr>
            </w:pPr>
            <w:r>
              <w:rPr>
                <w:rFonts w:ascii="宋体" w:hAnsi="宋体" w:eastAsia="宋体" w:cs="Times New Roman"/>
                <w:color w:val="auto"/>
              </w:rPr>
              <w:t>采取表层样，在0～0.2m取样</w:t>
            </w:r>
          </w:p>
        </w:tc>
      </w:tr>
      <w:tr w14:paraId="75EB4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Align w:val="center"/>
          </w:tcPr>
          <w:p w14:paraId="58AC26BA">
            <w:pPr>
              <w:adjustRightInd w:val="0"/>
              <w:snapToGrid w:val="0"/>
              <w:jc w:val="center"/>
              <w:rPr>
                <w:rFonts w:ascii="宋体" w:hAnsi="宋体" w:eastAsia="宋体" w:cs="Times New Roman"/>
                <w:color w:val="auto"/>
              </w:rPr>
            </w:pPr>
            <w:r>
              <w:rPr>
                <w:rFonts w:ascii="宋体" w:hAnsi="宋体" w:eastAsia="宋体" w:cs="Times New Roman"/>
                <w:color w:val="auto"/>
              </w:rPr>
              <w:t>S11</w:t>
            </w:r>
          </w:p>
        </w:tc>
        <w:tc>
          <w:tcPr>
            <w:tcW w:w="1846" w:type="dxa"/>
            <w:vAlign w:val="center"/>
          </w:tcPr>
          <w:p w14:paraId="5F568157">
            <w:pPr>
              <w:adjustRightInd w:val="0"/>
              <w:snapToGrid w:val="0"/>
              <w:jc w:val="center"/>
              <w:rPr>
                <w:rFonts w:ascii="宋体" w:hAnsi="宋体" w:eastAsia="宋体" w:cs="Times New Roman"/>
                <w:color w:val="auto"/>
              </w:rPr>
            </w:pPr>
            <w:r>
              <w:rPr>
                <w:rFonts w:ascii="宋体" w:hAnsi="宋体" w:eastAsia="宋体" w:cs="Times New Roman"/>
                <w:color w:val="auto"/>
              </w:rPr>
              <w:t>拟建</w:t>
            </w:r>
            <w:r>
              <w:rPr>
                <w:rFonts w:hint="eastAsia" w:ascii="宋体" w:hAnsi="宋体" w:eastAsia="宋体" w:cs="Times New Roman"/>
                <w:color w:val="auto"/>
              </w:rPr>
              <w:t>3#平台井</w:t>
            </w:r>
            <w:r>
              <w:rPr>
                <w:rFonts w:ascii="宋体" w:hAnsi="宋体" w:eastAsia="宋体" w:cs="Times New Roman"/>
                <w:color w:val="auto"/>
              </w:rPr>
              <w:t>北侧100m</w:t>
            </w:r>
            <w:r>
              <w:rPr>
                <w:rFonts w:hint="eastAsia" w:ascii="宋体" w:hAnsi="宋体" w:eastAsia="宋体" w:cs="Times New Roman"/>
                <w:color w:val="auto"/>
              </w:rPr>
              <w:t>耕地</w:t>
            </w:r>
          </w:p>
        </w:tc>
        <w:tc>
          <w:tcPr>
            <w:tcW w:w="1274" w:type="dxa"/>
            <w:vAlign w:val="center"/>
          </w:tcPr>
          <w:p w14:paraId="14ACC34B">
            <w:pPr>
              <w:adjustRightInd w:val="0"/>
              <w:snapToGrid w:val="0"/>
              <w:jc w:val="center"/>
              <w:rPr>
                <w:rFonts w:ascii="宋体" w:hAnsi="宋体" w:eastAsia="宋体" w:cs="Times New Roman"/>
                <w:color w:val="auto"/>
              </w:rPr>
            </w:pPr>
            <w:r>
              <w:rPr>
                <w:rFonts w:ascii="宋体" w:hAnsi="宋体" w:eastAsia="宋体" w:cs="Times New Roman"/>
                <w:color w:val="auto"/>
              </w:rPr>
              <w:t>125.17312</w:t>
            </w:r>
            <w:r>
              <w:rPr>
                <w:rFonts w:hint="eastAsia" w:ascii="宋体" w:hAnsi="宋体" w:eastAsia="宋体" w:cs="Times New Roman"/>
                <w:color w:val="auto"/>
              </w:rPr>
              <w:t>，</w:t>
            </w:r>
            <w:r>
              <w:rPr>
                <w:rFonts w:ascii="宋体" w:hAnsi="宋体" w:eastAsia="宋体" w:cs="Times New Roman"/>
                <w:color w:val="auto"/>
              </w:rPr>
              <w:t>45.56641</w:t>
            </w:r>
          </w:p>
        </w:tc>
        <w:tc>
          <w:tcPr>
            <w:tcW w:w="1702" w:type="dxa"/>
            <w:vMerge w:val="continue"/>
            <w:vAlign w:val="center"/>
          </w:tcPr>
          <w:p w14:paraId="42CCE22C">
            <w:pPr>
              <w:adjustRightInd w:val="0"/>
              <w:snapToGrid w:val="0"/>
              <w:jc w:val="center"/>
              <w:rPr>
                <w:rFonts w:ascii="宋体" w:hAnsi="宋体" w:eastAsia="宋体" w:cs="Times New Roman"/>
                <w:color w:val="auto"/>
              </w:rPr>
            </w:pPr>
          </w:p>
        </w:tc>
        <w:tc>
          <w:tcPr>
            <w:tcW w:w="850" w:type="dxa"/>
            <w:vAlign w:val="center"/>
          </w:tcPr>
          <w:p w14:paraId="490D883A">
            <w:pPr>
              <w:adjustRightInd w:val="0"/>
              <w:snapToGrid w:val="0"/>
              <w:jc w:val="center"/>
              <w:rPr>
                <w:rFonts w:ascii="宋体" w:hAnsi="宋体" w:eastAsia="宋体" w:cs="Times New Roman"/>
                <w:color w:val="auto"/>
              </w:rPr>
            </w:pPr>
            <w:r>
              <w:rPr>
                <w:rFonts w:ascii="宋体" w:hAnsi="宋体" w:eastAsia="宋体" w:cs="Times New Roman"/>
                <w:color w:val="auto"/>
              </w:rPr>
              <w:t>草甸土</w:t>
            </w:r>
          </w:p>
        </w:tc>
        <w:tc>
          <w:tcPr>
            <w:tcW w:w="2827" w:type="dxa"/>
            <w:vAlign w:val="center"/>
          </w:tcPr>
          <w:p w14:paraId="272FF589">
            <w:pPr>
              <w:adjustRightInd w:val="0"/>
              <w:snapToGrid w:val="0"/>
              <w:jc w:val="center"/>
              <w:rPr>
                <w:rFonts w:ascii="宋体" w:hAnsi="宋体" w:eastAsia="宋体" w:cs="Times New Roman"/>
                <w:color w:val="auto"/>
              </w:rPr>
            </w:pPr>
            <w:r>
              <w:rPr>
                <w:rFonts w:ascii="宋体" w:hAnsi="宋体" w:eastAsia="宋体" w:cs="Times New Roman"/>
                <w:color w:val="auto"/>
              </w:rPr>
              <w:t>采取表层样，在0～0.2m取样</w:t>
            </w:r>
          </w:p>
        </w:tc>
      </w:tr>
    </w:tbl>
    <w:p w14:paraId="5D47C4FD">
      <w:pPr>
        <w:pStyle w:val="276"/>
        <w:widowControl w:val="0"/>
        <w:ind w:firstLine="480"/>
        <w:jc w:val="both"/>
        <w:rPr>
          <w:color w:val="auto"/>
          <w:kern w:val="21"/>
        </w:rPr>
      </w:pPr>
      <w:r>
        <w:rPr>
          <w:color w:val="auto"/>
          <w:kern w:val="21"/>
        </w:rPr>
        <w:t>（2）监测项目</w:t>
      </w:r>
    </w:p>
    <w:p w14:paraId="255CF940">
      <w:pPr>
        <w:pStyle w:val="276"/>
        <w:widowControl w:val="0"/>
        <w:ind w:firstLine="480"/>
        <w:jc w:val="both"/>
        <w:rPr>
          <w:color w:val="auto"/>
          <w:kern w:val="21"/>
        </w:rPr>
      </w:pPr>
      <w:r>
        <w:rPr>
          <w:color w:val="auto"/>
          <w:kern w:val="21"/>
        </w:rPr>
        <w:t>S1#～7#点位监测项目：pH、镉、汞、砷、铅、铬（六价）、铜、镍、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color w:val="auto"/>
          <w:kern w:val="21"/>
          <w:vertAlign w:val="subscript"/>
        </w:rPr>
        <w:t>10</w:t>
      </w:r>
      <w:r>
        <w:rPr>
          <w:color w:val="auto"/>
          <w:kern w:val="21"/>
        </w:rPr>
        <w:t>-C</w:t>
      </w:r>
      <w:r>
        <w:rPr>
          <w:color w:val="auto"/>
          <w:kern w:val="21"/>
          <w:vertAlign w:val="subscript"/>
        </w:rPr>
        <w:t>40</w:t>
      </w:r>
      <w:r>
        <w:rPr>
          <w:color w:val="auto"/>
          <w:kern w:val="21"/>
        </w:rPr>
        <w:t>）、石油类、石油烃（C</w:t>
      </w:r>
      <w:r>
        <w:rPr>
          <w:color w:val="auto"/>
          <w:kern w:val="21"/>
          <w:vertAlign w:val="subscript"/>
        </w:rPr>
        <w:t>6</w:t>
      </w:r>
      <w:r>
        <w:rPr>
          <w:color w:val="auto"/>
          <w:kern w:val="21"/>
        </w:rPr>
        <w:t>-C</w:t>
      </w:r>
      <w:r>
        <w:rPr>
          <w:color w:val="auto"/>
          <w:kern w:val="21"/>
          <w:vertAlign w:val="subscript"/>
        </w:rPr>
        <w:t>9</w:t>
      </w:r>
      <w:r>
        <w:rPr>
          <w:color w:val="auto"/>
          <w:kern w:val="21"/>
        </w:rPr>
        <w:t>）、水溶性盐总量，共50项。</w:t>
      </w:r>
    </w:p>
    <w:p w14:paraId="7AD2CFD5">
      <w:pPr>
        <w:pStyle w:val="276"/>
        <w:widowControl w:val="0"/>
        <w:ind w:firstLine="480"/>
        <w:jc w:val="both"/>
        <w:rPr>
          <w:color w:val="auto"/>
          <w:kern w:val="21"/>
        </w:rPr>
      </w:pPr>
      <w:r>
        <w:rPr>
          <w:color w:val="auto"/>
          <w:kern w:val="21"/>
        </w:rPr>
        <w:t>S8#点位监测项目：pH、镉、汞、砷、铅、铬（六价）、铜、镍、石油烃（C</w:t>
      </w:r>
      <w:r>
        <w:rPr>
          <w:color w:val="auto"/>
          <w:kern w:val="21"/>
          <w:vertAlign w:val="subscript"/>
        </w:rPr>
        <w:t>10</w:t>
      </w:r>
      <w:r>
        <w:rPr>
          <w:color w:val="auto"/>
          <w:kern w:val="21"/>
        </w:rPr>
        <w:t>-C</w:t>
      </w:r>
      <w:r>
        <w:rPr>
          <w:color w:val="auto"/>
          <w:kern w:val="21"/>
          <w:vertAlign w:val="subscript"/>
        </w:rPr>
        <w:t>40</w:t>
      </w:r>
      <w:r>
        <w:rPr>
          <w:color w:val="auto"/>
          <w:kern w:val="21"/>
        </w:rPr>
        <w:t>）、石油类、石油烃（C</w:t>
      </w:r>
      <w:r>
        <w:rPr>
          <w:color w:val="auto"/>
          <w:kern w:val="21"/>
          <w:vertAlign w:val="subscript"/>
        </w:rPr>
        <w:t>6</w:t>
      </w:r>
      <w:r>
        <w:rPr>
          <w:color w:val="auto"/>
          <w:kern w:val="21"/>
        </w:rPr>
        <w:t>-C</w:t>
      </w:r>
      <w:r>
        <w:rPr>
          <w:color w:val="auto"/>
          <w:kern w:val="21"/>
          <w:vertAlign w:val="subscript"/>
        </w:rPr>
        <w:t>9</w:t>
      </w:r>
      <w:r>
        <w:rPr>
          <w:color w:val="auto"/>
          <w:kern w:val="21"/>
        </w:rPr>
        <w:t>）、水溶性盐总量，共12项。</w:t>
      </w:r>
    </w:p>
    <w:p w14:paraId="047C1871">
      <w:pPr>
        <w:pStyle w:val="276"/>
        <w:widowControl w:val="0"/>
        <w:ind w:firstLine="480"/>
        <w:jc w:val="both"/>
        <w:rPr>
          <w:color w:val="auto"/>
          <w:kern w:val="21"/>
        </w:rPr>
      </w:pPr>
      <w:r>
        <w:rPr>
          <w:color w:val="auto"/>
          <w:kern w:val="21"/>
        </w:rPr>
        <w:t>S9#～11#点位监测项目：pH、镉、汞、砷、铅、铬、铜、镍、锌、石油烃（C</w:t>
      </w:r>
      <w:r>
        <w:rPr>
          <w:color w:val="auto"/>
          <w:kern w:val="21"/>
          <w:vertAlign w:val="subscript"/>
        </w:rPr>
        <w:t>10</w:t>
      </w:r>
      <w:r>
        <w:rPr>
          <w:color w:val="auto"/>
          <w:kern w:val="21"/>
        </w:rPr>
        <w:t>-C</w:t>
      </w:r>
      <w:r>
        <w:rPr>
          <w:color w:val="auto"/>
          <w:kern w:val="21"/>
          <w:vertAlign w:val="subscript"/>
        </w:rPr>
        <w:t>40</w:t>
      </w:r>
      <w:r>
        <w:rPr>
          <w:color w:val="auto"/>
          <w:kern w:val="21"/>
        </w:rPr>
        <w:t>）、石油类、石油烃（C</w:t>
      </w:r>
      <w:r>
        <w:rPr>
          <w:color w:val="auto"/>
          <w:kern w:val="21"/>
          <w:vertAlign w:val="subscript"/>
        </w:rPr>
        <w:t>6</w:t>
      </w:r>
      <w:r>
        <w:rPr>
          <w:color w:val="auto"/>
          <w:kern w:val="21"/>
        </w:rPr>
        <w:t>-C</w:t>
      </w:r>
      <w:r>
        <w:rPr>
          <w:color w:val="auto"/>
          <w:kern w:val="21"/>
          <w:vertAlign w:val="subscript"/>
        </w:rPr>
        <w:t>9</w:t>
      </w:r>
      <w:r>
        <w:rPr>
          <w:color w:val="auto"/>
          <w:kern w:val="21"/>
        </w:rPr>
        <w:t>）、水溶性盐总量，共13项。</w:t>
      </w:r>
    </w:p>
    <w:p w14:paraId="27C2567B">
      <w:pPr>
        <w:pStyle w:val="276"/>
        <w:widowControl w:val="0"/>
        <w:ind w:firstLine="480"/>
        <w:jc w:val="both"/>
        <w:rPr>
          <w:color w:val="auto"/>
          <w:kern w:val="21"/>
        </w:rPr>
      </w:pPr>
      <w:r>
        <w:rPr>
          <w:color w:val="auto"/>
          <w:kern w:val="21"/>
        </w:rPr>
        <w:t>（3）监测时间</w:t>
      </w:r>
    </w:p>
    <w:p w14:paraId="657C85B2">
      <w:pPr>
        <w:pStyle w:val="276"/>
        <w:widowControl w:val="0"/>
        <w:ind w:firstLine="480"/>
        <w:jc w:val="both"/>
        <w:rPr>
          <w:color w:val="auto"/>
          <w:kern w:val="21"/>
        </w:rPr>
      </w:pPr>
      <w:r>
        <w:rPr>
          <w:color w:val="auto"/>
          <w:kern w:val="21"/>
        </w:rPr>
        <w:t>2025年8月17日</w:t>
      </w:r>
    </w:p>
    <w:p w14:paraId="7521F5C5">
      <w:pPr>
        <w:pStyle w:val="276"/>
        <w:widowControl w:val="0"/>
        <w:ind w:firstLine="480"/>
        <w:jc w:val="both"/>
        <w:rPr>
          <w:color w:val="auto"/>
        </w:rPr>
      </w:pPr>
      <w:r>
        <w:rPr>
          <w:color w:val="auto"/>
          <w:kern w:val="21"/>
        </w:rPr>
        <w:t>（4）</w:t>
      </w:r>
      <w:r>
        <w:rPr>
          <w:color w:val="auto"/>
        </w:rPr>
        <w:t>监测频次</w:t>
      </w:r>
    </w:p>
    <w:p w14:paraId="32DE8D4A">
      <w:pPr>
        <w:pStyle w:val="276"/>
        <w:widowControl w:val="0"/>
        <w:ind w:firstLine="480"/>
        <w:jc w:val="both"/>
        <w:rPr>
          <w:color w:val="auto"/>
        </w:rPr>
      </w:pPr>
      <w:r>
        <w:rPr>
          <w:color w:val="auto"/>
        </w:rPr>
        <w:t>采样1次，分别对各采样土壤进行监测因子全分析。</w:t>
      </w:r>
    </w:p>
    <w:p w14:paraId="1EDF1A24">
      <w:pPr>
        <w:pStyle w:val="276"/>
        <w:widowControl w:val="0"/>
        <w:ind w:firstLine="480"/>
        <w:jc w:val="both"/>
        <w:rPr>
          <w:color w:val="auto"/>
          <w:kern w:val="21"/>
        </w:rPr>
      </w:pPr>
      <w:r>
        <w:rPr>
          <w:color w:val="auto"/>
          <w:kern w:val="21"/>
        </w:rPr>
        <w:t>（5）监测结果</w:t>
      </w:r>
    </w:p>
    <w:p w14:paraId="6FFA8AC7">
      <w:pPr>
        <w:pStyle w:val="276"/>
        <w:widowControl w:val="0"/>
        <w:spacing w:line="440" w:lineRule="exact"/>
        <w:ind w:firstLine="0" w:firstLineChars="0"/>
        <w:jc w:val="center"/>
        <w:rPr>
          <w:color w:val="auto"/>
          <w:kern w:val="21"/>
        </w:rPr>
      </w:pPr>
      <w:r>
        <w:rPr>
          <w:color w:val="auto"/>
          <w:kern w:val="21"/>
          <w:lang w:bidi="zh-CN"/>
        </w:rPr>
        <w:t>表</w:t>
      </w:r>
      <w:r>
        <w:rPr>
          <w:color w:val="auto"/>
          <w:kern w:val="2"/>
          <w:szCs w:val="20"/>
        </w:rPr>
        <w:t>4.3-</w:t>
      </w:r>
      <w:r>
        <w:rPr>
          <w:rFonts w:hint="eastAsia"/>
          <w:color w:val="auto"/>
          <w:kern w:val="2"/>
          <w:szCs w:val="20"/>
        </w:rPr>
        <w:t>19</w:t>
      </w:r>
      <w:r>
        <w:rPr>
          <w:color w:val="auto"/>
          <w:kern w:val="21"/>
          <w:lang w:bidi="zh-CN"/>
        </w:rPr>
        <w:t xml:space="preserve"> </w:t>
      </w:r>
      <w:r>
        <w:rPr>
          <w:color w:val="auto"/>
          <w:kern w:val="21"/>
        </w:rPr>
        <w:t>建设用地土壤环境质量现状监测结果 单位：mg/kg（pH无量纲）</w:t>
      </w:r>
    </w:p>
    <w:tbl>
      <w:tblPr>
        <w:tblStyle w:val="8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83"/>
        <w:gridCol w:w="2012"/>
        <w:gridCol w:w="1124"/>
        <w:gridCol w:w="1130"/>
        <w:gridCol w:w="1129"/>
        <w:gridCol w:w="1133"/>
        <w:gridCol w:w="1133"/>
        <w:gridCol w:w="1134"/>
        <w:gridCol w:w="9"/>
      </w:tblGrid>
      <w:tr w14:paraId="448A5E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Merge w:val="restart"/>
            <w:vAlign w:val="center"/>
          </w:tcPr>
          <w:p w14:paraId="79AADAD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2019" w:type="dxa"/>
            <w:vMerge w:val="restart"/>
            <w:vAlign w:val="center"/>
          </w:tcPr>
          <w:p w14:paraId="2A9B6A1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监测项目</w:t>
            </w:r>
          </w:p>
        </w:tc>
        <w:tc>
          <w:tcPr>
            <w:tcW w:w="6788" w:type="dxa"/>
            <w:gridSpan w:val="7"/>
            <w:vAlign w:val="center"/>
          </w:tcPr>
          <w:p w14:paraId="2742B0EE">
            <w:pPr>
              <w:spacing w:line="360" w:lineRule="exact"/>
              <w:jc w:val="center"/>
              <w:rPr>
                <w:rFonts w:ascii="宋体" w:hAnsi="宋体" w:eastAsia="宋体" w:cs="Times New Roman"/>
                <w:color w:val="auto"/>
              </w:rPr>
            </w:pPr>
            <w:r>
              <w:rPr>
                <w:rFonts w:ascii="宋体" w:hAnsi="宋体" w:eastAsia="宋体" w:cs="Times New Roman"/>
                <w:color w:val="auto"/>
              </w:rPr>
              <w:t>监测点位</w:t>
            </w:r>
          </w:p>
        </w:tc>
      </w:tr>
      <w:tr w14:paraId="4C0A1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Merge w:val="continue"/>
            <w:vAlign w:val="center"/>
          </w:tcPr>
          <w:p w14:paraId="0B580548">
            <w:pPr>
              <w:snapToGrid w:val="0"/>
              <w:spacing w:line="360" w:lineRule="exact"/>
              <w:jc w:val="center"/>
              <w:rPr>
                <w:rFonts w:ascii="宋体" w:hAnsi="宋体" w:eastAsia="宋体" w:cs="Times New Roman"/>
                <w:snapToGrid w:val="0"/>
                <w:color w:val="auto"/>
              </w:rPr>
            </w:pPr>
          </w:p>
        </w:tc>
        <w:tc>
          <w:tcPr>
            <w:tcW w:w="2019" w:type="dxa"/>
            <w:vMerge w:val="continue"/>
            <w:vAlign w:val="center"/>
          </w:tcPr>
          <w:p w14:paraId="4ACF5826">
            <w:pPr>
              <w:snapToGrid w:val="0"/>
              <w:spacing w:line="360" w:lineRule="exact"/>
              <w:jc w:val="center"/>
              <w:rPr>
                <w:rFonts w:ascii="宋体" w:hAnsi="宋体" w:eastAsia="宋体" w:cs="Times New Roman"/>
                <w:snapToGrid w:val="0"/>
                <w:color w:val="auto"/>
              </w:rPr>
            </w:pPr>
          </w:p>
        </w:tc>
        <w:tc>
          <w:tcPr>
            <w:tcW w:w="3383" w:type="dxa"/>
            <w:gridSpan w:val="3"/>
            <w:vAlign w:val="center"/>
          </w:tcPr>
          <w:p w14:paraId="0F757E1A">
            <w:pPr>
              <w:spacing w:line="360" w:lineRule="exact"/>
              <w:jc w:val="center"/>
              <w:rPr>
                <w:rFonts w:ascii="宋体" w:hAnsi="宋体" w:eastAsia="宋体" w:cs="Times New Roman"/>
                <w:color w:val="auto"/>
              </w:rPr>
            </w:pPr>
            <w:r>
              <w:rPr>
                <w:rFonts w:ascii="宋体" w:hAnsi="宋体" w:eastAsia="宋体" w:cs="Times New Roman"/>
                <w:color w:val="auto"/>
              </w:rPr>
              <w:t>S1#</w:t>
            </w:r>
          </w:p>
        </w:tc>
        <w:tc>
          <w:tcPr>
            <w:tcW w:w="3398" w:type="dxa"/>
            <w:gridSpan w:val="3"/>
            <w:vAlign w:val="center"/>
          </w:tcPr>
          <w:p w14:paraId="29736C2F">
            <w:pPr>
              <w:spacing w:line="360" w:lineRule="exact"/>
              <w:jc w:val="center"/>
              <w:rPr>
                <w:rFonts w:ascii="宋体" w:hAnsi="宋体" w:eastAsia="宋体" w:cs="Times New Roman"/>
                <w:color w:val="auto"/>
              </w:rPr>
            </w:pPr>
            <w:r>
              <w:rPr>
                <w:rFonts w:ascii="宋体" w:hAnsi="宋体" w:eastAsia="宋体" w:cs="Times New Roman"/>
                <w:color w:val="auto"/>
              </w:rPr>
              <w:t>S2#</w:t>
            </w:r>
          </w:p>
        </w:tc>
      </w:tr>
      <w:tr w14:paraId="02E370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Merge w:val="continue"/>
            <w:vAlign w:val="center"/>
          </w:tcPr>
          <w:p w14:paraId="3B4186D2">
            <w:pPr>
              <w:snapToGrid w:val="0"/>
              <w:spacing w:line="360" w:lineRule="exact"/>
              <w:jc w:val="center"/>
              <w:rPr>
                <w:rFonts w:ascii="宋体" w:hAnsi="宋体" w:eastAsia="宋体" w:cs="Times New Roman"/>
                <w:snapToGrid w:val="0"/>
                <w:color w:val="auto"/>
              </w:rPr>
            </w:pPr>
          </w:p>
        </w:tc>
        <w:tc>
          <w:tcPr>
            <w:tcW w:w="2019" w:type="dxa"/>
            <w:vMerge w:val="continue"/>
            <w:vAlign w:val="center"/>
          </w:tcPr>
          <w:p w14:paraId="5BDDEA19">
            <w:pPr>
              <w:snapToGrid w:val="0"/>
              <w:spacing w:line="360" w:lineRule="exact"/>
              <w:jc w:val="center"/>
              <w:rPr>
                <w:rFonts w:ascii="宋体" w:hAnsi="宋体" w:eastAsia="宋体" w:cs="Times New Roman"/>
                <w:snapToGrid w:val="0"/>
                <w:color w:val="auto"/>
              </w:rPr>
            </w:pPr>
          </w:p>
        </w:tc>
        <w:tc>
          <w:tcPr>
            <w:tcW w:w="1124" w:type="dxa"/>
            <w:vAlign w:val="center"/>
          </w:tcPr>
          <w:p w14:paraId="6B6AA9AE">
            <w:pPr>
              <w:spacing w:line="360" w:lineRule="exact"/>
              <w:jc w:val="center"/>
              <w:rPr>
                <w:rFonts w:ascii="宋体" w:hAnsi="宋体" w:eastAsia="宋体" w:cs="Times New Roman"/>
                <w:color w:val="auto"/>
              </w:rPr>
            </w:pPr>
            <w:r>
              <w:rPr>
                <w:rFonts w:ascii="宋体" w:hAnsi="宋体" w:eastAsia="宋体" w:cs="Times New Roman"/>
                <w:color w:val="auto"/>
              </w:rPr>
              <w:t>0-0.5m</w:t>
            </w:r>
          </w:p>
        </w:tc>
        <w:tc>
          <w:tcPr>
            <w:tcW w:w="1130" w:type="dxa"/>
            <w:vAlign w:val="center"/>
          </w:tcPr>
          <w:p w14:paraId="75FC67ED">
            <w:pPr>
              <w:spacing w:line="360" w:lineRule="exact"/>
              <w:jc w:val="center"/>
              <w:rPr>
                <w:rFonts w:ascii="宋体" w:hAnsi="宋体" w:eastAsia="宋体" w:cs="Times New Roman"/>
                <w:color w:val="auto"/>
              </w:rPr>
            </w:pPr>
            <w:r>
              <w:rPr>
                <w:rFonts w:ascii="宋体" w:hAnsi="宋体" w:eastAsia="宋体" w:cs="Times New Roman"/>
                <w:color w:val="auto"/>
              </w:rPr>
              <w:t>0.5-1.5m</w:t>
            </w:r>
          </w:p>
        </w:tc>
        <w:tc>
          <w:tcPr>
            <w:tcW w:w="1129" w:type="dxa"/>
            <w:vAlign w:val="center"/>
          </w:tcPr>
          <w:p w14:paraId="6F2BE8B4">
            <w:pPr>
              <w:spacing w:line="360" w:lineRule="exact"/>
              <w:jc w:val="center"/>
              <w:rPr>
                <w:rFonts w:ascii="宋体" w:hAnsi="宋体" w:eastAsia="宋体" w:cs="Times New Roman"/>
                <w:color w:val="auto"/>
              </w:rPr>
            </w:pPr>
            <w:r>
              <w:rPr>
                <w:rFonts w:ascii="宋体" w:hAnsi="宋体" w:eastAsia="宋体" w:cs="Times New Roman"/>
                <w:color w:val="auto"/>
              </w:rPr>
              <w:t>1.5-3m</w:t>
            </w:r>
          </w:p>
        </w:tc>
        <w:tc>
          <w:tcPr>
            <w:tcW w:w="1131" w:type="dxa"/>
            <w:vAlign w:val="center"/>
          </w:tcPr>
          <w:p w14:paraId="028B3A1B">
            <w:pPr>
              <w:spacing w:line="360" w:lineRule="exact"/>
              <w:jc w:val="center"/>
              <w:rPr>
                <w:rFonts w:ascii="宋体" w:hAnsi="宋体" w:eastAsia="宋体" w:cs="Times New Roman"/>
                <w:color w:val="auto"/>
              </w:rPr>
            </w:pPr>
            <w:r>
              <w:rPr>
                <w:rFonts w:ascii="宋体" w:hAnsi="宋体" w:eastAsia="宋体" w:cs="Times New Roman"/>
                <w:color w:val="auto"/>
              </w:rPr>
              <w:t>0-0.5m</w:t>
            </w:r>
          </w:p>
        </w:tc>
        <w:tc>
          <w:tcPr>
            <w:tcW w:w="1133" w:type="dxa"/>
            <w:vAlign w:val="center"/>
          </w:tcPr>
          <w:p w14:paraId="3240C2E6">
            <w:pPr>
              <w:spacing w:line="360" w:lineRule="exact"/>
              <w:jc w:val="center"/>
              <w:rPr>
                <w:rFonts w:ascii="宋体" w:hAnsi="宋体" w:eastAsia="宋体" w:cs="Times New Roman"/>
                <w:color w:val="auto"/>
              </w:rPr>
            </w:pPr>
            <w:r>
              <w:rPr>
                <w:rFonts w:ascii="宋体" w:hAnsi="宋体" w:eastAsia="宋体" w:cs="Times New Roman"/>
                <w:color w:val="auto"/>
              </w:rPr>
              <w:t>0.5-1.5m</w:t>
            </w:r>
          </w:p>
        </w:tc>
        <w:tc>
          <w:tcPr>
            <w:tcW w:w="1134" w:type="dxa"/>
            <w:vAlign w:val="center"/>
          </w:tcPr>
          <w:p w14:paraId="7981C805">
            <w:pPr>
              <w:spacing w:line="360" w:lineRule="exact"/>
              <w:jc w:val="center"/>
              <w:rPr>
                <w:rFonts w:ascii="宋体" w:hAnsi="宋体" w:eastAsia="宋体" w:cs="Times New Roman"/>
                <w:color w:val="auto"/>
              </w:rPr>
            </w:pPr>
            <w:r>
              <w:rPr>
                <w:rFonts w:ascii="宋体" w:hAnsi="宋体" w:eastAsia="宋体" w:cs="Times New Roman"/>
                <w:color w:val="auto"/>
              </w:rPr>
              <w:t>1.5-3m</w:t>
            </w:r>
          </w:p>
        </w:tc>
      </w:tr>
      <w:tr w14:paraId="1AFB6D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6A53AB6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2019" w:type="dxa"/>
            <w:vAlign w:val="center"/>
          </w:tcPr>
          <w:p w14:paraId="26E2FFE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pH</w:t>
            </w:r>
          </w:p>
        </w:tc>
        <w:tc>
          <w:tcPr>
            <w:tcW w:w="1124" w:type="dxa"/>
            <w:vAlign w:val="center"/>
          </w:tcPr>
          <w:p w14:paraId="6D7F68C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7.79</w:t>
            </w:r>
          </w:p>
        </w:tc>
        <w:tc>
          <w:tcPr>
            <w:tcW w:w="1130" w:type="dxa"/>
            <w:vAlign w:val="center"/>
          </w:tcPr>
          <w:p w14:paraId="4BE4694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8.08</w:t>
            </w:r>
          </w:p>
        </w:tc>
        <w:tc>
          <w:tcPr>
            <w:tcW w:w="1129" w:type="dxa"/>
            <w:vAlign w:val="center"/>
          </w:tcPr>
          <w:p w14:paraId="14A866F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7.95</w:t>
            </w:r>
          </w:p>
        </w:tc>
        <w:tc>
          <w:tcPr>
            <w:tcW w:w="1131" w:type="dxa"/>
            <w:vAlign w:val="center"/>
          </w:tcPr>
          <w:p w14:paraId="1B821FB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7.79</w:t>
            </w:r>
          </w:p>
        </w:tc>
        <w:tc>
          <w:tcPr>
            <w:tcW w:w="1133" w:type="dxa"/>
            <w:vAlign w:val="center"/>
          </w:tcPr>
          <w:p w14:paraId="6A06919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8.08</w:t>
            </w:r>
          </w:p>
        </w:tc>
        <w:tc>
          <w:tcPr>
            <w:tcW w:w="1134" w:type="dxa"/>
            <w:vAlign w:val="center"/>
          </w:tcPr>
          <w:p w14:paraId="190CCC0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7.95</w:t>
            </w:r>
          </w:p>
        </w:tc>
      </w:tr>
      <w:tr w14:paraId="4ADAFF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3AAD3BD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2019" w:type="dxa"/>
            <w:vAlign w:val="center"/>
          </w:tcPr>
          <w:p w14:paraId="22DE1EBF">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镉（Cd）</w:t>
            </w:r>
          </w:p>
        </w:tc>
        <w:tc>
          <w:tcPr>
            <w:tcW w:w="1124" w:type="dxa"/>
            <w:vAlign w:val="center"/>
          </w:tcPr>
          <w:p w14:paraId="3E4E453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0.11</w:t>
            </w:r>
          </w:p>
        </w:tc>
        <w:tc>
          <w:tcPr>
            <w:tcW w:w="1130" w:type="dxa"/>
            <w:vAlign w:val="center"/>
          </w:tcPr>
          <w:p w14:paraId="5BC2929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0.07</w:t>
            </w:r>
          </w:p>
        </w:tc>
        <w:tc>
          <w:tcPr>
            <w:tcW w:w="1129" w:type="dxa"/>
            <w:vAlign w:val="center"/>
          </w:tcPr>
          <w:p w14:paraId="527F9B5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0.09</w:t>
            </w:r>
          </w:p>
        </w:tc>
        <w:tc>
          <w:tcPr>
            <w:tcW w:w="1131" w:type="dxa"/>
            <w:vAlign w:val="center"/>
          </w:tcPr>
          <w:p w14:paraId="0477B16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0.11</w:t>
            </w:r>
          </w:p>
        </w:tc>
        <w:tc>
          <w:tcPr>
            <w:tcW w:w="1133" w:type="dxa"/>
            <w:vAlign w:val="center"/>
          </w:tcPr>
          <w:p w14:paraId="7EDC760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0.07</w:t>
            </w:r>
          </w:p>
        </w:tc>
        <w:tc>
          <w:tcPr>
            <w:tcW w:w="1134" w:type="dxa"/>
            <w:vAlign w:val="center"/>
          </w:tcPr>
          <w:p w14:paraId="6AA8052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0.09</w:t>
            </w:r>
          </w:p>
        </w:tc>
      </w:tr>
      <w:tr w14:paraId="591239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4E845EB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2019" w:type="dxa"/>
            <w:vAlign w:val="center"/>
          </w:tcPr>
          <w:p w14:paraId="473285F2">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汞（Hg）</w:t>
            </w:r>
          </w:p>
        </w:tc>
        <w:tc>
          <w:tcPr>
            <w:tcW w:w="1124" w:type="dxa"/>
            <w:vAlign w:val="center"/>
          </w:tcPr>
          <w:p w14:paraId="78496B3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0.018</w:t>
            </w:r>
          </w:p>
        </w:tc>
        <w:tc>
          <w:tcPr>
            <w:tcW w:w="1130" w:type="dxa"/>
            <w:vAlign w:val="center"/>
          </w:tcPr>
          <w:p w14:paraId="33A399D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0.023</w:t>
            </w:r>
          </w:p>
        </w:tc>
        <w:tc>
          <w:tcPr>
            <w:tcW w:w="1129" w:type="dxa"/>
            <w:vAlign w:val="center"/>
          </w:tcPr>
          <w:p w14:paraId="26528EA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0.016</w:t>
            </w:r>
          </w:p>
        </w:tc>
        <w:tc>
          <w:tcPr>
            <w:tcW w:w="1131" w:type="dxa"/>
            <w:vAlign w:val="center"/>
          </w:tcPr>
          <w:p w14:paraId="483653B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0.018</w:t>
            </w:r>
          </w:p>
        </w:tc>
        <w:tc>
          <w:tcPr>
            <w:tcW w:w="1133" w:type="dxa"/>
            <w:vAlign w:val="center"/>
          </w:tcPr>
          <w:p w14:paraId="673640C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0.023</w:t>
            </w:r>
          </w:p>
        </w:tc>
        <w:tc>
          <w:tcPr>
            <w:tcW w:w="1134" w:type="dxa"/>
            <w:vAlign w:val="center"/>
          </w:tcPr>
          <w:p w14:paraId="2761414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0.016</w:t>
            </w:r>
          </w:p>
        </w:tc>
      </w:tr>
      <w:tr w14:paraId="428967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2B2955C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2019" w:type="dxa"/>
            <w:vAlign w:val="center"/>
          </w:tcPr>
          <w:p w14:paraId="6BCBD375">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砷（As）</w:t>
            </w:r>
          </w:p>
        </w:tc>
        <w:tc>
          <w:tcPr>
            <w:tcW w:w="1124" w:type="dxa"/>
            <w:vAlign w:val="center"/>
          </w:tcPr>
          <w:p w14:paraId="057C237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3.25</w:t>
            </w:r>
          </w:p>
        </w:tc>
        <w:tc>
          <w:tcPr>
            <w:tcW w:w="1130" w:type="dxa"/>
            <w:vAlign w:val="center"/>
          </w:tcPr>
          <w:p w14:paraId="066A798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3.31</w:t>
            </w:r>
          </w:p>
        </w:tc>
        <w:tc>
          <w:tcPr>
            <w:tcW w:w="1129" w:type="dxa"/>
            <w:vAlign w:val="center"/>
          </w:tcPr>
          <w:p w14:paraId="3DC436C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3.42</w:t>
            </w:r>
          </w:p>
        </w:tc>
        <w:tc>
          <w:tcPr>
            <w:tcW w:w="1131" w:type="dxa"/>
            <w:vAlign w:val="center"/>
          </w:tcPr>
          <w:p w14:paraId="2B77811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3.25</w:t>
            </w:r>
          </w:p>
        </w:tc>
        <w:tc>
          <w:tcPr>
            <w:tcW w:w="1133" w:type="dxa"/>
            <w:vAlign w:val="center"/>
          </w:tcPr>
          <w:p w14:paraId="229FF35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3.31</w:t>
            </w:r>
          </w:p>
        </w:tc>
        <w:tc>
          <w:tcPr>
            <w:tcW w:w="1134" w:type="dxa"/>
            <w:vAlign w:val="center"/>
          </w:tcPr>
          <w:p w14:paraId="6D4671D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3.42</w:t>
            </w:r>
          </w:p>
        </w:tc>
      </w:tr>
      <w:tr w14:paraId="2CDBD9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2C5DD7F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2019" w:type="dxa"/>
            <w:vAlign w:val="center"/>
          </w:tcPr>
          <w:p w14:paraId="2731EBF4">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铅（Pb）</w:t>
            </w:r>
          </w:p>
        </w:tc>
        <w:tc>
          <w:tcPr>
            <w:tcW w:w="1124" w:type="dxa"/>
            <w:vAlign w:val="center"/>
          </w:tcPr>
          <w:p w14:paraId="4135BA5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18</w:t>
            </w:r>
          </w:p>
        </w:tc>
        <w:tc>
          <w:tcPr>
            <w:tcW w:w="1130" w:type="dxa"/>
            <w:vAlign w:val="center"/>
          </w:tcPr>
          <w:p w14:paraId="453A9F7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20</w:t>
            </w:r>
          </w:p>
        </w:tc>
        <w:tc>
          <w:tcPr>
            <w:tcW w:w="1129" w:type="dxa"/>
            <w:vAlign w:val="center"/>
          </w:tcPr>
          <w:p w14:paraId="7504FF8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19</w:t>
            </w:r>
          </w:p>
        </w:tc>
        <w:tc>
          <w:tcPr>
            <w:tcW w:w="1131" w:type="dxa"/>
            <w:vAlign w:val="center"/>
          </w:tcPr>
          <w:p w14:paraId="5BCBFA0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18</w:t>
            </w:r>
          </w:p>
        </w:tc>
        <w:tc>
          <w:tcPr>
            <w:tcW w:w="1133" w:type="dxa"/>
            <w:vAlign w:val="center"/>
          </w:tcPr>
          <w:p w14:paraId="3B4458B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20</w:t>
            </w:r>
          </w:p>
        </w:tc>
        <w:tc>
          <w:tcPr>
            <w:tcW w:w="1134" w:type="dxa"/>
            <w:vAlign w:val="center"/>
          </w:tcPr>
          <w:p w14:paraId="480CC48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19</w:t>
            </w:r>
          </w:p>
        </w:tc>
      </w:tr>
      <w:tr w14:paraId="5605AC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0940D77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2019" w:type="dxa"/>
            <w:vAlign w:val="center"/>
          </w:tcPr>
          <w:p w14:paraId="17959E5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铬（六价）</w:t>
            </w:r>
          </w:p>
        </w:tc>
        <w:tc>
          <w:tcPr>
            <w:tcW w:w="1124" w:type="dxa"/>
            <w:vAlign w:val="center"/>
          </w:tcPr>
          <w:p w14:paraId="61E8EB8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0" w:type="dxa"/>
            <w:vAlign w:val="center"/>
          </w:tcPr>
          <w:p w14:paraId="3F9FF45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29" w:type="dxa"/>
            <w:vAlign w:val="center"/>
          </w:tcPr>
          <w:p w14:paraId="766E12E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1" w:type="dxa"/>
            <w:vAlign w:val="center"/>
          </w:tcPr>
          <w:p w14:paraId="77D7616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1CC0D5F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4" w:type="dxa"/>
            <w:vAlign w:val="center"/>
          </w:tcPr>
          <w:p w14:paraId="2CDDDA1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r w14:paraId="2EDC53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32AD2C8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2019" w:type="dxa"/>
            <w:vAlign w:val="center"/>
          </w:tcPr>
          <w:p w14:paraId="3891E965">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铜（Cu）</w:t>
            </w:r>
          </w:p>
        </w:tc>
        <w:tc>
          <w:tcPr>
            <w:tcW w:w="1124" w:type="dxa"/>
            <w:vAlign w:val="center"/>
          </w:tcPr>
          <w:p w14:paraId="50B3A3E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1130" w:type="dxa"/>
            <w:vAlign w:val="center"/>
          </w:tcPr>
          <w:p w14:paraId="16A4ABF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17</w:t>
            </w:r>
          </w:p>
        </w:tc>
        <w:tc>
          <w:tcPr>
            <w:tcW w:w="1129" w:type="dxa"/>
            <w:vAlign w:val="center"/>
          </w:tcPr>
          <w:p w14:paraId="4665052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1131" w:type="dxa"/>
            <w:vAlign w:val="center"/>
          </w:tcPr>
          <w:p w14:paraId="2C83A9B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1133" w:type="dxa"/>
            <w:vAlign w:val="center"/>
          </w:tcPr>
          <w:p w14:paraId="5213D28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17</w:t>
            </w:r>
          </w:p>
        </w:tc>
        <w:tc>
          <w:tcPr>
            <w:tcW w:w="1134" w:type="dxa"/>
            <w:vAlign w:val="center"/>
          </w:tcPr>
          <w:p w14:paraId="5D80BCE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r>
      <w:tr w14:paraId="38A938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557B031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w:t>
            </w:r>
          </w:p>
        </w:tc>
        <w:tc>
          <w:tcPr>
            <w:tcW w:w="2019" w:type="dxa"/>
            <w:vAlign w:val="center"/>
          </w:tcPr>
          <w:p w14:paraId="6B32D47C">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镍（Ni）</w:t>
            </w:r>
          </w:p>
        </w:tc>
        <w:tc>
          <w:tcPr>
            <w:tcW w:w="1124" w:type="dxa"/>
            <w:vAlign w:val="center"/>
          </w:tcPr>
          <w:p w14:paraId="180E834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25</w:t>
            </w:r>
          </w:p>
        </w:tc>
        <w:tc>
          <w:tcPr>
            <w:tcW w:w="1130" w:type="dxa"/>
            <w:vAlign w:val="center"/>
          </w:tcPr>
          <w:p w14:paraId="7FCFC3F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21</w:t>
            </w:r>
          </w:p>
        </w:tc>
        <w:tc>
          <w:tcPr>
            <w:tcW w:w="1129" w:type="dxa"/>
            <w:vAlign w:val="center"/>
          </w:tcPr>
          <w:p w14:paraId="609DADE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23</w:t>
            </w:r>
          </w:p>
        </w:tc>
        <w:tc>
          <w:tcPr>
            <w:tcW w:w="1131" w:type="dxa"/>
            <w:vAlign w:val="center"/>
          </w:tcPr>
          <w:p w14:paraId="1C25426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25</w:t>
            </w:r>
          </w:p>
        </w:tc>
        <w:tc>
          <w:tcPr>
            <w:tcW w:w="1133" w:type="dxa"/>
            <w:vAlign w:val="center"/>
          </w:tcPr>
          <w:p w14:paraId="5C700CF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21</w:t>
            </w:r>
          </w:p>
        </w:tc>
        <w:tc>
          <w:tcPr>
            <w:tcW w:w="1134" w:type="dxa"/>
            <w:vAlign w:val="center"/>
          </w:tcPr>
          <w:p w14:paraId="51AEC43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23</w:t>
            </w:r>
          </w:p>
        </w:tc>
      </w:tr>
      <w:tr w14:paraId="138292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4EE7C43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9</w:t>
            </w:r>
          </w:p>
        </w:tc>
        <w:tc>
          <w:tcPr>
            <w:tcW w:w="2019" w:type="dxa"/>
            <w:vAlign w:val="center"/>
          </w:tcPr>
          <w:p w14:paraId="2C600292">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水溶性盐总量</w:t>
            </w:r>
          </w:p>
        </w:tc>
        <w:tc>
          <w:tcPr>
            <w:tcW w:w="1124" w:type="dxa"/>
            <w:vAlign w:val="center"/>
          </w:tcPr>
          <w:p w14:paraId="7A4F6D8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600</w:t>
            </w:r>
          </w:p>
        </w:tc>
        <w:tc>
          <w:tcPr>
            <w:tcW w:w="1130" w:type="dxa"/>
            <w:vAlign w:val="center"/>
          </w:tcPr>
          <w:p w14:paraId="5429FA1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800</w:t>
            </w:r>
          </w:p>
        </w:tc>
        <w:tc>
          <w:tcPr>
            <w:tcW w:w="1129" w:type="dxa"/>
            <w:vAlign w:val="center"/>
          </w:tcPr>
          <w:p w14:paraId="696BE53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700</w:t>
            </w:r>
          </w:p>
        </w:tc>
        <w:tc>
          <w:tcPr>
            <w:tcW w:w="1131" w:type="dxa"/>
            <w:vAlign w:val="center"/>
          </w:tcPr>
          <w:p w14:paraId="6B46981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600</w:t>
            </w:r>
          </w:p>
        </w:tc>
        <w:tc>
          <w:tcPr>
            <w:tcW w:w="1133" w:type="dxa"/>
            <w:vAlign w:val="center"/>
          </w:tcPr>
          <w:p w14:paraId="0E46CF3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800</w:t>
            </w:r>
          </w:p>
        </w:tc>
        <w:tc>
          <w:tcPr>
            <w:tcW w:w="1134" w:type="dxa"/>
            <w:vAlign w:val="center"/>
          </w:tcPr>
          <w:p w14:paraId="4D88C88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700</w:t>
            </w:r>
          </w:p>
        </w:tc>
      </w:tr>
      <w:tr w14:paraId="3C7D66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134C6A4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2019" w:type="dxa"/>
            <w:vAlign w:val="center"/>
          </w:tcPr>
          <w:p w14:paraId="759675F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石油类</w:t>
            </w:r>
          </w:p>
        </w:tc>
        <w:tc>
          <w:tcPr>
            <w:tcW w:w="1124" w:type="dxa"/>
            <w:vAlign w:val="center"/>
          </w:tcPr>
          <w:p w14:paraId="28378F5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130" w:type="dxa"/>
            <w:vAlign w:val="center"/>
          </w:tcPr>
          <w:p w14:paraId="7681FE8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13</w:t>
            </w:r>
          </w:p>
        </w:tc>
        <w:tc>
          <w:tcPr>
            <w:tcW w:w="1129" w:type="dxa"/>
            <w:vAlign w:val="center"/>
          </w:tcPr>
          <w:p w14:paraId="740D59C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1131" w:type="dxa"/>
            <w:vAlign w:val="center"/>
          </w:tcPr>
          <w:p w14:paraId="3F3AFD7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133" w:type="dxa"/>
            <w:vAlign w:val="center"/>
          </w:tcPr>
          <w:p w14:paraId="551B9387">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13</w:t>
            </w:r>
          </w:p>
        </w:tc>
        <w:tc>
          <w:tcPr>
            <w:tcW w:w="1134" w:type="dxa"/>
            <w:vAlign w:val="center"/>
          </w:tcPr>
          <w:p w14:paraId="1DF78A3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12</w:t>
            </w:r>
          </w:p>
        </w:tc>
      </w:tr>
      <w:tr w14:paraId="72E798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31C1AC7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2019" w:type="dxa"/>
            <w:vAlign w:val="center"/>
          </w:tcPr>
          <w:p w14:paraId="6E010DB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w:t>
            </w:r>
          </w:p>
        </w:tc>
        <w:tc>
          <w:tcPr>
            <w:tcW w:w="1124" w:type="dxa"/>
            <w:vAlign w:val="center"/>
          </w:tcPr>
          <w:p w14:paraId="39790FA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0" w:type="dxa"/>
            <w:vAlign w:val="center"/>
          </w:tcPr>
          <w:p w14:paraId="745B888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29" w:type="dxa"/>
            <w:vAlign w:val="center"/>
          </w:tcPr>
          <w:p w14:paraId="7690DE8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1" w:type="dxa"/>
            <w:vAlign w:val="center"/>
          </w:tcPr>
          <w:p w14:paraId="2EB6ED3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3AB6312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4" w:type="dxa"/>
            <w:vAlign w:val="center"/>
          </w:tcPr>
          <w:p w14:paraId="7A88F33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r w14:paraId="70817C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39DE4BF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2019" w:type="dxa"/>
            <w:vAlign w:val="center"/>
          </w:tcPr>
          <w:p w14:paraId="2014111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w:t>
            </w:r>
          </w:p>
        </w:tc>
        <w:tc>
          <w:tcPr>
            <w:tcW w:w="1124" w:type="dxa"/>
            <w:vAlign w:val="center"/>
          </w:tcPr>
          <w:p w14:paraId="3CDFEC6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0" w:type="dxa"/>
            <w:vAlign w:val="center"/>
          </w:tcPr>
          <w:p w14:paraId="757D17D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29" w:type="dxa"/>
            <w:vAlign w:val="center"/>
          </w:tcPr>
          <w:p w14:paraId="5B08669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1" w:type="dxa"/>
            <w:vAlign w:val="center"/>
          </w:tcPr>
          <w:p w14:paraId="6C53FCB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6D1357E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4" w:type="dxa"/>
            <w:vAlign w:val="center"/>
          </w:tcPr>
          <w:p w14:paraId="1A209F0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r w14:paraId="6BA6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Merge w:val="restart"/>
            <w:vAlign w:val="center"/>
          </w:tcPr>
          <w:p w14:paraId="3283B46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2019" w:type="dxa"/>
            <w:vMerge w:val="restart"/>
            <w:vAlign w:val="center"/>
          </w:tcPr>
          <w:p w14:paraId="01AC0F0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监测项目</w:t>
            </w:r>
          </w:p>
        </w:tc>
        <w:tc>
          <w:tcPr>
            <w:tcW w:w="6781" w:type="dxa"/>
            <w:gridSpan w:val="6"/>
            <w:vAlign w:val="center"/>
          </w:tcPr>
          <w:p w14:paraId="40C89FC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监测点位</w:t>
            </w:r>
          </w:p>
        </w:tc>
      </w:tr>
      <w:tr w14:paraId="1CB424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Merge w:val="continue"/>
            <w:vAlign w:val="center"/>
          </w:tcPr>
          <w:p w14:paraId="75B898A6">
            <w:pPr>
              <w:snapToGrid w:val="0"/>
              <w:spacing w:line="360" w:lineRule="exact"/>
              <w:jc w:val="center"/>
              <w:rPr>
                <w:rFonts w:ascii="宋体" w:hAnsi="宋体" w:eastAsia="宋体" w:cs="Times New Roman"/>
                <w:snapToGrid w:val="0"/>
                <w:color w:val="auto"/>
              </w:rPr>
            </w:pPr>
          </w:p>
        </w:tc>
        <w:tc>
          <w:tcPr>
            <w:tcW w:w="2019" w:type="dxa"/>
            <w:vMerge w:val="continue"/>
            <w:vAlign w:val="center"/>
          </w:tcPr>
          <w:p w14:paraId="45C4FCA2">
            <w:pPr>
              <w:snapToGrid w:val="0"/>
              <w:spacing w:line="360" w:lineRule="exact"/>
              <w:jc w:val="center"/>
              <w:rPr>
                <w:rFonts w:ascii="宋体" w:hAnsi="宋体" w:eastAsia="宋体" w:cs="Times New Roman"/>
                <w:snapToGrid w:val="0"/>
                <w:color w:val="auto"/>
              </w:rPr>
            </w:pPr>
          </w:p>
        </w:tc>
        <w:tc>
          <w:tcPr>
            <w:tcW w:w="3383" w:type="dxa"/>
            <w:gridSpan w:val="3"/>
            <w:vAlign w:val="center"/>
          </w:tcPr>
          <w:p w14:paraId="311CB51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S3#</w:t>
            </w:r>
          </w:p>
        </w:tc>
        <w:tc>
          <w:tcPr>
            <w:tcW w:w="3398" w:type="dxa"/>
            <w:gridSpan w:val="3"/>
            <w:vAlign w:val="center"/>
          </w:tcPr>
          <w:p w14:paraId="355BC57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S4#</w:t>
            </w:r>
          </w:p>
        </w:tc>
      </w:tr>
      <w:tr w14:paraId="28A76F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Merge w:val="continue"/>
            <w:vAlign w:val="center"/>
          </w:tcPr>
          <w:p w14:paraId="45ECF9C4">
            <w:pPr>
              <w:snapToGrid w:val="0"/>
              <w:spacing w:line="360" w:lineRule="exact"/>
              <w:jc w:val="center"/>
              <w:rPr>
                <w:rFonts w:ascii="宋体" w:hAnsi="宋体" w:eastAsia="宋体" w:cs="Times New Roman"/>
                <w:snapToGrid w:val="0"/>
                <w:color w:val="auto"/>
              </w:rPr>
            </w:pPr>
          </w:p>
        </w:tc>
        <w:tc>
          <w:tcPr>
            <w:tcW w:w="2019" w:type="dxa"/>
            <w:vMerge w:val="continue"/>
            <w:vAlign w:val="center"/>
          </w:tcPr>
          <w:p w14:paraId="2F36BB88">
            <w:pPr>
              <w:snapToGrid w:val="0"/>
              <w:spacing w:line="360" w:lineRule="exact"/>
              <w:jc w:val="center"/>
              <w:rPr>
                <w:rFonts w:ascii="宋体" w:hAnsi="宋体" w:eastAsia="宋体" w:cs="Times New Roman"/>
                <w:snapToGrid w:val="0"/>
                <w:color w:val="auto"/>
              </w:rPr>
            </w:pPr>
          </w:p>
        </w:tc>
        <w:tc>
          <w:tcPr>
            <w:tcW w:w="1124" w:type="dxa"/>
            <w:vAlign w:val="center"/>
          </w:tcPr>
          <w:p w14:paraId="61C5166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0-0.5m</w:t>
            </w:r>
          </w:p>
        </w:tc>
        <w:tc>
          <w:tcPr>
            <w:tcW w:w="1130" w:type="dxa"/>
            <w:vAlign w:val="center"/>
          </w:tcPr>
          <w:p w14:paraId="60F8C6D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0.5-1.5m</w:t>
            </w:r>
          </w:p>
        </w:tc>
        <w:tc>
          <w:tcPr>
            <w:tcW w:w="1129" w:type="dxa"/>
            <w:vAlign w:val="center"/>
          </w:tcPr>
          <w:p w14:paraId="42F09E5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1.5-3m</w:t>
            </w:r>
          </w:p>
        </w:tc>
        <w:tc>
          <w:tcPr>
            <w:tcW w:w="1131" w:type="dxa"/>
            <w:vAlign w:val="center"/>
          </w:tcPr>
          <w:p w14:paraId="23F6411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0-0.5m</w:t>
            </w:r>
          </w:p>
        </w:tc>
        <w:tc>
          <w:tcPr>
            <w:tcW w:w="1133" w:type="dxa"/>
            <w:vAlign w:val="center"/>
          </w:tcPr>
          <w:p w14:paraId="392C345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0.5-1.5m</w:t>
            </w:r>
          </w:p>
        </w:tc>
        <w:tc>
          <w:tcPr>
            <w:tcW w:w="1134" w:type="dxa"/>
            <w:vAlign w:val="center"/>
          </w:tcPr>
          <w:p w14:paraId="6FE1131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1.5-3m</w:t>
            </w:r>
          </w:p>
        </w:tc>
      </w:tr>
      <w:tr w14:paraId="2F6B76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3A6C14F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2019" w:type="dxa"/>
            <w:vAlign w:val="center"/>
          </w:tcPr>
          <w:p w14:paraId="5F6C9D9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pH</w:t>
            </w:r>
          </w:p>
        </w:tc>
        <w:tc>
          <w:tcPr>
            <w:tcW w:w="1124" w:type="dxa"/>
            <w:vAlign w:val="center"/>
          </w:tcPr>
          <w:p w14:paraId="64E7B37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8.08</w:t>
            </w:r>
          </w:p>
        </w:tc>
        <w:tc>
          <w:tcPr>
            <w:tcW w:w="1130" w:type="dxa"/>
            <w:vAlign w:val="center"/>
          </w:tcPr>
          <w:p w14:paraId="27DC490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7.96</w:t>
            </w:r>
          </w:p>
        </w:tc>
        <w:tc>
          <w:tcPr>
            <w:tcW w:w="1129" w:type="dxa"/>
            <w:vAlign w:val="center"/>
          </w:tcPr>
          <w:p w14:paraId="48EB3E6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8.13</w:t>
            </w:r>
          </w:p>
        </w:tc>
        <w:tc>
          <w:tcPr>
            <w:tcW w:w="1131" w:type="dxa"/>
            <w:vAlign w:val="center"/>
          </w:tcPr>
          <w:p w14:paraId="03C4F41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7.78</w:t>
            </w:r>
          </w:p>
        </w:tc>
        <w:tc>
          <w:tcPr>
            <w:tcW w:w="1133" w:type="dxa"/>
            <w:vAlign w:val="center"/>
          </w:tcPr>
          <w:p w14:paraId="35D502E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8.23</w:t>
            </w:r>
          </w:p>
        </w:tc>
        <w:tc>
          <w:tcPr>
            <w:tcW w:w="1134" w:type="dxa"/>
            <w:vAlign w:val="center"/>
          </w:tcPr>
          <w:p w14:paraId="47DE1F8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8.06</w:t>
            </w:r>
          </w:p>
        </w:tc>
      </w:tr>
      <w:tr w14:paraId="653609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48B94F4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2019" w:type="dxa"/>
            <w:vAlign w:val="center"/>
          </w:tcPr>
          <w:p w14:paraId="0822D7C5">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镉（Cd）</w:t>
            </w:r>
          </w:p>
        </w:tc>
        <w:tc>
          <w:tcPr>
            <w:tcW w:w="1124" w:type="dxa"/>
            <w:vAlign w:val="center"/>
          </w:tcPr>
          <w:p w14:paraId="3BBC61E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0.10</w:t>
            </w:r>
          </w:p>
        </w:tc>
        <w:tc>
          <w:tcPr>
            <w:tcW w:w="1130" w:type="dxa"/>
            <w:vAlign w:val="center"/>
          </w:tcPr>
          <w:p w14:paraId="4504C3B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0.11</w:t>
            </w:r>
          </w:p>
        </w:tc>
        <w:tc>
          <w:tcPr>
            <w:tcW w:w="1129" w:type="dxa"/>
            <w:vAlign w:val="center"/>
          </w:tcPr>
          <w:p w14:paraId="62D62E4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0.07</w:t>
            </w:r>
          </w:p>
        </w:tc>
        <w:tc>
          <w:tcPr>
            <w:tcW w:w="1131" w:type="dxa"/>
            <w:vAlign w:val="center"/>
          </w:tcPr>
          <w:p w14:paraId="4DBA6D5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0.12</w:t>
            </w:r>
          </w:p>
        </w:tc>
        <w:tc>
          <w:tcPr>
            <w:tcW w:w="1133" w:type="dxa"/>
            <w:vAlign w:val="center"/>
          </w:tcPr>
          <w:p w14:paraId="0400FBF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0.10</w:t>
            </w:r>
          </w:p>
        </w:tc>
        <w:tc>
          <w:tcPr>
            <w:tcW w:w="1134" w:type="dxa"/>
            <w:vAlign w:val="center"/>
          </w:tcPr>
          <w:p w14:paraId="34CE30E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0.11</w:t>
            </w:r>
          </w:p>
        </w:tc>
      </w:tr>
      <w:tr w14:paraId="6B16A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65266E1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2019" w:type="dxa"/>
            <w:vAlign w:val="center"/>
          </w:tcPr>
          <w:p w14:paraId="0E59F7F2">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汞（Hg）</w:t>
            </w:r>
          </w:p>
        </w:tc>
        <w:tc>
          <w:tcPr>
            <w:tcW w:w="1124" w:type="dxa"/>
            <w:vAlign w:val="center"/>
          </w:tcPr>
          <w:p w14:paraId="2C89AA0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0.020</w:t>
            </w:r>
          </w:p>
        </w:tc>
        <w:tc>
          <w:tcPr>
            <w:tcW w:w="1130" w:type="dxa"/>
            <w:vAlign w:val="center"/>
          </w:tcPr>
          <w:p w14:paraId="384B867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0.016</w:t>
            </w:r>
          </w:p>
        </w:tc>
        <w:tc>
          <w:tcPr>
            <w:tcW w:w="1129" w:type="dxa"/>
            <w:vAlign w:val="center"/>
          </w:tcPr>
          <w:p w14:paraId="44731DA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0.022</w:t>
            </w:r>
          </w:p>
        </w:tc>
        <w:tc>
          <w:tcPr>
            <w:tcW w:w="1131" w:type="dxa"/>
            <w:vAlign w:val="center"/>
          </w:tcPr>
          <w:p w14:paraId="0F44C0D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0.017</w:t>
            </w:r>
          </w:p>
        </w:tc>
        <w:tc>
          <w:tcPr>
            <w:tcW w:w="1133" w:type="dxa"/>
            <w:vAlign w:val="center"/>
          </w:tcPr>
          <w:p w14:paraId="5BA6F50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0.021</w:t>
            </w:r>
          </w:p>
        </w:tc>
        <w:tc>
          <w:tcPr>
            <w:tcW w:w="1134" w:type="dxa"/>
            <w:vAlign w:val="center"/>
          </w:tcPr>
          <w:p w14:paraId="2F12461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0.019</w:t>
            </w:r>
          </w:p>
        </w:tc>
      </w:tr>
      <w:tr w14:paraId="5E5EA9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5E6D043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2019" w:type="dxa"/>
            <w:vAlign w:val="center"/>
          </w:tcPr>
          <w:p w14:paraId="1747CBF6">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砷（As）</w:t>
            </w:r>
          </w:p>
        </w:tc>
        <w:tc>
          <w:tcPr>
            <w:tcW w:w="1124" w:type="dxa"/>
            <w:vAlign w:val="center"/>
          </w:tcPr>
          <w:p w14:paraId="38685A4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3.27</w:t>
            </w:r>
          </w:p>
        </w:tc>
        <w:tc>
          <w:tcPr>
            <w:tcW w:w="1130" w:type="dxa"/>
            <w:vAlign w:val="center"/>
          </w:tcPr>
          <w:p w14:paraId="165B712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3.31</w:t>
            </w:r>
          </w:p>
        </w:tc>
        <w:tc>
          <w:tcPr>
            <w:tcW w:w="1129" w:type="dxa"/>
            <w:vAlign w:val="center"/>
          </w:tcPr>
          <w:p w14:paraId="4D11344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3.26</w:t>
            </w:r>
          </w:p>
        </w:tc>
        <w:tc>
          <w:tcPr>
            <w:tcW w:w="1131" w:type="dxa"/>
            <w:vAlign w:val="center"/>
          </w:tcPr>
          <w:p w14:paraId="280F170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3.39</w:t>
            </w:r>
          </w:p>
        </w:tc>
        <w:tc>
          <w:tcPr>
            <w:tcW w:w="1133" w:type="dxa"/>
            <w:vAlign w:val="center"/>
          </w:tcPr>
          <w:p w14:paraId="65F2565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3.40</w:t>
            </w:r>
          </w:p>
        </w:tc>
        <w:tc>
          <w:tcPr>
            <w:tcW w:w="1134" w:type="dxa"/>
            <w:vAlign w:val="center"/>
          </w:tcPr>
          <w:p w14:paraId="1CE6D3F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3.25</w:t>
            </w:r>
          </w:p>
        </w:tc>
      </w:tr>
      <w:tr w14:paraId="16A338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70A5466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2019" w:type="dxa"/>
            <w:vAlign w:val="center"/>
          </w:tcPr>
          <w:p w14:paraId="0F8C012B">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铅（Pb）</w:t>
            </w:r>
          </w:p>
        </w:tc>
        <w:tc>
          <w:tcPr>
            <w:tcW w:w="1124" w:type="dxa"/>
            <w:vAlign w:val="center"/>
          </w:tcPr>
          <w:p w14:paraId="0915976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1130" w:type="dxa"/>
            <w:vAlign w:val="center"/>
          </w:tcPr>
          <w:p w14:paraId="1C5D2607">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20</w:t>
            </w:r>
          </w:p>
        </w:tc>
        <w:tc>
          <w:tcPr>
            <w:tcW w:w="1129" w:type="dxa"/>
            <w:vAlign w:val="center"/>
          </w:tcPr>
          <w:p w14:paraId="3C88A07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14</w:t>
            </w:r>
          </w:p>
        </w:tc>
        <w:tc>
          <w:tcPr>
            <w:tcW w:w="1131" w:type="dxa"/>
            <w:vAlign w:val="center"/>
          </w:tcPr>
          <w:p w14:paraId="608047A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18</w:t>
            </w:r>
          </w:p>
        </w:tc>
        <w:tc>
          <w:tcPr>
            <w:tcW w:w="1133" w:type="dxa"/>
            <w:vAlign w:val="center"/>
          </w:tcPr>
          <w:p w14:paraId="344A80E7">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14</w:t>
            </w:r>
          </w:p>
        </w:tc>
        <w:tc>
          <w:tcPr>
            <w:tcW w:w="1134" w:type="dxa"/>
            <w:vAlign w:val="center"/>
          </w:tcPr>
          <w:p w14:paraId="293FFB9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19</w:t>
            </w:r>
          </w:p>
        </w:tc>
      </w:tr>
      <w:tr w14:paraId="1A2F96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0EBD669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2019" w:type="dxa"/>
            <w:vAlign w:val="center"/>
          </w:tcPr>
          <w:p w14:paraId="13169CB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铬（六价）</w:t>
            </w:r>
          </w:p>
        </w:tc>
        <w:tc>
          <w:tcPr>
            <w:tcW w:w="1124" w:type="dxa"/>
            <w:vAlign w:val="center"/>
          </w:tcPr>
          <w:p w14:paraId="658789E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0" w:type="dxa"/>
            <w:vAlign w:val="center"/>
          </w:tcPr>
          <w:p w14:paraId="1BC21FD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29" w:type="dxa"/>
            <w:vAlign w:val="center"/>
          </w:tcPr>
          <w:p w14:paraId="014C221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1" w:type="dxa"/>
            <w:vAlign w:val="center"/>
          </w:tcPr>
          <w:p w14:paraId="60C3D16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53450D1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4" w:type="dxa"/>
            <w:vAlign w:val="center"/>
          </w:tcPr>
          <w:p w14:paraId="1B15461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r w14:paraId="2489FF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2EBE24D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2019" w:type="dxa"/>
            <w:vAlign w:val="center"/>
          </w:tcPr>
          <w:p w14:paraId="4F983A06">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铜（Cu）</w:t>
            </w:r>
          </w:p>
        </w:tc>
        <w:tc>
          <w:tcPr>
            <w:tcW w:w="1124" w:type="dxa"/>
            <w:vAlign w:val="center"/>
          </w:tcPr>
          <w:p w14:paraId="1DF6E3E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14</w:t>
            </w:r>
          </w:p>
        </w:tc>
        <w:tc>
          <w:tcPr>
            <w:tcW w:w="1130" w:type="dxa"/>
            <w:vAlign w:val="center"/>
          </w:tcPr>
          <w:p w14:paraId="2392DC9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1129" w:type="dxa"/>
            <w:vAlign w:val="center"/>
          </w:tcPr>
          <w:p w14:paraId="5424FFA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17</w:t>
            </w:r>
          </w:p>
        </w:tc>
        <w:tc>
          <w:tcPr>
            <w:tcW w:w="1131" w:type="dxa"/>
            <w:vAlign w:val="center"/>
          </w:tcPr>
          <w:p w14:paraId="2A711E2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18</w:t>
            </w:r>
          </w:p>
        </w:tc>
        <w:tc>
          <w:tcPr>
            <w:tcW w:w="1133" w:type="dxa"/>
            <w:vAlign w:val="center"/>
          </w:tcPr>
          <w:p w14:paraId="509ED8F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134" w:type="dxa"/>
            <w:vAlign w:val="center"/>
          </w:tcPr>
          <w:p w14:paraId="78F6864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16</w:t>
            </w:r>
          </w:p>
        </w:tc>
      </w:tr>
      <w:tr w14:paraId="5E82C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5D21637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w:t>
            </w:r>
          </w:p>
        </w:tc>
        <w:tc>
          <w:tcPr>
            <w:tcW w:w="2019" w:type="dxa"/>
            <w:vAlign w:val="center"/>
          </w:tcPr>
          <w:p w14:paraId="64F09B3F">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镍（Ni）</w:t>
            </w:r>
          </w:p>
        </w:tc>
        <w:tc>
          <w:tcPr>
            <w:tcW w:w="1124" w:type="dxa"/>
            <w:vAlign w:val="center"/>
          </w:tcPr>
          <w:p w14:paraId="7D80BEB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19</w:t>
            </w:r>
          </w:p>
        </w:tc>
        <w:tc>
          <w:tcPr>
            <w:tcW w:w="1130" w:type="dxa"/>
            <w:vAlign w:val="center"/>
          </w:tcPr>
          <w:p w14:paraId="4F22465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25</w:t>
            </w:r>
          </w:p>
        </w:tc>
        <w:tc>
          <w:tcPr>
            <w:tcW w:w="1129" w:type="dxa"/>
            <w:vAlign w:val="center"/>
          </w:tcPr>
          <w:p w14:paraId="70F1E7E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26</w:t>
            </w:r>
          </w:p>
        </w:tc>
        <w:tc>
          <w:tcPr>
            <w:tcW w:w="1131" w:type="dxa"/>
            <w:vAlign w:val="center"/>
          </w:tcPr>
          <w:p w14:paraId="0B5A5067">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21</w:t>
            </w:r>
          </w:p>
        </w:tc>
        <w:tc>
          <w:tcPr>
            <w:tcW w:w="1133" w:type="dxa"/>
            <w:vAlign w:val="center"/>
          </w:tcPr>
          <w:p w14:paraId="22CB3DF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18</w:t>
            </w:r>
          </w:p>
        </w:tc>
        <w:tc>
          <w:tcPr>
            <w:tcW w:w="1134" w:type="dxa"/>
            <w:vAlign w:val="center"/>
          </w:tcPr>
          <w:p w14:paraId="6A15B9B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23</w:t>
            </w:r>
          </w:p>
        </w:tc>
      </w:tr>
      <w:tr w14:paraId="280A4A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5AC5801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9</w:t>
            </w:r>
          </w:p>
        </w:tc>
        <w:tc>
          <w:tcPr>
            <w:tcW w:w="2019" w:type="dxa"/>
            <w:vAlign w:val="center"/>
          </w:tcPr>
          <w:p w14:paraId="65CF8144">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水溶性盐总量</w:t>
            </w:r>
          </w:p>
        </w:tc>
        <w:tc>
          <w:tcPr>
            <w:tcW w:w="1124" w:type="dxa"/>
            <w:vAlign w:val="center"/>
          </w:tcPr>
          <w:p w14:paraId="649EED2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600</w:t>
            </w:r>
          </w:p>
        </w:tc>
        <w:tc>
          <w:tcPr>
            <w:tcW w:w="1130" w:type="dxa"/>
            <w:vAlign w:val="center"/>
          </w:tcPr>
          <w:p w14:paraId="3FFD277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800</w:t>
            </w:r>
          </w:p>
        </w:tc>
        <w:tc>
          <w:tcPr>
            <w:tcW w:w="1129" w:type="dxa"/>
            <w:vAlign w:val="center"/>
          </w:tcPr>
          <w:p w14:paraId="6DDFFDC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600</w:t>
            </w:r>
          </w:p>
        </w:tc>
        <w:tc>
          <w:tcPr>
            <w:tcW w:w="1131" w:type="dxa"/>
            <w:vAlign w:val="center"/>
          </w:tcPr>
          <w:p w14:paraId="4518D88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700</w:t>
            </w:r>
          </w:p>
        </w:tc>
        <w:tc>
          <w:tcPr>
            <w:tcW w:w="1133" w:type="dxa"/>
            <w:vAlign w:val="center"/>
          </w:tcPr>
          <w:p w14:paraId="65375CE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600</w:t>
            </w:r>
          </w:p>
        </w:tc>
        <w:tc>
          <w:tcPr>
            <w:tcW w:w="1134" w:type="dxa"/>
            <w:vAlign w:val="center"/>
          </w:tcPr>
          <w:p w14:paraId="17F4DE8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600</w:t>
            </w:r>
          </w:p>
        </w:tc>
      </w:tr>
      <w:tr w14:paraId="16FD7A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2DD10A3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2019" w:type="dxa"/>
            <w:vAlign w:val="center"/>
          </w:tcPr>
          <w:p w14:paraId="4782D50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石油类</w:t>
            </w:r>
          </w:p>
        </w:tc>
        <w:tc>
          <w:tcPr>
            <w:tcW w:w="1124" w:type="dxa"/>
            <w:vAlign w:val="center"/>
          </w:tcPr>
          <w:p w14:paraId="0134161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13</w:t>
            </w:r>
          </w:p>
        </w:tc>
        <w:tc>
          <w:tcPr>
            <w:tcW w:w="1130" w:type="dxa"/>
            <w:vAlign w:val="center"/>
          </w:tcPr>
          <w:p w14:paraId="46410777">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1129" w:type="dxa"/>
            <w:vAlign w:val="center"/>
          </w:tcPr>
          <w:p w14:paraId="47C82B2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131" w:type="dxa"/>
            <w:vAlign w:val="center"/>
          </w:tcPr>
          <w:p w14:paraId="652C9B6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1133" w:type="dxa"/>
            <w:vAlign w:val="center"/>
          </w:tcPr>
          <w:p w14:paraId="7B52EAF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1134" w:type="dxa"/>
            <w:vAlign w:val="center"/>
          </w:tcPr>
          <w:p w14:paraId="370D5EE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13</w:t>
            </w:r>
          </w:p>
        </w:tc>
      </w:tr>
      <w:tr w14:paraId="25984B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1543647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2019" w:type="dxa"/>
            <w:vAlign w:val="center"/>
          </w:tcPr>
          <w:p w14:paraId="5572C5B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w:t>
            </w:r>
          </w:p>
        </w:tc>
        <w:tc>
          <w:tcPr>
            <w:tcW w:w="1124" w:type="dxa"/>
            <w:vAlign w:val="center"/>
          </w:tcPr>
          <w:p w14:paraId="2F188B3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0" w:type="dxa"/>
            <w:vAlign w:val="center"/>
          </w:tcPr>
          <w:p w14:paraId="5BA1DFF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29" w:type="dxa"/>
            <w:vAlign w:val="center"/>
          </w:tcPr>
          <w:p w14:paraId="6C1949B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1" w:type="dxa"/>
            <w:vAlign w:val="center"/>
          </w:tcPr>
          <w:p w14:paraId="212EB70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183103A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4" w:type="dxa"/>
            <w:vAlign w:val="center"/>
          </w:tcPr>
          <w:p w14:paraId="2B66E62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r w14:paraId="130D69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9" w:type="dxa"/>
          <w:jc w:val="center"/>
        </w:trPr>
        <w:tc>
          <w:tcPr>
            <w:tcW w:w="479" w:type="dxa"/>
            <w:vAlign w:val="center"/>
          </w:tcPr>
          <w:p w14:paraId="5EA849B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2019" w:type="dxa"/>
            <w:vAlign w:val="center"/>
          </w:tcPr>
          <w:p w14:paraId="792076F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w:t>
            </w:r>
          </w:p>
        </w:tc>
        <w:tc>
          <w:tcPr>
            <w:tcW w:w="1124" w:type="dxa"/>
            <w:vAlign w:val="center"/>
          </w:tcPr>
          <w:p w14:paraId="6D802C1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0" w:type="dxa"/>
            <w:vAlign w:val="center"/>
          </w:tcPr>
          <w:p w14:paraId="6927F95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29" w:type="dxa"/>
            <w:vAlign w:val="center"/>
          </w:tcPr>
          <w:p w14:paraId="3D967FF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1" w:type="dxa"/>
            <w:vAlign w:val="center"/>
          </w:tcPr>
          <w:p w14:paraId="51B7E106">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1640892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4" w:type="dxa"/>
            <w:vAlign w:val="center"/>
          </w:tcPr>
          <w:p w14:paraId="44DAA58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r w14:paraId="106DE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Merge w:val="restart"/>
            <w:vAlign w:val="center"/>
          </w:tcPr>
          <w:p w14:paraId="0485558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2019" w:type="dxa"/>
            <w:vMerge w:val="restart"/>
            <w:vAlign w:val="center"/>
          </w:tcPr>
          <w:p w14:paraId="0A2FAC9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监测项目</w:t>
            </w:r>
          </w:p>
        </w:tc>
        <w:tc>
          <w:tcPr>
            <w:tcW w:w="6788" w:type="dxa"/>
            <w:gridSpan w:val="7"/>
            <w:vAlign w:val="center"/>
          </w:tcPr>
          <w:p w14:paraId="61FBB57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监测点位</w:t>
            </w:r>
          </w:p>
        </w:tc>
      </w:tr>
      <w:tr w14:paraId="547DE3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Merge w:val="continue"/>
            <w:vAlign w:val="center"/>
          </w:tcPr>
          <w:p w14:paraId="633A675B">
            <w:pPr>
              <w:snapToGrid w:val="0"/>
              <w:spacing w:line="360" w:lineRule="exact"/>
              <w:jc w:val="center"/>
              <w:rPr>
                <w:rFonts w:ascii="宋体" w:hAnsi="宋体" w:eastAsia="宋体" w:cs="Times New Roman"/>
                <w:snapToGrid w:val="0"/>
                <w:color w:val="auto"/>
              </w:rPr>
            </w:pPr>
          </w:p>
        </w:tc>
        <w:tc>
          <w:tcPr>
            <w:tcW w:w="2019" w:type="dxa"/>
            <w:vMerge w:val="continue"/>
            <w:vAlign w:val="center"/>
          </w:tcPr>
          <w:p w14:paraId="529C07D1">
            <w:pPr>
              <w:snapToGrid w:val="0"/>
              <w:spacing w:line="360" w:lineRule="exact"/>
              <w:jc w:val="center"/>
              <w:rPr>
                <w:rFonts w:ascii="宋体" w:hAnsi="宋体" w:eastAsia="宋体" w:cs="Times New Roman"/>
                <w:snapToGrid w:val="0"/>
                <w:color w:val="auto"/>
              </w:rPr>
            </w:pPr>
          </w:p>
        </w:tc>
        <w:tc>
          <w:tcPr>
            <w:tcW w:w="3383" w:type="dxa"/>
            <w:gridSpan w:val="3"/>
            <w:vAlign w:val="center"/>
          </w:tcPr>
          <w:p w14:paraId="46E4BD2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S5#</w:t>
            </w:r>
          </w:p>
        </w:tc>
        <w:tc>
          <w:tcPr>
            <w:tcW w:w="1133" w:type="dxa"/>
            <w:tcBorders>
              <w:right w:val="single" w:color="auto" w:sz="4" w:space="0"/>
            </w:tcBorders>
            <w:vAlign w:val="center"/>
          </w:tcPr>
          <w:p w14:paraId="5038A3E2">
            <w:pPr>
              <w:spacing w:line="360" w:lineRule="exact"/>
              <w:jc w:val="center"/>
              <w:textAlignment w:val="center"/>
              <w:rPr>
                <w:rFonts w:ascii="宋体" w:hAnsi="宋体" w:eastAsia="宋体" w:cs="Times New Roman"/>
                <w:snapToGrid w:val="0"/>
                <w:color w:val="auto"/>
              </w:rPr>
            </w:pPr>
            <w:r>
              <w:rPr>
                <w:rFonts w:ascii="宋体" w:hAnsi="宋体" w:eastAsia="宋体" w:cs="Times New Roman"/>
                <w:color w:val="auto"/>
              </w:rPr>
              <w:t>S6#</w:t>
            </w:r>
          </w:p>
        </w:tc>
        <w:tc>
          <w:tcPr>
            <w:tcW w:w="1133" w:type="dxa"/>
            <w:tcBorders>
              <w:left w:val="single" w:color="auto" w:sz="4" w:space="0"/>
              <w:right w:val="single" w:color="auto" w:sz="4" w:space="0"/>
            </w:tcBorders>
            <w:vAlign w:val="center"/>
          </w:tcPr>
          <w:p w14:paraId="27F3E979">
            <w:pPr>
              <w:spacing w:line="360" w:lineRule="exact"/>
              <w:jc w:val="center"/>
              <w:textAlignment w:val="center"/>
              <w:rPr>
                <w:rFonts w:ascii="宋体" w:hAnsi="宋体" w:eastAsia="宋体" w:cs="Times New Roman"/>
                <w:snapToGrid w:val="0"/>
                <w:color w:val="auto"/>
              </w:rPr>
            </w:pPr>
            <w:r>
              <w:rPr>
                <w:rFonts w:ascii="宋体" w:hAnsi="宋体" w:eastAsia="宋体" w:cs="Times New Roman"/>
                <w:color w:val="auto"/>
              </w:rPr>
              <w:t>S7#</w:t>
            </w:r>
          </w:p>
        </w:tc>
        <w:tc>
          <w:tcPr>
            <w:tcW w:w="1139" w:type="dxa"/>
            <w:gridSpan w:val="2"/>
            <w:tcBorders>
              <w:left w:val="single" w:color="auto" w:sz="4" w:space="0"/>
            </w:tcBorders>
            <w:vAlign w:val="center"/>
          </w:tcPr>
          <w:p w14:paraId="53508EAA">
            <w:pPr>
              <w:spacing w:line="360" w:lineRule="exact"/>
              <w:jc w:val="center"/>
              <w:textAlignment w:val="center"/>
              <w:rPr>
                <w:rFonts w:ascii="宋体" w:hAnsi="宋体" w:eastAsia="宋体" w:cs="Times New Roman"/>
                <w:snapToGrid w:val="0"/>
                <w:color w:val="auto"/>
              </w:rPr>
            </w:pPr>
            <w:r>
              <w:rPr>
                <w:rFonts w:ascii="宋体" w:hAnsi="宋体" w:eastAsia="宋体" w:cs="Times New Roman"/>
                <w:color w:val="auto"/>
              </w:rPr>
              <w:t>S8#</w:t>
            </w:r>
          </w:p>
        </w:tc>
      </w:tr>
      <w:tr w14:paraId="71AA2D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Merge w:val="continue"/>
            <w:vAlign w:val="center"/>
          </w:tcPr>
          <w:p w14:paraId="7C7D4F80">
            <w:pPr>
              <w:snapToGrid w:val="0"/>
              <w:spacing w:line="360" w:lineRule="exact"/>
              <w:jc w:val="center"/>
              <w:rPr>
                <w:rFonts w:ascii="宋体" w:hAnsi="宋体" w:eastAsia="宋体" w:cs="Times New Roman"/>
                <w:snapToGrid w:val="0"/>
                <w:color w:val="auto"/>
              </w:rPr>
            </w:pPr>
          </w:p>
        </w:tc>
        <w:tc>
          <w:tcPr>
            <w:tcW w:w="2019" w:type="dxa"/>
            <w:vMerge w:val="continue"/>
            <w:vAlign w:val="center"/>
          </w:tcPr>
          <w:p w14:paraId="6E5FEE83">
            <w:pPr>
              <w:snapToGrid w:val="0"/>
              <w:spacing w:line="360" w:lineRule="exact"/>
              <w:jc w:val="center"/>
              <w:rPr>
                <w:rFonts w:ascii="宋体" w:hAnsi="宋体" w:eastAsia="宋体" w:cs="Times New Roman"/>
                <w:snapToGrid w:val="0"/>
                <w:color w:val="auto"/>
              </w:rPr>
            </w:pPr>
          </w:p>
        </w:tc>
        <w:tc>
          <w:tcPr>
            <w:tcW w:w="1124" w:type="dxa"/>
            <w:vAlign w:val="center"/>
          </w:tcPr>
          <w:p w14:paraId="714E121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0-0.5m</w:t>
            </w:r>
          </w:p>
        </w:tc>
        <w:tc>
          <w:tcPr>
            <w:tcW w:w="1130" w:type="dxa"/>
            <w:vAlign w:val="center"/>
          </w:tcPr>
          <w:p w14:paraId="5B19225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0.5-1.5m</w:t>
            </w:r>
          </w:p>
        </w:tc>
        <w:tc>
          <w:tcPr>
            <w:tcW w:w="1129" w:type="dxa"/>
            <w:vAlign w:val="center"/>
          </w:tcPr>
          <w:p w14:paraId="6E468A8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1.5-3m</w:t>
            </w:r>
          </w:p>
        </w:tc>
        <w:tc>
          <w:tcPr>
            <w:tcW w:w="1133" w:type="dxa"/>
            <w:tcBorders>
              <w:right w:val="single" w:color="auto" w:sz="4" w:space="0"/>
            </w:tcBorders>
            <w:vAlign w:val="center"/>
          </w:tcPr>
          <w:p w14:paraId="233CC4EB">
            <w:pPr>
              <w:spacing w:line="360" w:lineRule="exact"/>
              <w:jc w:val="center"/>
              <w:rPr>
                <w:rFonts w:ascii="宋体" w:hAnsi="宋体" w:eastAsia="宋体" w:cs="Times New Roman"/>
                <w:snapToGrid w:val="0"/>
                <w:color w:val="auto"/>
              </w:rPr>
            </w:pPr>
            <w:r>
              <w:rPr>
                <w:rFonts w:ascii="宋体" w:hAnsi="宋体" w:eastAsia="宋体" w:cs="Times New Roman"/>
                <w:color w:val="auto"/>
              </w:rPr>
              <w:t>0-0.2m</w:t>
            </w:r>
          </w:p>
        </w:tc>
        <w:tc>
          <w:tcPr>
            <w:tcW w:w="1133" w:type="dxa"/>
            <w:tcBorders>
              <w:left w:val="single" w:color="auto" w:sz="4" w:space="0"/>
              <w:right w:val="single" w:color="auto" w:sz="4" w:space="0"/>
            </w:tcBorders>
            <w:vAlign w:val="center"/>
          </w:tcPr>
          <w:p w14:paraId="6D5B32A0">
            <w:pPr>
              <w:spacing w:line="360" w:lineRule="exact"/>
              <w:jc w:val="center"/>
              <w:rPr>
                <w:rFonts w:ascii="宋体" w:hAnsi="宋体" w:eastAsia="宋体" w:cs="Times New Roman"/>
                <w:snapToGrid w:val="0"/>
                <w:color w:val="auto"/>
              </w:rPr>
            </w:pPr>
            <w:r>
              <w:rPr>
                <w:rFonts w:ascii="宋体" w:hAnsi="宋体" w:eastAsia="宋体" w:cs="Times New Roman"/>
                <w:color w:val="auto"/>
              </w:rPr>
              <w:t>0-0.2m</w:t>
            </w:r>
          </w:p>
        </w:tc>
        <w:tc>
          <w:tcPr>
            <w:tcW w:w="1139" w:type="dxa"/>
            <w:gridSpan w:val="2"/>
            <w:tcBorders>
              <w:left w:val="single" w:color="auto" w:sz="4" w:space="0"/>
            </w:tcBorders>
            <w:vAlign w:val="center"/>
          </w:tcPr>
          <w:p w14:paraId="5EB21A5C">
            <w:pPr>
              <w:spacing w:line="360" w:lineRule="exact"/>
              <w:jc w:val="center"/>
              <w:rPr>
                <w:rFonts w:ascii="宋体" w:hAnsi="宋体" w:eastAsia="宋体" w:cs="Times New Roman"/>
                <w:snapToGrid w:val="0"/>
                <w:color w:val="auto"/>
              </w:rPr>
            </w:pPr>
            <w:r>
              <w:rPr>
                <w:rFonts w:ascii="宋体" w:hAnsi="宋体" w:eastAsia="宋体" w:cs="Times New Roman"/>
                <w:color w:val="auto"/>
              </w:rPr>
              <w:t>0-0.2m</w:t>
            </w:r>
          </w:p>
        </w:tc>
      </w:tr>
      <w:tr w14:paraId="6A39A2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28A1D31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2019" w:type="dxa"/>
            <w:vAlign w:val="center"/>
          </w:tcPr>
          <w:p w14:paraId="632CBA3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pH</w:t>
            </w:r>
          </w:p>
        </w:tc>
        <w:tc>
          <w:tcPr>
            <w:tcW w:w="1124" w:type="dxa"/>
            <w:vAlign w:val="center"/>
          </w:tcPr>
          <w:p w14:paraId="45F03F5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8.17</w:t>
            </w:r>
          </w:p>
        </w:tc>
        <w:tc>
          <w:tcPr>
            <w:tcW w:w="1130" w:type="dxa"/>
            <w:vAlign w:val="center"/>
          </w:tcPr>
          <w:p w14:paraId="2CBB06B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7.99</w:t>
            </w:r>
          </w:p>
        </w:tc>
        <w:tc>
          <w:tcPr>
            <w:tcW w:w="1129" w:type="dxa"/>
            <w:vAlign w:val="center"/>
          </w:tcPr>
          <w:p w14:paraId="1DFE262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7.82</w:t>
            </w:r>
          </w:p>
        </w:tc>
        <w:tc>
          <w:tcPr>
            <w:tcW w:w="1133" w:type="dxa"/>
            <w:vAlign w:val="center"/>
          </w:tcPr>
          <w:p w14:paraId="3A096C9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7.97</w:t>
            </w:r>
          </w:p>
        </w:tc>
        <w:tc>
          <w:tcPr>
            <w:tcW w:w="1133" w:type="dxa"/>
            <w:vAlign w:val="center"/>
          </w:tcPr>
          <w:p w14:paraId="1696F9C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8.20</w:t>
            </w:r>
          </w:p>
        </w:tc>
        <w:tc>
          <w:tcPr>
            <w:tcW w:w="1139" w:type="dxa"/>
            <w:gridSpan w:val="2"/>
            <w:vAlign w:val="center"/>
          </w:tcPr>
          <w:p w14:paraId="38FA025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7.78</w:t>
            </w:r>
          </w:p>
        </w:tc>
      </w:tr>
      <w:tr w14:paraId="7C6448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40130DE7">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2019" w:type="dxa"/>
            <w:vAlign w:val="center"/>
          </w:tcPr>
          <w:p w14:paraId="360932C8">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镉（Cd）</w:t>
            </w:r>
          </w:p>
        </w:tc>
        <w:tc>
          <w:tcPr>
            <w:tcW w:w="1124" w:type="dxa"/>
            <w:vAlign w:val="center"/>
          </w:tcPr>
          <w:p w14:paraId="19EDF0A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0.10</w:t>
            </w:r>
          </w:p>
        </w:tc>
        <w:tc>
          <w:tcPr>
            <w:tcW w:w="1130" w:type="dxa"/>
            <w:vAlign w:val="center"/>
          </w:tcPr>
          <w:p w14:paraId="58363A3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0.12</w:t>
            </w:r>
          </w:p>
        </w:tc>
        <w:tc>
          <w:tcPr>
            <w:tcW w:w="1129" w:type="dxa"/>
            <w:vAlign w:val="center"/>
          </w:tcPr>
          <w:p w14:paraId="336534D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0.07</w:t>
            </w:r>
          </w:p>
        </w:tc>
        <w:tc>
          <w:tcPr>
            <w:tcW w:w="1133" w:type="dxa"/>
            <w:vAlign w:val="center"/>
          </w:tcPr>
          <w:p w14:paraId="4CA9E20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0.08</w:t>
            </w:r>
          </w:p>
        </w:tc>
        <w:tc>
          <w:tcPr>
            <w:tcW w:w="1133" w:type="dxa"/>
            <w:vAlign w:val="center"/>
          </w:tcPr>
          <w:p w14:paraId="2C519F1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0.06</w:t>
            </w:r>
          </w:p>
        </w:tc>
        <w:tc>
          <w:tcPr>
            <w:tcW w:w="1139" w:type="dxa"/>
            <w:gridSpan w:val="2"/>
            <w:vAlign w:val="center"/>
          </w:tcPr>
          <w:p w14:paraId="5250AF5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0.10</w:t>
            </w:r>
          </w:p>
        </w:tc>
      </w:tr>
      <w:tr w14:paraId="0618D5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2E345AF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2019" w:type="dxa"/>
            <w:vAlign w:val="center"/>
          </w:tcPr>
          <w:p w14:paraId="2992E464">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汞（Hg）</w:t>
            </w:r>
          </w:p>
        </w:tc>
        <w:tc>
          <w:tcPr>
            <w:tcW w:w="1124" w:type="dxa"/>
            <w:vAlign w:val="center"/>
          </w:tcPr>
          <w:p w14:paraId="0350935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0.016</w:t>
            </w:r>
          </w:p>
        </w:tc>
        <w:tc>
          <w:tcPr>
            <w:tcW w:w="1130" w:type="dxa"/>
            <w:vAlign w:val="center"/>
          </w:tcPr>
          <w:p w14:paraId="45304CB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0.015</w:t>
            </w:r>
          </w:p>
        </w:tc>
        <w:tc>
          <w:tcPr>
            <w:tcW w:w="1129" w:type="dxa"/>
            <w:vAlign w:val="center"/>
          </w:tcPr>
          <w:p w14:paraId="68FCBEF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0.013</w:t>
            </w:r>
          </w:p>
        </w:tc>
        <w:tc>
          <w:tcPr>
            <w:tcW w:w="1133" w:type="dxa"/>
            <w:vAlign w:val="center"/>
          </w:tcPr>
          <w:p w14:paraId="4337AF9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0.017</w:t>
            </w:r>
          </w:p>
        </w:tc>
        <w:tc>
          <w:tcPr>
            <w:tcW w:w="1133" w:type="dxa"/>
            <w:vAlign w:val="center"/>
          </w:tcPr>
          <w:p w14:paraId="4A58698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0.020</w:t>
            </w:r>
          </w:p>
        </w:tc>
        <w:tc>
          <w:tcPr>
            <w:tcW w:w="1139" w:type="dxa"/>
            <w:gridSpan w:val="2"/>
            <w:vAlign w:val="center"/>
          </w:tcPr>
          <w:p w14:paraId="3CD658C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0.016</w:t>
            </w:r>
          </w:p>
        </w:tc>
      </w:tr>
      <w:tr w14:paraId="47DE0F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01C6A8A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2019" w:type="dxa"/>
            <w:vAlign w:val="center"/>
          </w:tcPr>
          <w:p w14:paraId="3D418568">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砷（As）</w:t>
            </w:r>
          </w:p>
        </w:tc>
        <w:tc>
          <w:tcPr>
            <w:tcW w:w="1124" w:type="dxa"/>
            <w:vAlign w:val="center"/>
          </w:tcPr>
          <w:p w14:paraId="15A7C61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3.22</w:t>
            </w:r>
          </w:p>
        </w:tc>
        <w:tc>
          <w:tcPr>
            <w:tcW w:w="1130" w:type="dxa"/>
            <w:vAlign w:val="center"/>
          </w:tcPr>
          <w:p w14:paraId="606752F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3.31</w:t>
            </w:r>
          </w:p>
        </w:tc>
        <w:tc>
          <w:tcPr>
            <w:tcW w:w="1129" w:type="dxa"/>
            <w:vAlign w:val="center"/>
          </w:tcPr>
          <w:p w14:paraId="76E7D707">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3.28</w:t>
            </w:r>
          </w:p>
        </w:tc>
        <w:tc>
          <w:tcPr>
            <w:tcW w:w="1133" w:type="dxa"/>
            <w:vAlign w:val="center"/>
          </w:tcPr>
          <w:p w14:paraId="373111F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3.35</w:t>
            </w:r>
          </w:p>
        </w:tc>
        <w:tc>
          <w:tcPr>
            <w:tcW w:w="1133" w:type="dxa"/>
            <w:vAlign w:val="center"/>
          </w:tcPr>
          <w:p w14:paraId="708A21B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3.28</w:t>
            </w:r>
          </w:p>
        </w:tc>
        <w:tc>
          <w:tcPr>
            <w:tcW w:w="1139" w:type="dxa"/>
            <w:gridSpan w:val="2"/>
            <w:vAlign w:val="center"/>
          </w:tcPr>
          <w:p w14:paraId="7E3B66A7">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3.31</w:t>
            </w:r>
          </w:p>
        </w:tc>
      </w:tr>
      <w:tr w14:paraId="34E02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2D048A1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2019" w:type="dxa"/>
            <w:vAlign w:val="center"/>
          </w:tcPr>
          <w:p w14:paraId="2231AAB5">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铅（Pb）</w:t>
            </w:r>
          </w:p>
        </w:tc>
        <w:tc>
          <w:tcPr>
            <w:tcW w:w="1124" w:type="dxa"/>
            <w:vAlign w:val="center"/>
          </w:tcPr>
          <w:p w14:paraId="666EB73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16</w:t>
            </w:r>
          </w:p>
        </w:tc>
        <w:tc>
          <w:tcPr>
            <w:tcW w:w="1130" w:type="dxa"/>
            <w:vAlign w:val="center"/>
          </w:tcPr>
          <w:p w14:paraId="4078CF6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18</w:t>
            </w:r>
          </w:p>
        </w:tc>
        <w:tc>
          <w:tcPr>
            <w:tcW w:w="1129" w:type="dxa"/>
            <w:vAlign w:val="center"/>
          </w:tcPr>
          <w:p w14:paraId="75B9118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1133" w:type="dxa"/>
            <w:vAlign w:val="center"/>
          </w:tcPr>
          <w:p w14:paraId="57E379C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1133" w:type="dxa"/>
            <w:vAlign w:val="center"/>
          </w:tcPr>
          <w:p w14:paraId="4CC4D28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20</w:t>
            </w:r>
          </w:p>
        </w:tc>
        <w:tc>
          <w:tcPr>
            <w:tcW w:w="1139" w:type="dxa"/>
            <w:gridSpan w:val="2"/>
            <w:vAlign w:val="center"/>
          </w:tcPr>
          <w:p w14:paraId="35CDD7E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19</w:t>
            </w:r>
          </w:p>
        </w:tc>
      </w:tr>
      <w:tr w14:paraId="277B99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15F4EBB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2019" w:type="dxa"/>
            <w:vAlign w:val="center"/>
          </w:tcPr>
          <w:p w14:paraId="70049D7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铬（六价）</w:t>
            </w:r>
          </w:p>
        </w:tc>
        <w:tc>
          <w:tcPr>
            <w:tcW w:w="1124" w:type="dxa"/>
            <w:vAlign w:val="center"/>
          </w:tcPr>
          <w:p w14:paraId="7C1A602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0" w:type="dxa"/>
            <w:vAlign w:val="center"/>
          </w:tcPr>
          <w:p w14:paraId="1AE6DA4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29" w:type="dxa"/>
            <w:vAlign w:val="center"/>
          </w:tcPr>
          <w:p w14:paraId="2550E59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2B844E6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0DC0DE5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9" w:type="dxa"/>
            <w:gridSpan w:val="2"/>
            <w:vAlign w:val="center"/>
          </w:tcPr>
          <w:p w14:paraId="3B1ECBC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r w14:paraId="388CCF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4BC1B29E">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2019" w:type="dxa"/>
            <w:vAlign w:val="center"/>
          </w:tcPr>
          <w:p w14:paraId="60EE3E46">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铜（Cu）</w:t>
            </w:r>
          </w:p>
        </w:tc>
        <w:tc>
          <w:tcPr>
            <w:tcW w:w="1124" w:type="dxa"/>
            <w:vAlign w:val="center"/>
          </w:tcPr>
          <w:p w14:paraId="2ED7EC5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13</w:t>
            </w:r>
          </w:p>
        </w:tc>
        <w:tc>
          <w:tcPr>
            <w:tcW w:w="1130" w:type="dxa"/>
            <w:vAlign w:val="center"/>
          </w:tcPr>
          <w:p w14:paraId="2C9237B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17</w:t>
            </w:r>
          </w:p>
        </w:tc>
        <w:tc>
          <w:tcPr>
            <w:tcW w:w="1129" w:type="dxa"/>
            <w:vAlign w:val="center"/>
          </w:tcPr>
          <w:p w14:paraId="00715D1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19</w:t>
            </w:r>
          </w:p>
        </w:tc>
        <w:tc>
          <w:tcPr>
            <w:tcW w:w="1133" w:type="dxa"/>
            <w:vAlign w:val="center"/>
          </w:tcPr>
          <w:p w14:paraId="180C6EB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16</w:t>
            </w:r>
          </w:p>
        </w:tc>
        <w:tc>
          <w:tcPr>
            <w:tcW w:w="1133" w:type="dxa"/>
            <w:vAlign w:val="center"/>
          </w:tcPr>
          <w:p w14:paraId="2FFFD03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1139" w:type="dxa"/>
            <w:gridSpan w:val="2"/>
            <w:vAlign w:val="center"/>
          </w:tcPr>
          <w:p w14:paraId="03E30D9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17</w:t>
            </w:r>
          </w:p>
        </w:tc>
      </w:tr>
      <w:tr w14:paraId="7F2419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0CF4E2D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w:t>
            </w:r>
          </w:p>
        </w:tc>
        <w:tc>
          <w:tcPr>
            <w:tcW w:w="2019" w:type="dxa"/>
            <w:vAlign w:val="center"/>
          </w:tcPr>
          <w:p w14:paraId="29AEA959">
            <w:pPr>
              <w:adjustRightInd w:val="0"/>
              <w:snapToGrid w:val="0"/>
              <w:spacing w:line="360" w:lineRule="exact"/>
              <w:jc w:val="center"/>
              <w:rPr>
                <w:rFonts w:ascii="宋体" w:hAnsi="宋体" w:eastAsia="宋体" w:cs="Times New Roman"/>
                <w:color w:val="auto"/>
              </w:rPr>
            </w:pPr>
            <w:r>
              <w:rPr>
                <w:rFonts w:ascii="宋体" w:hAnsi="宋体" w:eastAsia="宋体" w:cs="Times New Roman"/>
                <w:snapToGrid w:val="0"/>
                <w:color w:val="auto"/>
              </w:rPr>
              <w:t>镍（Ni）</w:t>
            </w:r>
          </w:p>
        </w:tc>
        <w:tc>
          <w:tcPr>
            <w:tcW w:w="1124" w:type="dxa"/>
            <w:vAlign w:val="center"/>
          </w:tcPr>
          <w:p w14:paraId="2CA3760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26</w:t>
            </w:r>
          </w:p>
        </w:tc>
        <w:tc>
          <w:tcPr>
            <w:tcW w:w="1130" w:type="dxa"/>
            <w:vAlign w:val="center"/>
          </w:tcPr>
          <w:p w14:paraId="15F2C075">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19</w:t>
            </w:r>
          </w:p>
        </w:tc>
        <w:tc>
          <w:tcPr>
            <w:tcW w:w="1129" w:type="dxa"/>
            <w:vAlign w:val="center"/>
          </w:tcPr>
          <w:p w14:paraId="1CCE15E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24</w:t>
            </w:r>
          </w:p>
        </w:tc>
        <w:tc>
          <w:tcPr>
            <w:tcW w:w="1133" w:type="dxa"/>
            <w:vAlign w:val="center"/>
          </w:tcPr>
          <w:p w14:paraId="292B311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18</w:t>
            </w:r>
          </w:p>
        </w:tc>
        <w:tc>
          <w:tcPr>
            <w:tcW w:w="1133" w:type="dxa"/>
            <w:vAlign w:val="center"/>
          </w:tcPr>
          <w:p w14:paraId="7907D21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19</w:t>
            </w:r>
          </w:p>
        </w:tc>
        <w:tc>
          <w:tcPr>
            <w:tcW w:w="1139" w:type="dxa"/>
            <w:gridSpan w:val="2"/>
            <w:vAlign w:val="center"/>
          </w:tcPr>
          <w:p w14:paraId="3C14A5A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21</w:t>
            </w:r>
          </w:p>
        </w:tc>
      </w:tr>
      <w:tr w14:paraId="40E250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26F0BDBF">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9</w:t>
            </w:r>
          </w:p>
        </w:tc>
        <w:tc>
          <w:tcPr>
            <w:tcW w:w="2019" w:type="dxa"/>
            <w:vAlign w:val="center"/>
          </w:tcPr>
          <w:p w14:paraId="7CAC1D21">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水溶性盐总量</w:t>
            </w:r>
          </w:p>
        </w:tc>
        <w:tc>
          <w:tcPr>
            <w:tcW w:w="1124" w:type="dxa"/>
            <w:vAlign w:val="center"/>
          </w:tcPr>
          <w:p w14:paraId="71E6658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700</w:t>
            </w:r>
          </w:p>
        </w:tc>
        <w:tc>
          <w:tcPr>
            <w:tcW w:w="1130" w:type="dxa"/>
            <w:vAlign w:val="center"/>
          </w:tcPr>
          <w:p w14:paraId="2ED21E0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800</w:t>
            </w:r>
          </w:p>
        </w:tc>
        <w:tc>
          <w:tcPr>
            <w:tcW w:w="1129" w:type="dxa"/>
            <w:vAlign w:val="center"/>
          </w:tcPr>
          <w:p w14:paraId="4DD5A8C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500</w:t>
            </w:r>
          </w:p>
        </w:tc>
        <w:tc>
          <w:tcPr>
            <w:tcW w:w="1133" w:type="dxa"/>
            <w:vAlign w:val="center"/>
          </w:tcPr>
          <w:p w14:paraId="18B8149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700</w:t>
            </w:r>
          </w:p>
        </w:tc>
        <w:tc>
          <w:tcPr>
            <w:tcW w:w="1133" w:type="dxa"/>
            <w:vAlign w:val="center"/>
          </w:tcPr>
          <w:p w14:paraId="68FB815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600</w:t>
            </w:r>
          </w:p>
        </w:tc>
        <w:tc>
          <w:tcPr>
            <w:tcW w:w="1139" w:type="dxa"/>
            <w:gridSpan w:val="2"/>
            <w:vAlign w:val="center"/>
          </w:tcPr>
          <w:p w14:paraId="139E745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700</w:t>
            </w:r>
          </w:p>
        </w:tc>
      </w:tr>
      <w:tr w14:paraId="7E8FA1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4539F3D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2019" w:type="dxa"/>
            <w:vAlign w:val="center"/>
          </w:tcPr>
          <w:p w14:paraId="5B4D44A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石油类</w:t>
            </w:r>
          </w:p>
        </w:tc>
        <w:tc>
          <w:tcPr>
            <w:tcW w:w="1124" w:type="dxa"/>
            <w:vAlign w:val="center"/>
          </w:tcPr>
          <w:p w14:paraId="3E5036B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1130" w:type="dxa"/>
            <w:vAlign w:val="center"/>
          </w:tcPr>
          <w:p w14:paraId="265058E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13</w:t>
            </w:r>
          </w:p>
        </w:tc>
        <w:tc>
          <w:tcPr>
            <w:tcW w:w="1129" w:type="dxa"/>
            <w:vAlign w:val="center"/>
          </w:tcPr>
          <w:p w14:paraId="736FA63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133" w:type="dxa"/>
            <w:vAlign w:val="center"/>
          </w:tcPr>
          <w:p w14:paraId="1D48F92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1133" w:type="dxa"/>
            <w:vAlign w:val="center"/>
          </w:tcPr>
          <w:p w14:paraId="138A3CC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14</w:t>
            </w:r>
          </w:p>
        </w:tc>
        <w:tc>
          <w:tcPr>
            <w:tcW w:w="1139" w:type="dxa"/>
            <w:gridSpan w:val="2"/>
            <w:vAlign w:val="center"/>
          </w:tcPr>
          <w:p w14:paraId="394A9DA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11</w:t>
            </w:r>
          </w:p>
        </w:tc>
      </w:tr>
      <w:tr w14:paraId="7C092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672934C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2019" w:type="dxa"/>
            <w:vAlign w:val="center"/>
          </w:tcPr>
          <w:p w14:paraId="32DB1A0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w:t>
            </w:r>
          </w:p>
        </w:tc>
        <w:tc>
          <w:tcPr>
            <w:tcW w:w="1124" w:type="dxa"/>
            <w:vAlign w:val="center"/>
          </w:tcPr>
          <w:p w14:paraId="1A814C1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0" w:type="dxa"/>
            <w:vAlign w:val="center"/>
          </w:tcPr>
          <w:p w14:paraId="6D4FE86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29" w:type="dxa"/>
            <w:vAlign w:val="center"/>
          </w:tcPr>
          <w:p w14:paraId="2D93115B">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7E0D9F67">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6BA9405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9" w:type="dxa"/>
            <w:gridSpan w:val="2"/>
            <w:vAlign w:val="center"/>
          </w:tcPr>
          <w:p w14:paraId="5715D7E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r w14:paraId="01D9BA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79" w:type="dxa"/>
            <w:vAlign w:val="center"/>
          </w:tcPr>
          <w:p w14:paraId="05317978">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2019" w:type="dxa"/>
            <w:vAlign w:val="center"/>
          </w:tcPr>
          <w:p w14:paraId="560D9A7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w:t>
            </w:r>
          </w:p>
        </w:tc>
        <w:tc>
          <w:tcPr>
            <w:tcW w:w="1124" w:type="dxa"/>
            <w:vAlign w:val="center"/>
          </w:tcPr>
          <w:p w14:paraId="62EC28C3">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0" w:type="dxa"/>
            <w:vAlign w:val="center"/>
          </w:tcPr>
          <w:p w14:paraId="18E4B701">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29" w:type="dxa"/>
            <w:vAlign w:val="center"/>
          </w:tcPr>
          <w:p w14:paraId="194D6600">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494ED029">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3" w:type="dxa"/>
            <w:vAlign w:val="center"/>
          </w:tcPr>
          <w:p w14:paraId="6F949DA4">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39" w:type="dxa"/>
            <w:gridSpan w:val="2"/>
            <w:vAlign w:val="center"/>
          </w:tcPr>
          <w:p w14:paraId="33709A3C">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bl>
    <w:p w14:paraId="18E01D7F">
      <w:pPr>
        <w:spacing w:line="500" w:lineRule="exact"/>
        <w:ind w:firstLine="420" w:firstLineChars="200"/>
        <w:rPr>
          <w:rFonts w:ascii="宋体" w:hAnsi="宋体" w:eastAsia="宋体" w:cs="Times New Roman"/>
          <w:color w:val="auto"/>
          <w:kern w:val="21"/>
          <w:lang w:bidi="zh-CN"/>
        </w:rPr>
      </w:pPr>
      <w:r>
        <w:rPr>
          <w:rFonts w:ascii="宋体" w:hAnsi="宋体" w:eastAsia="宋体" w:cs="Times New Roman"/>
          <w:color w:val="auto"/>
          <w:kern w:val="21"/>
          <w:lang w:bidi="zh-CN"/>
        </w:rPr>
        <w:t>续表4.2-</w:t>
      </w:r>
      <w:r>
        <w:rPr>
          <w:rFonts w:hint="eastAsia" w:ascii="宋体" w:hAnsi="宋体" w:eastAsia="宋体" w:cs="Times New Roman"/>
          <w:color w:val="auto"/>
          <w:kern w:val="21"/>
          <w:lang w:bidi="zh-CN"/>
        </w:rPr>
        <w:t>19</w:t>
      </w:r>
      <w:r>
        <w:rPr>
          <w:rFonts w:ascii="宋体" w:hAnsi="宋体" w:eastAsia="宋体" w:cs="Times New Roman"/>
          <w:color w:val="auto"/>
          <w:kern w:val="21"/>
          <w:lang w:bidi="zh-CN"/>
        </w:rPr>
        <w:t xml:space="preserve"> 建设用地柱状及表层样土壤监测实测值 单位：mg/kg（pH除外）</w:t>
      </w:r>
    </w:p>
    <w:tbl>
      <w:tblPr>
        <w:tblStyle w:val="8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15"/>
        <w:gridCol w:w="1988"/>
        <w:gridCol w:w="1654"/>
        <w:gridCol w:w="784"/>
        <w:gridCol w:w="2452"/>
        <w:gridCol w:w="1795"/>
      </w:tblGrid>
      <w:tr w14:paraId="19DE06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91" w:type="dxa"/>
            <w:vMerge w:val="restart"/>
            <w:vAlign w:val="center"/>
          </w:tcPr>
          <w:p w14:paraId="68D84E81">
            <w:pPr>
              <w:snapToGrid w:val="0"/>
              <w:spacing w:line="360" w:lineRule="exact"/>
              <w:jc w:val="center"/>
              <w:rPr>
                <w:rFonts w:ascii="宋体" w:hAnsi="宋体" w:eastAsia="宋体" w:cs="Times New Roman"/>
                <w:color w:val="auto"/>
              </w:rPr>
            </w:pPr>
            <w:r>
              <w:rPr>
                <w:rFonts w:ascii="宋体" w:hAnsi="宋体" w:eastAsia="宋体" w:cs="Times New Roman"/>
                <w:color w:val="auto"/>
              </w:rPr>
              <w:t>序号</w:t>
            </w:r>
          </w:p>
        </w:tc>
        <w:tc>
          <w:tcPr>
            <w:tcW w:w="1914" w:type="dxa"/>
            <w:vMerge w:val="restart"/>
            <w:vAlign w:val="center"/>
          </w:tcPr>
          <w:p w14:paraId="4D4892A3">
            <w:pPr>
              <w:snapToGrid w:val="0"/>
              <w:spacing w:line="360" w:lineRule="exact"/>
              <w:jc w:val="center"/>
              <w:rPr>
                <w:rFonts w:ascii="宋体" w:hAnsi="宋体" w:eastAsia="宋体" w:cs="Times New Roman"/>
                <w:color w:val="auto"/>
              </w:rPr>
            </w:pPr>
            <w:r>
              <w:rPr>
                <w:rFonts w:ascii="宋体" w:hAnsi="宋体" w:eastAsia="宋体" w:cs="Times New Roman"/>
                <w:color w:val="auto"/>
              </w:rPr>
              <w:t>监测项目</w:t>
            </w:r>
          </w:p>
        </w:tc>
        <w:tc>
          <w:tcPr>
            <w:tcW w:w="1592" w:type="dxa"/>
            <w:vAlign w:val="center"/>
          </w:tcPr>
          <w:p w14:paraId="742E6701">
            <w:pPr>
              <w:snapToGrid w:val="0"/>
              <w:spacing w:line="360" w:lineRule="exact"/>
              <w:jc w:val="center"/>
              <w:rPr>
                <w:rFonts w:ascii="宋体" w:hAnsi="宋体" w:eastAsia="宋体" w:cs="Times New Roman"/>
                <w:color w:val="auto"/>
              </w:rPr>
            </w:pPr>
            <w:r>
              <w:rPr>
                <w:rFonts w:ascii="宋体" w:hAnsi="宋体" w:eastAsia="宋体" w:cs="Times New Roman"/>
                <w:color w:val="auto"/>
              </w:rPr>
              <w:t>监测点位</w:t>
            </w:r>
          </w:p>
        </w:tc>
        <w:tc>
          <w:tcPr>
            <w:tcW w:w="755" w:type="dxa"/>
            <w:vMerge w:val="restart"/>
            <w:vAlign w:val="center"/>
          </w:tcPr>
          <w:p w14:paraId="333291DE">
            <w:pPr>
              <w:snapToGrid w:val="0"/>
              <w:spacing w:line="360" w:lineRule="exact"/>
              <w:jc w:val="center"/>
              <w:rPr>
                <w:rFonts w:ascii="宋体" w:hAnsi="宋体" w:eastAsia="宋体" w:cs="Times New Roman"/>
                <w:color w:val="auto"/>
              </w:rPr>
            </w:pPr>
            <w:r>
              <w:rPr>
                <w:rFonts w:ascii="宋体" w:hAnsi="宋体" w:eastAsia="宋体" w:cs="Times New Roman"/>
                <w:color w:val="auto"/>
              </w:rPr>
              <w:t>序号</w:t>
            </w:r>
          </w:p>
        </w:tc>
        <w:tc>
          <w:tcPr>
            <w:tcW w:w="2362" w:type="dxa"/>
            <w:vMerge w:val="restart"/>
            <w:vAlign w:val="center"/>
          </w:tcPr>
          <w:p w14:paraId="3612B8E8">
            <w:pPr>
              <w:snapToGrid w:val="0"/>
              <w:spacing w:line="360" w:lineRule="exact"/>
              <w:jc w:val="center"/>
              <w:rPr>
                <w:rFonts w:ascii="宋体" w:hAnsi="宋体" w:eastAsia="宋体" w:cs="Times New Roman"/>
                <w:color w:val="auto"/>
              </w:rPr>
            </w:pPr>
            <w:r>
              <w:rPr>
                <w:rFonts w:ascii="宋体" w:hAnsi="宋体" w:eastAsia="宋体" w:cs="Times New Roman"/>
                <w:color w:val="auto"/>
              </w:rPr>
              <w:t>监测项目</w:t>
            </w:r>
          </w:p>
        </w:tc>
        <w:tc>
          <w:tcPr>
            <w:tcW w:w="1728" w:type="dxa"/>
            <w:vAlign w:val="center"/>
          </w:tcPr>
          <w:p w14:paraId="074C6C29">
            <w:pPr>
              <w:snapToGrid w:val="0"/>
              <w:spacing w:line="360" w:lineRule="exact"/>
              <w:jc w:val="center"/>
              <w:rPr>
                <w:rFonts w:ascii="宋体" w:hAnsi="宋体" w:eastAsia="宋体" w:cs="Times New Roman"/>
                <w:color w:val="auto"/>
              </w:rPr>
            </w:pPr>
            <w:r>
              <w:rPr>
                <w:rFonts w:ascii="宋体" w:hAnsi="宋体" w:eastAsia="宋体" w:cs="Times New Roman"/>
                <w:color w:val="auto"/>
              </w:rPr>
              <w:t>监测点位</w:t>
            </w:r>
          </w:p>
        </w:tc>
      </w:tr>
      <w:tr w14:paraId="38EFAA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Merge w:val="continue"/>
            <w:vAlign w:val="center"/>
          </w:tcPr>
          <w:p w14:paraId="759E2AC1">
            <w:pPr>
              <w:snapToGrid w:val="0"/>
              <w:spacing w:line="360" w:lineRule="exact"/>
              <w:jc w:val="center"/>
              <w:rPr>
                <w:rFonts w:ascii="宋体" w:hAnsi="宋体" w:eastAsia="宋体" w:cs="Times New Roman"/>
                <w:color w:val="auto"/>
              </w:rPr>
            </w:pPr>
          </w:p>
        </w:tc>
        <w:tc>
          <w:tcPr>
            <w:tcW w:w="1914" w:type="dxa"/>
            <w:vMerge w:val="continue"/>
            <w:vAlign w:val="center"/>
          </w:tcPr>
          <w:p w14:paraId="4FDB173D">
            <w:pPr>
              <w:snapToGrid w:val="0"/>
              <w:spacing w:line="360" w:lineRule="exact"/>
              <w:jc w:val="center"/>
              <w:rPr>
                <w:rFonts w:ascii="宋体" w:hAnsi="宋体" w:eastAsia="宋体" w:cs="Times New Roman"/>
                <w:color w:val="auto"/>
              </w:rPr>
            </w:pPr>
          </w:p>
        </w:tc>
        <w:tc>
          <w:tcPr>
            <w:tcW w:w="1592" w:type="dxa"/>
            <w:vAlign w:val="center"/>
          </w:tcPr>
          <w:p w14:paraId="23175302">
            <w:pPr>
              <w:snapToGrid w:val="0"/>
              <w:spacing w:line="360" w:lineRule="exact"/>
              <w:jc w:val="center"/>
              <w:rPr>
                <w:rFonts w:ascii="宋体" w:hAnsi="宋体" w:eastAsia="宋体" w:cs="Times New Roman"/>
                <w:color w:val="auto"/>
              </w:rPr>
            </w:pPr>
            <w:r>
              <w:rPr>
                <w:rFonts w:ascii="宋体" w:hAnsi="宋体" w:eastAsia="宋体" w:cs="Times New Roman"/>
                <w:color w:val="auto"/>
              </w:rPr>
              <w:t>S1#～S</w:t>
            </w:r>
            <w:r>
              <w:rPr>
                <w:rFonts w:hint="eastAsia" w:ascii="宋体" w:hAnsi="宋体" w:eastAsia="宋体" w:cs="Times New Roman"/>
                <w:color w:val="auto"/>
              </w:rPr>
              <w:t>8</w:t>
            </w:r>
            <w:r>
              <w:rPr>
                <w:rFonts w:ascii="宋体" w:hAnsi="宋体" w:eastAsia="宋体" w:cs="Times New Roman"/>
                <w:color w:val="auto"/>
              </w:rPr>
              <w:t>#点</w:t>
            </w:r>
          </w:p>
        </w:tc>
        <w:tc>
          <w:tcPr>
            <w:tcW w:w="755" w:type="dxa"/>
            <w:vMerge w:val="continue"/>
            <w:vAlign w:val="center"/>
          </w:tcPr>
          <w:p w14:paraId="50D83104">
            <w:pPr>
              <w:snapToGrid w:val="0"/>
              <w:spacing w:line="360" w:lineRule="exact"/>
              <w:jc w:val="center"/>
              <w:rPr>
                <w:rFonts w:ascii="宋体" w:hAnsi="宋体" w:eastAsia="宋体" w:cs="Times New Roman"/>
                <w:color w:val="auto"/>
              </w:rPr>
            </w:pPr>
          </w:p>
        </w:tc>
        <w:tc>
          <w:tcPr>
            <w:tcW w:w="2362" w:type="dxa"/>
            <w:vMerge w:val="continue"/>
            <w:vAlign w:val="center"/>
          </w:tcPr>
          <w:p w14:paraId="10DD56A0">
            <w:pPr>
              <w:snapToGrid w:val="0"/>
              <w:spacing w:line="360" w:lineRule="exact"/>
              <w:jc w:val="center"/>
              <w:rPr>
                <w:rFonts w:ascii="宋体" w:hAnsi="宋体" w:eastAsia="宋体" w:cs="Times New Roman"/>
                <w:color w:val="auto"/>
              </w:rPr>
            </w:pPr>
          </w:p>
        </w:tc>
        <w:tc>
          <w:tcPr>
            <w:tcW w:w="1728" w:type="dxa"/>
            <w:vAlign w:val="center"/>
          </w:tcPr>
          <w:p w14:paraId="1650E862">
            <w:pPr>
              <w:snapToGrid w:val="0"/>
              <w:spacing w:line="360" w:lineRule="exact"/>
              <w:jc w:val="center"/>
              <w:rPr>
                <w:rFonts w:ascii="宋体" w:hAnsi="宋体" w:eastAsia="宋体" w:cs="Times New Roman"/>
                <w:color w:val="auto"/>
              </w:rPr>
            </w:pPr>
            <w:r>
              <w:rPr>
                <w:rFonts w:ascii="宋体" w:hAnsi="宋体" w:eastAsia="宋体" w:cs="Times New Roman"/>
                <w:color w:val="auto"/>
              </w:rPr>
              <w:t>S1#～S</w:t>
            </w:r>
            <w:r>
              <w:rPr>
                <w:rFonts w:hint="eastAsia" w:ascii="宋体" w:hAnsi="宋体" w:eastAsia="宋体" w:cs="Times New Roman"/>
                <w:color w:val="auto"/>
              </w:rPr>
              <w:t>8</w:t>
            </w:r>
            <w:r>
              <w:rPr>
                <w:rFonts w:ascii="宋体" w:hAnsi="宋体" w:eastAsia="宋体" w:cs="Times New Roman"/>
                <w:color w:val="auto"/>
              </w:rPr>
              <w:t>#点</w:t>
            </w:r>
          </w:p>
        </w:tc>
      </w:tr>
      <w:tr w14:paraId="22EEB0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5D60717D">
            <w:pPr>
              <w:snapToGrid w:val="0"/>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1914" w:type="dxa"/>
            <w:vAlign w:val="center"/>
          </w:tcPr>
          <w:p w14:paraId="57EEACE3">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四氯化碳</w:t>
            </w:r>
          </w:p>
        </w:tc>
        <w:tc>
          <w:tcPr>
            <w:tcW w:w="1592" w:type="dxa"/>
          </w:tcPr>
          <w:p w14:paraId="7A6B708E">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06C9ED9A">
            <w:pPr>
              <w:snapToGrid w:val="0"/>
              <w:spacing w:line="360" w:lineRule="exact"/>
              <w:jc w:val="center"/>
              <w:rPr>
                <w:rFonts w:ascii="宋体" w:hAnsi="宋体" w:eastAsia="宋体" w:cs="Times New Roman"/>
                <w:color w:val="auto"/>
              </w:rPr>
            </w:pPr>
            <w:r>
              <w:rPr>
                <w:rFonts w:ascii="宋体" w:hAnsi="宋体" w:eastAsia="宋体" w:cs="Times New Roman"/>
                <w:color w:val="auto"/>
              </w:rPr>
              <w:t>20</w:t>
            </w:r>
          </w:p>
        </w:tc>
        <w:tc>
          <w:tcPr>
            <w:tcW w:w="2362" w:type="dxa"/>
            <w:vAlign w:val="center"/>
          </w:tcPr>
          <w:p w14:paraId="0BACE3B9">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氯苯</w:t>
            </w:r>
          </w:p>
        </w:tc>
        <w:tc>
          <w:tcPr>
            <w:tcW w:w="1728" w:type="dxa"/>
          </w:tcPr>
          <w:p w14:paraId="02A8DB38">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04D56A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3A03C6A2">
            <w:pPr>
              <w:snapToGrid w:val="0"/>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1914" w:type="dxa"/>
            <w:vAlign w:val="center"/>
          </w:tcPr>
          <w:p w14:paraId="3DE8161C">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氯仿</w:t>
            </w:r>
          </w:p>
        </w:tc>
        <w:tc>
          <w:tcPr>
            <w:tcW w:w="1592" w:type="dxa"/>
          </w:tcPr>
          <w:p w14:paraId="0BA5012C">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542AB605">
            <w:pPr>
              <w:snapToGrid w:val="0"/>
              <w:spacing w:line="360" w:lineRule="exact"/>
              <w:jc w:val="center"/>
              <w:rPr>
                <w:rFonts w:ascii="宋体" w:hAnsi="宋体" w:eastAsia="宋体" w:cs="Times New Roman"/>
                <w:color w:val="auto"/>
              </w:rPr>
            </w:pPr>
            <w:r>
              <w:rPr>
                <w:rFonts w:ascii="宋体" w:hAnsi="宋体" w:eastAsia="宋体" w:cs="Times New Roman"/>
                <w:color w:val="auto"/>
              </w:rPr>
              <w:t>21</w:t>
            </w:r>
          </w:p>
        </w:tc>
        <w:tc>
          <w:tcPr>
            <w:tcW w:w="2362" w:type="dxa"/>
            <w:vAlign w:val="center"/>
          </w:tcPr>
          <w:p w14:paraId="0595D123">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1,2-二氯苯</w:t>
            </w:r>
          </w:p>
        </w:tc>
        <w:tc>
          <w:tcPr>
            <w:tcW w:w="1728" w:type="dxa"/>
          </w:tcPr>
          <w:p w14:paraId="5F84CDBB">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776853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0A6796D3">
            <w:pPr>
              <w:snapToGrid w:val="0"/>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1914" w:type="dxa"/>
            <w:vAlign w:val="center"/>
          </w:tcPr>
          <w:p w14:paraId="4311E050">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氯甲烷</w:t>
            </w:r>
          </w:p>
        </w:tc>
        <w:tc>
          <w:tcPr>
            <w:tcW w:w="1592" w:type="dxa"/>
          </w:tcPr>
          <w:p w14:paraId="1FD737BA">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1E81AC2B">
            <w:pPr>
              <w:snapToGrid w:val="0"/>
              <w:spacing w:line="360" w:lineRule="exact"/>
              <w:jc w:val="center"/>
              <w:rPr>
                <w:rFonts w:ascii="宋体" w:hAnsi="宋体" w:eastAsia="宋体" w:cs="Times New Roman"/>
                <w:color w:val="auto"/>
              </w:rPr>
            </w:pPr>
            <w:r>
              <w:rPr>
                <w:rFonts w:ascii="宋体" w:hAnsi="宋体" w:eastAsia="宋体" w:cs="Times New Roman"/>
                <w:color w:val="auto"/>
              </w:rPr>
              <w:t>22</w:t>
            </w:r>
          </w:p>
        </w:tc>
        <w:tc>
          <w:tcPr>
            <w:tcW w:w="2362" w:type="dxa"/>
            <w:vAlign w:val="center"/>
          </w:tcPr>
          <w:p w14:paraId="6FB6C00A">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1,4-二氯苯</w:t>
            </w:r>
          </w:p>
        </w:tc>
        <w:tc>
          <w:tcPr>
            <w:tcW w:w="1728" w:type="dxa"/>
          </w:tcPr>
          <w:p w14:paraId="50F23857">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392710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78552CB3">
            <w:pPr>
              <w:snapToGrid w:val="0"/>
              <w:spacing w:line="360" w:lineRule="exact"/>
              <w:jc w:val="center"/>
              <w:rPr>
                <w:rFonts w:ascii="宋体" w:hAnsi="宋体" w:eastAsia="宋体" w:cs="Times New Roman"/>
                <w:color w:val="auto"/>
              </w:rPr>
            </w:pPr>
            <w:r>
              <w:rPr>
                <w:rFonts w:ascii="宋体" w:hAnsi="宋体" w:eastAsia="宋体" w:cs="Times New Roman"/>
                <w:color w:val="auto"/>
              </w:rPr>
              <w:t>4</w:t>
            </w:r>
          </w:p>
        </w:tc>
        <w:tc>
          <w:tcPr>
            <w:tcW w:w="1914" w:type="dxa"/>
            <w:vAlign w:val="center"/>
          </w:tcPr>
          <w:p w14:paraId="76A0C08A">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1,1-二氯乙烷</w:t>
            </w:r>
          </w:p>
        </w:tc>
        <w:tc>
          <w:tcPr>
            <w:tcW w:w="1592" w:type="dxa"/>
          </w:tcPr>
          <w:p w14:paraId="10077588">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09349E94">
            <w:pPr>
              <w:snapToGrid w:val="0"/>
              <w:spacing w:line="360" w:lineRule="exact"/>
              <w:jc w:val="center"/>
              <w:rPr>
                <w:rFonts w:ascii="宋体" w:hAnsi="宋体" w:eastAsia="宋体" w:cs="Times New Roman"/>
                <w:color w:val="auto"/>
              </w:rPr>
            </w:pPr>
            <w:r>
              <w:rPr>
                <w:rFonts w:ascii="宋体" w:hAnsi="宋体" w:eastAsia="宋体" w:cs="Times New Roman"/>
                <w:color w:val="auto"/>
              </w:rPr>
              <w:t>23</w:t>
            </w:r>
          </w:p>
        </w:tc>
        <w:tc>
          <w:tcPr>
            <w:tcW w:w="2362" w:type="dxa"/>
            <w:vAlign w:val="center"/>
          </w:tcPr>
          <w:p w14:paraId="42B441C6">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乙苯</w:t>
            </w:r>
          </w:p>
        </w:tc>
        <w:tc>
          <w:tcPr>
            <w:tcW w:w="1728" w:type="dxa"/>
          </w:tcPr>
          <w:p w14:paraId="184C10A4">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5CF17F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2AB23103">
            <w:pPr>
              <w:snapToGrid w:val="0"/>
              <w:spacing w:line="360" w:lineRule="exact"/>
              <w:jc w:val="center"/>
              <w:rPr>
                <w:rFonts w:ascii="宋体" w:hAnsi="宋体" w:eastAsia="宋体" w:cs="Times New Roman"/>
                <w:color w:val="auto"/>
              </w:rPr>
            </w:pPr>
            <w:r>
              <w:rPr>
                <w:rFonts w:ascii="宋体" w:hAnsi="宋体" w:eastAsia="宋体" w:cs="Times New Roman"/>
                <w:color w:val="auto"/>
              </w:rPr>
              <w:t>5</w:t>
            </w:r>
          </w:p>
        </w:tc>
        <w:tc>
          <w:tcPr>
            <w:tcW w:w="1914" w:type="dxa"/>
            <w:vAlign w:val="center"/>
          </w:tcPr>
          <w:p w14:paraId="110F0062">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1,2-二氯乙烷</w:t>
            </w:r>
          </w:p>
        </w:tc>
        <w:tc>
          <w:tcPr>
            <w:tcW w:w="1592" w:type="dxa"/>
          </w:tcPr>
          <w:p w14:paraId="078E5D3D">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7B9B9206">
            <w:pPr>
              <w:snapToGrid w:val="0"/>
              <w:spacing w:line="360" w:lineRule="exact"/>
              <w:jc w:val="center"/>
              <w:rPr>
                <w:rFonts w:ascii="宋体" w:hAnsi="宋体" w:eastAsia="宋体" w:cs="Times New Roman"/>
                <w:color w:val="auto"/>
              </w:rPr>
            </w:pPr>
            <w:r>
              <w:rPr>
                <w:rFonts w:ascii="宋体" w:hAnsi="宋体" w:eastAsia="宋体" w:cs="Times New Roman"/>
                <w:color w:val="auto"/>
              </w:rPr>
              <w:t>24</w:t>
            </w:r>
          </w:p>
        </w:tc>
        <w:tc>
          <w:tcPr>
            <w:tcW w:w="2362" w:type="dxa"/>
            <w:vAlign w:val="center"/>
          </w:tcPr>
          <w:p w14:paraId="1A3DD81C">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苯乙烯</w:t>
            </w:r>
          </w:p>
        </w:tc>
        <w:tc>
          <w:tcPr>
            <w:tcW w:w="1728" w:type="dxa"/>
          </w:tcPr>
          <w:p w14:paraId="51985B40">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6AFB00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37A665B6">
            <w:pPr>
              <w:snapToGrid w:val="0"/>
              <w:spacing w:line="360" w:lineRule="exact"/>
              <w:jc w:val="center"/>
              <w:rPr>
                <w:rFonts w:ascii="宋体" w:hAnsi="宋体" w:eastAsia="宋体" w:cs="Times New Roman"/>
                <w:color w:val="auto"/>
              </w:rPr>
            </w:pPr>
            <w:r>
              <w:rPr>
                <w:rFonts w:ascii="宋体" w:hAnsi="宋体" w:eastAsia="宋体" w:cs="Times New Roman"/>
                <w:color w:val="auto"/>
              </w:rPr>
              <w:t>6</w:t>
            </w:r>
          </w:p>
        </w:tc>
        <w:tc>
          <w:tcPr>
            <w:tcW w:w="1914" w:type="dxa"/>
            <w:vAlign w:val="center"/>
          </w:tcPr>
          <w:p w14:paraId="0598B95C">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1,1-二氯乙烯</w:t>
            </w:r>
          </w:p>
        </w:tc>
        <w:tc>
          <w:tcPr>
            <w:tcW w:w="1592" w:type="dxa"/>
          </w:tcPr>
          <w:p w14:paraId="4F0BA16A">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0C3C32AF">
            <w:pPr>
              <w:snapToGrid w:val="0"/>
              <w:spacing w:line="360" w:lineRule="exact"/>
              <w:jc w:val="center"/>
              <w:rPr>
                <w:rFonts w:ascii="宋体" w:hAnsi="宋体" w:eastAsia="宋体" w:cs="Times New Roman"/>
                <w:color w:val="auto"/>
              </w:rPr>
            </w:pPr>
            <w:r>
              <w:rPr>
                <w:rFonts w:ascii="宋体" w:hAnsi="宋体" w:eastAsia="宋体" w:cs="Times New Roman"/>
                <w:color w:val="auto"/>
              </w:rPr>
              <w:t>25</w:t>
            </w:r>
          </w:p>
        </w:tc>
        <w:tc>
          <w:tcPr>
            <w:tcW w:w="2362" w:type="dxa"/>
            <w:vAlign w:val="center"/>
          </w:tcPr>
          <w:p w14:paraId="7C710883">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甲苯</w:t>
            </w:r>
          </w:p>
        </w:tc>
        <w:tc>
          <w:tcPr>
            <w:tcW w:w="1728" w:type="dxa"/>
          </w:tcPr>
          <w:p w14:paraId="1760787D">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2790DF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3A470F85">
            <w:pPr>
              <w:snapToGrid w:val="0"/>
              <w:spacing w:line="360" w:lineRule="exact"/>
              <w:jc w:val="center"/>
              <w:rPr>
                <w:rFonts w:ascii="宋体" w:hAnsi="宋体" w:eastAsia="宋体" w:cs="Times New Roman"/>
                <w:color w:val="auto"/>
              </w:rPr>
            </w:pPr>
            <w:r>
              <w:rPr>
                <w:rFonts w:ascii="宋体" w:hAnsi="宋体" w:eastAsia="宋体" w:cs="Times New Roman"/>
                <w:color w:val="auto"/>
              </w:rPr>
              <w:t>7</w:t>
            </w:r>
          </w:p>
        </w:tc>
        <w:tc>
          <w:tcPr>
            <w:tcW w:w="1914" w:type="dxa"/>
            <w:vAlign w:val="center"/>
          </w:tcPr>
          <w:p w14:paraId="532B25E0">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顺-1,2-二氯乙烯</w:t>
            </w:r>
          </w:p>
        </w:tc>
        <w:tc>
          <w:tcPr>
            <w:tcW w:w="1592" w:type="dxa"/>
          </w:tcPr>
          <w:p w14:paraId="3958E3EF">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222D0E55">
            <w:pPr>
              <w:snapToGrid w:val="0"/>
              <w:spacing w:line="360" w:lineRule="exact"/>
              <w:jc w:val="center"/>
              <w:rPr>
                <w:rFonts w:ascii="宋体" w:hAnsi="宋体" w:eastAsia="宋体" w:cs="Times New Roman"/>
                <w:color w:val="auto"/>
              </w:rPr>
            </w:pPr>
            <w:r>
              <w:rPr>
                <w:rFonts w:ascii="宋体" w:hAnsi="宋体" w:eastAsia="宋体" w:cs="Times New Roman"/>
                <w:color w:val="auto"/>
              </w:rPr>
              <w:t>26</w:t>
            </w:r>
          </w:p>
        </w:tc>
        <w:tc>
          <w:tcPr>
            <w:tcW w:w="2362" w:type="dxa"/>
            <w:vAlign w:val="center"/>
          </w:tcPr>
          <w:p w14:paraId="358BA9CC">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间，对二甲苯</w:t>
            </w:r>
          </w:p>
        </w:tc>
        <w:tc>
          <w:tcPr>
            <w:tcW w:w="1728" w:type="dxa"/>
          </w:tcPr>
          <w:p w14:paraId="49FDC58F">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394DA3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7BDF2348">
            <w:pPr>
              <w:snapToGrid w:val="0"/>
              <w:spacing w:line="360" w:lineRule="exact"/>
              <w:jc w:val="center"/>
              <w:rPr>
                <w:rFonts w:ascii="宋体" w:hAnsi="宋体" w:eastAsia="宋体" w:cs="Times New Roman"/>
                <w:color w:val="auto"/>
              </w:rPr>
            </w:pPr>
            <w:r>
              <w:rPr>
                <w:rFonts w:ascii="宋体" w:hAnsi="宋体" w:eastAsia="宋体" w:cs="Times New Roman"/>
                <w:color w:val="auto"/>
              </w:rPr>
              <w:t>8</w:t>
            </w:r>
          </w:p>
        </w:tc>
        <w:tc>
          <w:tcPr>
            <w:tcW w:w="1914" w:type="dxa"/>
            <w:vAlign w:val="center"/>
          </w:tcPr>
          <w:p w14:paraId="3A598987">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反-1,2-二氯乙烯</w:t>
            </w:r>
          </w:p>
        </w:tc>
        <w:tc>
          <w:tcPr>
            <w:tcW w:w="1592" w:type="dxa"/>
          </w:tcPr>
          <w:p w14:paraId="17FDCA00">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7E3B2030">
            <w:pPr>
              <w:snapToGrid w:val="0"/>
              <w:spacing w:line="360" w:lineRule="exact"/>
              <w:jc w:val="center"/>
              <w:rPr>
                <w:rFonts w:ascii="宋体" w:hAnsi="宋体" w:eastAsia="宋体" w:cs="Times New Roman"/>
                <w:color w:val="auto"/>
              </w:rPr>
            </w:pPr>
            <w:r>
              <w:rPr>
                <w:rFonts w:ascii="宋体" w:hAnsi="宋体" w:eastAsia="宋体" w:cs="Times New Roman"/>
                <w:color w:val="auto"/>
              </w:rPr>
              <w:t>27</w:t>
            </w:r>
          </w:p>
        </w:tc>
        <w:tc>
          <w:tcPr>
            <w:tcW w:w="2362" w:type="dxa"/>
            <w:vAlign w:val="center"/>
          </w:tcPr>
          <w:p w14:paraId="3D4EC880">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邻二甲苯</w:t>
            </w:r>
          </w:p>
        </w:tc>
        <w:tc>
          <w:tcPr>
            <w:tcW w:w="1728" w:type="dxa"/>
          </w:tcPr>
          <w:p w14:paraId="126EA21B">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3A0214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7293A4F4">
            <w:pPr>
              <w:snapToGrid w:val="0"/>
              <w:spacing w:line="360" w:lineRule="exact"/>
              <w:jc w:val="center"/>
              <w:rPr>
                <w:rFonts w:ascii="宋体" w:hAnsi="宋体" w:eastAsia="宋体" w:cs="Times New Roman"/>
                <w:color w:val="auto"/>
              </w:rPr>
            </w:pPr>
            <w:r>
              <w:rPr>
                <w:rFonts w:ascii="宋体" w:hAnsi="宋体" w:eastAsia="宋体" w:cs="Times New Roman"/>
                <w:color w:val="auto"/>
              </w:rPr>
              <w:t>9</w:t>
            </w:r>
          </w:p>
        </w:tc>
        <w:tc>
          <w:tcPr>
            <w:tcW w:w="1914" w:type="dxa"/>
            <w:vAlign w:val="center"/>
          </w:tcPr>
          <w:p w14:paraId="252C1EC7">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二氯甲烷</w:t>
            </w:r>
          </w:p>
        </w:tc>
        <w:tc>
          <w:tcPr>
            <w:tcW w:w="1592" w:type="dxa"/>
          </w:tcPr>
          <w:p w14:paraId="28A56EC5">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6D973110">
            <w:pPr>
              <w:snapToGrid w:val="0"/>
              <w:spacing w:line="360" w:lineRule="exact"/>
              <w:jc w:val="center"/>
              <w:rPr>
                <w:rFonts w:ascii="宋体" w:hAnsi="宋体" w:eastAsia="宋体" w:cs="Times New Roman"/>
                <w:color w:val="auto"/>
              </w:rPr>
            </w:pPr>
            <w:r>
              <w:rPr>
                <w:rFonts w:ascii="宋体" w:hAnsi="宋体" w:eastAsia="宋体" w:cs="Times New Roman"/>
                <w:color w:val="auto"/>
              </w:rPr>
              <w:t>28</w:t>
            </w:r>
          </w:p>
        </w:tc>
        <w:tc>
          <w:tcPr>
            <w:tcW w:w="2362" w:type="dxa"/>
            <w:vAlign w:val="center"/>
          </w:tcPr>
          <w:p w14:paraId="5C42272D">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硝基苯</w:t>
            </w:r>
          </w:p>
        </w:tc>
        <w:tc>
          <w:tcPr>
            <w:tcW w:w="1728" w:type="dxa"/>
          </w:tcPr>
          <w:p w14:paraId="70E5C6A1">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416DB2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7CCC4487">
            <w:pPr>
              <w:snapToGrid w:val="0"/>
              <w:spacing w:line="360" w:lineRule="exact"/>
              <w:jc w:val="center"/>
              <w:rPr>
                <w:rFonts w:ascii="宋体" w:hAnsi="宋体" w:eastAsia="宋体" w:cs="Times New Roman"/>
                <w:color w:val="auto"/>
              </w:rPr>
            </w:pPr>
            <w:r>
              <w:rPr>
                <w:rFonts w:ascii="宋体" w:hAnsi="宋体" w:eastAsia="宋体" w:cs="Times New Roman"/>
                <w:color w:val="auto"/>
              </w:rPr>
              <w:t>10</w:t>
            </w:r>
          </w:p>
        </w:tc>
        <w:tc>
          <w:tcPr>
            <w:tcW w:w="1914" w:type="dxa"/>
            <w:vAlign w:val="center"/>
          </w:tcPr>
          <w:p w14:paraId="436DF4DD">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1,2-二氯丙烷</w:t>
            </w:r>
          </w:p>
        </w:tc>
        <w:tc>
          <w:tcPr>
            <w:tcW w:w="1592" w:type="dxa"/>
          </w:tcPr>
          <w:p w14:paraId="6C57AC02">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7A6EADE0">
            <w:pPr>
              <w:snapToGrid w:val="0"/>
              <w:spacing w:line="360" w:lineRule="exact"/>
              <w:jc w:val="center"/>
              <w:rPr>
                <w:rFonts w:ascii="宋体" w:hAnsi="宋体" w:eastAsia="宋体" w:cs="Times New Roman"/>
                <w:color w:val="auto"/>
              </w:rPr>
            </w:pPr>
            <w:r>
              <w:rPr>
                <w:rFonts w:ascii="宋体" w:hAnsi="宋体" w:eastAsia="宋体" w:cs="Times New Roman"/>
                <w:color w:val="auto"/>
              </w:rPr>
              <w:t>29</w:t>
            </w:r>
          </w:p>
        </w:tc>
        <w:tc>
          <w:tcPr>
            <w:tcW w:w="2362" w:type="dxa"/>
            <w:vAlign w:val="center"/>
          </w:tcPr>
          <w:p w14:paraId="031172F9">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苯胺</w:t>
            </w:r>
          </w:p>
        </w:tc>
        <w:tc>
          <w:tcPr>
            <w:tcW w:w="1728" w:type="dxa"/>
          </w:tcPr>
          <w:p w14:paraId="4F747307">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4CF273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286D8819">
            <w:pPr>
              <w:snapToGrid w:val="0"/>
              <w:spacing w:line="360" w:lineRule="exact"/>
              <w:jc w:val="center"/>
              <w:rPr>
                <w:rFonts w:ascii="宋体" w:hAnsi="宋体" w:eastAsia="宋体" w:cs="Times New Roman"/>
                <w:color w:val="auto"/>
              </w:rPr>
            </w:pPr>
            <w:r>
              <w:rPr>
                <w:rFonts w:ascii="宋体" w:hAnsi="宋体" w:eastAsia="宋体" w:cs="Times New Roman"/>
                <w:color w:val="auto"/>
              </w:rPr>
              <w:t>11</w:t>
            </w:r>
          </w:p>
        </w:tc>
        <w:tc>
          <w:tcPr>
            <w:tcW w:w="1914" w:type="dxa"/>
            <w:vAlign w:val="center"/>
          </w:tcPr>
          <w:p w14:paraId="0D0ADF5B">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1,1,1,2-四氯乙烷</w:t>
            </w:r>
          </w:p>
        </w:tc>
        <w:tc>
          <w:tcPr>
            <w:tcW w:w="1592" w:type="dxa"/>
          </w:tcPr>
          <w:p w14:paraId="75276957">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04013328">
            <w:pPr>
              <w:snapToGrid w:val="0"/>
              <w:spacing w:line="360" w:lineRule="exact"/>
              <w:jc w:val="center"/>
              <w:rPr>
                <w:rFonts w:ascii="宋体" w:hAnsi="宋体" w:eastAsia="宋体" w:cs="Times New Roman"/>
                <w:color w:val="auto"/>
              </w:rPr>
            </w:pPr>
            <w:r>
              <w:rPr>
                <w:rFonts w:ascii="宋体" w:hAnsi="宋体" w:eastAsia="宋体" w:cs="Times New Roman"/>
                <w:color w:val="auto"/>
              </w:rPr>
              <w:t>30</w:t>
            </w:r>
          </w:p>
        </w:tc>
        <w:tc>
          <w:tcPr>
            <w:tcW w:w="2362" w:type="dxa"/>
            <w:vAlign w:val="center"/>
          </w:tcPr>
          <w:p w14:paraId="3D144572">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2-氯酚</w:t>
            </w:r>
          </w:p>
        </w:tc>
        <w:tc>
          <w:tcPr>
            <w:tcW w:w="1728" w:type="dxa"/>
          </w:tcPr>
          <w:p w14:paraId="4DB8FDEE">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583A5B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0C3DEA4D">
            <w:pPr>
              <w:snapToGrid w:val="0"/>
              <w:spacing w:line="360" w:lineRule="exact"/>
              <w:jc w:val="center"/>
              <w:rPr>
                <w:rFonts w:ascii="宋体" w:hAnsi="宋体" w:eastAsia="宋体" w:cs="Times New Roman"/>
                <w:color w:val="auto"/>
              </w:rPr>
            </w:pPr>
            <w:r>
              <w:rPr>
                <w:rFonts w:ascii="宋体" w:hAnsi="宋体" w:eastAsia="宋体" w:cs="Times New Roman"/>
                <w:color w:val="auto"/>
              </w:rPr>
              <w:t>12</w:t>
            </w:r>
          </w:p>
        </w:tc>
        <w:tc>
          <w:tcPr>
            <w:tcW w:w="1914" w:type="dxa"/>
            <w:vAlign w:val="center"/>
          </w:tcPr>
          <w:p w14:paraId="3E524E96">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1,1,2,2-四氯乙烷</w:t>
            </w:r>
          </w:p>
        </w:tc>
        <w:tc>
          <w:tcPr>
            <w:tcW w:w="1592" w:type="dxa"/>
          </w:tcPr>
          <w:p w14:paraId="769D9653">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169CD315">
            <w:pPr>
              <w:snapToGrid w:val="0"/>
              <w:spacing w:line="360" w:lineRule="exact"/>
              <w:jc w:val="center"/>
              <w:rPr>
                <w:rFonts w:ascii="宋体" w:hAnsi="宋体" w:eastAsia="宋体" w:cs="Times New Roman"/>
                <w:color w:val="auto"/>
              </w:rPr>
            </w:pPr>
            <w:r>
              <w:rPr>
                <w:rFonts w:ascii="宋体" w:hAnsi="宋体" w:eastAsia="宋体" w:cs="Times New Roman"/>
                <w:color w:val="auto"/>
              </w:rPr>
              <w:t>31</w:t>
            </w:r>
          </w:p>
        </w:tc>
        <w:tc>
          <w:tcPr>
            <w:tcW w:w="2362" w:type="dxa"/>
            <w:vAlign w:val="center"/>
          </w:tcPr>
          <w:p w14:paraId="195A99E2">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苯并[a]蒽</w:t>
            </w:r>
          </w:p>
        </w:tc>
        <w:tc>
          <w:tcPr>
            <w:tcW w:w="1728" w:type="dxa"/>
          </w:tcPr>
          <w:p w14:paraId="43CE30FE">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169525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51D399E1">
            <w:pPr>
              <w:snapToGrid w:val="0"/>
              <w:spacing w:line="360" w:lineRule="exact"/>
              <w:jc w:val="center"/>
              <w:rPr>
                <w:rFonts w:ascii="宋体" w:hAnsi="宋体" w:eastAsia="宋体" w:cs="Times New Roman"/>
                <w:color w:val="auto"/>
              </w:rPr>
            </w:pPr>
            <w:r>
              <w:rPr>
                <w:rFonts w:ascii="宋体" w:hAnsi="宋体" w:eastAsia="宋体" w:cs="Times New Roman"/>
                <w:color w:val="auto"/>
              </w:rPr>
              <w:t>13</w:t>
            </w:r>
          </w:p>
        </w:tc>
        <w:tc>
          <w:tcPr>
            <w:tcW w:w="1914" w:type="dxa"/>
            <w:vAlign w:val="center"/>
          </w:tcPr>
          <w:p w14:paraId="3DC328AD">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四氯乙烯</w:t>
            </w:r>
          </w:p>
        </w:tc>
        <w:tc>
          <w:tcPr>
            <w:tcW w:w="1592" w:type="dxa"/>
          </w:tcPr>
          <w:p w14:paraId="02FC49D2">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23A8B004">
            <w:pPr>
              <w:snapToGrid w:val="0"/>
              <w:spacing w:line="360" w:lineRule="exact"/>
              <w:jc w:val="center"/>
              <w:rPr>
                <w:rFonts w:ascii="宋体" w:hAnsi="宋体" w:eastAsia="宋体" w:cs="Times New Roman"/>
                <w:color w:val="auto"/>
              </w:rPr>
            </w:pPr>
            <w:r>
              <w:rPr>
                <w:rFonts w:ascii="宋体" w:hAnsi="宋体" w:eastAsia="宋体" w:cs="Times New Roman"/>
                <w:color w:val="auto"/>
              </w:rPr>
              <w:t>32</w:t>
            </w:r>
          </w:p>
        </w:tc>
        <w:tc>
          <w:tcPr>
            <w:tcW w:w="2362" w:type="dxa"/>
            <w:vAlign w:val="center"/>
          </w:tcPr>
          <w:p w14:paraId="1975622C">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苯并[a]芘</w:t>
            </w:r>
          </w:p>
        </w:tc>
        <w:tc>
          <w:tcPr>
            <w:tcW w:w="1728" w:type="dxa"/>
          </w:tcPr>
          <w:p w14:paraId="4743FEDC">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6307A8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72D40D74">
            <w:pPr>
              <w:snapToGrid w:val="0"/>
              <w:spacing w:line="360" w:lineRule="exact"/>
              <w:jc w:val="center"/>
              <w:rPr>
                <w:rFonts w:ascii="宋体" w:hAnsi="宋体" w:eastAsia="宋体" w:cs="Times New Roman"/>
                <w:color w:val="auto"/>
              </w:rPr>
            </w:pPr>
            <w:r>
              <w:rPr>
                <w:rFonts w:ascii="宋体" w:hAnsi="宋体" w:eastAsia="宋体" w:cs="Times New Roman"/>
                <w:color w:val="auto"/>
              </w:rPr>
              <w:t>14</w:t>
            </w:r>
          </w:p>
        </w:tc>
        <w:tc>
          <w:tcPr>
            <w:tcW w:w="1914" w:type="dxa"/>
            <w:vAlign w:val="center"/>
          </w:tcPr>
          <w:p w14:paraId="4C151BA4">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1,1,1-三氯乙烷</w:t>
            </w:r>
          </w:p>
        </w:tc>
        <w:tc>
          <w:tcPr>
            <w:tcW w:w="1592" w:type="dxa"/>
          </w:tcPr>
          <w:p w14:paraId="60D25032">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7F5B8466">
            <w:pPr>
              <w:snapToGrid w:val="0"/>
              <w:spacing w:line="360" w:lineRule="exact"/>
              <w:jc w:val="center"/>
              <w:rPr>
                <w:rFonts w:ascii="宋体" w:hAnsi="宋体" w:eastAsia="宋体" w:cs="Times New Roman"/>
                <w:color w:val="auto"/>
              </w:rPr>
            </w:pPr>
            <w:r>
              <w:rPr>
                <w:rFonts w:ascii="宋体" w:hAnsi="宋体" w:eastAsia="宋体" w:cs="Times New Roman"/>
                <w:color w:val="auto"/>
              </w:rPr>
              <w:t>33</w:t>
            </w:r>
          </w:p>
        </w:tc>
        <w:tc>
          <w:tcPr>
            <w:tcW w:w="2362" w:type="dxa"/>
            <w:vAlign w:val="center"/>
          </w:tcPr>
          <w:p w14:paraId="74F32F05">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苯并[b]荧蒽</w:t>
            </w:r>
          </w:p>
        </w:tc>
        <w:tc>
          <w:tcPr>
            <w:tcW w:w="1728" w:type="dxa"/>
          </w:tcPr>
          <w:p w14:paraId="305FB74C">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35C248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37D4C120">
            <w:pPr>
              <w:snapToGrid w:val="0"/>
              <w:spacing w:line="360" w:lineRule="exact"/>
              <w:jc w:val="center"/>
              <w:rPr>
                <w:rFonts w:ascii="宋体" w:hAnsi="宋体" w:eastAsia="宋体" w:cs="Times New Roman"/>
                <w:color w:val="auto"/>
              </w:rPr>
            </w:pPr>
            <w:r>
              <w:rPr>
                <w:rFonts w:ascii="宋体" w:hAnsi="宋体" w:eastAsia="宋体" w:cs="Times New Roman"/>
                <w:color w:val="auto"/>
              </w:rPr>
              <w:t>15</w:t>
            </w:r>
          </w:p>
        </w:tc>
        <w:tc>
          <w:tcPr>
            <w:tcW w:w="1914" w:type="dxa"/>
            <w:vAlign w:val="center"/>
          </w:tcPr>
          <w:p w14:paraId="7801C190">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1,1,2-三氯乙烷</w:t>
            </w:r>
          </w:p>
        </w:tc>
        <w:tc>
          <w:tcPr>
            <w:tcW w:w="1592" w:type="dxa"/>
          </w:tcPr>
          <w:p w14:paraId="766BA274">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1A4420C6">
            <w:pPr>
              <w:snapToGrid w:val="0"/>
              <w:spacing w:line="360" w:lineRule="exact"/>
              <w:jc w:val="center"/>
              <w:rPr>
                <w:rFonts w:ascii="宋体" w:hAnsi="宋体" w:eastAsia="宋体" w:cs="Times New Roman"/>
                <w:color w:val="auto"/>
              </w:rPr>
            </w:pPr>
            <w:r>
              <w:rPr>
                <w:rFonts w:ascii="宋体" w:hAnsi="宋体" w:eastAsia="宋体" w:cs="Times New Roman"/>
                <w:color w:val="auto"/>
              </w:rPr>
              <w:t>34</w:t>
            </w:r>
          </w:p>
        </w:tc>
        <w:tc>
          <w:tcPr>
            <w:tcW w:w="2362" w:type="dxa"/>
            <w:vAlign w:val="center"/>
          </w:tcPr>
          <w:p w14:paraId="42A9FD4F">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苯并[k]荧蒽</w:t>
            </w:r>
          </w:p>
        </w:tc>
        <w:tc>
          <w:tcPr>
            <w:tcW w:w="1728" w:type="dxa"/>
          </w:tcPr>
          <w:p w14:paraId="0E678E14">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7846BC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7967B2F3">
            <w:pPr>
              <w:snapToGrid w:val="0"/>
              <w:spacing w:line="360" w:lineRule="exact"/>
              <w:jc w:val="center"/>
              <w:rPr>
                <w:rFonts w:ascii="宋体" w:hAnsi="宋体" w:eastAsia="宋体" w:cs="Times New Roman"/>
                <w:color w:val="auto"/>
              </w:rPr>
            </w:pPr>
            <w:r>
              <w:rPr>
                <w:rFonts w:ascii="宋体" w:hAnsi="宋体" w:eastAsia="宋体" w:cs="Times New Roman"/>
                <w:color w:val="auto"/>
              </w:rPr>
              <w:t>16</w:t>
            </w:r>
          </w:p>
        </w:tc>
        <w:tc>
          <w:tcPr>
            <w:tcW w:w="1914" w:type="dxa"/>
            <w:vAlign w:val="center"/>
          </w:tcPr>
          <w:p w14:paraId="1A491C46">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三氯乙烯</w:t>
            </w:r>
          </w:p>
        </w:tc>
        <w:tc>
          <w:tcPr>
            <w:tcW w:w="1592" w:type="dxa"/>
          </w:tcPr>
          <w:p w14:paraId="01CE76FC">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68B754F2">
            <w:pPr>
              <w:snapToGrid w:val="0"/>
              <w:spacing w:line="360" w:lineRule="exact"/>
              <w:jc w:val="center"/>
              <w:rPr>
                <w:rFonts w:ascii="宋体" w:hAnsi="宋体" w:eastAsia="宋体" w:cs="Times New Roman"/>
                <w:color w:val="auto"/>
              </w:rPr>
            </w:pPr>
            <w:r>
              <w:rPr>
                <w:rFonts w:ascii="宋体" w:hAnsi="宋体" w:eastAsia="宋体" w:cs="Times New Roman"/>
                <w:color w:val="auto"/>
              </w:rPr>
              <w:t>35</w:t>
            </w:r>
          </w:p>
        </w:tc>
        <w:tc>
          <w:tcPr>
            <w:tcW w:w="2362" w:type="dxa"/>
            <w:vAlign w:val="center"/>
          </w:tcPr>
          <w:p w14:paraId="5C42B8FB">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䓛</w:t>
            </w:r>
          </w:p>
        </w:tc>
        <w:tc>
          <w:tcPr>
            <w:tcW w:w="1728" w:type="dxa"/>
          </w:tcPr>
          <w:p w14:paraId="06BF69B3">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73BA19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4CC647A9">
            <w:pPr>
              <w:snapToGrid w:val="0"/>
              <w:spacing w:line="360" w:lineRule="exact"/>
              <w:jc w:val="center"/>
              <w:rPr>
                <w:rFonts w:ascii="宋体" w:hAnsi="宋体" w:eastAsia="宋体" w:cs="Times New Roman"/>
                <w:color w:val="auto"/>
              </w:rPr>
            </w:pPr>
            <w:r>
              <w:rPr>
                <w:rFonts w:ascii="宋体" w:hAnsi="宋体" w:eastAsia="宋体" w:cs="Times New Roman"/>
                <w:color w:val="auto"/>
              </w:rPr>
              <w:t>17</w:t>
            </w:r>
          </w:p>
        </w:tc>
        <w:tc>
          <w:tcPr>
            <w:tcW w:w="1914" w:type="dxa"/>
            <w:vAlign w:val="center"/>
          </w:tcPr>
          <w:p w14:paraId="6DB7FEFA">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1,2,3-三氯丙烷</w:t>
            </w:r>
          </w:p>
        </w:tc>
        <w:tc>
          <w:tcPr>
            <w:tcW w:w="1592" w:type="dxa"/>
          </w:tcPr>
          <w:p w14:paraId="46BD9BD4">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730FFA24">
            <w:pPr>
              <w:snapToGrid w:val="0"/>
              <w:spacing w:line="360" w:lineRule="exact"/>
              <w:jc w:val="center"/>
              <w:rPr>
                <w:rFonts w:ascii="宋体" w:hAnsi="宋体" w:eastAsia="宋体" w:cs="Times New Roman"/>
                <w:color w:val="auto"/>
              </w:rPr>
            </w:pPr>
            <w:r>
              <w:rPr>
                <w:rFonts w:ascii="宋体" w:hAnsi="宋体" w:eastAsia="宋体" w:cs="Times New Roman"/>
                <w:color w:val="auto"/>
              </w:rPr>
              <w:t>36</w:t>
            </w:r>
          </w:p>
        </w:tc>
        <w:tc>
          <w:tcPr>
            <w:tcW w:w="2362" w:type="dxa"/>
            <w:vAlign w:val="center"/>
          </w:tcPr>
          <w:p w14:paraId="46FC2705">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二苯并[a, h]蒽</w:t>
            </w:r>
          </w:p>
        </w:tc>
        <w:tc>
          <w:tcPr>
            <w:tcW w:w="1728" w:type="dxa"/>
          </w:tcPr>
          <w:p w14:paraId="5271D30A">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09FFCE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457F67CA">
            <w:pPr>
              <w:snapToGrid w:val="0"/>
              <w:spacing w:line="360" w:lineRule="exact"/>
              <w:jc w:val="center"/>
              <w:rPr>
                <w:rFonts w:ascii="宋体" w:hAnsi="宋体" w:eastAsia="宋体" w:cs="Times New Roman"/>
                <w:color w:val="auto"/>
              </w:rPr>
            </w:pPr>
            <w:r>
              <w:rPr>
                <w:rFonts w:ascii="宋体" w:hAnsi="宋体" w:eastAsia="宋体" w:cs="Times New Roman"/>
                <w:color w:val="auto"/>
              </w:rPr>
              <w:t>18</w:t>
            </w:r>
          </w:p>
        </w:tc>
        <w:tc>
          <w:tcPr>
            <w:tcW w:w="1914" w:type="dxa"/>
            <w:vAlign w:val="center"/>
          </w:tcPr>
          <w:p w14:paraId="43BD79E3">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氯乙烯</w:t>
            </w:r>
          </w:p>
        </w:tc>
        <w:tc>
          <w:tcPr>
            <w:tcW w:w="1592" w:type="dxa"/>
          </w:tcPr>
          <w:p w14:paraId="56F9DA92">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4A42FC76">
            <w:pPr>
              <w:snapToGrid w:val="0"/>
              <w:spacing w:line="360" w:lineRule="exact"/>
              <w:jc w:val="center"/>
              <w:rPr>
                <w:rFonts w:ascii="宋体" w:hAnsi="宋体" w:eastAsia="宋体" w:cs="Times New Roman"/>
                <w:color w:val="auto"/>
              </w:rPr>
            </w:pPr>
            <w:r>
              <w:rPr>
                <w:rFonts w:ascii="宋体" w:hAnsi="宋体" w:eastAsia="宋体" w:cs="Times New Roman"/>
                <w:color w:val="auto"/>
              </w:rPr>
              <w:t>37</w:t>
            </w:r>
          </w:p>
        </w:tc>
        <w:tc>
          <w:tcPr>
            <w:tcW w:w="2362" w:type="dxa"/>
            <w:vAlign w:val="center"/>
          </w:tcPr>
          <w:p w14:paraId="06DC2A84">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茚并[1,2,3-cd]芘</w:t>
            </w:r>
          </w:p>
        </w:tc>
        <w:tc>
          <w:tcPr>
            <w:tcW w:w="1728" w:type="dxa"/>
          </w:tcPr>
          <w:p w14:paraId="4757AFCB">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r w14:paraId="2F4057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91" w:type="dxa"/>
            <w:vAlign w:val="center"/>
          </w:tcPr>
          <w:p w14:paraId="35953624">
            <w:pPr>
              <w:snapToGrid w:val="0"/>
              <w:spacing w:line="360" w:lineRule="exact"/>
              <w:jc w:val="center"/>
              <w:rPr>
                <w:rFonts w:ascii="宋体" w:hAnsi="宋体" w:eastAsia="宋体" w:cs="Times New Roman"/>
                <w:color w:val="auto"/>
              </w:rPr>
            </w:pPr>
            <w:r>
              <w:rPr>
                <w:rFonts w:ascii="宋体" w:hAnsi="宋体" w:eastAsia="宋体" w:cs="Times New Roman"/>
                <w:color w:val="auto"/>
              </w:rPr>
              <w:t>19</w:t>
            </w:r>
          </w:p>
        </w:tc>
        <w:tc>
          <w:tcPr>
            <w:tcW w:w="1914" w:type="dxa"/>
            <w:vAlign w:val="center"/>
          </w:tcPr>
          <w:p w14:paraId="384AD9D9">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苯</w:t>
            </w:r>
          </w:p>
        </w:tc>
        <w:tc>
          <w:tcPr>
            <w:tcW w:w="1592" w:type="dxa"/>
          </w:tcPr>
          <w:p w14:paraId="2A941A59">
            <w:pPr>
              <w:spacing w:line="360" w:lineRule="exact"/>
              <w:jc w:val="center"/>
              <w:rPr>
                <w:rFonts w:ascii="宋体" w:hAnsi="宋体" w:eastAsia="宋体" w:cs="Times New Roman"/>
                <w:color w:val="auto"/>
              </w:rPr>
            </w:pPr>
            <w:r>
              <w:rPr>
                <w:rFonts w:ascii="宋体" w:hAnsi="宋体" w:eastAsia="宋体" w:cs="Times New Roman"/>
                <w:color w:val="auto"/>
              </w:rPr>
              <w:t>未检出</w:t>
            </w:r>
          </w:p>
        </w:tc>
        <w:tc>
          <w:tcPr>
            <w:tcW w:w="755" w:type="dxa"/>
            <w:vAlign w:val="center"/>
          </w:tcPr>
          <w:p w14:paraId="0EC38ADF">
            <w:pPr>
              <w:snapToGrid w:val="0"/>
              <w:spacing w:line="360" w:lineRule="exact"/>
              <w:jc w:val="center"/>
              <w:rPr>
                <w:rFonts w:ascii="宋体" w:hAnsi="宋体" w:eastAsia="宋体" w:cs="Times New Roman"/>
                <w:color w:val="auto"/>
              </w:rPr>
            </w:pPr>
            <w:r>
              <w:rPr>
                <w:rFonts w:ascii="宋体" w:hAnsi="宋体" w:eastAsia="宋体" w:cs="Times New Roman"/>
                <w:color w:val="auto"/>
              </w:rPr>
              <w:t>38</w:t>
            </w:r>
          </w:p>
        </w:tc>
        <w:tc>
          <w:tcPr>
            <w:tcW w:w="2362" w:type="dxa"/>
            <w:vAlign w:val="center"/>
          </w:tcPr>
          <w:p w14:paraId="7EB34BE0">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萘</w:t>
            </w:r>
          </w:p>
        </w:tc>
        <w:tc>
          <w:tcPr>
            <w:tcW w:w="1728" w:type="dxa"/>
          </w:tcPr>
          <w:p w14:paraId="3F72B96D">
            <w:pPr>
              <w:spacing w:line="360" w:lineRule="exact"/>
              <w:jc w:val="center"/>
              <w:rPr>
                <w:rFonts w:ascii="宋体" w:hAnsi="宋体" w:eastAsia="宋体" w:cs="Times New Roman"/>
                <w:color w:val="auto"/>
              </w:rPr>
            </w:pPr>
            <w:r>
              <w:rPr>
                <w:rFonts w:ascii="宋体" w:hAnsi="宋体" w:eastAsia="宋体" w:cs="Times New Roman"/>
                <w:color w:val="auto"/>
              </w:rPr>
              <w:t>未检出</w:t>
            </w:r>
          </w:p>
        </w:tc>
      </w:tr>
    </w:tbl>
    <w:p w14:paraId="526B849A">
      <w:pPr>
        <w:spacing w:line="500" w:lineRule="exact"/>
        <w:ind w:firstLine="420" w:firstLineChars="200"/>
        <w:rPr>
          <w:rFonts w:ascii="宋体" w:hAnsi="宋体" w:eastAsia="宋体" w:cs="Times New Roman"/>
          <w:color w:val="auto"/>
          <w:kern w:val="21"/>
          <w:lang w:bidi="zh-CN"/>
        </w:rPr>
      </w:pPr>
      <w:r>
        <w:rPr>
          <w:rFonts w:ascii="宋体" w:hAnsi="宋体" w:eastAsia="宋体" w:cs="Times New Roman"/>
          <w:color w:val="auto"/>
          <w:kern w:val="21"/>
          <w:lang w:bidi="zh-CN"/>
        </w:rPr>
        <w:t>表4.2-2</w:t>
      </w:r>
      <w:r>
        <w:rPr>
          <w:rFonts w:hint="eastAsia" w:ascii="宋体" w:hAnsi="宋体" w:eastAsia="宋体" w:cs="Times New Roman"/>
          <w:color w:val="auto"/>
          <w:kern w:val="21"/>
          <w:lang w:bidi="zh-CN"/>
        </w:rPr>
        <w:t>0</w:t>
      </w:r>
      <w:r>
        <w:rPr>
          <w:rFonts w:ascii="宋体" w:hAnsi="宋体" w:eastAsia="宋体" w:cs="Times New Roman"/>
          <w:color w:val="auto"/>
          <w:kern w:val="21"/>
          <w:lang w:bidi="zh-CN"/>
        </w:rPr>
        <w:t xml:space="preserve">   农用地土壤监测实测值 单位：mg/kg（pH除外）</w:t>
      </w:r>
    </w:p>
    <w:tbl>
      <w:tblPr>
        <w:tblStyle w:val="81"/>
        <w:tblW w:w="5000" w:type="pct"/>
        <w:jc w:val="center"/>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Layout w:type="autofit"/>
        <w:tblCellMar>
          <w:top w:w="0" w:type="dxa"/>
          <w:left w:w="108" w:type="dxa"/>
          <w:bottom w:w="0" w:type="dxa"/>
          <w:right w:w="108" w:type="dxa"/>
        </w:tblCellMar>
      </w:tblPr>
      <w:tblGrid>
        <w:gridCol w:w="3018"/>
        <w:gridCol w:w="2160"/>
        <w:gridCol w:w="1945"/>
        <w:gridCol w:w="2164"/>
      </w:tblGrid>
      <w:tr w14:paraId="6E3EAAAB">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01CAF39F">
            <w:pPr>
              <w:adjustRightInd w:val="0"/>
              <w:snapToGrid w:val="0"/>
              <w:jc w:val="center"/>
              <w:rPr>
                <w:rFonts w:ascii="宋体" w:hAnsi="宋体" w:eastAsia="宋体" w:cs="Times New Roman"/>
                <w:color w:val="auto"/>
              </w:rPr>
            </w:pPr>
            <w:r>
              <w:rPr>
                <w:rFonts w:ascii="宋体" w:hAnsi="宋体" w:eastAsia="宋体" w:cs="Times New Roman"/>
                <w:color w:val="auto"/>
              </w:rPr>
              <w:t>监测时间</w:t>
            </w:r>
          </w:p>
        </w:tc>
        <w:tc>
          <w:tcPr>
            <w:tcW w:w="3375" w:type="pct"/>
            <w:gridSpan w:val="3"/>
            <w:shd w:val="clear" w:color="auto" w:fill="auto"/>
            <w:vAlign w:val="center"/>
          </w:tcPr>
          <w:p w14:paraId="61F0CEE9">
            <w:pPr>
              <w:adjustRightInd w:val="0"/>
              <w:snapToGrid w:val="0"/>
              <w:jc w:val="center"/>
              <w:rPr>
                <w:rFonts w:ascii="宋体" w:hAnsi="宋体" w:eastAsia="宋体" w:cs="Times New Roman"/>
                <w:color w:val="auto"/>
              </w:rPr>
            </w:pPr>
            <w:r>
              <w:rPr>
                <w:rFonts w:ascii="宋体" w:hAnsi="宋体" w:eastAsia="宋体" w:cs="Times New Roman"/>
                <w:color w:val="auto"/>
              </w:rPr>
              <w:t>2025.08.17</w:t>
            </w:r>
          </w:p>
        </w:tc>
      </w:tr>
      <w:tr w14:paraId="1122A834">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vMerge w:val="restart"/>
            <w:shd w:val="clear" w:color="auto" w:fill="auto"/>
            <w:vAlign w:val="center"/>
          </w:tcPr>
          <w:p w14:paraId="752653C9">
            <w:pPr>
              <w:adjustRightInd w:val="0"/>
              <w:snapToGrid w:val="0"/>
              <w:jc w:val="center"/>
              <w:rPr>
                <w:rFonts w:ascii="宋体" w:hAnsi="宋体" w:eastAsia="宋体" w:cs="Times New Roman"/>
                <w:color w:val="auto"/>
              </w:rPr>
            </w:pPr>
            <w:r>
              <w:rPr>
                <w:rFonts w:ascii="宋体" w:hAnsi="宋体" w:eastAsia="宋体" w:cs="Times New Roman"/>
                <w:color w:val="auto"/>
              </w:rPr>
              <w:t>监测项目</w:t>
            </w:r>
          </w:p>
        </w:tc>
        <w:tc>
          <w:tcPr>
            <w:tcW w:w="3375" w:type="pct"/>
            <w:gridSpan w:val="3"/>
            <w:shd w:val="clear" w:color="auto" w:fill="auto"/>
            <w:vAlign w:val="center"/>
          </w:tcPr>
          <w:p w14:paraId="5A6934FD">
            <w:pPr>
              <w:adjustRightInd w:val="0"/>
              <w:snapToGrid w:val="0"/>
              <w:jc w:val="center"/>
              <w:rPr>
                <w:rFonts w:ascii="宋体" w:hAnsi="宋体" w:eastAsia="宋体" w:cs="Times New Roman"/>
                <w:color w:val="auto"/>
              </w:rPr>
            </w:pPr>
            <w:r>
              <w:rPr>
                <w:rFonts w:ascii="宋体" w:hAnsi="宋体" w:eastAsia="宋体" w:cs="Times New Roman"/>
                <w:color w:val="auto"/>
              </w:rPr>
              <w:t>监测点位及监测结果</w:t>
            </w:r>
          </w:p>
        </w:tc>
      </w:tr>
      <w:tr w14:paraId="12CE3D16">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vMerge w:val="continue"/>
            <w:shd w:val="clear" w:color="auto" w:fill="auto"/>
            <w:vAlign w:val="center"/>
          </w:tcPr>
          <w:p w14:paraId="799B81A5">
            <w:pPr>
              <w:autoSpaceDE w:val="0"/>
              <w:autoSpaceDN w:val="0"/>
              <w:adjustRightInd w:val="0"/>
              <w:jc w:val="center"/>
              <w:rPr>
                <w:rFonts w:ascii="宋体" w:hAnsi="宋体" w:eastAsia="宋体" w:cs="Times New Roman"/>
                <w:color w:val="auto"/>
              </w:rPr>
            </w:pPr>
          </w:p>
        </w:tc>
        <w:tc>
          <w:tcPr>
            <w:tcW w:w="1163" w:type="pct"/>
            <w:shd w:val="clear" w:color="auto" w:fill="auto"/>
            <w:vAlign w:val="center"/>
          </w:tcPr>
          <w:p w14:paraId="5DC97DF7">
            <w:pPr>
              <w:adjustRightInd w:val="0"/>
              <w:snapToGrid w:val="0"/>
              <w:jc w:val="center"/>
              <w:rPr>
                <w:rFonts w:ascii="宋体" w:hAnsi="宋体" w:eastAsia="宋体" w:cs="Times New Roman"/>
                <w:snapToGrid w:val="0"/>
                <w:color w:val="auto"/>
              </w:rPr>
            </w:pPr>
            <w:r>
              <w:rPr>
                <w:rFonts w:ascii="宋体" w:hAnsi="宋体" w:eastAsia="宋体" w:cs="Times New Roman"/>
                <w:color w:val="auto"/>
              </w:rPr>
              <w:t>S9#</w:t>
            </w:r>
          </w:p>
        </w:tc>
        <w:tc>
          <w:tcPr>
            <w:tcW w:w="1047" w:type="pct"/>
            <w:shd w:val="clear" w:color="auto" w:fill="auto"/>
            <w:vAlign w:val="center"/>
          </w:tcPr>
          <w:p w14:paraId="15F263A5">
            <w:pPr>
              <w:adjustRightInd w:val="0"/>
              <w:snapToGrid w:val="0"/>
              <w:jc w:val="center"/>
              <w:rPr>
                <w:rFonts w:ascii="宋体" w:hAnsi="宋体" w:eastAsia="宋体" w:cs="Times New Roman"/>
                <w:snapToGrid w:val="0"/>
                <w:color w:val="auto"/>
              </w:rPr>
            </w:pPr>
            <w:r>
              <w:rPr>
                <w:rFonts w:ascii="宋体" w:hAnsi="宋体" w:eastAsia="宋体" w:cs="Times New Roman"/>
                <w:color w:val="auto"/>
              </w:rPr>
              <w:t>S10#</w:t>
            </w:r>
          </w:p>
        </w:tc>
        <w:tc>
          <w:tcPr>
            <w:tcW w:w="1165" w:type="pct"/>
            <w:shd w:val="clear" w:color="auto" w:fill="auto"/>
            <w:vAlign w:val="center"/>
          </w:tcPr>
          <w:p w14:paraId="0EE56E89">
            <w:pPr>
              <w:adjustRightInd w:val="0"/>
              <w:snapToGrid w:val="0"/>
              <w:jc w:val="center"/>
              <w:rPr>
                <w:rFonts w:ascii="宋体" w:hAnsi="宋体" w:eastAsia="宋体" w:cs="Times New Roman"/>
                <w:snapToGrid w:val="0"/>
                <w:color w:val="auto"/>
              </w:rPr>
            </w:pPr>
            <w:r>
              <w:rPr>
                <w:rFonts w:ascii="宋体" w:hAnsi="宋体" w:eastAsia="宋体" w:cs="Times New Roman"/>
                <w:color w:val="auto"/>
              </w:rPr>
              <w:t>S11#</w:t>
            </w:r>
          </w:p>
        </w:tc>
      </w:tr>
      <w:tr w14:paraId="59591B8C">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vMerge w:val="continue"/>
            <w:shd w:val="clear" w:color="auto" w:fill="auto"/>
            <w:vAlign w:val="center"/>
          </w:tcPr>
          <w:p w14:paraId="0D0A3B21">
            <w:pPr>
              <w:autoSpaceDE w:val="0"/>
              <w:autoSpaceDN w:val="0"/>
              <w:adjustRightInd w:val="0"/>
              <w:jc w:val="center"/>
              <w:rPr>
                <w:rFonts w:ascii="宋体" w:hAnsi="宋体" w:eastAsia="宋体" w:cs="Times New Roman"/>
                <w:color w:val="auto"/>
              </w:rPr>
            </w:pPr>
          </w:p>
        </w:tc>
        <w:tc>
          <w:tcPr>
            <w:tcW w:w="1163" w:type="pct"/>
            <w:shd w:val="clear" w:color="auto" w:fill="auto"/>
            <w:vAlign w:val="center"/>
          </w:tcPr>
          <w:p w14:paraId="5C8B1510">
            <w:pPr>
              <w:adjustRightInd w:val="0"/>
              <w:snapToGrid w:val="0"/>
              <w:jc w:val="center"/>
              <w:rPr>
                <w:rFonts w:ascii="宋体" w:hAnsi="宋体" w:eastAsia="宋体" w:cs="Times New Roman"/>
                <w:snapToGrid w:val="0"/>
                <w:color w:val="auto"/>
                <w:lang w:val="zh-CN"/>
              </w:rPr>
            </w:pPr>
            <w:r>
              <w:rPr>
                <w:rFonts w:ascii="宋体" w:hAnsi="宋体" w:eastAsia="宋体" w:cs="Times New Roman"/>
                <w:snapToGrid w:val="0"/>
                <w:color w:val="auto"/>
              </w:rPr>
              <w:t>(0m-0.2m)</w:t>
            </w:r>
          </w:p>
        </w:tc>
        <w:tc>
          <w:tcPr>
            <w:tcW w:w="1047" w:type="pct"/>
            <w:shd w:val="clear" w:color="auto" w:fill="auto"/>
            <w:vAlign w:val="center"/>
          </w:tcPr>
          <w:p w14:paraId="5EB3E9DE">
            <w:pPr>
              <w:adjustRightInd w:val="0"/>
              <w:snapToGrid w:val="0"/>
              <w:jc w:val="center"/>
              <w:rPr>
                <w:rFonts w:ascii="宋体" w:hAnsi="宋体" w:eastAsia="宋体" w:cs="Times New Roman"/>
                <w:snapToGrid w:val="0"/>
                <w:color w:val="auto"/>
                <w:lang w:val="zh-CN"/>
              </w:rPr>
            </w:pPr>
            <w:r>
              <w:rPr>
                <w:rFonts w:ascii="宋体" w:hAnsi="宋体" w:eastAsia="宋体" w:cs="Times New Roman"/>
                <w:snapToGrid w:val="0"/>
                <w:color w:val="auto"/>
              </w:rPr>
              <w:t>(0m-0.2m)</w:t>
            </w:r>
          </w:p>
        </w:tc>
        <w:tc>
          <w:tcPr>
            <w:tcW w:w="1165" w:type="pct"/>
            <w:shd w:val="clear" w:color="auto" w:fill="auto"/>
            <w:vAlign w:val="center"/>
          </w:tcPr>
          <w:p w14:paraId="371FC86F">
            <w:pPr>
              <w:adjustRightInd w:val="0"/>
              <w:snapToGrid w:val="0"/>
              <w:jc w:val="center"/>
              <w:rPr>
                <w:rFonts w:ascii="宋体" w:hAnsi="宋体" w:eastAsia="宋体" w:cs="Times New Roman"/>
                <w:snapToGrid w:val="0"/>
                <w:color w:val="auto"/>
                <w:lang w:val="zh-CN"/>
              </w:rPr>
            </w:pPr>
            <w:r>
              <w:rPr>
                <w:rFonts w:ascii="宋体" w:hAnsi="宋体" w:eastAsia="宋体" w:cs="Times New Roman"/>
                <w:snapToGrid w:val="0"/>
                <w:color w:val="auto"/>
              </w:rPr>
              <w:t>(0m-0.2m)</w:t>
            </w:r>
          </w:p>
        </w:tc>
      </w:tr>
      <w:tr w14:paraId="440D39A6">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4A829FCD">
            <w:pPr>
              <w:adjustRightInd w:val="0"/>
              <w:snapToGrid w:val="0"/>
              <w:jc w:val="center"/>
              <w:rPr>
                <w:rFonts w:ascii="宋体" w:hAnsi="宋体" w:eastAsia="宋体" w:cs="Times New Roman"/>
                <w:color w:val="auto"/>
              </w:rPr>
            </w:pPr>
            <w:r>
              <w:rPr>
                <w:rFonts w:ascii="宋体" w:hAnsi="宋体" w:eastAsia="宋体" w:cs="Times New Roman"/>
                <w:color w:val="auto"/>
              </w:rPr>
              <w:t>pH</w:t>
            </w:r>
          </w:p>
        </w:tc>
        <w:tc>
          <w:tcPr>
            <w:tcW w:w="1163" w:type="pct"/>
            <w:shd w:val="clear" w:color="auto" w:fill="auto"/>
            <w:vAlign w:val="center"/>
          </w:tcPr>
          <w:p w14:paraId="1039626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7.89</w:t>
            </w:r>
          </w:p>
        </w:tc>
        <w:tc>
          <w:tcPr>
            <w:tcW w:w="1047" w:type="pct"/>
            <w:shd w:val="clear" w:color="auto" w:fill="auto"/>
            <w:vAlign w:val="center"/>
          </w:tcPr>
          <w:p w14:paraId="0481B91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8.11</w:t>
            </w:r>
          </w:p>
        </w:tc>
        <w:tc>
          <w:tcPr>
            <w:tcW w:w="1165" w:type="pct"/>
            <w:shd w:val="clear" w:color="auto" w:fill="auto"/>
            <w:vAlign w:val="center"/>
          </w:tcPr>
          <w:p w14:paraId="7FA6FB8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7.73</w:t>
            </w:r>
          </w:p>
        </w:tc>
      </w:tr>
      <w:tr w14:paraId="0906D9BB">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4A695EA9">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镉（Cd）</w:t>
            </w:r>
          </w:p>
        </w:tc>
        <w:tc>
          <w:tcPr>
            <w:tcW w:w="1163" w:type="pct"/>
            <w:shd w:val="clear" w:color="auto" w:fill="auto"/>
            <w:vAlign w:val="center"/>
          </w:tcPr>
          <w:p w14:paraId="47614C9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0.07</w:t>
            </w:r>
          </w:p>
        </w:tc>
        <w:tc>
          <w:tcPr>
            <w:tcW w:w="1047" w:type="pct"/>
            <w:shd w:val="clear" w:color="auto" w:fill="auto"/>
            <w:vAlign w:val="center"/>
          </w:tcPr>
          <w:p w14:paraId="7AC321F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0.09</w:t>
            </w:r>
          </w:p>
        </w:tc>
        <w:tc>
          <w:tcPr>
            <w:tcW w:w="1165" w:type="pct"/>
            <w:shd w:val="clear" w:color="auto" w:fill="auto"/>
            <w:vAlign w:val="center"/>
          </w:tcPr>
          <w:p w14:paraId="2AFB62B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0.08</w:t>
            </w:r>
          </w:p>
        </w:tc>
      </w:tr>
      <w:tr w14:paraId="2C0AD93A">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66DB86D7">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汞（Hg）</w:t>
            </w:r>
          </w:p>
        </w:tc>
        <w:tc>
          <w:tcPr>
            <w:tcW w:w="1163" w:type="pct"/>
            <w:shd w:val="clear" w:color="auto" w:fill="auto"/>
            <w:vAlign w:val="center"/>
          </w:tcPr>
          <w:p w14:paraId="0ED0D0E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0.017</w:t>
            </w:r>
          </w:p>
        </w:tc>
        <w:tc>
          <w:tcPr>
            <w:tcW w:w="1047" w:type="pct"/>
            <w:shd w:val="clear" w:color="auto" w:fill="auto"/>
            <w:vAlign w:val="center"/>
          </w:tcPr>
          <w:p w14:paraId="7BEA1B5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0.018</w:t>
            </w:r>
          </w:p>
        </w:tc>
        <w:tc>
          <w:tcPr>
            <w:tcW w:w="1165" w:type="pct"/>
            <w:shd w:val="clear" w:color="auto" w:fill="auto"/>
            <w:vAlign w:val="center"/>
          </w:tcPr>
          <w:p w14:paraId="5F28672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0.015</w:t>
            </w:r>
          </w:p>
        </w:tc>
      </w:tr>
      <w:tr w14:paraId="34D2CCE9">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373C628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砷（As）</w:t>
            </w:r>
          </w:p>
        </w:tc>
        <w:tc>
          <w:tcPr>
            <w:tcW w:w="1163" w:type="pct"/>
            <w:shd w:val="clear" w:color="auto" w:fill="auto"/>
            <w:vAlign w:val="center"/>
          </w:tcPr>
          <w:p w14:paraId="229CDAC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3.35</w:t>
            </w:r>
          </w:p>
        </w:tc>
        <w:tc>
          <w:tcPr>
            <w:tcW w:w="1047" w:type="pct"/>
            <w:shd w:val="clear" w:color="auto" w:fill="auto"/>
            <w:vAlign w:val="center"/>
          </w:tcPr>
          <w:p w14:paraId="768259F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3.28</w:t>
            </w:r>
          </w:p>
        </w:tc>
        <w:tc>
          <w:tcPr>
            <w:tcW w:w="1165" w:type="pct"/>
            <w:shd w:val="clear" w:color="auto" w:fill="auto"/>
            <w:vAlign w:val="center"/>
          </w:tcPr>
          <w:p w14:paraId="01C31A4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3.37</w:t>
            </w:r>
          </w:p>
        </w:tc>
      </w:tr>
      <w:tr w14:paraId="1245E73E">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160BE15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铅（Pb）</w:t>
            </w:r>
          </w:p>
        </w:tc>
        <w:tc>
          <w:tcPr>
            <w:tcW w:w="1163" w:type="pct"/>
            <w:shd w:val="clear" w:color="auto" w:fill="auto"/>
            <w:vAlign w:val="center"/>
          </w:tcPr>
          <w:p w14:paraId="60CF7C4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17</w:t>
            </w:r>
          </w:p>
        </w:tc>
        <w:tc>
          <w:tcPr>
            <w:tcW w:w="1047" w:type="pct"/>
            <w:shd w:val="clear" w:color="auto" w:fill="auto"/>
            <w:vAlign w:val="center"/>
          </w:tcPr>
          <w:p w14:paraId="12E05F5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1165" w:type="pct"/>
            <w:shd w:val="clear" w:color="auto" w:fill="auto"/>
            <w:vAlign w:val="center"/>
          </w:tcPr>
          <w:p w14:paraId="44B5ECB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19</w:t>
            </w:r>
          </w:p>
        </w:tc>
      </w:tr>
      <w:tr w14:paraId="5F61EE62">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1EC4FE0E">
            <w:pPr>
              <w:adjustRightInd w:val="0"/>
              <w:snapToGrid w:val="0"/>
              <w:jc w:val="center"/>
              <w:rPr>
                <w:rFonts w:ascii="宋体" w:hAnsi="宋体" w:eastAsia="宋体" w:cs="Times New Roman"/>
                <w:snapToGrid w:val="0"/>
                <w:color w:val="auto"/>
              </w:rPr>
            </w:pPr>
            <w:r>
              <w:rPr>
                <w:rFonts w:ascii="宋体" w:hAnsi="宋体" w:eastAsia="宋体" w:cs="Times New Roman"/>
                <w:color w:val="auto"/>
              </w:rPr>
              <w:t>铬（Cr）</w:t>
            </w:r>
          </w:p>
        </w:tc>
        <w:tc>
          <w:tcPr>
            <w:tcW w:w="1163" w:type="pct"/>
            <w:shd w:val="clear" w:color="auto" w:fill="auto"/>
            <w:vAlign w:val="center"/>
          </w:tcPr>
          <w:p w14:paraId="0653325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46</w:t>
            </w:r>
          </w:p>
        </w:tc>
        <w:tc>
          <w:tcPr>
            <w:tcW w:w="1047" w:type="pct"/>
            <w:shd w:val="clear" w:color="auto" w:fill="auto"/>
            <w:vAlign w:val="center"/>
          </w:tcPr>
          <w:p w14:paraId="40BEB92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52</w:t>
            </w:r>
          </w:p>
        </w:tc>
        <w:tc>
          <w:tcPr>
            <w:tcW w:w="1165" w:type="pct"/>
            <w:shd w:val="clear" w:color="auto" w:fill="auto"/>
            <w:vAlign w:val="center"/>
          </w:tcPr>
          <w:p w14:paraId="6FD1D19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61</w:t>
            </w:r>
          </w:p>
        </w:tc>
      </w:tr>
      <w:tr w14:paraId="3DDF8B44">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4B031AB7">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铜（Cu）</w:t>
            </w:r>
          </w:p>
        </w:tc>
        <w:tc>
          <w:tcPr>
            <w:tcW w:w="1163" w:type="pct"/>
            <w:shd w:val="clear" w:color="auto" w:fill="auto"/>
            <w:vAlign w:val="center"/>
          </w:tcPr>
          <w:p w14:paraId="5124B4A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13</w:t>
            </w:r>
          </w:p>
        </w:tc>
        <w:tc>
          <w:tcPr>
            <w:tcW w:w="1047" w:type="pct"/>
            <w:shd w:val="clear" w:color="auto" w:fill="auto"/>
            <w:vAlign w:val="center"/>
          </w:tcPr>
          <w:p w14:paraId="083319C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165" w:type="pct"/>
            <w:shd w:val="clear" w:color="auto" w:fill="auto"/>
            <w:vAlign w:val="center"/>
          </w:tcPr>
          <w:p w14:paraId="2B718A9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17</w:t>
            </w:r>
          </w:p>
        </w:tc>
      </w:tr>
      <w:tr w14:paraId="4A61E3FA">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43EE8E90">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镍（Ni）</w:t>
            </w:r>
          </w:p>
        </w:tc>
        <w:tc>
          <w:tcPr>
            <w:tcW w:w="1163" w:type="pct"/>
            <w:shd w:val="clear" w:color="auto" w:fill="auto"/>
            <w:vAlign w:val="center"/>
          </w:tcPr>
          <w:p w14:paraId="31E0028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19</w:t>
            </w:r>
          </w:p>
        </w:tc>
        <w:tc>
          <w:tcPr>
            <w:tcW w:w="1047" w:type="pct"/>
            <w:shd w:val="clear" w:color="auto" w:fill="auto"/>
            <w:vAlign w:val="center"/>
          </w:tcPr>
          <w:p w14:paraId="79CCE0A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23</w:t>
            </w:r>
          </w:p>
        </w:tc>
        <w:tc>
          <w:tcPr>
            <w:tcW w:w="1165" w:type="pct"/>
            <w:shd w:val="clear" w:color="auto" w:fill="auto"/>
            <w:vAlign w:val="center"/>
          </w:tcPr>
          <w:p w14:paraId="43D480E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18</w:t>
            </w:r>
          </w:p>
        </w:tc>
      </w:tr>
      <w:tr w14:paraId="2A67CC4F">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2873C14B">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锌(Zn)</w:t>
            </w:r>
          </w:p>
        </w:tc>
        <w:tc>
          <w:tcPr>
            <w:tcW w:w="1163" w:type="pct"/>
            <w:shd w:val="clear" w:color="auto" w:fill="auto"/>
            <w:vAlign w:val="center"/>
          </w:tcPr>
          <w:p w14:paraId="7BCB1B0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61</w:t>
            </w:r>
          </w:p>
        </w:tc>
        <w:tc>
          <w:tcPr>
            <w:tcW w:w="1047" w:type="pct"/>
            <w:shd w:val="clear" w:color="auto" w:fill="auto"/>
            <w:vAlign w:val="center"/>
          </w:tcPr>
          <w:p w14:paraId="39D9ECD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52</w:t>
            </w:r>
          </w:p>
        </w:tc>
        <w:tc>
          <w:tcPr>
            <w:tcW w:w="1165" w:type="pct"/>
            <w:shd w:val="clear" w:color="auto" w:fill="auto"/>
            <w:vAlign w:val="center"/>
          </w:tcPr>
          <w:p w14:paraId="786088A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48</w:t>
            </w:r>
          </w:p>
        </w:tc>
      </w:tr>
      <w:tr w14:paraId="2309C84F">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6B15B190">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w:t>
            </w:r>
          </w:p>
        </w:tc>
        <w:tc>
          <w:tcPr>
            <w:tcW w:w="1163" w:type="pct"/>
            <w:shd w:val="clear" w:color="auto" w:fill="auto"/>
            <w:vAlign w:val="center"/>
          </w:tcPr>
          <w:p w14:paraId="3A49CA5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047" w:type="pct"/>
            <w:shd w:val="clear" w:color="auto" w:fill="auto"/>
            <w:vAlign w:val="center"/>
          </w:tcPr>
          <w:p w14:paraId="3BE51EB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65" w:type="pct"/>
            <w:shd w:val="clear" w:color="auto" w:fill="auto"/>
            <w:vAlign w:val="center"/>
          </w:tcPr>
          <w:p w14:paraId="5FD9010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r w14:paraId="7DAAF2C1">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495632D9">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w:t>
            </w:r>
          </w:p>
        </w:tc>
        <w:tc>
          <w:tcPr>
            <w:tcW w:w="1163" w:type="pct"/>
            <w:shd w:val="clear" w:color="auto" w:fill="auto"/>
            <w:vAlign w:val="center"/>
          </w:tcPr>
          <w:p w14:paraId="0AE998D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047" w:type="pct"/>
            <w:shd w:val="clear" w:color="auto" w:fill="auto"/>
            <w:vAlign w:val="center"/>
          </w:tcPr>
          <w:p w14:paraId="3E99E43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未检出</w:t>
            </w:r>
          </w:p>
        </w:tc>
        <w:tc>
          <w:tcPr>
            <w:tcW w:w="1165" w:type="pct"/>
            <w:shd w:val="clear" w:color="auto" w:fill="auto"/>
            <w:vAlign w:val="center"/>
          </w:tcPr>
          <w:p w14:paraId="30D5304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未检出</w:t>
            </w:r>
          </w:p>
        </w:tc>
      </w:tr>
      <w:tr w14:paraId="3FB50D21">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222FCED3">
            <w:pPr>
              <w:adjustRightInd w:val="0"/>
              <w:snapToGrid w:val="0"/>
              <w:jc w:val="center"/>
              <w:rPr>
                <w:rFonts w:ascii="宋体" w:hAnsi="宋体" w:eastAsia="宋体" w:cs="Times New Roman"/>
                <w:snapToGrid w:val="0"/>
                <w:color w:val="auto"/>
              </w:rPr>
            </w:pPr>
            <w:r>
              <w:rPr>
                <w:rFonts w:ascii="宋体" w:hAnsi="宋体" w:eastAsia="宋体" w:cs="Times New Roman"/>
                <w:color w:val="auto"/>
              </w:rPr>
              <w:t>石油类</w:t>
            </w:r>
          </w:p>
        </w:tc>
        <w:tc>
          <w:tcPr>
            <w:tcW w:w="1163" w:type="pct"/>
            <w:shd w:val="clear" w:color="auto" w:fill="auto"/>
            <w:vAlign w:val="center"/>
          </w:tcPr>
          <w:p w14:paraId="1F1E401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1047" w:type="pct"/>
            <w:shd w:val="clear" w:color="auto" w:fill="auto"/>
            <w:vAlign w:val="center"/>
          </w:tcPr>
          <w:p w14:paraId="668E224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165" w:type="pct"/>
            <w:shd w:val="clear" w:color="auto" w:fill="auto"/>
            <w:vAlign w:val="center"/>
          </w:tcPr>
          <w:p w14:paraId="75C5C8C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10</w:t>
            </w:r>
          </w:p>
        </w:tc>
      </w:tr>
      <w:tr w14:paraId="5878F85A">
        <w:tblPrEx>
          <w:tblBorders>
            <w:top w:val="single" w:color="auto" w:sz="2"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25" w:type="pct"/>
            <w:shd w:val="clear" w:color="auto" w:fill="auto"/>
            <w:vAlign w:val="center"/>
          </w:tcPr>
          <w:p w14:paraId="1FC58EB8">
            <w:pPr>
              <w:adjustRightInd w:val="0"/>
              <w:snapToGrid w:val="0"/>
              <w:jc w:val="center"/>
              <w:rPr>
                <w:rFonts w:ascii="宋体" w:hAnsi="宋体" w:eastAsia="宋体" w:cs="Times New Roman"/>
                <w:color w:val="auto"/>
              </w:rPr>
            </w:pPr>
            <w:r>
              <w:rPr>
                <w:rFonts w:ascii="宋体" w:hAnsi="宋体" w:eastAsia="宋体" w:cs="Times New Roman"/>
                <w:color w:val="auto"/>
              </w:rPr>
              <w:t>水溶性盐总量</w:t>
            </w:r>
          </w:p>
        </w:tc>
        <w:tc>
          <w:tcPr>
            <w:tcW w:w="1163" w:type="pct"/>
            <w:shd w:val="clear" w:color="auto" w:fill="auto"/>
            <w:vAlign w:val="center"/>
          </w:tcPr>
          <w:p w14:paraId="7900F99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700</w:t>
            </w:r>
          </w:p>
        </w:tc>
        <w:tc>
          <w:tcPr>
            <w:tcW w:w="1047" w:type="pct"/>
            <w:shd w:val="clear" w:color="auto" w:fill="auto"/>
            <w:vAlign w:val="center"/>
          </w:tcPr>
          <w:p w14:paraId="3574F4E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500</w:t>
            </w:r>
          </w:p>
        </w:tc>
        <w:tc>
          <w:tcPr>
            <w:tcW w:w="1165" w:type="pct"/>
            <w:shd w:val="clear" w:color="auto" w:fill="auto"/>
            <w:vAlign w:val="center"/>
          </w:tcPr>
          <w:p w14:paraId="62E3CE94">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600</w:t>
            </w:r>
          </w:p>
        </w:tc>
      </w:tr>
    </w:tbl>
    <w:p w14:paraId="33DC86D0">
      <w:pPr>
        <w:spacing w:line="500" w:lineRule="exact"/>
        <w:ind w:firstLine="420" w:firstLineChars="200"/>
        <w:rPr>
          <w:rFonts w:ascii="宋体" w:hAnsi="宋体" w:eastAsia="宋体" w:cs="Times New Roman"/>
          <w:color w:val="auto"/>
          <w:kern w:val="21"/>
          <w:lang w:bidi="zh-CN"/>
        </w:rPr>
      </w:pPr>
      <w:r>
        <w:rPr>
          <w:rFonts w:ascii="宋体" w:hAnsi="宋体" w:eastAsia="宋体" w:cs="Times New Roman"/>
          <w:color w:val="auto"/>
          <w:kern w:val="21"/>
          <w:lang w:bidi="zh-CN"/>
        </w:rPr>
        <w:t>表4.2-2</w:t>
      </w:r>
      <w:r>
        <w:rPr>
          <w:rFonts w:hint="eastAsia" w:ascii="宋体" w:hAnsi="宋体" w:eastAsia="宋体" w:cs="Times New Roman"/>
          <w:color w:val="auto"/>
          <w:kern w:val="21"/>
          <w:lang w:bidi="zh-CN"/>
        </w:rPr>
        <w:t>1</w:t>
      </w:r>
      <w:r>
        <w:rPr>
          <w:rFonts w:ascii="宋体" w:hAnsi="宋体" w:eastAsia="宋体" w:cs="Times New Roman"/>
          <w:color w:val="auto"/>
          <w:kern w:val="21"/>
          <w:lang w:bidi="zh-CN"/>
        </w:rPr>
        <w:t xml:space="preserve"> 建设用地土壤现状监测结果统计分析情况一览表（柱状样）</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1538"/>
        <w:gridCol w:w="1072"/>
        <w:gridCol w:w="1072"/>
        <w:gridCol w:w="958"/>
        <w:gridCol w:w="901"/>
        <w:gridCol w:w="910"/>
        <w:gridCol w:w="912"/>
        <w:gridCol w:w="596"/>
        <w:gridCol w:w="853"/>
      </w:tblGrid>
      <w:tr w14:paraId="6F99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6" w:type="pct"/>
            <w:shd w:val="clear" w:color="auto" w:fill="auto"/>
            <w:vAlign w:val="center"/>
          </w:tcPr>
          <w:p w14:paraId="2E2CA58B">
            <w:pPr>
              <w:jc w:val="center"/>
              <w:rPr>
                <w:rFonts w:ascii="宋体" w:hAnsi="宋体" w:eastAsia="宋体" w:cs="Times New Roman"/>
                <w:color w:val="auto"/>
              </w:rPr>
            </w:pPr>
            <w:r>
              <w:rPr>
                <w:rFonts w:ascii="宋体" w:hAnsi="宋体" w:eastAsia="宋体" w:cs="Times New Roman"/>
                <w:color w:val="auto"/>
              </w:rPr>
              <w:t>序号</w:t>
            </w:r>
          </w:p>
        </w:tc>
        <w:tc>
          <w:tcPr>
            <w:tcW w:w="828" w:type="pct"/>
            <w:shd w:val="clear" w:color="auto" w:fill="auto"/>
            <w:vAlign w:val="center"/>
          </w:tcPr>
          <w:p w14:paraId="01D78005">
            <w:pPr>
              <w:jc w:val="center"/>
              <w:rPr>
                <w:rFonts w:ascii="宋体" w:hAnsi="宋体" w:eastAsia="宋体" w:cs="Times New Roman"/>
                <w:color w:val="auto"/>
              </w:rPr>
            </w:pPr>
            <w:r>
              <w:rPr>
                <w:rFonts w:ascii="宋体" w:hAnsi="宋体" w:eastAsia="宋体" w:cs="Times New Roman"/>
                <w:color w:val="auto"/>
              </w:rPr>
              <w:t>污染物</w:t>
            </w:r>
          </w:p>
        </w:tc>
        <w:tc>
          <w:tcPr>
            <w:tcW w:w="577" w:type="pct"/>
            <w:shd w:val="clear" w:color="auto" w:fill="auto"/>
            <w:vAlign w:val="center"/>
          </w:tcPr>
          <w:p w14:paraId="4356EDF9">
            <w:pPr>
              <w:jc w:val="center"/>
              <w:rPr>
                <w:rFonts w:ascii="宋体" w:hAnsi="宋体" w:eastAsia="宋体" w:cs="Times New Roman"/>
                <w:color w:val="auto"/>
              </w:rPr>
            </w:pPr>
            <w:r>
              <w:rPr>
                <w:rFonts w:ascii="宋体" w:hAnsi="宋体" w:eastAsia="宋体" w:cs="Times New Roman"/>
                <w:color w:val="auto"/>
              </w:rPr>
              <w:t>样品数</w:t>
            </w:r>
          </w:p>
        </w:tc>
        <w:tc>
          <w:tcPr>
            <w:tcW w:w="577" w:type="pct"/>
            <w:shd w:val="clear" w:color="auto" w:fill="auto"/>
            <w:vAlign w:val="center"/>
          </w:tcPr>
          <w:p w14:paraId="78F43F19">
            <w:pPr>
              <w:jc w:val="center"/>
              <w:rPr>
                <w:rFonts w:ascii="宋体" w:hAnsi="宋体" w:eastAsia="宋体" w:cs="Times New Roman"/>
                <w:color w:val="auto"/>
              </w:rPr>
            </w:pPr>
            <w:r>
              <w:rPr>
                <w:rFonts w:ascii="宋体" w:hAnsi="宋体" w:eastAsia="宋体" w:cs="Times New Roman"/>
                <w:color w:val="auto"/>
              </w:rPr>
              <w:t>最小值</w:t>
            </w:r>
          </w:p>
        </w:tc>
        <w:tc>
          <w:tcPr>
            <w:tcW w:w="516" w:type="pct"/>
            <w:shd w:val="clear" w:color="auto" w:fill="auto"/>
            <w:vAlign w:val="center"/>
          </w:tcPr>
          <w:p w14:paraId="4D25AA87">
            <w:pPr>
              <w:jc w:val="center"/>
              <w:rPr>
                <w:rFonts w:ascii="宋体" w:hAnsi="宋体" w:eastAsia="宋体" w:cs="Times New Roman"/>
                <w:color w:val="auto"/>
              </w:rPr>
            </w:pPr>
            <w:r>
              <w:rPr>
                <w:rFonts w:ascii="宋体" w:hAnsi="宋体" w:eastAsia="宋体" w:cs="Times New Roman"/>
                <w:color w:val="auto"/>
              </w:rPr>
              <w:t>最大值</w:t>
            </w:r>
          </w:p>
        </w:tc>
        <w:tc>
          <w:tcPr>
            <w:tcW w:w="485" w:type="pct"/>
            <w:shd w:val="clear" w:color="auto" w:fill="auto"/>
            <w:vAlign w:val="center"/>
          </w:tcPr>
          <w:p w14:paraId="390BCE0B">
            <w:pPr>
              <w:jc w:val="center"/>
              <w:rPr>
                <w:rFonts w:ascii="宋体" w:hAnsi="宋体" w:eastAsia="宋体" w:cs="Times New Roman"/>
                <w:color w:val="auto"/>
              </w:rPr>
            </w:pPr>
            <w:r>
              <w:rPr>
                <w:rFonts w:ascii="宋体" w:hAnsi="宋体" w:eastAsia="宋体" w:cs="Times New Roman"/>
                <w:color w:val="auto"/>
              </w:rPr>
              <w:t>均值</w:t>
            </w:r>
          </w:p>
        </w:tc>
        <w:tc>
          <w:tcPr>
            <w:tcW w:w="490" w:type="pct"/>
            <w:shd w:val="clear" w:color="auto" w:fill="auto"/>
            <w:vAlign w:val="center"/>
          </w:tcPr>
          <w:p w14:paraId="14EC3D09">
            <w:pPr>
              <w:jc w:val="center"/>
              <w:rPr>
                <w:rFonts w:ascii="宋体" w:hAnsi="宋体" w:eastAsia="宋体" w:cs="Times New Roman"/>
                <w:color w:val="auto"/>
              </w:rPr>
            </w:pPr>
            <w:r>
              <w:rPr>
                <w:rFonts w:ascii="宋体" w:hAnsi="宋体" w:eastAsia="宋体" w:cs="Times New Roman"/>
                <w:color w:val="auto"/>
              </w:rPr>
              <w:t>标准差</w:t>
            </w:r>
          </w:p>
        </w:tc>
        <w:tc>
          <w:tcPr>
            <w:tcW w:w="491" w:type="pct"/>
            <w:shd w:val="clear" w:color="auto" w:fill="auto"/>
            <w:vAlign w:val="center"/>
          </w:tcPr>
          <w:p w14:paraId="45EE4F39">
            <w:pPr>
              <w:jc w:val="center"/>
              <w:rPr>
                <w:rFonts w:ascii="宋体" w:hAnsi="宋体" w:eastAsia="宋体" w:cs="Times New Roman"/>
                <w:color w:val="auto"/>
              </w:rPr>
            </w:pPr>
            <w:r>
              <w:rPr>
                <w:rFonts w:ascii="宋体" w:hAnsi="宋体" w:eastAsia="宋体" w:cs="Times New Roman"/>
                <w:color w:val="auto"/>
              </w:rPr>
              <w:t>检出率%</w:t>
            </w:r>
          </w:p>
        </w:tc>
        <w:tc>
          <w:tcPr>
            <w:tcW w:w="321" w:type="pct"/>
            <w:shd w:val="clear" w:color="auto" w:fill="auto"/>
            <w:vAlign w:val="center"/>
          </w:tcPr>
          <w:p w14:paraId="62620616">
            <w:pPr>
              <w:jc w:val="center"/>
              <w:rPr>
                <w:rFonts w:ascii="宋体" w:hAnsi="宋体" w:eastAsia="宋体" w:cs="Times New Roman"/>
                <w:color w:val="auto"/>
              </w:rPr>
            </w:pPr>
            <w:r>
              <w:rPr>
                <w:rFonts w:ascii="宋体" w:hAnsi="宋体" w:eastAsia="宋体" w:cs="Times New Roman"/>
                <w:color w:val="auto"/>
              </w:rPr>
              <w:t>超标率</w:t>
            </w:r>
          </w:p>
        </w:tc>
        <w:tc>
          <w:tcPr>
            <w:tcW w:w="460" w:type="pct"/>
            <w:shd w:val="clear" w:color="auto" w:fill="auto"/>
            <w:vAlign w:val="center"/>
          </w:tcPr>
          <w:p w14:paraId="659065AA">
            <w:pPr>
              <w:jc w:val="center"/>
              <w:rPr>
                <w:rFonts w:ascii="宋体" w:hAnsi="宋体" w:eastAsia="宋体" w:cs="Times New Roman"/>
                <w:color w:val="auto"/>
              </w:rPr>
            </w:pPr>
            <w:r>
              <w:rPr>
                <w:rFonts w:ascii="宋体" w:hAnsi="宋体" w:eastAsia="宋体" w:cs="Times New Roman"/>
                <w:color w:val="auto"/>
              </w:rPr>
              <w:t>最大超标倍数</w:t>
            </w:r>
          </w:p>
        </w:tc>
      </w:tr>
      <w:tr w14:paraId="69F4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5C6C121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828" w:type="pct"/>
            <w:shd w:val="clear" w:color="auto" w:fill="auto"/>
            <w:vAlign w:val="center"/>
          </w:tcPr>
          <w:p w14:paraId="38FED718">
            <w:pPr>
              <w:adjustRightInd w:val="0"/>
              <w:snapToGrid w:val="0"/>
              <w:jc w:val="center"/>
              <w:rPr>
                <w:rFonts w:ascii="宋体" w:hAnsi="宋体" w:eastAsia="宋体" w:cs="Times New Roman"/>
                <w:color w:val="auto"/>
              </w:rPr>
            </w:pPr>
            <w:r>
              <w:rPr>
                <w:rFonts w:ascii="宋体" w:hAnsi="宋体" w:eastAsia="宋体" w:cs="Times New Roman"/>
                <w:color w:val="auto"/>
              </w:rPr>
              <w:t>pH</w:t>
            </w:r>
          </w:p>
        </w:tc>
        <w:tc>
          <w:tcPr>
            <w:tcW w:w="577" w:type="pct"/>
            <w:shd w:val="clear" w:color="auto" w:fill="auto"/>
            <w:vAlign w:val="center"/>
          </w:tcPr>
          <w:p w14:paraId="238E8C49">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2EA89AD2">
            <w:pPr>
              <w:jc w:val="center"/>
              <w:textAlignment w:val="center"/>
              <w:rPr>
                <w:rFonts w:ascii="宋体" w:hAnsi="宋体" w:eastAsia="宋体" w:cs="Times New Roman"/>
                <w:color w:val="auto"/>
              </w:rPr>
            </w:pPr>
            <w:r>
              <w:rPr>
                <w:rFonts w:ascii="宋体" w:hAnsi="宋体" w:eastAsia="宋体" w:cs="Times New Roman"/>
                <w:color w:val="auto"/>
                <w:szCs w:val="22"/>
                <w:lang w:bidi="ar"/>
              </w:rPr>
              <w:t>7.78</w:t>
            </w:r>
          </w:p>
        </w:tc>
        <w:tc>
          <w:tcPr>
            <w:tcW w:w="516" w:type="pct"/>
            <w:shd w:val="clear" w:color="auto" w:fill="auto"/>
            <w:vAlign w:val="center"/>
          </w:tcPr>
          <w:p w14:paraId="15483D03">
            <w:pPr>
              <w:jc w:val="center"/>
              <w:textAlignment w:val="center"/>
              <w:rPr>
                <w:rFonts w:ascii="宋体" w:hAnsi="宋体" w:eastAsia="宋体" w:cs="Times New Roman"/>
                <w:color w:val="auto"/>
              </w:rPr>
            </w:pPr>
            <w:r>
              <w:rPr>
                <w:rFonts w:ascii="宋体" w:hAnsi="宋体" w:eastAsia="宋体" w:cs="Times New Roman"/>
                <w:color w:val="auto"/>
                <w:szCs w:val="22"/>
                <w:lang w:bidi="ar"/>
              </w:rPr>
              <w:t>8.23</w:t>
            </w:r>
          </w:p>
        </w:tc>
        <w:tc>
          <w:tcPr>
            <w:tcW w:w="485" w:type="pct"/>
            <w:shd w:val="clear" w:color="auto" w:fill="auto"/>
            <w:vAlign w:val="center"/>
          </w:tcPr>
          <w:p w14:paraId="0F5963F3">
            <w:pPr>
              <w:jc w:val="center"/>
              <w:textAlignment w:val="center"/>
              <w:rPr>
                <w:rFonts w:ascii="宋体" w:hAnsi="宋体" w:eastAsia="宋体" w:cs="Times New Roman"/>
                <w:color w:val="auto"/>
              </w:rPr>
            </w:pPr>
            <w:r>
              <w:rPr>
                <w:rFonts w:ascii="宋体" w:hAnsi="宋体" w:eastAsia="宋体" w:cs="Times New Roman"/>
                <w:color w:val="auto"/>
                <w:szCs w:val="22"/>
                <w:lang w:bidi="ar"/>
              </w:rPr>
              <w:t>7.99</w:t>
            </w:r>
          </w:p>
        </w:tc>
        <w:tc>
          <w:tcPr>
            <w:tcW w:w="490" w:type="pct"/>
            <w:shd w:val="clear" w:color="auto" w:fill="auto"/>
            <w:vAlign w:val="center"/>
          </w:tcPr>
          <w:p w14:paraId="735C1C2B">
            <w:pPr>
              <w:jc w:val="center"/>
              <w:textAlignment w:val="center"/>
              <w:rPr>
                <w:rFonts w:ascii="宋体" w:hAnsi="宋体" w:eastAsia="宋体" w:cs="Times New Roman"/>
                <w:color w:val="auto"/>
              </w:rPr>
            </w:pPr>
            <w:r>
              <w:rPr>
                <w:rFonts w:ascii="宋体" w:hAnsi="宋体" w:eastAsia="宋体" w:cs="Times New Roman"/>
                <w:color w:val="auto"/>
                <w:szCs w:val="22"/>
                <w:lang w:bidi="ar"/>
              </w:rPr>
              <w:t>0.15</w:t>
            </w:r>
          </w:p>
        </w:tc>
        <w:tc>
          <w:tcPr>
            <w:tcW w:w="491" w:type="pct"/>
            <w:shd w:val="clear" w:color="auto" w:fill="auto"/>
            <w:vAlign w:val="center"/>
          </w:tcPr>
          <w:p w14:paraId="2FB194FC">
            <w:pPr>
              <w:jc w:val="center"/>
              <w:rPr>
                <w:rFonts w:ascii="宋体" w:hAnsi="宋体" w:eastAsia="宋体" w:cs="Times New Roman"/>
                <w:color w:val="auto"/>
              </w:rPr>
            </w:pPr>
            <w:r>
              <w:rPr>
                <w:rFonts w:ascii="宋体" w:hAnsi="宋体" w:eastAsia="宋体" w:cs="Times New Roman"/>
                <w:color w:val="auto"/>
              </w:rPr>
              <w:t>100</w:t>
            </w:r>
          </w:p>
        </w:tc>
        <w:tc>
          <w:tcPr>
            <w:tcW w:w="321" w:type="pct"/>
            <w:shd w:val="clear" w:color="auto" w:fill="auto"/>
            <w:vAlign w:val="center"/>
          </w:tcPr>
          <w:p w14:paraId="4AAD48A9">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74C94F50">
            <w:pPr>
              <w:jc w:val="center"/>
              <w:rPr>
                <w:rFonts w:ascii="宋体" w:hAnsi="宋体" w:eastAsia="宋体" w:cs="Times New Roman"/>
                <w:color w:val="auto"/>
              </w:rPr>
            </w:pPr>
            <w:r>
              <w:rPr>
                <w:rFonts w:ascii="宋体" w:hAnsi="宋体" w:eastAsia="宋体" w:cs="Times New Roman"/>
                <w:color w:val="auto"/>
              </w:rPr>
              <w:t>0</w:t>
            </w:r>
          </w:p>
        </w:tc>
      </w:tr>
      <w:tr w14:paraId="4E30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7DF17B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828" w:type="pct"/>
            <w:shd w:val="clear" w:color="auto" w:fill="auto"/>
            <w:vAlign w:val="center"/>
          </w:tcPr>
          <w:p w14:paraId="749CE59F">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镉（Cd）</w:t>
            </w:r>
          </w:p>
        </w:tc>
        <w:tc>
          <w:tcPr>
            <w:tcW w:w="577" w:type="pct"/>
            <w:shd w:val="clear" w:color="auto" w:fill="auto"/>
            <w:vAlign w:val="center"/>
          </w:tcPr>
          <w:p w14:paraId="4221FC6C">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2CDD9839">
            <w:pPr>
              <w:jc w:val="center"/>
              <w:textAlignment w:val="center"/>
              <w:rPr>
                <w:rFonts w:ascii="宋体" w:hAnsi="宋体" w:eastAsia="宋体" w:cs="Times New Roman"/>
                <w:color w:val="auto"/>
              </w:rPr>
            </w:pPr>
            <w:r>
              <w:rPr>
                <w:rFonts w:ascii="宋体" w:hAnsi="宋体" w:eastAsia="宋体" w:cs="Times New Roman"/>
                <w:color w:val="auto"/>
                <w:szCs w:val="22"/>
                <w:lang w:bidi="ar"/>
              </w:rPr>
              <w:t>0.06</w:t>
            </w:r>
          </w:p>
        </w:tc>
        <w:tc>
          <w:tcPr>
            <w:tcW w:w="516" w:type="pct"/>
            <w:shd w:val="clear" w:color="auto" w:fill="auto"/>
            <w:vAlign w:val="center"/>
          </w:tcPr>
          <w:p w14:paraId="4C258624">
            <w:pPr>
              <w:jc w:val="center"/>
              <w:textAlignment w:val="center"/>
              <w:rPr>
                <w:rFonts w:ascii="宋体" w:hAnsi="宋体" w:eastAsia="宋体" w:cs="Times New Roman"/>
                <w:color w:val="auto"/>
              </w:rPr>
            </w:pPr>
            <w:r>
              <w:rPr>
                <w:rFonts w:ascii="宋体" w:hAnsi="宋体" w:eastAsia="宋体" w:cs="Times New Roman"/>
                <w:color w:val="auto"/>
                <w:szCs w:val="22"/>
                <w:lang w:bidi="ar"/>
              </w:rPr>
              <w:t>0.12</w:t>
            </w:r>
          </w:p>
        </w:tc>
        <w:tc>
          <w:tcPr>
            <w:tcW w:w="485" w:type="pct"/>
            <w:shd w:val="clear" w:color="auto" w:fill="auto"/>
            <w:vAlign w:val="center"/>
          </w:tcPr>
          <w:p w14:paraId="5697FF33">
            <w:pPr>
              <w:jc w:val="center"/>
              <w:textAlignment w:val="center"/>
              <w:rPr>
                <w:rFonts w:ascii="宋体" w:hAnsi="宋体" w:eastAsia="宋体" w:cs="Times New Roman"/>
                <w:color w:val="auto"/>
              </w:rPr>
            </w:pPr>
            <w:r>
              <w:rPr>
                <w:rFonts w:ascii="宋体" w:hAnsi="宋体" w:eastAsia="宋体" w:cs="Times New Roman"/>
                <w:color w:val="auto"/>
                <w:szCs w:val="22"/>
                <w:lang w:bidi="ar"/>
              </w:rPr>
              <w:t>0.09</w:t>
            </w:r>
          </w:p>
        </w:tc>
        <w:tc>
          <w:tcPr>
            <w:tcW w:w="490" w:type="pct"/>
            <w:shd w:val="clear" w:color="auto" w:fill="auto"/>
            <w:vAlign w:val="center"/>
          </w:tcPr>
          <w:p w14:paraId="2026257D">
            <w:pPr>
              <w:jc w:val="center"/>
              <w:textAlignment w:val="center"/>
              <w:rPr>
                <w:rFonts w:ascii="宋体" w:hAnsi="宋体" w:eastAsia="宋体" w:cs="Times New Roman"/>
                <w:color w:val="auto"/>
              </w:rPr>
            </w:pPr>
            <w:r>
              <w:rPr>
                <w:rFonts w:ascii="宋体" w:hAnsi="宋体" w:eastAsia="宋体" w:cs="Times New Roman"/>
                <w:color w:val="auto"/>
                <w:szCs w:val="22"/>
                <w:lang w:bidi="ar"/>
              </w:rPr>
              <w:t>0.02</w:t>
            </w:r>
          </w:p>
        </w:tc>
        <w:tc>
          <w:tcPr>
            <w:tcW w:w="491" w:type="pct"/>
            <w:shd w:val="clear" w:color="auto" w:fill="auto"/>
            <w:vAlign w:val="center"/>
          </w:tcPr>
          <w:p w14:paraId="7278FDB4">
            <w:pPr>
              <w:jc w:val="center"/>
              <w:rPr>
                <w:rFonts w:ascii="宋体" w:hAnsi="宋体" w:eastAsia="宋体" w:cs="Times New Roman"/>
                <w:color w:val="auto"/>
              </w:rPr>
            </w:pPr>
            <w:r>
              <w:rPr>
                <w:rFonts w:ascii="宋体" w:hAnsi="宋体" w:eastAsia="宋体" w:cs="Times New Roman"/>
                <w:color w:val="auto"/>
              </w:rPr>
              <w:t>100</w:t>
            </w:r>
          </w:p>
        </w:tc>
        <w:tc>
          <w:tcPr>
            <w:tcW w:w="321" w:type="pct"/>
            <w:shd w:val="clear" w:color="auto" w:fill="auto"/>
            <w:vAlign w:val="center"/>
          </w:tcPr>
          <w:p w14:paraId="26A9E5AB">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5EDC8D96">
            <w:pPr>
              <w:jc w:val="center"/>
              <w:rPr>
                <w:rFonts w:ascii="宋体" w:hAnsi="宋体" w:eastAsia="宋体" w:cs="Times New Roman"/>
                <w:color w:val="auto"/>
              </w:rPr>
            </w:pPr>
            <w:r>
              <w:rPr>
                <w:rFonts w:ascii="宋体" w:hAnsi="宋体" w:eastAsia="宋体" w:cs="Times New Roman"/>
                <w:color w:val="auto"/>
              </w:rPr>
              <w:t>0</w:t>
            </w:r>
          </w:p>
        </w:tc>
      </w:tr>
      <w:tr w14:paraId="431F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3B0640E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828" w:type="pct"/>
            <w:shd w:val="clear" w:color="auto" w:fill="auto"/>
            <w:vAlign w:val="center"/>
          </w:tcPr>
          <w:p w14:paraId="79F3F2EB">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汞（Hg）</w:t>
            </w:r>
          </w:p>
        </w:tc>
        <w:tc>
          <w:tcPr>
            <w:tcW w:w="577" w:type="pct"/>
            <w:shd w:val="clear" w:color="auto" w:fill="auto"/>
            <w:vAlign w:val="center"/>
          </w:tcPr>
          <w:p w14:paraId="1EBB12E4">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09D06F80">
            <w:pPr>
              <w:jc w:val="center"/>
              <w:textAlignment w:val="center"/>
              <w:rPr>
                <w:rFonts w:ascii="宋体" w:hAnsi="宋体" w:eastAsia="宋体" w:cs="Times New Roman"/>
                <w:color w:val="auto"/>
              </w:rPr>
            </w:pPr>
            <w:r>
              <w:rPr>
                <w:rFonts w:ascii="宋体" w:hAnsi="宋体" w:eastAsia="宋体" w:cs="Times New Roman"/>
                <w:color w:val="auto"/>
                <w:szCs w:val="22"/>
                <w:lang w:bidi="ar"/>
              </w:rPr>
              <w:t>0.013</w:t>
            </w:r>
          </w:p>
        </w:tc>
        <w:tc>
          <w:tcPr>
            <w:tcW w:w="516" w:type="pct"/>
            <w:shd w:val="clear" w:color="auto" w:fill="auto"/>
            <w:vAlign w:val="center"/>
          </w:tcPr>
          <w:p w14:paraId="1C523D98">
            <w:pPr>
              <w:jc w:val="center"/>
              <w:textAlignment w:val="center"/>
              <w:rPr>
                <w:rFonts w:ascii="宋体" w:hAnsi="宋体" w:eastAsia="宋体" w:cs="Times New Roman"/>
                <w:color w:val="auto"/>
              </w:rPr>
            </w:pPr>
            <w:r>
              <w:rPr>
                <w:rFonts w:ascii="宋体" w:hAnsi="宋体" w:eastAsia="宋体" w:cs="Times New Roman"/>
                <w:color w:val="auto"/>
                <w:szCs w:val="22"/>
                <w:lang w:bidi="ar"/>
              </w:rPr>
              <w:t>0.023</w:t>
            </w:r>
          </w:p>
        </w:tc>
        <w:tc>
          <w:tcPr>
            <w:tcW w:w="485" w:type="pct"/>
            <w:shd w:val="clear" w:color="auto" w:fill="auto"/>
            <w:vAlign w:val="center"/>
          </w:tcPr>
          <w:p w14:paraId="1A11BD9F">
            <w:pPr>
              <w:jc w:val="center"/>
              <w:textAlignment w:val="center"/>
              <w:rPr>
                <w:rFonts w:ascii="宋体" w:hAnsi="宋体" w:eastAsia="宋体" w:cs="Times New Roman"/>
                <w:color w:val="auto"/>
              </w:rPr>
            </w:pPr>
            <w:r>
              <w:rPr>
                <w:rFonts w:ascii="宋体" w:hAnsi="宋体" w:eastAsia="宋体" w:cs="Times New Roman"/>
                <w:color w:val="auto"/>
                <w:szCs w:val="22"/>
                <w:lang w:bidi="ar"/>
              </w:rPr>
              <w:t>0.02</w:t>
            </w:r>
          </w:p>
        </w:tc>
        <w:tc>
          <w:tcPr>
            <w:tcW w:w="490" w:type="pct"/>
            <w:shd w:val="clear" w:color="auto" w:fill="auto"/>
            <w:vAlign w:val="center"/>
          </w:tcPr>
          <w:p w14:paraId="35A44897">
            <w:pPr>
              <w:jc w:val="center"/>
              <w:textAlignment w:val="center"/>
              <w:rPr>
                <w:rFonts w:ascii="宋体" w:hAnsi="宋体" w:eastAsia="宋体" w:cs="Times New Roman"/>
                <w:color w:val="auto"/>
              </w:rPr>
            </w:pPr>
            <w:r>
              <w:rPr>
                <w:rFonts w:ascii="宋体" w:hAnsi="宋体" w:eastAsia="宋体" w:cs="Times New Roman"/>
                <w:color w:val="auto"/>
                <w:szCs w:val="22"/>
                <w:lang w:bidi="ar"/>
              </w:rPr>
              <w:t>0.00</w:t>
            </w:r>
          </w:p>
        </w:tc>
        <w:tc>
          <w:tcPr>
            <w:tcW w:w="491" w:type="pct"/>
            <w:shd w:val="clear" w:color="auto" w:fill="auto"/>
            <w:vAlign w:val="center"/>
          </w:tcPr>
          <w:p w14:paraId="7A819BCC">
            <w:pPr>
              <w:jc w:val="center"/>
              <w:rPr>
                <w:rFonts w:ascii="宋体" w:hAnsi="宋体" w:eastAsia="宋体" w:cs="Times New Roman"/>
                <w:color w:val="auto"/>
              </w:rPr>
            </w:pPr>
            <w:r>
              <w:rPr>
                <w:rFonts w:ascii="宋体" w:hAnsi="宋体" w:eastAsia="宋体" w:cs="Times New Roman"/>
                <w:color w:val="auto"/>
              </w:rPr>
              <w:t>100</w:t>
            </w:r>
          </w:p>
        </w:tc>
        <w:tc>
          <w:tcPr>
            <w:tcW w:w="321" w:type="pct"/>
            <w:shd w:val="clear" w:color="auto" w:fill="auto"/>
            <w:vAlign w:val="center"/>
          </w:tcPr>
          <w:p w14:paraId="5942E43C">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763AA6D6">
            <w:pPr>
              <w:jc w:val="center"/>
              <w:rPr>
                <w:rFonts w:ascii="宋体" w:hAnsi="宋体" w:eastAsia="宋体" w:cs="Times New Roman"/>
                <w:color w:val="auto"/>
              </w:rPr>
            </w:pPr>
            <w:r>
              <w:rPr>
                <w:rFonts w:ascii="宋体" w:hAnsi="宋体" w:eastAsia="宋体" w:cs="Times New Roman"/>
                <w:color w:val="auto"/>
              </w:rPr>
              <w:t>0</w:t>
            </w:r>
          </w:p>
        </w:tc>
      </w:tr>
      <w:tr w14:paraId="1DA4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269F2E0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828" w:type="pct"/>
            <w:shd w:val="clear" w:color="auto" w:fill="auto"/>
            <w:vAlign w:val="center"/>
          </w:tcPr>
          <w:p w14:paraId="43B4A08C">
            <w:pPr>
              <w:adjustRightInd w:val="0"/>
              <w:snapToGrid w:val="0"/>
              <w:jc w:val="center"/>
              <w:rPr>
                <w:rFonts w:ascii="宋体" w:hAnsi="宋体" w:eastAsia="宋体" w:cs="Times New Roman"/>
                <w:color w:val="auto"/>
              </w:rPr>
            </w:pPr>
            <w:r>
              <w:rPr>
                <w:rFonts w:ascii="宋体" w:hAnsi="宋体" w:eastAsia="宋体" w:cs="Times New Roman"/>
                <w:snapToGrid w:val="0"/>
                <w:color w:val="auto"/>
              </w:rPr>
              <w:t>砷（As）</w:t>
            </w:r>
          </w:p>
        </w:tc>
        <w:tc>
          <w:tcPr>
            <w:tcW w:w="577" w:type="pct"/>
            <w:shd w:val="clear" w:color="auto" w:fill="auto"/>
            <w:vAlign w:val="center"/>
          </w:tcPr>
          <w:p w14:paraId="037FFFF1">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608A754C">
            <w:pPr>
              <w:jc w:val="center"/>
              <w:textAlignment w:val="center"/>
              <w:rPr>
                <w:rFonts w:ascii="宋体" w:hAnsi="宋体" w:eastAsia="宋体" w:cs="Times New Roman"/>
                <w:color w:val="auto"/>
              </w:rPr>
            </w:pPr>
            <w:r>
              <w:rPr>
                <w:rFonts w:ascii="宋体" w:hAnsi="宋体" w:eastAsia="宋体" w:cs="Times New Roman"/>
                <w:color w:val="auto"/>
                <w:szCs w:val="22"/>
                <w:lang w:bidi="ar"/>
              </w:rPr>
              <w:t>3.22</w:t>
            </w:r>
          </w:p>
        </w:tc>
        <w:tc>
          <w:tcPr>
            <w:tcW w:w="516" w:type="pct"/>
            <w:shd w:val="clear" w:color="auto" w:fill="auto"/>
            <w:vAlign w:val="center"/>
          </w:tcPr>
          <w:p w14:paraId="3AC2E004">
            <w:pPr>
              <w:jc w:val="center"/>
              <w:textAlignment w:val="center"/>
              <w:rPr>
                <w:rFonts w:ascii="宋体" w:hAnsi="宋体" w:eastAsia="宋体" w:cs="Times New Roman"/>
                <w:color w:val="auto"/>
              </w:rPr>
            </w:pPr>
            <w:r>
              <w:rPr>
                <w:rFonts w:ascii="宋体" w:hAnsi="宋体" w:eastAsia="宋体" w:cs="Times New Roman"/>
                <w:color w:val="auto"/>
                <w:szCs w:val="22"/>
                <w:lang w:bidi="ar"/>
              </w:rPr>
              <w:t>3.42</w:t>
            </w:r>
          </w:p>
        </w:tc>
        <w:tc>
          <w:tcPr>
            <w:tcW w:w="485" w:type="pct"/>
            <w:shd w:val="clear" w:color="auto" w:fill="auto"/>
            <w:vAlign w:val="center"/>
          </w:tcPr>
          <w:p w14:paraId="6118D982">
            <w:pPr>
              <w:jc w:val="center"/>
              <w:textAlignment w:val="center"/>
              <w:rPr>
                <w:rFonts w:ascii="宋体" w:hAnsi="宋体" w:eastAsia="宋体" w:cs="Times New Roman"/>
                <w:color w:val="auto"/>
              </w:rPr>
            </w:pPr>
            <w:r>
              <w:rPr>
                <w:rFonts w:ascii="宋体" w:hAnsi="宋体" w:eastAsia="宋体" w:cs="Times New Roman"/>
                <w:color w:val="auto"/>
                <w:szCs w:val="22"/>
                <w:lang w:bidi="ar"/>
              </w:rPr>
              <w:t>3.31</w:t>
            </w:r>
          </w:p>
        </w:tc>
        <w:tc>
          <w:tcPr>
            <w:tcW w:w="490" w:type="pct"/>
            <w:shd w:val="clear" w:color="auto" w:fill="auto"/>
            <w:vAlign w:val="center"/>
          </w:tcPr>
          <w:p w14:paraId="115D4B30">
            <w:pPr>
              <w:jc w:val="center"/>
              <w:textAlignment w:val="center"/>
              <w:rPr>
                <w:rFonts w:ascii="宋体" w:hAnsi="宋体" w:eastAsia="宋体" w:cs="Times New Roman"/>
                <w:color w:val="auto"/>
              </w:rPr>
            </w:pPr>
            <w:r>
              <w:rPr>
                <w:rFonts w:ascii="宋体" w:hAnsi="宋体" w:eastAsia="宋体" w:cs="Times New Roman"/>
                <w:color w:val="auto"/>
                <w:szCs w:val="22"/>
                <w:lang w:bidi="ar"/>
              </w:rPr>
              <w:t>0.06</w:t>
            </w:r>
          </w:p>
        </w:tc>
        <w:tc>
          <w:tcPr>
            <w:tcW w:w="491" w:type="pct"/>
            <w:shd w:val="clear" w:color="auto" w:fill="auto"/>
            <w:vAlign w:val="center"/>
          </w:tcPr>
          <w:p w14:paraId="431A26B0">
            <w:pPr>
              <w:jc w:val="center"/>
              <w:rPr>
                <w:rFonts w:ascii="宋体" w:hAnsi="宋体" w:eastAsia="宋体" w:cs="Times New Roman"/>
                <w:color w:val="auto"/>
              </w:rPr>
            </w:pPr>
            <w:r>
              <w:rPr>
                <w:rFonts w:ascii="宋体" w:hAnsi="宋体" w:eastAsia="宋体" w:cs="Times New Roman"/>
                <w:color w:val="auto"/>
              </w:rPr>
              <w:t>100</w:t>
            </w:r>
          </w:p>
        </w:tc>
        <w:tc>
          <w:tcPr>
            <w:tcW w:w="321" w:type="pct"/>
            <w:shd w:val="clear" w:color="auto" w:fill="auto"/>
            <w:vAlign w:val="center"/>
          </w:tcPr>
          <w:p w14:paraId="5D4AF4E5">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1FA1CF8F">
            <w:pPr>
              <w:jc w:val="center"/>
              <w:rPr>
                <w:rFonts w:ascii="宋体" w:hAnsi="宋体" w:eastAsia="宋体" w:cs="Times New Roman"/>
                <w:color w:val="auto"/>
              </w:rPr>
            </w:pPr>
            <w:r>
              <w:rPr>
                <w:rFonts w:ascii="宋体" w:hAnsi="宋体" w:eastAsia="宋体" w:cs="Times New Roman"/>
                <w:color w:val="auto"/>
              </w:rPr>
              <w:t>0</w:t>
            </w:r>
          </w:p>
        </w:tc>
      </w:tr>
      <w:tr w14:paraId="3D5F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449DE764">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828" w:type="pct"/>
            <w:shd w:val="clear" w:color="auto" w:fill="auto"/>
            <w:vAlign w:val="center"/>
          </w:tcPr>
          <w:p w14:paraId="78C2B82C">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铅（Pb）</w:t>
            </w:r>
          </w:p>
        </w:tc>
        <w:tc>
          <w:tcPr>
            <w:tcW w:w="577" w:type="pct"/>
            <w:shd w:val="clear" w:color="auto" w:fill="auto"/>
            <w:vAlign w:val="center"/>
          </w:tcPr>
          <w:p w14:paraId="61206FCF">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346E53E8">
            <w:pPr>
              <w:jc w:val="center"/>
              <w:textAlignment w:val="center"/>
              <w:rPr>
                <w:rFonts w:ascii="宋体" w:hAnsi="宋体" w:eastAsia="宋体" w:cs="Times New Roman"/>
                <w:color w:val="auto"/>
              </w:rPr>
            </w:pPr>
            <w:r>
              <w:rPr>
                <w:rFonts w:ascii="宋体" w:hAnsi="宋体" w:eastAsia="宋体" w:cs="Times New Roman"/>
                <w:color w:val="auto"/>
                <w:szCs w:val="22"/>
                <w:lang w:bidi="ar"/>
              </w:rPr>
              <w:t>14</w:t>
            </w:r>
          </w:p>
        </w:tc>
        <w:tc>
          <w:tcPr>
            <w:tcW w:w="516" w:type="pct"/>
            <w:shd w:val="clear" w:color="auto" w:fill="auto"/>
            <w:vAlign w:val="center"/>
          </w:tcPr>
          <w:p w14:paraId="0795C0DA">
            <w:pPr>
              <w:jc w:val="center"/>
              <w:textAlignment w:val="center"/>
              <w:rPr>
                <w:rFonts w:ascii="宋体" w:hAnsi="宋体" w:eastAsia="宋体" w:cs="Times New Roman"/>
                <w:color w:val="auto"/>
              </w:rPr>
            </w:pPr>
            <w:r>
              <w:rPr>
                <w:rFonts w:ascii="宋体" w:hAnsi="宋体" w:eastAsia="宋体" w:cs="Times New Roman"/>
                <w:color w:val="auto"/>
                <w:szCs w:val="22"/>
                <w:lang w:bidi="ar"/>
              </w:rPr>
              <w:t>20</w:t>
            </w:r>
          </w:p>
        </w:tc>
        <w:tc>
          <w:tcPr>
            <w:tcW w:w="485" w:type="pct"/>
            <w:shd w:val="clear" w:color="auto" w:fill="auto"/>
            <w:vAlign w:val="center"/>
          </w:tcPr>
          <w:p w14:paraId="17142F4F">
            <w:pPr>
              <w:jc w:val="center"/>
              <w:textAlignment w:val="center"/>
              <w:rPr>
                <w:rFonts w:ascii="宋体" w:hAnsi="宋体" w:eastAsia="宋体" w:cs="Times New Roman"/>
                <w:color w:val="auto"/>
              </w:rPr>
            </w:pPr>
            <w:r>
              <w:rPr>
                <w:rFonts w:ascii="宋体" w:hAnsi="宋体" w:eastAsia="宋体" w:cs="Times New Roman"/>
                <w:color w:val="auto"/>
                <w:szCs w:val="22"/>
                <w:lang w:bidi="ar"/>
              </w:rPr>
              <w:t>17.61</w:t>
            </w:r>
          </w:p>
        </w:tc>
        <w:tc>
          <w:tcPr>
            <w:tcW w:w="490" w:type="pct"/>
            <w:shd w:val="clear" w:color="auto" w:fill="auto"/>
            <w:vAlign w:val="center"/>
          </w:tcPr>
          <w:p w14:paraId="7C67A171">
            <w:pPr>
              <w:jc w:val="center"/>
              <w:textAlignment w:val="center"/>
              <w:rPr>
                <w:rFonts w:ascii="宋体" w:hAnsi="宋体" w:eastAsia="宋体" w:cs="Times New Roman"/>
                <w:color w:val="auto"/>
              </w:rPr>
            </w:pPr>
            <w:r>
              <w:rPr>
                <w:rFonts w:ascii="宋体" w:hAnsi="宋体" w:eastAsia="宋体" w:cs="Times New Roman"/>
                <w:color w:val="auto"/>
                <w:szCs w:val="22"/>
                <w:lang w:bidi="ar"/>
              </w:rPr>
              <w:t>2.17</w:t>
            </w:r>
          </w:p>
        </w:tc>
        <w:tc>
          <w:tcPr>
            <w:tcW w:w="491" w:type="pct"/>
            <w:shd w:val="clear" w:color="auto" w:fill="auto"/>
            <w:vAlign w:val="center"/>
          </w:tcPr>
          <w:p w14:paraId="2EA971A6">
            <w:pPr>
              <w:jc w:val="center"/>
              <w:rPr>
                <w:rFonts w:ascii="宋体" w:hAnsi="宋体" w:eastAsia="宋体" w:cs="Times New Roman"/>
                <w:color w:val="auto"/>
              </w:rPr>
            </w:pPr>
            <w:r>
              <w:rPr>
                <w:rFonts w:ascii="宋体" w:hAnsi="宋体" w:eastAsia="宋体" w:cs="Times New Roman"/>
                <w:color w:val="auto"/>
              </w:rPr>
              <w:t>100</w:t>
            </w:r>
          </w:p>
        </w:tc>
        <w:tc>
          <w:tcPr>
            <w:tcW w:w="321" w:type="pct"/>
            <w:shd w:val="clear" w:color="auto" w:fill="auto"/>
            <w:vAlign w:val="center"/>
          </w:tcPr>
          <w:p w14:paraId="3579C20D">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1B1630E9">
            <w:pPr>
              <w:jc w:val="center"/>
              <w:rPr>
                <w:rFonts w:ascii="宋体" w:hAnsi="宋体" w:eastAsia="宋体" w:cs="Times New Roman"/>
                <w:color w:val="auto"/>
              </w:rPr>
            </w:pPr>
            <w:r>
              <w:rPr>
                <w:rFonts w:ascii="宋体" w:hAnsi="宋体" w:eastAsia="宋体" w:cs="Times New Roman"/>
                <w:color w:val="auto"/>
              </w:rPr>
              <w:t>0</w:t>
            </w:r>
          </w:p>
        </w:tc>
      </w:tr>
      <w:tr w14:paraId="26E2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045CB98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828" w:type="pct"/>
            <w:shd w:val="clear" w:color="auto" w:fill="auto"/>
            <w:vAlign w:val="center"/>
          </w:tcPr>
          <w:p w14:paraId="744691CF">
            <w:pPr>
              <w:adjustRightInd w:val="0"/>
              <w:snapToGrid w:val="0"/>
              <w:jc w:val="center"/>
              <w:rPr>
                <w:rFonts w:ascii="宋体" w:hAnsi="宋体" w:eastAsia="宋体" w:cs="Times New Roman"/>
                <w:color w:val="auto"/>
              </w:rPr>
            </w:pPr>
            <w:r>
              <w:rPr>
                <w:rFonts w:ascii="宋体" w:hAnsi="宋体" w:eastAsia="宋体" w:cs="Times New Roman"/>
                <w:color w:val="auto"/>
              </w:rPr>
              <w:t>铬（六价）</w:t>
            </w:r>
          </w:p>
        </w:tc>
        <w:tc>
          <w:tcPr>
            <w:tcW w:w="577" w:type="pct"/>
            <w:shd w:val="clear" w:color="auto" w:fill="auto"/>
            <w:vAlign w:val="center"/>
          </w:tcPr>
          <w:p w14:paraId="5254B89F">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173B8082">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60BDBF69">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6A650438">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405FD9D2">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38342255">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4315F6F0">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3CAF29C8">
            <w:pPr>
              <w:jc w:val="center"/>
              <w:rPr>
                <w:rFonts w:ascii="宋体" w:hAnsi="宋体" w:eastAsia="宋体" w:cs="Times New Roman"/>
                <w:color w:val="auto"/>
              </w:rPr>
            </w:pPr>
            <w:r>
              <w:rPr>
                <w:rFonts w:ascii="宋体" w:hAnsi="宋体" w:eastAsia="宋体" w:cs="Times New Roman"/>
                <w:color w:val="auto"/>
              </w:rPr>
              <w:t>0</w:t>
            </w:r>
          </w:p>
        </w:tc>
      </w:tr>
      <w:tr w14:paraId="2555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310B00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828" w:type="pct"/>
            <w:shd w:val="clear" w:color="auto" w:fill="auto"/>
            <w:vAlign w:val="center"/>
          </w:tcPr>
          <w:p w14:paraId="123DB08C">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铜（Cu）</w:t>
            </w:r>
          </w:p>
        </w:tc>
        <w:tc>
          <w:tcPr>
            <w:tcW w:w="577" w:type="pct"/>
            <w:shd w:val="clear" w:color="auto" w:fill="auto"/>
            <w:vAlign w:val="center"/>
          </w:tcPr>
          <w:p w14:paraId="63AAA095">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23DF5709">
            <w:pPr>
              <w:jc w:val="center"/>
              <w:textAlignment w:val="center"/>
              <w:rPr>
                <w:rFonts w:ascii="宋体" w:hAnsi="宋体" w:eastAsia="宋体" w:cs="Times New Roman"/>
                <w:color w:val="auto"/>
              </w:rPr>
            </w:pPr>
            <w:r>
              <w:rPr>
                <w:rFonts w:ascii="宋体" w:hAnsi="宋体" w:eastAsia="宋体" w:cs="Times New Roman"/>
                <w:color w:val="auto"/>
                <w:szCs w:val="22"/>
                <w:lang w:bidi="ar"/>
              </w:rPr>
              <w:t>10</w:t>
            </w:r>
          </w:p>
        </w:tc>
        <w:tc>
          <w:tcPr>
            <w:tcW w:w="516" w:type="pct"/>
            <w:shd w:val="clear" w:color="auto" w:fill="auto"/>
            <w:vAlign w:val="center"/>
          </w:tcPr>
          <w:p w14:paraId="4A1AC51E">
            <w:pPr>
              <w:jc w:val="center"/>
              <w:textAlignment w:val="center"/>
              <w:rPr>
                <w:rFonts w:ascii="宋体" w:hAnsi="宋体" w:eastAsia="宋体" w:cs="Times New Roman"/>
                <w:color w:val="auto"/>
              </w:rPr>
            </w:pPr>
            <w:r>
              <w:rPr>
                <w:rFonts w:ascii="宋体" w:hAnsi="宋体" w:eastAsia="宋体" w:cs="Times New Roman"/>
                <w:color w:val="auto"/>
                <w:szCs w:val="22"/>
                <w:lang w:bidi="ar"/>
              </w:rPr>
              <w:t>19</w:t>
            </w:r>
          </w:p>
        </w:tc>
        <w:tc>
          <w:tcPr>
            <w:tcW w:w="485" w:type="pct"/>
            <w:shd w:val="clear" w:color="auto" w:fill="auto"/>
            <w:vAlign w:val="center"/>
          </w:tcPr>
          <w:p w14:paraId="0008E95E">
            <w:pPr>
              <w:jc w:val="center"/>
              <w:textAlignment w:val="center"/>
              <w:rPr>
                <w:rFonts w:ascii="宋体" w:hAnsi="宋体" w:eastAsia="宋体" w:cs="Times New Roman"/>
                <w:color w:val="auto"/>
              </w:rPr>
            </w:pPr>
            <w:r>
              <w:rPr>
                <w:rFonts w:ascii="宋体" w:hAnsi="宋体" w:eastAsia="宋体" w:cs="Times New Roman"/>
                <w:color w:val="auto"/>
                <w:szCs w:val="22"/>
                <w:lang w:bidi="ar"/>
              </w:rPr>
              <w:t>14.89</w:t>
            </w:r>
          </w:p>
        </w:tc>
        <w:tc>
          <w:tcPr>
            <w:tcW w:w="490" w:type="pct"/>
            <w:shd w:val="clear" w:color="auto" w:fill="auto"/>
            <w:vAlign w:val="center"/>
          </w:tcPr>
          <w:p w14:paraId="70ED69FA">
            <w:pPr>
              <w:jc w:val="center"/>
              <w:textAlignment w:val="center"/>
              <w:rPr>
                <w:rFonts w:ascii="宋体" w:hAnsi="宋体" w:eastAsia="宋体" w:cs="Times New Roman"/>
                <w:color w:val="auto"/>
              </w:rPr>
            </w:pPr>
            <w:r>
              <w:rPr>
                <w:rFonts w:ascii="宋体" w:hAnsi="宋体" w:eastAsia="宋体" w:cs="Times New Roman"/>
                <w:color w:val="auto"/>
                <w:szCs w:val="22"/>
                <w:lang w:bidi="ar"/>
              </w:rPr>
              <w:t>2.65</w:t>
            </w:r>
          </w:p>
        </w:tc>
        <w:tc>
          <w:tcPr>
            <w:tcW w:w="491" w:type="pct"/>
            <w:shd w:val="clear" w:color="auto" w:fill="auto"/>
            <w:vAlign w:val="center"/>
          </w:tcPr>
          <w:p w14:paraId="5F0789D1">
            <w:pPr>
              <w:jc w:val="center"/>
              <w:rPr>
                <w:rFonts w:ascii="宋体" w:hAnsi="宋体" w:eastAsia="宋体" w:cs="Times New Roman"/>
                <w:color w:val="auto"/>
              </w:rPr>
            </w:pPr>
            <w:r>
              <w:rPr>
                <w:rFonts w:ascii="宋体" w:hAnsi="宋体" w:eastAsia="宋体" w:cs="Times New Roman"/>
                <w:color w:val="auto"/>
              </w:rPr>
              <w:t>100</w:t>
            </w:r>
          </w:p>
        </w:tc>
        <w:tc>
          <w:tcPr>
            <w:tcW w:w="321" w:type="pct"/>
            <w:shd w:val="clear" w:color="auto" w:fill="auto"/>
            <w:vAlign w:val="center"/>
          </w:tcPr>
          <w:p w14:paraId="3F3EF111">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6CB2E05B">
            <w:pPr>
              <w:jc w:val="center"/>
              <w:rPr>
                <w:rFonts w:ascii="宋体" w:hAnsi="宋体" w:eastAsia="宋体" w:cs="Times New Roman"/>
                <w:color w:val="auto"/>
              </w:rPr>
            </w:pPr>
            <w:r>
              <w:rPr>
                <w:rFonts w:ascii="宋体" w:hAnsi="宋体" w:eastAsia="宋体" w:cs="Times New Roman"/>
                <w:color w:val="auto"/>
              </w:rPr>
              <w:t>0</w:t>
            </w:r>
          </w:p>
        </w:tc>
      </w:tr>
      <w:tr w14:paraId="0922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D3E505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8</w:t>
            </w:r>
          </w:p>
        </w:tc>
        <w:tc>
          <w:tcPr>
            <w:tcW w:w="828" w:type="pct"/>
            <w:shd w:val="clear" w:color="auto" w:fill="auto"/>
            <w:vAlign w:val="center"/>
          </w:tcPr>
          <w:p w14:paraId="0A9BF810">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镍（Ni）</w:t>
            </w:r>
          </w:p>
        </w:tc>
        <w:tc>
          <w:tcPr>
            <w:tcW w:w="577" w:type="pct"/>
            <w:shd w:val="clear" w:color="auto" w:fill="auto"/>
            <w:vAlign w:val="center"/>
          </w:tcPr>
          <w:p w14:paraId="1C883FFA">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320B1C35">
            <w:pPr>
              <w:jc w:val="center"/>
              <w:textAlignment w:val="center"/>
              <w:rPr>
                <w:rFonts w:ascii="宋体" w:hAnsi="宋体" w:eastAsia="宋体" w:cs="Times New Roman"/>
                <w:color w:val="auto"/>
              </w:rPr>
            </w:pPr>
            <w:r>
              <w:rPr>
                <w:rFonts w:ascii="宋体" w:hAnsi="宋体" w:eastAsia="宋体" w:cs="Times New Roman"/>
                <w:color w:val="auto"/>
                <w:szCs w:val="22"/>
                <w:lang w:bidi="ar"/>
              </w:rPr>
              <w:t>18</w:t>
            </w:r>
          </w:p>
        </w:tc>
        <w:tc>
          <w:tcPr>
            <w:tcW w:w="516" w:type="pct"/>
            <w:shd w:val="clear" w:color="auto" w:fill="auto"/>
            <w:vAlign w:val="center"/>
          </w:tcPr>
          <w:p w14:paraId="6F45F48B">
            <w:pPr>
              <w:jc w:val="center"/>
              <w:textAlignment w:val="center"/>
              <w:rPr>
                <w:rFonts w:ascii="宋体" w:hAnsi="宋体" w:eastAsia="宋体" w:cs="Times New Roman"/>
                <w:color w:val="auto"/>
              </w:rPr>
            </w:pPr>
            <w:r>
              <w:rPr>
                <w:rFonts w:ascii="宋体" w:hAnsi="宋体" w:eastAsia="宋体" w:cs="Times New Roman"/>
                <w:color w:val="auto"/>
                <w:szCs w:val="22"/>
                <w:lang w:bidi="ar"/>
              </w:rPr>
              <w:t>26</w:t>
            </w:r>
          </w:p>
        </w:tc>
        <w:tc>
          <w:tcPr>
            <w:tcW w:w="485" w:type="pct"/>
            <w:shd w:val="clear" w:color="auto" w:fill="auto"/>
            <w:vAlign w:val="center"/>
          </w:tcPr>
          <w:p w14:paraId="69C369C9">
            <w:pPr>
              <w:jc w:val="center"/>
              <w:textAlignment w:val="center"/>
              <w:rPr>
                <w:rFonts w:ascii="宋体" w:hAnsi="宋体" w:eastAsia="宋体" w:cs="Times New Roman"/>
                <w:color w:val="auto"/>
              </w:rPr>
            </w:pPr>
            <w:r>
              <w:rPr>
                <w:rFonts w:ascii="宋体" w:hAnsi="宋体" w:eastAsia="宋体" w:cs="Times New Roman"/>
                <w:color w:val="auto"/>
                <w:szCs w:val="22"/>
                <w:lang w:bidi="ar"/>
              </w:rPr>
              <w:t>22.06</w:t>
            </w:r>
          </w:p>
        </w:tc>
        <w:tc>
          <w:tcPr>
            <w:tcW w:w="490" w:type="pct"/>
            <w:shd w:val="clear" w:color="auto" w:fill="auto"/>
            <w:vAlign w:val="center"/>
          </w:tcPr>
          <w:p w14:paraId="08BE3670">
            <w:pPr>
              <w:jc w:val="center"/>
              <w:textAlignment w:val="center"/>
              <w:rPr>
                <w:rFonts w:ascii="宋体" w:hAnsi="宋体" w:eastAsia="宋体" w:cs="Times New Roman"/>
                <w:color w:val="auto"/>
              </w:rPr>
            </w:pPr>
            <w:r>
              <w:rPr>
                <w:rFonts w:ascii="宋体" w:hAnsi="宋体" w:eastAsia="宋体" w:cs="Times New Roman"/>
                <w:color w:val="auto"/>
                <w:szCs w:val="22"/>
                <w:lang w:bidi="ar"/>
              </w:rPr>
              <w:t>2.75</w:t>
            </w:r>
          </w:p>
        </w:tc>
        <w:tc>
          <w:tcPr>
            <w:tcW w:w="491" w:type="pct"/>
            <w:shd w:val="clear" w:color="auto" w:fill="auto"/>
            <w:vAlign w:val="center"/>
          </w:tcPr>
          <w:p w14:paraId="043B282E">
            <w:pPr>
              <w:jc w:val="center"/>
              <w:rPr>
                <w:rFonts w:ascii="宋体" w:hAnsi="宋体" w:eastAsia="宋体" w:cs="Times New Roman"/>
                <w:color w:val="auto"/>
              </w:rPr>
            </w:pPr>
            <w:r>
              <w:rPr>
                <w:rFonts w:ascii="宋体" w:hAnsi="宋体" w:eastAsia="宋体" w:cs="Times New Roman"/>
                <w:color w:val="auto"/>
              </w:rPr>
              <w:t>100</w:t>
            </w:r>
          </w:p>
        </w:tc>
        <w:tc>
          <w:tcPr>
            <w:tcW w:w="321" w:type="pct"/>
            <w:shd w:val="clear" w:color="auto" w:fill="auto"/>
            <w:vAlign w:val="center"/>
          </w:tcPr>
          <w:p w14:paraId="6C8116BE">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2F527368">
            <w:pPr>
              <w:jc w:val="center"/>
              <w:rPr>
                <w:rFonts w:ascii="宋体" w:hAnsi="宋体" w:eastAsia="宋体" w:cs="Times New Roman"/>
                <w:color w:val="auto"/>
              </w:rPr>
            </w:pPr>
            <w:r>
              <w:rPr>
                <w:rFonts w:ascii="宋体" w:hAnsi="宋体" w:eastAsia="宋体" w:cs="Times New Roman"/>
                <w:color w:val="auto"/>
              </w:rPr>
              <w:t>0</w:t>
            </w:r>
          </w:p>
        </w:tc>
      </w:tr>
      <w:tr w14:paraId="21CC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7DD8E2F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9</w:t>
            </w:r>
          </w:p>
        </w:tc>
        <w:tc>
          <w:tcPr>
            <w:tcW w:w="828" w:type="pct"/>
            <w:shd w:val="clear" w:color="auto" w:fill="auto"/>
            <w:vAlign w:val="center"/>
          </w:tcPr>
          <w:p w14:paraId="0488E565">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水溶性盐总量</w:t>
            </w:r>
          </w:p>
        </w:tc>
        <w:tc>
          <w:tcPr>
            <w:tcW w:w="577" w:type="pct"/>
            <w:shd w:val="clear" w:color="auto" w:fill="auto"/>
            <w:vAlign w:val="center"/>
          </w:tcPr>
          <w:p w14:paraId="12D5134F">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13527958">
            <w:pPr>
              <w:jc w:val="center"/>
              <w:textAlignment w:val="center"/>
              <w:rPr>
                <w:rFonts w:ascii="宋体" w:hAnsi="宋体" w:eastAsia="宋体" w:cs="Times New Roman"/>
                <w:color w:val="auto"/>
              </w:rPr>
            </w:pPr>
            <w:r>
              <w:rPr>
                <w:rFonts w:ascii="宋体" w:hAnsi="宋体" w:eastAsia="宋体" w:cs="Times New Roman"/>
                <w:color w:val="auto"/>
                <w:szCs w:val="22"/>
                <w:lang w:bidi="ar"/>
              </w:rPr>
              <w:t>500</w:t>
            </w:r>
          </w:p>
        </w:tc>
        <w:tc>
          <w:tcPr>
            <w:tcW w:w="516" w:type="pct"/>
            <w:shd w:val="clear" w:color="auto" w:fill="auto"/>
            <w:vAlign w:val="center"/>
          </w:tcPr>
          <w:p w14:paraId="5E05EEEC">
            <w:pPr>
              <w:jc w:val="center"/>
              <w:textAlignment w:val="center"/>
              <w:rPr>
                <w:rFonts w:ascii="宋体" w:hAnsi="宋体" w:eastAsia="宋体" w:cs="Times New Roman"/>
                <w:color w:val="auto"/>
              </w:rPr>
            </w:pPr>
            <w:r>
              <w:rPr>
                <w:rFonts w:ascii="宋体" w:hAnsi="宋体" w:eastAsia="宋体" w:cs="Times New Roman"/>
                <w:color w:val="auto"/>
                <w:szCs w:val="22"/>
                <w:lang w:bidi="ar"/>
              </w:rPr>
              <w:t>800</w:t>
            </w:r>
          </w:p>
        </w:tc>
        <w:tc>
          <w:tcPr>
            <w:tcW w:w="485" w:type="pct"/>
            <w:shd w:val="clear" w:color="auto" w:fill="auto"/>
            <w:vAlign w:val="center"/>
          </w:tcPr>
          <w:p w14:paraId="24ABB84A">
            <w:pPr>
              <w:jc w:val="center"/>
              <w:textAlignment w:val="center"/>
              <w:rPr>
                <w:rFonts w:ascii="宋体" w:hAnsi="宋体" w:eastAsia="宋体" w:cs="Times New Roman"/>
                <w:color w:val="auto"/>
              </w:rPr>
            </w:pPr>
            <w:r>
              <w:rPr>
                <w:rFonts w:ascii="宋体" w:hAnsi="宋体" w:eastAsia="宋体" w:cs="Times New Roman"/>
                <w:color w:val="auto"/>
                <w:szCs w:val="22"/>
                <w:lang w:bidi="ar"/>
              </w:rPr>
              <w:t>672.22</w:t>
            </w:r>
          </w:p>
        </w:tc>
        <w:tc>
          <w:tcPr>
            <w:tcW w:w="490" w:type="pct"/>
            <w:shd w:val="clear" w:color="auto" w:fill="auto"/>
            <w:vAlign w:val="center"/>
          </w:tcPr>
          <w:p w14:paraId="6AC9BF94">
            <w:pPr>
              <w:jc w:val="center"/>
              <w:textAlignment w:val="center"/>
              <w:rPr>
                <w:rFonts w:ascii="宋体" w:hAnsi="宋体" w:eastAsia="宋体" w:cs="Times New Roman"/>
                <w:color w:val="auto"/>
              </w:rPr>
            </w:pPr>
            <w:r>
              <w:rPr>
                <w:rFonts w:ascii="宋体" w:hAnsi="宋体" w:eastAsia="宋体" w:cs="Times New Roman"/>
                <w:color w:val="auto"/>
                <w:szCs w:val="22"/>
                <w:lang w:bidi="ar"/>
              </w:rPr>
              <w:t>89.48</w:t>
            </w:r>
          </w:p>
        </w:tc>
        <w:tc>
          <w:tcPr>
            <w:tcW w:w="491" w:type="pct"/>
            <w:shd w:val="clear" w:color="auto" w:fill="auto"/>
            <w:vAlign w:val="center"/>
          </w:tcPr>
          <w:p w14:paraId="58C782A8">
            <w:pPr>
              <w:jc w:val="center"/>
              <w:rPr>
                <w:rFonts w:ascii="宋体" w:hAnsi="宋体" w:eastAsia="宋体" w:cs="Times New Roman"/>
                <w:color w:val="auto"/>
              </w:rPr>
            </w:pPr>
            <w:r>
              <w:rPr>
                <w:rFonts w:ascii="宋体" w:hAnsi="宋体" w:eastAsia="宋体" w:cs="Times New Roman"/>
                <w:color w:val="auto"/>
              </w:rPr>
              <w:t>100</w:t>
            </w:r>
          </w:p>
        </w:tc>
        <w:tc>
          <w:tcPr>
            <w:tcW w:w="321" w:type="pct"/>
            <w:shd w:val="clear" w:color="auto" w:fill="auto"/>
            <w:vAlign w:val="center"/>
          </w:tcPr>
          <w:p w14:paraId="78EC4477">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1B0B767A">
            <w:pPr>
              <w:jc w:val="center"/>
              <w:rPr>
                <w:rFonts w:ascii="宋体" w:hAnsi="宋体" w:eastAsia="宋体" w:cs="Times New Roman"/>
                <w:color w:val="auto"/>
              </w:rPr>
            </w:pPr>
            <w:r>
              <w:rPr>
                <w:rFonts w:ascii="宋体" w:hAnsi="宋体" w:eastAsia="宋体" w:cs="Times New Roman"/>
                <w:color w:val="auto"/>
              </w:rPr>
              <w:t>0</w:t>
            </w:r>
          </w:p>
        </w:tc>
      </w:tr>
      <w:tr w14:paraId="5A58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4F9A816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828" w:type="pct"/>
            <w:shd w:val="clear" w:color="auto" w:fill="auto"/>
            <w:vAlign w:val="center"/>
          </w:tcPr>
          <w:p w14:paraId="7564333F">
            <w:pPr>
              <w:adjustRightInd w:val="0"/>
              <w:snapToGrid w:val="0"/>
              <w:jc w:val="center"/>
              <w:rPr>
                <w:rFonts w:ascii="宋体" w:hAnsi="宋体" w:eastAsia="宋体" w:cs="Times New Roman"/>
                <w:color w:val="auto"/>
              </w:rPr>
            </w:pPr>
            <w:r>
              <w:rPr>
                <w:rFonts w:ascii="宋体" w:hAnsi="宋体" w:eastAsia="宋体" w:cs="Times New Roman"/>
                <w:color w:val="auto"/>
              </w:rPr>
              <w:t>石油类</w:t>
            </w:r>
          </w:p>
        </w:tc>
        <w:tc>
          <w:tcPr>
            <w:tcW w:w="577" w:type="pct"/>
            <w:shd w:val="clear" w:color="auto" w:fill="auto"/>
            <w:vAlign w:val="center"/>
          </w:tcPr>
          <w:p w14:paraId="200EF35F">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789B442C">
            <w:pPr>
              <w:jc w:val="center"/>
              <w:textAlignment w:val="center"/>
              <w:rPr>
                <w:rFonts w:ascii="宋体" w:hAnsi="宋体" w:eastAsia="宋体" w:cs="Times New Roman"/>
                <w:color w:val="auto"/>
              </w:rPr>
            </w:pPr>
            <w:r>
              <w:rPr>
                <w:rFonts w:ascii="宋体" w:hAnsi="宋体" w:eastAsia="宋体" w:cs="Times New Roman"/>
                <w:color w:val="auto"/>
                <w:szCs w:val="22"/>
                <w:lang w:bidi="ar"/>
              </w:rPr>
              <w:t>10</w:t>
            </w:r>
          </w:p>
        </w:tc>
        <w:tc>
          <w:tcPr>
            <w:tcW w:w="516" w:type="pct"/>
            <w:shd w:val="clear" w:color="auto" w:fill="auto"/>
            <w:vAlign w:val="center"/>
          </w:tcPr>
          <w:p w14:paraId="779342D1">
            <w:pPr>
              <w:jc w:val="center"/>
              <w:textAlignment w:val="center"/>
              <w:rPr>
                <w:rFonts w:ascii="宋体" w:hAnsi="宋体" w:eastAsia="宋体" w:cs="Times New Roman"/>
                <w:color w:val="auto"/>
              </w:rPr>
            </w:pPr>
            <w:r>
              <w:rPr>
                <w:rFonts w:ascii="宋体" w:hAnsi="宋体" w:eastAsia="宋体" w:cs="Times New Roman"/>
                <w:color w:val="auto"/>
                <w:szCs w:val="22"/>
                <w:lang w:bidi="ar"/>
              </w:rPr>
              <w:t>15</w:t>
            </w:r>
          </w:p>
        </w:tc>
        <w:tc>
          <w:tcPr>
            <w:tcW w:w="485" w:type="pct"/>
            <w:shd w:val="clear" w:color="auto" w:fill="auto"/>
            <w:vAlign w:val="center"/>
          </w:tcPr>
          <w:p w14:paraId="67774F6C">
            <w:pPr>
              <w:jc w:val="center"/>
              <w:textAlignment w:val="center"/>
              <w:rPr>
                <w:rFonts w:ascii="宋体" w:hAnsi="宋体" w:eastAsia="宋体" w:cs="Times New Roman"/>
                <w:color w:val="auto"/>
              </w:rPr>
            </w:pPr>
            <w:r>
              <w:rPr>
                <w:rFonts w:ascii="宋体" w:hAnsi="宋体" w:eastAsia="宋体" w:cs="Times New Roman"/>
                <w:color w:val="auto"/>
                <w:szCs w:val="22"/>
                <w:lang w:bidi="ar"/>
              </w:rPr>
              <w:t>12.06</w:t>
            </w:r>
          </w:p>
        </w:tc>
        <w:tc>
          <w:tcPr>
            <w:tcW w:w="490" w:type="pct"/>
            <w:shd w:val="clear" w:color="auto" w:fill="auto"/>
            <w:vAlign w:val="center"/>
          </w:tcPr>
          <w:p w14:paraId="672EDA0B">
            <w:pPr>
              <w:jc w:val="center"/>
              <w:textAlignment w:val="center"/>
              <w:rPr>
                <w:rFonts w:ascii="宋体" w:hAnsi="宋体" w:eastAsia="宋体" w:cs="Times New Roman"/>
                <w:color w:val="auto"/>
              </w:rPr>
            </w:pPr>
            <w:r>
              <w:rPr>
                <w:rFonts w:ascii="宋体" w:hAnsi="宋体" w:eastAsia="宋体" w:cs="Times New Roman"/>
                <w:color w:val="auto"/>
                <w:szCs w:val="22"/>
                <w:lang w:bidi="ar"/>
              </w:rPr>
              <w:t>1.35</w:t>
            </w:r>
          </w:p>
        </w:tc>
        <w:tc>
          <w:tcPr>
            <w:tcW w:w="491" w:type="pct"/>
            <w:shd w:val="clear" w:color="auto" w:fill="auto"/>
            <w:vAlign w:val="center"/>
          </w:tcPr>
          <w:p w14:paraId="0B6FC2D9">
            <w:pPr>
              <w:jc w:val="center"/>
              <w:rPr>
                <w:rFonts w:ascii="宋体" w:hAnsi="宋体" w:eastAsia="宋体" w:cs="Times New Roman"/>
                <w:color w:val="auto"/>
              </w:rPr>
            </w:pPr>
            <w:r>
              <w:rPr>
                <w:rFonts w:ascii="宋体" w:hAnsi="宋体" w:eastAsia="宋体" w:cs="Times New Roman"/>
                <w:color w:val="auto"/>
              </w:rPr>
              <w:t>100</w:t>
            </w:r>
          </w:p>
        </w:tc>
        <w:tc>
          <w:tcPr>
            <w:tcW w:w="321" w:type="pct"/>
            <w:shd w:val="clear" w:color="auto" w:fill="auto"/>
            <w:vAlign w:val="center"/>
          </w:tcPr>
          <w:p w14:paraId="5992B30E">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6BEC1113">
            <w:pPr>
              <w:jc w:val="center"/>
              <w:rPr>
                <w:rFonts w:ascii="宋体" w:hAnsi="宋体" w:eastAsia="宋体" w:cs="Times New Roman"/>
                <w:color w:val="auto"/>
              </w:rPr>
            </w:pPr>
            <w:r>
              <w:rPr>
                <w:rFonts w:ascii="宋体" w:hAnsi="宋体" w:eastAsia="宋体" w:cs="Times New Roman"/>
                <w:color w:val="auto"/>
              </w:rPr>
              <w:t>0</w:t>
            </w:r>
          </w:p>
        </w:tc>
      </w:tr>
      <w:tr w14:paraId="5571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7D70913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828" w:type="pct"/>
            <w:shd w:val="clear" w:color="auto" w:fill="auto"/>
            <w:vAlign w:val="center"/>
          </w:tcPr>
          <w:p w14:paraId="6280F3C1">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w:t>
            </w:r>
          </w:p>
        </w:tc>
        <w:tc>
          <w:tcPr>
            <w:tcW w:w="577" w:type="pct"/>
            <w:shd w:val="clear" w:color="auto" w:fill="auto"/>
            <w:vAlign w:val="center"/>
          </w:tcPr>
          <w:p w14:paraId="08141340">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05333374">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18499B45">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5AD66D66">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6F2FB8E5">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14D5170A">
            <w:pPr>
              <w:jc w:val="center"/>
              <w:rPr>
                <w:rFonts w:ascii="宋体" w:hAnsi="宋体" w:eastAsia="宋体" w:cs="Times New Roman"/>
                <w:color w:val="auto"/>
              </w:rPr>
            </w:pPr>
            <w:r>
              <w:rPr>
                <w:rFonts w:ascii="宋体" w:hAnsi="宋体" w:eastAsia="宋体" w:cs="Times New Roman"/>
                <w:color w:val="auto"/>
                <w:szCs w:val="22"/>
                <w:lang w:bidi="ar"/>
              </w:rPr>
              <w:t>/</w:t>
            </w:r>
          </w:p>
        </w:tc>
        <w:tc>
          <w:tcPr>
            <w:tcW w:w="321" w:type="pct"/>
            <w:shd w:val="clear" w:color="auto" w:fill="auto"/>
            <w:vAlign w:val="center"/>
          </w:tcPr>
          <w:p w14:paraId="4DE19933">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62BF06B4">
            <w:pPr>
              <w:jc w:val="center"/>
              <w:rPr>
                <w:rFonts w:ascii="宋体" w:hAnsi="宋体" w:eastAsia="宋体" w:cs="Times New Roman"/>
                <w:color w:val="auto"/>
              </w:rPr>
            </w:pPr>
            <w:r>
              <w:rPr>
                <w:rFonts w:ascii="宋体" w:hAnsi="宋体" w:eastAsia="宋体" w:cs="Times New Roman"/>
                <w:color w:val="auto"/>
              </w:rPr>
              <w:t>0</w:t>
            </w:r>
          </w:p>
        </w:tc>
      </w:tr>
      <w:tr w14:paraId="5106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BCD402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828" w:type="pct"/>
            <w:shd w:val="clear" w:color="auto" w:fill="auto"/>
            <w:vAlign w:val="center"/>
          </w:tcPr>
          <w:p w14:paraId="3C231A2B">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w:t>
            </w:r>
          </w:p>
        </w:tc>
        <w:tc>
          <w:tcPr>
            <w:tcW w:w="577" w:type="pct"/>
            <w:shd w:val="clear" w:color="auto" w:fill="auto"/>
            <w:vAlign w:val="center"/>
          </w:tcPr>
          <w:p w14:paraId="29AFC328">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56DE9FB6">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35A1DC37">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1D89EE51">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4F886614">
            <w:pPr>
              <w:jc w:val="center"/>
              <w:textAlignment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3EC0E023">
            <w:pPr>
              <w:jc w:val="center"/>
              <w:rPr>
                <w:rFonts w:ascii="宋体" w:hAnsi="宋体" w:eastAsia="宋体" w:cs="Times New Roman"/>
                <w:color w:val="auto"/>
              </w:rPr>
            </w:pPr>
            <w:r>
              <w:rPr>
                <w:rFonts w:ascii="宋体" w:hAnsi="宋体" w:eastAsia="宋体" w:cs="Times New Roman"/>
                <w:color w:val="auto"/>
                <w:szCs w:val="22"/>
                <w:lang w:bidi="ar"/>
              </w:rPr>
              <w:t>/</w:t>
            </w:r>
          </w:p>
        </w:tc>
        <w:tc>
          <w:tcPr>
            <w:tcW w:w="321" w:type="pct"/>
            <w:shd w:val="clear" w:color="auto" w:fill="auto"/>
            <w:vAlign w:val="center"/>
          </w:tcPr>
          <w:p w14:paraId="08637483">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6A79783D">
            <w:pPr>
              <w:jc w:val="center"/>
              <w:rPr>
                <w:rFonts w:ascii="宋体" w:hAnsi="宋体" w:eastAsia="宋体" w:cs="Times New Roman"/>
                <w:color w:val="auto"/>
              </w:rPr>
            </w:pPr>
            <w:r>
              <w:rPr>
                <w:rFonts w:ascii="宋体" w:hAnsi="宋体" w:eastAsia="宋体" w:cs="Times New Roman"/>
                <w:color w:val="auto"/>
              </w:rPr>
              <w:t>0</w:t>
            </w:r>
          </w:p>
        </w:tc>
      </w:tr>
      <w:tr w14:paraId="297A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093E9B6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13</w:t>
            </w:r>
          </w:p>
        </w:tc>
        <w:tc>
          <w:tcPr>
            <w:tcW w:w="828" w:type="pct"/>
            <w:shd w:val="clear" w:color="auto" w:fill="auto"/>
            <w:vAlign w:val="center"/>
          </w:tcPr>
          <w:p w14:paraId="41DD6EB4">
            <w:pPr>
              <w:jc w:val="center"/>
              <w:textAlignment w:val="center"/>
              <w:rPr>
                <w:rFonts w:ascii="宋体" w:hAnsi="宋体" w:eastAsia="宋体" w:cs="Times New Roman"/>
                <w:color w:val="auto"/>
              </w:rPr>
            </w:pPr>
            <w:r>
              <w:rPr>
                <w:rFonts w:ascii="宋体" w:hAnsi="宋体" w:eastAsia="宋体" w:cs="Times New Roman"/>
                <w:color w:val="auto"/>
              </w:rPr>
              <w:t>四氯化碳</w:t>
            </w:r>
          </w:p>
        </w:tc>
        <w:tc>
          <w:tcPr>
            <w:tcW w:w="577" w:type="pct"/>
            <w:shd w:val="clear" w:color="auto" w:fill="auto"/>
            <w:vAlign w:val="center"/>
          </w:tcPr>
          <w:p w14:paraId="66ECBB84">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22E2A5C6">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6BFE6934">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1A16ECA6">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7C816069">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0A5CA09F">
            <w:pPr>
              <w:jc w:val="center"/>
              <w:rPr>
                <w:rFonts w:ascii="宋体" w:hAnsi="宋体" w:eastAsia="宋体" w:cs="Times New Roman"/>
                <w:color w:val="auto"/>
              </w:rPr>
            </w:pPr>
            <w:r>
              <w:rPr>
                <w:rFonts w:ascii="宋体" w:hAnsi="宋体" w:eastAsia="宋体" w:cs="Times New Roman"/>
                <w:color w:val="auto"/>
                <w:szCs w:val="22"/>
                <w:lang w:bidi="ar"/>
              </w:rPr>
              <w:t>/</w:t>
            </w:r>
          </w:p>
        </w:tc>
        <w:tc>
          <w:tcPr>
            <w:tcW w:w="321" w:type="pct"/>
            <w:shd w:val="clear" w:color="auto" w:fill="auto"/>
            <w:vAlign w:val="center"/>
          </w:tcPr>
          <w:p w14:paraId="1E8AACA2">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490D9785">
            <w:pPr>
              <w:jc w:val="center"/>
              <w:rPr>
                <w:rFonts w:ascii="宋体" w:hAnsi="宋体" w:eastAsia="宋体" w:cs="Times New Roman"/>
                <w:color w:val="auto"/>
              </w:rPr>
            </w:pPr>
            <w:r>
              <w:rPr>
                <w:rFonts w:ascii="宋体" w:hAnsi="宋体" w:eastAsia="宋体" w:cs="Times New Roman"/>
                <w:color w:val="auto"/>
              </w:rPr>
              <w:t>0</w:t>
            </w:r>
          </w:p>
        </w:tc>
      </w:tr>
      <w:tr w14:paraId="520C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247B664">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14</w:t>
            </w:r>
          </w:p>
        </w:tc>
        <w:tc>
          <w:tcPr>
            <w:tcW w:w="828" w:type="pct"/>
            <w:shd w:val="clear" w:color="auto" w:fill="auto"/>
            <w:vAlign w:val="center"/>
          </w:tcPr>
          <w:p w14:paraId="742CF510">
            <w:pPr>
              <w:jc w:val="center"/>
              <w:textAlignment w:val="center"/>
              <w:rPr>
                <w:rFonts w:ascii="宋体" w:hAnsi="宋体" w:eastAsia="宋体" w:cs="Times New Roman"/>
                <w:color w:val="auto"/>
              </w:rPr>
            </w:pPr>
            <w:r>
              <w:rPr>
                <w:rFonts w:ascii="宋体" w:hAnsi="宋体" w:eastAsia="宋体" w:cs="Times New Roman"/>
                <w:color w:val="auto"/>
              </w:rPr>
              <w:t>氯仿</w:t>
            </w:r>
          </w:p>
        </w:tc>
        <w:tc>
          <w:tcPr>
            <w:tcW w:w="577" w:type="pct"/>
            <w:shd w:val="clear" w:color="auto" w:fill="auto"/>
            <w:vAlign w:val="center"/>
          </w:tcPr>
          <w:p w14:paraId="7BC265BD">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6BC5F879">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24DA1AB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5E3EBEF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2830A1D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6CBE3B21">
            <w:pPr>
              <w:jc w:val="center"/>
              <w:rPr>
                <w:rFonts w:ascii="宋体" w:hAnsi="宋体" w:eastAsia="宋体" w:cs="Times New Roman"/>
                <w:color w:val="auto"/>
              </w:rPr>
            </w:pPr>
            <w:r>
              <w:rPr>
                <w:rFonts w:ascii="宋体" w:hAnsi="宋体" w:eastAsia="宋体" w:cs="Times New Roman"/>
                <w:color w:val="auto"/>
                <w:szCs w:val="22"/>
                <w:lang w:bidi="ar"/>
              </w:rPr>
              <w:t>/</w:t>
            </w:r>
          </w:p>
        </w:tc>
        <w:tc>
          <w:tcPr>
            <w:tcW w:w="321" w:type="pct"/>
            <w:shd w:val="clear" w:color="auto" w:fill="auto"/>
            <w:vAlign w:val="center"/>
          </w:tcPr>
          <w:p w14:paraId="58EF4265">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6DD2FBA0">
            <w:pPr>
              <w:jc w:val="center"/>
              <w:rPr>
                <w:rFonts w:ascii="宋体" w:hAnsi="宋体" w:eastAsia="宋体" w:cs="Times New Roman"/>
                <w:color w:val="auto"/>
              </w:rPr>
            </w:pPr>
            <w:r>
              <w:rPr>
                <w:rFonts w:ascii="宋体" w:hAnsi="宋体" w:eastAsia="宋体" w:cs="Times New Roman"/>
                <w:color w:val="auto"/>
              </w:rPr>
              <w:t>0</w:t>
            </w:r>
          </w:p>
        </w:tc>
      </w:tr>
      <w:tr w14:paraId="04AA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32A6A65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28" w:type="pct"/>
            <w:shd w:val="clear" w:color="auto" w:fill="auto"/>
            <w:vAlign w:val="center"/>
          </w:tcPr>
          <w:p w14:paraId="3E4959C9">
            <w:pPr>
              <w:jc w:val="center"/>
              <w:textAlignment w:val="center"/>
              <w:rPr>
                <w:rFonts w:ascii="宋体" w:hAnsi="宋体" w:eastAsia="宋体" w:cs="Times New Roman"/>
                <w:color w:val="auto"/>
              </w:rPr>
            </w:pPr>
            <w:r>
              <w:rPr>
                <w:rFonts w:ascii="宋体" w:hAnsi="宋体" w:eastAsia="宋体" w:cs="Times New Roman"/>
                <w:color w:val="auto"/>
              </w:rPr>
              <w:t>氯甲烷</w:t>
            </w:r>
          </w:p>
        </w:tc>
        <w:tc>
          <w:tcPr>
            <w:tcW w:w="577" w:type="pct"/>
            <w:shd w:val="clear" w:color="auto" w:fill="auto"/>
            <w:vAlign w:val="center"/>
          </w:tcPr>
          <w:p w14:paraId="1F06549B">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50E876F4">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012854C6">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0348D326">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1BD91A8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72DB2AC1">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5D0415C6">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0C4457E">
            <w:pPr>
              <w:jc w:val="center"/>
              <w:rPr>
                <w:rFonts w:ascii="宋体" w:hAnsi="宋体" w:eastAsia="宋体" w:cs="Times New Roman"/>
                <w:color w:val="auto"/>
              </w:rPr>
            </w:pPr>
            <w:r>
              <w:rPr>
                <w:rFonts w:ascii="宋体" w:hAnsi="宋体" w:eastAsia="宋体" w:cs="Times New Roman"/>
                <w:color w:val="auto"/>
              </w:rPr>
              <w:t>0</w:t>
            </w:r>
          </w:p>
        </w:tc>
      </w:tr>
      <w:tr w14:paraId="6F4A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233705B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16</w:t>
            </w:r>
          </w:p>
        </w:tc>
        <w:tc>
          <w:tcPr>
            <w:tcW w:w="828" w:type="pct"/>
            <w:shd w:val="clear" w:color="auto" w:fill="auto"/>
            <w:vAlign w:val="center"/>
          </w:tcPr>
          <w:p w14:paraId="10E36415">
            <w:pPr>
              <w:jc w:val="center"/>
              <w:textAlignment w:val="center"/>
              <w:rPr>
                <w:rFonts w:ascii="宋体" w:hAnsi="宋体" w:eastAsia="宋体" w:cs="Times New Roman"/>
                <w:color w:val="auto"/>
              </w:rPr>
            </w:pPr>
            <w:r>
              <w:rPr>
                <w:rFonts w:ascii="宋体" w:hAnsi="宋体" w:eastAsia="宋体" w:cs="Times New Roman"/>
                <w:color w:val="auto"/>
              </w:rPr>
              <w:t>1,1-二氯乙烷</w:t>
            </w:r>
          </w:p>
        </w:tc>
        <w:tc>
          <w:tcPr>
            <w:tcW w:w="577" w:type="pct"/>
            <w:shd w:val="clear" w:color="auto" w:fill="auto"/>
            <w:vAlign w:val="center"/>
          </w:tcPr>
          <w:p w14:paraId="7E8333F5">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0A6D3AA7">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1B6FBF1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29034F9E">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7F122DF2">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77799D0A">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0F8A79DA">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4E71655B">
            <w:pPr>
              <w:jc w:val="center"/>
              <w:rPr>
                <w:rFonts w:ascii="宋体" w:hAnsi="宋体" w:eastAsia="宋体" w:cs="Times New Roman"/>
                <w:color w:val="auto"/>
              </w:rPr>
            </w:pPr>
            <w:r>
              <w:rPr>
                <w:rFonts w:ascii="宋体" w:hAnsi="宋体" w:eastAsia="宋体" w:cs="Times New Roman"/>
                <w:color w:val="auto"/>
              </w:rPr>
              <w:t>0</w:t>
            </w:r>
          </w:p>
        </w:tc>
      </w:tr>
      <w:tr w14:paraId="07C0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09D2D91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17</w:t>
            </w:r>
          </w:p>
        </w:tc>
        <w:tc>
          <w:tcPr>
            <w:tcW w:w="828" w:type="pct"/>
            <w:shd w:val="clear" w:color="auto" w:fill="auto"/>
            <w:vAlign w:val="center"/>
          </w:tcPr>
          <w:p w14:paraId="78E02DE2">
            <w:pPr>
              <w:jc w:val="center"/>
              <w:textAlignment w:val="center"/>
              <w:rPr>
                <w:rFonts w:ascii="宋体" w:hAnsi="宋体" w:eastAsia="宋体" w:cs="Times New Roman"/>
                <w:color w:val="auto"/>
              </w:rPr>
            </w:pPr>
            <w:r>
              <w:rPr>
                <w:rFonts w:ascii="宋体" w:hAnsi="宋体" w:eastAsia="宋体" w:cs="Times New Roman"/>
                <w:color w:val="auto"/>
              </w:rPr>
              <w:t>1,2-二氯乙烷</w:t>
            </w:r>
          </w:p>
        </w:tc>
        <w:tc>
          <w:tcPr>
            <w:tcW w:w="577" w:type="pct"/>
            <w:shd w:val="clear" w:color="auto" w:fill="auto"/>
            <w:vAlign w:val="center"/>
          </w:tcPr>
          <w:p w14:paraId="4B4D3D13">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6D2CD30C">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6BA968B2">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5D225FE3">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AC55E9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50CB43AA">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20EFA50E">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249BCAD3">
            <w:pPr>
              <w:jc w:val="center"/>
              <w:rPr>
                <w:rFonts w:ascii="宋体" w:hAnsi="宋体" w:eastAsia="宋体" w:cs="Times New Roman"/>
                <w:color w:val="auto"/>
              </w:rPr>
            </w:pPr>
            <w:r>
              <w:rPr>
                <w:rFonts w:ascii="宋体" w:hAnsi="宋体" w:eastAsia="宋体" w:cs="Times New Roman"/>
                <w:color w:val="auto"/>
              </w:rPr>
              <w:t>0</w:t>
            </w:r>
          </w:p>
        </w:tc>
      </w:tr>
      <w:tr w14:paraId="64D3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0C2EE99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18</w:t>
            </w:r>
          </w:p>
        </w:tc>
        <w:tc>
          <w:tcPr>
            <w:tcW w:w="828" w:type="pct"/>
            <w:shd w:val="clear" w:color="auto" w:fill="auto"/>
            <w:vAlign w:val="center"/>
          </w:tcPr>
          <w:p w14:paraId="7EC3E34C">
            <w:pPr>
              <w:jc w:val="center"/>
              <w:textAlignment w:val="center"/>
              <w:rPr>
                <w:rFonts w:ascii="宋体" w:hAnsi="宋体" w:eastAsia="宋体" w:cs="Times New Roman"/>
                <w:color w:val="auto"/>
              </w:rPr>
            </w:pPr>
            <w:r>
              <w:rPr>
                <w:rFonts w:ascii="宋体" w:hAnsi="宋体" w:eastAsia="宋体" w:cs="Times New Roman"/>
                <w:color w:val="auto"/>
              </w:rPr>
              <w:t>1,1-二氯乙烯</w:t>
            </w:r>
          </w:p>
        </w:tc>
        <w:tc>
          <w:tcPr>
            <w:tcW w:w="577" w:type="pct"/>
            <w:shd w:val="clear" w:color="auto" w:fill="auto"/>
            <w:vAlign w:val="center"/>
          </w:tcPr>
          <w:p w14:paraId="3BF3E993">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175475C3">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1E3666A6">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280CB99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B395E3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32DFC423">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4D7444FC">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0876253">
            <w:pPr>
              <w:jc w:val="center"/>
              <w:rPr>
                <w:rFonts w:ascii="宋体" w:hAnsi="宋体" w:eastAsia="宋体" w:cs="Times New Roman"/>
                <w:color w:val="auto"/>
              </w:rPr>
            </w:pPr>
            <w:r>
              <w:rPr>
                <w:rFonts w:ascii="宋体" w:hAnsi="宋体" w:eastAsia="宋体" w:cs="Times New Roman"/>
                <w:color w:val="auto"/>
              </w:rPr>
              <w:t>0</w:t>
            </w:r>
          </w:p>
        </w:tc>
      </w:tr>
      <w:tr w14:paraId="63E3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293005E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19</w:t>
            </w:r>
          </w:p>
        </w:tc>
        <w:tc>
          <w:tcPr>
            <w:tcW w:w="828" w:type="pct"/>
            <w:shd w:val="clear" w:color="auto" w:fill="auto"/>
            <w:vAlign w:val="center"/>
          </w:tcPr>
          <w:p w14:paraId="325F03D3">
            <w:pPr>
              <w:jc w:val="center"/>
              <w:textAlignment w:val="center"/>
              <w:rPr>
                <w:rFonts w:ascii="宋体" w:hAnsi="宋体" w:eastAsia="宋体" w:cs="Times New Roman"/>
                <w:color w:val="auto"/>
              </w:rPr>
            </w:pPr>
            <w:r>
              <w:rPr>
                <w:rFonts w:ascii="宋体" w:hAnsi="宋体" w:eastAsia="宋体" w:cs="Times New Roman"/>
                <w:color w:val="auto"/>
              </w:rPr>
              <w:t>顺-1,2-二氯乙烯</w:t>
            </w:r>
          </w:p>
        </w:tc>
        <w:tc>
          <w:tcPr>
            <w:tcW w:w="577" w:type="pct"/>
            <w:shd w:val="clear" w:color="auto" w:fill="auto"/>
            <w:vAlign w:val="center"/>
          </w:tcPr>
          <w:p w14:paraId="02228322">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010D5BCA">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7886FCD8">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6D9EDE99">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2CE9596">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4A4D54AA">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13B5C7F1">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3FC42C49">
            <w:pPr>
              <w:jc w:val="center"/>
              <w:rPr>
                <w:rFonts w:ascii="宋体" w:hAnsi="宋体" w:eastAsia="宋体" w:cs="Times New Roman"/>
                <w:color w:val="auto"/>
              </w:rPr>
            </w:pPr>
            <w:r>
              <w:rPr>
                <w:rFonts w:ascii="宋体" w:hAnsi="宋体" w:eastAsia="宋体" w:cs="Times New Roman"/>
                <w:color w:val="auto"/>
              </w:rPr>
              <w:t>0</w:t>
            </w:r>
          </w:p>
        </w:tc>
      </w:tr>
      <w:tr w14:paraId="68BA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35687BA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20</w:t>
            </w:r>
          </w:p>
        </w:tc>
        <w:tc>
          <w:tcPr>
            <w:tcW w:w="828" w:type="pct"/>
            <w:shd w:val="clear" w:color="auto" w:fill="auto"/>
            <w:vAlign w:val="center"/>
          </w:tcPr>
          <w:p w14:paraId="045C3BBE">
            <w:pPr>
              <w:jc w:val="center"/>
              <w:textAlignment w:val="center"/>
              <w:rPr>
                <w:rFonts w:ascii="宋体" w:hAnsi="宋体" w:eastAsia="宋体" w:cs="Times New Roman"/>
                <w:color w:val="auto"/>
              </w:rPr>
            </w:pPr>
            <w:r>
              <w:rPr>
                <w:rFonts w:ascii="宋体" w:hAnsi="宋体" w:eastAsia="宋体" w:cs="Times New Roman"/>
                <w:color w:val="auto"/>
              </w:rPr>
              <w:t>反-1,2-二氯乙烯</w:t>
            </w:r>
          </w:p>
        </w:tc>
        <w:tc>
          <w:tcPr>
            <w:tcW w:w="577" w:type="pct"/>
            <w:shd w:val="clear" w:color="auto" w:fill="auto"/>
            <w:vAlign w:val="center"/>
          </w:tcPr>
          <w:p w14:paraId="616C907C">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1CEFC22F">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34F95673">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5C76374B">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3E3416F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6F617F41">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0A5BE10B">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1D5235D">
            <w:pPr>
              <w:jc w:val="center"/>
              <w:rPr>
                <w:rFonts w:ascii="宋体" w:hAnsi="宋体" w:eastAsia="宋体" w:cs="Times New Roman"/>
                <w:color w:val="auto"/>
              </w:rPr>
            </w:pPr>
            <w:r>
              <w:rPr>
                <w:rFonts w:ascii="宋体" w:hAnsi="宋体" w:eastAsia="宋体" w:cs="Times New Roman"/>
                <w:color w:val="auto"/>
              </w:rPr>
              <w:t>0</w:t>
            </w:r>
          </w:p>
        </w:tc>
      </w:tr>
      <w:tr w14:paraId="37A0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5050AC1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21</w:t>
            </w:r>
          </w:p>
        </w:tc>
        <w:tc>
          <w:tcPr>
            <w:tcW w:w="828" w:type="pct"/>
            <w:shd w:val="clear" w:color="auto" w:fill="auto"/>
            <w:vAlign w:val="center"/>
          </w:tcPr>
          <w:p w14:paraId="41E62DD8">
            <w:pPr>
              <w:jc w:val="center"/>
              <w:textAlignment w:val="center"/>
              <w:rPr>
                <w:rFonts w:ascii="宋体" w:hAnsi="宋体" w:eastAsia="宋体" w:cs="Times New Roman"/>
                <w:color w:val="auto"/>
              </w:rPr>
            </w:pPr>
            <w:r>
              <w:rPr>
                <w:rFonts w:ascii="宋体" w:hAnsi="宋体" w:eastAsia="宋体" w:cs="Times New Roman"/>
                <w:color w:val="auto"/>
              </w:rPr>
              <w:t>二氯甲烷</w:t>
            </w:r>
          </w:p>
        </w:tc>
        <w:tc>
          <w:tcPr>
            <w:tcW w:w="577" w:type="pct"/>
            <w:shd w:val="clear" w:color="auto" w:fill="auto"/>
            <w:vAlign w:val="center"/>
          </w:tcPr>
          <w:p w14:paraId="36798240">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6E868F5D">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3B36D2E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4144D163">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821A008">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0D04F6F3">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128289EB">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34F1B458">
            <w:pPr>
              <w:jc w:val="center"/>
              <w:rPr>
                <w:rFonts w:ascii="宋体" w:hAnsi="宋体" w:eastAsia="宋体" w:cs="Times New Roman"/>
                <w:color w:val="auto"/>
              </w:rPr>
            </w:pPr>
            <w:r>
              <w:rPr>
                <w:rFonts w:ascii="宋体" w:hAnsi="宋体" w:eastAsia="宋体" w:cs="Times New Roman"/>
                <w:color w:val="auto"/>
              </w:rPr>
              <w:t>0</w:t>
            </w:r>
          </w:p>
        </w:tc>
      </w:tr>
      <w:tr w14:paraId="1FEF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1ED2A4B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22</w:t>
            </w:r>
          </w:p>
        </w:tc>
        <w:tc>
          <w:tcPr>
            <w:tcW w:w="828" w:type="pct"/>
            <w:shd w:val="clear" w:color="auto" w:fill="auto"/>
            <w:vAlign w:val="center"/>
          </w:tcPr>
          <w:p w14:paraId="1204FF02">
            <w:pPr>
              <w:jc w:val="center"/>
              <w:textAlignment w:val="center"/>
              <w:rPr>
                <w:rFonts w:ascii="宋体" w:hAnsi="宋体" w:eastAsia="宋体" w:cs="Times New Roman"/>
                <w:color w:val="auto"/>
              </w:rPr>
            </w:pPr>
            <w:r>
              <w:rPr>
                <w:rFonts w:ascii="宋体" w:hAnsi="宋体" w:eastAsia="宋体" w:cs="Times New Roman"/>
                <w:color w:val="auto"/>
              </w:rPr>
              <w:t>1,2-二氯丙烷</w:t>
            </w:r>
          </w:p>
        </w:tc>
        <w:tc>
          <w:tcPr>
            <w:tcW w:w="577" w:type="pct"/>
            <w:shd w:val="clear" w:color="auto" w:fill="auto"/>
            <w:vAlign w:val="center"/>
          </w:tcPr>
          <w:p w14:paraId="64B7A7FF">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74B4CB48">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56E78DB4">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0C3418A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45A32FA3">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2067600D">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38DC926A">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0E9AF20">
            <w:pPr>
              <w:jc w:val="center"/>
              <w:rPr>
                <w:rFonts w:ascii="宋体" w:hAnsi="宋体" w:eastAsia="宋体" w:cs="Times New Roman"/>
                <w:color w:val="auto"/>
              </w:rPr>
            </w:pPr>
            <w:r>
              <w:rPr>
                <w:rFonts w:ascii="宋体" w:hAnsi="宋体" w:eastAsia="宋体" w:cs="Times New Roman"/>
                <w:color w:val="auto"/>
              </w:rPr>
              <w:t>0</w:t>
            </w:r>
          </w:p>
        </w:tc>
      </w:tr>
      <w:tr w14:paraId="387D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54F3C3A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23</w:t>
            </w:r>
          </w:p>
        </w:tc>
        <w:tc>
          <w:tcPr>
            <w:tcW w:w="828" w:type="pct"/>
            <w:shd w:val="clear" w:color="auto" w:fill="auto"/>
            <w:vAlign w:val="center"/>
          </w:tcPr>
          <w:p w14:paraId="26A58FFC">
            <w:pPr>
              <w:jc w:val="center"/>
              <w:textAlignment w:val="center"/>
              <w:rPr>
                <w:rFonts w:ascii="宋体" w:hAnsi="宋体" w:eastAsia="宋体" w:cs="Times New Roman"/>
                <w:color w:val="auto"/>
              </w:rPr>
            </w:pPr>
            <w:r>
              <w:rPr>
                <w:rFonts w:ascii="宋体" w:hAnsi="宋体" w:eastAsia="宋体" w:cs="Times New Roman"/>
                <w:color w:val="auto"/>
              </w:rPr>
              <w:t>1,1,1,2-四氯乙烷</w:t>
            </w:r>
          </w:p>
        </w:tc>
        <w:tc>
          <w:tcPr>
            <w:tcW w:w="577" w:type="pct"/>
            <w:shd w:val="clear" w:color="auto" w:fill="auto"/>
            <w:vAlign w:val="center"/>
          </w:tcPr>
          <w:p w14:paraId="38917C15">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4051FAAF">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240AE93D">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51A27E9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61DF0786">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44308103">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13D2280F">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057845F">
            <w:pPr>
              <w:jc w:val="center"/>
              <w:rPr>
                <w:rFonts w:ascii="宋体" w:hAnsi="宋体" w:eastAsia="宋体" w:cs="Times New Roman"/>
                <w:color w:val="auto"/>
              </w:rPr>
            </w:pPr>
            <w:r>
              <w:rPr>
                <w:rFonts w:ascii="宋体" w:hAnsi="宋体" w:eastAsia="宋体" w:cs="Times New Roman"/>
                <w:color w:val="auto"/>
              </w:rPr>
              <w:t>0</w:t>
            </w:r>
          </w:p>
        </w:tc>
      </w:tr>
      <w:tr w14:paraId="0FF8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4EC0282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24</w:t>
            </w:r>
          </w:p>
        </w:tc>
        <w:tc>
          <w:tcPr>
            <w:tcW w:w="828" w:type="pct"/>
            <w:shd w:val="clear" w:color="auto" w:fill="auto"/>
            <w:vAlign w:val="center"/>
          </w:tcPr>
          <w:p w14:paraId="3CD2522A">
            <w:pPr>
              <w:jc w:val="center"/>
              <w:textAlignment w:val="center"/>
              <w:rPr>
                <w:rFonts w:ascii="宋体" w:hAnsi="宋体" w:eastAsia="宋体" w:cs="Times New Roman"/>
                <w:color w:val="auto"/>
              </w:rPr>
            </w:pPr>
            <w:r>
              <w:rPr>
                <w:rFonts w:ascii="宋体" w:hAnsi="宋体" w:eastAsia="宋体" w:cs="Times New Roman"/>
                <w:color w:val="auto"/>
              </w:rPr>
              <w:t>1,1,2,2-四氯乙烷</w:t>
            </w:r>
          </w:p>
        </w:tc>
        <w:tc>
          <w:tcPr>
            <w:tcW w:w="577" w:type="pct"/>
            <w:shd w:val="clear" w:color="auto" w:fill="auto"/>
            <w:vAlign w:val="center"/>
          </w:tcPr>
          <w:p w14:paraId="6BA6ECD9">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7DD927A1">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0ED253C9">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35E5091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2E9A33E9">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6CC63DD8">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0C3F7D42">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7AB51521">
            <w:pPr>
              <w:jc w:val="center"/>
              <w:rPr>
                <w:rFonts w:ascii="宋体" w:hAnsi="宋体" w:eastAsia="宋体" w:cs="Times New Roman"/>
                <w:color w:val="auto"/>
              </w:rPr>
            </w:pPr>
            <w:r>
              <w:rPr>
                <w:rFonts w:ascii="宋体" w:hAnsi="宋体" w:eastAsia="宋体" w:cs="Times New Roman"/>
                <w:color w:val="auto"/>
              </w:rPr>
              <w:t>0</w:t>
            </w:r>
          </w:p>
        </w:tc>
      </w:tr>
      <w:tr w14:paraId="0D49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4DBDB5E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25</w:t>
            </w:r>
          </w:p>
        </w:tc>
        <w:tc>
          <w:tcPr>
            <w:tcW w:w="828" w:type="pct"/>
            <w:shd w:val="clear" w:color="auto" w:fill="auto"/>
            <w:vAlign w:val="center"/>
          </w:tcPr>
          <w:p w14:paraId="01F91593">
            <w:pPr>
              <w:jc w:val="center"/>
              <w:textAlignment w:val="center"/>
              <w:rPr>
                <w:rFonts w:ascii="宋体" w:hAnsi="宋体" w:eastAsia="宋体" w:cs="Times New Roman"/>
                <w:color w:val="auto"/>
              </w:rPr>
            </w:pPr>
            <w:r>
              <w:rPr>
                <w:rFonts w:ascii="宋体" w:hAnsi="宋体" w:eastAsia="宋体" w:cs="Times New Roman"/>
                <w:color w:val="auto"/>
              </w:rPr>
              <w:t>四氯乙烯</w:t>
            </w:r>
          </w:p>
        </w:tc>
        <w:tc>
          <w:tcPr>
            <w:tcW w:w="577" w:type="pct"/>
            <w:shd w:val="clear" w:color="auto" w:fill="auto"/>
            <w:vAlign w:val="center"/>
          </w:tcPr>
          <w:p w14:paraId="4BBD5F06">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3AF352FB">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23C343F2">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15126FD0">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7F582A5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745C689F">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18269E11">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1C8AA0DC">
            <w:pPr>
              <w:jc w:val="center"/>
              <w:rPr>
                <w:rFonts w:ascii="宋体" w:hAnsi="宋体" w:eastAsia="宋体" w:cs="Times New Roman"/>
                <w:color w:val="auto"/>
              </w:rPr>
            </w:pPr>
            <w:r>
              <w:rPr>
                <w:rFonts w:ascii="宋体" w:hAnsi="宋体" w:eastAsia="宋体" w:cs="Times New Roman"/>
                <w:color w:val="auto"/>
              </w:rPr>
              <w:t>0</w:t>
            </w:r>
          </w:p>
        </w:tc>
      </w:tr>
      <w:tr w14:paraId="6DEB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3FB6EF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26</w:t>
            </w:r>
          </w:p>
        </w:tc>
        <w:tc>
          <w:tcPr>
            <w:tcW w:w="828" w:type="pct"/>
            <w:shd w:val="clear" w:color="auto" w:fill="auto"/>
            <w:vAlign w:val="center"/>
          </w:tcPr>
          <w:p w14:paraId="3FDDE2E3">
            <w:pPr>
              <w:jc w:val="center"/>
              <w:textAlignment w:val="center"/>
              <w:rPr>
                <w:rFonts w:ascii="宋体" w:hAnsi="宋体" w:eastAsia="宋体" w:cs="Times New Roman"/>
                <w:color w:val="auto"/>
              </w:rPr>
            </w:pPr>
            <w:r>
              <w:rPr>
                <w:rFonts w:ascii="宋体" w:hAnsi="宋体" w:eastAsia="宋体" w:cs="Times New Roman"/>
                <w:color w:val="auto"/>
              </w:rPr>
              <w:t>1,1,1-三氯乙烷</w:t>
            </w:r>
          </w:p>
        </w:tc>
        <w:tc>
          <w:tcPr>
            <w:tcW w:w="577" w:type="pct"/>
            <w:shd w:val="clear" w:color="auto" w:fill="auto"/>
            <w:vAlign w:val="center"/>
          </w:tcPr>
          <w:p w14:paraId="3E55E56C">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004F3A9A">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7A87DBAA">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49031207">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15D775C8">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05CE27F7">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50DFEBF2">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396B8C1D">
            <w:pPr>
              <w:jc w:val="center"/>
              <w:rPr>
                <w:rFonts w:ascii="宋体" w:hAnsi="宋体" w:eastAsia="宋体" w:cs="Times New Roman"/>
                <w:color w:val="auto"/>
              </w:rPr>
            </w:pPr>
            <w:r>
              <w:rPr>
                <w:rFonts w:ascii="宋体" w:hAnsi="宋体" w:eastAsia="宋体" w:cs="Times New Roman"/>
                <w:color w:val="auto"/>
              </w:rPr>
              <w:t>0</w:t>
            </w:r>
          </w:p>
        </w:tc>
      </w:tr>
      <w:tr w14:paraId="67EB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DB5C8F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27</w:t>
            </w:r>
          </w:p>
        </w:tc>
        <w:tc>
          <w:tcPr>
            <w:tcW w:w="828" w:type="pct"/>
            <w:shd w:val="clear" w:color="auto" w:fill="auto"/>
            <w:vAlign w:val="center"/>
          </w:tcPr>
          <w:p w14:paraId="71ECAD15">
            <w:pPr>
              <w:jc w:val="center"/>
              <w:textAlignment w:val="center"/>
              <w:rPr>
                <w:rFonts w:ascii="宋体" w:hAnsi="宋体" w:eastAsia="宋体" w:cs="Times New Roman"/>
                <w:color w:val="auto"/>
              </w:rPr>
            </w:pPr>
            <w:r>
              <w:rPr>
                <w:rFonts w:ascii="宋体" w:hAnsi="宋体" w:eastAsia="宋体" w:cs="Times New Roman"/>
                <w:color w:val="auto"/>
              </w:rPr>
              <w:t>1,1,2-三氯乙烷</w:t>
            </w:r>
          </w:p>
        </w:tc>
        <w:tc>
          <w:tcPr>
            <w:tcW w:w="577" w:type="pct"/>
            <w:shd w:val="clear" w:color="auto" w:fill="auto"/>
            <w:vAlign w:val="center"/>
          </w:tcPr>
          <w:p w14:paraId="1FB905BA">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181D773B">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3D73D0ED">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1F22DA4F">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171DC3BF">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6BEB2EF5">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38754C2A">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6F7B51D">
            <w:pPr>
              <w:jc w:val="center"/>
              <w:rPr>
                <w:rFonts w:ascii="宋体" w:hAnsi="宋体" w:eastAsia="宋体" w:cs="Times New Roman"/>
                <w:color w:val="auto"/>
              </w:rPr>
            </w:pPr>
            <w:r>
              <w:rPr>
                <w:rFonts w:ascii="宋体" w:hAnsi="宋体" w:eastAsia="宋体" w:cs="Times New Roman"/>
                <w:color w:val="auto"/>
              </w:rPr>
              <w:t>0</w:t>
            </w:r>
          </w:p>
        </w:tc>
      </w:tr>
      <w:tr w14:paraId="6006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5A8F6FF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28</w:t>
            </w:r>
          </w:p>
        </w:tc>
        <w:tc>
          <w:tcPr>
            <w:tcW w:w="828" w:type="pct"/>
            <w:shd w:val="clear" w:color="auto" w:fill="auto"/>
            <w:vAlign w:val="center"/>
          </w:tcPr>
          <w:p w14:paraId="4BC868A5">
            <w:pPr>
              <w:jc w:val="center"/>
              <w:textAlignment w:val="center"/>
              <w:rPr>
                <w:rFonts w:ascii="宋体" w:hAnsi="宋体" w:eastAsia="宋体" w:cs="Times New Roman"/>
                <w:color w:val="auto"/>
              </w:rPr>
            </w:pPr>
            <w:r>
              <w:rPr>
                <w:rFonts w:ascii="宋体" w:hAnsi="宋体" w:eastAsia="宋体" w:cs="Times New Roman"/>
                <w:color w:val="auto"/>
              </w:rPr>
              <w:t>三氯乙烯</w:t>
            </w:r>
          </w:p>
        </w:tc>
        <w:tc>
          <w:tcPr>
            <w:tcW w:w="577" w:type="pct"/>
            <w:shd w:val="clear" w:color="auto" w:fill="auto"/>
            <w:vAlign w:val="center"/>
          </w:tcPr>
          <w:p w14:paraId="62636811">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1A9C441F">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77EE1AF9">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048DA7C4">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4969AD7E">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7631A9D0">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6A4C981B">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17743447">
            <w:pPr>
              <w:jc w:val="center"/>
              <w:rPr>
                <w:rFonts w:ascii="宋体" w:hAnsi="宋体" w:eastAsia="宋体" w:cs="Times New Roman"/>
                <w:color w:val="auto"/>
              </w:rPr>
            </w:pPr>
            <w:r>
              <w:rPr>
                <w:rFonts w:ascii="宋体" w:hAnsi="宋体" w:eastAsia="宋体" w:cs="Times New Roman"/>
                <w:color w:val="auto"/>
              </w:rPr>
              <w:t>0</w:t>
            </w:r>
          </w:p>
        </w:tc>
      </w:tr>
      <w:tr w14:paraId="3086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DCE4D3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29</w:t>
            </w:r>
          </w:p>
        </w:tc>
        <w:tc>
          <w:tcPr>
            <w:tcW w:w="828" w:type="pct"/>
            <w:shd w:val="clear" w:color="auto" w:fill="auto"/>
            <w:vAlign w:val="center"/>
          </w:tcPr>
          <w:p w14:paraId="1E741D15">
            <w:pPr>
              <w:jc w:val="center"/>
              <w:textAlignment w:val="center"/>
              <w:rPr>
                <w:rFonts w:ascii="宋体" w:hAnsi="宋体" w:eastAsia="宋体" w:cs="Times New Roman"/>
                <w:color w:val="auto"/>
              </w:rPr>
            </w:pPr>
            <w:r>
              <w:rPr>
                <w:rFonts w:ascii="宋体" w:hAnsi="宋体" w:eastAsia="宋体" w:cs="Times New Roman"/>
                <w:color w:val="auto"/>
              </w:rPr>
              <w:t>1,2,3-三氯丙烷</w:t>
            </w:r>
          </w:p>
        </w:tc>
        <w:tc>
          <w:tcPr>
            <w:tcW w:w="577" w:type="pct"/>
            <w:shd w:val="clear" w:color="auto" w:fill="auto"/>
            <w:vAlign w:val="center"/>
          </w:tcPr>
          <w:p w14:paraId="678C5ECE">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0F1DFD2D">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0C864FE3">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17B3753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5AA43F8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6A251C1D">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2CB48616">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2488D602">
            <w:pPr>
              <w:jc w:val="center"/>
              <w:rPr>
                <w:rFonts w:ascii="宋体" w:hAnsi="宋体" w:eastAsia="宋体" w:cs="Times New Roman"/>
                <w:color w:val="auto"/>
              </w:rPr>
            </w:pPr>
            <w:r>
              <w:rPr>
                <w:rFonts w:ascii="宋体" w:hAnsi="宋体" w:eastAsia="宋体" w:cs="Times New Roman"/>
                <w:color w:val="auto"/>
              </w:rPr>
              <w:t>0</w:t>
            </w:r>
          </w:p>
        </w:tc>
      </w:tr>
      <w:tr w14:paraId="485F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3C8C1EF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30</w:t>
            </w:r>
          </w:p>
        </w:tc>
        <w:tc>
          <w:tcPr>
            <w:tcW w:w="828" w:type="pct"/>
            <w:shd w:val="clear" w:color="auto" w:fill="auto"/>
            <w:vAlign w:val="center"/>
          </w:tcPr>
          <w:p w14:paraId="668BDCA3">
            <w:pPr>
              <w:jc w:val="center"/>
              <w:textAlignment w:val="center"/>
              <w:rPr>
                <w:rFonts w:ascii="宋体" w:hAnsi="宋体" w:eastAsia="宋体" w:cs="Times New Roman"/>
                <w:color w:val="auto"/>
              </w:rPr>
            </w:pPr>
            <w:r>
              <w:rPr>
                <w:rFonts w:ascii="宋体" w:hAnsi="宋体" w:eastAsia="宋体" w:cs="Times New Roman"/>
                <w:color w:val="auto"/>
              </w:rPr>
              <w:t>氯乙烯</w:t>
            </w:r>
          </w:p>
        </w:tc>
        <w:tc>
          <w:tcPr>
            <w:tcW w:w="577" w:type="pct"/>
            <w:shd w:val="clear" w:color="auto" w:fill="auto"/>
            <w:vAlign w:val="center"/>
          </w:tcPr>
          <w:p w14:paraId="1E9C584C">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6EF4117B">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244F8C87">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1ACEDFCD">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D6C7D43">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160E3940">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3AB711C9">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1C321514">
            <w:pPr>
              <w:jc w:val="center"/>
              <w:rPr>
                <w:rFonts w:ascii="宋体" w:hAnsi="宋体" w:eastAsia="宋体" w:cs="Times New Roman"/>
                <w:color w:val="auto"/>
              </w:rPr>
            </w:pPr>
            <w:r>
              <w:rPr>
                <w:rFonts w:ascii="宋体" w:hAnsi="宋体" w:eastAsia="宋体" w:cs="Times New Roman"/>
                <w:color w:val="auto"/>
              </w:rPr>
              <w:t>0</w:t>
            </w:r>
          </w:p>
        </w:tc>
      </w:tr>
      <w:tr w14:paraId="5E09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0CAF0B1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31</w:t>
            </w:r>
          </w:p>
        </w:tc>
        <w:tc>
          <w:tcPr>
            <w:tcW w:w="828" w:type="pct"/>
            <w:shd w:val="clear" w:color="auto" w:fill="auto"/>
            <w:vAlign w:val="center"/>
          </w:tcPr>
          <w:p w14:paraId="3249AB7A">
            <w:pPr>
              <w:jc w:val="center"/>
              <w:textAlignment w:val="center"/>
              <w:rPr>
                <w:rFonts w:ascii="宋体" w:hAnsi="宋体" w:eastAsia="宋体" w:cs="Times New Roman"/>
                <w:color w:val="auto"/>
              </w:rPr>
            </w:pPr>
            <w:r>
              <w:rPr>
                <w:rFonts w:ascii="宋体" w:hAnsi="宋体" w:eastAsia="宋体" w:cs="Times New Roman"/>
                <w:color w:val="auto"/>
              </w:rPr>
              <w:t>苯</w:t>
            </w:r>
          </w:p>
        </w:tc>
        <w:tc>
          <w:tcPr>
            <w:tcW w:w="577" w:type="pct"/>
            <w:shd w:val="clear" w:color="auto" w:fill="auto"/>
            <w:vAlign w:val="center"/>
          </w:tcPr>
          <w:p w14:paraId="4F4448A7">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09A406A3">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749F582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2004DDAE">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75B9211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5A36869B">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78D6C4D8">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624A78D2">
            <w:pPr>
              <w:jc w:val="center"/>
              <w:rPr>
                <w:rFonts w:ascii="宋体" w:hAnsi="宋体" w:eastAsia="宋体" w:cs="Times New Roman"/>
                <w:color w:val="auto"/>
              </w:rPr>
            </w:pPr>
            <w:r>
              <w:rPr>
                <w:rFonts w:ascii="宋体" w:hAnsi="宋体" w:eastAsia="宋体" w:cs="Times New Roman"/>
                <w:color w:val="auto"/>
              </w:rPr>
              <w:t>0</w:t>
            </w:r>
          </w:p>
        </w:tc>
      </w:tr>
      <w:tr w14:paraId="6DCA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3E1FBD6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32</w:t>
            </w:r>
          </w:p>
        </w:tc>
        <w:tc>
          <w:tcPr>
            <w:tcW w:w="828" w:type="pct"/>
            <w:shd w:val="clear" w:color="auto" w:fill="auto"/>
            <w:vAlign w:val="center"/>
          </w:tcPr>
          <w:p w14:paraId="62B136C9">
            <w:pPr>
              <w:jc w:val="center"/>
              <w:textAlignment w:val="center"/>
              <w:rPr>
                <w:rFonts w:ascii="宋体" w:hAnsi="宋体" w:eastAsia="宋体" w:cs="Times New Roman"/>
                <w:color w:val="auto"/>
              </w:rPr>
            </w:pPr>
            <w:r>
              <w:rPr>
                <w:rFonts w:ascii="宋体" w:hAnsi="宋体" w:eastAsia="宋体" w:cs="Times New Roman"/>
                <w:color w:val="auto"/>
              </w:rPr>
              <w:t>氯苯</w:t>
            </w:r>
          </w:p>
        </w:tc>
        <w:tc>
          <w:tcPr>
            <w:tcW w:w="577" w:type="pct"/>
            <w:shd w:val="clear" w:color="auto" w:fill="auto"/>
            <w:vAlign w:val="center"/>
          </w:tcPr>
          <w:p w14:paraId="438FA339">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78759240">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5178AB9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1D5ABF8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3D718BEF">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48122205">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7AAFFD9E">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4CA19481">
            <w:pPr>
              <w:jc w:val="center"/>
              <w:rPr>
                <w:rFonts w:ascii="宋体" w:hAnsi="宋体" w:eastAsia="宋体" w:cs="Times New Roman"/>
                <w:color w:val="auto"/>
              </w:rPr>
            </w:pPr>
            <w:r>
              <w:rPr>
                <w:rFonts w:ascii="宋体" w:hAnsi="宋体" w:eastAsia="宋体" w:cs="Times New Roman"/>
                <w:color w:val="auto"/>
              </w:rPr>
              <w:t>0</w:t>
            </w:r>
          </w:p>
        </w:tc>
      </w:tr>
      <w:tr w14:paraId="721E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1C18C8B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33</w:t>
            </w:r>
          </w:p>
        </w:tc>
        <w:tc>
          <w:tcPr>
            <w:tcW w:w="828" w:type="pct"/>
            <w:shd w:val="clear" w:color="auto" w:fill="auto"/>
            <w:vAlign w:val="center"/>
          </w:tcPr>
          <w:p w14:paraId="7DD920F8">
            <w:pPr>
              <w:jc w:val="center"/>
              <w:textAlignment w:val="center"/>
              <w:rPr>
                <w:rFonts w:ascii="宋体" w:hAnsi="宋体" w:eastAsia="宋体" w:cs="Times New Roman"/>
                <w:color w:val="auto"/>
              </w:rPr>
            </w:pPr>
            <w:r>
              <w:rPr>
                <w:rFonts w:ascii="宋体" w:hAnsi="宋体" w:eastAsia="宋体" w:cs="Times New Roman"/>
                <w:color w:val="auto"/>
              </w:rPr>
              <w:t>1,2-二氯苯</w:t>
            </w:r>
          </w:p>
        </w:tc>
        <w:tc>
          <w:tcPr>
            <w:tcW w:w="577" w:type="pct"/>
            <w:shd w:val="clear" w:color="auto" w:fill="auto"/>
            <w:vAlign w:val="center"/>
          </w:tcPr>
          <w:p w14:paraId="0DD2BA0A">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6837D37E">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40B97C03">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26D766DE">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30921C14">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704C0567">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2F782DF7">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308825C9">
            <w:pPr>
              <w:jc w:val="center"/>
              <w:rPr>
                <w:rFonts w:ascii="宋体" w:hAnsi="宋体" w:eastAsia="宋体" w:cs="Times New Roman"/>
                <w:color w:val="auto"/>
              </w:rPr>
            </w:pPr>
            <w:r>
              <w:rPr>
                <w:rFonts w:ascii="宋体" w:hAnsi="宋体" w:eastAsia="宋体" w:cs="Times New Roman"/>
                <w:color w:val="auto"/>
              </w:rPr>
              <w:t>0</w:t>
            </w:r>
          </w:p>
        </w:tc>
      </w:tr>
      <w:tr w14:paraId="2E5B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1462880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34</w:t>
            </w:r>
          </w:p>
        </w:tc>
        <w:tc>
          <w:tcPr>
            <w:tcW w:w="828" w:type="pct"/>
            <w:shd w:val="clear" w:color="auto" w:fill="auto"/>
            <w:vAlign w:val="center"/>
          </w:tcPr>
          <w:p w14:paraId="23082F1C">
            <w:pPr>
              <w:jc w:val="center"/>
              <w:textAlignment w:val="center"/>
              <w:rPr>
                <w:rFonts w:ascii="宋体" w:hAnsi="宋体" w:eastAsia="宋体" w:cs="Times New Roman"/>
                <w:color w:val="auto"/>
              </w:rPr>
            </w:pPr>
            <w:r>
              <w:rPr>
                <w:rFonts w:ascii="宋体" w:hAnsi="宋体" w:eastAsia="宋体" w:cs="Times New Roman"/>
                <w:color w:val="auto"/>
              </w:rPr>
              <w:t>1,4-二氯苯</w:t>
            </w:r>
          </w:p>
        </w:tc>
        <w:tc>
          <w:tcPr>
            <w:tcW w:w="577" w:type="pct"/>
            <w:shd w:val="clear" w:color="auto" w:fill="auto"/>
            <w:vAlign w:val="center"/>
          </w:tcPr>
          <w:p w14:paraId="0C04071D">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11919105">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18752A1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61DD3DF9">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7F9F766F">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238F7FA1">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53200E57">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FD30B0E">
            <w:pPr>
              <w:jc w:val="center"/>
              <w:rPr>
                <w:rFonts w:ascii="宋体" w:hAnsi="宋体" w:eastAsia="宋体" w:cs="Times New Roman"/>
                <w:color w:val="auto"/>
              </w:rPr>
            </w:pPr>
            <w:r>
              <w:rPr>
                <w:rFonts w:ascii="宋体" w:hAnsi="宋体" w:eastAsia="宋体" w:cs="Times New Roman"/>
                <w:color w:val="auto"/>
              </w:rPr>
              <w:t>0</w:t>
            </w:r>
          </w:p>
        </w:tc>
      </w:tr>
      <w:tr w14:paraId="44A4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1554C5B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35</w:t>
            </w:r>
          </w:p>
        </w:tc>
        <w:tc>
          <w:tcPr>
            <w:tcW w:w="828" w:type="pct"/>
            <w:shd w:val="clear" w:color="auto" w:fill="auto"/>
            <w:vAlign w:val="center"/>
          </w:tcPr>
          <w:p w14:paraId="7030CA79">
            <w:pPr>
              <w:jc w:val="center"/>
              <w:textAlignment w:val="center"/>
              <w:rPr>
                <w:rFonts w:ascii="宋体" w:hAnsi="宋体" w:eastAsia="宋体" w:cs="Times New Roman"/>
                <w:color w:val="auto"/>
              </w:rPr>
            </w:pPr>
            <w:r>
              <w:rPr>
                <w:rFonts w:ascii="宋体" w:hAnsi="宋体" w:eastAsia="宋体" w:cs="Times New Roman"/>
                <w:color w:val="auto"/>
              </w:rPr>
              <w:t>乙苯</w:t>
            </w:r>
          </w:p>
        </w:tc>
        <w:tc>
          <w:tcPr>
            <w:tcW w:w="577" w:type="pct"/>
            <w:shd w:val="clear" w:color="auto" w:fill="auto"/>
            <w:vAlign w:val="center"/>
          </w:tcPr>
          <w:p w14:paraId="1AD4867C">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663806B5">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0E66286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00296279">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4EB36804">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53AA33CD">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4392193D">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56DF03DD">
            <w:pPr>
              <w:jc w:val="center"/>
              <w:rPr>
                <w:rFonts w:ascii="宋体" w:hAnsi="宋体" w:eastAsia="宋体" w:cs="Times New Roman"/>
                <w:color w:val="auto"/>
              </w:rPr>
            </w:pPr>
            <w:r>
              <w:rPr>
                <w:rFonts w:ascii="宋体" w:hAnsi="宋体" w:eastAsia="宋体" w:cs="Times New Roman"/>
                <w:color w:val="auto"/>
              </w:rPr>
              <w:t>0</w:t>
            </w:r>
          </w:p>
        </w:tc>
      </w:tr>
      <w:tr w14:paraId="6207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571E9F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36</w:t>
            </w:r>
          </w:p>
        </w:tc>
        <w:tc>
          <w:tcPr>
            <w:tcW w:w="828" w:type="pct"/>
            <w:shd w:val="clear" w:color="auto" w:fill="auto"/>
            <w:vAlign w:val="center"/>
          </w:tcPr>
          <w:p w14:paraId="5E2951A4">
            <w:pPr>
              <w:jc w:val="center"/>
              <w:textAlignment w:val="center"/>
              <w:rPr>
                <w:rFonts w:ascii="宋体" w:hAnsi="宋体" w:eastAsia="宋体" w:cs="Times New Roman"/>
                <w:color w:val="auto"/>
              </w:rPr>
            </w:pPr>
            <w:r>
              <w:rPr>
                <w:rFonts w:ascii="宋体" w:hAnsi="宋体" w:eastAsia="宋体" w:cs="Times New Roman"/>
                <w:color w:val="auto"/>
              </w:rPr>
              <w:t>苯乙烯</w:t>
            </w:r>
          </w:p>
        </w:tc>
        <w:tc>
          <w:tcPr>
            <w:tcW w:w="577" w:type="pct"/>
            <w:shd w:val="clear" w:color="auto" w:fill="auto"/>
            <w:vAlign w:val="center"/>
          </w:tcPr>
          <w:p w14:paraId="722DE128">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6523C0E7">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27AC440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16BB49F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2A106444">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51E343A4">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16A6DA99">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1A1CE844">
            <w:pPr>
              <w:jc w:val="center"/>
              <w:rPr>
                <w:rFonts w:ascii="宋体" w:hAnsi="宋体" w:eastAsia="宋体" w:cs="Times New Roman"/>
                <w:color w:val="auto"/>
              </w:rPr>
            </w:pPr>
            <w:r>
              <w:rPr>
                <w:rFonts w:ascii="宋体" w:hAnsi="宋体" w:eastAsia="宋体" w:cs="Times New Roman"/>
                <w:color w:val="auto"/>
              </w:rPr>
              <w:t>0</w:t>
            </w:r>
          </w:p>
        </w:tc>
      </w:tr>
      <w:tr w14:paraId="4EF7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495065B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37</w:t>
            </w:r>
          </w:p>
        </w:tc>
        <w:tc>
          <w:tcPr>
            <w:tcW w:w="828" w:type="pct"/>
            <w:shd w:val="clear" w:color="auto" w:fill="auto"/>
            <w:vAlign w:val="center"/>
          </w:tcPr>
          <w:p w14:paraId="2C5ABC47">
            <w:pPr>
              <w:jc w:val="center"/>
              <w:textAlignment w:val="center"/>
              <w:rPr>
                <w:rFonts w:ascii="宋体" w:hAnsi="宋体" w:eastAsia="宋体" w:cs="Times New Roman"/>
                <w:color w:val="auto"/>
              </w:rPr>
            </w:pPr>
            <w:r>
              <w:rPr>
                <w:rFonts w:ascii="宋体" w:hAnsi="宋体" w:eastAsia="宋体" w:cs="Times New Roman"/>
                <w:color w:val="auto"/>
              </w:rPr>
              <w:t>甲苯</w:t>
            </w:r>
          </w:p>
        </w:tc>
        <w:tc>
          <w:tcPr>
            <w:tcW w:w="577" w:type="pct"/>
            <w:shd w:val="clear" w:color="auto" w:fill="auto"/>
            <w:vAlign w:val="center"/>
          </w:tcPr>
          <w:p w14:paraId="2FF5BC5F">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0148546B">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4EDB406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4C4347E0">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4C293D1B">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651A21C1">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368DC700">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78181553">
            <w:pPr>
              <w:jc w:val="center"/>
              <w:rPr>
                <w:rFonts w:ascii="宋体" w:hAnsi="宋体" w:eastAsia="宋体" w:cs="Times New Roman"/>
                <w:color w:val="auto"/>
              </w:rPr>
            </w:pPr>
            <w:r>
              <w:rPr>
                <w:rFonts w:ascii="宋体" w:hAnsi="宋体" w:eastAsia="宋体" w:cs="Times New Roman"/>
                <w:color w:val="auto"/>
              </w:rPr>
              <w:t>0</w:t>
            </w:r>
          </w:p>
        </w:tc>
      </w:tr>
      <w:tr w14:paraId="4E67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7875956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38</w:t>
            </w:r>
          </w:p>
        </w:tc>
        <w:tc>
          <w:tcPr>
            <w:tcW w:w="828" w:type="pct"/>
            <w:shd w:val="clear" w:color="auto" w:fill="auto"/>
            <w:vAlign w:val="center"/>
          </w:tcPr>
          <w:p w14:paraId="51F0F1B2">
            <w:pPr>
              <w:jc w:val="center"/>
              <w:textAlignment w:val="center"/>
              <w:rPr>
                <w:rFonts w:ascii="宋体" w:hAnsi="宋体" w:eastAsia="宋体" w:cs="Times New Roman"/>
                <w:color w:val="auto"/>
              </w:rPr>
            </w:pPr>
            <w:r>
              <w:rPr>
                <w:rFonts w:ascii="宋体" w:hAnsi="宋体" w:eastAsia="宋体" w:cs="Times New Roman"/>
                <w:color w:val="auto"/>
              </w:rPr>
              <w:t>间，对二甲苯</w:t>
            </w:r>
          </w:p>
        </w:tc>
        <w:tc>
          <w:tcPr>
            <w:tcW w:w="577" w:type="pct"/>
            <w:shd w:val="clear" w:color="auto" w:fill="auto"/>
            <w:vAlign w:val="center"/>
          </w:tcPr>
          <w:p w14:paraId="237527E3">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6087EA5B">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59369C6B">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1F1B9C46">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146F663">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1A66D5FC">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762BE9DB">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DB75C94">
            <w:pPr>
              <w:jc w:val="center"/>
              <w:rPr>
                <w:rFonts w:ascii="宋体" w:hAnsi="宋体" w:eastAsia="宋体" w:cs="Times New Roman"/>
                <w:color w:val="auto"/>
              </w:rPr>
            </w:pPr>
            <w:r>
              <w:rPr>
                <w:rFonts w:ascii="宋体" w:hAnsi="宋体" w:eastAsia="宋体" w:cs="Times New Roman"/>
                <w:color w:val="auto"/>
              </w:rPr>
              <w:t>0</w:t>
            </w:r>
          </w:p>
        </w:tc>
      </w:tr>
      <w:tr w14:paraId="7E92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AEBA22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39</w:t>
            </w:r>
          </w:p>
        </w:tc>
        <w:tc>
          <w:tcPr>
            <w:tcW w:w="828" w:type="pct"/>
            <w:shd w:val="clear" w:color="auto" w:fill="auto"/>
            <w:vAlign w:val="center"/>
          </w:tcPr>
          <w:p w14:paraId="6CB79B7C">
            <w:pPr>
              <w:jc w:val="center"/>
              <w:textAlignment w:val="center"/>
              <w:rPr>
                <w:rFonts w:ascii="宋体" w:hAnsi="宋体" w:eastAsia="宋体" w:cs="Times New Roman"/>
                <w:color w:val="auto"/>
              </w:rPr>
            </w:pPr>
            <w:r>
              <w:rPr>
                <w:rFonts w:ascii="宋体" w:hAnsi="宋体" w:eastAsia="宋体" w:cs="Times New Roman"/>
                <w:color w:val="auto"/>
              </w:rPr>
              <w:t>邻二甲苯</w:t>
            </w:r>
          </w:p>
        </w:tc>
        <w:tc>
          <w:tcPr>
            <w:tcW w:w="577" w:type="pct"/>
            <w:shd w:val="clear" w:color="auto" w:fill="auto"/>
            <w:vAlign w:val="center"/>
          </w:tcPr>
          <w:p w14:paraId="5AD4D99C">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32AD0F5D">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3433268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29599DF3">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6E0D40C0">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0D79FEEA">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1C34FF8C">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383C5B9A">
            <w:pPr>
              <w:jc w:val="center"/>
              <w:rPr>
                <w:rFonts w:ascii="宋体" w:hAnsi="宋体" w:eastAsia="宋体" w:cs="Times New Roman"/>
                <w:color w:val="auto"/>
              </w:rPr>
            </w:pPr>
            <w:r>
              <w:rPr>
                <w:rFonts w:ascii="宋体" w:hAnsi="宋体" w:eastAsia="宋体" w:cs="Times New Roman"/>
                <w:color w:val="auto"/>
              </w:rPr>
              <w:t>0</w:t>
            </w:r>
          </w:p>
        </w:tc>
      </w:tr>
      <w:tr w14:paraId="2208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6615926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40</w:t>
            </w:r>
          </w:p>
        </w:tc>
        <w:tc>
          <w:tcPr>
            <w:tcW w:w="828" w:type="pct"/>
            <w:shd w:val="clear" w:color="auto" w:fill="auto"/>
            <w:vAlign w:val="center"/>
          </w:tcPr>
          <w:p w14:paraId="649EEE35">
            <w:pPr>
              <w:jc w:val="center"/>
              <w:textAlignment w:val="center"/>
              <w:rPr>
                <w:rFonts w:ascii="宋体" w:hAnsi="宋体" w:eastAsia="宋体" w:cs="Times New Roman"/>
                <w:color w:val="auto"/>
              </w:rPr>
            </w:pPr>
            <w:r>
              <w:rPr>
                <w:rFonts w:ascii="宋体" w:hAnsi="宋体" w:eastAsia="宋体" w:cs="Times New Roman"/>
                <w:color w:val="auto"/>
              </w:rPr>
              <w:t>硝基苯</w:t>
            </w:r>
          </w:p>
        </w:tc>
        <w:tc>
          <w:tcPr>
            <w:tcW w:w="577" w:type="pct"/>
            <w:shd w:val="clear" w:color="auto" w:fill="auto"/>
            <w:vAlign w:val="center"/>
          </w:tcPr>
          <w:p w14:paraId="40255134">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72A90B95">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5A2E4F3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3DA19CAA">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7C03FB9F">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3FD9091C">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043F44E0">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A4206B7">
            <w:pPr>
              <w:jc w:val="center"/>
              <w:rPr>
                <w:rFonts w:ascii="宋体" w:hAnsi="宋体" w:eastAsia="宋体" w:cs="Times New Roman"/>
                <w:color w:val="auto"/>
              </w:rPr>
            </w:pPr>
            <w:r>
              <w:rPr>
                <w:rFonts w:ascii="宋体" w:hAnsi="宋体" w:eastAsia="宋体" w:cs="Times New Roman"/>
                <w:color w:val="auto"/>
              </w:rPr>
              <w:t>0</w:t>
            </w:r>
          </w:p>
        </w:tc>
      </w:tr>
      <w:tr w14:paraId="630B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35E267D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41</w:t>
            </w:r>
          </w:p>
        </w:tc>
        <w:tc>
          <w:tcPr>
            <w:tcW w:w="828" w:type="pct"/>
            <w:shd w:val="clear" w:color="auto" w:fill="auto"/>
            <w:vAlign w:val="center"/>
          </w:tcPr>
          <w:p w14:paraId="49B55D5F">
            <w:pPr>
              <w:jc w:val="center"/>
              <w:textAlignment w:val="center"/>
              <w:rPr>
                <w:rFonts w:ascii="宋体" w:hAnsi="宋体" w:eastAsia="宋体" w:cs="Times New Roman"/>
                <w:color w:val="auto"/>
              </w:rPr>
            </w:pPr>
            <w:r>
              <w:rPr>
                <w:rFonts w:ascii="宋体" w:hAnsi="宋体" w:eastAsia="宋体" w:cs="Times New Roman"/>
                <w:color w:val="auto"/>
              </w:rPr>
              <w:t>苯胺</w:t>
            </w:r>
          </w:p>
        </w:tc>
        <w:tc>
          <w:tcPr>
            <w:tcW w:w="577" w:type="pct"/>
            <w:shd w:val="clear" w:color="auto" w:fill="auto"/>
            <w:vAlign w:val="center"/>
          </w:tcPr>
          <w:p w14:paraId="4DCBD1F0">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1F41C885">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39B6521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2278D41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106C4621">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24CB0B13">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1C749C64">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40A05C8E">
            <w:pPr>
              <w:jc w:val="center"/>
              <w:rPr>
                <w:rFonts w:ascii="宋体" w:hAnsi="宋体" w:eastAsia="宋体" w:cs="Times New Roman"/>
                <w:color w:val="auto"/>
              </w:rPr>
            </w:pPr>
            <w:r>
              <w:rPr>
                <w:rFonts w:ascii="宋体" w:hAnsi="宋体" w:eastAsia="宋体" w:cs="Times New Roman"/>
                <w:color w:val="auto"/>
              </w:rPr>
              <w:t>0</w:t>
            </w:r>
          </w:p>
        </w:tc>
      </w:tr>
      <w:tr w14:paraId="653F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4AF5DA8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42</w:t>
            </w:r>
          </w:p>
        </w:tc>
        <w:tc>
          <w:tcPr>
            <w:tcW w:w="828" w:type="pct"/>
            <w:shd w:val="clear" w:color="auto" w:fill="auto"/>
            <w:vAlign w:val="center"/>
          </w:tcPr>
          <w:p w14:paraId="54CD18A6">
            <w:pPr>
              <w:jc w:val="center"/>
              <w:textAlignment w:val="center"/>
              <w:rPr>
                <w:rFonts w:ascii="宋体" w:hAnsi="宋体" w:eastAsia="宋体" w:cs="Times New Roman"/>
                <w:color w:val="auto"/>
              </w:rPr>
            </w:pPr>
            <w:r>
              <w:rPr>
                <w:rFonts w:ascii="宋体" w:hAnsi="宋体" w:eastAsia="宋体" w:cs="Times New Roman"/>
                <w:color w:val="auto"/>
              </w:rPr>
              <w:t>2-氯酚</w:t>
            </w:r>
          </w:p>
        </w:tc>
        <w:tc>
          <w:tcPr>
            <w:tcW w:w="577" w:type="pct"/>
            <w:shd w:val="clear" w:color="auto" w:fill="auto"/>
            <w:vAlign w:val="center"/>
          </w:tcPr>
          <w:p w14:paraId="5B378D91">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7D3ED7C7">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6EE8E0E8">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7709089B">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309C2AE7">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7226BED9">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5374905A">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39D2C0E9">
            <w:pPr>
              <w:jc w:val="center"/>
              <w:rPr>
                <w:rFonts w:ascii="宋体" w:hAnsi="宋体" w:eastAsia="宋体" w:cs="Times New Roman"/>
                <w:color w:val="auto"/>
              </w:rPr>
            </w:pPr>
            <w:r>
              <w:rPr>
                <w:rFonts w:ascii="宋体" w:hAnsi="宋体" w:eastAsia="宋体" w:cs="Times New Roman"/>
                <w:color w:val="auto"/>
              </w:rPr>
              <w:t>0</w:t>
            </w:r>
          </w:p>
        </w:tc>
      </w:tr>
      <w:tr w14:paraId="4065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4F350CF4">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43</w:t>
            </w:r>
          </w:p>
        </w:tc>
        <w:tc>
          <w:tcPr>
            <w:tcW w:w="828" w:type="pct"/>
            <w:shd w:val="clear" w:color="auto" w:fill="auto"/>
            <w:vAlign w:val="center"/>
          </w:tcPr>
          <w:p w14:paraId="413ECBA6">
            <w:pPr>
              <w:jc w:val="center"/>
              <w:textAlignment w:val="center"/>
              <w:rPr>
                <w:rFonts w:ascii="宋体" w:hAnsi="宋体" w:eastAsia="宋体" w:cs="Times New Roman"/>
                <w:color w:val="auto"/>
              </w:rPr>
            </w:pPr>
            <w:r>
              <w:rPr>
                <w:rFonts w:ascii="宋体" w:hAnsi="宋体" w:eastAsia="宋体" w:cs="Times New Roman"/>
                <w:color w:val="auto"/>
              </w:rPr>
              <w:t>苯并[a]蒽</w:t>
            </w:r>
          </w:p>
        </w:tc>
        <w:tc>
          <w:tcPr>
            <w:tcW w:w="577" w:type="pct"/>
            <w:shd w:val="clear" w:color="auto" w:fill="auto"/>
            <w:vAlign w:val="center"/>
          </w:tcPr>
          <w:p w14:paraId="2117856F">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1E66BCE8">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6669D1FE">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04A9E29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466116D">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5AB724EA">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3F100631">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64CA4FD4">
            <w:pPr>
              <w:jc w:val="center"/>
              <w:rPr>
                <w:rFonts w:ascii="宋体" w:hAnsi="宋体" w:eastAsia="宋体" w:cs="Times New Roman"/>
                <w:color w:val="auto"/>
              </w:rPr>
            </w:pPr>
            <w:r>
              <w:rPr>
                <w:rFonts w:ascii="宋体" w:hAnsi="宋体" w:eastAsia="宋体" w:cs="Times New Roman"/>
                <w:color w:val="auto"/>
              </w:rPr>
              <w:t>0</w:t>
            </w:r>
          </w:p>
        </w:tc>
      </w:tr>
      <w:tr w14:paraId="469D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0CA871B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44</w:t>
            </w:r>
          </w:p>
        </w:tc>
        <w:tc>
          <w:tcPr>
            <w:tcW w:w="828" w:type="pct"/>
            <w:shd w:val="clear" w:color="auto" w:fill="auto"/>
            <w:vAlign w:val="center"/>
          </w:tcPr>
          <w:p w14:paraId="351F1F05">
            <w:pPr>
              <w:jc w:val="center"/>
              <w:textAlignment w:val="center"/>
              <w:rPr>
                <w:rFonts w:ascii="宋体" w:hAnsi="宋体" w:eastAsia="宋体" w:cs="Times New Roman"/>
                <w:color w:val="auto"/>
              </w:rPr>
            </w:pPr>
            <w:r>
              <w:rPr>
                <w:rFonts w:ascii="宋体" w:hAnsi="宋体" w:eastAsia="宋体" w:cs="Times New Roman"/>
                <w:color w:val="auto"/>
              </w:rPr>
              <w:t>苯并[a]芘</w:t>
            </w:r>
          </w:p>
        </w:tc>
        <w:tc>
          <w:tcPr>
            <w:tcW w:w="577" w:type="pct"/>
            <w:shd w:val="clear" w:color="auto" w:fill="auto"/>
            <w:vAlign w:val="center"/>
          </w:tcPr>
          <w:p w14:paraId="05F5DCBC">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4421CA93">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5F653EAB">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4A221B1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1975E33A">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5A9ADF71">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027AD4CF">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3D42CC1C">
            <w:pPr>
              <w:jc w:val="center"/>
              <w:rPr>
                <w:rFonts w:ascii="宋体" w:hAnsi="宋体" w:eastAsia="宋体" w:cs="Times New Roman"/>
                <w:color w:val="auto"/>
              </w:rPr>
            </w:pPr>
            <w:r>
              <w:rPr>
                <w:rFonts w:ascii="宋体" w:hAnsi="宋体" w:eastAsia="宋体" w:cs="Times New Roman"/>
                <w:color w:val="auto"/>
              </w:rPr>
              <w:t>0</w:t>
            </w:r>
          </w:p>
        </w:tc>
      </w:tr>
      <w:tr w14:paraId="3A00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1742B63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45</w:t>
            </w:r>
          </w:p>
        </w:tc>
        <w:tc>
          <w:tcPr>
            <w:tcW w:w="828" w:type="pct"/>
            <w:shd w:val="clear" w:color="auto" w:fill="auto"/>
            <w:vAlign w:val="center"/>
          </w:tcPr>
          <w:p w14:paraId="7554150B">
            <w:pPr>
              <w:jc w:val="center"/>
              <w:textAlignment w:val="center"/>
              <w:rPr>
                <w:rFonts w:ascii="宋体" w:hAnsi="宋体" w:eastAsia="宋体" w:cs="Times New Roman"/>
                <w:color w:val="auto"/>
              </w:rPr>
            </w:pPr>
            <w:r>
              <w:rPr>
                <w:rFonts w:ascii="宋体" w:hAnsi="宋体" w:eastAsia="宋体" w:cs="Times New Roman"/>
                <w:color w:val="auto"/>
              </w:rPr>
              <w:t>苯并[b]荧蒽</w:t>
            </w:r>
          </w:p>
        </w:tc>
        <w:tc>
          <w:tcPr>
            <w:tcW w:w="577" w:type="pct"/>
            <w:shd w:val="clear" w:color="auto" w:fill="auto"/>
            <w:vAlign w:val="center"/>
          </w:tcPr>
          <w:p w14:paraId="35B83D62">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7817B223">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4019EB3E">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3D626D2F">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4037EBE">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1521EA43">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5124B866">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8C2F368">
            <w:pPr>
              <w:jc w:val="center"/>
              <w:rPr>
                <w:rFonts w:ascii="宋体" w:hAnsi="宋体" w:eastAsia="宋体" w:cs="Times New Roman"/>
                <w:color w:val="auto"/>
              </w:rPr>
            </w:pPr>
            <w:r>
              <w:rPr>
                <w:rFonts w:ascii="宋体" w:hAnsi="宋体" w:eastAsia="宋体" w:cs="Times New Roman"/>
                <w:color w:val="auto"/>
              </w:rPr>
              <w:t>0</w:t>
            </w:r>
          </w:p>
        </w:tc>
      </w:tr>
      <w:tr w14:paraId="7A19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40803E9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46</w:t>
            </w:r>
          </w:p>
        </w:tc>
        <w:tc>
          <w:tcPr>
            <w:tcW w:w="828" w:type="pct"/>
            <w:shd w:val="clear" w:color="auto" w:fill="auto"/>
            <w:vAlign w:val="center"/>
          </w:tcPr>
          <w:p w14:paraId="12EEB5CD">
            <w:pPr>
              <w:jc w:val="center"/>
              <w:textAlignment w:val="center"/>
              <w:rPr>
                <w:rFonts w:ascii="宋体" w:hAnsi="宋体" w:eastAsia="宋体" w:cs="Times New Roman"/>
                <w:color w:val="auto"/>
              </w:rPr>
            </w:pPr>
            <w:r>
              <w:rPr>
                <w:rFonts w:ascii="宋体" w:hAnsi="宋体" w:eastAsia="宋体" w:cs="Times New Roman"/>
                <w:color w:val="auto"/>
              </w:rPr>
              <w:t>苯并[k]荧蒽</w:t>
            </w:r>
          </w:p>
        </w:tc>
        <w:tc>
          <w:tcPr>
            <w:tcW w:w="577" w:type="pct"/>
            <w:shd w:val="clear" w:color="auto" w:fill="auto"/>
            <w:vAlign w:val="center"/>
          </w:tcPr>
          <w:p w14:paraId="6AC125C1">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0ED2445E">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3395892A">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0ABBE0E2">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64AF02A9">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2905EEF4">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63ACCD25">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774701B8">
            <w:pPr>
              <w:jc w:val="center"/>
              <w:rPr>
                <w:rFonts w:ascii="宋体" w:hAnsi="宋体" w:eastAsia="宋体" w:cs="Times New Roman"/>
                <w:color w:val="auto"/>
              </w:rPr>
            </w:pPr>
            <w:r>
              <w:rPr>
                <w:rFonts w:ascii="宋体" w:hAnsi="宋体" w:eastAsia="宋体" w:cs="Times New Roman"/>
                <w:color w:val="auto"/>
              </w:rPr>
              <w:t>0</w:t>
            </w:r>
          </w:p>
        </w:tc>
      </w:tr>
      <w:tr w14:paraId="4E55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4E65E1C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47</w:t>
            </w:r>
          </w:p>
        </w:tc>
        <w:tc>
          <w:tcPr>
            <w:tcW w:w="828" w:type="pct"/>
            <w:shd w:val="clear" w:color="auto" w:fill="auto"/>
            <w:vAlign w:val="center"/>
          </w:tcPr>
          <w:p w14:paraId="3592E2DD">
            <w:pPr>
              <w:jc w:val="center"/>
              <w:textAlignment w:val="center"/>
              <w:rPr>
                <w:rFonts w:ascii="宋体" w:hAnsi="宋体" w:eastAsia="宋体" w:cs="Times New Roman"/>
                <w:color w:val="auto"/>
              </w:rPr>
            </w:pPr>
            <w:r>
              <w:rPr>
                <w:rFonts w:ascii="宋体" w:hAnsi="宋体" w:eastAsia="宋体" w:cs="Times New Roman"/>
                <w:color w:val="auto"/>
              </w:rPr>
              <w:t>䓛</w:t>
            </w:r>
          </w:p>
        </w:tc>
        <w:tc>
          <w:tcPr>
            <w:tcW w:w="577" w:type="pct"/>
            <w:shd w:val="clear" w:color="auto" w:fill="auto"/>
            <w:vAlign w:val="center"/>
          </w:tcPr>
          <w:p w14:paraId="5F15F6C6">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68A8F680">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35056DE8">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2C563C38">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350E925">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520CD7C7">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51BED4FF">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20FE141A">
            <w:pPr>
              <w:jc w:val="center"/>
              <w:rPr>
                <w:rFonts w:ascii="宋体" w:hAnsi="宋体" w:eastAsia="宋体" w:cs="Times New Roman"/>
                <w:color w:val="auto"/>
              </w:rPr>
            </w:pPr>
            <w:r>
              <w:rPr>
                <w:rFonts w:ascii="宋体" w:hAnsi="宋体" w:eastAsia="宋体" w:cs="Times New Roman"/>
                <w:color w:val="auto"/>
              </w:rPr>
              <w:t>0</w:t>
            </w:r>
          </w:p>
        </w:tc>
      </w:tr>
      <w:tr w14:paraId="1754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5416A13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48</w:t>
            </w:r>
          </w:p>
        </w:tc>
        <w:tc>
          <w:tcPr>
            <w:tcW w:w="828" w:type="pct"/>
            <w:shd w:val="clear" w:color="auto" w:fill="auto"/>
            <w:vAlign w:val="center"/>
          </w:tcPr>
          <w:p w14:paraId="033360F9">
            <w:pPr>
              <w:jc w:val="center"/>
              <w:textAlignment w:val="center"/>
              <w:rPr>
                <w:rFonts w:ascii="宋体" w:hAnsi="宋体" w:eastAsia="宋体" w:cs="Times New Roman"/>
                <w:color w:val="auto"/>
              </w:rPr>
            </w:pPr>
            <w:r>
              <w:rPr>
                <w:rFonts w:ascii="宋体" w:hAnsi="宋体" w:eastAsia="宋体" w:cs="Times New Roman"/>
                <w:color w:val="auto"/>
              </w:rPr>
              <w:t>二苯并[a, h]蒽</w:t>
            </w:r>
          </w:p>
        </w:tc>
        <w:tc>
          <w:tcPr>
            <w:tcW w:w="577" w:type="pct"/>
            <w:shd w:val="clear" w:color="auto" w:fill="auto"/>
            <w:vAlign w:val="center"/>
          </w:tcPr>
          <w:p w14:paraId="651BE774">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7A8B336B">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49407E64">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4A3D992B">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3829F477">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3C945E02">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22E75855">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2034740C">
            <w:pPr>
              <w:jc w:val="center"/>
              <w:rPr>
                <w:rFonts w:ascii="宋体" w:hAnsi="宋体" w:eastAsia="宋体" w:cs="Times New Roman"/>
                <w:color w:val="auto"/>
              </w:rPr>
            </w:pPr>
            <w:r>
              <w:rPr>
                <w:rFonts w:ascii="宋体" w:hAnsi="宋体" w:eastAsia="宋体" w:cs="Times New Roman"/>
                <w:color w:val="auto"/>
              </w:rPr>
              <w:t>0</w:t>
            </w:r>
          </w:p>
        </w:tc>
      </w:tr>
      <w:tr w14:paraId="65F4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25D3324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49</w:t>
            </w:r>
          </w:p>
        </w:tc>
        <w:tc>
          <w:tcPr>
            <w:tcW w:w="828" w:type="pct"/>
            <w:shd w:val="clear" w:color="auto" w:fill="auto"/>
            <w:vAlign w:val="center"/>
          </w:tcPr>
          <w:p w14:paraId="323C3D03">
            <w:pPr>
              <w:jc w:val="center"/>
              <w:textAlignment w:val="center"/>
              <w:rPr>
                <w:rFonts w:ascii="宋体" w:hAnsi="宋体" w:eastAsia="宋体" w:cs="Times New Roman"/>
                <w:color w:val="auto"/>
              </w:rPr>
            </w:pPr>
            <w:r>
              <w:rPr>
                <w:rFonts w:ascii="宋体" w:hAnsi="宋体" w:eastAsia="宋体" w:cs="Times New Roman"/>
                <w:color w:val="auto"/>
              </w:rPr>
              <w:t>茚并[1,2,3-cd]芘</w:t>
            </w:r>
          </w:p>
        </w:tc>
        <w:tc>
          <w:tcPr>
            <w:tcW w:w="577" w:type="pct"/>
            <w:shd w:val="clear" w:color="auto" w:fill="auto"/>
            <w:vAlign w:val="center"/>
          </w:tcPr>
          <w:p w14:paraId="4BFD5B8E">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51AE2AA8">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21A7413B">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287E31E0">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C4C361F">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62C4EB46">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3782B61F">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2C918700">
            <w:pPr>
              <w:jc w:val="center"/>
              <w:rPr>
                <w:rFonts w:ascii="宋体" w:hAnsi="宋体" w:eastAsia="宋体" w:cs="Times New Roman"/>
                <w:color w:val="auto"/>
              </w:rPr>
            </w:pPr>
            <w:r>
              <w:rPr>
                <w:rFonts w:ascii="宋体" w:hAnsi="宋体" w:eastAsia="宋体" w:cs="Times New Roman"/>
                <w:color w:val="auto"/>
              </w:rPr>
              <w:t>0</w:t>
            </w:r>
          </w:p>
        </w:tc>
      </w:tr>
      <w:tr w14:paraId="7949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 w:type="pct"/>
            <w:shd w:val="clear" w:color="auto" w:fill="auto"/>
            <w:vAlign w:val="center"/>
          </w:tcPr>
          <w:p w14:paraId="7A67128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50</w:t>
            </w:r>
          </w:p>
        </w:tc>
        <w:tc>
          <w:tcPr>
            <w:tcW w:w="828" w:type="pct"/>
            <w:shd w:val="clear" w:color="auto" w:fill="auto"/>
            <w:vAlign w:val="center"/>
          </w:tcPr>
          <w:p w14:paraId="5F3F314A">
            <w:pPr>
              <w:jc w:val="center"/>
              <w:textAlignment w:val="center"/>
              <w:rPr>
                <w:rFonts w:ascii="宋体" w:hAnsi="宋体" w:eastAsia="宋体" w:cs="Times New Roman"/>
                <w:color w:val="auto"/>
              </w:rPr>
            </w:pPr>
            <w:r>
              <w:rPr>
                <w:rFonts w:ascii="宋体" w:hAnsi="宋体" w:eastAsia="宋体" w:cs="Times New Roman"/>
                <w:color w:val="auto"/>
              </w:rPr>
              <w:t>萘</w:t>
            </w:r>
          </w:p>
        </w:tc>
        <w:tc>
          <w:tcPr>
            <w:tcW w:w="577" w:type="pct"/>
            <w:shd w:val="clear" w:color="auto" w:fill="auto"/>
            <w:vAlign w:val="center"/>
          </w:tcPr>
          <w:p w14:paraId="1652D926">
            <w:pPr>
              <w:jc w:val="center"/>
              <w:rPr>
                <w:rFonts w:ascii="宋体" w:hAnsi="宋体" w:eastAsia="宋体" w:cs="Times New Roman"/>
                <w:color w:val="auto"/>
              </w:rPr>
            </w:pPr>
            <w:r>
              <w:rPr>
                <w:rFonts w:ascii="宋体" w:hAnsi="宋体" w:eastAsia="宋体" w:cs="Times New Roman"/>
                <w:color w:val="auto"/>
              </w:rPr>
              <w:t>18</w:t>
            </w:r>
          </w:p>
        </w:tc>
        <w:tc>
          <w:tcPr>
            <w:tcW w:w="577" w:type="pct"/>
            <w:shd w:val="clear" w:color="auto" w:fill="auto"/>
            <w:vAlign w:val="center"/>
          </w:tcPr>
          <w:p w14:paraId="0361448D">
            <w:pPr>
              <w:jc w:val="center"/>
              <w:rPr>
                <w:rFonts w:ascii="宋体" w:hAnsi="宋体" w:eastAsia="宋体" w:cs="Times New Roman"/>
                <w:color w:val="auto"/>
              </w:rPr>
            </w:pPr>
            <w:r>
              <w:rPr>
                <w:rFonts w:ascii="宋体" w:hAnsi="宋体" w:eastAsia="宋体" w:cs="Times New Roman"/>
                <w:color w:val="auto"/>
                <w:szCs w:val="22"/>
                <w:lang w:bidi="ar"/>
              </w:rPr>
              <w:t>/</w:t>
            </w:r>
          </w:p>
        </w:tc>
        <w:tc>
          <w:tcPr>
            <w:tcW w:w="516" w:type="pct"/>
            <w:shd w:val="clear" w:color="auto" w:fill="auto"/>
            <w:vAlign w:val="center"/>
          </w:tcPr>
          <w:p w14:paraId="458F7C1C">
            <w:pPr>
              <w:jc w:val="center"/>
              <w:rPr>
                <w:rFonts w:ascii="宋体" w:hAnsi="宋体" w:eastAsia="宋体" w:cs="Times New Roman"/>
                <w:color w:val="auto"/>
              </w:rPr>
            </w:pPr>
            <w:r>
              <w:rPr>
                <w:rFonts w:ascii="宋体" w:hAnsi="宋体" w:eastAsia="宋体" w:cs="Times New Roman"/>
                <w:color w:val="auto"/>
                <w:szCs w:val="22"/>
                <w:lang w:bidi="ar"/>
              </w:rPr>
              <w:t>/</w:t>
            </w:r>
          </w:p>
        </w:tc>
        <w:tc>
          <w:tcPr>
            <w:tcW w:w="485" w:type="pct"/>
            <w:shd w:val="clear" w:color="auto" w:fill="auto"/>
            <w:vAlign w:val="center"/>
          </w:tcPr>
          <w:p w14:paraId="2C99226D">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0" w:type="pct"/>
            <w:shd w:val="clear" w:color="auto" w:fill="auto"/>
            <w:vAlign w:val="center"/>
          </w:tcPr>
          <w:p w14:paraId="09CA8ACA">
            <w:pPr>
              <w:jc w:val="center"/>
              <w:rPr>
                <w:rFonts w:ascii="宋体" w:hAnsi="宋体" w:eastAsia="宋体" w:cs="Times New Roman"/>
                <w:color w:val="auto"/>
              </w:rPr>
            </w:pPr>
            <w:r>
              <w:rPr>
                <w:rFonts w:ascii="宋体" w:hAnsi="宋体" w:eastAsia="宋体" w:cs="Times New Roman"/>
                <w:color w:val="auto"/>
                <w:szCs w:val="22"/>
                <w:lang w:bidi="ar"/>
              </w:rPr>
              <w:t>/</w:t>
            </w:r>
          </w:p>
        </w:tc>
        <w:tc>
          <w:tcPr>
            <w:tcW w:w="491" w:type="pct"/>
            <w:shd w:val="clear" w:color="auto" w:fill="auto"/>
            <w:vAlign w:val="center"/>
          </w:tcPr>
          <w:p w14:paraId="3A3B1D08">
            <w:pPr>
              <w:jc w:val="center"/>
              <w:rPr>
                <w:rFonts w:ascii="宋体" w:hAnsi="宋体" w:eastAsia="宋体" w:cs="Times New Roman"/>
                <w:color w:val="auto"/>
              </w:rPr>
            </w:pPr>
            <w:r>
              <w:rPr>
                <w:rFonts w:ascii="宋体" w:hAnsi="宋体" w:eastAsia="宋体" w:cs="Times New Roman"/>
                <w:color w:val="auto"/>
              </w:rPr>
              <w:t>0</w:t>
            </w:r>
          </w:p>
        </w:tc>
        <w:tc>
          <w:tcPr>
            <w:tcW w:w="321" w:type="pct"/>
            <w:shd w:val="clear" w:color="auto" w:fill="auto"/>
            <w:vAlign w:val="center"/>
          </w:tcPr>
          <w:p w14:paraId="08D597D9">
            <w:pPr>
              <w:jc w:val="center"/>
              <w:rPr>
                <w:rFonts w:ascii="宋体" w:hAnsi="宋体" w:eastAsia="宋体" w:cs="Times New Roman"/>
                <w:color w:val="auto"/>
              </w:rPr>
            </w:pPr>
            <w:r>
              <w:rPr>
                <w:rFonts w:ascii="宋体" w:hAnsi="宋体" w:eastAsia="宋体" w:cs="Times New Roman"/>
                <w:color w:val="auto"/>
              </w:rPr>
              <w:t>0</w:t>
            </w:r>
          </w:p>
        </w:tc>
        <w:tc>
          <w:tcPr>
            <w:tcW w:w="460" w:type="pct"/>
            <w:shd w:val="clear" w:color="auto" w:fill="auto"/>
            <w:vAlign w:val="center"/>
          </w:tcPr>
          <w:p w14:paraId="052F0E71">
            <w:pPr>
              <w:jc w:val="center"/>
              <w:rPr>
                <w:rFonts w:ascii="宋体" w:hAnsi="宋体" w:eastAsia="宋体" w:cs="Times New Roman"/>
                <w:color w:val="auto"/>
              </w:rPr>
            </w:pPr>
            <w:r>
              <w:rPr>
                <w:rFonts w:ascii="宋体" w:hAnsi="宋体" w:eastAsia="宋体" w:cs="Times New Roman"/>
                <w:color w:val="auto"/>
              </w:rPr>
              <w:t>0</w:t>
            </w:r>
          </w:p>
        </w:tc>
      </w:tr>
    </w:tbl>
    <w:p w14:paraId="1C1C2603">
      <w:pPr>
        <w:spacing w:line="500" w:lineRule="exact"/>
        <w:ind w:firstLine="420" w:firstLineChars="200"/>
        <w:rPr>
          <w:rFonts w:ascii="宋体" w:hAnsi="宋体" w:eastAsia="宋体" w:cs="Times New Roman"/>
          <w:color w:val="auto"/>
          <w:kern w:val="21"/>
          <w:lang w:bidi="zh-CN"/>
        </w:rPr>
      </w:pPr>
      <w:r>
        <w:rPr>
          <w:rFonts w:ascii="宋体" w:hAnsi="宋体" w:eastAsia="宋体" w:cs="Times New Roman"/>
          <w:color w:val="auto"/>
          <w:kern w:val="21"/>
          <w:lang w:bidi="zh-CN"/>
        </w:rPr>
        <w:t>表4.2-2</w:t>
      </w:r>
      <w:r>
        <w:rPr>
          <w:rFonts w:hint="eastAsia" w:ascii="宋体" w:hAnsi="宋体" w:eastAsia="宋体" w:cs="Times New Roman"/>
          <w:color w:val="auto"/>
          <w:kern w:val="21"/>
          <w:lang w:bidi="zh-CN"/>
        </w:rPr>
        <w:t>2</w:t>
      </w:r>
      <w:r>
        <w:rPr>
          <w:rFonts w:ascii="宋体" w:hAnsi="宋体" w:eastAsia="宋体" w:cs="Times New Roman"/>
          <w:color w:val="auto"/>
          <w:kern w:val="21"/>
          <w:lang w:bidi="zh-CN"/>
        </w:rPr>
        <w:t xml:space="preserve"> 建设用地土壤现状监测结果统计分析情况一览表（</w:t>
      </w:r>
      <w:r>
        <w:rPr>
          <w:rFonts w:hint="eastAsia" w:ascii="宋体" w:hAnsi="宋体" w:eastAsia="宋体" w:cs="Times New Roman"/>
          <w:color w:val="auto"/>
          <w:kern w:val="21"/>
          <w:lang w:bidi="zh-CN"/>
        </w:rPr>
        <w:t>表层</w:t>
      </w:r>
      <w:r>
        <w:rPr>
          <w:rFonts w:ascii="宋体" w:hAnsi="宋体" w:eastAsia="宋体" w:cs="Times New Roman"/>
          <w:color w:val="auto"/>
          <w:kern w:val="21"/>
          <w:lang w:bidi="zh-CN"/>
        </w:rPr>
        <w:t>样）</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516"/>
        <w:gridCol w:w="1051"/>
        <w:gridCol w:w="1051"/>
        <w:gridCol w:w="940"/>
        <w:gridCol w:w="988"/>
        <w:gridCol w:w="988"/>
        <w:gridCol w:w="892"/>
        <w:gridCol w:w="576"/>
        <w:gridCol w:w="832"/>
      </w:tblGrid>
      <w:tr w14:paraId="68D6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44" w:type="pct"/>
            <w:shd w:val="clear" w:color="auto" w:fill="auto"/>
            <w:vAlign w:val="center"/>
          </w:tcPr>
          <w:p w14:paraId="7EEAF6F6">
            <w:pPr>
              <w:jc w:val="center"/>
              <w:rPr>
                <w:rFonts w:ascii="宋体" w:hAnsi="宋体" w:eastAsia="宋体" w:cs="Times New Roman"/>
                <w:color w:val="auto"/>
              </w:rPr>
            </w:pPr>
            <w:r>
              <w:rPr>
                <w:rFonts w:ascii="宋体" w:hAnsi="宋体" w:eastAsia="宋体" w:cs="Times New Roman"/>
                <w:color w:val="auto"/>
              </w:rPr>
              <w:t>序号</w:t>
            </w:r>
          </w:p>
        </w:tc>
        <w:tc>
          <w:tcPr>
            <w:tcW w:w="816" w:type="pct"/>
            <w:shd w:val="clear" w:color="auto" w:fill="auto"/>
            <w:vAlign w:val="center"/>
          </w:tcPr>
          <w:p w14:paraId="17112C36">
            <w:pPr>
              <w:jc w:val="center"/>
              <w:rPr>
                <w:rFonts w:ascii="宋体" w:hAnsi="宋体" w:eastAsia="宋体" w:cs="Times New Roman"/>
                <w:color w:val="auto"/>
              </w:rPr>
            </w:pPr>
            <w:r>
              <w:rPr>
                <w:rFonts w:ascii="宋体" w:hAnsi="宋体" w:eastAsia="宋体" w:cs="Times New Roman"/>
                <w:color w:val="auto"/>
              </w:rPr>
              <w:t>污染物</w:t>
            </w:r>
          </w:p>
        </w:tc>
        <w:tc>
          <w:tcPr>
            <w:tcW w:w="566" w:type="pct"/>
            <w:shd w:val="clear" w:color="auto" w:fill="auto"/>
            <w:vAlign w:val="center"/>
          </w:tcPr>
          <w:p w14:paraId="08D9DC60">
            <w:pPr>
              <w:jc w:val="center"/>
              <w:rPr>
                <w:rFonts w:ascii="宋体" w:hAnsi="宋体" w:eastAsia="宋体" w:cs="Times New Roman"/>
                <w:color w:val="auto"/>
              </w:rPr>
            </w:pPr>
            <w:r>
              <w:rPr>
                <w:rFonts w:ascii="宋体" w:hAnsi="宋体" w:eastAsia="宋体" w:cs="Times New Roman"/>
                <w:color w:val="auto"/>
              </w:rPr>
              <w:t>样品数</w:t>
            </w:r>
          </w:p>
        </w:tc>
        <w:tc>
          <w:tcPr>
            <w:tcW w:w="566" w:type="pct"/>
            <w:shd w:val="clear" w:color="auto" w:fill="auto"/>
            <w:vAlign w:val="center"/>
          </w:tcPr>
          <w:p w14:paraId="28E810AA">
            <w:pPr>
              <w:jc w:val="center"/>
              <w:rPr>
                <w:rFonts w:ascii="宋体" w:hAnsi="宋体" w:eastAsia="宋体" w:cs="Times New Roman"/>
                <w:color w:val="auto"/>
              </w:rPr>
            </w:pPr>
            <w:r>
              <w:rPr>
                <w:rFonts w:ascii="宋体" w:hAnsi="宋体" w:eastAsia="宋体" w:cs="Times New Roman"/>
                <w:color w:val="auto"/>
              </w:rPr>
              <w:t>最小值</w:t>
            </w:r>
          </w:p>
        </w:tc>
        <w:tc>
          <w:tcPr>
            <w:tcW w:w="506" w:type="pct"/>
            <w:shd w:val="clear" w:color="auto" w:fill="auto"/>
            <w:vAlign w:val="center"/>
          </w:tcPr>
          <w:p w14:paraId="69D40FAA">
            <w:pPr>
              <w:jc w:val="center"/>
              <w:rPr>
                <w:rFonts w:ascii="宋体" w:hAnsi="宋体" w:eastAsia="宋体" w:cs="Times New Roman"/>
                <w:color w:val="auto"/>
              </w:rPr>
            </w:pPr>
            <w:r>
              <w:rPr>
                <w:rFonts w:ascii="宋体" w:hAnsi="宋体" w:eastAsia="宋体" w:cs="Times New Roman"/>
                <w:color w:val="auto"/>
              </w:rPr>
              <w:t>最大值</w:t>
            </w:r>
          </w:p>
        </w:tc>
        <w:tc>
          <w:tcPr>
            <w:tcW w:w="532" w:type="pct"/>
            <w:shd w:val="clear" w:color="auto" w:fill="auto"/>
            <w:vAlign w:val="center"/>
          </w:tcPr>
          <w:p w14:paraId="0769D8A9">
            <w:pPr>
              <w:jc w:val="center"/>
              <w:rPr>
                <w:rFonts w:ascii="宋体" w:hAnsi="宋体" w:eastAsia="宋体" w:cs="Times New Roman"/>
                <w:color w:val="auto"/>
              </w:rPr>
            </w:pPr>
            <w:r>
              <w:rPr>
                <w:rFonts w:ascii="宋体" w:hAnsi="宋体" w:eastAsia="宋体" w:cs="Times New Roman"/>
                <w:color w:val="auto"/>
              </w:rPr>
              <w:t>均值</w:t>
            </w:r>
          </w:p>
        </w:tc>
        <w:tc>
          <w:tcPr>
            <w:tcW w:w="532" w:type="pct"/>
            <w:shd w:val="clear" w:color="auto" w:fill="auto"/>
            <w:vAlign w:val="center"/>
          </w:tcPr>
          <w:p w14:paraId="02A96E17">
            <w:pPr>
              <w:jc w:val="center"/>
              <w:rPr>
                <w:rFonts w:ascii="宋体" w:hAnsi="宋体" w:eastAsia="宋体" w:cs="Times New Roman"/>
                <w:color w:val="auto"/>
              </w:rPr>
            </w:pPr>
            <w:r>
              <w:rPr>
                <w:rFonts w:ascii="宋体" w:hAnsi="宋体" w:eastAsia="宋体" w:cs="Times New Roman"/>
                <w:color w:val="auto"/>
              </w:rPr>
              <w:t>标准差</w:t>
            </w:r>
          </w:p>
        </w:tc>
        <w:tc>
          <w:tcPr>
            <w:tcW w:w="480" w:type="pct"/>
            <w:shd w:val="clear" w:color="auto" w:fill="auto"/>
            <w:vAlign w:val="center"/>
          </w:tcPr>
          <w:p w14:paraId="38F11FA7">
            <w:pPr>
              <w:jc w:val="center"/>
              <w:rPr>
                <w:rFonts w:ascii="宋体" w:hAnsi="宋体" w:eastAsia="宋体" w:cs="Times New Roman"/>
                <w:color w:val="auto"/>
              </w:rPr>
            </w:pPr>
            <w:r>
              <w:rPr>
                <w:rFonts w:ascii="宋体" w:hAnsi="宋体" w:eastAsia="宋体" w:cs="Times New Roman"/>
                <w:color w:val="auto"/>
              </w:rPr>
              <w:t>检出率%</w:t>
            </w:r>
          </w:p>
        </w:tc>
        <w:tc>
          <w:tcPr>
            <w:tcW w:w="310" w:type="pct"/>
            <w:shd w:val="clear" w:color="auto" w:fill="auto"/>
            <w:vAlign w:val="center"/>
          </w:tcPr>
          <w:p w14:paraId="15582576">
            <w:pPr>
              <w:jc w:val="center"/>
              <w:rPr>
                <w:rFonts w:ascii="宋体" w:hAnsi="宋体" w:eastAsia="宋体" w:cs="Times New Roman"/>
                <w:color w:val="auto"/>
              </w:rPr>
            </w:pPr>
            <w:r>
              <w:rPr>
                <w:rFonts w:ascii="宋体" w:hAnsi="宋体" w:eastAsia="宋体" w:cs="Times New Roman"/>
                <w:color w:val="auto"/>
              </w:rPr>
              <w:t>超标率</w:t>
            </w:r>
          </w:p>
        </w:tc>
        <w:tc>
          <w:tcPr>
            <w:tcW w:w="449" w:type="pct"/>
            <w:shd w:val="clear" w:color="auto" w:fill="auto"/>
            <w:vAlign w:val="center"/>
          </w:tcPr>
          <w:p w14:paraId="71A1D789">
            <w:pPr>
              <w:jc w:val="center"/>
              <w:rPr>
                <w:rFonts w:ascii="宋体" w:hAnsi="宋体" w:eastAsia="宋体" w:cs="Times New Roman"/>
                <w:color w:val="auto"/>
              </w:rPr>
            </w:pPr>
            <w:r>
              <w:rPr>
                <w:rFonts w:ascii="宋体" w:hAnsi="宋体" w:eastAsia="宋体" w:cs="Times New Roman"/>
                <w:color w:val="auto"/>
              </w:rPr>
              <w:t>最大超标倍数</w:t>
            </w:r>
          </w:p>
        </w:tc>
      </w:tr>
      <w:tr w14:paraId="61C5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0CFA9EF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816" w:type="pct"/>
            <w:shd w:val="clear" w:color="auto" w:fill="auto"/>
            <w:vAlign w:val="center"/>
          </w:tcPr>
          <w:p w14:paraId="05B2676B">
            <w:pPr>
              <w:adjustRightInd w:val="0"/>
              <w:snapToGrid w:val="0"/>
              <w:jc w:val="center"/>
              <w:rPr>
                <w:rFonts w:ascii="宋体" w:hAnsi="宋体" w:eastAsia="宋体" w:cs="Times New Roman"/>
                <w:color w:val="auto"/>
              </w:rPr>
            </w:pPr>
            <w:r>
              <w:rPr>
                <w:rFonts w:ascii="宋体" w:hAnsi="宋体" w:eastAsia="宋体" w:cs="Times New Roman"/>
                <w:color w:val="auto"/>
              </w:rPr>
              <w:t>pH</w:t>
            </w:r>
          </w:p>
        </w:tc>
        <w:tc>
          <w:tcPr>
            <w:tcW w:w="566" w:type="pct"/>
            <w:shd w:val="clear" w:color="auto" w:fill="auto"/>
            <w:vAlign w:val="center"/>
          </w:tcPr>
          <w:p w14:paraId="283631FD">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422880A4">
            <w:pPr>
              <w:jc w:val="center"/>
              <w:rPr>
                <w:rFonts w:ascii="宋体" w:hAnsi="宋体" w:eastAsia="宋体" w:cs="Times New Roman"/>
                <w:color w:val="auto"/>
              </w:rPr>
            </w:pPr>
            <w:r>
              <w:rPr>
                <w:rFonts w:ascii="宋体" w:hAnsi="宋体" w:eastAsia="宋体" w:cs="Times New Roman"/>
                <w:color w:val="auto"/>
                <w:lang w:bidi="ar"/>
              </w:rPr>
              <w:t>7.73</w:t>
            </w:r>
          </w:p>
        </w:tc>
        <w:tc>
          <w:tcPr>
            <w:tcW w:w="506" w:type="pct"/>
            <w:shd w:val="clear" w:color="auto" w:fill="auto"/>
            <w:vAlign w:val="center"/>
          </w:tcPr>
          <w:p w14:paraId="26DBE33B">
            <w:pPr>
              <w:jc w:val="center"/>
              <w:rPr>
                <w:rFonts w:ascii="宋体" w:hAnsi="宋体" w:eastAsia="宋体" w:cs="Times New Roman"/>
                <w:color w:val="auto"/>
              </w:rPr>
            </w:pPr>
            <w:r>
              <w:rPr>
                <w:rFonts w:ascii="宋体" w:hAnsi="宋体" w:eastAsia="宋体" w:cs="Times New Roman"/>
                <w:color w:val="auto"/>
                <w:lang w:bidi="ar"/>
              </w:rPr>
              <w:t>8.11</w:t>
            </w:r>
          </w:p>
        </w:tc>
        <w:tc>
          <w:tcPr>
            <w:tcW w:w="532" w:type="pct"/>
            <w:shd w:val="clear" w:color="auto" w:fill="auto"/>
            <w:vAlign w:val="center"/>
          </w:tcPr>
          <w:p w14:paraId="5CA90521">
            <w:pPr>
              <w:jc w:val="center"/>
              <w:rPr>
                <w:rFonts w:ascii="宋体" w:hAnsi="宋体" w:eastAsia="宋体" w:cs="Times New Roman"/>
                <w:color w:val="auto"/>
              </w:rPr>
            </w:pPr>
            <w:r>
              <w:rPr>
                <w:rFonts w:ascii="宋体" w:hAnsi="宋体" w:eastAsia="宋体" w:cs="Times New Roman"/>
                <w:color w:val="auto"/>
                <w:lang w:bidi="ar"/>
              </w:rPr>
              <w:t xml:space="preserve">7.91 </w:t>
            </w:r>
          </w:p>
        </w:tc>
        <w:tc>
          <w:tcPr>
            <w:tcW w:w="532" w:type="pct"/>
            <w:shd w:val="clear" w:color="auto" w:fill="auto"/>
            <w:vAlign w:val="center"/>
          </w:tcPr>
          <w:p w14:paraId="5B36B3C1">
            <w:pPr>
              <w:jc w:val="center"/>
              <w:rPr>
                <w:rFonts w:ascii="宋体" w:hAnsi="宋体" w:eastAsia="宋体" w:cs="Times New Roman"/>
                <w:color w:val="auto"/>
              </w:rPr>
            </w:pPr>
            <w:r>
              <w:rPr>
                <w:rFonts w:ascii="宋体" w:hAnsi="宋体" w:eastAsia="宋体" w:cs="Times New Roman"/>
                <w:color w:val="auto"/>
                <w:lang w:bidi="ar"/>
              </w:rPr>
              <w:t xml:space="preserve">0.19 </w:t>
            </w:r>
          </w:p>
        </w:tc>
        <w:tc>
          <w:tcPr>
            <w:tcW w:w="480" w:type="pct"/>
            <w:shd w:val="clear" w:color="auto" w:fill="auto"/>
            <w:vAlign w:val="center"/>
          </w:tcPr>
          <w:p w14:paraId="5C9ADB1D">
            <w:pPr>
              <w:jc w:val="center"/>
              <w:rPr>
                <w:rFonts w:ascii="宋体" w:hAnsi="宋体" w:eastAsia="宋体" w:cs="Times New Roman"/>
                <w:color w:val="auto"/>
              </w:rPr>
            </w:pPr>
            <w:r>
              <w:rPr>
                <w:rFonts w:ascii="宋体" w:hAnsi="宋体" w:eastAsia="宋体" w:cs="Times New Roman"/>
                <w:color w:val="auto"/>
              </w:rPr>
              <w:t>100</w:t>
            </w:r>
          </w:p>
        </w:tc>
        <w:tc>
          <w:tcPr>
            <w:tcW w:w="310" w:type="pct"/>
            <w:shd w:val="clear" w:color="auto" w:fill="auto"/>
            <w:vAlign w:val="center"/>
          </w:tcPr>
          <w:p w14:paraId="3BD4C5DF">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6CB7C9C9">
            <w:pPr>
              <w:jc w:val="center"/>
              <w:rPr>
                <w:rFonts w:ascii="宋体" w:hAnsi="宋体" w:eastAsia="宋体" w:cs="Times New Roman"/>
                <w:color w:val="auto"/>
              </w:rPr>
            </w:pPr>
            <w:r>
              <w:rPr>
                <w:rFonts w:ascii="宋体" w:hAnsi="宋体" w:eastAsia="宋体" w:cs="Times New Roman"/>
                <w:color w:val="auto"/>
              </w:rPr>
              <w:t>0</w:t>
            </w:r>
          </w:p>
        </w:tc>
      </w:tr>
      <w:tr w14:paraId="65C3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606ACEB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816" w:type="pct"/>
            <w:shd w:val="clear" w:color="auto" w:fill="auto"/>
            <w:vAlign w:val="center"/>
          </w:tcPr>
          <w:p w14:paraId="7C892814">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镉（Cd）</w:t>
            </w:r>
          </w:p>
        </w:tc>
        <w:tc>
          <w:tcPr>
            <w:tcW w:w="566" w:type="pct"/>
            <w:shd w:val="clear" w:color="auto" w:fill="auto"/>
            <w:vAlign w:val="center"/>
          </w:tcPr>
          <w:p w14:paraId="34D39328">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33C1442B">
            <w:pPr>
              <w:jc w:val="center"/>
              <w:rPr>
                <w:rFonts w:ascii="宋体" w:hAnsi="宋体" w:eastAsia="宋体" w:cs="Times New Roman"/>
                <w:color w:val="auto"/>
              </w:rPr>
            </w:pPr>
            <w:r>
              <w:rPr>
                <w:rFonts w:ascii="宋体" w:hAnsi="宋体" w:eastAsia="宋体" w:cs="Times New Roman"/>
                <w:color w:val="auto"/>
                <w:lang w:bidi="ar"/>
              </w:rPr>
              <w:t>0.07</w:t>
            </w:r>
          </w:p>
        </w:tc>
        <w:tc>
          <w:tcPr>
            <w:tcW w:w="506" w:type="pct"/>
            <w:shd w:val="clear" w:color="auto" w:fill="auto"/>
            <w:vAlign w:val="center"/>
          </w:tcPr>
          <w:p w14:paraId="1860E8E9">
            <w:pPr>
              <w:jc w:val="center"/>
              <w:rPr>
                <w:rFonts w:ascii="宋体" w:hAnsi="宋体" w:eastAsia="宋体" w:cs="Times New Roman"/>
                <w:color w:val="auto"/>
              </w:rPr>
            </w:pPr>
            <w:r>
              <w:rPr>
                <w:rFonts w:ascii="宋体" w:hAnsi="宋体" w:eastAsia="宋体" w:cs="Times New Roman"/>
                <w:color w:val="auto"/>
                <w:lang w:bidi="ar"/>
              </w:rPr>
              <w:t>0.09</w:t>
            </w:r>
          </w:p>
        </w:tc>
        <w:tc>
          <w:tcPr>
            <w:tcW w:w="532" w:type="pct"/>
            <w:shd w:val="clear" w:color="auto" w:fill="auto"/>
            <w:vAlign w:val="center"/>
          </w:tcPr>
          <w:p w14:paraId="58D3EA77">
            <w:pPr>
              <w:jc w:val="center"/>
              <w:rPr>
                <w:rFonts w:ascii="宋体" w:hAnsi="宋体" w:eastAsia="宋体" w:cs="Times New Roman"/>
                <w:color w:val="auto"/>
              </w:rPr>
            </w:pPr>
            <w:r>
              <w:rPr>
                <w:rFonts w:ascii="宋体" w:hAnsi="宋体" w:eastAsia="宋体" w:cs="Times New Roman"/>
                <w:color w:val="auto"/>
                <w:lang w:bidi="ar"/>
              </w:rPr>
              <w:t xml:space="preserve">0.08 </w:t>
            </w:r>
          </w:p>
        </w:tc>
        <w:tc>
          <w:tcPr>
            <w:tcW w:w="532" w:type="pct"/>
            <w:shd w:val="clear" w:color="auto" w:fill="auto"/>
            <w:vAlign w:val="center"/>
          </w:tcPr>
          <w:p w14:paraId="54D6BD6F">
            <w:pPr>
              <w:jc w:val="center"/>
              <w:rPr>
                <w:rFonts w:ascii="宋体" w:hAnsi="宋体" w:eastAsia="宋体" w:cs="Times New Roman"/>
                <w:color w:val="auto"/>
              </w:rPr>
            </w:pPr>
            <w:r>
              <w:rPr>
                <w:rFonts w:ascii="宋体" w:hAnsi="宋体" w:eastAsia="宋体" w:cs="Times New Roman"/>
                <w:color w:val="auto"/>
                <w:lang w:bidi="ar"/>
              </w:rPr>
              <w:t xml:space="preserve">0.01 </w:t>
            </w:r>
          </w:p>
        </w:tc>
        <w:tc>
          <w:tcPr>
            <w:tcW w:w="480" w:type="pct"/>
            <w:shd w:val="clear" w:color="auto" w:fill="auto"/>
            <w:vAlign w:val="center"/>
          </w:tcPr>
          <w:p w14:paraId="4D2E1BDF">
            <w:pPr>
              <w:jc w:val="center"/>
              <w:rPr>
                <w:rFonts w:ascii="宋体" w:hAnsi="宋体" w:eastAsia="宋体" w:cs="Times New Roman"/>
                <w:color w:val="auto"/>
              </w:rPr>
            </w:pPr>
            <w:r>
              <w:rPr>
                <w:rFonts w:ascii="宋体" w:hAnsi="宋体" w:eastAsia="宋体" w:cs="Times New Roman"/>
                <w:color w:val="auto"/>
              </w:rPr>
              <w:t>100</w:t>
            </w:r>
          </w:p>
        </w:tc>
        <w:tc>
          <w:tcPr>
            <w:tcW w:w="310" w:type="pct"/>
            <w:shd w:val="clear" w:color="auto" w:fill="auto"/>
            <w:vAlign w:val="center"/>
          </w:tcPr>
          <w:p w14:paraId="7CF01DF6">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22BA7269">
            <w:pPr>
              <w:jc w:val="center"/>
              <w:rPr>
                <w:rFonts w:ascii="宋体" w:hAnsi="宋体" w:eastAsia="宋体" w:cs="Times New Roman"/>
                <w:color w:val="auto"/>
              </w:rPr>
            </w:pPr>
            <w:r>
              <w:rPr>
                <w:rFonts w:ascii="宋体" w:hAnsi="宋体" w:eastAsia="宋体" w:cs="Times New Roman"/>
                <w:color w:val="auto"/>
              </w:rPr>
              <w:t>0</w:t>
            </w:r>
          </w:p>
        </w:tc>
      </w:tr>
      <w:tr w14:paraId="7169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284F1A1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816" w:type="pct"/>
            <w:shd w:val="clear" w:color="auto" w:fill="auto"/>
            <w:vAlign w:val="center"/>
          </w:tcPr>
          <w:p w14:paraId="7DA93660">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汞（Hg）</w:t>
            </w:r>
          </w:p>
        </w:tc>
        <w:tc>
          <w:tcPr>
            <w:tcW w:w="566" w:type="pct"/>
            <w:shd w:val="clear" w:color="auto" w:fill="auto"/>
            <w:vAlign w:val="center"/>
          </w:tcPr>
          <w:p w14:paraId="5F980665">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663A44E7">
            <w:pPr>
              <w:jc w:val="center"/>
              <w:rPr>
                <w:rFonts w:ascii="宋体" w:hAnsi="宋体" w:eastAsia="宋体" w:cs="Times New Roman"/>
                <w:color w:val="auto"/>
              </w:rPr>
            </w:pPr>
            <w:r>
              <w:rPr>
                <w:rFonts w:ascii="宋体" w:hAnsi="宋体" w:eastAsia="宋体" w:cs="Times New Roman"/>
                <w:color w:val="auto"/>
                <w:lang w:bidi="ar"/>
              </w:rPr>
              <w:t>0.015</w:t>
            </w:r>
          </w:p>
        </w:tc>
        <w:tc>
          <w:tcPr>
            <w:tcW w:w="506" w:type="pct"/>
            <w:shd w:val="clear" w:color="auto" w:fill="auto"/>
            <w:vAlign w:val="center"/>
          </w:tcPr>
          <w:p w14:paraId="6472478E">
            <w:pPr>
              <w:jc w:val="center"/>
              <w:rPr>
                <w:rFonts w:ascii="宋体" w:hAnsi="宋体" w:eastAsia="宋体" w:cs="Times New Roman"/>
                <w:color w:val="auto"/>
              </w:rPr>
            </w:pPr>
            <w:r>
              <w:rPr>
                <w:rFonts w:ascii="宋体" w:hAnsi="宋体" w:eastAsia="宋体" w:cs="Times New Roman"/>
                <w:color w:val="auto"/>
                <w:lang w:bidi="ar"/>
              </w:rPr>
              <w:t>0.018</w:t>
            </w:r>
          </w:p>
        </w:tc>
        <w:tc>
          <w:tcPr>
            <w:tcW w:w="532" w:type="pct"/>
            <w:shd w:val="clear" w:color="auto" w:fill="auto"/>
            <w:vAlign w:val="center"/>
          </w:tcPr>
          <w:p w14:paraId="0F2FF32C">
            <w:pPr>
              <w:jc w:val="center"/>
              <w:rPr>
                <w:rFonts w:ascii="宋体" w:hAnsi="宋体" w:eastAsia="宋体" w:cs="Times New Roman"/>
                <w:color w:val="auto"/>
              </w:rPr>
            </w:pPr>
            <w:r>
              <w:rPr>
                <w:rFonts w:ascii="宋体" w:hAnsi="宋体" w:eastAsia="宋体" w:cs="Times New Roman"/>
                <w:color w:val="auto"/>
                <w:lang w:bidi="ar"/>
              </w:rPr>
              <w:t xml:space="preserve">0.02 </w:t>
            </w:r>
          </w:p>
        </w:tc>
        <w:tc>
          <w:tcPr>
            <w:tcW w:w="532" w:type="pct"/>
            <w:shd w:val="clear" w:color="auto" w:fill="auto"/>
            <w:vAlign w:val="center"/>
          </w:tcPr>
          <w:p w14:paraId="3D9097A1">
            <w:pPr>
              <w:jc w:val="center"/>
              <w:rPr>
                <w:rFonts w:ascii="宋体" w:hAnsi="宋体" w:eastAsia="宋体" w:cs="Times New Roman"/>
                <w:color w:val="auto"/>
              </w:rPr>
            </w:pPr>
            <w:r>
              <w:rPr>
                <w:rFonts w:ascii="宋体" w:hAnsi="宋体" w:eastAsia="宋体" w:cs="Times New Roman"/>
                <w:color w:val="auto"/>
                <w:lang w:bidi="ar"/>
              </w:rPr>
              <w:t xml:space="preserve">0.00 </w:t>
            </w:r>
          </w:p>
        </w:tc>
        <w:tc>
          <w:tcPr>
            <w:tcW w:w="480" w:type="pct"/>
            <w:shd w:val="clear" w:color="auto" w:fill="auto"/>
            <w:vAlign w:val="center"/>
          </w:tcPr>
          <w:p w14:paraId="6F15E19D">
            <w:pPr>
              <w:jc w:val="center"/>
              <w:rPr>
                <w:rFonts w:ascii="宋体" w:hAnsi="宋体" w:eastAsia="宋体" w:cs="Times New Roman"/>
                <w:color w:val="auto"/>
              </w:rPr>
            </w:pPr>
            <w:r>
              <w:rPr>
                <w:rFonts w:ascii="宋体" w:hAnsi="宋体" w:eastAsia="宋体" w:cs="Times New Roman"/>
                <w:color w:val="auto"/>
              </w:rPr>
              <w:t>100</w:t>
            </w:r>
          </w:p>
        </w:tc>
        <w:tc>
          <w:tcPr>
            <w:tcW w:w="310" w:type="pct"/>
            <w:shd w:val="clear" w:color="auto" w:fill="auto"/>
            <w:vAlign w:val="center"/>
          </w:tcPr>
          <w:p w14:paraId="357D33FB">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1F3FE60C">
            <w:pPr>
              <w:jc w:val="center"/>
              <w:rPr>
                <w:rFonts w:ascii="宋体" w:hAnsi="宋体" w:eastAsia="宋体" w:cs="Times New Roman"/>
                <w:color w:val="auto"/>
              </w:rPr>
            </w:pPr>
            <w:r>
              <w:rPr>
                <w:rFonts w:ascii="宋体" w:hAnsi="宋体" w:eastAsia="宋体" w:cs="Times New Roman"/>
                <w:color w:val="auto"/>
              </w:rPr>
              <w:t>0</w:t>
            </w:r>
          </w:p>
        </w:tc>
      </w:tr>
      <w:tr w14:paraId="19F7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6A13109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816" w:type="pct"/>
            <w:shd w:val="clear" w:color="auto" w:fill="auto"/>
            <w:vAlign w:val="center"/>
          </w:tcPr>
          <w:p w14:paraId="786FA0E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砷（As）</w:t>
            </w:r>
          </w:p>
        </w:tc>
        <w:tc>
          <w:tcPr>
            <w:tcW w:w="566" w:type="pct"/>
            <w:shd w:val="clear" w:color="auto" w:fill="auto"/>
            <w:vAlign w:val="center"/>
          </w:tcPr>
          <w:p w14:paraId="6D7CC563">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66AD5063">
            <w:pPr>
              <w:jc w:val="center"/>
              <w:rPr>
                <w:rFonts w:ascii="宋体" w:hAnsi="宋体" w:eastAsia="宋体" w:cs="Times New Roman"/>
                <w:color w:val="auto"/>
              </w:rPr>
            </w:pPr>
            <w:r>
              <w:rPr>
                <w:rFonts w:ascii="宋体" w:hAnsi="宋体" w:eastAsia="宋体" w:cs="Times New Roman"/>
                <w:color w:val="auto"/>
                <w:lang w:bidi="ar"/>
              </w:rPr>
              <w:t>3.28</w:t>
            </w:r>
          </w:p>
        </w:tc>
        <w:tc>
          <w:tcPr>
            <w:tcW w:w="506" w:type="pct"/>
            <w:shd w:val="clear" w:color="auto" w:fill="auto"/>
            <w:vAlign w:val="center"/>
          </w:tcPr>
          <w:p w14:paraId="21F1D5AF">
            <w:pPr>
              <w:jc w:val="center"/>
              <w:rPr>
                <w:rFonts w:ascii="宋体" w:hAnsi="宋体" w:eastAsia="宋体" w:cs="Times New Roman"/>
                <w:color w:val="auto"/>
              </w:rPr>
            </w:pPr>
            <w:r>
              <w:rPr>
                <w:rFonts w:ascii="宋体" w:hAnsi="宋体" w:eastAsia="宋体" w:cs="Times New Roman"/>
                <w:color w:val="auto"/>
                <w:lang w:bidi="ar"/>
              </w:rPr>
              <w:t>3.37</w:t>
            </w:r>
          </w:p>
        </w:tc>
        <w:tc>
          <w:tcPr>
            <w:tcW w:w="532" w:type="pct"/>
            <w:shd w:val="clear" w:color="auto" w:fill="auto"/>
            <w:vAlign w:val="center"/>
          </w:tcPr>
          <w:p w14:paraId="559F6DBE">
            <w:pPr>
              <w:jc w:val="center"/>
              <w:rPr>
                <w:rFonts w:ascii="宋体" w:hAnsi="宋体" w:eastAsia="宋体" w:cs="Times New Roman"/>
                <w:color w:val="auto"/>
              </w:rPr>
            </w:pPr>
            <w:r>
              <w:rPr>
                <w:rFonts w:ascii="宋体" w:hAnsi="宋体" w:eastAsia="宋体" w:cs="Times New Roman"/>
                <w:color w:val="auto"/>
                <w:lang w:bidi="ar"/>
              </w:rPr>
              <w:t xml:space="preserve">3.33 </w:t>
            </w:r>
          </w:p>
        </w:tc>
        <w:tc>
          <w:tcPr>
            <w:tcW w:w="532" w:type="pct"/>
            <w:shd w:val="clear" w:color="auto" w:fill="auto"/>
            <w:vAlign w:val="center"/>
          </w:tcPr>
          <w:p w14:paraId="604203B0">
            <w:pPr>
              <w:jc w:val="center"/>
              <w:rPr>
                <w:rFonts w:ascii="宋体" w:hAnsi="宋体" w:eastAsia="宋体" w:cs="Times New Roman"/>
                <w:color w:val="auto"/>
              </w:rPr>
            </w:pPr>
            <w:r>
              <w:rPr>
                <w:rFonts w:ascii="宋体" w:hAnsi="宋体" w:eastAsia="宋体" w:cs="Times New Roman"/>
                <w:color w:val="auto"/>
                <w:lang w:bidi="ar"/>
              </w:rPr>
              <w:t xml:space="preserve">0.05 </w:t>
            </w:r>
          </w:p>
        </w:tc>
        <w:tc>
          <w:tcPr>
            <w:tcW w:w="480" w:type="pct"/>
            <w:shd w:val="clear" w:color="auto" w:fill="auto"/>
            <w:vAlign w:val="center"/>
          </w:tcPr>
          <w:p w14:paraId="5F9465D4">
            <w:pPr>
              <w:jc w:val="center"/>
              <w:rPr>
                <w:rFonts w:ascii="宋体" w:hAnsi="宋体" w:eastAsia="宋体" w:cs="Times New Roman"/>
                <w:color w:val="auto"/>
              </w:rPr>
            </w:pPr>
            <w:r>
              <w:rPr>
                <w:rFonts w:ascii="宋体" w:hAnsi="宋体" w:eastAsia="宋体" w:cs="Times New Roman"/>
                <w:color w:val="auto"/>
              </w:rPr>
              <w:t>100</w:t>
            </w:r>
          </w:p>
        </w:tc>
        <w:tc>
          <w:tcPr>
            <w:tcW w:w="310" w:type="pct"/>
            <w:shd w:val="clear" w:color="auto" w:fill="auto"/>
            <w:vAlign w:val="center"/>
          </w:tcPr>
          <w:p w14:paraId="5B136F9F">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13AE1F66">
            <w:pPr>
              <w:jc w:val="center"/>
              <w:rPr>
                <w:rFonts w:ascii="宋体" w:hAnsi="宋体" w:eastAsia="宋体" w:cs="Times New Roman"/>
                <w:color w:val="auto"/>
              </w:rPr>
            </w:pPr>
            <w:r>
              <w:rPr>
                <w:rFonts w:ascii="宋体" w:hAnsi="宋体" w:eastAsia="宋体" w:cs="Times New Roman"/>
                <w:color w:val="auto"/>
              </w:rPr>
              <w:t>0</w:t>
            </w:r>
          </w:p>
        </w:tc>
      </w:tr>
      <w:tr w14:paraId="7E1F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3FD6B8D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816" w:type="pct"/>
            <w:shd w:val="clear" w:color="auto" w:fill="auto"/>
            <w:vAlign w:val="center"/>
          </w:tcPr>
          <w:p w14:paraId="2B7E51F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铅（Pb）</w:t>
            </w:r>
          </w:p>
        </w:tc>
        <w:tc>
          <w:tcPr>
            <w:tcW w:w="566" w:type="pct"/>
            <w:shd w:val="clear" w:color="auto" w:fill="auto"/>
            <w:vAlign w:val="center"/>
          </w:tcPr>
          <w:p w14:paraId="281A8715">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1CBD0620">
            <w:pPr>
              <w:jc w:val="center"/>
              <w:rPr>
                <w:rFonts w:ascii="宋体" w:hAnsi="宋体" w:eastAsia="宋体" w:cs="Times New Roman"/>
                <w:color w:val="auto"/>
              </w:rPr>
            </w:pPr>
            <w:r>
              <w:rPr>
                <w:rFonts w:ascii="宋体" w:hAnsi="宋体" w:eastAsia="宋体" w:cs="Times New Roman"/>
                <w:color w:val="auto"/>
                <w:lang w:bidi="ar"/>
              </w:rPr>
              <w:t>15</w:t>
            </w:r>
          </w:p>
        </w:tc>
        <w:tc>
          <w:tcPr>
            <w:tcW w:w="506" w:type="pct"/>
            <w:shd w:val="clear" w:color="auto" w:fill="auto"/>
            <w:vAlign w:val="center"/>
          </w:tcPr>
          <w:p w14:paraId="1AA0B6C5">
            <w:pPr>
              <w:jc w:val="center"/>
              <w:rPr>
                <w:rFonts w:ascii="宋体" w:hAnsi="宋体" w:eastAsia="宋体" w:cs="Times New Roman"/>
                <w:color w:val="auto"/>
              </w:rPr>
            </w:pPr>
            <w:r>
              <w:rPr>
                <w:rFonts w:ascii="宋体" w:hAnsi="宋体" w:eastAsia="宋体" w:cs="Times New Roman"/>
                <w:color w:val="auto"/>
                <w:lang w:bidi="ar"/>
              </w:rPr>
              <w:t>19</w:t>
            </w:r>
          </w:p>
        </w:tc>
        <w:tc>
          <w:tcPr>
            <w:tcW w:w="532" w:type="pct"/>
            <w:shd w:val="clear" w:color="auto" w:fill="auto"/>
            <w:vAlign w:val="center"/>
          </w:tcPr>
          <w:p w14:paraId="22905F70">
            <w:pPr>
              <w:jc w:val="center"/>
              <w:rPr>
                <w:rFonts w:ascii="宋体" w:hAnsi="宋体" w:eastAsia="宋体" w:cs="Times New Roman"/>
                <w:color w:val="auto"/>
              </w:rPr>
            </w:pPr>
            <w:r>
              <w:rPr>
                <w:rFonts w:ascii="宋体" w:hAnsi="宋体" w:eastAsia="宋体" w:cs="Times New Roman"/>
                <w:color w:val="auto"/>
                <w:lang w:bidi="ar"/>
              </w:rPr>
              <w:t xml:space="preserve">17.00 </w:t>
            </w:r>
          </w:p>
        </w:tc>
        <w:tc>
          <w:tcPr>
            <w:tcW w:w="532" w:type="pct"/>
            <w:shd w:val="clear" w:color="auto" w:fill="auto"/>
            <w:vAlign w:val="center"/>
          </w:tcPr>
          <w:p w14:paraId="17AA0430">
            <w:pPr>
              <w:jc w:val="center"/>
              <w:rPr>
                <w:rFonts w:ascii="宋体" w:hAnsi="宋体" w:eastAsia="宋体" w:cs="Times New Roman"/>
                <w:color w:val="auto"/>
              </w:rPr>
            </w:pPr>
            <w:r>
              <w:rPr>
                <w:rFonts w:ascii="宋体" w:hAnsi="宋体" w:eastAsia="宋体" w:cs="Times New Roman"/>
                <w:color w:val="auto"/>
                <w:lang w:bidi="ar"/>
              </w:rPr>
              <w:t xml:space="preserve">2.00 </w:t>
            </w:r>
          </w:p>
        </w:tc>
        <w:tc>
          <w:tcPr>
            <w:tcW w:w="480" w:type="pct"/>
            <w:shd w:val="clear" w:color="auto" w:fill="auto"/>
            <w:vAlign w:val="center"/>
          </w:tcPr>
          <w:p w14:paraId="706F5743">
            <w:pPr>
              <w:jc w:val="center"/>
              <w:rPr>
                <w:rFonts w:ascii="宋体" w:hAnsi="宋体" w:eastAsia="宋体" w:cs="Times New Roman"/>
                <w:color w:val="auto"/>
              </w:rPr>
            </w:pPr>
            <w:r>
              <w:rPr>
                <w:rFonts w:ascii="宋体" w:hAnsi="宋体" w:eastAsia="宋体" w:cs="Times New Roman"/>
                <w:color w:val="auto"/>
              </w:rPr>
              <w:t>100</w:t>
            </w:r>
          </w:p>
        </w:tc>
        <w:tc>
          <w:tcPr>
            <w:tcW w:w="310" w:type="pct"/>
            <w:shd w:val="clear" w:color="auto" w:fill="auto"/>
            <w:vAlign w:val="center"/>
          </w:tcPr>
          <w:p w14:paraId="7A739D86">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406F0502">
            <w:pPr>
              <w:jc w:val="center"/>
              <w:rPr>
                <w:rFonts w:ascii="宋体" w:hAnsi="宋体" w:eastAsia="宋体" w:cs="Times New Roman"/>
                <w:color w:val="auto"/>
              </w:rPr>
            </w:pPr>
            <w:r>
              <w:rPr>
                <w:rFonts w:ascii="宋体" w:hAnsi="宋体" w:eastAsia="宋体" w:cs="Times New Roman"/>
                <w:color w:val="auto"/>
              </w:rPr>
              <w:t>0</w:t>
            </w:r>
          </w:p>
        </w:tc>
      </w:tr>
      <w:tr w14:paraId="060C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2872697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816" w:type="pct"/>
            <w:shd w:val="clear" w:color="auto" w:fill="auto"/>
            <w:vAlign w:val="center"/>
          </w:tcPr>
          <w:p w14:paraId="4845C7BC">
            <w:pPr>
              <w:adjustRightInd w:val="0"/>
              <w:snapToGrid w:val="0"/>
              <w:jc w:val="center"/>
              <w:rPr>
                <w:rFonts w:ascii="宋体" w:hAnsi="宋体" w:eastAsia="宋体" w:cs="Times New Roman"/>
                <w:snapToGrid w:val="0"/>
                <w:color w:val="auto"/>
              </w:rPr>
            </w:pPr>
            <w:r>
              <w:rPr>
                <w:rFonts w:ascii="宋体" w:hAnsi="宋体" w:eastAsia="宋体" w:cs="Times New Roman"/>
                <w:color w:val="auto"/>
              </w:rPr>
              <w:t>铬（Cr）</w:t>
            </w:r>
          </w:p>
        </w:tc>
        <w:tc>
          <w:tcPr>
            <w:tcW w:w="566" w:type="pct"/>
            <w:shd w:val="clear" w:color="auto" w:fill="auto"/>
            <w:vAlign w:val="center"/>
          </w:tcPr>
          <w:p w14:paraId="380C63A5">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4E577D71">
            <w:pPr>
              <w:jc w:val="center"/>
              <w:rPr>
                <w:rFonts w:ascii="宋体" w:hAnsi="宋体" w:eastAsia="宋体" w:cs="Times New Roman"/>
                <w:color w:val="auto"/>
              </w:rPr>
            </w:pPr>
            <w:r>
              <w:rPr>
                <w:rFonts w:ascii="宋体" w:hAnsi="宋体" w:eastAsia="宋体" w:cs="Times New Roman"/>
                <w:color w:val="auto"/>
                <w:lang w:bidi="ar"/>
              </w:rPr>
              <w:t>46</w:t>
            </w:r>
          </w:p>
        </w:tc>
        <w:tc>
          <w:tcPr>
            <w:tcW w:w="506" w:type="pct"/>
            <w:shd w:val="clear" w:color="auto" w:fill="auto"/>
            <w:vAlign w:val="center"/>
          </w:tcPr>
          <w:p w14:paraId="0D74435A">
            <w:pPr>
              <w:jc w:val="center"/>
              <w:rPr>
                <w:rFonts w:ascii="宋体" w:hAnsi="宋体" w:eastAsia="宋体" w:cs="Times New Roman"/>
                <w:color w:val="auto"/>
              </w:rPr>
            </w:pPr>
            <w:r>
              <w:rPr>
                <w:rFonts w:ascii="宋体" w:hAnsi="宋体" w:eastAsia="宋体" w:cs="Times New Roman"/>
                <w:color w:val="auto"/>
                <w:lang w:bidi="ar"/>
              </w:rPr>
              <w:t>61</w:t>
            </w:r>
          </w:p>
        </w:tc>
        <w:tc>
          <w:tcPr>
            <w:tcW w:w="532" w:type="pct"/>
            <w:shd w:val="clear" w:color="auto" w:fill="auto"/>
            <w:vAlign w:val="center"/>
          </w:tcPr>
          <w:p w14:paraId="40488B5E">
            <w:pPr>
              <w:jc w:val="center"/>
              <w:rPr>
                <w:rFonts w:ascii="宋体" w:hAnsi="宋体" w:eastAsia="宋体" w:cs="Times New Roman"/>
                <w:color w:val="auto"/>
              </w:rPr>
            </w:pPr>
            <w:r>
              <w:rPr>
                <w:rFonts w:ascii="宋体" w:hAnsi="宋体" w:eastAsia="宋体" w:cs="Times New Roman"/>
                <w:color w:val="auto"/>
                <w:lang w:bidi="ar"/>
              </w:rPr>
              <w:t xml:space="preserve">53.00 </w:t>
            </w:r>
          </w:p>
        </w:tc>
        <w:tc>
          <w:tcPr>
            <w:tcW w:w="532" w:type="pct"/>
            <w:shd w:val="clear" w:color="auto" w:fill="auto"/>
            <w:vAlign w:val="center"/>
          </w:tcPr>
          <w:p w14:paraId="3A176D6A">
            <w:pPr>
              <w:jc w:val="center"/>
              <w:rPr>
                <w:rFonts w:ascii="宋体" w:hAnsi="宋体" w:eastAsia="宋体" w:cs="Times New Roman"/>
                <w:color w:val="auto"/>
              </w:rPr>
            </w:pPr>
            <w:r>
              <w:rPr>
                <w:rFonts w:ascii="宋体" w:hAnsi="宋体" w:eastAsia="宋体" w:cs="Times New Roman"/>
                <w:color w:val="auto"/>
                <w:lang w:bidi="ar"/>
              </w:rPr>
              <w:t xml:space="preserve">7.55 </w:t>
            </w:r>
          </w:p>
        </w:tc>
        <w:tc>
          <w:tcPr>
            <w:tcW w:w="480" w:type="pct"/>
            <w:shd w:val="clear" w:color="auto" w:fill="auto"/>
            <w:vAlign w:val="center"/>
          </w:tcPr>
          <w:p w14:paraId="2FCD544D">
            <w:pPr>
              <w:jc w:val="center"/>
              <w:rPr>
                <w:rFonts w:ascii="宋体" w:hAnsi="宋体" w:eastAsia="宋体" w:cs="Times New Roman"/>
                <w:color w:val="auto"/>
              </w:rPr>
            </w:pPr>
            <w:r>
              <w:rPr>
                <w:rFonts w:ascii="宋体" w:hAnsi="宋体" w:eastAsia="宋体" w:cs="Times New Roman"/>
                <w:color w:val="auto"/>
              </w:rPr>
              <w:t>0</w:t>
            </w:r>
          </w:p>
        </w:tc>
        <w:tc>
          <w:tcPr>
            <w:tcW w:w="310" w:type="pct"/>
            <w:shd w:val="clear" w:color="auto" w:fill="auto"/>
            <w:vAlign w:val="center"/>
          </w:tcPr>
          <w:p w14:paraId="7327CAD0">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589C7A48">
            <w:pPr>
              <w:jc w:val="center"/>
              <w:rPr>
                <w:rFonts w:ascii="宋体" w:hAnsi="宋体" w:eastAsia="宋体" w:cs="Times New Roman"/>
                <w:color w:val="auto"/>
              </w:rPr>
            </w:pPr>
            <w:r>
              <w:rPr>
                <w:rFonts w:ascii="宋体" w:hAnsi="宋体" w:eastAsia="宋体" w:cs="Times New Roman"/>
                <w:color w:val="auto"/>
              </w:rPr>
              <w:t>0</w:t>
            </w:r>
          </w:p>
        </w:tc>
      </w:tr>
      <w:tr w14:paraId="3913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1724E41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816" w:type="pct"/>
            <w:shd w:val="clear" w:color="auto" w:fill="auto"/>
            <w:vAlign w:val="center"/>
          </w:tcPr>
          <w:p w14:paraId="7D4E1599">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铜（Cu）</w:t>
            </w:r>
          </w:p>
        </w:tc>
        <w:tc>
          <w:tcPr>
            <w:tcW w:w="566" w:type="pct"/>
            <w:shd w:val="clear" w:color="auto" w:fill="auto"/>
            <w:vAlign w:val="center"/>
          </w:tcPr>
          <w:p w14:paraId="379F7BFA">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7C640726">
            <w:pPr>
              <w:jc w:val="center"/>
              <w:rPr>
                <w:rFonts w:ascii="宋体" w:hAnsi="宋体" w:eastAsia="宋体" w:cs="Times New Roman"/>
                <w:color w:val="auto"/>
              </w:rPr>
            </w:pPr>
            <w:r>
              <w:rPr>
                <w:rFonts w:ascii="宋体" w:hAnsi="宋体" w:eastAsia="宋体" w:cs="Times New Roman"/>
                <w:color w:val="auto"/>
                <w:lang w:bidi="ar"/>
              </w:rPr>
              <w:t>11</w:t>
            </w:r>
          </w:p>
        </w:tc>
        <w:tc>
          <w:tcPr>
            <w:tcW w:w="506" w:type="pct"/>
            <w:shd w:val="clear" w:color="auto" w:fill="auto"/>
            <w:vAlign w:val="center"/>
          </w:tcPr>
          <w:p w14:paraId="24733B23">
            <w:pPr>
              <w:jc w:val="center"/>
              <w:rPr>
                <w:rFonts w:ascii="宋体" w:hAnsi="宋体" w:eastAsia="宋体" w:cs="Times New Roman"/>
                <w:color w:val="auto"/>
              </w:rPr>
            </w:pPr>
            <w:r>
              <w:rPr>
                <w:rFonts w:ascii="宋体" w:hAnsi="宋体" w:eastAsia="宋体" w:cs="Times New Roman"/>
                <w:color w:val="auto"/>
                <w:lang w:bidi="ar"/>
              </w:rPr>
              <w:t>17</w:t>
            </w:r>
          </w:p>
        </w:tc>
        <w:tc>
          <w:tcPr>
            <w:tcW w:w="532" w:type="pct"/>
            <w:shd w:val="clear" w:color="auto" w:fill="auto"/>
            <w:vAlign w:val="center"/>
          </w:tcPr>
          <w:p w14:paraId="73B06AC7">
            <w:pPr>
              <w:jc w:val="center"/>
              <w:rPr>
                <w:rFonts w:ascii="宋体" w:hAnsi="宋体" w:eastAsia="宋体" w:cs="Times New Roman"/>
                <w:color w:val="auto"/>
              </w:rPr>
            </w:pPr>
            <w:r>
              <w:rPr>
                <w:rFonts w:ascii="宋体" w:hAnsi="宋体" w:eastAsia="宋体" w:cs="Times New Roman"/>
                <w:color w:val="auto"/>
                <w:lang w:bidi="ar"/>
              </w:rPr>
              <w:t xml:space="preserve">13.67 </w:t>
            </w:r>
          </w:p>
        </w:tc>
        <w:tc>
          <w:tcPr>
            <w:tcW w:w="532" w:type="pct"/>
            <w:shd w:val="clear" w:color="auto" w:fill="auto"/>
            <w:vAlign w:val="center"/>
          </w:tcPr>
          <w:p w14:paraId="51FD55EB">
            <w:pPr>
              <w:jc w:val="center"/>
              <w:rPr>
                <w:rFonts w:ascii="宋体" w:hAnsi="宋体" w:eastAsia="宋体" w:cs="Times New Roman"/>
                <w:color w:val="auto"/>
              </w:rPr>
            </w:pPr>
            <w:r>
              <w:rPr>
                <w:rFonts w:ascii="宋体" w:hAnsi="宋体" w:eastAsia="宋体" w:cs="Times New Roman"/>
                <w:color w:val="auto"/>
                <w:lang w:bidi="ar"/>
              </w:rPr>
              <w:t xml:space="preserve">3.06 </w:t>
            </w:r>
          </w:p>
        </w:tc>
        <w:tc>
          <w:tcPr>
            <w:tcW w:w="480" w:type="pct"/>
            <w:shd w:val="clear" w:color="auto" w:fill="auto"/>
            <w:vAlign w:val="center"/>
          </w:tcPr>
          <w:p w14:paraId="7ED5FB7F">
            <w:pPr>
              <w:jc w:val="center"/>
              <w:rPr>
                <w:rFonts w:ascii="宋体" w:hAnsi="宋体" w:eastAsia="宋体" w:cs="Times New Roman"/>
                <w:color w:val="auto"/>
              </w:rPr>
            </w:pPr>
            <w:r>
              <w:rPr>
                <w:rFonts w:ascii="宋体" w:hAnsi="宋体" w:eastAsia="宋体" w:cs="Times New Roman"/>
                <w:color w:val="auto"/>
              </w:rPr>
              <w:t>100</w:t>
            </w:r>
          </w:p>
        </w:tc>
        <w:tc>
          <w:tcPr>
            <w:tcW w:w="310" w:type="pct"/>
            <w:shd w:val="clear" w:color="auto" w:fill="auto"/>
            <w:vAlign w:val="center"/>
          </w:tcPr>
          <w:p w14:paraId="721E4340">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0E06E1DE">
            <w:pPr>
              <w:jc w:val="center"/>
              <w:rPr>
                <w:rFonts w:ascii="宋体" w:hAnsi="宋体" w:eastAsia="宋体" w:cs="Times New Roman"/>
                <w:color w:val="auto"/>
              </w:rPr>
            </w:pPr>
            <w:r>
              <w:rPr>
                <w:rFonts w:ascii="宋体" w:hAnsi="宋体" w:eastAsia="宋体" w:cs="Times New Roman"/>
                <w:color w:val="auto"/>
              </w:rPr>
              <w:t>0</w:t>
            </w:r>
          </w:p>
        </w:tc>
      </w:tr>
      <w:tr w14:paraId="28BF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45AACC3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8</w:t>
            </w:r>
          </w:p>
        </w:tc>
        <w:tc>
          <w:tcPr>
            <w:tcW w:w="816" w:type="pct"/>
            <w:shd w:val="clear" w:color="auto" w:fill="auto"/>
            <w:vAlign w:val="center"/>
          </w:tcPr>
          <w:p w14:paraId="44684BB1">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镍（Ni）</w:t>
            </w:r>
          </w:p>
        </w:tc>
        <w:tc>
          <w:tcPr>
            <w:tcW w:w="566" w:type="pct"/>
            <w:shd w:val="clear" w:color="auto" w:fill="auto"/>
            <w:vAlign w:val="center"/>
          </w:tcPr>
          <w:p w14:paraId="702CA19C">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7B40D57B">
            <w:pPr>
              <w:jc w:val="center"/>
              <w:rPr>
                <w:rFonts w:ascii="宋体" w:hAnsi="宋体" w:eastAsia="宋体" w:cs="Times New Roman"/>
                <w:color w:val="auto"/>
              </w:rPr>
            </w:pPr>
            <w:r>
              <w:rPr>
                <w:rFonts w:ascii="宋体" w:hAnsi="宋体" w:eastAsia="宋体" w:cs="Times New Roman"/>
                <w:color w:val="auto"/>
                <w:lang w:bidi="ar"/>
              </w:rPr>
              <w:t>18</w:t>
            </w:r>
          </w:p>
        </w:tc>
        <w:tc>
          <w:tcPr>
            <w:tcW w:w="506" w:type="pct"/>
            <w:shd w:val="clear" w:color="auto" w:fill="auto"/>
            <w:vAlign w:val="center"/>
          </w:tcPr>
          <w:p w14:paraId="014ABA9C">
            <w:pPr>
              <w:jc w:val="center"/>
              <w:rPr>
                <w:rFonts w:ascii="宋体" w:hAnsi="宋体" w:eastAsia="宋体" w:cs="Times New Roman"/>
                <w:color w:val="auto"/>
              </w:rPr>
            </w:pPr>
            <w:r>
              <w:rPr>
                <w:rFonts w:ascii="宋体" w:hAnsi="宋体" w:eastAsia="宋体" w:cs="Times New Roman"/>
                <w:color w:val="auto"/>
                <w:lang w:bidi="ar"/>
              </w:rPr>
              <w:t>23</w:t>
            </w:r>
          </w:p>
        </w:tc>
        <w:tc>
          <w:tcPr>
            <w:tcW w:w="532" w:type="pct"/>
            <w:shd w:val="clear" w:color="auto" w:fill="auto"/>
            <w:vAlign w:val="center"/>
          </w:tcPr>
          <w:p w14:paraId="2AE5ADF1">
            <w:pPr>
              <w:jc w:val="center"/>
              <w:rPr>
                <w:rFonts w:ascii="宋体" w:hAnsi="宋体" w:eastAsia="宋体" w:cs="Times New Roman"/>
                <w:color w:val="auto"/>
              </w:rPr>
            </w:pPr>
            <w:r>
              <w:rPr>
                <w:rFonts w:ascii="宋体" w:hAnsi="宋体" w:eastAsia="宋体" w:cs="Times New Roman"/>
                <w:color w:val="auto"/>
                <w:lang w:bidi="ar"/>
              </w:rPr>
              <w:t xml:space="preserve">20.00 </w:t>
            </w:r>
          </w:p>
        </w:tc>
        <w:tc>
          <w:tcPr>
            <w:tcW w:w="532" w:type="pct"/>
            <w:shd w:val="clear" w:color="auto" w:fill="auto"/>
            <w:vAlign w:val="center"/>
          </w:tcPr>
          <w:p w14:paraId="484EC407">
            <w:pPr>
              <w:jc w:val="center"/>
              <w:rPr>
                <w:rFonts w:ascii="宋体" w:hAnsi="宋体" w:eastAsia="宋体" w:cs="Times New Roman"/>
                <w:color w:val="auto"/>
              </w:rPr>
            </w:pPr>
            <w:r>
              <w:rPr>
                <w:rFonts w:ascii="宋体" w:hAnsi="宋体" w:eastAsia="宋体" w:cs="Times New Roman"/>
                <w:color w:val="auto"/>
                <w:lang w:bidi="ar"/>
              </w:rPr>
              <w:t xml:space="preserve">2.65 </w:t>
            </w:r>
          </w:p>
        </w:tc>
        <w:tc>
          <w:tcPr>
            <w:tcW w:w="480" w:type="pct"/>
            <w:shd w:val="clear" w:color="auto" w:fill="auto"/>
            <w:vAlign w:val="center"/>
          </w:tcPr>
          <w:p w14:paraId="10C31ED8">
            <w:pPr>
              <w:jc w:val="center"/>
              <w:rPr>
                <w:rFonts w:ascii="宋体" w:hAnsi="宋体" w:eastAsia="宋体" w:cs="Times New Roman"/>
                <w:color w:val="auto"/>
              </w:rPr>
            </w:pPr>
            <w:r>
              <w:rPr>
                <w:rFonts w:ascii="宋体" w:hAnsi="宋体" w:eastAsia="宋体" w:cs="Times New Roman"/>
                <w:color w:val="auto"/>
              </w:rPr>
              <w:t>100</w:t>
            </w:r>
          </w:p>
        </w:tc>
        <w:tc>
          <w:tcPr>
            <w:tcW w:w="310" w:type="pct"/>
            <w:shd w:val="clear" w:color="auto" w:fill="auto"/>
            <w:vAlign w:val="center"/>
          </w:tcPr>
          <w:p w14:paraId="2882FB9E">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43FBAA40">
            <w:pPr>
              <w:jc w:val="center"/>
              <w:rPr>
                <w:rFonts w:ascii="宋体" w:hAnsi="宋体" w:eastAsia="宋体" w:cs="Times New Roman"/>
                <w:color w:val="auto"/>
              </w:rPr>
            </w:pPr>
            <w:r>
              <w:rPr>
                <w:rFonts w:ascii="宋体" w:hAnsi="宋体" w:eastAsia="宋体" w:cs="Times New Roman"/>
                <w:color w:val="auto"/>
              </w:rPr>
              <w:t>0</w:t>
            </w:r>
          </w:p>
        </w:tc>
      </w:tr>
      <w:tr w14:paraId="2AAB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48827D4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9</w:t>
            </w:r>
          </w:p>
        </w:tc>
        <w:tc>
          <w:tcPr>
            <w:tcW w:w="816" w:type="pct"/>
            <w:shd w:val="clear" w:color="auto" w:fill="auto"/>
            <w:vAlign w:val="center"/>
          </w:tcPr>
          <w:p w14:paraId="510C5259">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锌(Zn)</w:t>
            </w:r>
          </w:p>
        </w:tc>
        <w:tc>
          <w:tcPr>
            <w:tcW w:w="566" w:type="pct"/>
            <w:shd w:val="clear" w:color="auto" w:fill="auto"/>
            <w:vAlign w:val="center"/>
          </w:tcPr>
          <w:p w14:paraId="60C00675">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41C4A672">
            <w:pPr>
              <w:jc w:val="center"/>
              <w:rPr>
                <w:rFonts w:ascii="宋体" w:hAnsi="宋体" w:eastAsia="宋体" w:cs="Times New Roman"/>
                <w:color w:val="auto"/>
              </w:rPr>
            </w:pPr>
            <w:r>
              <w:rPr>
                <w:rFonts w:ascii="宋体" w:hAnsi="宋体" w:eastAsia="宋体" w:cs="Times New Roman"/>
                <w:color w:val="auto"/>
                <w:lang w:bidi="ar"/>
              </w:rPr>
              <w:t>48</w:t>
            </w:r>
          </w:p>
        </w:tc>
        <w:tc>
          <w:tcPr>
            <w:tcW w:w="506" w:type="pct"/>
            <w:shd w:val="clear" w:color="auto" w:fill="auto"/>
            <w:vAlign w:val="center"/>
          </w:tcPr>
          <w:p w14:paraId="30324B7E">
            <w:pPr>
              <w:jc w:val="center"/>
              <w:rPr>
                <w:rFonts w:ascii="宋体" w:hAnsi="宋体" w:eastAsia="宋体" w:cs="Times New Roman"/>
                <w:color w:val="auto"/>
              </w:rPr>
            </w:pPr>
            <w:r>
              <w:rPr>
                <w:rFonts w:ascii="宋体" w:hAnsi="宋体" w:eastAsia="宋体" w:cs="Times New Roman"/>
                <w:color w:val="auto"/>
                <w:lang w:bidi="ar"/>
              </w:rPr>
              <w:t>61</w:t>
            </w:r>
          </w:p>
        </w:tc>
        <w:tc>
          <w:tcPr>
            <w:tcW w:w="532" w:type="pct"/>
            <w:shd w:val="clear" w:color="auto" w:fill="auto"/>
            <w:vAlign w:val="center"/>
          </w:tcPr>
          <w:p w14:paraId="1486DFB7">
            <w:pPr>
              <w:jc w:val="center"/>
              <w:rPr>
                <w:rFonts w:ascii="宋体" w:hAnsi="宋体" w:eastAsia="宋体" w:cs="Times New Roman"/>
                <w:color w:val="auto"/>
              </w:rPr>
            </w:pPr>
            <w:r>
              <w:rPr>
                <w:rFonts w:ascii="宋体" w:hAnsi="宋体" w:eastAsia="宋体" w:cs="Times New Roman"/>
                <w:color w:val="auto"/>
                <w:lang w:bidi="ar"/>
              </w:rPr>
              <w:t xml:space="preserve">53.67 </w:t>
            </w:r>
          </w:p>
        </w:tc>
        <w:tc>
          <w:tcPr>
            <w:tcW w:w="532" w:type="pct"/>
            <w:shd w:val="clear" w:color="auto" w:fill="auto"/>
            <w:vAlign w:val="center"/>
          </w:tcPr>
          <w:p w14:paraId="15413923">
            <w:pPr>
              <w:jc w:val="center"/>
              <w:rPr>
                <w:rFonts w:ascii="宋体" w:hAnsi="宋体" w:eastAsia="宋体" w:cs="Times New Roman"/>
                <w:color w:val="auto"/>
              </w:rPr>
            </w:pPr>
            <w:r>
              <w:rPr>
                <w:rFonts w:ascii="宋体" w:hAnsi="宋体" w:eastAsia="宋体" w:cs="Times New Roman"/>
                <w:color w:val="auto"/>
                <w:lang w:bidi="ar"/>
              </w:rPr>
              <w:t xml:space="preserve">6.66 </w:t>
            </w:r>
          </w:p>
        </w:tc>
        <w:tc>
          <w:tcPr>
            <w:tcW w:w="480" w:type="pct"/>
            <w:shd w:val="clear" w:color="auto" w:fill="auto"/>
            <w:vAlign w:val="center"/>
          </w:tcPr>
          <w:p w14:paraId="0239BC66">
            <w:pPr>
              <w:jc w:val="center"/>
              <w:rPr>
                <w:rFonts w:ascii="宋体" w:hAnsi="宋体" w:eastAsia="宋体" w:cs="Times New Roman"/>
                <w:color w:val="auto"/>
              </w:rPr>
            </w:pPr>
            <w:r>
              <w:rPr>
                <w:rFonts w:ascii="宋体" w:hAnsi="宋体" w:eastAsia="宋体" w:cs="Times New Roman"/>
                <w:color w:val="auto"/>
              </w:rPr>
              <w:t>100</w:t>
            </w:r>
          </w:p>
        </w:tc>
        <w:tc>
          <w:tcPr>
            <w:tcW w:w="310" w:type="pct"/>
            <w:shd w:val="clear" w:color="auto" w:fill="auto"/>
            <w:vAlign w:val="center"/>
          </w:tcPr>
          <w:p w14:paraId="7BFD4FDF">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3FEE0E68">
            <w:pPr>
              <w:jc w:val="center"/>
              <w:rPr>
                <w:rFonts w:ascii="宋体" w:hAnsi="宋体" w:eastAsia="宋体" w:cs="Times New Roman"/>
                <w:color w:val="auto"/>
              </w:rPr>
            </w:pPr>
            <w:r>
              <w:rPr>
                <w:rFonts w:ascii="宋体" w:hAnsi="宋体" w:eastAsia="宋体" w:cs="Times New Roman"/>
                <w:color w:val="auto"/>
              </w:rPr>
              <w:t>0</w:t>
            </w:r>
          </w:p>
        </w:tc>
      </w:tr>
      <w:tr w14:paraId="795C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118DF24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816" w:type="pct"/>
            <w:shd w:val="clear" w:color="auto" w:fill="auto"/>
            <w:vAlign w:val="center"/>
          </w:tcPr>
          <w:p w14:paraId="0D951638">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w:t>
            </w:r>
          </w:p>
        </w:tc>
        <w:tc>
          <w:tcPr>
            <w:tcW w:w="566" w:type="pct"/>
            <w:shd w:val="clear" w:color="auto" w:fill="auto"/>
            <w:vAlign w:val="center"/>
          </w:tcPr>
          <w:p w14:paraId="2B821632">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389A4A51">
            <w:pPr>
              <w:jc w:val="center"/>
              <w:rPr>
                <w:rFonts w:ascii="宋体" w:hAnsi="宋体" w:eastAsia="宋体" w:cs="Times New Roman"/>
                <w:color w:val="auto"/>
              </w:rPr>
            </w:pPr>
            <w:r>
              <w:rPr>
                <w:rFonts w:ascii="宋体" w:hAnsi="宋体" w:eastAsia="宋体" w:cs="Times New Roman"/>
                <w:color w:val="auto"/>
                <w:lang w:bidi="ar"/>
              </w:rPr>
              <w:t>/</w:t>
            </w:r>
          </w:p>
        </w:tc>
        <w:tc>
          <w:tcPr>
            <w:tcW w:w="506" w:type="pct"/>
            <w:shd w:val="clear" w:color="auto" w:fill="auto"/>
            <w:vAlign w:val="center"/>
          </w:tcPr>
          <w:p w14:paraId="1221CA37">
            <w:pPr>
              <w:jc w:val="center"/>
              <w:rPr>
                <w:rFonts w:ascii="宋体" w:hAnsi="宋体" w:eastAsia="宋体" w:cs="Times New Roman"/>
                <w:color w:val="auto"/>
              </w:rPr>
            </w:pPr>
            <w:r>
              <w:rPr>
                <w:rFonts w:ascii="宋体" w:hAnsi="宋体" w:eastAsia="宋体" w:cs="Times New Roman"/>
                <w:color w:val="auto"/>
                <w:lang w:bidi="ar"/>
              </w:rPr>
              <w:t>/</w:t>
            </w:r>
          </w:p>
        </w:tc>
        <w:tc>
          <w:tcPr>
            <w:tcW w:w="532" w:type="pct"/>
            <w:shd w:val="clear" w:color="auto" w:fill="auto"/>
            <w:vAlign w:val="center"/>
          </w:tcPr>
          <w:p w14:paraId="355749B7">
            <w:pPr>
              <w:jc w:val="center"/>
              <w:rPr>
                <w:rFonts w:ascii="宋体" w:hAnsi="宋体" w:eastAsia="宋体" w:cs="Times New Roman"/>
                <w:color w:val="auto"/>
              </w:rPr>
            </w:pPr>
            <w:r>
              <w:rPr>
                <w:rFonts w:ascii="宋体" w:hAnsi="宋体" w:eastAsia="宋体" w:cs="Times New Roman"/>
                <w:color w:val="auto"/>
                <w:lang w:bidi="ar"/>
              </w:rPr>
              <w:t>/</w:t>
            </w:r>
          </w:p>
        </w:tc>
        <w:tc>
          <w:tcPr>
            <w:tcW w:w="532" w:type="pct"/>
            <w:shd w:val="clear" w:color="auto" w:fill="auto"/>
            <w:vAlign w:val="center"/>
          </w:tcPr>
          <w:p w14:paraId="70B3D1FC">
            <w:pPr>
              <w:jc w:val="center"/>
              <w:rPr>
                <w:rFonts w:ascii="宋体" w:hAnsi="宋体" w:eastAsia="宋体" w:cs="Times New Roman"/>
                <w:color w:val="auto"/>
              </w:rPr>
            </w:pPr>
            <w:r>
              <w:rPr>
                <w:rFonts w:ascii="宋体" w:hAnsi="宋体" w:eastAsia="宋体" w:cs="Times New Roman"/>
                <w:color w:val="auto"/>
                <w:lang w:bidi="ar"/>
              </w:rPr>
              <w:t>/</w:t>
            </w:r>
          </w:p>
        </w:tc>
        <w:tc>
          <w:tcPr>
            <w:tcW w:w="480" w:type="pct"/>
            <w:shd w:val="clear" w:color="auto" w:fill="auto"/>
            <w:vAlign w:val="center"/>
          </w:tcPr>
          <w:p w14:paraId="3D8BAEF4">
            <w:pPr>
              <w:jc w:val="center"/>
              <w:rPr>
                <w:rFonts w:ascii="宋体" w:hAnsi="宋体" w:eastAsia="宋体" w:cs="Times New Roman"/>
                <w:color w:val="auto"/>
              </w:rPr>
            </w:pPr>
            <w:r>
              <w:rPr>
                <w:rFonts w:hint="eastAsia" w:ascii="宋体" w:hAnsi="宋体" w:eastAsia="宋体" w:cs="Times New Roman"/>
                <w:color w:val="auto"/>
              </w:rPr>
              <w:t>0</w:t>
            </w:r>
          </w:p>
        </w:tc>
        <w:tc>
          <w:tcPr>
            <w:tcW w:w="310" w:type="pct"/>
            <w:shd w:val="clear" w:color="auto" w:fill="auto"/>
            <w:vAlign w:val="center"/>
          </w:tcPr>
          <w:p w14:paraId="32C38A9A">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12A9061F">
            <w:pPr>
              <w:jc w:val="center"/>
              <w:rPr>
                <w:rFonts w:ascii="宋体" w:hAnsi="宋体" w:eastAsia="宋体" w:cs="Times New Roman"/>
                <w:color w:val="auto"/>
              </w:rPr>
            </w:pPr>
            <w:r>
              <w:rPr>
                <w:rFonts w:ascii="宋体" w:hAnsi="宋体" w:eastAsia="宋体" w:cs="Times New Roman"/>
                <w:color w:val="auto"/>
              </w:rPr>
              <w:t>0</w:t>
            </w:r>
          </w:p>
        </w:tc>
      </w:tr>
      <w:tr w14:paraId="3ABA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6FB4FAC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816" w:type="pct"/>
            <w:shd w:val="clear" w:color="auto" w:fill="auto"/>
            <w:vAlign w:val="center"/>
          </w:tcPr>
          <w:p w14:paraId="0D06285F">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w:t>
            </w:r>
          </w:p>
        </w:tc>
        <w:tc>
          <w:tcPr>
            <w:tcW w:w="566" w:type="pct"/>
            <w:shd w:val="clear" w:color="auto" w:fill="auto"/>
            <w:vAlign w:val="center"/>
          </w:tcPr>
          <w:p w14:paraId="40478A45">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13905708">
            <w:pPr>
              <w:jc w:val="center"/>
              <w:rPr>
                <w:rFonts w:ascii="宋体" w:hAnsi="宋体" w:eastAsia="宋体" w:cs="Times New Roman"/>
                <w:color w:val="auto"/>
              </w:rPr>
            </w:pPr>
            <w:r>
              <w:rPr>
                <w:rFonts w:ascii="宋体" w:hAnsi="宋体" w:eastAsia="宋体" w:cs="Times New Roman"/>
                <w:color w:val="auto"/>
                <w:lang w:bidi="ar"/>
              </w:rPr>
              <w:t>/</w:t>
            </w:r>
          </w:p>
        </w:tc>
        <w:tc>
          <w:tcPr>
            <w:tcW w:w="506" w:type="pct"/>
            <w:shd w:val="clear" w:color="auto" w:fill="auto"/>
            <w:vAlign w:val="center"/>
          </w:tcPr>
          <w:p w14:paraId="236778D8">
            <w:pPr>
              <w:jc w:val="center"/>
              <w:rPr>
                <w:rFonts w:ascii="宋体" w:hAnsi="宋体" w:eastAsia="宋体" w:cs="Times New Roman"/>
                <w:color w:val="auto"/>
              </w:rPr>
            </w:pPr>
            <w:r>
              <w:rPr>
                <w:rFonts w:ascii="宋体" w:hAnsi="宋体" w:eastAsia="宋体" w:cs="Times New Roman"/>
                <w:color w:val="auto"/>
                <w:lang w:bidi="ar"/>
              </w:rPr>
              <w:t>/</w:t>
            </w:r>
          </w:p>
        </w:tc>
        <w:tc>
          <w:tcPr>
            <w:tcW w:w="532" w:type="pct"/>
            <w:shd w:val="clear" w:color="auto" w:fill="auto"/>
            <w:vAlign w:val="center"/>
          </w:tcPr>
          <w:p w14:paraId="5393AD04">
            <w:pPr>
              <w:jc w:val="center"/>
              <w:rPr>
                <w:rFonts w:ascii="宋体" w:hAnsi="宋体" w:eastAsia="宋体" w:cs="Times New Roman"/>
                <w:color w:val="auto"/>
              </w:rPr>
            </w:pPr>
            <w:r>
              <w:rPr>
                <w:rFonts w:ascii="宋体" w:hAnsi="宋体" w:eastAsia="宋体" w:cs="Times New Roman"/>
                <w:color w:val="auto"/>
                <w:lang w:bidi="ar"/>
              </w:rPr>
              <w:t>/</w:t>
            </w:r>
          </w:p>
        </w:tc>
        <w:tc>
          <w:tcPr>
            <w:tcW w:w="532" w:type="pct"/>
            <w:shd w:val="clear" w:color="auto" w:fill="auto"/>
            <w:vAlign w:val="center"/>
          </w:tcPr>
          <w:p w14:paraId="63615548">
            <w:pPr>
              <w:jc w:val="center"/>
              <w:rPr>
                <w:rFonts w:ascii="宋体" w:hAnsi="宋体" w:eastAsia="宋体" w:cs="Times New Roman"/>
                <w:color w:val="auto"/>
              </w:rPr>
            </w:pPr>
            <w:r>
              <w:rPr>
                <w:rFonts w:ascii="宋体" w:hAnsi="宋体" w:eastAsia="宋体" w:cs="Times New Roman"/>
                <w:color w:val="auto"/>
                <w:lang w:bidi="ar"/>
              </w:rPr>
              <w:t>/</w:t>
            </w:r>
          </w:p>
        </w:tc>
        <w:tc>
          <w:tcPr>
            <w:tcW w:w="480" w:type="pct"/>
            <w:shd w:val="clear" w:color="auto" w:fill="auto"/>
            <w:vAlign w:val="center"/>
          </w:tcPr>
          <w:p w14:paraId="28119B67">
            <w:pPr>
              <w:jc w:val="center"/>
              <w:rPr>
                <w:rFonts w:ascii="宋体" w:hAnsi="宋体" w:eastAsia="宋体" w:cs="Times New Roman"/>
                <w:color w:val="auto"/>
              </w:rPr>
            </w:pPr>
            <w:r>
              <w:rPr>
                <w:rFonts w:hint="eastAsia" w:ascii="宋体" w:hAnsi="宋体" w:eastAsia="宋体" w:cs="Times New Roman"/>
                <w:color w:val="auto"/>
              </w:rPr>
              <w:t>0</w:t>
            </w:r>
          </w:p>
        </w:tc>
        <w:tc>
          <w:tcPr>
            <w:tcW w:w="310" w:type="pct"/>
            <w:shd w:val="clear" w:color="auto" w:fill="auto"/>
            <w:vAlign w:val="center"/>
          </w:tcPr>
          <w:p w14:paraId="468375A4">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3C44E966">
            <w:pPr>
              <w:jc w:val="center"/>
              <w:rPr>
                <w:rFonts w:ascii="宋体" w:hAnsi="宋体" w:eastAsia="宋体" w:cs="Times New Roman"/>
                <w:color w:val="auto"/>
              </w:rPr>
            </w:pPr>
            <w:r>
              <w:rPr>
                <w:rFonts w:ascii="宋体" w:hAnsi="宋体" w:eastAsia="宋体" w:cs="Times New Roman"/>
                <w:color w:val="auto"/>
              </w:rPr>
              <w:t>0</w:t>
            </w:r>
          </w:p>
        </w:tc>
      </w:tr>
      <w:tr w14:paraId="5508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2860073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816" w:type="pct"/>
            <w:shd w:val="clear" w:color="auto" w:fill="auto"/>
            <w:vAlign w:val="center"/>
          </w:tcPr>
          <w:p w14:paraId="07017E1C">
            <w:pPr>
              <w:adjustRightInd w:val="0"/>
              <w:snapToGrid w:val="0"/>
              <w:jc w:val="center"/>
              <w:rPr>
                <w:rFonts w:ascii="宋体" w:hAnsi="宋体" w:eastAsia="宋体" w:cs="Times New Roman"/>
                <w:snapToGrid w:val="0"/>
                <w:color w:val="auto"/>
              </w:rPr>
            </w:pPr>
            <w:r>
              <w:rPr>
                <w:rFonts w:ascii="宋体" w:hAnsi="宋体" w:eastAsia="宋体" w:cs="Times New Roman"/>
                <w:color w:val="auto"/>
              </w:rPr>
              <w:t>石油类</w:t>
            </w:r>
          </w:p>
        </w:tc>
        <w:tc>
          <w:tcPr>
            <w:tcW w:w="566" w:type="pct"/>
            <w:shd w:val="clear" w:color="auto" w:fill="auto"/>
            <w:vAlign w:val="center"/>
          </w:tcPr>
          <w:p w14:paraId="5F4FA354">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0D39BF56">
            <w:pPr>
              <w:jc w:val="center"/>
              <w:rPr>
                <w:rFonts w:ascii="宋体" w:hAnsi="宋体" w:eastAsia="宋体" w:cs="Times New Roman"/>
                <w:color w:val="auto"/>
              </w:rPr>
            </w:pPr>
            <w:r>
              <w:rPr>
                <w:rFonts w:ascii="宋体" w:hAnsi="宋体" w:eastAsia="宋体" w:cs="Times New Roman"/>
                <w:color w:val="auto"/>
                <w:lang w:bidi="ar"/>
              </w:rPr>
              <w:t>10</w:t>
            </w:r>
          </w:p>
        </w:tc>
        <w:tc>
          <w:tcPr>
            <w:tcW w:w="506" w:type="pct"/>
            <w:shd w:val="clear" w:color="auto" w:fill="auto"/>
            <w:vAlign w:val="center"/>
          </w:tcPr>
          <w:p w14:paraId="7B6DF658">
            <w:pPr>
              <w:jc w:val="center"/>
              <w:rPr>
                <w:rFonts w:ascii="宋体" w:hAnsi="宋体" w:eastAsia="宋体" w:cs="Times New Roman"/>
                <w:color w:val="auto"/>
              </w:rPr>
            </w:pPr>
            <w:r>
              <w:rPr>
                <w:rFonts w:ascii="宋体" w:hAnsi="宋体" w:eastAsia="宋体" w:cs="Times New Roman"/>
                <w:color w:val="auto"/>
                <w:lang w:bidi="ar"/>
              </w:rPr>
              <w:t>12</w:t>
            </w:r>
          </w:p>
        </w:tc>
        <w:tc>
          <w:tcPr>
            <w:tcW w:w="532" w:type="pct"/>
            <w:shd w:val="clear" w:color="auto" w:fill="auto"/>
            <w:vAlign w:val="center"/>
          </w:tcPr>
          <w:p w14:paraId="44907F56">
            <w:pPr>
              <w:jc w:val="center"/>
              <w:rPr>
                <w:rFonts w:ascii="宋体" w:hAnsi="宋体" w:eastAsia="宋体" w:cs="Times New Roman"/>
                <w:color w:val="auto"/>
              </w:rPr>
            </w:pPr>
            <w:r>
              <w:rPr>
                <w:rFonts w:ascii="宋体" w:hAnsi="宋体" w:eastAsia="宋体" w:cs="Times New Roman"/>
                <w:color w:val="auto"/>
                <w:lang w:bidi="ar"/>
              </w:rPr>
              <w:t xml:space="preserve">11.00 </w:t>
            </w:r>
          </w:p>
        </w:tc>
        <w:tc>
          <w:tcPr>
            <w:tcW w:w="532" w:type="pct"/>
            <w:shd w:val="clear" w:color="auto" w:fill="auto"/>
            <w:vAlign w:val="center"/>
          </w:tcPr>
          <w:p w14:paraId="7671D956">
            <w:pPr>
              <w:jc w:val="center"/>
              <w:rPr>
                <w:rFonts w:ascii="宋体" w:hAnsi="宋体" w:eastAsia="宋体" w:cs="Times New Roman"/>
                <w:color w:val="auto"/>
              </w:rPr>
            </w:pPr>
            <w:r>
              <w:rPr>
                <w:rFonts w:ascii="宋体" w:hAnsi="宋体" w:eastAsia="宋体" w:cs="Times New Roman"/>
                <w:color w:val="auto"/>
                <w:lang w:bidi="ar"/>
              </w:rPr>
              <w:t xml:space="preserve">1.00 </w:t>
            </w:r>
          </w:p>
        </w:tc>
        <w:tc>
          <w:tcPr>
            <w:tcW w:w="480" w:type="pct"/>
            <w:shd w:val="clear" w:color="auto" w:fill="auto"/>
            <w:vAlign w:val="center"/>
          </w:tcPr>
          <w:p w14:paraId="08ABA2F2">
            <w:pPr>
              <w:jc w:val="center"/>
              <w:rPr>
                <w:rFonts w:ascii="宋体" w:hAnsi="宋体" w:eastAsia="宋体" w:cs="Times New Roman"/>
                <w:color w:val="auto"/>
              </w:rPr>
            </w:pPr>
            <w:r>
              <w:rPr>
                <w:rFonts w:ascii="宋体" w:hAnsi="宋体" w:eastAsia="宋体" w:cs="Times New Roman"/>
                <w:color w:val="auto"/>
                <w:lang w:bidi="ar"/>
              </w:rPr>
              <w:t>/</w:t>
            </w:r>
          </w:p>
        </w:tc>
        <w:tc>
          <w:tcPr>
            <w:tcW w:w="310" w:type="pct"/>
            <w:shd w:val="clear" w:color="auto" w:fill="auto"/>
            <w:vAlign w:val="center"/>
          </w:tcPr>
          <w:p w14:paraId="3B96C434">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21F1D1C3">
            <w:pPr>
              <w:jc w:val="center"/>
              <w:rPr>
                <w:rFonts w:ascii="宋体" w:hAnsi="宋体" w:eastAsia="宋体" w:cs="Times New Roman"/>
                <w:color w:val="auto"/>
              </w:rPr>
            </w:pPr>
            <w:r>
              <w:rPr>
                <w:rFonts w:ascii="宋体" w:hAnsi="宋体" w:eastAsia="宋体" w:cs="Times New Roman"/>
                <w:color w:val="auto"/>
              </w:rPr>
              <w:t>0</w:t>
            </w:r>
          </w:p>
        </w:tc>
      </w:tr>
      <w:tr w14:paraId="574C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4" w:type="pct"/>
            <w:shd w:val="clear" w:color="auto" w:fill="auto"/>
            <w:vAlign w:val="center"/>
          </w:tcPr>
          <w:p w14:paraId="54AA4ED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13</w:t>
            </w:r>
          </w:p>
        </w:tc>
        <w:tc>
          <w:tcPr>
            <w:tcW w:w="816" w:type="pct"/>
            <w:shd w:val="clear" w:color="auto" w:fill="auto"/>
            <w:vAlign w:val="center"/>
          </w:tcPr>
          <w:p w14:paraId="24A06C66">
            <w:pPr>
              <w:adjustRightInd w:val="0"/>
              <w:snapToGrid w:val="0"/>
              <w:jc w:val="center"/>
              <w:rPr>
                <w:rFonts w:ascii="宋体" w:hAnsi="宋体" w:eastAsia="宋体" w:cs="Times New Roman"/>
                <w:color w:val="auto"/>
              </w:rPr>
            </w:pPr>
            <w:r>
              <w:rPr>
                <w:rFonts w:ascii="宋体" w:hAnsi="宋体" w:eastAsia="宋体" w:cs="Times New Roman"/>
                <w:color w:val="auto"/>
              </w:rPr>
              <w:t>水溶性盐总量</w:t>
            </w:r>
          </w:p>
        </w:tc>
        <w:tc>
          <w:tcPr>
            <w:tcW w:w="566" w:type="pct"/>
            <w:shd w:val="clear" w:color="auto" w:fill="auto"/>
            <w:vAlign w:val="center"/>
          </w:tcPr>
          <w:p w14:paraId="396B3F0D">
            <w:pPr>
              <w:jc w:val="center"/>
              <w:rPr>
                <w:rFonts w:ascii="宋体" w:hAnsi="宋体" w:eastAsia="宋体" w:cs="Times New Roman"/>
                <w:color w:val="auto"/>
              </w:rPr>
            </w:pPr>
            <w:r>
              <w:rPr>
                <w:rFonts w:ascii="宋体" w:hAnsi="宋体" w:eastAsia="宋体" w:cs="Times New Roman"/>
                <w:color w:val="auto"/>
              </w:rPr>
              <w:t>18</w:t>
            </w:r>
          </w:p>
        </w:tc>
        <w:tc>
          <w:tcPr>
            <w:tcW w:w="566" w:type="pct"/>
            <w:shd w:val="clear" w:color="auto" w:fill="auto"/>
            <w:vAlign w:val="center"/>
          </w:tcPr>
          <w:p w14:paraId="625E9FD3">
            <w:pPr>
              <w:jc w:val="center"/>
              <w:rPr>
                <w:rFonts w:ascii="宋体" w:hAnsi="宋体" w:eastAsia="宋体" w:cs="Times New Roman"/>
                <w:color w:val="auto"/>
              </w:rPr>
            </w:pPr>
            <w:r>
              <w:rPr>
                <w:rFonts w:ascii="宋体" w:hAnsi="宋体" w:eastAsia="宋体" w:cs="Times New Roman"/>
                <w:color w:val="auto"/>
                <w:lang w:bidi="ar"/>
              </w:rPr>
              <w:t>500</w:t>
            </w:r>
          </w:p>
        </w:tc>
        <w:tc>
          <w:tcPr>
            <w:tcW w:w="506" w:type="pct"/>
            <w:shd w:val="clear" w:color="auto" w:fill="auto"/>
            <w:vAlign w:val="center"/>
          </w:tcPr>
          <w:p w14:paraId="63265424">
            <w:pPr>
              <w:jc w:val="center"/>
              <w:rPr>
                <w:rFonts w:ascii="宋体" w:hAnsi="宋体" w:eastAsia="宋体" w:cs="Times New Roman"/>
                <w:color w:val="auto"/>
              </w:rPr>
            </w:pPr>
            <w:r>
              <w:rPr>
                <w:rFonts w:ascii="宋体" w:hAnsi="宋体" w:eastAsia="宋体" w:cs="Times New Roman"/>
                <w:color w:val="auto"/>
                <w:lang w:bidi="ar"/>
              </w:rPr>
              <w:t>700</w:t>
            </w:r>
          </w:p>
        </w:tc>
        <w:tc>
          <w:tcPr>
            <w:tcW w:w="532" w:type="pct"/>
            <w:shd w:val="clear" w:color="auto" w:fill="auto"/>
            <w:vAlign w:val="center"/>
          </w:tcPr>
          <w:p w14:paraId="5076D7E5">
            <w:pPr>
              <w:jc w:val="center"/>
              <w:rPr>
                <w:rFonts w:ascii="宋体" w:hAnsi="宋体" w:eastAsia="宋体" w:cs="Times New Roman"/>
                <w:color w:val="auto"/>
              </w:rPr>
            </w:pPr>
            <w:r>
              <w:rPr>
                <w:rFonts w:ascii="宋体" w:hAnsi="宋体" w:eastAsia="宋体" w:cs="Times New Roman"/>
                <w:color w:val="auto"/>
                <w:lang w:bidi="ar"/>
              </w:rPr>
              <w:t xml:space="preserve">600.00 </w:t>
            </w:r>
          </w:p>
        </w:tc>
        <w:tc>
          <w:tcPr>
            <w:tcW w:w="532" w:type="pct"/>
            <w:shd w:val="clear" w:color="auto" w:fill="auto"/>
            <w:vAlign w:val="center"/>
          </w:tcPr>
          <w:p w14:paraId="7A455ED4">
            <w:pPr>
              <w:jc w:val="center"/>
              <w:rPr>
                <w:rFonts w:ascii="宋体" w:hAnsi="宋体" w:eastAsia="宋体" w:cs="Times New Roman"/>
                <w:color w:val="auto"/>
              </w:rPr>
            </w:pPr>
            <w:r>
              <w:rPr>
                <w:rFonts w:ascii="宋体" w:hAnsi="宋体" w:eastAsia="宋体" w:cs="Times New Roman"/>
                <w:color w:val="auto"/>
                <w:lang w:bidi="ar"/>
              </w:rPr>
              <w:t xml:space="preserve">100.00 </w:t>
            </w:r>
          </w:p>
        </w:tc>
        <w:tc>
          <w:tcPr>
            <w:tcW w:w="480" w:type="pct"/>
            <w:shd w:val="clear" w:color="auto" w:fill="auto"/>
            <w:vAlign w:val="center"/>
          </w:tcPr>
          <w:p w14:paraId="5253E7C5">
            <w:pPr>
              <w:jc w:val="center"/>
              <w:rPr>
                <w:rFonts w:ascii="宋体" w:hAnsi="宋体" w:eastAsia="宋体" w:cs="Times New Roman"/>
                <w:color w:val="auto"/>
              </w:rPr>
            </w:pPr>
            <w:r>
              <w:rPr>
                <w:rFonts w:ascii="宋体" w:hAnsi="宋体" w:eastAsia="宋体" w:cs="Times New Roman"/>
                <w:color w:val="auto"/>
                <w:lang w:bidi="ar"/>
              </w:rPr>
              <w:t>/</w:t>
            </w:r>
          </w:p>
        </w:tc>
        <w:tc>
          <w:tcPr>
            <w:tcW w:w="310" w:type="pct"/>
            <w:shd w:val="clear" w:color="auto" w:fill="auto"/>
            <w:vAlign w:val="center"/>
          </w:tcPr>
          <w:p w14:paraId="77EF5B09">
            <w:pPr>
              <w:jc w:val="center"/>
              <w:rPr>
                <w:rFonts w:ascii="宋体" w:hAnsi="宋体" w:eastAsia="宋体" w:cs="Times New Roman"/>
                <w:color w:val="auto"/>
              </w:rPr>
            </w:pPr>
            <w:r>
              <w:rPr>
                <w:rFonts w:ascii="宋体" w:hAnsi="宋体" w:eastAsia="宋体" w:cs="Times New Roman"/>
                <w:color w:val="auto"/>
              </w:rPr>
              <w:t>0</w:t>
            </w:r>
          </w:p>
        </w:tc>
        <w:tc>
          <w:tcPr>
            <w:tcW w:w="449" w:type="pct"/>
            <w:shd w:val="clear" w:color="auto" w:fill="auto"/>
            <w:vAlign w:val="center"/>
          </w:tcPr>
          <w:p w14:paraId="34846CBE">
            <w:pPr>
              <w:jc w:val="center"/>
              <w:rPr>
                <w:rFonts w:ascii="宋体" w:hAnsi="宋体" w:eastAsia="宋体" w:cs="Times New Roman"/>
                <w:color w:val="auto"/>
              </w:rPr>
            </w:pPr>
            <w:r>
              <w:rPr>
                <w:rFonts w:ascii="宋体" w:hAnsi="宋体" w:eastAsia="宋体" w:cs="Times New Roman"/>
                <w:color w:val="auto"/>
              </w:rPr>
              <w:t>0</w:t>
            </w:r>
          </w:p>
        </w:tc>
      </w:tr>
    </w:tbl>
    <w:p w14:paraId="2FE07CA6">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土壤环境质量现状评价</w:t>
      </w:r>
    </w:p>
    <w:p w14:paraId="521AA985">
      <w:pPr>
        <w:pStyle w:val="276"/>
        <w:widowControl w:val="0"/>
        <w:ind w:firstLine="480"/>
        <w:jc w:val="both"/>
        <w:rPr>
          <w:color w:val="auto"/>
          <w:kern w:val="21"/>
        </w:rPr>
      </w:pPr>
      <w:r>
        <w:rPr>
          <w:color w:val="auto"/>
          <w:kern w:val="21"/>
        </w:rPr>
        <w:t>（1）评价方法</w:t>
      </w:r>
    </w:p>
    <w:p w14:paraId="63E63C84">
      <w:pPr>
        <w:pStyle w:val="276"/>
        <w:widowControl w:val="0"/>
        <w:ind w:firstLine="480"/>
        <w:jc w:val="both"/>
        <w:rPr>
          <w:color w:val="auto"/>
        </w:rPr>
      </w:pPr>
      <w:r>
        <w:rPr>
          <w:color w:val="auto"/>
        </w:rPr>
        <w:t>评价方法采用标准指数法进行土壤环境质量现状评价，即通过指数的大小反应土壤环境受污染的程度，公式为：</w:t>
      </w:r>
    </w:p>
    <w:p w14:paraId="12AC6EB2">
      <w:pPr>
        <w:spacing w:line="440" w:lineRule="exact"/>
        <w:jc w:val="center"/>
        <w:rPr>
          <w:rFonts w:ascii="宋体" w:hAnsi="宋体" w:eastAsia="宋体" w:cs="Times New Roman"/>
          <w:color w:val="auto"/>
        </w:rPr>
      </w:pPr>
      <w:r>
        <w:rPr>
          <w:rFonts w:ascii="宋体" w:hAnsi="宋体" w:eastAsia="宋体" w:cs="Times New Roman"/>
          <w:color w:val="auto"/>
        </w:rPr>
        <w:t>K</w:t>
      </w:r>
      <w:r>
        <w:rPr>
          <w:rFonts w:ascii="宋体" w:hAnsi="宋体" w:eastAsia="宋体" w:cs="Times New Roman"/>
          <w:color w:val="auto"/>
          <w:vertAlign w:val="subscript"/>
        </w:rPr>
        <w:t>i</w:t>
      </w:r>
      <w:r>
        <w:rPr>
          <w:rFonts w:ascii="宋体" w:hAnsi="宋体" w:eastAsia="宋体" w:cs="Times New Roman"/>
          <w:color w:val="auto"/>
        </w:rPr>
        <w:t>＝X</w:t>
      </w:r>
      <w:r>
        <w:rPr>
          <w:rFonts w:ascii="宋体" w:hAnsi="宋体" w:eastAsia="宋体" w:cs="Times New Roman"/>
          <w:color w:val="auto"/>
          <w:vertAlign w:val="subscript"/>
        </w:rPr>
        <w:t>i</w:t>
      </w:r>
      <w:r>
        <w:rPr>
          <w:rFonts w:ascii="宋体" w:hAnsi="宋体" w:eastAsia="宋体" w:cs="Times New Roman"/>
          <w:color w:val="auto"/>
        </w:rPr>
        <w:t>/Xo</w:t>
      </w:r>
      <w:r>
        <w:rPr>
          <w:rFonts w:ascii="宋体" w:hAnsi="宋体" w:eastAsia="宋体" w:cs="Times New Roman"/>
          <w:color w:val="auto"/>
          <w:vertAlign w:val="subscript"/>
        </w:rPr>
        <w:t>i</w:t>
      </w:r>
    </w:p>
    <w:p w14:paraId="7C1F54DD">
      <w:pPr>
        <w:pStyle w:val="276"/>
        <w:widowControl w:val="0"/>
        <w:ind w:firstLine="480"/>
        <w:jc w:val="both"/>
        <w:rPr>
          <w:color w:val="auto"/>
        </w:rPr>
      </w:pPr>
      <w:r>
        <w:rPr>
          <w:color w:val="auto"/>
        </w:rPr>
        <w:t>式中：K</w:t>
      </w:r>
      <w:r>
        <w:rPr>
          <w:color w:val="auto"/>
          <w:vertAlign w:val="subscript"/>
        </w:rPr>
        <w:t>i</w:t>
      </w:r>
      <w:r>
        <w:rPr>
          <w:color w:val="auto"/>
        </w:rPr>
        <w:t>——第i项分指数；</w:t>
      </w:r>
    </w:p>
    <w:p w14:paraId="590796F3">
      <w:pPr>
        <w:pStyle w:val="276"/>
        <w:widowControl w:val="0"/>
        <w:ind w:firstLine="480"/>
        <w:jc w:val="both"/>
        <w:rPr>
          <w:color w:val="auto"/>
        </w:rPr>
      </w:pPr>
      <w:r>
        <w:rPr>
          <w:color w:val="auto"/>
        </w:rPr>
        <w:t xml:space="preserve">   X</w:t>
      </w:r>
      <w:r>
        <w:rPr>
          <w:color w:val="auto"/>
          <w:vertAlign w:val="subscript"/>
        </w:rPr>
        <w:t>i</w:t>
      </w:r>
      <w:r>
        <w:rPr>
          <w:color w:val="auto"/>
        </w:rPr>
        <w:t>——土壤中i污染物的实测含量，mg/kg；</w:t>
      </w:r>
    </w:p>
    <w:p w14:paraId="1336BB13">
      <w:pPr>
        <w:pStyle w:val="276"/>
        <w:widowControl w:val="0"/>
        <w:ind w:firstLine="480"/>
        <w:jc w:val="both"/>
        <w:rPr>
          <w:color w:val="auto"/>
        </w:rPr>
      </w:pPr>
      <w:r>
        <w:rPr>
          <w:color w:val="auto"/>
        </w:rPr>
        <w:t xml:space="preserve">   Xo</w:t>
      </w:r>
      <w:r>
        <w:rPr>
          <w:color w:val="auto"/>
          <w:vertAlign w:val="subscript"/>
        </w:rPr>
        <w:t>i</w:t>
      </w:r>
      <w:r>
        <w:rPr>
          <w:color w:val="auto"/>
        </w:rPr>
        <w:t>——土壤中i污染物的标准值，mg/kg。</w:t>
      </w:r>
    </w:p>
    <w:p w14:paraId="35B396BA">
      <w:pPr>
        <w:pStyle w:val="276"/>
        <w:widowControl w:val="0"/>
        <w:ind w:firstLine="480"/>
        <w:jc w:val="both"/>
        <w:rPr>
          <w:color w:val="auto"/>
          <w:kern w:val="21"/>
        </w:rPr>
      </w:pPr>
      <w:r>
        <w:rPr>
          <w:color w:val="auto"/>
          <w:kern w:val="21"/>
        </w:rPr>
        <w:t>（2）评价标准</w:t>
      </w:r>
    </w:p>
    <w:p w14:paraId="45AA3AB5">
      <w:pPr>
        <w:pStyle w:val="276"/>
        <w:widowControl w:val="0"/>
        <w:ind w:firstLine="480"/>
        <w:jc w:val="both"/>
        <w:rPr>
          <w:color w:val="auto"/>
          <w:kern w:val="21"/>
        </w:rPr>
      </w:pPr>
      <w:r>
        <w:rPr>
          <w:color w:val="auto"/>
          <w:kern w:val="21"/>
        </w:rPr>
        <w:t>1#～7#监测点位土壤执行《土壤环境质量 建设用地土壤污染风险管控标准（试行）》（GB36600-2018）中表1建设用地土壤污染风险筛选值（基本项目）中第二类用地筛选值标准，以及表2（其他项目）中第二类用地筛选值标准；8#监测点位土壤执行《土壤环境质量 建设用地土壤污染风险管控标准（试行）》（GB36600-2018）中表1建设用地土壤污染风险筛选值（基本项目）中第一类用地筛选值标准，以及表2（其他项目）中第一类用地筛选值标准；9#～11#监测点位土壤执行《土壤环境质量 农用地土壤污染风险管控标准（试行）》（GB15618-2018）表1农用地土壤风险筛选值（基本项目）中标准。</w:t>
      </w:r>
    </w:p>
    <w:p w14:paraId="2E9B0321">
      <w:pPr>
        <w:pStyle w:val="276"/>
        <w:widowControl w:val="0"/>
        <w:ind w:firstLine="480"/>
        <w:jc w:val="both"/>
        <w:rPr>
          <w:color w:val="auto"/>
        </w:rPr>
      </w:pPr>
      <w:r>
        <w:rPr>
          <w:color w:val="auto"/>
        </w:rPr>
        <w:t>（3）土壤现状评价结果分析</w:t>
      </w:r>
    </w:p>
    <w:p w14:paraId="0BD3C682">
      <w:pPr>
        <w:pStyle w:val="276"/>
        <w:widowControl w:val="0"/>
        <w:ind w:firstLine="480"/>
        <w:jc w:val="both"/>
        <w:rPr>
          <w:color w:val="auto"/>
        </w:rPr>
      </w:pPr>
      <w:r>
        <w:rPr>
          <w:color w:val="auto"/>
        </w:rPr>
        <w:t>建设用地土壤环境质量现状评价结果见表4.3-2</w:t>
      </w:r>
      <w:r>
        <w:rPr>
          <w:rFonts w:hint="eastAsia"/>
          <w:color w:val="auto"/>
        </w:rPr>
        <w:t>3</w:t>
      </w:r>
      <w:r>
        <w:rPr>
          <w:color w:val="auto"/>
        </w:rPr>
        <w:t>和表4.2-2</w:t>
      </w:r>
      <w:r>
        <w:rPr>
          <w:rFonts w:hint="eastAsia"/>
          <w:color w:val="auto"/>
        </w:rPr>
        <w:t>4</w:t>
      </w:r>
      <w:r>
        <w:rPr>
          <w:color w:val="auto"/>
        </w:rPr>
        <w:t>。</w:t>
      </w:r>
      <w:r>
        <w:rPr>
          <w:color w:val="auto"/>
          <w:kern w:val="21"/>
        </w:rPr>
        <w:t>农用地土壤环境质量现状评价结果见表</w:t>
      </w:r>
      <w:r>
        <w:rPr>
          <w:color w:val="auto"/>
        </w:rPr>
        <w:t>4.3-2</w:t>
      </w:r>
      <w:r>
        <w:rPr>
          <w:rFonts w:hint="eastAsia"/>
          <w:color w:val="auto"/>
        </w:rPr>
        <w:t>5</w:t>
      </w:r>
      <w:r>
        <w:rPr>
          <w:color w:val="auto"/>
        </w:rPr>
        <w:t>。</w:t>
      </w:r>
    </w:p>
    <w:p w14:paraId="56732192">
      <w:pPr>
        <w:pStyle w:val="276"/>
        <w:widowControl w:val="0"/>
        <w:ind w:firstLine="480"/>
        <w:jc w:val="both"/>
        <w:rPr>
          <w:color w:val="auto"/>
          <w:kern w:val="21"/>
          <w:lang w:bidi="zh-CN"/>
        </w:rPr>
      </w:pPr>
      <w:r>
        <w:rPr>
          <w:color w:val="auto"/>
          <w:kern w:val="21"/>
          <w:lang w:bidi="zh-CN"/>
        </w:rPr>
        <w:t>表4.2-2</w:t>
      </w:r>
      <w:r>
        <w:rPr>
          <w:rFonts w:hint="eastAsia"/>
          <w:color w:val="auto"/>
          <w:kern w:val="21"/>
          <w:lang w:bidi="zh-CN"/>
        </w:rPr>
        <w:t>3</w:t>
      </w:r>
      <w:r>
        <w:rPr>
          <w:color w:val="auto"/>
          <w:kern w:val="21"/>
          <w:lang w:bidi="zh-CN"/>
        </w:rPr>
        <w:t xml:space="preserve"> 建设用地</w:t>
      </w:r>
      <w:r>
        <w:rPr>
          <w:color w:val="auto"/>
        </w:rPr>
        <w:t>土壤环境质量</w:t>
      </w:r>
      <w:r>
        <w:rPr>
          <w:color w:val="auto"/>
          <w:kern w:val="21"/>
          <w:lang w:bidi="zh-CN"/>
        </w:rPr>
        <w:t>现状评价结果</w:t>
      </w:r>
    </w:p>
    <w:tbl>
      <w:tblPr>
        <w:tblStyle w:val="8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autofit"/>
        <w:tblCellMar>
          <w:top w:w="0" w:type="dxa"/>
          <w:left w:w="108" w:type="dxa"/>
          <w:bottom w:w="0" w:type="dxa"/>
          <w:right w:w="108" w:type="dxa"/>
        </w:tblCellMar>
      </w:tblPr>
      <w:tblGrid>
        <w:gridCol w:w="479"/>
        <w:gridCol w:w="2015"/>
        <w:gridCol w:w="1124"/>
        <w:gridCol w:w="1125"/>
        <w:gridCol w:w="1126"/>
        <w:gridCol w:w="1186"/>
        <w:gridCol w:w="1071"/>
        <w:gridCol w:w="1144"/>
        <w:gridCol w:w="17"/>
      </w:tblGrid>
      <w:tr w14:paraId="0431D8A4">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vMerge w:val="restart"/>
            <w:shd w:val="clear" w:color="auto" w:fill="auto"/>
            <w:vAlign w:val="center"/>
          </w:tcPr>
          <w:p w14:paraId="19DBCEA9">
            <w:pPr>
              <w:snapToGrid w:val="0"/>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1086" w:type="pct"/>
            <w:vMerge w:val="restart"/>
            <w:shd w:val="clear" w:color="auto" w:fill="auto"/>
            <w:vAlign w:val="center"/>
          </w:tcPr>
          <w:p w14:paraId="2093DD19">
            <w:pPr>
              <w:snapToGrid w:val="0"/>
              <w:jc w:val="center"/>
              <w:rPr>
                <w:rFonts w:ascii="宋体" w:hAnsi="宋体" w:eastAsia="宋体" w:cs="Times New Roman"/>
                <w:snapToGrid w:val="0"/>
                <w:color w:val="auto"/>
              </w:rPr>
            </w:pPr>
            <w:r>
              <w:rPr>
                <w:rFonts w:ascii="宋体" w:hAnsi="宋体" w:eastAsia="宋体" w:cs="Times New Roman"/>
                <w:snapToGrid w:val="0"/>
                <w:color w:val="auto"/>
              </w:rPr>
              <w:t>监测项目</w:t>
            </w:r>
          </w:p>
        </w:tc>
        <w:tc>
          <w:tcPr>
            <w:tcW w:w="3646" w:type="pct"/>
            <w:gridSpan w:val="6"/>
            <w:shd w:val="clear" w:color="auto" w:fill="auto"/>
            <w:vAlign w:val="center"/>
          </w:tcPr>
          <w:p w14:paraId="6395C84B">
            <w:pPr>
              <w:jc w:val="center"/>
              <w:rPr>
                <w:rFonts w:ascii="宋体" w:hAnsi="宋体" w:eastAsia="宋体" w:cs="Times New Roman"/>
                <w:color w:val="auto"/>
              </w:rPr>
            </w:pPr>
            <w:r>
              <w:rPr>
                <w:rFonts w:ascii="宋体" w:hAnsi="宋体" w:eastAsia="宋体" w:cs="Times New Roman"/>
                <w:color w:val="auto"/>
              </w:rPr>
              <w:t>监测点位</w:t>
            </w:r>
          </w:p>
        </w:tc>
      </w:tr>
      <w:tr w14:paraId="2EE92378">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vMerge w:val="continue"/>
            <w:shd w:val="clear" w:color="auto" w:fill="auto"/>
            <w:vAlign w:val="center"/>
          </w:tcPr>
          <w:p w14:paraId="0750B491">
            <w:pPr>
              <w:snapToGrid w:val="0"/>
              <w:jc w:val="center"/>
              <w:rPr>
                <w:rFonts w:ascii="宋体" w:hAnsi="宋体" w:eastAsia="宋体" w:cs="Times New Roman"/>
                <w:snapToGrid w:val="0"/>
                <w:color w:val="auto"/>
              </w:rPr>
            </w:pPr>
          </w:p>
        </w:tc>
        <w:tc>
          <w:tcPr>
            <w:tcW w:w="1086" w:type="pct"/>
            <w:vMerge w:val="continue"/>
            <w:shd w:val="clear" w:color="auto" w:fill="auto"/>
            <w:vAlign w:val="center"/>
          </w:tcPr>
          <w:p w14:paraId="3E2BDFDD">
            <w:pPr>
              <w:snapToGrid w:val="0"/>
              <w:jc w:val="center"/>
              <w:rPr>
                <w:rFonts w:ascii="宋体" w:hAnsi="宋体" w:eastAsia="宋体" w:cs="Times New Roman"/>
                <w:snapToGrid w:val="0"/>
                <w:color w:val="auto"/>
              </w:rPr>
            </w:pPr>
          </w:p>
        </w:tc>
        <w:tc>
          <w:tcPr>
            <w:tcW w:w="1819" w:type="pct"/>
            <w:gridSpan w:val="3"/>
            <w:shd w:val="clear" w:color="auto" w:fill="auto"/>
            <w:vAlign w:val="center"/>
          </w:tcPr>
          <w:p w14:paraId="3437FC2D">
            <w:pPr>
              <w:jc w:val="center"/>
              <w:rPr>
                <w:rFonts w:ascii="宋体" w:hAnsi="宋体" w:eastAsia="宋体" w:cs="Times New Roman"/>
                <w:color w:val="auto"/>
              </w:rPr>
            </w:pPr>
            <w:r>
              <w:rPr>
                <w:rFonts w:ascii="宋体" w:hAnsi="宋体" w:eastAsia="宋体" w:cs="Times New Roman"/>
                <w:color w:val="auto"/>
              </w:rPr>
              <w:t>S1#</w:t>
            </w:r>
          </w:p>
        </w:tc>
        <w:tc>
          <w:tcPr>
            <w:tcW w:w="1827" w:type="pct"/>
            <w:gridSpan w:val="3"/>
            <w:shd w:val="clear" w:color="auto" w:fill="auto"/>
            <w:vAlign w:val="center"/>
          </w:tcPr>
          <w:p w14:paraId="62D20A7C">
            <w:pPr>
              <w:jc w:val="center"/>
              <w:rPr>
                <w:rFonts w:ascii="宋体" w:hAnsi="宋体" w:eastAsia="宋体" w:cs="Times New Roman"/>
                <w:color w:val="auto"/>
              </w:rPr>
            </w:pPr>
            <w:r>
              <w:rPr>
                <w:rFonts w:ascii="宋体" w:hAnsi="宋体" w:eastAsia="宋体" w:cs="Times New Roman"/>
                <w:color w:val="auto"/>
              </w:rPr>
              <w:t>S2#</w:t>
            </w:r>
          </w:p>
        </w:tc>
      </w:tr>
      <w:tr w14:paraId="2A7A11D3">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vMerge w:val="continue"/>
            <w:shd w:val="clear" w:color="auto" w:fill="auto"/>
            <w:vAlign w:val="center"/>
          </w:tcPr>
          <w:p w14:paraId="41028610">
            <w:pPr>
              <w:snapToGrid w:val="0"/>
              <w:jc w:val="center"/>
              <w:rPr>
                <w:rFonts w:ascii="宋体" w:hAnsi="宋体" w:eastAsia="宋体" w:cs="Times New Roman"/>
                <w:snapToGrid w:val="0"/>
                <w:color w:val="auto"/>
              </w:rPr>
            </w:pPr>
          </w:p>
        </w:tc>
        <w:tc>
          <w:tcPr>
            <w:tcW w:w="1086" w:type="pct"/>
            <w:vMerge w:val="continue"/>
            <w:shd w:val="clear" w:color="auto" w:fill="auto"/>
            <w:vAlign w:val="center"/>
          </w:tcPr>
          <w:p w14:paraId="18DDFAFE">
            <w:pPr>
              <w:snapToGrid w:val="0"/>
              <w:jc w:val="center"/>
              <w:rPr>
                <w:rFonts w:ascii="宋体" w:hAnsi="宋体" w:eastAsia="宋体" w:cs="Times New Roman"/>
                <w:snapToGrid w:val="0"/>
                <w:color w:val="auto"/>
              </w:rPr>
            </w:pPr>
          </w:p>
        </w:tc>
        <w:tc>
          <w:tcPr>
            <w:tcW w:w="606" w:type="pct"/>
            <w:shd w:val="clear" w:color="auto" w:fill="auto"/>
            <w:vAlign w:val="center"/>
          </w:tcPr>
          <w:p w14:paraId="16F29A53">
            <w:pPr>
              <w:jc w:val="center"/>
              <w:rPr>
                <w:rFonts w:ascii="宋体" w:hAnsi="宋体" w:eastAsia="宋体" w:cs="Times New Roman"/>
                <w:color w:val="auto"/>
              </w:rPr>
            </w:pPr>
            <w:r>
              <w:rPr>
                <w:rFonts w:ascii="宋体" w:hAnsi="宋体" w:eastAsia="宋体" w:cs="Times New Roman"/>
                <w:color w:val="auto"/>
              </w:rPr>
              <w:t>0-0.5m</w:t>
            </w:r>
          </w:p>
        </w:tc>
        <w:tc>
          <w:tcPr>
            <w:tcW w:w="606" w:type="pct"/>
            <w:shd w:val="clear" w:color="auto" w:fill="auto"/>
            <w:vAlign w:val="center"/>
          </w:tcPr>
          <w:p w14:paraId="74171088">
            <w:pPr>
              <w:jc w:val="center"/>
              <w:rPr>
                <w:rFonts w:ascii="宋体" w:hAnsi="宋体" w:eastAsia="宋体" w:cs="Times New Roman"/>
                <w:color w:val="auto"/>
              </w:rPr>
            </w:pPr>
            <w:r>
              <w:rPr>
                <w:rFonts w:ascii="宋体" w:hAnsi="宋体" w:eastAsia="宋体" w:cs="Times New Roman"/>
                <w:color w:val="auto"/>
              </w:rPr>
              <w:t>0.5-1.5m</w:t>
            </w:r>
          </w:p>
        </w:tc>
        <w:tc>
          <w:tcPr>
            <w:tcW w:w="607" w:type="pct"/>
            <w:shd w:val="clear" w:color="auto" w:fill="auto"/>
            <w:vAlign w:val="center"/>
          </w:tcPr>
          <w:p w14:paraId="33E21BF5">
            <w:pPr>
              <w:jc w:val="center"/>
              <w:rPr>
                <w:rFonts w:ascii="宋体" w:hAnsi="宋体" w:eastAsia="宋体" w:cs="Times New Roman"/>
                <w:color w:val="auto"/>
              </w:rPr>
            </w:pPr>
            <w:r>
              <w:rPr>
                <w:rFonts w:ascii="宋体" w:hAnsi="宋体" w:eastAsia="宋体" w:cs="Times New Roman"/>
                <w:color w:val="auto"/>
              </w:rPr>
              <w:t>1.5-3m</w:t>
            </w:r>
          </w:p>
        </w:tc>
        <w:tc>
          <w:tcPr>
            <w:tcW w:w="639" w:type="pct"/>
            <w:shd w:val="clear" w:color="auto" w:fill="auto"/>
            <w:vAlign w:val="center"/>
          </w:tcPr>
          <w:p w14:paraId="045744DF">
            <w:pPr>
              <w:jc w:val="center"/>
              <w:rPr>
                <w:rFonts w:ascii="宋体" w:hAnsi="宋体" w:eastAsia="宋体" w:cs="Times New Roman"/>
                <w:color w:val="auto"/>
              </w:rPr>
            </w:pPr>
            <w:r>
              <w:rPr>
                <w:rFonts w:ascii="宋体" w:hAnsi="宋体" w:eastAsia="宋体" w:cs="Times New Roman"/>
                <w:color w:val="auto"/>
              </w:rPr>
              <w:t>0-0.5m</w:t>
            </w:r>
          </w:p>
        </w:tc>
        <w:tc>
          <w:tcPr>
            <w:tcW w:w="577" w:type="pct"/>
            <w:shd w:val="clear" w:color="auto" w:fill="auto"/>
            <w:vAlign w:val="center"/>
          </w:tcPr>
          <w:p w14:paraId="22F9E1B3">
            <w:pPr>
              <w:jc w:val="center"/>
              <w:rPr>
                <w:rFonts w:ascii="宋体" w:hAnsi="宋体" w:eastAsia="宋体" w:cs="Times New Roman"/>
                <w:color w:val="auto"/>
              </w:rPr>
            </w:pPr>
            <w:r>
              <w:rPr>
                <w:rFonts w:ascii="宋体" w:hAnsi="宋体" w:eastAsia="宋体" w:cs="Times New Roman"/>
                <w:color w:val="auto"/>
              </w:rPr>
              <w:t>0.5-1.5m</w:t>
            </w:r>
          </w:p>
        </w:tc>
        <w:tc>
          <w:tcPr>
            <w:tcW w:w="611" w:type="pct"/>
            <w:shd w:val="clear" w:color="auto" w:fill="auto"/>
            <w:vAlign w:val="center"/>
          </w:tcPr>
          <w:p w14:paraId="67545CD4">
            <w:pPr>
              <w:jc w:val="center"/>
              <w:rPr>
                <w:rFonts w:ascii="宋体" w:hAnsi="宋体" w:eastAsia="宋体" w:cs="Times New Roman"/>
                <w:color w:val="auto"/>
              </w:rPr>
            </w:pPr>
            <w:r>
              <w:rPr>
                <w:rFonts w:ascii="宋体" w:hAnsi="宋体" w:eastAsia="宋体" w:cs="Times New Roman"/>
                <w:color w:val="auto"/>
              </w:rPr>
              <w:t>1.5-3m</w:t>
            </w:r>
          </w:p>
        </w:tc>
      </w:tr>
      <w:tr w14:paraId="47A9F1D3">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280A9934">
            <w:pPr>
              <w:snapToGrid w:val="0"/>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1086" w:type="pct"/>
            <w:shd w:val="clear" w:color="auto" w:fill="auto"/>
            <w:vAlign w:val="center"/>
          </w:tcPr>
          <w:p w14:paraId="39A439A8">
            <w:pPr>
              <w:adjustRightInd w:val="0"/>
              <w:snapToGrid w:val="0"/>
              <w:jc w:val="center"/>
              <w:rPr>
                <w:rFonts w:ascii="宋体" w:hAnsi="宋体" w:eastAsia="宋体" w:cs="Times New Roman"/>
                <w:color w:val="auto"/>
              </w:rPr>
            </w:pPr>
            <w:r>
              <w:rPr>
                <w:rFonts w:ascii="宋体" w:hAnsi="宋体" w:eastAsia="宋体" w:cs="Times New Roman"/>
                <w:color w:val="auto"/>
              </w:rPr>
              <w:t>pH</w:t>
            </w:r>
          </w:p>
        </w:tc>
        <w:tc>
          <w:tcPr>
            <w:tcW w:w="606" w:type="pct"/>
            <w:shd w:val="clear" w:color="auto" w:fill="auto"/>
            <w:vAlign w:val="center"/>
          </w:tcPr>
          <w:p w14:paraId="6C44ACBB">
            <w:pPr>
              <w:tabs>
                <w:tab w:val="left" w:pos="679"/>
              </w:tabs>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606" w:type="pct"/>
            <w:shd w:val="clear" w:color="auto" w:fill="auto"/>
            <w:vAlign w:val="center"/>
          </w:tcPr>
          <w:p w14:paraId="21A385CF">
            <w:pPr>
              <w:tabs>
                <w:tab w:val="left" w:pos="679"/>
              </w:tabs>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607" w:type="pct"/>
            <w:shd w:val="clear" w:color="auto" w:fill="auto"/>
            <w:vAlign w:val="center"/>
          </w:tcPr>
          <w:p w14:paraId="1951240D">
            <w:pPr>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639" w:type="pct"/>
            <w:shd w:val="clear" w:color="auto" w:fill="auto"/>
            <w:vAlign w:val="center"/>
          </w:tcPr>
          <w:p w14:paraId="58E0D5FF">
            <w:pPr>
              <w:tabs>
                <w:tab w:val="left" w:pos="679"/>
              </w:tabs>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577" w:type="pct"/>
            <w:shd w:val="clear" w:color="auto" w:fill="auto"/>
            <w:vAlign w:val="center"/>
          </w:tcPr>
          <w:p w14:paraId="447E7838">
            <w:pPr>
              <w:tabs>
                <w:tab w:val="left" w:pos="679"/>
              </w:tabs>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611" w:type="pct"/>
            <w:shd w:val="clear" w:color="auto" w:fill="auto"/>
            <w:vAlign w:val="center"/>
          </w:tcPr>
          <w:p w14:paraId="42D6DB5A">
            <w:pPr>
              <w:adjustRightInd w:val="0"/>
              <w:snapToGrid w:val="0"/>
              <w:jc w:val="center"/>
              <w:rPr>
                <w:rFonts w:ascii="宋体" w:hAnsi="宋体" w:eastAsia="宋体" w:cs="Times New Roman"/>
                <w:color w:val="auto"/>
              </w:rPr>
            </w:pPr>
            <w:r>
              <w:rPr>
                <w:rFonts w:ascii="宋体" w:hAnsi="宋体" w:eastAsia="宋体" w:cs="Times New Roman"/>
                <w:color w:val="auto"/>
              </w:rPr>
              <w:t>/</w:t>
            </w:r>
          </w:p>
        </w:tc>
      </w:tr>
      <w:tr w14:paraId="09CEBE9E">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5DAEF53B">
            <w:pPr>
              <w:snapToGrid w:val="0"/>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1086" w:type="pct"/>
            <w:shd w:val="clear" w:color="auto" w:fill="auto"/>
            <w:vAlign w:val="center"/>
          </w:tcPr>
          <w:p w14:paraId="1C02C083">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镉（Cd）</w:t>
            </w:r>
          </w:p>
        </w:tc>
        <w:tc>
          <w:tcPr>
            <w:tcW w:w="606" w:type="pct"/>
            <w:shd w:val="clear" w:color="auto" w:fill="auto"/>
            <w:vAlign w:val="center"/>
          </w:tcPr>
          <w:p w14:paraId="30A0208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0.002 </w:t>
            </w:r>
          </w:p>
        </w:tc>
        <w:tc>
          <w:tcPr>
            <w:tcW w:w="606" w:type="pct"/>
            <w:shd w:val="clear" w:color="auto" w:fill="auto"/>
            <w:vAlign w:val="center"/>
          </w:tcPr>
          <w:p w14:paraId="0A0CCB1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07" w:type="pct"/>
            <w:shd w:val="clear" w:color="auto" w:fill="auto"/>
            <w:vAlign w:val="center"/>
          </w:tcPr>
          <w:p w14:paraId="27D6ED7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39" w:type="pct"/>
            <w:shd w:val="clear" w:color="auto" w:fill="auto"/>
            <w:vAlign w:val="center"/>
          </w:tcPr>
          <w:p w14:paraId="7B61DBF4">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0.002 </w:t>
            </w:r>
          </w:p>
        </w:tc>
        <w:tc>
          <w:tcPr>
            <w:tcW w:w="577" w:type="pct"/>
            <w:shd w:val="clear" w:color="auto" w:fill="auto"/>
            <w:vAlign w:val="center"/>
          </w:tcPr>
          <w:p w14:paraId="7440100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11" w:type="pct"/>
            <w:shd w:val="clear" w:color="auto" w:fill="auto"/>
            <w:vAlign w:val="center"/>
          </w:tcPr>
          <w:p w14:paraId="58B3EE6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r>
      <w:tr w14:paraId="5A8BFC1A">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5B735FE8">
            <w:pPr>
              <w:snapToGrid w:val="0"/>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1086" w:type="pct"/>
            <w:shd w:val="clear" w:color="auto" w:fill="auto"/>
            <w:vAlign w:val="center"/>
          </w:tcPr>
          <w:p w14:paraId="74331D12">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汞（Hg）</w:t>
            </w:r>
          </w:p>
        </w:tc>
        <w:tc>
          <w:tcPr>
            <w:tcW w:w="606" w:type="pct"/>
            <w:shd w:val="clear" w:color="auto" w:fill="auto"/>
            <w:vAlign w:val="center"/>
          </w:tcPr>
          <w:p w14:paraId="67EF3AE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06" w:type="pct"/>
            <w:shd w:val="clear" w:color="auto" w:fill="auto"/>
            <w:vAlign w:val="center"/>
          </w:tcPr>
          <w:p w14:paraId="5FB41B1E">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07" w:type="pct"/>
            <w:shd w:val="clear" w:color="auto" w:fill="auto"/>
            <w:vAlign w:val="center"/>
          </w:tcPr>
          <w:p w14:paraId="1B812E4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639" w:type="pct"/>
            <w:shd w:val="clear" w:color="auto" w:fill="auto"/>
            <w:vAlign w:val="center"/>
          </w:tcPr>
          <w:p w14:paraId="45D8641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577" w:type="pct"/>
            <w:shd w:val="clear" w:color="auto" w:fill="auto"/>
            <w:vAlign w:val="center"/>
          </w:tcPr>
          <w:p w14:paraId="198445C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611" w:type="pct"/>
            <w:shd w:val="clear" w:color="auto" w:fill="auto"/>
            <w:vAlign w:val="center"/>
          </w:tcPr>
          <w:p w14:paraId="0274EBF0">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r>
      <w:tr w14:paraId="376ECA07">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475347D7">
            <w:pPr>
              <w:snapToGrid w:val="0"/>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1086" w:type="pct"/>
            <w:shd w:val="clear" w:color="auto" w:fill="auto"/>
            <w:vAlign w:val="center"/>
          </w:tcPr>
          <w:p w14:paraId="60F7DE24">
            <w:pPr>
              <w:adjustRightInd w:val="0"/>
              <w:snapToGrid w:val="0"/>
              <w:jc w:val="center"/>
              <w:rPr>
                <w:rFonts w:ascii="宋体" w:hAnsi="宋体" w:eastAsia="宋体" w:cs="Times New Roman"/>
                <w:color w:val="auto"/>
              </w:rPr>
            </w:pPr>
            <w:r>
              <w:rPr>
                <w:rFonts w:ascii="宋体" w:hAnsi="宋体" w:eastAsia="宋体" w:cs="Times New Roman"/>
                <w:snapToGrid w:val="0"/>
                <w:color w:val="auto"/>
              </w:rPr>
              <w:t>砷（As）</w:t>
            </w:r>
          </w:p>
        </w:tc>
        <w:tc>
          <w:tcPr>
            <w:tcW w:w="606" w:type="pct"/>
            <w:shd w:val="clear" w:color="auto" w:fill="auto"/>
            <w:vAlign w:val="center"/>
          </w:tcPr>
          <w:p w14:paraId="2011FF8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0.054 </w:t>
            </w:r>
          </w:p>
        </w:tc>
        <w:tc>
          <w:tcPr>
            <w:tcW w:w="606" w:type="pct"/>
            <w:shd w:val="clear" w:color="auto" w:fill="auto"/>
            <w:vAlign w:val="center"/>
          </w:tcPr>
          <w:p w14:paraId="6D844F21">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0.055 </w:t>
            </w:r>
          </w:p>
        </w:tc>
        <w:tc>
          <w:tcPr>
            <w:tcW w:w="607" w:type="pct"/>
            <w:shd w:val="clear" w:color="auto" w:fill="auto"/>
            <w:vAlign w:val="center"/>
          </w:tcPr>
          <w:p w14:paraId="07DC9F9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0.057 </w:t>
            </w:r>
          </w:p>
        </w:tc>
        <w:tc>
          <w:tcPr>
            <w:tcW w:w="639" w:type="pct"/>
            <w:shd w:val="clear" w:color="auto" w:fill="auto"/>
            <w:vAlign w:val="center"/>
          </w:tcPr>
          <w:p w14:paraId="35E2842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0.054 </w:t>
            </w:r>
          </w:p>
        </w:tc>
        <w:tc>
          <w:tcPr>
            <w:tcW w:w="577" w:type="pct"/>
            <w:shd w:val="clear" w:color="auto" w:fill="auto"/>
            <w:vAlign w:val="center"/>
          </w:tcPr>
          <w:p w14:paraId="4DF5678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0.055 </w:t>
            </w:r>
          </w:p>
        </w:tc>
        <w:tc>
          <w:tcPr>
            <w:tcW w:w="611" w:type="pct"/>
            <w:shd w:val="clear" w:color="auto" w:fill="auto"/>
            <w:vAlign w:val="center"/>
          </w:tcPr>
          <w:p w14:paraId="5A923E5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0.057 </w:t>
            </w:r>
          </w:p>
        </w:tc>
      </w:tr>
      <w:tr w14:paraId="374EE5ED">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30494563">
            <w:pPr>
              <w:snapToGrid w:val="0"/>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1086" w:type="pct"/>
            <w:shd w:val="clear" w:color="auto" w:fill="auto"/>
            <w:vAlign w:val="center"/>
          </w:tcPr>
          <w:p w14:paraId="05F7AE73">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铅（Pb）</w:t>
            </w:r>
          </w:p>
        </w:tc>
        <w:tc>
          <w:tcPr>
            <w:tcW w:w="606" w:type="pct"/>
            <w:shd w:val="clear" w:color="auto" w:fill="auto"/>
            <w:vAlign w:val="center"/>
          </w:tcPr>
          <w:p w14:paraId="09EC303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0.023 </w:t>
            </w:r>
          </w:p>
        </w:tc>
        <w:tc>
          <w:tcPr>
            <w:tcW w:w="606" w:type="pct"/>
            <w:shd w:val="clear" w:color="auto" w:fill="auto"/>
            <w:vAlign w:val="center"/>
          </w:tcPr>
          <w:p w14:paraId="4501AD67">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0.025 </w:t>
            </w:r>
          </w:p>
        </w:tc>
        <w:tc>
          <w:tcPr>
            <w:tcW w:w="607" w:type="pct"/>
            <w:shd w:val="clear" w:color="auto" w:fill="auto"/>
            <w:vAlign w:val="center"/>
          </w:tcPr>
          <w:p w14:paraId="6C662DF2">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0.024 </w:t>
            </w:r>
          </w:p>
        </w:tc>
        <w:tc>
          <w:tcPr>
            <w:tcW w:w="639" w:type="pct"/>
            <w:shd w:val="clear" w:color="auto" w:fill="auto"/>
            <w:vAlign w:val="center"/>
          </w:tcPr>
          <w:p w14:paraId="26FD7B7A">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0.023 </w:t>
            </w:r>
          </w:p>
        </w:tc>
        <w:tc>
          <w:tcPr>
            <w:tcW w:w="577" w:type="pct"/>
            <w:shd w:val="clear" w:color="auto" w:fill="auto"/>
            <w:vAlign w:val="center"/>
          </w:tcPr>
          <w:p w14:paraId="6576B3C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0.025 </w:t>
            </w:r>
          </w:p>
        </w:tc>
        <w:tc>
          <w:tcPr>
            <w:tcW w:w="611" w:type="pct"/>
            <w:shd w:val="clear" w:color="auto" w:fill="auto"/>
            <w:vAlign w:val="center"/>
          </w:tcPr>
          <w:p w14:paraId="15DC1644">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0.024 </w:t>
            </w:r>
          </w:p>
        </w:tc>
      </w:tr>
      <w:tr w14:paraId="1F5604E9">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68D789EA">
            <w:pPr>
              <w:snapToGrid w:val="0"/>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1086" w:type="pct"/>
            <w:shd w:val="clear" w:color="auto" w:fill="auto"/>
            <w:vAlign w:val="center"/>
          </w:tcPr>
          <w:p w14:paraId="2FD2C787">
            <w:pPr>
              <w:adjustRightInd w:val="0"/>
              <w:snapToGrid w:val="0"/>
              <w:jc w:val="center"/>
              <w:rPr>
                <w:rFonts w:ascii="宋体" w:hAnsi="宋体" w:eastAsia="宋体" w:cs="Times New Roman"/>
                <w:color w:val="auto"/>
              </w:rPr>
            </w:pPr>
            <w:r>
              <w:rPr>
                <w:rFonts w:ascii="宋体" w:hAnsi="宋体" w:eastAsia="宋体" w:cs="Times New Roman"/>
                <w:color w:val="auto"/>
              </w:rPr>
              <w:t>铬（六价）</w:t>
            </w:r>
          </w:p>
        </w:tc>
        <w:tc>
          <w:tcPr>
            <w:tcW w:w="606" w:type="pct"/>
            <w:shd w:val="clear" w:color="auto" w:fill="auto"/>
            <w:vAlign w:val="center"/>
          </w:tcPr>
          <w:p w14:paraId="443D40A3">
            <w:pPr>
              <w:adjustRightInd w:val="0"/>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06" w:type="pct"/>
            <w:shd w:val="clear" w:color="auto" w:fill="auto"/>
            <w:vAlign w:val="center"/>
          </w:tcPr>
          <w:p w14:paraId="7CE588B3">
            <w:pPr>
              <w:adjustRightInd w:val="0"/>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07" w:type="pct"/>
            <w:shd w:val="clear" w:color="auto" w:fill="auto"/>
            <w:vAlign w:val="center"/>
          </w:tcPr>
          <w:p w14:paraId="0CBA32EB">
            <w:pPr>
              <w:adjustRightInd w:val="0"/>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39" w:type="pct"/>
            <w:shd w:val="clear" w:color="auto" w:fill="auto"/>
            <w:vAlign w:val="center"/>
          </w:tcPr>
          <w:p w14:paraId="5E400676">
            <w:pPr>
              <w:adjustRightInd w:val="0"/>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577" w:type="pct"/>
            <w:shd w:val="clear" w:color="auto" w:fill="auto"/>
            <w:vAlign w:val="center"/>
          </w:tcPr>
          <w:p w14:paraId="5944B355">
            <w:pPr>
              <w:adjustRightInd w:val="0"/>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11" w:type="pct"/>
            <w:shd w:val="clear" w:color="auto" w:fill="auto"/>
            <w:vAlign w:val="center"/>
          </w:tcPr>
          <w:p w14:paraId="3BA0B53F">
            <w:pPr>
              <w:adjustRightInd w:val="0"/>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r>
      <w:tr w14:paraId="0974CF3D">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42071C03">
            <w:pPr>
              <w:snapToGrid w:val="0"/>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1086" w:type="pct"/>
            <w:shd w:val="clear" w:color="auto" w:fill="auto"/>
            <w:vAlign w:val="center"/>
          </w:tcPr>
          <w:p w14:paraId="25CA6FDD">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铜（Cu）</w:t>
            </w:r>
          </w:p>
        </w:tc>
        <w:tc>
          <w:tcPr>
            <w:tcW w:w="606" w:type="pct"/>
            <w:shd w:val="clear" w:color="auto" w:fill="auto"/>
            <w:vAlign w:val="center"/>
          </w:tcPr>
          <w:p w14:paraId="623243C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06" w:type="pct"/>
            <w:shd w:val="clear" w:color="auto" w:fill="auto"/>
            <w:vAlign w:val="center"/>
          </w:tcPr>
          <w:p w14:paraId="3D5F28F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07" w:type="pct"/>
            <w:shd w:val="clear" w:color="auto" w:fill="auto"/>
            <w:vAlign w:val="center"/>
          </w:tcPr>
          <w:p w14:paraId="06B39FB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39" w:type="pct"/>
            <w:shd w:val="clear" w:color="auto" w:fill="auto"/>
            <w:vAlign w:val="center"/>
          </w:tcPr>
          <w:p w14:paraId="3402FF5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577" w:type="pct"/>
            <w:shd w:val="clear" w:color="auto" w:fill="auto"/>
            <w:vAlign w:val="center"/>
          </w:tcPr>
          <w:p w14:paraId="720B11A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11" w:type="pct"/>
            <w:shd w:val="clear" w:color="auto" w:fill="auto"/>
            <w:vAlign w:val="center"/>
          </w:tcPr>
          <w:p w14:paraId="2DB164C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r>
      <w:tr w14:paraId="08911EAF">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613F0491">
            <w:pPr>
              <w:snapToGrid w:val="0"/>
              <w:jc w:val="center"/>
              <w:rPr>
                <w:rFonts w:ascii="宋体" w:hAnsi="宋体" w:eastAsia="宋体" w:cs="Times New Roman"/>
                <w:snapToGrid w:val="0"/>
                <w:color w:val="auto"/>
              </w:rPr>
            </w:pPr>
            <w:r>
              <w:rPr>
                <w:rFonts w:ascii="宋体" w:hAnsi="宋体" w:eastAsia="宋体" w:cs="Times New Roman"/>
                <w:snapToGrid w:val="0"/>
                <w:color w:val="auto"/>
              </w:rPr>
              <w:t>8</w:t>
            </w:r>
          </w:p>
        </w:tc>
        <w:tc>
          <w:tcPr>
            <w:tcW w:w="1086" w:type="pct"/>
            <w:shd w:val="clear" w:color="auto" w:fill="auto"/>
            <w:vAlign w:val="center"/>
          </w:tcPr>
          <w:p w14:paraId="499F0B5D">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镍（Ni）</w:t>
            </w:r>
          </w:p>
        </w:tc>
        <w:tc>
          <w:tcPr>
            <w:tcW w:w="606" w:type="pct"/>
            <w:shd w:val="clear" w:color="auto" w:fill="auto"/>
            <w:vAlign w:val="center"/>
          </w:tcPr>
          <w:p w14:paraId="7583BCB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0.028 </w:t>
            </w:r>
          </w:p>
        </w:tc>
        <w:tc>
          <w:tcPr>
            <w:tcW w:w="606" w:type="pct"/>
            <w:shd w:val="clear" w:color="auto" w:fill="auto"/>
            <w:vAlign w:val="center"/>
          </w:tcPr>
          <w:p w14:paraId="59EB685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0.023 </w:t>
            </w:r>
          </w:p>
        </w:tc>
        <w:tc>
          <w:tcPr>
            <w:tcW w:w="607" w:type="pct"/>
            <w:shd w:val="clear" w:color="auto" w:fill="auto"/>
            <w:vAlign w:val="center"/>
          </w:tcPr>
          <w:p w14:paraId="370F6DF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0.026 </w:t>
            </w:r>
          </w:p>
        </w:tc>
        <w:tc>
          <w:tcPr>
            <w:tcW w:w="639" w:type="pct"/>
            <w:shd w:val="clear" w:color="auto" w:fill="auto"/>
            <w:vAlign w:val="center"/>
          </w:tcPr>
          <w:p w14:paraId="65FA365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0.028 </w:t>
            </w:r>
          </w:p>
        </w:tc>
        <w:tc>
          <w:tcPr>
            <w:tcW w:w="577" w:type="pct"/>
            <w:shd w:val="clear" w:color="auto" w:fill="auto"/>
            <w:vAlign w:val="center"/>
          </w:tcPr>
          <w:p w14:paraId="4B041F8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0.023 </w:t>
            </w:r>
          </w:p>
        </w:tc>
        <w:tc>
          <w:tcPr>
            <w:tcW w:w="611" w:type="pct"/>
            <w:shd w:val="clear" w:color="auto" w:fill="auto"/>
            <w:vAlign w:val="center"/>
          </w:tcPr>
          <w:p w14:paraId="783AF33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0.026 </w:t>
            </w:r>
          </w:p>
        </w:tc>
      </w:tr>
      <w:tr w14:paraId="49F9E6C7">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4252DEBD">
            <w:pPr>
              <w:snapToGrid w:val="0"/>
              <w:jc w:val="center"/>
              <w:rPr>
                <w:rFonts w:ascii="宋体" w:hAnsi="宋体" w:eastAsia="宋体" w:cs="Times New Roman"/>
                <w:snapToGrid w:val="0"/>
                <w:color w:val="auto"/>
              </w:rPr>
            </w:pPr>
            <w:r>
              <w:rPr>
                <w:rFonts w:ascii="宋体" w:hAnsi="宋体" w:eastAsia="宋体" w:cs="Times New Roman"/>
                <w:snapToGrid w:val="0"/>
                <w:color w:val="auto"/>
              </w:rPr>
              <w:t>9</w:t>
            </w:r>
          </w:p>
        </w:tc>
        <w:tc>
          <w:tcPr>
            <w:tcW w:w="1086" w:type="pct"/>
            <w:shd w:val="clear" w:color="auto" w:fill="auto"/>
            <w:vAlign w:val="center"/>
          </w:tcPr>
          <w:p w14:paraId="0037D739">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水溶性盐总量</w:t>
            </w:r>
          </w:p>
        </w:tc>
        <w:tc>
          <w:tcPr>
            <w:tcW w:w="606" w:type="pct"/>
            <w:shd w:val="clear" w:color="auto" w:fill="auto"/>
            <w:vAlign w:val="center"/>
          </w:tcPr>
          <w:p w14:paraId="79486205">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6" w:type="pct"/>
            <w:shd w:val="clear" w:color="auto" w:fill="auto"/>
            <w:vAlign w:val="center"/>
          </w:tcPr>
          <w:p w14:paraId="68E5627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7" w:type="pct"/>
            <w:shd w:val="clear" w:color="auto" w:fill="auto"/>
            <w:vAlign w:val="center"/>
          </w:tcPr>
          <w:p w14:paraId="43002343">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39" w:type="pct"/>
            <w:shd w:val="clear" w:color="auto" w:fill="auto"/>
            <w:vAlign w:val="center"/>
          </w:tcPr>
          <w:p w14:paraId="7755909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77" w:type="pct"/>
            <w:shd w:val="clear" w:color="auto" w:fill="auto"/>
            <w:vAlign w:val="center"/>
          </w:tcPr>
          <w:p w14:paraId="2899B79F">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11" w:type="pct"/>
            <w:shd w:val="clear" w:color="auto" w:fill="auto"/>
            <w:vAlign w:val="center"/>
          </w:tcPr>
          <w:p w14:paraId="2C26077C">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r>
      <w:tr w14:paraId="7C02B630">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13174C1E">
            <w:pPr>
              <w:snapToGrid w:val="0"/>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1086" w:type="pct"/>
            <w:shd w:val="clear" w:color="auto" w:fill="auto"/>
            <w:vAlign w:val="center"/>
          </w:tcPr>
          <w:p w14:paraId="7FCFDCFB">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w:t>
            </w:r>
          </w:p>
        </w:tc>
        <w:tc>
          <w:tcPr>
            <w:tcW w:w="606" w:type="pct"/>
            <w:shd w:val="clear" w:color="auto" w:fill="auto"/>
            <w:vAlign w:val="center"/>
          </w:tcPr>
          <w:p w14:paraId="645D9154">
            <w:pPr>
              <w:jc w:val="center"/>
              <w:rPr>
                <w:rFonts w:ascii="宋体" w:hAnsi="宋体" w:eastAsia="宋体" w:cs="Times New Roman"/>
                <w:color w:val="auto"/>
              </w:rPr>
            </w:pPr>
            <w:r>
              <w:rPr>
                <w:rFonts w:ascii="宋体" w:hAnsi="宋体" w:eastAsia="宋体" w:cs="Times New Roman"/>
                <w:color w:val="auto"/>
              </w:rPr>
              <w:t>0.000666</w:t>
            </w:r>
          </w:p>
        </w:tc>
        <w:tc>
          <w:tcPr>
            <w:tcW w:w="606" w:type="pct"/>
            <w:shd w:val="clear" w:color="auto" w:fill="auto"/>
            <w:vAlign w:val="center"/>
          </w:tcPr>
          <w:p w14:paraId="749D1F00">
            <w:pPr>
              <w:jc w:val="center"/>
              <w:rPr>
                <w:rFonts w:ascii="宋体" w:hAnsi="宋体" w:eastAsia="宋体" w:cs="Times New Roman"/>
                <w:color w:val="auto"/>
              </w:rPr>
            </w:pPr>
            <w:r>
              <w:rPr>
                <w:rFonts w:ascii="宋体" w:hAnsi="宋体" w:eastAsia="宋体" w:cs="Times New Roman"/>
                <w:color w:val="auto"/>
              </w:rPr>
              <w:t>0.000666</w:t>
            </w:r>
          </w:p>
        </w:tc>
        <w:tc>
          <w:tcPr>
            <w:tcW w:w="607" w:type="pct"/>
            <w:shd w:val="clear" w:color="auto" w:fill="auto"/>
            <w:vAlign w:val="center"/>
          </w:tcPr>
          <w:p w14:paraId="4ABB3AE3">
            <w:pPr>
              <w:jc w:val="center"/>
              <w:rPr>
                <w:rFonts w:ascii="宋体" w:hAnsi="宋体" w:eastAsia="宋体" w:cs="Times New Roman"/>
                <w:color w:val="auto"/>
              </w:rPr>
            </w:pPr>
            <w:r>
              <w:rPr>
                <w:rFonts w:ascii="宋体" w:hAnsi="宋体" w:eastAsia="宋体" w:cs="Times New Roman"/>
                <w:color w:val="auto"/>
              </w:rPr>
              <w:t>0.000666</w:t>
            </w:r>
          </w:p>
        </w:tc>
        <w:tc>
          <w:tcPr>
            <w:tcW w:w="639" w:type="pct"/>
            <w:shd w:val="clear" w:color="auto" w:fill="auto"/>
            <w:vAlign w:val="center"/>
          </w:tcPr>
          <w:p w14:paraId="0BCEE1EC">
            <w:pPr>
              <w:jc w:val="center"/>
              <w:rPr>
                <w:rFonts w:ascii="宋体" w:hAnsi="宋体" w:eastAsia="宋体" w:cs="Times New Roman"/>
                <w:color w:val="auto"/>
              </w:rPr>
            </w:pPr>
            <w:r>
              <w:rPr>
                <w:rFonts w:ascii="宋体" w:hAnsi="宋体" w:eastAsia="宋体" w:cs="Times New Roman"/>
                <w:color w:val="auto"/>
              </w:rPr>
              <w:t>0.000666</w:t>
            </w:r>
          </w:p>
        </w:tc>
        <w:tc>
          <w:tcPr>
            <w:tcW w:w="577" w:type="pct"/>
            <w:shd w:val="clear" w:color="auto" w:fill="auto"/>
            <w:vAlign w:val="center"/>
          </w:tcPr>
          <w:p w14:paraId="1ABDCAD7">
            <w:pPr>
              <w:jc w:val="center"/>
              <w:rPr>
                <w:rFonts w:ascii="宋体" w:hAnsi="宋体" w:eastAsia="宋体" w:cs="Times New Roman"/>
                <w:color w:val="auto"/>
              </w:rPr>
            </w:pPr>
            <w:r>
              <w:rPr>
                <w:rFonts w:ascii="宋体" w:hAnsi="宋体" w:eastAsia="宋体" w:cs="Times New Roman"/>
                <w:color w:val="auto"/>
              </w:rPr>
              <w:t>0.000666</w:t>
            </w:r>
          </w:p>
        </w:tc>
        <w:tc>
          <w:tcPr>
            <w:tcW w:w="611" w:type="pct"/>
            <w:shd w:val="clear" w:color="auto" w:fill="auto"/>
            <w:vAlign w:val="center"/>
          </w:tcPr>
          <w:p w14:paraId="7E1B651B">
            <w:pPr>
              <w:jc w:val="center"/>
              <w:rPr>
                <w:rFonts w:ascii="宋体" w:hAnsi="宋体" w:eastAsia="宋体" w:cs="Times New Roman"/>
                <w:color w:val="auto"/>
              </w:rPr>
            </w:pPr>
            <w:r>
              <w:rPr>
                <w:rFonts w:ascii="宋体" w:hAnsi="宋体" w:eastAsia="宋体" w:cs="Times New Roman"/>
                <w:color w:val="auto"/>
              </w:rPr>
              <w:t>0.000666</w:t>
            </w:r>
          </w:p>
        </w:tc>
      </w:tr>
      <w:tr w14:paraId="73FD64E0">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0F145989">
            <w:pPr>
              <w:snapToGrid w:val="0"/>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086" w:type="pct"/>
            <w:shd w:val="clear" w:color="auto" w:fill="auto"/>
            <w:vAlign w:val="center"/>
          </w:tcPr>
          <w:p w14:paraId="1ABB8742">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w:t>
            </w:r>
          </w:p>
        </w:tc>
        <w:tc>
          <w:tcPr>
            <w:tcW w:w="606" w:type="pct"/>
            <w:shd w:val="clear" w:color="auto" w:fill="auto"/>
            <w:vAlign w:val="center"/>
          </w:tcPr>
          <w:p w14:paraId="2740A214">
            <w:pPr>
              <w:jc w:val="center"/>
              <w:rPr>
                <w:rFonts w:ascii="宋体" w:hAnsi="宋体" w:eastAsia="宋体" w:cs="Times New Roman"/>
                <w:color w:val="auto"/>
              </w:rPr>
            </w:pPr>
            <w:r>
              <w:rPr>
                <w:rFonts w:ascii="宋体" w:hAnsi="宋体" w:eastAsia="宋体" w:cs="Times New Roman"/>
                <w:snapToGrid w:val="0"/>
                <w:color w:val="auto"/>
              </w:rPr>
              <w:t>/</w:t>
            </w:r>
          </w:p>
        </w:tc>
        <w:tc>
          <w:tcPr>
            <w:tcW w:w="606" w:type="pct"/>
            <w:shd w:val="clear" w:color="auto" w:fill="auto"/>
            <w:vAlign w:val="center"/>
          </w:tcPr>
          <w:p w14:paraId="7596AE75">
            <w:pPr>
              <w:jc w:val="center"/>
              <w:rPr>
                <w:rFonts w:ascii="宋体" w:hAnsi="宋体" w:eastAsia="宋体" w:cs="Times New Roman"/>
                <w:color w:val="auto"/>
              </w:rPr>
            </w:pPr>
            <w:r>
              <w:rPr>
                <w:rFonts w:ascii="宋体" w:hAnsi="宋体" w:eastAsia="宋体" w:cs="Times New Roman"/>
                <w:snapToGrid w:val="0"/>
                <w:color w:val="auto"/>
              </w:rPr>
              <w:t>/</w:t>
            </w:r>
          </w:p>
        </w:tc>
        <w:tc>
          <w:tcPr>
            <w:tcW w:w="607" w:type="pct"/>
            <w:shd w:val="clear" w:color="auto" w:fill="auto"/>
            <w:vAlign w:val="center"/>
          </w:tcPr>
          <w:p w14:paraId="30AFAC80">
            <w:pPr>
              <w:jc w:val="center"/>
              <w:rPr>
                <w:rFonts w:ascii="宋体" w:hAnsi="宋体" w:eastAsia="宋体" w:cs="Times New Roman"/>
                <w:color w:val="auto"/>
              </w:rPr>
            </w:pPr>
            <w:r>
              <w:rPr>
                <w:rFonts w:ascii="宋体" w:hAnsi="宋体" w:eastAsia="宋体" w:cs="Times New Roman"/>
                <w:snapToGrid w:val="0"/>
                <w:color w:val="auto"/>
              </w:rPr>
              <w:t>/</w:t>
            </w:r>
          </w:p>
        </w:tc>
        <w:tc>
          <w:tcPr>
            <w:tcW w:w="639" w:type="pct"/>
            <w:shd w:val="clear" w:color="auto" w:fill="auto"/>
            <w:vAlign w:val="center"/>
          </w:tcPr>
          <w:p w14:paraId="5E7976DA">
            <w:pPr>
              <w:jc w:val="center"/>
              <w:rPr>
                <w:rFonts w:ascii="宋体" w:hAnsi="宋体" w:eastAsia="宋体" w:cs="Times New Roman"/>
                <w:color w:val="auto"/>
              </w:rPr>
            </w:pPr>
            <w:r>
              <w:rPr>
                <w:rFonts w:ascii="宋体" w:hAnsi="宋体" w:eastAsia="宋体" w:cs="Times New Roman"/>
                <w:snapToGrid w:val="0"/>
                <w:color w:val="auto"/>
              </w:rPr>
              <w:t>/</w:t>
            </w:r>
          </w:p>
        </w:tc>
        <w:tc>
          <w:tcPr>
            <w:tcW w:w="577" w:type="pct"/>
            <w:shd w:val="clear" w:color="auto" w:fill="auto"/>
            <w:vAlign w:val="center"/>
          </w:tcPr>
          <w:p w14:paraId="74D1668E">
            <w:pPr>
              <w:jc w:val="center"/>
              <w:rPr>
                <w:rFonts w:ascii="宋体" w:hAnsi="宋体" w:eastAsia="宋体" w:cs="Times New Roman"/>
                <w:color w:val="auto"/>
              </w:rPr>
            </w:pPr>
            <w:r>
              <w:rPr>
                <w:rFonts w:ascii="宋体" w:hAnsi="宋体" w:eastAsia="宋体" w:cs="Times New Roman"/>
                <w:snapToGrid w:val="0"/>
                <w:color w:val="auto"/>
              </w:rPr>
              <w:t>/</w:t>
            </w:r>
          </w:p>
        </w:tc>
        <w:tc>
          <w:tcPr>
            <w:tcW w:w="611" w:type="pct"/>
            <w:shd w:val="clear" w:color="auto" w:fill="auto"/>
            <w:vAlign w:val="center"/>
          </w:tcPr>
          <w:p w14:paraId="20583BDE">
            <w:pPr>
              <w:jc w:val="center"/>
              <w:rPr>
                <w:rFonts w:ascii="宋体" w:hAnsi="宋体" w:eastAsia="宋体" w:cs="Times New Roman"/>
                <w:color w:val="auto"/>
              </w:rPr>
            </w:pPr>
            <w:r>
              <w:rPr>
                <w:rFonts w:ascii="宋体" w:hAnsi="宋体" w:eastAsia="宋体" w:cs="Times New Roman"/>
                <w:snapToGrid w:val="0"/>
                <w:color w:val="auto"/>
              </w:rPr>
              <w:t>/</w:t>
            </w:r>
          </w:p>
        </w:tc>
      </w:tr>
      <w:tr w14:paraId="78B2B91C">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5B13CC2D">
            <w:pPr>
              <w:snapToGrid w:val="0"/>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1086" w:type="pct"/>
            <w:shd w:val="clear" w:color="auto" w:fill="auto"/>
            <w:vAlign w:val="center"/>
          </w:tcPr>
          <w:p w14:paraId="218CBC48">
            <w:pPr>
              <w:adjustRightInd w:val="0"/>
              <w:snapToGrid w:val="0"/>
              <w:jc w:val="center"/>
              <w:rPr>
                <w:rFonts w:ascii="宋体" w:hAnsi="宋体" w:eastAsia="宋体" w:cs="Times New Roman"/>
                <w:color w:val="auto"/>
              </w:rPr>
            </w:pPr>
            <w:r>
              <w:rPr>
                <w:rFonts w:ascii="宋体" w:hAnsi="宋体" w:eastAsia="宋体" w:cs="Times New Roman"/>
                <w:color w:val="auto"/>
              </w:rPr>
              <w:t>石油类</w:t>
            </w:r>
          </w:p>
        </w:tc>
        <w:tc>
          <w:tcPr>
            <w:tcW w:w="606" w:type="pct"/>
            <w:shd w:val="clear" w:color="auto" w:fill="auto"/>
            <w:vAlign w:val="center"/>
          </w:tcPr>
          <w:p w14:paraId="2F1FD925">
            <w:pPr>
              <w:jc w:val="center"/>
              <w:rPr>
                <w:rFonts w:ascii="宋体" w:hAnsi="宋体" w:eastAsia="宋体" w:cs="Times New Roman"/>
                <w:color w:val="auto"/>
              </w:rPr>
            </w:pPr>
            <w:r>
              <w:rPr>
                <w:rFonts w:ascii="宋体" w:hAnsi="宋体" w:eastAsia="宋体" w:cs="Times New Roman"/>
                <w:color w:val="auto"/>
              </w:rPr>
              <w:t>/</w:t>
            </w:r>
          </w:p>
        </w:tc>
        <w:tc>
          <w:tcPr>
            <w:tcW w:w="606" w:type="pct"/>
            <w:shd w:val="clear" w:color="auto" w:fill="auto"/>
            <w:vAlign w:val="center"/>
          </w:tcPr>
          <w:p w14:paraId="73DA22C0">
            <w:pPr>
              <w:jc w:val="center"/>
              <w:rPr>
                <w:rFonts w:ascii="宋体" w:hAnsi="宋体" w:eastAsia="宋体" w:cs="Times New Roman"/>
                <w:color w:val="auto"/>
              </w:rPr>
            </w:pPr>
            <w:r>
              <w:rPr>
                <w:rFonts w:ascii="宋体" w:hAnsi="宋体" w:eastAsia="宋体" w:cs="Times New Roman"/>
                <w:color w:val="auto"/>
              </w:rPr>
              <w:t>/</w:t>
            </w:r>
          </w:p>
        </w:tc>
        <w:tc>
          <w:tcPr>
            <w:tcW w:w="607" w:type="pct"/>
            <w:shd w:val="clear" w:color="auto" w:fill="auto"/>
            <w:vAlign w:val="center"/>
          </w:tcPr>
          <w:p w14:paraId="12741671">
            <w:pPr>
              <w:jc w:val="center"/>
              <w:rPr>
                <w:rFonts w:ascii="宋体" w:hAnsi="宋体" w:eastAsia="宋体" w:cs="Times New Roman"/>
                <w:color w:val="auto"/>
              </w:rPr>
            </w:pPr>
            <w:r>
              <w:rPr>
                <w:rFonts w:ascii="宋体" w:hAnsi="宋体" w:eastAsia="宋体" w:cs="Times New Roman"/>
                <w:color w:val="auto"/>
              </w:rPr>
              <w:t>/</w:t>
            </w:r>
          </w:p>
        </w:tc>
        <w:tc>
          <w:tcPr>
            <w:tcW w:w="639" w:type="pct"/>
            <w:shd w:val="clear" w:color="auto" w:fill="auto"/>
            <w:vAlign w:val="center"/>
          </w:tcPr>
          <w:p w14:paraId="0A8D95BE">
            <w:pPr>
              <w:jc w:val="center"/>
              <w:rPr>
                <w:rFonts w:ascii="宋体" w:hAnsi="宋体" w:eastAsia="宋体" w:cs="Times New Roman"/>
                <w:color w:val="auto"/>
              </w:rPr>
            </w:pPr>
            <w:r>
              <w:rPr>
                <w:rFonts w:ascii="宋体" w:hAnsi="宋体" w:eastAsia="宋体" w:cs="Times New Roman"/>
                <w:color w:val="auto"/>
              </w:rPr>
              <w:t>/</w:t>
            </w:r>
          </w:p>
        </w:tc>
        <w:tc>
          <w:tcPr>
            <w:tcW w:w="577" w:type="pct"/>
            <w:shd w:val="clear" w:color="auto" w:fill="auto"/>
            <w:vAlign w:val="center"/>
          </w:tcPr>
          <w:p w14:paraId="74B63F56">
            <w:pPr>
              <w:jc w:val="center"/>
              <w:rPr>
                <w:rFonts w:ascii="宋体" w:hAnsi="宋体" w:eastAsia="宋体" w:cs="Times New Roman"/>
                <w:color w:val="auto"/>
              </w:rPr>
            </w:pPr>
            <w:r>
              <w:rPr>
                <w:rFonts w:ascii="宋体" w:hAnsi="宋体" w:eastAsia="宋体" w:cs="Times New Roman"/>
                <w:color w:val="auto"/>
              </w:rPr>
              <w:t>/</w:t>
            </w:r>
          </w:p>
        </w:tc>
        <w:tc>
          <w:tcPr>
            <w:tcW w:w="611" w:type="pct"/>
            <w:shd w:val="clear" w:color="auto" w:fill="auto"/>
            <w:vAlign w:val="center"/>
          </w:tcPr>
          <w:p w14:paraId="0EA8B19E">
            <w:pPr>
              <w:jc w:val="center"/>
              <w:rPr>
                <w:rFonts w:ascii="宋体" w:hAnsi="宋体" w:eastAsia="宋体" w:cs="Times New Roman"/>
                <w:color w:val="auto"/>
              </w:rPr>
            </w:pPr>
            <w:r>
              <w:rPr>
                <w:rFonts w:ascii="宋体" w:hAnsi="宋体" w:eastAsia="宋体" w:cs="Times New Roman"/>
                <w:color w:val="auto"/>
              </w:rPr>
              <w:t>/</w:t>
            </w:r>
          </w:p>
        </w:tc>
      </w:tr>
      <w:tr w14:paraId="1C6A73CC">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vMerge w:val="restart"/>
            <w:shd w:val="clear" w:color="auto" w:fill="auto"/>
            <w:vAlign w:val="center"/>
          </w:tcPr>
          <w:p w14:paraId="7B7468A5">
            <w:pPr>
              <w:snapToGrid w:val="0"/>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1086" w:type="pct"/>
            <w:vMerge w:val="restart"/>
            <w:shd w:val="clear" w:color="auto" w:fill="auto"/>
            <w:vAlign w:val="center"/>
          </w:tcPr>
          <w:p w14:paraId="3BDF7D59">
            <w:pPr>
              <w:snapToGrid w:val="0"/>
              <w:jc w:val="center"/>
              <w:rPr>
                <w:rFonts w:ascii="宋体" w:hAnsi="宋体" w:eastAsia="宋体" w:cs="Times New Roman"/>
                <w:snapToGrid w:val="0"/>
                <w:color w:val="auto"/>
              </w:rPr>
            </w:pPr>
            <w:r>
              <w:rPr>
                <w:rFonts w:ascii="宋体" w:hAnsi="宋体" w:eastAsia="宋体" w:cs="Times New Roman"/>
                <w:snapToGrid w:val="0"/>
                <w:color w:val="auto"/>
              </w:rPr>
              <w:t>监测项目</w:t>
            </w:r>
          </w:p>
        </w:tc>
        <w:tc>
          <w:tcPr>
            <w:tcW w:w="3646" w:type="pct"/>
            <w:gridSpan w:val="6"/>
            <w:shd w:val="clear" w:color="auto" w:fill="auto"/>
            <w:vAlign w:val="center"/>
          </w:tcPr>
          <w:p w14:paraId="07D89F78">
            <w:pPr>
              <w:jc w:val="center"/>
              <w:rPr>
                <w:rFonts w:ascii="宋体" w:hAnsi="宋体" w:eastAsia="宋体" w:cs="Times New Roman"/>
                <w:color w:val="auto"/>
              </w:rPr>
            </w:pPr>
            <w:r>
              <w:rPr>
                <w:rFonts w:ascii="宋体" w:hAnsi="宋体" w:eastAsia="宋体" w:cs="Times New Roman"/>
                <w:color w:val="auto"/>
              </w:rPr>
              <w:t>监测点位</w:t>
            </w:r>
          </w:p>
        </w:tc>
      </w:tr>
      <w:tr w14:paraId="7318CA84">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vMerge w:val="continue"/>
            <w:shd w:val="clear" w:color="auto" w:fill="auto"/>
            <w:vAlign w:val="center"/>
          </w:tcPr>
          <w:p w14:paraId="3AE90B3D">
            <w:pPr>
              <w:snapToGrid w:val="0"/>
              <w:jc w:val="center"/>
              <w:rPr>
                <w:rFonts w:ascii="宋体" w:hAnsi="宋体" w:eastAsia="宋体" w:cs="Times New Roman"/>
                <w:snapToGrid w:val="0"/>
                <w:color w:val="auto"/>
              </w:rPr>
            </w:pPr>
          </w:p>
        </w:tc>
        <w:tc>
          <w:tcPr>
            <w:tcW w:w="1086" w:type="pct"/>
            <w:vMerge w:val="continue"/>
            <w:shd w:val="clear" w:color="auto" w:fill="auto"/>
            <w:vAlign w:val="center"/>
          </w:tcPr>
          <w:p w14:paraId="1960EA7F">
            <w:pPr>
              <w:snapToGrid w:val="0"/>
              <w:jc w:val="center"/>
              <w:rPr>
                <w:rFonts w:ascii="宋体" w:hAnsi="宋体" w:eastAsia="宋体" w:cs="Times New Roman"/>
                <w:snapToGrid w:val="0"/>
                <w:color w:val="auto"/>
              </w:rPr>
            </w:pPr>
          </w:p>
        </w:tc>
        <w:tc>
          <w:tcPr>
            <w:tcW w:w="1819" w:type="pct"/>
            <w:gridSpan w:val="3"/>
            <w:shd w:val="clear" w:color="auto" w:fill="auto"/>
            <w:vAlign w:val="center"/>
          </w:tcPr>
          <w:p w14:paraId="3610BA9E">
            <w:pPr>
              <w:jc w:val="center"/>
              <w:rPr>
                <w:rFonts w:ascii="宋体" w:hAnsi="宋体" w:eastAsia="宋体" w:cs="Times New Roman"/>
                <w:color w:val="auto"/>
              </w:rPr>
            </w:pPr>
            <w:r>
              <w:rPr>
                <w:rFonts w:ascii="宋体" w:hAnsi="宋体" w:eastAsia="宋体" w:cs="Times New Roman"/>
                <w:color w:val="auto"/>
              </w:rPr>
              <w:t>S3#</w:t>
            </w:r>
          </w:p>
        </w:tc>
        <w:tc>
          <w:tcPr>
            <w:tcW w:w="1827" w:type="pct"/>
            <w:gridSpan w:val="3"/>
            <w:shd w:val="clear" w:color="auto" w:fill="auto"/>
            <w:vAlign w:val="center"/>
          </w:tcPr>
          <w:p w14:paraId="3AD406E1">
            <w:pPr>
              <w:jc w:val="center"/>
              <w:rPr>
                <w:rFonts w:ascii="宋体" w:hAnsi="宋体" w:eastAsia="宋体" w:cs="Times New Roman"/>
                <w:color w:val="auto"/>
              </w:rPr>
            </w:pPr>
            <w:r>
              <w:rPr>
                <w:rFonts w:ascii="宋体" w:hAnsi="宋体" w:eastAsia="宋体" w:cs="Times New Roman"/>
                <w:color w:val="auto"/>
              </w:rPr>
              <w:t>S4#</w:t>
            </w:r>
          </w:p>
        </w:tc>
      </w:tr>
      <w:tr w14:paraId="64AA5D59">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vMerge w:val="continue"/>
            <w:shd w:val="clear" w:color="auto" w:fill="auto"/>
            <w:vAlign w:val="center"/>
          </w:tcPr>
          <w:p w14:paraId="191E0F8F">
            <w:pPr>
              <w:snapToGrid w:val="0"/>
              <w:jc w:val="center"/>
              <w:rPr>
                <w:rFonts w:ascii="宋体" w:hAnsi="宋体" w:eastAsia="宋体" w:cs="Times New Roman"/>
                <w:snapToGrid w:val="0"/>
                <w:color w:val="auto"/>
              </w:rPr>
            </w:pPr>
          </w:p>
        </w:tc>
        <w:tc>
          <w:tcPr>
            <w:tcW w:w="1086" w:type="pct"/>
            <w:vMerge w:val="continue"/>
            <w:shd w:val="clear" w:color="auto" w:fill="auto"/>
            <w:vAlign w:val="center"/>
          </w:tcPr>
          <w:p w14:paraId="3147A01D">
            <w:pPr>
              <w:snapToGrid w:val="0"/>
              <w:jc w:val="center"/>
              <w:rPr>
                <w:rFonts w:ascii="宋体" w:hAnsi="宋体" w:eastAsia="宋体" w:cs="Times New Roman"/>
                <w:snapToGrid w:val="0"/>
                <w:color w:val="auto"/>
              </w:rPr>
            </w:pPr>
          </w:p>
        </w:tc>
        <w:tc>
          <w:tcPr>
            <w:tcW w:w="606" w:type="pct"/>
            <w:shd w:val="clear" w:color="auto" w:fill="auto"/>
            <w:vAlign w:val="center"/>
          </w:tcPr>
          <w:p w14:paraId="23D65719">
            <w:pPr>
              <w:jc w:val="center"/>
              <w:rPr>
                <w:rFonts w:ascii="宋体" w:hAnsi="宋体" w:eastAsia="宋体" w:cs="Times New Roman"/>
                <w:color w:val="auto"/>
              </w:rPr>
            </w:pPr>
            <w:r>
              <w:rPr>
                <w:rFonts w:ascii="宋体" w:hAnsi="宋体" w:eastAsia="宋体" w:cs="Times New Roman"/>
                <w:color w:val="auto"/>
              </w:rPr>
              <w:t>0-0.5m</w:t>
            </w:r>
          </w:p>
        </w:tc>
        <w:tc>
          <w:tcPr>
            <w:tcW w:w="606" w:type="pct"/>
            <w:shd w:val="clear" w:color="auto" w:fill="auto"/>
            <w:vAlign w:val="center"/>
          </w:tcPr>
          <w:p w14:paraId="70D81666">
            <w:pPr>
              <w:jc w:val="center"/>
              <w:rPr>
                <w:rFonts w:ascii="宋体" w:hAnsi="宋体" w:eastAsia="宋体" w:cs="Times New Roman"/>
                <w:color w:val="auto"/>
              </w:rPr>
            </w:pPr>
            <w:r>
              <w:rPr>
                <w:rFonts w:ascii="宋体" w:hAnsi="宋体" w:eastAsia="宋体" w:cs="Times New Roman"/>
                <w:color w:val="auto"/>
              </w:rPr>
              <w:t>0.5-1.5m</w:t>
            </w:r>
          </w:p>
        </w:tc>
        <w:tc>
          <w:tcPr>
            <w:tcW w:w="607" w:type="pct"/>
            <w:shd w:val="clear" w:color="auto" w:fill="auto"/>
            <w:vAlign w:val="center"/>
          </w:tcPr>
          <w:p w14:paraId="2CE0295D">
            <w:pPr>
              <w:jc w:val="center"/>
              <w:rPr>
                <w:rFonts w:ascii="宋体" w:hAnsi="宋体" w:eastAsia="宋体" w:cs="Times New Roman"/>
                <w:color w:val="auto"/>
              </w:rPr>
            </w:pPr>
            <w:r>
              <w:rPr>
                <w:rFonts w:ascii="宋体" w:hAnsi="宋体" w:eastAsia="宋体" w:cs="Times New Roman"/>
                <w:color w:val="auto"/>
              </w:rPr>
              <w:t>1.5-3m</w:t>
            </w:r>
          </w:p>
        </w:tc>
        <w:tc>
          <w:tcPr>
            <w:tcW w:w="639" w:type="pct"/>
            <w:shd w:val="clear" w:color="auto" w:fill="auto"/>
            <w:vAlign w:val="center"/>
          </w:tcPr>
          <w:p w14:paraId="2E9F9440">
            <w:pPr>
              <w:jc w:val="center"/>
              <w:rPr>
                <w:rFonts w:ascii="宋体" w:hAnsi="宋体" w:eastAsia="宋体" w:cs="Times New Roman"/>
                <w:color w:val="auto"/>
              </w:rPr>
            </w:pPr>
            <w:r>
              <w:rPr>
                <w:rFonts w:ascii="宋体" w:hAnsi="宋体" w:eastAsia="宋体" w:cs="Times New Roman"/>
                <w:color w:val="auto"/>
              </w:rPr>
              <w:t>0-0.5m</w:t>
            </w:r>
          </w:p>
        </w:tc>
        <w:tc>
          <w:tcPr>
            <w:tcW w:w="577" w:type="pct"/>
            <w:shd w:val="clear" w:color="auto" w:fill="auto"/>
            <w:vAlign w:val="center"/>
          </w:tcPr>
          <w:p w14:paraId="3B072F52">
            <w:pPr>
              <w:jc w:val="center"/>
              <w:rPr>
                <w:rFonts w:ascii="宋体" w:hAnsi="宋体" w:eastAsia="宋体" w:cs="Times New Roman"/>
                <w:color w:val="auto"/>
              </w:rPr>
            </w:pPr>
            <w:r>
              <w:rPr>
                <w:rFonts w:ascii="宋体" w:hAnsi="宋体" w:eastAsia="宋体" w:cs="Times New Roman"/>
                <w:color w:val="auto"/>
              </w:rPr>
              <w:t>0.5-1.5m</w:t>
            </w:r>
          </w:p>
        </w:tc>
        <w:tc>
          <w:tcPr>
            <w:tcW w:w="611" w:type="pct"/>
            <w:shd w:val="clear" w:color="auto" w:fill="auto"/>
            <w:vAlign w:val="center"/>
          </w:tcPr>
          <w:p w14:paraId="1DAF2EFD">
            <w:pPr>
              <w:jc w:val="center"/>
              <w:rPr>
                <w:rFonts w:ascii="宋体" w:hAnsi="宋体" w:eastAsia="宋体" w:cs="Times New Roman"/>
                <w:color w:val="auto"/>
              </w:rPr>
            </w:pPr>
            <w:r>
              <w:rPr>
                <w:rFonts w:ascii="宋体" w:hAnsi="宋体" w:eastAsia="宋体" w:cs="Times New Roman"/>
                <w:color w:val="auto"/>
              </w:rPr>
              <w:t>1.5-3m</w:t>
            </w:r>
          </w:p>
        </w:tc>
      </w:tr>
      <w:tr w14:paraId="22761213">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76CC1D6F">
            <w:pPr>
              <w:snapToGrid w:val="0"/>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1086" w:type="pct"/>
            <w:shd w:val="clear" w:color="auto" w:fill="auto"/>
            <w:vAlign w:val="center"/>
          </w:tcPr>
          <w:p w14:paraId="0F922011">
            <w:pPr>
              <w:adjustRightInd w:val="0"/>
              <w:snapToGrid w:val="0"/>
              <w:jc w:val="center"/>
              <w:rPr>
                <w:rFonts w:ascii="宋体" w:hAnsi="宋体" w:eastAsia="宋体" w:cs="Times New Roman"/>
                <w:color w:val="auto"/>
              </w:rPr>
            </w:pPr>
            <w:r>
              <w:rPr>
                <w:rFonts w:ascii="宋体" w:hAnsi="宋体" w:eastAsia="宋体" w:cs="Times New Roman"/>
                <w:color w:val="auto"/>
              </w:rPr>
              <w:t>pH</w:t>
            </w:r>
          </w:p>
        </w:tc>
        <w:tc>
          <w:tcPr>
            <w:tcW w:w="606" w:type="pct"/>
            <w:shd w:val="clear" w:color="auto" w:fill="auto"/>
            <w:vAlign w:val="center"/>
          </w:tcPr>
          <w:p w14:paraId="73E4DFA6">
            <w:pPr>
              <w:tabs>
                <w:tab w:val="left" w:pos="679"/>
              </w:tabs>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606" w:type="pct"/>
            <w:shd w:val="clear" w:color="auto" w:fill="auto"/>
            <w:vAlign w:val="center"/>
          </w:tcPr>
          <w:p w14:paraId="2E64DB57">
            <w:pPr>
              <w:tabs>
                <w:tab w:val="left" w:pos="679"/>
              </w:tabs>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607" w:type="pct"/>
            <w:shd w:val="clear" w:color="auto" w:fill="auto"/>
            <w:vAlign w:val="center"/>
          </w:tcPr>
          <w:p w14:paraId="6E3F7224">
            <w:pPr>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639" w:type="pct"/>
            <w:shd w:val="clear" w:color="auto" w:fill="auto"/>
            <w:vAlign w:val="center"/>
          </w:tcPr>
          <w:p w14:paraId="130AD19B">
            <w:pPr>
              <w:tabs>
                <w:tab w:val="left" w:pos="679"/>
              </w:tabs>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577" w:type="pct"/>
            <w:shd w:val="clear" w:color="auto" w:fill="auto"/>
            <w:vAlign w:val="center"/>
          </w:tcPr>
          <w:p w14:paraId="2117EAF9">
            <w:pPr>
              <w:tabs>
                <w:tab w:val="left" w:pos="679"/>
              </w:tabs>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611" w:type="pct"/>
            <w:shd w:val="clear" w:color="auto" w:fill="auto"/>
            <w:vAlign w:val="center"/>
          </w:tcPr>
          <w:p w14:paraId="2D9E06C2">
            <w:pPr>
              <w:adjustRightInd w:val="0"/>
              <w:snapToGrid w:val="0"/>
              <w:jc w:val="center"/>
              <w:rPr>
                <w:rFonts w:ascii="宋体" w:hAnsi="宋体" w:eastAsia="宋体" w:cs="Times New Roman"/>
                <w:color w:val="auto"/>
              </w:rPr>
            </w:pPr>
            <w:r>
              <w:rPr>
                <w:rFonts w:ascii="宋体" w:hAnsi="宋体" w:eastAsia="宋体" w:cs="Times New Roman"/>
                <w:color w:val="auto"/>
              </w:rPr>
              <w:t>/</w:t>
            </w:r>
          </w:p>
        </w:tc>
      </w:tr>
      <w:tr w14:paraId="37979027">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26A03553">
            <w:pPr>
              <w:snapToGrid w:val="0"/>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1086" w:type="pct"/>
            <w:shd w:val="clear" w:color="auto" w:fill="auto"/>
            <w:vAlign w:val="center"/>
          </w:tcPr>
          <w:p w14:paraId="6B2A837F">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镉（Cd）</w:t>
            </w:r>
          </w:p>
        </w:tc>
        <w:tc>
          <w:tcPr>
            <w:tcW w:w="606" w:type="pct"/>
            <w:shd w:val="clear" w:color="auto" w:fill="auto"/>
            <w:vAlign w:val="center"/>
          </w:tcPr>
          <w:p w14:paraId="590390E0">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0.002 </w:t>
            </w:r>
          </w:p>
        </w:tc>
        <w:tc>
          <w:tcPr>
            <w:tcW w:w="606" w:type="pct"/>
            <w:shd w:val="clear" w:color="auto" w:fill="auto"/>
            <w:vAlign w:val="center"/>
          </w:tcPr>
          <w:p w14:paraId="78D9D762">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0.002 </w:t>
            </w:r>
          </w:p>
        </w:tc>
        <w:tc>
          <w:tcPr>
            <w:tcW w:w="607" w:type="pct"/>
            <w:shd w:val="clear" w:color="auto" w:fill="auto"/>
            <w:vAlign w:val="center"/>
          </w:tcPr>
          <w:p w14:paraId="5828CE06">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39" w:type="pct"/>
            <w:shd w:val="clear" w:color="auto" w:fill="auto"/>
            <w:vAlign w:val="center"/>
          </w:tcPr>
          <w:p w14:paraId="3074AD19">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0.002 </w:t>
            </w:r>
          </w:p>
        </w:tc>
        <w:tc>
          <w:tcPr>
            <w:tcW w:w="577" w:type="pct"/>
            <w:shd w:val="clear" w:color="auto" w:fill="auto"/>
            <w:vAlign w:val="center"/>
          </w:tcPr>
          <w:p w14:paraId="072167A9">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0.002 </w:t>
            </w:r>
          </w:p>
        </w:tc>
        <w:tc>
          <w:tcPr>
            <w:tcW w:w="611" w:type="pct"/>
            <w:shd w:val="clear" w:color="auto" w:fill="auto"/>
            <w:vAlign w:val="center"/>
          </w:tcPr>
          <w:p w14:paraId="27926E20">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0.002 </w:t>
            </w:r>
          </w:p>
        </w:tc>
      </w:tr>
      <w:tr w14:paraId="7A779A32">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4C81E96E">
            <w:pPr>
              <w:snapToGrid w:val="0"/>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1086" w:type="pct"/>
            <w:shd w:val="clear" w:color="auto" w:fill="auto"/>
            <w:vAlign w:val="center"/>
          </w:tcPr>
          <w:p w14:paraId="2EE502D2">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汞（Hg）</w:t>
            </w:r>
          </w:p>
        </w:tc>
        <w:tc>
          <w:tcPr>
            <w:tcW w:w="606" w:type="pct"/>
            <w:shd w:val="clear" w:color="auto" w:fill="auto"/>
            <w:vAlign w:val="center"/>
          </w:tcPr>
          <w:p w14:paraId="22A9EE4F">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06" w:type="pct"/>
            <w:shd w:val="clear" w:color="auto" w:fill="auto"/>
            <w:vAlign w:val="center"/>
          </w:tcPr>
          <w:p w14:paraId="6C281321">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607" w:type="pct"/>
            <w:shd w:val="clear" w:color="auto" w:fill="auto"/>
            <w:vAlign w:val="center"/>
          </w:tcPr>
          <w:p w14:paraId="5872CF4D">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639" w:type="pct"/>
            <w:shd w:val="clear" w:color="auto" w:fill="auto"/>
            <w:vAlign w:val="center"/>
          </w:tcPr>
          <w:p w14:paraId="47878F9E">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577" w:type="pct"/>
            <w:shd w:val="clear" w:color="auto" w:fill="auto"/>
            <w:vAlign w:val="center"/>
          </w:tcPr>
          <w:p w14:paraId="369D87A7">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611" w:type="pct"/>
            <w:shd w:val="clear" w:color="auto" w:fill="auto"/>
            <w:vAlign w:val="center"/>
          </w:tcPr>
          <w:p w14:paraId="5469D0AF">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r>
      <w:tr w14:paraId="43127DE2">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59635B16">
            <w:pPr>
              <w:snapToGrid w:val="0"/>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1086" w:type="pct"/>
            <w:shd w:val="clear" w:color="auto" w:fill="auto"/>
            <w:vAlign w:val="center"/>
          </w:tcPr>
          <w:p w14:paraId="53AA3C9F">
            <w:pPr>
              <w:adjustRightInd w:val="0"/>
              <w:snapToGrid w:val="0"/>
              <w:jc w:val="center"/>
              <w:rPr>
                <w:rFonts w:ascii="宋体" w:hAnsi="宋体" w:eastAsia="宋体" w:cs="Times New Roman"/>
                <w:color w:val="auto"/>
              </w:rPr>
            </w:pPr>
            <w:r>
              <w:rPr>
                <w:rFonts w:ascii="宋体" w:hAnsi="宋体" w:eastAsia="宋体" w:cs="Times New Roman"/>
                <w:snapToGrid w:val="0"/>
                <w:color w:val="auto"/>
              </w:rPr>
              <w:t>砷（As）</w:t>
            </w:r>
          </w:p>
        </w:tc>
        <w:tc>
          <w:tcPr>
            <w:tcW w:w="606" w:type="pct"/>
            <w:shd w:val="clear" w:color="auto" w:fill="auto"/>
            <w:vAlign w:val="center"/>
          </w:tcPr>
          <w:p w14:paraId="44E4939A">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0.055 </w:t>
            </w:r>
          </w:p>
        </w:tc>
        <w:tc>
          <w:tcPr>
            <w:tcW w:w="606" w:type="pct"/>
            <w:shd w:val="clear" w:color="auto" w:fill="auto"/>
            <w:vAlign w:val="center"/>
          </w:tcPr>
          <w:p w14:paraId="0FFF4DBF">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0.055 </w:t>
            </w:r>
          </w:p>
        </w:tc>
        <w:tc>
          <w:tcPr>
            <w:tcW w:w="607" w:type="pct"/>
            <w:shd w:val="clear" w:color="auto" w:fill="auto"/>
            <w:vAlign w:val="center"/>
          </w:tcPr>
          <w:p w14:paraId="505640D9">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0.054 </w:t>
            </w:r>
          </w:p>
        </w:tc>
        <w:tc>
          <w:tcPr>
            <w:tcW w:w="639" w:type="pct"/>
            <w:shd w:val="clear" w:color="auto" w:fill="auto"/>
            <w:vAlign w:val="center"/>
          </w:tcPr>
          <w:p w14:paraId="1802A1F8">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0.057 </w:t>
            </w:r>
          </w:p>
        </w:tc>
        <w:tc>
          <w:tcPr>
            <w:tcW w:w="577" w:type="pct"/>
            <w:shd w:val="clear" w:color="auto" w:fill="auto"/>
            <w:vAlign w:val="center"/>
          </w:tcPr>
          <w:p w14:paraId="380C7877">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0.057 </w:t>
            </w:r>
          </w:p>
        </w:tc>
        <w:tc>
          <w:tcPr>
            <w:tcW w:w="611" w:type="pct"/>
            <w:shd w:val="clear" w:color="auto" w:fill="auto"/>
            <w:vAlign w:val="center"/>
          </w:tcPr>
          <w:p w14:paraId="5176511C">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0.054 </w:t>
            </w:r>
          </w:p>
        </w:tc>
      </w:tr>
      <w:tr w14:paraId="57D9CAD7">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3774115B">
            <w:pPr>
              <w:snapToGrid w:val="0"/>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1086" w:type="pct"/>
            <w:shd w:val="clear" w:color="auto" w:fill="auto"/>
            <w:vAlign w:val="center"/>
          </w:tcPr>
          <w:p w14:paraId="7ACAAA1E">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铅（Pb）</w:t>
            </w:r>
          </w:p>
        </w:tc>
        <w:tc>
          <w:tcPr>
            <w:tcW w:w="606" w:type="pct"/>
            <w:shd w:val="clear" w:color="auto" w:fill="auto"/>
            <w:vAlign w:val="center"/>
          </w:tcPr>
          <w:p w14:paraId="4BED4DD7">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0.019 </w:t>
            </w:r>
          </w:p>
        </w:tc>
        <w:tc>
          <w:tcPr>
            <w:tcW w:w="606" w:type="pct"/>
            <w:shd w:val="clear" w:color="auto" w:fill="auto"/>
            <w:vAlign w:val="center"/>
          </w:tcPr>
          <w:p w14:paraId="69CFFE34">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0.025 </w:t>
            </w:r>
          </w:p>
        </w:tc>
        <w:tc>
          <w:tcPr>
            <w:tcW w:w="607" w:type="pct"/>
            <w:shd w:val="clear" w:color="auto" w:fill="auto"/>
            <w:vAlign w:val="center"/>
          </w:tcPr>
          <w:p w14:paraId="6B580D92">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0.018 </w:t>
            </w:r>
          </w:p>
        </w:tc>
        <w:tc>
          <w:tcPr>
            <w:tcW w:w="639" w:type="pct"/>
            <w:shd w:val="clear" w:color="auto" w:fill="auto"/>
            <w:vAlign w:val="center"/>
          </w:tcPr>
          <w:p w14:paraId="2C0D7D78">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0.023 </w:t>
            </w:r>
          </w:p>
        </w:tc>
        <w:tc>
          <w:tcPr>
            <w:tcW w:w="577" w:type="pct"/>
            <w:shd w:val="clear" w:color="auto" w:fill="auto"/>
            <w:vAlign w:val="center"/>
          </w:tcPr>
          <w:p w14:paraId="1C933FEF">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0.018 </w:t>
            </w:r>
          </w:p>
        </w:tc>
        <w:tc>
          <w:tcPr>
            <w:tcW w:w="611" w:type="pct"/>
            <w:shd w:val="clear" w:color="auto" w:fill="auto"/>
            <w:vAlign w:val="center"/>
          </w:tcPr>
          <w:p w14:paraId="58087769">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0.024 </w:t>
            </w:r>
          </w:p>
        </w:tc>
      </w:tr>
      <w:tr w14:paraId="2D41EAA2">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59476FD2">
            <w:pPr>
              <w:snapToGrid w:val="0"/>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1086" w:type="pct"/>
            <w:shd w:val="clear" w:color="auto" w:fill="auto"/>
            <w:vAlign w:val="center"/>
          </w:tcPr>
          <w:p w14:paraId="2499C3B3">
            <w:pPr>
              <w:adjustRightInd w:val="0"/>
              <w:snapToGrid w:val="0"/>
              <w:jc w:val="center"/>
              <w:rPr>
                <w:rFonts w:ascii="宋体" w:hAnsi="宋体" w:eastAsia="宋体" w:cs="Times New Roman"/>
                <w:color w:val="auto"/>
              </w:rPr>
            </w:pPr>
            <w:r>
              <w:rPr>
                <w:rFonts w:ascii="宋体" w:hAnsi="宋体" w:eastAsia="宋体" w:cs="Times New Roman"/>
                <w:color w:val="auto"/>
              </w:rPr>
              <w:t>铬（六价）</w:t>
            </w:r>
          </w:p>
        </w:tc>
        <w:tc>
          <w:tcPr>
            <w:tcW w:w="606" w:type="pct"/>
            <w:shd w:val="clear" w:color="auto" w:fill="auto"/>
            <w:vAlign w:val="center"/>
          </w:tcPr>
          <w:p w14:paraId="39F57FE5">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06" w:type="pct"/>
            <w:shd w:val="clear" w:color="auto" w:fill="auto"/>
            <w:vAlign w:val="center"/>
          </w:tcPr>
          <w:p w14:paraId="1A38542D">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07" w:type="pct"/>
            <w:shd w:val="clear" w:color="auto" w:fill="auto"/>
            <w:vAlign w:val="center"/>
          </w:tcPr>
          <w:p w14:paraId="7E020FF8">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39" w:type="pct"/>
            <w:shd w:val="clear" w:color="auto" w:fill="auto"/>
            <w:vAlign w:val="center"/>
          </w:tcPr>
          <w:p w14:paraId="302BA431">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577" w:type="pct"/>
            <w:shd w:val="clear" w:color="auto" w:fill="auto"/>
            <w:vAlign w:val="center"/>
          </w:tcPr>
          <w:p w14:paraId="1546B276">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11" w:type="pct"/>
            <w:shd w:val="clear" w:color="auto" w:fill="auto"/>
            <w:vAlign w:val="center"/>
          </w:tcPr>
          <w:p w14:paraId="5439175B">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r>
      <w:tr w14:paraId="3BC368E0">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54D303E5">
            <w:pPr>
              <w:snapToGrid w:val="0"/>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1086" w:type="pct"/>
            <w:shd w:val="clear" w:color="auto" w:fill="auto"/>
            <w:vAlign w:val="center"/>
          </w:tcPr>
          <w:p w14:paraId="3E494720">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铜（Cu）</w:t>
            </w:r>
          </w:p>
        </w:tc>
        <w:tc>
          <w:tcPr>
            <w:tcW w:w="606" w:type="pct"/>
            <w:shd w:val="clear" w:color="auto" w:fill="auto"/>
            <w:vAlign w:val="center"/>
          </w:tcPr>
          <w:p w14:paraId="1C3A75C9">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06" w:type="pct"/>
            <w:shd w:val="clear" w:color="auto" w:fill="auto"/>
            <w:vAlign w:val="center"/>
          </w:tcPr>
          <w:p w14:paraId="09C56DB9">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07" w:type="pct"/>
            <w:shd w:val="clear" w:color="auto" w:fill="auto"/>
            <w:vAlign w:val="center"/>
          </w:tcPr>
          <w:p w14:paraId="760F138B">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39" w:type="pct"/>
            <w:shd w:val="clear" w:color="auto" w:fill="auto"/>
            <w:vAlign w:val="center"/>
          </w:tcPr>
          <w:p w14:paraId="3B6DA452">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577" w:type="pct"/>
            <w:shd w:val="clear" w:color="auto" w:fill="auto"/>
            <w:vAlign w:val="center"/>
          </w:tcPr>
          <w:p w14:paraId="7845BC1F">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11" w:type="pct"/>
            <w:shd w:val="clear" w:color="auto" w:fill="auto"/>
            <w:vAlign w:val="center"/>
          </w:tcPr>
          <w:p w14:paraId="264EE567">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r>
      <w:tr w14:paraId="00935281">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529B25A7">
            <w:pPr>
              <w:snapToGrid w:val="0"/>
              <w:jc w:val="center"/>
              <w:rPr>
                <w:rFonts w:ascii="宋体" w:hAnsi="宋体" w:eastAsia="宋体" w:cs="Times New Roman"/>
                <w:snapToGrid w:val="0"/>
                <w:color w:val="auto"/>
              </w:rPr>
            </w:pPr>
            <w:r>
              <w:rPr>
                <w:rFonts w:ascii="宋体" w:hAnsi="宋体" w:eastAsia="宋体" w:cs="Times New Roman"/>
                <w:snapToGrid w:val="0"/>
                <w:color w:val="auto"/>
              </w:rPr>
              <w:t>8</w:t>
            </w:r>
          </w:p>
        </w:tc>
        <w:tc>
          <w:tcPr>
            <w:tcW w:w="1086" w:type="pct"/>
            <w:shd w:val="clear" w:color="auto" w:fill="auto"/>
            <w:vAlign w:val="center"/>
          </w:tcPr>
          <w:p w14:paraId="25004E10">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镍（Ni）</w:t>
            </w:r>
          </w:p>
        </w:tc>
        <w:tc>
          <w:tcPr>
            <w:tcW w:w="606" w:type="pct"/>
            <w:shd w:val="clear" w:color="auto" w:fill="auto"/>
            <w:vAlign w:val="center"/>
          </w:tcPr>
          <w:p w14:paraId="17BF7FDA">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0.021 </w:t>
            </w:r>
          </w:p>
        </w:tc>
        <w:tc>
          <w:tcPr>
            <w:tcW w:w="606" w:type="pct"/>
            <w:shd w:val="clear" w:color="auto" w:fill="auto"/>
            <w:vAlign w:val="center"/>
          </w:tcPr>
          <w:p w14:paraId="28987EFA">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0.028 </w:t>
            </w:r>
          </w:p>
        </w:tc>
        <w:tc>
          <w:tcPr>
            <w:tcW w:w="607" w:type="pct"/>
            <w:shd w:val="clear" w:color="auto" w:fill="auto"/>
            <w:vAlign w:val="center"/>
          </w:tcPr>
          <w:p w14:paraId="7D4BF9CF">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0.029 </w:t>
            </w:r>
          </w:p>
        </w:tc>
        <w:tc>
          <w:tcPr>
            <w:tcW w:w="639" w:type="pct"/>
            <w:shd w:val="clear" w:color="auto" w:fill="auto"/>
            <w:vAlign w:val="center"/>
          </w:tcPr>
          <w:p w14:paraId="66BB74DB">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0.023 </w:t>
            </w:r>
          </w:p>
        </w:tc>
        <w:tc>
          <w:tcPr>
            <w:tcW w:w="577" w:type="pct"/>
            <w:shd w:val="clear" w:color="auto" w:fill="auto"/>
            <w:vAlign w:val="center"/>
          </w:tcPr>
          <w:p w14:paraId="407EDCBC">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0.020 </w:t>
            </w:r>
          </w:p>
        </w:tc>
        <w:tc>
          <w:tcPr>
            <w:tcW w:w="611" w:type="pct"/>
            <w:shd w:val="clear" w:color="auto" w:fill="auto"/>
            <w:vAlign w:val="center"/>
          </w:tcPr>
          <w:p w14:paraId="5DE6F6B4">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0.026 </w:t>
            </w:r>
          </w:p>
        </w:tc>
      </w:tr>
      <w:tr w14:paraId="0979ACF7">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2ED0BCB0">
            <w:pPr>
              <w:snapToGrid w:val="0"/>
              <w:jc w:val="center"/>
              <w:rPr>
                <w:rFonts w:ascii="宋体" w:hAnsi="宋体" w:eastAsia="宋体" w:cs="Times New Roman"/>
                <w:snapToGrid w:val="0"/>
                <w:color w:val="auto"/>
              </w:rPr>
            </w:pPr>
            <w:r>
              <w:rPr>
                <w:rFonts w:ascii="宋体" w:hAnsi="宋体" w:eastAsia="宋体" w:cs="Times New Roman"/>
                <w:snapToGrid w:val="0"/>
                <w:color w:val="auto"/>
              </w:rPr>
              <w:t>9</w:t>
            </w:r>
          </w:p>
        </w:tc>
        <w:tc>
          <w:tcPr>
            <w:tcW w:w="1086" w:type="pct"/>
            <w:shd w:val="clear" w:color="auto" w:fill="auto"/>
            <w:vAlign w:val="center"/>
          </w:tcPr>
          <w:p w14:paraId="18E36AA8">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水溶性盐总量</w:t>
            </w:r>
          </w:p>
        </w:tc>
        <w:tc>
          <w:tcPr>
            <w:tcW w:w="606" w:type="pct"/>
            <w:shd w:val="clear" w:color="auto" w:fill="auto"/>
            <w:vAlign w:val="center"/>
          </w:tcPr>
          <w:p w14:paraId="677F6F48">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6" w:type="pct"/>
            <w:shd w:val="clear" w:color="auto" w:fill="auto"/>
            <w:vAlign w:val="center"/>
          </w:tcPr>
          <w:p w14:paraId="1EDD00DA">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7" w:type="pct"/>
            <w:shd w:val="clear" w:color="auto" w:fill="auto"/>
            <w:vAlign w:val="center"/>
          </w:tcPr>
          <w:p w14:paraId="1F766558">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39" w:type="pct"/>
            <w:shd w:val="clear" w:color="auto" w:fill="auto"/>
            <w:vAlign w:val="center"/>
          </w:tcPr>
          <w:p w14:paraId="1C1A92A6">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77" w:type="pct"/>
            <w:shd w:val="clear" w:color="auto" w:fill="auto"/>
            <w:vAlign w:val="center"/>
          </w:tcPr>
          <w:p w14:paraId="4278AE31">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11" w:type="pct"/>
            <w:shd w:val="clear" w:color="auto" w:fill="auto"/>
            <w:vAlign w:val="center"/>
          </w:tcPr>
          <w:p w14:paraId="2ABF5702">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r>
      <w:tr w14:paraId="2A656404">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1BED2CEA">
            <w:pPr>
              <w:snapToGrid w:val="0"/>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1086" w:type="pct"/>
            <w:shd w:val="clear" w:color="auto" w:fill="auto"/>
            <w:vAlign w:val="center"/>
          </w:tcPr>
          <w:p w14:paraId="74E0D4C9">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w:t>
            </w:r>
          </w:p>
        </w:tc>
        <w:tc>
          <w:tcPr>
            <w:tcW w:w="606" w:type="pct"/>
            <w:shd w:val="clear" w:color="auto" w:fill="auto"/>
            <w:vAlign w:val="center"/>
          </w:tcPr>
          <w:p w14:paraId="705023AB">
            <w:pPr>
              <w:snapToGrid w:val="0"/>
              <w:jc w:val="center"/>
              <w:rPr>
                <w:rFonts w:ascii="宋体" w:hAnsi="宋体" w:eastAsia="宋体" w:cs="Times New Roman"/>
                <w:snapToGrid w:val="0"/>
                <w:color w:val="auto"/>
              </w:rPr>
            </w:pPr>
            <w:r>
              <w:rPr>
                <w:rFonts w:ascii="宋体" w:hAnsi="宋体" w:eastAsia="宋体" w:cs="Times New Roman"/>
                <w:color w:val="auto"/>
              </w:rPr>
              <w:t>0.000666</w:t>
            </w:r>
          </w:p>
        </w:tc>
        <w:tc>
          <w:tcPr>
            <w:tcW w:w="606" w:type="pct"/>
            <w:shd w:val="clear" w:color="auto" w:fill="auto"/>
            <w:vAlign w:val="center"/>
          </w:tcPr>
          <w:p w14:paraId="4D7552AD">
            <w:pPr>
              <w:snapToGrid w:val="0"/>
              <w:jc w:val="center"/>
              <w:rPr>
                <w:rFonts w:ascii="宋体" w:hAnsi="宋体" w:eastAsia="宋体" w:cs="Times New Roman"/>
                <w:snapToGrid w:val="0"/>
                <w:color w:val="auto"/>
              </w:rPr>
            </w:pPr>
            <w:r>
              <w:rPr>
                <w:rFonts w:ascii="宋体" w:hAnsi="宋体" w:eastAsia="宋体" w:cs="Times New Roman"/>
                <w:color w:val="auto"/>
              </w:rPr>
              <w:t>0.000666</w:t>
            </w:r>
          </w:p>
        </w:tc>
        <w:tc>
          <w:tcPr>
            <w:tcW w:w="607" w:type="pct"/>
            <w:shd w:val="clear" w:color="auto" w:fill="auto"/>
            <w:vAlign w:val="center"/>
          </w:tcPr>
          <w:p w14:paraId="28F1A4EB">
            <w:pPr>
              <w:snapToGrid w:val="0"/>
              <w:jc w:val="center"/>
              <w:rPr>
                <w:rFonts w:ascii="宋体" w:hAnsi="宋体" w:eastAsia="宋体" w:cs="Times New Roman"/>
                <w:snapToGrid w:val="0"/>
                <w:color w:val="auto"/>
              </w:rPr>
            </w:pPr>
            <w:r>
              <w:rPr>
                <w:rFonts w:ascii="宋体" w:hAnsi="宋体" w:eastAsia="宋体" w:cs="Times New Roman"/>
                <w:color w:val="auto"/>
              </w:rPr>
              <w:t>0.000666</w:t>
            </w:r>
          </w:p>
        </w:tc>
        <w:tc>
          <w:tcPr>
            <w:tcW w:w="639" w:type="pct"/>
            <w:shd w:val="clear" w:color="auto" w:fill="auto"/>
            <w:vAlign w:val="center"/>
          </w:tcPr>
          <w:p w14:paraId="59509EB1">
            <w:pPr>
              <w:snapToGrid w:val="0"/>
              <w:jc w:val="center"/>
              <w:rPr>
                <w:rFonts w:ascii="宋体" w:hAnsi="宋体" w:eastAsia="宋体" w:cs="Times New Roman"/>
                <w:snapToGrid w:val="0"/>
                <w:color w:val="auto"/>
              </w:rPr>
            </w:pPr>
            <w:r>
              <w:rPr>
                <w:rFonts w:ascii="宋体" w:hAnsi="宋体" w:eastAsia="宋体" w:cs="Times New Roman"/>
                <w:color w:val="auto"/>
              </w:rPr>
              <w:t>0.000666</w:t>
            </w:r>
          </w:p>
        </w:tc>
        <w:tc>
          <w:tcPr>
            <w:tcW w:w="577" w:type="pct"/>
            <w:shd w:val="clear" w:color="auto" w:fill="auto"/>
            <w:vAlign w:val="center"/>
          </w:tcPr>
          <w:p w14:paraId="04E4C58B">
            <w:pPr>
              <w:snapToGrid w:val="0"/>
              <w:jc w:val="center"/>
              <w:rPr>
                <w:rFonts w:ascii="宋体" w:hAnsi="宋体" w:eastAsia="宋体" w:cs="Times New Roman"/>
                <w:snapToGrid w:val="0"/>
                <w:color w:val="auto"/>
              </w:rPr>
            </w:pPr>
            <w:r>
              <w:rPr>
                <w:rFonts w:ascii="宋体" w:hAnsi="宋体" w:eastAsia="宋体" w:cs="Times New Roman"/>
                <w:color w:val="auto"/>
              </w:rPr>
              <w:t>0.000666</w:t>
            </w:r>
          </w:p>
        </w:tc>
        <w:tc>
          <w:tcPr>
            <w:tcW w:w="611" w:type="pct"/>
            <w:shd w:val="clear" w:color="auto" w:fill="auto"/>
            <w:vAlign w:val="center"/>
          </w:tcPr>
          <w:p w14:paraId="577B25C9">
            <w:pPr>
              <w:snapToGrid w:val="0"/>
              <w:jc w:val="center"/>
              <w:rPr>
                <w:rFonts w:ascii="宋体" w:hAnsi="宋体" w:eastAsia="宋体" w:cs="Times New Roman"/>
                <w:snapToGrid w:val="0"/>
                <w:color w:val="auto"/>
              </w:rPr>
            </w:pPr>
            <w:r>
              <w:rPr>
                <w:rFonts w:ascii="宋体" w:hAnsi="宋体" w:eastAsia="宋体" w:cs="Times New Roman"/>
                <w:color w:val="auto"/>
              </w:rPr>
              <w:t>0.000666</w:t>
            </w:r>
          </w:p>
        </w:tc>
      </w:tr>
      <w:tr w14:paraId="1F9A2F63">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0EBAB8AF">
            <w:pPr>
              <w:snapToGrid w:val="0"/>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086" w:type="pct"/>
            <w:shd w:val="clear" w:color="auto" w:fill="auto"/>
            <w:vAlign w:val="center"/>
          </w:tcPr>
          <w:p w14:paraId="2C4BD323">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w:t>
            </w:r>
          </w:p>
        </w:tc>
        <w:tc>
          <w:tcPr>
            <w:tcW w:w="606" w:type="pct"/>
            <w:shd w:val="clear" w:color="auto" w:fill="auto"/>
            <w:vAlign w:val="center"/>
          </w:tcPr>
          <w:p w14:paraId="73EFBD14">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6" w:type="pct"/>
            <w:shd w:val="clear" w:color="auto" w:fill="auto"/>
            <w:vAlign w:val="center"/>
          </w:tcPr>
          <w:p w14:paraId="4F35A086">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7" w:type="pct"/>
            <w:shd w:val="clear" w:color="auto" w:fill="auto"/>
            <w:vAlign w:val="center"/>
          </w:tcPr>
          <w:p w14:paraId="575C230C">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39" w:type="pct"/>
            <w:shd w:val="clear" w:color="auto" w:fill="auto"/>
            <w:vAlign w:val="center"/>
          </w:tcPr>
          <w:p w14:paraId="04B9728F">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77" w:type="pct"/>
            <w:shd w:val="clear" w:color="auto" w:fill="auto"/>
            <w:vAlign w:val="center"/>
          </w:tcPr>
          <w:p w14:paraId="596C7A57">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11" w:type="pct"/>
            <w:shd w:val="clear" w:color="auto" w:fill="auto"/>
            <w:vAlign w:val="center"/>
          </w:tcPr>
          <w:p w14:paraId="319E43C2">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r>
      <w:tr w14:paraId="575694EC">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gridAfter w:val="1"/>
          <w:wAfter w:w="9" w:type="pct"/>
          <w:trHeight w:val="340" w:hRule="atLeast"/>
          <w:jc w:val="center"/>
        </w:trPr>
        <w:tc>
          <w:tcPr>
            <w:tcW w:w="259" w:type="pct"/>
            <w:shd w:val="clear" w:color="auto" w:fill="auto"/>
            <w:vAlign w:val="center"/>
          </w:tcPr>
          <w:p w14:paraId="7918AE7F">
            <w:pPr>
              <w:snapToGrid w:val="0"/>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1086" w:type="pct"/>
            <w:shd w:val="clear" w:color="auto" w:fill="auto"/>
            <w:vAlign w:val="center"/>
          </w:tcPr>
          <w:p w14:paraId="42EB2D8E">
            <w:pPr>
              <w:adjustRightInd w:val="0"/>
              <w:snapToGrid w:val="0"/>
              <w:jc w:val="center"/>
              <w:rPr>
                <w:rFonts w:ascii="宋体" w:hAnsi="宋体" w:eastAsia="宋体" w:cs="Times New Roman"/>
                <w:color w:val="auto"/>
              </w:rPr>
            </w:pPr>
            <w:r>
              <w:rPr>
                <w:rFonts w:ascii="宋体" w:hAnsi="宋体" w:eastAsia="宋体" w:cs="Times New Roman"/>
                <w:color w:val="auto"/>
              </w:rPr>
              <w:t>石油类</w:t>
            </w:r>
          </w:p>
        </w:tc>
        <w:tc>
          <w:tcPr>
            <w:tcW w:w="606" w:type="pct"/>
            <w:shd w:val="clear" w:color="auto" w:fill="auto"/>
            <w:vAlign w:val="center"/>
          </w:tcPr>
          <w:p w14:paraId="533F7E52">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6" w:type="pct"/>
            <w:shd w:val="clear" w:color="auto" w:fill="auto"/>
            <w:vAlign w:val="center"/>
          </w:tcPr>
          <w:p w14:paraId="45DDF28B">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7" w:type="pct"/>
            <w:shd w:val="clear" w:color="auto" w:fill="auto"/>
            <w:vAlign w:val="center"/>
          </w:tcPr>
          <w:p w14:paraId="6EAEA7C5">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39" w:type="pct"/>
            <w:shd w:val="clear" w:color="auto" w:fill="auto"/>
            <w:vAlign w:val="center"/>
          </w:tcPr>
          <w:p w14:paraId="3D671246">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77" w:type="pct"/>
            <w:shd w:val="clear" w:color="auto" w:fill="auto"/>
            <w:vAlign w:val="center"/>
          </w:tcPr>
          <w:p w14:paraId="3634DBE0">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11" w:type="pct"/>
            <w:shd w:val="clear" w:color="auto" w:fill="auto"/>
            <w:vAlign w:val="center"/>
          </w:tcPr>
          <w:p w14:paraId="24E3EF0D">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r>
      <w:tr w14:paraId="55080CDD">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vMerge w:val="restart"/>
            <w:shd w:val="clear" w:color="auto" w:fill="auto"/>
            <w:vAlign w:val="center"/>
          </w:tcPr>
          <w:p w14:paraId="2F9BFB5A">
            <w:pPr>
              <w:snapToGrid w:val="0"/>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1086" w:type="pct"/>
            <w:vMerge w:val="restart"/>
            <w:shd w:val="clear" w:color="auto" w:fill="auto"/>
            <w:vAlign w:val="center"/>
          </w:tcPr>
          <w:p w14:paraId="0E066877">
            <w:pPr>
              <w:snapToGrid w:val="0"/>
              <w:jc w:val="center"/>
              <w:rPr>
                <w:rFonts w:ascii="宋体" w:hAnsi="宋体" w:eastAsia="宋体" w:cs="Times New Roman"/>
                <w:snapToGrid w:val="0"/>
                <w:color w:val="auto"/>
              </w:rPr>
            </w:pPr>
            <w:r>
              <w:rPr>
                <w:rFonts w:ascii="宋体" w:hAnsi="宋体" w:eastAsia="宋体" w:cs="Times New Roman"/>
                <w:snapToGrid w:val="0"/>
                <w:color w:val="auto"/>
              </w:rPr>
              <w:t>监测项目</w:t>
            </w:r>
          </w:p>
        </w:tc>
        <w:tc>
          <w:tcPr>
            <w:tcW w:w="3655" w:type="pct"/>
            <w:gridSpan w:val="7"/>
            <w:shd w:val="clear" w:color="auto" w:fill="auto"/>
            <w:vAlign w:val="center"/>
          </w:tcPr>
          <w:p w14:paraId="26E25C9F">
            <w:pPr>
              <w:jc w:val="center"/>
              <w:rPr>
                <w:rFonts w:ascii="宋体" w:hAnsi="宋体" w:eastAsia="宋体" w:cs="Times New Roman"/>
                <w:color w:val="auto"/>
              </w:rPr>
            </w:pPr>
            <w:r>
              <w:rPr>
                <w:rFonts w:ascii="宋体" w:hAnsi="宋体" w:eastAsia="宋体" w:cs="Times New Roman"/>
                <w:color w:val="auto"/>
              </w:rPr>
              <w:t>监测点位</w:t>
            </w:r>
          </w:p>
        </w:tc>
      </w:tr>
      <w:tr w14:paraId="66F7028E">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14:paraId="30E2509B">
            <w:pPr>
              <w:snapToGrid w:val="0"/>
              <w:jc w:val="center"/>
              <w:rPr>
                <w:rFonts w:ascii="宋体" w:hAnsi="宋体" w:eastAsia="宋体" w:cs="Times New Roman"/>
                <w:snapToGrid w:val="0"/>
                <w:color w:val="auto"/>
              </w:rPr>
            </w:pPr>
          </w:p>
        </w:tc>
        <w:tc>
          <w:tcPr>
            <w:tcW w:w="1086" w:type="pct"/>
            <w:vMerge w:val="continue"/>
            <w:shd w:val="clear" w:color="auto" w:fill="auto"/>
            <w:vAlign w:val="center"/>
          </w:tcPr>
          <w:p w14:paraId="753B075F">
            <w:pPr>
              <w:snapToGrid w:val="0"/>
              <w:jc w:val="center"/>
              <w:rPr>
                <w:rFonts w:ascii="宋体" w:hAnsi="宋体" w:eastAsia="宋体" w:cs="Times New Roman"/>
                <w:snapToGrid w:val="0"/>
                <w:color w:val="auto"/>
              </w:rPr>
            </w:pPr>
          </w:p>
        </w:tc>
        <w:tc>
          <w:tcPr>
            <w:tcW w:w="1819" w:type="pct"/>
            <w:gridSpan w:val="3"/>
            <w:shd w:val="clear" w:color="auto" w:fill="auto"/>
            <w:vAlign w:val="center"/>
          </w:tcPr>
          <w:p w14:paraId="7496C923">
            <w:pPr>
              <w:jc w:val="center"/>
              <w:rPr>
                <w:rFonts w:ascii="宋体" w:hAnsi="宋体" w:eastAsia="宋体" w:cs="Times New Roman"/>
                <w:color w:val="auto"/>
              </w:rPr>
            </w:pPr>
            <w:r>
              <w:rPr>
                <w:rFonts w:ascii="宋体" w:hAnsi="宋体" w:eastAsia="宋体" w:cs="Times New Roman"/>
                <w:color w:val="auto"/>
              </w:rPr>
              <w:t>S5#</w:t>
            </w:r>
          </w:p>
        </w:tc>
        <w:tc>
          <w:tcPr>
            <w:tcW w:w="639" w:type="pct"/>
            <w:shd w:val="clear" w:color="auto" w:fill="auto"/>
            <w:vAlign w:val="center"/>
          </w:tcPr>
          <w:p w14:paraId="57AF26D8">
            <w:pPr>
              <w:jc w:val="center"/>
              <w:rPr>
                <w:rFonts w:ascii="宋体" w:hAnsi="宋体" w:eastAsia="宋体" w:cs="Times New Roman"/>
                <w:color w:val="auto"/>
              </w:rPr>
            </w:pPr>
            <w:r>
              <w:rPr>
                <w:rFonts w:ascii="宋体" w:hAnsi="宋体" w:eastAsia="宋体" w:cs="Times New Roman"/>
                <w:color w:val="auto"/>
              </w:rPr>
              <w:t>S6#</w:t>
            </w:r>
          </w:p>
        </w:tc>
        <w:tc>
          <w:tcPr>
            <w:tcW w:w="577" w:type="pct"/>
            <w:shd w:val="clear" w:color="auto" w:fill="auto"/>
            <w:vAlign w:val="center"/>
          </w:tcPr>
          <w:p w14:paraId="7572124B">
            <w:pPr>
              <w:jc w:val="center"/>
              <w:rPr>
                <w:rFonts w:ascii="宋体" w:hAnsi="宋体" w:eastAsia="宋体" w:cs="Times New Roman"/>
                <w:color w:val="auto"/>
              </w:rPr>
            </w:pPr>
            <w:r>
              <w:rPr>
                <w:rFonts w:ascii="宋体" w:hAnsi="宋体" w:eastAsia="宋体" w:cs="Times New Roman"/>
                <w:color w:val="auto"/>
              </w:rPr>
              <w:t>S7#</w:t>
            </w:r>
          </w:p>
        </w:tc>
        <w:tc>
          <w:tcPr>
            <w:tcW w:w="620" w:type="pct"/>
            <w:gridSpan w:val="2"/>
            <w:shd w:val="clear" w:color="auto" w:fill="auto"/>
            <w:vAlign w:val="center"/>
          </w:tcPr>
          <w:p w14:paraId="3434C1AE">
            <w:pPr>
              <w:snapToGrid w:val="0"/>
              <w:jc w:val="center"/>
              <w:rPr>
                <w:rFonts w:ascii="宋体" w:hAnsi="宋体" w:eastAsia="宋体" w:cs="Times New Roman"/>
                <w:snapToGrid w:val="0"/>
                <w:color w:val="auto"/>
              </w:rPr>
            </w:pPr>
            <w:r>
              <w:rPr>
                <w:rFonts w:ascii="宋体" w:hAnsi="宋体" w:eastAsia="宋体" w:cs="Times New Roman"/>
                <w:snapToGrid w:val="0"/>
                <w:color w:val="auto"/>
              </w:rPr>
              <w:t>S8#</w:t>
            </w:r>
          </w:p>
        </w:tc>
      </w:tr>
      <w:tr w14:paraId="765F86D0">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14:paraId="2D29F354">
            <w:pPr>
              <w:snapToGrid w:val="0"/>
              <w:jc w:val="center"/>
              <w:rPr>
                <w:rFonts w:ascii="宋体" w:hAnsi="宋体" w:eastAsia="宋体" w:cs="Times New Roman"/>
                <w:snapToGrid w:val="0"/>
                <w:color w:val="auto"/>
              </w:rPr>
            </w:pPr>
          </w:p>
        </w:tc>
        <w:tc>
          <w:tcPr>
            <w:tcW w:w="1086" w:type="pct"/>
            <w:vMerge w:val="continue"/>
            <w:shd w:val="clear" w:color="auto" w:fill="auto"/>
            <w:vAlign w:val="center"/>
          </w:tcPr>
          <w:p w14:paraId="3D68AD04">
            <w:pPr>
              <w:snapToGrid w:val="0"/>
              <w:jc w:val="center"/>
              <w:rPr>
                <w:rFonts w:ascii="宋体" w:hAnsi="宋体" w:eastAsia="宋体" w:cs="Times New Roman"/>
                <w:snapToGrid w:val="0"/>
                <w:color w:val="auto"/>
              </w:rPr>
            </w:pPr>
          </w:p>
        </w:tc>
        <w:tc>
          <w:tcPr>
            <w:tcW w:w="606" w:type="pct"/>
            <w:shd w:val="clear" w:color="auto" w:fill="auto"/>
            <w:vAlign w:val="center"/>
          </w:tcPr>
          <w:p w14:paraId="73C24193">
            <w:pPr>
              <w:jc w:val="center"/>
              <w:rPr>
                <w:rFonts w:ascii="宋体" w:hAnsi="宋体" w:eastAsia="宋体" w:cs="Times New Roman"/>
                <w:color w:val="auto"/>
              </w:rPr>
            </w:pPr>
            <w:r>
              <w:rPr>
                <w:rFonts w:ascii="宋体" w:hAnsi="宋体" w:eastAsia="宋体" w:cs="Times New Roman"/>
                <w:color w:val="auto"/>
              </w:rPr>
              <w:t>0-0.5m</w:t>
            </w:r>
          </w:p>
        </w:tc>
        <w:tc>
          <w:tcPr>
            <w:tcW w:w="606" w:type="pct"/>
            <w:shd w:val="clear" w:color="auto" w:fill="auto"/>
            <w:vAlign w:val="center"/>
          </w:tcPr>
          <w:p w14:paraId="7E5A9D68">
            <w:pPr>
              <w:jc w:val="center"/>
              <w:rPr>
                <w:rFonts w:ascii="宋体" w:hAnsi="宋体" w:eastAsia="宋体" w:cs="Times New Roman"/>
                <w:color w:val="auto"/>
              </w:rPr>
            </w:pPr>
            <w:r>
              <w:rPr>
                <w:rFonts w:ascii="宋体" w:hAnsi="宋体" w:eastAsia="宋体" w:cs="Times New Roman"/>
                <w:color w:val="auto"/>
              </w:rPr>
              <w:t>0.5-1.5m</w:t>
            </w:r>
          </w:p>
        </w:tc>
        <w:tc>
          <w:tcPr>
            <w:tcW w:w="607" w:type="pct"/>
            <w:shd w:val="clear" w:color="auto" w:fill="auto"/>
            <w:vAlign w:val="center"/>
          </w:tcPr>
          <w:p w14:paraId="7555AC78">
            <w:pPr>
              <w:jc w:val="center"/>
              <w:rPr>
                <w:rFonts w:ascii="宋体" w:hAnsi="宋体" w:eastAsia="宋体" w:cs="Times New Roman"/>
                <w:color w:val="auto"/>
              </w:rPr>
            </w:pPr>
            <w:r>
              <w:rPr>
                <w:rFonts w:ascii="宋体" w:hAnsi="宋体" w:eastAsia="宋体" w:cs="Times New Roman"/>
                <w:color w:val="auto"/>
              </w:rPr>
              <w:t>1.5-3m</w:t>
            </w:r>
          </w:p>
        </w:tc>
        <w:tc>
          <w:tcPr>
            <w:tcW w:w="639" w:type="pct"/>
            <w:shd w:val="clear" w:color="auto" w:fill="auto"/>
            <w:vAlign w:val="center"/>
          </w:tcPr>
          <w:p w14:paraId="72C66403">
            <w:pPr>
              <w:jc w:val="center"/>
              <w:rPr>
                <w:rFonts w:ascii="宋体" w:hAnsi="宋体" w:eastAsia="宋体" w:cs="Times New Roman"/>
                <w:color w:val="auto"/>
              </w:rPr>
            </w:pPr>
            <w:r>
              <w:rPr>
                <w:rFonts w:ascii="宋体" w:hAnsi="宋体" w:eastAsia="宋体" w:cs="Times New Roman"/>
                <w:color w:val="auto"/>
              </w:rPr>
              <w:t>0-0.2m</w:t>
            </w:r>
          </w:p>
        </w:tc>
        <w:tc>
          <w:tcPr>
            <w:tcW w:w="577" w:type="pct"/>
            <w:shd w:val="clear" w:color="auto" w:fill="auto"/>
            <w:vAlign w:val="center"/>
          </w:tcPr>
          <w:p w14:paraId="3FF7C100">
            <w:pPr>
              <w:jc w:val="center"/>
              <w:rPr>
                <w:rFonts w:ascii="宋体" w:hAnsi="宋体" w:eastAsia="宋体" w:cs="Times New Roman"/>
                <w:color w:val="auto"/>
              </w:rPr>
            </w:pPr>
            <w:r>
              <w:rPr>
                <w:rFonts w:ascii="宋体" w:hAnsi="宋体" w:eastAsia="宋体" w:cs="Times New Roman"/>
                <w:color w:val="auto"/>
              </w:rPr>
              <w:t>0-0.2m</w:t>
            </w:r>
          </w:p>
        </w:tc>
        <w:tc>
          <w:tcPr>
            <w:tcW w:w="620" w:type="pct"/>
            <w:gridSpan w:val="2"/>
            <w:shd w:val="clear" w:color="auto" w:fill="auto"/>
            <w:vAlign w:val="center"/>
          </w:tcPr>
          <w:p w14:paraId="1EB3E4DC">
            <w:pPr>
              <w:snapToGrid w:val="0"/>
              <w:jc w:val="center"/>
              <w:rPr>
                <w:rFonts w:ascii="宋体" w:hAnsi="宋体" w:eastAsia="宋体" w:cs="Times New Roman"/>
                <w:snapToGrid w:val="0"/>
                <w:color w:val="auto"/>
              </w:rPr>
            </w:pPr>
            <w:r>
              <w:rPr>
                <w:rFonts w:ascii="宋体" w:hAnsi="宋体" w:eastAsia="宋体" w:cs="Times New Roman"/>
                <w:snapToGrid w:val="0"/>
                <w:color w:val="auto"/>
              </w:rPr>
              <w:t>0-0.2m</w:t>
            </w:r>
          </w:p>
        </w:tc>
      </w:tr>
      <w:tr w14:paraId="1355D979">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49C3D0EC">
            <w:pPr>
              <w:snapToGrid w:val="0"/>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1086" w:type="pct"/>
            <w:shd w:val="clear" w:color="auto" w:fill="auto"/>
            <w:vAlign w:val="center"/>
          </w:tcPr>
          <w:p w14:paraId="7832D535">
            <w:pPr>
              <w:adjustRightInd w:val="0"/>
              <w:snapToGrid w:val="0"/>
              <w:jc w:val="center"/>
              <w:rPr>
                <w:rFonts w:ascii="宋体" w:hAnsi="宋体" w:eastAsia="宋体" w:cs="Times New Roman"/>
                <w:color w:val="auto"/>
              </w:rPr>
            </w:pPr>
            <w:r>
              <w:rPr>
                <w:rFonts w:ascii="宋体" w:hAnsi="宋体" w:eastAsia="宋体" w:cs="Times New Roman"/>
                <w:color w:val="auto"/>
              </w:rPr>
              <w:t>pH</w:t>
            </w:r>
          </w:p>
        </w:tc>
        <w:tc>
          <w:tcPr>
            <w:tcW w:w="606" w:type="pct"/>
            <w:shd w:val="clear" w:color="auto" w:fill="auto"/>
            <w:vAlign w:val="center"/>
          </w:tcPr>
          <w:p w14:paraId="512A4C89">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6" w:type="pct"/>
            <w:shd w:val="clear" w:color="auto" w:fill="auto"/>
            <w:vAlign w:val="center"/>
          </w:tcPr>
          <w:p w14:paraId="5EC70E64">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7" w:type="pct"/>
            <w:shd w:val="clear" w:color="auto" w:fill="auto"/>
            <w:vAlign w:val="center"/>
          </w:tcPr>
          <w:p w14:paraId="157FFE61">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39" w:type="pct"/>
            <w:shd w:val="clear" w:color="auto" w:fill="auto"/>
            <w:vAlign w:val="center"/>
          </w:tcPr>
          <w:p w14:paraId="6A4E7FDD">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77" w:type="pct"/>
            <w:shd w:val="clear" w:color="auto" w:fill="auto"/>
            <w:vAlign w:val="center"/>
          </w:tcPr>
          <w:p w14:paraId="608C3D11">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20" w:type="pct"/>
            <w:gridSpan w:val="2"/>
            <w:shd w:val="clear" w:color="auto" w:fill="auto"/>
            <w:vAlign w:val="center"/>
          </w:tcPr>
          <w:p w14:paraId="7F0F91B5">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r>
      <w:tr w14:paraId="31B99624">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5F84AF3A">
            <w:pPr>
              <w:snapToGrid w:val="0"/>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1086" w:type="pct"/>
            <w:shd w:val="clear" w:color="auto" w:fill="auto"/>
            <w:vAlign w:val="center"/>
          </w:tcPr>
          <w:p w14:paraId="00432DB9">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镉（Cd）</w:t>
            </w:r>
          </w:p>
        </w:tc>
        <w:tc>
          <w:tcPr>
            <w:tcW w:w="606" w:type="pct"/>
            <w:shd w:val="clear" w:color="auto" w:fill="auto"/>
            <w:vAlign w:val="center"/>
          </w:tcPr>
          <w:p w14:paraId="2C3DCA08">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0.002 </w:t>
            </w:r>
          </w:p>
        </w:tc>
        <w:tc>
          <w:tcPr>
            <w:tcW w:w="606" w:type="pct"/>
            <w:shd w:val="clear" w:color="auto" w:fill="auto"/>
            <w:vAlign w:val="center"/>
          </w:tcPr>
          <w:p w14:paraId="597C54BF">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0.002 </w:t>
            </w:r>
          </w:p>
        </w:tc>
        <w:tc>
          <w:tcPr>
            <w:tcW w:w="607" w:type="pct"/>
            <w:shd w:val="clear" w:color="auto" w:fill="auto"/>
            <w:vAlign w:val="center"/>
          </w:tcPr>
          <w:p w14:paraId="11CC0253">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39" w:type="pct"/>
            <w:shd w:val="clear" w:color="auto" w:fill="auto"/>
            <w:vAlign w:val="center"/>
          </w:tcPr>
          <w:p w14:paraId="5A81E2F2">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577" w:type="pct"/>
            <w:shd w:val="clear" w:color="auto" w:fill="auto"/>
            <w:vAlign w:val="center"/>
          </w:tcPr>
          <w:p w14:paraId="43EC51FA">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20" w:type="pct"/>
            <w:gridSpan w:val="2"/>
            <w:shd w:val="clear" w:color="auto" w:fill="auto"/>
            <w:vAlign w:val="center"/>
          </w:tcPr>
          <w:p w14:paraId="5C11CB85">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0.002 </w:t>
            </w:r>
          </w:p>
        </w:tc>
      </w:tr>
      <w:tr w14:paraId="3664D24A">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37C1C157">
            <w:pPr>
              <w:snapToGrid w:val="0"/>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1086" w:type="pct"/>
            <w:shd w:val="clear" w:color="auto" w:fill="auto"/>
            <w:vAlign w:val="center"/>
          </w:tcPr>
          <w:p w14:paraId="1F22ED6A">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汞（Hg）</w:t>
            </w:r>
          </w:p>
        </w:tc>
        <w:tc>
          <w:tcPr>
            <w:tcW w:w="606" w:type="pct"/>
            <w:shd w:val="clear" w:color="auto" w:fill="auto"/>
            <w:vAlign w:val="center"/>
          </w:tcPr>
          <w:p w14:paraId="19FAC7F0">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606" w:type="pct"/>
            <w:shd w:val="clear" w:color="auto" w:fill="auto"/>
            <w:vAlign w:val="center"/>
          </w:tcPr>
          <w:p w14:paraId="44D50027">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607" w:type="pct"/>
            <w:shd w:val="clear" w:color="auto" w:fill="auto"/>
            <w:vAlign w:val="center"/>
          </w:tcPr>
          <w:p w14:paraId="3A73BA53">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639" w:type="pct"/>
            <w:shd w:val="clear" w:color="auto" w:fill="auto"/>
            <w:vAlign w:val="center"/>
          </w:tcPr>
          <w:p w14:paraId="04BFDA0C">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577" w:type="pct"/>
            <w:shd w:val="clear" w:color="auto" w:fill="auto"/>
            <w:vAlign w:val="center"/>
          </w:tcPr>
          <w:p w14:paraId="4F1CB44F">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c>
          <w:tcPr>
            <w:tcW w:w="620" w:type="pct"/>
            <w:gridSpan w:val="2"/>
            <w:shd w:val="clear" w:color="auto" w:fill="auto"/>
            <w:vAlign w:val="center"/>
          </w:tcPr>
          <w:p w14:paraId="1B3E0C26">
            <w:pPr>
              <w:snapToGrid w:val="0"/>
              <w:jc w:val="center"/>
              <w:rPr>
                <w:rFonts w:ascii="宋体" w:hAnsi="宋体" w:eastAsia="宋体" w:cs="Times New Roman"/>
                <w:snapToGrid w:val="0"/>
                <w:color w:val="auto"/>
              </w:rPr>
            </w:pPr>
            <w:r>
              <w:rPr>
                <w:rFonts w:ascii="宋体" w:hAnsi="宋体" w:eastAsia="宋体" w:cs="Times New Roman"/>
                <w:snapToGrid w:val="0"/>
                <w:color w:val="auto"/>
              </w:rPr>
              <w:t>0.001</w:t>
            </w:r>
          </w:p>
        </w:tc>
      </w:tr>
      <w:tr w14:paraId="2B5E14F4">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54E43B78">
            <w:pPr>
              <w:snapToGrid w:val="0"/>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1086" w:type="pct"/>
            <w:shd w:val="clear" w:color="auto" w:fill="auto"/>
            <w:vAlign w:val="center"/>
          </w:tcPr>
          <w:p w14:paraId="52CA5B96">
            <w:pPr>
              <w:adjustRightInd w:val="0"/>
              <w:snapToGrid w:val="0"/>
              <w:jc w:val="center"/>
              <w:rPr>
                <w:rFonts w:ascii="宋体" w:hAnsi="宋体" w:eastAsia="宋体" w:cs="Times New Roman"/>
                <w:color w:val="auto"/>
              </w:rPr>
            </w:pPr>
            <w:r>
              <w:rPr>
                <w:rFonts w:ascii="宋体" w:hAnsi="宋体" w:eastAsia="宋体" w:cs="Times New Roman"/>
                <w:snapToGrid w:val="0"/>
                <w:color w:val="auto"/>
              </w:rPr>
              <w:t>砷（As）</w:t>
            </w:r>
          </w:p>
        </w:tc>
        <w:tc>
          <w:tcPr>
            <w:tcW w:w="606" w:type="pct"/>
            <w:shd w:val="clear" w:color="auto" w:fill="auto"/>
            <w:vAlign w:val="center"/>
          </w:tcPr>
          <w:p w14:paraId="38286009">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0.054 </w:t>
            </w:r>
          </w:p>
        </w:tc>
        <w:tc>
          <w:tcPr>
            <w:tcW w:w="606" w:type="pct"/>
            <w:shd w:val="clear" w:color="auto" w:fill="auto"/>
            <w:vAlign w:val="center"/>
          </w:tcPr>
          <w:p w14:paraId="7FF90B3D">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0.055 </w:t>
            </w:r>
          </w:p>
        </w:tc>
        <w:tc>
          <w:tcPr>
            <w:tcW w:w="607" w:type="pct"/>
            <w:shd w:val="clear" w:color="auto" w:fill="auto"/>
            <w:vAlign w:val="center"/>
          </w:tcPr>
          <w:p w14:paraId="1031186D">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0.055 </w:t>
            </w:r>
          </w:p>
        </w:tc>
        <w:tc>
          <w:tcPr>
            <w:tcW w:w="639" w:type="pct"/>
            <w:shd w:val="clear" w:color="auto" w:fill="auto"/>
            <w:vAlign w:val="center"/>
          </w:tcPr>
          <w:p w14:paraId="4682CB6A">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0.056 </w:t>
            </w:r>
          </w:p>
        </w:tc>
        <w:tc>
          <w:tcPr>
            <w:tcW w:w="577" w:type="pct"/>
            <w:shd w:val="clear" w:color="auto" w:fill="auto"/>
            <w:vAlign w:val="center"/>
          </w:tcPr>
          <w:p w14:paraId="22C275BB">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0.055 </w:t>
            </w:r>
          </w:p>
        </w:tc>
        <w:tc>
          <w:tcPr>
            <w:tcW w:w="620" w:type="pct"/>
            <w:gridSpan w:val="2"/>
            <w:shd w:val="clear" w:color="auto" w:fill="auto"/>
            <w:vAlign w:val="center"/>
          </w:tcPr>
          <w:p w14:paraId="192B40B5">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0.055 </w:t>
            </w:r>
          </w:p>
        </w:tc>
      </w:tr>
      <w:tr w14:paraId="52011F6B">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5356AD21">
            <w:pPr>
              <w:snapToGrid w:val="0"/>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1086" w:type="pct"/>
            <w:shd w:val="clear" w:color="auto" w:fill="auto"/>
            <w:vAlign w:val="center"/>
          </w:tcPr>
          <w:p w14:paraId="3F3CB8AF">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铅（Pb）</w:t>
            </w:r>
          </w:p>
        </w:tc>
        <w:tc>
          <w:tcPr>
            <w:tcW w:w="606" w:type="pct"/>
            <w:shd w:val="clear" w:color="auto" w:fill="auto"/>
            <w:vAlign w:val="center"/>
          </w:tcPr>
          <w:p w14:paraId="1785E86B">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0.020 </w:t>
            </w:r>
          </w:p>
        </w:tc>
        <w:tc>
          <w:tcPr>
            <w:tcW w:w="606" w:type="pct"/>
            <w:shd w:val="clear" w:color="auto" w:fill="auto"/>
            <w:vAlign w:val="center"/>
          </w:tcPr>
          <w:p w14:paraId="0732185B">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0.023 </w:t>
            </w:r>
          </w:p>
        </w:tc>
        <w:tc>
          <w:tcPr>
            <w:tcW w:w="607" w:type="pct"/>
            <w:shd w:val="clear" w:color="auto" w:fill="auto"/>
            <w:vAlign w:val="center"/>
          </w:tcPr>
          <w:p w14:paraId="27DD197A">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0.019 </w:t>
            </w:r>
          </w:p>
        </w:tc>
        <w:tc>
          <w:tcPr>
            <w:tcW w:w="639" w:type="pct"/>
            <w:shd w:val="clear" w:color="auto" w:fill="auto"/>
            <w:vAlign w:val="center"/>
          </w:tcPr>
          <w:p w14:paraId="68271C8F">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0.019 </w:t>
            </w:r>
          </w:p>
        </w:tc>
        <w:tc>
          <w:tcPr>
            <w:tcW w:w="577" w:type="pct"/>
            <w:shd w:val="clear" w:color="auto" w:fill="auto"/>
            <w:vAlign w:val="center"/>
          </w:tcPr>
          <w:p w14:paraId="3F7F7F7A">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0.025 </w:t>
            </w:r>
          </w:p>
        </w:tc>
        <w:tc>
          <w:tcPr>
            <w:tcW w:w="620" w:type="pct"/>
            <w:gridSpan w:val="2"/>
            <w:shd w:val="clear" w:color="auto" w:fill="auto"/>
            <w:vAlign w:val="center"/>
          </w:tcPr>
          <w:p w14:paraId="194A49E2">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0.024 </w:t>
            </w:r>
          </w:p>
        </w:tc>
      </w:tr>
      <w:tr w14:paraId="40C03AC8">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101F2E2E">
            <w:pPr>
              <w:snapToGrid w:val="0"/>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1086" w:type="pct"/>
            <w:shd w:val="clear" w:color="auto" w:fill="auto"/>
            <w:vAlign w:val="center"/>
          </w:tcPr>
          <w:p w14:paraId="173B5A2E">
            <w:pPr>
              <w:adjustRightInd w:val="0"/>
              <w:snapToGrid w:val="0"/>
              <w:jc w:val="center"/>
              <w:rPr>
                <w:rFonts w:ascii="宋体" w:hAnsi="宋体" w:eastAsia="宋体" w:cs="Times New Roman"/>
                <w:color w:val="auto"/>
              </w:rPr>
            </w:pPr>
            <w:r>
              <w:rPr>
                <w:rFonts w:ascii="宋体" w:hAnsi="宋体" w:eastAsia="宋体" w:cs="Times New Roman"/>
                <w:color w:val="auto"/>
              </w:rPr>
              <w:t>铬（六价）</w:t>
            </w:r>
          </w:p>
        </w:tc>
        <w:tc>
          <w:tcPr>
            <w:tcW w:w="606" w:type="pct"/>
            <w:shd w:val="clear" w:color="auto" w:fill="auto"/>
            <w:vAlign w:val="center"/>
          </w:tcPr>
          <w:p w14:paraId="5AFF446A">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06" w:type="pct"/>
            <w:shd w:val="clear" w:color="auto" w:fill="auto"/>
            <w:vAlign w:val="center"/>
          </w:tcPr>
          <w:p w14:paraId="0DF08F12">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07" w:type="pct"/>
            <w:shd w:val="clear" w:color="auto" w:fill="auto"/>
            <w:vAlign w:val="center"/>
          </w:tcPr>
          <w:p w14:paraId="60AD62FB">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39" w:type="pct"/>
            <w:shd w:val="clear" w:color="auto" w:fill="auto"/>
            <w:vAlign w:val="center"/>
          </w:tcPr>
          <w:p w14:paraId="76BB0EEC">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577" w:type="pct"/>
            <w:shd w:val="clear" w:color="auto" w:fill="auto"/>
            <w:vAlign w:val="center"/>
          </w:tcPr>
          <w:p w14:paraId="0138687A">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0.04386</w:t>
            </w:r>
          </w:p>
        </w:tc>
        <w:tc>
          <w:tcPr>
            <w:tcW w:w="620" w:type="pct"/>
            <w:gridSpan w:val="2"/>
            <w:shd w:val="clear" w:color="auto" w:fill="auto"/>
            <w:vAlign w:val="center"/>
          </w:tcPr>
          <w:p w14:paraId="6C0CC3CB">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0.0833333</w:t>
            </w:r>
          </w:p>
        </w:tc>
      </w:tr>
      <w:tr w14:paraId="08BC7A61">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299BEF96">
            <w:pPr>
              <w:snapToGrid w:val="0"/>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1086" w:type="pct"/>
            <w:shd w:val="clear" w:color="auto" w:fill="auto"/>
            <w:vAlign w:val="center"/>
          </w:tcPr>
          <w:p w14:paraId="5E431AAB">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铜（Cu）</w:t>
            </w:r>
          </w:p>
        </w:tc>
        <w:tc>
          <w:tcPr>
            <w:tcW w:w="606" w:type="pct"/>
            <w:shd w:val="clear" w:color="auto" w:fill="auto"/>
            <w:vAlign w:val="center"/>
          </w:tcPr>
          <w:p w14:paraId="4F62EF68">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06" w:type="pct"/>
            <w:shd w:val="clear" w:color="auto" w:fill="auto"/>
            <w:vAlign w:val="center"/>
          </w:tcPr>
          <w:p w14:paraId="21874818">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07" w:type="pct"/>
            <w:shd w:val="clear" w:color="auto" w:fill="auto"/>
            <w:vAlign w:val="center"/>
          </w:tcPr>
          <w:p w14:paraId="5DE575FE">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39" w:type="pct"/>
            <w:shd w:val="clear" w:color="auto" w:fill="auto"/>
            <w:vAlign w:val="center"/>
          </w:tcPr>
          <w:p w14:paraId="46EC70BB">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577" w:type="pct"/>
            <w:shd w:val="clear" w:color="auto" w:fill="auto"/>
            <w:vAlign w:val="center"/>
          </w:tcPr>
          <w:p w14:paraId="77AD9F81">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c>
          <w:tcPr>
            <w:tcW w:w="620" w:type="pct"/>
            <w:gridSpan w:val="2"/>
            <w:shd w:val="clear" w:color="auto" w:fill="auto"/>
            <w:vAlign w:val="center"/>
          </w:tcPr>
          <w:p w14:paraId="5ACD1571">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0.001 </w:t>
            </w:r>
          </w:p>
        </w:tc>
      </w:tr>
      <w:tr w14:paraId="5649109E">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41AF850C">
            <w:pPr>
              <w:snapToGrid w:val="0"/>
              <w:jc w:val="center"/>
              <w:rPr>
                <w:rFonts w:ascii="宋体" w:hAnsi="宋体" w:eastAsia="宋体" w:cs="Times New Roman"/>
                <w:snapToGrid w:val="0"/>
                <w:color w:val="auto"/>
              </w:rPr>
            </w:pPr>
            <w:r>
              <w:rPr>
                <w:rFonts w:ascii="宋体" w:hAnsi="宋体" w:eastAsia="宋体" w:cs="Times New Roman"/>
                <w:snapToGrid w:val="0"/>
                <w:color w:val="auto"/>
              </w:rPr>
              <w:t>8</w:t>
            </w:r>
          </w:p>
        </w:tc>
        <w:tc>
          <w:tcPr>
            <w:tcW w:w="1086" w:type="pct"/>
            <w:shd w:val="clear" w:color="auto" w:fill="auto"/>
            <w:vAlign w:val="center"/>
          </w:tcPr>
          <w:p w14:paraId="059004D7">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镍（Ni）</w:t>
            </w:r>
          </w:p>
        </w:tc>
        <w:tc>
          <w:tcPr>
            <w:tcW w:w="606" w:type="pct"/>
            <w:shd w:val="clear" w:color="auto" w:fill="auto"/>
            <w:vAlign w:val="center"/>
          </w:tcPr>
          <w:p w14:paraId="011659AB">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0.029 </w:t>
            </w:r>
          </w:p>
        </w:tc>
        <w:tc>
          <w:tcPr>
            <w:tcW w:w="606" w:type="pct"/>
            <w:shd w:val="clear" w:color="auto" w:fill="auto"/>
            <w:vAlign w:val="center"/>
          </w:tcPr>
          <w:p w14:paraId="517A9304">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0.021 </w:t>
            </w:r>
          </w:p>
        </w:tc>
        <w:tc>
          <w:tcPr>
            <w:tcW w:w="607" w:type="pct"/>
            <w:shd w:val="clear" w:color="auto" w:fill="auto"/>
            <w:vAlign w:val="center"/>
          </w:tcPr>
          <w:p w14:paraId="6666EC80">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0.027 </w:t>
            </w:r>
          </w:p>
        </w:tc>
        <w:tc>
          <w:tcPr>
            <w:tcW w:w="639" w:type="pct"/>
            <w:shd w:val="clear" w:color="auto" w:fill="auto"/>
            <w:vAlign w:val="center"/>
          </w:tcPr>
          <w:p w14:paraId="158BCCF5">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0.020 </w:t>
            </w:r>
          </w:p>
        </w:tc>
        <w:tc>
          <w:tcPr>
            <w:tcW w:w="577" w:type="pct"/>
            <w:shd w:val="clear" w:color="auto" w:fill="auto"/>
            <w:vAlign w:val="center"/>
          </w:tcPr>
          <w:p w14:paraId="2F42A068">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0.021 </w:t>
            </w:r>
          </w:p>
        </w:tc>
        <w:tc>
          <w:tcPr>
            <w:tcW w:w="620" w:type="pct"/>
            <w:gridSpan w:val="2"/>
            <w:shd w:val="clear" w:color="auto" w:fill="auto"/>
            <w:vAlign w:val="center"/>
          </w:tcPr>
          <w:p w14:paraId="2A10819C">
            <w:pPr>
              <w:snapToGrid w:val="0"/>
              <w:jc w:val="center"/>
              <w:rPr>
                <w:rFonts w:ascii="宋体" w:hAnsi="宋体" w:eastAsia="宋体" w:cs="Times New Roman"/>
                <w:snapToGrid w:val="0"/>
                <w:color w:val="auto"/>
              </w:rPr>
            </w:pPr>
            <w:r>
              <w:rPr>
                <w:rFonts w:ascii="宋体" w:hAnsi="宋体" w:eastAsia="宋体" w:cs="Times New Roman"/>
                <w:snapToGrid w:val="0"/>
                <w:color w:val="auto"/>
              </w:rPr>
              <w:t xml:space="preserve">0.023 </w:t>
            </w:r>
          </w:p>
        </w:tc>
      </w:tr>
      <w:tr w14:paraId="2948F346">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4C0F5A29">
            <w:pPr>
              <w:snapToGrid w:val="0"/>
              <w:jc w:val="center"/>
              <w:rPr>
                <w:rFonts w:ascii="宋体" w:hAnsi="宋体" w:eastAsia="宋体" w:cs="Times New Roman"/>
                <w:snapToGrid w:val="0"/>
                <w:color w:val="auto"/>
              </w:rPr>
            </w:pPr>
            <w:r>
              <w:rPr>
                <w:rFonts w:ascii="宋体" w:hAnsi="宋体" w:eastAsia="宋体" w:cs="Times New Roman"/>
                <w:snapToGrid w:val="0"/>
                <w:color w:val="auto"/>
              </w:rPr>
              <w:t>9</w:t>
            </w:r>
          </w:p>
        </w:tc>
        <w:tc>
          <w:tcPr>
            <w:tcW w:w="1086" w:type="pct"/>
            <w:shd w:val="clear" w:color="auto" w:fill="auto"/>
            <w:vAlign w:val="center"/>
          </w:tcPr>
          <w:p w14:paraId="0402ABCB">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水溶性盐总量</w:t>
            </w:r>
          </w:p>
        </w:tc>
        <w:tc>
          <w:tcPr>
            <w:tcW w:w="606" w:type="pct"/>
            <w:shd w:val="clear" w:color="auto" w:fill="auto"/>
            <w:vAlign w:val="center"/>
          </w:tcPr>
          <w:p w14:paraId="75853680">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6" w:type="pct"/>
            <w:shd w:val="clear" w:color="auto" w:fill="auto"/>
            <w:vAlign w:val="center"/>
          </w:tcPr>
          <w:p w14:paraId="1288CFB4">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7" w:type="pct"/>
            <w:shd w:val="clear" w:color="auto" w:fill="auto"/>
            <w:vAlign w:val="center"/>
          </w:tcPr>
          <w:p w14:paraId="2594E1F7">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39" w:type="pct"/>
            <w:shd w:val="clear" w:color="auto" w:fill="auto"/>
            <w:vAlign w:val="center"/>
          </w:tcPr>
          <w:p w14:paraId="5BAD95B3">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77" w:type="pct"/>
            <w:shd w:val="clear" w:color="auto" w:fill="auto"/>
            <w:vAlign w:val="center"/>
          </w:tcPr>
          <w:p w14:paraId="2D54CD1E">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20" w:type="pct"/>
            <w:gridSpan w:val="2"/>
            <w:shd w:val="clear" w:color="auto" w:fill="auto"/>
            <w:vAlign w:val="center"/>
          </w:tcPr>
          <w:p w14:paraId="294DD09E">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r>
      <w:tr w14:paraId="465B4424">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6EA98EE8">
            <w:pPr>
              <w:snapToGrid w:val="0"/>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1086" w:type="pct"/>
            <w:shd w:val="clear" w:color="auto" w:fill="auto"/>
            <w:vAlign w:val="center"/>
          </w:tcPr>
          <w:p w14:paraId="79DC493F">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w:t>
            </w:r>
          </w:p>
        </w:tc>
        <w:tc>
          <w:tcPr>
            <w:tcW w:w="606" w:type="pct"/>
            <w:shd w:val="clear" w:color="auto" w:fill="auto"/>
            <w:vAlign w:val="center"/>
          </w:tcPr>
          <w:p w14:paraId="12F2F68B">
            <w:pPr>
              <w:snapToGrid w:val="0"/>
              <w:jc w:val="center"/>
              <w:rPr>
                <w:rFonts w:ascii="宋体" w:hAnsi="宋体" w:eastAsia="宋体" w:cs="Times New Roman"/>
                <w:snapToGrid w:val="0"/>
                <w:color w:val="auto"/>
              </w:rPr>
            </w:pPr>
            <w:r>
              <w:rPr>
                <w:rFonts w:ascii="宋体" w:hAnsi="宋体" w:eastAsia="宋体" w:cs="Times New Roman"/>
                <w:color w:val="auto"/>
              </w:rPr>
              <w:t>0.000666</w:t>
            </w:r>
          </w:p>
        </w:tc>
        <w:tc>
          <w:tcPr>
            <w:tcW w:w="606" w:type="pct"/>
            <w:shd w:val="clear" w:color="auto" w:fill="auto"/>
            <w:vAlign w:val="center"/>
          </w:tcPr>
          <w:p w14:paraId="0DE8E154">
            <w:pPr>
              <w:snapToGrid w:val="0"/>
              <w:jc w:val="center"/>
              <w:rPr>
                <w:rFonts w:ascii="宋体" w:hAnsi="宋体" w:eastAsia="宋体" w:cs="Times New Roman"/>
                <w:color w:val="auto"/>
              </w:rPr>
            </w:pPr>
            <w:r>
              <w:rPr>
                <w:rFonts w:ascii="宋体" w:hAnsi="宋体" w:eastAsia="宋体" w:cs="Times New Roman"/>
                <w:color w:val="auto"/>
              </w:rPr>
              <w:t>0.000666</w:t>
            </w:r>
          </w:p>
        </w:tc>
        <w:tc>
          <w:tcPr>
            <w:tcW w:w="607" w:type="pct"/>
            <w:shd w:val="clear" w:color="auto" w:fill="auto"/>
            <w:vAlign w:val="center"/>
          </w:tcPr>
          <w:p w14:paraId="3A191B26">
            <w:pPr>
              <w:snapToGrid w:val="0"/>
              <w:jc w:val="center"/>
              <w:rPr>
                <w:rFonts w:ascii="宋体" w:hAnsi="宋体" w:eastAsia="宋体" w:cs="Times New Roman"/>
                <w:color w:val="auto"/>
              </w:rPr>
            </w:pPr>
            <w:r>
              <w:rPr>
                <w:rFonts w:ascii="宋体" w:hAnsi="宋体" w:eastAsia="宋体" w:cs="Times New Roman"/>
                <w:color w:val="auto"/>
              </w:rPr>
              <w:t>0.000666</w:t>
            </w:r>
          </w:p>
        </w:tc>
        <w:tc>
          <w:tcPr>
            <w:tcW w:w="639" w:type="pct"/>
            <w:shd w:val="clear" w:color="auto" w:fill="auto"/>
            <w:vAlign w:val="center"/>
          </w:tcPr>
          <w:p w14:paraId="70334D27">
            <w:pPr>
              <w:snapToGrid w:val="0"/>
              <w:jc w:val="center"/>
              <w:rPr>
                <w:rFonts w:ascii="宋体" w:hAnsi="宋体" w:eastAsia="宋体" w:cs="Times New Roman"/>
                <w:color w:val="auto"/>
              </w:rPr>
            </w:pPr>
            <w:r>
              <w:rPr>
                <w:rFonts w:ascii="宋体" w:hAnsi="宋体" w:eastAsia="宋体" w:cs="Times New Roman"/>
                <w:color w:val="auto"/>
              </w:rPr>
              <w:t>0.000666</w:t>
            </w:r>
          </w:p>
        </w:tc>
        <w:tc>
          <w:tcPr>
            <w:tcW w:w="577" w:type="pct"/>
            <w:shd w:val="clear" w:color="auto" w:fill="auto"/>
            <w:vAlign w:val="center"/>
          </w:tcPr>
          <w:p w14:paraId="7B23D4E3">
            <w:pPr>
              <w:snapToGrid w:val="0"/>
              <w:jc w:val="center"/>
              <w:rPr>
                <w:rFonts w:ascii="宋体" w:hAnsi="宋体" w:eastAsia="宋体" w:cs="Times New Roman"/>
                <w:color w:val="auto"/>
              </w:rPr>
            </w:pPr>
            <w:r>
              <w:rPr>
                <w:rFonts w:ascii="宋体" w:hAnsi="宋体" w:eastAsia="宋体" w:cs="Times New Roman"/>
                <w:color w:val="auto"/>
              </w:rPr>
              <w:t>0.000666</w:t>
            </w:r>
          </w:p>
        </w:tc>
        <w:tc>
          <w:tcPr>
            <w:tcW w:w="620" w:type="pct"/>
            <w:gridSpan w:val="2"/>
            <w:shd w:val="clear" w:color="auto" w:fill="auto"/>
            <w:vAlign w:val="center"/>
          </w:tcPr>
          <w:p w14:paraId="28AB1542">
            <w:pPr>
              <w:snapToGrid w:val="0"/>
              <w:jc w:val="center"/>
              <w:rPr>
                <w:rFonts w:ascii="宋体" w:hAnsi="宋体" w:eastAsia="宋体" w:cs="Times New Roman"/>
                <w:snapToGrid w:val="0"/>
                <w:color w:val="auto"/>
              </w:rPr>
            </w:pPr>
            <w:r>
              <w:rPr>
                <w:rFonts w:hint="eastAsia" w:ascii="宋体" w:hAnsi="宋体" w:eastAsia="宋体" w:cs="Times New Roman"/>
                <w:snapToGrid w:val="0"/>
                <w:color w:val="auto"/>
              </w:rPr>
              <w:t>0</w:t>
            </w:r>
            <w:r>
              <w:rPr>
                <w:rFonts w:ascii="宋体" w:hAnsi="宋体" w:eastAsia="宋体" w:cs="Times New Roman"/>
                <w:snapToGrid w:val="0"/>
                <w:color w:val="auto"/>
              </w:rPr>
              <w:t>.003632</w:t>
            </w:r>
          </w:p>
        </w:tc>
      </w:tr>
      <w:tr w14:paraId="19125FA4">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3651F7A3">
            <w:pPr>
              <w:snapToGrid w:val="0"/>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1086" w:type="pct"/>
            <w:shd w:val="clear" w:color="auto" w:fill="auto"/>
            <w:vAlign w:val="center"/>
          </w:tcPr>
          <w:p w14:paraId="01960AE6">
            <w:pPr>
              <w:adjustRightInd w:val="0"/>
              <w:snapToGrid w:val="0"/>
              <w:jc w:val="center"/>
              <w:rPr>
                <w:rFonts w:ascii="宋体" w:hAnsi="宋体" w:eastAsia="宋体" w:cs="Times New Roman"/>
                <w:color w:val="auto"/>
              </w:rPr>
            </w:pPr>
            <w:r>
              <w:rPr>
                <w:rFonts w:ascii="宋体" w:hAnsi="宋体" w:eastAsia="宋体" w:cs="Times New Roman"/>
                <w:color w:val="auto"/>
              </w:rPr>
              <w:t>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w:t>
            </w:r>
          </w:p>
        </w:tc>
        <w:tc>
          <w:tcPr>
            <w:tcW w:w="606" w:type="pct"/>
            <w:shd w:val="clear" w:color="auto" w:fill="auto"/>
            <w:vAlign w:val="center"/>
          </w:tcPr>
          <w:p w14:paraId="742CD57F">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6" w:type="pct"/>
            <w:shd w:val="clear" w:color="auto" w:fill="auto"/>
            <w:vAlign w:val="center"/>
          </w:tcPr>
          <w:p w14:paraId="77074EF6">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7" w:type="pct"/>
            <w:shd w:val="clear" w:color="auto" w:fill="auto"/>
            <w:vAlign w:val="center"/>
          </w:tcPr>
          <w:p w14:paraId="6E6D3969">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39" w:type="pct"/>
            <w:shd w:val="clear" w:color="auto" w:fill="auto"/>
            <w:vAlign w:val="center"/>
          </w:tcPr>
          <w:p w14:paraId="6F406FB2">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77" w:type="pct"/>
            <w:shd w:val="clear" w:color="auto" w:fill="auto"/>
            <w:vAlign w:val="center"/>
          </w:tcPr>
          <w:p w14:paraId="1609F7ED">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20" w:type="pct"/>
            <w:gridSpan w:val="2"/>
            <w:shd w:val="clear" w:color="auto" w:fill="auto"/>
            <w:vAlign w:val="center"/>
          </w:tcPr>
          <w:p w14:paraId="1779071B">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r>
      <w:tr w14:paraId="3CB598A4">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259" w:type="pct"/>
            <w:shd w:val="clear" w:color="auto" w:fill="auto"/>
            <w:vAlign w:val="center"/>
          </w:tcPr>
          <w:p w14:paraId="70EBDF55">
            <w:pPr>
              <w:snapToGrid w:val="0"/>
              <w:jc w:val="center"/>
              <w:rPr>
                <w:rFonts w:ascii="宋体" w:hAnsi="宋体" w:eastAsia="宋体" w:cs="Times New Roman"/>
                <w:snapToGrid w:val="0"/>
                <w:color w:val="auto"/>
              </w:rPr>
            </w:pPr>
            <w:r>
              <w:rPr>
                <w:rFonts w:ascii="宋体" w:hAnsi="宋体" w:eastAsia="宋体" w:cs="Times New Roman"/>
                <w:snapToGrid w:val="0"/>
                <w:color w:val="auto"/>
              </w:rPr>
              <w:t>12</w:t>
            </w:r>
          </w:p>
        </w:tc>
        <w:tc>
          <w:tcPr>
            <w:tcW w:w="1086" w:type="pct"/>
            <w:shd w:val="clear" w:color="auto" w:fill="auto"/>
            <w:vAlign w:val="center"/>
          </w:tcPr>
          <w:p w14:paraId="23E3A808">
            <w:pPr>
              <w:adjustRightInd w:val="0"/>
              <w:snapToGrid w:val="0"/>
              <w:jc w:val="center"/>
              <w:rPr>
                <w:rFonts w:ascii="宋体" w:hAnsi="宋体" w:eastAsia="宋体" w:cs="Times New Roman"/>
                <w:color w:val="auto"/>
              </w:rPr>
            </w:pPr>
            <w:r>
              <w:rPr>
                <w:rFonts w:ascii="宋体" w:hAnsi="宋体" w:eastAsia="宋体" w:cs="Times New Roman"/>
                <w:color w:val="auto"/>
              </w:rPr>
              <w:t>石油类</w:t>
            </w:r>
          </w:p>
        </w:tc>
        <w:tc>
          <w:tcPr>
            <w:tcW w:w="606" w:type="pct"/>
            <w:shd w:val="clear" w:color="auto" w:fill="auto"/>
            <w:vAlign w:val="center"/>
          </w:tcPr>
          <w:p w14:paraId="6FB200F6">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6" w:type="pct"/>
            <w:shd w:val="clear" w:color="auto" w:fill="auto"/>
            <w:vAlign w:val="center"/>
          </w:tcPr>
          <w:p w14:paraId="1ADBD734">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07" w:type="pct"/>
            <w:shd w:val="clear" w:color="auto" w:fill="auto"/>
            <w:vAlign w:val="center"/>
          </w:tcPr>
          <w:p w14:paraId="7EDBA6DA">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39" w:type="pct"/>
            <w:shd w:val="clear" w:color="auto" w:fill="auto"/>
            <w:vAlign w:val="center"/>
          </w:tcPr>
          <w:p w14:paraId="4B9CE58B">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77" w:type="pct"/>
            <w:shd w:val="clear" w:color="auto" w:fill="auto"/>
            <w:vAlign w:val="center"/>
          </w:tcPr>
          <w:p w14:paraId="5D1ED225">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620" w:type="pct"/>
            <w:gridSpan w:val="2"/>
            <w:shd w:val="clear" w:color="auto" w:fill="auto"/>
            <w:vAlign w:val="center"/>
          </w:tcPr>
          <w:p w14:paraId="0270CEAE">
            <w:pPr>
              <w:snapToGrid w:val="0"/>
              <w:jc w:val="center"/>
              <w:rPr>
                <w:rFonts w:ascii="宋体" w:hAnsi="宋体" w:eastAsia="宋体" w:cs="Times New Roman"/>
                <w:snapToGrid w:val="0"/>
                <w:color w:val="auto"/>
              </w:rPr>
            </w:pPr>
            <w:r>
              <w:rPr>
                <w:rFonts w:ascii="宋体" w:hAnsi="宋体" w:eastAsia="宋体" w:cs="Times New Roman"/>
                <w:snapToGrid w:val="0"/>
                <w:color w:val="auto"/>
              </w:rPr>
              <w:t>/</w:t>
            </w:r>
          </w:p>
        </w:tc>
      </w:tr>
    </w:tbl>
    <w:p w14:paraId="1DADA499">
      <w:pPr>
        <w:adjustRightInd w:val="0"/>
        <w:snapToGrid w:val="0"/>
        <w:spacing w:line="500" w:lineRule="exact"/>
        <w:ind w:firstLine="630" w:firstLineChars="300"/>
        <w:rPr>
          <w:rFonts w:ascii="宋体" w:hAnsi="宋体" w:eastAsia="宋体" w:cs="Times New Roman"/>
          <w:color w:val="auto"/>
          <w:kern w:val="21"/>
          <w:lang w:bidi="zh-CN"/>
        </w:rPr>
      </w:pPr>
      <w:r>
        <w:rPr>
          <w:rFonts w:ascii="宋体" w:hAnsi="宋体" w:eastAsia="宋体" w:cs="Times New Roman"/>
          <w:color w:val="auto"/>
          <w:kern w:val="21"/>
          <w:lang w:bidi="zh-CN"/>
        </w:rPr>
        <w:t>表4.2-2</w:t>
      </w:r>
      <w:r>
        <w:rPr>
          <w:rFonts w:hint="eastAsia" w:ascii="宋体" w:hAnsi="宋体" w:eastAsia="宋体" w:cs="Times New Roman"/>
          <w:color w:val="auto"/>
          <w:kern w:val="21"/>
          <w:lang w:bidi="zh-CN"/>
        </w:rPr>
        <w:t>4</w:t>
      </w:r>
      <w:r>
        <w:rPr>
          <w:rFonts w:ascii="宋体" w:hAnsi="宋体" w:eastAsia="宋体" w:cs="Times New Roman"/>
          <w:color w:val="auto"/>
          <w:kern w:val="21"/>
          <w:lang w:bidi="zh-CN"/>
        </w:rPr>
        <w:t xml:space="preserve"> 建设用地土壤环境质量挥发性及半挥发性有机物现状评价结果</w:t>
      </w:r>
    </w:p>
    <w:tbl>
      <w:tblPr>
        <w:tblStyle w:val="8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38"/>
        <w:gridCol w:w="1393"/>
        <w:gridCol w:w="1189"/>
        <w:gridCol w:w="1328"/>
        <w:gridCol w:w="503"/>
        <w:gridCol w:w="1811"/>
        <w:gridCol w:w="1298"/>
        <w:gridCol w:w="1327"/>
      </w:tblGrid>
      <w:tr w14:paraId="17F0C5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vMerge w:val="restart"/>
            <w:shd w:val="clear" w:color="auto" w:fill="auto"/>
            <w:vAlign w:val="center"/>
          </w:tcPr>
          <w:p w14:paraId="299043F8">
            <w:pPr>
              <w:snapToGrid w:val="0"/>
              <w:jc w:val="center"/>
              <w:rPr>
                <w:rFonts w:ascii="宋体" w:hAnsi="宋体" w:eastAsia="宋体" w:cs="Times New Roman"/>
                <w:color w:val="auto"/>
              </w:rPr>
            </w:pPr>
            <w:r>
              <w:rPr>
                <w:rFonts w:ascii="宋体" w:hAnsi="宋体" w:eastAsia="宋体" w:cs="Times New Roman"/>
                <w:color w:val="auto"/>
              </w:rPr>
              <w:t>序号</w:t>
            </w:r>
          </w:p>
        </w:tc>
        <w:tc>
          <w:tcPr>
            <w:tcW w:w="750" w:type="pct"/>
            <w:vMerge w:val="restart"/>
            <w:shd w:val="clear" w:color="auto" w:fill="auto"/>
            <w:vAlign w:val="center"/>
          </w:tcPr>
          <w:p w14:paraId="1E8C5863">
            <w:pPr>
              <w:snapToGrid w:val="0"/>
              <w:jc w:val="center"/>
              <w:rPr>
                <w:rFonts w:ascii="宋体" w:hAnsi="宋体" w:eastAsia="宋体" w:cs="Times New Roman"/>
                <w:color w:val="auto"/>
              </w:rPr>
            </w:pPr>
            <w:r>
              <w:rPr>
                <w:rFonts w:ascii="宋体" w:hAnsi="宋体" w:eastAsia="宋体" w:cs="Times New Roman"/>
                <w:color w:val="auto"/>
              </w:rPr>
              <w:t>监测项目</w:t>
            </w:r>
          </w:p>
        </w:tc>
        <w:tc>
          <w:tcPr>
            <w:tcW w:w="1355" w:type="pct"/>
            <w:gridSpan w:val="2"/>
            <w:shd w:val="clear" w:color="auto" w:fill="auto"/>
            <w:vAlign w:val="center"/>
          </w:tcPr>
          <w:p w14:paraId="092798E6">
            <w:pPr>
              <w:snapToGrid w:val="0"/>
              <w:jc w:val="center"/>
              <w:rPr>
                <w:rFonts w:ascii="宋体" w:hAnsi="宋体" w:eastAsia="宋体" w:cs="Times New Roman"/>
                <w:color w:val="auto"/>
              </w:rPr>
            </w:pPr>
            <w:r>
              <w:rPr>
                <w:rFonts w:ascii="宋体" w:hAnsi="宋体" w:eastAsia="宋体" w:cs="Times New Roman"/>
                <w:color w:val="auto"/>
              </w:rPr>
              <w:t>监测点位</w:t>
            </w:r>
          </w:p>
        </w:tc>
        <w:tc>
          <w:tcPr>
            <w:tcW w:w="271" w:type="pct"/>
            <w:vMerge w:val="restart"/>
            <w:shd w:val="clear" w:color="auto" w:fill="auto"/>
            <w:vAlign w:val="center"/>
          </w:tcPr>
          <w:p w14:paraId="4F21553E">
            <w:pPr>
              <w:snapToGrid w:val="0"/>
              <w:jc w:val="center"/>
              <w:rPr>
                <w:rFonts w:ascii="宋体" w:hAnsi="宋体" w:eastAsia="宋体" w:cs="Times New Roman"/>
                <w:color w:val="auto"/>
              </w:rPr>
            </w:pPr>
            <w:r>
              <w:rPr>
                <w:rFonts w:ascii="宋体" w:hAnsi="宋体" w:eastAsia="宋体" w:cs="Times New Roman"/>
                <w:color w:val="auto"/>
              </w:rPr>
              <w:t>序号</w:t>
            </w:r>
          </w:p>
        </w:tc>
        <w:tc>
          <w:tcPr>
            <w:tcW w:w="975" w:type="pct"/>
            <w:vMerge w:val="restart"/>
            <w:shd w:val="clear" w:color="auto" w:fill="auto"/>
            <w:vAlign w:val="center"/>
          </w:tcPr>
          <w:p w14:paraId="4CD01360">
            <w:pPr>
              <w:snapToGrid w:val="0"/>
              <w:jc w:val="center"/>
              <w:rPr>
                <w:rFonts w:ascii="宋体" w:hAnsi="宋体" w:eastAsia="宋体" w:cs="Times New Roman"/>
                <w:color w:val="auto"/>
              </w:rPr>
            </w:pPr>
            <w:r>
              <w:rPr>
                <w:rFonts w:ascii="宋体" w:hAnsi="宋体" w:eastAsia="宋体" w:cs="Times New Roman"/>
                <w:color w:val="auto"/>
              </w:rPr>
              <w:t>监测项目</w:t>
            </w:r>
          </w:p>
        </w:tc>
        <w:tc>
          <w:tcPr>
            <w:tcW w:w="1414" w:type="pct"/>
            <w:gridSpan w:val="2"/>
            <w:shd w:val="clear" w:color="auto" w:fill="auto"/>
            <w:vAlign w:val="center"/>
          </w:tcPr>
          <w:p w14:paraId="65841A45">
            <w:pPr>
              <w:snapToGrid w:val="0"/>
              <w:jc w:val="center"/>
              <w:rPr>
                <w:rFonts w:ascii="宋体" w:hAnsi="宋体" w:eastAsia="宋体" w:cs="Times New Roman"/>
                <w:color w:val="auto"/>
              </w:rPr>
            </w:pPr>
            <w:r>
              <w:rPr>
                <w:rFonts w:ascii="宋体" w:hAnsi="宋体" w:eastAsia="宋体" w:cs="Times New Roman"/>
                <w:color w:val="auto"/>
              </w:rPr>
              <w:t>监测点位</w:t>
            </w:r>
          </w:p>
        </w:tc>
      </w:tr>
      <w:tr w14:paraId="70851A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vMerge w:val="continue"/>
            <w:shd w:val="clear" w:color="auto" w:fill="auto"/>
            <w:vAlign w:val="center"/>
          </w:tcPr>
          <w:p w14:paraId="0AD39456">
            <w:pPr>
              <w:snapToGrid w:val="0"/>
              <w:jc w:val="center"/>
              <w:rPr>
                <w:rFonts w:ascii="宋体" w:hAnsi="宋体" w:eastAsia="宋体" w:cs="Times New Roman"/>
                <w:color w:val="auto"/>
              </w:rPr>
            </w:pPr>
          </w:p>
        </w:tc>
        <w:tc>
          <w:tcPr>
            <w:tcW w:w="750" w:type="pct"/>
            <w:vMerge w:val="continue"/>
            <w:shd w:val="clear" w:color="auto" w:fill="auto"/>
            <w:vAlign w:val="center"/>
          </w:tcPr>
          <w:p w14:paraId="71EE6CA0">
            <w:pPr>
              <w:snapToGrid w:val="0"/>
              <w:jc w:val="center"/>
              <w:rPr>
                <w:rFonts w:ascii="宋体" w:hAnsi="宋体" w:eastAsia="宋体" w:cs="Times New Roman"/>
                <w:color w:val="auto"/>
              </w:rPr>
            </w:pPr>
          </w:p>
        </w:tc>
        <w:tc>
          <w:tcPr>
            <w:tcW w:w="640" w:type="pct"/>
            <w:shd w:val="clear" w:color="auto" w:fill="auto"/>
            <w:vAlign w:val="center"/>
          </w:tcPr>
          <w:p w14:paraId="62CA179B">
            <w:pPr>
              <w:snapToGrid w:val="0"/>
              <w:jc w:val="center"/>
              <w:rPr>
                <w:rFonts w:ascii="宋体" w:hAnsi="宋体" w:eastAsia="宋体" w:cs="Times New Roman"/>
                <w:color w:val="auto"/>
              </w:rPr>
            </w:pPr>
            <w:r>
              <w:rPr>
                <w:rFonts w:ascii="宋体" w:hAnsi="宋体" w:eastAsia="宋体" w:cs="Times New Roman"/>
                <w:color w:val="auto"/>
              </w:rPr>
              <w:t>S1#～S7#点</w:t>
            </w:r>
          </w:p>
        </w:tc>
        <w:tc>
          <w:tcPr>
            <w:tcW w:w="715" w:type="pct"/>
            <w:shd w:val="clear" w:color="auto" w:fill="auto"/>
            <w:vAlign w:val="center"/>
          </w:tcPr>
          <w:p w14:paraId="7DF87B48">
            <w:pPr>
              <w:snapToGrid w:val="0"/>
              <w:jc w:val="center"/>
              <w:rPr>
                <w:rFonts w:ascii="宋体" w:hAnsi="宋体" w:eastAsia="宋体" w:cs="Times New Roman"/>
                <w:color w:val="auto"/>
              </w:rPr>
            </w:pPr>
            <w:r>
              <w:rPr>
                <w:rFonts w:ascii="宋体" w:hAnsi="宋体" w:eastAsia="宋体" w:cs="Times New Roman"/>
                <w:color w:val="auto"/>
              </w:rPr>
              <w:t>S8#点</w:t>
            </w:r>
          </w:p>
        </w:tc>
        <w:tc>
          <w:tcPr>
            <w:tcW w:w="271" w:type="pct"/>
            <w:vMerge w:val="continue"/>
            <w:shd w:val="clear" w:color="auto" w:fill="auto"/>
            <w:vAlign w:val="center"/>
          </w:tcPr>
          <w:p w14:paraId="409E8187">
            <w:pPr>
              <w:snapToGrid w:val="0"/>
              <w:jc w:val="center"/>
              <w:rPr>
                <w:rFonts w:ascii="宋体" w:hAnsi="宋体" w:eastAsia="宋体" w:cs="Times New Roman"/>
                <w:color w:val="auto"/>
              </w:rPr>
            </w:pPr>
          </w:p>
        </w:tc>
        <w:tc>
          <w:tcPr>
            <w:tcW w:w="975" w:type="pct"/>
            <w:vMerge w:val="continue"/>
            <w:shd w:val="clear" w:color="auto" w:fill="auto"/>
            <w:vAlign w:val="center"/>
          </w:tcPr>
          <w:p w14:paraId="1BDBE200">
            <w:pPr>
              <w:snapToGrid w:val="0"/>
              <w:jc w:val="center"/>
              <w:rPr>
                <w:rFonts w:ascii="宋体" w:hAnsi="宋体" w:eastAsia="宋体" w:cs="Times New Roman"/>
                <w:color w:val="auto"/>
              </w:rPr>
            </w:pPr>
          </w:p>
        </w:tc>
        <w:tc>
          <w:tcPr>
            <w:tcW w:w="699" w:type="pct"/>
            <w:shd w:val="clear" w:color="auto" w:fill="auto"/>
            <w:vAlign w:val="center"/>
          </w:tcPr>
          <w:p w14:paraId="5D79D830">
            <w:pPr>
              <w:snapToGrid w:val="0"/>
              <w:jc w:val="center"/>
              <w:rPr>
                <w:rFonts w:ascii="宋体" w:hAnsi="宋体" w:eastAsia="宋体" w:cs="Times New Roman"/>
                <w:color w:val="auto"/>
              </w:rPr>
            </w:pPr>
            <w:r>
              <w:rPr>
                <w:rFonts w:ascii="宋体" w:hAnsi="宋体" w:eastAsia="宋体" w:cs="Times New Roman"/>
                <w:color w:val="auto"/>
              </w:rPr>
              <w:t>S1#～S7#点</w:t>
            </w:r>
          </w:p>
        </w:tc>
        <w:tc>
          <w:tcPr>
            <w:tcW w:w="715" w:type="pct"/>
            <w:shd w:val="clear" w:color="auto" w:fill="auto"/>
            <w:vAlign w:val="center"/>
          </w:tcPr>
          <w:p w14:paraId="2667A080">
            <w:pPr>
              <w:snapToGrid w:val="0"/>
              <w:jc w:val="center"/>
              <w:rPr>
                <w:rFonts w:ascii="宋体" w:hAnsi="宋体" w:eastAsia="宋体" w:cs="Times New Roman"/>
                <w:color w:val="auto"/>
              </w:rPr>
            </w:pPr>
            <w:r>
              <w:rPr>
                <w:rFonts w:ascii="宋体" w:hAnsi="宋体" w:eastAsia="宋体" w:cs="Times New Roman"/>
                <w:color w:val="auto"/>
              </w:rPr>
              <w:t>S8#点</w:t>
            </w:r>
          </w:p>
        </w:tc>
      </w:tr>
      <w:tr w14:paraId="0B5463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3D445BFB">
            <w:pPr>
              <w:snapToGrid w:val="0"/>
              <w:jc w:val="center"/>
              <w:rPr>
                <w:rFonts w:ascii="宋体" w:hAnsi="宋体" w:eastAsia="宋体" w:cs="Times New Roman"/>
                <w:color w:val="auto"/>
              </w:rPr>
            </w:pPr>
            <w:r>
              <w:rPr>
                <w:rFonts w:ascii="宋体" w:hAnsi="宋体" w:eastAsia="宋体" w:cs="Times New Roman"/>
                <w:color w:val="auto"/>
              </w:rPr>
              <w:t>1</w:t>
            </w:r>
          </w:p>
        </w:tc>
        <w:tc>
          <w:tcPr>
            <w:tcW w:w="750" w:type="pct"/>
            <w:shd w:val="clear" w:color="auto" w:fill="auto"/>
            <w:vAlign w:val="center"/>
          </w:tcPr>
          <w:p w14:paraId="02897325">
            <w:pPr>
              <w:jc w:val="center"/>
              <w:rPr>
                <w:rFonts w:ascii="宋体" w:hAnsi="宋体" w:eastAsia="宋体" w:cs="Times New Roman"/>
                <w:color w:val="auto"/>
              </w:rPr>
            </w:pPr>
            <w:r>
              <w:rPr>
                <w:rFonts w:ascii="宋体" w:hAnsi="宋体" w:eastAsia="宋体" w:cs="Times New Roman"/>
                <w:snapToGrid w:val="0"/>
                <w:color w:val="auto"/>
              </w:rPr>
              <w:t>四氯化碳</w:t>
            </w:r>
          </w:p>
        </w:tc>
        <w:tc>
          <w:tcPr>
            <w:tcW w:w="640" w:type="pct"/>
            <w:shd w:val="clear" w:color="auto" w:fill="auto"/>
            <w:vAlign w:val="center"/>
          </w:tcPr>
          <w:p w14:paraId="6E130670">
            <w:pPr>
              <w:jc w:val="center"/>
              <w:textAlignment w:val="center"/>
              <w:rPr>
                <w:rFonts w:ascii="宋体" w:hAnsi="宋体" w:eastAsia="宋体" w:cs="Times New Roman"/>
                <w:color w:val="auto"/>
              </w:rPr>
            </w:pPr>
            <w:r>
              <w:rPr>
                <w:rFonts w:hint="eastAsia" w:ascii="宋体" w:hAnsi="宋体" w:eastAsia="宋体"/>
                <w:color w:val="auto"/>
              </w:rPr>
              <w:t>0.000014</w:t>
            </w:r>
          </w:p>
        </w:tc>
        <w:tc>
          <w:tcPr>
            <w:tcW w:w="715" w:type="pct"/>
            <w:shd w:val="clear" w:color="auto" w:fill="auto"/>
            <w:vAlign w:val="center"/>
          </w:tcPr>
          <w:p w14:paraId="6AEAF923">
            <w:pPr>
              <w:snapToGrid w:val="0"/>
              <w:jc w:val="center"/>
              <w:rPr>
                <w:rFonts w:ascii="宋体" w:hAnsi="宋体" w:eastAsia="宋体" w:cs="Times New Roman"/>
                <w:color w:val="auto"/>
              </w:rPr>
            </w:pPr>
            <w:r>
              <w:rPr>
                <w:rFonts w:hint="eastAsia" w:ascii="宋体" w:hAnsi="宋体" w:eastAsia="宋体"/>
                <w:color w:val="auto"/>
              </w:rPr>
              <w:t>0.0007869</w:t>
            </w:r>
          </w:p>
        </w:tc>
        <w:tc>
          <w:tcPr>
            <w:tcW w:w="271" w:type="pct"/>
            <w:shd w:val="clear" w:color="auto" w:fill="auto"/>
            <w:vAlign w:val="center"/>
          </w:tcPr>
          <w:p w14:paraId="5364AD9F">
            <w:pPr>
              <w:snapToGrid w:val="0"/>
              <w:jc w:val="center"/>
              <w:rPr>
                <w:rFonts w:ascii="宋体" w:hAnsi="宋体" w:eastAsia="宋体" w:cs="Times New Roman"/>
                <w:color w:val="auto"/>
              </w:rPr>
            </w:pPr>
            <w:r>
              <w:rPr>
                <w:rFonts w:ascii="宋体" w:hAnsi="宋体" w:eastAsia="宋体" w:cs="Times New Roman"/>
                <w:color w:val="auto"/>
              </w:rPr>
              <w:t>20</w:t>
            </w:r>
          </w:p>
        </w:tc>
        <w:tc>
          <w:tcPr>
            <w:tcW w:w="975" w:type="pct"/>
            <w:shd w:val="clear" w:color="auto" w:fill="auto"/>
            <w:vAlign w:val="center"/>
          </w:tcPr>
          <w:p w14:paraId="58659AFB">
            <w:pPr>
              <w:jc w:val="center"/>
              <w:rPr>
                <w:rFonts w:ascii="宋体" w:hAnsi="宋体" w:eastAsia="宋体" w:cs="Times New Roman"/>
                <w:color w:val="auto"/>
              </w:rPr>
            </w:pPr>
            <w:r>
              <w:rPr>
                <w:rFonts w:ascii="宋体" w:hAnsi="宋体" w:eastAsia="宋体" w:cs="Times New Roman"/>
                <w:snapToGrid w:val="0"/>
                <w:color w:val="auto"/>
              </w:rPr>
              <w:t>氯苯</w:t>
            </w:r>
          </w:p>
        </w:tc>
        <w:tc>
          <w:tcPr>
            <w:tcW w:w="699" w:type="pct"/>
            <w:shd w:val="clear" w:color="auto" w:fill="auto"/>
            <w:vAlign w:val="center"/>
          </w:tcPr>
          <w:p w14:paraId="4CF77071">
            <w:pPr>
              <w:jc w:val="center"/>
              <w:rPr>
                <w:rFonts w:ascii="宋体" w:hAnsi="宋体" w:eastAsia="宋体" w:cs="Times New Roman"/>
                <w:color w:val="auto"/>
              </w:rPr>
            </w:pPr>
            <w:r>
              <w:rPr>
                <w:rFonts w:hint="eastAsia" w:ascii="宋体" w:hAnsi="宋体" w:eastAsia="宋体"/>
                <w:color w:val="auto"/>
              </w:rPr>
              <w:t>0.000037</w:t>
            </w:r>
          </w:p>
        </w:tc>
        <w:tc>
          <w:tcPr>
            <w:tcW w:w="715" w:type="pct"/>
            <w:shd w:val="clear" w:color="auto" w:fill="auto"/>
            <w:vAlign w:val="center"/>
          </w:tcPr>
          <w:p w14:paraId="4BA1700C">
            <w:pPr>
              <w:jc w:val="center"/>
              <w:rPr>
                <w:rFonts w:ascii="宋体" w:hAnsi="宋体" w:eastAsia="宋体"/>
                <w:color w:val="auto"/>
              </w:rPr>
            </w:pPr>
            <w:r>
              <w:rPr>
                <w:rFonts w:hint="eastAsia" w:ascii="宋体" w:hAnsi="宋体" w:eastAsia="宋体"/>
                <w:color w:val="auto"/>
              </w:rPr>
              <w:t>0.0007264</w:t>
            </w:r>
          </w:p>
        </w:tc>
      </w:tr>
      <w:tr w14:paraId="595345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3F83FCCB">
            <w:pPr>
              <w:snapToGrid w:val="0"/>
              <w:jc w:val="center"/>
              <w:rPr>
                <w:rFonts w:ascii="宋体" w:hAnsi="宋体" w:eastAsia="宋体" w:cs="Times New Roman"/>
                <w:color w:val="auto"/>
              </w:rPr>
            </w:pPr>
            <w:r>
              <w:rPr>
                <w:rFonts w:ascii="宋体" w:hAnsi="宋体" w:eastAsia="宋体" w:cs="Times New Roman"/>
                <w:color w:val="auto"/>
              </w:rPr>
              <w:t>2</w:t>
            </w:r>
          </w:p>
        </w:tc>
        <w:tc>
          <w:tcPr>
            <w:tcW w:w="750" w:type="pct"/>
            <w:shd w:val="clear" w:color="auto" w:fill="auto"/>
            <w:vAlign w:val="center"/>
          </w:tcPr>
          <w:p w14:paraId="4585C020">
            <w:pPr>
              <w:jc w:val="center"/>
              <w:rPr>
                <w:rFonts w:ascii="宋体" w:hAnsi="宋体" w:eastAsia="宋体" w:cs="Times New Roman"/>
                <w:color w:val="auto"/>
              </w:rPr>
            </w:pPr>
            <w:r>
              <w:rPr>
                <w:rFonts w:ascii="宋体" w:hAnsi="宋体" w:eastAsia="宋体" w:cs="Times New Roman"/>
                <w:snapToGrid w:val="0"/>
                <w:color w:val="auto"/>
              </w:rPr>
              <w:t>氯仿</w:t>
            </w:r>
          </w:p>
        </w:tc>
        <w:tc>
          <w:tcPr>
            <w:tcW w:w="640" w:type="pct"/>
            <w:shd w:val="clear" w:color="auto" w:fill="auto"/>
            <w:vAlign w:val="center"/>
          </w:tcPr>
          <w:p w14:paraId="3728774C">
            <w:pPr>
              <w:jc w:val="center"/>
              <w:rPr>
                <w:rFonts w:ascii="宋体" w:hAnsi="宋体" w:eastAsia="宋体" w:cs="Times New Roman"/>
                <w:color w:val="auto"/>
              </w:rPr>
            </w:pPr>
            <w:r>
              <w:rPr>
                <w:rFonts w:hint="eastAsia" w:ascii="宋体" w:hAnsi="宋体" w:eastAsia="宋体"/>
                <w:color w:val="auto"/>
              </w:rPr>
              <w:t>0.000067</w:t>
            </w:r>
          </w:p>
        </w:tc>
        <w:tc>
          <w:tcPr>
            <w:tcW w:w="715" w:type="pct"/>
            <w:shd w:val="clear" w:color="auto" w:fill="auto"/>
            <w:vAlign w:val="center"/>
          </w:tcPr>
          <w:p w14:paraId="26757920">
            <w:pPr>
              <w:snapToGrid w:val="0"/>
              <w:jc w:val="center"/>
              <w:rPr>
                <w:rFonts w:ascii="宋体" w:hAnsi="宋体" w:eastAsia="宋体" w:cs="Times New Roman"/>
                <w:color w:val="auto"/>
              </w:rPr>
            </w:pPr>
            <w:r>
              <w:rPr>
                <w:rFonts w:hint="eastAsia" w:ascii="宋体" w:hAnsi="宋体" w:eastAsia="宋体"/>
                <w:color w:val="auto"/>
              </w:rPr>
              <w:t>0.0006659</w:t>
            </w:r>
          </w:p>
        </w:tc>
        <w:tc>
          <w:tcPr>
            <w:tcW w:w="271" w:type="pct"/>
            <w:shd w:val="clear" w:color="auto" w:fill="auto"/>
            <w:vAlign w:val="center"/>
          </w:tcPr>
          <w:p w14:paraId="03B4844A">
            <w:pPr>
              <w:snapToGrid w:val="0"/>
              <w:jc w:val="center"/>
              <w:rPr>
                <w:rFonts w:ascii="宋体" w:hAnsi="宋体" w:eastAsia="宋体" w:cs="Times New Roman"/>
                <w:color w:val="auto"/>
              </w:rPr>
            </w:pPr>
            <w:r>
              <w:rPr>
                <w:rFonts w:ascii="宋体" w:hAnsi="宋体" w:eastAsia="宋体" w:cs="Times New Roman"/>
                <w:color w:val="auto"/>
              </w:rPr>
              <w:t>21</w:t>
            </w:r>
          </w:p>
        </w:tc>
        <w:tc>
          <w:tcPr>
            <w:tcW w:w="975" w:type="pct"/>
            <w:shd w:val="clear" w:color="auto" w:fill="auto"/>
            <w:vAlign w:val="center"/>
          </w:tcPr>
          <w:p w14:paraId="3F43BF2F">
            <w:pPr>
              <w:jc w:val="center"/>
              <w:rPr>
                <w:rFonts w:ascii="宋体" w:hAnsi="宋体" w:eastAsia="宋体" w:cs="Times New Roman"/>
                <w:color w:val="auto"/>
              </w:rPr>
            </w:pPr>
            <w:r>
              <w:rPr>
                <w:rFonts w:ascii="宋体" w:hAnsi="宋体" w:eastAsia="宋体" w:cs="Times New Roman"/>
                <w:snapToGrid w:val="0"/>
                <w:color w:val="auto"/>
              </w:rPr>
              <w:t>1,2-二氯苯</w:t>
            </w:r>
          </w:p>
        </w:tc>
        <w:tc>
          <w:tcPr>
            <w:tcW w:w="699" w:type="pct"/>
            <w:shd w:val="clear" w:color="auto" w:fill="auto"/>
            <w:vAlign w:val="center"/>
          </w:tcPr>
          <w:p w14:paraId="250A3FAC">
            <w:pPr>
              <w:jc w:val="center"/>
              <w:rPr>
                <w:rFonts w:ascii="宋体" w:hAnsi="宋体" w:eastAsia="宋体" w:cs="Times New Roman"/>
                <w:color w:val="auto"/>
              </w:rPr>
            </w:pPr>
            <w:r>
              <w:rPr>
                <w:rFonts w:hint="eastAsia" w:ascii="宋体" w:hAnsi="宋体" w:eastAsia="宋体"/>
                <w:color w:val="auto"/>
              </w:rPr>
              <w:t>0.000021</w:t>
            </w:r>
          </w:p>
        </w:tc>
        <w:tc>
          <w:tcPr>
            <w:tcW w:w="715" w:type="pct"/>
            <w:shd w:val="clear" w:color="auto" w:fill="auto"/>
            <w:vAlign w:val="center"/>
          </w:tcPr>
          <w:p w14:paraId="15397BE9">
            <w:pPr>
              <w:jc w:val="center"/>
              <w:rPr>
                <w:rFonts w:ascii="宋体" w:hAnsi="宋体" w:eastAsia="宋体"/>
                <w:color w:val="auto"/>
              </w:rPr>
            </w:pPr>
            <w:r>
              <w:rPr>
                <w:rFonts w:hint="eastAsia" w:ascii="宋体" w:hAnsi="宋体" w:eastAsia="宋体"/>
                <w:color w:val="auto"/>
              </w:rPr>
              <w:t>0.000908</w:t>
            </w:r>
          </w:p>
        </w:tc>
      </w:tr>
      <w:tr w14:paraId="4E4E85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6AA2FCDD">
            <w:pPr>
              <w:snapToGrid w:val="0"/>
              <w:jc w:val="center"/>
              <w:rPr>
                <w:rFonts w:ascii="宋体" w:hAnsi="宋体" w:eastAsia="宋体" w:cs="Times New Roman"/>
                <w:color w:val="auto"/>
              </w:rPr>
            </w:pPr>
            <w:r>
              <w:rPr>
                <w:rFonts w:ascii="宋体" w:hAnsi="宋体" w:eastAsia="宋体" w:cs="Times New Roman"/>
                <w:color w:val="auto"/>
              </w:rPr>
              <w:t>3</w:t>
            </w:r>
          </w:p>
        </w:tc>
        <w:tc>
          <w:tcPr>
            <w:tcW w:w="750" w:type="pct"/>
            <w:shd w:val="clear" w:color="auto" w:fill="auto"/>
            <w:vAlign w:val="center"/>
          </w:tcPr>
          <w:p w14:paraId="09CBA027">
            <w:pPr>
              <w:jc w:val="center"/>
              <w:rPr>
                <w:rFonts w:ascii="宋体" w:hAnsi="宋体" w:eastAsia="宋体" w:cs="Times New Roman"/>
                <w:color w:val="auto"/>
              </w:rPr>
            </w:pPr>
            <w:r>
              <w:rPr>
                <w:rFonts w:ascii="宋体" w:hAnsi="宋体" w:eastAsia="宋体" w:cs="Times New Roman"/>
                <w:color w:val="auto"/>
              </w:rPr>
              <w:t>氯甲烷</w:t>
            </w:r>
          </w:p>
        </w:tc>
        <w:tc>
          <w:tcPr>
            <w:tcW w:w="640" w:type="pct"/>
            <w:shd w:val="clear" w:color="auto" w:fill="auto"/>
            <w:vAlign w:val="center"/>
          </w:tcPr>
          <w:p w14:paraId="63CBA0ED">
            <w:pPr>
              <w:jc w:val="center"/>
              <w:rPr>
                <w:rFonts w:ascii="宋体" w:hAnsi="宋体" w:eastAsia="宋体" w:cs="Times New Roman"/>
                <w:color w:val="auto"/>
              </w:rPr>
            </w:pPr>
            <w:r>
              <w:rPr>
                <w:rFonts w:hint="eastAsia" w:ascii="宋体" w:hAnsi="宋体" w:eastAsia="宋体"/>
                <w:color w:val="auto"/>
              </w:rPr>
              <w:t>0.00013</w:t>
            </w:r>
          </w:p>
        </w:tc>
        <w:tc>
          <w:tcPr>
            <w:tcW w:w="715" w:type="pct"/>
            <w:shd w:val="clear" w:color="auto" w:fill="auto"/>
            <w:vAlign w:val="center"/>
          </w:tcPr>
          <w:p w14:paraId="15E99D1C">
            <w:pPr>
              <w:snapToGrid w:val="0"/>
              <w:jc w:val="center"/>
              <w:rPr>
                <w:rFonts w:ascii="宋体" w:hAnsi="宋体" w:eastAsia="宋体" w:cs="Times New Roman"/>
                <w:color w:val="auto"/>
              </w:rPr>
            </w:pPr>
            <w:r>
              <w:rPr>
                <w:rFonts w:hint="eastAsia" w:ascii="宋体" w:hAnsi="宋体" w:eastAsia="宋体"/>
                <w:color w:val="auto"/>
              </w:rPr>
              <w:t>0.0006053</w:t>
            </w:r>
          </w:p>
        </w:tc>
        <w:tc>
          <w:tcPr>
            <w:tcW w:w="271" w:type="pct"/>
            <w:shd w:val="clear" w:color="auto" w:fill="auto"/>
            <w:vAlign w:val="center"/>
          </w:tcPr>
          <w:p w14:paraId="3E3CFC0F">
            <w:pPr>
              <w:snapToGrid w:val="0"/>
              <w:jc w:val="center"/>
              <w:rPr>
                <w:rFonts w:ascii="宋体" w:hAnsi="宋体" w:eastAsia="宋体" w:cs="Times New Roman"/>
                <w:color w:val="auto"/>
              </w:rPr>
            </w:pPr>
            <w:r>
              <w:rPr>
                <w:rFonts w:ascii="宋体" w:hAnsi="宋体" w:eastAsia="宋体" w:cs="Times New Roman"/>
                <w:color w:val="auto"/>
              </w:rPr>
              <w:t>22</w:t>
            </w:r>
          </w:p>
        </w:tc>
        <w:tc>
          <w:tcPr>
            <w:tcW w:w="975" w:type="pct"/>
            <w:shd w:val="clear" w:color="auto" w:fill="auto"/>
            <w:vAlign w:val="center"/>
          </w:tcPr>
          <w:p w14:paraId="449EB0D4">
            <w:pPr>
              <w:jc w:val="center"/>
              <w:rPr>
                <w:rFonts w:ascii="宋体" w:hAnsi="宋体" w:eastAsia="宋体" w:cs="Times New Roman"/>
                <w:color w:val="auto"/>
              </w:rPr>
            </w:pPr>
            <w:r>
              <w:rPr>
                <w:rFonts w:ascii="宋体" w:hAnsi="宋体" w:eastAsia="宋体" w:cs="Times New Roman"/>
                <w:snapToGrid w:val="0"/>
                <w:color w:val="auto"/>
              </w:rPr>
              <w:t>1,4-二氯苯</w:t>
            </w:r>
          </w:p>
        </w:tc>
        <w:tc>
          <w:tcPr>
            <w:tcW w:w="699" w:type="pct"/>
            <w:shd w:val="clear" w:color="auto" w:fill="auto"/>
            <w:vAlign w:val="center"/>
          </w:tcPr>
          <w:p w14:paraId="16F285A4">
            <w:pPr>
              <w:jc w:val="center"/>
              <w:rPr>
                <w:rFonts w:ascii="宋体" w:hAnsi="宋体" w:eastAsia="宋体" w:cs="Times New Roman"/>
                <w:color w:val="auto"/>
              </w:rPr>
            </w:pPr>
            <w:r>
              <w:rPr>
                <w:rFonts w:hint="eastAsia" w:ascii="宋体" w:hAnsi="宋体" w:eastAsia="宋体"/>
                <w:color w:val="auto"/>
              </w:rPr>
              <w:t>0.0000004</w:t>
            </w:r>
          </w:p>
        </w:tc>
        <w:tc>
          <w:tcPr>
            <w:tcW w:w="715" w:type="pct"/>
            <w:shd w:val="clear" w:color="auto" w:fill="auto"/>
            <w:vAlign w:val="center"/>
          </w:tcPr>
          <w:p w14:paraId="70FDA923">
            <w:pPr>
              <w:jc w:val="center"/>
              <w:rPr>
                <w:rFonts w:ascii="宋体" w:hAnsi="宋体" w:eastAsia="宋体"/>
                <w:color w:val="auto"/>
              </w:rPr>
            </w:pPr>
            <w:r>
              <w:rPr>
                <w:rFonts w:hint="eastAsia" w:ascii="宋体" w:hAnsi="宋体" w:eastAsia="宋体"/>
                <w:color w:val="auto"/>
              </w:rPr>
              <w:t>0.000908</w:t>
            </w:r>
          </w:p>
        </w:tc>
      </w:tr>
      <w:tr w14:paraId="50C103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355B9517">
            <w:pPr>
              <w:snapToGrid w:val="0"/>
              <w:jc w:val="center"/>
              <w:rPr>
                <w:rFonts w:ascii="宋体" w:hAnsi="宋体" w:eastAsia="宋体" w:cs="Times New Roman"/>
                <w:color w:val="auto"/>
              </w:rPr>
            </w:pPr>
            <w:r>
              <w:rPr>
                <w:rFonts w:ascii="宋体" w:hAnsi="宋体" w:eastAsia="宋体" w:cs="Times New Roman"/>
                <w:color w:val="auto"/>
              </w:rPr>
              <w:t>4</w:t>
            </w:r>
          </w:p>
        </w:tc>
        <w:tc>
          <w:tcPr>
            <w:tcW w:w="750" w:type="pct"/>
            <w:shd w:val="clear" w:color="auto" w:fill="auto"/>
            <w:vAlign w:val="center"/>
          </w:tcPr>
          <w:p w14:paraId="157351D9">
            <w:pPr>
              <w:jc w:val="center"/>
              <w:rPr>
                <w:rFonts w:ascii="宋体" w:hAnsi="宋体" w:eastAsia="宋体" w:cs="Times New Roman"/>
                <w:color w:val="auto"/>
              </w:rPr>
            </w:pPr>
            <w:r>
              <w:rPr>
                <w:rFonts w:ascii="宋体" w:hAnsi="宋体" w:eastAsia="宋体" w:cs="Times New Roman"/>
                <w:snapToGrid w:val="0"/>
                <w:color w:val="auto"/>
              </w:rPr>
              <w:t>1,1-二氯乙烷</w:t>
            </w:r>
          </w:p>
        </w:tc>
        <w:tc>
          <w:tcPr>
            <w:tcW w:w="640" w:type="pct"/>
            <w:shd w:val="clear" w:color="auto" w:fill="auto"/>
            <w:vAlign w:val="center"/>
          </w:tcPr>
          <w:p w14:paraId="0417B80B">
            <w:pPr>
              <w:jc w:val="center"/>
              <w:rPr>
                <w:rFonts w:ascii="宋体" w:hAnsi="宋体" w:eastAsia="宋体" w:cs="Times New Roman"/>
                <w:color w:val="auto"/>
              </w:rPr>
            </w:pPr>
            <w:r>
              <w:rPr>
                <w:rFonts w:hint="eastAsia" w:ascii="宋体" w:hAnsi="宋体" w:eastAsia="宋体"/>
                <w:color w:val="auto"/>
              </w:rPr>
              <w:t>0.000008</w:t>
            </w:r>
          </w:p>
        </w:tc>
        <w:tc>
          <w:tcPr>
            <w:tcW w:w="715" w:type="pct"/>
            <w:shd w:val="clear" w:color="auto" w:fill="auto"/>
            <w:vAlign w:val="center"/>
          </w:tcPr>
          <w:p w14:paraId="1CFC390B">
            <w:pPr>
              <w:snapToGrid w:val="0"/>
              <w:jc w:val="center"/>
              <w:rPr>
                <w:rFonts w:ascii="宋体" w:hAnsi="宋体" w:eastAsia="宋体" w:cs="Times New Roman"/>
                <w:color w:val="auto"/>
              </w:rPr>
            </w:pPr>
            <w:r>
              <w:rPr>
                <w:rFonts w:hint="eastAsia" w:ascii="宋体" w:hAnsi="宋体" w:eastAsia="宋体"/>
                <w:color w:val="auto"/>
              </w:rPr>
              <w:t>0.0007264</w:t>
            </w:r>
          </w:p>
        </w:tc>
        <w:tc>
          <w:tcPr>
            <w:tcW w:w="271" w:type="pct"/>
            <w:shd w:val="clear" w:color="auto" w:fill="auto"/>
            <w:vAlign w:val="center"/>
          </w:tcPr>
          <w:p w14:paraId="13251392">
            <w:pPr>
              <w:snapToGrid w:val="0"/>
              <w:jc w:val="center"/>
              <w:rPr>
                <w:rFonts w:ascii="宋体" w:hAnsi="宋体" w:eastAsia="宋体" w:cs="Times New Roman"/>
                <w:color w:val="auto"/>
              </w:rPr>
            </w:pPr>
            <w:r>
              <w:rPr>
                <w:rFonts w:ascii="宋体" w:hAnsi="宋体" w:eastAsia="宋体" w:cs="Times New Roman"/>
                <w:color w:val="auto"/>
              </w:rPr>
              <w:t>23</w:t>
            </w:r>
          </w:p>
        </w:tc>
        <w:tc>
          <w:tcPr>
            <w:tcW w:w="975" w:type="pct"/>
            <w:shd w:val="clear" w:color="auto" w:fill="auto"/>
            <w:vAlign w:val="center"/>
          </w:tcPr>
          <w:p w14:paraId="106C80D7">
            <w:pPr>
              <w:jc w:val="center"/>
              <w:rPr>
                <w:rFonts w:ascii="宋体" w:hAnsi="宋体" w:eastAsia="宋体" w:cs="Times New Roman"/>
                <w:color w:val="auto"/>
              </w:rPr>
            </w:pPr>
            <w:r>
              <w:rPr>
                <w:rFonts w:ascii="宋体" w:hAnsi="宋体" w:eastAsia="宋体" w:cs="Times New Roman"/>
                <w:snapToGrid w:val="0"/>
                <w:color w:val="auto"/>
              </w:rPr>
              <w:t>乙苯</w:t>
            </w:r>
          </w:p>
        </w:tc>
        <w:tc>
          <w:tcPr>
            <w:tcW w:w="699" w:type="pct"/>
            <w:shd w:val="clear" w:color="auto" w:fill="auto"/>
            <w:vAlign w:val="center"/>
          </w:tcPr>
          <w:p w14:paraId="2D975F72">
            <w:pPr>
              <w:jc w:val="center"/>
              <w:rPr>
                <w:rFonts w:ascii="宋体" w:hAnsi="宋体" w:eastAsia="宋体" w:cs="Times New Roman"/>
                <w:color w:val="auto"/>
              </w:rPr>
            </w:pPr>
            <w:r>
              <w:rPr>
                <w:rFonts w:hint="eastAsia" w:ascii="宋体" w:hAnsi="宋体" w:eastAsia="宋体"/>
                <w:color w:val="auto"/>
              </w:rPr>
              <w:t>0.0000005</w:t>
            </w:r>
          </w:p>
        </w:tc>
        <w:tc>
          <w:tcPr>
            <w:tcW w:w="715" w:type="pct"/>
            <w:shd w:val="clear" w:color="auto" w:fill="auto"/>
            <w:vAlign w:val="center"/>
          </w:tcPr>
          <w:p w14:paraId="233559C1">
            <w:pPr>
              <w:jc w:val="center"/>
              <w:rPr>
                <w:rFonts w:ascii="宋体" w:hAnsi="宋体" w:eastAsia="宋体"/>
                <w:color w:val="auto"/>
              </w:rPr>
            </w:pPr>
            <w:r>
              <w:rPr>
                <w:rFonts w:hint="eastAsia" w:ascii="宋体" w:hAnsi="宋体" w:eastAsia="宋体"/>
                <w:color w:val="auto"/>
              </w:rPr>
              <w:t>0.0007264</w:t>
            </w:r>
          </w:p>
        </w:tc>
      </w:tr>
      <w:tr w14:paraId="324A93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17B2FCAA">
            <w:pPr>
              <w:snapToGrid w:val="0"/>
              <w:jc w:val="center"/>
              <w:rPr>
                <w:rFonts w:ascii="宋体" w:hAnsi="宋体" w:eastAsia="宋体" w:cs="Times New Roman"/>
                <w:color w:val="auto"/>
              </w:rPr>
            </w:pPr>
            <w:r>
              <w:rPr>
                <w:rFonts w:ascii="宋体" w:hAnsi="宋体" w:eastAsia="宋体" w:cs="Times New Roman"/>
                <w:color w:val="auto"/>
              </w:rPr>
              <w:t>5</w:t>
            </w:r>
          </w:p>
        </w:tc>
        <w:tc>
          <w:tcPr>
            <w:tcW w:w="750" w:type="pct"/>
            <w:shd w:val="clear" w:color="auto" w:fill="auto"/>
            <w:vAlign w:val="center"/>
          </w:tcPr>
          <w:p w14:paraId="4893CC91">
            <w:pPr>
              <w:jc w:val="center"/>
              <w:rPr>
                <w:rFonts w:ascii="宋体" w:hAnsi="宋体" w:eastAsia="宋体" w:cs="Times New Roman"/>
                <w:color w:val="auto"/>
              </w:rPr>
            </w:pPr>
            <w:r>
              <w:rPr>
                <w:rFonts w:ascii="宋体" w:hAnsi="宋体" w:eastAsia="宋体" w:cs="Times New Roman"/>
                <w:snapToGrid w:val="0"/>
                <w:color w:val="auto"/>
              </w:rPr>
              <w:t>1,2-二氯乙烷</w:t>
            </w:r>
          </w:p>
        </w:tc>
        <w:tc>
          <w:tcPr>
            <w:tcW w:w="640" w:type="pct"/>
            <w:shd w:val="clear" w:color="auto" w:fill="auto"/>
            <w:vAlign w:val="center"/>
          </w:tcPr>
          <w:p w14:paraId="691BA31A">
            <w:pPr>
              <w:jc w:val="center"/>
              <w:rPr>
                <w:rFonts w:ascii="宋体" w:hAnsi="宋体" w:eastAsia="宋体" w:cs="Times New Roman"/>
                <w:color w:val="auto"/>
              </w:rPr>
            </w:pPr>
            <w:r>
              <w:rPr>
                <w:rFonts w:hint="eastAsia" w:ascii="宋体" w:hAnsi="宋体" w:eastAsia="宋体"/>
                <w:color w:val="auto"/>
              </w:rPr>
              <w:t>0.000001</w:t>
            </w:r>
          </w:p>
        </w:tc>
        <w:tc>
          <w:tcPr>
            <w:tcW w:w="715" w:type="pct"/>
            <w:shd w:val="clear" w:color="auto" w:fill="auto"/>
            <w:vAlign w:val="center"/>
          </w:tcPr>
          <w:p w14:paraId="644D00C6">
            <w:pPr>
              <w:snapToGrid w:val="0"/>
              <w:jc w:val="center"/>
              <w:rPr>
                <w:rFonts w:ascii="宋体" w:hAnsi="宋体" w:eastAsia="宋体" w:cs="Times New Roman"/>
                <w:color w:val="auto"/>
              </w:rPr>
            </w:pPr>
            <w:r>
              <w:rPr>
                <w:rFonts w:hint="eastAsia" w:ascii="宋体" w:hAnsi="宋体" w:eastAsia="宋体"/>
                <w:color w:val="auto"/>
              </w:rPr>
              <w:t>0.0007869</w:t>
            </w:r>
          </w:p>
        </w:tc>
        <w:tc>
          <w:tcPr>
            <w:tcW w:w="271" w:type="pct"/>
            <w:shd w:val="clear" w:color="auto" w:fill="auto"/>
            <w:vAlign w:val="center"/>
          </w:tcPr>
          <w:p w14:paraId="79238E15">
            <w:pPr>
              <w:snapToGrid w:val="0"/>
              <w:jc w:val="center"/>
              <w:rPr>
                <w:rFonts w:ascii="宋体" w:hAnsi="宋体" w:eastAsia="宋体" w:cs="Times New Roman"/>
                <w:color w:val="auto"/>
              </w:rPr>
            </w:pPr>
            <w:r>
              <w:rPr>
                <w:rFonts w:ascii="宋体" w:hAnsi="宋体" w:eastAsia="宋体" w:cs="Times New Roman"/>
                <w:color w:val="auto"/>
              </w:rPr>
              <w:t>24</w:t>
            </w:r>
          </w:p>
        </w:tc>
        <w:tc>
          <w:tcPr>
            <w:tcW w:w="975" w:type="pct"/>
            <w:shd w:val="clear" w:color="auto" w:fill="auto"/>
            <w:vAlign w:val="center"/>
          </w:tcPr>
          <w:p w14:paraId="640EB9E2">
            <w:pPr>
              <w:jc w:val="center"/>
              <w:rPr>
                <w:rFonts w:ascii="宋体" w:hAnsi="宋体" w:eastAsia="宋体" w:cs="Times New Roman"/>
                <w:color w:val="auto"/>
              </w:rPr>
            </w:pPr>
            <w:r>
              <w:rPr>
                <w:rFonts w:ascii="宋体" w:hAnsi="宋体" w:eastAsia="宋体" w:cs="Times New Roman"/>
                <w:snapToGrid w:val="0"/>
                <w:color w:val="auto"/>
              </w:rPr>
              <w:t>苯乙烯</w:t>
            </w:r>
          </w:p>
        </w:tc>
        <w:tc>
          <w:tcPr>
            <w:tcW w:w="699" w:type="pct"/>
            <w:shd w:val="clear" w:color="auto" w:fill="auto"/>
            <w:vAlign w:val="center"/>
          </w:tcPr>
          <w:p w14:paraId="23FDEF7D">
            <w:pPr>
              <w:jc w:val="center"/>
              <w:rPr>
                <w:rFonts w:ascii="宋体" w:hAnsi="宋体" w:eastAsia="宋体" w:cs="Times New Roman"/>
                <w:color w:val="auto"/>
              </w:rPr>
            </w:pPr>
            <w:r>
              <w:rPr>
                <w:rFonts w:hint="eastAsia" w:ascii="宋体" w:hAnsi="宋体" w:eastAsia="宋体"/>
                <w:color w:val="auto"/>
              </w:rPr>
              <w:t>0.000001</w:t>
            </w:r>
          </w:p>
        </w:tc>
        <w:tc>
          <w:tcPr>
            <w:tcW w:w="715" w:type="pct"/>
            <w:shd w:val="clear" w:color="auto" w:fill="auto"/>
            <w:vAlign w:val="center"/>
          </w:tcPr>
          <w:p w14:paraId="5FD966D3">
            <w:pPr>
              <w:jc w:val="center"/>
              <w:rPr>
                <w:rFonts w:ascii="宋体" w:hAnsi="宋体" w:eastAsia="宋体"/>
                <w:color w:val="auto"/>
              </w:rPr>
            </w:pPr>
            <w:r>
              <w:rPr>
                <w:rFonts w:hint="eastAsia" w:ascii="宋体" w:hAnsi="宋体" w:eastAsia="宋体"/>
                <w:color w:val="auto"/>
              </w:rPr>
              <w:t>0.0006659</w:t>
            </w:r>
          </w:p>
        </w:tc>
      </w:tr>
      <w:tr w14:paraId="465542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7204CB33">
            <w:pPr>
              <w:snapToGrid w:val="0"/>
              <w:jc w:val="center"/>
              <w:rPr>
                <w:rFonts w:ascii="宋体" w:hAnsi="宋体" w:eastAsia="宋体" w:cs="Times New Roman"/>
                <w:color w:val="auto"/>
              </w:rPr>
            </w:pPr>
            <w:r>
              <w:rPr>
                <w:rFonts w:ascii="宋体" w:hAnsi="宋体" w:eastAsia="宋体" w:cs="Times New Roman"/>
                <w:color w:val="auto"/>
              </w:rPr>
              <w:t>6</w:t>
            </w:r>
          </w:p>
        </w:tc>
        <w:tc>
          <w:tcPr>
            <w:tcW w:w="750" w:type="pct"/>
            <w:shd w:val="clear" w:color="auto" w:fill="auto"/>
            <w:vAlign w:val="center"/>
          </w:tcPr>
          <w:p w14:paraId="3CF45100">
            <w:pPr>
              <w:jc w:val="center"/>
              <w:rPr>
                <w:rFonts w:ascii="宋体" w:hAnsi="宋体" w:eastAsia="宋体" w:cs="Times New Roman"/>
                <w:color w:val="auto"/>
              </w:rPr>
            </w:pPr>
            <w:r>
              <w:rPr>
                <w:rFonts w:ascii="宋体" w:hAnsi="宋体" w:eastAsia="宋体" w:cs="Times New Roman"/>
                <w:snapToGrid w:val="0"/>
                <w:color w:val="auto"/>
              </w:rPr>
              <w:t>1,1-二氯乙烯</w:t>
            </w:r>
          </w:p>
        </w:tc>
        <w:tc>
          <w:tcPr>
            <w:tcW w:w="640" w:type="pct"/>
            <w:shd w:val="clear" w:color="auto" w:fill="auto"/>
            <w:vAlign w:val="center"/>
          </w:tcPr>
          <w:p w14:paraId="03D42F04">
            <w:pPr>
              <w:jc w:val="center"/>
              <w:rPr>
                <w:rFonts w:ascii="宋体" w:hAnsi="宋体" w:eastAsia="宋体" w:cs="Times New Roman"/>
                <w:color w:val="auto"/>
              </w:rPr>
            </w:pPr>
            <w:r>
              <w:rPr>
                <w:rFonts w:hint="eastAsia" w:ascii="宋体" w:hAnsi="宋体" w:eastAsia="宋体"/>
                <w:color w:val="auto"/>
              </w:rPr>
              <w:t>0.000013</w:t>
            </w:r>
          </w:p>
        </w:tc>
        <w:tc>
          <w:tcPr>
            <w:tcW w:w="715" w:type="pct"/>
            <w:shd w:val="clear" w:color="auto" w:fill="auto"/>
            <w:vAlign w:val="center"/>
          </w:tcPr>
          <w:p w14:paraId="7E1C60E6">
            <w:pPr>
              <w:snapToGrid w:val="0"/>
              <w:jc w:val="center"/>
              <w:rPr>
                <w:rFonts w:ascii="宋体" w:hAnsi="宋体" w:eastAsia="宋体" w:cs="Times New Roman"/>
                <w:color w:val="auto"/>
              </w:rPr>
            </w:pPr>
            <w:r>
              <w:rPr>
                <w:rFonts w:hint="eastAsia" w:ascii="宋体" w:hAnsi="宋体" w:eastAsia="宋体"/>
                <w:color w:val="auto"/>
              </w:rPr>
              <w:t>0.0006053</w:t>
            </w:r>
          </w:p>
        </w:tc>
        <w:tc>
          <w:tcPr>
            <w:tcW w:w="271" w:type="pct"/>
            <w:shd w:val="clear" w:color="auto" w:fill="auto"/>
            <w:vAlign w:val="center"/>
          </w:tcPr>
          <w:p w14:paraId="21BE5D74">
            <w:pPr>
              <w:snapToGrid w:val="0"/>
              <w:jc w:val="center"/>
              <w:rPr>
                <w:rFonts w:ascii="宋体" w:hAnsi="宋体" w:eastAsia="宋体" w:cs="Times New Roman"/>
                <w:color w:val="auto"/>
              </w:rPr>
            </w:pPr>
            <w:r>
              <w:rPr>
                <w:rFonts w:ascii="宋体" w:hAnsi="宋体" w:eastAsia="宋体" w:cs="Times New Roman"/>
                <w:color w:val="auto"/>
              </w:rPr>
              <w:t>25</w:t>
            </w:r>
          </w:p>
        </w:tc>
        <w:tc>
          <w:tcPr>
            <w:tcW w:w="975" w:type="pct"/>
            <w:shd w:val="clear" w:color="auto" w:fill="auto"/>
            <w:vAlign w:val="center"/>
          </w:tcPr>
          <w:p w14:paraId="1F13F566">
            <w:pPr>
              <w:jc w:val="center"/>
              <w:rPr>
                <w:rFonts w:ascii="宋体" w:hAnsi="宋体" w:eastAsia="宋体" w:cs="Times New Roman"/>
                <w:color w:val="auto"/>
              </w:rPr>
            </w:pPr>
            <w:r>
              <w:rPr>
                <w:rFonts w:ascii="宋体" w:hAnsi="宋体" w:eastAsia="宋体" w:cs="Times New Roman"/>
                <w:snapToGrid w:val="0"/>
                <w:color w:val="auto"/>
              </w:rPr>
              <w:t>甲苯</w:t>
            </w:r>
          </w:p>
        </w:tc>
        <w:tc>
          <w:tcPr>
            <w:tcW w:w="699" w:type="pct"/>
            <w:shd w:val="clear" w:color="auto" w:fill="auto"/>
            <w:vAlign w:val="center"/>
          </w:tcPr>
          <w:p w14:paraId="5BB9FDC1">
            <w:pPr>
              <w:jc w:val="center"/>
              <w:rPr>
                <w:rFonts w:ascii="宋体" w:hAnsi="宋体" w:eastAsia="宋体" w:cs="Times New Roman"/>
                <w:color w:val="auto"/>
              </w:rPr>
            </w:pPr>
            <w:r>
              <w:rPr>
                <w:rFonts w:hint="eastAsia" w:ascii="宋体" w:hAnsi="宋体" w:eastAsia="宋体"/>
                <w:color w:val="auto"/>
              </w:rPr>
              <w:t>0.0000009</w:t>
            </w:r>
          </w:p>
        </w:tc>
        <w:tc>
          <w:tcPr>
            <w:tcW w:w="715" w:type="pct"/>
            <w:shd w:val="clear" w:color="auto" w:fill="auto"/>
            <w:vAlign w:val="center"/>
          </w:tcPr>
          <w:p w14:paraId="0948BBB2">
            <w:pPr>
              <w:jc w:val="center"/>
              <w:rPr>
                <w:rFonts w:ascii="宋体" w:hAnsi="宋体" w:eastAsia="宋体"/>
                <w:color w:val="auto"/>
              </w:rPr>
            </w:pPr>
            <w:r>
              <w:rPr>
                <w:rFonts w:hint="eastAsia" w:ascii="宋体" w:hAnsi="宋体" w:eastAsia="宋体"/>
                <w:color w:val="auto"/>
              </w:rPr>
              <w:t>0.0007869</w:t>
            </w:r>
          </w:p>
        </w:tc>
      </w:tr>
      <w:tr w14:paraId="7E80A3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4FDE5FDD">
            <w:pPr>
              <w:snapToGrid w:val="0"/>
              <w:jc w:val="center"/>
              <w:rPr>
                <w:rFonts w:ascii="宋体" w:hAnsi="宋体" w:eastAsia="宋体" w:cs="Times New Roman"/>
                <w:color w:val="auto"/>
              </w:rPr>
            </w:pPr>
            <w:r>
              <w:rPr>
                <w:rFonts w:ascii="宋体" w:hAnsi="宋体" w:eastAsia="宋体" w:cs="Times New Roman"/>
                <w:color w:val="auto"/>
              </w:rPr>
              <w:t>7</w:t>
            </w:r>
          </w:p>
        </w:tc>
        <w:tc>
          <w:tcPr>
            <w:tcW w:w="750" w:type="pct"/>
            <w:shd w:val="clear" w:color="auto" w:fill="auto"/>
            <w:vAlign w:val="center"/>
          </w:tcPr>
          <w:p w14:paraId="211088D7">
            <w:pPr>
              <w:jc w:val="center"/>
              <w:rPr>
                <w:rFonts w:ascii="宋体" w:hAnsi="宋体" w:eastAsia="宋体" w:cs="Times New Roman"/>
                <w:color w:val="auto"/>
              </w:rPr>
            </w:pPr>
            <w:r>
              <w:rPr>
                <w:rFonts w:ascii="宋体" w:hAnsi="宋体" w:eastAsia="宋体" w:cs="Times New Roman"/>
                <w:snapToGrid w:val="0"/>
                <w:color w:val="auto"/>
              </w:rPr>
              <w:t>顺-1,2-二氯乙烯</w:t>
            </w:r>
          </w:p>
        </w:tc>
        <w:tc>
          <w:tcPr>
            <w:tcW w:w="640" w:type="pct"/>
            <w:shd w:val="clear" w:color="auto" w:fill="auto"/>
            <w:vAlign w:val="center"/>
          </w:tcPr>
          <w:p w14:paraId="125E54A2">
            <w:pPr>
              <w:jc w:val="center"/>
              <w:rPr>
                <w:rFonts w:ascii="宋体" w:hAnsi="宋体" w:eastAsia="宋体" w:cs="Times New Roman"/>
                <w:color w:val="auto"/>
              </w:rPr>
            </w:pPr>
            <w:r>
              <w:rPr>
                <w:rFonts w:hint="eastAsia" w:ascii="宋体" w:hAnsi="宋体" w:eastAsia="宋体"/>
                <w:color w:val="auto"/>
              </w:rPr>
              <w:t>0.000001</w:t>
            </w:r>
          </w:p>
        </w:tc>
        <w:tc>
          <w:tcPr>
            <w:tcW w:w="715" w:type="pct"/>
            <w:shd w:val="clear" w:color="auto" w:fill="auto"/>
            <w:vAlign w:val="center"/>
          </w:tcPr>
          <w:p w14:paraId="47E18AFD">
            <w:pPr>
              <w:snapToGrid w:val="0"/>
              <w:jc w:val="center"/>
              <w:rPr>
                <w:rFonts w:ascii="宋体" w:hAnsi="宋体" w:eastAsia="宋体" w:cs="Times New Roman"/>
                <w:color w:val="auto"/>
              </w:rPr>
            </w:pPr>
            <w:r>
              <w:rPr>
                <w:rFonts w:hint="eastAsia" w:ascii="宋体" w:hAnsi="宋体" w:eastAsia="宋体"/>
                <w:color w:val="auto"/>
              </w:rPr>
              <w:t>0.0007869</w:t>
            </w:r>
          </w:p>
        </w:tc>
        <w:tc>
          <w:tcPr>
            <w:tcW w:w="271" w:type="pct"/>
            <w:shd w:val="clear" w:color="auto" w:fill="auto"/>
            <w:vAlign w:val="center"/>
          </w:tcPr>
          <w:p w14:paraId="329DF855">
            <w:pPr>
              <w:snapToGrid w:val="0"/>
              <w:jc w:val="center"/>
              <w:rPr>
                <w:rFonts w:ascii="宋体" w:hAnsi="宋体" w:eastAsia="宋体" w:cs="Times New Roman"/>
                <w:color w:val="auto"/>
              </w:rPr>
            </w:pPr>
            <w:r>
              <w:rPr>
                <w:rFonts w:ascii="宋体" w:hAnsi="宋体" w:eastAsia="宋体" w:cs="Times New Roman"/>
                <w:color w:val="auto"/>
              </w:rPr>
              <w:t>26</w:t>
            </w:r>
          </w:p>
        </w:tc>
        <w:tc>
          <w:tcPr>
            <w:tcW w:w="975" w:type="pct"/>
            <w:shd w:val="clear" w:color="auto" w:fill="auto"/>
            <w:vAlign w:val="center"/>
          </w:tcPr>
          <w:p w14:paraId="714CA859">
            <w:pPr>
              <w:jc w:val="center"/>
              <w:rPr>
                <w:rFonts w:ascii="宋体" w:hAnsi="宋体" w:eastAsia="宋体" w:cs="Times New Roman"/>
                <w:color w:val="auto"/>
              </w:rPr>
            </w:pPr>
            <w:r>
              <w:rPr>
                <w:rFonts w:ascii="宋体" w:hAnsi="宋体" w:eastAsia="宋体" w:cs="Times New Roman"/>
                <w:snapToGrid w:val="0"/>
                <w:color w:val="auto"/>
              </w:rPr>
              <w:t>间二甲苯+对二甲苯</w:t>
            </w:r>
          </w:p>
        </w:tc>
        <w:tc>
          <w:tcPr>
            <w:tcW w:w="699" w:type="pct"/>
            <w:shd w:val="clear" w:color="auto" w:fill="auto"/>
            <w:vAlign w:val="center"/>
          </w:tcPr>
          <w:p w14:paraId="24E34583">
            <w:pPr>
              <w:jc w:val="center"/>
              <w:rPr>
                <w:rFonts w:ascii="宋体" w:hAnsi="宋体" w:eastAsia="宋体" w:cs="Times New Roman"/>
                <w:color w:val="auto"/>
              </w:rPr>
            </w:pPr>
            <w:r>
              <w:rPr>
                <w:rFonts w:hint="eastAsia" w:ascii="宋体" w:hAnsi="宋体" w:eastAsia="宋体"/>
                <w:color w:val="auto"/>
              </w:rPr>
              <w:t>0.000592</w:t>
            </w:r>
          </w:p>
        </w:tc>
        <w:tc>
          <w:tcPr>
            <w:tcW w:w="715" w:type="pct"/>
            <w:shd w:val="clear" w:color="auto" w:fill="auto"/>
            <w:vAlign w:val="center"/>
          </w:tcPr>
          <w:p w14:paraId="3DEE6AB6">
            <w:pPr>
              <w:jc w:val="center"/>
              <w:rPr>
                <w:rFonts w:ascii="宋体" w:hAnsi="宋体" w:eastAsia="宋体"/>
                <w:color w:val="auto"/>
              </w:rPr>
            </w:pPr>
            <w:r>
              <w:rPr>
                <w:rFonts w:hint="eastAsia" w:ascii="宋体" w:hAnsi="宋体" w:eastAsia="宋体"/>
                <w:color w:val="auto"/>
              </w:rPr>
              <w:t>0.0007264</w:t>
            </w:r>
          </w:p>
        </w:tc>
      </w:tr>
      <w:tr w14:paraId="18EA45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2819E272">
            <w:pPr>
              <w:snapToGrid w:val="0"/>
              <w:jc w:val="center"/>
              <w:rPr>
                <w:rFonts w:ascii="宋体" w:hAnsi="宋体" w:eastAsia="宋体" w:cs="Times New Roman"/>
                <w:color w:val="auto"/>
              </w:rPr>
            </w:pPr>
            <w:r>
              <w:rPr>
                <w:rFonts w:ascii="宋体" w:hAnsi="宋体" w:eastAsia="宋体" w:cs="Times New Roman"/>
                <w:color w:val="auto"/>
              </w:rPr>
              <w:t>8</w:t>
            </w:r>
          </w:p>
        </w:tc>
        <w:tc>
          <w:tcPr>
            <w:tcW w:w="750" w:type="pct"/>
            <w:shd w:val="clear" w:color="auto" w:fill="auto"/>
            <w:vAlign w:val="center"/>
          </w:tcPr>
          <w:p w14:paraId="0410EE95">
            <w:pPr>
              <w:jc w:val="center"/>
              <w:rPr>
                <w:rFonts w:ascii="宋体" w:hAnsi="宋体" w:eastAsia="宋体" w:cs="Times New Roman"/>
                <w:color w:val="auto"/>
              </w:rPr>
            </w:pPr>
            <w:r>
              <w:rPr>
                <w:rFonts w:ascii="宋体" w:hAnsi="宋体" w:eastAsia="宋体" w:cs="Times New Roman"/>
                <w:snapToGrid w:val="0"/>
                <w:color w:val="auto"/>
              </w:rPr>
              <w:t>反-1,2-二氯乙烯</w:t>
            </w:r>
          </w:p>
        </w:tc>
        <w:tc>
          <w:tcPr>
            <w:tcW w:w="640" w:type="pct"/>
            <w:shd w:val="clear" w:color="auto" w:fill="auto"/>
            <w:vAlign w:val="center"/>
          </w:tcPr>
          <w:p w14:paraId="189D8254">
            <w:pPr>
              <w:jc w:val="center"/>
              <w:rPr>
                <w:rFonts w:ascii="宋体" w:hAnsi="宋体" w:eastAsia="宋体" w:cs="Times New Roman"/>
                <w:color w:val="auto"/>
              </w:rPr>
            </w:pPr>
            <w:r>
              <w:rPr>
                <w:rFonts w:hint="eastAsia" w:ascii="宋体" w:hAnsi="宋体" w:eastAsia="宋体"/>
                <w:color w:val="auto"/>
              </w:rPr>
              <w:t>0.00011</w:t>
            </w:r>
          </w:p>
        </w:tc>
        <w:tc>
          <w:tcPr>
            <w:tcW w:w="715" w:type="pct"/>
            <w:shd w:val="clear" w:color="auto" w:fill="auto"/>
            <w:vAlign w:val="center"/>
          </w:tcPr>
          <w:p w14:paraId="6D9D8CD5">
            <w:pPr>
              <w:snapToGrid w:val="0"/>
              <w:jc w:val="center"/>
              <w:rPr>
                <w:rFonts w:ascii="宋体" w:hAnsi="宋体" w:eastAsia="宋体" w:cs="Times New Roman"/>
                <w:color w:val="auto"/>
              </w:rPr>
            </w:pPr>
            <w:r>
              <w:rPr>
                <w:rFonts w:hint="eastAsia" w:ascii="宋体" w:hAnsi="宋体" w:eastAsia="宋体"/>
                <w:color w:val="auto"/>
              </w:rPr>
              <w:t>0.0008475</w:t>
            </w:r>
          </w:p>
        </w:tc>
        <w:tc>
          <w:tcPr>
            <w:tcW w:w="271" w:type="pct"/>
            <w:shd w:val="clear" w:color="auto" w:fill="auto"/>
            <w:vAlign w:val="center"/>
          </w:tcPr>
          <w:p w14:paraId="5030A9AF">
            <w:pPr>
              <w:snapToGrid w:val="0"/>
              <w:jc w:val="center"/>
              <w:rPr>
                <w:rFonts w:ascii="宋体" w:hAnsi="宋体" w:eastAsia="宋体" w:cs="Times New Roman"/>
                <w:color w:val="auto"/>
              </w:rPr>
            </w:pPr>
            <w:r>
              <w:rPr>
                <w:rFonts w:ascii="宋体" w:hAnsi="宋体" w:eastAsia="宋体" w:cs="Times New Roman"/>
                <w:color w:val="auto"/>
              </w:rPr>
              <w:t>27</w:t>
            </w:r>
          </w:p>
        </w:tc>
        <w:tc>
          <w:tcPr>
            <w:tcW w:w="975" w:type="pct"/>
            <w:shd w:val="clear" w:color="auto" w:fill="auto"/>
            <w:vAlign w:val="center"/>
          </w:tcPr>
          <w:p w14:paraId="75EA8466">
            <w:pPr>
              <w:jc w:val="center"/>
              <w:rPr>
                <w:rFonts w:ascii="宋体" w:hAnsi="宋体" w:eastAsia="宋体" w:cs="Times New Roman"/>
                <w:color w:val="auto"/>
              </w:rPr>
            </w:pPr>
            <w:r>
              <w:rPr>
                <w:rFonts w:ascii="宋体" w:hAnsi="宋体" w:eastAsia="宋体" w:cs="Times New Roman"/>
                <w:snapToGrid w:val="0"/>
                <w:color w:val="auto"/>
              </w:rPr>
              <w:t>邻二甲苯</w:t>
            </w:r>
          </w:p>
        </w:tc>
        <w:tc>
          <w:tcPr>
            <w:tcW w:w="699" w:type="pct"/>
            <w:shd w:val="clear" w:color="auto" w:fill="auto"/>
            <w:vAlign w:val="center"/>
          </w:tcPr>
          <w:p w14:paraId="40E6377D">
            <w:pPr>
              <w:jc w:val="center"/>
              <w:rPr>
                <w:rFonts w:ascii="宋体" w:hAnsi="宋体" w:eastAsia="宋体" w:cs="Times New Roman"/>
                <w:color w:val="auto"/>
              </w:rPr>
            </w:pPr>
            <w:r>
              <w:rPr>
                <w:rFonts w:hint="eastAsia" w:ascii="宋体" w:hAnsi="宋体" w:eastAsia="宋体"/>
                <w:color w:val="auto"/>
              </w:rPr>
              <w:t>0.000019</w:t>
            </w:r>
          </w:p>
        </w:tc>
        <w:tc>
          <w:tcPr>
            <w:tcW w:w="715" w:type="pct"/>
            <w:shd w:val="clear" w:color="auto" w:fill="auto"/>
            <w:vAlign w:val="center"/>
          </w:tcPr>
          <w:p w14:paraId="5AEB88C1">
            <w:pPr>
              <w:jc w:val="center"/>
              <w:rPr>
                <w:rFonts w:ascii="宋体" w:hAnsi="宋体" w:eastAsia="宋体"/>
                <w:color w:val="auto"/>
              </w:rPr>
            </w:pPr>
            <w:r>
              <w:rPr>
                <w:rFonts w:hint="eastAsia" w:ascii="宋体" w:hAnsi="宋体" w:eastAsia="宋体"/>
                <w:color w:val="auto"/>
              </w:rPr>
              <w:t>0.0007264</w:t>
            </w:r>
          </w:p>
        </w:tc>
      </w:tr>
      <w:tr w14:paraId="571F7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6E86B20E">
            <w:pPr>
              <w:snapToGrid w:val="0"/>
              <w:jc w:val="center"/>
              <w:rPr>
                <w:rFonts w:ascii="宋体" w:hAnsi="宋体" w:eastAsia="宋体" w:cs="Times New Roman"/>
                <w:color w:val="auto"/>
              </w:rPr>
            </w:pPr>
            <w:r>
              <w:rPr>
                <w:rFonts w:ascii="宋体" w:hAnsi="宋体" w:eastAsia="宋体" w:cs="Times New Roman"/>
                <w:color w:val="auto"/>
              </w:rPr>
              <w:t>9</w:t>
            </w:r>
          </w:p>
        </w:tc>
        <w:tc>
          <w:tcPr>
            <w:tcW w:w="750" w:type="pct"/>
            <w:shd w:val="clear" w:color="auto" w:fill="auto"/>
            <w:vAlign w:val="center"/>
          </w:tcPr>
          <w:p w14:paraId="4069B893">
            <w:pPr>
              <w:jc w:val="center"/>
              <w:rPr>
                <w:rFonts w:ascii="宋体" w:hAnsi="宋体" w:eastAsia="宋体" w:cs="Times New Roman"/>
                <w:color w:val="auto"/>
              </w:rPr>
            </w:pPr>
            <w:r>
              <w:rPr>
                <w:rFonts w:ascii="宋体" w:hAnsi="宋体" w:eastAsia="宋体" w:cs="Times New Roman"/>
                <w:snapToGrid w:val="0"/>
                <w:color w:val="auto"/>
              </w:rPr>
              <w:t>二氯甲烷</w:t>
            </w:r>
          </w:p>
        </w:tc>
        <w:tc>
          <w:tcPr>
            <w:tcW w:w="640" w:type="pct"/>
            <w:shd w:val="clear" w:color="auto" w:fill="auto"/>
            <w:vAlign w:val="center"/>
          </w:tcPr>
          <w:p w14:paraId="32DAB20D">
            <w:pPr>
              <w:jc w:val="center"/>
              <w:rPr>
                <w:rFonts w:ascii="宋体" w:hAnsi="宋体" w:eastAsia="宋体" w:cs="Times New Roman"/>
                <w:color w:val="auto"/>
              </w:rPr>
            </w:pPr>
            <w:r>
              <w:rPr>
                <w:rFonts w:hint="eastAsia" w:ascii="宋体" w:hAnsi="宋体" w:eastAsia="宋体"/>
                <w:color w:val="auto"/>
              </w:rPr>
              <w:t>0.00006</w:t>
            </w:r>
          </w:p>
        </w:tc>
        <w:tc>
          <w:tcPr>
            <w:tcW w:w="715" w:type="pct"/>
            <w:shd w:val="clear" w:color="auto" w:fill="auto"/>
            <w:vAlign w:val="center"/>
          </w:tcPr>
          <w:p w14:paraId="0AED5D9D">
            <w:pPr>
              <w:snapToGrid w:val="0"/>
              <w:jc w:val="center"/>
              <w:rPr>
                <w:rFonts w:ascii="宋体" w:hAnsi="宋体" w:eastAsia="宋体" w:cs="Times New Roman"/>
                <w:color w:val="auto"/>
              </w:rPr>
            </w:pPr>
            <w:r>
              <w:rPr>
                <w:rFonts w:hint="eastAsia" w:ascii="宋体" w:hAnsi="宋体" w:eastAsia="宋体"/>
                <w:color w:val="auto"/>
              </w:rPr>
              <w:t>9.08E-05</w:t>
            </w:r>
          </w:p>
        </w:tc>
        <w:tc>
          <w:tcPr>
            <w:tcW w:w="271" w:type="pct"/>
            <w:shd w:val="clear" w:color="auto" w:fill="auto"/>
            <w:vAlign w:val="center"/>
          </w:tcPr>
          <w:p w14:paraId="4F2D0F0D">
            <w:pPr>
              <w:snapToGrid w:val="0"/>
              <w:jc w:val="center"/>
              <w:rPr>
                <w:rFonts w:ascii="宋体" w:hAnsi="宋体" w:eastAsia="宋体" w:cs="Times New Roman"/>
                <w:color w:val="auto"/>
              </w:rPr>
            </w:pPr>
            <w:r>
              <w:rPr>
                <w:rFonts w:ascii="宋体" w:hAnsi="宋体" w:eastAsia="宋体" w:cs="Times New Roman"/>
                <w:color w:val="auto"/>
              </w:rPr>
              <w:t>28</w:t>
            </w:r>
          </w:p>
        </w:tc>
        <w:tc>
          <w:tcPr>
            <w:tcW w:w="975" w:type="pct"/>
            <w:shd w:val="clear" w:color="auto" w:fill="auto"/>
            <w:vAlign w:val="center"/>
          </w:tcPr>
          <w:p w14:paraId="0EA73659">
            <w:pPr>
              <w:jc w:val="center"/>
              <w:rPr>
                <w:rFonts w:ascii="宋体" w:hAnsi="宋体" w:eastAsia="宋体" w:cs="Times New Roman"/>
                <w:color w:val="auto"/>
              </w:rPr>
            </w:pPr>
            <w:r>
              <w:rPr>
                <w:rFonts w:ascii="宋体" w:hAnsi="宋体" w:eastAsia="宋体" w:cs="Times New Roman"/>
                <w:snapToGrid w:val="0"/>
                <w:color w:val="auto"/>
              </w:rPr>
              <w:t>硝基苯</w:t>
            </w:r>
          </w:p>
        </w:tc>
        <w:tc>
          <w:tcPr>
            <w:tcW w:w="699" w:type="pct"/>
            <w:shd w:val="clear" w:color="auto" w:fill="auto"/>
            <w:vAlign w:val="center"/>
          </w:tcPr>
          <w:p w14:paraId="3FDCB8E4">
            <w:pPr>
              <w:jc w:val="center"/>
              <w:rPr>
                <w:rFonts w:ascii="宋体" w:hAnsi="宋体" w:eastAsia="宋体" w:cs="Times New Roman"/>
                <w:color w:val="auto"/>
              </w:rPr>
            </w:pPr>
            <w:r>
              <w:rPr>
                <w:rFonts w:hint="eastAsia" w:ascii="宋体" w:hAnsi="宋体" w:eastAsia="宋体"/>
                <w:color w:val="auto"/>
              </w:rPr>
              <w:t>0.000013</w:t>
            </w:r>
          </w:p>
        </w:tc>
        <w:tc>
          <w:tcPr>
            <w:tcW w:w="715" w:type="pct"/>
            <w:shd w:val="clear" w:color="auto" w:fill="auto"/>
            <w:vAlign w:val="center"/>
          </w:tcPr>
          <w:p w14:paraId="11ADE463">
            <w:pPr>
              <w:jc w:val="center"/>
              <w:rPr>
                <w:rFonts w:ascii="宋体" w:hAnsi="宋体" w:eastAsia="宋体"/>
                <w:color w:val="auto"/>
              </w:rPr>
            </w:pPr>
            <w:r>
              <w:rPr>
                <w:rFonts w:hint="eastAsia" w:ascii="宋体" w:hAnsi="宋体" w:eastAsia="宋体"/>
                <w:color w:val="auto"/>
              </w:rPr>
              <w:t>5.448E-05</w:t>
            </w:r>
          </w:p>
        </w:tc>
      </w:tr>
      <w:tr w14:paraId="2BFAFE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6C2AA8DF">
            <w:pPr>
              <w:snapToGrid w:val="0"/>
              <w:jc w:val="center"/>
              <w:rPr>
                <w:rFonts w:ascii="宋体" w:hAnsi="宋体" w:eastAsia="宋体" w:cs="Times New Roman"/>
                <w:color w:val="auto"/>
              </w:rPr>
            </w:pPr>
            <w:r>
              <w:rPr>
                <w:rFonts w:ascii="宋体" w:hAnsi="宋体" w:eastAsia="宋体" w:cs="Times New Roman"/>
                <w:color w:val="auto"/>
              </w:rPr>
              <w:t>10</w:t>
            </w:r>
          </w:p>
        </w:tc>
        <w:tc>
          <w:tcPr>
            <w:tcW w:w="750" w:type="pct"/>
            <w:shd w:val="clear" w:color="auto" w:fill="auto"/>
            <w:vAlign w:val="center"/>
          </w:tcPr>
          <w:p w14:paraId="3B9D67D3">
            <w:pPr>
              <w:jc w:val="center"/>
              <w:rPr>
                <w:rFonts w:ascii="宋体" w:hAnsi="宋体" w:eastAsia="宋体" w:cs="Times New Roman"/>
                <w:color w:val="auto"/>
              </w:rPr>
            </w:pPr>
            <w:r>
              <w:rPr>
                <w:rFonts w:ascii="宋体" w:hAnsi="宋体" w:eastAsia="宋体" w:cs="Times New Roman"/>
                <w:snapToGrid w:val="0"/>
                <w:color w:val="auto"/>
              </w:rPr>
              <w:t>1,2-二氯丙烷</w:t>
            </w:r>
          </w:p>
        </w:tc>
        <w:tc>
          <w:tcPr>
            <w:tcW w:w="640" w:type="pct"/>
            <w:shd w:val="clear" w:color="auto" w:fill="auto"/>
            <w:vAlign w:val="center"/>
          </w:tcPr>
          <w:p w14:paraId="20A4EA63">
            <w:pPr>
              <w:jc w:val="center"/>
              <w:rPr>
                <w:rFonts w:ascii="宋体" w:hAnsi="宋体" w:eastAsia="宋体" w:cs="Times New Roman"/>
                <w:color w:val="auto"/>
              </w:rPr>
            </w:pPr>
            <w:r>
              <w:rPr>
                <w:rFonts w:hint="eastAsia" w:ascii="宋体" w:hAnsi="宋体" w:eastAsia="宋体"/>
                <w:color w:val="auto"/>
              </w:rPr>
              <w:t>0.000088</w:t>
            </w:r>
          </w:p>
        </w:tc>
        <w:tc>
          <w:tcPr>
            <w:tcW w:w="715" w:type="pct"/>
            <w:shd w:val="clear" w:color="auto" w:fill="auto"/>
            <w:vAlign w:val="center"/>
          </w:tcPr>
          <w:p w14:paraId="71C09E8B">
            <w:pPr>
              <w:snapToGrid w:val="0"/>
              <w:jc w:val="center"/>
              <w:rPr>
                <w:rFonts w:ascii="宋体" w:hAnsi="宋体" w:eastAsia="宋体" w:cs="Times New Roman"/>
                <w:color w:val="auto"/>
              </w:rPr>
            </w:pPr>
            <w:r>
              <w:rPr>
                <w:rFonts w:hint="eastAsia" w:ascii="宋体" w:hAnsi="宋体" w:eastAsia="宋体"/>
                <w:color w:val="auto"/>
              </w:rPr>
              <w:t>0.0006659</w:t>
            </w:r>
          </w:p>
        </w:tc>
        <w:tc>
          <w:tcPr>
            <w:tcW w:w="271" w:type="pct"/>
            <w:shd w:val="clear" w:color="auto" w:fill="auto"/>
            <w:vAlign w:val="center"/>
          </w:tcPr>
          <w:p w14:paraId="058F3EC0">
            <w:pPr>
              <w:snapToGrid w:val="0"/>
              <w:jc w:val="center"/>
              <w:rPr>
                <w:rFonts w:ascii="宋体" w:hAnsi="宋体" w:eastAsia="宋体" w:cs="Times New Roman"/>
                <w:color w:val="auto"/>
              </w:rPr>
            </w:pPr>
            <w:r>
              <w:rPr>
                <w:rFonts w:ascii="宋体" w:hAnsi="宋体" w:eastAsia="宋体" w:cs="Times New Roman"/>
                <w:color w:val="auto"/>
              </w:rPr>
              <w:t>29</w:t>
            </w:r>
          </w:p>
        </w:tc>
        <w:tc>
          <w:tcPr>
            <w:tcW w:w="975" w:type="pct"/>
            <w:shd w:val="clear" w:color="auto" w:fill="auto"/>
            <w:vAlign w:val="center"/>
          </w:tcPr>
          <w:p w14:paraId="6366EFCA">
            <w:pPr>
              <w:jc w:val="center"/>
              <w:rPr>
                <w:rFonts w:ascii="宋体" w:hAnsi="宋体" w:eastAsia="宋体" w:cs="Times New Roman"/>
                <w:color w:val="auto"/>
              </w:rPr>
            </w:pPr>
            <w:r>
              <w:rPr>
                <w:rFonts w:ascii="宋体" w:hAnsi="宋体" w:eastAsia="宋体" w:cs="Times New Roman"/>
                <w:snapToGrid w:val="0"/>
                <w:color w:val="auto"/>
              </w:rPr>
              <w:t>苯胺</w:t>
            </w:r>
          </w:p>
        </w:tc>
        <w:tc>
          <w:tcPr>
            <w:tcW w:w="699" w:type="pct"/>
            <w:shd w:val="clear" w:color="auto" w:fill="auto"/>
            <w:vAlign w:val="center"/>
          </w:tcPr>
          <w:p w14:paraId="7F0A0061">
            <w:pPr>
              <w:jc w:val="center"/>
              <w:rPr>
                <w:rFonts w:ascii="宋体" w:hAnsi="宋体" w:eastAsia="宋体" w:cs="Times New Roman"/>
                <w:color w:val="auto"/>
              </w:rPr>
            </w:pPr>
            <w:r>
              <w:rPr>
                <w:rFonts w:hint="eastAsia" w:ascii="宋体" w:hAnsi="宋体" w:eastAsia="宋体"/>
                <w:color w:val="auto"/>
              </w:rPr>
              <w:t>0.003333</w:t>
            </w:r>
          </w:p>
        </w:tc>
        <w:tc>
          <w:tcPr>
            <w:tcW w:w="715" w:type="pct"/>
            <w:shd w:val="clear" w:color="auto" w:fill="auto"/>
            <w:vAlign w:val="center"/>
          </w:tcPr>
          <w:p w14:paraId="3DBD8DF0">
            <w:pPr>
              <w:jc w:val="center"/>
              <w:rPr>
                <w:rFonts w:ascii="宋体" w:hAnsi="宋体" w:eastAsia="宋体"/>
                <w:color w:val="auto"/>
              </w:rPr>
            </w:pPr>
            <w:r>
              <w:rPr>
                <w:rFonts w:hint="eastAsia" w:ascii="宋体" w:hAnsi="宋体" w:eastAsia="宋体"/>
                <w:color w:val="auto"/>
              </w:rPr>
              <w:t>4.843E-05</w:t>
            </w:r>
          </w:p>
        </w:tc>
      </w:tr>
      <w:tr w14:paraId="4ED396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56F094E8">
            <w:pPr>
              <w:snapToGrid w:val="0"/>
              <w:jc w:val="center"/>
              <w:rPr>
                <w:rFonts w:ascii="宋体" w:hAnsi="宋体" w:eastAsia="宋体" w:cs="Times New Roman"/>
                <w:color w:val="auto"/>
              </w:rPr>
            </w:pPr>
            <w:r>
              <w:rPr>
                <w:rFonts w:ascii="宋体" w:hAnsi="宋体" w:eastAsia="宋体" w:cs="Times New Roman"/>
                <w:color w:val="auto"/>
              </w:rPr>
              <w:t>11</w:t>
            </w:r>
          </w:p>
        </w:tc>
        <w:tc>
          <w:tcPr>
            <w:tcW w:w="750" w:type="pct"/>
            <w:shd w:val="clear" w:color="auto" w:fill="auto"/>
            <w:vAlign w:val="center"/>
          </w:tcPr>
          <w:p w14:paraId="668D68DD">
            <w:pPr>
              <w:jc w:val="center"/>
              <w:rPr>
                <w:rFonts w:ascii="宋体" w:hAnsi="宋体" w:eastAsia="宋体" w:cs="Times New Roman"/>
                <w:color w:val="auto"/>
              </w:rPr>
            </w:pPr>
            <w:r>
              <w:rPr>
                <w:rFonts w:ascii="宋体" w:hAnsi="宋体" w:eastAsia="宋体" w:cs="Times New Roman"/>
                <w:snapToGrid w:val="0"/>
                <w:color w:val="auto"/>
              </w:rPr>
              <w:t>1,1,1,2-四氯乙烷</w:t>
            </w:r>
          </w:p>
        </w:tc>
        <w:tc>
          <w:tcPr>
            <w:tcW w:w="640" w:type="pct"/>
            <w:shd w:val="clear" w:color="auto" w:fill="auto"/>
            <w:vAlign w:val="center"/>
          </w:tcPr>
          <w:p w14:paraId="59FCC54B">
            <w:pPr>
              <w:jc w:val="center"/>
              <w:rPr>
                <w:rFonts w:ascii="宋体" w:hAnsi="宋体" w:eastAsia="宋体" w:cs="Times New Roman"/>
                <w:color w:val="auto"/>
              </w:rPr>
            </w:pPr>
            <w:r>
              <w:rPr>
                <w:rFonts w:hint="eastAsia" w:ascii="宋体" w:hAnsi="宋体" w:eastAsia="宋体"/>
                <w:color w:val="auto"/>
              </w:rPr>
              <w:t>0.000013</w:t>
            </w:r>
          </w:p>
        </w:tc>
        <w:tc>
          <w:tcPr>
            <w:tcW w:w="715" w:type="pct"/>
            <w:shd w:val="clear" w:color="auto" w:fill="auto"/>
            <w:vAlign w:val="center"/>
          </w:tcPr>
          <w:p w14:paraId="5129B45F">
            <w:pPr>
              <w:snapToGrid w:val="0"/>
              <w:jc w:val="center"/>
              <w:rPr>
                <w:rFonts w:ascii="宋体" w:hAnsi="宋体" w:eastAsia="宋体" w:cs="Times New Roman"/>
                <w:color w:val="auto"/>
              </w:rPr>
            </w:pPr>
            <w:r>
              <w:rPr>
                <w:rFonts w:hint="eastAsia" w:ascii="宋体" w:hAnsi="宋体" w:eastAsia="宋体"/>
                <w:color w:val="auto"/>
              </w:rPr>
              <w:t>0.0007264</w:t>
            </w:r>
          </w:p>
        </w:tc>
        <w:tc>
          <w:tcPr>
            <w:tcW w:w="271" w:type="pct"/>
            <w:shd w:val="clear" w:color="auto" w:fill="auto"/>
            <w:vAlign w:val="center"/>
          </w:tcPr>
          <w:p w14:paraId="47F99074">
            <w:pPr>
              <w:snapToGrid w:val="0"/>
              <w:jc w:val="center"/>
              <w:rPr>
                <w:rFonts w:ascii="宋体" w:hAnsi="宋体" w:eastAsia="宋体" w:cs="Times New Roman"/>
                <w:color w:val="auto"/>
              </w:rPr>
            </w:pPr>
            <w:r>
              <w:rPr>
                <w:rFonts w:ascii="宋体" w:hAnsi="宋体" w:eastAsia="宋体" w:cs="Times New Roman"/>
                <w:color w:val="auto"/>
              </w:rPr>
              <w:t>30</w:t>
            </w:r>
          </w:p>
        </w:tc>
        <w:tc>
          <w:tcPr>
            <w:tcW w:w="975" w:type="pct"/>
            <w:shd w:val="clear" w:color="auto" w:fill="auto"/>
            <w:vAlign w:val="center"/>
          </w:tcPr>
          <w:p w14:paraId="4C279A37">
            <w:pPr>
              <w:jc w:val="center"/>
              <w:rPr>
                <w:rFonts w:ascii="宋体" w:hAnsi="宋体" w:eastAsia="宋体" w:cs="Times New Roman"/>
                <w:color w:val="auto"/>
              </w:rPr>
            </w:pPr>
            <w:r>
              <w:rPr>
                <w:rFonts w:ascii="宋体" w:hAnsi="宋体" w:eastAsia="宋体" w:cs="Times New Roman"/>
                <w:snapToGrid w:val="0"/>
                <w:color w:val="auto"/>
              </w:rPr>
              <w:t>2-氯酚</w:t>
            </w:r>
          </w:p>
        </w:tc>
        <w:tc>
          <w:tcPr>
            <w:tcW w:w="699" w:type="pct"/>
            <w:shd w:val="clear" w:color="auto" w:fill="auto"/>
            <w:vAlign w:val="center"/>
          </w:tcPr>
          <w:p w14:paraId="26541549">
            <w:pPr>
              <w:jc w:val="center"/>
              <w:rPr>
                <w:rFonts w:ascii="宋体" w:hAnsi="宋体" w:eastAsia="宋体" w:cs="Times New Roman"/>
                <w:color w:val="auto"/>
              </w:rPr>
            </w:pPr>
            <w:r>
              <w:rPr>
                <w:rFonts w:hint="eastAsia" w:ascii="宋体" w:hAnsi="宋体" w:eastAsia="宋体"/>
                <w:color w:val="auto"/>
              </w:rPr>
              <w:t>0.033333</w:t>
            </w:r>
          </w:p>
        </w:tc>
        <w:tc>
          <w:tcPr>
            <w:tcW w:w="715" w:type="pct"/>
            <w:shd w:val="clear" w:color="auto" w:fill="auto"/>
            <w:vAlign w:val="center"/>
          </w:tcPr>
          <w:p w14:paraId="02C15B2E">
            <w:pPr>
              <w:jc w:val="center"/>
              <w:rPr>
                <w:rFonts w:ascii="宋体" w:hAnsi="宋体" w:eastAsia="宋体"/>
                <w:color w:val="auto"/>
              </w:rPr>
            </w:pPr>
            <w:r>
              <w:rPr>
                <w:rFonts w:hint="eastAsia" w:ascii="宋体" w:hAnsi="宋体" w:eastAsia="宋体"/>
                <w:color w:val="auto"/>
              </w:rPr>
              <w:t>3.632E-05</w:t>
            </w:r>
          </w:p>
        </w:tc>
      </w:tr>
      <w:tr w14:paraId="09F9ED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262F6BBB">
            <w:pPr>
              <w:snapToGrid w:val="0"/>
              <w:jc w:val="center"/>
              <w:rPr>
                <w:rFonts w:ascii="宋体" w:hAnsi="宋体" w:eastAsia="宋体" w:cs="Times New Roman"/>
                <w:color w:val="auto"/>
              </w:rPr>
            </w:pPr>
            <w:r>
              <w:rPr>
                <w:rFonts w:ascii="宋体" w:hAnsi="宋体" w:eastAsia="宋体" w:cs="Times New Roman"/>
                <w:color w:val="auto"/>
              </w:rPr>
              <w:t>12</w:t>
            </w:r>
          </w:p>
        </w:tc>
        <w:tc>
          <w:tcPr>
            <w:tcW w:w="750" w:type="pct"/>
            <w:shd w:val="clear" w:color="auto" w:fill="auto"/>
            <w:vAlign w:val="center"/>
          </w:tcPr>
          <w:p w14:paraId="04449F9B">
            <w:pPr>
              <w:jc w:val="center"/>
              <w:rPr>
                <w:rFonts w:ascii="宋体" w:hAnsi="宋体" w:eastAsia="宋体" w:cs="Times New Roman"/>
                <w:color w:val="auto"/>
              </w:rPr>
            </w:pPr>
            <w:r>
              <w:rPr>
                <w:rFonts w:ascii="宋体" w:hAnsi="宋体" w:eastAsia="宋体" w:cs="Times New Roman"/>
                <w:snapToGrid w:val="0"/>
                <w:color w:val="auto"/>
              </w:rPr>
              <w:t>1,1,2,2-四氯乙烷</w:t>
            </w:r>
          </w:p>
        </w:tc>
        <w:tc>
          <w:tcPr>
            <w:tcW w:w="640" w:type="pct"/>
            <w:shd w:val="clear" w:color="auto" w:fill="auto"/>
            <w:vAlign w:val="center"/>
          </w:tcPr>
          <w:p w14:paraId="57ABB966">
            <w:pPr>
              <w:jc w:val="center"/>
              <w:rPr>
                <w:rFonts w:ascii="宋体" w:hAnsi="宋体" w:eastAsia="宋体" w:cs="Times New Roman"/>
                <w:color w:val="auto"/>
              </w:rPr>
            </w:pPr>
            <w:r>
              <w:rPr>
                <w:rFonts w:hint="eastAsia" w:ascii="宋体" w:hAnsi="宋体" w:eastAsia="宋体"/>
                <w:color w:val="auto"/>
              </w:rPr>
              <w:t>0.0000007</w:t>
            </w:r>
          </w:p>
        </w:tc>
        <w:tc>
          <w:tcPr>
            <w:tcW w:w="715" w:type="pct"/>
            <w:shd w:val="clear" w:color="auto" w:fill="auto"/>
            <w:vAlign w:val="center"/>
          </w:tcPr>
          <w:p w14:paraId="71F471D1">
            <w:pPr>
              <w:snapToGrid w:val="0"/>
              <w:jc w:val="center"/>
              <w:rPr>
                <w:rFonts w:ascii="宋体" w:hAnsi="宋体" w:eastAsia="宋体" w:cs="Times New Roman"/>
                <w:color w:val="auto"/>
              </w:rPr>
            </w:pPr>
            <w:r>
              <w:rPr>
                <w:rFonts w:hint="eastAsia" w:ascii="宋体" w:hAnsi="宋体" w:eastAsia="宋体"/>
                <w:color w:val="auto"/>
              </w:rPr>
              <w:t>0.0007264</w:t>
            </w:r>
          </w:p>
        </w:tc>
        <w:tc>
          <w:tcPr>
            <w:tcW w:w="271" w:type="pct"/>
            <w:shd w:val="clear" w:color="auto" w:fill="auto"/>
            <w:vAlign w:val="center"/>
          </w:tcPr>
          <w:p w14:paraId="49BF511E">
            <w:pPr>
              <w:snapToGrid w:val="0"/>
              <w:jc w:val="center"/>
              <w:rPr>
                <w:rFonts w:ascii="宋体" w:hAnsi="宋体" w:eastAsia="宋体" w:cs="Times New Roman"/>
                <w:color w:val="auto"/>
              </w:rPr>
            </w:pPr>
            <w:r>
              <w:rPr>
                <w:rFonts w:ascii="宋体" w:hAnsi="宋体" w:eastAsia="宋体" w:cs="Times New Roman"/>
                <w:color w:val="auto"/>
              </w:rPr>
              <w:t>31</w:t>
            </w:r>
          </w:p>
        </w:tc>
        <w:tc>
          <w:tcPr>
            <w:tcW w:w="975" w:type="pct"/>
            <w:shd w:val="clear" w:color="auto" w:fill="auto"/>
            <w:vAlign w:val="center"/>
          </w:tcPr>
          <w:p w14:paraId="4B97BED8">
            <w:pPr>
              <w:jc w:val="center"/>
              <w:rPr>
                <w:rFonts w:ascii="宋体" w:hAnsi="宋体" w:eastAsia="宋体" w:cs="Times New Roman"/>
                <w:color w:val="auto"/>
              </w:rPr>
            </w:pPr>
            <w:r>
              <w:rPr>
                <w:rFonts w:ascii="宋体" w:hAnsi="宋体" w:eastAsia="宋体" w:cs="Times New Roman"/>
                <w:snapToGrid w:val="0"/>
                <w:color w:val="auto"/>
              </w:rPr>
              <w:t>苯并[a]蒽</w:t>
            </w:r>
          </w:p>
        </w:tc>
        <w:tc>
          <w:tcPr>
            <w:tcW w:w="699" w:type="pct"/>
            <w:shd w:val="clear" w:color="auto" w:fill="auto"/>
            <w:vAlign w:val="center"/>
          </w:tcPr>
          <w:p w14:paraId="1781413C">
            <w:pPr>
              <w:jc w:val="center"/>
              <w:rPr>
                <w:rFonts w:ascii="宋体" w:hAnsi="宋体" w:eastAsia="宋体" w:cs="Times New Roman"/>
                <w:color w:val="auto"/>
              </w:rPr>
            </w:pPr>
            <w:r>
              <w:rPr>
                <w:rFonts w:hint="eastAsia" w:ascii="宋体" w:hAnsi="宋体" w:eastAsia="宋体"/>
                <w:color w:val="auto"/>
              </w:rPr>
              <w:t>0.006667</w:t>
            </w:r>
          </w:p>
        </w:tc>
        <w:tc>
          <w:tcPr>
            <w:tcW w:w="715" w:type="pct"/>
            <w:shd w:val="clear" w:color="auto" w:fill="auto"/>
            <w:vAlign w:val="center"/>
          </w:tcPr>
          <w:p w14:paraId="54B04954">
            <w:pPr>
              <w:jc w:val="center"/>
              <w:rPr>
                <w:rFonts w:ascii="宋体" w:hAnsi="宋体" w:eastAsia="宋体"/>
                <w:color w:val="auto"/>
              </w:rPr>
            </w:pPr>
            <w:r>
              <w:rPr>
                <w:rFonts w:hint="eastAsia" w:ascii="宋体" w:hAnsi="宋体" w:eastAsia="宋体"/>
                <w:color w:val="auto"/>
              </w:rPr>
              <w:t>6.053E-05</w:t>
            </w:r>
          </w:p>
        </w:tc>
      </w:tr>
      <w:tr w14:paraId="5B92E5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541E630D">
            <w:pPr>
              <w:snapToGrid w:val="0"/>
              <w:jc w:val="center"/>
              <w:rPr>
                <w:rFonts w:ascii="宋体" w:hAnsi="宋体" w:eastAsia="宋体" w:cs="Times New Roman"/>
                <w:color w:val="auto"/>
              </w:rPr>
            </w:pPr>
            <w:r>
              <w:rPr>
                <w:rFonts w:ascii="宋体" w:hAnsi="宋体" w:eastAsia="宋体" w:cs="Times New Roman"/>
                <w:color w:val="auto"/>
              </w:rPr>
              <w:t>13</w:t>
            </w:r>
          </w:p>
        </w:tc>
        <w:tc>
          <w:tcPr>
            <w:tcW w:w="750" w:type="pct"/>
            <w:shd w:val="clear" w:color="auto" w:fill="auto"/>
            <w:vAlign w:val="center"/>
          </w:tcPr>
          <w:p w14:paraId="2CCAC596">
            <w:pPr>
              <w:jc w:val="center"/>
              <w:rPr>
                <w:rFonts w:ascii="宋体" w:hAnsi="宋体" w:eastAsia="宋体" w:cs="Times New Roman"/>
                <w:color w:val="auto"/>
              </w:rPr>
            </w:pPr>
            <w:r>
              <w:rPr>
                <w:rFonts w:ascii="宋体" w:hAnsi="宋体" w:eastAsia="宋体" w:cs="Times New Roman"/>
                <w:snapToGrid w:val="0"/>
                <w:color w:val="auto"/>
              </w:rPr>
              <w:t>四氯乙烯</w:t>
            </w:r>
          </w:p>
        </w:tc>
        <w:tc>
          <w:tcPr>
            <w:tcW w:w="640" w:type="pct"/>
            <w:shd w:val="clear" w:color="auto" w:fill="auto"/>
            <w:vAlign w:val="center"/>
          </w:tcPr>
          <w:p w14:paraId="7A0AD97D">
            <w:pPr>
              <w:jc w:val="center"/>
              <w:rPr>
                <w:rFonts w:ascii="宋体" w:hAnsi="宋体" w:eastAsia="宋体" w:cs="Times New Roman"/>
                <w:color w:val="auto"/>
              </w:rPr>
            </w:pPr>
            <w:r>
              <w:rPr>
                <w:rFonts w:hint="eastAsia" w:ascii="宋体" w:hAnsi="宋体" w:eastAsia="宋体"/>
                <w:color w:val="auto"/>
              </w:rPr>
              <w:t>0.000214</w:t>
            </w:r>
          </w:p>
        </w:tc>
        <w:tc>
          <w:tcPr>
            <w:tcW w:w="715" w:type="pct"/>
            <w:shd w:val="clear" w:color="auto" w:fill="auto"/>
            <w:vAlign w:val="center"/>
          </w:tcPr>
          <w:p w14:paraId="0D4693FD">
            <w:pPr>
              <w:snapToGrid w:val="0"/>
              <w:jc w:val="center"/>
              <w:rPr>
                <w:rFonts w:ascii="宋体" w:hAnsi="宋体" w:eastAsia="宋体" w:cs="Times New Roman"/>
                <w:color w:val="auto"/>
              </w:rPr>
            </w:pPr>
            <w:r>
              <w:rPr>
                <w:rFonts w:hint="eastAsia" w:ascii="宋体" w:hAnsi="宋体" w:eastAsia="宋体"/>
                <w:color w:val="auto"/>
              </w:rPr>
              <w:t>0.0008475</w:t>
            </w:r>
          </w:p>
        </w:tc>
        <w:tc>
          <w:tcPr>
            <w:tcW w:w="271" w:type="pct"/>
            <w:shd w:val="clear" w:color="auto" w:fill="auto"/>
            <w:vAlign w:val="center"/>
          </w:tcPr>
          <w:p w14:paraId="67A802E3">
            <w:pPr>
              <w:snapToGrid w:val="0"/>
              <w:jc w:val="center"/>
              <w:rPr>
                <w:rFonts w:ascii="宋体" w:hAnsi="宋体" w:eastAsia="宋体" w:cs="Times New Roman"/>
                <w:color w:val="auto"/>
              </w:rPr>
            </w:pPr>
            <w:r>
              <w:rPr>
                <w:rFonts w:ascii="宋体" w:hAnsi="宋体" w:eastAsia="宋体" w:cs="Times New Roman"/>
                <w:color w:val="auto"/>
              </w:rPr>
              <w:t>32</w:t>
            </w:r>
          </w:p>
        </w:tc>
        <w:tc>
          <w:tcPr>
            <w:tcW w:w="975" w:type="pct"/>
            <w:shd w:val="clear" w:color="auto" w:fill="auto"/>
            <w:vAlign w:val="center"/>
          </w:tcPr>
          <w:p w14:paraId="33839E39">
            <w:pPr>
              <w:jc w:val="center"/>
              <w:rPr>
                <w:rFonts w:ascii="宋体" w:hAnsi="宋体" w:eastAsia="宋体" w:cs="Times New Roman"/>
                <w:color w:val="auto"/>
              </w:rPr>
            </w:pPr>
            <w:r>
              <w:rPr>
                <w:rFonts w:ascii="宋体" w:hAnsi="宋体" w:eastAsia="宋体" w:cs="Times New Roman"/>
                <w:snapToGrid w:val="0"/>
                <w:color w:val="auto"/>
              </w:rPr>
              <w:t>苯并[a]芘</w:t>
            </w:r>
          </w:p>
        </w:tc>
        <w:tc>
          <w:tcPr>
            <w:tcW w:w="699" w:type="pct"/>
            <w:shd w:val="clear" w:color="auto" w:fill="auto"/>
            <w:vAlign w:val="center"/>
          </w:tcPr>
          <w:p w14:paraId="5B59CFCA">
            <w:pPr>
              <w:jc w:val="center"/>
              <w:rPr>
                <w:rFonts w:ascii="宋体" w:hAnsi="宋体" w:eastAsia="宋体" w:cs="Times New Roman"/>
                <w:color w:val="auto"/>
              </w:rPr>
            </w:pPr>
            <w:r>
              <w:rPr>
                <w:rFonts w:hint="eastAsia" w:ascii="宋体" w:hAnsi="宋体" w:eastAsia="宋体"/>
                <w:color w:val="auto"/>
              </w:rPr>
              <w:t>0.000331</w:t>
            </w:r>
          </w:p>
        </w:tc>
        <w:tc>
          <w:tcPr>
            <w:tcW w:w="715" w:type="pct"/>
            <w:shd w:val="clear" w:color="auto" w:fill="auto"/>
            <w:vAlign w:val="center"/>
          </w:tcPr>
          <w:p w14:paraId="1F85657B">
            <w:pPr>
              <w:jc w:val="center"/>
              <w:rPr>
                <w:rFonts w:ascii="宋体" w:hAnsi="宋体" w:eastAsia="宋体"/>
                <w:color w:val="auto"/>
              </w:rPr>
            </w:pPr>
            <w:r>
              <w:rPr>
                <w:rFonts w:hint="eastAsia" w:ascii="宋体" w:hAnsi="宋体" w:eastAsia="宋体"/>
                <w:color w:val="auto"/>
              </w:rPr>
              <w:t>6.053E-05</w:t>
            </w:r>
          </w:p>
        </w:tc>
      </w:tr>
      <w:tr w14:paraId="495B1A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2D6D7E88">
            <w:pPr>
              <w:snapToGrid w:val="0"/>
              <w:jc w:val="center"/>
              <w:rPr>
                <w:rFonts w:ascii="宋体" w:hAnsi="宋体" w:eastAsia="宋体" w:cs="Times New Roman"/>
                <w:color w:val="auto"/>
              </w:rPr>
            </w:pPr>
            <w:r>
              <w:rPr>
                <w:rFonts w:ascii="宋体" w:hAnsi="宋体" w:eastAsia="宋体" w:cs="Times New Roman"/>
                <w:color w:val="auto"/>
              </w:rPr>
              <w:t>14</w:t>
            </w:r>
          </w:p>
        </w:tc>
        <w:tc>
          <w:tcPr>
            <w:tcW w:w="750" w:type="pct"/>
            <w:shd w:val="clear" w:color="auto" w:fill="auto"/>
            <w:vAlign w:val="center"/>
          </w:tcPr>
          <w:p w14:paraId="5C9BE2D3">
            <w:pPr>
              <w:jc w:val="center"/>
              <w:rPr>
                <w:rFonts w:ascii="宋体" w:hAnsi="宋体" w:eastAsia="宋体" w:cs="Times New Roman"/>
                <w:color w:val="auto"/>
              </w:rPr>
            </w:pPr>
            <w:r>
              <w:rPr>
                <w:rFonts w:ascii="宋体" w:hAnsi="宋体" w:eastAsia="宋体" w:cs="Times New Roman"/>
                <w:snapToGrid w:val="0"/>
                <w:color w:val="auto"/>
              </w:rPr>
              <w:t>1,1,1-三氯乙烷</w:t>
            </w:r>
          </w:p>
        </w:tc>
        <w:tc>
          <w:tcPr>
            <w:tcW w:w="640" w:type="pct"/>
            <w:shd w:val="clear" w:color="auto" w:fill="auto"/>
            <w:vAlign w:val="center"/>
          </w:tcPr>
          <w:p w14:paraId="63599410">
            <w:pPr>
              <w:jc w:val="center"/>
              <w:rPr>
                <w:rFonts w:ascii="宋体" w:hAnsi="宋体" w:eastAsia="宋体" w:cs="Times New Roman"/>
                <w:color w:val="auto"/>
              </w:rPr>
            </w:pPr>
            <w:r>
              <w:rPr>
                <w:rFonts w:hint="eastAsia" w:ascii="宋体" w:hAnsi="宋体" w:eastAsia="宋体"/>
                <w:color w:val="auto"/>
              </w:rPr>
              <w:t>0.000214</w:t>
            </w:r>
          </w:p>
        </w:tc>
        <w:tc>
          <w:tcPr>
            <w:tcW w:w="715" w:type="pct"/>
            <w:shd w:val="clear" w:color="auto" w:fill="auto"/>
            <w:vAlign w:val="center"/>
          </w:tcPr>
          <w:p w14:paraId="7E921ABA">
            <w:pPr>
              <w:snapToGrid w:val="0"/>
              <w:jc w:val="center"/>
              <w:rPr>
                <w:rFonts w:ascii="宋体" w:hAnsi="宋体" w:eastAsia="宋体" w:cs="Times New Roman"/>
                <w:color w:val="auto"/>
              </w:rPr>
            </w:pPr>
            <w:r>
              <w:rPr>
                <w:rFonts w:hint="eastAsia" w:ascii="宋体" w:hAnsi="宋体" w:eastAsia="宋体"/>
                <w:color w:val="auto"/>
              </w:rPr>
              <w:t>0.0007869</w:t>
            </w:r>
          </w:p>
        </w:tc>
        <w:tc>
          <w:tcPr>
            <w:tcW w:w="271" w:type="pct"/>
            <w:shd w:val="clear" w:color="auto" w:fill="auto"/>
            <w:vAlign w:val="center"/>
          </w:tcPr>
          <w:p w14:paraId="46184782">
            <w:pPr>
              <w:snapToGrid w:val="0"/>
              <w:jc w:val="center"/>
              <w:rPr>
                <w:rFonts w:ascii="宋体" w:hAnsi="宋体" w:eastAsia="宋体" w:cs="Times New Roman"/>
                <w:color w:val="auto"/>
              </w:rPr>
            </w:pPr>
            <w:r>
              <w:rPr>
                <w:rFonts w:ascii="宋体" w:hAnsi="宋体" w:eastAsia="宋体" w:cs="Times New Roman"/>
                <w:color w:val="auto"/>
              </w:rPr>
              <w:t>33</w:t>
            </w:r>
          </w:p>
        </w:tc>
        <w:tc>
          <w:tcPr>
            <w:tcW w:w="975" w:type="pct"/>
            <w:shd w:val="clear" w:color="auto" w:fill="auto"/>
            <w:vAlign w:val="center"/>
          </w:tcPr>
          <w:p w14:paraId="2C7C1C78">
            <w:pPr>
              <w:jc w:val="center"/>
              <w:rPr>
                <w:rFonts w:ascii="宋体" w:hAnsi="宋体" w:eastAsia="宋体" w:cs="Times New Roman"/>
                <w:color w:val="auto"/>
              </w:rPr>
            </w:pPr>
            <w:r>
              <w:rPr>
                <w:rFonts w:ascii="宋体" w:hAnsi="宋体" w:eastAsia="宋体" w:cs="Times New Roman"/>
                <w:snapToGrid w:val="0"/>
                <w:color w:val="auto"/>
              </w:rPr>
              <w:t>苯并[b]荧蒽</w:t>
            </w:r>
          </w:p>
        </w:tc>
        <w:tc>
          <w:tcPr>
            <w:tcW w:w="699" w:type="pct"/>
            <w:shd w:val="clear" w:color="auto" w:fill="auto"/>
            <w:vAlign w:val="center"/>
          </w:tcPr>
          <w:p w14:paraId="305D040E">
            <w:pPr>
              <w:jc w:val="center"/>
              <w:rPr>
                <w:rFonts w:ascii="宋体" w:hAnsi="宋体" w:eastAsia="宋体" w:cs="Times New Roman"/>
                <w:color w:val="auto"/>
              </w:rPr>
            </w:pPr>
            <w:r>
              <w:rPr>
                <w:rFonts w:hint="eastAsia" w:ascii="宋体" w:hAnsi="宋体" w:eastAsia="宋体"/>
                <w:color w:val="auto"/>
              </w:rPr>
              <w:t>0.000039</w:t>
            </w:r>
          </w:p>
        </w:tc>
        <w:tc>
          <w:tcPr>
            <w:tcW w:w="715" w:type="pct"/>
            <w:shd w:val="clear" w:color="auto" w:fill="auto"/>
            <w:vAlign w:val="center"/>
          </w:tcPr>
          <w:p w14:paraId="7B716C77">
            <w:pPr>
              <w:jc w:val="center"/>
              <w:rPr>
                <w:rFonts w:ascii="宋体" w:hAnsi="宋体" w:eastAsia="宋体"/>
                <w:color w:val="auto"/>
              </w:rPr>
            </w:pPr>
            <w:r>
              <w:rPr>
                <w:rFonts w:hint="eastAsia" w:ascii="宋体" w:hAnsi="宋体" w:eastAsia="宋体"/>
                <w:color w:val="auto"/>
              </w:rPr>
              <w:t>0.0001211</w:t>
            </w:r>
          </w:p>
        </w:tc>
      </w:tr>
      <w:tr w14:paraId="02B583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4708F1DD">
            <w:pPr>
              <w:snapToGrid w:val="0"/>
              <w:jc w:val="center"/>
              <w:rPr>
                <w:rFonts w:ascii="宋体" w:hAnsi="宋体" w:eastAsia="宋体" w:cs="Times New Roman"/>
                <w:color w:val="auto"/>
              </w:rPr>
            </w:pPr>
            <w:r>
              <w:rPr>
                <w:rFonts w:ascii="宋体" w:hAnsi="宋体" w:eastAsia="宋体" w:cs="Times New Roman"/>
                <w:color w:val="auto"/>
              </w:rPr>
              <w:t>15</w:t>
            </w:r>
          </w:p>
        </w:tc>
        <w:tc>
          <w:tcPr>
            <w:tcW w:w="750" w:type="pct"/>
            <w:shd w:val="clear" w:color="auto" w:fill="auto"/>
            <w:vAlign w:val="center"/>
          </w:tcPr>
          <w:p w14:paraId="3D33953C">
            <w:pPr>
              <w:jc w:val="center"/>
              <w:rPr>
                <w:rFonts w:ascii="宋体" w:hAnsi="宋体" w:eastAsia="宋体" w:cs="Times New Roman"/>
                <w:color w:val="auto"/>
              </w:rPr>
            </w:pPr>
            <w:r>
              <w:rPr>
                <w:rFonts w:ascii="宋体" w:hAnsi="宋体" w:eastAsia="宋体" w:cs="Times New Roman"/>
                <w:snapToGrid w:val="0"/>
                <w:color w:val="auto"/>
              </w:rPr>
              <w:t>1,1,2-三氯乙烷</w:t>
            </w:r>
          </w:p>
        </w:tc>
        <w:tc>
          <w:tcPr>
            <w:tcW w:w="640" w:type="pct"/>
            <w:shd w:val="clear" w:color="auto" w:fill="auto"/>
            <w:vAlign w:val="center"/>
          </w:tcPr>
          <w:p w14:paraId="7EF0F27D">
            <w:pPr>
              <w:jc w:val="center"/>
              <w:rPr>
                <w:rFonts w:ascii="宋体" w:hAnsi="宋体" w:eastAsia="宋体" w:cs="Times New Roman"/>
                <w:color w:val="auto"/>
              </w:rPr>
            </w:pPr>
            <w:r>
              <w:rPr>
                <w:rFonts w:hint="eastAsia" w:ascii="宋体" w:hAnsi="宋体" w:eastAsia="宋体"/>
                <w:color w:val="auto"/>
              </w:rPr>
              <w:t>0.0012</w:t>
            </w:r>
          </w:p>
        </w:tc>
        <w:tc>
          <w:tcPr>
            <w:tcW w:w="715" w:type="pct"/>
            <w:shd w:val="clear" w:color="auto" w:fill="auto"/>
            <w:vAlign w:val="center"/>
          </w:tcPr>
          <w:p w14:paraId="7C93A17D">
            <w:pPr>
              <w:snapToGrid w:val="0"/>
              <w:jc w:val="center"/>
              <w:rPr>
                <w:rFonts w:ascii="宋体" w:hAnsi="宋体" w:eastAsia="宋体" w:cs="Times New Roman"/>
                <w:color w:val="auto"/>
              </w:rPr>
            </w:pPr>
            <w:r>
              <w:rPr>
                <w:rFonts w:hint="eastAsia" w:ascii="宋体" w:hAnsi="宋体" w:eastAsia="宋体"/>
                <w:color w:val="auto"/>
              </w:rPr>
              <w:t>0.0007264</w:t>
            </w:r>
          </w:p>
        </w:tc>
        <w:tc>
          <w:tcPr>
            <w:tcW w:w="271" w:type="pct"/>
            <w:shd w:val="clear" w:color="auto" w:fill="auto"/>
            <w:vAlign w:val="center"/>
          </w:tcPr>
          <w:p w14:paraId="46A730D2">
            <w:pPr>
              <w:snapToGrid w:val="0"/>
              <w:jc w:val="center"/>
              <w:rPr>
                <w:rFonts w:ascii="宋体" w:hAnsi="宋体" w:eastAsia="宋体" w:cs="Times New Roman"/>
                <w:color w:val="auto"/>
              </w:rPr>
            </w:pPr>
            <w:r>
              <w:rPr>
                <w:rFonts w:ascii="宋体" w:hAnsi="宋体" w:eastAsia="宋体" w:cs="Times New Roman"/>
                <w:color w:val="auto"/>
              </w:rPr>
              <w:t>34</w:t>
            </w:r>
          </w:p>
        </w:tc>
        <w:tc>
          <w:tcPr>
            <w:tcW w:w="975" w:type="pct"/>
            <w:shd w:val="clear" w:color="auto" w:fill="auto"/>
            <w:vAlign w:val="center"/>
          </w:tcPr>
          <w:p w14:paraId="1708BE3C">
            <w:pPr>
              <w:jc w:val="center"/>
              <w:rPr>
                <w:rFonts w:ascii="宋体" w:hAnsi="宋体" w:eastAsia="宋体" w:cs="Times New Roman"/>
                <w:color w:val="auto"/>
              </w:rPr>
            </w:pPr>
            <w:r>
              <w:rPr>
                <w:rFonts w:ascii="宋体" w:hAnsi="宋体" w:eastAsia="宋体" w:cs="Times New Roman"/>
                <w:snapToGrid w:val="0"/>
                <w:color w:val="auto"/>
              </w:rPr>
              <w:t>苯并[k]荧蒽</w:t>
            </w:r>
          </w:p>
        </w:tc>
        <w:tc>
          <w:tcPr>
            <w:tcW w:w="699" w:type="pct"/>
            <w:shd w:val="clear" w:color="auto" w:fill="auto"/>
            <w:vAlign w:val="center"/>
          </w:tcPr>
          <w:p w14:paraId="4576C463">
            <w:pPr>
              <w:jc w:val="center"/>
              <w:rPr>
                <w:rFonts w:ascii="宋体" w:hAnsi="宋体" w:eastAsia="宋体" w:cs="Times New Roman"/>
                <w:color w:val="auto"/>
              </w:rPr>
            </w:pPr>
            <w:r>
              <w:rPr>
                <w:rFonts w:hint="eastAsia" w:ascii="宋体" w:hAnsi="宋体" w:eastAsia="宋体"/>
                <w:color w:val="auto"/>
              </w:rPr>
              <w:t>0.033333</w:t>
            </w:r>
          </w:p>
        </w:tc>
        <w:tc>
          <w:tcPr>
            <w:tcW w:w="715" w:type="pct"/>
            <w:shd w:val="clear" w:color="auto" w:fill="auto"/>
            <w:vAlign w:val="center"/>
          </w:tcPr>
          <w:p w14:paraId="7858D377">
            <w:pPr>
              <w:jc w:val="center"/>
              <w:rPr>
                <w:rFonts w:ascii="宋体" w:hAnsi="宋体" w:eastAsia="宋体"/>
                <w:color w:val="auto"/>
              </w:rPr>
            </w:pPr>
            <w:r>
              <w:rPr>
                <w:rFonts w:hint="eastAsia" w:ascii="宋体" w:hAnsi="宋体" w:eastAsia="宋体"/>
                <w:color w:val="auto"/>
              </w:rPr>
              <w:t>6.053E-05</w:t>
            </w:r>
          </w:p>
        </w:tc>
      </w:tr>
      <w:tr w14:paraId="0B44F7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088A5375">
            <w:pPr>
              <w:snapToGrid w:val="0"/>
              <w:jc w:val="center"/>
              <w:rPr>
                <w:rFonts w:ascii="宋体" w:hAnsi="宋体" w:eastAsia="宋体" w:cs="Times New Roman"/>
                <w:color w:val="auto"/>
              </w:rPr>
            </w:pPr>
            <w:r>
              <w:rPr>
                <w:rFonts w:ascii="宋体" w:hAnsi="宋体" w:eastAsia="宋体" w:cs="Times New Roman"/>
                <w:color w:val="auto"/>
              </w:rPr>
              <w:t>16</w:t>
            </w:r>
          </w:p>
        </w:tc>
        <w:tc>
          <w:tcPr>
            <w:tcW w:w="750" w:type="pct"/>
            <w:shd w:val="clear" w:color="auto" w:fill="auto"/>
            <w:vAlign w:val="center"/>
          </w:tcPr>
          <w:p w14:paraId="3DB0526C">
            <w:pPr>
              <w:jc w:val="center"/>
              <w:rPr>
                <w:rFonts w:ascii="宋体" w:hAnsi="宋体" w:eastAsia="宋体" w:cs="Times New Roman"/>
                <w:color w:val="auto"/>
              </w:rPr>
            </w:pPr>
            <w:r>
              <w:rPr>
                <w:rFonts w:ascii="宋体" w:hAnsi="宋体" w:eastAsia="宋体" w:cs="Times New Roman"/>
                <w:snapToGrid w:val="0"/>
                <w:color w:val="auto"/>
              </w:rPr>
              <w:t>三氯乙烯</w:t>
            </w:r>
          </w:p>
        </w:tc>
        <w:tc>
          <w:tcPr>
            <w:tcW w:w="640" w:type="pct"/>
            <w:shd w:val="clear" w:color="auto" w:fill="auto"/>
            <w:vAlign w:val="center"/>
          </w:tcPr>
          <w:p w14:paraId="3056DC6E">
            <w:pPr>
              <w:jc w:val="center"/>
              <w:rPr>
                <w:rFonts w:ascii="宋体" w:hAnsi="宋体" w:eastAsia="宋体" w:cs="Times New Roman"/>
                <w:color w:val="auto"/>
              </w:rPr>
            </w:pPr>
            <w:r>
              <w:rPr>
                <w:rFonts w:hint="eastAsia" w:ascii="宋体" w:hAnsi="宋体" w:eastAsia="宋体"/>
                <w:color w:val="auto"/>
              </w:rPr>
              <w:t>0.001163</w:t>
            </w:r>
          </w:p>
        </w:tc>
        <w:tc>
          <w:tcPr>
            <w:tcW w:w="715" w:type="pct"/>
            <w:shd w:val="clear" w:color="auto" w:fill="auto"/>
            <w:vAlign w:val="center"/>
          </w:tcPr>
          <w:p w14:paraId="0F534566">
            <w:pPr>
              <w:snapToGrid w:val="0"/>
              <w:jc w:val="center"/>
              <w:rPr>
                <w:rFonts w:ascii="宋体" w:hAnsi="宋体" w:eastAsia="宋体" w:cs="Times New Roman"/>
                <w:color w:val="auto"/>
              </w:rPr>
            </w:pPr>
            <w:r>
              <w:rPr>
                <w:rFonts w:hint="eastAsia" w:ascii="宋体" w:hAnsi="宋体" w:eastAsia="宋体"/>
                <w:color w:val="auto"/>
              </w:rPr>
              <w:t>0.0007264</w:t>
            </w:r>
          </w:p>
        </w:tc>
        <w:tc>
          <w:tcPr>
            <w:tcW w:w="271" w:type="pct"/>
            <w:shd w:val="clear" w:color="auto" w:fill="auto"/>
            <w:vAlign w:val="center"/>
          </w:tcPr>
          <w:p w14:paraId="089A20F1">
            <w:pPr>
              <w:snapToGrid w:val="0"/>
              <w:jc w:val="center"/>
              <w:rPr>
                <w:rFonts w:ascii="宋体" w:hAnsi="宋体" w:eastAsia="宋体" w:cs="Times New Roman"/>
                <w:color w:val="auto"/>
              </w:rPr>
            </w:pPr>
            <w:r>
              <w:rPr>
                <w:rFonts w:ascii="宋体" w:hAnsi="宋体" w:eastAsia="宋体" w:cs="Times New Roman"/>
                <w:color w:val="auto"/>
              </w:rPr>
              <w:t>35</w:t>
            </w:r>
          </w:p>
        </w:tc>
        <w:tc>
          <w:tcPr>
            <w:tcW w:w="975" w:type="pct"/>
            <w:shd w:val="clear" w:color="auto" w:fill="auto"/>
            <w:vAlign w:val="center"/>
          </w:tcPr>
          <w:p w14:paraId="1BEE6A96">
            <w:pPr>
              <w:jc w:val="center"/>
              <w:rPr>
                <w:rFonts w:ascii="宋体" w:hAnsi="宋体" w:eastAsia="宋体" w:cs="Times New Roman"/>
                <w:color w:val="auto"/>
              </w:rPr>
            </w:pPr>
            <w:r>
              <w:rPr>
                <w:rFonts w:ascii="宋体" w:hAnsi="宋体" w:eastAsia="宋体" w:cs="Times New Roman"/>
                <w:snapToGrid w:val="0"/>
                <w:color w:val="auto"/>
              </w:rPr>
              <w:t>䓛</w:t>
            </w:r>
          </w:p>
        </w:tc>
        <w:tc>
          <w:tcPr>
            <w:tcW w:w="699" w:type="pct"/>
            <w:shd w:val="clear" w:color="auto" w:fill="auto"/>
            <w:vAlign w:val="center"/>
          </w:tcPr>
          <w:p w14:paraId="247BB657">
            <w:pPr>
              <w:jc w:val="center"/>
              <w:rPr>
                <w:rFonts w:ascii="宋体" w:hAnsi="宋体" w:eastAsia="宋体" w:cs="Times New Roman"/>
                <w:color w:val="auto"/>
              </w:rPr>
            </w:pPr>
            <w:r>
              <w:rPr>
                <w:rFonts w:hint="eastAsia" w:ascii="宋体" w:hAnsi="宋体" w:eastAsia="宋体"/>
                <w:color w:val="auto"/>
              </w:rPr>
              <w:t>0.003333</w:t>
            </w:r>
          </w:p>
        </w:tc>
        <w:tc>
          <w:tcPr>
            <w:tcW w:w="715" w:type="pct"/>
            <w:shd w:val="clear" w:color="auto" w:fill="auto"/>
            <w:vAlign w:val="center"/>
          </w:tcPr>
          <w:p w14:paraId="390EE3C6">
            <w:pPr>
              <w:jc w:val="center"/>
              <w:rPr>
                <w:rFonts w:ascii="宋体" w:hAnsi="宋体" w:eastAsia="宋体"/>
                <w:color w:val="auto"/>
              </w:rPr>
            </w:pPr>
            <w:r>
              <w:rPr>
                <w:rFonts w:hint="eastAsia" w:ascii="宋体" w:hAnsi="宋体" w:eastAsia="宋体"/>
                <w:color w:val="auto"/>
              </w:rPr>
              <w:t>0.0006053</w:t>
            </w:r>
          </w:p>
        </w:tc>
      </w:tr>
      <w:tr w14:paraId="386C6A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6FD00CAD">
            <w:pPr>
              <w:snapToGrid w:val="0"/>
              <w:jc w:val="center"/>
              <w:rPr>
                <w:rFonts w:ascii="宋体" w:hAnsi="宋体" w:eastAsia="宋体" w:cs="Times New Roman"/>
                <w:color w:val="auto"/>
              </w:rPr>
            </w:pPr>
            <w:r>
              <w:rPr>
                <w:rFonts w:ascii="宋体" w:hAnsi="宋体" w:eastAsia="宋体" w:cs="Times New Roman"/>
                <w:color w:val="auto"/>
              </w:rPr>
              <w:t>17</w:t>
            </w:r>
          </w:p>
        </w:tc>
        <w:tc>
          <w:tcPr>
            <w:tcW w:w="750" w:type="pct"/>
            <w:shd w:val="clear" w:color="auto" w:fill="auto"/>
            <w:vAlign w:val="center"/>
          </w:tcPr>
          <w:p w14:paraId="1B834289">
            <w:pPr>
              <w:jc w:val="center"/>
              <w:rPr>
                <w:rFonts w:ascii="宋体" w:hAnsi="宋体" w:eastAsia="宋体" w:cs="Times New Roman"/>
                <w:color w:val="auto"/>
              </w:rPr>
            </w:pPr>
            <w:r>
              <w:rPr>
                <w:rFonts w:ascii="宋体" w:hAnsi="宋体" w:eastAsia="宋体" w:cs="Times New Roman"/>
                <w:snapToGrid w:val="0"/>
                <w:color w:val="auto"/>
              </w:rPr>
              <w:t>1,2,3-三氯丙烷</w:t>
            </w:r>
          </w:p>
        </w:tc>
        <w:tc>
          <w:tcPr>
            <w:tcW w:w="640" w:type="pct"/>
            <w:shd w:val="clear" w:color="auto" w:fill="auto"/>
            <w:vAlign w:val="center"/>
          </w:tcPr>
          <w:p w14:paraId="159C34A6">
            <w:pPr>
              <w:jc w:val="center"/>
              <w:rPr>
                <w:rFonts w:ascii="宋体" w:hAnsi="宋体" w:eastAsia="宋体" w:cs="Times New Roman"/>
                <w:color w:val="auto"/>
              </w:rPr>
            </w:pPr>
            <w:r>
              <w:rPr>
                <w:rFonts w:hint="eastAsia" w:ascii="宋体" w:hAnsi="宋体" w:eastAsia="宋体"/>
                <w:color w:val="auto"/>
              </w:rPr>
              <w:t>0.000238</w:t>
            </w:r>
          </w:p>
        </w:tc>
        <w:tc>
          <w:tcPr>
            <w:tcW w:w="715" w:type="pct"/>
            <w:shd w:val="clear" w:color="auto" w:fill="auto"/>
            <w:vAlign w:val="center"/>
          </w:tcPr>
          <w:p w14:paraId="249C8498">
            <w:pPr>
              <w:snapToGrid w:val="0"/>
              <w:jc w:val="center"/>
              <w:rPr>
                <w:rFonts w:ascii="宋体" w:hAnsi="宋体" w:eastAsia="宋体" w:cs="Times New Roman"/>
                <w:color w:val="auto"/>
              </w:rPr>
            </w:pPr>
            <w:r>
              <w:rPr>
                <w:rFonts w:hint="eastAsia" w:ascii="宋体" w:hAnsi="宋体" w:eastAsia="宋体"/>
                <w:color w:val="auto"/>
              </w:rPr>
              <w:t>0.0007264</w:t>
            </w:r>
          </w:p>
        </w:tc>
        <w:tc>
          <w:tcPr>
            <w:tcW w:w="271" w:type="pct"/>
            <w:shd w:val="clear" w:color="auto" w:fill="auto"/>
            <w:vAlign w:val="center"/>
          </w:tcPr>
          <w:p w14:paraId="23978F37">
            <w:pPr>
              <w:snapToGrid w:val="0"/>
              <w:jc w:val="center"/>
              <w:rPr>
                <w:rFonts w:ascii="宋体" w:hAnsi="宋体" w:eastAsia="宋体" w:cs="Times New Roman"/>
                <w:color w:val="auto"/>
              </w:rPr>
            </w:pPr>
            <w:r>
              <w:rPr>
                <w:rFonts w:ascii="宋体" w:hAnsi="宋体" w:eastAsia="宋体" w:cs="Times New Roman"/>
                <w:color w:val="auto"/>
              </w:rPr>
              <w:t>36</w:t>
            </w:r>
          </w:p>
        </w:tc>
        <w:tc>
          <w:tcPr>
            <w:tcW w:w="975" w:type="pct"/>
            <w:shd w:val="clear" w:color="auto" w:fill="auto"/>
            <w:vAlign w:val="center"/>
          </w:tcPr>
          <w:p w14:paraId="085DFC36">
            <w:pPr>
              <w:jc w:val="center"/>
              <w:rPr>
                <w:rFonts w:ascii="宋体" w:hAnsi="宋体" w:eastAsia="宋体" w:cs="Times New Roman"/>
                <w:color w:val="auto"/>
              </w:rPr>
            </w:pPr>
            <w:r>
              <w:rPr>
                <w:rFonts w:ascii="宋体" w:hAnsi="宋体" w:eastAsia="宋体" w:cs="Times New Roman"/>
                <w:snapToGrid w:val="0"/>
                <w:color w:val="auto"/>
              </w:rPr>
              <w:t>二苯并[a, h]蒽</w:t>
            </w:r>
          </w:p>
        </w:tc>
        <w:tc>
          <w:tcPr>
            <w:tcW w:w="699" w:type="pct"/>
            <w:shd w:val="clear" w:color="auto" w:fill="auto"/>
            <w:vAlign w:val="center"/>
          </w:tcPr>
          <w:p w14:paraId="18A1652F">
            <w:pPr>
              <w:jc w:val="center"/>
              <w:rPr>
                <w:rFonts w:ascii="宋体" w:hAnsi="宋体" w:eastAsia="宋体" w:cs="Times New Roman"/>
                <w:color w:val="auto"/>
              </w:rPr>
            </w:pPr>
            <w:r>
              <w:rPr>
                <w:rFonts w:hint="eastAsia" w:ascii="宋体" w:hAnsi="宋体" w:eastAsia="宋体"/>
                <w:color w:val="auto"/>
              </w:rPr>
              <w:t>0.000643</w:t>
            </w:r>
          </w:p>
        </w:tc>
        <w:tc>
          <w:tcPr>
            <w:tcW w:w="715" w:type="pct"/>
            <w:shd w:val="clear" w:color="auto" w:fill="auto"/>
            <w:vAlign w:val="center"/>
          </w:tcPr>
          <w:p w14:paraId="02B36D15">
            <w:pPr>
              <w:jc w:val="center"/>
              <w:rPr>
                <w:rFonts w:ascii="宋体" w:hAnsi="宋体" w:eastAsia="宋体"/>
                <w:color w:val="auto"/>
              </w:rPr>
            </w:pPr>
            <w:r>
              <w:rPr>
                <w:rFonts w:hint="eastAsia" w:ascii="宋体" w:hAnsi="宋体" w:eastAsia="宋体"/>
                <w:color w:val="auto"/>
              </w:rPr>
              <w:t>0.0006053</w:t>
            </w:r>
          </w:p>
        </w:tc>
      </w:tr>
      <w:tr w14:paraId="4804C8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32319531">
            <w:pPr>
              <w:snapToGrid w:val="0"/>
              <w:jc w:val="center"/>
              <w:rPr>
                <w:rFonts w:ascii="宋体" w:hAnsi="宋体" w:eastAsia="宋体" w:cs="Times New Roman"/>
                <w:color w:val="auto"/>
              </w:rPr>
            </w:pPr>
            <w:r>
              <w:rPr>
                <w:rFonts w:ascii="宋体" w:hAnsi="宋体" w:eastAsia="宋体" w:cs="Times New Roman"/>
                <w:color w:val="auto"/>
              </w:rPr>
              <w:t>18</w:t>
            </w:r>
          </w:p>
        </w:tc>
        <w:tc>
          <w:tcPr>
            <w:tcW w:w="750" w:type="pct"/>
            <w:shd w:val="clear" w:color="auto" w:fill="auto"/>
            <w:vAlign w:val="center"/>
          </w:tcPr>
          <w:p w14:paraId="333551AB">
            <w:pPr>
              <w:jc w:val="center"/>
              <w:rPr>
                <w:rFonts w:ascii="宋体" w:hAnsi="宋体" w:eastAsia="宋体" w:cs="Times New Roman"/>
                <w:color w:val="auto"/>
              </w:rPr>
            </w:pPr>
            <w:r>
              <w:rPr>
                <w:rFonts w:ascii="宋体" w:hAnsi="宋体" w:eastAsia="宋体" w:cs="Times New Roman"/>
                <w:snapToGrid w:val="0"/>
                <w:color w:val="auto"/>
              </w:rPr>
              <w:t>氯乙烯</w:t>
            </w:r>
          </w:p>
        </w:tc>
        <w:tc>
          <w:tcPr>
            <w:tcW w:w="640" w:type="pct"/>
            <w:shd w:val="clear" w:color="auto" w:fill="auto"/>
            <w:vAlign w:val="center"/>
          </w:tcPr>
          <w:p w14:paraId="1F8AD0EF">
            <w:pPr>
              <w:jc w:val="center"/>
              <w:rPr>
                <w:rFonts w:ascii="宋体" w:hAnsi="宋体" w:eastAsia="宋体" w:cs="Times New Roman"/>
                <w:color w:val="auto"/>
              </w:rPr>
            </w:pPr>
            <w:r>
              <w:rPr>
                <w:rFonts w:hint="eastAsia" w:ascii="宋体" w:hAnsi="宋体" w:eastAsia="宋体"/>
                <w:color w:val="auto"/>
              </w:rPr>
              <w:t>0.000002</w:t>
            </w:r>
          </w:p>
        </w:tc>
        <w:tc>
          <w:tcPr>
            <w:tcW w:w="715" w:type="pct"/>
            <w:shd w:val="clear" w:color="auto" w:fill="auto"/>
            <w:vAlign w:val="center"/>
          </w:tcPr>
          <w:p w14:paraId="2B7E2310">
            <w:pPr>
              <w:snapToGrid w:val="0"/>
              <w:jc w:val="center"/>
              <w:rPr>
                <w:rFonts w:ascii="宋体" w:hAnsi="宋体" w:eastAsia="宋体" w:cs="Times New Roman"/>
                <w:color w:val="auto"/>
              </w:rPr>
            </w:pPr>
            <w:r>
              <w:rPr>
                <w:rFonts w:hint="eastAsia" w:ascii="宋体" w:hAnsi="宋体" w:eastAsia="宋体"/>
                <w:color w:val="auto"/>
              </w:rPr>
              <w:t>0.0006053</w:t>
            </w:r>
          </w:p>
        </w:tc>
        <w:tc>
          <w:tcPr>
            <w:tcW w:w="271" w:type="pct"/>
            <w:shd w:val="clear" w:color="auto" w:fill="auto"/>
            <w:vAlign w:val="center"/>
          </w:tcPr>
          <w:p w14:paraId="2113E62B">
            <w:pPr>
              <w:snapToGrid w:val="0"/>
              <w:jc w:val="center"/>
              <w:rPr>
                <w:rFonts w:ascii="宋体" w:hAnsi="宋体" w:eastAsia="宋体" w:cs="Times New Roman"/>
                <w:color w:val="auto"/>
              </w:rPr>
            </w:pPr>
            <w:r>
              <w:rPr>
                <w:rFonts w:ascii="宋体" w:hAnsi="宋体" w:eastAsia="宋体" w:cs="Times New Roman"/>
                <w:color w:val="auto"/>
              </w:rPr>
              <w:t>37</w:t>
            </w:r>
          </w:p>
        </w:tc>
        <w:tc>
          <w:tcPr>
            <w:tcW w:w="975" w:type="pct"/>
            <w:shd w:val="clear" w:color="auto" w:fill="auto"/>
            <w:vAlign w:val="center"/>
          </w:tcPr>
          <w:p w14:paraId="1371D2CB">
            <w:pPr>
              <w:jc w:val="center"/>
              <w:rPr>
                <w:rFonts w:ascii="宋体" w:hAnsi="宋体" w:eastAsia="宋体" w:cs="Times New Roman"/>
                <w:color w:val="auto"/>
              </w:rPr>
            </w:pPr>
            <w:r>
              <w:rPr>
                <w:rFonts w:ascii="宋体" w:hAnsi="宋体" w:eastAsia="宋体" w:cs="Times New Roman"/>
                <w:snapToGrid w:val="0"/>
                <w:color w:val="auto"/>
              </w:rPr>
              <w:t>茚并[1,2,3-cd]芘</w:t>
            </w:r>
          </w:p>
        </w:tc>
        <w:tc>
          <w:tcPr>
            <w:tcW w:w="699" w:type="pct"/>
            <w:shd w:val="clear" w:color="auto" w:fill="auto"/>
            <w:vAlign w:val="center"/>
          </w:tcPr>
          <w:p w14:paraId="10B0810D">
            <w:pPr>
              <w:jc w:val="center"/>
              <w:rPr>
                <w:rFonts w:ascii="宋体" w:hAnsi="宋体" w:eastAsia="宋体" w:cs="Times New Roman"/>
                <w:color w:val="auto"/>
              </w:rPr>
            </w:pPr>
            <w:r>
              <w:rPr>
                <w:rFonts w:hint="eastAsia" w:ascii="宋体" w:hAnsi="宋体" w:eastAsia="宋体"/>
                <w:color w:val="auto"/>
              </w:rPr>
              <w:t>0.014889</w:t>
            </w:r>
          </w:p>
        </w:tc>
        <w:tc>
          <w:tcPr>
            <w:tcW w:w="715" w:type="pct"/>
            <w:shd w:val="clear" w:color="auto" w:fill="auto"/>
            <w:vAlign w:val="center"/>
          </w:tcPr>
          <w:p w14:paraId="5E539840">
            <w:pPr>
              <w:jc w:val="center"/>
              <w:rPr>
                <w:rFonts w:ascii="宋体" w:hAnsi="宋体" w:eastAsia="宋体"/>
                <w:color w:val="auto"/>
              </w:rPr>
            </w:pPr>
            <w:r>
              <w:rPr>
                <w:rFonts w:hint="eastAsia" w:ascii="宋体" w:hAnsi="宋体" w:eastAsia="宋体"/>
                <w:color w:val="auto"/>
              </w:rPr>
              <w:t>6.053E-05</w:t>
            </w:r>
          </w:p>
        </w:tc>
      </w:tr>
      <w:tr w14:paraId="3026F6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6" w:type="pct"/>
            <w:shd w:val="clear" w:color="auto" w:fill="auto"/>
            <w:vAlign w:val="center"/>
          </w:tcPr>
          <w:p w14:paraId="7A9A7231">
            <w:pPr>
              <w:snapToGrid w:val="0"/>
              <w:jc w:val="center"/>
              <w:rPr>
                <w:rFonts w:ascii="宋体" w:hAnsi="宋体" w:eastAsia="宋体" w:cs="Times New Roman"/>
                <w:color w:val="auto"/>
              </w:rPr>
            </w:pPr>
            <w:r>
              <w:rPr>
                <w:rFonts w:ascii="宋体" w:hAnsi="宋体" w:eastAsia="宋体" w:cs="Times New Roman"/>
                <w:color w:val="auto"/>
              </w:rPr>
              <w:t>19</w:t>
            </w:r>
          </w:p>
        </w:tc>
        <w:tc>
          <w:tcPr>
            <w:tcW w:w="750" w:type="pct"/>
            <w:shd w:val="clear" w:color="auto" w:fill="auto"/>
            <w:vAlign w:val="center"/>
          </w:tcPr>
          <w:p w14:paraId="121BAC94">
            <w:pPr>
              <w:jc w:val="center"/>
              <w:rPr>
                <w:rFonts w:ascii="宋体" w:hAnsi="宋体" w:eastAsia="宋体" w:cs="Times New Roman"/>
                <w:color w:val="auto"/>
              </w:rPr>
            </w:pPr>
            <w:r>
              <w:rPr>
                <w:rFonts w:ascii="宋体" w:hAnsi="宋体" w:eastAsia="宋体" w:cs="Times New Roman"/>
                <w:snapToGrid w:val="0"/>
                <w:color w:val="auto"/>
              </w:rPr>
              <w:t>苯</w:t>
            </w:r>
          </w:p>
        </w:tc>
        <w:tc>
          <w:tcPr>
            <w:tcW w:w="640" w:type="pct"/>
            <w:shd w:val="clear" w:color="auto" w:fill="auto"/>
            <w:vAlign w:val="center"/>
          </w:tcPr>
          <w:p w14:paraId="4AB85719">
            <w:pPr>
              <w:jc w:val="center"/>
              <w:rPr>
                <w:rFonts w:ascii="宋体" w:hAnsi="宋体" w:eastAsia="宋体" w:cs="Times New Roman"/>
                <w:color w:val="auto"/>
              </w:rPr>
            </w:pPr>
            <w:r>
              <w:rPr>
                <w:rFonts w:hint="eastAsia" w:ascii="宋体" w:hAnsi="宋体" w:eastAsia="宋体"/>
                <w:color w:val="auto"/>
              </w:rPr>
              <w:t>0.000001</w:t>
            </w:r>
          </w:p>
        </w:tc>
        <w:tc>
          <w:tcPr>
            <w:tcW w:w="715" w:type="pct"/>
            <w:shd w:val="clear" w:color="auto" w:fill="auto"/>
            <w:vAlign w:val="center"/>
          </w:tcPr>
          <w:p w14:paraId="1CF22FCD">
            <w:pPr>
              <w:snapToGrid w:val="0"/>
              <w:jc w:val="center"/>
              <w:rPr>
                <w:rFonts w:ascii="宋体" w:hAnsi="宋体" w:eastAsia="宋体" w:cs="Times New Roman"/>
                <w:color w:val="auto"/>
              </w:rPr>
            </w:pPr>
            <w:r>
              <w:rPr>
                <w:rFonts w:hint="eastAsia" w:ascii="宋体" w:hAnsi="宋体" w:eastAsia="宋体"/>
                <w:color w:val="auto"/>
              </w:rPr>
              <w:t>0.0011501</w:t>
            </w:r>
          </w:p>
        </w:tc>
        <w:tc>
          <w:tcPr>
            <w:tcW w:w="271" w:type="pct"/>
            <w:shd w:val="clear" w:color="auto" w:fill="auto"/>
            <w:vAlign w:val="center"/>
          </w:tcPr>
          <w:p w14:paraId="12209D86">
            <w:pPr>
              <w:snapToGrid w:val="0"/>
              <w:jc w:val="center"/>
              <w:rPr>
                <w:rFonts w:ascii="宋体" w:hAnsi="宋体" w:eastAsia="宋体" w:cs="Times New Roman"/>
                <w:color w:val="auto"/>
              </w:rPr>
            </w:pPr>
            <w:r>
              <w:rPr>
                <w:rFonts w:ascii="宋体" w:hAnsi="宋体" w:eastAsia="宋体" w:cs="Times New Roman"/>
                <w:color w:val="auto"/>
              </w:rPr>
              <w:t>38</w:t>
            </w:r>
          </w:p>
        </w:tc>
        <w:tc>
          <w:tcPr>
            <w:tcW w:w="975" w:type="pct"/>
            <w:shd w:val="clear" w:color="auto" w:fill="auto"/>
            <w:vAlign w:val="center"/>
          </w:tcPr>
          <w:p w14:paraId="0847CD30">
            <w:pPr>
              <w:jc w:val="center"/>
              <w:rPr>
                <w:rFonts w:ascii="宋体" w:hAnsi="宋体" w:eastAsia="宋体" w:cs="Times New Roman"/>
                <w:color w:val="auto"/>
              </w:rPr>
            </w:pPr>
            <w:r>
              <w:rPr>
                <w:rFonts w:ascii="宋体" w:hAnsi="宋体" w:eastAsia="宋体" w:cs="Times New Roman"/>
                <w:snapToGrid w:val="0"/>
                <w:color w:val="auto"/>
              </w:rPr>
              <w:t>萘</w:t>
            </w:r>
          </w:p>
        </w:tc>
        <w:tc>
          <w:tcPr>
            <w:tcW w:w="699" w:type="pct"/>
            <w:shd w:val="clear" w:color="auto" w:fill="auto"/>
            <w:vAlign w:val="center"/>
          </w:tcPr>
          <w:p w14:paraId="4597640F">
            <w:pPr>
              <w:jc w:val="center"/>
              <w:rPr>
                <w:rFonts w:ascii="宋体" w:hAnsi="宋体" w:eastAsia="宋体" w:cs="Times New Roman"/>
                <w:color w:val="auto"/>
              </w:rPr>
            </w:pPr>
            <w:r>
              <w:rPr>
                <w:rFonts w:hint="eastAsia" w:ascii="宋体" w:hAnsi="宋体" w:eastAsia="宋体"/>
                <w:color w:val="auto"/>
              </w:rPr>
              <w:t>0.042667</w:t>
            </w:r>
          </w:p>
        </w:tc>
        <w:tc>
          <w:tcPr>
            <w:tcW w:w="715" w:type="pct"/>
            <w:shd w:val="clear" w:color="auto" w:fill="auto"/>
            <w:vAlign w:val="center"/>
          </w:tcPr>
          <w:p w14:paraId="5BE66113">
            <w:pPr>
              <w:jc w:val="center"/>
              <w:rPr>
                <w:rFonts w:ascii="宋体" w:hAnsi="宋体" w:eastAsia="宋体"/>
                <w:color w:val="auto"/>
              </w:rPr>
            </w:pPr>
            <w:r>
              <w:rPr>
                <w:rFonts w:hint="eastAsia" w:ascii="宋体" w:hAnsi="宋体" w:eastAsia="宋体"/>
                <w:color w:val="auto"/>
              </w:rPr>
              <w:t>5.448E-05</w:t>
            </w:r>
          </w:p>
        </w:tc>
      </w:tr>
    </w:tbl>
    <w:p w14:paraId="61D091CC">
      <w:pPr>
        <w:adjustRightInd w:val="0"/>
        <w:snapToGrid w:val="0"/>
        <w:spacing w:line="500" w:lineRule="exact"/>
        <w:ind w:firstLine="420" w:firstLineChars="200"/>
        <w:jc w:val="center"/>
        <w:rPr>
          <w:rFonts w:ascii="宋体" w:hAnsi="宋体" w:eastAsia="宋体" w:cs="Times New Roman"/>
          <w:color w:val="auto"/>
          <w:kern w:val="21"/>
          <w:lang w:bidi="zh-CN"/>
        </w:rPr>
      </w:pPr>
      <w:r>
        <w:rPr>
          <w:rFonts w:ascii="宋体" w:hAnsi="宋体" w:eastAsia="宋体" w:cs="Times New Roman"/>
          <w:color w:val="auto"/>
          <w:kern w:val="21"/>
          <w:lang w:bidi="zh-CN"/>
        </w:rPr>
        <w:t>表4.2-2</w:t>
      </w:r>
      <w:r>
        <w:rPr>
          <w:rFonts w:hint="eastAsia" w:ascii="宋体" w:hAnsi="宋体" w:eastAsia="宋体" w:cs="Times New Roman"/>
          <w:color w:val="auto"/>
          <w:kern w:val="21"/>
          <w:lang w:bidi="zh-CN"/>
        </w:rPr>
        <w:t>5</w:t>
      </w:r>
      <w:r>
        <w:rPr>
          <w:rFonts w:ascii="宋体" w:hAnsi="宋体" w:eastAsia="宋体" w:cs="Times New Roman"/>
          <w:color w:val="auto"/>
          <w:kern w:val="21"/>
          <w:lang w:bidi="zh-CN"/>
        </w:rPr>
        <w:t xml:space="preserve">   农用地土壤环境质量现状评价结果</w:t>
      </w:r>
    </w:p>
    <w:tbl>
      <w:tblPr>
        <w:tblStyle w:val="81"/>
        <w:tblW w:w="5000" w:type="pct"/>
        <w:jc w:val="center"/>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Layout w:type="autofit"/>
        <w:tblCellMar>
          <w:top w:w="0" w:type="dxa"/>
          <w:left w:w="108" w:type="dxa"/>
          <w:bottom w:w="0" w:type="dxa"/>
          <w:right w:w="108" w:type="dxa"/>
        </w:tblCellMar>
      </w:tblPr>
      <w:tblGrid>
        <w:gridCol w:w="2998"/>
        <w:gridCol w:w="2151"/>
        <w:gridCol w:w="2149"/>
        <w:gridCol w:w="1989"/>
      </w:tblGrid>
      <w:tr w14:paraId="2320E0C4">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vMerge w:val="restart"/>
            <w:shd w:val="clear" w:color="auto" w:fill="auto"/>
            <w:vAlign w:val="center"/>
          </w:tcPr>
          <w:p w14:paraId="19761CFF">
            <w:pPr>
              <w:adjustRightInd w:val="0"/>
              <w:snapToGrid w:val="0"/>
              <w:jc w:val="center"/>
              <w:rPr>
                <w:rFonts w:ascii="宋体" w:hAnsi="宋体" w:eastAsia="宋体" w:cs="Times New Roman"/>
                <w:color w:val="auto"/>
              </w:rPr>
            </w:pPr>
            <w:r>
              <w:rPr>
                <w:rFonts w:ascii="宋体" w:hAnsi="宋体" w:eastAsia="宋体" w:cs="Times New Roman"/>
                <w:color w:val="auto"/>
              </w:rPr>
              <w:t>监测项目</w:t>
            </w:r>
          </w:p>
        </w:tc>
        <w:tc>
          <w:tcPr>
            <w:tcW w:w="3386" w:type="pct"/>
            <w:gridSpan w:val="3"/>
            <w:shd w:val="clear" w:color="auto" w:fill="auto"/>
            <w:vAlign w:val="center"/>
          </w:tcPr>
          <w:p w14:paraId="63432CF7">
            <w:pPr>
              <w:adjustRightInd w:val="0"/>
              <w:snapToGrid w:val="0"/>
              <w:jc w:val="center"/>
              <w:rPr>
                <w:rFonts w:ascii="宋体" w:hAnsi="宋体" w:eastAsia="宋体" w:cs="Times New Roman"/>
                <w:color w:val="auto"/>
              </w:rPr>
            </w:pPr>
            <w:r>
              <w:rPr>
                <w:rFonts w:ascii="宋体" w:hAnsi="宋体" w:eastAsia="宋体" w:cs="Times New Roman"/>
                <w:color w:val="auto"/>
              </w:rPr>
              <w:t>评价结果</w:t>
            </w:r>
          </w:p>
        </w:tc>
      </w:tr>
      <w:tr w14:paraId="31DEF5D6">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vMerge w:val="continue"/>
            <w:shd w:val="clear" w:color="auto" w:fill="auto"/>
            <w:vAlign w:val="center"/>
          </w:tcPr>
          <w:p w14:paraId="3F5B7B4C">
            <w:pPr>
              <w:autoSpaceDE w:val="0"/>
              <w:autoSpaceDN w:val="0"/>
              <w:adjustRightInd w:val="0"/>
              <w:jc w:val="center"/>
              <w:rPr>
                <w:rFonts w:ascii="宋体" w:hAnsi="宋体" w:eastAsia="宋体" w:cs="Times New Roman"/>
                <w:color w:val="auto"/>
              </w:rPr>
            </w:pPr>
          </w:p>
        </w:tc>
        <w:tc>
          <w:tcPr>
            <w:tcW w:w="1158" w:type="pct"/>
            <w:shd w:val="clear" w:color="auto" w:fill="auto"/>
            <w:vAlign w:val="center"/>
          </w:tcPr>
          <w:p w14:paraId="3395E003">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lang w:val="zh-CN"/>
              </w:rPr>
              <w:t>S9#</w:t>
            </w:r>
          </w:p>
          <w:p w14:paraId="17BF9EEC">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(0m-0.2m)</w:t>
            </w:r>
          </w:p>
        </w:tc>
        <w:tc>
          <w:tcPr>
            <w:tcW w:w="1157" w:type="pct"/>
            <w:shd w:val="clear" w:color="auto" w:fill="auto"/>
            <w:vAlign w:val="center"/>
          </w:tcPr>
          <w:p w14:paraId="2D407051">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lang w:val="zh-CN"/>
              </w:rPr>
              <w:t>S10#</w:t>
            </w:r>
          </w:p>
          <w:p w14:paraId="1C21B031">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(0m-0.2m)</w:t>
            </w:r>
          </w:p>
        </w:tc>
        <w:tc>
          <w:tcPr>
            <w:tcW w:w="1072" w:type="pct"/>
            <w:shd w:val="clear" w:color="auto" w:fill="auto"/>
            <w:vAlign w:val="center"/>
          </w:tcPr>
          <w:p w14:paraId="5370F655">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lang w:val="zh-CN"/>
              </w:rPr>
              <w:t>S11#</w:t>
            </w:r>
          </w:p>
          <w:p w14:paraId="2FA6ED00">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(0m-0.2m)</w:t>
            </w:r>
          </w:p>
        </w:tc>
      </w:tr>
      <w:tr w14:paraId="38351E4E">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5189EE9B">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镉（Cd）</w:t>
            </w:r>
          </w:p>
        </w:tc>
        <w:tc>
          <w:tcPr>
            <w:tcW w:w="1158" w:type="pct"/>
            <w:shd w:val="clear" w:color="auto" w:fill="auto"/>
            <w:vAlign w:val="center"/>
          </w:tcPr>
          <w:p w14:paraId="33937E4F">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0.117 </w:t>
            </w:r>
          </w:p>
        </w:tc>
        <w:tc>
          <w:tcPr>
            <w:tcW w:w="1157" w:type="pct"/>
            <w:shd w:val="clear" w:color="auto" w:fill="auto"/>
            <w:vAlign w:val="center"/>
          </w:tcPr>
          <w:p w14:paraId="3C6179E9">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0.150 </w:t>
            </w:r>
          </w:p>
        </w:tc>
        <w:tc>
          <w:tcPr>
            <w:tcW w:w="1072" w:type="pct"/>
            <w:shd w:val="clear" w:color="auto" w:fill="auto"/>
            <w:vAlign w:val="center"/>
          </w:tcPr>
          <w:p w14:paraId="028EB7FD">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0.133 </w:t>
            </w:r>
          </w:p>
        </w:tc>
      </w:tr>
      <w:tr w14:paraId="66C91083">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68D8756C">
            <w:pPr>
              <w:adjustRightInd w:val="0"/>
              <w:snapToGrid w:val="0"/>
              <w:jc w:val="center"/>
              <w:rPr>
                <w:rFonts w:ascii="宋体" w:hAnsi="宋体" w:eastAsia="宋体" w:cs="Times New Roman"/>
                <w:color w:val="auto"/>
              </w:rPr>
            </w:pPr>
            <w:r>
              <w:rPr>
                <w:rFonts w:ascii="宋体" w:hAnsi="宋体" w:eastAsia="宋体" w:cs="Times New Roman"/>
                <w:snapToGrid w:val="0"/>
                <w:color w:val="auto"/>
              </w:rPr>
              <w:t>汞（Hg）</w:t>
            </w:r>
          </w:p>
        </w:tc>
        <w:tc>
          <w:tcPr>
            <w:tcW w:w="1158" w:type="pct"/>
            <w:shd w:val="clear" w:color="auto" w:fill="auto"/>
            <w:vAlign w:val="center"/>
          </w:tcPr>
          <w:p w14:paraId="531D8DF8">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0.005 </w:t>
            </w:r>
          </w:p>
        </w:tc>
        <w:tc>
          <w:tcPr>
            <w:tcW w:w="1157" w:type="pct"/>
            <w:shd w:val="clear" w:color="auto" w:fill="auto"/>
            <w:vAlign w:val="center"/>
          </w:tcPr>
          <w:p w14:paraId="2FDC45DA">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0.005 </w:t>
            </w:r>
          </w:p>
        </w:tc>
        <w:tc>
          <w:tcPr>
            <w:tcW w:w="1072" w:type="pct"/>
            <w:shd w:val="clear" w:color="auto" w:fill="auto"/>
            <w:vAlign w:val="center"/>
          </w:tcPr>
          <w:p w14:paraId="30707F1C">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0.004 </w:t>
            </w:r>
          </w:p>
        </w:tc>
      </w:tr>
      <w:tr w14:paraId="60984FDC">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4A8B6C66">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砷（As）</w:t>
            </w:r>
          </w:p>
        </w:tc>
        <w:tc>
          <w:tcPr>
            <w:tcW w:w="1158" w:type="pct"/>
            <w:shd w:val="clear" w:color="auto" w:fill="auto"/>
            <w:vAlign w:val="center"/>
          </w:tcPr>
          <w:p w14:paraId="61CA53BA">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0.134 </w:t>
            </w:r>
          </w:p>
        </w:tc>
        <w:tc>
          <w:tcPr>
            <w:tcW w:w="1157" w:type="pct"/>
            <w:shd w:val="clear" w:color="auto" w:fill="auto"/>
            <w:vAlign w:val="center"/>
          </w:tcPr>
          <w:p w14:paraId="29FAFC22">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0.131 </w:t>
            </w:r>
          </w:p>
        </w:tc>
        <w:tc>
          <w:tcPr>
            <w:tcW w:w="1072" w:type="pct"/>
            <w:shd w:val="clear" w:color="auto" w:fill="auto"/>
            <w:vAlign w:val="center"/>
          </w:tcPr>
          <w:p w14:paraId="1CA77DF8">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0.135 </w:t>
            </w:r>
          </w:p>
        </w:tc>
      </w:tr>
      <w:tr w14:paraId="38ECEA91">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4E3C90AD">
            <w:pPr>
              <w:adjustRightInd w:val="0"/>
              <w:snapToGrid w:val="0"/>
              <w:jc w:val="center"/>
              <w:rPr>
                <w:rFonts w:ascii="宋体" w:hAnsi="宋体" w:eastAsia="宋体" w:cs="Times New Roman"/>
                <w:snapToGrid w:val="0"/>
                <w:color w:val="auto"/>
              </w:rPr>
            </w:pPr>
            <w:r>
              <w:rPr>
                <w:rFonts w:ascii="宋体" w:hAnsi="宋体" w:eastAsia="宋体" w:cs="Times New Roman"/>
                <w:snapToGrid w:val="0"/>
                <w:color w:val="auto"/>
              </w:rPr>
              <w:t>铅（Pb）</w:t>
            </w:r>
          </w:p>
        </w:tc>
        <w:tc>
          <w:tcPr>
            <w:tcW w:w="1158" w:type="pct"/>
            <w:shd w:val="clear" w:color="auto" w:fill="auto"/>
            <w:vAlign w:val="center"/>
          </w:tcPr>
          <w:p w14:paraId="048709F4">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0.100 </w:t>
            </w:r>
          </w:p>
        </w:tc>
        <w:tc>
          <w:tcPr>
            <w:tcW w:w="1157" w:type="pct"/>
            <w:shd w:val="clear" w:color="auto" w:fill="auto"/>
            <w:vAlign w:val="center"/>
          </w:tcPr>
          <w:p w14:paraId="4B958598">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0.088 </w:t>
            </w:r>
          </w:p>
        </w:tc>
        <w:tc>
          <w:tcPr>
            <w:tcW w:w="1072" w:type="pct"/>
            <w:shd w:val="clear" w:color="auto" w:fill="auto"/>
            <w:vAlign w:val="center"/>
          </w:tcPr>
          <w:p w14:paraId="4232FBA6">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0.112 </w:t>
            </w:r>
          </w:p>
        </w:tc>
      </w:tr>
      <w:tr w14:paraId="47A3EF7B">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73EF9FA7">
            <w:pPr>
              <w:adjustRightInd w:val="0"/>
              <w:snapToGrid w:val="0"/>
              <w:jc w:val="center"/>
              <w:rPr>
                <w:rFonts w:ascii="宋体" w:hAnsi="宋体" w:eastAsia="宋体" w:cs="Times New Roman"/>
                <w:snapToGrid w:val="0"/>
                <w:color w:val="auto"/>
              </w:rPr>
            </w:pPr>
            <w:r>
              <w:rPr>
                <w:rFonts w:ascii="宋体" w:hAnsi="宋体" w:eastAsia="宋体" w:cs="Times New Roman"/>
                <w:color w:val="auto"/>
              </w:rPr>
              <w:t>铬（Cr）</w:t>
            </w:r>
          </w:p>
        </w:tc>
        <w:tc>
          <w:tcPr>
            <w:tcW w:w="1158" w:type="pct"/>
            <w:shd w:val="clear" w:color="auto" w:fill="auto"/>
            <w:vAlign w:val="center"/>
          </w:tcPr>
          <w:p w14:paraId="4ACCC7D9">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0.184 </w:t>
            </w:r>
          </w:p>
        </w:tc>
        <w:tc>
          <w:tcPr>
            <w:tcW w:w="1157" w:type="pct"/>
            <w:shd w:val="clear" w:color="auto" w:fill="auto"/>
            <w:vAlign w:val="center"/>
          </w:tcPr>
          <w:p w14:paraId="2D1BA52D">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0.208 </w:t>
            </w:r>
          </w:p>
        </w:tc>
        <w:tc>
          <w:tcPr>
            <w:tcW w:w="1072" w:type="pct"/>
            <w:shd w:val="clear" w:color="auto" w:fill="auto"/>
            <w:vAlign w:val="center"/>
          </w:tcPr>
          <w:p w14:paraId="189C84EB">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0.244 </w:t>
            </w:r>
          </w:p>
        </w:tc>
      </w:tr>
      <w:tr w14:paraId="4F2B0F2B">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77271FCA">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铜（Cu）</w:t>
            </w:r>
          </w:p>
        </w:tc>
        <w:tc>
          <w:tcPr>
            <w:tcW w:w="1158" w:type="pct"/>
            <w:shd w:val="clear" w:color="auto" w:fill="auto"/>
            <w:vAlign w:val="center"/>
          </w:tcPr>
          <w:p w14:paraId="32FB8DFB">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0.130 </w:t>
            </w:r>
          </w:p>
        </w:tc>
        <w:tc>
          <w:tcPr>
            <w:tcW w:w="1157" w:type="pct"/>
            <w:shd w:val="clear" w:color="auto" w:fill="auto"/>
            <w:vAlign w:val="center"/>
          </w:tcPr>
          <w:p w14:paraId="7782AAED">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0.110 </w:t>
            </w:r>
          </w:p>
        </w:tc>
        <w:tc>
          <w:tcPr>
            <w:tcW w:w="1072" w:type="pct"/>
            <w:shd w:val="clear" w:color="auto" w:fill="auto"/>
            <w:vAlign w:val="center"/>
          </w:tcPr>
          <w:p w14:paraId="6AE430A5">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0.170 </w:t>
            </w:r>
          </w:p>
        </w:tc>
      </w:tr>
      <w:tr w14:paraId="1C40C62F">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41F1CDBF">
            <w:pPr>
              <w:adjustRightInd w:val="0"/>
              <w:snapToGrid w:val="0"/>
              <w:jc w:val="center"/>
              <w:rPr>
                <w:rFonts w:ascii="宋体" w:hAnsi="宋体" w:eastAsia="宋体" w:cs="Times New Roman"/>
                <w:color w:val="auto"/>
              </w:rPr>
            </w:pPr>
            <w:r>
              <w:rPr>
                <w:rFonts w:ascii="宋体" w:hAnsi="宋体" w:eastAsia="宋体" w:cs="Times New Roman"/>
                <w:snapToGrid w:val="0"/>
                <w:color w:val="auto"/>
              </w:rPr>
              <w:t>镍（Ni）</w:t>
            </w:r>
          </w:p>
        </w:tc>
        <w:tc>
          <w:tcPr>
            <w:tcW w:w="1158" w:type="pct"/>
            <w:shd w:val="clear" w:color="auto" w:fill="auto"/>
            <w:vAlign w:val="center"/>
          </w:tcPr>
          <w:p w14:paraId="746EEC27">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0.100 </w:t>
            </w:r>
          </w:p>
        </w:tc>
        <w:tc>
          <w:tcPr>
            <w:tcW w:w="1157" w:type="pct"/>
            <w:shd w:val="clear" w:color="auto" w:fill="auto"/>
            <w:vAlign w:val="center"/>
          </w:tcPr>
          <w:p w14:paraId="5E669737">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0.121 </w:t>
            </w:r>
          </w:p>
        </w:tc>
        <w:tc>
          <w:tcPr>
            <w:tcW w:w="1072" w:type="pct"/>
            <w:shd w:val="clear" w:color="auto" w:fill="auto"/>
            <w:vAlign w:val="center"/>
          </w:tcPr>
          <w:p w14:paraId="20C40D59">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0.095 </w:t>
            </w:r>
          </w:p>
        </w:tc>
      </w:tr>
      <w:tr w14:paraId="2298E937">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7BFFAB0C">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锌(Zn)</w:t>
            </w:r>
          </w:p>
        </w:tc>
        <w:tc>
          <w:tcPr>
            <w:tcW w:w="1158" w:type="pct"/>
            <w:shd w:val="clear" w:color="auto" w:fill="auto"/>
            <w:vAlign w:val="center"/>
          </w:tcPr>
          <w:p w14:paraId="1A51F17C">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0.203 </w:t>
            </w:r>
          </w:p>
        </w:tc>
        <w:tc>
          <w:tcPr>
            <w:tcW w:w="1157" w:type="pct"/>
            <w:shd w:val="clear" w:color="auto" w:fill="auto"/>
            <w:vAlign w:val="center"/>
          </w:tcPr>
          <w:p w14:paraId="54A9DAEB">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0.173 </w:t>
            </w:r>
          </w:p>
        </w:tc>
        <w:tc>
          <w:tcPr>
            <w:tcW w:w="1072" w:type="pct"/>
            <w:shd w:val="clear" w:color="auto" w:fill="auto"/>
            <w:vAlign w:val="center"/>
          </w:tcPr>
          <w:p w14:paraId="13403E0B">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0.160 </w:t>
            </w:r>
          </w:p>
        </w:tc>
      </w:tr>
      <w:tr w14:paraId="0A316DAE">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5F37A5D1">
            <w:pPr>
              <w:adjustRightInd w:val="0"/>
              <w:snapToGrid w:val="0"/>
              <w:jc w:val="center"/>
              <w:rPr>
                <w:rFonts w:ascii="宋体" w:hAnsi="宋体" w:eastAsia="宋体" w:cs="Times New Roman"/>
                <w:color w:val="auto"/>
                <w:kern w:val="24"/>
              </w:rPr>
            </w:pP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w:t>
            </w:r>
          </w:p>
        </w:tc>
        <w:tc>
          <w:tcPr>
            <w:tcW w:w="1158" w:type="pct"/>
            <w:shd w:val="clear" w:color="auto" w:fill="auto"/>
            <w:vAlign w:val="center"/>
          </w:tcPr>
          <w:p w14:paraId="74E11DA9">
            <w:pPr>
              <w:jc w:val="center"/>
              <w:rPr>
                <w:rFonts w:ascii="宋体" w:hAnsi="宋体" w:eastAsia="宋体" w:cs="Times New Roman"/>
                <w:color w:val="auto"/>
              </w:rPr>
            </w:pPr>
            <w:r>
              <w:rPr>
                <w:rFonts w:ascii="宋体" w:hAnsi="宋体" w:eastAsia="宋体" w:cs="Times New Roman"/>
                <w:color w:val="auto"/>
              </w:rPr>
              <w:t>0.000666</w:t>
            </w:r>
          </w:p>
        </w:tc>
        <w:tc>
          <w:tcPr>
            <w:tcW w:w="1157" w:type="pct"/>
            <w:shd w:val="clear" w:color="auto" w:fill="auto"/>
            <w:vAlign w:val="center"/>
          </w:tcPr>
          <w:p w14:paraId="7B3BDB52">
            <w:pPr>
              <w:jc w:val="center"/>
              <w:rPr>
                <w:rFonts w:ascii="宋体" w:hAnsi="宋体" w:eastAsia="宋体" w:cs="Times New Roman"/>
                <w:color w:val="auto"/>
              </w:rPr>
            </w:pPr>
            <w:r>
              <w:rPr>
                <w:rFonts w:ascii="宋体" w:hAnsi="宋体" w:eastAsia="宋体" w:cs="Times New Roman"/>
                <w:color w:val="auto"/>
              </w:rPr>
              <w:t>0.000666</w:t>
            </w:r>
          </w:p>
        </w:tc>
        <w:tc>
          <w:tcPr>
            <w:tcW w:w="1072" w:type="pct"/>
            <w:shd w:val="clear" w:color="auto" w:fill="auto"/>
            <w:vAlign w:val="center"/>
          </w:tcPr>
          <w:p w14:paraId="4259CD9A">
            <w:pPr>
              <w:jc w:val="center"/>
              <w:rPr>
                <w:rFonts w:ascii="宋体" w:hAnsi="宋体" w:eastAsia="宋体" w:cs="Times New Roman"/>
                <w:color w:val="auto"/>
              </w:rPr>
            </w:pPr>
            <w:r>
              <w:rPr>
                <w:rFonts w:ascii="宋体" w:hAnsi="宋体" w:eastAsia="宋体" w:cs="Times New Roman"/>
                <w:color w:val="auto"/>
              </w:rPr>
              <w:t>0.000666</w:t>
            </w:r>
          </w:p>
        </w:tc>
      </w:tr>
      <w:tr w14:paraId="7EF1C48D">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254972CC">
            <w:pPr>
              <w:adjustRightInd w:val="0"/>
              <w:snapToGrid w:val="0"/>
              <w:jc w:val="center"/>
              <w:rPr>
                <w:rFonts w:ascii="宋体" w:hAnsi="宋体" w:eastAsia="宋体" w:cs="Times New Roman"/>
                <w:color w:val="auto"/>
                <w:kern w:val="24"/>
              </w:rPr>
            </w:pPr>
            <w:r>
              <w:rPr>
                <w:rFonts w:ascii="宋体" w:hAnsi="宋体" w:eastAsia="宋体" w:cs="Times New Roman"/>
                <w:color w:val="auto"/>
              </w:rPr>
              <w:t>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w:t>
            </w:r>
          </w:p>
        </w:tc>
        <w:tc>
          <w:tcPr>
            <w:tcW w:w="1158" w:type="pct"/>
            <w:shd w:val="clear" w:color="auto" w:fill="auto"/>
            <w:vAlign w:val="center"/>
          </w:tcPr>
          <w:p w14:paraId="0DC5B3A2">
            <w:pPr>
              <w:jc w:val="center"/>
              <w:rPr>
                <w:rFonts w:ascii="宋体" w:hAnsi="宋体" w:eastAsia="宋体" w:cs="Times New Roman"/>
                <w:color w:val="auto"/>
              </w:rPr>
            </w:pPr>
            <w:r>
              <w:rPr>
                <w:rFonts w:ascii="宋体" w:hAnsi="宋体" w:eastAsia="宋体" w:cs="Times New Roman"/>
                <w:color w:val="auto"/>
              </w:rPr>
              <w:t>/</w:t>
            </w:r>
          </w:p>
        </w:tc>
        <w:tc>
          <w:tcPr>
            <w:tcW w:w="1157" w:type="pct"/>
            <w:shd w:val="clear" w:color="auto" w:fill="auto"/>
            <w:vAlign w:val="center"/>
          </w:tcPr>
          <w:p w14:paraId="7489182D">
            <w:pPr>
              <w:jc w:val="center"/>
              <w:rPr>
                <w:rFonts w:ascii="宋体" w:hAnsi="宋体" w:eastAsia="宋体" w:cs="Times New Roman"/>
                <w:color w:val="auto"/>
              </w:rPr>
            </w:pPr>
            <w:r>
              <w:rPr>
                <w:rFonts w:ascii="宋体" w:hAnsi="宋体" w:eastAsia="宋体" w:cs="Times New Roman"/>
                <w:color w:val="auto"/>
              </w:rPr>
              <w:t>/</w:t>
            </w:r>
          </w:p>
        </w:tc>
        <w:tc>
          <w:tcPr>
            <w:tcW w:w="1072" w:type="pct"/>
            <w:shd w:val="clear" w:color="auto" w:fill="auto"/>
            <w:vAlign w:val="center"/>
          </w:tcPr>
          <w:p w14:paraId="4A717DBE">
            <w:pPr>
              <w:jc w:val="center"/>
              <w:rPr>
                <w:rFonts w:ascii="宋体" w:hAnsi="宋体" w:eastAsia="宋体" w:cs="Times New Roman"/>
                <w:color w:val="auto"/>
              </w:rPr>
            </w:pPr>
            <w:r>
              <w:rPr>
                <w:rFonts w:ascii="宋体" w:hAnsi="宋体" w:eastAsia="宋体" w:cs="Times New Roman"/>
                <w:color w:val="auto"/>
              </w:rPr>
              <w:t>/</w:t>
            </w:r>
          </w:p>
        </w:tc>
      </w:tr>
      <w:tr w14:paraId="0B47DDE6">
        <w:tblPrEx>
          <w:tblBorders>
            <w:top w:val="single" w:color="auto" w:sz="4" w:space="0"/>
            <w:left w:val="single" w:color="auto" w:sz="2" w:space="0"/>
            <w:bottom w:val="single" w:color="auto" w:sz="2"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1614" w:type="pct"/>
            <w:shd w:val="clear" w:color="auto" w:fill="auto"/>
            <w:vAlign w:val="center"/>
          </w:tcPr>
          <w:p w14:paraId="1C0E4FF5">
            <w:pPr>
              <w:adjustRightInd w:val="0"/>
              <w:snapToGrid w:val="0"/>
              <w:jc w:val="center"/>
              <w:rPr>
                <w:rFonts w:ascii="宋体" w:hAnsi="宋体" w:eastAsia="宋体" w:cs="Times New Roman"/>
                <w:color w:val="auto"/>
                <w:kern w:val="24"/>
              </w:rPr>
            </w:pPr>
            <w:r>
              <w:rPr>
                <w:rFonts w:ascii="宋体" w:hAnsi="宋体" w:eastAsia="宋体" w:cs="Times New Roman"/>
                <w:color w:val="auto"/>
              </w:rPr>
              <w:t>石油类</w:t>
            </w:r>
          </w:p>
        </w:tc>
        <w:tc>
          <w:tcPr>
            <w:tcW w:w="1158" w:type="pct"/>
            <w:shd w:val="clear" w:color="auto" w:fill="auto"/>
            <w:vAlign w:val="center"/>
          </w:tcPr>
          <w:p w14:paraId="6C1E31DC">
            <w:pPr>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1157" w:type="pct"/>
            <w:shd w:val="clear" w:color="auto" w:fill="auto"/>
            <w:vAlign w:val="center"/>
          </w:tcPr>
          <w:p w14:paraId="5D6BA62D">
            <w:pPr>
              <w:adjustRightInd w:val="0"/>
              <w:snapToGrid w:val="0"/>
              <w:jc w:val="center"/>
              <w:rPr>
                <w:rFonts w:ascii="宋体" w:hAnsi="宋体" w:eastAsia="宋体" w:cs="Times New Roman"/>
                <w:color w:val="auto"/>
              </w:rPr>
            </w:pPr>
            <w:r>
              <w:rPr>
                <w:rFonts w:ascii="宋体" w:hAnsi="宋体" w:eastAsia="宋体" w:cs="Times New Roman"/>
                <w:color w:val="auto"/>
              </w:rPr>
              <w:t>/</w:t>
            </w:r>
          </w:p>
        </w:tc>
        <w:tc>
          <w:tcPr>
            <w:tcW w:w="1072" w:type="pct"/>
            <w:shd w:val="clear" w:color="auto" w:fill="auto"/>
            <w:vAlign w:val="center"/>
          </w:tcPr>
          <w:p w14:paraId="05D303DD">
            <w:pPr>
              <w:adjustRightInd w:val="0"/>
              <w:snapToGrid w:val="0"/>
              <w:jc w:val="center"/>
              <w:rPr>
                <w:rFonts w:ascii="宋体" w:hAnsi="宋体" w:eastAsia="宋体" w:cs="Times New Roman"/>
                <w:color w:val="auto"/>
              </w:rPr>
            </w:pPr>
            <w:r>
              <w:rPr>
                <w:rFonts w:ascii="宋体" w:hAnsi="宋体" w:eastAsia="宋体" w:cs="Times New Roman"/>
                <w:color w:val="auto"/>
              </w:rPr>
              <w:t>/</w:t>
            </w:r>
          </w:p>
        </w:tc>
      </w:tr>
    </w:tbl>
    <w:p w14:paraId="5F18854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土壤环境质量现状</w:t>
      </w:r>
      <w:r>
        <w:rPr>
          <w:rFonts w:ascii="宋体" w:hAnsi="宋体" w:eastAsia="宋体" w:cs="Times New Roman"/>
          <w:b/>
          <w:bCs/>
          <w:color w:val="auto"/>
          <w:szCs w:val="28"/>
        </w:rPr>
        <w:t>评价结论</w:t>
      </w:r>
    </w:p>
    <w:p w14:paraId="4ABD4AD5">
      <w:pPr>
        <w:pStyle w:val="276"/>
        <w:widowControl w:val="0"/>
        <w:ind w:firstLine="480"/>
        <w:jc w:val="both"/>
        <w:rPr>
          <w:color w:val="auto"/>
        </w:rPr>
      </w:pPr>
      <w:r>
        <w:rPr>
          <w:color w:val="auto"/>
        </w:rPr>
        <w:t>从表中可以看出，评价区域内土壤环境质量较好，没有出现超标情况。项目区域土壤pH 值在7.74～8.23之间，土壤含盐量在0.5～0.9g/kg之间，区域属于非土壤盐化、酸化和碱化地区。</w:t>
      </w:r>
    </w:p>
    <w:p w14:paraId="5AECB202">
      <w:pPr>
        <w:pStyle w:val="276"/>
        <w:widowControl w:val="0"/>
        <w:ind w:firstLine="480"/>
        <w:jc w:val="both"/>
        <w:rPr>
          <w:color w:val="auto"/>
        </w:rPr>
      </w:pPr>
      <w:r>
        <w:rPr>
          <w:color w:val="auto"/>
        </w:rPr>
        <w:t>本项目永久占地内土壤满足《土壤环境质量 建设用地土壤污染风险管控标准（试行）》（GB36600-2018）中表1建设用地土壤污染风险筛选值（基本项目）中第二类用地筛选值标准，以及表2（其他项目）中第二类用地石油烃筛选值标准；评价范围内村屯土壤满足《土壤环境质量 建设用地土壤污染风险管控标准（试行）》（GB36600-2018）中表1建设用地土壤污染风险筛选值（基本项目）中第一类用地筛选值标准，以及表2（其他项目）中第一类用地石油烃筛选值标准；评价范围内耕地和草地土壤满足《土壤环境质量 农用地土壤污染风险管控标准（试行）》（GB15618-2018）表1农用地土壤风险筛选值（基本项目）中标准。</w:t>
      </w:r>
    </w:p>
    <w:bookmarkEnd w:id="995"/>
    <w:bookmarkEnd w:id="996"/>
    <w:bookmarkEnd w:id="997"/>
    <w:bookmarkEnd w:id="998"/>
    <w:bookmarkEnd w:id="999"/>
    <w:bookmarkEnd w:id="1000"/>
    <w:p w14:paraId="4575CE65">
      <w:pPr>
        <w:pStyle w:val="5"/>
        <w:rPr>
          <w:bCs w:val="0"/>
          <w:color w:val="auto"/>
        </w:rPr>
      </w:pPr>
      <w:bookmarkStart w:id="1218" w:name="_Toc12972"/>
      <w:bookmarkStart w:id="1219" w:name="_Toc508022098"/>
      <w:bookmarkStart w:id="1220" w:name="_Toc17898212"/>
      <w:bookmarkStart w:id="1221" w:name="_Toc83209521"/>
      <w:bookmarkStart w:id="1222" w:name="_Toc80971421"/>
      <w:bookmarkStart w:id="1223" w:name="_Toc61597275"/>
      <w:bookmarkStart w:id="1224" w:name="_Toc85640800"/>
      <w:bookmarkStart w:id="1225" w:name="_Toc67860176"/>
      <w:bookmarkStart w:id="1226" w:name="_Toc57707959"/>
      <w:bookmarkStart w:id="1227" w:name="_Toc77067702"/>
      <w:bookmarkStart w:id="1228" w:name="_Toc127192380"/>
      <w:bookmarkStart w:id="1229" w:name="_Toc76976290"/>
      <w:bookmarkStart w:id="1230" w:name="_Toc78816504"/>
      <w:bookmarkStart w:id="1231" w:name="_Toc57976711"/>
      <w:bookmarkStart w:id="1232" w:name="_Toc86141975"/>
      <w:bookmarkStart w:id="1233" w:name="_Toc57203289"/>
      <w:bookmarkStart w:id="1234" w:name="_Toc131167331"/>
      <w:bookmarkStart w:id="1235" w:name="_Toc84929276"/>
      <w:bookmarkStart w:id="1236" w:name="_Toc80588299"/>
      <w:bookmarkStart w:id="1237" w:name="_Toc212033029"/>
      <w:bookmarkStart w:id="1238" w:name="_Toc126863431"/>
      <w:bookmarkStart w:id="1239" w:name="_Toc70050225"/>
      <w:bookmarkStart w:id="1240" w:name="_Toc143099618"/>
      <w:bookmarkStart w:id="1241" w:name="_Toc415146701"/>
      <w:bookmarkStart w:id="1242" w:name="_Toc45678581"/>
      <w:bookmarkStart w:id="1243" w:name="_Toc75075806"/>
      <w:bookmarkStart w:id="1244" w:name="_Toc75075744"/>
      <w:bookmarkStart w:id="1245" w:name="_Toc502736497"/>
      <w:bookmarkStart w:id="1246" w:name="_Toc371751574"/>
      <w:bookmarkStart w:id="1247" w:name="_Toc480447669"/>
      <w:r>
        <w:rPr>
          <w:bCs w:val="0"/>
          <w:color w:val="auto"/>
        </w:rPr>
        <w:t>生态环境</w:t>
      </w:r>
      <w:r>
        <w:rPr>
          <w:rFonts w:hint="eastAsia"/>
          <w:bCs w:val="0"/>
          <w:color w:val="auto"/>
        </w:rPr>
        <w:t>质量</w:t>
      </w:r>
      <w:r>
        <w:rPr>
          <w:bCs w:val="0"/>
          <w:color w:val="auto"/>
        </w:rPr>
        <w:t>现状</w:t>
      </w:r>
      <w:bookmarkEnd w:id="1218"/>
      <w:bookmarkEnd w:id="1219"/>
      <w:bookmarkEnd w:id="1220"/>
      <w:r>
        <w:rPr>
          <w:rFonts w:hint="eastAsia"/>
          <w:bCs w:val="0"/>
          <w:color w:val="auto"/>
        </w:rPr>
        <w:t>调查与</w:t>
      </w:r>
      <w:r>
        <w:rPr>
          <w:bCs w:val="0"/>
          <w:color w:val="auto"/>
        </w:rPr>
        <w:t>评价</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537BC019">
      <w:pPr>
        <w:pStyle w:val="6"/>
        <w:rPr>
          <w:color w:val="auto"/>
        </w:rPr>
      </w:pPr>
      <w:bookmarkStart w:id="1248" w:name="_Toc43686764"/>
      <w:bookmarkStart w:id="1249" w:name="_Toc30114"/>
      <w:r>
        <w:rPr>
          <w:rFonts w:hint="eastAsia"/>
          <w:color w:val="auto"/>
        </w:rPr>
        <w:t>调查范围、内容及方法</w:t>
      </w:r>
    </w:p>
    <w:p w14:paraId="4D855CE4">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调查时间</w:t>
      </w:r>
    </w:p>
    <w:p w14:paraId="1049808E">
      <w:pPr>
        <w:pStyle w:val="276"/>
        <w:widowControl w:val="0"/>
        <w:ind w:firstLine="480"/>
        <w:jc w:val="both"/>
        <w:rPr>
          <w:color w:val="auto"/>
          <w:kern w:val="2"/>
        </w:rPr>
      </w:pPr>
      <w:r>
        <w:rPr>
          <w:color w:val="auto"/>
          <w:kern w:val="2"/>
        </w:rPr>
        <w:t>接受委托以后，本公司于2025年</w:t>
      </w:r>
      <w:r>
        <w:rPr>
          <w:rFonts w:hint="eastAsia"/>
          <w:color w:val="auto"/>
          <w:kern w:val="2"/>
        </w:rPr>
        <w:t>9</w:t>
      </w:r>
      <w:r>
        <w:rPr>
          <w:color w:val="auto"/>
          <w:kern w:val="2"/>
        </w:rPr>
        <w:t>月对评价范围内的生态现状进行现场调查，对评价区植被、地形地貌进行初步判断，了解评价范围内的植被类型及生境类型。通过收集资料，结合遥感影像分析数据，据此进行生态现状评价。</w:t>
      </w:r>
    </w:p>
    <w:p w14:paraId="6ED5866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评价范围</w:t>
      </w:r>
    </w:p>
    <w:p w14:paraId="1090F2F6">
      <w:pPr>
        <w:pStyle w:val="276"/>
        <w:widowControl w:val="0"/>
        <w:ind w:firstLine="480"/>
        <w:jc w:val="both"/>
        <w:rPr>
          <w:color w:val="auto"/>
          <w:kern w:val="2"/>
          <w:lang w:bidi="ar"/>
        </w:rPr>
      </w:pPr>
      <w:r>
        <w:rPr>
          <w:color w:val="auto"/>
          <w:kern w:val="2"/>
          <w:lang w:bidi="ar"/>
        </w:rPr>
        <w:t>根据《环境影响评价技术导则 生态影响》（HJ19-2022）及《环境影响评价技术导则 陆地石油天然气开发建设项目》（HJ349-2023）要求，</w:t>
      </w:r>
      <w:r>
        <w:rPr>
          <w:snapToGrid w:val="0"/>
          <w:color w:val="auto"/>
        </w:rPr>
        <w:t>拟建井场和拉油点边界外扩50m范围及新建管线、道路沿线两侧外扩300m区域的生态环境</w:t>
      </w:r>
      <w:r>
        <w:rPr>
          <w:color w:val="auto"/>
          <w:kern w:val="2"/>
          <w:lang w:bidi="ar"/>
        </w:rPr>
        <w:t>，最终确定的生态评价面积为</w:t>
      </w:r>
      <w:r>
        <w:rPr>
          <w:rFonts w:hint="eastAsia"/>
          <w:color w:val="auto"/>
          <w:kern w:val="2"/>
          <w:lang w:bidi="ar"/>
        </w:rPr>
        <w:t>151.3</w:t>
      </w:r>
      <w:r>
        <w:rPr>
          <w:color w:val="auto"/>
          <w:kern w:val="2"/>
          <w:lang w:bidi="ar"/>
        </w:rPr>
        <w:t>hm</w:t>
      </w:r>
      <w:r>
        <w:rPr>
          <w:color w:val="auto"/>
          <w:kern w:val="2"/>
          <w:vertAlign w:val="superscript"/>
          <w:lang w:bidi="ar"/>
        </w:rPr>
        <w:t>2</w:t>
      </w:r>
      <w:r>
        <w:rPr>
          <w:color w:val="auto"/>
          <w:kern w:val="2"/>
          <w:lang w:bidi="ar"/>
        </w:rPr>
        <w:t>。</w:t>
      </w:r>
    </w:p>
    <w:p w14:paraId="23C5720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调查内容</w:t>
      </w:r>
    </w:p>
    <w:p w14:paraId="68B35166">
      <w:pPr>
        <w:pStyle w:val="276"/>
        <w:widowControl w:val="0"/>
        <w:ind w:firstLine="480"/>
        <w:jc w:val="both"/>
        <w:rPr>
          <w:color w:val="auto"/>
        </w:rPr>
      </w:pPr>
      <w:r>
        <w:rPr>
          <w:rFonts w:hint="eastAsia"/>
          <w:color w:val="auto"/>
        </w:rPr>
        <w:t>（1）评价区自然地理和生态现状调查，如：地貌、海拔、土壤类型、植被类型及空间分布、植被生物量、植被覆盖度等</w:t>
      </w:r>
      <w:r>
        <w:rPr>
          <w:rFonts w:hint="eastAsia"/>
          <w:color w:val="auto"/>
          <w:kern w:val="2"/>
          <w:lang w:bidi="ar"/>
        </w:rPr>
        <w:t>情况</w:t>
      </w:r>
      <w:r>
        <w:rPr>
          <w:rFonts w:hint="eastAsia"/>
          <w:color w:val="auto"/>
        </w:rPr>
        <w:t>。</w:t>
      </w:r>
    </w:p>
    <w:p w14:paraId="4246A95F">
      <w:pPr>
        <w:pStyle w:val="276"/>
        <w:widowControl w:val="0"/>
        <w:ind w:firstLine="480"/>
        <w:jc w:val="both"/>
        <w:rPr>
          <w:color w:val="auto"/>
        </w:rPr>
      </w:pPr>
      <w:r>
        <w:rPr>
          <w:rFonts w:hint="eastAsia"/>
          <w:color w:val="auto"/>
        </w:rPr>
        <w:t>（2）评价区自然系统生态完整性调查。</w:t>
      </w:r>
    </w:p>
    <w:p w14:paraId="2BDC69E5">
      <w:pPr>
        <w:pStyle w:val="276"/>
        <w:widowControl w:val="0"/>
        <w:ind w:firstLine="480"/>
        <w:jc w:val="both"/>
        <w:rPr>
          <w:color w:val="auto"/>
        </w:rPr>
      </w:pPr>
      <w:r>
        <w:rPr>
          <w:rFonts w:hint="eastAsia"/>
          <w:color w:val="auto"/>
        </w:rPr>
        <w:t>（3）敏感生态目标现状调查，如生态保护红线区、湿地、公益林、古树名木及其生境现状。</w:t>
      </w:r>
    </w:p>
    <w:p w14:paraId="41D73B8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调查方法</w:t>
      </w:r>
    </w:p>
    <w:p w14:paraId="79127803">
      <w:pPr>
        <w:pStyle w:val="276"/>
        <w:widowControl w:val="0"/>
        <w:ind w:firstLine="480"/>
        <w:jc w:val="both"/>
        <w:rPr>
          <w:color w:val="auto"/>
        </w:rPr>
      </w:pPr>
      <w:r>
        <w:rPr>
          <w:color w:val="auto"/>
          <w:kern w:val="2"/>
        </w:rPr>
        <w:t>生</w:t>
      </w:r>
      <w:r>
        <w:rPr>
          <w:color w:val="auto"/>
        </w:rPr>
        <w:t>态现状调查与评价采用《环境影响评价技术导则 生态影响》（HJ19-2022）、《环境影响评价技术导则 陆地石油天然气开发建设项目》（HJ349-2023）中的资料收集法、现场调查法、遥感调查法相结合的方法，进行定性或定量的分析评价。</w:t>
      </w:r>
    </w:p>
    <w:p w14:paraId="5492F51D">
      <w:pPr>
        <w:pStyle w:val="276"/>
        <w:widowControl w:val="0"/>
        <w:ind w:firstLine="480"/>
        <w:jc w:val="both"/>
        <w:rPr>
          <w:color w:val="auto"/>
        </w:rPr>
      </w:pPr>
      <w:r>
        <w:rPr>
          <w:rFonts w:hint="eastAsia"/>
          <w:color w:val="auto"/>
        </w:rPr>
        <w:t>（1）</w:t>
      </w:r>
      <w:r>
        <w:rPr>
          <w:color w:val="auto"/>
        </w:rPr>
        <w:t>基础资料收集法</w:t>
      </w:r>
    </w:p>
    <w:p w14:paraId="24D23446">
      <w:pPr>
        <w:pStyle w:val="276"/>
        <w:widowControl w:val="0"/>
        <w:ind w:firstLine="480"/>
        <w:jc w:val="both"/>
        <w:rPr>
          <w:color w:val="auto"/>
        </w:rPr>
      </w:pPr>
      <w:r>
        <w:rPr>
          <w:color w:val="auto"/>
        </w:rPr>
        <w:t>收集评价区域非生物因子特征（气候、土壤、地形地貌、水文地质等）、动植物类型及分布、土壤侵蚀、生态功能区划、土地利用等资料，分析区域各生态要素现状情况，结合现场调查，得出区域动植物分布、土地利用及水土流失等现状情况。</w:t>
      </w:r>
    </w:p>
    <w:p w14:paraId="2F2C39FF">
      <w:pPr>
        <w:pStyle w:val="276"/>
        <w:widowControl w:val="0"/>
        <w:ind w:firstLine="480"/>
        <w:jc w:val="both"/>
        <w:rPr>
          <w:color w:val="auto"/>
        </w:rPr>
      </w:pPr>
      <w:r>
        <w:rPr>
          <w:rFonts w:hint="eastAsia"/>
          <w:color w:val="auto"/>
        </w:rPr>
        <w:t>（2）</w:t>
      </w:r>
      <w:r>
        <w:rPr>
          <w:color w:val="auto"/>
        </w:rPr>
        <w:t>野外实地调查</w:t>
      </w:r>
    </w:p>
    <w:p w14:paraId="4EB9B9F0">
      <w:pPr>
        <w:pStyle w:val="276"/>
        <w:widowControl w:val="0"/>
        <w:ind w:firstLine="480"/>
        <w:jc w:val="both"/>
        <w:rPr>
          <w:color w:val="auto"/>
        </w:rPr>
      </w:pPr>
      <w:r>
        <w:rPr>
          <w:color w:val="auto"/>
        </w:rPr>
        <w:t>现场勘查遵循整体与重点相结合的调查原则，在综合考虑主导生态因子结构与功能的完整性的同时，突出重点区域和关键时段的调查，并通过对评价区域的实际踏勘，核实收集资料及遥感解译的准确性，以获取实际资料和数据。</w:t>
      </w:r>
    </w:p>
    <w:p w14:paraId="461EFEE9">
      <w:pPr>
        <w:pStyle w:val="276"/>
        <w:widowControl w:val="0"/>
        <w:ind w:firstLine="480"/>
        <w:jc w:val="both"/>
        <w:rPr>
          <w:color w:val="auto"/>
        </w:rPr>
      </w:pPr>
      <w:r>
        <w:rPr>
          <w:color w:val="auto"/>
        </w:rPr>
        <w:t>重要生态敏感区逐一调查核实其类型、等级、分布、保护对象、功能区划、保护要求等。</w:t>
      </w:r>
    </w:p>
    <w:p w14:paraId="2E25F881">
      <w:pPr>
        <w:pStyle w:val="276"/>
        <w:widowControl w:val="0"/>
        <w:ind w:firstLine="480"/>
        <w:jc w:val="both"/>
        <w:rPr>
          <w:color w:val="auto"/>
        </w:rPr>
      </w:pPr>
      <w:r>
        <w:rPr>
          <w:rFonts w:hint="eastAsia"/>
          <w:color w:val="auto"/>
        </w:rPr>
        <w:t>（3）</w:t>
      </w:r>
      <w:r>
        <w:rPr>
          <w:color w:val="auto"/>
        </w:rPr>
        <w:t>遥感调查法</w:t>
      </w:r>
    </w:p>
    <w:p w14:paraId="01BB27C3">
      <w:pPr>
        <w:pStyle w:val="276"/>
        <w:widowControl w:val="0"/>
        <w:ind w:firstLine="480"/>
        <w:jc w:val="both"/>
        <w:rPr>
          <w:color w:val="auto"/>
        </w:rPr>
      </w:pPr>
      <w:r>
        <w:rPr>
          <w:color w:val="auto"/>
        </w:rPr>
        <w:t>规划评价区域涉及区域范围较大，本次借助遥感手段调查区域生态系统、土地利用、植被分布、地形地貌等生态因子。</w:t>
      </w:r>
    </w:p>
    <w:p w14:paraId="03F10E7A">
      <w:pPr>
        <w:pStyle w:val="276"/>
        <w:widowControl w:val="0"/>
        <w:ind w:firstLine="480"/>
        <w:jc w:val="both"/>
        <w:rPr>
          <w:color w:val="auto"/>
        </w:rPr>
      </w:pPr>
      <w:r>
        <w:rPr>
          <w:color w:val="auto"/>
        </w:rPr>
        <w:t>本次评价以充分反映生态环境信息为原则，运用ERDASIMAGINE、ARCGIS等软件进行图像解译与制作。解译信息源主要为欧洲航天局哥白尼数据中心（ESACopernicusOpenAccessHub）下载的Sentinel-2A卫星（哨兵-2号）遥感影像数据。</w:t>
      </w:r>
    </w:p>
    <w:p w14:paraId="51C51F5C">
      <w:pPr>
        <w:pStyle w:val="276"/>
        <w:widowControl w:val="0"/>
        <w:ind w:firstLine="480"/>
        <w:jc w:val="both"/>
        <w:rPr>
          <w:color w:val="auto"/>
        </w:rPr>
      </w:pPr>
      <w:r>
        <w:rPr>
          <w:color w:val="auto"/>
        </w:rPr>
        <w:t>Sentinel2是由Sentinel2A和Sentinel2B两颗卫星组成，由欧洲航天局分别与2015年、2017年发射的高分辨率多光谱成像卫星，搭载多光谱成像仪（MSI），覆盖13个工作波段，其中4个波段在10米，6个波段在20米和3个波段在60米空间分辨率。两颗卫星轨道彼此相差180º，每颗卫星重访周期为10天，两颗为5天。</w:t>
      </w:r>
    </w:p>
    <w:p w14:paraId="1250F05F">
      <w:pPr>
        <w:pStyle w:val="276"/>
        <w:widowControl w:val="0"/>
        <w:ind w:firstLine="480"/>
        <w:jc w:val="both"/>
        <w:rPr>
          <w:color w:val="auto"/>
        </w:rPr>
      </w:pPr>
      <w:r>
        <w:rPr>
          <w:color w:val="auto"/>
        </w:rPr>
        <w:t>根据实地考察和收集到的有关文字与图形资料，建立地物原型与卫星影像之间的直接解译标志，通过监督督分类和人机交互判读分析方法，运用ArcGIS软件解译出评价范围内生态环境评价所需的植被、土地等相关数据，得到项目评价区域植被类型、土地利用等生态现状信息。</w:t>
      </w:r>
    </w:p>
    <w:p w14:paraId="46221C8A">
      <w:pPr>
        <w:pStyle w:val="6"/>
        <w:rPr>
          <w:color w:val="auto"/>
        </w:rPr>
      </w:pPr>
      <w:r>
        <w:rPr>
          <w:color w:val="auto"/>
        </w:rPr>
        <w:t>生态</w:t>
      </w:r>
      <w:bookmarkEnd w:id="1248"/>
      <w:r>
        <w:rPr>
          <w:rFonts w:hint="eastAsia"/>
          <w:color w:val="auto"/>
        </w:rPr>
        <w:t>环境相关规划和</w:t>
      </w:r>
      <w:r>
        <w:rPr>
          <w:color w:val="auto"/>
        </w:rPr>
        <w:t>功能区划</w:t>
      </w:r>
    </w:p>
    <w:p w14:paraId="25ADC48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生态功能区划</w:t>
      </w:r>
    </w:p>
    <w:p w14:paraId="16596C8D">
      <w:pPr>
        <w:pStyle w:val="276"/>
        <w:widowControl w:val="0"/>
        <w:ind w:firstLine="480"/>
        <w:jc w:val="both"/>
        <w:rPr>
          <w:color w:val="auto"/>
        </w:rPr>
      </w:pPr>
      <w:r>
        <w:rPr>
          <w:color w:val="auto"/>
        </w:rPr>
        <w:t>根据《全国生态功能区划》（修编版，2015），本项目位于Ⅱ-01-04松嫩平原东部农产品提供功能区。该区主要生态问题包括农田侵占、土壤肥力下降、农业面源污染严重。农产品提供功能区生态保护的主要方向为严格保护基本农田，培养土壤肥力；加强农田基本建设，增强抗自然灾害的能力等。</w:t>
      </w:r>
    </w:p>
    <w:p w14:paraId="7FA61A36">
      <w:pPr>
        <w:pStyle w:val="276"/>
        <w:widowControl w:val="0"/>
        <w:ind w:firstLine="480"/>
        <w:jc w:val="both"/>
        <w:rPr>
          <w:color w:val="auto"/>
        </w:rPr>
      </w:pPr>
      <w:r>
        <w:rPr>
          <w:color w:val="auto"/>
        </w:rPr>
        <w:t>在全国生态功能区划的基础上，结合黑龙江省详细的生态功能区划，对本项目所在的生态功能区划进行详细说明。根据黑龙江省人民政府批准的《黑龙江省生态功能区划》(黑政函〔2006〕75号)，本项目所在区域属于安达-肇东-肇源农牧业与盐渍化控制生态功能区，该区主要生态系统服务功能盐渍化控制、生态系统产品提供。本项目区生态功能区划见表4.4-1。</w:t>
      </w:r>
    </w:p>
    <w:p w14:paraId="22488447">
      <w:pPr>
        <w:pStyle w:val="276"/>
        <w:widowControl w:val="0"/>
        <w:spacing w:line="440" w:lineRule="exact"/>
        <w:ind w:firstLine="0" w:firstLineChars="0"/>
        <w:jc w:val="center"/>
        <w:rPr>
          <w:color w:val="auto"/>
        </w:rPr>
      </w:pPr>
      <w:r>
        <w:rPr>
          <w:color w:val="auto"/>
        </w:rPr>
        <w:t>表4.4-1 本项目区域生态功能区划表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853"/>
        <w:gridCol w:w="1143"/>
        <w:gridCol w:w="2285"/>
        <w:gridCol w:w="1857"/>
        <w:gridCol w:w="2993"/>
      </w:tblGrid>
      <w:tr w14:paraId="77874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2344" w:type="pct"/>
            <w:gridSpan w:val="3"/>
            <w:shd w:val="clear" w:color="auto" w:fill="auto"/>
            <w:vAlign w:val="center"/>
          </w:tcPr>
          <w:p w14:paraId="5307589B">
            <w:pPr>
              <w:adjustRightInd w:val="0"/>
              <w:snapToGrid w:val="0"/>
              <w:jc w:val="center"/>
              <w:rPr>
                <w:rFonts w:ascii="宋体" w:hAnsi="宋体" w:eastAsia="宋体" w:cs="Times New Roman"/>
                <w:color w:val="auto"/>
              </w:rPr>
            </w:pPr>
            <w:r>
              <w:rPr>
                <w:rFonts w:ascii="宋体" w:hAnsi="宋体" w:eastAsia="宋体" w:cs="Times New Roman"/>
                <w:color w:val="auto"/>
              </w:rPr>
              <w:t>项目区生态功能分区单元</w:t>
            </w:r>
          </w:p>
        </w:tc>
        <w:tc>
          <w:tcPr>
            <w:tcW w:w="1017" w:type="pct"/>
            <w:shd w:val="clear" w:color="auto" w:fill="auto"/>
            <w:vAlign w:val="center"/>
          </w:tcPr>
          <w:p w14:paraId="5BDF10B8">
            <w:pPr>
              <w:adjustRightInd w:val="0"/>
              <w:snapToGrid w:val="0"/>
              <w:jc w:val="center"/>
              <w:rPr>
                <w:rFonts w:ascii="宋体" w:hAnsi="宋体" w:eastAsia="宋体" w:cs="Times New Roman"/>
                <w:color w:val="auto"/>
              </w:rPr>
            </w:pPr>
            <w:r>
              <w:rPr>
                <w:rFonts w:ascii="宋体" w:hAnsi="宋体" w:eastAsia="宋体" w:cs="Times New Roman"/>
                <w:color w:val="auto"/>
              </w:rPr>
              <w:t>主要生态系统服务</w:t>
            </w:r>
          </w:p>
          <w:p w14:paraId="17913797">
            <w:pPr>
              <w:adjustRightInd w:val="0"/>
              <w:snapToGrid w:val="0"/>
              <w:jc w:val="center"/>
              <w:rPr>
                <w:rFonts w:ascii="宋体" w:hAnsi="宋体" w:eastAsia="宋体" w:cs="Times New Roman"/>
                <w:color w:val="auto"/>
              </w:rPr>
            </w:pPr>
            <w:r>
              <w:rPr>
                <w:rFonts w:ascii="宋体" w:hAnsi="宋体" w:eastAsia="宋体" w:cs="Times New Roman"/>
                <w:color w:val="auto"/>
              </w:rPr>
              <w:t>功能</w:t>
            </w:r>
          </w:p>
        </w:tc>
        <w:tc>
          <w:tcPr>
            <w:tcW w:w="1639" w:type="pct"/>
            <w:shd w:val="clear" w:color="auto" w:fill="auto"/>
            <w:vAlign w:val="center"/>
          </w:tcPr>
          <w:p w14:paraId="390E600A">
            <w:pPr>
              <w:adjustRightInd w:val="0"/>
              <w:snapToGrid w:val="0"/>
              <w:jc w:val="center"/>
              <w:rPr>
                <w:rFonts w:ascii="宋体" w:hAnsi="宋体" w:eastAsia="宋体" w:cs="Times New Roman"/>
                <w:color w:val="auto"/>
              </w:rPr>
            </w:pPr>
            <w:r>
              <w:rPr>
                <w:rFonts w:ascii="宋体" w:hAnsi="宋体" w:eastAsia="宋体" w:cs="Times New Roman"/>
                <w:color w:val="auto"/>
              </w:rPr>
              <w:t>保护措施与发展方向</w:t>
            </w:r>
          </w:p>
        </w:tc>
      </w:tr>
      <w:tr w14:paraId="7B738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467" w:type="pct"/>
            <w:shd w:val="clear" w:color="auto" w:fill="auto"/>
            <w:vAlign w:val="center"/>
          </w:tcPr>
          <w:p w14:paraId="1B63D53C">
            <w:pPr>
              <w:adjustRightInd w:val="0"/>
              <w:snapToGrid w:val="0"/>
              <w:jc w:val="center"/>
              <w:rPr>
                <w:rFonts w:ascii="宋体" w:hAnsi="宋体" w:eastAsia="宋体" w:cs="Times New Roman"/>
                <w:color w:val="auto"/>
              </w:rPr>
            </w:pPr>
            <w:r>
              <w:rPr>
                <w:rFonts w:ascii="宋体" w:hAnsi="宋体" w:eastAsia="宋体" w:cs="Times New Roman"/>
                <w:color w:val="auto"/>
              </w:rPr>
              <w:t>Ⅰ-6 松嫩平原西部草甸草原生态区</w:t>
            </w:r>
          </w:p>
        </w:tc>
        <w:tc>
          <w:tcPr>
            <w:tcW w:w="626" w:type="pct"/>
            <w:shd w:val="clear" w:color="auto" w:fill="auto"/>
            <w:vAlign w:val="center"/>
          </w:tcPr>
          <w:p w14:paraId="5FF80D7A">
            <w:pPr>
              <w:adjustRightInd w:val="0"/>
              <w:snapToGrid w:val="0"/>
              <w:jc w:val="center"/>
              <w:rPr>
                <w:rFonts w:ascii="宋体" w:hAnsi="宋体" w:eastAsia="宋体" w:cs="Times New Roman"/>
                <w:color w:val="auto"/>
              </w:rPr>
            </w:pPr>
            <w:r>
              <w:rPr>
                <w:rFonts w:ascii="宋体" w:hAnsi="宋体" w:eastAsia="宋体" w:cs="Times New Roman"/>
                <w:color w:val="auto"/>
              </w:rPr>
              <w:t>Ⅰ-6-1 松</w:t>
            </w:r>
          </w:p>
          <w:p w14:paraId="4A29E161">
            <w:pPr>
              <w:adjustRightInd w:val="0"/>
              <w:snapToGrid w:val="0"/>
              <w:jc w:val="center"/>
              <w:rPr>
                <w:rFonts w:ascii="宋体" w:hAnsi="宋体" w:eastAsia="宋体" w:cs="Times New Roman"/>
                <w:color w:val="auto"/>
              </w:rPr>
            </w:pPr>
            <w:r>
              <w:rPr>
                <w:rFonts w:ascii="宋体" w:hAnsi="宋体" w:eastAsia="宋体" w:cs="Times New Roman"/>
                <w:color w:val="auto"/>
              </w:rPr>
              <w:t>嫩平原西部草甸草原与农业生态亚区</w:t>
            </w:r>
          </w:p>
        </w:tc>
        <w:tc>
          <w:tcPr>
            <w:tcW w:w="1251" w:type="pct"/>
            <w:shd w:val="clear" w:color="auto" w:fill="auto"/>
            <w:vAlign w:val="center"/>
          </w:tcPr>
          <w:p w14:paraId="43B81AD5">
            <w:pPr>
              <w:spacing w:before="3"/>
              <w:ind w:left="143" w:right="110"/>
              <w:jc w:val="center"/>
              <w:rPr>
                <w:rFonts w:ascii="宋体" w:hAnsi="宋体" w:eastAsia="宋体" w:cs="Times New Roman"/>
                <w:color w:val="auto"/>
              </w:rPr>
            </w:pPr>
            <w:r>
              <w:rPr>
                <w:rFonts w:ascii="宋体" w:hAnsi="宋体" w:eastAsia="宋体" w:cs="Times New Roman"/>
                <w:color w:val="auto"/>
              </w:rPr>
              <w:t>Ⅰ-6-1-3安达-肇东-肇源农牧业与盐渍化控制生态功能区</w:t>
            </w:r>
          </w:p>
        </w:tc>
        <w:tc>
          <w:tcPr>
            <w:tcW w:w="1017" w:type="pct"/>
            <w:shd w:val="clear" w:color="auto" w:fill="auto"/>
            <w:vAlign w:val="center"/>
          </w:tcPr>
          <w:p w14:paraId="08EA39FE">
            <w:pPr>
              <w:spacing w:before="137"/>
              <w:ind w:left="139" w:right="110"/>
              <w:jc w:val="center"/>
              <w:rPr>
                <w:rFonts w:ascii="宋体" w:hAnsi="宋体" w:eastAsia="宋体" w:cs="Times New Roman"/>
                <w:color w:val="auto"/>
              </w:rPr>
            </w:pPr>
            <w:r>
              <w:rPr>
                <w:rFonts w:ascii="宋体" w:hAnsi="宋体" w:eastAsia="宋体" w:cs="Times New Roman"/>
                <w:color w:val="auto"/>
              </w:rPr>
              <w:t>盐渍化控制、生态系统产品提供</w:t>
            </w:r>
          </w:p>
        </w:tc>
        <w:tc>
          <w:tcPr>
            <w:tcW w:w="1639" w:type="pct"/>
            <w:shd w:val="clear" w:color="auto" w:fill="auto"/>
            <w:vAlign w:val="center"/>
          </w:tcPr>
          <w:p w14:paraId="1CBF8C3C">
            <w:pPr>
              <w:spacing w:before="1"/>
              <w:ind w:left="163" w:right="139"/>
              <w:jc w:val="center"/>
              <w:rPr>
                <w:rFonts w:ascii="宋体" w:hAnsi="宋体" w:eastAsia="宋体" w:cs="Times New Roman"/>
                <w:color w:val="auto"/>
              </w:rPr>
            </w:pPr>
            <w:r>
              <w:rPr>
                <w:rFonts w:ascii="宋体" w:hAnsi="宋体" w:eastAsia="宋体" w:cs="Times New Roman"/>
                <w:color w:val="auto"/>
              </w:rPr>
              <w:t>对草地进行恢复，禁止盲目开荒，对家畜实行圈养或轮牧，加大生态农业建设</w:t>
            </w:r>
          </w:p>
        </w:tc>
      </w:tr>
    </w:tbl>
    <w:p w14:paraId="1B13A733">
      <w:pPr>
        <w:pStyle w:val="276"/>
        <w:widowControl w:val="0"/>
        <w:ind w:firstLine="480"/>
        <w:jc w:val="both"/>
        <w:rPr>
          <w:iCs/>
          <w:color w:val="auto"/>
        </w:rPr>
      </w:pPr>
      <w:r>
        <w:rPr>
          <w:color w:val="auto"/>
        </w:rPr>
        <w:t>本项目类型属于油田开采项目，项目</w:t>
      </w:r>
      <w:r>
        <w:rPr>
          <w:iCs/>
          <w:color w:val="auto"/>
        </w:rPr>
        <w:t>建设不会对区域生态功能产生明显影响，满足该区域作为盐渍化控制、生态系统产品提供的生态系统服务功能需求。</w:t>
      </w:r>
    </w:p>
    <w:p w14:paraId="5C020C25">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项目所在位置在《肇源县国土空间总体规划</w:t>
      </w:r>
      <w:r>
        <w:rPr>
          <w:rFonts w:ascii="宋体" w:hAnsi="宋体" w:eastAsia="宋体" w:cs="Times New Roman"/>
          <w:b/>
          <w:bCs/>
          <w:color w:val="auto"/>
          <w:szCs w:val="28"/>
        </w:rPr>
        <w:t>(2021-2035年）》（源政发〔2024〕15号）中的定位</w:t>
      </w:r>
    </w:p>
    <w:p w14:paraId="5598BF42">
      <w:pPr>
        <w:pStyle w:val="276"/>
        <w:widowControl w:val="0"/>
        <w:ind w:firstLine="480"/>
        <w:jc w:val="both"/>
        <w:rPr>
          <w:color w:val="auto"/>
        </w:rPr>
      </w:pPr>
      <w:r>
        <w:rPr>
          <w:color w:val="auto"/>
        </w:rPr>
        <w:t>根据</w:t>
      </w:r>
      <w:r>
        <w:rPr>
          <w:rFonts w:hint="eastAsia"/>
          <w:color w:val="auto"/>
        </w:rPr>
        <w:t>《肇源县国土空间总体规划</w:t>
      </w:r>
      <w:r>
        <w:rPr>
          <w:color w:val="auto"/>
        </w:rPr>
        <w:t>(2021-2035年）》</w:t>
      </w:r>
      <w:r>
        <w:rPr>
          <w:rFonts w:hint="eastAsia"/>
          <w:color w:val="auto"/>
        </w:rPr>
        <w:t>（源政发〔</w:t>
      </w:r>
      <w:r>
        <w:rPr>
          <w:color w:val="auto"/>
        </w:rPr>
        <w:t>2024〕15号</w:t>
      </w:r>
      <w:r>
        <w:rPr>
          <w:rFonts w:hint="eastAsia"/>
          <w:color w:val="auto"/>
        </w:rPr>
        <w:t>）</w:t>
      </w:r>
      <w:r>
        <w:rPr>
          <w:color w:val="auto"/>
        </w:rPr>
        <w:t>，</w:t>
      </w:r>
      <w:r>
        <w:rPr>
          <w:rFonts w:hint="eastAsia"/>
          <w:color w:val="auto"/>
        </w:rPr>
        <w:t>本项目涉及</w:t>
      </w:r>
      <w:r>
        <w:rPr>
          <w:color w:val="auto"/>
        </w:rPr>
        <w:t>肇源县和平乡</w:t>
      </w:r>
      <w:r>
        <w:rPr>
          <w:rFonts w:hint="eastAsia"/>
          <w:color w:val="auto"/>
        </w:rPr>
        <w:t>、肇源镇，属于</w:t>
      </w:r>
      <w:r>
        <w:rPr>
          <w:color w:val="auto"/>
        </w:rPr>
        <w:t>肇源县城市化地区</w:t>
      </w:r>
      <w:r>
        <w:rPr>
          <w:rFonts w:hint="eastAsia"/>
          <w:color w:val="auto"/>
        </w:rPr>
        <w:t>和</w:t>
      </w:r>
      <w:r>
        <w:rPr>
          <w:color w:val="auto"/>
        </w:rPr>
        <w:t>农产品主产区</w:t>
      </w:r>
      <w:r>
        <w:rPr>
          <w:rFonts w:hint="eastAsia"/>
          <w:color w:val="auto"/>
        </w:rPr>
        <w:t>。详见表4</w:t>
      </w:r>
      <w:r>
        <w:rPr>
          <w:color w:val="auto"/>
        </w:rPr>
        <w:t>.4-2</w:t>
      </w:r>
      <w:r>
        <w:rPr>
          <w:rFonts w:hint="eastAsia"/>
          <w:color w:val="auto"/>
        </w:rPr>
        <w:t>。</w:t>
      </w:r>
    </w:p>
    <w:p w14:paraId="5FEE1C51">
      <w:pPr>
        <w:spacing w:before="163"/>
        <w:jc w:val="center"/>
        <w:rPr>
          <w:rFonts w:ascii="宋体" w:hAnsi="宋体" w:eastAsia="宋体" w:cs="Times New Roman"/>
          <w:color w:val="auto"/>
          <w:sz w:val="24"/>
          <w:szCs w:val="24"/>
        </w:rPr>
      </w:pPr>
      <w:r>
        <w:rPr>
          <w:rFonts w:ascii="宋体" w:hAnsi="宋体" w:eastAsia="宋体" w:cs="Times New Roman"/>
          <w:color w:val="auto"/>
          <w:sz w:val="24"/>
          <w:szCs w:val="24"/>
        </w:rPr>
        <w:t xml:space="preserve">表4.4-2  </w:t>
      </w:r>
      <w:r>
        <w:rPr>
          <w:rFonts w:hint="eastAsia" w:ascii="宋体" w:hAnsi="宋体" w:eastAsia="宋体" w:cs="Times New Roman"/>
          <w:color w:val="auto"/>
          <w:sz w:val="24"/>
          <w:szCs w:val="24"/>
        </w:rPr>
        <w:t>项目所在</w:t>
      </w:r>
      <w:r>
        <w:rPr>
          <w:rFonts w:ascii="宋体" w:hAnsi="宋体" w:eastAsia="宋体" w:cs="Times New Roman"/>
          <w:color w:val="auto"/>
          <w:sz w:val="24"/>
          <w:szCs w:val="24"/>
        </w:rPr>
        <w:t>位置的主体</w:t>
      </w:r>
      <w:r>
        <w:rPr>
          <w:rFonts w:hint="eastAsia" w:ascii="宋体" w:hAnsi="宋体" w:eastAsia="宋体" w:cs="Times New Roman"/>
          <w:color w:val="auto"/>
          <w:sz w:val="24"/>
          <w:szCs w:val="24"/>
        </w:rPr>
        <w:t>功能</w:t>
      </w:r>
      <w:r>
        <w:rPr>
          <w:rFonts w:ascii="宋体" w:hAnsi="宋体" w:eastAsia="宋体" w:cs="Times New Roman"/>
          <w:color w:val="auto"/>
          <w:sz w:val="24"/>
          <w:szCs w:val="24"/>
        </w:rPr>
        <w:t>区</w:t>
      </w:r>
      <w:r>
        <w:rPr>
          <w:rFonts w:hint="eastAsia" w:ascii="宋体" w:hAnsi="宋体" w:eastAsia="宋体" w:cs="Times New Roman"/>
          <w:color w:val="auto"/>
          <w:sz w:val="24"/>
          <w:szCs w:val="24"/>
        </w:rPr>
        <w:t>特点及发展方向一览表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7339"/>
      </w:tblGrid>
      <w:tr w14:paraId="51D7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pct"/>
            <w:shd w:val="clear" w:color="auto" w:fill="auto"/>
            <w:vAlign w:val="center"/>
          </w:tcPr>
          <w:p w14:paraId="4CC14B5B">
            <w:pPr>
              <w:jc w:val="center"/>
              <w:rPr>
                <w:rFonts w:ascii="宋体" w:hAnsi="宋体" w:eastAsia="宋体"/>
                <w:color w:val="auto"/>
              </w:rPr>
            </w:pPr>
            <w:r>
              <w:rPr>
                <w:rFonts w:hint="eastAsia" w:ascii="宋体" w:hAnsi="宋体" w:eastAsia="宋体"/>
                <w:color w:val="auto"/>
              </w:rPr>
              <w:t>项目</w:t>
            </w:r>
          </w:p>
        </w:tc>
        <w:tc>
          <w:tcPr>
            <w:tcW w:w="3951" w:type="pct"/>
            <w:shd w:val="clear" w:color="auto" w:fill="auto"/>
            <w:vAlign w:val="center"/>
          </w:tcPr>
          <w:p w14:paraId="2E74CC88">
            <w:pPr>
              <w:ind w:firstLine="480"/>
              <w:jc w:val="center"/>
              <w:rPr>
                <w:rFonts w:ascii="宋体" w:hAnsi="宋体" w:eastAsia="宋体"/>
                <w:color w:val="auto"/>
              </w:rPr>
            </w:pPr>
            <w:r>
              <w:rPr>
                <w:rFonts w:ascii="宋体" w:hAnsi="宋体" w:eastAsia="宋体"/>
                <w:color w:val="auto"/>
              </w:rPr>
              <w:t>功能区</w:t>
            </w:r>
            <w:r>
              <w:rPr>
                <w:rFonts w:hint="eastAsia" w:ascii="宋体" w:hAnsi="宋体" w:eastAsia="宋体"/>
                <w:color w:val="auto"/>
              </w:rPr>
              <w:t>划分</w:t>
            </w:r>
          </w:p>
        </w:tc>
      </w:tr>
      <w:tr w14:paraId="4476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pct"/>
            <w:shd w:val="clear" w:color="auto" w:fill="auto"/>
            <w:vAlign w:val="center"/>
          </w:tcPr>
          <w:p w14:paraId="4DDEB630">
            <w:pPr>
              <w:jc w:val="center"/>
              <w:rPr>
                <w:rFonts w:ascii="宋体" w:hAnsi="宋体" w:eastAsia="宋体"/>
                <w:color w:val="auto"/>
              </w:rPr>
            </w:pPr>
            <w:r>
              <w:rPr>
                <w:rFonts w:hint="eastAsia" w:ascii="宋体" w:hAnsi="宋体" w:eastAsia="宋体"/>
                <w:color w:val="auto"/>
              </w:rPr>
              <w:t>主体功能</w:t>
            </w:r>
          </w:p>
        </w:tc>
        <w:tc>
          <w:tcPr>
            <w:tcW w:w="3951" w:type="pct"/>
            <w:shd w:val="clear" w:color="auto" w:fill="auto"/>
            <w:vAlign w:val="center"/>
          </w:tcPr>
          <w:p w14:paraId="7400241B">
            <w:pPr>
              <w:jc w:val="center"/>
              <w:rPr>
                <w:rFonts w:ascii="宋体" w:hAnsi="宋体" w:eastAsia="宋体"/>
                <w:color w:val="auto"/>
              </w:rPr>
            </w:pPr>
            <w:r>
              <w:rPr>
                <w:rFonts w:ascii="宋体" w:hAnsi="宋体" w:eastAsia="宋体"/>
                <w:color w:val="auto"/>
              </w:rPr>
              <w:t> 落实省、市级国土空间规划主体功能区要求，确定肇源县主体功能定位为国家农产品主产区。落实大庆市规划细化以乡镇为单元的主体功能区部署，肇源县城市化地区为肇源镇；农产品主产区包括福兴乡、古龙镇、头台镇、新站镇、义顺蒙古族乡、和平乡、超等蒙古族乡、大兴乡、二站镇、古恰镇、浩德蒙古族乡、茂兴镇、民意乡和三站镇14个乡镇和1个肇源农场；重点生态功能区包括1个薄荷台乡和1个茂兴湖渔场</w:t>
            </w:r>
            <w:r>
              <w:rPr>
                <w:rFonts w:hint="eastAsia" w:ascii="宋体" w:hAnsi="宋体" w:eastAsia="宋体"/>
                <w:color w:val="auto"/>
              </w:rPr>
              <w:t>。</w:t>
            </w:r>
          </w:p>
        </w:tc>
      </w:tr>
      <w:tr w14:paraId="014C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pct"/>
            <w:shd w:val="clear" w:color="auto" w:fill="auto"/>
            <w:vAlign w:val="center"/>
          </w:tcPr>
          <w:p w14:paraId="7E6CD63C">
            <w:pPr>
              <w:jc w:val="center"/>
              <w:rPr>
                <w:rFonts w:ascii="宋体" w:hAnsi="宋体" w:eastAsia="宋体"/>
                <w:color w:val="auto"/>
              </w:rPr>
            </w:pPr>
            <w:r>
              <w:rPr>
                <w:rFonts w:hint="eastAsia" w:ascii="宋体" w:hAnsi="宋体" w:eastAsia="宋体"/>
                <w:color w:val="auto"/>
              </w:rPr>
              <w:t>发展目标</w:t>
            </w:r>
          </w:p>
        </w:tc>
        <w:tc>
          <w:tcPr>
            <w:tcW w:w="3951" w:type="pct"/>
            <w:shd w:val="clear" w:color="auto" w:fill="auto"/>
            <w:vAlign w:val="center"/>
          </w:tcPr>
          <w:p w14:paraId="3063C3DE">
            <w:pPr>
              <w:jc w:val="center"/>
              <w:rPr>
                <w:rFonts w:ascii="宋体" w:hAnsi="宋体" w:eastAsia="宋体"/>
                <w:color w:val="auto"/>
              </w:rPr>
            </w:pPr>
            <w:r>
              <w:rPr>
                <w:rFonts w:ascii="宋体" w:hAnsi="宋体" w:eastAsia="宋体"/>
                <w:color w:val="auto"/>
              </w:rPr>
              <w:t> 总体战略目标。全面建成以人民为中心的宜居宜业的生态文明城市，彰显田园风光、活力开放、人文魅力的新肇源。构建生产、生活、生态三大国土空间体系，实现国土空间治理体系和治理能力现代化。</w:t>
            </w:r>
          </w:p>
          <w:p w14:paraId="7E5DF017">
            <w:pPr>
              <w:jc w:val="center"/>
              <w:rPr>
                <w:rFonts w:ascii="宋体" w:hAnsi="宋体" w:eastAsia="宋体"/>
                <w:color w:val="auto"/>
              </w:rPr>
            </w:pPr>
            <w:r>
              <w:rPr>
                <w:rFonts w:ascii="宋体" w:hAnsi="宋体" w:eastAsia="宋体"/>
                <w:color w:val="auto"/>
              </w:rPr>
              <w:t>    规划至2025年，国土空间开发保护格局不断优化。耕地数量、质量、生态“三位一体”保护不断加强，生态空间比重与质量稳步提升；协同发展水平逐步提高，城镇建成区范围不断拓展，有效支撑重大产业项目落位。</w:t>
            </w:r>
          </w:p>
          <w:p w14:paraId="74D09764">
            <w:pPr>
              <w:jc w:val="center"/>
              <w:rPr>
                <w:rFonts w:ascii="宋体" w:hAnsi="宋体" w:eastAsia="宋体"/>
                <w:color w:val="auto"/>
              </w:rPr>
            </w:pPr>
            <w:r>
              <w:rPr>
                <w:rFonts w:ascii="宋体" w:hAnsi="宋体" w:eastAsia="宋体"/>
                <w:color w:val="auto"/>
              </w:rPr>
              <w:t>    规划至2035年，科学有序的国土空间开发与保护格局基本形成。农业农村空间优质高效，粮食安全格局更加稳固；生态环境质量得到根本改善，可持续发展能力全面提升；对外开放水平和创新能力明显增强，人民生活质量与健康水平显著提高，基本实现社会主义现代化。。</w:t>
            </w:r>
          </w:p>
        </w:tc>
      </w:tr>
      <w:tr w14:paraId="0AB2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 w:type="pct"/>
            <w:shd w:val="clear" w:color="auto" w:fill="auto"/>
            <w:vAlign w:val="center"/>
          </w:tcPr>
          <w:p w14:paraId="7A62E041">
            <w:pPr>
              <w:jc w:val="center"/>
              <w:rPr>
                <w:rFonts w:ascii="宋体" w:hAnsi="宋体" w:eastAsia="宋体"/>
                <w:color w:val="auto"/>
              </w:rPr>
            </w:pPr>
            <w:r>
              <w:rPr>
                <w:rFonts w:hint="eastAsia" w:ascii="宋体" w:hAnsi="宋体" w:eastAsia="宋体"/>
                <w:color w:val="auto"/>
              </w:rPr>
              <w:t>国土空间总体格局</w:t>
            </w:r>
          </w:p>
        </w:tc>
        <w:tc>
          <w:tcPr>
            <w:tcW w:w="3951" w:type="pct"/>
            <w:shd w:val="clear" w:color="auto" w:fill="auto"/>
            <w:vAlign w:val="center"/>
          </w:tcPr>
          <w:p w14:paraId="3E4225D6">
            <w:pPr>
              <w:jc w:val="center"/>
              <w:rPr>
                <w:rFonts w:ascii="宋体" w:hAnsi="宋体" w:eastAsia="宋体"/>
                <w:color w:val="auto"/>
              </w:rPr>
            </w:pPr>
            <w:r>
              <w:rPr>
                <w:rFonts w:hint="eastAsia" w:ascii="宋体" w:hAnsi="宋体" w:eastAsia="宋体"/>
                <w:color w:val="auto"/>
              </w:rPr>
              <w:t>以双评价、双评估分析为基础，统筹“山水林田湖草沙”等保护类要素和城乡、产业、交通等发展类要素布局，打造肇源县“一核三心两区，一带一廊两轴”的国土空间总体格局。</w:t>
            </w:r>
          </w:p>
        </w:tc>
      </w:tr>
    </w:tbl>
    <w:p w14:paraId="74D9315A">
      <w:pPr>
        <w:rPr>
          <w:rFonts w:ascii="宋体" w:hAnsi="宋体" w:eastAsia="宋体"/>
          <w:color w:val="auto"/>
        </w:rPr>
      </w:pPr>
    </w:p>
    <w:p w14:paraId="4B47518A">
      <w:pPr>
        <w:pStyle w:val="6"/>
        <w:rPr>
          <w:color w:val="auto"/>
        </w:rPr>
      </w:pPr>
      <w:r>
        <w:rPr>
          <w:color w:val="auto"/>
        </w:rPr>
        <w:t>生态系统调查</w:t>
      </w:r>
    </w:p>
    <w:p w14:paraId="0A10011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生态系统类型与生境质量现状</w:t>
      </w:r>
    </w:p>
    <w:p w14:paraId="2307712E">
      <w:pPr>
        <w:pStyle w:val="276"/>
        <w:widowControl w:val="0"/>
        <w:ind w:firstLine="480"/>
        <w:jc w:val="both"/>
        <w:rPr>
          <w:color w:val="auto"/>
          <w:kern w:val="2"/>
        </w:rPr>
      </w:pPr>
      <w:r>
        <w:rPr>
          <w:color w:val="auto"/>
          <w:kern w:val="2"/>
          <w:szCs w:val="20"/>
        </w:rPr>
        <w:t>生态系统指在自然界的一定的空间内，生物与环境构成的统一整体，在这个统一整体中，生物与环境之间相互影响、相互制约，并在一定时期内处于相对稳定的动态平衡状态。评价区生态系统调查是采用卫星影像数据，时相为2023年9月</w:t>
      </w:r>
      <w:r>
        <w:rPr>
          <w:color w:val="auto"/>
          <w:kern w:val="2"/>
        </w:rPr>
        <w:t>。</w:t>
      </w:r>
    </w:p>
    <w:p w14:paraId="6F8DBBAA">
      <w:pPr>
        <w:pStyle w:val="276"/>
        <w:widowControl w:val="0"/>
        <w:ind w:firstLine="480"/>
        <w:jc w:val="both"/>
        <w:rPr>
          <w:color w:val="auto"/>
          <w:kern w:val="2"/>
        </w:rPr>
      </w:pPr>
      <w:r>
        <w:rPr>
          <w:color w:val="auto"/>
          <w:kern w:val="2"/>
        </w:rPr>
        <w:t>根据植物区系、动物区系及其环境特点，依据《全国生态状况调查评估技术规范</w:t>
      </w:r>
      <w:r>
        <w:rPr>
          <w:rFonts w:hint="eastAsia"/>
          <w:color w:val="auto"/>
          <w:kern w:val="2"/>
        </w:rPr>
        <w:t>-</w:t>
      </w:r>
      <w:r>
        <w:rPr>
          <w:color w:val="auto"/>
          <w:kern w:val="2"/>
        </w:rPr>
        <w:t>生态系统遥感解译与野外核查》的分类方法，项目评价范围内生态系统类型主要有森林生态系统、草地生态系统，农田生态系统、城镇生态系统、湿地</w:t>
      </w:r>
      <w:r>
        <w:rPr>
          <w:color w:val="auto"/>
        </w:rPr>
        <w:t>生态系统</w:t>
      </w:r>
      <w:r>
        <w:rPr>
          <w:color w:val="auto"/>
          <w:kern w:val="2"/>
        </w:rPr>
        <w:t>等，各类生态系统的面积分布见表4.4-3。评价范围内生态系统类型较丰富，各类型分布面积差异明显。</w:t>
      </w:r>
    </w:p>
    <w:p w14:paraId="2B654D50">
      <w:pPr>
        <w:adjustRightInd w:val="0"/>
        <w:snapToGrid w:val="0"/>
        <w:spacing w:line="440" w:lineRule="exact"/>
        <w:ind w:firstLine="482"/>
        <w:jc w:val="center"/>
        <w:rPr>
          <w:rFonts w:ascii="宋体" w:hAnsi="宋体" w:eastAsia="宋体" w:cs="Times New Roman"/>
          <w:color w:val="auto"/>
        </w:rPr>
      </w:pPr>
      <w:r>
        <w:rPr>
          <w:rFonts w:ascii="宋体" w:hAnsi="宋体" w:eastAsia="宋体" w:cs="Times New Roman"/>
          <w:color w:val="auto"/>
        </w:rPr>
        <w:t>表4.4-3 评价范围内主要生态系统分布现状</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67"/>
        <w:gridCol w:w="2216"/>
        <w:gridCol w:w="2486"/>
        <w:gridCol w:w="2312"/>
      </w:tblGrid>
      <w:tr w14:paraId="7DDC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57" w:type="pct"/>
            <w:gridSpan w:val="2"/>
            <w:shd w:val="clear" w:color="auto" w:fill="auto"/>
            <w:vAlign w:val="center"/>
          </w:tcPr>
          <w:p w14:paraId="6853C6E8">
            <w:pPr>
              <w:adjustRightInd w:val="0"/>
              <w:snapToGrid w:val="0"/>
              <w:jc w:val="center"/>
              <w:rPr>
                <w:rFonts w:ascii="宋体" w:hAnsi="宋体" w:eastAsia="宋体" w:cs="Times New Roman"/>
                <w:color w:val="auto"/>
              </w:rPr>
            </w:pPr>
            <w:r>
              <w:rPr>
                <w:rFonts w:ascii="宋体" w:hAnsi="宋体" w:eastAsia="宋体" w:cs="Times New Roman"/>
                <w:color w:val="auto"/>
              </w:rPr>
              <w:t>生态系统类型</w:t>
            </w:r>
          </w:p>
        </w:tc>
        <w:tc>
          <w:tcPr>
            <w:tcW w:w="1369" w:type="pct"/>
            <w:vMerge w:val="restart"/>
            <w:shd w:val="clear" w:color="auto" w:fill="auto"/>
            <w:vAlign w:val="center"/>
          </w:tcPr>
          <w:p w14:paraId="7102B21B">
            <w:pPr>
              <w:adjustRightInd w:val="0"/>
              <w:snapToGrid w:val="0"/>
              <w:jc w:val="center"/>
              <w:rPr>
                <w:rFonts w:ascii="宋体" w:hAnsi="宋体" w:eastAsia="宋体" w:cs="Times New Roman"/>
                <w:color w:val="auto"/>
              </w:rPr>
            </w:pPr>
            <w:r>
              <w:rPr>
                <w:rFonts w:ascii="宋体" w:hAnsi="宋体" w:eastAsia="宋体" w:cs="Times New Roman"/>
                <w:color w:val="auto"/>
              </w:rPr>
              <w:t>面积（hm</w:t>
            </w:r>
            <w:r>
              <w:rPr>
                <w:rFonts w:ascii="宋体" w:hAnsi="宋体" w:eastAsia="宋体" w:cs="Times New Roman"/>
                <w:color w:val="auto"/>
                <w:vertAlign w:val="superscript"/>
              </w:rPr>
              <w:t>2</w:t>
            </w:r>
            <w:r>
              <w:rPr>
                <w:rFonts w:ascii="宋体" w:hAnsi="宋体" w:eastAsia="宋体" w:cs="Times New Roman"/>
                <w:color w:val="auto"/>
              </w:rPr>
              <w:t>）</w:t>
            </w:r>
          </w:p>
        </w:tc>
        <w:tc>
          <w:tcPr>
            <w:tcW w:w="1274" w:type="pct"/>
            <w:vMerge w:val="restart"/>
            <w:shd w:val="clear" w:color="auto" w:fill="auto"/>
            <w:vAlign w:val="center"/>
          </w:tcPr>
          <w:p w14:paraId="0F77B15E">
            <w:pPr>
              <w:adjustRightInd w:val="0"/>
              <w:snapToGrid w:val="0"/>
              <w:jc w:val="center"/>
              <w:rPr>
                <w:rFonts w:ascii="宋体" w:hAnsi="宋体" w:eastAsia="宋体" w:cs="Times New Roman"/>
                <w:color w:val="auto"/>
              </w:rPr>
            </w:pPr>
            <w:r>
              <w:rPr>
                <w:rFonts w:ascii="宋体" w:hAnsi="宋体" w:eastAsia="宋体" w:cs="Times New Roman"/>
                <w:color w:val="auto"/>
              </w:rPr>
              <w:t>比例（%）</w:t>
            </w:r>
          </w:p>
        </w:tc>
      </w:tr>
      <w:tr w14:paraId="62CA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38" w:type="pct"/>
            <w:shd w:val="clear" w:color="auto" w:fill="auto"/>
            <w:vAlign w:val="center"/>
          </w:tcPr>
          <w:p w14:paraId="0264E6E2">
            <w:pPr>
              <w:adjustRightInd w:val="0"/>
              <w:snapToGrid w:val="0"/>
              <w:jc w:val="center"/>
              <w:rPr>
                <w:rFonts w:ascii="宋体" w:hAnsi="宋体" w:eastAsia="宋体" w:cs="Times New Roman"/>
                <w:color w:val="auto"/>
              </w:rPr>
            </w:pPr>
            <w:r>
              <w:rPr>
                <w:rFonts w:ascii="宋体" w:hAnsi="宋体" w:eastAsia="宋体" w:cs="Times New Roman"/>
                <w:color w:val="auto"/>
              </w:rPr>
              <w:t>Ⅰ级分类</w:t>
            </w:r>
          </w:p>
        </w:tc>
        <w:tc>
          <w:tcPr>
            <w:tcW w:w="1220" w:type="pct"/>
            <w:shd w:val="clear" w:color="auto" w:fill="auto"/>
            <w:vAlign w:val="center"/>
          </w:tcPr>
          <w:p w14:paraId="73FA1EFA">
            <w:pPr>
              <w:adjustRightInd w:val="0"/>
              <w:snapToGrid w:val="0"/>
              <w:jc w:val="center"/>
              <w:rPr>
                <w:rFonts w:ascii="宋体" w:hAnsi="宋体" w:eastAsia="宋体" w:cs="Times New Roman"/>
                <w:color w:val="auto"/>
              </w:rPr>
            </w:pPr>
            <w:r>
              <w:rPr>
                <w:rFonts w:ascii="宋体" w:hAnsi="宋体" w:eastAsia="宋体" w:cs="Times New Roman"/>
                <w:color w:val="auto"/>
              </w:rPr>
              <w:t>Ⅱ级分类</w:t>
            </w:r>
          </w:p>
        </w:tc>
        <w:tc>
          <w:tcPr>
            <w:tcW w:w="1369" w:type="pct"/>
            <w:vMerge w:val="continue"/>
            <w:shd w:val="clear" w:color="auto" w:fill="auto"/>
            <w:vAlign w:val="center"/>
          </w:tcPr>
          <w:p w14:paraId="5D834379">
            <w:pPr>
              <w:adjustRightInd w:val="0"/>
              <w:snapToGrid w:val="0"/>
              <w:jc w:val="center"/>
              <w:rPr>
                <w:rFonts w:ascii="宋体" w:hAnsi="宋体" w:eastAsia="宋体" w:cs="Times New Roman"/>
                <w:color w:val="auto"/>
              </w:rPr>
            </w:pPr>
          </w:p>
        </w:tc>
        <w:tc>
          <w:tcPr>
            <w:tcW w:w="1274" w:type="pct"/>
            <w:vMerge w:val="continue"/>
            <w:shd w:val="clear" w:color="auto" w:fill="auto"/>
            <w:vAlign w:val="center"/>
          </w:tcPr>
          <w:p w14:paraId="0FC06408">
            <w:pPr>
              <w:adjustRightInd w:val="0"/>
              <w:snapToGrid w:val="0"/>
              <w:jc w:val="center"/>
              <w:rPr>
                <w:rFonts w:ascii="宋体" w:hAnsi="宋体" w:eastAsia="宋体" w:cs="Times New Roman"/>
                <w:color w:val="auto"/>
              </w:rPr>
            </w:pPr>
          </w:p>
        </w:tc>
      </w:tr>
      <w:tr w14:paraId="2181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38" w:type="pct"/>
            <w:shd w:val="clear" w:color="auto" w:fill="auto"/>
            <w:vAlign w:val="center"/>
          </w:tcPr>
          <w:p w14:paraId="066D4DE7">
            <w:pPr>
              <w:jc w:val="center"/>
              <w:textAlignment w:val="center"/>
              <w:rPr>
                <w:rFonts w:ascii="宋体" w:hAnsi="宋体" w:eastAsia="宋体" w:cs="Times New Roman"/>
                <w:color w:val="auto"/>
              </w:rPr>
            </w:pPr>
            <w:r>
              <w:rPr>
                <w:rFonts w:ascii="宋体" w:hAnsi="宋体" w:eastAsia="宋体" w:cs="Times New Roman"/>
                <w:color w:val="auto"/>
                <w:lang w:bidi="ar"/>
              </w:rPr>
              <w:t>森林生态系统</w:t>
            </w:r>
          </w:p>
        </w:tc>
        <w:tc>
          <w:tcPr>
            <w:tcW w:w="1220" w:type="pct"/>
            <w:shd w:val="clear" w:color="auto" w:fill="auto"/>
            <w:vAlign w:val="center"/>
          </w:tcPr>
          <w:p w14:paraId="2A524839">
            <w:pPr>
              <w:jc w:val="center"/>
              <w:textAlignment w:val="center"/>
              <w:rPr>
                <w:rFonts w:ascii="宋体" w:hAnsi="宋体" w:eastAsia="宋体" w:cs="Times New Roman"/>
                <w:color w:val="auto"/>
              </w:rPr>
            </w:pPr>
            <w:r>
              <w:rPr>
                <w:rFonts w:ascii="宋体" w:hAnsi="宋体" w:eastAsia="宋体" w:cs="Times New Roman"/>
                <w:color w:val="auto"/>
                <w:lang w:bidi="ar"/>
              </w:rPr>
              <w:t>阔叶林</w:t>
            </w:r>
          </w:p>
        </w:tc>
        <w:tc>
          <w:tcPr>
            <w:tcW w:w="1369" w:type="pct"/>
            <w:shd w:val="clear" w:color="auto" w:fill="auto"/>
            <w:vAlign w:val="center"/>
          </w:tcPr>
          <w:p w14:paraId="31A97A1D">
            <w:pPr>
              <w:jc w:val="center"/>
              <w:textAlignment w:val="center"/>
              <w:rPr>
                <w:rFonts w:ascii="宋体" w:hAnsi="宋体" w:eastAsia="宋体" w:cs="Times New Roman"/>
                <w:color w:val="auto"/>
              </w:rPr>
            </w:pPr>
            <w:r>
              <w:rPr>
                <w:rFonts w:hint="eastAsia" w:ascii="宋体" w:hAnsi="宋体" w:eastAsia="宋体" w:cs="Times New Roman"/>
                <w:color w:val="auto"/>
              </w:rPr>
              <w:t>4.65</w:t>
            </w:r>
          </w:p>
        </w:tc>
        <w:tc>
          <w:tcPr>
            <w:tcW w:w="1274" w:type="pct"/>
            <w:shd w:val="clear" w:color="auto" w:fill="auto"/>
            <w:vAlign w:val="center"/>
          </w:tcPr>
          <w:p w14:paraId="4DBE8858">
            <w:pPr>
              <w:jc w:val="center"/>
              <w:textAlignment w:val="center"/>
              <w:rPr>
                <w:rFonts w:ascii="宋体" w:hAnsi="宋体" w:eastAsia="宋体" w:cs="Times New Roman"/>
                <w:color w:val="auto"/>
              </w:rPr>
            </w:pPr>
            <w:r>
              <w:rPr>
                <w:rFonts w:hint="eastAsia" w:ascii="宋体" w:hAnsi="宋体" w:eastAsia="宋体" w:cs="Times New Roman"/>
                <w:color w:val="auto"/>
              </w:rPr>
              <w:t xml:space="preserve">3.07 </w:t>
            </w:r>
          </w:p>
        </w:tc>
      </w:tr>
      <w:tr w14:paraId="524F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38" w:type="pct"/>
            <w:shd w:val="clear" w:color="auto" w:fill="auto"/>
            <w:vAlign w:val="center"/>
          </w:tcPr>
          <w:p w14:paraId="00594875">
            <w:pPr>
              <w:jc w:val="center"/>
              <w:textAlignment w:val="center"/>
              <w:rPr>
                <w:rFonts w:ascii="宋体" w:hAnsi="宋体" w:eastAsia="宋体" w:cs="Times New Roman"/>
                <w:color w:val="auto"/>
              </w:rPr>
            </w:pPr>
            <w:r>
              <w:rPr>
                <w:rFonts w:ascii="宋体" w:hAnsi="宋体" w:eastAsia="宋体" w:cs="Times New Roman"/>
                <w:color w:val="auto"/>
                <w:lang w:bidi="ar"/>
              </w:rPr>
              <w:t>草地生态系统</w:t>
            </w:r>
          </w:p>
        </w:tc>
        <w:tc>
          <w:tcPr>
            <w:tcW w:w="1220" w:type="pct"/>
            <w:shd w:val="clear" w:color="auto" w:fill="auto"/>
            <w:vAlign w:val="center"/>
          </w:tcPr>
          <w:p w14:paraId="7C3D6C38">
            <w:pPr>
              <w:jc w:val="center"/>
              <w:textAlignment w:val="center"/>
              <w:rPr>
                <w:rFonts w:ascii="宋体" w:hAnsi="宋体" w:eastAsia="宋体" w:cs="Times New Roman"/>
                <w:color w:val="auto"/>
              </w:rPr>
            </w:pPr>
            <w:r>
              <w:rPr>
                <w:rFonts w:hint="eastAsia" w:ascii="宋体" w:hAnsi="宋体" w:eastAsia="宋体" w:cs="Times New Roman"/>
                <w:color w:val="auto"/>
                <w:lang w:bidi="ar"/>
              </w:rPr>
              <w:t>草丛</w:t>
            </w:r>
          </w:p>
        </w:tc>
        <w:tc>
          <w:tcPr>
            <w:tcW w:w="1369" w:type="pct"/>
            <w:shd w:val="clear" w:color="auto" w:fill="auto"/>
            <w:vAlign w:val="center"/>
          </w:tcPr>
          <w:p w14:paraId="5B6D97A1">
            <w:pPr>
              <w:jc w:val="center"/>
              <w:textAlignment w:val="center"/>
              <w:rPr>
                <w:rFonts w:ascii="宋体" w:hAnsi="宋体" w:eastAsia="宋体" w:cs="Times New Roman"/>
                <w:color w:val="auto"/>
              </w:rPr>
            </w:pPr>
            <w:r>
              <w:rPr>
                <w:rFonts w:hint="eastAsia" w:ascii="宋体" w:hAnsi="宋体" w:eastAsia="宋体" w:cs="Times New Roman"/>
                <w:color w:val="auto"/>
              </w:rPr>
              <w:t>12.28</w:t>
            </w:r>
          </w:p>
        </w:tc>
        <w:tc>
          <w:tcPr>
            <w:tcW w:w="1274" w:type="pct"/>
            <w:shd w:val="clear" w:color="auto" w:fill="auto"/>
            <w:vAlign w:val="center"/>
          </w:tcPr>
          <w:p w14:paraId="165EEA4F">
            <w:pPr>
              <w:jc w:val="center"/>
              <w:textAlignment w:val="center"/>
              <w:rPr>
                <w:rFonts w:ascii="宋体" w:hAnsi="宋体" w:eastAsia="宋体" w:cs="Times New Roman"/>
                <w:color w:val="auto"/>
              </w:rPr>
            </w:pPr>
            <w:r>
              <w:rPr>
                <w:rFonts w:hint="eastAsia" w:ascii="宋体" w:hAnsi="宋体" w:eastAsia="宋体" w:cs="Times New Roman"/>
                <w:color w:val="auto"/>
              </w:rPr>
              <w:t xml:space="preserve">8.12 </w:t>
            </w:r>
          </w:p>
        </w:tc>
      </w:tr>
      <w:tr w14:paraId="4BC0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38" w:type="pct"/>
            <w:shd w:val="clear" w:color="auto" w:fill="auto"/>
            <w:vAlign w:val="center"/>
          </w:tcPr>
          <w:p w14:paraId="5478E136">
            <w:pPr>
              <w:jc w:val="center"/>
              <w:textAlignment w:val="center"/>
              <w:rPr>
                <w:rFonts w:ascii="宋体" w:hAnsi="宋体" w:eastAsia="宋体" w:cs="Times New Roman"/>
                <w:color w:val="auto"/>
                <w:lang w:bidi="ar"/>
              </w:rPr>
            </w:pPr>
            <w:r>
              <w:rPr>
                <w:rFonts w:ascii="宋体" w:hAnsi="宋体" w:eastAsia="宋体" w:cs="Times New Roman"/>
                <w:color w:val="auto"/>
              </w:rPr>
              <w:t>湿地生态系统</w:t>
            </w:r>
          </w:p>
        </w:tc>
        <w:tc>
          <w:tcPr>
            <w:tcW w:w="1220" w:type="pct"/>
            <w:shd w:val="clear" w:color="auto" w:fill="auto"/>
            <w:vAlign w:val="center"/>
          </w:tcPr>
          <w:p w14:paraId="3C64BF04">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河流</w:t>
            </w:r>
          </w:p>
        </w:tc>
        <w:tc>
          <w:tcPr>
            <w:tcW w:w="1369" w:type="pct"/>
            <w:shd w:val="clear" w:color="auto" w:fill="auto"/>
            <w:vAlign w:val="center"/>
          </w:tcPr>
          <w:p w14:paraId="0000D399">
            <w:pPr>
              <w:jc w:val="center"/>
              <w:textAlignment w:val="center"/>
              <w:rPr>
                <w:rFonts w:ascii="宋体" w:hAnsi="宋体" w:eastAsia="宋体" w:cs="Times New Roman"/>
                <w:color w:val="auto"/>
              </w:rPr>
            </w:pPr>
            <w:r>
              <w:rPr>
                <w:rFonts w:hint="eastAsia" w:ascii="宋体" w:hAnsi="宋体" w:eastAsia="宋体" w:cs="Times New Roman"/>
                <w:color w:val="auto"/>
              </w:rPr>
              <w:t>2.12</w:t>
            </w:r>
          </w:p>
        </w:tc>
        <w:tc>
          <w:tcPr>
            <w:tcW w:w="1274" w:type="pct"/>
            <w:shd w:val="clear" w:color="auto" w:fill="auto"/>
            <w:vAlign w:val="center"/>
          </w:tcPr>
          <w:p w14:paraId="3AC25193">
            <w:pPr>
              <w:jc w:val="center"/>
              <w:textAlignment w:val="center"/>
              <w:rPr>
                <w:rFonts w:ascii="宋体" w:hAnsi="宋体" w:eastAsia="宋体" w:cs="Times New Roman"/>
                <w:color w:val="auto"/>
              </w:rPr>
            </w:pPr>
            <w:r>
              <w:rPr>
                <w:rFonts w:hint="eastAsia" w:ascii="宋体" w:hAnsi="宋体" w:eastAsia="宋体" w:cs="Times New Roman"/>
                <w:color w:val="auto"/>
              </w:rPr>
              <w:t xml:space="preserve">1.40 </w:t>
            </w:r>
          </w:p>
        </w:tc>
      </w:tr>
      <w:tr w14:paraId="7A09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38" w:type="pct"/>
            <w:shd w:val="clear" w:color="auto" w:fill="auto"/>
            <w:vAlign w:val="center"/>
          </w:tcPr>
          <w:p w14:paraId="2AB1C98E">
            <w:pPr>
              <w:jc w:val="center"/>
              <w:textAlignment w:val="center"/>
              <w:rPr>
                <w:rFonts w:ascii="宋体" w:hAnsi="宋体" w:eastAsia="宋体" w:cs="Times New Roman"/>
                <w:color w:val="auto"/>
              </w:rPr>
            </w:pPr>
            <w:r>
              <w:rPr>
                <w:rFonts w:ascii="宋体" w:hAnsi="宋体" w:eastAsia="宋体" w:cs="Times New Roman"/>
                <w:color w:val="auto"/>
                <w:lang w:bidi="ar"/>
              </w:rPr>
              <w:t>农田生态系统</w:t>
            </w:r>
          </w:p>
        </w:tc>
        <w:tc>
          <w:tcPr>
            <w:tcW w:w="1220" w:type="pct"/>
            <w:shd w:val="clear" w:color="auto" w:fill="auto"/>
            <w:vAlign w:val="center"/>
          </w:tcPr>
          <w:p w14:paraId="018E0DDA">
            <w:pPr>
              <w:jc w:val="center"/>
              <w:textAlignment w:val="center"/>
              <w:rPr>
                <w:rFonts w:ascii="宋体" w:hAnsi="宋体" w:eastAsia="宋体" w:cs="Times New Roman"/>
                <w:color w:val="auto"/>
              </w:rPr>
            </w:pPr>
            <w:r>
              <w:rPr>
                <w:rFonts w:ascii="宋体" w:hAnsi="宋体" w:eastAsia="宋体" w:cs="Times New Roman"/>
                <w:color w:val="auto"/>
                <w:lang w:bidi="ar"/>
              </w:rPr>
              <w:t>耕地</w:t>
            </w:r>
          </w:p>
        </w:tc>
        <w:tc>
          <w:tcPr>
            <w:tcW w:w="1369" w:type="pct"/>
            <w:shd w:val="clear" w:color="auto" w:fill="auto"/>
            <w:vAlign w:val="center"/>
          </w:tcPr>
          <w:p w14:paraId="41B61FB0">
            <w:pPr>
              <w:jc w:val="center"/>
              <w:textAlignment w:val="center"/>
              <w:rPr>
                <w:rFonts w:ascii="宋体" w:hAnsi="宋体" w:eastAsia="宋体" w:cs="Times New Roman"/>
                <w:color w:val="auto"/>
              </w:rPr>
            </w:pPr>
            <w:r>
              <w:rPr>
                <w:rFonts w:hint="eastAsia" w:ascii="宋体" w:hAnsi="宋体" w:eastAsia="宋体" w:cs="Times New Roman"/>
                <w:color w:val="auto"/>
              </w:rPr>
              <w:t>129.57</w:t>
            </w:r>
          </w:p>
        </w:tc>
        <w:tc>
          <w:tcPr>
            <w:tcW w:w="1274" w:type="pct"/>
            <w:shd w:val="clear" w:color="auto" w:fill="auto"/>
            <w:vAlign w:val="center"/>
          </w:tcPr>
          <w:p w14:paraId="02EA8553">
            <w:pPr>
              <w:jc w:val="center"/>
              <w:textAlignment w:val="center"/>
              <w:rPr>
                <w:rFonts w:ascii="宋体" w:hAnsi="宋体" w:eastAsia="宋体" w:cs="Times New Roman"/>
                <w:color w:val="auto"/>
              </w:rPr>
            </w:pPr>
            <w:r>
              <w:rPr>
                <w:rFonts w:hint="eastAsia" w:ascii="宋体" w:hAnsi="宋体" w:eastAsia="宋体" w:cs="Times New Roman"/>
                <w:color w:val="auto"/>
              </w:rPr>
              <w:t xml:space="preserve">85.64 </w:t>
            </w:r>
          </w:p>
        </w:tc>
      </w:tr>
      <w:tr w14:paraId="6DA9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38" w:type="pct"/>
            <w:vMerge w:val="restart"/>
            <w:shd w:val="clear" w:color="auto" w:fill="auto"/>
            <w:vAlign w:val="center"/>
          </w:tcPr>
          <w:p w14:paraId="569B63DF">
            <w:pPr>
              <w:jc w:val="center"/>
              <w:textAlignment w:val="center"/>
              <w:rPr>
                <w:rFonts w:ascii="宋体" w:hAnsi="宋体" w:eastAsia="宋体" w:cs="Times New Roman"/>
                <w:color w:val="auto"/>
                <w:lang w:bidi="ar"/>
              </w:rPr>
            </w:pPr>
            <w:r>
              <w:rPr>
                <w:rFonts w:ascii="宋体" w:hAnsi="宋体" w:eastAsia="宋体" w:cs="Times New Roman"/>
                <w:color w:val="auto"/>
                <w:lang w:bidi="ar"/>
              </w:rPr>
              <w:t>城镇生态系统</w:t>
            </w:r>
          </w:p>
        </w:tc>
        <w:tc>
          <w:tcPr>
            <w:tcW w:w="1220" w:type="pct"/>
            <w:shd w:val="clear" w:color="auto" w:fill="auto"/>
            <w:vAlign w:val="center"/>
          </w:tcPr>
          <w:p w14:paraId="22533AF4">
            <w:pPr>
              <w:jc w:val="center"/>
              <w:textAlignment w:val="center"/>
              <w:rPr>
                <w:rFonts w:ascii="宋体" w:hAnsi="宋体" w:eastAsia="宋体" w:cs="Times New Roman"/>
                <w:color w:val="auto"/>
              </w:rPr>
            </w:pPr>
            <w:r>
              <w:rPr>
                <w:rFonts w:ascii="宋体" w:hAnsi="宋体" w:eastAsia="宋体" w:cs="Times New Roman"/>
                <w:color w:val="auto"/>
                <w:lang w:bidi="ar"/>
              </w:rPr>
              <w:t>居住地</w:t>
            </w:r>
          </w:p>
        </w:tc>
        <w:tc>
          <w:tcPr>
            <w:tcW w:w="1369" w:type="pct"/>
            <w:shd w:val="clear" w:color="auto" w:fill="auto"/>
            <w:vAlign w:val="center"/>
          </w:tcPr>
          <w:p w14:paraId="6E096D6B">
            <w:pPr>
              <w:jc w:val="center"/>
              <w:textAlignment w:val="center"/>
              <w:rPr>
                <w:rFonts w:ascii="宋体" w:hAnsi="宋体" w:eastAsia="宋体" w:cs="Times New Roman"/>
                <w:color w:val="auto"/>
              </w:rPr>
            </w:pPr>
            <w:r>
              <w:rPr>
                <w:rFonts w:hint="eastAsia" w:ascii="宋体" w:hAnsi="宋体" w:eastAsia="宋体" w:cs="Times New Roman"/>
                <w:color w:val="auto"/>
              </w:rPr>
              <w:t>1.68</w:t>
            </w:r>
          </w:p>
        </w:tc>
        <w:tc>
          <w:tcPr>
            <w:tcW w:w="1274" w:type="pct"/>
            <w:shd w:val="clear" w:color="auto" w:fill="auto"/>
            <w:vAlign w:val="center"/>
          </w:tcPr>
          <w:p w14:paraId="7AB78659">
            <w:pPr>
              <w:jc w:val="center"/>
              <w:textAlignment w:val="center"/>
              <w:rPr>
                <w:rFonts w:ascii="宋体" w:hAnsi="宋体" w:eastAsia="宋体" w:cs="Times New Roman"/>
                <w:color w:val="auto"/>
              </w:rPr>
            </w:pPr>
            <w:r>
              <w:rPr>
                <w:rFonts w:hint="eastAsia" w:ascii="宋体" w:hAnsi="宋体" w:eastAsia="宋体" w:cs="Times New Roman"/>
                <w:color w:val="auto"/>
              </w:rPr>
              <w:t xml:space="preserve">1.11 </w:t>
            </w:r>
          </w:p>
        </w:tc>
      </w:tr>
      <w:tr w14:paraId="21A5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38" w:type="pct"/>
            <w:vMerge w:val="continue"/>
            <w:shd w:val="clear" w:color="auto" w:fill="auto"/>
            <w:vAlign w:val="center"/>
          </w:tcPr>
          <w:p w14:paraId="2C15A932">
            <w:pPr>
              <w:jc w:val="center"/>
              <w:textAlignment w:val="center"/>
              <w:rPr>
                <w:rFonts w:ascii="宋体" w:hAnsi="宋体" w:eastAsia="宋体" w:cs="Times New Roman"/>
                <w:color w:val="auto"/>
                <w:lang w:bidi="ar"/>
              </w:rPr>
            </w:pPr>
          </w:p>
        </w:tc>
        <w:tc>
          <w:tcPr>
            <w:tcW w:w="1220" w:type="pct"/>
            <w:shd w:val="clear" w:color="auto" w:fill="auto"/>
            <w:vAlign w:val="center"/>
          </w:tcPr>
          <w:p w14:paraId="56089CC8">
            <w:pPr>
              <w:jc w:val="center"/>
              <w:textAlignment w:val="center"/>
              <w:rPr>
                <w:rFonts w:ascii="宋体" w:hAnsi="宋体" w:eastAsia="宋体" w:cs="Times New Roman"/>
                <w:color w:val="auto"/>
                <w:lang w:bidi="ar"/>
              </w:rPr>
            </w:pPr>
            <w:r>
              <w:rPr>
                <w:rFonts w:ascii="宋体" w:hAnsi="宋体" w:eastAsia="宋体" w:cs="Times New Roman"/>
                <w:color w:val="auto"/>
                <w:lang w:bidi="ar"/>
              </w:rPr>
              <w:t>工矿交通</w:t>
            </w:r>
          </w:p>
        </w:tc>
        <w:tc>
          <w:tcPr>
            <w:tcW w:w="1369" w:type="pct"/>
            <w:shd w:val="clear" w:color="auto" w:fill="auto"/>
            <w:vAlign w:val="center"/>
          </w:tcPr>
          <w:p w14:paraId="237398A6">
            <w:pPr>
              <w:jc w:val="center"/>
              <w:textAlignment w:val="center"/>
              <w:rPr>
                <w:rFonts w:ascii="宋体" w:hAnsi="宋体" w:eastAsia="宋体" w:cs="Times New Roman"/>
                <w:color w:val="auto"/>
              </w:rPr>
            </w:pPr>
            <w:r>
              <w:rPr>
                <w:rFonts w:hint="eastAsia" w:ascii="宋体" w:hAnsi="宋体" w:eastAsia="宋体" w:cs="Times New Roman"/>
                <w:color w:val="auto"/>
              </w:rPr>
              <w:t>1.00</w:t>
            </w:r>
          </w:p>
        </w:tc>
        <w:tc>
          <w:tcPr>
            <w:tcW w:w="1274" w:type="pct"/>
            <w:shd w:val="clear" w:color="auto" w:fill="auto"/>
            <w:vAlign w:val="center"/>
          </w:tcPr>
          <w:p w14:paraId="24B3D2AD">
            <w:pPr>
              <w:jc w:val="center"/>
              <w:textAlignment w:val="center"/>
              <w:rPr>
                <w:rFonts w:ascii="宋体" w:hAnsi="宋体" w:eastAsia="宋体" w:cs="Times New Roman"/>
                <w:color w:val="auto"/>
              </w:rPr>
            </w:pPr>
            <w:r>
              <w:rPr>
                <w:rFonts w:hint="eastAsia" w:ascii="宋体" w:hAnsi="宋体" w:eastAsia="宋体" w:cs="Times New Roman"/>
                <w:color w:val="auto"/>
              </w:rPr>
              <w:t xml:space="preserve">0.66 </w:t>
            </w:r>
          </w:p>
        </w:tc>
      </w:tr>
      <w:tr w14:paraId="3026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357" w:type="pct"/>
            <w:gridSpan w:val="2"/>
            <w:shd w:val="clear" w:color="auto" w:fill="auto"/>
            <w:vAlign w:val="center"/>
          </w:tcPr>
          <w:p w14:paraId="77F842D8">
            <w:pPr>
              <w:jc w:val="center"/>
              <w:textAlignment w:val="center"/>
              <w:rPr>
                <w:rFonts w:ascii="宋体" w:hAnsi="宋体" w:eastAsia="宋体" w:cs="Times New Roman"/>
                <w:color w:val="auto"/>
              </w:rPr>
            </w:pPr>
            <w:r>
              <w:rPr>
                <w:rFonts w:ascii="宋体" w:hAnsi="宋体" w:eastAsia="宋体" w:cs="Times New Roman"/>
                <w:color w:val="auto"/>
                <w:lang w:bidi="ar"/>
              </w:rPr>
              <w:t>合计</w:t>
            </w:r>
          </w:p>
        </w:tc>
        <w:tc>
          <w:tcPr>
            <w:tcW w:w="1369" w:type="pct"/>
            <w:shd w:val="clear" w:color="auto" w:fill="auto"/>
            <w:vAlign w:val="center"/>
          </w:tcPr>
          <w:p w14:paraId="0A29492A">
            <w:pPr>
              <w:jc w:val="center"/>
              <w:textAlignment w:val="center"/>
              <w:rPr>
                <w:rFonts w:ascii="宋体" w:hAnsi="宋体" w:eastAsia="宋体" w:cs="Times New Roman"/>
                <w:color w:val="auto"/>
              </w:rPr>
            </w:pPr>
            <w:r>
              <w:rPr>
                <w:rFonts w:hint="eastAsia" w:ascii="宋体" w:hAnsi="宋体" w:eastAsia="宋体" w:cs="Times New Roman"/>
                <w:color w:val="auto"/>
              </w:rPr>
              <w:t>151.30</w:t>
            </w:r>
          </w:p>
        </w:tc>
        <w:tc>
          <w:tcPr>
            <w:tcW w:w="1274" w:type="pct"/>
            <w:shd w:val="clear" w:color="auto" w:fill="auto"/>
            <w:vAlign w:val="center"/>
          </w:tcPr>
          <w:p w14:paraId="6CE88AED">
            <w:pPr>
              <w:jc w:val="center"/>
              <w:textAlignment w:val="center"/>
              <w:rPr>
                <w:rFonts w:ascii="宋体" w:hAnsi="宋体" w:eastAsia="宋体" w:cs="Times New Roman"/>
                <w:color w:val="auto"/>
              </w:rPr>
            </w:pPr>
            <w:r>
              <w:rPr>
                <w:rFonts w:hint="eastAsia" w:ascii="宋体" w:hAnsi="宋体" w:eastAsia="宋体" w:cs="Times New Roman"/>
                <w:color w:val="auto"/>
              </w:rPr>
              <w:t xml:space="preserve">100.00 </w:t>
            </w:r>
          </w:p>
        </w:tc>
      </w:tr>
    </w:tbl>
    <w:p w14:paraId="603E9C23">
      <w:pPr>
        <w:pStyle w:val="276"/>
        <w:widowControl w:val="0"/>
        <w:ind w:firstLine="480"/>
        <w:jc w:val="both"/>
        <w:rPr>
          <w:color w:val="auto"/>
        </w:rPr>
      </w:pPr>
    </w:p>
    <w:p w14:paraId="51517D23">
      <w:pPr>
        <w:pStyle w:val="276"/>
        <w:widowControl w:val="0"/>
        <w:ind w:firstLine="480"/>
        <w:jc w:val="both"/>
        <w:rPr>
          <w:color w:val="auto"/>
        </w:rPr>
      </w:pPr>
      <w:r>
        <w:rPr>
          <w:color w:val="auto"/>
        </w:rPr>
        <w:t>由上表可知，本项目生态评价范围内主要生态系统为耕地，占地面积为</w:t>
      </w:r>
      <w:r>
        <w:rPr>
          <w:rFonts w:hint="eastAsia"/>
          <w:color w:val="auto"/>
        </w:rPr>
        <w:t>129.57</w:t>
      </w:r>
      <w:r>
        <w:rPr>
          <w:color w:val="auto"/>
        </w:rPr>
        <w:t>hm</w:t>
      </w:r>
      <w:r>
        <w:rPr>
          <w:color w:val="auto"/>
          <w:vertAlign w:val="superscript"/>
        </w:rPr>
        <w:t>2</w:t>
      </w:r>
      <w:r>
        <w:rPr>
          <w:color w:val="auto"/>
        </w:rPr>
        <w:t>，占评价范围的</w:t>
      </w:r>
      <w:r>
        <w:rPr>
          <w:rFonts w:hint="eastAsia"/>
          <w:color w:val="auto"/>
        </w:rPr>
        <w:t>85.64</w:t>
      </w:r>
      <w:r>
        <w:rPr>
          <w:color w:val="auto"/>
        </w:rPr>
        <w:t>%；其次为稀疏草地，占地面积为</w:t>
      </w:r>
      <w:r>
        <w:rPr>
          <w:rFonts w:hint="eastAsia"/>
          <w:color w:val="auto"/>
        </w:rPr>
        <w:t>12.28</w:t>
      </w:r>
      <w:r>
        <w:rPr>
          <w:color w:val="auto"/>
        </w:rPr>
        <w:t>hm</w:t>
      </w:r>
      <w:r>
        <w:rPr>
          <w:color w:val="auto"/>
          <w:vertAlign w:val="superscript"/>
        </w:rPr>
        <w:t>2</w:t>
      </w:r>
      <w:r>
        <w:rPr>
          <w:color w:val="auto"/>
        </w:rPr>
        <w:t>，占评价范围的</w:t>
      </w:r>
      <w:r>
        <w:rPr>
          <w:rFonts w:hint="eastAsia"/>
          <w:color w:val="auto"/>
        </w:rPr>
        <w:t>8.12</w:t>
      </w:r>
      <w:r>
        <w:rPr>
          <w:color w:val="auto"/>
        </w:rPr>
        <w:t>%；阔叶林占地面积为</w:t>
      </w:r>
      <w:r>
        <w:rPr>
          <w:rFonts w:hint="eastAsia"/>
          <w:color w:val="auto"/>
        </w:rPr>
        <w:t>4.65</w:t>
      </w:r>
      <w:r>
        <w:rPr>
          <w:color w:val="auto"/>
        </w:rPr>
        <w:t>hm</w:t>
      </w:r>
      <w:r>
        <w:rPr>
          <w:color w:val="auto"/>
          <w:vertAlign w:val="superscript"/>
        </w:rPr>
        <w:t>2</w:t>
      </w:r>
      <w:r>
        <w:rPr>
          <w:color w:val="auto"/>
        </w:rPr>
        <w:t>，占评价范围的</w:t>
      </w:r>
      <w:r>
        <w:rPr>
          <w:rFonts w:hint="eastAsia"/>
          <w:color w:val="auto"/>
        </w:rPr>
        <w:t>3.07</w:t>
      </w:r>
      <w:r>
        <w:rPr>
          <w:color w:val="auto"/>
        </w:rPr>
        <w:t>%；此外，评价范围内还分布有</w:t>
      </w:r>
      <w:r>
        <w:rPr>
          <w:rFonts w:hint="eastAsia"/>
          <w:color w:val="auto"/>
        </w:rPr>
        <w:t>河流</w:t>
      </w:r>
      <w:r>
        <w:rPr>
          <w:color w:val="auto"/>
        </w:rPr>
        <w:t>、居住地等，总占地面积为9</w:t>
      </w:r>
      <w:r>
        <w:rPr>
          <w:rFonts w:hint="eastAsia"/>
          <w:color w:val="auto"/>
        </w:rPr>
        <w:t>4.8</w:t>
      </w:r>
      <w:r>
        <w:rPr>
          <w:color w:val="auto"/>
        </w:rPr>
        <w:t>hm</w:t>
      </w:r>
      <w:r>
        <w:rPr>
          <w:color w:val="auto"/>
          <w:vertAlign w:val="superscript"/>
        </w:rPr>
        <w:t>2</w:t>
      </w:r>
      <w:r>
        <w:rPr>
          <w:color w:val="auto"/>
        </w:rPr>
        <w:t>，占评价范围的</w:t>
      </w:r>
      <w:r>
        <w:rPr>
          <w:rFonts w:hint="eastAsia"/>
          <w:color w:val="auto"/>
        </w:rPr>
        <w:t>3.17</w:t>
      </w:r>
      <w:r>
        <w:rPr>
          <w:color w:val="auto"/>
        </w:rPr>
        <w:t>%。本项目生态系统类型图见附图15。</w:t>
      </w:r>
    </w:p>
    <w:p w14:paraId="3E3A817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生态系统类型</w:t>
      </w:r>
      <w:r>
        <w:rPr>
          <w:rFonts w:hint="eastAsia" w:ascii="宋体" w:hAnsi="宋体" w:eastAsia="宋体" w:cs="Times New Roman"/>
          <w:b/>
          <w:bCs/>
          <w:color w:val="auto"/>
          <w:szCs w:val="28"/>
        </w:rPr>
        <w:t>特点</w:t>
      </w:r>
    </w:p>
    <w:p w14:paraId="65861663">
      <w:pPr>
        <w:pStyle w:val="276"/>
        <w:widowControl w:val="0"/>
        <w:ind w:firstLine="480"/>
        <w:jc w:val="both"/>
        <w:rPr>
          <w:color w:val="auto"/>
          <w:kern w:val="2"/>
        </w:rPr>
      </w:pPr>
      <w:r>
        <w:rPr>
          <w:rFonts w:hint="eastAsia"/>
          <w:color w:val="auto"/>
          <w:kern w:val="2"/>
        </w:rPr>
        <w:t>（</w:t>
      </w:r>
      <w:r>
        <w:rPr>
          <w:color w:val="auto"/>
          <w:kern w:val="2"/>
        </w:rPr>
        <w:t>1）森林生态系统（稀疏林）</w:t>
      </w:r>
    </w:p>
    <w:p w14:paraId="6415B179">
      <w:pPr>
        <w:pStyle w:val="276"/>
        <w:widowControl w:val="0"/>
        <w:ind w:firstLine="480"/>
        <w:jc w:val="both"/>
        <w:rPr>
          <w:color w:val="auto"/>
          <w:kern w:val="2"/>
        </w:rPr>
      </w:pPr>
      <w:r>
        <w:rPr>
          <w:rFonts w:hint="eastAsia"/>
          <w:color w:val="auto"/>
          <w:kern w:val="2"/>
        </w:rPr>
        <w:t>评价区位于平原区，森林生态系统以人工林为主，主要分布于田间、河岸、公</w:t>
      </w:r>
      <w:r>
        <w:rPr>
          <w:color w:val="auto"/>
          <w:kern w:val="2"/>
        </w:rPr>
        <w:t>路旁及居民点四周。植被主要为欧美杨、旱柳等。人工林 地郁闭度较高，生态系统结构比较简单，林下一般没有灌木分布，草本层植物种类不丰富，主要包括蒲公英、狗尾草、白茅等。尽管森林生态系统面积较小，但却具有非常重要的生态功能，例如涵养水源、水土保持、为野生动物提供栖息地，调节区域小气候等。</w:t>
      </w:r>
    </w:p>
    <w:p w14:paraId="2F46632C">
      <w:pPr>
        <w:pStyle w:val="276"/>
        <w:widowControl w:val="0"/>
        <w:ind w:firstLine="480"/>
        <w:jc w:val="both"/>
        <w:rPr>
          <w:color w:val="auto"/>
          <w:kern w:val="2"/>
        </w:rPr>
      </w:pPr>
      <w:r>
        <w:rPr>
          <w:rFonts w:hint="eastAsia"/>
          <w:color w:val="auto"/>
          <w:kern w:val="2"/>
        </w:rPr>
        <w:t>（</w:t>
      </w:r>
      <w:r>
        <w:rPr>
          <w:color w:val="auto"/>
          <w:kern w:val="2"/>
        </w:rPr>
        <w:t>2）草地生态系统（草甸）</w:t>
      </w:r>
    </w:p>
    <w:p w14:paraId="3A575E42">
      <w:pPr>
        <w:pStyle w:val="276"/>
        <w:widowControl w:val="0"/>
        <w:ind w:firstLine="480"/>
        <w:jc w:val="both"/>
        <w:rPr>
          <w:color w:val="auto"/>
          <w:kern w:val="2"/>
        </w:rPr>
      </w:pPr>
      <w:r>
        <w:rPr>
          <w:rFonts w:hint="eastAsia"/>
          <w:color w:val="auto"/>
          <w:kern w:val="2"/>
        </w:rPr>
        <w:t>评价区内草地中的自然植被类型主要有芦苇群落、白茅群落、</w:t>
      </w:r>
      <w:r>
        <w:rPr>
          <w:color w:val="auto"/>
          <w:kern w:val="2"/>
        </w:rPr>
        <w:t>碱蓬群落，还存在狗尾草、蒿类、荻、</w:t>
      </w:r>
      <w:r>
        <w:rPr>
          <w:rFonts w:hint="eastAsia"/>
          <w:color w:val="auto"/>
          <w:kern w:val="2"/>
        </w:rPr>
        <w:t>瓣蕊唐松草</w:t>
      </w:r>
      <w:r>
        <w:rPr>
          <w:color w:val="auto"/>
          <w:kern w:val="2"/>
        </w:rPr>
        <w:t>、地肤等原生植物。</w:t>
      </w:r>
    </w:p>
    <w:p w14:paraId="44C7EA8F">
      <w:pPr>
        <w:pStyle w:val="276"/>
        <w:widowControl w:val="0"/>
        <w:ind w:firstLine="480"/>
        <w:jc w:val="both"/>
        <w:rPr>
          <w:color w:val="auto"/>
          <w:kern w:val="2"/>
        </w:rPr>
      </w:pPr>
      <w:r>
        <w:rPr>
          <w:rFonts w:hint="eastAsia"/>
          <w:color w:val="auto"/>
          <w:kern w:val="2"/>
        </w:rPr>
        <w:t>（</w:t>
      </w:r>
      <w:r>
        <w:rPr>
          <w:color w:val="auto"/>
          <w:kern w:val="2"/>
        </w:rPr>
        <w:t>3）湿地生态系统（河流、沟渠、坑塘水面）</w:t>
      </w:r>
    </w:p>
    <w:p w14:paraId="447E4EF5">
      <w:pPr>
        <w:pStyle w:val="276"/>
        <w:widowControl w:val="0"/>
        <w:ind w:firstLine="480"/>
        <w:jc w:val="both"/>
        <w:rPr>
          <w:color w:val="auto"/>
          <w:kern w:val="2"/>
        </w:rPr>
      </w:pPr>
      <w:r>
        <w:rPr>
          <w:rFonts w:hint="eastAsia"/>
          <w:color w:val="auto"/>
          <w:kern w:val="2"/>
        </w:rPr>
        <w:t>评价区所在区域河流纵横、沟渠发达，多为排涝、灌溉河流，其共同特点是水</w:t>
      </w:r>
      <w:r>
        <w:rPr>
          <w:color w:val="auto"/>
          <w:kern w:val="2"/>
        </w:rPr>
        <w:t>流平稳，河床纵坡比小，坑塘较多，这里生物多样性较丰富，是评价区野生动物的最主要栖息地，主要的植被有水烛、小香蒲、芦苇、水莎草</w:t>
      </w:r>
      <w:r>
        <w:rPr>
          <w:rFonts w:hint="eastAsia"/>
          <w:color w:val="auto"/>
          <w:kern w:val="2"/>
        </w:rPr>
        <w:t>、</w:t>
      </w:r>
      <w:r>
        <w:rPr>
          <w:color w:val="auto"/>
        </w:rPr>
        <w:t>莲</w:t>
      </w:r>
      <w:r>
        <w:rPr>
          <w:color w:val="auto"/>
          <w:kern w:val="2"/>
        </w:rPr>
        <w:t>等。</w:t>
      </w:r>
    </w:p>
    <w:p w14:paraId="3CA7F322">
      <w:pPr>
        <w:pStyle w:val="276"/>
        <w:widowControl w:val="0"/>
        <w:ind w:firstLine="480"/>
        <w:jc w:val="both"/>
        <w:rPr>
          <w:color w:val="auto"/>
          <w:kern w:val="2"/>
        </w:rPr>
      </w:pPr>
      <w:r>
        <w:rPr>
          <w:rFonts w:hint="eastAsia"/>
          <w:color w:val="auto"/>
          <w:kern w:val="2"/>
        </w:rPr>
        <w:t>（</w:t>
      </w:r>
      <w:r>
        <w:rPr>
          <w:color w:val="auto"/>
          <w:kern w:val="2"/>
        </w:rPr>
        <w:t>4）农田生态系统（耕地）</w:t>
      </w:r>
    </w:p>
    <w:p w14:paraId="122728EF">
      <w:pPr>
        <w:pStyle w:val="276"/>
        <w:widowControl w:val="0"/>
        <w:ind w:firstLine="480"/>
        <w:jc w:val="both"/>
        <w:rPr>
          <w:color w:val="auto"/>
          <w:kern w:val="2"/>
        </w:rPr>
      </w:pPr>
      <w:r>
        <w:rPr>
          <w:rFonts w:hint="eastAsia"/>
          <w:color w:val="auto"/>
          <w:kern w:val="2"/>
        </w:rPr>
        <w:t>农田生态系统以种植水稻、玉米等农作物。由于人类的频繁抚育及化肥等外来营养物质的输入，使得该生态系统净第一性生产力</w:t>
      </w:r>
      <w:r>
        <w:rPr>
          <w:rFonts w:hint="eastAsia"/>
          <w:color w:val="auto"/>
        </w:rPr>
        <w:t>较高</w:t>
      </w:r>
      <w:r>
        <w:rPr>
          <w:rFonts w:hint="eastAsia"/>
          <w:color w:val="auto"/>
          <w:kern w:val="2"/>
        </w:rPr>
        <w:t>，对维持区域的生态环境质量，起到非常重要的作用。</w:t>
      </w:r>
    </w:p>
    <w:p w14:paraId="035A1A8A">
      <w:pPr>
        <w:pStyle w:val="276"/>
        <w:widowControl w:val="0"/>
        <w:ind w:firstLine="480"/>
        <w:jc w:val="both"/>
        <w:rPr>
          <w:color w:val="auto"/>
          <w:kern w:val="2"/>
        </w:rPr>
      </w:pPr>
      <w:r>
        <w:rPr>
          <w:rFonts w:hint="eastAsia"/>
          <w:color w:val="auto"/>
          <w:kern w:val="2"/>
        </w:rPr>
        <w:t>（</w:t>
      </w:r>
      <w:r>
        <w:rPr>
          <w:color w:val="auto"/>
          <w:kern w:val="2"/>
        </w:rPr>
        <w:t>5）城镇生态系统</w:t>
      </w:r>
    </w:p>
    <w:p w14:paraId="32B8DF13">
      <w:pPr>
        <w:pStyle w:val="276"/>
        <w:widowControl w:val="0"/>
        <w:ind w:firstLine="480"/>
        <w:jc w:val="both"/>
        <w:rPr>
          <w:color w:val="auto"/>
          <w:kern w:val="2"/>
        </w:rPr>
      </w:pPr>
      <w:r>
        <w:rPr>
          <w:rFonts w:hint="eastAsia"/>
          <w:color w:val="auto"/>
          <w:kern w:val="2"/>
        </w:rPr>
        <w:t>城镇生态系统以人为主体，人在其中不仅是主要的消费者，而且是整个系统的</w:t>
      </w:r>
      <w:r>
        <w:rPr>
          <w:color w:val="auto"/>
          <w:kern w:val="2"/>
        </w:rPr>
        <w:t>营造者；该系统几乎全是人工生态系统，其能量和物质运转均在人的控制下进行，居民所处的生物和非生物环境都已经过人工改造，是人类自我驯化的系统；该系统是不完全的开放性的生态系统，系统内无法完成物质循环和能量转换，许多输入物质经加工、</w:t>
      </w:r>
      <w:r>
        <w:rPr>
          <w:color w:val="auto"/>
        </w:rPr>
        <w:t>利用</w:t>
      </w:r>
      <w:r>
        <w:rPr>
          <w:color w:val="auto"/>
          <w:kern w:val="2"/>
        </w:rPr>
        <w:t>后又从本系统中输出（包括产品、废弃物、资金、技术、信息等）。该系统属于人类干扰最强烈的区域，植被覆盖率较低，生物多样性差，生态环境脆弱。</w:t>
      </w:r>
    </w:p>
    <w:p w14:paraId="7952A58E">
      <w:pPr>
        <w:pStyle w:val="6"/>
        <w:rPr>
          <w:color w:val="auto"/>
        </w:rPr>
      </w:pPr>
      <w:r>
        <w:rPr>
          <w:color w:val="auto"/>
        </w:rPr>
        <w:t>土地利用现状调查与评价</w:t>
      </w:r>
    </w:p>
    <w:p w14:paraId="72A627A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调查方法</w:t>
      </w:r>
    </w:p>
    <w:p w14:paraId="6B4B2CD1">
      <w:pPr>
        <w:pStyle w:val="276"/>
        <w:widowControl w:val="0"/>
        <w:ind w:firstLine="480"/>
        <w:jc w:val="both"/>
        <w:rPr>
          <w:color w:val="auto"/>
          <w:kern w:val="2"/>
        </w:rPr>
      </w:pPr>
      <w:r>
        <w:rPr>
          <w:color w:val="auto"/>
          <w:kern w:val="2"/>
        </w:rPr>
        <w:t>根据国家或相关行业标准，建立科学的</w:t>
      </w:r>
      <w:r>
        <w:rPr>
          <w:color w:val="auto"/>
        </w:rPr>
        <w:t>土地利用</w:t>
      </w:r>
      <w:r>
        <w:rPr>
          <w:color w:val="auto"/>
          <w:kern w:val="2"/>
        </w:rPr>
        <w:t>现状分类体系；利用卫星影像图作为基础数据源，对卫星遥感图像数据进行图像处理，结合野外踏勘资料及既有专题成果，建立基于土地利用现状分类系统的影像解译标志采用专题自动分类和人机交互解译相结合的方法，编制评价区土地利用现状图；采用遥感图像处理软件ArcGIS进行影像数据处理及专题矢量数据处理、分析。</w:t>
      </w:r>
    </w:p>
    <w:p w14:paraId="3E034C55">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调查结果</w:t>
      </w:r>
    </w:p>
    <w:p w14:paraId="1F941CD7">
      <w:pPr>
        <w:pStyle w:val="276"/>
        <w:widowControl w:val="0"/>
        <w:ind w:firstLine="480"/>
        <w:jc w:val="both"/>
        <w:rPr>
          <w:color w:val="auto"/>
          <w:kern w:val="2"/>
        </w:rPr>
      </w:pPr>
      <w:r>
        <w:rPr>
          <w:color w:val="auto"/>
          <w:kern w:val="2"/>
        </w:rPr>
        <w:t>根据现场踏勘来看，项目附近以耕地和草地为主。根据《土地利用现状分类》（GB/T21010-2017）中的土地资源分类标准，项目评价区域内的土地利用类型可划分为旱地、乔木林地、其他草地等</w:t>
      </w:r>
      <w:r>
        <w:rPr>
          <w:rFonts w:hint="eastAsia"/>
          <w:color w:val="auto"/>
          <w:kern w:val="2"/>
        </w:rPr>
        <w:t>12</w:t>
      </w:r>
      <w:r>
        <w:rPr>
          <w:color w:val="auto"/>
          <w:kern w:val="2"/>
        </w:rPr>
        <w:t>种类型，评价区土地利用类型现状见表4.4-4。</w:t>
      </w:r>
    </w:p>
    <w:p w14:paraId="10233448">
      <w:pPr>
        <w:spacing w:line="440" w:lineRule="exact"/>
        <w:ind w:firstLine="420" w:firstLineChars="200"/>
        <w:jc w:val="center"/>
        <w:rPr>
          <w:rFonts w:ascii="宋体" w:hAnsi="宋体" w:eastAsia="宋体" w:cs="Times New Roman"/>
          <w:color w:val="auto"/>
        </w:rPr>
      </w:pPr>
      <w:r>
        <w:rPr>
          <w:rFonts w:ascii="宋体" w:hAnsi="宋体" w:eastAsia="宋体" w:cs="Times New Roman"/>
          <w:color w:val="auto"/>
        </w:rPr>
        <w:t>表4.4-4 评价区土地利用现状一览表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2106"/>
        <w:gridCol w:w="3182"/>
        <w:gridCol w:w="1867"/>
        <w:gridCol w:w="1475"/>
      </w:tblGrid>
      <w:tr w14:paraId="406E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restart"/>
            <w:shd w:val="clear" w:color="auto" w:fill="auto"/>
            <w:noWrap/>
            <w:vAlign w:val="center"/>
          </w:tcPr>
          <w:p w14:paraId="31996F45">
            <w:pPr>
              <w:jc w:val="center"/>
              <w:textAlignment w:val="center"/>
              <w:rPr>
                <w:rFonts w:ascii="宋体" w:hAnsi="宋体" w:eastAsia="宋体" w:cs="Times New Roman"/>
                <w:color w:val="auto"/>
              </w:rPr>
            </w:pPr>
            <w:r>
              <w:rPr>
                <w:rFonts w:ascii="宋体" w:hAnsi="宋体" w:eastAsia="宋体" w:cs="Times New Roman"/>
                <w:color w:val="auto"/>
                <w:lang w:bidi="ar"/>
              </w:rPr>
              <w:t>序号</w:t>
            </w:r>
          </w:p>
        </w:tc>
        <w:tc>
          <w:tcPr>
            <w:tcW w:w="2727" w:type="pct"/>
            <w:gridSpan w:val="2"/>
            <w:shd w:val="clear" w:color="auto" w:fill="auto"/>
            <w:noWrap/>
            <w:vAlign w:val="center"/>
          </w:tcPr>
          <w:p w14:paraId="664E7DFC">
            <w:pPr>
              <w:jc w:val="center"/>
              <w:textAlignment w:val="center"/>
              <w:rPr>
                <w:rFonts w:ascii="宋体" w:hAnsi="宋体" w:eastAsia="宋体" w:cs="Times New Roman"/>
                <w:color w:val="auto"/>
              </w:rPr>
            </w:pPr>
            <w:r>
              <w:rPr>
                <w:rFonts w:ascii="宋体" w:hAnsi="宋体" w:eastAsia="宋体" w:cs="Times New Roman"/>
                <w:color w:val="auto"/>
                <w:lang w:bidi="ar"/>
              </w:rPr>
              <w:t>土地利用类型</w:t>
            </w:r>
          </w:p>
        </w:tc>
        <w:tc>
          <w:tcPr>
            <w:tcW w:w="1045" w:type="pct"/>
            <w:vMerge w:val="restart"/>
            <w:shd w:val="clear" w:color="auto" w:fill="auto"/>
            <w:noWrap/>
            <w:vAlign w:val="center"/>
          </w:tcPr>
          <w:p w14:paraId="6C44172B">
            <w:pPr>
              <w:jc w:val="center"/>
              <w:textAlignment w:val="center"/>
              <w:rPr>
                <w:rFonts w:ascii="宋体" w:hAnsi="宋体" w:eastAsia="宋体" w:cs="Times New Roman"/>
                <w:color w:val="auto"/>
              </w:rPr>
            </w:pPr>
            <w:r>
              <w:rPr>
                <w:rFonts w:ascii="宋体" w:hAnsi="宋体" w:eastAsia="宋体" w:cs="Times New Roman"/>
                <w:color w:val="auto"/>
                <w:lang w:bidi="ar"/>
              </w:rPr>
              <w:t>面积（hm</w:t>
            </w:r>
            <w:r>
              <w:rPr>
                <w:rFonts w:ascii="宋体" w:hAnsi="宋体" w:eastAsia="宋体" w:cs="Times New Roman"/>
                <w:color w:val="auto"/>
                <w:vertAlign w:val="superscript"/>
                <w:lang w:bidi="ar"/>
              </w:rPr>
              <w:t>2</w:t>
            </w:r>
            <w:r>
              <w:rPr>
                <w:rFonts w:ascii="宋体" w:hAnsi="宋体" w:eastAsia="宋体" w:cs="Times New Roman"/>
                <w:color w:val="auto"/>
                <w:lang w:bidi="ar"/>
              </w:rPr>
              <w:t>）</w:t>
            </w:r>
          </w:p>
        </w:tc>
        <w:tc>
          <w:tcPr>
            <w:tcW w:w="834" w:type="pct"/>
            <w:vMerge w:val="restart"/>
            <w:shd w:val="clear" w:color="auto" w:fill="auto"/>
            <w:noWrap/>
            <w:vAlign w:val="center"/>
          </w:tcPr>
          <w:p w14:paraId="0B39B8AC">
            <w:pPr>
              <w:jc w:val="center"/>
              <w:textAlignment w:val="center"/>
              <w:rPr>
                <w:rFonts w:ascii="宋体" w:hAnsi="宋体" w:eastAsia="宋体" w:cs="Times New Roman"/>
                <w:color w:val="auto"/>
              </w:rPr>
            </w:pPr>
            <w:r>
              <w:rPr>
                <w:rFonts w:ascii="宋体" w:hAnsi="宋体" w:eastAsia="宋体" w:cs="Times New Roman"/>
                <w:color w:val="auto"/>
                <w:lang w:bidi="ar"/>
              </w:rPr>
              <w:t>比例</w:t>
            </w:r>
          </w:p>
        </w:tc>
      </w:tr>
      <w:tr w14:paraId="6713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Merge w:val="continue"/>
            <w:shd w:val="clear" w:color="auto" w:fill="auto"/>
            <w:noWrap/>
            <w:vAlign w:val="center"/>
          </w:tcPr>
          <w:p w14:paraId="62E3A0B1">
            <w:pPr>
              <w:jc w:val="center"/>
              <w:rPr>
                <w:rFonts w:ascii="宋体" w:hAnsi="宋体" w:eastAsia="宋体" w:cs="Times New Roman"/>
                <w:color w:val="auto"/>
              </w:rPr>
            </w:pPr>
          </w:p>
        </w:tc>
        <w:tc>
          <w:tcPr>
            <w:tcW w:w="974" w:type="pct"/>
            <w:shd w:val="clear" w:color="auto" w:fill="auto"/>
            <w:noWrap/>
            <w:vAlign w:val="center"/>
          </w:tcPr>
          <w:p w14:paraId="5198A0F5">
            <w:pPr>
              <w:jc w:val="center"/>
              <w:textAlignment w:val="center"/>
              <w:rPr>
                <w:rFonts w:ascii="宋体" w:hAnsi="宋体" w:eastAsia="宋体" w:cs="Times New Roman"/>
                <w:color w:val="auto"/>
              </w:rPr>
            </w:pPr>
            <w:r>
              <w:rPr>
                <w:rFonts w:ascii="宋体" w:hAnsi="宋体" w:eastAsia="宋体" w:cs="Times New Roman"/>
                <w:color w:val="auto"/>
                <w:lang w:bidi="ar"/>
              </w:rPr>
              <w:t>一级分类</w:t>
            </w:r>
          </w:p>
        </w:tc>
        <w:tc>
          <w:tcPr>
            <w:tcW w:w="1753" w:type="pct"/>
            <w:shd w:val="clear" w:color="auto" w:fill="auto"/>
            <w:vAlign w:val="center"/>
          </w:tcPr>
          <w:p w14:paraId="6763BE1A">
            <w:pPr>
              <w:jc w:val="center"/>
              <w:textAlignment w:val="center"/>
              <w:rPr>
                <w:rFonts w:ascii="宋体" w:hAnsi="宋体" w:eastAsia="宋体" w:cs="Times New Roman"/>
                <w:color w:val="auto"/>
              </w:rPr>
            </w:pPr>
            <w:r>
              <w:rPr>
                <w:rFonts w:ascii="宋体" w:hAnsi="宋体" w:eastAsia="宋体" w:cs="Times New Roman"/>
                <w:color w:val="auto"/>
                <w:lang w:bidi="ar"/>
              </w:rPr>
              <w:t>二级分类</w:t>
            </w:r>
          </w:p>
        </w:tc>
        <w:tc>
          <w:tcPr>
            <w:tcW w:w="1045" w:type="pct"/>
            <w:vMerge w:val="continue"/>
            <w:shd w:val="clear" w:color="auto" w:fill="auto"/>
            <w:noWrap/>
            <w:vAlign w:val="center"/>
          </w:tcPr>
          <w:p w14:paraId="7880E93F">
            <w:pPr>
              <w:jc w:val="center"/>
              <w:rPr>
                <w:rFonts w:ascii="宋体" w:hAnsi="宋体" w:eastAsia="宋体" w:cs="Times New Roman"/>
                <w:color w:val="auto"/>
              </w:rPr>
            </w:pPr>
          </w:p>
        </w:tc>
        <w:tc>
          <w:tcPr>
            <w:tcW w:w="834" w:type="pct"/>
            <w:vMerge w:val="continue"/>
            <w:shd w:val="clear" w:color="auto" w:fill="auto"/>
            <w:noWrap/>
            <w:vAlign w:val="center"/>
          </w:tcPr>
          <w:p w14:paraId="0481151E">
            <w:pPr>
              <w:jc w:val="center"/>
              <w:rPr>
                <w:rFonts w:ascii="宋体" w:hAnsi="宋体" w:eastAsia="宋体" w:cs="Times New Roman"/>
                <w:color w:val="auto"/>
              </w:rPr>
            </w:pPr>
          </w:p>
        </w:tc>
      </w:tr>
      <w:tr w14:paraId="574B1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01193F19">
            <w:pPr>
              <w:jc w:val="center"/>
              <w:textAlignment w:val="center"/>
              <w:rPr>
                <w:rFonts w:ascii="宋体" w:hAnsi="宋体" w:eastAsia="宋体" w:cs="Times New Roman"/>
                <w:color w:val="auto"/>
              </w:rPr>
            </w:pPr>
            <w:r>
              <w:rPr>
                <w:rFonts w:ascii="宋体" w:hAnsi="宋体" w:eastAsia="宋体" w:cs="Times New Roman"/>
                <w:color w:val="auto"/>
                <w:lang w:bidi="ar"/>
              </w:rPr>
              <w:t>1</w:t>
            </w:r>
          </w:p>
        </w:tc>
        <w:tc>
          <w:tcPr>
            <w:tcW w:w="974" w:type="pct"/>
            <w:vMerge w:val="restart"/>
            <w:shd w:val="clear" w:color="auto" w:fill="auto"/>
            <w:noWrap/>
            <w:vAlign w:val="center"/>
          </w:tcPr>
          <w:p w14:paraId="40966332">
            <w:pPr>
              <w:jc w:val="center"/>
              <w:textAlignment w:val="center"/>
              <w:rPr>
                <w:rFonts w:ascii="宋体" w:hAnsi="宋体" w:eastAsia="宋体" w:cs="Times New Roman"/>
                <w:color w:val="auto"/>
              </w:rPr>
            </w:pPr>
            <w:r>
              <w:rPr>
                <w:rFonts w:ascii="宋体" w:hAnsi="宋体" w:eastAsia="宋体" w:cs="Times New Roman"/>
                <w:color w:val="auto"/>
                <w:lang w:bidi="ar"/>
              </w:rPr>
              <w:t>耕地</w:t>
            </w:r>
          </w:p>
        </w:tc>
        <w:tc>
          <w:tcPr>
            <w:tcW w:w="1753" w:type="pct"/>
            <w:shd w:val="clear" w:color="auto" w:fill="auto"/>
            <w:vAlign w:val="center"/>
          </w:tcPr>
          <w:p w14:paraId="64684915">
            <w:pPr>
              <w:jc w:val="center"/>
              <w:textAlignment w:val="center"/>
              <w:rPr>
                <w:rFonts w:ascii="宋体" w:hAnsi="宋体" w:eastAsia="宋体" w:cs="Times New Roman"/>
                <w:color w:val="auto"/>
              </w:rPr>
            </w:pPr>
            <w:r>
              <w:rPr>
                <w:rFonts w:hint="eastAsia" w:ascii="宋体" w:hAnsi="宋体" w:eastAsia="宋体" w:cs="Times New Roman"/>
                <w:color w:val="auto"/>
                <w:lang w:bidi="ar"/>
              </w:rPr>
              <w:t>0103</w:t>
            </w:r>
            <w:r>
              <w:rPr>
                <w:rFonts w:ascii="宋体" w:hAnsi="宋体" w:eastAsia="宋体" w:cs="Times New Roman"/>
                <w:color w:val="auto"/>
                <w:lang w:bidi="ar"/>
              </w:rPr>
              <w:t>旱地</w:t>
            </w:r>
          </w:p>
        </w:tc>
        <w:tc>
          <w:tcPr>
            <w:tcW w:w="1045" w:type="pct"/>
            <w:shd w:val="clear" w:color="auto" w:fill="auto"/>
            <w:noWrap/>
            <w:vAlign w:val="center"/>
          </w:tcPr>
          <w:p w14:paraId="0FC8A0B8">
            <w:pPr>
              <w:jc w:val="center"/>
              <w:textAlignment w:val="center"/>
              <w:rPr>
                <w:rFonts w:ascii="宋体" w:hAnsi="宋体" w:eastAsia="宋体" w:cs="Times New Roman"/>
                <w:color w:val="auto"/>
              </w:rPr>
            </w:pPr>
            <w:r>
              <w:rPr>
                <w:rFonts w:hint="eastAsia" w:ascii="宋体" w:hAnsi="宋体" w:eastAsia="宋体" w:cs="Times New Roman"/>
                <w:color w:val="auto"/>
              </w:rPr>
              <w:t>116.28</w:t>
            </w:r>
          </w:p>
        </w:tc>
        <w:tc>
          <w:tcPr>
            <w:tcW w:w="834" w:type="pct"/>
            <w:shd w:val="clear" w:color="auto" w:fill="auto"/>
            <w:noWrap/>
            <w:vAlign w:val="center"/>
          </w:tcPr>
          <w:p w14:paraId="1ECA7083">
            <w:pPr>
              <w:jc w:val="center"/>
              <w:textAlignment w:val="center"/>
              <w:rPr>
                <w:rFonts w:ascii="宋体" w:hAnsi="宋体" w:eastAsia="宋体" w:cs="Times New Roman"/>
                <w:color w:val="auto"/>
              </w:rPr>
            </w:pPr>
            <w:r>
              <w:rPr>
                <w:rFonts w:hint="eastAsia" w:ascii="宋体" w:hAnsi="宋体" w:eastAsia="宋体" w:cs="Times New Roman"/>
                <w:color w:val="auto"/>
              </w:rPr>
              <w:t xml:space="preserve">76.85 </w:t>
            </w:r>
          </w:p>
        </w:tc>
      </w:tr>
      <w:tr w14:paraId="6FB8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76DFAE62">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w:t>
            </w:r>
          </w:p>
        </w:tc>
        <w:tc>
          <w:tcPr>
            <w:tcW w:w="974" w:type="pct"/>
            <w:vMerge w:val="continue"/>
            <w:shd w:val="clear" w:color="auto" w:fill="auto"/>
            <w:noWrap/>
            <w:vAlign w:val="center"/>
          </w:tcPr>
          <w:p w14:paraId="7E31E6C6">
            <w:pPr>
              <w:jc w:val="center"/>
              <w:textAlignment w:val="center"/>
              <w:rPr>
                <w:rFonts w:ascii="宋体" w:hAnsi="宋体" w:eastAsia="宋体" w:cs="Times New Roman"/>
                <w:color w:val="auto"/>
                <w:lang w:bidi="ar"/>
              </w:rPr>
            </w:pPr>
          </w:p>
        </w:tc>
        <w:tc>
          <w:tcPr>
            <w:tcW w:w="1753" w:type="pct"/>
            <w:shd w:val="clear" w:color="auto" w:fill="auto"/>
            <w:vAlign w:val="center"/>
          </w:tcPr>
          <w:p w14:paraId="5B6F3FD3">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0101水田</w:t>
            </w:r>
          </w:p>
        </w:tc>
        <w:tc>
          <w:tcPr>
            <w:tcW w:w="1045" w:type="pct"/>
            <w:shd w:val="clear" w:color="auto" w:fill="auto"/>
            <w:noWrap/>
            <w:vAlign w:val="center"/>
          </w:tcPr>
          <w:p w14:paraId="55F07245">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13.29</w:t>
            </w:r>
          </w:p>
        </w:tc>
        <w:tc>
          <w:tcPr>
            <w:tcW w:w="834" w:type="pct"/>
            <w:shd w:val="clear" w:color="auto" w:fill="auto"/>
            <w:noWrap/>
            <w:vAlign w:val="center"/>
          </w:tcPr>
          <w:p w14:paraId="045C9B22">
            <w:pPr>
              <w:jc w:val="center"/>
              <w:textAlignment w:val="center"/>
              <w:rPr>
                <w:rFonts w:ascii="宋体" w:hAnsi="宋体" w:eastAsia="宋体" w:cs="Times New Roman"/>
                <w:color w:val="auto"/>
              </w:rPr>
            </w:pPr>
            <w:r>
              <w:rPr>
                <w:rFonts w:hint="eastAsia" w:ascii="宋体" w:hAnsi="宋体" w:eastAsia="宋体" w:cs="Times New Roman"/>
                <w:color w:val="auto"/>
              </w:rPr>
              <w:t xml:space="preserve">8.78 </w:t>
            </w:r>
          </w:p>
        </w:tc>
      </w:tr>
      <w:tr w14:paraId="4685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06D2B2B5">
            <w:pPr>
              <w:jc w:val="center"/>
              <w:textAlignment w:val="center"/>
              <w:rPr>
                <w:rFonts w:ascii="宋体" w:hAnsi="宋体" w:eastAsia="宋体" w:cs="Times New Roman"/>
                <w:color w:val="auto"/>
              </w:rPr>
            </w:pPr>
            <w:r>
              <w:rPr>
                <w:rFonts w:ascii="宋体" w:hAnsi="宋体" w:eastAsia="宋体" w:cs="Times New Roman"/>
                <w:color w:val="auto"/>
                <w:lang w:bidi="ar"/>
              </w:rPr>
              <w:t>3</w:t>
            </w:r>
          </w:p>
        </w:tc>
        <w:tc>
          <w:tcPr>
            <w:tcW w:w="974" w:type="pct"/>
            <w:vMerge w:val="restart"/>
            <w:shd w:val="clear" w:color="auto" w:fill="auto"/>
            <w:noWrap/>
            <w:vAlign w:val="center"/>
          </w:tcPr>
          <w:p w14:paraId="5C1E72BD">
            <w:pPr>
              <w:jc w:val="center"/>
              <w:textAlignment w:val="center"/>
              <w:rPr>
                <w:rFonts w:ascii="宋体" w:hAnsi="宋体" w:eastAsia="宋体" w:cs="Times New Roman"/>
                <w:color w:val="auto"/>
              </w:rPr>
            </w:pPr>
            <w:r>
              <w:rPr>
                <w:rFonts w:ascii="宋体" w:hAnsi="宋体" w:eastAsia="宋体" w:cs="Times New Roman"/>
                <w:color w:val="auto"/>
                <w:lang w:bidi="ar"/>
              </w:rPr>
              <w:t>林地</w:t>
            </w:r>
          </w:p>
        </w:tc>
        <w:tc>
          <w:tcPr>
            <w:tcW w:w="1753" w:type="pct"/>
            <w:shd w:val="clear" w:color="auto" w:fill="auto"/>
            <w:vAlign w:val="center"/>
          </w:tcPr>
          <w:p w14:paraId="1724A437">
            <w:pPr>
              <w:jc w:val="center"/>
              <w:textAlignment w:val="center"/>
              <w:rPr>
                <w:rFonts w:ascii="宋体" w:hAnsi="宋体" w:eastAsia="宋体" w:cs="Times New Roman"/>
                <w:color w:val="auto"/>
              </w:rPr>
            </w:pPr>
            <w:r>
              <w:rPr>
                <w:rFonts w:hint="eastAsia" w:ascii="宋体" w:hAnsi="宋体" w:eastAsia="宋体" w:cs="Times New Roman"/>
                <w:color w:val="auto"/>
              </w:rPr>
              <w:t>0301</w:t>
            </w:r>
            <w:r>
              <w:rPr>
                <w:rFonts w:ascii="宋体" w:hAnsi="宋体" w:eastAsia="宋体" w:cs="Times New Roman"/>
                <w:color w:val="auto"/>
              </w:rPr>
              <w:t>乔木林地</w:t>
            </w:r>
          </w:p>
        </w:tc>
        <w:tc>
          <w:tcPr>
            <w:tcW w:w="1045" w:type="pct"/>
            <w:shd w:val="clear" w:color="auto" w:fill="auto"/>
            <w:noWrap/>
            <w:vAlign w:val="center"/>
          </w:tcPr>
          <w:p w14:paraId="73BC8681">
            <w:pPr>
              <w:jc w:val="center"/>
              <w:textAlignment w:val="center"/>
              <w:rPr>
                <w:rFonts w:ascii="宋体" w:hAnsi="宋体" w:eastAsia="宋体" w:cs="Times New Roman"/>
                <w:color w:val="auto"/>
              </w:rPr>
            </w:pPr>
            <w:r>
              <w:rPr>
                <w:rFonts w:hint="eastAsia" w:ascii="宋体" w:hAnsi="宋体" w:eastAsia="宋体" w:cs="Times New Roman"/>
                <w:color w:val="auto"/>
              </w:rPr>
              <w:t>4.35</w:t>
            </w:r>
          </w:p>
        </w:tc>
        <w:tc>
          <w:tcPr>
            <w:tcW w:w="834" w:type="pct"/>
            <w:shd w:val="clear" w:color="auto" w:fill="auto"/>
            <w:noWrap/>
            <w:vAlign w:val="center"/>
          </w:tcPr>
          <w:p w14:paraId="2280E95E">
            <w:pPr>
              <w:jc w:val="center"/>
              <w:textAlignment w:val="center"/>
              <w:rPr>
                <w:rFonts w:ascii="宋体" w:hAnsi="宋体" w:eastAsia="宋体" w:cs="Times New Roman"/>
                <w:color w:val="auto"/>
              </w:rPr>
            </w:pPr>
            <w:r>
              <w:rPr>
                <w:rFonts w:hint="eastAsia" w:ascii="宋体" w:hAnsi="宋体" w:eastAsia="宋体" w:cs="Times New Roman"/>
                <w:color w:val="auto"/>
              </w:rPr>
              <w:t>2.88</w:t>
            </w:r>
          </w:p>
        </w:tc>
      </w:tr>
      <w:tr w14:paraId="2DF6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0ABAA1BA">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4</w:t>
            </w:r>
          </w:p>
        </w:tc>
        <w:tc>
          <w:tcPr>
            <w:tcW w:w="974" w:type="pct"/>
            <w:vMerge w:val="continue"/>
            <w:shd w:val="clear" w:color="auto" w:fill="auto"/>
            <w:noWrap/>
            <w:vAlign w:val="center"/>
          </w:tcPr>
          <w:p w14:paraId="34DB1D62">
            <w:pPr>
              <w:jc w:val="center"/>
              <w:textAlignment w:val="center"/>
              <w:rPr>
                <w:rFonts w:ascii="宋体" w:hAnsi="宋体" w:eastAsia="宋体" w:cs="Times New Roman"/>
                <w:color w:val="auto"/>
                <w:lang w:bidi="ar"/>
              </w:rPr>
            </w:pPr>
          </w:p>
        </w:tc>
        <w:tc>
          <w:tcPr>
            <w:tcW w:w="1753" w:type="pct"/>
            <w:shd w:val="clear" w:color="auto" w:fill="auto"/>
            <w:vAlign w:val="center"/>
          </w:tcPr>
          <w:p w14:paraId="55031703">
            <w:pPr>
              <w:jc w:val="center"/>
              <w:textAlignment w:val="center"/>
              <w:rPr>
                <w:rFonts w:ascii="宋体" w:hAnsi="宋体" w:eastAsia="宋体" w:cs="Times New Roman"/>
                <w:color w:val="auto"/>
                <w:lang w:bidi="ar"/>
              </w:rPr>
            </w:pPr>
            <w:r>
              <w:rPr>
                <w:rFonts w:hint="eastAsia" w:ascii="宋体" w:hAnsi="宋体" w:eastAsia="宋体" w:cs="Times New Roman"/>
                <w:color w:val="auto"/>
              </w:rPr>
              <w:t>0307</w:t>
            </w:r>
            <w:r>
              <w:rPr>
                <w:rFonts w:ascii="宋体" w:hAnsi="宋体" w:eastAsia="宋体" w:cs="Times New Roman"/>
                <w:color w:val="auto"/>
              </w:rPr>
              <w:t>其他林地</w:t>
            </w:r>
          </w:p>
        </w:tc>
        <w:tc>
          <w:tcPr>
            <w:tcW w:w="1045" w:type="pct"/>
            <w:shd w:val="clear" w:color="auto" w:fill="auto"/>
            <w:noWrap/>
            <w:vAlign w:val="center"/>
          </w:tcPr>
          <w:p w14:paraId="7296A2D5">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0.30</w:t>
            </w:r>
          </w:p>
        </w:tc>
        <w:tc>
          <w:tcPr>
            <w:tcW w:w="834" w:type="pct"/>
            <w:shd w:val="clear" w:color="auto" w:fill="auto"/>
            <w:noWrap/>
            <w:vAlign w:val="center"/>
          </w:tcPr>
          <w:p w14:paraId="17F1AFEE">
            <w:pPr>
              <w:jc w:val="center"/>
              <w:textAlignment w:val="center"/>
              <w:rPr>
                <w:rFonts w:ascii="宋体" w:hAnsi="宋体" w:eastAsia="宋体" w:cs="Times New Roman"/>
                <w:color w:val="auto"/>
              </w:rPr>
            </w:pPr>
            <w:r>
              <w:rPr>
                <w:rFonts w:hint="eastAsia" w:ascii="宋体" w:hAnsi="宋体" w:eastAsia="宋体" w:cs="Times New Roman"/>
                <w:color w:val="auto"/>
              </w:rPr>
              <w:t>0.20</w:t>
            </w:r>
          </w:p>
        </w:tc>
      </w:tr>
      <w:tr w14:paraId="5101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773AE533">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5</w:t>
            </w:r>
          </w:p>
        </w:tc>
        <w:tc>
          <w:tcPr>
            <w:tcW w:w="974" w:type="pct"/>
            <w:shd w:val="clear" w:color="auto" w:fill="auto"/>
            <w:noWrap/>
            <w:vAlign w:val="center"/>
          </w:tcPr>
          <w:p w14:paraId="2977C8B2">
            <w:pPr>
              <w:jc w:val="center"/>
              <w:textAlignment w:val="center"/>
              <w:rPr>
                <w:rFonts w:ascii="宋体" w:hAnsi="宋体" w:eastAsia="宋体" w:cs="Times New Roman"/>
                <w:color w:val="auto"/>
              </w:rPr>
            </w:pPr>
            <w:r>
              <w:rPr>
                <w:rFonts w:ascii="宋体" w:hAnsi="宋体" w:eastAsia="宋体" w:cs="Times New Roman"/>
                <w:color w:val="auto"/>
                <w:lang w:bidi="ar"/>
              </w:rPr>
              <w:t>草地</w:t>
            </w:r>
          </w:p>
        </w:tc>
        <w:tc>
          <w:tcPr>
            <w:tcW w:w="1753" w:type="pct"/>
            <w:shd w:val="clear" w:color="auto" w:fill="auto"/>
            <w:vAlign w:val="center"/>
          </w:tcPr>
          <w:p w14:paraId="735B0F2E">
            <w:pPr>
              <w:jc w:val="center"/>
              <w:textAlignment w:val="center"/>
              <w:rPr>
                <w:rFonts w:ascii="宋体" w:hAnsi="宋体" w:eastAsia="宋体" w:cs="Times New Roman"/>
                <w:color w:val="auto"/>
              </w:rPr>
            </w:pPr>
            <w:r>
              <w:rPr>
                <w:rFonts w:hint="eastAsia" w:ascii="宋体" w:hAnsi="宋体" w:eastAsia="宋体" w:cs="Times New Roman"/>
                <w:color w:val="auto"/>
                <w:lang w:bidi="ar"/>
              </w:rPr>
              <w:t>0404</w:t>
            </w:r>
            <w:r>
              <w:rPr>
                <w:rFonts w:ascii="宋体" w:hAnsi="宋体" w:eastAsia="宋体" w:cs="Times New Roman"/>
                <w:color w:val="auto"/>
                <w:lang w:bidi="ar"/>
              </w:rPr>
              <w:t>其他草地</w:t>
            </w:r>
          </w:p>
        </w:tc>
        <w:tc>
          <w:tcPr>
            <w:tcW w:w="1045" w:type="pct"/>
            <w:shd w:val="clear" w:color="auto" w:fill="auto"/>
            <w:noWrap/>
            <w:vAlign w:val="center"/>
          </w:tcPr>
          <w:p w14:paraId="07625299">
            <w:pPr>
              <w:jc w:val="center"/>
              <w:textAlignment w:val="center"/>
              <w:rPr>
                <w:rFonts w:ascii="宋体" w:hAnsi="宋体" w:eastAsia="宋体" w:cs="Times New Roman"/>
                <w:color w:val="auto"/>
              </w:rPr>
            </w:pPr>
            <w:r>
              <w:rPr>
                <w:rFonts w:hint="eastAsia" w:ascii="宋体" w:hAnsi="宋体" w:eastAsia="宋体" w:cs="Times New Roman"/>
                <w:color w:val="auto"/>
              </w:rPr>
              <w:t>12.28</w:t>
            </w:r>
          </w:p>
        </w:tc>
        <w:tc>
          <w:tcPr>
            <w:tcW w:w="834" w:type="pct"/>
            <w:shd w:val="clear" w:color="auto" w:fill="auto"/>
            <w:noWrap/>
            <w:vAlign w:val="center"/>
          </w:tcPr>
          <w:p w14:paraId="620766DC">
            <w:pPr>
              <w:jc w:val="center"/>
              <w:textAlignment w:val="center"/>
              <w:rPr>
                <w:rFonts w:ascii="宋体" w:hAnsi="宋体" w:eastAsia="宋体" w:cs="Times New Roman"/>
                <w:color w:val="auto"/>
              </w:rPr>
            </w:pPr>
            <w:r>
              <w:rPr>
                <w:rFonts w:hint="eastAsia" w:ascii="宋体" w:hAnsi="宋体" w:eastAsia="宋体" w:cs="Times New Roman"/>
                <w:color w:val="auto"/>
              </w:rPr>
              <w:t xml:space="preserve">8.12 </w:t>
            </w:r>
          </w:p>
        </w:tc>
      </w:tr>
      <w:tr w14:paraId="31A7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537B84C6">
            <w:pPr>
              <w:jc w:val="center"/>
              <w:textAlignment w:val="center"/>
              <w:rPr>
                <w:rFonts w:ascii="宋体" w:hAnsi="宋体" w:eastAsia="宋体" w:cs="Times New Roman"/>
                <w:color w:val="auto"/>
              </w:rPr>
            </w:pPr>
            <w:r>
              <w:rPr>
                <w:rFonts w:hint="eastAsia" w:ascii="宋体" w:hAnsi="宋体" w:eastAsia="宋体" w:cs="Times New Roman"/>
                <w:color w:val="auto"/>
                <w:lang w:bidi="ar"/>
              </w:rPr>
              <w:t>6</w:t>
            </w:r>
          </w:p>
        </w:tc>
        <w:tc>
          <w:tcPr>
            <w:tcW w:w="974" w:type="pct"/>
            <w:vMerge w:val="restart"/>
            <w:shd w:val="clear" w:color="auto" w:fill="auto"/>
            <w:noWrap/>
            <w:vAlign w:val="center"/>
          </w:tcPr>
          <w:p w14:paraId="44A17F8A">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工矿仓储用地</w:t>
            </w:r>
          </w:p>
        </w:tc>
        <w:tc>
          <w:tcPr>
            <w:tcW w:w="1753" w:type="pct"/>
            <w:shd w:val="clear" w:color="auto" w:fill="auto"/>
            <w:vAlign w:val="center"/>
          </w:tcPr>
          <w:p w14:paraId="02A6A249">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0601工业用地</w:t>
            </w:r>
          </w:p>
        </w:tc>
        <w:tc>
          <w:tcPr>
            <w:tcW w:w="1045" w:type="pct"/>
            <w:shd w:val="clear" w:color="auto" w:fill="auto"/>
            <w:noWrap/>
            <w:vAlign w:val="center"/>
          </w:tcPr>
          <w:p w14:paraId="4DAC7321">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0.12</w:t>
            </w:r>
          </w:p>
        </w:tc>
        <w:tc>
          <w:tcPr>
            <w:tcW w:w="834" w:type="pct"/>
            <w:shd w:val="clear" w:color="auto" w:fill="auto"/>
            <w:noWrap/>
            <w:vAlign w:val="center"/>
          </w:tcPr>
          <w:p w14:paraId="6BC9A410">
            <w:pPr>
              <w:jc w:val="center"/>
              <w:textAlignment w:val="center"/>
              <w:rPr>
                <w:rFonts w:ascii="宋体" w:hAnsi="宋体" w:eastAsia="宋体" w:cs="Times New Roman"/>
                <w:color w:val="auto"/>
              </w:rPr>
            </w:pPr>
            <w:r>
              <w:rPr>
                <w:rFonts w:hint="eastAsia" w:ascii="宋体" w:hAnsi="宋体" w:eastAsia="宋体" w:cs="Times New Roman"/>
                <w:color w:val="auto"/>
              </w:rPr>
              <w:t xml:space="preserve">0.08 </w:t>
            </w:r>
          </w:p>
        </w:tc>
      </w:tr>
      <w:tr w14:paraId="1626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0F60F48E">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7</w:t>
            </w:r>
          </w:p>
        </w:tc>
        <w:tc>
          <w:tcPr>
            <w:tcW w:w="974" w:type="pct"/>
            <w:vMerge w:val="continue"/>
            <w:shd w:val="clear" w:color="auto" w:fill="auto"/>
            <w:noWrap/>
            <w:vAlign w:val="center"/>
          </w:tcPr>
          <w:p w14:paraId="1592A4AF">
            <w:pPr>
              <w:jc w:val="center"/>
              <w:textAlignment w:val="center"/>
              <w:rPr>
                <w:rFonts w:ascii="宋体" w:hAnsi="宋体" w:eastAsia="宋体" w:cs="Times New Roman"/>
                <w:color w:val="auto"/>
                <w:lang w:bidi="ar"/>
              </w:rPr>
            </w:pPr>
          </w:p>
        </w:tc>
        <w:tc>
          <w:tcPr>
            <w:tcW w:w="1753" w:type="pct"/>
            <w:shd w:val="clear" w:color="auto" w:fill="auto"/>
            <w:vAlign w:val="center"/>
          </w:tcPr>
          <w:p w14:paraId="35C490C9">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0602采矿用地</w:t>
            </w:r>
          </w:p>
        </w:tc>
        <w:tc>
          <w:tcPr>
            <w:tcW w:w="1045" w:type="pct"/>
            <w:shd w:val="clear" w:color="auto" w:fill="auto"/>
            <w:noWrap/>
            <w:vAlign w:val="center"/>
          </w:tcPr>
          <w:p w14:paraId="50F3463C">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0.18</w:t>
            </w:r>
          </w:p>
        </w:tc>
        <w:tc>
          <w:tcPr>
            <w:tcW w:w="834" w:type="pct"/>
            <w:shd w:val="clear" w:color="auto" w:fill="auto"/>
            <w:noWrap/>
            <w:vAlign w:val="center"/>
          </w:tcPr>
          <w:p w14:paraId="1FDA561F">
            <w:pPr>
              <w:jc w:val="center"/>
              <w:textAlignment w:val="center"/>
              <w:rPr>
                <w:rFonts w:ascii="宋体" w:hAnsi="宋体" w:eastAsia="宋体" w:cs="Times New Roman"/>
                <w:color w:val="auto"/>
              </w:rPr>
            </w:pPr>
            <w:r>
              <w:rPr>
                <w:rFonts w:hint="eastAsia" w:ascii="宋体" w:hAnsi="宋体" w:eastAsia="宋体" w:cs="Times New Roman"/>
                <w:color w:val="auto"/>
              </w:rPr>
              <w:t xml:space="preserve">0.12 </w:t>
            </w:r>
          </w:p>
        </w:tc>
      </w:tr>
      <w:tr w14:paraId="4053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65BE90CC">
            <w:pPr>
              <w:jc w:val="center"/>
              <w:textAlignment w:val="center"/>
              <w:rPr>
                <w:rFonts w:ascii="宋体" w:hAnsi="宋体" w:eastAsia="宋体" w:cs="Times New Roman"/>
                <w:color w:val="auto"/>
              </w:rPr>
            </w:pPr>
            <w:r>
              <w:rPr>
                <w:rFonts w:hint="eastAsia" w:ascii="宋体" w:hAnsi="宋体" w:eastAsia="宋体" w:cs="Times New Roman"/>
                <w:color w:val="auto"/>
              </w:rPr>
              <w:t>8</w:t>
            </w:r>
          </w:p>
        </w:tc>
        <w:tc>
          <w:tcPr>
            <w:tcW w:w="974" w:type="pct"/>
            <w:shd w:val="clear" w:color="auto" w:fill="auto"/>
            <w:noWrap/>
            <w:vAlign w:val="center"/>
          </w:tcPr>
          <w:p w14:paraId="5AC5DC64">
            <w:pPr>
              <w:jc w:val="center"/>
              <w:textAlignment w:val="center"/>
              <w:rPr>
                <w:rFonts w:ascii="宋体" w:hAnsi="宋体" w:eastAsia="宋体" w:cs="Times New Roman"/>
                <w:color w:val="auto"/>
              </w:rPr>
            </w:pPr>
            <w:r>
              <w:rPr>
                <w:rFonts w:ascii="宋体" w:hAnsi="宋体" w:eastAsia="宋体" w:cs="Times New Roman"/>
                <w:color w:val="auto"/>
                <w:lang w:bidi="ar"/>
              </w:rPr>
              <w:t>住宅用地</w:t>
            </w:r>
          </w:p>
        </w:tc>
        <w:tc>
          <w:tcPr>
            <w:tcW w:w="1753" w:type="pct"/>
            <w:shd w:val="clear" w:color="auto" w:fill="auto"/>
            <w:vAlign w:val="center"/>
          </w:tcPr>
          <w:p w14:paraId="73A4D2F3">
            <w:pPr>
              <w:jc w:val="center"/>
              <w:textAlignment w:val="center"/>
              <w:rPr>
                <w:rFonts w:ascii="宋体" w:hAnsi="宋体" w:eastAsia="宋体" w:cs="Times New Roman"/>
                <w:color w:val="auto"/>
              </w:rPr>
            </w:pPr>
            <w:r>
              <w:rPr>
                <w:rFonts w:hint="eastAsia" w:ascii="宋体" w:hAnsi="宋体" w:eastAsia="宋体" w:cs="Times New Roman"/>
                <w:color w:val="auto"/>
                <w:lang w:bidi="ar"/>
              </w:rPr>
              <w:t>0702</w:t>
            </w:r>
            <w:r>
              <w:rPr>
                <w:rFonts w:ascii="宋体" w:hAnsi="宋体" w:eastAsia="宋体" w:cs="Times New Roman"/>
                <w:color w:val="auto"/>
                <w:lang w:bidi="ar"/>
              </w:rPr>
              <w:t>农村宅基地</w:t>
            </w:r>
          </w:p>
        </w:tc>
        <w:tc>
          <w:tcPr>
            <w:tcW w:w="1045" w:type="pct"/>
            <w:shd w:val="clear" w:color="auto" w:fill="auto"/>
            <w:noWrap/>
            <w:vAlign w:val="center"/>
          </w:tcPr>
          <w:p w14:paraId="153DA054">
            <w:pPr>
              <w:jc w:val="center"/>
              <w:textAlignment w:val="center"/>
              <w:rPr>
                <w:rFonts w:ascii="宋体" w:hAnsi="宋体" w:eastAsia="宋体" w:cs="Times New Roman"/>
                <w:color w:val="auto"/>
              </w:rPr>
            </w:pPr>
            <w:r>
              <w:rPr>
                <w:rFonts w:hint="eastAsia" w:ascii="宋体" w:hAnsi="宋体" w:eastAsia="宋体" w:cs="Times New Roman"/>
                <w:color w:val="auto"/>
              </w:rPr>
              <w:t>1.43</w:t>
            </w:r>
          </w:p>
        </w:tc>
        <w:tc>
          <w:tcPr>
            <w:tcW w:w="834" w:type="pct"/>
            <w:shd w:val="clear" w:color="auto" w:fill="auto"/>
            <w:noWrap/>
            <w:vAlign w:val="center"/>
          </w:tcPr>
          <w:p w14:paraId="783C674A">
            <w:pPr>
              <w:jc w:val="center"/>
              <w:textAlignment w:val="center"/>
              <w:rPr>
                <w:rFonts w:ascii="宋体" w:hAnsi="宋体" w:eastAsia="宋体" w:cs="Times New Roman"/>
                <w:color w:val="auto"/>
              </w:rPr>
            </w:pPr>
            <w:r>
              <w:rPr>
                <w:rFonts w:hint="eastAsia" w:ascii="宋体" w:hAnsi="宋体" w:eastAsia="宋体" w:cs="Times New Roman"/>
                <w:color w:val="auto"/>
              </w:rPr>
              <w:t xml:space="preserve">0.95 </w:t>
            </w:r>
          </w:p>
        </w:tc>
      </w:tr>
      <w:tr w14:paraId="0B32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601F6763">
            <w:pPr>
              <w:jc w:val="center"/>
              <w:textAlignment w:val="center"/>
              <w:rPr>
                <w:rFonts w:ascii="宋体" w:hAnsi="宋体" w:eastAsia="宋体" w:cs="Times New Roman"/>
                <w:color w:val="auto"/>
              </w:rPr>
            </w:pPr>
            <w:r>
              <w:rPr>
                <w:rFonts w:hint="eastAsia" w:ascii="宋体" w:hAnsi="宋体" w:eastAsia="宋体" w:cs="Times New Roman"/>
                <w:color w:val="auto"/>
                <w:lang w:bidi="ar"/>
              </w:rPr>
              <w:t>9</w:t>
            </w:r>
          </w:p>
        </w:tc>
        <w:tc>
          <w:tcPr>
            <w:tcW w:w="974" w:type="pct"/>
            <w:vMerge w:val="restart"/>
            <w:shd w:val="clear" w:color="auto" w:fill="auto"/>
            <w:noWrap/>
            <w:vAlign w:val="center"/>
          </w:tcPr>
          <w:p w14:paraId="2FCE3601">
            <w:pPr>
              <w:jc w:val="center"/>
              <w:textAlignment w:val="center"/>
              <w:rPr>
                <w:rFonts w:ascii="宋体" w:hAnsi="宋体" w:eastAsia="宋体" w:cs="Times New Roman"/>
                <w:color w:val="auto"/>
              </w:rPr>
            </w:pPr>
            <w:r>
              <w:rPr>
                <w:rFonts w:ascii="宋体" w:hAnsi="宋体" w:eastAsia="宋体" w:cs="Times New Roman"/>
                <w:color w:val="auto"/>
                <w:lang w:bidi="ar"/>
              </w:rPr>
              <w:t>交通运输用地</w:t>
            </w:r>
          </w:p>
        </w:tc>
        <w:tc>
          <w:tcPr>
            <w:tcW w:w="1753" w:type="pct"/>
            <w:shd w:val="clear" w:color="auto" w:fill="auto"/>
            <w:vAlign w:val="center"/>
          </w:tcPr>
          <w:p w14:paraId="14FA9391">
            <w:pPr>
              <w:jc w:val="center"/>
              <w:textAlignment w:val="center"/>
              <w:rPr>
                <w:rFonts w:ascii="宋体" w:hAnsi="宋体" w:eastAsia="宋体" w:cs="Times New Roman"/>
                <w:color w:val="auto"/>
              </w:rPr>
            </w:pPr>
            <w:r>
              <w:rPr>
                <w:rFonts w:hint="eastAsia" w:ascii="宋体" w:hAnsi="宋体" w:eastAsia="宋体" w:cs="Times New Roman"/>
                <w:color w:val="auto"/>
                <w:lang w:bidi="ar"/>
              </w:rPr>
              <w:t>1006</w:t>
            </w:r>
            <w:r>
              <w:rPr>
                <w:rFonts w:ascii="宋体" w:hAnsi="宋体" w:eastAsia="宋体" w:cs="Times New Roman"/>
                <w:color w:val="auto"/>
                <w:lang w:bidi="ar"/>
              </w:rPr>
              <w:t>农村道路</w:t>
            </w:r>
          </w:p>
        </w:tc>
        <w:tc>
          <w:tcPr>
            <w:tcW w:w="1045" w:type="pct"/>
            <w:shd w:val="clear" w:color="auto" w:fill="auto"/>
            <w:noWrap/>
            <w:vAlign w:val="center"/>
          </w:tcPr>
          <w:p w14:paraId="6BFBD4ED">
            <w:pPr>
              <w:jc w:val="center"/>
              <w:textAlignment w:val="center"/>
              <w:rPr>
                <w:rFonts w:ascii="宋体" w:hAnsi="宋体" w:eastAsia="宋体" w:cs="Times New Roman"/>
                <w:color w:val="auto"/>
              </w:rPr>
            </w:pPr>
            <w:r>
              <w:rPr>
                <w:rFonts w:hint="eastAsia" w:ascii="宋体" w:hAnsi="宋体" w:eastAsia="宋体" w:cs="Times New Roman"/>
                <w:color w:val="auto"/>
              </w:rPr>
              <w:t>0.42</w:t>
            </w:r>
          </w:p>
        </w:tc>
        <w:tc>
          <w:tcPr>
            <w:tcW w:w="834" w:type="pct"/>
            <w:shd w:val="clear" w:color="auto" w:fill="auto"/>
            <w:noWrap/>
            <w:vAlign w:val="center"/>
          </w:tcPr>
          <w:p w14:paraId="37246B3B">
            <w:pPr>
              <w:jc w:val="center"/>
              <w:textAlignment w:val="center"/>
              <w:rPr>
                <w:rFonts w:ascii="宋体" w:hAnsi="宋体" w:eastAsia="宋体" w:cs="Times New Roman"/>
                <w:color w:val="auto"/>
              </w:rPr>
            </w:pPr>
            <w:r>
              <w:rPr>
                <w:rFonts w:hint="eastAsia" w:ascii="宋体" w:hAnsi="宋体" w:eastAsia="宋体" w:cs="Times New Roman"/>
                <w:color w:val="auto"/>
              </w:rPr>
              <w:t xml:space="preserve">0.28 </w:t>
            </w:r>
          </w:p>
        </w:tc>
      </w:tr>
      <w:tr w14:paraId="58D1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29E1CCA0">
            <w:pPr>
              <w:jc w:val="center"/>
              <w:rPr>
                <w:rFonts w:ascii="宋体" w:hAnsi="宋体" w:eastAsia="宋体" w:cs="Times New Roman"/>
                <w:color w:val="auto"/>
              </w:rPr>
            </w:pPr>
            <w:r>
              <w:rPr>
                <w:rFonts w:hint="eastAsia" w:ascii="宋体" w:hAnsi="宋体" w:eastAsia="宋体" w:cs="Times New Roman"/>
                <w:color w:val="auto"/>
              </w:rPr>
              <w:t>10</w:t>
            </w:r>
          </w:p>
        </w:tc>
        <w:tc>
          <w:tcPr>
            <w:tcW w:w="974" w:type="pct"/>
            <w:vMerge w:val="continue"/>
            <w:shd w:val="clear" w:color="auto" w:fill="auto"/>
            <w:noWrap/>
            <w:vAlign w:val="center"/>
          </w:tcPr>
          <w:p w14:paraId="5673E852">
            <w:pPr>
              <w:jc w:val="center"/>
              <w:rPr>
                <w:rFonts w:ascii="宋体" w:hAnsi="宋体" w:eastAsia="宋体" w:cs="Times New Roman"/>
                <w:color w:val="auto"/>
              </w:rPr>
            </w:pPr>
          </w:p>
        </w:tc>
        <w:tc>
          <w:tcPr>
            <w:tcW w:w="1753" w:type="pct"/>
            <w:shd w:val="clear" w:color="auto" w:fill="auto"/>
            <w:vAlign w:val="center"/>
          </w:tcPr>
          <w:p w14:paraId="37A47598">
            <w:pPr>
              <w:jc w:val="center"/>
              <w:textAlignment w:val="center"/>
              <w:rPr>
                <w:rFonts w:ascii="宋体" w:hAnsi="宋体" w:eastAsia="宋体" w:cs="Times New Roman"/>
                <w:color w:val="auto"/>
              </w:rPr>
            </w:pPr>
            <w:r>
              <w:rPr>
                <w:rFonts w:hint="eastAsia" w:ascii="宋体" w:hAnsi="宋体" w:eastAsia="宋体" w:cs="Times New Roman"/>
                <w:color w:val="auto"/>
                <w:lang w:bidi="ar"/>
              </w:rPr>
              <w:t>1003</w:t>
            </w:r>
            <w:r>
              <w:rPr>
                <w:rFonts w:ascii="宋体" w:hAnsi="宋体" w:eastAsia="宋体" w:cs="Times New Roman"/>
                <w:color w:val="auto"/>
                <w:lang w:bidi="ar"/>
              </w:rPr>
              <w:t>公路用地</w:t>
            </w:r>
          </w:p>
        </w:tc>
        <w:tc>
          <w:tcPr>
            <w:tcW w:w="1045" w:type="pct"/>
            <w:shd w:val="clear" w:color="auto" w:fill="auto"/>
            <w:noWrap/>
            <w:vAlign w:val="center"/>
          </w:tcPr>
          <w:p w14:paraId="3B401FF6">
            <w:pPr>
              <w:jc w:val="center"/>
              <w:textAlignment w:val="center"/>
              <w:rPr>
                <w:rFonts w:ascii="宋体" w:hAnsi="宋体" w:eastAsia="宋体" w:cs="Times New Roman"/>
                <w:color w:val="auto"/>
              </w:rPr>
            </w:pPr>
            <w:r>
              <w:rPr>
                <w:rFonts w:hint="eastAsia" w:ascii="宋体" w:hAnsi="宋体" w:eastAsia="宋体" w:cs="Times New Roman"/>
                <w:color w:val="auto"/>
              </w:rPr>
              <w:t>0.28</w:t>
            </w:r>
          </w:p>
        </w:tc>
        <w:tc>
          <w:tcPr>
            <w:tcW w:w="834" w:type="pct"/>
            <w:shd w:val="clear" w:color="auto" w:fill="auto"/>
            <w:noWrap/>
            <w:vAlign w:val="center"/>
          </w:tcPr>
          <w:p w14:paraId="2616EEBE">
            <w:pPr>
              <w:jc w:val="center"/>
              <w:textAlignment w:val="center"/>
              <w:rPr>
                <w:rFonts w:ascii="宋体" w:hAnsi="宋体" w:eastAsia="宋体" w:cs="Times New Roman"/>
                <w:color w:val="auto"/>
              </w:rPr>
            </w:pPr>
            <w:r>
              <w:rPr>
                <w:rFonts w:hint="eastAsia" w:ascii="宋体" w:hAnsi="宋体" w:eastAsia="宋体" w:cs="Times New Roman"/>
                <w:color w:val="auto"/>
              </w:rPr>
              <w:t xml:space="preserve">0.19 </w:t>
            </w:r>
          </w:p>
        </w:tc>
      </w:tr>
      <w:tr w14:paraId="0A9B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030DD838">
            <w:pPr>
              <w:jc w:val="center"/>
              <w:textAlignment w:val="center"/>
              <w:rPr>
                <w:rFonts w:ascii="宋体" w:hAnsi="宋体" w:eastAsia="宋体" w:cs="Times New Roman"/>
                <w:color w:val="auto"/>
              </w:rPr>
            </w:pPr>
            <w:r>
              <w:rPr>
                <w:rFonts w:hint="eastAsia" w:ascii="宋体" w:hAnsi="宋体" w:eastAsia="宋体" w:cs="Times New Roman"/>
                <w:color w:val="auto"/>
                <w:lang w:bidi="ar"/>
              </w:rPr>
              <w:t>11</w:t>
            </w:r>
          </w:p>
        </w:tc>
        <w:tc>
          <w:tcPr>
            <w:tcW w:w="974" w:type="pct"/>
            <w:vMerge w:val="restart"/>
            <w:shd w:val="clear" w:color="auto" w:fill="auto"/>
            <w:noWrap/>
            <w:vAlign w:val="center"/>
          </w:tcPr>
          <w:p w14:paraId="452C979D">
            <w:pPr>
              <w:jc w:val="center"/>
              <w:textAlignment w:val="center"/>
              <w:rPr>
                <w:rFonts w:ascii="宋体" w:hAnsi="宋体" w:eastAsia="宋体" w:cs="Times New Roman"/>
                <w:color w:val="auto"/>
              </w:rPr>
            </w:pPr>
            <w:r>
              <w:rPr>
                <w:rFonts w:ascii="宋体" w:hAnsi="宋体" w:eastAsia="宋体" w:cs="Times New Roman"/>
                <w:color w:val="auto"/>
                <w:lang w:bidi="ar"/>
              </w:rPr>
              <w:t>水域及水利设施用地</w:t>
            </w:r>
          </w:p>
        </w:tc>
        <w:tc>
          <w:tcPr>
            <w:tcW w:w="1753" w:type="pct"/>
            <w:shd w:val="clear" w:color="auto" w:fill="auto"/>
            <w:vAlign w:val="center"/>
          </w:tcPr>
          <w:p w14:paraId="5AC12F83">
            <w:pPr>
              <w:jc w:val="center"/>
              <w:textAlignment w:val="center"/>
              <w:rPr>
                <w:rFonts w:ascii="宋体" w:hAnsi="宋体" w:eastAsia="宋体" w:cs="Times New Roman"/>
                <w:color w:val="auto"/>
              </w:rPr>
            </w:pPr>
            <w:r>
              <w:rPr>
                <w:rFonts w:hint="eastAsia" w:ascii="宋体" w:hAnsi="宋体" w:eastAsia="宋体" w:cs="Times New Roman"/>
                <w:color w:val="auto"/>
                <w:lang w:bidi="ar"/>
              </w:rPr>
              <w:t>1104</w:t>
            </w:r>
            <w:r>
              <w:rPr>
                <w:rFonts w:ascii="宋体" w:hAnsi="宋体" w:eastAsia="宋体" w:cs="Times New Roman"/>
                <w:color w:val="auto"/>
                <w:lang w:bidi="ar"/>
              </w:rPr>
              <w:t>坑塘水面</w:t>
            </w:r>
          </w:p>
        </w:tc>
        <w:tc>
          <w:tcPr>
            <w:tcW w:w="1045" w:type="pct"/>
            <w:shd w:val="clear" w:color="auto" w:fill="auto"/>
            <w:noWrap/>
            <w:vAlign w:val="center"/>
          </w:tcPr>
          <w:p w14:paraId="40489E64">
            <w:pPr>
              <w:jc w:val="center"/>
              <w:textAlignment w:val="center"/>
              <w:rPr>
                <w:rFonts w:ascii="宋体" w:hAnsi="宋体" w:eastAsia="宋体" w:cs="Times New Roman"/>
                <w:color w:val="auto"/>
              </w:rPr>
            </w:pPr>
            <w:r>
              <w:rPr>
                <w:rFonts w:hint="eastAsia" w:ascii="宋体" w:hAnsi="宋体" w:eastAsia="宋体" w:cs="Times New Roman"/>
                <w:color w:val="auto"/>
              </w:rPr>
              <w:t>0.18</w:t>
            </w:r>
          </w:p>
        </w:tc>
        <w:tc>
          <w:tcPr>
            <w:tcW w:w="834" w:type="pct"/>
            <w:shd w:val="clear" w:color="auto" w:fill="auto"/>
            <w:noWrap/>
            <w:vAlign w:val="center"/>
          </w:tcPr>
          <w:p w14:paraId="3CF12816">
            <w:pPr>
              <w:jc w:val="center"/>
              <w:textAlignment w:val="center"/>
              <w:rPr>
                <w:rFonts w:ascii="宋体" w:hAnsi="宋体" w:eastAsia="宋体" w:cs="Times New Roman"/>
                <w:color w:val="auto"/>
              </w:rPr>
            </w:pPr>
            <w:r>
              <w:rPr>
                <w:rFonts w:hint="eastAsia" w:ascii="宋体" w:hAnsi="宋体" w:eastAsia="宋体" w:cs="Times New Roman"/>
                <w:color w:val="auto"/>
              </w:rPr>
              <w:t xml:space="preserve">0.12 </w:t>
            </w:r>
          </w:p>
        </w:tc>
      </w:tr>
      <w:tr w14:paraId="2F62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1206AEF1">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12</w:t>
            </w:r>
          </w:p>
        </w:tc>
        <w:tc>
          <w:tcPr>
            <w:tcW w:w="974" w:type="pct"/>
            <w:vMerge w:val="continue"/>
            <w:shd w:val="clear" w:color="auto" w:fill="auto"/>
            <w:noWrap/>
            <w:vAlign w:val="center"/>
          </w:tcPr>
          <w:p w14:paraId="25720A1A">
            <w:pPr>
              <w:jc w:val="center"/>
              <w:textAlignment w:val="center"/>
              <w:rPr>
                <w:rFonts w:ascii="宋体" w:hAnsi="宋体" w:eastAsia="宋体" w:cs="Times New Roman"/>
                <w:color w:val="auto"/>
                <w:lang w:bidi="ar"/>
              </w:rPr>
            </w:pPr>
          </w:p>
        </w:tc>
        <w:tc>
          <w:tcPr>
            <w:tcW w:w="1753" w:type="pct"/>
            <w:shd w:val="clear" w:color="auto" w:fill="auto"/>
            <w:vAlign w:val="center"/>
          </w:tcPr>
          <w:p w14:paraId="22FA43EA">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1107沟渠</w:t>
            </w:r>
          </w:p>
        </w:tc>
        <w:tc>
          <w:tcPr>
            <w:tcW w:w="1045" w:type="pct"/>
            <w:shd w:val="clear" w:color="auto" w:fill="auto"/>
            <w:noWrap/>
            <w:vAlign w:val="center"/>
          </w:tcPr>
          <w:p w14:paraId="760C31E2">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1.94</w:t>
            </w:r>
          </w:p>
        </w:tc>
        <w:tc>
          <w:tcPr>
            <w:tcW w:w="834" w:type="pct"/>
            <w:shd w:val="clear" w:color="auto" w:fill="auto"/>
            <w:noWrap/>
            <w:vAlign w:val="center"/>
          </w:tcPr>
          <w:p w14:paraId="4CE2AF0D">
            <w:pPr>
              <w:jc w:val="center"/>
              <w:textAlignment w:val="center"/>
              <w:rPr>
                <w:rFonts w:ascii="宋体" w:hAnsi="宋体" w:eastAsia="宋体" w:cs="Times New Roman"/>
                <w:color w:val="auto"/>
              </w:rPr>
            </w:pPr>
            <w:r>
              <w:rPr>
                <w:rFonts w:hint="eastAsia" w:ascii="宋体" w:hAnsi="宋体" w:eastAsia="宋体" w:cs="Times New Roman"/>
                <w:color w:val="auto"/>
              </w:rPr>
              <w:t xml:space="preserve">1.28 </w:t>
            </w:r>
          </w:p>
        </w:tc>
      </w:tr>
      <w:tr w14:paraId="67D6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shd w:val="clear" w:color="auto" w:fill="auto"/>
            <w:noWrap/>
            <w:vAlign w:val="center"/>
          </w:tcPr>
          <w:p w14:paraId="6B3B3184">
            <w:pPr>
              <w:jc w:val="center"/>
              <w:textAlignment w:val="center"/>
              <w:rPr>
                <w:rFonts w:ascii="宋体" w:hAnsi="宋体" w:eastAsia="宋体" w:cs="Times New Roman"/>
                <w:color w:val="auto"/>
                <w:lang w:bidi="ar"/>
              </w:rPr>
            </w:pPr>
          </w:p>
        </w:tc>
        <w:tc>
          <w:tcPr>
            <w:tcW w:w="974" w:type="pct"/>
            <w:shd w:val="clear" w:color="auto" w:fill="auto"/>
            <w:noWrap/>
            <w:vAlign w:val="center"/>
          </w:tcPr>
          <w:p w14:paraId="58E79827">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其他土地</w:t>
            </w:r>
          </w:p>
        </w:tc>
        <w:tc>
          <w:tcPr>
            <w:tcW w:w="1753" w:type="pct"/>
            <w:shd w:val="clear" w:color="auto" w:fill="auto"/>
            <w:vAlign w:val="center"/>
          </w:tcPr>
          <w:p w14:paraId="47C4EC1B">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1202设施农用地</w:t>
            </w:r>
          </w:p>
        </w:tc>
        <w:tc>
          <w:tcPr>
            <w:tcW w:w="1045" w:type="pct"/>
            <w:shd w:val="clear" w:color="auto" w:fill="auto"/>
            <w:noWrap/>
            <w:vAlign w:val="center"/>
          </w:tcPr>
          <w:p w14:paraId="68A29CC6">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0.25</w:t>
            </w:r>
          </w:p>
        </w:tc>
        <w:tc>
          <w:tcPr>
            <w:tcW w:w="834" w:type="pct"/>
            <w:shd w:val="clear" w:color="auto" w:fill="auto"/>
            <w:noWrap/>
            <w:vAlign w:val="center"/>
          </w:tcPr>
          <w:p w14:paraId="41655762">
            <w:pPr>
              <w:jc w:val="center"/>
              <w:textAlignment w:val="center"/>
              <w:rPr>
                <w:rFonts w:ascii="宋体" w:hAnsi="宋体" w:eastAsia="宋体" w:cs="Times New Roman"/>
                <w:color w:val="auto"/>
              </w:rPr>
            </w:pPr>
            <w:r>
              <w:rPr>
                <w:rFonts w:hint="eastAsia" w:ascii="宋体" w:hAnsi="宋体" w:eastAsia="宋体" w:cs="Times New Roman"/>
                <w:color w:val="auto"/>
              </w:rPr>
              <w:t xml:space="preserve">0.17 </w:t>
            </w:r>
          </w:p>
        </w:tc>
      </w:tr>
      <w:tr w14:paraId="0A04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1" w:type="pct"/>
            <w:gridSpan w:val="3"/>
            <w:shd w:val="clear" w:color="auto" w:fill="auto"/>
            <w:noWrap/>
            <w:vAlign w:val="center"/>
          </w:tcPr>
          <w:p w14:paraId="1D15B6AA">
            <w:pPr>
              <w:jc w:val="center"/>
              <w:textAlignment w:val="center"/>
              <w:rPr>
                <w:rFonts w:ascii="宋体" w:hAnsi="宋体" w:eastAsia="宋体" w:cs="Times New Roman"/>
                <w:color w:val="auto"/>
              </w:rPr>
            </w:pPr>
            <w:r>
              <w:rPr>
                <w:rFonts w:ascii="宋体" w:hAnsi="宋体" w:eastAsia="宋体" w:cs="Times New Roman"/>
                <w:color w:val="auto"/>
                <w:lang w:bidi="ar"/>
              </w:rPr>
              <w:t>合计</w:t>
            </w:r>
          </w:p>
        </w:tc>
        <w:tc>
          <w:tcPr>
            <w:tcW w:w="1045" w:type="pct"/>
            <w:shd w:val="clear" w:color="auto" w:fill="auto"/>
            <w:noWrap/>
            <w:vAlign w:val="center"/>
          </w:tcPr>
          <w:p w14:paraId="650D623C">
            <w:pPr>
              <w:jc w:val="center"/>
              <w:textAlignment w:val="center"/>
              <w:rPr>
                <w:rFonts w:ascii="宋体" w:hAnsi="宋体" w:eastAsia="宋体" w:cs="Times New Roman"/>
                <w:color w:val="auto"/>
              </w:rPr>
            </w:pPr>
            <w:r>
              <w:rPr>
                <w:rFonts w:hint="eastAsia" w:ascii="宋体" w:hAnsi="宋体" w:eastAsia="宋体" w:cs="Times New Roman"/>
                <w:color w:val="auto"/>
                <w:lang w:bidi="ar"/>
              </w:rPr>
              <w:t>151.30</w:t>
            </w:r>
          </w:p>
        </w:tc>
        <w:tc>
          <w:tcPr>
            <w:tcW w:w="834" w:type="pct"/>
            <w:shd w:val="clear" w:color="auto" w:fill="auto"/>
            <w:noWrap/>
            <w:vAlign w:val="center"/>
          </w:tcPr>
          <w:p w14:paraId="4D7E86C4">
            <w:pPr>
              <w:jc w:val="center"/>
              <w:textAlignment w:val="center"/>
              <w:rPr>
                <w:rFonts w:ascii="宋体" w:hAnsi="宋体" w:eastAsia="宋体" w:cs="Times New Roman"/>
                <w:color w:val="auto"/>
              </w:rPr>
            </w:pPr>
            <w:r>
              <w:rPr>
                <w:rFonts w:hint="eastAsia" w:ascii="宋体" w:hAnsi="宋体" w:eastAsia="宋体" w:cs="Times New Roman"/>
                <w:color w:val="auto"/>
              </w:rPr>
              <w:t xml:space="preserve">100.00 </w:t>
            </w:r>
          </w:p>
        </w:tc>
      </w:tr>
    </w:tbl>
    <w:p w14:paraId="792EC205">
      <w:pPr>
        <w:pStyle w:val="276"/>
        <w:widowControl w:val="0"/>
        <w:ind w:firstLine="480"/>
        <w:jc w:val="both"/>
        <w:rPr>
          <w:color w:val="auto"/>
        </w:rPr>
      </w:pPr>
      <w:r>
        <w:rPr>
          <w:color w:val="auto"/>
        </w:rPr>
        <w:t>由上表可知，本项目生态评价范围内主要土地利用类型为耕地，占地面积为</w:t>
      </w:r>
      <w:r>
        <w:rPr>
          <w:rFonts w:hint="eastAsia"/>
          <w:color w:val="auto"/>
        </w:rPr>
        <w:t>129.57</w:t>
      </w:r>
      <w:r>
        <w:rPr>
          <w:color w:val="auto"/>
        </w:rPr>
        <w:t>hm</w:t>
      </w:r>
      <w:r>
        <w:rPr>
          <w:color w:val="auto"/>
          <w:vertAlign w:val="superscript"/>
        </w:rPr>
        <w:t>2</w:t>
      </w:r>
      <w:r>
        <w:rPr>
          <w:color w:val="auto"/>
        </w:rPr>
        <w:t>，占评价范围的</w:t>
      </w:r>
      <w:r>
        <w:rPr>
          <w:rFonts w:hint="eastAsia"/>
          <w:color w:val="auto"/>
        </w:rPr>
        <w:t>85.64</w:t>
      </w:r>
      <w:r>
        <w:rPr>
          <w:color w:val="auto"/>
        </w:rPr>
        <w:t>%；其次为其他草地，占地面积为</w:t>
      </w:r>
      <w:r>
        <w:rPr>
          <w:rFonts w:hint="eastAsia"/>
          <w:color w:val="auto"/>
        </w:rPr>
        <w:t>12.28</w:t>
      </w:r>
      <w:r>
        <w:rPr>
          <w:color w:val="auto"/>
        </w:rPr>
        <w:t>hm</w:t>
      </w:r>
      <w:r>
        <w:rPr>
          <w:color w:val="auto"/>
          <w:vertAlign w:val="superscript"/>
        </w:rPr>
        <w:t>2</w:t>
      </w:r>
      <w:r>
        <w:rPr>
          <w:color w:val="auto"/>
        </w:rPr>
        <w:t>，占评价范围的</w:t>
      </w:r>
      <w:r>
        <w:rPr>
          <w:rFonts w:hint="eastAsia"/>
          <w:color w:val="auto"/>
        </w:rPr>
        <w:t>8.12</w:t>
      </w:r>
      <w:r>
        <w:rPr>
          <w:color w:val="auto"/>
        </w:rPr>
        <w:t>%；乔木林地占地面积为</w:t>
      </w:r>
      <w:r>
        <w:rPr>
          <w:rFonts w:hint="eastAsia"/>
          <w:color w:val="auto"/>
        </w:rPr>
        <w:t>3.35</w:t>
      </w:r>
      <w:r>
        <w:rPr>
          <w:color w:val="auto"/>
        </w:rPr>
        <w:t>hm</w:t>
      </w:r>
      <w:r>
        <w:rPr>
          <w:color w:val="auto"/>
          <w:vertAlign w:val="superscript"/>
        </w:rPr>
        <w:t>2</w:t>
      </w:r>
      <w:r>
        <w:rPr>
          <w:color w:val="auto"/>
        </w:rPr>
        <w:t>，占评价范围的</w:t>
      </w:r>
      <w:r>
        <w:rPr>
          <w:rFonts w:hint="eastAsia"/>
          <w:color w:val="auto"/>
        </w:rPr>
        <w:t>2.21</w:t>
      </w:r>
      <w:r>
        <w:rPr>
          <w:color w:val="auto"/>
        </w:rPr>
        <w:t>%；此外，评价范围内还分布有住宅用地、交通运输用地、水域及水利设施用地等，总占地面积为</w:t>
      </w:r>
      <w:r>
        <w:rPr>
          <w:rFonts w:hint="eastAsia"/>
          <w:color w:val="auto"/>
        </w:rPr>
        <w:t>6.1</w:t>
      </w:r>
      <w:r>
        <w:rPr>
          <w:color w:val="auto"/>
        </w:rPr>
        <w:t>hm</w:t>
      </w:r>
      <w:r>
        <w:rPr>
          <w:color w:val="auto"/>
          <w:vertAlign w:val="superscript"/>
        </w:rPr>
        <w:t>2</w:t>
      </w:r>
      <w:r>
        <w:rPr>
          <w:color w:val="auto"/>
        </w:rPr>
        <w:t>，占评价范围的</w:t>
      </w:r>
      <w:r>
        <w:rPr>
          <w:rFonts w:hint="eastAsia"/>
          <w:color w:val="auto"/>
        </w:rPr>
        <w:t>4.03</w:t>
      </w:r>
      <w:r>
        <w:rPr>
          <w:color w:val="auto"/>
        </w:rPr>
        <w:t>%。本项目土地利用现状图见附图20。</w:t>
      </w:r>
    </w:p>
    <w:p w14:paraId="11D624F8">
      <w:pPr>
        <w:pStyle w:val="6"/>
        <w:rPr>
          <w:color w:val="auto"/>
        </w:rPr>
      </w:pPr>
      <w:r>
        <w:rPr>
          <w:color w:val="auto"/>
        </w:rPr>
        <w:t>水土流失现状调查</w:t>
      </w:r>
    </w:p>
    <w:p w14:paraId="5F54E7FA">
      <w:pPr>
        <w:pStyle w:val="276"/>
        <w:widowControl w:val="0"/>
        <w:ind w:firstLine="480"/>
        <w:jc w:val="both"/>
        <w:rPr>
          <w:color w:val="auto"/>
          <w:kern w:val="2"/>
          <w:szCs w:val="28"/>
        </w:rPr>
      </w:pPr>
      <w:r>
        <w:rPr>
          <w:color w:val="auto"/>
          <w:kern w:val="2"/>
          <w:szCs w:val="28"/>
        </w:rPr>
        <w:t>根据《大庆市水土保持规划（2015～2030）》，</w:t>
      </w:r>
      <w:r>
        <w:rPr>
          <w:color w:val="auto"/>
          <w:kern w:val="2"/>
          <w:szCs w:val="28"/>
          <w:lang w:val="en"/>
        </w:rPr>
        <w:t>大庆市划定了市级水土流失重点预防区和重点治理区，本项目位于</w:t>
      </w:r>
      <w:r>
        <w:rPr>
          <w:color w:val="auto"/>
          <w:kern w:val="2"/>
          <w:szCs w:val="28"/>
        </w:rPr>
        <w:t>大庆市</w:t>
      </w:r>
      <w:r>
        <w:rPr>
          <w:rFonts w:hint="eastAsia"/>
          <w:color w:val="auto"/>
          <w:kern w:val="2"/>
          <w:szCs w:val="28"/>
        </w:rPr>
        <w:t>肇源县肇源镇、和平乡</w:t>
      </w:r>
      <w:r>
        <w:rPr>
          <w:color w:val="auto"/>
          <w:kern w:val="2"/>
          <w:szCs w:val="28"/>
          <w:lang w:val="en"/>
        </w:rPr>
        <w:t>，属于市级</w:t>
      </w:r>
      <w:r>
        <w:rPr>
          <w:color w:val="auto"/>
        </w:rPr>
        <w:t>水土流失</w:t>
      </w:r>
      <w:r>
        <w:rPr>
          <w:color w:val="auto"/>
          <w:kern w:val="2"/>
          <w:szCs w:val="28"/>
          <w:lang w:val="en"/>
        </w:rPr>
        <w:t>重点治理区和重点预防区。</w:t>
      </w:r>
    </w:p>
    <w:p w14:paraId="57545043">
      <w:pPr>
        <w:pStyle w:val="276"/>
        <w:widowControl w:val="0"/>
        <w:ind w:firstLine="480"/>
        <w:jc w:val="both"/>
        <w:rPr>
          <w:color w:val="auto"/>
          <w:kern w:val="2"/>
          <w:szCs w:val="28"/>
          <w:lang w:val="en"/>
        </w:rPr>
      </w:pPr>
      <w:r>
        <w:rPr>
          <w:color w:val="auto"/>
          <w:kern w:val="2"/>
          <w:szCs w:val="28"/>
          <w:lang w:val="en"/>
        </w:rPr>
        <w:t>本项目区域水土流失类型为风水蚀交错类型。成因主要是农业开发引起的水土流失。农业开发主要表现在破坏原生植被，导致生态系统退化；干扰原有的土壤基准条件，引发土壤沙化或土地盐渍化；化学肥料的过渡使用对土壤、地下水的污染等。</w:t>
      </w:r>
    </w:p>
    <w:p w14:paraId="58981080">
      <w:pPr>
        <w:pStyle w:val="276"/>
        <w:widowControl w:val="0"/>
        <w:ind w:firstLine="480"/>
        <w:jc w:val="both"/>
        <w:rPr>
          <w:color w:val="auto"/>
        </w:rPr>
      </w:pPr>
      <w:r>
        <w:rPr>
          <w:color w:val="auto"/>
          <w:kern w:val="2"/>
          <w:szCs w:val="28"/>
          <w:lang w:val="en"/>
        </w:rPr>
        <w:t>目前我省经济社会发展的重要时期，经济社会发展总体形势对水土保持工作提出了新要求。全省水土流失综合防治逐步进入法制化轨道，重点地区</w:t>
      </w:r>
      <w:r>
        <w:rPr>
          <w:color w:val="auto"/>
        </w:rPr>
        <w:t>水土流失</w:t>
      </w:r>
      <w:r>
        <w:rPr>
          <w:color w:val="auto"/>
          <w:kern w:val="2"/>
          <w:szCs w:val="28"/>
          <w:lang w:val="en"/>
        </w:rPr>
        <w:t>治理成效显著，植被保护和生态修复初见成效，退耕还林还草面积得到巩固，黑土区保土蓄水功能持续增强，水土流失面积和强度呈现总体下降趋势。</w:t>
      </w:r>
    </w:p>
    <w:p w14:paraId="5CBDE97F">
      <w:pPr>
        <w:pStyle w:val="6"/>
        <w:rPr>
          <w:color w:val="auto"/>
        </w:rPr>
      </w:pPr>
      <w:r>
        <w:rPr>
          <w:color w:val="auto"/>
        </w:rPr>
        <w:t>防沙治沙情况调查</w:t>
      </w:r>
    </w:p>
    <w:p w14:paraId="7CB395A9">
      <w:pPr>
        <w:pStyle w:val="276"/>
        <w:widowControl w:val="0"/>
        <w:ind w:firstLine="480"/>
        <w:jc w:val="both"/>
        <w:rPr>
          <w:color w:val="auto"/>
        </w:rPr>
      </w:pPr>
      <w:r>
        <w:rPr>
          <w:color w:val="auto"/>
        </w:rPr>
        <w:t>《黑龙江省防沙治沙条例》第二十六条规定：“油气勘探开发以及矿产资源开采应当按照规划组织实施，并将地表植被恢复和建设纳入规划。在开发和开采前，应当进行环境影响评价，依法提交包括有关防沙治沙内容的环境影响报告。县级以上人民政府林业、国土资源、环境保护、草原等行政主管部门应当对开发和开采单位的地表植被恢复情况进行监督检查。”第二十七条：“在沙化土地所在地区从事开发建设活动，应当事先就开发建设项目可能对当地及相关地区生态环境产生的影响进行环境影响评价和水资源论证。对不具备水源条件，且有可能造成土地沙化、水土流失等灾害，严重破坏生态环境的开发建设项目，不得批准立项。环境保护行政主管部门在审批环境影响报告时，应当就报告中有关防沙治沙的内容征得同级林业行政主管部门同意。”</w:t>
      </w:r>
    </w:p>
    <w:p w14:paraId="10815D26">
      <w:pPr>
        <w:pStyle w:val="276"/>
        <w:widowControl w:val="0"/>
        <w:ind w:firstLine="480"/>
        <w:jc w:val="both"/>
        <w:rPr>
          <w:color w:val="auto"/>
        </w:rPr>
      </w:pPr>
      <w:r>
        <w:rPr>
          <w:color w:val="auto"/>
          <w:kern w:val="2"/>
          <w:szCs w:val="28"/>
        </w:rPr>
        <w:t>本项目位于大庆市</w:t>
      </w:r>
      <w:r>
        <w:rPr>
          <w:rFonts w:hint="eastAsia"/>
          <w:color w:val="auto"/>
          <w:kern w:val="2"/>
          <w:szCs w:val="28"/>
        </w:rPr>
        <w:t>肇源县</w:t>
      </w:r>
      <w:r>
        <w:rPr>
          <w:color w:val="auto"/>
          <w:kern w:val="2"/>
          <w:szCs w:val="28"/>
        </w:rPr>
        <w:t>，根据黑龙江省防沙</w:t>
      </w:r>
      <w:r>
        <w:rPr>
          <w:color w:val="auto"/>
        </w:rPr>
        <w:t>治沙</w:t>
      </w:r>
      <w:r>
        <w:rPr>
          <w:color w:val="auto"/>
          <w:kern w:val="2"/>
          <w:szCs w:val="28"/>
        </w:rPr>
        <w:t>工作领导小组《关于印发&lt;关于贯彻落实《沙化土地封禁保护修复制度方案》的实施意见&gt;的通知》，属于沙化土地所在县（区）。</w:t>
      </w:r>
      <w:r>
        <w:rPr>
          <w:color w:val="auto"/>
        </w:rPr>
        <w:t>根据现场调查，项目占地区域未出现土壤沙化现象，为保护区域生态环境，针对本项目的具体特点，应制定生态环境影响减缓措施和防沙治沙措施。</w:t>
      </w:r>
    </w:p>
    <w:p w14:paraId="4DDF2BE2">
      <w:pPr>
        <w:pStyle w:val="276"/>
        <w:widowControl w:val="0"/>
        <w:ind w:firstLine="480"/>
        <w:jc w:val="both"/>
        <w:rPr>
          <w:color w:val="auto"/>
        </w:rPr>
      </w:pPr>
      <w:r>
        <w:rPr>
          <w:color w:val="auto"/>
        </w:rPr>
        <w:t>施工期临时占地及施工车辆行驶将对区域地表植被产生破坏。因此施工期须严格落实各项目生态保护措施及生态减缓措施，严格控制控制施工作业占地范围，尽量减小施工期对区域生态影响。</w:t>
      </w:r>
    </w:p>
    <w:p w14:paraId="05A355F8">
      <w:pPr>
        <w:pStyle w:val="6"/>
        <w:rPr>
          <w:color w:val="auto"/>
        </w:rPr>
      </w:pPr>
      <w:r>
        <w:rPr>
          <w:color w:val="auto"/>
        </w:rPr>
        <w:t>生态敏感区现状调查</w:t>
      </w:r>
    </w:p>
    <w:p w14:paraId="6625CEE7">
      <w:pPr>
        <w:pStyle w:val="276"/>
        <w:widowControl w:val="0"/>
        <w:ind w:firstLine="480"/>
        <w:jc w:val="both"/>
        <w:rPr>
          <w:color w:val="auto"/>
        </w:rPr>
      </w:pPr>
      <w:r>
        <w:rPr>
          <w:color w:val="auto"/>
        </w:rPr>
        <w:t>根据《环境影响评价技术导则生态影响》（HJ19-2022）中生态敏感区定义，本项目所在区域不涉及国家公园、自然保护区、自然公园等自然保护地、世界自然遗产、生态保护红线等法定生态保护区域；重要物种的天然集中分布区、栖息地，重要水生生物的产卵场、索饵场、越冬场和洄游通道，迁徙鸟类的重要繁殖地、停歇地、越冬地以及野生动物迁徙通道等重要生境以及其他具有重要生态功能、对保护生物多样性具有重要意义的区域。</w:t>
      </w:r>
    </w:p>
    <w:p w14:paraId="537F5C84">
      <w:pPr>
        <w:pStyle w:val="6"/>
        <w:rPr>
          <w:color w:val="auto"/>
        </w:rPr>
      </w:pPr>
      <w:r>
        <w:rPr>
          <w:color w:val="auto"/>
        </w:rPr>
        <w:t>植被现状调查及评价</w:t>
      </w:r>
    </w:p>
    <w:p w14:paraId="580D23AC">
      <w:pPr>
        <w:pStyle w:val="276"/>
        <w:widowControl w:val="0"/>
        <w:ind w:firstLine="480"/>
        <w:jc w:val="both"/>
        <w:rPr>
          <w:color w:val="auto"/>
          <w:kern w:val="2"/>
        </w:rPr>
      </w:pPr>
      <w:r>
        <w:rPr>
          <w:color w:val="auto"/>
          <w:kern w:val="2"/>
        </w:rPr>
        <w:t>评价区植被现状调查是应用植被生态学野外调查的方法确定植被的群落类型、对评价区生态系统中的宏观结构、功能、人类活动等群落水平上作出分析和比较，为该区实施可持续发展战略提供理论基础。</w:t>
      </w:r>
    </w:p>
    <w:p w14:paraId="0B1E50A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植被类型与特征确定</w:t>
      </w:r>
    </w:p>
    <w:p w14:paraId="25090856">
      <w:pPr>
        <w:pStyle w:val="276"/>
        <w:widowControl w:val="0"/>
        <w:ind w:firstLine="480"/>
        <w:jc w:val="both"/>
        <w:rPr>
          <w:color w:val="auto"/>
          <w:kern w:val="2"/>
        </w:rPr>
      </w:pPr>
      <w:r>
        <w:rPr>
          <w:color w:val="auto"/>
          <w:kern w:val="2"/>
        </w:rPr>
        <w:t>按照植被类型图的编制原则和方法，根据现场植被调查的实际数据结合遥感影像数据，作为植被类型划分的划分依据。对项目区评价范围内的植物和植被进行调查。调查内容包括植被类型、分布、面积、物种基本组成、优势物种等。</w:t>
      </w:r>
    </w:p>
    <w:p w14:paraId="669193C5">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调查方法与步骤</w:t>
      </w:r>
    </w:p>
    <w:p w14:paraId="79DEE62C">
      <w:pPr>
        <w:pStyle w:val="276"/>
        <w:widowControl w:val="0"/>
        <w:ind w:firstLine="480"/>
        <w:jc w:val="both"/>
        <w:rPr>
          <w:color w:val="auto"/>
          <w:kern w:val="2"/>
        </w:rPr>
      </w:pPr>
      <w:r>
        <w:rPr>
          <w:color w:val="auto"/>
          <w:kern w:val="2"/>
        </w:rPr>
        <w:t>评价区植被类型调查充分利用现有的调查和普查、土地详查、资源遥感调查等资料，与实地调查相结合，并采用综合的解译法进行分析。</w:t>
      </w:r>
    </w:p>
    <w:p w14:paraId="77311E9E">
      <w:pPr>
        <w:pStyle w:val="276"/>
        <w:widowControl w:val="0"/>
        <w:ind w:firstLine="480"/>
        <w:jc w:val="both"/>
        <w:rPr>
          <w:color w:val="auto"/>
          <w:kern w:val="2"/>
        </w:rPr>
      </w:pPr>
      <w:r>
        <w:rPr>
          <w:color w:val="auto"/>
          <w:kern w:val="2"/>
        </w:rPr>
        <w:t>实地调查采用线路调查与重点调查相结合的方法。在工程重点区域以及植被状况良好的区域进行重点调查；对于没有原生植被的区域采取线路调查；项目</w:t>
      </w:r>
      <w:r>
        <w:rPr>
          <w:color w:val="auto"/>
        </w:rPr>
        <w:t>评级</w:t>
      </w:r>
      <w:r>
        <w:rPr>
          <w:color w:val="auto"/>
          <w:kern w:val="2"/>
        </w:rPr>
        <w:t>范围不涉及珍稀濒危植物，按照上述基础工作所收集的调查数据编撰评价区植物名录见表4.4-5。</w:t>
      </w:r>
    </w:p>
    <w:p w14:paraId="32707E53">
      <w:pPr>
        <w:spacing w:line="440" w:lineRule="exact"/>
        <w:ind w:firstLine="420" w:firstLineChars="200"/>
        <w:jc w:val="center"/>
        <w:rPr>
          <w:rFonts w:ascii="宋体" w:hAnsi="宋体" w:eastAsia="宋体" w:cs="Times New Roman"/>
          <w:color w:val="auto"/>
        </w:rPr>
      </w:pPr>
      <w:r>
        <w:rPr>
          <w:rFonts w:ascii="宋体" w:hAnsi="宋体" w:eastAsia="宋体" w:cs="Times New Roman"/>
          <w:color w:val="auto"/>
        </w:rPr>
        <w:t>表4.4-5   评价范围内植物信息表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337"/>
        <w:gridCol w:w="2056"/>
        <w:gridCol w:w="4557"/>
      </w:tblGrid>
      <w:tr w14:paraId="5DD4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shd w:val="clear" w:color="auto" w:fill="auto"/>
            <w:noWrap/>
            <w:vAlign w:val="center"/>
          </w:tcPr>
          <w:p w14:paraId="20AAF16C">
            <w:pPr>
              <w:jc w:val="center"/>
              <w:rPr>
                <w:rFonts w:ascii="宋体" w:hAnsi="宋体" w:eastAsia="宋体" w:cs="Times New Roman"/>
                <w:color w:val="auto"/>
                <w:lang w:bidi="ar"/>
              </w:rPr>
            </w:pPr>
            <w:r>
              <w:rPr>
                <w:rFonts w:ascii="宋体" w:hAnsi="宋体" w:eastAsia="宋体" w:cs="Times New Roman"/>
                <w:color w:val="auto"/>
                <w:lang w:bidi="ar"/>
              </w:rPr>
              <w:t>科</w:t>
            </w:r>
          </w:p>
        </w:tc>
        <w:tc>
          <w:tcPr>
            <w:tcW w:w="720" w:type="pct"/>
            <w:shd w:val="clear" w:color="auto" w:fill="auto"/>
            <w:noWrap/>
            <w:vAlign w:val="center"/>
          </w:tcPr>
          <w:p w14:paraId="58FC89B6">
            <w:pPr>
              <w:jc w:val="center"/>
              <w:rPr>
                <w:rFonts w:ascii="宋体" w:hAnsi="宋体" w:eastAsia="宋体" w:cs="Times New Roman"/>
                <w:color w:val="auto"/>
                <w:lang w:bidi="ar"/>
              </w:rPr>
            </w:pPr>
            <w:r>
              <w:rPr>
                <w:rFonts w:ascii="宋体" w:hAnsi="宋体" w:eastAsia="宋体" w:cs="Times New Roman"/>
                <w:color w:val="auto"/>
                <w:lang w:bidi="ar"/>
              </w:rPr>
              <w:t>属</w:t>
            </w:r>
          </w:p>
        </w:tc>
        <w:tc>
          <w:tcPr>
            <w:tcW w:w="1107" w:type="pct"/>
            <w:shd w:val="clear" w:color="auto" w:fill="auto"/>
            <w:noWrap/>
            <w:vAlign w:val="center"/>
          </w:tcPr>
          <w:p w14:paraId="6B3BDDE9">
            <w:pPr>
              <w:jc w:val="center"/>
              <w:rPr>
                <w:rFonts w:ascii="宋体" w:hAnsi="宋体" w:eastAsia="宋体" w:cs="Times New Roman"/>
                <w:color w:val="auto"/>
                <w:lang w:bidi="ar"/>
              </w:rPr>
            </w:pPr>
            <w:r>
              <w:rPr>
                <w:rFonts w:ascii="宋体" w:hAnsi="宋体" w:eastAsia="宋体" w:cs="Times New Roman"/>
                <w:color w:val="auto"/>
                <w:lang w:bidi="ar"/>
              </w:rPr>
              <w:t>种</w:t>
            </w:r>
          </w:p>
        </w:tc>
        <w:tc>
          <w:tcPr>
            <w:tcW w:w="2453" w:type="pct"/>
            <w:shd w:val="clear" w:color="auto" w:fill="auto"/>
            <w:noWrap/>
            <w:vAlign w:val="center"/>
          </w:tcPr>
          <w:p w14:paraId="72BD28D4">
            <w:pPr>
              <w:jc w:val="center"/>
              <w:rPr>
                <w:rFonts w:ascii="宋体" w:hAnsi="宋体" w:eastAsia="宋体" w:cs="Times New Roman"/>
                <w:color w:val="auto"/>
              </w:rPr>
            </w:pPr>
            <w:r>
              <w:rPr>
                <w:rFonts w:ascii="宋体" w:hAnsi="宋体" w:eastAsia="宋体" w:cs="Times New Roman"/>
                <w:color w:val="auto"/>
                <w:lang w:bidi="ar"/>
              </w:rPr>
              <w:t>拉丁名</w:t>
            </w:r>
          </w:p>
        </w:tc>
      </w:tr>
      <w:tr w14:paraId="4FE0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shd w:val="clear" w:color="auto" w:fill="auto"/>
            <w:noWrap/>
            <w:vAlign w:val="center"/>
          </w:tcPr>
          <w:p w14:paraId="3521A967">
            <w:pPr>
              <w:jc w:val="center"/>
              <w:rPr>
                <w:rFonts w:ascii="宋体" w:hAnsi="宋体" w:eastAsia="宋体" w:cs="Times New Roman"/>
                <w:color w:val="auto"/>
                <w:lang w:bidi="ar"/>
              </w:rPr>
            </w:pPr>
            <w:r>
              <w:rPr>
                <w:rFonts w:ascii="宋体" w:hAnsi="宋体" w:eastAsia="宋体" w:cs="Times New Roman"/>
                <w:color w:val="auto"/>
                <w:lang w:bidi="ar"/>
              </w:rPr>
              <w:t>杨柳科</w:t>
            </w:r>
          </w:p>
        </w:tc>
        <w:tc>
          <w:tcPr>
            <w:tcW w:w="720" w:type="pct"/>
            <w:shd w:val="clear" w:color="auto" w:fill="auto"/>
            <w:noWrap/>
            <w:vAlign w:val="center"/>
          </w:tcPr>
          <w:p w14:paraId="676C98E6">
            <w:pPr>
              <w:jc w:val="center"/>
              <w:rPr>
                <w:rFonts w:ascii="宋体" w:hAnsi="宋体" w:eastAsia="宋体" w:cs="Times New Roman"/>
                <w:color w:val="auto"/>
                <w:lang w:bidi="ar"/>
              </w:rPr>
            </w:pPr>
            <w:r>
              <w:rPr>
                <w:rFonts w:ascii="宋体" w:hAnsi="宋体" w:eastAsia="宋体" w:cs="Times New Roman"/>
                <w:color w:val="auto"/>
                <w:lang w:bidi="ar"/>
              </w:rPr>
              <w:t>杨属</w:t>
            </w:r>
          </w:p>
        </w:tc>
        <w:tc>
          <w:tcPr>
            <w:tcW w:w="1107" w:type="pct"/>
            <w:shd w:val="clear" w:color="auto" w:fill="auto"/>
            <w:noWrap/>
            <w:vAlign w:val="center"/>
          </w:tcPr>
          <w:p w14:paraId="4C32B081">
            <w:pPr>
              <w:jc w:val="center"/>
              <w:rPr>
                <w:rFonts w:ascii="宋体" w:hAnsi="宋体" w:eastAsia="宋体" w:cs="Times New Roman"/>
                <w:color w:val="auto"/>
                <w:lang w:bidi="ar"/>
              </w:rPr>
            </w:pPr>
            <w:r>
              <w:rPr>
                <w:rFonts w:ascii="宋体" w:hAnsi="宋体" w:eastAsia="宋体" w:cs="Times New Roman"/>
                <w:color w:val="auto"/>
                <w:lang w:bidi="ar"/>
              </w:rPr>
              <w:t>青杨</w:t>
            </w:r>
          </w:p>
        </w:tc>
        <w:tc>
          <w:tcPr>
            <w:tcW w:w="2453" w:type="pct"/>
            <w:shd w:val="clear" w:color="auto" w:fill="auto"/>
            <w:noWrap/>
            <w:vAlign w:val="center"/>
          </w:tcPr>
          <w:p w14:paraId="4FAA35DB">
            <w:pPr>
              <w:jc w:val="center"/>
              <w:rPr>
                <w:rFonts w:ascii="宋体" w:hAnsi="宋体" w:eastAsia="宋体" w:cs="Times New Roman"/>
                <w:i/>
                <w:iCs/>
                <w:color w:val="auto"/>
              </w:rPr>
            </w:pPr>
            <w:r>
              <w:rPr>
                <w:rFonts w:ascii="宋体" w:hAnsi="宋体" w:eastAsia="宋体" w:cs="Times New Roman"/>
                <w:i/>
                <w:iCs/>
                <w:color w:val="auto"/>
              </w:rPr>
              <w:t>Populus pseudo-simonii</w:t>
            </w:r>
          </w:p>
        </w:tc>
      </w:tr>
      <w:tr w14:paraId="2364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shd w:val="clear" w:color="auto" w:fill="auto"/>
            <w:noWrap/>
            <w:vAlign w:val="center"/>
          </w:tcPr>
          <w:p w14:paraId="025B5C6C">
            <w:pPr>
              <w:jc w:val="center"/>
              <w:rPr>
                <w:rFonts w:ascii="宋体" w:hAnsi="宋体" w:eastAsia="宋体" w:cs="Times New Roman"/>
                <w:color w:val="auto"/>
                <w:lang w:bidi="ar"/>
              </w:rPr>
            </w:pPr>
            <w:r>
              <w:rPr>
                <w:rFonts w:ascii="宋体" w:hAnsi="宋体" w:eastAsia="宋体" w:cs="Times New Roman"/>
                <w:color w:val="auto"/>
                <w:lang w:bidi="ar"/>
              </w:rPr>
              <w:t>榆科</w:t>
            </w:r>
          </w:p>
        </w:tc>
        <w:tc>
          <w:tcPr>
            <w:tcW w:w="720" w:type="pct"/>
            <w:shd w:val="clear" w:color="auto" w:fill="auto"/>
            <w:noWrap/>
            <w:vAlign w:val="center"/>
          </w:tcPr>
          <w:p w14:paraId="05F543C6">
            <w:pPr>
              <w:jc w:val="center"/>
              <w:rPr>
                <w:rFonts w:ascii="宋体" w:hAnsi="宋体" w:eastAsia="宋体" w:cs="Times New Roman"/>
                <w:color w:val="auto"/>
                <w:lang w:bidi="ar"/>
              </w:rPr>
            </w:pPr>
            <w:r>
              <w:rPr>
                <w:rFonts w:ascii="宋体" w:hAnsi="宋体" w:eastAsia="宋体" w:cs="Times New Roman"/>
                <w:color w:val="auto"/>
                <w:lang w:bidi="ar"/>
              </w:rPr>
              <w:t>榆属</w:t>
            </w:r>
          </w:p>
        </w:tc>
        <w:tc>
          <w:tcPr>
            <w:tcW w:w="1107" w:type="pct"/>
            <w:shd w:val="clear" w:color="auto" w:fill="auto"/>
            <w:noWrap/>
            <w:vAlign w:val="center"/>
          </w:tcPr>
          <w:p w14:paraId="2D35C0AD">
            <w:pPr>
              <w:jc w:val="center"/>
              <w:rPr>
                <w:rFonts w:ascii="宋体" w:hAnsi="宋体" w:eastAsia="宋体" w:cs="Times New Roman"/>
                <w:color w:val="auto"/>
                <w:lang w:bidi="ar"/>
              </w:rPr>
            </w:pPr>
            <w:r>
              <w:rPr>
                <w:rFonts w:ascii="宋体" w:hAnsi="宋体" w:eastAsia="宋体" w:cs="Times New Roman"/>
                <w:color w:val="auto"/>
                <w:lang w:bidi="ar"/>
              </w:rPr>
              <w:t>榆树</w:t>
            </w:r>
          </w:p>
        </w:tc>
        <w:tc>
          <w:tcPr>
            <w:tcW w:w="2453" w:type="pct"/>
            <w:shd w:val="clear" w:color="auto" w:fill="auto"/>
            <w:noWrap/>
            <w:vAlign w:val="center"/>
          </w:tcPr>
          <w:p w14:paraId="022D6ABC">
            <w:pPr>
              <w:jc w:val="center"/>
              <w:rPr>
                <w:rFonts w:ascii="宋体" w:hAnsi="宋体" w:eastAsia="宋体" w:cs="Times New Roman"/>
                <w:i/>
                <w:iCs/>
                <w:color w:val="auto"/>
              </w:rPr>
            </w:pPr>
            <w:r>
              <w:rPr>
                <w:rFonts w:ascii="宋体" w:hAnsi="宋体" w:eastAsia="宋体" w:cs="Times New Roman"/>
                <w:i/>
                <w:iCs/>
                <w:color w:val="auto"/>
              </w:rPr>
              <w:t>Ulmus pumila </w:t>
            </w:r>
          </w:p>
        </w:tc>
      </w:tr>
      <w:tr w14:paraId="4939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restart"/>
            <w:shd w:val="clear" w:color="auto" w:fill="auto"/>
            <w:noWrap/>
            <w:vAlign w:val="center"/>
          </w:tcPr>
          <w:p w14:paraId="5AF28298">
            <w:pPr>
              <w:jc w:val="center"/>
              <w:rPr>
                <w:rFonts w:ascii="宋体" w:hAnsi="宋体" w:eastAsia="宋体" w:cs="Times New Roman"/>
                <w:color w:val="auto"/>
                <w:lang w:bidi="ar"/>
              </w:rPr>
            </w:pPr>
            <w:r>
              <w:rPr>
                <w:rFonts w:ascii="宋体" w:hAnsi="宋体" w:eastAsia="宋体" w:cs="Times New Roman"/>
                <w:color w:val="auto"/>
                <w:lang w:bidi="ar"/>
              </w:rPr>
              <w:t>蔷薇科</w:t>
            </w:r>
          </w:p>
        </w:tc>
        <w:tc>
          <w:tcPr>
            <w:tcW w:w="720" w:type="pct"/>
            <w:shd w:val="clear" w:color="auto" w:fill="auto"/>
            <w:noWrap/>
            <w:vAlign w:val="center"/>
          </w:tcPr>
          <w:p w14:paraId="2488DB9F">
            <w:pPr>
              <w:jc w:val="center"/>
              <w:rPr>
                <w:rFonts w:ascii="宋体" w:hAnsi="宋体" w:eastAsia="宋体" w:cs="Times New Roman"/>
                <w:color w:val="auto"/>
                <w:lang w:bidi="ar"/>
              </w:rPr>
            </w:pPr>
            <w:r>
              <w:rPr>
                <w:rFonts w:ascii="宋体" w:hAnsi="宋体" w:eastAsia="宋体" w:cs="Times New Roman"/>
                <w:color w:val="auto"/>
                <w:lang w:bidi="ar"/>
              </w:rPr>
              <w:t>杏属</w:t>
            </w:r>
          </w:p>
        </w:tc>
        <w:tc>
          <w:tcPr>
            <w:tcW w:w="1107" w:type="pct"/>
            <w:shd w:val="clear" w:color="auto" w:fill="auto"/>
            <w:noWrap/>
            <w:vAlign w:val="center"/>
          </w:tcPr>
          <w:p w14:paraId="315E2F31">
            <w:pPr>
              <w:jc w:val="center"/>
              <w:rPr>
                <w:rFonts w:ascii="宋体" w:hAnsi="宋体" w:eastAsia="宋体" w:cs="Times New Roman"/>
                <w:color w:val="auto"/>
                <w:lang w:bidi="ar"/>
              </w:rPr>
            </w:pPr>
            <w:r>
              <w:rPr>
                <w:rFonts w:ascii="宋体" w:hAnsi="宋体" w:eastAsia="宋体" w:cs="Times New Roman"/>
                <w:color w:val="auto"/>
                <w:lang w:bidi="ar"/>
              </w:rPr>
              <w:t>山杏</w:t>
            </w:r>
          </w:p>
        </w:tc>
        <w:tc>
          <w:tcPr>
            <w:tcW w:w="2453" w:type="pct"/>
            <w:shd w:val="clear" w:color="auto" w:fill="auto"/>
            <w:noWrap/>
            <w:vAlign w:val="center"/>
          </w:tcPr>
          <w:p w14:paraId="054528C5">
            <w:pPr>
              <w:jc w:val="center"/>
              <w:rPr>
                <w:rFonts w:ascii="宋体" w:hAnsi="宋体" w:eastAsia="宋体" w:cs="Times New Roman"/>
                <w:i/>
                <w:iCs/>
                <w:color w:val="auto"/>
              </w:rPr>
            </w:pPr>
            <w:r>
              <w:rPr>
                <w:rFonts w:ascii="宋体" w:hAnsi="宋体" w:eastAsia="宋体" w:cs="Times New Roman"/>
                <w:i/>
                <w:iCs/>
                <w:color w:val="auto"/>
              </w:rPr>
              <w:t>Prunus sibirica </w:t>
            </w:r>
          </w:p>
        </w:tc>
      </w:tr>
      <w:tr w14:paraId="7668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shd w:val="clear" w:color="auto" w:fill="auto"/>
            <w:noWrap/>
            <w:vAlign w:val="center"/>
          </w:tcPr>
          <w:p w14:paraId="48EEA650">
            <w:pPr>
              <w:jc w:val="center"/>
              <w:rPr>
                <w:rFonts w:ascii="宋体" w:hAnsi="宋体" w:eastAsia="宋体" w:cs="Times New Roman"/>
                <w:color w:val="auto"/>
                <w:lang w:bidi="ar"/>
              </w:rPr>
            </w:pPr>
          </w:p>
        </w:tc>
        <w:tc>
          <w:tcPr>
            <w:tcW w:w="720" w:type="pct"/>
            <w:shd w:val="clear" w:color="auto" w:fill="auto"/>
            <w:noWrap/>
            <w:vAlign w:val="center"/>
          </w:tcPr>
          <w:p w14:paraId="066F2761">
            <w:pPr>
              <w:jc w:val="center"/>
              <w:rPr>
                <w:rFonts w:ascii="宋体" w:hAnsi="宋体" w:eastAsia="宋体" w:cs="Times New Roman"/>
                <w:color w:val="auto"/>
                <w:lang w:bidi="ar"/>
              </w:rPr>
            </w:pPr>
            <w:r>
              <w:rPr>
                <w:rFonts w:ascii="宋体" w:hAnsi="宋体" w:eastAsia="宋体" w:cs="Times New Roman"/>
                <w:color w:val="auto"/>
                <w:lang w:bidi="ar"/>
              </w:rPr>
              <w:t>地榆属</w:t>
            </w:r>
          </w:p>
        </w:tc>
        <w:tc>
          <w:tcPr>
            <w:tcW w:w="1107" w:type="pct"/>
            <w:shd w:val="clear" w:color="auto" w:fill="auto"/>
            <w:noWrap/>
            <w:vAlign w:val="center"/>
          </w:tcPr>
          <w:p w14:paraId="71465F52">
            <w:pPr>
              <w:jc w:val="center"/>
              <w:rPr>
                <w:rFonts w:ascii="宋体" w:hAnsi="宋体" w:eastAsia="宋体" w:cs="Times New Roman"/>
                <w:color w:val="auto"/>
                <w:lang w:bidi="ar"/>
              </w:rPr>
            </w:pPr>
            <w:r>
              <w:rPr>
                <w:rFonts w:ascii="宋体" w:hAnsi="宋体" w:eastAsia="宋体" w:cs="Times New Roman"/>
                <w:color w:val="auto"/>
                <w:lang w:bidi="ar"/>
              </w:rPr>
              <w:t>地榆</w:t>
            </w:r>
          </w:p>
        </w:tc>
        <w:tc>
          <w:tcPr>
            <w:tcW w:w="2453" w:type="pct"/>
            <w:shd w:val="clear" w:color="auto" w:fill="auto"/>
            <w:noWrap/>
            <w:vAlign w:val="center"/>
          </w:tcPr>
          <w:p w14:paraId="33C3B7A3">
            <w:pPr>
              <w:jc w:val="center"/>
              <w:rPr>
                <w:rFonts w:ascii="宋体" w:hAnsi="宋体" w:eastAsia="宋体" w:cs="Times New Roman"/>
                <w:i/>
                <w:iCs/>
                <w:color w:val="auto"/>
              </w:rPr>
            </w:pPr>
            <w:r>
              <w:rPr>
                <w:rFonts w:ascii="宋体" w:hAnsi="宋体" w:eastAsia="宋体" w:cs="Times New Roman"/>
                <w:i/>
                <w:iCs/>
                <w:color w:val="auto"/>
              </w:rPr>
              <w:t>Sanguisorba officinalis </w:t>
            </w:r>
          </w:p>
        </w:tc>
      </w:tr>
      <w:tr w14:paraId="49C1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restart"/>
            <w:shd w:val="clear" w:color="auto" w:fill="auto"/>
            <w:noWrap/>
            <w:vAlign w:val="center"/>
          </w:tcPr>
          <w:p w14:paraId="2C0BE335">
            <w:pPr>
              <w:jc w:val="center"/>
              <w:rPr>
                <w:rFonts w:ascii="宋体" w:hAnsi="宋体" w:eastAsia="宋体" w:cs="Times New Roman"/>
                <w:color w:val="auto"/>
                <w:lang w:bidi="ar"/>
              </w:rPr>
            </w:pPr>
            <w:r>
              <w:rPr>
                <w:rFonts w:ascii="宋体" w:hAnsi="宋体" w:eastAsia="宋体" w:cs="Times New Roman"/>
                <w:color w:val="auto"/>
                <w:lang w:bidi="ar"/>
              </w:rPr>
              <w:t>豆科</w:t>
            </w:r>
          </w:p>
        </w:tc>
        <w:tc>
          <w:tcPr>
            <w:tcW w:w="720" w:type="pct"/>
            <w:vMerge w:val="restart"/>
            <w:shd w:val="clear" w:color="auto" w:fill="auto"/>
            <w:noWrap/>
            <w:vAlign w:val="center"/>
          </w:tcPr>
          <w:p w14:paraId="5F1836B4">
            <w:pPr>
              <w:jc w:val="center"/>
              <w:rPr>
                <w:rFonts w:ascii="宋体" w:hAnsi="宋体" w:eastAsia="宋体" w:cs="Times New Roman"/>
                <w:color w:val="auto"/>
                <w:lang w:bidi="ar"/>
              </w:rPr>
            </w:pPr>
            <w:r>
              <w:rPr>
                <w:rFonts w:ascii="宋体" w:hAnsi="宋体" w:eastAsia="宋体" w:cs="Times New Roman"/>
                <w:color w:val="auto"/>
                <w:lang w:bidi="ar"/>
              </w:rPr>
              <w:t>大豆属</w:t>
            </w:r>
          </w:p>
        </w:tc>
        <w:tc>
          <w:tcPr>
            <w:tcW w:w="1107" w:type="pct"/>
            <w:shd w:val="clear" w:color="auto" w:fill="auto"/>
            <w:noWrap/>
            <w:vAlign w:val="center"/>
          </w:tcPr>
          <w:p w14:paraId="3EF7780C">
            <w:pPr>
              <w:jc w:val="center"/>
              <w:rPr>
                <w:rFonts w:ascii="宋体" w:hAnsi="宋体" w:eastAsia="宋体" w:cs="Times New Roman"/>
                <w:color w:val="auto"/>
                <w:lang w:bidi="ar"/>
              </w:rPr>
            </w:pPr>
            <w:r>
              <w:rPr>
                <w:rFonts w:ascii="宋体" w:hAnsi="宋体" w:eastAsia="宋体" w:cs="Times New Roman"/>
                <w:color w:val="auto"/>
                <w:lang w:bidi="ar"/>
              </w:rPr>
              <w:t>小白花</w:t>
            </w:r>
          </w:p>
        </w:tc>
        <w:tc>
          <w:tcPr>
            <w:tcW w:w="2453" w:type="pct"/>
            <w:shd w:val="clear" w:color="auto" w:fill="auto"/>
            <w:noWrap/>
            <w:vAlign w:val="center"/>
          </w:tcPr>
          <w:p w14:paraId="36C54A56">
            <w:pPr>
              <w:jc w:val="center"/>
              <w:rPr>
                <w:rFonts w:ascii="宋体" w:hAnsi="宋体" w:eastAsia="宋体" w:cs="Times New Roman"/>
                <w:i/>
                <w:iCs/>
                <w:color w:val="auto"/>
              </w:rPr>
            </w:pPr>
            <w:r>
              <w:rPr>
                <w:rFonts w:ascii="宋体" w:hAnsi="宋体" w:eastAsia="宋体" w:cs="Times New Roman"/>
                <w:i/>
                <w:iCs/>
                <w:color w:val="auto"/>
              </w:rPr>
              <w:t>Glycine max L. Merrill</w:t>
            </w:r>
          </w:p>
        </w:tc>
      </w:tr>
      <w:tr w14:paraId="1F40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shd w:val="clear" w:color="auto" w:fill="auto"/>
            <w:noWrap/>
            <w:vAlign w:val="center"/>
          </w:tcPr>
          <w:p w14:paraId="253A0C35">
            <w:pPr>
              <w:jc w:val="center"/>
              <w:rPr>
                <w:rFonts w:ascii="宋体" w:hAnsi="宋体" w:eastAsia="宋体" w:cs="Times New Roman"/>
                <w:color w:val="auto"/>
                <w:lang w:bidi="ar"/>
              </w:rPr>
            </w:pPr>
          </w:p>
        </w:tc>
        <w:tc>
          <w:tcPr>
            <w:tcW w:w="720" w:type="pct"/>
            <w:vMerge w:val="continue"/>
            <w:shd w:val="clear" w:color="auto" w:fill="auto"/>
            <w:noWrap/>
            <w:vAlign w:val="center"/>
          </w:tcPr>
          <w:p w14:paraId="3EF30B72">
            <w:pPr>
              <w:jc w:val="center"/>
              <w:rPr>
                <w:rFonts w:ascii="宋体" w:hAnsi="宋体" w:eastAsia="宋体" w:cs="Times New Roman"/>
                <w:color w:val="auto"/>
                <w:lang w:bidi="ar"/>
              </w:rPr>
            </w:pPr>
          </w:p>
        </w:tc>
        <w:tc>
          <w:tcPr>
            <w:tcW w:w="1107" w:type="pct"/>
            <w:shd w:val="clear" w:color="auto" w:fill="auto"/>
            <w:noWrap/>
            <w:vAlign w:val="center"/>
          </w:tcPr>
          <w:p w14:paraId="0D0AE51E">
            <w:pPr>
              <w:jc w:val="center"/>
              <w:rPr>
                <w:rFonts w:ascii="宋体" w:hAnsi="宋体" w:eastAsia="宋体" w:cs="Times New Roman"/>
                <w:color w:val="auto"/>
                <w:lang w:bidi="ar"/>
              </w:rPr>
            </w:pPr>
            <w:r>
              <w:rPr>
                <w:rFonts w:ascii="宋体" w:hAnsi="宋体" w:eastAsia="宋体" w:cs="Times New Roman"/>
                <w:color w:val="auto"/>
                <w:lang w:bidi="ar"/>
              </w:rPr>
              <w:t>大豆</w:t>
            </w:r>
          </w:p>
        </w:tc>
        <w:tc>
          <w:tcPr>
            <w:tcW w:w="2453" w:type="pct"/>
            <w:shd w:val="clear" w:color="auto" w:fill="auto"/>
            <w:noWrap/>
            <w:vAlign w:val="center"/>
          </w:tcPr>
          <w:p w14:paraId="7604550F">
            <w:pPr>
              <w:jc w:val="center"/>
              <w:rPr>
                <w:rFonts w:ascii="宋体" w:hAnsi="宋体" w:eastAsia="宋体" w:cs="Times New Roman"/>
                <w:i/>
                <w:iCs/>
                <w:color w:val="auto"/>
              </w:rPr>
            </w:pPr>
            <w:r>
              <w:rPr>
                <w:rFonts w:ascii="宋体" w:hAnsi="宋体" w:eastAsia="宋体" w:cs="Times New Roman"/>
                <w:i/>
                <w:iCs/>
                <w:color w:val="auto"/>
              </w:rPr>
              <w:t>Glycine max (L.) Merr.</w:t>
            </w:r>
          </w:p>
        </w:tc>
      </w:tr>
      <w:tr w14:paraId="7291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shd w:val="clear" w:color="auto" w:fill="auto"/>
            <w:noWrap/>
            <w:vAlign w:val="center"/>
          </w:tcPr>
          <w:p w14:paraId="7ABB7234">
            <w:pPr>
              <w:jc w:val="center"/>
              <w:rPr>
                <w:rFonts w:ascii="宋体" w:hAnsi="宋体" w:eastAsia="宋体" w:cs="Times New Roman"/>
                <w:color w:val="auto"/>
                <w:lang w:bidi="ar"/>
              </w:rPr>
            </w:pPr>
            <w:r>
              <w:rPr>
                <w:rFonts w:ascii="宋体" w:hAnsi="宋体" w:eastAsia="宋体" w:cs="Times New Roman"/>
                <w:color w:val="auto"/>
                <w:lang w:bidi="ar"/>
              </w:rPr>
              <w:t>藜科</w:t>
            </w:r>
          </w:p>
        </w:tc>
        <w:tc>
          <w:tcPr>
            <w:tcW w:w="720" w:type="pct"/>
            <w:shd w:val="clear" w:color="auto" w:fill="auto"/>
            <w:noWrap/>
            <w:vAlign w:val="center"/>
          </w:tcPr>
          <w:p w14:paraId="0419359F">
            <w:pPr>
              <w:jc w:val="center"/>
              <w:rPr>
                <w:rFonts w:ascii="宋体" w:hAnsi="宋体" w:eastAsia="宋体" w:cs="Times New Roman"/>
                <w:color w:val="auto"/>
                <w:lang w:bidi="ar"/>
              </w:rPr>
            </w:pPr>
            <w:r>
              <w:rPr>
                <w:rFonts w:ascii="宋体" w:hAnsi="宋体" w:eastAsia="宋体" w:cs="Times New Roman"/>
                <w:color w:val="auto"/>
                <w:lang w:bidi="ar"/>
              </w:rPr>
              <w:t>碱蓬属</w:t>
            </w:r>
          </w:p>
        </w:tc>
        <w:tc>
          <w:tcPr>
            <w:tcW w:w="1107" w:type="pct"/>
            <w:shd w:val="clear" w:color="auto" w:fill="auto"/>
            <w:noWrap/>
            <w:vAlign w:val="center"/>
          </w:tcPr>
          <w:p w14:paraId="562ACAA2">
            <w:pPr>
              <w:jc w:val="center"/>
              <w:rPr>
                <w:rFonts w:ascii="宋体" w:hAnsi="宋体" w:eastAsia="宋体" w:cs="Times New Roman"/>
                <w:color w:val="auto"/>
                <w:lang w:bidi="ar"/>
              </w:rPr>
            </w:pPr>
            <w:r>
              <w:rPr>
                <w:rFonts w:ascii="宋体" w:hAnsi="宋体" w:eastAsia="宋体" w:cs="Times New Roman"/>
                <w:color w:val="auto"/>
                <w:lang w:bidi="ar"/>
              </w:rPr>
              <w:t>碱蓬</w:t>
            </w:r>
          </w:p>
        </w:tc>
        <w:tc>
          <w:tcPr>
            <w:tcW w:w="2453" w:type="pct"/>
            <w:shd w:val="clear" w:color="auto" w:fill="auto"/>
            <w:noWrap/>
            <w:vAlign w:val="center"/>
          </w:tcPr>
          <w:p w14:paraId="42AC99B2">
            <w:pPr>
              <w:jc w:val="center"/>
              <w:rPr>
                <w:rFonts w:ascii="宋体" w:hAnsi="宋体" w:eastAsia="宋体" w:cs="Times New Roman"/>
                <w:i/>
                <w:iCs/>
                <w:color w:val="auto"/>
              </w:rPr>
            </w:pPr>
            <w:r>
              <w:rPr>
                <w:rFonts w:ascii="宋体" w:hAnsi="宋体" w:eastAsia="宋体" w:cs="Times New Roman"/>
                <w:i/>
                <w:iCs/>
                <w:color w:val="auto"/>
              </w:rPr>
              <w:t>Suaeda glauca</w:t>
            </w:r>
          </w:p>
        </w:tc>
      </w:tr>
      <w:tr w14:paraId="64B3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shd w:val="clear" w:color="auto" w:fill="auto"/>
            <w:noWrap/>
            <w:vAlign w:val="center"/>
          </w:tcPr>
          <w:p w14:paraId="4143D348">
            <w:pPr>
              <w:jc w:val="center"/>
              <w:rPr>
                <w:rFonts w:ascii="宋体" w:hAnsi="宋体" w:eastAsia="宋体" w:cs="Times New Roman"/>
                <w:color w:val="auto"/>
                <w:lang w:bidi="ar"/>
              </w:rPr>
            </w:pPr>
            <w:r>
              <w:rPr>
                <w:rFonts w:ascii="宋体" w:hAnsi="宋体" w:eastAsia="宋体" w:cs="Times New Roman"/>
                <w:color w:val="auto"/>
                <w:lang w:bidi="ar"/>
              </w:rPr>
              <w:t>大戟科</w:t>
            </w:r>
          </w:p>
        </w:tc>
        <w:tc>
          <w:tcPr>
            <w:tcW w:w="720" w:type="pct"/>
            <w:shd w:val="clear" w:color="auto" w:fill="auto"/>
            <w:noWrap/>
            <w:vAlign w:val="center"/>
          </w:tcPr>
          <w:p w14:paraId="620D3F4E">
            <w:pPr>
              <w:jc w:val="center"/>
              <w:rPr>
                <w:rFonts w:ascii="宋体" w:hAnsi="宋体" w:eastAsia="宋体" w:cs="Times New Roman"/>
                <w:color w:val="auto"/>
                <w:lang w:bidi="ar"/>
              </w:rPr>
            </w:pPr>
            <w:r>
              <w:rPr>
                <w:rFonts w:ascii="宋体" w:hAnsi="宋体" w:eastAsia="宋体" w:cs="Times New Roman"/>
                <w:color w:val="auto"/>
                <w:lang w:bidi="ar"/>
              </w:rPr>
              <w:t>铁苋菜属</w:t>
            </w:r>
          </w:p>
        </w:tc>
        <w:tc>
          <w:tcPr>
            <w:tcW w:w="1107" w:type="pct"/>
            <w:shd w:val="clear" w:color="auto" w:fill="auto"/>
            <w:noWrap/>
            <w:vAlign w:val="center"/>
          </w:tcPr>
          <w:p w14:paraId="31427E7C">
            <w:pPr>
              <w:jc w:val="center"/>
              <w:rPr>
                <w:rFonts w:ascii="宋体" w:hAnsi="宋体" w:eastAsia="宋体" w:cs="Times New Roman"/>
                <w:color w:val="auto"/>
                <w:lang w:bidi="ar"/>
              </w:rPr>
            </w:pPr>
            <w:r>
              <w:rPr>
                <w:rFonts w:ascii="宋体" w:hAnsi="宋体" w:eastAsia="宋体" w:cs="Times New Roman"/>
                <w:color w:val="auto"/>
                <w:lang w:bidi="ar"/>
              </w:rPr>
              <w:t>铁苋菜</w:t>
            </w:r>
          </w:p>
        </w:tc>
        <w:tc>
          <w:tcPr>
            <w:tcW w:w="2453" w:type="pct"/>
            <w:shd w:val="clear" w:color="auto" w:fill="auto"/>
            <w:noWrap/>
            <w:vAlign w:val="center"/>
          </w:tcPr>
          <w:p w14:paraId="5EFB2B25">
            <w:pPr>
              <w:jc w:val="center"/>
              <w:rPr>
                <w:rFonts w:ascii="宋体" w:hAnsi="宋体" w:eastAsia="宋体" w:cs="Times New Roman"/>
                <w:i/>
                <w:iCs/>
                <w:color w:val="auto"/>
              </w:rPr>
            </w:pPr>
            <w:r>
              <w:rPr>
                <w:rFonts w:ascii="宋体" w:hAnsi="宋体" w:eastAsia="宋体" w:cs="Times New Roman"/>
                <w:i/>
                <w:iCs/>
                <w:color w:val="auto"/>
              </w:rPr>
              <w:t>Acalypha australis</w:t>
            </w:r>
          </w:p>
        </w:tc>
      </w:tr>
      <w:tr w14:paraId="6AB9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restart"/>
            <w:shd w:val="clear" w:color="auto" w:fill="auto"/>
            <w:noWrap/>
            <w:vAlign w:val="center"/>
          </w:tcPr>
          <w:p w14:paraId="43B7E451">
            <w:pPr>
              <w:jc w:val="center"/>
              <w:rPr>
                <w:rFonts w:ascii="宋体" w:hAnsi="宋体" w:eastAsia="宋体" w:cs="Times New Roman"/>
                <w:color w:val="auto"/>
                <w:lang w:bidi="ar"/>
              </w:rPr>
            </w:pPr>
            <w:r>
              <w:rPr>
                <w:rFonts w:ascii="宋体" w:hAnsi="宋体" w:eastAsia="宋体" w:cs="Times New Roman"/>
                <w:color w:val="auto"/>
                <w:lang w:bidi="ar"/>
              </w:rPr>
              <w:t>菊科</w:t>
            </w:r>
          </w:p>
        </w:tc>
        <w:tc>
          <w:tcPr>
            <w:tcW w:w="720" w:type="pct"/>
            <w:vMerge w:val="restart"/>
            <w:shd w:val="clear" w:color="auto" w:fill="auto"/>
            <w:noWrap/>
            <w:vAlign w:val="center"/>
          </w:tcPr>
          <w:p w14:paraId="00BEE1AE">
            <w:pPr>
              <w:jc w:val="center"/>
              <w:rPr>
                <w:rFonts w:ascii="宋体" w:hAnsi="宋体" w:eastAsia="宋体" w:cs="Times New Roman"/>
                <w:color w:val="auto"/>
                <w:lang w:bidi="ar"/>
              </w:rPr>
            </w:pPr>
            <w:r>
              <w:rPr>
                <w:rFonts w:ascii="宋体" w:hAnsi="宋体" w:eastAsia="宋体" w:cs="Times New Roman"/>
                <w:color w:val="auto"/>
                <w:lang w:bidi="ar"/>
              </w:rPr>
              <w:t>蒿属</w:t>
            </w:r>
          </w:p>
        </w:tc>
        <w:tc>
          <w:tcPr>
            <w:tcW w:w="1107" w:type="pct"/>
            <w:shd w:val="clear" w:color="auto" w:fill="auto"/>
            <w:noWrap/>
            <w:vAlign w:val="center"/>
          </w:tcPr>
          <w:p w14:paraId="35E4730E">
            <w:pPr>
              <w:jc w:val="center"/>
              <w:rPr>
                <w:rFonts w:ascii="宋体" w:hAnsi="宋体" w:eastAsia="宋体" w:cs="Times New Roman"/>
                <w:color w:val="auto"/>
                <w:lang w:bidi="ar"/>
              </w:rPr>
            </w:pPr>
            <w:r>
              <w:rPr>
                <w:rFonts w:ascii="宋体" w:hAnsi="宋体" w:eastAsia="宋体" w:cs="Times New Roman"/>
                <w:color w:val="auto"/>
                <w:lang w:bidi="ar"/>
              </w:rPr>
              <w:t>艾蒿</w:t>
            </w:r>
          </w:p>
        </w:tc>
        <w:tc>
          <w:tcPr>
            <w:tcW w:w="2453" w:type="pct"/>
            <w:shd w:val="clear" w:color="auto" w:fill="auto"/>
            <w:noWrap/>
            <w:vAlign w:val="center"/>
          </w:tcPr>
          <w:p w14:paraId="181EA553">
            <w:pPr>
              <w:jc w:val="center"/>
              <w:rPr>
                <w:rFonts w:ascii="宋体" w:hAnsi="宋体" w:eastAsia="宋体" w:cs="Times New Roman"/>
                <w:i/>
                <w:iCs/>
                <w:color w:val="auto"/>
              </w:rPr>
            </w:pPr>
            <w:r>
              <w:rPr>
                <w:rFonts w:ascii="宋体" w:hAnsi="宋体" w:eastAsia="宋体" w:cs="Times New Roman"/>
                <w:i/>
                <w:iCs/>
                <w:color w:val="auto"/>
              </w:rPr>
              <w:t>Artemisia argyvi</w:t>
            </w:r>
          </w:p>
        </w:tc>
      </w:tr>
      <w:tr w14:paraId="7FD8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shd w:val="clear" w:color="auto" w:fill="auto"/>
            <w:vAlign w:val="center"/>
          </w:tcPr>
          <w:p w14:paraId="5A1F8D3C">
            <w:pPr>
              <w:jc w:val="center"/>
              <w:rPr>
                <w:rFonts w:ascii="宋体" w:hAnsi="宋体" w:eastAsia="宋体" w:cs="Times New Roman"/>
                <w:color w:val="auto"/>
                <w:lang w:bidi="ar"/>
              </w:rPr>
            </w:pPr>
          </w:p>
        </w:tc>
        <w:tc>
          <w:tcPr>
            <w:tcW w:w="720" w:type="pct"/>
            <w:vMerge w:val="continue"/>
            <w:shd w:val="clear" w:color="auto" w:fill="auto"/>
            <w:vAlign w:val="center"/>
          </w:tcPr>
          <w:p w14:paraId="077A26BE">
            <w:pPr>
              <w:jc w:val="center"/>
              <w:rPr>
                <w:rFonts w:ascii="宋体" w:hAnsi="宋体" w:eastAsia="宋体" w:cs="Times New Roman"/>
                <w:color w:val="auto"/>
                <w:lang w:bidi="ar"/>
              </w:rPr>
            </w:pPr>
          </w:p>
        </w:tc>
        <w:tc>
          <w:tcPr>
            <w:tcW w:w="1107" w:type="pct"/>
            <w:shd w:val="clear" w:color="auto" w:fill="auto"/>
            <w:noWrap/>
            <w:vAlign w:val="center"/>
          </w:tcPr>
          <w:p w14:paraId="742D08BC">
            <w:pPr>
              <w:jc w:val="center"/>
              <w:rPr>
                <w:rFonts w:ascii="宋体" w:hAnsi="宋体" w:eastAsia="宋体" w:cs="Times New Roman"/>
                <w:color w:val="auto"/>
                <w:lang w:bidi="ar"/>
              </w:rPr>
            </w:pPr>
            <w:r>
              <w:rPr>
                <w:rFonts w:ascii="宋体" w:hAnsi="宋体" w:eastAsia="宋体" w:cs="Times New Roman"/>
                <w:color w:val="auto"/>
                <w:lang w:bidi="ar"/>
              </w:rPr>
              <w:t>野艾蒿</w:t>
            </w:r>
          </w:p>
        </w:tc>
        <w:tc>
          <w:tcPr>
            <w:tcW w:w="2453" w:type="pct"/>
            <w:shd w:val="clear" w:color="auto" w:fill="auto"/>
            <w:noWrap/>
            <w:vAlign w:val="center"/>
          </w:tcPr>
          <w:p w14:paraId="7EB4F999">
            <w:pPr>
              <w:jc w:val="center"/>
              <w:rPr>
                <w:rFonts w:ascii="宋体" w:hAnsi="宋体" w:eastAsia="宋体" w:cs="Times New Roman"/>
                <w:i/>
                <w:iCs/>
                <w:color w:val="auto"/>
              </w:rPr>
            </w:pPr>
            <w:r>
              <w:rPr>
                <w:rFonts w:ascii="宋体" w:hAnsi="宋体" w:eastAsia="宋体" w:cs="Times New Roman"/>
                <w:i/>
                <w:iCs/>
                <w:color w:val="auto"/>
              </w:rPr>
              <w:t>Artemisia lavandulifolia</w:t>
            </w:r>
          </w:p>
        </w:tc>
      </w:tr>
      <w:tr w14:paraId="427D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shd w:val="clear" w:color="auto" w:fill="auto"/>
            <w:vAlign w:val="center"/>
          </w:tcPr>
          <w:p w14:paraId="28E5A6B4">
            <w:pPr>
              <w:jc w:val="center"/>
              <w:rPr>
                <w:rFonts w:ascii="宋体" w:hAnsi="宋体" w:eastAsia="宋体" w:cs="Times New Roman"/>
                <w:color w:val="auto"/>
                <w:lang w:bidi="ar"/>
              </w:rPr>
            </w:pPr>
          </w:p>
        </w:tc>
        <w:tc>
          <w:tcPr>
            <w:tcW w:w="720" w:type="pct"/>
            <w:shd w:val="clear" w:color="auto" w:fill="auto"/>
            <w:noWrap/>
            <w:vAlign w:val="center"/>
          </w:tcPr>
          <w:p w14:paraId="0D390942">
            <w:pPr>
              <w:jc w:val="center"/>
              <w:rPr>
                <w:rFonts w:ascii="宋体" w:hAnsi="宋体" w:eastAsia="宋体" w:cs="Times New Roman"/>
                <w:color w:val="auto"/>
                <w:lang w:bidi="ar"/>
              </w:rPr>
            </w:pPr>
            <w:r>
              <w:rPr>
                <w:rFonts w:ascii="宋体" w:hAnsi="宋体" w:eastAsia="宋体" w:cs="Times New Roman"/>
                <w:color w:val="auto"/>
                <w:lang w:bidi="ar"/>
              </w:rPr>
              <w:t>蒲公英属</w:t>
            </w:r>
          </w:p>
        </w:tc>
        <w:tc>
          <w:tcPr>
            <w:tcW w:w="1107" w:type="pct"/>
            <w:shd w:val="clear" w:color="auto" w:fill="auto"/>
            <w:noWrap/>
            <w:vAlign w:val="center"/>
          </w:tcPr>
          <w:p w14:paraId="6024CF7D">
            <w:pPr>
              <w:jc w:val="center"/>
              <w:rPr>
                <w:rFonts w:ascii="宋体" w:hAnsi="宋体" w:eastAsia="宋体" w:cs="Times New Roman"/>
                <w:color w:val="auto"/>
                <w:lang w:bidi="ar"/>
              </w:rPr>
            </w:pPr>
            <w:r>
              <w:rPr>
                <w:rFonts w:ascii="宋体" w:hAnsi="宋体" w:eastAsia="宋体" w:cs="Times New Roman"/>
                <w:color w:val="auto"/>
                <w:lang w:bidi="ar"/>
              </w:rPr>
              <w:t>东北蒲公英</w:t>
            </w:r>
          </w:p>
        </w:tc>
        <w:tc>
          <w:tcPr>
            <w:tcW w:w="2453" w:type="pct"/>
            <w:shd w:val="clear" w:color="auto" w:fill="auto"/>
            <w:noWrap/>
            <w:vAlign w:val="center"/>
          </w:tcPr>
          <w:p w14:paraId="7F38D62F">
            <w:pPr>
              <w:jc w:val="center"/>
              <w:rPr>
                <w:rFonts w:ascii="宋体" w:hAnsi="宋体" w:eastAsia="宋体" w:cs="Times New Roman"/>
                <w:i/>
                <w:iCs/>
                <w:color w:val="auto"/>
              </w:rPr>
            </w:pPr>
            <w:r>
              <w:rPr>
                <w:rFonts w:ascii="宋体" w:hAnsi="宋体" w:eastAsia="宋体" w:cs="Times New Roman"/>
                <w:i/>
                <w:iCs/>
                <w:color w:val="auto"/>
              </w:rPr>
              <w:t>faraxacum ohwianum</w:t>
            </w:r>
          </w:p>
        </w:tc>
      </w:tr>
      <w:tr w14:paraId="0DF3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restart"/>
            <w:shd w:val="clear" w:color="auto" w:fill="auto"/>
            <w:noWrap/>
            <w:vAlign w:val="center"/>
          </w:tcPr>
          <w:p w14:paraId="6C29F6C9">
            <w:pPr>
              <w:jc w:val="center"/>
              <w:rPr>
                <w:rFonts w:ascii="宋体" w:hAnsi="宋体" w:eastAsia="宋体" w:cs="Times New Roman"/>
                <w:color w:val="auto"/>
                <w:lang w:bidi="ar"/>
              </w:rPr>
            </w:pPr>
            <w:r>
              <w:rPr>
                <w:rFonts w:ascii="宋体" w:hAnsi="宋体" w:eastAsia="宋体" w:cs="Times New Roman"/>
                <w:color w:val="auto"/>
                <w:lang w:bidi="ar"/>
              </w:rPr>
              <w:t>禾本科</w:t>
            </w:r>
          </w:p>
        </w:tc>
        <w:tc>
          <w:tcPr>
            <w:tcW w:w="720" w:type="pct"/>
            <w:shd w:val="clear" w:color="auto" w:fill="auto"/>
            <w:noWrap/>
            <w:vAlign w:val="center"/>
          </w:tcPr>
          <w:p w14:paraId="20ED6A91">
            <w:pPr>
              <w:jc w:val="center"/>
              <w:rPr>
                <w:rFonts w:ascii="宋体" w:hAnsi="宋体" w:eastAsia="宋体" w:cs="Times New Roman"/>
                <w:color w:val="auto"/>
                <w:lang w:bidi="ar"/>
              </w:rPr>
            </w:pPr>
            <w:r>
              <w:rPr>
                <w:rFonts w:ascii="宋体" w:hAnsi="宋体" w:eastAsia="宋体" w:cs="Times New Roman"/>
                <w:color w:val="auto"/>
                <w:lang w:bidi="ar"/>
              </w:rPr>
              <w:t>芦苇属</w:t>
            </w:r>
          </w:p>
        </w:tc>
        <w:tc>
          <w:tcPr>
            <w:tcW w:w="1107" w:type="pct"/>
            <w:shd w:val="clear" w:color="auto" w:fill="auto"/>
            <w:noWrap/>
            <w:vAlign w:val="center"/>
          </w:tcPr>
          <w:p w14:paraId="4F1E05BB">
            <w:pPr>
              <w:jc w:val="center"/>
              <w:rPr>
                <w:rFonts w:ascii="宋体" w:hAnsi="宋体" w:eastAsia="宋体" w:cs="Times New Roman"/>
                <w:color w:val="auto"/>
                <w:lang w:bidi="ar"/>
              </w:rPr>
            </w:pPr>
            <w:r>
              <w:rPr>
                <w:rFonts w:ascii="宋体" w:hAnsi="宋体" w:eastAsia="宋体" w:cs="Times New Roman"/>
                <w:color w:val="auto"/>
                <w:lang w:bidi="ar"/>
              </w:rPr>
              <w:t>芦苇</w:t>
            </w:r>
          </w:p>
        </w:tc>
        <w:tc>
          <w:tcPr>
            <w:tcW w:w="2453" w:type="pct"/>
            <w:shd w:val="clear" w:color="auto" w:fill="auto"/>
            <w:noWrap/>
            <w:vAlign w:val="center"/>
          </w:tcPr>
          <w:p w14:paraId="4DCEB498">
            <w:pPr>
              <w:jc w:val="center"/>
              <w:rPr>
                <w:rFonts w:ascii="宋体" w:hAnsi="宋体" w:eastAsia="宋体" w:cs="Times New Roman"/>
                <w:i/>
                <w:iCs/>
                <w:color w:val="auto"/>
              </w:rPr>
            </w:pPr>
            <w:r>
              <w:rPr>
                <w:rFonts w:ascii="宋体" w:hAnsi="宋体" w:eastAsia="宋体" w:cs="Times New Roman"/>
                <w:i/>
                <w:iCs/>
                <w:color w:val="auto"/>
              </w:rPr>
              <w:t>Phragmites australis</w:t>
            </w:r>
          </w:p>
        </w:tc>
      </w:tr>
      <w:tr w14:paraId="58A9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shd w:val="clear" w:color="auto" w:fill="auto"/>
            <w:vAlign w:val="center"/>
          </w:tcPr>
          <w:p w14:paraId="3F609EC2">
            <w:pPr>
              <w:jc w:val="center"/>
              <w:rPr>
                <w:rFonts w:ascii="宋体" w:hAnsi="宋体" w:eastAsia="宋体" w:cs="Times New Roman"/>
                <w:color w:val="auto"/>
                <w:lang w:bidi="ar"/>
              </w:rPr>
            </w:pPr>
          </w:p>
        </w:tc>
        <w:tc>
          <w:tcPr>
            <w:tcW w:w="720" w:type="pct"/>
            <w:shd w:val="clear" w:color="auto" w:fill="auto"/>
            <w:noWrap/>
            <w:vAlign w:val="center"/>
          </w:tcPr>
          <w:p w14:paraId="78B759CE">
            <w:pPr>
              <w:jc w:val="center"/>
              <w:rPr>
                <w:rFonts w:ascii="宋体" w:hAnsi="宋体" w:eastAsia="宋体" w:cs="Times New Roman"/>
                <w:color w:val="auto"/>
                <w:lang w:bidi="ar"/>
              </w:rPr>
            </w:pPr>
            <w:r>
              <w:rPr>
                <w:rFonts w:ascii="宋体" w:hAnsi="宋体" w:eastAsia="宋体" w:cs="Times New Roman"/>
                <w:color w:val="auto"/>
                <w:lang w:bidi="ar"/>
              </w:rPr>
              <w:t>赖草属</w:t>
            </w:r>
          </w:p>
        </w:tc>
        <w:tc>
          <w:tcPr>
            <w:tcW w:w="1107" w:type="pct"/>
            <w:shd w:val="clear" w:color="auto" w:fill="auto"/>
            <w:noWrap/>
            <w:vAlign w:val="center"/>
          </w:tcPr>
          <w:p w14:paraId="2CFD322B">
            <w:pPr>
              <w:jc w:val="center"/>
              <w:rPr>
                <w:rFonts w:ascii="宋体" w:hAnsi="宋体" w:eastAsia="宋体" w:cs="Times New Roman"/>
                <w:color w:val="auto"/>
                <w:lang w:bidi="ar"/>
              </w:rPr>
            </w:pPr>
            <w:r>
              <w:rPr>
                <w:rFonts w:ascii="宋体" w:hAnsi="宋体" w:eastAsia="宋体" w:cs="Times New Roman"/>
                <w:color w:val="auto"/>
                <w:lang w:bidi="ar"/>
              </w:rPr>
              <w:t>羊草</w:t>
            </w:r>
          </w:p>
        </w:tc>
        <w:tc>
          <w:tcPr>
            <w:tcW w:w="2453" w:type="pct"/>
            <w:shd w:val="clear" w:color="auto" w:fill="auto"/>
            <w:noWrap/>
            <w:vAlign w:val="center"/>
          </w:tcPr>
          <w:p w14:paraId="087A58B1">
            <w:pPr>
              <w:jc w:val="center"/>
              <w:rPr>
                <w:rFonts w:ascii="宋体" w:hAnsi="宋体" w:eastAsia="宋体" w:cs="Times New Roman"/>
                <w:i/>
                <w:iCs/>
                <w:color w:val="auto"/>
              </w:rPr>
            </w:pPr>
            <w:r>
              <w:rPr>
                <w:rFonts w:ascii="宋体" w:hAnsi="宋体" w:eastAsia="宋体" w:cs="Times New Roman"/>
                <w:i/>
                <w:iCs/>
                <w:color w:val="auto"/>
              </w:rPr>
              <w:t>Leymus chinensis</w:t>
            </w:r>
          </w:p>
        </w:tc>
      </w:tr>
      <w:tr w14:paraId="6E66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shd w:val="clear" w:color="auto" w:fill="auto"/>
            <w:vAlign w:val="center"/>
          </w:tcPr>
          <w:p w14:paraId="6E1E0E81">
            <w:pPr>
              <w:jc w:val="center"/>
              <w:rPr>
                <w:rFonts w:ascii="宋体" w:hAnsi="宋体" w:eastAsia="宋体" w:cs="Times New Roman"/>
                <w:color w:val="auto"/>
                <w:lang w:bidi="ar"/>
              </w:rPr>
            </w:pPr>
          </w:p>
        </w:tc>
        <w:tc>
          <w:tcPr>
            <w:tcW w:w="720" w:type="pct"/>
            <w:shd w:val="clear" w:color="auto" w:fill="auto"/>
            <w:noWrap/>
            <w:vAlign w:val="center"/>
          </w:tcPr>
          <w:p w14:paraId="121F690C">
            <w:pPr>
              <w:jc w:val="center"/>
              <w:rPr>
                <w:rFonts w:ascii="宋体" w:hAnsi="宋体" w:eastAsia="宋体" w:cs="Times New Roman"/>
                <w:color w:val="auto"/>
                <w:lang w:bidi="ar"/>
              </w:rPr>
            </w:pPr>
            <w:r>
              <w:rPr>
                <w:rFonts w:ascii="宋体" w:hAnsi="宋体" w:eastAsia="宋体" w:cs="Times New Roman"/>
                <w:color w:val="auto"/>
                <w:lang w:bidi="ar"/>
              </w:rPr>
              <w:t>狗尾草属</w:t>
            </w:r>
          </w:p>
        </w:tc>
        <w:tc>
          <w:tcPr>
            <w:tcW w:w="1107" w:type="pct"/>
            <w:shd w:val="clear" w:color="auto" w:fill="auto"/>
            <w:noWrap/>
            <w:vAlign w:val="center"/>
          </w:tcPr>
          <w:p w14:paraId="5A0DA057">
            <w:pPr>
              <w:jc w:val="center"/>
              <w:rPr>
                <w:rFonts w:ascii="宋体" w:hAnsi="宋体" w:eastAsia="宋体" w:cs="Times New Roman"/>
                <w:color w:val="auto"/>
                <w:lang w:bidi="ar"/>
              </w:rPr>
            </w:pPr>
            <w:r>
              <w:rPr>
                <w:rFonts w:ascii="宋体" w:hAnsi="宋体" w:eastAsia="宋体" w:cs="Times New Roman"/>
                <w:color w:val="auto"/>
                <w:lang w:bidi="ar"/>
              </w:rPr>
              <w:t>狗尾草</w:t>
            </w:r>
          </w:p>
        </w:tc>
        <w:tc>
          <w:tcPr>
            <w:tcW w:w="2453" w:type="pct"/>
            <w:shd w:val="clear" w:color="auto" w:fill="auto"/>
            <w:noWrap/>
            <w:vAlign w:val="center"/>
          </w:tcPr>
          <w:p w14:paraId="57CCFF2C">
            <w:pPr>
              <w:jc w:val="center"/>
              <w:rPr>
                <w:rFonts w:ascii="宋体" w:hAnsi="宋体" w:eastAsia="宋体" w:cs="Times New Roman"/>
                <w:i/>
                <w:iCs/>
                <w:color w:val="auto"/>
              </w:rPr>
            </w:pPr>
            <w:r>
              <w:rPr>
                <w:rFonts w:ascii="宋体" w:hAnsi="宋体" w:eastAsia="宋体" w:cs="Times New Roman"/>
                <w:i/>
                <w:iCs/>
                <w:color w:val="auto"/>
              </w:rPr>
              <w:t>Setaria viridis</w:t>
            </w:r>
          </w:p>
        </w:tc>
      </w:tr>
      <w:tr w14:paraId="0C40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shd w:val="clear" w:color="auto" w:fill="auto"/>
            <w:vAlign w:val="center"/>
          </w:tcPr>
          <w:p w14:paraId="5FB7D79D">
            <w:pPr>
              <w:jc w:val="center"/>
              <w:rPr>
                <w:rFonts w:ascii="宋体" w:hAnsi="宋体" w:eastAsia="宋体" w:cs="Times New Roman"/>
                <w:color w:val="auto"/>
                <w:lang w:bidi="ar"/>
              </w:rPr>
            </w:pPr>
          </w:p>
        </w:tc>
        <w:tc>
          <w:tcPr>
            <w:tcW w:w="720" w:type="pct"/>
            <w:shd w:val="clear" w:color="auto" w:fill="auto"/>
            <w:noWrap/>
            <w:vAlign w:val="center"/>
          </w:tcPr>
          <w:p w14:paraId="2AD78145">
            <w:pPr>
              <w:jc w:val="center"/>
              <w:rPr>
                <w:rFonts w:ascii="宋体" w:hAnsi="宋体" w:eastAsia="宋体" w:cs="Times New Roman"/>
                <w:color w:val="auto"/>
                <w:lang w:bidi="ar"/>
              </w:rPr>
            </w:pPr>
            <w:r>
              <w:rPr>
                <w:rFonts w:ascii="宋体" w:hAnsi="宋体" w:eastAsia="宋体" w:cs="Times New Roman"/>
                <w:color w:val="auto"/>
                <w:lang w:bidi="ar"/>
              </w:rPr>
              <w:t>针茅属</w:t>
            </w:r>
          </w:p>
        </w:tc>
        <w:tc>
          <w:tcPr>
            <w:tcW w:w="1107" w:type="pct"/>
            <w:shd w:val="clear" w:color="auto" w:fill="auto"/>
            <w:noWrap/>
            <w:vAlign w:val="center"/>
          </w:tcPr>
          <w:p w14:paraId="288708BD">
            <w:pPr>
              <w:jc w:val="center"/>
              <w:rPr>
                <w:rFonts w:ascii="宋体" w:hAnsi="宋体" w:eastAsia="宋体" w:cs="Times New Roman"/>
                <w:color w:val="auto"/>
                <w:lang w:bidi="ar"/>
              </w:rPr>
            </w:pPr>
            <w:r>
              <w:rPr>
                <w:rFonts w:ascii="宋体" w:hAnsi="宋体" w:eastAsia="宋体" w:cs="Times New Roman"/>
                <w:color w:val="auto"/>
                <w:lang w:bidi="ar"/>
              </w:rPr>
              <w:t>丛生禾草</w:t>
            </w:r>
          </w:p>
        </w:tc>
        <w:tc>
          <w:tcPr>
            <w:tcW w:w="2453" w:type="pct"/>
            <w:shd w:val="clear" w:color="auto" w:fill="auto"/>
            <w:noWrap/>
            <w:vAlign w:val="center"/>
          </w:tcPr>
          <w:p w14:paraId="5F66F7E0">
            <w:pPr>
              <w:jc w:val="center"/>
              <w:rPr>
                <w:rFonts w:ascii="宋体" w:hAnsi="宋体" w:eastAsia="宋体" w:cs="Times New Roman"/>
                <w:i/>
                <w:iCs/>
                <w:color w:val="auto"/>
              </w:rPr>
            </w:pPr>
            <w:r>
              <w:rPr>
                <w:rFonts w:ascii="宋体" w:hAnsi="宋体" w:eastAsia="宋体" w:cs="Times New Roman"/>
                <w:i/>
                <w:iCs/>
                <w:color w:val="auto"/>
              </w:rPr>
              <w:t>bunch grass</w:t>
            </w:r>
          </w:p>
        </w:tc>
      </w:tr>
      <w:tr w14:paraId="3B15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shd w:val="clear" w:color="auto" w:fill="auto"/>
            <w:vAlign w:val="center"/>
          </w:tcPr>
          <w:p w14:paraId="16542325">
            <w:pPr>
              <w:jc w:val="center"/>
              <w:rPr>
                <w:rFonts w:ascii="宋体" w:hAnsi="宋体" w:eastAsia="宋体" w:cs="Times New Roman"/>
                <w:color w:val="auto"/>
                <w:lang w:bidi="ar"/>
              </w:rPr>
            </w:pPr>
          </w:p>
        </w:tc>
        <w:tc>
          <w:tcPr>
            <w:tcW w:w="720" w:type="pct"/>
            <w:shd w:val="clear" w:color="auto" w:fill="auto"/>
            <w:noWrap/>
            <w:vAlign w:val="center"/>
          </w:tcPr>
          <w:p w14:paraId="34D4F4A5">
            <w:pPr>
              <w:jc w:val="center"/>
              <w:rPr>
                <w:rFonts w:ascii="宋体" w:hAnsi="宋体" w:eastAsia="宋体" w:cs="Times New Roman"/>
                <w:color w:val="auto"/>
                <w:lang w:bidi="ar"/>
              </w:rPr>
            </w:pPr>
            <w:r>
              <w:rPr>
                <w:rFonts w:ascii="宋体" w:hAnsi="宋体" w:eastAsia="宋体" w:cs="Times New Roman"/>
                <w:color w:val="auto"/>
                <w:lang w:bidi="ar"/>
              </w:rPr>
              <w:t>稻属</w:t>
            </w:r>
          </w:p>
        </w:tc>
        <w:tc>
          <w:tcPr>
            <w:tcW w:w="1107" w:type="pct"/>
            <w:shd w:val="clear" w:color="auto" w:fill="auto"/>
            <w:noWrap/>
            <w:vAlign w:val="center"/>
          </w:tcPr>
          <w:p w14:paraId="68BA2C3D">
            <w:pPr>
              <w:jc w:val="center"/>
              <w:rPr>
                <w:rFonts w:ascii="宋体" w:hAnsi="宋体" w:eastAsia="宋体" w:cs="Times New Roman"/>
                <w:color w:val="auto"/>
                <w:lang w:bidi="ar"/>
              </w:rPr>
            </w:pPr>
            <w:r>
              <w:rPr>
                <w:rFonts w:ascii="宋体" w:hAnsi="宋体" w:eastAsia="宋体" w:cs="Times New Roman"/>
                <w:color w:val="auto"/>
                <w:lang w:bidi="ar"/>
              </w:rPr>
              <w:t>水稻</w:t>
            </w:r>
          </w:p>
        </w:tc>
        <w:tc>
          <w:tcPr>
            <w:tcW w:w="2453" w:type="pct"/>
            <w:shd w:val="clear" w:color="auto" w:fill="auto"/>
            <w:noWrap/>
            <w:vAlign w:val="center"/>
          </w:tcPr>
          <w:p w14:paraId="4940193E">
            <w:pPr>
              <w:jc w:val="center"/>
              <w:rPr>
                <w:rFonts w:ascii="宋体" w:hAnsi="宋体" w:eastAsia="宋体" w:cs="Times New Roman"/>
                <w:i/>
                <w:iCs/>
                <w:color w:val="auto"/>
              </w:rPr>
            </w:pPr>
            <w:r>
              <w:rPr>
                <w:rFonts w:ascii="宋体" w:hAnsi="宋体" w:eastAsia="宋体" w:cs="Times New Roman"/>
                <w:i/>
                <w:iCs/>
                <w:color w:val="auto"/>
              </w:rPr>
              <w:t>Oryza sativa</w:t>
            </w:r>
          </w:p>
        </w:tc>
      </w:tr>
      <w:tr w14:paraId="2CFF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vMerge w:val="continue"/>
            <w:shd w:val="clear" w:color="auto" w:fill="auto"/>
            <w:vAlign w:val="center"/>
          </w:tcPr>
          <w:p w14:paraId="3B545348">
            <w:pPr>
              <w:jc w:val="center"/>
              <w:rPr>
                <w:rFonts w:ascii="宋体" w:hAnsi="宋体" w:eastAsia="宋体" w:cs="Times New Roman"/>
                <w:color w:val="auto"/>
                <w:lang w:bidi="ar"/>
              </w:rPr>
            </w:pPr>
          </w:p>
        </w:tc>
        <w:tc>
          <w:tcPr>
            <w:tcW w:w="720" w:type="pct"/>
            <w:shd w:val="clear" w:color="auto" w:fill="auto"/>
            <w:noWrap/>
            <w:vAlign w:val="center"/>
          </w:tcPr>
          <w:p w14:paraId="2D0BC228">
            <w:pPr>
              <w:jc w:val="center"/>
              <w:rPr>
                <w:rFonts w:ascii="宋体" w:hAnsi="宋体" w:eastAsia="宋体" w:cs="Times New Roman"/>
                <w:color w:val="auto"/>
                <w:lang w:bidi="ar"/>
              </w:rPr>
            </w:pPr>
            <w:r>
              <w:rPr>
                <w:rFonts w:ascii="宋体" w:hAnsi="宋体" w:eastAsia="宋体" w:cs="Times New Roman"/>
                <w:color w:val="auto"/>
                <w:lang w:bidi="ar"/>
              </w:rPr>
              <w:t>玉蜀黍属</w:t>
            </w:r>
          </w:p>
        </w:tc>
        <w:tc>
          <w:tcPr>
            <w:tcW w:w="1107" w:type="pct"/>
            <w:shd w:val="clear" w:color="auto" w:fill="auto"/>
            <w:noWrap/>
            <w:vAlign w:val="center"/>
          </w:tcPr>
          <w:p w14:paraId="37243992">
            <w:pPr>
              <w:jc w:val="center"/>
              <w:rPr>
                <w:rFonts w:ascii="宋体" w:hAnsi="宋体" w:eastAsia="宋体" w:cs="Times New Roman"/>
                <w:color w:val="auto"/>
                <w:lang w:bidi="ar"/>
              </w:rPr>
            </w:pPr>
            <w:r>
              <w:rPr>
                <w:rFonts w:ascii="宋体" w:hAnsi="宋体" w:eastAsia="宋体" w:cs="Times New Roman"/>
                <w:color w:val="auto"/>
                <w:lang w:bidi="ar"/>
              </w:rPr>
              <w:t>玉米</w:t>
            </w:r>
          </w:p>
        </w:tc>
        <w:tc>
          <w:tcPr>
            <w:tcW w:w="2453" w:type="pct"/>
            <w:shd w:val="clear" w:color="auto" w:fill="auto"/>
            <w:noWrap/>
            <w:vAlign w:val="center"/>
          </w:tcPr>
          <w:p w14:paraId="03C162FF">
            <w:pPr>
              <w:jc w:val="center"/>
              <w:rPr>
                <w:rFonts w:ascii="宋体" w:hAnsi="宋体" w:eastAsia="宋体" w:cs="Times New Roman"/>
                <w:i/>
                <w:iCs/>
                <w:color w:val="auto"/>
              </w:rPr>
            </w:pPr>
            <w:r>
              <w:rPr>
                <w:rFonts w:ascii="宋体" w:hAnsi="宋体" w:eastAsia="宋体" w:cs="Times New Roman"/>
                <w:i/>
                <w:iCs/>
                <w:color w:val="auto"/>
              </w:rPr>
              <w:t>Zea mays</w:t>
            </w:r>
          </w:p>
        </w:tc>
      </w:tr>
      <w:tr w14:paraId="6E91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shd w:val="clear" w:color="auto" w:fill="auto"/>
            <w:noWrap/>
            <w:vAlign w:val="center"/>
          </w:tcPr>
          <w:p w14:paraId="5EDE5C57">
            <w:pPr>
              <w:jc w:val="center"/>
              <w:rPr>
                <w:rFonts w:ascii="宋体" w:hAnsi="宋体" w:eastAsia="宋体" w:cs="Times New Roman"/>
                <w:color w:val="auto"/>
                <w:lang w:bidi="ar"/>
              </w:rPr>
            </w:pPr>
            <w:r>
              <w:rPr>
                <w:rFonts w:ascii="宋体" w:hAnsi="宋体" w:eastAsia="宋体" w:cs="Times New Roman"/>
                <w:color w:val="auto"/>
                <w:lang w:bidi="ar"/>
              </w:rPr>
              <w:t>香蒲科</w:t>
            </w:r>
          </w:p>
        </w:tc>
        <w:tc>
          <w:tcPr>
            <w:tcW w:w="720" w:type="pct"/>
            <w:shd w:val="clear" w:color="auto" w:fill="auto"/>
            <w:noWrap/>
            <w:vAlign w:val="center"/>
          </w:tcPr>
          <w:p w14:paraId="1389501F">
            <w:pPr>
              <w:jc w:val="center"/>
              <w:rPr>
                <w:rFonts w:ascii="宋体" w:hAnsi="宋体" w:eastAsia="宋体" w:cs="Times New Roman"/>
                <w:color w:val="auto"/>
                <w:lang w:bidi="ar"/>
              </w:rPr>
            </w:pPr>
            <w:r>
              <w:rPr>
                <w:rFonts w:ascii="宋体" w:hAnsi="宋体" w:eastAsia="宋体" w:cs="Times New Roman"/>
                <w:color w:val="auto"/>
                <w:lang w:bidi="ar"/>
              </w:rPr>
              <w:t>香蒲属</w:t>
            </w:r>
          </w:p>
        </w:tc>
        <w:tc>
          <w:tcPr>
            <w:tcW w:w="1107" w:type="pct"/>
            <w:shd w:val="clear" w:color="auto" w:fill="auto"/>
            <w:noWrap/>
            <w:vAlign w:val="center"/>
          </w:tcPr>
          <w:p w14:paraId="15D378ED">
            <w:pPr>
              <w:jc w:val="center"/>
              <w:rPr>
                <w:rFonts w:ascii="宋体" w:hAnsi="宋体" w:eastAsia="宋体" w:cs="Times New Roman"/>
                <w:color w:val="auto"/>
                <w:lang w:bidi="ar"/>
              </w:rPr>
            </w:pPr>
            <w:r>
              <w:rPr>
                <w:rFonts w:ascii="宋体" w:hAnsi="宋体" w:eastAsia="宋体" w:cs="Times New Roman"/>
                <w:color w:val="auto"/>
                <w:lang w:bidi="ar"/>
              </w:rPr>
              <w:t>香蒲</w:t>
            </w:r>
          </w:p>
        </w:tc>
        <w:tc>
          <w:tcPr>
            <w:tcW w:w="2453" w:type="pct"/>
            <w:shd w:val="clear" w:color="auto" w:fill="auto"/>
            <w:noWrap/>
            <w:vAlign w:val="center"/>
          </w:tcPr>
          <w:p w14:paraId="6CD2D065">
            <w:pPr>
              <w:jc w:val="center"/>
              <w:rPr>
                <w:rFonts w:ascii="宋体" w:hAnsi="宋体" w:eastAsia="宋体" w:cs="Times New Roman"/>
                <w:i/>
                <w:iCs/>
                <w:color w:val="auto"/>
              </w:rPr>
            </w:pPr>
            <w:r>
              <w:rPr>
                <w:rFonts w:ascii="宋体" w:hAnsi="宋体" w:eastAsia="宋体" w:cs="Times New Roman"/>
                <w:i/>
                <w:iCs/>
                <w:color w:val="auto"/>
              </w:rPr>
              <w:t>Typha orientalis</w:t>
            </w:r>
          </w:p>
        </w:tc>
      </w:tr>
    </w:tbl>
    <w:p w14:paraId="654C9B2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调查结果与分析</w:t>
      </w:r>
    </w:p>
    <w:p w14:paraId="46E973A6">
      <w:pPr>
        <w:pStyle w:val="276"/>
        <w:widowControl w:val="0"/>
        <w:ind w:firstLine="480"/>
        <w:jc w:val="both"/>
        <w:rPr>
          <w:color w:val="auto"/>
          <w:kern w:val="2"/>
        </w:rPr>
      </w:pPr>
      <w:r>
        <w:rPr>
          <w:color w:val="auto"/>
          <w:kern w:val="2"/>
        </w:rPr>
        <w:t>在卫片解译图片分析的基础上，通过现场针对性斑块详查，统计出评价区内各种植被的面积、种类和分布。经过调查分析，区域人工植被较少，主要为农作物和杨树、榆树林，自然植被主要为羊草、</w:t>
      </w:r>
      <w:r>
        <w:rPr>
          <w:rFonts w:hint="eastAsia"/>
          <w:color w:val="auto"/>
          <w:kern w:val="2"/>
        </w:rPr>
        <w:t>黄花菜</w:t>
      </w:r>
      <w:r>
        <w:rPr>
          <w:color w:val="auto"/>
          <w:kern w:val="2"/>
        </w:rPr>
        <w:t>等碱生植被，植被群落结构单一，植物资源丰富度较低。各植被面积及比例见表4.4-6。</w:t>
      </w:r>
    </w:p>
    <w:p w14:paraId="05067589">
      <w:pPr>
        <w:spacing w:line="440" w:lineRule="exact"/>
        <w:ind w:firstLine="420" w:firstLineChars="200"/>
        <w:jc w:val="center"/>
        <w:rPr>
          <w:rFonts w:ascii="宋体" w:hAnsi="宋体" w:eastAsia="宋体" w:cs="Times New Roman"/>
          <w:color w:val="auto"/>
        </w:rPr>
      </w:pPr>
      <w:r>
        <w:rPr>
          <w:rFonts w:ascii="宋体" w:hAnsi="宋体" w:eastAsia="宋体" w:cs="Times New Roman"/>
          <w:color w:val="auto"/>
        </w:rPr>
        <w:t>表4.4-6 评价区植被类型现状一览表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92"/>
        <w:gridCol w:w="2759"/>
        <w:gridCol w:w="2430"/>
      </w:tblGrid>
      <w:tr w14:paraId="0457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43" w:type="pct"/>
            <w:shd w:val="clear" w:color="auto" w:fill="auto"/>
            <w:noWrap/>
            <w:vAlign w:val="center"/>
          </w:tcPr>
          <w:p w14:paraId="63D7AE28">
            <w:pPr>
              <w:jc w:val="center"/>
              <w:rPr>
                <w:rFonts w:ascii="宋体" w:hAnsi="宋体" w:eastAsia="宋体" w:cs="Times New Roman"/>
                <w:color w:val="auto"/>
              </w:rPr>
            </w:pPr>
            <w:r>
              <w:rPr>
                <w:rFonts w:ascii="宋体" w:hAnsi="宋体" w:eastAsia="宋体" w:cs="Times New Roman"/>
                <w:color w:val="auto"/>
              </w:rPr>
              <w:t>植被类型分类</w:t>
            </w:r>
          </w:p>
        </w:tc>
        <w:tc>
          <w:tcPr>
            <w:tcW w:w="1519" w:type="pct"/>
            <w:shd w:val="clear" w:color="auto" w:fill="auto"/>
            <w:noWrap/>
            <w:vAlign w:val="center"/>
          </w:tcPr>
          <w:p w14:paraId="644126DF">
            <w:pPr>
              <w:jc w:val="center"/>
              <w:rPr>
                <w:rFonts w:ascii="宋体" w:hAnsi="宋体" w:eastAsia="宋体" w:cs="Times New Roman"/>
                <w:color w:val="auto"/>
              </w:rPr>
            </w:pPr>
            <w:r>
              <w:rPr>
                <w:rFonts w:ascii="宋体" w:hAnsi="宋体" w:eastAsia="宋体" w:cs="Times New Roman"/>
                <w:color w:val="auto"/>
              </w:rPr>
              <w:t>面积（hm</w:t>
            </w:r>
            <w:r>
              <w:rPr>
                <w:rFonts w:ascii="宋体" w:hAnsi="宋体" w:eastAsia="宋体" w:cs="Times New Roman"/>
                <w:color w:val="auto"/>
                <w:vertAlign w:val="superscript"/>
              </w:rPr>
              <w:t>2</w:t>
            </w:r>
            <w:r>
              <w:rPr>
                <w:rFonts w:ascii="宋体" w:hAnsi="宋体" w:eastAsia="宋体" w:cs="Times New Roman"/>
                <w:color w:val="auto"/>
              </w:rPr>
              <w:t>）</w:t>
            </w:r>
          </w:p>
        </w:tc>
        <w:tc>
          <w:tcPr>
            <w:tcW w:w="1338" w:type="pct"/>
            <w:shd w:val="clear" w:color="auto" w:fill="auto"/>
            <w:noWrap/>
            <w:vAlign w:val="center"/>
          </w:tcPr>
          <w:p w14:paraId="327D19E5">
            <w:pPr>
              <w:jc w:val="center"/>
              <w:rPr>
                <w:rFonts w:ascii="宋体" w:hAnsi="宋体" w:eastAsia="宋体" w:cs="Times New Roman"/>
                <w:color w:val="auto"/>
              </w:rPr>
            </w:pPr>
            <w:r>
              <w:rPr>
                <w:rFonts w:ascii="宋体" w:hAnsi="宋体" w:eastAsia="宋体" w:cs="Times New Roman"/>
                <w:color w:val="auto"/>
              </w:rPr>
              <w:t>比例（%）</w:t>
            </w:r>
          </w:p>
        </w:tc>
      </w:tr>
      <w:tr w14:paraId="34B7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43" w:type="pct"/>
            <w:shd w:val="clear" w:color="auto" w:fill="auto"/>
            <w:noWrap/>
            <w:vAlign w:val="center"/>
          </w:tcPr>
          <w:p w14:paraId="21742DC3">
            <w:pPr>
              <w:jc w:val="center"/>
              <w:textAlignment w:val="center"/>
              <w:rPr>
                <w:rFonts w:ascii="宋体" w:hAnsi="宋体" w:eastAsia="宋体" w:cs="Times New Roman"/>
                <w:color w:val="auto"/>
              </w:rPr>
            </w:pPr>
            <w:r>
              <w:rPr>
                <w:rFonts w:ascii="宋体" w:hAnsi="宋体" w:eastAsia="宋体" w:cs="Times New Roman"/>
                <w:color w:val="auto"/>
              </w:rPr>
              <w:t>玉米、大豆、水稻等农作物</w:t>
            </w:r>
          </w:p>
        </w:tc>
        <w:tc>
          <w:tcPr>
            <w:tcW w:w="1519" w:type="pct"/>
            <w:shd w:val="clear" w:color="auto" w:fill="auto"/>
            <w:noWrap/>
            <w:vAlign w:val="center"/>
          </w:tcPr>
          <w:p w14:paraId="010C5CEC">
            <w:pPr>
              <w:jc w:val="center"/>
              <w:textAlignment w:val="center"/>
              <w:rPr>
                <w:rFonts w:ascii="宋体" w:hAnsi="宋体" w:eastAsia="宋体" w:cs="Times New Roman"/>
                <w:color w:val="auto"/>
                <w:lang w:bidi="ar"/>
              </w:rPr>
            </w:pPr>
            <w:r>
              <w:rPr>
                <w:rFonts w:hint="eastAsia" w:ascii="宋体" w:hAnsi="宋体" w:eastAsia="宋体" w:cs="Times New Roman"/>
                <w:color w:val="auto"/>
              </w:rPr>
              <w:t>129.57</w:t>
            </w:r>
          </w:p>
        </w:tc>
        <w:tc>
          <w:tcPr>
            <w:tcW w:w="1338" w:type="pct"/>
            <w:shd w:val="clear" w:color="auto" w:fill="auto"/>
            <w:noWrap/>
            <w:vAlign w:val="center"/>
          </w:tcPr>
          <w:p w14:paraId="52557D5C">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85.64</w:t>
            </w:r>
          </w:p>
        </w:tc>
      </w:tr>
      <w:tr w14:paraId="3893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43" w:type="pct"/>
            <w:shd w:val="clear" w:color="auto" w:fill="auto"/>
            <w:noWrap/>
            <w:vAlign w:val="center"/>
          </w:tcPr>
          <w:p w14:paraId="6E3B9984">
            <w:pPr>
              <w:jc w:val="center"/>
              <w:textAlignment w:val="center"/>
              <w:rPr>
                <w:rFonts w:ascii="宋体" w:hAnsi="宋体" w:eastAsia="宋体" w:cs="Times New Roman"/>
                <w:color w:val="auto"/>
              </w:rPr>
            </w:pPr>
            <w:r>
              <w:rPr>
                <w:rFonts w:ascii="宋体" w:hAnsi="宋体" w:eastAsia="宋体" w:cs="Times New Roman"/>
                <w:color w:val="auto"/>
              </w:rPr>
              <w:t>杨树</w:t>
            </w:r>
          </w:p>
        </w:tc>
        <w:tc>
          <w:tcPr>
            <w:tcW w:w="1519" w:type="pct"/>
            <w:shd w:val="clear" w:color="auto" w:fill="auto"/>
            <w:noWrap/>
            <w:vAlign w:val="center"/>
          </w:tcPr>
          <w:p w14:paraId="7F7D4A45">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4.05</w:t>
            </w:r>
          </w:p>
        </w:tc>
        <w:tc>
          <w:tcPr>
            <w:tcW w:w="1338" w:type="pct"/>
            <w:shd w:val="clear" w:color="auto" w:fill="auto"/>
            <w:noWrap/>
            <w:vAlign w:val="center"/>
          </w:tcPr>
          <w:p w14:paraId="049739DF">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2.68</w:t>
            </w:r>
          </w:p>
        </w:tc>
      </w:tr>
      <w:tr w14:paraId="6723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43" w:type="pct"/>
            <w:shd w:val="clear" w:color="auto" w:fill="auto"/>
            <w:noWrap/>
            <w:vAlign w:val="center"/>
          </w:tcPr>
          <w:p w14:paraId="1B89A40C">
            <w:pPr>
              <w:jc w:val="center"/>
              <w:textAlignment w:val="center"/>
              <w:rPr>
                <w:rFonts w:ascii="宋体" w:hAnsi="宋体" w:eastAsia="宋体" w:cs="Times New Roman"/>
                <w:color w:val="auto"/>
              </w:rPr>
            </w:pPr>
            <w:r>
              <w:rPr>
                <w:rFonts w:hint="eastAsia" w:ascii="宋体" w:hAnsi="宋体" w:eastAsia="宋体" w:cs="Times New Roman"/>
                <w:color w:val="auto"/>
              </w:rPr>
              <w:t>金叶</w:t>
            </w:r>
            <w:r>
              <w:rPr>
                <w:rFonts w:ascii="宋体" w:hAnsi="宋体" w:eastAsia="宋体" w:cs="Times New Roman"/>
                <w:color w:val="auto"/>
              </w:rPr>
              <w:t>榆树</w:t>
            </w:r>
          </w:p>
        </w:tc>
        <w:tc>
          <w:tcPr>
            <w:tcW w:w="1519" w:type="pct"/>
            <w:shd w:val="clear" w:color="auto" w:fill="auto"/>
            <w:noWrap/>
            <w:vAlign w:val="center"/>
          </w:tcPr>
          <w:p w14:paraId="0A672D77">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0.60</w:t>
            </w:r>
          </w:p>
        </w:tc>
        <w:tc>
          <w:tcPr>
            <w:tcW w:w="1338" w:type="pct"/>
            <w:shd w:val="clear" w:color="auto" w:fill="auto"/>
            <w:noWrap/>
            <w:vAlign w:val="center"/>
          </w:tcPr>
          <w:p w14:paraId="3347DE30">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0.40</w:t>
            </w:r>
          </w:p>
        </w:tc>
      </w:tr>
      <w:tr w14:paraId="33E8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43" w:type="pct"/>
            <w:shd w:val="clear" w:color="auto" w:fill="auto"/>
            <w:noWrap/>
            <w:vAlign w:val="center"/>
          </w:tcPr>
          <w:p w14:paraId="5B04F420">
            <w:pPr>
              <w:jc w:val="center"/>
              <w:textAlignment w:val="center"/>
              <w:rPr>
                <w:rFonts w:ascii="宋体" w:hAnsi="宋体" w:eastAsia="宋体" w:cs="Times New Roman"/>
                <w:color w:val="auto"/>
              </w:rPr>
            </w:pPr>
            <w:r>
              <w:rPr>
                <w:rFonts w:hint="eastAsia" w:ascii="宋体" w:hAnsi="宋体" w:eastAsia="宋体" w:cs="Times New Roman"/>
                <w:color w:val="auto"/>
              </w:rPr>
              <w:t>羊碱草、黄花菜等</w:t>
            </w:r>
          </w:p>
        </w:tc>
        <w:tc>
          <w:tcPr>
            <w:tcW w:w="1519" w:type="pct"/>
            <w:shd w:val="clear" w:color="auto" w:fill="auto"/>
            <w:noWrap/>
            <w:vAlign w:val="center"/>
          </w:tcPr>
          <w:p w14:paraId="6816529A">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12.28</w:t>
            </w:r>
          </w:p>
        </w:tc>
        <w:tc>
          <w:tcPr>
            <w:tcW w:w="1338" w:type="pct"/>
            <w:shd w:val="clear" w:color="auto" w:fill="auto"/>
            <w:noWrap/>
            <w:vAlign w:val="center"/>
          </w:tcPr>
          <w:p w14:paraId="3B6BDC20">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8.12</w:t>
            </w:r>
          </w:p>
        </w:tc>
      </w:tr>
      <w:tr w14:paraId="186A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43" w:type="pct"/>
            <w:shd w:val="clear" w:color="auto" w:fill="auto"/>
            <w:noWrap/>
            <w:vAlign w:val="center"/>
          </w:tcPr>
          <w:p w14:paraId="7B74DBA9">
            <w:pPr>
              <w:jc w:val="center"/>
              <w:textAlignment w:val="center"/>
              <w:rPr>
                <w:rFonts w:ascii="宋体" w:hAnsi="宋体" w:eastAsia="宋体" w:cs="Times New Roman"/>
                <w:color w:val="auto"/>
                <w:lang w:bidi="ar"/>
              </w:rPr>
            </w:pPr>
            <w:r>
              <w:rPr>
                <w:rFonts w:hint="eastAsia" w:ascii="宋体" w:hAnsi="宋体" w:eastAsia="宋体" w:cs="Times New Roman"/>
                <w:color w:val="auto"/>
              </w:rPr>
              <w:t>无植被地段</w:t>
            </w:r>
          </w:p>
        </w:tc>
        <w:tc>
          <w:tcPr>
            <w:tcW w:w="1519" w:type="pct"/>
            <w:shd w:val="clear" w:color="auto" w:fill="auto"/>
            <w:noWrap/>
            <w:vAlign w:val="center"/>
          </w:tcPr>
          <w:p w14:paraId="4D1BCCDE">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2.68</w:t>
            </w:r>
          </w:p>
        </w:tc>
        <w:tc>
          <w:tcPr>
            <w:tcW w:w="1338" w:type="pct"/>
            <w:shd w:val="clear" w:color="auto" w:fill="auto"/>
            <w:noWrap/>
            <w:vAlign w:val="center"/>
          </w:tcPr>
          <w:p w14:paraId="3E8F3ED5">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1.77</w:t>
            </w:r>
          </w:p>
        </w:tc>
      </w:tr>
      <w:tr w14:paraId="5C0A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43" w:type="pct"/>
            <w:shd w:val="clear" w:color="auto" w:fill="auto"/>
            <w:noWrap/>
            <w:vAlign w:val="center"/>
          </w:tcPr>
          <w:p w14:paraId="42AEBFAD">
            <w:pPr>
              <w:jc w:val="center"/>
              <w:textAlignment w:val="center"/>
              <w:rPr>
                <w:rFonts w:ascii="宋体" w:hAnsi="宋体" w:eastAsia="宋体" w:cs="Times New Roman"/>
                <w:color w:val="auto"/>
                <w:lang w:bidi="ar"/>
              </w:rPr>
            </w:pPr>
            <w:r>
              <w:rPr>
                <w:rFonts w:hint="eastAsia" w:ascii="宋体" w:hAnsi="宋体" w:eastAsia="宋体" w:cs="Times New Roman"/>
                <w:color w:val="auto"/>
              </w:rPr>
              <w:t>水体</w:t>
            </w:r>
          </w:p>
        </w:tc>
        <w:tc>
          <w:tcPr>
            <w:tcW w:w="1519" w:type="pct"/>
            <w:shd w:val="clear" w:color="auto" w:fill="auto"/>
            <w:noWrap/>
            <w:vAlign w:val="center"/>
          </w:tcPr>
          <w:p w14:paraId="44FC33CD">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2.12</w:t>
            </w:r>
          </w:p>
        </w:tc>
        <w:tc>
          <w:tcPr>
            <w:tcW w:w="1338" w:type="pct"/>
            <w:shd w:val="clear" w:color="auto" w:fill="auto"/>
            <w:noWrap/>
            <w:vAlign w:val="center"/>
          </w:tcPr>
          <w:p w14:paraId="1A5C2527">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1.40</w:t>
            </w:r>
          </w:p>
        </w:tc>
      </w:tr>
      <w:tr w14:paraId="1AB3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43" w:type="pct"/>
            <w:shd w:val="clear" w:color="auto" w:fill="auto"/>
            <w:noWrap/>
            <w:vAlign w:val="center"/>
          </w:tcPr>
          <w:p w14:paraId="08F9D76A">
            <w:pPr>
              <w:jc w:val="center"/>
              <w:textAlignment w:val="center"/>
              <w:rPr>
                <w:rFonts w:ascii="宋体" w:hAnsi="宋体" w:eastAsia="宋体" w:cs="Times New Roman"/>
                <w:color w:val="auto"/>
              </w:rPr>
            </w:pPr>
            <w:r>
              <w:rPr>
                <w:rFonts w:ascii="宋体" w:hAnsi="宋体" w:eastAsia="宋体" w:cs="Times New Roman"/>
                <w:color w:val="auto"/>
                <w:lang w:bidi="ar"/>
              </w:rPr>
              <w:t>合计</w:t>
            </w:r>
          </w:p>
        </w:tc>
        <w:tc>
          <w:tcPr>
            <w:tcW w:w="1519" w:type="pct"/>
            <w:shd w:val="clear" w:color="auto" w:fill="auto"/>
            <w:noWrap/>
            <w:vAlign w:val="center"/>
          </w:tcPr>
          <w:p w14:paraId="73C9BA32">
            <w:pPr>
              <w:jc w:val="center"/>
              <w:textAlignment w:val="center"/>
              <w:rPr>
                <w:rFonts w:ascii="宋体" w:hAnsi="宋体" w:eastAsia="宋体" w:cs="Times New Roman"/>
                <w:color w:val="auto"/>
                <w:lang w:bidi="ar"/>
              </w:rPr>
            </w:pPr>
            <w:r>
              <w:rPr>
                <w:rFonts w:hint="eastAsia" w:ascii="宋体" w:hAnsi="宋体" w:eastAsia="宋体" w:cs="Times New Roman"/>
                <w:color w:val="auto"/>
                <w:lang w:bidi="ar"/>
              </w:rPr>
              <w:t>151.3</w:t>
            </w:r>
          </w:p>
        </w:tc>
        <w:tc>
          <w:tcPr>
            <w:tcW w:w="1338" w:type="pct"/>
            <w:shd w:val="clear" w:color="auto" w:fill="auto"/>
            <w:noWrap/>
            <w:vAlign w:val="center"/>
          </w:tcPr>
          <w:p w14:paraId="1CF91550">
            <w:pPr>
              <w:jc w:val="center"/>
              <w:textAlignment w:val="center"/>
              <w:rPr>
                <w:rFonts w:ascii="宋体" w:hAnsi="宋体" w:eastAsia="宋体" w:cs="Times New Roman"/>
                <w:color w:val="auto"/>
                <w:lang w:bidi="ar"/>
              </w:rPr>
            </w:pPr>
            <w:r>
              <w:rPr>
                <w:rFonts w:ascii="宋体" w:hAnsi="宋体" w:eastAsia="宋体" w:cs="Times New Roman"/>
                <w:color w:val="auto"/>
                <w:lang w:bidi="ar"/>
              </w:rPr>
              <w:t>100.0</w:t>
            </w:r>
          </w:p>
        </w:tc>
      </w:tr>
    </w:tbl>
    <w:p w14:paraId="70C3F955">
      <w:pPr>
        <w:pStyle w:val="276"/>
        <w:widowControl w:val="0"/>
        <w:ind w:firstLine="480"/>
        <w:jc w:val="both"/>
        <w:rPr>
          <w:color w:val="auto"/>
          <w:kern w:val="2"/>
        </w:rPr>
      </w:pPr>
      <w:r>
        <w:rPr>
          <w:rFonts w:hint="eastAsia"/>
          <w:color w:val="auto"/>
          <w:kern w:val="2"/>
        </w:rPr>
        <w:t>（1）</w:t>
      </w:r>
      <w:r>
        <w:rPr>
          <w:color w:val="auto"/>
          <w:kern w:val="2"/>
        </w:rPr>
        <w:t>杨树、榆树：根据现场调查，项目区附近乔木植被主要为人工栽种的杨树、榆树林，主要分布在道路及村屯附近，属于人工乔木植被。评价范围内杨树、榆树面积为</w:t>
      </w:r>
      <w:r>
        <w:rPr>
          <w:rFonts w:hint="eastAsia"/>
          <w:color w:val="auto"/>
          <w:kern w:val="2"/>
        </w:rPr>
        <w:t>4.65</w:t>
      </w:r>
      <w:r>
        <w:rPr>
          <w:color w:val="auto"/>
          <w:kern w:val="2"/>
        </w:rPr>
        <w:t>hm</w:t>
      </w:r>
      <w:r>
        <w:rPr>
          <w:color w:val="auto"/>
          <w:kern w:val="2"/>
          <w:vertAlign w:val="superscript"/>
        </w:rPr>
        <w:t>2</w:t>
      </w:r>
      <w:r>
        <w:rPr>
          <w:color w:val="auto"/>
          <w:kern w:val="2"/>
        </w:rPr>
        <w:t>，占评价区总面积的</w:t>
      </w:r>
      <w:r>
        <w:rPr>
          <w:rFonts w:hint="eastAsia"/>
          <w:color w:val="auto"/>
          <w:kern w:val="2"/>
        </w:rPr>
        <w:t>3.08</w:t>
      </w:r>
      <w:r>
        <w:rPr>
          <w:color w:val="auto"/>
          <w:kern w:val="2"/>
        </w:rPr>
        <w:t>%。</w:t>
      </w:r>
    </w:p>
    <w:p w14:paraId="294114B6">
      <w:pPr>
        <w:pStyle w:val="276"/>
        <w:widowControl w:val="0"/>
        <w:ind w:firstLine="480"/>
        <w:jc w:val="both"/>
        <w:rPr>
          <w:color w:val="auto"/>
          <w:kern w:val="2"/>
        </w:rPr>
      </w:pPr>
      <w:r>
        <w:rPr>
          <w:rFonts w:hint="eastAsia"/>
          <w:color w:val="auto"/>
          <w:kern w:val="2"/>
        </w:rPr>
        <w:t>（2）草地</w:t>
      </w:r>
      <w:r>
        <w:rPr>
          <w:color w:val="auto"/>
          <w:kern w:val="2"/>
        </w:rPr>
        <w:t>：评价范围内自然植被主要为各类杂草，包括羊草、小白花、地榆、金莲花等草甸，其中羊草、小白花、地榆为当地的优势草本，</w:t>
      </w:r>
      <w:r>
        <w:rPr>
          <w:color w:val="auto"/>
        </w:rPr>
        <w:t>面积</w:t>
      </w:r>
      <w:r>
        <w:rPr>
          <w:color w:val="auto"/>
          <w:kern w:val="2"/>
        </w:rPr>
        <w:t>为</w:t>
      </w:r>
      <w:r>
        <w:rPr>
          <w:rFonts w:hint="eastAsia"/>
          <w:color w:val="auto"/>
          <w:kern w:val="2"/>
        </w:rPr>
        <w:t>12.28</w:t>
      </w:r>
      <w:r>
        <w:rPr>
          <w:color w:val="auto"/>
          <w:kern w:val="2"/>
        </w:rPr>
        <w:t>hm</w:t>
      </w:r>
      <w:r>
        <w:rPr>
          <w:color w:val="auto"/>
          <w:kern w:val="2"/>
          <w:vertAlign w:val="superscript"/>
        </w:rPr>
        <w:t>2</w:t>
      </w:r>
      <w:r>
        <w:rPr>
          <w:color w:val="auto"/>
          <w:kern w:val="2"/>
        </w:rPr>
        <w:t>，占评价区总面积的</w:t>
      </w:r>
      <w:r>
        <w:rPr>
          <w:rFonts w:hint="eastAsia"/>
          <w:color w:val="auto"/>
          <w:kern w:val="2"/>
        </w:rPr>
        <w:t>8.12</w:t>
      </w:r>
      <w:r>
        <w:rPr>
          <w:color w:val="auto"/>
          <w:kern w:val="2"/>
        </w:rPr>
        <w:t>%，主要分布在荒草地地段。</w:t>
      </w:r>
    </w:p>
    <w:p w14:paraId="40C45412">
      <w:pPr>
        <w:pStyle w:val="276"/>
        <w:widowControl w:val="0"/>
        <w:ind w:firstLine="480"/>
        <w:jc w:val="both"/>
        <w:rPr>
          <w:color w:val="auto"/>
          <w:kern w:val="2"/>
        </w:rPr>
      </w:pPr>
      <w:r>
        <w:rPr>
          <w:rFonts w:hint="eastAsia"/>
          <w:color w:val="auto"/>
          <w:kern w:val="2"/>
        </w:rPr>
        <w:t>（3）</w:t>
      </w:r>
      <w:r>
        <w:rPr>
          <w:color w:val="auto"/>
          <w:kern w:val="2"/>
        </w:rPr>
        <w:t>农作物：主要为人工草本植被，总面积为</w:t>
      </w:r>
      <w:r>
        <w:rPr>
          <w:color w:val="auto"/>
        </w:rPr>
        <w:t>5</w:t>
      </w:r>
      <w:r>
        <w:rPr>
          <w:rFonts w:hint="eastAsia"/>
          <w:color w:val="auto"/>
        </w:rPr>
        <w:t>129</w:t>
      </w:r>
      <w:r>
        <w:rPr>
          <w:rFonts w:hint="eastAsia"/>
          <w:color w:val="auto"/>
          <w:kern w:val="2"/>
        </w:rPr>
        <w:t>.57</w:t>
      </w:r>
      <w:r>
        <w:rPr>
          <w:color w:val="auto"/>
          <w:kern w:val="2"/>
        </w:rPr>
        <w:t>hm</w:t>
      </w:r>
      <w:r>
        <w:rPr>
          <w:color w:val="auto"/>
          <w:kern w:val="2"/>
          <w:vertAlign w:val="superscript"/>
        </w:rPr>
        <w:t>2</w:t>
      </w:r>
      <w:r>
        <w:rPr>
          <w:color w:val="auto"/>
          <w:kern w:val="2"/>
        </w:rPr>
        <w:t>，占评价区总面积的</w:t>
      </w:r>
      <w:r>
        <w:rPr>
          <w:rFonts w:hint="eastAsia"/>
          <w:color w:val="auto"/>
          <w:kern w:val="2"/>
        </w:rPr>
        <w:t>85.64</w:t>
      </w:r>
      <w:r>
        <w:rPr>
          <w:color w:val="auto"/>
          <w:kern w:val="2"/>
        </w:rPr>
        <w:t>%，主要分布在评价区北部人类活动较为频繁的区域。本项目植被类型图见附图13。</w:t>
      </w:r>
    </w:p>
    <w:p w14:paraId="46DA1B1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主要植被特征</w:t>
      </w:r>
    </w:p>
    <w:p w14:paraId="384E386B">
      <w:pPr>
        <w:pStyle w:val="276"/>
        <w:widowControl w:val="0"/>
        <w:ind w:firstLine="480"/>
        <w:jc w:val="both"/>
        <w:rPr>
          <w:color w:val="auto"/>
          <w:lang w:val="zh-CN" w:bidi="zh-CN"/>
        </w:rPr>
      </w:pPr>
      <w:r>
        <w:rPr>
          <w:color w:val="auto"/>
          <w:lang w:val="zh-CN" w:bidi="zh-CN"/>
        </w:rPr>
        <w:t>评价区域乔木林地主要为防护林，经过多年建设，在评价区内已经形成林网体系。耕地防护林树种均为杨树，已有30几年的树龄，胸径20～30cm，</w:t>
      </w:r>
      <w:r>
        <w:rPr>
          <w:color w:val="auto"/>
        </w:rPr>
        <w:t>树高</w:t>
      </w:r>
      <w:r>
        <w:rPr>
          <w:color w:val="auto"/>
          <w:lang w:val="zh-CN" w:bidi="zh-CN"/>
        </w:rPr>
        <w:t>10～15m，多为成树林和近熟林。</w:t>
      </w:r>
    </w:p>
    <w:p w14:paraId="2BD72C66">
      <w:pPr>
        <w:pStyle w:val="276"/>
        <w:widowControl w:val="0"/>
        <w:ind w:firstLine="480"/>
        <w:jc w:val="both"/>
        <w:rPr>
          <w:color w:val="auto"/>
          <w:kern w:val="2"/>
        </w:rPr>
      </w:pPr>
      <w:r>
        <w:rPr>
          <w:color w:val="auto"/>
          <w:lang w:val="zh-CN" w:bidi="zh-CN"/>
        </w:rPr>
        <w:t>青杨林：是东北地区习见树种。杨柳科，属落叶乔木，高可达30米。性喜湿润或干燥寒冷的气侯，树冠阔卵形；树皮初光滑，灰绿色，老时暗灰色，沟裂。枝圆柱形，有时具角棱，幼时橄榄绿色，后变为橙黄色至灰黄色，无毛。芽长圆锥形，无毛，紫褐色或黄褐色，多粘质。短枝叶卵形、椭圆状卵形、椭圆形或狭卵形，长5～10厘米，宽3.5～7厘米，最宽处在中部以下，先端渐尖或突渐尖，基部圆形，稀近心形或阔楔形，边缘具腺圆锯齿，上面亮绿色，下面绿白色，脉两面隆起，尤以下面为明显，具侧脉5～7条，无毛，叶柄圆柱形，长2～7厘米，无毛；长枝或萌枝叶较大，卵状长圆形，长10～20厘米，基部常微心形；叶柄圆柱形，长1～3厘米，无毛。雄花序长5～6厘米，雄蕊30～35，苞片条裂；雌花序长4～5厘米，柱头2～4裂；果序长10</w:t>
      </w:r>
      <w:r>
        <w:rPr>
          <w:rFonts w:hint="eastAsia"/>
          <w:color w:val="auto"/>
          <w:lang w:val="zh-CN" w:bidi="zh-CN"/>
        </w:rPr>
        <w:t>～</w:t>
      </w:r>
      <w:r>
        <w:rPr>
          <w:color w:val="auto"/>
          <w:lang w:val="zh-CN" w:bidi="zh-CN"/>
        </w:rPr>
        <w:t>15（20）厘米。蒴果卵圆形，长6～9毫米，3～4瓣裂，稀2瓣裂。花期3～5月，果期5</w:t>
      </w:r>
      <w:r>
        <w:rPr>
          <w:rFonts w:hint="eastAsia"/>
          <w:color w:val="auto"/>
          <w:lang w:val="zh-CN" w:bidi="zh-CN"/>
        </w:rPr>
        <w:t>～</w:t>
      </w:r>
      <w:r>
        <w:rPr>
          <w:color w:val="auto"/>
          <w:lang w:val="zh-CN" w:bidi="zh-CN"/>
        </w:rPr>
        <w:t>7月。常见于人造青杨防护林，在本项目评价范围内均分布于道路和耕地旁，带状分布。</w:t>
      </w:r>
    </w:p>
    <w:p w14:paraId="78CF227D">
      <w:pPr>
        <w:pStyle w:val="276"/>
        <w:widowControl w:val="0"/>
        <w:ind w:firstLine="480"/>
        <w:jc w:val="both"/>
        <w:rPr>
          <w:color w:val="auto"/>
          <w:lang w:val="zh-CN" w:bidi="zh-CN"/>
        </w:rPr>
      </w:pPr>
      <w:r>
        <w:rPr>
          <w:color w:val="auto"/>
          <w:lang w:val="zh-CN" w:bidi="zh-CN"/>
        </w:rPr>
        <w:t>羊草</w:t>
      </w:r>
      <w:r>
        <w:rPr>
          <w:color w:val="auto"/>
          <w:lang w:bidi="zh-CN"/>
        </w:rPr>
        <w:t>：</w:t>
      </w:r>
      <w:r>
        <w:rPr>
          <w:color w:val="auto"/>
          <w:lang w:val="zh-CN" w:bidi="zh-CN"/>
        </w:rPr>
        <w:t>多年生草本。秆丛生，直立或基部倾斜，高25</w:t>
      </w:r>
      <w:r>
        <w:rPr>
          <w:rFonts w:hint="eastAsia"/>
          <w:color w:val="auto"/>
          <w:lang w:val="zh-CN" w:bidi="zh-CN"/>
        </w:rPr>
        <w:t>～</w:t>
      </w:r>
      <w:r>
        <w:rPr>
          <w:color w:val="auto"/>
          <w:lang w:val="zh-CN" w:bidi="zh-CN"/>
        </w:rPr>
        <w:t>70厘米，径1～2毫米，具3至多节，节上无毛或具白色髯毛；叶鞘无毛，多密集于基部而相互跨覆，常短于节间；叶舌膜质，长约1毫米，具纤毛；叶片线形，长5</w:t>
      </w:r>
      <w:r>
        <w:rPr>
          <w:rFonts w:hint="eastAsia"/>
          <w:color w:val="auto"/>
          <w:lang w:val="zh-CN" w:bidi="zh-CN"/>
        </w:rPr>
        <w:t>～</w:t>
      </w:r>
      <w:r>
        <w:rPr>
          <w:color w:val="auto"/>
          <w:lang w:val="zh-CN" w:bidi="zh-CN"/>
        </w:rPr>
        <w:t>16厘米，宽2</w:t>
      </w:r>
      <w:r>
        <w:rPr>
          <w:rFonts w:hint="eastAsia"/>
          <w:color w:val="auto"/>
          <w:lang w:val="zh-CN" w:bidi="zh-CN"/>
        </w:rPr>
        <w:t>～</w:t>
      </w:r>
      <w:r>
        <w:rPr>
          <w:color w:val="auto"/>
          <w:lang w:val="zh-CN" w:bidi="zh-CN"/>
        </w:rPr>
        <w:t>3毫米，顶生者常缩短，先端渐尖，基部圆形，两面疏生疣基柔毛或下面无毛。总状花序4至多数着生于秆顶呈指状，长3</w:t>
      </w:r>
      <w:r>
        <w:rPr>
          <w:rFonts w:hint="eastAsia"/>
          <w:color w:val="auto"/>
          <w:lang w:val="zh-CN" w:bidi="zh-CN"/>
        </w:rPr>
        <w:t>～</w:t>
      </w:r>
      <w:r>
        <w:rPr>
          <w:color w:val="auto"/>
          <w:lang w:val="zh-CN" w:bidi="zh-CN"/>
        </w:rPr>
        <w:t>7厘米，纤细，灰绿色或带紫褐色，总状花序轴节间与小穗柄两侧具白色丝状毛；无柄小穗长圆状披针形，长4～5毫米，基盘具髯毛；第一颖草质，背部中央略下凹，具5～7脉，下部1/3具丝状柔毛，边缘内卷成2脊，脊上粗糙，先端钝或带膜质；第二颖舟形，中部以上具纤毛；脊上粗糙，边缘亦膜质；第一外稃长圆状披针形，长约3毫米，先端尖，边缘上部疏生纤毛；第二外稃退化成线形，先端延伸成一膝曲扭转的芒，芒长10</w:t>
      </w:r>
      <w:r>
        <w:rPr>
          <w:rFonts w:hint="eastAsia"/>
          <w:color w:val="auto"/>
          <w:lang w:val="zh-CN" w:bidi="zh-CN"/>
        </w:rPr>
        <w:t>～</w:t>
      </w:r>
      <w:r>
        <w:rPr>
          <w:color w:val="auto"/>
          <w:lang w:val="zh-CN" w:bidi="zh-CN"/>
        </w:rPr>
        <w:t>15毫米；第一内稃长圆状披针形，长约0.5毫米；第二内秤退化；鳞被2，楔形；雄蕊3枚，长约2毫米。有柄小穗雄性；第一颖背部无毛，具9脉；第二颖具5脉，背部扁平，两侧内折，边缘具纤毛。</w:t>
      </w:r>
    </w:p>
    <w:p w14:paraId="3D6B02A8">
      <w:pPr>
        <w:pStyle w:val="276"/>
        <w:widowControl w:val="0"/>
        <w:ind w:firstLine="480"/>
        <w:jc w:val="both"/>
        <w:rPr>
          <w:color w:val="auto"/>
          <w:kern w:val="2"/>
        </w:rPr>
      </w:pPr>
      <w:r>
        <w:rPr>
          <w:color w:val="auto"/>
          <w:lang w:val="zh-CN" w:bidi="zh-CN"/>
        </w:rPr>
        <w:t>野艾蒿～多年生杂草：野艾蒿是菊科、蒿属多年生</w:t>
      </w:r>
      <w:r>
        <w:rPr>
          <w:color w:val="auto"/>
        </w:rPr>
        <w:t>草本植物</w:t>
      </w:r>
      <w:r>
        <w:rPr>
          <w:color w:val="auto"/>
          <w:lang w:val="zh-CN" w:bidi="zh-CN"/>
        </w:rPr>
        <w:t>，多生于低或中海拔地区的路旁、林缘、山坡、草地、山谷、灌丛及河湖滨草地等。评价范围内该群落主要分布于乔木林地林下或林间，群落盖度一般80%以上，高度 20～50cm，种类简单，群落结构层次不明显。</w:t>
      </w:r>
    </w:p>
    <w:p w14:paraId="4D51BA93">
      <w:pPr>
        <w:pStyle w:val="276"/>
        <w:widowControl w:val="0"/>
        <w:ind w:firstLine="480"/>
        <w:jc w:val="both"/>
        <w:rPr>
          <w:color w:val="auto"/>
          <w:kern w:val="2"/>
        </w:rPr>
      </w:pPr>
      <w:r>
        <w:rPr>
          <w:color w:val="auto"/>
          <w:kern w:val="2"/>
          <w:lang w:bidi="zh-CN"/>
        </w:rPr>
        <w:t>人工植被：区域内农作物主要为玉米、水稻、大豆及其他应季节蔬菜等。</w:t>
      </w:r>
    </w:p>
    <w:p w14:paraId="536F878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重要野生植物及古树名木</w:t>
      </w:r>
    </w:p>
    <w:p w14:paraId="78AFE025">
      <w:pPr>
        <w:pStyle w:val="276"/>
        <w:widowControl w:val="0"/>
        <w:ind w:firstLine="480"/>
        <w:jc w:val="both"/>
        <w:rPr>
          <w:color w:val="auto"/>
          <w:kern w:val="2"/>
        </w:rPr>
      </w:pPr>
      <w:r>
        <w:rPr>
          <w:color w:val="auto"/>
          <w:kern w:val="2"/>
        </w:rPr>
        <w:t>根据《</w:t>
      </w:r>
      <w:r>
        <w:rPr>
          <w:rFonts w:hint="eastAsia"/>
          <w:color w:val="auto"/>
          <w:kern w:val="2"/>
        </w:rPr>
        <w:t>国家重点保护野生植物名录</w:t>
      </w:r>
      <w:r>
        <w:rPr>
          <w:color w:val="auto"/>
          <w:kern w:val="2"/>
        </w:rPr>
        <w:t xml:space="preserve">》 </w:t>
      </w:r>
      <w:r>
        <w:rPr>
          <w:rFonts w:hint="eastAsia"/>
          <w:color w:val="auto"/>
          <w:kern w:val="2"/>
        </w:rPr>
        <w:t>（</w:t>
      </w:r>
      <w:r>
        <w:rPr>
          <w:color w:val="auto"/>
          <w:kern w:val="2"/>
        </w:rPr>
        <w:t>2021年9月7日</w:t>
      </w:r>
      <w:r>
        <w:rPr>
          <w:rFonts w:hint="eastAsia"/>
          <w:color w:val="auto"/>
          <w:kern w:val="2"/>
        </w:rPr>
        <w:t>）</w:t>
      </w:r>
      <w:r>
        <w:rPr>
          <w:color w:val="auto"/>
          <w:kern w:val="2"/>
        </w:rPr>
        <w:t>，通过收集本项目所在行政区内关于国家重点保护野生植物的相关资料，结合现场调查，评价范围内未发现重点野生</w:t>
      </w:r>
      <w:r>
        <w:rPr>
          <w:color w:val="auto"/>
        </w:rPr>
        <w:t>保护</w:t>
      </w:r>
      <w:r>
        <w:rPr>
          <w:color w:val="auto"/>
          <w:kern w:val="2"/>
        </w:rPr>
        <w:t>植物分布。</w:t>
      </w:r>
    </w:p>
    <w:p w14:paraId="0E36E6ED">
      <w:pPr>
        <w:pStyle w:val="276"/>
        <w:widowControl w:val="0"/>
        <w:ind w:firstLine="480"/>
        <w:jc w:val="both"/>
        <w:rPr>
          <w:color w:val="auto"/>
          <w:kern w:val="2"/>
        </w:rPr>
      </w:pPr>
      <w:r>
        <w:rPr>
          <w:color w:val="auto"/>
          <w:kern w:val="2"/>
        </w:rPr>
        <w:t>根据《黑龙江省古树名木资源保护规划（2020-2029</w:t>
      </w:r>
      <w:r>
        <w:rPr>
          <w:rFonts w:hint="eastAsia"/>
          <w:color w:val="auto"/>
          <w:kern w:val="2"/>
        </w:rPr>
        <w:t>年</w:t>
      </w:r>
      <w:r>
        <w:rPr>
          <w:color w:val="auto"/>
          <w:kern w:val="2"/>
        </w:rPr>
        <w:t>）》古树名木</w:t>
      </w:r>
      <w:r>
        <w:rPr>
          <w:color w:val="auto"/>
        </w:rPr>
        <w:t>资源</w:t>
      </w:r>
      <w:r>
        <w:rPr>
          <w:color w:val="auto"/>
          <w:kern w:val="2"/>
        </w:rPr>
        <w:t>普查结果，全省现有古树名木4322株，其中，古树4303株，含4个古树群2283株，名木19株，涉及大庆市古树主要为肇源县大庙村古树群及萨尔图区城市森林公园古树群，本项目评价区域无古树名木。</w:t>
      </w:r>
    </w:p>
    <w:p w14:paraId="6B45D2C2">
      <w:pPr>
        <w:pStyle w:val="276"/>
        <w:widowControl w:val="0"/>
        <w:ind w:firstLine="480"/>
        <w:jc w:val="both"/>
        <w:rPr>
          <w:color w:val="auto"/>
        </w:rPr>
      </w:pPr>
      <w:r>
        <w:rPr>
          <w:color w:val="auto"/>
          <w:kern w:val="2"/>
        </w:rPr>
        <w:t>综上，评价范围内植被类型比较简单，</w:t>
      </w:r>
      <w:r>
        <w:rPr>
          <w:color w:val="auto"/>
        </w:rPr>
        <w:t>植被</w:t>
      </w:r>
      <w:r>
        <w:rPr>
          <w:color w:val="auto"/>
          <w:kern w:val="2"/>
        </w:rPr>
        <w:t>包括自然植被及人工植被，植被覆盖度整体不高，且无重点野生保护植物。</w:t>
      </w:r>
    </w:p>
    <w:p w14:paraId="70B3534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样方调查</w:t>
      </w:r>
    </w:p>
    <w:p w14:paraId="2A900133">
      <w:pPr>
        <w:pStyle w:val="276"/>
        <w:widowControl w:val="0"/>
        <w:ind w:firstLine="480"/>
        <w:jc w:val="both"/>
        <w:rPr>
          <w:color w:val="auto"/>
        </w:rPr>
      </w:pPr>
      <w:bookmarkStart w:id="1250" w:name="_Hlk165054494"/>
      <w:r>
        <w:rPr>
          <w:rFonts w:hint="eastAsia"/>
          <w:color w:val="auto"/>
        </w:rPr>
        <w:t>（1）调查时间</w:t>
      </w:r>
    </w:p>
    <w:p w14:paraId="718AD2F9">
      <w:pPr>
        <w:pStyle w:val="276"/>
        <w:widowControl w:val="0"/>
        <w:ind w:firstLine="480"/>
        <w:jc w:val="both"/>
        <w:rPr>
          <w:color w:val="auto"/>
        </w:rPr>
      </w:pPr>
      <w:r>
        <w:rPr>
          <w:rFonts w:hint="eastAsia"/>
          <w:color w:val="auto"/>
        </w:rPr>
        <w:t>本项目</w:t>
      </w:r>
      <w:r>
        <w:rPr>
          <w:color w:val="auto"/>
        </w:rPr>
        <w:t>在</w:t>
      </w:r>
      <w:r>
        <w:rPr>
          <w:rFonts w:hint="eastAsia"/>
          <w:color w:val="auto"/>
        </w:rPr>
        <w:t>评价区内</w:t>
      </w:r>
      <w:r>
        <w:rPr>
          <w:color w:val="auto"/>
        </w:rPr>
        <w:t>进行了现场踏勘，建立了遥感影像解译标志</w:t>
      </w:r>
      <w:r>
        <w:rPr>
          <w:rFonts w:hint="eastAsia"/>
          <w:color w:val="auto"/>
        </w:rPr>
        <w:t>。在主要工程直接占地区域、主要植被群落附近等区域均布设了样方。</w:t>
      </w:r>
    </w:p>
    <w:p w14:paraId="75CC854D">
      <w:pPr>
        <w:pStyle w:val="276"/>
        <w:widowControl w:val="0"/>
        <w:ind w:firstLine="480"/>
        <w:jc w:val="both"/>
        <w:rPr>
          <w:color w:val="auto"/>
        </w:rPr>
      </w:pPr>
      <w:r>
        <w:rPr>
          <w:rFonts w:hint="eastAsia"/>
          <w:color w:val="auto"/>
        </w:rPr>
        <w:t>（2）</w:t>
      </w:r>
      <w:r>
        <w:rPr>
          <w:color w:val="auto"/>
        </w:rPr>
        <w:t>样方信息统计</w:t>
      </w:r>
    </w:p>
    <w:p w14:paraId="4222DC13">
      <w:pPr>
        <w:pStyle w:val="276"/>
        <w:widowControl w:val="0"/>
        <w:ind w:firstLine="480"/>
        <w:jc w:val="both"/>
        <w:rPr>
          <w:color w:val="auto"/>
        </w:rPr>
      </w:pPr>
      <w:r>
        <w:rPr>
          <w:rFonts w:hint="eastAsia"/>
          <w:color w:val="auto"/>
        </w:rPr>
        <w:t>本项目位于肇源县</w:t>
      </w:r>
      <w:r>
        <w:rPr>
          <w:color w:val="auto"/>
        </w:rPr>
        <w:t>。</w:t>
      </w:r>
      <w:r>
        <w:rPr>
          <w:rFonts w:hint="eastAsia"/>
          <w:color w:val="auto"/>
        </w:rPr>
        <w:t>根据《环境影响评价技术导则 生态影响》（HJ 19-2022）中7.3 生态现状调查要求：“根据植物群落类型（宜以群系及以下分类单位为调查单元）设置调查样地，一级评价每种群落类型设置的样方数量不少于5个，二级评价不少于3个”。</w:t>
      </w:r>
    </w:p>
    <w:p w14:paraId="4E619D8B">
      <w:pPr>
        <w:pStyle w:val="4"/>
        <w:ind w:firstLine="480"/>
        <w:jc w:val="left"/>
        <w:rPr>
          <w:color w:val="auto"/>
        </w:rPr>
      </w:pPr>
      <w:r>
        <w:rPr>
          <w:rFonts w:hint="eastAsia"/>
          <w:color w:val="auto"/>
        </w:rPr>
        <w:t>本项目生态评价等级为二级。根据现场踏勘，本项目评价范围主要人工植被主要为人工林、农作物，天然植被主要为芦苇草甸、盐地碱蓬等草本植物，本次调查针对评价范围内的自然植被共设置</w:t>
      </w:r>
      <w:r>
        <w:rPr>
          <w:color w:val="auto"/>
        </w:rPr>
        <w:t>了9</w:t>
      </w:r>
      <w:r>
        <w:rPr>
          <w:color w:val="auto"/>
        </w:rPr>
        <w:fldChar w:fldCharType="begin"/>
      </w:r>
      <w:r>
        <w:rPr>
          <w:color w:val="auto"/>
        </w:rPr>
        <w:instrText xml:space="preserve"> HYPERLINK "file:///F:\\17.河口采油厂产能项目报告书\\01业主提供区域环评\\06-东环利分审%5b2024%5d3号-河口采油厂（利津油区）2024-2025产能建设项目环境影响评价\\河口采油厂(利津油区)%202024-2025产能建设项目环评书修改后报批版（含附图附件附表）.docx" \l "bookmark493" </w:instrText>
      </w:r>
      <w:r>
        <w:rPr>
          <w:color w:val="auto"/>
        </w:rPr>
        <w:fldChar w:fldCharType="separate"/>
      </w:r>
      <w:r>
        <w:rPr>
          <w:color w:val="auto"/>
        </w:rPr>
        <w:t>个样方，样方</w:t>
      </w:r>
      <w:r>
        <w:rPr>
          <w:rFonts w:hint="eastAsia"/>
          <w:color w:val="auto"/>
        </w:rPr>
        <w:t>种类布设情况见</w:t>
      </w:r>
      <w:r>
        <w:rPr>
          <w:rFonts w:hint="eastAsia"/>
          <w:color w:val="auto"/>
        </w:rPr>
        <w:fldChar w:fldCharType="begin"/>
      </w:r>
      <w:r>
        <w:rPr>
          <w:rFonts w:hint="eastAsia"/>
          <w:color w:val="auto"/>
        </w:rPr>
        <w:instrText xml:space="preserve"> REF _Ref192436565 \h </w:instrText>
      </w:r>
      <w:r>
        <w:rPr>
          <w:color w:val="auto"/>
        </w:rPr>
        <w:instrText xml:space="preserve"> \* MERGEFORMAT </w:instrText>
      </w:r>
      <w:r>
        <w:rPr>
          <w:rFonts w:hint="eastAsia"/>
          <w:color w:val="auto"/>
        </w:rPr>
        <w:fldChar w:fldCharType="separate"/>
      </w:r>
      <w:r>
        <w:rPr>
          <w:rFonts w:hint="eastAsia"/>
          <w:color w:val="auto"/>
        </w:rPr>
        <w:t xml:space="preserve">表 </w:t>
      </w:r>
      <w:r>
        <w:rPr>
          <w:rFonts w:hint="eastAsia"/>
          <w:color w:val="auto"/>
        </w:rPr>
        <w:fldChar w:fldCharType="end"/>
      </w:r>
      <w:r>
        <w:rPr>
          <w:rFonts w:hint="eastAsia"/>
          <w:color w:val="auto"/>
        </w:rPr>
        <w:t>～表4</w:t>
      </w:r>
      <w:r>
        <w:rPr>
          <w:color w:val="auto"/>
        </w:rPr>
        <w:t>.4-7，</w:t>
      </w:r>
      <w:r>
        <w:rPr>
          <w:color w:val="auto"/>
        </w:rPr>
        <w:fldChar w:fldCharType="end"/>
      </w:r>
      <w:r>
        <w:rPr>
          <w:rFonts w:hint="eastAsia"/>
          <w:color w:val="auto"/>
        </w:rPr>
        <w:t>植物群落调查样方点位置</w:t>
      </w:r>
      <w:r>
        <w:rPr>
          <w:color w:val="auto"/>
        </w:rPr>
        <w:t>具体情况</w:t>
      </w:r>
      <w:r>
        <w:rPr>
          <w:rFonts w:hint="eastAsia"/>
          <w:color w:val="auto"/>
        </w:rPr>
        <w:t>见表4</w:t>
      </w:r>
      <w:r>
        <w:rPr>
          <w:color w:val="auto"/>
        </w:rPr>
        <w:t>.4-8。</w:t>
      </w:r>
      <w:r>
        <w:rPr>
          <w:rFonts w:hint="eastAsia"/>
          <w:color w:val="auto"/>
          <w:highlight w:val="yellow"/>
        </w:rPr>
        <w:t>样方布点图见附图。</w:t>
      </w:r>
    </w:p>
    <w:p w14:paraId="11E5B2C5">
      <w:pPr>
        <w:spacing w:line="440" w:lineRule="exact"/>
        <w:ind w:firstLine="420" w:firstLineChars="200"/>
        <w:jc w:val="center"/>
        <w:rPr>
          <w:rFonts w:ascii="宋体" w:hAnsi="宋体" w:eastAsia="宋体" w:cs="Times New Roman"/>
          <w:color w:val="auto"/>
        </w:rPr>
      </w:pPr>
      <w:bookmarkStart w:id="1251" w:name="_Ref192436565"/>
      <w:r>
        <w:rPr>
          <w:rFonts w:hint="eastAsia" w:ascii="宋体" w:hAnsi="宋体" w:eastAsia="宋体" w:cs="Times New Roman"/>
          <w:color w:val="auto"/>
        </w:rPr>
        <w:t xml:space="preserve">表 </w:t>
      </w:r>
      <w:bookmarkEnd w:id="1251"/>
      <w:r>
        <w:rPr>
          <w:rFonts w:ascii="宋体" w:hAnsi="宋体" w:eastAsia="宋体" w:cs="Times New Roman"/>
          <w:color w:val="auto"/>
        </w:rPr>
        <w:t>4.4-6</w:t>
      </w:r>
      <w:r>
        <w:rPr>
          <w:rFonts w:hint="eastAsia" w:ascii="宋体" w:hAnsi="宋体" w:eastAsia="宋体" w:cs="Times New Roman"/>
          <w:color w:val="auto"/>
        </w:rPr>
        <w:t xml:space="preserve"> 样方种类布设情况一览表</w:t>
      </w:r>
    </w:p>
    <w:tbl>
      <w:tblPr>
        <w:tblStyle w:val="8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571"/>
        <w:gridCol w:w="1243"/>
        <w:gridCol w:w="2155"/>
        <w:gridCol w:w="1243"/>
        <w:gridCol w:w="1244"/>
        <w:gridCol w:w="1583"/>
        <w:gridCol w:w="1248"/>
      </w:tblGrid>
      <w:tr w14:paraId="430C2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08" w:type="pct"/>
            <w:shd w:val="clear" w:color="auto" w:fill="auto"/>
            <w:vAlign w:val="center"/>
          </w:tcPr>
          <w:p w14:paraId="3407D7CE">
            <w:pPr>
              <w:jc w:val="center"/>
              <w:rPr>
                <w:rFonts w:ascii="宋体" w:hAnsi="宋体" w:eastAsia="宋体"/>
                <w:color w:val="auto"/>
                <w:szCs w:val="20"/>
              </w:rPr>
            </w:pPr>
            <w:r>
              <w:rPr>
                <w:rFonts w:hint="eastAsia" w:ascii="宋体" w:hAnsi="宋体" w:eastAsia="宋体"/>
                <w:color w:val="auto"/>
                <w:szCs w:val="20"/>
              </w:rPr>
              <w:t>序号</w:t>
            </w:r>
          </w:p>
        </w:tc>
        <w:tc>
          <w:tcPr>
            <w:tcW w:w="669" w:type="pct"/>
            <w:shd w:val="clear" w:color="auto" w:fill="auto"/>
            <w:vAlign w:val="center"/>
          </w:tcPr>
          <w:p w14:paraId="2BEEC212">
            <w:pPr>
              <w:jc w:val="center"/>
              <w:rPr>
                <w:rFonts w:ascii="宋体" w:hAnsi="宋体" w:eastAsia="宋体"/>
                <w:color w:val="auto"/>
                <w:szCs w:val="20"/>
              </w:rPr>
            </w:pPr>
            <w:r>
              <w:rPr>
                <w:rFonts w:hint="eastAsia" w:ascii="宋体" w:hAnsi="宋体" w:eastAsia="宋体"/>
                <w:color w:val="auto"/>
                <w:szCs w:val="20"/>
              </w:rPr>
              <w:t>群系</w:t>
            </w:r>
          </w:p>
        </w:tc>
        <w:tc>
          <w:tcPr>
            <w:tcW w:w="1160" w:type="pct"/>
            <w:shd w:val="clear" w:color="auto" w:fill="auto"/>
            <w:vAlign w:val="center"/>
          </w:tcPr>
          <w:p w14:paraId="0197E3EA">
            <w:pPr>
              <w:jc w:val="center"/>
              <w:rPr>
                <w:rFonts w:ascii="宋体" w:hAnsi="宋体" w:eastAsia="宋体"/>
                <w:color w:val="auto"/>
                <w:szCs w:val="20"/>
              </w:rPr>
            </w:pPr>
            <w:r>
              <w:rPr>
                <w:rFonts w:hint="eastAsia" w:ascii="宋体" w:hAnsi="宋体" w:eastAsia="宋体"/>
                <w:color w:val="auto"/>
                <w:szCs w:val="20"/>
              </w:rPr>
              <w:t>拉丁学名</w:t>
            </w:r>
          </w:p>
        </w:tc>
        <w:tc>
          <w:tcPr>
            <w:tcW w:w="669" w:type="pct"/>
            <w:shd w:val="clear" w:color="auto" w:fill="auto"/>
            <w:vAlign w:val="center"/>
          </w:tcPr>
          <w:p w14:paraId="3B0F4467">
            <w:pPr>
              <w:jc w:val="center"/>
              <w:rPr>
                <w:rFonts w:ascii="宋体" w:hAnsi="宋体" w:eastAsia="宋体"/>
                <w:color w:val="auto"/>
                <w:szCs w:val="20"/>
              </w:rPr>
            </w:pPr>
            <w:r>
              <w:rPr>
                <w:rFonts w:hint="eastAsia" w:ascii="宋体" w:hAnsi="宋体" w:eastAsia="宋体"/>
                <w:color w:val="auto"/>
                <w:szCs w:val="20"/>
              </w:rPr>
              <w:t>植被型组</w:t>
            </w:r>
          </w:p>
        </w:tc>
        <w:tc>
          <w:tcPr>
            <w:tcW w:w="670" w:type="pct"/>
            <w:shd w:val="clear" w:color="auto" w:fill="auto"/>
            <w:vAlign w:val="center"/>
          </w:tcPr>
          <w:p w14:paraId="53BFE654">
            <w:pPr>
              <w:jc w:val="center"/>
              <w:rPr>
                <w:rFonts w:ascii="宋体" w:hAnsi="宋体" w:eastAsia="宋体"/>
                <w:color w:val="auto"/>
                <w:szCs w:val="20"/>
              </w:rPr>
            </w:pPr>
            <w:r>
              <w:rPr>
                <w:rFonts w:hint="eastAsia" w:ascii="宋体" w:hAnsi="宋体" w:eastAsia="宋体"/>
                <w:color w:val="auto"/>
                <w:szCs w:val="20"/>
              </w:rPr>
              <w:t>植被型</w:t>
            </w:r>
          </w:p>
        </w:tc>
        <w:tc>
          <w:tcPr>
            <w:tcW w:w="852" w:type="pct"/>
            <w:shd w:val="clear" w:color="auto" w:fill="auto"/>
            <w:vAlign w:val="center"/>
          </w:tcPr>
          <w:p w14:paraId="03F411B1">
            <w:pPr>
              <w:jc w:val="center"/>
              <w:rPr>
                <w:rFonts w:ascii="宋体" w:hAnsi="宋体" w:eastAsia="宋体"/>
                <w:color w:val="auto"/>
                <w:szCs w:val="20"/>
              </w:rPr>
            </w:pPr>
            <w:r>
              <w:rPr>
                <w:rFonts w:hint="eastAsia" w:ascii="宋体" w:hAnsi="宋体" w:eastAsia="宋体"/>
                <w:color w:val="auto"/>
                <w:szCs w:val="20"/>
              </w:rPr>
              <w:t>植被亚型</w:t>
            </w:r>
          </w:p>
        </w:tc>
        <w:tc>
          <w:tcPr>
            <w:tcW w:w="672" w:type="pct"/>
            <w:shd w:val="clear" w:color="auto" w:fill="auto"/>
            <w:vAlign w:val="center"/>
          </w:tcPr>
          <w:p w14:paraId="4557595D">
            <w:pPr>
              <w:jc w:val="center"/>
              <w:rPr>
                <w:rFonts w:ascii="宋体" w:hAnsi="宋体" w:eastAsia="宋体"/>
                <w:color w:val="auto"/>
                <w:szCs w:val="20"/>
              </w:rPr>
            </w:pPr>
            <w:r>
              <w:rPr>
                <w:rFonts w:hint="eastAsia" w:ascii="宋体" w:hAnsi="宋体" w:eastAsia="宋体"/>
                <w:color w:val="auto"/>
                <w:szCs w:val="20"/>
              </w:rPr>
              <w:t>点位数 （个）</w:t>
            </w:r>
          </w:p>
        </w:tc>
      </w:tr>
      <w:tr w14:paraId="2CA67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08" w:type="pct"/>
            <w:shd w:val="clear" w:color="auto" w:fill="auto"/>
            <w:vAlign w:val="center"/>
          </w:tcPr>
          <w:p w14:paraId="44921FB1">
            <w:pPr>
              <w:jc w:val="center"/>
              <w:rPr>
                <w:rFonts w:ascii="宋体" w:hAnsi="宋体" w:eastAsia="宋体"/>
                <w:color w:val="auto"/>
                <w:szCs w:val="20"/>
              </w:rPr>
            </w:pPr>
            <w:r>
              <w:rPr>
                <w:rFonts w:ascii="宋体" w:hAnsi="宋体" w:eastAsia="宋体"/>
                <w:color w:val="auto"/>
                <w:szCs w:val="20"/>
              </w:rPr>
              <w:t>1</w:t>
            </w:r>
          </w:p>
        </w:tc>
        <w:tc>
          <w:tcPr>
            <w:tcW w:w="669" w:type="pct"/>
            <w:shd w:val="clear" w:color="auto" w:fill="auto"/>
            <w:vAlign w:val="center"/>
          </w:tcPr>
          <w:p w14:paraId="34D6A131">
            <w:pPr>
              <w:jc w:val="center"/>
              <w:rPr>
                <w:rFonts w:ascii="宋体" w:hAnsi="宋体" w:eastAsia="宋体"/>
                <w:color w:val="auto"/>
                <w:szCs w:val="20"/>
              </w:rPr>
            </w:pPr>
            <w:r>
              <w:rPr>
                <w:rFonts w:hint="eastAsia" w:ascii="宋体" w:hAnsi="宋体" w:eastAsia="宋体"/>
                <w:color w:val="auto"/>
                <w:szCs w:val="20"/>
              </w:rPr>
              <w:t>水稻</w:t>
            </w:r>
          </w:p>
        </w:tc>
        <w:tc>
          <w:tcPr>
            <w:tcW w:w="1160" w:type="pct"/>
            <w:shd w:val="clear" w:color="auto" w:fill="auto"/>
            <w:vAlign w:val="center"/>
          </w:tcPr>
          <w:p w14:paraId="28F2B11D">
            <w:pPr>
              <w:jc w:val="center"/>
              <w:rPr>
                <w:rFonts w:ascii="宋体" w:hAnsi="宋体" w:eastAsia="宋体"/>
                <w:color w:val="auto"/>
                <w:szCs w:val="20"/>
              </w:rPr>
            </w:pPr>
            <w:r>
              <w:rPr>
                <w:rFonts w:ascii="宋体" w:hAnsi="宋体" w:eastAsia="宋体"/>
                <w:i/>
                <w:iCs/>
                <w:color w:val="auto"/>
                <w:szCs w:val="20"/>
              </w:rPr>
              <w:t>Oryza sativa L. subsp. japonica</w:t>
            </w:r>
          </w:p>
        </w:tc>
        <w:tc>
          <w:tcPr>
            <w:tcW w:w="669" w:type="pct"/>
            <w:shd w:val="clear" w:color="auto" w:fill="auto"/>
            <w:vAlign w:val="center"/>
          </w:tcPr>
          <w:p w14:paraId="018176FD">
            <w:pPr>
              <w:jc w:val="center"/>
              <w:rPr>
                <w:rFonts w:ascii="宋体" w:hAnsi="宋体" w:eastAsia="宋体"/>
                <w:color w:val="auto"/>
                <w:szCs w:val="20"/>
              </w:rPr>
            </w:pPr>
            <w:r>
              <w:rPr>
                <w:rFonts w:hint="eastAsia" w:ascii="宋体" w:hAnsi="宋体" w:eastAsia="宋体"/>
                <w:color w:val="auto"/>
                <w:szCs w:val="20"/>
              </w:rPr>
              <w:t>栽培植被</w:t>
            </w:r>
          </w:p>
        </w:tc>
        <w:tc>
          <w:tcPr>
            <w:tcW w:w="670" w:type="pct"/>
            <w:shd w:val="clear" w:color="auto" w:fill="auto"/>
            <w:vAlign w:val="center"/>
          </w:tcPr>
          <w:p w14:paraId="5EBE6608">
            <w:pPr>
              <w:jc w:val="center"/>
              <w:rPr>
                <w:rFonts w:ascii="宋体" w:hAnsi="宋体" w:eastAsia="宋体"/>
                <w:color w:val="auto"/>
                <w:szCs w:val="20"/>
              </w:rPr>
            </w:pPr>
            <w:r>
              <w:rPr>
                <w:rFonts w:hint="eastAsia" w:ascii="宋体" w:hAnsi="宋体" w:eastAsia="宋体"/>
                <w:color w:val="auto"/>
                <w:szCs w:val="20"/>
              </w:rPr>
              <w:t>水生植被型</w:t>
            </w:r>
          </w:p>
        </w:tc>
        <w:tc>
          <w:tcPr>
            <w:tcW w:w="852" w:type="pct"/>
            <w:shd w:val="clear" w:color="auto" w:fill="auto"/>
            <w:vAlign w:val="center"/>
          </w:tcPr>
          <w:p w14:paraId="495D1B7F">
            <w:pPr>
              <w:jc w:val="center"/>
              <w:rPr>
                <w:rFonts w:ascii="宋体" w:hAnsi="宋体" w:eastAsia="宋体"/>
                <w:color w:val="auto"/>
                <w:szCs w:val="20"/>
              </w:rPr>
            </w:pPr>
            <w:r>
              <w:rPr>
                <w:rFonts w:hint="eastAsia" w:ascii="宋体" w:hAnsi="宋体" w:eastAsia="宋体"/>
                <w:color w:val="auto"/>
                <w:szCs w:val="20"/>
              </w:rPr>
              <w:t>水生草本植被亚型</w:t>
            </w:r>
          </w:p>
        </w:tc>
        <w:tc>
          <w:tcPr>
            <w:tcW w:w="672" w:type="pct"/>
            <w:shd w:val="clear" w:color="auto" w:fill="auto"/>
            <w:vAlign w:val="center"/>
          </w:tcPr>
          <w:p w14:paraId="13F4AD3B">
            <w:pPr>
              <w:jc w:val="center"/>
              <w:rPr>
                <w:rFonts w:ascii="宋体" w:hAnsi="宋体" w:eastAsia="宋体"/>
                <w:color w:val="auto"/>
                <w:szCs w:val="20"/>
              </w:rPr>
            </w:pPr>
            <w:r>
              <w:rPr>
                <w:rFonts w:ascii="宋体" w:hAnsi="宋体" w:eastAsia="宋体"/>
                <w:color w:val="auto"/>
                <w:szCs w:val="20"/>
              </w:rPr>
              <w:t>3</w:t>
            </w:r>
          </w:p>
        </w:tc>
      </w:tr>
      <w:tr w14:paraId="34FD3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08" w:type="pct"/>
            <w:shd w:val="clear" w:color="auto" w:fill="auto"/>
            <w:vAlign w:val="center"/>
          </w:tcPr>
          <w:p w14:paraId="0A6164A2">
            <w:pPr>
              <w:jc w:val="center"/>
              <w:rPr>
                <w:rFonts w:ascii="宋体" w:hAnsi="宋体" w:eastAsia="宋体"/>
                <w:color w:val="auto"/>
                <w:szCs w:val="20"/>
              </w:rPr>
            </w:pPr>
            <w:r>
              <w:rPr>
                <w:rFonts w:ascii="宋体" w:hAnsi="宋体" w:eastAsia="宋体"/>
                <w:color w:val="auto"/>
                <w:szCs w:val="20"/>
              </w:rPr>
              <w:t>2</w:t>
            </w:r>
          </w:p>
        </w:tc>
        <w:tc>
          <w:tcPr>
            <w:tcW w:w="669" w:type="pct"/>
            <w:shd w:val="clear" w:color="auto" w:fill="auto"/>
            <w:vAlign w:val="center"/>
          </w:tcPr>
          <w:p w14:paraId="555E5658">
            <w:pPr>
              <w:jc w:val="center"/>
              <w:rPr>
                <w:rFonts w:ascii="宋体" w:hAnsi="宋体" w:eastAsia="宋体"/>
                <w:color w:val="auto"/>
                <w:szCs w:val="20"/>
              </w:rPr>
            </w:pPr>
            <w:r>
              <w:rPr>
                <w:rFonts w:hint="eastAsia" w:ascii="宋体" w:hAnsi="宋体" w:eastAsia="宋体"/>
                <w:color w:val="auto"/>
                <w:szCs w:val="20"/>
              </w:rPr>
              <w:t>杨树</w:t>
            </w:r>
          </w:p>
        </w:tc>
        <w:tc>
          <w:tcPr>
            <w:tcW w:w="1160" w:type="pct"/>
            <w:shd w:val="clear" w:color="auto" w:fill="auto"/>
            <w:vAlign w:val="center"/>
          </w:tcPr>
          <w:p w14:paraId="1F23505A">
            <w:pPr>
              <w:jc w:val="center"/>
              <w:rPr>
                <w:rFonts w:ascii="宋体" w:hAnsi="宋体" w:eastAsia="宋体"/>
                <w:color w:val="auto"/>
                <w:szCs w:val="20"/>
              </w:rPr>
            </w:pPr>
            <w:r>
              <w:rPr>
                <w:rFonts w:ascii="宋体" w:hAnsi="宋体" w:eastAsia="宋体"/>
                <w:i/>
                <w:iCs/>
                <w:color w:val="auto"/>
                <w:szCs w:val="20"/>
              </w:rPr>
              <w:t>Populus L.</w:t>
            </w:r>
          </w:p>
        </w:tc>
        <w:tc>
          <w:tcPr>
            <w:tcW w:w="669" w:type="pct"/>
            <w:shd w:val="clear" w:color="auto" w:fill="auto"/>
            <w:vAlign w:val="center"/>
          </w:tcPr>
          <w:p w14:paraId="28CE5321">
            <w:pPr>
              <w:jc w:val="center"/>
              <w:rPr>
                <w:rFonts w:ascii="宋体" w:hAnsi="宋体" w:eastAsia="宋体"/>
                <w:color w:val="auto"/>
                <w:szCs w:val="20"/>
              </w:rPr>
            </w:pPr>
            <w:r>
              <w:rPr>
                <w:rFonts w:hint="eastAsia" w:ascii="宋体" w:hAnsi="宋体" w:eastAsia="宋体"/>
                <w:color w:val="auto"/>
                <w:szCs w:val="20"/>
              </w:rPr>
              <w:t>栽培植被</w:t>
            </w:r>
          </w:p>
        </w:tc>
        <w:tc>
          <w:tcPr>
            <w:tcW w:w="670" w:type="pct"/>
            <w:shd w:val="clear" w:color="auto" w:fill="auto"/>
            <w:vAlign w:val="center"/>
          </w:tcPr>
          <w:p w14:paraId="0E57E8F1">
            <w:pPr>
              <w:jc w:val="center"/>
              <w:rPr>
                <w:rFonts w:ascii="宋体" w:hAnsi="宋体" w:eastAsia="宋体"/>
                <w:color w:val="auto"/>
                <w:szCs w:val="20"/>
              </w:rPr>
            </w:pPr>
            <w:r>
              <w:rPr>
                <w:rFonts w:hint="eastAsia" w:ascii="宋体" w:hAnsi="宋体" w:eastAsia="宋体"/>
                <w:color w:val="auto"/>
                <w:szCs w:val="20"/>
              </w:rPr>
              <w:t>木本类型</w:t>
            </w:r>
          </w:p>
        </w:tc>
        <w:tc>
          <w:tcPr>
            <w:tcW w:w="852" w:type="pct"/>
            <w:shd w:val="clear" w:color="auto" w:fill="auto"/>
            <w:vAlign w:val="center"/>
          </w:tcPr>
          <w:p w14:paraId="5D9011C2">
            <w:pPr>
              <w:jc w:val="center"/>
              <w:rPr>
                <w:rFonts w:ascii="宋体" w:hAnsi="宋体" w:eastAsia="宋体"/>
                <w:color w:val="auto"/>
                <w:szCs w:val="20"/>
              </w:rPr>
            </w:pPr>
            <w:r>
              <w:rPr>
                <w:rFonts w:hint="eastAsia" w:ascii="宋体" w:hAnsi="宋体" w:eastAsia="宋体"/>
                <w:color w:val="auto"/>
                <w:szCs w:val="20"/>
              </w:rPr>
              <w:t>其他人工林型</w:t>
            </w:r>
          </w:p>
        </w:tc>
        <w:tc>
          <w:tcPr>
            <w:tcW w:w="672" w:type="pct"/>
            <w:shd w:val="clear" w:color="auto" w:fill="auto"/>
            <w:vAlign w:val="center"/>
          </w:tcPr>
          <w:p w14:paraId="7B061FC2">
            <w:pPr>
              <w:jc w:val="center"/>
              <w:rPr>
                <w:rFonts w:ascii="宋体" w:hAnsi="宋体" w:eastAsia="宋体"/>
                <w:color w:val="auto"/>
                <w:szCs w:val="20"/>
              </w:rPr>
            </w:pPr>
            <w:r>
              <w:rPr>
                <w:rFonts w:ascii="宋体" w:hAnsi="宋体" w:eastAsia="宋体"/>
                <w:color w:val="auto"/>
                <w:szCs w:val="20"/>
              </w:rPr>
              <w:t>3</w:t>
            </w:r>
          </w:p>
        </w:tc>
      </w:tr>
      <w:tr w14:paraId="17FEF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08" w:type="pct"/>
            <w:shd w:val="clear" w:color="auto" w:fill="auto"/>
            <w:vAlign w:val="center"/>
          </w:tcPr>
          <w:p w14:paraId="7265CD11">
            <w:pPr>
              <w:jc w:val="center"/>
              <w:rPr>
                <w:rFonts w:ascii="宋体" w:hAnsi="宋体" w:eastAsia="宋体"/>
                <w:color w:val="auto"/>
                <w:szCs w:val="20"/>
              </w:rPr>
            </w:pPr>
            <w:r>
              <w:rPr>
                <w:rFonts w:hint="eastAsia" w:ascii="宋体" w:hAnsi="宋体" w:eastAsia="宋体"/>
                <w:color w:val="auto"/>
                <w:szCs w:val="20"/>
              </w:rPr>
              <w:t>3</w:t>
            </w:r>
          </w:p>
        </w:tc>
        <w:tc>
          <w:tcPr>
            <w:tcW w:w="669" w:type="pct"/>
            <w:shd w:val="clear" w:color="auto" w:fill="auto"/>
            <w:vAlign w:val="center"/>
          </w:tcPr>
          <w:p w14:paraId="4678F39F">
            <w:pPr>
              <w:jc w:val="center"/>
              <w:rPr>
                <w:rFonts w:ascii="宋体" w:hAnsi="宋体" w:eastAsia="宋体"/>
                <w:color w:val="auto"/>
                <w:szCs w:val="20"/>
              </w:rPr>
            </w:pPr>
            <w:r>
              <w:rPr>
                <w:rFonts w:hint="eastAsia" w:ascii="宋体" w:hAnsi="宋体" w:eastAsia="宋体"/>
                <w:color w:val="auto"/>
                <w:szCs w:val="20"/>
              </w:rPr>
              <w:t>芦苇草甸</w:t>
            </w:r>
          </w:p>
        </w:tc>
        <w:tc>
          <w:tcPr>
            <w:tcW w:w="1160" w:type="pct"/>
            <w:shd w:val="clear" w:color="auto" w:fill="auto"/>
            <w:vAlign w:val="center"/>
          </w:tcPr>
          <w:p w14:paraId="2926EAB6">
            <w:pPr>
              <w:jc w:val="center"/>
              <w:rPr>
                <w:rFonts w:ascii="宋体" w:hAnsi="宋体" w:eastAsia="宋体"/>
                <w:color w:val="auto"/>
                <w:szCs w:val="20"/>
              </w:rPr>
            </w:pPr>
            <w:r>
              <w:rPr>
                <w:rFonts w:ascii="宋体" w:hAnsi="宋体" w:eastAsia="宋体"/>
                <w:i/>
                <w:iCs/>
                <w:color w:val="auto"/>
                <w:szCs w:val="20"/>
              </w:rPr>
              <w:t>Form.Phragmites communis</w:t>
            </w:r>
          </w:p>
        </w:tc>
        <w:tc>
          <w:tcPr>
            <w:tcW w:w="669" w:type="pct"/>
            <w:shd w:val="clear" w:color="auto" w:fill="auto"/>
            <w:vAlign w:val="center"/>
          </w:tcPr>
          <w:p w14:paraId="55071AB0">
            <w:pPr>
              <w:jc w:val="center"/>
              <w:rPr>
                <w:rFonts w:ascii="宋体" w:hAnsi="宋体" w:eastAsia="宋体"/>
                <w:color w:val="auto"/>
                <w:szCs w:val="20"/>
              </w:rPr>
            </w:pPr>
            <w:r>
              <w:rPr>
                <w:rFonts w:hint="eastAsia" w:ascii="宋体" w:hAnsi="宋体" w:eastAsia="宋体"/>
                <w:color w:val="auto"/>
                <w:szCs w:val="20"/>
              </w:rPr>
              <w:t>草甸</w:t>
            </w:r>
          </w:p>
        </w:tc>
        <w:tc>
          <w:tcPr>
            <w:tcW w:w="670" w:type="pct"/>
            <w:shd w:val="clear" w:color="auto" w:fill="auto"/>
            <w:vAlign w:val="center"/>
          </w:tcPr>
          <w:p w14:paraId="0C97B239">
            <w:pPr>
              <w:jc w:val="center"/>
              <w:rPr>
                <w:rFonts w:ascii="宋体" w:hAnsi="宋体" w:eastAsia="宋体"/>
                <w:color w:val="auto"/>
                <w:szCs w:val="20"/>
              </w:rPr>
            </w:pPr>
            <w:r>
              <w:rPr>
                <w:rFonts w:hint="eastAsia" w:ascii="宋体" w:hAnsi="宋体" w:eastAsia="宋体"/>
                <w:color w:val="auto"/>
                <w:szCs w:val="20"/>
              </w:rPr>
              <w:t>草甸</w:t>
            </w:r>
          </w:p>
        </w:tc>
        <w:tc>
          <w:tcPr>
            <w:tcW w:w="852" w:type="pct"/>
            <w:shd w:val="clear" w:color="auto" w:fill="auto"/>
            <w:vAlign w:val="center"/>
          </w:tcPr>
          <w:p w14:paraId="329CF7D8">
            <w:pPr>
              <w:jc w:val="center"/>
              <w:rPr>
                <w:rFonts w:ascii="宋体" w:hAnsi="宋体" w:eastAsia="宋体"/>
                <w:color w:val="auto"/>
                <w:szCs w:val="20"/>
              </w:rPr>
            </w:pPr>
            <w:r>
              <w:rPr>
                <w:rFonts w:hint="eastAsia" w:ascii="宋体" w:hAnsi="宋体" w:eastAsia="宋体"/>
                <w:color w:val="auto"/>
                <w:szCs w:val="20"/>
              </w:rPr>
              <w:t>盐生草甸</w:t>
            </w:r>
          </w:p>
        </w:tc>
        <w:tc>
          <w:tcPr>
            <w:tcW w:w="672" w:type="pct"/>
            <w:shd w:val="clear" w:color="auto" w:fill="auto"/>
            <w:vAlign w:val="center"/>
          </w:tcPr>
          <w:p w14:paraId="4ADCE9B7">
            <w:pPr>
              <w:jc w:val="center"/>
              <w:rPr>
                <w:rFonts w:ascii="宋体" w:hAnsi="宋体" w:eastAsia="宋体"/>
                <w:color w:val="auto"/>
                <w:szCs w:val="20"/>
              </w:rPr>
            </w:pPr>
            <w:r>
              <w:rPr>
                <w:rFonts w:hint="eastAsia" w:ascii="宋体" w:hAnsi="宋体" w:eastAsia="宋体"/>
                <w:color w:val="auto"/>
                <w:szCs w:val="20"/>
              </w:rPr>
              <w:t>3</w:t>
            </w:r>
          </w:p>
        </w:tc>
      </w:tr>
      <w:tr w14:paraId="77418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137" w:type="pct"/>
            <w:gridSpan w:val="3"/>
            <w:shd w:val="clear" w:color="auto" w:fill="auto"/>
            <w:vAlign w:val="center"/>
          </w:tcPr>
          <w:p w14:paraId="2CACF6E6">
            <w:pPr>
              <w:jc w:val="center"/>
              <w:rPr>
                <w:rFonts w:ascii="宋体" w:hAnsi="宋体" w:eastAsia="宋体"/>
                <w:color w:val="auto"/>
                <w:szCs w:val="20"/>
              </w:rPr>
            </w:pPr>
            <w:r>
              <w:rPr>
                <w:rFonts w:hint="eastAsia" w:ascii="宋体" w:hAnsi="宋体" w:eastAsia="宋体"/>
                <w:color w:val="auto"/>
                <w:szCs w:val="20"/>
              </w:rPr>
              <w:t>总计</w:t>
            </w:r>
          </w:p>
        </w:tc>
        <w:tc>
          <w:tcPr>
            <w:tcW w:w="669" w:type="pct"/>
            <w:shd w:val="clear" w:color="auto" w:fill="auto"/>
            <w:vAlign w:val="center"/>
          </w:tcPr>
          <w:p w14:paraId="02889A31">
            <w:pPr>
              <w:jc w:val="center"/>
              <w:rPr>
                <w:rFonts w:ascii="宋体" w:hAnsi="宋体" w:eastAsia="宋体"/>
                <w:color w:val="auto"/>
                <w:szCs w:val="20"/>
              </w:rPr>
            </w:pPr>
          </w:p>
        </w:tc>
        <w:tc>
          <w:tcPr>
            <w:tcW w:w="670" w:type="pct"/>
            <w:shd w:val="clear" w:color="auto" w:fill="auto"/>
            <w:vAlign w:val="center"/>
          </w:tcPr>
          <w:p w14:paraId="4D900BF6">
            <w:pPr>
              <w:jc w:val="center"/>
              <w:rPr>
                <w:rFonts w:ascii="宋体" w:hAnsi="宋体" w:eastAsia="宋体"/>
                <w:color w:val="auto"/>
                <w:szCs w:val="20"/>
              </w:rPr>
            </w:pPr>
          </w:p>
        </w:tc>
        <w:tc>
          <w:tcPr>
            <w:tcW w:w="852" w:type="pct"/>
            <w:shd w:val="clear" w:color="auto" w:fill="auto"/>
            <w:vAlign w:val="center"/>
          </w:tcPr>
          <w:p w14:paraId="2A27C51F">
            <w:pPr>
              <w:jc w:val="center"/>
              <w:rPr>
                <w:rFonts w:ascii="宋体" w:hAnsi="宋体" w:eastAsia="宋体"/>
                <w:color w:val="auto"/>
                <w:szCs w:val="20"/>
              </w:rPr>
            </w:pPr>
          </w:p>
        </w:tc>
        <w:tc>
          <w:tcPr>
            <w:tcW w:w="672" w:type="pct"/>
            <w:shd w:val="clear" w:color="auto" w:fill="auto"/>
            <w:vAlign w:val="center"/>
          </w:tcPr>
          <w:p w14:paraId="52C1FE31">
            <w:pPr>
              <w:jc w:val="center"/>
              <w:rPr>
                <w:rFonts w:ascii="宋体" w:hAnsi="宋体" w:eastAsia="宋体"/>
                <w:color w:val="auto"/>
                <w:szCs w:val="20"/>
              </w:rPr>
            </w:pPr>
            <w:r>
              <w:rPr>
                <w:rFonts w:ascii="宋体" w:hAnsi="宋体" w:eastAsia="宋体"/>
                <w:color w:val="auto"/>
                <w:szCs w:val="20"/>
              </w:rPr>
              <w:t>9</w:t>
            </w:r>
          </w:p>
        </w:tc>
      </w:tr>
    </w:tbl>
    <w:p w14:paraId="27BF876C">
      <w:pPr>
        <w:spacing w:line="440" w:lineRule="exact"/>
        <w:ind w:firstLine="420" w:firstLineChars="200"/>
        <w:jc w:val="center"/>
        <w:rPr>
          <w:rFonts w:ascii="宋体" w:hAnsi="宋体" w:eastAsia="宋体" w:cs="Times New Roman"/>
          <w:color w:val="auto"/>
        </w:rPr>
      </w:pPr>
      <w:bookmarkStart w:id="1252" w:name="_Ref192436637"/>
      <w:r>
        <w:rPr>
          <w:rFonts w:hint="eastAsia" w:ascii="宋体" w:hAnsi="宋体" w:eastAsia="宋体" w:cs="Times New Roman"/>
          <w:color w:val="auto"/>
        </w:rPr>
        <w:t xml:space="preserve">表 </w:t>
      </w:r>
      <w:bookmarkEnd w:id="1252"/>
      <w:r>
        <w:rPr>
          <w:rFonts w:ascii="宋体" w:hAnsi="宋体" w:eastAsia="宋体" w:cs="Times New Roman"/>
          <w:color w:val="auto"/>
        </w:rPr>
        <w:t>4.4-7植物群落调查样方点位置</w:t>
      </w:r>
    </w:p>
    <w:p w14:paraId="79BAFBCB">
      <w:pPr>
        <w:spacing w:line="66" w:lineRule="exact"/>
        <w:rPr>
          <w:rFonts w:ascii="宋体" w:hAnsi="宋体" w:eastAsia="宋体"/>
          <w:color w:val="auto"/>
        </w:rPr>
      </w:pPr>
    </w:p>
    <w:tbl>
      <w:tblPr>
        <w:tblStyle w:val="8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307"/>
        <w:gridCol w:w="2361"/>
        <w:gridCol w:w="2168"/>
        <w:gridCol w:w="2000"/>
        <w:gridCol w:w="1451"/>
      </w:tblGrid>
      <w:tr w14:paraId="6844E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704" w:type="pct"/>
            <w:shd w:val="clear" w:color="auto" w:fill="auto"/>
            <w:vAlign w:val="center"/>
          </w:tcPr>
          <w:p w14:paraId="155A987B">
            <w:pPr>
              <w:jc w:val="center"/>
              <w:rPr>
                <w:rFonts w:ascii="宋体" w:hAnsi="宋体" w:eastAsia="宋体"/>
                <w:color w:val="auto"/>
                <w:szCs w:val="20"/>
              </w:rPr>
            </w:pPr>
            <w:r>
              <w:rPr>
                <w:rFonts w:hint="eastAsia" w:ascii="宋体" w:hAnsi="宋体" w:eastAsia="宋体"/>
                <w:color w:val="auto"/>
                <w:szCs w:val="20"/>
              </w:rPr>
              <w:t>编号</w:t>
            </w:r>
          </w:p>
        </w:tc>
        <w:tc>
          <w:tcPr>
            <w:tcW w:w="1271" w:type="pct"/>
            <w:shd w:val="clear" w:color="auto" w:fill="auto"/>
            <w:vAlign w:val="center"/>
          </w:tcPr>
          <w:p w14:paraId="4F98525E">
            <w:pPr>
              <w:jc w:val="center"/>
              <w:rPr>
                <w:rFonts w:ascii="宋体" w:hAnsi="宋体" w:eastAsia="宋体"/>
                <w:color w:val="auto"/>
                <w:szCs w:val="20"/>
              </w:rPr>
            </w:pPr>
            <w:r>
              <w:rPr>
                <w:rFonts w:hint="eastAsia" w:ascii="宋体" w:hAnsi="宋体" w:eastAsia="宋体"/>
                <w:color w:val="auto"/>
                <w:szCs w:val="20"/>
              </w:rPr>
              <w:t>名称</w:t>
            </w:r>
          </w:p>
        </w:tc>
        <w:tc>
          <w:tcPr>
            <w:tcW w:w="1167" w:type="pct"/>
            <w:shd w:val="clear" w:color="auto" w:fill="auto"/>
            <w:vAlign w:val="center"/>
          </w:tcPr>
          <w:p w14:paraId="219CB605">
            <w:pPr>
              <w:jc w:val="center"/>
              <w:rPr>
                <w:rFonts w:ascii="宋体" w:hAnsi="宋体" w:eastAsia="宋体"/>
                <w:color w:val="auto"/>
                <w:szCs w:val="20"/>
              </w:rPr>
            </w:pPr>
            <w:r>
              <w:rPr>
                <w:rFonts w:hint="eastAsia" w:ascii="宋体" w:hAnsi="宋体" w:eastAsia="宋体"/>
                <w:color w:val="auto"/>
                <w:szCs w:val="20"/>
              </w:rPr>
              <w:t>经度</w:t>
            </w:r>
          </w:p>
        </w:tc>
        <w:tc>
          <w:tcPr>
            <w:tcW w:w="1077" w:type="pct"/>
            <w:shd w:val="clear" w:color="auto" w:fill="auto"/>
            <w:vAlign w:val="center"/>
          </w:tcPr>
          <w:p w14:paraId="13FF9770">
            <w:pPr>
              <w:jc w:val="center"/>
              <w:rPr>
                <w:rFonts w:ascii="宋体" w:hAnsi="宋体" w:eastAsia="宋体"/>
                <w:color w:val="auto"/>
                <w:szCs w:val="20"/>
              </w:rPr>
            </w:pPr>
            <w:r>
              <w:rPr>
                <w:rFonts w:hint="eastAsia" w:ascii="宋体" w:hAnsi="宋体" w:eastAsia="宋体"/>
                <w:color w:val="auto"/>
                <w:szCs w:val="20"/>
              </w:rPr>
              <w:t>纬度</w:t>
            </w:r>
          </w:p>
        </w:tc>
        <w:tc>
          <w:tcPr>
            <w:tcW w:w="781" w:type="pct"/>
            <w:shd w:val="clear" w:color="auto" w:fill="auto"/>
            <w:vAlign w:val="center"/>
          </w:tcPr>
          <w:p w14:paraId="4F617150">
            <w:pPr>
              <w:jc w:val="center"/>
              <w:rPr>
                <w:rFonts w:ascii="宋体" w:hAnsi="宋体" w:eastAsia="宋体"/>
                <w:color w:val="auto"/>
                <w:szCs w:val="20"/>
              </w:rPr>
            </w:pPr>
            <w:r>
              <w:rPr>
                <w:rFonts w:hint="eastAsia" w:ascii="宋体" w:hAnsi="宋体" w:eastAsia="宋体"/>
                <w:color w:val="auto"/>
                <w:szCs w:val="20"/>
              </w:rPr>
              <w:t>高程（</w:t>
            </w:r>
            <w:r>
              <w:rPr>
                <w:rFonts w:ascii="宋体" w:hAnsi="宋体" w:eastAsia="宋体"/>
                <w:color w:val="auto"/>
                <w:szCs w:val="20"/>
              </w:rPr>
              <w:t>m</w:t>
            </w:r>
            <w:r>
              <w:rPr>
                <w:rFonts w:hint="eastAsia" w:ascii="宋体" w:hAnsi="宋体" w:eastAsia="宋体"/>
                <w:color w:val="auto"/>
                <w:szCs w:val="20"/>
              </w:rPr>
              <w:t>）</w:t>
            </w:r>
          </w:p>
        </w:tc>
      </w:tr>
      <w:tr w14:paraId="0A310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04" w:type="pct"/>
            <w:shd w:val="clear" w:color="auto" w:fill="auto"/>
            <w:vAlign w:val="center"/>
          </w:tcPr>
          <w:p w14:paraId="36F05AB1">
            <w:pPr>
              <w:jc w:val="center"/>
              <w:rPr>
                <w:rFonts w:ascii="宋体" w:hAnsi="宋体" w:eastAsia="宋体"/>
                <w:color w:val="auto"/>
                <w:szCs w:val="20"/>
              </w:rPr>
            </w:pPr>
            <w:r>
              <w:rPr>
                <w:rFonts w:ascii="宋体" w:hAnsi="宋体" w:eastAsia="宋体"/>
                <w:color w:val="auto"/>
                <w:szCs w:val="20"/>
              </w:rPr>
              <w:t>1#</w:t>
            </w:r>
          </w:p>
        </w:tc>
        <w:tc>
          <w:tcPr>
            <w:tcW w:w="1271" w:type="pct"/>
            <w:shd w:val="clear" w:color="auto" w:fill="auto"/>
            <w:vAlign w:val="center"/>
          </w:tcPr>
          <w:p w14:paraId="3DD41630">
            <w:pPr>
              <w:jc w:val="center"/>
              <w:rPr>
                <w:rFonts w:ascii="宋体" w:hAnsi="宋体" w:eastAsia="宋体"/>
                <w:color w:val="auto"/>
                <w:szCs w:val="20"/>
              </w:rPr>
            </w:pPr>
            <w:r>
              <w:rPr>
                <w:rFonts w:hint="eastAsia" w:ascii="宋体" w:hAnsi="宋体" w:eastAsia="宋体"/>
                <w:color w:val="auto"/>
                <w:szCs w:val="20"/>
              </w:rPr>
              <w:t>水稻</w:t>
            </w:r>
          </w:p>
        </w:tc>
        <w:tc>
          <w:tcPr>
            <w:tcW w:w="1167" w:type="pct"/>
            <w:shd w:val="clear" w:color="auto" w:fill="auto"/>
            <w:vAlign w:val="center"/>
          </w:tcPr>
          <w:p w14:paraId="0C63F9C5">
            <w:pPr>
              <w:jc w:val="center"/>
              <w:rPr>
                <w:rFonts w:ascii="宋体" w:hAnsi="宋体" w:eastAsia="宋体"/>
                <w:color w:val="auto"/>
                <w:szCs w:val="20"/>
              </w:rPr>
            </w:pPr>
            <w:r>
              <w:rPr>
                <w:rFonts w:ascii="宋体" w:hAnsi="宋体" w:eastAsia="宋体"/>
                <w:color w:val="auto"/>
                <w:szCs w:val="20"/>
              </w:rPr>
              <w:t>125.16097950</w:t>
            </w:r>
          </w:p>
        </w:tc>
        <w:tc>
          <w:tcPr>
            <w:tcW w:w="1077" w:type="pct"/>
            <w:shd w:val="clear" w:color="auto" w:fill="auto"/>
            <w:vAlign w:val="center"/>
          </w:tcPr>
          <w:p w14:paraId="7271B53C">
            <w:pPr>
              <w:jc w:val="center"/>
              <w:rPr>
                <w:rFonts w:ascii="宋体" w:hAnsi="宋体" w:eastAsia="宋体"/>
                <w:color w:val="auto"/>
                <w:szCs w:val="20"/>
              </w:rPr>
            </w:pPr>
            <w:r>
              <w:rPr>
                <w:rFonts w:ascii="宋体" w:hAnsi="宋体" w:eastAsia="宋体"/>
                <w:color w:val="auto"/>
                <w:szCs w:val="20"/>
              </w:rPr>
              <w:t>45.57199350</w:t>
            </w:r>
          </w:p>
        </w:tc>
        <w:tc>
          <w:tcPr>
            <w:tcW w:w="781" w:type="pct"/>
            <w:shd w:val="clear" w:color="auto" w:fill="auto"/>
            <w:vAlign w:val="center"/>
          </w:tcPr>
          <w:p w14:paraId="0F42A142">
            <w:pPr>
              <w:jc w:val="center"/>
              <w:rPr>
                <w:rFonts w:ascii="宋体" w:hAnsi="宋体" w:eastAsia="宋体"/>
                <w:color w:val="auto"/>
                <w:szCs w:val="20"/>
              </w:rPr>
            </w:pPr>
            <w:r>
              <w:rPr>
                <w:rFonts w:hint="eastAsia" w:ascii="宋体" w:hAnsi="宋体" w:eastAsia="宋体"/>
                <w:color w:val="auto"/>
                <w:szCs w:val="20"/>
              </w:rPr>
              <w:t>1</w:t>
            </w:r>
            <w:r>
              <w:rPr>
                <w:rFonts w:ascii="宋体" w:hAnsi="宋体" w:eastAsia="宋体"/>
                <w:color w:val="auto"/>
                <w:szCs w:val="20"/>
              </w:rPr>
              <w:t>27</w:t>
            </w:r>
          </w:p>
        </w:tc>
      </w:tr>
      <w:tr w14:paraId="42352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04" w:type="pct"/>
            <w:shd w:val="clear" w:color="auto" w:fill="auto"/>
            <w:vAlign w:val="center"/>
          </w:tcPr>
          <w:p w14:paraId="16130D06">
            <w:pPr>
              <w:jc w:val="center"/>
              <w:rPr>
                <w:rFonts w:ascii="宋体" w:hAnsi="宋体" w:eastAsia="宋体"/>
                <w:color w:val="auto"/>
                <w:szCs w:val="20"/>
              </w:rPr>
            </w:pPr>
            <w:r>
              <w:rPr>
                <w:rFonts w:ascii="宋体" w:hAnsi="宋体" w:eastAsia="宋体"/>
                <w:color w:val="auto"/>
                <w:szCs w:val="20"/>
              </w:rPr>
              <w:t>2#</w:t>
            </w:r>
          </w:p>
        </w:tc>
        <w:tc>
          <w:tcPr>
            <w:tcW w:w="1271" w:type="pct"/>
            <w:shd w:val="clear" w:color="auto" w:fill="auto"/>
            <w:vAlign w:val="center"/>
          </w:tcPr>
          <w:p w14:paraId="73E769E1">
            <w:pPr>
              <w:jc w:val="center"/>
              <w:rPr>
                <w:rFonts w:ascii="宋体" w:hAnsi="宋体" w:eastAsia="宋体"/>
                <w:color w:val="auto"/>
                <w:szCs w:val="20"/>
              </w:rPr>
            </w:pPr>
            <w:r>
              <w:rPr>
                <w:rFonts w:hint="eastAsia" w:ascii="宋体" w:hAnsi="宋体" w:eastAsia="宋体"/>
                <w:color w:val="auto"/>
                <w:szCs w:val="20"/>
              </w:rPr>
              <w:t>水稻</w:t>
            </w:r>
          </w:p>
        </w:tc>
        <w:tc>
          <w:tcPr>
            <w:tcW w:w="1167" w:type="pct"/>
            <w:shd w:val="clear" w:color="auto" w:fill="auto"/>
            <w:vAlign w:val="center"/>
          </w:tcPr>
          <w:p w14:paraId="0FD5E09E">
            <w:pPr>
              <w:jc w:val="center"/>
              <w:rPr>
                <w:rFonts w:ascii="宋体" w:hAnsi="宋体" w:eastAsia="宋体"/>
                <w:color w:val="auto"/>
                <w:szCs w:val="20"/>
              </w:rPr>
            </w:pPr>
            <w:r>
              <w:rPr>
                <w:rFonts w:ascii="宋体" w:hAnsi="宋体" w:eastAsia="宋体"/>
                <w:color w:val="auto"/>
                <w:szCs w:val="20"/>
              </w:rPr>
              <w:t>125.16838691</w:t>
            </w:r>
          </w:p>
        </w:tc>
        <w:tc>
          <w:tcPr>
            <w:tcW w:w="1077" w:type="pct"/>
            <w:shd w:val="clear" w:color="auto" w:fill="auto"/>
            <w:vAlign w:val="center"/>
          </w:tcPr>
          <w:p w14:paraId="1B16B4E3">
            <w:pPr>
              <w:jc w:val="center"/>
              <w:rPr>
                <w:rFonts w:ascii="宋体" w:hAnsi="宋体" w:eastAsia="宋体"/>
                <w:color w:val="auto"/>
                <w:szCs w:val="20"/>
              </w:rPr>
            </w:pPr>
            <w:r>
              <w:rPr>
                <w:rFonts w:ascii="宋体" w:hAnsi="宋体" w:eastAsia="宋体"/>
                <w:color w:val="auto"/>
                <w:szCs w:val="20"/>
              </w:rPr>
              <w:t>45.56940434</w:t>
            </w:r>
          </w:p>
        </w:tc>
        <w:tc>
          <w:tcPr>
            <w:tcW w:w="781" w:type="pct"/>
            <w:shd w:val="clear" w:color="auto" w:fill="auto"/>
            <w:vAlign w:val="center"/>
          </w:tcPr>
          <w:p w14:paraId="512637BD">
            <w:pPr>
              <w:jc w:val="center"/>
              <w:rPr>
                <w:rFonts w:ascii="宋体" w:hAnsi="宋体" w:eastAsia="宋体"/>
                <w:color w:val="auto"/>
                <w:szCs w:val="20"/>
              </w:rPr>
            </w:pPr>
            <w:r>
              <w:rPr>
                <w:rFonts w:hint="eastAsia" w:ascii="宋体" w:hAnsi="宋体" w:eastAsia="宋体"/>
                <w:color w:val="auto"/>
                <w:szCs w:val="20"/>
              </w:rPr>
              <w:t>1</w:t>
            </w:r>
            <w:r>
              <w:rPr>
                <w:rFonts w:ascii="宋体" w:hAnsi="宋体" w:eastAsia="宋体"/>
                <w:color w:val="auto"/>
                <w:szCs w:val="20"/>
              </w:rPr>
              <w:t>27</w:t>
            </w:r>
          </w:p>
        </w:tc>
      </w:tr>
      <w:tr w14:paraId="1DE77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04" w:type="pct"/>
            <w:shd w:val="clear" w:color="auto" w:fill="auto"/>
            <w:vAlign w:val="center"/>
          </w:tcPr>
          <w:p w14:paraId="0D3BDF89">
            <w:pPr>
              <w:jc w:val="center"/>
              <w:rPr>
                <w:rFonts w:ascii="宋体" w:hAnsi="宋体" w:eastAsia="宋体"/>
                <w:color w:val="auto"/>
                <w:szCs w:val="20"/>
              </w:rPr>
            </w:pPr>
            <w:r>
              <w:rPr>
                <w:rFonts w:ascii="宋体" w:hAnsi="宋体" w:eastAsia="宋体"/>
                <w:color w:val="auto"/>
                <w:szCs w:val="20"/>
              </w:rPr>
              <w:t>3#</w:t>
            </w:r>
          </w:p>
        </w:tc>
        <w:tc>
          <w:tcPr>
            <w:tcW w:w="1271" w:type="pct"/>
            <w:shd w:val="clear" w:color="auto" w:fill="auto"/>
            <w:vAlign w:val="center"/>
          </w:tcPr>
          <w:p w14:paraId="4CFB4A88">
            <w:pPr>
              <w:jc w:val="center"/>
              <w:rPr>
                <w:rFonts w:ascii="宋体" w:hAnsi="宋体" w:eastAsia="宋体"/>
                <w:color w:val="auto"/>
                <w:szCs w:val="20"/>
              </w:rPr>
            </w:pPr>
            <w:r>
              <w:rPr>
                <w:rFonts w:hint="eastAsia" w:ascii="宋体" w:hAnsi="宋体" w:eastAsia="宋体"/>
                <w:color w:val="auto"/>
                <w:szCs w:val="20"/>
              </w:rPr>
              <w:t>水稻</w:t>
            </w:r>
          </w:p>
        </w:tc>
        <w:tc>
          <w:tcPr>
            <w:tcW w:w="1167" w:type="pct"/>
            <w:shd w:val="clear" w:color="auto" w:fill="auto"/>
            <w:vAlign w:val="center"/>
          </w:tcPr>
          <w:p w14:paraId="5F673359">
            <w:pPr>
              <w:jc w:val="center"/>
              <w:rPr>
                <w:rFonts w:ascii="宋体" w:hAnsi="宋体" w:eastAsia="宋体"/>
                <w:color w:val="auto"/>
                <w:szCs w:val="20"/>
              </w:rPr>
            </w:pPr>
            <w:r>
              <w:rPr>
                <w:rFonts w:ascii="宋体" w:hAnsi="宋体" w:eastAsia="宋体"/>
                <w:color w:val="auto"/>
                <w:szCs w:val="20"/>
              </w:rPr>
              <w:t>125.15155111</w:t>
            </w:r>
          </w:p>
        </w:tc>
        <w:tc>
          <w:tcPr>
            <w:tcW w:w="1077" w:type="pct"/>
            <w:shd w:val="clear" w:color="auto" w:fill="auto"/>
            <w:vAlign w:val="center"/>
          </w:tcPr>
          <w:p w14:paraId="1529C569">
            <w:pPr>
              <w:jc w:val="center"/>
              <w:rPr>
                <w:rFonts w:ascii="宋体" w:hAnsi="宋体" w:eastAsia="宋体"/>
                <w:color w:val="auto"/>
                <w:szCs w:val="20"/>
              </w:rPr>
            </w:pPr>
            <w:r>
              <w:rPr>
                <w:rFonts w:ascii="宋体" w:hAnsi="宋体" w:eastAsia="宋体"/>
                <w:color w:val="auto"/>
                <w:szCs w:val="20"/>
              </w:rPr>
              <w:t>45.53558990</w:t>
            </w:r>
          </w:p>
        </w:tc>
        <w:tc>
          <w:tcPr>
            <w:tcW w:w="781" w:type="pct"/>
            <w:shd w:val="clear" w:color="auto" w:fill="auto"/>
            <w:vAlign w:val="center"/>
          </w:tcPr>
          <w:p w14:paraId="7E870C15">
            <w:pPr>
              <w:jc w:val="center"/>
              <w:rPr>
                <w:rFonts w:ascii="宋体" w:hAnsi="宋体" w:eastAsia="宋体"/>
                <w:color w:val="auto"/>
                <w:szCs w:val="20"/>
              </w:rPr>
            </w:pPr>
            <w:r>
              <w:rPr>
                <w:rFonts w:hint="eastAsia" w:ascii="宋体" w:hAnsi="宋体" w:eastAsia="宋体"/>
                <w:color w:val="auto"/>
                <w:szCs w:val="20"/>
              </w:rPr>
              <w:t>1</w:t>
            </w:r>
            <w:r>
              <w:rPr>
                <w:rFonts w:ascii="宋体" w:hAnsi="宋体" w:eastAsia="宋体"/>
                <w:color w:val="auto"/>
                <w:szCs w:val="20"/>
              </w:rPr>
              <w:t>26</w:t>
            </w:r>
          </w:p>
        </w:tc>
      </w:tr>
      <w:tr w14:paraId="4F78E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04" w:type="pct"/>
            <w:shd w:val="clear" w:color="auto" w:fill="auto"/>
            <w:vAlign w:val="center"/>
          </w:tcPr>
          <w:p w14:paraId="52FFB60F">
            <w:pPr>
              <w:jc w:val="center"/>
              <w:rPr>
                <w:rFonts w:ascii="宋体" w:hAnsi="宋体" w:eastAsia="宋体"/>
                <w:color w:val="auto"/>
                <w:szCs w:val="20"/>
              </w:rPr>
            </w:pPr>
            <w:r>
              <w:rPr>
                <w:rFonts w:ascii="宋体" w:hAnsi="宋体" w:eastAsia="宋体"/>
                <w:color w:val="auto"/>
                <w:szCs w:val="20"/>
              </w:rPr>
              <w:t>4#</w:t>
            </w:r>
          </w:p>
        </w:tc>
        <w:tc>
          <w:tcPr>
            <w:tcW w:w="1271" w:type="pct"/>
            <w:shd w:val="clear" w:color="auto" w:fill="auto"/>
            <w:vAlign w:val="center"/>
          </w:tcPr>
          <w:p w14:paraId="36F8459A">
            <w:pPr>
              <w:jc w:val="center"/>
              <w:rPr>
                <w:rFonts w:ascii="宋体" w:hAnsi="宋体" w:eastAsia="宋体"/>
                <w:color w:val="auto"/>
                <w:szCs w:val="20"/>
              </w:rPr>
            </w:pPr>
            <w:r>
              <w:rPr>
                <w:rFonts w:hint="eastAsia" w:ascii="宋体" w:hAnsi="宋体" w:eastAsia="宋体"/>
                <w:color w:val="auto"/>
                <w:szCs w:val="20"/>
              </w:rPr>
              <w:t>杨树</w:t>
            </w:r>
          </w:p>
        </w:tc>
        <w:tc>
          <w:tcPr>
            <w:tcW w:w="1167" w:type="pct"/>
            <w:shd w:val="clear" w:color="auto" w:fill="auto"/>
            <w:vAlign w:val="center"/>
          </w:tcPr>
          <w:p w14:paraId="6D92EADA">
            <w:pPr>
              <w:jc w:val="center"/>
              <w:rPr>
                <w:rFonts w:ascii="宋体" w:hAnsi="宋体" w:eastAsia="宋体"/>
                <w:color w:val="auto"/>
                <w:szCs w:val="20"/>
              </w:rPr>
            </w:pPr>
            <w:r>
              <w:rPr>
                <w:rFonts w:ascii="宋体" w:hAnsi="宋体" w:eastAsia="宋体"/>
                <w:color w:val="auto"/>
                <w:szCs w:val="20"/>
              </w:rPr>
              <w:t>125.05628677</w:t>
            </w:r>
          </w:p>
        </w:tc>
        <w:tc>
          <w:tcPr>
            <w:tcW w:w="1077" w:type="pct"/>
            <w:shd w:val="clear" w:color="auto" w:fill="auto"/>
            <w:vAlign w:val="center"/>
          </w:tcPr>
          <w:p w14:paraId="38489918">
            <w:pPr>
              <w:jc w:val="center"/>
              <w:rPr>
                <w:rFonts w:ascii="宋体" w:hAnsi="宋体" w:eastAsia="宋体"/>
                <w:color w:val="auto"/>
                <w:szCs w:val="20"/>
              </w:rPr>
            </w:pPr>
            <w:r>
              <w:rPr>
                <w:rFonts w:ascii="宋体" w:hAnsi="宋体" w:eastAsia="宋体"/>
                <w:color w:val="auto"/>
                <w:szCs w:val="20"/>
              </w:rPr>
              <w:t>45.51741115</w:t>
            </w:r>
          </w:p>
        </w:tc>
        <w:tc>
          <w:tcPr>
            <w:tcW w:w="781" w:type="pct"/>
            <w:shd w:val="clear" w:color="auto" w:fill="auto"/>
            <w:vAlign w:val="center"/>
          </w:tcPr>
          <w:p w14:paraId="5425F6C6">
            <w:pPr>
              <w:jc w:val="center"/>
              <w:rPr>
                <w:rFonts w:ascii="宋体" w:hAnsi="宋体" w:eastAsia="宋体"/>
                <w:color w:val="auto"/>
                <w:szCs w:val="20"/>
              </w:rPr>
            </w:pPr>
            <w:r>
              <w:rPr>
                <w:rFonts w:hint="eastAsia" w:ascii="宋体" w:hAnsi="宋体" w:eastAsia="宋体"/>
                <w:color w:val="auto"/>
                <w:szCs w:val="20"/>
              </w:rPr>
              <w:t>1</w:t>
            </w:r>
            <w:r>
              <w:rPr>
                <w:rFonts w:ascii="宋体" w:hAnsi="宋体" w:eastAsia="宋体"/>
                <w:color w:val="auto"/>
                <w:szCs w:val="20"/>
              </w:rPr>
              <w:t>26</w:t>
            </w:r>
          </w:p>
        </w:tc>
      </w:tr>
      <w:tr w14:paraId="7E325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04" w:type="pct"/>
            <w:shd w:val="clear" w:color="auto" w:fill="auto"/>
            <w:vAlign w:val="center"/>
          </w:tcPr>
          <w:p w14:paraId="6C5967A4">
            <w:pPr>
              <w:jc w:val="center"/>
              <w:rPr>
                <w:rFonts w:ascii="宋体" w:hAnsi="宋体" w:eastAsia="宋体"/>
                <w:color w:val="auto"/>
                <w:szCs w:val="20"/>
              </w:rPr>
            </w:pPr>
            <w:r>
              <w:rPr>
                <w:rFonts w:ascii="宋体" w:hAnsi="宋体" w:eastAsia="宋体"/>
                <w:color w:val="auto"/>
                <w:szCs w:val="20"/>
              </w:rPr>
              <w:t>5#</w:t>
            </w:r>
          </w:p>
        </w:tc>
        <w:tc>
          <w:tcPr>
            <w:tcW w:w="1271" w:type="pct"/>
            <w:shd w:val="clear" w:color="auto" w:fill="auto"/>
            <w:vAlign w:val="center"/>
          </w:tcPr>
          <w:p w14:paraId="3CE9EBF9">
            <w:pPr>
              <w:jc w:val="center"/>
              <w:rPr>
                <w:rFonts w:ascii="宋体" w:hAnsi="宋体" w:eastAsia="宋体"/>
                <w:color w:val="auto"/>
                <w:szCs w:val="20"/>
              </w:rPr>
            </w:pPr>
            <w:r>
              <w:rPr>
                <w:rFonts w:hint="eastAsia" w:ascii="宋体" w:hAnsi="宋体" w:eastAsia="宋体"/>
                <w:color w:val="auto"/>
                <w:szCs w:val="20"/>
              </w:rPr>
              <w:t>杨树</w:t>
            </w:r>
          </w:p>
        </w:tc>
        <w:tc>
          <w:tcPr>
            <w:tcW w:w="1167" w:type="pct"/>
            <w:shd w:val="clear" w:color="auto" w:fill="auto"/>
            <w:vAlign w:val="center"/>
          </w:tcPr>
          <w:p w14:paraId="750E90C9">
            <w:pPr>
              <w:jc w:val="center"/>
              <w:rPr>
                <w:rFonts w:ascii="宋体" w:hAnsi="宋体" w:eastAsia="宋体"/>
                <w:color w:val="auto"/>
                <w:szCs w:val="20"/>
              </w:rPr>
            </w:pPr>
            <w:r>
              <w:rPr>
                <w:rFonts w:ascii="宋体" w:hAnsi="宋体" w:eastAsia="宋体"/>
                <w:color w:val="auto"/>
                <w:szCs w:val="20"/>
              </w:rPr>
              <w:t>125.15453848</w:t>
            </w:r>
          </w:p>
        </w:tc>
        <w:tc>
          <w:tcPr>
            <w:tcW w:w="1077" w:type="pct"/>
            <w:shd w:val="clear" w:color="auto" w:fill="auto"/>
            <w:vAlign w:val="center"/>
          </w:tcPr>
          <w:p w14:paraId="4AD56D59">
            <w:pPr>
              <w:jc w:val="center"/>
              <w:rPr>
                <w:rFonts w:ascii="宋体" w:hAnsi="宋体" w:eastAsia="宋体"/>
                <w:color w:val="auto"/>
                <w:szCs w:val="20"/>
              </w:rPr>
            </w:pPr>
            <w:r>
              <w:rPr>
                <w:rFonts w:ascii="宋体" w:hAnsi="宋体" w:eastAsia="宋体"/>
                <w:color w:val="auto"/>
                <w:szCs w:val="20"/>
              </w:rPr>
              <w:t>45.53489371</w:t>
            </w:r>
          </w:p>
        </w:tc>
        <w:tc>
          <w:tcPr>
            <w:tcW w:w="781" w:type="pct"/>
            <w:shd w:val="clear" w:color="auto" w:fill="auto"/>
            <w:vAlign w:val="center"/>
          </w:tcPr>
          <w:p w14:paraId="78D0D2C2">
            <w:pPr>
              <w:jc w:val="center"/>
              <w:rPr>
                <w:rFonts w:ascii="宋体" w:hAnsi="宋体" w:eastAsia="宋体"/>
                <w:color w:val="auto"/>
                <w:szCs w:val="20"/>
              </w:rPr>
            </w:pPr>
            <w:r>
              <w:rPr>
                <w:rFonts w:hint="eastAsia" w:ascii="宋体" w:hAnsi="宋体" w:eastAsia="宋体"/>
                <w:color w:val="auto"/>
                <w:szCs w:val="20"/>
              </w:rPr>
              <w:t>1</w:t>
            </w:r>
            <w:r>
              <w:rPr>
                <w:rFonts w:ascii="宋体" w:hAnsi="宋体" w:eastAsia="宋体"/>
                <w:color w:val="auto"/>
                <w:szCs w:val="20"/>
              </w:rPr>
              <w:t>25</w:t>
            </w:r>
          </w:p>
        </w:tc>
      </w:tr>
      <w:tr w14:paraId="75B56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04" w:type="pct"/>
            <w:shd w:val="clear" w:color="auto" w:fill="auto"/>
            <w:vAlign w:val="center"/>
          </w:tcPr>
          <w:p w14:paraId="6D50EE93">
            <w:pPr>
              <w:jc w:val="center"/>
              <w:rPr>
                <w:rFonts w:ascii="宋体" w:hAnsi="宋体" w:eastAsia="宋体"/>
                <w:color w:val="auto"/>
                <w:szCs w:val="20"/>
              </w:rPr>
            </w:pPr>
            <w:r>
              <w:rPr>
                <w:rFonts w:ascii="宋体" w:hAnsi="宋体" w:eastAsia="宋体"/>
                <w:color w:val="auto"/>
                <w:szCs w:val="20"/>
              </w:rPr>
              <w:t>6#</w:t>
            </w:r>
          </w:p>
        </w:tc>
        <w:tc>
          <w:tcPr>
            <w:tcW w:w="1271" w:type="pct"/>
            <w:shd w:val="clear" w:color="auto" w:fill="auto"/>
            <w:vAlign w:val="center"/>
          </w:tcPr>
          <w:p w14:paraId="54DD633B">
            <w:pPr>
              <w:jc w:val="center"/>
              <w:rPr>
                <w:rFonts w:ascii="宋体" w:hAnsi="宋体" w:eastAsia="宋体"/>
                <w:color w:val="auto"/>
                <w:szCs w:val="20"/>
              </w:rPr>
            </w:pPr>
            <w:r>
              <w:rPr>
                <w:rFonts w:hint="eastAsia" w:ascii="宋体" w:hAnsi="宋体" w:eastAsia="宋体"/>
                <w:color w:val="auto"/>
                <w:szCs w:val="20"/>
              </w:rPr>
              <w:t>杨树</w:t>
            </w:r>
          </w:p>
        </w:tc>
        <w:tc>
          <w:tcPr>
            <w:tcW w:w="1167" w:type="pct"/>
            <w:shd w:val="clear" w:color="auto" w:fill="auto"/>
            <w:vAlign w:val="center"/>
          </w:tcPr>
          <w:p w14:paraId="4C34A294">
            <w:pPr>
              <w:jc w:val="center"/>
              <w:rPr>
                <w:rFonts w:ascii="宋体" w:hAnsi="宋体" w:eastAsia="宋体"/>
                <w:color w:val="auto"/>
                <w:szCs w:val="20"/>
              </w:rPr>
            </w:pPr>
            <w:r>
              <w:rPr>
                <w:rFonts w:ascii="宋体" w:hAnsi="宋体" w:eastAsia="宋体"/>
                <w:color w:val="auto"/>
                <w:szCs w:val="20"/>
              </w:rPr>
              <w:t>125.17973204</w:t>
            </w:r>
          </w:p>
        </w:tc>
        <w:tc>
          <w:tcPr>
            <w:tcW w:w="1077" w:type="pct"/>
            <w:shd w:val="clear" w:color="auto" w:fill="auto"/>
            <w:vAlign w:val="center"/>
          </w:tcPr>
          <w:p w14:paraId="1A4DE0EF">
            <w:pPr>
              <w:jc w:val="center"/>
              <w:rPr>
                <w:rFonts w:ascii="宋体" w:hAnsi="宋体" w:eastAsia="宋体"/>
                <w:color w:val="auto"/>
                <w:szCs w:val="20"/>
              </w:rPr>
            </w:pPr>
            <w:r>
              <w:rPr>
                <w:rFonts w:ascii="宋体" w:hAnsi="宋体" w:eastAsia="宋体"/>
                <w:color w:val="auto"/>
                <w:szCs w:val="20"/>
              </w:rPr>
              <w:t>45.56360771</w:t>
            </w:r>
          </w:p>
        </w:tc>
        <w:tc>
          <w:tcPr>
            <w:tcW w:w="781" w:type="pct"/>
            <w:shd w:val="clear" w:color="auto" w:fill="auto"/>
            <w:vAlign w:val="center"/>
          </w:tcPr>
          <w:p w14:paraId="38BAEA25">
            <w:pPr>
              <w:jc w:val="center"/>
              <w:rPr>
                <w:rFonts w:ascii="宋体" w:hAnsi="宋体" w:eastAsia="宋体"/>
                <w:color w:val="auto"/>
                <w:szCs w:val="20"/>
              </w:rPr>
            </w:pPr>
            <w:r>
              <w:rPr>
                <w:rFonts w:hint="eastAsia" w:ascii="宋体" w:hAnsi="宋体" w:eastAsia="宋体"/>
                <w:color w:val="auto"/>
                <w:szCs w:val="20"/>
              </w:rPr>
              <w:t>1</w:t>
            </w:r>
            <w:r>
              <w:rPr>
                <w:rFonts w:ascii="宋体" w:hAnsi="宋体" w:eastAsia="宋体"/>
                <w:color w:val="auto"/>
                <w:szCs w:val="20"/>
              </w:rPr>
              <w:t>26</w:t>
            </w:r>
          </w:p>
        </w:tc>
      </w:tr>
      <w:tr w14:paraId="0EA03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04" w:type="pct"/>
            <w:shd w:val="clear" w:color="auto" w:fill="auto"/>
            <w:vAlign w:val="center"/>
          </w:tcPr>
          <w:p w14:paraId="4B05E9CD">
            <w:pPr>
              <w:jc w:val="center"/>
              <w:rPr>
                <w:rFonts w:ascii="宋体" w:hAnsi="宋体" w:eastAsia="宋体"/>
                <w:color w:val="auto"/>
                <w:szCs w:val="20"/>
              </w:rPr>
            </w:pPr>
            <w:r>
              <w:rPr>
                <w:rFonts w:ascii="宋体" w:hAnsi="宋体" w:eastAsia="宋体"/>
                <w:color w:val="auto"/>
                <w:szCs w:val="20"/>
              </w:rPr>
              <w:t>7#</w:t>
            </w:r>
          </w:p>
        </w:tc>
        <w:tc>
          <w:tcPr>
            <w:tcW w:w="1271" w:type="pct"/>
            <w:shd w:val="clear" w:color="auto" w:fill="auto"/>
            <w:vAlign w:val="center"/>
          </w:tcPr>
          <w:p w14:paraId="3CE748FF">
            <w:pPr>
              <w:jc w:val="center"/>
              <w:rPr>
                <w:rFonts w:ascii="宋体" w:hAnsi="宋体" w:eastAsia="宋体"/>
                <w:color w:val="auto"/>
                <w:szCs w:val="20"/>
              </w:rPr>
            </w:pPr>
            <w:r>
              <w:rPr>
                <w:rFonts w:hint="eastAsia" w:ascii="宋体" w:hAnsi="宋体" w:eastAsia="宋体"/>
                <w:color w:val="auto"/>
                <w:szCs w:val="20"/>
              </w:rPr>
              <w:t>芦苇草甸</w:t>
            </w:r>
          </w:p>
        </w:tc>
        <w:tc>
          <w:tcPr>
            <w:tcW w:w="1167" w:type="pct"/>
            <w:shd w:val="clear" w:color="auto" w:fill="auto"/>
            <w:vAlign w:val="center"/>
          </w:tcPr>
          <w:p w14:paraId="0FE82B37">
            <w:pPr>
              <w:jc w:val="center"/>
              <w:rPr>
                <w:rFonts w:ascii="宋体" w:hAnsi="宋体" w:eastAsia="宋体"/>
                <w:color w:val="auto"/>
                <w:szCs w:val="20"/>
              </w:rPr>
            </w:pPr>
            <w:r>
              <w:rPr>
                <w:rFonts w:ascii="宋体" w:hAnsi="宋体" w:eastAsia="宋体"/>
                <w:color w:val="auto"/>
                <w:szCs w:val="20"/>
              </w:rPr>
              <w:t>125.05236804</w:t>
            </w:r>
          </w:p>
        </w:tc>
        <w:tc>
          <w:tcPr>
            <w:tcW w:w="1077" w:type="pct"/>
            <w:shd w:val="clear" w:color="auto" w:fill="auto"/>
            <w:vAlign w:val="center"/>
          </w:tcPr>
          <w:p w14:paraId="58CEA8E2">
            <w:pPr>
              <w:jc w:val="center"/>
              <w:rPr>
                <w:rFonts w:ascii="宋体" w:hAnsi="宋体" w:eastAsia="宋体"/>
                <w:color w:val="auto"/>
                <w:szCs w:val="20"/>
              </w:rPr>
            </w:pPr>
            <w:r>
              <w:rPr>
                <w:rFonts w:ascii="宋体" w:hAnsi="宋体" w:eastAsia="宋体"/>
                <w:color w:val="auto"/>
                <w:szCs w:val="20"/>
              </w:rPr>
              <w:t>45.51515859</w:t>
            </w:r>
          </w:p>
        </w:tc>
        <w:tc>
          <w:tcPr>
            <w:tcW w:w="781" w:type="pct"/>
            <w:shd w:val="clear" w:color="auto" w:fill="auto"/>
            <w:vAlign w:val="center"/>
          </w:tcPr>
          <w:p w14:paraId="0B31C005">
            <w:pPr>
              <w:jc w:val="center"/>
              <w:rPr>
                <w:rFonts w:ascii="宋体" w:hAnsi="宋体" w:eastAsia="宋体"/>
                <w:color w:val="auto"/>
                <w:szCs w:val="20"/>
              </w:rPr>
            </w:pPr>
            <w:r>
              <w:rPr>
                <w:rFonts w:hint="eastAsia" w:ascii="宋体" w:hAnsi="宋体" w:eastAsia="宋体"/>
                <w:color w:val="auto"/>
                <w:szCs w:val="20"/>
              </w:rPr>
              <w:t>1</w:t>
            </w:r>
            <w:r>
              <w:rPr>
                <w:rFonts w:ascii="宋体" w:hAnsi="宋体" w:eastAsia="宋体"/>
                <w:color w:val="auto"/>
                <w:szCs w:val="20"/>
              </w:rPr>
              <w:t>27</w:t>
            </w:r>
          </w:p>
        </w:tc>
      </w:tr>
      <w:tr w14:paraId="7BCFF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04" w:type="pct"/>
            <w:shd w:val="clear" w:color="auto" w:fill="auto"/>
            <w:vAlign w:val="center"/>
          </w:tcPr>
          <w:p w14:paraId="32AE97FD">
            <w:pPr>
              <w:jc w:val="center"/>
              <w:rPr>
                <w:rFonts w:ascii="宋体" w:hAnsi="宋体" w:eastAsia="宋体"/>
                <w:color w:val="auto"/>
                <w:szCs w:val="20"/>
              </w:rPr>
            </w:pPr>
            <w:r>
              <w:rPr>
                <w:rFonts w:ascii="宋体" w:hAnsi="宋体" w:eastAsia="宋体"/>
                <w:color w:val="auto"/>
                <w:szCs w:val="20"/>
              </w:rPr>
              <w:t>8#</w:t>
            </w:r>
          </w:p>
        </w:tc>
        <w:tc>
          <w:tcPr>
            <w:tcW w:w="1271" w:type="pct"/>
            <w:shd w:val="clear" w:color="auto" w:fill="auto"/>
            <w:vAlign w:val="center"/>
          </w:tcPr>
          <w:p w14:paraId="6F099382">
            <w:pPr>
              <w:jc w:val="center"/>
              <w:rPr>
                <w:rFonts w:ascii="宋体" w:hAnsi="宋体" w:eastAsia="宋体"/>
                <w:color w:val="auto"/>
                <w:szCs w:val="20"/>
              </w:rPr>
            </w:pPr>
            <w:r>
              <w:rPr>
                <w:rFonts w:hint="eastAsia" w:ascii="宋体" w:hAnsi="宋体" w:eastAsia="宋体"/>
                <w:color w:val="auto"/>
                <w:szCs w:val="20"/>
              </w:rPr>
              <w:t>芦苇草甸</w:t>
            </w:r>
          </w:p>
        </w:tc>
        <w:tc>
          <w:tcPr>
            <w:tcW w:w="1167" w:type="pct"/>
            <w:shd w:val="clear" w:color="auto" w:fill="auto"/>
            <w:vAlign w:val="center"/>
          </w:tcPr>
          <w:p w14:paraId="5D6CD0D2">
            <w:pPr>
              <w:jc w:val="center"/>
              <w:rPr>
                <w:rFonts w:ascii="宋体" w:hAnsi="宋体" w:eastAsia="宋体"/>
                <w:color w:val="auto"/>
                <w:szCs w:val="20"/>
              </w:rPr>
            </w:pPr>
            <w:r>
              <w:rPr>
                <w:rFonts w:ascii="宋体" w:hAnsi="宋体" w:eastAsia="宋体"/>
                <w:color w:val="auto"/>
                <w:szCs w:val="20"/>
              </w:rPr>
              <w:t>125.16400936</w:t>
            </w:r>
          </w:p>
        </w:tc>
        <w:tc>
          <w:tcPr>
            <w:tcW w:w="1077" w:type="pct"/>
            <w:shd w:val="clear" w:color="auto" w:fill="auto"/>
            <w:vAlign w:val="center"/>
          </w:tcPr>
          <w:p w14:paraId="3293E607">
            <w:pPr>
              <w:jc w:val="center"/>
              <w:rPr>
                <w:rFonts w:ascii="宋体" w:hAnsi="宋体" w:eastAsia="宋体"/>
                <w:color w:val="auto"/>
                <w:szCs w:val="20"/>
              </w:rPr>
            </w:pPr>
            <w:r>
              <w:rPr>
                <w:rFonts w:ascii="宋体" w:hAnsi="宋体" w:eastAsia="宋体"/>
                <w:color w:val="auto"/>
                <w:szCs w:val="20"/>
              </w:rPr>
              <w:t>45.57334363</w:t>
            </w:r>
          </w:p>
        </w:tc>
        <w:tc>
          <w:tcPr>
            <w:tcW w:w="781" w:type="pct"/>
            <w:shd w:val="clear" w:color="auto" w:fill="auto"/>
            <w:vAlign w:val="center"/>
          </w:tcPr>
          <w:p w14:paraId="6EEC56EF">
            <w:pPr>
              <w:jc w:val="center"/>
              <w:rPr>
                <w:rFonts w:ascii="宋体" w:hAnsi="宋体" w:eastAsia="宋体"/>
                <w:color w:val="auto"/>
                <w:szCs w:val="20"/>
              </w:rPr>
            </w:pPr>
            <w:r>
              <w:rPr>
                <w:rFonts w:hint="eastAsia" w:ascii="宋体" w:hAnsi="宋体" w:eastAsia="宋体"/>
                <w:color w:val="auto"/>
                <w:szCs w:val="20"/>
              </w:rPr>
              <w:t>1</w:t>
            </w:r>
            <w:r>
              <w:rPr>
                <w:rFonts w:ascii="宋体" w:hAnsi="宋体" w:eastAsia="宋体"/>
                <w:color w:val="auto"/>
                <w:szCs w:val="20"/>
              </w:rPr>
              <w:t>26</w:t>
            </w:r>
          </w:p>
        </w:tc>
      </w:tr>
      <w:tr w14:paraId="6582F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04" w:type="pct"/>
            <w:shd w:val="clear" w:color="auto" w:fill="auto"/>
            <w:vAlign w:val="center"/>
          </w:tcPr>
          <w:p w14:paraId="746DB8DC">
            <w:pPr>
              <w:jc w:val="center"/>
              <w:rPr>
                <w:rFonts w:ascii="宋体" w:hAnsi="宋体" w:eastAsia="宋体"/>
                <w:color w:val="auto"/>
                <w:szCs w:val="20"/>
              </w:rPr>
            </w:pPr>
            <w:r>
              <w:rPr>
                <w:rFonts w:ascii="宋体" w:hAnsi="宋体" w:eastAsia="宋体"/>
                <w:color w:val="auto"/>
                <w:szCs w:val="20"/>
              </w:rPr>
              <w:t>9#</w:t>
            </w:r>
          </w:p>
        </w:tc>
        <w:tc>
          <w:tcPr>
            <w:tcW w:w="1271" w:type="pct"/>
            <w:shd w:val="clear" w:color="auto" w:fill="auto"/>
            <w:vAlign w:val="center"/>
          </w:tcPr>
          <w:p w14:paraId="3059D1C6">
            <w:pPr>
              <w:jc w:val="center"/>
              <w:rPr>
                <w:rFonts w:ascii="宋体" w:hAnsi="宋体" w:eastAsia="宋体"/>
                <w:color w:val="auto"/>
                <w:szCs w:val="20"/>
              </w:rPr>
            </w:pPr>
            <w:r>
              <w:rPr>
                <w:rFonts w:hint="eastAsia" w:ascii="宋体" w:hAnsi="宋体" w:eastAsia="宋体"/>
                <w:color w:val="auto"/>
                <w:szCs w:val="20"/>
              </w:rPr>
              <w:t>芦苇草甸</w:t>
            </w:r>
          </w:p>
        </w:tc>
        <w:tc>
          <w:tcPr>
            <w:tcW w:w="1167" w:type="pct"/>
            <w:shd w:val="clear" w:color="auto" w:fill="auto"/>
            <w:vAlign w:val="center"/>
          </w:tcPr>
          <w:p w14:paraId="00D16A88">
            <w:pPr>
              <w:jc w:val="center"/>
              <w:rPr>
                <w:rFonts w:ascii="宋体" w:hAnsi="宋体" w:eastAsia="宋体"/>
                <w:color w:val="auto"/>
                <w:szCs w:val="20"/>
              </w:rPr>
            </w:pPr>
            <w:r>
              <w:rPr>
                <w:rFonts w:ascii="宋体" w:hAnsi="宋体" w:eastAsia="宋体"/>
                <w:color w:val="auto"/>
                <w:szCs w:val="20"/>
              </w:rPr>
              <w:t>125.15043755</w:t>
            </w:r>
          </w:p>
        </w:tc>
        <w:tc>
          <w:tcPr>
            <w:tcW w:w="1077" w:type="pct"/>
            <w:shd w:val="clear" w:color="auto" w:fill="auto"/>
            <w:vAlign w:val="center"/>
          </w:tcPr>
          <w:p w14:paraId="7CF08F76">
            <w:pPr>
              <w:jc w:val="center"/>
              <w:rPr>
                <w:rFonts w:ascii="宋体" w:hAnsi="宋体" w:eastAsia="宋体"/>
                <w:color w:val="auto"/>
                <w:szCs w:val="20"/>
              </w:rPr>
            </w:pPr>
            <w:r>
              <w:rPr>
                <w:rFonts w:ascii="宋体" w:hAnsi="宋体" w:eastAsia="宋体"/>
                <w:color w:val="auto"/>
                <w:szCs w:val="20"/>
              </w:rPr>
              <w:t>45.53635815</w:t>
            </w:r>
          </w:p>
        </w:tc>
        <w:tc>
          <w:tcPr>
            <w:tcW w:w="781" w:type="pct"/>
            <w:shd w:val="clear" w:color="auto" w:fill="auto"/>
            <w:vAlign w:val="center"/>
          </w:tcPr>
          <w:p w14:paraId="33BC9A94">
            <w:pPr>
              <w:jc w:val="center"/>
              <w:rPr>
                <w:rFonts w:ascii="宋体" w:hAnsi="宋体" w:eastAsia="宋体"/>
                <w:color w:val="auto"/>
                <w:szCs w:val="20"/>
              </w:rPr>
            </w:pPr>
            <w:r>
              <w:rPr>
                <w:rFonts w:hint="eastAsia" w:ascii="宋体" w:hAnsi="宋体" w:eastAsia="宋体"/>
                <w:color w:val="auto"/>
                <w:szCs w:val="20"/>
              </w:rPr>
              <w:t>1</w:t>
            </w:r>
            <w:r>
              <w:rPr>
                <w:rFonts w:ascii="宋体" w:hAnsi="宋体" w:eastAsia="宋体"/>
                <w:color w:val="auto"/>
                <w:szCs w:val="20"/>
              </w:rPr>
              <w:t>26</w:t>
            </w:r>
          </w:p>
        </w:tc>
      </w:tr>
    </w:tbl>
    <w:p w14:paraId="6C4145E4">
      <w:pPr>
        <w:spacing w:line="440" w:lineRule="exact"/>
        <w:ind w:firstLine="420" w:firstLineChars="200"/>
        <w:jc w:val="center"/>
        <w:rPr>
          <w:rFonts w:ascii="宋体" w:hAnsi="宋体" w:eastAsia="宋体" w:cs="Times New Roman"/>
          <w:color w:val="auto"/>
        </w:rPr>
      </w:pPr>
    </w:p>
    <w:p w14:paraId="3B08AD24">
      <w:pPr>
        <w:spacing w:line="440" w:lineRule="exact"/>
        <w:ind w:firstLine="420" w:firstLineChars="200"/>
        <w:jc w:val="center"/>
        <w:rPr>
          <w:rFonts w:ascii="宋体" w:hAnsi="宋体" w:eastAsia="宋体" w:cs="Times New Roman"/>
          <w:color w:val="auto"/>
        </w:rPr>
      </w:pPr>
      <w:r>
        <w:rPr>
          <w:rFonts w:hint="eastAsia" w:ascii="宋体" w:hAnsi="宋体" w:eastAsia="宋体" w:cs="Times New Roman"/>
          <w:color w:val="auto"/>
        </w:rPr>
        <w:t xml:space="preserve">表 </w:t>
      </w:r>
      <w:r>
        <w:rPr>
          <w:rFonts w:ascii="宋体" w:hAnsi="宋体" w:eastAsia="宋体" w:cs="Times New Roman"/>
          <w:color w:val="auto"/>
        </w:rPr>
        <w:t>4.4-8 1</w:t>
      </w:r>
      <w:r>
        <w:rPr>
          <w:rFonts w:hint="eastAsia" w:ascii="宋体" w:hAnsi="宋体" w:eastAsia="宋体" w:cs="Times New Roman"/>
          <w:color w:val="auto"/>
        </w:rPr>
        <w:t>#点</w:t>
      </w:r>
      <w:r>
        <w:rPr>
          <w:rFonts w:ascii="宋体" w:hAnsi="宋体" w:eastAsia="宋体" w:cs="Times New Roman"/>
          <w:color w:val="auto"/>
        </w:rPr>
        <w:t>样方调查结果表</w:t>
      </w:r>
    </w:p>
    <w:tbl>
      <w:tblPr>
        <w:tblStyle w:val="17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26"/>
        <w:gridCol w:w="1476"/>
        <w:gridCol w:w="790"/>
        <w:gridCol w:w="2203"/>
        <w:gridCol w:w="1228"/>
        <w:gridCol w:w="1530"/>
        <w:gridCol w:w="697"/>
        <w:gridCol w:w="937"/>
      </w:tblGrid>
      <w:tr w14:paraId="50504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56E71B70">
            <w:pPr>
              <w:jc w:val="center"/>
              <w:rPr>
                <w:rFonts w:ascii="宋体" w:hAnsi="宋体" w:eastAsia="宋体" w:cs="Times New Roman"/>
                <w:color w:val="auto"/>
              </w:rPr>
            </w:pPr>
            <w:r>
              <w:rPr>
                <w:rFonts w:hint="eastAsia" w:ascii="宋体" w:hAnsi="宋体" w:eastAsia="宋体" w:cs="Times New Roman"/>
                <w:color w:val="auto"/>
                <w:spacing w:val="-2"/>
              </w:rPr>
              <w:t>编号</w:t>
            </w:r>
          </w:p>
        </w:tc>
        <w:tc>
          <w:tcPr>
            <w:tcW w:w="698" w:type="pct"/>
            <w:shd w:val="clear" w:color="auto" w:fill="auto"/>
            <w:vAlign w:val="center"/>
          </w:tcPr>
          <w:p w14:paraId="7B147DF6">
            <w:pPr>
              <w:jc w:val="center"/>
              <w:rPr>
                <w:rFonts w:ascii="宋体" w:hAnsi="宋体" w:eastAsia="宋体" w:cs="Times New Roman"/>
                <w:color w:val="auto"/>
              </w:rPr>
            </w:pPr>
            <w:r>
              <w:rPr>
                <w:rFonts w:ascii="宋体" w:hAnsi="宋体" w:eastAsia="宋体" w:cs="Times New Roman"/>
                <w:color w:val="auto"/>
              </w:rPr>
              <w:t>1</w:t>
            </w:r>
          </w:p>
        </w:tc>
        <w:tc>
          <w:tcPr>
            <w:tcW w:w="440" w:type="pct"/>
            <w:shd w:val="clear" w:color="auto" w:fill="auto"/>
            <w:vAlign w:val="center"/>
          </w:tcPr>
          <w:p w14:paraId="5C31443F">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rPr>
              <w:t>人</w:t>
            </w:r>
          </w:p>
        </w:tc>
        <w:tc>
          <w:tcPr>
            <w:tcW w:w="1200" w:type="pct"/>
            <w:shd w:val="clear" w:color="auto" w:fill="auto"/>
            <w:vAlign w:val="center"/>
          </w:tcPr>
          <w:p w14:paraId="691404B8">
            <w:pPr>
              <w:jc w:val="center"/>
              <w:rPr>
                <w:rFonts w:ascii="宋体" w:hAnsi="宋体" w:eastAsia="宋体" w:cs="Times New Roman"/>
                <w:color w:val="auto"/>
              </w:rPr>
            </w:pPr>
            <w:r>
              <w:rPr>
                <w:rFonts w:hint="eastAsia" w:ascii="宋体" w:hAnsi="宋体" w:eastAsia="宋体" w:cs="Times New Roman"/>
                <w:color w:val="auto"/>
              </w:rPr>
              <w:t>聂海军、袁超</w:t>
            </w:r>
          </w:p>
        </w:tc>
        <w:tc>
          <w:tcPr>
            <w:tcW w:w="675" w:type="pct"/>
            <w:shd w:val="clear" w:color="auto" w:fill="auto"/>
            <w:vAlign w:val="center"/>
          </w:tcPr>
          <w:p w14:paraId="4005ECE5">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spacing w:val="-22"/>
              </w:rPr>
              <w:t>日 期</w:t>
            </w:r>
          </w:p>
        </w:tc>
        <w:tc>
          <w:tcPr>
            <w:tcW w:w="837" w:type="pct"/>
            <w:shd w:val="clear" w:color="auto" w:fill="auto"/>
            <w:vAlign w:val="center"/>
          </w:tcPr>
          <w:p w14:paraId="3E5DF62B">
            <w:pPr>
              <w:jc w:val="center"/>
              <w:rPr>
                <w:rFonts w:ascii="宋体" w:hAnsi="宋体" w:eastAsia="宋体" w:cs="Times New Roman"/>
                <w:color w:val="auto"/>
              </w:rPr>
            </w:pPr>
            <w:r>
              <w:rPr>
                <w:rFonts w:hint="eastAsia" w:ascii="宋体" w:hAnsi="宋体" w:eastAsia="宋体" w:cs="Times New Roman"/>
                <w:color w:val="auto"/>
                <w:spacing w:val="-1"/>
              </w:rPr>
              <w:t>202</w:t>
            </w:r>
            <w:r>
              <w:rPr>
                <w:rFonts w:ascii="宋体" w:hAnsi="宋体" w:eastAsia="宋体" w:cs="Times New Roman"/>
                <w:color w:val="auto"/>
                <w:spacing w:val="-1"/>
              </w:rPr>
              <w:t>5</w:t>
            </w:r>
            <w:r>
              <w:rPr>
                <w:rFonts w:hint="eastAsia" w:ascii="宋体" w:hAnsi="宋体" w:eastAsia="宋体" w:cs="Times New Roman"/>
                <w:color w:val="auto"/>
                <w:spacing w:val="-1"/>
              </w:rPr>
              <w:t>/</w:t>
            </w:r>
            <w:r>
              <w:rPr>
                <w:rFonts w:ascii="宋体" w:hAnsi="宋体" w:eastAsia="宋体" w:cs="Times New Roman"/>
                <w:color w:val="auto"/>
                <w:spacing w:val="-1"/>
              </w:rPr>
              <w:t>10</w:t>
            </w:r>
            <w:r>
              <w:rPr>
                <w:rFonts w:hint="eastAsia" w:ascii="宋体" w:hAnsi="宋体" w:eastAsia="宋体" w:cs="Times New Roman"/>
                <w:color w:val="auto"/>
                <w:spacing w:val="-1"/>
              </w:rPr>
              <w:t>/</w:t>
            </w:r>
            <w:r>
              <w:rPr>
                <w:rFonts w:ascii="宋体" w:hAnsi="宋体" w:eastAsia="宋体" w:cs="Times New Roman"/>
                <w:color w:val="auto"/>
                <w:spacing w:val="-1"/>
              </w:rPr>
              <w:t>10</w:t>
            </w:r>
          </w:p>
        </w:tc>
        <w:tc>
          <w:tcPr>
            <w:tcW w:w="376" w:type="pct"/>
            <w:shd w:val="clear" w:color="auto" w:fill="auto"/>
            <w:vAlign w:val="center"/>
          </w:tcPr>
          <w:p w14:paraId="35B99575">
            <w:pPr>
              <w:jc w:val="center"/>
              <w:rPr>
                <w:rFonts w:ascii="宋体" w:hAnsi="宋体" w:eastAsia="宋体" w:cs="Times New Roman"/>
                <w:color w:val="auto"/>
              </w:rPr>
            </w:pPr>
            <w:r>
              <w:rPr>
                <w:rFonts w:hint="eastAsia" w:ascii="宋体" w:hAnsi="宋体" w:eastAsia="宋体" w:cs="Times New Roman"/>
                <w:color w:val="auto"/>
                <w:spacing w:val="-3"/>
              </w:rPr>
              <w:t>样方尺寸</w:t>
            </w:r>
          </w:p>
        </w:tc>
        <w:tc>
          <w:tcPr>
            <w:tcW w:w="532" w:type="pct"/>
            <w:shd w:val="clear" w:color="auto" w:fill="auto"/>
            <w:vAlign w:val="center"/>
          </w:tcPr>
          <w:p w14:paraId="2BA76812">
            <w:pPr>
              <w:jc w:val="center"/>
              <w:rPr>
                <w:rFonts w:ascii="宋体" w:hAnsi="宋体" w:eastAsia="宋体" w:cs="Times New Roman"/>
                <w:color w:val="auto"/>
              </w:rPr>
            </w:pPr>
            <w:r>
              <w:rPr>
                <w:rFonts w:hint="eastAsia" w:ascii="宋体" w:hAnsi="宋体" w:eastAsia="宋体" w:cs="Times New Roman"/>
                <w:color w:val="auto"/>
                <w:spacing w:val="-6"/>
              </w:rPr>
              <w:t>1m×</w:t>
            </w:r>
            <w:r>
              <w:rPr>
                <w:rFonts w:hint="eastAsia" w:ascii="宋体" w:hAnsi="宋体" w:eastAsia="宋体" w:cs="Times New Roman"/>
                <w:color w:val="auto"/>
                <w:spacing w:val="-8"/>
              </w:rPr>
              <w:t>1m</w:t>
            </w:r>
          </w:p>
        </w:tc>
      </w:tr>
      <w:tr w14:paraId="708E7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32DC14C4">
            <w:pPr>
              <w:jc w:val="center"/>
              <w:rPr>
                <w:rFonts w:ascii="宋体" w:hAnsi="宋体" w:eastAsia="宋体" w:cs="Times New Roman"/>
                <w:color w:val="auto"/>
              </w:rPr>
            </w:pPr>
            <w:r>
              <w:rPr>
                <w:rFonts w:hint="eastAsia" w:ascii="宋体" w:hAnsi="宋体" w:eastAsia="宋体" w:cs="Times New Roman"/>
                <w:color w:val="auto"/>
                <w:spacing w:val="-2"/>
              </w:rPr>
              <w:t>经度</w:t>
            </w:r>
          </w:p>
        </w:tc>
        <w:tc>
          <w:tcPr>
            <w:tcW w:w="698" w:type="pct"/>
            <w:shd w:val="clear" w:color="auto" w:fill="auto"/>
            <w:vAlign w:val="center"/>
          </w:tcPr>
          <w:p w14:paraId="40158283">
            <w:pPr>
              <w:jc w:val="center"/>
              <w:rPr>
                <w:rFonts w:ascii="宋体" w:hAnsi="宋体" w:eastAsia="宋体" w:cs="Times New Roman"/>
                <w:color w:val="auto"/>
              </w:rPr>
            </w:pPr>
            <w:r>
              <w:rPr>
                <w:rFonts w:ascii="宋体" w:hAnsi="宋体" w:eastAsia="宋体" w:cs="Times New Roman"/>
                <w:color w:val="auto"/>
              </w:rPr>
              <w:t>125.16097950</w:t>
            </w:r>
          </w:p>
        </w:tc>
        <w:tc>
          <w:tcPr>
            <w:tcW w:w="440" w:type="pct"/>
            <w:shd w:val="clear" w:color="auto" w:fill="auto"/>
            <w:vAlign w:val="center"/>
          </w:tcPr>
          <w:p w14:paraId="143CB73B">
            <w:pPr>
              <w:jc w:val="center"/>
              <w:rPr>
                <w:rFonts w:ascii="宋体" w:hAnsi="宋体" w:eastAsia="宋体" w:cs="Times New Roman"/>
                <w:color w:val="auto"/>
              </w:rPr>
            </w:pPr>
            <w:r>
              <w:rPr>
                <w:rFonts w:hint="eastAsia" w:ascii="宋体" w:hAnsi="宋体" w:eastAsia="宋体" w:cs="Times New Roman"/>
                <w:color w:val="auto"/>
                <w:spacing w:val="-2"/>
              </w:rPr>
              <w:t>纬度</w:t>
            </w:r>
          </w:p>
        </w:tc>
        <w:tc>
          <w:tcPr>
            <w:tcW w:w="1200" w:type="pct"/>
            <w:shd w:val="clear" w:color="auto" w:fill="auto"/>
            <w:vAlign w:val="center"/>
          </w:tcPr>
          <w:p w14:paraId="784E0B87">
            <w:pPr>
              <w:jc w:val="center"/>
              <w:rPr>
                <w:rFonts w:ascii="宋体" w:hAnsi="宋体" w:eastAsia="宋体" w:cs="Times New Roman"/>
                <w:color w:val="auto"/>
              </w:rPr>
            </w:pPr>
            <w:r>
              <w:rPr>
                <w:rFonts w:ascii="宋体" w:hAnsi="宋体" w:eastAsia="宋体" w:cs="Times New Roman"/>
                <w:color w:val="auto"/>
              </w:rPr>
              <w:t>45.57199350</w:t>
            </w:r>
          </w:p>
        </w:tc>
        <w:tc>
          <w:tcPr>
            <w:tcW w:w="675" w:type="pct"/>
            <w:shd w:val="clear" w:color="auto" w:fill="auto"/>
            <w:vAlign w:val="center"/>
          </w:tcPr>
          <w:p w14:paraId="651D239D">
            <w:pPr>
              <w:jc w:val="center"/>
              <w:rPr>
                <w:rFonts w:ascii="宋体" w:hAnsi="宋体" w:eastAsia="宋体" w:cs="Times New Roman"/>
                <w:color w:val="auto"/>
              </w:rPr>
            </w:pPr>
            <w:r>
              <w:rPr>
                <w:rFonts w:hint="eastAsia" w:ascii="宋体" w:hAnsi="宋体" w:eastAsia="宋体" w:cs="Times New Roman"/>
                <w:color w:val="auto"/>
                <w:spacing w:val="-3"/>
              </w:rPr>
              <w:t>海拔</w:t>
            </w:r>
            <w:r>
              <w:rPr>
                <w:rFonts w:hint="eastAsia" w:ascii="宋体" w:hAnsi="宋体" w:eastAsia="宋体" w:cs="Times New Roman"/>
                <w:color w:val="auto"/>
                <w:spacing w:val="-9"/>
              </w:rPr>
              <w:t>（m）</w:t>
            </w:r>
          </w:p>
        </w:tc>
        <w:tc>
          <w:tcPr>
            <w:tcW w:w="837" w:type="pct"/>
            <w:shd w:val="clear" w:color="auto" w:fill="auto"/>
            <w:vAlign w:val="center"/>
          </w:tcPr>
          <w:p w14:paraId="29EC3BB1">
            <w:pPr>
              <w:jc w:val="center"/>
              <w:rPr>
                <w:rFonts w:ascii="宋体" w:hAnsi="宋体" w:eastAsia="宋体" w:cs="Times New Roman"/>
                <w:color w:val="auto"/>
              </w:rPr>
            </w:pPr>
            <w:r>
              <w:rPr>
                <w:rFonts w:hint="eastAsia" w:ascii="宋体" w:hAnsi="宋体" w:eastAsia="宋体" w:cs="Times New Roman"/>
                <w:color w:val="auto"/>
                <w:spacing w:val="-5"/>
              </w:rPr>
              <w:t>1</w:t>
            </w:r>
            <w:r>
              <w:rPr>
                <w:rFonts w:ascii="宋体" w:hAnsi="宋体" w:eastAsia="宋体" w:cs="Times New Roman"/>
                <w:color w:val="auto"/>
                <w:spacing w:val="-5"/>
              </w:rPr>
              <w:t>27</w:t>
            </w:r>
          </w:p>
        </w:tc>
        <w:tc>
          <w:tcPr>
            <w:tcW w:w="376" w:type="pct"/>
            <w:shd w:val="clear" w:color="auto" w:fill="auto"/>
            <w:vAlign w:val="center"/>
          </w:tcPr>
          <w:p w14:paraId="66BAC03A">
            <w:pPr>
              <w:jc w:val="center"/>
              <w:rPr>
                <w:rFonts w:ascii="宋体" w:hAnsi="宋体" w:eastAsia="宋体" w:cs="Times New Roman"/>
                <w:color w:val="auto"/>
              </w:rPr>
            </w:pPr>
            <w:r>
              <w:rPr>
                <w:rFonts w:hint="eastAsia" w:ascii="宋体" w:hAnsi="宋体" w:eastAsia="宋体" w:cs="Times New Roman"/>
                <w:color w:val="auto"/>
                <w:spacing w:val="-2"/>
              </w:rPr>
              <w:t>坡度</w:t>
            </w:r>
          </w:p>
        </w:tc>
        <w:tc>
          <w:tcPr>
            <w:tcW w:w="532" w:type="pct"/>
            <w:shd w:val="clear" w:color="auto" w:fill="auto"/>
            <w:vAlign w:val="center"/>
          </w:tcPr>
          <w:p w14:paraId="256D637D">
            <w:pPr>
              <w:jc w:val="center"/>
              <w:rPr>
                <w:rFonts w:ascii="宋体" w:hAnsi="宋体" w:eastAsia="宋体" w:cs="Times New Roman"/>
                <w:color w:val="auto"/>
              </w:rPr>
            </w:pPr>
            <w:r>
              <w:rPr>
                <w:rFonts w:hint="eastAsia" w:ascii="宋体" w:hAnsi="宋体" w:eastAsia="宋体" w:cs="Times New Roman"/>
                <w:color w:val="auto"/>
              </w:rPr>
              <w:t>0</w:t>
            </w:r>
          </w:p>
        </w:tc>
      </w:tr>
      <w:tr w14:paraId="6D4C2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24010EF4">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spacing w:val="-5"/>
              </w:rPr>
              <w:t>名称</w:t>
            </w:r>
          </w:p>
        </w:tc>
        <w:tc>
          <w:tcPr>
            <w:tcW w:w="2338" w:type="pct"/>
            <w:gridSpan w:val="3"/>
            <w:shd w:val="clear" w:color="auto" w:fill="auto"/>
            <w:vAlign w:val="center"/>
          </w:tcPr>
          <w:p w14:paraId="57A77CBB">
            <w:pPr>
              <w:jc w:val="center"/>
              <w:rPr>
                <w:rFonts w:ascii="宋体" w:hAnsi="宋体" w:eastAsia="宋体" w:cs="Times New Roman"/>
                <w:color w:val="auto"/>
              </w:rPr>
            </w:pPr>
            <w:r>
              <w:rPr>
                <w:rFonts w:hint="eastAsia" w:ascii="宋体" w:hAnsi="宋体" w:eastAsia="宋体" w:cs="Times New Roman"/>
                <w:color w:val="auto"/>
              </w:rPr>
              <w:t>水稻群落</w:t>
            </w:r>
          </w:p>
        </w:tc>
        <w:tc>
          <w:tcPr>
            <w:tcW w:w="675" w:type="pct"/>
            <w:shd w:val="clear" w:color="auto" w:fill="auto"/>
            <w:vAlign w:val="center"/>
          </w:tcPr>
          <w:p w14:paraId="4F6906D2">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spacing w:val="-4"/>
              </w:rPr>
              <w:t>拉丁学名</w:t>
            </w:r>
          </w:p>
        </w:tc>
        <w:tc>
          <w:tcPr>
            <w:tcW w:w="1745" w:type="pct"/>
            <w:gridSpan w:val="3"/>
            <w:shd w:val="clear" w:color="auto" w:fill="auto"/>
            <w:vAlign w:val="center"/>
          </w:tcPr>
          <w:p w14:paraId="0B378DEB">
            <w:pPr>
              <w:jc w:val="center"/>
              <w:rPr>
                <w:rFonts w:ascii="宋体" w:hAnsi="宋体" w:eastAsia="宋体" w:cs="Times New Roman"/>
                <w:color w:val="auto"/>
                <w:szCs w:val="22"/>
              </w:rPr>
            </w:pPr>
            <w:r>
              <w:rPr>
                <w:rFonts w:ascii="宋体" w:hAnsi="宋体" w:eastAsia="宋体" w:cs="Times New Roman"/>
                <w:i/>
                <w:iCs/>
                <w:color w:val="auto"/>
              </w:rPr>
              <w:t>Oryza sativa L. subsp. japonica</w:t>
            </w:r>
          </w:p>
        </w:tc>
      </w:tr>
      <w:tr w14:paraId="4E2E7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1E3B9FAB">
            <w:pPr>
              <w:jc w:val="center"/>
              <w:rPr>
                <w:rFonts w:ascii="宋体" w:hAnsi="宋体" w:eastAsia="宋体" w:cs="Times New Roman"/>
                <w:color w:val="auto"/>
              </w:rPr>
            </w:pPr>
            <w:r>
              <w:rPr>
                <w:rFonts w:hint="eastAsia" w:ascii="宋体" w:hAnsi="宋体" w:eastAsia="宋体" w:cs="Times New Roman"/>
                <w:color w:val="auto"/>
                <w:spacing w:val="-2"/>
              </w:rPr>
              <w:t>层次</w:t>
            </w:r>
          </w:p>
        </w:tc>
        <w:tc>
          <w:tcPr>
            <w:tcW w:w="698" w:type="pct"/>
            <w:shd w:val="clear" w:color="auto" w:fill="auto"/>
            <w:vAlign w:val="center"/>
          </w:tcPr>
          <w:p w14:paraId="706929A0">
            <w:pPr>
              <w:jc w:val="center"/>
              <w:rPr>
                <w:rFonts w:ascii="宋体" w:hAnsi="宋体" w:eastAsia="宋体" w:cs="Times New Roman"/>
                <w:color w:val="auto"/>
              </w:rPr>
            </w:pPr>
            <w:r>
              <w:rPr>
                <w:rFonts w:hint="eastAsia" w:ascii="宋体" w:hAnsi="宋体" w:eastAsia="宋体" w:cs="Times New Roman"/>
                <w:color w:val="auto"/>
                <w:spacing w:val="-2"/>
              </w:rPr>
              <w:t>类别</w:t>
            </w:r>
          </w:p>
        </w:tc>
        <w:tc>
          <w:tcPr>
            <w:tcW w:w="440" w:type="pct"/>
            <w:shd w:val="clear" w:color="auto" w:fill="auto"/>
            <w:vAlign w:val="center"/>
          </w:tcPr>
          <w:p w14:paraId="0D6EDC69">
            <w:pPr>
              <w:jc w:val="center"/>
              <w:rPr>
                <w:rFonts w:ascii="宋体" w:hAnsi="宋体" w:eastAsia="宋体" w:cs="Times New Roman"/>
                <w:color w:val="auto"/>
              </w:rPr>
            </w:pPr>
            <w:r>
              <w:rPr>
                <w:rFonts w:hint="eastAsia" w:ascii="宋体" w:hAnsi="宋体" w:eastAsia="宋体" w:cs="Times New Roman"/>
                <w:color w:val="auto"/>
                <w:spacing w:val="-3"/>
              </w:rPr>
              <w:t>名称</w:t>
            </w:r>
          </w:p>
        </w:tc>
        <w:tc>
          <w:tcPr>
            <w:tcW w:w="1200" w:type="pct"/>
            <w:shd w:val="clear" w:color="auto" w:fill="auto"/>
            <w:vAlign w:val="center"/>
          </w:tcPr>
          <w:p w14:paraId="710A503A">
            <w:pPr>
              <w:jc w:val="center"/>
              <w:rPr>
                <w:rFonts w:ascii="宋体" w:hAnsi="宋体" w:eastAsia="宋体" w:cs="Times New Roman"/>
                <w:color w:val="auto"/>
              </w:rPr>
            </w:pPr>
            <w:r>
              <w:rPr>
                <w:rFonts w:hint="eastAsia" w:ascii="宋体" w:hAnsi="宋体" w:eastAsia="宋体" w:cs="Times New Roman"/>
                <w:color w:val="auto"/>
                <w:spacing w:val="-2"/>
              </w:rPr>
              <w:t>拉丁学名</w:t>
            </w:r>
          </w:p>
        </w:tc>
        <w:tc>
          <w:tcPr>
            <w:tcW w:w="675" w:type="pct"/>
            <w:shd w:val="clear" w:color="auto" w:fill="auto"/>
            <w:vAlign w:val="center"/>
          </w:tcPr>
          <w:p w14:paraId="33B4C818">
            <w:pPr>
              <w:jc w:val="center"/>
              <w:rPr>
                <w:rFonts w:ascii="宋体" w:hAnsi="宋体" w:eastAsia="宋体" w:cs="Times New Roman"/>
                <w:color w:val="auto"/>
              </w:rPr>
            </w:pPr>
            <w:r>
              <w:rPr>
                <w:rFonts w:hint="eastAsia" w:ascii="宋体" w:hAnsi="宋体" w:eastAsia="宋体" w:cs="Times New Roman"/>
                <w:color w:val="auto"/>
                <w:spacing w:val="-8"/>
              </w:rPr>
              <w:t>株</w:t>
            </w:r>
            <w:r>
              <w:rPr>
                <w:rFonts w:hint="eastAsia" w:ascii="宋体" w:hAnsi="宋体" w:eastAsia="宋体" w:cs="Times New Roman"/>
                <w:color w:val="auto"/>
                <w:spacing w:val="-9"/>
              </w:rPr>
              <w:t>（丛</w:t>
            </w:r>
            <w:r>
              <w:rPr>
                <w:rFonts w:hint="eastAsia" w:ascii="宋体" w:hAnsi="宋体" w:eastAsia="宋体" w:cs="Times New Roman"/>
                <w:color w:val="auto"/>
                <w:spacing w:val="-12"/>
              </w:rPr>
              <w:t>数）</w:t>
            </w:r>
          </w:p>
        </w:tc>
        <w:tc>
          <w:tcPr>
            <w:tcW w:w="837" w:type="pct"/>
            <w:shd w:val="clear" w:color="auto" w:fill="auto"/>
            <w:vAlign w:val="center"/>
          </w:tcPr>
          <w:p w14:paraId="396D007C">
            <w:pPr>
              <w:jc w:val="center"/>
              <w:rPr>
                <w:rFonts w:ascii="宋体" w:hAnsi="宋体" w:eastAsia="宋体" w:cs="Times New Roman"/>
                <w:color w:val="auto"/>
              </w:rPr>
            </w:pPr>
            <w:r>
              <w:rPr>
                <w:rFonts w:hint="eastAsia" w:ascii="宋体" w:hAnsi="宋体" w:eastAsia="宋体" w:cs="Times New Roman"/>
                <w:color w:val="auto"/>
                <w:spacing w:val="-4"/>
              </w:rPr>
              <w:t>多度</w:t>
            </w:r>
          </w:p>
        </w:tc>
        <w:tc>
          <w:tcPr>
            <w:tcW w:w="376" w:type="pct"/>
            <w:shd w:val="clear" w:color="auto" w:fill="auto"/>
            <w:vAlign w:val="center"/>
          </w:tcPr>
          <w:p w14:paraId="25B85EA1">
            <w:pPr>
              <w:jc w:val="center"/>
              <w:rPr>
                <w:rFonts w:ascii="宋体" w:hAnsi="宋体" w:eastAsia="宋体" w:cs="Times New Roman"/>
                <w:color w:val="auto"/>
              </w:rPr>
            </w:pPr>
            <w:r>
              <w:rPr>
                <w:rFonts w:hint="eastAsia" w:ascii="宋体" w:hAnsi="宋体" w:eastAsia="宋体" w:cs="Times New Roman"/>
                <w:color w:val="auto"/>
                <w:spacing w:val="-6"/>
              </w:rPr>
              <w:t>高度</w:t>
            </w:r>
            <w:r>
              <w:rPr>
                <w:rFonts w:hint="eastAsia" w:ascii="宋体" w:hAnsi="宋体" w:eastAsia="宋体" w:cs="Times New Roman"/>
                <w:color w:val="auto"/>
                <w:spacing w:val="-9"/>
              </w:rPr>
              <w:t>（m）</w:t>
            </w:r>
          </w:p>
        </w:tc>
        <w:tc>
          <w:tcPr>
            <w:tcW w:w="532" w:type="pct"/>
            <w:shd w:val="clear" w:color="auto" w:fill="auto"/>
            <w:vAlign w:val="center"/>
          </w:tcPr>
          <w:p w14:paraId="2D130834">
            <w:pPr>
              <w:jc w:val="center"/>
              <w:rPr>
                <w:rFonts w:ascii="宋体" w:hAnsi="宋体" w:eastAsia="宋体" w:cs="Times New Roman"/>
                <w:color w:val="auto"/>
              </w:rPr>
            </w:pPr>
            <w:r>
              <w:rPr>
                <w:rFonts w:hint="eastAsia" w:ascii="宋体" w:hAnsi="宋体" w:eastAsia="宋体" w:cs="Times New Roman"/>
                <w:color w:val="auto"/>
                <w:spacing w:val="-4"/>
              </w:rPr>
              <w:t>盖度</w:t>
            </w:r>
            <w:r>
              <w:rPr>
                <w:rFonts w:hint="eastAsia" w:ascii="宋体" w:hAnsi="宋体" w:eastAsia="宋体" w:cs="Times New Roman"/>
                <w:color w:val="auto"/>
                <w:spacing w:val="-9"/>
              </w:rPr>
              <w:t>（%）</w:t>
            </w:r>
          </w:p>
        </w:tc>
      </w:tr>
      <w:tr w14:paraId="70755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66D1C208">
            <w:pPr>
              <w:jc w:val="center"/>
              <w:rPr>
                <w:rFonts w:ascii="宋体" w:hAnsi="宋体" w:eastAsia="宋体" w:cs="Times New Roman"/>
                <w:color w:val="auto"/>
              </w:rPr>
            </w:pPr>
            <w:r>
              <w:rPr>
                <w:rFonts w:hint="eastAsia" w:ascii="宋体" w:hAnsi="宋体" w:eastAsia="宋体" w:cs="Times New Roman"/>
                <w:color w:val="auto"/>
                <w:spacing w:val="-4"/>
              </w:rPr>
              <w:t>草本</w:t>
            </w:r>
            <w:r>
              <w:rPr>
                <w:rFonts w:hint="eastAsia" w:ascii="宋体" w:hAnsi="宋体" w:eastAsia="宋体" w:cs="Times New Roman"/>
                <w:color w:val="auto"/>
              </w:rPr>
              <w:t>层</w:t>
            </w:r>
          </w:p>
        </w:tc>
        <w:tc>
          <w:tcPr>
            <w:tcW w:w="698" w:type="pct"/>
            <w:shd w:val="clear" w:color="auto" w:fill="auto"/>
            <w:vAlign w:val="center"/>
          </w:tcPr>
          <w:p w14:paraId="180D9BF4">
            <w:pPr>
              <w:jc w:val="center"/>
              <w:rPr>
                <w:rFonts w:ascii="宋体" w:hAnsi="宋体" w:eastAsia="宋体" w:cs="Times New Roman"/>
                <w:color w:val="auto"/>
              </w:rPr>
            </w:pPr>
            <w:r>
              <w:rPr>
                <w:rFonts w:hint="eastAsia" w:ascii="宋体" w:hAnsi="宋体" w:eastAsia="宋体" w:cs="Times New Roman"/>
                <w:color w:val="auto"/>
                <w:spacing w:val="-2"/>
              </w:rPr>
              <w:t>建群种</w:t>
            </w:r>
          </w:p>
        </w:tc>
        <w:tc>
          <w:tcPr>
            <w:tcW w:w="440" w:type="pct"/>
            <w:shd w:val="clear" w:color="auto" w:fill="auto"/>
            <w:vAlign w:val="center"/>
          </w:tcPr>
          <w:p w14:paraId="5D249A75">
            <w:pPr>
              <w:jc w:val="center"/>
              <w:rPr>
                <w:rFonts w:ascii="宋体" w:hAnsi="宋体" w:eastAsia="宋体" w:cs="Times New Roman"/>
                <w:color w:val="auto"/>
              </w:rPr>
            </w:pPr>
            <w:r>
              <w:rPr>
                <w:rFonts w:hint="eastAsia" w:ascii="宋体" w:hAnsi="宋体" w:eastAsia="宋体" w:cs="Times New Roman"/>
                <w:color w:val="auto"/>
              </w:rPr>
              <w:t>水稻</w:t>
            </w:r>
          </w:p>
        </w:tc>
        <w:tc>
          <w:tcPr>
            <w:tcW w:w="1200" w:type="pct"/>
            <w:shd w:val="clear" w:color="auto" w:fill="auto"/>
            <w:vAlign w:val="center"/>
          </w:tcPr>
          <w:p w14:paraId="60466AE5">
            <w:pPr>
              <w:jc w:val="center"/>
              <w:rPr>
                <w:rFonts w:ascii="宋体" w:hAnsi="宋体" w:eastAsia="宋体" w:cs="Times New Roman"/>
                <w:color w:val="auto"/>
                <w:szCs w:val="22"/>
              </w:rPr>
            </w:pPr>
            <w:r>
              <w:rPr>
                <w:rFonts w:ascii="宋体" w:hAnsi="宋体" w:eastAsia="宋体" w:cs="Times New Roman"/>
                <w:i/>
                <w:iCs/>
                <w:color w:val="auto"/>
              </w:rPr>
              <w:t>Oryza sativa L. subsp. japonica</w:t>
            </w:r>
          </w:p>
        </w:tc>
        <w:tc>
          <w:tcPr>
            <w:tcW w:w="675" w:type="pct"/>
            <w:shd w:val="clear" w:color="auto" w:fill="auto"/>
            <w:vAlign w:val="center"/>
          </w:tcPr>
          <w:p w14:paraId="087FBEB8">
            <w:pPr>
              <w:jc w:val="center"/>
              <w:rPr>
                <w:rFonts w:ascii="宋体" w:hAnsi="宋体" w:eastAsia="宋体" w:cs="Times New Roman"/>
                <w:color w:val="auto"/>
              </w:rPr>
            </w:pPr>
            <w:r>
              <w:rPr>
                <w:rFonts w:ascii="宋体" w:hAnsi="宋体" w:eastAsia="宋体" w:cs="Times New Roman"/>
                <w:color w:val="auto"/>
              </w:rPr>
              <w:t>45</w:t>
            </w:r>
          </w:p>
        </w:tc>
        <w:tc>
          <w:tcPr>
            <w:tcW w:w="837" w:type="pct"/>
            <w:shd w:val="clear" w:color="auto" w:fill="auto"/>
            <w:vAlign w:val="center"/>
          </w:tcPr>
          <w:p w14:paraId="27C43F0F">
            <w:pPr>
              <w:jc w:val="center"/>
              <w:rPr>
                <w:rFonts w:ascii="宋体" w:hAnsi="宋体" w:eastAsia="宋体" w:cs="Times New Roman"/>
                <w:color w:val="auto"/>
              </w:rPr>
            </w:pPr>
            <w:r>
              <w:rPr>
                <w:rFonts w:ascii="宋体" w:hAnsi="宋体" w:eastAsia="宋体" w:cs="Times New Roman"/>
                <w:color w:val="auto"/>
                <w:szCs w:val="22"/>
                <w:lang w:bidi="zh-CN"/>
              </w:rPr>
              <w:t>Soc.</w:t>
            </w:r>
          </w:p>
        </w:tc>
        <w:tc>
          <w:tcPr>
            <w:tcW w:w="376" w:type="pct"/>
            <w:shd w:val="clear" w:color="auto" w:fill="auto"/>
            <w:vAlign w:val="center"/>
          </w:tcPr>
          <w:p w14:paraId="2EB3EE5A">
            <w:pPr>
              <w:jc w:val="center"/>
              <w:rPr>
                <w:rFonts w:ascii="宋体" w:hAnsi="宋体" w:eastAsia="宋体" w:cs="Times New Roman"/>
                <w:color w:val="auto"/>
              </w:rPr>
            </w:pPr>
            <w:r>
              <w:rPr>
                <w:rFonts w:ascii="宋体" w:hAnsi="宋体" w:eastAsia="宋体" w:cs="Times New Roman"/>
                <w:color w:val="auto"/>
                <w:spacing w:val="-2"/>
              </w:rPr>
              <w:t>0.8</w:t>
            </w:r>
          </w:p>
        </w:tc>
        <w:tc>
          <w:tcPr>
            <w:tcW w:w="532" w:type="pct"/>
            <w:shd w:val="clear" w:color="auto" w:fill="auto"/>
            <w:vAlign w:val="center"/>
          </w:tcPr>
          <w:p w14:paraId="47CBCC9C">
            <w:pPr>
              <w:jc w:val="center"/>
              <w:rPr>
                <w:rFonts w:ascii="宋体" w:hAnsi="宋体" w:eastAsia="宋体" w:cs="Times New Roman"/>
                <w:color w:val="auto"/>
              </w:rPr>
            </w:pPr>
            <w:r>
              <w:rPr>
                <w:rFonts w:ascii="宋体" w:hAnsi="宋体" w:eastAsia="宋体" w:cs="Times New Roman"/>
                <w:color w:val="auto"/>
                <w:spacing w:val="-2"/>
              </w:rPr>
              <w:t>95</w:t>
            </w:r>
          </w:p>
        </w:tc>
      </w:tr>
      <w:tr w14:paraId="792A9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6056B354">
            <w:pPr>
              <w:adjustRightInd w:val="0"/>
              <w:snapToGrid w:val="0"/>
              <w:jc w:val="center"/>
              <w:rPr>
                <w:rFonts w:ascii="宋体" w:hAnsi="宋体" w:eastAsia="宋体" w:cs="Arial"/>
                <w:color w:val="auto"/>
              </w:rPr>
            </w:pPr>
            <w:r>
              <w:rPr>
                <w:rFonts w:ascii="宋体" w:hAnsi="宋体" w:eastAsia="宋体" w:cs="Arial"/>
                <w:color w:val="auto"/>
              </w:rPr>
              <w:drawing>
                <wp:inline distT="0" distB="0" distL="0" distR="0">
                  <wp:extent cx="3781425" cy="2834640"/>
                  <wp:effectExtent l="0" t="0" r="9525" b="3810"/>
                  <wp:docPr id="1352728138" name="图片 1352728138" descr="D:\Users\DELL\Documents\WeChat Files\wxid_0rf4mizuauk621\FileStorage\Temp\56193412779fe61e58e9e9a1874c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38" name="图片 1352728138" descr="D:\Users\DELL\Documents\WeChat Files\wxid_0rf4mizuauk621\FileStorage\Temp\56193412779fe61e58e9e9a1874c0bf.jpg"/>
                          <pic:cNvPicPr>
                            <a:picLocks noChangeAspect="1" noChangeArrowheads="1"/>
                          </pic:cNvPicPr>
                        </pic:nvPicPr>
                        <pic:blipFill>
                          <a:blip r:embed="rId67"/>
                          <a:srcRect/>
                          <a:stretch>
                            <a:fillRect/>
                          </a:stretch>
                        </pic:blipFill>
                        <pic:spPr>
                          <a:xfrm>
                            <a:off x="0" y="0"/>
                            <a:ext cx="3838379" cy="2834640"/>
                          </a:xfrm>
                          <a:prstGeom prst="rect">
                            <a:avLst/>
                          </a:prstGeom>
                          <a:noFill/>
                          <a:ln>
                            <a:noFill/>
                          </a:ln>
                        </pic:spPr>
                      </pic:pic>
                    </a:graphicData>
                  </a:graphic>
                </wp:inline>
              </w:drawing>
            </w:r>
          </w:p>
        </w:tc>
      </w:tr>
    </w:tbl>
    <w:p w14:paraId="714800A7">
      <w:pPr>
        <w:spacing w:line="440" w:lineRule="exact"/>
        <w:ind w:firstLine="420" w:firstLineChars="200"/>
        <w:jc w:val="center"/>
        <w:rPr>
          <w:rFonts w:ascii="宋体" w:hAnsi="宋体" w:eastAsia="宋体" w:cs="Times New Roman"/>
          <w:color w:val="auto"/>
        </w:rPr>
      </w:pPr>
      <w:r>
        <w:rPr>
          <w:rFonts w:hint="eastAsia" w:ascii="宋体" w:hAnsi="宋体" w:eastAsia="宋体" w:cs="Times New Roman"/>
          <w:color w:val="auto"/>
        </w:rPr>
        <w:t xml:space="preserve">表 </w:t>
      </w:r>
      <w:r>
        <w:rPr>
          <w:rFonts w:ascii="宋体" w:hAnsi="宋体" w:eastAsia="宋体" w:cs="Times New Roman"/>
          <w:color w:val="auto"/>
        </w:rPr>
        <w:t>4.4-8 2</w:t>
      </w:r>
      <w:r>
        <w:rPr>
          <w:rFonts w:hint="eastAsia" w:ascii="宋体" w:hAnsi="宋体" w:eastAsia="宋体" w:cs="Times New Roman"/>
          <w:color w:val="auto"/>
        </w:rPr>
        <w:t>#点</w:t>
      </w:r>
      <w:r>
        <w:rPr>
          <w:rFonts w:ascii="宋体" w:hAnsi="宋体" w:eastAsia="宋体" w:cs="Times New Roman"/>
          <w:color w:val="auto"/>
        </w:rPr>
        <w:t>样方调查结果表</w:t>
      </w:r>
    </w:p>
    <w:tbl>
      <w:tblPr>
        <w:tblStyle w:val="17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26"/>
        <w:gridCol w:w="1476"/>
        <w:gridCol w:w="790"/>
        <w:gridCol w:w="2203"/>
        <w:gridCol w:w="1228"/>
        <w:gridCol w:w="1530"/>
        <w:gridCol w:w="697"/>
        <w:gridCol w:w="937"/>
      </w:tblGrid>
      <w:tr w14:paraId="7D454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724E02AC">
            <w:pPr>
              <w:jc w:val="center"/>
              <w:rPr>
                <w:rFonts w:ascii="宋体" w:hAnsi="宋体" w:eastAsia="宋体" w:cs="Times New Roman"/>
                <w:color w:val="auto"/>
              </w:rPr>
            </w:pPr>
            <w:r>
              <w:rPr>
                <w:rFonts w:hint="eastAsia" w:ascii="宋体" w:hAnsi="宋体" w:eastAsia="宋体" w:cs="Times New Roman"/>
                <w:color w:val="auto"/>
                <w:spacing w:val="-2"/>
              </w:rPr>
              <w:t>编号</w:t>
            </w:r>
          </w:p>
        </w:tc>
        <w:tc>
          <w:tcPr>
            <w:tcW w:w="698" w:type="pct"/>
            <w:shd w:val="clear" w:color="auto" w:fill="auto"/>
            <w:vAlign w:val="center"/>
          </w:tcPr>
          <w:p w14:paraId="35C97200">
            <w:pPr>
              <w:jc w:val="center"/>
              <w:rPr>
                <w:rFonts w:ascii="宋体" w:hAnsi="宋体" w:eastAsia="宋体" w:cs="Times New Roman"/>
                <w:color w:val="auto"/>
              </w:rPr>
            </w:pPr>
            <w:r>
              <w:rPr>
                <w:rFonts w:ascii="宋体" w:hAnsi="宋体" w:eastAsia="宋体" w:cs="Times New Roman"/>
                <w:color w:val="auto"/>
              </w:rPr>
              <w:t>2</w:t>
            </w:r>
          </w:p>
        </w:tc>
        <w:tc>
          <w:tcPr>
            <w:tcW w:w="440" w:type="pct"/>
            <w:shd w:val="clear" w:color="auto" w:fill="auto"/>
            <w:vAlign w:val="center"/>
          </w:tcPr>
          <w:p w14:paraId="0C274B09">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rPr>
              <w:t>人</w:t>
            </w:r>
          </w:p>
        </w:tc>
        <w:tc>
          <w:tcPr>
            <w:tcW w:w="1200" w:type="pct"/>
            <w:shd w:val="clear" w:color="auto" w:fill="auto"/>
            <w:vAlign w:val="center"/>
          </w:tcPr>
          <w:p w14:paraId="5A76545C">
            <w:pPr>
              <w:jc w:val="center"/>
              <w:rPr>
                <w:rFonts w:ascii="宋体" w:hAnsi="宋体" w:eastAsia="宋体" w:cs="Times New Roman"/>
                <w:color w:val="auto"/>
              </w:rPr>
            </w:pPr>
            <w:r>
              <w:rPr>
                <w:rFonts w:hint="eastAsia" w:ascii="宋体" w:hAnsi="宋体" w:eastAsia="宋体" w:cs="Times New Roman"/>
                <w:color w:val="auto"/>
              </w:rPr>
              <w:t>聂海军、袁超</w:t>
            </w:r>
          </w:p>
        </w:tc>
        <w:tc>
          <w:tcPr>
            <w:tcW w:w="675" w:type="pct"/>
            <w:shd w:val="clear" w:color="auto" w:fill="auto"/>
            <w:vAlign w:val="center"/>
          </w:tcPr>
          <w:p w14:paraId="088F4131">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spacing w:val="-22"/>
              </w:rPr>
              <w:t>日 期</w:t>
            </w:r>
          </w:p>
        </w:tc>
        <w:tc>
          <w:tcPr>
            <w:tcW w:w="837" w:type="pct"/>
            <w:shd w:val="clear" w:color="auto" w:fill="auto"/>
            <w:vAlign w:val="center"/>
          </w:tcPr>
          <w:p w14:paraId="7AC49A43">
            <w:pPr>
              <w:jc w:val="center"/>
              <w:rPr>
                <w:rFonts w:ascii="宋体" w:hAnsi="宋体" w:eastAsia="宋体" w:cs="Times New Roman"/>
                <w:color w:val="auto"/>
              </w:rPr>
            </w:pPr>
            <w:r>
              <w:rPr>
                <w:rFonts w:hint="eastAsia" w:ascii="宋体" w:hAnsi="宋体" w:eastAsia="宋体" w:cs="Times New Roman"/>
                <w:color w:val="auto"/>
                <w:spacing w:val="-1"/>
              </w:rPr>
              <w:t>202</w:t>
            </w:r>
            <w:r>
              <w:rPr>
                <w:rFonts w:ascii="宋体" w:hAnsi="宋体" w:eastAsia="宋体" w:cs="Times New Roman"/>
                <w:color w:val="auto"/>
                <w:spacing w:val="-1"/>
              </w:rPr>
              <w:t>5</w:t>
            </w:r>
            <w:r>
              <w:rPr>
                <w:rFonts w:hint="eastAsia" w:ascii="宋体" w:hAnsi="宋体" w:eastAsia="宋体" w:cs="Times New Roman"/>
                <w:color w:val="auto"/>
                <w:spacing w:val="-1"/>
              </w:rPr>
              <w:t>/</w:t>
            </w:r>
            <w:r>
              <w:rPr>
                <w:rFonts w:ascii="宋体" w:hAnsi="宋体" w:eastAsia="宋体" w:cs="Times New Roman"/>
                <w:color w:val="auto"/>
                <w:spacing w:val="-1"/>
              </w:rPr>
              <w:t>10</w:t>
            </w:r>
            <w:r>
              <w:rPr>
                <w:rFonts w:hint="eastAsia" w:ascii="宋体" w:hAnsi="宋体" w:eastAsia="宋体" w:cs="Times New Roman"/>
                <w:color w:val="auto"/>
                <w:spacing w:val="-1"/>
              </w:rPr>
              <w:t>/</w:t>
            </w:r>
            <w:r>
              <w:rPr>
                <w:rFonts w:ascii="宋体" w:hAnsi="宋体" w:eastAsia="宋体" w:cs="Times New Roman"/>
                <w:color w:val="auto"/>
                <w:spacing w:val="-1"/>
              </w:rPr>
              <w:t>10</w:t>
            </w:r>
          </w:p>
        </w:tc>
        <w:tc>
          <w:tcPr>
            <w:tcW w:w="376" w:type="pct"/>
            <w:shd w:val="clear" w:color="auto" w:fill="auto"/>
            <w:vAlign w:val="center"/>
          </w:tcPr>
          <w:p w14:paraId="635EF5A6">
            <w:pPr>
              <w:jc w:val="center"/>
              <w:rPr>
                <w:rFonts w:ascii="宋体" w:hAnsi="宋体" w:eastAsia="宋体" w:cs="Times New Roman"/>
                <w:color w:val="auto"/>
              </w:rPr>
            </w:pPr>
            <w:r>
              <w:rPr>
                <w:rFonts w:hint="eastAsia" w:ascii="宋体" w:hAnsi="宋体" w:eastAsia="宋体" w:cs="Times New Roman"/>
                <w:color w:val="auto"/>
                <w:spacing w:val="-3"/>
              </w:rPr>
              <w:t>样方尺寸</w:t>
            </w:r>
          </w:p>
        </w:tc>
        <w:tc>
          <w:tcPr>
            <w:tcW w:w="532" w:type="pct"/>
            <w:shd w:val="clear" w:color="auto" w:fill="auto"/>
            <w:vAlign w:val="center"/>
          </w:tcPr>
          <w:p w14:paraId="4D02BE24">
            <w:pPr>
              <w:jc w:val="center"/>
              <w:rPr>
                <w:rFonts w:ascii="宋体" w:hAnsi="宋体" w:eastAsia="宋体" w:cs="Times New Roman"/>
                <w:color w:val="auto"/>
              </w:rPr>
            </w:pPr>
            <w:r>
              <w:rPr>
                <w:rFonts w:hint="eastAsia" w:ascii="宋体" w:hAnsi="宋体" w:eastAsia="宋体" w:cs="Times New Roman"/>
                <w:color w:val="auto"/>
                <w:spacing w:val="-6"/>
              </w:rPr>
              <w:t>1m×</w:t>
            </w:r>
            <w:r>
              <w:rPr>
                <w:rFonts w:hint="eastAsia" w:ascii="宋体" w:hAnsi="宋体" w:eastAsia="宋体" w:cs="Times New Roman"/>
                <w:color w:val="auto"/>
                <w:spacing w:val="-8"/>
              </w:rPr>
              <w:t>1m</w:t>
            </w:r>
          </w:p>
        </w:tc>
      </w:tr>
      <w:tr w14:paraId="6E890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65BF598D">
            <w:pPr>
              <w:jc w:val="center"/>
              <w:rPr>
                <w:rFonts w:ascii="宋体" w:hAnsi="宋体" w:eastAsia="宋体" w:cs="Times New Roman"/>
                <w:color w:val="auto"/>
              </w:rPr>
            </w:pPr>
            <w:r>
              <w:rPr>
                <w:rFonts w:hint="eastAsia" w:ascii="宋体" w:hAnsi="宋体" w:eastAsia="宋体" w:cs="Times New Roman"/>
                <w:color w:val="auto"/>
                <w:spacing w:val="-2"/>
              </w:rPr>
              <w:t>经度</w:t>
            </w:r>
          </w:p>
        </w:tc>
        <w:tc>
          <w:tcPr>
            <w:tcW w:w="698" w:type="pct"/>
            <w:shd w:val="clear" w:color="auto" w:fill="auto"/>
            <w:vAlign w:val="center"/>
          </w:tcPr>
          <w:p w14:paraId="78DB5381">
            <w:pPr>
              <w:jc w:val="center"/>
              <w:rPr>
                <w:rFonts w:ascii="宋体" w:hAnsi="宋体" w:eastAsia="宋体" w:cs="Times New Roman"/>
                <w:color w:val="auto"/>
              </w:rPr>
            </w:pPr>
            <w:r>
              <w:rPr>
                <w:rFonts w:ascii="宋体" w:hAnsi="宋体" w:eastAsia="宋体" w:cs="Times New Roman"/>
                <w:color w:val="auto"/>
              </w:rPr>
              <w:t>125.16838691</w:t>
            </w:r>
          </w:p>
        </w:tc>
        <w:tc>
          <w:tcPr>
            <w:tcW w:w="440" w:type="pct"/>
            <w:shd w:val="clear" w:color="auto" w:fill="auto"/>
            <w:vAlign w:val="center"/>
          </w:tcPr>
          <w:p w14:paraId="111F818A">
            <w:pPr>
              <w:jc w:val="center"/>
              <w:rPr>
                <w:rFonts w:ascii="宋体" w:hAnsi="宋体" w:eastAsia="宋体" w:cs="Times New Roman"/>
                <w:color w:val="auto"/>
              </w:rPr>
            </w:pPr>
            <w:r>
              <w:rPr>
                <w:rFonts w:hint="eastAsia" w:ascii="宋体" w:hAnsi="宋体" w:eastAsia="宋体" w:cs="Times New Roman"/>
                <w:color w:val="auto"/>
                <w:spacing w:val="-2"/>
              </w:rPr>
              <w:t>纬度</w:t>
            </w:r>
          </w:p>
        </w:tc>
        <w:tc>
          <w:tcPr>
            <w:tcW w:w="1200" w:type="pct"/>
            <w:shd w:val="clear" w:color="auto" w:fill="auto"/>
            <w:vAlign w:val="center"/>
          </w:tcPr>
          <w:p w14:paraId="00B94069">
            <w:pPr>
              <w:jc w:val="center"/>
              <w:rPr>
                <w:rFonts w:ascii="宋体" w:hAnsi="宋体" w:eastAsia="宋体" w:cs="Times New Roman"/>
                <w:color w:val="auto"/>
              </w:rPr>
            </w:pPr>
            <w:r>
              <w:rPr>
                <w:rFonts w:ascii="宋体" w:hAnsi="宋体" w:eastAsia="宋体" w:cs="Times New Roman"/>
                <w:color w:val="auto"/>
              </w:rPr>
              <w:t>45.56940434</w:t>
            </w:r>
          </w:p>
        </w:tc>
        <w:tc>
          <w:tcPr>
            <w:tcW w:w="675" w:type="pct"/>
            <w:shd w:val="clear" w:color="auto" w:fill="auto"/>
            <w:vAlign w:val="center"/>
          </w:tcPr>
          <w:p w14:paraId="5DE8B53D">
            <w:pPr>
              <w:jc w:val="center"/>
              <w:rPr>
                <w:rFonts w:ascii="宋体" w:hAnsi="宋体" w:eastAsia="宋体" w:cs="Times New Roman"/>
                <w:color w:val="auto"/>
              </w:rPr>
            </w:pPr>
            <w:r>
              <w:rPr>
                <w:rFonts w:hint="eastAsia" w:ascii="宋体" w:hAnsi="宋体" w:eastAsia="宋体" w:cs="Times New Roman"/>
                <w:color w:val="auto"/>
                <w:spacing w:val="-3"/>
              </w:rPr>
              <w:t>海拔</w:t>
            </w:r>
            <w:r>
              <w:rPr>
                <w:rFonts w:hint="eastAsia" w:ascii="宋体" w:hAnsi="宋体" w:eastAsia="宋体" w:cs="Times New Roman"/>
                <w:color w:val="auto"/>
                <w:spacing w:val="-9"/>
              </w:rPr>
              <w:t>（m）</w:t>
            </w:r>
          </w:p>
        </w:tc>
        <w:tc>
          <w:tcPr>
            <w:tcW w:w="837" w:type="pct"/>
            <w:shd w:val="clear" w:color="auto" w:fill="auto"/>
            <w:vAlign w:val="center"/>
          </w:tcPr>
          <w:p w14:paraId="437DCEBC">
            <w:pPr>
              <w:jc w:val="center"/>
              <w:rPr>
                <w:rFonts w:ascii="宋体" w:hAnsi="宋体" w:eastAsia="宋体" w:cs="Times New Roman"/>
                <w:color w:val="auto"/>
              </w:rPr>
            </w:pPr>
            <w:r>
              <w:rPr>
                <w:rFonts w:hint="eastAsia" w:ascii="宋体" w:hAnsi="宋体" w:eastAsia="宋体" w:cs="Times New Roman"/>
                <w:color w:val="auto"/>
                <w:spacing w:val="-5"/>
              </w:rPr>
              <w:t>1</w:t>
            </w:r>
            <w:r>
              <w:rPr>
                <w:rFonts w:ascii="宋体" w:hAnsi="宋体" w:eastAsia="宋体" w:cs="Times New Roman"/>
                <w:color w:val="auto"/>
                <w:spacing w:val="-5"/>
              </w:rPr>
              <w:t>27</w:t>
            </w:r>
          </w:p>
        </w:tc>
        <w:tc>
          <w:tcPr>
            <w:tcW w:w="376" w:type="pct"/>
            <w:shd w:val="clear" w:color="auto" w:fill="auto"/>
            <w:vAlign w:val="center"/>
          </w:tcPr>
          <w:p w14:paraId="4C70E4FA">
            <w:pPr>
              <w:jc w:val="center"/>
              <w:rPr>
                <w:rFonts w:ascii="宋体" w:hAnsi="宋体" w:eastAsia="宋体" w:cs="Times New Roman"/>
                <w:color w:val="auto"/>
              </w:rPr>
            </w:pPr>
            <w:r>
              <w:rPr>
                <w:rFonts w:hint="eastAsia" w:ascii="宋体" w:hAnsi="宋体" w:eastAsia="宋体" w:cs="Times New Roman"/>
                <w:color w:val="auto"/>
                <w:spacing w:val="-2"/>
              </w:rPr>
              <w:t>坡度</w:t>
            </w:r>
          </w:p>
        </w:tc>
        <w:tc>
          <w:tcPr>
            <w:tcW w:w="532" w:type="pct"/>
            <w:shd w:val="clear" w:color="auto" w:fill="auto"/>
            <w:vAlign w:val="center"/>
          </w:tcPr>
          <w:p w14:paraId="220D2D21">
            <w:pPr>
              <w:jc w:val="center"/>
              <w:rPr>
                <w:rFonts w:ascii="宋体" w:hAnsi="宋体" w:eastAsia="宋体" w:cs="Times New Roman"/>
                <w:color w:val="auto"/>
              </w:rPr>
            </w:pPr>
            <w:r>
              <w:rPr>
                <w:rFonts w:hint="eastAsia" w:ascii="宋体" w:hAnsi="宋体" w:eastAsia="宋体" w:cs="Times New Roman"/>
                <w:color w:val="auto"/>
              </w:rPr>
              <w:t>0</w:t>
            </w:r>
          </w:p>
        </w:tc>
      </w:tr>
      <w:tr w14:paraId="3F735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1A62D836">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spacing w:val="-5"/>
              </w:rPr>
              <w:t>名称</w:t>
            </w:r>
          </w:p>
        </w:tc>
        <w:tc>
          <w:tcPr>
            <w:tcW w:w="2338" w:type="pct"/>
            <w:gridSpan w:val="3"/>
            <w:shd w:val="clear" w:color="auto" w:fill="auto"/>
            <w:vAlign w:val="center"/>
          </w:tcPr>
          <w:p w14:paraId="5D0D61F6">
            <w:pPr>
              <w:jc w:val="center"/>
              <w:rPr>
                <w:rFonts w:ascii="宋体" w:hAnsi="宋体" w:eastAsia="宋体" w:cs="Times New Roman"/>
                <w:color w:val="auto"/>
              </w:rPr>
            </w:pPr>
            <w:r>
              <w:rPr>
                <w:rFonts w:hint="eastAsia" w:ascii="宋体" w:hAnsi="宋体" w:eastAsia="宋体" w:cs="Times New Roman"/>
                <w:color w:val="auto"/>
              </w:rPr>
              <w:t>水稻群落</w:t>
            </w:r>
          </w:p>
        </w:tc>
        <w:tc>
          <w:tcPr>
            <w:tcW w:w="675" w:type="pct"/>
            <w:shd w:val="clear" w:color="auto" w:fill="auto"/>
            <w:vAlign w:val="center"/>
          </w:tcPr>
          <w:p w14:paraId="65740C1B">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spacing w:val="-4"/>
              </w:rPr>
              <w:t>拉丁学名</w:t>
            </w:r>
          </w:p>
        </w:tc>
        <w:tc>
          <w:tcPr>
            <w:tcW w:w="1745" w:type="pct"/>
            <w:gridSpan w:val="3"/>
            <w:shd w:val="clear" w:color="auto" w:fill="auto"/>
            <w:vAlign w:val="center"/>
          </w:tcPr>
          <w:p w14:paraId="30015DAC">
            <w:pPr>
              <w:jc w:val="center"/>
              <w:rPr>
                <w:rFonts w:ascii="宋体" w:hAnsi="宋体" w:eastAsia="宋体" w:cs="Times New Roman"/>
                <w:color w:val="auto"/>
                <w:szCs w:val="22"/>
              </w:rPr>
            </w:pPr>
            <w:r>
              <w:rPr>
                <w:rFonts w:ascii="宋体" w:hAnsi="宋体" w:eastAsia="宋体" w:cs="Times New Roman"/>
                <w:i/>
                <w:iCs/>
                <w:color w:val="auto"/>
              </w:rPr>
              <w:t>Oryza sativa L. subsp. japonica</w:t>
            </w:r>
          </w:p>
        </w:tc>
      </w:tr>
      <w:tr w14:paraId="70721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48015951">
            <w:pPr>
              <w:jc w:val="center"/>
              <w:rPr>
                <w:rFonts w:ascii="宋体" w:hAnsi="宋体" w:eastAsia="宋体" w:cs="Times New Roman"/>
                <w:color w:val="auto"/>
              </w:rPr>
            </w:pPr>
            <w:r>
              <w:rPr>
                <w:rFonts w:hint="eastAsia" w:ascii="宋体" w:hAnsi="宋体" w:eastAsia="宋体" w:cs="Times New Roman"/>
                <w:color w:val="auto"/>
                <w:spacing w:val="-2"/>
              </w:rPr>
              <w:t>层次</w:t>
            </w:r>
          </w:p>
        </w:tc>
        <w:tc>
          <w:tcPr>
            <w:tcW w:w="698" w:type="pct"/>
            <w:shd w:val="clear" w:color="auto" w:fill="auto"/>
            <w:vAlign w:val="center"/>
          </w:tcPr>
          <w:p w14:paraId="76CC5FAD">
            <w:pPr>
              <w:jc w:val="center"/>
              <w:rPr>
                <w:rFonts w:ascii="宋体" w:hAnsi="宋体" w:eastAsia="宋体" w:cs="Times New Roman"/>
                <w:color w:val="auto"/>
              </w:rPr>
            </w:pPr>
            <w:r>
              <w:rPr>
                <w:rFonts w:hint="eastAsia" w:ascii="宋体" w:hAnsi="宋体" w:eastAsia="宋体" w:cs="Times New Roman"/>
                <w:color w:val="auto"/>
                <w:spacing w:val="-2"/>
              </w:rPr>
              <w:t>类别</w:t>
            </w:r>
          </w:p>
        </w:tc>
        <w:tc>
          <w:tcPr>
            <w:tcW w:w="440" w:type="pct"/>
            <w:shd w:val="clear" w:color="auto" w:fill="auto"/>
            <w:vAlign w:val="center"/>
          </w:tcPr>
          <w:p w14:paraId="197F553A">
            <w:pPr>
              <w:jc w:val="center"/>
              <w:rPr>
                <w:rFonts w:ascii="宋体" w:hAnsi="宋体" w:eastAsia="宋体" w:cs="Times New Roman"/>
                <w:color w:val="auto"/>
              </w:rPr>
            </w:pPr>
            <w:r>
              <w:rPr>
                <w:rFonts w:hint="eastAsia" w:ascii="宋体" w:hAnsi="宋体" w:eastAsia="宋体" w:cs="Times New Roman"/>
                <w:color w:val="auto"/>
                <w:spacing w:val="-3"/>
              </w:rPr>
              <w:t>名称</w:t>
            </w:r>
          </w:p>
        </w:tc>
        <w:tc>
          <w:tcPr>
            <w:tcW w:w="1200" w:type="pct"/>
            <w:shd w:val="clear" w:color="auto" w:fill="auto"/>
            <w:vAlign w:val="center"/>
          </w:tcPr>
          <w:p w14:paraId="44F562C5">
            <w:pPr>
              <w:jc w:val="center"/>
              <w:rPr>
                <w:rFonts w:ascii="宋体" w:hAnsi="宋体" w:eastAsia="宋体" w:cs="Times New Roman"/>
                <w:color w:val="auto"/>
              </w:rPr>
            </w:pPr>
            <w:r>
              <w:rPr>
                <w:rFonts w:hint="eastAsia" w:ascii="宋体" w:hAnsi="宋体" w:eastAsia="宋体" w:cs="Times New Roman"/>
                <w:color w:val="auto"/>
                <w:spacing w:val="-2"/>
              </w:rPr>
              <w:t>拉丁学名</w:t>
            </w:r>
          </w:p>
        </w:tc>
        <w:tc>
          <w:tcPr>
            <w:tcW w:w="675" w:type="pct"/>
            <w:shd w:val="clear" w:color="auto" w:fill="auto"/>
            <w:vAlign w:val="center"/>
          </w:tcPr>
          <w:p w14:paraId="14DAEB19">
            <w:pPr>
              <w:jc w:val="center"/>
              <w:rPr>
                <w:rFonts w:ascii="宋体" w:hAnsi="宋体" w:eastAsia="宋体" w:cs="Times New Roman"/>
                <w:color w:val="auto"/>
              </w:rPr>
            </w:pPr>
            <w:r>
              <w:rPr>
                <w:rFonts w:hint="eastAsia" w:ascii="宋体" w:hAnsi="宋体" w:eastAsia="宋体" w:cs="Times New Roman"/>
                <w:color w:val="auto"/>
                <w:spacing w:val="-8"/>
              </w:rPr>
              <w:t>株</w:t>
            </w:r>
            <w:r>
              <w:rPr>
                <w:rFonts w:hint="eastAsia" w:ascii="宋体" w:hAnsi="宋体" w:eastAsia="宋体" w:cs="Times New Roman"/>
                <w:color w:val="auto"/>
                <w:spacing w:val="-9"/>
              </w:rPr>
              <w:t>（丛</w:t>
            </w:r>
            <w:r>
              <w:rPr>
                <w:rFonts w:hint="eastAsia" w:ascii="宋体" w:hAnsi="宋体" w:eastAsia="宋体" w:cs="Times New Roman"/>
                <w:color w:val="auto"/>
                <w:spacing w:val="-12"/>
              </w:rPr>
              <w:t>数）</w:t>
            </w:r>
          </w:p>
        </w:tc>
        <w:tc>
          <w:tcPr>
            <w:tcW w:w="837" w:type="pct"/>
            <w:shd w:val="clear" w:color="auto" w:fill="auto"/>
            <w:vAlign w:val="center"/>
          </w:tcPr>
          <w:p w14:paraId="2D79D528">
            <w:pPr>
              <w:jc w:val="center"/>
              <w:rPr>
                <w:rFonts w:ascii="宋体" w:hAnsi="宋体" w:eastAsia="宋体" w:cs="Times New Roman"/>
                <w:color w:val="auto"/>
              </w:rPr>
            </w:pPr>
            <w:r>
              <w:rPr>
                <w:rFonts w:hint="eastAsia" w:ascii="宋体" w:hAnsi="宋体" w:eastAsia="宋体" w:cs="Times New Roman"/>
                <w:color w:val="auto"/>
                <w:spacing w:val="-4"/>
              </w:rPr>
              <w:t>多度</w:t>
            </w:r>
          </w:p>
        </w:tc>
        <w:tc>
          <w:tcPr>
            <w:tcW w:w="376" w:type="pct"/>
            <w:shd w:val="clear" w:color="auto" w:fill="auto"/>
            <w:vAlign w:val="center"/>
          </w:tcPr>
          <w:p w14:paraId="35F3266A">
            <w:pPr>
              <w:jc w:val="center"/>
              <w:rPr>
                <w:rFonts w:ascii="宋体" w:hAnsi="宋体" w:eastAsia="宋体" w:cs="Times New Roman"/>
                <w:color w:val="auto"/>
              </w:rPr>
            </w:pPr>
            <w:r>
              <w:rPr>
                <w:rFonts w:hint="eastAsia" w:ascii="宋体" w:hAnsi="宋体" w:eastAsia="宋体" w:cs="Times New Roman"/>
                <w:color w:val="auto"/>
                <w:spacing w:val="-6"/>
              </w:rPr>
              <w:t>高度</w:t>
            </w:r>
            <w:r>
              <w:rPr>
                <w:rFonts w:hint="eastAsia" w:ascii="宋体" w:hAnsi="宋体" w:eastAsia="宋体" w:cs="Times New Roman"/>
                <w:color w:val="auto"/>
                <w:spacing w:val="-9"/>
              </w:rPr>
              <w:t>（m）</w:t>
            </w:r>
          </w:p>
        </w:tc>
        <w:tc>
          <w:tcPr>
            <w:tcW w:w="532" w:type="pct"/>
            <w:shd w:val="clear" w:color="auto" w:fill="auto"/>
            <w:vAlign w:val="center"/>
          </w:tcPr>
          <w:p w14:paraId="4C1583E7">
            <w:pPr>
              <w:jc w:val="center"/>
              <w:rPr>
                <w:rFonts w:ascii="宋体" w:hAnsi="宋体" w:eastAsia="宋体" w:cs="Times New Roman"/>
                <w:color w:val="auto"/>
              </w:rPr>
            </w:pPr>
            <w:r>
              <w:rPr>
                <w:rFonts w:hint="eastAsia" w:ascii="宋体" w:hAnsi="宋体" w:eastAsia="宋体" w:cs="Times New Roman"/>
                <w:color w:val="auto"/>
                <w:spacing w:val="-4"/>
              </w:rPr>
              <w:t>盖度</w:t>
            </w:r>
            <w:r>
              <w:rPr>
                <w:rFonts w:hint="eastAsia" w:ascii="宋体" w:hAnsi="宋体" w:eastAsia="宋体" w:cs="Times New Roman"/>
                <w:color w:val="auto"/>
                <w:spacing w:val="-9"/>
              </w:rPr>
              <w:t>（%）</w:t>
            </w:r>
          </w:p>
        </w:tc>
      </w:tr>
      <w:tr w14:paraId="6E170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63A14F27">
            <w:pPr>
              <w:jc w:val="center"/>
              <w:rPr>
                <w:rFonts w:ascii="宋体" w:hAnsi="宋体" w:eastAsia="宋体" w:cs="Times New Roman"/>
                <w:color w:val="auto"/>
              </w:rPr>
            </w:pPr>
            <w:r>
              <w:rPr>
                <w:rFonts w:hint="eastAsia" w:ascii="宋体" w:hAnsi="宋体" w:eastAsia="宋体" w:cs="Times New Roman"/>
                <w:color w:val="auto"/>
                <w:spacing w:val="-4"/>
              </w:rPr>
              <w:t>草本</w:t>
            </w:r>
            <w:r>
              <w:rPr>
                <w:rFonts w:hint="eastAsia" w:ascii="宋体" w:hAnsi="宋体" w:eastAsia="宋体" w:cs="Times New Roman"/>
                <w:color w:val="auto"/>
              </w:rPr>
              <w:t>层</w:t>
            </w:r>
          </w:p>
        </w:tc>
        <w:tc>
          <w:tcPr>
            <w:tcW w:w="698" w:type="pct"/>
            <w:shd w:val="clear" w:color="auto" w:fill="auto"/>
            <w:vAlign w:val="center"/>
          </w:tcPr>
          <w:p w14:paraId="3E6685FA">
            <w:pPr>
              <w:jc w:val="center"/>
              <w:rPr>
                <w:rFonts w:ascii="宋体" w:hAnsi="宋体" w:eastAsia="宋体" w:cs="Times New Roman"/>
                <w:color w:val="auto"/>
              </w:rPr>
            </w:pPr>
            <w:r>
              <w:rPr>
                <w:rFonts w:hint="eastAsia" w:ascii="宋体" w:hAnsi="宋体" w:eastAsia="宋体" w:cs="Times New Roman"/>
                <w:color w:val="auto"/>
                <w:spacing w:val="-2"/>
              </w:rPr>
              <w:t>建群种</w:t>
            </w:r>
          </w:p>
        </w:tc>
        <w:tc>
          <w:tcPr>
            <w:tcW w:w="440" w:type="pct"/>
            <w:shd w:val="clear" w:color="auto" w:fill="auto"/>
            <w:vAlign w:val="center"/>
          </w:tcPr>
          <w:p w14:paraId="7E2E967E">
            <w:pPr>
              <w:jc w:val="center"/>
              <w:rPr>
                <w:rFonts w:ascii="宋体" w:hAnsi="宋体" w:eastAsia="宋体" w:cs="Times New Roman"/>
                <w:color w:val="auto"/>
              </w:rPr>
            </w:pPr>
            <w:r>
              <w:rPr>
                <w:rFonts w:hint="eastAsia" w:ascii="宋体" w:hAnsi="宋体" w:eastAsia="宋体" w:cs="Times New Roman"/>
                <w:color w:val="auto"/>
              </w:rPr>
              <w:t>水稻</w:t>
            </w:r>
          </w:p>
        </w:tc>
        <w:tc>
          <w:tcPr>
            <w:tcW w:w="1200" w:type="pct"/>
            <w:shd w:val="clear" w:color="auto" w:fill="auto"/>
            <w:vAlign w:val="center"/>
          </w:tcPr>
          <w:p w14:paraId="5C505556">
            <w:pPr>
              <w:jc w:val="center"/>
              <w:rPr>
                <w:rFonts w:ascii="宋体" w:hAnsi="宋体" w:eastAsia="宋体" w:cs="Times New Roman"/>
                <w:color w:val="auto"/>
                <w:szCs w:val="22"/>
              </w:rPr>
            </w:pPr>
            <w:r>
              <w:rPr>
                <w:rFonts w:ascii="宋体" w:hAnsi="宋体" w:eastAsia="宋体" w:cs="Times New Roman"/>
                <w:i/>
                <w:iCs/>
                <w:color w:val="auto"/>
              </w:rPr>
              <w:t>Oryza sativa L. subsp. japonica</w:t>
            </w:r>
          </w:p>
        </w:tc>
        <w:tc>
          <w:tcPr>
            <w:tcW w:w="675" w:type="pct"/>
            <w:shd w:val="clear" w:color="auto" w:fill="auto"/>
            <w:vAlign w:val="center"/>
          </w:tcPr>
          <w:p w14:paraId="10E69DEF">
            <w:pPr>
              <w:jc w:val="center"/>
              <w:rPr>
                <w:rFonts w:ascii="宋体" w:hAnsi="宋体" w:eastAsia="宋体" w:cs="Times New Roman"/>
                <w:color w:val="auto"/>
              </w:rPr>
            </w:pPr>
            <w:r>
              <w:rPr>
                <w:rFonts w:ascii="宋体" w:hAnsi="宋体" w:eastAsia="宋体" w:cs="Times New Roman"/>
                <w:color w:val="auto"/>
              </w:rPr>
              <w:t>50</w:t>
            </w:r>
          </w:p>
        </w:tc>
        <w:tc>
          <w:tcPr>
            <w:tcW w:w="837" w:type="pct"/>
            <w:shd w:val="clear" w:color="auto" w:fill="auto"/>
            <w:vAlign w:val="center"/>
          </w:tcPr>
          <w:p w14:paraId="7A459D8E">
            <w:pPr>
              <w:jc w:val="center"/>
              <w:rPr>
                <w:rFonts w:ascii="宋体" w:hAnsi="宋体" w:eastAsia="宋体" w:cs="Times New Roman"/>
                <w:color w:val="auto"/>
              </w:rPr>
            </w:pPr>
            <w:r>
              <w:rPr>
                <w:rFonts w:ascii="宋体" w:hAnsi="宋体" w:eastAsia="宋体" w:cs="Times New Roman"/>
                <w:color w:val="auto"/>
                <w:szCs w:val="22"/>
                <w:lang w:bidi="zh-CN"/>
              </w:rPr>
              <w:t>Soc.</w:t>
            </w:r>
          </w:p>
        </w:tc>
        <w:tc>
          <w:tcPr>
            <w:tcW w:w="376" w:type="pct"/>
            <w:shd w:val="clear" w:color="auto" w:fill="auto"/>
            <w:vAlign w:val="center"/>
          </w:tcPr>
          <w:p w14:paraId="5BBA5894">
            <w:pPr>
              <w:jc w:val="center"/>
              <w:rPr>
                <w:rFonts w:ascii="宋体" w:hAnsi="宋体" w:eastAsia="宋体" w:cs="Times New Roman"/>
                <w:color w:val="auto"/>
              </w:rPr>
            </w:pPr>
            <w:r>
              <w:rPr>
                <w:rFonts w:ascii="宋体" w:hAnsi="宋体" w:eastAsia="宋体" w:cs="Times New Roman"/>
                <w:color w:val="auto"/>
                <w:spacing w:val="-2"/>
              </w:rPr>
              <w:t>0.8</w:t>
            </w:r>
          </w:p>
        </w:tc>
        <w:tc>
          <w:tcPr>
            <w:tcW w:w="532" w:type="pct"/>
            <w:shd w:val="clear" w:color="auto" w:fill="auto"/>
            <w:vAlign w:val="center"/>
          </w:tcPr>
          <w:p w14:paraId="16E519AF">
            <w:pPr>
              <w:jc w:val="center"/>
              <w:rPr>
                <w:rFonts w:ascii="宋体" w:hAnsi="宋体" w:eastAsia="宋体" w:cs="Times New Roman"/>
                <w:color w:val="auto"/>
              </w:rPr>
            </w:pPr>
            <w:r>
              <w:rPr>
                <w:rFonts w:ascii="宋体" w:hAnsi="宋体" w:eastAsia="宋体" w:cs="Times New Roman"/>
                <w:color w:val="auto"/>
                <w:spacing w:val="-2"/>
              </w:rPr>
              <w:t>95</w:t>
            </w:r>
          </w:p>
        </w:tc>
      </w:tr>
      <w:tr w14:paraId="1CD55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03B39E87">
            <w:pPr>
              <w:adjustRightInd w:val="0"/>
              <w:snapToGrid w:val="0"/>
              <w:jc w:val="center"/>
              <w:rPr>
                <w:rFonts w:ascii="宋体" w:hAnsi="宋体" w:eastAsia="宋体" w:cs="Arial"/>
                <w:color w:val="auto"/>
              </w:rPr>
            </w:pPr>
            <w:r>
              <w:rPr>
                <w:rFonts w:ascii="宋体" w:hAnsi="宋体" w:eastAsia="宋体" w:cs="Arial"/>
                <w:color w:val="auto"/>
              </w:rPr>
              <w:drawing>
                <wp:inline distT="0" distB="0" distL="0" distR="0">
                  <wp:extent cx="3752850" cy="2813050"/>
                  <wp:effectExtent l="0" t="0" r="0" b="6350"/>
                  <wp:docPr id="1352728139" name="图片 1352728139" descr="D:\Users\DELL\Documents\WeChat Files\wxid_0rf4mizuauk621\FileStorage\Temp\63eec09a9f5efccc70b57ef4036b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39" name="图片 1352728139" descr="D:\Users\DELL\Documents\WeChat Files\wxid_0rf4mizuauk621\FileStorage\Temp\63eec09a9f5efccc70b57ef4036b476.jpg"/>
                          <pic:cNvPicPr>
                            <a:picLocks noChangeAspect="1" noChangeArrowheads="1"/>
                          </pic:cNvPicPr>
                        </pic:nvPicPr>
                        <pic:blipFill>
                          <a:blip r:embed="rId68"/>
                          <a:srcRect/>
                          <a:stretch>
                            <a:fillRect/>
                          </a:stretch>
                        </pic:blipFill>
                        <pic:spPr>
                          <a:xfrm>
                            <a:off x="0" y="0"/>
                            <a:ext cx="3784620" cy="2813050"/>
                          </a:xfrm>
                          <a:prstGeom prst="rect">
                            <a:avLst/>
                          </a:prstGeom>
                          <a:noFill/>
                          <a:ln>
                            <a:noFill/>
                          </a:ln>
                        </pic:spPr>
                      </pic:pic>
                    </a:graphicData>
                  </a:graphic>
                </wp:inline>
              </w:drawing>
            </w:r>
          </w:p>
        </w:tc>
      </w:tr>
    </w:tbl>
    <w:p w14:paraId="3FA7FD86">
      <w:pPr>
        <w:spacing w:line="440" w:lineRule="exact"/>
        <w:ind w:firstLine="420" w:firstLineChars="200"/>
        <w:jc w:val="center"/>
        <w:rPr>
          <w:rFonts w:ascii="宋体" w:hAnsi="宋体" w:eastAsia="宋体" w:cs="Times New Roman"/>
          <w:color w:val="auto"/>
        </w:rPr>
      </w:pPr>
      <w:r>
        <w:rPr>
          <w:rFonts w:hint="eastAsia" w:ascii="宋体" w:hAnsi="宋体" w:eastAsia="宋体" w:cs="Times New Roman"/>
          <w:color w:val="auto"/>
        </w:rPr>
        <w:t xml:space="preserve">表 </w:t>
      </w:r>
      <w:r>
        <w:rPr>
          <w:rFonts w:ascii="宋体" w:hAnsi="宋体" w:eastAsia="宋体" w:cs="Times New Roman"/>
          <w:color w:val="auto"/>
        </w:rPr>
        <w:t>4.4-8 3</w:t>
      </w:r>
      <w:r>
        <w:rPr>
          <w:rFonts w:hint="eastAsia" w:ascii="宋体" w:hAnsi="宋体" w:eastAsia="宋体" w:cs="Times New Roman"/>
          <w:color w:val="auto"/>
        </w:rPr>
        <w:t>#点</w:t>
      </w:r>
      <w:r>
        <w:rPr>
          <w:rFonts w:ascii="宋体" w:hAnsi="宋体" w:eastAsia="宋体" w:cs="Times New Roman"/>
          <w:color w:val="auto"/>
        </w:rPr>
        <w:t>样方调查结果表</w:t>
      </w:r>
    </w:p>
    <w:tbl>
      <w:tblPr>
        <w:tblStyle w:val="17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26"/>
        <w:gridCol w:w="1476"/>
        <w:gridCol w:w="790"/>
        <w:gridCol w:w="2203"/>
        <w:gridCol w:w="1228"/>
        <w:gridCol w:w="1530"/>
        <w:gridCol w:w="697"/>
        <w:gridCol w:w="937"/>
      </w:tblGrid>
      <w:tr w14:paraId="195C9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2AB5C8D6">
            <w:pPr>
              <w:jc w:val="center"/>
              <w:rPr>
                <w:rFonts w:ascii="宋体" w:hAnsi="宋体" w:eastAsia="宋体" w:cs="Times New Roman"/>
                <w:color w:val="auto"/>
              </w:rPr>
            </w:pPr>
            <w:r>
              <w:rPr>
                <w:rFonts w:hint="eastAsia" w:ascii="宋体" w:hAnsi="宋体" w:eastAsia="宋体" w:cs="Times New Roman"/>
                <w:color w:val="auto"/>
                <w:spacing w:val="-2"/>
              </w:rPr>
              <w:t>编号</w:t>
            </w:r>
          </w:p>
        </w:tc>
        <w:tc>
          <w:tcPr>
            <w:tcW w:w="698" w:type="pct"/>
            <w:shd w:val="clear" w:color="auto" w:fill="auto"/>
            <w:vAlign w:val="center"/>
          </w:tcPr>
          <w:p w14:paraId="1AE67457">
            <w:pPr>
              <w:jc w:val="center"/>
              <w:rPr>
                <w:rFonts w:ascii="宋体" w:hAnsi="宋体" w:eastAsia="宋体" w:cs="Times New Roman"/>
                <w:color w:val="auto"/>
              </w:rPr>
            </w:pPr>
            <w:r>
              <w:rPr>
                <w:rFonts w:ascii="宋体" w:hAnsi="宋体" w:eastAsia="宋体" w:cs="Times New Roman"/>
                <w:color w:val="auto"/>
              </w:rPr>
              <w:t>3</w:t>
            </w:r>
          </w:p>
        </w:tc>
        <w:tc>
          <w:tcPr>
            <w:tcW w:w="440" w:type="pct"/>
            <w:shd w:val="clear" w:color="auto" w:fill="auto"/>
            <w:vAlign w:val="center"/>
          </w:tcPr>
          <w:p w14:paraId="1609E2BC">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rPr>
              <w:t>人</w:t>
            </w:r>
          </w:p>
        </w:tc>
        <w:tc>
          <w:tcPr>
            <w:tcW w:w="1200" w:type="pct"/>
            <w:shd w:val="clear" w:color="auto" w:fill="auto"/>
            <w:vAlign w:val="center"/>
          </w:tcPr>
          <w:p w14:paraId="144BF175">
            <w:pPr>
              <w:jc w:val="center"/>
              <w:rPr>
                <w:rFonts w:ascii="宋体" w:hAnsi="宋体" w:eastAsia="宋体" w:cs="Times New Roman"/>
                <w:color w:val="auto"/>
              </w:rPr>
            </w:pPr>
            <w:r>
              <w:rPr>
                <w:rFonts w:hint="eastAsia" w:ascii="宋体" w:hAnsi="宋体" w:eastAsia="宋体" w:cs="Times New Roman"/>
                <w:color w:val="auto"/>
              </w:rPr>
              <w:t>聂海军、袁超</w:t>
            </w:r>
          </w:p>
        </w:tc>
        <w:tc>
          <w:tcPr>
            <w:tcW w:w="675" w:type="pct"/>
            <w:shd w:val="clear" w:color="auto" w:fill="auto"/>
            <w:vAlign w:val="center"/>
          </w:tcPr>
          <w:p w14:paraId="407AE0F5">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spacing w:val="-22"/>
              </w:rPr>
              <w:t>日 期</w:t>
            </w:r>
          </w:p>
        </w:tc>
        <w:tc>
          <w:tcPr>
            <w:tcW w:w="837" w:type="pct"/>
            <w:shd w:val="clear" w:color="auto" w:fill="auto"/>
            <w:vAlign w:val="center"/>
          </w:tcPr>
          <w:p w14:paraId="4514ED79">
            <w:pPr>
              <w:jc w:val="center"/>
              <w:rPr>
                <w:rFonts w:ascii="宋体" w:hAnsi="宋体" w:eastAsia="宋体" w:cs="Times New Roman"/>
                <w:color w:val="auto"/>
              </w:rPr>
            </w:pPr>
            <w:r>
              <w:rPr>
                <w:rFonts w:hint="eastAsia" w:ascii="宋体" w:hAnsi="宋体" w:eastAsia="宋体" w:cs="Times New Roman"/>
                <w:color w:val="auto"/>
                <w:spacing w:val="-1"/>
              </w:rPr>
              <w:t>202</w:t>
            </w:r>
            <w:r>
              <w:rPr>
                <w:rFonts w:ascii="宋体" w:hAnsi="宋体" w:eastAsia="宋体" w:cs="Times New Roman"/>
                <w:color w:val="auto"/>
                <w:spacing w:val="-1"/>
              </w:rPr>
              <w:t>5</w:t>
            </w:r>
            <w:r>
              <w:rPr>
                <w:rFonts w:hint="eastAsia" w:ascii="宋体" w:hAnsi="宋体" w:eastAsia="宋体" w:cs="Times New Roman"/>
                <w:color w:val="auto"/>
                <w:spacing w:val="-1"/>
              </w:rPr>
              <w:t>/</w:t>
            </w:r>
            <w:r>
              <w:rPr>
                <w:rFonts w:ascii="宋体" w:hAnsi="宋体" w:eastAsia="宋体" w:cs="Times New Roman"/>
                <w:color w:val="auto"/>
                <w:spacing w:val="-1"/>
              </w:rPr>
              <w:t>10</w:t>
            </w:r>
            <w:r>
              <w:rPr>
                <w:rFonts w:hint="eastAsia" w:ascii="宋体" w:hAnsi="宋体" w:eastAsia="宋体" w:cs="Times New Roman"/>
                <w:color w:val="auto"/>
                <w:spacing w:val="-1"/>
              </w:rPr>
              <w:t>/</w:t>
            </w:r>
            <w:r>
              <w:rPr>
                <w:rFonts w:ascii="宋体" w:hAnsi="宋体" w:eastAsia="宋体" w:cs="Times New Roman"/>
                <w:color w:val="auto"/>
                <w:spacing w:val="-1"/>
              </w:rPr>
              <w:t>10</w:t>
            </w:r>
          </w:p>
        </w:tc>
        <w:tc>
          <w:tcPr>
            <w:tcW w:w="376" w:type="pct"/>
            <w:shd w:val="clear" w:color="auto" w:fill="auto"/>
            <w:vAlign w:val="center"/>
          </w:tcPr>
          <w:p w14:paraId="4EE705F6">
            <w:pPr>
              <w:jc w:val="center"/>
              <w:rPr>
                <w:rFonts w:ascii="宋体" w:hAnsi="宋体" w:eastAsia="宋体" w:cs="Times New Roman"/>
                <w:color w:val="auto"/>
              </w:rPr>
            </w:pPr>
            <w:r>
              <w:rPr>
                <w:rFonts w:hint="eastAsia" w:ascii="宋体" w:hAnsi="宋体" w:eastAsia="宋体" w:cs="Times New Roman"/>
                <w:color w:val="auto"/>
                <w:spacing w:val="-3"/>
              </w:rPr>
              <w:t>样方尺寸</w:t>
            </w:r>
          </w:p>
        </w:tc>
        <w:tc>
          <w:tcPr>
            <w:tcW w:w="531" w:type="pct"/>
            <w:shd w:val="clear" w:color="auto" w:fill="auto"/>
            <w:vAlign w:val="center"/>
          </w:tcPr>
          <w:p w14:paraId="0FDC8164">
            <w:pPr>
              <w:jc w:val="center"/>
              <w:rPr>
                <w:rFonts w:ascii="宋体" w:hAnsi="宋体" w:eastAsia="宋体" w:cs="Times New Roman"/>
                <w:color w:val="auto"/>
              </w:rPr>
            </w:pPr>
            <w:r>
              <w:rPr>
                <w:rFonts w:hint="eastAsia" w:ascii="宋体" w:hAnsi="宋体" w:eastAsia="宋体" w:cs="Times New Roman"/>
                <w:color w:val="auto"/>
                <w:spacing w:val="-6"/>
              </w:rPr>
              <w:t>1m×</w:t>
            </w:r>
            <w:r>
              <w:rPr>
                <w:rFonts w:hint="eastAsia" w:ascii="宋体" w:hAnsi="宋体" w:eastAsia="宋体" w:cs="Times New Roman"/>
                <w:color w:val="auto"/>
                <w:spacing w:val="-8"/>
              </w:rPr>
              <w:t>1m</w:t>
            </w:r>
          </w:p>
        </w:tc>
      </w:tr>
      <w:tr w14:paraId="0698D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100DFB71">
            <w:pPr>
              <w:jc w:val="center"/>
              <w:rPr>
                <w:rFonts w:ascii="宋体" w:hAnsi="宋体" w:eastAsia="宋体" w:cs="Times New Roman"/>
                <w:color w:val="auto"/>
              </w:rPr>
            </w:pPr>
            <w:r>
              <w:rPr>
                <w:rFonts w:hint="eastAsia" w:ascii="宋体" w:hAnsi="宋体" w:eastAsia="宋体" w:cs="Times New Roman"/>
                <w:color w:val="auto"/>
                <w:spacing w:val="-2"/>
              </w:rPr>
              <w:t>经度</w:t>
            </w:r>
          </w:p>
        </w:tc>
        <w:tc>
          <w:tcPr>
            <w:tcW w:w="698" w:type="pct"/>
            <w:shd w:val="clear" w:color="auto" w:fill="auto"/>
            <w:vAlign w:val="center"/>
          </w:tcPr>
          <w:p w14:paraId="0373CA30">
            <w:pPr>
              <w:jc w:val="center"/>
              <w:rPr>
                <w:rFonts w:ascii="宋体" w:hAnsi="宋体" w:eastAsia="宋体" w:cs="Times New Roman"/>
                <w:color w:val="auto"/>
              </w:rPr>
            </w:pPr>
            <w:r>
              <w:rPr>
                <w:rFonts w:ascii="宋体" w:hAnsi="宋体" w:eastAsia="宋体" w:cs="Times New Roman"/>
                <w:color w:val="auto"/>
              </w:rPr>
              <w:t>125.15155111</w:t>
            </w:r>
          </w:p>
        </w:tc>
        <w:tc>
          <w:tcPr>
            <w:tcW w:w="440" w:type="pct"/>
            <w:shd w:val="clear" w:color="auto" w:fill="auto"/>
            <w:vAlign w:val="center"/>
          </w:tcPr>
          <w:p w14:paraId="0C204664">
            <w:pPr>
              <w:jc w:val="center"/>
              <w:rPr>
                <w:rFonts w:ascii="宋体" w:hAnsi="宋体" w:eastAsia="宋体" w:cs="Times New Roman"/>
                <w:color w:val="auto"/>
              </w:rPr>
            </w:pPr>
            <w:r>
              <w:rPr>
                <w:rFonts w:hint="eastAsia" w:ascii="宋体" w:hAnsi="宋体" w:eastAsia="宋体" w:cs="Times New Roman"/>
                <w:color w:val="auto"/>
                <w:spacing w:val="-2"/>
              </w:rPr>
              <w:t>纬度</w:t>
            </w:r>
          </w:p>
        </w:tc>
        <w:tc>
          <w:tcPr>
            <w:tcW w:w="1200" w:type="pct"/>
            <w:shd w:val="clear" w:color="auto" w:fill="auto"/>
            <w:vAlign w:val="center"/>
          </w:tcPr>
          <w:p w14:paraId="4D393196">
            <w:pPr>
              <w:jc w:val="center"/>
              <w:rPr>
                <w:rFonts w:ascii="宋体" w:hAnsi="宋体" w:eastAsia="宋体" w:cs="Times New Roman"/>
                <w:color w:val="auto"/>
              </w:rPr>
            </w:pPr>
            <w:r>
              <w:rPr>
                <w:rFonts w:ascii="宋体" w:hAnsi="宋体" w:eastAsia="宋体" w:cs="Times New Roman"/>
                <w:color w:val="auto"/>
              </w:rPr>
              <w:t>45.53558990</w:t>
            </w:r>
          </w:p>
        </w:tc>
        <w:tc>
          <w:tcPr>
            <w:tcW w:w="675" w:type="pct"/>
            <w:shd w:val="clear" w:color="auto" w:fill="auto"/>
            <w:vAlign w:val="center"/>
          </w:tcPr>
          <w:p w14:paraId="2630175E">
            <w:pPr>
              <w:jc w:val="center"/>
              <w:rPr>
                <w:rFonts w:ascii="宋体" w:hAnsi="宋体" w:eastAsia="宋体" w:cs="Times New Roman"/>
                <w:color w:val="auto"/>
              </w:rPr>
            </w:pPr>
            <w:r>
              <w:rPr>
                <w:rFonts w:hint="eastAsia" w:ascii="宋体" w:hAnsi="宋体" w:eastAsia="宋体" w:cs="Times New Roman"/>
                <w:color w:val="auto"/>
                <w:spacing w:val="-3"/>
              </w:rPr>
              <w:t>海拔</w:t>
            </w:r>
            <w:r>
              <w:rPr>
                <w:rFonts w:hint="eastAsia" w:ascii="宋体" w:hAnsi="宋体" w:eastAsia="宋体" w:cs="Times New Roman"/>
                <w:color w:val="auto"/>
                <w:spacing w:val="-9"/>
              </w:rPr>
              <w:t>（m）</w:t>
            </w:r>
          </w:p>
        </w:tc>
        <w:tc>
          <w:tcPr>
            <w:tcW w:w="837" w:type="pct"/>
            <w:shd w:val="clear" w:color="auto" w:fill="auto"/>
            <w:vAlign w:val="center"/>
          </w:tcPr>
          <w:p w14:paraId="1DFD3CC1">
            <w:pPr>
              <w:jc w:val="center"/>
              <w:rPr>
                <w:rFonts w:ascii="宋体" w:hAnsi="宋体" w:eastAsia="宋体" w:cs="Times New Roman"/>
                <w:color w:val="auto"/>
              </w:rPr>
            </w:pPr>
            <w:r>
              <w:rPr>
                <w:rFonts w:hint="eastAsia" w:ascii="宋体" w:hAnsi="宋体" w:eastAsia="宋体" w:cs="Times New Roman"/>
                <w:color w:val="auto"/>
                <w:spacing w:val="-5"/>
              </w:rPr>
              <w:t>1</w:t>
            </w:r>
            <w:r>
              <w:rPr>
                <w:rFonts w:ascii="宋体" w:hAnsi="宋体" w:eastAsia="宋体" w:cs="Times New Roman"/>
                <w:color w:val="auto"/>
                <w:spacing w:val="-5"/>
              </w:rPr>
              <w:t>26</w:t>
            </w:r>
          </w:p>
        </w:tc>
        <w:tc>
          <w:tcPr>
            <w:tcW w:w="376" w:type="pct"/>
            <w:shd w:val="clear" w:color="auto" w:fill="auto"/>
            <w:vAlign w:val="center"/>
          </w:tcPr>
          <w:p w14:paraId="17107628">
            <w:pPr>
              <w:jc w:val="center"/>
              <w:rPr>
                <w:rFonts w:ascii="宋体" w:hAnsi="宋体" w:eastAsia="宋体" w:cs="Times New Roman"/>
                <w:color w:val="auto"/>
              </w:rPr>
            </w:pPr>
            <w:r>
              <w:rPr>
                <w:rFonts w:hint="eastAsia" w:ascii="宋体" w:hAnsi="宋体" w:eastAsia="宋体" w:cs="Times New Roman"/>
                <w:color w:val="auto"/>
                <w:spacing w:val="-2"/>
              </w:rPr>
              <w:t>坡度</w:t>
            </w:r>
          </w:p>
        </w:tc>
        <w:tc>
          <w:tcPr>
            <w:tcW w:w="531" w:type="pct"/>
            <w:shd w:val="clear" w:color="auto" w:fill="auto"/>
            <w:vAlign w:val="center"/>
          </w:tcPr>
          <w:p w14:paraId="6D919F4A">
            <w:pPr>
              <w:jc w:val="center"/>
              <w:rPr>
                <w:rFonts w:ascii="宋体" w:hAnsi="宋体" w:eastAsia="宋体" w:cs="Times New Roman"/>
                <w:color w:val="auto"/>
              </w:rPr>
            </w:pPr>
            <w:r>
              <w:rPr>
                <w:rFonts w:hint="eastAsia" w:ascii="宋体" w:hAnsi="宋体" w:eastAsia="宋体" w:cs="Times New Roman"/>
                <w:color w:val="auto"/>
              </w:rPr>
              <w:t>0</w:t>
            </w:r>
          </w:p>
        </w:tc>
      </w:tr>
      <w:tr w14:paraId="2EE08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300A7A4A">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spacing w:val="-5"/>
              </w:rPr>
              <w:t>名称</w:t>
            </w:r>
          </w:p>
        </w:tc>
        <w:tc>
          <w:tcPr>
            <w:tcW w:w="2338" w:type="pct"/>
            <w:gridSpan w:val="3"/>
            <w:shd w:val="clear" w:color="auto" w:fill="auto"/>
            <w:vAlign w:val="center"/>
          </w:tcPr>
          <w:p w14:paraId="1D0244BF">
            <w:pPr>
              <w:jc w:val="center"/>
              <w:rPr>
                <w:rFonts w:ascii="宋体" w:hAnsi="宋体" w:eastAsia="宋体" w:cs="Times New Roman"/>
                <w:color w:val="auto"/>
              </w:rPr>
            </w:pPr>
            <w:r>
              <w:rPr>
                <w:rFonts w:hint="eastAsia" w:ascii="宋体" w:hAnsi="宋体" w:eastAsia="宋体" w:cs="Times New Roman"/>
                <w:color w:val="auto"/>
              </w:rPr>
              <w:t>水稻群落</w:t>
            </w:r>
          </w:p>
        </w:tc>
        <w:tc>
          <w:tcPr>
            <w:tcW w:w="675" w:type="pct"/>
            <w:shd w:val="clear" w:color="auto" w:fill="auto"/>
            <w:vAlign w:val="center"/>
          </w:tcPr>
          <w:p w14:paraId="7B142162">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spacing w:val="-4"/>
              </w:rPr>
              <w:t>拉丁学名</w:t>
            </w:r>
          </w:p>
        </w:tc>
        <w:tc>
          <w:tcPr>
            <w:tcW w:w="1744" w:type="pct"/>
            <w:gridSpan w:val="3"/>
            <w:shd w:val="clear" w:color="auto" w:fill="auto"/>
            <w:vAlign w:val="center"/>
          </w:tcPr>
          <w:p w14:paraId="4E51B02D">
            <w:pPr>
              <w:jc w:val="center"/>
              <w:rPr>
                <w:rFonts w:ascii="宋体" w:hAnsi="宋体" w:eastAsia="宋体" w:cs="Times New Roman"/>
                <w:color w:val="auto"/>
                <w:szCs w:val="22"/>
              </w:rPr>
            </w:pPr>
            <w:r>
              <w:rPr>
                <w:rFonts w:ascii="宋体" w:hAnsi="宋体" w:eastAsia="宋体" w:cs="Times New Roman"/>
                <w:i/>
                <w:iCs/>
                <w:color w:val="auto"/>
              </w:rPr>
              <w:t>Oryza sativa L. subsp. japonica</w:t>
            </w:r>
          </w:p>
        </w:tc>
      </w:tr>
      <w:tr w14:paraId="3E961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769BEDB1">
            <w:pPr>
              <w:jc w:val="center"/>
              <w:rPr>
                <w:rFonts w:ascii="宋体" w:hAnsi="宋体" w:eastAsia="宋体" w:cs="Times New Roman"/>
                <w:color w:val="auto"/>
              </w:rPr>
            </w:pPr>
            <w:r>
              <w:rPr>
                <w:rFonts w:hint="eastAsia" w:ascii="宋体" w:hAnsi="宋体" w:eastAsia="宋体" w:cs="Times New Roman"/>
                <w:color w:val="auto"/>
                <w:spacing w:val="-2"/>
              </w:rPr>
              <w:t>层次</w:t>
            </w:r>
          </w:p>
        </w:tc>
        <w:tc>
          <w:tcPr>
            <w:tcW w:w="698" w:type="pct"/>
            <w:shd w:val="clear" w:color="auto" w:fill="auto"/>
            <w:vAlign w:val="center"/>
          </w:tcPr>
          <w:p w14:paraId="56FAA4BF">
            <w:pPr>
              <w:jc w:val="center"/>
              <w:rPr>
                <w:rFonts w:ascii="宋体" w:hAnsi="宋体" w:eastAsia="宋体" w:cs="Times New Roman"/>
                <w:color w:val="auto"/>
              </w:rPr>
            </w:pPr>
            <w:r>
              <w:rPr>
                <w:rFonts w:hint="eastAsia" w:ascii="宋体" w:hAnsi="宋体" w:eastAsia="宋体" w:cs="Times New Roman"/>
                <w:color w:val="auto"/>
                <w:spacing w:val="-2"/>
              </w:rPr>
              <w:t>类别</w:t>
            </w:r>
          </w:p>
        </w:tc>
        <w:tc>
          <w:tcPr>
            <w:tcW w:w="440" w:type="pct"/>
            <w:shd w:val="clear" w:color="auto" w:fill="auto"/>
            <w:vAlign w:val="center"/>
          </w:tcPr>
          <w:p w14:paraId="688F208E">
            <w:pPr>
              <w:jc w:val="center"/>
              <w:rPr>
                <w:rFonts w:ascii="宋体" w:hAnsi="宋体" w:eastAsia="宋体" w:cs="Times New Roman"/>
                <w:color w:val="auto"/>
              </w:rPr>
            </w:pPr>
            <w:r>
              <w:rPr>
                <w:rFonts w:hint="eastAsia" w:ascii="宋体" w:hAnsi="宋体" w:eastAsia="宋体" w:cs="Times New Roman"/>
                <w:color w:val="auto"/>
                <w:spacing w:val="-3"/>
              </w:rPr>
              <w:t>名称</w:t>
            </w:r>
          </w:p>
        </w:tc>
        <w:tc>
          <w:tcPr>
            <w:tcW w:w="1200" w:type="pct"/>
            <w:shd w:val="clear" w:color="auto" w:fill="auto"/>
            <w:vAlign w:val="center"/>
          </w:tcPr>
          <w:p w14:paraId="55E0DA60">
            <w:pPr>
              <w:jc w:val="center"/>
              <w:rPr>
                <w:rFonts w:ascii="宋体" w:hAnsi="宋体" w:eastAsia="宋体" w:cs="Times New Roman"/>
                <w:color w:val="auto"/>
              </w:rPr>
            </w:pPr>
            <w:r>
              <w:rPr>
                <w:rFonts w:hint="eastAsia" w:ascii="宋体" w:hAnsi="宋体" w:eastAsia="宋体" w:cs="Times New Roman"/>
                <w:color w:val="auto"/>
                <w:spacing w:val="-2"/>
              </w:rPr>
              <w:t>拉丁学名</w:t>
            </w:r>
          </w:p>
        </w:tc>
        <w:tc>
          <w:tcPr>
            <w:tcW w:w="675" w:type="pct"/>
            <w:shd w:val="clear" w:color="auto" w:fill="auto"/>
            <w:vAlign w:val="center"/>
          </w:tcPr>
          <w:p w14:paraId="2E267935">
            <w:pPr>
              <w:jc w:val="center"/>
              <w:rPr>
                <w:rFonts w:ascii="宋体" w:hAnsi="宋体" w:eastAsia="宋体" w:cs="Times New Roman"/>
                <w:color w:val="auto"/>
              </w:rPr>
            </w:pPr>
            <w:r>
              <w:rPr>
                <w:rFonts w:hint="eastAsia" w:ascii="宋体" w:hAnsi="宋体" w:eastAsia="宋体" w:cs="Times New Roman"/>
                <w:color w:val="auto"/>
                <w:spacing w:val="-8"/>
              </w:rPr>
              <w:t>株</w:t>
            </w:r>
            <w:r>
              <w:rPr>
                <w:rFonts w:hint="eastAsia" w:ascii="宋体" w:hAnsi="宋体" w:eastAsia="宋体" w:cs="Times New Roman"/>
                <w:color w:val="auto"/>
                <w:spacing w:val="-9"/>
              </w:rPr>
              <w:t>（丛</w:t>
            </w:r>
            <w:r>
              <w:rPr>
                <w:rFonts w:hint="eastAsia" w:ascii="宋体" w:hAnsi="宋体" w:eastAsia="宋体" w:cs="Times New Roman"/>
                <w:color w:val="auto"/>
                <w:spacing w:val="-12"/>
              </w:rPr>
              <w:t>数）</w:t>
            </w:r>
          </w:p>
        </w:tc>
        <w:tc>
          <w:tcPr>
            <w:tcW w:w="837" w:type="pct"/>
            <w:shd w:val="clear" w:color="auto" w:fill="auto"/>
            <w:vAlign w:val="center"/>
          </w:tcPr>
          <w:p w14:paraId="1504A20D">
            <w:pPr>
              <w:jc w:val="center"/>
              <w:rPr>
                <w:rFonts w:ascii="宋体" w:hAnsi="宋体" w:eastAsia="宋体" w:cs="Times New Roman"/>
                <w:color w:val="auto"/>
              </w:rPr>
            </w:pPr>
            <w:r>
              <w:rPr>
                <w:rFonts w:hint="eastAsia" w:ascii="宋体" w:hAnsi="宋体" w:eastAsia="宋体" w:cs="Times New Roman"/>
                <w:color w:val="auto"/>
                <w:spacing w:val="-4"/>
              </w:rPr>
              <w:t>多度</w:t>
            </w:r>
          </w:p>
        </w:tc>
        <w:tc>
          <w:tcPr>
            <w:tcW w:w="376" w:type="pct"/>
            <w:shd w:val="clear" w:color="auto" w:fill="auto"/>
            <w:vAlign w:val="center"/>
          </w:tcPr>
          <w:p w14:paraId="6DC97E3F">
            <w:pPr>
              <w:jc w:val="center"/>
              <w:rPr>
                <w:rFonts w:ascii="宋体" w:hAnsi="宋体" w:eastAsia="宋体" w:cs="Times New Roman"/>
                <w:color w:val="auto"/>
              </w:rPr>
            </w:pPr>
            <w:r>
              <w:rPr>
                <w:rFonts w:hint="eastAsia" w:ascii="宋体" w:hAnsi="宋体" w:eastAsia="宋体" w:cs="Times New Roman"/>
                <w:color w:val="auto"/>
                <w:spacing w:val="-6"/>
              </w:rPr>
              <w:t>高度</w:t>
            </w:r>
            <w:r>
              <w:rPr>
                <w:rFonts w:hint="eastAsia" w:ascii="宋体" w:hAnsi="宋体" w:eastAsia="宋体" w:cs="Times New Roman"/>
                <w:color w:val="auto"/>
                <w:spacing w:val="-9"/>
              </w:rPr>
              <w:t>（m）</w:t>
            </w:r>
          </w:p>
        </w:tc>
        <w:tc>
          <w:tcPr>
            <w:tcW w:w="531" w:type="pct"/>
            <w:shd w:val="clear" w:color="auto" w:fill="auto"/>
            <w:vAlign w:val="center"/>
          </w:tcPr>
          <w:p w14:paraId="65FD398F">
            <w:pPr>
              <w:jc w:val="center"/>
              <w:rPr>
                <w:rFonts w:ascii="宋体" w:hAnsi="宋体" w:eastAsia="宋体" w:cs="Times New Roman"/>
                <w:color w:val="auto"/>
              </w:rPr>
            </w:pPr>
            <w:r>
              <w:rPr>
                <w:rFonts w:hint="eastAsia" w:ascii="宋体" w:hAnsi="宋体" w:eastAsia="宋体" w:cs="Times New Roman"/>
                <w:color w:val="auto"/>
                <w:spacing w:val="-4"/>
              </w:rPr>
              <w:t>盖度</w:t>
            </w:r>
            <w:r>
              <w:rPr>
                <w:rFonts w:hint="eastAsia" w:ascii="宋体" w:hAnsi="宋体" w:eastAsia="宋体" w:cs="Times New Roman"/>
                <w:color w:val="auto"/>
                <w:spacing w:val="-9"/>
              </w:rPr>
              <w:t>（%）</w:t>
            </w:r>
          </w:p>
        </w:tc>
      </w:tr>
      <w:tr w14:paraId="41103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3" w:type="pct"/>
            <w:shd w:val="clear" w:color="auto" w:fill="auto"/>
            <w:vAlign w:val="center"/>
          </w:tcPr>
          <w:p w14:paraId="1F8D6F54">
            <w:pPr>
              <w:jc w:val="center"/>
              <w:rPr>
                <w:rFonts w:ascii="宋体" w:hAnsi="宋体" w:eastAsia="宋体" w:cs="Times New Roman"/>
                <w:color w:val="auto"/>
              </w:rPr>
            </w:pPr>
            <w:r>
              <w:rPr>
                <w:rFonts w:hint="eastAsia" w:ascii="宋体" w:hAnsi="宋体" w:eastAsia="宋体" w:cs="Times New Roman"/>
                <w:color w:val="auto"/>
                <w:spacing w:val="-4"/>
              </w:rPr>
              <w:t>草本</w:t>
            </w:r>
            <w:r>
              <w:rPr>
                <w:rFonts w:hint="eastAsia" w:ascii="宋体" w:hAnsi="宋体" w:eastAsia="宋体" w:cs="Times New Roman"/>
                <w:color w:val="auto"/>
              </w:rPr>
              <w:t>层</w:t>
            </w:r>
          </w:p>
        </w:tc>
        <w:tc>
          <w:tcPr>
            <w:tcW w:w="698" w:type="pct"/>
            <w:shd w:val="clear" w:color="auto" w:fill="auto"/>
            <w:vAlign w:val="center"/>
          </w:tcPr>
          <w:p w14:paraId="0FF49DBE">
            <w:pPr>
              <w:jc w:val="center"/>
              <w:rPr>
                <w:rFonts w:ascii="宋体" w:hAnsi="宋体" w:eastAsia="宋体" w:cs="Times New Roman"/>
                <w:color w:val="auto"/>
              </w:rPr>
            </w:pPr>
            <w:r>
              <w:rPr>
                <w:rFonts w:hint="eastAsia" w:ascii="宋体" w:hAnsi="宋体" w:eastAsia="宋体" w:cs="Times New Roman"/>
                <w:color w:val="auto"/>
                <w:spacing w:val="-2"/>
              </w:rPr>
              <w:t>建群种</w:t>
            </w:r>
          </w:p>
        </w:tc>
        <w:tc>
          <w:tcPr>
            <w:tcW w:w="440" w:type="pct"/>
            <w:shd w:val="clear" w:color="auto" w:fill="auto"/>
            <w:vAlign w:val="center"/>
          </w:tcPr>
          <w:p w14:paraId="36544CA7">
            <w:pPr>
              <w:jc w:val="center"/>
              <w:rPr>
                <w:rFonts w:ascii="宋体" w:hAnsi="宋体" w:eastAsia="宋体" w:cs="Times New Roman"/>
                <w:color w:val="auto"/>
              </w:rPr>
            </w:pPr>
            <w:r>
              <w:rPr>
                <w:rFonts w:hint="eastAsia" w:ascii="宋体" w:hAnsi="宋体" w:eastAsia="宋体" w:cs="Times New Roman"/>
                <w:color w:val="auto"/>
              </w:rPr>
              <w:t>水稻</w:t>
            </w:r>
          </w:p>
        </w:tc>
        <w:tc>
          <w:tcPr>
            <w:tcW w:w="1200" w:type="pct"/>
            <w:shd w:val="clear" w:color="auto" w:fill="auto"/>
            <w:vAlign w:val="center"/>
          </w:tcPr>
          <w:p w14:paraId="5B0D7935">
            <w:pPr>
              <w:jc w:val="center"/>
              <w:rPr>
                <w:rFonts w:ascii="宋体" w:hAnsi="宋体" w:eastAsia="宋体" w:cs="Times New Roman"/>
                <w:color w:val="auto"/>
                <w:szCs w:val="22"/>
              </w:rPr>
            </w:pPr>
            <w:r>
              <w:rPr>
                <w:rFonts w:ascii="宋体" w:hAnsi="宋体" w:eastAsia="宋体" w:cs="Times New Roman"/>
                <w:i/>
                <w:iCs/>
                <w:color w:val="auto"/>
              </w:rPr>
              <w:t>Oryza sativa L. subsp. japonica</w:t>
            </w:r>
          </w:p>
        </w:tc>
        <w:tc>
          <w:tcPr>
            <w:tcW w:w="675" w:type="pct"/>
            <w:shd w:val="clear" w:color="auto" w:fill="auto"/>
            <w:vAlign w:val="center"/>
          </w:tcPr>
          <w:p w14:paraId="2EEFDE97">
            <w:pPr>
              <w:jc w:val="center"/>
              <w:rPr>
                <w:rFonts w:ascii="宋体" w:hAnsi="宋体" w:eastAsia="宋体" w:cs="Times New Roman"/>
                <w:color w:val="auto"/>
              </w:rPr>
            </w:pPr>
            <w:r>
              <w:rPr>
                <w:rFonts w:ascii="宋体" w:hAnsi="宋体" w:eastAsia="宋体" w:cs="Times New Roman"/>
                <w:color w:val="auto"/>
              </w:rPr>
              <w:t>60</w:t>
            </w:r>
          </w:p>
        </w:tc>
        <w:tc>
          <w:tcPr>
            <w:tcW w:w="837" w:type="pct"/>
            <w:shd w:val="clear" w:color="auto" w:fill="auto"/>
            <w:vAlign w:val="center"/>
          </w:tcPr>
          <w:p w14:paraId="433B15C1">
            <w:pPr>
              <w:jc w:val="center"/>
              <w:rPr>
                <w:rFonts w:ascii="宋体" w:hAnsi="宋体" w:eastAsia="宋体" w:cs="Times New Roman"/>
                <w:color w:val="auto"/>
              </w:rPr>
            </w:pPr>
            <w:r>
              <w:rPr>
                <w:rFonts w:ascii="宋体" w:hAnsi="宋体" w:eastAsia="宋体" w:cs="Times New Roman"/>
                <w:color w:val="auto"/>
                <w:szCs w:val="22"/>
                <w:lang w:bidi="zh-CN"/>
              </w:rPr>
              <w:t>Soc.</w:t>
            </w:r>
          </w:p>
        </w:tc>
        <w:tc>
          <w:tcPr>
            <w:tcW w:w="376" w:type="pct"/>
            <w:shd w:val="clear" w:color="auto" w:fill="auto"/>
            <w:vAlign w:val="center"/>
          </w:tcPr>
          <w:p w14:paraId="4CBE7138">
            <w:pPr>
              <w:jc w:val="center"/>
              <w:rPr>
                <w:rFonts w:ascii="宋体" w:hAnsi="宋体" w:eastAsia="宋体" w:cs="Times New Roman"/>
                <w:color w:val="auto"/>
              </w:rPr>
            </w:pPr>
            <w:r>
              <w:rPr>
                <w:rFonts w:ascii="宋体" w:hAnsi="宋体" w:eastAsia="宋体" w:cs="Times New Roman"/>
                <w:color w:val="auto"/>
                <w:spacing w:val="-2"/>
              </w:rPr>
              <w:t>0.8</w:t>
            </w:r>
          </w:p>
        </w:tc>
        <w:tc>
          <w:tcPr>
            <w:tcW w:w="531" w:type="pct"/>
            <w:shd w:val="clear" w:color="auto" w:fill="auto"/>
            <w:vAlign w:val="center"/>
          </w:tcPr>
          <w:p w14:paraId="410A3E98">
            <w:pPr>
              <w:jc w:val="center"/>
              <w:rPr>
                <w:rFonts w:ascii="宋体" w:hAnsi="宋体" w:eastAsia="宋体" w:cs="Times New Roman"/>
                <w:color w:val="auto"/>
              </w:rPr>
            </w:pPr>
            <w:r>
              <w:rPr>
                <w:rFonts w:ascii="宋体" w:hAnsi="宋体" w:eastAsia="宋体" w:cs="Times New Roman"/>
                <w:color w:val="auto"/>
                <w:spacing w:val="-2"/>
              </w:rPr>
              <w:t>95</w:t>
            </w:r>
          </w:p>
        </w:tc>
      </w:tr>
      <w:tr w14:paraId="27C5C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2546CA26">
            <w:pPr>
              <w:adjustRightInd w:val="0"/>
              <w:snapToGrid w:val="0"/>
              <w:jc w:val="center"/>
              <w:rPr>
                <w:rFonts w:ascii="宋体" w:hAnsi="宋体" w:eastAsia="宋体" w:cs="Arial"/>
                <w:color w:val="auto"/>
              </w:rPr>
            </w:pPr>
            <w:r>
              <w:rPr>
                <w:rFonts w:ascii="宋体" w:hAnsi="宋体" w:eastAsia="宋体" w:cs="Arial"/>
                <w:color w:val="auto"/>
              </w:rPr>
              <w:drawing>
                <wp:inline distT="0" distB="0" distL="0" distR="0">
                  <wp:extent cx="3724275" cy="2792095"/>
                  <wp:effectExtent l="0" t="0" r="0" b="8255"/>
                  <wp:docPr id="130447744" name="图片 130447744" descr="D:\Users\DELL\Documents\WeChat Files\wxid_0rf4mizuauk621\FileStorage\Temp\59932d9125a95e206c03d5202b0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44" name="图片 130447744" descr="D:\Users\DELL\Documents\WeChat Files\wxid_0rf4mizuauk621\FileStorage\Temp\59932d9125a95e206c03d5202b02574.jpg"/>
                          <pic:cNvPicPr>
                            <a:picLocks noChangeAspect="1" noChangeArrowheads="1"/>
                          </pic:cNvPicPr>
                        </pic:nvPicPr>
                        <pic:blipFill>
                          <a:blip r:embed="rId69"/>
                          <a:srcRect/>
                          <a:stretch>
                            <a:fillRect/>
                          </a:stretch>
                        </pic:blipFill>
                        <pic:spPr>
                          <a:xfrm>
                            <a:off x="0" y="0"/>
                            <a:ext cx="3756765" cy="2816472"/>
                          </a:xfrm>
                          <a:prstGeom prst="rect">
                            <a:avLst/>
                          </a:prstGeom>
                          <a:noFill/>
                          <a:ln>
                            <a:noFill/>
                          </a:ln>
                        </pic:spPr>
                      </pic:pic>
                    </a:graphicData>
                  </a:graphic>
                </wp:inline>
              </w:drawing>
            </w:r>
          </w:p>
        </w:tc>
      </w:tr>
    </w:tbl>
    <w:p w14:paraId="69CE4313">
      <w:pPr>
        <w:spacing w:before="163"/>
        <w:jc w:val="center"/>
        <w:rPr>
          <w:rFonts w:ascii="宋体" w:hAnsi="宋体" w:eastAsia="宋体"/>
          <w:color w:val="auto"/>
          <w:spacing w:val="-11"/>
        </w:rPr>
      </w:pPr>
      <w:r>
        <w:rPr>
          <w:rFonts w:hint="eastAsia" w:ascii="宋体" w:hAnsi="宋体" w:eastAsia="宋体" w:cs="Times New Roman"/>
          <w:color w:val="auto"/>
          <w:sz w:val="24"/>
          <w:szCs w:val="24"/>
        </w:rPr>
        <w:t xml:space="preserve">表 </w:t>
      </w:r>
      <w:r>
        <w:rPr>
          <w:rFonts w:ascii="宋体" w:hAnsi="宋体" w:eastAsia="宋体" w:cs="Times New Roman"/>
          <w:color w:val="auto"/>
          <w:sz w:val="24"/>
          <w:szCs w:val="24"/>
        </w:rPr>
        <w:t>4.4-8 4</w:t>
      </w:r>
      <w:r>
        <w:rPr>
          <w:rFonts w:hint="eastAsia" w:ascii="宋体" w:hAnsi="宋体" w:eastAsia="宋体" w:cs="Times New Roman"/>
          <w:color w:val="auto"/>
          <w:sz w:val="24"/>
          <w:szCs w:val="24"/>
        </w:rPr>
        <w:t>#点</w:t>
      </w:r>
      <w:r>
        <w:rPr>
          <w:rFonts w:ascii="宋体" w:hAnsi="宋体" w:eastAsia="宋体" w:cs="Times New Roman"/>
          <w:color w:val="auto"/>
          <w:sz w:val="24"/>
          <w:szCs w:val="24"/>
        </w:rPr>
        <w:t>样方调查结果表</w:t>
      </w:r>
    </w:p>
    <w:tbl>
      <w:tblPr>
        <w:tblStyle w:val="17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09"/>
        <w:gridCol w:w="1377"/>
        <w:gridCol w:w="409"/>
        <w:gridCol w:w="3928"/>
        <w:gridCol w:w="658"/>
        <w:gridCol w:w="1174"/>
        <w:gridCol w:w="659"/>
        <w:gridCol w:w="673"/>
      </w:tblGrid>
      <w:tr w14:paraId="247C7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28F02B3C">
            <w:pPr>
              <w:jc w:val="center"/>
              <w:rPr>
                <w:rFonts w:ascii="宋体" w:hAnsi="宋体" w:eastAsia="宋体" w:cs="Times New Roman"/>
                <w:color w:val="auto"/>
              </w:rPr>
            </w:pPr>
            <w:r>
              <w:rPr>
                <w:rFonts w:hint="eastAsia" w:ascii="宋体" w:hAnsi="宋体" w:eastAsia="宋体" w:cs="Times New Roman"/>
                <w:color w:val="auto"/>
                <w:spacing w:val="-2"/>
              </w:rPr>
              <w:t>编号</w:t>
            </w:r>
          </w:p>
        </w:tc>
        <w:tc>
          <w:tcPr>
            <w:tcW w:w="718" w:type="pct"/>
            <w:shd w:val="clear" w:color="auto" w:fill="auto"/>
            <w:vAlign w:val="center"/>
          </w:tcPr>
          <w:p w14:paraId="20B775E4">
            <w:pPr>
              <w:jc w:val="center"/>
              <w:rPr>
                <w:rFonts w:ascii="宋体" w:hAnsi="宋体" w:eastAsia="宋体" w:cs="Times New Roman"/>
                <w:color w:val="auto"/>
              </w:rPr>
            </w:pPr>
            <w:r>
              <w:rPr>
                <w:rFonts w:ascii="宋体" w:hAnsi="宋体" w:eastAsia="宋体" w:cs="Times New Roman"/>
                <w:color w:val="auto"/>
              </w:rPr>
              <w:t>4</w:t>
            </w:r>
          </w:p>
        </w:tc>
        <w:tc>
          <w:tcPr>
            <w:tcW w:w="402" w:type="pct"/>
            <w:shd w:val="clear" w:color="auto" w:fill="auto"/>
            <w:vAlign w:val="center"/>
          </w:tcPr>
          <w:p w14:paraId="39325E2E">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rPr>
              <w:t>人</w:t>
            </w:r>
          </w:p>
        </w:tc>
        <w:tc>
          <w:tcPr>
            <w:tcW w:w="1629" w:type="pct"/>
            <w:shd w:val="clear" w:color="auto" w:fill="auto"/>
            <w:vAlign w:val="center"/>
          </w:tcPr>
          <w:p w14:paraId="5C53E6F2">
            <w:pPr>
              <w:jc w:val="center"/>
              <w:rPr>
                <w:rFonts w:ascii="宋体" w:hAnsi="宋体" w:eastAsia="宋体" w:cs="Times New Roman"/>
                <w:color w:val="auto"/>
              </w:rPr>
            </w:pPr>
            <w:r>
              <w:rPr>
                <w:rFonts w:hint="eastAsia" w:ascii="宋体" w:hAnsi="宋体" w:eastAsia="宋体" w:cs="Times New Roman"/>
                <w:color w:val="auto"/>
              </w:rPr>
              <w:t>聂海军、袁超</w:t>
            </w:r>
          </w:p>
        </w:tc>
        <w:tc>
          <w:tcPr>
            <w:tcW w:w="463" w:type="pct"/>
            <w:shd w:val="clear" w:color="auto" w:fill="auto"/>
            <w:vAlign w:val="center"/>
          </w:tcPr>
          <w:p w14:paraId="19CFC2C2">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spacing w:val="-22"/>
              </w:rPr>
              <w:t>日期</w:t>
            </w:r>
          </w:p>
        </w:tc>
        <w:tc>
          <w:tcPr>
            <w:tcW w:w="786" w:type="pct"/>
            <w:shd w:val="clear" w:color="auto" w:fill="auto"/>
            <w:vAlign w:val="center"/>
          </w:tcPr>
          <w:p w14:paraId="526F5515">
            <w:pPr>
              <w:jc w:val="center"/>
              <w:rPr>
                <w:rFonts w:ascii="宋体" w:hAnsi="宋体" w:eastAsia="宋体" w:cs="Times New Roman"/>
                <w:color w:val="auto"/>
              </w:rPr>
            </w:pPr>
            <w:r>
              <w:rPr>
                <w:rFonts w:hint="eastAsia" w:ascii="宋体" w:hAnsi="宋体" w:eastAsia="宋体" w:cs="Times New Roman"/>
                <w:color w:val="auto"/>
                <w:spacing w:val="-1"/>
              </w:rPr>
              <w:t>202</w:t>
            </w:r>
            <w:r>
              <w:rPr>
                <w:rFonts w:ascii="宋体" w:hAnsi="宋体" w:eastAsia="宋体" w:cs="Times New Roman"/>
                <w:color w:val="auto"/>
                <w:spacing w:val="-1"/>
              </w:rPr>
              <w:t>5</w:t>
            </w:r>
            <w:r>
              <w:rPr>
                <w:rFonts w:hint="eastAsia" w:ascii="宋体" w:hAnsi="宋体" w:eastAsia="宋体" w:cs="Times New Roman"/>
                <w:color w:val="auto"/>
                <w:spacing w:val="-1"/>
              </w:rPr>
              <w:t>/</w:t>
            </w:r>
            <w:r>
              <w:rPr>
                <w:rFonts w:ascii="宋体" w:hAnsi="宋体" w:eastAsia="宋体" w:cs="Times New Roman"/>
                <w:color w:val="auto"/>
                <w:spacing w:val="-1"/>
              </w:rPr>
              <w:t>10</w:t>
            </w:r>
            <w:r>
              <w:rPr>
                <w:rFonts w:hint="eastAsia" w:ascii="宋体" w:hAnsi="宋体" w:eastAsia="宋体" w:cs="Times New Roman"/>
                <w:color w:val="auto"/>
                <w:spacing w:val="-1"/>
              </w:rPr>
              <w:t>/</w:t>
            </w:r>
            <w:r>
              <w:rPr>
                <w:rFonts w:ascii="宋体" w:hAnsi="宋体" w:eastAsia="宋体" w:cs="Times New Roman"/>
                <w:color w:val="auto"/>
                <w:spacing w:val="-1"/>
              </w:rPr>
              <w:t>10</w:t>
            </w:r>
          </w:p>
        </w:tc>
        <w:tc>
          <w:tcPr>
            <w:tcW w:w="335" w:type="pct"/>
            <w:shd w:val="clear" w:color="auto" w:fill="auto"/>
            <w:vAlign w:val="center"/>
          </w:tcPr>
          <w:p w14:paraId="141FE0D8">
            <w:pPr>
              <w:jc w:val="center"/>
              <w:rPr>
                <w:rFonts w:ascii="宋体" w:hAnsi="宋体" w:eastAsia="宋体" w:cs="Times New Roman"/>
                <w:color w:val="auto"/>
              </w:rPr>
            </w:pPr>
            <w:r>
              <w:rPr>
                <w:rFonts w:hint="eastAsia" w:ascii="宋体" w:hAnsi="宋体" w:eastAsia="宋体" w:cs="Times New Roman"/>
                <w:color w:val="auto"/>
                <w:spacing w:val="-3"/>
              </w:rPr>
              <w:t>样方尺寸</w:t>
            </w:r>
          </w:p>
        </w:tc>
        <w:tc>
          <w:tcPr>
            <w:tcW w:w="328" w:type="pct"/>
            <w:shd w:val="clear" w:color="auto" w:fill="auto"/>
            <w:vAlign w:val="center"/>
          </w:tcPr>
          <w:p w14:paraId="26018C9F">
            <w:pPr>
              <w:jc w:val="center"/>
              <w:rPr>
                <w:rFonts w:ascii="宋体" w:hAnsi="宋体" w:eastAsia="宋体" w:cs="Times New Roman"/>
                <w:color w:val="auto"/>
              </w:rPr>
            </w:pPr>
            <w:r>
              <w:rPr>
                <w:rFonts w:hint="eastAsia" w:ascii="宋体" w:hAnsi="宋体" w:eastAsia="宋体" w:cs="Times New Roman"/>
                <w:color w:val="auto"/>
                <w:spacing w:val="-6"/>
              </w:rPr>
              <w:t>10m×</w:t>
            </w:r>
            <w:r>
              <w:rPr>
                <w:rFonts w:hint="eastAsia" w:ascii="宋体" w:hAnsi="宋体" w:eastAsia="宋体" w:cs="Times New Roman"/>
                <w:color w:val="auto"/>
                <w:spacing w:val="2"/>
              </w:rPr>
              <w:t xml:space="preserve"> </w:t>
            </w:r>
            <w:r>
              <w:rPr>
                <w:rFonts w:hint="eastAsia" w:ascii="宋体" w:hAnsi="宋体" w:eastAsia="宋体" w:cs="Times New Roman"/>
                <w:color w:val="auto"/>
                <w:spacing w:val="-8"/>
              </w:rPr>
              <w:t>10m</w:t>
            </w:r>
          </w:p>
        </w:tc>
      </w:tr>
      <w:tr w14:paraId="7B7B8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558FEEF5">
            <w:pPr>
              <w:jc w:val="center"/>
              <w:rPr>
                <w:rFonts w:ascii="宋体" w:hAnsi="宋体" w:eastAsia="宋体" w:cs="Times New Roman"/>
                <w:color w:val="auto"/>
              </w:rPr>
            </w:pPr>
            <w:r>
              <w:rPr>
                <w:rFonts w:hint="eastAsia" w:ascii="宋体" w:hAnsi="宋体" w:eastAsia="宋体" w:cs="Times New Roman"/>
                <w:color w:val="auto"/>
                <w:spacing w:val="-2"/>
              </w:rPr>
              <w:t>经度</w:t>
            </w:r>
          </w:p>
        </w:tc>
        <w:tc>
          <w:tcPr>
            <w:tcW w:w="718" w:type="pct"/>
            <w:shd w:val="clear" w:color="auto" w:fill="auto"/>
            <w:vAlign w:val="center"/>
          </w:tcPr>
          <w:p w14:paraId="0DCF0D84">
            <w:pPr>
              <w:jc w:val="center"/>
              <w:rPr>
                <w:rFonts w:ascii="宋体" w:hAnsi="宋体" w:eastAsia="宋体" w:cs="Times New Roman"/>
                <w:color w:val="auto"/>
              </w:rPr>
            </w:pPr>
            <w:r>
              <w:rPr>
                <w:rFonts w:ascii="宋体" w:hAnsi="宋体" w:eastAsia="宋体" w:cs="Times New Roman"/>
                <w:color w:val="auto"/>
              </w:rPr>
              <w:t>125.05628677</w:t>
            </w:r>
          </w:p>
        </w:tc>
        <w:tc>
          <w:tcPr>
            <w:tcW w:w="402" w:type="pct"/>
            <w:shd w:val="clear" w:color="auto" w:fill="auto"/>
            <w:vAlign w:val="center"/>
          </w:tcPr>
          <w:p w14:paraId="5B4632A1">
            <w:pPr>
              <w:jc w:val="center"/>
              <w:rPr>
                <w:rFonts w:ascii="宋体" w:hAnsi="宋体" w:eastAsia="宋体" w:cs="Times New Roman"/>
                <w:color w:val="auto"/>
              </w:rPr>
            </w:pPr>
            <w:r>
              <w:rPr>
                <w:rFonts w:hint="eastAsia" w:ascii="宋体" w:hAnsi="宋体" w:eastAsia="宋体" w:cs="Times New Roman"/>
                <w:color w:val="auto"/>
                <w:spacing w:val="-2"/>
              </w:rPr>
              <w:t>纬度</w:t>
            </w:r>
          </w:p>
        </w:tc>
        <w:tc>
          <w:tcPr>
            <w:tcW w:w="1629" w:type="pct"/>
            <w:shd w:val="clear" w:color="auto" w:fill="auto"/>
            <w:vAlign w:val="center"/>
          </w:tcPr>
          <w:p w14:paraId="2F1134BD">
            <w:pPr>
              <w:jc w:val="center"/>
              <w:rPr>
                <w:rFonts w:ascii="宋体" w:hAnsi="宋体" w:eastAsia="宋体" w:cs="Times New Roman"/>
                <w:color w:val="auto"/>
              </w:rPr>
            </w:pPr>
            <w:r>
              <w:rPr>
                <w:rFonts w:ascii="宋体" w:hAnsi="宋体" w:eastAsia="宋体" w:cs="Times New Roman"/>
                <w:color w:val="auto"/>
              </w:rPr>
              <w:t>45.51741115</w:t>
            </w:r>
          </w:p>
        </w:tc>
        <w:tc>
          <w:tcPr>
            <w:tcW w:w="463" w:type="pct"/>
            <w:shd w:val="clear" w:color="auto" w:fill="auto"/>
            <w:vAlign w:val="center"/>
          </w:tcPr>
          <w:p w14:paraId="4220FFDE">
            <w:pPr>
              <w:jc w:val="center"/>
              <w:rPr>
                <w:rFonts w:ascii="宋体" w:hAnsi="宋体" w:eastAsia="宋体" w:cs="Times New Roman"/>
                <w:color w:val="auto"/>
              </w:rPr>
            </w:pPr>
            <w:r>
              <w:rPr>
                <w:rFonts w:hint="eastAsia" w:ascii="宋体" w:hAnsi="宋体" w:eastAsia="宋体" w:cs="Times New Roman"/>
                <w:color w:val="auto"/>
                <w:spacing w:val="-3"/>
              </w:rPr>
              <w:t>海拔</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786" w:type="pct"/>
            <w:shd w:val="clear" w:color="auto" w:fill="auto"/>
            <w:vAlign w:val="center"/>
          </w:tcPr>
          <w:p w14:paraId="0704ACE3">
            <w:pPr>
              <w:jc w:val="center"/>
              <w:rPr>
                <w:rFonts w:ascii="宋体" w:hAnsi="宋体" w:eastAsia="宋体" w:cs="Times New Roman"/>
                <w:color w:val="auto"/>
              </w:rPr>
            </w:pPr>
            <w:r>
              <w:rPr>
                <w:rFonts w:ascii="宋体" w:hAnsi="宋体" w:eastAsia="宋体" w:cs="Times New Roman"/>
                <w:color w:val="auto"/>
                <w:spacing w:val="-2"/>
              </w:rPr>
              <w:t>126</w:t>
            </w:r>
          </w:p>
        </w:tc>
        <w:tc>
          <w:tcPr>
            <w:tcW w:w="335" w:type="pct"/>
            <w:shd w:val="clear" w:color="auto" w:fill="auto"/>
            <w:vAlign w:val="center"/>
          </w:tcPr>
          <w:p w14:paraId="59692DA5">
            <w:pPr>
              <w:jc w:val="center"/>
              <w:rPr>
                <w:rFonts w:ascii="宋体" w:hAnsi="宋体" w:eastAsia="宋体" w:cs="Times New Roman"/>
                <w:color w:val="auto"/>
              </w:rPr>
            </w:pPr>
            <w:r>
              <w:rPr>
                <w:rFonts w:hint="eastAsia" w:ascii="宋体" w:hAnsi="宋体" w:eastAsia="宋体" w:cs="Times New Roman"/>
                <w:color w:val="auto"/>
                <w:spacing w:val="-2"/>
              </w:rPr>
              <w:t>坡度</w:t>
            </w:r>
          </w:p>
        </w:tc>
        <w:tc>
          <w:tcPr>
            <w:tcW w:w="328" w:type="pct"/>
            <w:shd w:val="clear" w:color="auto" w:fill="auto"/>
            <w:vAlign w:val="center"/>
          </w:tcPr>
          <w:p w14:paraId="33090116">
            <w:pPr>
              <w:jc w:val="center"/>
              <w:rPr>
                <w:rFonts w:ascii="宋体" w:hAnsi="宋体" w:eastAsia="宋体" w:cs="Times New Roman"/>
                <w:color w:val="auto"/>
              </w:rPr>
            </w:pPr>
            <w:r>
              <w:rPr>
                <w:rFonts w:hint="eastAsia" w:ascii="宋体" w:hAnsi="宋体" w:eastAsia="宋体" w:cs="Times New Roman"/>
                <w:color w:val="auto"/>
              </w:rPr>
              <w:t>0</w:t>
            </w:r>
          </w:p>
        </w:tc>
      </w:tr>
      <w:tr w14:paraId="16F41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4C683646">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rPr>
              <w:t xml:space="preserve"> </w:t>
            </w:r>
            <w:r>
              <w:rPr>
                <w:rFonts w:hint="eastAsia" w:ascii="宋体" w:hAnsi="宋体" w:eastAsia="宋体" w:cs="Times New Roman"/>
                <w:color w:val="auto"/>
                <w:spacing w:val="-5"/>
              </w:rPr>
              <w:t>名称</w:t>
            </w:r>
          </w:p>
        </w:tc>
        <w:tc>
          <w:tcPr>
            <w:tcW w:w="2749" w:type="pct"/>
            <w:gridSpan w:val="3"/>
            <w:shd w:val="clear" w:color="auto" w:fill="auto"/>
            <w:vAlign w:val="center"/>
          </w:tcPr>
          <w:p w14:paraId="54F70275">
            <w:pPr>
              <w:jc w:val="center"/>
              <w:rPr>
                <w:rFonts w:ascii="宋体" w:hAnsi="宋体" w:eastAsia="宋体" w:cs="Times New Roman"/>
                <w:color w:val="auto"/>
              </w:rPr>
            </w:pPr>
            <w:r>
              <w:rPr>
                <w:rFonts w:hint="eastAsia" w:ascii="宋体" w:hAnsi="宋体" w:eastAsia="宋体" w:cs="Times New Roman"/>
                <w:color w:val="auto"/>
              </w:rPr>
              <w:t>青杨群落</w:t>
            </w:r>
          </w:p>
        </w:tc>
        <w:tc>
          <w:tcPr>
            <w:tcW w:w="463" w:type="pct"/>
            <w:shd w:val="clear" w:color="auto" w:fill="auto"/>
            <w:vAlign w:val="center"/>
          </w:tcPr>
          <w:p w14:paraId="232612FB">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rPr>
              <w:t xml:space="preserve"> </w:t>
            </w:r>
            <w:r>
              <w:rPr>
                <w:rFonts w:hint="eastAsia" w:ascii="宋体" w:hAnsi="宋体" w:eastAsia="宋体" w:cs="Times New Roman"/>
                <w:color w:val="auto"/>
                <w:spacing w:val="-4"/>
              </w:rPr>
              <w:t>拉丁</w:t>
            </w:r>
            <w:r>
              <w:rPr>
                <w:rFonts w:hint="eastAsia" w:ascii="宋体" w:hAnsi="宋体" w:eastAsia="宋体" w:cs="Times New Roman"/>
                <w:color w:val="auto"/>
              </w:rPr>
              <w:t xml:space="preserve"> </w:t>
            </w:r>
            <w:r>
              <w:rPr>
                <w:rFonts w:hint="eastAsia" w:ascii="宋体" w:hAnsi="宋体" w:eastAsia="宋体" w:cs="Times New Roman"/>
                <w:color w:val="auto"/>
                <w:spacing w:val="-4"/>
              </w:rPr>
              <w:t>学名</w:t>
            </w:r>
          </w:p>
        </w:tc>
        <w:tc>
          <w:tcPr>
            <w:tcW w:w="1449" w:type="pct"/>
            <w:gridSpan w:val="3"/>
            <w:shd w:val="clear" w:color="auto" w:fill="auto"/>
            <w:vAlign w:val="center"/>
          </w:tcPr>
          <w:p w14:paraId="06B2DDCF">
            <w:pPr>
              <w:jc w:val="center"/>
              <w:rPr>
                <w:rFonts w:ascii="宋体" w:hAnsi="宋体" w:eastAsia="宋体" w:cs="Times New Roman"/>
                <w:color w:val="auto"/>
                <w:szCs w:val="22"/>
              </w:rPr>
            </w:pPr>
            <w:r>
              <w:rPr>
                <w:rFonts w:ascii="宋体" w:hAnsi="宋体" w:eastAsia="宋体" w:cs="Times New Roman"/>
                <w:i/>
                <w:iCs/>
                <w:color w:val="auto"/>
                <w:spacing w:val="1"/>
                <w:szCs w:val="22"/>
              </w:rPr>
              <w:t>Populus cathayana Rehd.</w:t>
            </w:r>
          </w:p>
        </w:tc>
      </w:tr>
      <w:tr w14:paraId="7351F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2C555FFA">
            <w:pPr>
              <w:jc w:val="center"/>
              <w:rPr>
                <w:rFonts w:ascii="宋体" w:hAnsi="宋体" w:eastAsia="宋体" w:cs="Times New Roman"/>
                <w:color w:val="auto"/>
              </w:rPr>
            </w:pPr>
            <w:r>
              <w:rPr>
                <w:rFonts w:hint="eastAsia" w:ascii="宋体" w:hAnsi="宋体" w:eastAsia="宋体" w:cs="Times New Roman"/>
                <w:color w:val="auto"/>
                <w:spacing w:val="-2"/>
              </w:rPr>
              <w:t>层次</w:t>
            </w:r>
          </w:p>
        </w:tc>
        <w:tc>
          <w:tcPr>
            <w:tcW w:w="718" w:type="pct"/>
            <w:shd w:val="clear" w:color="auto" w:fill="auto"/>
            <w:vAlign w:val="center"/>
          </w:tcPr>
          <w:p w14:paraId="624FB16A">
            <w:pPr>
              <w:jc w:val="center"/>
              <w:rPr>
                <w:rFonts w:ascii="宋体" w:hAnsi="宋体" w:eastAsia="宋体" w:cs="Times New Roman"/>
                <w:color w:val="auto"/>
              </w:rPr>
            </w:pPr>
            <w:r>
              <w:rPr>
                <w:rFonts w:hint="eastAsia" w:ascii="宋体" w:hAnsi="宋体" w:eastAsia="宋体" w:cs="Times New Roman"/>
                <w:color w:val="auto"/>
                <w:spacing w:val="-2"/>
              </w:rPr>
              <w:t>类别</w:t>
            </w:r>
          </w:p>
        </w:tc>
        <w:tc>
          <w:tcPr>
            <w:tcW w:w="402" w:type="pct"/>
            <w:shd w:val="clear" w:color="auto" w:fill="auto"/>
            <w:vAlign w:val="center"/>
          </w:tcPr>
          <w:p w14:paraId="2656272C">
            <w:pPr>
              <w:jc w:val="center"/>
              <w:rPr>
                <w:rFonts w:ascii="宋体" w:hAnsi="宋体" w:eastAsia="宋体" w:cs="Times New Roman"/>
                <w:color w:val="auto"/>
              </w:rPr>
            </w:pPr>
            <w:r>
              <w:rPr>
                <w:rFonts w:hint="eastAsia" w:ascii="宋体" w:hAnsi="宋体" w:eastAsia="宋体" w:cs="Times New Roman"/>
                <w:color w:val="auto"/>
                <w:spacing w:val="-3"/>
              </w:rPr>
              <w:t>名称</w:t>
            </w:r>
          </w:p>
        </w:tc>
        <w:tc>
          <w:tcPr>
            <w:tcW w:w="1629" w:type="pct"/>
            <w:shd w:val="clear" w:color="auto" w:fill="auto"/>
            <w:vAlign w:val="center"/>
          </w:tcPr>
          <w:p w14:paraId="52297988">
            <w:pPr>
              <w:jc w:val="center"/>
              <w:rPr>
                <w:rFonts w:ascii="宋体" w:hAnsi="宋体" w:eastAsia="宋体" w:cs="Times New Roman"/>
                <w:color w:val="auto"/>
              </w:rPr>
            </w:pPr>
            <w:r>
              <w:rPr>
                <w:rFonts w:hint="eastAsia" w:ascii="宋体" w:hAnsi="宋体" w:eastAsia="宋体" w:cs="Times New Roman"/>
                <w:color w:val="auto"/>
                <w:spacing w:val="-2"/>
              </w:rPr>
              <w:t>拉丁学名</w:t>
            </w:r>
          </w:p>
        </w:tc>
        <w:tc>
          <w:tcPr>
            <w:tcW w:w="463" w:type="pct"/>
            <w:shd w:val="clear" w:color="auto" w:fill="auto"/>
            <w:vAlign w:val="center"/>
          </w:tcPr>
          <w:p w14:paraId="1C28393D">
            <w:pPr>
              <w:jc w:val="center"/>
              <w:rPr>
                <w:rFonts w:ascii="宋体" w:hAnsi="宋体" w:eastAsia="宋体" w:cs="Times New Roman"/>
                <w:color w:val="auto"/>
              </w:rPr>
            </w:pPr>
            <w:r>
              <w:rPr>
                <w:rFonts w:hint="eastAsia" w:ascii="宋体" w:hAnsi="宋体" w:eastAsia="宋体" w:cs="Times New Roman"/>
                <w:color w:val="auto"/>
                <w:spacing w:val="-8"/>
              </w:rPr>
              <w:t>株</w:t>
            </w:r>
            <w:r>
              <w:rPr>
                <w:rFonts w:hint="eastAsia" w:ascii="宋体" w:hAnsi="宋体" w:eastAsia="宋体" w:cs="Times New Roman"/>
                <w:color w:val="auto"/>
              </w:rPr>
              <w:t xml:space="preserve">  </w:t>
            </w:r>
            <w:r>
              <w:rPr>
                <w:rFonts w:hint="eastAsia" w:ascii="宋体" w:hAnsi="宋体" w:eastAsia="宋体" w:cs="Times New Roman"/>
                <w:color w:val="auto"/>
                <w:spacing w:val="-9"/>
              </w:rPr>
              <w:t>（丛</w:t>
            </w:r>
            <w:r>
              <w:rPr>
                <w:rFonts w:hint="eastAsia" w:ascii="宋体" w:hAnsi="宋体" w:eastAsia="宋体" w:cs="Times New Roman"/>
                <w:color w:val="auto"/>
              </w:rPr>
              <w:t xml:space="preserve"> </w:t>
            </w:r>
            <w:r>
              <w:rPr>
                <w:rFonts w:hint="eastAsia" w:ascii="宋体" w:hAnsi="宋体" w:eastAsia="宋体" w:cs="Times New Roman"/>
                <w:color w:val="auto"/>
                <w:spacing w:val="-12"/>
              </w:rPr>
              <w:t>数）</w:t>
            </w:r>
          </w:p>
        </w:tc>
        <w:tc>
          <w:tcPr>
            <w:tcW w:w="786" w:type="pct"/>
            <w:shd w:val="clear" w:color="auto" w:fill="auto"/>
            <w:vAlign w:val="center"/>
          </w:tcPr>
          <w:p w14:paraId="4E28A30A">
            <w:pPr>
              <w:jc w:val="center"/>
              <w:rPr>
                <w:rFonts w:ascii="宋体" w:hAnsi="宋体" w:eastAsia="宋体" w:cs="Times New Roman"/>
                <w:color w:val="auto"/>
              </w:rPr>
            </w:pPr>
            <w:r>
              <w:rPr>
                <w:rFonts w:hint="eastAsia" w:ascii="宋体" w:hAnsi="宋体" w:eastAsia="宋体" w:cs="Times New Roman"/>
                <w:color w:val="auto"/>
                <w:spacing w:val="-4"/>
              </w:rPr>
              <w:t>多度</w:t>
            </w:r>
          </w:p>
        </w:tc>
        <w:tc>
          <w:tcPr>
            <w:tcW w:w="335" w:type="pct"/>
            <w:shd w:val="clear" w:color="auto" w:fill="auto"/>
            <w:vAlign w:val="center"/>
          </w:tcPr>
          <w:p w14:paraId="08039439">
            <w:pPr>
              <w:jc w:val="center"/>
              <w:rPr>
                <w:rFonts w:ascii="宋体" w:hAnsi="宋体" w:eastAsia="宋体" w:cs="Times New Roman"/>
                <w:color w:val="auto"/>
              </w:rPr>
            </w:pPr>
            <w:r>
              <w:rPr>
                <w:rFonts w:hint="eastAsia" w:ascii="宋体" w:hAnsi="宋体" w:eastAsia="宋体" w:cs="Times New Roman"/>
                <w:color w:val="auto"/>
                <w:spacing w:val="-6"/>
              </w:rPr>
              <w:t>高度</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328" w:type="pct"/>
            <w:shd w:val="clear" w:color="auto" w:fill="auto"/>
            <w:vAlign w:val="center"/>
          </w:tcPr>
          <w:p w14:paraId="0C59FD2B">
            <w:pPr>
              <w:jc w:val="center"/>
              <w:rPr>
                <w:rFonts w:ascii="宋体" w:hAnsi="宋体" w:eastAsia="宋体" w:cs="Times New Roman"/>
                <w:color w:val="auto"/>
              </w:rPr>
            </w:pPr>
            <w:r>
              <w:rPr>
                <w:rFonts w:hint="eastAsia" w:ascii="宋体" w:hAnsi="宋体" w:eastAsia="宋体" w:cs="Times New Roman"/>
                <w:color w:val="auto"/>
                <w:spacing w:val="-4"/>
              </w:rPr>
              <w:t>盖度</w:t>
            </w:r>
            <w:r>
              <w:rPr>
                <w:rFonts w:hint="eastAsia" w:ascii="宋体" w:hAnsi="宋体" w:eastAsia="宋体" w:cs="Times New Roman"/>
                <w:color w:val="auto"/>
              </w:rPr>
              <w:t xml:space="preserve"> </w:t>
            </w:r>
            <w:r>
              <w:rPr>
                <w:rFonts w:hint="eastAsia" w:ascii="宋体" w:hAnsi="宋体" w:eastAsia="宋体" w:cs="Times New Roman"/>
                <w:color w:val="auto"/>
                <w:spacing w:val="-9"/>
              </w:rPr>
              <w:t>（%）</w:t>
            </w:r>
          </w:p>
        </w:tc>
      </w:tr>
      <w:tr w14:paraId="1CD8B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2BC0401A">
            <w:pPr>
              <w:jc w:val="center"/>
              <w:rPr>
                <w:rFonts w:ascii="宋体" w:hAnsi="宋体" w:eastAsia="宋体" w:cs="Times New Roman"/>
                <w:color w:val="auto"/>
              </w:rPr>
            </w:pPr>
            <w:r>
              <w:rPr>
                <w:rFonts w:hint="eastAsia" w:ascii="宋体" w:hAnsi="宋体" w:eastAsia="宋体" w:cs="Times New Roman"/>
                <w:color w:val="auto"/>
                <w:spacing w:val="-4"/>
              </w:rPr>
              <w:t>乔木</w:t>
            </w:r>
            <w:r>
              <w:rPr>
                <w:rFonts w:hint="eastAsia" w:ascii="宋体" w:hAnsi="宋体" w:eastAsia="宋体" w:cs="Times New Roman"/>
                <w:color w:val="auto"/>
              </w:rPr>
              <w:t xml:space="preserve"> 层</w:t>
            </w:r>
          </w:p>
        </w:tc>
        <w:tc>
          <w:tcPr>
            <w:tcW w:w="718" w:type="pct"/>
            <w:shd w:val="clear" w:color="auto" w:fill="auto"/>
            <w:vAlign w:val="center"/>
          </w:tcPr>
          <w:p w14:paraId="09680116">
            <w:pPr>
              <w:jc w:val="center"/>
              <w:rPr>
                <w:rFonts w:ascii="宋体" w:hAnsi="宋体" w:eastAsia="宋体" w:cs="Times New Roman"/>
                <w:color w:val="auto"/>
              </w:rPr>
            </w:pPr>
            <w:r>
              <w:rPr>
                <w:rFonts w:hint="eastAsia" w:ascii="宋体" w:hAnsi="宋体" w:eastAsia="宋体" w:cs="Times New Roman"/>
                <w:color w:val="auto"/>
                <w:spacing w:val="-2"/>
              </w:rPr>
              <w:t>建群种</w:t>
            </w:r>
          </w:p>
        </w:tc>
        <w:tc>
          <w:tcPr>
            <w:tcW w:w="402" w:type="pct"/>
            <w:shd w:val="clear" w:color="auto" w:fill="auto"/>
            <w:vAlign w:val="center"/>
          </w:tcPr>
          <w:p w14:paraId="75FE6216">
            <w:pPr>
              <w:jc w:val="center"/>
              <w:rPr>
                <w:rFonts w:ascii="宋体" w:hAnsi="宋体" w:eastAsia="宋体" w:cs="Times New Roman"/>
                <w:color w:val="auto"/>
              </w:rPr>
            </w:pPr>
            <w:r>
              <w:rPr>
                <w:rFonts w:hint="eastAsia" w:ascii="宋体" w:hAnsi="宋体" w:eastAsia="宋体" w:cs="Times New Roman"/>
                <w:color w:val="auto"/>
              </w:rPr>
              <w:t>青杨</w:t>
            </w:r>
          </w:p>
        </w:tc>
        <w:tc>
          <w:tcPr>
            <w:tcW w:w="1629" w:type="pct"/>
            <w:shd w:val="clear" w:color="auto" w:fill="auto"/>
            <w:vAlign w:val="center"/>
          </w:tcPr>
          <w:p w14:paraId="3B05CF91">
            <w:pPr>
              <w:jc w:val="center"/>
              <w:rPr>
                <w:rFonts w:ascii="宋体" w:hAnsi="宋体" w:eastAsia="宋体" w:cs="Times New Roman"/>
                <w:color w:val="auto"/>
                <w:szCs w:val="22"/>
              </w:rPr>
            </w:pPr>
            <w:r>
              <w:rPr>
                <w:rFonts w:ascii="宋体" w:hAnsi="宋体" w:eastAsia="宋体" w:cs="Times New Roman"/>
                <w:i/>
                <w:iCs/>
                <w:color w:val="auto"/>
                <w:spacing w:val="1"/>
                <w:szCs w:val="22"/>
              </w:rPr>
              <w:t>Populus cathayana Rehd.</w:t>
            </w:r>
          </w:p>
        </w:tc>
        <w:tc>
          <w:tcPr>
            <w:tcW w:w="463" w:type="pct"/>
            <w:shd w:val="clear" w:color="auto" w:fill="auto"/>
            <w:vAlign w:val="center"/>
          </w:tcPr>
          <w:p w14:paraId="68F8C4F7">
            <w:pPr>
              <w:jc w:val="center"/>
              <w:rPr>
                <w:rFonts w:ascii="宋体" w:hAnsi="宋体" w:eastAsia="宋体" w:cs="Times New Roman"/>
                <w:color w:val="auto"/>
              </w:rPr>
            </w:pPr>
            <w:r>
              <w:rPr>
                <w:rFonts w:ascii="宋体" w:hAnsi="宋体" w:eastAsia="宋体" w:cs="Times New Roman"/>
                <w:color w:val="auto"/>
              </w:rPr>
              <w:t>20</w:t>
            </w:r>
          </w:p>
        </w:tc>
        <w:tc>
          <w:tcPr>
            <w:tcW w:w="786" w:type="pct"/>
            <w:shd w:val="clear" w:color="auto" w:fill="auto"/>
            <w:vAlign w:val="center"/>
          </w:tcPr>
          <w:p w14:paraId="2AA92906">
            <w:pPr>
              <w:jc w:val="center"/>
              <w:rPr>
                <w:rFonts w:ascii="宋体" w:hAnsi="宋体" w:eastAsia="宋体" w:cs="Times New Roman"/>
                <w:color w:val="auto"/>
              </w:rPr>
            </w:pPr>
            <w:r>
              <w:rPr>
                <w:rFonts w:ascii="宋体" w:hAnsi="宋体" w:eastAsia="宋体" w:cs="Times New Roman"/>
                <w:color w:val="auto"/>
                <w:lang w:bidi="zh-CN"/>
              </w:rPr>
              <w:t>Cop2.</w:t>
            </w:r>
          </w:p>
        </w:tc>
        <w:tc>
          <w:tcPr>
            <w:tcW w:w="335" w:type="pct"/>
            <w:shd w:val="clear" w:color="auto" w:fill="auto"/>
            <w:vAlign w:val="center"/>
          </w:tcPr>
          <w:p w14:paraId="3697973C">
            <w:pPr>
              <w:jc w:val="center"/>
              <w:rPr>
                <w:rFonts w:ascii="宋体" w:hAnsi="宋体" w:eastAsia="宋体" w:cs="Times New Roman"/>
                <w:color w:val="auto"/>
              </w:rPr>
            </w:pPr>
            <w:r>
              <w:rPr>
                <w:rFonts w:ascii="宋体" w:hAnsi="宋体" w:eastAsia="宋体" w:cs="Times New Roman"/>
                <w:color w:val="auto"/>
                <w:spacing w:val="-2"/>
              </w:rPr>
              <w:t>13.5</w:t>
            </w:r>
          </w:p>
        </w:tc>
        <w:tc>
          <w:tcPr>
            <w:tcW w:w="328" w:type="pct"/>
            <w:shd w:val="clear" w:color="auto" w:fill="auto"/>
            <w:vAlign w:val="center"/>
          </w:tcPr>
          <w:p w14:paraId="70919A48">
            <w:pPr>
              <w:jc w:val="center"/>
              <w:rPr>
                <w:rFonts w:ascii="宋体" w:hAnsi="宋体" w:eastAsia="宋体" w:cs="Times New Roman"/>
                <w:color w:val="auto"/>
              </w:rPr>
            </w:pPr>
            <w:r>
              <w:rPr>
                <w:rFonts w:ascii="宋体" w:hAnsi="宋体" w:eastAsia="宋体" w:cs="Times New Roman"/>
                <w:color w:val="auto"/>
                <w:spacing w:val="-3"/>
              </w:rPr>
              <w:t>6</w:t>
            </w:r>
            <w:r>
              <w:rPr>
                <w:rFonts w:hint="eastAsia" w:ascii="宋体" w:hAnsi="宋体" w:eastAsia="宋体" w:cs="Times New Roman"/>
                <w:color w:val="auto"/>
                <w:spacing w:val="-3"/>
              </w:rPr>
              <w:t>0</w:t>
            </w:r>
          </w:p>
        </w:tc>
      </w:tr>
      <w:tr w14:paraId="45ACD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4054B777">
            <w:pPr>
              <w:jc w:val="center"/>
              <w:rPr>
                <w:rFonts w:ascii="宋体" w:hAnsi="宋体" w:eastAsia="宋体" w:cs="Times New Roman"/>
                <w:color w:val="auto"/>
                <w:spacing w:val="-4"/>
              </w:rPr>
            </w:pPr>
            <w:r>
              <w:rPr>
                <w:rFonts w:hint="eastAsia" w:ascii="宋体" w:hAnsi="宋体" w:eastAsia="宋体" w:cs="Times New Roman"/>
                <w:color w:val="auto"/>
                <w:spacing w:val="-4"/>
              </w:rPr>
              <w:t>草本层</w:t>
            </w:r>
          </w:p>
        </w:tc>
        <w:tc>
          <w:tcPr>
            <w:tcW w:w="718" w:type="pct"/>
            <w:shd w:val="clear" w:color="auto" w:fill="auto"/>
            <w:vAlign w:val="center"/>
          </w:tcPr>
          <w:p w14:paraId="0D0F1EC2">
            <w:pPr>
              <w:jc w:val="center"/>
              <w:rPr>
                <w:rFonts w:ascii="宋体" w:hAnsi="宋体" w:eastAsia="宋体" w:cs="Times New Roman"/>
                <w:color w:val="auto"/>
                <w:spacing w:val="-2"/>
              </w:rPr>
            </w:pPr>
            <w:r>
              <w:rPr>
                <w:rFonts w:hint="eastAsia" w:ascii="宋体" w:hAnsi="宋体" w:eastAsia="宋体" w:cs="Times New Roman"/>
                <w:color w:val="auto"/>
                <w:spacing w:val="-2"/>
              </w:rPr>
              <w:t>建群种</w:t>
            </w:r>
          </w:p>
        </w:tc>
        <w:tc>
          <w:tcPr>
            <w:tcW w:w="402" w:type="pct"/>
            <w:shd w:val="clear" w:color="auto" w:fill="auto"/>
            <w:vAlign w:val="center"/>
          </w:tcPr>
          <w:p w14:paraId="181BB9BE">
            <w:pPr>
              <w:jc w:val="center"/>
              <w:rPr>
                <w:rFonts w:ascii="宋体" w:hAnsi="宋体" w:eastAsia="宋体" w:cs="Times New Roman"/>
                <w:color w:val="auto"/>
              </w:rPr>
            </w:pPr>
            <w:r>
              <w:rPr>
                <w:rFonts w:hint="eastAsia" w:ascii="宋体" w:hAnsi="宋体" w:eastAsia="宋体" w:cs="Times New Roman"/>
                <w:color w:val="auto"/>
                <w:spacing w:val="-2"/>
              </w:rPr>
              <w:t>芦苇</w:t>
            </w:r>
          </w:p>
        </w:tc>
        <w:tc>
          <w:tcPr>
            <w:tcW w:w="1629" w:type="pct"/>
            <w:shd w:val="clear" w:color="auto" w:fill="auto"/>
            <w:vAlign w:val="center"/>
          </w:tcPr>
          <w:p w14:paraId="7AB16983">
            <w:pPr>
              <w:jc w:val="center"/>
              <w:rPr>
                <w:rFonts w:ascii="宋体" w:hAnsi="宋体" w:eastAsia="宋体" w:cs="Times New Roman"/>
                <w:i/>
                <w:iCs/>
                <w:color w:val="auto"/>
                <w:spacing w:val="1"/>
                <w:szCs w:val="22"/>
              </w:rPr>
            </w:pPr>
            <w:r>
              <w:rPr>
                <w:rFonts w:hint="eastAsia" w:ascii="宋体" w:hAnsi="宋体" w:eastAsia="宋体" w:cs="Times New Roman"/>
                <w:i/>
                <w:iCs/>
                <w:color w:val="auto"/>
                <w:spacing w:val="1"/>
                <w:szCs w:val="22"/>
              </w:rPr>
              <w:t>Phragmites</w:t>
            </w:r>
            <w:r>
              <w:rPr>
                <w:rFonts w:hint="eastAsia" w:ascii="宋体" w:hAnsi="宋体" w:eastAsia="宋体" w:cs="Times New Roman"/>
                <w:i/>
                <w:iCs/>
                <w:color w:val="auto"/>
                <w:spacing w:val="2"/>
                <w:szCs w:val="22"/>
              </w:rPr>
              <w:t>australis</w:t>
            </w:r>
            <w:r>
              <w:rPr>
                <w:rFonts w:hint="eastAsia" w:ascii="宋体" w:hAnsi="宋体" w:eastAsia="宋体" w:cs="Times New Roman"/>
                <w:i/>
                <w:iCs/>
                <w:color w:val="auto"/>
                <w:spacing w:val="8"/>
                <w:szCs w:val="22"/>
              </w:rPr>
              <w:t>(</w:t>
            </w:r>
            <w:r>
              <w:rPr>
                <w:rFonts w:hint="eastAsia" w:ascii="宋体" w:hAnsi="宋体" w:eastAsia="宋体" w:cs="Times New Roman"/>
                <w:i/>
                <w:iCs/>
                <w:color w:val="auto"/>
                <w:szCs w:val="22"/>
              </w:rPr>
              <w:t>Cav</w:t>
            </w:r>
            <w:r>
              <w:rPr>
                <w:rFonts w:hint="eastAsia" w:ascii="宋体" w:hAnsi="宋体" w:eastAsia="宋体" w:cs="Times New Roman"/>
                <w:i/>
                <w:iCs/>
                <w:color w:val="auto"/>
                <w:spacing w:val="8"/>
                <w:szCs w:val="22"/>
              </w:rPr>
              <w:t>.)</w:t>
            </w:r>
            <w:r>
              <w:rPr>
                <w:rFonts w:hint="eastAsia" w:ascii="宋体" w:hAnsi="宋体" w:eastAsia="宋体" w:cs="Times New Roman"/>
                <w:i/>
                <w:iCs/>
                <w:color w:val="auto"/>
                <w:szCs w:val="22"/>
              </w:rPr>
              <w:t>Trin</w:t>
            </w:r>
            <w:r>
              <w:rPr>
                <w:rFonts w:hint="eastAsia" w:ascii="宋体" w:hAnsi="宋体" w:eastAsia="宋体" w:cs="Times New Roman"/>
                <w:i/>
                <w:iCs/>
                <w:color w:val="auto"/>
                <w:spacing w:val="8"/>
                <w:szCs w:val="22"/>
              </w:rPr>
              <w:t>.</w:t>
            </w:r>
            <w:r>
              <w:rPr>
                <w:rFonts w:hint="eastAsia" w:ascii="宋体" w:hAnsi="宋体" w:eastAsia="宋体" w:cs="Times New Roman"/>
                <w:i/>
                <w:iCs/>
                <w:color w:val="auto"/>
                <w:spacing w:val="12"/>
                <w:szCs w:val="22"/>
              </w:rPr>
              <w:t>exSteud</w:t>
            </w:r>
          </w:p>
        </w:tc>
        <w:tc>
          <w:tcPr>
            <w:tcW w:w="463" w:type="pct"/>
            <w:shd w:val="clear" w:color="auto" w:fill="auto"/>
            <w:vAlign w:val="center"/>
          </w:tcPr>
          <w:p w14:paraId="0329CF57">
            <w:pPr>
              <w:jc w:val="center"/>
              <w:rPr>
                <w:rFonts w:ascii="宋体" w:hAnsi="宋体" w:eastAsia="宋体" w:cs="Times New Roman"/>
                <w:color w:val="auto"/>
              </w:rPr>
            </w:pPr>
            <w:r>
              <w:rPr>
                <w:rFonts w:ascii="宋体" w:hAnsi="宋体" w:eastAsia="宋体" w:cs="Times New Roman"/>
                <w:color w:val="auto"/>
              </w:rPr>
              <w:t>155</w:t>
            </w:r>
          </w:p>
        </w:tc>
        <w:tc>
          <w:tcPr>
            <w:tcW w:w="786" w:type="pct"/>
            <w:shd w:val="clear" w:color="auto" w:fill="auto"/>
            <w:vAlign w:val="center"/>
          </w:tcPr>
          <w:p w14:paraId="7603DCBF">
            <w:pPr>
              <w:jc w:val="center"/>
              <w:rPr>
                <w:rFonts w:ascii="宋体" w:hAnsi="宋体" w:eastAsia="宋体" w:cs="Times New Roman"/>
                <w:color w:val="auto"/>
                <w:lang w:bidi="zh-CN"/>
              </w:rPr>
            </w:pPr>
            <w:r>
              <w:rPr>
                <w:rFonts w:ascii="宋体" w:hAnsi="宋体" w:eastAsia="宋体" w:cs="Times New Roman"/>
                <w:color w:val="auto"/>
                <w:szCs w:val="22"/>
                <w:lang w:bidi="zh-CN"/>
              </w:rPr>
              <w:t>Cop3.</w:t>
            </w:r>
          </w:p>
        </w:tc>
        <w:tc>
          <w:tcPr>
            <w:tcW w:w="335" w:type="pct"/>
            <w:shd w:val="clear" w:color="auto" w:fill="auto"/>
            <w:vAlign w:val="center"/>
          </w:tcPr>
          <w:p w14:paraId="0D3888AC">
            <w:pPr>
              <w:jc w:val="center"/>
              <w:rPr>
                <w:rFonts w:ascii="宋体" w:hAnsi="宋体" w:eastAsia="宋体" w:cs="Times New Roman"/>
                <w:color w:val="auto"/>
                <w:spacing w:val="-2"/>
              </w:rPr>
            </w:pPr>
            <w:r>
              <w:rPr>
                <w:rFonts w:ascii="宋体" w:hAnsi="宋体" w:eastAsia="宋体" w:cs="Times New Roman"/>
                <w:color w:val="auto"/>
                <w:spacing w:val="-2"/>
              </w:rPr>
              <w:t>2.2</w:t>
            </w:r>
          </w:p>
        </w:tc>
        <w:tc>
          <w:tcPr>
            <w:tcW w:w="328" w:type="pct"/>
            <w:shd w:val="clear" w:color="auto" w:fill="auto"/>
            <w:vAlign w:val="center"/>
          </w:tcPr>
          <w:p w14:paraId="4CDFEDA6">
            <w:pPr>
              <w:jc w:val="center"/>
              <w:rPr>
                <w:rFonts w:ascii="宋体" w:hAnsi="宋体" w:eastAsia="宋体" w:cs="Times New Roman"/>
                <w:color w:val="auto"/>
                <w:spacing w:val="-3"/>
              </w:rPr>
            </w:pPr>
            <w:r>
              <w:rPr>
                <w:rFonts w:ascii="宋体" w:hAnsi="宋体" w:eastAsia="宋体" w:cs="Times New Roman"/>
                <w:color w:val="auto"/>
                <w:spacing w:val="-3"/>
              </w:rPr>
              <w:t>3</w:t>
            </w:r>
            <w:r>
              <w:rPr>
                <w:rFonts w:hint="eastAsia" w:ascii="宋体" w:hAnsi="宋体" w:eastAsia="宋体" w:cs="Times New Roman"/>
                <w:color w:val="auto"/>
                <w:spacing w:val="-3"/>
              </w:rPr>
              <w:t>0</w:t>
            </w:r>
          </w:p>
        </w:tc>
      </w:tr>
      <w:tr w14:paraId="0757B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12E21BF8">
            <w:pPr>
              <w:adjustRightInd w:val="0"/>
              <w:snapToGrid w:val="0"/>
              <w:jc w:val="center"/>
              <w:rPr>
                <w:rFonts w:ascii="宋体" w:hAnsi="宋体" w:eastAsia="宋体" w:cs="Arial"/>
                <w:color w:val="auto"/>
              </w:rPr>
            </w:pPr>
            <w:r>
              <w:rPr>
                <w:rStyle w:val="116"/>
                <w:rFonts w:ascii="宋体" w:hAnsi="宋体" w:eastAsia="宋体" w:cs="Times New Roman"/>
                <w:color w:val="auto"/>
              </w:rPr>
              <w:drawing>
                <wp:inline distT="0" distB="0" distL="0" distR="0">
                  <wp:extent cx="4552950" cy="3413125"/>
                  <wp:effectExtent l="0" t="0" r="0" b="15875"/>
                  <wp:docPr id="130447745" name="图片 130447745" descr="D:\Users\DELL\Documents\WeChat Files\wxid_0rf4mizuauk621\FileStorage\Temp\f82f8ea0ff4406b176544d836dd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45" name="图片 130447745" descr="D:\Users\DELL\Documents\WeChat Files\wxid_0rf4mizuauk621\FileStorage\Temp\f82f8ea0ff4406b176544d836dd6318.jpg"/>
                          <pic:cNvPicPr>
                            <a:picLocks noChangeAspect="1" noChangeArrowheads="1"/>
                          </pic:cNvPicPr>
                        </pic:nvPicPr>
                        <pic:blipFill>
                          <a:blip r:embed="rId70"/>
                          <a:srcRect/>
                          <a:stretch>
                            <a:fillRect/>
                          </a:stretch>
                        </pic:blipFill>
                        <pic:spPr>
                          <a:xfrm>
                            <a:off x="0" y="0"/>
                            <a:ext cx="4552950" cy="3439528"/>
                          </a:xfrm>
                          <a:prstGeom prst="rect">
                            <a:avLst/>
                          </a:prstGeom>
                          <a:noFill/>
                          <a:ln>
                            <a:noFill/>
                          </a:ln>
                        </pic:spPr>
                      </pic:pic>
                    </a:graphicData>
                  </a:graphic>
                </wp:inline>
              </w:drawing>
            </w:r>
            <w:r>
              <w:rPr>
                <w:rStyle w:val="116"/>
                <w:rFonts w:ascii="宋体" w:hAnsi="宋体" w:eastAsia="宋体" w:cs="Times New Roman"/>
                <w:color w:val="auto"/>
              </w:rPr>
              <w:t xml:space="preserve"> </w:t>
            </w:r>
          </w:p>
        </w:tc>
      </w:tr>
    </w:tbl>
    <w:p w14:paraId="4AC90019">
      <w:pPr>
        <w:spacing w:before="163"/>
        <w:jc w:val="center"/>
        <w:rPr>
          <w:rFonts w:ascii="宋体" w:hAnsi="宋体" w:eastAsia="宋体"/>
          <w:color w:val="auto"/>
          <w:spacing w:val="-11"/>
        </w:rPr>
      </w:pPr>
      <w:r>
        <w:rPr>
          <w:rFonts w:hint="eastAsia" w:ascii="宋体" w:hAnsi="宋体" w:eastAsia="宋体" w:cs="Times New Roman"/>
          <w:color w:val="auto"/>
          <w:sz w:val="24"/>
          <w:szCs w:val="24"/>
        </w:rPr>
        <w:t xml:space="preserve">表 </w:t>
      </w:r>
      <w:r>
        <w:rPr>
          <w:rFonts w:ascii="宋体" w:hAnsi="宋体" w:eastAsia="宋体" w:cs="Times New Roman"/>
          <w:color w:val="auto"/>
          <w:sz w:val="24"/>
          <w:szCs w:val="24"/>
        </w:rPr>
        <w:t>4.4-8 5</w:t>
      </w:r>
      <w:r>
        <w:rPr>
          <w:rFonts w:hint="eastAsia" w:ascii="宋体" w:hAnsi="宋体" w:eastAsia="宋体" w:cs="Times New Roman"/>
          <w:color w:val="auto"/>
          <w:sz w:val="24"/>
          <w:szCs w:val="24"/>
        </w:rPr>
        <w:t>#点</w:t>
      </w:r>
      <w:r>
        <w:rPr>
          <w:rFonts w:ascii="宋体" w:hAnsi="宋体" w:eastAsia="宋体" w:cs="Times New Roman"/>
          <w:color w:val="auto"/>
          <w:sz w:val="24"/>
          <w:szCs w:val="24"/>
        </w:rPr>
        <w:t>样方调查结果表</w:t>
      </w:r>
    </w:p>
    <w:tbl>
      <w:tblPr>
        <w:tblStyle w:val="17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566"/>
        <w:gridCol w:w="1476"/>
        <w:gridCol w:w="683"/>
        <w:gridCol w:w="2962"/>
        <w:gridCol w:w="796"/>
        <w:gridCol w:w="1396"/>
        <w:gridCol w:w="696"/>
        <w:gridCol w:w="712"/>
      </w:tblGrid>
      <w:tr w14:paraId="2DA43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339" w:type="pct"/>
            <w:shd w:val="clear" w:color="auto" w:fill="auto"/>
            <w:vAlign w:val="center"/>
          </w:tcPr>
          <w:p w14:paraId="1C159327">
            <w:pPr>
              <w:jc w:val="center"/>
              <w:rPr>
                <w:rFonts w:ascii="宋体" w:hAnsi="宋体" w:eastAsia="宋体" w:cs="Times New Roman"/>
                <w:color w:val="auto"/>
              </w:rPr>
            </w:pPr>
            <w:r>
              <w:rPr>
                <w:rFonts w:hint="eastAsia" w:ascii="宋体" w:hAnsi="宋体" w:eastAsia="宋体" w:cs="Times New Roman"/>
                <w:color w:val="auto"/>
                <w:spacing w:val="-2"/>
              </w:rPr>
              <w:t>编号</w:t>
            </w:r>
          </w:p>
        </w:tc>
        <w:tc>
          <w:tcPr>
            <w:tcW w:w="718" w:type="pct"/>
            <w:shd w:val="clear" w:color="auto" w:fill="auto"/>
            <w:vAlign w:val="center"/>
          </w:tcPr>
          <w:p w14:paraId="02BB115E">
            <w:pPr>
              <w:jc w:val="center"/>
              <w:rPr>
                <w:rFonts w:ascii="宋体" w:hAnsi="宋体" w:eastAsia="宋体" w:cs="Times New Roman"/>
                <w:color w:val="auto"/>
              </w:rPr>
            </w:pPr>
            <w:r>
              <w:rPr>
                <w:rFonts w:ascii="宋体" w:hAnsi="宋体" w:eastAsia="宋体" w:cs="Times New Roman"/>
                <w:color w:val="auto"/>
              </w:rPr>
              <w:t>5</w:t>
            </w:r>
          </w:p>
        </w:tc>
        <w:tc>
          <w:tcPr>
            <w:tcW w:w="402" w:type="pct"/>
            <w:shd w:val="clear" w:color="auto" w:fill="auto"/>
            <w:vAlign w:val="center"/>
          </w:tcPr>
          <w:p w14:paraId="5D960097">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rPr>
              <w:t>人</w:t>
            </w:r>
          </w:p>
        </w:tc>
        <w:tc>
          <w:tcPr>
            <w:tcW w:w="1629" w:type="pct"/>
            <w:shd w:val="clear" w:color="auto" w:fill="auto"/>
            <w:vAlign w:val="center"/>
          </w:tcPr>
          <w:p w14:paraId="5EA17899">
            <w:pPr>
              <w:jc w:val="center"/>
              <w:rPr>
                <w:rFonts w:ascii="宋体" w:hAnsi="宋体" w:eastAsia="宋体" w:cs="Times New Roman"/>
                <w:color w:val="auto"/>
              </w:rPr>
            </w:pPr>
            <w:r>
              <w:rPr>
                <w:rFonts w:hint="eastAsia" w:ascii="宋体" w:hAnsi="宋体" w:eastAsia="宋体" w:cs="Times New Roman"/>
                <w:color w:val="auto"/>
              </w:rPr>
              <w:t>聂海军、袁超</w:t>
            </w:r>
          </w:p>
        </w:tc>
        <w:tc>
          <w:tcPr>
            <w:tcW w:w="463" w:type="pct"/>
            <w:shd w:val="clear" w:color="auto" w:fill="auto"/>
            <w:vAlign w:val="center"/>
          </w:tcPr>
          <w:p w14:paraId="739C6AF5">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spacing w:val="-22"/>
              </w:rPr>
              <w:t>日期</w:t>
            </w:r>
          </w:p>
        </w:tc>
        <w:tc>
          <w:tcPr>
            <w:tcW w:w="786" w:type="pct"/>
            <w:shd w:val="clear" w:color="auto" w:fill="auto"/>
            <w:vAlign w:val="center"/>
          </w:tcPr>
          <w:p w14:paraId="52C02FFD">
            <w:pPr>
              <w:jc w:val="center"/>
              <w:rPr>
                <w:rFonts w:ascii="宋体" w:hAnsi="宋体" w:eastAsia="宋体" w:cs="Times New Roman"/>
                <w:color w:val="auto"/>
              </w:rPr>
            </w:pPr>
            <w:r>
              <w:rPr>
                <w:rFonts w:hint="eastAsia" w:ascii="宋体" w:hAnsi="宋体" w:eastAsia="宋体" w:cs="Times New Roman"/>
                <w:color w:val="auto"/>
                <w:spacing w:val="-1"/>
              </w:rPr>
              <w:t>202</w:t>
            </w:r>
            <w:r>
              <w:rPr>
                <w:rFonts w:ascii="宋体" w:hAnsi="宋体" w:eastAsia="宋体" w:cs="Times New Roman"/>
                <w:color w:val="auto"/>
                <w:spacing w:val="-1"/>
              </w:rPr>
              <w:t>5</w:t>
            </w:r>
            <w:r>
              <w:rPr>
                <w:rFonts w:hint="eastAsia" w:ascii="宋体" w:hAnsi="宋体" w:eastAsia="宋体" w:cs="Times New Roman"/>
                <w:color w:val="auto"/>
                <w:spacing w:val="-1"/>
              </w:rPr>
              <w:t>/</w:t>
            </w:r>
            <w:r>
              <w:rPr>
                <w:rFonts w:ascii="宋体" w:hAnsi="宋体" w:eastAsia="宋体" w:cs="Times New Roman"/>
                <w:color w:val="auto"/>
                <w:spacing w:val="-1"/>
              </w:rPr>
              <w:t>10</w:t>
            </w:r>
            <w:r>
              <w:rPr>
                <w:rFonts w:hint="eastAsia" w:ascii="宋体" w:hAnsi="宋体" w:eastAsia="宋体" w:cs="Times New Roman"/>
                <w:color w:val="auto"/>
                <w:spacing w:val="-1"/>
              </w:rPr>
              <w:t>/</w:t>
            </w:r>
            <w:r>
              <w:rPr>
                <w:rFonts w:ascii="宋体" w:hAnsi="宋体" w:eastAsia="宋体" w:cs="Times New Roman"/>
                <w:color w:val="auto"/>
                <w:spacing w:val="-1"/>
              </w:rPr>
              <w:t>10</w:t>
            </w:r>
          </w:p>
        </w:tc>
        <w:tc>
          <w:tcPr>
            <w:tcW w:w="335" w:type="pct"/>
            <w:shd w:val="clear" w:color="auto" w:fill="auto"/>
            <w:vAlign w:val="center"/>
          </w:tcPr>
          <w:p w14:paraId="31FDE7D6">
            <w:pPr>
              <w:jc w:val="center"/>
              <w:rPr>
                <w:rFonts w:ascii="宋体" w:hAnsi="宋体" w:eastAsia="宋体" w:cs="Times New Roman"/>
                <w:color w:val="auto"/>
              </w:rPr>
            </w:pPr>
            <w:r>
              <w:rPr>
                <w:rFonts w:hint="eastAsia" w:ascii="宋体" w:hAnsi="宋体" w:eastAsia="宋体" w:cs="Times New Roman"/>
                <w:color w:val="auto"/>
                <w:spacing w:val="-3"/>
              </w:rPr>
              <w:t>样方尺寸</w:t>
            </w:r>
          </w:p>
        </w:tc>
        <w:tc>
          <w:tcPr>
            <w:tcW w:w="329" w:type="pct"/>
            <w:shd w:val="clear" w:color="auto" w:fill="auto"/>
            <w:vAlign w:val="center"/>
          </w:tcPr>
          <w:p w14:paraId="74B3B7EF">
            <w:pPr>
              <w:jc w:val="center"/>
              <w:rPr>
                <w:rFonts w:ascii="宋体" w:hAnsi="宋体" w:eastAsia="宋体" w:cs="Times New Roman"/>
                <w:color w:val="auto"/>
              </w:rPr>
            </w:pPr>
            <w:r>
              <w:rPr>
                <w:rFonts w:hint="eastAsia" w:ascii="宋体" w:hAnsi="宋体" w:eastAsia="宋体" w:cs="Times New Roman"/>
                <w:color w:val="auto"/>
                <w:spacing w:val="-6"/>
              </w:rPr>
              <w:t>10m×</w:t>
            </w:r>
            <w:r>
              <w:rPr>
                <w:rFonts w:hint="eastAsia" w:ascii="宋体" w:hAnsi="宋体" w:eastAsia="宋体" w:cs="Times New Roman"/>
                <w:color w:val="auto"/>
                <w:spacing w:val="2"/>
              </w:rPr>
              <w:t xml:space="preserve"> </w:t>
            </w:r>
            <w:r>
              <w:rPr>
                <w:rFonts w:hint="eastAsia" w:ascii="宋体" w:hAnsi="宋体" w:eastAsia="宋体" w:cs="Times New Roman"/>
                <w:color w:val="auto"/>
                <w:spacing w:val="-8"/>
              </w:rPr>
              <w:t>10m</w:t>
            </w:r>
          </w:p>
        </w:tc>
      </w:tr>
      <w:tr w14:paraId="552DB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101FDBA9">
            <w:pPr>
              <w:jc w:val="center"/>
              <w:rPr>
                <w:rFonts w:ascii="宋体" w:hAnsi="宋体" w:eastAsia="宋体" w:cs="Times New Roman"/>
                <w:color w:val="auto"/>
              </w:rPr>
            </w:pPr>
            <w:r>
              <w:rPr>
                <w:rFonts w:hint="eastAsia" w:ascii="宋体" w:hAnsi="宋体" w:eastAsia="宋体" w:cs="Times New Roman"/>
                <w:color w:val="auto"/>
                <w:spacing w:val="-2"/>
              </w:rPr>
              <w:t>经度</w:t>
            </w:r>
          </w:p>
        </w:tc>
        <w:tc>
          <w:tcPr>
            <w:tcW w:w="718" w:type="pct"/>
            <w:shd w:val="clear" w:color="auto" w:fill="auto"/>
            <w:vAlign w:val="center"/>
          </w:tcPr>
          <w:p w14:paraId="313A9173">
            <w:pPr>
              <w:jc w:val="center"/>
              <w:rPr>
                <w:rFonts w:ascii="宋体" w:hAnsi="宋体" w:eastAsia="宋体" w:cs="Times New Roman"/>
                <w:color w:val="auto"/>
              </w:rPr>
            </w:pPr>
            <w:r>
              <w:rPr>
                <w:rFonts w:ascii="宋体" w:hAnsi="宋体" w:eastAsia="宋体" w:cs="Times New Roman"/>
                <w:color w:val="auto"/>
              </w:rPr>
              <w:t>125.15453848</w:t>
            </w:r>
          </w:p>
        </w:tc>
        <w:tc>
          <w:tcPr>
            <w:tcW w:w="402" w:type="pct"/>
            <w:shd w:val="clear" w:color="auto" w:fill="auto"/>
            <w:vAlign w:val="center"/>
          </w:tcPr>
          <w:p w14:paraId="2EEAC551">
            <w:pPr>
              <w:jc w:val="center"/>
              <w:rPr>
                <w:rFonts w:ascii="宋体" w:hAnsi="宋体" w:eastAsia="宋体" w:cs="Times New Roman"/>
                <w:color w:val="auto"/>
              </w:rPr>
            </w:pPr>
            <w:r>
              <w:rPr>
                <w:rFonts w:hint="eastAsia" w:ascii="宋体" w:hAnsi="宋体" w:eastAsia="宋体" w:cs="Times New Roman"/>
                <w:color w:val="auto"/>
                <w:spacing w:val="-2"/>
              </w:rPr>
              <w:t>纬度</w:t>
            </w:r>
          </w:p>
        </w:tc>
        <w:tc>
          <w:tcPr>
            <w:tcW w:w="1629" w:type="pct"/>
            <w:shd w:val="clear" w:color="auto" w:fill="auto"/>
            <w:vAlign w:val="center"/>
          </w:tcPr>
          <w:p w14:paraId="7FA07469">
            <w:pPr>
              <w:jc w:val="center"/>
              <w:rPr>
                <w:rFonts w:ascii="宋体" w:hAnsi="宋体" w:eastAsia="宋体" w:cs="Times New Roman"/>
                <w:color w:val="auto"/>
              </w:rPr>
            </w:pPr>
            <w:r>
              <w:rPr>
                <w:rFonts w:ascii="宋体" w:hAnsi="宋体" w:eastAsia="宋体" w:cs="Times New Roman"/>
                <w:color w:val="auto"/>
              </w:rPr>
              <w:t>45.53489371</w:t>
            </w:r>
          </w:p>
        </w:tc>
        <w:tc>
          <w:tcPr>
            <w:tcW w:w="463" w:type="pct"/>
            <w:shd w:val="clear" w:color="auto" w:fill="auto"/>
            <w:vAlign w:val="center"/>
          </w:tcPr>
          <w:p w14:paraId="499EE4FE">
            <w:pPr>
              <w:jc w:val="center"/>
              <w:rPr>
                <w:rFonts w:ascii="宋体" w:hAnsi="宋体" w:eastAsia="宋体" w:cs="Times New Roman"/>
                <w:color w:val="auto"/>
              </w:rPr>
            </w:pPr>
            <w:r>
              <w:rPr>
                <w:rFonts w:hint="eastAsia" w:ascii="宋体" w:hAnsi="宋体" w:eastAsia="宋体" w:cs="Times New Roman"/>
                <w:color w:val="auto"/>
                <w:spacing w:val="-3"/>
              </w:rPr>
              <w:t>海拔</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786" w:type="pct"/>
            <w:shd w:val="clear" w:color="auto" w:fill="auto"/>
            <w:vAlign w:val="center"/>
          </w:tcPr>
          <w:p w14:paraId="6FC3C00F">
            <w:pPr>
              <w:jc w:val="center"/>
              <w:rPr>
                <w:rFonts w:ascii="宋体" w:hAnsi="宋体" w:eastAsia="宋体" w:cs="Times New Roman"/>
                <w:color w:val="auto"/>
              </w:rPr>
            </w:pPr>
            <w:r>
              <w:rPr>
                <w:rFonts w:ascii="宋体" w:hAnsi="宋体" w:eastAsia="宋体" w:cs="Times New Roman"/>
                <w:color w:val="auto"/>
                <w:spacing w:val="-2"/>
              </w:rPr>
              <w:t>125</w:t>
            </w:r>
          </w:p>
        </w:tc>
        <w:tc>
          <w:tcPr>
            <w:tcW w:w="335" w:type="pct"/>
            <w:shd w:val="clear" w:color="auto" w:fill="auto"/>
            <w:vAlign w:val="center"/>
          </w:tcPr>
          <w:p w14:paraId="43ABECD8">
            <w:pPr>
              <w:jc w:val="center"/>
              <w:rPr>
                <w:rFonts w:ascii="宋体" w:hAnsi="宋体" w:eastAsia="宋体" w:cs="Times New Roman"/>
                <w:color w:val="auto"/>
              </w:rPr>
            </w:pPr>
            <w:r>
              <w:rPr>
                <w:rFonts w:hint="eastAsia" w:ascii="宋体" w:hAnsi="宋体" w:eastAsia="宋体" w:cs="Times New Roman"/>
                <w:color w:val="auto"/>
                <w:spacing w:val="-2"/>
              </w:rPr>
              <w:t>坡度</w:t>
            </w:r>
          </w:p>
        </w:tc>
        <w:tc>
          <w:tcPr>
            <w:tcW w:w="329" w:type="pct"/>
            <w:shd w:val="clear" w:color="auto" w:fill="auto"/>
            <w:vAlign w:val="center"/>
          </w:tcPr>
          <w:p w14:paraId="35A9FBCD">
            <w:pPr>
              <w:jc w:val="center"/>
              <w:rPr>
                <w:rFonts w:ascii="宋体" w:hAnsi="宋体" w:eastAsia="宋体" w:cs="Times New Roman"/>
                <w:color w:val="auto"/>
              </w:rPr>
            </w:pPr>
            <w:r>
              <w:rPr>
                <w:rFonts w:hint="eastAsia" w:ascii="宋体" w:hAnsi="宋体" w:eastAsia="宋体" w:cs="Times New Roman"/>
                <w:color w:val="auto"/>
              </w:rPr>
              <w:t>0</w:t>
            </w:r>
          </w:p>
        </w:tc>
      </w:tr>
      <w:tr w14:paraId="75122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57160EF7">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rPr>
              <w:t xml:space="preserve"> </w:t>
            </w:r>
            <w:r>
              <w:rPr>
                <w:rFonts w:hint="eastAsia" w:ascii="宋体" w:hAnsi="宋体" w:eastAsia="宋体" w:cs="Times New Roman"/>
                <w:color w:val="auto"/>
                <w:spacing w:val="-5"/>
              </w:rPr>
              <w:t>名称</w:t>
            </w:r>
          </w:p>
        </w:tc>
        <w:tc>
          <w:tcPr>
            <w:tcW w:w="2749" w:type="pct"/>
            <w:gridSpan w:val="3"/>
            <w:shd w:val="clear" w:color="auto" w:fill="auto"/>
            <w:vAlign w:val="center"/>
          </w:tcPr>
          <w:p w14:paraId="04490D6C">
            <w:pPr>
              <w:jc w:val="center"/>
              <w:rPr>
                <w:rFonts w:ascii="宋体" w:hAnsi="宋体" w:eastAsia="宋体" w:cs="Times New Roman"/>
                <w:color w:val="auto"/>
              </w:rPr>
            </w:pPr>
            <w:r>
              <w:rPr>
                <w:rFonts w:hint="eastAsia" w:ascii="宋体" w:hAnsi="宋体" w:eastAsia="宋体" w:cs="Times New Roman"/>
                <w:color w:val="auto"/>
              </w:rPr>
              <w:t>青杨群落</w:t>
            </w:r>
          </w:p>
        </w:tc>
        <w:tc>
          <w:tcPr>
            <w:tcW w:w="463" w:type="pct"/>
            <w:shd w:val="clear" w:color="auto" w:fill="auto"/>
            <w:vAlign w:val="center"/>
          </w:tcPr>
          <w:p w14:paraId="0194AD19">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rPr>
              <w:t xml:space="preserve"> </w:t>
            </w:r>
            <w:r>
              <w:rPr>
                <w:rFonts w:hint="eastAsia" w:ascii="宋体" w:hAnsi="宋体" w:eastAsia="宋体" w:cs="Times New Roman"/>
                <w:color w:val="auto"/>
                <w:spacing w:val="-4"/>
              </w:rPr>
              <w:t>拉丁</w:t>
            </w:r>
            <w:r>
              <w:rPr>
                <w:rFonts w:hint="eastAsia" w:ascii="宋体" w:hAnsi="宋体" w:eastAsia="宋体" w:cs="Times New Roman"/>
                <w:color w:val="auto"/>
              </w:rPr>
              <w:t xml:space="preserve"> </w:t>
            </w:r>
            <w:r>
              <w:rPr>
                <w:rFonts w:hint="eastAsia" w:ascii="宋体" w:hAnsi="宋体" w:eastAsia="宋体" w:cs="Times New Roman"/>
                <w:color w:val="auto"/>
                <w:spacing w:val="-4"/>
              </w:rPr>
              <w:t>学名</w:t>
            </w:r>
          </w:p>
        </w:tc>
        <w:tc>
          <w:tcPr>
            <w:tcW w:w="1450" w:type="pct"/>
            <w:gridSpan w:val="3"/>
            <w:shd w:val="clear" w:color="auto" w:fill="auto"/>
            <w:vAlign w:val="center"/>
          </w:tcPr>
          <w:p w14:paraId="3FC148C9">
            <w:pPr>
              <w:jc w:val="center"/>
              <w:rPr>
                <w:rFonts w:ascii="宋体" w:hAnsi="宋体" w:eastAsia="宋体" w:cs="Times New Roman"/>
                <w:color w:val="auto"/>
                <w:szCs w:val="22"/>
              </w:rPr>
            </w:pPr>
            <w:r>
              <w:rPr>
                <w:rFonts w:ascii="宋体" w:hAnsi="宋体" w:eastAsia="宋体" w:cs="Times New Roman"/>
                <w:i/>
                <w:iCs/>
                <w:color w:val="auto"/>
                <w:spacing w:val="1"/>
                <w:szCs w:val="22"/>
              </w:rPr>
              <w:t>Populus cathayana Rehd.</w:t>
            </w:r>
          </w:p>
        </w:tc>
      </w:tr>
      <w:tr w14:paraId="4A4DC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53E530A9">
            <w:pPr>
              <w:jc w:val="center"/>
              <w:rPr>
                <w:rFonts w:ascii="宋体" w:hAnsi="宋体" w:eastAsia="宋体" w:cs="Times New Roman"/>
                <w:color w:val="auto"/>
              </w:rPr>
            </w:pPr>
            <w:r>
              <w:rPr>
                <w:rFonts w:hint="eastAsia" w:ascii="宋体" w:hAnsi="宋体" w:eastAsia="宋体" w:cs="Times New Roman"/>
                <w:color w:val="auto"/>
                <w:spacing w:val="-2"/>
              </w:rPr>
              <w:t>层次</w:t>
            </w:r>
          </w:p>
        </w:tc>
        <w:tc>
          <w:tcPr>
            <w:tcW w:w="718" w:type="pct"/>
            <w:shd w:val="clear" w:color="auto" w:fill="auto"/>
            <w:vAlign w:val="center"/>
          </w:tcPr>
          <w:p w14:paraId="1A88A22E">
            <w:pPr>
              <w:jc w:val="center"/>
              <w:rPr>
                <w:rFonts w:ascii="宋体" w:hAnsi="宋体" w:eastAsia="宋体" w:cs="Times New Roman"/>
                <w:color w:val="auto"/>
              </w:rPr>
            </w:pPr>
            <w:r>
              <w:rPr>
                <w:rFonts w:hint="eastAsia" w:ascii="宋体" w:hAnsi="宋体" w:eastAsia="宋体" w:cs="Times New Roman"/>
                <w:color w:val="auto"/>
                <w:spacing w:val="-2"/>
              </w:rPr>
              <w:t>类别</w:t>
            </w:r>
          </w:p>
        </w:tc>
        <w:tc>
          <w:tcPr>
            <w:tcW w:w="402" w:type="pct"/>
            <w:shd w:val="clear" w:color="auto" w:fill="auto"/>
            <w:vAlign w:val="center"/>
          </w:tcPr>
          <w:p w14:paraId="06C28FF0">
            <w:pPr>
              <w:jc w:val="center"/>
              <w:rPr>
                <w:rFonts w:ascii="宋体" w:hAnsi="宋体" w:eastAsia="宋体" w:cs="Times New Roman"/>
                <w:color w:val="auto"/>
              </w:rPr>
            </w:pPr>
            <w:r>
              <w:rPr>
                <w:rFonts w:hint="eastAsia" w:ascii="宋体" w:hAnsi="宋体" w:eastAsia="宋体" w:cs="Times New Roman"/>
                <w:color w:val="auto"/>
                <w:spacing w:val="-3"/>
              </w:rPr>
              <w:t>名称</w:t>
            </w:r>
          </w:p>
        </w:tc>
        <w:tc>
          <w:tcPr>
            <w:tcW w:w="1629" w:type="pct"/>
            <w:shd w:val="clear" w:color="auto" w:fill="auto"/>
            <w:vAlign w:val="center"/>
          </w:tcPr>
          <w:p w14:paraId="711899C4">
            <w:pPr>
              <w:jc w:val="center"/>
              <w:rPr>
                <w:rFonts w:ascii="宋体" w:hAnsi="宋体" w:eastAsia="宋体" w:cs="Times New Roman"/>
                <w:color w:val="auto"/>
              </w:rPr>
            </w:pPr>
            <w:r>
              <w:rPr>
                <w:rFonts w:hint="eastAsia" w:ascii="宋体" w:hAnsi="宋体" w:eastAsia="宋体" w:cs="Times New Roman"/>
                <w:color w:val="auto"/>
                <w:spacing w:val="-2"/>
              </w:rPr>
              <w:t>拉丁学名</w:t>
            </w:r>
          </w:p>
        </w:tc>
        <w:tc>
          <w:tcPr>
            <w:tcW w:w="463" w:type="pct"/>
            <w:shd w:val="clear" w:color="auto" w:fill="auto"/>
            <w:vAlign w:val="center"/>
          </w:tcPr>
          <w:p w14:paraId="57CFDB27">
            <w:pPr>
              <w:jc w:val="center"/>
              <w:rPr>
                <w:rFonts w:ascii="宋体" w:hAnsi="宋体" w:eastAsia="宋体" w:cs="Times New Roman"/>
                <w:color w:val="auto"/>
              </w:rPr>
            </w:pPr>
            <w:r>
              <w:rPr>
                <w:rFonts w:hint="eastAsia" w:ascii="宋体" w:hAnsi="宋体" w:eastAsia="宋体" w:cs="Times New Roman"/>
                <w:color w:val="auto"/>
                <w:spacing w:val="-8"/>
              </w:rPr>
              <w:t>株</w:t>
            </w:r>
            <w:r>
              <w:rPr>
                <w:rFonts w:hint="eastAsia" w:ascii="宋体" w:hAnsi="宋体" w:eastAsia="宋体" w:cs="Times New Roman"/>
                <w:color w:val="auto"/>
              </w:rPr>
              <w:t xml:space="preserve">  </w:t>
            </w:r>
            <w:r>
              <w:rPr>
                <w:rFonts w:hint="eastAsia" w:ascii="宋体" w:hAnsi="宋体" w:eastAsia="宋体" w:cs="Times New Roman"/>
                <w:color w:val="auto"/>
                <w:spacing w:val="-9"/>
              </w:rPr>
              <w:t>（丛</w:t>
            </w:r>
            <w:r>
              <w:rPr>
                <w:rFonts w:hint="eastAsia" w:ascii="宋体" w:hAnsi="宋体" w:eastAsia="宋体" w:cs="Times New Roman"/>
                <w:color w:val="auto"/>
              </w:rPr>
              <w:t xml:space="preserve"> </w:t>
            </w:r>
            <w:r>
              <w:rPr>
                <w:rFonts w:hint="eastAsia" w:ascii="宋体" w:hAnsi="宋体" w:eastAsia="宋体" w:cs="Times New Roman"/>
                <w:color w:val="auto"/>
                <w:spacing w:val="-12"/>
              </w:rPr>
              <w:t>数）</w:t>
            </w:r>
          </w:p>
        </w:tc>
        <w:tc>
          <w:tcPr>
            <w:tcW w:w="786" w:type="pct"/>
            <w:shd w:val="clear" w:color="auto" w:fill="auto"/>
            <w:vAlign w:val="center"/>
          </w:tcPr>
          <w:p w14:paraId="5C17572F">
            <w:pPr>
              <w:jc w:val="center"/>
              <w:rPr>
                <w:rFonts w:ascii="宋体" w:hAnsi="宋体" w:eastAsia="宋体" w:cs="Times New Roman"/>
                <w:color w:val="auto"/>
              </w:rPr>
            </w:pPr>
            <w:r>
              <w:rPr>
                <w:rFonts w:hint="eastAsia" w:ascii="宋体" w:hAnsi="宋体" w:eastAsia="宋体" w:cs="Times New Roman"/>
                <w:color w:val="auto"/>
                <w:spacing w:val="-4"/>
              </w:rPr>
              <w:t>多度</w:t>
            </w:r>
          </w:p>
        </w:tc>
        <w:tc>
          <w:tcPr>
            <w:tcW w:w="335" w:type="pct"/>
            <w:shd w:val="clear" w:color="auto" w:fill="auto"/>
            <w:vAlign w:val="center"/>
          </w:tcPr>
          <w:p w14:paraId="0678951F">
            <w:pPr>
              <w:jc w:val="center"/>
              <w:rPr>
                <w:rFonts w:ascii="宋体" w:hAnsi="宋体" w:eastAsia="宋体" w:cs="Times New Roman"/>
                <w:color w:val="auto"/>
              </w:rPr>
            </w:pPr>
            <w:r>
              <w:rPr>
                <w:rFonts w:hint="eastAsia" w:ascii="宋体" w:hAnsi="宋体" w:eastAsia="宋体" w:cs="Times New Roman"/>
                <w:color w:val="auto"/>
                <w:spacing w:val="-6"/>
              </w:rPr>
              <w:t>高度</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329" w:type="pct"/>
            <w:shd w:val="clear" w:color="auto" w:fill="auto"/>
            <w:vAlign w:val="center"/>
          </w:tcPr>
          <w:p w14:paraId="5AFD8114">
            <w:pPr>
              <w:jc w:val="center"/>
              <w:rPr>
                <w:rFonts w:ascii="宋体" w:hAnsi="宋体" w:eastAsia="宋体" w:cs="Times New Roman"/>
                <w:color w:val="auto"/>
              </w:rPr>
            </w:pPr>
            <w:r>
              <w:rPr>
                <w:rFonts w:hint="eastAsia" w:ascii="宋体" w:hAnsi="宋体" w:eastAsia="宋体" w:cs="Times New Roman"/>
                <w:color w:val="auto"/>
                <w:spacing w:val="-4"/>
              </w:rPr>
              <w:t>盖度</w:t>
            </w:r>
            <w:r>
              <w:rPr>
                <w:rFonts w:hint="eastAsia" w:ascii="宋体" w:hAnsi="宋体" w:eastAsia="宋体" w:cs="Times New Roman"/>
                <w:color w:val="auto"/>
              </w:rPr>
              <w:t xml:space="preserve"> </w:t>
            </w:r>
            <w:r>
              <w:rPr>
                <w:rFonts w:hint="eastAsia" w:ascii="宋体" w:hAnsi="宋体" w:eastAsia="宋体" w:cs="Times New Roman"/>
                <w:color w:val="auto"/>
                <w:spacing w:val="-9"/>
              </w:rPr>
              <w:t>（%）</w:t>
            </w:r>
          </w:p>
        </w:tc>
      </w:tr>
      <w:tr w14:paraId="0A958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25B1348E">
            <w:pPr>
              <w:jc w:val="center"/>
              <w:rPr>
                <w:rFonts w:ascii="宋体" w:hAnsi="宋体" w:eastAsia="宋体" w:cs="Times New Roman"/>
                <w:color w:val="auto"/>
              </w:rPr>
            </w:pPr>
            <w:r>
              <w:rPr>
                <w:rFonts w:hint="eastAsia" w:ascii="宋体" w:hAnsi="宋体" w:eastAsia="宋体" w:cs="Times New Roman"/>
                <w:color w:val="auto"/>
                <w:spacing w:val="-4"/>
              </w:rPr>
              <w:t>乔木</w:t>
            </w:r>
            <w:r>
              <w:rPr>
                <w:rFonts w:hint="eastAsia" w:ascii="宋体" w:hAnsi="宋体" w:eastAsia="宋体" w:cs="Times New Roman"/>
                <w:color w:val="auto"/>
              </w:rPr>
              <w:t xml:space="preserve"> 层</w:t>
            </w:r>
          </w:p>
        </w:tc>
        <w:tc>
          <w:tcPr>
            <w:tcW w:w="718" w:type="pct"/>
            <w:shd w:val="clear" w:color="auto" w:fill="auto"/>
            <w:vAlign w:val="center"/>
          </w:tcPr>
          <w:p w14:paraId="1A39F82A">
            <w:pPr>
              <w:jc w:val="center"/>
              <w:rPr>
                <w:rFonts w:ascii="宋体" w:hAnsi="宋体" w:eastAsia="宋体" w:cs="Times New Roman"/>
                <w:color w:val="auto"/>
              </w:rPr>
            </w:pPr>
            <w:r>
              <w:rPr>
                <w:rFonts w:hint="eastAsia" w:ascii="宋体" w:hAnsi="宋体" w:eastAsia="宋体" w:cs="Times New Roman"/>
                <w:color w:val="auto"/>
                <w:spacing w:val="-2"/>
              </w:rPr>
              <w:t>建群种</w:t>
            </w:r>
          </w:p>
        </w:tc>
        <w:tc>
          <w:tcPr>
            <w:tcW w:w="402" w:type="pct"/>
            <w:shd w:val="clear" w:color="auto" w:fill="auto"/>
            <w:vAlign w:val="center"/>
          </w:tcPr>
          <w:p w14:paraId="3CF22F29">
            <w:pPr>
              <w:jc w:val="center"/>
              <w:rPr>
                <w:rFonts w:ascii="宋体" w:hAnsi="宋体" w:eastAsia="宋体" w:cs="Times New Roman"/>
                <w:color w:val="auto"/>
              </w:rPr>
            </w:pPr>
            <w:r>
              <w:rPr>
                <w:rFonts w:hint="eastAsia" w:ascii="宋体" w:hAnsi="宋体" w:eastAsia="宋体" w:cs="Times New Roman"/>
                <w:color w:val="auto"/>
              </w:rPr>
              <w:t>青杨</w:t>
            </w:r>
          </w:p>
        </w:tc>
        <w:tc>
          <w:tcPr>
            <w:tcW w:w="1629" w:type="pct"/>
            <w:shd w:val="clear" w:color="auto" w:fill="auto"/>
            <w:vAlign w:val="center"/>
          </w:tcPr>
          <w:p w14:paraId="320811CF">
            <w:pPr>
              <w:jc w:val="center"/>
              <w:rPr>
                <w:rFonts w:ascii="宋体" w:hAnsi="宋体" w:eastAsia="宋体" w:cs="Times New Roman"/>
                <w:color w:val="auto"/>
                <w:szCs w:val="22"/>
              </w:rPr>
            </w:pPr>
            <w:r>
              <w:rPr>
                <w:rFonts w:ascii="宋体" w:hAnsi="宋体" w:eastAsia="宋体" w:cs="Times New Roman"/>
                <w:i/>
                <w:iCs/>
                <w:color w:val="auto"/>
                <w:spacing w:val="1"/>
                <w:szCs w:val="22"/>
              </w:rPr>
              <w:t>Populus cathayana Rehd.</w:t>
            </w:r>
          </w:p>
        </w:tc>
        <w:tc>
          <w:tcPr>
            <w:tcW w:w="463" w:type="pct"/>
            <w:shd w:val="clear" w:color="auto" w:fill="auto"/>
            <w:vAlign w:val="center"/>
          </w:tcPr>
          <w:p w14:paraId="7AA00AD6">
            <w:pPr>
              <w:jc w:val="center"/>
              <w:rPr>
                <w:rFonts w:ascii="宋体" w:hAnsi="宋体" w:eastAsia="宋体" w:cs="Times New Roman"/>
                <w:color w:val="auto"/>
              </w:rPr>
            </w:pPr>
            <w:r>
              <w:rPr>
                <w:rFonts w:ascii="宋体" w:hAnsi="宋体" w:eastAsia="宋体" w:cs="Times New Roman"/>
                <w:color w:val="auto"/>
              </w:rPr>
              <w:t>32</w:t>
            </w:r>
          </w:p>
        </w:tc>
        <w:tc>
          <w:tcPr>
            <w:tcW w:w="786" w:type="pct"/>
            <w:shd w:val="clear" w:color="auto" w:fill="auto"/>
            <w:vAlign w:val="center"/>
          </w:tcPr>
          <w:p w14:paraId="68CCAF5F">
            <w:pPr>
              <w:jc w:val="center"/>
              <w:rPr>
                <w:rFonts w:ascii="宋体" w:hAnsi="宋体" w:eastAsia="宋体" w:cs="Times New Roman"/>
                <w:color w:val="auto"/>
              </w:rPr>
            </w:pPr>
            <w:r>
              <w:rPr>
                <w:rFonts w:ascii="宋体" w:hAnsi="宋体" w:eastAsia="宋体" w:cs="Times New Roman"/>
                <w:color w:val="auto"/>
                <w:lang w:bidi="zh-CN"/>
              </w:rPr>
              <w:t>Cop2.</w:t>
            </w:r>
          </w:p>
        </w:tc>
        <w:tc>
          <w:tcPr>
            <w:tcW w:w="335" w:type="pct"/>
            <w:shd w:val="clear" w:color="auto" w:fill="auto"/>
            <w:vAlign w:val="center"/>
          </w:tcPr>
          <w:p w14:paraId="0F70C4A1">
            <w:pPr>
              <w:jc w:val="center"/>
              <w:rPr>
                <w:rFonts w:ascii="宋体" w:hAnsi="宋体" w:eastAsia="宋体" w:cs="Times New Roman"/>
                <w:color w:val="auto"/>
              </w:rPr>
            </w:pPr>
            <w:r>
              <w:rPr>
                <w:rFonts w:ascii="宋体" w:hAnsi="宋体" w:eastAsia="宋体" w:cs="Times New Roman"/>
                <w:color w:val="auto"/>
                <w:spacing w:val="-2"/>
              </w:rPr>
              <w:t>18</w:t>
            </w:r>
            <w:r>
              <w:rPr>
                <w:rFonts w:hint="eastAsia" w:ascii="宋体" w:hAnsi="宋体" w:eastAsia="宋体" w:cs="Times New Roman"/>
                <w:color w:val="auto"/>
                <w:spacing w:val="-2"/>
              </w:rPr>
              <w:t>.6</w:t>
            </w:r>
          </w:p>
        </w:tc>
        <w:tc>
          <w:tcPr>
            <w:tcW w:w="329" w:type="pct"/>
            <w:shd w:val="clear" w:color="auto" w:fill="auto"/>
            <w:vAlign w:val="center"/>
          </w:tcPr>
          <w:p w14:paraId="7434044A">
            <w:pPr>
              <w:jc w:val="center"/>
              <w:rPr>
                <w:rFonts w:ascii="宋体" w:hAnsi="宋体" w:eastAsia="宋体" w:cs="Times New Roman"/>
                <w:color w:val="auto"/>
              </w:rPr>
            </w:pPr>
            <w:r>
              <w:rPr>
                <w:rFonts w:ascii="宋体" w:hAnsi="宋体" w:eastAsia="宋体" w:cs="Times New Roman"/>
                <w:color w:val="auto"/>
                <w:spacing w:val="-3"/>
              </w:rPr>
              <w:t>5</w:t>
            </w:r>
            <w:r>
              <w:rPr>
                <w:rFonts w:hint="eastAsia" w:ascii="宋体" w:hAnsi="宋体" w:eastAsia="宋体" w:cs="Times New Roman"/>
                <w:color w:val="auto"/>
                <w:spacing w:val="-3"/>
              </w:rPr>
              <w:t>0</w:t>
            </w:r>
          </w:p>
        </w:tc>
      </w:tr>
      <w:tr w14:paraId="4466E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255EE43E">
            <w:pPr>
              <w:adjustRightInd w:val="0"/>
              <w:snapToGrid w:val="0"/>
              <w:jc w:val="center"/>
              <w:rPr>
                <w:rFonts w:ascii="宋体" w:hAnsi="宋体" w:eastAsia="宋体" w:cs="Arial"/>
                <w:color w:val="auto"/>
              </w:rPr>
            </w:pPr>
            <w:r>
              <w:rPr>
                <w:rStyle w:val="116"/>
                <w:rFonts w:ascii="宋体" w:hAnsi="宋体" w:eastAsia="宋体" w:cs="Times New Roman"/>
                <w:color w:val="auto"/>
              </w:rPr>
              <w:drawing>
                <wp:inline distT="0" distB="0" distL="0" distR="0">
                  <wp:extent cx="4238625" cy="3178810"/>
                  <wp:effectExtent l="0" t="0" r="9525" b="2540"/>
                  <wp:docPr id="130447747" name="图片 130447747" descr="D:\Users\DELL\Documents\WeChat Files\wxid_0rf4mizuauk621\FileStorage\Temp\ce24a10f434dceff37a10c347bf4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47" name="图片 130447747" descr="D:\Users\DELL\Documents\WeChat Files\wxid_0rf4mizuauk621\FileStorage\Temp\ce24a10f434dceff37a10c347bf45f5.jpg"/>
                          <pic:cNvPicPr>
                            <a:picLocks noChangeAspect="1" noChangeArrowheads="1"/>
                          </pic:cNvPicPr>
                        </pic:nvPicPr>
                        <pic:blipFill>
                          <a:blip r:embed="rId71"/>
                          <a:srcRect/>
                          <a:stretch>
                            <a:fillRect/>
                          </a:stretch>
                        </pic:blipFill>
                        <pic:spPr>
                          <a:xfrm>
                            <a:off x="0" y="0"/>
                            <a:ext cx="4280850" cy="3178810"/>
                          </a:xfrm>
                          <a:prstGeom prst="rect">
                            <a:avLst/>
                          </a:prstGeom>
                          <a:noFill/>
                          <a:ln>
                            <a:noFill/>
                          </a:ln>
                        </pic:spPr>
                      </pic:pic>
                    </a:graphicData>
                  </a:graphic>
                </wp:inline>
              </w:drawing>
            </w:r>
            <w:r>
              <w:rPr>
                <w:rStyle w:val="116"/>
                <w:rFonts w:ascii="宋体" w:hAnsi="宋体" w:eastAsia="宋体" w:cs="Times New Roman"/>
                <w:color w:val="auto"/>
              </w:rPr>
              <w:t xml:space="preserve"> </w:t>
            </w:r>
          </w:p>
        </w:tc>
      </w:tr>
    </w:tbl>
    <w:p w14:paraId="39E06129">
      <w:pPr>
        <w:spacing w:before="163"/>
        <w:jc w:val="center"/>
        <w:rPr>
          <w:rFonts w:ascii="宋体" w:hAnsi="宋体" w:eastAsia="宋体"/>
          <w:color w:val="auto"/>
          <w:spacing w:val="-11"/>
        </w:rPr>
      </w:pPr>
      <w:r>
        <w:rPr>
          <w:rFonts w:hint="eastAsia" w:ascii="宋体" w:hAnsi="宋体" w:eastAsia="宋体" w:cs="Times New Roman"/>
          <w:color w:val="auto"/>
          <w:sz w:val="24"/>
          <w:szCs w:val="24"/>
        </w:rPr>
        <w:t>表</w:t>
      </w:r>
      <w:r>
        <w:rPr>
          <w:rFonts w:ascii="宋体" w:hAnsi="宋体" w:eastAsia="宋体" w:cs="Times New Roman"/>
          <w:color w:val="auto"/>
          <w:sz w:val="24"/>
          <w:szCs w:val="24"/>
        </w:rPr>
        <w:t xml:space="preserve"> 4.4-8 6</w:t>
      </w:r>
      <w:r>
        <w:rPr>
          <w:rFonts w:hint="eastAsia" w:ascii="宋体" w:hAnsi="宋体" w:eastAsia="宋体" w:cs="Times New Roman"/>
          <w:color w:val="auto"/>
          <w:sz w:val="24"/>
          <w:szCs w:val="24"/>
        </w:rPr>
        <w:t>#点</w:t>
      </w:r>
      <w:r>
        <w:rPr>
          <w:rFonts w:ascii="宋体" w:hAnsi="宋体" w:eastAsia="宋体" w:cs="Times New Roman"/>
          <w:color w:val="auto"/>
          <w:sz w:val="24"/>
          <w:szCs w:val="24"/>
        </w:rPr>
        <w:t>样方调查结果表</w:t>
      </w:r>
    </w:p>
    <w:tbl>
      <w:tblPr>
        <w:tblStyle w:val="17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566"/>
        <w:gridCol w:w="1476"/>
        <w:gridCol w:w="683"/>
        <w:gridCol w:w="2962"/>
        <w:gridCol w:w="796"/>
        <w:gridCol w:w="1396"/>
        <w:gridCol w:w="696"/>
        <w:gridCol w:w="712"/>
      </w:tblGrid>
      <w:tr w14:paraId="6FE54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6FFC3A75">
            <w:pPr>
              <w:jc w:val="center"/>
              <w:rPr>
                <w:rFonts w:ascii="宋体" w:hAnsi="宋体" w:eastAsia="宋体" w:cs="Times New Roman"/>
                <w:color w:val="auto"/>
              </w:rPr>
            </w:pPr>
            <w:r>
              <w:rPr>
                <w:rFonts w:hint="eastAsia" w:ascii="宋体" w:hAnsi="宋体" w:eastAsia="宋体" w:cs="Times New Roman"/>
                <w:color w:val="auto"/>
                <w:spacing w:val="-2"/>
              </w:rPr>
              <w:t>编号</w:t>
            </w:r>
          </w:p>
        </w:tc>
        <w:tc>
          <w:tcPr>
            <w:tcW w:w="718" w:type="pct"/>
            <w:shd w:val="clear" w:color="auto" w:fill="auto"/>
            <w:vAlign w:val="center"/>
          </w:tcPr>
          <w:p w14:paraId="3A5B8F2B">
            <w:pPr>
              <w:jc w:val="center"/>
              <w:rPr>
                <w:rFonts w:ascii="宋体" w:hAnsi="宋体" w:eastAsia="宋体" w:cs="Times New Roman"/>
                <w:color w:val="auto"/>
              </w:rPr>
            </w:pPr>
            <w:r>
              <w:rPr>
                <w:rFonts w:ascii="宋体" w:hAnsi="宋体" w:eastAsia="宋体" w:cs="Times New Roman"/>
                <w:color w:val="auto"/>
              </w:rPr>
              <w:t>6</w:t>
            </w:r>
          </w:p>
        </w:tc>
        <w:tc>
          <w:tcPr>
            <w:tcW w:w="402" w:type="pct"/>
            <w:shd w:val="clear" w:color="auto" w:fill="auto"/>
            <w:vAlign w:val="center"/>
          </w:tcPr>
          <w:p w14:paraId="6590376A">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rPr>
              <w:t>人</w:t>
            </w:r>
          </w:p>
        </w:tc>
        <w:tc>
          <w:tcPr>
            <w:tcW w:w="1629" w:type="pct"/>
            <w:shd w:val="clear" w:color="auto" w:fill="auto"/>
            <w:vAlign w:val="center"/>
          </w:tcPr>
          <w:p w14:paraId="68AAD2B2">
            <w:pPr>
              <w:jc w:val="center"/>
              <w:rPr>
                <w:rFonts w:ascii="宋体" w:hAnsi="宋体" w:eastAsia="宋体" w:cs="Times New Roman"/>
                <w:color w:val="auto"/>
              </w:rPr>
            </w:pPr>
            <w:r>
              <w:rPr>
                <w:rFonts w:hint="eastAsia" w:ascii="宋体" w:hAnsi="宋体" w:eastAsia="宋体" w:cs="Times New Roman"/>
                <w:color w:val="auto"/>
              </w:rPr>
              <w:t>聂海军、袁超</w:t>
            </w:r>
          </w:p>
        </w:tc>
        <w:tc>
          <w:tcPr>
            <w:tcW w:w="463" w:type="pct"/>
            <w:shd w:val="clear" w:color="auto" w:fill="auto"/>
            <w:vAlign w:val="center"/>
          </w:tcPr>
          <w:p w14:paraId="7C61D3CC">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spacing w:val="-22"/>
              </w:rPr>
              <w:t>日期</w:t>
            </w:r>
          </w:p>
        </w:tc>
        <w:tc>
          <w:tcPr>
            <w:tcW w:w="786" w:type="pct"/>
            <w:shd w:val="clear" w:color="auto" w:fill="auto"/>
            <w:vAlign w:val="center"/>
          </w:tcPr>
          <w:p w14:paraId="500730D8">
            <w:pPr>
              <w:jc w:val="center"/>
              <w:rPr>
                <w:rFonts w:ascii="宋体" w:hAnsi="宋体" w:eastAsia="宋体" w:cs="Times New Roman"/>
                <w:color w:val="auto"/>
              </w:rPr>
            </w:pPr>
            <w:r>
              <w:rPr>
                <w:rFonts w:hint="eastAsia" w:ascii="宋体" w:hAnsi="宋体" w:eastAsia="宋体" w:cs="Times New Roman"/>
                <w:color w:val="auto"/>
                <w:spacing w:val="-1"/>
              </w:rPr>
              <w:t>202</w:t>
            </w:r>
            <w:r>
              <w:rPr>
                <w:rFonts w:ascii="宋体" w:hAnsi="宋体" w:eastAsia="宋体" w:cs="Times New Roman"/>
                <w:color w:val="auto"/>
                <w:spacing w:val="-1"/>
              </w:rPr>
              <w:t>5</w:t>
            </w:r>
            <w:r>
              <w:rPr>
                <w:rFonts w:hint="eastAsia" w:ascii="宋体" w:hAnsi="宋体" w:eastAsia="宋体" w:cs="Times New Roman"/>
                <w:color w:val="auto"/>
                <w:spacing w:val="-1"/>
              </w:rPr>
              <w:t>/</w:t>
            </w:r>
            <w:r>
              <w:rPr>
                <w:rFonts w:ascii="宋体" w:hAnsi="宋体" w:eastAsia="宋体" w:cs="Times New Roman"/>
                <w:color w:val="auto"/>
                <w:spacing w:val="-1"/>
              </w:rPr>
              <w:t>10</w:t>
            </w:r>
            <w:r>
              <w:rPr>
                <w:rFonts w:hint="eastAsia" w:ascii="宋体" w:hAnsi="宋体" w:eastAsia="宋体" w:cs="Times New Roman"/>
                <w:color w:val="auto"/>
                <w:spacing w:val="-1"/>
              </w:rPr>
              <w:t>/</w:t>
            </w:r>
            <w:r>
              <w:rPr>
                <w:rFonts w:ascii="宋体" w:hAnsi="宋体" w:eastAsia="宋体" w:cs="Times New Roman"/>
                <w:color w:val="auto"/>
                <w:spacing w:val="-1"/>
              </w:rPr>
              <w:t>10</w:t>
            </w:r>
          </w:p>
        </w:tc>
        <w:tc>
          <w:tcPr>
            <w:tcW w:w="335" w:type="pct"/>
            <w:shd w:val="clear" w:color="auto" w:fill="auto"/>
            <w:vAlign w:val="center"/>
          </w:tcPr>
          <w:p w14:paraId="3EE9B280">
            <w:pPr>
              <w:jc w:val="center"/>
              <w:rPr>
                <w:rFonts w:ascii="宋体" w:hAnsi="宋体" w:eastAsia="宋体" w:cs="Times New Roman"/>
                <w:color w:val="auto"/>
              </w:rPr>
            </w:pPr>
            <w:r>
              <w:rPr>
                <w:rFonts w:hint="eastAsia" w:ascii="宋体" w:hAnsi="宋体" w:eastAsia="宋体" w:cs="Times New Roman"/>
                <w:color w:val="auto"/>
                <w:spacing w:val="-3"/>
              </w:rPr>
              <w:t>样方尺寸</w:t>
            </w:r>
          </w:p>
        </w:tc>
        <w:tc>
          <w:tcPr>
            <w:tcW w:w="329" w:type="pct"/>
            <w:shd w:val="clear" w:color="auto" w:fill="auto"/>
            <w:vAlign w:val="center"/>
          </w:tcPr>
          <w:p w14:paraId="26719EC9">
            <w:pPr>
              <w:jc w:val="center"/>
              <w:rPr>
                <w:rFonts w:ascii="宋体" w:hAnsi="宋体" w:eastAsia="宋体" w:cs="Times New Roman"/>
                <w:color w:val="auto"/>
              </w:rPr>
            </w:pPr>
            <w:r>
              <w:rPr>
                <w:rFonts w:hint="eastAsia" w:ascii="宋体" w:hAnsi="宋体" w:eastAsia="宋体" w:cs="Times New Roman"/>
                <w:color w:val="auto"/>
                <w:spacing w:val="-6"/>
              </w:rPr>
              <w:t>10m×</w:t>
            </w:r>
            <w:r>
              <w:rPr>
                <w:rFonts w:hint="eastAsia" w:ascii="宋体" w:hAnsi="宋体" w:eastAsia="宋体" w:cs="Times New Roman"/>
                <w:color w:val="auto"/>
                <w:spacing w:val="2"/>
              </w:rPr>
              <w:t xml:space="preserve"> </w:t>
            </w:r>
            <w:r>
              <w:rPr>
                <w:rFonts w:hint="eastAsia" w:ascii="宋体" w:hAnsi="宋体" w:eastAsia="宋体" w:cs="Times New Roman"/>
                <w:color w:val="auto"/>
                <w:spacing w:val="-8"/>
              </w:rPr>
              <w:t>10m</w:t>
            </w:r>
          </w:p>
        </w:tc>
      </w:tr>
      <w:tr w14:paraId="2ADC4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49E2D8B8">
            <w:pPr>
              <w:jc w:val="center"/>
              <w:rPr>
                <w:rFonts w:ascii="宋体" w:hAnsi="宋体" w:eastAsia="宋体" w:cs="Times New Roman"/>
                <w:color w:val="auto"/>
              </w:rPr>
            </w:pPr>
            <w:r>
              <w:rPr>
                <w:rFonts w:hint="eastAsia" w:ascii="宋体" w:hAnsi="宋体" w:eastAsia="宋体" w:cs="Times New Roman"/>
                <w:color w:val="auto"/>
                <w:spacing w:val="-2"/>
              </w:rPr>
              <w:t>经度</w:t>
            </w:r>
          </w:p>
        </w:tc>
        <w:tc>
          <w:tcPr>
            <w:tcW w:w="718" w:type="pct"/>
            <w:shd w:val="clear" w:color="auto" w:fill="auto"/>
            <w:vAlign w:val="center"/>
          </w:tcPr>
          <w:p w14:paraId="1EA0EA61">
            <w:pPr>
              <w:jc w:val="center"/>
              <w:rPr>
                <w:rFonts w:ascii="宋体" w:hAnsi="宋体" w:eastAsia="宋体" w:cs="Times New Roman"/>
                <w:color w:val="auto"/>
              </w:rPr>
            </w:pPr>
            <w:r>
              <w:rPr>
                <w:rFonts w:ascii="宋体" w:hAnsi="宋体" w:eastAsia="宋体" w:cs="Times New Roman"/>
                <w:color w:val="auto"/>
              </w:rPr>
              <w:t>125.17973204</w:t>
            </w:r>
          </w:p>
        </w:tc>
        <w:tc>
          <w:tcPr>
            <w:tcW w:w="402" w:type="pct"/>
            <w:shd w:val="clear" w:color="auto" w:fill="auto"/>
            <w:vAlign w:val="center"/>
          </w:tcPr>
          <w:p w14:paraId="1E4C556B">
            <w:pPr>
              <w:jc w:val="center"/>
              <w:rPr>
                <w:rFonts w:ascii="宋体" w:hAnsi="宋体" w:eastAsia="宋体" w:cs="Times New Roman"/>
                <w:color w:val="auto"/>
              </w:rPr>
            </w:pPr>
            <w:r>
              <w:rPr>
                <w:rFonts w:hint="eastAsia" w:ascii="宋体" w:hAnsi="宋体" w:eastAsia="宋体" w:cs="Times New Roman"/>
                <w:color w:val="auto"/>
                <w:spacing w:val="-2"/>
              </w:rPr>
              <w:t>纬度</w:t>
            </w:r>
          </w:p>
        </w:tc>
        <w:tc>
          <w:tcPr>
            <w:tcW w:w="1629" w:type="pct"/>
            <w:shd w:val="clear" w:color="auto" w:fill="auto"/>
            <w:vAlign w:val="center"/>
          </w:tcPr>
          <w:p w14:paraId="7175BCF7">
            <w:pPr>
              <w:jc w:val="center"/>
              <w:rPr>
                <w:rFonts w:ascii="宋体" w:hAnsi="宋体" w:eastAsia="宋体" w:cs="Times New Roman"/>
                <w:color w:val="auto"/>
              </w:rPr>
            </w:pPr>
            <w:r>
              <w:rPr>
                <w:rFonts w:ascii="宋体" w:hAnsi="宋体" w:eastAsia="宋体" w:cs="Times New Roman"/>
                <w:color w:val="auto"/>
              </w:rPr>
              <w:t>45.56360771</w:t>
            </w:r>
          </w:p>
        </w:tc>
        <w:tc>
          <w:tcPr>
            <w:tcW w:w="463" w:type="pct"/>
            <w:shd w:val="clear" w:color="auto" w:fill="auto"/>
            <w:vAlign w:val="center"/>
          </w:tcPr>
          <w:p w14:paraId="4CDF3A6E">
            <w:pPr>
              <w:jc w:val="center"/>
              <w:rPr>
                <w:rFonts w:ascii="宋体" w:hAnsi="宋体" w:eastAsia="宋体" w:cs="Times New Roman"/>
                <w:color w:val="auto"/>
              </w:rPr>
            </w:pPr>
            <w:r>
              <w:rPr>
                <w:rFonts w:hint="eastAsia" w:ascii="宋体" w:hAnsi="宋体" w:eastAsia="宋体" w:cs="Times New Roman"/>
                <w:color w:val="auto"/>
                <w:spacing w:val="-3"/>
              </w:rPr>
              <w:t>海拔</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786" w:type="pct"/>
            <w:shd w:val="clear" w:color="auto" w:fill="auto"/>
            <w:vAlign w:val="center"/>
          </w:tcPr>
          <w:p w14:paraId="2AD15A9D">
            <w:pPr>
              <w:jc w:val="center"/>
              <w:rPr>
                <w:rFonts w:ascii="宋体" w:hAnsi="宋体" w:eastAsia="宋体" w:cs="Times New Roman"/>
                <w:color w:val="auto"/>
              </w:rPr>
            </w:pPr>
            <w:r>
              <w:rPr>
                <w:rFonts w:ascii="宋体" w:hAnsi="宋体" w:eastAsia="宋体" w:cs="Times New Roman"/>
                <w:color w:val="auto"/>
                <w:spacing w:val="-2"/>
              </w:rPr>
              <w:t>125</w:t>
            </w:r>
          </w:p>
        </w:tc>
        <w:tc>
          <w:tcPr>
            <w:tcW w:w="335" w:type="pct"/>
            <w:shd w:val="clear" w:color="auto" w:fill="auto"/>
            <w:vAlign w:val="center"/>
          </w:tcPr>
          <w:p w14:paraId="3C8E0BE8">
            <w:pPr>
              <w:jc w:val="center"/>
              <w:rPr>
                <w:rFonts w:ascii="宋体" w:hAnsi="宋体" w:eastAsia="宋体" w:cs="Times New Roman"/>
                <w:color w:val="auto"/>
              </w:rPr>
            </w:pPr>
            <w:r>
              <w:rPr>
                <w:rFonts w:hint="eastAsia" w:ascii="宋体" w:hAnsi="宋体" w:eastAsia="宋体" w:cs="Times New Roman"/>
                <w:color w:val="auto"/>
                <w:spacing w:val="-2"/>
              </w:rPr>
              <w:t>坡度</w:t>
            </w:r>
          </w:p>
        </w:tc>
        <w:tc>
          <w:tcPr>
            <w:tcW w:w="329" w:type="pct"/>
            <w:shd w:val="clear" w:color="auto" w:fill="auto"/>
            <w:vAlign w:val="center"/>
          </w:tcPr>
          <w:p w14:paraId="306B9913">
            <w:pPr>
              <w:jc w:val="center"/>
              <w:rPr>
                <w:rFonts w:ascii="宋体" w:hAnsi="宋体" w:eastAsia="宋体" w:cs="Times New Roman"/>
                <w:color w:val="auto"/>
              </w:rPr>
            </w:pPr>
            <w:r>
              <w:rPr>
                <w:rFonts w:hint="eastAsia" w:ascii="宋体" w:hAnsi="宋体" w:eastAsia="宋体" w:cs="Times New Roman"/>
                <w:color w:val="auto"/>
              </w:rPr>
              <w:t>0</w:t>
            </w:r>
          </w:p>
        </w:tc>
      </w:tr>
      <w:tr w14:paraId="34B90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5F99771E">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rPr>
              <w:t xml:space="preserve"> </w:t>
            </w:r>
            <w:r>
              <w:rPr>
                <w:rFonts w:hint="eastAsia" w:ascii="宋体" w:hAnsi="宋体" w:eastAsia="宋体" w:cs="Times New Roman"/>
                <w:color w:val="auto"/>
                <w:spacing w:val="-5"/>
              </w:rPr>
              <w:t>名称</w:t>
            </w:r>
          </w:p>
        </w:tc>
        <w:tc>
          <w:tcPr>
            <w:tcW w:w="2749" w:type="pct"/>
            <w:gridSpan w:val="3"/>
            <w:shd w:val="clear" w:color="auto" w:fill="auto"/>
            <w:vAlign w:val="center"/>
          </w:tcPr>
          <w:p w14:paraId="1D7B9A42">
            <w:pPr>
              <w:jc w:val="center"/>
              <w:rPr>
                <w:rFonts w:ascii="宋体" w:hAnsi="宋体" w:eastAsia="宋体" w:cs="Times New Roman"/>
                <w:color w:val="auto"/>
              </w:rPr>
            </w:pPr>
            <w:r>
              <w:rPr>
                <w:rFonts w:hint="eastAsia" w:ascii="宋体" w:hAnsi="宋体" w:eastAsia="宋体" w:cs="Times New Roman"/>
                <w:color w:val="auto"/>
              </w:rPr>
              <w:t>青杨群落</w:t>
            </w:r>
          </w:p>
        </w:tc>
        <w:tc>
          <w:tcPr>
            <w:tcW w:w="463" w:type="pct"/>
            <w:shd w:val="clear" w:color="auto" w:fill="auto"/>
            <w:vAlign w:val="center"/>
          </w:tcPr>
          <w:p w14:paraId="29D9A015">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rPr>
              <w:t xml:space="preserve"> </w:t>
            </w:r>
            <w:r>
              <w:rPr>
                <w:rFonts w:hint="eastAsia" w:ascii="宋体" w:hAnsi="宋体" w:eastAsia="宋体" w:cs="Times New Roman"/>
                <w:color w:val="auto"/>
                <w:spacing w:val="-4"/>
              </w:rPr>
              <w:t>拉丁</w:t>
            </w:r>
            <w:r>
              <w:rPr>
                <w:rFonts w:hint="eastAsia" w:ascii="宋体" w:hAnsi="宋体" w:eastAsia="宋体" w:cs="Times New Roman"/>
                <w:color w:val="auto"/>
              </w:rPr>
              <w:t xml:space="preserve"> </w:t>
            </w:r>
            <w:r>
              <w:rPr>
                <w:rFonts w:hint="eastAsia" w:ascii="宋体" w:hAnsi="宋体" w:eastAsia="宋体" w:cs="Times New Roman"/>
                <w:color w:val="auto"/>
                <w:spacing w:val="-4"/>
              </w:rPr>
              <w:t>学名</w:t>
            </w:r>
          </w:p>
        </w:tc>
        <w:tc>
          <w:tcPr>
            <w:tcW w:w="1450" w:type="pct"/>
            <w:gridSpan w:val="3"/>
            <w:shd w:val="clear" w:color="auto" w:fill="auto"/>
            <w:vAlign w:val="center"/>
          </w:tcPr>
          <w:p w14:paraId="1CDF11C2">
            <w:pPr>
              <w:jc w:val="center"/>
              <w:rPr>
                <w:rFonts w:ascii="宋体" w:hAnsi="宋体" w:eastAsia="宋体" w:cs="Times New Roman"/>
                <w:color w:val="auto"/>
                <w:szCs w:val="22"/>
              </w:rPr>
            </w:pPr>
            <w:r>
              <w:rPr>
                <w:rFonts w:ascii="宋体" w:hAnsi="宋体" w:eastAsia="宋体" w:cs="Times New Roman"/>
                <w:i/>
                <w:iCs/>
                <w:color w:val="auto"/>
                <w:spacing w:val="1"/>
                <w:szCs w:val="22"/>
              </w:rPr>
              <w:t>Populus cathayana Rehd.</w:t>
            </w:r>
          </w:p>
        </w:tc>
      </w:tr>
      <w:tr w14:paraId="70917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3972281A">
            <w:pPr>
              <w:jc w:val="center"/>
              <w:rPr>
                <w:rFonts w:ascii="宋体" w:hAnsi="宋体" w:eastAsia="宋体" w:cs="Times New Roman"/>
                <w:color w:val="auto"/>
              </w:rPr>
            </w:pPr>
            <w:r>
              <w:rPr>
                <w:rFonts w:hint="eastAsia" w:ascii="宋体" w:hAnsi="宋体" w:eastAsia="宋体" w:cs="Times New Roman"/>
                <w:color w:val="auto"/>
                <w:spacing w:val="-2"/>
              </w:rPr>
              <w:t>层次</w:t>
            </w:r>
          </w:p>
        </w:tc>
        <w:tc>
          <w:tcPr>
            <w:tcW w:w="718" w:type="pct"/>
            <w:shd w:val="clear" w:color="auto" w:fill="auto"/>
            <w:vAlign w:val="center"/>
          </w:tcPr>
          <w:p w14:paraId="6B7943D6">
            <w:pPr>
              <w:jc w:val="center"/>
              <w:rPr>
                <w:rFonts w:ascii="宋体" w:hAnsi="宋体" w:eastAsia="宋体" w:cs="Times New Roman"/>
                <w:color w:val="auto"/>
              </w:rPr>
            </w:pPr>
            <w:r>
              <w:rPr>
                <w:rFonts w:hint="eastAsia" w:ascii="宋体" w:hAnsi="宋体" w:eastAsia="宋体" w:cs="Times New Roman"/>
                <w:color w:val="auto"/>
                <w:spacing w:val="-2"/>
              </w:rPr>
              <w:t>类别</w:t>
            </w:r>
          </w:p>
        </w:tc>
        <w:tc>
          <w:tcPr>
            <w:tcW w:w="402" w:type="pct"/>
            <w:shd w:val="clear" w:color="auto" w:fill="auto"/>
            <w:vAlign w:val="center"/>
          </w:tcPr>
          <w:p w14:paraId="262C5324">
            <w:pPr>
              <w:jc w:val="center"/>
              <w:rPr>
                <w:rFonts w:ascii="宋体" w:hAnsi="宋体" w:eastAsia="宋体" w:cs="Times New Roman"/>
                <w:color w:val="auto"/>
              </w:rPr>
            </w:pPr>
            <w:r>
              <w:rPr>
                <w:rFonts w:hint="eastAsia" w:ascii="宋体" w:hAnsi="宋体" w:eastAsia="宋体" w:cs="Times New Roman"/>
                <w:color w:val="auto"/>
                <w:spacing w:val="-3"/>
              </w:rPr>
              <w:t>名称</w:t>
            </w:r>
          </w:p>
        </w:tc>
        <w:tc>
          <w:tcPr>
            <w:tcW w:w="1629" w:type="pct"/>
            <w:shd w:val="clear" w:color="auto" w:fill="auto"/>
            <w:vAlign w:val="center"/>
          </w:tcPr>
          <w:p w14:paraId="0D7E6339">
            <w:pPr>
              <w:jc w:val="center"/>
              <w:rPr>
                <w:rFonts w:ascii="宋体" w:hAnsi="宋体" w:eastAsia="宋体" w:cs="Times New Roman"/>
                <w:color w:val="auto"/>
              </w:rPr>
            </w:pPr>
            <w:r>
              <w:rPr>
                <w:rFonts w:hint="eastAsia" w:ascii="宋体" w:hAnsi="宋体" w:eastAsia="宋体" w:cs="Times New Roman"/>
                <w:color w:val="auto"/>
                <w:spacing w:val="-2"/>
              </w:rPr>
              <w:t>拉丁学名</w:t>
            </w:r>
          </w:p>
        </w:tc>
        <w:tc>
          <w:tcPr>
            <w:tcW w:w="463" w:type="pct"/>
            <w:shd w:val="clear" w:color="auto" w:fill="auto"/>
            <w:vAlign w:val="center"/>
          </w:tcPr>
          <w:p w14:paraId="44B13EB3">
            <w:pPr>
              <w:jc w:val="center"/>
              <w:rPr>
                <w:rFonts w:ascii="宋体" w:hAnsi="宋体" w:eastAsia="宋体" w:cs="Times New Roman"/>
                <w:color w:val="auto"/>
              </w:rPr>
            </w:pPr>
            <w:r>
              <w:rPr>
                <w:rFonts w:hint="eastAsia" w:ascii="宋体" w:hAnsi="宋体" w:eastAsia="宋体" w:cs="Times New Roman"/>
                <w:color w:val="auto"/>
                <w:spacing w:val="-8"/>
              </w:rPr>
              <w:t>株</w:t>
            </w:r>
            <w:r>
              <w:rPr>
                <w:rFonts w:hint="eastAsia" w:ascii="宋体" w:hAnsi="宋体" w:eastAsia="宋体" w:cs="Times New Roman"/>
                <w:color w:val="auto"/>
              </w:rPr>
              <w:t xml:space="preserve">  </w:t>
            </w:r>
            <w:r>
              <w:rPr>
                <w:rFonts w:hint="eastAsia" w:ascii="宋体" w:hAnsi="宋体" w:eastAsia="宋体" w:cs="Times New Roman"/>
                <w:color w:val="auto"/>
                <w:spacing w:val="-9"/>
              </w:rPr>
              <w:t>（丛</w:t>
            </w:r>
            <w:r>
              <w:rPr>
                <w:rFonts w:hint="eastAsia" w:ascii="宋体" w:hAnsi="宋体" w:eastAsia="宋体" w:cs="Times New Roman"/>
                <w:color w:val="auto"/>
              </w:rPr>
              <w:t xml:space="preserve"> </w:t>
            </w:r>
            <w:r>
              <w:rPr>
                <w:rFonts w:hint="eastAsia" w:ascii="宋体" w:hAnsi="宋体" w:eastAsia="宋体" w:cs="Times New Roman"/>
                <w:color w:val="auto"/>
                <w:spacing w:val="-12"/>
              </w:rPr>
              <w:t>数）</w:t>
            </w:r>
          </w:p>
        </w:tc>
        <w:tc>
          <w:tcPr>
            <w:tcW w:w="786" w:type="pct"/>
            <w:shd w:val="clear" w:color="auto" w:fill="auto"/>
            <w:vAlign w:val="center"/>
          </w:tcPr>
          <w:p w14:paraId="5EBF2D52">
            <w:pPr>
              <w:jc w:val="center"/>
              <w:rPr>
                <w:rFonts w:ascii="宋体" w:hAnsi="宋体" w:eastAsia="宋体" w:cs="Times New Roman"/>
                <w:color w:val="auto"/>
              </w:rPr>
            </w:pPr>
            <w:r>
              <w:rPr>
                <w:rFonts w:hint="eastAsia" w:ascii="宋体" w:hAnsi="宋体" w:eastAsia="宋体" w:cs="Times New Roman"/>
                <w:color w:val="auto"/>
                <w:spacing w:val="-4"/>
              </w:rPr>
              <w:t>多度</w:t>
            </w:r>
          </w:p>
        </w:tc>
        <w:tc>
          <w:tcPr>
            <w:tcW w:w="335" w:type="pct"/>
            <w:shd w:val="clear" w:color="auto" w:fill="auto"/>
            <w:vAlign w:val="center"/>
          </w:tcPr>
          <w:p w14:paraId="673A89E3">
            <w:pPr>
              <w:jc w:val="center"/>
              <w:rPr>
                <w:rFonts w:ascii="宋体" w:hAnsi="宋体" w:eastAsia="宋体" w:cs="Times New Roman"/>
                <w:color w:val="auto"/>
              </w:rPr>
            </w:pPr>
            <w:r>
              <w:rPr>
                <w:rFonts w:hint="eastAsia" w:ascii="宋体" w:hAnsi="宋体" w:eastAsia="宋体" w:cs="Times New Roman"/>
                <w:color w:val="auto"/>
                <w:spacing w:val="-6"/>
              </w:rPr>
              <w:t>高度</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329" w:type="pct"/>
            <w:shd w:val="clear" w:color="auto" w:fill="auto"/>
            <w:vAlign w:val="center"/>
          </w:tcPr>
          <w:p w14:paraId="4BC8C745">
            <w:pPr>
              <w:jc w:val="center"/>
              <w:rPr>
                <w:rFonts w:ascii="宋体" w:hAnsi="宋体" w:eastAsia="宋体" w:cs="Times New Roman"/>
                <w:color w:val="auto"/>
              </w:rPr>
            </w:pPr>
            <w:r>
              <w:rPr>
                <w:rFonts w:hint="eastAsia" w:ascii="宋体" w:hAnsi="宋体" w:eastAsia="宋体" w:cs="Times New Roman"/>
                <w:color w:val="auto"/>
                <w:spacing w:val="-4"/>
              </w:rPr>
              <w:t>盖度</w:t>
            </w:r>
            <w:r>
              <w:rPr>
                <w:rFonts w:hint="eastAsia" w:ascii="宋体" w:hAnsi="宋体" w:eastAsia="宋体" w:cs="Times New Roman"/>
                <w:color w:val="auto"/>
              </w:rPr>
              <w:t xml:space="preserve"> </w:t>
            </w:r>
            <w:r>
              <w:rPr>
                <w:rFonts w:hint="eastAsia" w:ascii="宋体" w:hAnsi="宋体" w:eastAsia="宋体" w:cs="Times New Roman"/>
                <w:color w:val="auto"/>
                <w:spacing w:val="-9"/>
              </w:rPr>
              <w:t>（%）</w:t>
            </w:r>
          </w:p>
        </w:tc>
      </w:tr>
      <w:tr w14:paraId="2062D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339" w:type="pct"/>
            <w:shd w:val="clear" w:color="auto" w:fill="auto"/>
            <w:vAlign w:val="center"/>
          </w:tcPr>
          <w:p w14:paraId="1825E6A3">
            <w:pPr>
              <w:jc w:val="center"/>
              <w:rPr>
                <w:rFonts w:ascii="宋体" w:hAnsi="宋体" w:eastAsia="宋体" w:cs="Times New Roman"/>
                <w:color w:val="auto"/>
              </w:rPr>
            </w:pPr>
            <w:r>
              <w:rPr>
                <w:rFonts w:hint="eastAsia" w:ascii="宋体" w:hAnsi="宋体" w:eastAsia="宋体" w:cs="Times New Roman"/>
                <w:color w:val="auto"/>
                <w:spacing w:val="-4"/>
              </w:rPr>
              <w:t>乔木</w:t>
            </w:r>
            <w:r>
              <w:rPr>
                <w:rFonts w:hint="eastAsia" w:ascii="宋体" w:hAnsi="宋体" w:eastAsia="宋体" w:cs="Times New Roman"/>
                <w:color w:val="auto"/>
              </w:rPr>
              <w:t xml:space="preserve"> 层</w:t>
            </w:r>
          </w:p>
        </w:tc>
        <w:tc>
          <w:tcPr>
            <w:tcW w:w="718" w:type="pct"/>
            <w:shd w:val="clear" w:color="auto" w:fill="auto"/>
            <w:vAlign w:val="center"/>
          </w:tcPr>
          <w:p w14:paraId="010DBD88">
            <w:pPr>
              <w:jc w:val="center"/>
              <w:rPr>
                <w:rFonts w:ascii="宋体" w:hAnsi="宋体" w:eastAsia="宋体" w:cs="Times New Roman"/>
                <w:color w:val="auto"/>
              </w:rPr>
            </w:pPr>
            <w:r>
              <w:rPr>
                <w:rFonts w:hint="eastAsia" w:ascii="宋体" w:hAnsi="宋体" w:eastAsia="宋体" w:cs="Times New Roman"/>
                <w:color w:val="auto"/>
                <w:spacing w:val="-2"/>
              </w:rPr>
              <w:t>建群种</w:t>
            </w:r>
          </w:p>
        </w:tc>
        <w:tc>
          <w:tcPr>
            <w:tcW w:w="402" w:type="pct"/>
            <w:shd w:val="clear" w:color="auto" w:fill="auto"/>
            <w:vAlign w:val="center"/>
          </w:tcPr>
          <w:p w14:paraId="072CB45F">
            <w:pPr>
              <w:jc w:val="center"/>
              <w:rPr>
                <w:rFonts w:ascii="宋体" w:hAnsi="宋体" w:eastAsia="宋体" w:cs="Times New Roman"/>
                <w:color w:val="auto"/>
              </w:rPr>
            </w:pPr>
            <w:r>
              <w:rPr>
                <w:rFonts w:hint="eastAsia" w:ascii="宋体" w:hAnsi="宋体" w:eastAsia="宋体" w:cs="Times New Roman"/>
                <w:color w:val="auto"/>
              </w:rPr>
              <w:t>青杨</w:t>
            </w:r>
          </w:p>
        </w:tc>
        <w:tc>
          <w:tcPr>
            <w:tcW w:w="1629" w:type="pct"/>
            <w:shd w:val="clear" w:color="auto" w:fill="auto"/>
            <w:vAlign w:val="center"/>
          </w:tcPr>
          <w:p w14:paraId="59104933">
            <w:pPr>
              <w:jc w:val="center"/>
              <w:rPr>
                <w:rFonts w:ascii="宋体" w:hAnsi="宋体" w:eastAsia="宋体" w:cs="Times New Roman"/>
                <w:color w:val="auto"/>
                <w:szCs w:val="22"/>
              </w:rPr>
            </w:pPr>
            <w:r>
              <w:rPr>
                <w:rFonts w:ascii="宋体" w:hAnsi="宋体" w:eastAsia="宋体" w:cs="Times New Roman"/>
                <w:i/>
                <w:iCs/>
                <w:color w:val="auto"/>
                <w:spacing w:val="1"/>
                <w:szCs w:val="22"/>
              </w:rPr>
              <w:t>Populus cathayana Rehd.</w:t>
            </w:r>
          </w:p>
        </w:tc>
        <w:tc>
          <w:tcPr>
            <w:tcW w:w="463" w:type="pct"/>
            <w:shd w:val="clear" w:color="auto" w:fill="auto"/>
            <w:vAlign w:val="center"/>
          </w:tcPr>
          <w:p w14:paraId="60D500B4">
            <w:pPr>
              <w:jc w:val="center"/>
              <w:rPr>
                <w:rFonts w:ascii="宋体" w:hAnsi="宋体" w:eastAsia="宋体" w:cs="Times New Roman"/>
                <w:color w:val="auto"/>
              </w:rPr>
            </w:pPr>
            <w:r>
              <w:rPr>
                <w:rFonts w:ascii="宋体" w:hAnsi="宋体" w:eastAsia="宋体" w:cs="Times New Roman"/>
                <w:color w:val="auto"/>
              </w:rPr>
              <w:t>28</w:t>
            </w:r>
          </w:p>
        </w:tc>
        <w:tc>
          <w:tcPr>
            <w:tcW w:w="786" w:type="pct"/>
            <w:shd w:val="clear" w:color="auto" w:fill="auto"/>
            <w:vAlign w:val="center"/>
          </w:tcPr>
          <w:p w14:paraId="6688F35F">
            <w:pPr>
              <w:jc w:val="center"/>
              <w:rPr>
                <w:rFonts w:ascii="宋体" w:hAnsi="宋体" w:eastAsia="宋体" w:cs="Times New Roman"/>
                <w:color w:val="auto"/>
              </w:rPr>
            </w:pPr>
            <w:r>
              <w:rPr>
                <w:rFonts w:ascii="宋体" w:hAnsi="宋体" w:eastAsia="宋体" w:cs="Times New Roman"/>
                <w:color w:val="auto"/>
                <w:lang w:bidi="zh-CN"/>
              </w:rPr>
              <w:t>Cop2.</w:t>
            </w:r>
          </w:p>
        </w:tc>
        <w:tc>
          <w:tcPr>
            <w:tcW w:w="335" w:type="pct"/>
            <w:shd w:val="clear" w:color="auto" w:fill="auto"/>
            <w:vAlign w:val="center"/>
          </w:tcPr>
          <w:p w14:paraId="2EED78A0">
            <w:pPr>
              <w:jc w:val="center"/>
              <w:rPr>
                <w:rFonts w:ascii="宋体" w:hAnsi="宋体" w:eastAsia="宋体" w:cs="Times New Roman"/>
                <w:color w:val="auto"/>
              </w:rPr>
            </w:pPr>
            <w:r>
              <w:rPr>
                <w:rFonts w:ascii="宋体" w:hAnsi="宋体" w:eastAsia="宋体" w:cs="Times New Roman"/>
                <w:color w:val="auto"/>
                <w:spacing w:val="-2"/>
              </w:rPr>
              <w:t>22</w:t>
            </w:r>
          </w:p>
        </w:tc>
        <w:tc>
          <w:tcPr>
            <w:tcW w:w="329" w:type="pct"/>
            <w:shd w:val="clear" w:color="auto" w:fill="auto"/>
            <w:vAlign w:val="center"/>
          </w:tcPr>
          <w:p w14:paraId="6739684A">
            <w:pPr>
              <w:jc w:val="center"/>
              <w:rPr>
                <w:rFonts w:ascii="宋体" w:hAnsi="宋体" w:eastAsia="宋体" w:cs="Times New Roman"/>
                <w:color w:val="auto"/>
              </w:rPr>
            </w:pPr>
            <w:r>
              <w:rPr>
                <w:rFonts w:ascii="宋体" w:hAnsi="宋体" w:eastAsia="宋体" w:cs="Times New Roman"/>
                <w:color w:val="auto"/>
                <w:spacing w:val="-3"/>
              </w:rPr>
              <w:t>7</w:t>
            </w:r>
            <w:r>
              <w:rPr>
                <w:rFonts w:hint="eastAsia" w:ascii="宋体" w:hAnsi="宋体" w:eastAsia="宋体" w:cs="Times New Roman"/>
                <w:color w:val="auto"/>
                <w:spacing w:val="-3"/>
              </w:rPr>
              <w:t>0</w:t>
            </w:r>
          </w:p>
        </w:tc>
      </w:tr>
      <w:tr w14:paraId="259EF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0B6E682B">
            <w:pPr>
              <w:adjustRightInd w:val="0"/>
              <w:snapToGrid w:val="0"/>
              <w:jc w:val="center"/>
              <w:rPr>
                <w:rFonts w:ascii="宋体" w:hAnsi="宋体" w:eastAsia="宋体" w:cs="Arial"/>
                <w:color w:val="auto"/>
              </w:rPr>
            </w:pPr>
            <w:r>
              <w:rPr>
                <w:rStyle w:val="116"/>
                <w:rFonts w:ascii="宋体" w:hAnsi="宋体" w:eastAsia="宋体" w:cs="Times New Roman"/>
                <w:color w:val="auto"/>
              </w:rPr>
              <w:drawing>
                <wp:inline distT="0" distB="0" distL="0" distR="0">
                  <wp:extent cx="4305300" cy="3227705"/>
                  <wp:effectExtent l="0" t="0" r="0" b="10795"/>
                  <wp:docPr id="130447749" name="图片 130447749" descr="D:\Users\DELL\Documents\WeChat Files\wxid_0rf4mizuauk621\FileStorage\Temp\6ba73883441b938b56c9c3a8ddd9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49" name="图片 130447749" descr="D:\Users\DELL\Documents\WeChat Files\wxid_0rf4mizuauk621\FileStorage\Temp\6ba73883441b938b56c9c3a8ddd9d36.jpg"/>
                          <pic:cNvPicPr>
                            <a:picLocks noChangeAspect="1" noChangeArrowheads="1"/>
                          </pic:cNvPicPr>
                        </pic:nvPicPr>
                        <pic:blipFill>
                          <a:blip r:embed="rId72"/>
                          <a:srcRect/>
                          <a:stretch>
                            <a:fillRect/>
                          </a:stretch>
                        </pic:blipFill>
                        <pic:spPr>
                          <a:xfrm>
                            <a:off x="0" y="0"/>
                            <a:ext cx="4305300" cy="3249173"/>
                          </a:xfrm>
                          <a:prstGeom prst="rect">
                            <a:avLst/>
                          </a:prstGeom>
                          <a:noFill/>
                          <a:ln>
                            <a:noFill/>
                          </a:ln>
                        </pic:spPr>
                      </pic:pic>
                    </a:graphicData>
                  </a:graphic>
                </wp:inline>
              </w:drawing>
            </w:r>
            <w:r>
              <w:rPr>
                <w:rStyle w:val="116"/>
                <w:rFonts w:ascii="宋体" w:hAnsi="宋体" w:eastAsia="宋体" w:cs="Times New Roman"/>
                <w:color w:val="auto"/>
              </w:rPr>
              <w:t xml:space="preserve"> </w:t>
            </w:r>
          </w:p>
        </w:tc>
      </w:tr>
    </w:tbl>
    <w:p w14:paraId="5E3C9B45">
      <w:pPr>
        <w:spacing w:before="163"/>
        <w:jc w:val="center"/>
        <w:rPr>
          <w:rFonts w:ascii="宋体" w:hAnsi="宋体" w:eastAsia="宋体"/>
          <w:color w:val="auto"/>
          <w:spacing w:val="-11"/>
        </w:rPr>
      </w:pPr>
      <w:r>
        <w:rPr>
          <w:rFonts w:hint="eastAsia" w:ascii="宋体" w:hAnsi="宋体" w:eastAsia="宋体" w:cs="Times New Roman"/>
          <w:color w:val="auto"/>
          <w:sz w:val="24"/>
          <w:szCs w:val="24"/>
        </w:rPr>
        <w:t>表</w:t>
      </w:r>
      <w:r>
        <w:rPr>
          <w:rFonts w:ascii="宋体" w:hAnsi="宋体" w:eastAsia="宋体" w:cs="Times New Roman"/>
          <w:color w:val="auto"/>
          <w:sz w:val="24"/>
          <w:szCs w:val="24"/>
        </w:rPr>
        <w:t xml:space="preserve"> 4.4-8 7</w:t>
      </w:r>
      <w:r>
        <w:rPr>
          <w:rFonts w:hint="eastAsia" w:ascii="宋体" w:hAnsi="宋体" w:eastAsia="宋体" w:cs="Times New Roman"/>
          <w:color w:val="auto"/>
          <w:sz w:val="24"/>
          <w:szCs w:val="24"/>
        </w:rPr>
        <w:t>#点</w:t>
      </w:r>
      <w:r>
        <w:rPr>
          <w:rFonts w:ascii="宋体" w:hAnsi="宋体" w:eastAsia="宋体" w:cs="Times New Roman"/>
          <w:color w:val="auto"/>
          <w:sz w:val="24"/>
          <w:szCs w:val="24"/>
        </w:rPr>
        <w:t>样方调查结果表</w:t>
      </w:r>
    </w:p>
    <w:tbl>
      <w:tblPr>
        <w:tblStyle w:val="17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57"/>
        <w:gridCol w:w="1428"/>
        <w:gridCol w:w="1161"/>
        <w:gridCol w:w="3100"/>
        <w:gridCol w:w="658"/>
        <w:gridCol w:w="1416"/>
        <w:gridCol w:w="533"/>
        <w:gridCol w:w="535"/>
      </w:tblGrid>
      <w:tr w14:paraId="72303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561D7E42">
            <w:pPr>
              <w:jc w:val="center"/>
              <w:rPr>
                <w:rFonts w:ascii="宋体" w:hAnsi="宋体" w:eastAsia="宋体" w:cs="Times New Roman"/>
                <w:color w:val="auto"/>
              </w:rPr>
            </w:pPr>
            <w:r>
              <w:rPr>
                <w:rFonts w:hint="eastAsia" w:ascii="宋体" w:hAnsi="宋体" w:eastAsia="宋体" w:cs="Times New Roman"/>
                <w:color w:val="auto"/>
                <w:spacing w:val="-2"/>
              </w:rPr>
              <w:t>编号</w:t>
            </w:r>
          </w:p>
        </w:tc>
        <w:tc>
          <w:tcPr>
            <w:tcW w:w="769" w:type="pct"/>
            <w:shd w:val="clear" w:color="auto" w:fill="auto"/>
            <w:vAlign w:val="center"/>
          </w:tcPr>
          <w:p w14:paraId="44817BCC">
            <w:pPr>
              <w:jc w:val="center"/>
              <w:rPr>
                <w:rFonts w:ascii="宋体" w:hAnsi="宋体" w:eastAsia="宋体" w:cs="Times New Roman"/>
                <w:color w:val="auto"/>
              </w:rPr>
            </w:pPr>
            <w:r>
              <w:rPr>
                <w:rFonts w:ascii="宋体" w:hAnsi="宋体" w:eastAsia="宋体" w:cs="Times New Roman"/>
                <w:color w:val="auto"/>
              </w:rPr>
              <w:t>7</w:t>
            </w:r>
          </w:p>
        </w:tc>
        <w:tc>
          <w:tcPr>
            <w:tcW w:w="625" w:type="pct"/>
            <w:shd w:val="clear" w:color="auto" w:fill="auto"/>
            <w:vAlign w:val="center"/>
          </w:tcPr>
          <w:p w14:paraId="36772870">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rPr>
              <w:t>人</w:t>
            </w:r>
          </w:p>
        </w:tc>
        <w:tc>
          <w:tcPr>
            <w:tcW w:w="1669" w:type="pct"/>
            <w:shd w:val="clear" w:color="auto" w:fill="auto"/>
            <w:vAlign w:val="center"/>
          </w:tcPr>
          <w:p w14:paraId="145716AC">
            <w:pPr>
              <w:jc w:val="center"/>
              <w:rPr>
                <w:rFonts w:ascii="宋体" w:hAnsi="宋体" w:eastAsia="宋体" w:cs="Times New Roman"/>
                <w:color w:val="auto"/>
              </w:rPr>
            </w:pPr>
            <w:r>
              <w:rPr>
                <w:rFonts w:hint="eastAsia" w:ascii="宋体" w:hAnsi="宋体" w:eastAsia="宋体" w:cs="Times New Roman"/>
                <w:color w:val="auto"/>
              </w:rPr>
              <w:t>聂海军、袁超</w:t>
            </w:r>
          </w:p>
        </w:tc>
        <w:tc>
          <w:tcPr>
            <w:tcW w:w="354" w:type="pct"/>
            <w:shd w:val="clear" w:color="auto" w:fill="auto"/>
            <w:vAlign w:val="center"/>
          </w:tcPr>
          <w:p w14:paraId="6C0D90FC">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spacing w:val="-22"/>
              </w:rPr>
              <w:t>日期</w:t>
            </w:r>
          </w:p>
        </w:tc>
        <w:tc>
          <w:tcPr>
            <w:tcW w:w="762" w:type="pct"/>
            <w:shd w:val="clear" w:color="auto" w:fill="auto"/>
            <w:vAlign w:val="center"/>
          </w:tcPr>
          <w:p w14:paraId="5F7FFED8">
            <w:pPr>
              <w:jc w:val="center"/>
              <w:rPr>
                <w:rFonts w:ascii="宋体" w:hAnsi="宋体" w:eastAsia="宋体" w:cs="Times New Roman"/>
                <w:color w:val="auto"/>
              </w:rPr>
            </w:pPr>
            <w:r>
              <w:rPr>
                <w:rFonts w:hint="eastAsia" w:ascii="宋体" w:hAnsi="宋体" w:eastAsia="宋体" w:cs="Times New Roman"/>
                <w:color w:val="auto"/>
                <w:spacing w:val="-1"/>
              </w:rPr>
              <w:t>202</w:t>
            </w:r>
            <w:r>
              <w:rPr>
                <w:rFonts w:ascii="宋体" w:hAnsi="宋体" w:eastAsia="宋体" w:cs="Times New Roman"/>
                <w:color w:val="auto"/>
                <w:spacing w:val="-1"/>
              </w:rPr>
              <w:t>5</w:t>
            </w:r>
            <w:r>
              <w:rPr>
                <w:rFonts w:hint="eastAsia" w:ascii="宋体" w:hAnsi="宋体" w:eastAsia="宋体" w:cs="Times New Roman"/>
                <w:color w:val="auto"/>
                <w:spacing w:val="-1"/>
              </w:rPr>
              <w:t>/</w:t>
            </w:r>
            <w:r>
              <w:rPr>
                <w:rFonts w:ascii="宋体" w:hAnsi="宋体" w:eastAsia="宋体" w:cs="Times New Roman"/>
                <w:color w:val="auto"/>
                <w:spacing w:val="-1"/>
              </w:rPr>
              <w:t>10</w:t>
            </w:r>
            <w:r>
              <w:rPr>
                <w:rFonts w:hint="eastAsia" w:ascii="宋体" w:hAnsi="宋体" w:eastAsia="宋体" w:cs="Times New Roman"/>
                <w:color w:val="auto"/>
                <w:spacing w:val="-1"/>
              </w:rPr>
              <w:t>/</w:t>
            </w:r>
            <w:r>
              <w:rPr>
                <w:rFonts w:ascii="宋体" w:hAnsi="宋体" w:eastAsia="宋体" w:cs="Times New Roman"/>
                <w:color w:val="auto"/>
                <w:spacing w:val="-1"/>
              </w:rPr>
              <w:t>10</w:t>
            </w:r>
          </w:p>
        </w:tc>
        <w:tc>
          <w:tcPr>
            <w:tcW w:w="287" w:type="pct"/>
            <w:shd w:val="clear" w:color="auto" w:fill="auto"/>
            <w:vAlign w:val="center"/>
          </w:tcPr>
          <w:p w14:paraId="4C608281">
            <w:pPr>
              <w:jc w:val="center"/>
              <w:rPr>
                <w:rFonts w:ascii="宋体" w:hAnsi="宋体" w:eastAsia="宋体" w:cs="Times New Roman"/>
                <w:color w:val="auto"/>
              </w:rPr>
            </w:pPr>
            <w:r>
              <w:rPr>
                <w:rFonts w:hint="eastAsia" w:ascii="宋体" w:hAnsi="宋体" w:eastAsia="宋体" w:cs="Times New Roman"/>
                <w:color w:val="auto"/>
                <w:spacing w:val="-3"/>
              </w:rPr>
              <w:t>样方尺寸</w:t>
            </w:r>
          </w:p>
        </w:tc>
        <w:tc>
          <w:tcPr>
            <w:tcW w:w="288" w:type="pct"/>
            <w:shd w:val="clear" w:color="auto" w:fill="auto"/>
            <w:vAlign w:val="center"/>
          </w:tcPr>
          <w:p w14:paraId="2D7B6721">
            <w:pPr>
              <w:jc w:val="center"/>
              <w:rPr>
                <w:rFonts w:ascii="宋体" w:hAnsi="宋体" w:eastAsia="宋体" w:cs="Times New Roman"/>
                <w:color w:val="auto"/>
              </w:rPr>
            </w:pPr>
            <w:r>
              <w:rPr>
                <w:rFonts w:hint="eastAsia" w:ascii="宋体" w:hAnsi="宋体" w:eastAsia="宋体" w:cs="Times New Roman"/>
                <w:color w:val="auto"/>
                <w:spacing w:val="-6"/>
              </w:rPr>
              <w:t>1m×</w:t>
            </w:r>
            <w:r>
              <w:rPr>
                <w:rFonts w:hint="eastAsia" w:ascii="宋体" w:hAnsi="宋体" w:eastAsia="宋体" w:cs="Times New Roman"/>
                <w:color w:val="auto"/>
                <w:spacing w:val="2"/>
              </w:rPr>
              <w:t xml:space="preserve"> </w:t>
            </w:r>
            <w:r>
              <w:rPr>
                <w:rFonts w:hint="eastAsia" w:ascii="宋体" w:hAnsi="宋体" w:eastAsia="宋体" w:cs="Times New Roman"/>
                <w:color w:val="auto"/>
                <w:spacing w:val="-8"/>
              </w:rPr>
              <w:t>1m</w:t>
            </w:r>
          </w:p>
        </w:tc>
      </w:tr>
      <w:tr w14:paraId="484DC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3E8BF680">
            <w:pPr>
              <w:jc w:val="center"/>
              <w:rPr>
                <w:rFonts w:ascii="宋体" w:hAnsi="宋体" w:eastAsia="宋体" w:cs="Times New Roman"/>
                <w:color w:val="auto"/>
              </w:rPr>
            </w:pPr>
            <w:r>
              <w:rPr>
                <w:rFonts w:hint="eastAsia" w:ascii="宋体" w:hAnsi="宋体" w:eastAsia="宋体" w:cs="Times New Roman"/>
                <w:color w:val="auto"/>
                <w:spacing w:val="-2"/>
              </w:rPr>
              <w:t>经度</w:t>
            </w:r>
          </w:p>
        </w:tc>
        <w:tc>
          <w:tcPr>
            <w:tcW w:w="769" w:type="pct"/>
            <w:shd w:val="clear" w:color="auto" w:fill="auto"/>
            <w:vAlign w:val="center"/>
          </w:tcPr>
          <w:p w14:paraId="1A7C52DC">
            <w:pPr>
              <w:jc w:val="center"/>
              <w:rPr>
                <w:rFonts w:ascii="宋体" w:hAnsi="宋体" w:eastAsia="宋体" w:cs="Times New Roman"/>
                <w:color w:val="auto"/>
              </w:rPr>
            </w:pPr>
            <w:r>
              <w:rPr>
                <w:rFonts w:ascii="宋体" w:hAnsi="宋体" w:eastAsia="宋体" w:cs="Times New Roman"/>
                <w:color w:val="auto"/>
              </w:rPr>
              <w:t>125.05236804</w:t>
            </w:r>
          </w:p>
        </w:tc>
        <w:tc>
          <w:tcPr>
            <w:tcW w:w="625" w:type="pct"/>
            <w:shd w:val="clear" w:color="auto" w:fill="auto"/>
            <w:vAlign w:val="center"/>
          </w:tcPr>
          <w:p w14:paraId="2E838AE7">
            <w:pPr>
              <w:jc w:val="center"/>
              <w:rPr>
                <w:rFonts w:ascii="宋体" w:hAnsi="宋体" w:eastAsia="宋体" w:cs="Times New Roman"/>
                <w:color w:val="auto"/>
              </w:rPr>
            </w:pPr>
            <w:r>
              <w:rPr>
                <w:rFonts w:hint="eastAsia" w:ascii="宋体" w:hAnsi="宋体" w:eastAsia="宋体" w:cs="Times New Roman"/>
                <w:color w:val="auto"/>
                <w:spacing w:val="-2"/>
              </w:rPr>
              <w:t>纬度</w:t>
            </w:r>
          </w:p>
        </w:tc>
        <w:tc>
          <w:tcPr>
            <w:tcW w:w="1669" w:type="pct"/>
            <w:shd w:val="clear" w:color="auto" w:fill="auto"/>
            <w:vAlign w:val="center"/>
          </w:tcPr>
          <w:p w14:paraId="0774969D">
            <w:pPr>
              <w:jc w:val="center"/>
              <w:rPr>
                <w:rFonts w:ascii="宋体" w:hAnsi="宋体" w:eastAsia="宋体" w:cs="Times New Roman"/>
                <w:color w:val="auto"/>
              </w:rPr>
            </w:pPr>
            <w:r>
              <w:rPr>
                <w:rFonts w:ascii="宋体" w:hAnsi="宋体" w:eastAsia="宋体" w:cs="Times New Roman"/>
                <w:color w:val="auto"/>
              </w:rPr>
              <w:t>45.51515859</w:t>
            </w:r>
          </w:p>
        </w:tc>
        <w:tc>
          <w:tcPr>
            <w:tcW w:w="354" w:type="pct"/>
            <w:shd w:val="clear" w:color="auto" w:fill="auto"/>
            <w:vAlign w:val="center"/>
          </w:tcPr>
          <w:p w14:paraId="1EC2BE95">
            <w:pPr>
              <w:jc w:val="center"/>
              <w:rPr>
                <w:rFonts w:ascii="宋体" w:hAnsi="宋体" w:eastAsia="宋体" w:cs="Times New Roman"/>
                <w:color w:val="auto"/>
              </w:rPr>
            </w:pPr>
            <w:r>
              <w:rPr>
                <w:rFonts w:hint="eastAsia" w:ascii="宋体" w:hAnsi="宋体" w:eastAsia="宋体" w:cs="Times New Roman"/>
                <w:color w:val="auto"/>
                <w:spacing w:val="-3"/>
              </w:rPr>
              <w:t>海拔</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762" w:type="pct"/>
            <w:shd w:val="clear" w:color="auto" w:fill="auto"/>
            <w:vAlign w:val="center"/>
          </w:tcPr>
          <w:p w14:paraId="301620CA">
            <w:pPr>
              <w:jc w:val="center"/>
              <w:rPr>
                <w:rFonts w:ascii="宋体" w:hAnsi="宋体" w:eastAsia="宋体" w:cs="Times New Roman"/>
                <w:color w:val="auto"/>
              </w:rPr>
            </w:pPr>
            <w:r>
              <w:rPr>
                <w:rFonts w:ascii="宋体" w:hAnsi="宋体" w:eastAsia="宋体" w:cs="Times New Roman"/>
                <w:color w:val="auto"/>
                <w:spacing w:val="-2"/>
              </w:rPr>
              <w:t>127</w:t>
            </w:r>
          </w:p>
        </w:tc>
        <w:tc>
          <w:tcPr>
            <w:tcW w:w="287" w:type="pct"/>
            <w:shd w:val="clear" w:color="auto" w:fill="auto"/>
            <w:vAlign w:val="center"/>
          </w:tcPr>
          <w:p w14:paraId="5BF4A3DF">
            <w:pPr>
              <w:jc w:val="center"/>
              <w:rPr>
                <w:rFonts w:ascii="宋体" w:hAnsi="宋体" w:eastAsia="宋体" w:cs="Times New Roman"/>
                <w:color w:val="auto"/>
              </w:rPr>
            </w:pPr>
            <w:r>
              <w:rPr>
                <w:rFonts w:hint="eastAsia" w:ascii="宋体" w:hAnsi="宋体" w:eastAsia="宋体" w:cs="Times New Roman"/>
                <w:color w:val="auto"/>
                <w:spacing w:val="-2"/>
              </w:rPr>
              <w:t>坡度</w:t>
            </w:r>
          </w:p>
        </w:tc>
        <w:tc>
          <w:tcPr>
            <w:tcW w:w="288" w:type="pct"/>
            <w:shd w:val="clear" w:color="auto" w:fill="auto"/>
            <w:vAlign w:val="center"/>
          </w:tcPr>
          <w:p w14:paraId="533F8E95">
            <w:pPr>
              <w:jc w:val="center"/>
              <w:rPr>
                <w:rFonts w:ascii="宋体" w:hAnsi="宋体" w:eastAsia="宋体" w:cs="Times New Roman"/>
                <w:color w:val="auto"/>
              </w:rPr>
            </w:pPr>
            <w:r>
              <w:rPr>
                <w:rFonts w:hint="eastAsia" w:ascii="宋体" w:hAnsi="宋体" w:eastAsia="宋体" w:cs="Times New Roman"/>
                <w:color w:val="auto"/>
              </w:rPr>
              <w:t>0</w:t>
            </w:r>
          </w:p>
        </w:tc>
      </w:tr>
      <w:tr w14:paraId="00B9B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6B8625B4">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rPr>
              <w:t xml:space="preserve"> </w:t>
            </w:r>
            <w:r>
              <w:rPr>
                <w:rFonts w:hint="eastAsia" w:ascii="宋体" w:hAnsi="宋体" w:eastAsia="宋体" w:cs="Times New Roman"/>
                <w:color w:val="auto"/>
                <w:spacing w:val="-5"/>
              </w:rPr>
              <w:t>名称</w:t>
            </w:r>
          </w:p>
        </w:tc>
        <w:tc>
          <w:tcPr>
            <w:tcW w:w="3063" w:type="pct"/>
            <w:gridSpan w:val="3"/>
            <w:shd w:val="clear" w:color="auto" w:fill="auto"/>
            <w:vAlign w:val="center"/>
          </w:tcPr>
          <w:p w14:paraId="1461498D">
            <w:pPr>
              <w:jc w:val="center"/>
              <w:rPr>
                <w:rFonts w:ascii="宋体" w:hAnsi="宋体" w:eastAsia="宋体" w:cs="Times New Roman"/>
                <w:color w:val="auto"/>
              </w:rPr>
            </w:pPr>
            <w:r>
              <w:rPr>
                <w:rFonts w:hint="eastAsia" w:ascii="宋体" w:hAnsi="宋体" w:eastAsia="宋体" w:cs="Times New Roman"/>
                <w:color w:val="auto"/>
                <w:spacing w:val="-2"/>
              </w:rPr>
              <w:t>芦苇草甸</w:t>
            </w:r>
          </w:p>
        </w:tc>
        <w:tc>
          <w:tcPr>
            <w:tcW w:w="354" w:type="pct"/>
            <w:shd w:val="clear" w:color="auto" w:fill="auto"/>
            <w:vAlign w:val="center"/>
          </w:tcPr>
          <w:p w14:paraId="734F7412">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spacing w:val="-4"/>
              </w:rPr>
              <w:t>拉丁学名</w:t>
            </w:r>
          </w:p>
        </w:tc>
        <w:tc>
          <w:tcPr>
            <w:tcW w:w="1337" w:type="pct"/>
            <w:gridSpan w:val="3"/>
            <w:shd w:val="clear" w:color="auto" w:fill="auto"/>
            <w:vAlign w:val="center"/>
          </w:tcPr>
          <w:p w14:paraId="4A24CC2D">
            <w:pPr>
              <w:jc w:val="center"/>
              <w:rPr>
                <w:rFonts w:ascii="宋体" w:hAnsi="宋体" w:eastAsia="宋体" w:cs="Times New Roman"/>
                <w:color w:val="auto"/>
                <w:szCs w:val="22"/>
              </w:rPr>
            </w:pPr>
            <w:r>
              <w:rPr>
                <w:rFonts w:hint="eastAsia" w:ascii="宋体" w:hAnsi="宋体" w:eastAsia="宋体" w:cs="Times New Roman"/>
                <w:i/>
                <w:iCs/>
                <w:color w:val="auto"/>
                <w:szCs w:val="22"/>
              </w:rPr>
              <w:t>Form</w:t>
            </w:r>
            <w:r>
              <w:rPr>
                <w:rFonts w:hint="eastAsia" w:ascii="宋体" w:hAnsi="宋体" w:eastAsia="宋体" w:cs="Times New Roman"/>
                <w:i/>
                <w:iCs/>
                <w:color w:val="auto"/>
                <w:spacing w:val="17"/>
                <w:szCs w:val="22"/>
              </w:rPr>
              <w:t>.</w:t>
            </w:r>
            <w:r>
              <w:rPr>
                <w:rFonts w:hint="eastAsia" w:ascii="宋体" w:hAnsi="宋体" w:eastAsia="宋体" w:cs="Times New Roman"/>
                <w:i/>
                <w:iCs/>
                <w:color w:val="auto"/>
                <w:szCs w:val="22"/>
              </w:rPr>
              <w:t>Phragmitesaustralis</w:t>
            </w:r>
          </w:p>
        </w:tc>
      </w:tr>
      <w:tr w14:paraId="3947E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704ADB35">
            <w:pPr>
              <w:jc w:val="center"/>
              <w:rPr>
                <w:rFonts w:ascii="宋体" w:hAnsi="宋体" w:eastAsia="宋体" w:cs="Times New Roman"/>
                <w:color w:val="auto"/>
              </w:rPr>
            </w:pPr>
            <w:r>
              <w:rPr>
                <w:rFonts w:hint="eastAsia" w:ascii="宋体" w:hAnsi="宋体" w:eastAsia="宋体" w:cs="Times New Roman"/>
                <w:color w:val="auto"/>
                <w:spacing w:val="-2"/>
              </w:rPr>
              <w:t>层次</w:t>
            </w:r>
          </w:p>
        </w:tc>
        <w:tc>
          <w:tcPr>
            <w:tcW w:w="769" w:type="pct"/>
            <w:shd w:val="clear" w:color="auto" w:fill="auto"/>
            <w:vAlign w:val="center"/>
          </w:tcPr>
          <w:p w14:paraId="02C88482">
            <w:pPr>
              <w:jc w:val="center"/>
              <w:rPr>
                <w:rFonts w:ascii="宋体" w:hAnsi="宋体" w:eastAsia="宋体" w:cs="Times New Roman"/>
                <w:color w:val="auto"/>
              </w:rPr>
            </w:pPr>
            <w:r>
              <w:rPr>
                <w:rFonts w:hint="eastAsia" w:ascii="宋体" w:hAnsi="宋体" w:eastAsia="宋体" w:cs="Times New Roman"/>
                <w:color w:val="auto"/>
                <w:spacing w:val="-2"/>
              </w:rPr>
              <w:t>类别</w:t>
            </w:r>
          </w:p>
        </w:tc>
        <w:tc>
          <w:tcPr>
            <w:tcW w:w="625" w:type="pct"/>
            <w:shd w:val="clear" w:color="auto" w:fill="auto"/>
            <w:vAlign w:val="center"/>
          </w:tcPr>
          <w:p w14:paraId="61901ECE">
            <w:pPr>
              <w:jc w:val="center"/>
              <w:rPr>
                <w:rFonts w:ascii="宋体" w:hAnsi="宋体" w:eastAsia="宋体" w:cs="Times New Roman"/>
                <w:color w:val="auto"/>
              </w:rPr>
            </w:pPr>
            <w:r>
              <w:rPr>
                <w:rFonts w:hint="eastAsia" w:ascii="宋体" w:hAnsi="宋体" w:eastAsia="宋体" w:cs="Times New Roman"/>
                <w:color w:val="auto"/>
                <w:spacing w:val="-3"/>
              </w:rPr>
              <w:t>名称</w:t>
            </w:r>
          </w:p>
        </w:tc>
        <w:tc>
          <w:tcPr>
            <w:tcW w:w="1669" w:type="pct"/>
            <w:shd w:val="clear" w:color="auto" w:fill="auto"/>
            <w:vAlign w:val="center"/>
          </w:tcPr>
          <w:p w14:paraId="70FAABC9">
            <w:pPr>
              <w:jc w:val="center"/>
              <w:rPr>
                <w:rFonts w:ascii="宋体" w:hAnsi="宋体" w:eastAsia="宋体" w:cs="Times New Roman"/>
                <w:color w:val="auto"/>
              </w:rPr>
            </w:pPr>
            <w:r>
              <w:rPr>
                <w:rFonts w:hint="eastAsia" w:ascii="宋体" w:hAnsi="宋体" w:eastAsia="宋体" w:cs="Times New Roman"/>
                <w:color w:val="auto"/>
                <w:spacing w:val="-2"/>
              </w:rPr>
              <w:t>拉丁学名</w:t>
            </w:r>
          </w:p>
        </w:tc>
        <w:tc>
          <w:tcPr>
            <w:tcW w:w="354" w:type="pct"/>
            <w:shd w:val="clear" w:color="auto" w:fill="auto"/>
            <w:vAlign w:val="center"/>
          </w:tcPr>
          <w:p w14:paraId="5B9D44E4">
            <w:pPr>
              <w:jc w:val="center"/>
              <w:rPr>
                <w:rFonts w:ascii="宋体" w:hAnsi="宋体" w:eastAsia="宋体" w:cs="Times New Roman"/>
                <w:color w:val="auto"/>
              </w:rPr>
            </w:pPr>
            <w:r>
              <w:rPr>
                <w:rFonts w:hint="eastAsia" w:ascii="宋体" w:hAnsi="宋体" w:eastAsia="宋体" w:cs="Times New Roman"/>
                <w:color w:val="auto"/>
                <w:spacing w:val="-8"/>
              </w:rPr>
              <w:t>株</w:t>
            </w:r>
            <w:r>
              <w:rPr>
                <w:rFonts w:hint="eastAsia" w:ascii="宋体" w:hAnsi="宋体" w:eastAsia="宋体" w:cs="Times New Roman"/>
                <w:color w:val="auto"/>
              </w:rPr>
              <w:t xml:space="preserve">  </w:t>
            </w:r>
            <w:r>
              <w:rPr>
                <w:rFonts w:hint="eastAsia" w:ascii="宋体" w:hAnsi="宋体" w:eastAsia="宋体" w:cs="Times New Roman"/>
                <w:color w:val="auto"/>
                <w:spacing w:val="-9"/>
              </w:rPr>
              <w:t>（丛</w:t>
            </w:r>
            <w:r>
              <w:rPr>
                <w:rFonts w:hint="eastAsia" w:ascii="宋体" w:hAnsi="宋体" w:eastAsia="宋体" w:cs="Times New Roman"/>
                <w:color w:val="auto"/>
              </w:rPr>
              <w:t xml:space="preserve"> </w:t>
            </w:r>
            <w:r>
              <w:rPr>
                <w:rFonts w:hint="eastAsia" w:ascii="宋体" w:hAnsi="宋体" w:eastAsia="宋体" w:cs="Times New Roman"/>
                <w:color w:val="auto"/>
                <w:spacing w:val="-12"/>
              </w:rPr>
              <w:t>数）</w:t>
            </w:r>
          </w:p>
        </w:tc>
        <w:tc>
          <w:tcPr>
            <w:tcW w:w="762" w:type="pct"/>
            <w:shd w:val="clear" w:color="auto" w:fill="auto"/>
            <w:vAlign w:val="center"/>
          </w:tcPr>
          <w:p w14:paraId="3B68B6DF">
            <w:pPr>
              <w:jc w:val="center"/>
              <w:rPr>
                <w:rFonts w:ascii="宋体" w:hAnsi="宋体" w:eastAsia="宋体" w:cs="Times New Roman"/>
                <w:color w:val="auto"/>
              </w:rPr>
            </w:pPr>
            <w:r>
              <w:rPr>
                <w:rFonts w:hint="eastAsia" w:ascii="宋体" w:hAnsi="宋体" w:eastAsia="宋体" w:cs="Times New Roman"/>
                <w:color w:val="auto"/>
                <w:spacing w:val="-4"/>
              </w:rPr>
              <w:t>多度</w:t>
            </w:r>
          </w:p>
        </w:tc>
        <w:tc>
          <w:tcPr>
            <w:tcW w:w="287" w:type="pct"/>
            <w:shd w:val="clear" w:color="auto" w:fill="auto"/>
            <w:vAlign w:val="center"/>
          </w:tcPr>
          <w:p w14:paraId="3B3C4CE6">
            <w:pPr>
              <w:jc w:val="center"/>
              <w:rPr>
                <w:rFonts w:ascii="宋体" w:hAnsi="宋体" w:eastAsia="宋体" w:cs="Times New Roman"/>
                <w:color w:val="auto"/>
              </w:rPr>
            </w:pPr>
            <w:r>
              <w:rPr>
                <w:rFonts w:hint="eastAsia" w:ascii="宋体" w:hAnsi="宋体" w:eastAsia="宋体" w:cs="Times New Roman"/>
                <w:color w:val="auto"/>
                <w:spacing w:val="-6"/>
              </w:rPr>
              <w:t>高度</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288" w:type="pct"/>
            <w:shd w:val="clear" w:color="auto" w:fill="auto"/>
            <w:vAlign w:val="center"/>
          </w:tcPr>
          <w:p w14:paraId="135EDCC3">
            <w:pPr>
              <w:jc w:val="center"/>
              <w:rPr>
                <w:rFonts w:ascii="宋体" w:hAnsi="宋体" w:eastAsia="宋体" w:cs="Times New Roman"/>
                <w:color w:val="auto"/>
              </w:rPr>
            </w:pPr>
            <w:r>
              <w:rPr>
                <w:rFonts w:hint="eastAsia" w:ascii="宋体" w:hAnsi="宋体" w:eastAsia="宋体" w:cs="Times New Roman"/>
                <w:color w:val="auto"/>
                <w:spacing w:val="-4"/>
              </w:rPr>
              <w:t>盖度</w:t>
            </w:r>
            <w:r>
              <w:rPr>
                <w:rFonts w:hint="eastAsia" w:ascii="宋体" w:hAnsi="宋体" w:eastAsia="宋体" w:cs="Times New Roman"/>
                <w:color w:val="auto"/>
              </w:rPr>
              <w:t xml:space="preserve"> </w:t>
            </w:r>
            <w:r>
              <w:rPr>
                <w:rFonts w:hint="eastAsia" w:ascii="宋体" w:hAnsi="宋体" w:eastAsia="宋体" w:cs="Times New Roman"/>
                <w:color w:val="auto"/>
                <w:spacing w:val="-9"/>
              </w:rPr>
              <w:t>（%）</w:t>
            </w:r>
          </w:p>
        </w:tc>
      </w:tr>
      <w:tr w14:paraId="125A5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16EBAE73">
            <w:pPr>
              <w:jc w:val="center"/>
              <w:rPr>
                <w:rFonts w:ascii="宋体" w:hAnsi="宋体" w:eastAsia="宋体" w:cs="Times New Roman"/>
                <w:color w:val="auto"/>
              </w:rPr>
            </w:pPr>
            <w:r>
              <w:rPr>
                <w:rFonts w:hint="eastAsia" w:ascii="宋体" w:hAnsi="宋体" w:eastAsia="宋体" w:cs="Times New Roman"/>
                <w:color w:val="auto"/>
                <w:spacing w:val="-4"/>
              </w:rPr>
              <w:t>草本</w:t>
            </w:r>
            <w:r>
              <w:rPr>
                <w:rFonts w:hint="eastAsia" w:ascii="宋体" w:hAnsi="宋体" w:eastAsia="宋体" w:cs="Times New Roman"/>
                <w:color w:val="auto"/>
              </w:rPr>
              <w:t xml:space="preserve"> 层</w:t>
            </w:r>
          </w:p>
        </w:tc>
        <w:tc>
          <w:tcPr>
            <w:tcW w:w="769" w:type="pct"/>
            <w:shd w:val="clear" w:color="auto" w:fill="auto"/>
            <w:vAlign w:val="center"/>
          </w:tcPr>
          <w:p w14:paraId="6A90398E">
            <w:pPr>
              <w:jc w:val="center"/>
              <w:rPr>
                <w:rFonts w:ascii="宋体" w:hAnsi="宋体" w:eastAsia="宋体" w:cs="Times New Roman"/>
                <w:color w:val="auto"/>
              </w:rPr>
            </w:pPr>
            <w:r>
              <w:rPr>
                <w:rFonts w:hint="eastAsia" w:ascii="宋体" w:hAnsi="宋体" w:eastAsia="宋体" w:cs="Times New Roman"/>
                <w:color w:val="auto"/>
                <w:spacing w:val="-2"/>
              </w:rPr>
              <w:t>建群种</w:t>
            </w:r>
          </w:p>
        </w:tc>
        <w:tc>
          <w:tcPr>
            <w:tcW w:w="625" w:type="pct"/>
            <w:shd w:val="clear" w:color="auto" w:fill="auto"/>
            <w:vAlign w:val="center"/>
          </w:tcPr>
          <w:p w14:paraId="39FCFD3D">
            <w:pPr>
              <w:jc w:val="center"/>
              <w:rPr>
                <w:rFonts w:ascii="宋体" w:hAnsi="宋体" w:eastAsia="宋体" w:cs="Times New Roman"/>
                <w:color w:val="auto"/>
              </w:rPr>
            </w:pPr>
            <w:r>
              <w:rPr>
                <w:rFonts w:hint="eastAsia" w:ascii="宋体" w:hAnsi="宋体" w:eastAsia="宋体" w:cs="Times New Roman"/>
                <w:color w:val="auto"/>
                <w:spacing w:val="-2"/>
              </w:rPr>
              <w:t>芦苇</w:t>
            </w:r>
          </w:p>
        </w:tc>
        <w:tc>
          <w:tcPr>
            <w:tcW w:w="1669" w:type="pct"/>
            <w:shd w:val="clear" w:color="auto" w:fill="auto"/>
            <w:vAlign w:val="center"/>
          </w:tcPr>
          <w:p w14:paraId="398BE248">
            <w:pPr>
              <w:jc w:val="center"/>
              <w:rPr>
                <w:rFonts w:ascii="宋体" w:hAnsi="宋体" w:eastAsia="宋体" w:cs="Times New Roman"/>
                <w:color w:val="auto"/>
                <w:szCs w:val="22"/>
              </w:rPr>
            </w:pPr>
            <w:r>
              <w:rPr>
                <w:rFonts w:hint="eastAsia" w:ascii="宋体" w:hAnsi="宋体" w:eastAsia="宋体" w:cs="Times New Roman"/>
                <w:i/>
                <w:iCs/>
                <w:color w:val="auto"/>
                <w:spacing w:val="1"/>
                <w:szCs w:val="22"/>
              </w:rPr>
              <w:t>Phragmites</w:t>
            </w:r>
            <w:r>
              <w:rPr>
                <w:rFonts w:hint="eastAsia" w:ascii="宋体" w:hAnsi="宋体" w:eastAsia="宋体" w:cs="Times New Roman"/>
                <w:i/>
                <w:iCs/>
                <w:color w:val="auto"/>
                <w:spacing w:val="2"/>
                <w:szCs w:val="22"/>
              </w:rPr>
              <w:t>australis</w:t>
            </w:r>
            <w:r>
              <w:rPr>
                <w:rFonts w:hint="eastAsia" w:ascii="宋体" w:hAnsi="宋体" w:eastAsia="宋体" w:cs="Times New Roman"/>
                <w:i/>
                <w:iCs/>
                <w:color w:val="auto"/>
                <w:spacing w:val="8"/>
                <w:szCs w:val="22"/>
              </w:rPr>
              <w:t>(</w:t>
            </w:r>
            <w:r>
              <w:rPr>
                <w:rFonts w:hint="eastAsia" w:ascii="宋体" w:hAnsi="宋体" w:eastAsia="宋体" w:cs="Times New Roman"/>
                <w:i/>
                <w:iCs/>
                <w:color w:val="auto"/>
                <w:szCs w:val="22"/>
              </w:rPr>
              <w:t>Cav</w:t>
            </w:r>
            <w:r>
              <w:rPr>
                <w:rFonts w:hint="eastAsia" w:ascii="宋体" w:hAnsi="宋体" w:eastAsia="宋体" w:cs="Times New Roman"/>
                <w:i/>
                <w:iCs/>
                <w:color w:val="auto"/>
                <w:spacing w:val="8"/>
                <w:szCs w:val="22"/>
              </w:rPr>
              <w:t>.)</w:t>
            </w:r>
            <w:r>
              <w:rPr>
                <w:rFonts w:hint="eastAsia" w:ascii="宋体" w:hAnsi="宋体" w:eastAsia="宋体" w:cs="Times New Roman"/>
                <w:i/>
                <w:iCs/>
                <w:color w:val="auto"/>
                <w:szCs w:val="22"/>
              </w:rPr>
              <w:t>Trin</w:t>
            </w:r>
            <w:r>
              <w:rPr>
                <w:rFonts w:hint="eastAsia" w:ascii="宋体" w:hAnsi="宋体" w:eastAsia="宋体" w:cs="Times New Roman"/>
                <w:i/>
                <w:iCs/>
                <w:color w:val="auto"/>
                <w:spacing w:val="8"/>
                <w:szCs w:val="22"/>
              </w:rPr>
              <w:t>.</w:t>
            </w:r>
            <w:r>
              <w:rPr>
                <w:rFonts w:hint="eastAsia" w:ascii="宋体" w:hAnsi="宋体" w:eastAsia="宋体" w:cs="Times New Roman"/>
                <w:i/>
                <w:iCs/>
                <w:color w:val="auto"/>
                <w:spacing w:val="12"/>
                <w:szCs w:val="22"/>
              </w:rPr>
              <w:t>exSteud</w:t>
            </w:r>
          </w:p>
        </w:tc>
        <w:tc>
          <w:tcPr>
            <w:tcW w:w="354" w:type="pct"/>
            <w:shd w:val="clear" w:color="auto" w:fill="auto"/>
            <w:vAlign w:val="center"/>
          </w:tcPr>
          <w:p w14:paraId="4674A4D2">
            <w:pPr>
              <w:jc w:val="center"/>
              <w:rPr>
                <w:rFonts w:ascii="宋体" w:hAnsi="宋体" w:eastAsia="宋体" w:cs="Times New Roman"/>
                <w:color w:val="auto"/>
              </w:rPr>
            </w:pPr>
            <w:r>
              <w:rPr>
                <w:rFonts w:ascii="宋体" w:hAnsi="宋体" w:eastAsia="宋体" w:cs="Times New Roman"/>
                <w:color w:val="auto"/>
              </w:rPr>
              <w:t>20</w:t>
            </w:r>
          </w:p>
        </w:tc>
        <w:tc>
          <w:tcPr>
            <w:tcW w:w="762" w:type="pct"/>
            <w:shd w:val="clear" w:color="auto" w:fill="auto"/>
            <w:vAlign w:val="center"/>
          </w:tcPr>
          <w:p w14:paraId="03E3DCC4">
            <w:pPr>
              <w:jc w:val="center"/>
              <w:rPr>
                <w:rFonts w:ascii="宋体" w:hAnsi="宋体" w:eastAsia="宋体" w:cs="Times New Roman"/>
                <w:color w:val="auto"/>
              </w:rPr>
            </w:pPr>
            <w:r>
              <w:rPr>
                <w:rFonts w:ascii="宋体" w:hAnsi="宋体" w:eastAsia="宋体" w:cs="Times New Roman"/>
                <w:color w:val="auto"/>
                <w:lang w:bidi="zh-CN"/>
              </w:rPr>
              <w:t>Cop3</w:t>
            </w:r>
            <w:bookmarkStart w:id="1253" w:name="OLE_LINK66"/>
            <w:bookmarkStart w:id="1254" w:name="OLE_LINK65"/>
            <w:r>
              <w:rPr>
                <w:rFonts w:ascii="宋体" w:hAnsi="宋体" w:eastAsia="宋体" w:cs="Times New Roman"/>
                <w:color w:val="auto"/>
                <w:lang w:bidi="zh-CN"/>
              </w:rPr>
              <w:t>.</w:t>
            </w:r>
            <w:bookmarkEnd w:id="1253"/>
            <w:bookmarkEnd w:id="1254"/>
          </w:p>
        </w:tc>
        <w:tc>
          <w:tcPr>
            <w:tcW w:w="287" w:type="pct"/>
            <w:shd w:val="clear" w:color="auto" w:fill="auto"/>
            <w:vAlign w:val="center"/>
          </w:tcPr>
          <w:p w14:paraId="579901D3">
            <w:pPr>
              <w:jc w:val="center"/>
              <w:rPr>
                <w:rFonts w:ascii="宋体" w:hAnsi="宋体" w:eastAsia="宋体" w:cs="Times New Roman"/>
                <w:color w:val="auto"/>
              </w:rPr>
            </w:pPr>
            <w:r>
              <w:rPr>
                <w:rFonts w:ascii="宋体" w:hAnsi="宋体" w:eastAsia="宋体" w:cs="Times New Roman"/>
                <w:color w:val="auto"/>
                <w:spacing w:val="-2"/>
              </w:rPr>
              <w:t>2.0</w:t>
            </w:r>
          </w:p>
        </w:tc>
        <w:tc>
          <w:tcPr>
            <w:tcW w:w="288" w:type="pct"/>
            <w:shd w:val="clear" w:color="auto" w:fill="auto"/>
            <w:vAlign w:val="center"/>
          </w:tcPr>
          <w:p w14:paraId="23E7E574">
            <w:pPr>
              <w:jc w:val="center"/>
              <w:rPr>
                <w:rFonts w:ascii="宋体" w:hAnsi="宋体" w:eastAsia="宋体" w:cs="Times New Roman"/>
                <w:color w:val="auto"/>
              </w:rPr>
            </w:pPr>
            <w:r>
              <w:rPr>
                <w:rFonts w:ascii="宋体" w:hAnsi="宋体" w:eastAsia="宋体" w:cs="Times New Roman"/>
                <w:color w:val="auto"/>
                <w:spacing w:val="-3"/>
              </w:rPr>
              <w:t>7</w:t>
            </w:r>
            <w:r>
              <w:rPr>
                <w:rFonts w:hint="eastAsia" w:ascii="宋体" w:hAnsi="宋体" w:eastAsia="宋体" w:cs="Times New Roman"/>
                <w:color w:val="auto"/>
                <w:spacing w:val="-3"/>
              </w:rPr>
              <w:t>0</w:t>
            </w:r>
          </w:p>
        </w:tc>
      </w:tr>
      <w:tr w14:paraId="1F8A5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2F114D84">
            <w:pPr>
              <w:jc w:val="center"/>
              <w:rPr>
                <w:rFonts w:ascii="宋体" w:hAnsi="宋体" w:eastAsia="宋体" w:cs="Times New Roman"/>
                <w:color w:val="auto"/>
                <w:spacing w:val="-4"/>
              </w:rPr>
            </w:pPr>
            <w:r>
              <w:rPr>
                <w:rFonts w:hint="eastAsia" w:ascii="宋体" w:hAnsi="宋体" w:eastAsia="宋体" w:cs="Times New Roman"/>
                <w:color w:val="auto"/>
                <w:spacing w:val="-4"/>
              </w:rPr>
              <w:t>草本</w:t>
            </w:r>
            <w:r>
              <w:rPr>
                <w:rFonts w:hint="eastAsia" w:ascii="宋体" w:hAnsi="宋体" w:eastAsia="宋体" w:cs="Times New Roman"/>
                <w:color w:val="auto"/>
              </w:rPr>
              <w:t xml:space="preserve"> 层</w:t>
            </w:r>
          </w:p>
        </w:tc>
        <w:tc>
          <w:tcPr>
            <w:tcW w:w="769" w:type="pct"/>
            <w:shd w:val="clear" w:color="auto" w:fill="auto"/>
            <w:vAlign w:val="center"/>
          </w:tcPr>
          <w:p w14:paraId="45D79240">
            <w:pPr>
              <w:jc w:val="center"/>
              <w:rPr>
                <w:rFonts w:ascii="宋体" w:hAnsi="宋体" w:eastAsia="宋体" w:cs="Times New Roman"/>
                <w:color w:val="auto"/>
                <w:spacing w:val="-2"/>
              </w:rPr>
            </w:pPr>
            <w:r>
              <w:rPr>
                <w:rFonts w:hint="eastAsia" w:ascii="宋体" w:hAnsi="宋体" w:eastAsia="宋体" w:cs="Times New Roman"/>
                <w:color w:val="auto"/>
                <w:spacing w:val="-2"/>
              </w:rPr>
              <w:t>建群种</w:t>
            </w:r>
          </w:p>
        </w:tc>
        <w:tc>
          <w:tcPr>
            <w:tcW w:w="625" w:type="pct"/>
            <w:shd w:val="clear" w:color="auto" w:fill="auto"/>
            <w:vAlign w:val="center"/>
          </w:tcPr>
          <w:p w14:paraId="7A127E28">
            <w:pPr>
              <w:jc w:val="center"/>
              <w:rPr>
                <w:rFonts w:ascii="宋体" w:hAnsi="宋体" w:eastAsia="宋体" w:cs="Times New Roman"/>
                <w:color w:val="auto"/>
                <w:spacing w:val="-2"/>
              </w:rPr>
            </w:pPr>
            <w:bookmarkStart w:id="1255" w:name="OLE_LINK64"/>
            <w:r>
              <w:rPr>
                <w:rFonts w:hint="eastAsia" w:ascii="宋体" w:hAnsi="宋体" w:eastAsia="宋体" w:cs="Times New Roman"/>
                <w:color w:val="auto"/>
                <w:spacing w:val="-2"/>
              </w:rPr>
              <w:t>香蒲</w:t>
            </w:r>
            <w:bookmarkEnd w:id="1255"/>
          </w:p>
        </w:tc>
        <w:tc>
          <w:tcPr>
            <w:tcW w:w="1669" w:type="pct"/>
            <w:shd w:val="clear" w:color="auto" w:fill="auto"/>
            <w:vAlign w:val="center"/>
          </w:tcPr>
          <w:p w14:paraId="327ECDBA">
            <w:pPr>
              <w:jc w:val="center"/>
              <w:rPr>
                <w:rFonts w:ascii="宋体" w:hAnsi="宋体" w:eastAsia="宋体" w:cs="Times New Roman"/>
                <w:i/>
                <w:iCs/>
                <w:color w:val="auto"/>
                <w:spacing w:val="1"/>
                <w:szCs w:val="22"/>
              </w:rPr>
            </w:pPr>
            <w:r>
              <w:rPr>
                <w:rFonts w:ascii="宋体" w:hAnsi="宋体" w:eastAsia="宋体" w:cs="Times New Roman"/>
                <w:color w:val="auto"/>
                <w:spacing w:val="-2"/>
              </w:rPr>
              <w:t>Typha orientalis C. Presl</w:t>
            </w:r>
          </w:p>
        </w:tc>
        <w:tc>
          <w:tcPr>
            <w:tcW w:w="354" w:type="pct"/>
            <w:shd w:val="clear" w:color="auto" w:fill="auto"/>
            <w:vAlign w:val="center"/>
          </w:tcPr>
          <w:p w14:paraId="45A72286">
            <w:pPr>
              <w:jc w:val="center"/>
              <w:rPr>
                <w:rFonts w:ascii="宋体" w:hAnsi="宋体" w:eastAsia="宋体" w:cs="Times New Roman"/>
                <w:color w:val="auto"/>
              </w:rPr>
            </w:pPr>
            <w:r>
              <w:rPr>
                <w:rFonts w:hint="eastAsia" w:ascii="宋体" w:hAnsi="宋体" w:eastAsia="宋体" w:cs="Times New Roman"/>
                <w:color w:val="auto"/>
              </w:rPr>
              <w:t>2</w:t>
            </w:r>
            <w:r>
              <w:rPr>
                <w:rFonts w:ascii="宋体" w:hAnsi="宋体" w:eastAsia="宋体" w:cs="Times New Roman"/>
                <w:color w:val="auto"/>
              </w:rPr>
              <w:t>1</w:t>
            </w:r>
          </w:p>
        </w:tc>
        <w:tc>
          <w:tcPr>
            <w:tcW w:w="762" w:type="pct"/>
            <w:shd w:val="clear" w:color="auto" w:fill="auto"/>
            <w:vAlign w:val="center"/>
          </w:tcPr>
          <w:p w14:paraId="37E4533C">
            <w:pPr>
              <w:jc w:val="center"/>
              <w:rPr>
                <w:rFonts w:ascii="宋体" w:hAnsi="宋体" w:eastAsia="宋体" w:cs="Times New Roman"/>
                <w:color w:val="auto"/>
                <w:lang w:bidi="zh-CN"/>
              </w:rPr>
            </w:pPr>
            <w:r>
              <w:rPr>
                <w:rFonts w:ascii="宋体" w:hAnsi="宋体" w:eastAsia="宋体" w:cs="Times New Roman"/>
                <w:color w:val="auto"/>
                <w:szCs w:val="22"/>
                <w:lang w:bidi="zh-CN"/>
              </w:rPr>
              <w:t>Cop3</w:t>
            </w:r>
            <w:r>
              <w:rPr>
                <w:rFonts w:ascii="宋体" w:hAnsi="宋体" w:eastAsia="宋体" w:cs="Times New Roman"/>
                <w:color w:val="auto"/>
                <w:lang w:bidi="zh-CN"/>
              </w:rPr>
              <w:t xml:space="preserve">.                                                                                                                                                                                                                                                                                                </w:t>
            </w:r>
          </w:p>
        </w:tc>
        <w:tc>
          <w:tcPr>
            <w:tcW w:w="287" w:type="pct"/>
            <w:shd w:val="clear" w:color="auto" w:fill="auto"/>
            <w:vAlign w:val="center"/>
          </w:tcPr>
          <w:p w14:paraId="4D59F57F">
            <w:pPr>
              <w:jc w:val="center"/>
              <w:rPr>
                <w:rFonts w:ascii="宋体" w:hAnsi="宋体" w:eastAsia="宋体" w:cs="Times New Roman"/>
                <w:color w:val="auto"/>
                <w:spacing w:val="-2"/>
              </w:rPr>
            </w:pPr>
            <w:r>
              <w:rPr>
                <w:rFonts w:ascii="宋体" w:hAnsi="宋体" w:eastAsia="宋体" w:cs="Times New Roman"/>
                <w:color w:val="auto"/>
                <w:spacing w:val="-2"/>
              </w:rPr>
              <w:t>1.9</w:t>
            </w:r>
          </w:p>
        </w:tc>
        <w:tc>
          <w:tcPr>
            <w:tcW w:w="288" w:type="pct"/>
            <w:shd w:val="clear" w:color="auto" w:fill="auto"/>
            <w:vAlign w:val="center"/>
          </w:tcPr>
          <w:p w14:paraId="0F2BD4AB">
            <w:pPr>
              <w:jc w:val="center"/>
              <w:rPr>
                <w:rFonts w:ascii="宋体" w:hAnsi="宋体" w:eastAsia="宋体" w:cs="Times New Roman"/>
                <w:color w:val="auto"/>
                <w:spacing w:val="-3"/>
              </w:rPr>
            </w:pPr>
            <w:r>
              <w:rPr>
                <w:rFonts w:ascii="宋体" w:hAnsi="宋体" w:eastAsia="宋体" w:cs="Times New Roman"/>
                <w:color w:val="auto"/>
                <w:spacing w:val="-3"/>
              </w:rPr>
              <w:t>7</w:t>
            </w:r>
            <w:r>
              <w:rPr>
                <w:rFonts w:hint="eastAsia" w:ascii="宋体" w:hAnsi="宋体" w:eastAsia="宋体" w:cs="Times New Roman"/>
                <w:color w:val="auto"/>
                <w:spacing w:val="-3"/>
              </w:rPr>
              <w:t>0</w:t>
            </w:r>
          </w:p>
        </w:tc>
      </w:tr>
      <w:tr w14:paraId="417A2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19D9540D">
            <w:pPr>
              <w:adjustRightInd w:val="0"/>
              <w:snapToGrid w:val="0"/>
              <w:jc w:val="center"/>
              <w:rPr>
                <w:rFonts w:ascii="宋体" w:hAnsi="宋体" w:eastAsia="宋体" w:cs="Arial"/>
                <w:color w:val="auto"/>
              </w:rPr>
            </w:pPr>
            <w:r>
              <w:rPr>
                <w:rStyle w:val="116"/>
                <w:rFonts w:ascii="宋体" w:hAnsi="宋体" w:eastAsia="宋体" w:cs="Times New Roman"/>
                <w:color w:val="auto"/>
              </w:rPr>
              <w:t xml:space="preserve"> </w:t>
            </w:r>
            <w:r>
              <w:rPr>
                <w:rStyle w:val="116"/>
                <w:rFonts w:ascii="宋体" w:hAnsi="宋体" w:eastAsia="宋体" w:cs="Times New Roman"/>
                <w:color w:val="auto"/>
              </w:rPr>
              <w:drawing>
                <wp:inline distT="0" distB="0" distL="0" distR="0">
                  <wp:extent cx="3875405" cy="2905125"/>
                  <wp:effectExtent l="0" t="0" r="10795" b="9525"/>
                  <wp:docPr id="130447754" name="图片 130447754" descr="D:\Users\DELL\Documents\WeChat Files\wxid_0rf4mizuauk621\FileStorage\Temp\a0f126d80b59ffe8d29434e72d12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54" name="图片 130447754" descr="D:\Users\DELL\Documents\WeChat Files\wxid_0rf4mizuauk621\FileStorage\Temp\a0f126d80b59ffe8d29434e72d1251a.jpg"/>
                          <pic:cNvPicPr>
                            <a:picLocks noChangeAspect="1" noChangeArrowheads="1"/>
                          </pic:cNvPicPr>
                        </pic:nvPicPr>
                        <pic:blipFill>
                          <a:blip r:embed="rId73"/>
                          <a:srcRect/>
                          <a:stretch>
                            <a:fillRect/>
                          </a:stretch>
                        </pic:blipFill>
                        <pic:spPr>
                          <a:xfrm>
                            <a:off x="0" y="0"/>
                            <a:ext cx="3875405" cy="2927849"/>
                          </a:xfrm>
                          <a:prstGeom prst="rect">
                            <a:avLst/>
                          </a:prstGeom>
                          <a:noFill/>
                          <a:ln>
                            <a:noFill/>
                          </a:ln>
                        </pic:spPr>
                      </pic:pic>
                    </a:graphicData>
                  </a:graphic>
                </wp:inline>
              </w:drawing>
            </w:r>
          </w:p>
        </w:tc>
      </w:tr>
    </w:tbl>
    <w:p w14:paraId="05BA8353">
      <w:pPr>
        <w:spacing w:before="163"/>
        <w:jc w:val="center"/>
        <w:rPr>
          <w:rFonts w:ascii="宋体" w:hAnsi="宋体" w:eastAsia="宋体"/>
          <w:color w:val="auto"/>
          <w:spacing w:val="-11"/>
        </w:rPr>
      </w:pPr>
      <w:r>
        <w:rPr>
          <w:rFonts w:hint="eastAsia" w:ascii="宋体" w:hAnsi="宋体" w:eastAsia="宋体" w:cs="Times New Roman"/>
          <w:color w:val="auto"/>
          <w:sz w:val="24"/>
          <w:szCs w:val="24"/>
        </w:rPr>
        <w:t>表</w:t>
      </w:r>
      <w:r>
        <w:rPr>
          <w:rFonts w:ascii="宋体" w:hAnsi="宋体" w:eastAsia="宋体" w:cs="Times New Roman"/>
          <w:color w:val="auto"/>
          <w:sz w:val="24"/>
          <w:szCs w:val="24"/>
        </w:rPr>
        <w:t xml:space="preserve"> 4.4-8 8</w:t>
      </w:r>
      <w:r>
        <w:rPr>
          <w:rFonts w:hint="eastAsia" w:ascii="宋体" w:hAnsi="宋体" w:eastAsia="宋体" w:cs="Times New Roman"/>
          <w:color w:val="auto"/>
          <w:sz w:val="24"/>
          <w:szCs w:val="24"/>
        </w:rPr>
        <w:t>#点</w:t>
      </w:r>
      <w:r>
        <w:rPr>
          <w:rFonts w:ascii="宋体" w:hAnsi="宋体" w:eastAsia="宋体" w:cs="Times New Roman"/>
          <w:color w:val="auto"/>
          <w:sz w:val="24"/>
          <w:szCs w:val="24"/>
        </w:rPr>
        <w:t>样方调查结果表</w:t>
      </w:r>
    </w:p>
    <w:tbl>
      <w:tblPr>
        <w:tblStyle w:val="17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57"/>
        <w:gridCol w:w="1428"/>
        <w:gridCol w:w="1161"/>
        <w:gridCol w:w="3100"/>
        <w:gridCol w:w="658"/>
        <w:gridCol w:w="1416"/>
        <w:gridCol w:w="533"/>
        <w:gridCol w:w="535"/>
      </w:tblGrid>
      <w:tr w14:paraId="3681F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5F4CC351">
            <w:pPr>
              <w:jc w:val="center"/>
              <w:rPr>
                <w:rFonts w:ascii="宋体" w:hAnsi="宋体" w:eastAsia="宋体" w:cs="Times New Roman"/>
                <w:color w:val="auto"/>
              </w:rPr>
            </w:pPr>
            <w:r>
              <w:rPr>
                <w:rFonts w:hint="eastAsia" w:ascii="宋体" w:hAnsi="宋体" w:eastAsia="宋体" w:cs="Times New Roman"/>
                <w:color w:val="auto"/>
                <w:spacing w:val="-2"/>
              </w:rPr>
              <w:t>编号</w:t>
            </w:r>
          </w:p>
        </w:tc>
        <w:tc>
          <w:tcPr>
            <w:tcW w:w="769" w:type="pct"/>
            <w:shd w:val="clear" w:color="auto" w:fill="auto"/>
            <w:vAlign w:val="center"/>
          </w:tcPr>
          <w:p w14:paraId="1EEDF529">
            <w:pPr>
              <w:jc w:val="center"/>
              <w:rPr>
                <w:rFonts w:ascii="宋体" w:hAnsi="宋体" w:eastAsia="宋体" w:cs="Times New Roman"/>
                <w:color w:val="auto"/>
              </w:rPr>
            </w:pPr>
            <w:r>
              <w:rPr>
                <w:rFonts w:ascii="宋体" w:hAnsi="宋体" w:eastAsia="宋体" w:cs="Times New Roman"/>
                <w:color w:val="auto"/>
              </w:rPr>
              <w:t>8</w:t>
            </w:r>
          </w:p>
        </w:tc>
        <w:tc>
          <w:tcPr>
            <w:tcW w:w="625" w:type="pct"/>
            <w:shd w:val="clear" w:color="auto" w:fill="auto"/>
            <w:vAlign w:val="center"/>
          </w:tcPr>
          <w:p w14:paraId="29E2ED9A">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rPr>
              <w:t>人</w:t>
            </w:r>
          </w:p>
        </w:tc>
        <w:tc>
          <w:tcPr>
            <w:tcW w:w="1669" w:type="pct"/>
            <w:shd w:val="clear" w:color="auto" w:fill="auto"/>
            <w:vAlign w:val="center"/>
          </w:tcPr>
          <w:p w14:paraId="01C20045">
            <w:pPr>
              <w:jc w:val="center"/>
              <w:rPr>
                <w:rFonts w:ascii="宋体" w:hAnsi="宋体" w:eastAsia="宋体" w:cs="Times New Roman"/>
                <w:color w:val="auto"/>
              </w:rPr>
            </w:pPr>
            <w:r>
              <w:rPr>
                <w:rFonts w:hint="eastAsia" w:ascii="宋体" w:hAnsi="宋体" w:eastAsia="宋体" w:cs="Times New Roman"/>
                <w:color w:val="auto"/>
              </w:rPr>
              <w:t>聂海军、袁超</w:t>
            </w:r>
          </w:p>
        </w:tc>
        <w:tc>
          <w:tcPr>
            <w:tcW w:w="354" w:type="pct"/>
            <w:shd w:val="clear" w:color="auto" w:fill="auto"/>
            <w:vAlign w:val="center"/>
          </w:tcPr>
          <w:p w14:paraId="0A9109F2">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spacing w:val="-22"/>
              </w:rPr>
              <w:t>日期</w:t>
            </w:r>
          </w:p>
        </w:tc>
        <w:tc>
          <w:tcPr>
            <w:tcW w:w="762" w:type="pct"/>
            <w:shd w:val="clear" w:color="auto" w:fill="auto"/>
            <w:vAlign w:val="center"/>
          </w:tcPr>
          <w:p w14:paraId="79374934">
            <w:pPr>
              <w:jc w:val="center"/>
              <w:rPr>
                <w:rFonts w:ascii="宋体" w:hAnsi="宋体" w:eastAsia="宋体" w:cs="Times New Roman"/>
                <w:color w:val="auto"/>
              </w:rPr>
            </w:pPr>
            <w:r>
              <w:rPr>
                <w:rFonts w:hint="eastAsia" w:ascii="宋体" w:hAnsi="宋体" w:eastAsia="宋体" w:cs="Times New Roman"/>
                <w:color w:val="auto"/>
                <w:spacing w:val="-1"/>
              </w:rPr>
              <w:t>202</w:t>
            </w:r>
            <w:r>
              <w:rPr>
                <w:rFonts w:ascii="宋体" w:hAnsi="宋体" w:eastAsia="宋体" w:cs="Times New Roman"/>
                <w:color w:val="auto"/>
                <w:spacing w:val="-1"/>
              </w:rPr>
              <w:t>5</w:t>
            </w:r>
            <w:r>
              <w:rPr>
                <w:rFonts w:hint="eastAsia" w:ascii="宋体" w:hAnsi="宋体" w:eastAsia="宋体" w:cs="Times New Roman"/>
                <w:color w:val="auto"/>
                <w:spacing w:val="-1"/>
              </w:rPr>
              <w:t>/</w:t>
            </w:r>
            <w:r>
              <w:rPr>
                <w:rFonts w:ascii="宋体" w:hAnsi="宋体" w:eastAsia="宋体" w:cs="Times New Roman"/>
                <w:color w:val="auto"/>
                <w:spacing w:val="-1"/>
              </w:rPr>
              <w:t>10</w:t>
            </w:r>
            <w:r>
              <w:rPr>
                <w:rFonts w:hint="eastAsia" w:ascii="宋体" w:hAnsi="宋体" w:eastAsia="宋体" w:cs="Times New Roman"/>
                <w:color w:val="auto"/>
                <w:spacing w:val="-1"/>
              </w:rPr>
              <w:t>/</w:t>
            </w:r>
            <w:r>
              <w:rPr>
                <w:rFonts w:ascii="宋体" w:hAnsi="宋体" w:eastAsia="宋体" w:cs="Times New Roman"/>
                <w:color w:val="auto"/>
                <w:spacing w:val="-1"/>
              </w:rPr>
              <w:t>10</w:t>
            </w:r>
          </w:p>
        </w:tc>
        <w:tc>
          <w:tcPr>
            <w:tcW w:w="287" w:type="pct"/>
            <w:shd w:val="clear" w:color="auto" w:fill="auto"/>
            <w:vAlign w:val="center"/>
          </w:tcPr>
          <w:p w14:paraId="59003AE1">
            <w:pPr>
              <w:jc w:val="center"/>
              <w:rPr>
                <w:rFonts w:ascii="宋体" w:hAnsi="宋体" w:eastAsia="宋体" w:cs="Times New Roman"/>
                <w:color w:val="auto"/>
              </w:rPr>
            </w:pPr>
            <w:r>
              <w:rPr>
                <w:rFonts w:hint="eastAsia" w:ascii="宋体" w:hAnsi="宋体" w:eastAsia="宋体" w:cs="Times New Roman"/>
                <w:color w:val="auto"/>
                <w:spacing w:val="-3"/>
              </w:rPr>
              <w:t>样方尺寸</w:t>
            </w:r>
          </w:p>
        </w:tc>
        <w:tc>
          <w:tcPr>
            <w:tcW w:w="288" w:type="pct"/>
            <w:shd w:val="clear" w:color="auto" w:fill="auto"/>
            <w:vAlign w:val="center"/>
          </w:tcPr>
          <w:p w14:paraId="78DFA320">
            <w:pPr>
              <w:jc w:val="center"/>
              <w:rPr>
                <w:rFonts w:ascii="宋体" w:hAnsi="宋体" w:eastAsia="宋体" w:cs="Times New Roman"/>
                <w:color w:val="auto"/>
              </w:rPr>
            </w:pPr>
            <w:r>
              <w:rPr>
                <w:rFonts w:hint="eastAsia" w:ascii="宋体" w:hAnsi="宋体" w:eastAsia="宋体" w:cs="Times New Roman"/>
                <w:color w:val="auto"/>
                <w:spacing w:val="-6"/>
              </w:rPr>
              <w:t>1m×</w:t>
            </w:r>
            <w:r>
              <w:rPr>
                <w:rFonts w:hint="eastAsia" w:ascii="宋体" w:hAnsi="宋体" w:eastAsia="宋体" w:cs="Times New Roman"/>
                <w:color w:val="auto"/>
                <w:spacing w:val="2"/>
              </w:rPr>
              <w:t xml:space="preserve"> </w:t>
            </w:r>
            <w:r>
              <w:rPr>
                <w:rFonts w:hint="eastAsia" w:ascii="宋体" w:hAnsi="宋体" w:eastAsia="宋体" w:cs="Times New Roman"/>
                <w:color w:val="auto"/>
                <w:spacing w:val="-8"/>
              </w:rPr>
              <w:t>1m</w:t>
            </w:r>
          </w:p>
        </w:tc>
      </w:tr>
      <w:tr w14:paraId="394EC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32F5C4BC">
            <w:pPr>
              <w:jc w:val="center"/>
              <w:rPr>
                <w:rFonts w:ascii="宋体" w:hAnsi="宋体" w:eastAsia="宋体" w:cs="Times New Roman"/>
                <w:color w:val="auto"/>
              </w:rPr>
            </w:pPr>
            <w:r>
              <w:rPr>
                <w:rFonts w:hint="eastAsia" w:ascii="宋体" w:hAnsi="宋体" w:eastAsia="宋体" w:cs="Times New Roman"/>
                <w:color w:val="auto"/>
                <w:spacing w:val="-2"/>
              </w:rPr>
              <w:t>经度</w:t>
            </w:r>
          </w:p>
        </w:tc>
        <w:tc>
          <w:tcPr>
            <w:tcW w:w="769" w:type="pct"/>
            <w:shd w:val="clear" w:color="auto" w:fill="auto"/>
            <w:vAlign w:val="center"/>
          </w:tcPr>
          <w:p w14:paraId="19892C47">
            <w:pPr>
              <w:jc w:val="center"/>
              <w:rPr>
                <w:rFonts w:ascii="宋体" w:hAnsi="宋体" w:eastAsia="宋体" w:cs="Times New Roman"/>
                <w:color w:val="auto"/>
              </w:rPr>
            </w:pPr>
            <w:r>
              <w:rPr>
                <w:rFonts w:ascii="宋体" w:hAnsi="宋体" w:eastAsia="宋体" w:cs="Times New Roman"/>
                <w:color w:val="auto"/>
              </w:rPr>
              <w:t>125.16400936</w:t>
            </w:r>
          </w:p>
        </w:tc>
        <w:tc>
          <w:tcPr>
            <w:tcW w:w="625" w:type="pct"/>
            <w:shd w:val="clear" w:color="auto" w:fill="auto"/>
            <w:vAlign w:val="center"/>
          </w:tcPr>
          <w:p w14:paraId="3E745A50">
            <w:pPr>
              <w:jc w:val="center"/>
              <w:rPr>
                <w:rFonts w:ascii="宋体" w:hAnsi="宋体" w:eastAsia="宋体" w:cs="Times New Roman"/>
                <w:color w:val="auto"/>
              </w:rPr>
            </w:pPr>
            <w:r>
              <w:rPr>
                <w:rFonts w:hint="eastAsia" w:ascii="宋体" w:hAnsi="宋体" w:eastAsia="宋体" w:cs="Times New Roman"/>
                <w:color w:val="auto"/>
                <w:spacing w:val="-2"/>
              </w:rPr>
              <w:t>纬度</w:t>
            </w:r>
          </w:p>
        </w:tc>
        <w:tc>
          <w:tcPr>
            <w:tcW w:w="1669" w:type="pct"/>
            <w:shd w:val="clear" w:color="auto" w:fill="auto"/>
            <w:vAlign w:val="center"/>
          </w:tcPr>
          <w:p w14:paraId="10B98396">
            <w:pPr>
              <w:jc w:val="center"/>
              <w:rPr>
                <w:rFonts w:ascii="宋体" w:hAnsi="宋体" w:eastAsia="宋体" w:cs="Times New Roman"/>
                <w:color w:val="auto"/>
              </w:rPr>
            </w:pPr>
            <w:r>
              <w:rPr>
                <w:rFonts w:ascii="宋体" w:hAnsi="宋体" w:eastAsia="宋体" w:cs="Times New Roman"/>
                <w:color w:val="auto"/>
              </w:rPr>
              <w:t>45.57334363</w:t>
            </w:r>
          </w:p>
        </w:tc>
        <w:tc>
          <w:tcPr>
            <w:tcW w:w="354" w:type="pct"/>
            <w:shd w:val="clear" w:color="auto" w:fill="auto"/>
            <w:vAlign w:val="center"/>
          </w:tcPr>
          <w:p w14:paraId="37F9C0C6">
            <w:pPr>
              <w:jc w:val="center"/>
              <w:rPr>
                <w:rFonts w:ascii="宋体" w:hAnsi="宋体" w:eastAsia="宋体" w:cs="Times New Roman"/>
                <w:color w:val="auto"/>
              </w:rPr>
            </w:pPr>
            <w:r>
              <w:rPr>
                <w:rFonts w:hint="eastAsia" w:ascii="宋体" w:hAnsi="宋体" w:eastAsia="宋体" w:cs="Times New Roman"/>
                <w:color w:val="auto"/>
                <w:spacing w:val="-3"/>
              </w:rPr>
              <w:t>海拔</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762" w:type="pct"/>
            <w:shd w:val="clear" w:color="auto" w:fill="auto"/>
            <w:vAlign w:val="center"/>
          </w:tcPr>
          <w:p w14:paraId="03653703">
            <w:pPr>
              <w:jc w:val="center"/>
              <w:rPr>
                <w:rFonts w:ascii="宋体" w:hAnsi="宋体" w:eastAsia="宋体" w:cs="Times New Roman"/>
                <w:color w:val="auto"/>
              </w:rPr>
            </w:pPr>
            <w:r>
              <w:rPr>
                <w:rFonts w:ascii="宋体" w:hAnsi="宋体" w:eastAsia="宋体" w:cs="Times New Roman"/>
                <w:color w:val="auto"/>
                <w:spacing w:val="-2"/>
              </w:rPr>
              <w:t>126</w:t>
            </w:r>
          </w:p>
        </w:tc>
        <w:tc>
          <w:tcPr>
            <w:tcW w:w="287" w:type="pct"/>
            <w:shd w:val="clear" w:color="auto" w:fill="auto"/>
            <w:vAlign w:val="center"/>
          </w:tcPr>
          <w:p w14:paraId="5CFC21B7">
            <w:pPr>
              <w:jc w:val="center"/>
              <w:rPr>
                <w:rFonts w:ascii="宋体" w:hAnsi="宋体" w:eastAsia="宋体" w:cs="Times New Roman"/>
                <w:color w:val="auto"/>
              </w:rPr>
            </w:pPr>
            <w:r>
              <w:rPr>
                <w:rFonts w:hint="eastAsia" w:ascii="宋体" w:hAnsi="宋体" w:eastAsia="宋体" w:cs="Times New Roman"/>
                <w:color w:val="auto"/>
                <w:spacing w:val="-2"/>
              </w:rPr>
              <w:t>坡度</w:t>
            </w:r>
          </w:p>
        </w:tc>
        <w:tc>
          <w:tcPr>
            <w:tcW w:w="288" w:type="pct"/>
            <w:shd w:val="clear" w:color="auto" w:fill="auto"/>
            <w:vAlign w:val="center"/>
          </w:tcPr>
          <w:p w14:paraId="4FA64917">
            <w:pPr>
              <w:jc w:val="center"/>
              <w:rPr>
                <w:rFonts w:ascii="宋体" w:hAnsi="宋体" w:eastAsia="宋体" w:cs="Times New Roman"/>
                <w:color w:val="auto"/>
              </w:rPr>
            </w:pPr>
            <w:r>
              <w:rPr>
                <w:rFonts w:hint="eastAsia" w:ascii="宋体" w:hAnsi="宋体" w:eastAsia="宋体" w:cs="Times New Roman"/>
                <w:color w:val="auto"/>
              </w:rPr>
              <w:t>0</w:t>
            </w:r>
          </w:p>
        </w:tc>
      </w:tr>
      <w:tr w14:paraId="609A0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1E6ECBD7">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rPr>
              <w:t xml:space="preserve"> </w:t>
            </w:r>
            <w:r>
              <w:rPr>
                <w:rFonts w:hint="eastAsia" w:ascii="宋体" w:hAnsi="宋体" w:eastAsia="宋体" w:cs="Times New Roman"/>
                <w:color w:val="auto"/>
                <w:spacing w:val="-5"/>
              </w:rPr>
              <w:t>名称</w:t>
            </w:r>
          </w:p>
        </w:tc>
        <w:tc>
          <w:tcPr>
            <w:tcW w:w="3063" w:type="pct"/>
            <w:gridSpan w:val="3"/>
            <w:shd w:val="clear" w:color="auto" w:fill="auto"/>
            <w:vAlign w:val="center"/>
          </w:tcPr>
          <w:p w14:paraId="1B8EBBD1">
            <w:pPr>
              <w:jc w:val="center"/>
              <w:rPr>
                <w:rFonts w:ascii="宋体" w:hAnsi="宋体" w:eastAsia="宋体" w:cs="Times New Roman"/>
                <w:color w:val="auto"/>
              </w:rPr>
            </w:pPr>
            <w:r>
              <w:rPr>
                <w:rFonts w:hint="eastAsia" w:ascii="宋体" w:hAnsi="宋体" w:eastAsia="宋体" w:cs="Times New Roman"/>
                <w:color w:val="auto"/>
                <w:spacing w:val="-2"/>
              </w:rPr>
              <w:t>芦苇草甸</w:t>
            </w:r>
          </w:p>
        </w:tc>
        <w:tc>
          <w:tcPr>
            <w:tcW w:w="354" w:type="pct"/>
            <w:shd w:val="clear" w:color="auto" w:fill="auto"/>
            <w:vAlign w:val="center"/>
          </w:tcPr>
          <w:p w14:paraId="4DC80A0E">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spacing w:val="-4"/>
              </w:rPr>
              <w:t>拉丁学名</w:t>
            </w:r>
          </w:p>
        </w:tc>
        <w:tc>
          <w:tcPr>
            <w:tcW w:w="1337" w:type="pct"/>
            <w:gridSpan w:val="3"/>
            <w:shd w:val="clear" w:color="auto" w:fill="auto"/>
            <w:vAlign w:val="center"/>
          </w:tcPr>
          <w:p w14:paraId="0E369FB8">
            <w:pPr>
              <w:jc w:val="center"/>
              <w:rPr>
                <w:rFonts w:ascii="宋体" w:hAnsi="宋体" w:eastAsia="宋体" w:cs="Times New Roman"/>
                <w:color w:val="auto"/>
                <w:szCs w:val="22"/>
              </w:rPr>
            </w:pPr>
            <w:r>
              <w:rPr>
                <w:rFonts w:hint="eastAsia" w:ascii="宋体" w:hAnsi="宋体" w:eastAsia="宋体" w:cs="Times New Roman"/>
                <w:i/>
                <w:iCs/>
                <w:color w:val="auto"/>
                <w:szCs w:val="22"/>
              </w:rPr>
              <w:t>Form</w:t>
            </w:r>
            <w:r>
              <w:rPr>
                <w:rFonts w:hint="eastAsia" w:ascii="宋体" w:hAnsi="宋体" w:eastAsia="宋体" w:cs="Times New Roman"/>
                <w:i/>
                <w:iCs/>
                <w:color w:val="auto"/>
                <w:spacing w:val="17"/>
                <w:szCs w:val="22"/>
              </w:rPr>
              <w:t>.</w:t>
            </w:r>
            <w:r>
              <w:rPr>
                <w:rFonts w:hint="eastAsia" w:ascii="宋体" w:hAnsi="宋体" w:eastAsia="宋体" w:cs="Times New Roman"/>
                <w:i/>
                <w:iCs/>
                <w:color w:val="auto"/>
                <w:szCs w:val="22"/>
              </w:rPr>
              <w:t>Phragmitesaustralis</w:t>
            </w:r>
          </w:p>
        </w:tc>
      </w:tr>
      <w:tr w14:paraId="2D63A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10110437">
            <w:pPr>
              <w:jc w:val="center"/>
              <w:rPr>
                <w:rFonts w:ascii="宋体" w:hAnsi="宋体" w:eastAsia="宋体" w:cs="Times New Roman"/>
                <w:color w:val="auto"/>
              </w:rPr>
            </w:pPr>
            <w:r>
              <w:rPr>
                <w:rFonts w:hint="eastAsia" w:ascii="宋体" w:hAnsi="宋体" w:eastAsia="宋体" w:cs="Times New Roman"/>
                <w:color w:val="auto"/>
                <w:spacing w:val="-2"/>
              </w:rPr>
              <w:t>层次</w:t>
            </w:r>
          </w:p>
        </w:tc>
        <w:tc>
          <w:tcPr>
            <w:tcW w:w="769" w:type="pct"/>
            <w:shd w:val="clear" w:color="auto" w:fill="auto"/>
            <w:vAlign w:val="center"/>
          </w:tcPr>
          <w:p w14:paraId="77DB696D">
            <w:pPr>
              <w:jc w:val="center"/>
              <w:rPr>
                <w:rFonts w:ascii="宋体" w:hAnsi="宋体" w:eastAsia="宋体" w:cs="Times New Roman"/>
                <w:color w:val="auto"/>
              </w:rPr>
            </w:pPr>
            <w:r>
              <w:rPr>
                <w:rFonts w:hint="eastAsia" w:ascii="宋体" w:hAnsi="宋体" w:eastAsia="宋体" w:cs="Times New Roman"/>
                <w:color w:val="auto"/>
                <w:spacing w:val="-2"/>
              </w:rPr>
              <w:t>类别</w:t>
            </w:r>
          </w:p>
        </w:tc>
        <w:tc>
          <w:tcPr>
            <w:tcW w:w="625" w:type="pct"/>
            <w:shd w:val="clear" w:color="auto" w:fill="auto"/>
            <w:vAlign w:val="center"/>
          </w:tcPr>
          <w:p w14:paraId="37686453">
            <w:pPr>
              <w:jc w:val="center"/>
              <w:rPr>
                <w:rFonts w:ascii="宋体" w:hAnsi="宋体" w:eastAsia="宋体" w:cs="Times New Roman"/>
                <w:color w:val="auto"/>
              </w:rPr>
            </w:pPr>
            <w:r>
              <w:rPr>
                <w:rFonts w:hint="eastAsia" w:ascii="宋体" w:hAnsi="宋体" w:eastAsia="宋体" w:cs="Times New Roman"/>
                <w:color w:val="auto"/>
                <w:spacing w:val="-3"/>
              </w:rPr>
              <w:t>名称</w:t>
            </w:r>
          </w:p>
        </w:tc>
        <w:tc>
          <w:tcPr>
            <w:tcW w:w="1669" w:type="pct"/>
            <w:shd w:val="clear" w:color="auto" w:fill="auto"/>
            <w:vAlign w:val="center"/>
          </w:tcPr>
          <w:p w14:paraId="3ADD8305">
            <w:pPr>
              <w:jc w:val="center"/>
              <w:rPr>
                <w:rFonts w:ascii="宋体" w:hAnsi="宋体" w:eastAsia="宋体" w:cs="Times New Roman"/>
                <w:color w:val="auto"/>
              </w:rPr>
            </w:pPr>
            <w:r>
              <w:rPr>
                <w:rFonts w:hint="eastAsia" w:ascii="宋体" w:hAnsi="宋体" w:eastAsia="宋体" w:cs="Times New Roman"/>
                <w:color w:val="auto"/>
                <w:spacing w:val="-2"/>
              </w:rPr>
              <w:t>拉丁学名</w:t>
            </w:r>
          </w:p>
        </w:tc>
        <w:tc>
          <w:tcPr>
            <w:tcW w:w="354" w:type="pct"/>
            <w:shd w:val="clear" w:color="auto" w:fill="auto"/>
            <w:vAlign w:val="center"/>
          </w:tcPr>
          <w:p w14:paraId="5EF81980">
            <w:pPr>
              <w:jc w:val="center"/>
              <w:rPr>
                <w:rFonts w:ascii="宋体" w:hAnsi="宋体" w:eastAsia="宋体" w:cs="Times New Roman"/>
                <w:color w:val="auto"/>
              </w:rPr>
            </w:pPr>
            <w:r>
              <w:rPr>
                <w:rFonts w:hint="eastAsia" w:ascii="宋体" w:hAnsi="宋体" w:eastAsia="宋体" w:cs="Times New Roman"/>
                <w:color w:val="auto"/>
                <w:spacing w:val="-8"/>
              </w:rPr>
              <w:t>株</w:t>
            </w:r>
            <w:r>
              <w:rPr>
                <w:rFonts w:hint="eastAsia" w:ascii="宋体" w:hAnsi="宋体" w:eastAsia="宋体" w:cs="Times New Roman"/>
                <w:color w:val="auto"/>
              </w:rPr>
              <w:t xml:space="preserve">  </w:t>
            </w:r>
            <w:r>
              <w:rPr>
                <w:rFonts w:hint="eastAsia" w:ascii="宋体" w:hAnsi="宋体" w:eastAsia="宋体" w:cs="Times New Roman"/>
                <w:color w:val="auto"/>
                <w:spacing w:val="-9"/>
              </w:rPr>
              <w:t>（丛</w:t>
            </w:r>
            <w:r>
              <w:rPr>
                <w:rFonts w:hint="eastAsia" w:ascii="宋体" w:hAnsi="宋体" w:eastAsia="宋体" w:cs="Times New Roman"/>
                <w:color w:val="auto"/>
              </w:rPr>
              <w:t xml:space="preserve"> </w:t>
            </w:r>
            <w:r>
              <w:rPr>
                <w:rFonts w:hint="eastAsia" w:ascii="宋体" w:hAnsi="宋体" w:eastAsia="宋体" w:cs="Times New Roman"/>
                <w:color w:val="auto"/>
                <w:spacing w:val="-12"/>
              </w:rPr>
              <w:t>数）</w:t>
            </w:r>
          </w:p>
        </w:tc>
        <w:tc>
          <w:tcPr>
            <w:tcW w:w="762" w:type="pct"/>
            <w:shd w:val="clear" w:color="auto" w:fill="auto"/>
            <w:vAlign w:val="center"/>
          </w:tcPr>
          <w:p w14:paraId="6EF736AA">
            <w:pPr>
              <w:jc w:val="center"/>
              <w:rPr>
                <w:rFonts w:ascii="宋体" w:hAnsi="宋体" w:eastAsia="宋体" w:cs="Times New Roman"/>
                <w:color w:val="auto"/>
              </w:rPr>
            </w:pPr>
            <w:r>
              <w:rPr>
                <w:rFonts w:hint="eastAsia" w:ascii="宋体" w:hAnsi="宋体" w:eastAsia="宋体" w:cs="Times New Roman"/>
                <w:color w:val="auto"/>
                <w:spacing w:val="-4"/>
              </w:rPr>
              <w:t>多度</w:t>
            </w:r>
          </w:p>
        </w:tc>
        <w:tc>
          <w:tcPr>
            <w:tcW w:w="287" w:type="pct"/>
            <w:shd w:val="clear" w:color="auto" w:fill="auto"/>
            <w:vAlign w:val="center"/>
          </w:tcPr>
          <w:p w14:paraId="1CF8F891">
            <w:pPr>
              <w:jc w:val="center"/>
              <w:rPr>
                <w:rFonts w:ascii="宋体" w:hAnsi="宋体" w:eastAsia="宋体" w:cs="Times New Roman"/>
                <w:color w:val="auto"/>
              </w:rPr>
            </w:pPr>
            <w:r>
              <w:rPr>
                <w:rFonts w:hint="eastAsia" w:ascii="宋体" w:hAnsi="宋体" w:eastAsia="宋体" w:cs="Times New Roman"/>
                <w:color w:val="auto"/>
                <w:spacing w:val="-6"/>
              </w:rPr>
              <w:t>高度</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288" w:type="pct"/>
            <w:shd w:val="clear" w:color="auto" w:fill="auto"/>
            <w:vAlign w:val="center"/>
          </w:tcPr>
          <w:p w14:paraId="1664A03B">
            <w:pPr>
              <w:jc w:val="center"/>
              <w:rPr>
                <w:rFonts w:ascii="宋体" w:hAnsi="宋体" w:eastAsia="宋体" w:cs="Times New Roman"/>
                <w:color w:val="auto"/>
              </w:rPr>
            </w:pPr>
            <w:r>
              <w:rPr>
                <w:rFonts w:hint="eastAsia" w:ascii="宋体" w:hAnsi="宋体" w:eastAsia="宋体" w:cs="Times New Roman"/>
                <w:color w:val="auto"/>
                <w:spacing w:val="-4"/>
              </w:rPr>
              <w:t>盖度</w:t>
            </w:r>
            <w:r>
              <w:rPr>
                <w:rFonts w:hint="eastAsia" w:ascii="宋体" w:hAnsi="宋体" w:eastAsia="宋体" w:cs="Times New Roman"/>
                <w:color w:val="auto"/>
              </w:rPr>
              <w:t xml:space="preserve"> </w:t>
            </w:r>
            <w:r>
              <w:rPr>
                <w:rFonts w:hint="eastAsia" w:ascii="宋体" w:hAnsi="宋体" w:eastAsia="宋体" w:cs="Times New Roman"/>
                <w:color w:val="auto"/>
                <w:spacing w:val="-9"/>
              </w:rPr>
              <w:t>（%）</w:t>
            </w:r>
          </w:p>
        </w:tc>
      </w:tr>
      <w:tr w14:paraId="4C76A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639D9E72">
            <w:pPr>
              <w:jc w:val="center"/>
              <w:rPr>
                <w:rFonts w:ascii="宋体" w:hAnsi="宋体" w:eastAsia="宋体" w:cs="Times New Roman"/>
                <w:color w:val="auto"/>
              </w:rPr>
            </w:pPr>
            <w:r>
              <w:rPr>
                <w:rFonts w:hint="eastAsia" w:ascii="宋体" w:hAnsi="宋体" w:eastAsia="宋体" w:cs="Times New Roman"/>
                <w:color w:val="auto"/>
                <w:spacing w:val="-4"/>
              </w:rPr>
              <w:t>乔木</w:t>
            </w:r>
            <w:r>
              <w:rPr>
                <w:rFonts w:hint="eastAsia" w:ascii="宋体" w:hAnsi="宋体" w:eastAsia="宋体" w:cs="Times New Roman"/>
                <w:color w:val="auto"/>
              </w:rPr>
              <w:t xml:space="preserve"> 层</w:t>
            </w:r>
          </w:p>
        </w:tc>
        <w:tc>
          <w:tcPr>
            <w:tcW w:w="769" w:type="pct"/>
            <w:shd w:val="clear" w:color="auto" w:fill="auto"/>
            <w:vAlign w:val="center"/>
          </w:tcPr>
          <w:p w14:paraId="30D458ED">
            <w:pPr>
              <w:jc w:val="center"/>
              <w:rPr>
                <w:rFonts w:ascii="宋体" w:hAnsi="宋体" w:eastAsia="宋体" w:cs="Times New Roman"/>
                <w:color w:val="auto"/>
              </w:rPr>
            </w:pPr>
            <w:r>
              <w:rPr>
                <w:rFonts w:hint="eastAsia" w:ascii="宋体" w:hAnsi="宋体" w:eastAsia="宋体" w:cs="Times New Roman"/>
                <w:color w:val="auto"/>
                <w:spacing w:val="-2"/>
              </w:rPr>
              <w:t>建群种</w:t>
            </w:r>
          </w:p>
        </w:tc>
        <w:tc>
          <w:tcPr>
            <w:tcW w:w="625" w:type="pct"/>
            <w:shd w:val="clear" w:color="auto" w:fill="auto"/>
            <w:vAlign w:val="center"/>
          </w:tcPr>
          <w:p w14:paraId="5D6449F2">
            <w:pPr>
              <w:jc w:val="center"/>
              <w:rPr>
                <w:rFonts w:ascii="宋体" w:hAnsi="宋体" w:eastAsia="宋体" w:cs="Times New Roman"/>
                <w:color w:val="auto"/>
              </w:rPr>
            </w:pPr>
            <w:r>
              <w:rPr>
                <w:rFonts w:hint="eastAsia" w:ascii="宋体" w:hAnsi="宋体" w:eastAsia="宋体" w:cs="Times New Roman"/>
                <w:color w:val="auto"/>
                <w:spacing w:val="-2"/>
              </w:rPr>
              <w:t>芦苇</w:t>
            </w:r>
          </w:p>
        </w:tc>
        <w:tc>
          <w:tcPr>
            <w:tcW w:w="1669" w:type="pct"/>
            <w:shd w:val="clear" w:color="auto" w:fill="auto"/>
            <w:vAlign w:val="center"/>
          </w:tcPr>
          <w:p w14:paraId="6B75BE8D">
            <w:pPr>
              <w:jc w:val="center"/>
              <w:rPr>
                <w:rFonts w:ascii="宋体" w:hAnsi="宋体" w:eastAsia="宋体" w:cs="Times New Roman"/>
                <w:color w:val="auto"/>
                <w:szCs w:val="22"/>
              </w:rPr>
            </w:pPr>
            <w:r>
              <w:rPr>
                <w:rFonts w:hint="eastAsia" w:ascii="宋体" w:hAnsi="宋体" w:eastAsia="宋体" w:cs="Times New Roman"/>
                <w:i/>
                <w:iCs/>
                <w:color w:val="auto"/>
                <w:spacing w:val="1"/>
                <w:szCs w:val="22"/>
              </w:rPr>
              <w:t>Phragmites</w:t>
            </w:r>
            <w:r>
              <w:rPr>
                <w:rFonts w:hint="eastAsia" w:ascii="宋体" w:hAnsi="宋体" w:eastAsia="宋体" w:cs="Times New Roman"/>
                <w:i/>
                <w:iCs/>
                <w:color w:val="auto"/>
                <w:spacing w:val="2"/>
                <w:szCs w:val="22"/>
              </w:rPr>
              <w:t>australis</w:t>
            </w:r>
            <w:r>
              <w:rPr>
                <w:rFonts w:hint="eastAsia" w:ascii="宋体" w:hAnsi="宋体" w:eastAsia="宋体" w:cs="Times New Roman"/>
                <w:i/>
                <w:iCs/>
                <w:color w:val="auto"/>
                <w:spacing w:val="8"/>
                <w:szCs w:val="22"/>
              </w:rPr>
              <w:t>(</w:t>
            </w:r>
            <w:r>
              <w:rPr>
                <w:rFonts w:hint="eastAsia" w:ascii="宋体" w:hAnsi="宋体" w:eastAsia="宋体" w:cs="Times New Roman"/>
                <w:i/>
                <w:iCs/>
                <w:color w:val="auto"/>
                <w:szCs w:val="22"/>
              </w:rPr>
              <w:t>Cav</w:t>
            </w:r>
            <w:r>
              <w:rPr>
                <w:rFonts w:hint="eastAsia" w:ascii="宋体" w:hAnsi="宋体" w:eastAsia="宋体" w:cs="Times New Roman"/>
                <w:i/>
                <w:iCs/>
                <w:color w:val="auto"/>
                <w:spacing w:val="8"/>
                <w:szCs w:val="22"/>
              </w:rPr>
              <w:t>.)</w:t>
            </w:r>
            <w:r>
              <w:rPr>
                <w:rFonts w:hint="eastAsia" w:ascii="宋体" w:hAnsi="宋体" w:eastAsia="宋体" w:cs="Times New Roman"/>
                <w:i/>
                <w:iCs/>
                <w:color w:val="auto"/>
                <w:szCs w:val="22"/>
              </w:rPr>
              <w:t>Trin</w:t>
            </w:r>
            <w:r>
              <w:rPr>
                <w:rFonts w:hint="eastAsia" w:ascii="宋体" w:hAnsi="宋体" w:eastAsia="宋体" w:cs="Times New Roman"/>
                <w:i/>
                <w:iCs/>
                <w:color w:val="auto"/>
                <w:spacing w:val="8"/>
                <w:szCs w:val="22"/>
              </w:rPr>
              <w:t>.</w:t>
            </w:r>
            <w:r>
              <w:rPr>
                <w:rFonts w:hint="eastAsia" w:ascii="宋体" w:hAnsi="宋体" w:eastAsia="宋体" w:cs="Times New Roman"/>
                <w:i/>
                <w:iCs/>
                <w:color w:val="auto"/>
                <w:spacing w:val="12"/>
                <w:szCs w:val="22"/>
              </w:rPr>
              <w:t>exSteud</w:t>
            </w:r>
          </w:p>
        </w:tc>
        <w:tc>
          <w:tcPr>
            <w:tcW w:w="354" w:type="pct"/>
            <w:shd w:val="clear" w:color="auto" w:fill="auto"/>
            <w:vAlign w:val="center"/>
          </w:tcPr>
          <w:p w14:paraId="1F1C07CF">
            <w:pPr>
              <w:jc w:val="center"/>
              <w:rPr>
                <w:rFonts w:ascii="宋体" w:hAnsi="宋体" w:eastAsia="宋体" w:cs="Times New Roman"/>
                <w:color w:val="auto"/>
              </w:rPr>
            </w:pPr>
            <w:r>
              <w:rPr>
                <w:rFonts w:ascii="宋体" w:hAnsi="宋体" w:eastAsia="宋体" w:cs="Times New Roman"/>
                <w:color w:val="auto"/>
              </w:rPr>
              <w:t>21</w:t>
            </w:r>
          </w:p>
        </w:tc>
        <w:tc>
          <w:tcPr>
            <w:tcW w:w="762" w:type="pct"/>
            <w:shd w:val="clear" w:color="auto" w:fill="auto"/>
            <w:vAlign w:val="center"/>
          </w:tcPr>
          <w:p w14:paraId="116448EC">
            <w:pPr>
              <w:jc w:val="center"/>
              <w:rPr>
                <w:rFonts w:ascii="宋体" w:hAnsi="宋体" w:eastAsia="宋体" w:cs="Times New Roman"/>
                <w:color w:val="auto"/>
              </w:rPr>
            </w:pPr>
            <w:r>
              <w:rPr>
                <w:rFonts w:ascii="宋体" w:hAnsi="宋体" w:eastAsia="宋体" w:cs="Times New Roman"/>
                <w:color w:val="auto"/>
                <w:szCs w:val="22"/>
                <w:lang w:bidi="zh-CN"/>
              </w:rPr>
              <w:t>Cop1.</w:t>
            </w:r>
          </w:p>
        </w:tc>
        <w:tc>
          <w:tcPr>
            <w:tcW w:w="287" w:type="pct"/>
            <w:shd w:val="clear" w:color="auto" w:fill="auto"/>
            <w:vAlign w:val="center"/>
          </w:tcPr>
          <w:p w14:paraId="4F4E4C77">
            <w:pPr>
              <w:jc w:val="center"/>
              <w:rPr>
                <w:rFonts w:ascii="宋体" w:hAnsi="宋体" w:eastAsia="宋体" w:cs="Times New Roman"/>
                <w:color w:val="auto"/>
              </w:rPr>
            </w:pPr>
            <w:r>
              <w:rPr>
                <w:rFonts w:ascii="宋体" w:hAnsi="宋体" w:eastAsia="宋体" w:cs="Times New Roman"/>
                <w:color w:val="auto"/>
                <w:spacing w:val="-2"/>
              </w:rPr>
              <w:t>2.2</w:t>
            </w:r>
          </w:p>
        </w:tc>
        <w:tc>
          <w:tcPr>
            <w:tcW w:w="288" w:type="pct"/>
            <w:shd w:val="clear" w:color="auto" w:fill="auto"/>
            <w:vAlign w:val="center"/>
          </w:tcPr>
          <w:p w14:paraId="09D85D0E">
            <w:pPr>
              <w:jc w:val="center"/>
              <w:rPr>
                <w:rFonts w:ascii="宋体" w:hAnsi="宋体" w:eastAsia="宋体" w:cs="Times New Roman"/>
                <w:color w:val="auto"/>
              </w:rPr>
            </w:pPr>
            <w:r>
              <w:rPr>
                <w:rFonts w:ascii="宋体" w:hAnsi="宋体" w:eastAsia="宋体" w:cs="Times New Roman"/>
                <w:color w:val="auto"/>
                <w:spacing w:val="-3"/>
              </w:rPr>
              <w:t>7</w:t>
            </w:r>
            <w:r>
              <w:rPr>
                <w:rFonts w:hint="eastAsia" w:ascii="宋体" w:hAnsi="宋体" w:eastAsia="宋体" w:cs="Times New Roman"/>
                <w:color w:val="auto"/>
                <w:spacing w:val="-3"/>
              </w:rPr>
              <w:t>0</w:t>
            </w:r>
          </w:p>
        </w:tc>
      </w:tr>
      <w:tr w14:paraId="516DF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7E850DC3">
            <w:pPr>
              <w:adjustRightInd w:val="0"/>
              <w:snapToGrid w:val="0"/>
              <w:jc w:val="center"/>
              <w:rPr>
                <w:rFonts w:ascii="宋体" w:hAnsi="宋体" w:eastAsia="宋体" w:cs="Arial"/>
                <w:color w:val="auto"/>
              </w:rPr>
            </w:pPr>
            <w:r>
              <w:rPr>
                <w:rStyle w:val="116"/>
                <w:rFonts w:ascii="宋体" w:hAnsi="宋体" w:eastAsia="宋体" w:cs="Times New Roman"/>
                <w:color w:val="auto"/>
              </w:rPr>
              <w:t xml:space="preserve"> </w:t>
            </w:r>
            <w:r>
              <w:rPr>
                <w:rStyle w:val="116"/>
                <w:rFonts w:ascii="宋体" w:hAnsi="宋体" w:eastAsia="宋体" w:cs="Times New Roman"/>
                <w:color w:val="auto"/>
              </w:rPr>
              <w:drawing>
                <wp:inline distT="0" distB="0" distL="0" distR="0">
                  <wp:extent cx="3260090" cy="2445385"/>
                  <wp:effectExtent l="0" t="0" r="16510" b="12065"/>
                  <wp:docPr id="130447755" name="图片 130447755" descr="D:\Users\DELL\Documents\WeChat Files\wxid_0rf4mizuauk621\FileStorage\Temp\62119aa6e0d7854eada097414333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55" name="图片 130447755" descr="D:\Users\DELL\Documents\WeChat Files\wxid_0rf4mizuauk621\FileStorage\Temp\62119aa6e0d7854eada097414333c58.jpg"/>
                          <pic:cNvPicPr>
                            <a:picLocks noChangeAspect="1" noChangeArrowheads="1"/>
                          </pic:cNvPicPr>
                        </pic:nvPicPr>
                        <pic:blipFill>
                          <a:blip r:embed="rId74"/>
                          <a:srcRect/>
                          <a:stretch>
                            <a:fillRect/>
                          </a:stretch>
                        </pic:blipFill>
                        <pic:spPr>
                          <a:xfrm>
                            <a:off x="0" y="0"/>
                            <a:ext cx="3260090" cy="2451736"/>
                          </a:xfrm>
                          <a:prstGeom prst="rect">
                            <a:avLst/>
                          </a:prstGeom>
                          <a:noFill/>
                          <a:ln>
                            <a:noFill/>
                          </a:ln>
                        </pic:spPr>
                      </pic:pic>
                    </a:graphicData>
                  </a:graphic>
                </wp:inline>
              </w:drawing>
            </w:r>
          </w:p>
        </w:tc>
      </w:tr>
    </w:tbl>
    <w:p w14:paraId="0227BEF5">
      <w:pPr>
        <w:spacing w:before="163"/>
        <w:jc w:val="center"/>
        <w:rPr>
          <w:rFonts w:ascii="宋体" w:hAnsi="宋体" w:eastAsia="宋体"/>
          <w:color w:val="auto"/>
          <w:spacing w:val="-11"/>
        </w:rPr>
      </w:pPr>
      <w:r>
        <w:rPr>
          <w:rFonts w:hint="eastAsia" w:ascii="宋体" w:hAnsi="宋体" w:eastAsia="宋体" w:cs="Times New Roman"/>
          <w:color w:val="auto"/>
          <w:sz w:val="24"/>
          <w:szCs w:val="24"/>
        </w:rPr>
        <w:t>表</w:t>
      </w:r>
      <w:r>
        <w:rPr>
          <w:rFonts w:ascii="宋体" w:hAnsi="宋体" w:eastAsia="宋体" w:cs="Times New Roman"/>
          <w:color w:val="auto"/>
          <w:sz w:val="24"/>
          <w:szCs w:val="24"/>
        </w:rPr>
        <w:t xml:space="preserve"> 4.4-8 9</w:t>
      </w:r>
      <w:r>
        <w:rPr>
          <w:rFonts w:hint="eastAsia" w:ascii="宋体" w:hAnsi="宋体" w:eastAsia="宋体" w:cs="Times New Roman"/>
          <w:color w:val="auto"/>
          <w:sz w:val="24"/>
          <w:szCs w:val="24"/>
        </w:rPr>
        <w:t>#点</w:t>
      </w:r>
      <w:r>
        <w:rPr>
          <w:rFonts w:ascii="宋体" w:hAnsi="宋体" w:eastAsia="宋体" w:cs="Times New Roman"/>
          <w:color w:val="auto"/>
          <w:sz w:val="24"/>
          <w:szCs w:val="24"/>
        </w:rPr>
        <w:t>样方调查结果表</w:t>
      </w:r>
    </w:p>
    <w:tbl>
      <w:tblPr>
        <w:tblStyle w:val="17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57"/>
        <w:gridCol w:w="1428"/>
        <w:gridCol w:w="1161"/>
        <w:gridCol w:w="3100"/>
        <w:gridCol w:w="658"/>
        <w:gridCol w:w="1416"/>
        <w:gridCol w:w="533"/>
        <w:gridCol w:w="535"/>
      </w:tblGrid>
      <w:tr w14:paraId="041CB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49D56637">
            <w:pPr>
              <w:jc w:val="center"/>
              <w:rPr>
                <w:rFonts w:ascii="宋体" w:hAnsi="宋体" w:eastAsia="宋体" w:cs="Times New Roman"/>
                <w:color w:val="auto"/>
              </w:rPr>
            </w:pPr>
            <w:r>
              <w:rPr>
                <w:rFonts w:hint="eastAsia" w:ascii="宋体" w:hAnsi="宋体" w:eastAsia="宋体" w:cs="Times New Roman"/>
                <w:color w:val="auto"/>
                <w:spacing w:val="-2"/>
              </w:rPr>
              <w:t>编号</w:t>
            </w:r>
          </w:p>
        </w:tc>
        <w:tc>
          <w:tcPr>
            <w:tcW w:w="769" w:type="pct"/>
            <w:shd w:val="clear" w:color="auto" w:fill="auto"/>
            <w:vAlign w:val="center"/>
          </w:tcPr>
          <w:p w14:paraId="1ABF2214">
            <w:pPr>
              <w:jc w:val="center"/>
              <w:rPr>
                <w:rFonts w:ascii="宋体" w:hAnsi="宋体" w:eastAsia="宋体" w:cs="Times New Roman"/>
                <w:color w:val="auto"/>
              </w:rPr>
            </w:pPr>
            <w:r>
              <w:rPr>
                <w:rFonts w:ascii="宋体" w:hAnsi="宋体" w:eastAsia="宋体" w:cs="Times New Roman"/>
                <w:color w:val="auto"/>
              </w:rPr>
              <w:t>9</w:t>
            </w:r>
          </w:p>
        </w:tc>
        <w:tc>
          <w:tcPr>
            <w:tcW w:w="625" w:type="pct"/>
            <w:shd w:val="clear" w:color="auto" w:fill="auto"/>
            <w:vAlign w:val="center"/>
          </w:tcPr>
          <w:p w14:paraId="318B186E">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rPr>
              <w:t>人</w:t>
            </w:r>
          </w:p>
        </w:tc>
        <w:tc>
          <w:tcPr>
            <w:tcW w:w="1669" w:type="pct"/>
            <w:shd w:val="clear" w:color="auto" w:fill="auto"/>
            <w:vAlign w:val="center"/>
          </w:tcPr>
          <w:p w14:paraId="40351285">
            <w:pPr>
              <w:jc w:val="center"/>
              <w:rPr>
                <w:rFonts w:ascii="宋体" w:hAnsi="宋体" w:eastAsia="宋体" w:cs="Times New Roman"/>
                <w:color w:val="auto"/>
              </w:rPr>
            </w:pPr>
            <w:r>
              <w:rPr>
                <w:rFonts w:hint="eastAsia" w:ascii="宋体" w:hAnsi="宋体" w:eastAsia="宋体" w:cs="Times New Roman"/>
                <w:color w:val="auto"/>
              </w:rPr>
              <w:t>聂海军、袁超</w:t>
            </w:r>
          </w:p>
        </w:tc>
        <w:tc>
          <w:tcPr>
            <w:tcW w:w="354" w:type="pct"/>
            <w:shd w:val="clear" w:color="auto" w:fill="auto"/>
            <w:vAlign w:val="center"/>
          </w:tcPr>
          <w:p w14:paraId="4F145AFF">
            <w:pPr>
              <w:jc w:val="center"/>
              <w:rPr>
                <w:rFonts w:ascii="宋体" w:hAnsi="宋体" w:eastAsia="宋体" w:cs="Times New Roman"/>
                <w:color w:val="auto"/>
              </w:rPr>
            </w:pPr>
            <w:r>
              <w:rPr>
                <w:rFonts w:hint="eastAsia" w:ascii="宋体" w:hAnsi="宋体" w:eastAsia="宋体" w:cs="Times New Roman"/>
                <w:color w:val="auto"/>
                <w:spacing w:val="-4"/>
              </w:rPr>
              <w:t>调查</w:t>
            </w:r>
            <w:r>
              <w:rPr>
                <w:rFonts w:hint="eastAsia" w:ascii="宋体" w:hAnsi="宋体" w:eastAsia="宋体" w:cs="Times New Roman"/>
                <w:color w:val="auto"/>
                <w:spacing w:val="-22"/>
              </w:rPr>
              <w:t>日期</w:t>
            </w:r>
          </w:p>
        </w:tc>
        <w:tc>
          <w:tcPr>
            <w:tcW w:w="762" w:type="pct"/>
            <w:shd w:val="clear" w:color="auto" w:fill="auto"/>
            <w:vAlign w:val="center"/>
          </w:tcPr>
          <w:p w14:paraId="5AF3CAF1">
            <w:pPr>
              <w:jc w:val="center"/>
              <w:rPr>
                <w:rFonts w:ascii="宋体" w:hAnsi="宋体" w:eastAsia="宋体" w:cs="Times New Roman"/>
                <w:color w:val="auto"/>
              </w:rPr>
            </w:pPr>
            <w:r>
              <w:rPr>
                <w:rFonts w:hint="eastAsia" w:ascii="宋体" w:hAnsi="宋体" w:eastAsia="宋体" w:cs="Times New Roman"/>
                <w:color w:val="auto"/>
                <w:spacing w:val="-1"/>
              </w:rPr>
              <w:t>202</w:t>
            </w:r>
            <w:r>
              <w:rPr>
                <w:rFonts w:ascii="宋体" w:hAnsi="宋体" w:eastAsia="宋体" w:cs="Times New Roman"/>
                <w:color w:val="auto"/>
                <w:spacing w:val="-1"/>
              </w:rPr>
              <w:t>5</w:t>
            </w:r>
            <w:r>
              <w:rPr>
                <w:rFonts w:hint="eastAsia" w:ascii="宋体" w:hAnsi="宋体" w:eastAsia="宋体" w:cs="Times New Roman"/>
                <w:color w:val="auto"/>
                <w:spacing w:val="-1"/>
              </w:rPr>
              <w:t>/</w:t>
            </w:r>
            <w:r>
              <w:rPr>
                <w:rFonts w:ascii="宋体" w:hAnsi="宋体" w:eastAsia="宋体" w:cs="Times New Roman"/>
                <w:color w:val="auto"/>
                <w:spacing w:val="-1"/>
              </w:rPr>
              <w:t>10</w:t>
            </w:r>
            <w:r>
              <w:rPr>
                <w:rFonts w:hint="eastAsia" w:ascii="宋体" w:hAnsi="宋体" w:eastAsia="宋体" w:cs="Times New Roman"/>
                <w:color w:val="auto"/>
                <w:spacing w:val="-1"/>
              </w:rPr>
              <w:t>/</w:t>
            </w:r>
            <w:r>
              <w:rPr>
                <w:rFonts w:ascii="宋体" w:hAnsi="宋体" w:eastAsia="宋体" w:cs="Times New Roman"/>
                <w:color w:val="auto"/>
                <w:spacing w:val="-1"/>
              </w:rPr>
              <w:t>10</w:t>
            </w:r>
          </w:p>
        </w:tc>
        <w:tc>
          <w:tcPr>
            <w:tcW w:w="287" w:type="pct"/>
            <w:shd w:val="clear" w:color="auto" w:fill="auto"/>
            <w:vAlign w:val="center"/>
          </w:tcPr>
          <w:p w14:paraId="55BD6561">
            <w:pPr>
              <w:jc w:val="center"/>
              <w:rPr>
                <w:rFonts w:ascii="宋体" w:hAnsi="宋体" w:eastAsia="宋体" w:cs="Times New Roman"/>
                <w:color w:val="auto"/>
              </w:rPr>
            </w:pPr>
            <w:r>
              <w:rPr>
                <w:rFonts w:hint="eastAsia" w:ascii="宋体" w:hAnsi="宋体" w:eastAsia="宋体" w:cs="Times New Roman"/>
                <w:color w:val="auto"/>
                <w:spacing w:val="-3"/>
              </w:rPr>
              <w:t>样方尺寸</w:t>
            </w:r>
          </w:p>
        </w:tc>
        <w:tc>
          <w:tcPr>
            <w:tcW w:w="288" w:type="pct"/>
            <w:shd w:val="clear" w:color="auto" w:fill="auto"/>
            <w:vAlign w:val="center"/>
          </w:tcPr>
          <w:p w14:paraId="5DE70E4E">
            <w:pPr>
              <w:jc w:val="center"/>
              <w:rPr>
                <w:rFonts w:ascii="宋体" w:hAnsi="宋体" w:eastAsia="宋体" w:cs="Times New Roman"/>
                <w:color w:val="auto"/>
              </w:rPr>
            </w:pPr>
            <w:r>
              <w:rPr>
                <w:rFonts w:hint="eastAsia" w:ascii="宋体" w:hAnsi="宋体" w:eastAsia="宋体" w:cs="Times New Roman"/>
                <w:color w:val="auto"/>
                <w:spacing w:val="-6"/>
              </w:rPr>
              <w:t>1m×</w:t>
            </w:r>
            <w:r>
              <w:rPr>
                <w:rFonts w:hint="eastAsia" w:ascii="宋体" w:hAnsi="宋体" w:eastAsia="宋体" w:cs="Times New Roman"/>
                <w:color w:val="auto"/>
                <w:spacing w:val="2"/>
              </w:rPr>
              <w:t xml:space="preserve"> </w:t>
            </w:r>
            <w:r>
              <w:rPr>
                <w:rFonts w:hint="eastAsia" w:ascii="宋体" w:hAnsi="宋体" w:eastAsia="宋体" w:cs="Times New Roman"/>
                <w:color w:val="auto"/>
                <w:spacing w:val="-8"/>
              </w:rPr>
              <w:t>1m</w:t>
            </w:r>
          </w:p>
        </w:tc>
      </w:tr>
      <w:tr w14:paraId="142E2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5DD43AFF">
            <w:pPr>
              <w:jc w:val="center"/>
              <w:rPr>
                <w:rFonts w:ascii="宋体" w:hAnsi="宋体" w:eastAsia="宋体" w:cs="Times New Roman"/>
                <w:color w:val="auto"/>
              </w:rPr>
            </w:pPr>
            <w:r>
              <w:rPr>
                <w:rFonts w:hint="eastAsia" w:ascii="宋体" w:hAnsi="宋体" w:eastAsia="宋体" w:cs="Times New Roman"/>
                <w:color w:val="auto"/>
                <w:spacing w:val="-2"/>
              </w:rPr>
              <w:t>经度</w:t>
            </w:r>
          </w:p>
        </w:tc>
        <w:tc>
          <w:tcPr>
            <w:tcW w:w="769" w:type="pct"/>
            <w:shd w:val="clear" w:color="auto" w:fill="auto"/>
            <w:vAlign w:val="center"/>
          </w:tcPr>
          <w:p w14:paraId="31E82061">
            <w:pPr>
              <w:jc w:val="center"/>
              <w:rPr>
                <w:rFonts w:ascii="宋体" w:hAnsi="宋体" w:eastAsia="宋体" w:cs="Times New Roman"/>
                <w:color w:val="auto"/>
              </w:rPr>
            </w:pPr>
            <w:r>
              <w:rPr>
                <w:rFonts w:ascii="宋体" w:hAnsi="宋体" w:eastAsia="宋体" w:cs="Times New Roman"/>
                <w:color w:val="auto"/>
              </w:rPr>
              <w:t>125.15043755</w:t>
            </w:r>
          </w:p>
        </w:tc>
        <w:tc>
          <w:tcPr>
            <w:tcW w:w="625" w:type="pct"/>
            <w:shd w:val="clear" w:color="auto" w:fill="auto"/>
            <w:vAlign w:val="center"/>
          </w:tcPr>
          <w:p w14:paraId="312EF79D">
            <w:pPr>
              <w:jc w:val="center"/>
              <w:rPr>
                <w:rFonts w:ascii="宋体" w:hAnsi="宋体" w:eastAsia="宋体" w:cs="Times New Roman"/>
                <w:color w:val="auto"/>
              </w:rPr>
            </w:pPr>
            <w:r>
              <w:rPr>
                <w:rFonts w:hint="eastAsia" w:ascii="宋体" w:hAnsi="宋体" w:eastAsia="宋体" w:cs="Times New Roman"/>
                <w:color w:val="auto"/>
                <w:spacing w:val="-2"/>
              </w:rPr>
              <w:t>纬度</w:t>
            </w:r>
          </w:p>
        </w:tc>
        <w:tc>
          <w:tcPr>
            <w:tcW w:w="1669" w:type="pct"/>
            <w:shd w:val="clear" w:color="auto" w:fill="auto"/>
            <w:vAlign w:val="center"/>
          </w:tcPr>
          <w:p w14:paraId="71DE1BB9">
            <w:pPr>
              <w:jc w:val="center"/>
              <w:rPr>
                <w:rFonts w:ascii="宋体" w:hAnsi="宋体" w:eastAsia="宋体" w:cs="Times New Roman"/>
                <w:color w:val="auto"/>
              </w:rPr>
            </w:pPr>
            <w:r>
              <w:rPr>
                <w:rFonts w:ascii="宋体" w:hAnsi="宋体" w:eastAsia="宋体" w:cs="Times New Roman"/>
                <w:color w:val="auto"/>
              </w:rPr>
              <w:t>45.53635815</w:t>
            </w:r>
          </w:p>
        </w:tc>
        <w:tc>
          <w:tcPr>
            <w:tcW w:w="354" w:type="pct"/>
            <w:shd w:val="clear" w:color="auto" w:fill="auto"/>
            <w:vAlign w:val="center"/>
          </w:tcPr>
          <w:p w14:paraId="70DA724E">
            <w:pPr>
              <w:jc w:val="center"/>
              <w:rPr>
                <w:rFonts w:ascii="宋体" w:hAnsi="宋体" w:eastAsia="宋体" w:cs="Times New Roman"/>
                <w:color w:val="auto"/>
              </w:rPr>
            </w:pPr>
            <w:r>
              <w:rPr>
                <w:rFonts w:hint="eastAsia" w:ascii="宋体" w:hAnsi="宋体" w:eastAsia="宋体" w:cs="Times New Roman"/>
                <w:color w:val="auto"/>
                <w:spacing w:val="-3"/>
              </w:rPr>
              <w:t>海拔</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762" w:type="pct"/>
            <w:shd w:val="clear" w:color="auto" w:fill="auto"/>
            <w:vAlign w:val="center"/>
          </w:tcPr>
          <w:p w14:paraId="075FFBF9">
            <w:pPr>
              <w:jc w:val="center"/>
              <w:rPr>
                <w:rFonts w:ascii="宋体" w:hAnsi="宋体" w:eastAsia="宋体" w:cs="Times New Roman"/>
                <w:color w:val="auto"/>
              </w:rPr>
            </w:pPr>
            <w:r>
              <w:rPr>
                <w:rFonts w:ascii="宋体" w:hAnsi="宋体" w:eastAsia="宋体" w:cs="Times New Roman"/>
                <w:color w:val="auto"/>
                <w:spacing w:val="-2"/>
              </w:rPr>
              <w:t>126</w:t>
            </w:r>
          </w:p>
        </w:tc>
        <w:tc>
          <w:tcPr>
            <w:tcW w:w="287" w:type="pct"/>
            <w:shd w:val="clear" w:color="auto" w:fill="auto"/>
            <w:vAlign w:val="center"/>
          </w:tcPr>
          <w:p w14:paraId="085226A6">
            <w:pPr>
              <w:jc w:val="center"/>
              <w:rPr>
                <w:rFonts w:ascii="宋体" w:hAnsi="宋体" w:eastAsia="宋体" w:cs="Times New Roman"/>
                <w:color w:val="auto"/>
              </w:rPr>
            </w:pPr>
            <w:r>
              <w:rPr>
                <w:rFonts w:hint="eastAsia" w:ascii="宋体" w:hAnsi="宋体" w:eastAsia="宋体" w:cs="Times New Roman"/>
                <w:color w:val="auto"/>
                <w:spacing w:val="-2"/>
              </w:rPr>
              <w:t>坡度</w:t>
            </w:r>
          </w:p>
        </w:tc>
        <w:tc>
          <w:tcPr>
            <w:tcW w:w="288" w:type="pct"/>
            <w:shd w:val="clear" w:color="auto" w:fill="auto"/>
            <w:vAlign w:val="center"/>
          </w:tcPr>
          <w:p w14:paraId="52A161B4">
            <w:pPr>
              <w:jc w:val="center"/>
              <w:rPr>
                <w:rFonts w:ascii="宋体" w:hAnsi="宋体" w:eastAsia="宋体" w:cs="Times New Roman"/>
                <w:color w:val="auto"/>
              </w:rPr>
            </w:pPr>
            <w:r>
              <w:rPr>
                <w:rFonts w:hint="eastAsia" w:ascii="宋体" w:hAnsi="宋体" w:eastAsia="宋体" w:cs="Times New Roman"/>
                <w:color w:val="auto"/>
              </w:rPr>
              <w:t>0</w:t>
            </w:r>
          </w:p>
        </w:tc>
      </w:tr>
      <w:tr w14:paraId="0EE11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49AC9104">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rPr>
              <w:t xml:space="preserve"> </w:t>
            </w:r>
            <w:r>
              <w:rPr>
                <w:rFonts w:hint="eastAsia" w:ascii="宋体" w:hAnsi="宋体" w:eastAsia="宋体" w:cs="Times New Roman"/>
                <w:color w:val="auto"/>
                <w:spacing w:val="-5"/>
              </w:rPr>
              <w:t>名称</w:t>
            </w:r>
          </w:p>
        </w:tc>
        <w:tc>
          <w:tcPr>
            <w:tcW w:w="3063" w:type="pct"/>
            <w:gridSpan w:val="3"/>
            <w:shd w:val="clear" w:color="auto" w:fill="auto"/>
            <w:vAlign w:val="center"/>
          </w:tcPr>
          <w:p w14:paraId="7C44144D">
            <w:pPr>
              <w:jc w:val="center"/>
              <w:rPr>
                <w:rFonts w:ascii="宋体" w:hAnsi="宋体" w:eastAsia="宋体" w:cs="Times New Roman"/>
                <w:color w:val="auto"/>
              </w:rPr>
            </w:pPr>
            <w:r>
              <w:rPr>
                <w:rFonts w:hint="eastAsia" w:ascii="宋体" w:hAnsi="宋体" w:eastAsia="宋体" w:cs="Times New Roman"/>
                <w:color w:val="auto"/>
                <w:spacing w:val="-2"/>
              </w:rPr>
              <w:t>芦苇草甸</w:t>
            </w:r>
          </w:p>
        </w:tc>
        <w:tc>
          <w:tcPr>
            <w:tcW w:w="354" w:type="pct"/>
            <w:shd w:val="clear" w:color="auto" w:fill="auto"/>
            <w:vAlign w:val="center"/>
          </w:tcPr>
          <w:p w14:paraId="5ACBC39C">
            <w:pPr>
              <w:jc w:val="center"/>
              <w:rPr>
                <w:rFonts w:ascii="宋体" w:hAnsi="宋体" w:eastAsia="宋体" w:cs="Times New Roman"/>
                <w:color w:val="auto"/>
              </w:rPr>
            </w:pPr>
            <w:r>
              <w:rPr>
                <w:rFonts w:hint="eastAsia" w:ascii="宋体" w:hAnsi="宋体" w:eastAsia="宋体" w:cs="Times New Roman"/>
                <w:color w:val="auto"/>
                <w:spacing w:val="-3"/>
              </w:rPr>
              <w:t>群系</w:t>
            </w:r>
            <w:r>
              <w:rPr>
                <w:rFonts w:hint="eastAsia" w:ascii="宋体" w:hAnsi="宋体" w:eastAsia="宋体" w:cs="Times New Roman"/>
                <w:color w:val="auto"/>
                <w:spacing w:val="-4"/>
              </w:rPr>
              <w:t>拉丁学名</w:t>
            </w:r>
          </w:p>
        </w:tc>
        <w:tc>
          <w:tcPr>
            <w:tcW w:w="1337" w:type="pct"/>
            <w:gridSpan w:val="3"/>
            <w:shd w:val="clear" w:color="auto" w:fill="auto"/>
            <w:vAlign w:val="center"/>
          </w:tcPr>
          <w:p w14:paraId="561C1867">
            <w:pPr>
              <w:jc w:val="center"/>
              <w:rPr>
                <w:rFonts w:ascii="宋体" w:hAnsi="宋体" w:eastAsia="宋体" w:cs="Times New Roman"/>
                <w:color w:val="auto"/>
                <w:szCs w:val="22"/>
              </w:rPr>
            </w:pPr>
            <w:r>
              <w:rPr>
                <w:rFonts w:hint="eastAsia" w:ascii="宋体" w:hAnsi="宋体" w:eastAsia="宋体" w:cs="Times New Roman"/>
                <w:i/>
                <w:iCs/>
                <w:color w:val="auto"/>
                <w:szCs w:val="22"/>
              </w:rPr>
              <w:t>Form</w:t>
            </w:r>
            <w:r>
              <w:rPr>
                <w:rFonts w:hint="eastAsia" w:ascii="宋体" w:hAnsi="宋体" w:eastAsia="宋体" w:cs="Times New Roman"/>
                <w:i/>
                <w:iCs/>
                <w:color w:val="auto"/>
                <w:spacing w:val="17"/>
                <w:szCs w:val="22"/>
              </w:rPr>
              <w:t>.</w:t>
            </w:r>
            <w:r>
              <w:rPr>
                <w:rFonts w:hint="eastAsia" w:ascii="宋体" w:hAnsi="宋体" w:eastAsia="宋体" w:cs="Times New Roman"/>
                <w:i/>
                <w:iCs/>
                <w:color w:val="auto"/>
                <w:szCs w:val="22"/>
              </w:rPr>
              <w:t>Phragmitesaustralis</w:t>
            </w:r>
          </w:p>
        </w:tc>
      </w:tr>
      <w:tr w14:paraId="7401C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6BD711AB">
            <w:pPr>
              <w:jc w:val="center"/>
              <w:rPr>
                <w:rFonts w:ascii="宋体" w:hAnsi="宋体" w:eastAsia="宋体" w:cs="Times New Roman"/>
                <w:color w:val="auto"/>
              </w:rPr>
            </w:pPr>
            <w:r>
              <w:rPr>
                <w:rFonts w:hint="eastAsia" w:ascii="宋体" w:hAnsi="宋体" w:eastAsia="宋体" w:cs="Times New Roman"/>
                <w:color w:val="auto"/>
                <w:spacing w:val="-2"/>
              </w:rPr>
              <w:t>层次</w:t>
            </w:r>
          </w:p>
        </w:tc>
        <w:tc>
          <w:tcPr>
            <w:tcW w:w="769" w:type="pct"/>
            <w:shd w:val="clear" w:color="auto" w:fill="auto"/>
            <w:vAlign w:val="center"/>
          </w:tcPr>
          <w:p w14:paraId="34CDBDD0">
            <w:pPr>
              <w:jc w:val="center"/>
              <w:rPr>
                <w:rFonts w:ascii="宋体" w:hAnsi="宋体" w:eastAsia="宋体" w:cs="Times New Roman"/>
                <w:color w:val="auto"/>
              </w:rPr>
            </w:pPr>
            <w:r>
              <w:rPr>
                <w:rFonts w:hint="eastAsia" w:ascii="宋体" w:hAnsi="宋体" w:eastAsia="宋体" w:cs="Times New Roman"/>
                <w:color w:val="auto"/>
                <w:spacing w:val="-2"/>
              </w:rPr>
              <w:t>类别</w:t>
            </w:r>
          </w:p>
        </w:tc>
        <w:tc>
          <w:tcPr>
            <w:tcW w:w="625" w:type="pct"/>
            <w:shd w:val="clear" w:color="auto" w:fill="auto"/>
            <w:vAlign w:val="center"/>
          </w:tcPr>
          <w:p w14:paraId="53F7B598">
            <w:pPr>
              <w:jc w:val="center"/>
              <w:rPr>
                <w:rFonts w:ascii="宋体" w:hAnsi="宋体" w:eastAsia="宋体" w:cs="Times New Roman"/>
                <w:color w:val="auto"/>
              </w:rPr>
            </w:pPr>
            <w:r>
              <w:rPr>
                <w:rFonts w:hint="eastAsia" w:ascii="宋体" w:hAnsi="宋体" w:eastAsia="宋体" w:cs="Times New Roman"/>
                <w:color w:val="auto"/>
                <w:spacing w:val="-3"/>
              </w:rPr>
              <w:t>名称</w:t>
            </w:r>
          </w:p>
        </w:tc>
        <w:tc>
          <w:tcPr>
            <w:tcW w:w="1669" w:type="pct"/>
            <w:shd w:val="clear" w:color="auto" w:fill="auto"/>
            <w:vAlign w:val="center"/>
          </w:tcPr>
          <w:p w14:paraId="60FE6AAC">
            <w:pPr>
              <w:jc w:val="center"/>
              <w:rPr>
                <w:rFonts w:ascii="宋体" w:hAnsi="宋体" w:eastAsia="宋体" w:cs="Times New Roman"/>
                <w:color w:val="auto"/>
              </w:rPr>
            </w:pPr>
            <w:r>
              <w:rPr>
                <w:rFonts w:hint="eastAsia" w:ascii="宋体" w:hAnsi="宋体" w:eastAsia="宋体" w:cs="Times New Roman"/>
                <w:color w:val="auto"/>
                <w:spacing w:val="-2"/>
              </w:rPr>
              <w:t>拉丁学名</w:t>
            </w:r>
          </w:p>
        </w:tc>
        <w:tc>
          <w:tcPr>
            <w:tcW w:w="354" w:type="pct"/>
            <w:shd w:val="clear" w:color="auto" w:fill="auto"/>
            <w:vAlign w:val="center"/>
          </w:tcPr>
          <w:p w14:paraId="1B4F3C40">
            <w:pPr>
              <w:jc w:val="center"/>
              <w:rPr>
                <w:rFonts w:ascii="宋体" w:hAnsi="宋体" w:eastAsia="宋体" w:cs="Times New Roman"/>
                <w:color w:val="auto"/>
              </w:rPr>
            </w:pPr>
            <w:r>
              <w:rPr>
                <w:rFonts w:hint="eastAsia" w:ascii="宋体" w:hAnsi="宋体" w:eastAsia="宋体" w:cs="Times New Roman"/>
                <w:color w:val="auto"/>
                <w:spacing w:val="-8"/>
              </w:rPr>
              <w:t>株</w:t>
            </w:r>
            <w:r>
              <w:rPr>
                <w:rFonts w:hint="eastAsia" w:ascii="宋体" w:hAnsi="宋体" w:eastAsia="宋体" w:cs="Times New Roman"/>
                <w:color w:val="auto"/>
              </w:rPr>
              <w:t xml:space="preserve">  </w:t>
            </w:r>
            <w:r>
              <w:rPr>
                <w:rFonts w:hint="eastAsia" w:ascii="宋体" w:hAnsi="宋体" w:eastAsia="宋体" w:cs="Times New Roman"/>
                <w:color w:val="auto"/>
                <w:spacing w:val="-9"/>
              </w:rPr>
              <w:t>（丛</w:t>
            </w:r>
            <w:r>
              <w:rPr>
                <w:rFonts w:hint="eastAsia" w:ascii="宋体" w:hAnsi="宋体" w:eastAsia="宋体" w:cs="Times New Roman"/>
                <w:color w:val="auto"/>
              </w:rPr>
              <w:t xml:space="preserve"> </w:t>
            </w:r>
            <w:r>
              <w:rPr>
                <w:rFonts w:hint="eastAsia" w:ascii="宋体" w:hAnsi="宋体" w:eastAsia="宋体" w:cs="Times New Roman"/>
                <w:color w:val="auto"/>
                <w:spacing w:val="-12"/>
              </w:rPr>
              <w:t>数）</w:t>
            </w:r>
          </w:p>
        </w:tc>
        <w:tc>
          <w:tcPr>
            <w:tcW w:w="762" w:type="pct"/>
            <w:shd w:val="clear" w:color="auto" w:fill="auto"/>
            <w:vAlign w:val="center"/>
          </w:tcPr>
          <w:p w14:paraId="49C72F14">
            <w:pPr>
              <w:jc w:val="center"/>
              <w:rPr>
                <w:rFonts w:ascii="宋体" w:hAnsi="宋体" w:eastAsia="宋体" w:cs="Times New Roman"/>
                <w:color w:val="auto"/>
              </w:rPr>
            </w:pPr>
            <w:r>
              <w:rPr>
                <w:rFonts w:hint="eastAsia" w:ascii="宋体" w:hAnsi="宋体" w:eastAsia="宋体" w:cs="Times New Roman"/>
                <w:color w:val="auto"/>
                <w:spacing w:val="-4"/>
              </w:rPr>
              <w:t>多度</w:t>
            </w:r>
          </w:p>
        </w:tc>
        <w:tc>
          <w:tcPr>
            <w:tcW w:w="287" w:type="pct"/>
            <w:shd w:val="clear" w:color="auto" w:fill="auto"/>
            <w:vAlign w:val="center"/>
          </w:tcPr>
          <w:p w14:paraId="7965E535">
            <w:pPr>
              <w:jc w:val="center"/>
              <w:rPr>
                <w:rFonts w:ascii="宋体" w:hAnsi="宋体" w:eastAsia="宋体" w:cs="Times New Roman"/>
                <w:color w:val="auto"/>
              </w:rPr>
            </w:pPr>
            <w:r>
              <w:rPr>
                <w:rFonts w:hint="eastAsia" w:ascii="宋体" w:hAnsi="宋体" w:eastAsia="宋体" w:cs="Times New Roman"/>
                <w:color w:val="auto"/>
                <w:spacing w:val="-6"/>
              </w:rPr>
              <w:t>高度</w:t>
            </w:r>
            <w:r>
              <w:rPr>
                <w:rFonts w:hint="eastAsia" w:ascii="宋体" w:hAnsi="宋体" w:eastAsia="宋体" w:cs="Times New Roman"/>
                <w:color w:val="auto"/>
              </w:rPr>
              <w:t xml:space="preserve"> </w:t>
            </w:r>
            <w:r>
              <w:rPr>
                <w:rFonts w:hint="eastAsia" w:ascii="宋体" w:hAnsi="宋体" w:eastAsia="宋体" w:cs="Times New Roman"/>
                <w:color w:val="auto"/>
                <w:spacing w:val="-9"/>
              </w:rPr>
              <w:t>（m）</w:t>
            </w:r>
          </w:p>
        </w:tc>
        <w:tc>
          <w:tcPr>
            <w:tcW w:w="288" w:type="pct"/>
            <w:shd w:val="clear" w:color="auto" w:fill="auto"/>
            <w:vAlign w:val="center"/>
          </w:tcPr>
          <w:p w14:paraId="55172561">
            <w:pPr>
              <w:jc w:val="center"/>
              <w:rPr>
                <w:rFonts w:ascii="宋体" w:hAnsi="宋体" w:eastAsia="宋体" w:cs="Times New Roman"/>
                <w:color w:val="auto"/>
              </w:rPr>
            </w:pPr>
            <w:r>
              <w:rPr>
                <w:rFonts w:hint="eastAsia" w:ascii="宋体" w:hAnsi="宋体" w:eastAsia="宋体" w:cs="Times New Roman"/>
                <w:color w:val="auto"/>
                <w:spacing w:val="-4"/>
              </w:rPr>
              <w:t>盖度</w:t>
            </w:r>
            <w:r>
              <w:rPr>
                <w:rFonts w:hint="eastAsia" w:ascii="宋体" w:hAnsi="宋体" w:eastAsia="宋体" w:cs="Times New Roman"/>
                <w:color w:val="auto"/>
              </w:rPr>
              <w:t xml:space="preserve"> </w:t>
            </w:r>
            <w:r>
              <w:rPr>
                <w:rFonts w:hint="eastAsia" w:ascii="宋体" w:hAnsi="宋体" w:eastAsia="宋体" w:cs="Times New Roman"/>
                <w:color w:val="auto"/>
                <w:spacing w:val="-9"/>
              </w:rPr>
              <w:t>（%）</w:t>
            </w:r>
          </w:p>
        </w:tc>
      </w:tr>
      <w:tr w14:paraId="2E97D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246" w:type="pct"/>
            <w:shd w:val="clear" w:color="auto" w:fill="auto"/>
            <w:vAlign w:val="center"/>
          </w:tcPr>
          <w:p w14:paraId="0479DD38">
            <w:pPr>
              <w:jc w:val="center"/>
              <w:rPr>
                <w:rFonts w:ascii="宋体" w:hAnsi="宋体" w:eastAsia="宋体" w:cs="Times New Roman"/>
                <w:color w:val="auto"/>
              </w:rPr>
            </w:pPr>
            <w:r>
              <w:rPr>
                <w:rFonts w:hint="eastAsia" w:ascii="宋体" w:hAnsi="宋体" w:eastAsia="宋体" w:cs="Times New Roman"/>
                <w:color w:val="auto"/>
                <w:spacing w:val="-4"/>
              </w:rPr>
              <w:t>乔木</w:t>
            </w:r>
            <w:r>
              <w:rPr>
                <w:rFonts w:hint="eastAsia" w:ascii="宋体" w:hAnsi="宋体" w:eastAsia="宋体" w:cs="Times New Roman"/>
                <w:color w:val="auto"/>
              </w:rPr>
              <w:t xml:space="preserve"> 层</w:t>
            </w:r>
          </w:p>
        </w:tc>
        <w:tc>
          <w:tcPr>
            <w:tcW w:w="769" w:type="pct"/>
            <w:shd w:val="clear" w:color="auto" w:fill="auto"/>
            <w:vAlign w:val="center"/>
          </w:tcPr>
          <w:p w14:paraId="52285BB9">
            <w:pPr>
              <w:jc w:val="center"/>
              <w:rPr>
                <w:rFonts w:ascii="宋体" w:hAnsi="宋体" w:eastAsia="宋体" w:cs="Times New Roman"/>
                <w:color w:val="auto"/>
              </w:rPr>
            </w:pPr>
            <w:r>
              <w:rPr>
                <w:rFonts w:hint="eastAsia" w:ascii="宋体" w:hAnsi="宋体" w:eastAsia="宋体" w:cs="Times New Roman"/>
                <w:color w:val="auto"/>
                <w:spacing w:val="-2"/>
              </w:rPr>
              <w:t>建群种</w:t>
            </w:r>
          </w:p>
        </w:tc>
        <w:tc>
          <w:tcPr>
            <w:tcW w:w="625" w:type="pct"/>
            <w:shd w:val="clear" w:color="auto" w:fill="auto"/>
            <w:vAlign w:val="center"/>
          </w:tcPr>
          <w:p w14:paraId="7153B2C1">
            <w:pPr>
              <w:jc w:val="center"/>
              <w:rPr>
                <w:rFonts w:ascii="宋体" w:hAnsi="宋体" w:eastAsia="宋体" w:cs="Times New Roman"/>
                <w:color w:val="auto"/>
              </w:rPr>
            </w:pPr>
            <w:r>
              <w:rPr>
                <w:rFonts w:hint="eastAsia" w:ascii="宋体" w:hAnsi="宋体" w:eastAsia="宋体" w:cs="Times New Roman"/>
                <w:color w:val="auto"/>
                <w:spacing w:val="-2"/>
              </w:rPr>
              <w:t>芦苇</w:t>
            </w:r>
          </w:p>
        </w:tc>
        <w:tc>
          <w:tcPr>
            <w:tcW w:w="1669" w:type="pct"/>
            <w:shd w:val="clear" w:color="auto" w:fill="auto"/>
            <w:vAlign w:val="center"/>
          </w:tcPr>
          <w:p w14:paraId="32FD7B31">
            <w:pPr>
              <w:jc w:val="center"/>
              <w:rPr>
                <w:rFonts w:ascii="宋体" w:hAnsi="宋体" w:eastAsia="宋体" w:cs="Times New Roman"/>
                <w:color w:val="auto"/>
                <w:szCs w:val="22"/>
              </w:rPr>
            </w:pPr>
            <w:r>
              <w:rPr>
                <w:rFonts w:hint="eastAsia" w:ascii="宋体" w:hAnsi="宋体" w:eastAsia="宋体" w:cs="Times New Roman"/>
                <w:i/>
                <w:iCs/>
                <w:color w:val="auto"/>
                <w:spacing w:val="1"/>
                <w:szCs w:val="22"/>
              </w:rPr>
              <w:t>Phragmites</w:t>
            </w:r>
            <w:r>
              <w:rPr>
                <w:rFonts w:hint="eastAsia" w:ascii="宋体" w:hAnsi="宋体" w:eastAsia="宋体" w:cs="Times New Roman"/>
                <w:i/>
                <w:iCs/>
                <w:color w:val="auto"/>
                <w:spacing w:val="2"/>
                <w:szCs w:val="22"/>
              </w:rPr>
              <w:t>australis</w:t>
            </w:r>
            <w:r>
              <w:rPr>
                <w:rFonts w:hint="eastAsia" w:ascii="宋体" w:hAnsi="宋体" w:eastAsia="宋体" w:cs="Times New Roman"/>
                <w:i/>
                <w:iCs/>
                <w:color w:val="auto"/>
                <w:spacing w:val="8"/>
                <w:szCs w:val="22"/>
              </w:rPr>
              <w:t>(</w:t>
            </w:r>
            <w:r>
              <w:rPr>
                <w:rFonts w:hint="eastAsia" w:ascii="宋体" w:hAnsi="宋体" w:eastAsia="宋体" w:cs="Times New Roman"/>
                <w:i/>
                <w:iCs/>
                <w:color w:val="auto"/>
                <w:szCs w:val="22"/>
              </w:rPr>
              <w:t>Cav</w:t>
            </w:r>
            <w:r>
              <w:rPr>
                <w:rFonts w:hint="eastAsia" w:ascii="宋体" w:hAnsi="宋体" w:eastAsia="宋体" w:cs="Times New Roman"/>
                <w:i/>
                <w:iCs/>
                <w:color w:val="auto"/>
                <w:spacing w:val="8"/>
                <w:szCs w:val="22"/>
              </w:rPr>
              <w:t>.)</w:t>
            </w:r>
            <w:r>
              <w:rPr>
                <w:rFonts w:hint="eastAsia" w:ascii="宋体" w:hAnsi="宋体" w:eastAsia="宋体" w:cs="Times New Roman"/>
                <w:i/>
                <w:iCs/>
                <w:color w:val="auto"/>
                <w:szCs w:val="22"/>
              </w:rPr>
              <w:t>Trin</w:t>
            </w:r>
            <w:r>
              <w:rPr>
                <w:rFonts w:hint="eastAsia" w:ascii="宋体" w:hAnsi="宋体" w:eastAsia="宋体" w:cs="Times New Roman"/>
                <w:i/>
                <w:iCs/>
                <w:color w:val="auto"/>
                <w:spacing w:val="8"/>
                <w:szCs w:val="22"/>
              </w:rPr>
              <w:t>.</w:t>
            </w:r>
            <w:r>
              <w:rPr>
                <w:rFonts w:hint="eastAsia" w:ascii="宋体" w:hAnsi="宋体" w:eastAsia="宋体" w:cs="Times New Roman"/>
                <w:i/>
                <w:iCs/>
                <w:color w:val="auto"/>
                <w:spacing w:val="12"/>
                <w:szCs w:val="22"/>
              </w:rPr>
              <w:t>exSteud</w:t>
            </w:r>
          </w:p>
        </w:tc>
        <w:tc>
          <w:tcPr>
            <w:tcW w:w="354" w:type="pct"/>
            <w:shd w:val="clear" w:color="auto" w:fill="auto"/>
            <w:vAlign w:val="center"/>
          </w:tcPr>
          <w:p w14:paraId="416BE1FD">
            <w:pPr>
              <w:jc w:val="center"/>
              <w:rPr>
                <w:rFonts w:ascii="宋体" w:hAnsi="宋体" w:eastAsia="宋体" w:cs="Times New Roman"/>
                <w:color w:val="auto"/>
              </w:rPr>
            </w:pPr>
            <w:r>
              <w:rPr>
                <w:rFonts w:ascii="宋体" w:hAnsi="宋体" w:eastAsia="宋体" w:cs="Times New Roman"/>
                <w:color w:val="auto"/>
              </w:rPr>
              <w:t>30</w:t>
            </w:r>
          </w:p>
        </w:tc>
        <w:tc>
          <w:tcPr>
            <w:tcW w:w="762" w:type="pct"/>
            <w:shd w:val="clear" w:color="auto" w:fill="auto"/>
            <w:vAlign w:val="center"/>
          </w:tcPr>
          <w:p w14:paraId="62C982EC">
            <w:pPr>
              <w:jc w:val="center"/>
              <w:rPr>
                <w:rFonts w:ascii="宋体" w:hAnsi="宋体" w:eastAsia="宋体" w:cs="Times New Roman"/>
                <w:color w:val="auto"/>
              </w:rPr>
            </w:pPr>
            <w:r>
              <w:rPr>
                <w:rFonts w:ascii="宋体" w:hAnsi="宋体" w:eastAsia="宋体" w:cs="Times New Roman"/>
                <w:color w:val="auto"/>
                <w:lang w:bidi="zh-CN"/>
              </w:rPr>
              <w:t>Cop2.</w:t>
            </w:r>
          </w:p>
        </w:tc>
        <w:tc>
          <w:tcPr>
            <w:tcW w:w="287" w:type="pct"/>
            <w:shd w:val="clear" w:color="auto" w:fill="auto"/>
            <w:vAlign w:val="center"/>
          </w:tcPr>
          <w:p w14:paraId="67B073AB">
            <w:pPr>
              <w:jc w:val="center"/>
              <w:rPr>
                <w:rFonts w:ascii="宋体" w:hAnsi="宋体" w:eastAsia="宋体" w:cs="Times New Roman"/>
                <w:color w:val="auto"/>
              </w:rPr>
            </w:pPr>
            <w:r>
              <w:rPr>
                <w:rFonts w:ascii="宋体" w:hAnsi="宋体" w:eastAsia="宋体" w:cs="Times New Roman"/>
                <w:color w:val="auto"/>
                <w:spacing w:val="-2"/>
              </w:rPr>
              <w:t>1.7</w:t>
            </w:r>
          </w:p>
        </w:tc>
        <w:tc>
          <w:tcPr>
            <w:tcW w:w="288" w:type="pct"/>
            <w:shd w:val="clear" w:color="auto" w:fill="auto"/>
            <w:vAlign w:val="center"/>
          </w:tcPr>
          <w:p w14:paraId="77526273">
            <w:pPr>
              <w:jc w:val="center"/>
              <w:rPr>
                <w:rFonts w:ascii="宋体" w:hAnsi="宋体" w:eastAsia="宋体" w:cs="Times New Roman"/>
                <w:color w:val="auto"/>
              </w:rPr>
            </w:pPr>
            <w:r>
              <w:rPr>
                <w:rFonts w:ascii="宋体" w:hAnsi="宋体" w:eastAsia="宋体" w:cs="Times New Roman"/>
                <w:color w:val="auto"/>
                <w:spacing w:val="-3"/>
              </w:rPr>
              <w:t>8</w:t>
            </w:r>
            <w:r>
              <w:rPr>
                <w:rFonts w:hint="eastAsia" w:ascii="宋体" w:hAnsi="宋体" w:eastAsia="宋体" w:cs="Times New Roman"/>
                <w:color w:val="auto"/>
                <w:spacing w:val="-3"/>
              </w:rPr>
              <w:t>0</w:t>
            </w:r>
          </w:p>
        </w:tc>
      </w:tr>
      <w:tr w14:paraId="428D9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8"/>
            <w:shd w:val="clear" w:color="auto" w:fill="auto"/>
            <w:vAlign w:val="center"/>
          </w:tcPr>
          <w:p w14:paraId="11DC113A">
            <w:pPr>
              <w:adjustRightInd w:val="0"/>
              <w:snapToGrid w:val="0"/>
              <w:jc w:val="center"/>
              <w:rPr>
                <w:rFonts w:ascii="宋体" w:hAnsi="宋体" w:eastAsia="宋体" w:cs="Arial"/>
                <w:color w:val="auto"/>
              </w:rPr>
            </w:pPr>
            <w:r>
              <w:rPr>
                <w:rStyle w:val="116"/>
                <w:rFonts w:ascii="宋体" w:hAnsi="宋体" w:eastAsia="宋体" w:cs="Times New Roman"/>
                <w:color w:val="auto"/>
              </w:rPr>
              <w:t xml:space="preserve"> </w:t>
            </w:r>
            <w:r>
              <w:rPr>
                <w:rStyle w:val="116"/>
                <w:rFonts w:ascii="宋体" w:hAnsi="宋体" w:eastAsia="宋体" w:cs="Times New Roman"/>
                <w:color w:val="auto"/>
              </w:rPr>
              <w:drawing>
                <wp:inline distT="0" distB="0" distL="0" distR="0">
                  <wp:extent cx="4011930" cy="3009265"/>
                  <wp:effectExtent l="0" t="0" r="7620" b="635"/>
                  <wp:docPr id="130447756" name="图片 130447756" descr="D:\Users\DELL\Documents\WeChat Files\wxid_0rf4mizuauk621\FileStorage\Temp\30bb931dc35d58e4b6fd9d618fba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56" name="图片 130447756" descr="D:\Users\DELL\Documents\WeChat Files\wxid_0rf4mizuauk621\FileStorage\Temp\30bb931dc35d58e4b6fd9d618fbaebd.jpg"/>
                          <pic:cNvPicPr>
                            <a:picLocks noChangeAspect="1" noChangeArrowheads="1"/>
                          </pic:cNvPicPr>
                        </pic:nvPicPr>
                        <pic:blipFill>
                          <a:blip r:embed="rId75"/>
                          <a:srcRect/>
                          <a:stretch>
                            <a:fillRect/>
                          </a:stretch>
                        </pic:blipFill>
                        <pic:spPr>
                          <a:xfrm>
                            <a:off x="0" y="0"/>
                            <a:ext cx="4011930" cy="3020475"/>
                          </a:xfrm>
                          <a:prstGeom prst="rect">
                            <a:avLst/>
                          </a:prstGeom>
                          <a:noFill/>
                          <a:ln>
                            <a:noFill/>
                          </a:ln>
                        </pic:spPr>
                      </pic:pic>
                    </a:graphicData>
                  </a:graphic>
                </wp:inline>
              </w:drawing>
            </w:r>
          </w:p>
        </w:tc>
      </w:tr>
      <w:bookmarkEnd w:id="1250"/>
    </w:tbl>
    <w:p w14:paraId="4D7CC95D">
      <w:pPr>
        <w:spacing w:line="440" w:lineRule="exact"/>
        <w:ind w:firstLine="420" w:firstLineChars="200"/>
        <w:rPr>
          <w:rFonts w:ascii="宋体" w:hAnsi="宋体" w:eastAsia="宋体" w:cs="Times New Roman"/>
          <w:color w:val="auto"/>
          <w:szCs w:val="22"/>
          <w:lang w:bidi="zh-CN"/>
        </w:rPr>
      </w:pPr>
      <w:r>
        <w:rPr>
          <w:rFonts w:hint="eastAsia" w:ascii="宋体" w:hAnsi="宋体" w:eastAsia="宋体" w:cs="Times New Roman"/>
          <w:color w:val="auto"/>
          <w:szCs w:val="22"/>
          <w:lang w:bidi="zh-CN"/>
        </w:rPr>
        <w:t xml:space="preserve"> </w:t>
      </w:r>
    </w:p>
    <w:p w14:paraId="4745E42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植被覆盖度</w:t>
      </w:r>
    </w:p>
    <w:p w14:paraId="5F4D9CAE">
      <w:pPr>
        <w:pStyle w:val="276"/>
        <w:widowControl w:val="0"/>
        <w:ind w:firstLine="480"/>
        <w:jc w:val="both"/>
        <w:rPr>
          <w:color w:val="auto"/>
        </w:rPr>
      </w:pPr>
      <w:r>
        <w:rPr>
          <w:color w:val="auto"/>
        </w:rPr>
        <w:t>采用植被覆盖度指标定量分析评价范围内植被现状。通过遥感手段，采用归一化植被指数（NDVI）方法，对评价区的植被覆盖度进行分析。NDVI计算公式为如下：</w:t>
      </w:r>
    </w:p>
    <w:p w14:paraId="3F809F1F">
      <w:pPr>
        <w:pStyle w:val="276"/>
        <w:widowControl w:val="0"/>
        <w:ind w:firstLine="480"/>
        <w:jc w:val="both"/>
        <w:rPr>
          <w:color w:val="auto"/>
        </w:rPr>
      </w:pPr>
      <w:r>
        <w:rPr>
          <w:color w:val="auto"/>
        </w:rPr>
        <w:t>NDVI=(NIR-R)/(NIR+R)</w:t>
      </w:r>
    </w:p>
    <w:p w14:paraId="44652EEB">
      <w:pPr>
        <w:pStyle w:val="276"/>
        <w:widowControl w:val="0"/>
        <w:ind w:firstLine="480"/>
        <w:jc w:val="both"/>
        <w:rPr>
          <w:color w:val="auto"/>
        </w:rPr>
      </w:pPr>
      <w:r>
        <w:rPr>
          <w:color w:val="auto"/>
        </w:rPr>
        <w:t xml:space="preserve">其中：NIR为近红外波段，R为红波段。 </w:t>
      </w:r>
    </w:p>
    <w:p w14:paraId="78C5D239">
      <w:pPr>
        <w:pStyle w:val="276"/>
        <w:widowControl w:val="0"/>
        <w:ind w:firstLine="480"/>
        <w:jc w:val="both"/>
        <w:rPr>
          <w:color w:val="auto"/>
        </w:rPr>
      </w:pPr>
      <w:r>
        <w:rPr>
          <w:color w:val="auto"/>
        </w:rPr>
        <w:t>基于NDVI，采用像元二分模型计算植被覆盖度，公式如下：</w:t>
      </w:r>
    </w:p>
    <w:p w14:paraId="581EC147">
      <w:pPr>
        <w:pStyle w:val="276"/>
        <w:widowControl w:val="0"/>
        <w:ind w:firstLine="480"/>
        <w:jc w:val="both"/>
        <w:rPr>
          <w:color w:val="auto"/>
        </w:rPr>
      </w:pPr>
      <w:r>
        <w:rPr>
          <w:color w:val="auto"/>
        </w:rPr>
        <w:t>FVC = (NDVI-NDVIs)/(NDVIv-NDVIs)</w:t>
      </w:r>
    </w:p>
    <w:p w14:paraId="2EE9A247">
      <w:pPr>
        <w:pStyle w:val="276"/>
        <w:widowControl w:val="0"/>
        <w:ind w:firstLine="480"/>
        <w:jc w:val="both"/>
        <w:rPr>
          <w:color w:val="auto"/>
        </w:rPr>
      </w:pPr>
      <w:r>
        <w:rPr>
          <w:color w:val="auto"/>
        </w:rPr>
        <w:t>式中：FVC—所计算像元的植被覆盖度；</w:t>
      </w:r>
    </w:p>
    <w:p w14:paraId="54033D55">
      <w:pPr>
        <w:pStyle w:val="276"/>
        <w:widowControl w:val="0"/>
        <w:ind w:firstLine="480"/>
        <w:jc w:val="both"/>
        <w:rPr>
          <w:color w:val="auto"/>
        </w:rPr>
      </w:pPr>
      <w:r>
        <w:rPr>
          <w:color w:val="auto"/>
        </w:rPr>
        <w:t>NDVI—所计算像元的 NDVI 值；</w:t>
      </w:r>
    </w:p>
    <w:p w14:paraId="1B54C0EB">
      <w:pPr>
        <w:pStyle w:val="276"/>
        <w:widowControl w:val="0"/>
        <w:ind w:firstLine="480"/>
        <w:jc w:val="both"/>
        <w:rPr>
          <w:color w:val="auto"/>
        </w:rPr>
      </w:pPr>
      <w:r>
        <w:rPr>
          <w:color w:val="auto"/>
        </w:rPr>
        <w:t>NDVIv—纯植物像元的 NDVI 值；</w:t>
      </w:r>
    </w:p>
    <w:p w14:paraId="1D79C573">
      <w:pPr>
        <w:pStyle w:val="276"/>
        <w:widowControl w:val="0"/>
        <w:ind w:firstLine="480"/>
        <w:jc w:val="both"/>
        <w:rPr>
          <w:color w:val="auto"/>
        </w:rPr>
      </w:pPr>
      <w:r>
        <w:rPr>
          <w:color w:val="auto"/>
        </w:rPr>
        <w:t>NDVIs—完全无植被覆盖像元的 NDVI 值。</w:t>
      </w:r>
    </w:p>
    <w:p w14:paraId="63988A97">
      <w:pPr>
        <w:pStyle w:val="276"/>
        <w:widowControl w:val="0"/>
        <w:ind w:firstLine="480"/>
        <w:jc w:val="both"/>
        <w:rPr>
          <w:color w:val="auto"/>
        </w:rPr>
      </w:pPr>
      <w:r>
        <w:rPr>
          <w:color w:val="auto"/>
        </w:rPr>
        <w:t>本次计算采用评价区域Sentinel-2数据L2A级产品，影像分辨10m，数据经过辐射校正、几何校正、辐射定标和大气校正。采用ENVI软件平台计算FVC，并用GIS软件制作评价范围内植被覆盖度空间分布图，评价区植被覆盖度面积统计见表4.4-9，本项目评价范围内植被覆盖度见附图14。</w:t>
      </w:r>
    </w:p>
    <w:p w14:paraId="6E09BD70">
      <w:pPr>
        <w:spacing w:line="440" w:lineRule="exact"/>
        <w:ind w:firstLine="420" w:firstLineChars="200"/>
        <w:jc w:val="center"/>
        <w:rPr>
          <w:rFonts w:ascii="宋体" w:hAnsi="宋体" w:eastAsia="宋体" w:cs="Times New Roman"/>
          <w:color w:val="auto"/>
          <w:szCs w:val="20"/>
        </w:rPr>
      </w:pPr>
      <w:r>
        <w:rPr>
          <w:rFonts w:ascii="宋体" w:hAnsi="宋体" w:eastAsia="宋体" w:cs="Times New Roman"/>
          <w:color w:val="auto"/>
          <w:szCs w:val="20"/>
        </w:rPr>
        <w:t>表4.4-9 评价区内植被覆盖度统计表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3"/>
        <w:gridCol w:w="3098"/>
        <w:gridCol w:w="3096"/>
      </w:tblGrid>
      <w:tr w14:paraId="324E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shd w:val="clear" w:color="auto" w:fill="auto"/>
            <w:noWrap/>
            <w:vAlign w:val="center"/>
          </w:tcPr>
          <w:p w14:paraId="06B551D3">
            <w:pPr>
              <w:jc w:val="center"/>
              <w:rPr>
                <w:rFonts w:ascii="宋体" w:hAnsi="宋体" w:eastAsia="宋体" w:cs="Times New Roman"/>
                <w:color w:val="auto"/>
              </w:rPr>
            </w:pPr>
            <w:r>
              <w:rPr>
                <w:rFonts w:ascii="宋体" w:hAnsi="宋体" w:eastAsia="宋体" w:cs="Times New Roman"/>
                <w:color w:val="auto"/>
              </w:rPr>
              <w:t>FVC值</w:t>
            </w:r>
          </w:p>
        </w:tc>
        <w:tc>
          <w:tcPr>
            <w:tcW w:w="1668" w:type="pct"/>
            <w:shd w:val="clear" w:color="auto" w:fill="auto"/>
            <w:noWrap/>
            <w:vAlign w:val="center"/>
          </w:tcPr>
          <w:p w14:paraId="7510C0EC">
            <w:pPr>
              <w:jc w:val="center"/>
              <w:rPr>
                <w:rFonts w:ascii="宋体" w:hAnsi="宋体" w:eastAsia="宋体" w:cs="Times New Roman"/>
                <w:color w:val="auto"/>
              </w:rPr>
            </w:pPr>
            <w:r>
              <w:rPr>
                <w:rFonts w:ascii="宋体" w:hAnsi="宋体" w:eastAsia="宋体" w:cs="Times New Roman"/>
                <w:color w:val="auto"/>
              </w:rPr>
              <w:t>面积（hm</w:t>
            </w:r>
            <w:r>
              <w:rPr>
                <w:rFonts w:ascii="宋体" w:hAnsi="宋体" w:eastAsia="宋体" w:cs="Times New Roman"/>
                <w:color w:val="auto"/>
                <w:vertAlign w:val="superscript"/>
              </w:rPr>
              <w:t>2</w:t>
            </w:r>
            <w:r>
              <w:rPr>
                <w:rFonts w:ascii="宋体" w:hAnsi="宋体" w:eastAsia="宋体" w:cs="Times New Roman"/>
                <w:color w:val="auto"/>
              </w:rPr>
              <w:t>）</w:t>
            </w:r>
          </w:p>
        </w:tc>
        <w:tc>
          <w:tcPr>
            <w:tcW w:w="1667" w:type="pct"/>
            <w:shd w:val="clear" w:color="auto" w:fill="auto"/>
            <w:noWrap/>
            <w:vAlign w:val="center"/>
          </w:tcPr>
          <w:p w14:paraId="1EC6238F">
            <w:pPr>
              <w:jc w:val="center"/>
              <w:rPr>
                <w:rFonts w:ascii="宋体" w:hAnsi="宋体" w:eastAsia="宋体" w:cs="Times New Roman"/>
                <w:color w:val="auto"/>
              </w:rPr>
            </w:pPr>
            <w:r>
              <w:rPr>
                <w:rFonts w:ascii="宋体" w:hAnsi="宋体" w:eastAsia="宋体" w:cs="Times New Roman"/>
                <w:color w:val="auto"/>
              </w:rPr>
              <w:t>占评价范围面积百分比（</w:t>
            </w:r>
            <w:r>
              <w:rPr>
                <w:rFonts w:ascii="宋体" w:hAnsi="宋体" w:eastAsia="宋体" w:cs="Times New Roman"/>
                <w:color w:val="auto"/>
                <w:lang w:bidi="ar"/>
              </w:rPr>
              <w:t>%</w:t>
            </w:r>
            <w:r>
              <w:rPr>
                <w:rFonts w:ascii="宋体" w:hAnsi="宋体" w:eastAsia="宋体" w:cs="Times New Roman"/>
                <w:color w:val="auto"/>
              </w:rPr>
              <w:t>）</w:t>
            </w:r>
          </w:p>
        </w:tc>
      </w:tr>
      <w:tr w14:paraId="6519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shd w:val="clear" w:color="auto" w:fill="auto"/>
            <w:noWrap/>
            <w:vAlign w:val="center"/>
          </w:tcPr>
          <w:p w14:paraId="183303DB">
            <w:pPr>
              <w:jc w:val="center"/>
              <w:rPr>
                <w:rFonts w:ascii="宋体" w:hAnsi="宋体" w:eastAsia="宋体" w:cs="Times New Roman"/>
                <w:color w:val="auto"/>
              </w:rPr>
            </w:pPr>
            <w:r>
              <w:rPr>
                <w:rFonts w:ascii="宋体" w:hAnsi="宋体" w:eastAsia="宋体" w:cs="Times New Roman"/>
                <w:color w:val="auto"/>
              </w:rPr>
              <w:t>极低覆盖0%-10%</w:t>
            </w:r>
          </w:p>
        </w:tc>
        <w:tc>
          <w:tcPr>
            <w:tcW w:w="1668" w:type="pct"/>
            <w:shd w:val="clear" w:color="auto" w:fill="auto"/>
            <w:noWrap/>
            <w:vAlign w:val="center"/>
          </w:tcPr>
          <w:p w14:paraId="7827A446">
            <w:pPr>
              <w:jc w:val="center"/>
              <w:textAlignment w:val="center"/>
              <w:rPr>
                <w:rFonts w:ascii="宋体" w:hAnsi="宋体" w:eastAsia="宋体" w:cs="Times New Roman"/>
                <w:color w:val="auto"/>
              </w:rPr>
            </w:pPr>
            <w:r>
              <w:rPr>
                <w:rFonts w:hint="eastAsia" w:ascii="宋体" w:hAnsi="宋体" w:eastAsia="宋体" w:cs="Times New Roman"/>
                <w:color w:val="auto"/>
              </w:rPr>
              <w:t>12.30</w:t>
            </w:r>
          </w:p>
        </w:tc>
        <w:tc>
          <w:tcPr>
            <w:tcW w:w="1667" w:type="pct"/>
            <w:shd w:val="clear" w:color="auto" w:fill="auto"/>
            <w:noWrap/>
            <w:vAlign w:val="center"/>
          </w:tcPr>
          <w:p w14:paraId="23D608B8">
            <w:pPr>
              <w:jc w:val="center"/>
              <w:textAlignment w:val="center"/>
              <w:rPr>
                <w:rFonts w:ascii="宋体" w:hAnsi="宋体" w:eastAsia="宋体" w:cs="Times New Roman"/>
                <w:color w:val="auto"/>
              </w:rPr>
            </w:pPr>
            <w:r>
              <w:rPr>
                <w:rFonts w:ascii="宋体" w:hAnsi="宋体" w:eastAsia="宋体" w:cs="Times New Roman"/>
                <w:color w:val="auto"/>
              </w:rPr>
              <w:t>8.13</w:t>
            </w:r>
          </w:p>
        </w:tc>
      </w:tr>
      <w:tr w14:paraId="3610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shd w:val="clear" w:color="auto" w:fill="auto"/>
            <w:noWrap/>
            <w:vAlign w:val="center"/>
          </w:tcPr>
          <w:p w14:paraId="130FC615">
            <w:pPr>
              <w:jc w:val="center"/>
              <w:rPr>
                <w:rFonts w:ascii="宋体" w:hAnsi="宋体" w:eastAsia="宋体" w:cs="Times New Roman"/>
                <w:color w:val="auto"/>
              </w:rPr>
            </w:pPr>
            <w:r>
              <w:rPr>
                <w:rFonts w:ascii="宋体" w:hAnsi="宋体" w:eastAsia="宋体" w:cs="Times New Roman"/>
                <w:color w:val="auto"/>
              </w:rPr>
              <w:t>低覆盖10%-30%</w:t>
            </w:r>
          </w:p>
        </w:tc>
        <w:tc>
          <w:tcPr>
            <w:tcW w:w="1668" w:type="pct"/>
            <w:shd w:val="clear" w:color="auto" w:fill="auto"/>
            <w:noWrap/>
            <w:vAlign w:val="center"/>
          </w:tcPr>
          <w:p w14:paraId="5F2EDBA2">
            <w:pPr>
              <w:jc w:val="center"/>
              <w:textAlignment w:val="center"/>
              <w:rPr>
                <w:rFonts w:ascii="宋体" w:hAnsi="宋体" w:eastAsia="宋体" w:cs="Times New Roman"/>
                <w:color w:val="auto"/>
              </w:rPr>
            </w:pPr>
            <w:r>
              <w:rPr>
                <w:rFonts w:hint="eastAsia" w:ascii="宋体" w:hAnsi="宋体" w:eastAsia="宋体" w:cs="Times New Roman"/>
                <w:color w:val="auto"/>
              </w:rPr>
              <w:t>12.51</w:t>
            </w:r>
          </w:p>
        </w:tc>
        <w:tc>
          <w:tcPr>
            <w:tcW w:w="1667" w:type="pct"/>
            <w:shd w:val="clear" w:color="auto" w:fill="auto"/>
            <w:noWrap/>
            <w:vAlign w:val="center"/>
          </w:tcPr>
          <w:p w14:paraId="23ACC50C">
            <w:pPr>
              <w:jc w:val="center"/>
              <w:textAlignment w:val="center"/>
              <w:rPr>
                <w:rFonts w:ascii="宋体" w:hAnsi="宋体" w:eastAsia="宋体" w:cs="Times New Roman"/>
                <w:color w:val="auto"/>
              </w:rPr>
            </w:pPr>
            <w:r>
              <w:rPr>
                <w:rFonts w:ascii="宋体" w:hAnsi="宋体" w:eastAsia="宋体" w:cs="Times New Roman"/>
                <w:color w:val="auto"/>
              </w:rPr>
              <w:t>8.27</w:t>
            </w:r>
          </w:p>
        </w:tc>
      </w:tr>
      <w:tr w14:paraId="2A67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shd w:val="clear" w:color="auto" w:fill="auto"/>
            <w:noWrap/>
            <w:vAlign w:val="center"/>
          </w:tcPr>
          <w:p w14:paraId="24930EB0">
            <w:pPr>
              <w:jc w:val="center"/>
              <w:rPr>
                <w:rFonts w:ascii="宋体" w:hAnsi="宋体" w:eastAsia="宋体" w:cs="Times New Roman"/>
                <w:color w:val="auto"/>
              </w:rPr>
            </w:pPr>
            <w:r>
              <w:rPr>
                <w:rFonts w:ascii="宋体" w:hAnsi="宋体" w:eastAsia="宋体" w:cs="Times New Roman"/>
                <w:color w:val="auto"/>
              </w:rPr>
              <w:t>中覆盖30%-50%</w:t>
            </w:r>
          </w:p>
        </w:tc>
        <w:tc>
          <w:tcPr>
            <w:tcW w:w="1668" w:type="pct"/>
            <w:shd w:val="clear" w:color="auto" w:fill="auto"/>
            <w:noWrap/>
            <w:vAlign w:val="center"/>
          </w:tcPr>
          <w:p w14:paraId="38A73BD9">
            <w:pPr>
              <w:jc w:val="center"/>
              <w:textAlignment w:val="center"/>
              <w:rPr>
                <w:rFonts w:ascii="宋体" w:hAnsi="宋体" w:eastAsia="宋体" w:cs="Times New Roman"/>
                <w:color w:val="auto"/>
              </w:rPr>
            </w:pPr>
            <w:r>
              <w:rPr>
                <w:rFonts w:hint="eastAsia" w:ascii="宋体" w:hAnsi="宋体" w:eastAsia="宋体" w:cs="Times New Roman"/>
                <w:color w:val="auto"/>
              </w:rPr>
              <w:t>14.30</w:t>
            </w:r>
          </w:p>
        </w:tc>
        <w:tc>
          <w:tcPr>
            <w:tcW w:w="1667" w:type="pct"/>
            <w:shd w:val="clear" w:color="auto" w:fill="auto"/>
            <w:noWrap/>
            <w:vAlign w:val="center"/>
          </w:tcPr>
          <w:p w14:paraId="02AFB95F">
            <w:pPr>
              <w:jc w:val="center"/>
              <w:textAlignment w:val="center"/>
              <w:rPr>
                <w:rFonts w:ascii="宋体" w:hAnsi="宋体" w:eastAsia="宋体" w:cs="Times New Roman"/>
                <w:color w:val="auto"/>
              </w:rPr>
            </w:pPr>
            <w:r>
              <w:rPr>
                <w:rFonts w:ascii="宋体" w:hAnsi="宋体" w:eastAsia="宋体" w:cs="Times New Roman"/>
                <w:color w:val="auto"/>
              </w:rPr>
              <w:t>9.45</w:t>
            </w:r>
          </w:p>
        </w:tc>
      </w:tr>
      <w:tr w14:paraId="063F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shd w:val="clear" w:color="auto" w:fill="auto"/>
            <w:noWrap/>
            <w:vAlign w:val="center"/>
          </w:tcPr>
          <w:p w14:paraId="4F7EEC8D">
            <w:pPr>
              <w:jc w:val="center"/>
              <w:rPr>
                <w:rFonts w:ascii="宋体" w:hAnsi="宋体" w:eastAsia="宋体" w:cs="Times New Roman"/>
                <w:color w:val="auto"/>
              </w:rPr>
            </w:pPr>
            <w:r>
              <w:rPr>
                <w:rFonts w:ascii="宋体" w:hAnsi="宋体" w:eastAsia="宋体" w:cs="Times New Roman"/>
                <w:color w:val="auto"/>
              </w:rPr>
              <w:t>中高覆盖50%-70%</w:t>
            </w:r>
          </w:p>
        </w:tc>
        <w:tc>
          <w:tcPr>
            <w:tcW w:w="1668" w:type="pct"/>
            <w:shd w:val="clear" w:color="auto" w:fill="auto"/>
            <w:noWrap/>
            <w:vAlign w:val="center"/>
          </w:tcPr>
          <w:p w14:paraId="5345D003">
            <w:pPr>
              <w:jc w:val="center"/>
              <w:textAlignment w:val="center"/>
              <w:rPr>
                <w:rFonts w:ascii="宋体" w:hAnsi="宋体" w:eastAsia="宋体" w:cs="Times New Roman"/>
                <w:color w:val="auto"/>
              </w:rPr>
            </w:pPr>
            <w:r>
              <w:rPr>
                <w:rFonts w:hint="eastAsia" w:ascii="宋体" w:hAnsi="宋体" w:eastAsia="宋体" w:cs="Times New Roman"/>
                <w:color w:val="auto"/>
              </w:rPr>
              <w:t>13.22</w:t>
            </w:r>
          </w:p>
        </w:tc>
        <w:tc>
          <w:tcPr>
            <w:tcW w:w="1667" w:type="pct"/>
            <w:shd w:val="clear" w:color="auto" w:fill="auto"/>
            <w:noWrap/>
            <w:vAlign w:val="center"/>
          </w:tcPr>
          <w:p w14:paraId="3849E76B">
            <w:pPr>
              <w:jc w:val="center"/>
              <w:textAlignment w:val="center"/>
              <w:rPr>
                <w:rFonts w:ascii="宋体" w:hAnsi="宋体" w:eastAsia="宋体" w:cs="Times New Roman"/>
                <w:color w:val="auto"/>
              </w:rPr>
            </w:pPr>
            <w:r>
              <w:rPr>
                <w:rFonts w:ascii="宋体" w:hAnsi="宋体" w:eastAsia="宋体" w:cs="Times New Roman"/>
                <w:color w:val="auto"/>
              </w:rPr>
              <w:t>8.74</w:t>
            </w:r>
          </w:p>
        </w:tc>
      </w:tr>
      <w:tr w14:paraId="67AC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shd w:val="clear" w:color="auto" w:fill="auto"/>
            <w:noWrap/>
            <w:vAlign w:val="center"/>
          </w:tcPr>
          <w:p w14:paraId="5A02A26F">
            <w:pPr>
              <w:jc w:val="center"/>
              <w:rPr>
                <w:rFonts w:ascii="宋体" w:hAnsi="宋体" w:eastAsia="宋体" w:cs="Times New Roman"/>
                <w:color w:val="auto"/>
              </w:rPr>
            </w:pPr>
            <w:r>
              <w:rPr>
                <w:rFonts w:ascii="宋体" w:hAnsi="宋体" w:eastAsia="宋体" w:cs="Times New Roman"/>
                <w:color w:val="auto"/>
              </w:rPr>
              <w:t>高覆盖70%-100%</w:t>
            </w:r>
          </w:p>
        </w:tc>
        <w:tc>
          <w:tcPr>
            <w:tcW w:w="1668" w:type="pct"/>
            <w:shd w:val="clear" w:color="auto" w:fill="auto"/>
            <w:noWrap/>
            <w:vAlign w:val="center"/>
          </w:tcPr>
          <w:p w14:paraId="321E58A3">
            <w:pPr>
              <w:jc w:val="center"/>
              <w:textAlignment w:val="center"/>
              <w:rPr>
                <w:rFonts w:ascii="宋体" w:hAnsi="宋体" w:eastAsia="宋体" w:cs="Times New Roman"/>
                <w:color w:val="auto"/>
              </w:rPr>
            </w:pPr>
            <w:r>
              <w:rPr>
                <w:rFonts w:hint="eastAsia" w:ascii="宋体" w:hAnsi="宋体" w:eastAsia="宋体" w:cs="Times New Roman"/>
                <w:color w:val="auto"/>
              </w:rPr>
              <w:t>98.97</w:t>
            </w:r>
          </w:p>
        </w:tc>
        <w:tc>
          <w:tcPr>
            <w:tcW w:w="1667" w:type="pct"/>
            <w:shd w:val="clear" w:color="auto" w:fill="auto"/>
            <w:noWrap/>
            <w:vAlign w:val="center"/>
          </w:tcPr>
          <w:p w14:paraId="513B36A9">
            <w:pPr>
              <w:jc w:val="center"/>
              <w:textAlignment w:val="center"/>
              <w:rPr>
                <w:rFonts w:ascii="宋体" w:hAnsi="宋体" w:eastAsia="宋体" w:cs="Times New Roman"/>
                <w:color w:val="auto"/>
              </w:rPr>
            </w:pPr>
            <w:r>
              <w:rPr>
                <w:rFonts w:ascii="宋体" w:hAnsi="宋体" w:eastAsia="宋体" w:cs="Times New Roman"/>
                <w:color w:val="auto"/>
              </w:rPr>
              <w:t>65.41</w:t>
            </w:r>
          </w:p>
        </w:tc>
      </w:tr>
      <w:tr w14:paraId="504A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pct"/>
            <w:shd w:val="clear" w:color="auto" w:fill="auto"/>
            <w:noWrap/>
            <w:vAlign w:val="center"/>
          </w:tcPr>
          <w:p w14:paraId="6D8A111C">
            <w:pPr>
              <w:jc w:val="center"/>
              <w:rPr>
                <w:rFonts w:ascii="宋体" w:hAnsi="宋体" w:eastAsia="宋体" w:cs="Times New Roman"/>
                <w:color w:val="auto"/>
              </w:rPr>
            </w:pPr>
            <w:r>
              <w:rPr>
                <w:rFonts w:ascii="宋体" w:hAnsi="宋体" w:eastAsia="宋体" w:cs="Times New Roman"/>
                <w:color w:val="auto"/>
              </w:rPr>
              <w:t>合计</w:t>
            </w:r>
          </w:p>
        </w:tc>
        <w:tc>
          <w:tcPr>
            <w:tcW w:w="1668" w:type="pct"/>
            <w:shd w:val="clear" w:color="auto" w:fill="auto"/>
            <w:noWrap/>
            <w:vAlign w:val="center"/>
          </w:tcPr>
          <w:p w14:paraId="64BF5029">
            <w:pPr>
              <w:jc w:val="center"/>
              <w:textAlignment w:val="center"/>
              <w:rPr>
                <w:rFonts w:ascii="宋体" w:hAnsi="宋体" w:eastAsia="宋体" w:cs="Times New Roman"/>
                <w:color w:val="auto"/>
              </w:rPr>
            </w:pPr>
            <w:r>
              <w:rPr>
                <w:rFonts w:hint="eastAsia" w:ascii="宋体" w:hAnsi="宋体" w:eastAsia="宋体" w:cs="Times New Roman"/>
                <w:color w:val="auto"/>
              </w:rPr>
              <w:t>151.3</w:t>
            </w:r>
          </w:p>
        </w:tc>
        <w:tc>
          <w:tcPr>
            <w:tcW w:w="1667" w:type="pct"/>
            <w:shd w:val="clear" w:color="auto" w:fill="auto"/>
            <w:noWrap/>
            <w:vAlign w:val="center"/>
          </w:tcPr>
          <w:p w14:paraId="1A7331CD">
            <w:pPr>
              <w:jc w:val="center"/>
              <w:textAlignment w:val="center"/>
              <w:rPr>
                <w:rFonts w:ascii="宋体" w:hAnsi="宋体" w:eastAsia="宋体" w:cs="Times New Roman"/>
                <w:color w:val="auto"/>
              </w:rPr>
            </w:pPr>
            <w:r>
              <w:rPr>
                <w:rFonts w:ascii="宋体" w:hAnsi="宋体" w:eastAsia="宋体" w:cs="Times New Roman"/>
                <w:color w:val="auto"/>
              </w:rPr>
              <w:t>100.00</w:t>
            </w:r>
          </w:p>
        </w:tc>
      </w:tr>
    </w:tbl>
    <w:p w14:paraId="4F097F50">
      <w:pPr>
        <w:pStyle w:val="276"/>
        <w:widowControl w:val="0"/>
        <w:ind w:firstLine="480"/>
        <w:jc w:val="both"/>
        <w:rPr>
          <w:color w:val="auto"/>
        </w:rPr>
      </w:pPr>
      <w:r>
        <w:rPr>
          <w:color w:val="auto"/>
        </w:rPr>
        <w:t>根据调查结果可知，评价区内植被盖度主要集中在中高覆盖区～高覆盖区，评价区植被覆盖度较高，主要以粮食作物为主，广泛分布在评价区范围内，而在居住用地植被覆盖度较低。</w:t>
      </w:r>
    </w:p>
    <w:p w14:paraId="3A66042B">
      <w:pPr>
        <w:pStyle w:val="6"/>
        <w:rPr>
          <w:color w:val="auto"/>
        </w:rPr>
      </w:pPr>
      <w:r>
        <w:rPr>
          <w:color w:val="auto"/>
        </w:rPr>
        <w:t>野生动物现状调查与评价</w:t>
      </w:r>
    </w:p>
    <w:p w14:paraId="76BAB2D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调查方法</w:t>
      </w:r>
    </w:p>
    <w:p w14:paraId="736CF943">
      <w:pPr>
        <w:pStyle w:val="276"/>
        <w:widowControl w:val="0"/>
        <w:ind w:firstLine="480"/>
        <w:jc w:val="both"/>
        <w:rPr>
          <w:color w:val="auto"/>
        </w:rPr>
      </w:pPr>
      <w:r>
        <w:rPr>
          <w:color w:val="auto"/>
        </w:rPr>
        <w:t>本次调查采用查阅文献，访谈咨询和现场调查相结合的方式。</w:t>
      </w:r>
    </w:p>
    <w:p w14:paraId="36A3810B">
      <w:pPr>
        <w:pStyle w:val="276"/>
        <w:widowControl w:val="0"/>
        <w:ind w:firstLine="480"/>
        <w:jc w:val="both"/>
        <w:rPr>
          <w:color w:val="auto"/>
        </w:rPr>
      </w:pPr>
      <w:r>
        <w:rPr>
          <w:rFonts w:hint="eastAsia"/>
          <w:color w:val="auto"/>
        </w:rPr>
        <w:t>（1）</w:t>
      </w:r>
      <w:r>
        <w:rPr>
          <w:color w:val="auto"/>
        </w:rPr>
        <w:t>文献资料收集：</w:t>
      </w:r>
      <w:r>
        <w:rPr>
          <w:rFonts w:hint="eastAsia"/>
          <w:color w:val="auto"/>
        </w:rPr>
        <w:t>参考的技术资料包括《黑龙江省鸟类志》（马建章</w:t>
      </w:r>
      <w:r>
        <w:rPr>
          <w:color w:val="auto"/>
        </w:rPr>
        <w:t>，1992）、《国家重点保护野生动物名录》（2021年2月1日）、《国家重点保护水生野生动物名录》（2021年2月11日）等文献。</w:t>
      </w:r>
    </w:p>
    <w:p w14:paraId="399A46A8">
      <w:pPr>
        <w:pStyle w:val="276"/>
        <w:widowControl w:val="0"/>
        <w:ind w:firstLine="480"/>
        <w:jc w:val="both"/>
        <w:rPr>
          <w:color w:val="auto"/>
        </w:rPr>
      </w:pPr>
      <w:r>
        <w:rPr>
          <w:rFonts w:hint="eastAsia"/>
          <w:color w:val="auto"/>
        </w:rPr>
        <w:t>（2）</w:t>
      </w:r>
      <w:r>
        <w:rPr>
          <w:color w:val="auto"/>
        </w:rPr>
        <w:t>访问调查：走访当地相关部门的工作人员、熟悉野生动物的村民和工作人员，请他们介绍在当地见到过的动物，并描述其主要特征，以了解当地动物的种类、数量和分布。</w:t>
      </w:r>
    </w:p>
    <w:p w14:paraId="6E9575B1">
      <w:pPr>
        <w:pStyle w:val="276"/>
        <w:widowControl w:val="0"/>
        <w:ind w:firstLine="480"/>
        <w:jc w:val="both"/>
        <w:rPr>
          <w:color w:val="auto"/>
          <w:kern w:val="2"/>
        </w:rPr>
      </w:pPr>
      <w:r>
        <w:rPr>
          <w:rFonts w:hint="eastAsia"/>
          <w:color w:val="auto"/>
          <w:kern w:val="2"/>
        </w:rPr>
        <w:t>（3）</w:t>
      </w:r>
      <w:r>
        <w:rPr>
          <w:color w:val="auto"/>
          <w:kern w:val="2"/>
        </w:rPr>
        <w:t>实地观测</w:t>
      </w:r>
    </w:p>
    <w:p w14:paraId="76D0FF42">
      <w:pPr>
        <w:pStyle w:val="276"/>
        <w:widowControl w:val="0"/>
        <w:ind w:firstLine="480"/>
        <w:jc w:val="both"/>
        <w:rPr>
          <w:color w:val="auto"/>
          <w:kern w:val="2"/>
        </w:rPr>
      </w:pPr>
      <w:r>
        <w:rPr>
          <w:rFonts w:hint="eastAsia"/>
          <w:color w:val="auto"/>
          <w:kern w:val="2"/>
        </w:rPr>
        <w:t>根据《环境影响评价技术导则</w:t>
      </w:r>
      <w:r>
        <w:rPr>
          <w:color w:val="auto"/>
          <w:kern w:val="2"/>
        </w:rPr>
        <w:t xml:space="preserve"> 生态影响》（HJ 19-2022）中7.3 生态现状调查要求：“二级评价每种生境类型设置的野生动物调查样线数量不少于3个”。本项目生态评价等级二级，针对项目特点，共设置样线数量3个。本次线路调查时主要针对</w:t>
      </w:r>
      <w:r>
        <w:rPr>
          <w:color w:val="auto"/>
        </w:rPr>
        <w:t>鸟类</w:t>
      </w:r>
      <w:r>
        <w:rPr>
          <w:color w:val="auto"/>
          <w:kern w:val="2"/>
        </w:rPr>
        <w:t>进行调查。</w:t>
      </w:r>
    </w:p>
    <w:p w14:paraId="2E7E0E22">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现场调查</w:t>
      </w:r>
    </w:p>
    <w:p w14:paraId="34F0FC94">
      <w:pPr>
        <w:pStyle w:val="276"/>
        <w:widowControl w:val="0"/>
        <w:ind w:firstLine="480"/>
        <w:jc w:val="both"/>
        <w:rPr>
          <w:color w:val="auto"/>
        </w:rPr>
      </w:pPr>
      <w:r>
        <w:rPr>
          <w:rFonts w:hint="eastAsia"/>
          <w:color w:val="auto"/>
        </w:rPr>
        <w:t>（1）调查方法、样线调查设置</w:t>
      </w:r>
    </w:p>
    <w:p w14:paraId="1C168585">
      <w:pPr>
        <w:pStyle w:val="276"/>
        <w:widowControl w:val="0"/>
        <w:ind w:firstLine="480"/>
        <w:jc w:val="both"/>
        <w:rPr>
          <w:color w:val="auto"/>
        </w:rPr>
      </w:pPr>
      <w:r>
        <w:rPr>
          <w:color w:val="auto"/>
        </w:rPr>
        <w:t>参照《生物多样性观测技术导则  陆生哺乳动物》（HJ710.3-2014）、《生物多样性观测技术导则 爬行动物》（HJ710.5-2014）、《生物多样性观测技术导则 鸟类》（HJ710.4-2014），于2025年10月采取样线调查法对项目区周边野生动物现状进行了1次实地调查。利用评价区内小径、步道等设置样线，观测野生动物及其活动痕迹（如粪便、足迹链等）。鸟类调查主要采用样点法进行，调查中使用20×50双筒望远镜，对于无法辨识鸟类，使用相机进行拍照记录以便后期鉴定。</w:t>
      </w:r>
      <w:r>
        <w:rPr>
          <w:rFonts w:hint="eastAsia"/>
          <w:color w:val="auto"/>
        </w:rPr>
        <w:t>共</w:t>
      </w:r>
      <w:r>
        <w:rPr>
          <w:color w:val="auto"/>
        </w:rPr>
        <w:t>布设3条样线。评价范围内调查样线设置明细见表4.4-10，样线布设位置见附图</w:t>
      </w:r>
      <w:r>
        <w:rPr>
          <w:rFonts w:hint="eastAsia"/>
          <w:color w:val="auto"/>
        </w:rPr>
        <w:t>21</w:t>
      </w:r>
      <w:r>
        <w:rPr>
          <w:color w:val="auto"/>
        </w:rPr>
        <w:t>。</w:t>
      </w:r>
    </w:p>
    <w:p w14:paraId="1390FE5B">
      <w:pPr>
        <w:rPr>
          <w:rFonts w:hint="eastAsia"/>
          <w:color w:val="auto"/>
        </w:rPr>
      </w:pPr>
    </w:p>
    <w:p w14:paraId="270D0B4C">
      <w:pPr>
        <w:spacing w:line="440" w:lineRule="exact"/>
        <w:ind w:firstLine="420" w:firstLineChars="200"/>
        <w:jc w:val="center"/>
        <w:rPr>
          <w:rFonts w:ascii="宋体" w:hAnsi="宋体" w:eastAsia="宋体" w:cs="Times New Roman"/>
          <w:color w:val="auto"/>
          <w:szCs w:val="28"/>
        </w:rPr>
      </w:pPr>
      <w:r>
        <w:rPr>
          <w:rFonts w:ascii="宋体" w:hAnsi="宋体" w:eastAsia="宋体" w:cs="Times New Roman"/>
          <w:color w:val="auto"/>
          <w:szCs w:val="28"/>
        </w:rPr>
        <w:t>表4.4-10   样线设置点位情况表</w:t>
      </w:r>
    </w:p>
    <w:tbl>
      <w:tblPr>
        <w:tblStyle w:val="81"/>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61"/>
        <w:gridCol w:w="1161"/>
        <w:gridCol w:w="725"/>
        <w:gridCol w:w="1741"/>
        <w:gridCol w:w="1161"/>
        <w:gridCol w:w="871"/>
        <w:gridCol w:w="727"/>
        <w:gridCol w:w="871"/>
      </w:tblGrid>
      <w:tr w14:paraId="7AA0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tcBorders>
              <w:top w:val="single" w:color="auto" w:sz="4" w:space="0"/>
              <w:left w:val="single" w:color="auto" w:sz="4" w:space="0"/>
              <w:right w:val="single" w:color="auto" w:sz="4" w:space="0"/>
            </w:tcBorders>
            <w:noWrap/>
            <w:vAlign w:val="center"/>
          </w:tcPr>
          <w:p w14:paraId="3A771D21">
            <w:pPr>
              <w:spacing w:line="360" w:lineRule="exact"/>
              <w:jc w:val="center"/>
              <w:rPr>
                <w:rFonts w:ascii="宋体" w:hAnsi="宋体" w:eastAsia="宋体" w:cs="Times New Roman"/>
                <w:color w:val="auto"/>
              </w:rPr>
            </w:pPr>
            <w:r>
              <w:rPr>
                <w:rFonts w:ascii="宋体" w:hAnsi="宋体" w:eastAsia="宋体" w:cs="Times New Roman"/>
                <w:color w:val="auto"/>
              </w:rPr>
              <w:t>样线编号</w:t>
            </w:r>
          </w:p>
        </w:tc>
        <w:tc>
          <w:tcPr>
            <w:tcW w:w="1269" w:type="pct"/>
            <w:gridSpan w:val="2"/>
            <w:tcBorders>
              <w:top w:val="single" w:color="auto" w:sz="4" w:space="0"/>
              <w:left w:val="single" w:color="auto" w:sz="4" w:space="0"/>
              <w:bottom w:val="single" w:color="auto" w:sz="4" w:space="0"/>
              <w:right w:val="single" w:color="auto" w:sz="4" w:space="0"/>
            </w:tcBorders>
            <w:noWrap/>
            <w:vAlign w:val="center"/>
          </w:tcPr>
          <w:p w14:paraId="06A54F83">
            <w:pPr>
              <w:spacing w:line="360" w:lineRule="exact"/>
              <w:jc w:val="center"/>
              <w:rPr>
                <w:rFonts w:ascii="宋体" w:hAnsi="宋体" w:eastAsia="宋体" w:cs="Times New Roman"/>
                <w:color w:val="auto"/>
              </w:rPr>
            </w:pPr>
            <w:r>
              <w:rPr>
                <w:rFonts w:ascii="宋体" w:hAnsi="宋体" w:eastAsia="宋体" w:cs="Times New Roman"/>
                <w:color w:val="auto"/>
              </w:rPr>
              <w:t>样线中心坐标（°）</w:t>
            </w:r>
          </w:p>
        </w:tc>
        <w:tc>
          <w:tcPr>
            <w:tcW w:w="396" w:type="pct"/>
            <w:vMerge w:val="restart"/>
            <w:tcBorders>
              <w:top w:val="single" w:color="auto" w:sz="4" w:space="0"/>
              <w:left w:val="single" w:color="auto" w:sz="4" w:space="0"/>
              <w:right w:val="single" w:color="auto" w:sz="4" w:space="0"/>
            </w:tcBorders>
            <w:vAlign w:val="center"/>
          </w:tcPr>
          <w:p w14:paraId="0EE803DF">
            <w:pPr>
              <w:spacing w:line="360" w:lineRule="exact"/>
              <w:jc w:val="center"/>
              <w:rPr>
                <w:rFonts w:ascii="宋体" w:hAnsi="宋体" w:eastAsia="宋体" w:cs="Times New Roman"/>
                <w:color w:val="auto"/>
              </w:rPr>
            </w:pPr>
            <w:r>
              <w:rPr>
                <w:rFonts w:ascii="宋体" w:hAnsi="宋体" w:eastAsia="宋体" w:cs="Times New Roman"/>
                <w:color w:val="auto"/>
              </w:rPr>
              <w:t>生境类型</w:t>
            </w:r>
          </w:p>
        </w:tc>
        <w:tc>
          <w:tcPr>
            <w:tcW w:w="952" w:type="pct"/>
            <w:vMerge w:val="restart"/>
            <w:tcBorders>
              <w:top w:val="single" w:color="auto" w:sz="4" w:space="0"/>
              <w:left w:val="single" w:color="auto" w:sz="4" w:space="0"/>
              <w:right w:val="single" w:color="auto" w:sz="4" w:space="0"/>
            </w:tcBorders>
            <w:vAlign w:val="center"/>
          </w:tcPr>
          <w:p w14:paraId="75E94D16">
            <w:pPr>
              <w:spacing w:line="360" w:lineRule="exact"/>
              <w:jc w:val="center"/>
              <w:rPr>
                <w:rFonts w:ascii="宋体" w:hAnsi="宋体" w:eastAsia="宋体" w:cs="Times New Roman"/>
                <w:color w:val="auto"/>
              </w:rPr>
            </w:pPr>
            <w:r>
              <w:rPr>
                <w:rFonts w:ascii="宋体" w:hAnsi="宋体" w:eastAsia="宋体" w:cs="Times New Roman"/>
                <w:color w:val="auto"/>
              </w:rPr>
              <w:t>主要调查物种</w:t>
            </w:r>
          </w:p>
        </w:tc>
        <w:tc>
          <w:tcPr>
            <w:tcW w:w="635" w:type="pct"/>
            <w:vMerge w:val="restart"/>
            <w:tcBorders>
              <w:top w:val="single" w:color="auto" w:sz="4" w:space="0"/>
              <w:left w:val="single" w:color="auto" w:sz="4" w:space="0"/>
              <w:right w:val="single" w:color="auto" w:sz="4" w:space="0"/>
            </w:tcBorders>
            <w:vAlign w:val="center"/>
          </w:tcPr>
          <w:p w14:paraId="123F4559">
            <w:pPr>
              <w:spacing w:line="360" w:lineRule="exact"/>
              <w:jc w:val="center"/>
              <w:rPr>
                <w:rFonts w:ascii="宋体" w:hAnsi="宋体" w:eastAsia="宋体" w:cs="Times New Roman"/>
                <w:color w:val="auto"/>
              </w:rPr>
            </w:pPr>
            <w:r>
              <w:rPr>
                <w:rFonts w:ascii="宋体" w:hAnsi="宋体" w:eastAsia="宋体" w:cs="Times New Roman"/>
                <w:color w:val="auto"/>
              </w:rPr>
              <w:t>样线长度（m）</w:t>
            </w:r>
          </w:p>
        </w:tc>
        <w:tc>
          <w:tcPr>
            <w:tcW w:w="476" w:type="pct"/>
            <w:vMerge w:val="restart"/>
            <w:tcBorders>
              <w:top w:val="single" w:color="auto" w:sz="4" w:space="0"/>
              <w:left w:val="single" w:color="auto" w:sz="4" w:space="0"/>
              <w:right w:val="single" w:color="auto" w:sz="4" w:space="0"/>
            </w:tcBorders>
            <w:vAlign w:val="center"/>
          </w:tcPr>
          <w:p w14:paraId="205420A8">
            <w:pPr>
              <w:spacing w:line="360" w:lineRule="exact"/>
              <w:jc w:val="center"/>
              <w:rPr>
                <w:rFonts w:ascii="宋体" w:hAnsi="宋体" w:eastAsia="宋体" w:cs="Times New Roman"/>
                <w:color w:val="auto"/>
              </w:rPr>
            </w:pPr>
            <w:r>
              <w:rPr>
                <w:rFonts w:ascii="宋体" w:hAnsi="宋体" w:eastAsia="宋体" w:cs="Times New Roman"/>
                <w:color w:val="auto"/>
              </w:rPr>
              <w:t>观测行进速度</w:t>
            </w:r>
          </w:p>
        </w:tc>
        <w:tc>
          <w:tcPr>
            <w:tcW w:w="397" w:type="pct"/>
            <w:vMerge w:val="restart"/>
            <w:tcBorders>
              <w:top w:val="single" w:color="auto" w:sz="4" w:space="0"/>
              <w:left w:val="single" w:color="auto" w:sz="4" w:space="0"/>
              <w:right w:val="single" w:color="auto" w:sz="4" w:space="0"/>
            </w:tcBorders>
            <w:vAlign w:val="center"/>
          </w:tcPr>
          <w:p w14:paraId="56757EC8">
            <w:pPr>
              <w:spacing w:line="360" w:lineRule="exact"/>
              <w:jc w:val="center"/>
              <w:rPr>
                <w:rFonts w:ascii="宋体" w:hAnsi="宋体" w:eastAsia="宋体" w:cs="Times New Roman"/>
                <w:color w:val="auto"/>
              </w:rPr>
            </w:pPr>
            <w:r>
              <w:rPr>
                <w:rFonts w:ascii="宋体" w:hAnsi="宋体" w:eastAsia="宋体" w:cs="Times New Roman"/>
                <w:color w:val="auto"/>
              </w:rPr>
              <w:t>调查次数</w:t>
            </w:r>
          </w:p>
        </w:tc>
        <w:tc>
          <w:tcPr>
            <w:tcW w:w="477" w:type="pct"/>
            <w:vMerge w:val="restart"/>
            <w:tcBorders>
              <w:top w:val="single" w:color="auto" w:sz="4" w:space="0"/>
              <w:left w:val="single" w:color="auto" w:sz="4" w:space="0"/>
              <w:right w:val="single" w:color="auto" w:sz="4" w:space="0"/>
            </w:tcBorders>
            <w:vAlign w:val="center"/>
          </w:tcPr>
          <w:p w14:paraId="748DAFDF">
            <w:pPr>
              <w:spacing w:line="360" w:lineRule="exact"/>
              <w:jc w:val="center"/>
              <w:rPr>
                <w:rFonts w:ascii="宋体" w:hAnsi="宋体" w:eastAsia="宋体" w:cs="Times New Roman"/>
                <w:color w:val="auto"/>
              </w:rPr>
            </w:pPr>
            <w:r>
              <w:rPr>
                <w:rFonts w:ascii="宋体" w:hAnsi="宋体" w:eastAsia="宋体" w:cs="Times New Roman"/>
                <w:color w:val="auto"/>
              </w:rPr>
              <w:t>持续天数</w:t>
            </w:r>
          </w:p>
        </w:tc>
      </w:tr>
      <w:tr w14:paraId="3126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tcBorders>
              <w:left w:val="single" w:color="auto" w:sz="4" w:space="0"/>
              <w:bottom w:val="single" w:color="auto" w:sz="4" w:space="0"/>
              <w:right w:val="single" w:color="auto" w:sz="4" w:space="0"/>
            </w:tcBorders>
            <w:noWrap/>
            <w:vAlign w:val="center"/>
          </w:tcPr>
          <w:p w14:paraId="0A2919A1">
            <w:pPr>
              <w:spacing w:line="360" w:lineRule="exact"/>
              <w:jc w:val="center"/>
              <w:rPr>
                <w:rFonts w:ascii="宋体" w:hAnsi="宋体" w:eastAsia="宋体" w:cs="Times New Roman"/>
                <w:color w:val="auto"/>
              </w:rPr>
            </w:pPr>
          </w:p>
        </w:tc>
        <w:tc>
          <w:tcPr>
            <w:tcW w:w="635" w:type="pct"/>
            <w:tcBorders>
              <w:top w:val="single" w:color="auto" w:sz="4" w:space="0"/>
              <w:left w:val="single" w:color="auto" w:sz="4" w:space="0"/>
              <w:bottom w:val="single" w:color="auto" w:sz="4" w:space="0"/>
              <w:right w:val="single" w:color="auto" w:sz="4" w:space="0"/>
            </w:tcBorders>
            <w:noWrap/>
            <w:vAlign w:val="center"/>
          </w:tcPr>
          <w:p w14:paraId="65C8ED28">
            <w:pPr>
              <w:spacing w:line="360" w:lineRule="exact"/>
              <w:jc w:val="center"/>
              <w:rPr>
                <w:rFonts w:ascii="宋体" w:hAnsi="宋体" w:eastAsia="宋体" w:cs="Times New Roman"/>
                <w:color w:val="auto"/>
              </w:rPr>
            </w:pPr>
            <w:r>
              <w:rPr>
                <w:rFonts w:hint="eastAsia" w:ascii="宋体" w:hAnsi="宋体" w:eastAsia="宋体" w:cs="Times New Roman"/>
                <w:color w:val="auto"/>
              </w:rPr>
              <w:t>起点</w:t>
            </w:r>
            <w:r>
              <w:rPr>
                <w:rFonts w:ascii="宋体" w:hAnsi="宋体" w:eastAsia="宋体" w:cs="Times New Roman"/>
                <w:color w:val="auto"/>
              </w:rPr>
              <w:t>经</w:t>
            </w:r>
            <w:r>
              <w:rPr>
                <w:rFonts w:hint="eastAsia" w:ascii="宋体" w:hAnsi="宋体" w:eastAsia="宋体" w:cs="Times New Roman"/>
                <w:color w:val="auto"/>
              </w:rPr>
              <w:t>纬</w:t>
            </w:r>
            <w:r>
              <w:rPr>
                <w:rFonts w:ascii="宋体" w:hAnsi="宋体" w:eastAsia="宋体" w:cs="Times New Roman"/>
                <w:color w:val="auto"/>
              </w:rPr>
              <w:t>度</w:t>
            </w:r>
          </w:p>
        </w:tc>
        <w:tc>
          <w:tcPr>
            <w:tcW w:w="635" w:type="pct"/>
            <w:tcBorders>
              <w:top w:val="single" w:color="auto" w:sz="4" w:space="0"/>
              <w:left w:val="single" w:color="auto" w:sz="4" w:space="0"/>
              <w:bottom w:val="single" w:color="auto" w:sz="4" w:space="0"/>
              <w:right w:val="single" w:color="auto" w:sz="4" w:space="0"/>
            </w:tcBorders>
            <w:noWrap/>
            <w:vAlign w:val="center"/>
          </w:tcPr>
          <w:p w14:paraId="683F1628">
            <w:pPr>
              <w:spacing w:line="360" w:lineRule="exact"/>
              <w:jc w:val="center"/>
              <w:rPr>
                <w:rFonts w:ascii="宋体" w:hAnsi="宋体" w:eastAsia="宋体" w:cs="Times New Roman"/>
                <w:color w:val="auto"/>
              </w:rPr>
            </w:pPr>
            <w:r>
              <w:rPr>
                <w:rFonts w:hint="eastAsia" w:ascii="宋体" w:hAnsi="宋体" w:eastAsia="宋体" w:cs="Times New Roman"/>
                <w:color w:val="auto"/>
              </w:rPr>
              <w:t>终点经</w:t>
            </w:r>
            <w:r>
              <w:rPr>
                <w:rFonts w:ascii="宋体" w:hAnsi="宋体" w:eastAsia="宋体" w:cs="Times New Roman"/>
                <w:color w:val="auto"/>
              </w:rPr>
              <w:t>纬度</w:t>
            </w:r>
          </w:p>
        </w:tc>
        <w:tc>
          <w:tcPr>
            <w:tcW w:w="396" w:type="pct"/>
            <w:vMerge w:val="continue"/>
            <w:tcBorders>
              <w:left w:val="single" w:color="auto" w:sz="4" w:space="0"/>
              <w:bottom w:val="single" w:color="auto" w:sz="4" w:space="0"/>
              <w:right w:val="single" w:color="auto" w:sz="4" w:space="0"/>
            </w:tcBorders>
            <w:vAlign w:val="center"/>
          </w:tcPr>
          <w:p w14:paraId="5741FBAF">
            <w:pPr>
              <w:spacing w:line="360" w:lineRule="exact"/>
              <w:jc w:val="center"/>
              <w:rPr>
                <w:rFonts w:ascii="宋体" w:hAnsi="宋体" w:eastAsia="宋体" w:cs="Times New Roman"/>
                <w:color w:val="auto"/>
              </w:rPr>
            </w:pPr>
          </w:p>
        </w:tc>
        <w:tc>
          <w:tcPr>
            <w:tcW w:w="952" w:type="pct"/>
            <w:vMerge w:val="continue"/>
            <w:tcBorders>
              <w:left w:val="single" w:color="auto" w:sz="4" w:space="0"/>
              <w:bottom w:val="single" w:color="auto" w:sz="4" w:space="0"/>
              <w:right w:val="single" w:color="auto" w:sz="4" w:space="0"/>
            </w:tcBorders>
            <w:vAlign w:val="center"/>
          </w:tcPr>
          <w:p w14:paraId="19614BC8">
            <w:pPr>
              <w:spacing w:line="360" w:lineRule="exact"/>
              <w:jc w:val="center"/>
              <w:rPr>
                <w:rFonts w:ascii="宋体" w:hAnsi="宋体" w:eastAsia="宋体" w:cs="Times New Roman"/>
                <w:color w:val="auto"/>
              </w:rPr>
            </w:pPr>
          </w:p>
        </w:tc>
        <w:tc>
          <w:tcPr>
            <w:tcW w:w="635" w:type="pct"/>
            <w:vMerge w:val="continue"/>
            <w:tcBorders>
              <w:left w:val="single" w:color="auto" w:sz="4" w:space="0"/>
              <w:bottom w:val="single" w:color="auto" w:sz="4" w:space="0"/>
              <w:right w:val="single" w:color="auto" w:sz="4" w:space="0"/>
            </w:tcBorders>
            <w:vAlign w:val="center"/>
          </w:tcPr>
          <w:p w14:paraId="44A4FE04">
            <w:pPr>
              <w:spacing w:line="360" w:lineRule="exact"/>
              <w:jc w:val="center"/>
              <w:rPr>
                <w:rFonts w:ascii="宋体" w:hAnsi="宋体" w:eastAsia="宋体" w:cs="Times New Roman"/>
                <w:color w:val="auto"/>
              </w:rPr>
            </w:pPr>
          </w:p>
        </w:tc>
        <w:tc>
          <w:tcPr>
            <w:tcW w:w="476" w:type="pct"/>
            <w:vMerge w:val="continue"/>
            <w:tcBorders>
              <w:left w:val="single" w:color="auto" w:sz="4" w:space="0"/>
              <w:bottom w:val="single" w:color="auto" w:sz="4" w:space="0"/>
              <w:right w:val="single" w:color="auto" w:sz="4" w:space="0"/>
            </w:tcBorders>
            <w:vAlign w:val="center"/>
          </w:tcPr>
          <w:p w14:paraId="08B1A870">
            <w:pPr>
              <w:spacing w:line="360" w:lineRule="exact"/>
              <w:jc w:val="center"/>
              <w:rPr>
                <w:rFonts w:ascii="宋体" w:hAnsi="宋体" w:eastAsia="宋体" w:cs="Times New Roman"/>
                <w:color w:val="auto"/>
              </w:rPr>
            </w:pPr>
          </w:p>
        </w:tc>
        <w:tc>
          <w:tcPr>
            <w:tcW w:w="397" w:type="pct"/>
            <w:vMerge w:val="continue"/>
            <w:tcBorders>
              <w:left w:val="single" w:color="auto" w:sz="4" w:space="0"/>
              <w:bottom w:val="single" w:color="auto" w:sz="4" w:space="0"/>
              <w:right w:val="single" w:color="auto" w:sz="4" w:space="0"/>
            </w:tcBorders>
            <w:vAlign w:val="center"/>
          </w:tcPr>
          <w:p w14:paraId="22978105">
            <w:pPr>
              <w:spacing w:line="360" w:lineRule="exact"/>
              <w:jc w:val="center"/>
              <w:rPr>
                <w:rFonts w:ascii="宋体" w:hAnsi="宋体" w:eastAsia="宋体" w:cs="Times New Roman"/>
                <w:color w:val="auto"/>
              </w:rPr>
            </w:pPr>
          </w:p>
        </w:tc>
        <w:tc>
          <w:tcPr>
            <w:tcW w:w="477" w:type="pct"/>
            <w:vMerge w:val="continue"/>
            <w:tcBorders>
              <w:left w:val="single" w:color="auto" w:sz="4" w:space="0"/>
              <w:bottom w:val="single" w:color="auto" w:sz="4" w:space="0"/>
              <w:right w:val="single" w:color="auto" w:sz="4" w:space="0"/>
            </w:tcBorders>
            <w:vAlign w:val="center"/>
          </w:tcPr>
          <w:p w14:paraId="293D565D">
            <w:pPr>
              <w:spacing w:line="360" w:lineRule="exact"/>
              <w:jc w:val="center"/>
              <w:rPr>
                <w:rFonts w:ascii="宋体" w:hAnsi="宋体" w:eastAsia="宋体" w:cs="Times New Roman"/>
                <w:color w:val="auto"/>
              </w:rPr>
            </w:pPr>
          </w:p>
        </w:tc>
      </w:tr>
      <w:tr w14:paraId="48D5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op w:val="single" w:color="auto" w:sz="4" w:space="0"/>
              <w:left w:val="single" w:color="auto" w:sz="4" w:space="0"/>
              <w:bottom w:val="single" w:color="auto" w:sz="4" w:space="0"/>
              <w:right w:val="single" w:color="auto" w:sz="4" w:space="0"/>
            </w:tcBorders>
            <w:noWrap/>
            <w:vAlign w:val="center"/>
          </w:tcPr>
          <w:p w14:paraId="3E7C77E8">
            <w:pPr>
              <w:spacing w:line="360" w:lineRule="exact"/>
              <w:jc w:val="center"/>
              <w:rPr>
                <w:rFonts w:ascii="宋体" w:hAnsi="宋体" w:eastAsia="宋体" w:cs="Times New Roman"/>
                <w:color w:val="auto"/>
              </w:rPr>
            </w:pPr>
            <w:r>
              <w:rPr>
                <w:rFonts w:ascii="宋体" w:hAnsi="宋体" w:eastAsia="宋体" w:cs="Times New Roman"/>
                <w:color w:val="auto"/>
              </w:rPr>
              <w:t>1</w:t>
            </w:r>
          </w:p>
        </w:tc>
        <w:tc>
          <w:tcPr>
            <w:tcW w:w="635" w:type="pct"/>
            <w:tcBorders>
              <w:top w:val="single" w:color="auto" w:sz="4" w:space="0"/>
              <w:left w:val="single" w:color="auto" w:sz="4" w:space="0"/>
              <w:bottom w:val="single" w:color="auto" w:sz="4" w:space="0"/>
              <w:right w:val="single" w:color="auto" w:sz="4" w:space="0"/>
            </w:tcBorders>
            <w:noWrap/>
            <w:vAlign w:val="center"/>
          </w:tcPr>
          <w:p w14:paraId="4810C57D">
            <w:pPr>
              <w:spacing w:line="360" w:lineRule="exact"/>
              <w:jc w:val="center"/>
              <w:textAlignment w:val="center"/>
              <w:rPr>
                <w:rFonts w:ascii="宋体" w:hAnsi="宋体" w:eastAsia="宋体" w:cs="Times New Roman"/>
                <w:color w:val="auto"/>
              </w:rPr>
            </w:pPr>
            <w:r>
              <w:rPr>
                <w:rFonts w:ascii="宋体" w:hAnsi="宋体" w:eastAsia="宋体" w:cs="Times New Roman"/>
                <w:color w:val="auto"/>
              </w:rPr>
              <w:t>125.05049411E</w:t>
            </w:r>
            <w:r>
              <w:rPr>
                <w:rFonts w:hint="eastAsia" w:ascii="宋体" w:hAnsi="宋体" w:eastAsia="宋体" w:cs="Times New Roman"/>
                <w:color w:val="auto"/>
              </w:rPr>
              <w:t>，</w:t>
            </w:r>
            <w:r>
              <w:rPr>
                <w:rFonts w:ascii="宋体" w:hAnsi="宋体" w:eastAsia="宋体" w:cs="Times New Roman"/>
                <w:color w:val="auto"/>
              </w:rPr>
              <w:t>45.51629344N</w:t>
            </w:r>
          </w:p>
        </w:tc>
        <w:tc>
          <w:tcPr>
            <w:tcW w:w="635" w:type="pct"/>
            <w:tcBorders>
              <w:top w:val="single" w:color="auto" w:sz="4" w:space="0"/>
              <w:left w:val="single" w:color="auto" w:sz="4" w:space="0"/>
              <w:bottom w:val="single" w:color="auto" w:sz="4" w:space="0"/>
              <w:right w:val="single" w:color="auto" w:sz="4" w:space="0"/>
            </w:tcBorders>
            <w:noWrap/>
            <w:vAlign w:val="center"/>
          </w:tcPr>
          <w:p w14:paraId="46752DD1">
            <w:pPr>
              <w:spacing w:line="360" w:lineRule="exact"/>
              <w:jc w:val="center"/>
              <w:textAlignment w:val="center"/>
              <w:rPr>
                <w:rFonts w:ascii="宋体" w:hAnsi="宋体" w:eastAsia="宋体" w:cs="Times New Roman"/>
                <w:color w:val="auto"/>
              </w:rPr>
            </w:pPr>
            <w:bookmarkStart w:id="1256" w:name="OLE_LINK71"/>
            <w:r>
              <w:rPr>
                <w:rFonts w:ascii="宋体" w:hAnsi="宋体" w:eastAsia="宋体" w:cs="Times New Roman"/>
                <w:color w:val="auto"/>
              </w:rPr>
              <w:t>125.05721146E</w:t>
            </w:r>
            <w:r>
              <w:rPr>
                <w:rFonts w:hint="eastAsia" w:ascii="宋体" w:hAnsi="宋体" w:eastAsia="宋体" w:cs="Times New Roman"/>
                <w:color w:val="auto"/>
              </w:rPr>
              <w:t>，</w:t>
            </w:r>
            <w:r>
              <w:rPr>
                <w:rFonts w:ascii="宋体" w:hAnsi="宋体" w:eastAsia="宋体" w:cs="Times New Roman"/>
                <w:color w:val="auto"/>
              </w:rPr>
              <w:t>45.51100037N</w:t>
            </w:r>
            <w:bookmarkEnd w:id="1256"/>
          </w:p>
        </w:tc>
        <w:tc>
          <w:tcPr>
            <w:tcW w:w="396" w:type="pct"/>
            <w:tcBorders>
              <w:top w:val="single" w:color="auto" w:sz="4" w:space="0"/>
              <w:left w:val="single" w:color="auto" w:sz="4" w:space="0"/>
              <w:bottom w:val="single" w:color="auto" w:sz="4" w:space="0"/>
              <w:right w:val="single" w:color="auto" w:sz="4" w:space="0"/>
            </w:tcBorders>
            <w:vAlign w:val="center"/>
          </w:tcPr>
          <w:p w14:paraId="186B89DD">
            <w:pPr>
              <w:spacing w:line="360" w:lineRule="exact"/>
              <w:jc w:val="center"/>
              <w:rPr>
                <w:rFonts w:ascii="宋体" w:hAnsi="宋体" w:eastAsia="宋体" w:cs="Times New Roman"/>
                <w:color w:val="auto"/>
              </w:rPr>
            </w:pPr>
            <w:r>
              <w:rPr>
                <w:rFonts w:ascii="宋体" w:hAnsi="宋体" w:eastAsia="宋体" w:cs="Times New Roman"/>
                <w:color w:val="auto"/>
              </w:rPr>
              <w:t>乔木林</w:t>
            </w:r>
            <w:r>
              <w:rPr>
                <w:rFonts w:hint="eastAsia" w:ascii="宋体" w:hAnsi="宋体" w:eastAsia="宋体" w:cs="Times New Roman"/>
                <w:color w:val="auto"/>
              </w:rPr>
              <w:t>+草地+湿地</w:t>
            </w:r>
          </w:p>
        </w:tc>
        <w:tc>
          <w:tcPr>
            <w:tcW w:w="952" w:type="pct"/>
            <w:tcBorders>
              <w:top w:val="single" w:color="auto" w:sz="4" w:space="0"/>
              <w:left w:val="single" w:color="auto" w:sz="4" w:space="0"/>
              <w:bottom w:val="single" w:color="auto" w:sz="4" w:space="0"/>
              <w:right w:val="single" w:color="auto" w:sz="4" w:space="0"/>
            </w:tcBorders>
            <w:vAlign w:val="center"/>
          </w:tcPr>
          <w:p w14:paraId="70949C14">
            <w:pPr>
              <w:spacing w:line="360" w:lineRule="exact"/>
              <w:jc w:val="center"/>
              <w:rPr>
                <w:rFonts w:ascii="宋体" w:hAnsi="宋体" w:eastAsia="宋体" w:cs="Times New Roman"/>
                <w:color w:val="auto"/>
              </w:rPr>
            </w:pPr>
            <w:r>
              <w:rPr>
                <w:rFonts w:ascii="宋体" w:hAnsi="宋体" w:eastAsia="宋体" w:cs="Times New Roman"/>
                <w:color w:val="auto"/>
              </w:rPr>
              <w:t>陆生哺乳动物、爬行动物、两栖动物、鸟类</w:t>
            </w:r>
          </w:p>
        </w:tc>
        <w:tc>
          <w:tcPr>
            <w:tcW w:w="635" w:type="pct"/>
            <w:tcBorders>
              <w:top w:val="single" w:color="auto" w:sz="4" w:space="0"/>
              <w:left w:val="single" w:color="auto" w:sz="4" w:space="0"/>
              <w:bottom w:val="single" w:color="auto" w:sz="4" w:space="0"/>
              <w:right w:val="single" w:color="auto" w:sz="4" w:space="0"/>
            </w:tcBorders>
            <w:vAlign w:val="center"/>
          </w:tcPr>
          <w:p w14:paraId="10349F55">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1000</w:t>
            </w:r>
          </w:p>
        </w:tc>
        <w:tc>
          <w:tcPr>
            <w:tcW w:w="476" w:type="pct"/>
            <w:tcBorders>
              <w:top w:val="single" w:color="auto" w:sz="4" w:space="0"/>
              <w:left w:val="single" w:color="auto" w:sz="4" w:space="0"/>
              <w:bottom w:val="single" w:color="auto" w:sz="4" w:space="0"/>
              <w:right w:val="single" w:color="auto" w:sz="4" w:space="0"/>
            </w:tcBorders>
            <w:vAlign w:val="center"/>
          </w:tcPr>
          <w:p w14:paraId="4DD1414A">
            <w:pPr>
              <w:spacing w:line="360" w:lineRule="exact"/>
              <w:jc w:val="center"/>
              <w:rPr>
                <w:rFonts w:ascii="宋体" w:hAnsi="宋体" w:eastAsia="宋体" w:cs="Times New Roman"/>
                <w:color w:val="auto"/>
              </w:rPr>
            </w:pPr>
            <w:r>
              <w:rPr>
                <w:rFonts w:ascii="宋体" w:hAnsi="宋体" w:eastAsia="宋体" w:cs="Times New Roman"/>
                <w:color w:val="auto"/>
              </w:rPr>
              <w:t>1.5～3km/h</w:t>
            </w:r>
          </w:p>
        </w:tc>
        <w:tc>
          <w:tcPr>
            <w:tcW w:w="397" w:type="pct"/>
            <w:tcBorders>
              <w:top w:val="single" w:color="auto" w:sz="4" w:space="0"/>
              <w:left w:val="single" w:color="auto" w:sz="4" w:space="0"/>
              <w:bottom w:val="single" w:color="auto" w:sz="4" w:space="0"/>
              <w:right w:val="single" w:color="auto" w:sz="4" w:space="0"/>
            </w:tcBorders>
            <w:vAlign w:val="center"/>
          </w:tcPr>
          <w:p w14:paraId="6FC2A3AC">
            <w:pPr>
              <w:spacing w:line="360" w:lineRule="exact"/>
              <w:jc w:val="center"/>
              <w:rPr>
                <w:rFonts w:ascii="宋体" w:hAnsi="宋体" w:eastAsia="宋体" w:cs="Times New Roman"/>
                <w:color w:val="auto"/>
              </w:rPr>
            </w:pPr>
            <w:r>
              <w:rPr>
                <w:rFonts w:ascii="宋体" w:hAnsi="宋体" w:eastAsia="宋体" w:cs="Times New Roman"/>
                <w:color w:val="auto"/>
              </w:rPr>
              <w:t>1次</w:t>
            </w:r>
          </w:p>
        </w:tc>
        <w:tc>
          <w:tcPr>
            <w:tcW w:w="477" w:type="pct"/>
            <w:tcBorders>
              <w:top w:val="single" w:color="auto" w:sz="4" w:space="0"/>
              <w:left w:val="single" w:color="auto" w:sz="4" w:space="0"/>
              <w:bottom w:val="single" w:color="auto" w:sz="4" w:space="0"/>
              <w:right w:val="single" w:color="auto" w:sz="4" w:space="0"/>
            </w:tcBorders>
            <w:vAlign w:val="center"/>
          </w:tcPr>
          <w:p w14:paraId="190DFDFD">
            <w:pPr>
              <w:spacing w:line="360" w:lineRule="exact"/>
              <w:jc w:val="center"/>
              <w:rPr>
                <w:rFonts w:ascii="宋体" w:hAnsi="宋体" w:eastAsia="宋体" w:cs="Times New Roman"/>
                <w:color w:val="auto"/>
              </w:rPr>
            </w:pPr>
            <w:r>
              <w:rPr>
                <w:rFonts w:ascii="宋体" w:hAnsi="宋体" w:eastAsia="宋体" w:cs="Times New Roman"/>
                <w:color w:val="auto"/>
              </w:rPr>
              <w:t>2天/次调查</w:t>
            </w:r>
          </w:p>
        </w:tc>
      </w:tr>
      <w:tr w14:paraId="6783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op w:val="single" w:color="auto" w:sz="4" w:space="0"/>
              <w:left w:val="single" w:color="auto" w:sz="4" w:space="0"/>
              <w:bottom w:val="single" w:color="auto" w:sz="4" w:space="0"/>
              <w:right w:val="single" w:color="auto" w:sz="4" w:space="0"/>
            </w:tcBorders>
            <w:noWrap/>
            <w:vAlign w:val="center"/>
          </w:tcPr>
          <w:p w14:paraId="4588337F">
            <w:pPr>
              <w:spacing w:line="360" w:lineRule="exact"/>
              <w:jc w:val="center"/>
              <w:rPr>
                <w:rFonts w:ascii="宋体" w:hAnsi="宋体" w:eastAsia="宋体" w:cs="Times New Roman"/>
                <w:color w:val="auto"/>
              </w:rPr>
            </w:pPr>
            <w:r>
              <w:rPr>
                <w:rFonts w:ascii="宋体" w:hAnsi="宋体" w:eastAsia="宋体" w:cs="Times New Roman"/>
                <w:color w:val="auto"/>
              </w:rPr>
              <w:t>2</w:t>
            </w:r>
          </w:p>
        </w:tc>
        <w:tc>
          <w:tcPr>
            <w:tcW w:w="635" w:type="pct"/>
            <w:tcBorders>
              <w:top w:val="single" w:color="auto" w:sz="4" w:space="0"/>
              <w:left w:val="single" w:color="auto" w:sz="4" w:space="0"/>
              <w:bottom w:val="single" w:color="auto" w:sz="4" w:space="0"/>
              <w:right w:val="single" w:color="auto" w:sz="4" w:space="0"/>
            </w:tcBorders>
            <w:noWrap/>
            <w:vAlign w:val="center"/>
          </w:tcPr>
          <w:p w14:paraId="152C5ABE">
            <w:pPr>
              <w:spacing w:line="36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125.15499918</w:t>
            </w:r>
            <w:r>
              <w:rPr>
                <w:rFonts w:ascii="宋体" w:hAnsi="宋体" w:eastAsia="宋体" w:cs="Times New Roman"/>
                <w:color w:val="auto"/>
              </w:rPr>
              <w:t xml:space="preserve"> E</w:t>
            </w:r>
            <w:r>
              <w:rPr>
                <w:rFonts w:hint="eastAsia" w:ascii="宋体" w:hAnsi="宋体" w:eastAsia="宋体" w:cs="Times New Roman"/>
                <w:color w:val="auto"/>
                <w:lang w:bidi="ar"/>
              </w:rPr>
              <w:t>，</w:t>
            </w:r>
            <w:r>
              <w:rPr>
                <w:rFonts w:ascii="宋体" w:hAnsi="宋体" w:eastAsia="宋体" w:cs="Times New Roman"/>
                <w:color w:val="auto"/>
                <w:lang w:bidi="ar"/>
              </w:rPr>
              <w:t>45.53654620</w:t>
            </w:r>
            <w:r>
              <w:rPr>
                <w:rFonts w:ascii="宋体" w:hAnsi="宋体" w:eastAsia="宋体" w:cs="Times New Roman"/>
                <w:color w:val="auto"/>
              </w:rPr>
              <w:t xml:space="preserve"> N</w:t>
            </w:r>
          </w:p>
        </w:tc>
        <w:tc>
          <w:tcPr>
            <w:tcW w:w="635" w:type="pct"/>
            <w:tcBorders>
              <w:top w:val="single" w:color="auto" w:sz="4" w:space="0"/>
              <w:left w:val="single" w:color="auto" w:sz="4" w:space="0"/>
              <w:bottom w:val="single" w:color="auto" w:sz="4" w:space="0"/>
              <w:right w:val="single" w:color="auto" w:sz="4" w:space="0"/>
            </w:tcBorders>
            <w:noWrap/>
            <w:vAlign w:val="center"/>
          </w:tcPr>
          <w:p w14:paraId="61A1E910">
            <w:pPr>
              <w:spacing w:line="36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125.15362694</w:t>
            </w:r>
            <w:r>
              <w:rPr>
                <w:rFonts w:ascii="宋体" w:hAnsi="宋体" w:eastAsia="宋体" w:cs="Times New Roman"/>
                <w:color w:val="auto"/>
              </w:rPr>
              <w:t xml:space="preserve"> E</w:t>
            </w:r>
            <w:r>
              <w:rPr>
                <w:rFonts w:hint="eastAsia" w:ascii="宋体" w:hAnsi="宋体" w:eastAsia="宋体" w:cs="Times New Roman"/>
                <w:color w:val="auto"/>
                <w:lang w:bidi="ar"/>
              </w:rPr>
              <w:t>，</w:t>
            </w:r>
            <w:r>
              <w:rPr>
                <w:rFonts w:ascii="宋体" w:hAnsi="宋体" w:eastAsia="宋体" w:cs="Times New Roman"/>
                <w:color w:val="auto"/>
                <w:lang w:bidi="ar"/>
              </w:rPr>
              <w:t>45.52677848</w:t>
            </w:r>
            <w:r>
              <w:rPr>
                <w:rFonts w:ascii="宋体" w:hAnsi="宋体" w:eastAsia="宋体" w:cs="Times New Roman"/>
                <w:color w:val="auto"/>
              </w:rPr>
              <w:t xml:space="preserve"> N</w:t>
            </w:r>
          </w:p>
        </w:tc>
        <w:tc>
          <w:tcPr>
            <w:tcW w:w="396" w:type="pct"/>
            <w:tcBorders>
              <w:top w:val="single" w:color="auto" w:sz="4" w:space="0"/>
              <w:left w:val="single" w:color="auto" w:sz="4" w:space="0"/>
              <w:bottom w:val="single" w:color="auto" w:sz="4" w:space="0"/>
              <w:right w:val="single" w:color="auto" w:sz="4" w:space="0"/>
            </w:tcBorders>
            <w:vAlign w:val="center"/>
          </w:tcPr>
          <w:p w14:paraId="1B76F3F0">
            <w:pPr>
              <w:spacing w:line="360" w:lineRule="exact"/>
              <w:jc w:val="center"/>
              <w:rPr>
                <w:rFonts w:ascii="宋体" w:hAnsi="宋体" w:eastAsia="宋体" w:cs="Times New Roman"/>
                <w:color w:val="auto"/>
              </w:rPr>
            </w:pPr>
            <w:r>
              <w:rPr>
                <w:rFonts w:ascii="宋体" w:hAnsi="宋体" w:eastAsia="宋体" w:cs="Times New Roman"/>
                <w:color w:val="auto"/>
              </w:rPr>
              <w:t>乔木林</w:t>
            </w:r>
            <w:r>
              <w:rPr>
                <w:rFonts w:hint="eastAsia" w:ascii="宋体" w:hAnsi="宋体" w:eastAsia="宋体" w:cs="Times New Roman"/>
                <w:color w:val="auto"/>
              </w:rPr>
              <w:t>+草地+农田</w:t>
            </w:r>
          </w:p>
        </w:tc>
        <w:tc>
          <w:tcPr>
            <w:tcW w:w="952" w:type="pct"/>
            <w:tcBorders>
              <w:top w:val="single" w:color="auto" w:sz="4" w:space="0"/>
              <w:left w:val="single" w:color="auto" w:sz="4" w:space="0"/>
              <w:bottom w:val="single" w:color="auto" w:sz="4" w:space="0"/>
              <w:right w:val="single" w:color="auto" w:sz="4" w:space="0"/>
            </w:tcBorders>
            <w:vAlign w:val="center"/>
          </w:tcPr>
          <w:p w14:paraId="3D7911F5">
            <w:pPr>
              <w:spacing w:line="360" w:lineRule="exact"/>
              <w:jc w:val="center"/>
              <w:rPr>
                <w:rFonts w:ascii="宋体" w:hAnsi="宋体" w:eastAsia="宋体" w:cs="Times New Roman"/>
                <w:color w:val="auto"/>
              </w:rPr>
            </w:pPr>
            <w:r>
              <w:rPr>
                <w:rFonts w:ascii="宋体" w:hAnsi="宋体" w:eastAsia="宋体" w:cs="Times New Roman"/>
                <w:color w:val="auto"/>
              </w:rPr>
              <w:t>陆生哺乳动物、爬行动物、两栖动物、鸟类</w:t>
            </w:r>
          </w:p>
        </w:tc>
        <w:tc>
          <w:tcPr>
            <w:tcW w:w="635" w:type="pct"/>
            <w:tcBorders>
              <w:top w:val="single" w:color="auto" w:sz="4" w:space="0"/>
              <w:left w:val="single" w:color="auto" w:sz="4" w:space="0"/>
              <w:bottom w:val="single" w:color="auto" w:sz="4" w:space="0"/>
              <w:right w:val="single" w:color="auto" w:sz="4" w:space="0"/>
            </w:tcBorders>
            <w:vAlign w:val="center"/>
          </w:tcPr>
          <w:p w14:paraId="68B2C0B0">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1000</w:t>
            </w:r>
          </w:p>
        </w:tc>
        <w:tc>
          <w:tcPr>
            <w:tcW w:w="476" w:type="pct"/>
            <w:tcBorders>
              <w:top w:val="single" w:color="auto" w:sz="4" w:space="0"/>
              <w:left w:val="single" w:color="auto" w:sz="4" w:space="0"/>
              <w:bottom w:val="single" w:color="auto" w:sz="4" w:space="0"/>
              <w:right w:val="single" w:color="auto" w:sz="4" w:space="0"/>
            </w:tcBorders>
            <w:vAlign w:val="center"/>
          </w:tcPr>
          <w:p w14:paraId="2C97143A">
            <w:pPr>
              <w:spacing w:line="360" w:lineRule="exact"/>
              <w:jc w:val="center"/>
              <w:rPr>
                <w:rFonts w:ascii="宋体" w:hAnsi="宋体" w:eastAsia="宋体" w:cs="Times New Roman"/>
                <w:color w:val="auto"/>
              </w:rPr>
            </w:pPr>
            <w:r>
              <w:rPr>
                <w:rFonts w:ascii="宋体" w:hAnsi="宋体" w:eastAsia="宋体" w:cs="Times New Roman"/>
                <w:color w:val="auto"/>
              </w:rPr>
              <w:t>1.5～3km/h</w:t>
            </w:r>
          </w:p>
        </w:tc>
        <w:tc>
          <w:tcPr>
            <w:tcW w:w="397" w:type="pct"/>
            <w:tcBorders>
              <w:top w:val="single" w:color="auto" w:sz="4" w:space="0"/>
              <w:left w:val="single" w:color="auto" w:sz="4" w:space="0"/>
              <w:bottom w:val="single" w:color="auto" w:sz="4" w:space="0"/>
              <w:right w:val="single" w:color="auto" w:sz="4" w:space="0"/>
            </w:tcBorders>
            <w:vAlign w:val="center"/>
          </w:tcPr>
          <w:p w14:paraId="3AEFCB50">
            <w:pPr>
              <w:spacing w:line="360" w:lineRule="exact"/>
              <w:jc w:val="center"/>
              <w:rPr>
                <w:rFonts w:ascii="宋体" w:hAnsi="宋体" w:eastAsia="宋体" w:cs="Times New Roman"/>
                <w:color w:val="auto"/>
              </w:rPr>
            </w:pPr>
            <w:r>
              <w:rPr>
                <w:rFonts w:ascii="宋体" w:hAnsi="宋体" w:eastAsia="宋体" w:cs="Times New Roman"/>
                <w:color w:val="auto"/>
              </w:rPr>
              <w:t>1次</w:t>
            </w:r>
          </w:p>
        </w:tc>
        <w:tc>
          <w:tcPr>
            <w:tcW w:w="477" w:type="pct"/>
            <w:tcBorders>
              <w:top w:val="single" w:color="auto" w:sz="4" w:space="0"/>
              <w:left w:val="single" w:color="auto" w:sz="4" w:space="0"/>
              <w:bottom w:val="single" w:color="auto" w:sz="4" w:space="0"/>
              <w:right w:val="single" w:color="auto" w:sz="4" w:space="0"/>
            </w:tcBorders>
            <w:vAlign w:val="center"/>
          </w:tcPr>
          <w:p w14:paraId="1C579887">
            <w:pPr>
              <w:spacing w:line="360" w:lineRule="exact"/>
              <w:jc w:val="center"/>
              <w:rPr>
                <w:rFonts w:ascii="宋体" w:hAnsi="宋体" w:eastAsia="宋体" w:cs="Times New Roman"/>
                <w:color w:val="auto"/>
              </w:rPr>
            </w:pPr>
            <w:r>
              <w:rPr>
                <w:rFonts w:ascii="宋体" w:hAnsi="宋体" w:eastAsia="宋体" w:cs="Times New Roman"/>
                <w:color w:val="auto"/>
              </w:rPr>
              <w:t>2天/次调查</w:t>
            </w:r>
          </w:p>
        </w:tc>
      </w:tr>
      <w:tr w14:paraId="15CE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op w:val="single" w:color="auto" w:sz="4" w:space="0"/>
              <w:left w:val="single" w:color="auto" w:sz="4" w:space="0"/>
              <w:bottom w:val="single" w:color="auto" w:sz="4" w:space="0"/>
              <w:right w:val="single" w:color="auto" w:sz="4" w:space="0"/>
            </w:tcBorders>
            <w:noWrap/>
            <w:vAlign w:val="center"/>
          </w:tcPr>
          <w:p w14:paraId="2E3E446B">
            <w:pPr>
              <w:spacing w:line="360" w:lineRule="exact"/>
              <w:jc w:val="center"/>
              <w:rPr>
                <w:rFonts w:ascii="宋体" w:hAnsi="宋体" w:eastAsia="宋体" w:cs="Times New Roman"/>
                <w:color w:val="auto"/>
              </w:rPr>
            </w:pPr>
            <w:r>
              <w:rPr>
                <w:rFonts w:ascii="宋体" w:hAnsi="宋体" w:eastAsia="宋体" w:cs="Times New Roman"/>
                <w:color w:val="auto"/>
              </w:rPr>
              <w:t>3</w:t>
            </w:r>
          </w:p>
        </w:tc>
        <w:tc>
          <w:tcPr>
            <w:tcW w:w="635" w:type="pct"/>
            <w:tcBorders>
              <w:top w:val="single" w:color="auto" w:sz="4" w:space="0"/>
              <w:left w:val="single" w:color="auto" w:sz="4" w:space="0"/>
              <w:bottom w:val="single" w:color="auto" w:sz="4" w:space="0"/>
              <w:right w:val="single" w:color="auto" w:sz="4" w:space="0"/>
            </w:tcBorders>
            <w:noWrap/>
            <w:vAlign w:val="center"/>
          </w:tcPr>
          <w:p w14:paraId="25D39836">
            <w:pPr>
              <w:spacing w:line="36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125.16661138</w:t>
            </w:r>
            <w:r>
              <w:rPr>
                <w:rFonts w:ascii="宋体" w:hAnsi="宋体" w:eastAsia="宋体" w:cs="Times New Roman"/>
                <w:color w:val="auto"/>
              </w:rPr>
              <w:t xml:space="preserve"> E</w:t>
            </w:r>
            <w:r>
              <w:rPr>
                <w:rFonts w:hint="eastAsia" w:ascii="宋体" w:hAnsi="宋体" w:eastAsia="宋体" w:cs="Times New Roman"/>
                <w:color w:val="auto"/>
                <w:lang w:bidi="ar"/>
              </w:rPr>
              <w:t>，</w:t>
            </w:r>
            <w:r>
              <w:rPr>
                <w:rFonts w:ascii="宋体" w:hAnsi="宋体" w:eastAsia="宋体" w:cs="Times New Roman"/>
                <w:color w:val="auto"/>
                <w:lang w:bidi="ar"/>
              </w:rPr>
              <w:t>45.57766048N</w:t>
            </w:r>
          </w:p>
        </w:tc>
        <w:tc>
          <w:tcPr>
            <w:tcW w:w="635" w:type="pct"/>
            <w:tcBorders>
              <w:top w:val="single" w:color="auto" w:sz="4" w:space="0"/>
              <w:left w:val="single" w:color="auto" w:sz="4" w:space="0"/>
              <w:bottom w:val="single" w:color="auto" w:sz="4" w:space="0"/>
              <w:right w:val="single" w:color="auto" w:sz="4" w:space="0"/>
            </w:tcBorders>
            <w:noWrap/>
            <w:vAlign w:val="center"/>
          </w:tcPr>
          <w:p w14:paraId="41831334">
            <w:pPr>
              <w:spacing w:line="360" w:lineRule="exact"/>
              <w:jc w:val="center"/>
              <w:textAlignment w:val="center"/>
              <w:rPr>
                <w:rFonts w:ascii="宋体" w:hAnsi="宋体" w:eastAsia="宋体" w:cs="Times New Roman"/>
                <w:color w:val="auto"/>
                <w:lang w:bidi="ar"/>
              </w:rPr>
            </w:pPr>
            <w:r>
              <w:rPr>
                <w:rFonts w:ascii="宋体" w:hAnsi="宋体" w:eastAsia="宋体" w:cs="Times New Roman"/>
                <w:color w:val="auto"/>
                <w:lang w:bidi="ar"/>
              </w:rPr>
              <w:t>125.15984430</w:t>
            </w:r>
            <w:r>
              <w:rPr>
                <w:rFonts w:ascii="宋体" w:hAnsi="宋体" w:eastAsia="宋体" w:cs="Times New Roman"/>
                <w:color w:val="auto"/>
              </w:rPr>
              <w:t xml:space="preserve"> E</w:t>
            </w:r>
            <w:r>
              <w:rPr>
                <w:rFonts w:hint="eastAsia" w:ascii="宋体" w:hAnsi="宋体" w:eastAsia="宋体" w:cs="Times New Roman"/>
                <w:color w:val="auto"/>
                <w:lang w:bidi="ar"/>
              </w:rPr>
              <w:t>，</w:t>
            </w:r>
            <w:r>
              <w:rPr>
                <w:rFonts w:ascii="宋体" w:hAnsi="宋体" w:eastAsia="宋体" w:cs="Times New Roman"/>
                <w:color w:val="auto"/>
                <w:lang w:bidi="ar"/>
              </w:rPr>
              <w:t>45.56983265 N</w:t>
            </w:r>
          </w:p>
        </w:tc>
        <w:tc>
          <w:tcPr>
            <w:tcW w:w="396" w:type="pct"/>
            <w:tcBorders>
              <w:top w:val="single" w:color="auto" w:sz="4" w:space="0"/>
              <w:left w:val="single" w:color="auto" w:sz="4" w:space="0"/>
              <w:bottom w:val="single" w:color="auto" w:sz="4" w:space="0"/>
              <w:right w:val="single" w:color="auto" w:sz="4" w:space="0"/>
            </w:tcBorders>
            <w:vAlign w:val="center"/>
          </w:tcPr>
          <w:p w14:paraId="5C848596">
            <w:pPr>
              <w:spacing w:line="360" w:lineRule="exact"/>
              <w:jc w:val="center"/>
              <w:rPr>
                <w:rFonts w:ascii="宋体" w:hAnsi="宋体" w:eastAsia="宋体" w:cs="Times New Roman"/>
                <w:color w:val="auto"/>
              </w:rPr>
            </w:pPr>
            <w:r>
              <w:rPr>
                <w:rFonts w:ascii="宋体" w:hAnsi="宋体" w:eastAsia="宋体" w:cs="Times New Roman"/>
                <w:color w:val="auto"/>
              </w:rPr>
              <w:t>乔木林</w:t>
            </w:r>
            <w:r>
              <w:rPr>
                <w:rFonts w:hint="eastAsia" w:ascii="宋体" w:hAnsi="宋体" w:eastAsia="宋体" w:cs="Times New Roman"/>
                <w:color w:val="auto"/>
              </w:rPr>
              <w:t>+草地+农田</w:t>
            </w:r>
          </w:p>
        </w:tc>
        <w:tc>
          <w:tcPr>
            <w:tcW w:w="952" w:type="pct"/>
            <w:tcBorders>
              <w:top w:val="single" w:color="auto" w:sz="4" w:space="0"/>
              <w:left w:val="single" w:color="auto" w:sz="4" w:space="0"/>
              <w:bottom w:val="single" w:color="auto" w:sz="4" w:space="0"/>
              <w:right w:val="single" w:color="auto" w:sz="4" w:space="0"/>
            </w:tcBorders>
            <w:vAlign w:val="center"/>
          </w:tcPr>
          <w:p w14:paraId="6305A135">
            <w:pPr>
              <w:spacing w:line="360" w:lineRule="exact"/>
              <w:jc w:val="center"/>
              <w:rPr>
                <w:rFonts w:ascii="宋体" w:hAnsi="宋体" w:eastAsia="宋体" w:cs="Times New Roman"/>
                <w:color w:val="auto"/>
              </w:rPr>
            </w:pPr>
            <w:r>
              <w:rPr>
                <w:rFonts w:ascii="宋体" w:hAnsi="宋体" w:eastAsia="宋体" w:cs="Times New Roman"/>
                <w:color w:val="auto"/>
              </w:rPr>
              <w:t>陆生哺乳动物、爬行动物、两栖动物、鸟类</w:t>
            </w:r>
          </w:p>
        </w:tc>
        <w:tc>
          <w:tcPr>
            <w:tcW w:w="635" w:type="pct"/>
            <w:tcBorders>
              <w:top w:val="single" w:color="auto" w:sz="4" w:space="0"/>
              <w:left w:val="single" w:color="auto" w:sz="4" w:space="0"/>
              <w:bottom w:val="single" w:color="auto" w:sz="4" w:space="0"/>
              <w:right w:val="single" w:color="auto" w:sz="4" w:space="0"/>
            </w:tcBorders>
            <w:vAlign w:val="center"/>
          </w:tcPr>
          <w:p w14:paraId="6A0666A9">
            <w:pPr>
              <w:spacing w:line="360" w:lineRule="exact"/>
              <w:jc w:val="center"/>
              <w:rPr>
                <w:rFonts w:ascii="宋体" w:hAnsi="宋体" w:eastAsia="宋体" w:cs="Times New Roman"/>
                <w:color w:val="auto"/>
                <w:lang w:bidi="ar"/>
              </w:rPr>
            </w:pPr>
            <w:r>
              <w:rPr>
                <w:rFonts w:ascii="宋体" w:hAnsi="宋体" w:eastAsia="宋体" w:cs="Times New Roman"/>
                <w:color w:val="auto"/>
                <w:lang w:bidi="ar"/>
              </w:rPr>
              <w:t>1000</w:t>
            </w:r>
          </w:p>
        </w:tc>
        <w:tc>
          <w:tcPr>
            <w:tcW w:w="476" w:type="pct"/>
            <w:tcBorders>
              <w:top w:val="single" w:color="auto" w:sz="4" w:space="0"/>
              <w:left w:val="single" w:color="auto" w:sz="4" w:space="0"/>
              <w:bottom w:val="single" w:color="auto" w:sz="4" w:space="0"/>
              <w:right w:val="single" w:color="auto" w:sz="4" w:space="0"/>
            </w:tcBorders>
            <w:vAlign w:val="center"/>
          </w:tcPr>
          <w:p w14:paraId="129D5DA1">
            <w:pPr>
              <w:spacing w:line="360" w:lineRule="exact"/>
              <w:jc w:val="center"/>
              <w:rPr>
                <w:rFonts w:ascii="宋体" w:hAnsi="宋体" w:eastAsia="宋体" w:cs="Times New Roman"/>
                <w:color w:val="auto"/>
              </w:rPr>
            </w:pPr>
            <w:r>
              <w:rPr>
                <w:rFonts w:ascii="宋体" w:hAnsi="宋体" w:eastAsia="宋体" w:cs="Times New Roman"/>
                <w:color w:val="auto"/>
              </w:rPr>
              <w:t>1.5～3km/h</w:t>
            </w:r>
          </w:p>
        </w:tc>
        <w:tc>
          <w:tcPr>
            <w:tcW w:w="397" w:type="pct"/>
            <w:tcBorders>
              <w:top w:val="single" w:color="auto" w:sz="4" w:space="0"/>
              <w:left w:val="single" w:color="auto" w:sz="4" w:space="0"/>
              <w:bottom w:val="single" w:color="auto" w:sz="4" w:space="0"/>
              <w:right w:val="single" w:color="auto" w:sz="4" w:space="0"/>
            </w:tcBorders>
            <w:vAlign w:val="center"/>
          </w:tcPr>
          <w:p w14:paraId="3A1DA31C">
            <w:pPr>
              <w:spacing w:line="360" w:lineRule="exact"/>
              <w:jc w:val="center"/>
              <w:rPr>
                <w:rFonts w:ascii="宋体" w:hAnsi="宋体" w:eastAsia="宋体" w:cs="Times New Roman"/>
                <w:color w:val="auto"/>
              </w:rPr>
            </w:pPr>
            <w:r>
              <w:rPr>
                <w:rFonts w:ascii="宋体" w:hAnsi="宋体" w:eastAsia="宋体" w:cs="Times New Roman"/>
                <w:color w:val="auto"/>
              </w:rPr>
              <w:t>1次</w:t>
            </w:r>
          </w:p>
        </w:tc>
        <w:tc>
          <w:tcPr>
            <w:tcW w:w="477" w:type="pct"/>
            <w:tcBorders>
              <w:top w:val="single" w:color="auto" w:sz="4" w:space="0"/>
              <w:left w:val="single" w:color="auto" w:sz="4" w:space="0"/>
              <w:bottom w:val="single" w:color="auto" w:sz="4" w:space="0"/>
              <w:right w:val="single" w:color="auto" w:sz="4" w:space="0"/>
            </w:tcBorders>
            <w:vAlign w:val="center"/>
          </w:tcPr>
          <w:p w14:paraId="1E0736CD">
            <w:pPr>
              <w:spacing w:line="360" w:lineRule="exact"/>
              <w:jc w:val="center"/>
              <w:rPr>
                <w:rFonts w:ascii="宋体" w:hAnsi="宋体" w:eastAsia="宋体" w:cs="Times New Roman"/>
                <w:color w:val="auto"/>
              </w:rPr>
            </w:pPr>
            <w:r>
              <w:rPr>
                <w:rFonts w:ascii="宋体" w:hAnsi="宋体" w:eastAsia="宋体" w:cs="Times New Roman"/>
                <w:color w:val="auto"/>
              </w:rPr>
              <w:t>2天/次调查</w:t>
            </w:r>
          </w:p>
        </w:tc>
      </w:tr>
    </w:tbl>
    <w:p w14:paraId="1D68F50E">
      <w:pPr>
        <w:spacing w:line="440" w:lineRule="exact"/>
        <w:ind w:firstLine="420" w:firstLineChars="200"/>
        <w:rPr>
          <w:rFonts w:ascii="宋体" w:hAnsi="宋体" w:eastAsia="宋体" w:cs="Times New Roman"/>
          <w:color w:val="auto"/>
        </w:rPr>
      </w:pPr>
    </w:p>
    <w:p w14:paraId="5E8DD19B">
      <w:pPr>
        <w:spacing w:line="440" w:lineRule="exact"/>
        <w:ind w:firstLine="420" w:firstLineChars="200"/>
        <w:rPr>
          <w:rFonts w:ascii="宋体" w:hAnsi="宋体" w:eastAsia="宋体" w:cs="Times New Roman"/>
          <w:color w:val="auto"/>
          <w:szCs w:val="20"/>
        </w:rPr>
      </w:pPr>
      <w:r>
        <w:rPr>
          <w:rFonts w:hint="eastAsia" w:ascii="宋体" w:hAnsi="宋体" w:eastAsia="宋体" w:cs="Times New Roman"/>
          <w:color w:val="auto"/>
          <w:szCs w:val="20"/>
        </w:rPr>
        <w:t>（3）样线调查结果</w:t>
      </w:r>
    </w:p>
    <w:p w14:paraId="01AF1801">
      <w:pPr>
        <w:spacing w:line="440" w:lineRule="exact"/>
        <w:ind w:firstLine="420" w:firstLineChars="200"/>
        <w:rPr>
          <w:rFonts w:ascii="宋体" w:hAnsi="宋体" w:eastAsia="宋体" w:cs="Times New Roman"/>
          <w:color w:val="auto"/>
          <w:szCs w:val="20"/>
        </w:rPr>
      </w:pPr>
      <w:r>
        <w:rPr>
          <w:rFonts w:hint="eastAsia" w:ascii="宋体" w:hAnsi="宋体" w:eastAsia="宋体" w:cs="Times New Roman"/>
          <w:color w:val="auto"/>
          <w:szCs w:val="20"/>
        </w:rPr>
        <w:t>本次样线调查结果见下表。</w:t>
      </w:r>
    </w:p>
    <w:p w14:paraId="35389908">
      <w:pPr>
        <w:spacing w:line="440" w:lineRule="exact"/>
        <w:ind w:firstLine="420" w:firstLineChars="200"/>
        <w:jc w:val="center"/>
        <w:rPr>
          <w:rFonts w:ascii="宋体" w:hAnsi="宋体" w:eastAsia="宋体" w:cs="Times New Roman"/>
          <w:color w:val="auto"/>
          <w:szCs w:val="28"/>
        </w:rPr>
      </w:pPr>
      <w:bookmarkStart w:id="1257" w:name="OLE_LINK69"/>
      <w:bookmarkStart w:id="1258" w:name="OLE_LINK70"/>
      <w:r>
        <w:rPr>
          <w:rFonts w:hint="eastAsia" w:ascii="宋体" w:hAnsi="宋体" w:eastAsia="宋体" w:cs="Times New Roman"/>
          <w:color w:val="auto"/>
          <w:szCs w:val="28"/>
        </w:rPr>
        <w:t>表</w:t>
      </w:r>
      <w:r>
        <w:rPr>
          <w:rFonts w:ascii="宋体" w:hAnsi="宋体" w:eastAsia="宋体" w:cs="Times New Roman"/>
          <w:color w:val="auto"/>
          <w:szCs w:val="28"/>
        </w:rPr>
        <w:t>4.4-11</w:t>
      </w:r>
      <w:r>
        <w:rPr>
          <w:rFonts w:hint="eastAsia" w:ascii="宋体" w:hAnsi="宋体" w:eastAsia="宋体" w:cs="Times New Roman"/>
          <w:color w:val="auto"/>
          <w:szCs w:val="28"/>
        </w:rPr>
        <w:t xml:space="preserve"> 动物样线调查表（1</w:t>
      </w:r>
      <w:r>
        <w:rPr>
          <w:rFonts w:ascii="宋体" w:hAnsi="宋体" w:eastAsia="宋体" w:cs="Times New Roman"/>
          <w:color w:val="auto"/>
          <w:szCs w:val="28"/>
        </w:rPr>
        <w:t>#</w:t>
      </w:r>
      <w:r>
        <w:rPr>
          <w:rFonts w:hint="eastAsia" w:ascii="宋体" w:hAnsi="宋体" w:eastAsia="宋体" w:cs="Times New Roman"/>
          <w:color w:val="auto"/>
          <w:szCs w:val="28"/>
        </w:rPr>
        <w:t>）</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2013"/>
        <w:gridCol w:w="1313"/>
        <w:gridCol w:w="2149"/>
        <w:gridCol w:w="1204"/>
        <w:gridCol w:w="1367"/>
      </w:tblGrid>
      <w:tr w14:paraId="7F98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5753AA5D">
            <w:pPr>
              <w:tabs>
                <w:tab w:val="left" w:pos="377"/>
              </w:tabs>
              <w:wordWrap w:val="0"/>
              <w:jc w:val="center"/>
              <w:rPr>
                <w:rFonts w:ascii="宋体" w:hAnsi="宋体" w:eastAsia="宋体"/>
                <w:color w:val="auto"/>
              </w:rPr>
            </w:pPr>
            <w:r>
              <w:rPr>
                <w:rFonts w:hint="eastAsia" w:ascii="宋体" w:hAnsi="宋体" w:eastAsia="宋体"/>
                <w:color w:val="auto"/>
              </w:rPr>
              <w:t>编号</w:t>
            </w:r>
          </w:p>
        </w:tc>
        <w:tc>
          <w:tcPr>
            <w:tcW w:w="1084" w:type="pct"/>
            <w:vAlign w:val="center"/>
          </w:tcPr>
          <w:p w14:paraId="3FBB9630">
            <w:pPr>
              <w:tabs>
                <w:tab w:val="left" w:pos="377"/>
              </w:tabs>
              <w:wordWrap w:val="0"/>
              <w:jc w:val="center"/>
              <w:rPr>
                <w:rFonts w:ascii="宋体" w:hAnsi="宋体" w:eastAsia="宋体"/>
                <w:color w:val="auto"/>
              </w:rPr>
            </w:pPr>
            <w:r>
              <w:rPr>
                <w:rFonts w:hint="eastAsia" w:ascii="宋体" w:hAnsi="宋体" w:eastAsia="宋体"/>
                <w:color w:val="auto"/>
              </w:rPr>
              <w:t>1</w:t>
            </w:r>
            <w:r>
              <w:rPr>
                <w:rFonts w:ascii="宋体" w:hAnsi="宋体" w:eastAsia="宋体"/>
                <w:color w:val="auto"/>
              </w:rPr>
              <w:t>#</w:t>
            </w:r>
          </w:p>
        </w:tc>
        <w:tc>
          <w:tcPr>
            <w:tcW w:w="707" w:type="pct"/>
            <w:vAlign w:val="center"/>
          </w:tcPr>
          <w:p w14:paraId="1A7D9891">
            <w:pPr>
              <w:tabs>
                <w:tab w:val="left" w:pos="377"/>
              </w:tabs>
              <w:wordWrap w:val="0"/>
              <w:jc w:val="center"/>
              <w:rPr>
                <w:rFonts w:ascii="宋体" w:hAnsi="宋体" w:eastAsia="宋体"/>
                <w:color w:val="auto"/>
              </w:rPr>
            </w:pPr>
            <w:r>
              <w:rPr>
                <w:rFonts w:hint="eastAsia" w:ascii="宋体" w:hAnsi="宋体" w:eastAsia="宋体"/>
                <w:color w:val="auto"/>
              </w:rPr>
              <w:t>日期</w:t>
            </w:r>
          </w:p>
        </w:tc>
        <w:tc>
          <w:tcPr>
            <w:tcW w:w="1157" w:type="pct"/>
            <w:vAlign w:val="center"/>
          </w:tcPr>
          <w:p w14:paraId="5F52A015">
            <w:pPr>
              <w:tabs>
                <w:tab w:val="left" w:pos="377"/>
              </w:tabs>
              <w:wordWrap w:val="0"/>
              <w:jc w:val="center"/>
              <w:rPr>
                <w:rFonts w:ascii="宋体" w:hAnsi="宋体" w:eastAsia="宋体"/>
                <w:color w:val="auto"/>
              </w:rPr>
            </w:pPr>
            <w:r>
              <w:rPr>
                <w:rFonts w:hint="eastAsia" w:ascii="宋体" w:hAnsi="宋体" w:eastAsia="宋体"/>
                <w:color w:val="auto"/>
              </w:rPr>
              <w:t>202</w:t>
            </w:r>
            <w:r>
              <w:rPr>
                <w:rFonts w:ascii="宋体" w:hAnsi="宋体" w:eastAsia="宋体"/>
                <w:color w:val="auto"/>
              </w:rPr>
              <w:t>5</w:t>
            </w:r>
            <w:r>
              <w:rPr>
                <w:rFonts w:hint="eastAsia" w:ascii="宋体" w:hAnsi="宋体" w:eastAsia="宋体"/>
                <w:color w:val="auto"/>
              </w:rPr>
              <w:t>年</w:t>
            </w:r>
            <w:r>
              <w:rPr>
                <w:rFonts w:ascii="宋体" w:hAnsi="宋体" w:eastAsia="宋体"/>
                <w:color w:val="auto"/>
              </w:rPr>
              <w:t>10</w:t>
            </w:r>
            <w:r>
              <w:rPr>
                <w:rFonts w:hint="eastAsia" w:ascii="宋体" w:hAnsi="宋体" w:eastAsia="宋体"/>
                <w:color w:val="auto"/>
              </w:rPr>
              <w:t>月</w:t>
            </w:r>
            <w:r>
              <w:rPr>
                <w:rFonts w:ascii="宋体" w:hAnsi="宋体" w:eastAsia="宋体"/>
                <w:color w:val="auto"/>
              </w:rPr>
              <w:t>10</w:t>
            </w:r>
            <w:r>
              <w:rPr>
                <w:rFonts w:hint="eastAsia" w:ascii="宋体" w:hAnsi="宋体" w:eastAsia="宋体"/>
                <w:color w:val="auto"/>
              </w:rPr>
              <w:t>日</w:t>
            </w:r>
          </w:p>
        </w:tc>
        <w:tc>
          <w:tcPr>
            <w:tcW w:w="648" w:type="pct"/>
            <w:vAlign w:val="center"/>
          </w:tcPr>
          <w:p w14:paraId="7FD42250">
            <w:pPr>
              <w:tabs>
                <w:tab w:val="left" w:pos="377"/>
              </w:tabs>
              <w:wordWrap w:val="0"/>
              <w:jc w:val="center"/>
              <w:rPr>
                <w:rFonts w:ascii="宋体" w:hAnsi="宋体" w:eastAsia="宋体"/>
                <w:color w:val="auto"/>
              </w:rPr>
            </w:pPr>
            <w:r>
              <w:rPr>
                <w:rFonts w:hint="eastAsia" w:ascii="宋体" w:hAnsi="宋体" w:eastAsia="宋体"/>
                <w:color w:val="auto"/>
              </w:rPr>
              <w:t>观测者</w:t>
            </w:r>
          </w:p>
        </w:tc>
        <w:tc>
          <w:tcPr>
            <w:tcW w:w="736" w:type="pct"/>
            <w:vAlign w:val="center"/>
          </w:tcPr>
          <w:p w14:paraId="08354B5B">
            <w:pPr>
              <w:tabs>
                <w:tab w:val="left" w:pos="377"/>
              </w:tabs>
              <w:wordWrap w:val="0"/>
              <w:jc w:val="center"/>
              <w:rPr>
                <w:rFonts w:ascii="宋体" w:hAnsi="宋体" w:eastAsia="宋体"/>
                <w:color w:val="auto"/>
              </w:rPr>
            </w:pPr>
            <w:r>
              <w:rPr>
                <w:rFonts w:hint="eastAsia" w:ascii="宋体" w:hAnsi="宋体" w:eastAsia="宋体"/>
                <w:color w:val="auto"/>
              </w:rPr>
              <w:t>聂海军</w:t>
            </w:r>
          </w:p>
        </w:tc>
      </w:tr>
      <w:tr w14:paraId="1AF5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1B2380A7">
            <w:pPr>
              <w:tabs>
                <w:tab w:val="left" w:pos="377"/>
              </w:tabs>
              <w:wordWrap w:val="0"/>
              <w:jc w:val="center"/>
              <w:rPr>
                <w:rFonts w:ascii="宋体" w:hAnsi="宋体" w:eastAsia="宋体"/>
                <w:color w:val="auto"/>
              </w:rPr>
            </w:pPr>
            <w:r>
              <w:rPr>
                <w:rFonts w:hint="eastAsia" w:ascii="宋体" w:hAnsi="宋体" w:eastAsia="宋体"/>
                <w:color w:val="auto"/>
              </w:rPr>
              <w:t>起点坐标</w:t>
            </w:r>
          </w:p>
        </w:tc>
        <w:tc>
          <w:tcPr>
            <w:tcW w:w="1084" w:type="pct"/>
            <w:vAlign w:val="center"/>
          </w:tcPr>
          <w:p w14:paraId="3C0B3FD7">
            <w:pPr>
              <w:tabs>
                <w:tab w:val="left" w:pos="377"/>
              </w:tabs>
              <w:wordWrap w:val="0"/>
              <w:jc w:val="center"/>
              <w:rPr>
                <w:rFonts w:ascii="宋体" w:hAnsi="宋体" w:eastAsia="宋体"/>
                <w:color w:val="auto"/>
              </w:rPr>
            </w:pPr>
            <w:r>
              <w:rPr>
                <w:rFonts w:ascii="宋体" w:hAnsi="宋体" w:eastAsia="宋体" w:cs="Times New Roman"/>
                <w:color w:val="auto"/>
              </w:rPr>
              <w:t>125.05049411E</w:t>
            </w:r>
            <w:r>
              <w:rPr>
                <w:rFonts w:hint="eastAsia" w:ascii="宋体" w:hAnsi="宋体" w:eastAsia="宋体" w:cs="Times New Roman"/>
                <w:color w:val="auto"/>
              </w:rPr>
              <w:t>，</w:t>
            </w:r>
            <w:r>
              <w:rPr>
                <w:rFonts w:ascii="宋体" w:hAnsi="宋体" w:eastAsia="宋体" w:cs="Times New Roman"/>
                <w:color w:val="auto"/>
              </w:rPr>
              <w:t>45.51629344N</w:t>
            </w:r>
          </w:p>
        </w:tc>
        <w:tc>
          <w:tcPr>
            <w:tcW w:w="707" w:type="pct"/>
            <w:vAlign w:val="center"/>
          </w:tcPr>
          <w:p w14:paraId="169CE54A">
            <w:pPr>
              <w:tabs>
                <w:tab w:val="left" w:pos="377"/>
              </w:tabs>
              <w:wordWrap w:val="0"/>
              <w:jc w:val="center"/>
              <w:rPr>
                <w:rFonts w:ascii="宋体" w:hAnsi="宋体" w:eastAsia="宋体"/>
                <w:color w:val="auto"/>
              </w:rPr>
            </w:pPr>
            <w:r>
              <w:rPr>
                <w:rFonts w:hint="eastAsia" w:ascii="宋体" w:hAnsi="宋体" w:eastAsia="宋体"/>
                <w:color w:val="auto"/>
              </w:rPr>
              <w:t>终点坐标</w:t>
            </w:r>
          </w:p>
        </w:tc>
        <w:tc>
          <w:tcPr>
            <w:tcW w:w="1157" w:type="pct"/>
            <w:vAlign w:val="center"/>
          </w:tcPr>
          <w:p w14:paraId="1C14F49E">
            <w:pPr>
              <w:tabs>
                <w:tab w:val="left" w:pos="377"/>
              </w:tabs>
              <w:wordWrap w:val="0"/>
              <w:jc w:val="center"/>
              <w:rPr>
                <w:rFonts w:ascii="宋体" w:hAnsi="宋体" w:eastAsia="宋体"/>
                <w:color w:val="auto"/>
              </w:rPr>
            </w:pPr>
            <w:r>
              <w:rPr>
                <w:rFonts w:ascii="宋体" w:hAnsi="宋体" w:eastAsia="宋体" w:cs="Times New Roman"/>
                <w:color w:val="auto"/>
              </w:rPr>
              <w:t>125.05721146E</w:t>
            </w:r>
            <w:r>
              <w:rPr>
                <w:rFonts w:hint="eastAsia" w:ascii="宋体" w:hAnsi="宋体" w:eastAsia="宋体" w:cs="Times New Roman"/>
                <w:color w:val="auto"/>
              </w:rPr>
              <w:t>，</w:t>
            </w:r>
            <w:r>
              <w:rPr>
                <w:rFonts w:ascii="宋体" w:hAnsi="宋体" w:eastAsia="宋体" w:cs="Times New Roman"/>
                <w:color w:val="auto"/>
              </w:rPr>
              <w:t>45.51100037N</w:t>
            </w:r>
          </w:p>
        </w:tc>
        <w:tc>
          <w:tcPr>
            <w:tcW w:w="648" w:type="pct"/>
            <w:vAlign w:val="center"/>
          </w:tcPr>
          <w:p w14:paraId="6AF915BB">
            <w:pPr>
              <w:tabs>
                <w:tab w:val="left" w:pos="377"/>
              </w:tabs>
              <w:wordWrap w:val="0"/>
              <w:jc w:val="center"/>
              <w:rPr>
                <w:rFonts w:ascii="宋体" w:hAnsi="宋体" w:eastAsia="宋体"/>
                <w:color w:val="auto"/>
              </w:rPr>
            </w:pPr>
            <w:r>
              <w:rPr>
                <w:rFonts w:hint="eastAsia" w:ascii="宋体" w:hAnsi="宋体" w:eastAsia="宋体"/>
                <w:color w:val="auto"/>
              </w:rPr>
              <w:t>天气</w:t>
            </w:r>
          </w:p>
        </w:tc>
        <w:tc>
          <w:tcPr>
            <w:tcW w:w="736" w:type="pct"/>
            <w:vAlign w:val="center"/>
          </w:tcPr>
          <w:p w14:paraId="70C399F2">
            <w:pPr>
              <w:tabs>
                <w:tab w:val="left" w:pos="377"/>
              </w:tabs>
              <w:wordWrap w:val="0"/>
              <w:jc w:val="center"/>
              <w:rPr>
                <w:rFonts w:ascii="宋体" w:hAnsi="宋体" w:eastAsia="宋体"/>
                <w:color w:val="auto"/>
              </w:rPr>
            </w:pPr>
            <w:r>
              <w:rPr>
                <w:rFonts w:hint="eastAsia" w:ascii="宋体" w:hAnsi="宋体" w:eastAsia="宋体"/>
                <w:color w:val="auto"/>
              </w:rPr>
              <w:t>晴</w:t>
            </w:r>
          </w:p>
        </w:tc>
      </w:tr>
      <w:tr w14:paraId="4FDA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638EB18B">
            <w:pPr>
              <w:tabs>
                <w:tab w:val="left" w:pos="377"/>
              </w:tabs>
              <w:wordWrap w:val="0"/>
              <w:jc w:val="center"/>
              <w:rPr>
                <w:rFonts w:ascii="宋体" w:hAnsi="宋体" w:eastAsia="宋体"/>
                <w:color w:val="auto"/>
              </w:rPr>
            </w:pPr>
            <w:r>
              <w:rPr>
                <w:rFonts w:hint="eastAsia" w:ascii="宋体" w:hAnsi="宋体" w:eastAsia="宋体"/>
                <w:color w:val="auto"/>
              </w:rPr>
              <w:t>人为干扰活动类型</w:t>
            </w:r>
          </w:p>
        </w:tc>
        <w:tc>
          <w:tcPr>
            <w:tcW w:w="1084" w:type="pct"/>
            <w:vAlign w:val="center"/>
          </w:tcPr>
          <w:p w14:paraId="743DFD5B">
            <w:pPr>
              <w:tabs>
                <w:tab w:val="left" w:pos="377"/>
              </w:tabs>
              <w:wordWrap w:val="0"/>
              <w:jc w:val="center"/>
              <w:rPr>
                <w:rFonts w:ascii="宋体" w:hAnsi="宋体" w:eastAsia="宋体"/>
                <w:color w:val="auto"/>
              </w:rPr>
            </w:pPr>
            <w:r>
              <w:rPr>
                <w:rFonts w:hint="eastAsia" w:ascii="宋体" w:hAnsi="宋体" w:eastAsia="宋体"/>
                <w:color w:val="auto"/>
              </w:rPr>
              <w:t>矿产资源开发</w:t>
            </w:r>
          </w:p>
        </w:tc>
        <w:tc>
          <w:tcPr>
            <w:tcW w:w="707" w:type="pct"/>
            <w:vAlign w:val="center"/>
          </w:tcPr>
          <w:p w14:paraId="092D806D">
            <w:pPr>
              <w:tabs>
                <w:tab w:val="left" w:pos="377"/>
              </w:tabs>
              <w:wordWrap w:val="0"/>
              <w:jc w:val="center"/>
              <w:rPr>
                <w:rFonts w:ascii="宋体" w:hAnsi="宋体" w:eastAsia="宋体"/>
                <w:color w:val="auto"/>
              </w:rPr>
            </w:pPr>
            <w:r>
              <w:rPr>
                <w:rFonts w:hint="eastAsia" w:ascii="宋体" w:hAnsi="宋体" w:eastAsia="宋体"/>
                <w:color w:val="auto"/>
              </w:rPr>
              <w:t>人为干扰活动强度</w:t>
            </w:r>
          </w:p>
        </w:tc>
        <w:tc>
          <w:tcPr>
            <w:tcW w:w="1157" w:type="pct"/>
            <w:vAlign w:val="center"/>
          </w:tcPr>
          <w:p w14:paraId="31A48C85">
            <w:pPr>
              <w:tabs>
                <w:tab w:val="left" w:pos="377"/>
              </w:tabs>
              <w:wordWrap w:val="0"/>
              <w:jc w:val="center"/>
              <w:rPr>
                <w:rFonts w:ascii="宋体" w:hAnsi="宋体" w:eastAsia="宋体"/>
                <w:color w:val="auto"/>
              </w:rPr>
            </w:pPr>
            <w:r>
              <w:rPr>
                <w:rFonts w:hint="eastAsia" w:ascii="宋体" w:hAnsi="宋体" w:eastAsia="宋体"/>
                <w:color w:val="auto"/>
              </w:rPr>
              <w:t>中</w:t>
            </w:r>
          </w:p>
        </w:tc>
        <w:tc>
          <w:tcPr>
            <w:tcW w:w="648" w:type="pct"/>
            <w:vAlign w:val="center"/>
          </w:tcPr>
          <w:p w14:paraId="10AFA9A1">
            <w:pPr>
              <w:tabs>
                <w:tab w:val="left" w:pos="377"/>
              </w:tabs>
              <w:wordWrap w:val="0"/>
              <w:jc w:val="center"/>
              <w:rPr>
                <w:rFonts w:ascii="宋体" w:hAnsi="宋体" w:eastAsia="宋体"/>
                <w:color w:val="auto"/>
              </w:rPr>
            </w:pPr>
            <w:r>
              <w:rPr>
                <w:rFonts w:hint="eastAsia" w:ascii="宋体" w:hAnsi="宋体" w:eastAsia="宋体"/>
                <w:color w:val="auto"/>
              </w:rPr>
              <w:t>平均海拔m</w:t>
            </w:r>
          </w:p>
        </w:tc>
        <w:tc>
          <w:tcPr>
            <w:tcW w:w="736" w:type="pct"/>
            <w:vAlign w:val="center"/>
          </w:tcPr>
          <w:p w14:paraId="3E0B3AC3">
            <w:pPr>
              <w:tabs>
                <w:tab w:val="left" w:pos="377"/>
              </w:tabs>
              <w:wordWrap w:val="0"/>
              <w:jc w:val="center"/>
              <w:rPr>
                <w:rFonts w:ascii="宋体" w:hAnsi="宋体" w:eastAsia="宋体"/>
                <w:color w:val="auto"/>
              </w:rPr>
            </w:pPr>
            <w:r>
              <w:rPr>
                <w:rFonts w:hint="eastAsia" w:ascii="宋体" w:hAnsi="宋体" w:eastAsia="宋体"/>
                <w:color w:val="auto"/>
              </w:rPr>
              <w:t>1</w:t>
            </w:r>
            <w:r>
              <w:rPr>
                <w:rFonts w:ascii="宋体" w:hAnsi="宋体" w:eastAsia="宋体"/>
                <w:color w:val="auto"/>
              </w:rPr>
              <w:t>26m</w:t>
            </w:r>
          </w:p>
        </w:tc>
      </w:tr>
      <w:tr w14:paraId="6ABE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7F958F2E">
            <w:pPr>
              <w:tabs>
                <w:tab w:val="left" w:pos="377"/>
              </w:tabs>
              <w:wordWrap w:val="0"/>
              <w:jc w:val="center"/>
              <w:rPr>
                <w:rFonts w:ascii="宋体" w:hAnsi="宋体" w:eastAsia="宋体"/>
                <w:color w:val="auto"/>
              </w:rPr>
            </w:pPr>
            <w:r>
              <w:rPr>
                <w:rFonts w:hint="eastAsia" w:ascii="宋体" w:hAnsi="宋体" w:eastAsia="宋体"/>
                <w:color w:val="auto"/>
              </w:rPr>
              <w:t>总种数</w:t>
            </w:r>
          </w:p>
        </w:tc>
        <w:tc>
          <w:tcPr>
            <w:tcW w:w="1084" w:type="pct"/>
            <w:vAlign w:val="center"/>
          </w:tcPr>
          <w:p w14:paraId="27A2D54B">
            <w:pPr>
              <w:tabs>
                <w:tab w:val="left" w:pos="377"/>
              </w:tabs>
              <w:wordWrap w:val="0"/>
              <w:jc w:val="center"/>
              <w:rPr>
                <w:rFonts w:ascii="宋体" w:hAnsi="宋体" w:eastAsia="宋体"/>
                <w:color w:val="auto"/>
              </w:rPr>
            </w:pPr>
            <w:r>
              <w:rPr>
                <w:rFonts w:hint="eastAsia" w:ascii="宋体" w:hAnsi="宋体" w:eastAsia="宋体"/>
                <w:color w:val="auto"/>
              </w:rPr>
              <w:t>1</w:t>
            </w:r>
          </w:p>
        </w:tc>
        <w:tc>
          <w:tcPr>
            <w:tcW w:w="707" w:type="pct"/>
            <w:vAlign w:val="center"/>
          </w:tcPr>
          <w:p w14:paraId="2CDD6235">
            <w:pPr>
              <w:tabs>
                <w:tab w:val="left" w:pos="377"/>
              </w:tabs>
              <w:wordWrap w:val="0"/>
              <w:jc w:val="center"/>
              <w:rPr>
                <w:rFonts w:ascii="宋体" w:hAnsi="宋体" w:eastAsia="宋体"/>
                <w:color w:val="auto"/>
              </w:rPr>
            </w:pPr>
            <w:r>
              <w:rPr>
                <w:rFonts w:hint="eastAsia" w:ascii="宋体" w:hAnsi="宋体" w:eastAsia="宋体"/>
                <w:color w:val="auto"/>
              </w:rPr>
              <w:t>个体总数</w:t>
            </w:r>
          </w:p>
        </w:tc>
        <w:tc>
          <w:tcPr>
            <w:tcW w:w="1157" w:type="pct"/>
            <w:vAlign w:val="center"/>
          </w:tcPr>
          <w:p w14:paraId="440D5B6D">
            <w:pPr>
              <w:tabs>
                <w:tab w:val="left" w:pos="377"/>
              </w:tabs>
              <w:wordWrap w:val="0"/>
              <w:jc w:val="center"/>
              <w:rPr>
                <w:rFonts w:ascii="宋体" w:hAnsi="宋体" w:eastAsia="宋体"/>
                <w:color w:val="auto"/>
              </w:rPr>
            </w:pPr>
            <w:r>
              <w:rPr>
                <w:rFonts w:ascii="宋体" w:hAnsi="宋体" w:eastAsia="宋体"/>
                <w:color w:val="auto"/>
              </w:rPr>
              <w:t>3</w:t>
            </w:r>
          </w:p>
        </w:tc>
        <w:tc>
          <w:tcPr>
            <w:tcW w:w="648" w:type="pct"/>
            <w:vAlign w:val="center"/>
          </w:tcPr>
          <w:p w14:paraId="4F794C13">
            <w:pPr>
              <w:tabs>
                <w:tab w:val="left" w:pos="377"/>
              </w:tabs>
              <w:wordWrap w:val="0"/>
              <w:jc w:val="center"/>
              <w:rPr>
                <w:rFonts w:ascii="宋体" w:hAnsi="宋体" w:eastAsia="宋体"/>
                <w:color w:val="auto"/>
              </w:rPr>
            </w:pPr>
            <w:r>
              <w:rPr>
                <w:rFonts w:hint="eastAsia" w:ascii="宋体" w:hAnsi="宋体" w:eastAsia="宋体"/>
                <w:color w:val="auto"/>
              </w:rPr>
              <w:t>生境类型</w:t>
            </w:r>
          </w:p>
        </w:tc>
        <w:tc>
          <w:tcPr>
            <w:tcW w:w="736" w:type="pct"/>
            <w:vAlign w:val="center"/>
          </w:tcPr>
          <w:p w14:paraId="7B6848D2">
            <w:pPr>
              <w:tabs>
                <w:tab w:val="left" w:pos="377"/>
              </w:tabs>
              <w:wordWrap w:val="0"/>
              <w:jc w:val="center"/>
              <w:rPr>
                <w:rFonts w:ascii="宋体" w:hAnsi="宋体" w:eastAsia="宋体"/>
                <w:color w:val="auto"/>
              </w:rPr>
            </w:pPr>
            <w:r>
              <w:rPr>
                <w:rFonts w:hint="eastAsia" w:ascii="宋体" w:hAnsi="宋体" w:eastAsia="宋体"/>
                <w:color w:val="auto"/>
              </w:rPr>
              <w:t>林地</w:t>
            </w:r>
          </w:p>
        </w:tc>
      </w:tr>
      <w:tr w14:paraId="155B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Merge w:val="restart"/>
            <w:vAlign w:val="center"/>
          </w:tcPr>
          <w:p w14:paraId="2AE3F8C5">
            <w:pPr>
              <w:tabs>
                <w:tab w:val="left" w:pos="377"/>
              </w:tabs>
              <w:wordWrap w:val="0"/>
              <w:jc w:val="center"/>
              <w:rPr>
                <w:rFonts w:ascii="宋体" w:hAnsi="宋体" w:eastAsia="宋体"/>
                <w:color w:val="auto"/>
              </w:rPr>
            </w:pPr>
            <w:r>
              <w:rPr>
                <w:rFonts w:hint="eastAsia" w:ascii="宋体" w:hAnsi="宋体" w:eastAsia="宋体"/>
                <w:color w:val="auto"/>
              </w:rPr>
              <w:t>中文名</w:t>
            </w:r>
          </w:p>
        </w:tc>
        <w:tc>
          <w:tcPr>
            <w:tcW w:w="1084" w:type="pct"/>
            <w:vMerge w:val="restart"/>
            <w:vAlign w:val="center"/>
          </w:tcPr>
          <w:p w14:paraId="06CB552B">
            <w:pPr>
              <w:tabs>
                <w:tab w:val="left" w:pos="377"/>
              </w:tabs>
              <w:wordWrap w:val="0"/>
              <w:jc w:val="center"/>
              <w:rPr>
                <w:rFonts w:ascii="宋体" w:hAnsi="宋体" w:eastAsia="宋体"/>
                <w:color w:val="auto"/>
              </w:rPr>
            </w:pPr>
            <w:r>
              <w:rPr>
                <w:rFonts w:hint="eastAsia" w:ascii="宋体" w:hAnsi="宋体" w:eastAsia="宋体"/>
                <w:color w:val="auto"/>
              </w:rPr>
              <w:t>学名</w:t>
            </w:r>
          </w:p>
        </w:tc>
        <w:tc>
          <w:tcPr>
            <w:tcW w:w="1864" w:type="pct"/>
            <w:gridSpan w:val="2"/>
            <w:vAlign w:val="center"/>
          </w:tcPr>
          <w:p w14:paraId="418EFD8E">
            <w:pPr>
              <w:tabs>
                <w:tab w:val="left" w:pos="377"/>
              </w:tabs>
              <w:wordWrap w:val="0"/>
              <w:jc w:val="center"/>
              <w:rPr>
                <w:rFonts w:ascii="宋体" w:hAnsi="宋体" w:eastAsia="宋体"/>
                <w:color w:val="auto"/>
              </w:rPr>
            </w:pPr>
            <w:r>
              <w:rPr>
                <w:rFonts w:hint="eastAsia" w:ascii="宋体" w:hAnsi="宋体" w:eastAsia="宋体"/>
                <w:color w:val="auto"/>
              </w:rPr>
              <w:t>数量</w:t>
            </w:r>
          </w:p>
        </w:tc>
        <w:tc>
          <w:tcPr>
            <w:tcW w:w="648" w:type="pct"/>
            <w:vMerge w:val="restart"/>
            <w:vAlign w:val="center"/>
          </w:tcPr>
          <w:p w14:paraId="25A20D80">
            <w:pPr>
              <w:tabs>
                <w:tab w:val="left" w:pos="377"/>
              </w:tabs>
              <w:wordWrap w:val="0"/>
              <w:jc w:val="center"/>
              <w:rPr>
                <w:rFonts w:ascii="宋体" w:hAnsi="宋体" w:eastAsia="宋体"/>
                <w:color w:val="auto"/>
              </w:rPr>
            </w:pPr>
            <w:r>
              <w:rPr>
                <w:rFonts w:hint="eastAsia" w:ascii="宋体" w:hAnsi="宋体" w:eastAsia="宋体"/>
                <w:color w:val="auto"/>
              </w:rPr>
              <w:t>保护级别</w:t>
            </w:r>
          </w:p>
        </w:tc>
        <w:tc>
          <w:tcPr>
            <w:tcW w:w="736" w:type="pct"/>
            <w:vMerge w:val="restart"/>
            <w:vAlign w:val="center"/>
          </w:tcPr>
          <w:p w14:paraId="54ECA3F7">
            <w:pPr>
              <w:tabs>
                <w:tab w:val="left" w:pos="377"/>
              </w:tabs>
              <w:wordWrap w:val="0"/>
              <w:jc w:val="center"/>
              <w:rPr>
                <w:rFonts w:ascii="宋体" w:hAnsi="宋体" w:eastAsia="宋体"/>
                <w:color w:val="auto"/>
              </w:rPr>
            </w:pPr>
          </w:p>
        </w:tc>
      </w:tr>
      <w:tr w14:paraId="0C13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Merge w:val="continue"/>
            <w:vAlign w:val="center"/>
          </w:tcPr>
          <w:p w14:paraId="658C700A">
            <w:pPr>
              <w:jc w:val="center"/>
              <w:rPr>
                <w:rFonts w:ascii="宋体" w:hAnsi="宋体" w:eastAsia="宋体"/>
                <w:color w:val="auto"/>
              </w:rPr>
            </w:pPr>
          </w:p>
        </w:tc>
        <w:tc>
          <w:tcPr>
            <w:tcW w:w="1084" w:type="pct"/>
            <w:vMerge w:val="continue"/>
            <w:vAlign w:val="center"/>
          </w:tcPr>
          <w:p w14:paraId="57B32AD0">
            <w:pPr>
              <w:jc w:val="center"/>
              <w:rPr>
                <w:rFonts w:ascii="宋体" w:hAnsi="宋体" w:eastAsia="宋体"/>
                <w:color w:val="auto"/>
              </w:rPr>
            </w:pPr>
          </w:p>
        </w:tc>
        <w:tc>
          <w:tcPr>
            <w:tcW w:w="707" w:type="pct"/>
            <w:vAlign w:val="center"/>
          </w:tcPr>
          <w:p w14:paraId="0F7E5F15">
            <w:pPr>
              <w:tabs>
                <w:tab w:val="left" w:pos="377"/>
              </w:tabs>
              <w:wordWrap w:val="0"/>
              <w:jc w:val="center"/>
              <w:rPr>
                <w:rFonts w:ascii="宋体" w:hAnsi="宋体" w:eastAsia="宋体"/>
                <w:color w:val="auto"/>
              </w:rPr>
            </w:pPr>
            <w:r>
              <w:rPr>
                <w:rFonts w:hint="eastAsia" w:ascii="宋体" w:hAnsi="宋体" w:eastAsia="宋体"/>
                <w:color w:val="auto"/>
              </w:rPr>
              <w:t>成体</w:t>
            </w:r>
          </w:p>
        </w:tc>
        <w:tc>
          <w:tcPr>
            <w:tcW w:w="1157" w:type="pct"/>
            <w:vAlign w:val="center"/>
          </w:tcPr>
          <w:p w14:paraId="7E126338">
            <w:pPr>
              <w:tabs>
                <w:tab w:val="left" w:pos="377"/>
              </w:tabs>
              <w:wordWrap w:val="0"/>
              <w:jc w:val="center"/>
              <w:rPr>
                <w:rFonts w:ascii="宋体" w:hAnsi="宋体" w:eastAsia="宋体"/>
                <w:color w:val="auto"/>
              </w:rPr>
            </w:pPr>
            <w:r>
              <w:rPr>
                <w:rFonts w:hint="eastAsia" w:ascii="宋体" w:hAnsi="宋体" w:eastAsia="宋体"/>
                <w:color w:val="auto"/>
              </w:rPr>
              <w:t>幼体</w:t>
            </w:r>
          </w:p>
        </w:tc>
        <w:tc>
          <w:tcPr>
            <w:tcW w:w="648" w:type="pct"/>
            <w:vMerge w:val="continue"/>
            <w:vAlign w:val="center"/>
          </w:tcPr>
          <w:p w14:paraId="22755D32">
            <w:pPr>
              <w:jc w:val="center"/>
              <w:rPr>
                <w:rFonts w:ascii="宋体" w:hAnsi="宋体" w:eastAsia="宋体"/>
                <w:color w:val="auto"/>
              </w:rPr>
            </w:pPr>
          </w:p>
        </w:tc>
        <w:tc>
          <w:tcPr>
            <w:tcW w:w="736" w:type="pct"/>
            <w:vMerge w:val="continue"/>
            <w:vAlign w:val="center"/>
          </w:tcPr>
          <w:p w14:paraId="0B8518C4">
            <w:pPr>
              <w:jc w:val="center"/>
              <w:rPr>
                <w:rFonts w:ascii="宋体" w:hAnsi="宋体" w:eastAsia="宋体"/>
                <w:color w:val="auto"/>
              </w:rPr>
            </w:pPr>
          </w:p>
        </w:tc>
      </w:tr>
      <w:tr w14:paraId="0ADA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6D36B3AF">
            <w:pPr>
              <w:kinsoku w:val="0"/>
              <w:autoSpaceDE w:val="0"/>
              <w:autoSpaceDN w:val="0"/>
              <w:jc w:val="center"/>
              <w:textAlignment w:val="baseline"/>
              <w:rPr>
                <w:rFonts w:ascii="宋体" w:hAnsi="宋体" w:eastAsia="宋体"/>
                <w:color w:val="auto"/>
              </w:rPr>
            </w:pPr>
            <w:r>
              <w:rPr>
                <w:rFonts w:hint="eastAsia" w:ascii="宋体" w:hAnsi="宋体" w:eastAsia="宋体"/>
                <w:color w:val="auto"/>
              </w:rPr>
              <w:t>喜鹊</w:t>
            </w:r>
          </w:p>
        </w:tc>
        <w:tc>
          <w:tcPr>
            <w:tcW w:w="1084" w:type="pct"/>
            <w:vAlign w:val="center"/>
          </w:tcPr>
          <w:p w14:paraId="66983250">
            <w:pPr>
              <w:tabs>
                <w:tab w:val="left" w:pos="377"/>
              </w:tabs>
              <w:wordWrap w:val="0"/>
              <w:jc w:val="center"/>
              <w:rPr>
                <w:rFonts w:ascii="宋体" w:hAnsi="宋体" w:eastAsia="宋体" w:cs="Times New Roman"/>
                <w:i/>
                <w:iCs/>
                <w:color w:val="auto"/>
              </w:rPr>
            </w:pPr>
            <w:r>
              <w:rPr>
                <w:rFonts w:hint="eastAsia" w:ascii="宋体" w:hAnsi="宋体" w:eastAsia="宋体" w:cs="Times New Roman"/>
                <w:i/>
                <w:iCs/>
                <w:color w:val="auto"/>
              </w:rPr>
              <w:t>P</w:t>
            </w:r>
            <w:r>
              <w:rPr>
                <w:rFonts w:ascii="宋体" w:hAnsi="宋体" w:eastAsia="宋体" w:cs="Times New Roman"/>
                <w:i/>
                <w:iCs/>
                <w:color w:val="auto"/>
              </w:rPr>
              <w:t>icapica</w:t>
            </w:r>
          </w:p>
        </w:tc>
        <w:tc>
          <w:tcPr>
            <w:tcW w:w="707" w:type="pct"/>
            <w:vAlign w:val="center"/>
          </w:tcPr>
          <w:p w14:paraId="77CF1D12">
            <w:pPr>
              <w:tabs>
                <w:tab w:val="left" w:pos="377"/>
              </w:tabs>
              <w:wordWrap w:val="0"/>
              <w:jc w:val="center"/>
              <w:rPr>
                <w:rFonts w:ascii="宋体" w:hAnsi="宋体" w:eastAsia="宋体"/>
                <w:color w:val="auto"/>
              </w:rPr>
            </w:pPr>
            <w:r>
              <w:rPr>
                <w:rFonts w:ascii="宋体" w:hAnsi="宋体" w:eastAsia="宋体"/>
                <w:color w:val="auto"/>
              </w:rPr>
              <w:t>3</w:t>
            </w:r>
          </w:p>
        </w:tc>
        <w:tc>
          <w:tcPr>
            <w:tcW w:w="1157" w:type="pct"/>
            <w:vAlign w:val="center"/>
          </w:tcPr>
          <w:p w14:paraId="5F9B3EF6">
            <w:pPr>
              <w:tabs>
                <w:tab w:val="left" w:pos="377"/>
              </w:tabs>
              <w:wordWrap w:val="0"/>
              <w:jc w:val="center"/>
              <w:rPr>
                <w:rFonts w:ascii="宋体" w:hAnsi="宋体" w:eastAsia="宋体"/>
                <w:color w:val="auto"/>
              </w:rPr>
            </w:pPr>
            <w:r>
              <w:rPr>
                <w:rFonts w:hint="eastAsia" w:ascii="宋体" w:hAnsi="宋体" w:eastAsia="宋体"/>
                <w:color w:val="auto"/>
              </w:rPr>
              <w:t>0</w:t>
            </w:r>
          </w:p>
        </w:tc>
        <w:tc>
          <w:tcPr>
            <w:tcW w:w="648" w:type="pct"/>
            <w:vAlign w:val="center"/>
          </w:tcPr>
          <w:p w14:paraId="61CB5448">
            <w:pPr>
              <w:tabs>
                <w:tab w:val="left" w:pos="377"/>
              </w:tabs>
              <w:wordWrap w:val="0"/>
              <w:jc w:val="center"/>
              <w:rPr>
                <w:rFonts w:ascii="宋体" w:hAnsi="宋体" w:eastAsia="宋体"/>
                <w:color w:val="auto"/>
              </w:rPr>
            </w:pPr>
            <w:r>
              <w:rPr>
                <w:rFonts w:hint="eastAsia" w:ascii="宋体" w:hAnsi="宋体" w:eastAsia="宋体"/>
                <w:color w:val="auto"/>
              </w:rPr>
              <w:t>-</w:t>
            </w:r>
          </w:p>
        </w:tc>
        <w:tc>
          <w:tcPr>
            <w:tcW w:w="736" w:type="pct"/>
            <w:vAlign w:val="center"/>
          </w:tcPr>
          <w:p w14:paraId="506D4418">
            <w:pPr>
              <w:tabs>
                <w:tab w:val="left" w:pos="377"/>
              </w:tabs>
              <w:wordWrap w:val="0"/>
              <w:jc w:val="center"/>
              <w:rPr>
                <w:rFonts w:ascii="宋体" w:hAnsi="宋体" w:eastAsia="宋体"/>
                <w:color w:val="auto"/>
              </w:rPr>
            </w:pPr>
            <w:r>
              <w:rPr>
                <w:rFonts w:hint="eastAsia" w:ascii="宋体" w:hAnsi="宋体" w:eastAsia="宋体"/>
                <w:color w:val="auto"/>
              </w:rPr>
              <w:t>-</w:t>
            </w:r>
          </w:p>
        </w:tc>
      </w:tr>
      <w:tr w14:paraId="6F84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14:paraId="6D765416">
            <w:pPr>
              <w:tabs>
                <w:tab w:val="left" w:pos="377"/>
              </w:tabs>
              <w:wordWrap w:val="0"/>
              <w:jc w:val="center"/>
              <w:rPr>
                <w:rFonts w:ascii="宋体" w:hAnsi="宋体" w:eastAsia="宋体"/>
                <w:color w:val="auto"/>
              </w:rPr>
            </w:pPr>
            <w:r>
              <w:rPr>
                <w:rFonts w:ascii="宋体" w:hAnsi="宋体" w:eastAsia="宋体"/>
                <w:color w:val="auto"/>
              </w:rPr>
              <w:drawing>
                <wp:inline distT="0" distB="0" distL="0" distR="0">
                  <wp:extent cx="3914140" cy="2934335"/>
                  <wp:effectExtent l="0" t="0" r="10160" b="18415"/>
                  <wp:docPr id="130447748" name="图片 130447748" descr="D:\Users\DELL\Documents\WeChat Files\wxid_0rf4mizuauk621\FileStorage\Temp\6dadfddea22ee3f65939c8038de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48" name="图片 130447748" descr="D:\Users\DELL\Documents\WeChat Files\wxid_0rf4mizuauk621\FileStorage\Temp\6dadfddea22ee3f65939c8038de1543.jpg"/>
                          <pic:cNvPicPr>
                            <a:picLocks noChangeAspect="1" noChangeArrowheads="1"/>
                          </pic:cNvPicPr>
                        </pic:nvPicPr>
                        <pic:blipFill>
                          <a:blip r:embed="rId76"/>
                          <a:srcRect/>
                          <a:stretch>
                            <a:fillRect/>
                          </a:stretch>
                        </pic:blipFill>
                        <pic:spPr>
                          <a:xfrm>
                            <a:off x="0" y="0"/>
                            <a:ext cx="3914140" cy="2941446"/>
                          </a:xfrm>
                          <a:prstGeom prst="rect">
                            <a:avLst/>
                          </a:prstGeom>
                          <a:noFill/>
                          <a:ln>
                            <a:noFill/>
                          </a:ln>
                        </pic:spPr>
                      </pic:pic>
                    </a:graphicData>
                  </a:graphic>
                </wp:inline>
              </w:drawing>
            </w:r>
          </w:p>
        </w:tc>
      </w:tr>
      <w:bookmarkEnd w:id="1257"/>
      <w:bookmarkEnd w:id="1258"/>
    </w:tbl>
    <w:p w14:paraId="51850A54">
      <w:pPr>
        <w:spacing w:line="440" w:lineRule="exact"/>
        <w:ind w:firstLine="420" w:firstLineChars="200"/>
        <w:jc w:val="center"/>
        <w:rPr>
          <w:rFonts w:ascii="宋体" w:hAnsi="宋体" w:eastAsia="宋体" w:cs="Times New Roman"/>
          <w:color w:val="auto"/>
          <w:szCs w:val="28"/>
        </w:rPr>
      </w:pPr>
      <w:r>
        <w:rPr>
          <w:rFonts w:hint="eastAsia" w:ascii="宋体" w:hAnsi="宋体" w:eastAsia="宋体" w:cs="Times New Roman"/>
          <w:color w:val="auto"/>
          <w:szCs w:val="28"/>
        </w:rPr>
        <w:t>表</w:t>
      </w:r>
      <w:r>
        <w:rPr>
          <w:rFonts w:ascii="宋体" w:hAnsi="宋体" w:eastAsia="宋体" w:cs="Times New Roman"/>
          <w:color w:val="auto"/>
          <w:szCs w:val="28"/>
        </w:rPr>
        <w:t>4.4-11</w:t>
      </w:r>
      <w:r>
        <w:rPr>
          <w:rFonts w:hint="eastAsia" w:ascii="宋体" w:hAnsi="宋体" w:eastAsia="宋体" w:cs="Times New Roman"/>
          <w:color w:val="auto"/>
          <w:szCs w:val="28"/>
        </w:rPr>
        <w:t xml:space="preserve">  动物样线调查表（</w:t>
      </w:r>
      <w:r>
        <w:rPr>
          <w:rFonts w:ascii="宋体" w:hAnsi="宋体" w:eastAsia="宋体" w:cs="Times New Roman"/>
          <w:color w:val="auto"/>
          <w:szCs w:val="28"/>
        </w:rPr>
        <w:t>2#</w:t>
      </w:r>
      <w:r>
        <w:rPr>
          <w:rFonts w:hint="eastAsia" w:ascii="宋体" w:hAnsi="宋体" w:eastAsia="宋体" w:cs="Times New Roman"/>
          <w:color w:val="auto"/>
          <w:szCs w:val="28"/>
        </w:rPr>
        <w:t>）</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2013"/>
        <w:gridCol w:w="1313"/>
        <w:gridCol w:w="2149"/>
        <w:gridCol w:w="1204"/>
        <w:gridCol w:w="1367"/>
      </w:tblGrid>
      <w:tr w14:paraId="2F49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77EA21F0">
            <w:pPr>
              <w:tabs>
                <w:tab w:val="left" w:pos="377"/>
              </w:tabs>
              <w:wordWrap w:val="0"/>
              <w:jc w:val="center"/>
              <w:rPr>
                <w:rFonts w:ascii="宋体" w:hAnsi="宋体" w:eastAsia="宋体"/>
                <w:color w:val="auto"/>
              </w:rPr>
            </w:pPr>
            <w:r>
              <w:rPr>
                <w:rFonts w:hint="eastAsia" w:ascii="宋体" w:hAnsi="宋体" w:eastAsia="宋体"/>
                <w:color w:val="auto"/>
              </w:rPr>
              <w:t>编号</w:t>
            </w:r>
          </w:p>
        </w:tc>
        <w:tc>
          <w:tcPr>
            <w:tcW w:w="1084" w:type="pct"/>
            <w:vAlign w:val="center"/>
          </w:tcPr>
          <w:p w14:paraId="6C24E3D4">
            <w:pPr>
              <w:tabs>
                <w:tab w:val="left" w:pos="377"/>
              </w:tabs>
              <w:wordWrap w:val="0"/>
              <w:jc w:val="center"/>
              <w:rPr>
                <w:rFonts w:ascii="宋体" w:hAnsi="宋体" w:eastAsia="宋体"/>
                <w:color w:val="auto"/>
              </w:rPr>
            </w:pPr>
            <w:r>
              <w:rPr>
                <w:rFonts w:ascii="宋体" w:hAnsi="宋体" w:eastAsia="宋体"/>
                <w:color w:val="auto"/>
              </w:rPr>
              <w:t>2#</w:t>
            </w:r>
          </w:p>
        </w:tc>
        <w:tc>
          <w:tcPr>
            <w:tcW w:w="707" w:type="pct"/>
            <w:vAlign w:val="center"/>
          </w:tcPr>
          <w:p w14:paraId="5E452EBB">
            <w:pPr>
              <w:tabs>
                <w:tab w:val="left" w:pos="377"/>
              </w:tabs>
              <w:wordWrap w:val="0"/>
              <w:jc w:val="center"/>
              <w:rPr>
                <w:rFonts w:ascii="宋体" w:hAnsi="宋体" w:eastAsia="宋体"/>
                <w:color w:val="auto"/>
              </w:rPr>
            </w:pPr>
            <w:r>
              <w:rPr>
                <w:rFonts w:hint="eastAsia" w:ascii="宋体" w:hAnsi="宋体" w:eastAsia="宋体"/>
                <w:color w:val="auto"/>
              </w:rPr>
              <w:t>日期</w:t>
            </w:r>
          </w:p>
        </w:tc>
        <w:tc>
          <w:tcPr>
            <w:tcW w:w="1157" w:type="pct"/>
            <w:vAlign w:val="center"/>
          </w:tcPr>
          <w:p w14:paraId="1F1E995F">
            <w:pPr>
              <w:tabs>
                <w:tab w:val="left" w:pos="377"/>
              </w:tabs>
              <w:wordWrap w:val="0"/>
              <w:jc w:val="center"/>
              <w:rPr>
                <w:rFonts w:ascii="宋体" w:hAnsi="宋体" w:eastAsia="宋体"/>
                <w:color w:val="auto"/>
              </w:rPr>
            </w:pPr>
            <w:r>
              <w:rPr>
                <w:rFonts w:hint="eastAsia" w:ascii="宋体" w:hAnsi="宋体" w:eastAsia="宋体"/>
                <w:color w:val="auto"/>
              </w:rPr>
              <w:t>202</w:t>
            </w:r>
            <w:r>
              <w:rPr>
                <w:rFonts w:ascii="宋体" w:hAnsi="宋体" w:eastAsia="宋体"/>
                <w:color w:val="auto"/>
              </w:rPr>
              <w:t>5</w:t>
            </w:r>
            <w:r>
              <w:rPr>
                <w:rFonts w:hint="eastAsia" w:ascii="宋体" w:hAnsi="宋体" w:eastAsia="宋体"/>
                <w:color w:val="auto"/>
              </w:rPr>
              <w:t>年</w:t>
            </w:r>
            <w:r>
              <w:rPr>
                <w:rFonts w:ascii="宋体" w:hAnsi="宋体" w:eastAsia="宋体"/>
                <w:color w:val="auto"/>
              </w:rPr>
              <w:t>10</w:t>
            </w:r>
            <w:r>
              <w:rPr>
                <w:rFonts w:hint="eastAsia" w:ascii="宋体" w:hAnsi="宋体" w:eastAsia="宋体"/>
                <w:color w:val="auto"/>
              </w:rPr>
              <w:t>月</w:t>
            </w:r>
            <w:r>
              <w:rPr>
                <w:rFonts w:ascii="宋体" w:hAnsi="宋体" w:eastAsia="宋体"/>
                <w:color w:val="auto"/>
              </w:rPr>
              <w:t>10</w:t>
            </w:r>
            <w:r>
              <w:rPr>
                <w:rFonts w:hint="eastAsia" w:ascii="宋体" w:hAnsi="宋体" w:eastAsia="宋体"/>
                <w:color w:val="auto"/>
              </w:rPr>
              <w:t>日</w:t>
            </w:r>
          </w:p>
        </w:tc>
        <w:tc>
          <w:tcPr>
            <w:tcW w:w="648" w:type="pct"/>
            <w:vAlign w:val="center"/>
          </w:tcPr>
          <w:p w14:paraId="73EE9864">
            <w:pPr>
              <w:tabs>
                <w:tab w:val="left" w:pos="377"/>
              </w:tabs>
              <w:wordWrap w:val="0"/>
              <w:jc w:val="center"/>
              <w:rPr>
                <w:rFonts w:ascii="宋体" w:hAnsi="宋体" w:eastAsia="宋体"/>
                <w:color w:val="auto"/>
              </w:rPr>
            </w:pPr>
            <w:r>
              <w:rPr>
                <w:rFonts w:hint="eastAsia" w:ascii="宋体" w:hAnsi="宋体" w:eastAsia="宋体"/>
                <w:color w:val="auto"/>
              </w:rPr>
              <w:t>观测者</w:t>
            </w:r>
          </w:p>
        </w:tc>
        <w:tc>
          <w:tcPr>
            <w:tcW w:w="736" w:type="pct"/>
            <w:vAlign w:val="center"/>
          </w:tcPr>
          <w:p w14:paraId="23592E17">
            <w:pPr>
              <w:tabs>
                <w:tab w:val="left" w:pos="377"/>
              </w:tabs>
              <w:wordWrap w:val="0"/>
              <w:jc w:val="center"/>
              <w:rPr>
                <w:rFonts w:ascii="宋体" w:hAnsi="宋体" w:eastAsia="宋体"/>
                <w:color w:val="auto"/>
              </w:rPr>
            </w:pPr>
            <w:r>
              <w:rPr>
                <w:rFonts w:hint="eastAsia" w:ascii="宋体" w:hAnsi="宋体" w:eastAsia="宋体"/>
                <w:color w:val="auto"/>
              </w:rPr>
              <w:t>聂海军</w:t>
            </w:r>
          </w:p>
        </w:tc>
      </w:tr>
      <w:tr w14:paraId="449A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407A80EE">
            <w:pPr>
              <w:tabs>
                <w:tab w:val="left" w:pos="377"/>
              </w:tabs>
              <w:wordWrap w:val="0"/>
              <w:jc w:val="center"/>
              <w:rPr>
                <w:rFonts w:ascii="宋体" w:hAnsi="宋体" w:eastAsia="宋体"/>
                <w:color w:val="auto"/>
              </w:rPr>
            </w:pPr>
            <w:r>
              <w:rPr>
                <w:rFonts w:hint="eastAsia" w:ascii="宋体" w:hAnsi="宋体" w:eastAsia="宋体"/>
                <w:color w:val="auto"/>
              </w:rPr>
              <w:t>起点坐标</w:t>
            </w:r>
          </w:p>
        </w:tc>
        <w:tc>
          <w:tcPr>
            <w:tcW w:w="1084" w:type="pct"/>
            <w:vAlign w:val="center"/>
          </w:tcPr>
          <w:p w14:paraId="36B0FAB6">
            <w:pPr>
              <w:tabs>
                <w:tab w:val="left" w:pos="377"/>
              </w:tabs>
              <w:wordWrap w:val="0"/>
              <w:jc w:val="center"/>
              <w:rPr>
                <w:rFonts w:ascii="宋体" w:hAnsi="宋体" w:eastAsia="宋体"/>
                <w:color w:val="auto"/>
              </w:rPr>
            </w:pPr>
            <w:r>
              <w:rPr>
                <w:rFonts w:ascii="宋体" w:hAnsi="宋体" w:eastAsia="宋体" w:cs="Times New Roman"/>
                <w:color w:val="auto"/>
                <w:lang w:bidi="ar"/>
              </w:rPr>
              <w:t>125.15499918</w:t>
            </w:r>
            <w:r>
              <w:rPr>
                <w:rFonts w:ascii="宋体" w:hAnsi="宋体" w:eastAsia="宋体" w:cs="Times New Roman"/>
                <w:color w:val="auto"/>
              </w:rPr>
              <w:t xml:space="preserve"> E</w:t>
            </w:r>
            <w:r>
              <w:rPr>
                <w:rFonts w:hint="eastAsia" w:ascii="宋体" w:hAnsi="宋体" w:eastAsia="宋体" w:cs="Times New Roman"/>
                <w:color w:val="auto"/>
                <w:lang w:bidi="ar"/>
              </w:rPr>
              <w:t>，</w:t>
            </w:r>
            <w:r>
              <w:rPr>
                <w:rFonts w:ascii="宋体" w:hAnsi="宋体" w:eastAsia="宋体" w:cs="Times New Roman"/>
                <w:color w:val="auto"/>
                <w:lang w:bidi="ar"/>
              </w:rPr>
              <w:t>45.53654620</w:t>
            </w:r>
            <w:r>
              <w:rPr>
                <w:rFonts w:ascii="宋体" w:hAnsi="宋体" w:eastAsia="宋体" w:cs="Times New Roman"/>
                <w:color w:val="auto"/>
              </w:rPr>
              <w:t xml:space="preserve"> N</w:t>
            </w:r>
          </w:p>
        </w:tc>
        <w:tc>
          <w:tcPr>
            <w:tcW w:w="707" w:type="pct"/>
            <w:vAlign w:val="center"/>
          </w:tcPr>
          <w:p w14:paraId="3E8EE033">
            <w:pPr>
              <w:tabs>
                <w:tab w:val="left" w:pos="377"/>
              </w:tabs>
              <w:wordWrap w:val="0"/>
              <w:jc w:val="center"/>
              <w:rPr>
                <w:rFonts w:ascii="宋体" w:hAnsi="宋体" w:eastAsia="宋体"/>
                <w:color w:val="auto"/>
              </w:rPr>
            </w:pPr>
            <w:r>
              <w:rPr>
                <w:rFonts w:hint="eastAsia" w:ascii="宋体" w:hAnsi="宋体" w:eastAsia="宋体"/>
                <w:color w:val="auto"/>
              </w:rPr>
              <w:t>终点坐标</w:t>
            </w:r>
          </w:p>
        </w:tc>
        <w:tc>
          <w:tcPr>
            <w:tcW w:w="1157" w:type="pct"/>
            <w:vAlign w:val="center"/>
          </w:tcPr>
          <w:p w14:paraId="0A3BD454">
            <w:pPr>
              <w:tabs>
                <w:tab w:val="left" w:pos="377"/>
              </w:tabs>
              <w:wordWrap w:val="0"/>
              <w:jc w:val="center"/>
              <w:rPr>
                <w:rFonts w:ascii="宋体" w:hAnsi="宋体" w:eastAsia="宋体"/>
                <w:color w:val="auto"/>
              </w:rPr>
            </w:pPr>
            <w:r>
              <w:rPr>
                <w:rFonts w:ascii="宋体" w:hAnsi="宋体" w:eastAsia="宋体" w:cs="Times New Roman"/>
                <w:color w:val="auto"/>
                <w:lang w:bidi="ar"/>
              </w:rPr>
              <w:t>125.15362694</w:t>
            </w:r>
            <w:r>
              <w:rPr>
                <w:rFonts w:ascii="宋体" w:hAnsi="宋体" w:eastAsia="宋体" w:cs="Times New Roman"/>
                <w:color w:val="auto"/>
              </w:rPr>
              <w:t xml:space="preserve"> E</w:t>
            </w:r>
            <w:r>
              <w:rPr>
                <w:rFonts w:hint="eastAsia" w:ascii="宋体" w:hAnsi="宋体" w:eastAsia="宋体" w:cs="Times New Roman"/>
                <w:color w:val="auto"/>
                <w:lang w:bidi="ar"/>
              </w:rPr>
              <w:t>，</w:t>
            </w:r>
            <w:r>
              <w:rPr>
                <w:rFonts w:ascii="宋体" w:hAnsi="宋体" w:eastAsia="宋体" w:cs="Times New Roman"/>
                <w:color w:val="auto"/>
                <w:lang w:bidi="ar"/>
              </w:rPr>
              <w:t>45.52677848</w:t>
            </w:r>
            <w:r>
              <w:rPr>
                <w:rFonts w:ascii="宋体" w:hAnsi="宋体" w:eastAsia="宋体" w:cs="Times New Roman"/>
                <w:color w:val="auto"/>
              </w:rPr>
              <w:t xml:space="preserve"> N</w:t>
            </w:r>
          </w:p>
        </w:tc>
        <w:tc>
          <w:tcPr>
            <w:tcW w:w="648" w:type="pct"/>
            <w:vAlign w:val="center"/>
          </w:tcPr>
          <w:p w14:paraId="344D5F27">
            <w:pPr>
              <w:tabs>
                <w:tab w:val="left" w:pos="377"/>
              </w:tabs>
              <w:wordWrap w:val="0"/>
              <w:jc w:val="center"/>
              <w:rPr>
                <w:rFonts w:ascii="宋体" w:hAnsi="宋体" w:eastAsia="宋体"/>
                <w:color w:val="auto"/>
              </w:rPr>
            </w:pPr>
            <w:r>
              <w:rPr>
                <w:rFonts w:hint="eastAsia" w:ascii="宋体" w:hAnsi="宋体" w:eastAsia="宋体"/>
                <w:color w:val="auto"/>
              </w:rPr>
              <w:t>天气</w:t>
            </w:r>
          </w:p>
        </w:tc>
        <w:tc>
          <w:tcPr>
            <w:tcW w:w="736" w:type="pct"/>
            <w:vAlign w:val="center"/>
          </w:tcPr>
          <w:p w14:paraId="17481D55">
            <w:pPr>
              <w:tabs>
                <w:tab w:val="left" w:pos="377"/>
              </w:tabs>
              <w:wordWrap w:val="0"/>
              <w:jc w:val="center"/>
              <w:rPr>
                <w:rFonts w:ascii="宋体" w:hAnsi="宋体" w:eastAsia="宋体"/>
                <w:color w:val="auto"/>
              </w:rPr>
            </w:pPr>
            <w:r>
              <w:rPr>
                <w:rFonts w:hint="eastAsia" w:ascii="宋体" w:hAnsi="宋体" w:eastAsia="宋体"/>
                <w:color w:val="auto"/>
              </w:rPr>
              <w:t>晴</w:t>
            </w:r>
          </w:p>
        </w:tc>
      </w:tr>
      <w:tr w14:paraId="1834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643BEFFE">
            <w:pPr>
              <w:tabs>
                <w:tab w:val="left" w:pos="377"/>
              </w:tabs>
              <w:wordWrap w:val="0"/>
              <w:jc w:val="center"/>
              <w:rPr>
                <w:rFonts w:ascii="宋体" w:hAnsi="宋体" w:eastAsia="宋体"/>
                <w:color w:val="auto"/>
              </w:rPr>
            </w:pPr>
            <w:r>
              <w:rPr>
                <w:rFonts w:hint="eastAsia" w:ascii="宋体" w:hAnsi="宋体" w:eastAsia="宋体"/>
                <w:color w:val="auto"/>
              </w:rPr>
              <w:t>人为干扰活动类型</w:t>
            </w:r>
          </w:p>
        </w:tc>
        <w:tc>
          <w:tcPr>
            <w:tcW w:w="1084" w:type="pct"/>
            <w:vAlign w:val="center"/>
          </w:tcPr>
          <w:p w14:paraId="6A72D490">
            <w:pPr>
              <w:tabs>
                <w:tab w:val="left" w:pos="377"/>
              </w:tabs>
              <w:wordWrap w:val="0"/>
              <w:jc w:val="center"/>
              <w:rPr>
                <w:rFonts w:ascii="宋体" w:hAnsi="宋体" w:eastAsia="宋体"/>
                <w:color w:val="auto"/>
              </w:rPr>
            </w:pPr>
            <w:r>
              <w:rPr>
                <w:rFonts w:hint="eastAsia" w:ascii="宋体" w:hAnsi="宋体" w:eastAsia="宋体"/>
                <w:color w:val="auto"/>
              </w:rPr>
              <w:t>矿产资源开发</w:t>
            </w:r>
          </w:p>
        </w:tc>
        <w:tc>
          <w:tcPr>
            <w:tcW w:w="707" w:type="pct"/>
            <w:vAlign w:val="center"/>
          </w:tcPr>
          <w:p w14:paraId="52518ABA">
            <w:pPr>
              <w:tabs>
                <w:tab w:val="left" w:pos="377"/>
              </w:tabs>
              <w:wordWrap w:val="0"/>
              <w:jc w:val="center"/>
              <w:rPr>
                <w:rFonts w:ascii="宋体" w:hAnsi="宋体" w:eastAsia="宋体"/>
                <w:color w:val="auto"/>
              </w:rPr>
            </w:pPr>
            <w:r>
              <w:rPr>
                <w:rFonts w:hint="eastAsia" w:ascii="宋体" w:hAnsi="宋体" w:eastAsia="宋体"/>
                <w:color w:val="auto"/>
              </w:rPr>
              <w:t>人为干扰活动强度</w:t>
            </w:r>
          </w:p>
        </w:tc>
        <w:tc>
          <w:tcPr>
            <w:tcW w:w="1157" w:type="pct"/>
            <w:vAlign w:val="center"/>
          </w:tcPr>
          <w:p w14:paraId="1D43E96C">
            <w:pPr>
              <w:tabs>
                <w:tab w:val="left" w:pos="377"/>
              </w:tabs>
              <w:wordWrap w:val="0"/>
              <w:jc w:val="center"/>
              <w:rPr>
                <w:rFonts w:ascii="宋体" w:hAnsi="宋体" w:eastAsia="宋体"/>
                <w:color w:val="auto"/>
              </w:rPr>
            </w:pPr>
            <w:r>
              <w:rPr>
                <w:rFonts w:hint="eastAsia" w:ascii="宋体" w:hAnsi="宋体" w:eastAsia="宋体"/>
                <w:color w:val="auto"/>
              </w:rPr>
              <w:t>中</w:t>
            </w:r>
          </w:p>
        </w:tc>
        <w:tc>
          <w:tcPr>
            <w:tcW w:w="648" w:type="pct"/>
            <w:vAlign w:val="center"/>
          </w:tcPr>
          <w:p w14:paraId="515EA4A2">
            <w:pPr>
              <w:tabs>
                <w:tab w:val="left" w:pos="377"/>
              </w:tabs>
              <w:wordWrap w:val="0"/>
              <w:jc w:val="center"/>
              <w:rPr>
                <w:rFonts w:ascii="宋体" w:hAnsi="宋体" w:eastAsia="宋体"/>
                <w:color w:val="auto"/>
              </w:rPr>
            </w:pPr>
            <w:r>
              <w:rPr>
                <w:rFonts w:hint="eastAsia" w:ascii="宋体" w:hAnsi="宋体" w:eastAsia="宋体"/>
                <w:color w:val="auto"/>
              </w:rPr>
              <w:t>平均海拔m</w:t>
            </w:r>
          </w:p>
        </w:tc>
        <w:tc>
          <w:tcPr>
            <w:tcW w:w="736" w:type="pct"/>
            <w:vAlign w:val="center"/>
          </w:tcPr>
          <w:p w14:paraId="36DEB0DF">
            <w:pPr>
              <w:tabs>
                <w:tab w:val="left" w:pos="377"/>
              </w:tabs>
              <w:wordWrap w:val="0"/>
              <w:jc w:val="center"/>
              <w:rPr>
                <w:rFonts w:ascii="宋体" w:hAnsi="宋体" w:eastAsia="宋体"/>
                <w:color w:val="auto"/>
              </w:rPr>
            </w:pPr>
            <w:r>
              <w:rPr>
                <w:rFonts w:ascii="宋体" w:hAnsi="宋体" w:eastAsia="宋体"/>
                <w:color w:val="auto"/>
              </w:rPr>
              <w:t>126m</w:t>
            </w:r>
          </w:p>
        </w:tc>
      </w:tr>
      <w:tr w14:paraId="3E96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231F006D">
            <w:pPr>
              <w:tabs>
                <w:tab w:val="left" w:pos="377"/>
              </w:tabs>
              <w:wordWrap w:val="0"/>
              <w:jc w:val="center"/>
              <w:rPr>
                <w:rFonts w:ascii="宋体" w:hAnsi="宋体" w:eastAsia="宋体"/>
                <w:color w:val="auto"/>
              </w:rPr>
            </w:pPr>
            <w:r>
              <w:rPr>
                <w:rFonts w:hint="eastAsia" w:ascii="宋体" w:hAnsi="宋体" w:eastAsia="宋体"/>
                <w:color w:val="auto"/>
              </w:rPr>
              <w:t>总种数</w:t>
            </w:r>
          </w:p>
        </w:tc>
        <w:tc>
          <w:tcPr>
            <w:tcW w:w="1084" w:type="pct"/>
            <w:vAlign w:val="center"/>
          </w:tcPr>
          <w:p w14:paraId="776010B7">
            <w:pPr>
              <w:tabs>
                <w:tab w:val="left" w:pos="377"/>
              </w:tabs>
              <w:wordWrap w:val="0"/>
              <w:jc w:val="center"/>
              <w:rPr>
                <w:rFonts w:ascii="宋体" w:hAnsi="宋体" w:eastAsia="宋体"/>
                <w:color w:val="auto"/>
              </w:rPr>
            </w:pPr>
            <w:r>
              <w:rPr>
                <w:rFonts w:hint="eastAsia" w:ascii="宋体" w:hAnsi="宋体" w:eastAsia="宋体"/>
                <w:color w:val="auto"/>
              </w:rPr>
              <w:t>1</w:t>
            </w:r>
          </w:p>
        </w:tc>
        <w:tc>
          <w:tcPr>
            <w:tcW w:w="707" w:type="pct"/>
            <w:vAlign w:val="center"/>
          </w:tcPr>
          <w:p w14:paraId="3B6E2262">
            <w:pPr>
              <w:tabs>
                <w:tab w:val="left" w:pos="377"/>
              </w:tabs>
              <w:wordWrap w:val="0"/>
              <w:jc w:val="center"/>
              <w:rPr>
                <w:rFonts w:ascii="宋体" w:hAnsi="宋体" w:eastAsia="宋体"/>
                <w:color w:val="auto"/>
              </w:rPr>
            </w:pPr>
            <w:r>
              <w:rPr>
                <w:rFonts w:hint="eastAsia" w:ascii="宋体" w:hAnsi="宋体" w:eastAsia="宋体"/>
                <w:color w:val="auto"/>
              </w:rPr>
              <w:t>个体总数</w:t>
            </w:r>
          </w:p>
        </w:tc>
        <w:tc>
          <w:tcPr>
            <w:tcW w:w="1157" w:type="pct"/>
            <w:vAlign w:val="center"/>
          </w:tcPr>
          <w:p w14:paraId="0B29E4A5">
            <w:pPr>
              <w:tabs>
                <w:tab w:val="left" w:pos="377"/>
              </w:tabs>
              <w:wordWrap w:val="0"/>
              <w:jc w:val="center"/>
              <w:rPr>
                <w:rFonts w:ascii="宋体" w:hAnsi="宋体" w:eastAsia="宋体"/>
                <w:color w:val="auto"/>
              </w:rPr>
            </w:pPr>
            <w:r>
              <w:rPr>
                <w:rFonts w:ascii="宋体" w:hAnsi="宋体" w:eastAsia="宋体"/>
                <w:color w:val="auto"/>
              </w:rPr>
              <w:t>2</w:t>
            </w:r>
          </w:p>
        </w:tc>
        <w:tc>
          <w:tcPr>
            <w:tcW w:w="648" w:type="pct"/>
            <w:vAlign w:val="center"/>
          </w:tcPr>
          <w:p w14:paraId="613535A7">
            <w:pPr>
              <w:tabs>
                <w:tab w:val="left" w:pos="377"/>
              </w:tabs>
              <w:wordWrap w:val="0"/>
              <w:jc w:val="center"/>
              <w:rPr>
                <w:rFonts w:ascii="宋体" w:hAnsi="宋体" w:eastAsia="宋体"/>
                <w:color w:val="auto"/>
              </w:rPr>
            </w:pPr>
            <w:r>
              <w:rPr>
                <w:rFonts w:hint="eastAsia" w:ascii="宋体" w:hAnsi="宋体" w:eastAsia="宋体"/>
                <w:color w:val="auto"/>
              </w:rPr>
              <w:t>生境类型</w:t>
            </w:r>
          </w:p>
        </w:tc>
        <w:tc>
          <w:tcPr>
            <w:tcW w:w="736" w:type="pct"/>
            <w:vAlign w:val="center"/>
          </w:tcPr>
          <w:p w14:paraId="51582BD9">
            <w:pPr>
              <w:tabs>
                <w:tab w:val="left" w:pos="377"/>
              </w:tabs>
              <w:wordWrap w:val="0"/>
              <w:jc w:val="center"/>
              <w:rPr>
                <w:rFonts w:ascii="宋体" w:hAnsi="宋体" w:eastAsia="宋体"/>
                <w:color w:val="auto"/>
              </w:rPr>
            </w:pPr>
            <w:r>
              <w:rPr>
                <w:rFonts w:hint="eastAsia" w:ascii="宋体" w:hAnsi="宋体" w:eastAsia="宋体"/>
                <w:color w:val="auto"/>
              </w:rPr>
              <w:t>林地</w:t>
            </w:r>
          </w:p>
        </w:tc>
      </w:tr>
      <w:tr w14:paraId="41F5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Merge w:val="restart"/>
            <w:vAlign w:val="center"/>
          </w:tcPr>
          <w:p w14:paraId="40B6EADB">
            <w:pPr>
              <w:tabs>
                <w:tab w:val="left" w:pos="377"/>
              </w:tabs>
              <w:wordWrap w:val="0"/>
              <w:jc w:val="center"/>
              <w:rPr>
                <w:rFonts w:ascii="宋体" w:hAnsi="宋体" w:eastAsia="宋体"/>
                <w:color w:val="auto"/>
              </w:rPr>
            </w:pPr>
            <w:r>
              <w:rPr>
                <w:rFonts w:hint="eastAsia" w:ascii="宋体" w:hAnsi="宋体" w:eastAsia="宋体"/>
                <w:color w:val="auto"/>
              </w:rPr>
              <w:t>中文名</w:t>
            </w:r>
          </w:p>
        </w:tc>
        <w:tc>
          <w:tcPr>
            <w:tcW w:w="1084" w:type="pct"/>
            <w:vMerge w:val="restart"/>
            <w:vAlign w:val="center"/>
          </w:tcPr>
          <w:p w14:paraId="445CAF1F">
            <w:pPr>
              <w:tabs>
                <w:tab w:val="left" w:pos="377"/>
              </w:tabs>
              <w:wordWrap w:val="0"/>
              <w:jc w:val="center"/>
              <w:rPr>
                <w:rFonts w:ascii="宋体" w:hAnsi="宋体" w:eastAsia="宋体"/>
                <w:color w:val="auto"/>
              </w:rPr>
            </w:pPr>
            <w:r>
              <w:rPr>
                <w:rFonts w:hint="eastAsia" w:ascii="宋体" w:hAnsi="宋体" w:eastAsia="宋体"/>
                <w:color w:val="auto"/>
              </w:rPr>
              <w:t>学名</w:t>
            </w:r>
          </w:p>
        </w:tc>
        <w:tc>
          <w:tcPr>
            <w:tcW w:w="1864" w:type="pct"/>
            <w:gridSpan w:val="2"/>
            <w:vAlign w:val="center"/>
          </w:tcPr>
          <w:p w14:paraId="32B710C1">
            <w:pPr>
              <w:tabs>
                <w:tab w:val="left" w:pos="377"/>
              </w:tabs>
              <w:wordWrap w:val="0"/>
              <w:jc w:val="center"/>
              <w:rPr>
                <w:rFonts w:ascii="宋体" w:hAnsi="宋体" w:eastAsia="宋体"/>
                <w:color w:val="auto"/>
              </w:rPr>
            </w:pPr>
            <w:r>
              <w:rPr>
                <w:rFonts w:hint="eastAsia" w:ascii="宋体" w:hAnsi="宋体" w:eastAsia="宋体"/>
                <w:color w:val="auto"/>
              </w:rPr>
              <w:t>数量</w:t>
            </w:r>
          </w:p>
        </w:tc>
        <w:tc>
          <w:tcPr>
            <w:tcW w:w="648" w:type="pct"/>
            <w:vMerge w:val="restart"/>
            <w:vAlign w:val="center"/>
          </w:tcPr>
          <w:p w14:paraId="340A8372">
            <w:pPr>
              <w:tabs>
                <w:tab w:val="left" w:pos="377"/>
              </w:tabs>
              <w:wordWrap w:val="0"/>
              <w:jc w:val="center"/>
              <w:rPr>
                <w:rFonts w:ascii="宋体" w:hAnsi="宋体" w:eastAsia="宋体"/>
                <w:color w:val="auto"/>
              </w:rPr>
            </w:pPr>
            <w:r>
              <w:rPr>
                <w:rFonts w:hint="eastAsia" w:ascii="宋体" w:hAnsi="宋体" w:eastAsia="宋体"/>
                <w:color w:val="auto"/>
              </w:rPr>
              <w:t>保护级别</w:t>
            </w:r>
          </w:p>
        </w:tc>
        <w:tc>
          <w:tcPr>
            <w:tcW w:w="736" w:type="pct"/>
            <w:vMerge w:val="restart"/>
            <w:vAlign w:val="center"/>
          </w:tcPr>
          <w:p w14:paraId="12618342">
            <w:pPr>
              <w:tabs>
                <w:tab w:val="left" w:pos="377"/>
              </w:tabs>
              <w:wordWrap w:val="0"/>
              <w:jc w:val="center"/>
              <w:rPr>
                <w:rFonts w:ascii="宋体" w:hAnsi="宋体" w:eastAsia="宋体"/>
                <w:color w:val="auto"/>
              </w:rPr>
            </w:pPr>
          </w:p>
        </w:tc>
      </w:tr>
      <w:tr w14:paraId="03BF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Merge w:val="continue"/>
            <w:vAlign w:val="center"/>
          </w:tcPr>
          <w:p w14:paraId="79036748">
            <w:pPr>
              <w:jc w:val="center"/>
              <w:rPr>
                <w:rFonts w:ascii="宋体" w:hAnsi="宋体" w:eastAsia="宋体"/>
                <w:color w:val="auto"/>
              </w:rPr>
            </w:pPr>
          </w:p>
        </w:tc>
        <w:tc>
          <w:tcPr>
            <w:tcW w:w="1084" w:type="pct"/>
            <w:vMerge w:val="continue"/>
            <w:vAlign w:val="center"/>
          </w:tcPr>
          <w:p w14:paraId="129E1AC3">
            <w:pPr>
              <w:jc w:val="center"/>
              <w:rPr>
                <w:rFonts w:ascii="宋体" w:hAnsi="宋体" w:eastAsia="宋体"/>
                <w:color w:val="auto"/>
              </w:rPr>
            </w:pPr>
          </w:p>
        </w:tc>
        <w:tc>
          <w:tcPr>
            <w:tcW w:w="707" w:type="pct"/>
            <w:vAlign w:val="center"/>
          </w:tcPr>
          <w:p w14:paraId="56756A01">
            <w:pPr>
              <w:tabs>
                <w:tab w:val="left" w:pos="377"/>
              </w:tabs>
              <w:wordWrap w:val="0"/>
              <w:jc w:val="center"/>
              <w:rPr>
                <w:rFonts w:ascii="宋体" w:hAnsi="宋体" w:eastAsia="宋体"/>
                <w:color w:val="auto"/>
              </w:rPr>
            </w:pPr>
            <w:r>
              <w:rPr>
                <w:rFonts w:hint="eastAsia" w:ascii="宋体" w:hAnsi="宋体" w:eastAsia="宋体"/>
                <w:color w:val="auto"/>
              </w:rPr>
              <w:t>成体</w:t>
            </w:r>
          </w:p>
        </w:tc>
        <w:tc>
          <w:tcPr>
            <w:tcW w:w="1157" w:type="pct"/>
            <w:vAlign w:val="center"/>
          </w:tcPr>
          <w:p w14:paraId="717086EC">
            <w:pPr>
              <w:tabs>
                <w:tab w:val="left" w:pos="377"/>
              </w:tabs>
              <w:wordWrap w:val="0"/>
              <w:jc w:val="center"/>
              <w:rPr>
                <w:rFonts w:ascii="宋体" w:hAnsi="宋体" w:eastAsia="宋体"/>
                <w:color w:val="auto"/>
              </w:rPr>
            </w:pPr>
            <w:r>
              <w:rPr>
                <w:rFonts w:hint="eastAsia" w:ascii="宋体" w:hAnsi="宋体" w:eastAsia="宋体"/>
                <w:color w:val="auto"/>
              </w:rPr>
              <w:t>幼体</w:t>
            </w:r>
          </w:p>
        </w:tc>
        <w:tc>
          <w:tcPr>
            <w:tcW w:w="648" w:type="pct"/>
            <w:vMerge w:val="continue"/>
            <w:vAlign w:val="center"/>
          </w:tcPr>
          <w:p w14:paraId="04F4EE6B">
            <w:pPr>
              <w:jc w:val="center"/>
              <w:rPr>
                <w:rFonts w:ascii="宋体" w:hAnsi="宋体" w:eastAsia="宋体"/>
                <w:color w:val="auto"/>
              </w:rPr>
            </w:pPr>
          </w:p>
        </w:tc>
        <w:tc>
          <w:tcPr>
            <w:tcW w:w="736" w:type="pct"/>
            <w:vMerge w:val="continue"/>
            <w:vAlign w:val="center"/>
          </w:tcPr>
          <w:p w14:paraId="436B3AE4">
            <w:pPr>
              <w:jc w:val="center"/>
              <w:rPr>
                <w:rFonts w:ascii="宋体" w:hAnsi="宋体" w:eastAsia="宋体"/>
                <w:color w:val="auto"/>
              </w:rPr>
            </w:pPr>
          </w:p>
        </w:tc>
      </w:tr>
      <w:tr w14:paraId="683F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51ECF14A">
            <w:pPr>
              <w:kinsoku w:val="0"/>
              <w:autoSpaceDE w:val="0"/>
              <w:autoSpaceDN w:val="0"/>
              <w:jc w:val="center"/>
              <w:textAlignment w:val="baseline"/>
              <w:rPr>
                <w:rFonts w:ascii="宋体" w:hAnsi="宋体" w:eastAsia="宋体"/>
                <w:color w:val="auto"/>
              </w:rPr>
            </w:pPr>
            <w:r>
              <w:rPr>
                <w:rFonts w:hint="eastAsia" w:ascii="宋体" w:hAnsi="宋体" w:eastAsia="宋体"/>
                <w:color w:val="auto"/>
              </w:rPr>
              <w:t>喜鹊</w:t>
            </w:r>
          </w:p>
        </w:tc>
        <w:tc>
          <w:tcPr>
            <w:tcW w:w="1084" w:type="pct"/>
            <w:vAlign w:val="center"/>
          </w:tcPr>
          <w:p w14:paraId="09F17675">
            <w:pPr>
              <w:tabs>
                <w:tab w:val="left" w:pos="377"/>
              </w:tabs>
              <w:wordWrap w:val="0"/>
              <w:jc w:val="center"/>
              <w:rPr>
                <w:rFonts w:ascii="宋体" w:hAnsi="宋体" w:eastAsia="宋体" w:cs="Times New Roman"/>
                <w:i/>
                <w:iCs/>
                <w:color w:val="auto"/>
              </w:rPr>
            </w:pPr>
            <w:r>
              <w:rPr>
                <w:rFonts w:hint="eastAsia" w:ascii="宋体" w:hAnsi="宋体" w:eastAsia="宋体" w:cs="Times New Roman"/>
                <w:i/>
                <w:iCs/>
                <w:color w:val="auto"/>
              </w:rPr>
              <w:t>P</w:t>
            </w:r>
            <w:r>
              <w:rPr>
                <w:rFonts w:ascii="宋体" w:hAnsi="宋体" w:eastAsia="宋体" w:cs="Times New Roman"/>
                <w:i/>
                <w:iCs/>
                <w:color w:val="auto"/>
              </w:rPr>
              <w:t>icapica</w:t>
            </w:r>
          </w:p>
        </w:tc>
        <w:tc>
          <w:tcPr>
            <w:tcW w:w="707" w:type="pct"/>
            <w:vAlign w:val="center"/>
          </w:tcPr>
          <w:p w14:paraId="0F5A206D">
            <w:pPr>
              <w:tabs>
                <w:tab w:val="left" w:pos="377"/>
              </w:tabs>
              <w:wordWrap w:val="0"/>
              <w:jc w:val="center"/>
              <w:rPr>
                <w:rFonts w:ascii="宋体" w:hAnsi="宋体" w:eastAsia="宋体"/>
                <w:color w:val="auto"/>
              </w:rPr>
            </w:pPr>
            <w:r>
              <w:rPr>
                <w:rFonts w:hint="eastAsia" w:ascii="宋体" w:hAnsi="宋体" w:eastAsia="宋体"/>
                <w:color w:val="auto"/>
              </w:rPr>
              <w:t>1</w:t>
            </w:r>
          </w:p>
        </w:tc>
        <w:tc>
          <w:tcPr>
            <w:tcW w:w="1157" w:type="pct"/>
            <w:vAlign w:val="center"/>
          </w:tcPr>
          <w:p w14:paraId="0F9AB8BD">
            <w:pPr>
              <w:tabs>
                <w:tab w:val="left" w:pos="377"/>
              </w:tabs>
              <w:wordWrap w:val="0"/>
              <w:jc w:val="center"/>
              <w:rPr>
                <w:rFonts w:ascii="宋体" w:hAnsi="宋体" w:eastAsia="宋体"/>
                <w:color w:val="auto"/>
              </w:rPr>
            </w:pPr>
            <w:r>
              <w:rPr>
                <w:rFonts w:hint="eastAsia" w:ascii="宋体" w:hAnsi="宋体" w:eastAsia="宋体"/>
                <w:color w:val="auto"/>
              </w:rPr>
              <w:t>0</w:t>
            </w:r>
          </w:p>
        </w:tc>
        <w:tc>
          <w:tcPr>
            <w:tcW w:w="648" w:type="pct"/>
            <w:vAlign w:val="center"/>
          </w:tcPr>
          <w:p w14:paraId="3DADD48C">
            <w:pPr>
              <w:tabs>
                <w:tab w:val="left" w:pos="377"/>
              </w:tabs>
              <w:wordWrap w:val="0"/>
              <w:jc w:val="center"/>
              <w:rPr>
                <w:rFonts w:ascii="宋体" w:hAnsi="宋体" w:eastAsia="宋体"/>
                <w:color w:val="auto"/>
              </w:rPr>
            </w:pPr>
            <w:r>
              <w:rPr>
                <w:rFonts w:hint="eastAsia" w:ascii="宋体" w:hAnsi="宋体" w:eastAsia="宋体"/>
                <w:color w:val="auto"/>
              </w:rPr>
              <w:t>-</w:t>
            </w:r>
          </w:p>
        </w:tc>
        <w:tc>
          <w:tcPr>
            <w:tcW w:w="736" w:type="pct"/>
            <w:vAlign w:val="center"/>
          </w:tcPr>
          <w:p w14:paraId="50BFC6F1">
            <w:pPr>
              <w:tabs>
                <w:tab w:val="left" w:pos="377"/>
              </w:tabs>
              <w:wordWrap w:val="0"/>
              <w:jc w:val="center"/>
              <w:rPr>
                <w:rFonts w:ascii="宋体" w:hAnsi="宋体" w:eastAsia="宋体"/>
                <w:color w:val="auto"/>
              </w:rPr>
            </w:pPr>
            <w:r>
              <w:rPr>
                <w:rFonts w:hint="eastAsia" w:ascii="宋体" w:hAnsi="宋体" w:eastAsia="宋体"/>
                <w:color w:val="auto"/>
              </w:rPr>
              <w:t>-</w:t>
            </w:r>
          </w:p>
        </w:tc>
      </w:tr>
      <w:tr w14:paraId="3D1B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14:paraId="74CED054">
            <w:pPr>
              <w:tabs>
                <w:tab w:val="left" w:pos="377"/>
              </w:tabs>
              <w:wordWrap w:val="0"/>
              <w:jc w:val="center"/>
              <w:rPr>
                <w:rFonts w:ascii="宋体" w:hAnsi="宋体" w:eastAsia="宋体"/>
                <w:color w:val="auto"/>
              </w:rPr>
            </w:pPr>
            <w:r>
              <w:rPr>
                <w:rFonts w:ascii="宋体" w:hAnsi="宋体" w:eastAsia="宋体"/>
                <w:color w:val="auto"/>
              </w:rPr>
              <w:drawing>
                <wp:inline distT="0" distB="0" distL="0" distR="0">
                  <wp:extent cx="3543300" cy="2656840"/>
                  <wp:effectExtent l="0" t="0" r="0" b="10160"/>
                  <wp:docPr id="130447746" name="图片 130447746" descr="D:\Users\DELL\Documents\WeChat Files\wxid_0rf4mizuauk621\FileStorage\Temp\84ec3440147c7263d3015cce0d959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46" name="图片 130447746" descr="D:\Users\DELL\Documents\WeChat Files\wxid_0rf4mizuauk621\FileStorage\Temp\84ec3440147c7263d3015cce0d9595e.jpg"/>
                          <pic:cNvPicPr>
                            <a:picLocks noChangeAspect="1" noChangeArrowheads="1"/>
                          </pic:cNvPicPr>
                        </pic:nvPicPr>
                        <pic:blipFill>
                          <a:blip r:embed="rId77"/>
                          <a:srcRect/>
                          <a:stretch>
                            <a:fillRect/>
                          </a:stretch>
                        </pic:blipFill>
                        <pic:spPr>
                          <a:xfrm>
                            <a:off x="0" y="0"/>
                            <a:ext cx="3543300" cy="2664157"/>
                          </a:xfrm>
                          <a:prstGeom prst="rect">
                            <a:avLst/>
                          </a:prstGeom>
                          <a:noFill/>
                          <a:ln>
                            <a:noFill/>
                          </a:ln>
                        </pic:spPr>
                      </pic:pic>
                    </a:graphicData>
                  </a:graphic>
                </wp:inline>
              </w:drawing>
            </w:r>
          </w:p>
        </w:tc>
      </w:tr>
    </w:tbl>
    <w:p w14:paraId="521CDB75">
      <w:pPr>
        <w:spacing w:line="440" w:lineRule="exact"/>
        <w:ind w:firstLine="420" w:firstLineChars="200"/>
        <w:jc w:val="center"/>
        <w:rPr>
          <w:rFonts w:ascii="宋体" w:hAnsi="宋体" w:eastAsia="宋体" w:cs="Times New Roman"/>
          <w:color w:val="auto"/>
          <w:szCs w:val="28"/>
        </w:rPr>
      </w:pPr>
      <w:r>
        <w:rPr>
          <w:rFonts w:hint="eastAsia" w:ascii="宋体" w:hAnsi="宋体" w:eastAsia="宋体" w:cs="Times New Roman"/>
          <w:color w:val="auto"/>
          <w:szCs w:val="28"/>
        </w:rPr>
        <w:t>表</w:t>
      </w:r>
      <w:r>
        <w:rPr>
          <w:rFonts w:ascii="宋体" w:hAnsi="宋体" w:eastAsia="宋体" w:cs="Times New Roman"/>
          <w:color w:val="auto"/>
          <w:szCs w:val="28"/>
        </w:rPr>
        <w:t>4.4-11</w:t>
      </w:r>
      <w:r>
        <w:rPr>
          <w:rFonts w:hint="eastAsia" w:ascii="宋体" w:hAnsi="宋体" w:eastAsia="宋体" w:cs="Times New Roman"/>
          <w:color w:val="auto"/>
          <w:szCs w:val="28"/>
        </w:rPr>
        <w:t xml:space="preserve">  动物样线调查表（</w:t>
      </w:r>
      <w:r>
        <w:rPr>
          <w:rFonts w:ascii="宋体" w:hAnsi="宋体" w:eastAsia="宋体" w:cs="Times New Roman"/>
          <w:color w:val="auto"/>
          <w:szCs w:val="28"/>
        </w:rPr>
        <w:t>3#</w:t>
      </w:r>
      <w:r>
        <w:rPr>
          <w:rFonts w:hint="eastAsia" w:ascii="宋体" w:hAnsi="宋体" w:eastAsia="宋体" w:cs="Times New Roman"/>
          <w:color w:val="auto"/>
          <w:szCs w:val="28"/>
        </w:rPr>
        <w:t>）</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2013"/>
        <w:gridCol w:w="1313"/>
        <w:gridCol w:w="2149"/>
        <w:gridCol w:w="1204"/>
        <w:gridCol w:w="1367"/>
      </w:tblGrid>
      <w:tr w14:paraId="3B25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381BF5C4">
            <w:pPr>
              <w:tabs>
                <w:tab w:val="left" w:pos="377"/>
              </w:tabs>
              <w:wordWrap w:val="0"/>
              <w:jc w:val="center"/>
              <w:rPr>
                <w:rFonts w:ascii="宋体" w:hAnsi="宋体" w:eastAsia="宋体"/>
                <w:color w:val="auto"/>
              </w:rPr>
            </w:pPr>
            <w:r>
              <w:rPr>
                <w:rFonts w:hint="eastAsia" w:ascii="宋体" w:hAnsi="宋体" w:eastAsia="宋体"/>
                <w:color w:val="auto"/>
              </w:rPr>
              <w:t>编号</w:t>
            </w:r>
          </w:p>
        </w:tc>
        <w:tc>
          <w:tcPr>
            <w:tcW w:w="1084" w:type="pct"/>
            <w:vAlign w:val="center"/>
          </w:tcPr>
          <w:p w14:paraId="23B02703">
            <w:pPr>
              <w:tabs>
                <w:tab w:val="left" w:pos="377"/>
              </w:tabs>
              <w:wordWrap w:val="0"/>
              <w:jc w:val="center"/>
              <w:rPr>
                <w:rFonts w:ascii="宋体" w:hAnsi="宋体" w:eastAsia="宋体"/>
                <w:color w:val="auto"/>
              </w:rPr>
            </w:pPr>
            <w:r>
              <w:rPr>
                <w:rFonts w:ascii="宋体" w:hAnsi="宋体" w:eastAsia="宋体"/>
                <w:color w:val="auto"/>
              </w:rPr>
              <w:t>3#</w:t>
            </w:r>
          </w:p>
        </w:tc>
        <w:tc>
          <w:tcPr>
            <w:tcW w:w="707" w:type="pct"/>
            <w:vAlign w:val="center"/>
          </w:tcPr>
          <w:p w14:paraId="37D56A84">
            <w:pPr>
              <w:tabs>
                <w:tab w:val="left" w:pos="377"/>
              </w:tabs>
              <w:wordWrap w:val="0"/>
              <w:jc w:val="center"/>
              <w:rPr>
                <w:rFonts w:ascii="宋体" w:hAnsi="宋体" w:eastAsia="宋体"/>
                <w:color w:val="auto"/>
              </w:rPr>
            </w:pPr>
            <w:r>
              <w:rPr>
                <w:rFonts w:hint="eastAsia" w:ascii="宋体" w:hAnsi="宋体" w:eastAsia="宋体"/>
                <w:color w:val="auto"/>
              </w:rPr>
              <w:t>日期</w:t>
            </w:r>
          </w:p>
        </w:tc>
        <w:tc>
          <w:tcPr>
            <w:tcW w:w="1157" w:type="pct"/>
            <w:vAlign w:val="center"/>
          </w:tcPr>
          <w:p w14:paraId="11642E49">
            <w:pPr>
              <w:tabs>
                <w:tab w:val="left" w:pos="377"/>
              </w:tabs>
              <w:wordWrap w:val="0"/>
              <w:jc w:val="center"/>
              <w:rPr>
                <w:rFonts w:ascii="宋体" w:hAnsi="宋体" w:eastAsia="宋体"/>
                <w:color w:val="auto"/>
              </w:rPr>
            </w:pPr>
            <w:r>
              <w:rPr>
                <w:rFonts w:hint="eastAsia" w:ascii="宋体" w:hAnsi="宋体" w:eastAsia="宋体"/>
                <w:color w:val="auto"/>
              </w:rPr>
              <w:t>202</w:t>
            </w:r>
            <w:r>
              <w:rPr>
                <w:rFonts w:ascii="宋体" w:hAnsi="宋体" w:eastAsia="宋体"/>
                <w:color w:val="auto"/>
              </w:rPr>
              <w:t>5</w:t>
            </w:r>
            <w:r>
              <w:rPr>
                <w:rFonts w:hint="eastAsia" w:ascii="宋体" w:hAnsi="宋体" w:eastAsia="宋体"/>
                <w:color w:val="auto"/>
              </w:rPr>
              <w:t>年</w:t>
            </w:r>
            <w:r>
              <w:rPr>
                <w:rFonts w:ascii="宋体" w:hAnsi="宋体" w:eastAsia="宋体"/>
                <w:color w:val="auto"/>
              </w:rPr>
              <w:t>8</w:t>
            </w:r>
            <w:r>
              <w:rPr>
                <w:rFonts w:hint="eastAsia" w:ascii="宋体" w:hAnsi="宋体" w:eastAsia="宋体"/>
                <w:color w:val="auto"/>
              </w:rPr>
              <w:t>月</w:t>
            </w:r>
            <w:r>
              <w:rPr>
                <w:rFonts w:ascii="宋体" w:hAnsi="宋体" w:eastAsia="宋体"/>
                <w:color w:val="auto"/>
              </w:rPr>
              <w:t>27</w:t>
            </w:r>
            <w:r>
              <w:rPr>
                <w:rFonts w:hint="eastAsia" w:ascii="宋体" w:hAnsi="宋体" w:eastAsia="宋体"/>
                <w:color w:val="auto"/>
              </w:rPr>
              <w:t>日</w:t>
            </w:r>
          </w:p>
        </w:tc>
        <w:tc>
          <w:tcPr>
            <w:tcW w:w="648" w:type="pct"/>
            <w:vAlign w:val="center"/>
          </w:tcPr>
          <w:p w14:paraId="4B506250">
            <w:pPr>
              <w:tabs>
                <w:tab w:val="left" w:pos="377"/>
              </w:tabs>
              <w:wordWrap w:val="0"/>
              <w:jc w:val="center"/>
              <w:rPr>
                <w:rFonts w:ascii="宋体" w:hAnsi="宋体" w:eastAsia="宋体"/>
                <w:color w:val="auto"/>
              </w:rPr>
            </w:pPr>
            <w:r>
              <w:rPr>
                <w:rFonts w:hint="eastAsia" w:ascii="宋体" w:hAnsi="宋体" w:eastAsia="宋体"/>
                <w:color w:val="auto"/>
              </w:rPr>
              <w:t>观测者</w:t>
            </w:r>
          </w:p>
        </w:tc>
        <w:tc>
          <w:tcPr>
            <w:tcW w:w="736" w:type="pct"/>
            <w:vAlign w:val="center"/>
          </w:tcPr>
          <w:p w14:paraId="65D86EF4">
            <w:pPr>
              <w:tabs>
                <w:tab w:val="left" w:pos="377"/>
              </w:tabs>
              <w:wordWrap w:val="0"/>
              <w:jc w:val="center"/>
              <w:rPr>
                <w:rFonts w:ascii="宋体" w:hAnsi="宋体" w:eastAsia="宋体"/>
                <w:color w:val="auto"/>
              </w:rPr>
            </w:pPr>
            <w:r>
              <w:rPr>
                <w:rFonts w:hint="eastAsia" w:ascii="宋体" w:hAnsi="宋体" w:eastAsia="宋体"/>
                <w:color w:val="auto"/>
              </w:rPr>
              <w:t>聂海军</w:t>
            </w:r>
          </w:p>
        </w:tc>
      </w:tr>
      <w:tr w14:paraId="5D98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2451FC17">
            <w:pPr>
              <w:tabs>
                <w:tab w:val="left" w:pos="377"/>
              </w:tabs>
              <w:wordWrap w:val="0"/>
              <w:jc w:val="center"/>
              <w:rPr>
                <w:rFonts w:ascii="宋体" w:hAnsi="宋体" w:eastAsia="宋体"/>
                <w:color w:val="auto"/>
              </w:rPr>
            </w:pPr>
            <w:r>
              <w:rPr>
                <w:rFonts w:hint="eastAsia" w:ascii="宋体" w:hAnsi="宋体" w:eastAsia="宋体"/>
                <w:color w:val="auto"/>
              </w:rPr>
              <w:t>起点坐标</w:t>
            </w:r>
          </w:p>
        </w:tc>
        <w:tc>
          <w:tcPr>
            <w:tcW w:w="1084" w:type="pct"/>
            <w:vAlign w:val="center"/>
          </w:tcPr>
          <w:p w14:paraId="7840C2D6">
            <w:pPr>
              <w:tabs>
                <w:tab w:val="left" w:pos="377"/>
              </w:tabs>
              <w:wordWrap w:val="0"/>
              <w:jc w:val="center"/>
              <w:rPr>
                <w:rFonts w:ascii="宋体" w:hAnsi="宋体" w:eastAsia="宋体"/>
                <w:color w:val="auto"/>
              </w:rPr>
            </w:pPr>
            <w:r>
              <w:rPr>
                <w:rFonts w:ascii="宋体" w:hAnsi="宋体" w:eastAsia="宋体" w:cs="Times New Roman"/>
                <w:color w:val="auto"/>
                <w:lang w:bidi="ar"/>
              </w:rPr>
              <w:t>125.16661138</w:t>
            </w:r>
            <w:r>
              <w:rPr>
                <w:rFonts w:ascii="宋体" w:hAnsi="宋体" w:eastAsia="宋体" w:cs="Times New Roman"/>
                <w:color w:val="auto"/>
              </w:rPr>
              <w:t xml:space="preserve"> E</w:t>
            </w:r>
            <w:r>
              <w:rPr>
                <w:rFonts w:hint="eastAsia" w:ascii="宋体" w:hAnsi="宋体" w:eastAsia="宋体" w:cs="Times New Roman"/>
                <w:color w:val="auto"/>
                <w:lang w:bidi="ar"/>
              </w:rPr>
              <w:t>，</w:t>
            </w:r>
            <w:r>
              <w:rPr>
                <w:rFonts w:ascii="宋体" w:hAnsi="宋体" w:eastAsia="宋体" w:cs="Times New Roman"/>
                <w:color w:val="auto"/>
                <w:lang w:bidi="ar"/>
              </w:rPr>
              <w:t>45.57766048N</w:t>
            </w:r>
          </w:p>
        </w:tc>
        <w:tc>
          <w:tcPr>
            <w:tcW w:w="707" w:type="pct"/>
            <w:vAlign w:val="center"/>
          </w:tcPr>
          <w:p w14:paraId="677F8CB1">
            <w:pPr>
              <w:tabs>
                <w:tab w:val="left" w:pos="377"/>
              </w:tabs>
              <w:wordWrap w:val="0"/>
              <w:jc w:val="center"/>
              <w:rPr>
                <w:rFonts w:ascii="宋体" w:hAnsi="宋体" w:eastAsia="宋体"/>
                <w:color w:val="auto"/>
              </w:rPr>
            </w:pPr>
            <w:r>
              <w:rPr>
                <w:rFonts w:hint="eastAsia" w:ascii="宋体" w:hAnsi="宋体" w:eastAsia="宋体"/>
                <w:color w:val="auto"/>
              </w:rPr>
              <w:t>终点坐标</w:t>
            </w:r>
          </w:p>
        </w:tc>
        <w:tc>
          <w:tcPr>
            <w:tcW w:w="1157" w:type="pct"/>
            <w:vAlign w:val="center"/>
          </w:tcPr>
          <w:p w14:paraId="2345535F">
            <w:pPr>
              <w:tabs>
                <w:tab w:val="left" w:pos="377"/>
              </w:tabs>
              <w:wordWrap w:val="0"/>
              <w:jc w:val="center"/>
              <w:rPr>
                <w:rFonts w:ascii="宋体" w:hAnsi="宋体" w:eastAsia="宋体"/>
                <w:color w:val="auto"/>
              </w:rPr>
            </w:pPr>
            <w:r>
              <w:rPr>
                <w:rFonts w:ascii="宋体" w:hAnsi="宋体" w:eastAsia="宋体" w:cs="Times New Roman"/>
                <w:color w:val="auto"/>
                <w:lang w:bidi="ar"/>
              </w:rPr>
              <w:t>125.15984430</w:t>
            </w:r>
            <w:r>
              <w:rPr>
                <w:rFonts w:ascii="宋体" w:hAnsi="宋体" w:eastAsia="宋体" w:cs="Times New Roman"/>
                <w:color w:val="auto"/>
              </w:rPr>
              <w:t xml:space="preserve"> E</w:t>
            </w:r>
            <w:r>
              <w:rPr>
                <w:rFonts w:hint="eastAsia" w:ascii="宋体" w:hAnsi="宋体" w:eastAsia="宋体" w:cs="Times New Roman"/>
                <w:color w:val="auto"/>
                <w:lang w:bidi="ar"/>
              </w:rPr>
              <w:t>，</w:t>
            </w:r>
            <w:r>
              <w:rPr>
                <w:rFonts w:ascii="宋体" w:hAnsi="宋体" w:eastAsia="宋体" w:cs="Times New Roman"/>
                <w:color w:val="auto"/>
                <w:lang w:bidi="ar"/>
              </w:rPr>
              <w:t>45.56983265 N</w:t>
            </w:r>
          </w:p>
        </w:tc>
        <w:tc>
          <w:tcPr>
            <w:tcW w:w="648" w:type="pct"/>
            <w:vAlign w:val="center"/>
          </w:tcPr>
          <w:p w14:paraId="359C1AA9">
            <w:pPr>
              <w:tabs>
                <w:tab w:val="left" w:pos="377"/>
              </w:tabs>
              <w:wordWrap w:val="0"/>
              <w:jc w:val="center"/>
              <w:rPr>
                <w:rFonts w:ascii="宋体" w:hAnsi="宋体" w:eastAsia="宋体"/>
                <w:color w:val="auto"/>
              </w:rPr>
            </w:pPr>
            <w:r>
              <w:rPr>
                <w:rFonts w:hint="eastAsia" w:ascii="宋体" w:hAnsi="宋体" w:eastAsia="宋体"/>
                <w:color w:val="auto"/>
              </w:rPr>
              <w:t>天气</w:t>
            </w:r>
          </w:p>
        </w:tc>
        <w:tc>
          <w:tcPr>
            <w:tcW w:w="736" w:type="pct"/>
            <w:vAlign w:val="center"/>
          </w:tcPr>
          <w:p w14:paraId="40B7933F">
            <w:pPr>
              <w:tabs>
                <w:tab w:val="left" w:pos="377"/>
              </w:tabs>
              <w:wordWrap w:val="0"/>
              <w:jc w:val="center"/>
              <w:rPr>
                <w:rFonts w:ascii="宋体" w:hAnsi="宋体" w:eastAsia="宋体"/>
                <w:color w:val="auto"/>
              </w:rPr>
            </w:pPr>
            <w:r>
              <w:rPr>
                <w:rFonts w:hint="eastAsia" w:ascii="宋体" w:hAnsi="宋体" w:eastAsia="宋体"/>
                <w:color w:val="auto"/>
              </w:rPr>
              <w:t>晴</w:t>
            </w:r>
          </w:p>
        </w:tc>
      </w:tr>
      <w:tr w14:paraId="75AC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4451B07A">
            <w:pPr>
              <w:tabs>
                <w:tab w:val="left" w:pos="377"/>
              </w:tabs>
              <w:wordWrap w:val="0"/>
              <w:jc w:val="center"/>
              <w:rPr>
                <w:rFonts w:ascii="宋体" w:hAnsi="宋体" w:eastAsia="宋体"/>
                <w:color w:val="auto"/>
              </w:rPr>
            </w:pPr>
            <w:r>
              <w:rPr>
                <w:rFonts w:hint="eastAsia" w:ascii="宋体" w:hAnsi="宋体" w:eastAsia="宋体"/>
                <w:color w:val="auto"/>
              </w:rPr>
              <w:t>人为干扰活动类型</w:t>
            </w:r>
          </w:p>
        </w:tc>
        <w:tc>
          <w:tcPr>
            <w:tcW w:w="1084" w:type="pct"/>
            <w:vAlign w:val="center"/>
          </w:tcPr>
          <w:p w14:paraId="0CEC1755">
            <w:pPr>
              <w:tabs>
                <w:tab w:val="left" w:pos="377"/>
              </w:tabs>
              <w:wordWrap w:val="0"/>
              <w:jc w:val="center"/>
              <w:rPr>
                <w:rFonts w:ascii="宋体" w:hAnsi="宋体" w:eastAsia="宋体"/>
                <w:color w:val="auto"/>
              </w:rPr>
            </w:pPr>
            <w:r>
              <w:rPr>
                <w:rFonts w:hint="eastAsia" w:ascii="宋体" w:hAnsi="宋体" w:eastAsia="宋体"/>
                <w:color w:val="auto"/>
              </w:rPr>
              <w:t>矿产资源开发</w:t>
            </w:r>
          </w:p>
        </w:tc>
        <w:tc>
          <w:tcPr>
            <w:tcW w:w="707" w:type="pct"/>
            <w:vAlign w:val="center"/>
          </w:tcPr>
          <w:p w14:paraId="5847D7A4">
            <w:pPr>
              <w:tabs>
                <w:tab w:val="left" w:pos="377"/>
              </w:tabs>
              <w:wordWrap w:val="0"/>
              <w:jc w:val="center"/>
              <w:rPr>
                <w:rFonts w:ascii="宋体" w:hAnsi="宋体" w:eastAsia="宋体"/>
                <w:color w:val="auto"/>
              </w:rPr>
            </w:pPr>
            <w:r>
              <w:rPr>
                <w:rFonts w:hint="eastAsia" w:ascii="宋体" w:hAnsi="宋体" w:eastAsia="宋体"/>
                <w:color w:val="auto"/>
              </w:rPr>
              <w:t>人为干扰活动强度</w:t>
            </w:r>
          </w:p>
        </w:tc>
        <w:tc>
          <w:tcPr>
            <w:tcW w:w="1157" w:type="pct"/>
            <w:vAlign w:val="center"/>
          </w:tcPr>
          <w:p w14:paraId="57289E85">
            <w:pPr>
              <w:tabs>
                <w:tab w:val="left" w:pos="377"/>
              </w:tabs>
              <w:wordWrap w:val="0"/>
              <w:jc w:val="center"/>
              <w:rPr>
                <w:rFonts w:ascii="宋体" w:hAnsi="宋体" w:eastAsia="宋体"/>
                <w:color w:val="auto"/>
              </w:rPr>
            </w:pPr>
            <w:r>
              <w:rPr>
                <w:rFonts w:hint="eastAsia" w:ascii="宋体" w:hAnsi="宋体" w:eastAsia="宋体"/>
                <w:color w:val="auto"/>
              </w:rPr>
              <w:t>中</w:t>
            </w:r>
          </w:p>
        </w:tc>
        <w:tc>
          <w:tcPr>
            <w:tcW w:w="648" w:type="pct"/>
            <w:vAlign w:val="center"/>
          </w:tcPr>
          <w:p w14:paraId="4C563C64">
            <w:pPr>
              <w:tabs>
                <w:tab w:val="left" w:pos="377"/>
              </w:tabs>
              <w:wordWrap w:val="0"/>
              <w:jc w:val="center"/>
              <w:rPr>
                <w:rFonts w:ascii="宋体" w:hAnsi="宋体" w:eastAsia="宋体"/>
                <w:color w:val="auto"/>
              </w:rPr>
            </w:pPr>
            <w:r>
              <w:rPr>
                <w:rFonts w:hint="eastAsia" w:ascii="宋体" w:hAnsi="宋体" w:eastAsia="宋体"/>
                <w:color w:val="auto"/>
              </w:rPr>
              <w:t>平均海拔m</w:t>
            </w:r>
          </w:p>
        </w:tc>
        <w:tc>
          <w:tcPr>
            <w:tcW w:w="736" w:type="pct"/>
            <w:vAlign w:val="center"/>
          </w:tcPr>
          <w:p w14:paraId="2357ADA2">
            <w:pPr>
              <w:tabs>
                <w:tab w:val="left" w:pos="377"/>
              </w:tabs>
              <w:wordWrap w:val="0"/>
              <w:jc w:val="center"/>
              <w:rPr>
                <w:rFonts w:ascii="宋体" w:hAnsi="宋体" w:eastAsia="宋体"/>
                <w:color w:val="auto"/>
              </w:rPr>
            </w:pPr>
            <w:r>
              <w:rPr>
                <w:rFonts w:hint="eastAsia" w:ascii="宋体" w:hAnsi="宋体" w:eastAsia="宋体"/>
                <w:color w:val="auto"/>
              </w:rPr>
              <w:t>1</w:t>
            </w:r>
            <w:r>
              <w:rPr>
                <w:rFonts w:ascii="宋体" w:hAnsi="宋体" w:eastAsia="宋体"/>
                <w:color w:val="auto"/>
              </w:rPr>
              <w:t>0m</w:t>
            </w:r>
          </w:p>
        </w:tc>
      </w:tr>
      <w:tr w14:paraId="4F40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0586E8E9">
            <w:pPr>
              <w:tabs>
                <w:tab w:val="left" w:pos="377"/>
              </w:tabs>
              <w:wordWrap w:val="0"/>
              <w:jc w:val="center"/>
              <w:rPr>
                <w:rFonts w:ascii="宋体" w:hAnsi="宋体" w:eastAsia="宋体"/>
                <w:color w:val="auto"/>
              </w:rPr>
            </w:pPr>
            <w:r>
              <w:rPr>
                <w:rFonts w:hint="eastAsia" w:ascii="宋体" w:hAnsi="宋体" w:eastAsia="宋体"/>
                <w:color w:val="auto"/>
              </w:rPr>
              <w:t>总种数</w:t>
            </w:r>
          </w:p>
        </w:tc>
        <w:tc>
          <w:tcPr>
            <w:tcW w:w="1084" w:type="pct"/>
            <w:vAlign w:val="center"/>
          </w:tcPr>
          <w:p w14:paraId="23A1ED9D">
            <w:pPr>
              <w:tabs>
                <w:tab w:val="left" w:pos="377"/>
              </w:tabs>
              <w:wordWrap w:val="0"/>
              <w:jc w:val="center"/>
              <w:rPr>
                <w:rFonts w:ascii="宋体" w:hAnsi="宋体" w:eastAsia="宋体"/>
                <w:color w:val="auto"/>
              </w:rPr>
            </w:pPr>
            <w:r>
              <w:rPr>
                <w:rFonts w:hint="eastAsia" w:ascii="宋体" w:hAnsi="宋体" w:eastAsia="宋体"/>
                <w:color w:val="auto"/>
              </w:rPr>
              <w:t>1</w:t>
            </w:r>
          </w:p>
        </w:tc>
        <w:tc>
          <w:tcPr>
            <w:tcW w:w="707" w:type="pct"/>
            <w:vAlign w:val="center"/>
          </w:tcPr>
          <w:p w14:paraId="16257801">
            <w:pPr>
              <w:tabs>
                <w:tab w:val="left" w:pos="377"/>
              </w:tabs>
              <w:wordWrap w:val="0"/>
              <w:jc w:val="center"/>
              <w:rPr>
                <w:rFonts w:ascii="宋体" w:hAnsi="宋体" w:eastAsia="宋体"/>
                <w:color w:val="auto"/>
              </w:rPr>
            </w:pPr>
            <w:r>
              <w:rPr>
                <w:rFonts w:hint="eastAsia" w:ascii="宋体" w:hAnsi="宋体" w:eastAsia="宋体"/>
                <w:color w:val="auto"/>
              </w:rPr>
              <w:t>个体总数</w:t>
            </w:r>
          </w:p>
        </w:tc>
        <w:tc>
          <w:tcPr>
            <w:tcW w:w="1157" w:type="pct"/>
            <w:vAlign w:val="center"/>
          </w:tcPr>
          <w:p w14:paraId="36797B48">
            <w:pPr>
              <w:tabs>
                <w:tab w:val="left" w:pos="377"/>
              </w:tabs>
              <w:wordWrap w:val="0"/>
              <w:jc w:val="center"/>
              <w:rPr>
                <w:rFonts w:ascii="宋体" w:hAnsi="宋体" w:eastAsia="宋体"/>
                <w:color w:val="auto"/>
              </w:rPr>
            </w:pPr>
            <w:r>
              <w:rPr>
                <w:rFonts w:ascii="宋体" w:hAnsi="宋体" w:eastAsia="宋体"/>
                <w:color w:val="auto"/>
              </w:rPr>
              <w:t>1</w:t>
            </w:r>
          </w:p>
        </w:tc>
        <w:tc>
          <w:tcPr>
            <w:tcW w:w="648" w:type="pct"/>
            <w:vAlign w:val="center"/>
          </w:tcPr>
          <w:p w14:paraId="6D7B467B">
            <w:pPr>
              <w:tabs>
                <w:tab w:val="left" w:pos="377"/>
              </w:tabs>
              <w:wordWrap w:val="0"/>
              <w:jc w:val="center"/>
              <w:rPr>
                <w:rFonts w:ascii="宋体" w:hAnsi="宋体" w:eastAsia="宋体"/>
                <w:color w:val="auto"/>
              </w:rPr>
            </w:pPr>
            <w:r>
              <w:rPr>
                <w:rFonts w:hint="eastAsia" w:ascii="宋体" w:hAnsi="宋体" w:eastAsia="宋体"/>
                <w:color w:val="auto"/>
              </w:rPr>
              <w:t>生境类型</w:t>
            </w:r>
          </w:p>
        </w:tc>
        <w:tc>
          <w:tcPr>
            <w:tcW w:w="736" w:type="pct"/>
            <w:vAlign w:val="center"/>
          </w:tcPr>
          <w:p w14:paraId="2D4BC7E8">
            <w:pPr>
              <w:tabs>
                <w:tab w:val="left" w:pos="377"/>
              </w:tabs>
              <w:wordWrap w:val="0"/>
              <w:jc w:val="center"/>
              <w:rPr>
                <w:rFonts w:ascii="宋体" w:hAnsi="宋体" w:eastAsia="宋体"/>
                <w:color w:val="auto"/>
              </w:rPr>
            </w:pPr>
            <w:r>
              <w:rPr>
                <w:rFonts w:hint="eastAsia" w:ascii="宋体" w:hAnsi="宋体" w:eastAsia="宋体"/>
                <w:color w:val="auto"/>
              </w:rPr>
              <w:t>林地</w:t>
            </w:r>
          </w:p>
        </w:tc>
      </w:tr>
      <w:tr w14:paraId="2C35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Merge w:val="restart"/>
            <w:vAlign w:val="center"/>
          </w:tcPr>
          <w:p w14:paraId="07D4A098">
            <w:pPr>
              <w:tabs>
                <w:tab w:val="left" w:pos="377"/>
              </w:tabs>
              <w:wordWrap w:val="0"/>
              <w:jc w:val="center"/>
              <w:rPr>
                <w:rFonts w:ascii="宋体" w:hAnsi="宋体" w:eastAsia="宋体"/>
                <w:color w:val="auto"/>
              </w:rPr>
            </w:pPr>
            <w:r>
              <w:rPr>
                <w:rFonts w:hint="eastAsia" w:ascii="宋体" w:hAnsi="宋体" w:eastAsia="宋体"/>
                <w:color w:val="auto"/>
              </w:rPr>
              <w:t>中文名</w:t>
            </w:r>
          </w:p>
        </w:tc>
        <w:tc>
          <w:tcPr>
            <w:tcW w:w="1084" w:type="pct"/>
            <w:vMerge w:val="restart"/>
            <w:vAlign w:val="center"/>
          </w:tcPr>
          <w:p w14:paraId="03219527">
            <w:pPr>
              <w:tabs>
                <w:tab w:val="left" w:pos="377"/>
              </w:tabs>
              <w:wordWrap w:val="0"/>
              <w:jc w:val="center"/>
              <w:rPr>
                <w:rFonts w:ascii="宋体" w:hAnsi="宋体" w:eastAsia="宋体"/>
                <w:color w:val="auto"/>
              </w:rPr>
            </w:pPr>
            <w:r>
              <w:rPr>
                <w:rFonts w:hint="eastAsia" w:ascii="宋体" w:hAnsi="宋体" w:eastAsia="宋体"/>
                <w:color w:val="auto"/>
              </w:rPr>
              <w:t>学名</w:t>
            </w:r>
          </w:p>
        </w:tc>
        <w:tc>
          <w:tcPr>
            <w:tcW w:w="1864" w:type="pct"/>
            <w:gridSpan w:val="2"/>
            <w:vAlign w:val="center"/>
          </w:tcPr>
          <w:p w14:paraId="3A63B9E8">
            <w:pPr>
              <w:tabs>
                <w:tab w:val="left" w:pos="377"/>
              </w:tabs>
              <w:wordWrap w:val="0"/>
              <w:jc w:val="center"/>
              <w:rPr>
                <w:rFonts w:ascii="宋体" w:hAnsi="宋体" w:eastAsia="宋体"/>
                <w:color w:val="auto"/>
              </w:rPr>
            </w:pPr>
            <w:r>
              <w:rPr>
                <w:rFonts w:hint="eastAsia" w:ascii="宋体" w:hAnsi="宋体" w:eastAsia="宋体"/>
                <w:color w:val="auto"/>
              </w:rPr>
              <w:t>数量</w:t>
            </w:r>
          </w:p>
        </w:tc>
        <w:tc>
          <w:tcPr>
            <w:tcW w:w="648" w:type="pct"/>
            <w:vMerge w:val="restart"/>
            <w:vAlign w:val="center"/>
          </w:tcPr>
          <w:p w14:paraId="1EDFD0BA">
            <w:pPr>
              <w:tabs>
                <w:tab w:val="left" w:pos="377"/>
              </w:tabs>
              <w:wordWrap w:val="0"/>
              <w:jc w:val="center"/>
              <w:rPr>
                <w:rFonts w:ascii="宋体" w:hAnsi="宋体" w:eastAsia="宋体"/>
                <w:color w:val="auto"/>
              </w:rPr>
            </w:pPr>
            <w:r>
              <w:rPr>
                <w:rFonts w:hint="eastAsia" w:ascii="宋体" w:hAnsi="宋体" w:eastAsia="宋体"/>
                <w:color w:val="auto"/>
              </w:rPr>
              <w:t>保护级别</w:t>
            </w:r>
          </w:p>
        </w:tc>
        <w:tc>
          <w:tcPr>
            <w:tcW w:w="736" w:type="pct"/>
            <w:vMerge w:val="restart"/>
            <w:vAlign w:val="center"/>
          </w:tcPr>
          <w:p w14:paraId="0B573914">
            <w:pPr>
              <w:tabs>
                <w:tab w:val="left" w:pos="377"/>
              </w:tabs>
              <w:wordWrap w:val="0"/>
              <w:jc w:val="center"/>
              <w:rPr>
                <w:rFonts w:ascii="宋体" w:hAnsi="宋体" w:eastAsia="宋体"/>
                <w:color w:val="auto"/>
              </w:rPr>
            </w:pPr>
          </w:p>
        </w:tc>
      </w:tr>
      <w:tr w14:paraId="3345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Merge w:val="continue"/>
            <w:vAlign w:val="center"/>
          </w:tcPr>
          <w:p w14:paraId="18F08927">
            <w:pPr>
              <w:jc w:val="center"/>
              <w:rPr>
                <w:rFonts w:ascii="宋体" w:hAnsi="宋体" w:eastAsia="宋体"/>
                <w:color w:val="auto"/>
              </w:rPr>
            </w:pPr>
          </w:p>
        </w:tc>
        <w:tc>
          <w:tcPr>
            <w:tcW w:w="1084" w:type="pct"/>
            <w:vMerge w:val="continue"/>
            <w:vAlign w:val="center"/>
          </w:tcPr>
          <w:p w14:paraId="5ECA6672">
            <w:pPr>
              <w:jc w:val="center"/>
              <w:rPr>
                <w:rFonts w:ascii="宋体" w:hAnsi="宋体" w:eastAsia="宋体"/>
                <w:color w:val="auto"/>
              </w:rPr>
            </w:pPr>
          </w:p>
        </w:tc>
        <w:tc>
          <w:tcPr>
            <w:tcW w:w="707" w:type="pct"/>
            <w:vAlign w:val="center"/>
          </w:tcPr>
          <w:p w14:paraId="15C915FB">
            <w:pPr>
              <w:tabs>
                <w:tab w:val="left" w:pos="377"/>
              </w:tabs>
              <w:wordWrap w:val="0"/>
              <w:jc w:val="center"/>
              <w:rPr>
                <w:rFonts w:ascii="宋体" w:hAnsi="宋体" w:eastAsia="宋体"/>
                <w:color w:val="auto"/>
              </w:rPr>
            </w:pPr>
            <w:r>
              <w:rPr>
                <w:rFonts w:hint="eastAsia" w:ascii="宋体" w:hAnsi="宋体" w:eastAsia="宋体"/>
                <w:color w:val="auto"/>
              </w:rPr>
              <w:t>成体</w:t>
            </w:r>
          </w:p>
        </w:tc>
        <w:tc>
          <w:tcPr>
            <w:tcW w:w="1157" w:type="pct"/>
            <w:vAlign w:val="center"/>
          </w:tcPr>
          <w:p w14:paraId="5E5D0D9B">
            <w:pPr>
              <w:tabs>
                <w:tab w:val="left" w:pos="377"/>
              </w:tabs>
              <w:wordWrap w:val="0"/>
              <w:jc w:val="center"/>
              <w:rPr>
                <w:rFonts w:ascii="宋体" w:hAnsi="宋体" w:eastAsia="宋体"/>
                <w:color w:val="auto"/>
              </w:rPr>
            </w:pPr>
            <w:r>
              <w:rPr>
                <w:rFonts w:hint="eastAsia" w:ascii="宋体" w:hAnsi="宋体" w:eastAsia="宋体"/>
                <w:color w:val="auto"/>
              </w:rPr>
              <w:t>幼体</w:t>
            </w:r>
          </w:p>
        </w:tc>
        <w:tc>
          <w:tcPr>
            <w:tcW w:w="648" w:type="pct"/>
            <w:vMerge w:val="continue"/>
            <w:vAlign w:val="center"/>
          </w:tcPr>
          <w:p w14:paraId="32DFE1D4">
            <w:pPr>
              <w:jc w:val="center"/>
              <w:rPr>
                <w:rFonts w:ascii="宋体" w:hAnsi="宋体" w:eastAsia="宋体"/>
                <w:color w:val="auto"/>
              </w:rPr>
            </w:pPr>
          </w:p>
        </w:tc>
        <w:tc>
          <w:tcPr>
            <w:tcW w:w="736" w:type="pct"/>
            <w:vMerge w:val="continue"/>
            <w:vAlign w:val="center"/>
          </w:tcPr>
          <w:p w14:paraId="51E758C8">
            <w:pPr>
              <w:jc w:val="center"/>
              <w:rPr>
                <w:rFonts w:ascii="宋体" w:hAnsi="宋体" w:eastAsia="宋体"/>
                <w:color w:val="auto"/>
              </w:rPr>
            </w:pPr>
          </w:p>
        </w:tc>
      </w:tr>
      <w:tr w14:paraId="2194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8" w:type="pct"/>
            <w:vAlign w:val="center"/>
          </w:tcPr>
          <w:p w14:paraId="196A654F">
            <w:pPr>
              <w:kinsoku w:val="0"/>
              <w:autoSpaceDE w:val="0"/>
              <w:autoSpaceDN w:val="0"/>
              <w:jc w:val="center"/>
              <w:textAlignment w:val="baseline"/>
              <w:rPr>
                <w:rFonts w:ascii="宋体" w:hAnsi="宋体" w:eastAsia="宋体"/>
                <w:color w:val="auto"/>
              </w:rPr>
            </w:pPr>
            <w:r>
              <w:rPr>
                <w:rFonts w:hint="eastAsia" w:ascii="宋体" w:hAnsi="宋体" w:eastAsia="宋体"/>
                <w:color w:val="auto"/>
              </w:rPr>
              <w:t>喜鹊</w:t>
            </w:r>
          </w:p>
        </w:tc>
        <w:tc>
          <w:tcPr>
            <w:tcW w:w="1084" w:type="pct"/>
            <w:vAlign w:val="center"/>
          </w:tcPr>
          <w:p w14:paraId="21BD4691">
            <w:pPr>
              <w:tabs>
                <w:tab w:val="left" w:pos="377"/>
              </w:tabs>
              <w:wordWrap w:val="0"/>
              <w:jc w:val="center"/>
              <w:rPr>
                <w:rFonts w:ascii="宋体" w:hAnsi="宋体" w:eastAsia="宋体" w:cs="Times New Roman"/>
                <w:i/>
                <w:iCs/>
                <w:color w:val="auto"/>
              </w:rPr>
            </w:pPr>
            <w:r>
              <w:rPr>
                <w:rFonts w:hint="eastAsia" w:ascii="宋体" w:hAnsi="宋体" w:eastAsia="宋体" w:cs="Times New Roman"/>
                <w:i/>
                <w:iCs/>
                <w:color w:val="auto"/>
              </w:rPr>
              <w:t>P</w:t>
            </w:r>
            <w:r>
              <w:rPr>
                <w:rFonts w:ascii="宋体" w:hAnsi="宋体" w:eastAsia="宋体" w:cs="Times New Roman"/>
                <w:i/>
                <w:iCs/>
                <w:color w:val="auto"/>
              </w:rPr>
              <w:t>icapica</w:t>
            </w:r>
          </w:p>
        </w:tc>
        <w:tc>
          <w:tcPr>
            <w:tcW w:w="707" w:type="pct"/>
            <w:vAlign w:val="center"/>
          </w:tcPr>
          <w:p w14:paraId="7548EB5C">
            <w:pPr>
              <w:tabs>
                <w:tab w:val="left" w:pos="377"/>
              </w:tabs>
              <w:wordWrap w:val="0"/>
              <w:jc w:val="center"/>
              <w:rPr>
                <w:rFonts w:ascii="宋体" w:hAnsi="宋体" w:eastAsia="宋体"/>
                <w:color w:val="auto"/>
              </w:rPr>
            </w:pPr>
            <w:r>
              <w:rPr>
                <w:rFonts w:hint="eastAsia" w:ascii="宋体" w:hAnsi="宋体" w:eastAsia="宋体"/>
                <w:color w:val="auto"/>
              </w:rPr>
              <w:t>1</w:t>
            </w:r>
          </w:p>
        </w:tc>
        <w:tc>
          <w:tcPr>
            <w:tcW w:w="1157" w:type="pct"/>
            <w:vAlign w:val="center"/>
          </w:tcPr>
          <w:p w14:paraId="097A1B97">
            <w:pPr>
              <w:tabs>
                <w:tab w:val="left" w:pos="377"/>
              </w:tabs>
              <w:wordWrap w:val="0"/>
              <w:jc w:val="center"/>
              <w:rPr>
                <w:rFonts w:ascii="宋体" w:hAnsi="宋体" w:eastAsia="宋体"/>
                <w:color w:val="auto"/>
              </w:rPr>
            </w:pPr>
            <w:r>
              <w:rPr>
                <w:rFonts w:hint="eastAsia" w:ascii="宋体" w:hAnsi="宋体" w:eastAsia="宋体"/>
                <w:color w:val="auto"/>
              </w:rPr>
              <w:t>0</w:t>
            </w:r>
          </w:p>
        </w:tc>
        <w:tc>
          <w:tcPr>
            <w:tcW w:w="648" w:type="pct"/>
            <w:vAlign w:val="center"/>
          </w:tcPr>
          <w:p w14:paraId="2C812A60">
            <w:pPr>
              <w:tabs>
                <w:tab w:val="left" w:pos="377"/>
              </w:tabs>
              <w:wordWrap w:val="0"/>
              <w:jc w:val="center"/>
              <w:rPr>
                <w:rFonts w:ascii="宋体" w:hAnsi="宋体" w:eastAsia="宋体"/>
                <w:color w:val="auto"/>
              </w:rPr>
            </w:pPr>
            <w:r>
              <w:rPr>
                <w:rFonts w:hint="eastAsia" w:ascii="宋体" w:hAnsi="宋体" w:eastAsia="宋体"/>
                <w:color w:val="auto"/>
              </w:rPr>
              <w:t>-</w:t>
            </w:r>
          </w:p>
        </w:tc>
        <w:tc>
          <w:tcPr>
            <w:tcW w:w="736" w:type="pct"/>
            <w:vAlign w:val="center"/>
          </w:tcPr>
          <w:p w14:paraId="72437964">
            <w:pPr>
              <w:tabs>
                <w:tab w:val="left" w:pos="377"/>
              </w:tabs>
              <w:wordWrap w:val="0"/>
              <w:jc w:val="center"/>
              <w:rPr>
                <w:rFonts w:ascii="宋体" w:hAnsi="宋体" w:eastAsia="宋体"/>
                <w:color w:val="auto"/>
              </w:rPr>
            </w:pPr>
            <w:r>
              <w:rPr>
                <w:rFonts w:hint="eastAsia" w:ascii="宋体" w:hAnsi="宋体" w:eastAsia="宋体"/>
                <w:color w:val="auto"/>
              </w:rPr>
              <w:t>-</w:t>
            </w:r>
          </w:p>
        </w:tc>
      </w:tr>
      <w:tr w14:paraId="672B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14:paraId="6961C765">
            <w:pPr>
              <w:tabs>
                <w:tab w:val="left" w:pos="377"/>
              </w:tabs>
              <w:wordWrap w:val="0"/>
              <w:jc w:val="center"/>
              <w:rPr>
                <w:rFonts w:ascii="宋体" w:hAnsi="宋体" w:eastAsia="宋体"/>
                <w:color w:val="auto"/>
              </w:rPr>
            </w:pPr>
            <w:r>
              <w:rPr>
                <w:rFonts w:ascii="宋体" w:hAnsi="宋体" w:eastAsia="宋体"/>
                <w:color w:val="auto"/>
              </w:rPr>
              <w:drawing>
                <wp:inline distT="0" distB="0" distL="0" distR="0">
                  <wp:extent cx="3562985" cy="2671445"/>
                  <wp:effectExtent l="0" t="0" r="18415" b="14605"/>
                  <wp:docPr id="130447750" name="图片 130447750" descr="D:\Users\DELL\Documents\WeChat Files\wxid_0rf4mizuauk621\FileStorage\Temp\30335a93ee68bc701283689e4bbc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750" name="图片 130447750" descr="D:\Users\DELL\Documents\WeChat Files\wxid_0rf4mizuauk621\FileStorage\Temp\30335a93ee68bc701283689e4bbc272.jpg"/>
                          <pic:cNvPicPr>
                            <a:picLocks noChangeAspect="1" noChangeArrowheads="1"/>
                          </pic:cNvPicPr>
                        </pic:nvPicPr>
                        <pic:blipFill>
                          <a:blip r:embed="rId78"/>
                          <a:srcRect/>
                          <a:stretch>
                            <a:fillRect/>
                          </a:stretch>
                        </pic:blipFill>
                        <pic:spPr>
                          <a:xfrm>
                            <a:off x="0" y="0"/>
                            <a:ext cx="3562985" cy="2683259"/>
                          </a:xfrm>
                          <a:prstGeom prst="rect">
                            <a:avLst/>
                          </a:prstGeom>
                          <a:noFill/>
                          <a:ln>
                            <a:noFill/>
                          </a:ln>
                        </pic:spPr>
                      </pic:pic>
                    </a:graphicData>
                  </a:graphic>
                </wp:inline>
              </w:drawing>
            </w:r>
          </w:p>
        </w:tc>
      </w:tr>
    </w:tbl>
    <w:p w14:paraId="037511C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动物区系</w:t>
      </w:r>
    </w:p>
    <w:p w14:paraId="3D386A45">
      <w:pPr>
        <w:pStyle w:val="276"/>
        <w:widowControl w:val="0"/>
        <w:ind w:firstLine="480"/>
        <w:jc w:val="both"/>
        <w:rPr>
          <w:color w:val="auto"/>
          <w:kern w:val="2"/>
        </w:rPr>
      </w:pPr>
      <w:r>
        <w:rPr>
          <w:color w:val="auto"/>
          <w:kern w:val="2"/>
        </w:rPr>
        <w:t>根据中国动物地理区划，本区属于古北界东北亚界东北区松辽平原亚区。本区属北温带大陆性季风气候，四季分明，冬季寒冷干燥，夏季炎热多雨，春秋两季天气复杂，气温变化剧烈。该区具有大面积的草地景观，栖息于草丛内的小型兽类得到很大发展。</w:t>
      </w:r>
    </w:p>
    <w:p w14:paraId="3851A485">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动物资源</w:t>
      </w:r>
    </w:p>
    <w:p w14:paraId="2F2158C9">
      <w:pPr>
        <w:pStyle w:val="276"/>
        <w:widowControl w:val="0"/>
        <w:ind w:firstLine="480"/>
        <w:jc w:val="both"/>
        <w:rPr>
          <w:color w:val="auto"/>
          <w:kern w:val="2"/>
        </w:rPr>
      </w:pPr>
      <w:r>
        <w:rPr>
          <w:color w:val="auto"/>
          <w:kern w:val="2"/>
        </w:rPr>
        <w:t>结合询问当地居民及查阅文献资料可知，评价区域内人类生产、生活活动频繁，区域内动物种类属小型，以适应性广、繁殖能力强的动物为主，哺乳动物中有东北兔、蒙古兔等，以啮齿类为主；鸟类常见有麻雀、家燕等；两栖类动物主要为中华蟾蜍、花背蟾蜍。</w:t>
      </w:r>
    </w:p>
    <w:p w14:paraId="2D57E206">
      <w:pPr>
        <w:pStyle w:val="276"/>
        <w:widowControl w:val="0"/>
        <w:ind w:firstLine="480"/>
        <w:jc w:val="both"/>
        <w:rPr>
          <w:color w:val="auto"/>
          <w:kern w:val="2"/>
          <w:szCs w:val="28"/>
        </w:rPr>
      </w:pPr>
      <w:r>
        <w:rPr>
          <w:color w:val="auto"/>
          <w:kern w:val="2"/>
        </w:rPr>
        <w:t>评价区野生动物包括但不限于下列名录中所列物种。</w:t>
      </w:r>
    </w:p>
    <w:p w14:paraId="1F86D334">
      <w:pPr>
        <w:spacing w:line="440" w:lineRule="exact"/>
        <w:ind w:firstLine="420" w:firstLineChars="200"/>
        <w:jc w:val="center"/>
        <w:rPr>
          <w:rFonts w:ascii="宋体" w:hAnsi="宋体" w:eastAsia="宋体" w:cs="Times New Roman"/>
          <w:color w:val="auto"/>
        </w:rPr>
      </w:pPr>
      <w:r>
        <w:rPr>
          <w:rFonts w:ascii="宋体" w:hAnsi="宋体" w:eastAsia="宋体" w:cs="Times New Roman"/>
          <w:color w:val="auto"/>
        </w:rPr>
        <w:t>表4.4-12 项目评价区域主要动物名录</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003"/>
        <w:gridCol w:w="1200"/>
        <w:gridCol w:w="2480"/>
        <w:gridCol w:w="1003"/>
        <w:gridCol w:w="1003"/>
        <w:gridCol w:w="1791"/>
      </w:tblGrid>
      <w:tr w14:paraId="35CB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12612F43">
            <w:pPr>
              <w:jc w:val="center"/>
              <w:textAlignment w:val="center"/>
              <w:rPr>
                <w:rFonts w:ascii="宋体" w:hAnsi="宋体" w:eastAsia="宋体" w:cs="Times New Roman"/>
                <w:color w:val="auto"/>
              </w:rPr>
            </w:pPr>
            <w:r>
              <w:rPr>
                <w:rFonts w:ascii="宋体" w:hAnsi="宋体" w:eastAsia="宋体" w:cs="Times New Roman"/>
                <w:color w:val="auto"/>
              </w:rPr>
              <w:t>目</w:t>
            </w:r>
          </w:p>
        </w:tc>
        <w:tc>
          <w:tcPr>
            <w:tcW w:w="443" w:type="pct"/>
            <w:shd w:val="clear" w:color="auto" w:fill="auto"/>
            <w:noWrap/>
            <w:vAlign w:val="center"/>
          </w:tcPr>
          <w:p w14:paraId="355EC7C0">
            <w:pPr>
              <w:jc w:val="center"/>
              <w:textAlignment w:val="center"/>
              <w:rPr>
                <w:rFonts w:ascii="宋体" w:hAnsi="宋体" w:eastAsia="宋体" w:cs="Times New Roman"/>
                <w:color w:val="auto"/>
              </w:rPr>
            </w:pPr>
            <w:r>
              <w:rPr>
                <w:rFonts w:ascii="宋体" w:hAnsi="宋体" w:eastAsia="宋体" w:cs="Times New Roman"/>
                <w:color w:val="auto"/>
              </w:rPr>
              <w:t>科</w:t>
            </w:r>
          </w:p>
        </w:tc>
        <w:tc>
          <w:tcPr>
            <w:tcW w:w="624" w:type="pct"/>
            <w:shd w:val="clear" w:color="auto" w:fill="auto"/>
            <w:noWrap/>
            <w:vAlign w:val="center"/>
          </w:tcPr>
          <w:p w14:paraId="1021E340">
            <w:pPr>
              <w:jc w:val="center"/>
              <w:textAlignment w:val="center"/>
              <w:rPr>
                <w:rFonts w:ascii="宋体" w:hAnsi="宋体" w:eastAsia="宋体" w:cs="Times New Roman"/>
                <w:color w:val="auto"/>
              </w:rPr>
            </w:pPr>
            <w:r>
              <w:rPr>
                <w:rFonts w:ascii="宋体" w:hAnsi="宋体" w:eastAsia="宋体" w:cs="Times New Roman"/>
                <w:color w:val="auto"/>
              </w:rPr>
              <w:t>物种名</w:t>
            </w:r>
          </w:p>
        </w:tc>
        <w:tc>
          <w:tcPr>
            <w:tcW w:w="1170" w:type="pct"/>
            <w:shd w:val="clear" w:color="auto" w:fill="auto"/>
            <w:noWrap/>
            <w:vAlign w:val="center"/>
          </w:tcPr>
          <w:p w14:paraId="7F17C133">
            <w:pPr>
              <w:jc w:val="center"/>
              <w:textAlignment w:val="center"/>
              <w:rPr>
                <w:rFonts w:ascii="宋体" w:hAnsi="宋体" w:eastAsia="宋体" w:cs="Times New Roman"/>
                <w:color w:val="auto"/>
              </w:rPr>
            </w:pPr>
            <w:r>
              <w:rPr>
                <w:rFonts w:ascii="宋体" w:hAnsi="宋体" w:eastAsia="宋体" w:cs="Times New Roman"/>
                <w:color w:val="auto"/>
              </w:rPr>
              <w:t>Species</w:t>
            </w:r>
          </w:p>
        </w:tc>
        <w:tc>
          <w:tcPr>
            <w:tcW w:w="565" w:type="pct"/>
            <w:shd w:val="clear" w:color="auto" w:fill="auto"/>
            <w:noWrap/>
            <w:vAlign w:val="center"/>
          </w:tcPr>
          <w:p w14:paraId="4D5BAF26">
            <w:pPr>
              <w:jc w:val="center"/>
              <w:textAlignment w:val="center"/>
              <w:rPr>
                <w:rFonts w:ascii="宋体" w:hAnsi="宋体" w:eastAsia="宋体" w:cs="Times New Roman"/>
                <w:color w:val="auto"/>
              </w:rPr>
            </w:pPr>
            <w:r>
              <w:rPr>
                <w:rFonts w:ascii="宋体" w:hAnsi="宋体" w:eastAsia="宋体" w:cs="Times New Roman"/>
                <w:color w:val="auto"/>
              </w:rPr>
              <w:t>居留类型</w:t>
            </w:r>
          </w:p>
        </w:tc>
        <w:tc>
          <w:tcPr>
            <w:tcW w:w="566" w:type="pct"/>
            <w:shd w:val="clear" w:color="auto" w:fill="auto"/>
            <w:noWrap/>
            <w:vAlign w:val="center"/>
          </w:tcPr>
          <w:p w14:paraId="515B14C1">
            <w:pPr>
              <w:jc w:val="center"/>
              <w:textAlignment w:val="center"/>
              <w:rPr>
                <w:rFonts w:ascii="宋体" w:hAnsi="宋体" w:eastAsia="宋体" w:cs="Times New Roman"/>
                <w:color w:val="auto"/>
              </w:rPr>
            </w:pPr>
            <w:r>
              <w:rPr>
                <w:rFonts w:ascii="宋体" w:hAnsi="宋体" w:eastAsia="宋体" w:cs="Times New Roman"/>
                <w:color w:val="auto"/>
              </w:rPr>
              <w:t>保护级别</w:t>
            </w:r>
          </w:p>
        </w:tc>
        <w:tc>
          <w:tcPr>
            <w:tcW w:w="1007" w:type="pct"/>
            <w:shd w:val="clear" w:color="auto" w:fill="auto"/>
            <w:noWrap/>
            <w:vAlign w:val="center"/>
          </w:tcPr>
          <w:p w14:paraId="2E3802B0">
            <w:pPr>
              <w:jc w:val="center"/>
              <w:textAlignment w:val="center"/>
              <w:rPr>
                <w:rFonts w:ascii="宋体" w:hAnsi="宋体" w:eastAsia="宋体" w:cs="Times New Roman"/>
                <w:color w:val="auto"/>
              </w:rPr>
            </w:pPr>
            <w:r>
              <w:rPr>
                <w:rFonts w:ascii="宋体" w:hAnsi="宋体" w:eastAsia="宋体" w:cs="Times New Roman"/>
                <w:color w:val="auto"/>
              </w:rPr>
              <w:t>是否属于三有动物</w:t>
            </w:r>
          </w:p>
        </w:tc>
      </w:tr>
      <w:tr w14:paraId="2AE3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678B620E">
            <w:pPr>
              <w:jc w:val="center"/>
              <w:textAlignment w:val="center"/>
              <w:rPr>
                <w:rFonts w:ascii="宋体" w:hAnsi="宋体" w:eastAsia="宋体" w:cs="Times New Roman"/>
                <w:color w:val="auto"/>
              </w:rPr>
            </w:pPr>
            <w:r>
              <w:rPr>
                <w:rFonts w:ascii="宋体" w:hAnsi="宋体" w:eastAsia="宋体" w:cs="Times New Roman"/>
                <w:color w:val="auto"/>
              </w:rPr>
              <w:t>鸟纲</w:t>
            </w:r>
          </w:p>
        </w:tc>
        <w:tc>
          <w:tcPr>
            <w:tcW w:w="443" w:type="pct"/>
            <w:shd w:val="clear" w:color="auto" w:fill="auto"/>
            <w:noWrap/>
            <w:vAlign w:val="center"/>
          </w:tcPr>
          <w:p w14:paraId="693DA9B2">
            <w:pPr>
              <w:jc w:val="center"/>
              <w:textAlignment w:val="center"/>
              <w:rPr>
                <w:rFonts w:ascii="宋体" w:hAnsi="宋体" w:eastAsia="宋体" w:cs="Times New Roman"/>
                <w:color w:val="auto"/>
              </w:rPr>
            </w:pPr>
          </w:p>
        </w:tc>
        <w:tc>
          <w:tcPr>
            <w:tcW w:w="624" w:type="pct"/>
            <w:shd w:val="clear" w:color="auto" w:fill="auto"/>
            <w:noWrap/>
            <w:vAlign w:val="center"/>
          </w:tcPr>
          <w:p w14:paraId="7DA4001B">
            <w:pPr>
              <w:jc w:val="center"/>
              <w:textAlignment w:val="center"/>
              <w:rPr>
                <w:rFonts w:ascii="宋体" w:hAnsi="宋体" w:eastAsia="宋体" w:cs="Times New Roman"/>
                <w:color w:val="auto"/>
              </w:rPr>
            </w:pPr>
          </w:p>
        </w:tc>
        <w:tc>
          <w:tcPr>
            <w:tcW w:w="1170" w:type="pct"/>
            <w:shd w:val="clear" w:color="auto" w:fill="auto"/>
            <w:noWrap/>
            <w:vAlign w:val="center"/>
          </w:tcPr>
          <w:p w14:paraId="17A501F9">
            <w:pPr>
              <w:jc w:val="center"/>
              <w:textAlignment w:val="center"/>
              <w:rPr>
                <w:rFonts w:ascii="宋体" w:hAnsi="宋体" w:eastAsia="宋体" w:cs="Times New Roman"/>
                <w:i/>
                <w:iCs/>
                <w:color w:val="auto"/>
              </w:rPr>
            </w:pPr>
          </w:p>
        </w:tc>
        <w:tc>
          <w:tcPr>
            <w:tcW w:w="565" w:type="pct"/>
            <w:shd w:val="clear" w:color="auto" w:fill="auto"/>
            <w:noWrap/>
            <w:vAlign w:val="center"/>
          </w:tcPr>
          <w:p w14:paraId="3049722B">
            <w:pPr>
              <w:jc w:val="center"/>
              <w:textAlignment w:val="center"/>
              <w:rPr>
                <w:rFonts w:ascii="宋体" w:hAnsi="宋体" w:eastAsia="宋体" w:cs="Times New Roman"/>
                <w:color w:val="auto"/>
              </w:rPr>
            </w:pPr>
          </w:p>
        </w:tc>
        <w:tc>
          <w:tcPr>
            <w:tcW w:w="566" w:type="pct"/>
            <w:shd w:val="clear" w:color="auto" w:fill="auto"/>
            <w:noWrap/>
            <w:vAlign w:val="center"/>
          </w:tcPr>
          <w:p w14:paraId="0CADA4C1">
            <w:pPr>
              <w:jc w:val="center"/>
              <w:textAlignment w:val="center"/>
              <w:rPr>
                <w:rFonts w:ascii="宋体" w:hAnsi="宋体" w:eastAsia="宋体" w:cs="Times New Roman"/>
                <w:color w:val="auto"/>
              </w:rPr>
            </w:pPr>
          </w:p>
        </w:tc>
        <w:tc>
          <w:tcPr>
            <w:tcW w:w="1007" w:type="pct"/>
            <w:shd w:val="clear" w:color="auto" w:fill="auto"/>
            <w:noWrap/>
            <w:vAlign w:val="center"/>
          </w:tcPr>
          <w:p w14:paraId="7C963E60">
            <w:pPr>
              <w:jc w:val="center"/>
              <w:textAlignment w:val="center"/>
              <w:rPr>
                <w:rFonts w:ascii="宋体" w:hAnsi="宋体" w:eastAsia="宋体" w:cs="Times New Roman"/>
                <w:color w:val="auto"/>
              </w:rPr>
            </w:pPr>
          </w:p>
        </w:tc>
      </w:tr>
      <w:tr w14:paraId="7B96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041E19D7">
            <w:pPr>
              <w:jc w:val="center"/>
              <w:textAlignment w:val="center"/>
              <w:rPr>
                <w:rFonts w:ascii="宋体" w:hAnsi="宋体" w:eastAsia="宋体" w:cs="Times New Roman"/>
                <w:color w:val="auto"/>
              </w:rPr>
            </w:pPr>
            <w:r>
              <w:rPr>
                <w:rFonts w:ascii="宋体" w:hAnsi="宋体" w:eastAsia="宋体" w:cs="Times New Roman"/>
                <w:color w:val="auto"/>
              </w:rPr>
              <w:t>鸡形目</w:t>
            </w:r>
          </w:p>
        </w:tc>
        <w:tc>
          <w:tcPr>
            <w:tcW w:w="443" w:type="pct"/>
            <w:shd w:val="clear" w:color="auto" w:fill="auto"/>
            <w:noWrap/>
            <w:vAlign w:val="center"/>
          </w:tcPr>
          <w:p w14:paraId="11D2127E">
            <w:pPr>
              <w:jc w:val="center"/>
              <w:textAlignment w:val="center"/>
              <w:rPr>
                <w:rFonts w:ascii="宋体" w:hAnsi="宋体" w:eastAsia="宋体" w:cs="Times New Roman"/>
                <w:color w:val="auto"/>
              </w:rPr>
            </w:pPr>
            <w:r>
              <w:rPr>
                <w:rFonts w:ascii="宋体" w:hAnsi="宋体" w:eastAsia="宋体" w:cs="Times New Roman"/>
                <w:color w:val="auto"/>
              </w:rPr>
              <w:t>雉科</w:t>
            </w:r>
          </w:p>
        </w:tc>
        <w:tc>
          <w:tcPr>
            <w:tcW w:w="624" w:type="pct"/>
            <w:shd w:val="clear" w:color="auto" w:fill="auto"/>
            <w:noWrap/>
            <w:vAlign w:val="center"/>
          </w:tcPr>
          <w:p w14:paraId="431C26E4">
            <w:pPr>
              <w:jc w:val="center"/>
              <w:textAlignment w:val="center"/>
              <w:rPr>
                <w:rFonts w:ascii="宋体" w:hAnsi="宋体" w:eastAsia="宋体" w:cs="Times New Roman"/>
                <w:color w:val="auto"/>
              </w:rPr>
            </w:pPr>
            <w:r>
              <w:rPr>
                <w:rFonts w:ascii="宋体" w:hAnsi="宋体" w:eastAsia="宋体" w:cs="Times New Roman"/>
                <w:color w:val="auto"/>
              </w:rPr>
              <w:t>环颈雉</w:t>
            </w:r>
          </w:p>
        </w:tc>
        <w:tc>
          <w:tcPr>
            <w:tcW w:w="1170" w:type="pct"/>
            <w:shd w:val="clear" w:color="auto" w:fill="auto"/>
            <w:noWrap/>
            <w:vAlign w:val="center"/>
          </w:tcPr>
          <w:p w14:paraId="2A0CDEBB">
            <w:pPr>
              <w:jc w:val="center"/>
              <w:textAlignment w:val="center"/>
              <w:rPr>
                <w:rFonts w:ascii="宋体" w:hAnsi="宋体" w:eastAsia="宋体" w:cs="Times New Roman"/>
                <w:i/>
                <w:iCs/>
                <w:color w:val="auto"/>
              </w:rPr>
            </w:pPr>
            <w:r>
              <w:rPr>
                <w:rFonts w:ascii="宋体" w:hAnsi="宋体" w:eastAsia="宋体" w:cs="Times New Roman"/>
                <w:i/>
                <w:iCs/>
                <w:color w:val="auto"/>
              </w:rPr>
              <w:t>Phasianus colchicus</w:t>
            </w:r>
          </w:p>
        </w:tc>
        <w:tc>
          <w:tcPr>
            <w:tcW w:w="565" w:type="pct"/>
            <w:shd w:val="clear" w:color="auto" w:fill="auto"/>
            <w:noWrap/>
            <w:vAlign w:val="center"/>
          </w:tcPr>
          <w:p w14:paraId="4AC986F9">
            <w:pPr>
              <w:jc w:val="center"/>
              <w:textAlignment w:val="center"/>
              <w:rPr>
                <w:rFonts w:ascii="宋体" w:hAnsi="宋体" w:eastAsia="宋体" w:cs="Times New Roman"/>
                <w:color w:val="auto"/>
              </w:rPr>
            </w:pPr>
            <w:r>
              <w:rPr>
                <w:rFonts w:ascii="宋体" w:hAnsi="宋体" w:eastAsia="宋体" w:cs="Times New Roman"/>
                <w:color w:val="auto"/>
              </w:rPr>
              <w:t>R</w:t>
            </w:r>
          </w:p>
        </w:tc>
        <w:tc>
          <w:tcPr>
            <w:tcW w:w="566" w:type="pct"/>
            <w:shd w:val="clear" w:color="auto" w:fill="auto"/>
            <w:noWrap/>
            <w:vAlign w:val="center"/>
          </w:tcPr>
          <w:p w14:paraId="304BCC89">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66F26195">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5BC6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597AA540">
            <w:pPr>
              <w:jc w:val="center"/>
              <w:textAlignment w:val="center"/>
              <w:rPr>
                <w:rFonts w:ascii="宋体" w:hAnsi="宋体" w:eastAsia="宋体" w:cs="Times New Roman"/>
                <w:color w:val="auto"/>
              </w:rPr>
            </w:pPr>
            <w:r>
              <w:rPr>
                <w:rFonts w:ascii="宋体" w:hAnsi="宋体" w:eastAsia="宋体" w:cs="Times New Roman"/>
                <w:color w:val="auto"/>
              </w:rPr>
              <w:t>雁形目</w:t>
            </w:r>
          </w:p>
        </w:tc>
        <w:tc>
          <w:tcPr>
            <w:tcW w:w="443" w:type="pct"/>
            <w:shd w:val="clear" w:color="auto" w:fill="auto"/>
            <w:noWrap/>
            <w:vAlign w:val="center"/>
          </w:tcPr>
          <w:p w14:paraId="512263E3">
            <w:pPr>
              <w:jc w:val="center"/>
              <w:textAlignment w:val="center"/>
              <w:rPr>
                <w:rFonts w:ascii="宋体" w:hAnsi="宋体" w:eastAsia="宋体" w:cs="Times New Roman"/>
                <w:color w:val="auto"/>
              </w:rPr>
            </w:pPr>
            <w:r>
              <w:rPr>
                <w:rFonts w:ascii="宋体" w:hAnsi="宋体" w:eastAsia="宋体" w:cs="Times New Roman"/>
                <w:color w:val="auto"/>
              </w:rPr>
              <w:t>鸭科</w:t>
            </w:r>
          </w:p>
        </w:tc>
        <w:tc>
          <w:tcPr>
            <w:tcW w:w="624" w:type="pct"/>
            <w:shd w:val="clear" w:color="auto" w:fill="auto"/>
            <w:noWrap/>
            <w:vAlign w:val="center"/>
          </w:tcPr>
          <w:p w14:paraId="2F5EDAED">
            <w:pPr>
              <w:jc w:val="center"/>
              <w:rPr>
                <w:rFonts w:ascii="宋体" w:hAnsi="宋体" w:eastAsia="宋体" w:cs="Times New Roman"/>
                <w:color w:val="auto"/>
              </w:rPr>
            </w:pPr>
            <w:r>
              <w:rPr>
                <w:rFonts w:ascii="宋体" w:hAnsi="宋体" w:eastAsia="宋体" w:cs="Times New Roman"/>
                <w:color w:val="auto"/>
              </w:rPr>
              <w:t>赤膀鸭</w:t>
            </w:r>
          </w:p>
        </w:tc>
        <w:tc>
          <w:tcPr>
            <w:tcW w:w="1170" w:type="pct"/>
            <w:shd w:val="clear" w:color="auto" w:fill="auto"/>
            <w:noWrap/>
            <w:vAlign w:val="center"/>
          </w:tcPr>
          <w:p w14:paraId="6501794E">
            <w:pPr>
              <w:jc w:val="center"/>
              <w:textAlignment w:val="center"/>
              <w:rPr>
                <w:rFonts w:ascii="宋体" w:hAnsi="宋体" w:eastAsia="宋体" w:cs="Times New Roman"/>
                <w:i/>
                <w:iCs/>
                <w:color w:val="auto"/>
              </w:rPr>
            </w:pPr>
            <w:r>
              <w:rPr>
                <w:rFonts w:ascii="宋体" w:hAnsi="宋体" w:eastAsia="宋体" w:cs="Times New Roman"/>
                <w:i/>
                <w:iCs/>
                <w:color w:val="auto"/>
              </w:rPr>
              <w:t>Mareca strepera</w:t>
            </w:r>
          </w:p>
        </w:tc>
        <w:tc>
          <w:tcPr>
            <w:tcW w:w="565" w:type="pct"/>
            <w:shd w:val="clear" w:color="auto" w:fill="auto"/>
            <w:noWrap/>
            <w:vAlign w:val="center"/>
          </w:tcPr>
          <w:p w14:paraId="0497A2EB">
            <w:pPr>
              <w:jc w:val="center"/>
              <w:textAlignment w:val="center"/>
              <w:rPr>
                <w:rFonts w:ascii="宋体" w:hAnsi="宋体" w:eastAsia="宋体" w:cs="Times New Roman"/>
                <w:color w:val="auto"/>
              </w:rPr>
            </w:pPr>
            <w:r>
              <w:rPr>
                <w:rFonts w:ascii="宋体" w:hAnsi="宋体" w:eastAsia="宋体" w:cs="Times New Roman"/>
                <w:color w:val="auto"/>
              </w:rPr>
              <w:t>S</w:t>
            </w:r>
          </w:p>
        </w:tc>
        <w:tc>
          <w:tcPr>
            <w:tcW w:w="566" w:type="pct"/>
            <w:shd w:val="clear" w:color="auto" w:fill="auto"/>
            <w:noWrap/>
            <w:vAlign w:val="center"/>
          </w:tcPr>
          <w:p w14:paraId="4851D555">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0671EE0E">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574B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61FF8872">
            <w:pPr>
              <w:jc w:val="center"/>
              <w:textAlignment w:val="center"/>
              <w:rPr>
                <w:rFonts w:ascii="宋体" w:hAnsi="宋体" w:eastAsia="宋体" w:cs="Times New Roman"/>
                <w:color w:val="auto"/>
              </w:rPr>
            </w:pPr>
            <w:r>
              <w:rPr>
                <w:rFonts w:ascii="宋体" w:hAnsi="宋体" w:eastAsia="宋体" w:cs="Times New Roman"/>
                <w:color w:val="auto"/>
              </w:rPr>
              <w:t>䴙䴘目</w:t>
            </w:r>
          </w:p>
        </w:tc>
        <w:tc>
          <w:tcPr>
            <w:tcW w:w="443" w:type="pct"/>
            <w:shd w:val="clear" w:color="auto" w:fill="auto"/>
            <w:noWrap/>
            <w:vAlign w:val="center"/>
          </w:tcPr>
          <w:p w14:paraId="2322680A">
            <w:pPr>
              <w:jc w:val="center"/>
              <w:textAlignment w:val="center"/>
              <w:rPr>
                <w:rFonts w:ascii="宋体" w:hAnsi="宋体" w:eastAsia="宋体" w:cs="Times New Roman"/>
                <w:color w:val="auto"/>
              </w:rPr>
            </w:pPr>
            <w:r>
              <w:rPr>
                <w:rFonts w:ascii="宋体" w:hAnsi="宋体" w:eastAsia="宋体" w:cs="Times New Roman"/>
                <w:color w:val="auto"/>
              </w:rPr>
              <w:t>䴙䴘科</w:t>
            </w:r>
          </w:p>
        </w:tc>
        <w:tc>
          <w:tcPr>
            <w:tcW w:w="624" w:type="pct"/>
            <w:shd w:val="clear" w:color="auto" w:fill="auto"/>
            <w:noWrap/>
            <w:vAlign w:val="center"/>
          </w:tcPr>
          <w:p w14:paraId="79FE0D50">
            <w:pPr>
              <w:jc w:val="center"/>
              <w:rPr>
                <w:rFonts w:ascii="宋体" w:hAnsi="宋体" w:eastAsia="宋体" w:cs="Times New Roman"/>
                <w:color w:val="auto"/>
              </w:rPr>
            </w:pPr>
            <w:r>
              <w:rPr>
                <w:rFonts w:ascii="宋体" w:hAnsi="宋体" w:eastAsia="宋体" w:cs="Times New Roman"/>
                <w:color w:val="auto"/>
              </w:rPr>
              <w:t>凤头䴙䴘</w:t>
            </w:r>
          </w:p>
        </w:tc>
        <w:tc>
          <w:tcPr>
            <w:tcW w:w="1170" w:type="pct"/>
            <w:shd w:val="clear" w:color="auto" w:fill="auto"/>
            <w:noWrap/>
            <w:vAlign w:val="center"/>
          </w:tcPr>
          <w:p w14:paraId="2251B36B">
            <w:pPr>
              <w:jc w:val="center"/>
              <w:textAlignment w:val="center"/>
              <w:rPr>
                <w:rFonts w:ascii="宋体" w:hAnsi="宋体" w:eastAsia="宋体" w:cs="Times New Roman"/>
                <w:i/>
                <w:iCs/>
                <w:color w:val="auto"/>
              </w:rPr>
            </w:pPr>
            <w:r>
              <w:rPr>
                <w:rFonts w:ascii="宋体" w:hAnsi="宋体" w:eastAsia="宋体" w:cs="Times New Roman"/>
                <w:i/>
                <w:iCs/>
                <w:color w:val="auto"/>
              </w:rPr>
              <w:t>Podiceps cristatus</w:t>
            </w:r>
          </w:p>
        </w:tc>
        <w:tc>
          <w:tcPr>
            <w:tcW w:w="565" w:type="pct"/>
            <w:shd w:val="clear" w:color="auto" w:fill="auto"/>
            <w:noWrap/>
            <w:vAlign w:val="center"/>
          </w:tcPr>
          <w:p w14:paraId="335CE55E">
            <w:pPr>
              <w:jc w:val="center"/>
              <w:textAlignment w:val="center"/>
              <w:rPr>
                <w:rFonts w:ascii="宋体" w:hAnsi="宋体" w:eastAsia="宋体" w:cs="Times New Roman"/>
                <w:color w:val="auto"/>
              </w:rPr>
            </w:pPr>
            <w:r>
              <w:rPr>
                <w:rFonts w:ascii="宋体" w:hAnsi="宋体" w:eastAsia="宋体" w:cs="Times New Roman"/>
                <w:color w:val="auto"/>
              </w:rPr>
              <w:t>S、P</w:t>
            </w:r>
          </w:p>
        </w:tc>
        <w:tc>
          <w:tcPr>
            <w:tcW w:w="566" w:type="pct"/>
            <w:shd w:val="clear" w:color="auto" w:fill="auto"/>
            <w:noWrap/>
            <w:vAlign w:val="center"/>
          </w:tcPr>
          <w:p w14:paraId="0DD8044B">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33296D1D">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7CFED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12868AE3">
            <w:pPr>
              <w:jc w:val="center"/>
              <w:textAlignment w:val="center"/>
              <w:rPr>
                <w:rFonts w:ascii="宋体" w:hAnsi="宋体" w:eastAsia="宋体" w:cs="Times New Roman"/>
                <w:color w:val="auto"/>
              </w:rPr>
            </w:pPr>
            <w:r>
              <w:rPr>
                <w:rFonts w:ascii="宋体" w:hAnsi="宋体" w:eastAsia="宋体" w:cs="Times New Roman"/>
                <w:color w:val="auto"/>
              </w:rPr>
              <w:t>鹈形目</w:t>
            </w:r>
          </w:p>
        </w:tc>
        <w:tc>
          <w:tcPr>
            <w:tcW w:w="443" w:type="pct"/>
            <w:shd w:val="clear" w:color="auto" w:fill="auto"/>
            <w:noWrap/>
            <w:vAlign w:val="center"/>
          </w:tcPr>
          <w:p w14:paraId="4E8AD1EC">
            <w:pPr>
              <w:jc w:val="center"/>
              <w:textAlignment w:val="center"/>
              <w:rPr>
                <w:rFonts w:ascii="宋体" w:hAnsi="宋体" w:eastAsia="宋体" w:cs="Times New Roman"/>
                <w:color w:val="auto"/>
              </w:rPr>
            </w:pPr>
            <w:r>
              <w:rPr>
                <w:rFonts w:ascii="宋体" w:hAnsi="宋体" w:eastAsia="宋体" w:cs="Times New Roman"/>
                <w:color w:val="auto"/>
              </w:rPr>
              <w:t>鹭科</w:t>
            </w:r>
          </w:p>
        </w:tc>
        <w:tc>
          <w:tcPr>
            <w:tcW w:w="624" w:type="pct"/>
            <w:shd w:val="clear" w:color="auto" w:fill="auto"/>
            <w:noWrap/>
            <w:vAlign w:val="center"/>
          </w:tcPr>
          <w:p w14:paraId="3EA43210">
            <w:pPr>
              <w:jc w:val="center"/>
              <w:rPr>
                <w:rFonts w:ascii="宋体" w:hAnsi="宋体" w:eastAsia="宋体" w:cs="Times New Roman"/>
                <w:color w:val="auto"/>
              </w:rPr>
            </w:pPr>
            <w:r>
              <w:rPr>
                <w:rFonts w:ascii="宋体" w:hAnsi="宋体" w:eastAsia="宋体" w:cs="Times New Roman"/>
                <w:color w:val="auto"/>
              </w:rPr>
              <w:t>大麻鳽</w:t>
            </w:r>
          </w:p>
        </w:tc>
        <w:tc>
          <w:tcPr>
            <w:tcW w:w="1170" w:type="pct"/>
            <w:shd w:val="clear" w:color="auto" w:fill="auto"/>
            <w:noWrap/>
            <w:vAlign w:val="center"/>
          </w:tcPr>
          <w:p w14:paraId="3C2155CC">
            <w:pPr>
              <w:jc w:val="center"/>
              <w:textAlignment w:val="center"/>
              <w:rPr>
                <w:rFonts w:ascii="宋体" w:hAnsi="宋体" w:eastAsia="宋体" w:cs="Times New Roman"/>
                <w:i/>
                <w:iCs/>
                <w:color w:val="auto"/>
              </w:rPr>
            </w:pPr>
            <w:r>
              <w:rPr>
                <w:rFonts w:ascii="宋体" w:hAnsi="宋体" w:eastAsia="宋体" w:cs="Times New Roman"/>
                <w:i/>
                <w:iCs/>
                <w:color w:val="auto"/>
              </w:rPr>
              <w:t>Botaurus stellaris</w:t>
            </w:r>
          </w:p>
        </w:tc>
        <w:tc>
          <w:tcPr>
            <w:tcW w:w="565" w:type="pct"/>
            <w:shd w:val="clear" w:color="auto" w:fill="auto"/>
            <w:noWrap/>
            <w:vAlign w:val="center"/>
          </w:tcPr>
          <w:p w14:paraId="65E53F9C">
            <w:pPr>
              <w:jc w:val="center"/>
              <w:textAlignment w:val="center"/>
              <w:rPr>
                <w:rFonts w:ascii="宋体" w:hAnsi="宋体" w:eastAsia="宋体" w:cs="Times New Roman"/>
                <w:color w:val="auto"/>
              </w:rPr>
            </w:pPr>
            <w:r>
              <w:rPr>
                <w:rFonts w:ascii="宋体" w:hAnsi="宋体" w:eastAsia="宋体" w:cs="Times New Roman"/>
                <w:color w:val="auto"/>
              </w:rPr>
              <w:t>S</w:t>
            </w:r>
          </w:p>
        </w:tc>
        <w:tc>
          <w:tcPr>
            <w:tcW w:w="566" w:type="pct"/>
            <w:shd w:val="clear" w:color="auto" w:fill="auto"/>
            <w:noWrap/>
            <w:vAlign w:val="center"/>
          </w:tcPr>
          <w:p w14:paraId="26C62EF9">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1C04BE22">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28CD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56882667">
            <w:pPr>
              <w:jc w:val="center"/>
              <w:textAlignment w:val="center"/>
              <w:rPr>
                <w:rFonts w:ascii="宋体" w:hAnsi="宋体" w:eastAsia="宋体" w:cs="Times New Roman"/>
                <w:color w:val="auto"/>
              </w:rPr>
            </w:pPr>
            <w:r>
              <w:rPr>
                <w:rFonts w:ascii="宋体" w:hAnsi="宋体" w:eastAsia="宋体" w:cs="Times New Roman"/>
                <w:color w:val="auto"/>
              </w:rPr>
              <w:t>鹈形目</w:t>
            </w:r>
          </w:p>
        </w:tc>
        <w:tc>
          <w:tcPr>
            <w:tcW w:w="443" w:type="pct"/>
            <w:shd w:val="clear" w:color="auto" w:fill="auto"/>
            <w:noWrap/>
            <w:vAlign w:val="center"/>
          </w:tcPr>
          <w:p w14:paraId="403620B3">
            <w:pPr>
              <w:jc w:val="center"/>
              <w:textAlignment w:val="center"/>
              <w:rPr>
                <w:rFonts w:ascii="宋体" w:hAnsi="宋体" w:eastAsia="宋体" w:cs="Times New Roman"/>
                <w:color w:val="auto"/>
              </w:rPr>
            </w:pPr>
            <w:r>
              <w:rPr>
                <w:rFonts w:ascii="宋体" w:hAnsi="宋体" w:eastAsia="宋体" w:cs="Times New Roman"/>
                <w:color w:val="auto"/>
              </w:rPr>
              <w:t>鹭科</w:t>
            </w:r>
          </w:p>
        </w:tc>
        <w:tc>
          <w:tcPr>
            <w:tcW w:w="624" w:type="pct"/>
            <w:shd w:val="clear" w:color="auto" w:fill="auto"/>
            <w:noWrap/>
            <w:vAlign w:val="center"/>
          </w:tcPr>
          <w:p w14:paraId="7791405A">
            <w:pPr>
              <w:jc w:val="center"/>
              <w:rPr>
                <w:rFonts w:ascii="宋体" w:hAnsi="宋体" w:eastAsia="宋体" w:cs="Times New Roman"/>
                <w:color w:val="auto"/>
              </w:rPr>
            </w:pPr>
            <w:r>
              <w:rPr>
                <w:rFonts w:ascii="宋体" w:hAnsi="宋体" w:eastAsia="宋体" w:cs="Times New Roman"/>
                <w:color w:val="auto"/>
              </w:rPr>
              <w:t>苍鹭</w:t>
            </w:r>
          </w:p>
        </w:tc>
        <w:tc>
          <w:tcPr>
            <w:tcW w:w="1170" w:type="pct"/>
            <w:shd w:val="clear" w:color="auto" w:fill="auto"/>
            <w:noWrap/>
            <w:vAlign w:val="center"/>
          </w:tcPr>
          <w:p w14:paraId="1A5EA7EC">
            <w:pPr>
              <w:jc w:val="center"/>
              <w:textAlignment w:val="center"/>
              <w:rPr>
                <w:rFonts w:ascii="宋体" w:hAnsi="宋体" w:eastAsia="宋体" w:cs="Times New Roman"/>
                <w:i/>
                <w:iCs/>
                <w:color w:val="auto"/>
              </w:rPr>
            </w:pPr>
            <w:r>
              <w:rPr>
                <w:rFonts w:ascii="宋体" w:hAnsi="宋体" w:eastAsia="宋体" w:cs="Times New Roman"/>
                <w:i/>
                <w:iCs/>
                <w:color w:val="auto"/>
              </w:rPr>
              <w:t>Ardea cinerea</w:t>
            </w:r>
          </w:p>
        </w:tc>
        <w:tc>
          <w:tcPr>
            <w:tcW w:w="565" w:type="pct"/>
            <w:shd w:val="clear" w:color="auto" w:fill="auto"/>
            <w:noWrap/>
            <w:vAlign w:val="center"/>
          </w:tcPr>
          <w:p w14:paraId="3C5CB983">
            <w:pPr>
              <w:jc w:val="center"/>
              <w:textAlignment w:val="center"/>
              <w:rPr>
                <w:rFonts w:ascii="宋体" w:hAnsi="宋体" w:eastAsia="宋体" w:cs="Times New Roman"/>
                <w:color w:val="auto"/>
              </w:rPr>
            </w:pPr>
            <w:r>
              <w:rPr>
                <w:rFonts w:ascii="宋体" w:hAnsi="宋体" w:eastAsia="宋体" w:cs="Times New Roman"/>
                <w:color w:val="auto"/>
              </w:rPr>
              <w:t>S</w:t>
            </w:r>
          </w:p>
        </w:tc>
        <w:tc>
          <w:tcPr>
            <w:tcW w:w="566" w:type="pct"/>
            <w:shd w:val="clear" w:color="auto" w:fill="auto"/>
            <w:noWrap/>
            <w:vAlign w:val="center"/>
          </w:tcPr>
          <w:p w14:paraId="4C45B9F2">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29FB4D36">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38DF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7AE5677F">
            <w:pPr>
              <w:jc w:val="center"/>
              <w:textAlignment w:val="center"/>
              <w:rPr>
                <w:rFonts w:ascii="宋体" w:hAnsi="宋体" w:eastAsia="宋体" w:cs="Times New Roman"/>
                <w:color w:val="auto"/>
              </w:rPr>
            </w:pPr>
            <w:r>
              <w:rPr>
                <w:rFonts w:ascii="宋体" w:hAnsi="宋体" w:eastAsia="宋体" w:cs="Times New Roman"/>
                <w:color w:val="auto"/>
              </w:rPr>
              <w:t>鸻形目</w:t>
            </w:r>
          </w:p>
        </w:tc>
        <w:tc>
          <w:tcPr>
            <w:tcW w:w="443" w:type="pct"/>
            <w:shd w:val="clear" w:color="auto" w:fill="auto"/>
            <w:noWrap/>
            <w:vAlign w:val="center"/>
          </w:tcPr>
          <w:p w14:paraId="4DC0725D">
            <w:pPr>
              <w:jc w:val="center"/>
              <w:textAlignment w:val="center"/>
              <w:rPr>
                <w:rFonts w:ascii="宋体" w:hAnsi="宋体" w:eastAsia="宋体" w:cs="Times New Roman"/>
                <w:color w:val="auto"/>
              </w:rPr>
            </w:pPr>
            <w:r>
              <w:rPr>
                <w:rFonts w:ascii="宋体" w:hAnsi="宋体" w:eastAsia="宋体" w:cs="Times New Roman"/>
                <w:color w:val="auto"/>
              </w:rPr>
              <w:t>反嘴鹬科</w:t>
            </w:r>
          </w:p>
        </w:tc>
        <w:tc>
          <w:tcPr>
            <w:tcW w:w="624" w:type="pct"/>
            <w:shd w:val="clear" w:color="auto" w:fill="auto"/>
            <w:noWrap/>
            <w:vAlign w:val="center"/>
          </w:tcPr>
          <w:p w14:paraId="6AF0441B">
            <w:pPr>
              <w:jc w:val="center"/>
              <w:rPr>
                <w:rFonts w:ascii="宋体" w:hAnsi="宋体" w:eastAsia="宋体" w:cs="Times New Roman"/>
                <w:color w:val="auto"/>
              </w:rPr>
            </w:pPr>
            <w:r>
              <w:rPr>
                <w:rFonts w:ascii="宋体" w:hAnsi="宋体" w:eastAsia="宋体" w:cs="Times New Roman"/>
                <w:color w:val="auto"/>
              </w:rPr>
              <w:t>黑翅长脚鹬</w:t>
            </w:r>
          </w:p>
        </w:tc>
        <w:tc>
          <w:tcPr>
            <w:tcW w:w="1170" w:type="pct"/>
            <w:shd w:val="clear" w:color="auto" w:fill="auto"/>
            <w:noWrap/>
            <w:vAlign w:val="center"/>
          </w:tcPr>
          <w:p w14:paraId="1E71B659">
            <w:pPr>
              <w:jc w:val="center"/>
              <w:textAlignment w:val="center"/>
              <w:rPr>
                <w:rFonts w:ascii="宋体" w:hAnsi="宋体" w:eastAsia="宋体" w:cs="Times New Roman"/>
                <w:i/>
                <w:iCs/>
                <w:color w:val="auto"/>
              </w:rPr>
            </w:pPr>
            <w:r>
              <w:rPr>
                <w:rFonts w:ascii="宋体" w:hAnsi="宋体" w:eastAsia="宋体" w:cs="Times New Roman"/>
                <w:i/>
                <w:iCs/>
                <w:color w:val="auto"/>
              </w:rPr>
              <w:t>Himantopus himantopus</w:t>
            </w:r>
          </w:p>
        </w:tc>
        <w:tc>
          <w:tcPr>
            <w:tcW w:w="565" w:type="pct"/>
            <w:shd w:val="clear" w:color="auto" w:fill="auto"/>
            <w:noWrap/>
            <w:vAlign w:val="center"/>
          </w:tcPr>
          <w:p w14:paraId="0B6D3599">
            <w:pPr>
              <w:jc w:val="center"/>
              <w:textAlignment w:val="center"/>
              <w:rPr>
                <w:rFonts w:ascii="宋体" w:hAnsi="宋体" w:eastAsia="宋体" w:cs="Times New Roman"/>
                <w:color w:val="auto"/>
              </w:rPr>
            </w:pPr>
            <w:r>
              <w:rPr>
                <w:rFonts w:ascii="宋体" w:hAnsi="宋体" w:eastAsia="宋体" w:cs="Times New Roman"/>
                <w:color w:val="auto"/>
              </w:rPr>
              <w:t>S</w:t>
            </w:r>
          </w:p>
        </w:tc>
        <w:tc>
          <w:tcPr>
            <w:tcW w:w="566" w:type="pct"/>
            <w:shd w:val="clear" w:color="auto" w:fill="auto"/>
            <w:noWrap/>
            <w:vAlign w:val="center"/>
          </w:tcPr>
          <w:p w14:paraId="77ADEA12">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65F9BD48">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3762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6C73C375">
            <w:pPr>
              <w:jc w:val="center"/>
              <w:textAlignment w:val="center"/>
              <w:rPr>
                <w:rFonts w:ascii="宋体" w:hAnsi="宋体" w:eastAsia="宋体" w:cs="Times New Roman"/>
                <w:color w:val="auto"/>
              </w:rPr>
            </w:pPr>
            <w:r>
              <w:rPr>
                <w:rFonts w:ascii="宋体" w:hAnsi="宋体" w:eastAsia="宋体" w:cs="Times New Roman"/>
                <w:color w:val="auto"/>
              </w:rPr>
              <w:t>鸻形目</w:t>
            </w:r>
          </w:p>
        </w:tc>
        <w:tc>
          <w:tcPr>
            <w:tcW w:w="443" w:type="pct"/>
            <w:shd w:val="clear" w:color="auto" w:fill="auto"/>
            <w:noWrap/>
            <w:vAlign w:val="center"/>
          </w:tcPr>
          <w:p w14:paraId="301E5452">
            <w:pPr>
              <w:jc w:val="center"/>
              <w:textAlignment w:val="center"/>
              <w:rPr>
                <w:rFonts w:ascii="宋体" w:hAnsi="宋体" w:eastAsia="宋体" w:cs="Times New Roman"/>
                <w:color w:val="auto"/>
              </w:rPr>
            </w:pPr>
            <w:r>
              <w:rPr>
                <w:rFonts w:ascii="宋体" w:hAnsi="宋体" w:eastAsia="宋体" w:cs="Times New Roman"/>
                <w:color w:val="auto"/>
              </w:rPr>
              <w:t>鹬科</w:t>
            </w:r>
          </w:p>
        </w:tc>
        <w:tc>
          <w:tcPr>
            <w:tcW w:w="624" w:type="pct"/>
            <w:shd w:val="clear" w:color="auto" w:fill="auto"/>
            <w:noWrap/>
            <w:vAlign w:val="center"/>
          </w:tcPr>
          <w:p w14:paraId="16958829">
            <w:pPr>
              <w:jc w:val="center"/>
              <w:rPr>
                <w:rFonts w:ascii="宋体" w:hAnsi="宋体" w:eastAsia="宋体" w:cs="Times New Roman"/>
                <w:color w:val="auto"/>
              </w:rPr>
            </w:pPr>
            <w:r>
              <w:rPr>
                <w:rFonts w:ascii="宋体" w:hAnsi="宋体" w:eastAsia="宋体" w:cs="Times New Roman"/>
                <w:color w:val="auto"/>
              </w:rPr>
              <w:t>青脚鹬</w:t>
            </w:r>
          </w:p>
        </w:tc>
        <w:tc>
          <w:tcPr>
            <w:tcW w:w="1170" w:type="pct"/>
            <w:shd w:val="clear" w:color="auto" w:fill="auto"/>
            <w:noWrap/>
            <w:vAlign w:val="center"/>
          </w:tcPr>
          <w:p w14:paraId="0195537B">
            <w:pPr>
              <w:jc w:val="center"/>
              <w:textAlignment w:val="center"/>
              <w:rPr>
                <w:rFonts w:ascii="宋体" w:hAnsi="宋体" w:eastAsia="宋体" w:cs="Times New Roman"/>
                <w:i/>
                <w:iCs/>
                <w:color w:val="auto"/>
              </w:rPr>
            </w:pPr>
            <w:r>
              <w:rPr>
                <w:rFonts w:ascii="宋体" w:hAnsi="宋体" w:eastAsia="宋体" w:cs="Times New Roman"/>
                <w:i/>
                <w:iCs/>
                <w:color w:val="auto"/>
              </w:rPr>
              <w:t>Tringa nebularia</w:t>
            </w:r>
          </w:p>
        </w:tc>
        <w:tc>
          <w:tcPr>
            <w:tcW w:w="565" w:type="pct"/>
            <w:shd w:val="clear" w:color="auto" w:fill="auto"/>
            <w:noWrap/>
            <w:vAlign w:val="center"/>
          </w:tcPr>
          <w:p w14:paraId="58B04D34">
            <w:pPr>
              <w:jc w:val="center"/>
              <w:textAlignment w:val="center"/>
              <w:rPr>
                <w:rFonts w:ascii="宋体" w:hAnsi="宋体" w:eastAsia="宋体" w:cs="Times New Roman"/>
                <w:color w:val="auto"/>
              </w:rPr>
            </w:pPr>
            <w:r>
              <w:rPr>
                <w:rFonts w:ascii="宋体" w:hAnsi="宋体" w:eastAsia="宋体" w:cs="Times New Roman"/>
                <w:color w:val="auto"/>
              </w:rPr>
              <w:t>P</w:t>
            </w:r>
          </w:p>
        </w:tc>
        <w:tc>
          <w:tcPr>
            <w:tcW w:w="566" w:type="pct"/>
            <w:shd w:val="clear" w:color="auto" w:fill="auto"/>
            <w:noWrap/>
            <w:vAlign w:val="center"/>
          </w:tcPr>
          <w:p w14:paraId="7E8EB495">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43B2A4A0">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1B6C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55523F5E">
            <w:pPr>
              <w:jc w:val="center"/>
              <w:textAlignment w:val="center"/>
              <w:rPr>
                <w:rFonts w:ascii="宋体" w:hAnsi="宋体" w:eastAsia="宋体" w:cs="Times New Roman"/>
                <w:color w:val="auto"/>
              </w:rPr>
            </w:pPr>
            <w:r>
              <w:rPr>
                <w:rFonts w:ascii="宋体" w:hAnsi="宋体" w:eastAsia="宋体" w:cs="Times New Roman"/>
                <w:color w:val="auto"/>
              </w:rPr>
              <w:t>鸻形目</w:t>
            </w:r>
          </w:p>
        </w:tc>
        <w:tc>
          <w:tcPr>
            <w:tcW w:w="443" w:type="pct"/>
            <w:shd w:val="clear" w:color="auto" w:fill="auto"/>
            <w:noWrap/>
            <w:vAlign w:val="center"/>
          </w:tcPr>
          <w:p w14:paraId="4F55D7EF">
            <w:pPr>
              <w:jc w:val="center"/>
              <w:textAlignment w:val="center"/>
              <w:rPr>
                <w:rFonts w:ascii="宋体" w:hAnsi="宋体" w:eastAsia="宋体" w:cs="Times New Roman"/>
                <w:color w:val="auto"/>
              </w:rPr>
            </w:pPr>
            <w:r>
              <w:rPr>
                <w:rFonts w:ascii="宋体" w:hAnsi="宋体" w:eastAsia="宋体" w:cs="Times New Roman"/>
                <w:color w:val="auto"/>
              </w:rPr>
              <w:t>鸥科</w:t>
            </w:r>
          </w:p>
        </w:tc>
        <w:tc>
          <w:tcPr>
            <w:tcW w:w="624" w:type="pct"/>
            <w:shd w:val="clear" w:color="auto" w:fill="auto"/>
            <w:noWrap/>
            <w:vAlign w:val="center"/>
          </w:tcPr>
          <w:p w14:paraId="2B49BD0C">
            <w:pPr>
              <w:jc w:val="center"/>
              <w:rPr>
                <w:rFonts w:ascii="宋体" w:hAnsi="宋体" w:eastAsia="宋体" w:cs="Times New Roman"/>
                <w:color w:val="auto"/>
              </w:rPr>
            </w:pPr>
            <w:r>
              <w:rPr>
                <w:rFonts w:ascii="宋体" w:hAnsi="宋体" w:eastAsia="宋体" w:cs="Times New Roman"/>
                <w:color w:val="auto"/>
              </w:rPr>
              <w:t>普通燕鸥</w:t>
            </w:r>
          </w:p>
        </w:tc>
        <w:tc>
          <w:tcPr>
            <w:tcW w:w="1170" w:type="pct"/>
            <w:shd w:val="clear" w:color="auto" w:fill="auto"/>
            <w:noWrap/>
            <w:vAlign w:val="center"/>
          </w:tcPr>
          <w:p w14:paraId="46E64B4D">
            <w:pPr>
              <w:jc w:val="center"/>
              <w:textAlignment w:val="center"/>
              <w:rPr>
                <w:rFonts w:ascii="宋体" w:hAnsi="宋体" w:eastAsia="宋体" w:cs="Times New Roman"/>
                <w:i/>
                <w:iCs/>
                <w:color w:val="auto"/>
              </w:rPr>
            </w:pPr>
            <w:r>
              <w:rPr>
                <w:rFonts w:ascii="宋体" w:hAnsi="宋体" w:eastAsia="宋体" w:cs="Times New Roman"/>
                <w:i/>
                <w:iCs/>
                <w:color w:val="auto"/>
              </w:rPr>
              <w:t>Sterna hirundo</w:t>
            </w:r>
          </w:p>
        </w:tc>
        <w:tc>
          <w:tcPr>
            <w:tcW w:w="565" w:type="pct"/>
            <w:shd w:val="clear" w:color="auto" w:fill="auto"/>
            <w:noWrap/>
            <w:vAlign w:val="center"/>
          </w:tcPr>
          <w:p w14:paraId="0BE3AFED">
            <w:pPr>
              <w:jc w:val="center"/>
              <w:textAlignment w:val="center"/>
              <w:rPr>
                <w:rFonts w:ascii="宋体" w:hAnsi="宋体" w:eastAsia="宋体" w:cs="Times New Roman"/>
                <w:color w:val="auto"/>
              </w:rPr>
            </w:pPr>
            <w:r>
              <w:rPr>
                <w:rFonts w:ascii="宋体" w:hAnsi="宋体" w:eastAsia="宋体" w:cs="Times New Roman"/>
                <w:color w:val="auto"/>
              </w:rPr>
              <w:t>S</w:t>
            </w:r>
          </w:p>
        </w:tc>
        <w:tc>
          <w:tcPr>
            <w:tcW w:w="566" w:type="pct"/>
            <w:shd w:val="clear" w:color="auto" w:fill="auto"/>
            <w:noWrap/>
            <w:vAlign w:val="center"/>
          </w:tcPr>
          <w:p w14:paraId="38E0E09A">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2615550E">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66E4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35A12416">
            <w:pPr>
              <w:jc w:val="center"/>
              <w:textAlignment w:val="center"/>
              <w:rPr>
                <w:rFonts w:ascii="宋体" w:hAnsi="宋体" w:eastAsia="宋体" w:cs="Times New Roman"/>
                <w:color w:val="auto"/>
              </w:rPr>
            </w:pPr>
            <w:r>
              <w:rPr>
                <w:rFonts w:ascii="宋体" w:hAnsi="宋体" w:eastAsia="宋体" w:cs="Times New Roman"/>
                <w:color w:val="auto"/>
              </w:rPr>
              <w:t>鸻形目</w:t>
            </w:r>
          </w:p>
        </w:tc>
        <w:tc>
          <w:tcPr>
            <w:tcW w:w="443" w:type="pct"/>
            <w:shd w:val="clear" w:color="auto" w:fill="auto"/>
            <w:noWrap/>
            <w:vAlign w:val="center"/>
          </w:tcPr>
          <w:p w14:paraId="01F22C33">
            <w:pPr>
              <w:jc w:val="center"/>
              <w:textAlignment w:val="center"/>
              <w:rPr>
                <w:rFonts w:ascii="宋体" w:hAnsi="宋体" w:eastAsia="宋体" w:cs="Times New Roman"/>
                <w:color w:val="auto"/>
              </w:rPr>
            </w:pPr>
            <w:r>
              <w:rPr>
                <w:rFonts w:ascii="宋体" w:hAnsi="宋体" w:eastAsia="宋体" w:cs="Times New Roman"/>
                <w:color w:val="auto"/>
              </w:rPr>
              <w:t>鸥科</w:t>
            </w:r>
          </w:p>
        </w:tc>
        <w:tc>
          <w:tcPr>
            <w:tcW w:w="624" w:type="pct"/>
            <w:shd w:val="clear" w:color="auto" w:fill="auto"/>
            <w:noWrap/>
            <w:vAlign w:val="center"/>
          </w:tcPr>
          <w:p w14:paraId="42964997">
            <w:pPr>
              <w:jc w:val="center"/>
              <w:rPr>
                <w:rFonts w:ascii="宋体" w:hAnsi="宋体" w:eastAsia="宋体" w:cs="Times New Roman"/>
                <w:color w:val="auto"/>
              </w:rPr>
            </w:pPr>
            <w:r>
              <w:rPr>
                <w:rFonts w:ascii="宋体" w:hAnsi="宋体" w:eastAsia="宋体" w:cs="Times New Roman"/>
                <w:color w:val="auto"/>
              </w:rPr>
              <w:t>白翅浮鸥</w:t>
            </w:r>
          </w:p>
        </w:tc>
        <w:tc>
          <w:tcPr>
            <w:tcW w:w="1170" w:type="pct"/>
            <w:shd w:val="clear" w:color="auto" w:fill="auto"/>
            <w:noWrap/>
            <w:vAlign w:val="center"/>
          </w:tcPr>
          <w:p w14:paraId="1A91EE04">
            <w:pPr>
              <w:jc w:val="center"/>
              <w:textAlignment w:val="center"/>
              <w:rPr>
                <w:rFonts w:ascii="宋体" w:hAnsi="宋体" w:eastAsia="宋体" w:cs="Times New Roman"/>
                <w:i/>
                <w:iCs/>
                <w:color w:val="auto"/>
              </w:rPr>
            </w:pPr>
            <w:r>
              <w:rPr>
                <w:rFonts w:ascii="宋体" w:hAnsi="宋体" w:eastAsia="宋体" w:cs="Times New Roman"/>
                <w:i/>
                <w:iCs/>
                <w:color w:val="auto"/>
              </w:rPr>
              <w:t>Chlidonias leucopterus</w:t>
            </w:r>
          </w:p>
        </w:tc>
        <w:tc>
          <w:tcPr>
            <w:tcW w:w="565" w:type="pct"/>
            <w:shd w:val="clear" w:color="auto" w:fill="auto"/>
            <w:noWrap/>
            <w:vAlign w:val="center"/>
          </w:tcPr>
          <w:p w14:paraId="6B64D6DC">
            <w:pPr>
              <w:jc w:val="center"/>
              <w:textAlignment w:val="center"/>
              <w:rPr>
                <w:rFonts w:ascii="宋体" w:hAnsi="宋体" w:eastAsia="宋体" w:cs="Times New Roman"/>
                <w:color w:val="auto"/>
              </w:rPr>
            </w:pPr>
            <w:r>
              <w:rPr>
                <w:rFonts w:ascii="宋体" w:hAnsi="宋体" w:eastAsia="宋体" w:cs="Times New Roman"/>
                <w:color w:val="auto"/>
              </w:rPr>
              <w:t>S</w:t>
            </w:r>
          </w:p>
        </w:tc>
        <w:tc>
          <w:tcPr>
            <w:tcW w:w="566" w:type="pct"/>
            <w:shd w:val="clear" w:color="auto" w:fill="auto"/>
            <w:noWrap/>
            <w:vAlign w:val="center"/>
          </w:tcPr>
          <w:p w14:paraId="169393BC">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369756A9">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15A9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5FE4FD27">
            <w:pPr>
              <w:jc w:val="center"/>
              <w:textAlignment w:val="center"/>
              <w:rPr>
                <w:rFonts w:ascii="宋体" w:hAnsi="宋体" w:eastAsia="宋体" w:cs="Times New Roman"/>
                <w:color w:val="auto"/>
              </w:rPr>
            </w:pPr>
            <w:r>
              <w:rPr>
                <w:rFonts w:ascii="宋体" w:hAnsi="宋体" w:eastAsia="宋体" w:cs="Times New Roman"/>
                <w:color w:val="auto"/>
              </w:rPr>
              <w:t>鸽形目</w:t>
            </w:r>
          </w:p>
        </w:tc>
        <w:tc>
          <w:tcPr>
            <w:tcW w:w="443" w:type="pct"/>
            <w:shd w:val="clear" w:color="auto" w:fill="auto"/>
            <w:noWrap/>
            <w:vAlign w:val="center"/>
          </w:tcPr>
          <w:p w14:paraId="6ED0B874">
            <w:pPr>
              <w:jc w:val="center"/>
              <w:textAlignment w:val="center"/>
              <w:rPr>
                <w:rFonts w:ascii="宋体" w:hAnsi="宋体" w:eastAsia="宋体" w:cs="Times New Roman"/>
                <w:color w:val="auto"/>
              </w:rPr>
            </w:pPr>
            <w:r>
              <w:rPr>
                <w:rFonts w:ascii="宋体" w:hAnsi="宋体" w:eastAsia="宋体" w:cs="Times New Roman"/>
                <w:color w:val="auto"/>
              </w:rPr>
              <w:t>鸠鸽科</w:t>
            </w:r>
          </w:p>
        </w:tc>
        <w:tc>
          <w:tcPr>
            <w:tcW w:w="624" w:type="pct"/>
            <w:shd w:val="clear" w:color="auto" w:fill="auto"/>
            <w:noWrap/>
            <w:vAlign w:val="center"/>
          </w:tcPr>
          <w:p w14:paraId="58411A92">
            <w:pPr>
              <w:jc w:val="center"/>
              <w:rPr>
                <w:rFonts w:ascii="宋体" w:hAnsi="宋体" w:eastAsia="宋体" w:cs="Times New Roman"/>
                <w:color w:val="auto"/>
              </w:rPr>
            </w:pPr>
            <w:r>
              <w:rPr>
                <w:rFonts w:ascii="宋体" w:hAnsi="宋体" w:eastAsia="宋体" w:cs="Times New Roman"/>
                <w:color w:val="auto"/>
              </w:rPr>
              <w:t>山斑鸠</w:t>
            </w:r>
          </w:p>
        </w:tc>
        <w:tc>
          <w:tcPr>
            <w:tcW w:w="1170" w:type="pct"/>
            <w:shd w:val="clear" w:color="auto" w:fill="auto"/>
            <w:noWrap/>
            <w:vAlign w:val="center"/>
          </w:tcPr>
          <w:p w14:paraId="54A54A8C">
            <w:pPr>
              <w:jc w:val="center"/>
              <w:textAlignment w:val="center"/>
              <w:rPr>
                <w:rFonts w:ascii="宋体" w:hAnsi="宋体" w:eastAsia="宋体" w:cs="Times New Roman"/>
                <w:i/>
                <w:iCs/>
                <w:color w:val="auto"/>
              </w:rPr>
            </w:pPr>
            <w:r>
              <w:rPr>
                <w:rFonts w:ascii="宋体" w:hAnsi="宋体" w:eastAsia="宋体" w:cs="Times New Roman"/>
                <w:i/>
                <w:iCs/>
                <w:color w:val="auto"/>
              </w:rPr>
              <w:t>Streptopelia orientalis</w:t>
            </w:r>
          </w:p>
        </w:tc>
        <w:tc>
          <w:tcPr>
            <w:tcW w:w="565" w:type="pct"/>
            <w:shd w:val="clear" w:color="auto" w:fill="auto"/>
            <w:noWrap/>
            <w:vAlign w:val="center"/>
          </w:tcPr>
          <w:p w14:paraId="6429D232">
            <w:pPr>
              <w:jc w:val="center"/>
              <w:textAlignment w:val="center"/>
              <w:rPr>
                <w:rFonts w:ascii="宋体" w:hAnsi="宋体" w:eastAsia="宋体" w:cs="Times New Roman"/>
                <w:color w:val="auto"/>
              </w:rPr>
            </w:pPr>
            <w:r>
              <w:rPr>
                <w:rFonts w:ascii="宋体" w:hAnsi="宋体" w:eastAsia="宋体" w:cs="Times New Roman"/>
                <w:color w:val="auto"/>
              </w:rPr>
              <w:t>R</w:t>
            </w:r>
          </w:p>
        </w:tc>
        <w:tc>
          <w:tcPr>
            <w:tcW w:w="566" w:type="pct"/>
            <w:shd w:val="clear" w:color="auto" w:fill="auto"/>
            <w:noWrap/>
            <w:vAlign w:val="center"/>
          </w:tcPr>
          <w:p w14:paraId="3371B33D">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2BF5F44B">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72BF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27593C42">
            <w:pPr>
              <w:jc w:val="center"/>
              <w:textAlignment w:val="center"/>
              <w:rPr>
                <w:rFonts w:ascii="宋体" w:hAnsi="宋体" w:eastAsia="宋体" w:cs="Times New Roman"/>
                <w:color w:val="auto"/>
              </w:rPr>
            </w:pPr>
            <w:r>
              <w:rPr>
                <w:rFonts w:ascii="宋体" w:hAnsi="宋体" w:eastAsia="宋体" w:cs="Times New Roman"/>
                <w:color w:val="auto"/>
              </w:rPr>
              <w:t>鹃形目</w:t>
            </w:r>
          </w:p>
        </w:tc>
        <w:tc>
          <w:tcPr>
            <w:tcW w:w="443" w:type="pct"/>
            <w:shd w:val="clear" w:color="auto" w:fill="auto"/>
            <w:noWrap/>
            <w:vAlign w:val="center"/>
          </w:tcPr>
          <w:p w14:paraId="25697763">
            <w:pPr>
              <w:jc w:val="center"/>
              <w:textAlignment w:val="center"/>
              <w:rPr>
                <w:rFonts w:ascii="宋体" w:hAnsi="宋体" w:eastAsia="宋体" w:cs="Times New Roman"/>
                <w:color w:val="auto"/>
              </w:rPr>
            </w:pPr>
            <w:r>
              <w:rPr>
                <w:rFonts w:ascii="宋体" w:hAnsi="宋体" w:eastAsia="宋体" w:cs="Times New Roman"/>
                <w:color w:val="auto"/>
              </w:rPr>
              <w:t>杜鹃科</w:t>
            </w:r>
          </w:p>
        </w:tc>
        <w:tc>
          <w:tcPr>
            <w:tcW w:w="624" w:type="pct"/>
            <w:shd w:val="clear" w:color="auto" w:fill="auto"/>
            <w:noWrap/>
            <w:vAlign w:val="center"/>
          </w:tcPr>
          <w:p w14:paraId="5A15C869">
            <w:pPr>
              <w:jc w:val="center"/>
              <w:rPr>
                <w:rFonts w:ascii="宋体" w:hAnsi="宋体" w:eastAsia="宋体" w:cs="Times New Roman"/>
                <w:color w:val="auto"/>
              </w:rPr>
            </w:pPr>
            <w:r>
              <w:rPr>
                <w:rFonts w:ascii="宋体" w:hAnsi="宋体" w:eastAsia="宋体" w:cs="Times New Roman"/>
                <w:color w:val="auto"/>
              </w:rPr>
              <w:t>大杜鹃</w:t>
            </w:r>
          </w:p>
        </w:tc>
        <w:tc>
          <w:tcPr>
            <w:tcW w:w="1170" w:type="pct"/>
            <w:shd w:val="clear" w:color="auto" w:fill="auto"/>
            <w:noWrap/>
            <w:vAlign w:val="center"/>
          </w:tcPr>
          <w:p w14:paraId="10B64DDF">
            <w:pPr>
              <w:jc w:val="center"/>
              <w:textAlignment w:val="center"/>
              <w:rPr>
                <w:rFonts w:ascii="宋体" w:hAnsi="宋体" w:eastAsia="宋体" w:cs="Times New Roman"/>
                <w:i/>
                <w:iCs/>
                <w:color w:val="auto"/>
              </w:rPr>
            </w:pPr>
            <w:r>
              <w:rPr>
                <w:rFonts w:ascii="宋体" w:hAnsi="宋体" w:eastAsia="宋体" w:cs="Times New Roman"/>
                <w:i/>
                <w:iCs/>
                <w:color w:val="auto"/>
              </w:rPr>
              <w:t>Cuculus canorus</w:t>
            </w:r>
          </w:p>
        </w:tc>
        <w:tc>
          <w:tcPr>
            <w:tcW w:w="565" w:type="pct"/>
            <w:shd w:val="clear" w:color="auto" w:fill="auto"/>
            <w:noWrap/>
            <w:vAlign w:val="center"/>
          </w:tcPr>
          <w:p w14:paraId="3CD622CD">
            <w:pPr>
              <w:jc w:val="center"/>
              <w:textAlignment w:val="center"/>
              <w:rPr>
                <w:rFonts w:ascii="宋体" w:hAnsi="宋体" w:eastAsia="宋体" w:cs="Times New Roman"/>
                <w:color w:val="auto"/>
              </w:rPr>
            </w:pPr>
            <w:r>
              <w:rPr>
                <w:rFonts w:ascii="宋体" w:hAnsi="宋体" w:eastAsia="宋体" w:cs="Times New Roman"/>
                <w:color w:val="auto"/>
              </w:rPr>
              <w:t>S</w:t>
            </w:r>
          </w:p>
        </w:tc>
        <w:tc>
          <w:tcPr>
            <w:tcW w:w="566" w:type="pct"/>
            <w:shd w:val="clear" w:color="auto" w:fill="auto"/>
            <w:noWrap/>
            <w:vAlign w:val="center"/>
          </w:tcPr>
          <w:p w14:paraId="7E01F48D">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2C0FBC83">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2FC3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3D8FCF78">
            <w:pPr>
              <w:jc w:val="center"/>
              <w:textAlignment w:val="center"/>
              <w:rPr>
                <w:rFonts w:ascii="宋体" w:hAnsi="宋体" w:eastAsia="宋体" w:cs="Times New Roman"/>
                <w:color w:val="auto"/>
              </w:rPr>
            </w:pPr>
            <w:r>
              <w:rPr>
                <w:rFonts w:ascii="宋体" w:hAnsi="宋体" w:eastAsia="宋体" w:cs="Times New Roman"/>
                <w:color w:val="auto"/>
              </w:rPr>
              <w:t>雀形目</w:t>
            </w:r>
          </w:p>
        </w:tc>
        <w:tc>
          <w:tcPr>
            <w:tcW w:w="443" w:type="pct"/>
            <w:shd w:val="clear" w:color="auto" w:fill="auto"/>
            <w:noWrap/>
            <w:vAlign w:val="center"/>
          </w:tcPr>
          <w:p w14:paraId="5116F6C0">
            <w:pPr>
              <w:jc w:val="center"/>
              <w:textAlignment w:val="center"/>
              <w:rPr>
                <w:rFonts w:ascii="宋体" w:hAnsi="宋体" w:eastAsia="宋体" w:cs="Times New Roman"/>
                <w:color w:val="auto"/>
              </w:rPr>
            </w:pPr>
            <w:r>
              <w:rPr>
                <w:rFonts w:ascii="宋体" w:hAnsi="宋体" w:eastAsia="宋体" w:cs="Times New Roman"/>
                <w:color w:val="auto"/>
              </w:rPr>
              <w:t>鸦科</w:t>
            </w:r>
          </w:p>
        </w:tc>
        <w:tc>
          <w:tcPr>
            <w:tcW w:w="624" w:type="pct"/>
            <w:shd w:val="clear" w:color="auto" w:fill="auto"/>
            <w:noWrap/>
            <w:vAlign w:val="center"/>
          </w:tcPr>
          <w:p w14:paraId="7904FA84">
            <w:pPr>
              <w:jc w:val="center"/>
              <w:rPr>
                <w:rFonts w:ascii="宋体" w:hAnsi="宋体" w:eastAsia="宋体" w:cs="Times New Roman"/>
                <w:color w:val="auto"/>
              </w:rPr>
            </w:pPr>
            <w:r>
              <w:rPr>
                <w:rFonts w:ascii="宋体" w:hAnsi="宋体" w:eastAsia="宋体" w:cs="Times New Roman"/>
                <w:color w:val="auto"/>
              </w:rPr>
              <w:t>喜鹊</w:t>
            </w:r>
          </w:p>
        </w:tc>
        <w:tc>
          <w:tcPr>
            <w:tcW w:w="1170" w:type="pct"/>
            <w:shd w:val="clear" w:color="auto" w:fill="auto"/>
            <w:noWrap/>
            <w:vAlign w:val="center"/>
          </w:tcPr>
          <w:p w14:paraId="4F0B80D4">
            <w:pPr>
              <w:jc w:val="center"/>
              <w:textAlignment w:val="center"/>
              <w:rPr>
                <w:rFonts w:ascii="宋体" w:hAnsi="宋体" w:eastAsia="宋体" w:cs="Times New Roman"/>
                <w:i/>
                <w:iCs/>
                <w:color w:val="auto"/>
              </w:rPr>
            </w:pPr>
            <w:r>
              <w:rPr>
                <w:rFonts w:ascii="宋体" w:hAnsi="宋体" w:eastAsia="宋体" w:cs="Times New Roman"/>
                <w:i/>
                <w:iCs/>
                <w:color w:val="auto"/>
              </w:rPr>
              <w:t>Pica serica</w:t>
            </w:r>
          </w:p>
        </w:tc>
        <w:tc>
          <w:tcPr>
            <w:tcW w:w="565" w:type="pct"/>
            <w:shd w:val="clear" w:color="auto" w:fill="auto"/>
            <w:noWrap/>
            <w:vAlign w:val="center"/>
          </w:tcPr>
          <w:p w14:paraId="075A2DFE">
            <w:pPr>
              <w:jc w:val="center"/>
              <w:textAlignment w:val="center"/>
              <w:rPr>
                <w:rFonts w:ascii="宋体" w:hAnsi="宋体" w:eastAsia="宋体" w:cs="Times New Roman"/>
                <w:color w:val="auto"/>
              </w:rPr>
            </w:pPr>
            <w:r>
              <w:rPr>
                <w:rFonts w:ascii="宋体" w:hAnsi="宋体" w:eastAsia="宋体" w:cs="Times New Roman"/>
                <w:color w:val="auto"/>
              </w:rPr>
              <w:t>R</w:t>
            </w:r>
          </w:p>
        </w:tc>
        <w:tc>
          <w:tcPr>
            <w:tcW w:w="566" w:type="pct"/>
            <w:shd w:val="clear" w:color="auto" w:fill="auto"/>
            <w:noWrap/>
            <w:vAlign w:val="center"/>
          </w:tcPr>
          <w:p w14:paraId="29A32F1C">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745303BC">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41E4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6F1B8D2D">
            <w:pPr>
              <w:jc w:val="center"/>
              <w:textAlignment w:val="center"/>
              <w:rPr>
                <w:rFonts w:ascii="宋体" w:hAnsi="宋体" w:eastAsia="宋体" w:cs="Times New Roman"/>
                <w:color w:val="auto"/>
              </w:rPr>
            </w:pPr>
            <w:r>
              <w:rPr>
                <w:rFonts w:ascii="宋体" w:hAnsi="宋体" w:eastAsia="宋体" w:cs="Times New Roman"/>
                <w:color w:val="auto"/>
              </w:rPr>
              <w:t>雀形目</w:t>
            </w:r>
          </w:p>
        </w:tc>
        <w:tc>
          <w:tcPr>
            <w:tcW w:w="443" w:type="pct"/>
            <w:shd w:val="clear" w:color="auto" w:fill="auto"/>
            <w:noWrap/>
            <w:vAlign w:val="center"/>
          </w:tcPr>
          <w:p w14:paraId="0F03E499">
            <w:pPr>
              <w:jc w:val="center"/>
              <w:textAlignment w:val="center"/>
              <w:rPr>
                <w:rFonts w:ascii="宋体" w:hAnsi="宋体" w:eastAsia="宋体" w:cs="Times New Roman"/>
                <w:color w:val="auto"/>
              </w:rPr>
            </w:pPr>
            <w:r>
              <w:rPr>
                <w:rFonts w:ascii="宋体" w:hAnsi="宋体" w:eastAsia="宋体" w:cs="Times New Roman"/>
                <w:color w:val="auto"/>
              </w:rPr>
              <w:t>鸦科</w:t>
            </w:r>
          </w:p>
        </w:tc>
        <w:tc>
          <w:tcPr>
            <w:tcW w:w="624" w:type="pct"/>
            <w:shd w:val="clear" w:color="auto" w:fill="auto"/>
            <w:noWrap/>
            <w:vAlign w:val="center"/>
          </w:tcPr>
          <w:p w14:paraId="23656EC4">
            <w:pPr>
              <w:jc w:val="center"/>
              <w:rPr>
                <w:rFonts w:ascii="宋体" w:hAnsi="宋体" w:eastAsia="宋体" w:cs="Times New Roman"/>
                <w:color w:val="auto"/>
              </w:rPr>
            </w:pPr>
            <w:r>
              <w:rPr>
                <w:rFonts w:ascii="宋体" w:hAnsi="宋体" w:eastAsia="宋体" w:cs="Times New Roman"/>
                <w:color w:val="auto"/>
              </w:rPr>
              <w:t>秃鼻乌鸦</w:t>
            </w:r>
          </w:p>
        </w:tc>
        <w:tc>
          <w:tcPr>
            <w:tcW w:w="1170" w:type="pct"/>
            <w:shd w:val="clear" w:color="auto" w:fill="auto"/>
            <w:noWrap/>
            <w:vAlign w:val="center"/>
          </w:tcPr>
          <w:p w14:paraId="05571CFD">
            <w:pPr>
              <w:jc w:val="center"/>
              <w:textAlignment w:val="center"/>
              <w:rPr>
                <w:rFonts w:ascii="宋体" w:hAnsi="宋体" w:eastAsia="宋体" w:cs="Times New Roman"/>
                <w:i/>
                <w:iCs/>
                <w:color w:val="auto"/>
              </w:rPr>
            </w:pPr>
            <w:r>
              <w:rPr>
                <w:rFonts w:ascii="宋体" w:hAnsi="宋体" w:eastAsia="宋体" w:cs="Times New Roman"/>
                <w:i/>
                <w:iCs/>
                <w:color w:val="auto"/>
              </w:rPr>
              <w:t>Corvus frugilegus</w:t>
            </w:r>
          </w:p>
        </w:tc>
        <w:tc>
          <w:tcPr>
            <w:tcW w:w="565" w:type="pct"/>
            <w:shd w:val="clear" w:color="auto" w:fill="auto"/>
            <w:noWrap/>
            <w:vAlign w:val="center"/>
          </w:tcPr>
          <w:p w14:paraId="79FFC9D5">
            <w:pPr>
              <w:jc w:val="center"/>
              <w:textAlignment w:val="center"/>
              <w:rPr>
                <w:rFonts w:ascii="宋体" w:hAnsi="宋体" w:eastAsia="宋体" w:cs="Times New Roman"/>
                <w:color w:val="auto"/>
              </w:rPr>
            </w:pPr>
            <w:r>
              <w:rPr>
                <w:rFonts w:ascii="宋体" w:hAnsi="宋体" w:eastAsia="宋体" w:cs="Times New Roman"/>
                <w:color w:val="auto"/>
              </w:rPr>
              <w:t>R</w:t>
            </w:r>
          </w:p>
        </w:tc>
        <w:tc>
          <w:tcPr>
            <w:tcW w:w="566" w:type="pct"/>
            <w:shd w:val="clear" w:color="auto" w:fill="auto"/>
            <w:noWrap/>
            <w:vAlign w:val="center"/>
          </w:tcPr>
          <w:p w14:paraId="64EEEBDC">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3CDB3DF3">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46D6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71D399BC">
            <w:pPr>
              <w:jc w:val="center"/>
              <w:textAlignment w:val="center"/>
              <w:rPr>
                <w:rFonts w:ascii="宋体" w:hAnsi="宋体" w:eastAsia="宋体" w:cs="Times New Roman"/>
                <w:color w:val="auto"/>
              </w:rPr>
            </w:pPr>
            <w:r>
              <w:rPr>
                <w:rFonts w:ascii="宋体" w:hAnsi="宋体" w:eastAsia="宋体" w:cs="Times New Roman"/>
                <w:color w:val="auto"/>
              </w:rPr>
              <w:t>雀形目</w:t>
            </w:r>
          </w:p>
        </w:tc>
        <w:tc>
          <w:tcPr>
            <w:tcW w:w="443" w:type="pct"/>
            <w:shd w:val="clear" w:color="auto" w:fill="auto"/>
            <w:noWrap/>
            <w:vAlign w:val="center"/>
          </w:tcPr>
          <w:p w14:paraId="5DBDAB18">
            <w:pPr>
              <w:jc w:val="center"/>
              <w:textAlignment w:val="center"/>
              <w:rPr>
                <w:rFonts w:ascii="宋体" w:hAnsi="宋体" w:eastAsia="宋体" w:cs="Times New Roman"/>
                <w:color w:val="auto"/>
              </w:rPr>
            </w:pPr>
            <w:r>
              <w:rPr>
                <w:rFonts w:ascii="宋体" w:hAnsi="宋体" w:eastAsia="宋体" w:cs="Times New Roman"/>
                <w:color w:val="auto"/>
              </w:rPr>
              <w:t>鸦科</w:t>
            </w:r>
          </w:p>
        </w:tc>
        <w:tc>
          <w:tcPr>
            <w:tcW w:w="624" w:type="pct"/>
            <w:shd w:val="clear" w:color="auto" w:fill="auto"/>
            <w:noWrap/>
            <w:vAlign w:val="center"/>
          </w:tcPr>
          <w:p w14:paraId="5059A3D7">
            <w:pPr>
              <w:jc w:val="center"/>
              <w:rPr>
                <w:rFonts w:ascii="宋体" w:hAnsi="宋体" w:eastAsia="宋体" w:cs="Times New Roman"/>
                <w:color w:val="auto"/>
              </w:rPr>
            </w:pPr>
            <w:r>
              <w:rPr>
                <w:rFonts w:ascii="宋体" w:hAnsi="宋体" w:eastAsia="宋体" w:cs="Times New Roman"/>
                <w:color w:val="auto"/>
              </w:rPr>
              <w:t>大嘴乌鸦</w:t>
            </w:r>
          </w:p>
        </w:tc>
        <w:tc>
          <w:tcPr>
            <w:tcW w:w="1170" w:type="pct"/>
            <w:shd w:val="clear" w:color="auto" w:fill="auto"/>
            <w:noWrap/>
            <w:vAlign w:val="center"/>
          </w:tcPr>
          <w:p w14:paraId="19EF4D11">
            <w:pPr>
              <w:jc w:val="center"/>
              <w:textAlignment w:val="center"/>
              <w:rPr>
                <w:rFonts w:ascii="宋体" w:hAnsi="宋体" w:eastAsia="宋体" w:cs="Times New Roman"/>
                <w:i/>
                <w:iCs/>
                <w:color w:val="auto"/>
              </w:rPr>
            </w:pPr>
            <w:r>
              <w:rPr>
                <w:rFonts w:ascii="宋体" w:hAnsi="宋体" w:eastAsia="宋体" w:cs="Times New Roman"/>
                <w:i/>
                <w:iCs/>
                <w:color w:val="auto"/>
              </w:rPr>
              <w:t>Corvus macrorhynchos</w:t>
            </w:r>
          </w:p>
        </w:tc>
        <w:tc>
          <w:tcPr>
            <w:tcW w:w="565" w:type="pct"/>
            <w:shd w:val="clear" w:color="auto" w:fill="auto"/>
            <w:noWrap/>
            <w:vAlign w:val="center"/>
          </w:tcPr>
          <w:p w14:paraId="0C6C567A">
            <w:pPr>
              <w:jc w:val="center"/>
              <w:textAlignment w:val="center"/>
              <w:rPr>
                <w:rFonts w:ascii="宋体" w:hAnsi="宋体" w:eastAsia="宋体" w:cs="Times New Roman"/>
                <w:color w:val="auto"/>
              </w:rPr>
            </w:pPr>
            <w:r>
              <w:rPr>
                <w:rFonts w:ascii="宋体" w:hAnsi="宋体" w:eastAsia="宋体" w:cs="Times New Roman"/>
                <w:color w:val="auto"/>
              </w:rPr>
              <w:t>R</w:t>
            </w:r>
          </w:p>
        </w:tc>
        <w:tc>
          <w:tcPr>
            <w:tcW w:w="566" w:type="pct"/>
            <w:shd w:val="clear" w:color="auto" w:fill="auto"/>
            <w:noWrap/>
            <w:vAlign w:val="center"/>
          </w:tcPr>
          <w:p w14:paraId="333E3CDF">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75B1F37A">
            <w:pPr>
              <w:jc w:val="center"/>
              <w:textAlignment w:val="center"/>
              <w:rPr>
                <w:rFonts w:ascii="宋体" w:hAnsi="宋体" w:eastAsia="宋体" w:cs="Times New Roman"/>
                <w:color w:val="auto"/>
              </w:rPr>
            </w:pPr>
            <w:r>
              <w:rPr>
                <w:rFonts w:ascii="宋体" w:hAnsi="宋体" w:eastAsia="宋体" w:cs="Times New Roman"/>
                <w:color w:val="auto"/>
              </w:rPr>
              <w:t>否</w:t>
            </w:r>
          </w:p>
        </w:tc>
      </w:tr>
      <w:tr w14:paraId="747E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2DE8950D">
            <w:pPr>
              <w:jc w:val="center"/>
              <w:textAlignment w:val="center"/>
              <w:rPr>
                <w:rFonts w:ascii="宋体" w:hAnsi="宋体" w:eastAsia="宋体" w:cs="Times New Roman"/>
                <w:color w:val="auto"/>
              </w:rPr>
            </w:pPr>
            <w:r>
              <w:rPr>
                <w:rFonts w:ascii="宋体" w:hAnsi="宋体" w:eastAsia="宋体" w:cs="Times New Roman"/>
                <w:color w:val="auto"/>
              </w:rPr>
              <w:t>雀形目</w:t>
            </w:r>
          </w:p>
        </w:tc>
        <w:tc>
          <w:tcPr>
            <w:tcW w:w="443" w:type="pct"/>
            <w:shd w:val="clear" w:color="auto" w:fill="auto"/>
            <w:noWrap/>
            <w:vAlign w:val="center"/>
          </w:tcPr>
          <w:p w14:paraId="4EAAD01D">
            <w:pPr>
              <w:jc w:val="center"/>
              <w:textAlignment w:val="center"/>
              <w:rPr>
                <w:rFonts w:ascii="宋体" w:hAnsi="宋体" w:eastAsia="宋体" w:cs="Times New Roman"/>
                <w:color w:val="auto"/>
              </w:rPr>
            </w:pPr>
            <w:r>
              <w:rPr>
                <w:rFonts w:ascii="宋体" w:hAnsi="宋体" w:eastAsia="宋体" w:cs="Times New Roman"/>
                <w:color w:val="auto"/>
              </w:rPr>
              <w:t>燕科</w:t>
            </w:r>
          </w:p>
        </w:tc>
        <w:tc>
          <w:tcPr>
            <w:tcW w:w="624" w:type="pct"/>
            <w:shd w:val="clear" w:color="auto" w:fill="auto"/>
            <w:noWrap/>
            <w:vAlign w:val="center"/>
          </w:tcPr>
          <w:p w14:paraId="09FED1D0">
            <w:pPr>
              <w:jc w:val="center"/>
              <w:rPr>
                <w:rFonts w:ascii="宋体" w:hAnsi="宋体" w:eastAsia="宋体" w:cs="Times New Roman"/>
                <w:color w:val="auto"/>
              </w:rPr>
            </w:pPr>
            <w:r>
              <w:rPr>
                <w:rFonts w:ascii="宋体" w:hAnsi="宋体" w:eastAsia="宋体" w:cs="Times New Roman"/>
                <w:color w:val="auto"/>
              </w:rPr>
              <w:t>家燕</w:t>
            </w:r>
          </w:p>
        </w:tc>
        <w:tc>
          <w:tcPr>
            <w:tcW w:w="1170" w:type="pct"/>
            <w:shd w:val="clear" w:color="auto" w:fill="auto"/>
            <w:noWrap/>
            <w:vAlign w:val="center"/>
          </w:tcPr>
          <w:p w14:paraId="0FC3D3E9">
            <w:pPr>
              <w:topLinePunct/>
              <w:jc w:val="center"/>
              <w:textAlignment w:val="center"/>
              <w:rPr>
                <w:rFonts w:ascii="宋体" w:hAnsi="宋体" w:eastAsia="宋体" w:cs="Times New Roman"/>
                <w:i/>
                <w:iCs/>
                <w:color w:val="auto"/>
              </w:rPr>
            </w:pPr>
            <w:r>
              <w:rPr>
                <w:rFonts w:ascii="宋体" w:hAnsi="宋体" w:eastAsia="宋体" w:cs="Times New Roman"/>
                <w:i/>
                <w:iCs/>
                <w:color w:val="auto"/>
              </w:rPr>
              <w:t>Hirundo rustica</w:t>
            </w:r>
          </w:p>
        </w:tc>
        <w:tc>
          <w:tcPr>
            <w:tcW w:w="565" w:type="pct"/>
            <w:shd w:val="clear" w:color="auto" w:fill="auto"/>
            <w:noWrap/>
            <w:vAlign w:val="center"/>
          </w:tcPr>
          <w:p w14:paraId="66A53FB9">
            <w:pPr>
              <w:jc w:val="center"/>
              <w:textAlignment w:val="center"/>
              <w:rPr>
                <w:rFonts w:ascii="宋体" w:hAnsi="宋体" w:eastAsia="宋体" w:cs="Times New Roman"/>
                <w:color w:val="auto"/>
              </w:rPr>
            </w:pPr>
            <w:r>
              <w:rPr>
                <w:rFonts w:ascii="宋体" w:hAnsi="宋体" w:eastAsia="宋体" w:cs="Times New Roman"/>
                <w:color w:val="auto"/>
              </w:rPr>
              <w:t>S</w:t>
            </w:r>
          </w:p>
        </w:tc>
        <w:tc>
          <w:tcPr>
            <w:tcW w:w="566" w:type="pct"/>
            <w:shd w:val="clear" w:color="auto" w:fill="auto"/>
            <w:noWrap/>
            <w:vAlign w:val="center"/>
          </w:tcPr>
          <w:p w14:paraId="6C8A913E">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1AF2ED17">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2C13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2A378350">
            <w:pPr>
              <w:jc w:val="center"/>
              <w:textAlignment w:val="center"/>
              <w:rPr>
                <w:rFonts w:ascii="宋体" w:hAnsi="宋体" w:eastAsia="宋体" w:cs="Times New Roman"/>
                <w:color w:val="auto"/>
              </w:rPr>
            </w:pPr>
            <w:r>
              <w:rPr>
                <w:rFonts w:ascii="宋体" w:hAnsi="宋体" w:eastAsia="宋体" w:cs="Times New Roman"/>
                <w:color w:val="auto"/>
              </w:rPr>
              <w:t>雀形目</w:t>
            </w:r>
          </w:p>
        </w:tc>
        <w:tc>
          <w:tcPr>
            <w:tcW w:w="443" w:type="pct"/>
            <w:shd w:val="clear" w:color="auto" w:fill="auto"/>
            <w:noWrap/>
            <w:vAlign w:val="center"/>
          </w:tcPr>
          <w:p w14:paraId="2EB54F55">
            <w:pPr>
              <w:jc w:val="center"/>
              <w:textAlignment w:val="center"/>
              <w:rPr>
                <w:rFonts w:ascii="宋体" w:hAnsi="宋体" w:eastAsia="宋体" w:cs="Times New Roman"/>
                <w:color w:val="auto"/>
              </w:rPr>
            </w:pPr>
            <w:r>
              <w:rPr>
                <w:rFonts w:ascii="宋体" w:hAnsi="宋体" w:eastAsia="宋体" w:cs="Times New Roman"/>
                <w:color w:val="auto"/>
              </w:rPr>
              <w:t>燕科</w:t>
            </w:r>
          </w:p>
        </w:tc>
        <w:tc>
          <w:tcPr>
            <w:tcW w:w="624" w:type="pct"/>
            <w:shd w:val="clear" w:color="auto" w:fill="auto"/>
            <w:noWrap/>
            <w:vAlign w:val="center"/>
          </w:tcPr>
          <w:p w14:paraId="7CB13D5A">
            <w:pPr>
              <w:jc w:val="center"/>
              <w:rPr>
                <w:rFonts w:ascii="宋体" w:hAnsi="宋体" w:eastAsia="宋体" w:cs="Times New Roman"/>
                <w:color w:val="auto"/>
              </w:rPr>
            </w:pPr>
            <w:r>
              <w:rPr>
                <w:rFonts w:ascii="宋体" w:hAnsi="宋体" w:eastAsia="宋体" w:cs="Times New Roman"/>
                <w:color w:val="auto"/>
              </w:rPr>
              <w:t>金腰燕</w:t>
            </w:r>
          </w:p>
        </w:tc>
        <w:tc>
          <w:tcPr>
            <w:tcW w:w="1170" w:type="pct"/>
            <w:shd w:val="clear" w:color="auto" w:fill="auto"/>
            <w:noWrap/>
            <w:vAlign w:val="center"/>
          </w:tcPr>
          <w:p w14:paraId="368B9EDB">
            <w:pPr>
              <w:jc w:val="center"/>
              <w:textAlignment w:val="center"/>
              <w:rPr>
                <w:rFonts w:ascii="宋体" w:hAnsi="宋体" w:eastAsia="宋体" w:cs="Times New Roman"/>
                <w:i/>
                <w:iCs/>
                <w:color w:val="auto"/>
              </w:rPr>
            </w:pPr>
            <w:r>
              <w:rPr>
                <w:rFonts w:ascii="宋体" w:hAnsi="宋体" w:eastAsia="宋体" w:cs="Times New Roman"/>
                <w:i/>
                <w:iCs/>
                <w:color w:val="auto"/>
              </w:rPr>
              <w:t>Cecropis daurica</w:t>
            </w:r>
          </w:p>
        </w:tc>
        <w:tc>
          <w:tcPr>
            <w:tcW w:w="565" w:type="pct"/>
            <w:shd w:val="clear" w:color="auto" w:fill="auto"/>
            <w:noWrap/>
            <w:vAlign w:val="center"/>
          </w:tcPr>
          <w:p w14:paraId="255A0676">
            <w:pPr>
              <w:jc w:val="center"/>
              <w:textAlignment w:val="center"/>
              <w:rPr>
                <w:rFonts w:ascii="宋体" w:hAnsi="宋体" w:eastAsia="宋体" w:cs="Times New Roman"/>
                <w:color w:val="auto"/>
              </w:rPr>
            </w:pPr>
            <w:r>
              <w:rPr>
                <w:rFonts w:ascii="宋体" w:hAnsi="宋体" w:eastAsia="宋体" w:cs="Times New Roman"/>
                <w:color w:val="auto"/>
              </w:rPr>
              <w:t>R</w:t>
            </w:r>
          </w:p>
        </w:tc>
        <w:tc>
          <w:tcPr>
            <w:tcW w:w="566" w:type="pct"/>
            <w:shd w:val="clear" w:color="auto" w:fill="auto"/>
            <w:noWrap/>
            <w:vAlign w:val="center"/>
          </w:tcPr>
          <w:p w14:paraId="09B69A9D">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3D561FEC">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288B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03E1B91A">
            <w:pPr>
              <w:jc w:val="center"/>
              <w:textAlignment w:val="center"/>
              <w:rPr>
                <w:rFonts w:ascii="宋体" w:hAnsi="宋体" w:eastAsia="宋体" w:cs="Times New Roman"/>
                <w:color w:val="auto"/>
              </w:rPr>
            </w:pPr>
            <w:r>
              <w:rPr>
                <w:rFonts w:ascii="宋体" w:hAnsi="宋体" w:eastAsia="宋体" w:cs="Times New Roman"/>
                <w:color w:val="auto"/>
              </w:rPr>
              <w:t>雀形目</w:t>
            </w:r>
          </w:p>
        </w:tc>
        <w:tc>
          <w:tcPr>
            <w:tcW w:w="443" w:type="pct"/>
            <w:shd w:val="clear" w:color="auto" w:fill="auto"/>
            <w:noWrap/>
            <w:vAlign w:val="center"/>
          </w:tcPr>
          <w:p w14:paraId="0586D019">
            <w:pPr>
              <w:jc w:val="center"/>
              <w:textAlignment w:val="center"/>
              <w:rPr>
                <w:rFonts w:ascii="宋体" w:hAnsi="宋体" w:eastAsia="宋体" w:cs="Times New Roman"/>
                <w:color w:val="auto"/>
              </w:rPr>
            </w:pPr>
            <w:r>
              <w:rPr>
                <w:rFonts w:ascii="宋体" w:hAnsi="宋体" w:eastAsia="宋体" w:cs="Times New Roman"/>
                <w:color w:val="auto"/>
              </w:rPr>
              <w:t>雀科</w:t>
            </w:r>
          </w:p>
        </w:tc>
        <w:tc>
          <w:tcPr>
            <w:tcW w:w="624" w:type="pct"/>
            <w:shd w:val="clear" w:color="auto" w:fill="auto"/>
            <w:noWrap/>
            <w:vAlign w:val="center"/>
          </w:tcPr>
          <w:p w14:paraId="1FEA04A8">
            <w:pPr>
              <w:jc w:val="center"/>
              <w:rPr>
                <w:rFonts w:ascii="宋体" w:hAnsi="宋体" w:eastAsia="宋体" w:cs="Times New Roman"/>
                <w:color w:val="auto"/>
              </w:rPr>
            </w:pPr>
            <w:r>
              <w:rPr>
                <w:rFonts w:ascii="宋体" w:hAnsi="宋体" w:eastAsia="宋体" w:cs="Times New Roman"/>
                <w:color w:val="auto"/>
              </w:rPr>
              <w:t>麻雀</w:t>
            </w:r>
          </w:p>
        </w:tc>
        <w:tc>
          <w:tcPr>
            <w:tcW w:w="1170" w:type="pct"/>
            <w:shd w:val="clear" w:color="auto" w:fill="auto"/>
            <w:noWrap/>
            <w:vAlign w:val="center"/>
          </w:tcPr>
          <w:p w14:paraId="6FC175FF">
            <w:pPr>
              <w:jc w:val="center"/>
              <w:textAlignment w:val="center"/>
              <w:rPr>
                <w:rFonts w:ascii="宋体" w:hAnsi="宋体" w:eastAsia="宋体" w:cs="Times New Roman"/>
                <w:i/>
                <w:iCs/>
                <w:color w:val="auto"/>
              </w:rPr>
            </w:pPr>
            <w:r>
              <w:rPr>
                <w:rFonts w:ascii="宋体" w:hAnsi="宋体" w:eastAsia="宋体" w:cs="Times New Roman"/>
                <w:i/>
                <w:iCs/>
                <w:color w:val="auto"/>
              </w:rPr>
              <w:t>Passer montanus</w:t>
            </w:r>
          </w:p>
        </w:tc>
        <w:tc>
          <w:tcPr>
            <w:tcW w:w="565" w:type="pct"/>
            <w:shd w:val="clear" w:color="auto" w:fill="auto"/>
            <w:noWrap/>
            <w:vAlign w:val="center"/>
          </w:tcPr>
          <w:p w14:paraId="6BD8B716">
            <w:pPr>
              <w:jc w:val="center"/>
              <w:textAlignment w:val="center"/>
              <w:rPr>
                <w:rFonts w:ascii="宋体" w:hAnsi="宋体" w:eastAsia="宋体" w:cs="Times New Roman"/>
                <w:color w:val="auto"/>
              </w:rPr>
            </w:pPr>
            <w:r>
              <w:rPr>
                <w:rFonts w:ascii="宋体" w:hAnsi="宋体" w:eastAsia="宋体" w:cs="Times New Roman"/>
                <w:color w:val="auto"/>
              </w:rPr>
              <w:t>R</w:t>
            </w:r>
          </w:p>
        </w:tc>
        <w:tc>
          <w:tcPr>
            <w:tcW w:w="566" w:type="pct"/>
            <w:shd w:val="clear" w:color="auto" w:fill="auto"/>
            <w:noWrap/>
            <w:vAlign w:val="center"/>
          </w:tcPr>
          <w:p w14:paraId="73F4C625">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10625CBA">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6037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1BE71680">
            <w:pPr>
              <w:jc w:val="center"/>
              <w:textAlignment w:val="center"/>
              <w:rPr>
                <w:rFonts w:ascii="宋体" w:hAnsi="宋体" w:eastAsia="宋体" w:cs="Times New Roman"/>
                <w:color w:val="auto"/>
              </w:rPr>
            </w:pPr>
            <w:r>
              <w:rPr>
                <w:rFonts w:ascii="宋体" w:hAnsi="宋体" w:eastAsia="宋体" w:cs="Times New Roman"/>
                <w:color w:val="auto"/>
              </w:rPr>
              <w:t>哺乳纲</w:t>
            </w:r>
          </w:p>
        </w:tc>
        <w:tc>
          <w:tcPr>
            <w:tcW w:w="443" w:type="pct"/>
            <w:shd w:val="clear" w:color="auto" w:fill="auto"/>
            <w:noWrap/>
            <w:vAlign w:val="center"/>
          </w:tcPr>
          <w:p w14:paraId="0B56FF73">
            <w:pPr>
              <w:jc w:val="center"/>
              <w:textAlignment w:val="center"/>
              <w:rPr>
                <w:rFonts w:ascii="宋体" w:hAnsi="宋体" w:eastAsia="宋体" w:cs="Times New Roman"/>
                <w:color w:val="auto"/>
              </w:rPr>
            </w:pPr>
          </w:p>
        </w:tc>
        <w:tc>
          <w:tcPr>
            <w:tcW w:w="624" w:type="pct"/>
            <w:shd w:val="clear" w:color="auto" w:fill="auto"/>
            <w:noWrap/>
            <w:vAlign w:val="center"/>
          </w:tcPr>
          <w:p w14:paraId="2392952D">
            <w:pPr>
              <w:jc w:val="center"/>
              <w:rPr>
                <w:rFonts w:ascii="宋体" w:hAnsi="宋体" w:eastAsia="宋体" w:cs="Times New Roman"/>
                <w:color w:val="auto"/>
              </w:rPr>
            </w:pPr>
          </w:p>
        </w:tc>
        <w:tc>
          <w:tcPr>
            <w:tcW w:w="1170" w:type="pct"/>
            <w:shd w:val="clear" w:color="auto" w:fill="auto"/>
            <w:noWrap/>
            <w:vAlign w:val="center"/>
          </w:tcPr>
          <w:p w14:paraId="4971B43E">
            <w:pPr>
              <w:jc w:val="center"/>
              <w:textAlignment w:val="center"/>
              <w:rPr>
                <w:rFonts w:ascii="宋体" w:hAnsi="宋体" w:eastAsia="宋体" w:cs="Times New Roman"/>
                <w:i/>
                <w:iCs/>
                <w:color w:val="auto"/>
              </w:rPr>
            </w:pPr>
          </w:p>
        </w:tc>
        <w:tc>
          <w:tcPr>
            <w:tcW w:w="565" w:type="pct"/>
            <w:shd w:val="clear" w:color="auto" w:fill="auto"/>
            <w:noWrap/>
            <w:vAlign w:val="center"/>
          </w:tcPr>
          <w:p w14:paraId="2A1C80A6">
            <w:pPr>
              <w:jc w:val="center"/>
              <w:textAlignment w:val="center"/>
              <w:rPr>
                <w:rFonts w:ascii="宋体" w:hAnsi="宋体" w:eastAsia="宋体" w:cs="Times New Roman"/>
                <w:color w:val="auto"/>
              </w:rPr>
            </w:pPr>
          </w:p>
        </w:tc>
        <w:tc>
          <w:tcPr>
            <w:tcW w:w="566" w:type="pct"/>
            <w:shd w:val="clear" w:color="auto" w:fill="auto"/>
            <w:noWrap/>
            <w:vAlign w:val="center"/>
          </w:tcPr>
          <w:p w14:paraId="228016C8">
            <w:pPr>
              <w:jc w:val="center"/>
              <w:textAlignment w:val="center"/>
              <w:rPr>
                <w:rFonts w:ascii="宋体" w:hAnsi="宋体" w:eastAsia="宋体" w:cs="Times New Roman"/>
                <w:color w:val="auto"/>
              </w:rPr>
            </w:pPr>
          </w:p>
        </w:tc>
        <w:tc>
          <w:tcPr>
            <w:tcW w:w="1007" w:type="pct"/>
            <w:shd w:val="clear" w:color="auto" w:fill="auto"/>
            <w:noWrap/>
            <w:vAlign w:val="center"/>
          </w:tcPr>
          <w:p w14:paraId="26F6AC28">
            <w:pPr>
              <w:jc w:val="center"/>
              <w:textAlignment w:val="center"/>
              <w:rPr>
                <w:rFonts w:ascii="宋体" w:hAnsi="宋体" w:eastAsia="宋体" w:cs="Times New Roman"/>
                <w:color w:val="auto"/>
              </w:rPr>
            </w:pPr>
          </w:p>
        </w:tc>
      </w:tr>
      <w:tr w14:paraId="5686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43E6669E">
            <w:pPr>
              <w:jc w:val="center"/>
              <w:textAlignment w:val="center"/>
              <w:rPr>
                <w:rFonts w:ascii="宋体" w:hAnsi="宋体" w:eastAsia="宋体" w:cs="Times New Roman"/>
                <w:color w:val="auto"/>
              </w:rPr>
            </w:pPr>
            <w:r>
              <w:rPr>
                <w:rFonts w:ascii="宋体" w:hAnsi="宋体" w:eastAsia="宋体" w:cs="Times New Roman"/>
                <w:color w:val="auto"/>
              </w:rPr>
              <w:t>翼手目</w:t>
            </w:r>
          </w:p>
        </w:tc>
        <w:tc>
          <w:tcPr>
            <w:tcW w:w="443" w:type="pct"/>
            <w:shd w:val="clear" w:color="auto" w:fill="auto"/>
            <w:noWrap/>
            <w:vAlign w:val="center"/>
          </w:tcPr>
          <w:p w14:paraId="78FB93BC">
            <w:pPr>
              <w:jc w:val="center"/>
              <w:textAlignment w:val="center"/>
              <w:rPr>
                <w:rFonts w:ascii="宋体" w:hAnsi="宋体" w:eastAsia="宋体" w:cs="Times New Roman"/>
                <w:color w:val="auto"/>
              </w:rPr>
            </w:pPr>
            <w:r>
              <w:rPr>
                <w:rFonts w:ascii="宋体" w:hAnsi="宋体" w:eastAsia="宋体" w:cs="Times New Roman"/>
                <w:color w:val="auto"/>
              </w:rPr>
              <w:t>蝙蝠科</w:t>
            </w:r>
          </w:p>
        </w:tc>
        <w:tc>
          <w:tcPr>
            <w:tcW w:w="624" w:type="pct"/>
            <w:shd w:val="clear" w:color="auto" w:fill="auto"/>
            <w:noWrap/>
            <w:vAlign w:val="center"/>
          </w:tcPr>
          <w:p w14:paraId="665F996B">
            <w:pPr>
              <w:jc w:val="center"/>
              <w:rPr>
                <w:rFonts w:ascii="宋体" w:hAnsi="宋体" w:eastAsia="宋体" w:cs="Times New Roman"/>
                <w:color w:val="auto"/>
              </w:rPr>
            </w:pPr>
            <w:r>
              <w:rPr>
                <w:rFonts w:ascii="宋体" w:hAnsi="宋体" w:eastAsia="宋体" w:cs="Times New Roman"/>
                <w:color w:val="auto"/>
              </w:rPr>
              <w:t>普通蝙蝠</w:t>
            </w:r>
          </w:p>
        </w:tc>
        <w:tc>
          <w:tcPr>
            <w:tcW w:w="1170" w:type="pct"/>
            <w:shd w:val="clear" w:color="auto" w:fill="auto"/>
            <w:noWrap/>
            <w:vAlign w:val="center"/>
          </w:tcPr>
          <w:p w14:paraId="7C8D7D1A">
            <w:pPr>
              <w:jc w:val="center"/>
              <w:textAlignment w:val="center"/>
              <w:rPr>
                <w:rFonts w:ascii="宋体" w:hAnsi="宋体" w:eastAsia="宋体" w:cs="Times New Roman"/>
                <w:i/>
                <w:iCs/>
                <w:color w:val="auto"/>
              </w:rPr>
            </w:pPr>
            <w:r>
              <w:rPr>
                <w:rFonts w:ascii="宋体" w:hAnsi="宋体" w:eastAsia="宋体" w:cs="Times New Roman"/>
                <w:i/>
                <w:iCs/>
                <w:color w:val="auto"/>
              </w:rPr>
              <w:t>Vespertilio murinus</w:t>
            </w:r>
          </w:p>
        </w:tc>
        <w:tc>
          <w:tcPr>
            <w:tcW w:w="565" w:type="pct"/>
            <w:shd w:val="clear" w:color="auto" w:fill="auto"/>
            <w:noWrap/>
            <w:vAlign w:val="center"/>
          </w:tcPr>
          <w:p w14:paraId="5B05497A">
            <w:pPr>
              <w:jc w:val="center"/>
              <w:textAlignment w:val="center"/>
              <w:rPr>
                <w:rFonts w:ascii="宋体" w:hAnsi="宋体" w:eastAsia="宋体" w:cs="Times New Roman"/>
                <w:color w:val="auto"/>
              </w:rPr>
            </w:pPr>
            <w:r>
              <w:rPr>
                <w:rFonts w:ascii="宋体" w:hAnsi="宋体" w:eastAsia="宋体" w:cs="Times New Roman"/>
                <w:color w:val="auto"/>
              </w:rPr>
              <w:t>/</w:t>
            </w:r>
          </w:p>
        </w:tc>
        <w:tc>
          <w:tcPr>
            <w:tcW w:w="566" w:type="pct"/>
            <w:shd w:val="clear" w:color="auto" w:fill="auto"/>
            <w:noWrap/>
            <w:vAlign w:val="center"/>
          </w:tcPr>
          <w:p w14:paraId="74E0B10C">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6AF5107E">
            <w:pPr>
              <w:jc w:val="center"/>
              <w:textAlignment w:val="center"/>
              <w:rPr>
                <w:rFonts w:ascii="宋体" w:hAnsi="宋体" w:eastAsia="宋体" w:cs="Times New Roman"/>
                <w:color w:val="auto"/>
              </w:rPr>
            </w:pPr>
            <w:r>
              <w:rPr>
                <w:rFonts w:ascii="宋体" w:hAnsi="宋体" w:eastAsia="宋体" w:cs="Times New Roman"/>
                <w:color w:val="auto"/>
              </w:rPr>
              <w:t>否</w:t>
            </w:r>
          </w:p>
        </w:tc>
      </w:tr>
      <w:tr w14:paraId="4D0F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0752A1FC">
            <w:pPr>
              <w:jc w:val="center"/>
              <w:textAlignment w:val="center"/>
              <w:rPr>
                <w:rFonts w:ascii="宋体" w:hAnsi="宋体" w:eastAsia="宋体" w:cs="Times New Roman"/>
                <w:color w:val="auto"/>
              </w:rPr>
            </w:pPr>
            <w:r>
              <w:rPr>
                <w:rFonts w:ascii="宋体" w:hAnsi="宋体" w:eastAsia="宋体" w:cs="Times New Roman"/>
                <w:color w:val="auto"/>
              </w:rPr>
              <w:t>啮齿目</w:t>
            </w:r>
          </w:p>
        </w:tc>
        <w:tc>
          <w:tcPr>
            <w:tcW w:w="443" w:type="pct"/>
            <w:shd w:val="clear" w:color="auto" w:fill="auto"/>
            <w:noWrap/>
            <w:vAlign w:val="center"/>
          </w:tcPr>
          <w:p w14:paraId="081D0689">
            <w:pPr>
              <w:jc w:val="center"/>
              <w:textAlignment w:val="center"/>
              <w:rPr>
                <w:rFonts w:ascii="宋体" w:hAnsi="宋体" w:eastAsia="宋体" w:cs="Times New Roman"/>
                <w:color w:val="auto"/>
              </w:rPr>
            </w:pPr>
            <w:r>
              <w:rPr>
                <w:rFonts w:ascii="宋体" w:hAnsi="宋体" w:eastAsia="宋体" w:cs="Times New Roman"/>
                <w:color w:val="auto"/>
              </w:rPr>
              <w:t>松鼠科</w:t>
            </w:r>
          </w:p>
        </w:tc>
        <w:tc>
          <w:tcPr>
            <w:tcW w:w="624" w:type="pct"/>
            <w:shd w:val="clear" w:color="auto" w:fill="auto"/>
            <w:noWrap/>
            <w:vAlign w:val="center"/>
          </w:tcPr>
          <w:p w14:paraId="5C905BE8">
            <w:pPr>
              <w:jc w:val="center"/>
              <w:rPr>
                <w:rFonts w:ascii="宋体" w:hAnsi="宋体" w:eastAsia="宋体" w:cs="Times New Roman"/>
                <w:color w:val="auto"/>
              </w:rPr>
            </w:pPr>
            <w:r>
              <w:rPr>
                <w:rFonts w:ascii="宋体" w:hAnsi="宋体" w:eastAsia="宋体" w:cs="Times New Roman"/>
                <w:color w:val="auto"/>
              </w:rPr>
              <w:t>花鼠</w:t>
            </w:r>
          </w:p>
        </w:tc>
        <w:tc>
          <w:tcPr>
            <w:tcW w:w="1170" w:type="pct"/>
            <w:shd w:val="clear" w:color="auto" w:fill="auto"/>
            <w:noWrap/>
            <w:vAlign w:val="center"/>
          </w:tcPr>
          <w:p w14:paraId="2922BE95">
            <w:pPr>
              <w:jc w:val="center"/>
              <w:textAlignment w:val="center"/>
              <w:rPr>
                <w:rFonts w:ascii="宋体" w:hAnsi="宋体" w:eastAsia="宋体" w:cs="Times New Roman"/>
                <w:i/>
                <w:iCs/>
                <w:color w:val="auto"/>
              </w:rPr>
            </w:pPr>
            <w:r>
              <w:rPr>
                <w:rFonts w:ascii="宋体" w:hAnsi="宋体" w:eastAsia="宋体" w:cs="Times New Roman"/>
                <w:i/>
                <w:iCs/>
                <w:color w:val="auto"/>
              </w:rPr>
              <w:t>amias sibiricus</w:t>
            </w:r>
          </w:p>
        </w:tc>
        <w:tc>
          <w:tcPr>
            <w:tcW w:w="565" w:type="pct"/>
            <w:shd w:val="clear" w:color="auto" w:fill="auto"/>
            <w:noWrap/>
            <w:vAlign w:val="center"/>
          </w:tcPr>
          <w:p w14:paraId="34F611CD">
            <w:pPr>
              <w:jc w:val="center"/>
              <w:textAlignment w:val="center"/>
              <w:rPr>
                <w:rFonts w:ascii="宋体" w:hAnsi="宋体" w:eastAsia="宋体" w:cs="Times New Roman"/>
                <w:color w:val="auto"/>
              </w:rPr>
            </w:pPr>
            <w:r>
              <w:rPr>
                <w:rFonts w:ascii="宋体" w:hAnsi="宋体" w:eastAsia="宋体" w:cs="Times New Roman"/>
                <w:color w:val="auto"/>
              </w:rPr>
              <w:t>/</w:t>
            </w:r>
          </w:p>
        </w:tc>
        <w:tc>
          <w:tcPr>
            <w:tcW w:w="566" w:type="pct"/>
            <w:shd w:val="clear" w:color="auto" w:fill="auto"/>
            <w:noWrap/>
            <w:vAlign w:val="center"/>
          </w:tcPr>
          <w:p w14:paraId="5F15BDBD">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601CD473">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1171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58BDE3E7">
            <w:pPr>
              <w:jc w:val="center"/>
              <w:textAlignment w:val="center"/>
              <w:rPr>
                <w:rFonts w:ascii="宋体" w:hAnsi="宋体" w:eastAsia="宋体" w:cs="Times New Roman"/>
                <w:color w:val="auto"/>
              </w:rPr>
            </w:pPr>
            <w:r>
              <w:rPr>
                <w:rFonts w:ascii="宋体" w:hAnsi="宋体" w:eastAsia="宋体" w:cs="Times New Roman"/>
                <w:color w:val="auto"/>
              </w:rPr>
              <w:t>啮齿目</w:t>
            </w:r>
          </w:p>
        </w:tc>
        <w:tc>
          <w:tcPr>
            <w:tcW w:w="443" w:type="pct"/>
            <w:shd w:val="clear" w:color="auto" w:fill="auto"/>
            <w:noWrap/>
            <w:vAlign w:val="center"/>
          </w:tcPr>
          <w:p w14:paraId="07DD0444">
            <w:pPr>
              <w:jc w:val="center"/>
              <w:textAlignment w:val="center"/>
              <w:rPr>
                <w:rFonts w:ascii="宋体" w:hAnsi="宋体" w:eastAsia="宋体" w:cs="Times New Roman"/>
                <w:color w:val="auto"/>
              </w:rPr>
            </w:pPr>
            <w:r>
              <w:rPr>
                <w:rFonts w:ascii="宋体" w:hAnsi="宋体" w:eastAsia="宋体" w:cs="Times New Roman"/>
                <w:color w:val="auto"/>
              </w:rPr>
              <w:t>鼠科</w:t>
            </w:r>
          </w:p>
        </w:tc>
        <w:tc>
          <w:tcPr>
            <w:tcW w:w="624" w:type="pct"/>
            <w:shd w:val="clear" w:color="auto" w:fill="auto"/>
            <w:noWrap/>
            <w:vAlign w:val="center"/>
          </w:tcPr>
          <w:p w14:paraId="44F95508">
            <w:pPr>
              <w:jc w:val="center"/>
              <w:rPr>
                <w:rFonts w:ascii="宋体" w:hAnsi="宋体" w:eastAsia="宋体" w:cs="Times New Roman"/>
                <w:color w:val="auto"/>
              </w:rPr>
            </w:pPr>
            <w:r>
              <w:rPr>
                <w:rFonts w:ascii="宋体" w:hAnsi="宋体" w:eastAsia="宋体" w:cs="Times New Roman"/>
                <w:color w:val="auto"/>
              </w:rPr>
              <w:t>大林姬鼠</w:t>
            </w:r>
          </w:p>
        </w:tc>
        <w:tc>
          <w:tcPr>
            <w:tcW w:w="1170" w:type="pct"/>
            <w:shd w:val="clear" w:color="auto" w:fill="auto"/>
            <w:noWrap/>
            <w:vAlign w:val="center"/>
          </w:tcPr>
          <w:p w14:paraId="2C3FF3D1">
            <w:pPr>
              <w:jc w:val="center"/>
              <w:textAlignment w:val="center"/>
              <w:rPr>
                <w:rFonts w:ascii="宋体" w:hAnsi="宋体" w:eastAsia="宋体" w:cs="Times New Roman"/>
                <w:i/>
                <w:iCs/>
                <w:color w:val="auto"/>
              </w:rPr>
            </w:pPr>
            <w:r>
              <w:rPr>
                <w:rFonts w:ascii="宋体" w:hAnsi="宋体" w:eastAsia="宋体" w:cs="Times New Roman"/>
                <w:i/>
                <w:iCs/>
                <w:color w:val="auto"/>
              </w:rPr>
              <w:t>Apodemus peninsulae</w:t>
            </w:r>
          </w:p>
        </w:tc>
        <w:tc>
          <w:tcPr>
            <w:tcW w:w="565" w:type="pct"/>
            <w:shd w:val="clear" w:color="auto" w:fill="auto"/>
            <w:noWrap/>
            <w:vAlign w:val="center"/>
          </w:tcPr>
          <w:p w14:paraId="2C795F96">
            <w:pPr>
              <w:jc w:val="center"/>
              <w:textAlignment w:val="center"/>
              <w:rPr>
                <w:rFonts w:ascii="宋体" w:hAnsi="宋体" w:eastAsia="宋体" w:cs="Times New Roman"/>
                <w:color w:val="auto"/>
              </w:rPr>
            </w:pPr>
            <w:r>
              <w:rPr>
                <w:rFonts w:ascii="宋体" w:hAnsi="宋体" w:eastAsia="宋体" w:cs="Times New Roman"/>
                <w:color w:val="auto"/>
              </w:rPr>
              <w:t>/</w:t>
            </w:r>
          </w:p>
        </w:tc>
        <w:tc>
          <w:tcPr>
            <w:tcW w:w="566" w:type="pct"/>
            <w:shd w:val="clear" w:color="auto" w:fill="auto"/>
            <w:noWrap/>
            <w:vAlign w:val="center"/>
          </w:tcPr>
          <w:p w14:paraId="4754BBFB">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18BC78C2">
            <w:pPr>
              <w:jc w:val="center"/>
              <w:textAlignment w:val="center"/>
              <w:rPr>
                <w:rFonts w:ascii="宋体" w:hAnsi="宋体" w:eastAsia="宋体" w:cs="Times New Roman"/>
                <w:color w:val="auto"/>
              </w:rPr>
            </w:pPr>
            <w:r>
              <w:rPr>
                <w:rFonts w:ascii="宋体" w:hAnsi="宋体" w:eastAsia="宋体" w:cs="Times New Roman"/>
                <w:color w:val="auto"/>
              </w:rPr>
              <w:t>否</w:t>
            </w:r>
          </w:p>
        </w:tc>
      </w:tr>
      <w:tr w14:paraId="6017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46507E40">
            <w:pPr>
              <w:jc w:val="center"/>
              <w:textAlignment w:val="center"/>
              <w:rPr>
                <w:rFonts w:ascii="宋体" w:hAnsi="宋体" w:eastAsia="宋体" w:cs="Times New Roman"/>
                <w:color w:val="auto"/>
              </w:rPr>
            </w:pPr>
            <w:r>
              <w:rPr>
                <w:rFonts w:ascii="宋体" w:hAnsi="宋体" w:eastAsia="宋体" w:cs="Times New Roman"/>
                <w:color w:val="auto"/>
              </w:rPr>
              <w:t>啮齿目</w:t>
            </w:r>
          </w:p>
        </w:tc>
        <w:tc>
          <w:tcPr>
            <w:tcW w:w="443" w:type="pct"/>
            <w:shd w:val="clear" w:color="auto" w:fill="auto"/>
            <w:noWrap/>
            <w:vAlign w:val="center"/>
          </w:tcPr>
          <w:p w14:paraId="19083C69">
            <w:pPr>
              <w:jc w:val="center"/>
              <w:textAlignment w:val="center"/>
              <w:rPr>
                <w:rFonts w:ascii="宋体" w:hAnsi="宋体" w:eastAsia="宋体" w:cs="Times New Roman"/>
                <w:color w:val="auto"/>
              </w:rPr>
            </w:pPr>
            <w:r>
              <w:rPr>
                <w:rFonts w:ascii="宋体" w:hAnsi="宋体" w:eastAsia="宋体" w:cs="Times New Roman"/>
                <w:color w:val="auto"/>
              </w:rPr>
              <w:t>鼠科</w:t>
            </w:r>
          </w:p>
        </w:tc>
        <w:tc>
          <w:tcPr>
            <w:tcW w:w="624" w:type="pct"/>
            <w:shd w:val="clear" w:color="auto" w:fill="auto"/>
            <w:noWrap/>
            <w:vAlign w:val="center"/>
          </w:tcPr>
          <w:p w14:paraId="6C0255D8">
            <w:pPr>
              <w:jc w:val="center"/>
              <w:rPr>
                <w:rFonts w:ascii="宋体" w:hAnsi="宋体" w:eastAsia="宋体" w:cs="Times New Roman"/>
                <w:color w:val="auto"/>
              </w:rPr>
            </w:pPr>
            <w:r>
              <w:rPr>
                <w:rFonts w:ascii="宋体" w:hAnsi="宋体" w:eastAsia="宋体" w:cs="Times New Roman"/>
                <w:color w:val="auto"/>
              </w:rPr>
              <w:t>褐家鼠</w:t>
            </w:r>
          </w:p>
        </w:tc>
        <w:tc>
          <w:tcPr>
            <w:tcW w:w="1170" w:type="pct"/>
            <w:shd w:val="clear" w:color="auto" w:fill="auto"/>
            <w:noWrap/>
            <w:vAlign w:val="center"/>
          </w:tcPr>
          <w:p w14:paraId="30A4272C">
            <w:pPr>
              <w:jc w:val="center"/>
              <w:textAlignment w:val="center"/>
              <w:rPr>
                <w:rFonts w:ascii="宋体" w:hAnsi="宋体" w:eastAsia="宋体" w:cs="Times New Roman"/>
                <w:i/>
                <w:iCs/>
                <w:color w:val="auto"/>
              </w:rPr>
            </w:pPr>
            <w:r>
              <w:rPr>
                <w:rFonts w:ascii="宋体" w:hAnsi="宋体" w:eastAsia="宋体" w:cs="Times New Roman"/>
                <w:i/>
                <w:iCs/>
                <w:color w:val="auto"/>
              </w:rPr>
              <w:t>Rattus norvegicus</w:t>
            </w:r>
          </w:p>
        </w:tc>
        <w:tc>
          <w:tcPr>
            <w:tcW w:w="565" w:type="pct"/>
            <w:shd w:val="clear" w:color="auto" w:fill="auto"/>
            <w:noWrap/>
            <w:vAlign w:val="center"/>
          </w:tcPr>
          <w:p w14:paraId="247F8573">
            <w:pPr>
              <w:jc w:val="center"/>
              <w:textAlignment w:val="center"/>
              <w:rPr>
                <w:rFonts w:ascii="宋体" w:hAnsi="宋体" w:eastAsia="宋体" w:cs="Times New Roman"/>
                <w:color w:val="auto"/>
              </w:rPr>
            </w:pPr>
            <w:r>
              <w:rPr>
                <w:rFonts w:ascii="宋体" w:hAnsi="宋体" w:eastAsia="宋体" w:cs="Times New Roman"/>
                <w:color w:val="auto"/>
              </w:rPr>
              <w:t>/</w:t>
            </w:r>
          </w:p>
        </w:tc>
        <w:tc>
          <w:tcPr>
            <w:tcW w:w="566" w:type="pct"/>
            <w:shd w:val="clear" w:color="auto" w:fill="auto"/>
            <w:noWrap/>
            <w:vAlign w:val="center"/>
          </w:tcPr>
          <w:p w14:paraId="4B2F44AC">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6F6A67A7">
            <w:pPr>
              <w:jc w:val="center"/>
              <w:textAlignment w:val="center"/>
              <w:rPr>
                <w:rFonts w:ascii="宋体" w:hAnsi="宋体" w:eastAsia="宋体" w:cs="Times New Roman"/>
                <w:color w:val="auto"/>
              </w:rPr>
            </w:pPr>
            <w:r>
              <w:rPr>
                <w:rFonts w:ascii="宋体" w:hAnsi="宋体" w:eastAsia="宋体" w:cs="Times New Roman"/>
                <w:color w:val="auto"/>
              </w:rPr>
              <w:t>否</w:t>
            </w:r>
          </w:p>
        </w:tc>
      </w:tr>
      <w:tr w14:paraId="3282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7C75C0D4">
            <w:pPr>
              <w:jc w:val="center"/>
              <w:textAlignment w:val="center"/>
              <w:rPr>
                <w:rFonts w:ascii="宋体" w:hAnsi="宋体" w:eastAsia="宋体" w:cs="Times New Roman"/>
                <w:color w:val="auto"/>
              </w:rPr>
            </w:pPr>
            <w:r>
              <w:rPr>
                <w:rFonts w:ascii="宋体" w:hAnsi="宋体" w:eastAsia="宋体" w:cs="Times New Roman"/>
                <w:color w:val="auto"/>
              </w:rPr>
              <w:t>啮齿目</w:t>
            </w:r>
          </w:p>
        </w:tc>
        <w:tc>
          <w:tcPr>
            <w:tcW w:w="443" w:type="pct"/>
            <w:shd w:val="clear" w:color="auto" w:fill="auto"/>
            <w:noWrap/>
            <w:vAlign w:val="center"/>
          </w:tcPr>
          <w:p w14:paraId="4C738D89">
            <w:pPr>
              <w:jc w:val="center"/>
              <w:textAlignment w:val="center"/>
              <w:rPr>
                <w:rFonts w:ascii="宋体" w:hAnsi="宋体" w:eastAsia="宋体" w:cs="Times New Roman"/>
                <w:color w:val="auto"/>
              </w:rPr>
            </w:pPr>
            <w:r>
              <w:rPr>
                <w:rFonts w:ascii="宋体" w:hAnsi="宋体" w:eastAsia="宋体" w:cs="Times New Roman"/>
                <w:color w:val="auto"/>
              </w:rPr>
              <w:t>鼠科</w:t>
            </w:r>
          </w:p>
        </w:tc>
        <w:tc>
          <w:tcPr>
            <w:tcW w:w="624" w:type="pct"/>
            <w:shd w:val="clear" w:color="auto" w:fill="auto"/>
            <w:noWrap/>
            <w:vAlign w:val="center"/>
          </w:tcPr>
          <w:p w14:paraId="080998D0">
            <w:pPr>
              <w:jc w:val="center"/>
              <w:rPr>
                <w:rFonts w:ascii="宋体" w:hAnsi="宋体" w:eastAsia="宋体" w:cs="Times New Roman"/>
                <w:color w:val="auto"/>
              </w:rPr>
            </w:pPr>
            <w:r>
              <w:rPr>
                <w:rFonts w:ascii="宋体" w:hAnsi="宋体" w:eastAsia="宋体" w:cs="Times New Roman"/>
                <w:color w:val="auto"/>
              </w:rPr>
              <w:t>小家鼠</w:t>
            </w:r>
          </w:p>
        </w:tc>
        <w:tc>
          <w:tcPr>
            <w:tcW w:w="1170" w:type="pct"/>
            <w:shd w:val="clear" w:color="auto" w:fill="auto"/>
            <w:noWrap/>
            <w:vAlign w:val="center"/>
          </w:tcPr>
          <w:p w14:paraId="73382772">
            <w:pPr>
              <w:jc w:val="center"/>
              <w:textAlignment w:val="center"/>
              <w:rPr>
                <w:rFonts w:ascii="宋体" w:hAnsi="宋体" w:eastAsia="宋体" w:cs="Times New Roman"/>
                <w:i/>
                <w:iCs/>
                <w:color w:val="auto"/>
              </w:rPr>
            </w:pPr>
            <w:r>
              <w:rPr>
                <w:rFonts w:ascii="宋体" w:hAnsi="宋体" w:eastAsia="宋体" w:cs="Times New Roman"/>
                <w:i/>
                <w:iCs/>
                <w:color w:val="auto"/>
              </w:rPr>
              <w:t>Mus musculus</w:t>
            </w:r>
          </w:p>
        </w:tc>
        <w:tc>
          <w:tcPr>
            <w:tcW w:w="565" w:type="pct"/>
            <w:shd w:val="clear" w:color="auto" w:fill="auto"/>
            <w:noWrap/>
            <w:vAlign w:val="center"/>
          </w:tcPr>
          <w:p w14:paraId="4C4E2FFB">
            <w:pPr>
              <w:jc w:val="center"/>
              <w:textAlignment w:val="center"/>
              <w:rPr>
                <w:rFonts w:ascii="宋体" w:hAnsi="宋体" w:eastAsia="宋体" w:cs="Times New Roman"/>
                <w:color w:val="auto"/>
              </w:rPr>
            </w:pPr>
            <w:r>
              <w:rPr>
                <w:rFonts w:ascii="宋体" w:hAnsi="宋体" w:eastAsia="宋体" w:cs="Times New Roman"/>
                <w:color w:val="auto"/>
              </w:rPr>
              <w:t>/</w:t>
            </w:r>
          </w:p>
        </w:tc>
        <w:tc>
          <w:tcPr>
            <w:tcW w:w="566" w:type="pct"/>
            <w:shd w:val="clear" w:color="auto" w:fill="auto"/>
            <w:noWrap/>
            <w:vAlign w:val="center"/>
          </w:tcPr>
          <w:p w14:paraId="6E939BDA">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2FCEFB13">
            <w:pPr>
              <w:jc w:val="center"/>
              <w:textAlignment w:val="center"/>
              <w:rPr>
                <w:rFonts w:ascii="宋体" w:hAnsi="宋体" w:eastAsia="宋体" w:cs="Times New Roman"/>
                <w:color w:val="auto"/>
              </w:rPr>
            </w:pPr>
            <w:r>
              <w:rPr>
                <w:rFonts w:ascii="宋体" w:hAnsi="宋体" w:eastAsia="宋体" w:cs="Times New Roman"/>
                <w:color w:val="auto"/>
              </w:rPr>
              <w:t>否</w:t>
            </w:r>
          </w:p>
        </w:tc>
      </w:tr>
      <w:tr w14:paraId="7277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5EC82DF9">
            <w:pPr>
              <w:jc w:val="center"/>
              <w:textAlignment w:val="center"/>
              <w:rPr>
                <w:rFonts w:ascii="宋体" w:hAnsi="宋体" w:eastAsia="宋体" w:cs="Times New Roman"/>
                <w:color w:val="auto"/>
              </w:rPr>
            </w:pPr>
            <w:r>
              <w:rPr>
                <w:rFonts w:ascii="宋体" w:hAnsi="宋体" w:eastAsia="宋体" w:cs="Times New Roman"/>
                <w:color w:val="auto"/>
              </w:rPr>
              <w:t>两栖纲</w:t>
            </w:r>
          </w:p>
        </w:tc>
        <w:tc>
          <w:tcPr>
            <w:tcW w:w="443" w:type="pct"/>
            <w:shd w:val="clear" w:color="auto" w:fill="auto"/>
            <w:noWrap/>
            <w:vAlign w:val="center"/>
          </w:tcPr>
          <w:p w14:paraId="4098A16B">
            <w:pPr>
              <w:jc w:val="center"/>
              <w:textAlignment w:val="center"/>
              <w:rPr>
                <w:rFonts w:ascii="宋体" w:hAnsi="宋体" w:eastAsia="宋体" w:cs="Times New Roman"/>
                <w:color w:val="auto"/>
              </w:rPr>
            </w:pPr>
          </w:p>
        </w:tc>
        <w:tc>
          <w:tcPr>
            <w:tcW w:w="624" w:type="pct"/>
            <w:shd w:val="clear" w:color="auto" w:fill="auto"/>
            <w:noWrap/>
            <w:vAlign w:val="center"/>
          </w:tcPr>
          <w:p w14:paraId="3A75584B">
            <w:pPr>
              <w:jc w:val="center"/>
              <w:rPr>
                <w:rFonts w:ascii="宋体" w:hAnsi="宋体" w:eastAsia="宋体" w:cs="Times New Roman"/>
                <w:color w:val="auto"/>
              </w:rPr>
            </w:pPr>
          </w:p>
        </w:tc>
        <w:tc>
          <w:tcPr>
            <w:tcW w:w="1170" w:type="pct"/>
            <w:shd w:val="clear" w:color="auto" w:fill="auto"/>
            <w:noWrap/>
            <w:vAlign w:val="center"/>
          </w:tcPr>
          <w:p w14:paraId="42C90798">
            <w:pPr>
              <w:jc w:val="center"/>
              <w:textAlignment w:val="center"/>
              <w:rPr>
                <w:rFonts w:ascii="宋体" w:hAnsi="宋体" w:eastAsia="宋体" w:cs="Times New Roman"/>
                <w:i/>
                <w:iCs/>
                <w:color w:val="auto"/>
              </w:rPr>
            </w:pPr>
          </w:p>
        </w:tc>
        <w:tc>
          <w:tcPr>
            <w:tcW w:w="565" w:type="pct"/>
            <w:shd w:val="clear" w:color="auto" w:fill="auto"/>
            <w:noWrap/>
            <w:vAlign w:val="center"/>
          </w:tcPr>
          <w:p w14:paraId="35351D99">
            <w:pPr>
              <w:jc w:val="center"/>
              <w:textAlignment w:val="center"/>
              <w:rPr>
                <w:rFonts w:ascii="宋体" w:hAnsi="宋体" w:eastAsia="宋体" w:cs="Times New Roman"/>
                <w:color w:val="auto"/>
              </w:rPr>
            </w:pPr>
          </w:p>
        </w:tc>
        <w:tc>
          <w:tcPr>
            <w:tcW w:w="566" w:type="pct"/>
            <w:shd w:val="clear" w:color="auto" w:fill="auto"/>
            <w:noWrap/>
            <w:vAlign w:val="center"/>
          </w:tcPr>
          <w:p w14:paraId="51BD4615">
            <w:pPr>
              <w:jc w:val="center"/>
              <w:textAlignment w:val="center"/>
              <w:rPr>
                <w:rFonts w:ascii="宋体" w:hAnsi="宋体" w:eastAsia="宋体" w:cs="Times New Roman"/>
                <w:color w:val="auto"/>
              </w:rPr>
            </w:pPr>
          </w:p>
        </w:tc>
        <w:tc>
          <w:tcPr>
            <w:tcW w:w="1007" w:type="pct"/>
            <w:shd w:val="clear" w:color="auto" w:fill="auto"/>
            <w:noWrap/>
            <w:vAlign w:val="center"/>
          </w:tcPr>
          <w:p w14:paraId="653662C0">
            <w:pPr>
              <w:jc w:val="center"/>
              <w:textAlignment w:val="center"/>
              <w:rPr>
                <w:rFonts w:ascii="宋体" w:hAnsi="宋体" w:eastAsia="宋体" w:cs="Times New Roman"/>
                <w:color w:val="auto"/>
              </w:rPr>
            </w:pPr>
          </w:p>
        </w:tc>
      </w:tr>
      <w:tr w14:paraId="5F3B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6794F1BA">
            <w:pPr>
              <w:jc w:val="center"/>
              <w:textAlignment w:val="center"/>
              <w:rPr>
                <w:rFonts w:ascii="宋体" w:hAnsi="宋体" w:eastAsia="宋体" w:cs="Times New Roman"/>
                <w:color w:val="auto"/>
              </w:rPr>
            </w:pPr>
            <w:r>
              <w:rPr>
                <w:rFonts w:ascii="宋体" w:hAnsi="宋体" w:eastAsia="宋体" w:cs="Times New Roman"/>
                <w:color w:val="auto"/>
              </w:rPr>
              <w:t>无尾目</w:t>
            </w:r>
          </w:p>
        </w:tc>
        <w:tc>
          <w:tcPr>
            <w:tcW w:w="443" w:type="pct"/>
            <w:shd w:val="clear" w:color="auto" w:fill="auto"/>
            <w:noWrap/>
            <w:vAlign w:val="center"/>
          </w:tcPr>
          <w:p w14:paraId="580A5219">
            <w:pPr>
              <w:jc w:val="center"/>
              <w:textAlignment w:val="center"/>
              <w:rPr>
                <w:rFonts w:ascii="宋体" w:hAnsi="宋体" w:eastAsia="宋体" w:cs="Times New Roman"/>
                <w:color w:val="auto"/>
              </w:rPr>
            </w:pPr>
            <w:r>
              <w:rPr>
                <w:rFonts w:ascii="宋体" w:hAnsi="宋体" w:eastAsia="宋体" w:cs="Times New Roman"/>
                <w:color w:val="auto"/>
              </w:rPr>
              <w:t>蟾蜍科</w:t>
            </w:r>
          </w:p>
        </w:tc>
        <w:tc>
          <w:tcPr>
            <w:tcW w:w="624" w:type="pct"/>
            <w:shd w:val="clear" w:color="auto" w:fill="auto"/>
            <w:noWrap/>
            <w:vAlign w:val="center"/>
          </w:tcPr>
          <w:p w14:paraId="1EFC67A5">
            <w:pPr>
              <w:jc w:val="center"/>
              <w:rPr>
                <w:rFonts w:ascii="宋体" w:hAnsi="宋体" w:eastAsia="宋体" w:cs="Times New Roman"/>
                <w:color w:val="auto"/>
              </w:rPr>
            </w:pPr>
            <w:r>
              <w:rPr>
                <w:rFonts w:ascii="宋体" w:hAnsi="宋体" w:eastAsia="宋体" w:cs="Times New Roman"/>
                <w:color w:val="auto"/>
              </w:rPr>
              <w:t>中华蟾蜍</w:t>
            </w:r>
          </w:p>
        </w:tc>
        <w:tc>
          <w:tcPr>
            <w:tcW w:w="1170" w:type="pct"/>
            <w:shd w:val="clear" w:color="auto" w:fill="auto"/>
            <w:noWrap/>
            <w:vAlign w:val="center"/>
          </w:tcPr>
          <w:p w14:paraId="5420E142">
            <w:pPr>
              <w:jc w:val="center"/>
              <w:textAlignment w:val="center"/>
              <w:rPr>
                <w:rFonts w:ascii="宋体" w:hAnsi="宋体" w:eastAsia="宋体" w:cs="Times New Roman"/>
                <w:i/>
                <w:iCs/>
                <w:color w:val="auto"/>
              </w:rPr>
            </w:pPr>
            <w:r>
              <w:rPr>
                <w:rFonts w:ascii="宋体" w:hAnsi="宋体" w:eastAsia="宋体" w:cs="Times New Roman"/>
                <w:i/>
                <w:iCs/>
                <w:color w:val="auto"/>
              </w:rPr>
              <w:t>Bufo gargarizans</w:t>
            </w:r>
          </w:p>
        </w:tc>
        <w:tc>
          <w:tcPr>
            <w:tcW w:w="565" w:type="pct"/>
            <w:shd w:val="clear" w:color="auto" w:fill="auto"/>
            <w:noWrap/>
            <w:vAlign w:val="center"/>
          </w:tcPr>
          <w:p w14:paraId="0C6E8349">
            <w:pPr>
              <w:jc w:val="center"/>
              <w:textAlignment w:val="center"/>
              <w:rPr>
                <w:rFonts w:ascii="宋体" w:hAnsi="宋体" w:eastAsia="宋体" w:cs="Times New Roman"/>
                <w:color w:val="auto"/>
              </w:rPr>
            </w:pPr>
            <w:r>
              <w:rPr>
                <w:rFonts w:ascii="宋体" w:hAnsi="宋体" w:eastAsia="宋体" w:cs="Times New Roman"/>
                <w:color w:val="auto"/>
              </w:rPr>
              <w:t>/</w:t>
            </w:r>
          </w:p>
        </w:tc>
        <w:tc>
          <w:tcPr>
            <w:tcW w:w="566" w:type="pct"/>
            <w:shd w:val="clear" w:color="auto" w:fill="auto"/>
            <w:noWrap/>
            <w:vAlign w:val="center"/>
          </w:tcPr>
          <w:p w14:paraId="06AF46FD">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0D43059F">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74DB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018FBB07">
            <w:pPr>
              <w:jc w:val="center"/>
              <w:textAlignment w:val="center"/>
              <w:rPr>
                <w:rFonts w:ascii="宋体" w:hAnsi="宋体" w:eastAsia="宋体" w:cs="Times New Roman"/>
                <w:color w:val="auto"/>
              </w:rPr>
            </w:pPr>
            <w:r>
              <w:rPr>
                <w:rFonts w:ascii="宋体" w:hAnsi="宋体" w:eastAsia="宋体" w:cs="Times New Roman"/>
                <w:color w:val="auto"/>
              </w:rPr>
              <w:t>无尾目</w:t>
            </w:r>
          </w:p>
        </w:tc>
        <w:tc>
          <w:tcPr>
            <w:tcW w:w="443" w:type="pct"/>
            <w:shd w:val="clear" w:color="auto" w:fill="auto"/>
            <w:noWrap/>
            <w:vAlign w:val="center"/>
          </w:tcPr>
          <w:p w14:paraId="0206ACED">
            <w:pPr>
              <w:jc w:val="center"/>
              <w:textAlignment w:val="center"/>
              <w:rPr>
                <w:rFonts w:ascii="宋体" w:hAnsi="宋体" w:eastAsia="宋体" w:cs="Times New Roman"/>
                <w:color w:val="auto"/>
              </w:rPr>
            </w:pPr>
            <w:r>
              <w:rPr>
                <w:rFonts w:ascii="宋体" w:hAnsi="宋体" w:eastAsia="宋体" w:cs="Times New Roman"/>
                <w:color w:val="auto"/>
              </w:rPr>
              <w:t>蟾蜍科</w:t>
            </w:r>
          </w:p>
        </w:tc>
        <w:tc>
          <w:tcPr>
            <w:tcW w:w="624" w:type="pct"/>
            <w:shd w:val="clear" w:color="auto" w:fill="auto"/>
            <w:noWrap/>
            <w:vAlign w:val="center"/>
          </w:tcPr>
          <w:p w14:paraId="5524A81C">
            <w:pPr>
              <w:jc w:val="center"/>
              <w:rPr>
                <w:rFonts w:ascii="宋体" w:hAnsi="宋体" w:eastAsia="宋体" w:cs="Times New Roman"/>
                <w:color w:val="auto"/>
              </w:rPr>
            </w:pPr>
            <w:r>
              <w:rPr>
                <w:rFonts w:ascii="宋体" w:hAnsi="宋体" w:eastAsia="宋体" w:cs="Times New Roman"/>
                <w:color w:val="auto"/>
              </w:rPr>
              <w:t>花背蟾蜍</w:t>
            </w:r>
          </w:p>
        </w:tc>
        <w:tc>
          <w:tcPr>
            <w:tcW w:w="1170" w:type="pct"/>
            <w:shd w:val="clear" w:color="auto" w:fill="auto"/>
            <w:noWrap/>
            <w:vAlign w:val="center"/>
          </w:tcPr>
          <w:p w14:paraId="7A521F5B">
            <w:pPr>
              <w:jc w:val="center"/>
              <w:textAlignment w:val="center"/>
              <w:rPr>
                <w:rFonts w:ascii="宋体" w:hAnsi="宋体" w:eastAsia="宋体" w:cs="Times New Roman"/>
                <w:i/>
                <w:iCs/>
                <w:color w:val="auto"/>
              </w:rPr>
            </w:pPr>
            <w:r>
              <w:rPr>
                <w:rFonts w:ascii="宋体" w:hAnsi="宋体" w:eastAsia="宋体" w:cs="Times New Roman"/>
                <w:i/>
                <w:iCs/>
                <w:color w:val="auto"/>
              </w:rPr>
              <w:t>Strauchbufo raddei</w:t>
            </w:r>
          </w:p>
        </w:tc>
        <w:tc>
          <w:tcPr>
            <w:tcW w:w="565" w:type="pct"/>
            <w:shd w:val="clear" w:color="auto" w:fill="auto"/>
            <w:noWrap/>
            <w:vAlign w:val="center"/>
          </w:tcPr>
          <w:p w14:paraId="3B89EE34">
            <w:pPr>
              <w:jc w:val="center"/>
              <w:textAlignment w:val="center"/>
              <w:rPr>
                <w:rFonts w:ascii="宋体" w:hAnsi="宋体" w:eastAsia="宋体" w:cs="Times New Roman"/>
                <w:color w:val="auto"/>
              </w:rPr>
            </w:pPr>
            <w:r>
              <w:rPr>
                <w:rFonts w:ascii="宋体" w:hAnsi="宋体" w:eastAsia="宋体" w:cs="Times New Roman"/>
                <w:color w:val="auto"/>
              </w:rPr>
              <w:t>/</w:t>
            </w:r>
          </w:p>
        </w:tc>
        <w:tc>
          <w:tcPr>
            <w:tcW w:w="566" w:type="pct"/>
            <w:shd w:val="clear" w:color="auto" w:fill="auto"/>
            <w:noWrap/>
            <w:vAlign w:val="center"/>
          </w:tcPr>
          <w:p w14:paraId="35841C61">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284186C3">
            <w:pPr>
              <w:jc w:val="center"/>
              <w:textAlignment w:val="center"/>
              <w:rPr>
                <w:rFonts w:ascii="宋体" w:hAnsi="宋体" w:eastAsia="宋体" w:cs="Times New Roman"/>
                <w:color w:val="auto"/>
              </w:rPr>
            </w:pPr>
            <w:r>
              <w:rPr>
                <w:rFonts w:ascii="宋体" w:hAnsi="宋体" w:eastAsia="宋体" w:cs="Times New Roman"/>
                <w:color w:val="auto"/>
              </w:rPr>
              <w:t>是</w:t>
            </w:r>
          </w:p>
        </w:tc>
      </w:tr>
      <w:tr w14:paraId="15C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2B53BDB7">
            <w:pPr>
              <w:jc w:val="center"/>
              <w:textAlignment w:val="center"/>
              <w:rPr>
                <w:rFonts w:ascii="宋体" w:hAnsi="宋体" w:eastAsia="宋体" w:cs="Times New Roman"/>
                <w:color w:val="auto"/>
              </w:rPr>
            </w:pPr>
            <w:r>
              <w:rPr>
                <w:rFonts w:ascii="宋体" w:hAnsi="宋体" w:eastAsia="宋体" w:cs="Times New Roman"/>
                <w:color w:val="auto"/>
              </w:rPr>
              <w:t>无尾目</w:t>
            </w:r>
          </w:p>
        </w:tc>
        <w:tc>
          <w:tcPr>
            <w:tcW w:w="443" w:type="pct"/>
            <w:shd w:val="clear" w:color="auto" w:fill="auto"/>
            <w:noWrap/>
            <w:vAlign w:val="center"/>
          </w:tcPr>
          <w:p w14:paraId="46A1E0A2">
            <w:pPr>
              <w:jc w:val="center"/>
              <w:textAlignment w:val="center"/>
              <w:rPr>
                <w:rFonts w:ascii="宋体" w:hAnsi="宋体" w:eastAsia="宋体" w:cs="Times New Roman"/>
                <w:color w:val="auto"/>
              </w:rPr>
            </w:pPr>
            <w:r>
              <w:rPr>
                <w:rFonts w:ascii="宋体" w:hAnsi="宋体" w:eastAsia="宋体" w:cs="Times New Roman"/>
                <w:color w:val="auto"/>
              </w:rPr>
              <w:t>蛙科</w:t>
            </w:r>
          </w:p>
        </w:tc>
        <w:tc>
          <w:tcPr>
            <w:tcW w:w="624" w:type="pct"/>
            <w:shd w:val="clear" w:color="auto" w:fill="auto"/>
            <w:noWrap/>
            <w:vAlign w:val="center"/>
          </w:tcPr>
          <w:p w14:paraId="4B3387CF">
            <w:pPr>
              <w:jc w:val="center"/>
              <w:rPr>
                <w:rFonts w:ascii="宋体" w:hAnsi="宋体" w:eastAsia="宋体" w:cs="Times New Roman"/>
                <w:color w:val="auto"/>
              </w:rPr>
            </w:pPr>
            <w:r>
              <w:rPr>
                <w:rFonts w:ascii="宋体" w:hAnsi="宋体" w:eastAsia="宋体" w:cs="Times New Roman"/>
                <w:color w:val="auto"/>
              </w:rPr>
              <w:t>黑龙江林蛙</w:t>
            </w:r>
          </w:p>
        </w:tc>
        <w:tc>
          <w:tcPr>
            <w:tcW w:w="1170" w:type="pct"/>
            <w:shd w:val="clear" w:color="auto" w:fill="auto"/>
            <w:noWrap/>
            <w:vAlign w:val="center"/>
          </w:tcPr>
          <w:p w14:paraId="12EDEBB1">
            <w:pPr>
              <w:jc w:val="center"/>
              <w:textAlignment w:val="center"/>
              <w:rPr>
                <w:rFonts w:ascii="宋体" w:hAnsi="宋体" w:eastAsia="宋体" w:cs="Times New Roman"/>
                <w:i/>
                <w:iCs/>
                <w:color w:val="auto"/>
              </w:rPr>
            </w:pPr>
            <w:r>
              <w:rPr>
                <w:rFonts w:ascii="宋体" w:hAnsi="宋体" w:eastAsia="宋体" w:cs="Times New Roman"/>
                <w:i/>
                <w:iCs/>
                <w:color w:val="auto"/>
              </w:rPr>
              <w:t>Rana amurensis</w:t>
            </w:r>
          </w:p>
        </w:tc>
        <w:tc>
          <w:tcPr>
            <w:tcW w:w="565" w:type="pct"/>
            <w:shd w:val="clear" w:color="auto" w:fill="auto"/>
            <w:noWrap/>
            <w:vAlign w:val="center"/>
          </w:tcPr>
          <w:p w14:paraId="4C779076">
            <w:pPr>
              <w:jc w:val="center"/>
              <w:textAlignment w:val="center"/>
              <w:rPr>
                <w:rFonts w:ascii="宋体" w:hAnsi="宋体" w:eastAsia="宋体" w:cs="Times New Roman"/>
                <w:color w:val="auto"/>
              </w:rPr>
            </w:pPr>
            <w:r>
              <w:rPr>
                <w:rFonts w:ascii="宋体" w:hAnsi="宋体" w:eastAsia="宋体" w:cs="Times New Roman"/>
                <w:color w:val="auto"/>
              </w:rPr>
              <w:t>/</w:t>
            </w:r>
          </w:p>
        </w:tc>
        <w:tc>
          <w:tcPr>
            <w:tcW w:w="566" w:type="pct"/>
            <w:shd w:val="clear" w:color="auto" w:fill="auto"/>
            <w:noWrap/>
            <w:vAlign w:val="center"/>
          </w:tcPr>
          <w:p w14:paraId="21EDCA52">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3A778242">
            <w:pPr>
              <w:jc w:val="center"/>
              <w:textAlignment w:val="center"/>
              <w:rPr>
                <w:rFonts w:ascii="宋体" w:hAnsi="宋体" w:eastAsia="宋体" w:cs="Times New Roman"/>
                <w:color w:val="auto"/>
              </w:rPr>
            </w:pPr>
            <w:r>
              <w:rPr>
                <w:rFonts w:ascii="宋体" w:hAnsi="宋体" w:eastAsia="宋体" w:cs="Times New Roman"/>
                <w:color w:val="auto"/>
              </w:rPr>
              <w:t>否</w:t>
            </w:r>
          </w:p>
        </w:tc>
      </w:tr>
      <w:tr w14:paraId="02E1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14:paraId="7112B834">
            <w:pPr>
              <w:jc w:val="center"/>
              <w:textAlignment w:val="center"/>
              <w:rPr>
                <w:rFonts w:ascii="宋体" w:hAnsi="宋体" w:eastAsia="宋体" w:cs="Times New Roman"/>
                <w:color w:val="auto"/>
              </w:rPr>
            </w:pPr>
            <w:r>
              <w:rPr>
                <w:rFonts w:ascii="宋体" w:hAnsi="宋体" w:eastAsia="宋体" w:cs="Times New Roman"/>
                <w:color w:val="auto"/>
              </w:rPr>
              <w:t>无尾目</w:t>
            </w:r>
          </w:p>
        </w:tc>
        <w:tc>
          <w:tcPr>
            <w:tcW w:w="443" w:type="pct"/>
            <w:shd w:val="clear" w:color="auto" w:fill="auto"/>
            <w:noWrap/>
            <w:vAlign w:val="center"/>
          </w:tcPr>
          <w:p w14:paraId="7631869E">
            <w:pPr>
              <w:jc w:val="center"/>
              <w:textAlignment w:val="center"/>
              <w:rPr>
                <w:rFonts w:ascii="宋体" w:hAnsi="宋体" w:eastAsia="宋体" w:cs="Times New Roman"/>
                <w:color w:val="auto"/>
              </w:rPr>
            </w:pPr>
            <w:r>
              <w:rPr>
                <w:rFonts w:ascii="宋体" w:hAnsi="宋体" w:eastAsia="宋体" w:cs="Times New Roman"/>
                <w:color w:val="auto"/>
              </w:rPr>
              <w:t>雨蛙科</w:t>
            </w:r>
          </w:p>
        </w:tc>
        <w:tc>
          <w:tcPr>
            <w:tcW w:w="624" w:type="pct"/>
            <w:shd w:val="clear" w:color="auto" w:fill="auto"/>
            <w:noWrap/>
            <w:vAlign w:val="center"/>
          </w:tcPr>
          <w:p w14:paraId="6506529B">
            <w:pPr>
              <w:jc w:val="center"/>
              <w:rPr>
                <w:rFonts w:ascii="宋体" w:hAnsi="宋体" w:eastAsia="宋体" w:cs="Times New Roman"/>
                <w:color w:val="auto"/>
              </w:rPr>
            </w:pPr>
            <w:r>
              <w:rPr>
                <w:rFonts w:ascii="宋体" w:hAnsi="宋体" w:eastAsia="宋体" w:cs="Times New Roman"/>
                <w:color w:val="auto"/>
              </w:rPr>
              <w:t>东北雨蛙</w:t>
            </w:r>
          </w:p>
        </w:tc>
        <w:tc>
          <w:tcPr>
            <w:tcW w:w="1170" w:type="pct"/>
            <w:shd w:val="clear" w:color="auto" w:fill="auto"/>
            <w:noWrap/>
            <w:vAlign w:val="center"/>
          </w:tcPr>
          <w:p w14:paraId="3E9C0436">
            <w:pPr>
              <w:jc w:val="center"/>
              <w:textAlignment w:val="center"/>
              <w:rPr>
                <w:rFonts w:ascii="宋体" w:hAnsi="宋体" w:eastAsia="宋体" w:cs="Times New Roman"/>
                <w:i/>
                <w:iCs/>
                <w:color w:val="auto"/>
              </w:rPr>
            </w:pPr>
            <w:r>
              <w:rPr>
                <w:rFonts w:ascii="宋体" w:hAnsi="宋体" w:eastAsia="宋体" w:cs="Times New Roman"/>
                <w:i/>
                <w:iCs/>
                <w:color w:val="auto"/>
              </w:rPr>
              <w:t>Hyla ussuriensis</w:t>
            </w:r>
          </w:p>
        </w:tc>
        <w:tc>
          <w:tcPr>
            <w:tcW w:w="565" w:type="pct"/>
            <w:shd w:val="clear" w:color="auto" w:fill="auto"/>
            <w:noWrap/>
            <w:vAlign w:val="center"/>
          </w:tcPr>
          <w:p w14:paraId="025A67C8">
            <w:pPr>
              <w:jc w:val="center"/>
              <w:textAlignment w:val="center"/>
              <w:rPr>
                <w:rFonts w:ascii="宋体" w:hAnsi="宋体" w:eastAsia="宋体" w:cs="Times New Roman"/>
                <w:color w:val="auto"/>
              </w:rPr>
            </w:pPr>
            <w:r>
              <w:rPr>
                <w:rFonts w:ascii="宋体" w:hAnsi="宋体" w:eastAsia="宋体" w:cs="Times New Roman"/>
                <w:color w:val="auto"/>
              </w:rPr>
              <w:t>/</w:t>
            </w:r>
          </w:p>
        </w:tc>
        <w:tc>
          <w:tcPr>
            <w:tcW w:w="566" w:type="pct"/>
            <w:shd w:val="clear" w:color="auto" w:fill="auto"/>
            <w:noWrap/>
            <w:vAlign w:val="center"/>
          </w:tcPr>
          <w:p w14:paraId="614C272A">
            <w:pPr>
              <w:jc w:val="center"/>
              <w:textAlignment w:val="center"/>
              <w:rPr>
                <w:rFonts w:ascii="宋体" w:hAnsi="宋体" w:eastAsia="宋体" w:cs="Times New Roman"/>
                <w:color w:val="auto"/>
              </w:rPr>
            </w:pPr>
            <w:r>
              <w:rPr>
                <w:rFonts w:ascii="宋体" w:hAnsi="宋体" w:eastAsia="宋体" w:cs="Times New Roman"/>
                <w:color w:val="auto"/>
              </w:rPr>
              <w:t>/</w:t>
            </w:r>
          </w:p>
        </w:tc>
        <w:tc>
          <w:tcPr>
            <w:tcW w:w="1007" w:type="pct"/>
            <w:shd w:val="clear" w:color="auto" w:fill="auto"/>
            <w:noWrap/>
            <w:vAlign w:val="center"/>
          </w:tcPr>
          <w:p w14:paraId="4187695A">
            <w:pPr>
              <w:jc w:val="center"/>
              <w:textAlignment w:val="center"/>
              <w:rPr>
                <w:rFonts w:ascii="宋体" w:hAnsi="宋体" w:eastAsia="宋体" w:cs="Times New Roman"/>
                <w:color w:val="auto"/>
              </w:rPr>
            </w:pPr>
            <w:r>
              <w:rPr>
                <w:rFonts w:ascii="宋体" w:hAnsi="宋体" w:eastAsia="宋体" w:cs="Times New Roman"/>
                <w:color w:val="auto"/>
              </w:rPr>
              <w:t>否</w:t>
            </w:r>
          </w:p>
        </w:tc>
      </w:tr>
      <w:tr w14:paraId="1AE6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shd w:val="clear" w:color="auto" w:fill="auto"/>
            <w:noWrap/>
            <w:vAlign w:val="center"/>
          </w:tcPr>
          <w:p w14:paraId="1CFFC2F5">
            <w:pPr>
              <w:jc w:val="center"/>
              <w:textAlignment w:val="center"/>
              <w:rPr>
                <w:rFonts w:ascii="宋体" w:hAnsi="宋体" w:eastAsia="宋体" w:cs="Times New Roman"/>
                <w:color w:val="auto"/>
              </w:rPr>
            </w:pPr>
            <w:r>
              <w:rPr>
                <w:rFonts w:ascii="宋体" w:hAnsi="宋体" w:eastAsia="宋体" w:cs="Times New Roman"/>
                <w:color w:val="auto"/>
              </w:rPr>
              <w:t>注：R留鸟，S夏候鸟，P旅鸟</w:t>
            </w:r>
          </w:p>
        </w:tc>
      </w:tr>
    </w:tbl>
    <w:p w14:paraId="26E68AB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野生动物现状评价</w:t>
      </w:r>
    </w:p>
    <w:p w14:paraId="75644A32">
      <w:pPr>
        <w:pStyle w:val="276"/>
        <w:widowControl w:val="0"/>
        <w:ind w:firstLine="480"/>
        <w:jc w:val="both"/>
        <w:rPr>
          <w:color w:val="auto"/>
          <w:kern w:val="2"/>
          <w:szCs w:val="28"/>
        </w:rPr>
      </w:pPr>
      <w:r>
        <w:rPr>
          <w:color w:val="auto"/>
          <w:kern w:val="2"/>
        </w:rPr>
        <w:t>评价区内由于人类的长期干扰和生态环境的改变，项目评价区域大量野生动物消失，现存动物种类较少，且均为常见种，区域内 “三有”保护动物有麻雀、家燕、喜鹊等，以上动物均为该区域常见的广布种，广泛生存于林地、草丛、农田等区域，行动途径常因季节变化而变化，非本项目所在区域独有物种，且区域陆域生境基本一致，项目评价范围不是以上物种的唯一生境，且在实地调查过程中未发现评价范围内存在各级野生动物栖息地和野生动物自然保护区，也未发现国家级重点野生保护动物。因而，项目的实施对当地野生动物的影响较小。</w:t>
      </w:r>
    </w:p>
    <w:p w14:paraId="237F5774">
      <w:pPr>
        <w:pStyle w:val="6"/>
        <w:rPr>
          <w:color w:val="auto"/>
        </w:rPr>
      </w:pPr>
      <w:r>
        <w:rPr>
          <w:color w:val="auto"/>
        </w:rPr>
        <w:t>生态景观类型调查</w:t>
      </w:r>
    </w:p>
    <w:p w14:paraId="674AB735">
      <w:pPr>
        <w:pStyle w:val="276"/>
        <w:widowControl w:val="0"/>
        <w:ind w:firstLine="480"/>
        <w:jc w:val="both"/>
        <w:rPr>
          <w:color w:val="auto"/>
          <w:kern w:val="2"/>
        </w:rPr>
      </w:pPr>
      <w:r>
        <w:rPr>
          <w:color w:val="auto"/>
          <w:kern w:val="2"/>
        </w:rPr>
        <w:t>采用地理信息系统技术并结合地面实际调查，对油田开发区所涉及区域内的生态景观构成进行调查。景观调查以工程用地为中心，采用国家生态环境现状调查所用分类系统进行分类。区域内的景观共分为三类，主要由耕地景观、草甸景观、林地景观构成。</w:t>
      </w:r>
    </w:p>
    <w:p w14:paraId="386363B1">
      <w:pPr>
        <w:pStyle w:val="276"/>
        <w:widowControl w:val="0"/>
        <w:ind w:firstLine="480"/>
        <w:jc w:val="both"/>
        <w:rPr>
          <w:color w:val="auto"/>
          <w:kern w:val="2"/>
        </w:rPr>
      </w:pPr>
      <w:r>
        <w:rPr>
          <w:color w:val="auto"/>
          <w:kern w:val="2"/>
        </w:rPr>
        <w:t>（1）耕地景观是评价区域内面积最大景观类型，总面积</w:t>
      </w:r>
      <w:r>
        <w:rPr>
          <w:rFonts w:hint="eastAsia"/>
          <w:color w:val="auto"/>
          <w:kern w:val="2"/>
        </w:rPr>
        <w:t>129.57</w:t>
      </w:r>
      <w:r>
        <w:rPr>
          <w:color w:val="auto"/>
          <w:kern w:val="2"/>
        </w:rPr>
        <w:t>hm</w:t>
      </w:r>
      <w:r>
        <w:rPr>
          <w:color w:val="auto"/>
          <w:kern w:val="2"/>
          <w:vertAlign w:val="superscript"/>
        </w:rPr>
        <w:t>2</w:t>
      </w:r>
      <w:r>
        <w:rPr>
          <w:color w:val="auto"/>
          <w:kern w:val="2"/>
        </w:rPr>
        <w:t>，占评价区域总面积的</w:t>
      </w:r>
      <w:r>
        <w:rPr>
          <w:rFonts w:hint="eastAsia"/>
          <w:color w:val="auto"/>
          <w:kern w:val="2"/>
        </w:rPr>
        <w:t>85.64</w:t>
      </w:r>
      <w:r>
        <w:rPr>
          <w:color w:val="auto"/>
          <w:kern w:val="2"/>
        </w:rPr>
        <w:t>%。主要种植以玉米、大豆、水稻为主的</w:t>
      </w:r>
      <w:r>
        <w:rPr>
          <w:color w:val="auto"/>
        </w:rPr>
        <w:t>农作物</w:t>
      </w:r>
      <w:r>
        <w:rPr>
          <w:color w:val="auto"/>
          <w:kern w:val="2"/>
        </w:rPr>
        <w:t>。</w:t>
      </w:r>
    </w:p>
    <w:p w14:paraId="57F4454E">
      <w:pPr>
        <w:pStyle w:val="276"/>
        <w:widowControl w:val="0"/>
        <w:ind w:firstLine="480"/>
        <w:jc w:val="both"/>
        <w:rPr>
          <w:color w:val="auto"/>
          <w:kern w:val="2"/>
        </w:rPr>
      </w:pPr>
      <w:r>
        <w:rPr>
          <w:color w:val="auto"/>
          <w:kern w:val="2"/>
        </w:rPr>
        <w:t>（2）草甸景观是评价区域内面积较大景观</w:t>
      </w:r>
      <w:r>
        <w:rPr>
          <w:color w:val="auto"/>
        </w:rPr>
        <w:t>类型</w:t>
      </w:r>
      <w:r>
        <w:rPr>
          <w:color w:val="auto"/>
          <w:kern w:val="2"/>
        </w:rPr>
        <w:t>，总面积</w:t>
      </w:r>
      <w:r>
        <w:rPr>
          <w:rFonts w:hint="eastAsia"/>
          <w:color w:val="auto"/>
          <w:kern w:val="2"/>
        </w:rPr>
        <w:t>12.28</w:t>
      </w:r>
      <w:r>
        <w:rPr>
          <w:color w:val="auto"/>
          <w:kern w:val="2"/>
        </w:rPr>
        <w:t>hm</w:t>
      </w:r>
      <w:r>
        <w:rPr>
          <w:color w:val="auto"/>
          <w:kern w:val="2"/>
          <w:vertAlign w:val="superscript"/>
        </w:rPr>
        <w:t>2</w:t>
      </w:r>
      <w:r>
        <w:rPr>
          <w:color w:val="auto"/>
          <w:kern w:val="2"/>
        </w:rPr>
        <w:t>，占评价区域总面积的</w:t>
      </w:r>
      <w:r>
        <w:rPr>
          <w:rFonts w:hint="eastAsia"/>
          <w:color w:val="auto"/>
          <w:kern w:val="2"/>
        </w:rPr>
        <w:t>8.12</w:t>
      </w:r>
      <w:r>
        <w:rPr>
          <w:color w:val="auto"/>
          <w:kern w:val="2"/>
        </w:rPr>
        <w:t>%。主要羊草、小白花、地榆、金莲花等。</w:t>
      </w:r>
    </w:p>
    <w:p w14:paraId="5113B087">
      <w:pPr>
        <w:pStyle w:val="276"/>
        <w:widowControl w:val="0"/>
        <w:ind w:firstLine="480"/>
        <w:jc w:val="both"/>
        <w:rPr>
          <w:color w:val="auto"/>
          <w:kern w:val="2"/>
        </w:rPr>
      </w:pPr>
      <w:r>
        <w:rPr>
          <w:color w:val="auto"/>
          <w:kern w:val="2"/>
        </w:rPr>
        <w:t>（3）林地景观主要为道路和农田人工防护林用地，总面积</w:t>
      </w:r>
      <w:r>
        <w:rPr>
          <w:rFonts w:hint="eastAsia"/>
          <w:color w:val="auto"/>
          <w:kern w:val="2"/>
        </w:rPr>
        <w:t>4.65</w:t>
      </w:r>
      <w:r>
        <w:rPr>
          <w:color w:val="auto"/>
          <w:kern w:val="2"/>
        </w:rPr>
        <w:t>hm</w:t>
      </w:r>
      <w:r>
        <w:rPr>
          <w:color w:val="auto"/>
          <w:kern w:val="2"/>
          <w:vertAlign w:val="superscript"/>
        </w:rPr>
        <w:t>2</w:t>
      </w:r>
      <w:r>
        <w:rPr>
          <w:color w:val="auto"/>
          <w:kern w:val="2"/>
        </w:rPr>
        <w:t>，占评价区总面积的</w:t>
      </w:r>
      <w:r>
        <w:rPr>
          <w:rFonts w:hint="eastAsia"/>
          <w:color w:val="auto"/>
          <w:kern w:val="2"/>
        </w:rPr>
        <w:t>3.07</w:t>
      </w:r>
      <w:r>
        <w:rPr>
          <w:color w:val="auto"/>
          <w:kern w:val="2"/>
        </w:rPr>
        <w:t>%。</w:t>
      </w:r>
      <w:r>
        <w:rPr>
          <w:color w:val="auto"/>
          <w:kern w:val="2"/>
          <w:szCs w:val="22"/>
        </w:rPr>
        <w:t xml:space="preserve">  </w:t>
      </w:r>
    </w:p>
    <w:bookmarkEnd w:id="1249"/>
    <w:p w14:paraId="7B681A29">
      <w:pPr>
        <w:pStyle w:val="6"/>
        <w:rPr>
          <w:color w:val="auto"/>
        </w:rPr>
      </w:pPr>
      <w:bookmarkStart w:id="1259" w:name="_Toc25236"/>
      <w:r>
        <w:rPr>
          <w:color w:val="auto"/>
        </w:rPr>
        <w:t>现有区块生态恢复措施及恢复情况</w:t>
      </w:r>
    </w:p>
    <w:bookmarkEnd w:id="1259"/>
    <w:p w14:paraId="63C07F0B">
      <w:pPr>
        <w:pStyle w:val="276"/>
        <w:widowControl w:val="0"/>
        <w:ind w:firstLine="480"/>
        <w:jc w:val="both"/>
        <w:rPr>
          <w:snapToGrid w:val="0"/>
          <w:color w:val="auto"/>
          <w:szCs w:val="20"/>
        </w:rPr>
      </w:pPr>
      <w:r>
        <w:rPr>
          <w:snapToGrid w:val="0"/>
          <w:color w:val="auto"/>
          <w:szCs w:val="20"/>
        </w:rPr>
        <w:t>现有源212区块内生态环境主要为农田生态系统、有少量草地、林地，结合油田区块开发特点，对生态环境的影响主要体现在施工期井场建设过程中，机械、运输车辆对植被的碾压、人员践踏、材料占地、土壤翻出堆放地表等活动将对工程周围的地表环境造成暂时性破坏，对临时占地内植被会造成一定的破坏；永久占地对周围</w:t>
      </w:r>
      <w:r>
        <w:rPr>
          <w:color w:val="auto"/>
        </w:rPr>
        <w:t>生态环境</w:t>
      </w:r>
      <w:r>
        <w:rPr>
          <w:snapToGrid w:val="0"/>
          <w:color w:val="auto"/>
          <w:szCs w:val="20"/>
        </w:rPr>
        <w:t>影响主要体现在井场的占地使原来连续分布的生态环境中形成斑块，产生地表温度、水分等物理异常，以及干扰地面植被，影响生态环境的类型和结构；以及运营期源212区块内油水井作业时，污油洒落对井场占地外植被造成影响。</w:t>
      </w:r>
    </w:p>
    <w:p w14:paraId="6AD6B56A">
      <w:pPr>
        <w:pStyle w:val="276"/>
        <w:widowControl w:val="0"/>
        <w:ind w:firstLine="480"/>
        <w:jc w:val="both"/>
        <w:rPr>
          <w:snapToGrid w:val="0"/>
          <w:color w:val="auto"/>
          <w:szCs w:val="20"/>
        </w:rPr>
      </w:pPr>
      <w:r>
        <w:rPr>
          <w:snapToGrid w:val="0"/>
          <w:color w:val="auto"/>
          <w:szCs w:val="20"/>
        </w:rPr>
        <w:t>根据现场调查，源212区块内</w:t>
      </w:r>
      <w:r>
        <w:rPr>
          <w:color w:val="auto"/>
          <w:kern w:val="2"/>
        </w:rPr>
        <w:t>临时性封井的60口油井已彻底封井，并拆除采油设备，56口水井彻底封井封堵加盖井帽，达到井口各部紧固、不渗不漏，套管、总闸门、螺栓齐全，</w:t>
      </w:r>
      <w:r>
        <w:rPr>
          <w:snapToGrid w:val="0"/>
          <w:color w:val="auto"/>
          <w:szCs w:val="20"/>
        </w:rPr>
        <w:t>已关停油水井井场地面恢复状况良好现状照片见</w:t>
      </w:r>
      <w:r>
        <w:rPr>
          <w:rFonts w:hint="eastAsia"/>
          <w:snapToGrid w:val="0"/>
          <w:color w:val="auto"/>
          <w:szCs w:val="20"/>
        </w:rPr>
        <w:t>下图。</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4"/>
      </w:tblGrid>
      <w:tr w14:paraId="0BEB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shd w:val="clear" w:color="auto" w:fill="auto"/>
            <w:vAlign w:val="center"/>
          </w:tcPr>
          <w:p w14:paraId="49FA9D57">
            <w:pPr>
              <w:jc w:val="center"/>
              <w:rPr>
                <w:rFonts w:ascii="宋体" w:hAnsi="宋体" w:eastAsia="宋体"/>
                <w:color w:val="auto"/>
              </w:rPr>
            </w:pPr>
            <w:r>
              <w:rPr>
                <w:rFonts w:ascii="宋体" w:hAnsi="宋体" w:eastAsia="宋体"/>
                <w:color w:val="auto"/>
              </w:rPr>
              <mc:AlternateContent>
                <mc:Choice Requires="wps">
                  <w:drawing>
                    <wp:anchor distT="0" distB="0" distL="114300" distR="114300" simplePos="0" relativeHeight="251688960" behindDoc="0" locked="0" layoutInCell="1" allowOverlap="1">
                      <wp:simplePos x="0" y="0"/>
                      <wp:positionH relativeFrom="column">
                        <wp:posOffset>1781810</wp:posOffset>
                      </wp:positionH>
                      <wp:positionV relativeFrom="paragraph">
                        <wp:posOffset>72390</wp:posOffset>
                      </wp:positionV>
                      <wp:extent cx="1127125" cy="523240"/>
                      <wp:effectExtent l="6350" t="6350" r="9525" b="556260"/>
                      <wp:wrapNone/>
                      <wp:docPr id="50523481" name="矩形标注 57"/>
                      <wp:cNvGraphicFramePr/>
                      <a:graphic xmlns:a="http://schemas.openxmlformats.org/drawingml/2006/main">
                        <a:graphicData uri="http://schemas.microsoft.com/office/word/2010/wordprocessingShape">
                          <wps:wsp>
                            <wps:cNvSpPr/>
                            <wps:spPr>
                              <a:xfrm>
                                <a:off x="4833620" y="1565910"/>
                                <a:ext cx="1127125" cy="523240"/>
                              </a:xfrm>
                              <a:prstGeom prst="wedgeRectCallout">
                                <a:avLst>
                                  <a:gd name="adj1" fmla="val -4873"/>
                                  <a:gd name="adj2" fmla="val 149878"/>
                                </a:avLst>
                              </a:prstGeom>
                              <a:no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54E91B">
                                  <w:pPr>
                                    <w:jc w:val="center"/>
                                  </w:pPr>
                                  <w:r>
                                    <w:rPr>
                                      <w:rFonts w:hint="eastAsia"/>
                                    </w:rPr>
                                    <w:t>已拆除采油设备的油井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57" o:spid="_x0000_s1026" o:spt="61" type="#_x0000_t61" style="position:absolute;left:0pt;margin-left:140.3pt;margin-top:5.7pt;height:41.2pt;width:88.75pt;z-index:251688960;v-text-anchor:middle;mso-width-relative:page;mso-height-relative:page;" filled="f" stroked="t" coordsize="21600,21600" o:gfxdata="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SGK8D1wAA&#10;AAkBAAAPAAAAAAAAAAEAIAAAACIAAABkcnMvZG93bnJldi54bWxQSwECFAAUAAAACACHTuJA5IQK&#10;4MoCAABsBQAADgAAAAAAAAABACAAAAAmAQAAZHJzL2Uyb0RvYy54bWxQSwUGAAAAAAYABgBZAQAA&#10;YgYAAAAA&#10;" adj="9747,43174">
                      <v:fill on="f" focussize="0,0"/>
                      <v:stroke weight="1pt" color="#FFFFFF [3204]" miterlimit="8" joinstyle="miter"/>
                      <v:imagedata o:title=""/>
                      <o:lock v:ext="edit" aspectratio="f"/>
                      <v:textbox>
                        <w:txbxContent>
                          <w:p w14:paraId="1554E91B">
                            <w:pPr>
                              <w:jc w:val="center"/>
                            </w:pPr>
                            <w:r>
                              <w:rPr>
                                <w:rFonts w:hint="eastAsia"/>
                              </w:rPr>
                              <w:t>已拆除采油设备的油井</w:t>
                            </w:r>
                          </w:p>
                        </w:txbxContent>
                      </v:textbox>
                    </v:shape>
                  </w:pict>
                </mc:Fallback>
              </mc:AlternateContent>
            </w:r>
            <w:r>
              <w:rPr>
                <w:rFonts w:ascii="宋体" w:hAnsi="宋体" w:eastAsia="宋体"/>
                <w:color w:val="auto"/>
              </w:rPr>
              <mc:AlternateContent>
                <mc:Choice Requires="wps">
                  <w:drawing>
                    <wp:anchor distT="0" distB="0" distL="114300" distR="114300" simplePos="0" relativeHeight="251686912" behindDoc="0" locked="0" layoutInCell="1" allowOverlap="1">
                      <wp:simplePos x="0" y="0"/>
                      <wp:positionH relativeFrom="column">
                        <wp:posOffset>496570</wp:posOffset>
                      </wp:positionH>
                      <wp:positionV relativeFrom="paragraph">
                        <wp:posOffset>142240</wp:posOffset>
                      </wp:positionV>
                      <wp:extent cx="1079500" cy="460375"/>
                      <wp:effectExtent l="6350" t="6350" r="19050" b="352425"/>
                      <wp:wrapNone/>
                      <wp:docPr id="50523482" name="矩形标注 61"/>
                      <wp:cNvGraphicFramePr/>
                      <a:graphic xmlns:a="http://schemas.openxmlformats.org/drawingml/2006/main">
                        <a:graphicData uri="http://schemas.microsoft.com/office/word/2010/wordprocessingShape">
                          <wps:wsp>
                            <wps:cNvSpPr/>
                            <wps:spPr>
                              <a:xfrm>
                                <a:off x="1903095" y="1524000"/>
                                <a:ext cx="1079500" cy="460375"/>
                              </a:xfrm>
                              <a:prstGeom prst="wedgeRectCallout">
                                <a:avLst>
                                  <a:gd name="adj1" fmla="val -38176"/>
                                  <a:gd name="adj2" fmla="val 119517"/>
                                </a:avLst>
                              </a:prstGeom>
                              <a:noFill/>
                              <a:ln w="127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7F7298">
                                  <w:pPr>
                                    <w:jc w:val="center"/>
                                  </w:pPr>
                                  <w:r>
                                    <w:rPr>
                                      <w:rFonts w:hint="eastAsia"/>
                                    </w:rPr>
                                    <w:t>已封井水井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61" o:spid="_x0000_s1026" o:spt="61" type="#_x0000_t61" style="position:absolute;left:0pt;margin-left:39.1pt;margin-top:11.2pt;height:36.25pt;width:85pt;z-index:251686912;v-text-anchor:middle;mso-width-relative:page;mso-height-relative:page;" filled="f" stroked="t" coordsize="21600,21600" o:gfxdata="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lgC4oNcA&#10;AAAIAQAADwAAAAAAAAABACAAAAAiAAAAZHJzL2Rvd25yZXYueG1sUEsBAhQAFAAAAAgAh07iQE9W&#10;WiLLAgAAbQUAAA4AAAAAAAAAAQAgAAAAJgEAAGRycy9lMm9Eb2MueG1sUEsFBgAAAAAGAAYAWQEA&#10;AGMGAAAAAA==&#10;" adj="2554,36616">
                      <v:fill on="f" focussize="0,0"/>
                      <v:stroke weight="1pt" color="#FFFFFF [3204]" miterlimit="8" joinstyle="miter"/>
                      <v:imagedata o:title=""/>
                      <o:lock v:ext="edit" aspectratio="f"/>
                      <v:textbox>
                        <w:txbxContent>
                          <w:p w14:paraId="757F7298">
                            <w:pPr>
                              <w:jc w:val="center"/>
                            </w:pPr>
                            <w:r>
                              <w:rPr>
                                <w:rFonts w:hint="eastAsia"/>
                              </w:rPr>
                              <w:t>已封井水井</w:t>
                            </w:r>
                          </w:p>
                        </w:txbxContent>
                      </v:textbox>
                    </v:shape>
                  </w:pict>
                </mc:Fallback>
              </mc:AlternateContent>
            </w:r>
            <w:r>
              <w:rPr>
                <w:rFonts w:ascii="宋体" w:hAnsi="宋体" w:eastAsia="宋体"/>
                <w:color w:val="auto"/>
              </w:rPr>
              <mc:AlternateContent>
                <mc:Choice Requires="wps">
                  <w:drawing>
                    <wp:anchor distT="0" distB="0" distL="114300" distR="114300" simplePos="0" relativeHeight="251687936" behindDoc="0" locked="0" layoutInCell="1" allowOverlap="1">
                      <wp:simplePos x="0" y="0"/>
                      <wp:positionH relativeFrom="column">
                        <wp:posOffset>1483995</wp:posOffset>
                      </wp:positionH>
                      <wp:positionV relativeFrom="paragraph">
                        <wp:posOffset>960120</wp:posOffset>
                      </wp:positionV>
                      <wp:extent cx="1198880" cy="589280"/>
                      <wp:effectExtent l="6350" t="6350" r="13970" b="13970"/>
                      <wp:wrapNone/>
                      <wp:docPr id="50523483" name="椭圆 50523483"/>
                      <wp:cNvGraphicFramePr/>
                      <a:graphic xmlns:a="http://schemas.openxmlformats.org/drawingml/2006/main">
                        <a:graphicData uri="http://schemas.microsoft.com/office/word/2010/wordprocessingShape">
                          <wps:wsp>
                            <wps:cNvSpPr/>
                            <wps:spPr>
                              <a:xfrm>
                                <a:off x="3881120" y="2787650"/>
                                <a:ext cx="1198880" cy="589280"/>
                              </a:xfrm>
                              <a:prstGeom prst="ellipse">
                                <a:avLst/>
                              </a:prstGeom>
                              <a:noFill/>
                              <a:ln w="127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6.85pt;margin-top:75.6pt;height:46.4pt;width:94.4pt;z-index:251687936;v-text-anchor:middle;mso-width-relative:page;mso-height-relative:page;" filled="f" stroked="t" coordsize="21600,21600" o:gfxdata="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kAcO9cAAAALAQAADwAAAAAA&#10;AAABACAAAAAiAAAAZHJzL2Rvd25yZXYueG1sUEsBAhQAFAAAAAgAh07iQOjPvgOGAgAA9gQAAA4A&#10;AAAAAAAAAQAgAAAAJgEAAGRycy9lMm9Eb2MueG1sUEsFBgAAAAAGAAYAWQEAAB4GAAAAAA==&#10;">
                      <v:fill on="f" focussize="0,0"/>
                      <v:stroke weight="1pt" color="#FF0000 [3204]" miterlimit="8" joinstyle="miter"/>
                      <v:imagedata o:title=""/>
                      <o:lock v:ext="edit" aspectratio="f"/>
                    </v:shape>
                  </w:pict>
                </mc:Fallback>
              </mc:AlternateContent>
            </w:r>
            <w:r>
              <w:rPr>
                <w:rFonts w:ascii="宋体" w:hAnsi="宋体" w:eastAsia="宋体"/>
                <w:color w:val="auto"/>
              </w:rPr>
              <mc:AlternateContent>
                <mc:Choice Requires="wps">
                  <w:drawing>
                    <wp:anchor distT="0" distB="0" distL="114300" distR="114300" simplePos="0" relativeHeight="251685888" behindDoc="0" locked="0" layoutInCell="1" allowOverlap="1">
                      <wp:simplePos x="0" y="0"/>
                      <wp:positionH relativeFrom="column">
                        <wp:posOffset>181610</wp:posOffset>
                      </wp:positionH>
                      <wp:positionV relativeFrom="paragraph">
                        <wp:posOffset>719455</wp:posOffset>
                      </wp:positionV>
                      <wp:extent cx="697230" cy="709930"/>
                      <wp:effectExtent l="6350" t="6350" r="20320" b="7620"/>
                      <wp:wrapNone/>
                      <wp:docPr id="65" name="椭圆 65"/>
                      <wp:cNvGraphicFramePr/>
                      <a:graphic xmlns:a="http://schemas.openxmlformats.org/drawingml/2006/main">
                        <a:graphicData uri="http://schemas.microsoft.com/office/word/2010/wordprocessingShape">
                          <wps:wsp>
                            <wps:cNvSpPr/>
                            <wps:spPr>
                              <a:xfrm>
                                <a:off x="1712595" y="2682875"/>
                                <a:ext cx="697230" cy="709930"/>
                              </a:xfrm>
                              <a:prstGeom prst="ellipse">
                                <a:avLst/>
                              </a:prstGeom>
                              <a:noFill/>
                              <a:ln w="127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3pt;margin-top:56.65pt;height:55.9pt;width:54.9pt;z-index:251685888;v-text-anchor:middle;mso-width-relative:page;mso-height-relative:page;" filled="f" stroked="t" coordsize="21600,21600" o:gfxdata="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H/ed9YAAAAKAQAADwAAAAAAAAABACAA&#10;AAAiAAAAZHJzL2Rvd25yZXYueG1sUEsBAhQAFAAAAAgAh07iQGSzbIyBAgAA6QQAAA4AAAAAAAAA&#10;AQAgAAAAJQEAAGRycy9lMm9Eb2MueG1sUEsFBgAAAAAGAAYAWQEAABgGAAAAAA==&#10;">
                      <v:fill on="f" focussize="0,0"/>
                      <v:stroke weight="1pt" color="#FF0000 [3204]" miterlimit="8" joinstyle="miter"/>
                      <v:imagedata o:title=""/>
                      <o:lock v:ext="edit" aspectratio="f"/>
                    </v:shape>
                  </w:pict>
                </mc:Fallback>
              </mc:AlternateContent>
            </w:r>
            <w:r>
              <w:rPr>
                <w:rFonts w:ascii="宋体" w:hAnsi="宋体" w:eastAsia="宋体"/>
                <w:color w:val="auto"/>
              </w:rPr>
              <w:drawing>
                <wp:inline distT="0" distB="0" distL="114300" distR="114300">
                  <wp:extent cx="2879725" cy="2160270"/>
                  <wp:effectExtent l="0" t="0" r="15875" b="11430"/>
                  <wp:docPr id="66" name="图片 66" descr="微信图片_202210191605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22101916055910"/>
                          <pic:cNvPicPr>
                            <a:picLocks noChangeAspect="1"/>
                          </pic:cNvPicPr>
                        </pic:nvPicPr>
                        <pic:blipFill>
                          <a:blip r:embed="rId79"/>
                          <a:stretch>
                            <a:fillRect/>
                          </a:stretch>
                        </pic:blipFill>
                        <pic:spPr>
                          <a:xfrm>
                            <a:off x="0" y="0"/>
                            <a:ext cx="2879725" cy="2160270"/>
                          </a:xfrm>
                          <a:prstGeom prst="rect">
                            <a:avLst/>
                          </a:prstGeom>
                        </pic:spPr>
                      </pic:pic>
                    </a:graphicData>
                  </a:graphic>
                </wp:inline>
              </w:drawing>
            </w:r>
          </w:p>
        </w:tc>
        <w:tc>
          <w:tcPr>
            <w:tcW w:w="2500" w:type="pct"/>
            <w:shd w:val="clear" w:color="auto" w:fill="auto"/>
            <w:vAlign w:val="center"/>
          </w:tcPr>
          <w:p w14:paraId="2E72F9EF">
            <w:pPr>
              <w:pStyle w:val="79"/>
              <w:ind w:firstLine="0" w:firstLineChars="0"/>
              <w:jc w:val="center"/>
              <w:rPr>
                <w:rFonts w:ascii="宋体" w:hAnsi="宋体"/>
                <w:color w:val="auto"/>
                <w:sz w:val="21"/>
              </w:rPr>
            </w:pPr>
            <w:r>
              <w:rPr>
                <w:rFonts w:hint="eastAsia" w:ascii="宋体" w:hAnsi="宋体"/>
                <w:color w:val="auto"/>
                <w:sz w:val="21"/>
              </w:rPr>
              <w:drawing>
                <wp:inline distT="0" distB="0" distL="114300" distR="114300">
                  <wp:extent cx="2879090" cy="2160270"/>
                  <wp:effectExtent l="0" t="0" r="16510" b="11430"/>
                  <wp:docPr id="68" name="图片 68" descr="微信图片_202210191605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2101916055921"/>
                          <pic:cNvPicPr>
                            <a:picLocks noChangeAspect="1"/>
                          </pic:cNvPicPr>
                        </pic:nvPicPr>
                        <pic:blipFill>
                          <a:blip r:embed="rId80"/>
                          <a:stretch>
                            <a:fillRect/>
                          </a:stretch>
                        </pic:blipFill>
                        <pic:spPr>
                          <a:xfrm>
                            <a:off x="0" y="0"/>
                            <a:ext cx="2879090" cy="2160270"/>
                          </a:xfrm>
                          <a:prstGeom prst="rect">
                            <a:avLst/>
                          </a:prstGeom>
                        </pic:spPr>
                      </pic:pic>
                    </a:graphicData>
                  </a:graphic>
                </wp:inline>
              </w:drawing>
            </w:r>
          </w:p>
        </w:tc>
      </w:tr>
      <w:tr w14:paraId="69A0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pct"/>
            <w:shd w:val="clear" w:color="auto" w:fill="auto"/>
            <w:vAlign w:val="center"/>
          </w:tcPr>
          <w:p w14:paraId="5330D0B3">
            <w:pPr>
              <w:jc w:val="center"/>
              <w:rPr>
                <w:rFonts w:ascii="宋体" w:hAnsi="宋体" w:eastAsia="宋体"/>
                <w:color w:val="auto"/>
              </w:rPr>
            </w:pPr>
            <w:r>
              <w:rPr>
                <w:rFonts w:hint="eastAsia" w:ascii="宋体" w:hAnsi="宋体" w:eastAsia="宋体"/>
                <w:color w:val="auto"/>
              </w:rPr>
              <w:t>已封井的水井、已拆除的采油设备的油井</w:t>
            </w:r>
          </w:p>
        </w:tc>
        <w:tc>
          <w:tcPr>
            <w:tcW w:w="2500" w:type="pct"/>
            <w:shd w:val="clear" w:color="auto" w:fill="auto"/>
            <w:vAlign w:val="center"/>
          </w:tcPr>
          <w:p w14:paraId="12C34E54">
            <w:pPr>
              <w:pStyle w:val="79"/>
              <w:spacing w:after="0"/>
              <w:ind w:firstLine="0" w:firstLineChars="0"/>
              <w:jc w:val="center"/>
              <w:rPr>
                <w:rFonts w:ascii="宋体" w:hAnsi="宋体"/>
                <w:color w:val="auto"/>
                <w:sz w:val="21"/>
                <w:szCs w:val="21"/>
              </w:rPr>
            </w:pPr>
            <w:r>
              <w:rPr>
                <w:rFonts w:ascii="宋体" w:hAnsi="宋体"/>
                <w:color w:val="auto"/>
                <w:sz w:val="21"/>
                <w:szCs w:val="21"/>
              </w:rPr>
              <w:t>已封井的油井</w:t>
            </w:r>
          </w:p>
        </w:tc>
      </w:tr>
    </w:tbl>
    <w:p w14:paraId="52C79DB4">
      <w:pPr>
        <w:spacing w:line="440" w:lineRule="exact"/>
        <w:ind w:firstLine="420" w:firstLineChars="200"/>
        <w:jc w:val="center"/>
        <w:rPr>
          <w:rFonts w:ascii="宋体" w:hAnsi="宋体" w:eastAsia="宋体" w:cs="Times New Roman"/>
          <w:color w:val="auto"/>
        </w:rPr>
      </w:pPr>
      <w:r>
        <w:rPr>
          <w:rFonts w:hint="eastAsia" w:ascii="宋体" w:hAnsi="宋体" w:eastAsia="宋体" w:cs="Times New Roman"/>
          <w:color w:val="auto"/>
        </w:rPr>
        <w:t>图4</w:t>
      </w:r>
      <w:r>
        <w:rPr>
          <w:rFonts w:ascii="宋体" w:hAnsi="宋体" w:eastAsia="宋体" w:cs="Times New Roman"/>
          <w:color w:val="auto"/>
        </w:rPr>
        <w:t xml:space="preserve">.4-1   </w:t>
      </w:r>
      <w:r>
        <w:rPr>
          <w:rFonts w:hint="eastAsia" w:ascii="宋体" w:hAnsi="宋体" w:eastAsia="宋体" w:cs="Times New Roman"/>
          <w:color w:val="auto"/>
        </w:rPr>
        <w:t>现有井场生态恢复情况</w:t>
      </w:r>
    </w:p>
    <w:p w14:paraId="4EF9DB2E">
      <w:pPr>
        <w:pStyle w:val="276"/>
        <w:widowControl w:val="0"/>
        <w:ind w:firstLine="480"/>
        <w:jc w:val="both"/>
        <w:rPr>
          <w:snapToGrid w:val="0"/>
          <w:color w:val="auto"/>
          <w:szCs w:val="20"/>
        </w:rPr>
      </w:pPr>
      <w:r>
        <w:rPr>
          <w:snapToGrid w:val="0"/>
          <w:color w:val="auto"/>
          <w:szCs w:val="20"/>
        </w:rPr>
        <w:t>区块内现运行的</w:t>
      </w:r>
      <w:r>
        <w:rPr>
          <w:rFonts w:hint="eastAsia"/>
          <w:snapToGrid w:val="0"/>
          <w:color w:val="auto"/>
          <w:szCs w:val="20"/>
        </w:rPr>
        <w:t>56</w:t>
      </w:r>
      <w:r>
        <w:rPr>
          <w:snapToGrid w:val="0"/>
          <w:color w:val="auto"/>
          <w:szCs w:val="20"/>
        </w:rPr>
        <w:t>口提捞井、机采井占地已采用相应的生态保护和恢复措施，临时施工占地得到了较好的平整、清理，并得到相应的复垦，临时占地内农田植被生长已经基本恢复到油田开发前状态，永久占用面积较小，没有改变项目区的生态系统结构与功能，项目区的生态组分及生物多样性未受影响，生态格局变化不大，源212区块目前生态恢复情况良好。</w:t>
      </w:r>
    </w:p>
    <w:p w14:paraId="625A56EA">
      <w:pPr>
        <w:pStyle w:val="276"/>
        <w:widowControl w:val="0"/>
        <w:ind w:firstLine="480"/>
        <w:jc w:val="both"/>
        <w:rPr>
          <w:snapToGrid w:val="0"/>
          <w:color w:val="auto"/>
          <w:szCs w:val="20"/>
        </w:rPr>
      </w:pPr>
      <w:r>
        <w:rPr>
          <w:snapToGrid w:val="0"/>
          <w:color w:val="auto"/>
          <w:szCs w:val="20"/>
        </w:rPr>
        <w:t>结合</w:t>
      </w:r>
      <w:r>
        <w:rPr>
          <w:rFonts w:hint="eastAsia"/>
          <w:color w:val="auto"/>
        </w:rPr>
        <w:t>《</w:t>
      </w:r>
      <w:r>
        <w:rPr>
          <w:color w:val="auto"/>
          <w:kern w:val="2"/>
        </w:rPr>
        <w:t>肇源油田源212区块扶余油层2022年产能建设地面工程项目</w:t>
      </w:r>
      <w:r>
        <w:rPr>
          <w:rFonts w:hint="eastAsia"/>
          <w:color w:val="auto"/>
          <w:kern w:val="2"/>
        </w:rPr>
        <w:t>竣工环境保护验收调查报告</w:t>
      </w:r>
      <w:r>
        <w:rPr>
          <w:rFonts w:hint="eastAsia"/>
          <w:color w:val="auto"/>
        </w:rPr>
        <w:t>》</w:t>
      </w:r>
      <w:r>
        <w:rPr>
          <w:snapToGrid w:val="0"/>
          <w:color w:val="auto"/>
          <w:szCs w:val="20"/>
        </w:rPr>
        <w:t>对区域内已建油</w:t>
      </w:r>
      <w:r>
        <w:rPr>
          <w:rFonts w:hint="eastAsia"/>
          <w:snapToGrid w:val="0"/>
          <w:color w:val="auto"/>
          <w:szCs w:val="20"/>
        </w:rPr>
        <w:t>水</w:t>
      </w:r>
      <w:r>
        <w:rPr>
          <w:snapToGrid w:val="0"/>
          <w:color w:val="auto"/>
          <w:szCs w:val="20"/>
        </w:rPr>
        <w:t>井</w:t>
      </w:r>
      <w:r>
        <w:rPr>
          <w:rFonts w:hint="eastAsia"/>
          <w:snapToGrid w:val="0"/>
          <w:color w:val="auto"/>
          <w:szCs w:val="20"/>
        </w:rPr>
        <w:t>平台1</w:t>
      </w:r>
      <w:r>
        <w:rPr>
          <w:snapToGrid w:val="0"/>
          <w:color w:val="auto"/>
          <w:szCs w:val="20"/>
        </w:rPr>
        <w:t>永久占地内、永久占地外</w:t>
      </w:r>
      <w:r>
        <w:rPr>
          <w:rFonts w:hint="eastAsia"/>
          <w:snapToGrid w:val="0"/>
          <w:color w:val="auto"/>
          <w:szCs w:val="20"/>
        </w:rPr>
        <w:t>南</w:t>
      </w:r>
      <w:r>
        <w:rPr>
          <w:snapToGrid w:val="0"/>
          <w:color w:val="auto"/>
          <w:szCs w:val="20"/>
        </w:rPr>
        <w:t>侧</w:t>
      </w:r>
      <w:r>
        <w:rPr>
          <w:rFonts w:hint="eastAsia"/>
          <w:snapToGrid w:val="0"/>
          <w:color w:val="auto"/>
          <w:szCs w:val="20"/>
        </w:rPr>
        <w:t>10m、20m、30、m、50m</w:t>
      </w:r>
      <w:r>
        <w:rPr>
          <w:snapToGrid w:val="0"/>
          <w:color w:val="auto"/>
          <w:szCs w:val="20"/>
        </w:rPr>
        <w:t>1耕地监测结果可知</w:t>
      </w:r>
      <w:r>
        <w:rPr>
          <w:rFonts w:hint="eastAsia"/>
          <w:snapToGrid w:val="0"/>
          <w:color w:val="auto"/>
          <w:szCs w:val="20"/>
        </w:rPr>
        <w:t>（附件8）</w:t>
      </w:r>
      <w:r>
        <w:rPr>
          <w:snapToGrid w:val="0"/>
          <w:color w:val="auto"/>
          <w:szCs w:val="20"/>
        </w:rPr>
        <w:t>，井场永久占地内监测点位监测因子满足《土壤环境质量 建设用地土壤污染风险管控标准</w:t>
      </w:r>
      <w:r>
        <w:rPr>
          <w:rFonts w:hint="eastAsia"/>
          <w:snapToGrid w:val="0"/>
          <w:color w:val="auto"/>
          <w:szCs w:val="20"/>
        </w:rPr>
        <w:t>（试行）</w:t>
      </w:r>
      <w:r>
        <w:rPr>
          <w:snapToGrid w:val="0"/>
          <w:color w:val="auto"/>
          <w:szCs w:val="20"/>
        </w:rPr>
        <w:t>》（GB36600-2018）中筛选值二类用地标准，永久占地外监测点位监测因子满足《土壤环境质量 农用地土壤污染风险管控标准</w:t>
      </w:r>
      <w:r>
        <w:rPr>
          <w:rFonts w:hint="eastAsia"/>
          <w:snapToGrid w:val="0"/>
          <w:color w:val="auto"/>
          <w:szCs w:val="20"/>
        </w:rPr>
        <w:t>（试行）</w:t>
      </w:r>
      <w:r>
        <w:rPr>
          <w:snapToGrid w:val="0"/>
          <w:color w:val="auto"/>
          <w:szCs w:val="20"/>
        </w:rPr>
        <w:t>》（GB15618-2018）中筛选值标准，油田特征污染物石油类的监测值均低于参照标准值，说明区域土壤环境质量整体良好，该区域油田开发对区域土壤影响较小。</w:t>
      </w:r>
    </w:p>
    <w:p w14:paraId="3EC53BBB">
      <w:pPr>
        <w:pStyle w:val="276"/>
        <w:widowControl w:val="0"/>
        <w:ind w:firstLine="480"/>
        <w:jc w:val="both"/>
        <w:rPr>
          <w:snapToGrid w:val="0"/>
          <w:color w:val="auto"/>
          <w:szCs w:val="20"/>
        </w:rPr>
      </w:pPr>
      <w:r>
        <w:rPr>
          <w:snapToGrid w:val="0"/>
          <w:color w:val="auto"/>
          <w:szCs w:val="20"/>
        </w:rPr>
        <w:t>综上所述，现有区块内生态环境保护措施都基本得到了落实，目前所采取的各项环保措施是有效的，未发现环境问题。</w:t>
      </w:r>
    </w:p>
    <w:p w14:paraId="6509FE52">
      <w:pPr>
        <w:pStyle w:val="6"/>
        <w:rPr>
          <w:color w:val="auto"/>
        </w:rPr>
      </w:pPr>
      <w:r>
        <w:rPr>
          <w:color w:val="auto"/>
        </w:rPr>
        <w:t xml:space="preserve">生态环境现状评价结论 </w:t>
      </w:r>
    </w:p>
    <w:p w14:paraId="4B6E7C5C">
      <w:pPr>
        <w:pStyle w:val="276"/>
        <w:widowControl w:val="0"/>
        <w:ind w:firstLine="480"/>
        <w:jc w:val="both"/>
        <w:rPr>
          <w:color w:val="auto"/>
        </w:rPr>
      </w:pPr>
      <w:r>
        <w:rPr>
          <w:color w:val="auto"/>
          <w:kern w:val="2"/>
          <w:szCs w:val="28"/>
        </w:rPr>
        <w:t>本项目评价范围内生态系统类型以农田生态系统和草地生态系统为主。本项目评价范围内土地利用类型以耕地和草地为主，工程所在区域内主要土壤类型为草甸土，工程所在区域人类活动频繁，野生动物较少，区域生态环境总体质量较好</w:t>
      </w:r>
      <w:r>
        <w:rPr>
          <w:rFonts w:hint="eastAsia"/>
          <w:color w:val="auto"/>
          <w:kern w:val="2"/>
          <w:szCs w:val="28"/>
        </w:rPr>
        <w:t>，</w:t>
      </w:r>
      <w:r>
        <w:rPr>
          <w:snapToGrid w:val="0"/>
          <w:color w:val="auto"/>
          <w:szCs w:val="20"/>
        </w:rPr>
        <w:t>未发现环境问题</w:t>
      </w:r>
      <w:r>
        <w:rPr>
          <w:color w:val="auto"/>
          <w:kern w:val="2"/>
          <w:szCs w:val="28"/>
        </w:rPr>
        <w:t>。</w:t>
      </w:r>
    </w:p>
    <w:p w14:paraId="68A5B6D4">
      <w:pPr>
        <w:pStyle w:val="5"/>
        <w:rPr>
          <w:bCs w:val="0"/>
          <w:color w:val="auto"/>
        </w:rPr>
      </w:pPr>
      <w:bookmarkStart w:id="1260" w:name="_Toc212033030"/>
      <w:bookmarkStart w:id="1261" w:name="_Toc31193"/>
      <w:r>
        <w:rPr>
          <w:bCs w:val="0"/>
          <w:color w:val="auto"/>
        </w:rPr>
        <w:t>区域污染源调查</w:t>
      </w:r>
      <w:bookmarkEnd w:id="1260"/>
      <w:bookmarkEnd w:id="1261"/>
    </w:p>
    <w:p w14:paraId="3863C1F3">
      <w:pPr>
        <w:pStyle w:val="276"/>
        <w:widowControl w:val="0"/>
        <w:ind w:firstLine="480"/>
        <w:jc w:val="both"/>
        <w:rPr>
          <w:color w:val="auto"/>
          <w:szCs w:val="28"/>
        </w:rPr>
      </w:pPr>
      <w:r>
        <w:rPr>
          <w:color w:val="auto"/>
          <w:szCs w:val="28"/>
        </w:rPr>
        <w:t>本项目为油田产能项目，经现场调查，区域内污染源主要为油田场站及井场，场站主要包括朝二联卸油点、朝二联合站（朝二联转油脱水站、朝二联含油污水处理站）、朝一联含油污泥处理站等，污染物主要为油田场站及区块内已建油井、拉油点储罐产生的废气、废水、噪声、固废等污染物。</w:t>
      </w:r>
    </w:p>
    <w:p w14:paraId="6614666F">
      <w:pPr>
        <w:pStyle w:val="6"/>
        <w:rPr>
          <w:rFonts w:cs="Times New Roman"/>
          <w:color w:val="auto"/>
          <w:lang w:bidi="zh-CN"/>
        </w:rPr>
      </w:pPr>
      <w:r>
        <w:rPr>
          <w:color w:val="auto"/>
        </w:rPr>
        <w:t>大气污染源调查</w:t>
      </w:r>
    </w:p>
    <w:p w14:paraId="37AAA464">
      <w:pPr>
        <w:pStyle w:val="276"/>
        <w:widowControl w:val="0"/>
        <w:ind w:firstLine="480"/>
        <w:jc w:val="both"/>
        <w:rPr>
          <w:color w:val="auto"/>
          <w:lang w:val="zh-CN" w:bidi="zh-CN"/>
        </w:rPr>
      </w:pPr>
      <w:r>
        <w:rPr>
          <w:color w:val="auto"/>
          <w:lang w:val="zh-CN" w:bidi="zh-CN"/>
        </w:rPr>
        <w:t>（1）常规污染因子</w:t>
      </w:r>
    </w:p>
    <w:p w14:paraId="287151AB">
      <w:pPr>
        <w:pStyle w:val="276"/>
        <w:widowControl w:val="0"/>
        <w:ind w:firstLine="480"/>
        <w:jc w:val="both"/>
        <w:rPr>
          <w:color w:val="auto"/>
          <w:lang w:val="zh-CN" w:bidi="zh-CN"/>
        </w:rPr>
      </w:pPr>
      <w:r>
        <w:rPr>
          <w:rFonts w:hint="eastAsia"/>
          <w:color w:val="auto"/>
          <w:lang w:val="zh-CN" w:bidi="zh-CN"/>
        </w:rPr>
        <w:t>本项目依托场站加热炉燃烧产生的烟气，包括颗粒物、二氧化硫、氮氧化物。根据对现有工程污染防治设施运行和排放情况调查，加热炉废气均满足</w:t>
      </w:r>
      <w:r>
        <w:rPr>
          <w:rFonts w:hint="eastAsia"/>
          <w:color w:val="auto"/>
        </w:rPr>
        <w:t>《锅炉大气污染物排放标准》（GB13271-2014）</w:t>
      </w:r>
      <w:r>
        <w:rPr>
          <w:rFonts w:hint="eastAsia"/>
          <w:color w:val="auto"/>
          <w:szCs w:val="20"/>
        </w:rPr>
        <w:t>表2新建</w:t>
      </w:r>
      <w:r>
        <w:rPr>
          <w:rFonts w:hint="eastAsia"/>
          <w:color w:val="auto"/>
        </w:rPr>
        <w:t>燃气锅炉大气污染物排放浓度限值</w:t>
      </w:r>
      <w:r>
        <w:rPr>
          <w:color w:val="auto"/>
          <w:lang w:val="zh-CN" w:bidi="zh-CN"/>
        </w:rPr>
        <w:t>。</w:t>
      </w:r>
    </w:p>
    <w:p w14:paraId="1E56CF96">
      <w:pPr>
        <w:pStyle w:val="276"/>
        <w:widowControl w:val="0"/>
        <w:ind w:firstLine="480"/>
        <w:jc w:val="both"/>
        <w:rPr>
          <w:color w:val="auto"/>
          <w:lang w:val="zh-CN" w:bidi="zh-CN"/>
        </w:rPr>
      </w:pPr>
      <w:r>
        <w:rPr>
          <w:color w:val="auto"/>
          <w:lang w:val="zh-CN" w:bidi="zh-CN"/>
        </w:rPr>
        <w:t>（2）特征污染因子</w:t>
      </w:r>
    </w:p>
    <w:p w14:paraId="03666565">
      <w:pPr>
        <w:pStyle w:val="276"/>
        <w:widowControl w:val="0"/>
        <w:ind w:firstLine="480"/>
        <w:jc w:val="both"/>
        <w:rPr>
          <w:color w:val="auto"/>
          <w:lang w:val="zh-CN" w:bidi="zh-CN"/>
        </w:rPr>
      </w:pPr>
      <w:r>
        <w:rPr>
          <w:color w:val="auto"/>
          <w:kern w:val="2"/>
          <w:szCs w:val="20"/>
        </w:rPr>
        <w:t>源212</w:t>
      </w:r>
      <w:r>
        <w:rPr>
          <w:color w:val="auto"/>
          <w:kern w:val="2"/>
          <w:szCs w:val="22"/>
        </w:rPr>
        <w:t>区块</w:t>
      </w:r>
      <w:r>
        <w:rPr>
          <w:color w:val="auto"/>
          <w:kern w:val="2"/>
          <w:szCs w:val="20"/>
        </w:rPr>
        <w:t>目前产油约1.22×10</w:t>
      </w:r>
      <w:r>
        <w:rPr>
          <w:color w:val="auto"/>
          <w:kern w:val="2"/>
          <w:szCs w:val="20"/>
          <w:vertAlign w:val="superscript"/>
        </w:rPr>
        <w:t>4</w:t>
      </w:r>
      <w:r>
        <w:rPr>
          <w:color w:val="auto"/>
          <w:kern w:val="2"/>
          <w:szCs w:val="20"/>
        </w:rPr>
        <w:t>t/a。</w:t>
      </w:r>
      <w:r>
        <w:rPr>
          <w:color w:val="auto"/>
          <w:lang w:val="zh-CN" w:bidi="zh-CN"/>
        </w:rPr>
        <w:t>根据《大气挥发性有机物源排放清单编制技术指南（试行）》中石油化工业天然原油和天然气开采，石油开采</w:t>
      </w:r>
      <w:r>
        <w:rPr>
          <w:color w:val="auto"/>
        </w:rPr>
        <w:t>挥发性有机物</w:t>
      </w:r>
      <w:r>
        <w:rPr>
          <w:color w:val="auto"/>
          <w:lang w:val="zh-CN" w:bidi="zh-CN"/>
        </w:rPr>
        <w:t>产生系数1.4175g/kg原油，则</w:t>
      </w:r>
      <w:r>
        <w:rPr>
          <w:color w:val="auto"/>
          <w:lang w:bidi="zh-CN"/>
        </w:rPr>
        <w:t>现有区域非甲烷总烃挥发量为</w:t>
      </w:r>
      <w:r>
        <w:rPr>
          <w:rFonts w:hint="eastAsia"/>
          <w:color w:val="auto"/>
          <w:szCs w:val="20"/>
        </w:rPr>
        <w:t>17.29</w:t>
      </w:r>
      <w:r>
        <w:rPr>
          <w:color w:val="auto"/>
          <w:szCs w:val="20"/>
        </w:rPr>
        <w:t>t/a</w:t>
      </w:r>
      <w:r>
        <w:rPr>
          <w:color w:val="auto"/>
          <w:lang w:bidi="zh-CN"/>
        </w:rPr>
        <w:t>。</w:t>
      </w:r>
    </w:p>
    <w:p w14:paraId="0A4C7424">
      <w:pPr>
        <w:pStyle w:val="276"/>
        <w:widowControl w:val="0"/>
        <w:ind w:firstLine="480"/>
        <w:jc w:val="both"/>
        <w:rPr>
          <w:color w:val="auto"/>
          <w:lang w:val="zh-CN" w:bidi="zh-CN"/>
        </w:rPr>
      </w:pPr>
      <w:r>
        <w:rPr>
          <w:color w:val="auto"/>
          <w:lang w:val="zh-CN" w:bidi="zh-CN"/>
        </w:rPr>
        <w:t>（3）汽车尾气</w:t>
      </w:r>
    </w:p>
    <w:p w14:paraId="32102F25">
      <w:pPr>
        <w:pStyle w:val="276"/>
        <w:widowControl w:val="0"/>
        <w:ind w:firstLine="480"/>
        <w:jc w:val="both"/>
        <w:rPr>
          <w:color w:val="auto"/>
          <w:lang w:val="zh-CN" w:bidi="zh-CN"/>
        </w:rPr>
      </w:pPr>
      <w:r>
        <w:rPr>
          <w:color w:val="auto"/>
          <w:lang w:val="zh-CN" w:bidi="zh-CN"/>
        </w:rPr>
        <w:t>由于项目的开发建设导致区内车辆、交通量增加，导致排放尾气增多，主要特征污染物为CO、NO</w:t>
      </w:r>
      <w:r>
        <w:rPr>
          <w:color w:val="auto"/>
          <w:vertAlign w:val="subscript"/>
          <w:lang w:val="zh-CN" w:bidi="zh-CN"/>
        </w:rPr>
        <w:t>x</w:t>
      </w:r>
      <w:r>
        <w:rPr>
          <w:color w:val="auto"/>
          <w:lang w:val="zh-CN" w:bidi="zh-CN"/>
        </w:rPr>
        <w:t>和碳氢化合物，属于流动源。</w:t>
      </w:r>
    </w:p>
    <w:p w14:paraId="31ED5C69">
      <w:pPr>
        <w:pStyle w:val="276"/>
        <w:widowControl w:val="0"/>
        <w:ind w:firstLine="480"/>
        <w:jc w:val="both"/>
        <w:rPr>
          <w:color w:val="auto"/>
          <w:lang w:val="zh-CN" w:bidi="zh-CN"/>
        </w:rPr>
      </w:pPr>
      <w:r>
        <w:rPr>
          <w:color w:val="auto"/>
          <w:lang w:val="zh-CN" w:bidi="zh-CN"/>
        </w:rPr>
        <w:t>（</w:t>
      </w:r>
      <w:r>
        <w:rPr>
          <w:rFonts w:hint="eastAsia"/>
          <w:color w:val="auto"/>
          <w:lang w:val="zh-CN" w:bidi="zh-CN"/>
        </w:rPr>
        <w:t>4</w:t>
      </w:r>
      <w:r>
        <w:rPr>
          <w:color w:val="auto"/>
          <w:lang w:val="zh-CN" w:bidi="zh-CN"/>
        </w:rPr>
        <w:t>）</w:t>
      </w:r>
      <w:r>
        <w:rPr>
          <w:rFonts w:hint="eastAsia"/>
          <w:color w:val="auto"/>
          <w:lang w:val="zh-CN" w:bidi="zh-CN"/>
        </w:rPr>
        <w:t>区域空气质量变化状况</w:t>
      </w:r>
    </w:p>
    <w:p w14:paraId="79FEE3EF">
      <w:pPr>
        <w:pStyle w:val="276"/>
        <w:widowControl w:val="0"/>
        <w:ind w:firstLine="480"/>
        <w:jc w:val="both"/>
        <w:rPr>
          <w:color w:val="auto"/>
          <w:lang w:bidi="zh-CN"/>
        </w:rPr>
      </w:pPr>
      <w:r>
        <w:rPr>
          <w:color w:val="auto"/>
          <w:lang w:val="zh-CN" w:bidi="zh-CN"/>
        </w:rPr>
        <w:t>根据收集的</w:t>
      </w:r>
      <w:r>
        <w:rPr>
          <w:rFonts w:hint="eastAsia"/>
          <w:color w:val="auto"/>
          <w:lang w:val="zh-CN" w:bidi="zh-CN"/>
        </w:rPr>
        <w:t>滚动开发区块建设项目近</w:t>
      </w:r>
      <w:r>
        <w:rPr>
          <w:color w:val="auto"/>
          <w:lang w:val="zh-CN" w:bidi="zh-CN"/>
        </w:rPr>
        <w:t>5年的区域环境质量情况，具体见</w:t>
      </w:r>
      <w:r>
        <w:rPr>
          <w:rFonts w:hint="eastAsia"/>
          <w:color w:val="auto"/>
          <w:lang w:val="zh-CN" w:bidi="zh-CN"/>
        </w:rPr>
        <w:t>4</w:t>
      </w:r>
      <w:r>
        <w:rPr>
          <w:color w:val="auto"/>
          <w:lang w:val="zh-CN" w:bidi="zh-CN"/>
        </w:rPr>
        <w:t>.3.1.3，</w:t>
      </w:r>
      <w:r>
        <w:rPr>
          <w:color w:val="auto"/>
          <w:lang w:bidi="zh-CN"/>
        </w:rPr>
        <w:t>项目区域内环境质量良好，各污染物浓度没有明显增加</w:t>
      </w:r>
      <w:r>
        <w:rPr>
          <w:rFonts w:hint="eastAsia"/>
          <w:color w:val="auto"/>
          <w:lang w:bidi="zh-CN"/>
        </w:rPr>
        <w:t>，</w:t>
      </w:r>
      <w:r>
        <w:rPr>
          <w:color w:val="auto"/>
          <w:lang w:bidi="zh-CN"/>
        </w:rPr>
        <w:t>且均满足《环境空气质量标准》（GB3095-2012）及其修改单中二级标准的要求，</w:t>
      </w:r>
      <w:r>
        <w:rPr>
          <w:rFonts w:hint="eastAsia"/>
          <w:color w:val="auto"/>
          <w:lang w:bidi="zh-CN"/>
        </w:rPr>
        <w:t>说明</w:t>
      </w:r>
      <w:r>
        <w:rPr>
          <w:color w:val="auto"/>
          <w:lang w:bidi="zh-CN"/>
        </w:rPr>
        <w:t>滚动开发区块未对区域环境空气质量造成明显影响。</w:t>
      </w:r>
    </w:p>
    <w:p w14:paraId="427B4614">
      <w:pPr>
        <w:pStyle w:val="276"/>
        <w:widowControl w:val="0"/>
        <w:ind w:firstLine="480"/>
        <w:jc w:val="both"/>
        <w:rPr>
          <w:color w:val="auto"/>
          <w:lang w:val="zh-CN" w:bidi="zh-CN"/>
        </w:rPr>
      </w:pPr>
      <w:r>
        <w:rPr>
          <w:color w:val="auto"/>
          <w:lang w:bidi="zh-CN"/>
        </w:rPr>
        <w:t>同时区域内</w:t>
      </w:r>
      <w:r>
        <w:rPr>
          <w:rFonts w:hint="eastAsia"/>
          <w:color w:val="auto"/>
          <w:lang w:bidi="zh-CN"/>
        </w:rPr>
        <w:t>依托场站</w:t>
      </w:r>
      <w:r>
        <w:rPr>
          <w:color w:val="auto"/>
          <w:lang w:bidi="zh-CN"/>
        </w:rPr>
        <w:t>加热炉使用清洁燃料天然气，并采用低氮燃烧器，加热炉排放的污染物能够达到</w:t>
      </w:r>
      <w:r>
        <w:rPr>
          <w:rFonts w:hint="eastAsia"/>
          <w:color w:val="auto"/>
          <w:kern w:val="2"/>
        </w:rPr>
        <w:t>《锅炉大气污染物排放标准》（GB13271-2014）</w:t>
      </w:r>
      <w:r>
        <w:rPr>
          <w:rFonts w:hint="eastAsia"/>
          <w:color w:val="auto"/>
          <w:kern w:val="2"/>
          <w:szCs w:val="20"/>
        </w:rPr>
        <w:t>表2新建</w:t>
      </w:r>
      <w:r>
        <w:rPr>
          <w:rFonts w:hint="eastAsia"/>
          <w:color w:val="auto"/>
          <w:kern w:val="2"/>
        </w:rPr>
        <w:t>燃气锅炉大气污染物排放浓度限值</w:t>
      </w:r>
      <w:r>
        <w:rPr>
          <w:color w:val="auto"/>
          <w:lang w:bidi="zh-CN"/>
        </w:rPr>
        <w:t>；现有站场原油集输均采用密闭集输管线、装置，场站内各关键接口法兰均进行了密闭处理，可有效控制烃类物质的排放，目前现有井场边界、站场厂界非甲烷总烃浓度能够满足</w:t>
      </w:r>
      <w:r>
        <w:rPr>
          <w:color w:val="auto"/>
        </w:rPr>
        <w:t>《陆上石油天然气开采工业大气污染物排放标准》</w:t>
      </w:r>
      <w:r>
        <w:rPr>
          <w:color w:val="auto"/>
          <w:lang w:bidi="zh-CN"/>
        </w:rPr>
        <w:t>（GB39728-2020）5.9中规定要求，</w:t>
      </w:r>
      <w:r>
        <w:rPr>
          <w:rFonts w:hint="eastAsia"/>
          <w:color w:val="auto"/>
          <w:lang w:bidi="zh-CN"/>
        </w:rPr>
        <w:t>区块内</w:t>
      </w:r>
      <w:r>
        <w:rPr>
          <w:color w:val="auto"/>
          <w:lang w:bidi="zh-CN"/>
        </w:rPr>
        <w:t>场站排放的VOCs（以非甲烷总烃计）厂区内能够满足《挥发性有机物无组织排放控制标准》（GB 37822-2019）附录A 中VOCs 无组织排放限值要求。</w:t>
      </w:r>
    </w:p>
    <w:p w14:paraId="0E3C49A8">
      <w:pPr>
        <w:pStyle w:val="276"/>
        <w:widowControl w:val="0"/>
        <w:ind w:firstLine="480"/>
        <w:jc w:val="both"/>
        <w:rPr>
          <w:color w:val="auto"/>
          <w:lang w:val="zh-CN" w:bidi="zh-CN"/>
        </w:rPr>
      </w:pPr>
      <w:r>
        <w:rPr>
          <w:color w:val="auto"/>
          <w:lang w:val="zh-CN" w:bidi="zh-CN"/>
        </w:rPr>
        <w:t>由以上分析</w:t>
      </w:r>
      <w:r>
        <w:rPr>
          <w:rFonts w:hint="eastAsia"/>
          <w:color w:val="auto"/>
          <w:lang w:val="zh-CN" w:bidi="zh-CN"/>
        </w:rPr>
        <w:t>，建设项目所在区域的不存在大气环境问题。</w:t>
      </w:r>
    </w:p>
    <w:p w14:paraId="39E26416">
      <w:pPr>
        <w:pStyle w:val="6"/>
        <w:rPr>
          <w:color w:val="auto"/>
        </w:rPr>
      </w:pPr>
      <w:r>
        <w:rPr>
          <w:color w:val="auto"/>
        </w:rPr>
        <w:t>废水污染源调查</w:t>
      </w:r>
    </w:p>
    <w:p w14:paraId="3D26605B">
      <w:pPr>
        <w:pStyle w:val="276"/>
        <w:widowControl w:val="0"/>
        <w:ind w:firstLine="480"/>
        <w:jc w:val="both"/>
        <w:rPr>
          <w:color w:val="auto"/>
          <w:lang w:val="zh-CN" w:bidi="zh-CN"/>
        </w:rPr>
      </w:pPr>
      <w:r>
        <w:rPr>
          <w:color w:val="auto"/>
          <w:lang w:val="zh-CN" w:bidi="zh-CN"/>
        </w:rPr>
        <w:t>（1）生活污水污染源</w:t>
      </w:r>
    </w:p>
    <w:p w14:paraId="044B5E07">
      <w:pPr>
        <w:pStyle w:val="276"/>
        <w:widowControl w:val="0"/>
        <w:ind w:firstLine="480"/>
        <w:jc w:val="both"/>
        <w:rPr>
          <w:color w:val="auto"/>
          <w:lang w:val="zh-CN" w:bidi="zh-CN"/>
        </w:rPr>
      </w:pPr>
      <w:r>
        <w:rPr>
          <w:color w:val="auto"/>
          <w:lang w:val="zh-CN" w:bidi="zh-CN"/>
        </w:rPr>
        <w:t>区域生活污水污染源主要来源于场站办公设施，其污染物主要为COD、BOD</w:t>
      </w:r>
      <w:r>
        <w:rPr>
          <w:color w:val="auto"/>
          <w:vertAlign w:val="subscript"/>
          <w:lang w:val="zh-CN" w:bidi="zh-CN"/>
        </w:rPr>
        <w:t>5</w:t>
      </w:r>
      <w:r>
        <w:rPr>
          <w:color w:val="auto"/>
          <w:lang w:val="zh-CN" w:bidi="zh-CN"/>
        </w:rPr>
        <w:t>、SS、NH</w:t>
      </w:r>
      <w:r>
        <w:rPr>
          <w:color w:val="auto"/>
          <w:vertAlign w:val="subscript"/>
          <w:lang w:val="zh-CN" w:bidi="zh-CN"/>
        </w:rPr>
        <w:t>3</w:t>
      </w:r>
      <w:r>
        <w:rPr>
          <w:color w:val="auto"/>
          <w:lang w:val="zh-CN" w:bidi="zh-CN"/>
        </w:rPr>
        <w:t>-N等，</w:t>
      </w:r>
      <w:r>
        <w:rPr>
          <w:color w:val="auto"/>
          <w:lang w:bidi="zh-CN"/>
        </w:rPr>
        <w:t>区域场站内的生活污水排入场站内生活污水收集装置，</w:t>
      </w:r>
      <w:r>
        <w:rPr>
          <w:rFonts w:hint="eastAsia"/>
          <w:color w:val="auto"/>
          <w:lang w:bidi="zh-CN"/>
        </w:rPr>
        <w:t>由大庆油田生态环境管护公司定期拉运至第十采油厂生活污水处理站处理，处理后污水水质达到《城镇污水处理厂污染物排放标准》（GB18918-2002）中的一级 A 类标准经污水排放管排入路边渠最终汇入牛毛沟</w:t>
      </w:r>
      <w:r>
        <w:rPr>
          <w:color w:val="auto"/>
          <w:lang w:bidi="zh-CN"/>
        </w:rPr>
        <w:t>。</w:t>
      </w:r>
    </w:p>
    <w:p w14:paraId="5A62D349">
      <w:pPr>
        <w:pStyle w:val="276"/>
        <w:widowControl w:val="0"/>
        <w:ind w:firstLine="480"/>
        <w:jc w:val="both"/>
        <w:rPr>
          <w:color w:val="auto"/>
          <w:lang w:val="zh-CN" w:bidi="zh-CN"/>
        </w:rPr>
      </w:pPr>
      <w:r>
        <w:rPr>
          <w:color w:val="auto"/>
          <w:lang w:val="zh-CN" w:bidi="zh-CN"/>
        </w:rPr>
        <w:t>（2）工业污水污染源</w:t>
      </w:r>
    </w:p>
    <w:p w14:paraId="1C507FD2">
      <w:pPr>
        <w:pStyle w:val="276"/>
        <w:widowControl w:val="0"/>
        <w:ind w:firstLine="480"/>
        <w:jc w:val="both"/>
        <w:rPr>
          <w:color w:val="auto"/>
          <w:lang w:val="zh-CN" w:bidi="zh-CN"/>
        </w:rPr>
      </w:pPr>
      <w:r>
        <w:rPr>
          <w:color w:val="auto"/>
          <w:lang w:val="zh-CN" w:bidi="zh-CN"/>
        </w:rPr>
        <w:t>工业废水污染源主要为油田采出水、油水井作业污水、洗井污水，废水污染物为pH、SS、石油类等。</w:t>
      </w:r>
    </w:p>
    <w:p w14:paraId="57446F22">
      <w:pPr>
        <w:pStyle w:val="276"/>
        <w:widowControl w:val="0"/>
        <w:ind w:firstLine="480"/>
        <w:jc w:val="both"/>
        <w:rPr>
          <w:color w:val="auto"/>
          <w:lang w:val="zh-CN" w:bidi="zh-CN"/>
        </w:rPr>
      </w:pPr>
      <w:r>
        <w:rPr>
          <w:color w:val="auto"/>
        </w:rPr>
        <w:t>区域内油田采出水量为1.67×10</w:t>
      </w:r>
      <w:r>
        <w:rPr>
          <w:color w:val="auto"/>
          <w:vertAlign w:val="superscript"/>
        </w:rPr>
        <w:t>4</w:t>
      </w:r>
      <w:r>
        <w:rPr>
          <w:color w:val="auto"/>
        </w:rPr>
        <w:t>t/a</w:t>
      </w:r>
      <w:r>
        <w:rPr>
          <w:color w:val="auto"/>
          <w:kern w:val="2"/>
          <w:szCs w:val="22"/>
        </w:rPr>
        <w:t>，</w:t>
      </w:r>
      <w:r>
        <w:rPr>
          <w:color w:val="auto"/>
          <w:kern w:val="2"/>
          <w:szCs w:val="20"/>
        </w:rPr>
        <w:t>油</w:t>
      </w:r>
      <w:r>
        <w:rPr>
          <w:color w:val="auto"/>
          <w:szCs w:val="20"/>
        </w:rPr>
        <w:t>水</w:t>
      </w:r>
      <w:r>
        <w:rPr>
          <w:color w:val="auto"/>
          <w:kern w:val="2"/>
          <w:szCs w:val="20"/>
        </w:rPr>
        <w:t>井作业（修井）产生的作业污水共计约148.96m</w:t>
      </w:r>
      <w:r>
        <w:rPr>
          <w:color w:val="auto"/>
          <w:kern w:val="2"/>
          <w:szCs w:val="20"/>
          <w:vertAlign w:val="superscript"/>
        </w:rPr>
        <w:t>3</w:t>
      </w:r>
      <w:r>
        <w:rPr>
          <w:color w:val="auto"/>
          <w:kern w:val="2"/>
          <w:szCs w:val="20"/>
        </w:rPr>
        <w:t>/a；</w:t>
      </w:r>
      <w:r>
        <w:rPr>
          <w:color w:val="auto"/>
          <w:szCs w:val="20"/>
        </w:rPr>
        <w:t>现有区块水井洗井产生的洗井污水共计约16182.6m</w:t>
      </w:r>
      <w:r>
        <w:rPr>
          <w:color w:val="auto"/>
          <w:szCs w:val="20"/>
          <w:vertAlign w:val="superscript"/>
        </w:rPr>
        <w:t>3</w:t>
      </w:r>
      <w:r>
        <w:rPr>
          <w:color w:val="auto"/>
          <w:szCs w:val="20"/>
        </w:rPr>
        <w:t>/a</w:t>
      </w:r>
      <w:r>
        <w:rPr>
          <w:color w:val="auto"/>
        </w:rPr>
        <w:t>。区域内油田采出水、油水井作业污水、洗井污水最终</w:t>
      </w:r>
      <w:r>
        <w:rPr>
          <w:rFonts w:hint="eastAsia"/>
          <w:color w:val="auto"/>
        </w:rPr>
        <w:t>进入朝一联污水处理站</w:t>
      </w:r>
      <w:r>
        <w:rPr>
          <w:color w:val="auto"/>
        </w:rPr>
        <w:t>处理达标后回注油层。</w:t>
      </w:r>
    </w:p>
    <w:p w14:paraId="77684F01">
      <w:pPr>
        <w:pStyle w:val="6"/>
        <w:rPr>
          <w:color w:val="auto"/>
        </w:rPr>
      </w:pPr>
      <w:r>
        <w:rPr>
          <w:color w:val="auto"/>
        </w:rPr>
        <w:t>噪声污染源调查</w:t>
      </w:r>
    </w:p>
    <w:p w14:paraId="77ABC987">
      <w:pPr>
        <w:pStyle w:val="276"/>
        <w:widowControl w:val="0"/>
        <w:ind w:firstLine="480"/>
        <w:jc w:val="both"/>
        <w:rPr>
          <w:color w:val="auto"/>
          <w:lang w:val="zh-CN" w:bidi="zh-CN"/>
        </w:rPr>
      </w:pPr>
      <w:r>
        <w:rPr>
          <w:color w:val="auto"/>
          <w:lang w:val="zh-CN" w:bidi="zh-CN"/>
        </w:rPr>
        <w:t>工业区工业噪声源主要分为2类，</w:t>
      </w:r>
      <w:r>
        <w:rPr>
          <w:color w:val="auto"/>
          <w:lang w:bidi="zh-CN"/>
        </w:rPr>
        <w:t>分别</w:t>
      </w:r>
      <w:r>
        <w:rPr>
          <w:color w:val="auto"/>
          <w:lang w:val="zh-CN" w:bidi="zh-CN"/>
        </w:rPr>
        <w:t>如下：</w:t>
      </w:r>
    </w:p>
    <w:p w14:paraId="145F3D1A">
      <w:pPr>
        <w:pStyle w:val="276"/>
        <w:widowControl w:val="0"/>
        <w:ind w:firstLine="480"/>
        <w:jc w:val="both"/>
        <w:rPr>
          <w:color w:val="auto"/>
          <w:lang w:val="zh-CN" w:bidi="zh-CN"/>
        </w:rPr>
      </w:pPr>
      <w:r>
        <w:rPr>
          <w:color w:val="auto"/>
          <w:lang w:val="zh-CN" w:bidi="zh-CN"/>
        </w:rPr>
        <w:t>第一类是工业企业噪声：主要为泵类、风机类、抽油机井等设备噪声，主要噪声源为</w:t>
      </w:r>
      <w:r>
        <w:rPr>
          <w:rFonts w:hint="eastAsia"/>
          <w:color w:val="auto"/>
          <w:lang w:val="zh-CN" w:bidi="zh-CN"/>
        </w:rPr>
        <w:t>油田场站</w:t>
      </w:r>
      <w:r>
        <w:rPr>
          <w:color w:val="auto"/>
          <w:lang w:val="zh-CN" w:bidi="zh-CN"/>
        </w:rPr>
        <w:t>、抽油机井等；第二类是交通噪声：主要是井排路、通井路的运输车辆</w:t>
      </w:r>
      <w:r>
        <w:rPr>
          <w:color w:val="auto"/>
          <w:lang w:bidi="zh-CN"/>
        </w:rPr>
        <w:t>产生</w:t>
      </w:r>
      <w:r>
        <w:rPr>
          <w:color w:val="auto"/>
          <w:lang w:val="zh-CN" w:bidi="zh-CN"/>
        </w:rPr>
        <w:t>的噪声。</w:t>
      </w:r>
    </w:p>
    <w:p w14:paraId="24B7C811">
      <w:pPr>
        <w:pStyle w:val="276"/>
        <w:widowControl w:val="0"/>
        <w:ind w:firstLine="480"/>
        <w:jc w:val="both"/>
        <w:rPr>
          <w:color w:val="auto"/>
          <w:lang w:val="zh-CN" w:bidi="zh-CN"/>
        </w:rPr>
      </w:pPr>
      <w:r>
        <w:rPr>
          <w:color w:val="auto"/>
          <w:lang w:val="zh-CN" w:bidi="zh-CN"/>
        </w:rPr>
        <w:t>根据现有区块内验收调查报告中对区域内已建井场、场站的监测结果可知，现有区块内已建井场</w:t>
      </w:r>
      <w:r>
        <w:rPr>
          <w:rFonts w:hint="eastAsia"/>
          <w:color w:val="auto"/>
          <w:lang w:val="zh-CN" w:bidi="zh-CN"/>
        </w:rPr>
        <w:t>永久占地外</w:t>
      </w:r>
      <w:r>
        <w:rPr>
          <w:color w:val="auto"/>
          <w:lang w:val="zh-CN" w:bidi="zh-CN"/>
        </w:rPr>
        <w:t>20m处噪声能够满足</w:t>
      </w:r>
      <w:r>
        <w:rPr>
          <w:color w:val="auto"/>
          <w:lang w:bidi="zh-CN"/>
        </w:rPr>
        <w:t>《工业企业厂界环境噪声排放标准》</w:t>
      </w:r>
      <w:r>
        <w:rPr>
          <w:color w:val="auto"/>
          <w:lang w:val="zh-CN" w:bidi="zh-CN"/>
        </w:rPr>
        <w:t>（GB12348-2008）2类标准</w:t>
      </w:r>
      <w:r>
        <w:rPr>
          <w:rFonts w:hint="eastAsia"/>
          <w:color w:val="auto"/>
          <w:lang w:val="zh-CN" w:bidi="zh-CN"/>
        </w:rPr>
        <w:t>，场站</w:t>
      </w:r>
      <w:r>
        <w:rPr>
          <w:color w:val="auto"/>
          <w:lang w:val="zh-CN" w:bidi="zh-CN"/>
        </w:rPr>
        <w:t>厂界噪声满足</w:t>
      </w:r>
      <w:r>
        <w:rPr>
          <w:color w:val="auto"/>
          <w:lang w:bidi="zh-CN"/>
        </w:rPr>
        <w:t>《工业企业厂界环境噪声排放标准》</w:t>
      </w:r>
      <w:r>
        <w:rPr>
          <w:color w:val="auto"/>
          <w:lang w:val="zh-CN" w:bidi="zh-CN"/>
        </w:rPr>
        <w:t>（GB12348-2008）2类标准。</w:t>
      </w:r>
    </w:p>
    <w:p w14:paraId="398301CD">
      <w:pPr>
        <w:pStyle w:val="6"/>
        <w:rPr>
          <w:color w:val="auto"/>
        </w:rPr>
      </w:pPr>
      <w:r>
        <w:rPr>
          <w:color w:val="auto"/>
        </w:rPr>
        <w:t>固体废物污染源分析</w:t>
      </w:r>
    </w:p>
    <w:p w14:paraId="71E8F634">
      <w:pPr>
        <w:pStyle w:val="276"/>
        <w:widowControl w:val="0"/>
        <w:ind w:firstLine="480"/>
        <w:jc w:val="both"/>
        <w:rPr>
          <w:color w:val="auto"/>
          <w:kern w:val="2"/>
        </w:rPr>
      </w:pPr>
      <w:r>
        <w:rPr>
          <w:color w:val="auto"/>
          <w:lang w:val="zh-CN" w:bidi="zh-CN"/>
        </w:rPr>
        <w:t>根据现状调查分析，</w:t>
      </w:r>
      <w:r>
        <w:rPr>
          <w:color w:val="auto"/>
          <w:kern w:val="2"/>
        </w:rPr>
        <w:t>区域内油井在进行作业过程中产生的含油污泥量约</w:t>
      </w:r>
      <w:r>
        <w:rPr>
          <w:rFonts w:hint="eastAsia"/>
          <w:color w:val="auto"/>
          <w:kern w:val="2"/>
        </w:rPr>
        <w:t>0.37</w:t>
      </w:r>
      <w:r>
        <w:rPr>
          <w:color w:val="auto"/>
          <w:kern w:val="2"/>
        </w:rPr>
        <w:t>t/a，区块内无运营场站，不涉及清淤，不产生清淤含油污泥，含油污泥由罐车拉运至</w:t>
      </w:r>
      <w:r>
        <w:rPr>
          <w:rFonts w:hint="eastAsia"/>
          <w:color w:val="auto"/>
          <w:kern w:val="2"/>
        </w:rPr>
        <w:t>朝一联含油污泥处理站减量化处理后，委托大庆博昕晶化科技有限公司</w:t>
      </w:r>
      <w:r>
        <w:rPr>
          <w:color w:val="auto"/>
          <w:kern w:val="2"/>
        </w:rPr>
        <w:t>处理满足《油田含油污泥处置与利用污染控制要求》（DB23/T 3104-2022）表1中的限值要求后，用作油田垫井场和通井路；区域内</w:t>
      </w:r>
      <w:r>
        <w:rPr>
          <w:rFonts w:hint="eastAsia"/>
          <w:color w:val="auto"/>
          <w:kern w:val="2"/>
        </w:rPr>
        <w:t>井场</w:t>
      </w:r>
      <w:r>
        <w:rPr>
          <w:color w:val="auto"/>
          <w:kern w:val="2"/>
        </w:rPr>
        <w:t>作业期间产生的落地油滴落到防渗布上，会产生含油废防渗布，含油废防渗布共产生0.98t/a，含油废防渗布由建设单位收集后暂存于第十采油厂综合固废储存库，定期委托有资质单位处理。</w:t>
      </w:r>
    </w:p>
    <w:p w14:paraId="113A15D7">
      <w:pPr>
        <w:spacing w:line="440" w:lineRule="exact"/>
        <w:ind w:firstLine="420" w:firstLineChars="200"/>
        <w:rPr>
          <w:rFonts w:ascii="宋体" w:hAnsi="宋体" w:eastAsia="宋体" w:cs="Times New Roman"/>
          <w:color w:val="auto"/>
        </w:rPr>
        <w:sectPr>
          <w:pgSz w:w="11907" w:h="16840"/>
          <w:pgMar w:top="1418" w:right="1418" w:bottom="1418" w:left="1418" w:header="851" w:footer="425" w:gutter="0"/>
          <w:cols w:space="720" w:num="1"/>
          <w:docGrid w:type="lines" w:linePitch="326" w:charSpace="0"/>
        </w:sectPr>
      </w:pPr>
    </w:p>
    <w:bookmarkEnd w:id="1241"/>
    <w:bookmarkEnd w:id="1242"/>
    <w:bookmarkEnd w:id="1243"/>
    <w:bookmarkEnd w:id="1244"/>
    <w:bookmarkEnd w:id="1245"/>
    <w:bookmarkEnd w:id="1246"/>
    <w:bookmarkEnd w:id="1247"/>
    <w:p w14:paraId="7C6490C6">
      <w:pPr>
        <w:pStyle w:val="3"/>
        <w:rPr>
          <w:rFonts w:ascii="宋体" w:hAnsi="宋体" w:eastAsia="宋体"/>
          <w:bCs/>
          <w:color w:val="auto"/>
        </w:rPr>
      </w:pPr>
      <w:bookmarkStart w:id="1262" w:name="_Toc11991"/>
      <w:bookmarkStart w:id="1263" w:name="_Toc212033031"/>
      <w:bookmarkStart w:id="1264" w:name="_Toc480447673"/>
      <w:bookmarkStart w:id="1265" w:name="_Toc502736513"/>
      <w:r>
        <w:rPr>
          <w:rFonts w:ascii="宋体" w:hAnsi="宋体" w:eastAsia="宋体"/>
          <w:bCs/>
          <w:color w:val="auto"/>
        </w:rPr>
        <w:t>环境影响预测与评价</w:t>
      </w:r>
      <w:bookmarkEnd w:id="1262"/>
      <w:bookmarkEnd w:id="1263"/>
    </w:p>
    <w:p w14:paraId="3912FA8F">
      <w:pPr>
        <w:pStyle w:val="5"/>
        <w:rPr>
          <w:bCs w:val="0"/>
          <w:color w:val="auto"/>
        </w:rPr>
      </w:pPr>
      <w:bookmarkStart w:id="1266" w:name="_Toc17898220"/>
      <w:bookmarkStart w:id="1267" w:name="_Toc57203297"/>
      <w:bookmarkStart w:id="1268" w:name="_Toc502736499"/>
      <w:bookmarkStart w:id="1269" w:name="_Toc9760"/>
      <w:bookmarkStart w:id="1270" w:name="_Toc57976719"/>
      <w:bookmarkStart w:id="1271" w:name="_Toc57707967"/>
      <w:bookmarkStart w:id="1272" w:name="_Toc9628"/>
      <w:bookmarkStart w:id="1273" w:name="_Toc212033032"/>
      <w:r>
        <w:rPr>
          <w:bCs w:val="0"/>
          <w:color w:val="auto"/>
        </w:rPr>
        <w:t>大气环境影响</w:t>
      </w:r>
      <w:bookmarkEnd w:id="1266"/>
      <w:bookmarkEnd w:id="1267"/>
      <w:bookmarkEnd w:id="1268"/>
      <w:bookmarkEnd w:id="1269"/>
      <w:bookmarkEnd w:id="1270"/>
      <w:bookmarkEnd w:id="1271"/>
      <w:r>
        <w:rPr>
          <w:bCs w:val="0"/>
          <w:color w:val="auto"/>
        </w:rPr>
        <w:t>预测与评价</w:t>
      </w:r>
      <w:bookmarkEnd w:id="1272"/>
      <w:bookmarkEnd w:id="1273"/>
    </w:p>
    <w:p w14:paraId="282318E4">
      <w:pPr>
        <w:pStyle w:val="6"/>
        <w:rPr>
          <w:color w:val="auto"/>
        </w:rPr>
      </w:pPr>
      <w:bookmarkStart w:id="1274" w:name="_Toc80971429"/>
      <w:bookmarkStart w:id="1275" w:name="_Toc78816512"/>
      <w:bookmarkStart w:id="1276" w:name="_Toc131167339"/>
      <w:bookmarkStart w:id="1277" w:name="_Toc83209529"/>
      <w:bookmarkStart w:id="1278" w:name="_Toc80588307"/>
      <w:bookmarkStart w:id="1279" w:name="_Toc77067710"/>
      <w:bookmarkStart w:id="1280" w:name="_Toc76976298"/>
      <w:bookmarkStart w:id="1281" w:name="_Toc86141983"/>
      <w:bookmarkStart w:id="1282" w:name="_Toc143099626"/>
      <w:bookmarkStart w:id="1283" w:name="_Toc85640808"/>
      <w:bookmarkStart w:id="1284" w:name="_Toc126863439"/>
      <w:bookmarkStart w:id="1285" w:name="_Toc70050233"/>
      <w:bookmarkStart w:id="1286" w:name="_Toc127192388"/>
      <w:bookmarkStart w:id="1287" w:name="_Toc84929284"/>
      <w:bookmarkStart w:id="1288" w:name="_Toc67860184"/>
      <w:bookmarkStart w:id="1289" w:name="_Toc11047899"/>
      <w:r>
        <w:rPr>
          <w:color w:val="auto"/>
        </w:rPr>
        <w:t>施工期</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657EAD9B">
      <w:pPr>
        <w:pStyle w:val="276"/>
        <w:widowControl w:val="0"/>
        <w:ind w:firstLine="480"/>
        <w:jc w:val="both"/>
        <w:rPr>
          <w:color w:val="auto"/>
        </w:rPr>
      </w:pPr>
      <w:r>
        <w:rPr>
          <w:color w:val="auto"/>
        </w:rPr>
        <w:t>本项目施工期对大气环境的影响主要是施工产生的扬尘、运输车辆排放的尾气、柴油机燃烧排放的烟气。</w:t>
      </w:r>
    </w:p>
    <w:p w14:paraId="47D6F7CA">
      <w:pPr>
        <w:spacing w:line="440" w:lineRule="exact"/>
        <w:ind w:firstLine="480" w:firstLineChars="200"/>
        <w:rPr>
          <w:rFonts w:ascii="宋体" w:hAnsi="宋体" w:eastAsia="宋体" w:cs="Times New Roman"/>
          <w:color w:val="auto"/>
          <w:kern w:val="0"/>
          <w:sz w:val="24"/>
          <w:szCs w:val="24"/>
          <w:lang w:bidi="zh-CN"/>
        </w:rPr>
      </w:pPr>
      <w:r>
        <w:rPr>
          <w:rFonts w:ascii="宋体" w:hAnsi="宋体" w:eastAsia="宋体" w:cs="Times New Roman"/>
          <w:color w:val="auto"/>
          <w:kern w:val="0"/>
          <w:sz w:val="24"/>
          <w:szCs w:val="24"/>
          <w:lang w:bidi="zh-CN"/>
        </w:rPr>
        <w:t>（1）施工扬尘</w:t>
      </w:r>
    </w:p>
    <w:p w14:paraId="1CECCA1D">
      <w:pPr>
        <w:pStyle w:val="276"/>
        <w:widowControl w:val="0"/>
        <w:ind w:firstLine="480"/>
        <w:jc w:val="both"/>
        <w:rPr>
          <w:color w:val="auto"/>
          <w:lang w:bidi="zh-CN"/>
        </w:rPr>
      </w:pPr>
      <w:r>
        <w:rPr>
          <w:color w:val="auto"/>
          <w:lang w:bidi="zh-CN"/>
        </w:rPr>
        <w:t>运输车辆行驶扬尘与车辆行驶速度、风速、路面积尘量和积尘湿度等因素有关。当车辆通过干燥且路况较差路段时，在行车道两侧扬尘的TSP浓度短期内可达8-10mg/m3。</w:t>
      </w:r>
    </w:p>
    <w:p w14:paraId="43128A2F">
      <w:pPr>
        <w:pStyle w:val="276"/>
        <w:widowControl w:val="0"/>
        <w:ind w:firstLine="480"/>
        <w:jc w:val="both"/>
        <w:rPr>
          <w:color w:val="auto"/>
          <w:lang w:bidi="zh-CN"/>
        </w:rPr>
      </w:pPr>
      <w:r>
        <w:rPr>
          <w:color w:val="auto"/>
          <w:lang w:bidi="zh-CN"/>
        </w:rPr>
        <w:t>一般情况下，施工场地、施工道路在自然风作用下产生的扬尘所影响的范围在100m以内，施工中产生的扬尘源强较大，距离项目施工建设的最近敏感点为源1011西侧140m的刘兽医屯，在管线过程中产生的施工扬尘可能会对刘兽医屯产生一定影响。根据本项目特点，在施工过程中应采取以下措施：</w:t>
      </w:r>
    </w:p>
    <w:p w14:paraId="394C0A23">
      <w:pPr>
        <w:pStyle w:val="276"/>
        <w:widowControl w:val="0"/>
        <w:ind w:firstLine="480"/>
        <w:jc w:val="both"/>
        <w:rPr>
          <w:color w:val="auto"/>
          <w:lang w:bidi="zh-CN"/>
        </w:rPr>
      </w:pPr>
      <w:r>
        <w:rPr>
          <w:color w:val="auto"/>
          <w:lang w:bidi="zh-CN"/>
        </w:rPr>
        <w:t>1）施工材料运输过程中，进行材料遮盖，防止材料洒落、风刮起的粉尘；</w:t>
      </w:r>
    </w:p>
    <w:p w14:paraId="352DAB1F">
      <w:pPr>
        <w:pStyle w:val="276"/>
        <w:widowControl w:val="0"/>
        <w:ind w:firstLine="480"/>
        <w:jc w:val="both"/>
        <w:rPr>
          <w:color w:val="auto"/>
          <w:lang w:bidi="zh-CN"/>
        </w:rPr>
      </w:pPr>
      <w:r>
        <w:rPr>
          <w:color w:val="auto"/>
          <w:lang w:bidi="zh-CN"/>
        </w:rPr>
        <w:t>2）施工场地干燥时适当洒水抑尘，建材堆放应定位定点，并采取防尘、抑尘措施，如设置挡风板、上覆遮盖材料等；</w:t>
      </w:r>
    </w:p>
    <w:p w14:paraId="340A85E6">
      <w:pPr>
        <w:pStyle w:val="276"/>
        <w:widowControl w:val="0"/>
        <w:ind w:firstLine="480"/>
        <w:jc w:val="both"/>
        <w:rPr>
          <w:color w:val="auto"/>
          <w:lang w:bidi="zh-CN"/>
        </w:rPr>
      </w:pPr>
      <w:r>
        <w:rPr>
          <w:color w:val="auto"/>
          <w:lang w:bidi="zh-CN"/>
        </w:rPr>
        <w:t>3）运输车辆路过村屯附近施工场地应低速行驶或限速行驶，减少扬尘产生。</w:t>
      </w:r>
    </w:p>
    <w:p w14:paraId="12BFA6E4">
      <w:pPr>
        <w:pStyle w:val="276"/>
        <w:widowControl w:val="0"/>
        <w:ind w:firstLine="480"/>
        <w:jc w:val="both"/>
        <w:rPr>
          <w:color w:val="auto"/>
          <w:lang w:bidi="zh-CN"/>
        </w:rPr>
      </w:pPr>
      <w:r>
        <w:rPr>
          <w:color w:val="auto"/>
          <w:lang w:bidi="zh-CN"/>
        </w:rPr>
        <w:t>4）在管沟开挖施工过程中，应定时适量洒水，并在大风天加大洒水量及洒水次数，使作业面保持一定的湿度；</w:t>
      </w:r>
    </w:p>
    <w:p w14:paraId="5D72469A">
      <w:pPr>
        <w:pStyle w:val="276"/>
        <w:widowControl w:val="0"/>
        <w:ind w:firstLine="480"/>
        <w:jc w:val="both"/>
        <w:rPr>
          <w:color w:val="auto"/>
          <w:lang w:bidi="zh-CN"/>
        </w:rPr>
      </w:pPr>
      <w:r>
        <w:rPr>
          <w:color w:val="auto"/>
          <w:lang w:bidi="zh-CN"/>
        </w:rPr>
        <w:t>5）加强回填土方堆放场的管理，要采取土方表面压实、覆盖等措施。</w:t>
      </w:r>
    </w:p>
    <w:p w14:paraId="040B709E">
      <w:pPr>
        <w:pStyle w:val="276"/>
        <w:widowControl w:val="0"/>
        <w:ind w:firstLine="480"/>
        <w:jc w:val="both"/>
        <w:rPr>
          <w:color w:val="auto"/>
          <w:lang w:bidi="zh-CN"/>
        </w:rPr>
      </w:pPr>
      <w:r>
        <w:rPr>
          <w:color w:val="auto"/>
          <w:lang w:bidi="zh-CN"/>
        </w:rPr>
        <w:t>6）在距离村屯较近管线施工过程中采取人工开挖，施工阶段设置围挡等方式降低施工噪声及扬尘对周边村屯的影响。</w:t>
      </w:r>
    </w:p>
    <w:p w14:paraId="45EC1BBD">
      <w:pPr>
        <w:pStyle w:val="276"/>
        <w:widowControl w:val="0"/>
        <w:ind w:firstLine="480"/>
        <w:jc w:val="both"/>
        <w:rPr>
          <w:color w:val="auto"/>
          <w:lang w:bidi="zh-CN"/>
        </w:rPr>
      </w:pPr>
      <w:r>
        <w:rPr>
          <w:color w:val="auto"/>
          <w:lang w:bidi="zh-CN"/>
        </w:rPr>
        <w:t>采取上述措施后，可有效降低施工期过程中产生的扬尘，颗粒物浓度能够满足《大气污染物综合排放标准》（GB16297-1996）表2中无组织排放监控浓度限值要求。项目施工结束后及时恢复施工占地的原有地表形态。施工扬尘对沿线敏感目标影响具有一定的时段性，这种影响随着施工期的结束而消失。</w:t>
      </w:r>
    </w:p>
    <w:p w14:paraId="0DF1004C">
      <w:pPr>
        <w:pStyle w:val="276"/>
        <w:widowControl w:val="0"/>
        <w:ind w:firstLine="480"/>
        <w:jc w:val="both"/>
        <w:rPr>
          <w:color w:val="auto"/>
        </w:rPr>
      </w:pPr>
      <w:r>
        <w:rPr>
          <w:color w:val="auto"/>
        </w:rPr>
        <w:t>（2）施工车辆尾气</w:t>
      </w:r>
    </w:p>
    <w:p w14:paraId="71A526E4">
      <w:pPr>
        <w:pStyle w:val="276"/>
        <w:widowControl w:val="0"/>
        <w:ind w:firstLine="480"/>
        <w:jc w:val="both"/>
        <w:rPr>
          <w:color w:val="auto"/>
        </w:rPr>
      </w:pPr>
      <w:r>
        <w:rPr>
          <w:color w:val="auto"/>
        </w:rPr>
        <w:t>本项目施工期各类工程及运输车辆排放的尾气会对大气环境造成一定污染，排放主要污染物为NOx、CO、HC等，均属于无组织排放，施工所处地区宽阔，地形简单，污染物在大气中可快速扩散，由于车辆排放的尾气为流动的线源，影响范围较大，但其污染不集中且扩散能力相对较快，因此对环境的空气的影响不是很大。</w:t>
      </w:r>
    </w:p>
    <w:p w14:paraId="67D1FD60">
      <w:pPr>
        <w:pStyle w:val="276"/>
        <w:widowControl w:val="0"/>
        <w:ind w:firstLine="480"/>
        <w:jc w:val="both"/>
        <w:rPr>
          <w:color w:val="auto"/>
        </w:rPr>
      </w:pPr>
      <w:r>
        <w:rPr>
          <w:color w:val="auto"/>
        </w:rPr>
        <w:t>（3）柴油机燃烧排放的烟气</w:t>
      </w:r>
    </w:p>
    <w:p w14:paraId="7DF23226">
      <w:pPr>
        <w:pStyle w:val="276"/>
        <w:widowControl w:val="0"/>
        <w:ind w:firstLine="480"/>
        <w:jc w:val="both"/>
        <w:rPr>
          <w:color w:val="auto"/>
        </w:rPr>
      </w:pPr>
      <w:r>
        <w:rPr>
          <w:color w:val="auto"/>
        </w:rPr>
        <w:t>钻井时钻机和其他设备动力源均由发电机提供，而为</w:t>
      </w:r>
      <w:r>
        <w:rPr>
          <w:color w:val="auto"/>
          <w:lang w:bidi="zh-CN"/>
        </w:rPr>
        <w:t>发电机</w:t>
      </w:r>
      <w:r>
        <w:rPr>
          <w:color w:val="auto"/>
        </w:rPr>
        <w:t>提供动能的是柴油机。根据工程分析可知，本项目柴油机功率为800kW，HC+NO</w:t>
      </w:r>
      <w:r>
        <w:rPr>
          <w:color w:val="auto"/>
          <w:vertAlign w:val="subscript"/>
        </w:rPr>
        <w:t>X</w:t>
      </w:r>
      <w:r>
        <w:rPr>
          <w:color w:val="auto"/>
        </w:rPr>
        <w:t>的排放速率</w:t>
      </w:r>
      <w:r>
        <w:rPr>
          <w:rFonts w:hint="eastAsia"/>
          <w:color w:val="auto"/>
        </w:rPr>
        <w:t>1.04</w:t>
      </w:r>
      <w:r>
        <w:rPr>
          <w:color w:val="auto"/>
        </w:rPr>
        <w:t>g/kWh，烟尘的排放速率0.</w:t>
      </w:r>
      <w:r>
        <w:rPr>
          <w:rFonts w:hint="eastAsia"/>
          <w:color w:val="auto"/>
        </w:rPr>
        <w:t>06</w:t>
      </w:r>
      <w:r>
        <w:rPr>
          <w:color w:val="auto"/>
        </w:rPr>
        <w:t>g/kWh，CO的排放速率</w:t>
      </w:r>
      <w:r>
        <w:rPr>
          <w:rFonts w:hint="eastAsia"/>
          <w:color w:val="auto"/>
        </w:rPr>
        <w:t>0.16</w:t>
      </w:r>
      <w:r>
        <w:rPr>
          <w:color w:val="auto"/>
        </w:rPr>
        <w:t>g/kWh，能够满足《非道路移动机械用柴油机排气污染物排放限值及测量方法》（中国第三、四阶段）（GB20891-2014）及2020修改单中第三阶段标准限值及《非道路移动柴油机械排气烟度限值及测量方法》（GB 36886-2018）表1中Ⅱ类限值要求。距本项目钻井井场最近保护目标为</w:t>
      </w:r>
      <w:r>
        <w:rPr>
          <w:color w:val="auto"/>
          <w:kern w:val="2"/>
        </w:rPr>
        <w:t>3号平台东北侧270m的火烧羊屯</w:t>
      </w:r>
      <w:r>
        <w:rPr>
          <w:color w:val="auto"/>
        </w:rPr>
        <w:t>，由于拟建工程开发区域所在地较空旷，扩散能力较快，因此对局部区域环境的影响不大。随着</w:t>
      </w:r>
      <w:r>
        <w:rPr>
          <w:color w:val="auto"/>
          <w:lang w:bidi="zh-CN"/>
        </w:rPr>
        <w:t>钻井</w:t>
      </w:r>
      <w:r>
        <w:rPr>
          <w:color w:val="auto"/>
        </w:rPr>
        <w:t>工作的结束，柴油机排放的废气对环境空气的影响会逐渐消失。</w:t>
      </w:r>
    </w:p>
    <w:p w14:paraId="4F7AD9AF">
      <w:pPr>
        <w:pStyle w:val="276"/>
        <w:widowControl w:val="0"/>
        <w:ind w:firstLine="480"/>
        <w:jc w:val="both"/>
        <w:rPr>
          <w:color w:val="auto"/>
          <w:lang w:val="zh-CN"/>
        </w:rPr>
      </w:pPr>
      <w:r>
        <w:rPr>
          <w:color w:val="auto"/>
          <w:lang w:val="zh-CN"/>
        </w:rPr>
        <w:t>（4）焊接烟尘</w:t>
      </w:r>
    </w:p>
    <w:p w14:paraId="36FDEE69">
      <w:pPr>
        <w:pStyle w:val="276"/>
        <w:widowControl w:val="0"/>
        <w:ind w:firstLine="480"/>
        <w:jc w:val="both"/>
        <w:rPr>
          <w:color w:val="auto"/>
          <w:lang w:val="zh-CN"/>
        </w:rPr>
      </w:pPr>
      <w:r>
        <w:rPr>
          <w:color w:val="auto"/>
          <w:lang w:val="zh-CN"/>
        </w:rPr>
        <w:t>项目管道焊接主要方式为电焊，焊接过程中会产生少量</w:t>
      </w:r>
      <w:r>
        <w:rPr>
          <w:color w:val="auto"/>
          <w:lang w:bidi="zh-CN"/>
        </w:rPr>
        <w:t>焊接</w:t>
      </w:r>
      <w:r>
        <w:rPr>
          <w:color w:val="auto"/>
          <w:lang w:val="zh-CN"/>
        </w:rPr>
        <w:t>烟尘，焊接烟气中有毒有害气体的成份主要为CO、CO</w:t>
      </w:r>
      <w:r>
        <w:rPr>
          <w:color w:val="auto"/>
          <w:vertAlign w:val="subscript"/>
          <w:lang w:val="zh-CN"/>
        </w:rPr>
        <w:t>2</w:t>
      </w:r>
      <w:r>
        <w:rPr>
          <w:color w:val="auto"/>
          <w:lang w:val="zh-CN"/>
        </w:rPr>
        <w:t>、O</w:t>
      </w:r>
      <w:r>
        <w:rPr>
          <w:color w:val="auto"/>
          <w:vertAlign w:val="subscript"/>
          <w:lang w:val="zh-CN"/>
        </w:rPr>
        <w:t>3</w:t>
      </w:r>
      <w:r>
        <w:rPr>
          <w:color w:val="auto"/>
          <w:lang w:val="zh-CN"/>
        </w:rPr>
        <w:t>、NO</w:t>
      </w:r>
      <w:r>
        <w:rPr>
          <w:color w:val="auto"/>
          <w:vertAlign w:val="subscript"/>
          <w:lang w:val="zh-CN"/>
        </w:rPr>
        <w:t>x</w:t>
      </w:r>
      <w:r>
        <w:rPr>
          <w:color w:val="auto"/>
          <w:lang w:val="zh-CN"/>
        </w:rPr>
        <w:t>、CH</w:t>
      </w:r>
      <w:r>
        <w:rPr>
          <w:color w:val="auto"/>
          <w:vertAlign w:val="subscript"/>
          <w:lang w:val="zh-CN"/>
        </w:rPr>
        <w:t>4</w:t>
      </w:r>
      <w:r>
        <w:rPr>
          <w:color w:val="auto"/>
          <w:lang w:val="zh-CN"/>
        </w:rPr>
        <w:t>等，其中以CO所占的比例最大，但由于项目焊接点较少，产生的焊接烟尘量较小，且项目位于室外，空气扩散条件较好，对大气环境影响较小。</w:t>
      </w:r>
    </w:p>
    <w:p w14:paraId="46AFF1D5">
      <w:pPr>
        <w:pStyle w:val="276"/>
        <w:widowControl w:val="0"/>
        <w:ind w:firstLine="480"/>
        <w:jc w:val="both"/>
        <w:rPr>
          <w:color w:val="auto"/>
        </w:rPr>
      </w:pPr>
      <w:r>
        <w:rPr>
          <w:color w:val="auto"/>
        </w:rPr>
        <w:t>（5）试油伴生气</w:t>
      </w:r>
    </w:p>
    <w:p w14:paraId="66DD615A">
      <w:pPr>
        <w:pStyle w:val="276"/>
        <w:widowControl w:val="0"/>
        <w:ind w:firstLine="480"/>
        <w:jc w:val="both"/>
        <w:rPr>
          <w:color w:val="auto"/>
        </w:rPr>
      </w:pPr>
      <w:r>
        <w:rPr>
          <w:color w:val="auto"/>
        </w:rPr>
        <w:t>试油阶段勘探评井产生的少量伴生气采用试油设备配套放喷管设施点火燃烧，放喷管高为8m（配套防回火与自动点火装置），</w:t>
      </w:r>
      <w:r>
        <w:rPr>
          <w:color w:val="auto"/>
          <w:lang w:bidi="zh-CN"/>
        </w:rPr>
        <w:t>设置</w:t>
      </w:r>
      <w:r>
        <w:rPr>
          <w:color w:val="auto"/>
        </w:rPr>
        <w:t>于井口50m以外，且距离发电房等易产生明火的位置20m以上。</w:t>
      </w:r>
    </w:p>
    <w:p w14:paraId="55ECA5E4">
      <w:pPr>
        <w:pStyle w:val="276"/>
        <w:widowControl w:val="0"/>
        <w:ind w:firstLine="480"/>
        <w:jc w:val="both"/>
        <w:rPr>
          <w:color w:val="auto"/>
        </w:rPr>
      </w:pPr>
      <w:r>
        <w:rPr>
          <w:color w:val="auto"/>
        </w:rPr>
        <w:t>根据大庆油田近年来气田</w:t>
      </w:r>
      <w:r>
        <w:rPr>
          <w:color w:val="auto"/>
          <w:lang w:bidi="zh-CN"/>
        </w:rPr>
        <w:t>开发</w:t>
      </w:r>
      <w:r>
        <w:rPr>
          <w:color w:val="auto"/>
        </w:rPr>
        <w:t>实际情况，放空属于短时非正常工况排放，其燃烧产污为CO</w:t>
      </w:r>
      <w:r>
        <w:rPr>
          <w:color w:val="auto"/>
          <w:vertAlign w:val="subscript"/>
        </w:rPr>
        <w:t>2</w:t>
      </w:r>
      <w:r>
        <w:rPr>
          <w:color w:val="auto"/>
        </w:rPr>
        <w:t>、H</w:t>
      </w:r>
      <w:r>
        <w:rPr>
          <w:color w:val="auto"/>
          <w:vertAlign w:val="subscript"/>
        </w:rPr>
        <w:t>2</w:t>
      </w:r>
      <w:r>
        <w:rPr>
          <w:color w:val="auto"/>
        </w:rPr>
        <w:t>O，项目产生的试气采出气均经过放喷管顶端设自动点火装置燃烧后，不排放非甲烷总烃，对环境影响较小。</w:t>
      </w:r>
    </w:p>
    <w:p w14:paraId="72A500C1">
      <w:pPr>
        <w:pStyle w:val="6"/>
        <w:rPr>
          <w:color w:val="auto"/>
        </w:rPr>
      </w:pPr>
      <w:bookmarkStart w:id="1290" w:name="_Toc78816513"/>
      <w:bookmarkStart w:id="1291" w:name="_Toc83209530"/>
      <w:bookmarkStart w:id="1292" w:name="_Toc80588308"/>
      <w:bookmarkStart w:id="1293" w:name="_Toc76976299"/>
      <w:bookmarkStart w:id="1294" w:name="_Toc127192389"/>
      <w:bookmarkStart w:id="1295" w:name="_Toc80971430"/>
      <w:bookmarkStart w:id="1296" w:name="_Toc67860185"/>
      <w:bookmarkStart w:id="1297" w:name="_Toc77067711"/>
      <w:bookmarkStart w:id="1298" w:name="_Toc85640809"/>
      <w:bookmarkStart w:id="1299" w:name="_Toc84929285"/>
      <w:bookmarkStart w:id="1300" w:name="_Toc70050234"/>
      <w:bookmarkStart w:id="1301" w:name="_Toc126863440"/>
      <w:bookmarkStart w:id="1302" w:name="_Toc86141984"/>
      <w:r>
        <w:rPr>
          <w:rFonts w:hint="eastAsia"/>
          <w:color w:val="auto"/>
        </w:rPr>
        <w:t>运营期</w:t>
      </w:r>
    </w:p>
    <w:p w14:paraId="3F1ADFA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评价区域二十年地面气象资料</w:t>
      </w:r>
    </w:p>
    <w:p w14:paraId="0502E71C">
      <w:pPr>
        <w:pStyle w:val="276"/>
        <w:widowControl w:val="0"/>
        <w:ind w:firstLine="480"/>
        <w:jc w:val="both"/>
        <w:rPr>
          <w:color w:val="auto"/>
          <w:lang w:val="zh-CN"/>
        </w:rPr>
      </w:pPr>
      <w:r>
        <w:rPr>
          <w:color w:val="auto"/>
          <w:lang w:val="zh-CN"/>
        </w:rPr>
        <w:t>本项目分布在</w:t>
      </w:r>
      <w:r>
        <w:rPr>
          <w:color w:val="auto"/>
        </w:rPr>
        <w:t>东经125°14′6.53″～125°20′1.78″，北纬45°37′28.15″～45°39′45.81″</w:t>
      </w:r>
      <w:r>
        <w:rPr>
          <w:color w:val="auto"/>
          <w:lang w:val="zh-CN"/>
        </w:rPr>
        <w:t>区域，项目采用的是大庆气象站（一般气象站，50850）资料，气象站位于黑龙江省大庆市，地理坐标为东经124.99030°，北纬46.62080°，海拔高度152m。气象站始建于2005年，于2005年正式进行气象观测。</w:t>
      </w:r>
    </w:p>
    <w:p w14:paraId="5B68BDB0">
      <w:pPr>
        <w:pStyle w:val="276"/>
        <w:widowControl w:val="0"/>
        <w:ind w:firstLine="480"/>
        <w:jc w:val="both"/>
        <w:rPr>
          <w:color w:val="auto"/>
          <w:lang w:val="zh-CN"/>
        </w:rPr>
      </w:pPr>
      <w:r>
        <w:rPr>
          <w:color w:val="auto"/>
          <w:lang w:val="zh-CN"/>
        </w:rPr>
        <w:t>大庆气象站距离本项目100km，拥有长期的气象观测资料，以下资料根据2005-2024年气象数据统计分析。</w:t>
      </w:r>
    </w:p>
    <w:p w14:paraId="5C4202B2">
      <w:pPr>
        <w:pStyle w:val="276"/>
        <w:widowControl w:val="0"/>
        <w:ind w:firstLine="480"/>
        <w:jc w:val="both"/>
        <w:rPr>
          <w:color w:val="auto"/>
          <w:lang w:val="zh-CN"/>
        </w:rPr>
      </w:pPr>
      <w:r>
        <w:rPr>
          <w:color w:val="auto"/>
          <w:lang w:val="zh-CN"/>
        </w:rPr>
        <w:t>（1）气象站常规气象统计</w:t>
      </w:r>
    </w:p>
    <w:p w14:paraId="6B6E46DF">
      <w:pPr>
        <w:pStyle w:val="276"/>
        <w:widowControl w:val="0"/>
        <w:ind w:firstLine="480"/>
        <w:jc w:val="both"/>
        <w:rPr>
          <w:color w:val="auto"/>
          <w:lang w:val="zh-CN"/>
        </w:rPr>
      </w:pPr>
      <w:r>
        <w:rPr>
          <w:color w:val="auto"/>
          <w:lang w:val="zh-CN"/>
        </w:rPr>
        <w:t>气象站常规气象项目统计表见表5.1-1。</w:t>
      </w:r>
    </w:p>
    <w:p w14:paraId="00A1BB8C">
      <w:pPr>
        <w:pStyle w:val="276"/>
        <w:widowControl w:val="0"/>
        <w:spacing w:line="440" w:lineRule="exact"/>
        <w:ind w:firstLine="0" w:firstLineChars="0"/>
        <w:jc w:val="center"/>
        <w:rPr>
          <w:color w:val="auto"/>
        </w:rPr>
      </w:pPr>
      <w:r>
        <w:rPr>
          <w:color w:val="auto"/>
        </w:rPr>
        <w:t>表5.1-1 气象站常规</w:t>
      </w:r>
      <w:r>
        <w:rPr>
          <w:color w:val="auto"/>
          <w:kern w:val="2"/>
          <w:szCs w:val="20"/>
        </w:rPr>
        <w:t>气象</w:t>
      </w:r>
      <w:r>
        <w:rPr>
          <w:color w:val="auto"/>
        </w:rPr>
        <w:t>项目统计表</w:t>
      </w:r>
    </w:p>
    <w:tbl>
      <w:tblPr>
        <w:tblStyle w:val="172"/>
        <w:tblW w:w="92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5"/>
        <w:gridCol w:w="2693"/>
        <w:gridCol w:w="2077"/>
        <w:gridCol w:w="2055"/>
        <w:gridCol w:w="927"/>
      </w:tblGrid>
      <w:tr w14:paraId="599F1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228" w:type="dxa"/>
            <w:gridSpan w:val="2"/>
            <w:tcBorders>
              <w:left w:val="single" w:color="000000" w:sz="10" w:space="0"/>
            </w:tcBorders>
            <w:vAlign w:val="center"/>
          </w:tcPr>
          <w:p w14:paraId="57A497F0">
            <w:pPr>
              <w:spacing w:line="320" w:lineRule="exact"/>
              <w:jc w:val="center"/>
              <w:rPr>
                <w:rFonts w:ascii="宋体" w:hAnsi="宋体" w:eastAsia="宋体" w:cs="Times New Roman"/>
                <w:color w:val="auto"/>
              </w:rPr>
            </w:pPr>
            <w:r>
              <w:rPr>
                <w:rFonts w:ascii="宋体" w:hAnsi="宋体" w:eastAsia="宋体" w:cs="Times New Roman"/>
                <w:color w:val="auto"/>
              </w:rPr>
              <w:t>统计项目</w:t>
            </w:r>
          </w:p>
        </w:tc>
        <w:tc>
          <w:tcPr>
            <w:tcW w:w="2077" w:type="dxa"/>
            <w:vAlign w:val="center"/>
          </w:tcPr>
          <w:p w14:paraId="6065C73A">
            <w:pPr>
              <w:spacing w:line="320" w:lineRule="exact"/>
              <w:jc w:val="center"/>
              <w:rPr>
                <w:rFonts w:ascii="宋体" w:hAnsi="宋体" w:eastAsia="宋体" w:cs="Times New Roman"/>
                <w:color w:val="auto"/>
              </w:rPr>
            </w:pPr>
            <w:r>
              <w:rPr>
                <w:rFonts w:ascii="宋体" w:hAnsi="宋体" w:eastAsia="宋体" w:cs="Times New Roman"/>
                <w:color w:val="auto"/>
              </w:rPr>
              <w:t>统计值</w:t>
            </w:r>
          </w:p>
        </w:tc>
        <w:tc>
          <w:tcPr>
            <w:tcW w:w="2055" w:type="dxa"/>
            <w:vAlign w:val="center"/>
          </w:tcPr>
          <w:p w14:paraId="3B98D6BC">
            <w:pPr>
              <w:spacing w:line="320" w:lineRule="exact"/>
              <w:jc w:val="center"/>
              <w:rPr>
                <w:rFonts w:ascii="宋体" w:hAnsi="宋体" w:eastAsia="宋体" w:cs="Times New Roman"/>
                <w:color w:val="auto"/>
              </w:rPr>
            </w:pPr>
            <w:r>
              <w:rPr>
                <w:rFonts w:ascii="宋体" w:hAnsi="宋体" w:eastAsia="宋体" w:cs="Times New Roman"/>
                <w:color w:val="auto"/>
              </w:rPr>
              <w:t>极值出现时间</w:t>
            </w:r>
          </w:p>
        </w:tc>
        <w:tc>
          <w:tcPr>
            <w:tcW w:w="927" w:type="dxa"/>
            <w:tcBorders>
              <w:right w:val="single" w:color="000000" w:sz="10" w:space="0"/>
            </w:tcBorders>
            <w:vAlign w:val="center"/>
          </w:tcPr>
          <w:p w14:paraId="7172BBE4">
            <w:pPr>
              <w:spacing w:line="320" w:lineRule="exact"/>
              <w:jc w:val="center"/>
              <w:rPr>
                <w:rFonts w:ascii="宋体" w:hAnsi="宋体" w:eastAsia="宋体" w:cs="Times New Roman"/>
                <w:color w:val="auto"/>
              </w:rPr>
            </w:pPr>
            <w:r>
              <w:rPr>
                <w:rFonts w:ascii="宋体" w:hAnsi="宋体" w:eastAsia="宋体" w:cs="Times New Roman"/>
                <w:color w:val="auto"/>
              </w:rPr>
              <w:t>极值</w:t>
            </w:r>
          </w:p>
        </w:tc>
      </w:tr>
      <w:tr w14:paraId="66A90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228" w:type="dxa"/>
            <w:gridSpan w:val="2"/>
            <w:tcBorders>
              <w:left w:val="single" w:color="000000" w:sz="10" w:space="0"/>
            </w:tcBorders>
            <w:vAlign w:val="center"/>
          </w:tcPr>
          <w:p w14:paraId="4699E362">
            <w:pPr>
              <w:spacing w:line="320" w:lineRule="exact"/>
              <w:jc w:val="center"/>
              <w:rPr>
                <w:rFonts w:ascii="宋体" w:hAnsi="宋体" w:eastAsia="宋体" w:cs="Times New Roman"/>
                <w:color w:val="auto"/>
              </w:rPr>
            </w:pPr>
            <w:r>
              <w:rPr>
                <w:rFonts w:ascii="宋体" w:hAnsi="宋体" w:eastAsia="宋体" w:cs="Times New Roman"/>
                <w:color w:val="auto"/>
              </w:rPr>
              <w:t>多年平均气温（℃）</w:t>
            </w:r>
          </w:p>
        </w:tc>
        <w:tc>
          <w:tcPr>
            <w:tcW w:w="2077" w:type="dxa"/>
            <w:vAlign w:val="center"/>
          </w:tcPr>
          <w:p w14:paraId="18B4F1FB">
            <w:pPr>
              <w:spacing w:line="320" w:lineRule="exact"/>
              <w:jc w:val="center"/>
              <w:rPr>
                <w:rFonts w:ascii="宋体" w:hAnsi="宋体" w:eastAsia="宋体" w:cs="Times New Roman"/>
                <w:color w:val="auto"/>
              </w:rPr>
            </w:pPr>
            <w:r>
              <w:rPr>
                <w:rFonts w:ascii="宋体" w:hAnsi="宋体" w:eastAsia="宋体" w:cs="Times New Roman"/>
                <w:color w:val="auto"/>
              </w:rPr>
              <w:t>5.2</w:t>
            </w:r>
          </w:p>
        </w:tc>
        <w:tc>
          <w:tcPr>
            <w:tcW w:w="2055" w:type="dxa"/>
            <w:vAlign w:val="center"/>
          </w:tcPr>
          <w:p w14:paraId="70B3F9AE">
            <w:pPr>
              <w:spacing w:line="320" w:lineRule="exact"/>
              <w:jc w:val="center"/>
              <w:rPr>
                <w:rFonts w:ascii="宋体" w:hAnsi="宋体" w:eastAsia="宋体" w:cs="Times New Roman"/>
                <w:color w:val="auto"/>
              </w:rPr>
            </w:pPr>
            <w:r>
              <w:rPr>
                <w:rFonts w:ascii="宋体" w:hAnsi="宋体" w:eastAsia="宋体" w:cs="Times New Roman"/>
                <w:color w:val="auto"/>
              </w:rPr>
              <w:t>/</w:t>
            </w:r>
          </w:p>
        </w:tc>
        <w:tc>
          <w:tcPr>
            <w:tcW w:w="927" w:type="dxa"/>
            <w:tcBorders>
              <w:right w:val="single" w:color="000000" w:sz="10" w:space="0"/>
            </w:tcBorders>
            <w:vAlign w:val="center"/>
          </w:tcPr>
          <w:p w14:paraId="437E7DB3">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16C58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228" w:type="dxa"/>
            <w:gridSpan w:val="2"/>
            <w:tcBorders>
              <w:left w:val="single" w:color="000000" w:sz="10" w:space="0"/>
            </w:tcBorders>
            <w:vAlign w:val="center"/>
          </w:tcPr>
          <w:p w14:paraId="7EA4C3BB">
            <w:pPr>
              <w:spacing w:line="320" w:lineRule="exact"/>
              <w:jc w:val="center"/>
              <w:rPr>
                <w:rFonts w:ascii="宋体" w:hAnsi="宋体" w:eastAsia="宋体" w:cs="Times New Roman"/>
                <w:color w:val="auto"/>
              </w:rPr>
            </w:pPr>
            <w:r>
              <w:rPr>
                <w:rFonts w:ascii="宋体" w:hAnsi="宋体" w:eastAsia="宋体" w:cs="Times New Roman"/>
                <w:color w:val="auto"/>
              </w:rPr>
              <w:t>累年极端最高气温（℃）</w:t>
            </w:r>
          </w:p>
        </w:tc>
        <w:tc>
          <w:tcPr>
            <w:tcW w:w="2077" w:type="dxa"/>
            <w:vAlign w:val="center"/>
          </w:tcPr>
          <w:p w14:paraId="11F5E8AE">
            <w:pPr>
              <w:spacing w:line="320" w:lineRule="exact"/>
              <w:jc w:val="center"/>
              <w:rPr>
                <w:rFonts w:ascii="宋体" w:hAnsi="宋体" w:eastAsia="宋体" w:cs="Times New Roman"/>
                <w:color w:val="auto"/>
              </w:rPr>
            </w:pPr>
            <w:r>
              <w:rPr>
                <w:rFonts w:ascii="宋体" w:hAnsi="宋体" w:eastAsia="宋体" w:cs="Times New Roman"/>
                <w:color w:val="auto"/>
              </w:rPr>
              <w:t>35.3</w:t>
            </w:r>
          </w:p>
        </w:tc>
        <w:tc>
          <w:tcPr>
            <w:tcW w:w="2055" w:type="dxa"/>
            <w:vAlign w:val="center"/>
          </w:tcPr>
          <w:p w14:paraId="21EC058C">
            <w:pPr>
              <w:spacing w:line="320" w:lineRule="exact"/>
              <w:jc w:val="center"/>
              <w:rPr>
                <w:rFonts w:ascii="宋体" w:hAnsi="宋体" w:eastAsia="宋体" w:cs="Times New Roman"/>
                <w:color w:val="auto"/>
              </w:rPr>
            </w:pPr>
            <w:r>
              <w:rPr>
                <w:rFonts w:ascii="宋体" w:hAnsi="宋体" w:eastAsia="宋体" w:cs="Times New Roman"/>
                <w:color w:val="auto"/>
              </w:rPr>
              <w:t>2018-06-02</w:t>
            </w:r>
          </w:p>
        </w:tc>
        <w:tc>
          <w:tcPr>
            <w:tcW w:w="927" w:type="dxa"/>
            <w:tcBorders>
              <w:right w:val="single" w:color="000000" w:sz="10" w:space="0"/>
            </w:tcBorders>
            <w:vAlign w:val="center"/>
          </w:tcPr>
          <w:p w14:paraId="769D9762">
            <w:pPr>
              <w:spacing w:line="320" w:lineRule="exact"/>
              <w:jc w:val="center"/>
              <w:rPr>
                <w:rFonts w:ascii="宋体" w:hAnsi="宋体" w:eastAsia="宋体" w:cs="Times New Roman"/>
                <w:color w:val="auto"/>
              </w:rPr>
            </w:pPr>
            <w:r>
              <w:rPr>
                <w:rFonts w:ascii="宋体" w:hAnsi="宋体" w:eastAsia="宋体" w:cs="Times New Roman"/>
                <w:color w:val="auto"/>
              </w:rPr>
              <w:t>38.9</w:t>
            </w:r>
          </w:p>
        </w:tc>
      </w:tr>
      <w:tr w14:paraId="43FE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228" w:type="dxa"/>
            <w:gridSpan w:val="2"/>
            <w:tcBorders>
              <w:left w:val="single" w:color="000000" w:sz="10" w:space="0"/>
            </w:tcBorders>
            <w:vAlign w:val="center"/>
          </w:tcPr>
          <w:p w14:paraId="33F4CC60">
            <w:pPr>
              <w:spacing w:line="320" w:lineRule="exact"/>
              <w:jc w:val="center"/>
              <w:rPr>
                <w:rFonts w:ascii="宋体" w:hAnsi="宋体" w:eastAsia="宋体" w:cs="Times New Roman"/>
                <w:color w:val="auto"/>
              </w:rPr>
            </w:pPr>
            <w:r>
              <w:rPr>
                <w:rFonts w:ascii="宋体" w:hAnsi="宋体" w:eastAsia="宋体" w:cs="Times New Roman"/>
                <w:color w:val="auto"/>
              </w:rPr>
              <w:t>累年极端最低气温（℃）</w:t>
            </w:r>
          </w:p>
        </w:tc>
        <w:tc>
          <w:tcPr>
            <w:tcW w:w="2077" w:type="dxa"/>
            <w:vAlign w:val="center"/>
          </w:tcPr>
          <w:p w14:paraId="5151593D">
            <w:pPr>
              <w:spacing w:line="320" w:lineRule="exact"/>
              <w:jc w:val="center"/>
              <w:rPr>
                <w:rFonts w:ascii="宋体" w:hAnsi="宋体" w:eastAsia="宋体" w:cs="Times New Roman"/>
                <w:color w:val="auto"/>
              </w:rPr>
            </w:pPr>
            <w:r>
              <w:rPr>
                <w:rFonts w:ascii="宋体" w:hAnsi="宋体" w:eastAsia="宋体" w:cs="Times New Roman"/>
                <w:color w:val="auto"/>
              </w:rPr>
              <w:t>-27.9</w:t>
            </w:r>
          </w:p>
        </w:tc>
        <w:tc>
          <w:tcPr>
            <w:tcW w:w="2055" w:type="dxa"/>
            <w:vAlign w:val="center"/>
          </w:tcPr>
          <w:p w14:paraId="38D9553F">
            <w:pPr>
              <w:spacing w:line="320" w:lineRule="exact"/>
              <w:jc w:val="center"/>
              <w:rPr>
                <w:rFonts w:ascii="宋体" w:hAnsi="宋体" w:eastAsia="宋体" w:cs="Times New Roman"/>
                <w:color w:val="auto"/>
              </w:rPr>
            </w:pPr>
            <w:r>
              <w:rPr>
                <w:rFonts w:ascii="宋体" w:hAnsi="宋体" w:eastAsia="宋体" w:cs="Times New Roman"/>
                <w:color w:val="auto"/>
              </w:rPr>
              <w:t>2013-01-01</w:t>
            </w:r>
          </w:p>
        </w:tc>
        <w:tc>
          <w:tcPr>
            <w:tcW w:w="927" w:type="dxa"/>
            <w:tcBorders>
              <w:right w:val="single" w:color="000000" w:sz="10" w:space="0"/>
            </w:tcBorders>
            <w:vAlign w:val="center"/>
          </w:tcPr>
          <w:p w14:paraId="04A834CC">
            <w:pPr>
              <w:spacing w:line="320" w:lineRule="exact"/>
              <w:jc w:val="center"/>
              <w:rPr>
                <w:rFonts w:ascii="宋体" w:hAnsi="宋体" w:eastAsia="宋体" w:cs="Times New Roman"/>
                <w:color w:val="auto"/>
              </w:rPr>
            </w:pPr>
            <w:r>
              <w:rPr>
                <w:rFonts w:ascii="宋体" w:hAnsi="宋体" w:eastAsia="宋体" w:cs="Times New Roman"/>
                <w:color w:val="auto"/>
              </w:rPr>
              <w:t>-36.2</w:t>
            </w:r>
          </w:p>
        </w:tc>
      </w:tr>
      <w:tr w14:paraId="60374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228" w:type="dxa"/>
            <w:gridSpan w:val="2"/>
            <w:tcBorders>
              <w:left w:val="single" w:color="000000" w:sz="10" w:space="0"/>
            </w:tcBorders>
            <w:vAlign w:val="center"/>
          </w:tcPr>
          <w:p w14:paraId="073540B0">
            <w:pPr>
              <w:spacing w:line="320" w:lineRule="exact"/>
              <w:jc w:val="center"/>
              <w:rPr>
                <w:rFonts w:ascii="宋体" w:hAnsi="宋体" w:eastAsia="宋体" w:cs="Times New Roman"/>
                <w:color w:val="auto"/>
              </w:rPr>
            </w:pPr>
            <w:r>
              <w:rPr>
                <w:rFonts w:ascii="宋体" w:hAnsi="宋体" w:eastAsia="宋体" w:cs="Times New Roman"/>
                <w:color w:val="auto"/>
              </w:rPr>
              <w:t>多年平均气压（hpa）</w:t>
            </w:r>
          </w:p>
        </w:tc>
        <w:tc>
          <w:tcPr>
            <w:tcW w:w="2077" w:type="dxa"/>
            <w:vAlign w:val="center"/>
          </w:tcPr>
          <w:p w14:paraId="20FF4EC5">
            <w:pPr>
              <w:spacing w:line="320" w:lineRule="exact"/>
              <w:jc w:val="center"/>
              <w:rPr>
                <w:rFonts w:ascii="宋体" w:hAnsi="宋体" w:eastAsia="宋体" w:cs="Times New Roman"/>
                <w:color w:val="auto"/>
              </w:rPr>
            </w:pPr>
            <w:r>
              <w:rPr>
                <w:rFonts w:ascii="宋体" w:hAnsi="宋体" w:eastAsia="宋体" w:cs="Times New Roman"/>
                <w:color w:val="auto"/>
              </w:rPr>
              <w:t>996.0</w:t>
            </w:r>
          </w:p>
        </w:tc>
        <w:tc>
          <w:tcPr>
            <w:tcW w:w="2055" w:type="dxa"/>
            <w:vAlign w:val="center"/>
          </w:tcPr>
          <w:p w14:paraId="7D7DA332">
            <w:pPr>
              <w:spacing w:line="320" w:lineRule="exact"/>
              <w:jc w:val="center"/>
              <w:rPr>
                <w:rFonts w:ascii="宋体" w:hAnsi="宋体" w:eastAsia="宋体" w:cs="Times New Roman"/>
                <w:color w:val="auto"/>
              </w:rPr>
            </w:pPr>
            <w:r>
              <w:rPr>
                <w:rFonts w:ascii="宋体" w:hAnsi="宋体" w:eastAsia="宋体" w:cs="Times New Roman"/>
                <w:color w:val="auto"/>
              </w:rPr>
              <w:t>/</w:t>
            </w:r>
          </w:p>
        </w:tc>
        <w:tc>
          <w:tcPr>
            <w:tcW w:w="927" w:type="dxa"/>
            <w:tcBorders>
              <w:right w:val="single" w:color="000000" w:sz="10" w:space="0"/>
            </w:tcBorders>
            <w:vAlign w:val="center"/>
          </w:tcPr>
          <w:p w14:paraId="57EAA7E1">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54C04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228" w:type="dxa"/>
            <w:gridSpan w:val="2"/>
            <w:tcBorders>
              <w:left w:val="single" w:color="000000" w:sz="10" w:space="0"/>
            </w:tcBorders>
            <w:vAlign w:val="center"/>
          </w:tcPr>
          <w:p w14:paraId="42A5C53B">
            <w:pPr>
              <w:spacing w:line="320" w:lineRule="exact"/>
              <w:jc w:val="center"/>
              <w:rPr>
                <w:rFonts w:ascii="宋体" w:hAnsi="宋体" w:eastAsia="宋体" w:cs="Times New Roman"/>
                <w:color w:val="auto"/>
              </w:rPr>
            </w:pPr>
            <w:r>
              <w:rPr>
                <w:rFonts w:ascii="宋体" w:hAnsi="宋体" w:eastAsia="宋体" w:cs="Times New Roman"/>
                <w:color w:val="auto"/>
              </w:rPr>
              <w:t>多年平均相对湿度（%）</w:t>
            </w:r>
          </w:p>
        </w:tc>
        <w:tc>
          <w:tcPr>
            <w:tcW w:w="2077" w:type="dxa"/>
            <w:vAlign w:val="center"/>
          </w:tcPr>
          <w:p w14:paraId="6C8C3BD4">
            <w:pPr>
              <w:spacing w:line="320" w:lineRule="exact"/>
              <w:jc w:val="center"/>
              <w:rPr>
                <w:rFonts w:ascii="宋体" w:hAnsi="宋体" w:eastAsia="宋体" w:cs="Times New Roman"/>
                <w:color w:val="auto"/>
              </w:rPr>
            </w:pPr>
            <w:r>
              <w:rPr>
                <w:rFonts w:ascii="宋体" w:hAnsi="宋体" w:eastAsia="宋体" w:cs="Times New Roman"/>
                <w:color w:val="auto"/>
              </w:rPr>
              <w:t>60.7</w:t>
            </w:r>
          </w:p>
        </w:tc>
        <w:tc>
          <w:tcPr>
            <w:tcW w:w="2055" w:type="dxa"/>
            <w:vAlign w:val="center"/>
          </w:tcPr>
          <w:p w14:paraId="5AE01439">
            <w:pPr>
              <w:spacing w:line="320" w:lineRule="exact"/>
              <w:jc w:val="center"/>
              <w:rPr>
                <w:rFonts w:ascii="宋体" w:hAnsi="宋体" w:eastAsia="宋体" w:cs="Times New Roman"/>
                <w:color w:val="auto"/>
              </w:rPr>
            </w:pPr>
            <w:r>
              <w:rPr>
                <w:rFonts w:ascii="宋体" w:hAnsi="宋体" w:eastAsia="宋体" w:cs="Times New Roman"/>
                <w:color w:val="auto"/>
              </w:rPr>
              <w:t>/</w:t>
            </w:r>
          </w:p>
        </w:tc>
        <w:tc>
          <w:tcPr>
            <w:tcW w:w="927" w:type="dxa"/>
            <w:tcBorders>
              <w:right w:val="single" w:color="000000" w:sz="10" w:space="0"/>
            </w:tcBorders>
            <w:vAlign w:val="center"/>
          </w:tcPr>
          <w:p w14:paraId="6174B13C">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5F4C4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228" w:type="dxa"/>
            <w:gridSpan w:val="2"/>
            <w:tcBorders>
              <w:left w:val="single" w:color="000000" w:sz="10" w:space="0"/>
            </w:tcBorders>
            <w:vAlign w:val="center"/>
          </w:tcPr>
          <w:p w14:paraId="6F383A1C">
            <w:pPr>
              <w:spacing w:line="320" w:lineRule="exact"/>
              <w:jc w:val="center"/>
              <w:rPr>
                <w:rFonts w:ascii="宋体" w:hAnsi="宋体" w:eastAsia="宋体" w:cs="Times New Roman"/>
                <w:color w:val="auto"/>
              </w:rPr>
            </w:pPr>
            <w:r>
              <w:rPr>
                <w:rFonts w:ascii="宋体" w:hAnsi="宋体" w:eastAsia="宋体" w:cs="Times New Roman"/>
                <w:color w:val="auto"/>
              </w:rPr>
              <w:t>多年平均降雨量（mm）</w:t>
            </w:r>
          </w:p>
        </w:tc>
        <w:tc>
          <w:tcPr>
            <w:tcW w:w="2077" w:type="dxa"/>
            <w:vAlign w:val="center"/>
          </w:tcPr>
          <w:p w14:paraId="5B1A3DDB">
            <w:pPr>
              <w:spacing w:line="320" w:lineRule="exact"/>
              <w:jc w:val="center"/>
              <w:rPr>
                <w:rFonts w:ascii="宋体" w:hAnsi="宋体" w:eastAsia="宋体" w:cs="Times New Roman"/>
                <w:color w:val="auto"/>
              </w:rPr>
            </w:pPr>
            <w:r>
              <w:rPr>
                <w:rFonts w:ascii="宋体" w:hAnsi="宋体" w:eastAsia="宋体" w:cs="Times New Roman"/>
                <w:color w:val="auto"/>
              </w:rPr>
              <w:t>513.6</w:t>
            </w:r>
          </w:p>
        </w:tc>
        <w:tc>
          <w:tcPr>
            <w:tcW w:w="2055" w:type="dxa"/>
            <w:vAlign w:val="center"/>
          </w:tcPr>
          <w:p w14:paraId="18C3D3CD">
            <w:pPr>
              <w:spacing w:line="320" w:lineRule="exact"/>
              <w:jc w:val="center"/>
              <w:rPr>
                <w:rFonts w:ascii="宋体" w:hAnsi="宋体" w:eastAsia="宋体" w:cs="Times New Roman"/>
                <w:color w:val="auto"/>
              </w:rPr>
            </w:pPr>
            <w:r>
              <w:rPr>
                <w:rFonts w:ascii="宋体" w:hAnsi="宋体" w:eastAsia="宋体" w:cs="Times New Roman"/>
                <w:color w:val="auto"/>
              </w:rPr>
              <w:t>/</w:t>
            </w:r>
          </w:p>
        </w:tc>
        <w:tc>
          <w:tcPr>
            <w:tcW w:w="927" w:type="dxa"/>
            <w:tcBorders>
              <w:right w:val="single" w:color="000000" w:sz="10" w:space="0"/>
            </w:tcBorders>
            <w:vAlign w:val="center"/>
          </w:tcPr>
          <w:p w14:paraId="2BA11FC3">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010EA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228" w:type="dxa"/>
            <w:gridSpan w:val="2"/>
            <w:tcBorders>
              <w:left w:val="single" w:color="000000" w:sz="10" w:space="0"/>
            </w:tcBorders>
            <w:vAlign w:val="center"/>
          </w:tcPr>
          <w:p w14:paraId="0D9F8FF9">
            <w:pPr>
              <w:spacing w:line="320" w:lineRule="exact"/>
              <w:jc w:val="center"/>
              <w:rPr>
                <w:rFonts w:ascii="宋体" w:hAnsi="宋体" w:eastAsia="宋体" w:cs="Times New Roman"/>
                <w:color w:val="auto"/>
              </w:rPr>
            </w:pPr>
            <w:r>
              <w:rPr>
                <w:rFonts w:ascii="宋体" w:hAnsi="宋体" w:eastAsia="宋体" w:cs="Times New Roman"/>
                <w:color w:val="auto"/>
              </w:rPr>
              <w:t>日照时长（h）</w:t>
            </w:r>
          </w:p>
        </w:tc>
        <w:tc>
          <w:tcPr>
            <w:tcW w:w="2077" w:type="dxa"/>
            <w:vAlign w:val="center"/>
          </w:tcPr>
          <w:p w14:paraId="3D630505">
            <w:pPr>
              <w:spacing w:line="320" w:lineRule="exact"/>
              <w:jc w:val="center"/>
              <w:rPr>
                <w:rFonts w:ascii="宋体" w:hAnsi="宋体" w:eastAsia="宋体" w:cs="Times New Roman"/>
                <w:color w:val="auto"/>
              </w:rPr>
            </w:pPr>
            <w:r>
              <w:rPr>
                <w:rFonts w:ascii="宋体" w:hAnsi="宋体" w:eastAsia="宋体" w:cs="Times New Roman"/>
                <w:color w:val="auto"/>
              </w:rPr>
              <w:t>2470.3</w:t>
            </w:r>
          </w:p>
        </w:tc>
        <w:tc>
          <w:tcPr>
            <w:tcW w:w="2055" w:type="dxa"/>
            <w:vAlign w:val="center"/>
          </w:tcPr>
          <w:p w14:paraId="1AC4682F">
            <w:pPr>
              <w:spacing w:line="320" w:lineRule="exact"/>
              <w:jc w:val="center"/>
              <w:rPr>
                <w:rFonts w:ascii="宋体" w:hAnsi="宋体" w:eastAsia="宋体" w:cs="Times New Roman"/>
                <w:color w:val="auto"/>
              </w:rPr>
            </w:pPr>
            <w:r>
              <w:rPr>
                <w:rFonts w:ascii="宋体" w:hAnsi="宋体" w:eastAsia="宋体" w:cs="Times New Roman"/>
                <w:color w:val="auto"/>
              </w:rPr>
              <w:t>/</w:t>
            </w:r>
          </w:p>
        </w:tc>
        <w:tc>
          <w:tcPr>
            <w:tcW w:w="927" w:type="dxa"/>
            <w:tcBorders>
              <w:right w:val="single" w:color="000000" w:sz="10" w:space="0"/>
            </w:tcBorders>
            <w:vAlign w:val="center"/>
          </w:tcPr>
          <w:p w14:paraId="7BDDA4F8">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5729F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4228" w:type="dxa"/>
            <w:gridSpan w:val="2"/>
            <w:tcBorders>
              <w:left w:val="single" w:color="000000" w:sz="10" w:space="0"/>
            </w:tcBorders>
            <w:vAlign w:val="center"/>
          </w:tcPr>
          <w:p w14:paraId="2AF83A31">
            <w:pPr>
              <w:spacing w:line="320" w:lineRule="exact"/>
              <w:jc w:val="center"/>
              <w:rPr>
                <w:rFonts w:ascii="宋体" w:hAnsi="宋体" w:eastAsia="宋体" w:cs="Times New Roman"/>
                <w:color w:val="auto"/>
              </w:rPr>
            </w:pPr>
            <w:r>
              <w:rPr>
                <w:rFonts w:ascii="宋体" w:hAnsi="宋体" w:eastAsia="宋体" w:cs="Times New Roman"/>
                <w:color w:val="auto"/>
              </w:rPr>
              <w:t>平均风速（m/s）</w:t>
            </w:r>
          </w:p>
        </w:tc>
        <w:tc>
          <w:tcPr>
            <w:tcW w:w="2077" w:type="dxa"/>
            <w:vAlign w:val="center"/>
          </w:tcPr>
          <w:p w14:paraId="0FDD36AF">
            <w:pPr>
              <w:spacing w:line="320" w:lineRule="exact"/>
              <w:jc w:val="center"/>
              <w:rPr>
                <w:rFonts w:ascii="宋体" w:hAnsi="宋体" w:eastAsia="宋体" w:cs="Times New Roman"/>
                <w:color w:val="auto"/>
              </w:rPr>
            </w:pPr>
            <w:r>
              <w:rPr>
                <w:rFonts w:ascii="宋体" w:hAnsi="宋体" w:eastAsia="宋体" w:cs="Times New Roman"/>
                <w:color w:val="auto"/>
              </w:rPr>
              <w:t>5.2</w:t>
            </w:r>
          </w:p>
        </w:tc>
        <w:tc>
          <w:tcPr>
            <w:tcW w:w="2055" w:type="dxa"/>
            <w:vAlign w:val="center"/>
          </w:tcPr>
          <w:p w14:paraId="34877E20">
            <w:pPr>
              <w:spacing w:line="320" w:lineRule="exact"/>
              <w:jc w:val="center"/>
              <w:rPr>
                <w:rFonts w:ascii="宋体" w:hAnsi="宋体" w:eastAsia="宋体" w:cs="Times New Roman"/>
                <w:color w:val="auto"/>
              </w:rPr>
            </w:pPr>
            <w:r>
              <w:rPr>
                <w:rFonts w:ascii="宋体" w:hAnsi="宋体" w:eastAsia="宋体" w:cs="Times New Roman"/>
                <w:color w:val="auto"/>
              </w:rPr>
              <w:t>/</w:t>
            </w:r>
          </w:p>
        </w:tc>
        <w:tc>
          <w:tcPr>
            <w:tcW w:w="927" w:type="dxa"/>
            <w:tcBorders>
              <w:right w:val="single" w:color="000000" w:sz="10" w:space="0"/>
            </w:tcBorders>
            <w:vAlign w:val="center"/>
          </w:tcPr>
          <w:p w14:paraId="4CFE69B4">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49DFE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228" w:type="dxa"/>
            <w:gridSpan w:val="2"/>
            <w:tcBorders>
              <w:left w:val="single" w:color="000000" w:sz="10" w:space="0"/>
            </w:tcBorders>
            <w:vAlign w:val="center"/>
          </w:tcPr>
          <w:p w14:paraId="00400FEB">
            <w:pPr>
              <w:spacing w:line="320" w:lineRule="exact"/>
              <w:jc w:val="center"/>
              <w:rPr>
                <w:rFonts w:ascii="宋体" w:hAnsi="宋体" w:eastAsia="宋体" w:cs="Times New Roman"/>
                <w:color w:val="auto"/>
              </w:rPr>
            </w:pPr>
            <w:r>
              <w:rPr>
                <w:rFonts w:ascii="宋体" w:hAnsi="宋体" w:eastAsia="宋体" w:cs="Times New Roman"/>
                <w:color w:val="auto"/>
              </w:rPr>
              <w:t>静风频率（%）</w:t>
            </w:r>
          </w:p>
        </w:tc>
        <w:tc>
          <w:tcPr>
            <w:tcW w:w="2077" w:type="dxa"/>
            <w:vAlign w:val="center"/>
          </w:tcPr>
          <w:p w14:paraId="34AF6018">
            <w:pPr>
              <w:spacing w:line="320" w:lineRule="exact"/>
              <w:jc w:val="center"/>
              <w:rPr>
                <w:rFonts w:ascii="宋体" w:hAnsi="宋体" w:eastAsia="宋体" w:cs="Times New Roman"/>
                <w:color w:val="auto"/>
              </w:rPr>
            </w:pPr>
            <w:r>
              <w:rPr>
                <w:rFonts w:ascii="宋体" w:hAnsi="宋体" w:eastAsia="宋体" w:cs="Times New Roman"/>
                <w:color w:val="auto"/>
              </w:rPr>
              <w:t>5.5</w:t>
            </w:r>
          </w:p>
        </w:tc>
        <w:tc>
          <w:tcPr>
            <w:tcW w:w="2055" w:type="dxa"/>
            <w:vAlign w:val="center"/>
          </w:tcPr>
          <w:p w14:paraId="47065BA0">
            <w:pPr>
              <w:spacing w:line="320" w:lineRule="exact"/>
              <w:jc w:val="center"/>
              <w:rPr>
                <w:rFonts w:ascii="宋体" w:hAnsi="宋体" w:eastAsia="宋体" w:cs="Times New Roman"/>
                <w:color w:val="auto"/>
              </w:rPr>
            </w:pPr>
            <w:r>
              <w:rPr>
                <w:rFonts w:ascii="宋体" w:hAnsi="宋体" w:eastAsia="宋体" w:cs="Times New Roman"/>
                <w:color w:val="auto"/>
              </w:rPr>
              <w:t>/</w:t>
            </w:r>
          </w:p>
        </w:tc>
        <w:tc>
          <w:tcPr>
            <w:tcW w:w="927" w:type="dxa"/>
            <w:tcBorders>
              <w:right w:val="single" w:color="000000" w:sz="10" w:space="0"/>
            </w:tcBorders>
            <w:vAlign w:val="center"/>
          </w:tcPr>
          <w:p w14:paraId="59F5E85C">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1967E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4228" w:type="dxa"/>
            <w:gridSpan w:val="2"/>
            <w:tcBorders>
              <w:left w:val="single" w:color="000000" w:sz="10" w:space="0"/>
            </w:tcBorders>
            <w:vAlign w:val="center"/>
          </w:tcPr>
          <w:p w14:paraId="2D8AE3F0">
            <w:pPr>
              <w:spacing w:line="320" w:lineRule="exact"/>
              <w:jc w:val="center"/>
              <w:rPr>
                <w:rFonts w:ascii="宋体" w:hAnsi="宋体" w:eastAsia="宋体" w:cs="Times New Roman"/>
                <w:color w:val="auto"/>
              </w:rPr>
            </w:pPr>
            <w:r>
              <w:rPr>
                <w:rFonts w:ascii="宋体" w:hAnsi="宋体" w:eastAsia="宋体" w:cs="Times New Roman"/>
                <w:color w:val="auto"/>
              </w:rPr>
              <w:t>极大风速（m/s）、相应风向</w:t>
            </w:r>
          </w:p>
        </w:tc>
        <w:tc>
          <w:tcPr>
            <w:tcW w:w="2077" w:type="dxa"/>
            <w:vAlign w:val="center"/>
          </w:tcPr>
          <w:p w14:paraId="44573106">
            <w:pPr>
              <w:spacing w:line="320" w:lineRule="exact"/>
              <w:jc w:val="center"/>
              <w:rPr>
                <w:rFonts w:ascii="宋体" w:hAnsi="宋体" w:eastAsia="宋体" w:cs="Times New Roman"/>
                <w:color w:val="auto"/>
              </w:rPr>
            </w:pPr>
            <w:r>
              <w:rPr>
                <w:rFonts w:ascii="宋体" w:hAnsi="宋体" w:eastAsia="宋体" w:cs="Times New Roman"/>
                <w:color w:val="auto"/>
              </w:rPr>
              <w:t>26.2、NW</w:t>
            </w:r>
          </w:p>
        </w:tc>
        <w:tc>
          <w:tcPr>
            <w:tcW w:w="2055" w:type="dxa"/>
            <w:vAlign w:val="center"/>
          </w:tcPr>
          <w:p w14:paraId="60008DEB">
            <w:pPr>
              <w:spacing w:line="320" w:lineRule="exact"/>
              <w:jc w:val="center"/>
              <w:rPr>
                <w:rFonts w:ascii="宋体" w:hAnsi="宋体" w:eastAsia="宋体" w:cs="Times New Roman"/>
                <w:color w:val="auto"/>
              </w:rPr>
            </w:pPr>
            <w:r>
              <w:rPr>
                <w:rFonts w:ascii="宋体" w:hAnsi="宋体" w:eastAsia="宋体" w:cs="Times New Roman"/>
                <w:color w:val="auto"/>
              </w:rPr>
              <w:t>2019-07-28</w:t>
            </w:r>
          </w:p>
        </w:tc>
        <w:tc>
          <w:tcPr>
            <w:tcW w:w="927" w:type="dxa"/>
            <w:tcBorders>
              <w:right w:val="single" w:color="000000" w:sz="10" w:space="0"/>
            </w:tcBorders>
            <w:vAlign w:val="center"/>
          </w:tcPr>
          <w:p w14:paraId="105148F1">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0B777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35" w:type="dxa"/>
            <w:vMerge w:val="restart"/>
            <w:tcBorders>
              <w:left w:val="single" w:color="000000" w:sz="10" w:space="0"/>
              <w:bottom w:val="nil"/>
            </w:tcBorders>
            <w:vAlign w:val="center"/>
          </w:tcPr>
          <w:p w14:paraId="430EA722">
            <w:pPr>
              <w:spacing w:line="320" w:lineRule="exact"/>
              <w:jc w:val="center"/>
              <w:rPr>
                <w:rFonts w:ascii="宋体" w:hAnsi="宋体" w:eastAsia="宋体" w:cs="Times New Roman"/>
                <w:color w:val="auto"/>
              </w:rPr>
            </w:pPr>
            <w:r>
              <w:rPr>
                <w:rFonts w:ascii="宋体" w:hAnsi="宋体" w:eastAsia="宋体" w:cs="Times New Roman"/>
                <w:color w:val="auto"/>
              </w:rPr>
              <w:t>灾害天气统计</w:t>
            </w:r>
          </w:p>
        </w:tc>
        <w:tc>
          <w:tcPr>
            <w:tcW w:w="2693" w:type="dxa"/>
            <w:vAlign w:val="center"/>
          </w:tcPr>
          <w:p w14:paraId="242E8B36">
            <w:pPr>
              <w:spacing w:line="320" w:lineRule="exact"/>
              <w:jc w:val="center"/>
              <w:rPr>
                <w:rFonts w:ascii="宋体" w:hAnsi="宋体" w:eastAsia="宋体" w:cs="Times New Roman"/>
                <w:color w:val="auto"/>
              </w:rPr>
            </w:pPr>
            <w:r>
              <w:rPr>
                <w:rFonts w:ascii="宋体" w:hAnsi="宋体" w:eastAsia="宋体" w:cs="Times New Roman"/>
                <w:color w:val="auto"/>
              </w:rPr>
              <w:t>多年平均雷暴日数</w:t>
            </w:r>
          </w:p>
        </w:tc>
        <w:tc>
          <w:tcPr>
            <w:tcW w:w="2077" w:type="dxa"/>
            <w:vAlign w:val="center"/>
          </w:tcPr>
          <w:p w14:paraId="289F5183">
            <w:pPr>
              <w:spacing w:line="320" w:lineRule="exact"/>
              <w:jc w:val="center"/>
              <w:rPr>
                <w:rFonts w:ascii="宋体" w:hAnsi="宋体" w:eastAsia="宋体" w:cs="Times New Roman"/>
                <w:color w:val="auto"/>
              </w:rPr>
            </w:pPr>
            <w:r>
              <w:rPr>
                <w:rFonts w:ascii="宋体" w:hAnsi="宋体" w:eastAsia="宋体" w:cs="Times New Roman"/>
                <w:color w:val="auto"/>
              </w:rPr>
              <w:t>20.8</w:t>
            </w:r>
          </w:p>
        </w:tc>
        <w:tc>
          <w:tcPr>
            <w:tcW w:w="2055" w:type="dxa"/>
            <w:vAlign w:val="center"/>
          </w:tcPr>
          <w:p w14:paraId="0306DF97">
            <w:pPr>
              <w:spacing w:line="320" w:lineRule="exact"/>
              <w:jc w:val="center"/>
              <w:rPr>
                <w:rFonts w:ascii="宋体" w:hAnsi="宋体" w:eastAsia="宋体" w:cs="Times New Roman"/>
                <w:color w:val="auto"/>
              </w:rPr>
            </w:pPr>
            <w:r>
              <w:rPr>
                <w:rFonts w:ascii="宋体" w:hAnsi="宋体" w:eastAsia="宋体" w:cs="Times New Roman"/>
                <w:color w:val="auto"/>
              </w:rPr>
              <w:t>/</w:t>
            </w:r>
          </w:p>
        </w:tc>
        <w:tc>
          <w:tcPr>
            <w:tcW w:w="927" w:type="dxa"/>
            <w:tcBorders>
              <w:right w:val="single" w:color="000000" w:sz="10" w:space="0"/>
            </w:tcBorders>
            <w:vAlign w:val="center"/>
          </w:tcPr>
          <w:p w14:paraId="39BC64E5">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165D7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35" w:type="dxa"/>
            <w:vMerge w:val="continue"/>
            <w:tcBorders>
              <w:top w:val="nil"/>
              <w:left w:val="single" w:color="000000" w:sz="10" w:space="0"/>
              <w:bottom w:val="nil"/>
            </w:tcBorders>
            <w:vAlign w:val="center"/>
          </w:tcPr>
          <w:p w14:paraId="0062D4D4">
            <w:pPr>
              <w:spacing w:line="320" w:lineRule="exact"/>
              <w:jc w:val="center"/>
              <w:rPr>
                <w:rFonts w:ascii="宋体" w:hAnsi="宋体" w:eastAsia="宋体" w:cs="Times New Roman"/>
                <w:color w:val="auto"/>
              </w:rPr>
            </w:pPr>
          </w:p>
        </w:tc>
        <w:tc>
          <w:tcPr>
            <w:tcW w:w="2693" w:type="dxa"/>
            <w:vAlign w:val="center"/>
          </w:tcPr>
          <w:p w14:paraId="6A8B8541">
            <w:pPr>
              <w:spacing w:line="320" w:lineRule="exact"/>
              <w:jc w:val="center"/>
              <w:rPr>
                <w:rFonts w:ascii="宋体" w:hAnsi="宋体" w:eastAsia="宋体" w:cs="Times New Roman"/>
                <w:color w:val="auto"/>
              </w:rPr>
            </w:pPr>
            <w:r>
              <w:rPr>
                <w:rFonts w:ascii="宋体" w:hAnsi="宋体" w:eastAsia="宋体" w:cs="Times New Roman"/>
                <w:color w:val="auto"/>
              </w:rPr>
              <w:t>多年平均大风日数</w:t>
            </w:r>
          </w:p>
        </w:tc>
        <w:tc>
          <w:tcPr>
            <w:tcW w:w="2077" w:type="dxa"/>
            <w:vAlign w:val="center"/>
          </w:tcPr>
          <w:p w14:paraId="05841052">
            <w:pPr>
              <w:spacing w:line="320" w:lineRule="exact"/>
              <w:jc w:val="center"/>
              <w:rPr>
                <w:rFonts w:ascii="宋体" w:hAnsi="宋体" w:eastAsia="宋体" w:cs="Times New Roman"/>
                <w:color w:val="auto"/>
              </w:rPr>
            </w:pPr>
            <w:r>
              <w:rPr>
                <w:rFonts w:ascii="宋体" w:hAnsi="宋体" w:eastAsia="宋体" w:cs="Times New Roman"/>
                <w:color w:val="auto"/>
              </w:rPr>
              <w:t>3.8</w:t>
            </w:r>
          </w:p>
        </w:tc>
        <w:tc>
          <w:tcPr>
            <w:tcW w:w="2055" w:type="dxa"/>
            <w:vAlign w:val="center"/>
          </w:tcPr>
          <w:p w14:paraId="3672C566">
            <w:pPr>
              <w:spacing w:line="320" w:lineRule="exact"/>
              <w:jc w:val="center"/>
              <w:rPr>
                <w:rFonts w:ascii="宋体" w:hAnsi="宋体" w:eastAsia="宋体" w:cs="Times New Roman"/>
                <w:color w:val="auto"/>
              </w:rPr>
            </w:pPr>
            <w:r>
              <w:rPr>
                <w:rFonts w:ascii="宋体" w:hAnsi="宋体" w:eastAsia="宋体" w:cs="Times New Roman"/>
                <w:color w:val="auto"/>
              </w:rPr>
              <w:t>/</w:t>
            </w:r>
          </w:p>
        </w:tc>
        <w:tc>
          <w:tcPr>
            <w:tcW w:w="927" w:type="dxa"/>
            <w:tcBorders>
              <w:right w:val="single" w:color="000000" w:sz="10" w:space="0"/>
            </w:tcBorders>
            <w:vAlign w:val="center"/>
          </w:tcPr>
          <w:p w14:paraId="6C0BA8F4">
            <w:pPr>
              <w:spacing w:line="320" w:lineRule="exact"/>
              <w:jc w:val="center"/>
              <w:rPr>
                <w:rFonts w:ascii="宋体" w:hAnsi="宋体" w:eastAsia="宋体" w:cs="Times New Roman"/>
                <w:color w:val="auto"/>
              </w:rPr>
            </w:pPr>
            <w:r>
              <w:rPr>
                <w:rFonts w:ascii="宋体" w:hAnsi="宋体" w:eastAsia="宋体" w:cs="Times New Roman"/>
                <w:color w:val="auto"/>
              </w:rPr>
              <w:t>/</w:t>
            </w:r>
          </w:p>
        </w:tc>
      </w:tr>
      <w:tr w14:paraId="23F8F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35" w:type="dxa"/>
            <w:vMerge w:val="continue"/>
            <w:tcBorders>
              <w:top w:val="nil"/>
              <w:left w:val="single" w:color="000000" w:sz="10" w:space="0"/>
            </w:tcBorders>
            <w:vAlign w:val="center"/>
          </w:tcPr>
          <w:p w14:paraId="1B8778A4">
            <w:pPr>
              <w:spacing w:line="320" w:lineRule="exact"/>
              <w:jc w:val="center"/>
              <w:rPr>
                <w:rFonts w:ascii="宋体" w:hAnsi="宋体" w:eastAsia="宋体" w:cs="Times New Roman"/>
                <w:color w:val="auto"/>
              </w:rPr>
            </w:pPr>
          </w:p>
        </w:tc>
        <w:tc>
          <w:tcPr>
            <w:tcW w:w="2693" w:type="dxa"/>
            <w:vAlign w:val="center"/>
          </w:tcPr>
          <w:p w14:paraId="372BE978">
            <w:pPr>
              <w:spacing w:line="320" w:lineRule="exact"/>
              <w:jc w:val="center"/>
              <w:rPr>
                <w:rFonts w:ascii="宋体" w:hAnsi="宋体" w:eastAsia="宋体" w:cs="Times New Roman"/>
                <w:color w:val="auto"/>
              </w:rPr>
            </w:pPr>
            <w:r>
              <w:rPr>
                <w:rFonts w:ascii="宋体" w:hAnsi="宋体" w:eastAsia="宋体" w:cs="Times New Roman"/>
                <w:color w:val="auto"/>
              </w:rPr>
              <w:t>多年平均冰雹日数</w:t>
            </w:r>
          </w:p>
        </w:tc>
        <w:tc>
          <w:tcPr>
            <w:tcW w:w="2077" w:type="dxa"/>
            <w:vAlign w:val="center"/>
          </w:tcPr>
          <w:p w14:paraId="2AA87BC8">
            <w:pPr>
              <w:spacing w:line="320" w:lineRule="exact"/>
              <w:jc w:val="center"/>
              <w:rPr>
                <w:rFonts w:ascii="宋体" w:hAnsi="宋体" w:eastAsia="宋体" w:cs="Times New Roman"/>
                <w:color w:val="auto"/>
              </w:rPr>
            </w:pPr>
            <w:r>
              <w:rPr>
                <w:rFonts w:ascii="宋体" w:hAnsi="宋体" w:eastAsia="宋体" w:cs="Times New Roman"/>
                <w:color w:val="auto"/>
              </w:rPr>
              <w:t>0.7</w:t>
            </w:r>
          </w:p>
        </w:tc>
        <w:tc>
          <w:tcPr>
            <w:tcW w:w="2055" w:type="dxa"/>
            <w:vAlign w:val="center"/>
          </w:tcPr>
          <w:p w14:paraId="1CA183AC">
            <w:pPr>
              <w:spacing w:line="320" w:lineRule="exact"/>
              <w:jc w:val="center"/>
              <w:rPr>
                <w:rFonts w:ascii="宋体" w:hAnsi="宋体" w:eastAsia="宋体" w:cs="Times New Roman"/>
                <w:color w:val="auto"/>
              </w:rPr>
            </w:pPr>
            <w:r>
              <w:rPr>
                <w:rFonts w:ascii="宋体" w:hAnsi="宋体" w:eastAsia="宋体" w:cs="Times New Roman"/>
                <w:color w:val="auto"/>
              </w:rPr>
              <w:t>/</w:t>
            </w:r>
          </w:p>
        </w:tc>
        <w:tc>
          <w:tcPr>
            <w:tcW w:w="927" w:type="dxa"/>
            <w:tcBorders>
              <w:right w:val="single" w:color="000000" w:sz="10" w:space="0"/>
            </w:tcBorders>
            <w:vAlign w:val="center"/>
          </w:tcPr>
          <w:p w14:paraId="7B45130E">
            <w:pPr>
              <w:spacing w:line="320" w:lineRule="exact"/>
              <w:jc w:val="center"/>
              <w:rPr>
                <w:rFonts w:ascii="宋体" w:hAnsi="宋体" w:eastAsia="宋体" w:cs="Times New Roman"/>
                <w:color w:val="auto"/>
              </w:rPr>
            </w:pPr>
          </w:p>
        </w:tc>
      </w:tr>
    </w:tbl>
    <w:p w14:paraId="21D2111D">
      <w:pPr>
        <w:pStyle w:val="276"/>
        <w:widowControl w:val="0"/>
        <w:ind w:firstLine="480"/>
        <w:jc w:val="both"/>
        <w:rPr>
          <w:color w:val="auto"/>
          <w:lang w:val="zh-CN"/>
        </w:rPr>
      </w:pPr>
      <w:r>
        <w:rPr>
          <w:color w:val="auto"/>
          <w:lang w:val="zh-CN"/>
        </w:rPr>
        <w:t>（2）气象站风观测数据统计</w:t>
      </w:r>
    </w:p>
    <w:p w14:paraId="12E745D4">
      <w:pPr>
        <w:pStyle w:val="276"/>
        <w:widowControl w:val="0"/>
        <w:ind w:firstLine="480"/>
        <w:jc w:val="both"/>
        <w:rPr>
          <w:color w:val="auto"/>
          <w:lang w:val="zh-CN"/>
        </w:rPr>
      </w:pPr>
      <w:r>
        <w:rPr>
          <w:color w:val="auto"/>
          <w:lang w:val="zh-CN"/>
        </w:rPr>
        <w:t>1</w:t>
      </w:r>
      <w:r>
        <w:rPr>
          <w:rFonts w:hint="eastAsia"/>
          <w:color w:val="auto"/>
          <w:lang w:val="zh-CN"/>
        </w:rPr>
        <w:t>）</w:t>
      </w:r>
      <w:r>
        <w:rPr>
          <w:color w:val="auto"/>
          <w:lang w:val="zh-CN"/>
        </w:rPr>
        <w:t>月平均风速</w:t>
      </w:r>
    </w:p>
    <w:p w14:paraId="4D6E83A5">
      <w:pPr>
        <w:pStyle w:val="276"/>
        <w:widowControl w:val="0"/>
        <w:ind w:firstLine="480"/>
        <w:jc w:val="both"/>
        <w:rPr>
          <w:color w:val="auto"/>
          <w:lang w:val="zh-CN"/>
        </w:rPr>
      </w:pPr>
      <w:r>
        <w:rPr>
          <w:color w:val="auto"/>
          <w:lang w:val="zh-CN"/>
        </w:rPr>
        <w:t>大庆气象站月平均风速见表5.1-2，04月平均风速最大（2.8m/s），8月风最小（1.8m/s）。</w:t>
      </w:r>
    </w:p>
    <w:p w14:paraId="23BD4289">
      <w:pPr>
        <w:pStyle w:val="276"/>
        <w:widowControl w:val="0"/>
        <w:spacing w:line="440" w:lineRule="exact"/>
        <w:ind w:firstLine="0" w:firstLineChars="0"/>
        <w:jc w:val="center"/>
        <w:rPr>
          <w:color w:val="auto"/>
        </w:rPr>
      </w:pPr>
      <w:r>
        <w:rPr>
          <w:color w:val="auto"/>
        </w:rPr>
        <w:t>表5.1-2 气象站</w:t>
      </w:r>
      <w:r>
        <w:rPr>
          <w:color w:val="auto"/>
          <w:kern w:val="2"/>
          <w:szCs w:val="20"/>
        </w:rPr>
        <w:t>月平均</w:t>
      </w:r>
      <w:r>
        <w:rPr>
          <w:color w:val="auto"/>
        </w:rPr>
        <w:t>风速统计（单位：m/s）</w:t>
      </w:r>
    </w:p>
    <w:tbl>
      <w:tblPr>
        <w:tblStyle w:val="172"/>
        <w:tblW w:w="904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62"/>
        <w:gridCol w:w="596"/>
        <w:gridCol w:w="596"/>
        <w:gridCol w:w="596"/>
        <w:gridCol w:w="596"/>
        <w:gridCol w:w="596"/>
        <w:gridCol w:w="596"/>
        <w:gridCol w:w="596"/>
        <w:gridCol w:w="595"/>
        <w:gridCol w:w="595"/>
        <w:gridCol w:w="595"/>
        <w:gridCol w:w="595"/>
        <w:gridCol w:w="627"/>
      </w:tblGrid>
      <w:tr w14:paraId="20508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62" w:type="dxa"/>
            <w:tcBorders>
              <w:left w:val="single" w:color="000000" w:sz="10" w:space="0"/>
              <w:right w:val="single" w:color="000000" w:sz="4" w:space="0"/>
            </w:tcBorders>
            <w:vAlign w:val="center"/>
          </w:tcPr>
          <w:p w14:paraId="2EAE4355">
            <w:pPr>
              <w:spacing w:line="320" w:lineRule="exact"/>
              <w:jc w:val="center"/>
              <w:rPr>
                <w:rFonts w:ascii="宋体" w:hAnsi="宋体" w:eastAsia="宋体" w:cs="Times New Roman"/>
                <w:color w:val="auto"/>
              </w:rPr>
            </w:pPr>
            <w:r>
              <w:rPr>
                <w:rFonts w:ascii="宋体" w:hAnsi="宋体" w:eastAsia="宋体" w:cs="Times New Roman"/>
                <w:color w:val="auto"/>
              </w:rPr>
              <w:t>月份</w:t>
            </w:r>
          </w:p>
        </w:tc>
        <w:tc>
          <w:tcPr>
            <w:tcW w:w="596" w:type="dxa"/>
            <w:tcBorders>
              <w:left w:val="single" w:color="000000" w:sz="4" w:space="0"/>
              <w:right w:val="single" w:color="000000" w:sz="4" w:space="0"/>
            </w:tcBorders>
            <w:vAlign w:val="center"/>
          </w:tcPr>
          <w:p w14:paraId="6E59EB3E">
            <w:pPr>
              <w:spacing w:line="320" w:lineRule="exact"/>
              <w:jc w:val="center"/>
              <w:rPr>
                <w:rFonts w:ascii="宋体" w:hAnsi="宋体" w:eastAsia="宋体" w:cs="Times New Roman"/>
                <w:color w:val="auto"/>
              </w:rPr>
            </w:pPr>
            <w:r>
              <w:rPr>
                <w:rFonts w:ascii="宋体" w:hAnsi="宋体" w:eastAsia="宋体" w:cs="Times New Roman"/>
                <w:color w:val="auto"/>
              </w:rPr>
              <w:t>1</w:t>
            </w:r>
          </w:p>
        </w:tc>
        <w:tc>
          <w:tcPr>
            <w:tcW w:w="596" w:type="dxa"/>
            <w:tcBorders>
              <w:left w:val="single" w:color="000000" w:sz="4" w:space="0"/>
              <w:right w:val="single" w:color="000000" w:sz="4" w:space="0"/>
            </w:tcBorders>
            <w:vAlign w:val="center"/>
          </w:tcPr>
          <w:p w14:paraId="0AA2A1C9">
            <w:pPr>
              <w:spacing w:line="320" w:lineRule="exact"/>
              <w:jc w:val="center"/>
              <w:rPr>
                <w:rFonts w:ascii="宋体" w:hAnsi="宋体" w:eastAsia="宋体" w:cs="Times New Roman"/>
                <w:color w:val="auto"/>
              </w:rPr>
            </w:pPr>
            <w:r>
              <w:rPr>
                <w:rFonts w:ascii="宋体" w:hAnsi="宋体" w:eastAsia="宋体" w:cs="Times New Roman"/>
                <w:color w:val="auto"/>
              </w:rPr>
              <w:t>2</w:t>
            </w:r>
          </w:p>
        </w:tc>
        <w:tc>
          <w:tcPr>
            <w:tcW w:w="596" w:type="dxa"/>
            <w:tcBorders>
              <w:left w:val="single" w:color="000000" w:sz="4" w:space="0"/>
              <w:right w:val="single" w:color="000000" w:sz="4" w:space="0"/>
            </w:tcBorders>
            <w:vAlign w:val="center"/>
          </w:tcPr>
          <w:p w14:paraId="1C256407">
            <w:pPr>
              <w:spacing w:line="320" w:lineRule="exact"/>
              <w:jc w:val="center"/>
              <w:rPr>
                <w:rFonts w:ascii="宋体" w:hAnsi="宋体" w:eastAsia="宋体" w:cs="Times New Roman"/>
                <w:color w:val="auto"/>
              </w:rPr>
            </w:pPr>
            <w:r>
              <w:rPr>
                <w:rFonts w:ascii="宋体" w:hAnsi="宋体" w:eastAsia="宋体" w:cs="Times New Roman"/>
                <w:color w:val="auto"/>
              </w:rPr>
              <w:t>3</w:t>
            </w:r>
          </w:p>
        </w:tc>
        <w:tc>
          <w:tcPr>
            <w:tcW w:w="596" w:type="dxa"/>
            <w:tcBorders>
              <w:left w:val="single" w:color="000000" w:sz="4" w:space="0"/>
              <w:right w:val="single" w:color="000000" w:sz="4" w:space="0"/>
            </w:tcBorders>
            <w:vAlign w:val="center"/>
          </w:tcPr>
          <w:p w14:paraId="617B295F">
            <w:pPr>
              <w:spacing w:line="320" w:lineRule="exact"/>
              <w:jc w:val="center"/>
              <w:rPr>
                <w:rFonts w:ascii="宋体" w:hAnsi="宋体" w:eastAsia="宋体" w:cs="Times New Roman"/>
                <w:color w:val="auto"/>
              </w:rPr>
            </w:pPr>
            <w:r>
              <w:rPr>
                <w:rFonts w:ascii="宋体" w:hAnsi="宋体" w:eastAsia="宋体" w:cs="Times New Roman"/>
                <w:color w:val="auto"/>
              </w:rPr>
              <w:t>4</w:t>
            </w:r>
          </w:p>
        </w:tc>
        <w:tc>
          <w:tcPr>
            <w:tcW w:w="596" w:type="dxa"/>
            <w:tcBorders>
              <w:left w:val="single" w:color="000000" w:sz="4" w:space="0"/>
              <w:right w:val="single" w:color="000000" w:sz="4" w:space="0"/>
            </w:tcBorders>
            <w:vAlign w:val="center"/>
          </w:tcPr>
          <w:p w14:paraId="4CEF10A1">
            <w:pPr>
              <w:spacing w:line="320" w:lineRule="exact"/>
              <w:jc w:val="center"/>
              <w:rPr>
                <w:rFonts w:ascii="宋体" w:hAnsi="宋体" w:eastAsia="宋体" w:cs="Times New Roman"/>
                <w:color w:val="auto"/>
              </w:rPr>
            </w:pPr>
            <w:r>
              <w:rPr>
                <w:rFonts w:ascii="宋体" w:hAnsi="宋体" w:eastAsia="宋体" w:cs="Times New Roman"/>
                <w:color w:val="auto"/>
              </w:rPr>
              <w:t>5</w:t>
            </w:r>
          </w:p>
        </w:tc>
        <w:tc>
          <w:tcPr>
            <w:tcW w:w="596" w:type="dxa"/>
            <w:tcBorders>
              <w:left w:val="single" w:color="000000" w:sz="4" w:space="0"/>
              <w:right w:val="single" w:color="000000" w:sz="4" w:space="0"/>
            </w:tcBorders>
            <w:vAlign w:val="center"/>
          </w:tcPr>
          <w:p w14:paraId="0A5DD8A4">
            <w:pPr>
              <w:spacing w:line="320" w:lineRule="exact"/>
              <w:jc w:val="center"/>
              <w:rPr>
                <w:rFonts w:ascii="宋体" w:hAnsi="宋体" w:eastAsia="宋体" w:cs="Times New Roman"/>
                <w:color w:val="auto"/>
              </w:rPr>
            </w:pPr>
            <w:r>
              <w:rPr>
                <w:rFonts w:ascii="宋体" w:hAnsi="宋体" w:eastAsia="宋体" w:cs="Times New Roman"/>
                <w:color w:val="auto"/>
              </w:rPr>
              <w:t>6</w:t>
            </w:r>
          </w:p>
        </w:tc>
        <w:tc>
          <w:tcPr>
            <w:tcW w:w="596" w:type="dxa"/>
            <w:tcBorders>
              <w:left w:val="single" w:color="000000" w:sz="4" w:space="0"/>
              <w:right w:val="single" w:color="000000" w:sz="4" w:space="0"/>
            </w:tcBorders>
            <w:vAlign w:val="center"/>
          </w:tcPr>
          <w:p w14:paraId="4D4CD17C">
            <w:pPr>
              <w:spacing w:line="320" w:lineRule="exact"/>
              <w:jc w:val="center"/>
              <w:rPr>
                <w:rFonts w:ascii="宋体" w:hAnsi="宋体" w:eastAsia="宋体" w:cs="Times New Roman"/>
                <w:color w:val="auto"/>
              </w:rPr>
            </w:pPr>
            <w:r>
              <w:rPr>
                <w:rFonts w:ascii="宋体" w:hAnsi="宋体" w:eastAsia="宋体" w:cs="Times New Roman"/>
                <w:color w:val="auto"/>
              </w:rPr>
              <w:t>7</w:t>
            </w:r>
          </w:p>
        </w:tc>
        <w:tc>
          <w:tcPr>
            <w:tcW w:w="595" w:type="dxa"/>
            <w:tcBorders>
              <w:left w:val="single" w:color="000000" w:sz="4" w:space="0"/>
              <w:right w:val="single" w:color="000000" w:sz="4" w:space="0"/>
            </w:tcBorders>
            <w:vAlign w:val="center"/>
          </w:tcPr>
          <w:p w14:paraId="170D6DF2">
            <w:pPr>
              <w:spacing w:line="320" w:lineRule="exact"/>
              <w:jc w:val="center"/>
              <w:rPr>
                <w:rFonts w:ascii="宋体" w:hAnsi="宋体" w:eastAsia="宋体" w:cs="Times New Roman"/>
                <w:color w:val="auto"/>
              </w:rPr>
            </w:pPr>
            <w:r>
              <w:rPr>
                <w:rFonts w:ascii="宋体" w:hAnsi="宋体" w:eastAsia="宋体" w:cs="Times New Roman"/>
                <w:color w:val="auto"/>
              </w:rPr>
              <w:t>8</w:t>
            </w:r>
          </w:p>
        </w:tc>
        <w:tc>
          <w:tcPr>
            <w:tcW w:w="595" w:type="dxa"/>
            <w:tcBorders>
              <w:left w:val="single" w:color="000000" w:sz="4" w:space="0"/>
              <w:right w:val="single" w:color="000000" w:sz="4" w:space="0"/>
            </w:tcBorders>
            <w:vAlign w:val="center"/>
          </w:tcPr>
          <w:p w14:paraId="793FA5F7">
            <w:pPr>
              <w:spacing w:line="320" w:lineRule="exact"/>
              <w:jc w:val="center"/>
              <w:rPr>
                <w:rFonts w:ascii="宋体" w:hAnsi="宋体" w:eastAsia="宋体" w:cs="Times New Roman"/>
                <w:color w:val="auto"/>
              </w:rPr>
            </w:pPr>
            <w:r>
              <w:rPr>
                <w:rFonts w:ascii="宋体" w:hAnsi="宋体" w:eastAsia="宋体" w:cs="Times New Roman"/>
                <w:color w:val="auto"/>
              </w:rPr>
              <w:t>9</w:t>
            </w:r>
          </w:p>
        </w:tc>
        <w:tc>
          <w:tcPr>
            <w:tcW w:w="595" w:type="dxa"/>
            <w:tcBorders>
              <w:left w:val="single" w:color="000000" w:sz="4" w:space="0"/>
              <w:right w:val="single" w:color="000000" w:sz="4" w:space="0"/>
            </w:tcBorders>
            <w:vAlign w:val="center"/>
          </w:tcPr>
          <w:p w14:paraId="19CEF8C2">
            <w:pPr>
              <w:spacing w:line="320" w:lineRule="exact"/>
              <w:jc w:val="center"/>
              <w:rPr>
                <w:rFonts w:ascii="宋体" w:hAnsi="宋体" w:eastAsia="宋体" w:cs="Times New Roman"/>
                <w:color w:val="auto"/>
              </w:rPr>
            </w:pPr>
            <w:r>
              <w:rPr>
                <w:rFonts w:ascii="宋体" w:hAnsi="宋体" w:eastAsia="宋体" w:cs="Times New Roman"/>
                <w:color w:val="auto"/>
              </w:rPr>
              <w:t>10</w:t>
            </w:r>
          </w:p>
        </w:tc>
        <w:tc>
          <w:tcPr>
            <w:tcW w:w="595" w:type="dxa"/>
            <w:tcBorders>
              <w:left w:val="single" w:color="000000" w:sz="4" w:space="0"/>
              <w:right w:val="single" w:color="000000" w:sz="4" w:space="0"/>
            </w:tcBorders>
            <w:vAlign w:val="center"/>
          </w:tcPr>
          <w:p w14:paraId="3429E00D">
            <w:pPr>
              <w:spacing w:line="320" w:lineRule="exact"/>
              <w:jc w:val="center"/>
              <w:rPr>
                <w:rFonts w:ascii="宋体" w:hAnsi="宋体" w:eastAsia="宋体" w:cs="Times New Roman"/>
                <w:color w:val="auto"/>
              </w:rPr>
            </w:pPr>
            <w:r>
              <w:rPr>
                <w:rFonts w:ascii="宋体" w:hAnsi="宋体" w:eastAsia="宋体" w:cs="Times New Roman"/>
                <w:color w:val="auto"/>
              </w:rPr>
              <w:t>11</w:t>
            </w:r>
          </w:p>
        </w:tc>
        <w:tc>
          <w:tcPr>
            <w:tcW w:w="627" w:type="dxa"/>
            <w:tcBorders>
              <w:left w:val="single" w:color="000000" w:sz="4" w:space="0"/>
              <w:right w:val="single" w:color="000000" w:sz="10" w:space="0"/>
            </w:tcBorders>
            <w:vAlign w:val="center"/>
          </w:tcPr>
          <w:p w14:paraId="458527B1">
            <w:pPr>
              <w:spacing w:line="320" w:lineRule="exact"/>
              <w:jc w:val="center"/>
              <w:rPr>
                <w:rFonts w:ascii="宋体" w:hAnsi="宋体" w:eastAsia="宋体" w:cs="Times New Roman"/>
                <w:color w:val="auto"/>
              </w:rPr>
            </w:pPr>
            <w:r>
              <w:rPr>
                <w:rFonts w:ascii="宋体" w:hAnsi="宋体" w:eastAsia="宋体" w:cs="Times New Roman"/>
                <w:color w:val="auto"/>
              </w:rPr>
              <w:t>12</w:t>
            </w:r>
          </w:p>
        </w:tc>
      </w:tr>
      <w:tr w14:paraId="6729A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62" w:type="dxa"/>
            <w:tcBorders>
              <w:left w:val="single" w:color="000000" w:sz="10" w:space="0"/>
              <w:right w:val="single" w:color="000000" w:sz="4" w:space="0"/>
            </w:tcBorders>
            <w:vAlign w:val="center"/>
          </w:tcPr>
          <w:p w14:paraId="4CD9F70B">
            <w:pPr>
              <w:spacing w:line="320" w:lineRule="exact"/>
              <w:jc w:val="center"/>
              <w:rPr>
                <w:rFonts w:ascii="宋体" w:hAnsi="宋体" w:eastAsia="宋体" w:cs="Times New Roman"/>
                <w:color w:val="auto"/>
              </w:rPr>
            </w:pPr>
            <w:r>
              <w:rPr>
                <w:rFonts w:ascii="宋体" w:hAnsi="宋体" w:eastAsia="宋体" w:cs="Times New Roman"/>
                <w:color w:val="auto"/>
              </w:rPr>
              <w:t>平均风速</w:t>
            </w:r>
          </w:p>
        </w:tc>
        <w:tc>
          <w:tcPr>
            <w:tcW w:w="596" w:type="dxa"/>
            <w:tcBorders>
              <w:left w:val="single" w:color="000000" w:sz="4" w:space="0"/>
              <w:right w:val="single" w:color="000000" w:sz="4" w:space="0"/>
            </w:tcBorders>
            <w:vAlign w:val="center"/>
          </w:tcPr>
          <w:p w14:paraId="60E73D3B">
            <w:pPr>
              <w:spacing w:line="320" w:lineRule="exact"/>
              <w:jc w:val="center"/>
              <w:rPr>
                <w:rFonts w:ascii="宋体" w:hAnsi="宋体" w:eastAsia="宋体" w:cs="Times New Roman"/>
                <w:color w:val="auto"/>
              </w:rPr>
            </w:pPr>
            <w:r>
              <w:rPr>
                <w:rFonts w:ascii="宋体" w:hAnsi="宋体" w:eastAsia="宋体" w:cs="Times New Roman"/>
                <w:color w:val="auto"/>
              </w:rPr>
              <w:t>1.9</w:t>
            </w:r>
          </w:p>
        </w:tc>
        <w:tc>
          <w:tcPr>
            <w:tcW w:w="596" w:type="dxa"/>
            <w:tcBorders>
              <w:left w:val="single" w:color="000000" w:sz="4" w:space="0"/>
              <w:right w:val="single" w:color="000000" w:sz="4" w:space="0"/>
            </w:tcBorders>
            <w:vAlign w:val="center"/>
          </w:tcPr>
          <w:p w14:paraId="2224F147">
            <w:pPr>
              <w:spacing w:line="320" w:lineRule="exact"/>
              <w:jc w:val="center"/>
              <w:rPr>
                <w:rFonts w:ascii="宋体" w:hAnsi="宋体" w:eastAsia="宋体" w:cs="Times New Roman"/>
                <w:color w:val="auto"/>
              </w:rPr>
            </w:pPr>
            <w:r>
              <w:rPr>
                <w:rFonts w:ascii="宋体" w:hAnsi="宋体" w:eastAsia="宋体" w:cs="Times New Roman"/>
                <w:color w:val="auto"/>
              </w:rPr>
              <w:t>2.2</w:t>
            </w:r>
          </w:p>
        </w:tc>
        <w:tc>
          <w:tcPr>
            <w:tcW w:w="596" w:type="dxa"/>
            <w:tcBorders>
              <w:left w:val="single" w:color="000000" w:sz="4" w:space="0"/>
              <w:right w:val="single" w:color="000000" w:sz="4" w:space="0"/>
            </w:tcBorders>
            <w:vAlign w:val="center"/>
          </w:tcPr>
          <w:p w14:paraId="7E48F965">
            <w:pPr>
              <w:spacing w:line="320" w:lineRule="exact"/>
              <w:jc w:val="center"/>
              <w:rPr>
                <w:rFonts w:ascii="宋体" w:hAnsi="宋体" w:eastAsia="宋体" w:cs="Times New Roman"/>
                <w:color w:val="auto"/>
              </w:rPr>
            </w:pPr>
            <w:r>
              <w:rPr>
                <w:rFonts w:ascii="宋体" w:hAnsi="宋体" w:eastAsia="宋体" w:cs="Times New Roman"/>
                <w:color w:val="auto"/>
              </w:rPr>
              <w:t>2.6</w:t>
            </w:r>
          </w:p>
        </w:tc>
        <w:tc>
          <w:tcPr>
            <w:tcW w:w="596" w:type="dxa"/>
            <w:tcBorders>
              <w:left w:val="single" w:color="000000" w:sz="4" w:space="0"/>
              <w:right w:val="single" w:color="000000" w:sz="4" w:space="0"/>
            </w:tcBorders>
            <w:vAlign w:val="center"/>
          </w:tcPr>
          <w:p w14:paraId="50949845">
            <w:pPr>
              <w:spacing w:line="320" w:lineRule="exact"/>
              <w:jc w:val="center"/>
              <w:rPr>
                <w:rFonts w:ascii="宋体" w:hAnsi="宋体" w:eastAsia="宋体" w:cs="Times New Roman"/>
                <w:color w:val="auto"/>
              </w:rPr>
            </w:pPr>
            <w:r>
              <w:rPr>
                <w:rFonts w:ascii="宋体" w:hAnsi="宋体" w:eastAsia="宋体" w:cs="Times New Roman"/>
                <w:color w:val="auto"/>
              </w:rPr>
              <w:t>2.8</w:t>
            </w:r>
          </w:p>
        </w:tc>
        <w:tc>
          <w:tcPr>
            <w:tcW w:w="596" w:type="dxa"/>
            <w:tcBorders>
              <w:left w:val="single" w:color="000000" w:sz="4" w:space="0"/>
              <w:right w:val="single" w:color="000000" w:sz="4" w:space="0"/>
            </w:tcBorders>
            <w:vAlign w:val="center"/>
          </w:tcPr>
          <w:p w14:paraId="6FA25D37">
            <w:pPr>
              <w:spacing w:line="320" w:lineRule="exact"/>
              <w:jc w:val="center"/>
              <w:rPr>
                <w:rFonts w:ascii="宋体" w:hAnsi="宋体" w:eastAsia="宋体" w:cs="Times New Roman"/>
                <w:color w:val="auto"/>
              </w:rPr>
            </w:pPr>
            <w:r>
              <w:rPr>
                <w:rFonts w:ascii="宋体" w:hAnsi="宋体" w:eastAsia="宋体" w:cs="Times New Roman"/>
                <w:color w:val="auto"/>
              </w:rPr>
              <w:t>2.7</w:t>
            </w:r>
          </w:p>
        </w:tc>
        <w:tc>
          <w:tcPr>
            <w:tcW w:w="596" w:type="dxa"/>
            <w:tcBorders>
              <w:left w:val="single" w:color="000000" w:sz="4" w:space="0"/>
              <w:right w:val="single" w:color="000000" w:sz="4" w:space="0"/>
            </w:tcBorders>
            <w:vAlign w:val="center"/>
          </w:tcPr>
          <w:p w14:paraId="42DEF221">
            <w:pPr>
              <w:spacing w:line="320" w:lineRule="exact"/>
              <w:jc w:val="center"/>
              <w:rPr>
                <w:rFonts w:ascii="宋体" w:hAnsi="宋体" w:eastAsia="宋体" w:cs="Times New Roman"/>
                <w:color w:val="auto"/>
              </w:rPr>
            </w:pPr>
            <w:r>
              <w:rPr>
                <w:rFonts w:ascii="宋体" w:hAnsi="宋体" w:eastAsia="宋体" w:cs="Times New Roman"/>
                <w:color w:val="auto"/>
              </w:rPr>
              <w:t>2.1</w:t>
            </w:r>
          </w:p>
        </w:tc>
        <w:tc>
          <w:tcPr>
            <w:tcW w:w="596" w:type="dxa"/>
            <w:tcBorders>
              <w:left w:val="single" w:color="000000" w:sz="4" w:space="0"/>
              <w:right w:val="single" w:color="000000" w:sz="4" w:space="0"/>
            </w:tcBorders>
            <w:vAlign w:val="center"/>
          </w:tcPr>
          <w:p w14:paraId="7DFBAC3C">
            <w:pPr>
              <w:spacing w:line="320" w:lineRule="exact"/>
              <w:jc w:val="center"/>
              <w:rPr>
                <w:rFonts w:ascii="宋体" w:hAnsi="宋体" w:eastAsia="宋体" w:cs="Times New Roman"/>
                <w:color w:val="auto"/>
              </w:rPr>
            </w:pPr>
            <w:r>
              <w:rPr>
                <w:rFonts w:ascii="宋体" w:hAnsi="宋体" w:eastAsia="宋体" w:cs="Times New Roman"/>
                <w:color w:val="auto"/>
              </w:rPr>
              <w:t>2.0</w:t>
            </w:r>
          </w:p>
        </w:tc>
        <w:tc>
          <w:tcPr>
            <w:tcW w:w="595" w:type="dxa"/>
            <w:tcBorders>
              <w:left w:val="single" w:color="000000" w:sz="4" w:space="0"/>
              <w:right w:val="single" w:color="000000" w:sz="4" w:space="0"/>
            </w:tcBorders>
            <w:vAlign w:val="center"/>
          </w:tcPr>
          <w:p w14:paraId="3B0B683E">
            <w:pPr>
              <w:spacing w:line="320" w:lineRule="exact"/>
              <w:jc w:val="center"/>
              <w:rPr>
                <w:rFonts w:ascii="宋体" w:hAnsi="宋体" w:eastAsia="宋体" w:cs="Times New Roman"/>
                <w:color w:val="auto"/>
              </w:rPr>
            </w:pPr>
            <w:r>
              <w:rPr>
                <w:rFonts w:ascii="宋体" w:hAnsi="宋体" w:eastAsia="宋体" w:cs="Times New Roman"/>
                <w:color w:val="auto"/>
              </w:rPr>
              <w:t>1.8</w:t>
            </w:r>
          </w:p>
        </w:tc>
        <w:tc>
          <w:tcPr>
            <w:tcW w:w="595" w:type="dxa"/>
            <w:tcBorders>
              <w:left w:val="single" w:color="000000" w:sz="4" w:space="0"/>
              <w:right w:val="single" w:color="000000" w:sz="4" w:space="0"/>
            </w:tcBorders>
            <w:vAlign w:val="center"/>
          </w:tcPr>
          <w:p w14:paraId="3FAAE279">
            <w:pPr>
              <w:spacing w:line="320" w:lineRule="exact"/>
              <w:jc w:val="center"/>
              <w:rPr>
                <w:rFonts w:ascii="宋体" w:hAnsi="宋体" w:eastAsia="宋体" w:cs="Times New Roman"/>
                <w:color w:val="auto"/>
              </w:rPr>
            </w:pPr>
            <w:r>
              <w:rPr>
                <w:rFonts w:ascii="宋体" w:hAnsi="宋体" w:eastAsia="宋体" w:cs="Times New Roman"/>
                <w:color w:val="auto"/>
              </w:rPr>
              <w:t>2.1</w:t>
            </w:r>
          </w:p>
        </w:tc>
        <w:tc>
          <w:tcPr>
            <w:tcW w:w="595" w:type="dxa"/>
            <w:tcBorders>
              <w:left w:val="single" w:color="000000" w:sz="4" w:space="0"/>
              <w:right w:val="single" w:color="000000" w:sz="4" w:space="0"/>
            </w:tcBorders>
            <w:vAlign w:val="center"/>
          </w:tcPr>
          <w:p w14:paraId="19BF0E88">
            <w:pPr>
              <w:spacing w:line="320" w:lineRule="exact"/>
              <w:jc w:val="center"/>
              <w:rPr>
                <w:rFonts w:ascii="宋体" w:hAnsi="宋体" w:eastAsia="宋体" w:cs="Times New Roman"/>
                <w:color w:val="auto"/>
              </w:rPr>
            </w:pPr>
            <w:r>
              <w:rPr>
                <w:rFonts w:ascii="宋体" w:hAnsi="宋体" w:eastAsia="宋体" w:cs="Times New Roman"/>
                <w:color w:val="auto"/>
              </w:rPr>
              <w:t>2.2</w:t>
            </w:r>
          </w:p>
        </w:tc>
        <w:tc>
          <w:tcPr>
            <w:tcW w:w="595" w:type="dxa"/>
            <w:tcBorders>
              <w:left w:val="single" w:color="000000" w:sz="4" w:space="0"/>
              <w:right w:val="single" w:color="000000" w:sz="4" w:space="0"/>
            </w:tcBorders>
            <w:vAlign w:val="center"/>
          </w:tcPr>
          <w:p w14:paraId="519D3153">
            <w:pPr>
              <w:spacing w:line="320" w:lineRule="exact"/>
              <w:jc w:val="center"/>
              <w:rPr>
                <w:rFonts w:ascii="宋体" w:hAnsi="宋体" w:eastAsia="宋体" w:cs="Times New Roman"/>
                <w:color w:val="auto"/>
              </w:rPr>
            </w:pPr>
            <w:r>
              <w:rPr>
                <w:rFonts w:ascii="宋体" w:hAnsi="宋体" w:eastAsia="宋体" w:cs="Times New Roman"/>
                <w:color w:val="auto"/>
              </w:rPr>
              <w:t>2.2</w:t>
            </w:r>
          </w:p>
        </w:tc>
        <w:tc>
          <w:tcPr>
            <w:tcW w:w="627" w:type="dxa"/>
            <w:tcBorders>
              <w:left w:val="single" w:color="000000" w:sz="4" w:space="0"/>
              <w:right w:val="single" w:color="000000" w:sz="10" w:space="0"/>
            </w:tcBorders>
            <w:vAlign w:val="center"/>
          </w:tcPr>
          <w:p w14:paraId="167A26A7">
            <w:pPr>
              <w:spacing w:line="320" w:lineRule="exact"/>
              <w:jc w:val="center"/>
              <w:rPr>
                <w:rFonts w:ascii="宋体" w:hAnsi="宋体" w:eastAsia="宋体" w:cs="Times New Roman"/>
                <w:color w:val="auto"/>
              </w:rPr>
            </w:pPr>
            <w:r>
              <w:rPr>
                <w:rFonts w:ascii="宋体" w:hAnsi="宋体" w:eastAsia="宋体" w:cs="Times New Roman"/>
                <w:color w:val="auto"/>
              </w:rPr>
              <w:t>1.9</w:t>
            </w:r>
          </w:p>
        </w:tc>
      </w:tr>
    </w:tbl>
    <w:p w14:paraId="43A89374">
      <w:pPr>
        <w:kinsoku w:val="0"/>
        <w:autoSpaceDE w:val="0"/>
        <w:autoSpaceDN w:val="0"/>
        <w:adjustRightInd w:val="0"/>
        <w:snapToGrid w:val="0"/>
        <w:jc w:val="center"/>
        <w:textAlignment w:val="baseline"/>
        <w:rPr>
          <w:rFonts w:ascii="宋体" w:hAnsi="宋体" w:eastAsia="宋体" w:cs="Times New Roman"/>
          <w:color w:val="auto"/>
        </w:rPr>
      </w:pPr>
    </w:p>
    <w:p w14:paraId="352D98F1">
      <w:pPr>
        <w:kinsoku w:val="0"/>
        <w:autoSpaceDE w:val="0"/>
        <w:autoSpaceDN w:val="0"/>
        <w:adjustRightInd w:val="0"/>
        <w:snapToGrid w:val="0"/>
        <w:jc w:val="center"/>
        <w:textAlignment w:val="baseline"/>
        <w:rPr>
          <w:rFonts w:ascii="宋体" w:hAnsi="宋体" w:eastAsia="宋体" w:cs="Times New Roman"/>
          <w:color w:val="auto"/>
        </w:rPr>
      </w:pPr>
      <w:r>
        <w:rPr>
          <w:rFonts w:ascii="宋体" w:hAnsi="宋体" w:eastAsia="宋体" w:cs="Times New Roman"/>
          <w:color w:val="auto"/>
        </w:rPr>
        <w:drawing>
          <wp:inline distT="0" distB="0" distL="0" distR="0">
            <wp:extent cx="5097780" cy="3019425"/>
            <wp:effectExtent l="0" t="0" r="7620" b="9525"/>
            <wp:docPr id="1352728140" name="图片 135272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40" name="图片 1352728140"/>
                    <pic:cNvPicPr>
                      <a:picLocks noChangeAspect="1"/>
                    </pic:cNvPicPr>
                  </pic:nvPicPr>
                  <pic:blipFill>
                    <a:blip r:embed="rId81"/>
                    <a:stretch>
                      <a:fillRect/>
                    </a:stretch>
                  </pic:blipFill>
                  <pic:spPr>
                    <a:xfrm>
                      <a:off x="0" y="0"/>
                      <a:ext cx="5182696" cy="3019425"/>
                    </a:xfrm>
                    <a:prstGeom prst="rect">
                      <a:avLst/>
                    </a:prstGeom>
                  </pic:spPr>
                </pic:pic>
              </a:graphicData>
            </a:graphic>
          </wp:inline>
        </w:drawing>
      </w:r>
    </w:p>
    <w:p w14:paraId="31511A30">
      <w:pPr>
        <w:snapToGrid w:val="0"/>
        <w:jc w:val="center"/>
        <w:rPr>
          <w:rFonts w:ascii="宋体" w:hAnsi="宋体" w:eastAsia="宋体" w:cs="Times New Roman"/>
          <w:color w:val="auto"/>
        </w:rPr>
      </w:pPr>
      <w:r>
        <w:rPr>
          <w:rFonts w:ascii="宋体" w:hAnsi="宋体" w:eastAsia="宋体" w:cs="Times New Roman"/>
          <w:color w:val="auto"/>
        </w:rPr>
        <w:t>图5.1-1 月平均风速（单位：m/s）</w:t>
      </w:r>
    </w:p>
    <w:p w14:paraId="0F66659A">
      <w:pPr>
        <w:pStyle w:val="276"/>
        <w:widowControl w:val="0"/>
        <w:ind w:firstLine="480"/>
        <w:jc w:val="both"/>
        <w:rPr>
          <w:color w:val="auto"/>
          <w:kern w:val="2"/>
        </w:rPr>
      </w:pPr>
      <w:r>
        <w:rPr>
          <w:rFonts w:hint="eastAsia"/>
          <w:color w:val="auto"/>
          <w:kern w:val="2"/>
        </w:rPr>
        <w:t>2）</w:t>
      </w:r>
      <w:r>
        <w:rPr>
          <w:color w:val="auto"/>
          <w:kern w:val="2"/>
        </w:rPr>
        <w:t>风向特征</w:t>
      </w:r>
    </w:p>
    <w:p w14:paraId="66548754">
      <w:pPr>
        <w:pStyle w:val="276"/>
        <w:widowControl w:val="0"/>
        <w:ind w:firstLine="480"/>
        <w:jc w:val="both"/>
        <w:rPr>
          <w:color w:val="auto"/>
          <w:lang w:val="zh-CN"/>
        </w:rPr>
      </w:pPr>
      <w:r>
        <w:rPr>
          <w:color w:val="auto"/>
          <w:lang w:val="zh-CN"/>
        </w:rPr>
        <w:t>近20年资料分析的风向玫瑰图见图5.1-2，大庆气象站主要风向为S、SSW、WSW、WNW，占32.5％，其中以S为主风向，占到全年的8.6%左右。</w:t>
      </w:r>
    </w:p>
    <w:p w14:paraId="53D89F2B">
      <w:pPr>
        <w:pStyle w:val="276"/>
        <w:widowControl w:val="0"/>
        <w:spacing w:line="440" w:lineRule="exact"/>
        <w:ind w:firstLine="0" w:firstLineChars="0"/>
        <w:jc w:val="center"/>
        <w:rPr>
          <w:color w:val="auto"/>
        </w:rPr>
      </w:pPr>
      <w:r>
        <w:rPr>
          <w:color w:val="auto"/>
        </w:rPr>
        <w:t xml:space="preserve">表5.1-3 </w:t>
      </w:r>
      <w:r>
        <w:rPr>
          <w:color w:val="auto"/>
          <w:kern w:val="2"/>
          <w:szCs w:val="20"/>
        </w:rPr>
        <w:t>气象站</w:t>
      </w:r>
      <w:r>
        <w:rPr>
          <w:color w:val="auto"/>
        </w:rPr>
        <w:t>年风向频率统计（单位：%）</w:t>
      </w:r>
    </w:p>
    <w:tbl>
      <w:tblPr>
        <w:tblStyle w:val="172"/>
        <w:tblW w:w="90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3"/>
        <w:gridCol w:w="368"/>
        <w:gridCol w:w="595"/>
        <w:gridCol w:w="389"/>
        <w:gridCol w:w="560"/>
        <w:gridCol w:w="369"/>
        <w:gridCol w:w="513"/>
        <w:gridCol w:w="369"/>
        <w:gridCol w:w="499"/>
        <w:gridCol w:w="369"/>
        <w:gridCol w:w="595"/>
        <w:gridCol w:w="434"/>
        <w:gridCol w:w="703"/>
        <w:gridCol w:w="367"/>
        <w:gridCol w:w="750"/>
        <w:gridCol w:w="483"/>
        <w:gridCol w:w="687"/>
        <w:gridCol w:w="385"/>
      </w:tblGrid>
      <w:tr w14:paraId="0754D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03" w:type="dxa"/>
            <w:tcBorders>
              <w:left w:val="single" w:color="000000" w:sz="10" w:space="0"/>
            </w:tcBorders>
          </w:tcPr>
          <w:p w14:paraId="385F25EA">
            <w:pPr>
              <w:spacing w:line="320" w:lineRule="exact"/>
              <w:jc w:val="center"/>
              <w:rPr>
                <w:rFonts w:ascii="宋体" w:hAnsi="宋体" w:eastAsia="宋体" w:cs="Times New Roman"/>
                <w:color w:val="auto"/>
              </w:rPr>
            </w:pPr>
            <w:r>
              <w:rPr>
                <w:rFonts w:ascii="宋体" w:hAnsi="宋体" w:eastAsia="宋体" w:cs="Times New Roman"/>
                <w:color w:val="auto"/>
              </w:rPr>
              <w:t>风向</w:t>
            </w:r>
          </w:p>
        </w:tc>
        <w:tc>
          <w:tcPr>
            <w:tcW w:w="368" w:type="dxa"/>
          </w:tcPr>
          <w:p w14:paraId="353E4E10">
            <w:pPr>
              <w:spacing w:line="320" w:lineRule="exact"/>
              <w:jc w:val="center"/>
              <w:rPr>
                <w:rFonts w:ascii="宋体" w:hAnsi="宋体" w:eastAsia="宋体" w:cs="Times New Roman"/>
                <w:color w:val="auto"/>
              </w:rPr>
            </w:pPr>
            <w:r>
              <w:rPr>
                <w:rFonts w:ascii="宋体" w:hAnsi="宋体" w:eastAsia="宋体" w:cs="Times New Roman"/>
                <w:color w:val="auto"/>
              </w:rPr>
              <w:t>N</w:t>
            </w:r>
          </w:p>
        </w:tc>
        <w:tc>
          <w:tcPr>
            <w:tcW w:w="595" w:type="dxa"/>
          </w:tcPr>
          <w:p w14:paraId="32457D4D">
            <w:pPr>
              <w:spacing w:line="320" w:lineRule="exact"/>
              <w:jc w:val="center"/>
              <w:rPr>
                <w:rFonts w:ascii="宋体" w:hAnsi="宋体" w:eastAsia="宋体" w:cs="Times New Roman"/>
                <w:color w:val="auto"/>
              </w:rPr>
            </w:pPr>
            <w:r>
              <w:rPr>
                <w:rFonts w:ascii="宋体" w:hAnsi="宋体" w:eastAsia="宋体" w:cs="Times New Roman"/>
                <w:color w:val="auto"/>
              </w:rPr>
              <w:t>NNE</w:t>
            </w:r>
          </w:p>
        </w:tc>
        <w:tc>
          <w:tcPr>
            <w:tcW w:w="389" w:type="dxa"/>
          </w:tcPr>
          <w:p w14:paraId="2EE4C35F">
            <w:pPr>
              <w:spacing w:line="320" w:lineRule="exact"/>
              <w:jc w:val="center"/>
              <w:rPr>
                <w:rFonts w:ascii="宋体" w:hAnsi="宋体" w:eastAsia="宋体" w:cs="Times New Roman"/>
                <w:color w:val="auto"/>
              </w:rPr>
            </w:pPr>
            <w:r>
              <w:rPr>
                <w:rFonts w:ascii="宋体" w:hAnsi="宋体" w:eastAsia="宋体" w:cs="Times New Roman"/>
                <w:color w:val="auto"/>
              </w:rPr>
              <w:t>NE</w:t>
            </w:r>
          </w:p>
        </w:tc>
        <w:tc>
          <w:tcPr>
            <w:tcW w:w="560" w:type="dxa"/>
          </w:tcPr>
          <w:p w14:paraId="1927E988">
            <w:pPr>
              <w:spacing w:line="320" w:lineRule="exact"/>
              <w:jc w:val="center"/>
              <w:rPr>
                <w:rFonts w:ascii="宋体" w:hAnsi="宋体" w:eastAsia="宋体" w:cs="Times New Roman"/>
                <w:color w:val="auto"/>
              </w:rPr>
            </w:pPr>
            <w:r>
              <w:rPr>
                <w:rFonts w:ascii="宋体" w:hAnsi="宋体" w:eastAsia="宋体" w:cs="Times New Roman"/>
                <w:color w:val="auto"/>
              </w:rPr>
              <w:t>ENE</w:t>
            </w:r>
          </w:p>
        </w:tc>
        <w:tc>
          <w:tcPr>
            <w:tcW w:w="369" w:type="dxa"/>
          </w:tcPr>
          <w:p w14:paraId="2B36CDF7">
            <w:pPr>
              <w:spacing w:line="320" w:lineRule="exact"/>
              <w:jc w:val="center"/>
              <w:rPr>
                <w:rFonts w:ascii="宋体" w:hAnsi="宋体" w:eastAsia="宋体" w:cs="Times New Roman"/>
                <w:color w:val="auto"/>
              </w:rPr>
            </w:pPr>
            <w:r>
              <w:rPr>
                <w:rFonts w:ascii="宋体" w:hAnsi="宋体" w:eastAsia="宋体" w:cs="Times New Roman"/>
                <w:color w:val="auto"/>
              </w:rPr>
              <w:t>E</w:t>
            </w:r>
          </w:p>
        </w:tc>
        <w:tc>
          <w:tcPr>
            <w:tcW w:w="513" w:type="dxa"/>
          </w:tcPr>
          <w:p w14:paraId="7088421D">
            <w:pPr>
              <w:spacing w:line="320" w:lineRule="exact"/>
              <w:jc w:val="center"/>
              <w:rPr>
                <w:rFonts w:ascii="宋体" w:hAnsi="宋体" w:eastAsia="宋体" w:cs="Times New Roman"/>
                <w:color w:val="auto"/>
              </w:rPr>
            </w:pPr>
            <w:r>
              <w:rPr>
                <w:rFonts w:ascii="宋体" w:hAnsi="宋体" w:eastAsia="宋体" w:cs="Times New Roman"/>
                <w:color w:val="auto"/>
              </w:rPr>
              <w:t>ESE</w:t>
            </w:r>
          </w:p>
        </w:tc>
        <w:tc>
          <w:tcPr>
            <w:tcW w:w="369" w:type="dxa"/>
          </w:tcPr>
          <w:p w14:paraId="365D3405">
            <w:pPr>
              <w:spacing w:line="320" w:lineRule="exact"/>
              <w:jc w:val="center"/>
              <w:rPr>
                <w:rFonts w:ascii="宋体" w:hAnsi="宋体" w:eastAsia="宋体" w:cs="Times New Roman"/>
                <w:color w:val="auto"/>
              </w:rPr>
            </w:pPr>
            <w:r>
              <w:rPr>
                <w:rFonts w:ascii="宋体" w:hAnsi="宋体" w:eastAsia="宋体" w:cs="Times New Roman"/>
                <w:color w:val="auto"/>
              </w:rPr>
              <w:t>SE</w:t>
            </w:r>
          </w:p>
        </w:tc>
        <w:tc>
          <w:tcPr>
            <w:tcW w:w="499" w:type="dxa"/>
          </w:tcPr>
          <w:p w14:paraId="30A1636F">
            <w:pPr>
              <w:spacing w:line="320" w:lineRule="exact"/>
              <w:jc w:val="center"/>
              <w:rPr>
                <w:rFonts w:ascii="宋体" w:hAnsi="宋体" w:eastAsia="宋体" w:cs="Times New Roman"/>
                <w:color w:val="auto"/>
              </w:rPr>
            </w:pPr>
            <w:r>
              <w:rPr>
                <w:rFonts w:ascii="宋体" w:hAnsi="宋体" w:eastAsia="宋体" w:cs="Times New Roman"/>
                <w:color w:val="auto"/>
              </w:rPr>
              <w:t>SSE</w:t>
            </w:r>
          </w:p>
        </w:tc>
        <w:tc>
          <w:tcPr>
            <w:tcW w:w="369" w:type="dxa"/>
          </w:tcPr>
          <w:p w14:paraId="3A7054F8">
            <w:pPr>
              <w:spacing w:line="320" w:lineRule="exact"/>
              <w:jc w:val="center"/>
              <w:rPr>
                <w:rFonts w:ascii="宋体" w:hAnsi="宋体" w:eastAsia="宋体" w:cs="Times New Roman"/>
                <w:color w:val="auto"/>
              </w:rPr>
            </w:pPr>
            <w:r>
              <w:rPr>
                <w:rFonts w:ascii="宋体" w:hAnsi="宋体" w:eastAsia="宋体" w:cs="Times New Roman"/>
                <w:color w:val="auto"/>
              </w:rPr>
              <w:t>S</w:t>
            </w:r>
          </w:p>
        </w:tc>
        <w:tc>
          <w:tcPr>
            <w:tcW w:w="595" w:type="dxa"/>
          </w:tcPr>
          <w:p w14:paraId="0278780D">
            <w:pPr>
              <w:spacing w:line="320" w:lineRule="exact"/>
              <w:jc w:val="center"/>
              <w:rPr>
                <w:rFonts w:ascii="宋体" w:hAnsi="宋体" w:eastAsia="宋体" w:cs="Times New Roman"/>
                <w:color w:val="auto"/>
              </w:rPr>
            </w:pPr>
            <w:r>
              <w:rPr>
                <w:rFonts w:ascii="宋体" w:hAnsi="宋体" w:eastAsia="宋体" w:cs="Times New Roman"/>
                <w:color w:val="auto"/>
              </w:rPr>
              <w:t>SSW</w:t>
            </w:r>
          </w:p>
        </w:tc>
        <w:tc>
          <w:tcPr>
            <w:tcW w:w="434" w:type="dxa"/>
          </w:tcPr>
          <w:p w14:paraId="62A248E9">
            <w:pPr>
              <w:spacing w:line="320" w:lineRule="exact"/>
              <w:jc w:val="center"/>
              <w:rPr>
                <w:rFonts w:ascii="宋体" w:hAnsi="宋体" w:eastAsia="宋体" w:cs="Times New Roman"/>
                <w:color w:val="auto"/>
              </w:rPr>
            </w:pPr>
            <w:r>
              <w:rPr>
                <w:rFonts w:ascii="宋体" w:hAnsi="宋体" w:eastAsia="宋体" w:cs="Times New Roman"/>
                <w:color w:val="auto"/>
              </w:rPr>
              <w:t>SW</w:t>
            </w:r>
          </w:p>
        </w:tc>
        <w:tc>
          <w:tcPr>
            <w:tcW w:w="703" w:type="dxa"/>
          </w:tcPr>
          <w:p w14:paraId="06D409B6">
            <w:pPr>
              <w:spacing w:line="320" w:lineRule="exact"/>
              <w:jc w:val="center"/>
              <w:rPr>
                <w:rFonts w:ascii="宋体" w:hAnsi="宋体" w:eastAsia="宋体" w:cs="Times New Roman"/>
                <w:color w:val="auto"/>
              </w:rPr>
            </w:pPr>
            <w:r>
              <w:rPr>
                <w:rFonts w:ascii="宋体" w:hAnsi="宋体" w:eastAsia="宋体" w:cs="Times New Roman"/>
                <w:color w:val="auto"/>
              </w:rPr>
              <w:t>WSW</w:t>
            </w:r>
          </w:p>
        </w:tc>
        <w:tc>
          <w:tcPr>
            <w:tcW w:w="367" w:type="dxa"/>
          </w:tcPr>
          <w:p w14:paraId="0F85474A">
            <w:pPr>
              <w:spacing w:line="320" w:lineRule="exact"/>
              <w:jc w:val="center"/>
              <w:rPr>
                <w:rFonts w:ascii="宋体" w:hAnsi="宋体" w:eastAsia="宋体" w:cs="Times New Roman"/>
                <w:color w:val="auto"/>
              </w:rPr>
            </w:pPr>
            <w:r>
              <w:rPr>
                <w:rFonts w:ascii="宋体" w:hAnsi="宋体" w:eastAsia="宋体" w:cs="Times New Roman"/>
                <w:color w:val="auto"/>
              </w:rPr>
              <w:t>W</w:t>
            </w:r>
          </w:p>
        </w:tc>
        <w:tc>
          <w:tcPr>
            <w:tcW w:w="750" w:type="dxa"/>
          </w:tcPr>
          <w:p w14:paraId="070C8FE5">
            <w:pPr>
              <w:spacing w:line="320" w:lineRule="exact"/>
              <w:jc w:val="center"/>
              <w:rPr>
                <w:rFonts w:ascii="宋体" w:hAnsi="宋体" w:eastAsia="宋体" w:cs="Times New Roman"/>
                <w:color w:val="auto"/>
              </w:rPr>
            </w:pPr>
            <w:r>
              <w:rPr>
                <w:rFonts w:ascii="宋体" w:hAnsi="宋体" w:eastAsia="宋体" w:cs="Times New Roman"/>
                <w:color w:val="auto"/>
              </w:rPr>
              <w:t>WNW</w:t>
            </w:r>
          </w:p>
        </w:tc>
        <w:tc>
          <w:tcPr>
            <w:tcW w:w="483" w:type="dxa"/>
          </w:tcPr>
          <w:p w14:paraId="07F8E58A">
            <w:pPr>
              <w:spacing w:line="320" w:lineRule="exact"/>
              <w:jc w:val="center"/>
              <w:rPr>
                <w:rFonts w:ascii="宋体" w:hAnsi="宋体" w:eastAsia="宋体" w:cs="Times New Roman"/>
                <w:color w:val="auto"/>
              </w:rPr>
            </w:pPr>
            <w:r>
              <w:rPr>
                <w:rFonts w:ascii="宋体" w:hAnsi="宋体" w:eastAsia="宋体" w:cs="Times New Roman"/>
                <w:color w:val="auto"/>
              </w:rPr>
              <w:t>NW</w:t>
            </w:r>
          </w:p>
        </w:tc>
        <w:tc>
          <w:tcPr>
            <w:tcW w:w="687" w:type="dxa"/>
          </w:tcPr>
          <w:p w14:paraId="728A8C16">
            <w:pPr>
              <w:spacing w:line="320" w:lineRule="exact"/>
              <w:jc w:val="center"/>
              <w:rPr>
                <w:rFonts w:ascii="宋体" w:hAnsi="宋体" w:eastAsia="宋体" w:cs="Times New Roman"/>
                <w:color w:val="auto"/>
              </w:rPr>
            </w:pPr>
            <w:r>
              <w:rPr>
                <w:rFonts w:ascii="宋体" w:hAnsi="宋体" w:eastAsia="宋体" w:cs="Times New Roman"/>
                <w:color w:val="auto"/>
              </w:rPr>
              <w:t>NNW</w:t>
            </w:r>
          </w:p>
        </w:tc>
        <w:tc>
          <w:tcPr>
            <w:tcW w:w="385" w:type="dxa"/>
            <w:tcBorders>
              <w:right w:val="single" w:color="000000" w:sz="10" w:space="0"/>
            </w:tcBorders>
          </w:tcPr>
          <w:p w14:paraId="482D2798">
            <w:pPr>
              <w:spacing w:line="320" w:lineRule="exact"/>
              <w:jc w:val="center"/>
              <w:rPr>
                <w:rFonts w:ascii="宋体" w:hAnsi="宋体" w:eastAsia="宋体" w:cs="Times New Roman"/>
                <w:color w:val="auto"/>
              </w:rPr>
            </w:pPr>
            <w:r>
              <w:rPr>
                <w:rFonts w:ascii="宋体" w:hAnsi="宋体" w:eastAsia="宋体" w:cs="Times New Roman"/>
                <w:color w:val="auto"/>
              </w:rPr>
              <w:t>C</w:t>
            </w:r>
          </w:p>
        </w:tc>
      </w:tr>
      <w:tr w14:paraId="02821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03" w:type="dxa"/>
            <w:tcBorders>
              <w:left w:val="single" w:color="000000" w:sz="10" w:space="0"/>
            </w:tcBorders>
          </w:tcPr>
          <w:p w14:paraId="5D1396E0">
            <w:pPr>
              <w:spacing w:line="320" w:lineRule="exact"/>
              <w:jc w:val="center"/>
              <w:rPr>
                <w:rFonts w:ascii="宋体" w:hAnsi="宋体" w:eastAsia="宋体" w:cs="Times New Roman"/>
                <w:color w:val="auto"/>
              </w:rPr>
            </w:pPr>
            <w:r>
              <w:rPr>
                <w:rFonts w:ascii="宋体" w:hAnsi="宋体" w:eastAsia="宋体" w:cs="Times New Roman"/>
                <w:color w:val="auto"/>
              </w:rPr>
              <w:t>频率</w:t>
            </w:r>
          </w:p>
        </w:tc>
        <w:tc>
          <w:tcPr>
            <w:tcW w:w="368" w:type="dxa"/>
          </w:tcPr>
          <w:p w14:paraId="538FFCD8">
            <w:pPr>
              <w:spacing w:line="320" w:lineRule="exact"/>
              <w:jc w:val="center"/>
              <w:rPr>
                <w:rFonts w:ascii="宋体" w:hAnsi="宋体" w:eastAsia="宋体" w:cs="Times New Roman"/>
                <w:color w:val="auto"/>
              </w:rPr>
            </w:pPr>
            <w:r>
              <w:rPr>
                <w:rFonts w:ascii="宋体" w:hAnsi="宋体" w:eastAsia="宋体" w:cs="Times New Roman"/>
                <w:color w:val="auto"/>
              </w:rPr>
              <w:t>6.5</w:t>
            </w:r>
          </w:p>
        </w:tc>
        <w:tc>
          <w:tcPr>
            <w:tcW w:w="595" w:type="dxa"/>
          </w:tcPr>
          <w:p w14:paraId="55E3D2C5">
            <w:pPr>
              <w:spacing w:line="320" w:lineRule="exact"/>
              <w:jc w:val="center"/>
              <w:rPr>
                <w:rFonts w:ascii="宋体" w:hAnsi="宋体" w:eastAsia="宋体" w:cs="Times New Roman"/>
                <w:color w:val="auto"/>
              </w:rPr>
            </w:pPr>
            <w:r>
              <w:rPr>
                <w:rFonts w:ascii="宋体" w:hAnsi="宋体" w:eastAsia="宋体" w:cs="Times New Roman"/>
                <w:color w:val="auto"/>
              </w:rPr>
              <w:t>4.9</w:t>
            </w:r>
          </w:p>
        </w:tc>
        <w:tc>
          <w:tcPr>
            <w:tcW w:w="389" w:type="dxa"/>
          </w:tcPr>
          <w:p w14:paraId="2019A36A">
            <w:pPr>
              <w:spacing w:line="320" w:lineRule="exact"/>
              <w:jc w:val="center"/>
              <w:rPr>
                <w:rFonts w:ascii="宋体" w:hAnsi="宋体" w:eastAsia="宋体" w:cs="Times New Roman"/>
                <w:color w:val="auto"/>
              </w:rPr>
            </w:pPr>
            <w:r>
              <w:rPr>
                <w:rFonts w:ascii="宋体" w:hAnsi="宋体" w:eastAsia="宋体" w:cs="Times New Roman"/>
                <w:color w:val="auto"/>
              </w:rPr>
              <w:t>3.9</w:t>
            </w:r>
          </w:p>
        </w:tc>
        <w:tc>
          <w:tcPr>
            <w:tcW w:w="560" w:type="dxa"/>
          </w:tcPr>
          <w:p w14:paraId="129ED6CD">
            <w:pPr>
              <w:spacing w:line="320" w:lineRule="exact"/>
              <w:jc w:val="center"/>
              <w:rPr>
                <w:rFonts w:ascii="宋体" w:hAnsi="宋体" w:eastAsia="宋体" w:cs="Times New Roman"/>
                <w:color w:val="auto"/>
              </w:rPr>
            </w:pPr>
            <w:r>
              <w:rPr>
                <w:rFonts w:ascii="宋体" w:hAnsi="宋体" w:eastAsia="宋体" w:cs="Times New Roman"/>
                <w:color w:val="auto"/>
              </w:rPr>
              <w:t>4.0</w:t>
            </w:r>
          </w:p>
        </w:tc>
        <w:tc>
          <w:tcPr>
            <w:tcW w:w="369" w:type="dxa"/>
          </w:tcPr>
          <w:p w14:paraId="72A34046">
            <w:pPr>
              <w:spacing w:line="320" w:lineRule="exact"/>
              <w:jc w:val="center"/>
              <w:rPr>
                <w:rFonts w:ascii="宋体" w:hAnsi="宋体" w:eastAsia="宋体" w:cs="Times New Roman"/>
                <w:color w:val="auto"/>
              </w:rPr>
            </w:pPr>
            <w:r>
              <w:rPr>
                <w:rFonts w:ascii="宋体" w:hAnsi="宋体" w:eastAsia="宋体" w:cs="Times New Roman"/>
                <w:color w:val="auto"/>
              </w:rPr>
              <w:t>3.6</w:t>
            </w:r>
          </w:p>
        </w:tc>
        <w:tc>
          <w:tcPr>
            <w:tcW w:w="513" w:type="dxa"/>
          </w:tcPr>
          <w:p w14:paraId="7BE5BA68">
            <w:pPr>
              <w:spacing w:line="320" w:lineRule="exact"/>
              <w:jc w:val="center"/>
              <w:rPr>
                <w:rFonts w:ascii="宋体" w:hAnsi="宋体" w:eastAsia="宋体" w:cs="Times New Roman"/>
                <w:color w:val="auto"/>
              </w:rPr>
            </w:pPr>
            <w:r>
              <w:rPr>
                <w:rFonts w:ascii="宋体" w:hAnsi="宋体" w:eastAsia="宋体" w:cs="Times New Roman"/>
                <w:color w:val="auto"/>
              </w:rPr>
              <w:t>3.5</w:t>
            </w:r>
          </w:p>
        </w:tc>
        <w:tc>
          <w:tcPr>
            <w:tcW w:w="369" w:type="dxa"/>
          </w:tcPr>
          <w:p w14:paraId="372D2716">
            <w:pPr>
              <w:spacing w:line="320" w:lineRule="exact"/>
              <w:jc w:val="center"/>
              <w:rPr>
                <w:rFonts w:ascii="宋体" w:hAnsi="宋体" w:eastAsia="宋体" w:cs="Times New Roman"/>
                <w:color w:val="auto"/>
              </w:rPr>
            </w:pPr>
            <w:r>
              <w:rPr>
                <w:rFonts w:ascii="宋体" w:hAnsi="宋体" w:eastAsia="宋体" w:cs="Times New Roman"/>
                <w:color w:val="auto"/>
              </w:rPr>
              <w:t>3.8</w:t>
            </w:r>
          </w:p>
        </w:tc>
        <w:tc>
          <w:tcPr>
            <w:tcW w:w="499" w:type="dxa"/>
          </w:tcPr>
          <w:p w14:paraId="5A4141D8">
            <w:pPr>
              <w:spacing w:line="320" w:lineRule="exact"/>
              <w:jc w:val="center"/>
              <w:rPr>
                <w:rFonts w:ascii="宋体" w:hAnsi="宋体" w:eastAsia="宋体" w:cs="Times New Roman"/>
                <w:color w:val="auto"/>
              </w:rPr>
            </w:pPr>
            <w:r>
              <w:rPr>
                <w:rFonts w:ascii="宋体" w:hAnsi="宋体" w:eastAsia="宋体" w:cs="Times New Roman"/>
                <w:color w:val="auto"/>
              </w:rPr>
              <w:t>4.7</w:t>
            </w:r>
          </w:p>
        </w:tc>
        <w:tc>
          <w:tcPr>
            <w:tcW w:w="369" w:type="dxa"/>
          </w:tcPr>
          <w:p w14:paraId="1487E6EB">
            <w:pPr>
              <w:spacing w:line="320" w:lineRule="exact"/>
              <w:jc w:val="center"/>
              <w:rPr>
                <w:rFonts w:ascii="宋体" w:hAnsi="宋体" w:eastAsia="宋体" w:cs="Times New Roman"/>
                <w:color w:val="auto"/>
              </w:rPr>
            </w:pPr>
            <w:r>
              <w:rPr>
                <w:rFonts w:ascii="宋体" w:hAnsi="宋体" w:eastAsia="宋体" w:cs="Times New Roman"/>
                <w:color w:val="auto"/>
              </w:rPr>
              <w:t>8.6</w:t>
            </w:r>
          </w:p>
        </w:tc>
        <w:tc>
          <w:tcPr>
            <w:tcW w:w="595" w:type="dxa"/>
          </w:tcPr>
          <w:p w14:paraId="3CB28AFB">
            <w:pPr>
              <w:spacing w:line="320" w:lineRule="exact"/>
              <w:jc w:val="center"/>
              <w:rPr>
                <w:rFonts w:ascii="宋体" w:hAnsi="宋体" w:eastAsia="宋体" w:cs="Times New Roman"/>
                <w:color w:val="auto"/>
              </w:rPr>
            </w:pPr>
            <w:r>
              <w:rPr>
                <w:rFonts w:ascii="宋体" w:hAnsi="宋体" w:eastAsia="宋体" w:cs="Times New Roman"/>
                <w:color w:val="auto"/>
              </w:rPr>
              <w:t>8.1</w:t>
            </w:r>
          </w:p>
        </w:tc>
        <w:tc>
          <w:tcPr>
            <w:tcW w:w="434" w:type="dxa"/>
          </w:tcPr>
          <w:p w14:paraId="288A8F35">
            <w:pPr>
              <w:spacing w:line="320" w:lineRule="exact"/>
              <w:jc w:val="center"/>
              <w:rPr>
                <w:rFonts w:ascii="宋体" w:hAnsi="宋体" w:eastAsia="宋体" w:cs="Times New Roman"/>
                <w:color w:val="auto"/>
              </w:rPr>
            </w:pPr>
            <w:r>
              <w:rPr>
                <w:rFonts w:ascii="宋体" w:hAnsi="宋体" w:eastAsia="宋体" w:cs="Times New Roman"/>
                <w:color w:val="auto"/>
              </w:rPr>
              <w:t>5.6</w:t>
            </w:r>
          </w:p>
        </w:tc>
        <w:tc>
          <w:tcPr>
            <w:tcW w:w="703" w:type="dxa"/>
          </w:tcPr>
          <w:p w14:paraId="66A4BDCB">
            <w:pPr>
              <w:spacing w:line="320" w:lineRule="exact"/>
              <w:jc w:val="center"/>
              <w:rPr>
                <w:rFonts w:ascii="宋体" w:hAnsi="宋体" w:eastAsia="宋体" w:cs="Times New Roman"/>
                <w:color w:val="auto"/>
              </w:rPr>
            </w:pPr>
            <w:r>
              <w:rPr>
                <w:rFonts w:ascii="宋体" w:hAnsi="宋体" w:eastAsia="宋体" w:cs="Times New Roman"/>
                <w:color w:val="auto"/>
              </w:rPr>
              <w:t>8.0</w:t>
            </w:r>
          </w:p>
        </w:tc>
        <w:tc>
          <w:tcPr>
            <w:tcW w:w="367" w:type="dxa"/>
          </w:tcPr>
          <w:p w14:paraId="5911F0E8">
            <w:pPr>
              <w:spacing w:line="320" w:lineRule="exact"/>
              <w:jc w:val="center"/>
              <w:rPr>
                <w:rFonts w:ascii="宋体" w:hAnsi="宋体" w:eastAsia="宋体" w:cs="Times New Roman"/>
                <w:color w:val="auto"/>
              </w:rPr>
            </w:pPr>
            <w:r>
              <w:rPr>
                <w:rFonts w:ascii="宋体" w:hAnsi="宋体" w:eastAsia="宋体" w:cs="Times New Roman"/>
                <w:color w:val="auto"/>
              </w:rPr>
              <w:t>7.3</w:t>
            </w:r>
          </w:p>
        </w:tc>
        <w:tc>
          <w:tcPr>
            <w:tcW w:w="750" w:type="dxa"/>
          </w:tcPr>
          <w:p w14:paraId="2053DE28">
            <w:pPr>
              <w:spacing w:line="320" w:lineRule="exact"/>
              <w:jc w:val="center"/>
              <w:rPr>
                <w:rFonts w:ascii="宋体" w:hAnsi="宋体" w:eastAsia="宋体" w:cs="Times New Roman"/>
                <w:color w:val="auto"/>
              </w:rPr>
            </w:pPr>
            <w:r>
              <w:rPr>
                <w:rFonts w:ascii="宋体" w:hAnsi="宋体" w:eastAsia="宋体" w:cs="Times New Roman"/>
                <w:color w:val="auto"/>
              </w:rPr>
              <w:t>7.7</w:t>
            </w:r>
          </w:p>
        </w:tc>
        <w:tc>
          <w:tcPr>
            <w:tcW w:w="483" w:type="dxa"/>
          </w:tcPr>
          <w:p w14:paraId="4C7E7142">
            <w:pPr>
              <w:spacing w:line="320" w:lineRule="exact"/>
              <w:jc w:val="center"/>
              <w:rPr>
                <w:rFonts w:ascii="宋体" w:hAnsi="宋体" w:eastAsia="宋体" w:cs="Times New Roman"/>
                <w:color w:val="auto"/>
              </w:rPr>
            </w:pPr>
            <w:r>
              <w:rPr>
                <w:rFonts w:ascii="宋体" w:hAnsi="宋体" w:eastAsia="宋体" w:cs="Times New Roman"/>
                <w:color w:val="auto"/>
              </w:rPr>
              <w:t>7.2</w:t>
            </w:r>
          </w:p>
        </w:tc>
        <w:tc>
          <w:tcPr>
            <w:tcW w:w="687" w:type="dxa"/>
          </w:tcPr>
          <w:p w14:paraId="29CBCAD1">
            <w:pPr>
              <w:spacing w:line="320" w:lineRule="exact"/>
              <w:jc w:val="center"/>
              <w:rPr>
                <w:rFonts w:ascii="宋体" w:hAnsi="宋体" w:eastAsia="宋体" w:cs="Times New Roman"/>
                <w:color w:val="auto"/>
              </w:rPr>
            </w:pPr>
            <w:r>
              <w:rPr>
                <w:rFonts w:ascii="宋体" w:hAnsi="宋体" w:eastAsia="宋体" w:cs="Times New Roman"/>
                <w:color w:val="auto"/>
              </w:rPr>
              <w:t>6.7</w:t>
            </w:r>
          </w:p>
        </w:tc>
        <w:tc>
          <w:tcPr>
            <w:tcW w:w="385" w:type="dxa"/>
            <w:tcBorders>
              <w:right w:val="single" w:color="000000" w:sz="10" w:space="0"/>
            </w:tcBorders>
          </w:tcPr>
          <w:p w14:paraId="0A30859A">
            <w:pPr>
              <w:spacing w:line="320" w:lineRule="exact"/>
              <w:jc w:val="center"/>
              <w:rPr>
                <w:rFonts w:ascii="宋体" w:hAnsi="宋体" w:eastAsia="宋体" w:cs="Times New Roman"/>
                <w:color w:val="auto"/>
              </w:rPr>
            </w:pPr>
            <w:r>
              <w:rPr>
                <w:rFonts w:ascii="宋体" w:hAnsi="宋体" w:eastAsia="宋体" w:cs="Times New Roman"/>
                <w:color w:val="auto"/>
              </w:rPr>
              <w:t>5.5</w:t>
            </w:r>
          </w:p>
        </w:tc>
      </w:tr>
    </w:tbl>
    <w:p w14:paraId="53DE79AE">
      <w:pPr>
        <w:snapToGrid w:val="0"/>
        <w:jc w:val="center"/>
        <w:rPr>
          <w:rFonts w:ascii="宋体" w:hAnsi="宋体" w:eastAsia="宋体" w:cs="Times New Roman"/>
          <w:color w:val="auto"/>
        </w:rPr>
      </w:pPr>
      <w:r>
        <w:rPr>
          <w:rFonts w:ascii="宋体" w:hAnsi="宋体" w:eastAsia="宋体" w:cs="Times New Roman"/>
          <w:color w:val="auto"/>
        </w:rPr>
        <w:drawing>
          <wp:inline distT="0" distB="0" distL="0" distR="0">
            <wp:extent cx="1762125" cy="1670685"/>
            <wp:effectExtent l="0" t="0" r="9525" b="5715"/>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noChangeArrowheads="1"/>
                    </pic:cNvPicPr>
                  </pic:nvPicPr>
                  <pic:blipFill>
                    <a:blip r:embed="rId82"/>
                    <a:srcRect/>
                    <a:stretch>
                      <a:fillRect/>
                    </a:stretch>
                  </pic:blipFill>
                  <pic:spPr>
                    <a:xfrm>
                      <a:off x="0" y="0"/>
                      <a:ext cx="1762125" cy="1675279"/>
                    </a:xfrm>
                    <a:prstGeom prst="rect">
                      <a:avLst/>
                    </a:prstGeom>
                    <a:noFill/>
                    <a:ln>
                      <a:noFill/>
                    </a:ln>
                  </pic:spPr>
                </pic:pic>
              </a:graphicData>
            </a:graphic>
          </wp:inline>
        </w:drawing>
      </w:r>
    </w:p>
    <w:p w14:paraId="18EEFA55">
      <w:pPr>
        <w:snapToGrid w:val="0"/>
        <w:spacing w:line="440" w:lineRule="exact"/>
        <w:jc w:val="center"/>
        <w:rPr>
          <w:rFonts w:ascii="宋体" w:hAnsi="宋体" w:eastAsia="宋体" w:cs="Times New Roman"/>
          <w:color w:val="auto"/>
        </w:rPr>
      </w:pPr>
      <w:r>
        <w:rPr>
          <w:rFonts w:ascii="宋体" w:hAnsi="宋体" w:eastAsia="宋体" w:cs="Times New Roman"/>
          <w:color w:val="auto"/>
        </w:rPr>
        <w:t>图5.1-2 风向玫瑰图（静风频率5.5%）</w:t>
      </w:r>
    </w:p>
    <w:p w14:paraId="23064B7F">
      <w:pPr>
        <w:pStyle w:val="276"/>
        <w:widowControl w:val="0"/>
        <w:ind w:firstLine="480"/>
        <w:jc w:val="both"/>
        <w:rPr>
          <w:color w:val="auto"/>
          <w:lang w:val="zh-CN"/>
        </w:rPr>
      </w:pPr>
      <w:r>
        <w:rPr>
          <w:color w:val="auto"/>
          <w:lang w:val="zh-CN"/>
        </w:rPr>
        <w:t>各月风向频率见表5.1-4，月风向玫瑰图见图5.1-3。</w:t>
      </w:r>
    </w:p>
    <w:p w14:paraId="438B1EF4">
      <w:pPr>
        <w:jc w:val="center"/>
        <w:rPr>
          <w:rFonts w:ascii="宋体" w:hAnsi="宋体" w:eastAsia="宋体"/>
          <w:color w:val="auto"/>
        </w:rPr>
      </w:pPr>
      <w:r>
        <w:rPr>
          <w:rFonts w:ascii="宋体" w:hAnsi="宋体" w:eastAsia="宋体"/>
          <w:color w:val="auto"/>
        </w:rPr>
        <w:drawing>
          <wp:inline distT="0" distB="0" distL="0" distR="0">
            <wp:extent cx="3390900" cy="4028440"/>
            <wp:effectExtent l="0" t="0" r="0" b="10160"/>
            <wp:docPr id="1352728141" name="图片 135272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41" name="图片 1352728141"/>
                    <pic:cNvPicPr>
                      <a:picLocks noChangeAspect="1"/>
                    </pic:cNvPicPr>
                  </pic:nvPicPr>
                  <pic:blipFill>
                    <a:blip r:embed="rId83"/>
                    <a:stretch>
                      <a:fillRect/>
                    </a:stretch>
                  </pic:blipFill>
                  <pic:spPr>
                    <a:xfrm>
                      <a:off x="0" y="0"/>
                      <a:ext cx="3390900" cy="4043640"/>
                    </a:xfrm>
                    <a:prstGeom prst="rect">
                      <a:avLst/>
                    </a:prstGeom>
                  </pic:spPr>
                </pic:pic>
              </a:graphicData>
            </a:graphic>
          </wp:inline>
        </w:drawing>
      </w:r>
    </w:p>
    <w:p w14:paraId="4B2F4BFC">
      <w:pPr>
        <w:ind w:firstLine="478"/>
        <w:jc w:val="center"/>
        <w:rPr>
          <w:rFonts w:ascii="宋体" w:hAnsi="宋体" w:eastAsia="宋体"/>
          <w:color w:val="auto"/>
          <w:sz w:val="24"/>
        </w:rPr>
      </w:pPr>
      <w:r>
        <w:rPr>
          <w:rFonts w:ascii="宋体" w:hAnsi="宋体" w:eastAsia="宋体"/>
          <w:color w:val="auto"/>
          <w:sz w:val="24"/>
        </w:rPr>
        <w:t>图5.1-3 月风向玫瑰图（静风频率5.5%）</w:t>
      </w:r>
    </w:p>
    <w:p w14:paraId="7082D81D">
      <w:pPr>
        <w:pStyle w:val="276"/>
        <w:widowControl w:val="0"/>
        <w:spacing w:line="440" w:lineRule="exact"/>
        <w:ind w:firstLine="0" w:firstLineChars="0"/>
        <w:jc w:val="center"/>
        <w:rPr>
          <w:color w:val="auto"/>
        </w:rPr>
      </w:pPr>
      <w:r>
        <w:rPr>
          <w:color w:val="auto"/>
        </w:rPr>
        <w:t xml:space="preserve">表5.1-4 </w:t>
      </w:r>
      <w:r>
        <w:rPr>
          <w:color w:val="auto"/>
          <w:kern w:val="2"/>
          <w:szCs w:val="20"/>
        </w:rPr>
        <w:t>气象站</w:t>
      </w:r>
      <w:r>
        <w:rPr>
          <w:color w:val="auto"/>
        </w:rPr>
        <w:t>月风向频率统计（单位%）</w:t>
      </w:r>
    </w:p>
    <w:tbl>
      <w:tblPr>
        <w:tblStyle w:val="172"/>
        <w:tblW w:w="909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10"/>
        <w:gridCol w:w="325"/>
        <w:gridCol w:w="522"/>
        <w:gridCol w:w="345"/>
        <w:gridCol w:w="496"/>
        <w:gridCol w:w="325"/>
        <w:gridCol w:w="454"/>
        <w:gridCol w:w="325"/>
        <w:gridCol w:w="440"/>
        <w:gridCol w:w="447"/>
        <w:gridCol w:w="522"/>
        <w:gridCol w:w="385"/>
        <w:gridCol w:w="617"/>
        <w:gridCol w:w="325"/>
        <w:gridCol w:w="659"/>
        <w:gridCol w:w="447"/>
        <w:gridCol w:w="603"/>
        <w:gridCol w:w="347"/>
      </w:tblGrid>
      <w:tr w14:paraId="2F1DB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510" w:type="dxa"/>
            <w:tcBorders>
              <w:left w:val="single" w:color="000000" w:sz="10" w:space="0"/>
              <w:right w:val="single" w:color="000000" w:sz="4" w:space="0"/>
            </w:tcBorders>
            <w:vAlign w:val="center"/>
          </w:tcPr>
          <w:p w14:paraId="66A9BB02">
            <w:pPr>
              <w:spacing w:line="320" w:lineRule="exact"/>
              <w:jc w:val="center"/>
              <w:rPr>
                <w:rFonts w:ascii="宋体" w:hAnsi="宋体" w:eastAsia="宋体" w:cs="Times New Roman"/>
                <w:color w:val="auto"/>
              </w:rPr>
            </w:pPr>
            <w:r>
              <w:rPr>
                <w:rFonts w:ascii="宋体" w:hAnsi="宋体" w:eastAsia="宋体" w:cs="Times New Roman"/>
                <w:color w:val="auto"/>
              </w:rPr>
              <w:t>风向频率月份</w:t>
            </w:r>
          </w:p>
        </w:tc>
        <w:tc>
          <w:tcPr>
            <w:tcW w:w="325" w:type="dxa"/>
            <w:tcBorders>
              <w:left w:val="single" w:color="000000" w:sz="4" w:space="0"/>
              <w:right w:val="single" w:color="000000" w:sz="4" w:space="0"/>
            </w:tcBorders>
            <w:vAlign w:val="center"/>
          </w:tcPr>
          <w:p w14:paraId="187819EA">
            <w:pPr>
              <w:spacing w:line="320" w:lineRule="exact"/>
              <w:jc w:val="center"/>
              <w:rPr>
                <w:rFonts w:ascii="宋体" w:hAnsi="宋体" w:eastAsia="宋体" w:cs="Times New Roman"/>
                <w:color w:val="auto"/>
              </w:rPr>
            </w:pPr>
            <w:r>
              <w:rPr>
                <w:rFonts w:ascii="宋体" w:hAnsi="宋体" w:eastAsia="宋体" w:cs="Times New Roman"/>
                <w:color w:val="auto"/>
              </w:rPr>
              <w:t>N</w:t>
            </w:r>
          </w:p>
        </w:tc>
        <w:tc>
          <w:tcPr>
            <w:tcW w:w="522" w:type="dxa"/>
            <w:tcBorders>
              <w:left w:val="single" w:color="000000" w:sz="4" w:space="0"/>
              <w:right w:val="single" w:color="000000" w:sz="4" w:space="0"/>
            </w:tcBorders>
            <w:vAlign w:val="center"/>
          </w:tcPr>
          <w:p w14:paraId="5286E5D9">
            <w:pPr>
              <w:spacing w:line="320" w:lineRule="exact"/>
              <w:jc w:val="center"/>
              <w:rPr>
                <w:rFonts w:ascii="宋体" w:hAnsi="宋体" w:eastAsia="宋体" w:cs="Times New Roman"/>
                <w:color w:val="auto"/>
              </w:rPr>
            </w:pPr>
            <w:r>
              <w:rPr>
                <w:rFonts w:ascii="宋体" w:hAnsi="宋体" w:eastAsia="宋体" w:cs="Times New Roman"/>
                <w:color w:val="auto"/>
              </w:rPr>
              <w:t>NNE</w:t>
            </w:r>
          </w:p>
        </w:tc>
        <w:tc>
          <w:tcPr>
            <w:tcW w:w="345" w:type="dxa"/>
            <w:tcBorders>
              <w:left w:val="single" w:color="000000" w:sz="4" w:space="0"/>
              <w:right w:val="single" w:color="000000" w:sz="4" w:space="0"/>
            </w:tcBorders>
            <w:vAlign w:val="center"/>
          </w:tcPr>
          <w:p w14:paraId="1C2C8662">
            <w:pPr>
              <w:spacing w:line="320" w:lineRule="exact"/>
              <w:jc w:val="center"/>
              <w:rPr>
                <w:rFonts w:ascii="宋体" w:hAnsi="宋体" w:eastAsia="宋体" w:cs="Times New Roman"/>
                <w:color w:val="auto"/>
              </w:rPr>
            </w:pPr>
            <w:r>
              <w:rPr>
                <w:rFonts w:ascii="宋体" w:hAnsi="宋体" w:eastAsia="宋体" w:cs="Times New Roman"/>
                <w:color w:val="auto"/>
              </w:rPr>
              <w:t>NE</w:t>
            </w:r>
          </w:p>
        </w:tc>
        <w:tc>
          <w:tcPr>
            <w:tcW w:w="496" w:type="dxa"/>
            <w:tcBorders>
              <w:left w:val="single" w:color="000000" w:sz="4" w:space="0"/>
              <w:right w:val="single" w:color="000000" w:sz="4" w:space="0"/>
            </w:tcBorders>
            <w:vAlign w:val="center"/>
          </w:tcPr>
          <w:p w14:paraId="732C1B31">
            <w:pPr>
              <w:spacing w:line="320" w:lineRule="exact"/>
              <w:jc w:val="center"/>
              <w:rPr>
                <w:rFonts w:ascii="宋体" w:hAnsi="宋体" w:eastAsia="宋体" w:cs="Times New Roman"/>
                <w:color w:val="auto"/>
              </w:rPr>
            </w:pPr>
            <w:r>
              <w:rPr>
                <w:rFonts w:ascii="宋体" w:hAnsi="宋体" w:eastAsia="宋体" w:cs="Times New Roman"/>
                <w:color w:val="auto"/>
              </w:rPr>
              <w:t>ENE</w:t>
            </w:r>
          </w:p>
        </w:tc>
        <w:tc>
          <w:tcPr>
            <w:tcW w:w="325" w:type="dxa"/>
            <w:tcBorders>
              <w:left w:val="single" w:color="000000" w:sz="4" w:space="0"/>
              <w:right w:val="single" w:color="000000" w:sz="4" w:space="0"/>
            </w:tcBorders>
            <w:vAlign w:val="center"/>
          </w:tcPr>
          <w:p w14:paraId="7E1C0C7A">
            <w:pPr>
              <w:spacing w:line="320" w:lineRule="exact"/>
              <w:jc w:val="center"/>
              <w:rPr>
                <w:rFonts w:ascii="宋体" w:hAnsi="宋体" w:eastAsia="宋体" w:cs="Times New Roman"/>
                <w:color w:val="auto"/>
              </w:rPr>
            </w:pPr>
            <w:r>
              <w:rPr>
                <w:rFonts w:ascii="宋体" w:hAnsi="宋体" w:eastAsia="宋体" w:cs="Times New Roman"/>
                <w:color w:val="auto"/>
              </w:rPr>
              <w:t>E</w:t>
            </w:r>
          </w:p>
        </w:tc>
        <w:tc>
          <w:tcPr>
            <w:tcW w:w="454" w:type="dxa"/>
            <w:tcBorders>
              <w:left w:val="single" w:color="000000" w:sz="4" w:space="0"/>
              <w:right w:val="single" w:color="000000" w:sz="4" w:space="0"/>
            </w:tcBorders>
            <w:vAlign w:val="center"/>
          </w:tcPr>
          <w:p w14:paraId="151790E5">
            <w:pPr>
              <w:spacing w:line="320" w:lineRule="exact"/>
              <w:jc w:val="center"/>
              <w:rPr>
                <w:rFonts w:ascii="宋体" w:hAnsi="宋体" w:eastAsia="宋体" w:cs="Times New Roman"/>
                <w:color w:val="auto"/>
              </w:rPr>
            </w:pPr>
            <w:r>
              <w:rPr>
                <w:rFonts w:ascii="宋体" w:hAnsi="宋体" w:eastAsia="宋体" w:cs="Times New Roman"/>
                <w:color w:val="auto"/>
              </w:rPr>
              <w:t>ESE</w:t>
            </w:r>
          </w:p>
        </w:tc>
        <w:tc>
          <w:tcPr>
            <w:tcW w:w="325" w:type="dxa"/>
            <w:tcBorders>
              <w:left w:val="single" w:color="000000" w:sz="4" w:space="0"/>
              <w:right w:val="single" w:color="000000" w:sz="4" w:space="0"/>
            </w:tcBorders>
            <w:vAlign w:val="center"/>
          </w:tcPr>
          <w:p w14:paraId="441E5C4F">
            <w:pPr>
              <w:spacing w:line="320" w:lineRule="exact"/>
              <w:jc w:val="center"/>
              <w:rPr>
                <w:rFonts w:ascii="宋体" w:hAnsi="宋体" w:eastAsia="宋体" w:cs="Times New Roman"/>
                <w:color w:val="auto"/>
              </w:rPr>
            </w:pPr>
            <w:r>
              <w:rPr>
                <w:rFonts w:ascii="宋体" w:hAnsi="宋体" w:eastAsia="宋体" w:cs="Times New Roman"/>
                <w:color w:val="auto"/>
              </w:rPr>
              <w:t>SE</w:t>
            </w:r>
          </w:p>
        </w:tc>
        <w:tc>
          <w:tcPr>
            <w:tcW w:w="440" w:type="dxa"/>
            <w:tcBorders>
              <w:left w:val="single" w:color="000000" w:sz="4" w:space="0"/>
              <w:right w:val="single" w:color="000000" w:sz="4" w:space="0"/>
            </w:tcBorders>
            <w:vAlign w:val="center"/>
          </w:tcPr>
          <w:p w14:paraId="5BC8289A">
            <w:pPr>
              <w:spacing w:line="320" w:lineRule="exact"/>
              <w:jc w:val="center"/>
              <w:rPr>
                <w:rFonts w:ascii="宋体" w:hAnsi="宋体" w:eastAsia="宋体" w:cs="Times New Roman"/>
                <w:color w:val="auto"/>
              </w:rPr>
            </w:pPr>
            <w:r>
              <w:rPr>
                <w:rFonts w:ascii="宋体" w:hAnsi="宋体" w:eastAsia="宋体" w:cs="Times New Roman"/>
                <w:color w:val="auto"/>
              </w:rPr>
              <w:t>SSE</w:t>
            </w:r>
          </w:p>
        </w:tc>
        <w:tc>
          <w:tcPr>
            <w:tcW w:w="447" w:type="dxa"/>
            <w:tcBorders>
              <w:left w:val="single" w:color="000000" w:sz="4" w:space="0"/>
              <w:right w:val="single" w:color="000000" w:sz="4" w:space="0"/>
            </w:tcBorders>
            <w:vAlign w:val="center"/>
          </w:tcPr>
          <w:p w14:paraId="28CA76FC">
            <w:pPr>
              <w:spacing w:line="320" w:lineRule="exact"/>
              <w:jc w:val="center"/>
              <w:rPr>
                <w:rFonts w:ascii="宋体" w:hAnsi="宋体" w:eastAsia="宋体" w:cs="Times New Roman"/>
                <w:color w:val="auto"/>
              </w:rPr>
            </w:pPr>
            <w:r>
              <w:rPr>
                <w:rFonts w:ascii="宋体" w:hAnsi="宋体" w:eastAsia="宋体" w:cs="Times New Roman"/>
                <w:color w:val="auto"/>
              </w:rPr>
              <w:t>S</w:t>
            </w:r>
          </w:p>
        </w:tc>
        <w:tc>
          <w:tcPr>
            <w:tcW w:w="522" w:type="dxa"/>
            <w:tcBorders>
              <w:left w:val="single" w:color="000000" w:sz="4" w:space="0"/>
              <w:right w:val="single" w:color="000000" w:sz="4" w:space="0"/>
            </w:tcBorders>
            <w:vAlign w:val="center"/>
          </w:tcPr>
          <w:p w14:paraId="7A436F9E">
            <w:pPr>
              <w:spacing w:line="320" w:lineRule="exact"/>
              <w:jc w:val="center"/>
              <w:rPr>
                <w:rFonts w:ascii="宋体" w:hAnsi="宋体" w:eastAsia="宋体" w:cs="Times New Roman"/>
                <w:color w:val="auto"/>
              </w:rPr>
            </w:pPr>
            <w:r>
              <w:rPr>
                <w:rFonts w:ascii="宋体" w:hAnsi="宋体" w:eastAsia="宋体" w:cs="Times New Roman"/>
                <w:color w:val="auto"/>
              </w:rPr>
              <w:t>SSW</w:t>
            </w:r>
          </w:p>
        </w:tc>
        <w:tc>
          <w:tcPr>
            <w:tcW w:w="385" w:type="dxa"/>
            <w:tcBorders>
              <w:left w:val="single" w:color="000000" w:sz="4" w:space="0"/>
              <w:right w:val="single" w:color="000000" w:sz="4" w:space="0"/>
            </w:tcBorders>
            <w:vAlign w:val="center"/>
          </w:tcPr>
          <w:p w14:paraId="081E0AF2">
            <w:pPr>
              <w:spacing w:line="320" w:lineRule="exact"/>
              <w:jc w:val="center"/>
              <w:rPr>
                <w:rFonts w:ascii="宋体" w:hAnsi="宋体" w:eastAsia="宋体" w:cs="Times New Roman"/>
                <w:color w:val="auto"/>
              </w:rPr>
            </w:pPr>
            <w:r>
              <w:rPr>
                <w:rFonts w:ascii="宋体" w:hAnsi="宋体" w:eastAsia="宋体" w:cs="Times New Roman"/>
                <w:color w:val="auto"/>
              </w:rPr>
              <w:t>SW</w:t>
            </w:r>
          </w:p>
        </w:tc>
        <w:tc>
          <w:tcPr>
            <w:tcW w:w="617" w:type="dxa"/>
            <w:tcBorders>
              <w:left w:val="single" w:color="000000" w:sz="4" w:space="0"/>
              <w:right w:val="single" w:color="000000" w:sz="4" w:space="0"/>
            </w:tcBorders>
            <w:vAlign w:val="center"/>
          </w:tcPr>
          <w:p w14:paraId="039693D9">
            <w:pPr>
              <w:spacing w:line="320" w:lineRule="exact"/>
              <w:jc w:val="center"/>
              <w:rPr>
                <w:rFonts w:ascii="宋体" w:hAnsi="宋体" w:eastAsia="宋体" w:cs="Times New Roman"/>
                <w:color w:val="auto"/>
              </w:rPr>
            </w:pPr>
            <w:r>
              <w:rPr>
                <w:rFonts w:ascii="宋体" w:hAnsi="宋体" w:eastAsia="宋体" w:cs="Times New Roman"/>
                <w:color w:val="auto"/>
              </w:rPr>
              <w:t>WSW</w:t>
            </w:r>
          </w:p>
        </w:tc>
        <w:tc>
          <w:tcPr>
            <w:tcW w:w="325" w:type="dxa"/>
            <w:tcBorders>
              <w:left w:val="single" w:color="000000" w:sz="4" w:space="0"/>
              <w:right w:val="single" w:color="000000" w:sz="4" w:space="0"/>
            </w:tcBorders>
            <w:vAlign w:val="center"/>
          </w:tcPr>
          <w:p w14:paraId="42B2AC92">
            <w:pPr>
              <w:spacing w:line="320" w:lineRule="exact"/>
              <w:jc w:val="center"/>
              <w:rPr>
                <w:rFonts w:ascii="宋体" w:hAnsi="宋体" w:eastAsia="宋体" w:cs="Times New Roman"/>
                <w:color w:val="auto"/>
              </w:rPr>
            </w:pPr>
            <w:r>
              <w:rPr>
                <w:rFonts w:ascii="宋体" w:hAnsi="宋体" w:eastAsia="宋体" w:cs="Times New Roman"/>
                <w:color w:val="auto"/>
              </w:rPr>
              <w:t>W</w:t>
            </w:r>
          </w:p>
        </w:tc>
        <w:tc>
          <w:tcPr>
            <w:tcW w:w="659" w:type="dxa"/>
            <w:tcBorders>
              <w:left w:val="single" w:color="000000" w:sz="4" w:space="0"/>
              <w:right w:val="single" w:color="000000" w:sz="4" w:space="0"/>
            </w:tcBorders>
            <w:vAlign w:val="center"/>
          </w:tcPr>
          <w:p w14:paraId="5B93347B">
            <w:pPr>
              <w:spacing w:line="320" w:lineRule="exact"/>
              <w:jc w:val="center"/>
              <w:rPr>
                <w:rFonts w:ascii="宋体" w:hAnsi="宋体" w:eastAsia="宋体" w:cs="Times New Roman"/>
                <w:color w:val="auto"/>
              </w:rPr>
            </w:pPr>
            <w:r>
              <w:rPr>
                <w:rFonts w:ascii="宋体" w:hAnsi="宋体" w:eastAsia="宋体" w:cs="Times New Roman"/>
                <w:color w:val="auto"/>
              </w:rPr>
              <w:t>WNW</w:t>
            </w:r>
          </w:p>
        </w:tc>
        <w:tc>
          <w:tcPr>
            <w:tcW w:w="447" w:type="dxa"/>
            <w:tcBorders>
              <w:left w:val="single" w:color="000000" w:sz="4" w:space="0"/>
              <w:right w:val="single" w:color="000000" w:sz="4" w:space="0"/>
            </w:tcBorders>
            <w:vAlign w:val="center"/>
          </w:tcPr>
          <w:p w14:paraId="39512B8D">
            <w:pPr>
              <w:spacing w:line="320" w:lineRule="exact"/>
              <w:jc w:val="center"/>
              <w:rPr>
                <w:rFonts w:ascii="宋体" w:hAnsi="宋体" w:eastAsia="宋体" w:cs="Times New Roman"/>
                <w:color w:val="auto"/>
              </w:rPr>
            </w:pPr>
            <w:r>
              <w:rPr>
                <w:rFonts w:ascii="宋体" w:hAnsi="宋体" w:eastAsia="宋体" w:cs="Times New Roman"/>
                <w:color w:val="auto"/>
              </w:rPr>
              <w:t>NW</w:t>
            </w:r>
          </w:p>
        </w:tc>
        <w:tc>
          <w:tcPr>
            <w:tcW w:w="603" w:type="dxa"/>
            <w:tcBorders>
              <w:left w:val="single" w:color="000000" w:sz="4" w:space="0"/>
              <w:right w:val="single" w:color="000000" w:sz="4" w:space="0"/>
            </w:tcBorders>
            <w:vAlign w:val="center"/>
          </w:tcPr>
          <w:p w14:paraId="7A008408">
            <w:pPr>
              <w:spacing w:line="320" w:lineRule="exact"/>
              <w:jc w:val="center"/>
              <w:rPr>
                <w:rFonts w:ascii="宋体" w:hAnsi="宋体" w:eastAsia="宋体" w:cs="Times New Roman"/>
                <w:color w:val="auto"/>
              </w:rPr>
            </w:pPr>
            <w:r>
              <w:rPr>
                <w:rFonts w:ascii="宋体" w:hAnsi="宋体" w:eastAsia="宋体" w:cs="Times New Roman"/>
                <w:color w:val="auto"/>
              </w:rPr>
              <w:t>NNW</w:t>
            </w:r>
          </w:p>
        </w:tc>
        <w:tc>
          <w:tcPr>
            <w:tcW w:w="347" w:type="dxa"/>
            <w:tcBorders>
              <w:left w:val="single" w:color="000000" w:sz="4" w:space="0"/>
              <w:right w:val="single" w:color="000000" w:sz="10" w:space="0"/>
            </w:tcBorders>
            <w:vAlign w:val="center"/>
          </w:tcPr>
          <w:p w14:paraId="00D60F83">
            <w:pPr>
              <w:spacing w:line="320" w:lineRule="exact"/>
              <w:jc w:val="center"/>
              <w:rPr>
                <w:rFonts w:ascii="宋体" w:hAnsi="宋体" w:eastAsia="宋体" w:cs="Times New Roman"/>
                <w:color w:val="auto"/>
              </w:rPr>
            </w:pPr>
            <w:r>
              <w:rPr>
                <w:rFonts w:ascii="宋体" w:hAnsi="宋体" w:eastAsia="宋体" w:cs="Times New Roman"/>
                <w:color w:val="auto"/>
              </w:rPr>
              <w:t>C</w:t>
            </w:r>
          </w:p>
        </w:tc>
      </w:tr>
      <w:tr w14:paraId="4145A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2218A24D">
            <w:pPr>
              <w:spacing w:line="320" w:lineRule="exact"/>
              <w:jc w:val="center"/>
              <w:rPr>
                <w:rFonts w:ascii="宋体" w:hAnsi="宋体" w:eastAsia="宋体" w:cs="Times New Roman"/>
                <w:color w:val="auto"/>
              </w:rPr>
            </w:pPr>
            <w:r>
              <w:rPr>
                <w:rFonts w:ascii="宋体" w:hAnsi="宋体" w:eastAsia="宋体" w:cs="Times New Roman"/>
                <w:color w:val="auto"/>
              </w:rPr>
              <w:t>01</w:t>
            </w:r>
          </w:p>
        </w:tc>
        <w:tc>
          <w:tcPr>
            <w:tcW w:w="325" w:type="dxa"/>
            <w:tcBorders>
              <w:left w:val="single" w:color="000000" w:sz="4" w:space="0"/>
              <w:right w:val="single" w:color="000000" w:sz="4" w:space="0"/>
            </w:tcBorders>
            <w:vAlign w:val="center"/>
          </w:tcPr>
          <w:p w14:paraId="26173AC7">
            <w:pPr>
              <w:spacing w:line="320" w:lineRule="exact"/>
              <w:jc w:val="center"/>
              <w:rPr>
                <w:rFonts w:ascii="宋体" w:hAnsi="宋体" w:eastAsia="宋体" w:cs="Times New Roman"/>
                <w:color w:val="auto"/>
              </w:rPr>
            </w:pPr>
            <w:r>
              <w:rPr>
                <w:rFonts w:ascii="宋体" w:hAnsi="宋体" w:eastAsia="宋体" w:cs="Times New Roman"/>
                <w:color w:val="auto"/>
              </w:rPr>
              <w:t>6.8</w:t>
            </w:r>
          </w:p>
        </w:tc>
        <w:tc>
          <w:tcPr>
            <w:tcW w:w="522" w:type="dxa"/>
            <w:tcBorders>
              <w:left w:val="single" w:color="000000" w:sz="4" w:space="0"/>
              <w:right w:val="single" w:color="000000" w:sz="4" w:space="0"/>
            </w:tcBorders>
            <w:vAlign w:val="center"/>
          </w:tcPr>
          <w:p w14:paraId="6436BB78">
            <w:pPr>
              <w:spacing w:line="320" w:lineRule="exact"/>
              <w:jc w:val="center"/>
              <w:rPr>
                <w:rFonts w:ascii="宋体" w:hAnsi="宋体" w:eastAsia="宋体" w:cs="Times New Roman"/>
                <w:color w:val="auto"/>
              </w:rPr>
            </w:pPr>
            <w:r>
              <w:rPr>
                <w:rFonts w:ascii="宋体" w:hAnsi="宋体" w:eastAsia="宋体" w:cs="Times New Roman"/>
                <w:color w:val="auto"/>
              </w:rPr>
              <w:t>3.2</w:t>
            </w:r>
          </w:p>
        </w:tc>
        <w:tc>
          <w:tcPr>
            <w:tcW w:w="345" w:type="dxa"/>
            <w:tcBorders>
              <w:left w:val="single" w:color="000000" w:sz="4" w:space="0"/>
              <w:right w:val="single" w:color="000000" w:sz="4" w:space="0"/>
            </w:tcBorders>
            <w:vAlign w:val="center"/>
          </w:tcPr>
          <w:p w14:paraId="22C2E49E">
            <w:pPr>
              <w:spacing w:line="320" w:lineRule="exact"/>
              <w:jc w:val="center"/>
              <w:rPr>
                <w:rFonts w:ascii="宋体" w:hAnsi="宋体" w:eastAsia="宋体" w:cs="Times New Roman"/>
                <w:color w:val="auto"/>
              </w:rPr>
            </w:pPr>
            <w:r>
              <w:rPr>
                <w:rFonts w:ascii="宋体" w:hAnsi="宋体" w:eastAsia="宋体" w:cs="Times New Roman"/>
                <w:color w:val="auto"/>
              </w:rPr>
              <w:t>2.5</w:t>
            </w:r>
          </w:p>
        </w:tc>
        <w:tc>
          <w:tcPr>
            <w:tcW w:w="496" w:type="dxa"/>
            <w:tcBorders>
              <w:left w:val="single" w:color="000000" w:sz="4" w:space="0"/>
              <w:right w:val="single" w:color="000000" w:sz="4" w:space="0"/>
            </w:tcBorders>
            <w:vAlign w:val="center"/>
          </w:tcPr>
          <w:p w14:paraId="29C9407D">
            <w:pPr>
              <w:spacing w:line="320" w:lineRule="exact"/>
              <w:jc w:val="center"/>
              <w:rPr>
                <w:rFonts w:ascii="宋体" w:hAnsi="宋体" w:eastAsia="宋体" w:cs="Times New Roman"/>
                <w:color w:val="auto"/>
              </w:rPr>
            </w:pPr>
            <w:r>
              <w:rPr>
                <w:rFonts w:ascii="宋体" w:hAnsi="宋体" w:eastAsia="宋体" w:cs="Times New Roman"/>
                <w:color w:val="auto"/>
              </w:rPr>
              <w:t>3.3</w:t>
            </w:r>
          </w:p>
        </w:tc>
        <w:tc>
          <w:tcPr>
            <w:tcW w:w="325" w:type="dxa"/>
            <w:tcBorders>
              <w:left w:val="single" w:color="000000" w:sz="4" w:space="0"/>
              <w:right w:val="single" w:color="000000" w:sz="4" w:space="0"/>
            </w:tcBorders>
            <w:vAlign w:val="center"/>
          </w:tcPr>
          <w:p w14:paraId="28BBD301">
            <w:pPr>
              <w:spacing w:line="320" w:lineRule="exact"/>
              <w:jc w:val="center"/>
              <w:rPr>
                <w:rFonts w:ascii="宋体" w:hAnsi="宋体" w:eastAsia="宋体" w:cs="Times New Roman"/>
                <w:color w:val="auto"/>
              </w:rPr>
            </w:pPr>
            <w:r>
              <w:rPr>
                <w:rFonts w:ascii="宋体" w:hAnsi="宋体" w:eastAsia="宋体" w:cs="Times New Roman"/>
                <w:color w:val="auto"/>
              </w:rPr>
              <w:t>2.7</w:t>
            </w:r>
          </w:p>
        </w:tc>
        <w:tc>
          <w:tcPr>
            <w:tcW w:w="454" w:type="dxa"/>
            <w:tcBorders>
              <w:left w:val="single" w:color="000000" w:sz="4" w:space="0"/>
              <w:right w:val="single" w:color="000000" w:sz="4" w:space="0"/>
            </w:tcBorders>
            <w:vAlign w:val="center"/>
          </w:tcPr>
          <w:p w14:paraId="489A8DCD">
            <w:pPr>
              <w:spacing w:line="320" w:lineRule="exact"/>
              <w:jc w:val="center"/>
              <w:rPr>
                <w:rFonts w:ascii="宋体" w:hAnsi="宋体" w:eastAsia="宋体" w:cs="Times New Roman"/>
                <w:color w:val="auto"/>
              </w:rPr>
            </w:pPr>
            <w:r>
              <w:rPr>
                <w:rFonts w:ascii="宋体" w:hAnsi="宋体" w:eastAsia="宋体" w:cs="Times New Roman"/>
                <w:color w:val="auto"/>
              </w:rPr>
              <w:t>2.5</w:t>
            </w:r>
          </w:p>
        </w:tc>
        <w:tc>
          <w:tcPr>
            <w:tcW w:w="325" w:type="dxa"/>
            <w:tcBorders>
              <w:left w:val="single" w:color="000000" w:sz="4" w:space="0"/>
              <w:right w:val="single" w:color="000000" w:sz="4" w:space="0"/>
            </w:tcBorders>
            <w:vAlign w:val="center"/>
          </w:tcPr>
          <w:p w14:paraId="6C3ED367">
            <w:pPr>
              <w:spacing w:line="320" w:lineRule="exact"/>
              <w:jc w:val="center"/>
              <w:rPr>
                <w:rFonts w:ascii="宋体" w:hAnsi="宋体" w:eastAsia="宋体" w:cs="Times New Roman"/>
                <w:color w:val="auto"/>
              </w:rPr>
            </w:pPr>
            <w:r>
              <w:rPr>
                <w:rFonts w:ascii="宋体" w:hAnsi="宋体" w:eastAsia="宋体" w:cs="Times New Roman"/>
                <w:color w:val="auto"/>
              </w:rPr>
              <w:t>2.4</w:t>
            </w:r>
          </w:p>
        </w:tc>
        <w:tc>
          <w:tcPr>
            <w:tcW w:w="440" w:type="dxa"/>
            <w:tcBorders>
              <w:left w:val="single" w:color="000000" w:sz="4" w:space="0"/>
              <w:right w:val="single" w:color="000000" w:sz="4" w:space="0"/>
            </w:tcBorders>
            <w:vAlign w:val="center"/>
          </w:tcPr>
          <w:p w14:paraId="4140FFC4">
            <w:pPr>
              <w:spacing w:line="320" w:lineRule="exact"/>
              <w:jc w:val="center"/>
              <w:rPr>
                <w:rFonts w:ascii="宋体" w:hAnsi="宋体" w:eastAsia="宋体" w:cs="Times New Roman"/>
                <w:color w:val="auto"/>
              </w:rPr>
            </w:pPr>
            <w:r>
              <w:rPr>
                <w:rFonts w:ascii="宋体" w:hAnsi="宋体" w:eastAsia="宋体" w:cs="Times New Roman"/>
                <w:color w:val="auto"/>
              </w:rPr>
              <w:t>3.2</w:t>
            </w:r>
          </w:p>
        </w:tc>
        <w:tc>
          <w:tcPr>
            <w:tcW w:w="447" w:type="dxa"/>
            <w:tcBorders>
              <w:left w:val="single" w:color="000000" w:sz="4" w:space="0"/>
              <w:right w:val="single" w:color="000000" w:sz="4" w:space="0"/>
            </w:tcBorders>
            <w:vAlign w:val="center"/>
          </w:tcPr>
          <w:p w14:paraId="75A0EB06">
            <w:pPr>
              <w:spacing w:line="320" w:lineRule="exact"/>
              <w:jc w:val="center"/>
              <w:rPr>
                <w:rFonts w:ascii="宋体" w:hAnsi="宋体" w:eastAsia="宋体" w:cs="Times New Roman"/>
                <w:color w:val="auto"/>
              </w:rPr>
            </w:pPr>
            <w:r>
              <w:rPr>
                <w:rFonts w:ascii="宋体" w:hAnsi="宋体" w:eastAsia="宋体" w:cs="Times New Roman"/>
                <w:color w:val="auto"/>
              </w:rPr>
              <w:t>6.6</w:t>
            </w:r>
          </w:p>
        </w:tc>
        <w:tc>
          <w:tcPr>
            <w:tcW w:w="522" w:type="dxa"/>
            <w:tcBorders>
              <w:left w:val="single" w:color="000000" w:sz="4" w:space="0"/>
              <w:right w:val="single" w:color="000000" w:sz="4" w:space="0"/>
            </w:tcBorders>
            <w:vAlign w:val="center"/>
          </w:tcPr>
          <w:p w14:paraId="396549CE">
            <w:pPr>
              <w:spacing w:line="320" w:lineRule="exact"/>
              <w:jc w:val="center"/>
              <w:rPr>
                <w:rFonts w:ascii="宋体" w:hAnsi="宋体" w:eastAsia="宋体" w:cs="Times New Roman"/>
                <w:color w:val="auto"/>
              </w:rPr>
            </w:pPr>
            <w:r>
              <w:rPr>
                <w:rFonts w:ascii="宋体" w:hAnsi="宋体" w:eastAsia="宋体" w:cs="Times New Roman"/>
                <w:color w:val="auto"/>
              </w:rPr>
              <w:t>6.6</w:t>
            </w:r>
          </w:p>
        </w:tc>
        <w:tc>
          <w:tcPr>
            <w:tcW w:w="385" w:type="dxa"/>
            <w:tcBorders>
              <w:left w:val="single" w:color="000000" w:sz="4" w:space="0"/>
              <w:right w:val="single" w:color="000000" w:sz="4" w:space="0"/>
            </w:tcBorders>
            <w:vAlign w:val="center"/>
          </w:tcPr>
          <w:p w14:paraId="7DCD2ACA">
            <w:pPr>
              <w:spacing w:line="320" w:lineRule="exact"/>
              <w:jc w:val="center"/>
              <w:rPr>
                <w:rFonts w:ascii="宋体" w:hAnsi="宋体" w:eastAsia="宋体" w:cs="Times New Roman"/>
                <w:color w:val="auto"/>
              </w:rPr>
            </w:pPr>
            <w:r>
              <w:rPr>
                <w:rFonts w:ascii="宋体" w:hAnsi="宋体" w:eastAsia="宋体" w:cs="Times New Roman"/>
                <w:color w:val="auto"/>
              </w:rPr>
              <w:t>5.4</w:t>
            </w:r>
          </w:p>
        </w:tc>
        <w:tc>
          <w:tcPr>
            <w:tcW w:w="617" w:type="dxa"/>
            <w:tcBorders>
              <w:left w:val="single" w:color="000000" w:sz="4" w:space="0"/>
              <w:right w:val="single" w:color="000000" w:sz="4" w:space="0"/>
            </w:tcBorders>
            <w:vAlign w:val="center"/>
          </w:tcPr>
          <w:p w14:paraId="42EF881C">
            <w:pPr>
              <w:spacing w:line="320" w:lineRule="exact"/>
              <w:jc w:val="center"/>
              <w:rPr>
                <w:rFonts w:ascii="宋体" w:hAnsi="宋体" w:eastAsia="宋体" w:cs="Times New Roman"/>
                <w:color w:val="auto"/>
              </w:rPr>
            </w:pPr>
            <w:r>
              <w:rPr>
                <w:rFonts w:ascii="宋体" w:hAnsi="宋体" w:eastAsia="宋体" w:cs="Times New Roman"/>
                <w:color w:val="auto"/>
              </w:rPr>
              <w:t>10.8</w:t>
            </w:r>
          </w:p>
        </w:tc>
        <w:tc>
          <w:tcPr>
            <w:tcW w:w="325" w:type="dxa"/>
            <w:tcBorders>
              <w:left w:val="single" w:color="000000" w:sz="4" w:space="0"/>
              <w:right w:val="single" w:color="000000" w:sz="4" w:space="0"/>
            </w:tcBorders>
            <w:vAlign w:val="center"/>
          </w:tcPr>
          <w:p w14:paraId="7A457668">
            <w:pPr>
              <w:spacing w:line="320" w:lineRule="exact"/>
              <w:jc w:val="center"/>
              <w:rPr>
                <w:rFonts w:ascii="宋体" w:hAnsi="宋体" w:eastAsia="宋体" w:cs="Times New Roman"/>
                <w:color w:val="auto"/>
              </w:rPr>
            </w:pPr>
            <w:r>
              <w:rPr>
                <w:rFonts w:ascii="宋体" w:hAnsi="宋体" w:eastAsia="宋体" w:cs="Times New Roman"/>
                <w:color w:val="auto"/>
              </w:rPr>
              <w:t>9.4</w:t>
            </w:r>
          </w:p>
        </w:tc>
        <w:tc>
          <w:tcPr>
            <w:tcW w:w="659" w:type="dxa"/>
            <w:tcBorders>
              <w:left w:val="single" w:color="000000" w:sz="4" w:space="0"/>
              <w:right w:val="single" w:color="000000" w:sz="4" w:space="0"/>
            </w:tcBorders>
            <w:vAlign w:val="center"/>
          </w:tcPr>
          <w:p w14:paraId="55DC649F">
            <w:pPr>
              <w:spacing w:line="320" w:lineRule="exact"/>
              <w:jc w:val="center"/>
              <w:rPr>
                <w:rFonts w:ascii="宋体" w:hAnsi="宋体" w:eastAsia="宋体" w:cs="Times New Roman"/>
                <w:color w:val="auto"/>
              </w:rPr>
            </w:pPr>
            <w:r>
              <w:rPr>
                <w:rFonts w:ascii="宋体" w:hAnsi="宋体" w:eastAsia="宋体" w:cs="Times New Roman"/>
                <w:color w:val="auto"/>
              </w:rPr>
              <w:t>11.5</w:t>
            </w:r>
          </w:p>
        </w:tc>
        <w:tc>
          <w:tcPr>
            <w:tcW w:w="447" w:type="dxa"/>
            <w:tcBorders>
              <w:left w:val="single" w:color="000000" w:sz="4" w:space="0"/>
              <w:right w:val="single" w:color="000000" w:sz="4" w:space="0"/>
            </w:tcBorders>
            <w:vAlign w:val="center"/>
          </w:tcPr>
          <w:p w14:paraId="030D16E2">
            <w:pPr>
              <w:spacing w:line="320" w:lineRule="exact"/>
              <w:jc w:val="center"/>
              <w:rPr>
                <w:rFonts w:ascii="宋体" w:hAnsi="宋体" w:eastAsia="宋体" w:cs="Times New Roman"/>
                <w:color w:val="auto"/>
              </w:rPr>
            </w:pPr>
            <w:r>
              <w:rPr>
                <w:rFonts w:ascii="宋体" w:hAnsi="宋体" w:eastAsia="宋体" w:cs="Times New Roman"/>
                <w:color w:val="auto"/>
              </w:rPr>
              <w:t>10.5</w:t>
            </w:r>
          </w:p>
        </w:tc>
        <w:tc>
          <w:tcPr>
            <w:tcW w:w="603" w:type="dxa"/>
            <w:tcBorders>
              <w:left w:val="single" w:color="000000" w:sz="4" w:space="0"/>
              <w:right w:val="single" w:color="000000" w:sz="4" w:space="0"/>
            </w:tcBorders>
            <w:vAlign w:val="center"/>
          </w:tcPr>
          <w:p w14:paraId="28339DE4">
            <w:pPr>
              <w:spacing w:line="320" w:lineRule="exact"/>
              <w:jc w:val="center"/>
              <w:rPr>
                <w:rFonts w:ascii="宋体" w:hAnsi="宋体" w:eastAsia="宋体" w:cs="Times New Roman"/>
                <w:color w:val="auto"/>
              </w:rPr>
            </w:pPr>
            <w:r>
              <w:rPr>
                <w:rFonts w:ascii="宋体" w:hAnsi="宋体" w:eastAsia="宋体" w:cs="Times New Roman"/>
                <w:color w:val="auto"/>
              </w:rPr>
              <w:t>9.1</w:t>
            </w:r>
          </w:p>
        </w:tc>
        <w:tc>
          <w:tcPr>
            <w:tcW w:w="347" w:type="dxa"/>
            <w:tcBorders>
              <w:left w:val="single" w:color="000000" w:sz="4" w:space="0"/>
              <w:right w:val="single" w:color="000000" w:sz="10" w:space="0"/>
            </w:tcBorders>
            <w:vAlign w:val="center"/>
          </w:tcPr>
          <w:p w14:paraId="5F3CF9BD">
            <w:pPr>
              <w:spacing w:line="320" w:lineRule="exact"/>
              <w:jc w:val="center"/>
              <w:rPr>
                <w:rFonts w:ascii="宋体" w:hAnsi="宋体" w:eastAsia="宋体" w:cs="Times New Roman"/>
                <w:color w:val="auto"/>
              </w:rPr>
            </w:pPr>
            <w:r>
              <w:rPr>
                <w:rFonts w:ascii="宋体" w:hAnsi="宋体" w:eastAsia="宋体" w:cs="Times New Roman"/>
                <w:color w:val="auto"/>
              </w:rPr>
              <w:t>6.2</w:t>
            </w:r>
          </w:p>
        </w:tc>
      </w:tr>
      <w:tr w14:paraId="7A090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27B8F885">
            <w:pPr>
              <w:spacing w:line="320" w:lineRule="exact"/>
              <w:jc w:val="center"/>
              <w:rPr>
                <w:rFonts w:ascii="宋体" w:hAnsi="宋体" w:eastAsia="宋体" w:cs="Times New Roman"/>
                <w:color w:val="auto"/>
              </w:rPr>
            </w:pPr>
            <w:r>
              <w:rPr>
                <w:rFonts w:ascii="宋体" w:hAnsi="宋体" w:eastAsia="宋体" w:cs="Times New Roman"/>
                <w:color w:val="auto"/>
              </w:rPr>
              <w:t>02</w:t>
            </w:r>
          </w:p>
        </w:tc>
        <w:tc>
          <w:tcPr>
            <w:tcW w:w="325" w:type="dxa"/>
            <w:tcBorders>
              <w:left w:val="single" w:color="000000" w:sz="4" w:space="0"/>
              <w:right w:val="single" w:color="000000" w:sz="4" w:space="0"/>
            </w:tcBorders>
            <w:vAlign w:val="center"/>
          </w:tcPr>
          <w:p w14:paraId="7E22BE6F">
            <w:pPr>
              <w:spacing w:line="320" w:lineRule="exact"/>
              <w:jc w:val="center"/>
              <w:rPr>
                <w:rFonts w:ascii="宋体" w:hAnsi="宋体" w:eastAsia="宋体" w:cs="Times New Roman"/>
                <w:color w:val="auto"/>
              </w:rPr>
            </w:pPr>
            <w:r>
              <w:rPr>
                <w:rFonts w:ascii="宋体" w:hAnsi="宋体" w:eastAsia="宋体" w:cs="Times New Roman"/>
                <w:color w:val="auto"/>
              </w:rPr>
              <w:t>6.3</w:t>
            </w:r>
          </w:p>
        </w:tc>
        <w:tc>
          <w:tcPr>
            <w:tcW w:w="522" w:type="dxa"/>
            <w:tcBorders>
              <w:left w:val="single" w:color="000000" w:sz="4" w:space="0"/>
              <w:right w:val="single" w:color="000000" w:sz="4" w:space="0"/>
            </w:tcBorders>
            <w:vAlign w:val="center"/>
          </w:tcPr>
          <w:p w14:paraId="15F0AA67">
            <w:pPr>
              <w:spacing w:line="320" w:lineRule="exact"/>
              <w:jc w:val="center"/>
              <w:rPr>
                <w:rFonts w:ascii="宋体" w:hAnsi="宋体" w:eastAsia="宋体" w:cs="Times New Roman"/>
                <w:color w:val="auto"/>
              </w:rPr>
            </w:pPr>
            <w:r>
              <w:rPr>
                <w:rFonts w:ascii="宋体" w:hAnsi="宋体" w:eastAsia="宋体" w:cs="Times New Roman"/>
                <w:color w:val="auto"/>
              </w:rPr>
              <w:t>4.4</w:t>
            </w:r>
          </w:p>
        </w:tc>
        <w:tc>
          <w:tcPr>
            <w:tcW w:w="345" w:type="dxa"/>
            <w:tcBorders>
              <w:left w:val="single" w:color="000000" w:sz="4" w:space="0"/>
              <w:right w:val="single" w:color="000000" w:sz="4" w:space="0"/>
            </w:tcBorders>
            <w:vAlign w:val="center"/>
          </w:tcPr>
          <w:p w14:paraId="4CC5F17B">
            <w:pPr>
              <w:spacing w:line="320" w:lineRule="exact"/>
              <w:jc w:val="center"/>
              <w:rPr>
                <w:rFonts w:ascii="宋体" w:hAnsi="宋体" w:eastAsia="宋体" w:cs="Times New Roman"/>
                <w:color w:val="auto"/>
              </w:rPr>
            </w:pPr>
            <w:r>
              <w:rPr>
                <w:rFonts w:ascii="宋体" w:hAnsi="宋体" w:eastAsia="宋体" w:cs="Times New Roman"/>
                <w:color w:val="auto"/>
              </w:rPr>
              <w:t>3.2</w:t>
            </w:r>
          </w:p>
        </w:tc>
        <w:tc>
          <w:tcPr>
            <w:tcW w:w="496" w:type="dxa"/>
            <w:tcBorders>
              <w:left w:val="single" w:color="000000" w:sz="4" w:space="0"/>
              <w:right w:val="single" w:color="000000" w:sz="4" w:space="0"/>
            </w:tcBorders>
            <w:vAlign w:val="center"/>
          </w:tcPr>
          <w:p w14:paraId="60CDE123">
            <w:pPr>
              <w:spacing w:line="320" w:lineRule="exact"/>
              <w:jc w:val="center"/>
              <w:rPr>
                <w:rFonts w:ascii="宋体" w:hAnsi="宋体" w:eastAsia="宋体" w:cs="Times New Roman"/>
                <w:color w:val="auto"/>
              </w:rPr>
            </w:pPr>
            <w:r>
              <w:rPr>
                <w:rFonts w:ascii="宋体" w:hAnsi="宋体" w:eastAsia="宋体" w:cs="Times New Roman"/>
                <w:color w:val="auto"/>
              </w:rPr>
              <w:t>3.7</w:t>
            </w:r>
          </w:p>
        </w:tc>
        <w:tc>
          <w:tcPr>
            <w:tcW w:w="325" w:type="dxa"/>
            <w:tcBorders>
              <w:left w:val="single" w:color="000000" w:sz="4" w:space="0"/>
              <w:right w:val="single" w:color="000000" w:sz="4" w:space="0"/>
            </w:tcBorders>
            <w:vAlign w:val="center"/>
          </w:tcPr>
          <w:p w14:paraId="5542D34E">
            <w:pPr>
              <w:spacing w:line="320" w:lineRule="exact"/>
              <w:jc w:val="center"/>
              <w:rPr>
                <w:rFonts w:ascii="宋体" w:hAnsi="宋体" w:eastAsia="宋体" w:cs="Times New Roman"/>
                <w:color w:val="auto"/>
              </w:rPr>
            </w:pPr>
            <w:r>
              <w:rPr>
                <w:rFonts w:ascii="宋体" w:hAnsi="宋体" w:eastAsia="宋体" w:cs="Times New Roman"/>
                <w:color w:val="auto"/>
              </w:rPr>
              <w:t>2.8</w:t>
            </w:r>
          </w:p>
        </w:tc>
        <w:tc>
          <w:tcPr>
            <w:tcW w:w="454" w:type="dxa"/>
            <w:tcBorders>
              <w:left w:val="single" w:color="000000" w:sz="4" w:space="0"/>
              <w:right w:val="single" w:color="000000" w:sz="4" w:space="0"/>
            </w:tcBorders>
            <w:vAlign w:val="center"/>
          </w:tcPr>
          <w:p w14:paraId="7FB13E22">
            <w:pPr>
              <w:spacing w:line="320" w:lineRule="exact"/>
              <w:jc w:val="center"/>
              <w:rPr>
                <w:rFonts w:ascii="宋体" w:hAnsi="宋体" w:eastAsia="宋体" w:cs="Times New Roman"/>
                <w:color w:val="auto"/>
              </w:rPr>
            </w:pPr>
            <w:r>
              <w:rPr>
                <w:rFonts w:ascii="宋体" w:hAnsi="宋体" w:eastAsia="宋体" w:cs="Times New Roman"/>
                <w:color w:val="auto"/>
              </w:rPr>
              <w:t>3.4</w:t>
            </w:r>
          </w:p>
        </w:tc>
        <w:tc>
          <w:tcPr>
            <w:tcW w:w="325" w:type="dxa"/>
            <w:tcBorders>
              <w:left w:val="single" w:color="000000" w:sz="4" w:space="0"/>
              <w:right w:val="single" w:color="000000" w:sz="4" w:space="0"/>
            </w:tcBorders>
            <w:vAlign w:val="center"/>
          </w:tcPr>
          <w:p w14:paraId="4DA9A6A5">
            <w:pPr>
              <w:spacing w:line="320" w:lineRule="exact"/>
              <w:jc w:val="center"/>
              <w:rPr>
                <w:rFonts w:ascii="宋体" w:hAnsi="宋体" w:eastAsia="宋体" w:cs="Times New Roman"/>
                <w:color w:val="auto"/>
              </w:rPr>
            </w:pPr>
            <w:r>
              <w:rPr>
                <w:rFonts w:ascii="宋体" w:hAnsi="宋体" w:eastAsia="宋体" w:cs="Times New Roman"/>
                <w:color w:val="auto"/>
              </w:rPr>
              <w:t>3.5</w:t>
            </w:r>
          </w:p>
        </w:tc>
        <w:tc>
          <w:tcPr>
            <w:tcW w:w="440" w:type="dxa"/>
            <w:tcBorders>
              <w:left w:val="single" w:color="000000" w:sz="4" w:space="0"/>
              <w:right w:val="single" w:color="000000" w:sz="4" w:space="0"/>
            </w:tcBorders>
            <w:vAlign w:val="center"/>
          </w:tcPr>
          <w:p w14:paraId="006AF15F">
            <w:pPr>
              <w:spacing w:line="320" w:lineRule="exact"/>
              <w:jc w:val="center"/>
              <w:rPr>
                <w:rFonts w:ascii="宋体" w:hAnsi="宋体" w:eastAsia="宋体" w:cs="Times New Roman"/>
                <w:color w:val="auto"/>
              </w:rPr>
            </w:pPr>
            <w:r>
              <w:rPr>
                <w:rFonts w:ascii="宋体" w:hAnsi="宋体" w:eastAsia="宋体" w:cs="Times New Roman"/>
                <w:color w:val="auto"/>
              </w:rPr>
              <w:t>3.7</w:t>
            </w:r>
          </w:p>
        </w:tc>
        <w:tc>
          <w:tcPr>
            <w:tcW w:w="447" w:type="dxa"/>
            <w:tcBorders>
              <w:left w:val="single" w:color="000000" w:sz="4" w:space="0"/>
              <w:right w:val="single" w:color="000000" w:sz="4" w:space="0"/>
            </w:tcBorders>
            <w:vAlign w:val="center"/>
          </w:tcPr>
          <w:p w14:paraId="21BA6C6E">
            <w:pPr>
              <w:spacing w:line="320" w:lineRule="exact"/>
              <w:jc w:val="center"/>
              <w:rPr>
                <w:rFonts w:ascii="宋体" w:hAnsi="宋体" w:eastAsia="宋体" w:cs="Times New Roman"/>
                <w:color w:val="auto"/>
              </w:rPr>
            </w:pPr>
            <w:r>
              <w:rPr>
                <w:rFonts w:ascii="宋体" w:hAnsi="宋体" w:eastAsia="宋体" w:cs="Times New Roman"/>
                <w:color w:val="auto"/>
              </w:rPr>
              <w:t>6.1</w:t>
            </w:r>
          </w:p>
        </w:tc>
        <w:tc>
          <w:tcPr>
            <w:tcW w:w="522" w:type="dxa"/>
            <w:tcBorders>
              <w:left w:val="single" w:color="000000" w:sz="4" w:space="0"/>
              <w:right w:val="single" w:color="000000" w:sz="4" w:space="0"/>
            </w:tcBorders>
            <w:vAlign w:val="center"/>
          </w:tcPr>
          <w:p w14:paraId="07DE842B">
            <w:pPr>
              <w:spacing w:line="320" w:lineRule="exact"/>
              <w:jc w:val="center"/>
              <w:rPr>
                <w:rFonts w:ascii="宋体" w:hAnsi="宋体" w:eastAsia="宋体" w:cs="Times New Roman"/>
                <w:color w:val="auto"/>
              </w:rPr>
            </w:pPr>
            <w:r>
              <w:rPr>
                <w:rFonts w:ascii="宋体" w:hAnsi="宋体" w:eastAsia="宋体" w:cs="Times New Roman"/>
                <w:color w:val="auto"/>
              </w:rPr>
              <w:t>7.6</w:t>
            </w:r>
          </w:p>
        </w:tc>
        <w:tc>
          <w:tcPr>
            <w:tcW w:w="385" w:type="dxa"/>
            <w:tcBorders>
              <w:left w:val="single" w:color="000000" w:sz="4" w:space="0"/>
              <w:right w:val="single" w:color="000000" w:sz="4" w:space="0"/>
            </w:tcBorders>
            <w:vAlign w:val="center"/>
          </w:tcPr>
          <w:p w14:paraId="7E811A2E">
            <w:pPr>
              <w:spacing w:line="320" w:lineRule="exact"/>
              <w:jc w:val="center"/>
              <w:rPr>
                <w:rFonts w:ascii="宋体" w:hAnsi="宋体" w:eastAsia="宋体" w:cs="Times New Roman"/>
                <w:color w:val="auto"/>
              </w:rPr>
            </w:pPr>
            <w:r>
              <w:rPr>
                <w:rFonts w:ascii="宋体" w:hAnsi="宋体" w:eastAsia="宋体" w:cs="Times New Roman"/>
                <w:color w:val="auto"/>
              </w:rPr>
              <w:t>5.6</w:t>
            </w:r>
          </w:p>
        </w:tc>
        <w:tc>
          <w:tcPr>
            <w:tcW w:w="617" w:type="dxa"/>
            <w:tcBorders>
              <w:left w:val="single" w:color="000000" w:sz="4" w:space="0"/>
              <w:right w:val="single" w:color="000000" w:sz="4" w:space="0"/>
            </w:tcBorders>
            <w:vAlign w:val="center"/>
          </w:tcPr>
          <w:p w14:paraId="39D653E1">
            <w:pPr>
              <w:spacing w:line="320" w:lineRule="exact"/>
              <w:jc w:val="center"/>
              <w:rPr>
                <w:rFonts w:ascii="宋体" w:hAnsi="宋体" w:eastAsia="宋体" w:cs="Times New Roman"/>
                <w:color w:val="auto"/>
              </w:rPr>
            </w:pPr>
            <w:r>
              <w:rPr>
                <w:rFonts w:ascii="宋体" w:hAnsi="宋体" w:eastAsia="宋体" w:cs="Times New Roman"/>
                <w:color w:val="auto"/>
              </w:rPr>
              <w:t>11.1</w:t>
            </w:r>
          </w:p>
        </w:tc>
        <w:tc>
          <w:tcPr>
            <w:tcW w:w="325" w:type="dxa"/>
            <w:tcBorders>
              <w:left w:val="single" w:color="000000" w:sz="4" w:space="0"/>
              <w:right w:val="single" w:color="000000" w:sz="4" w:space="0"/>
            </w:tcBorders>
            <w:vAlign w:val="center"/>
          </w:tcPr>
          <w:p w14:paraId="6E5CB607">
            <w:pPr>
              <w:spacing w:line="320" w:lineRule="exact"/>
              <w:jc w:val="center"/>
              <w:rPr>
                <w:rFonts w:ascii="宋体" w:hAnsi="宋体" w:eastAsia="宋体" w:cs="Times New Roman"/>
                <w:color w:val="auto"/>
              </w:rPr>
            </w:pPr>
            <w:r>
              <w:rPr>
                <w:rFonts w:ascii="宋体" w:hAnsi="宋体" w:eastAsia="宋体" w:cs="Times New Roman"/>
                <w:color w:val="auto"/>
              </w:rPr>
              <w:t>9.4</w:t>
            </w:r>
          </w:p>
        </w:tc>
        <w:tc>
          <w:tcPr>
            <w:tcW w:w="659" w:type="dxa"/>
            <w:tcBorders>
              <w:left w:val="single" w:color="000000" w:sz="4" w:space="0"/>
              <w:right w:val="single" w:color="000000" w:sz="4" w:space="0"/>
            </w:tcBorders>
            <w:vAlign w:val="center"/>
          </w:tcPr>
          <w:p w14:paraId="75C01BD5">
            <w:pPr>
              <w:spacing w:line="320" w:lineRule="exact"/>
              <w:jc w:val="center"/>
              <w:rPr>
                <w:rFonts w:ascii="宋体" w:hAnsi="宋体" w:eastAsia="宋体" w:cs="Times New Roman"/>
                <w:color w:val="auto"/>
              </w:rPr>
            </w:pPr>
            <w:r>
              <w:rPr>
                <w:rFonts w:ascii="宋体" w:hAnsi="宋体" w:eastAsia="宋体" w:cs="Times New Roman"/>
                <w:color w:val="auto"/>
              </w:rPr>
              <w:t>10</w:t>
            </w:r>
          </w:p>
        </w:tc>
        <w:tc>
          <w:tcPr>
            <w:tcW w:w="447" w:type="dxa"/>
            <w:tcBorders>
              <w:left w:val="single" w:color="000000" w:sz="4" w:space="0"/>
              <w:right w:val="single" w:color="000000" w:sz="4" w:space="0"/>
            </w:tcBorders>
            <w:vAlign w:val="center"/>
          </w:tcPr>
          <w:p w14:paraId="65F8ACCB">
            <w:pPr>
              <w:spacing w:line="320" w:lineRule="exact"/>
              <w:jc w:val="center"/>
              <w:rPr>
                <w:rFonts w:ascii="宋体" w:hAnsi="宋体" w:eastAsia="宋体" w:cs="Times New Roman"/>
                <w:color w:val="auto"/>
              </w:rPr>
            </w:pPr>
            <w:r>
              <w:rPr>
                <w:rFonts w:ascii="宋体" w:hAnsi="宋体" w:eastAsia="宋体" w:cs="Times New Roman"/>
                <w:color w:val="auto"/>
              </w:rPr>
              <w:t>12.5</w:t>
            </w:r>
          </w:p>
        </w:tc>
        <w:tc>
          <w:tcPr>
            <w:tcW w:w="603" w:type="dxa"/>
            <w:tcBorders>
              <w:left w:val="single" w:color="000000" w:sz="4" w:space="0"/>
              <w:right w:val="single" w:color="000000" w:sz="4" w:space="0"/>
            </w:tcBorders>
            <w:vAlign w:val="center"/>
          </w:tcPr>
          <w:p w14:paraId="1009CFAD">
            <w:pPr>
              <w:spacing w:line="320" w:lineRule="exact"/>
              <w:jc w:val="center"/>
              <w:rPr>
                <w:rFonts w:ascii="宋体" w:hAnsi="宋体" w:eastAsia="宋体" w:cs="Times New Roman"/>
                <w:color w:val="auto"/>
              </w:rPr>
            </w:pPr>
            <w:r>
              <w:rPr>
                <w:rFonts w:ascii="宋体" w:hAnsi="宋体" w:eastAsia="宋体" w:cs="Times New Roman"/>
                <w:color w:val="auto"/>
              </w:rPr>
              <w:t>7.9</w:t>
            </w:r>
          </w:p>
        </w:tc>
        <w:tc>
          <w:tcPr>
            <w:tcW w:w="347" w:type="dxa"/>
            <w:tcBorders>
              <w:left w:val="single" w:color="000000" w:sz="4" w:space="0"/>
              <w:right w:val="single" w:color="000000" w:sz="10" w:space="0"/>
            </w:tcBorders>
            <w:vAlign w:val="center"/>
          </w:tcPr>
          <w:p w14:paraId="6370D0D9">
            <w:pPr>
              <w:spacing w:line="320" w:lineRule="exact"/>
              <w:jc w:val="center"/>
              <w:rPr>
                <w:rFonts w:ascii="宋体" w:hAnsi="宋体" w:eastAsia="宋体" w:cs="Times New Roman"/>
                <w:color w:val="auto"/>
              </w:rPr>
            </w:pPr>
            <w:r>
              <w:rPr>
                <w:rFonts w:ascii="宋体" w:hAnsi="宋体" w:eastAsia="宋体" w:cs="Times New Roman"/>
                <w:color w:val="auto"/>
              </w:rPr>
              <w:t>4.5</w:t>
            </w:r>
          </w:p>
        </w:tc>
      </w:tr>
      <w:tr w14:paraId="099B5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484819A6">
            <w:pPr>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325" w:type="dxa"/>
            <w:tcBorders>
              <w:left w:val="single" w:color="000000" w:sz="4" w:space="0"/>
              <w:right w:val="single" w:color="000000" w:sz="4" w:space="0"/>
            </w:tcBorders>
            <w:vAlign w:val="center"/>
          </w:tcPr>
          <w:p w14:paraId="110CDD88">
            <w:pPr>
              <w:spacing w:line="320" w:lineRule="exact"/>
              <w:jc w:val="center"/>
              <w:rPr>
                <w:rFonts w:ascii="宋体" w:hAnsi="宋体" w:eastAsia="宋体" w:cs="Times New Roman"/>
                <w:color w:val="auto"/>
              </w:rPr>
            </w:pPr>
            <w:r>
              <w:rPr>
                <w:rFonts w:ascii="宋体" w:hAnsi="宋体" w:eastAsia="宋体" w:cs="Times New Roman"/>
                <w:color w:val="auto"/>
              </w:rPr>
              <w:t>9.1</w:t>
            </w:r>
          </w:p>
        </w:tc>
        <w:tc>
          <w:tcPr>
            <w:tcW w:w="522" w:type="dxa"/>
            <w:tcBorders>
              <w:left w:val="single" w:color="000000" w:sz="4" w:space="0"/>
              <w:right w:val="single" w:color="000000" w:sz="4" w:space="0"/>
            </w:tcBorders>
            <w:vAlign w:val="center"/>
          </w:tcPr>
          <w:p w14:paraId="359B7749">
            <w:pPr>
              <w:spacing w:line="320" w:lineRule="exact"/>
              <w:jc w:val="center"/>
              <w:rPr>
                <w:rFonts w:ascii="宋体" w:hAnsi="宋体" w:eastAsia="宋体" w:cs="Times New Roman"/>
                <w:color w:val="auto"/>
              </w:rPr>
            </w:pPr>
            <w:r>
              <w:rPr>
                <w:rFonts w:ascii="宋体" w:hAnsi="宋体" w:eastAsia="宋体" w:cs="Times New Roman"/>
                <w:color w:val="auto"/>
              </w:rPr>
              <w:t>5.2</w:t>
            </w:r>
          </w:p>
        </w:tc>
        <w:tc>
          <w:tcPr>
            <w:tcW w:w="345" w:type="dxa"/>
            <w:tcBorders>
              <w:left w:val="single" w:color="000000" w:sz="4" w:space="0"/>
              <w:right w:val="single" w:color="000000" w:sz="4" w:space="0"/>
            </w:tcBorders>
            <w:vAlign w:val="center"/>
          </w:tcPr>
          <w:p w14:paraId="283BECEF">
            <w:pPr>
              <w:spacing w:line="320" w:lineRule="exact"/>
              <w:jc w:val="center"/>
              <w:rPr>
                <w:rFonts w:ascii="宋体" w:hAnsi="宋体" w:eastAsia="宋体" w:cs="Times New Roman"/>
                <w:color w:val="auto"/>
              </w:rPr>
            </w:pPr>
            <w:r>
              <w:rPr>
                <w:rFonts w:ascii="宋体" w:hAnsi="宋体" w:eastAsia="宋体" w:cs="Times New Roman"/>
                <w:color w:val="auto"/>
              </w:rPr>
              <w:t>3.7</w:t>
            </w:r>
          </w:p>
        </w:tc>
        <w:tc>
          <w:tcPr>
            <w:tcW w:w="496" w:type="dxa"/>
            <w:tcBorders>
              <w:left w:val="single" w:color="000000" w:sz="4" w:space="0"/>
              <w:right w:val="single" w:color="000000" w:sz="4" w:space="0"/>
            </w:tcBorders>
            <w:vAlign w:val="center"/>
          </w:tcPr>
          <w:p w14:paraId="1DFD5642">
            <w:pPr>
              <w:spacing w:line="320" w:lineRule="exact"/>
              <w:jc w:val="center"/>
              <w:rPr>
                <w:rFonts w:ascii="宋体" w:hAnsi="宋体" w:eastAsia="宋体" w:cs="Times New Roman"/>
                <w:color w:val="auto"/>
              </w:rPr>
            </w:pPr>
            <w:r>
              <w:rPr>
                <w:rFonts w:ascii="宋体" w:hAnsi="宋体" w:eastAsia="宋体" w:cs="Times New Roman"/>
                <w:color w:val="auto"/>
              </w:rPr>
              <w:t>3.9</w:t>
            </w:r>
          </w:p>
        </w:tc>
        <w:tc>
          <w:tcPr>
            <w:tcW w:w="325" w:type="dxa"/>
            <w:tcBorders>
              <w:left w:val="single" w:color="000000" w:sz="4" w:space="0"/>
              <w:right w:val="single" w:color="000000" w:sz="4" w:space="0"/>
            </w:tcBorders>
            <w:vAlign w:val="center"/>
          </w:tcPr>
          <w:p w14:paraId="1AE2D5C1">
            <w:pPr>
              <w:spacing w:line="320" w:lineRule="exact"/>
              <w:jc w:val="center"/>
              <w:rPr>
                <w:rFonts w:ascii="宋体" w:hAnsi="宋体" w:eastAsia="宋体" w:cs="Times New Roman"/>
                <w:color w:val="auto"/>
              </w:rPr>
            </w:pPr>
            <w:r>
              <w:rPr>
                <w:rFonts w:ascii="宋体" w:hAnsi="宋体" w:eastAsia="宋体" w:cs="Times New Roman"/>
                <w:color w:val="auto"/>
              </w:rPr>
              <w:t>3.5</w:t>
            </w:r>
          </w:p>
        </w:tc>
        <w:tc>
          <w:tcPr>
            <w:tcW w:w="454" w:type="dxa"/>
            <w:tcBorders>
              <w:left w:val="single" w:color="000000" w:sz="4" w:space="0"/>
              <w:right w:val="single" w:color="000000" w:sz="4" w:space="0"/>
            </w:tcBorders>
            <w:vAlign w:val="center"/>
          </w:tcPr>
          <w:p w14:paraId="0B2F144C">
            <w:pPr>
              <w:spacing w:line="320" w:lineRule="exact"/>
              <w:jc w:val="center"/>
              <w:rPr>
                <w:rFonts w:ascii="宋体" w:hAnsi="宋体" w:eastAsia="宋体" w:cs="Times New Roman"/>
                <w:color w:val="auto"/>
              </w:rPr>
            </w:pPr>
            <w:r>
              <w:rPr>
                <w:rFonts w:ascii="宋体" w:hAnsi="宋体" w:eastAsia="宋体" w:cs="Times New Roman"/>
                <w:color w:val="auto"/>
              </w:rPr>
              <w:t>3.1</w:t>
            </w:r>
          </w:p>
        </w:tc>
        <w:tc>
          <w:tcPr>
            <w:tcW w:w="325" w:type="dxa"/>
            <w:tcBorders>
              <w:left w:val="single" w:color="000000" w:sz="4" w:space="0"/>
              <w:right w:val="single" w:color="000000" w:sz="4" w:space="0"/>
            </w:tcBorders>
            <w:vAlign w:val="center"/>
          </w:tcPr>
          <w:p w14:paraId="282A7084">
            <w:pPr>
              <w:spacing w:line="320" w:lineRule="exact"/>
              <w:jc w:val="center"/>
              <w:rPr>
                <w:rFonts w:ascii="宋体" w:hAnsi="宋体" w:eastAsia="宋体" w:cs="Times New Roman"/>
                <w:color w:val="auto"/>
              </w:rPr>
            </w:pPr>
            <w:r>
              <w:rPr>
                <w:rFonts w:ascii="宋体" w:hAnsi="宋体" w:eastAsia="宋体" w:cs="Times New Roman"/>
                <w:color w:val="auto"/>
              </w:rPr>
              <w:t>3.6</w:t>
            </w:r>
          </w:p>
        </w:tc>
        <w:tc>
          <w:tcPr>
            <w:tcW w:w="440" w:type="dxa"/>
            <w:tcBorders>
              <w:left w:val="single" w:color="000000" w:sz="4" w:space="0"/>
              <w:right w:val="single" w:color="000000" w:sz="4" w:space="0"/>
            </w:tcBorders>
            <w:vAlign w:val="center"/>
          </w:tcPr>
          <w:p w14:paraId="7F2B47AC">
            <w:pPr>
              <w:spacing w:line="320" w:lineRule="exact"/>
              <w:jc w:val="center"/>
              <w:rPr>
                <w:rFonts w:ascii="宋体" w:hAnsi="宋体" w:eastAsia="宋体" w:cs="Times New Roman"/>
                <w:color w:val="auto"/>
              </w:rPr>
            </w:pPr>
            <w:r>
              <w:rPr>
                <w:rFonts w:ascii="宋体" w:hAnsi="宋体" w:eastAsia="宋体" w:cs="Times New Roman"/>
                <w:color w:val="auto"/>
              </w:rPr>
              <w:t>3.4</w:t>
            </w:r>
          </w:p>
        </w:tc>
        <w:tc>
          <w:tcPr>
            <w:tcW w:w="447" w:type="dxa"/>
            <w:tcBorders>
              <w:left w:val="single" w:color="000000" w:sz="4" w:space="0"/>
              <w:right w:val="single" w:color="000000" w:sz="4" w:space="0"/>
            </w:tcBorders>
            <w:vAlign w:val="center"/>
          </w:tcPr>
          <w:p w14:paraId="3A699BE1">
            <w:pPr>
              <w:spacing w:line="320" w:lineRule="exact"/>
              <w:jc w:val="center"/>
              <w:rPr>
                <w:rFonts w:ascii="宋体" w:hAnsi="宋体" w:eastAsia="宋体" w:cs="Times New Roman"/>
                <w:color w:val="auto"/>
              </w:rPr>
            </w:pPr>
            <w:r>
              <w:rPr>
                <w:rFonts w:ascii="宋体" w:hAnsi="宋体" w:eastAsia="宋体" w:cs="Times New Roman"/>
                <w:color w:val="auto"/>
              </w:rPr>
              <w:t>6.6</w:t>
            </w:r>
          </w:p>
        </w:tc>
        <w:tc>
          <w:tcPr>
            <w:tcW w:w="522" w:type="dxa"/>
            <w:tcBorders>
              <w:left w:val="single" w:color="000000" w:sz="4" w:space="0"/>
              <w:right w:val="single" w:color="000000" w:sz="4" w:space="0"/>
            </w:tcBorders>
            <w:vAlign w:val="center"/>
          </w:tcPr>
          <w:p w14:paraId="008DCD1A">
            <w:pPr>
              <w:spacing w:line="320" w:lineRule="exact"/>
              <w:jc w:val="center"/>
              <w:rPr>
                <w:rFonts w:ascii="宋体" w:hAnsi="宋体" w:eastAsia="宋体" w:cs="Times New Roman"/>
                <w:color w:val="auto"/>
              </w:rPr>
            </w:pPr>
            <w:r>
              <w:rPr>
                <w:rFonts w:ascii="宋体" w:hAnsi="宋体" w:eastAsia="宋体" w:cs="Times New Roman"/>
                <w:color w:val="auto"/>
              </w:rPr>
              <w:t>7.1</w:t>
            </w:r>
          </w:p>
        </w:tc>
        <w:tc>
          <w:tcPr>
            <w:tcW w:w="385" w:type="dxa"/>
            <w:tcBorders>
              <w:left w:val="single" w:color="000000" w:sz="4" w:space="0"/>
              <w:right w:val="single" w:color="000000" w:sz="4" w:space="0"/>
            </w:tcBorders>
            <w:vAlign w:val="center"/>
          </w:tcPr>
          <w:p w14:paraId="5B020110">
            <w:pPr>
              <w:spacing w:line="320" w:lineRule="exact"/>
              <w:jc w:val="center"/>
              <w:rPr>
                <w:rFonts w:ascii="宋体" w:hAnsi="宋体" w:eastAsia="宋体" w:cs="Times New Roman"/>
                <w:color w:val="auto"/>
              </w:rPr>
            </w:pPr>
            <w:r>
              <w:rPr>
                <w:rFonts w:ascii="宋体" w:hAnsi="宋体" w:eastAsia="宋体" w:cs="Times New Roman"/>
                <w:color w:val="auto"/>
              </w:rPr>
              <w:t>5.4</w:t>
            </w:r>
          </w:p>
        </w:tc>
        <w:tc>
          <w:tcPr>
            <w:tcW w:w="617" w:type="dxa"/>
            <w:tcBorders>
              <w:left w:val="single" w:color="000000" w:sz="4" w:space="0"/>
              <w:right w:val="single" w:color="000000" w:sz="4" w:space="0"/>
            </w:tcBorders>
            <w:vAlign w:val="center"/>
          </w:tcPr>
          <w:p w14:paraId="76EF9981">
            <w:pPr>
              <w:spacing w:line="320" w:lineRule="exact"/>
              <w:jc w:val="center"/>
              <w:rPr>
                <w:rFonts w:ascii="宋体" w:hAnsi="宋体" w:eastAsia="宋体" w:cs="Times New Roman"/>
                <w:color w:val="auto"/>
              </w:rPr>
            </w:pPr>
            <w:r>
              <w:rPr>
                <w:rFonts w:ascii="宋体" w:hAnsi="宋体" w:eastAsia="宋体" w:cs="Times New Roman"/>
                <w:color w:val="auto"/>
              </w:rPr>
              <w:t>8.9</w:t>
            </w:r>
          </w:p>
        </w:tc>
        <w:tc>
          <w:tcPr>
            <w:tcW w:w="325" w:type="dxa"/>
            <w:tcBorders>
              <w:left w:val="single" w:color="000000" w:sz="4" w:space="0"/>
              <w:right w:val="single" w:color="000000" w:sz="4" w:space="0"/>
            </w:tcBorders>
            <w:vAlign w:val="center"/>
          </w:tcPr>
          <w:p w14:paraId="60E0D53C">
            <w:pPr>
              <w:spacing w:line="320" w:lineRule="exact"/>
              <w:jc w:val="center"/>
              <w:rPr>
                <w:rFonts w:ascii="宋体" w:hAnsi="宋体" w:eastAsia="宋体" w:cs="Times New Roman"/>
                <w:color w:val="auto"/>
              </w:rPr>
            </w:pPr>
            <w:r>
              <w:rPr>
                <w:rFonts w:ascii="宋体" w:hAnsi="宋体" w:eastAsia="宋体" w:cs="Times New Roman"/>
                <w:color w:val="auto"/>
              </w:rPr>
              <w:t>8.2</w:t>
            </w:r>
          </w:p>
        </w:tc>
        <w:tc>
          <w:tcPr>
            <w:tcW w:w="659" w:type="dxa"/>
            <w:tcBorders>
              <w:left w:val="single" w:color="000000" w:sz="4" w:space="0"/>
              <w:right w:val="single" w:color="000000" w:sz="4" w:space="0"/>
            </w:tcBorders>
            <w:vAlign w:val="center"/>
          </w:tcPr>
          <w:p w14:paraId="2C6143E0">
            <w:pPr>
              <w:spacing w:line="320" w:lineRule="exact"/>
              <w:jc w:val="center"/>
              <w:rPr>
                <w:rFonts w:ascii="宋体" w:hAnsi="宋体" w:eastAsia="宋体" w:cs="Times New Roman"/>
                <w:color w:val="auto"/>
              </w:rPr>
            </w:pPr>
            <w:r>
              <w:rPr>
                <w:rFonts w:ascii="宋体" w:hAnsi="宋体" w:eastAsia="宋体" w:cs="Times New Roman"/>
                <w:color w:val="auto"/>
              </w:rPr>
              <w:t>8.6</w:t>
            </w:r>
          </w:p>
        </w:tc>
        <w:tc>
          <w:tcPr>
            <w:tcW w:w="447" w:type="dxa"/>
            <w:tcBorders>
              <w:left w:val="single" w:color="000000" w:sz="4" w:space="0"/>
              <w:right w:val="single" w:color="000000" w:sz="4" w:space="0"/>
            </w:tcBorders>
            <w:vAlign w:val="center"/>
          </w:tcPr>
          <w:p w14:paraId="2A75C37D">
            <w:pPr>
              <w:spacing w:line="320" w:lineRule="exact"/>
              <w:jc w:val="center"/>
              <w:rPr>
                <w:rFonts w:ascii="宋体" w:hAnsi="宋体" w:eastAsia="宋体" w:cs="Times New Roman"/>
                <w:color w:val="auto"/>
              </w:rPr>
            </w:pPr>
            <w:r>
              <w:rPr>
                <w:rFonts w:ascii="宋体" w:hAnsi="宋体" w:eastAsia="宋体" w:cs="Times New Roman"/>
                <w:color w:val="auto"/>
              </w:rPr>
              <w:t>10.2</w:t>
            </w:r>
          </w:p>
        </w:tc>
        <w:tc>
          <w:tcPr>
            <w:tcW w:w="603" w:type="dxa"/>
            <w:tcBorders>
              <w:left w:val="single" w:color="000000" w:sz="4" w:space="0"/>
              <w:right w:val="single" w:color="000000" w:sz="4" w:space="0"/>
            </w:tcBorders>
            <w:vAlign w:val="center"/>
          </w:tcPr>
          <w:p w14:paraId="02D96775">
            <w:pPr>
              <w:spacing w:line="320" w:lineRule="exact"/>
              <w:jc w:val="center"/>
              <w:rPr>
                <w:rFonts w:ascii="宋体" w:hAnsi="宋体" w:eastAsia="宋体" w:cs="Times New Roman"/>
                <w:color w:val="auto"/>
              </w:rPr>
            </w:pPr>
            <w:r>
              <w:rPr>
                <w:rFonts w:ascii="宋体" w:hAnsi="宋体" w:eastAsia="宋体" w:cs="Times New Roman"/>
                <w:color w:val="auto"/>
              </w:rPr>
              <w:t>9.4</w:t>
            </w:r>
          </w:p>
        </w:tc>
        <w:tc>
          <w:tcPr>
            <w:tcW w:w="347" w:type="dxa"/>
            <w:tcBorders>
              <w:left w:val="single" w:color="000000" w:sz="4" w:space="0"/>
              <w:right w:val="single" w:color="000000" w:sz="10" w:space="0"/>
            </w:tcBorders>
            <w:vAlign w:val="center"/>
          </w:tcPr>
          <w:p w14:paraId="6962AD32">
            <w:pPr>
              <w:spacing w:line="320" w:lineRule="exact"/>
              <w:jc w:val="center"/>
              <w:rPr>
                <w:rFonts w:ascii="宋体" w:hAnsi="宋体" w:eastAsia="宋体" w:cs="Times New Roman"/>
                <w:color w:val="auto"/>
              </w:rPr>
            </w:pPr>
            <w:r>
              <w:rPr>
                <w:rFonts w:ascii="宋体" w:hAnsi="宋体" w:eastAsia="宋体" w:cs="Times New Roman"/>
                <w:color w:val="auto"/>
              </w:rPr>
              <w:t>3.8</w:t>
            </w:r>
          </w:p>
        </w:tc>
      </w:tr>
      <w:tr w14:paraId="0BCDE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26AA62E1">
            <w:pPr>
              <w:spacing w:line="320" w:lineRule="exact"/>
              <w:jc w:val="center"/>
              <w:rPr>
                <w:rFonts w:ascii="宋体" w:hAnsi="宋体" w:eastAsia="宋体" w:cs="Times New Roman"/>
                <w:color w:val="auto"/>
              </w:rPr>
            </w:pPr>
            <w:r>
              <w:rPr>
                <w:rFonts w:ascii="宋体" w:hAnsi="宋体" w:eastAsia="宋体" w:cs="Times New Roman"/>
                <w:color w:val="auto"/>
              </w:rPr>
              <w:t>04</w:t>
            </w:r>
          </w:p>
        </w:tc>
        <w:tc>
          <w:tcPr>
            <w:tcW w:w="325" w:type="dxa"/>
            <w:tcBorders>
              <w:left w:val="single" w:color="000000" w:sz="4" w:space="0"/>
              <w:right w:val="single" w:color="000000" w:sz="4" w:space="0"/>
            </w:tcBorders>
            <w:vAlign w:val="center"/>
          </w:tcPr>
          <w:p w14:paraId="71A00FA0">
            <w:pPr>
              <w:spacing w:line="320" w:lineRule="exact"/>
              <w:jc w:val="center"/>
              <w:rPr>
                <w:rFonts w:ascii="宋体" w:hAnsi="宋体" w:eastAsia="宋体" w:cs="Times New Roman"/>
                <w:color w:val="auto"/>
              </w:rPr>
            </w:pPr>
            <w:r>
              <w:rPr>
                <w:rFonts w:ascii="宋体" w:hAnsi="宋体" w:eastAsia="宋体" w:cs="Times New Roman"/>
                <w:color w:val="auto"/>
              </w:rPr>
              <w:t>8.8</w:t>
            </w:r>
          </w:p>
        </w:tc>
        <w:tc>
          <w:tcPr>
            <w:tcW w:w="522" w:type="dxa"/>
            <w:tcBorders>
              <w:left w:val="single" w:color="000000" w:sz="4" w:space="0"/>
              <w:right w:val="single" w:color="000000" w:sz="4" w:space="0"/>
            </w:tcBorders>
            <w:vAlign w:val="center"/>
          </w:tcPr>
          <w:p w14:paraId="24846EAE">
            <w:pPr>
              <w:spacing w:line="320" w:lineRule="exact"/>
              <w:jc w:val="center"/>
              <w:rPr>
                <w:rFonts w:ascii="宋体" w:hAnsi="宋体" w:eastAsia="宋体" w:cs="Times New Roman"/>
                <w:color w:val="auto"/>
              </w:rPr>
            </w:pPr>
            <w:r>
              <w:rPr>
                <w:rFonts w:ascii="宋体" w:hAnsi="宋体" w:eastAsia="宋体" w:cs="Times New Roman"/>
                <w:color w:val="auto"/>
              </w:rPr>
              <w:t>6.1</w:t>
            </w:r>
          </w:p>
        </w:tc>
        <w:tc>
          <w:tcPr>
            <w:tcW w:w="345" w:type="dxa"/>
            <w:tcBorders>
              <w:left w:val="single" w:color="000000" w:sz="4" w:space="0"/>
              <w:right w:val="single" w:color="000000" w:sz="4" w:space="0"/>
            </w:tcBorders>
            <w:vAlign w:val="center"/>
          </w:tcPr>
          <w:p w14:paraId="0796BEF0">
            <w:pPr>
              <w:spacing w:line="320" w:lineRule="exact"/>
              <w:jc w:val="center"/>
              <w:rPr>
                <w:rFonts w:ascii="宋体" w:hAnsi="宋体" w:eastAsia="宋体" w:cs="Times New Roman"/>
                <w:color w:val="auto"/>
              </w:rPr>
            </w:pPr>
            <w:r>
              <w:rPr>
                <w:rFonts w:ascii="宋体" w:hAnsi="宋体" w:eastAsia="宋体" w:cs="Times New Roman"/>
                <w:color w:val="auto"/>
              </w:rPr>
              <w:t>5.8</w:t>
            </w:r>
          </w:p>
        </w:tc>
        <w:tc>
          <w:tcPr>
            <w:tcW w:w="496" w:type="dxa"/>
            <w:tcBorders>
              <w:left w:val="single" w:color="000000" w:sz="4" w:space="0"/>
              <w:right w:val="single" w:color="000000" w:sz="4" w:space="0"/>
            </w:tcBorders>
            <w:vAlign w:val="center"/>
          </w:tcPr>
          <w:p w14:paraId="3D27B9BB">
            <w:pPr>
              <w:spacing w:line="320" w:lineRule="exact"/>
              <w:jc w:val="center"/>
              <w:rPr>
                <w:rFonts w:ascii="宋体" w:hAnsi="宋体" w:eastAsia="宋体" w:cs="Times New Roman"/>
                <w:color w:val="auto"/>
              </w:rPr>
            </w:pPr>
            <w:r>
              <w:rPr>
                <w:rFonts w:ascii="宋体" w:hAnsi="宋体" w:eastAsia="宋体" w:cs="Times New Roman"/>
                <w:color w:val="auto"/>
              </w:rPr>
              <w:t>4.8</w:t>
            </w:r>
          </w:p>
        </w:tc>
        <w:tc>
          <w:tcPr>
            <w:tcW w:w="325" w:type="dxa"/>
            <w:tcBorders>
              <w:left w:val="single" w:color="000000" w:sz="4" w:space="0"/>
              <w:right w:val="single" w:color="000000" w:sz="4" w:space="0"/>
            </w:tcBorders>
            <w:vAlign w:val="center"/>
          </w:tcPr>
          <w:p w14:paraId="380D0BC8">
            <w:pPr>
              <w:spacing w:line="320" w:lineRule="exact"/>
              <w:jc w:val="center"/>
              <w:rPr>
                <w:rFonts w:ascii="宋体" w:hAnsi="宋体" w:eastAsia="宋体" w:cs="Times New Roman"/>
                <w:color w:val="auto"/>
              </w:rPr>
            </w:pPr>
            <w:r>
              <w:rPr>
                <w:rFonts w:ascii="宋体" w:hAnsi="宋体" w:eastAsia="宋体" w:cs="Times New Roman"/>
                <w:color w:val="auto"/>
              </w:rPr>
              <w:t>3</w:t>
            </w:r>
          </w:p>
        </w:tc>
        <w:tc>
          <w:tcPr>
            <w:tcW w:w="454" w:type="dxa"/>
            <w:tcBorders>
              <w:left w:val="single" w:color="000000" w:sz="4" w:space="0"/>
              <w:right w:val="single" w:color="000000" w:sz="4" w:space="0"/>
            </w:tcBorders>
            <w:vAlign w:val="center"/>
          </w:tcPr>
          <w:p w14:paraId="6789D11E">
            <w:pPr>
              <w:spacing w:line="320" w:lineRule="exact"/>
              <w:jc w:val="center"/>
              <w:rPr>
                <w:rFonts w:ascii="宋体" w:hAnsi="宋体" w:eastAsia="宋体" w:cs="Times New Roman"/>
                <w:color w:val="auto"/>
              </w:rPr>
            </w:pPr>
            <w:r>
              <w:rPr>
                <w:rFonts w:ascii="宋体" w:hAnsi="宋体" w:eastAsia="宋体" w:cs="Times New Roman"/>
                <w:color w:val="auto"/>
              </w:rPr>
              <w:t>3.3</w:t>
            </w:r>
          </w:p>
        </w:tc>
        <w:tc>
          <w:tcPr>
            <w:tcW w:w="325" w:type="dxa"/>
            <w:tcBorders>
              <w:left w:val="single" w:color="000000" w:sz="4" w:space="0"/>
              <w:right w:val="single" w:color="000000" w:sz="4" w:space="0"/>
            </w:tcBorders>
            <w:vAlign w:val="center"/>
          </w:tcPr>
          <w:p w14:paraId="2D286775">
            <w:pPr>
              <w:spacing w:line="320" w:lineRule="exact"/>
              <w:jc w:val="center"/>
              <w:rPr>
                <w:rFonts w:ascii="宋体" w:hAnsi="宋体" w:eastAsia="宋体" w:cs="Times New Roman"/>
                <w:color w:val="auto"/>
              </w:rPr>
            </w:pPr>
            <w:r>
              <w:rPr>
                <w:rFonts w:ascii="宋体" w:hAnsi="宋体" w:eastAsia="宋体" w:cs="Times New Roman"/>
                <w:color w:val="auto"/>
              </w:rPr>
              <w:t>3.5</w:t>
            </w:r>
          </w:p>
        </w:tc>
        <w:tc>
          <w:tcPr>
            <w:tcW w:w="440" w:type="dxa"/>
            <w:tcBorders>
              <w:left w:val="single" w:color="000000" w:sz="4" w:space="0"/>
              <w:right w:val="single" w:color="000000" w:sz="4" w:space="0"/>
            </w:tcBorders>
            <w:vAlign w:val="center"/>
          </w:tcPr>
          <w:p w14:paraId="0215BB24">
            <w:pPr>
              <w:spacing w:line="320" w:lineRule="exact"/>
              <w:jc w:val="center"/>
              <w:rPr>
                <w:rFonts w:ascii="宋体" w:hAnsi="宋体" w:eastAsia="宋体" w:cs="Times New Roman"/>
                <w:color w:val="auto"/>
              </w:rPr>
            </w:pPr>
            <w:r>
              <w:rPr>
                <w:rFonts w:ascii="宋体" w:hAnsi="宋体" w:eastAsia="宋体" w:cs="Times New Roman"/>
                <w:color w:val="auto"/>
              </w:rPr>
              <w:t>4.1</w:t>
            </w:r>
          </w:p>
        </w:tc>
        <w:tc>
          <w:tcPr>
            <w:tcW w:w="447" w:type="dxa"/>
            <w:tcBorders>
              <w:left w:val="single" w:color="000000" w:sz="4" w:space="0"/>
              <w:right w:val="single" w:color="000000" w:sz="4" w:space="0"/>
            </w:tcBorders>
            <w:vAlign w:val="center"/>
          </w:tcPr>
          <w:p w14:paraId="16B8FA12">
            <w:pPr>
              <w:spacing w:line="320" w:lineRule="exact"/>
              <w:jc w:val="center"/>
              <w:rPr>
                <w:rFonts w:ascii="宋体" w:hAnsi="宋体" w:eastAsia="宋体" w:cs="Times New Roman"/>
                <w:color w:val="auto"/>
              </w:rPr>
            </w:pPr>
            <w:r>
              <w:rPr>
                <w:rFonts w:ascii="宋体" w:hAnsi="宋体" w:eastAsia="宋体" w:cs="Times New Roman"/>
                <w:color w:val="auto"/>
              </w:rPr>
              <w:t>8</w:t>
            </w:r>
          </w:p>
        </w:tc>
        <w:tc>
          <w:tcPr>
            <w:tcW w:w="522" w:type="dxa"/>
            <w:tcBorders>
              <w:left w:val="single" w:color="000000" w:sz="4" w:space="0"/>
              <w:right w:val="single" w:color="000000" w:sz="4" w:space="0"/>
            </w:tcBorders>
            <w:vAlign w:val="center"/>
          </w:tcPr>
          <w:p w14:paraId="515E3B8A">
            <w:pPr>
              <w:spacing w:line="320" w:lineRule="exact"/>
              <w:jc w:val="center"/>
              <w:rPr>
                <w:rFonts w:ascii="宋体" w:hAnsi="宋体" w:eastAsia="宋体" w:cs="Times New Roman"/>
                <w:color w:val="auto"/>
              </w:rPr>
            </w:pPr>
            <w:r>
              <w:rPr>
                <w:rFonts w:ascii="宋体" w:hAnsi="宋体" w:eastAsia="宋体" w:cs="Times New Roman"/>
                <w:color w:val="auto"/>
              </w:rPr>
              <w:t>9.1</w:t>
            </w:r>
          </w:p>
        </w:tc>
        <w:tc>
          <w:tcPr>
            <w:tcW w:w="385" w:type="dxa"/>
            <w:tcBorders>
              <w:left w:val="single" w:color="000000" w:sz="4" w:space="0"/>
              <w:right w:val="single" w:color="000000" w:sz="4" w:space="0"/>
            </w:tcBorders>
            <w:vAlign w:val="center"/>
          </w:tcPr>
          <w:p w14:paraId="271EF40D">
            <w:pPr>
              <w:spacing w:line="320" w:lineRule="exact"/>
              <w:jc w:val="center"/>
              <w:rPr>
                <w:rFonts w:ascii="宋体" w:hAnsi="宋体" w:eastAsia="宋体" w:cs="Times New Roman"/>
                <w:color w:val="auto"/>
              </w:rPr>
            </w:pPr>
            <w:r>
              <w:rPr>
                <w:rFonts w:ascii="宋体" w:hAnsi="宋体" w:eastAsia="宋体" w:cs="Times New Roman"/>
                <w:color w:val="auto"/>
              </w:rPr>
              <w:t>6.6</w:t>
            </w:r>
          </w:p>
        </w:tc>
        <w:tc>
          <w:tcPr>
            <w:tcW w:w="617" w:type="dxa"/>
            <w:tcBorders>
              <w:left w:val="single" w:color="000000" w:sz="4" w:space="0"/>
              <w:right w:val="single" w:color="000000" w:sz="4" w:space="0"/>
            </w:tcBorders>
            <w:vAlign w:val="center"/>
          </w:tcPr>
          <w:p w14:paraId="6985652C">
            <w:pPr>
              <w:spacing w:line="320" w:lineRule="exact"/>
              <w:jc w:val="center"/>
              <w:rPr>
                <w:rFonts w:ascii="宋体" w:hAnsi="宋体" w:eastAsia="宋体" w:cs="Times New Roman"/>
                <w:color w:val="auto"/>
              </w:rPr>
            </w:pPr>
            <w:r>
              <w:rPr>
                <w:rFonts w:ascii="宋体" w:hAnsi="宋体" w:eastAsia="宋体" w:cs="Times New Roman"/>
                <w:color w:val="auto"/>
              </w:rPr>
              <w:t>8.8</w:t>
            </w:r>
          </w:p>
        </w:tc>
        <w:tc>
          <w:tcPr>
            <w:tcW w:w="325" w:type="dxa"/>
            <w:tcBorders>
              <w:left w:val="single" w:color="000000" w:sz="4" w:space="0"/>
              <w:right w:val="single" w:color="000000" w:sz="4" w:space="0"/>
            </w:tcBorders>
            <w:vAlign w:val="center"/>
          </w:tcPr>
          <w:p w14:paraId="3D8729A4">
            <w:pPr>
              <w:spacing w:line="320" w:lineRule="exact"/>
              <w:jc w:val="center"/>
              <w:rPr>
                <w:rFonts w:ascii="宋体" w:hAnsi="宋体" w:eastAsia="宋体" w:cs="Times New Roman"/>
                <w:color w:val="auto"/>
              </w:rPr>
            </w:pPr>
            <w:r>
              <w:rPr>
                <w:rFonts w:ascii="宋体" w:hAnsi="宋体" w:eastAsia="宋体" w:cs="Times New Roman"/>
                <w:color w:val="auto"/>
              </w:rPr>
              <w:t>6.8</w:t>
            </w:r>
          </w:p>
        </w:tc>
        <w:tc>
          <w:tcPr>
            <w:tcW w:w="659" w:type="dxa"/>
            <w:tcBorders>
              <w:left w:val="single" w:color="000000" w:sz="4" w:space="0"/>
              <w:right w:val="single" w:color="000000" w:sz="4" w:space="0"/>
            </w:tcBorders>
            <w:vAlign w:val="center"/>
          </w:tcPr>
          <w:p w14:paraId="05555E8F">
            <w:pPr>
              <w:spacing w:line="320" w:lineRule="exact"/>
              <w:jc w:val="center"/>
              <w:rPr>
                <w:rFonts w:ascii="宋体" w:hAnsi="宋体" w:eastAsia="宋体" w:cs="Times New Roman"/>
                <w:color w:val="auto"/>
              </w:rPr>
            </w:pPr>
            <w:r>
              <w:rPr>
                <w:rFonts w:ascii="宋体" w:hAnsi="宋体" w:eastAsia="宋体" w:cs="Times New Roman"/>
                <w:color w:val="auto"/>
              </w:rPr>
              <w:t>7.4</w:t>
            </w:r>
          </w:p>
        </w:tc>
        <w:tc>
          <w:tcPr>
            <w:tcW w:w="447" w:type="dxa"/>
            <w:tcBorders>
              <w:left w:val="single" w:color="000000" w:sz="4" w:space="0"/>
              <w:right w:val="single" w:color="000000" w:sz="4" w:space="0"/>
            </w:tcBorders>
            <w:vAlign w:val="center"/>
          </w:tcPr>
          <w:p w14:paraId="37194F98">
            <w:pPr>
              <w:spacing w:line="320" w:lineRule="exact"/>
              <w:jc w:val="center"/>
              <w:rPr>
                <w:rFonts w:ascii="宋体" w:hAnsi="宋体" w:eastAsia="宋体" w:cs="Times New Roman"/>
                <w:color w:val="auto"/>
              </w:rPr>
            </w:pPr>
            <w:r>
              <w:rPr>
                <w:rFonts w:ascii="宋体" w:hAnsi="宋体" w:eastAsia="宋体" w:cs="Times New Roman"/>
                <w:color w:val="auto"/>
              </w:rPr>
              <w:t>7.6</w:t>
            </w:r>
          </w:p>
        </w:tc>
        <w:tc>
          <w:tcPr>
            <w:tcW w:w="603" w:type="dxa"/>
            <w:tcBorders>
              <w:left w:val="single" w:color="000000" w:sz="4" w:space="0"/>
              <w:right w:val="single" w:color="000000" w:sz="4" w:space="0"/>
            </w:tcBorders>
            <w:vAlign w:val="center"/>
          </w:tcPr>
          <w:p w14:paraId="610F442C">
            <w:pPr>
              <w:spacing w:line="320" w:lineRule="exact"/>
              <w:jc w:val="center"/>
              <w:rPr>
                <w:rFonts w:ascii="宋体" w:hAnsi="宋体" w:eastAsia="宋体" w:cs="Times New Roman"/>
                <w:color w:val="auto"/>
              </w:rPr>
            </w:pPr>
            <w:r>
              <w:rPr>
                <w:rFonts w:ascii="宋体" w:hAnsi="宋体" w:eastAsia="宋体" w:cs="Times New Roman"/>
                <w:color w:val="auto"/>
              </w:rPr>
              <w:t>7.1</w:t>
            </w:r>
          </w:p>
        </w:tc>
        <w:tc>
          <w:tcPr>
            <w:tcW w:w="347" w:type="dxa"/>
            <w:tcBorders>
              <w:left w:val="single" w:color="000000" w:sz="4" w:space="0"/>
              <w:right w:val="single" w:color="000000" w:sz="10" w:space="0"/>
            </w:tcBorders>
            <w:vAlign w:val="center"/>
          </w:tcPr>
          <w:p w14:paraId="21B7308A">
            <w:pPr>
              <w:spacing w:line="320" w:lineRule="exact"/>
              <w:jc w:val="center"/>
              <w:rPr>
                <w:rFonts w:ascii="宋体" w:hAnsi="宋体" w:eastAsia="宋体" w:cs="Times New Roman"/>
                <w:color w:val="auto"/>
              </w:rPr>
            </w:pPr>
            <w:r>
              <w:rPr>
                <w:rFonts w:ascii="宋体" w:hAnsi="宋体" w:eastAsia="宋体" w:cs="Times New Roman"/>
                <w:color w:val="auto"/>
              </w:rPr>
              <w:t>3.7</w:t>
            </w:r>
          </w:p>
        </w:tc>
      </w:tr>
      <w:tr w14:paraId="08608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76502CE7">
            <w:pPr>
              <w:spacing w:line="320" w:lineRule="exact"/>
              <w:jc w:val="center"/>
              <w:rPr>
                <w:rFonts w:ascii="宋体" w:hAnsi="宋体" w:eastAsia="宋体" w:cs="Times New Roman"/>
                <w:color w:val="auto"/>
              </w:rPr>
            </w:pPr>
            <w:r>
              <w:rPr>
                <w:rFonts w:ascii="宋体" w:hAnsi="宋体" w:eastAsia="宋体" w:cs="Times New Roman"/>
                <w:color w:val="auto"/>
              </w:rPr>
              <w:t>05</w:t>
            </w:r>
          </w:p>
        </w:tc>
        <w:tc>
          <w:tcPr>
            <w:tcW w:w="325" w:type="dxa"/>
            <w:tcBorders>
              <w:left w:val="single" w:color="000000" w:sz="4" w:space="0"/>
              <w:right w:val="single" w:color="000000" w:sz="4" w:space="0"/>
            </w:tcBorders>
            <w:vAlign w:val="center"/>
          </w:tcPr>
          <w:p w14:paraId="7CD79DB7">
            <w:pPr>
              <w:spacing w:line="320" w:lineRule="exact"/>
              <w:jc w:val="center"/>
              <w:rPr>
                <w:rFonts w:ascii="宋体" w:hAnsi="宋体" w:eastAsia="宋体" w:cs="Times New Roman"/>
                <w:color w:val="auto"/>
              </w:rPr>
            </w:pPr>
            <w:r>
              <w:rPr>
                <w:rFonts w:ascii="宋体" w:hAnsi="宋体" w:eastAsia="宋体" w:cs="Times New Roman"/>
                <w:color w:val="auto"/>
              </w:rPr>
              <w:t>6</w:t>
            </w:r>
          </w:p>
        </w:tc>
        <w:tc>
          <w:tcPr>
            <w:tcW w:w="522" w:type="dxa"/>
            <w:tcBorders>
              <w:left w:val="single" w:color="000000" w:sz="4" w:space="0"/>
              <w:right w:val="single" w:color="000000" w:sz="4" w:space="0"/>
            </w:tcBorders>
            <w:vAlign w:val="center"/>
          </w:tcPr>
          <w:p w14:paraId="76CA62CC">
            <w:pPr>
              <w:spacing w:line="320" w:lineRule="exact"/>
              <w:jc w:val="center"/>
              <w:rPr>
                <w:rFonts w:ascii="宋体" w:hAnsi="宋体" w:eastAsia="宋体" w:cs="Times New Roman"/>
                <w:color w:val="auto"/>
              </w:rPr>
            </w:pPr>
            <w:r>
              <w:rPr>
                <w:rFonts w:ascii="宋体" w:hAnsi="宋体" w:eastAsia="宋体" w:cs="Times New Roman"/>
                <w:color w:val="auto"/>
              </w:rPr>
              <w:t>5.5</w:t>
            </w:r>
          </w:p>
        </w:tc>
        <w:tc>
          <w:tcPr>
            <w:tcW w:w="345" w:type="dxa"/>
            <w:tcBorders>
              <w:left w:val="single" w:color="000000" w:sz="4" w:space="0"/>
              <w:right w:val="single" w:color="000000" w:sz="4" w:space="0"/>
            </w:tcBorders>
            <w:vAlign w:val="center"/>
          </w:tcPr>
          <w:p w14:paraId="4D3D2CE9">
            <w:pPr>
              <w:spacing w:line="320" w:lineRule="exact"/>
              <w:jc w:val="center"/>
              <w:rPr>
                <w:rFonts w:ascii="宋体" w:hAnsi="宋体" w:eastAsia="宋体" w:cs="Times New Roman"/>
                <w:color w:val="auto"/>
              </w:rPr>
            </w:pPr>
            <w:r>
              <w:rPr>
                <w:rFonts w:ascii="宋体" w:hAnsi="宋体" w:eastAsia="宋体" w:cs="Times New Roman"/>
                <w:color w:val="auto"/>
              </w:rPr>
              <w:t>5.1</w:t>
            </w:r>
          </w:p>
        </w:tc>
        <w:tc>
          <w:tcPr>
            <w:tcW w:w="496" w:type="dxa"/>
            <w:tcBorders>
              <w:left w:val="single" w:color="000000" w:sz="4" w:space="0"/>
              <w:right w:val="single" w:color="000000" w:sz="4" w:space="0"/>
            </w:tcBorders>
            <w:vAlign w:val="center"/>
          </w:tcPr>
          <w:p w14:paraId="3EF0C9C6">
            <w:pPr>
              <w:spacing w:line="320" w:lineRule="exact"/>
              <w:jc w:val="center"/>
              <w:rPr>
                <w:rFonts w:ascii="宋体" w:hAnsi="宋体" w:eastAsia="宋体" w:cs="Times New Roman"/>
                <w:color w:val="auto"/>
              </w:rPr>
            </w:pPr>
            <w:r>
              <w:rPr>
                <w:rFonts w:ascii="宋体" w:hAnsi="宋体" w:eastAsia="宋体" w:cs="Times New Roman"/>
                <w:color w:val="auto"/>
              </w:rPr>
              <w:t>5.2</w:t>
            </w:r>
          </w:p>
        </w:tc>
        <w:tc>
          <w:tcPr>
            <w:tcW w:w="325" w:type="dxa"/>
            <w:tcBorders>
              <w:left w:val="single" w:color="000000" w:sz="4" w:space="0"/>
              <w:right w:val="single" w:color="000000" w:sz="4" w:space="0"/>
            </w:tcBorders>
            <w:vAlign w:val="center"/>
          </w:tcPr>
          <w:p w14:paraId="367996AF">
            <w:pPr>
              <w:spacing w:line="320" w:lineRule="exact"/>
              <w:jc w:val="center"/>
              <w:rPr>
                <w:rFonts w:ascii="宋体" w:hAnsi="宋体" w:eastAsia="宋体" w:cs="Times New Roman"/>
                <w:color w:val="auto"/>
              </w:rPr>
            </w:pPr>
            <w:r>
              <w:rPr>
                <w:rFonts w:ascii="宋体" w:hAnsi="宋体" w:eastAsia="宋体" w:cs="Times New Roman"/>
                <w:color w:val="auto"/>
              </w:rPr>
              <w:t>4.6</w:t>
            </w:r>
          </w:p>
        </w:tc>
        <w:tc>
          <w:tcPr>
            <w:tcW w:w="454" w:type="dxa"/>
            <w:tcBorders>
              <w:left w:val="single" w:color="000000" w:sz="4" w:space="0"/>
              <w:right w:val="single" w:color="000000" w:sz="4" w:space="0"/>
            </w:tcBorders>
            <w:vAlign w:val="center"/>
          </w:tcPr>
          <w:p w14:paraId="719684AC">
            <w:pPr>
              <w:spacing w:line="320" w:lineRule="exact"/>
              <w:jc w:val="center"/>
              <w:rPr>
                <w:rFonts w:ascii="宋体" w:hAnsi="宋体" w:eastAsia="宋体" w:cs="Times New Roman"/>
                <w:color w:val="auto"/>
              </w:rPr>
            </w:pPr>
            <w:r>
              <w:rPr>
                <w:rFonts w:ascii="宋体" w:hAnsi="宋体" w:eastAsia="宋体" w:cs="Times New Roman"/>
                <w:color w:val="auto"/>
              </w:rPr>
              <w:t>4</w:t>
            </w:r>
          </w:p>
        </w:tc>
        <w:tc>
          <w:tcPr>
            <w:tcW w:w="325" w:type="dxa"/>
            <w:tcBorders>
              <w:left w:val="single" w:color="000000" w:sz="4" w:space="0"/>
              <w:right w:val="single" w:color="000000" w:sz="4" w:space="0"/>
            </w:tcBorders>
            <w:vAlign w:val="center"/>
          </w:tcPr>
          <w:p w14:paraId="366CB72A">
            <w:pPr>
              <w:spacing w:line="320" w:lineRule="exact"/>
              <w:jc w:val="center"/>
              <w:rPr>
                <w:rFonts w:ascii="宋体" w:hAnsi="宋体" w:eastAsia="宋体" w:cs="Times New Roman"/>
                <w:color w:val="auto"/>
              </w:rPr>
            </w:pPr>
            <w:r>
              <w:rPr>
                <w:rFonts w:ascii="宋体" w:hAnsi="宋体" w:eastAsia="宋体" w:cs="Times New Roman"/>
                <w:color w:val="auto"/>
              </w:rPr>
              <w:t>4.9</w:t>
            </w:r>
          </w:p>
        </w:tc>
        <w:tc>
          <w:tcPr>
            <w:tcW w:w="440" w:type="dxa"/>
            <w:tcBorders>
              <w:left w:val="single" w:color="000000" w:sz="4" w:space="0"/>
              <w:right w:val="single" w:color="000000" w:sz="4" w:space="0"/>
            </w:tcBorders>
            <w:vAlign w:val="center"/>
          </w:tcPr>
          <w:p w14:paraId="03BBA9B1">
            <w:pPr>
              <w:spacing w:line="320" w:lineRule="exact"/>
              <w:jc w:val="center"/>
              <w:rPr>
                <w:rFonts w:ascii="宋体" w:hAnsi="宋体" w:eastAsia="宋体" w:cs="Times New Roman"/>
                <w:color w:val="auto"/>
              </w:rPr>
            </w:pPr>
            <w:r>
              <w:rPr>
                <w:rFonts w:ascii="宋体" w:hAnsi="宋体" w:eastAsia="宋体" w:cs="Times New Roman"/>
                <w:color w:val="auto"/>
              </w:rPr>
              <w:t>5.4</w:t>
            </w:r>
          </w:p>
        </w:tc>
        <w:tc>
          <w:tcPr>
            <w:tcW w:w="447" w:type="dxa"/>
            <w:tcBorders>
              <w:left w:val="single" w:color="000000" w:sz="4" w:space="0"/>
              <w:right w:val="single" w:color="000000" w:sz="4" w:space="0"/>
            </w:tcBorders>
            <w:vAlign w:val="center"/>
          </w:tcPr>
          <w:p w14:paraId="5169A033">
            <w:pPr>
              <w:spacing w:line="320" w:lineRule="exact"/>
              <w:jc w:val="center"/>
              <w:rPr>
                <w:rFonts w:ascii="宋体" w:hAnsi="宋体" w:eastAsia="宋体" w:cs="Times New Roman"/>
                <w:color w:val="auto"/>
              </w:rPr>
            </w:pPr>
            <w:r>
              <w:rPr>
                <w:rFonts w:ascii="宋体" w:hAnsi="宋体" w:eastAsia="宋体" w:cs="Times New Roman"/>
                <w:color w:val="auto"/>
              </w:rPr>
              <w:t>9.8</w:t>
            </w:r>
          </w:p>
        </w:tc>
        <w:tc>
          <w:tcPr>
            <w:tcW w:w="522" w:type="dxa"/>
            <w:tcBorders>
              <w:left w:val="single" w:color="000000" w:sz="4" w:space="0"/>
              <w:right w:val="single" w:color="000000" w:sz="4" w:space="0"/>
            </w:tcBorders>
            <w:vAlign w:val="center"/>
          </w:tcPr>
          <w:p w14:paraId="5C33A782">
            <w:pPr>
              <w:spacing w:line="320" w:lineRule="exact"/>
              <w:jc w:val="center"/>
              <w:rPr>
                <w:rFonts w:ascii="宋体" w:hAnsi="宋体" w:eastAsia="宋体" w:cs="Times New Roman"/>
                <w:color w:val="auto"/>
              </w:rPr>
            </w:pPr>
            <w:r>
              <w:rPr>
                <w:rFonts w:ascii="宋体" w:hAnsi="宋体" w:eastAsia="宋体" w:cs="Times New Roman"/>
                <w:color w:val="auto"/>
              </w:rPr>
              <w:t>11.2</w:t>
            </w:r>
          </w:p>
        </w:tc>
        <w:tc>
          <w:tcPr>
            <w:tcW w:w="385" w:type="dxa"/>
            <w:tcBorders>
              <w:left w:val="single" w:color="000000" w:sz="4" w:space="0"/>
              <w:right w:val="single" w:color="000000" w:sz="4" w:space="0"/>
            </w:tcBorders>
            <w:vAlign w:val="center"/>
          </w:tcPr>
          <w:p w14:paraId="44ADFE0B">
            <w:pPr>
              <w:spacing w:line="320" w:lineRule="exact"/>
              <w:jc w:val="center"/>
              <w:rPr>
                <w:rFonts w:ascii="宋体" w:hAnsi="宋体" w:eastAsia="宋体" w:cs="Times New Roman"/>
                <w:color w:val="auto"/>
              </w:rPr>
            </w:pPr>
            <w:r>
              <w:rPr>
                <w:rFonts w:ascii="宋体" w:hAnsi="宋体" w:eastAsia="宋体" w:cs="Times New Roman"/>
                <w:color w:val="auto"/>
              </w:rPr>
              <w:t>6.7</w:t>
            </w:r>
          </w:p>
        </w:tc>
        <w:tc>
          <w:tcPr>
            <w:tcW w:w="617" w:type="dxa"/>
            <w:tcBorders>
              <w:left w:val="single" w:color="000000" w:sz="4" w:space="0"/>
              <w:right w:val="single" w:color="000000" w:sz="4" w:space="0"/>
            </w:tcBorders>
            <w:vAlign w:val="center"/>
          </w:tcPr>
          <w:p w14:paraId="61F7C156">
            <w:pPr>
              <w:spacing w:line="320" w:lineRule="exact"/>
              <w:jc w:val="center"/>
              <w:rPr>
                <w:rFonts w:ascii="宋体" w:hAnsi="宋体" w:eastAsia="宋体" w:cs="Times New Roman"/>
                <w:color w:val="auto"/>
              </w:rPr>
            </w:pPr>
            <w:r>
              <w:rPr>
                <w:rFonts w:ascii="宋体" w:hAnsi="宋体" w:eastAsia="宋体" w:cs="Times New Roman"/>
                <w:color w:val="auto"/>
              </w:rPr>
              <w:t>7.6</w:t>
            </w:r>
          </w:p>
        </w:tc>
        <w:tc>
          <w:tcPr>
            <w:tcW w:w="325" w:type="dxa"/>
            <w:tcBorders>
              <w:left w:val="single" w:color="000000" w:sz="4" w:space="0"/>
              <w:right w:val="single" w:color="000000" w:sz="4" w:space="0"/>
            </w:tcBorders>
            <w:vAlign w:val="center"/>
          </w:tcPr>
          <w:p w14:paraId="78C0FC2C">
            <w:pPr>
              <w:spacing w:line="320" w:lineRule="exact"/>
              <w:jc w:val="center"/>
              <w:rPr>
                <w:rFonts w:ascii="宋体" w:hAnsi="宋体" w:eastAsia="宋体" w:cs="Times New Roman"/>
                <w:color w:val="auto"/>
              </w:rPr>
            </w:pPr>
            <w:r>
              <w:rPr>
                <w:rFonts w:ascii="宋体" w:hAnsi="宋体" w:eastAsia="宋体" w:cs="Times New Roman"/>
                <w:color w:val="auto"/>
              </w:rPr>
              <w:t>7</w:t>
            </w:r>
          </w:p>
        </w:tc>
        <w:tc>
          <w:tcPr>
            <w:tcW w:w="659" w:type="dxa"/>
            <w:tcBorders>
              <w:left w:val="single" w:color="000000" w:sz="4" w:space="0"/>
              <w:right w:val="single" w:color="000000" w:sz="4" w:space="0"/>
            </w:tcBorders>
            <w:vAlign w:val="center"/>
          </w:tcPr>
          <w:p w14:paraId="1E970E76">
            <w:pPr>
              <w:spacing w:line="320" w:lineRule="exact"/>
              <w:jc w:val="center"/>
              <w:rPr>
                <w:rFonts w:ascii="宋体" w:hAnsi="宋体" w:eastAsia="宋体" w:cs="Times New Roman"/>
                <w:color w:val="auto"/>
              </w:rPr>
            </w:pPr>
            <w:r>
              <w:rPr>
                <w:rFonts w:ascii="宋体" w:hAnsi="宋体" w:eastAsia="宋体" w:cs="Times New Roman"/>
                <w:color w:val="auto"/>
              </w:rPr>
              <w:t>6.5</w:t>
            </w:r>
          </w:p>
        </w:tc>
        <w:tc>
          <w:tcPr>
            <w:tcW w:w="447" w:type="dxa"/>
            <w:tcBorders>
              <w:left w:val="single" w:color="000000" w:sz="4" w:space="0"/>
              <w:right w:val="single" w:color="000000" w:sz="4" w:space="0"/>
            </w:tcBorders>
            <w:vAlign w:val="center"/>
          </w:tcPr>
          <w:p w14:paraId="24127CB1">
            <w:pPr>
              <w:spacing w:line="320" w:lineRule="exact"/>
              <w:jc w:val="center"/>
              <w:rPr>
                <w:rFonts w:ascii="宋体" w:hAnsi="宋体" w:eastAsia="宋体" w:cs="Times New Roman"/>
                <w:color w:val="auto"/>
              </w:rPr>
            </w:pPr>
            <w:r>
              <w:rPr>
                <w:rFonts w:ascii="宋体" w:hAnsi="宋体" w:eastAsia="宋体" w:cs="Times New Roman"/>
                <w:color w:val="auto"/>
              </w:rPr>
              <w:t>4.9</w:t>
            </w:r>
          </w:p>
        </w:tc>
        <w:tc>
          <w:tcPr>
            <w:tcW w:w="603" w:type="dxa"/>
            <w:tcBorders>
              <w:left w:val="single" w:color="000000" w:sz="4" w:space="0"/>
              <w:right w:val="single" w:color="000000" w:sz="4" w:space="0"/>
            </w:tcBorders>
            <w:vAlign w:val="center"/>
          </w:tcPr>
          <w:p w14:paraId="74465223">
            <w:pPr>
              <w:spacing w:line="320" w:lineRule="exact"/>
              <w:jc w:val="center"/>
              <w:rPr>
                <w:rFonts w:ascii="宋体" w:hAnsi="宋体" w:eastAsia="宋体" w:cs="Times New Roman"/>
                <w:color w:val="auto"/>
              </w:rPr>
            </w:pPr>
            <w:r>
              <w:rPr>
                <w:rFonts w:ascii="宋体" w:hAnsi="宋体" w:eastAsia="宋体" w:cs="Times New Roman"/>
                <w:color w:val="auto"/>
              </w:rPr>
              <w:t>5.1</w:t>
            </w:r>
          </w:p>
        </w:tc>
        <w:tc>
          <w:tcPr>
            <w:tcW w:w="347" w:type="dxa"/>
            <w:tcBorders>
              <w:left w:val="single" w:color="000000" w:sz="4" w:space="0"/>
              <w:right w:val="single" w:color="000000" w:sz="10" w:space="0"/>
            </w:tcBorders>
            <w:vAlign w:val="center"/>
          </w:tcPr>
          <w:p w14:paraId="48C9FFA0">
            <w:pPr>
              <w:spacing w:line="320" w:lineRule="exact"/>
              <w:jc w:val="center"/>
              <w:rPr>
                <w:rFonts w:ascii="宋体" w:hAnsi="宋体" w:eastAsia="宋体" w:cs="Times New Roman"/>
                <w:color w:val="auto"/>
              </w:rPr>
            </w:pPr>
            <w:r>
              <w:rPr>
                <w:rFonts w:ascii="宋体" w:hAnsi="宋体" w:eastAsia="宋体" w:cs="Times New Roman"/>
                <w:color w:val="auto"/>
              </w:rPr>
              <w:t>4.4</w:t>
            </w:r>
          </w:p>
        </w:tc>
      </w:tr>
      <w:tr w14:paraId="74C0A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7947A1D0">
            <w:pPr>
              <w:spacing w:line="320" w:lineRule="exact"/>
              <w:jc w:val="center"/>
              <w:rPr>
                <w:rFonts w:ascii="宋体" w:hAnsi="宋体" w:eastAsia="宋体" w:cs="Times New Roman"/>
                <w:color w:val="auto"/>
              </w:rPr>
            </w:pPr>
            <w:r>
              <w:rPr>
                <w:rFonts w:ascii="宋体" w:hAnsi="宋体" w:eastAsia="宋体" w:cs="Times New Roman"/>
                <w:color w:val="auto"/>
              </w:rPr>
              <w:t>06</w:t>
            </w:r>
          </w:p>
        </w:tc>
        <w:tc>
          <w:tcPr>
            <w:tcW w:w="325" w:type="dxa"/>
            <w:tcBorders>
              <w:left w:val="single" w:color="000000" w:sz="4" w:space="0"/>
              <w:right w:val="single" w:color="000000" w:sz="4" w:space="0"/>
            </w:tcBorders>
            <w:vAlign w:val="center"/>
          </w:tcPr>
          <w:p w14:paraId="4C1790F0">
            <w:pPr>
              <w:spacing w:line="320" w:lineRule="exact"/>
              <w:jc w:val="center"/>
              <w:rPr>
                <w:rFonts w:ascii="宋体" w:hAnsi="宋体" w:eastAsia="宋体" w:cs="Times New Roman"/>
                <w:color w:val="auto"/>
              </w:rPr>
            </w:pPr>
            <w:r>
              <w:rPr>
                <w:rFonts w:ascii="宋体" w:hAnsi="宋体" w:eastAsia="宋体" w:cs="Times New Roman"/>
                <w:color w:val="auto"/>
              </w:rPr>
              <w:t>5.5</w:t>
            </w:r>
          </w:p>
        </w:tc>
        <w:tc>
          <w:tcPr>
            <w:tcW w:w="522" w:type="dxa"/>
            <w:tcBorders>
              <w:left w:val="single" w:color="000000" w:sz="4" w:space="0"/>
              <w:right w:val="single" w:color="000000" w:sz="4" w:space="0"/>
            </w:tcBorders>
            <w:vAlign w:val="center"/>
          </w:tcPr>
          <w:p w14:paraId="3F202213">
            <w:pPr>
              <w:spacing w:line="320" w:lineRule="exact"/>
              <w:jc w:val="center"/>
              <w:rPr>
                <w:rFonts w:ascii="宋体" w:hAnsi="宋体" w:eastAsia="宋体" w:cs="Times New Roman"/>
                <w:color w:val="auto"/>
              </w:rPr>
            </w:pPr>
            <w:r>
              <w:rPr>
                <w:rFonts w:ascii="宋体" w:hAnsi="宋体" w:eastAsia="宋体" w:cs="Times New Roman"/>
                <w:color w:val="auto"/>
              </w:rPr>
              <w:t>6.1</w:t>
            </w:r>
          </w:p>
        </w:tc>
        <w:tc>
          <w:tcPr>
            <w:tcW w:w="345" w:type="dxa"/>
            <w:tcBorders>
              <w:left w:val="single" w:color="000000" w:sz="4" w:space="0"/>
              <w:right w:val="single" w:color="000000" w:sz="4" w:space="0"/>
            </w:tcBorders>
            <w:vAlign w:val="center"/>
          </w:tcPr>
          <w:p w14:paraId="4EC81967">
            <w:pPr>
              <w:spacing w:line="320" w:lineRule="exact"/>
              <w:jc w:val="center"/>
              <w:rPr>
                <w:rFonts w:ascii="宋体" w:hAnsi="宋体" w:eastAsia="宋体" w:cs="Times New Roman"/>
                <w:color w:val="auto"/>
              </w:rPr>
            </w:pPr>
            <w:r>
              <w:rPr>
                <w:rFonts w:ascii="宋体" w:hAnsi="宋体" w:eastAsia="宋体" w:cs="Times New Roman"/>
                <w:color w:val="auto"/>
              </w:rPr>
              <w:t>5.4</w:t>
            </w:r>
          </w:p>
        </w:tc>
        <w:tc>
          <w:tcPr>
            <w:tcW w:w="496" w:type="dxa"/>
            <w:tcBorders>
              <w:left w:val="single" w:color="000000" w:sz="4" w:space="0"/>
              <w:right w:val="single" w:color="000000" w:sz="4" w:space="0"/>
            </w:tcBorders>
            <w:vAlign w:val="center"/>
          </w:tcPr>
          <w:p w14:paraId="6D8370D6">
            <w:pPr>
              <w:spacing w:line="320" w:lineRule="exact"/>
              <w:jc w:val="center"/>
              <w:rPr>
                <w:rFonts w:ascii="宋体" w:hAnsi="宋体" w:eastAsia="宋体" w:cs="Times New Roman"/>
                <w:color w:val="auto"/>
              </w:rPr>
            </w:pPr>
            <w:r>
              <w:rPr>
                <w:rFonts w:ascii="宋体" w:hAnsi="宋体" w:eastAsia="宋体" w:cs="Times New Roman"/>
                <w:color w:val="auto"/>
              </w:rPr>
              <w:t>6.9</w:t>
            </w:r>
          </w:p>
        </w:tc>
        <w:tc>
          <w:tcPr>
            <w:tcW w:w="325" w:type="dxa"/>
            <w:tcBorders>
              <w:left w:val="single" w:color="000000" w:sz="4" w:space="0"/>
              <w:right w:val="single" w:color="000000" w:sz="4" w:space="0"/>
            </w:tcBorders>
            <w:vAlign w:val="center"/>
          </w:tcPr>
          <w:p w14:paraId="668CBB93">
            <w:pPr>
              <w:spacing w:line="320" w:lineRule="exact"/>
              <w:jc w:val="center"/>
              <w:rPr>
                <w:rFonts w:ascii="宋体" w:hAnsi="宋体" w:eastAsia="宋体" w:cs="Times New Roman"/>
                <w:color w:val="auto"/>
              </w:rPr>
            </w:pPr>
            <w:r>
              <w:rPr>
                <w:rFonts w:ascii="宋体" w:hAnsi="宋体" w:eastAsia="宋体" w:cs="Times New Roman"/>
                <w:color w:val="auto"/>
              </w:rPr>
              <w:t>6.4</w:t>
            </w:r>
          </w:p>
        </w:tc>
        <w:tc>
          <w:tcPr>
            <w:tcW w:w="454" w:type="dxa"/>
            <w:tcBorders>
              <w:left w:val="single" w:color="000000" w:sz="4" w:space="0"/>
              <w:right w:val="single" w:color="000000" w:sz="4" w:space="0"/>
            </w:tcBorders>
            <w:vAlign w:val="center"/>
          </w:tcPr>
          <w:p w14:paraId="4004DDBB">
            <w:pPr>
              <w:spacing w:line="320" w:lineRule="exact"/>
              <w:jc w:val="center"/>
              <w:rPr>
                <w:rFonts w:ascii="宋体" w:hAnsi="宋体" w:eastAsia="宋体" w:cs="Times New Roman"/>
                <w:color w:val="auto"/>
              </w:rPr>
            </w:pPr>
            <w:r>
              <w:rPr>
                <w:rFonts w:ascii="宋体" w:hAnsi="宋体" w:eastAsia="宋体" w:cs="Times New Roman"/>
                <w:color w:val="auto"/>
              </w:rPr>
              <w:t>6.5</w:t>
            </w:r>
          </w:p>
        </w:tc>
        <w:tc>
          <w:tcPr>
            <w:tcW w:w="325" w:type="dxa"/>
            <w:tcBorders>
              <w:left w:val="single" w:color="000000" w:sz="4" w:space="0"/>
              <w:right w:val="single" w:color="000000" w:sz="4" w:space="0"/>
            </w:tcBorders>
            <w:vAlign w:val="center"/>
          </w:tcPr>
          <w:p w14:paraId="15BB14EB">
            <w:pPr>
              <w:spacing w:line="320" w:lineRule="exact"/>
              <w:jc w:val="center"/>
              <w:rPr>
                <w:rFonts w:ascii="宋体" w:hAnsi="宋体" w:eastAsia="宋体" w:cs="Times New Roman"/>
                <w:color w:val="auto"/>
              </w:rPr>
            </w:pPr>
            <w:r>
              <w:rPr>
                <w:rFonts w:ascii="宋体" w:hAnsi="宋体" w:eastAsia="宋体" w:cs="Times New Roman"/>
                <w:color w:val="auto"/>
              </w:rPr>
              <w:t>7.5</w:t>
            </w:r>
          </w:p>
        </w:tc>
        <w:tc>
          <w:tcPr>
            <w:tcW w:w="440" w:type="dxa"/>
            <w:tcBorders>
              <w:left w:val="single" w:color="000000" w:sz="4" w:space="0"/>
              <w:right w:val="single" w:color="000000" w:sz="4" w:space="0"/>
            </w:tcBorders>
            <w:vAlign w:val="center"/>
          </w:tcPr>
          <w:p w14:paraId="451E47DF">
            <w:pPr>
              <w:spacing w:line="320" w:lineRule="exact"/>
              <w:jc w:val="center"/>
              <w:rPr>
                <w:rFonts w:ascii="宋体" w:hAnsi="宋体" w:eastAsia="宋体" w:cs="Times New Roman"/>
                <w:color w:val="auto"/>
              </w:rPr>
            </w:pPr>
            <w:r>
              <w:rPr>
                <w:rFonts w:ascii="宋体" w:hAnsi="宋体" w:eastAsia="宋体" w:cs="Times New Roman"/>
                <w:color w:val="auto"/>
              </w:rPr>
              <w:t>6.1</w:t>
            </w:r>
          </w:p>
        </w:tc>
        <w:tc>
          <w:tcPr>
            <w:tcW w:w="447" w:type="dxa"/>
            <w:tcBorders>
              <w:left w:val="single" w:color="000000" w:sz="4" w:space="0"/>
              <w:right w:val="single" w:color="000000" w:sz="4" w:space="0"/>
            </w:tcBorders>
            <w:vAlign w:val="center"/>
          </w:tcPr>
          <w:p w14:paraId="35B8214F">
            <w:pPr>
              <w:spacing w:line="320" w:lineRule="exact"/>
              <w:jc w:val="center"/>
              <w:rPr>
                <w:rFonts w:ascii="宋体" w:hAnsi="宋体" w:eastAsia="宋体" w:cs="Times New Roman"/>
                <w:color w:val="auto"/>
              </w:rPr>
            </w:pPr>
            <w:r>
              <w:rPr>
                <w:rFonts w:ascii="宋体" w:hAnsi="宋体" w:eastAsia="宋体" w:cs="Times New Roman"/>
                <w:color w:val="auto"/>
              </w:rPr>
              <w:t>9.3</w:t>
            </w:r>
          </w:p>
        </w:tc>
        <w:tc>
          <w:tcPr>
            <w:tcW w:w="522" w:type="dxa"/>
            <w:tcBorders>
              <w:left w:val="single" w:color="000000" w:sz="4" w:space="0"/>
              <w:right w:val="single" w:color="000000" w:sz="4" w:space="0"/>
            </w:tcBorders>
            <w:vAlign w:val="center"/>
          </w:tcPr>
          <w:p w14:paraId="73E2B1BB">
            <w:pPr>
              <w:spacing w:line="320" w:lineRule="exact"/>
              <w:jc w:val="center"/>
              <w:rPr>
                <w:rFonts w:ascii="宋体" w:hAnsi="宋体" w:eastAsia="宋体" w:cs="Times New Roman"/>
                <w:color w:val="auto"/>
              </w:rPr>
            </w:pPr>
            <w:r>
              <w:rPr>
                <w:rFonts w:ascii="宋体" w:hAnsi="宋体" w:eastAsia="宋体" w:cs="Times New Roman"/>
                <w:color w:val="auto"/>
              </w:rPr>
              <w:t>7.9</w:t>
            </w:r>
          </w:p>
        </w:tc>
        <w:tc>
          <w:tcPr>
            <w:tcW w:w="385" w:type="dxa"/>
            <w:tcBorders>
              <w:left w:val="single" w:color="000000" w:sz="4" w:space="0"/>
              <w:right w:val="single" w:color="000000" w:sz="4" w:space="0"/>
            </w:tcBorders>
            <w:vAlign w:val="center"/>
          </w:tcPr>
          <w:p w14:paraId="5AC95190">
            <w:pPr>
              <w:spacing w:line="320" w:lineRule="exact"/>
              <w:jc w:val="center"/>
              <w:rPr>
                <w:rFonts w:ascii="宋体" w:hAnsi="宋体" w:eastAsia="宋体" w:cs="Times New Roman"/>
                <w:color w:val="auto"/>
              </w:rPr>
            </w:pPr>
            <w:r>
              <w:rPr>
                <w:rFonts w:ascii="宋体" w:hAnsi="宋体" w:eastAsia="宋体" w:cs="Times New Roman"/>
                <w:color w:val="auto"/>
              </w:rPr>
              <w:t>5.5</w:t>
            </w:r>
          </w:p>
        </w:tc>
        <w:tc>
          <w:tcPr>
            <w:tcW w:w="617" w:type="dxa"/>
            <w:tcBorders>
              <w:left w:val="single" w:color="000000" w:sz="4" w:space="0"/>
              <w:right w:val="single" w:color="000000" w:sz="4" w:space="0"/>
            </w:tcBorders>
            <w:vAlign w:val="center"/>
          </w:tcPr>
          <w:p w14:paraId="784ADA40">
            <w:pPr>
              <w:spacing w:line="320" w:lineRule="exact"/>
              <w:jc w:val="center"/>
              <w:rPr>
                <w:rFonts w:ascii="宋体" w:hAnsi="宋体" w:eastAsia="宋体" w:cs="Times New Roman"/>
                <w:color w:val="auto"/>
              </w:rPr>
            </w:pPr>
            <w:r>
              <w:rPr>
                <w:rFonts w:ascii="宋体" w:hAnsi="宋体" w:eastAsia="宋体" w:cs="Times New Roman"/>
                <w:color w:val="auto"/>
              </w:rPr>
              <w:t>7.7</w:t>
            </w:r>
          </w:p>
        </w:tc>
        <w:tc>
          <w:tcPr>
            <w:tcW w:w="325" w:type="dxa"/>
            <w:tcBorders>
              <w:left w:val="single" w:color="000000" w:sz="4" w:space="0"/>
              <w:right w:val="single" w:color="000000" w:sz="4" w:space="0"/>
            </w:tcBorders>
            <w:vAlign w:val="center"/>
          </w:tcPr>
          <w:p w14:paraId="6AA3BA64">
            <w:pPr>
              <w:spacing w:line="320" w:lineRule="exact"/>
              <w:jc w:val="center"/>
              <w:rPr>
                <w:rFonts w:ascii="宋体" w:hAnsi="宋体" w:eastAsia="宋体" w:cs="Times New Roman"/>
                <w:color w:val="auto"/>
              </w:rPr>
            </w:pPr>
            <w:r>
              <w:rPr>
                <w:rFonts w:ascii="宋体" w:hAnsi="宋体" w:eastAsia="宋体" w:cs="Times New Roman"/>
                <w:color w:val="auto"/>
              </w:rPr>
              <w:t>5.4</w:t>
            </w:r>
          </w:p>
        </w:tc>
        <w:tc>
          <w:tcPr>
            <w:tcW w:w="659" w:type="dxa"/>
            <w:tcBorders>
              <w:left w:val="single" w:color="000000" w:sz="4" w:space="0"/>
              <w:right w:val="single" w:color="000000" w:sz="4" w:space="0"/>
            </w:tcBorders>
            <w:vAlign w:val="center"/>
          </w:tcPr>
          <w:p w14:paraId="263272F5">
            <w:pPr>
              <w:spacing w:line="320" w:lineRule="exact"/>
              <w:jc w:val="center"/>
              <w:rPr>
                <w:rFonts w:ascii="宋体" w:hAnsi="宋体" w:eastAsia="宋体" w:cs="Times New Roman"/>
                <w:color w:val="auto"/>
              </w:rPr>
            </w:pPr>
            <w:r>
              <w:rPr>
                <w:rFonts w:ascii="宋体" w:hAnsi="宋体" w:eastAsia="宋体" w:cs="Times New Roman"/>
                <w:color w:val="auto"/>
              </w:rPr>
              <w:t>4.4</w:t>
            </w:r>
          </w:p>
        </w:tc>
        <w:tc>
          <w:tcPr>
            <w:tcW w:w="447" w:type="dxa"/>
            <w:tcBorders>
              <w:left w:val="single" w:color="000000" w:sz="4" w:space="0"/>
              <w:right w:val="single" w:color="000000" w:sz="4" w:space="0"/>
            </w:tcBorders>
            <w:vAlign w:val="center"/>
          </w:tcPr>
          <w:p w14:paraId="7870F8AB">
            <w:pPr>
              <w:spacing w:line="320" w:lineRule="exact"/>
              <w:jc w:val="center"/>
              <w:rPr>
                <w:rFonts w:ascii="宋体" w:hAnsi="宋体" w:eastAsia="宋体" w:cs="Times New Roman"/>
                <w:color w:val="auto"/>
              </w:rPr>
            </w:pPr>
            <w:r>
              <w:rPr>
                <w:rFonts w:ascii="宋体" w:hAnsi="宋体" w:eastAsia="宋体" w:cs="Times New Roman"/>
                <w:color w:val="auto"/>
              </w:rPr>
              <w:t>3.9</w:t>
            </w:r>
          </w:p>
        </w:tc>
        <w:tc>
          <w:tcPr>
            <w:tcW w:w="603" w:type="dxa"/>
            <w:tcBorders>
              <w:left w:val="single" w:color="000000" w:sz="4" w:space="0"/>
              <w:right w:val="single" w:color="000000" w:sz="4" w:space="0"/>
            </w:tcBorders>
            <w:vAlign w:val="center"/>
          </w:tcPr>
          <w:p w14:paraId="2100A5E5">
            <w:pPr>
              <w:spacing w:line="320" w:lineRule="exact"/>
              <w:jc w:val="center"/>
              <w:rPr>
                <w:rFonts w:ascii="宋体" w:hAnsi="宋体" w:eastAsia="宋体" w:cs="Times New Roman"/>
                <w:color w:val="auto"/>
              </w:rPr>
            </w:pPr>
            <w:r>
              <w:rPr>
                <w:rFonts w:ascii="宋体" w:hAnsi="宋体" w:eastAsia="宋体" w:cs="Times New Roman"/>
                <w:color w:val="auto"/>
              </w:rPr>
              <w:t>5.2</w:t>
            </w:r>
          </w:p>
        </w:tc>
        <w:tc>
          <w:tcPr>
            <w:tcW w:w="347" w:type="dxa"/>
            <w:tcBorders>
              <w:left w:val="single" w:color="000000" w:sz="4" w:space="0"/>
              <w:right w:val="single" w:color="000000" w:sz="10" w:space="0"/>
            </w:tcBorders>
            <w:vAlign w:val="center"/>
          </w:tcPr>
          <w:p w14:paraId="30E8F9B7">
            <w:pPr>
              <w:spacing w:line="320" w:lineRule="exact"/>
              <w:jc w:val="center"/>
              <w:rPr>
                <w:rFonts w:ascii="宋体" w:hAnsi="宋体" w:eastAsia="宋体" w:cs="Times New Roman"/>
                <w:color w:val="auto"/>
              </w:rPr>
            </w:pPr>
            <w:r>
              <w:rPr>
                <w:rFonts w:ascii="宋体" w:hAnsi="宋体" w:eastAsia="宋体" w:cs="Times New Roman"/>
                <w:color w:val="auto"/>
              </w:rPr>
              <w:t>5.9</w:t>
            </w:r>
          </w:p>
        </w:tc>
      </w:tr>
      <w:tr w14:paraId="36745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1E8C053C">
            <w:pPr>
              <w:spacing w:line="320" w:lineRule="exact"/>
              <w:jc w:val="center"/>
              <w:rPr>
                <w:rFonts w:ascii="宋体" w:hAnsi="宋体" w:eastAsia="宋体" w:cs="Times New Roman"/>
                <w:color w:val="auto"/>
              </w:rPr>
            </w:pPr>
            <w:r>
              <w:rPr>
                <w:rFonts w:ascii="宋体" w:hAnsi="宋体" w:eastAsia="宋体" w:cs="Times New Roman"/>
                <w:color w:val="auto"/>
              </w:rPr>
              <w:t>07</w:t>
            </w:r>
          </w:p>
        </w:tc>
        <w:tc>
          <w:tcPr>
            <w:tcW w:w="325" w:type="dxa"/>
            <w:tcBorders>
              <w:left w:val="single" w:color="000000" w:sz="4" w:space="0"/>
              <w:right w:val="single" w:color="000000" w:sz="4" w:space="0"/>
            </w:tcBorders>
            <w:vAlign w:val="center"/>
          </w:tcPr>
          <w:p w14:paraId="7CB18AF6">
            <w:pPr>
              <w:spacing w:line="320" w:lineRule="exact"/>
              <w:jc w:val="center"/>
              <w:rPr>
                <w:rFonts w:ascii="宋体" w:hAnsi="宋体" w:eastAsia="宋体" w:cs="Times New Roman"/>
                <w:color w:val="auto"/>
              </w:rPr>
            </w:pPr>
            <w:r>
              <w:rPr>
                <w:rFonts w:ascii="宋体" w:hAnsi="宋体" w:eastAsia="宋体" w:cs="Times New Roman"/>
                <w:color w:val="auto"/>
              </w:rPr>
              <w:t>5.4</w:t>
            </w:r>
          </w:p>
        </w:tc>
        <w:tc>
          <w:tcPr>
            <w:tcW w:w="522" w:type="dxa"/>
            <w:tcBorders>
              <w:left w:val="single" w:color="000000" w:sz="4" w:space="0"/>
              <w:right w:val="single" w:color="000000" w:sz="4" w:space="0"/>
            </w:tcBorders>
            <w:vAlign w:val="center"/>
          </w:tcPr>
          <w:p w14:paraId="422CFA1A">
            <w:pPr>
              <w:spacing w:line="320" w:lineRule="exact"/>
              <w:jc w:val="center"/>
              <w:rPr>
                <w:rFonts w:ascii="宋体" w:hAnsi="宋体" w:eastAsia="宋体" w:cs="Times New Roman"/>
                <w:color w:val="auto"/>
              </w:rPr>
            </w:pPr>
            <w:r>
              <w:rPr>
                <w:rFonts w:ascii="宋体" w:hAnsi="宋体" w:eastAsia="宋体" w:cs="Times New Roman"/>
                <w:color w:val="auto"/>
              </w:rPr>
              <w:t>4.6</w:t>
            </w:r>
          </w:p>
        </w:tc>
        <w:tc>
          <w:tcPr>
            <w:tcW w:w="345" w:type="dxa"/>
            <w:tcBorders>
              <w:left w:val="single" w:color="000000" w:sz="4" w:space="0"/>
              <w:right w:val="single" w:color="000000" w:sz="4" w:space="0"/>
            </w:tcBorders>
            <w:vAlign w:val="center"/>
          </w:tcPr>
          <w:p w14:paraId="52837F4D">
            <w:pPr>
              <w:spacing w:line="320" w:lineRule="exact"/>
              <w:jc w:val="center"/>
              <w:rPr>
                <w:rFonts w:ascii="宋体" w:hAnsi="宋体" w:eastAsia="宋体" w:cs="Times New Roman"/>
                <w:color w:val="auto"/>
              </w:rPr>
            </w:pPr>
            <w:r>
              <w:rPr>
                <w:rFonts w:ascii="宋体" w:hAnsi="宋体" w:eastAsia="宋体" w:cs="Times New Roman"/>
                <w:color w:val="auto"/>
              </w:rPr>
              <w:t>4.3</w:t>
            </w:r>
          </w:p>
        </w:tc>
        <w:tc>
          <w:tcPr>
            <w:tcW w:w="496" w:type="dxa"/>
            <w:tcBorders>
              <w:left w:val="single" w:color="000000" w:sz="4" w:space="0"/>
              <w:right w:val="single" w:color="000000" w:sz="4" w:space="0"/>
            </w:tcBorders>
            <w:vAlign w:val="center"/>
          </w:tcPr>
          <w:p w14:paraId="19B78E3B">
            <w:pPr>
              <w:spacing w:line="320" w:lineRule="exact"/>
              <w:jc w:val="center"/>
              <w:rPr>
                <w:rFonts w:ascii="宋体" w:hAnsi="宋体" w:eastAsia="宋体" w:cs="Times New Roman"/>
                <w:color w:val="auto"/>
              </w:rPr>
            </w:pPr>
            <w:r>
              <w:rPr>
                <w:rFonts w:ascii="宋体" w:hAnsi="宋体" w:eastAsia="宋体" w:cs="Times New Roman"/>
                <w:color w:val="auto"/>
              </w:rPr>
              <w:t>5.5</w:t>
            </w:r>
          </w:p>
        </w:tc>
        <w:tc>
          <w:tcPr>
            <w:tcW w:w="325" w:type="dxa"/>
            <w:tcBorders>
              <w:left w:val="single" w:color="000000" w:sz="4" w:space="0"/>
              <w:right w:val="single" w:color="000000" w:sz="4" w:space="0"/>
            </w:tcBorders>
            <w:vAlign w:val="center"/>
          </w:tcPr>
          <w:p w14:paraId="31D83E6F">
            <w:pPr>
              <w:spacing w:line="320" w:lineRule="exact"/>
              <w:jc w:val="center"/>
              <w:rPr>
                <w:rFonts w:ascii="宋体" w:hAnsi="宋体" w:eastAsia="宋体" w:cs="Times New Roman"/>
                <w:color w:val="auto"/>
              </w:rPr>
            </w:pPr>
            <w:r>
              <w:rPr>
                <w:rFonts w:ascii="宋体" w:hAnsi="宋体" w:eastAsia="宋体" w:cs="Times New Roman"/>
                <w:color w:val="auto"/>
              </w:rPr>
              <w:t>6.1</w:t>
            </w:r>
          </w:p>
        </w:tc>
        <w:tc>
          <w:tcPr>
            <w:tcW w:w="454" w:type="dxa"/>
            <w:tcBorders>
              <w:left w:val="single" w:color="000000" w:sz="4" w:space="0"/>
              <w:right w:val="single" w:color="000000" w:sz="4" w:space="0"/>
            </w:tcBorders>
            <w:vAlign w:val="center"/>
          </w:tcPr>
          <w:p w14:paraId="4FDFE95D">
            <w:pPr>
              <w:spacing w:line="320" w:lineRule="exact"/>
              <w:jc w:val="center"/>
              <w:rPr>
                <w:rFonts w:ascii="宋体" w:hAnsi="宋体" w:eastAsia="宋体" w:cs="Times New Roman"/>
                <w:color w:val="auto"/>
              </w:rPr>
            </w:pPr>
            <w:r>
              <w:rPr>
                <w:rFonts w:ascii="宋体" w:hAnsi="宋体" w:eastAsia="宋体" w:cs="Times New Roman"/>
                <w:color w:val="auto"/>
              </w:rPr>
              <w:t>6.7</w:t>
            </w:r>
          </w:p>
        </w:tc>
        <w:tc>
          <w:tcPr>
            <w:tcW w:w="325" w:type="dxa"/>
            <w:tcBorders>
              <w:left w:val="single" w:color="000000" w:sz="4" w:space="0"/>
              <w:right w:val="single" w:color="000000" w:sz="4" w:space="0"/>
            </w:tcBorders>
            <w:vAlign w:val="center"/>
          </w:tcPr>
          <w:p w14:paraId="5C0861BC">
            <w:pPr>
              <w:spacing w:line="320" w:lineRule="exact"/>
              <w:jc w:val="center"/>
              <w:rPr>
                <w:rFonts w:ascii="宋体" w:hAnsi="宋体" w:eastAsia="宋体" w:cs="Times New Roman"/>
                <w:color w:val="auto"/>
              </w:rPr>
            </w:pPr>
            <w:r>
              <w:rPr>
                <w:rFonts w:ascii="宋体" w:hAnsi="宋体" w:eastAsia="宋体" w:cs="Times New Roman"/>
                <w:color w:val="auto"/>
              </w:rPr>
              <w:t>7.2</w:t>
            </w:r>
          </w:p>
        </w:tc>
        <w:tc>
          <w:tcPr>
            <w:tcW w:w="440" w:type="dxa"/>
            <w:tcBorders>
              <w:left w:val="single" w:color="000000" w:sz="4" w:space="0"/>
              <w:right w:val="single" w:color="000000" w:sz="4" w:space="0"/>
            </w:tcBorders>
            <w:vAlign w:val="center"/>
          </w:tcPr>
          <w:p w14:paraId="489A580A">
            <w:pPr>
              <w:spacing w:line="320" w:lineRule="exact"/>
              <w:jc w:val="center"/>
              <w:rPr>
                <w:rFonts w:ascii="宋体" w:hAnsi="宋体" w:eastAsia="宋体" w:cs="Times New Roman"/>
                <w:color w:val="auto"/>
              </w:rPr>
            </w:pPr>
            <w:r>
              <w:rPr>
                <w:rFonts w:ascii="宋体" w:hAnsi="宋体" w:eastAsia="宋体" w:cs="Times New Roman"/>
                <w:color w:val="auto"/>
              </w:rPr>
              <w:t>9.5</w:t>
            </w:r>
          </w:p>
        </w:tc>
        <w:tc>
          <w:tcPr>
            <w:tcW w:w="447" w:type="dxa"/>
            <w:tcBorders>
              <w:left w:val="single" w:color="000000" w:sz="4" w:space="0"/>
              <w:right w:val="single" w:color="000000" w:sz="4" w:space="0"/>
            </w:tcBorders>
            <w:vAlign w:val="center"/>
          </w:tcPr>
          <w:p w14:paraId="6430634E">
            <w:pPr>
              <w:spacing w:line="320" w:lineRule="exact"/>
              <w:jc w:val="center"/>
              <w:rPr>
                <w:rFonts w:ascii="宋体" w:hAnsi="宋体" w:eastAsia="宋体" w:cs="Times New Roman"/>
                <w:color w:val="auto"/>
              </w:rPr>
            </w:pPr>
            <w:r>
              <w:rPr>
                <w:rFonts w:ascii="宋体" w:hAnsi="宋体" w:eastAsia="宋体" w:cs="Times New Roman"/>
                <w:color w:val="auto"/>
              </w:rPr>
              <w:t>14.2</w:t>
            </w:r>
          </w:p>
        </w:tc>
        <w:tc>
          <w:tcPr>
            <w:tcW w:w="522" w:type="dxa"/>
            <w:tcBorders>
              <w:left w:val="single" w:color="000000" w:sz="4" w:space="0"/>
              <w:right w:val="single" w:color="000000" w:sz="4" w:space="0"/>
            </w:tcBorders>
            <w:vAlign w:val="center"/>
          </w:tcPr>
          <w:p w14:paraId="2F5E81DA">
            <w:pPr>
              <w:spacing w:line="320" w:lineRule="exact"/>
              <w:jc w:val="center"/>
              <w:rPr>
                <w:rFonts w:ascii="宋体" w:hAnsi="宋体" w:eastAsia="宋体" w:cs="Times New Roman"/>
                <w:color w:val="auto"/>
              </w:rPr>
            </w:pPr>
            <w:r>
              <w:rPr>
                <w:rFonts w:ascii="宋体" w:hAnsi="宋体" w:eastAsia="宋体" w:cs="Times New Roman"/>
                <w:color w:val="auto"/>
              </w:rPr>
              <w:t>9.8</w:t>
            </w:r>
          </w:p>
        </w:tc>
        <w:tc>
          <w:tcPr>
            <w:tcW w:w="385" w:type="dxa"/>
            <w:tcBorders>
              <w:left w:val="single" w:color="000000" w:sz="4" w:space="0"/>
              <w:right w:val="single" w:color="000000" w:sz="4" w:space="0"/>
            </w:tcBorders>
            <w:vAlign w:val="center"/>
          </w:tcPr>
          <w:p w14:paraId="57A84BDB">
            <w:pPr>
              <w:spacing w:line="320" w:lineRule="exact"/>
              <w:jc w:val="center"/>
              <w:rPr>
                <w:rFonts w:ascii="宋体" w:hAnsi="宋体" w:eastAsia="宋体" w:cs="Times New Roman"/>
                <w:color w:val="auto"/>
              </w:rPr>
            </w:pPr>
            <w:r>
              <w:rPr>
                <w:rFonts w:ascii="宋体" w:hAnsi="宋体" w:eastAsia="宋体" w:cs="Times New Roman"/>
                <w:color w:val="auto"/>
              </w:rPr>
              <w:t>4.4</w:t>
            </w:r>
          </w:p>
        </w:tc>
        <w:tc>
          <w:tcPr>
            <w:tcW w:w="617" w:type="dxa"/>
            <w:tcBorders>
              <w:left w:val="single" w:color="000000" w:sz="4" w:space="0"/>
              <w:right w:val="single" w:color="000000" w:sz="4" w:space="0"/>
            </w:tcBorders>
            <w:vAlign w:val="center"/>
          </w:tcPr>
          <w:p w14:paraId="6E72EB38">
            <w:pPr>
              <w:spacing w:line="320" w:lineRule="exact"/>
              <w:jc w:val="center"/>
              <w:rPr>
                <w:rFonts w:ascii="宋体" w:hAnsi="宋体" w:eastAsia="宋体" w:cs="Times New Roman"/>
                <w:color w:val="auto"/>
              </w:rPr>
            </w:pPr>
            <w:r>
              <w:rPr>
                <w:rFonts w:ascii="宋体" w:hAnsi="宋体" w:eastAsia="宋体" w:cs="Times New Roman"/>
                <w:color w:val="auto"/>
              </w:rPr>
              <w:t>4.2</w:t>
            </w:r>
          </w:p>
        </w:tc>
        <w:tc>
          <w:tcPr>
            <w:tcW w:w="325" w:type="dxa"/>
            <w:tcBorders>
              <w:left w:val="single" w:color="000000" w:sz="4" w:space="0"/>
              <w:right w:val="single" w:color="000000" w:sz="4" w:space="0"/>
            </w:tcBorders>
            <w:vAlign w:val="center"/>
          </w:tcPr>
          <w:p w14:paraId="49B6BB4E">
            <w:pPr>
              <w:spacing w:line="320" w:lineRule="exact"/>
              <w:jc w:val="center"/>
              <w:rPr>
                <w:rFonts w:ascii="宋体" w:hAnsi="宋体" w:eastAsia="宋体" w:cs="Times New Roman"/>
                <w:color w:val="auto"/>
              </w:rPr>
            </w:pPr>
            <w:r>
              <w:rPr>
                <w:rFonts w:ascii="宋体" w:hAnsi="宋体" w:eastAsia="宋体" w:cs="Times New Roman"/>
                <w:color w:val="auto"/>
              </w:rPr>
              <w:t>4</w:t>
            </w:r>
          </w:p>
        </w:tc>
        <w:tc>
          <w:tcPr>
            <w:tcW w:w="659" w:type="dxa"/>
            <w:tcBorders>
              <w:left w:val="single" w:color="000000" w:sz="4" w:space="0"/>
              <w:right w:val="single" w:color="000000" w:sz="4" w:space="0"/>
            </w:tcBorders>
            <w:vAlign w:val="center"/>
          </w:tcPr>
          <w:p w14:paraId="023C71D6">
            <w:pPr>
              <w:spacing w:line="320" w:lineRule="exact"/>
              <w:jc w:val="center"/>
              <w:rPr>
                <w:rFonts w:ascii="宋体" w:hAnsi="宋体" w:eastAsia="宋体" w:cs="Times New Roman"/>
                <w:color w:val="auto"/>
              </w:rPr>
            </w:pPr>
            <w:r>
              <w:rPr>
                <w:rFonts w:ascii="宋体" w:hAnsi="宋体" w:eastAsia="宋体" w:cs="Times New Roman"/>
                <w:color w:val="auto"/>
              </w:rPr>
              <w:t>3.2</w:t>
            </w:r>
          </w:p>
        </w:tc>
        <w:tc>
          <w:tcPr>
            <w:tcW w:w="447" w:type="dxa"/>
            <w:tcBorders>
              <w:left w:val="single" w:color="000000" w:sz="4" w:space="0"/>
              <w:right w:val="single" w:color="000000" w:sz="4" w:space="0"/>
            </w:tcBorders>
            <w:vAlign w:val="center"/>
          </w:tcPr>
          <w:p w14:paraId="63E7D1B1">
            <w:pPr>
              <w:spacing w:line="320" w:lineRule="exact"/>
              <w:jc w:val="center"/>
              <w:rPr>
                <w:rFonts w:ascii="宋体" w:hAnsi="宋体" w:eastAsia="宋体" w:cs="Times New Roman"/>
                <w:color w:val="auto"/>
              </w:rPr>
            </w:pPr>
            <w:r>
              <w:rPr>
                <w:rFonts w:ascii="宋体" w:hAnsi="宋体" w:eastAsia="宋体" w:cs="Times New Roman"/>
                <w:color w:val="auto"/>
              </w:rPr>
              <w:t>3.6</w:t>
            </w:r>
          </w:p>
        </w:tc>
        <w:tc>
          <w:tcPr>
            <w:tcW w:w="603" w:type="dxa"/>
            <w:tcBorders>
              <w:left w:val="single" w:color="000000" w:sz="4" w:space="0"/>
              <w:right w:val="single" w:color="000000" w:sz="4" w:space="0"/>
            </w:tcBorders>
            <w:vAlign w:val="center"/>
          </w:tcPr>
          <w:p w14:paraId="4F6460EC">
            <w:pPr>
              <w:spacing w:line="320" w:lineRule="exact"/>
              <w:jc w:val="center"/>
              <w:rPr>
                <w:rFonts w:ascii="宋体" w:hAnsi="宋体" w:eastAsia="宋体" w:cs="Times New Roman"/>
                <w:color w:val="auto"/>
              </w:rPr>
            </w:pPr>
            <w:r>
              <w:rPr>
                <w:rFonts w:ascii="宋体" w:hAnsi="宋体" w:eastAsia="宋体" w:cs="Times New Roman"/>
                <w:color w:val="auto"/>
              </w:rPr>
              <w:t>4.8</w:t>
            </w:r>
          </w:p>
        </w:tc>
        <w:tc>
          <w:tcPr>
            <w:tcW w:w="347" w:type="dxa"/>
            <w:tcBorders>
              <w:left w:val="single" w:color="000000" w:sz="4" w:space="0"/>
              <w:right w:val="single" w:color="000000" w:sz="10" w:space="0"/>
            </w:tcBorders>
            <w:vAlign w:val="center"/>
          </w:tcPr>
          <w:p w14:paraId="58E7249C">
            <w:pPr>
              <w:spacing w:line="320" w:lineRule="exact"/>
              <w:jc w:val="center"/>
              <w:rPr>
                <w:rFonts w:ascii="宋体" w:hAnsi="宋体" w:eastAsia="宋体" w:cs="Times New Roman"/>
                <w:color w:val="auto"/>
              </w:rPr>
            </w:pPr>
            <w:r>
              <w:rPr>
                <w:rFonts w:ascii="宋体" w:hAnsi="宋体" w:eastAsia="宋体" w:cs="Times New Roman"/>
                <w:color w:val="auto"/>
              </w:rPr>
              <w:t>6.5</w:t>
            </w:r>
          </w:p>
        </w:tc>
      </w:tr>
      <w:tr w14:paraId="454B5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29368F45">
            <w:pPr>
              <w:spacing w:line="320" w:lineRule="exact"/>
              <w:jc w:val="center"/>
              <w:rPr>
                <w:rFonts w:ascii="宋体" w:hAnsi="宋体" w:eastAsia="宋体" w:cs="Times New Roman"/>
                <w:color w:val="auto"/>
              </w:rPr>
            </w:pPr>
            <w:r>
              <w:rPr>
                <w:rFonts w:ascii="宋体" w:hAnsi="宋体" w:eastAsia="宋体" w:cs="Times New Roman"/>
                <w:color w:val="auto"/>
              </w:rPr>
              <w:t>08</w:t>
            </w:r>
          </w:p>
        </w:tc>
        <w:tc>
          <w:tcPr>
            <w:tcW w:w="325" w:type="dxa"/>
            <w:tcBorders>
              <w:left w:val="single" w:color="000000" w:sz="4" w:space="0"/>
              <w:right w:val="single" w:color="000000" w:sz="4" w:space="0"/>
            </w:tcBorders>
            <w:vAlign w:val="center"/>
          </w:tcPr>
          <w:p w14:paraId="2D230CC1">
            <w:pPr>
              <w:spacing w:line="320" w:lineRule="exact"/>
              <w:jc w:val="center"/>
              <w:rPr>
                <w:rFonts w:ascii="宋体" w:hAnsi="宋体" w:eastAsia="宋体" w:cs="Times New Roman"/>
                <w:color w:val="auto"/>
              </w:rPr>
            </w:pPr>
            <w:r>
              <w:rPr>
                <w:rFonts w:ascii="宋体" w:hAnsi="宋体" w:eastAsia="宋体" w:cs="Times New Roman"/>
                <w:color w:val="auto"/>
              </w:rPr>
              <w:t>6.4</w:t>
            </w:r>
          </w:p>
        </w:tc>
        <w:tc>
          <w:tcPr>
            <w:tcW w:w="522" w:type="dxa"/>
            <w:tcBorders>
              <w:left w:val="single" w:color="000000" w:sz="4" w:space="0"/>
              <w:right w:val="single" w:color="000000" w:sz="4" w:space="0"/>
            </w:tcBorders>
            <w:vAlign w:val="center"/>
          </w:tcPr>
          <w:p w14:paraId="34AD14EA">
            <w:pPr>
              <w:spacing w:line="320" w:lineRule="exact"/>
              <w:jc w:val="center"/>
              <w:rPr>
                <w:rFonts w:ascii="宋体" w:hAnsi="宋体" w:eastAsia="宋体" w:cs="Times New Roman"/>
                <w:color w:val="auto"/>
              </w:rPr>
            </w:pPr>
            <w:r>
              <w:rPr>
                <w:rFonts w:ascii="宋体" w:hAnsi="宋体" w:eastAsia="宋体" w:cs="Times New Roman"/>
                <w:color w:val="auto"/>
              </w:rPr>
              <w:t>6.3</w:t>
            </w:r>
          </w:p>
        </w:tc>
        <w:tc>
          <w:tcPr>
            <w:tcW w:w="345" w:type="dxa"/>
            <w:tcBorders>
              <w:left w:val="single" w:color="000000" w:sz="4" w:space="0"/>
              <w:right w:val="single" w:color="000000" w:sz="4" w:space="0"/>
            </w:tcBorders>
            <w:vAlign w:val="center"/>
          </w:tcPr>
          <w:p w14:paraId="6F0835D0">
            <w:pPr>
              <w:spacing w:line="320" w:lineRule="exact"/>
              <w:jc w:val="center"/>
              <w:rPr>
                <w:rFonts w:ascii="宋体" w:hAnsi="宋体" w:eastAsia="宋体" w:cs="Times New Roman"/>
                <w:color w:val="auto"/>
              </w:rPr>
            </w:pPr>
            <w:r>
              <w:rPr>
                <w:rFonts w:ascii="宋体" w:hAnsi="宋体" w:eastAsia="宋体" w:cs="Times New Roman"/>
                <w:color w:val="auto"/>
              </w:rPr>
              <w:t>6</w:t>
            </w:r>
          </w:p>
        </w:tc>
        <w:tc>
          <w:tcPr>
            <w:tcW w:w="496" w:type="dxa"/>
            <w:tcBorders>
              <w:left w:val="single" w:color="000000" w:sz="4" w:space="0"/>
              <w:right w:val="single" w:color="000000" w:sz="4" w:space="0"/>
            </w:tcBorders>
            <w:vAlign w:val="center"/>
          </w:tcPr>
          <w:p w14:paraId="2905607A">
            <w:pPr>
              <w:spacing w:line="320" w:lineRule="exact"/>
              <w:jc w:val="center"/>
              <w:rPr>
                <w:rFonts w:ascii="宋体" w:hAnsi="宋体" w:eastAsia="宋体" w:cs="Times New Roman"/>
                <w:color w:val="auto"/>
              </w:rPr>
            </w:pPr>
            <w:r>
              <w:rPr>
                <w:rFonts w:ascii="宋体" w:hAnsi="宋体" w:eastAsia="宋体" w:cs="Times New Roman"/>
                <w:color w:val="auto"/>
              </w:rPr>
              <w:t>5.8</w:t>
            </w:r>
          </w:p>
        </w:tc>
        <w:tc>
          <w:tcPr>
            <w:tcW w:w="325" w:type="dxa"/>
            <w:tcBorders>
              <w:left w:val="single" w:color="000000" w:sz="4" w:space="0"/>
              <w:right w:val="single" w:color="000000" w:sz="4" w:space="0"/>
            </w:tcBorders>
            <w:vAlign w:val="center"/>
          </w:tcPr>
          <w:p w14:paraId="4E530229">
            <w:pPr>
              <w:spacing w:line="320" w:lineRule="exact"/>
              <w:jc w:val="center"/>
              <w:rPr>
                <w:rFonts w:ascii="宋体" w:hAnsi="宋体" w:eastAsia="宋体" w:cs="Times New Roman"/>
                <w:color w:val="auto"/>
              </w:rPr>
            </w:pPr>
            <w:r>
              <w:rPr>
                <w:rFonts w:ascii="宋体" w:hAnsi="宋体" w:eastAsia="宋体" w:cs="Times New Roman"/>
                <w:color w:val="auto"/>
              </w:rPr>
              <w:t>4.7</w:t>
            </w:r>
          </w:p>
        </w:tc>
        <w:tc>
          <w:tcPr>
            <w:tcW w:w="454" w:type="dxa"/>
            <w:tcBorders>
              <w:left w:val="single" w:color="000000" w:sz="4" w:space="0"/>
              <w:right w:val="single" w:color="000000" w:sz="4" w:space="0"/>
            </w:tcBorders>
            <w:vAlign w:val="center"/>
          </w:tcPr>
          <w:p w14:paraId="6186B091">
            <w:pPr>
              <w:spacing w:line="320" w:lineRule="exact"/>
              <w:jc w:val="center"/>
              <w:rPr>
                <w:rFonts w:ascii="宋体" w:hAnsi="宋体" w:eastAsia="宋体" w:cs="Times New Roman"/>
                <w:color w:val="auto"/>
              </w:rPr>
            </w:pPr>
            <w:r>
              <w:rPr>
                <w:rFonts w:ascii="宋体" w:hAnsi="宋体" w:eastAsia="宋体" w:cs="Times New Roman"/>
                <w:color w:val="auto"/>
              </w:rPr>
              <w:t>4.9</w:t>
            </w:r>
          </w:p>
        </w:tc>
        <w:tc>
          <w:tcPr>
            <w:tcW w:w="325" w:type="dxa"/>
            <w:tcBorders>
              <w:left w:val="single" w:color="000000" w:sz="4" w:space="0"/>
              <w:right w:val="single" w:color="000000" w:sz="4" w:space="0"/>
            </w:tcBorders>
            <w:vAlign w:val="center"/>
          </w:tcPr>
          <w:p w14:paraId="07308412">
            <w:pPr>
              <w:spacing w:line="320" w:lineRule="exact"/>
              <w:jc w:val="center"/>
              <w:rPr>
                <w:rFonts w:ascii="宋体" w:hAnsi="宋体" w:eastAsia="宋体" w:cs="Times New Roman"/>
                <w:color w:val="auto"/>
              </w:rPr>
            </w:pPr>
            <w:r>
              <w:rPr>
                <w:rFonts w:ascii="宋体" w:hAnsi="宋体" w:eastAsia="宋体" w:cs="Times New Roman"/>
                <w:color w:val="auto"/>
              </w:rPr>
              <w:t>4.9</w:t>
            </w:r>
          </w:p>
        </w:tc>
        <w:tc>
          <w:tcPr>
            <w:tcW w:w="440" w:type="dxa"/>
            <w:tcBorders>
              <w:left w:val="single" w:color="000000" w:sz="4" w:space="0"/>
              <w:right w:val="single" w:color="000000" w:sz="4" w:space="0"/>
            </w:tcBorders>
            <w:vAlign w:val="center"/>
          </w:tcPr>
          <w:p w14:paraId="6B474E66">
            <w:pPr>
              <w:spacing w:line="320" w:lineRule="exact"/>
              <w:jc w:val="center"/>
              <w:rPr>
                <w:rFonts w:ascii="宋体" w:hAnsi="宋体" w:eastAsia="宋体" w:cs="Times New Roman"/>
                <w:color w:val="auto"/>
              </w:rPr>
            </w:pPr>
            <w:r>
              <w:rPr>
                <w:rFonts w:ascii="宋体" w:hAnsi="宋体" w:eastAsia="宋体" w:cs="Times New Roman"/>
                <w:color w:val="auto"/>
              </w:rPr>
              <w:t>6.9</w:t>
            </w:r>
          </w:p>
        </w:tc>
        <w:tc>
          <w:tcPr>
            <w:tcW w:w="447" w:type="dxa"/>
            <w:tcBorders>
              <w:left w:val="single" w:color="000000" w:sz="4" w:space="0"/>
              <w:right w:val="single" w:color="000000" w:sz="4" w:space="0"/>
            </w:tcBorders>
            <w:vAlign w:val="center"/>
          </w:tcPr>
          <w:p w14:paraId="2997912C">
            <w:pPr>
              <w:spacing w:line="320" w:lineRule="exact"/>
              <w:jc w:val="center"/>
              <w:rPr>
                <w:rFonts w:ascii="宋体" w:hAnsi="宋体" w:eastAsia="宋体" w:cs="Times New Roman"/>
                <w:color w:val="auto"/>
              </w:rPr>
            </w:pPr>
            <w:r>
              <w:rPr>
                <w:rFonts w:ascii="宋体" w:hAnsi="宋体" w:eastAsia="宋体" w:cs="Times New Roman"/>
                <w:color w:val="auto"/>
              </w:rPr>
              <w:t>11</w:t>
            </w:r>
          </w:p>
        </w:tc>
        <w:tc>
          <w:tcPr>
            <w:tcW w:w="522" w:type="dxa"/>
            <w:tcBorders>
              <w:left w:val="single" w:color="000000" w:sz="4" w:space="0"/>
              <w:right w:val="single" w:color="000000" w:sz="4" w:space="0"/>
            </w:tcBorders>
            <w:vAlign w:val="center"/>
          </w:tcPr>
          <w:p w14:paraId="36A9110A">
            <w:pPr>
              <w:spacing w:line="320" w:lineRule="exact"/>
              <w:jc w:val="center"/>
              <w:rPr>
                <w:rFonts w:ascii="宋体" w:hAnsi="宋体" w:eastAsia="宋体" w:cs="Times New Roman"/>
                <w:color w:val="auto"/>
              </w:rPr>
            </w:pPr>
            <w:r>
              <w:rPr>
                <w:rFonts w:ascii="宋体" w:hAnsi="宋体" w:eastAsia="宋体" w:cs="Times New Roman"/>
                <w:color w:val="auto"/>
              </w:rPr>
              <w:t>8.3</w:t>
            </w:r>
          </w:p>
        </w:tc>
        <w:tc>
          <w:tcPr>
            <w:tcW w:w="385" w:type="dxa"/>
            <w:tcBorders>
              <w:left w:val="single" w:color="000000" w:sz="4" w:space="0"/>
              <w:right w:val="single" w:color="000000" w:sz="4" w:space="0"/>
            </w:tcBorders>
            <w:vAlign w:val="center"/>
          </w:tcPr>
          <w:p w14:paraId="0EFF6E20">
            <w:pPr>
              <w:spacing w:line="320" w:lineRule="exact"/>
              <w:jc w:val="center"/>
              <w:rPr>
                <w:rFonts w:ascii="宋体" w:hAnsi="宋体" w:eastAsia="宋体" w:cs="Times New Roman"/>
                <w:color w:val="auto"/>
              </w:rPr>
            </w:pPr>
            <w:r>
              <w:rPr>
                <w:rFonts w:ascii="宋体" w:hAnsi="宋体" w:eastAsia="宋体" w:cs="Times New Roman"/>
                <w:color w:val="auto"/>
              </w:rPr>
              <w:t>4.6</w:t>
            </w:r>
          </w:p>
        </w:tc>
        <w:tc>
          <w:tcPr>
            <w:tcW w:w="617" w:type="dxa"/>
            <w:tcBorders>
              <w:left w:val="single" w:color="000000" w:sz="4" w:space="0"/>
              <w:right w:val="single" w:color="000000" w:sz="4" w:space="0"/>
            </w:tcBorders>
            <w:vAlign w:val="center"/>
          </w:tcPr>
          <w:p w14:paraId="78306BA8">
            <w:pPr>
              <w:spacing w:line="320" w:lineRule="exact"/>
              <w:jc w:val="center"/>
              <w:rPr>
                <w:rFonts w:ascii="宋体" w:hAnsi="宋体" w:eastAsia="宋体" w:cs="Times New Roman"/>
                <w:color w:val="auto"/>
              </w:rPr>
            </w:pPr>
            <w:r>
              <w:rPr>
                <w:rFonts w:ascii="宋体" w:hAnsi="宋体" w:eastAsia="宋体" w:cs="Times New Roman"/>
                <w:color w:val="auto"/>
              </w:rPr>
              <w:t>6.5</w:t>
            </w:r>
          </w:p>
        </w:tc>
        <w:tc>
          <w:tcPr>
            <w:tcW w:w="325" w:type="dxa"/>
            <w:tcBorders>
              <w:left w:val="single" w:color="000000" w:sz="4" w:space="0"/>
              <w:right w:val="single" w:color="000000" w:sz="4" w:space="0"/>
            </w:tcBorders>
            <w:vAlign w:val="center"/>
          </w:tcPr>
          <w:p w14:paraId="749F0869">
            <w:pPr>
              <w:spacing w:line="320" w:lineRule="exact"/>
              <w:jc w:val="center"/>
              <w:rPr>
                <w:rFonts w:ascii="宋体" w:hAnsi="宋体" w:eastAsia="宋体" w:cs="Times New Roman"/>
                <w:color w:val="auto"/>
              </w:rPr>
            </w:pPr>
            <w:r>
              <w:rPr>
                <w:rFonts w:ascii="宋体" w:hAnsi="宋体" w:eastAsia="宋体" w:cs="Times New Roman"/>
                <w:color w:val="auto"/>
              </w:rPr>
              <w:t>4.6</w:t>
            </w:r>
          </w:p>
        </w:tc>
        <w:tc>
          <w:tcPr>
            <w:tcW w:w="659" w:type="dxa"/>
            <w:tcBorders>
              <w:left w:val="single" w:color="000000" w:sz="4" w:space="0"/>
              <w:right w:val="single" w:color="000000" w:sz="4" w:space="0"/>
            </w:tcBorders>
            <w:vAlign w:val="center"/>
          </w:tcPr>
          <w:p w14:paraId="14129211">
            <w:pPr>
              <w:spacing w:line="320" w:lineRule="exact"/>
              <w:jc w:val="center"/>
              <w:rPr>
                <w:rFonts w:ascii="宋体" w:hAnsi="宋体" w:eastAsia="宋体" w:cs="Times New Roman"/>
                <w:color w:val="auto"/>
              </w:rPr>
            </w:pPr>
            <w:r>
              <w:rPr>
                <w:rFonts w:ascii="宋体" w:hAnsi="宋体" w:eastAsia="宋体" w:cs="Times New Roman"/>
                <w:color w:val="auto"/>
              </w:rPr>
              <w:t>3.8</w:t>
            </w:r>
          </w:p>
        </w:tc>
        <w:tc>
          <w:tcPr>
            <w:tcW w:w="447" w:type="dxa"/>
            <w:tcBorders>
              <w:left w:val="single" w:color="000000" w:sz="4" w:space="0"/>
              <w:right w:val="single" w:color="000000" w:sz="4" w:space="0"/>
            </w:tcBorders>
            <w:vAlign w:val="center"/>
          </w:tcPr>
          <w:p w14:paraId="277A5BA3">
            <w:pPr>
              <w:spacing w:line="320" w:lineRule="exact"/>
              <w:jc w:val="center"/>
              <w:rPr>
                <w:rFonts w:ascii="宋体" w:hAnsi="宋体" w:eastAsia="宋体" w:cs="Times New Roman"/>
                <w:color w:val="auto"/>
              </w:rPr>
            </w:pPr>
            <w:r>
              <w:rPr>
                <w:rFonts w:ascii="宋体" w:hAnsi="宋体" w:eastAsia="宋体" w:cs="Times New Roman"/>
                <w:color w:val="auto"/>
              </w:rPr>
              <w:t>3.8</w:t>
            </w:r>
          </w:p>
        </w:tc>
        <w:tc>
          <w:tcPr>
            <w:tcW w:w="603" w:type="dxa"/>
            <w:tcBorders>
              <w:left w:val="single" w:color="000000" w:sz="4" w:space="0"/>
              <w:right w:val="single" w:color="000000" w:sz="4" w:space="0"/>
            </w:tcBorders>
            <w:vAlign w:val="center"/>
          </w:tcPr>
          <w:p w14:paraId="1C1A3E4E">
            <w:pPr>
              <w:spacing w:line="320" w:lineRule="exact"/>
              <w:jc w:val="center"/>
              <w:rPr>
                <w:rFonts w:ascii="宋体" w:hAnsi="宋体" w:eastAsia="宋体" w:cs="Times New Roman"/>
                <w:color w:val="auto"/>
              </w:rPr>
            </w:pPr>
            <w:r>
              <w:rPr>
                <w:rFonts w:ascii="宋体" w:hAnsi="宋体" w:eastAsia="宋体" w:cs="Times New Roman"/>
                <w:color w:val="auto"/>
              </w:rPr>
              <w:t>5.8</w:t>
            </w:r>
          </w:p>
        </w:tc>
        <w:tc>
          <w:tcPr>
            <w:tcW w:w="347" w:type="dxa"/>
            <w:tcBorders>
              <w:left w:val="single" w:color="000000" w:sz="4" w:space="0"/>
              <w:right w:val="single" w:color="000000" w:sz="10" w:space="0"/>
            </w:tcBorders>
            <w:vAlign w:val="center"/>
          </w:tcPr>
          <w:p w14:paraId="35D4F1C1">
            <w:pPr>
              <w:spacing w:line="320" w:lineRule="exact"/>
              <w:jc w:val="center"/>
              <w:rPr>
                <w:rFonts w:ascii="宋体" w:hAnsi="宋体" w:eastAsia="宋体" w:cs="Times New Roman"/>
                <w:color w:val="auto"/>
              </w:rPr>
            </w:pPr>
            <w:r>
              <w:rPr>
                <w:rFonts w:ascii="宋体" w:hAnsi="宋体" w:eastAsia="宋体" w:cs="Times New Roman"/>
                <w:color w:val="auto"/>
              </w:rPr>
              <w:t>9.2</w:t>
            </w:r>
          </w:p>
        </w:tc>
      </w:tr>
      <w:tr w14:paraId="0B2DC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75F68998">
            <w:pPr>
              <w:spacing w:line="320" w:lineRule="exact"/>
              <w:jc w:val="center"/>
              <w:rPr>
                <w:rFonts w:ascii="宋体" w:hAnsi="宋体" w:eastAsia="宋体" w:cs="Times New Roman"/>
                <w:color w:val="auto"/>
              </w:rPr>
            </w:pPr>
            <w:r>
              <w:rPr>
                <w:rFonts w:ascii="宋体" w:hAnsi="宋体" w:eastAsia="宋体" w:cs="Times New Roman"/>
                <w:color w:val="auto"/>
              </w:rPr>
              <w:t>09</w:t>
            </w:r>
          </w:p>
        </w:tc>
        <w:tc>
          <w:tcPr>
            <w:tcW w:w="325" w:type="dxa"/>
            <w:tcBorders>
              <w:left w:val="single" w:color="000000" w:sz="4" w:space="0"/>
              <w:right w:val="single" w:color="000000" w:sz="4" w:space="0"/>
            </w:tcBorders>
            <w:vAlign w:val="center"/>
          </w:tcPr>
          <w:p w14:paraId="0E098229">
            <w:pPr>
              <w:spacing w:line="320" w:lineRule="exact"/>
              <w:jc w:val="center"/>
              <w:rPr>
                <w:rFonts w:ascii="宋体" w:hAnsi="宋体" w:eastAsia="宋体" w:cs="Times New Roman"/>
                <w:color w:val="auto"/>
              </w:rPr>
            </w:pPr>
            <w:r>
              <w:rPr>
                <w:rFonts w:ascii="宋体" w:hAnsi="宋体" w:eastAsia="宋体" w:cs="Times New Roman"/>
                <w:color w:val="auto"/>
              </w:rPr>
              <w:t>6.4</w:t>
            </w:r>
          </w:p>
        </w:tc>
        <w:tc>
          <w:tcPr>
            <w:tcW w:w="522" w:type="dxa"/>
            <w:tcBorders>
              <w:left w:val="single" w:color="000000" w:sz="4" w:space="0"/>
              <w:right w:val="single" w:color="000000" w:sz="4" w:space="0"/>
            </w:tcBorders>
            <w:vAlign w:val="center"/>
          </w:tcPr>
          <w:p w14:paraId="1DD30EC7">
            <w:pPr>
              <w:spacing w:line="320" w:lineRule="exact"/>
              <w:jc w:val="center"/>
              <w:rPr>
                <w:rFonts w:ascii="宋体" w:hAnsi="宋体" w:eastAsia="宋体" w:cs="Times New Roman"/>
                <w:color w:val="auto"/>
              </w:rPr>
            </w:pPr>
            <w:r>
              <w:rPr>
                <w:rFonts w:ascii="宋体" w:hAnsi="宋体" w:eastAsia="宋体" w:cs="Times New Roman"/>
                <w:color w:val="auto"/>
              </w:rPr>
              <w:t>5.9</w:t>
            </w:r>
          </w:p>
        </w:tc>
        <w:tc>
          <w:tcPr>
            <w:tcW w:w="345" w:type="dxa"/>
            <w:tcBorders>
              <w:left w:val="single" w:color="000000" w:sz="4" w:space="0"/>
              <w:right w:val="single" w:color="000000" w:sz="4" w:space="0"/>
            </w:tcBorders>
            <w:vAlign w:val="center"/>
          </w:tcPr>
          <w:p w14:paraId="44EA9E64">
            <w:pPr>
              <w:spacing w:line="320" w:lineRule="exact"/>
              <w:jc w:val="center"/>
              <w:rPr>
                <w:rFonts w:ascii="宋体" w:hAnsi="宋体" w:eastAsia="宋体" w:cs="Times New Roman"/>
                <w:color w:val="auto"/>
              </w:rPr>
            </w:pPr>
            <w:r>
              <w:rPr>
                <w:rFonts w:ascii="宋体" w:hAnsi="宋体" w:eastAsia="宋体" w:cs="Times New Roman"/>
                <w:color w:val="auto"/>
              </w:rPr>
              <w:t>4.4</w:t>
            </w:r>
          </w:p>
        </w:tc>
        <w:tc>
          <w:tcPr>
            <w:tcW w:w="496" w:type="dxa"/>
            <w:tcBorders>
              <w:left w:val="single" w:color="000000" w:sz="4" w:space="0"/>
              <w:right w:val="single" w:color="000000" w:sz="4" w:space="0"/>
            </w:tcBorders>
            <w:vAlign w:val="center"/>
          </w:tcPr>
          <w:p w14:paraId="77CB41B5">
            <w:pPr>
              <w:spacing w:line="320" w:lineRule="exact"/>
              <w:jc w:val="center"/>
              <w:rPr>
                <w:rFonts w:ascii="宋体" w:hAnsi="宋体" w:eastAsia="宋体" w:cs="Times New Roman"/>
                <w:color w:val="auto"/>
              </w:rPr>
            </w:pPr>
            <w:r>
              <w:rPr>
                <w:rFonts w:ascii="宋体" w:hAnsi="宋体" w:eastAsia="宋体" w:cs="Times New Roman"/>
                <w:color w:val="auto"/>
              </w:rPr>
              <w:t>4.5</w:t>
            </w:r>
          </w:p>
        </w:tc>
        <w:tc>
          <w:tcPr>
            <w:tcW w:w="325" w:type="dxa"/>
            <w:tcBorders>
              <w:left w:val="single" w:color="000000" w:sz="4" w:space="0"/>
              <w:right w:val="single" w:color="000000" w:sz="4" w:space="0"/>
            </w:tcBorders>
            <w:vAlign w:val="center"/>
          </w:tcPr>
          <w:p w14:paraId="4BA4C5B9">
            <w:pPr>
              <w:spacing w:line="320" w:lineRule="exact"/>
              <w:jc w:val="center"/>
              <w:rPr>
                <w:rFonts w:ascii="宋体" w:hAnsi="宋体" w:eastAsia="宋体" w:cs="Times New Roman"/>
                <w:color w:val="auto"/>
              </w:rPr>
            </w:pPr>
            <w:r>
              <w:rPr>
                <w:rFonts w:ascii="宋体" w:hAnsi="宋体" w:eastAsia="宋体" w:cs="Times New Roman"/>
                <w:color w:val="auto"/>
              </w:rPr>
              <w:t>3.2</w:t>
            </w:r>
          </w:p>
        </w:tc>
        <w:tc>
          <w:tcPr>
            <w:tcW w:w="454" w:type="dxa"/>
            <w:tcBorders>
              <w:left w:val="single" w:color="000000" w:sz="4" w:space="0"/>
              <w:right w:val="single" w:color="000000" w:sz="4" w:space="0"/>
            </w:tcBorders>
            <w:vAlign w:val="center"/>
          </w:tcPr>
          <w:p w14:paraId="0B42258C">
            <w:pPr>
              <w:spacing w:line="320" w:lineRule="exact"/>
              <w:jc w:val="center"/>
              <w:rPr>
                <w:rFonts w:ascii="宋体" w:hAnsi="宋体" w:eastAsia="宋体" w:cs="Times New Roman"/>
                <w:color w:val="auto"/>
              </w:rPr>
            </w:pPr>
            <w:r>
              <w:rPr>
                <w:rFonts w:ascii="宋体" w:hAnsi="宋体" w:eastAsia="宋体" w:cs="Times New Roman"/>
                <w:color w:val="auto"/>
              </w:rPr>
              <w:t>4.1</w:t>
            </w:r>
          </w:p>
        </w:tc>
        <w:tc>
          <w:tcPr>
            <w:tcW w:w="325" w:type="dxa"/>
            <w:tcBorders>
              <w:left w:val="single" w:color="000000" w:sz="4" w:space="0"/>
              <w:right w:val="single" w:color="000000" w:sz="4" w:space="0"/>
            </w:tcBorders>
            <w:vAlign w:val="center"/>
          </w:tcPr>
          <w:p w14:paraId="03A72F73">
            <w:pPr>
              <w:spacing w:line="320" w:lineRule="exact"/>
              <w:jc w:val="center"/>
              <w:rPr>
                <w:rFonts w:ascii="宋体" w:hAnsi="宋体" w:eastAsia="宋体" w:cs="Times New Roman"/>
                <w:color w:val="auto"/>
              </w:rPr>
            </w:pPr>
            <w:r>
              <w:rPr>
                <w:rFonts w:ascii="宋体" w:hAnsi="宋体" w:eastAsia="宋体" w:cs="Times New Roman"/>
                <w:color w:val="auto"/>
              </w:rPr>
              <w:t>5.3</w:t>
            </w:r>
          </w:p>
        </w:tc>
        <w:tc>
          <w:tcPr>
            <w:tcW w:w="440" w:type="dxa"/>
            <w:tcBorders>
              <w:left w:val="single" w:color="000000" w:sz="4" w:space="0"/>
              <w:right w:val="single" w:color="000000" w:sz="4" w:space="0"/>
            </w:tcBorders>
            <w:vAlign w:val="center"/>
          </w:tcPr>
          <w:p w14:paraId="3FD3FC1C">
            <w:pPr>
              <w:spacing w:line="320" w:lineRule="exact"/>
              <w:jc w:val="center"/>
              <w:rPr>
                <w:rFonts w:ascii="宋体" w:hAnsi="宋体" w:eastAsia="宋体" w:cs="Times New Roman"/>
                <w:color w:val="auto"/>
              </w:rPr>
            </w:pPr>
            <w:r>
              <w:rPr>
                <w:rFonts w:ascii="宋体" w:hAnsi="宋体" w:eastAsia="宋体" w:cs="Times New Roman"/>
                <w:color w:val="auto"/>
              </w:rPr>
              <w:t>6.7</w:t>
            </w:r>
          </w:p>
        </w:tc>
        <w:tc>
          <w:tcPr>
            <w:tcW w:w="447" w:type="dxa"/>
            <w:tcBorders>
              <w:left w:val="single" w:color="000000" w:sz="4" w:space="0"/>
              <w:right w:val="single" w:color="000000" w:sz="4" w:space="0"/>
            </w:tcBorders>
            <w:vAlign w:val="center"/>
          </w:tcPr>
          <w:p w14:paraId="427B93E4">
            <w:pPr>
              <w:spacing w:line="320" w:lineRule="exact"/>
              <w:jc w:val="center"/>
              <w:rPr>
                <w:rFonts w:ascii="宋体" w:hAnsi="宋体" w:eastAsia="宋体" w:cs="Times New Roman"/>
                <w:color w:val="auto"/>
              </w:rPr>
            </w:pPr>
            <w:r>
              <w:rPr>
                <w:rFonts w:ascii="宋体" w:hAnsi="宋体" w:eastAsia="宋体" w:cs="Times New Roman"/>
                <w:color w:val="auto"/>
              </w:rPr>
              <w:t>12.2</w:t>
            </w:r>
          </w:p>
        </w:tc>
        <w:tc>
          <w:tcPr>
            <w:tcW w:w="522" w:type="dxa"/>
            <w:tcBorders>
              <w:left w:val="single" w:color="000000" w:sz="4" w:space="0"/>
              <w:right w:val="single" w:color="000000" w:sz="4" w:space="0"/>
            </w:tcBorders>
            <w:vAlign w:val="center"/>
          </w:tcPr>
          <w:p w14:paraId="19E563E1">
            <w:pPr>
              <w:spacing w:line="320" w:lineRule="exact"/>
              <w:jc w:val="center"/>
              <w:rPr>
                <w:rFonts w:ascii="宋体" w:hAnsi="宋体" w:eastAsia="宋体" w:cs="Times New Roman"/>
                <w:color w:val="auto"/>
              </w:rPr>
            </w:pPr>
            <w:r>
              <w:rPr>
                <w:rFonts w:ascii="宋体" w:hAnsi="宋体" w:eastAsia="宋体" w:cs="Times New Roman"/>
                <w:color w:val="auto"/>
              </w:rPr>
              <w:t>9.6</w:t>
            </w:r>
          </w:p>
        </w:tc>
        <w:tc>
          <w:tcPr>
            <w:tcW w:w="385" w:type="dxa"/>
            <w:tcBorders>
              <w:left w:val="single" w:color="000000" w:sz="4" w:space="0"/>
              <w:right w:val="single" w:color="000000" w:sz="4" w:space="0"/>
            </w:tcBorders>
            <w:vAlign w:val="center"/>
          </w:tcPr>
          <w:p w14:paraId="10355E3F">
            <w:pPr>
              <w:spacing w:line="320" w:lineRule="exact"/>
              <w:jc w:val="center"/>
              <w:rPr>
                <w:rFonts w:ascii="宋体" w:hAnsi="宋体" w:eastAsia="宋体" w:cs="Times New Roman"/>
                <w:color w:val="auto"/>
              </w:rPr>
            </w:pPr>
            <w:r>
              <w:rPr>
                <w:rFonts w:ascii="宋体" w:hAnsi="宋体" w:eastAsia="宋体" w:cs="Times New Roman"/>
                <w:color w:val="auto"/>
              </w:rPr>
              <w:t>6.3</w:t>
            </w:r>
          </w:p>
        </w:tc>
        <w:tc>
          <w:tcPr>
            <w:tcW w:w="617" w:type="dxa"/>
            <w:tcBorders>
              <w:left w:val="single" w:color="000000" w:sz="4" w:space="0"/>
              <w:right w:val="single" w:color="000000" w:sz="4" w:space="0"/>
            </w:tcBorders>
            <w:vAlign w:val="center"/>
          </w:tcPr>
          <w:p w14:paraId="6A6D5081">
            <w:pPr>
              <w:spacing w:line="320" w:lineRule="exact"/>
              <w:jc w:val="center"/>
              <w:rPr>
                <w:rFonts w:ascii="宋体" w:hAnsi="宋体" w:eastAsia="宋体" w:cs="Times New Roman"/>
                <w:color w:val="auto"/>
              </w:rPr>
            </w:pPr>
            <w:r>
              <w:rPr>
                <w:rFonts w:ascii="宋体" w:hAnsi="宋体" w:eastAsia="宋体" w:cs="Times New Roman"/>
                <w:color w:val="auto"/>
              </w:rPr>
              <w:t>7.2</w:t>
            </w:r>
          </w:p>
        </w:tc>
        <w:tc>
          <w:tcPr>
            <w:tcW w:w="325" w:type="dxa"/>
            <w:tcBorders>
              <w:left w:val="single" w:color="000000" w:sz="4" w:space="0"/>
              <w:right w:val="single" w:color="000000" w:sz="4" w:space="0"/>
            </w:tcBorders>
            <w:vAlign w:val="center"/>
          </w:tcPr>
          <w:p w14:paraId="7EB658D9">
            <w:pPr>
              <w:spacing w:line="320" w:lineRule="exact"/>
              <w:jc w:val="center"/>
              <w:rPr>
                <w:rFonts w:ascii="宋体" w:hAnsi="宋体" w:eastAsia="宋体" w:cs="Times New Roman"/>
                <w:color w:val="auto"/>
              </w:rPr>
            </w:pPr>
            <w:r>
              <w:rPr>
                <w:rFonts w:ascii="宋体" w:hAnsi="宋体" w:eastAsia="宋体" w:cs="Times New Roman"/>
                <w:color w:val="auto"/>
              </w:rPr>
              <w:t>5.7</w:t>
            </w:r>
          </w:p>
        </w:tc>
        <w:tc>
          <w:tcPr>
            <w:tcW w:w="659" w:type="dxa"/>
            <w:tcBorders>
              <w:left w:val="single" w:color="000000" w:sz="4" w:space="0"/>
              <w:right w:val="single" w:color="000000" w:sz="4" w:space="0"/>
            </w:tcBorders>
            <w:vAlign w:val="center"/>
          </w:tcPr>
          <w:p w14:paraId="347B83EE">
            <w:pPr>
              <w:spacing w:line="320" w:lineRule="exact"/>
              <w:jc w:val="center"/>
              <w:rPr>
                <w:rFonts w:ascii="宋体" w:hAnsi="宋体" w:eastAsia="宋体" w:cs="Times New Roman"/>
                <w:color w:val="auto"/>
              </w:rPr>
            </w:pPr>
            <w:r>
              <w:rPr>
                <w:rFonts w:ascii="宋体" w:hAnsi="宋体" w:eastAsia="宋体" w:cs="Times New Roman"/>
                <w:color w:val="auto"/>
              </w:rPr>
              <w:t>6.6</w:t>
            </w:r>
          </w:p>
        </w:tc>
        <w:tc>
          <w:tcPr>
            <w:tcW w:w="447" w:type="dxa"/>
            <w:tcBorders>
              <w:left w:val="single" w:color="000000" w:sz="4" w:space="0"/>
              <w:right w:val="single" w:color="000000" w:sz="4" w:space="0"/>
            </w:tcBorders>
            <w:vAlign w:val="center"/>
          </w:tcPr>
          <w:p w14:paraId="0181081F">
            <w:pPr>
              <w:spacing w:line="320" w:lineRule="exact"/>
              <w:jc w:val="center"/>
              <w:rPr>
                <w:rFonts w:ascii="宋体" w:hAnsi="宋体" w:eastAsia="宋体" w:cs="Times New Roman"/>
                <w:color w:val="auto"/>
              </w:rPr>
            </w:pPr>
            <w:r>
              <w:rPr>
                <w:rFonts w:ascii="宋体" w:hAnsi="宋体" w:eastAsia="宋体" w:cs="Times New Roman"/>
                <w:color w:val="auto"/>
              </w:rPr>
              <w:t>5.2</w:t>
            </w:r>
          </w:p>
        </w:tc>
        <w:tc>
          <w:tcPr>
            <w:tcW w:w="603" w:type="dxa"/>
            <w:tcBorders>
              <w:left w:val="single" w:color="000000" w:sz="4" w:space="0"/>
              <w:right w:val="single" w:color="000000" w:sz="4" w:space="0"/>
            </w:tcBorders>
            <w:vAlign w:val="center"/>
          </w:tcPr>
          <w:p w14:paraId="4E214BC0">
            <w:pPr>
              <w:spacing w:line="320" w:lineRule="exact"/>
              <w:jc w:val="center"/>
              <w:rPr>
                <w:rFonts w:ascii="宋体" w:hAnsi="宋体" w:eastAsia="宋体" w:cs="Times New Roman"/>
                <w:color w:val="auto"/>
              </w:rPr>
            </w:pPr>
            <w:r>
              <w:rPr>
                <w:rFonts w:ascii="宋体" w:hAnsi="宋体" w:eastAsia="宋体" w:cs="Times New Roman"/>
                <w:color w:val="auto"/>
              </w:rPr>
              <w:t>5.6</w:t>
            </w:r>
          </w:p>
        </w:tc>
        <w:tc>
          <w:tcPr>
            <w:tcW w:w="347" w:type="dxa"/>
            <w:tcBorders>
              <w:left w:val="single" w:color="000000" w:sz="4" w:space="0"/>
              <w:right w:val="single" w:color="000000" w:sz="10" w:space="0"/>
            </w:tcBorders>
            <w:vAlign w:val="center"/>
          </w:tcPr>
          <w:p w14:paraId="6E63F152">
            <w:pPr>
              <w:spacing w:line="320" w:lineRule="exact"/>
              <w:jc w:val="center"/>
              <w:rPr>
                <w:rFonts w:ascii="宋体" w:hAnsi="宋体" w:eastAsia="宋体" w:cs="Times New Roman"/>
                <w:color w:val="auto"/>
              </w:rPr>
            </w:pPr>
            <w:r>
              <w:rPr>
                <w:rFonts w:ascii="宋体" w:hAnsi="宋体" w:eastAsia="宋体" w:cs="Times New Roman"/>
                <w:color w:val="auto"/>
              </w:rPr>
              <w:t>7.8</w:t>
            </w:r>
          </w:p>
        </w:tc>
      </w:tr>
      <w:tr w14:paraId="30D48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75B80162">
            <w:pPr>
              <w:spacing w:line="320" w:lineRule="exact"/>
              <w:jc w:val="center"/>
              <w:rPr>
                <w:rFonts w:ascii="宋体" w:hAnsi="宋体" w:eastAsia="宋体" w:cs="Times New Roman"/>
                <w:color w:val="auto"/>
              </w:rPr>
            </w:pPr>
            <w:r>
              <w:rPr>
                <w:rFonts w:ascii="宋体" w:hAnsi="宋体" w:eastAsia="宋体" w:cs="Times New Roman"/>
                <w:color w:val="auto"/>
              </w:rPr>
              <w:t>10</w:t>
            </w:r>
          </w:p>
        </w:tc>
        <w:tc>
          <w:tcPr>
            <w:tcW w:w="325" w:type="dxa"/>
            <w:tcBorders>
              <w:left w:val="single" w:color="000000" w:sz="4" w:space="0"/>
              <w:right w:val="single" w:color="000000" w:sz="4" w:space="0"/>
            </w:tcBorders>
            <w:vAlign w:val="center"/>
          </w:tcPr>
          <w:p w14:paraId="2F1A0862">
            <w:pPr>
              <w:spacing w:line="320" w:lineRule="exact"/>
              <w:jc w:val="center"/>
              <w:rPr>
                <w:rFonts w:ascii="宋体" w:hAnsi="宋体" w:eastAsia="宋体" w:cs="Times New Roman"/>
                <w:color w:val="auto"/>
              </w:rPr>
            </w:pPr>
            <w:r>
              <w:rPr>
                <w:rFonts w:ascii="宋体" w:hAnsi="宋体" w:eastAsia="宋体" w:cs="Times New Roman"/>
                <w:color w:val="auto"/>
              </w:rPr>
              <w:t>7.2</w:t>
            </w:r>
          </w:p>
        </w:tc>
        <w:tc>
          <w:tcPr>
            <w:tcW w:w="522" w:type="dxa"/>
            <w:tcBorders>
              <w:left w:val="single" w:color="000000" w:sz="4" w:space="0"/>
              <w:right w:val="single" w:color="000000" w:sz="4" w:space="0"/>
            </w:tcBorders>
            <w:vAlign w:val="center"/>
          </w:tcPr>
          <w:p w14:paraId="14C07424">
            <w:pPr>
              <w:spacing w:line="320" w:lineRule="exact"/>
              <w:jc w:val="center"/>
              <w:rPr>
                <w:rFonts w:ascii="宋体" w:hAnsi="宋体" w:eastAsia="宋体" w:cs="Times New Roman"/>
                <w:color w:val="auto"/>
              </w:rPr>
            </w:pPr>
            <w:r>
              <w:rPr>
                <w:rFonts w:ascii="宋体" w:hAnsi="宋体" w:eastAsia="宋体" w:cs="Times New Roman"/>
                <w:color w:val="auto"/>
              </w:rPr>
              <w:t>4.5</w:t>
            </w:r>
          </w:p>
        </w:tc>
        <w:tc>
          <w:tcPr>
            <w:tcW w:w="345" w:type="dxa"/>
            <w:tcBorders>
              <w:left w:val="single" w:color="000000" w:sz="4" w:space="0"/>
              <w:right w:val="single" w:color="000000" w:sz="4" w:space="0"/>
            </w:tcBorders>
            <w:vAlign w:val="center"/>
          </w:tcPr>
          <w:p w14:paraId="36344911">
            <w:pPr>
              <w:spacing w:line="320" w:lineRule="exact"/>
              <w:jc w:val="center"/>
              <w:rPr>
                <w:rFonts w:ascii="宋体" w:hAnsi="宋体" w:eastAsia="宋体" w:cs="Times New Roman"/>
                <w:color w:val="auto"/>
              </w:rPr>
            </w:pPr>
            <w:r>
              <w:rPr>
                <w:rFonts w:ascii="宋体" w:hAnsi="宋体" w:eastAsia="宋体" w:cs="Times New Roman"/>
                <w:color w:val="auto"/>
              </w:rPr>
              <w:t>3.2</w:t>
            </w:r>
          </w:p>
        </w:tc>
        <w:tc>
          <w:tcPr>
            <w:tcW w:w="496" w:type="dxa"/>
            <w:tcBorders>
              <w:left w:val="single" w:color="000000" w:sz="4" w:space="0"/>
              <w:right w:val="single" w:color="000000" w:sz="4" w:space="0"/>
            </w:tcBorders>
            <w:vAlign w:val="center"/>
          </w:tcPr>
          <w:p w14:paraId="0EE3EFAA">
            <w:pPr>
              <w:spacing w:line="320" w:lineRule="exact"/>
              <w:jc w:val="center"/>
              <w:rPr>
                <w:rFonts w:ascii="宋体" w:hAnsi="宋体" w:eastAsia="宋体" w:cs="Times New Roman"/>
                <w:color w:val="auto"/>
              </w:rPr>
            </w:pPr>
            <w:r>
              <w:rPr>
                <w:rFonts w:ascii="宋体" w:hAnsi="宋体" w:eastAsia="宋体" w:cs="Times New Roman"/>
                <w:color w:val="auto"/>
              </w:rPr>
              <w:t>2.9</w:t>
            </w:r>
          </w:p>
        </w:tc>
        <w:tc>
          <w:tcPr>
            <w:tcW w:w="325" w:type="dxa"/>
            <w:tcBorders>
              <w:left w:val="single" w:color="000000" w:sz="4" w:space="0"/>
              <w:right w:val="single" w:color="000000" w:sz="4" w:space="0"/>
            </w:tcBorders>
            <w:vAlign w:val="center"/>
          </w:tcPr>
          <w:p w14:paraId="596E021B">
            <w:pPr>
              <w:spacing w:line="320" w:lineRule="exact"/>
              <w:jc w:val="center"/>
              <w:rPr>
                <w:rFonts w:ascii="宋体" w:hAnsi="宋体" w:eastAsia="宋体" w:cs="Times New Roman"/>
                <w:color w:val="auto"/>
              </w:rPr>
            </w:pPr>
            <w:r>
              <w:rPr>
                <w:rFonts w:ascii="宋体" w:hAnsi="宋体" w:eastAsia="宋体" w:cs="Times New Roman"/>
                <w:color w:val="auto"/>
              </w:rPr>
              <w:t>2.2</w:t>
            </w:r>
          </w:p>
        </w:tc>
        <w:tc>
          <w:tcPr>
            <w:tcW w:w="454" w:type="dxa"/>
            <w:tcBorders>
              <w:left w:val="single" w:color="000000" w:sz="4" w:space="0"/>
              <w:right w:val="single" w:color="000000" w:sz="4" w:space="0"/>
            </w:tcBorders>
            <w:vAlign w:val="center"/>
          </w:tcPr>
          <w:p w14:paraId="6C53AC3C">
            <w:pPr>
              <w:spacing w:line="320" w:lineRule="exact"/>
              <w:jc w:val="center"/>
              <w:rPr>
                <w:rFonts w:ascii="宋体" w:hAnsi="宋体" w:eastAsia="宋体" w:cs="Times New Roman"/>
                <w:color w:val="auto"/>
              </w:rPr>
            </w:pPr>
            <w:r>
              <w:rPr>
                <w:rFonts w:ascii="宋体" w:hAnsi="宋体" w:eastAsia="宋体" w:cs="Times New Roman"/>
                <w:color w:val="auto"/>
              </w:rPr>
              <w:t>2.3</w:t>
            </w:r>
          </w:p>
        </w:tc>
        <w:tc>
          <w:tcPr>
            <w:tcW w:w="325" w:type="dxa"/>
            <w:tcBorders>
              <w:left w:val="single" w:color="000000" w:sz="4" w:space="0"/>
              <w:right w:val="single" w:color="000000" w:sz="4" w:space="0"/>
            </w:tcBorders>
            <w:vAlign w:val="center"/>
          </w:tcPr>
          <w:p w14:paraId="61035F40">
            <w:pPr>
              <w:spacing w:line="320" w:lineRule="exact"/>
              <w:jc w:val="center"/>
              <w:rPr>
                <w:rFonts w:ascii="宋体" w:hAnsi="宋体" w:eastAsia="宋体" w:cs="Times New Roman"/>
                <w:color w:val="auto"/>
              </w:rPr>
            </w:pPr>
            <w:r>
              <w:rPr>
                <w:rFonts w:ascii="宋体" w:hAnsi="宋体" w:eastAsia="宋体" w:cs="Times New Roman"/>
                <w:color w:val="auto"/>
              </w:rPr>
              <w:t>3.2</w:t>
            </w:r>
          </w:p>
        </w:tc>
        <w:tc>
          <w:tcPr>
            <w:tcW w:w="440" w:type="dxa"/>
            <w:tcBorders>
              <w:left w:val="single" w:color="000000" w:sz="4" w:space="0"/>
              <w:right w:val="single" w:color="000000" w:sz="4" w:space="0"/>
            </w:tcBorders>
            <w:vAlign w:val="center"/>
          </w:tcPr>
          <w:p w14:paraId="5969F1FD">
            <w:pPr>
              <w:spacing w:line="320" w:lineRule="exact"/>
              <w:jc w:val="center"/>
              <w:rPr>
                <w:rFonts w:ascii="宋体" w:hAnsi="宋体" w:eastAsia="宋体" w:cs="Times New Roman"/>
                <w:color w:val="auto"/>
              </w:rPr>
            </w:pPr>
            <w:r>
              <w:rPr>
                <w:rFonts w:ascii="宋体" w:hAnsi="宋体" w:eastAsia="宋体" w:cs="Times New Roman"/>
                <w:color w:val="auto"/>
              </w:rPr>
              <w:t>4.5</w:t>
            </w:r>
          </w:p>
        </w:tc>
        <w:tc>
          <w:tcPr>
            <w:tcW w:w="447" w:type="dxa"/>
            <w:tcBorders>
              <w:left w:val="single" w:color="000000" w:sz="4" w:space="0"/>
              <w:right w:val="single" w:color="000000" w:sz="4" w:space="0"/>
            </w:tcBorders>
            <w:vAlign w:val="center"/>
          </w:tcPr>
          <w:p w14:paraId="50756BA6">
            <w:pPr>
              <w:spacing w:line="320" w:lineRule="exact"/>
              <w:jc w:val="center"/>
              <w:rPr>
                <w:rFonts w:ascii="宋体" w:hAnsi="宋体" w:eastAsia="宋体" w:cs="Times New Roman"/>
                <w:color w:val="auto"/>
              </w:rPr>
            </w:pPr>
            <w:r>
              <w:rPr>
                <w:rFonts w:ascii="宋体" w:hAnsi="宋体" w:eastAsia="宋体" w:cs="Times New Roman"/>
                <w:color w:val="auto"/>
              </w:rPr>
              <w:t>12.5</w:t>
            </w:r>
          </w:p>
        </w:tc>
        <w:tc>
          <w:tcPr>
            <w:tcW w:w="522" w:type="dxa"/>
            <w:tcBorders>
              <w:left w:val="single" w:color="000000" w:sz="4" w:space="0"/>
              <w:right w:val="single" w:color="000000" w:sz="4" w:space="0"/>
            </w:tcBorders>
            <w:vAlign w:val="center"/>
          </w:tcPr>
          <w:p w14:paraId="43AF98FE">
            <w:pPr>
              <w:spacing w:line="320" w:lineRule="exact"/>
              <w:jc w:val="center"/>
              <w:rPr>
                <w:rFonts w:ascii="宋体" w:hAnsi="宋体" w:eastAsia="宋体" w:cs="Times New Roman"/>
                <w:color w:val="auto"/>
              </w:rPr>
            </w:pPr>
            <w:r>
              <w:rPr>
                <w:rFonts w:ascii="宋体" w:hAnsi="宋体" w:eastAsia="宋体" w:cs="Times New Roman"/>
                <w:color w:val="auto"/>
              </w:rPr>
              <w:t>10.4</w:t>
            </w:r>
          </w:p>
        </w:tc>
        <w:tc>
          <w:tcPr>
            <w:tcW w:w="385" w:type="dxa"/>
            <w:tcBorders>
              <w:left w:val="single" w:color="000000" w:sz="4" w:space="0"/>
              <w:right w:val="single" w:color="000000" w:sz="4" w:space="0"/>
            </w:tcBorders>
            <w:vAlign w:val="center"/>
          </w:tcPr>
          <w:p w14:paraId="428D325F">
            <w:pPr>
              <w:spacing w:line="320" w:lineRule="exact"/>
              <w:jc w:val="center"/>
              <w:rPr>
                <w:rFonts w:ascii="宋体" w:hAnsi="宋体" w:eastAsia="宋体" w:cs="Times New Roman"/>
                <w:color w:val="auto"/>
              </w:rPr>
            </w:pPr>
            <w:r>
              <w:rPr>
                <w:rFonts w:ascii="宋体" w:hAnsi="宋体" w:eastAsia="宋体" w:cs="Times New Roman"/>
                <w:color w:val="auto"/>
              </w:rPr>
              <w:t>8</w:t>
            </w:r>
          </w:p>
        </w:tc>
        <w:tc>
          <w:tcPr>
            <w:tcW w:w="617" w:type="dxa"/>
            <w:tcBorders>
              <w:left w:val="single" w:color="000000" w:sz="4" w:space="0"/>
              <w:right w:val="single" w:color="000000" w:sz="4" w:space="0"/>
            </w:tcBorders>
            <w:vAlign w:val="center"/>
          </w:tcPr>
          <w:p w14:paraId="3DD24825">
            <w:pPr>
              <w:spacing w:line="320" w:lineRule="exact"/>
              <w:jc w:val="center"/>
              <w:rPr>
                <w:rFonts w:ascii="宋体" w:hAnsi="宋体" w:eastAsia="宋体" w:cs="Times New Roman"/>
                <w:color w:val="auto"/>
              </w:rPr>
            </w:pPr>
            <w:r>
              <w:rPr>
                <w:rFonts w:ascii="宋体" w:hAnsi="宋体" w:eastAsia="宋体" w:cs="Times New Roman"/>
                <w:color w:val="auto"/>
              </w:rPr>
              <w:t>10.4</w:t>
            </w:r>
          </w:p>
        </w:tc>
        <w:tc>
          <w:tcPr>
            <w:tcW w:w="325" w:type="dxa"/>
            <w:tcBorders>
              <w:left w:val="single" w:color="000000" w:sz="4" w:space="0"/>
              <w:right w:val="single" w:color="000000" w:sz="4" w:space="0"/>
            </w:tcBorders>
            <w:vAlign w:val="center"/>
          </w:tcPr>
          <w:p w14:paraId="472680EB">
            <w:pPr>
              <w:spacing w:line="320" w:lineRule="exact"/>
              <w:jc w:val="center"/>
              <w:rPr>
                <w:rFonts w:ascii="宋体" w:hAnsi="宋体" w:eastAsia="宋体" w:cs="Times New Roman"/>
                <w:color w:val="auto"/>
              </w:rPr>
            </w:pPr>
            <w:r>
              <w:rPr>
                <w:rFonts w:ascii="宋体" w:hAnsi="宋体" w:eastAsia="宋体" w:cs="Times New Roman"/>
                <w:color w:val="auto"/>
              </w:rPr>
              <w:t>8.9</w:t>
            </w:r>
          </w:p>
        </w:tc>
        <w:tc>
          <w:tcPr>
            <w:tcW w:w="659" w:type="dxa"/>
            <w:tcBorders>
              <w:left w:val="single" w:color="000000" w:sz="4" w:space="0"/>
              <w:right w:val="single" w:color="000000" w:sz="4" w:space="0"/>
            </w:tcBorders>
            <w:vAlign w:val="center"/>
          </w:tcPr>
          <w:p w14:paraId="2B2C8A2B">
            <w:pPr>
              <w:spacing w:line="320" w:lineRule="exact"/>
              <w:jc w:val="center"/>
              <w:rPr>
                <w:rFonts w:ascii="宋体" w:hAnsi="宋体" w:eastAsia="宋体" w:cs="Times New Roman"/>
                <w:color w:val="auto"/>
              </w:rPr>
            </w:pPr>
            <w:r>
              <w:rPr>
                <w:rFonts w:ascii="宋体" w:hAnsi="宋体" w:eastAsia="宋体" w:cs="Times New Roman"/>
                <w:color w:val="auto"/>
              </w:rPr>
              <w:t>8.3</w:t>
            </w:r>
          </w:p>
        </w:tc>
        <w:tc>
          <w:tcPr>
            <w:tcW w:w="447" w:type="dxa"/>
            <w:tcBorders>
              <w:left w:val="single" w:color="000000" w:sz="4" w:space="0"/>
              <w:right w:val="single" w:color="000000" w:sz="4" w:space="0"/>
            </w:tcBorders>
            <w:vAlign w:val="center"/>
          </w:tcPr>
          <w:p w14:paraId="66BD6272">
            <w:pPr>
              <w:spacing w:line="320" w:lineRule="exact"/>
              <w:jc w:val="center"/>
              <w:rPr>
                <w:rFonts w:ascii="宋体" w:hAnsi="宋体" w:eastAsia="宋体" w:cs="Times New Roman"/>
                <w:color w:val="auto"/>
              </w:rPr>
            </w:pPr>
            <w:r>
              <w:rPr>
                <w:rFonts w:ascii="宋体" w:hAnsi="宋体" w:eastAsia="宋体" w:cs="Times New Roman"/>
                <w:color w:val="auto"/>
              </w:rPr>
              <w:t>7.9</w:t>
            </w:r>
          </w:p>
        </w:tc>
        <w:tc>
          <w:tcPr>
            <w:tcW w:w="603" w:type="dxa"/>
            <w:tcBorders>
              <w:left w:val="single" w:color="000000" w:sz="4" w:space="0"/>
              <w:right w:val="single" w:color="000000" w:sz="4" w:space="0"/>
            </w:tcBorders>
            <w:vAlign w:val="center"/>
          </w:tcPr>
          <w:p w14:paraId="0A768C8E">
            <w:pPr>
              <w:spacing w:line="320" w:lineRule="exact"/>
              <w:jc w:val="center"/>
              <w:rPr>
                <w:rFonts w:ascii="宋体" w:hAnsi="宋体" w:eastAsia="宋体" w:cs="Times New Roman"/>
                <w:color w:val="auto"/>
              </w:rPr>
            </w:pPr>
            <w:r>
              <w:rPr>
                <w:rFonts w:ascii="宋体" w:hAnsi="宋体" w:eastAsia="宋体" w:cs="Times New Roman"/>
                <w:color w:val="auto"/>
              </w:rPr>
              <w:t>6.2</w:t>
            </w:r>
          </w:p>
        </w:tc>
        <w:tc>
          <w:tcPr>
            <w:tcW w:w="347" w:type="dxa"/>
            <w:tcBorders>
              <w:left w:val="single" w:color="000000" w:sz="4" w:space="0"/>
              <w:right w:val="single" w:color="000000" w:sz="10" w:space="0"/>
            </w:tcBorders>
            <w:vAlign w:val="center"/>
          </w:tcPr>
          <w:p w14:paraId="00FACE99">
            <w:pPr>
              <w:spacing w:line="320" w:lineRule="exact"/>
              <w:jc w:val="center"/>
              <w:rPr>
                <w:rFonts w:ascii="宋体" w:hAnsi="宋体" w:eastAsia="宋体" w:cs="Times New Roman"/>
                <w:color w:val="auto"/>
              </w:rPr>
            </w:pPr>
            <w:r>
              <w:rPr>
                <w:rFonts w:ascii="宋体" w:hAnsi="宋体" w:eastAsia="宋体" w:cs="Times New Roman"/>
                <w:color w:val="auto"/>
              </w:rPr>
              <w:t>5.9</w:t>
            </w:r>
          </w:p>
        </w:tc>
      </w:tr>
      <w:tr w14:paraId="228F0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63697ACA">
            <w:pPr>
              <w:spacing w:line="320" w:lineRule="exact"/>
              <w:jc w:val="center"/>
              <w:rPr>
                <w:rFonts w:ascii="宋体" w:hAnsi="宋体" w:eastAsia="宋体" w:cs="Times New Roman"/>
                <w:color w:val="auto"/>
              </w:rPr>
            </w:pPr>
            <w:r>
              <w:rPr>
                <w:rFonts w:ascii="宋体" w:hAnsi="宋体" w:eastAsia="宋体" w:cs="Times New Roman"/>
                <w:color w:val="auto"/>
              </w:rPr>
              <w:t>11</w:t>
            </w:r>
          </w:p>
        </w:tc>
        <w:tc>
          <w:tcPr>
            <w:tcW w:w="325" w:type="dxa"/>
            <w:tcBorders>
              <w:left w:val="single" w:color="000000" w:sz="4" w:space="0"/>
              <w:right w:val="single" w:color="000000" w:sz="4" w:space="0"/>
            </w:tcBorders>
            <w:vAlign w:val="center"/>
          </w:tcPr>
          <w:p w14:paraId="60989380">
            <w:pPr>
              <w:spacing w:line="320" w:lineRule="exact"/>
              <w:jc w:val="center"/>
              <w:rPr>
                <w:rFonts w:ascii="宋体" w:hAnsi="宋体" w:eastAsia="宋体" w:cs="Times New Roman"/>
                <w:color w:val="auto"/>
              </w:rPr>
            </w:pPr>
            <w:r>
              <w:rPr>
                <w:rFonts w:ascii="宋体" w:hAnsi="宋体" w:eastAsia="宋体" w:cs="Times New Roman"/>
                <w:color w:val="auto"/>
              </w:rPr>
              <w:t>7.5</w:t>
            </w:r>
          </w:p>
        </w:tc>
        <w:tc>
          <w:tcPr>
            <w:tcW w:w="522" w:type="dxa"/>
            <w:tcBorders>
              <w:left w:val="single" w:color="000000" w:sz="4" w:space="0"/>
              <w:right w:val="single" w:color="000000" w:sz="4" w:space="0"/>
            </w:tcBorders>
            <w:vAlign w:val="center"/>
          </w:tcPr>
          <w:p w14:paraId="585F7E40">
            <w:pPr>
              <w:spacing w:line="320" w:lineRule="exact"/>
              <w:jc w:val="center"/>
              <w:rPr>
                <w:rFonts w:ascii="宋体" w:hAnsi="宋体" w:eastAsia="宋体" w:cs="Times New Roman"/>
                <w:color w:val="auto"/>
              </w:rPr>
            </w:pPr>
            <w:r>
              <w:rPr>
                <w:rFonts w:ascii="宋体" w:hAnsi="宋体" w:eastAsia="宋体" w:cs="Times New Roman"/>
                <w:color w:val="auto"/>
              </w:rPr>
              <w:t>4.9</w:t>
            </w:r>
          </w:p>
        </w:tc>
        <w:tc>
          <w:tcPr>
            <w:tcW w:w="345" w:type="dxa"/>
            <w:tcBorders>
              <w:left w:val="single" w:color="000000" w:sz="4" w:space="0"/>
              <w:right w:val="single" w:color="000000" w:sz="4" w:space="0"/>
            </w:tcBorders>
            <w:vAlign w:val="center"/>
          </w:tcPr>
          <w:p w14:paraId="627B348A">
            <w:pPr>
              <w:spacing w:line="320" w:lineRule="exact"/>
              <w:jc w:val="center"/>
              <w:rPr>
                <w:rFonts w:ascii="宋体" w:hAnsi="宋体" w:eastAsia="宋体" w:cs="Times New Roman"/>
                <w:color w:val="auto"/>
              </w:rPr>
            </w:pPr>
            <w:r>
              <w:rPr>
                <w:rFonts w:ascii="宋体" w:hAnsi="宋体" w:eastAsia="宋体" w:cs="Times New Roman"/>
                <w:color w:val="auto"/>
              </w:rPr>
              <w:t>3.3</w:t>
            </w:r>
          </w:p>
        </w:tc>
        <w:tc>
          <w:tcPr>
            <w:tcW w:w="496" w:type="dxa"/>
            <w:tcBorders>
              <w:left w:val="single" w:color="000000" w:sz="4" w:space="0"/>
              <w:right w:val="single" w:color="000000" w:sz="4" w:space="0"/>
            </w:tcBorders>
            <w:vAlign w:val="center"/>
          </w:tcPr>
          <w:p w14:paraId="2B9B836D">
            <w:pPr>
              <w:spacing w:line="320" w:lineRule="exact"/>
              <w:jc w:val="center"/>
              <w:rPr>
                <w:rFonts w:ascii="宋体" w:hAnsi="宋体" w:eastAsia="宋体" w:cs="Times New Roman"/>
                <w:color w:val="auto"/>
              </w:rPr>
            </w:pPr>
            <w:r>
              <w:rPr>
                <w:rFonts w:ascii="宋体" w:hAnsi="宋体" w:eastAsia="宋体" w:cs="Times New Roman"/>
                <w:color w:val="auto"/>
              </w:rPr>
              <w:t>3.4</w:t>
            </w:r>
          </w:p>
        </w:tc>
        <w:tc>
          <w:tcPr>
            <w:tcW w:w="325" w:type="dxa"/>
            <w:tcBorders>
              <w:left w:val="single" w:color="000000" w:sz="4" w:space="0"/>
              <w:right w:val="single" w:color="000000" w:sz="4" w:space="0"/>
            </w:tcBorders>
            <w:vAlign w:val="center"/>
          </w:tcPr>
          <w:p w14:paraId="080DB8A7">
            <w:pPr>
              <w:spacing w:line="320" w:lineRule="exact"/>
              <w:jc w:val="center"/>
              <w:rPr>
                <w:rFonts w:ascii="宋体" w:hAnsi="宋体" w:eastAsia="宋体" w:cs="Times New Roman"/>
                <w:color w:val="auto"/>
              </w:rPr>
            </w:pPr>
            <w:r>
              <w:rPr>
                <w:rFonts w:ascii="宋体" w:hAnsi="宋体" w:eastAsia="宋体" w:cs="Times New Roman"/>
                <w:color w:val="auto"/>
              </w:rPr>
              <w:t>2.7</w:t>
            </w:r>
          </w:p>
        </w:tc>
        <w:tc>
          <w:tcPr>
            <w:tcW w:w="454" w:type="dxa"/>
            <w:tcBorders>
              <w:left w:val="single" w:color="000000" w:sz="4" w:space="0"/>
              <w:right w:val="single" w:color="000000" w:sz="4" w:space="0"/>
            </w:tcBorders>
            <w:vAlign w:val="center"/>
          </w:tcPr>
          <w:p w14:paraId="1171A029">
            <w:pPr>
              <w:spacing w:line="320" w:lineRule="exact"/>
              <w:jc w:val="center"/>
              <w:rPr>
                <w:rFonts w:ascii="宋体" w:hAnsi="宋体" w:eastAsia="宋体" w:cs="Times New Roman"/>
                <w:color w:val="auto"/>
              </w:rPr>
            </w:pPr>
            <w:r>
              <w:rPr>
                <w:rFonts w:ascii="宋体" w:hAnsi="宋体" w:eastAsia="宋体" w:cs="Times New Roman"/>
                <w:color w:val="auto"/>
              </w:rPr>
              <w:t>2.4</w:t>
            </w:r>
          </w:p>
        </w:tc>
        <w:tc>
          <w:tcPr>
            <w:tcW w:w="325" w:type="dxa"/>
            <w:tcBorders>
              <w:left w:val="single" w:color="000000" w:sz="4" w:space="0"/>
              <w:right w:val="single" w:color="000000" w:sz="4" w:space="0"/>
            </w:tcBorders>
            <w:vAlign w:val="center"/>
          </w:tcPr>
          <w:p w14:paraId="4F19EEEE">
            <w:pPr>
              <w:spacing w:line="320" w:lineRule="exact"/>
              <w:jc w:val="center"/>
              <w:rPr>
                <w:rFonts w:ascii="宋体" w:hAnsi="宋体" w:eastAsia="宋体" w:cs="Times New Roman"/>
                <w:color w:val="auto"/>
              </w:rPr>
            </w:pPr>
            <w:r>
              <w:rPr>
                <w:rFonts w:ascii="宋体" w:hAnsi="宋体" w:eastAsia="宋体" w:cs="Times New Roman"/>
                <w:color w:val="auto"/>
              </w:rPr>
              <w:t>2.8</w:t>
            </w:r>
          </w:p>
        </w:tc>
        <w:tc>
          <w:tcPr>
            <w:tcW w:w="440" w:type="dxa"/>
            <w:tcBorders>
              <w:left w:val="single" w:color="000000" w:sz="4" w:space="0"/>
              <w:right w:val="single" w:color="000000" w:sz="4" w:space="0"/>
            </w:tcBorders>
            <w:vAlign w:val="center"/>
          </w:tcPr>
          <w:p w14:paraId="30EFF67B">
            <w:pPr>
              <w:spacing w:line="320" w:lineRule="exact"/>
              <w:jc w:val="center"/>
              <w:rPr>
                <w:rFonts w:ascii="宋体" w:hAnsi="宋体" w:eastAsia="宋体" w:cs="Times New Roman"/>
                <w:color w:val="auto"/>
              </w:rPr>
            </w:pPr>
            <w:r>
              <w:rPr>
                <w:rFonts w:ascii="宋体" w:hAnsi="宋体" w:eastAsia="宋体" w:cs="Times New Roman"/>
                <w:color w:val="auto"/>
              </w:rPr>
              <w:t>4.3</w:t>
            </w:r>
          </w:p>
        </w:tc>
        <w:tc>
          <w:tcPr>
            <w:tcW w:w="447" w:type="dxa"/>
            <w:tcBorders>
              <w:left w:val="single" w:color="000000" w:sz="4" w:space="0"/>
              <w:right w:val="single" w:color="000000" w:sz="4" w:space="0"/>
            </w:tcBorders>
            <w:vAlign w:val="center"/>
          </w:tcPr>
          <w:p w14:paraId="00CF943F">
            <w:pPr>
              <w:spacing w:line="320" w:lineRule="exact"/>
              <w:jc w:val="center"/>
              <w:rPr>
                <w:rFonts w:ascii="宋体" w:hAnsi="宋体" w:eastAsia="宋体" w:cs="Times New Roman"/>
                <w:color w:val="auto"/>
              </w:rPr>
            </w:pPr>
            <w:r>
              <w:rPr>
                <w:rFonts w:ascii="宋体" w:hAnsi="宋体" w:eastAsia="宋体" w:cs="Times New Roman"/>
                <w:color w:val="auto"/>
              </w:rPr>
              <w:t>8.7</w:t>
            </w:r>
          </w:p>
        </w:tc>
        <w:tc>
          <w:tcPr>
            <w:tcW w:w="522" w:type="dxa"/>
            <w:tcBorders>
              <w:left w:val="single" w:color="000000" w:sz="4" w:space="0"/>
              <w:right w:val="single" w:color="000000" w:sz="4" w:space="0"/>
            </w:tcBorders>
            <w:vAlign w:val="center"/>
          </w:tcPr>
          <w:p w14:paraId="3676D3E8">
            <w:pPr>
              <w:spacing w:line="320" w:lineRule="exact"/>
              <w:jc w:val="center"/>
              <w:rPr>
                <w:rFonts w:ascii="宋体" w:hAnsi="宋体" w:eastAsia="宋体" w:cs="Times New Roman"/>
                <w:color w:val="auto"/>
              </w:rPr>
            </w:pPr>
            <w:r>
              <w:rPr>
                <w:rFonts w:ascii="宋体" w:hAnsi="宋体" w:eastAsia="宋体" w:cs="Times New Roman"/>
                <w:color w:val="auto"/>
              </w:rPr>
              <w:t>8.5</w:t>
            </w:r>
          </w:p>
        </w:tc>
        <w:tc>
          <w:tcPr>
            <w:tcW w:w="385" w:type="dxa"/>
            <w:tcBorders>
              <w:left w:val="single" w:color="000000" w:sz="4" w:space="0"/>
              <w:right w:val="single" w:color="000000" w:sz="4" w:space="0"/>
            </w:tcBorders>
            <w:vAlign w:val="center"/>
          </w:tcPr>
          <w:p w14:paraId="07AC4CC5">
            <w:pPr>
              <w:spacing w:line="320" w:lineRule="exact"/>
              <w:jc w:val="center"/>
              <w:rPr>
                <w:rFonts w:ascii="宋体" w:hAnsi="宋体" w:eastAsia="宋体" w:cs="Times New Roman"/>
                <w:color w:val="auto"/>
              </w:rPr>
            </w:pPr>
            <w:r>
              <w:rPr>
                <w:rFonts w:ascii="宋体" w:hAnsi="宋体" w:eastAsia="宋体" w:cs="Times New Roman"/>
                <w:color w:val="auto"/>
              </w:rPr>
              <w:t>7</w:t>
            </w:r>
          </w:p>
        </w:tc>
        <w:tc>
          <w:tcPr>
            <w:tcW w:w="617" w:type="dxa"/>
            <w:tcBorders>
              <w:left w:val="single" w:color="000000" w:sz="4" w:space="0"/>
              <w:right w:val="single" w:color="000000" w:sz="4" w:space="0"/>
            </w:tcBorders>
            <w:vAlign w:val="center"/>
          </w:tcPr>
          <w:p w14:paraId="7809C634">
            <w:pPr>
              <w:spacing w:line="320" w:lineRule="exact"/>
              <w:jc w:val="center"/>
              <w:rPr>
                <w:rFonts w:ascii="宋体" w:hAnsi="宋体" w:eastAsia="宋体" w:cs="Times New Roman"/>
                <w:color w:val="auto"/>
              </w:rPr>
            </w:pPr>
            <w:r>
              <w:rPr>
                <w:rFonts w:ascii="宋体" w:hAnsi="宋体" w:eastAsia="宋体" w:cs="Times New Roman"/>
                <w:color w:val="auto"/>
              </w:rPr>
              <w:t>11.1</w:t>
            </w:r>
          </w:p>
        </w:tc>
        <w:tc>
          <w:tcPr>
            <w:tcW w:w="325" w:type="dxa"/>
            <w:tcBorders>
              <w:left w:val="single" w:color="000000" w:sz="4" w:space="0"/>
              <w:right w:val="single" w:color="000000" w:sz="4" w:space="0"/>
            </w:tcBorders>
            <w:vAlign w:val="center"/>
          </w:tcPr>
          <w:p w14:paraId="2A05B247">
            <w:pPr>
              <w:spacing w:line="320" w:lineRule="exact"/>
              <w:jc w:val="center"/>
              <w:rPr>
                <w:rFonts w:ascii="宋体" w:hAnsi="宋体" w:eastAsia="宋体" w:cs="Times New Roman"/>
                <w:color w:val="auto"/>
              </w:rPr>
            </w:pPr>
            <w:r>
              <w:rPr>
                <w:rFonts w:ascii="宋体" w:hAnsi="宋体" w:eastAsia="宋体" w:cs="Times New Roman"/>
                <w:color w:val="auto"/>
              </w:rPr>
              <w:t>9</w:t>
            </w:r>
          </w:p>
        </w:tc>
        <w:tc>
          <w:tcPr>
            <w:tcW w:w="659" w:type="dxa"/>
            <w:tcBorders>
              <w:left w:val="single" w:color="000000" w:sz="4" w:space="0"/>
              <w:right w:val="single" w:color="000000" w:sz="4" w:space="0"/>
            </w:tcBorders>
            <w:vAlign w:val="center"/>
          </w:tcPr>
          <w:p w14:paraId="37950B29">
            <w:pPr>
              <w:spacing w:line="320" w:lineRule="exact"/>
              <w:jc w:val="center"/>
              <w:rPr>
                <w:rFonts w:ascii="宋体" w:hAnsi="宋体" w:eastAsia="宋体" w:cs="Times New Roman"/>
                <w:color w:val="auto"/>
              </w:rPr>
            </w:pPr>
            <w:r>
              <w:rPr>
                <w:rFonts w:ascii="宋体" w:hAnsi="宋体" w:eastAsia="宋体" w:cs="Times New Roman"/>
                <w:color w:val="auto"/>
              </w:rPr>
              <w:t>11.1</w:t>
            </w:r>
          </w:p>
        </w:tc>
        <w:tc>
          <w:tcPr>
            <w:tcW w:w="447" w:type="dxa"/>
            <w:tcBorders>
              <w:left w:val="single" w:color="000000" w:sz="4" w:space="0"/>
              <w:right w:val="single" w:color="000000" w:sz="4" w:space="0"/>
            </w:tcBorders>
            <w:vAlign w:val="center"/>
          </w:tcPr>
          <w:p w14:paraId="6BD9F4AA">
            <w:pPr>
              <w:spacing w:line="320" w:lineRule="exact"/>
              <w:jc w:val="center"/>
              <w:rPr>
                <w:rFonts w:ascii="宋体" w:hAnsi="宋体" w:eastAsia="宋体" w:cs="Times New Roman"/>
                <w:color w:val="auto"/>
              </w:rPr>
            </w:pPr>
            <w:r>
              <w:rPr>
                <w:rFonts w:ascii="宋体" w:hAnsi="宋体" w:eastAsia="宋体" w:cs="Times New Roman"/>
                <w:color w:val="auto"/>
              </w:rPr>
              <w:t>9.6</w:t>
            </w:r>
          </w:p>
        </w:tc>
        <w:tc>
          <w:tcPr>
            <w:tcW w:w="603" w:type="dxa"/>
            <w:tcBorders>
              <w:left w:val="single" w:color="000000" w:sz="4" w:space="0"/>
              <w:right w:val="single" w:color="000000" w:sz="4" w:space="0"/>
            </w:tcBorders>
            <w:vAlign w:val="center"/>
          </w:tcPr>
          <w:p w14:paraId="238C169F">
            <w:pPr>
              <w:spacing w:line="320" w:lineRule="exact"/>
              <w:jc w:val="center"/>
              <w:rPr>
                <w:rFonts w:ascii="宋体" w:hAnsi="宋体" w:eastAsia="宋体" w:cs="Times New Roman"/>
                <w:color w:val="auto"/>
              </w:rPr>
            </w:pPr>
            <w:r>
              <w:rPr>
                <w:rFonts w:ascii="宋体" w:hAnsi="宋体" w:eastAsia="宋体" w:cs="Times New Roman"/>
                <w:color w:val="auto"/>
              </w:rPr>
              <w:t>6.8</w:t>
            </w:r>
          </w:p>
        </w:tc>
        <w:tc>
          <w:tcPr>
            <w:tcW w:w="347" w:type="dxa"/>
            <w:tcBorders>
              <w:left w:val="single" w:color="000000" w:sz="4" w:space="0"/>
              <w:right w:val="single" w:color="000000" w:sz="10" w:space="0"/>
            </w:tcBorders>
            <w:vAlign w:val="center"/>
          </w:tcPr>
          <w:p w14:paraId="504C84CA">
            <w:pPr>
              <w:spacing w:line="320" w:lineRule="exact"/>
              <w:jc w:val="center"/>
              <w:rPr>
                <w:rFonts w:ascii="宋体" w:hAnsi="宋体" w:eastAsia="宋体" w:cs="Times New Roman"/>
                <w:color w:val="auto"/>
              </w:rPr>
            </w:pPr>
            <w:r>
              <w:rPr>
                <w:rFonts w:ascii="宋体" w:hAnsi="宋体" w:eastAsia="宋体" w:cs="Times New Roman"/>
                <w:color w:val="auto"/>
              </w:rPr>
              <w:t>4.9</w:t>
            </w:r>
          </w:p>
        </w:tc>
      </w:tr>
      <w:tr w14:paraId="22065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510" w:type="dxa"/>
            <w:tcBorders>
              <w:left w:val="single" w:color="000000" w:sz="10" w:space="0"/>
              <w:right w:val="single" w:color="000000" w:sz="4" w:space="0"/>
            </w:tcBorders>
            <w:vAlign w:val="center"/>
          </w:tcPr>
          <w:p w14:paraId="6423B76C">
            <w:pPr>
              <w:spacing w:line="320" w:lineRule="exact"/>
              <w:jc w:val="center"/>
              <w:rPr>
                <w:rFonts w:ascii="宋体" w:hAnsi="宋体" w:eastAsia="宋体" w:cs="Times New Roman"/>
                <w:color w:val="auto"/>
              </w:rPr>
            </w:pPr>
            <w:r>
              <w:rPr>
                <w:rFonts w:ascii="宋体" w:hAnsi="宋体" w:eastAsia="宋体" w:cs="Times New Roman"/>
                <w:color w:val="auto"/>
              </w:rPr>
              <w:t>12</w:t>
            </w:r>
          </w:p>
        </w:tc>
        <w:tc>
          <w:tcPr>
            <w:tcW w:w="325" w:type="dxa"/>
            <w:tcBorders>
              <w:left w:val="single" w:color="000000" w:sz="4" w:space="0"/>
              <w:right w:val="single" w:color="000000" w:sz="4" w:space="0"/>
            </w:tcBorders>
            <w:vAlign w:val="center"/>
          </w:tcPr>
          <w:p w14:paraId="49409C93">
            <w:pPr>
              <w:spacing w:line="320" w:lineRule="exact"/>
              <w:jc w:val="center"/>
              <w:rPr>
                <w:rFonts w:ascii="宋体" w:hAnsi="宋体" w:eastAsia="宋体" w:cs="Times New Roman"/>
                <w:color w:val="auto"/>
              </w:rPr>
            </w:pPr>
            <w:r>
              <w:rPr>
                <w:rFonts w:ascii="宋体" w:hAnsi="宋体" w:eastAsia="宋体" w:cs="Times New Roman"/>
                <w:color w:val="auto"/>
              </w:rPr>
              <w:t>6.5</w:t>
            </w:r>
          </w:p>
        </w:tc>
        <w:tc>
          <w:tcPr>
            <w:tcW w:w="522" w:type="dxa"/>
            <w:tcBorders>
              <w:left w:val="single" w:color="000000" w:sz="4" w:space="0"/>
              <w:right w:val="single" w:color="000000" w:sz="4" w:space="0"/>
            </w:tcBorders>
            <w:vAlign w:val="center"/>
          </w:tcPr>
          <w:p w14:paraId="4EC39449">
            <w:pPr>
              <w:spacing w:line="320" w:lineRule="exact"/>
              <w:jc w:val="center"/>
              <w:rPr>
                <w:rFonts w:ascii="宋体" w:hAnsi="宋体" w:eastAsia="宋体" w:cs="Times New Roman"/>
                <w:color w:val="auto"/>
              </w:rPr>
            </w:pPr>
            <w:r>
              <w:rPr>
                <w:rFonts w:ascii="宋体" w:hAnsi="宋体" w:eastAsia="宋体" w:cs="Times New Roman"/>
                <w:color w:val="auto"/>
              </w:rPr>
              <w:t>3.8</w:t>
            </w:r>
          </w:p>
        </w:tc>
        <w:tc>
          <w:tcPr>
            <w:tcW w:w="345" w:type="dxa"/>
            <w:tcBorders>
              <w:left w:val="single" w:color="000000" w:sz="4" w:space="0"/>
              <w:right w:val="single" w:color="000000" w:sz="4" w:space="0"/>
            </w:tcBorders>
            <w:vAlign w:val="center"/>
          </w:tcPr>
          <w:p w14:paraId="401C890A">
            <w:pPr>
              <w:spacing w:line="320" w:lineRule="exact"/>
              <w:jc w:val="center"/>
              <w:rPr>
                <w:rFonts w:ascii="宋体" w:hAnsi="宋体" w:eastAsia="宋体" w:cs="Times New Roman"/>
                <w:color w:val="auto"/>
              </w:rPr>
            </w:pPr>
            <w:r>
              <w:rPr>
                <w:rFonts w:ascii="宋体" w:hAnsi="宋体" w:eastAsia="宋体" w:cs="Times New Roman"/>
                <w:color w:val="auto"/>
              </w:rPr>
              <w:t>2.7</w:t>
            </w:r>
          </w:p>
        </w:tc>
        <w:tc>
          <w:tcPr>
            <w:tcW w:w="496" w:type="dxa"/>
            <w:tcBorders>
              <w:left w:val="single" w:color="000000" w:sz="4" w:space="0"/>
              <w:right w:val="single" w:color="000000" w:sz="4" w:space="0"/>
            </w:tcBorders>
            <w:vAlign w:val="center"/>
          </w:tcPr>
          <w:p w14:paraId="21C21A47">
            <w:pPr>
              <w:spacing w:line="320" w:lineRule="exact"/>
              <w:jc w:val="center"/>
              <w:rPr>
                <w:rFonts w:ascii="宋体" w:hAnsi="宋体" w:eastAsia="宋体" w:cs="Times New Roman"/>
                <w:color w:val="auto"/>
              </w:rPr>
            </w:pPr>
            <w:r>
              <w:rPr>
                <w:rFonts w:ascii="宋体" w:hAnsi="宋体" w:eastAsia="宋体" w:cs="Times New Roman"/>
                <w:color w:val="auto"/>
              </w:rPr>
              <w:t>3.4</w:t>
            </w:r>
          </w:p>
        </w:tc>
        <w:tc>
          <w:tcPr>
            <w:tcW w:w="325" w:type="dxa"/>
            <w:tcBorders>
              <w:left w:val="single" w:color="000000" w:sz="4" w:space="0"/>
              <w:right w:val="single" w:color="000000" w:sz="4" w:space="0"/>
            </w:tcBorders>
            <w:vAlign w:val="center"/>
          </w:tcPr>
          <w:p w14:paraId="2E76E0DF">
            <w:pPr>
              <w:spacing w:line="320" w:lineRule="exact"/>
              <w:jc w:val="center"/>
              <w:rPr>
                <w:rFonts w:ascii="宋体" w:hAnsi="宋体" w:eastAsia="宋体" w:cs="Times New Roman"/>
                <w:color w:val="auto"/>
              </w:rPr>
            </w:pPr>
            <w:r>
              <w:rPr>
                <w:rFonts w:ascii="宋体" w:hAnsi="宋体" w:eastAsia="宋体" w:cs="Times New Roman"/>
                <w:color w:val="auto"/>
              </w:rPr>
              <w:t>3.3</w:t>
            </w:r>
          </w:p>
        </w:tc>
        <w:tc>
          <w:tcPr>
            <w:tcW w:w="454" w:type="dxa"/>
            <w:tcBorders>
              <w:left w:val="single" w:color="000000" w:sz="4" w:space="0"/>
              <w:right w:val="single" w:color="000000" w:sz="4" w:space="0"/>
            </w:tcBorders>
            <w:vAlign w:val="center"/>
          </w:tcPr>
          <w:p w14:paraId="219DA501">
            <w:pPr>
              <w:spacing w:line="320" w:lineRule="exact"/>
              <w:jc w:val="center"/>
              <w:rPr>
                <w:rFonts w:ascii="宋体" w:hAnsi="宋体" w:eastAsia="宋体" w:cs="Times New Roman"/>
                <w:color w:val="auto"/>
              </w:rPr>
            </w:pPr>
            <w:r>
              <w:rPr>
                <w:rFonts w:ascii="宋体" w:hAnsi="宋体" w:eastAsia="宋体" w:cs="Times New Roman"/>
                <w:color w:val="auto"/>
              </w:rPr>
              <w:t>3.3</w:t>
            </w:r>
          </w:p>
        </w:tc>
        <w:tc>
          <w:tcPr>
            <w:tcW w:w="325" w:type="dxa"/>
            <w:tcBorders>
              <w:left w:val="single" w:color="000000" w:sz="4" w:space="0"/>
              <w:right w:val="single" w:color="000000" w:sz="4" w:space="0"/>
            </w:tcBorders>
            <w:vAlign w:val="center"/>
          </w:tcPr>
          <w:p w14:paraId="37CFD09C">
            <w:pPr>
              <w:spacing w:line="320" w:lineRule="exact"/>
              <w:jc w:val="center"/>
              <w:rPr>
                <w:rFonts w:ascii="宋体" w:hAnsi="宋体" w:eastAsia="宋体" w:cs="Times New Roman"/>
                <w:color w:val="auto"/>
              </w:rPr>
            </w:pPr>
            <w:r>
              <w:rPr>
                <w:rFonts w:ascii="宋体" w:hAnsi="宋体" w:eastAsia="宋体" w:cs="Times New Roman"/>
                <w:color w:val="auto"/>
              </w:rPr>
              <w:t>2.7</w:t>
            </w:r>
          </w:p>
        </w:tc>
        <w:tc>
          <w:tcPr>
            <w:tcW w:w="440" w:type="dxa"/>
            <w:tcBorders>
              <w:left w:val="single" w:color="000000" w:sz="4" w:space="0"/>
              <w:right w:val="single" w:color="000000" w:sz="4" w:space="0"/>
            </w:tcBorders>
            <w:vAlign w:val="center"/>
          </w:tcPr>
          <w:p w14:paraId="3A82C1D2">
            <w:pPr>
              <w:spacing w:line="320" w:lineRule="exact"/>
              <w:jc w:val="center"/>
              <w:rPr>
                <w:rFonts w:ascii="宋体" w:hAnsi="宋体" w:eastAsia="宋体" w:cs="Times New Roman"/>
                <w:color w:val="auto"/>
              </w:rPr>
            </w:pPr>
            <w:r>
              <w:rPr>
                <w:rFonts w:ascii="宋体" w:hAnsi="宋体" w:eastAsia="宋体" w:cs="Times New Roman"/>
                <w:color w:val="auto"/>
              </w:rPr>
              <w:t>3.6</w:t>
            </w:r>
          </w:p>
        </w:tc>
        <w:tc>
          <w:tcPr>
            <w:tcW w:w="447" w:type="dxa"/>
            <w:tcBorders>
              <w:left w:val="single" w:color="000000" w:sz="4" w:space="0"/>
              <w:right w:val="single" w:color="000000" w:sz="4" w:space="0"/>
            </w:tcBorders>
            <w:vAlign w:val="center"/>
          </w:tcPr>
          <w:p w14:paraId="45526443">
            <w:pPr>
              <w:spacing w:line="320" w:lineRule="exact"/>
              <w:jc w:val="center"/>
              <w:rPr>
                <w:rFonts w:ascii="宋体" w:hAnsi="宋体" w:eastAsia="宋体" w:cs="Times New Roman"/>
                <w:color w:val="auto"/>
              </w:rPr>
            </w:pPr>
            <w:r>
              <w:rPr>
                <w:rFonts w:ascii="宋体" w:hAnsi="宋体" w:eastAsia="宋体" w:cs="Times New Roman"/>
                <w:color w:val="auto"/>
              </w:rPr>
              <w:t>8.2</w:t>
            </w:r>
          </w:p>
        </w:tc>
        <w:tc>
          <w:tcPr>
            <w:tcW w:w="522" w:type="dxa"/>
            <w:tcBorders>
              <w:left w:val="single" w:color="000000" w:sz="4" w:space="0"/>
              <w:right w:val="single" w:color="000000" w:sz="4" w:space="0"/>
            </w:tcBorders>
            <w:vAlign w:val="center"/>
          </w:tcPr>
          <w:p w14:paraId="04DD496B">
            <w:pPr>
              <w:spacing w:line="320" w:lineRule="exact"/>
              <w:jc w:val="center"/>
              <w:rPr>
                <w:rFonts w:ascii="宋体" w:hAnsi="宋体" w:eastAsia="宋体" w:cs="Times New Roman"/>
                <w:color w:val="auto"/>
              </w:rPr>
            </w:pPr>
            <w:r>
              <w:rPr>
                <w:rFonts w:ascii="宋体" w:hAnsi="宋体" w:eastAsia="宋体" w:cs="Times New Roman"/>
                <w:color w:val="auto"/>
              </w:rPr>
              <w:t>8.8</w:t>
            </w:r>
          </w:p>
        </w:tc>
        <w:tc>
          <w:tcPr>
            <w:tcW w:w="385" w:type="dxa"/>
            <w:tcBorders>
              <w:left w:val="single" w:color="000000" w:sz="4" w:space="0"/>
              <w:right w:val="single" w:color="000000" w:sz="4" w:space="0"/>
            </w:tcBorders>
            <w:vAlign w:val="center"/>
          </w:tcPr>
          <w:p w14:paraId="385630A3">
            <w:pPr>
              <w:spacing w:line="320" w:lineRule="exact"/>
              <w:jc w:val="center"/>
              <w:rPr>
                <w:rFonts w:ascii="宋体" w:hAnsi="宋体" w:eastAsia="宋体" w:cs="Times New Roman"/>
                <w:color w:val="auto"/>
              </w:rPr>
            </w:pPr>
            <w:r>
              <w:rPr>
                <w:rFonts w:ascii="宋体" w:hAnsi="宋体" w:eastAsia="宋体" w:cs="Times New Roman"/>
                <w:color w:val="auto"/>
              </w:rPr>
              <w:t>6</w:t>
            </w:r>
          </w:p>
        </w:tc>
        <w:tc>
          <w:tcPr>
            <w:tcW w:w="617" w:type="dxa"/>
            <w:tcBorders>
              <w:left w:val="single" w:color="000000" w:sz="4" w:space="0"/>
              <w:right w:val="single" w:color="000000" w:sz="4" w:space="0"/>
            </w:tcBorders>
            <w:vAlign w:val="center"/>
          </w:tcPr>
          <w:p w14:paraId="5D94C1D8">
            <w:pPr>
              <w:spacing w:line="320" w:lineRule="exact"/>
              <w:jc w:val="center"/>
              <w:rPr>
                <w:rFonts w:ascii="宋体" w:hAnsi="宋体" w:eastAsia="宋体" w:cs="Times New Roman"/>
                <w:color w:val="auto"/>
              </w:rPr>
            </w:pPr>
            <w:r>
              <w:rPr>
                <w:rFonts w:ascii="宋体" w:hAnsi="宋体" w:eastAsia="宋体" w:cs="Times New Roman"/>
                <w:color w:val="auto"/>
              </w:rPr>
              <w:t>11.1</w:t>
            </w:r>
          </w:p>
        </w:tc>
        <w:tc>
          <w:tcPr>
            <w:tcW w:w="325" w:type="dxa"/>
            <w:tcBorders>
              <w:left w:val="single" w:color="000000" w:sz="4" w:space="0"/>
              <w:right w:val="single" w:color="000000" w:sz="4" w:space="0"/>
            </w:tcBorders>
            <w:vAlign w:val="center"/>
          </w:tcPr>
          <w:p w14:paraId="2EDD5323">
            <w:pPr>
              <w:spacing w:line="320" w:lineRule="exact"/>
              <w:jc w:val="center"/>
              <w:rPr>
                <w:rFonts w:ascii="宋体" w:hAnsi="宋体" w:eastAsia="宋体" w:cs="Times New Roman"/>
                <w:color w:val="auto"/>
              </w:rPr>
            </w:pPr>
            <w:r>
              <w:rPr>
                <w:rFonts w:ascii="宋体" w:hAnsi="宋体" w:eastAsia="宋体" w:cs="Times New Roman"/>
                <w:color w:val="auto"/>
              </w:rPr>
              <w:t>9.6</w:t>
            </w:r>
          </w:p>
        </w:tc>
        <w:tc>
          <w:tcPr>
            <w:tcW w:w="659" w:type="dxa"/>
            <w:tcBorders>
              <w:left w:val="single" w:color="000000" w:sz="4" w:space="0"/>
              <w:right w:val="single" w:color="000000" w:sz="4" w:space="0"/>
            </w:tcBorders>
            <w:vAlign w:val="center"/>
          </w:tcPr>
          <w:p w14:paraId="7BCB2D1E">
            <w:pPr>
              <w:spacing w:line="320" w:lineRule="exact"/>
              <w:jc w:val="center"/>
              <w:rPr>
                <w:rFonts w:ascii="宋体" w:hAnsi="宋体" w:eastAsia="宋体" w:cs="Times New Roman"/>
                <w:color w:val="auto"/>
              </w:rPr>
            </w:pPr>
            <w:r>
              <w:rPr>
                <w:rFonts w:ascii="宋体" w:hAnsi="宋体" w:eastAsia="宋体" w:cs="Times New Roman"/>
                <w:color w:val="auto"/>
              </w:rPr>
              <w:t>11.6</w:t>
            </w:r>
          </w:p>
        </w:tc>
        <w:tc>
          <w:tcPr>
            <w:tcW w:w="447" w:type="dxa"/>
            <w:tcBorders>
              <w:left w:val="single" w:color="000000" w:sz="4" w:space="0"/>
              <w:right w:val="single" w:color="000000" w:sz="4" w:space="0"/>
            </w:tcBorders>
            <w:vAlign w:val="center"/>
          </w:tcPr>
          <w:p w14:paraId="3C8EDC13">
            <w:pPr>
              <w:spacing w:line="320" w:lineRule="exact"/>
              <w:jc w:val="center"/>
              <w:rPr>
                <w:rFonts w:ascii="宋体" w:hAnsi="宋体" w:eastAsia="宋体" w:cs="Times New Roman"/>
                <w:color w:val="auto"/>
              </w:rPr>
            </w:pPr>
            <w:r>
              <w:rPr>
                <w:rFonts w:ascii="宋体" w:hAnsi="宋体" w:eastAsia="宋体" w:cs="Times New Roman"/>
                <w:color w:val="auto"/>
              </w:rPr>
              <w:t>9.8</w:t>
            </w:r>
          </w:p>
        </w:tc>
        <w:tc>
          <w:tcPr>
            <w:tcW w:w="603" w:type="dxa"/>
            <w:tcBorders>
              <w:left w:val="single" w:color="000000" w:sz="4" w:space="0"/>
              <w:right w:val="single" w:color="000000" w:sz="4" w:space="0"/>
            </w:tcBorders>
            <w:vAlign w:val="center"/>
          </w:tcPr>
          <w:p w14:paraId="4F9D8843">
            <w:pPr>
              <w:spacing w:line="320" w:lineRule="exact"/>
              <w:jc w:val="center"/>
              <w:rPr>
                <w:rFonts w:ascii="宋体" w:hAnsi="宋体" w:eastAsia="宋体" w:cs="Times New Roman"/>
                <w:color w:val="auto"/>
              </w:rPr>
            </w:pPr>
            <w:r>
              <w:rPr>
                <w:rFonts w:ascii="宋体" w:hAnsi="宋体" w:eastAsia="宋体" w:cs="Times New Roman"/>
                <w:color w:val="auto"/>
              </w:rPr>
              <w:t>8.1</w:t>
            </w:r>
          </w:p>
        </w:tc>
        <w:tc>
          <w:tcPr>
            <w:tcW w:w="347" w:type="dxa"/>
            <w:tcBorders>
              <w:left w:val="single" w:color="000000" w:sz="4" w:space="0"/>
              <w:right w:val="single" w:color="000000" w:sz="10" w:space="0"/>
            </w:tcBorders>
            <w:vAlign w:val="center"/>
          </w:tcPr>
          <w:p w14:paraId="6981577E">
            <w:pPr>
              <w:spacing w:line="320" w:lineRule="exact"/>
              <w:jc w:val="center"/>
              <w:rPr>
                <w:rFonts w:ascii="宋体" w:hAnsi="宋体" w:eastAsia="宋体" w:cs="Times New Roman"/>
                <w:color w:val="auto"/>
              </w:rPr>
            </w:pPr>
            <w:r>
              <w:rPr>
                <w:rFonts w:ascii="宋体" w:hAnsi="宋体" w:eastAsia="宋体" w:cs="Times New Roman"/>
                <w:color w:val="auto"/>
              </w:rPr>
              <w:t>5.2</w:t>
            </w:r>
          </w:p>
        </w:tc>
      </w:tr>
    </w:tbl>
    <w:p w14:paraId="6971C87B">
      <w:pPr>
        <w:pStyle w:val="164"/>
        <w:numPr>
          <w:ilvl w:val="0"/>
          <w:numId w:val="14"/>
        </w:numPr>
        <w:spacing w:line="440" w:lineRule="exact"/>
        <w:jc w:val="both"/>
        <w:rPr>
          <w:rFonts w:ascii="宋体" w:hAnsi="宋体" w:eastAsia="宋体" w:cs="Times New Roman"/>
          <w:color w:val="auto"/>
        </w:rPr>
      </w:pPr>
      <w:r>
        <w:rPr>
          <w:rFonts w:ascii="宋体" w:hAnsi="宋体" w:eastAsia="宋体" w:cs="Times New Roman"/>
          <w:color w:val="auto"/>
        </w:rPr>
        <w:t>风速年际变化特征与周期分析</w:t>
      </w:r>
    </w:p>
    <w:p w14:paraId="4D24F71E">
      <w:pPr>
        <w:pStyle w:val="276"/>
        <w:widowControl w:val="0"/>
        <w:ind w:firstLine="480"/>
        <w:jc w:val="both"/>
        <w:rPr>
          <w:color w:val="auto"/>
          <w:lang w:val="zh-CN"/>
        </w:rPr>
      </w:pPr>
      <w:r>
        <w:rPr>
          <w:color w:val="auto"/>
          <w:lang w:val="zh-CN"/>
        </w:rPr>
        <w:t>根据近20年资料分析，大庆气象站2019年年平均风速最大（3.1m/s），2014年、2015年平均风速最小（1.5m/s）。</w:t>
      </w:r>
    </w:p>
    <w:p w14:paraId="1E290AF9">
      <w:pPr>
        <w:pStyle w:val="276"/>
        <w:widowControl w:val="0"/>
        <w:ind w:firstLine="480"/>
        <w:jc w:val="both"/>
        <w:rPr>
          <w:color w:val="auto"/>
          <w:lang w:val="zh-CN"/>
        </w:rPr>
      </w:pPr>
      <w:r>
        <w:rPr>
          <w:color w:val="auto"/>
          <w:lang w:val="zh-CN"/>
        </w:rPr>
        <w:t>（3）气象站温度分析</w:t>
      </w:r>
    </w:p>
    <w:p w14:paraId="2796BA77">
      <w:pPr>
        <w:pStyle w:val="276"/>
        <w:widowControl w:val="0"/>
        <w:ind w:firstLine="480"/>
        <w:jc w:val="both"/>
        <w:rPr>
          <w:color w:val="auto"/>
          <w:lang w:val="zh-CN"/>
        </w:rPr>
      </w:pPr>
      <w:r>
        <w:rPr>
          <w:color w:val="auto"/>
          <w:lang w:val="zh-CN"/>
        </w:rPr>
        <w:t>1</w:t>
      </w:r>
      <w:r>
        <w:rPr>
          <w:rFonts w:hint="eastAsia"/>
          <w:color w:val="auto"/>
          <w:lang w:val="zh-CN"/>
        </w:rPr>
        <w:t>）</w:t>
      </w:r>
      <w:r>
        <w:rPr>
          <w:color w:val="auto"/>
          <w:lang w:val="zh-CN"/>
        </w:rPr>
        <w:t>月平均气温与极端气温</w:t>
      </w:r>
    </w:p>
    <w:p w14:paraId="5C7C300F">
      <w:pPr>
        <w:pStyle w:val="276"/>
        <w:widowControl w:val="0"/>
        <w:ind w:firstLine="480"/>
        <w:jc w:val="both"/>
        <w:rPr>
          <w:color w:val="auto"/>
          <w:lang w:val="zh-CN"/>
        </w:rPr>
      </w:pPr>
      <w:r>
        <w:rPr>
          <w:color w:val="auto"/>
          <w:lang w:val="zh-CN"/>
        </w:rPr>
        <w:t>大庆气象站7月气温最高（24.1℃），1月气温最低（-16.5℃），近20年极端最高气温出现在2018</w:t>
      </w:r>
      <w:r>
        <w:rPr>
          <w:rFonts w:hint="eastAsia"/>
          <w:color w:val="auto"/>
          <w:lang w:val="zh-CN"/>
        </w:rPr>
        <w:t>年</w:t>
      </w:r>
      <w:r>
        <w:rPr>
          <w:color w:val="auto"/>
          <w:lang w:val="zh-CN"/>
        </w:rPr>
        <w:t>6</w:t>
      </w:r>
      <w:r>
        <w:rPr>
          <w:rFonts w:hint="eastAsia"/>
          <w:color w:val="auto"/>
          <w:lang w:val="zh-CN"/>
        </w:rPr>
        <w:t>月</w:t>
      </w:r>
      <w:r>
        <w:rPr>
          <w:color w:val="auto"/>
          <w:lang w:val="zh-CN"/>
        </w:rPr>
        <w:t>2</w:t>
      </w:r>
      <w:r>
        <w:rPr>
          <w:rFonts w:hint="eastAsia"/>
          <w:color w:val="auto"/>
          <w:lang w:val="zh-CN"/>
        </w:rPr>
        <w:t>日</w:t>
      </w:r>
      <w:r>
        <w:rPr>
          <w:color w:val="auto"/>
          <w:lang w:val="zh-CN"/>
        </w:rPr>
        <w:t>（38.9℃），极端最低气温出现在2013</w:t>
      </w:r>
      <w:r>
        <w:rPr>
          <w:rFonts w:hint="eastAsia"/>
          <w:color w:val="auto"/>
          <w:lang w:val="zh-CN"/>
        </w:rPr>
        <w:t>年</w:t>
      </w:r>
      <w:r>
        <w:rPr>
          <w:color w:val="auto"/>
          <w:lang w:val="zh-CN"/>
        </w:rPr>
        <w:t>1</w:t>
      </w:r>
      <w:r>
        <w:rPr>
          <w:rFonts w:hint="eastAsia"/>
          <w:color w:val="auto"/>
          <w:lang w:val="zh-CN"/>
        </w:rPr>
        <w:t>月</w:t>
      </w:r>
      <w:r>
        <w:rPr>
          <w:color w:val="auto"/>
          <w:lang w:val="zh-CN"/>
        </w:rPr>
        <w:t>1</w:t>
      </w:r>
      <w:r>
        <w:rPr>
          <w:rFonts w:hint="eastAsia"/>
          <w:color w:val="auto"/>
          <w:lang w:val="zh-CN"/>
        </w:rPr>
        <w:t>日</w:t>
      </w:r>
      <w:r>
        <w:rPr>
          <w:color w:val="auto"/>
          <w:lang w:val="zh-CN"/>
        </w:rPr>
        <w:t>（-36.2℃）。</w:t>
      </w:r>
    </w:p>
    <w:p w14:paraId="234C9E92">
      <w:pPr>
        <w:jc w:val="center"/>
        <w:rPr>
          <w:rFonts w:ascii="宋体" w:hAnsi="宋体" w:eastAsia="宋体" w:cs="Times New Roman"/>
          <w:color w:val="auto"/>
        </w:rPr>
      </w:pPr>
      <w:r>
        <w:rPr>
          <w:rFonts w:ascii="宋体" w:hAnsi="宋体" w:eastAsia="宋体" w:cs="Times New Roman"/>
          <w:color w:val="auto"/>
        </w:rPr>
        <w:drawing>
          <wp:inline distT="0" distB="0" distL="0" distR="0">
            <wp:extent cx="3474085" cy="2251075"/>
            <wp:effectExtent l="0" t="0" r="12065" b="15875"/>
            <wp:docPr id="1352728142" name="图片 135272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42" name="图片 1352728142"/>
                    <pic:cNvPicPr>
                      <a:picLocks noChangeAspect="1"/>
                    </pic:cNvPicPr>
                  </pic:nvPicPr>
                  <pic:blipFill>
                    <a:blip r:embed="rId84"/>
                    <a:srcRect t="5593"/>
                    <a:stretch>
                      <a:fillRect/>
                    </a:stretch>
                  </pic:blipFill>
                  <pic:spPr>
                    <a:xfrm>
                      <a:off x="0" y="0"/>
                      <a:ext cx="3474085" cy="2255726"/>
                    </a:xfrm>
                    <a:prstGeom prst="rect">
                      <a:avLst/>
                    </a:prstGeom>
                    <a:ln>
                      <a:noFill/>
                    </a:ln>
                  </pic:spPr>
                </pic:pic>
              </a:graphicData>
            </a:graphic>
          </wp:inline>
        </w:drawing>
      </w:r>
    </w:p>
    <w:p w14:paraId="4D6C08D3">
      <w:pPr>
        <w:jc w:val="center"/>
        <w:rPr>
          <w:rFonts w:ascii="宋体" w:hAnsi="宋体" w:eastAsia="宋体" w:cs="Times New Roman"/>
          <w:color w:val="auto"/>
        </w:rPr>
      </w:pPr>
      <w:r>
        <w:rPr>
          <w:rFonts w:ascii="宋体" w:hAnsi="宋体" w:eastAsia="宋体" w:cs="Times New Roman"/>
          <w:color w:val="auto"/>
        </w:rPr>
        <w:t>图5.1-4 月平均气温图（单位：℃）</w:t>
      </w:r>
    </w:p>
    <w:p w14:paraId="449B72EC">
      <w:pPr>
        <w:pStyle w:val="276"/>
        <w:widowControl w:val="0"/>
        <w:ind w:firstLine="480"/>
        <w:jc w:val="both"/>
        <w:rPr>
          <w:color w:val="auto"/>
          <w:lang w:val="zh-CN"/>
        </w:rPr>
      </w:pPr>
      <w:r>
        <w:rPr>
          <w:color w:val="auto"/>
          <w:lang w:val="zh-CN"/>
        </w:rPr>
        <w:t>2</w:t>
      </w:r>
      <w:r>
        <w:rPr>
          <w:rFonts w:hint="eastAsia"/>
          <w:color w:val="auto"/>
          <w:lang w:val="zh-CN"/>
        </w:rPr>
        <w:t>）</w:t>
      </w:r>
      <w:r>
        <w:rPr>
          <w:color w:val="auto"/>
          <w:lang w:val="zh-CN"/>
        </w:rPr>
        <w:t>温度年际变化趋势与周期分析</w:t>
      </w:r>
    </w:p>
    <w:p w14:paraId="1A94B3A2">
      <w:pPr>
        <w:pStyle w:val="276"/>
        <w:widowControl w:val="0"/>
        <w:ind w:firstLine="480"/>
        <w:jc w:val="both"/>
        <w:rPr>
          <w:color w:val="auto"/>
          <w:lang w:val="zh-CN"/>
        </w:rPr>
      </w:pPr>
      <w:r>
        <w:rPr>
          <w:color w:val="auto"/>
          <w:lang w:val="zh-CN"/>
        </w:rPr>
        <w:t>大庆气象站近20年气温呈逐年上升趋势，2007年年平均气温最高（6.4℃），2010年年平均气温最低（4.1℃）。</w:t>
      </w:r>
    </w:p>
    <w:p w14:paraId="55BC16E8">
      <w:pPr>
        <w:pStyle w:val="276"/>
        <w:widowControl w:val="0"/>
        <w:ind w:firstLine="480"/>
        <w:jc w:val="both"/>
        <w:rPr>
          <w:color w:val="auto"/>
        </w:rPr>
      </w:pPr>
      <w:r>
        <w:rPr>
          <w:color w:val="auto"/>
        </w:rPr>
        <w:t>（4）</w:t>
      </w:r>
      <w:r>
        <w:rPr>
          <w:color w:val="auto"/>
          <w:lang w:val="zh-CN"/>
        </w:rPr>
        <w:t>气象站降水分析</w:t>
      </w:r>
    </w:p>
    <w:p w14:paraId="2BC79FF1">
      <w:pPr>
        <w:pStyle w:val="276"/>
        <w:widowControl w:val="0"/>
        <w:ind w:firstLine="480"/>
        <w:jc w:val="both"/>
        <w:rPr>
          <w:color w:val="auto"/>
        </w:rPr>
      </w:pPr>
      <w:r>
        <w:rPr>
          <w:color w:val="auto"/>
        </w:rPr>
        <w:t>1</w:t>
      </w:r>
      <w:r>
        <w:rPr>
          <w:rFonts w:hint="eastAsia"/>
          <w:color w:val="auto"/>
        </w:rPr>
        <w:t>）</w:t>
      </w:r>
      <w:r>
        <w:rPr>
          <w:color w:val="auto"/>
          <w:lang w:val="zh-CN"/>
        </w:rPr>
        <w:t>月平均降水与极端降水</w:t>
      </w:r>
    </w:p>
    <w:p w14:paraId="244FBC57">
      <w:pPr>
        <w:pStyle w:val="276"/>
        <w:widowControl w:val="0"/>
        <w:ind w:firstLine="480"/>
        <w:jc w:val="both"/>
        <w:rPr>
          <w:color w:val="auto"/>
        </w:rPr>
      </w:pPr>
      <w:r>
        <w:rPr>
          <w:color w:val="auto"/>
          <w:lang w:val="zh-CN"/>
        </w:rPr>
        <w:t>大庆气象站</w:t>
      </w:r>
      <w:r>
        <w:rPr>
          <w:color w:val="auto"/>
        </w:rPr>
        <w:t>7</w:t>
      </w:r>
      <w:r>
        <w:rPr>
          <w:color w:val="auto"/>
          <w:lang w:val="zh-CN"/>
        </w:rPr>
        <w:t>月降水量</w:t>
      </w:r>
      <w:r>
        <w:rPr>
          <w:color w:val="auto"/>
          <w:lang w:bidi="zh-CN"/>
        </w:rPr>
        <w:t>最大</w:t>
      </w:r>
      <w:r>
        <w:rPr>
          <w:color w:val="auto"/>
        </w:rPr>
        <w:t>（147.7mm），1</w:t>
      </w:r>
      <w:r>
        <w:rPr>
          <w:color w:val="auto"/>
          <w:lang w:val="zh-CN"/>
        </w:rPr>
        <w:t>月降水量最小</w:t>
      </w:r>
      <w:r>
        <w:rPr>
          <w:color w:val="auto"/>
        </w:rPr>
        <w:t>（2.6mm），</w:t>
      </w:r>
      <w:r>
        <w:rPr>
          <w:color w:val="auto"/>
          <w:lang w:val="zh-CN"/>
        </w:rPr>
        <w:t>近</w:t>
      </w:r>
      <w:r>
        <w:rPr>
          <w:color w:val="auto"/>
        </w:rPr>
        <w:t>20</w:t>
      </w:r>
      <w:r>
        <w:rPr>
          <w:color w:val="auto"/>
          <w:lang w:val="zh-CN"/>
        </w:rPr>
        <w:t>年极端最大日降水出现在</w:t>
      </w:r>
      <w:r>
        <w:rPr>
          <w:color w:val="auto"/>
        </w:rPr>
        <w:t>2018</w:t>
      </w:r>
      <w:r>
        <w:rPr>
          <w:rFonts w:hint="eastAsia"/>
          <w:color w:val="auto"/>
          <w:lang w:val="zh-CN"/>
        </w:rPr>
        <w:t>年</w:t>
      </w:r>
      <w:r>
        <w:rPr>
          <w:color w:val="auto"/>
        </w:rPr>
        <w:t>7</w:t>
      </w:r>
      <w:r>
        <w:rPr>
          <w:rFonts w:hint="eastAsia"/>
          <w:color w:val="auto"/>
          <w:lang w:val="zh-CN"/>
        </w:rPr>
        <w:t>月</w:t>
      </w:r>
      <w:r>
        <w:rPr>
          <w:color w:val="auto"/>
        </w:rPr>
        <w:t>25</w:t>
      </w:r>
      <w:r>
        <w:rPr>
          <w:rFonts w:hint="eastAsia"/>
          <w:color w:val="auto"/>
          <w:lang w:val="zh-CN"/>
        </w:rPr>
        <w:t>日</w:t>
      </w:r>
      <w:r>
        <w:rPr>
          <w:color w:val="auto"/>
        </w:rPr>
        <w:t>（96.8mm）</w:t>
      </w:r>
      <w:r>
        <w:rPr>
          <w:color w:val="auto"/>
          <w:lang w:val="zh-CN"/>
        </w:rPr>
        <w:t>。</w:t>
      </w:r>
    </w:p>
    <w:p w14:paraId="21F91CA4">
      <w:pPr>
        <w:jc w:val="center"/>
        <w:rPr>
          <w:rFonts w:ascii="宋体" w:hAnsi="宋体" w:eastAsia="宋体" w:cs="Times New Roman"/>
          <w:color w:val="auto"/>
        </w:rPr>
      </w:pPr>
      <w:r>
        <w:rPr>
          <w:rFonts w:ascii="宋体" w:hAnsi="宋体" w:eastAsia="宋体" w:cs="Times New Roman"/>
          <w:color w:val="auto"/>
        </w:rPr>
        <w:drawing>
          <wp:inline distT="0" distB="0" distL="0" distR="0">
            <wp:extent cx="4038600" cy="2609850"/>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noChangeArrowheads="1"/>
                    </pic:cNvPicPr>
                  </pic:nvPicPr>
                  <pic:blipFill>
                    <a:blip r:embed="rId85"/>
                    <a:srcRect/>
                    <a:stretch>
                      <a:fillRect/>
                    </a:stretch>
                  </pic:blipFill>
                  <pic:spPr>
                    <a:xfrm>
                      <a:off x="0" y="0"/>
                      <a:ext cx="4038600" cy="2609850"/>
                    </a:xfrm>
                    <a:prstGeom prst="rect">
                      <a:avLst/>
                    </a:prstGeom>
                    <a:noFill/>
                    <a:ln>
                      <a:noFill/>
                    </a:ln>
                  </pic:spPr>
                </pic:pic>
              </a:graphicData>
            </a:graphic>
          </wp:inline>
        </w:drawing>
      </w:r>
    </w:p>
    <w:p w14:paraId="6CCC7A8B">
      <w:pPr>
        <w:spacing w:line="440" w:lineRule="exact"/>
        <w:jc w:val="center"/>
        <w:rPr>
          <w:rFonts w:ascii="宋体" w:hAnsi="宋体" w:eastAsia="宋体" w:cs="Times New Roman"/>
          <w:color w:val="auto"/>
        </w:rPr>
      </w:pPr>
      <w:r>
        <w:rPr>
          <w:rFonts w:ascii="宋体" w:hAnsi="宋体" w:eastAsia="宋体" w:cs="Times New Roman"/>
          <w:color w:val="auto"/>
        </w:rPr>
        <w:t>图5.1-5 月平均降水量（单位：毫米）</w:t>
      </w:r>
    </w:p>
    <w:p w14:paraId="7B8624D2">
      <w:pPr>
        <w:pStyle w:val="276"/>
        <w:widowControl w:val="0"/>
        <w:ind w:firstLine="480"/>
        <w:jc w:val="both"/>
        <w:rPr>
          <w:color w:val="auto"/>
          <w:lang w:val="zh-CN"/>
        </w:rPr>
      </w:pPr>
      <w:r>
        <w:rPr>
          <w:color w:val="auto"/>
          <w:lang w:val="zh-CN"/>
        </w:rPr>
        <w:t>2</w:t>
      </w:r>
      <w:r>
        <w:rPr>
          <w:rFonts w:hint="eastAsia"/>
          <w:color w:val="auto"/>
          <w:lang w:val="zh-CN"/>
        </w:rPr>
        <w:t>）</w:t>
      </w:r>
      <w:r>
        <w:rPr>
          <w:color w:val="auto"/>
          <w:lang w:val="zh-CN"/>
        </w:rPr>
        <w:t>降水年际变化趋势与周期分析</w:t>
      </w:r>
    </w:p>
    <w:p w14:paraId="643F9615">
      <w:pPr>
        <w:pStyle w:val="276"/>
        <w:widowControl w:val="0"/>
        <w:ind w:firstLine="480"/>
        <w:jc w:val="both"/>
        <w:rPr>
          <w:color w:val="auto"/>
          <w:lang w:val="zh-CN"/>
        </w:rPr>
      </w:pPr>
      <w:r>
        <w:rPr>
          <w:color w:val="auto"/>
          <w:lang w:val="zh-CN"/>
        </w:rPr>
        <w:t>大庆气象站近20年年降水总量无明显变化趋势，2018年年总降水量最大（721.2mm），2007年年总降水量最小（</w:t>
      </w:r>
      <w:r>
        <w:rPr>
          <w:color w:val="auto"/>
          <w:lang w:bidi="zh-CN"/>
        </w:rPr>
        <w:t>316</w:t>
      </w:r>
      <w:r>
        <w:rPr>
          <w:color w:val="auto"/>
          <w:lang w:val="zh-CN"/>
        </w:rPr>
        <w:t>.9mm）。</w:t>
      </w:r>
    </w:p>
    <w:p w14:paraId="766D7EF7">
      <w:pPr>
        <w:pStyle w:val="276"/>
        <w:widowControl w:val="0"/>
        <w:ind w:firstLine="480"/>
        <w:jc w:val="both"/>
        <w:rPr>
          <w:color w:val="auto"/>
          <w:lang w:val="zh-CN"/>
        </w:rPr>
      </w:pPr>
      <w:r>
        <w:rPr>
          <w:color w:val="auto"/>
          <w:lang w:val="zh-CN"/>
        </w:rPr>
        <w:t>（5）气象站日照分析</w:t>
      </w:r>
    </w:p>
    <w:p w14:paraId="61ACB3AD">
      <w:pPr>
        <w:pStyle w:val="276"/>
        <w:widowControl w:val="0"/>
        <w:ind w:firstLine="480"/>
        <w:jc w:val="both"/>
        <w:rPr>
          <w:color w:val="auto"/>
          <w:lang w:val="zh-CN"/>
        </w:rPr>
      </w:pPr>
      <w:r>
        <w:rPr>
          <w:color w:val="auto"/>
          <w:lang w:val="zh-CN"/>
        </w:rPr>
        <w:t>1</w:t>
      </w:r>
      <w:r>
        <w:rPr>
          <w:rFonts w:hint="eastAsia"/>
          <w:color w:val="auto"/>
          <w:lang w:val="zh-CN"/>
        </w:rPr>
        <w:t>）</w:t>
      </w:r>
      <w:r>
        <w:rPr>
          <w:color w:val="auto"/>
          <w:lang w:val="zh-CN"/>
        </w:rPr>
        <w:t>月日照时数</w:t>
      </w:r>
    </w:p>
    <w:p w14:paraId="3975EE0E">
      <w:pPr>
        <w:pStyle w:val="276"/>
        <w:widowControl w:val="0"/>
        <w:ind w:firstLine="480"/>
        <w:jc w:val="both"/>
        <w:rPr>
          <w:color w:val="auto"/>
          <w:lang w:val="zh-CN"/>
        </w:rPr>
      </w:pPr>
      <w:r>
        <w:rPr>
          <w:color w:val="auto"/>
          <w:lang w:val="zh-CN"/>
        </w:rPr>
        <w:t>大庆气象站05月日照最长（239.2小时），12月日照最短（155小时）。</w:t>
      </w:r>
    </w:p>
    <w:p w14:paraId="7C3A72BD">
      <w:pPr>
        <w:pStyle w:val="276"/>
        <w:widowControl w:val="0"/>
        <w:ind w:firstLine="480"/>
        <w:jc w:val="both"/>
        <w:rPr>
          <w:color w:val="auto"/>
          <w:lang w:val="zh-CN"/>
        </w:rPr>
      </w:pPr>
      <w:r>
        <w:rPr>
          <w:color w:val="auto"/>
          <w:lang w:val="zh-CN"/>
        </w:rPr>
        <w:t>2</w:t>
      </w:r>
      <w:r>
        <w:rPr>
          <w:rFonts w:hint="eastAsia"/>
          <w:color w:val="auto"/>
          <w:lang w:val="zh-CN"/>
        </w:rPr>
        <w:t>）</w:t>
      </w:r>
      <w:r>
        <w:rPr>
          <w:color w:val="auto"/>
          <w:lang w:val="zh-CN"/>
        </w:rPr>
        <w:t>日照时数年际变化趋势与周期分析</w:t>
      </w:r>
    </w:p>
    <w:p w14:paraId="6950ACD3">
      <w:pPr>
        <w:pStyle w:val="276"/>
        <w:widowControl w:val="0"/>
        <w:ind w:firstLine="480"/>
        <w:jc w:val="both"/>
        <w:rPr>
          <w:color w:val="auto"/>
          <w:lang w:val="zh-CN"/>
        </w:rPr>
      </w:pPr>
      <w:r>
        <w:rPr>
          <w:color w:val="auto"/>
          <w:lang w:val="zh-CN"/>
        </w:rPr>
        <w:t>大庆气象站近20年年</w:t>
      </w:r>
      <w:r>
        <w:rPr>
          <w:color w:val="auto"/>
          <w:lang w:bidi="zh-CN"/>
        </w:rPr>
        <w:t>日照时数</w:t>
      </w:r>
      <w:r>
        <w:rPr>
          <w:color w:val="auto"/>
          <w:lang w:val="zh-CN"/>
        </w:rPr>
        <w:t>呈现上升趋势，2020年年日照时数最长（2825.1小时），2015年年日照时数最短（2144.4小时）。</w:t>
      </w:r>
    </w:p>
    <w:p w14:paraId="570317B5">
      <w:pPr>
        <w:pStyle w:val="276"/>
        <w:widowControl w:val="0"/>
        <w:ind w:firstLine="480"/>
        <w:jc w:val="both"/>
        <w:rPr>
          <w:color w:val="auto"/>
          <w:lang w:val="zh-CN"/>
        </w:rPr>
      </w:pPr>
      <w:r>
        <w:rPr>
          <w:color w:val="auto"/>
          <w:lang w:val="zh-CN"/>
        </w:rPr>
        <w:t>（6）气象站相对湿度</w:t>
      </w:r>
      <w:r>
        <w:rPr>
          <w:color w:val="auto"/>
          <w:lang w:bidi="zh-CN"/>
        </w:rPr>
        <w:t>分析</w:t>
      </w:r>
    </w:p>
    <w:p w14:paraId="2CB15AAA">
      <w:pPr>
        <w:pStyle w:val="276"/>
        <w:widowControl w:val="0"/>
        <w:ind w:firstLine="480"/>
        <w:jc w:val="both"/>
        <w:rPr>
          <w:color w:val="auto"/>
          <w:lang w:val="zh-CN"/>
        </w:rPr>
      </w:pPr>
      <w:r>
        <w:rPr>
          <w:color w:val="auto"/>
          <w:lang w:val="zh-CN"/>
        </w:rPr>
        <w:t>1</w:t>
      </w:r>
      <w:r>
        <w:rPr>
          <w:rFonts w:hint="eastAsia"/>
          <w:color w:val="auto"/>
          <w:lang w:val="zh-CN"/>
        </w:rPr>
        <w:t>）</w:t>
      </w:r>
      <w:r>
        <w:rPr>
          <w:color w:val="auto"/>
          <w:lang w:val="zh-CN"/>
        </w:rPr>
        <w:t>月相对湿度分析</w:t>
      </w:r>
    </w:p>
    <w:p w14:paraId="2AEFF26B">
      <w:pPr>
        <w:pStyle w:val="276"/>
        <w:widowControl w:val="0"/>
        <w:ind w:firstLine="480"/>
        <w:jc w:val="both"/>
        <w:rPr>
          <w:color w:val="auto"/>
          <w:lang w:val="zh-CN"/>
        </w:rPr>
      </w:pPr>
      <w:r>
        <w:rPr>
          <w:color w:val="auto"/>
          <w:lang w:val="zh-CN"/>
        </w:rPr>
        <w:t>大庆气象站07月平均相对湿度最大（</w:t>
      </w:r>
      <w:r>
        <w:rPr>
          <w:color w:val="auto"/>
          <w:lang w:bidi="zh-CN"/>
        </w:rPr>
        <w:t>73</w:t>
      </w:r>
      <w:r>
        <w:rPr>
          <w:color w:val="auto"/>
          <w:lang w:val="zh-CN"/>
        </w:rPr>
        <w:t>.3%），04月平均相对湿度最小（44.1%）。</w:t>
      </w:r>
    </w:p>
    <w:p w14:paraId="5233B15C">
      <w:pPr>
        <w:jc w:val="center"/>
        <w:rPr>
          <w:rFonts w:ascii="宋体" w:hAnsi="宋体" w:eastAsia="宋体" w:cs="Times New Roman"/>
          <w:color w:val="auto"/>
        </w:rPr>
      </w:pPr>
      <w:r>
        <w:rPr>
          <w:rFonts w:ascii="宋体" w:hAnsi="宋体" w:eastAsia="宋体" w:cs="Times New Roman"/>
          <w:color w:val="auto"/>
        </w:rPr>
        <w:drawing>
          <wp:inline distT="0" distB="0" distL="0" distR="0">
            <wp:extent cx="4444365" cy="2797810"/>
            <wp:effectExtent l="0" t="0" r="13335" b="254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noChangeArrowheads="1"/>
                    </pic:cNvPicPr>
                  </pic:nvPicPr>
                  <pic:blipFill>
                    <a:blip r:embed="rId86"/>
                    <a:srcRect/>
                    <a:stretch>
                      <a:fillRect/>
                    </a:stretch>
                  </pic:blipFill>
                  <pic:spPr>
                    <a:xfrm>
                      <a:off x="0" y="0"/>
                      <a:ext cx="4444365" cy="2805357"/>
                    </a:xfrm>
                    <a:prstGeom prst="rect">
                      <a:avLst/>
                    </a:prstGeom>
                    <a:noFill/>
                    <a:ln>
                      <a:noFill/>
                    </a:ln>
                  </pic:spPr>
                </pic:pic>
              </a:graphicData>
            </a:graphic>
          </wp:inline>
        </w:drawing>
      </w:r>
    </w:p>
    <w:p w14:paraId="242802FF">
      <w:pPr>
        <w:spacing w:line="440" w:lineRule="exact"/>
        <w:jc w:val="center"/>
        <w:rPr>
          <w:rFonts w:ascii="宋体" w:hAnsi="宋体" w:eastAsia="宋体" w:cs="Times New Roman"/>
          <w:color w:val="auto"/>
        </w:rPr>
      </w:pPr>
      <w:r>
        <w:rPr>
          <w:rFonts w:ascii="宋体" w:hAnsi="宋体" w:eastAsia="宋体" w:cs="Times New Roman"/>
          <w:color w:val="auto"/>
        </w:rPr>
        <w:t>图5.1-6   月平均相对湿度</w:t>
      </w:r>
    </w:p>
    <w:p w14:paraId="2E07ABAE">
      <w:pPr>
        <w:pStyle w:val="276"/>
        <w:widowControl w:val="0"/>
        <w:ind w:firstLine="480"/>
        <w:jc w:val="both"/>
        <w:rPr>
          <w:color w:val="auto"/>
          <w:lang w:val="zh-CN"/>
        </w:rPr>
      </w:pPr>
      <w:r>
        <w:rPr>
          <w:color w:val="auto"/>
          <w:lang w:val="zh-CN"/>
        </w:rPr>
        <w:t>2</w:t>
      </w:r>
      <w:r>
        <w:rPr>
          <w:rFonts w:hint="eastAsia"/>
          <w:color w:val="auto"/>
          <w:lang w:val="zh-CN"/>
        </w:rPr>
        <w:t>）</w:t>
      </w:r>
      <w:r>
        <w:rPr>
          <w:color w:val="auto"/>
          <w:lang w:val="zh-CN"/>
        </w:rPr>
        <w:t>相对湿度年际变化趋势与周期分析</w:t>
      </w:r>
    </w:p>
    <w:p w14:paraId="77521124">
      <w:pPr>
        <w:pStyle w:val="276"/>
        <w:widowControl w:val="0"/>
        <w:ind w:firstLine="480"/>
        <w:jc w:val="both"/>
        <w:rPr>
          <w:color w:val="auto"/>
          <w:lang w:val="zh-CN"/>
        </w:rPr>
      </w:pPr>
      <w:r>
        <w:rPr>
          <w:color w:val="auto"/>
          <w:lang w:val="zh-CN"/>
        </w:rPr>
        <w:t>大庆气象站近20年年平均相对湿度无明显变化趋势，2013年年平均相对湿度最大（67%），2017年年平均相对湿度最小（56%）。</w:t>
      </w:r>
    </w:p>
    <w:p w14:paraId="2268979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近一年地面气象资料统计</w:t>
      </w:r>
    </w:p>
    <w:p w14:paraId="218CBCCC">
      <w:pPr>
        <w:pStyle w:val="276"/>
        <w:widowControl w:val="0"/>
        <w:ind w:firstLine="480"/>
        <w:jc w:val="both"/>
        <w:rPr>
          <w:color w:val="auto"/>
          <w:lang w:val="zh-CN"/>
        </w:rPr>
      </w:pPr>
      <w:r>
        <w:rPr>
          <w:color w:val="auto"/>
          <w:lang w:val="zh-CN"/>
        </w:rPr>
        <w:t>本项目地面观测资料采用气象局提供的2024年1月至2024年12月全年风速、风向、干球温度、露点温度、相对湿度、气压观测资料以及观测的总云和低云资料进行统计分析。统计分析结果表明，2024年评价区域平均温度6.3℃，平均风速2.9m/s。</w:t>
      </w:r>
    </w:p>
    <w:p w14:paraId="2F33AD63">
      <w:pPr>
        <w:pStyle w:val="276"/>
        <w:widowControl w:val="0"/>
        <w:ind w:firstLine="480"/>
        <w:jc w:val="both"/>
        <w:rPr>
          <w:color w:val="auto"/>
          <w:lang w:val="zh-CN"/>
        </w:rPr>
      </w:pPr>
      <w:r>
        <w:rPr>
          <w:color w:val="auto"/>
          <w:lang w:val="zh-CN"/>
        </w:rPr>
        <w:t>（1）气象台站的基本信息</w:t>
      </w:r>
    </w:p>
    <w:p w14:paraId="6C8F692F">
      <w:pPr>
        <w:pStyle w:val="276"/>
        <w:widowControl w:val="0"/>
        <w:ind w:firstLine="480"/>
        <w:jc w:val="both"/>
        <w:rPr>
          <w:color w:val="auto"/>
          <w:lang w:val="zh-CN"/>
        </w:rPr>
      </w:pPr>
      <w:r>
        <w:rPr>
          <w:color w:val="auto"/>
          <w:lang w:val="zh-CN"/>
        </w:rPr>
        <w:t>气象台站区站号（国家统一编号）50850；</w:t>
      </w:r>
    </w:p>
    <w:p w14:paraId="54C30F15">
      <w:pPr>
        <w:pStyle w:val="276"/>
        <w:widowControl w:val="0"/>
        <w:ind w:firstLine="480"/>
        <w:jc w:val="both"/>
        <w:rPr>
          <w:color w:val="auto"/>
          <w:lang w:val="zh-CN"/>
        </w:rPr>
      </w:pPr>
      <w:r>
        <w:rPr>
          <w:color w:val="auto"/>
          <w:lang w:val="zh-CN"/>
        </w:rPr>
        <w:t>测风距离地面高度10.5</w:t>
      </w:r>
      <w:r>
        <w:rPr>
          <w:rFonts w:hint="eastAsia"/>
          <w:color w:val="auto"/>
          <w:lang w:val="zh-CN"/>
        </w:rPr>
        <w:t>m</w:t>
      </w:r>
      <w:r>
        <w:rPr>
          <w:color w:val="auto"/>
          <w:lang w:val="zh-CN"/>
        </w:rPr>
        <w:t>；</w:t>
      </w:r>
    </w:p>
    <w:p w14:paraId="5A267EC1">
      <w:pPr>
        <w:pStyle w:val="276"/>
        <w:widowControl w:val="0"/>
        <w:ind w:firstLine="480"/>
        <w:jc w:val="both"/>
        <w:rPr>
          <w:color w:val="auto"/>
          <w:lang w:val="zh-CN"/>
        </w:rPr>
      </w:pPr>
      <w:r>
        <w:rPr>
          <w:color w:val="auto"/>
          <w:lang w:val="zh-CN"/>
        </w:rPr>
        <w:t>测温离地面高度1.5</w:t>
      </w:r>
      <w:r>
        <w:rPr>
          <w:rFonts w:hint="eastAsia"/>
          <w:color w:val="auto"/>
          <w:lang w:val="zh-CN"/>
        </w:rPr>
        <w:t>m</w:t>
      </w:r>
      <w:r>
        <w:rPr>
          <w:color w:val="auto"/>
          <w:lang w:val="zh-CN"/>
        </w:rPr>
        <w:t>；</w:t>
      </w:r>
    </w:p>
    <w:p w14:paraId="11D9A20F">
      <w:pPr>
        <w:pStyle w:val="276"/>
        <w:widowControl w:val="0"/>
        <w:ind w:firstLine="480"/>
        <w:jc w:val="both"/>
        <w:rPr>
          <w:color w:val="auto"/>
          <w:lang w:val="zh-CN"/>
        </w:rPr>
      </w:pPr>
      <w:r>
        <w:rPr>
          <w:color w:val="auto"/>
          <w:lang w:val="zh-CN"/>
        </w:rPr>
        <w:t>气象站地面高程（拔海高度）</w:t>
      </w:r>
      <w:r>
        <w:rPr>
          <w:color w:val="auto"/>
          <w:lang w:bidi="zh-CN"/>
        </w:rPr>
        <w:t>152</w:t>
      </w:r>
      <w:r>
        <w:rPr>
          <w:rFonts w:hint="eastAsia"/>
          <w:color w:val="auto"/>
          <w:lang w:val="zh-CN"/>
        </w:rPr>
        <w:t>m</w:t>
      </w:r>
      <w:r>
        <w:rPr>
          <w:color w:val="auto"/>
          <w:lang w:val="zh-CN"/>
        </w:rPr>
        <w:t>；</w:t>
      </w:r>
    </w:p>
    <w:p w14:paraId="652ADB29">
      <w:pPr>
        <w:pStyle w:val="276"/>
        <w:widowControl w:val="0"/>
        <w:ind w:firstLine="480"/>
        <w:jc w:val="both"/>
        <w:rPr>
          <w:color w:val="auto"/>
          <w:lang w:val="zh-CN"/>
        </w:rPr>
      </w:pPr>
      <w:r>
        <w:rPr>
          <w:color w:val="auto"/>
          <w:lang w:val="zh-CN"/>
        </w:rPr>
        <w:t>气象站类别（一般站）。</w:t>
      </w:r>
    </w:p>
    <w:p w14:paraId="38269933">
      <w:pPr>
        <w:pStyle w:val="276"/>
        <w:widowControl w:val="0"/>
        <w:ind w:firstLine="480"/>
        <w:jc w:val="both"/>
        <w:rPr>
          <w:color w:val="auto"/>
          <w:lang w:val="zh-CN"/>
        </w:rPr>
      </w:pPr>
      <w:r>
        <w:rPr>
          <w:color w:val="auto"/>
          <w:lang w:val="zh-CN"/>
        </w:rPr>
        <w:t>（2）温度统计分析</w:t>
      </w:r>
    </w:p>
    <w:p w14:paraId="3BD0032F">
      <w:pPr>
        <w:pStyle w:val="276"/>
        <w:widowControl w:val="0"/>
        <w:ind w:firstLine="480"/>
        <w:jc w:val="both"/>
        <w:rPr>
          <w:color w:val="auto"/>
          <w:lang w:val="zh-CN"/>
        </w:rPr>
      </w:pPr>
      <w:r>
        <w:rPr>
          <w:color w:val="auto"/>
          <w:lang w:val="zh-CN"/>
        </w:rPr>
        <w:t>年平均温度月变化统计表见表5.1-5和图5.1-7。</w:t>
      </w:r>
    </w:p>
    <w:p w14:paraId="3616EAC1">
      <w:pPr>
        <w:pStyle w:val="276"/>
        <w:widowControl w:val="0"/>
        <w:spacing w:line="440" w:lineRule="exact"/>
        <w:ind w:firstLine="0" w:firstLineChars="0"/>
        <w:jc w:val="center"/>
        <w:rPr>
          <w:color w:val="auto"/>
        </w:rPr>
      </w:pPr>
      <w:r>
        <w:rPr>
          <w:color w:val="auto"/>
        </w:rPr>
        <w:t>表5.1-5 年平均温度月变化统计表</w:t>
      </w:r>
    </w:p>
    <w:tbl>
      <w:tblPr>
        <w:tblStyle w:val="172"/>
        <w:tblW w:w="910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614"/>
        <w:gridCol w:w="613"/>
        <w:gridCol w:w="614"/>
        <w:gridCol w:w="614"/>
        <w:gridCol w:w="614"/>
        <w:gridCol w:w="614"/>
        <w:gridCol w:w="614"/>
        <w:gridCol w:w="614"/>
        <w:gridCol w:w="614"/>
        <w:gridCol w:w="615"/>
        <w:gridCol w:w="615"/>
        <w:gridCol w:w="617"/>
        <w:gridCol w:w="631"/>
      </w:tblGrid>
      <w:tr w14:paraId="0F632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098" w:type="dxa"/>
            <w:tcBorders>
              <w:left w:val="single" w:color="000000" w:sz="10" w:space="0"/>
            </w:tcBorders>
            <w:vAlign w:val="center"/>
          </w:tcPr>
          <w:p w14:paraId="2838CF4C">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月份</w:t>
            </w:r>
          </w:p>
        </w:tc>
        <w:tc>
          <w:tcPr>
            <w:tcW w:w="614" w:type="dxa"/>
            <w:vAlign w:val="center"/>
          </w:tcPr>
          <w:p w14:paraId="267560A4">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1月</w:t>
            </w:r>
          </w:p>
        </w:tc>
        <w:tc>
          <w:tcPr>
            <w:tcW w:w="613" w:type="dxa"/>
            <w:vAlign w:val="center"/>
          </w:tcPr>
          <w:p w14:paraId="000938BE">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2月</w:t>
            </w:r>
          </w:p>
        </w:tc>
        <w:tc>
          <w:tcPr>
            <w:tcW w:w="614" w:type="dxa"/>
            <w:vAlign w:val="center"/>
          </w:tcPr>
          <w:p w14:paraId="7CD2773C">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3月</w:t>
            </w:r>
          </w:p>
        </w:tc>
        <w:tc>
          <w:tcPr>
            <w:tcW w:w="614" w:type="dxa"/>
            <w:vAlign w:val="center"/>
          </w:tcPr>
          <w:p w14:paraId="31352B11">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4月</w:t>
            </w:r>
          </w:p>
        </w:tc>
        <w:tc>
          <w:tcPr>
            <w:tcW w:w="614" w:type="dxa"/>
            <w:vAlign w:val="center"/>
          </w:tcPr>
          <w:p w14:paraId="5FC1EC70">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5月</w:t>
            </w:r>
          </w:p>
        </w:tc>
        <w:tc>
          <w:tcPr>
            <w:tcW w:w="614" w:type="dxa"/>
            <w:vAlign w:val="center"/>
          </w:tcPr>
          <w:p w14:paraId="2D98668C">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6月</w:t>
            </w:r>
          </w:p>
        </w:tc>
        <w:tc>
          <w:tcPr>
            <w:tcW w:w="614" w:type="dxa"/>
            <w:vAlign w:val="center"/>
          </w:tcPr>
          <w:p w14:paraId="4AA2C4E0">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7月</w:t>
            </w:r>
          </w:p>
        </w:tc>
        <w:tc>
          <w:tcPr>
            <w:tcW w:w="614" w:type="dxa"/>
            <w:vAlign w:val="center"/>
          </w:tcPr>
          <w:p w14:paraId="6167B22B">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8月</w:t>
            </w:r>
          </w:p>
        </w:tc>
        <w:tc>
          <w:tcPr>
            <w:tcW w:w="614" w:type="dxa"/>
            <w:vAlign w:val="center"/>
          </w:tcPr>
          <w:p w14:paraId="622B11EE">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9月</w:t>
            </w:r>
          </w:p>
        </w:tc>
        <w:tc>
          <w:tcPr>
            <w:tcW w:w="615" w:type="dxa"/>
            <w:vAlign w:val="center"/>
          </w:tcPr>
          <w:p w14:paraId="295BD066">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10月</w:t>
            </w:r>
          </w:p>
        </w:tc>
        <w:tc>
          <w:tcPr>
            <w:tcW w:w="615" w:type="dxa"/>
            <w:vAlign w:val="center"/>
          </w:tcPr>
          <w:p w14:paraId="425692F9">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11月</w:t>
            </w:r>
          </w:p>
        </w:tc>
        <w:tc>
          <w:tcPr>
            <w:tcW w:w="617" w:type="dxa"/>
            <w:vAlign w:val="center"/>
          </w:tcPr>
          <w:p w14:paraId="0E5143F6">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12月</w:t>
            </w:r>
          </w:p>
        </w:tc>
        <w:tc>
          <w:tcPr>
            <w:tcW w:w="631" w:type="dxa"/>
            <w:tcBorders>
              <w:right w:val="single" w:color="000000" w:sz="10" w:space="0"/>
            </w:tcBorders>
            <w:vAlign w:val="center"/>
          </w:tcPr>
          <w:p w14:paraId="5EA8DE40">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全年</w:t>
            </w:r>
          </w:p>
        </w:tc>
      </w:tr>
      <w:tr w14:paraId="5AED2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098" w:type="dxa"/>
            <w:tcBorders>
              <w:left w:val="single" w:color="000000" w:sz="10" w:space="0"/>
            </w:tcBorders>
            <w:vAlign w:val="center"/>
          </w:tcPr>
          <w:p w14:paraId="6A901B76">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气温（℃）</w:t>
            </w:r>
          </w:p>
        </w:tc>
        <w:tc>
          <w:tcPr>
            <w:tcW w:w="614" w:type="dxa"/>
            <w:vAlign w:val="bottom"/>
          </w:tcPr>
          <w:p w14:paraId="357A68DE">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-16.1 </w:t>
            </w:r>
          </w:p>
        </w:tc>
        <w:tc>
          <w:tcPr>
            <w:tcW w:w="613" w:type="dxa"/>
            <w:vAlign w:val="bottom"/>
          </w:tcPr>
          <w:p w14:paraId="3415CED0">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-10.0 </w:t>
            </w:r>
          </w:p>
        </w:tc>
        <w:tc>
          <w:tcPr>
            <w:tcW w:w="614" w:type="dxa"/>
            <w:vAlign w:val="bottom"/>
          </w:tcPr>
          <w:p w14:paraId="43ABC3F3">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-1.7 </w:t>
            </w:r>
          </w:p>
        </w:tc>
        <w:tc>
          <w:tcPr>
            <w:tcW w:w="614" w:type="dxa"/>
            <w:vAlign w:val="bottom"/>
          </w:tcPr>
          <w:p w14:paraId="2F891892">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10.1 </w:t>
            </w:r>
          </w:p>
        </w:tc>
        <w:tc>
          <w:tcPr>
            <w:tcW w:w="614" w:type="dxa"/>
            <w:vAlign w:val="bottom"/>
          </w:tcPr>
          <w:p w14:paraId="398063F8">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15.6 </w:t>
            </w:r>
          </w:p>
        </w:tc>
        <w:tc>
          <w:tcPr>
            <w:tcW w:w="614" w:type="dxa"/>
            <w:vAlign w:val="bottom"/>
          </w:tcPr>
          <w:p w14:paraId="0D87ED26">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20.2 </w:t>
            </w:r>
          </w:p>
        </w:tc>
        <w:tc>
          <w:tcPr>
            <w:tcW w:w="614" w:type="dxa"/>
            <w:vAlign w:val="bottom"/>
          </w:tcPr>
          <w:p w14:paraId="32A18C4B">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25.2 </w:t>
            </w:r>
          </w:p>
        </w:tc>
        <w:tc>
          <w:tcPr>
            <w:tcW w:w="614" w:type="dxa"/>
            <w:vAlign w:val="bottom"/>
          </w:tcPr>
          <w:p w14:paraId="7A8FE9A4">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23.3 </w:t>
            </w:r>
          </w:p>
        </w:tc>
        <w:tc>
          <w:tcPr>
            <w:tcW w:w="614" w:type="dxa"/>
            <w:vAlign w:val="bottom"/>
          </w:tcPr>
          <w:p w14:paraId="7E0334F5">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16.8 </w:t>
            </w:r>
          </w:p>
        </w:tc>
        <w:tc>
          <w:tcPr>
            <w:tcW w:w="615" w:type="dxa"/>
            <w:vAlign w:val="bottom"/>
          </w:tcPr>
          <w:p w14:paraId="5C1388EC">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7.8 </w:t>
            </w:r>
          </w:p>
        </w:tc>
        <w:tc>
          <w:tcPr>
            <w:tcW w:w="615" w:type="dxa"/>
            <w:vAlign w:val="bottom"/>
          </w:tcPr>
          <w:p w14:paraId="7478B18E">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-2.5 </w:t>
            </w:r>
          </w:p>
        </w:tc>
        <w:tc>
          <w:tcPr>
            <w:tcW w:w="617" w:type="dxa"/>
            <w:vAlign w:val="bottom"/>
          </w:tcPr>
          <w:p w14:paraId="55407D09">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-13.2 </w:t>
            </w:r>
          </w:p>
        </w:tc>
        <w:tc>
          <w:tcPr>
            <w:tcW w:w="631" w:type="dxa"/>
            <w:tcBorders>
              <w:right w:val="single" w:color="000000" w:sz="10" w:space="0"/>
            </w:tcBorders>
            <w:vAlign w:val="center"/>
          </w:tcPr>
          <w:p w14:paraId="2609A434">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6.3</w:t>
            </w:r>
          </w:p>
        </w:tc>
      </w:tr>
    </w:tbl>
    <w:p w14:paraId="5639770C">
      <w:pPr>
        <w:jc w:val="center"/>
        <w:rPr>
          <w:rFonts w:ascii="宋体" w:hAnsi="宋体" w:eastAsia="宋体" w:cs="Times New Roman"/>
          <w:color w:val="auto"/>
          <w:lang w:val="zh-CN"/>
        </w:rPr>
      </w:pPr>
      <w:r>
        <w:rPr>
          <w:rFonts w:ascii="宋体" w:hAnsi="宋体" w:eastAsia="宋体" w:cs="Times New Roman"/>
          <w:color w:val="auto"/>
        </w:rPr>
        <w:drawing>
          <wp:inline distT="0" distB="0" distL="0" distR="0">
            <wp:extent cx="4164965" cy="2495550"/>
            <wp:effectExtent l="0" t="0" r="6985" b="0"/>
            <wp:docPr id="1352728143" name="图片 135272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43" name="图片 1352728143"/>
                    <pic:cNvPicPr>
                      <a:picLocks noChangeAspect="1"/>
                    </pic:cNvPicPr>
                  </pic:nvPicPr>
                  <pic:blipFill>
                    <a:blip r:embed="rId87"/>
                    <a:stretch>
                      <a:fillRect/>
                    </a:stretch>
                  </pic:blipFill>
                  <pic:spPr>
                    <a:xfrm>
                      <a:off x="0" y="0"/>
                      <a:ext cx="4171767" cy="2495550"/>
                    </a:xfrm>
                    <a:prstGeom prst="rect">
                      <a:avLst/>
                    </a:prstGeom>
                  </pic:spPr>
                </pic:pic>
              </a:graphicData>
            </a:graphic>
          </wp:inline>
        </w:drawing>
      </w:r>
    </w:p>
    <w:p w14:paraId="7598FE0B">
      <w:pPr>
        <w:jc w:val="center"/>
        <w:rPr>
          <w:rFonts w:ascii="宋体" w:hAnsi="宋体" w:eastAsia="宋体" w:cs="Times New Roman"/>
          <w:color w:val="auto"/>
          <w:lang w:val="zh-CN"/>
        </w:rPr>
      </w:pPr>
      <w:r>
        <w:rPr>
          <w:rFonts w:ascii="宋体" w:hAnsi="宋体" w:eastAsia="宋体" w:cs="Times New Roman"/>
          <w:color w:val="auto"/>
          <w:lang w:val="zh-CN"/>
        </w:rPr>
        <w:t>图5.1-7  年平均温度变化曲线图</w:t>
      </w:r>
    </w:p>
    <w:p w14:paraId="0956E16A">
      <w:pPr>
        <w:pStyle w:val="276"/>
        <w:widowControl w:val="0"/>
        <w:ind w:firstLine="480"/>
        <w:jc w:val="both"/>
        <w:rPr>
          <w:color w:val="auto"/>
          <w:lang w:val="zh-CN"/>
        </w:rPr>
      </w:pPr>
      <w:r>
        <w:rPr>
          <w:color w:val="auto"/>
          <w:lang w:val="zh-CN"/>
        </w:rPr>
        <w:t>由上表可知，近1年的平均温度为6.3℃，4-10月份高于全年平均气温，其它月份小于全年平均值，7月份平均气温最高为25.2℃，1月份温度最低为-16.1℃。</w:t>
      </w:r>
    </w:p>
    <w:p w14:paraId="651244E5">
      <w:pPr>
        <w:pStyle w:val="276"/>
        <w:widowControl w:val="0"/>
        <w:ind w:firstLine="480"/>
        <w:jc w:val="both"/>
        <w:rPr>
          <w:color w:val="auto"/>
          <w:lang w:val="zh-CN"/>
        </w:rPr>
      </w:pPr>
      <w:r>
        <w:rPr>
          <w:color w:val="auto"/>
          <w:lang w:val="zh-CN"/>
        </w:rPr>
        <w:t>（3）风速统计分析</w:t>
      </w:r>
    </w:p>
    <w:p w14:paraId="08E9F789">
      <w:pPr>
        <w:pStyle w:val="276"/>
        <w:widowControl w:val="0"/>
        <w:ind w:firstLine="480"/>
        <w:jc w:val="both"/>
        <w:rPr>
          <w:color w:val="auto"/>
          <w:lang w:val="zh-CN"/>
        </w:rPr>
      </w:pPr>
      <w:r>
        <w:rPr>
          <w:color w:val="auto"/>
          <w:lang w:val="zh-CN"/>
        </w:rPr>
        <w:t>年平均风速为2.9m/s，4-5月份平均风速</w:t>
      </w:r>
      <w:r>
        <w:rPr>
          <w:color w:val="auto"/>
          <w:lang w:bidi="zh-CN"/>
        </w:rPr>
        <w:t>最大</w:t>
      </w:r>
      <w:r>
        <w:rPr>
          <w:color w:val="auto"/>
          <w:lang w:val="zh-CN"/>
        </w:rPr>
        <w:t>为3.6m/s；12月份平均风速最小为2.2m/s。年平均风速月变化统计见表5.1-6和图5.1-8。</w:t>
      </w:r>
    </w:p>
    <w:p w14:paraId="12C9FD4B">
      <w:pPr>
        <w:pStyle w:val="276"/>
        <w:widowControl w:val="0"/>
        <w:spacing w:line="440" w:lineRule="exact"/>
        <w:ind w:firstLine="0" w:firstLineChars="0"/>
        <w:jc w:val="center"/>
        <w:rPr>
          <w:color w:val="auto"/>
        </w:rPr>
      </w:pPr>
      <w:r>
        <w:rPr>
          <w:color w:val="auto"/>
        </w:rPr>
        <w:t>表5.1-6 年平均风速统计表</w:t>
      </w:r>
    </w:p>
    <w:tbl>
      <w:tblPr>
        <w:tblStyle w:val="172"/>
        <w:tblW w:w="910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1"/>
        <w:gridCol w:w="567"/>
        <w:gridCol w:w="567"/>
        <w:gridCol w:w="549"/>
        <w:gridCol w:w="614"/>
        <w:gridCol w:w="615"/>
        <w:gridCol w:w="614"/>
        <w:gridCol w:w="615"/>
        <w:gridCol w:w="614"/>
        <w:gridCol w:w="614"/>
        <w:gridCol w:w="615"/>
        <w:gridCol w:w="616"/>
        <w:gridCol w:w="619"/>
        <w:gridCol w:w="631"/>
      </w:tblGrid>
      <w:tr w14:paraId="5555A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251" w:type="dxa"/>
            <w:tcBorders>
              <w:left w:val="single" w:color="000000" w:sz="10" w:space="0"/>
            </w:tcBorders>
            <w:vAlign w:val="center"/>
          </w:tcPr>
          <w:p w14:paraId="6A06D466">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月份</w:t>
            </w:r>
          </w:p>
        </w:tc>
        <w:tc>
          <w:tcPr>
            <w:tcW w:w="567" w:type="dxa"/>
            <w:vAlign w:val="center"/>
          </w:tcPr>
          <w:p w14:paraId="230F4910">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1月</w:t>
            </w:r>
          </w:p>
        </w:tc>
        <w:tc>
          <w:tcPr>
            <w:tcW w:w="567" w:type="dxa"/>
            <w:vAlign w:val="center"/>
          </w:tcPr>
          <w:p w14:paraId="1C72B5E5">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2月</w:t>
            </w:r>
          </w:p>
        </w:tc>
        <w:tc>
          <w:tcPr>
            <w:tcW w:w="549" w:type="dxa"/>
            <w:vAlign w:val="center"/>
          </w:tcPr>
          <w:p w14:paraId="77B8C5D0">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3月</w:t>
            </w:r>
          </w:p>
        </w:tc>
        <w:tc>
          <w:tcPr>
            <w:tcW w:w="614" w:type="dxa"/>
            <w:vAlign w:val="center"/>
          </w:tcPr>
          <w:p w14:paraId="0689C28A">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4月</w:t>
            </w:r>
          </w:p>
        </w:tc>
        <w:tc>
          <w:tcPr>
            <w:tcW w:w="615" w:type="dxa"/>
            <w:vAlign w:val="center"/>
          </w:tcPr>
          <w:p w14:paraId="6DF8D2EA">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5月</w:t>
            </w:r>
          </w:p>
        </w:tc>
        <w:tc>
          <w:tcPr>
            <w:tcW w:w="614" w:type="dxa"/>
            <w:vAlign w:val="center"/>
          </w:tcPr>
          <w:p w14:paraId="7DC05058">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6月</w:t>
            </w:r>
          </w:p>
        </w:tc>
        <w:tc>
          <w:tcPr>
            <w:tcW w:w="615" w:type="dxa"/>
            <w:vAlign w:val="center"/>
          </w:tcPr>
          <w:p w14:paraId="55D72B31">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7月</w:t>
            </w:r>
          </w:p>
        </w:tc>
        <w:tc>
          <w:tcPr>
            <w:tcW w:w="614" w:type="dxa"/>
            <w:vAlign w:val="center"/>
          </w:tcPr>
          <w:p w14:paraId="3AA0CDF1">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8月</w:t>
            </w:r>
          </w:p>
        </w:tc>
        <w:tc>
          <w:tcPr>
            <w:tcW w:w="614" w:type="dxa"/>
            <w:vAlign w:val="center"/>
          </w:tcPr>
          <w:p w14:paraId="460979E8">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9月</w:t>
            </w:r>
          </w:p>
        </w:tc>
        <w:tc>
          <w:tcPr>
            <w:tcW w:w="615" w:type="dxa"/>
            <w:vAlign w:val="center"/>
          </w:tcPr>
          <w:p w14:paraId="74968D93">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10月</w:t>
            </w:r>
          </w:p>
        </w:tc>
        <w:tc>
          <w:tcPr>
            <w:tcW w:w="616" w:type="dxa"/>
            <w:vAlign w:val="center"/>
          </w:tcPr>
          <w:p w14:paraId="4EC22781">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11月</w:t>
            </w:r>
          </w:p>
        </w:tc>
        <w:tc>
          <w:tcPr>
            <w:tcW w:w="619" w:type="dxa"/>
            <w:vAlign w:val="center"/>
          </w:tcPr>
          <w:p w14:paraId="0972574F">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12月</w:t>
            </w:r>
          </w:p>
        </w:tc>
        <w:tc>
          <w:tcPr>
            <w:tcW w:w="631" w:type="dxa"/>
            <w:tcBorders>
              <w:right w:val="single" w:color="000000" w:sz="10" w:space="0"/>
            </w:tcBorders>
            <w:vAlign w:val="center"/>
          </w:tcPr>
          <w:p w14:paraId="028C2434">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全年</w:t>
            </w:r>
          </w:p>
        </w:tc>
      </w:tr>
      <w:tr w14:paraId="6F077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251" w:type="dxa"/>
            <w:tcBorders>
              <w:left w:val="single" w:color="000000" w:sz="10" w:space="0"/>
            </w:tcBorders>
            <w:vAlign w:val="center"/>
          </w:tcPr>
          <w:p w14:paraId="514F95A1">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风速（m/s）</w:t>
            </w:r>
          </w:p>
        </w:tc>
        <w:tc>
          <w:tcPr>
            <w:tcW w:w="567" w:type="dxa"/>
            <w:vAlign w:val="bottom"/>
          </w:tcPr>
          <w:p w14:paraId="752C21D8">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2.5 </w:t>
            </w:r>
          </w:p>
        </w:tc>
        <w:tc>
          <w:tcPr>
            <w:tcW w:w="567" w:type="dxa"/>
            <w:vAlign w:val="bottom"/>
          </w:tcPr>
          <w:p w14:paraId="391B4BF0">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2.7 </w:t>
            </w:r>
          </w:p>
        </w:tc>
        <w:tc>
          <w:tcPr>
            <w:tcW w:w="549" w:type="dxa"/>
            <w:vAlign w:val="bottom"/>
          </w:tcPr>
          <w:p w14:paraId="673D0263">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3.1 </w:t>
            </w:r>
          </w:p>
        </w:tc>
        <w:tc>
          <w:tcPr>
            <w:tcW w:w="614" w:type="dxa"/>
            <w:vAlign w:val="bottom"/>
          </w:tcPr>
          <w:p w14:paraId="2A9185C1">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3.6 </w:t>
            </w:r>
          </w:p>
        </w:tc>
        <w:tc>
          <w:tcPr>
            <w:tcW w:w="615" w:type="dxa"/>
            <w:vAlign w:val="bottom"/>
          </w:tcPr>
          <w:p w14:paraId="2BC50545">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3.6 </w:t>
            </w:r>
          </w:p>
        </w:tc>
        <w:tc>
          <w:tcPr>
            <w:tcW w:w="614" w:type="dxa"/>
            <w:vAlign w:val="bottom"/>
          </w:tcPr>
          <w:p w14:paraId="4067FED5">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3.0 </w:t>
            </w:r>
          </w:p>
        </w:tc>
        <w:tc>
          <w:tcPr>
            <w:tcW w:w="615" w:type="dxa"/>
            <w:vAlign w:val="bottom"/>
          </w:tcPr>
          <w:p w14:paraId="70A81841">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2.7 </w:t>
            </w:r>
          </w:p>
        </w:tc>
        <w:tc>
          <w:tcPr>
            <w:tcW w:w="614" w:type="dxa"/>
            <w:vAlign w:val="bottom"/>
          </w:tcPr>
          <w:p w14:paraId="7BB75E82">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2.3 </w:t>
            </w:r>
          </w:p>
        </w:tc>
        <w:tc>
          <w:tcPr>
            <w:tcW w:w="614" w:type="dxa"/>
            <w:vAlign w:val="bottom"/>
          </w:tcPr>
          <w:p w14:paraId="44B1ACD1">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3.0 </w:t>
            </w:r>
          </w:p>
        </w:tc>
        <w:tc>
          <w:tcPr>
            <w:tcW w:w="615" w:type="dxa"/>
            <w:vAlign w:val="bottom"/>
          </w:tcPr>
          <w:p w14:paraId="6F3FB70C">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3.0 </w:t>
            </w:r>
          </w:p>
        </w:tc>
        <w:tc>
          <w:tcPr>
            <w:tcW w:w="616" w:type="dxa"/>
            <w:vAlign w:val="bottom"/>
          </w:tcPr>
          <w:p w14:paraId="7A5E417D">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2.8 </w:t>
            </w:r>
          </w:p>
        </w:tc>
        <w:tc>
          <w:tcPr>
            <w:tcW w:w="619" w:type="dxa"/>
            <w:vAlign w:val="bottom"/>
          </w:tcPr>
          <w:p w14:paraId="0D035B9D">
            <w:pPr>
              <w:spacing w:line="320" w:lineRule="exact"/>
              <w:jc w:val="center"/>
              <w:rPr>
                <w:rFonts w:ascii="宋体" w:hAnsi="宋体" w:eastAsia="宋体" w:cs="Times New Roman"/>
                <w:color w:val="auto"/>
                <w:sz w:val="20"/>
                <w:szCs w:val="20"/>
              </w:rPr>
            </w:pPr>
            <w:r>
              <w:rPr>
                <w:rFonts w:ascii="宋体" w:hAnsi="宋体" w:eastAsia="宋体" w:cs="Times New Roman"/>
                <w:color w:val="auto"/>
                <w:sz w:val="18"/>
                <w:szCs w:val="18"/>
              </w:rPr>
              <w:t xml:space="preserve">2.2 </w:t>
            </w:r>
          </w:p>
        </w:tc>
        <w:tc>
          <w:tcPr>
            <w:tcW w:w="631" w:type="dxa"/>
            <w:tcBorders>
              <w:right w:val="single" w:color="000000" w:sz="10" w:space="0"/>
            </w:tcBorders>
            <w:vAlign w:val="center"/>
          </w:tcPr>
          <w:p w14:paraId="54DE4B9C">
            <w:pPr>
              <w:spacing w:line="320" w:lineRule="exact"/>
              <w:jc w:val="center"/>
              <w:rPr>
                <w:rFonts w:ascii="宋体" w:hAnsi="宋体" w:eastAsia="宋体" w:cs="Times New Roman"/>
                <w:color w:val="auto"/>
                <w:sz w:val="20"/>
                <w:szCs w:val="20"/>
              </w:rPr>
            </w:pPr>
            <w:r>
              <w:rPr>
                <w:rFonts w:ascii="宋体" w:hAnsi="宋体" w:eastAsia="宋体" w:cs="Times New Roman"/>
                <w:color w:val="auto"/>
                <w:sz w:val="20"/>
                <w:szCs w:val="20"/>
              </w:rPr>
              <w:t>2.9</w:t>
            </w:r>
          </w:p>
        </w:tc>
      </w:tr>
    </w:tbl>
    <w:p w14:paraId="0C1290AC">
      <w:pPr>
        <w:jc w:val="center"/>
        <w:rPr>
          <w:rFonts w:ascii="宋体" w:hAnsi="宋体" w:eastAsia="宋体" w:cs="Times New Roman"/>
          <w:color w:val="auto"/>
          <w:lang w:val="zh-CN"/>
        </w:rPr>
      </w:pPr>
      <w:r>
        <w:rPr>
          <w:rFonts w:ascii="宋体" w:hAnsi="宋体" w:eastAsia="宋体" w:cs="Times New Roman"/>
          <w:color w:val="auto"/>
        </w:rPr>
        <w:drawing>
          <wp:inline distT="0" distB="0" distL="0" distR="0">
            <wp:extent cx="3890645" cy="2324100"/>
            <wp:effectExtent l="0" t="0" r="14605" b="0"/>
            <wp:docPr id="1352728144" name="图片 135272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44" name="图片 1352728144"/>
                    <pic:cNvPicPr>
                      <a:picLocks noChangeAspect="1"/>
                    </pic:cNvPicPr>
                  </pic:nvPicPr>
                  <pic:blipFill>
                    <a:blip r:embed="rId88"/>
                    <a:stretch>
                      <a:fillRect/>
                    </a:stretch>
                  </pic:blipFill>
                  <pic:spPr>
                    <a:xfrm>
                      <a:off x="0" y="0"/>
                      <a:ext cx="3898557" cy="2324100"/>
                    </a:xfrm>
                    <a:prstGeom prst="rect">
                      <a:avLst/>
                    </a:prstGeom>
                  </pic:spPr>
                </pic:pic>
              </a:graphicData>
            </a:graphic>
          </wp:inline>
        </w:drawing>
      </w:r>
    </w:p>
    <w:p w14:paraId="3F44C8E9">
      <w:pPr>
        <w:jc w:val="center"/>
        <w:rPr>
          <w:rFonts w:ascii="宋体" w:hAnsi="宋体" w:eastAsia="宋体" w:cs="Times New Roman"/>
          <w:color w:val="auto"/>
          <w:lang w:val="zh-CN"/>
        </w:rPr>
      </w:pPr>
      <w:r>
        <w:rPr>
          <w:rFonts w:ascii="宋体" w:hAnsi="宋体" w:eastAsia="宋体" w:cs="Times New Roman"/>
          <w:color w:val="auto"/>
          <w:lang w:val="zh-CN"/>
        </w:rPr>
        <w:t>图5.1-8  年平均风速月变化曲线图</w:t>
      </w:r>
    </w:p>
    <w:p w14:paraId="4CDC75D9">
      <w:pPr>
        <w:pStyle w:val="276"/>
        <w:widowControl w:val="0"/>
        <w:ind w:firstLine="480"/>
        <w:jc w:val="both"/>
        <w:rPr>
          <w:color w:val="auto"/>
          <w:lang w:val="zh-CN"/>
        </w:rPr>
      </w:pPr>
      <w:r>
        <w:rPr>
          <w:color w:val="auto"/>
          <w:lang w:val="zh-CN"/>
        </w:rPr>
        <w:t>季小时平均风速的日变化见表5.1-7和图5.1-9。</w:t>
      </w:r>
    </w:p>
    <w:p w14:paraId="40A1F28E">
      <w:pPr>
        <w:pStyle w:val="276"/>
        <w:widowControl w:val="0"/>
        <w:spacing w:line="440" w:lineRule="exact"/>
        <w:ind w:firstLine="0" w:firstLineChars="0"/>
        <w:jc w:val="center"/>
        <w:rPr>
          <w:color w:val="auto"/>
        </w:rPr>
      </w:pPr>
      <w:r>
        <w:rPr>
          <w:color w:val="auto"/>
        </w:rPr>
        <w:t>表5.1-7 季小时平均风速的日变化（单位：m/s)</w:t>
      </w:r>
    </w:p>
    <w:tbl>
      <w:tblPr>
        <w:tblStyle w:val="81"/>
        <w:tblW w:w="9077" w:type="dxa"/>
        <w:tblInd w:w="0" w:type="dxa"/>
        <w:tblLayout w:type="fixed"/>
        <w:tblCellMar>
          <w:top w:w="0" w:type="dxa"/>
          <w:left w:w="108" w:type="dxa"/>
          <w:bottom w:w="0" w:type="dxa"/>
          <w:right w:w="108" w:type="dxa"/>
        </w:tblCellMar>
      </w:tblPr>
      <w:tblGrid>
        <w:gridCol w:w="1037"/>
        <w:gridCol w:w="670"/>
        <w:gridCol w:w="670"/>
        <w:gridCol w:w="670"/>
        <w:gridCol w:w="670"/>
        <w:gridCol w:w="670"/>
        <w:gridCol w:w="670"/>
        <w:gridCol w:w="670"/>
        <w:gridCol w:w="670"/>
        <w:gridCol w:w="670"/>
        <w:gridCol w:w="670"/>
        <w:gridCol w:w="670"/>
        <w:gridCol w:w="670"/>
      </w:tblGrid>
      <w:tr w14:paraId="1C1897A1">
        <w:tblPrEx>
          <w:tblCellMar>
            <w:top w:w="0" w:type="dxa"/>
            <w:left w:w="108" w:type="dxa"/>
            <w:bottom w:w="0" w:type="dxa"/>
            <w:right w:w="108" w:type="dxa"/>
          </w:tblCellMar>
        </w:tblPrEx>
        <w:trPr>
          <w:trHeight w:val="471" w:hRule="atLeast"/>
        </w:trPr>
        <w:tc>
          <w:tcPr>
            <w:tcW w:w="1037" w:type="dxa"/>
            <w:tcBorders>
              <w:top w:val="single" w:color="auto" w:sz="8" w:space="0"/>
              <w:left w:val="single" w:color="auto" w:sz="8" w:space="0"/>
              <w:bottom w:val="single" w:color="auto" w:sz="8" w:space="0"/>
              <w:right w:val="single" w:color="auto" w:sz="8" w:space="0"/>
              <w:tl2br w:val="single" w:color="auto" w:sz="8" w:space="0"/>
            </w:tcBorders>
            <w:vAlign w:val="center"/>
          </w:tcPr>
          <w:p w14:paraId="1FE2FA92">
            <w:pPr>
              <w:jc w:val="center"/>
              <w:rPr>
                <w:rFonts w:ascii="宋体" w:hAnsi="宋体" w:eastAsia="宋体" w:cs="Times New Roman"/>
                <w:color w:val="auto"/>
              </w:rPr>
            </w:pPr>
            <w:r>
              <w:rPr>
                <w:rFonts w:ascii="宋体" w:hAnsi="宋体" w:eastAsia="宋体" w:cs="Times New Roman"/>
                <w:color w:val="auto"/>
              </w:rPr>
              <w:t xml:space="preserve">   小时</w:t>
            </w:r>
          </w:p>
          <w:p w14:paraId="61B3635E">
            <w:pPr>
              <w:rPr>
                <w:rFonts w:ascii="宋体" w:hAnsi="宋体" w:eastAsia="宋体" w:cs="Times New Roman"/>
                <w:color w:val="auto"/>
              </w:rPr>
            </w:pPr>
            <w:r>
              <w:rPr>
                <w:rFonts w:ascii="宋体" w:hAnsi="宋体" w:eastAsia="宋体" w:cs="Times New Roman"/>
                <w:color w:val="auto"/>
              </w:rPr>
              <w:t>风速</w:t>
            </w:r>
          </w:p>
        </w:tc>
        <w:tc>
          <w:tcPr>
            <w:tcW w:w="670" w:type="dxa"/>
            <w:tcBorders>
              <w:top w:val="single" w:color="auto" w:sz="8" w:space="0"/>
              <w:left w:val="nil"/>
              <w:bottom w:val="single" w:color="auto" w:sz="8" w:space="0"/>
              <w:right w:val="single" w:color="auto" w:sz="8" w:space="0"/>
            </w:tcBorders>
            <w:noWrap/>
            <w:vAlign w:val="center"/>
          </w:tcPr>
          <w:p w14:paraId="39F7ED0F">
            <w:pPr>
              <w:jc w:val="center"/>
              <w:rPr>
                <w:rFonts w:ascii="宋体" w:hAnsi="宋体" w:eastAsia="宋体" w:cs="Times New Roman"/>
                <w:color w:val="auto"/>
              </w:rPr>
            </w:pPr>
            <w:r>
              <w:rPr>
                <w:rFonts w:ascii="宋体" w:hAnsi="宋体" w:eastAsia="宋体" w:cs="Times New Roman"/>
                <w:color w:val="auto"/>
              </w:rPr>
              <w:t>1</w:t>
            </w:r>
          </w:p>
        </w:tc>
        <w:tc>
          <w:tcPr>
            <w:tcW w:w="670" w:type="dxa"/>
            <w:tcBorders>
              <w:top w:val="single" w:color="auto" w:sz="8" w:space="0"/>
              <w:left w:val="nil"/>
              <w:bottom w:val="single" w:color="auto" w:sz="8" w:space="0"/>
              <w:right w:val="single" w:color="auto" w:sz="8" w:space="0"/>
            </w:tcBorders>
            <w:noWrap/>
            <w:vAlign w:val="center"/>
          </w:tcPr>
          <w:p w14:paraId="774E1F1B">
            <w:pPr>
              <w:jc w:val="center"/>
              <w:rPr>
                <w:rFonts w:ascii="宋体" w:hAnsi="宋体" w:eastAsia="宋体" w:cs="Times New Roman"/>
                <w:color w:val="auto"/>
              </w:rPr>
            </w:pPr>
            <w:r>
              <w:rPr>
                <w:rFonts w:ascii="宋体" w:hAnsi="宋体" w:eastAsia="宋体" w:cs="Times New Roman"/>
                <w:color w:val="auto"/>
              </w:rPr>
              <w:t>2</w:t>
            </w:r>
          </w:p>
        </w:tc>
        <w:tc>
          <w:tcPr>
            <w:tcW w:w="670" w:type="dxa"/>
            <w:tcBorders>
              <w:top w:val="single" w:color="auto" w:sz="8" w:space="0"/>
              <w:left w:val="nil"/>
              <w:bottom w:val="single" w:color="auto" w:sz="8" w:space="0"/>
              <w:right w:val="single" w:color="auto" w:sz="8" w:space="0"/>
            </w:tcBorders>
            <w:noWrap/>
            <w:vAlign w:val="center"/>
          </w:tcPr>
          <w:p w14:paraId="0B0C33AA">
            <w:pPr>
              <w:jc w:val="center"/>
              <w:rPr>
                <w:rFonts w:ascii="宋体" w:hAnsi="宋体" w:eastAsia="宋体" w:cs="Times New Roman"/>
                <w:color w:val="auto"/>
              </w:rPr>
            </w:pPr>
            <w:r>
              <w:rPr>
                <w:rFonts w:ascii="宋体" w:hAnsi="宋体" w:eastAsia="宋体" w:cs="Times New Roman"/>
                <w:color w:val="auto"/>
              </w:rPr>
              <w:t>3</w:t>
            </w:r>
          </w:p>
        </w:tc>
        <w:tc>
          <w:tcPr>
            <w:tcW w:w="670" w:type="dxa"/>
            <w:tcBorders>
              <w:top w:val="single" w:color="auto" w:sz="8" w:space="0"/>
              <w:left w:val="nil"/>
              <w:bottom w:val="single" w:color="auto" w:sz="8" w:space="0"/>
              <w:right w:val="single" w:color="auto" w:sz="8" w:space="0"/>
            </w:tcBorders>
            <w:noWrap/>
            <w:vAlign w:val="center"/>
          </w:tcPr>
          <w:p w14:paraId="6E26C71D">
            <w:pPr>
              <w:jc w:val="center"/>
              <w:rPr>
                <w:rFonts w:ascii="宋体" w:hAnsi="宋体" w:eastAsia="宋体" w:cs="Times New Roman"/>
                <w:color w:val="auto"/>
              </w:rPr>
            </w:pPr>
            <w:r>
              <w:rPr>
                <w:rFonts w:ascii="宋体" w:hAnsi="宋体" w:eastAsia="宋体" w:cs="Times New Roman"/>
                <w:color w:val="auto"/>
              </w:rPr>
              <w:t>4</w:t>
            </w:r>
          </w:p>
        </w:tc>
        <w:tc>
          <w:tcPr>
            <w:tcW w:w="670" w:type="dxa"/>
            <w:tcBorders>
              <w:top w:val="single" w:color="auto" w:sz="8" w:space="0"/>
              <w:left w:val="nil"/>
              <w:bottom w:val="single" w:color="auto" w:sz="8" w:space="0"/>
              <w:right w:val="single" w:color="auto" w:sz="8" w:space="0"/>
            </w:tcBorders>
            <w:noWrap/>
            <w:vAlign w:val="center"/>
          </w:tcPr>
          <w:p w14:paraId="60B192E0">
            <w:pPr>
              <w:jc w:val="center"/>
              <w:rPr>
                <w:rFonts w:ascii="宋体" w:hAnsi="宋体" w:eastAsia="宋体" w:cs="Times New Roman"/>
                <w:color w:val="auto"/>
              </w:rPr>
            </w:pPr>
            <w:r>
              <w:rPr>
                <w:rFonts w:ascii="宋体" w:hAnsi="宋体" w:eastAsia="宋体" w:cs="Times New Roman"/>
                <w:color w:val="auto"/>
              </w:rPr>
              <w:t>5</w:t>
            </w:r>
          </w:p>
        </w:tc>
        <w:tc>
          <w:tcPr>
            <w:tcW w:w="670" w:type="dxa"/>
            <w:tcBorders>
              <w:top w:val="single" w:color="auto" w:sz="8" w:space="0"/>
              <w:left w:val="nil"/>
              <w:bottom w:val="single" w:color="auto" w:sz="8" w:space="0"/>
              <w:right w:val="single" w:color="auto" w:sz="8" w:space="0"/>
            </w:tcBorders>
            <w:noWrap/>
            <w:vAlign w:val="center"/>
          </w:tcPr>
          <w:p w14:paraId="175C9895">
            <w:pPr>
              <w:jc w:val="center"/>
              <w:rPr>
                <w:rFonts w:ascii="宋体" w:hAnsi="宋体" w:eastAsia="宋体" w:cs="Times New Roman"/>
                <w:color w:val="auto"/>
              </w:rPr>
            </w:pPr>
            <w:r>
              <w:rPr>
                <w:rFonts w:ascii="宋体" w:hAnsi="宋体" w:eastAsia="宋体" w:cs="Times New Roman"/>
                <w:color w:val="auto"/>
              </w:rPr>
              <w:t>6</w:t>
            </w:r>
          </w:p>
        </w:tc>
        <w:tc>
          <w:tcPr>
            <w:tcW w:w="670" w:type="dxa"/>
            <w:tcBorders>
              <w:top w:val="single" w:color="auto" w:sz="8" w:space="0"/>
              <w:left w:val="nil"/>
              <w:bottom w:val="single" w:color="auto" w:sz="8" w:space="0"/>
              <w:right w:val="single" w:color="auto" w:sz="8" w:space="0"/>
            </w:tcBorders>
            <w:noWrap/>
            <w:vAlign w:val="center"/>
          </w:tcPr>
          <w:p w14:paraId="5656539C">
            <w:pPr>
              <w:jc w:val="center"/>
              <w:rPr>
                <w:rFonts w:ascii="宋体" w:hAnsi="宋体" w:eastAsia="宋体" w:cs="Times New Roman"/>
                <w:color w:val="auto"/>
              </w:rPr>
            </w:pPr>
            <w:r>
              <w:rPr>
                <w:rFonts w:ascii="宋体" w:hAnsi="宋体" w:eastAsia="宋体" w:cs="Times New Roman"/>
                <w:color w:val="auto"/>
              </w:rPr>
              <w:t>7</w:t>
            </w:r>
          </w:p>
        </w:tc>
        <w:tc>
          <w:tcPr>
            <w:tcW w:w="670" w:type="dxa"/>
            <w:tcBorders>
              <w:top w:val="single" w:color="auto" w:sz="8" w:space="0"/>
              <w:left w:val="nil"/>
              <w:bottom w:val="single" w:color="auto" w:sz="8" w:space="0"/>
              <w:right w:val="single" w:color="auto" w:sz="8" w:space="0"/>
            </w:tcBorders>
            <w:noWrap/>
            <w:vAlign w:val="center"/>
          </w:tcPr>
          <w:p w14:paraId="48D26C73">
            <w:pPr>
              <w:jc w:val="center"/>
              <w:rPr>
                <w:rFonts w:ascii="宋体" w:hAnsi="宋体" w:eastAsia="宋体" w:cs="Times New Roman"/>
                <w:color w:val="auto"/>
              </w:rPr>
            </w:pPr>
            <w:r>
              <w:rPr>
                <w:rFonts w:ascii="宋体" w:hAnsi="宋体" w:eastAsia="宋体" w:cs="Times New Roman"/>
                <w:color w:val="auto"/>
              </w:rPr>
              <w:t>8</w:t>
            </w:r>
          </w:p>
        </w:tc>
        <w:tc>
          <w:tcPr>
            <w:tcW w:w="670" w:type="dxa"/>
            <w:tcBorders>
              <w:top w:val="single" w:color="auto" w:sz="8" w:space="0"/>
              <w:left w:val="nil"/>
              <w:bottom w:val="single" w:color="auto" w:sz="8" w:space="0"/>
              <w:right w:val="single" w:color="auto" w:sz="8" w:space="0"/>
            </w:tcBorders>
            <w:noWrap/>
            <w:vAlign w:val="center"/>
          </w:tcPr>
          <w:p w14:paraId="4B975D61">
            <w:pPr>
              <w:jc w:val="center"/>
              <w:rPr>
                <w:rFonts w:ascii="宋体" w:hAnsi="宋体" w:eastAsia="宋体" w:cs="Times New Roman"/>
                <w:color w:val="auto"/>
              </w:rPr>
            </w:pPr>
            <w:r>
              <w:rPr>
                <w:rFonts w:ascii="宋体" w:hAnsi="宋体" w:eastAsia="宋体" w:cs="Times New Roman"/>
                <w:color w:val="auto"/>
              </w:rPr>
              <w:t>9</w:t>
            </w:r>
          </w:p>
        </w:tc>
        <w:tc>
          <w:tcPr>
            <w:tcW w:w="670" w:type="dxa"/>
            <w:tcBorders>
              <w:top w:val="single" w:color="auto" w:sz="8" w:space="0"/>
              <w:left w:val="nil"/>
              <w:bottom w:val="single" w:color="auto" w:sz="8" w:space="0"/>
              <w:right w:val="single" w:color="auto" w:sz="8" w:space="0"/>
            </w:tcBorders>
            <w:noWrap/>
            <w:vAlign w:val="center"/>
          </w:tcPr>
          <w:p w14:paraId="08E637C5">
            <w:pPr>
              <w:jc w:val="center"/>
              <w:rPr>
                <w:rFonts w:ascii="宋体" w:hAnsi="宋体" w:eastAsia="宋体" w:cs="Times New Roman"/>
                <w:color w:val="auto"/>
              </w:rPr>
            </w:pPr>
            <w:r>
              <w:rPr>
                <w:rFonts w:ascii="宋体" w:hAnsi="宋体" w:eastAsia="宋体" w:cs="Times New Roman"/>
                <w:color w:val="auto"/>
              </w:rPr>
              <w:t>10</w:t>
            </w:r>
          </w:p>
        </w:tc>
        <w:tc>
          <w:tcPr>
            <w:tcW w:w="670" w:type="dxa"/>
            <w:tcBorders>
              <w:top w:val="single" w:color="auto" w:sz="8" w:space="0"/>
              <w:left w:val="nil"/>
              <w:bottom w:val="single" w:color="auto" w:sz="8" w:space="0"/>
              <w:right w:val="single" w:color="auto" w:sz="8" w:space="0"/>
            </w:tcBorders>
            <w:noWrap/>
            <w:vAlign w:val="center"/>
          </w:tcPr>
          <w:p w14:paraId="02F638C4">
            <w:pPr>
              <w:jc w:val="center"/>
              <w:rPr>
                <w:rFonts w:ascii="宋体" w:hAnsi="宋体" w:eastAsia="宋体" w:cs="Times New Roman"/>
                <w:color w:val="auto"/>
              </w:rPr>
            </w:pPr>
            <w:r>
              <w:rPr>
                <w:rFonts w:ascii="宋体" w:hAnsi="宋体" w:eastAsia="宋体" w:cs="Times New Roman"/>
                <w:color w:val="auto"/>
              </w:rPr>
              <w:t>11</w:t>
            </w:r>
          </w:p>
        </w:tc>
        <w:tc>
          <w:tcPr>
            <w:tcW w:w="670" w:type="dxa"/>
            <w:tcBorders>
              <w:top w:val="single" w:color="auto" w:sz="8" w:space="0"/>
              <w:left w:val="nil"/>
              <w:bottom w:val="single" w:color="auto" w:sz="8" w:space="0"/>
              <w:right w:val="single" w:color="auto" w:sz="8" w:space="0"/>
            </w:tcBorders>
            <w:noWrap/>
            <w:vAlign w:val="center"/>
          </w:tcPr>
          <w:p w14:paraId="3AEC7385">
            <w:pPr>
              <w:jc w:val="center"/>
              <w:rPr>
                <w:rFonts w:ascii="宋体" w:hAnsi="宋体" w:eastAsia="宋体" w:cs="Times New Roman"/>
                <w:color w:val="auto"/>
              </w:rPr>
            </w:pPr>
            <w:r>
              <w:rPr>
                <w:rFonts w:ascii="宋体" w:hAnsi="宋体" w:eastAsia="宋体" w:cs="Times New Roman"/>
                <w:color w:val="auto"/>
              </w:rPr>
              <w:t>12</w:t>
            </w:r>
          </w:p>
        </w:tc>
      </w:tr>
      <w:tr w14:paraId="0AE1F159">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noWrap/>
            <w:vAlign w:val="center"/>
          </w:tcPr>
          <w:p w14:paraId="767DAB97">
            <w:pPr>
              <w:jc w:val="center"/>
              <w:rPr>
                <w:rFonts w:ascii="宋体" w:hAnsi="宋体" w:eastAsia="宋体" w:cs="Times New Roman"/>
                <w:color w:val="auto"/>
              </w:rPr>
            </w:pPr>
            <w:r>
              <w:rPr>
                <w:rFonts w:ascii="宋体" w:hAnsi="宋体" w:eastAsia="宋体" w:cs="Times New Roman"/>
                <w:color w:val="auto"/>
              </w:rPr>
              <w:t>春季</w:t>
            </w:r>
          </w:p>
        </w:tc>
        <w:tc>
          <w:tcPr>
            <w:tcW w:w="670" w:type="dxa"/>
            <w:tcBorders>
              <w:top w:val="single" w:color="auto" w:sz="8" w:space="0"/>
              <w:left w:val="nil"/>
              <w:bottom w:val="single" w:color="auto" w:sz="8" w:space="0"/>
              <w:right w:val="single" w:color="auto" w:sz="8" w:space="0"/>
            </w:tcBorders>
            <w:noWrap/>
            <w:vAlign w:val="center"/>
          </w:tcPr>
          <w:p w14:paraId="4E2CB139">
            <w:pPr>
              <w:jc w:val="center"/>
              <w:rPr>
                <w:rFonts w:ascii="宋体" w:hAnsi="宋体" w:eastAsia="宋体" w:cs="Times New Roman"/>
                <w:color w:val="auto"/>
              </w:rPr>
            </w:pPr>
            <w:r>
              <w:rPr>
                <w:rFonts w:ascii="宋体" w:hAnsi="宋体" w:eastAsia="宋体" w:cs="Times New Roman"/>
                <w:color w:val="auto"/>
              </w:rPr>
              <w:t>2.7</w:t>
            </w:r>
          </w:p>
        </w:tc>
        <w:tc>
          <w:tcPr>
            <w:tcW w:w="670" w:type="dxa"/>
            <w:tcBorders>
              <w:top w:val="single" w:color="auto" w:sz="8" w:space="0"/>
              <w:left w:val="nil"/>
              <w:bottom w:val="single" w:color="auto" w:sz="8" w:space="0"/>
              <w:right w:val="single" w:color="auto" w:sz="8" w:space="0"/>
            </w:tcBorders>
            <w:noWrap/>
            <w:vAlign w:val="center"/>
          </w:tcPr>
          <w:p w14:paraId="2397AACE">
            <w:pPr>
              <w:jc w:val="center"/>
              <w:rPr>
                <w:rFonts w:ascii="宋体" w:hAnsi="宋体" w:eastAsia="宋体" w:cs="Times New Roman"/>
                <w:color w:val="auto"/>
              </w:rPr>
            </w:pPr>
            <w:r>
              <w:rPr>
                <w:rFonts w:ascii="宋体" w:hAnsi="宋体" w:eastAsia="宋体" w:cs="Times New Roman"/>
                <w:color w:val="auto"/>
              </w:rPr>
              <w:t>2.6</w:t>
            </w:r>
          </w:p>
        </w:tc>
        <w:tc>
          <w:tcPr>
            <w:tcW w:w="670" w:type="dxa"/>
            <w:tcBorders>
              <w:top w:val="single" w:color="auto" w:sz="8" w:space="0"/>
              <w:left w:val="nil"/>
              <w:bottom w:val="single" w:color="auto" w:sz="8" w:space="0"/>
              <w:right w:val="single" w:color="auto" w:sz="8" w:space="0"/>
            </w:tcBorders>
            <w:noWrap/>
            <w:vAlign w:val="center"/>
          </w:tcPr>
          <w:p w14:paraId="0C80652D">
            <w:pPr>
              <w:jc w:val="center"/>
              <w:rPr>
                <w:rFonts w:ascii="宋体" w:hAnsi="宋体" w:eastAsia="宋体" w:cs="Times New Roman"/>
                <w:color w:val="auto"/>
              </w:rPr>
            </w:pPr>
            <w:r>
              <w:rPr>
                <w:rFonts w:ascii="宋体" w:hAnsi="宋体" w:eastAsia="宋体" w:cs="Times New Roman"/>
                <w:color w:val="auto"/>
              </w:rPr>
              <w:t>2.6</w:t>
            </w:r>
          </w:p>
        </w:tc>
        <w:tc>
          <w:tcPr>
            <w:tcW w:w="670" w:type="dxa"/>
            <w:tcBorders>
              <w:top w:val="single" w:color="auto" w:sz="8" w:space="0"/>
              <w:left w:val="nil"/>
              <w:bottom w:val="single" w:color="auto" w:sz="8" w:space="0"/>
              <w:right w:val="single" w:color="auto" w:sz="8" w:space="0"/>
            </w:tcBorders>
            <w:noWrap/>
            <w:vAlign w:val="center"/>
          </w:tcPr>
          <w:p w14:paraId="34B615A3">
            <w:pPr>
              <w:jc w:val="center"/>
              <w:rPr>
                <w:rFonts w:ascii="宋体" w:hAnsi="宋体" w:eastAsia="宋体" w:cs="Times New Roman"/>
                <w:color w:val="auto"/>
              </w:rPr>
            </w:pPr>
            <w:r>
              <w:rPr>
                <w:rFonts w:ascii="宋体" w:hAnsi="宋体" w:eastAsia="宋体" w:cs="Times New Roman"/>
                <w:color w:val="auto"/>
              </w:rPr>
              <w:t>2.5</w:t>
            </w:r>
          </w:p>
        </w:tc>
        <w:tc>
          <w:tcPr>
            <w:tcW w:w="670" w:type="dxa"/>
            <w:tcBorders>
              <w:top w:val="single" w:color="auto" w:sz="8" w:space="0"/>
              <w:left w:val="nil"/>
              <w:bottom w:val="single" w:color="auto" w:sz="8" w:space="0"/>
              <w:right w:val="single" w:color="auto" w:sz="8" w:space="0"/>
            </w:tcBorders>
            <w:noWrap/>
            <w:vAlign w:val="center"/>
          </w:tcPr>
          <w:p w14:paraId="4868E116">
            <w:pPr>
              <w:jc w:val="center"/>
              <w:rPr>
                <w:rFonts w:ascii="宋体" w:hAnsi="宋体" w:eastAsia="宋体" w:cs="Times New Roman"/>
                <w:color w:val="auto"/>
              </w:rPr>
            </w:pPr>
            <w:r>
              <w:rPr>
                <w:rFonts w:ascii="宋体" w:hAnsi="宋体" w:eastAsia="宋体" w:cs="Times New Roman"/>
                <w:color w:val="auto"/>
              </w:rPr>
              <w:t>2.7</w:t>
            </w:r>
          </w:p>
        </w:tc>
        <w:tc>
          <w:tcPr>
            <w:tcW w:w="670" w:type="dxa"/>
            <w:tcBorders>
              <w:top w:val="single" w:color="auto" w:sz="8" w:space="0"/>
              <w:left w:val="nil"/>
              <w:bottom w:val="single" w:color="auto" w:sz="8" w:space="0"/>
              <w:right w:val="single" w:color="auto" w:sz="8" w:space="0"/>
            </w:tcBorders>
            <w:noWrap/>
            <w:vAlign w:val="center"/>
          </w:tcPr>
          <w:p w14:paraId="7A8FDEC8">
            <w:pPr>
              <w:jc w:val="center"/>
              <w:rPr>
                <w:rFonts w:ascii="宋体" w:hAnsi="宋体" w:eastAsia="宋体" w:cs="Times New Roman"/>
                <w:color w:val="auto"/>
              </w:rPr>
            </w:pPr>
            <w:r>
              <w:rPr>
                <w:rFonts w:ascii="宋体" w:hAnsi="宋体" w:eastAsia="宋体" w:cs="Times New Roman"/>
                <w:color w:val="auto"/>
              </w:rPr>
              <w:t>2.8</w:t>
            </w:r>
          </w:p>
        </w:tc>
        <w:tc>
          <w:tcPr>
            <w:tcW w:w="670" w:type="dxa"/>
            <w:tcBorders>
              <w:top w:val="single" w:color="auto" w:sz="8" w:space="0"/>
              <w:left w:val="nil"/>
              <w:bottom w:val="single" w:color="auto" w:sz="8" w:space="0"/>
              <w:right w:val="single" w:color="auto" w:sz="8" w:space="0"/>
            </w:tcBorders>
            <w:noWrap/>
            <w:vAlign w:val="center"/>
          </w:tcPr>
          <w:p w14:paraId="7C629E08">
            <w:pPr>
              <w:jc w:val="center"/>
              <w:rPr>
                <w:rFonts w:ascii="宋体" w:hAnsi="宋体" w:eastAsia="宋体" w:cs="Times New Roman"/>
                <w:color w:val="auto"/>
              </w:rPr>
            </w:pPr>
            <w:r>
              <w:rPr>
                <w:rFonts w:ascii="宋体" w:hAnsi="宋体" w:eastAsia="宋体" w:cs="Times New Roman"/>
                <w:color w:val="auto"/>
              </w:rPr>
              <w:t>3.2</w:t>
            </w:r>
          </w:p>
        </w:tc>
        <w:tc>
          <w:tcPr>
            <w:tcW w:w="670" w:type="dxa"/>
            <w:tcBorders>
              <w:top w:val="single" w:color="auto" w:sz="8" w:space="0"/>
              <w:left w:val="nil"/>
              <w:bottom w:val="single" w:color="auto" w:sz="8" w:space="0"/>
              <w:right w:val="single" w:color="auto" w:sz="8" w:space="0"/>
            </w:tcBorders>
            <w:noWrap/>
            <w:vAlign w:val="center"/>
          </w:tcPr>
          <w:p w14:paraId="6E559104">
            <w:pPr>
              <w:jc w:val="center"/>
              <w:rPr>
                <w:rFonts w:ascii="宋体" w:hAnsi="宋体" w:eastAsia="宋体" w:cs="Times New Roman"/>
                <w:color w:val="auto"/>
              </w:rPr>
            </w:pPr>
            <w:r>
              <w:rPr>
                <w:rFonts w:ascii="宋体" w:hAnsi="宋体" w:eastAsia="宋体" w:cs="Times New Roman"/>
                <w:color w:val="auto"/>
              </w:rPr>
              <w:t>3.8</w:t>
            </w:r>
          </w:p>
        </w:tc>
        <w:tc>
          <w:tcPr>
            <w:tcW w:w="670" w:type="dxa"/>
            <w:tcBorders>
              <w:top w:val="single" w:color="auto" w:sz="8" w:space="0"/>
              <w:left w:val="nil"/>
              <w:bottom w:val="single" w:color="auto" w:sz="8" w:space="0"/>
              <w:right w:val="single" w:color="auto" w:sz="8" w:space="0"/>
            </w:tcBorders>
            <w:noWrap/>
            <w:vAlign w:val="center"/>
          </w:tcPr>
          <w:p w14:paraId="63A926E2">
            <w:pPr>
              <w:jc w:val="center"/>
              <w:rPr>
                <w:rFonts w:ascii="宋体" w:hAnsi="宋体" w:eastAsia="宋体" w:cs="Times New Roman"/>
                <w:color w:val="auto"/>
              </w:rPr>
            </w:pPr>
            <w:r>
              <w:rPr>
                <w:rFonts w:ascii="宋体" w:hAnsi="宋体" w:eastAsia="宋体" w:cs="Times New Roman"/>
                <w:color w:val="auto"/>
              </w:rPr>
              <w:t>4.2</w:t>
            </w:r>
          </w:p>
        </w:tc>
        <w:tc>
          <w:tcPr>
            <w:tcW w:w="670" w:type="dxa"/>
            <w:tcBorders>
              <w:top w:val="single" w:color="auto" w:sz="8" w:space="0"/>
              <w:left w:val="nil"/>
              <w:bottom w:val="single" w:color="auto" w:sz="8" w:space="0"/>
              <w:right w:val="single" w:color="auto" w:sz="8" w:space="0"/>
            </w:tcBorders>
            <w:noWrap/>
            <w:vAlign w:val="center"/>
          </w:tcPr>
          <w:p w14:paraId="6B45A39C">
            <w:pPr>
              <w:jc w:val="center"/>
              <w:rPr>
                <w:rFonts w:ascii="宋体" w:hAnsi="宋体" w:eastAsia="宋体" w:cs="Times New Roman"/>
                <w:color w:val="auto"/>
              </w:rPr>
            </w:pPr>
            <w:r>
              <w:rPr>
                <w:rFonts w:ascii="宋体" w:hAnsi="宋体" w:eastAsia="宋体" w:cs="Times New Roman"/>
                <w:color w:val="auto"/>
              </w:rPr>
              <w:t>4.4</w:t>
            </w:r>
          </w:p>
        </w:tc>
        <w:tc>
          <w:tcPr>
            <w:tcW w:w="670" w:type="dxa"/>
            <w:tcBorders>
              <w:top w:val="single" w:color="auto" w:sz="8" w:space="0"/>
              <w:left w:val="nil"/>
              <w:bottom w:val="single" w:color="auto" w:sz="8" w:space="0"/>
              <w:right w:val="single" w:color="auto" w:sz="8" w:space="0"/>
            </w:tcBorders>
            <w:noWrap/>
            <w:vAlign w:val="center"/>
          </w:tcPr>
          <w:p w14:paraId="69A28D02">
            <w:pPr>
              <w:jc w:val="center"/>
              <w:rPr>
                <w:rFonts w:ascii="宋体" w:hAnsi="宋体" w:eastAsia="宋体" w:cs="Times New Roman"/>
                <w:color w:val="auto"/>
              </w:rPr>
            </w:pPr>
            <w:r>
              <w:rPr>
                <w:rFonts w:ascii="宋体" w:hAnsi="宋体" w:eastAsia="宋体" w:cs="Times New Roman"/>
                <w:color w:val="auto"/>
              </w:rPr>
              <w:t>4.6</w:t>
            </w:r>
          </w:p>
        </w:tc>
        <w:tc>
          <w:tcPr>
            <w:tcW w:w="670" w:type="dxa"/>
            <w:tcBorders>
              <w:top w:val="single" w:color="auto" w:sz="8" w:space="0"/>
              <w:left w:val="nil"/>
              <w:bottom w:val="single" w:color="auto" w:sz="8" w:space="0"/>
              <w:right w:val="single" w:color="auto" w:sz="8" w:space="0"/>
            </w:tcBorders>
            <w:noWrap/>
            <w:vAlign w:val="center"/>
          </w:tcPr>
          <w:p w14:paraId="1C0870F4">
            <w:pPr>
              <w:jc w:val="center"/>
              <w:rPr>
                <w:rFonts w:ascii="宋体" w:hAnsi="宋体" w:eastAsia="宋体" w:cs="Times New Roman"/>
                <w:color w:val="auto"/>
              </w:rPr>
            </w:pPr>
            <w:r>
              <w:rPr>
                <w:rFonts w:ascii="宋体" w:hAnsi="宋体" w:eastAsia="宋体" w:cs="Times New Roman"/>
                <w:color w:val="auto"/>
              </w:rPr>
              <w:t>4.8</w:t>
            </w:r>
          </w:p>
        </w:tc>
      </w:tr>
      <w:tr w14:paraId="2CE17BFC">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noWrap/>
            <w:vAlign w:val="center"/>
          </w:tcPr>
          <w:p w14:paraId="18F4995C">
            <w:pPr>
              <w:jc w:val="center"/>
              <w:rPr>
                <w:rFonts w:ascii="宋体" w:hAnsi="宋体" w:eastAsia="宋体" w:cs="Times New Roman"/>
                <w:color w:val="auto"/>
              </w:rPr>
            </w:pPr>
            <w:r>
              <w:rPr>
                <w:rFonts w:ascii="宋体" w:hAnsi="宋体" w:eastAsia="宋体" w:cs="Times New Roman"/>
                <w:color w:val="auto"/>
              </w:rPr>
              <w:t>夏季</w:t>
            </w:r>
          </w:p>
        </w:tc>
        <w:tc>
          <w:tcPr>
            <w:tcW w:w="670" w:type="dxa"/>
            <w:tcBorders>
              <w:top w:val="single" w:color="auto" w:sz="8" w:space="0"/>
              <w:left w:val="nil"/>
              <w:bottom w:val="single" w:color="auto" w:sz="8" w:space="0"/>
              <w:right w:val="single" w:color="auto" w:sz="8" w:space="0"/>
            </w:tcBorders>
            <w:noWrap/>
            <w:vAlign w:val="center"/>
          </w:tcPr>
          <w:p w14:paraId="7AAC1079">
            <w:pPr>
              <w:jc w:val="center"/>
              <w:rPr>
                <w:rFonts w:ascii="宋体" w:hAnsi="宋体" w:eastAsia="宋体" w:cs="Times New Roman"/>
                <w:color w:val="auto"/>
              </w:rPr>
            </w:pPr>
            <w:r>
              <w:rPr>
                <w:rFonts w:ascii="宋体" w:hAnsi="宋体" w:eastAsia="宋体" w:cs="Times New Roman"/>
                <w:color w:val="auto"/>
              </w:rPr>
              <w:t>2.0</w:t>
            </w:r>
          </w:p>
        </w:tc>
        <w:tc>
          <w:tcPr>
            <w:tcW w:w="670" w:type="dxa"/>
            <w:tcBorders>
              <w:top w:val="single" w:color="auto" w:sz="8" w:space="0"/>
              <w:left w:val="nil"/>
              <w:bottom w:val="single" w:color="auto" w:sz="8" w:space="0"/>
              <w:right w:val="single" w:color="auto" w:sz="8" w:space="0"/>
            </w:tcBorders>
            <w:noWrap/>
            <w:vAlign w:val="center"/>
          </w:tcPr>
          <w:p w14:paraId="3600D8AF">
            <w:pPr>
              <w:jc w:val="center"/>
              <w:rPr>
                <w:rFonts w:ascii="宋体" w:hAnsi="宋体" w:eastAsia="宋体" w:cs="Times New Roman"/>
                <w:color w:val="auto"/>
              </w:rPr>
            </w:pPr>
            <w:r>
              <w:rPr>
                <w:rFonts w:ascii="宋体" w:hAnsi="宋体" w:eastAsia="宋体" w:cs="Times New Roman"/>
                <w:color w:val="auto"/>
              </w:rPr>
              <w:t>1.9</w:t>
            </w:r>
          </w:p>
        </w:tc>
        <w:tc>
          <w:tcPr>
            <w:tcW w:w="670" w:type="dxa"/>
            <w:tcBorders>
              <w:top w:val="single" w:color="auto" w:sz="8" w:space="0"/>
              <w:left w:val="nil"/>
              <w:bottom w:val="single" w:color="auto" w:sz="8" w:space="0"/>
              <w:right w:val="single" w:color="auto" w:sz="8" w:space="0"/>
            </w:tcBorders>
            <w:noWrap/>
            <w:vAlign w:val="center"/>
          </w:tcPr>
          <w:p w14:paraId="59858C9C">
            <w:pPr>
              <w:jc w:val="center"/>
              <w:rPr>
                <w:rFonts w:ascii="宋体" w:hAnsi="宋体" w:eastAsia="宋体" w:cs="Times New Roman"/>
                <w:color w:val="auto"/>
              </w:rPr>
            </w:pPr>
            <w:r>
              <w:rPr>
                <w:rFonts w:ascii="宋体" w:hAnsi="宋体" w:eastAsia="宋体" w:cs="Times New Roman"/>
                <w:color w:val="auto"/>
              </w:rPr>
              <w:t>2.0</w:t>
            </w:r>
          </w:p>
        </w:tc>
        <w:tc>
          <w:tcPr>
            <w:tcW w:w="670" w:type="dxa"/>
            <w:tcBorders>
              <w:top w:val="single" w:color="auto" w:sz="8" w:space="0"/>
              <w:left w:val="nil"/>
              <w:bottom w:val="single" w:color="auto" w:sz="8" w:space="0"/>
              <w:right w:val="single" w:color="auto" w:sz="8" w:space="0"/>
            </w:tcBorders>
            <w:noWrap/>
            <w:vAlign w:val="center"/>
          </w:tcPr>
          <w:p w14:paraId="7370311C">
            <w:pPr>
              <w:jc w:val="center"/>
              <w:rPr>
                <w:rFonts w:ascii="宋体" w:hAnsi="宋体" w:eastAsia="宋体" w:cs="Times New Roman"/>
                <w:color w:val="auto"/>
              </w:rPr>
            </w:pPr>
            <w:r>
              <w:rPr>
                <w:rFonts w:ascii="宋体" w:hAnsi="宋体" w:eastAsia="宋体" w:cs="Times New Roman"/>
                <w:color w:val="auto"/>
              </w:rPr>
              <w:t>2.0</w:t>
            </w:r>
          </w:p>
        </w:tc>
        <w:tc>
          <w:tcPr>
            <w:tcW w:w="670" w:type="dxa"/>
            <w:tcBorders>
              <w:top w:val="single" w:color="auto" w:sz="8" w:space="0"/>
              <w:left w:val="nil"/>
              <w:bottom w:val="single" w:color="auto" w:sz="8" w:space="0"/>
              <w:right w:val="single" w:color="auto" w:sz="8" w:space="0"/>
            </w:tcBorders>
            <w:noWrap/>
            <w:vAlign w:val="center"/>
          </w:tcPr>
          <w:p w14:paraId="3218E35A">
            <w:pPr>
              <w:jc w:val="center"/>
              <w:rPr>
                <w:rFonts w:ascii="宋体" w:hAnsi="宋体" w:eastAsia="宋体" w:cs="Times New Roman"/>
                <w:color w:val="auto"/>
              </w:rPr>
            </w:pPr>
            <w:r>
              <w:rPr>
                <w:rFonts w:ascii="宋体" w:hAnsi="宋体" w:eastAsia="宋体" w:cs="Times New Roman"/>
                <w:color w:val="auto"/>
              </w:rPr>
              <w:t>2.1</w:t>
            </w:r>
          </w:p>
        </w:tc>
        <w:tc>
          <w:tcPr>
            <w:tcW w:w="670" w:type="dxa"/>
            <w:tcBorders>
              <w:top w:val="single" w:color="auto" w:sz="8" w:space="0"/>
              <w:left w:val="nil"/>
              <w:bottom w:val="single" w:color="auto" w:sz="8" w:space="0"/>
              <w:right w:val="single" w:color="auto" w:sz="8" w:space="0"/>
            </w:tcBorders>
            <w:noWrap/>
            <w:vAlign w:val="center"/>
          </w:tcPr>
          <w:p w14:paraId="7FD6C7FC">
            <w:pPr>
              <w:jc w:val="center"/>
              <w:rPr>
                <w:rFonts w:ascii="宋体" w:hAnsi="宋体" w:eastAsia="宋体" w:cs="Times New Roman"/>
                <w:color w:val="auto"/>
              </w:rPr>
            </w:pPr>
            <w:r>
              <w:rPr>
                <w:rFonts w:ascii="宋体" w:hAnsi="宋体" w:eastAsia="宋体" w:cs="Times New Roman"/>
                <w:color w:val="auto"/>
              </w:rPr>
              <w:t>2.4</w:t>
            </w:r>
          </w:p>
        </w:tc>
        <w:tc>
          <w:tcPr>
            <w:tcW w:w="670" w:type="dxa"/>
            <w:tcBorders>
              <w:top w:val="single" w:color="auto" w:sz="8" w:space="0"/>
              <w:left w:val="nil"/>
              <w:bottom w:val="single" w:color="auto" w:sz="8" w:space="0"/>
              <w:right w:val="single" w:color="auto" w:sz="8" w:space="0"/>
            </w:tcBorders>
            <w:noWrap/>
            <w:vAlign w:val="center"/>
          </w:tcPr>
          <w:p w14:paraId="6DC31C02">
            <w:pPr>
              <w:jc w:val="center"/>
              <w:rPr>
                <w:rFonts w:ascii="宋体" w:hAnsi="宋体" w:eastAsia="宋体" w:cs="Times New Roman"/>
                <w:color w:val="auto"/>
              </w:rPr>
            </w:pPr>
            <w:r>
              <w:rPr>
                <w:rFonts w:ascii="宋体" w:hAnsi="宋体" w:eastAsia="宋体" w:cs="Times New Roman"/>
                <w:color w:val="auto"/>
              </w:rPr>
              <w:t>2.7</w:t>
            </w:r>
          </w:p>
        </w:tc>
        <w:tc>
          <w:tcPr>
            <w:tcW w:w="670" w:type="dxa"/>
            <w:tcBorders>
              <w:top w:val="single" w:color="auto" w:sz="8" w:space="0"/>
              <w:left w:val="nil"/>
              <w:bottom w:val="single" w:color="auto" w:sz="8" w:space="0"/>
              <w:right w:val="single" w:color="auto" w:sz="8" w:space="0"/>
            </w:tcBorders>
            <w:noWrap/>
            <w:vAlign w:val="center"/>
          </w:tcPr>
          <w:p w14:paraId="71167687">
            <w:pPr>
              <w:jc w:val="center"/>
              <w:rPr>
                <w:rFonts w:ascii="宋体" w:hAnsi="宋体" w:eastAsia="宋体" w:cs="Times New Roman"/>
                <w:color w:val="auto"/>
              </w:rPr>
            </w:pPr>
            <w:r>
              <w:rPr>
                <w:rFonts w:ascii="宋体" w:hAnsi="宋体" w:eastAsia="宋体" w:cs="Times New Roman"/>
                <w:color w:val="auto"/>
              </w:rPr>
              <w:t>2.9</w:t>
            </w:r>
          </w:p>
        </w:tc>
        <w:tc>
          <w:tcPr>
            <w:tcW w:w="670" w:type="dxa"/>
            <w:tcBorders>
              <w:top w:val="single" w:color="auto" w:sz="8" w:space="0"/>
              <w:left w:val="nil"/>
              <w:bottom w:val="single" w:color="auto" w:sz="8" w:space="0"/>
              <w:right w:val="single" w:color="auto" w:sz="8" w:space="0"/>
            </w:tcBorders>
            <w:noWrap/>
            <w:vAlign w:val="center"/>
          </w:tcPr>
          <w:p w14:paraId="05CE185A">
            <w:pPr>
              <w:jc w:val="center"/>
              <w:rPr>
                <w:rFonts w:ascii="宋体" w:hAnsi="宋体" w:eastAsia="宋体" w:cs="Times New Roman"/>
                <w:color w:val="auto"/>
              </w:rPr>
            </w:pPr>
            <w:r>
              <w:rPr>
                <w:rFonts w:ascii="宋体" w:hAnsi="宋体" w:eastAsia="宋体" w:cs="Times New Roman"/>
                <w:color w:val="auto"/>
              </w:rPr>
              <w:t>3.1</w:t>
            </w:r>
          </w:p>
        </w:tc>
        <w:tc>
          <w:tcPr>
            <w:tcW w:w="670" w:type="dxa"/>
            <w:tcBorders>
              <w:top w:val="single" w:color="auto" w:sz="8" w:space="0"/>
              <w:left w:val="nil"/>
              <w:bottom w:val="single" w:color="auto" w:sz="8" w:space="0"/>
              <w:right w:val="single" w:color="auto" w:sz="8" w:space="0"/>
            </w:tcBorders>
            <w:noWrap/>
            <w:vAlign w:val="center"/>
          </w:tcPr>
          <w:p w14:paraId="4E88D92F">
            <w:pPr>
              <w:jc w:val="center"/>
              <w:rPr>
                <w:rFonts w:ascii="宋体" w:hAnsi="宋体" w:eastAsia="宋体" w:cs="Times New Roman"/>
                <w:color w:val="auto"/>
              </w:rPr>
            </w:pPr>
            <w:r>
              <w:rPr>
                <w:rFonts w:ascii="宋体" w:hAnsi="宋体" w:eastAsia="宋体" w:cs="Times New Roman"/>
                <w:color w:val="auto"/>
              </w:rPr>
              <w:t>3.3</w:t>
            </w:r>
          </w:p>
        </w:tc>
        <w:tc>
          <w:tcPr>
            <w:tcW w:w="670" w:type="dxa"/>
            <w:tcBorders>
              <w:top w:val="single" w:color="auto" w:sz="8" w:space="0"/>
              <w:left w:val="nil"/>
              <w:bottom w:val="single" w:color="auto" w:sz="8" w:space="0"/>
              <w:right w:val="single" w:color="auto" w:sz="8" w:space="0"/>
            </w:tcBorders>
            <w:noWrap/>
            <w:vAlign w:val="center"/>
          </w:tcPr>
          <w:p w14:paraId="7300CB85">
            <w:pPr>
              <w:jc w:val="center"/>
              <w:rPr>
                <w:rFonts w:ascii="宋体" w:hAnsi="宋体" w:eastAsia="宋体" w:cs="Times New Roman"/>
                <w:color w:val="auto"/>
              </w:rPr>
            </w:pPr>
            <w:r>
              <w:rPr>
                <w:rFonts w:ascii="宋体" w:hAnsi="宋体" w:eastAsia="宋体" w:cs="Times New Roman"/>
                <w:color w:val="auto"/>
              </w:rPr>
              <w:t>3.3</w:t>
            </w:r>
          </w:p>
        </w:tc>
        <w:tc>
          <w:tcPr>
            <w:tcW w:w="670" w:type="dxa"/>
            <w:tcBorders>
              <w:top w:val="single" w:color="auto" w:sz="8" w:space="0"/>
              <w:left w:val="nil"/>
              <w:bottom w:val="single" w:color="auto" w:sz="8" w:space="0"/>
              <w:right w:val="single" w:color="auto" w:sz="8" w:space="0"/>
            </w:tcBorders>
            <w:noWrap/>
            <w:vAlign w:val="center"/>
          </w:tcPr>
          <w:p w14:paraId="008C994B">
            <w:pPr>
              <w:jc w:val="center"/>
              <w:rPr>
                <w:rFonts w:ascii="宋体" w:hAnsi="宋体" w:eastAsia="宋体" w:cs="Times New Roman"/>
                <w:color w:val="auto"/>
              </w:rPr>
            </w:pPr>
            <w:r>
              <w:rPr>
                <w:rFonts w:ascii="宋体" w:hAnsi="宋体" w:eastAsia="宋体" w:cs="Times New Roman"/>
                <w:color w:val="auto"/>
              </w:rPr>
              <w:t>3.3</w:t>
            </w:r>
          </w:p>
        </w:tc>
      </w:tr>
      <w:tr w14:paraId="30431527">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noWrap/>
            <w:vAlign w:val="center"/>
          </w:tcPr>
          <w:p w14:paraId="615E2CB1">
            <w:pPr>
              <w:jc w:val="center"/>
              <w:rPr>
                <w:rFonts w:ascii="宋体" w:hAnsi="宋体" w:eastAsia="宋体" w:cs="Times New Roman"/>
                <w:color w:val="auto"/>
              </w:rPr>
            </w:pPr>
            <w:r>
              <w:rPr>
                <w:rFonts w:ascii="宋体" w:hAnsi="宋体" w:eastAsia="宋体" w:cs="Times New Roman"/>
                <w:color w:val="auto"/>
              </w:rPr>
              <w:t>秋季</w:t>
            </w:r>
          </w:p>
        </w:tc>
        <w:tc>
          <w:tcPr>
            <w:tcW w:w="670" w:type="dxa"/>
            <w:tcBorders>
              <w:top w:val="single" w:color="auto" w:sz="8" w:space="0"/>
              <w:left w:val="nil"/>
              <w:bottom w:val="single" w:color="auto" w:sz="8" w:space="0"/>
              <w:right w:val="single" w:color="auto" w:sz="8" w:space="0"/>
            </w:tcBorders>
            <w:noWrap/>
            <w:vAlign w:val="center"/>
          </w:tcPr>
          <w:p w14:paraId="74E565D7">
            <w:pPr>
              <w:jc w:val="center"/>
              <w:rPr>
                <w:rFonts w:ascii="宋体" w:hAnsi="宋体" w:eastAsia="宋体" w:cs="Times New Roman"/>
                <w:color w:val="auto"/>
              </w:rPr>
            </w:pPr>
            <w:r>
              <w:rPr>
                <w:rFonts w:ascii="宋体" w:hAnsi="宋体" w:eastAsia="宋体" w:cs="Times New Roman"/>
                <w:color w:val="auto"/>
              </w:rPr>
              <w:t>2.5</w:t>
            </w:r>
          </w:p>
        </w:tc>
        <w:tc>
          <w:tcPr>
            <w:tcW w:w="670" w:type="dxa"/>
            <w:tcBorders>
              <w:top w:val="single" w:color="auto" w:sz="8" w:space="0"/>
              <w:left w:val="nil"/>
              <w:bottom w:val="single" w:color="auto" w:sz="8" w:space="0"/>
              <w:right w:val="single" w:color="auto" w:sz="8" w:space="0"/>
            </w:tcBorders>
            <w:noWrap/>
            <w:vAlign w:val="center"/>
          </w:tcPr>
          <w:p w14:paraId="1F80E20B">
            <w:pPr>
              <w:jc w:val="center"/>
              <w:rPr>
                <w:rFonts w:ascii="宋体" w:hAnsi="宋体" w:eastAsia="宋体" w:cs="Times New Roman"/>
                <w:color w:val="auto"/>
              </w:rPr>
            </w:pPr>
            <w:r>
              <w:rPr>
                <w:rFonts w:ascii="宋体" w:hAnsi="宋体" w:eastAsia="宋体" w:cs="Times New Roman"/>
                <w:color w:val="auto"/>
              </w:rPr>
              <w:t>2.4</w:t>
            </w:r>
          </w:p>
        </w:tc>
        <w:tc>
          <w:tcPr>
            <w:tcW w:w="670" w:type="dxa"/>
            <w:tcBorders>
              <w:top w:val="single" w:color="auto" w:sz="8" w:space="0"/>
              <w:left w:val="nil"/>
              <w:bottom w:val="single" w:color="auto" w:sz="8" w:space="0"/>
              <w:right w:val="single" w:color="auto" w:sz="8" w:space="0"/>
            </w:tcBorders>
            <w:noWrap/>
            <w:vAlign w:val="center"/>
          </w:tcPr>
          <w:p w14:paraId="2E6C7A11">
            <w:pPr>
              <w:jc w:val="center"/>
              <w:rPr>
                <w:rFonts w:ascii="宋体" w:hAnsi="宋体" w:eastAsia="宋体" w:cs="Times New Roman"/>
                <w:color w:val="auto"/>
              </w:rPr>
            </w:pPr>
            <w:r>
              <w:rPr>
                <w:rFonts w:ascii="宋体" w:hAnsi="宋体" w:eastAsia="宋体" w:cs="Times New Roman"/>
                <w:color w:val="auto"/>
              </w:rPr>
              <w:t>2.5</w:t>
            </w:r>
          </w:p>
        </w:tc>
        <w:tc>
          <w:tcPr>
            <w:tcW w:w="670" w:type="dxa"/>
            <w:tcBorders>
              <w:top w:val="single" w:color="auto" w:sz="8" w:space="0"/>
              <w:left w:val="nil"/>
              <w:bottom w:val="single" w:color="auto" w:sz="8" w:space="0"/>
              <w:right w:val="single" w:color="auto" w:sz="8" w:space="0"/>
            </w:tcBorders>
            <w:noWrap/>
            <w:vAlign w:val="center"/>
          </w:tcPr>
          <w:p w14:paraId="1293AF40">
            <w:pPr>
              <w:jc w:val="center"/>
              <w:rPr>
                <w:rFonts w:ascii="宋体" w:hAnsi="宋体" w:eastAsia="宋体" w:cs="Times New Roman"/>
                <w:color w:val="auto"/>
              </w:rPr>
            </w:pPr>
            <w:r>
              <w:rPr>
                <w:rFonts w:ascii="宋体" w:hAnsi="宋体" w:eastAsia="宋体" w:cs="Times New Roman"/>
                <w:color w:val="auto"/>
              </w:rPr>
              <w:t>2.4</w:t>
            </w:r>
          </w:p>
        </w:tc>
        <w:tc>
          <w:tcPr>
            <w:tcW w:w="670" w:type="dxa"/>
            <w:tcBorders>
              <w:top w:val="single" w:color="auto" w:sz="8" w:space="0"/>
              <w:left w:val="nil"/>
              <w:bottom w:val="single" w:color="auto" w:sz="8" w:space="0"/>
              <w:right w:val="single" w:color="auto" w:sz="8" w:space="0"/>
            </w:tcBorders>
            <w:noWrap/>
            <w:vAlign w:val="center"/>
          </w:tcPr>
          <w:p w14:paraId="46B6F242">
            <w:pPr>
              <w:jc w:val="center"/>
              <w:rPr>
                <w:rFonts w:ascii="宋体" w:hAnsi="宋体" w:eastAsia="宋体" w:cs="Times New Roman"/>
                <w:color w:val="auto"/>
              </w:rPr>
            </w:pPr>
            <w:r>
              <w:rPr>
                <w:rFonts w:ascii="宋体" w:hAnsi="宋体" w:eastAsia="宋体" w:cs="Times New Roman"/>
                <w:color w:val="auto"/>
              </w:rPr>
              <w:t>2.3</w:t>
            </w:r>
          </w:p>
        </w:tc>
        <w:tc>
          <w:tcPr>
            <w:tcW w:w="670" w:type="dxa"/>
            <w:tcBorders>
              <w:top w:val="single" w:color="auto" w:sz="8" w:space="0"/>
              <w:left w:val="nil"/>
              <w:bottom w:val="single" w:color="auto" w:sz="8" w:space="0"/>
              <w:right w:val="single" w:color="auto" w:sz="8" w:space="0"/>
            </w:tcBorders>
            <w:noWrap/>
            <w:vAlign w:val="center"/>
          </w:tcPr>
          <w:p w14:paraId="737896CE">
            <w:pPr>
              <w:jc w:val="center"/>
              <w:rPr>
                <w:rFonts w:ascii="宋体" w:hAnsi="宋体" w:eastAsia="宋体" w:cs="Times New Roman"/>
                <w:color w:val="auto"/>
              </w:rPr>
            </w:pPr>
            <w:r>
              <w:rPr>
                <w:rFonts w:ascii="宋体" w:hAnsi="宋体" w:eastAsia="宋体" w:cs="Times New Roman"/>
                <w:color w:val="auto"/>
              </w:rPr>
              <w:t>2.4</w:t>
            </w:r>
          </w:p>
        </w:tc>
        <w:tc>
          <w:tcPr>
            <w:tcW w:w="670" w:type="dxa"/>
            <w:tcBorders>
              <w:top w:val="single" w:color="auto" w:sz="8" w:space="0"/>
              <w:left w:val="nil"/>
              <w:bottom w:val="single" w:color="auto" w:sz="8" w:space="0"/>
              <w:right w:val="single" w:color="auto" w:sz="8" w:space="0"/>
            </w:tcBorders>
            <w:noWrap/>
            <w:vAlign w:val="center"/>
          </w:tcPr>
          <w:p w14:paraId="743E4BF4">
            <w:pPr>
              <w:jc w:val="center"/>
              <w:rPr>
                <w:rFonts w:ascii="宋体" w:hAnsi="宋体" w:eastAsia="宋体" w:cs="Times New Roman"/>
                <w:color w:val="auto"/>
              </w:rPr>
            </w:pPr>
            <w:r>
              <w:rPr>
                <w:rFonts w:ascii="宋体" w:hAnsi="宋体" w:eastAsia="宋体" w:cs="Times New Roman"/>
                <w:color w:val="auto"/>
              </w:rPr>
              <w:t>2.5</w:t>
            </w:r>
          </w:p>
        </w:tc>
        <w:tc>
          <w:tcPr>
            <w:tcW w:w="670" w:type="dxa"/>
            <w:tcBorders>
              <w:top w:val="single" w:color="auto" w:sz="8" w:space="0"/>
              <w:left w:val="nil"/>
              <w:bottom w:val="single" w:color="auto" w:sz="8" w:space="0"/>
              <w:right w:val="single" w:color="auto" w:sz="8" w:space="0"/>
            </w:tcBorders>
            <w:noWrap/>
            <w:vAlign w:val="center"/>
          </w:tcPr>
          <w:p w14:paraId="14F4B7DE">
            <w:pPr>
              <w:jc w:val="center"/>
              <w:rPr>
                <w:rFonts w:ascii="宋体" w:hAnsi="宋体" w:eastAsia="宋体" w:cs="Times New Roman"/>
                <w:color w:val="auto"/>
              </w:rPr>
            </w:pPr>
            <w:r>
              <w:rPr>
                <w:rFonts w:ascii="宋体" w:hAnsi="宋体" w:eastAsia="宋体" w:cs="Times New Roman"/>
                <w:color w:val="auto"/>
              </w:rPr>
              <w:t>2.9</w:t>
            </w:r>
          </w:p>
        </w:tc>
        <w:tc>
          <w:tcPr>
            <w:tcW w:w="670" w:type="dxa"/>
            <w:tcBorders>
              <w:top w:val="single" w:color="auto" w:sz="8" w:space="0"/>
              <w:left w:val="nil"/>
              <w:bottom w:val="single" w:color="auto" w:sz="8" w:space="0"/>
              <w:right w:val="single" w:color="auto" w:sz="8" w:space="0"/>
            </w:tcBorders>
            <w:noWrap/>
            <w:vAlign w:val="center"/>
          </w:tcPr>
          <w:p w14:paraId="0B3E8C9A">
            <w:pPr>
              <w:jc w:val="center"/>
              <w:rPr>
                <w:rFonts w:ascii="宋体" w:hAnsi="宋体" w:eastAsia="宋体" w:cs="Times New Roman"/>
                <w:color w:val="auto"/>
              </w:rPr>
            </w:pPr>
            <w:r>
              <w:rPr>
                <w:rFonts w:ascii="宋体" w:hAnsi="宋体" w:eastAsia="宋体" w:cs="Times New Roman"/>
                <w:color w:val="auto"/>
              </w:rPr>
              <w:t>3.4</w:t>
            </w:r>
          </w:p>
        </w:tc>
        <w:tc>
          <w:tcPr>
            <w:tcW w:w="670" w:type="dxa"/>
            <w:tcBorders>
              <w:top w:val="single" w:color="auto" w:sz="8" w:space="0"/>
              <w:left w:val="nil"/>
              <w:bottom w:val="single" w:color="auto" w:sz="8" w:space="0"/>
              <w:right w:val="single" w:color="auto" w:sz="8" w:space="0"/>
            </w:tcBorders>
            <w:noWrap/>
            <w:vAlign w:val="center"/>
          </w:tcPr>
          <w:p w14:paraId="79A4B853">
            <w:pPr>
              <w:jc w:val="center"/>
              <w:rPr>
                <w:rFonts w:ascii="宋体" w:hAnsi="宋体" w:eastAsia="宋体" w:cs="Times New Roman"/>
                <w:color w:val="auto"/>
              </w:rPr>
            </w:pPr>
            <w:r>
              <w:rPr>
                <w:rFonts w:ascii="宋体" w:hAnsi="宋体" w:eastAsia="宋体" w:cs="Times New Roman"/>
                <w:color w:val="auto"/>
              </w:rPr>
              <w:t>3.6</w:t>
            </w:r>
          </w:p>
        </w:tc>
        <w:tc>
          <w:tcPr>
            <w:tcW w:w="670" w:type="dxa"/>
            <w:tcBorders>
              <w:top w:val="single" w:color="auto" w:sz="8" w:space="0"/>
              <w:left w:val="nil"/>
              <w:bottom w:val="single" w:color="auto" w:sz="8" w:space="0"/>
              <w:right w:val="single" w:color="auto" w:sz="8" w:space="0"/>
            </w:tcBorders>
            <w:noWrap/>
            <w:vAlign w:val="center"/>
          </w:tcPr>
          <w:p w14:paraId="3F4033D3">
            <w:pPr>
              <w:jc w:val="center"/>
              <w:rPr>
                <w:rFonts w:ascii="宋体" w:hAnsi="宋体" w:eastAsia="宋体" w:cs="Times New Roman"/>
                <w:color w:val="auto"/>
              </w:rPr>
            </w:pPr>
            <w:r>
              <w:rPr>
                <w:rFonts w:ascii="宋体" w:hAnsi="宋体" w:eastAsia="宋体" w:cs="Times New Roman"/>
                <w:color w:val="auto"/>
              </w:rPr>
              <w:t>3.9</w:t>
            </w:r>
          </w:p>
        </w:tc>
        <w:tc>
          <w:tcPr>
            <w:tcW w:w="670" w:type="dxa"/>
            <w:tcBorders>
              <w:top w:val="single" w:color="auto" w:sz="8" w:space="0"/>
              <w:left w:val="nil"/>
              <w:bottom w:val="single" w:color="auto" w:sz="8" w:space="0"/>
              <w:right w:val="single" w:color="auto" w:sz="8" w:space="0"/>
            </w:tcBorders>
            <w:noWrap/>
            <w:vAlign w:val="center"/>
          </w:tcPr>
          <w:p w14:paraId="1D11003E">
            <w:pPr>
              <w:jc w:val="center"/>
              <w:rPr>
                <w:rFonts w:ascii="宋体" w:hAnsi="宋体" w:eastAsia="宋体" w:cs="Times New Roman"/>
                <w:color w:val="auto"/>
              </w:rPr>
            </w:pPr>
            <w:r>
              <w:rPr>
                <w:rFonts w:ascii="宋体" w:hAnsi="宋体" w:eastAsia="宋体" w:cs="Times New Roman"/>
                <w:color w:val="auto"/>
              </w:rPr>
              <w:t>4.0</w:t>
            </w:r>
          </w:p>
        </w:tc>
      </w:tr>
      <w:tr w14:paraId="79522741">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noWrap/>
            <w:vAlign w:val="center"/>
          </w:tcPr>
          <w:p w14:paraId="188F4FB6">
            <w:pPr>
              <w:jc w:val="center"/>
              <w:rPr>
                <w:rFonts w:ascii="宋体" w:hAnsi="宋体" w:eastAsia="宋体" w:cs="Times New Roman"/>
                <w:color w:val="auto"/>
              </w:rPr>
            </w:pPr>
            <w:r>
              <w:rPr>
                <w:rFonts w:ascii="宋体" w:hAnsi="宋体" w:eastAsia="宋体" w:cs="Times New Roman"/>
                <w:color w:val="auto"/>
              </w:rPr>
              <w:t>冬季</w:t>
            </w:r>
          </w:p>
        </w:tc>
        <w:tc>
          <w:tcPr>
            <w:tcW w:w="670" w:type="dxa"/>
            <w:tcBorders>
              <w:top w:val="single" w:color="auto" w:sz="8" w:space="0"/>
              <w:left w:val="nil"/>
              <w:bottom w:val="single" w:color="auto" w:sz="8" w:space="0"/>
              <w:right w:val="single" w:color="auto" w:sz="8" w:space="0"/>
            </w:tcBorders>
            <w:noWrap/>
            <w:vAlign w:val="center"/>
          </w:tcPr>
          <w:p w14:paraId="4CF1CB17">
            <w:pPr>
              <w:jc w:val="center"/>
              <w:rPr>
                <w:rFonts w:ascii="宋体" w:hAnsi="宋体" w:eastAsia="宋体" w:cs="Times New Roman"/>
                <w:color w:val="auto"/>
              </w:rPr>
            </w:pPr>
            <w:r>
              <w:rPr>
                <w:rFonts w:ascii="宋体" w:hAnsi="宋体" w:eastAsia="宋体" w:cs="Times New Roman"/>
                <w:color w:val="auto"/>
              </w:rPr>
              <w:t>2.1</w:t>
            </w:r>
          </w:p>
        </w:tc>
        <w:tc>
          <w:tcPr>
            <w:tcW w:w="670" w:type="dxa"/>
            <w:tcBorders>
              <w:top w:val="single" w:color="auto" w:sz="8" w:space="0"/>
              <w:left w:val="nil"/>
              <w:bottom w:val="single" w:color="auto" w:sz="8" w:space="0"/>
              <w:right w:val="single" w:color="auto" w:sz="8" w:space="0"/>
            </w:tcBorders>
            <w:noWrap/>
            <w:vAlign w:val="center"/>
          </w:tcPr>
          <w:p w14:paraId="73090041">
            <w:pPr>
              <w:jc w:val="center"/>
              <w:rPr>
                <w:rFonts w:ascii="宋体" w:hAnsi="宋体" w:eastAsia="宋体" w:cs="Times New Roman"/>
                <w:color w:val="auto"/>
              </w:rPr>
            </w:pPr>
            <w:r>
              <w:rPr>
                <w:rFonts w:ascii="宋体" w:hAnsi="宋体" w:eastAsia="宋体" w:cs="Times New Roman"/>
                <w:color w:val="auto"/>
              </w:rPr>
              <w:t>2.2</w:t>
            </w:r>
          </w:p>
        </w:tc>
        <w:tc>
          <w:tcPr>
            <w:tcW w:w="670" w:type="dxa"/>
            <w:tcBorders>
              <w:top w:val="single" w:color="auto" w:sz="8" w:space="0"/>
              <w:left w:val="nil"/>
              <w:bottom w:val="single" w:color="auto" w:sz="8" w:space="0"/>
              <w:right w:val="single" w:color="auto" w:sz="8" w:space="0"/>
            </w:tcBorders>
            <w:noWrap/>
            <w:vAlign w:val="center"/>
          </w:tcPr>
          <w:p w14:paraId="3B5BA1B8">
            <w:pPr>
              <w:jc w:val="center"/>
              <w:rPr>
                <w:rFonts w:ascii="宋体" w:hAnsi="宋体" w:eastAsia="宋体" w:cs="Times New Roman"/>
                <w:color w:val="auto"/>
              </w:rPr>
            </w:pPr>
            <w:r>
              <w:rPr>
                <w:rFonts w:ascii="宋体" w:hAnsi="宋体" w:eastAsia="宋体" w:cs="Times New Roman"/>
                <w:color w:val="auto"/>
              </w:rPr>
              <w:t>2.2</w:t>
            </w:r>
          </w:p>
        </w:tc>
        <w:tc>
          <w:tcPr>
            <w:tcW w:w="670" w:type="dxa"/>
            <w:tcBorders>
              <w:top w:val="single" w:color="auto" w:sz="8" w:space="0"/>
              <w:left w:val="nil"/>
              <w:bottom w:val="single" w:color="auto" w:sz="8" w:space="0"/>
              <w:right w:val="single" w:color="auto" w:sz="8" w:space="0"/>
            </w:tcBorders>
            <w:noWrap/>
            <w:vAlign w:val="center"/>
          </w:tcPr>
          <w:p w14:paraId="4557DD18">
            <w:pPr>
              <w:jc w:val="center"/>
              <w:rPr>
                <w:rFonts w:ascii="宋体" w:hAnsi="宋体" w:eastAsia="宋体" w:cs="Times New Roman"/>
                <w:color w:val="auto"/>
              </w:rPr>
            </w:pPr>
            <w:r>
              <w:rPr>
                <w:rFonts w:ascii="宋体" w:hAnsi="宋体" w:eastAsia="宋体" w:cs="Times New Roman"/>
                <w:color w:val="auto"/>
              </w:rPr>
              <w:t>2.3</w:t>
            </w:r>
          </w:p>
        </w:tc>
        <w:tc>
          <w:tcPr>
            <w:tcW w:w="670" w:type="dxa"/>
            <w:tcBorders>
              <w:top w:val="single" w:color="auto" w:sz="8" w:space="0"/>
              <w:left w:val="nil"/>
              <w:bottom w:val="single" w:color="auto" w:sz="8" w:space="0"/>
              <w:right w:val="single" w:color="auto" w:sz="8" w:space="0"/>
            </w:tcBorders>
            <w:noWrap/>
            <w:vAlign w:val="center"/>
          </w:tcPr>
          <w:p w14:paraId="56C9C5F9">
            <w:pPr>
              <w:jc w:val="center"/>
              <w:rPr>
                <w:rFonts w:ascii="宋体" w:hAnsi="宋体" w:eastAsia="宋体" w:cs="Times New Roman"/>
                <w:color w:val="auto"/>
              </w:rPr>
            </w:pPr>
            <w:r>
              <w:rPr>
                <w:rFonts w:ascii="宋体" w:hAnsi="宋体" w:eastAsia="宋体" w:cs="Times New Roman"/>
                <w:color w:val="auto"/>
              </w:rPr>
              <w:t>2.2</w:t>
            </w:r>
          </w:p>
        </w:tc>
        <w:tc>
          <w:tcPr>
            <w:tcW w:w="670" w:type="dxa"/>
            <w:tcBorders>
              <w:top w:val="single" w:color="auto" w:sz="8" w:space="0"/>
              <w:left w:val="nil"/>
              <w:bottom w:val="single" w:color="auto" w:sz="8" w:space="0"/>
              <w:right w:val="single" w:color="auto" w:sz="8" w:space="0"/>
            </w:tcBorders>
            <w:noWrap/>
            <w:vAlign w:val="center"/>
          </w:tcPr>
          <w:p w14:paraId="15BCBCA6">
            <w:pPr>
              <w:jc w:val="center"/>
              <w:rPr>
                <w:rFonts w:ascii="宋体" w:hAnsi="宋体" w:eastAsia="宋体" w:cs="Times New Roman"/>
                <w:color w:val="auto"/>
              </w:rPr>
            </w:pPr>
            <w:r>
              <w:rPr>
                <w:rFonts w:ascii="宋体" w:hAnsi="宋体" w:eastAsia="宋体" w:cs="Times New Roman"/>
                <w:color w:val="auto"/>
              </w:rPr>
              <w:t>2.2</w:t>
            </w:r>
          </w:p>
        </w:tc>
        <w:tc>
          <w:tcPr>
            <w:tcW w:w="670" w:type="dxa"/>
            <w:tcBorders>
              <w:top w:val="single" w:color="auto" w:sz="8" w:space="0"/>
              <w:left w:val="nil"/>
              <w:bottom w:val="single" w:color="auto" w:sz="8" w:space="0"/>
              <w:right w:val="single" w:color="auto" w:sz="8" w:space="0"/>
            </w:tcBorders>
            <w:noWrap/>
            <w:vAlign w:val="center"/>
          </w:tcPr>
          <w:p w14:paraId="049DE1F5">
            <w:pPr>
              <w:jc w:val="center"/>
              <w:rPr>
                <w:rFonts w:ascii="宋体" w:hAnsi="宋体" w:eastAsia="宋体" w:cs="Times New Roman"/>
                <w:color w:val="auto"/>
              </w:rPr>
            </w:pPr>
            <w:r>
              <w:rPr>
                <w:rFonts w:ascii="宋体" w:hAnsi="宋体" w:eastAsia="宋体" w:cs="Times New Roman"/>
                <w:color w:val="auto"/>
              </w:rPr>
              <w:t>2.3</w:t>
            </w:r>
          </w:p>
        </w:tc>
        <w:tc>
          <w:tcPr>
            <w:tcW w:w="670" w:type="dxa"/>
            <w:tcBorders>
              <w:top w:val="single" w:color="auto" w:sz="8" w:space="0"/>
              <w:left w:val="nil"/>
              <w:bottom w:val="single" w:color="auto" w:sz="8" w:space="0"/>
              <w:right w:val="single" w:color="auto" w:sz="8" w:space="0"/>
            </w:tcBorders>
            <w:noWrap/>
            <w:vAlign w:val="center"/>
          </w:tcPr>
          <w:p w14:paraId="37F22994">
            <w:pPr>
              <w:jc w:val="center"/>
              <w:rPr>
                <w:rFonts w:ascii="宋体" w:hAnsi="宋体" w:eastAsia="宋体" w:cs="Times New Roman"/>
                <w:color w:val="auto"/>
              </w:rPr>
            </w:pPr>
            <w:r>
              <w:rPr>
                <w:rFonts w:ascii="宋体" w:hAnsi="宋体" w:eastAsia="宋体" w:cs="Times New Roman"/>
                <w:color w:val="auto"/>
              </w:rPr>
              <w:t>2.3</w:t>
            </w:r>
          </w:p>
        </w:tc>
        <w:tc>
          <w:tcPr>
            <w:tcW w:w="670" w:type="dxa"/>
            <w:tcBorders>
              <w:top w:val="single" w:color="auto" w:sz="8" w:space="0"/>
              <w:left w:val="nil"/>
              <w:bottom w:val="single" w:color="auto" w:sz="8" w:space="0"/>
              <w:right w:val="single" w:color="auto" w:sz="8" w:space="0"/>
            </w:tcBorders>
            <w:noWrap/>
            <w:vAlign w:val="center"/>
          </w:tcPr>
          <w:p w14:paraId="6031E7BC">
            <w:pPr>
              <w:jc w:val="center"/>
              <w:rPr>
                <w:rFonts w:ascii="宋体" w:hAnsi="宋体" w:eastAsia="宋体" w:cs="Times New Roman"/>
                <w:color w:val="auto"/>
              </w:rPr>
            </w:pPr>
            <w:r>
              <w:rPr>
                <w:rFonts w:ascii="宋体" w:hAnsi="宋体" w:eastAsia="宋体" w:cs="Times New Roman"/>
                <w:color w:val="auto"/>
              </w:rPr>
              <w:t>2.6</w:t>
            </w:r>
          </w:p>
        </w:tc>
        <w:tc>
          <w:tcPr>
            <w:tcW w:w="670" w:type="dxa"/>
            <w:tcBorders>
              <w:top w:val="single" w:color="auto" w:sz="8" w:space="0"/>
              <w:left w:val="nil"/>
              <w:bottom w:val="single" w:color="auto" w:sz="8" w:space="0"/>
              <w:right w:val="single" w:color="auto" w:sz="8" w:space="0"/>
            </w:tcBorders>
            <w:noWrap/>
            <w:vAlign w:val="center"/>
          </w:tcPr>
          <w:p w14:paraId="7593F062">
            <w:pPr>
              <w:jc w:val="center"/>
              <w:rPr>
                <w:rFonts w:ascii="宋体" w:hAnsi="宋体" w:eastAsia="宋体" w:cs="Times New Roman"/>
                <w:color w:val="auto"/>
              </w:rPr>
            </w:pPr>
            <w:r>
              <w:rPr>
                <w:rFonts w:ascii="宋体" w:hAnsi="宋体" w:eastAsia="宋体" w:cs="Times New Roman"/>
                <w:color w:val="auto"/>
              </w:rPr>
              <w:t>3.0</w:t>
            </w:r>
          </w:p>
        </w:tc>
        <w:tc>
          <w:tcPr>
            <w:tcW w:w="670" w:type="dxa"/>
            <w:tcBorders>
              <w:top w:val="single" w:color="auto" w:sz="8" w:space="0"/>
              <w:left w:val="nil"/>
              <w:bottom w:val="single" w:color="auto" w:sz="8" w:space="0"/>
              <w:right w:val="single" w:color="auto" w:sz="8" w:space="0"/>
            </w:tcBorders>
            <w:noWrap/>
            <w:vAlign w:val="center"/>
          </w:tcPr>
          <w:p w14:paraId="4779DEAE">
            <w:pPr>
              <w:jc w:val="center"/>
              <w:rPr>
                <w:rFonts w:ascii="宋体" w:hAnsi="宋体" w:eastAsia="宋体" w:cs="Times New Roman"/>
                <w:color w:val="auto"/>
              </w:rPr>
            </w:pPr>
            <w:r>
              <w:rPr>
                <w:rFonts w:ascii="宋体" w:hAnsi="宋体" w:eastAsia="宋体" w:cs="Times New Roman"/>
                <w:color w:val="auto"/>
              </w:rPr>
              <w:t>3.1</w:t>
            </w:r>
          </w:p>
        </w:tc>
        <w:tc>
          <w:tcPr>
            <w:tcW w:w="670" w:type="dxa"/>
            <w:tcBorders>
              <w:top w:val="single" w:color="auto" w:sz="8" w:space="0"/>
              <w:left w:val="nil"/>
              <w:bottom w:val="single" w:color="auto" w:sz="8" w:space="0"/>
              <w:right w:val="single" w:color="auto" w:sz="8" w:space="0"/>
            </w:tcBorders>
            <w:noWrap/>
            <w:vAlign w:val="center"/>
          </w:tcPr>
          <w:p w14:paraId="29609573">
            <w:pPr>
              <w:jc w:val="center"/>
              <w:rPr>
                <w:rFonts w:ascii="宋体" w:hAnsi="宋体" w:eastAsia="宋体" w:cs="Times New Roman"/>
                <w:color w:val="auto"/>
              </w:rPr>
            </w:pPr>
            <w:r>
              <w:rPr>
                <w:rFonts w:ascii="宋体" w:hAnsi="宋体" w:eastAsia="宋体" w:cs="Times New Roman"/>
                <w:color w:val="auto"/>
              </w:rPr>
              <w:t>3.3</w:t>
            </w:r>
          </w:p>
        </w:tc>
      </w:tr>
      <w:tr w14:paraId="67884818">
        <w:tblPrEx>
          <w:tblCellMar>
            <w:top w:w="0" w:type="dxa"/>
            <w:left w:w="108" w:type="dxa"/>
            <w:bottom w:w="0" w:type="dxa"/>
            <w:right w:w="108" w:type="dxa"/>
          </w:tblCellMar>
        </w:tblPrEx>
        <w:trPr>
          <w:trHeight w:val="418" w:hRule="atLeast"/>
        </w:trPr>
        <w:tc>
          <w:tcPr>
            <w:tcW w:w="1037" w:type="dxa"/>
            <w:tcBorders>
              <w:top w:val="single" w:color="auto" w:sz="8" w:space="0"/>
              <w:left w:val="single" w:color="auto" w:sz="8" w:space="0"/>
              <w:bottom w:val="single" w:color="auto" w:sz="8" w:space="0"/>
              <w:right w:val="single" w:color="auto" w:sz="8" w:space="0"/>
              <w:tl2br w:val="single" w:color="auto" w:sz="8" w:space="0"/>
            </w:tcBorders>
            <w:vAlign w:val="center"/>
          </w:tcPr>
          <w:p w14:paraId="5FB8D795">
            <w:pPr>
              <w:jc w:val="center"/>
              <w:rPr>
                <w:rFonts w:ascii="宋体" w:hAnsi="宋体" w:eastAsia="宋体" w:cs="Times New Roman"/>
                <w:color w:val="auto"/>
              </w:rPr>
            </w:pPr>
            <w:r>
              <w:rPr>
                <w:rFonts w:ascii="宋体" w:hAnsi="宋体" w:eastAsia="宋体" w:cs="Times New Roman"/>
                <w:color w:val="auto"/>
              </w:rPr>
              <w:t xml:space="preserve">   小时</w:t>
            </w:r>
          </w:p>
          <w:p w14:paraId="5133496B">
            <w:pPr>
              <w:rPr>
                <w:rFonts w:ascii="宋体" w:hAnsi="宋体" w:eastAsia="宋体" w:cs="Times New Roman"/>
                <w:color w:val="auto"/>
              </w:rPr>
            </w:pPr>
            <w:r>
              <w:rPr>
                <w:rFonts w:ascii="宋体" w:hAnsi="宋体" w:eastAsia="宋体" w:cs="Times New Roman"/>
                <w:color w:val="auto"/>
              </w:rPr>
              <w:t>风速</w:t>
            </w:r>
          </w:p>
        </w:tc>
        <w:tc>
          <w:tcPr>
            <w:tcW w:w="670" w:type="dxa"/>
            <w:tcBorders>
              <w:top w:val="single" w:color="auto" w:sz="8" w:space="0"/>
              <w:left w:val="nil"/>
              <w:bottom w:val="single" w:color="auto" w:sz="8" w:space="0"/>
              <w:right w:val="single" w:color="auto" w:sz="8" w:space="0"/>
            </w:tcBorders>
            <w:noWrap/>
            <w:vAlign w:val="center"/>
          </w:tcPr>
          <w:p w14:paraId="379462FE">
            <w:pPr>
              <w:jc w:val="center"/>
              <w:rPr>
                <w:rFonts w:ascii="宋体" w:hAnsi="宋体" w:eastAsia="宋体" w:cs="Times New Roman"/>
                <w:color w:val="auto"/>
              </w:rPr>
            </w:pPr>
            <w:r>
              <w:rPr>
                <w:rFonts w:ascii="宋体" w:hAnsi="宋体" w:eastAsia="宋体" w:cs="Times New Roman"/>
                <w:color w:val="auto"/>
              </w:rPr>
              <w:t>13</w:t>
            </w:r>
          </w:p>
        </w:tc>
        <w:tc>
          <w:tcPr>
            <w:tcW w:w="670" w:type="dxa"/>
            <w:tcBorders>
              <w:top w:val="single" w:color="auto" w:sz="8" w:space="0"/>
              <w:left w:val="nil"/>
              <w:bottom w:val="single" w:color="auto" w:sz="8" w:space="0"/>
              <w:right w:val="single" w:color="auto" w:sz="8" w:space="0"/>
            </w:tcBorders>
            <w:noWrap/>
            <w:vAlign w:val="center"/>
          </w:tcPr>
          <w:p w14:paraId="52A66AF0">
            <w:pPr>
              <w:jc w:val="center"/>
              <w:rPr>
                <w:rFonts w:ascii="宋体" w:hAnsi="宋体" w:eastAsia="宋体" w:cs="Times New Roman"/>
                <w:color w:val="auto"/>
              </w:rPr>
            </w:pPr>
            <w:r>
              <w:rPr>
                <w:rFonts w:ascii="宋体" w:hAnsi="宋体" w:eastAsia="宋体" w:cs="Times New Roman"/>
                <w:color w:val="auto"/>
              </w:rPr>
              <w:t>14</w:t>
            </w:r>
          </w:p>
        </w:tc>
        <w:tc>
          <w:tcPr>
            <w:tcW w:w="670" w:type="dxa"/>
            <w:tcBorders>
              <w:top w:val="single" w:color="auto" w:sz="8" w:space="0"/>
              <w:left w:val="nil"/>
              <w:bottom w:val="single" w:color="auto" w:sz="8" w:space="0"/>
              <w:right w:val="single" w:color="auto" w:sz="8" w:space="0"/>
            </w:tcBorders>
            <w:noWrap/>
            <w:vAlign w:val="center"/>
          </w:tcPr>
          <w:p w14:paraId="556149A9">
            <w:pPr>
              <w:jc w:val="center"/>
              <w:rPr>
                <w:rFonts w:ascii="宋体" w:hAnsi="宋体" w:eastAsia="宋体" w:cs="Times New Roman"/>
                <w:color w:val="auto"/>
              </w:rPr>
            </w:pPr>
            <w:r>
              <w:rPr>
                <w:rFonts w:ascii="宋体" w:hAnsi="宋体" w:eastAsia="宋体" w:cs="Times New Roman"/>
                <w:color w:val="auto"/>
              </w:rPr>
              <w:t>15</w:t>
            </w:r>
          </w:p>
        </w:tc>
        <w:tc>
          <w:tcPr>
            <w:tcW w:w="670" w:type="dxa"/>
            <w:tcBorders>
              <w:top w:val="single" w:color="auto" w:sz="8" w:space="0"/>
              <w:left w:val="nil"/>
              <w:bottom w:val="single" w:color="auto" w:sz="8" w:space="0"/>
              <w:right w:val="single" w:color="auto" w:sz="8" w:space="0"/>
            </w:tcBorders>
            <w:noWrap/>
            <w:vAlign w:val="center"/>
          </w:tcPr>
          <w:p w14:paraId="1053B562">
            <w:pPr>
              <w:jc w:val="center"/>
              <w:rPr>
                <w:rFonts w:ascii="宋体" w:hAnsi="宋体" w:eastAsia="宋体" w:cs="Times New Roman"/>
                <w:color w:val="auto"/>
              </w:rPr>
            </w:pPr>
            <w:r>
              <w:rPr>
                <w:rFonts w:ascii="宋体" w:hAnsi="宋体" w:eastAsia="宋体" w:cs="Times New Roman"/>
                <w:color w:val="auto"/>
              </w:rPr>
              <w:t>16</w:t>
            </w:r>
          </w:p>
        </w:tc>
        <w:tc>
          <w:tcPr>
            <w:tcW w:w="670" w:type="dxa"/>
            <w:tcBorders>
              <w:top w:val="single" w:color="auto" w:sz="8" w:space="0"/>
              <w:left w:val="nil"/>
              <w:bottom w:val="single" w:color="auto" w:sz="8" w:space="0"/>
              <w:right w:val="single" w:color="auto" w:sz="8" w:space="0"/>
            </w:tcBorders>
            <w:noWrap/>
            <w:vAlign w:val="center"/>
          </w:tcPr>
          <w:p w14:paraId="76623409">
            <w:pPr>
              <w:jc w:val="center"/>
              <w:rPr>
                <w:rFonts w:ascii="宋体" w:hAnsi="宋体" w:eastAsia="宋体" w:cs="Times New Roman"/>
                <w:color w:val="auto"/>
              </w:rPr>
            </w:pPr>
            <w:r>
              <w:rPr>
                <w:rFonts w:ascii="宋体" w:hAnsi="宋体" w:eastAsia="宋体" w:cs="Times New Roman"/>
                <w:color w:val="auto"/>
              </w:rPr>
              <w:t>17</w:t>
            </w:r>
          </w:p>
        </w:tc>
        <w:tc>
          <w:tcPr>
            <w:tcW w:w="670" w:type="dxa"/>
            <w:tcBorders>
              <w:top w:val="single" w:color="auto" w:sz="8" w:space="0"/>
              <w:left w:val="nil"/>
              <w:bottom w:val="single" w:color="auto" w:sz="8" w:space="0"/>
              <w:right w:val="single" w:color="auto" w:sz="8" w:space="0"/>
            </w:tcBorders>
            <w:noWrap/>
            <w:vAlign w:val="center"/>
          </w:tcPr>
          <w:p w14:paraId="30732964">
            <w:pPr>
              <w:jc w:val="center"/>
              <w:rPr>
                <w:rFonts w:ascii="宋体" w:hAnsi="宋体" w:eastAsia="宋体" w:cs="Times New Roman"/>
                <w:color w:val="auto"/>
              </w:rPr>
            </w:pPr>
            <w:r>
              <w:rPr>
                <w:rFonts w:ascii="宋体" w:hAnsi="宋体" w:eastAsia="宋体" w:cs="Times New Roman"/>
                <w:color w:val="auto"/>
              </w:rPr>
              <w:t>18</w:t>
            </w:r>
          </w:p>
        </w:tc>
        <w:tc>
          <w:tcPr>
            <w:tcW w:w="670" w:type="dxa"/>
            <w:tcBorders>
              <w:top w:val="single" w:color="auto" w:sz="8" w:space="0"/>
              <w:left w:val="nil"/>
              <w:bottom w:val="single" w:color="auto" w:sz="8" w:space="0"/>
              <w:right w:val="single" w:color="auto" w:sz="8" w:space="0"/>
            </w:tcBorders>
            <w:noWrap/>
            <w:vAlign w:val="center"/>
          </w:tcPr>
          <w:p w14:paraId="4D07BF5D">
            <w:pPr>
              <w:jc w:val="center"/>
              <w:rPr>
                <w:rFonts w:ascii="宋体" w:hAnsi="宋体" w:eastAsia="宋体" w:cs="Times New Roman"/>
                <w:color w:val="auto"/>
              </w:rPr>
            </w:pPr>
            <w:r>
              <w:rPr>
                <w:rFonts w:ascii="宋体" w:hAnsi="宋体" w:eastAsia="宋体" w:cs="Times New Roman"/>
                <w:color w:val="auto"/>
              </w:rPr>
              <w:t>19</w:t>
            </w:r>
          </w:p>
        </w:tc>
        <w:tc>
          <w:tcPr>
            <w:tcW w:w="670" w:type="dxa"/>
            <w:tcBorders>
              <w:top w:val="single" w:color="auto" w:sz="8" w:space="0"/>
              <w:left w:val="nil"/>
              <w:bottom w:val="single" w:color="auto" w:sz="8" w:space="0"/>
              <w:right w:val="single" w:color="auto" w:sz="8" w:space="0"/>
            </w:tcBorders>
            <w:noWrap/>
            <w:vAlign w:val="center"/>
          </w:tcPr>
          <w:p w14:paraId="3D452B0D">
            <w:pPr>
              <w:jc w:val="center"/>
              <w:rPr>
                <w:rFonts w:ascii="宋体" w:hAnsi="宋体" w:eastAsia="宋体" w:cs="Times New Roman"/>
                <w:color w:val="auto"/>
              </w:rPr>
            </w:pPr>
            <w:r>
              <w:rPr>
                <w:rFonts w:ascii="宋体" w:hAnsi="宋体" w:eastAsia="宋体" w:cs="Times New Roman"/>
                <w:color w:val="auto"/>
              </w:rPr>
              <w:t>20</w:t>
            </w:r>
          </w:p>
        </w:tc>
        <w:tc>
          <w:tcPr>
            <w:tcW w:w="670" w:type="dxa"/>
            <w:tcBorders>
              <w:top w:val="single" w:color="auto" w:sz="8" w:space="0"/>
              <w:left w:val="nil"/>
              <w:bottom w:val="single" w:color="auto" w:sz="8" w:space="0"/>
              <w:right w:val="single" w:color="auto" w:sz="8" w:space="0"/>
            </w:tcBorders>
            <w:noWrap/>
            <w:vAlign w:val="center"/>
          </w:tcPr>
          <w:p w14:paraId="21916A84">
            <w:pPr>
              <w:jc w:val="center"/>
              <w:rPr>
                <w:rFonts w:ascii="宋体" w:hAnsi="宋体" w:eastAsia="宋体" w:cs="Times New Roman"/>
                <w:color w:val="auto"/>
              </w:rPr>
            </w:pPr>
            <w:r>
              <w:rPr>
                <w:rFonts w:ascii="宋体" w:hAnsi="宋体" w:eastAsia="宋体" w:cs="Times New Roman"/>
                <w:color w:val="auto"/>
              </w:rPr>
              <w:t>21</w:t>
            </w:r>
          </w:p>
        </w:tc>
        <w:tc>
          <w:tcPr>
            <w:tcW w:w="670" w:type="dxa"/>
            <w:tcBorders>
              <w:top w:val="single" w:color="auto" w:sz="8" w:space="0"/>
              <w:left w:val="nil"/>
              <w:bottom w:val="single" w:color="auto" w:sz="8" w:space="0"/>
              <w:right w:val="single" w:color="auto" w:sz="8" w:space="0"/>
            </w:tcBorders>
            <w:noWrap/>
            <w:vAlign w:val="center"/>
          </w:tcPr>
          <w:p w14:paraId="62B006CB">
            <w:pPr>
              <w:jc w:val="center"/>
              <w:rPr>
                <w:rFonts w:ascii="宋体" w:hAnsi="宋体" w:eastAsia="宋体" w:cs="Times New Roman"/>
                <w:color w:val="auto"/>
              </w:rPr>
            </w:pPr>
            <w:r>
              <w:rPr>
                <w:rFonts w:ascii="宋体" w:hAnsi="宋体" w:eastAsia="宋体" w:cs="Times New Roman"/>
                <w:color w:val="auto"/>
              </w:rPr>
              <w:t>22</w:t>
            </w:r>
          </w:p>
        </w:tc>
        <w:tc>
          <w:tcPr>
            <w:tcW w:w="670" w:type="dxa"/>
            <w:tcBorders>
              <w:top w:val="single" w:color="auto" w:sz="8" w:space="0"/>
              <w:left w:val="nil"/>
              <w:bottom w:val="single" w:color="auto" w:sz="8" w:space="0"/>
              <w:right w:val="single" w:color="auto" w:sz="8" w:space="0"/>
            </w:tcBorders>
            <w:noWrap/>
            <w:vAlign w:val="center"/>
          </w:tcPr>
          <w:p w14:paraId="16018678">
            <w:pPr>
              <w:jc w:val="center"/>
              <w:rPr>
                <w:rFonts w:ascii="宋体" w:hAnsi="宋体" w:eastAsia="宋体" w:cs="Times New Roman"/>
                <w:color w:val="auto"/>
              </w:rPr>
            </w:pPr>
            <w:r>
              <w:rPr>
                <w:rFonts w:ascii="宋体" w:hAnsi="宋体" w:eastAsia="宋体" w:cs="Times New Roman"/>
                <w:color w:val="auto"/>
              </w:rPr>
              <w:t>23</w:t>
            </w:r>
          </w:p>
        </w:tc>
        <w:tc>
          <w:tcPr>
            <w:tcW w:w="670" w:type="dxa"/>
            <w:tcBorders>
              <w:top w:val="single" w:color="auto" w:sz="8" w:space="0"/>
              <w:left w:val="nil"/>
              <w:bottom w:val="single" w:color="auto" w:sz="8" w:space="0"/>
              <w:right w:val="single" w:color="auto" w:sz="8" w:space="0"/>
            </w:tcBorders>
            <w:noWrap/>
            <w:vAlign w:val="center"/>
          </w:tcPr>
          <w:p w14:paraId="53907293">
            <w:pPr>
              <w:jc w:val="center"/>
              <w:rPr>
                <w:rFonts w:ascii="宋体" w:hAnsi="宋体" w:eastAsia="宋体" w:cs="Times New Roman"/>
                <w:color w:val="auto"/>
              </w:rPr>
            </w:pPr>
            <w:r>
              <w:rPr>
                <w:rFonts w:ascii="宋体" w:hAnsi="宋体" w:eastAsia="宋体" w:cs="Times New Roman"/>
                <w:color w:val="auto"/>
              </w:rPr>
              <w:t>24</w:t>
            </w:r>
          </w:p>
        </w:tc>
      </w:tr>
      <w:tr w14:paraId="28972C23">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noWrap/>
            <w:vAlign w:val="center"/>
          </w:tcPr>
          <w:p w14:paraId="7242A0A0">
            <w:pPr>
              <w:jc w:val="center"/>
              <w:rPr>
                <w:rFonts w:ascii="宋体" w:hAnsi="宋体" w:eastAsia="宋体" w:cs="Times New Roman"/>
                <w:color w:val="auto"/>
              </w:rPr>
            </w:pPr>
            <w:r>
              <w:rPr>
                <w:rFonts w:ascii="宋体" w:hAnsi="宋体" w:eastAsia="宋体" w:cs="Times New Roman"/>
                <w:color w:val="auto"/>
              </w:rPr>
              <w:t>春季</w:t>
            </w:r>
          </w:p>
        </w:tc>
        <w:tc>
          <w:tcPr>
            <w:tcW w:w="670" w:type="dxa"/>
            <w:tcBorders>
              <w:top w:val="single" w:color="auto" w:sz="8" w:space="0"/>
              <w:left w:val="nil"/>
              <w:bottom w:val="single" w:color="auto" w:sz="8" w:space="0"/>
              <w:right w:val="single" w:color="auto" w:sz="8" w:space="0"/>
            </w:tcBorders>
            <w:noWrap/>
            <w:vAlign w:val="center"/>
          </w:tcPr>
          <w:p w14:paraId="01190726">
            <w:pPr>
              <w:jc w:val="center"/>
              <w:rPr>
                <w:rFonts w:ascii="宋体" w:hAnsi="宋体" w:eastAsia="宋体" w:cs="Times New Roman"/>
                <w:color w:val="auto"/>
              </w:rPr>
            </w:pPr>
            <w:r>
              <w:rPr>
                <w:rFonts w:ascii="宋体" w:hAnsi="宋体" w:eastAsia="宋体" w:cs="Times New Roman"/>
                <w:color w:val="auto"/>
              </w:rPr>
              <w:t>4.8</w:t>
            </w:r>
          </w:p>
        </w:tc>
        <w:tc>
          <w:tcPr>
            <w:tcW w:w="670" w:type="dxa"/>
            <w:tcBorders>
              <w:top w:val="single" w:color="auto" w:sz="8" w:space="0"/>
              <w:left w:val="nil"/>
              <w:bottom w:val="single" w:color="auto" w:sz="8" w:space="0"/>
              <w:right w:val="single" w:color="auto" w:sz="8" w:space="0"/>
            </w:tcBorders>
            <w:noWrap/>
            <w:vAlign w:val="center"/>
          </w:tcPr>
          <w:p w14:paraId="3833FB5F">
            <w:pPr>
              <w:jc w:val="center"/>
              <w:rPr>
                <w:rFonts w:ascii="宋体" w:hAnsi="宋体" w:eastAsia="宋体" w:cs="Times New Roman"/>
                <w:color w:val="auto"/>
              </w:rPr>
            </w:pPr>
            <w:r>
              <w:rPr>
                <w:rFonts w:ascii="宋体" w:hAnsi="宋体" w:eastAsia="宋体" w:cs="Times New Roman"/>
                <w:color w:val="auto"/>
              </w:rPr>
              <w:t>4.8</w:t>
            </w:r>
          </w:p>
        </w:tc>
        <w:tc>
          <w:tcPr>
            <w:tcW w:w="670" w:type="dxa"/>
            <w:tcBorders>
              <w:top w:val="single" w:color="auto" w:sz="8" w:space="0"/>
              <w:left w:val="nil"/>
              <w:bottom w:val="single" w:color="auto" w:sz="8" w:space="0"/>
              <w:right w:val="single" w:color="auto" w:sz="8" w:space="0"/>
            </w:tcBorders>
            <w:noWrap/>
            <w:vAlign w:val="center"/>
          </w:tcPr>
          <w:p w14:paraId="3D3F38B1">
            <w:pPr>
              <w:jc w:val="center"/>
              <w:rPr>
                <w:rFonts w:ascii="宋体" w:hAnsi="宋体" w:eastAsia="宋体" w:cs="Times New Roman"/>
                <w:color w:val="auto"/>
              </w:rPr>
            </w:pPr>
            <w:r>
              <w:rPr>
                <w:rFonts w:ascii="宋体" w:hAnsi="宋体" w:eastAsia="宋体" w:cs="Times New Roman"/>
                <w:color w:val="auto"/>
              </w:rPr>
              <w:t>4.4</w:t>
            </w:r>
          </w:p>
        </w:tc>
        <w:tc>
          <w:tcPr>
            <w:tcW w:w="670" w:type="dxa"/>
            <w:tcBorders>
              <w:top w:val="single" w:color="auto" w:sz="8" w:space="0"/>
              <w:left w:val="nil"/>
              <w:bottom w:val="single" w:color="auto" w:sz="8" w:space="0"/>
              <w:right w:val="single" w:color="auto" w:sz="8" w:space="0"/>
            </w:tcBorders>
            <w:noWrap/>
            <w:vAlign w:val="center"/>
          </w:tcPr>
          <w:p w14:paraId="3D6EA0B0">
            <w:pPr>
              <w:jc w:val="center"/>
              <w:rPr>
                <w:rFonts w:ascii="宋体" w:hAnsi="宋体" w:eastAsia="宋体" w:cs="Times New Roman"/>
                <w:color w:val="auto"/>
              </w:rPr>
            </w:pPr>
            <w:r>
              <w:rPr>
                <w:rFonts w:ascii="宋体" w:hAnsi="宋体" w:eastAsia="宋体" w:cs="Times New Roman"/>
                <w:color w:val="auto"/>
              </w:rPr>
              <w:t>4.2</w:t>
            </w:r>
          </w:p>
        </w:tc>
        <w:tc>
          <w:tcPr>
            <w:tcW w:w="670" w:type="dxa"/>
            <w:tcBorders>
              <w:top w:val="single" w:color="auto" w:sz="8" w:space="0"/>
              <w:left w:val="nil"/>
              <w:bottom w:val="single" w:color="auto" w:sz="8" w:space="0"/>
              <w:right w:val="single" w:color="auto" w:sz="8" w:space="0"/>
            </w:tcBorders>
            <w:noWrap/>
            <w:vAlign w:val="center"/>
          </w:tcPr>
          <w:p w14:paraId="5817573A">
            <w:pPr>
              <w:jc w:val="center"/>
              <w:rPr>
                <w:rFonts w:ascii="宋体" w:hAnsi="宋体" w:eastAsia="宋体" w:cs="Times New Roman"/>
                <w:color w:val="auto"/>
              </w:rPr>
            </w:pPr>
            <w:r>
              <w:rPr>
                <w:rFonts w:ascii="宋体" w:hAnsi="宋体" w:eastAsia="宋体" w:cs="Times New Roman"/>
                <w:color w:val="auto"/>
              </w:rPr>
              <w:t>3.8</w:t>
            </w:r>
          </w:p>
        </w:tc>
        <w:tc>
          <w:tcPr>
            <w:tcW w:w="670" w:type="dxa"/>
            <w:tcBorders>
              <w:top w:val="single" w:color="auto" w:sz="8" w:space="0"/>
              <w:left w:val="nil"/>
              <w:bottom w:val="single" w:color="auto" w:sz="8" w:space="0"/>
              <w:right w:val="single" w:color="auto" w:sz="8" w:space="0"/>
            </w:tcBorders>
            <w:noWrap/>
            <w:vAlign w:val="center"/>
          </w:tcPr>
          <w:p w14:paraId="127A3D5D">
            <w:pPr>
              <w:jc w:val="center"/>
              <w:rPr>
                <w:rFonts w:ascii="宋体" w:hAnsi="宋体" w:eastAsia="宋体" w:cs="Times New Roman"/>
                <w:color w:val="auto"/>
              </w:rPr>
            </w:pPr>
            <w:r>
              <w:rPr>
                <w:rFonts w:ascii="宋体" w:hAnsi="宋体" w:eastAsia="宋体" w:cs="Times New Roman"/>
                <w:color w:val="auto"/>
              </w:rPr>
              <w:t>3.0</w:t>
            </w:r>
          </w:p>
        </w:tc>
        <w:tc>
          <w:tcPr>
            <w:tcW w:w="670" w:type="dxa"/>
            <w:tcBorders>
              <w:top w:val="single" w:color="auto" w:sz="8" w:space="0"/>
              <w:left w:val="nil"/>
              <w:bottom w:val="single" w:color="auto" w:sz="8" w:space="0"/>
              <w:right w:val="single" w:color="auto" w:sz="8" w:space="0"/>
            </w:tcBorders>
            <w:noWrap/>
            <w:vAlign w:val="center"/>
          </w:tcPr>
          <w:p w14:paraId="7690E4D6">
            <w:pPr>
              <w:jc w:val="center"/>
              <w:rPr>
                <w:rFonts w:ascii="宋体" w:hAnsi="宋体" w:eastAsia="宋体" w:cs="Times New Roman"/>
                <w:color w:val="auto"/>
              </w:rPr>
            </w:pPr>
            <w:r>
              <w:rPr>
                <w:rFonts w:ascii="宋体" w:hAnsi="宋体" w:eastAsia="宋体" w:cs="Times New Roman"/>
                <w:color w:val="auto"/>
              </w:rPr>
              <w:t>2.7</w:t>
            </w:r>
          </w:p>
        </w:tc>
        <w:tc>
          <w:tcPr>
            <w:tcW w:w="670" w:type="dxa"/>
            <w:tcBorders>
              <w:top w:val="single" w:color="auto" w:sz="8" w:space="0"/>
              <w:left w:val="nil"/>
              <w:bottom w:val="single" w:color="auto" w:sz="8" w:space="0"/>
              <w:right w:val="single" w:color="auto" w:sz="8" w:space="0"/>
            </w:tcBorders>
            <w:noWrap/>
            <w:vAlign w:val="center"/>
          </w:tcPr>
          <w:p w14:paraId="2FA7CD98">
            <w:pPr>
              <w:jc w:val="center"/>
              <w:rPr>
                <w:rFonts w:ascii="宋体" w:hAnsi="宋体" w:eastAsia="宋体" w:cs="Times New Roman"/>
                <w:color w:val="auto"/>
              </w:rPr>
            </w:pPr>
            <w:r>
              <w:rPr>
                <w:rFonts w:ascii="宋体" w:hAnsi="宋体" w:eastAsia="宋体" w:cs="Times New Roman"/>
                <w:color w:val="auto"/>
              </w:rPr>
              <w:t>2.6</w:t>
            </w:r>
          </w:p>
        </w:tc>
        <w:tc>
          <w:tcPr>
            <w:tcW w:w="670" w:type="dxa"/>
            <w:tcBorders>
              <w:top w:val="single" w:color="auto" w:sz="8" w:space="0"/>
              <w:left w:val="nil"/>
              <w:bottom w:val="single" w:color="auto" w:sz="8" w:space="0"/>
              <w:right w:val="single" w:color="auto" w:sz="8" w:space="0"/>
            </w:tcBorders>
            <w:noWrap/>
            <w:vAlign w:val="center"/>
          </w:tcPr>
          <w:p w14:paraId="538710C4">
            <w:pPr>
              <w:jc w:val="center"/>
              <w:rPr>
                <w:rFonts w:ascii="宋体" w:hAnsi="宋体" w:eastAsia="宋体" w:cs="Times New Roman"/>
                <w:color w:val="auto"/>
              </w:rPr>
            </w:pPr>
            <w:r>
              <w:rPr>
                <w:rFonts w:ascii="宋体" w:hAnsi="宋体" w:eastAsia="宋体" w:cs="Times New Roman"/>
                <w:color w:val="auto"/>
              </w:rPr>
              <w:t>2.8</w:t>
            </w:r>
          </w:p>
        </w:tc>
        <w:tc>
          <w:tcPr>
            <w:tcW w:w="670" w:type="dxa"/>
            <w:tcBorders>
              <w:top w:val="single" w:color="auto" w:sz="8" w:space="0"/>
              <w:left w:val="nil"/>
              <w:bottom w:val="single" w:color="auto" w:sz="8" w:space="0"/>
              <w:right w:val="single" w:color="auto" w:sz="8" w:space="0"/>
            </w:tcBorders>
            <w:noWrap/>
            <w:vAlign w:val="center"/>
          </w:tcPr>
          <w:p w14:paraId="7F9B1327">
            <w:pPr>
              <w:jc w:val="center"/>
              <w:rPr>
                <w:rFonts w:ascii="宋体" w:hAnsi="宋体" w:eastAsia="宋体" w:cs="Times New Roman"/>
                <w:color w:val="auto"/>
              </w:rPr>
            </w:pPr>
            <w:r>
              <w:rPr>
                <w:rFonts w:ascii="宋体" w:hAnsi="宋体" w:eastAsia="宋体" w:cs="Times New Roman"/>
                <w:color w:val="auto"/>
              </w:rPr>
              <w:t>2.8</w:t>
            </w:r>
          </w:p>
        </w:tc>
        <w:tc>
          <w:tcPr>
            <w:tcW w:w="670" w:type="dxa"/>
            <w:tcBorders>
              <w:top w:val="single" w:color="auto" w:sz="8" w:space="0"/>
              <w:left w:val="nil"/>
              <w:bottom w:val="single" w:color="auto" w:sz="8" w:space="0"/>
              <w:right w:val="single" w:color="auto" w:sz="8" w:space="0"/>
            </w:tcBorders>
            <w:noWrap/>
            <w:vAlign w:val="center"/>
          </w:tcPr>
          <w:p w14:paraId="7B3ACB35">
            <w:pPr>
              <w:jc w:val="center"/>
              <w:rPr>
                <w:rFonts w:ascii="宋体" w:hAnsi="宋体" w:eastAsia="宋体" w:cs="Times New Roman"/>
                <w:color w:val="auto"/>
              </w:rPr>
            </w:pPr>
            <w:r>
              <w:rPr>
                <w:rFonts w:ascii="宋体" w:hAnsi="宋体" w:eastAsia="宋体" w:cs="Times New Roman"/>
                <w:color w:val="auto"/>
              </w:rPr>
              <w:t>2.8</w:t>
            </w:r>
          </w:p>
        </w:tc>
        <w:tc>
          <w:tcPr>
            <w:tcW w:w="670" w:type="dxa"/>
            <w:tcBorders>
              <w:top w:val="single" w:color="auto" w:sz="8" w:space="0"/>
              <w:left w:val="nil"/>
              <w:bottom w:val="single" w:color="auto" w:sz="8" w:space="0"/>
              <w:right w:val="single" w:color="auto" w:sz="8" w:space="0"/>
            </w:tcBorders>
            <w:noWrap/>
            <w:vAlign w:val="center"/>
          </w:tcPr>
          <w:p w14:paraId="19929CD4">
            <w:pPr>
              <w:jc w:val="center"/>
              <w:rPr>
                <w:rFonts w:ascii="宋体" w:hAnsi="宋体" w:eastAsia="宋体" w:cs="Times New Roman"/>
                <w:color w:val="auto"/>
              </w:rPr>
            </w:pPr>
            <w:r>
              <w:rPr>
                <w:rFonts w:ascii="宋体" w:hAnsi="宋体" w:eastAsia="宋体" w:cs="Times New Roman"/>
                <w:color w:val="auto"/>
              </w:rPr>
              <w:t>2.9</w:t>
            </w:r>
          </w:p>
        </w:tc>
      </w:tr>
      <w:tr w14:paraId="0A4BABBF">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noWrap/>
            <w:vAlign w:val="center"/>
          </w:tcPr>
          <w:p w14:paraId="4A84FA41">
            <w:pPr>
              <w:jc w:val="center"/>
              <w:rPr>
                <w:rFonts w:ascii="宋体" w:hAnsi="宋体" w:eastAsia="宋体" w:cs="Times New Roman"/>
                <w:color w:val="auto"/>
              </w:rPr>
            </w:pPr>
            <w:r>
              <w:rPr>
                <w:rFonts w:ascii="宋体" w:hAnsi="宋体" w:eastAsia="宋体" w:cs="Times New Roman"/>
                <w:color w:val="auto"/>
              </w:rPr>
              <w:t>夏季</w:t>
            </w:r>
          </w:p>
        </w:tc>
        <w:tc>
          <w:tcPr>
            <w:tcW w:w="670" w:type="dxa"/>
            <w:tcBorders>
              <w:top w:val="single" w:color="auto" w:sz="8" w:space="0"/>
              <w:left w:val="nil"/>
              <w:bottom w:val="single" w:color="auto" w:sz="8" w:space="0"/>
              <w:right w:val="single" w:color="auto" w:sz="8" w:space="0"/>
            </w:tcBorders>
            <w:noWrap/>
            <w:vAlign w:val="center"/>
          </w:tcPr>
          <w:p w14:paraId="6A816AA6">
            <w:pPr>
              <w:jc w:val="center"/>
              <w:rPr>
                <w:rFonts w:ascii="宋体" w:hAnsi="宋体" w:eastAsia="宋体" w:cs="Times New Roman"/>
                <w:color w:val="auto"/>
              </w:rPr>
            </w:pPr>
            <w:r>
              <w:rPr>
                <w:rFonts w:ascii="宋体" w:hAnsi="宋体" w:eastAsia="宋体" w:cs="Times New Roman"/>
                <w:color w:val="auto"/>
              </w:rPr>
              <w:t>3.5</w:t>
            </w:r>
          </w:p>
        </w:tc>
        <w:tc>
          <w:tcPr>
            <w:tcW w:w="670" w:type="dxa"/>
            <w:tcBorders>
              <w:top w:val="single" w:color="auto" w:sz="8" w:space="0"/>
              <w:left w:val="nil"/>
              <w:bottom w:val="single" w:color="auto" w:sz="8" w:space="0"/>
              <w:right w:val="single" w:color="auto" w:sz="8" w:space="0"/>
            </w:tcBorders>
            <w:noWrap/>
            <w:vAlign w:val="center"/>
          </w:tcPr>
          <w:p w14:paraId="01E556BF">
            <w:pPr>
              <w:jc w:val="center"/>
              <w:rPr>
                <w:rFonts w:ascii="宋体" w:hAnsi="宋体" w:eastAsia="宋体" w:cs="Times New Roman"/>
                <w:color w:val="auto"/>
              </w:rPr>
            </w:pPr>
            <w:r>
              <w:rPr>
                <w:rFonts w:ascii="宋体" w:hAnsi="宋体" w:eastAsia="宋体" w:cs="Times New Roman"/>
                <w:color w:val="auto"/>
              </w:rPr>
              <w:t>3.4</w:t>
            </w:r>
          </w:p>
        </w:tc>
        <w:tc>
          <w:tcPr>
            <w:tcW w:w="670" w:type="dxa"/>
            <w:tcBorders>
              <w:top w:val="single" w:color="auto" w:sz="8" w:space="0"/>
              <w:left w:val="nil"/>
              <w:bottom w:val="single" w:color="auto" w:sz="8" w:space="0"/>
              <w:right w:val="single" w:color="auto" w:sz="8" w:space="0"/>
            </w:tcBorders>
            <w:noWrap/>
            <w:vAlign w:val="center"/>
          </w:tcPr>
          <w:p w14:paraId="563D9B34">
            <w:pPr>
              <w:jc w:val="center"/>
              <w:rPr>
                <w:rFonts w:ascii="宋体" w:hAnsi="宋体" w:eastAsia="宋体" w:cs="Times New Roman"/>
                <w:color w:val="auto"/>
              </w:rPr>
            </w:pPr>
            <w:r>
              <w:rPr>
                <w:rFonts w:ascii="宋体" w:hAnsi="宋体" w:eastAsia="宋体" w:cs="Times New Roman"/>
                <w:color w:val="auto"/>
              </w:rPr>
              <w:t>3.4</w:t>
            </w:r>
          </w:p>
        </w:tc>
        <w:tc>
          <w:tcPr>
            <w:tcW w:w="670" w:type="dxa"/>
            <w:tcBorders>
              <w:top w:val="single" w:color="auto" w:sz="8" w:space="0"/>
              <w:left w:val="nil"/>
              <w:bottom w:val="single" w:color="auto" w:sz="8" w:space="0"/>
              <w:right w:val="single" w:color="auto" w:sz="8" w:space="0"/>
            </w:tcBorders>
            <w:noWrap/>
            <w:vAlign w:val="center"/>
          </w:tcPr>
          <w:p w14:paraId="1477EE1E">
            <w:pPr>
              <w:jc w:val="center"/>
              <w:rPr>
                <w:rFonts w:ascii="宋体" w:hAnsi="宋体" w:eastAsia="宋体" w:cs="Times New Roman"/>
                <w:color w:val="auto"/>
              </w:rPr>
            </w:pPr>
            <w:r>
              <w:rPr>
                <w:rFonts w:ascii="宋体" w:hAnsi="宋体" w:eastAsia="宋体" w:cs="Times New Roman"/>
                <w:color w:val="auto"/>
              </w:rPr>
              <w:t>3.3</w:t>
            </w:r>
          </w:p>
        </w:tc>
        <w:tc>
          <w:tcPr>
            <w:tcW w:w="670" w:type="dxa"/>
            <w:tcBorders>
              <w:top w:val="single" w:color="auto" w:sz="8" w:space="0"/>
              <w:left w:val="nil"/>
              <w:bottom w:val="single" w:color="auto" w:sz="8" w:space="0"/>
              <w:right w:val="single" w:color="auto" w:sz="8" w:space="0"/>
            </w:tcBorders>
            <w:noWrap/>
            <w:vAlign w:val="center"/>
          </w:tcPr>
          <w:p w14:paraId="57F69F4F">
            <w:pPr>
              <w:jc w:val="center"/>
              <w:rPr>
                <w:rFonts w:ascii="宋体" w:hAnsi="宋体" w:eastAsia="宋体" w:cs="Times New Roman"/>
                <w:color w:val="auto"/>
              </w:rPr>
            </w:pPr>
            <w:r>
              <w:rPr>
                <w:rFonts w:ascii="宋体" w:hAnsi="宋体" w:eastAsia="宋体" w:cs="Times New Roman"/>
                <w:color w:val="auto"/>
              </w:rPr>
              <w:t>3.2</w:t>
            </w:r>
          </w:p>
        </w:tc>
        <w:tc>
          <w:tcPr>
            <w:tcW w:w="670" w:type="dxa"/>
            <w:tcBorders>
              <w:top w:val="single" w:color="auto" w:sz="8" w:space="0"/>
              <w:left w:val="nil"/>
              <w:bottom w:val="single" w:color="auto" w:sz="8" w:space="0"/>
              <w:right w:val="single" w:color="auto" w:sz="8" w:space="0"/>
            </w:tcBorders>
            <w:noWrap/>
            <w:vAlign w:val="center"/>
          </w:tcPr>
          <w:p w14:paraId="2B4A6C32">
            <w:pPr>
              <w:jc w:val="center"/>
              <w:rPr>
                <w:rFonts w:ascii="宋体" w:hAnsi="宋体" w:eastAsia="宋体" w:cs="Times New Roman"/>
                <w:color w:val="auto"/>
              </w:rPr>
            </w:pPr>
            <w:r>
              <w:rPr>
                <w:rFonts w:ascii="宋体" w:hAnsi="宋体" w:eastAsia="宋体" w:cs="Times New Roman"/>
                <w:color w:val="auto"/>
              </w:rPr>
              <w:t>2.9</w:t>
            </w:r>
          </w:p>
        </w:tc>
        <w:tc>
          <w:tcPr>
            <w:tcW w:w="670" w:type="dxa"/>
            <w:tcBorders>
              <w:top w:val="single" w:color="auto" w:sz="8" w:space="0"/>
              <w:left w:val="nil"/>
              <w:bottom w:val="single" w:color="auto" w:sz="8" w:space="0"/>
              <w:right w:val="single" w:color="auto" w:sz="8" w:space="0"/>
            </w:tcBorders>
            <w:noWrap/>
            <w:vAlign w:val="center"/>
          </w:tcPr>
          <w:p w14:paraId="6125937A">
            <w:pPr>
              <w:jc w:val="center"/>
              <w:rPr>
                <w:rFonts w:ascii="宋体" w:hAnsi="宋体" w:eastAsia="宋体" w:cs="Times New Roman"/>
                <w:color w:val="auto"/>
              </w:rPr>
            </w:pPr>
            <w:r>
              <w:rPr>
                <w:rFonts w:ascii="宋体" w:hAnsi="宋体" w:eastAsia="宋体" w:cs="Times New Roman"/>
                <w:color w:val="auto"/>
              </w:rPr>
              <w:t>2.3</w:t>
            </w:r>
          </w:p>
        </w:tc>
        <w:tc>
          <w:tcPr>
            <w:tcW w:w="670" w:type="dxa"/>
            <w:tcBorders>
              <w:top w:val="single" w:color="auto" w:sz="8" w:space="0"/>
              <w:left w:val="nil"/>
              <w:bottom w:val="single" w:color="auto" w:sz="8" w:space="0"/>
              <w:right w:val="single" w:color="auto" w:sz="8" w:space="0"/>
            </w:tcBorders>
            <w:noWrap/>
            <w:vAlign w:val="center"/>
          </w:tcPr>
          <w:p w14:paraId="79979CF0">
            <w:pPr>
              <w:jc w:val="center"/>
              <w:rPr>
                <w:rFonts w:ascii="宋体" w:hAnsi="宋体" w:eastAsia="宋体" w:cs="Times New Roman"/>
                <w:color w:val="auto"/>
              </w:rPr>
            </w:pPr>
            <w:r>
              <w:rPr>
                <w:rFonts w:ascii="宋体" w:hAnsi="宋体" w:eastAsia="宋体" w:cs="Times New Roman"/>
                <w:color w:val="auto"/>
              </w:rPr>
              <w:t>2.1</w:t>
            </w:r>
          </w:p>
        </w:tc>
        <w:tc>
          <w:tcPr>
            <w:tcW w:w="670" w:type="dxa"/>
            <w:tcBorders>
              <w:top w:val="single" w:color="auto" w:sz="8" w:space="0"/>
              <w:left w:val="nil"/>
              <w:bottom w:val="single" w:color="auto" w:sz="8" w:space="0"/>
              <w:right w:val="single" w:color="auto" w:sz="8" w:space="0"/>
            </w:tcBorders>
            <w:noWrap/>
            <w:vAlign w:val="center"/>
          </w:tcPr>
          <w:p w14:paraId="486C996D">
            <w:pPr>
              <w:jc w:val="center"/>
              <w:rPr>
                <w:rFonts w:ascii="宋体" w:hAnsi="宋体" w:eastAsia="宋体" w:cs="Times New Roman"/>
                <w:color w:val="auto"/>
              </w:rPr>
            </w:pPr>
            <w:r>
              <w:rPr>
                <w:rFonts w:ascii="宋体" w:hAnsi="宋体" w:eastAsia="宋体" w:cs="Times New Roman"/>
                <w:color w:val="auto"/>
              </w:rPr>
              <w:t>2.1</w:t>
            </w:r>
          </w:p>
        </w:tc>
        <w:tc>
          <w:tcPr>
            <w:tcW w:w="670" w:type="dxa"/>
            <w:tcBorders>
              <w:top w:val="single" w:color="auto" w:sz="8" w:space="0"/>
              <w:left w:val="nil"/>
              <w:bottom w:val="single" w:color="auto" w:sz="8" w:space="0"/>
              <w:right w:val="single" w:color="auto" w:sz="8" w:space="0"/>
            </w:tcBorders>
            <w:noWrap/>
            <w:vAlign w:val="center"/>
          </w:tcPr>
          <w:p w14:paraId="0946B65B">
            <w:pPr>
              <w:jc w:val="center"/>
              <w:rPr>
                <w:rFonts w:ascii="宋体" w:hAnsi="宋体" w:eastAsia="宋体" w:cs="Times New Roman"/>
                <w:color w:val="auto"/>
              </w:rPr>
            </w:pPr>
            <w:r>
              <w:rPr>
                <w:rFonts w:ascii="宋体" w:hAnsi="宋体" w:eastAsia="宋体" w:cs="Times New Roman"/>
                <w:color w:val="auto"/>
              </w:rPr>
              <w:t>2.1</w:t>
            </w:r>
          </w:p>
        </w:tc>
        <w:tc>
          <w:tcPr>
            <w:tcW w:w="670" w:type="dxa"/>
            <w:tcBorders>
              <w:top w:val="single" w:color="auto" w:sz="8" w:space="0"/>
              <w:left w:val="nil"/>
              <w:bottom w:val="single" w:color="auto" w:sz="8" w:space="0"/>
              <w:right w:val="single" w:color="auto" w:sz="8" w:space="0"/>
            </w:tcBorders>
            <w:noWrap/>
            <w:vAlign w:val="center"/>
          </w:tcPr>
          <w:p w14:paraId="78CE66AB">
            <w:pPr>
              <w:jc w:val="center"/>
              <w:rPr>
                <w:rFonts w:ascii="宋体" w:hAnsi="宋体" w:eastAsia="宋体" w:cs="Times New Roman"/>
                <w:color w:val="auto"/>
              </w:rPr>
            </w:pPr>
            <w:r>
              <w:rPr>
                <w:rFonts w:ascii="宋体" w:hAnsi="宋体" w:eastAsia="宋体" w:cs="Times New Roman"/>
                <w:color w:val="auto"/>
              </w:rPr>
              <w:t>2.1</w:t>
            </w:r>
          </w:p>
        </w:tc>
        <w:tc>
          <w:tcPr>
            <w:tcW w:w="670" w:type="dxa"/>
            <w:tcBorders>
              <w:top w:val="single" w:color="auto" w:sz="8" w:space="0"/>
              <w:left w:val="nil"/>
              <w:bottom w:val="single" w:color="auto" w:sz="8" w:space="0"/>
              <w:right w:val="single" w:color="auto" w:sz="8" w:space="0"/>
            </w:tcBorders>
            <w:noWrap/>
            <w:vAlign w:val="center"/>
          </w:tcPr>
          <w:p w14:paraId="2145B55E">
            <w:pPr>
              <w:jc w:val="center"/>
              <w:rPr>
                <w:rFonts w:ascii="宋体" w:hAnsi="宋体" w:eastAsia="宋体" w:cs="Times New Roman"/>
                <w:color w:val="auto"/>
              </w:rPr>
            </w:pPr>
            <w:r>
              <w:rPr>
                <w:rFonts w:ascii="宋体" w:hAnsi="宋体" w:eastAsia="宋体" w:cs="Times New Roman"/>
                <w:color w:val="auto"/>
              </w:rPr>
              <w:t>2.0</w:t>
            </w:r>
          </w:p>
        </w:tc>
      </w:tr>
      <w:tr w14:paraId="19F03BFF">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noWrap/>
            <w:vAlign w:val="center"/>
          </w:tcPr>
          <w:p w14:paraId="140874A3">
            <w:pPr>
              <w:jc w:val="center"/>
              <w:rPr>
                <w:rFonts w:ascii="宋体" w:hAnsi="宋体" w:eastAsia="宋体" w:cs="Times New Roman"/>
                <w:color w:val="auto"/>
              </w:rPr>
            </w:pPr>
            <w:r>
              <w:rPr>
                <w:rFonts w:ascii="宋体" w:hAnsi="宋体" w:eastAsia="宋体" w:cs="Times New Roman"/>
                <w:color w:val="auto"/>
              </w:rPr>
              <w:t>秋季</w:t>
            </w:r>
          </w:p>
        </w:tc>
        <w:tc>
          <w:tcPr>
            <w:tcW w:w="670" w:type="dxa"/>
            <w:tcBorders>
              <w:top w:val="single" w:color="auto" w:sz="8" w:space="0"/>
              <w:left w:val="nil"/>
              <w:bottom w:val="single" w:color="auto" w:sz="8" w:space="0"/>
              <w:right w:val="single" w:color="auto" w:sz="8" w:space="0"/>
            </w:tcBorders>
            <w:noWrap/>
            <w:vAlign w:val="center"/>
          </w:tcPr>
          <w:p w14:paraId="236F582D">
            <w:pPr>
              <w:jc w:val="center"/>
              <w:rPr>
                <w:rFonts w:ascii="宋体" w:hAnsi="宋体" w:eastAsia="宋体" w:cs="Times New Roman"/>
                <w:color w:val="auto"/>
              </w:rPr>
            </w:pPr>
            <w:r>
              <w:rPr>
                <w:rFonts w:ascii="宋体" w:hAnsi="宋体" w:eastAsia="宋体" w:cs="Times New Roman"/>
                <w:color w:val="auto"/>
              </w:rPr>
              <w:t>4.1</w:t>
            </w:r>
          </w:p>
        </w:tc>
        <w:tc>
          <w:tcPr>
            <w:tcW w:w="670" w:type="dxa"/>
            <w:tcBorders>
              <w:top w:val="single" w:color="auto" w:sz="8" w:space="0"/>
              <w:left w:val="nil"/>
              <w:bottom w:val="single" w:color="auto" w:sz="8" w:space="0"/>
              <w:right w:val="single" w:color="auto" w:sz="8" w:space="0"/>
            </w:tcBorders>
            <w:noWrap/>
            <w:vAlign w:val="center"/>
          </w:tcPr>
          <w:p w14:paraId="01966A5A">
            <w:pPr>
              <w:jc w:val="center"/>
              <w:rPr>
                <w:rFonts w:ascii="宋体" w:hAnsi="宋体" w:eastAsia="宋体" w:cs="Times New Roman"/>
                <w:color w:val="auto"/>
              </w:rPr>
            </w:pPr>
            <w:r>
              <w:rPr>
                <w:rFonts w:ascii="宋体" w:hAnsi="宋体" w:eastAsia="宋体" w:cs="Times New Roman"/>
                <w:color w:val="auto"/>
              </w:rPr>
              <w:t>4.1</w:t>
            </w:r>
          </w:p>
        </w:tc>
        <w:tc>
          <w:tcPr>
            <w:tcW w:w="670" w:type="dxa"/>
            <w:tcBorders>
              <w:top w:val="single" w:color="auto" w:sz="8" w:space="0"/>
              <w:left w:val="nil"/>
              <w:bottom w:val="single" w:color="auto" w:sz="8" w:space="0"/>
              <w:right w:val="single" w:color="auto" w:sz="8" w:space="0"/>
            </w:tcBorders>
            <w:noWrap/>
            <w:vAlign w:val="center"/>
          </w:tcPr>
          <w:p w14:paraId="027AB46C">
            <w:pPr>
              <w:jc w:val="center"/>
              <w:rPr>
                <w:rFonts w:ascii="宋体" w:hAnsi="宋体" w:eastAsia="宋体" w:cs="Times New Roman"/>
                <w:color w:val="auto"/>
              </w:rPr>
            </w:pPr>
            <w:r>
              <w:rPr>
                <w:rFonts w:ascii="宋体" w:hAnsi="宋体" w:eastAsia="宋体" w:cs="Times New Roman"/>
                <w:color w:val="auto"/>
              </w:rPr>
              <w:t>3.8</w:t>
            </w:r>
          </w:p>
        </w:tc>
        <w:tc>
          <w:tcPr>
            <w:tcW w:w="670" w:type="dxa"/>
            <w:tcBorders>
              <w:top w:val="single" w:color="auto" w:sz="8" w:space="0"/>
              <w:left w:val="nil"/>
              <w:bottom w:val="single" w:color="auto" w:sz="8" w:space="0"/>
              <w:right w:val="single" w:color="auto" w:sz="8" w:space="0"/>
            </w:tcBorders>
            <w:noWrap/>
            <w:vAlign w:val="center"/>
          </w:tcPr>
          <w:p w14:paraId="38684FC7">
            <w:pPr>
              <w:jc w:val="center"/>
              <w:rPr>
                <w:rFonts w:ascii="宋体" w:hAnsi="宋体" w:eastAsia="宋体" w:cs="Times New Roman"/>
                <w:color w:val="auto"/>
              </w:rPr>
            </w:pPr>
            <w:r>
              <w:rPr>
                <w:rFonts w:ascii="宋体" w:hAnsi="宋体" w:eastAsia="宋体" w:cs="Times New Roman"/>
                <w:color w:val="auto"/>
              </w:rPr>
              <w:t>3.2</w:t>
            </w:r>
          </w:p>
        </w:tc>
        <w:tc>
          <w:tcPr>
            <w:tcW w:w="670" w:type="dxa"/>
            <w:tcBorders>
              <w:top w:val="single" w:color="auto" w:sz="8" w:space="0"/>
              <w:left w:val="nil"/>
              <w:bottom w:val="single" w:color="auto" w:sz="8" w:space="0"/>
              <w:right w:val="single" w:color="auto" w:sz="8" w:space="0"/>
            </w:tcBorders>
            <w:noWrap/>
            <w:vAlign w:val="center"/>
          </w:tcPr>
          <w:p w14:paraId="14C961A5">
            <w:pPr>
              <w:jc w:val="center"/>
              <w:rPr>
                <w:rFonts w:ascii="宋体" w:hAnsi="宋体" w:eastAsia="宋体" w:cs="Times New Roman"/>
                <w:color w:val="auto"/>
              </w:rPr>
            </w:pPr>
            <w:r>
              <w:rPr>
                <w:rFonts w:ascii="宋体" w:hAnsi="宋体" w:eastAsia="宋体" w:cs="Times New Roman"/>
                <w:color w:val="auto"/>
              </w:rPr>
              <w:t>2.6</w:t>
            </w:r>
          </w:p>
        </w:tc>
        <w:tc>
          <w:tcPr>
            <w:tcW w:w="670" w:type="dxa"/>
            <w:tcBorders>
              <w:top w:val="single" w:color="auto" w:sz="8" w:space="0"/>
              <w:left w:val="nil"/>
              <w:bottom w:val="single" w:color="auto" w:sz="8" w:space="0"/>
              <w:right w:val="single" w:color="auto" w:sz="8" w:space="0"/>
            </w:tcBorders>
            <w:noWrap/>
            <w:vAlign w:val="center"/>
          </w:tcPr>
          <w:p w14:paraId="0CB3A1BB">
            <w:pPr>
              <w:jc w:val="center"/>
              <w:rPr>
                <w:rFonts w:ascii="宋体" w:hAnsi="宋体" w:eastAsia="宋体" w:cs="Times New Roman"/>
                <w:color w:val="auto"/>
              </w:rPr>
            </w:pPr>
            <w:r>
              <w:rPr>
                <w:rFonts w:ascii="宋体" w:hAnsi="宋体" w:eastAsia="宋体" w:cs="Times New Roman"/>
                <w:color w:val="auto"/>
              </w:rPr>
              <w:t>2.4</w:t>
            </w:r>
          </w:p>
        </w:tc>
        <w:tc>
          <w:tcPr>
            <w:tcW w:w="670" w:type="dxa"/>
            <w:tcBorders>
              <w:top w:val="single" w:color="auto" w:sz="8" w:space="0"/>
              <w:left w:val="nil"/>
              <w:bottom w:val="single" w:color="auto" w:sz="8" w:space="0"/>
              <w:right w:val="single" w:color="auto" w:sz="8" w:space="0"/>
            </w:tcBorders>
            <w:noWrap/>
            <w:vAlign w:val="center"/>
          </w:tcPr>
          <w:p w14:paraId="62502B8B">
            <w:pPr>
              <w:jc w:val="center"/>
              <w:rPr>
                <w:rFonts w:ascii="宋体" w:hAnsi="宋体" w:eastAsia="宋体" w:cs="Times New Roman"/>
                <w:color w:val="auto"/>
              </w:rPr>
            </w:pPr>
            <w:r>
              <w:rPr>
                <w:rFonts w:ascii="宋体" w:hAnsi="宋体" w:eastAsia="宋体" w:cs="Times New Roman"/>
                <w:color w:val="auto"/>
              </w:rPr>
              <w:t>2.3</w:t>
            </w:r>
          </w:p>
        </w:tc>
        <w:tc>
          <w:tcPr>
            <w:tcW w:w="670" w:type="dxa"/>
            <w:tcBorders>
              <w:top w:val="single" w:color="auto" w:sz="8" w:space="0"/>
              <w:left w:val="nil"/>
              <w:bottom w:val="single" w:color="auto" w:sz="8" w:space="0"/>
              <w:right w:val="single" w:color="auto" w:sz="8" w:space="0"/>
            </w:tcBorders>
            <w:noWrap/>
            <w:vAlign w:val="center"/>
          </w:tcPr>
          <w:p w14:paraId="38A35E92">
            <w:pPr>
              <w:jc w:val="center"/>
              <w:rPr>
                <w:rFonts w:ascii="宋体" w:hAnsi="宋体" w:eastAsia="宋体" w:cs="Times New Roman"/>
                <w:color w:val="auto"/>
              </w:rPr>
            </w:pPr>
            <w:r>
              <w:rPr>
                <w:rFonts w:ascii="宋体" w:hAnsi="宋体" w:eastAsia="宋体" w:cs="Times New Roman"/>
                <w:color w:val="auto"/>
              </w:rPr>
              <w:t>2.4</w:t>
            </w:r>
          </w:p>
        </w:tc>
        <w:tc>
          <w:tcPr>
            <w:tcW w:w="670" w:type="dxa"/>
            <w:tcBorders>
              <w:top w:val="single" w:color="auto" w:sz="8" w:space="0"/>
              <w:left w:val="nil"/>
              <w:bottom w:val="single" w:color="auto" w:sz="8" w:space="0"/>
              <w:right w:val="single" w:color="auto" w:sz="8" w:space="0"/>
            </w:tcBorders>
            <w:noWrap/>
            <w:vAlign w:val="center"/>
          </w:tcPr>
          <w:p w14:paraId="6E6FD02B">
            <w:pPr>
              <w:jc w:val="center"/>
              <w:rPr>
                <w:rFonts w:ascii="宋体" w:hAnsi="宋体" w:eastAsia="宋体" w:cs="Times New Roman"/>
                <w:color w:val="auto"/>
              </w:rPr>
            </w:pPr>
            <w:r>
              <w:rPr>
                <w:rFonts w:ascii="宋体" w:hAnsi="宋体" w:eastAsia="宋体" w:cs="Times New Roman"/>
                <w:color w:val="auto"/>
              </w:rPr>
              <w:t>2.4</w:t>
            </w:r>
          </w:p>
        </w:tc>
        <w:tc>
          <w:tcPr>
            <w:tcW w:w="670" w:type="dxa"/>
            <w:tcBorders>
              <w:top w:val="single" w:color="auto" w:sz="8" w:space="0"/>
              <w:left w:val="nil"/>
              <w:bottom w:val="single" w:color="auto" w:sz="8" w:space="0"/>
              <w:right w:val="single" w:color="auto" w:sz="8" w:space="0"/>
            </w:tcBorders>
            <w:noWrap/>
            <w:vAlign w:val="center"/>
          </w:tcPr>
          <w:p w14:paraId="5291E640">
            <w:pPr>
              <w:jc w:val="center"/>
              <w:rPr>
                <w:rFonts w:ascii="宋体" w:hAnsi="宋体" w:eastAsia="宋体" w:cs="Times New Roman"/>
                <w:color w:val="auto"/>
              </w:rPr>
            </w:pPr>
            <w:r>
              <w:rPr>
                <w:rFonts w:ascii="宋体" w:hAnsi="宋体" w:eastAsia="宋体" w:cs="Times New Roman"/>
                <w:color w:val="auto"/>
              </w:rPr>
              <w:t>2.4</w:t>
            </w:r>
          </w:p>
        </w:tc>
        <w:tc>
          <w:tcPr>
            <w:tcW w:w="670" w:type="dxa"/>
            <w:tcBorders>
              <w:top w:val="single" w:color="auto" w:sz="8" w:space="0"/>
              <w:left w:val="nil"/>
              <w:bottom w:val="single" w:color="auto" w:sz="8" w:space="0"/>
              <w:right w:val="single" w:color="auto" w:sz="8" w:space="0"/>
            </w:tcBorders>
            <w:noWrap/>
            <w:vAlign w:val="center"/>
          </w:tcPr>
          <w:p w14:paraId="423AFCFE">
            <w:pPr>
              <w:jc w:val="center"/>
              <w:rPr>
                <w:rFonts w:ascii="宋体" w:hAnsi="宋体" w:eastAsia="宋体" w:cs="Times New Roman"/>
                <w:color w:val="auto"/>
              </w:rPr>
            </w:pPr>
            <w:r>
              <w:rPr>
                <w:rFonts w:ascii="宋体" w:hAnsi="宋体" w:eastAsia="宋体" w:cs="Times New Roman"/>
                <w:color w:val="auto"/>
              </w:rPr>
              <w:t>2.5</w:t>
            </w:r>
          </w:p>
        </w:tc>
        <w:tc>
          <w:tcPr>
            <w:tcW w:w="670" w:type="dxa"/>
            <w:tcBorders>
              <w:top w:val="single" w:color="auto" w:sz="8" w:space="0"/>
              <w:left w:val="nil"/>
              <w:bottom w:val="single" w:color="auto" w:sz="8" w:space="0"/>
              <w:right w:val="single" w:color="auto" w:sz="8" w:space="0"/>
            </w:tcBorders>
            <w:noWrap/>
            <w:vAlign w:val="center"/>
          </w:tcPr>
          <w:p w14:paraId="6C086AA5">
            <w:pPr>
              <w:jc w:val="center"/>
              <w:rPr>
                <w:rFonts w:ascii="宋体" w:hAnsi="宋体" w:eastAsia="宋体" w:cs="Times New Roman"/>
                <w:color w:val="auto"/>
              </w:rPr>
            </w:pPr>
            <w:r>
              <w:rPr>
                <w:rFonts w:ascii="宋体" w:hAnsi="宋体" w:eastAsia="宋体" w:cs="Times New Roman"/>
                <w:color w:val="auto"/>
              </w:rPr>
              <w:t>2.5</w:t>
            </w:r>
          </w:p>
        </w:tc>
      </w:tr>
      <w:tr w14:paraId="71241B8B">
        <w:tblPrEx>
          <w:tblCellMar>
            <w:top w:w="0" w:type="dxa"/>
            <w:left w:w="108" w:type="dxa"/>
            <w:bottom w:w="0" w:type="dxa"/>
            <w:right w:w="108" w:type="dxa"/>
          </w:tblCellMar>
        </w:tblPrEx>
        <w:trPr>
          <w:trHeight w:val="222" w:hRule="atLeast"/>
        </w:trPr>
        <w:tc>
          <w:tcPr>
            <w:tcW w:w="1037" w:type="dxa"/>
            <w:tcBorders>
              <w:top w:val="single" w:color="auto" w:sz="8" w:space="0"/>
              <w:left w:val="single" w:color="auto" w:sz="8" w:space="0"/>
              <w:bottom w:val="single" w:color="auto" w:sz="8" w:space="0"/>
              <w:right w:val="single" w:color="auto" w:sz="8" w:space="0"/>
            </w:tcBorders>
            <w:noWrap/>
            <w:vAlign w:val="center"/>
          </w:tcPr>
          <w:p w14:paraId="303A6973">
            <w:pPr>
              <w:jc w:val="center"/>
              <w:rPr>
                <w:rFonts w:ascii="宋体" w:hAnsi="宋体" w:eastAsia="宋体" w:cs="Times New Roman"/>
                <w:color w:val="auto"/>
              </w:rPr>
            </w:pPr>
            <w:r>
              <w:rPr>
                <w:rFonts w:ascii="宋体" w:hAnsi="宋体" w:eastAsia="宋体" w:cs="Times New Roman"/>
                <w:color w:val="auto"/>
              </w:rPr>
              <w:t>冬季</w:t>
            </w:r>
          </w:p>
        </w:tc>
        <w:tc>
          <w:tcPr>
            <w:tcW w:w="670" w:type="dxa"/>
            <w:tcBorders>
              <w:top w:val="single" w:color="auto" w:sz="8" w:space="0"/>
              <w:left w:val="nil"/>
              <w:bottom w:val="single" w:color="auto" w:sz="8" w:space="0"/>
              <w:right w:val="single" w:color="auto" w:sz="8" w:space="0"/>
            </w:tcBorders>
            <w:noWrap/>
            <w:vAlign w:val="center"/>
          </w:tcPr>
          <w:p w14:paraId="4BEC2303">
            <w:pPr>
              <w:jc w:val="center"/>
              <w:rPr>
                <w:rFonts w:ascii="宋体" w:hAnsi="宋体" w:eastAsia="宋体" w:cs="Times New Roman"/>
                <w:color w:val="auto"/>
              </w:rPr>
            </w:pPr>
            <w:r>
              <w:rPr>
                <w:rFonts w:ascii="宋体" w:hAnsi="宋体" w:eastAsia="宋体" w:cs="Times New Roman"/>
                <w:color w:val="auto"/>
              </w:rPr>
              <w:t>3.4</w:t>
            </w:r>
          </w:p>
        </w:tc>
        <w:tc>
          <w:tcPr>
            <w:tcW w:w="670" w:type="dxa"/>
            <w:tcBorders>
              <w:top w:val="single" w:color="auto" w:sz="8" w:space="0"/>
              <w:left w:val="nil"/>
              <w:bottom w:val="single" w:color="auto" w:sz="8" w:space="0"/>
              <w:right w:val="single" w:color="auto" w:sz="8" w:space="0"/>
            </w:tcBorders>
            <w:noWrap/>
            <w:vAlign w:val="center"/>
          </w:tcPr>
          <w:p w14:paraId="3D0819CF">
            <w:pPr>
              <w:jc w:val="center"/>
              <w:rPr>
                <w:rFonts w:ascii="宋体" w:hAnsi="宋体" w:eastAsia="宋体" w:cs="Times New Roman"/>
                <w:color w:val="auto"/>
              </w:rPr>
            </w:pPr>
            <w:r>
              <w:rPr>
                <w:rFonts w:ascii="宋体" w:hAnsi="宋体" w:eastAsia="宋体" w:cs="Times New Roman"/>
                <w:color w:val="auto"/>
              </w:rPr>
              <w:t>3.3</w:t>
            </w:r>
          </w:p>
        </w:tc>
        <w:tc>
          <w:tcPr>
            <w:tcW w:w="670" w:type="dxa"/>
            <w:tcBorders>
              <w:top w:val="single" w:color="auto" w:sz="8" w:space="0"/>
              <w:left w:val="nil"/>
              <w:bottom w:val="single" w:color="auto" w:sz="8" w:space="0"/>
              <w:right w:val="single" w:color="auto" w:sz="8" w:space="0"/>
            </w:tcBorders>
            <w:noWrap/>
            <w:vAlign w:val="center"/>
          </w:tcPr>
          <w:p w14:paraId="7AD2ED5E">
            <w:pPr>
              <w:jc w:val="center"/>
              <w:rPr>
                <w:rFonts w:ascii="宋体" w:hAnsi="宋体" w:eastAsia="宋体" w:cs="Times New Roman"/>
                <w:color w:val="auto"/>
              </w:rPr>
            </w:pPr>
            <w:r>
              <w:rPr>
                <w:rFonts w:ascii="宋体" w:hAnsi="宋体" w:eastAsia="宋体" w:cs="Times New Roman"/>
                <w:color w:val="auto"/>
              </w:rPr>
              <w:t>3.0</w:t>
            </w:r>
          </w:p>
        </w:tc>
        <w:tc>
          <w:tcPr>
            <w:tcW w:w="670" w:type="dxa"/>
            <w:tcBorders>
              <w:top w:val="single" w:color="auto" w:sz="8" w:space="0"/>
              <w:left w:val="nil"/>
              <w:bottom w:val="single" w:color="auto" w:sz="8" w:space="0"/>
              <w:right w:val="single" w:color="auto" w:sz="8" w:space="0"/>
            </w:tcBorders>
            <w:noWrap/>
            <w:vAlign w:val="center"/>
          </w:tcPr>
          <w:p w14:paraId="08E920D1">
            <w:pPr>
              <w:jc w:val="center"/>
              <w:rPr>
                <w:rFonts w:ascii="宋体" w:hAnsi="宋体" w:eastAsia="宋体" w:cs="Times New Roman"/>
                <w:color w:val="auto"/>
              </w:rPr>
            </w:pPr>
            <w:r>
              <w:rPr>
                <w:rFonts w:ascii="宋体" w:hAnsi="宋体" w:eastAsia="宋体" w:cs="Times New Roman"/>
                <w:color w:val="auto"/>
              </w:rPr>
              <w:t>2.5</w:t>
            </w:r>
          </w:p>
        </w:tc>
        <w:tc>
          <w:tcPr>
            <w:tcW w:w="670" w:type="dxa"/>
            <w:tcBorders>
              <w:top w:val="single" w:color="auto" w:sz="8" w:space="0"/>
              <w:left w:val="nil"/>
              <w:bottom w:val="single" w:color="auto" w:sz="8" w:space="0"/>
              <w:right w:val="single" w:color="auto" w:sz="8" w:space="0"/>
            </w:tcBorders>
            <w:noWrap/>
            <w:vAlign w:val="center"/>
          </w:tcPr>
          <w:p w14:paraId="729CBA87">
            <w:pPr>
              <w:jc w:val="center"/>
              <w:rPr>
                <w:rFonts w:ascii="宋体" w:hAnsi="宋体" w:eastAsia="宋体" w:cs="Times New Roman"/>
                <w:color w:val="auto"/>
              </w:rPr>
            </w:pPr>
            <w:r>
              <w:rPr>
                <w:rFonts w:ascii="宋体" w:hAnsi="宋体" w:eastAsia="宋体" w:cs="Times New Roman"/>
                <w:color w:val="auto"/>
              </w:rPr>
              <w:t>2.1</w:t>
            </w:r>
          </w:p>
        </w:tc>
        <w:tc>
          <w:tcPr>
            <w:tcW w:w="670" w:type="dxa"/>
            <w:tcBorders>
              <w:top w:val="single" w:color="auto" w:sz="8" w:space="0"/>
              <w:left w:val="nil"/>
              <w:bottom w:val="single" w:color="auto" w:sz="8" w:space="0"/>
              <w:right w:val="single" w:color="auto" w:sz="8" w:space="0"/>
            </w:tcBorders>
            <w:noWrap/>
            <w:vAlign w:val="center"/>
          </w:tcPr>
          <w:p w14:paraId="01ACCDA0">
            <w:pPr>
              <w:jc w:val="center"/>
              <w:rPr>
                <w:rFonts w:ascii="宋体" w:hAnsi="宋体" w:eastAsia="宋体" w:cs="Times New Roman"/>
                <w:color w:val="auto"/>
              </w:rPr>
            </w:pPr>
            <w:r>
              <w:rPr>
                <w:rFonts w:ascii="宋体" w:hAnsi="宋体" w:eastAsia="宋体" w:cs="Times New Roman"/>
                <w:color w:val="auto"/>
              </w:rPr>
              <w:t>2.0</w:t>
            </w:r>
          </w:p>
        </w:tc>
        <w:tc>
          <w:tcPr>
            <w:tcW w:w="670" w:type="dxa"/>
            <w:tcBorders>
              <w:top w:val="single" w:color="auto" w:sz="8" w:space="0"/>
              <w:left w:val="nil"/>
              <w:bottom w:val="single" w:color="auto" w:sz="8" w:space="0"/>
              <w:right w:val="single" w:color="auto" w:sz="8" w:space="0"/>
            </w:tcBorders>
            <w:noWrap/>
            <w:vAlign w:val="center"/>
          </w:tcPr>
          <w:p w14:paraId="5D591AE9">
            <w:pPr>
              <w:jc w:val="center"/>
              <w:rPr>
                <w:rFonts w:ascii="宋体" w:hAnsi="宋体" w:eastAsia="宋体" w:cs="Times New Roman"/>
                <w:color w:val="auto"/>
              </w:rPr>
            </w:pPr>
            <w:r>
              <w:rPr>
                <w:rFonts w:ascii="宋体" w:hAnsi="宋体" w:eastAsia="宋体" w:cs="Times New Roman"/>
                <w:color w:val="auto"/>
              </w:rPr>
              <w:t>2.0</w:t>
            </w:r>
          </w:p>
        </w:tc>
        <w:tc>
          <w:tcPr>
            <w:tcW w:w="670" w:type="dxa"/>
            <w:tcBorders>
              <w:top w:val="single" w:color="auto" w:sz="8" w:space="0"/>
              <w:left w:val="nil"/>
              <w:bottom w:val="single" w:color="auto" w:sz="8" w:space="0"/>
              <w:right w:val="single" w:color="auto" w:sz="8" w:space="0"/>
            </w:tcBorders>
            <w:noWrap/>
            <w:vAlign w:val="center"/>
          </w:tcPr>
          <w:p w14:paraId="3E6A47CB">
            <w:pPr>
              <w:jc w:val="center"/>
              <w:rPr>
                <w:rFonts w:ascii="宋体" w:hAnsi="宋体" w:eastAsia="宋体" w:cs="Times New Roman"/>
                <w:color w:val="auto"/>
              </w:rPr>
            </w:pPr>
            <w:r>
              <w:rPr>
                <w:rFonts w:ascii="宋体" w:hAnsi="宋体" w:eastAsia="宋体" w:cs="Times New Roman"/>
                <w:color w:val="auto"/>
              </w:rPr>
              <w:t>2.0</w:t>
            </w:r>
          </w:p>
        </w:tc>
        <w:tc>
          <w:tcPr>
            <w:tcW w:w="670" w:type="dxa"/>
            <w:tcBorders>
              <w:top w:val="single" w:color="auto" w:sz="8" w:space="0"/>
              <w:left w:val="nil"/>
              <w:bottom w:val="single" w:color="auto" w:sz="8" w:space="0"/>
              <w:right w:val="single" w:color="auto" w:sz="8" w:space="0"/>
            </w:tcBorders>
            <w:noWrap/>
            <w:vAlign w:val="center"/>
          </w:tcPr>
          <w:p w14:paraId="0E511DDA">
            <w:pPr>
              <w:jc w:val="center"/>
              <w:rPr>
                <w:rFonts w:ascii="宋体" w:hAnsi="宋体" w:eastAsia="宋体" w:cs="Times New Roman"/>
                <w:color w:val="auto"/>
              </w:rPr>
            </w:pPr>
            <w:r>
              <w:rPr>
                <w:rFonts w:ascii="宋体" w:hAnsi="宋体" w:eastAsia="宋体" w:cs="Times New Roman"/>
                <w:color w:val="auto"/>
              </w:rPr>
              <w:t>2.1</w:t>
            </w:r>
          </w:p>
        </w:tc>
        <w:tc>
          <w:tcPr>
            <w:tcW w:w="670" w:type="dxa"/>
            <w:tcBorders>
              <w:top w:val="single" w:color="auto" w:sz="8" w:space="0"/>
              <w:left w:val="nil"/>
              <w:bottom w:val="single" w:color="auto" w:sz="8" w:space="0"/>
              <w:right w:val="single" w:color="auto" w:sz="8" w:space="0"/>
            </w:tcBorders>
            <w:noWrap/>
            <w:vAlign w:val="center"/>
          </w:tcPr>
          <w:p w14:paraId="58F2E546">
            <w:pPr>
              <w:jc w:val="center"/>
              <w:rPr>
                <w:rFonts w:ascii="宋体" w:hAnsi="宋体" w:eastAsia="宋体" w:cs="Times New Roman"/>
                <w:color w:val="auto"/>
              </w:rPr>
            </w:pPr>
            <w:r>
              <w:rPr>
                <w:rFonts w:ascii="宋体" w:hAnsi="宋体" w:eastAsia="宋体" w:cs="Times New Roman"/>
                <w:color w:val="auto"/>
              </w:rPr>
              <w:t>2.1</w:t>
            </w:r>
          </w:p>
        </w:tc>
        <w:tc>
          <w:tcPr>
            <w:tcW w:w="670" w:type="dxa"/>
            <w:tcBorders>
              <w:top w:val="single" w:color="auto" w:sz="8" w:space="0"/>
              <w:left w:val="nil"/>
              <w:bottom w:val="single" w:color="auto" w:sz="8" w:space="0"/>
              <w:right w:val="single" w:color="auto" w:sz="8" w:space="0"/>
            </w:tcBorders>
            <w:noWrap/>
            <w:vAlign w:val="center"/>
          </w:tcPr>
          <w:p w14:paraId="7952874B">
            <w:pPr>
              <w:jc w:val="center"/>
              <w:rPr>
                <w:rFonts w:ascii="宋体" w:hAnsi="宋体" w:eastAsia="宋体" w:cs="Times New Roman"/>
                <w:color w:val="auto"/>
              </w:rPr>
            </w:pPr>
            <w:r>
              <w:rPr>
                <w:rFonts w:ascii="宋体" w:hAnsi="宋体" w:eastAsia="宋体" w:cs="Times New Roman"/>
                <w:color w:val="auto"/>
              </w:rPr>
              <w:t>2.3</w:t>
            </w:r>
          </w:p>
        </w:tc>
        <w:tc>
          <w:tcPr>
            <w:tcW w:w="670" w:type="dxa"/>
            <w:tcBorders>
              <w:top w:val="single" w:color="auto" w:sz="8" w:space="0"/>
              <w:left w:val="nil"/>
              <w:bottom w:val="single" w:color="auto" w:sz="8" w:space="0"/>
              <w:right w:val="single" w:color="auto" w:sz="8" w:space="0"/>
            </w:tcBorders>
            <w:noWrap/>
            <w:vAlign w:val="center"/>
          </w:tcPr>
          <w:p w14:paraId="6E1D326B">
            <w:pPr>
              <w:jc w:val="center"/>
              <w:rPr>
                <w:rFonts w:ascii="宋体" w:hAnsi="宋体" w:eastAsia="宋体" w:cs="Times New Roman"/>
                <w:color w:val="auto"/>
              </w:rPr>
            </w:pPr>
            <w:r>
              <w:rPr>
                <w:rFonts w:ascii="宋体" w:hAnsi="宋体" w:eastAsia="宋体" w:cs="Times New Roman"/>
                <w:color w:val="auto"/>
              </w:rPr>
              <w:t>2.2</w:t>
            </w:r>
          </w:p>
        </w:tc>
      </w:tr>
    </w:tbl>
    <w:p w14:paraId="11419A43">
      <w:pPr>
        <w:jc w:val="center"/>
        <w:rPr>
          <w:rFonts w:ascii="宋体" w:hAnsi="宋体" w:eastAsia="宋体" w:cs="Times New Roman"/>
          <w:color w:val="auto"/>
          <w:lang w:val="zh-CN"/>
        </w:rPr>
      </w:pPr>
      <w:r>
        <w:rPr>
          <w:rFonts w:ascii="宋体" w:hAnsi="宋体" w:eastAsia="宋体" w:cs="Times New Roman"/>
          <w:color w:val="auto"/>
        </w:rPr>
        <w:drawing>
          <wp:inline distT="0" distB="0" distL="0" distR="0">
            <wp:extent cx="4133850" cy="2425065"/>
            <wp:effectExtent l="0" t="0" r="0" b="13335"/>
            <wp:docPr id="1352728145" name="图片 135272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45" name="图片 1352728145"/>
                    <pic:cNvPicPr>
                      <a:picLocks noChangeAspect="1" noChangeArrowheads="1"/>
                    </pic:cNvPicPr>
                  </pic:nvPicPr>
                  <pic:blipFill>
                    <a:blip r:embed="rId89"/>
                    <a:srcRect/>
                    <a:stretch>
                      <a:fillRect/>
                    </a:stretch>
                  </pic:blipFill>
                  <pic:spPr>
                    <a:xfrm>
                      <a:off x="0" y="0"/>
                      <a:ext cx="4133850" cy="2436863"/>
                    </a:xfrm>
                    <a:prstGeom prst="rect">
                      <a:avLst/>
                    </a:prstGeom>
                    <a:noFill/>
                    <a:ln>
                      <a:noFill/>
                    </a:ln>
                  </pic:spPr>
                </pic:pic>
              </a:graphicData>
            </a:graphic>
          </wp:inline>
        </w:drawing>
      </w:r>
    </w:p>
    <w:p w14:paraId="1CC7AC12">
      <w:pPr>
        <w:pStyle w:val="276"/>
        <w:widowControl w:val="0"/>
        <w:spacing w:line="440" w:lineRule="exact"/>
        <w:ind w:firstLine="0" w:firstLineChars="0"/>
        <w:jc w:val="center"/>
        <w:rPr>
          <w:color w:val="auto"/>
        </w:rPr>
      </w:pPr>
      <w:r>
        <w:rPr>
          <w:color w:val="auto"/>
        </w:rPr>
        <w:t>图5.1-9   季小时平局风速日变化曲线图</w:t>
      </w:r>
    </w:p>
    <w:p w14:paraId="3320FD11">
      <w:pPr>
        <w:pStyle w:val="276"/>
        <w:widowControl w:val="0"/>
        <w:ind w:firstLine="480"/>
        <w:jc w:val="both"/>
        <w:rPr>
          <w:color w:val="auto"/>
          <w:lang w:val="zh-CN"/>
        </w:rPr>
      </w:pPr>
      <w:r>
        <w:rPr>
          <w:color w:val="auto"/>
          <w:lang w:val="zh-CN"/>
        </w:rPr>
        <w:t>上表给出了风速日变化趋势。由表可知，各季节内，风速较小值一般出现在夜间，风速在下午达到最大，有利于大气污染物的扩散。</w:t>
      </w:r>
    </w:p>
    <w:p w14:paraId="13993671">
      <w:pPr>
        <w:pStyle w:val="276"/>
        <w:widowControl w:val="0"/>
        <w:ind w:firstLine="480"/>
        <w:jc w:val="both"/>
        <w:rPr>
          <w:color w:val="auto"/>
          <w:lang w:val="zh-CN"/>
        </w:rPr>
      </w:pPr>
      <w:r>
        <w:rPr>
          <w:color w:val="auto"/>
          <w:lang w:val="zh-CN"/>
        </w:rPr>
        <w:t>（4）风向、风频统计分析</w:t>
      </w:r>
    </w:p>
    <w:p w14:paraId="77CA488A">
      <w:pPr>
        <w:pStyle w:val="276"/>
        <w:widowControl w:val="0"/>
        <w:ind w:firstLine="480"/>
        <w:jc w:val="both"/>
        <w:rPr>
          <w:color w:val="auto"/>
          <w:lang w:val="zh-CN"/>
        </w:rPr>
      </w:pPr>
      <w:r>
        <w:rPr>
          <w:color w:val="auto"/>
          <w:lang w:val="zh-CN"/>
        </w:rPr>
        <w:t>年均风频季变化及年均风频统计见表5.1-8和图5.1-10。</w:t>
      </w:r>
    </w:p>
    <w:p w14:paraId="264DDEE1">
      <w:pPr>
        <w:pStyle w:val="276"/>
        <w:widowControl w:val="0"/>
        <w:spacing w:line="440" w:lineRule="exact"/>
        <w:ind w:firstLine="0" w:firstLineChars="0"/>
        <w:jc w:val="center"/>
        <w:rPr>
          <w:color w:val="auto"/>
        </w:rPr>
      </w:pPr>
      <w:r>
        <w:rPr>
          <w:color w:val="auto"/>
        </w:rPr>
        <w:t>表5.1-8  年均风频季变化及年均风频统计表   单位：%</w:t>
      </w:r>
    </w:p>
    <w:tbl>
      <w:tblPr>
        <w:tblStyle w:val="81"/>
        <w:tblW w:w="9051" w:type="dxa"/>
        <w:tblInd w:w="0" w:type="dxa"/>
        <w:tblLayout w:type="fixed"/>
        <w:tblCellMar>
          <w:top w:w="0" w:type="dxa"/>
          <w:left w:w="108" w:type="dxa"/>
          <w:bottom w:w="0" w:type="dxa"/>
          <w:right w:w="108" w:type="dxa"/>
        </w:tblCellMar>
      </w:tblPr>
      <w:tblGrid>
        <w:gridCol w:w="665"/>
        <w:gridCol w:w="442"/>
        <w:gridCol w:w="527"/>
        <w:gridCol w:w="441"/>
        <w:gridCol w:w="510"/>
        <w:gridCol w:w="441"/>
        <w:gridCol w:w="485"/>
        <w:gridCol w:w="441"/>
        <w:gridCol w:w="477"/>
        <w:gridCol w:w="480"/>
        <w:gridCol w:w="527"/>
        <w:gridCol w:w="480"/>
        <w:gridCol w:w="585"/>
        <w:gridCol w:w="441"/>
        <w:gridCol w:w="611"/>
        <w:gridCol w:w="480"/>
        <w:gridCol w:w="577"/>
        <w:gridCol w:w="441"/>
      </w:tblGrid>
      <w:tr w14:paraId="5F12A980">
        <w:tblPrEx>
          <w:tblCellMar>
            <w:top w:w="0" w:type="dxa"/>
            <w:left w:w="108" w:type="dxa"/>
            <w:bottom w:w="0" w:type="dxa"/>
            <w:right w:w="108" w:type="dxa"/>
          </w:tblCellMar>
        </w:tblPrEx>
        <w:trPr>
          <w:trHeight w:val="349" w:hRule="atLeast"/>
        </w:trPr>
        <w:tc>
          <w:tcPr>
            <w:tcW w:w="665" w:type="dxa"/>
            <w:tcBorders>
              <w:top w:val="single" w:color="auto" w:sz="8" w:space="0"/>
              <w:left w:val="single" w:color="auto" w:sz="8" w:space="0"/>
              <w:bottom w:val="single" w:color="auto" w:sz="8" w:space="0"/>
              <w:right w:val="single" w:color="auto" w:sz="8" w:space="0"/>
              <w:tl2br w:val="single" w:color="auto" w:sz="8" w:space="0"/>
            </w:tcBorders>
            <w:vAlign w:val="center"/>
          </w:tcPr>
          <w:p w14:paraId="146C2440">
            <w:pPr>
              <w:jc w:val="center"/>
              <w:rPr>
                <w:rFonts w:ascii="宋体" w:hAnsi="宋体" w:eastAsia="宋体" w:cs="Times New Roman"/>
                <w:color w:val="auto"/>
                <w:sz w:val="18"/>
                <w:szCs w:val="18"/>
              </w:rPr>
            </w:pPr>
            <w:r>
              <w:rPr>
                <w:rFonts w:ascii="宋体" w:hAnsi="宋体" w:eastAsia="宋体" w:cs="Times New Roman"/>
                <w:color w:val="auto"/>
                <w:sz w:val="18"/>
                <w:szCs w:val="18"/>
              </w:rPr>
              <w:t>风向</w:t>
            </w:r>
          </w:p>
          <w:p w14:paraId="13B75BCE">
            <w:pPr>
              <w:rPr>
                <w:rFonts w:ascii="宋体" w:hAnsi="宋体" w:eastAsia="宋体" w:cs="Times New Roman"/>
                <w:color w:val="auto"/>
                <w:sz w:val="18"/>
                <w:szCs w:val="18"/>
              </w:rPr>
            </w:pPr>
            <w:r>
              <w:rPr>
                <w:rFonts w:ascii="宋体" w:hAnsi="宋体" w:eastAsia="宋体" w:cs="Times New Roman"/>
                <w:color w:val="auto"/>
                <w:sz w:val="18"/>
                <w:szCs w:val="18"/>
              </w:rPr>
              <w:t>风频</w:t>
            </w:r>
          </w:p>
        </w:tc>
        <w:tc>
          <w:tcPr>
            <w:tcW w:w="442" w:type="dxa"/>
            <w:tcBorders>
              <w:top w:val="single" w:color="auto" w:sz="8" w:space="0"/>
              <w:left w:val="nil"/>
              <w:bottom w:val="nil"/>
              <w:right w:val="single" w:color="auto" w:sz="8" w:space="0"/>
            </w:tcBorders>
            <w:noWrap/>
            <w:vAlign w:val="center"/>
          </w:tcPr>
          <w:p w14:paraId="7C49BC48">
            <w:pPr>
              <w:jc w:val="center"/>
              <w:rPr>
                <w:rFonts w:ascii="宋体" w:hAnsi="宋体" w:eastAsia="宋体" w:cs="Times New Roman"/>
                <w:color w:val="auto"/>
                <w:sz w:val="18"/>
                <w:szCs w:val="18"/>
              </w:rPr>
            </w:pPr>
            <w:r>
              <w:rPr>
                <w:rFonts w:ascii="宋体" w:hAnsi="宋体" w:eastAsia="宋体" w:cs="Times New Roman"/>
                <w:color w:val="auto"/>
                <w:sz w:val="18"/>
                <w:szCs w:val="18"/>
              </w:rPr>
              <w:t>N</w:t>
            </w:r>
          </w:p>
        </w:tc>
        <w:tc>
          <w:tcPr>
            <w:tcW w:w="527" w:type="dxa"/>
            <w:tcBorders>
              <w:top w:val="single" w:color="auto" w:sz="8" w:space="0"/>
              <w:left w:val="nil"/>
              <w:bottom w:val="nil"/>
              <w:right w:val="single" w:color="auto" w:sz="8" w:space="0"/>
            </w:tcBorders>
            <w:noWrap/>
            <w:vAlign w:val="center"/>
          </w:tcPr>
          <w:p w14:paraId="33C91D2E">
            <w:pPr>
              <w:jc w:val="center"/>
              <w:rPr>
                <w:rFonts w:ascii="宋体" w:hAnsi="宋体" w:eastAsia="宋体" w:cs="Times New Roman"/>
                <w:color w:val="auto"/>
                <w:sz w:val="18"/>
                <w:szCs w:val="18"/>
              </w:rPr>
            </w:pPr>
            <w:r>
              <w:rPr>
                <w:rFonts w:ascii="宋体" w:hAnsi="宋体" w:eastAsia="宋体" w:cs="Times New Roman"/>
                <w:color w:val="auto"/>
                <w:sz w:val="18"/>
                <w:szCs w:val="18"/>
              </w:rPr>
              <w:t>NNE</w:t>
            </w:r>
          </w:p>
        </w:tc>
        <w:tc>
          <w:tcPr>
            <w:tcW w:w="441" w:type="dxa"/>
            <w:tcBorders>
              <w:top w:val="single" w:color="auto" w:sz="8" w:space="0"/>
              <w:left w:val="nil"/>
              <w:bottom w:val="nil"/>
              <w:right w:val="single" w:color="auto" w:sz="8" w:space="0"/>
            </w:tcBorders>
            <w:noWrap/>
            <w:vAlign w:val="center"/>
          </w:tcPr>
          <w:p w14:paraId="45712D7A">
            <w:pPr>
              <w:jc w:val="center"/>
              <w:rPr>
                <w:rFonts w:ascii="宋体" w:hAnsi="宋体" w:eastAsia="宋体" w:cs="Times New Roman"/>
                <w:color w:val="auto"/>
                <w:sz w:val="18"/>
                <w:szCs w:val="18"/>
              </w:rPr>
            </w:pPr>
            <w:r>
              <w:rPr>
                <w:rFonts w:ascii="宋体" w:hAnsi="宋体" w:eastAsia="宋体" w:cs="Times New Roman"/>
                <w:color w:val="auto"/>
                <w:sz w:val="18"/>
                <w:szCs w:val="18"/>
              </w:rPr>
              <w:t>NE</w:t>
            </w:r>
          </w:p>
        </w:tc>
        <w:tc>
          <w:tcPr>
            <w:tcW w:w="510" w:type="dxa"/>
            <w:tcBorders>
              <w:top w:val="single" w:color="auto" w:sz="8" w:space="0"/>
              <w:left w:val="nil"/>
              <w:bottom w:val="nil"/>
              <w:right w:val="single" w:color="auto" w:sz="8" w:space="0"/>
            </w:tcBorders>
            <w:noWrap/>
            <w:vAlign w:val="center"/>
          </w:tcPr>
          <w:p w14:paraId="21EA6AE7">
            <w:pPr>
              <w:jc w:val="center"/>
              <w:rPr>
                <w:rFonts w:ascii="宋体" w:hAnsi="宋体" w:eastAsia="宋体" w:cs="Times New Roman"/>
                <w:color w:val="auto"/>
                <w:sz w:val="18"/>
                <w:szCs w:val="18"/>
              </w:rPr>
            </w:pPr>
            <w:r>
              <w:rPr>
                <w:rFonts w:ascii="宋体" w:hAnsi="宋体" w:eastAsia="宋体" w:cs="Times New Roman"/>
                <w:color w:val="auto"/>
                <w:sz w:val="18"/>
                <w:szCs w:val="18"/>
              </w:rPr>
              <w:t>ENE</w:t>
            </w:r>
          </w:p>
        </w:tc>
        <w:tc>
          <w:tcPr>
            <w:tcW w:w="441" w:type="dxa"/>
            <w:tcBorders>
              <w:top w:val="single" w:color="auto" w:sz="8" w:space="0"/>
              <w:left w:val="nil"/>
              <w:bottom w:val="nil"/>
              <w:right w:val="single" w:color="auto" w:sz="8" w:space="0"/>
            </w:tcBorders>
            <w:noWrap/>
            <w:vAlign w:val="center"/>
          </w:tcPr>
          <w:p w14:paraId="3913E1A1">
            <w:pPr>
              <w:jc w:val="center"/>
              <w:rPr>
                <w:rFonts w:ascii="宋体" w:hAnsi="宋体" w:eastAsia="宋体" w:cs="Times New Roman"/>
                <w:color w:val="auto"/>
                <w:sz w:val="18"/>
                <w:szCs w:val="18"/>
              </w:rPr>
            </w:pPr>
            <w:r>
              <w:rPr>
                <w:rFonts w:ascii="宋体" w:hAnsi="宋体" w:eastAsia="宋体" w:cs="Times New Roman"/>
                <w:color w:val="auto"/>
                <w:sz w:val="18"/>
                <w:szCs w:val="18"/>
              </w:rPr>
              <w:t>E</w:t>
            </w:r>
          </w:p>
        </w:tc>
        <w:tc>
          <w:tcPr>
            <w:tcW w:w="485" w:type="dxa"/>
            <w:tcBorders>
              <w:top w:val="single" w:color="auto" w:sz="8" w:space="0"/>
              <w:left w:val="nil"/>
              <w:bottom w:val="nil"/>
              <w:right w:val="single" w:color="auto" w:sz="8" w:space="0"/>
            </w:tcBorders>
            <w:noWrap/>
            <w:vAlign w:val="center"/>
          </w:tcPr>
          <w:p w14:paraId="4AC3C2CA">
            <w:pPr>
              <w:jc w:val="center"/>
              <w:rPr>
                <w:rFonts w:ascii="宋体" w:hAnsi="宋体" w:eastAsia="宋体" w:cs="Times New Roman"/>
                <w:color w:val="auto"/>
                <w:sz w:val="18"/>
                <w:szCs w:val="18"/>
              </w:rPr>
            </w:pPr>
            <w:r>
              <w:rPr>
                <w:rFonts w:ascii="宋体" w:hAnsi="宋体" w:eastAsia="宋体" w:cs="Times New Roman"/>
                <w:color w:val="auto"/>
                <w:sz w:val="18"/>
                <w:szCs w:val="18"/>
              </w:rPr>
              <w:t>ESE</w:t>
            </w:r>
          </w:p>
        </w:tc>
        <w:tc>
          <w:tcPr>
            <w:tcW w:w="441" w:type="dxa"/>
            <w:tcBorders>
              <w:top w:val="single" w:color="auto" w:sz="8" w:space="0"/>
              <w:left w:val="nil"/>
              <w:bottom w:val="nil"/>
              <w:right w:val="single" w:color="auto" w:sz="8" w:space="0"/>
            </w:tcBorders>
            <w:noWrap/>
            <w:vAlign w:val="center"/>
          </w:tcPr>
          <w:p w14:paraId="5314AF66">
            <w:pPr>
              <w:jc w:val="center"/>
              <w:rPr>
                <w:rFonts w:ascii="宋体" w:hAnsi="宋体" w:eastAsia="宋体" w:cs="Times New Roman"/>
                <w:color w:val="auto"/>
                <w:sz w:val="18"/>
                <w:szCs w:val="18"/>
              </w:rPr>
            </w:pPr>
            <w:r>
              <w:rPr>
                <w:rFonts w:ascii="宋体" w:hAnsi="宋体" w:eastAsia="宋体" w:cs="Times New Roman"/>
                <w:color w:val="auto"/>
                <w:sz w:val="18"/>
                <w:szCs w:val="18"/>
              </w:rPr>
              <w:t>SE</w:t>
            </w:r>
          </w:p>
        </w:tc>
        <w:tc>
          <w:tcPr>
            <w:tcW w:w="477" w:type="dxa"/>
            <w:tcBorders>
              <w:top w:val="single" w:color="auto" w:sz="8" w:space="0"/>
              <w:left w:val="nil"/>
              <w:bottom w:val="nil"/>
              <w:right w:val="single" w:color="auto" w:sz="8" w:space="0"/>
            </w:tcBorders>
            <w:noWrap/>
            <w:vAlign w:val="center"/>
          </w:tcPr>
          <w:p w14:paraId="5B99CB19">
            <w:pPr>
              <w:jc w:val="center"/>
              <w:rPr>
                <w:rFonts w:ascii="宋体" w:hAnsi="宋体" w:eastAsia="宋体" w:cs="Times New Roman"/>
                <w:color w:val="auto"/>
                <w:sz w:val="18"/>
                <w:szCs w:val="18"/>
              </w:rPr>
            </w:pPr>
            <w:r>
              <w:rPr>
                <w:rFonts w:ascii="宋体" w:hAnsi="宋体" w:eastAsia="宋体" w:cs="Times New Roman"/>
                <w:color w:val="auto"/>
                <w:sz w:val="18"/>
                <w:szCs w:val="18"/>
              </w:rPr>
              <w:t>SSE</w:t>
            </w:r>
          </w:p>
        </w:tc>
        <w:tc>
          <w:tcPr>
            <w:tcW w:w="480" w:type="dxa"/>
            <w:tcBorders>
              <w:top w:val="single" w:color="auto" w:sz="8" w:space="0"/>
              <w:left w:val="nil"/>
              <w:bottom w:val="nil"/>
              <w:right w:val="single" w:color="auto" w:sz="8" w:space="0"/>
            </w:tcBorders>
            <w:noWrap/>
            <w:vAlign w:val="center"/>
          </w:tcPr>
          <w:p w14:paraId="36115F44">
            <w:pPr>
              <w:jc w:val="center"/>
              <w:rPr>
                <w:rFonts w:ascii="宋体" w:hAnsi="宋体" w:eastAsia="宋体" w:cs="Times New Roman"/>
                <w:color w:val="auto"/>
                <w:sz w:val="18"/>
                <w:szCs w:val="18"/>
              </w:rPr>
            </w:pPr>
            <w:r>
              <w:rPr>
                <w:rFonts w:ascii="宋体" w:hAnsi="宋体" w:eastAsia="宋体" w:cs="Times New Roman"/>
                <w:color w:val="auto"/>
                <w:sz w:val="18"/>
                <w:szCs w:val="18"/>
              </w:rPr>
              <w:t>S</w:t>
            </w:r>
          </w:p>
        </w:tc>
        <w:tc>
          <w:tcPr>
            <w:tcW w:w="527" w:type="dxa"/>
            <w:tcBorders>
              <w:top w:val="single" w:color="auto" w:sz="8" w:space="0"/>
              <w:left w:val="nil"/>
              <w:bottom w:val="nil"/>
              <w:right w:val="single" w:color="auto" w:sz="8" w:space="0"/>
            </w:tcBorders>
            <w:noWrap/>
            <w:vAlign w:val="center"/>
          </w:tcPr>
          <w:p w14:paraId="53807DBB">
            <w:pPr>
              <w:jc w:val="center"/>
              <w:rPr>
                <w:rFonts w:ascii="宋体" w:hAnsi="宋体" w:eastAsia="宋体" w:cs="Times New Roman"/>
                <w:color w:val="auto"/>
                <w:sz w:val="18"/>
                <w:szCs w:val="18"/>
              </w:rPr>
            </w:pPr>
            <w:r>
              <w:rPr>
                <w:rFonts w:ascii="宋体" w:hAnsi="宋体" w:eastAsia="宋体" w:cs="Times New Roman"/>
                <w:color w:val="auto"/>
                <w:sz w:val="18"/>
                <w:szCs w:val="18"/>
              </w:rPr>
              <w:t>SSW</w:t>
            </w:r>
          </w:p>
        </w:tc>
        <w:tc>
          <w:tcPr>
            <w:tcW w:w="480" w:type="dxa"/>
            <w:tcBorders>
              <w:top w:val="single" w:color="auto" w:sz="8" w:space="0"/>
              <w:left w:val="nil"/>
              <w:bottom w:val="nil"/>
              <w:right w:val="single" w:color="auto" w:sz="8" w:space="0"/>
            </w:tcBorders>
            <w:noWrap/>
            <w:vAlign w:val="center"/>
          </w:tcPr>
          <w:p w14:paraId="03645A76">
            <w:pPr>
              <w:jc w:val="center"/>
              <w:rPr>
                <w:rFonts w:ascii="宋体" w:hAnsi="宋体" w:eastAsia="宋体" w:cs="Times New Roman"/>
                <w:color w:val="auto"/>
                <w:sz w:val="18"/>
                <w:szCs w:val="18"/>
              </w:rPr>
            </w:pPr>
            <w:r>
              <w:rPr>
                <w:rFonts w:ascii="宋体" w:hAnsi="宋体" w:eastAsia="宋体" w:cs="Times New Roman"/>
                <w:color w:val="auto"/>
                <w:sz w:val="18"/>
                <w:szCs w:val="18"/>
              </w:rPr>
              <w:t>SW</w:t>
            </w:r>
          </w:p>
        </w:tc>
        <w:tc>
          <w:tcPr>
            <w:tcW w:w="585" w:type="dxa"/>
            <w:tcBorders>
              <w:top w:val="single" w:color="auto" w:sz="8" w:space="0"/>
              <w:left w:val="nil"/>
              <w:bottom w:val="nil"/>
              <w:right w:val="single" w:color="auto" w:sz="8" w:space="0"/>
            </w:tcBorders>
            <w:noWrap/>
            <w:vAlign w:val="center"/>
          </w:tcPr>
          <w:p w14:paraId="3BEF0715">
            <w:pPr>
              <w:jc w:val="center"/>
              <w:rPr>
                <w:rFonts w:ascii="宋体" w:hAnsi="宋体" w:eastAsia="宋体" w:cs="Times New Roman"/>
                <w:color w:val="auto"/>
                <w:sz w:val="18"/>
                <w:szCs w:val="18"/>
              </w:rPr>
            </w:pPr>
            <w:r>
              <w:rPr>
                <w:rFonts w:ascii="宋体" w:hAnsi="宋体" w:eastAsia="宋体" w:cs="Times New Roman"/>
                <w:color w:val="auto"/>
                <w:sz w:val="18"/>
                <w:szCs w:val="18"/>
              </w:rPr>
              <w:t>WSW</w:t>
            </w:r>
          </w:p>
        </w:tc>
        <w:tc>
          <w:tcPr>
            <w:tcW w:w="441" w:type="dxa"/>
            <w:tcBorders>
              <w:top w:val="single" w:color="auto" w:sz="8" w:space="0"/>
              <w:left w:val="nil"/>
              <w:bottom w:val="nil"/>
              <w:right w:val="single" w:color="auto" w:sz="8" w:space="0"/>
            </w:tcBorders>
            <w:noWrap/>
            <w:vAlign w:val="center"/>
          </w:tcPr>
          <w:p w14:paraId="5BEF7C88">
            <w:pPr>
              <w:jc w:val="center"/>
              <w:rPr>
                <w:rFonts w:ascii="宋体" w:hAnsi="宋体" w:eastAsia="宋体" w:cs="Times New Roman"/>
                <w:color w:val="auto"/>
                <w:sz w:val="18"/>
                <w:szCs w:val="18"/>
              </w:rPr>
            </w:pPr>
            <w:r>
              <w:rPr>
                <w:rFonts w:ascii="宋体" w:hAnsi="宋体" w:eastAsia="宋体" w:cs="Times New Roman"/>
                <w:color w:val="auto"/>
                <w:sz w:val="18"/>
                <w:szCs w:val="18"/>
              </w:rPr>
              <w:t>W</w:t>
            </w:r>
          </w:p>
        </w:tc>
        <w:tc>
          <w:tcPr>
            <w:tcW w:w="611" w:type="dxa"/>
            <w:tcBorders>
              <w:top w:val="single" w:color="auto" w:sz="8" w:space="0"/>
              <w:left w:val="nil"/>
              <w:bottom w:val="nil"/>
              <w:right w:val="single" w:color="auto" w:sz="8" w:space="0"/>
            </w:tcBorders>
            <w:noWrap/>
            <w:vAlign w:val="center"/>
          </w:tcPr>
          <w:p w14:paraId="0D894753">
            <w:pPr>
              <w:jc w:val="center"/>
              <w:rPr>
                <w:rFonts w:ascii="宋体" w:hAnsi="宋体" w:eastAsia="宋体" w:cs="Times New Roman"/>
                <w:color w:val="auto"/>
                <w:sz w:val="18"/>
                <w:szCs w:val="18"/>
              </w:rPr>
            </w:pPr>
            <w:r>
              <w:rPr>
                <w:rFonts w:ascii="宋体" w:hAnsi="宋体" w:eastAsia="宋体" w:cs="Times New Roman"/>
                <w:color w:val="auto"/>
                <w:sz w:val="18"/>
                <w:szCs w:val="18"/>
              </w:rPr>
              <w:t>WNW</w:t>
            </w:r>
          </w:p>
        </w:tc>
        <w:tc>
          <w:tcPr>
            <w:tcW w:w="480" w:type="dxa"/>
            <w:tcBorders>
              <w:top w:val="single" w:color="auto" w:sz="8" w:space="0"/>
              <w:left w:val="nil"/>
              <w:bottom w:val="nil"/>
              <w:right w:val="single" w:color="auto" w:sz="8" w:space="0"/>
            </w:tcBorders>
            <w:noWrap/>
            <w:vAlign w:val="center"/>
          </w:tcPr>
          <w:p w14:paraId="6681ED6D">
            <w:pPr>
              <w:jc w:val="center"/>
              <w:rPr>
                <w:rFonts w:ascii="宋体" w:hAnsi="宋体" w:eastAsia="宋体" w:cs="Times New Roman"/>
                <w:color w:val="auto"/>
                <w:sz w:val="18"/>
                <w:szCs w:val="18"/>
              </w:rPr>
            </w:pPr>
            <w:r>
              <w:rPr>
                <w:rFonts w:ascii="宋体" w:hAnsi="宋体" w:eastAsia="宋体" w:cs="Times New Roman"/>
                <w:color w:val="auto"/>
                <w:sz w:val="18"/>
                <w:szCs w:val="18"/>
              </w:rPr>
              <w:t>NW</w:t>
            </w:r>
          </w:p>
        </w:tc>
        <w:tc>
          <w:tcPr>
            <w:tcW w:w="577" w:type="dxa"/>
            <w:tcBorders>
              <w:top w:val="single" w:color="auto" w:sz="8" w:space="0"/>
              <w:left w:val="nil"/>
              <w:bottom w:val="nil"/>
              <w:right w:val="single" w:color="auto" w:sz="8" w:space="0"/>
            </w:tcBorders>
            <w:noWrap/>
            <w:vAlign w:val="center"/>
          </w:tcPr>
          <w:p w14:paraId="217E6A3B">
            <w:pPr>
              <w:jc w:val="center"/>
              <w:rPr>
                <w:rFonts w:ascii="宋体" w:hAnsi="宋体" w:eastAsia="宋体" w:cs="Times New Roman"/>
                <w:color w:val="auto"/>
                <w:sz w:val="18"/>
                <w:szCs w:val="18"/>
              </w:rPr>
            </w:pPr>
            <w:r>
              <w:rPr>
                <w:rFonts w:ascii="宋体" w:hAnsi="宋体" w:eastAsia="宋体" w:cs="Times New Roman"/>
                <w:color w:val="auto"/>
                <w:sz w:val="18"/>
                <w:szCs w:val="18"/>
              </w:rPr>
              <w:t>NNW</w:t>
            </w:r>
          </w:p>
        </w:tc>
        <w:tc>
          <w:tcPr>
            <w:tcW w:w="441" w:type="dxa"/>
            <w:tcBorders>
              <w:top w:val="single" w:color="auto" w:sz="8" w:space="0"/>
              <w:left w:val="nil"/>
              <w:bottom w:val="nil"/>
              <w:right w:val="single" w:color="auto" w:sz="8" w:space="0"/>
            </w:tcBorders>
            <w:noWrap/>
            <w:vAlign w:val="center"/>
          </w:tcPr>
          <w:p w14:paraId="09BE2809">
            <w:pPr>
              <w:jc w:val="center"/>
              <w:rPr>
                <w:rFonts w:ascii="宋体" w:hAnsi="宋体" w:eastAsia="宋体" w:cs="Times New Roman"/>
                <w:color w:val="auto"/>
                <w:sz w:val="18"/>
                <w:szCs w:val="18"/>
              </w:rPr>
            </w:pPr>
            <w:r>
              <w:rPr>
                <w:rFonts w:ascii="宋体" w:hAnsi="宋体" w:eastAsia="宋体" w:cs="Times New Roman"/>
                <w:color w:val="auto"/>
                <w:sz w:val="18"/>
                <w:szCs w:val="18"/>
              </w:rPr>
              <w:t>C</w:t>
            </w:r>
          </w:p>
        </w:tc>
      </w:tr>
      <w:tr w14:paraId="49027287">
        <w:tblPrEx>
          <w:tblCellMar>
            <w:top w:w="0" w:type="dxa"/>
            <w:left w:w="108" w:type="dxa"/>
            <w:bottom w:w="0" w:type="dxa"/>
            <w:right w:w="108" w:type="dxa"/>
          </w:tblCellMar>
        </w:tblPrEx>
        <w:trPr>
          <w:trHeight w:val="207" w:hRule="atLeast"/>
        </w:trPr>
        <w:tc>
          <w:tcPr>
            <w:tcW w:w="665" w:type="dxa"/>
            <w:tcBorders>
              <w:top w:val="nil"/>
              <w:left w:val="single" w:color="auto" w:sz="8" w:space="0"/>
              <w:bottom w:val="single" w:color="auto" w:sz="8" w:space="0"/>
              <w:right w:val="single" w:color="auto" w:sz="8" w:space="0"/>
            </w:tcBorders>
            <w:noWrap/>
            <w:vAlign w:val="center"/>
          </w:tcPr>
          <w:p w14:paraId="69FD713C">
            <w:pPr>
              <w:jc w:val="center"/>
              <w:rPr>
                <w:rFonts w:ascii="宋体" w:hAnsi="宋体" w:eastAsia="宋体" w:cs="Times New Roman"/>
                <w:color w:val="auto"/>
                <w:sz w:val="18"/>
                <w:szCs w:val="18"/>
              </w:rPr>
            </w:pPr>
          </w:p>
        </w:tc>
        <w:tc>
          <w:tcPr>
            <w:tcW w:w="442" w:type="dxa"/>
            <w:tcBorders>
              <w:top w:val="single" w:color="auto" w:sz="8" w:space="0"/>
              <w:left w:val="nil"/>
              <w:bottom w:val="nil"/>
              <w:right w:val="single" w:color="auto" w:sz="8" w:space="0"/>
            </w:tcBorders>
            <w:noWrap/>
            <w:vAlign w:val="center"/>
          </w:tcPr>
          <w:p w14:paraId="3AEDED8E">
            <w:pPr>
              <w:jc w:val="center"/>
              <w:rPr>
                <w:rFonts w:ascii="宋体" w:hAnsi="宋体" w:eastAsia="宋体" w:cs="Times New Roman"/>
                <w:color w:val="auto"/>
                <w:sz w:val="18"/>
                <w:szCs w:val="18"/>
              </w:rPr>
            </w:pPr>
            <w:r>
              <w:rPr>
                <w:rFonts w:ascii="宋体" w:hAnsi="宋体" w:eastAsia="宋体" w:cs="Times New Roman"/>
                <w:color w:val="auto"/>
                <w:sz w:val="18"/>
                <w:szCs w:val="18"/>
              </w:rPr>
              <w:t>北</w:t>
            </w:r>
          </w:p>
        </w:tc>
        <w:tc>
          <w:tcPr>
            <w:tcW w:w="527" w:type="dxa"/>
            <w:tcBorders>
              <w:top w:val="single" w:color="auto" w:sz="8" w:space="0"/>
              <w:left w:val="nil"/>
              <w:bottom w:val="nil"/>
              <w:right w:val="single" w:color="auto" w:sz="8" w:space="0"/>
            </w:tcBorders>
            <w:noWrap/>
            <w:vAlign w:val="center"/>
          </w:tcPr>
          <w:p w14:paraId="54BF237F">
            <w:pPr>
              <w:jc w:val="center"/>
              <w:rPr>
                <w:rFonts w:ascii="宋体" w:hAnsi="宋体" w:eastAsia="宋体" w:cs="Times New Roman"/>
                <w:color w:val="auto"/>
                <w:sz w:val="18"/>
                <w:szCs w:val="18"/>
              </w:rPr>
            </w:pPr>
          </w:p>
        </w:tc>
        <w:tc>
          <w:tcPr>
            <w:tcW w:w="441" w:type="dxa"/>
            <w:tcBorders>
              <w:top w:val="single" w:color="auto" w:sz="8" w:space="0"/>
              <w:left w:val="nil"/>
              <w:bottom w:val="nil"/>
              <w:right w:val="single" w:color="auto" w:sz="8" w:space="0"/>
            </w:tcBorders>
            <w:noWrap/>
            <w:vAlign w:val="center"/>
          </w:tcPr>
          <w:p w14:paraId="43C1A0D8">
            <w:pPr>
              <w:jc w:val="center"/>
              <w:rPr>
                <w:rFonts w:ascii="宋体" w:hAnsi="宋体" w:eastAsia="宋体" w:cs="Times New Roman"/>
                <w:color w:val="auto"/>
                <w:sz w:val="18"/>
                <w:szCs w:val="18"/>
              </w:rPr>
            </w:pPr>
          </w:p>
        </w:tc>
        <w:tc>
          <w:tcPr>
            <w:tcW w:w="510" w:type="dxa"/>
            <w:tcBorders>
              <w:top w:val="single" w:color="auto" w:sz="8" w:space="0"/>
              <w:left w:val="nil"/>
              <w:bottom w:val="nil"/>
              <w:right w:val="single" w:color="auto" w:sz="8" w:space="0"/>
            </w:tcBorders>
            <w:noWrap/>
            <w:vAlign w:val="center"/>
          </w:tcPr>
          <w:p w14:paraId="764452E9">
            <w:pPr>
              <w:jc w:val="center"/>
              <w:rPr>
                <w:rFonts w:ascii="宋体" w:hAnsi="宋体" w:eastAsia="宋体" w:cs="Times New Roman"/>
                <w:color w:val="auto"/>
                <w:sz w:val="18"/>
                <w:szCs w:val="18"/>
              </w:rPr>
            </w:pPr>
          </w:p>
        </w:tc>
        <w:tc>
          <w:tcPr>
            <w:tcW w:w="441" w:type="dxa"/>
            <w:tcBorders>
              <w:top w:val="single" w:color="auto" w:sz="8" w:space="0"/>
              <w:left w:val="nil"/>
              <w:bottom w:val="nil"/>
              <w:right w:val="single" w:color="auto" w:sz="8" w:space="0"/>
            </w:tcBorders>
            <w:noWrap/>
            <w:vAlign w:val="center"/>
          </w:tcPr>
          <w:p w14:paraId="362DA9AF">
            <w:pPr>
              <w:jc w:val="center"/>
              <w:rPr>
                <w:rFonts w:ascii="宋体" w:hAnsi="宋体" w:eastAsia="宋体" w:cs="Times New Roman"/>
                <w:color w:val="auto"/>
                <w:sz w:val="18"/>
                <w:szCs w:val="18"/>
              </w:rPr>
            </w:pPr>
            <w:r>
              <w:rPr>
                <w:rFonts w:ascii="宋体" w:hAnsi="宋体" w:eastAsia="宋体" w:cs="Times New Roman"/>
                <w:color w:val="auto"/>
                <w:sz w:val="18"/>
                <w:szCs w:val="18"/>
              </w:rPr>
              <w:t>东</w:t>
            </w:r>
          </w:p>
        </w:tc>
        <w:tc>
          <w:tcPr>
            <w:tcW w:w="485" w:type="dxa"/>
            <w:tcBorders>
              <w:top w:val="single" w:color="auto" w:sz="8" w:space="0"/>
              <w:left w:val="nil"/>
              <w:bottom w:val="nil"/>
              <w:right w:val="single" w:color="auto" w:sz="8" w:space="0"/>
            </w:tcBorders>
            <w:noWrap/>
            <w:vAlign w:val="center"/>
          </w:tcPr>
          <w:p w14:paraId="10D36DED">
            <w:pPr>
              <w:jc w:val="center"/>
              <w:rPr>
                <w:rFonts w:ascii="宋体" w:hAnsi="宋体" w:eastAsia="宋体" w:cs="Times New Roman"/>
                <w:color w:val="auto"/>
                <w:sz w:val="18"/>
                <w:szCs w:val="18"/>
              </w:rPr>
            </w:pPr>
          </w:p>
        </w:tc>
        <w:tc>
          <w:tcPr>
            <w:tcW w:w="441" w:type="dxa"/>
            <w:tcBorders>
              <w:top w:val="single" w:color="auto" w:sz="8" w:space="0"/>
              <w:left w:val="nil"/>
              <w:bottom w:val="nil"/>
              <w:right w:val="single" w:color="auto" w:sz="8" w:space="0"/>
            </w:tcBorders>
            <w:noWrap/>
            <w:vAlign w:val="center"/>
          </w:tcPr>
          <w:p w14:paraId="1A2CDE4A">
            <w:pPr>
              <w:jc w:val="center"/>
              <w:rPr>
                <w:rFonts w:ascii="宋体" w:hAnsi="宋体" w:eastAsia="宋体" w:cs="Times New Roman"/>
                <w:color w:val="auto"/>
                <w:sz w:val="18"/>
                <w:szCs w:val="18"/>
              </w:rPr>
            </w:pPr>
          </w:p>
        </w:tc>
        <w:tc>
          <w:tcPr>
            <w:tcW w:w="477" w:type="dxa"/>
            <w:tcBorders>
              <w:top w:val="single" w:color="auto" w:sz="8" w:space="0"/>
              <w:left w:val="nil"/>
              <w:bottom w:val="nil"/>
              <w:right w:val="single" w:color="auto" w:sz="8" w:space="0"/>
            </w:tcBorders>
            <w:noWrap/>
            <w:vAlign w:val="center"/>
          </w:tcPr>
          <w:p w14:paraId="46587168">
            <w:pPr>
              <w:jc w:val="center"/>
              <w:rPr>
                <w:rFonts w:ascii="宋体" w:hAnsi="宋体" w:eastAsia="宋体" w:cs="Times New Roman"/>
                <w:color w:val="auto"/>
                <w:sz w:val="18"/>
                <w:szCs w:val="18"/>
              </w:rPr>
            </w:pPr>
          </w:p>
        </w:tc>
        <w:tc>
          <w:tcPr>
            <w:tcW w:w="480" w:type="dxa"/>
            <w:tcBorders>
              <w:top w:val="single" w:color="auto" w:sz="8" w:space="0"/>
              <w:left w:val="nil"/>
              <w:bottom w:val="nil"/>
              <w:right w:val="single" w:color="auto" w:sz="8" w:space="0"/>
            </w:tcBorders>
            <w:noWrap/>
            <w:vAlign w:val="center"/>
          </w:tcPr>
          <w:p w14:paraId="4A038948">
            <w:pPr>
              <w:jc w:val="center"/>
              <w:rPr>
                <w:rFonts w:ascii="宋体" w:hAnsi="宋体" w:eastAsia="宋体" w:cs="Times New Roman"/>
                <w:color w:val="auto"/>
                <w:sz w:val="18"/>
                <w:szCs w:val="18"/>
              </w:rPr>
            </w:pPr>
            <w:r>
              <w:rPr>
                <w:rFonts w:ascii="宋体" w:hAnsi="宋体" w:eastAsia="宋体" w:cs="Times New Roman"/>
                <w:color w:val="auto"/>
                <w:sz w:val="18"/>
                <w:szCs w:val="18"/>
              </w:rPr>
              <w:t>南</w:t>
            </w:r>
          </w:p>
        </w:tc>
        <w:tc>
          <w:tcPr>
            <w:tcW w:w="527" w:type="dxa"/>
            <w:tcBorders>
              <w:top w:val="single" w:color="auto" w:sz="8" w:space="0"/>
              <w:left w:val="nil"/>
              <w:bottom w:val="nil"/>
              <w:right w:val="single" w:color="auto" w:sz="8" w:space="0"/>
            </w:tcBorders>
            <w:noWrap/>
            <w:vAlign w:val="center"/>
          </w:tcPr>
          <w:p w14:paraId="04B67B95">
            <w:pPr>
              <w:jc w:val="center"/>
              <w:rPr>
                <w:rFonts w:ascii="宋体" w:hAnsi="宋体" w:eastAsia="宋体" w:cs="Times New Roman"/>
                <w:color w:val="auto"/>
                <w:sz w:val="18"/>
                <w:szCs w:val="18"/>
              </w:rPr>
            </w:pPr>
          </w:p>
        </w:tc>
        <w:tc>
          <w:tcPr>
            <w:tcW w:w="480" w:type="dxa"/>
            <w:tcBorders>
              <w:top w:val="single" w:color="auto" w:sz="8" w:space="0"/>
              <w:left w:val="nil"/>
              <w:bottom w:val="nil"/>
              <w:right w:val="single" w:color="auto" w:sz="8" w:space="0"/>
            </w:tcBorders>
            <w:noWrap/>
            <w:vAlign w:val="center"/>
          </w:tcPr>
          <w:p w14:paraId="67AFB03C">
            <w:pPr>
              <w:jc w:val="center"/>
              <w:rPr>
                <w:rFonts w:ascii="宋体" w:hAnsi="宋体" w:eastAsia="宋体" w:cs="Times New Roman"/>
                <w:color w:val="auto"/>
                <w:sz w:val="18"/>
                <w:szCs w:val="18"/>
              </w:rPr>
            </w:pPr>
          </w:p>
        </w:tc>
        <w:tc>
          <w:tcPr>
            <w:tcW w:w="585" w:type="dxa"/>
            <w:tcBorders>
              <w:top w:val="single" w:color="auto" w:sz="8" w:space="0"/>
              <w:left w:val="nil"/>
              <w:bottom w:val="nil"/>
              <w:right w:val="single" w:color="auto" w:sz="8" w:space="0"/>
            </w:tcBorders>
            <w:noWrap/>
            <w:vAlign w:val="center"/>
          </w:tcPr>
          <w:p w14:paraId="5A08D4F9">
            <w:pPr>
              <w:jc w:val="center"/>
              <w:rPr>
                <w:rFonts w:ascii="宋体" w:hAnsi="宋体" w:eastAsia="宋体" w:cs="Times New Roman"/>
                <w:color w:val="auto"/>
                <w:sz w:val="18"/>
                <w:szCs w:val="18"/>
              </w:rPr>
            </w:pPr>
          </w:p>
        </w:tc>
        <w:tc>
          <w:tcPr>
            <w:tcW w:w="441" w:type="dxa"/>
            <w:tcBorders>
              <w:top w:val="single" w:color="auto" w:sz="8" w:space="0"/>
              <w:left w:val="nil"/>
              <w:bottom w:val="nil"/>
              <w:right w:val="single" w:color="auto" w:sz="8" w:space="0"/>
            </w:tcBorders>
            <w:noWrap/>
            <w:vAlign w:val="center"/>
          </w:tcPr>
          <w:p w14:paraId="1FDF32DE">
            <w:pPr>
              <w:jc w:val="center"/>
              <w:rPr>
                <w:rFonts w:ascii="宋体" w:hAnsi="宋体" w:eastAsia="宋体" w:cs="Times New Roman"/>
                <w:color w:val="auto"/>
                <w:sz w:val="18"/>
                <w:szCs w:val="18"/>
              </w:rPr>
            </w:pPr>
            <w:r>
              <w:rPr>
                <w:rFonts w:ascii="宋体" w:hAnsi="宋体" w:eastAsia="宋体" w:cs="Times New Roman"/>
                <w:color w:val="auto"/>
                <w:sz w:val="18"/>
                <w:szCs w:val="18"/>
              </w:rPr>
              <w:t>西</w:t>
            </w:r>
          </w:p>
        </w:tc>
        <w:tc>
          <w:tcPr>
            <w:tcW w:w="611" w:type="dxa"/>
            <w:tcBorders>
              <w:top w:val="single" w:color="auto" w:sz="8" w:space="0"/>
              <w:left w:val="nil"/>
              <w:bottom w:val="nil"/>
              <w:right w:val="single" w:color="auto" w:sz="8" w:space="0"/>
            </w:tcBorders>
            <w:noWrap/>
            <w:vAlign w:val="center"/>
          </w:tcPr>
          <w:p w14:paraId="50AF4364">
            <w:pPr>
              <w:jc w:val="center"/>
              <w:rPr>
                <w:rFonts w:ascii="宋体" w:hAnsi="宋体" w:eastAsia="宋体" w:cs="Times New Roman"/>
                <w:color w:val="auto"/>
                <w:sz w:val="18"/>
                <w:szCs w:val="18"/>
              </w:rPr>
            </w:pPr>
          </w:p>
        </w:tc>
        <w:tc>
          <w:tcPr>
            <w:tcW w:w="480" w:type="dxa"/>
            <w:tcBorders>
              <w:top w:val="single" w:color="auto" w:sz="8" w:space="0"/>
              <w:left w:val="nil"/>
              <w:bottom w:val="nil"/>
              <w:right w:val="single" w:color="auto" w:sz="8" w:space="0"/>
            </w:tcBorders>
            <w:noWrap/>
            <w:vAlign w:val="center"/>
          </w:tcPr>
          <w:p w14:paraId="6EB93DE0">
            <w:pPr>
              <w:jc w:val="center"/>
              <w:rPr>
                <w:rFonts w:ascii="宋体" w:hAnsi="宋体" w:eastAsia="宋体" w:cs="Times New Roman"/>
                <w:color w:val="auto"/>
                <w:sz w:val="18"/>
                <w:szCs w:val="18"/>
              </w:rPr>
            </w:pPr>
          </w:p>
        </w:tc>
        <w:tc>
          <w:tcPr>
            <w:tcW w:w="577" w:type="dxa"/>
            <w:tcBorders>
              <w:top w:val="single" w:color="auto" w:sz="8" w:space="0"/>
              <w:left w:val="nil"/>
              <w:bottom w:val="nil"/>
              <w:right w:val="single" w:color="auto" w:sz="8" w:space="0"/>
            </w:tcBorders>
            <w:noWrap/>
            <w:vAlign w:val="center"/>
          </w:tcPr>
          <w:p w14:paraId="53879F74">
            <w:pPr>
              <w:jc w:val="center"/>
              <w:rPr>
                <w:rFonts w:ascii="宋体" w:hAnsi="宋体" w:eastAsia="宋体" w:cs="Times New Roman"/>
                <w:color w:val="auto"/>
                <w:sz w:val="18"/>
                <w:szCs w:val="18"/>
              </w:rPr>
            </w:pPr>
          </w:p>
        </w:tc>
        <w:tc>
          <w:tcPr>
            <w:tcW w:w="441" w:type="dxa"/>
            <w:tcBorders>
              <w:top w:val="single" w:color="auto" w:sz="8" w:space="0"/>
              <w:left w:val="nil"/>
              <w:bottom w:val="nil"/>
              <w:right w:val="single" w:color="auto" w:sz="8" w:space="0"/>
            </w:tcBorders>
            <w:noWrap/>
            <w:vAlign w:val="center"/>
          </w:tcPr>
          <w:p w14:paraId="14FD0055">
            <w:pPr>
              <w:jc w:val="center"/>
              <w:rPr>
                <w:rFonts w:ascii="宋体" w:hAnsi="宋体" w:eastAsia="宋体" w:cs="Times New Roman"/>
                <w:color w:val="auto"/>
                <w:sz w:val="18"/>
                <w:szCs w:val="18"/>
              </w:rPr>
            </w:pPr>
          </w:p>
        </w:tc>
      </w:tr>
      <w:tr w14:paraId="318AF4C6">
        <w:tblPrEx>
          <w:tblCellMar>
            <w:top w:w="0" w:type="dxa"/>
            <w:left w:w="108" w:type="dxa"/>
            <w:bottom w:w="0" w:type="dxa"/>
            <w:right w:w="108" w:type="dxa"/>
          </w:tblCellMar>
        </w:tblPrEx>
        <w:trPr>
          <w:trHeight w:val="185" w:hRule="atLeast"/>
        </w:trPr>
        <w:tc>
          <w:tcPr>
            <w:tcW w:w="665" w:type="dxa"/>
            <w:tcBorders>
              <w:top w:val="nil"/>
              <w:left w:val="single" w:color="auto" w:sz="8" w:space="0"/>
              <w:bottom w:val="single" w:color="auto" w:sz="8" w:space="0"/>
              <w:right w:val="single" w:color="auto" w:sz="8" w:space="0"/>
            </w:tcBorders>
            <w:noWrap/>
            <w:vAlign w:val="center"/>
          </w:tcPr>
          <w:p w14:paraId="7DF080FA">
            <w:pPr>
              <w:jc w:val="center"/>
              <w:rPr>
                <w:rFonts w:ascii="宋体" w:hAnsi="宋体" w:eastAsia="宋体" w:cs="Times New Roman"/>
                <w:color w:val="auto"/>
                <w:sz w:val="18"/>
                <w:szCs w:val="18"/>
              </w:rPr>
            </w:pPr>
            <w:r>
              <w:rPr>
                <w:rFonts w:ascii="宋体" w:hAnsi="宋体" w:eastAsia="宋体" w:cs="Times New Roman"/>
                <w:color w:val="auto"/>
                <w:sz w:val="18"/>
                <w:szCs w:val="18"/>
              </w:rPr>
              <w:t>春季</w:t>
            </w:r>
          </w:p>
        </w:tc>
        <w:tc>
          <w:tcPr>
            <w:tcW w:w="442" w:type="dxa"/>
            <w:tcBorders>
              <w:top w:val="single" w:color="auto" w:sz="8" w:space="0"/>
              <w:left w:val="nil"/>
              <w:bottom w:val="single" w:color="auto" w:sz="8" w:space="0"/>
              <w:right w:val="single" w:color="auto" w:sz="8" w:space="0"/>
            </w:tcBorders>
            <w:noWrap/>
            <w:vAlign w:val="center"/>
          </w:tcPr>
          <w:p w14:paraId="0E90F228">
            <w:pPr>
              <w:jc w:val="center"/>
              <w:rPr>
                <w:rFonts w:ascii="宋体" w:hAnsi="宋体" w:eastAsia="宋体" w:cs="Times New Roman"/>
                <w:color w:val="auto"/>
                <w:sz w:val="18"/>
                <w:szCs w:val="18"/>
              </w:rPr>
            </w:pPr>
            <w:r>
              <w:rPr>
                <w:rFonts w:ascii="宋体" w:hAnsi="宋体" w:eastAsia="宋体" w:cs="Times New Roman"/>
                <w:color w:val="auto"/>
                <w:sz w:val="18"/>
                <w:szCs w:val="18"/>
              </w:rPr>
              <w:t>5.1</w:t>
            </w:r>
          </w:p>
        </w:tc>
        <w:tc>
          <w:tcPr>
            <w:tcW w:w="527" w:type="dxa"/>
            <w:tcBorders>
              <w:top w:val="single" w:color="auto" w:sz="8" w:space="0"/>
              <w:left w:val="nil"/>
              <w:bottom w:val="single" w:color="auto" w:sz="8" w:space="0"/>
              <w:right w:val="single" w:color="auto" w:sz="8" w:space="0"/>
            </w:tcBorders>
            <w:noWrap/>
            <w:vAlign w:val="center"/>
          </w:tcPr>
          <w:p w14:paraId="69A69B68">
            <w:pPr>
              <w:jc w:val="center"/>
              <w:rPr>
                <w:rFonts w:ascii="宋体" w:hAnsi="宋体" w:eastAsia="宋体" w:cs="Times New Roman"/>
                <w:color w:val="auto"/>
                <w:sz w:val="18"/>
                <w:szCs w:val="18"/>
              </w:rPr>
            </w:pPr>
            <w:r>
              <w:rPr>
                <w:rFonts w:ascii="宋体" w:hAnsi="宋体" w:eastAsia="宋体" w:cs="Times New Roman"/>
                <w:color w:val="auto"/>
                <w:sz w:val="18"/>
                <w:szCs w:val="18"/>
              </w:rPr>
              <w:t>3.8</w:t>
            </w:r>
          </w:p>
        </w:tc>
        <w:tc>
          <w:tcPr>
            <w:tcW w:w="441" w:type="dxa"/>
            <w:tcBorders>
              <w:top w:val="single" w:color="auto" w:sz="8" w:space="0"/>
              <w:left w:val="nil"/>
              <w:bottom w:val="single" w:color="auto" w:sz="8" w:space="0"/>
              <w:right w:val="single" w:color="auto" w:sz="8" w:space="0"/>
            </w:tcBorders>
            <w:noWrap/>
            <w:vAlign w:val="center"/>
          </w:tcPr>
          <w:p w14:paraId="37A4CB6F">
            <w:pPr>
              <w:jc w:val="center"/>
              <w:rPr>
                <w:rFonts w:ascii="宋体" w:hAnsi="宋体" w:eastAsia="宋体" w:cs="Times New Roman"/>
                <w:color w:val="auto"/>
                <w:sz w:val="18"/>
                <w:szCs w:val="18"/>
              </w:rPr>
            </w:pPr>
            <w:r>
              <w:rPr>
                <w:rFonts w:ascii="宋体" w:hAnsi="宋体" w:eastAsia="宋体" w:cs="Times New Roman"/>
                <w:color w:val="auto"/>
                <w:sz w:val="18"/>
                <w:szCs w:val="18"/>
              </w:rPr>
              <w:t>2.3</w:t>
            </w:r>
          </w:p>
        </w:tc>
        <w:tc>
          <w:tcPr>
            <w:tcW w:w="510" w:type="dxa"/>
            <w:tcBorders>
              <w:top w:val="single" w:color="auto" w:sz="8" w:space="0"/>
              <w:left w:val="nil"/>
              <w:bottom w:val="single" w:color="auto" w:sz="8" w:space="0"/>
              <w:right w:val="single" w:color="auto" w:sz="8" w:space="0"/>
            </w:tcBorders>
            <w:noWrap/>
            <w:vAlign w:val="center"/>
          </w:tcPr>
          <w:p w14:paraId="481D3552">
            <w:pPr>
              <w:jc w:val="center"/>
              <w:rPr>
                <w:rFonts w:ascii="宋体" w:hAnsi="宋体" w:eastAsia="宋体" w:cs="Times New Roman"/>
                <w:color w:val="auto"/>
                <w:sz w:val="18"/>
                <w:szCs w:val="18"/>
              </w:rPr>
            </w:pPr>
            <w:r>
              <w:rPr>
                <w:rFonts w:ascii="宋体" w:hAnsi="宋体" w:eastAsia="宋体" w:cs="Times New Roman"/>
                <w:color w:val="auto"/>
                <w:sz w:val="18"/>
                <w:szCs w:val="18"/>
              </w:rPr>
              <w:t>1.6</w:t>
            </w:r>
          </w:p>
        </w:tc>
        <w:tc>
          <w:tcPr>
            <w:tcW w:w="441" w:type="dxa"/>
            <w:tcBorders>
              <w:top w:val="single" w:color="auto" w:sz="8" w:space="0"/>
              <w:left w:val="nil"/>
              <w:bottom w:val="single" w:color="auto" w:sz="8" w:space="0"/>
              <w:right w:val="single" w:color="auto" w:sz="8" w:space="0"/>
            </w:tcBorders>
            <w:noWrap/>
            <w:vAlign w:val="center"/>
          </w:tcPr>
          <w:p w14:paraId="23935605">
            <w:pPr>
              <w:jc w:val="center"/>
              <w:rPr>
                <w:rFonts w:ascii="宋体" w:hAnsi="宋体" w:eastAsia="宋体" w:cs="Times New Roman"/>
                <w:color w:val="auto"/>
                <w:sz w:val="18"/>
                <w:szCs w:val="18"/>
              </w:rPr>
            </w:pPr>
            <w:r>
              <w:rPr>
                <w:rFonts w:ascii="宋体" w:hAnsi="宋体" w:eastAsia="宋体" w:cs="Times New Roman"/>
                <w:color w:val="auto"/>
                <w:sz w:val="18"/>
                <w:szCs w:val="18"/>
              </w:rPr>
              <w:t>2.4</w:t>
            </w:r>
          </w:p>
        </w:tc>
        <w:tc>
          <w:tcPr>
            <w:tcW w:w="485" w:type="dxa"/>
            <w:tcBorders>
              <w:top w:val="single" w:color="auto" w:sz="8" w:space="0"/>
              <w:left w:val="nil"/>
              <w:bottom w:val="single" w:color="auto" w:sz="8" w:space="0"/>
              <w:right w:val="single" w:color="auto" w:sz="8" w:space="0"/>
            </w:tcBorders>
            <w:noWrap/>
            <w:vAlign w:val="center"/>
          </w:tcPr>
          <w:p w14:paraId="6657BF60">
            <w:pPr>
              <w:jc w:val="center"/>
              <w:rPr>
                <w:rFonts w:ascii="宋体" w:hAnsi="宋体" w:eastAsia="宋体" w:cs="Times New Roman"/>
                <w:color w:val="auto"/>
                <w:sz w:val="18"/>
                <w:szCs w:val="18"/>
              </w:rPr>
            </w:pPr>
            <w:r>
              <w:rPr>
                <w:rFonts w:ascii="宋体" w:hAnsi="宋体" w:eastAsia="宋体" w:cs="Times New Roman"/>
                <w:color w:val="auto"/>
                <w:sz w:val="18"/>
                <w:szCs w:val="18"/>
              </w:rPr>
              <w:t>3.1</w:t>
            </w:r>
          </w:p>
        </w:tc>
        <w:tc>
          <w:tcPr>
            <w:tcW w:w="441" w:type="dxa"/>
            <w:tcBorders>
              <w:top w:val="single" w:color="auto" w:sz="8" w:space="0"/>
              <w:left w:val="nil"/>
              <w:bottom w:val="single" w:color="auto" w:sz="8" w:space="0"/>
              <w:right w:val="single" w:color="auto" w:sz="8" w:space="0"/>
            </w:tcBorders>
            <w:noWrap/>
            <w:vAlign w:val="center"/>
          </w:tcPr>
          <w:p w14:paraId="4F55C39B">
            <w:pPr>
              <w:jc w:val="center"/>
              <w:rPr>
                <w:rFonts w:ascii="宋体" w:hAnsi="宋体" w:eastAsia="宋体" w:cs="Times New Roman"/>
                <w:color w:val="auto"/>
                <w:sz w:val="18"/>
                <w:szCs w:val="18"/>
              </w:rPr>
            </w:pPr>
            <w:r>
              <w:rPr>
                <w:rFonts w:ascii="宋体" w:hAnsi="宋体" w:eastAsia="宋体" w:cs="Times New Roman"/>
                <w:color w:val="auto"/>
                <w:sz w:val="18"/>
                <w:szCs w:val="18"/>
              </w:rPr>
              <w:t>2.9</w:t>
            </w:r>
          </w:p>
        </w:tc>
        <w:tc>
          <w:tcPr>
            <w:tcW w:w="477" w:type="dxa"/>
            <w:tcBorders>
              <w:top w:val="single" w:color="auto" w:sz="8" w:space="0"/>
              <w:left w:val="nil"/>
              <w:bottom w:val="single" w:color="auto" w:sz="8" w:space="0"/>
              <w:right w:val="single" w:color="auto" w:sz="8" w:space="0"/>
            </w:tcBorders>
            <w:noWrap/>
            <w:vAlign w:val="center"/>
          </w:tcPr>
          <w:p w14:paraId="283DE335">
            <w:pPr>
              <w:jc w:val="center"/>
              <w:rPr>
                <w:rFonts w:ascii="宋体" w:hAnsi="宋体" w:eastAsia="宋体" w:cs="Times New Roman"/>
                <w:color w:val="auto"/>
                <w:sz w:val="18"/>
                <w:szCs w:val="18"/>
              </w:rPr>
            </w:pPr>
            <w:r>
              <w:rPr>
                <w:rFonts w:ascii="宋体" w:hAnsi="宋体" w:eastAsia="宋体" w:cs="Times New Roman"/>
                <w:color w:val="auto"/>
                <w:sz w:val="18"/>
                <w:szCs w:val="18"/>
              </w:rPr>
              <w:t>6.9</w:t>
            </w:r>
          </w:p>
        </w:tc>
        <w:tc>
          <w:tcPr>
            <w:tcW w:w="480" w:type="dxa"/>
            <w:tcBorders>
              <w:top w:val="single" w:color="auto" w:sz="8" w:space="0"/>
              <w:left w:val="nil"/>
              <w:bottom w:val="single" w:color="auto" w:sz="8" w:space="0"/>
              <w:right w:val="single" w:color="auto" w:sz="8" w:space="0"/>
            </w:tcBorders>
            <w:noWrap/>
            <w:vAlign w:val="center"/>
          </w:tcPr>
          <w:p w14:paraId="6942302F">
            <w:pPr>
              <w:jc w:val="center"/>
              <w:rPr>
                <w:rFonts w:ascii="宋体" w:hAnsi="宋体" w:eastAsia="宋体" w:cs="Times New Roman"/>
                <w:color w:val="auto"/>
                <w:sz w:val="18"/>
                <w:szCs w:val="18"/>
              </w:rPr>
            </w:pPr>
            <w:r>
              <w:rPr>
                <w:rFonts w:ascii="宋体" w:hAnsi="宋体" w:eastAsia="宋体" w:cs="Times New Roman"/>
                <w:color w:val="auto"/>
                <w:sz w:val="18"/>
                <w:szCs w:val="18"/>
              </w:rPr>
              <w:t>13.3</w:t>
            </w:r>
          </w:p>
        </w:tc>
        <w:tc>
          <w:tcPr>
            <w:tcW w:w="527" w:type="dxa"/>
            <w:tcBorders>
              <w:top w:val="single" w:color="auto" w:sz="8" w:space="0"/>
              <w:left w:val="nil"/>
              <w:bottom w:val="single" w:color="auto" w:sz="8" w:space="0"/>
              <w:right w:val="single" w:color="auto" w:sz="8" w:space="0"/>
            </w:tcBorders>
            <w:noWrap/>
            <w:vAlign w:val="center"/>
          </w:tcPr>
          <w:p w14:paraId="2B3F634D">
            <w:pPr>
              <w:jc w:val="center"/>
              <w:rPr>
                <w:rFonts w:ascii="宋体" w:hAnsi="宋体" w:eastAsia="宋体" w:cs="Times New Roman"/>
                <w:color w:val="auto"/>
                <w:sz w:val="18"/>
                <w:szCs w:val="18"/>
              </w:rPr>
            </w:pPr>
            <w:r>
              <w:rPr>
                <w:rFonts w:ascii="宋体" w:hAnsi="宋体" w:eastAsia="宋体" w:cs="Times New Roman"/>
                <w:color w:val="auto"/>
                <w:sz w:val="18"/>
                <w:szCs w:val="18"/>
              </w:rPr>
              <w:t>13.4</w:t>
            </w:r>
          </w:p>
        </w:tc>
        <w:tc>
          <w:tcPr>
            <w:tcW w:w="480" w:type="dxa"/>
            <w:tcBorders>
              <w:top w:val="single" w:color="auto" w:sz="8" w:space="0"/>
              <w:left w:val="nil"/>
              <w:bottom w:val="single" w:color="auto" w:sz="8" w:space="0"/>
              <w:right w:val="single" w:color="auto" w:sz="8" w:space="0"/>
            </w:tcBorders>
            <w:noWrap/>
            <w:vAlign w:val="center"/>
          </w:tcPr>
          <w:p w14:paraId="39D14DDA">
            <w:pPr>
              <w:jc w:val="center"/>
              <w:rPr>
                <w:rFonts w:ascii="宋体" w:hAnsi="宋体" w:eastAsia="宋体" w:cs="Times New Roman"/>
                <w:color w:val="auto"/>
                <w:sz w:val="18"/>
                <w:szCs w:val="18"/>
              </w:rPr>
            </w:pPr>
            <w:r>
              <w:rPr>
                <w:rFonts w:ascii="宋体" w:hAnsi="宋体" w:eastAsia="宋体" w:cs="Times New Roman"/>
                <w:color w:val="auto"/>
                <w:sz w:val="18"/>
                <w:szCs w:val="18"/>
              </w:rPr>
              <w:t>6.7</w:t>
            </w:r>
          </w:p>
        </w:tc>
        <w:tc>
          <w:tcPr>
            <w:tcW w:w="585" w:type="dxa"/>
            <w:tcBorders>
              <w:top w:val="single" w:color="auto" w:sz="8" w:space="0"/>
              <w:left w:val="nil"/>
              <w:bottom w:val="single" w:color="auto" w:sz="8" w:space="0"/>
              <w:right w:val="single" w:color="auto" w:sz="8" w:space="0"/>
            </w:tcBorders>
            <w:noWrap/>
            <w:vAlign w:val="center"/>
          </w:tcPr>
          <w:p w14:paraId="2DA4659C">
            <w:pPr>
              <w:jc w:val="center"/>
              <w:rPr>
                <w:rFonts w:ascii="宋体" w:hAnsi="宋体" w:eastAsia="宋体" w:cs="Times New Roman"/>
                <w:color w:val="auto"/>
                <w:sz w:val="18"/>
                <w:szCs w:val="18"/>
              </w:rPr>
            </w:pPr>
            <w:r>
              <w:rPr>
                <w:rFonts w:ascii="宋体" w:hAnsi="宋体" w:eastAsia="宋体" w:cs="Times New Roman"/>
                <w:color w:val="auto"/>
                <w:sz w:val="18"/>
                <w:szCs w:val="18"/>
              </w:rPr>
              <w:t>5.9</w:t>
            </w:r>
          </w:p>
        </w:tc>
        <w:tc>
          <w:tcPr>
            <w:tcW w:w="441" w:type="dxa"/>
            <w:tcBorders>
              <w:top w:val="single" w:color="auto" w:sz="8" w:space="0"/>
              <w:left w:val="nil"/>
              <w:bottom w:val="single" w:color="auto" w:sz="8" w:space="0"/>
              <w:right w:val="single" w:color="auto" w:sz="8" w:space="0"/>
            </w:tcBorders>
            <w:noWrap/>
            <w:vAlign w:val="center"/>
          </w:tcPr>
          <w:p w14:paraId="16DADB1B">
            <w:pPr>
              <w:jc w:val="center"/>
              <w:rPr>
                <w:rFonts w:ascii="宋体" w:hAnsi="宋体" w:eastAsia="宋体" w:cs="Times New Roman"/>
                <w:color w:val="auto"/>
                <w:sz w:val="18"/>
                <w:szCs w:val="18"/>
              </w:rPr>
            </w:pPr>
            <w:r>
              <w:rPr>
                <w:rFonts w:ascii="宋体" w:hAnsi="宋体" w:eastAsia="宋体" w:cs="Times New Roman"/>
                <w:color w:val="auto"/>
                <w:sz w:val="18"/>
                <w:szCs w:val="18"/>
              </w:rPr>
              <w:t>5.0</w:t>
            </w:r>
          </w:p>
        </w:tc>
        <w:tc>
          <w:tcPr>
            <w:tcW w:w="611" w:type="dxa"/>
            <w:tcBorders>
              <w:top w:val="single" w:color="auto" w:sz="8" w:space="0"/>
              <w:left w:val="nil"/>
              <w:bottom w:val="single" w:color="auto" w:sz="8" w:space="0"/>
              <w:right w:val="single" w:color="auto" w:sz="8" w:space="0"/>
            </w:tcBorders>
            <w:noWrap/>
            <w:vAlign w:val="center"/>
          </w:tcPr>
          <w:p w14:paraId="65144E95">
            <w:pPr>
              <w:jc w:val="center"/>
              <w:rPr>
                <w:rFonts w:ascii="宋体" w:hAnsi="宋体" w:eastAsia="宋体" w:cs="Times New Roman"/>
                <w:color w:val="auto"/>
                <w:sz w:val="18"/>
                <w:szCs w:val="18"/>
              </w:rPr>
            </w:pPr>
            <w:r>
              <w:rPr>
                <w:rFonts w:ascii="宋体" w:hAnsi="宋体" w:eastAsia="宋体" w:cs="Times New Roman"/>
                <w:color w:val="auto"/>
                <w:sz w:val="18"/>
                <w:szCs w:val="18"/>
              </w:rPr>
              <w:t>10.1</w:t>
            </w:r>
          </w:p>
        </w:tc>
        <w:tc>
          <w:tcPr>
            <w:tcW w:w="480" w:type="dxa"/>
            <w:tcBorders>
              <w:top w:val="single" w:color="auto" w:sz="8" w:space="0"/>
              <w:left w:val="nil"/>
              <w:bottom w:val="single" w:color="auto" w:sz="8" w:space="0"/>
              <w:right w:val="single" w:color="auto" w:sz="8" w:space="0"/>
            </w:tcBorders>
            <w:noWrap/>
            <w:vAlign w:val="center"/>
          </w:tcPr>
          <w:p w14:paraId="571797AC">
            <w:pPr>
              <w:jc w:val="center"/>
              <w:rPr>
                <w:rFonts w:ascii="宋体" w:hAnsi="宋体" w:eastAsia="宋体" w:cs="Times New Roman"/>
                <w:color w:val="auto"/>
                <w:sz w:val="18"/>
                <w:szCs w:val="18"/>
              </w:rPr>
            </w:pPr>
            <w:r>
              <w:rPr>
                <w:rFonts w:ascii="宋体" w:hAnsi="宋体" w:eastAsia="宋体" w:cs="Times New Roman"/>
                <w:color w:val="auto"/>
                <w:sz w:val="18"/>
                <w:szCs w:val="18"/>
              </w:rPr>
              <w:t>11.0</w:t>
            </w:r>
          </w:p>
        </w:tc>
        <w:tc>
          <w:tcPr>
            <w:tcW w:w="577" w:type="dxa"/>
            <w:tcBorders>
              <w:top w:val="single" w:color="auto" w:sz="8" w:space="0"/>
              <w:left w:val="nil"/>
              <w:bottom w:val="single" w:color="auto" w:sz="8" w:space="0"/>
              <w:right w:val="single" w:color="auto" w:sz="8" w:space="0"/>
            </w:tcBorders>
            <w:noWrap/>
            <w:vAlign w:val="center"/>
          </w:tcPr>
          <w:p w14:paraId="3F2290C1">
            <w:pPr>
              <w:jc w:val="center"/>
              <w:rPr>
                <w:rFonts w:ascii="宋体" w:hAnsi="宋体" w:eastAsia="宋体" w:cs="Times New Roman"/>
                <w:color w:val="auto"/>
                <w:sz w:val="18"/>
                <w:szCs w:val="18"/>
              </w:rPr>
            </w:pPr>
            <w:r>
              <w:rPr>
                <w:rFonts w:ascii="宋体" w:hAnsi="宋体" w:eastAsia="宋体" w:cs="Times New Roman"/>
                <w:color w:val="auto"/>
                <w:sz w:val="18"/>
                <w:szCs w:val="18"/>
              </w:rPr>
              <w:t>4.9</w:t>
            </w:r>
          </w:p>
        </w:tc>
        <w:tc>
          <w:tcPr>
            <w:tcW w:w="441" w:type="dxa"/>
            <w:tcBorders>
              <w:top w:val="single" w:color="auto" w:sz="8" w:space="0"/>
              <w:left w:val="nil"/>
              <w:bottom w:val="single" w:color="auto" w:sz="8" w:space="0"/>
              <w:right w:val="single" w:color="auto" w:sz="8" w:space="0"/>
            </w:tcBorders>
            <w:noWrap/>
            <w:vAlign w:val="center"/>
          </w:tcPr>
          <w:p w14:paraId="2C180BD7">
            <w:pPr>
              <w:jc w:val="center"/>
              <w:rPr>
                <w:rFonts w:ascii="宋体" w:hAnsi="宋体" w:eastAsia="宋体" w:cs="Times New Roman"/>
                <w:color w:val="auto"/>
                <w:sz w:val="18"/>
                <w:szCs w:val="18"/>
              </w:rPr>
            </w:pPr>
            <w:r>
              <w:rPr>
                <w:rFonts w:ascii="宋体" w:hAnsi="宋体" w:eastAsia="宋体" w:cs="Times New Roman"/>
                <w:color w:val="auto"/>
                <w:sz w:val="18"/>
                <w:szCs w:val="18"/>
              </w:rPr>
              <w:t>1.7</w:t>
            </w:r>
          </w:p>
        </w:tc>
      </w:tr>
      <w:tr w14:paraId="1D74CBE8">
        <w:tblPrEx>
          <w:tblCellMar>
            <w:top w:w="0" w:type="dxa"/>
            <w:left w:w="108" w:type="dxa"/>
            <w:bottom w:w="0" w:type="dxa"/>
            <w:right w:w="108" w:type="dxa"/>
          </w:tblCellMar>
        </w:tblPrEx>
        <w:trPr>
          <w:trHeight w:val="185" w:hRule="atLeast"/>
        </w:trPr>
        <w:tc>
          <w:tcPr>
            <w:tcW w:w="665" w:type="dxa"/>
            <w:tcBorders>
              <w:top w:val="nil"/>
              <w:left w:val="single" w:color="auto" w:sz="8" w:space="0"/>
              <w:bottom w:val="single" w:color="auto" w:sz="8" w:space="0"/>
              <w:right w:val="single" w:color="auto" w:sz="8" w:space="0"/>
            </w:tcBorders>
            <w:noWrap/>
            <w:vAlign w:val="center"/>
          </w:tcPr>
          <w:p w14:paraId="3ADD1637">
            <w:pPr>
              <w:jc w:val="center"/>
              <w:rPr>
                <w:rFonts w:ascii="宋体" w:hAnsi="宋体" w:eastAsia="宋体" w:cs="Times New Roman"/>
                <w:color w:val="auto"/>
                <w:sz w:val="18"/>
                <w:szCs w:val="18"/>
              </w:rPr>
            </w:pPr>
            <w:r>
              <w:rPr>
                <w:rFonts w:ascii="宋体" w:hAnsi="宋体" w:eastAsia="宋体" w:cs="Times New Roman"/>
                <w:color w:val="auto"/>
                <w:sz w:val="18"/>
                <w:szCs w:val="18"/>
              </w:rPr>
              <w:t>夏季</w:t>
            </w:r>
          </w:p>
        </w:tc>
        <w:tc>
          <w:tcPr>
            <w:tcW w:w="442" w:type="dxa"/>
            <w:tcBorders>
              <w:top w:val="nil"/>
              <w:left w:val="nil"/>
              <w:bottom w:val="single" w:color="auto" w:sz="8" w:space="0"/>
              <w:right w:val="single" w:color="auto" w:sz="8" w:space="0"/>
            </w:tcBorders>
            <w:noWrap/>
            <w:vAlign w:val="center"/>
          </w:tcPr>
          <w:p w14:paraId="4EA9FDFE">
            <w:pPr>
              <w:jc w:val="center"/>
              <w:rPr>
                <w:rFonts w:ascii="宋体" w:hAnsi="宋体" w:eastAsia="宋体" w:cs="Times New Roman"/>
                <w:color w:val="auto"/>
                <w:sz w:val="18"/>
                <w:szCs w:val="18"/>
              </w:rPr>
            </w:pPr>
            <w:r>
              <w:rPr>
                <w:rFonts w:ascii="宋体" w:hAnsi="宋体" w:eastAsia="宋体" w:cs="Times New Roman"/>
                <w:color w:val="auto"/>
                <w:sz w:val="18"/>
                <w:szCs w:val="18"/>
              </w:rPr>
              <w:t>7.0</w:t>
            </w:r>
          </w:p>
        </w:tc>
        <w:tc>
          <w:tcPr>
            <w:tcW w:w="527" w:type="dxa"/>
            <w:tcBorders>
              <w:top w:val="nil"/>
              <w:left w:val="nil"/>
              <w:bottom w:val="single" w:color="auto" w:sz="8" w:space="0"/>
              <w:right w:val="single" w:color="auto" w:sz="8" w:space="0"/>
            </w:tcBorders>
            <w:noWrap/>
            <w:vAlign w:val="center"/>
          </w:tcPr>
          <w:p w14:paraId="6A81D416">
            <w:pPr>
              <w:jc w:val="center"/>
              <w:rPr>
                <w:rFonts w:ascii="宋体" w:hAnsi="宋体" w:eastAsia="宋体" w:cs="Times New Roman"/>
                <w:color w:val="auto"/>
                <w:sz w:val="18"/>
                <w:szCs w:val="18"/>
              </w:rPr>
            </w:pPr>
            <w:r>
              <w:rPr>
                <w:rFonts w:ascii="宋体" w:hAnsi="宋体" w:eastAsia="宋体" w:cs="Times New Roman"/>
                <w:color w:val="auto"/>
                <w:sz w:val="18"/>
                <w:szCs w:val="18"/>
              </w:rPr>
              <w:t>7.2</w:t>
            </w:r>
          </w:p>
        </w:tc>
        <w:tc>
          <w:tcPr>
            <w:tcW w:w="441" w:type="dxa"/>
            <w:tcBorders>
              <w:top w:val="nil"/>
              <w:left w:val="nil"/>
              <w:bottom w:val="single" w:color="auto" w:sz="8" w:space="0"/>
              <w:right w:val="single" w:color="auto" w:sz="8" w:space="0"/>
            </w:tcBorders>
            <w:noWrap/>
            <w:vAlign w:val="center"/>
          </w:tcPr>
          <w:p w14:paraId="11B22F87">
            <w:pPr>
              <w:jc w:val="center"/>
              <w:rPr>
                <w:rFonts w:ascii="宋体" w:hAnsi="宋体" w:eastAsia="宋体" w:cs="Times New Roman"/>
                <w:color w:val="auto"/>
                <w:sz w:val="18"/>
                <w:szCs w:val="18"/>
              </w:rPr>
            </w:pPr>
            <w:r>
              <w:rPr>
                <w:rFonts w:ascii="宋体" w:hAnsi="宋体" w:eastAsia="宋体" w:cs="Times New Roman"/>
                <w:color w:val="auto"/>
                <w:sz w:val="18"/>
                <w:szCs w:val="18"/>
              </w:rPr>
              <w:t>7.8</w:t>
            </w:r>
          </w:p>
        </w:tc>
        <w:tc>
          <w:tcPr>
            <w:tcW w:w="510" w:type="dxa"/>
            <w:tcBorders>
              <w:top w:val="nil"/>
              <w:left w:val="nil"/>
              <w:bottom w:val="single" w:color="auto" w:sz="8" w:space="0"/>
              <w:right w:val="single" w:color="auto" w:sz="8" w:space="0"/>
            </w:tcBorders>
            <w:noWrap/>
            <w:vAlign w:val="center"/>
          </w:tcPr>
          <w:p w14:paraId="7BD61838">
            <w:pPr>
              <w:jc w:val="center"/>
              <w:rPr>
                <w:rFonts w:ascii="宋体" w:hAnsi="宋体" w:eastAsia="宋体" w:cs="Times New Roman"/>
                <w:color w:val="auto"/>
                <w:sz w:val="18"/>
                <w:szCs w:val="18"/>
              </w:rPr>
            </w:pPr>
            <w:r>
              <w:rPr>
                <w:rFonts w:ascii="宋体" w:hAnsi="宋体" w:eastAsia="宋体" w:cs="Times New Roman"/>
                <w:color w:val="auto"/>
                <w:sz w:val="18"/>
                <w:szCs w:val="18"/>
              </w:rPr>
              <w:t>6.3</w:t>
            </w:r>
          </w:p>
        </w:tc>
        <w:tc>
          <w:tcPr>
            <w:tcW w:w="441" w:type="dxa"/>
            <w:tcBorders>
              <w:top w:val="nil"/>
              <w:left w:val="nil"/>
              <w:bottom w:val="single" w:color="auto" w:sz="8" w:space="0"/>
              <w:right w:val="single" w:color="auto" w:sz="8" w:space="0"/>
            </w:tcBorders>
            <w:noWrap/>
            <w:vAlign w:val="center"/>
          </w:tcPr>
          <w:p w14:paraId="5F6C15CD">
            <w:pPr>
              <w:jc w:val="center"/>
              <w:rPr>
                <w:rFonts w:ascii="宋体" w:hAnsi="宋体" w:eastAsia="宋体" w:cs="Times New Roman"/>
                <w:color w:val="auto"/>
                <w:sz w:val="18"/>
                <w:szCs w:val="18"/>
              </w:rPr>
            </w:pPr>
            <w:r>
              <w:rPr>
                <w:rFonts w:ascii="宋体" w:hAnsi="宋体" w:eastAsia="宋体" w:cs="Times New Roman"/>
                <w:color w:val="auto"/>
                <w:sz w:val="18"/>
                <w:szCs w:val="18"/>
              </w:rPr>
              <w:t>5.9</w:t>
            </w:r>
          </w:p>
        </w:tc>
        <w:tc>
          <w:tcPr>
            <w:tcW w:w="485" w:type="dxa"/>
            <w:tcBorders>
              <w:top w:val="nil"/>
              <w:left w:val="nil"/>
              <w:bottom w:val="single" w:color="auto" w:sz="8" w:space="0"/>
              <w:right w:val="single" w:color="auto" w:sz="8" w:space="0"/>
            </w:tcBorders>
            <w:noWrap/>
            <w:vAlign w:val="center"/>
          </w:tcPr>
          <w:p w14:paraId="508D443F">
            <w:pPr>
              <w:jc w:val="center"/>
              <w:rPr>
                <w:rFonts w:ascii="宋体" w:hAnsi="宋体" w:eastAsia="宋体" w:cs="Times New Roman"/>
                <w:color w:val="auto"/>
                <w:sz w:val="18"/>
                <w:szCs w:val="18"/>
              </w:rPr>
            </w:pPr>
            <w:r>
              <w:rPr>
                <w:rFonts w:ascii="宋体" w:hAnsi="宋体" w:eastAsia="宋体" w:cs="Times New Roman"/>
                <w:color w:val="auto"/>
                <w:sz w:val="18"/>
                <w:szCs w:val="18"/>
              </w:rPr>
              <w:t>5.8</w:t>
            </w:r>
          </w:p>
        </w:tc>
        <w:tc>
          <w:tcPr>
            <w:tcW w:w="441" w:type="dxa"/>
            <w:tcBorders>
              <w:top w:val="nil"/>
              <w:left w:val="nil"/>
              <w:bottom w:val="single" w:color="auto" w:sz="8" w:space="0"/>
              <w:right w:val="single" w:color="auto" w:sz="8" w:space="0"/>
            </w:tcBorders>
            <w:noWrap/>
            <w:vAlign w:val="center"/>
          </w:tcPr>
          <w:p w14:paraId="567FF881">
            <w:pPr>
              <w:jc w:val="center"/>
              <w:rPr>
                <w:rFonts w:ascii="宋体" w:hAnsi="宋体" w:eastAsia="宋体" w:cs="Times New Roman"/>
                <w:color w:val="auto"/>
                <w:sz w:val="18"/>
                <w:szCs w:val="18"/>
              </w:rPr>
            </w:pPr>
            <w:r>
              <w:rPr>
                <w:rFonts w:ascii="宋体" w:hAnsi="宋体" w:eastAsia="宋体" w:cs="Times New Roman"/>
                <w:color w:val="auto"/>
                <w:sz w:val="18"/>
                <w:szCs w:val="18"/>
              </w:rPr>
              <w:t>6.5</w:t>
            </w:r>
          </w:p>
        </w:tc>
        <w:tc>
          <w:tcPr>
            <w:tcW w:w="477" w:type="dxa"/>
            <w:tcBorders>
              <w:top w:val="nil"/>
              <w:left w:val="nil"/>
              <w:bottom w:val="single" w:color="auto" w:sz="8" w:space="0"/>
              <w:right w:val="single" w:color="auto" w:sz="8" w:space="0"/>
            </w:tcBorders>
            <w:noWrap/>
            <w:vAlign w:val="center"/>
          </w:tcPr>
          <w:p w14:paraId="066D61FB">
            <w:pPr>
              <w:jc w:val="center"/>
              <w:rPr>
                <w:rFonts w:ascii="宋体" w:hAnsi="宋体" w:eastAsia="宋体" w:cs="Times New Roman"/>
                <w:color w:val="auto"/>
                <w:sz w:val="18"/>
                <w:szCs w:val="18"/>
              </w:rPr>
            </w:pPr>
            <w:r>
              <w:rPr>
                <w:rFonts w:ascii="宋体" w:hAnsi="宋体" w:eastAsia="宋体" w:cs="Times New Roman"/>
                <w:color w:val="auto"/>
                <w:sz w:val="18"/>
                <w:szCs w:val="18"/>
              </w:rPr>
              <w:t>4.1</w:t>
            </w:r>
          </w:p>
        </w:tc>
        <w:tc>
          <w:tcPr>
            <w:tcW w:w="480" w:type="dxa"/>
            <w:tcBorders>
              <w:top w:val="nil"/>
              <w:left w:val="nil"/>
              <w:bottom w:val="single" w:color="auto" w:sz="8" w:space="0"/>
              <w:right w:val="single" w:color="auto" w:sz="8" w:space="0"/>
            </w:tcBorders>
            <w:noWrap/>
            <w:vAlign w:val="center"/>
          </w:tcPr>
          <w:p w14:paraId="2D5489FD">
            <w:pPr>
              <w:jc w:val="center"/>
              <w:rPr>
                <w:rFonts w:ascii="宋体" w:hAnsi="宋体" w:eastAsia="宋体" w:cs="Times New Roman"/>
                <w:color w:val="auto"/>
                <w:sz w:val="18"/>
                <w:szCs w:val="18"/>
              </w:rPr>
            </w:pPr>
            <w:r>
              <w:rPr>
                <w:rFonts w:ascii="宋体" w:hAnsi="宋体" w:eastAsia="宋体" w:cs="Times New Roman"/>
                <w:color w:val="auto"/>
                <w:sz w:val="18"/>
                <w:szCs w:val="18"/>
              </w:rPr>
              <w:t>5.6</w:t>
            </w:r>
          </w:p>
        </w:tc>
        <w:tc>
          <w:tcPr>
            <w:tcW w:w="527" w:type="dxa"/>
            <w:tcBorders>
              <w:top w:val="nil"/>
              <w:left w:val="nil"/>
              <w:bottom w:val="single" w:color="auto" w:sz="8" w:space="0"/>
              <w:right w:val="single" w:color="auto" w:sz="8" w:space="0"/>
            </w:tcBorders>
            <w:noWrap/>
            <w:vAlign w:val="center"/>
          </w:tcPr>
          <w:p w14:paraId="1F3E8468">
            <w:pPr>
              <w:jc w:val="center"/>
              <w:rPr>
                <w:rFonts w:ascii="宋体" w:hAnsi="宋体" w:eastAsia="宋体" w:cs="Times New Roman"/>
                <w:color w:val="auto"/>
                <w:sz w:val="18"/>
                <w:szCs w:val="18"/>
              </w:rPr>
            </w:pPr>
            <w:r>
              <w:rPr>
                <w:rFonts w:ascii="宋体" w:hAnsi="宋体" w:eastAsia="宋体" w:cs="Times New Roman"/>
                <w:color w:val="auto"/>
                <w:sz w:val="18"/>
                <w:szCs w:val="18"/>
              </w:rPr>
              <w:t>6.9</w:t>
            </w:r>
          </w:p>
        </w:tc>
        <w:tc>
          <w:tcPr>
            <w:tcW w:w="480" w:type="dxa"/>
            <w:tcBorders>
              <w:top w:val="nil"/>
              <w:left w:val="nil"/>
              <w:bottom w:val="single" w:color="auto" w:sz="8" w:space="0"/>
              <w:right w:val="single" w:color="auto" w:sz="8" w:space="0"/>
            </w:tcBorders>
            <w:noWrap/>
            <w:vAlign w:val="center"/>
          </w:tcPr>
          <w:p w14:paraId="3C6A46EC">
            <w:pPr>
              <w:jc w:val="center"/>
              <w:rPr>
                <w:rFonts w:ascii="宋体" w:hAnsi="宋体" w:eastAsia="宋体" w:cs="Times New Roman"/>
                <w:color w:val="auto"/>
                <w:sz w:val="18"/>
                <w:szCs w:val="18"/>
              </w:rPr>
            </w:pPr>
            <w:r>
              <w:rPr>
                <w:rFonts w:ascii="宋体" w:hAnsi="宋体" w:eastAsia="宋体" w:cs="Times New Roman"/>
                <w:color w:val="auto"/>
                <w:sz w:val="18"/>
                <w:szCs w:val="18"/>
              </w:rPr>
              <w:t>10.1</w:t>
            </w:r>
          </w:p>
        </w:tc>
        <w:tc>
          <w:tcPr>
            <w:tcW w:w="585" w:type="dxa"/>
            <w:tcBorders>
              <w:top w:val="nil"/>
              <w:left w:val="nil"/>
              <w:bottom w:val="single" w:color="auto" w:sz="8" w:space="0"/>
              <w:right w:val="single" w:color="auto" w:sz="8" w:space="0"/>
            </w:tcBorders>
            <w:noWrap/>
            <w:vAlign w:val="center"/>
          </w:tcPr>
          <w:p w14:paraId="542FADF7">
            <w:pPr>
              <w:jc w:val="center"/>
              <w:rPr>
                <w:rFonts w:ascii="宋体" w:hAnsi="宋体" w:eastAsia="宋体" w:cs="Times New Roman"/>
                <w:color w:val="auto"/>
                <w:sz w:val="18"/>
                <w:szCs w:val="18"/>
              </w:rPr>
            </w:pPr>
            <w:r>
              <w:rPr>
                <w:rFonts w:ascii="宋体" w:hAnsi="宋体" w:eastAsia="宋体" w:cs="Times New Roman"/>
                <w:color w:val="auto"/>
                <w:sz w:val="18"/>
                <w:szCs w:val="18"/>
              </w:rPr>
              <w:t>6.7</w:t>
            </w:r>
          </w:p>
        </w:tc>
        <w:tc>
          <w:tcPr>
            <w:tcW w:w="441" w:type="dxa"/>
            <w:tcBorders>
              <w:top w:val="nil"/>
              <w:left w:val="nil"/>
              <w:bottom w:val="single" w:color="auto" w:sz="8" w:space="0"/>
              <w:right w:val="single" w:color="auto" w:sz="8" w:space="0"/>
            </w:tcBorders>
            <w:noWrap/>
            <w:vAlign w:val="center"/>
          </w:tcPr>
          <w:p w14:paraId="4431BB97">
            <w:pPr>
              <w:jc w:val="center"/>
              <w:rPr>
                <w:rFonts w:ascii="宋体" w:hAnsi="宋体" w:eastAsia="宋体" w:cs="Times New Roman"/>
                <w:color w:val="auto"/>
                <w:sz w:val="18"/>
                <w:szCs w:val="18"/>
              </w:rPr>
            </w:pPr>
            <w:r>
              <w:rPr>
                <w:rFonts w:ascii="宋体" w:hAnsi="宋体" w:eastAsia="宋体" w:cs="Times New Roman"/>
                <w:color w:val="auto"/>
                <w:sz w:val="18"/>
                <w:szCs w:val="18"/>
              </w:rPr>
              <w:t>5.5</w:t>
            </w:r>
          </w:p>
        </w:tc>
        <w:tc>
          <w:tcPr>
            <w:tcW w:w="611" w:type="dxa"/>
            <w:tcBorders>
              <w:top w:val="nil"/>
              <w:left w:val="nil"/>
              <w:bottom w:val="single" w:color="auto" w:sz="8" w:space="0"/>
              <w:right w:val="single" w:color="auto" w:sz="8" w:space="0"/>
            </w:tcBorders>
            <w:noWrap/>
            <w:vAlign w:val="center"/>
          </w:tcPr>
          <w:p w14:paraId="42F6680C">
            <w:pPr>
              <w:jc w:val="center"/>
              <w:rPr>
                <w:rFonts w:ascii="宋体" w:hAnsi="宋体" w:eastAsia="宋体" w:cs="Times New Roman"/>
                <w:color w:val="auto"/>
                <w:sz w:val="18"/>
                <w:szCs w:val="18"/>
              </w:rPr>
            </w:pPr>
            <w:r>
              <w:rPr>
                <w:rFonts w:ascii="宋体" w:hAnsi="宋体" w:eastAsia="宋体" w:cs="Times New Roman"/>
                <w:color w:val="auto"/>
                <w:sz w:val="18"/>
                <w:szCs w:val="18"/>
              </w:rPr>
              <w:t>4.1</w:t>
            </w:r>
          </w:p>
        </w:tc>
        <w:tc>
          <w:tcPr>
            <w:tcW w:w="480" w:type="dxa"/>
            <w:tcBorders>
              <w:top w:val="nil"/>
              <w:left w:val="nil"/>
              <w:bottom w:val="single" w:color="auto" w:sz="8" w:space="0"/>
              <w:right w:val="single" w:color="auto" w:sz="8" w:space="0"/>
            </w:tcBorders>
            <w:noWrap/>
            <w:vAlign w:val="center"/>
          </w:tcPr>
          <w:p w14:paraId="0202662F">
            <w:pPr>
              <w:jc w:val="center"/>
              <w:rPr>
                <w:rFonts w:ascii="宋体" w:hAnsi="宋体" w:eastAsia="宋体" w:cs="Times New Roman"/>
                <w:color w:val="auto"/>
                <w:sz w:val="18"/>
                <w:szCs w:val="18"/>
              </w:rPr>
            </w:pPr>
            <w:r>
              <w:rPr>
                <w:rFonts w:ascii="宋体" w:hAnsi="宋体" w:eastAsia="宋体" w:cs="Times New Roman"/>
                <w:color w:val="auto"/>
                <w:sz w:val="18"/>
                <w:szCs w:val="18"/>
              </w:rPr>
              <w:t>4.0</w:t>
            </w:r>
          </w:p>
        </w:tc>
        <w:tc>
          <w:tcPr>
            <w:tcW w:w="577" w:type="dxa"/>
            <w:tcBorders>
              <w:top w:val="nil"/>
              <w:left w:val="nil"/>
              <w:bottom w:val="single" w:color="auto" w:sz="8" w:space="0"/>
              <w:right w:val="single" w:color="auto" w:sz="8" w:space="0"/>
            </w:tcBorders>
            <w:noWrap/>
            <w:vAlign w:val="center"/>
          </w:tcPr>
          <w:p w14:paraId="3116DA0A">
            <w:pPr>
              <w:jc w:val="center"/>
              <w:rPr>
                <w:rFonts w:ascii="宋体" w:hAnsi="宋体" w:eastAsia="宋体" w:cs="Times New Roman"/>
                <w:color w:val="auto"/>
                <w:sz w:val="18"/>
                <w:szCs w:val="18"/>
              </w:rPr>
            </w:pPr>
            <w:r>
              <w:rPr>
                <w:rFonts w:ascii="宋体" w:hAnsi="宋体" w:eastAsia="宋体" w:cs="Times New Roman"/>
                <w:color w:val="auto"/>
                <w:sz w:val="18"/>
                <w:szCs w:val="18"/>
              </w:rPr>
              <w:t>4.7</w:t>
            </w:r>
          </w:p>
        </w:tc>
        <w:tc>
          <w:tcPr>
            <w:tcW w:w="441" w:type="dxa"/>
            <w:tcBorders>
              <w:top w:val="nil"/>
              <w:left w:val="nil"/>
              <w:bottom w:val="single" w:color="auto" w:sz="8" w:space="0"/>
              <w:right w:val="single" w:color="auto" w:sz="8" w:space="0"/>
            </w:tcBorders>
            <w:noWrap/>
            <w:vAlign w:val="center"/>
          </w:tcPr>
          <w:p w14:paraId="54B7779E">
            <w:pPr>
              <w:jc w:val="center"/>
              <w:rPr>
                <w:rFonts w:ascii="宋体" w:hAnsi="宋体" w:eastAsia="宋体" w:cs="Times New Roman"/>
                <w:color w:val="auto"/>
                <w:sz w:val="18"/>
                <w:szCs w:val="18"/>
              </w:rPr>
            </w:pPr>
            <w:r>
              <w:rPr>
                <w:rFonts w:ascii="宋体" w:hAnsi="宋体" w:eastAsia="宋体" w:cs="Times New Roman"/>
                <w:color w:val="auto"/>
                <w:sz w:val="18"/>
                <w:szCs w:val="18"/>
              </w:rPr>
              <w:t>1.8</w:t>
            </w:r>
          </w:p>
        </w:tc>
      </w:tr>
      <w:tr w14:paraId="3B7F21CB">
        <w:tblPrEx>
          <w:tblCellMar>
            <w:top w:w="0" w:type="dxa"/>
            <w:left w:w="108" w:type="dxa"/>
            <w:bottom w:w="0" w:type="dxa"/>
            <w:right w:w="108" w:type="dxa"/>
          </w:tblCellMar>
        </w:tblPrEx>
        <w:trPr>
          <w:trHeight w:val="185" w:hRule="atLeast"/>
        </w:trPr>
        <w:tc>
          <w:tcPr>
            <w:tcW w:w="665" w:type="dxa"/>
            <w:tcBorders>
              <w:top w:val="nil"/>
              <w:left w:val="single" w:color="auto" w:sz="8" w:space="0"/>
              <w:bottom w:val="single" w:color="auto" w:sz="8" w:space="0"/>
              <w:right w:val="single" w:color="auto" w:sz="8" w:space="0"/>
            </w:tcBorders>
            <w:noWrap/>
            <w:vAlign w:val="center"/>
          </w:tcPr>
          <w:p w14:paraId="24BF3F27">
            <w:pPr>
              <w:jc w:val="center"/>
              <w:rPr>
                <w:rFonts w:ascii="宋体" w:hAnsi="宋体" w:eastAsia="宋体" w:cs="Times New Roman"/>
                <w:color w:val="auto"/>
                <w:sz w:val="18"/>
                <w:szCs w:val="18"/>
              </w:rPr>
            </w:pPr>
            <w:r>
              <w:rPr>
                <w:rFonts w:ascii="宋体" w:hAnsi="宋体" w:eastAsia="宋体" w:cs="Times New Roman"/>
                <w:color w:val="auto"/>
                <w:sz w:val="18"/>
                <w:szCs w:val="18"/>
              </w:rPr>
              <w:t>秋季</w:t>
            </w:r>
          </w:p>
        </w:tc>
        <w:tc>
          <w:tcPr>
            <w:tcW w:w="442" w:type="dxa"/>
            <w:tcBorders>
              <w:top w:val="nil"/>
              <w:left w:val="nil"/>
              <w:bottom w:val="single" w:color="auto" w:sz="8" w:space="0"/>
              <w:right w:val="single" w:color="auto" w:sz="8" w:space="0"/>
            </w:tcBorders>
            <w:noWrap/>
            <w:vAlign w:val="center"/>
          </w:tcPr>
          <w:p w14:paraId="57E673AA">
            <w:pPr>
              <w:jc w:val="center"/>
              <w:rPr>
                <w:rFonts w:ascii="宋体" w:hAnsi="宋体" w:eastAsia="宋体" w:cs="Times New Roman"/>
                <w:color w:val="auto"/>
                <w:sz w:val="18"/>
                <w:szCs w:val="18"/>
              </w:rPr>
            </w:pPr>
            <w:r>
              <w:rPr>
                <w:rFonts w:ascii="宋体" w:hAnsi="宋体" w:eastAsia="宋体" w:cs="Times New Roman"/>
                <w:color w:val="auto"/>
                <w:sz w:val="18"/>
                <w:szCs w:val="18"/>
              </w:rPr>
              <w:t>8.7</w:t>
            </w:r>
          </w:p>
        </w:tc>
        <w:tc>
          <w:tcPr>
            <w:tcW w:w="527" w:type="dxa"/>
            <w:tcBorders>
              <w:top w:val="nil"/>
              <w:left w:val="nil"/>
              <w:bottom w:val="single" w:color="auto" w:sz="8" w:space="0"/>
              <w:right w:val="single" w:color="auto" w:sz="8" w:space="0"/>
            </w:tcBorders>
            <w:noWrap/>
            <w:vAlign w:val="center"/>
          </w:tcPr>
          <w:p w14:paraId="3EF018F3">
            <w:pPr>
              <w:jc w:val="center"/>
              <w:rPr>
                <w:rFonts w:ascii="宋体" w:hAnsi="宋体" w:eastAsia="宋体" w:cs="Times New Roman"/>
                <w:color w:val="auto"/>
                <w:sz w:val="18"/>
                <w:szCs w:val="18"/>
              </w:rPr>
            </w:pPr>
            <w:r>
              <w:rPr>
                <w:rFonts w:ascii="宋体" w:hAnsi="宋体" w:eastAsia="宋体" w:cs="Times New Roman"/>
                <w:color w:val="auto"/>
                <w:sz w:val="18"/>
                <w:szCs w:val="18"/>
              </w:rPr>
              <w:t>5.3</w:t>
            </w:r>
          </w:p>
        </w:tc>
        <w:tc>
          <w:tcPr>
            <w:tcW w:w="441" w:type="dxa"/>
            <w:tcBorders>
              <w:top w:val="nil"/>
              <w:left w:val="nil"/>
              <w:bottom w:val="single" w:color="auto" w:sz="8" w:space="0"/>
              <w:right w:val="single" w:color="auto" w:sz="8" w:space="0"/>
            </w:tcBorders>
            <w:noWrap/>
            <w:vAlign w:val="center"/>
          </w:tcPr>
          <w:p w14:paraId="1BF9F41A">
            <w:pPr>
              <w:jc w:val="center"/>
              <w:rPr>
                <w:rFonts w:ascii="宋体" w:hAnsi="宋体" w:eastAsia="宋体" w:cs="Times New Roman"/>
                <w:color w:val="auto"/>
                <w:sz w:val="18"/>
                <w:szCs w:val="18"/>
              </w:rPr>
            </w:pPr>
            <w:r>
              <w:rPr>
                <w:rFonts w:ascii="宋体" w:hAnsi="宋体" w:eastAsia="宋体" w:cs="Times New Roman"/>
                <w:color w:val="auto"/>
                <w:sz w:val="18"/>
                <w:szCs w:val="18"/>
              </w:rPr>
              <w:t>4.1</w:t>
            </w:r>
          </w:p>
        </w:tc>
        <w:tc>
          <w:tcPr>
            <w:tcW w:w="510" w:type="dxa"/>
            <w:tcBorders>
              <w:top w:val="nil"/>
              <w:left w:val="nil"/>
              <w:bottom w:val="single" w:color="auto" w:sz="8" w:space="0"/>
              <w:right w:val="single" w:color="auto" w:sz="8" w:space="0"/>
            </w:tcBorders>
            <w:noWrap/>
            <w:vAlign w:val="center"/>
          </w:tcPr>
          <w:p w14:paraId="5F164A68">
            <w:pPr>
              <w:jc w:val="center"/>
              <w:rPr>
                <w:rFonts w:ascii="宋体" w:hAnsi="宋体" w:eastAsia="宋体" w:cs="Times New Roman"/>
                <w:color w:val="auto"/>
                <w:sz w:val="18"/>
                <w:szCs w:val="18"/>
              </w:rPr>
            </w:pPr>
            <w:r>
              <w:rPr>
                <w:rFonts w:ascii="宋体" w:hAnsi="宋体" w:eastAsia="宋体" w:cs="Times New Roman"/>
                <w:color w:val="auto"/>
                <w:sz w:val="18"/>
                <w:szCs w:val="18"/>
              </w:rPr>
              <w:t>2.2</w:t>
            </w:r>
          </w:p>
        </w:tc>
        <w:tc>
          <w:tcPr>
            <w:tcW w:w="441" w:type="dxa"/>
            <w:tcBorders>
              <w:top w:val="nil"/>
              <w:left w:val="nil"/>
              <w:bottom w:val="single" w:color="auto" w:sz="8" w:space="0"/>
              <w:right w:val="single" w:color="auto" w:sz="8" w:space="0"/>
            </w:tcBorders>
            <w:noWrap/>
            <w:vAlign w:val="center"/>
          </w:tcPr>
          <w:p w14:paraId="75316420">
            <w:pPr>
              <w:jc w:val="center"/>
              <w:rPr>
                <w:rFonts w:ascii="宋体" w:hAnsi="宋体" w:eastAsia="宋体" w:cs="Times New Roman"/>
                <w:color w:val="auto"/>
                <w:sz w:val="18"/>
                <w:szCs w:val="18"/>
              </w:rPr>
            </w:pPr>
            <w:r>
              <w:rPr>
                <w:rFonts w:ascii="宋体" w:hAnsi="宋体" w:eastAsia="宋体" w:cs="Times New Roman"/>
                <w:color w:val="auto"/>
                <w:sz w:val="18"/>
                <w:szCs w:val="18"/>
              </w:rPr>
              <w:t>1.6</w:t>
            </w:r>
          </w:p>
        </w:tc>
        <w:tc>
          <w:tcPr>
            <w:tcW w:w="485" w:type="dxa"/>
            <w:tcBorders>
              <w:top w:val="nil"/>
              <w:left w:val="nil"/>
              <w:bottom w:val="single" w:color="auto" w:sz="8" w:space="0"/>
              <w:right w:val="single" w:color="auto" w:sz="8" w:space="0"/>
            </w:tcBorders>
            <w:noWrap/>
            <w:vAlign w:val="center"/>
          </w:tcPr>
          <w:p w14:paraId="02DB127E">
            <w:pPr>
              <w:jc w:val="center"/>
              <w:rPr>
                <w:rFonts w:ascii="宋体" w:hAnsi="宋体" w:eastAsia="宋体" w:cs="Times New Roman"/>
                <w:color w:val="auto"/>
                <w:sz w:val="18"/>
                <w:szCs w:val="18"/>
              </w:rPr>
            </w:pPr>
            <w:r>
              <w:rPr>
                <w:rFonts w:ascii="宋体" w:hAnsi="宋体" w:eastAsia="宋体" w:cs="Times New Roman"/>
                <w:color w:val="auto"/>
                <w:sz w:val="18"/>
                <w:szCs w:val="18"/>
              </w:rPr>
              <w:t>1.1</w:t>
            </w:r>
          </w:p>
        </w:tc>
        <w:tc>
          <w:tcPr>
            <w:tcW w:w="441" w:type="dxa"/>
            <w:tcBorders>
              <w:top w:val="nil"/>
              <w:left w:val="nil"/>
              <w:bottom w:val="single" w:color="auto" w:sz="8" w:space="0"/>
              <w:right w:val="single" w:color="auto" w:sz="8" w:space="0"/>
            </w:tcBorders>
            <w:noWrap/>
            <w:vAlign w:val="center"/>
          </w:tcPr>
          <w:p w14:paraId="296130C9">
            <w:pPr>
              <w:jc w:val="center"/>
              <w:rPr>
                <w:rFonts w:ascii="宋体" w:hAnsi="宋体" w:eastAsia="宋体" w:cs="Times New Roman"/>
                <w:color w:val="auto"/>
                <w:sz w:val="18"/>
                <w:szCs w:val="18"/>
              </w:rPr>
            </w:pPr>
            <w:r>
              <w:rPr>
                <w:rFonts w:ascii="宋体" w:hAnsi="宋体" w:eastAsia="宋体" w:cs="Times New Roman"/>
                <w:color w:val="auto"/>
                <w:sz w:val="18"/>
                <w:szCs w:val="18"/>
              </w:rPr>
              <w:t>1.4</w:t>
            </w:r>
          </w:p>
        </w:tc>
        <w:tc>
          <w:tcPr>
            <w:tcW w:w="477" w:type="dxa"/>
            <w:tcBorders>
              <w:top w:val="nil"/>
              <w:left w:val="nil"/>
              <w:bottom w:val="single" w:color="auto" w:sz="8" w:space="0"/>
              <w:right w:val="single" w:color="auto" w:sz="8" w:space="0"/>
            </w:tcBorders>
            <w:noWrap/>
            <w:vAlign w:val="center"/>
          </w:tcPr>
          <w:p w14:paraId="10994DAA">
            <w:pPr>
              <w:jc w:val="center"/>
              <w:rPr>
                <w:rFonts w:ascii="宋体" w:hAnsi="宋体" w:eastAsia="宋体" w:cs="Times New Roman"/>
                <w:color w:val="auto"/>
                <w:sz w:val="18"/>
                <w:szCs w:val="18"/>
              </w:rPr>
            </w:pPr>
            <w:r>
              <w:rPr>
                <w:rFonts w:ascii="宋体" w:hAnsi="宋体" w:eastAsia="宋体" w:cs="Times New Roman"/>
                <w:color w:val="auto"/>
                <w:sz w:val="18"/>
                <w:szCs w:val="18"/>
              </w:rPr>
              <w:t>2.5</w:t>
            </w:r>
          </w:p>
        </w:tc>
        <w:tc>
          <w:tcPr>
            <w:tcW w:w="480" w:type="dxa"/>
            <w:tcBorders>
              <w:top w:val="nil"/>
              <w:left w:val="nil"/>
              <w:bottom w:val="single" w:color="auto" w:sz="8" w:space="0"/>
              <w:right w:val="single" w:color="auto" w:sz="8" w:space="0"/>
            </w:tcBorders>
            <w:noWrap/>
            <w:vAlign w:val="center"/>
          </w:tcPr>
          <w:p w14:paraId="6445378A">
            <w:pPr>
              <w:jc w:val="center"/>
              <w:rPr>
                <w:rFonts w:ascii="宋体" w:hAnsi="宋体" w:eastAsia="宋体" w:cs="Times New Roman"/>
                <w:color w:val="auto"/>
                <w:sz w:val="18"/>
                <w:szCs w:val="18"/>
              </w:rPr>
            </w:pPr>
            <w:r>
              <w:rPr>
                <w:rFonts w:ascii="宋体" w:hAnsi="宋体" w:eastAsia="宋体" w:cs="Times New Roman"/>
                <w:color w:val="auto"/>
                <w:sz w:val="18"/>
                <w:szCs w:val="18"/>
              </w:rPr>
              <w:t>5.3</w:t>
            </w:r>
          </w:p>
        </w:tc>
        <w:tc>
          <w:tcPr>
            <w:tcW w:w="527" w:type="dxa"/>
            <w:tcBorders>
              <w:top w:val="nil"/>
              <w:left w:val="nil"/>
              <w:bottom w:val="single" w:color="auto" w:sz="8" w:space="0"/>
              <w:right w:val="single" w:color="auto" w:sz="8" w:space="0"/>
            </w:tcBorders>
            <w:noWrap/>
            <w:vAlign w:val="center"/>
          </w:tcPr>
          <w:p w14:paraId="4E709F98">
            <w:pPr>
              <w:jc w:val="center"/>
              <w:rPr>
                <w:rFonts w:ascii="宋体" w:hAnsi="宋体" w:eastAsia="宋体" w:cs="Times New Roman"/>
                <w:color w:val="auto"/>
                <w:sz w:val="18"/>
                <w:szCs w:val="18"/>
              </w:rPr>
            </w:pPr>
            <w:r>
              <w:rPr>
                <w:rFonts w:ascii="宋体" w:hAnsi="宋体" w:eastAsia="宋体" w:cs="Times New Roman"/>
                <w:color w:val="auto"/>
                <w:sz w:val="18"/>
                <w:szCs w:val="18"/>
              </w:rPr>
              <w:t>10.5</w:t>
            </w:r>
          </w:p>
        </w:tc>
        <w:tc>
          <w:tcPr>
            <w:tcW w:w="480" w:type="dxa"/>
            <w:tcBorders>
              <w:top w:val="nil"/>
              <w:left w:val="nil"/>
              <w:bottom w:val="single" w:color="auto" w:sz="8" w:space="0"/>
              <w:right w:val="single" w:color="auto" w:sz="8" w:space="0"/>
            </w:tcBorders>
            <w:noWrap/>
            <w:vAlign w:val="center"/>
          </w:tcPr>
          <w:p w14:paraId="51A76ABA">
            <w:pPr>
              <w:jc w:val="center"/>
              <w:rPr>
                <w:rFonts w:ascii="宋体" w:hAnsi="宋体" w:eastAsia="宋体" w:cs="Times New Roman"/>
                <w:color w:val="auto"/>
                <w:sz w:val="18"/>
                <w:szCs w:val="18"/>
              </w:rPr>
            </w:pPr>
            <w:r>
              <w:rPr>
                <w:rFonts w:ascii="宋体" w:hAnsi="宋体" w:eastAsia="宋体" w:cs="Times New Roman"/>
                <w:color w:val="auto"/>
                <w:sz w:val="18"/>
                <w:szCs w:val="18"/>
              </w:rPr>
              <w:t>16.1</w:t>
            </w:r>
          </w:p>
        </w:tc>
        <w:tc>
          <w:tcPr>
            <w:tcW w:w="585" w:type="dxa"/>
            <w:tcBorders>
              <w:top w:val="nil"/>
              <w:left w:val="nil"/>
              <w:bottom w:val="single" w:color="auto" w:sz="8" w:space="0"/>
              <w:right w:val="single" w:color="auto" w:sz="8" w:space="0"/>
            </w:tcBorders>
            <w:noWrap/>
            <w:vAlign w:val="center"/>
          </w:tcPr>
          <w:p w14:paraId="1EB6399D">
            <w:pPr>
              <w:jc w:val="center"/>
              <w:rPr>
                <w:rFonts w:ascii="宋体" w:hAnsi="宋体" w:eastAsia="宋体" w:cs="Times New Roman"/>
                <w:color w:val="auto"/>
                <w:sz w:val="18"/>
                <w:szCs w:val="18"/>
              </w:rPr>
            </w:pPr>
            <w:r>
              <w:rPr>
                <w:rFonts w:ascii="宋体" w:hAnsi="宋体" w:eastAsia="宋体" w:cs="Times New Roman"/>
                <w:color w:val="auto"/>
                <w:sz w:val="18"/>
                <w:szCs w:val="18"/>
              </w:rPr>
              <w:t>11.8</w:t>
            </w:r>
          </w:p>
        </w:tc>
        <w:tc>
          <w:tcPr>
            <w:tcW w:w="441" w:type="dxa"/>
            <w:tcBorders>
              <w:top w:val="nil"/>
              <w:left w:val="nil"/>
              <w:bottom w:val="single" w:color="auto" w:sz="8" w:space="0"/>
              <w:right w:val="single" w:color="auto" w:sz="8" w:space="0"/>
            </w:tcBorders>
            <w:noWrap/>
            <w:vAlign w:val="center"/>
          </w:tcPr>
          <w:p w14:paraId="4FCCFFEB">
            <w:pPr>
              <w:jc w:val="center"/>
              <w:rPr>
                <w:rFonts w:ascii="宋体" w:hAnsi="宋体" w:eastAsia="宋体" w:cs="Times New Roman"/>
                <w:color w:val="auto"/>
                <w:sz w:val="18"/>
                <w:szCs w:val="18"/>
              </w:rPr>
            </w:pPr>
            <w:r>
              <w:rPr>
                <w:rFonts w:ascii="宋体" w:hAnsi="宋体" w:eastAsia="宋体" w:cs="Times New Roman"/>
                <w:color w:val="auto"/>
                <w:sz w:val="18"/>
                <w:szCs w:val="18"/>
              </w:rPr>
              <w:t>9.8</w:t>
            </w:r>
          </w:p>
        </w:tc>
        <w:tc>
          <w:tcPr>
            <w:tcW w:w="611" w:type="dxa"/>
            <w:tcBorders>
              <w:top w:val="nil"/>
              <w:left w:val="nil"/>
              <w:bottom w:val="single" w:color="auto" w:sz="8" w:space="0"/>
              <w:right w:val="single" w:color="auto" w:sz="8" w:space="0"/>
            </w:tcBorders>
            <w:noWrap/>
            <w:vAlign w:val="center"/>
          </w:tcPr>
          <w:p w14:paraId="0682C9F1">
            <w:pPr>
              <w:jc w:val="center"/>
              <w:rPr>
                <w:rFonts w:ascii="宋体" w:hAnsi="宋体" w:eastAsia="宋体" w:cs="Times New Roman"/>
                <w:color w:val="auto"/>
                <w:sz w:val="18"/>
                <w:szCs w:val="18"/>
              </w:rPr>
            </w:pPr>
            <w:r>
              <w:rPr>
                <w:rFonts w:ascii="宋体" w:hAnsi="宋体" w:eastAsia="宋体" w:cs="Times New Roman"/>
                <w:color w:val="auto"/>
                <w:sz w:val="18"/>
                <w:szCs w:val="18"/>
              </w:rPr>
              <w:t>6.0</w:t>
            </w:r>
          </w:p>
        </w:tc>
        <w:tc>
          <w:tcPr>
            <w:tcW w:w="480" w:type="dxa"/>
            <w:tcBorders>
              <w:top w:val="nil"/>
              <w:left w:val="nil"/>
              <w:bottom w:val="single" w:color="auto" w:sz="8" w:space="0"/>
              <w:right w:val="single" w:color="auto" w:sz="8" w:space="0"/>
            </w:tcBorders>
            <w:noWrap/>
            <w:vAlign w:val="center"/>
          </w:tcPr>
          <w:p w14:paraId="6289E7C8">
            <w:pPr>
              <w:jc w:val="center"/>
              <w:rPr>
                <w:rFonts w:ascii="宋体" w:hAnsi="宋体" w:eastAsia="宋体" w:cs="Times New Roman"/>
                <w:color w:val="auto"/>
                <w:sz w:val="18"/>
                <w:szCs w:val="18"/>
              </w:rPr>
            </w:pPr>
            <w:r>
              <w:rPr>
                <w:rFonts w:ascii="宋体" w:hAnsi="宋体" w:eastAsia="宋体" w:cs="Times New Roman"/>
                <w:color w:val="auto"/>
                <w:sz w:val="18"/>
                <w:szCs w:val="18"/>
              </w:rPr>
              <w:t>4.3</w:t>
            </w:r>
          </w:p>
        </w:tc>
        <w:tc>
          <w:tcPr>
            <w:tcW w:w="577" w:type="dxa"/>
            <w:tcBorders>
              <w:top w:val="nil"/>
              <w:left w:val="nil"/>
              <w:bottom w:val="single" w:color="auto" w:sz="8" w:space="0"/>
              <w:right w:val="single" w:color="auto" w:sz="8" w:space="0"/>
            </w:tcBorders>
            <w:noWrap/>
            <w:vAlign w:val="center"/>
          </w:tcPr>
          <w:p w14:paraId="5F8DDD90">
            <w:pPr>
              <w:jc w:val="center"/>
              <w:rPr>
                <w:rFonts w:ascii="宋体" w:hAnsi="宋体" w:eastAsia="宋体" w:cs="Times New Roman"/>
                <w:color w:val="auto"/>
                <w:sz w:val="18"/>
                <w:szCs w:val="18"/>
              </w:rPr>
            </w:pPr>
            <w:r>
              <w:rPr>
                <w:rFonts w:ascii="宋体" w:hAnsi="宋体" w:eastAsia="宋体" w:cs="Times New Roman"/>
                <w:color w:val="auto"/>
                <w:sz w:val="18"/>
                <w:szCs w:val="18"/>
              </w:rPr>
              <w:t>8.3</w:t>
            </w:r>
          </w:p>
        </w:tc>
        <w:tc>
          <w:tcPr>
            <w:tcW w:w="441" w:type="dxa"/>
            <w:tcBorders>
              <w:top w:val="nil"/>
              <w:left w:val="nil"/>
              <w:bottom w:val="single" w:color="auto" w:sz="8" w:space="0"/>
              <w:right w:val="single" w:color="auto" w:sz="8" w:space="0"/>
            </w:tcBorders>
            <w:noWrap/>
            <w:vAlign w:val="center"/>
          </w:tcPr>
          <w:p w14:paraId="6079CB75">
            <w:pPr>
              <w:jc w:val="center"/>
              <w:rPr>
                <w:rFonts w:ascii="宋体" w:hAnsi="宋体" w:eastAsia="宋体" w:cs="Times New Roman"/>
                <w:color w:val="auto"/>
                <w:sz w:val="18"/>
                <w:szCs w:val="18"/>
              </w:rPr>
            </w:pPr>
            <w:r>
              <w:rPr>
                <w:rFonts w:ascii="宋体" w:hAnsi="宋体" w:eastAsia="宋体" w:cs="Times New Roman"/>
                <w:color w:val="auto"/>
                <w:sz w:val="18"/>
                <w:szCs w:val="18"/>
              </w:rPr>
              <w:t>1.1</w:t>
            </w:r>
          </w:p>
        </w:tc>
      </w:tr>
      <w:tr w14:paraId="20A89CB8">
        <w:tblPrEx>
          <w:tblCellMar>
            <w:top w:w="0" w:type="dxa"/>
            <w:left w:w="108" w:type="dxa"/>
            <w:bottom w:w="0" w:type="dxa"/>
            <w:right w:w="108" w:type="dxa"/>
          </w:tblCellMar>
        </w:tblPrEx>
        <w:trPr>
          <w:trHeight w:val="185" w:hRule="atLeast"/>
        </w:trPr>
        <w:tc>
          <w:tcPr>
            <w:tcW w:w="665" w:type="dxa"/>
            <w:tcBorders>
              <w:top w:val="nil"/>
              <w:left w:val="single" w:color="auto" w:sz="8" w:space="0"/>
              <w:bottom w:val="single" w:color="auto" w:sz="8" w:space="0"/>
              <w:right w:val="single" w:color="auto" w:sz="8" w:space="0"/>
            </w:tcBorders>
            <w:noWrap/>
            <w:vAlign w:val="center"/>
          </w:tcPr>
          <w:p w14:paraId="17403DDE">
            <w:pPr>
              <w:jc w:val="center"/>
              <w:rPr>
                <w:rFonts w:ascii="宋体" w:hAnsi="宋体" w:eastAsia="宋体" w:cs="Times New Roman"/>
                <w:color w:val="auto"/>
                <w:sz w:val="18"/>
                <w:szCs w:val="18"/>
              </w:rPr>
            </w:pPr>
            <w:r>
              <w:rPr>
                <w:rFonts w:ascii="宋体" w:hAnsi="宋体" w:eastAsia="宋体" w:cs="Times New Roman"/>
                <w:color w:val="auto"/>
                <w:sz w:val="18"/>
                <w:szCs w:val="18"/>
              </w:rPr>
              <w:t>冬季</w:t>
            </w:r>
          </w:p>
        </w:tc>
        <w:tc>
          <w:tcPr>
            <w:tcW w:w="442" w:type="dxa"/>
            <w:tcBorders>
              <w:top w:val="nil"/>
              <w:left w:val="nil"/>
              <w:bottom w:val="single" w:color="auto" w:sz="8" w:space="0"/>
              <w:right w:val="single" w:color="auto" w:sz="8" w:space="0"/>
            </w:tcBorders>
            <w:noWrap/>
            <w:vAlign w:val="center"/>
          </w:tcPr>
          <w:p w14:paraId="16922E50">
            <w:pPr>
              <w:jc w:val="center"/>
              <w:rPr>
                <w:rFonts w:ascii="宋体" w:hAnsi="宋体" w:eastAsia="宋体" w:cs="Times New Roman"/>
                <w:color w:val="auto"/>
                <w:sz w:val="18"/>
                <w:szCs w:val="18"/>
              </w:rPr>
            </w:pPr>
            <w:r>
              <w:rPr>
                <w:rFonts w:ascii="宋体" w:hAnsi="宋体" w:eastAsia="宋体" w:cs="Times New Roman"/>
                <w:color w:val="auto"/>
                <w:sz w:val="18"/>
                <w:szCs w:val="18"/>
              </w:rPr>
              <w:t>8.3</w:t>
            </w:r>
          </w:p>
        </w:tc>
        <w:tc>
          <w:tcPr>
            <w:tcW w:w="527" w:type="dxa"/>
            <w:tcBorders>
              <w:top w:val="nil"/>
              <w:left w:val="nil"/>
              <w:bottom w:val="single" w:color="auto" w:sz="8" w:space="0"/>
              <w:right w:val="single" w:color="auto" w:sz="8" w:space="0"/>
            </w:tcBorders>
            <w:noWrap/>
            <w:vAlign w:val="center"/>
          </w:tcPr>
          <w:p w14:paraId="0107838A">
            <w:pPr>
              <w:jc w:val="center"/>
              <w:rPr>
                <w:rFonts w:ascii="宋体" w:hAnsi="宋体" w:eastAsia="宋体" w:cs="Times New Roman"/>
                <w:color w:val="auto"/>
                <w:sz w:val="18"/>
                <w:szCs w:val="18"/>
              </w:rPr>
            </w:pPr>
            <w:r>
              <w:rPr>
                <w:rFonts w:ascii="宋体" w:hAnsi="宋体" w:eastAsia="宋体" w:cs="Times New Roman"/>
                <w:color w:val="auto"/>
                <w:sz w:val="18"/>
                <w:szCs w:val="18"/>
              </w:rPr>
              <w:t>2.1</w:t>
            </w:r>
          </w:p>
        </w:tc>
        <w:tc>
          <w:tcPr>
            <w:tcW w:w="441" w:type="dxa"/>
            <w:tcBorders>
              <w:top w:val="nil"/>
              <w:left w:val="nil"/>
              <w:bottom w:val="single" w:color="auto" w:sz="8" w:space="0"/>
              <w:right w:val="single" w:color="auto" w:sz="8" w:space="0"/>
            </w:tcBorders>
            <w:noWrap/>
            <w:vAlign w:val="center"/>
          </w:tcPr>
          <w:p w14:paraId="184DFBC2">
            <w:pPr>
              <w:jc w:val="center"/>
              <w:rPr>
                <w:rFonts w:ascii="宋体" w:hAnsi="宋体" w:eastAsia="宋体" w:cs="Times New Roman"/>
                <w:color w:val="auto"/>
                <w:sz w:val="18"/>
                <w:szCs w:val="18"/>
              </w:rPr>
            </w:pPr>
            <w:r>
              <w:rPr>
                <w:rFonts w:ascii="宋体" w:hAnsi="宋体" w:eastAsia="宋体" w:cs="Times New Roman"/>
                <w:color w:val="auto"/>
                <w:sz w:val="18"/>
                <w:szCs w:val="18"/>
              </w:rPr>
              <w:t>2.4</w:t>
            </w:r>
          </w:p>
        </w:tc>
        <w:tc>
          <w:tcPr>
            <w:tcW w:w="510" w:type="dxa"/>
            <w:tcBorders>
              <w:top w:val="nil"/>
              <w:left w:val="nil"/>
              <w:bottom w:val="single" w:color="auto" w:sz="8" w:space="0"/>
              <w:right w:val="single" w:color="auto" w:sz="8" w:space="0"/>
            </w:tcBorders>
            <w:noWrap/>
            <w:vAlign w:val="center"/>
          </w:tcPr>
          <w:p w14:paraId="02C004EB">
            <w:pPr>
              <w:jc w:val="center"/>
              <w:rPr>
                <w:rFonts w:ascii="宋体" w:hAnsi="宋体" w:eastAsia="宋体" w:cs="Times New Roman"/>
                <w:color w:val="auto"/>
                <w:sz w:val="18"/>
                <w:szCs w:val="18"/>
              </w:rPr>
            </w:pPr>
            <w:r>
              <w:rPr>
                <w:rFonts w:ascii="宋体" w:hAnsi="宋体" w:eastAsia="宋体" w:cs="Times New Roman"/>
                <w:color w:val="auto"/>
                <w:sz w:val="18"/>
                <w:szCs w:val="18"/>
              </w:rPr>
              <w:t>1.0</w:t>
            </w:r>
          </w:p>
        </w:tc>
        <w:tc>
          <w:tcPr>
            <w:tcW w:w="441" w:type="dxa"/>
            <w:tcBorders>
              <w:top w:val="nil"/>
              <w:left w:val="nil"/>
              <w:bottom w:val="single" w:color="auto" w:sz="8" w:space="0"/>
              <w:right w:val="single" w:color="auto" w:sz="8" w:space="0"/>
            </w:tcBorders>
            <w:noWrap/>
            <w:vAlign w:val="center"/>
          </w:tcPr>
          <w:p w14:paraId="1B895645">
            <w:pPr>
              <w:jc w:val="center"/>
              <w:rPr>
                <w:rFonts w:ascii="宋体" w:hAnsi="宋体" w:eastAsia="宋体" w:cs="Times New Roman"/>
                <w:color w:val="auto"/>
                <w:sz w:val="18"/>
                <w:szCs w:val="18"/>
              </w:rPr>
            </w:pPr>
            <w:r>
              <w:rPr>
                <w:rFonts w:ascii="宋体" w:hAnsi="宋体" w:eastAsia="宋体" w:cs="Times New Roman"/>
                <w:color w:val="auto"/>
                <w:sz w:val="18"/>
                <w:szCs w:val="18"/>
              </w:rPr>
              <w:t>1.0</w:t>
            </w:r>
          </w:p>
        </w:tc>
        <w:tc>
          <w:tcPr>
            <w:tcW w:w="485" w:type="dxa"/>
            <w:tcBorders>
              <w:top w:val="nil"/>
              <w:left w:val="nil"/>
              <w:bottom w:val="single" w:color="auto" w:sz="8" w:space="0"/>
              <w:right w:val="single" w:color="auto" w:sz="8" w:space="0"/>
            </w:tcBorders>
            <w:noWrap/>
            <w:vAlign w:val="center"/>
          </w:tcPr>
          <w:p w14:paraId="7EBF5B4F">
            <w:pPr>
              <w:jc w:val="center"/>
              <w:rPr>
                <w:rFonts w:ascii="宋体" w:hAnsi="宋体" w:eastAsia="宋体" w:cs="Times New Roman"/>
                <w:color w:val="auto"/>
                <w:sz w:val="18"/>
                <w:szCs w:val="18"/>
              </w:rPr>
            </w:pPr>
            <w:r>
              <w:rPr>
                <w:rFonts w:ascii="宋体" w:hAnsi="宋体" w:eastAsia="宋体" w:cs="Times New Roman"/>
                <w:color w:val="auto"/>
                <w:sz w:val="18"/>
                <w:szCs w:val="18"/>
              </w:rPr>
              <w:t>1.6</w:t>
            </w:r>
          </w:p>
        </w:tc>
        <w:tc>
          <w:tcPr>
            <w:tcW w:w="441" w:type="dxa"/>
            <w:tcBorders>
              <w:top w:val="nil"/>
              <w:left w:val="nil"/>
              <w:bottom w:val="single" w:color="auto" w:sz="8" w:space="0"/>
              <w:right w:val="single" w:color="auto" w:sz="8" w:space="0"/>
            </w:tcBorders>
            <w:noWrap/>
            <w:vAlign w:val="center"/>
          </w:tcPr>
          <w:p w14:paraId="0E1EF4C7">
            <w:pPr>
              <w:jc w:val="center"/>
              <w:rPr>
                <w:rFonts w:ascii="宋体" w:hAnsi="宋体" w:eastAsia="宋体" w:cs="Times New Roman"/>
                <w:color w:val="auto"/>
                <w:sz w:val="18"/>
                <w:szCs w:val="18"/>
              </w:rPr>
            </w:pPr>
            <w:r>
              <w:rPr>
                <w:rFonts w:ascii="宋体" w:hAnsi="宋体" w:eastAsia="宋体" w:cs="Times New Roman"/>
                <w:color w:val="auto"/>
                <w:sz w:val="18"/>
                <w:szCs w:val="18"/>
              </w:rPr>
              <w:t>1.9</w:t>
            </w:r>
          </w:p>
        </w:tc>
        <w:tc>
          <w:tcPr>
            <w:tcW w:w="477" w:type="dxa"/>
            <w:tcBorders>
              <w:top w:val="nil"/>
              <w:left w:val="nil"/>
              <w:bottom w:val="single" w:color="auto" w:sz="8" w:space="0"/>
              <w:right w:val="single" w:color="auto" w:sz="8" w:space="0"/>
            </w:tcBorders>
            <w:noWrap/>
            <w:vAlign w:val="center"/>
          </w:tcPr>
          <w:p w14:paraId="54A136F5">
            <w:pPr>
              <w:jc w:val="center"/>
              <w:rPr>
                <w:rFonts w:ascii="宋体" w:hAnsi="宋体" w:eastAsia="宋体" w:cs="Times New Roman"/>
                <w:color w:val="auto"/>
                <w:sz w:val="18"/>
                <w:szCs w:val="18"/>
              </w:rPr>
            </w:pPr>
            <w:r>
              <w:rPr>
                <w:rFonts w:ascii="宋体" w:hAnsi="宋体" w:eastAsia="宋体" w:cs="Times New Roman"/>
                <w:color w:val="auto"/>
                <w:sz w:val="18"/>
                <w:szCs w:val="18"/>
              </w:rPr>
              <w:t>4.8</w:t>
            </w:r>
          </w:p>
        </w:tc>
        <w:tc>
          <w:tcPr>
            <w:tcW w:w="480" w:type="dxa"/>
            <w:tcBorders>
              <w:top w:val="nil"/>
              <w:left w:val="nil"/>
              <w:bottom w:val="single" w:color="auto" w:sz="8" w:space="0"/>
              <w:right w:val="single" w:color="auto" w:sz="8" w:space="0"/>
            </w:tcBorders>
            <w:noWrap/>
            <w:vAlign w:val="center"/>
          </w:tcPr>
          <w:p w14:paraId="47C6257A">
            <w:pPr>
              <w:jc w:val="center"/>
              <w:rPr>
                <w:rFonts w:ascii="宋体" w:hAnsi="宋体" w:eastAsia="宋体" w:cs="Times New Roman"/>
                <w:color w:val="auto"/>
                <w:sz w:val="18"/>
                <w:szCs w:val="18"/>
              </w:rPr>
            </w:pPr>
            <w:r>
              <w:rPr>
                <w:rFonts w:ascii="宋体" w:hAnsi="宋体" w:eastAsia="宋体" w:cs="Times New Roman"/>
                <w:color w:val="auto"/>
                <w:sz w:val="18"/>
                <w:szCs w:val="18"/>
              </w:rPr>
              <w:t>9.8</w:t>
            </w:r>
          </w:p>
        </w:tc>
        <w:tc>
          <w:tcPr>
            <w:tcW w:w="527" w:type="dxa"/>
            <w:tcBorders>
              <w:top w:val="nil"/>
              <w:left w:val="nil"/>
              <w:bottom w:val="single" w:color="auto" w:sz="8" w:space="0"/>
              <w:right w:val="single" w:color="auto" w:sz="8" w:space="0"/>
            </w:tcBorders>
            <w:noWrap/>
            <w:vAlign w:val="center"/>
          </w:tcPr>
          <w:p w14:paraId="1798964F">
            <w:pPr>
              <w:jc w:val="center"/>
              <w:rPr>
                <w:rFonts w:ascii="宋体" w:hAnsi="宋体" w:eastAsia="宋体" w:cs="Times New Roman"/>
                <w:color w:val="auto"/>
                <w:sz w:val="18"/>
                <w:szCs w:val="18"/>
              </w:rPr>
            </w:pPr>
            <w:r>
              <w:rPr>
                <w:rFonts w:ascii="宋体" w:hAnsi="宋体" w:eastAsia="宋体" w:cs="Times New Roman"/>
                <w:color w:val="auto"/>
                <w:sz w:val="18"/>
                <w:szCs w:val="18"/>
              </w:rPr>
              <w:t>7.6</w:t>
            </w:r>
          </w:p>
        </w:tc>
        <w:tc>
          <w:tcPr>
            <w:tcW w:w="480" w:type="dxa"/>
            <w:tcBorders>
              <w:top w:val="nil"/>
              <w:left w:val="nil"/>
              <w:bottom w:val="single" w:color="auto" w:sz="8" w:space="0"/>
              <w:right w:val="single" w:color="auto" w:sz="8" w:space="0"/>
            </w:tcBorders>
            <w:noWrap/>
            <w:vAlign w:val="center"/>
          </w:tcPr>
          <w:p w14:paraId="53CB1822">
            <w:pPr>
              <w:jc w:val="center"/>
              <w:rPr>
                <w:rFonts w:ascii="宋体" w:hAnsi="宋体" w:eastAsia="宋体" w:cs="Times New Roman"/>
                <w:color w:val="auto"/>
                <w:sz w:val="18"/>
                <w:szCs w:val="18"/>
              </w:rPr>
            </w:pPr>
            <w:r>
              <w:rPr>
                <w:rFonts w:ascii="宋体" w:hAnsi="宋体" w:eastAsia="宋体" w:cs="Times New Roman"/>
                <w:color w:val="auto"/>
                <w:sz w:val="18"/>
                <w:szCs w:val="18"/>
              </w:rPr>
              <w:t>5.0</w:t>
            </w:r>
          </w:p>
        </w:tc>
        <w:tc>
          <w:tcPr>
            <w:tcW w:w="585" w:type="dxa"/>
            <w:tcBorders>
              <w:top w:val="nil"/>
              <w:left w:val="nil"/>
              <w:bottom w:val="single" w:color="auto" w:sz="8" w:space="0"/>
              <w:right w:val="single" w:color="auto" w:sz="8" w:space="0"/>
            </w:tcBorders>
            <w:noWrap/>
            <w:vAlign w:val="center"/>
          </w:tcPr>
          <w:p w14:paraId="3169BC79">
            <w:pPr>
              <w:jc w:val="center"/>
              <w:rPr>
                <w:rFonts w:ascii="宋体" w:hAnsi="宋体" w:eastAsia="宋体" w:cs="Times New Roman"/>
                <w:color w:val="auto"/>
                <w:sz w:val="18"/>
                <w:szCs w:val="18"/>
              </w:rPr>
            </w:pPr>
            <w:r>
              <w:rPr>
                <w:rFonts w:ascii="宋体" w:hAnsi="宋体" w:eastAsia="宋体" w:cs="Times New Roman"/>
                <w:color w:val="auto"/>
                <w:sz w:val="18"/>
                <w:szCs w:val="18"/>
              </w:rPr>
              <w:t>5.8</w:t>
            </w:r>
          </w:p>
        </w:tc>
        <w:tc>
          <w:tcPr>
            <w:tcW w:w="441" w:type="dxa"/>
            <w:tcBorders>
              <w:top w:val="nil"/>
              <w:left w:val="nil"/>
              <w:bottom w:val="single" w:color="auto" w:sz="8" w:space="0"/>
              <w:right w:val="single" w:color="auto" w:sz="8" w:space="0"/>
            </w:tcBorders>
            <w:noWrap/>
            <w:vAlign w:val="center"/>
          </w:tcPr>
          <w:p w14:paraId="40704BEB">
            <w:pPr>
              <w:jc w:val="center"/>
              <w:rPr>
                <w:rFonts w:ascii="宋体" w:hAnsi="宋体" w:eastAsia="宋体" w:cs="Times New Roman"/>
                <w:color w:val="auto"/>
                <w:sz w:val="18"/>
                <w:szCs w:val="18"/>
              </w:rPr>
            </w:pPr>
            <w:r>
              <w:rPr>
                <w:rFonts w:ascii="宋体" w:hAnsi="宋体" w:eastAsia="宋体" w:cs="Times New Roman"/>
                <w:color w:val="auto"/>
                <w:sz w:val="18"/>
                <w:szCs w:val="18"/>
              </w:rPr>
              <w:t>6.9</w:t>
            </w:r>
          </w:p>
        </w:tc>
        <w:tc>
          <w:tcPr>
            <w:tcW w:w="611" w:type="dxa"/>
            <w:tcBorders>
              <w:top w:val="nil"/>
              <w:left w:val="nil"/>
              <w:bottom w:val="single" w:color="auto" w:sz="8" w:space="0"/>
              <w:right w:val="single" w:color="auto" w:sz="8" w:space="0"/>
            </w:tcBorders>
            <w:noWrap/>
            <w:vAlign w:val="center"/>
          </w:tcPr>
          <w:p w14:paraId="2F1D47AB">
            <w:pPr>
              <w:jc w:val="center"/>
              <w:rPr>
                <w:rFonts w:ascii="宋体" w:hAnsi="宋体" w:eastAsia="宋体" w:cs="Times New Roman"/>
                <w:color w:val="auto"/>
                <w:sz w:val="18"/>
                <w:szCs w:val="18"/>
              </w:rPr>
            </w:pPr>
            <w:r>
              <w:rPr>
                <w:rFonts w:ascii="宋体" w:hAnsi="宋体" w:eastAsia="宋体" w:cs="Times New Roman"/>
                <w:color w:val="auto"/>
                <w:sz w:val="18"/>
                <w:szCs w:val="18"/>
              </w:rPr>
              <w:t>11.6</w:t>
            </w:r>
          </w:p>
        </w:tc>
        <w:tc>
          <w:tcPr>
            <w:tcW w:w="480" w:type="dxa"/>
            <w:tcBorders>
              <w:top w:val="nil"/>
              <w:left w:val="nil"/>
              <w:bottom w:val="single" w:color="auto" w:sz="8" w:space="0"/>
              <w:right w:val="single" w:color="auto" w:sz="8" w:space="0"/>
            </w:tcBorders>
            <w:noWrap/>
            <w:vAlign w:val="center"/>
          </w:tcPr>
          <w:p w14:paraId="11534809">
            <w:pPr>
              <w:jc w:val="center"/>
              <w:rPr>
                <w:rFonts w:ascii="宋体" w:hAnsi="宋体" w:eastAsia="宋体" w:cs="Times New Roman"/>
                <w:color w:val="auto"/>
                <w:sz w:val="18"/>
                <w:szCs w:val="18"/>
              </w:rPr>
            </w:pPr>
            <w:r>
              <w:rPr>
                <w:rFonts w:ascii="宋体" w:hAnsi="宋体" w:eastAsia="宋体" w:cs="Times New Roman"/>
                <w:color w:val="auto"/>
                <w:sz w:val="18"/>
                <w:szCs w:val="18"/>
              </w:rPr>
              <w:t>17.2</w:t>
            </w:r>
          </w:p>
        </w:tc>
        <w:tc>
          <w:tcPr>
            <w:tcW w:w="577" w:type="dxa"/>
            <w:tcBorders>
              <w:top w:val="nil"/>
              <w:left w:val="nil"/>
              <w:bottom w:val="single" w:color="auto" w:sz="8" w:space="0"/>
              <w:right w:val="single" w:color="auto" w:sz="8" w:space="0"/>
            </w:tcBorders>
            <w:noWrap/>
            <w:vAlign w:val="center"/>
          </w:tcPr>
          <w:p w14:paraId="42FF3DBD">
            <w:pPr>
              <w:jc w:val="center"/>
              <w:rPr>
                <w:rFonts w:ascii="宋体" w:hAnsi="宋体" w:eastAsia="宋体" w:cs="Times New Roman"/>
                <w:color w:val="auto"/>
                <w:sz w:val="18"/>
                <w:szCs w:val="18"/>
              </w:rPr>
            </w:pPr>
            <w:r>
              <w:rPr>
                <w:rFonts w:ascii="宋体" w:hAnsi="宋体" w:eastAsia="宋体" w:cs="Times New Roman"/>
                <w:color w:val="auto"/>
                <w:sz w:val="18"/>
                <w:szCs w:val="18"/>
              </w:rPr>
              <w:t>10.7</w:t>
            </w:r>
          </w:p>
        </w:tc>
        <w:tc>
          <w:tcPr>
            <w:tcW w:w="441" w:type="dxa"/>
            <w:tcBorders>
              <w:top w:val="nil"/>
              <w:left w:val="nil"/>
              <w:bottom w:val="single" w:color="auto" w:sz="8" w:space="0"/>
              <w:right w:val="single" w:color="auto" w:sz="8" w:space="0"/>
            </w:tcBorders>
            <w:noWrap/>
            <w:vAlign w:val="center"/>
          </w:tcPr>
          <w:p w14:paraId="54F0458A">
            <w:pPr>
              <w:jc w:val="center"/>
              <w:rPr>
                <w:rFonts w:ascii="宋体" w:hAnsi="宋体" w:eastAsia="宋体" w:cs="Times New Roman"/>
                <w:color w:val="auto"/>
                <w:sz w:val="18"/>
                <w:szCs w:val="18"/>
              </w:rPr>
            </w:pPr>
            <w:r>
              <w:rPr>
                <w:rFonts w:ascii="宋体" w:hAnsi="宋体" w:eastAsia="宋体" w:cs="Times New Roman"/>
                <w:color w:val="auto"/>
                <w:sz w:val="18"/>
                <w:szCs w:val="18"/>
              </w:rPr>
              <w:t>2.4</w:t>
            </w:r>
          </w:p>
        </w:tc>
      </w:tr>
      <w:tr w14:paraId="7DA42AD1">
        <w:tblPrEx>
          <w:tblCellMar>
            <w:top w:w="0" w:type="dxa"/>
            <w:left w:w="108" w:type="dxa"/>
            <w:bottom w:w="0" w:type="dxa"/>
            <w:right w:w="108" w:type="dxa"/>
          </w:tblCellMar>
        </w:tblPrEx>
        <w:trPr>
          <w:trHeight w:val="185" w:hRule="atLeast"/>
        </w:trPr>
        <w:tc>
          <w:tcPr>
            <w:tcW w:w="665" w:type="dxa"/>
            <w:tcBorders>
              <w:top w:val="nil"/>
              <w:left w:val="single" w:color="auto" w:sz="8" w:space="0"/>
              <w:bottom w:val="single" w:color="auto" w:sz="8" w:space="0"/>
              <w:right w:val="single" w:color="auto" w:sz="8" w:space="0"/>
            </w:tcBorders>
            <w:noWrap/>
            <w:vAlign w:val="center"/>
          </w:tcPr>
          <w:p w14:paraId="7F9113A9">
            <w:pPr>
              <w:jc w:val="center"/>
              <w:rPr>
                <w:rFonts w:ascii="宋体" w:hAnsi="宋体" w:eastAsia="宋体" w:cs="Times New Roman"/>
                <w:color w:val="auto"/>
                <w:sz w:val="18"/>
                <w:szCs w:val="18"/>
              </w:rPr>
            </w:pPr>
            <w:r>
              <w:rPr>
                <w:rFonts w:ascii="宋体" w:hAnsi="宋体" w:eastAsia="宋体" w:cs="Times New Roman"/>
                <w:color w:val="auto"/>
                <w:sz w:val="18"/>
                <w:szCs w:val="18"/>
              </w:rPr>
              <w:t>年平均</w:t>
            </w:r>
          </w:p>
        </w:tc>
        <w:tc>
          <w:tcPr>
            <w:tcW w:w="442" w:type="dxa"/>
            <w:tcBorders>
              <w:top w:val="nil"/>
              <w:left w:val="nil"/>
              <w:bottom w:val="single" w:color="auto" w:sz="8" w:space="0"/>
              <w:right w:val="single" w:color="auto" w:sz="8" w:space="0"/>
            </w:tcBorders>
            <w:noWrap/>
            <w:vAlign w:val="center"/>
          </w:tcPr>
          <w:p w14:paraId="7BAC2BE8">
            <w:pPr>
              <w:jc w:val="center"/>
              <w:rPr>
                <w:rFonts w:ascii="宋体" w:hAnsi="宋体" w:eastAsia="宋体" w:cs="Times New Roman"/>
                <w:color w:val="auto"/>
                <w:sz w:val="18"/>
                <w:szCs w:val="18"/>
              </w:rPr>
            </w:pPr>
            <w:r>
              <w:rPr>
                <w:rFonts w:ascii="宋体" w:hAnsi="宋体" w:eastAsia="宋体" w:cs="Times New Roman"/>
                <w:color w:val="auto"/>
                <w:sz w:val="18"/>
                <w:szCs w:val="18"/>
              </w:rPr>
              <w:t>7.3</w:t>
            </w:r>
          </w:p>
        </w:tc>
        <w:tc>
          <w:tcPr>
            <w:tcW w:w="527" w:type="dxa"/>
            <w:tcBorders>
              <w:top w:val="nil"/>
              <w:left w:val="nil"/>
              <w:bottom w:val="single" w:color="auto" w:sz="8" w:space="0"/>
              <w:right w:val="single" w:color="auto" w:sz="8" w:space="0"/>
            </w:tcBorders>
            <w:noWrap/>
            <w:vAlign w:val="center"/>
          </w:tcPr>
          <w:p w14:paraId="171D6AAE">
            <w:pPr>
              <w:jc w:val="center"/>
              <w:rPr>
                <w:rFonts w:ascii="宋体" w:hAnsi="宋体" w:eastAsia="宋体" w:cs="Times New Roman"/>
                <w:color w:val="auto"/>
                <w:sz w:val="18"/>
                <w:szCs w:val="18"/>
              </w:rPr>
            </w:pPr>
            <w:r>
              <w:rPr>
                <w:rFonts w:ascii="宋体" w:hAnsi="宋体" w:eastAsia="宋体" w:cs="Times New Roman"/>
                <w:color w:val="auto"/>
                <w:sz w:val="18"/>
                <w:szCs w:val="18"/>
              </w:rPr>
              <w:t>4.6</w:t>
            </w:r>
          </w:p>
        </w:tc>
        <w:tc>
          <w:tcPr>
            <w:tcW w:w="441" w:type="dxa"/>
            <w:tcBorders>
              <w:top w:val="nil"/>
              <w:left w:val="nil"/>
              <w:bottom w:val="single" w:color="auto" w:sz="8" w:space="0"/>
              <w:right w:val="single" w:color="auto" w:sz="8" w:space="0"/>
            </w:tcBorders>
            <w:noWrap/>
            <w:vAlign w:val="center"/>
          </w:tcPr>
          <w:p w14:paraId="5E925160">
            <w:pPr>
              <w:jc w:val="center"/>
              <w:rPr>
                <w:rFonts w:ascii="宋体" w:hAnsi="宋体" w:eastAsia="宋体" w:cs="Times New Roman"/>
                <w:color w:val="auto"/>
                <w:sz w:val="18"/>
                <w:szCs w:val="18"/>
              </w:rPr>
            </w:pPr>
            <w:r>
              <w:rPr>
                <w:rFonts w:ascii="宋体" w:hAnsi="宋体" w:eastAsia="宋体" w:cs="Times New Roman"/>
                <w:color w:val="auto"/>
                <w:sz w:val="18"/>
                <w:szCs w:val="18"/>
              </w:rPr>
              <w:t>4.2</w:t>
            </w:r>
          </w:p>
        </w:tc>
        <w:tc>
          <w:tcPr>
            <w:tcW w:w="510" w:type="dxa"/>
            <w:tcBorders>
              <w:top w:val="nil"/>
              <w:left w:val="nil"/>
              <w:bottom w:val="single" w:color="auto" w:sz="8" w:space="0"/>
              <w:right w:val="single" w:color="auto" w:sz="8" w:space="0"/>
            </w:tcBorders>
            <w:noWrap/>
            <w:vAlign w:val="center"/>
          </w:tcPr>
          <w:p w14:paraId="2E48CA9C">
            <w:pPr>
              <w:jc w:val="center"/>
              <w:rPr>
                <w:rFonts w:ascii="宋体" w:hAnsi="宋体" w:eastAsia="宋体" w:cs="Times New Roman"/>
                <w:color w:val="auto"/>
                <w:sz w:val="18"/>
                <w:szCs w:val="18"/>
              </w:rPr>
            </w:pPr>
            <w:r>
              <w:rPr>
                <w:rFonts w:ascii="宋体" w:hAnsi="宋体" w:eastAsia="宋体" w:cs="Times New Roman"/>
                <w:color w:val="auto"/>
                <w:sz w:val="18"/>
                <w:szCs w:val="18"/>
              </w:rPr>
              <w:t>2.8</w:t>
            </w:r>
          </w:p>
        </w:tc>
        <w:tc>
          <w:tcPr>
            <w:tcW w:w="441" w:type="dxa"/>
            <w:tcBorders>
              <w:top w:val="nil"/>
              <w:left w:val="nil"/>
              <w:bottom w:val="single" w:color="auto" w:sz="8" w:space="0"/>
              <w:right w:val="single" w:color="auto" w:sz="8" w:space="0"/>
            </w:tcBorders>
            <w:noWrap/>
            <w:vAlign w:val="center"/>
          </w:tcPr>
          <w:p w14:paraId="39918A61">
            <w:pPr>
              <w:jc w:val="center"/>
              <w:rPr>
                <w:rFonts w:ascii="宋体" w:hAnsi="宋体" w:eastAsia="宋体" w:cs="Times New Roman"/>
                <w:color w:val="auto"/>
                <w:sz w:val="18"/>
                <w:szCs w:val="18"/>
              </w:rPr>
            </w:pPr>
            <w:r>
              <w:rPr>
                <w:rFonts w:ascii="宋体" w:hAnsi="宋体" w:eastAsia="宋体" w:cs="Times New Roman"/>
                <w:color w:val="auto"/>
                <w:sz w:val="18"/>
                <w:szCs w:val="18"/>
              </w:rPr>
              <w:t>2.7</w:t>
            </w:r>
          </w:p>
        </w:tc>
        <w:tc>
          <w:tcPr>
            <w:tcW w:w="485" w:type="dxa"/>
            <w:tcBorders>
              <w:top w:val="nil"/>
              <w:left w:val="nil"/>
              <w:bottom w:val="single" w:color="auto" w:sz="8" w:space="0"/>
              <w:right w:val="single" w:color="auto" w:sz="8" w:space="0"/>
            </w:tcBorders>
            <w:noWrap/>
            <w:vAlign w:val="center"/>
          </w:tcPr>
          <w:p w14:paraId="1F767E90">
            <w:pPr>
              <w:jc w:val="center"/>
              <w:rPr>
                <w:rFonts w:ascii="宋体" w:hAnsi="宋体" w:eastAsia="宋体" w:cs="Times New Roman"/>
                <w:color w:val="auto"/>
                <w:sz w:val="18"/>
                <w:szCs w:val="18"/>
              </w:rPr>
            </w:pPr>
            <w:r>
              <w:rPr>
                <w:rFonts w:ascii="宋体" w:hAnsi="宋体" w:eastAsia="宋体" w:cs="Times New Roman"/>
                <w:color w:val="auto"/>
                <w:sz w:val="18"/>
                <w:szCs w:val="18"/>
              </w:rPr>
              <w:t>2.9</w:t>
            </w:r>
          </w:p>
        </w:tc>
        <w:tc>
          <w:tcPr>
            <w:tcW w:w="441" w:type="dxa"/>
            <w:tcBorders>
              <w:top w:val="nil"/>
              <w:left w:val="nil"/>
              <w:bottom w:val="single" w:color="auto" w:sz="8" w:space="0"/>
              <w:right w:val="single" w:color="auto" w:sz="8" w:space="0"/>
            </w:tcBorders>
            <w:noWrap/>
            <w:vAlign w:val="center"/>
          </w:tcPr>
          <w:p w14:paraId="1FE20D31">
            <w:pPr>
              <w:jc w:val="center"/>
              <w:rPr>
                <w:rFonts w:ascii="宋体" w:hAnsi="宋体" w:eastAsia="宋体" w:cs="Times New Roman"/>
                <w:color w:val="auto"/>
                <w:sz w:val="18"/>
                <w:szCs w:val="18"/>
              </w:rPr>
            </w:pPr>
            <w:r>
              <w:rPr>
                <w:rFonts w:ascii="宋体" w:hAnsi="宋体" w:eastAsia="宋体" w:cs="Times New Roman"/>
                <w:color w:val="auto"/>
                <w:sz w:val="18"/>
                <w:szCs w:val="18"/>
              </w:rPr>
              <w:t>3.2</w:t>
            </w:r>
          </w:p>
        </w:tc>
        <w:tc>
          <w:tcPr>
            <w:tcW w:w="477" w:type="dxa"/>
            <w:tcBorders>
              <w:top w:val="nil"/>
              <w:left w:val="nil"/>
              <w:bottom w:val="single" w:color="auto" w:sz="8" w:space="0"/>
              <w:right w:val="single" w:color="auto" w:sz="8" w:space="0"/>
            </w:tcBorders>
            <w:noWrap/>
            <w:vAlign w:val="center"/>
          </w:tcPr>
          <w:p w14:paraId="3E20D117">
            <w:pPr>
              <w:jc w:val="center"/>
              <w:rPr>
                <w:rFonts w:ascii="宋体" w:hAnsi="宋体" w:eastAsia="宋体" w:cs="Times New Roman"/>
                <w:color w:val="auto"/>
                <w:sz w:val="18"/>
                <w:szCs w:val="18"/>
              </w:rPr>
            </w:pPr>
            <w:r>
              <w:rPr>
                <w:rFonts w:ascii="宋体" w:hAnsi="宋体" w:eastAsia="宋体" w:cs="Times New Roman"/>
                <w:color w:val="auto"/>
                <w:sz w:val="18"/>
                <w:szCs w:val="18"/>
              </w:rPr>
              <w:t>4.6</w:t>
            </w:r>
          </w:p>
        </w:tc>
        <w:tc>
          <w:tcPr>
            <w:tcW w:w="480" w:type="dxa"/>
            <w:tcBorders>
              <w:top w:val="nil"/>
              <w:left w:val="nil"/>
              <w:bottom w:val="single" w:color="auto" w:sz="8" w:space="0"/>
              <w:right w:val="single" w:color="auto" w:sz="8" w:space="0"/>
            </w:tcBorders>
            <w:noWrap/>
            <w:vAlign w:val="center"/>
          </w:tcPr>
          <w:p w14:paraId="0C02335B">
            <w:pPr>
              <w:jc w:val="center"/>
              <w:rPr>
                <w:rFonts w:ascii="宋体" w:hAnsi="宋体" w:eastAsia="宋体" w:cs="Times New Roman"/>
                <w:color w:val="auto"/>
                <w:sz w:val="18"/>
                <w:szCs w:val="18"/>
              </w:rPr>
            </w:pPr>
            <w:r>
              <w:rPr>
                <w:rFonts w:ascii="宋体" w:hAnsi="宋体" w:eastAsia="宋体" w:cs="Times New Roman"/>
                <w:color w:val="auto"/>
                <w:sz w:val="18"/>
                <w:szCs w:val="18"/>
              </w:rPr>
              <w:t>8.5</w:t>
            </w:r>
          </w:p>
        </w:tc>
        <w:tc>
          <w:tcPr>
            <w:tcW w:w="527" w:type="dxa"/>
            <w:tcBorders>
              <w:top w:val="nil"/>
              <w:left w:val="nil"/>
              <w:bottom w:val="single" w:color="auto" w:sz="8" w:space="0"/>
              <w:right w:val="single" w:color="auto" w:sz="8" w:space="0"/>
            </w:tcBorders>
            <w:noWrap/>
            <w:vAlign w:val="center"/>
          </w:tcPr>
          <w:p w14:paraId="4B78CEEC">
            <w:pPr>
              <w:jc w:val="center"/>
              <w:rPr>
                <w:rFonts w:ascii="宋体" w:hAnsi="宋体" w:eastAsia="宋体" w:cs="Times New Roman"/>
                <w:color w:val="auto"/>
                <w:sz w:val="18"/>
                <w:szCs w:val="18"/>
              </w:rPr>
            </w:pPr>
            <w:r>
              <w:rPr>
                <w:rFonts w:ascii="宋体" w:hAnsi="宋体" w:eastAsia="宋体" w:cs="Times New Roman"/>
                <w:color w:val="auto"/>
                <w:sz w:val="18"/>
                <w:szCs w:val="18"/>
              </w:rPr>
              <w:t>9.6</w:t>
            </w:r>
          </w:p>
        </w:tc>
        <w:tc>
          <w:tcPr>
            <w:tcW w:w="480" w:type="dxa"/>
            <w:tcBorders>
              <w:top w:val="nil"/>
              <w:left w:val="nil"/>
              <w:bottom w:val="single" w:color="auto" w:sz="8" w:space="0"/>
              <w:right w:val="single" w:color="auto" w:sz="8" w:space="0"/>
            </w:tcBorders>
            <w:noWrap/>
            <w:vAlign w:val="center"/>
          </w:tcPr>
          <w:p w14:paraId="74A71BA8">
            <w:pPr>
              <w:jc w:val="center"/>
              <w:rPr>
                <w:rFonts w:ascii="宋体" w:hAnsi="宋体" w:eastAsia="宋体" w:cs="Times New Roman"/>
                <w:color w:val="auto"/>
                <w:sz w:val="18"/>
                <w:szCs w:val="18"/>
              </w:rPr>
            </w:pPr>
            <w:r>
              <w:rPr>
                <w:rFonts w:ascii="宋体" w:hAnsi="宋体" w:eastAsia="宋体" w:cs="Times New Roman"/>
                <w:color w:val="auto"/>
                <w:sz w:val="18"/>
                <w:szCs w:val="18"/>
              </w:rPr>
              <w:t>9.5</w:t>
            </w:r>
          </w:p>
        </w:tc>
        <w:tc>
          <w:tcPr>
            <w:tcW w:w="585" w:type="dxa"/>
            <w:tcBorders>
              <w:top w:val="nil"/>
              <w:left w:val="nil"/>
              <w:bottom w:val="single" w:color="auto" w:sz="8" w:space="0"/>
              <w:right w:val="single" w:color="auto" w:sz="8" w:space="0"/>
            </w:tcBorders>
            <w:noWrap/>
            <w:vAlign w:val="center"/>
          </w:tcPr>
          <w:p w14:paraId="49DCF9C3">
            <w:pPr>
              <w:jc w:val="center"/>
              <w:rPr>
                <w:rFonts w:ascii="宋体" w:hAnsi="宋体" w:eastAsia="宋体" w:cs="Times New Roman"/>
                <w:color w:val="auto"/>
                <w:sz w:val="18"/>
                <w:szCs w:val="18"/>
              </w:rPr>
            </w:pPr>
            <w:r>
              <w:rPr>
                <w:rFonts w:ascii="宋体" w:hAnsi="宋体" w:eastAsia="宋体" w:cs="Times New Roman"/>
                <w:color w:val="auto"/>
                <w:sz w:val="18"/>
                <w:szCs w:val="18"/>
              </w:rPr>
              <w:t>7.5</w:t>
            </w:r>
          </w:p>
        </w:tc>
        <w:tc>
          <w:tcPr>
            <w:tcW w:w="441" w:type="dxa"/>
            <w:tcBorders>
              <w:top w:val="nil"/>
              <w:left w:val="nil"/>
              <w:bottom w:val="single" w:color="auto" w:sz="8" w:space="0"/>
              <w:right w:val="single" w:color="auto" w:sz="8" w:space="0"/>
            </w:tcBorders>
            <w:noWrap/>
            <w:vAlign w:val="center"/>
          </w:tcPr>
          <w:p w14:paraId="3D667FE3">
            <w:pPr>
              <w:jc w:val="center"/>
              <w:rPr>
                <w:rFonts w:ascii="宋体" w:hAnsi="宋体" w:eastAsia="宋体" w:cs="Times New Roman"/>
                <w:color w:val="auto"/>
                <w:sz w:val="18"/>
                <w:szCs w:val="18"/>
              </w:rPr>
            </w:pPr>
            <w:r>
              <w:rPr>
                <w:rFonts w:ascii="宋体" w:hAnsi="宋体" w:eastAsia="宋体" w:cs="Times New Roman"/>
                <w:color w:val="auto"/>
                <w:sz w:val="18"/>
                <w:szCs w:val="18"/>
              </w:rPr>
              <w:t>6.8</w:t>
            </w:r>
          </w:p>
        </w:tc>
        <w:tc>
          <w:tcPr>
            <w:tcW w:w="611" w:type="dxa"/>
            <w:tcBorders>
              <w:top w:val="nil"/>
              <w:left w:val="nil"/>
              <w:bottom w:val="single" w:color="auto" w:sz="8" w:space="0"/>
              <w:right w:val="single" w:color="auto" w:sz="8" w:space="0"/>
            </w:tcBorders>
            <w:noWrap/>
            <w:vAlign w:val="center"/>
          </w:tcPr>
          <w:p w14:paraId="2044FD56">
            <w:pPr>
              <w:jc w:val="center"/>
              <w:rPr>
                <w:rFonts w:ascii="宋体" w:hAnsi="宋体" w:eastAsia="宋体" w:cs="Times New Roman"/>
                <w:color w:val="auto"/>
                <w:sz w:val="18"/>
                <w:szCs w:val="18"/>
              </w:rPr>
            </w:pPr>
            <w:r>
              <w:rPr>
                <w:rFonts w:ascii="宋体" w:hAnsi="宋体" w:eastAsia="宋体" w:cs="Times New Roman"/>
                <w:color w:val="auto"/>
                <w:sz w:val="18"/>
                <w:szCs w:val="18"/>
              </w:rPr>
              <w:t>7.9</w:t>
            </w:r>
          </w:p>
        </w:tc>
        <w:tc>
          <w:tcPr>
            <w:tcW w:w="480" w:type="dxa"/>
            <w:tcBorders>
              <w:top w:val="nil"/>
              <w:left w:val="nil"/>
              <w:bottom w:val="single" w:color="auto" w:sz="8" w:space="0"/>
              <w:right w:val="single" w:color="auto" w:sz="8" w:space="0"/>
            </w:tcBorders>
            <w:noWrap/>
            <w:vAlign w:val="center"/>
          </w:tcPr>
          <w:p w14:paraId="11B785DD">
            <w:pPr>
              <w:jc w:val="center"/>
              <w:rPr>
                <w:rFonts w:ascii="宋体" w:hAnsi="宋体" w:eastAsia="宋体" w:cs="Times New Roman"/>
                <w:color w:val="auto"/>
                <w:sz w:val="18"/>
                <w:szCs w:val="18"/>
              </w:rPr>
            </w:pPr>
            <w:r>
              <w:rPr>
                <w:rFonts w:ascii="宋体" w:hAnsi="宋体" w:eastAsia="宋体" w:cs="Times New Roman"/>
                <w:color w:val="auto"/>
                <w:sz w:val="18"/>
                <w:szCs w:val="18"/>
              </w:rPr>
              <w:t>9.1</w:t>
            </w:r>
          </w:p>
        </w:tc>
        <w:tc>
          <w:tcPr>
            <w:tcW w:w="577" w:type="dxa"/>
            <w:tcBorders>
              <w:top w:val="nil"/>
              <w:left w:val="nil"/>
              <w:bottom w:val="single" w:color="auto" w:sz="8" w:space="0"/>
              <w:right w:val="single" w:color="auto" w:sz="8" w:space="0"/>
            </w:tcBorders>
            <w:noWrap/>
            <w:vAlign w:val="center"/>
          </w:tcPr>
          <w:p w14:paraId="48973CE9">
            <w:pPr>
              <w:jc w:val="center"/>
              <w:rPr>
                <w:rFonts w:ascii="宋体" w:hAnsi="宋体" w:eastAsia="宋体" w:cs="Times New Roman"/>
                <w:color w:val="auto"/>
                <w:sz w:val="18"/>
                <w:szCs w:val="18"/>
              </w:rPr>
            </w:pPr>
            <w:r>
              <w:rPr>
                <w:rFonts w:ascii="宋体" w:hAnsi="宋体" w:eastAsia="宋体" w:cs="Times New Roman"/>
                <w:color w:val="auto"/>
                <w:sz w:val="18"/>
                <w:szCs w:val="18"/>
              </w:rPr>
              <w:t>7.1</w:t>
            </w:r>
          </w:p>
        </w:tc>
        <w:tc>
          <w:tcPr>
            <w:tcW w:w="441" w:type="dxa"/>
            <w:tcBorders>
              <w:top w:val="nil"/>
              <w:left w:val="nil"/>
              <w:bottom w:val="single" w:color="auto" w:sz="8" w:space="0"/>
              <w:right w:val="single" w:color="auto" w:sz="8" w:space="0"/>
            </w:tcBorders>
            <w:noWrap/>
            <w:vAlign w:val="center"/>
          </w:tcPr>
          <w:p w14:paraId="6D089760">
            <w:pPr>
              <w:jc w:val="center"/>
              <w:rPr>
                <w:rFonts w:ascii="宋体" w:hAnsi="宋体" w:eastAsia="宋体" w:cs="Times New Roman"/>
                <w:color w:val="auto"/>
                <w:sz w:val="18"/>
                <w:szCs w:val="18"/>
              </w:rPr>
            </w:pPr>
            <w:r>
              <w:rPr>
                <w:rFonts w:ascii="宋体" w:hAnsi="宋体" w:eastAsia="宋体" w:cs="Times New Roman"/>
                <w:color w:val="auto"/>
                <w:sz w:val="18"/>
                <w:szCs w:val="18"/>
              </w:rPr>
              <w:t>1.8</w:t>
            </w:r>
          </w:p>
        </w:tc>
      </w:tr>
    </w:tbl>
    <w:p w14:paraId="1E0B9854">
      <w:pPr>
        <w:ind w:firstLine="400"/>
        <w:jc w:val="center"/>
        <w:rPr>
          <w:rFonts w:ascii="宋体" w:hAnsi="宋体" w:eastAsia="宋体"/>
          <w:color w:val="auto"/>
          <w:sz w:val="24"/>
        </w:rPr>
      </w:pPr>
      <w:r>
        <w:rPr>
          <w:rFonts w:ascii="宋体" w:hAnsi="宋体" w:eastAsia="宋体"/>
          <w:color w:val="auto"/>
        </w:rPr>
        <w:drawing>
          <wp:inline distT="0" distB="0" distL="0" distR="0">
            <wp:extent cx="3009900" cy="2717800"/>
            <wp:effectExtent l="0" t="0" r="0" b="6350"/>
            <wp:docPr id="1352728146" name="图片 135272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46" name="图片 1352728146"/>
                    <pic:cNvPicPr>
                      <a:picLocks noChangeAspect="1"/>
                    </pic:cNvPicPr>
                  </pic:nvPicPr>
                  <pic:blipFill>
                    <a:blip r:embed="rId90"/>
                    <a:stretch>
                      <a:fillRect/>
                    </a:stretch>
                  </pic:blipFill>
                  <pic:spPr>
                    <a:xfrm>
                      <a:off x="0" y="0"/>
                      <a:ext cx="3009900" cy="2725875"/>
                    </a:xfrm>
                    <a:prstGeom prst="rect">
                      <a:avLst/>
                    </a:prstGeom>
                  </pic:spPr>
                </pic:pic>
              </a:graphicData>
            </a:graphic>
          </wp:inline>
        </w:drawing>
      </w:r>
    </w:p>
    <w:p w14:paraId="3DDF807E">
      <w:pPr>
        <w:ind w:firstLine="400"/>
        <w:jc w:val="center"/>
        <w:rPr>
          <w:rFonts w:ascii="宋体" w:hAnsi="宋体" w:eastAsia="宋体"/>
          <w:color w:val="auto"/>
          <w:sz w:val="24"/>
        </w:rPr>
      </w:pPr>
      <w:r>
        <w:rPr>
          <w:rFonts w:ascii="宋体" w:hAnsi="宋体" w:eastAsia="宋体"/>
          <w:color w:val="auto"/>
        </w:rPr>
        <w:drawing>
          <wp:inline distT="0" distB="0" distL="0" distR="0">
            <wp:extent cx="1714500" cy="1556385"/>
            <wp:effectExtent l="0" t="0" r="0" b="57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1"/>
                    <a:stretch>
                      <a:fillRect/>
                    </a:stretch>
                  </pic:blipFill>
                  <pic:spPr>
                    <a:xfrm>
                      <a:off x="0" y="0"/>
                      <a:ext cx="1746315" cy="1556385"/>
                    </a:xfrm>
                    <a:prstGeom prst="rect">
                      <a:avLst/>
                    </a:prstGeom>
                  </pic:spPr>
                </pic:pic>
              </a:graphicData>
            </a:graphic>
          </wp:inline>
        </w:drawing>
      </w:r>
    </w:p>
    <w:p w14:paraId="42514188">
      <w:pPr>
        <w:ind w:firstLine="478"/>
        <w:jc w:val="center"/>
        <w:rPr>
          <w:rFonts w:ascii="宋体" w:hAnsi="宋体" w:eastAsia="宋体"/>
          <w:color w:val="auto"/>
          <w:sz w:val="24"/>
        </w:rPr>
      </w:pPr>
      <w:r>
        <w:rPr>
          <w:rFonts w:ascii="宋体" w:hAnsi="宋体" w:eastAsia="宋体"/>
          <w:color w:val="auto"/>
          <w:sz w:val="24"/>
        </w:rPr>
        <w:t>图5.1-10   年均风频季变化及年均风频玫瑰图</w:t>
      </w:r>
    </w:p>
    <w:p w14:paraId="424BDD7E">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污染源调查</w:t>
      </w:r>
    </w:p>
    <w:p w14:paraId="737CF181">
      <w:pPr>
        <w:pStyle w:val="276"/>
        <w:widowControl w:val="0"/>
        <w:ind w:firstLine="480"/>
        <w:jc w:val="both"/>
        <w:rPr>
          <w:color w:val="auto"/>
          <w:lang w:val="zh-CN"/>
        </w:rPr>
      </w:pPr>
      <w:r>
        <w:rPr>
          <w:color w:val="auto"/>
          <w:lang w:val="zh-CN"/>
        </w:rPr>
        <w:t>（1）本项目污染源</w:t>
      </w:r>
    </w:p>
    <w:p w14:paraId="1B49CDB0">
      <w:pPr>
        <w:pStyle w:val="276"/>
        <w:widowControl w:val="0"/>
        <w:ind w:firstLine="480"/>
        <w:jc w:val="both"/>
        <w:rPr>
          <w:color w:val="auto"/>
          <w:lang w:val="zh-CN"/>
        </w:rPr>
      </w:pPr>
      <w:r>
        <w:rPr>
          <w:color w:val="auto"/>
          <w:lang w:val="zh-CN"/>
        </w:rPr>
        <w:t>根据对本项目的性质和环境要素分析可知，本项目运营期大气污染源主要为新建油井产液集输过程中无组织排放的烃类气体和新建拉油点储罐加热炉烟气。</w:t>
      </w:r>
    </w:p>
    <w:p w14:paraId="79649B19">
      <w:pPr>
        <w:pStyle w:val="276"/>
        <w:widowControl w:val="0"/>
        <w:ind w:firstLine="480"/>
        <w:jc w:val="both"/>
        <w:rPr>
          <w:color w:val="auto"/>
          <w:lang w:val="zh-CN"/>
        </w:rPr>
      </w:pPr>
      <w:r>
        <w:rPr>
          <w:color w:val="auto"/>
          <w:lang w:val="zh-CN"/>
        </w:rPr>
        <w:t>根据大气评价等级判定分析，本项目大气评价等级为一级。本项目污染物点源调查清单见表5.1-9，本项目污染物面源调查清单见表5.1-10。</w:t>
      </w:r>
    </w:p>
    <w:p w14:paraId="239EF6D5">
      <w:pPr>
        <w:pStyle w:val="276"/>
        <w:widowControl w:val="0"/>
        <w:spacing w:line="440" w:lineRule="exact"/>
        <w:ind w:firstLine="0" w:firstLineChars="0"/>
        <w:jc w:val="center"/>
        <w:rPr>
          <w:color w:val="auto"/>
        </w:rPr>
      </w:pPr>
      <w:r>
        <w:rPr>
          <w:color w:val="auto"/>
        </w:rPr>
        <w:t>表5.1-9 污染物点源参数调查清单</w:t>
      </w:r>
    </w:p>
    <w:tbl>
      <w:tblPr>
        <w:tblStyle w:val="8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667"/>
        <w:gridCol w:w="670"/>
        <w:gridCol w:w="671"/>
        <w:gridCol w:w="667"/>
        <w:gridCol w:w="667"/>
        <w:gridCol w:w="750"/>
        <w:gridCol w:w="584"/>
        <w:gridCol w:w="669"/>
        <w:gridCol w:w="525"/>
        <w:gridCol w:w="757"/>
        <w:gridCol w:w="641"/>
        <w:gridCol w:w="843"/>
      </w:tblGrid>
      <w:tr w14:paraId="1FE1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49" w:type="dxa"/>
            <w:vMerge w:val="restart"/>
            <w:vAlign w:val="center"/>
          </w:tcPr>
          <w:p w14:paraId="247020D2">
            <w:pPr>
              <w:adjustRightInd w:val="0"/>
              <w:snapToGrid w:val="0"/>
              <w:jc w:val="center"/>
              <w:rPr>
                <w:rFonts w:ascii="宋体" w:hAnsi="宋体" w:eastAsia="宋体" w:cs="Times New Roman"/>
                <w:color w:val="auto"/>
              </w:rPr>
            </w:pPr>
            <w:r>
              <w:rPr>
                <w:rFonts w:ascii="宋体" w:hAnsi="宋体" w:eastAsia="宋体" w:cs="Times New Roman"/>
                <w:color w:val="auto"/>
              </w:rPr>
              <w:t>污染源名称</w:t>
            </w:r>
          </w:p>
        </w:tc>
        <w:tc>
          <w:tcPr>
            <w:tcW w:w="1337" w:type="dxa"/>
            <w:gridSpan w:val="2"/>
            <w:vAlign w:val="center"/>
          </w:tcPr>
          <w:p w14:paraId="7CA7F127">
            <w:pPr>
              <w:adjustRightInd w:val="0"/>
              <w:snapToGrid w:val="0"/>
              <w:jc w:val="center"/>
              <w:rPr>
                <w:rFonts w:ascii="宋体" w:hAnsi="宋体" w:eastAsia="宋体" w:cs="Times New Roman"/>
                <w:color w:val="auto"/>
              </w:rPr>
            </w:pPr>
            <w:r>
              <w:rPr>
                <w:rFonts w:ascii="宋体" w:hAnsi="宋体" w:eastAsia="宋体" w:cs="Times New Roman"/>
                <w:color w:val="auto"/>
              </w:rPr>
              <w:t>排气筒底部中心坐标</w:t>
            </w:r>
            <w:r>
              <w:rPr>
                <w:rFonts w:hint="eastAsia" w:ascii="宋体" w:hAnsi="宋体" w:eastAsia="宋体" w:cs="Times New Roman"/>
                <w:color w:val="auto"/>
              </w:rPr>
              <w:t>/°</w:t>
            </w:r>
          </w:p>
        </w:tc>
        <w:tc>
          <w:tcPr>
            <w:tcW w:w="671" w:type="dxa"/>
            <w:vMerge w:val="restart"/>
            <w:vAlign w:val="center"/>
          </w:tcPr>
          <w:p w14:paraId="51DB4F57">
            <w:pPr>
              <w:adjustRightInd w:val="0"/>
              <w:snapToGrid w:val="0"/>
              <w:jc w:val="center"/>
              <w:rPr>
                <w:rFonts w:ascii="宋体" w:hAnsi="宋体" w:eastAsia="宋体" w:cs="Times New Roman"/>
                <w:color w:val="auto"/>
              </w:rPr>
            </w:pPr>
            <w:r>
              <w:rPr>
                <w:rFonts w:ascii="宋体" w:hAnsi="宋体" w:eastAsia="宋体" w:cs="Times New Roman"/>
                <w:color w:val="auto"/>
              </w:rPr>
              <w:t>海拔高度/m</w:t>
            </w:r>
          </w:p>
        </w:tc>
        <w:tc>
          <w:tcPr>
            <w:tcW w:w="667" w:type="dxa"/>
            <w:vMerge w:val="restart"/>
            <w:vAlign w:val="center"/>
          </w:tcPr>
          <w:p w14:paraId="657FA547">
            <w:pPr>
              <w:adjustRightInd w:val="0"/>
              <w:snapToGrid w:val="0"/>
              <w:jc w:val="center"/>
              <w:rPr>
                <w:rFonts w:ascii="宋体" w:hAnsi="宋体" w:eastAsia="宋体" w:cs="Times New Roman"/>
                <w:color w:val="auto"/>
              </w:rPr>
            </w:pPr>
            <w:r>
              <w:rPr>
                <w:rFonts w:ascii="宋体" w:hAnsi="宋体" w:eastAsia="宋体" w:cs="Times New Roman"/>
                <w:color w:val="auto"/>
              </w:rPr>
              <w:t>排气筒高度/m</w:t>
            </w:r>
          </w:p>
        </w:tc>
        <w:tc>
          <w:tcPr>
            <w:tcW w:w="667" w:type="dxa"/>
            <w:vMerge w:val="restart"/>
            <w:vAlign w:val="center"/>
          </w:tcPr>
          <w:p w14:paraId="6CF48B7A">
            <w:pPr>
              <w:adjustRightInd w:val="0"/>
              <w:snapToGrid w:val="0"/>
              <w:jc w:val="center"/>
              <w:rPr>
                <w:rFonts w:ascii="宋体" w:hAnsi="宋体" w:eastAsia="宋体" w:cs="Times New Roman"/>
                <w:color w:val="auto"/>
              </w:rPr>
            </w:pPr>
            <w:r>
              <w:rPr>
                <w:rFonts w:ascii="宋体" w:hAnsi="宋体" w:eastAsia="宋体" w:cs="Times New Roman"/>
                <w:color w:val="auto"/>
              </w:rPr>
              <w:t>排气筒内径/m</w:t>
            </w:r>
          </w:p>
        </w:tc>
        <w:tc>
          <w:tcPr>
            <w:tcW w:w="750" w:type="dxa"/>
            <w:vMerge w:val="restart"/>
            <w:vAlign w:val="center"/>
          </w:tcPr>
          <w:p w14:paraId="7C97BCBB">
            <w:pPr>
              <w:adjustRightInd w:val="0"/>
              <w:snapToGrid w:val="0"/>
              <w:jc w:val="center"/>
              <w:rPr>
                <w:rFonts w:ascii="宋体" w:hAnsi="宋体" w:eastAsia="宋体" w:cs="Times New Roman"/>
                <w:color w:val="auto"/>
              </w:rPr>
            </w:pPr>
            <w:r>
              <w:rPr>
                <w:rFonts w:ascii="宋体" w:hAnsi="宋体" w:eastAsia="宋体" w:cs="Times New Roman"/>
                <w:color w:val="auto"/>
              </w:rPr>
              <w:t>烟气流</w:t>
            </w:r>
            <w:r>
              <w:rPr>
                <w:rFonts w:hint="eastAsia" w:ascii="宋体" w:hAnsi="宋体" w:eastAsia="宋体" w:cs="Times New Roman"/>
                <w:color w:val="auto"/>
              </w:rPr>
              <w:t>速</w:t>
            </w:r>
            <w:r>
              <w:rPr>
                <w:rFonts w:ascii="宋体" w:hAnsi="宋体" w:eastAsia="宋体" w:cs="Times New Roman"/>
                <w:color w:val="auto"/>
              </w:rPr>
              <w:t>/m/</w:t>
            </w:r>
            <w:r>
              <w:rPr>
                <w:rFonts w:hint="eastAsia" w:ascii="宋体" w:hAnsi="宋体" w:eastAsia="宋体" w:cs="Times New Roman"/>
                <w:color w:val="auto"/>
              </w:rPr>
              <w:t>s</w:t>
            </w:r>
          </w:p>
        </w:tc>
        <w:tc>
          <w:tcPr>
            <w:tcW w:w="584" w:type="dxa"/>
            <w:vMerge w:val="restart"/>
            <w:vAlign w:val="center"/>
          </w:tcPr>
          <w:p w14:paraId="6430440C">
            <w:pPr>
              <w:adjustRightInd w:val="0"/>
              <w:snapToGrid w:val="0"/>
              <w:jc w:val="center"/>
              <w:rPr>
                <w:rFonts w:ascii="宋体" w:hAnsi="宋体" w:eastAsia="宋体" w:cs="Times New Roman"/>
                <w:color w:val="auto"/>
              </w:rPr>
            </w:pPr>
            <w:r>
              <w:rPr>
                <w:rFonts w:ascii="宋体" w:hAnsi="宋体" w:eastAsia="宋体" w:cs="Times New Roman"/>
                <w:color w:val="auto"/>
              </w:rPr>
              <w:t>烟气温度/℃</w:t>
            </w:r>
          </w:p>
        </w:tc>
        <w:tc>
          <w:tcPr>
            <w:tcW w:w="669" w:type="dxa"/>
            <w:vMerge w:val="restart"/>
            <w:vAlign w:val="center"/>
          </w:tcPr>
          <w:p w14:paraId="2AAF72C7">
            <w:pPr>
              <w:adjustRightInd w:val="0"/>
              <w:snapToGrid w:val="0"/>
              <w:jc w:val="center"/>
              <w:rPr>
                <w:rFonts w:ascii="宋体" w:hAnsi="宋体" w:eastAsia="宋体" w:cs="Times New Roman"/>
                <w:color w:val="auto"/>
              </w:rPr>
            </w:pPr>
            <w:r>
              <w:rPr>
                <w:rFonts w:ascii="宋体" w:hAnsi="宋体" w:eastAsia="宋体" w:cs="Times New Roman"/>
                <w:color w:val="auto"/>
              </w:rPr>
              <w:t>年排放小时数/h</w:t>
            </w:r>
          </w:p>
        </w:tc>
        <w:tc>
          <w:tcPr>
            <w:tcW w:w="525" w:type="dxa"/>
            <w:vMerge w:val="restart"/>
            <w:vAlign w:val="center"/>
          </w:tcPr>
          <w:p w14:paraId="27D2FDC8">
            <w:pPr>
              <w:adjustRightInd w:val="0"/>
              <w:snapToGrid w:val="0"/>
              <w:jc w:val="center"/>
              <w:rPr>
                <w:rFonts w:ascii="宋体" w:hAnsi="宋体" w:eastAsia="宋体" w:cs="Times New Roman"/>
                <w:color w:val="auto"/>
              </w:rPr>
            </w:pPr>
            <w:r>
              <w:rPr>
                <w:rFonts w:ascii="宋体" w:hAnsi="宋体" w:eastAsia="宋体" w:cs="Times New Roman"/>
                <w:color w:val="auto"/>
              </w:rPr>
              <w:t>排放工况</w:t>
            </w:r>
          </w:p>
        </w:tc>
        <w:tc>
          <w:tcPr>
            <w:tcW w:w="2241" w:type="dxa"/>
            <w:gridSpan w:val="3"/>
            <w:vAlign w:val="center"/>
          </w:tcPr>
          <w:p w14:paraId="645EB20D">
            <w:pPr>
              <w:adjustRightInd w:val="0"/>
              <w:snapToGrid w:val="0"/>
              <w:jc w:val="center"/>
              <w:rPr>
                <w:rFonts w:ascii="宋体" w:hAnsi="宋体" w:eastAsia="宋体" w:cs="Times New Roman"/>
                <w:color w:val="auto"/>
              </w:rPr>
            </w:pPr>
            <w:r>
              <w:rPr>
                <w:rFonts w:ascii="宋体" w:hAnsi="宋体" w:eastAsia="宋体" w:cs="Times New Roman"/>
                <w:color w:val="auto"/>
              </w:rPr>
              <w:t>污染物排放速率/kg/h</w:t>
            </w:r>
          </w:p>
        </w:tc>
      </w:tr>
      <w:tr w14:paraId="7638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49" w:type="dxa"/>
            <w:vMerge w:val="continue"/>
            <w:vAlign w:val="center"/>
          </w:tcPr>
          <w:p w14:paraId="2CBB685E">
            <w:pPr>
              <w:adjustRightInd w:val="0"/>
              <w:snapToGrid w:val="0"/>
              <w:jc w:val="center"/>
              <w:rPr>
                <w:rFonts w:ascii="宋体" w:hAnsi="宋体" w:eastAsia="宋体" w:cs="Times New Roman"/>
                <w:color w:val="auto"/>
              </w:rPr>
            </w:pPr>
          </w:p>
        </w:tc>
        <w:tc>
          <w:tcPr>
            <w:tcW w:w="667" w:type="dxa"/>
            <w:vAlign w:val="center"/>
          </w:tcPr>
          <w:p w14:paraId="2C9FA389">
            <w:pPr>
              <w:adjustRightInd w:val="0"/>
              <w:snapToGrid w:val="0"/>
              <w:jc w:val="center"/>
              <w:rPr>
                <w:rFonts w:ascii="宋体" w:hAnsi="宋体" w:eastAsia="宋体" w:cs="Times New Roman"/>
                <w:color w:val="auto"/>
              </w:rPr>
            </w:pPr>
            <w:r>
              <w:rPr>
                <w:rFonts w:ascii="宋体" w:hAnsi="宋体" w:eastAsia="宋体" w:cs="Times New Roman"/>
                <w:color w:val="auto"/>
              </w:rPr>
              <w:t>经度</w:t>
            </w:r>
          </w:p>
        </w:tc>
        <w:tc>
          <w:tcPr>
            <w:tcW w:w="670" w:type="dxa"/>
            <w:vAlign w:val="center"/>
          </w:tcPr>
          <w:p w14:paraId="035179E4">
            <w:pPr>
              <w:adjustRightInd w:val="0"/>
              <w:snapToGrid w:val="0"/>
              <w:jc w:val="center"/>
              <w:rPr>
                <w:rFonts w:ascii="宋体" w:hAnsi="宋体" w:eastAsia="宋体" w:cs="Times New Roman"/>
                <w:color w:val="auto"/>
              </w:rPr>
            </w:pPr>
            <w:r>
              <w:rPr>
                <w:rFonts w:ascii="宋体" w:hAnsi="宋体" w:eastAsia="宋体" w:cs="Times New Roman"/>
                <w:color w:val="auto"/>
              </w:rPr>
              <w:t>纬度</w:t>
            </w:r>
          </w:p>
        </w:tc>
        <w:tc>
          <w:tcPr>
            <w:tcW w:w="671" w:type="dxa"/>
            <w:vMerge w:val="continue"/>
            <w:vAlign w:val="center"/>
          </w:tcPr>
          <w:p w14:paraId="67BDDF5D">
            <w:pPr>
              <w:adjustRightInd w:val="0"/>
              <w:snapToGrid w:val="0"/>
              <w:jc w:val="center"/>
              <w:rPr>
                <w:rFonts w:ascii="宋体" w:hAnsi="宋体" w:eastAsia="宋体" w:cs="Times New Roman"/>
                <w:color w:val="auto"/>
              </w:rPr>
            </w:pPr>
          </w:p>
        </w:tc>
        <w:tc>
          <w:tcPr>
            <w:tcW w:w="667" w:type="dxa"/>
            <w:vMerge w:val="continue"/>
            <w:vAlign w:val="center"/>
          </w:tcPr>
          <w:p w14:paraId="7A2EF42F">
            <w:pPr>
              <w:adjustRightInd w:val="0"/>
              <w:snapToGrid w:val="0"/>
              <w:jc w:val="center"/>
              <w:rPr>
                <w:rFonts w:ascii="宋体" w:hAnsi="宋体" w:eastAsia="宋体" w:cs="Times New Roman"/>
                <w:color w:val="auto"/>
              </w:rPr>
            </w:pPr>
          </w:p>
        </w:tc>
        <w:tc>
          <w:tcPr>
            <w:tcW w:w="667" w:type="dxa"/>
            <w:vMerge w:val="continue"/>
            <w:vAlign w:val="center"/>
          </w:tcPr>
          <w:p w14:paraId="765ABA83">
            <w:pPr>
              <w:adjustRightInd w:val="0"/>
              <w:snapToGrid w:val="0"/>
              <w:jc w:val="center"/>
              <w:rPr>
                <w:rFonts w:ascii="宋体" w:hAnsi="宋体" w:eastAsia="宋体" w:cs="Times New Roman"/>
                <w:color w:val="auto"/>
              </w:rPr>
            </w:pPr>
          </w:p>
        </w:tc>
        <w:tc>
          <w:tcPr>
            <w:tcW w:w="750" w:type="dxa"/>
            <w:vMerge w:val="continue"/>
            <w:vAlign w:val="center"/>
          </w:tcPr>
          <w:p w14:paraId="11B23525">
            <w:pPr>
              <w:adjustRightInd w:val="0"/>
              <w:snapToGrid w:val="0"/>
              <w:jc w:val="center"/>
              <w:rPr>
                <w:rFonts w:ascii="宋体" w:hAnsi="宋体" w:eastAsia="宋体" w:cs="Times New Roman"/>
                <w:color w:val="auto"/>
              </w:rPr>
            </w:pPr>
          </w:p>
        </w:tc>
        <w:tc>
          <w:tcPr>
            <w:tcW w:w="584" w:type="dxa"/>
            <w:vMerge w:val="continue"/>
            <w:vAlign w:val="center"/>
          </w:tcPr>
          <w:p w14:paraId="7CAD8229">
            <w:pPr>
              <w:adjustRightInd w:val="0"/>
              <w:snapToGrid w:val="0"/>
              <w:jc w:val="center"/>
              <w:rPr>
                <w:rFonts w:ascii="宋体" w:hAnsi="宋体" w:eastAsia="宋体" w:cs="Times New Roman"/>
                <w:color w:val="auto"/>
              </w:rPr>
            </w:pPr>
          </w:p>
        </w:tc>
        <w:tc>
          <w:tcPr>
            <w:tcW w:w="669" w:type="dxa"/>
            <w:vMerge w:val="continue"/>
            <w:vAlign w:val="center"/>
          </w:tcPr>
          <w:p w14:paraId="2767682A">
            <w:pPr>
              <w:adjustRightInd w:val="0"/>
              <w:snapToGrid w:val="0"/>
              <w:jc w:val="center"/>
              <w:rPr>
                <w:rFonts w:ascii="宋体" w:hAnsi="宋体" w:eastAsia="宋体" w:cs="Times New Roman"/>
                <w:color w:val="auto"/>
              </w:rPr>
            </w:pPr>
          </w:p>
        </w:tc>
        <w:tc>
          <w:tcPr>
            <w:tcW w:w="525" w:type="dxa"/>
            <w:vMerge w:val="continue"/>
            <w:vAlign w:val="center"/>
          </w:tcPr>
          <w:p w14:paraId="4513E41B">
            <w:pPr>
              <w:adjustRightInd w:val="0"/>
              <w:snapToGrid w:val="0"/>
              <w:jc w:val="center"/>
              <w:rPr>
                <w:rFonts w:ascii="宋体" w:hAnsi="宋体" w:eastAsia="宋体" w:cs="Times New Roman"/>
                <w:color w:val="auto"/>
              </w:rPr>
            </w:pPr>
          </w:p>
        </w:tc>
        <w:tc>
          <w:tcPr>
            <w:tcW w:w="757" w:type="dxa"/>
            <w:vAlign w:val="center"/>
          </w:tcPr>
          <w:p w14:paraId="2722B946">
            <w:pPr>
              <w:adjustRightInd w:val="0"/>
              <w:snapToGrid w:val="0"/>
              <w:jc w:val="center"/>
              <w:rPr>
                <w:rFonts w:ascii="宋体" w:hAnsi="宋体" w:eastAsia="宋体" w:cs="Times New Roman"/>
                <w:color w:val="auto"/>
              </w:rPr>
            </w:pPr>
            <w:r>
              <w:rPr>
                <w:rFonts w:ascii="宋体" w:hAnsi="宋体" w:eastAsia="宋体" w:cs="Times New Roman"/>
                <w:color w:val="auto"/>
              </w:rPr>
              <w:t>颗粒物</w:t>
            </w:r>
          </w:p>
        </w:tc>
        <w:tc>
          <w:tcPr>
            <w:tcW w:w="641" w:type="dxa"/>
            <w:vAlign w:val="center"/>
          </w:tcPr>
          <w:p w14:paraId="7A2A879F">
            <w:pPr>
              <w:adjustRightInd w:val="0"/>
              <w:snapToGrid w:val="0"/>
              <w:jc w:val="center"/>
              <w:rPr>
                <w:rFonts w:ascii="宋体" w:hAnsi="宋体" w:eastAsia="宋体" w:cs="Times New Roman"/>
                <w:color w:val="auto"/>
              </w:rPr>
            </w:pPr>
            <w:r>
              <w:rPr>
                <w:rFonts w:ascii="宋体" w:hAnsi="宋体" w:eastAsia="宋体" w:cs="Times New Roman"/>
                <w:color w:val="auto"/>
              </w:rPr>
              <w:t>NOx</w:t>
            </w:r>
          </w:p>
        </w:tc>
        <w:tc>
          <w:tcPr>
            <w:tcW w:w="843" w:type="dxa"/>
            <w:vAlign w:val="center"/>
          </w:tcPr>
          <w:p w14:paraId="4CA1CCC2">
            <w:pPr>
              <w:adjustRightInd w:val="0"/>
              <w:snapToGrid w:val="0"/>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r>
      <w:tr w14:paraId="6AC5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vAlign w:val="center"/>
          </w:tcPr>
          <w:p w14:paraId="02FB7461">
            <w:pPr>
              <w:adjustRightInd w:val="0"/>
              <w:snapToGrid w:val="0"/>
              <w:jc w:val="center"/>
              <w:rPr>
                <w:rFonts w:ascii="宋体" w:hAnsi="宋体" w:eastAsia="宋体" w:cs="Times New Roman"/>
                <w:color w:val="auto"/>
              </w:rPr>
            </w:pPr>
            <w:r>
              <w:rPr>
                <w:rFonts w:ascii="宋体" w:hAnsi="宋体" w:eastAsia="宋体" w:cs="Times New Roman"/>
                <w:color w:val="auto"/>
              </w:rPr>
              <w:t>储罐加热炉</w:t>
            </w:r>
            <w:r>
              <w:rPr>
                <w:rFonts w:hint="eastAsia" w:ascii="宋体" w:hAnsi="宋体" w:eastAsia="宋体" w:cs="Times New Roman"/>
                <w:color w:val="auto"/>
              </w:rPr>
              <w:t>1</w:t>
            </w:r>
            <w:r>
              <w:rPr>
                <w:rFonts w:ascii="宋体" w:hAnsi="宋体" w:eastAsia="宋体" w:cs="Times New Roman"/>
                <w:color w:val="auto"/>
              </w:rPr>
              <w:t>#</w:t>
            </w:r>
          </w:p>
        </w:tc>
        <w:tc>
          <w:tcPr>
            <w:tcW w:w="667" w:type="dxa"/>
            <w:vAlign w:val="center"/>
          </w:tcPr>
          <w:p w14:paraId="03AC6D4E">
            <w:pPr>
              <w:adjustRightInd w:val="0"/>
              <w:snapToGrid w:val="0"/>
              <w:jc w:val="center"/>
              <w:rPr>
                <w:rFonts w:ascii="宋体" w:hAnsi="宋体" w:eastAsia="宋体" w:cs="Times New Roman"/>
                <w:color w:val="auto"/>
              </w:rPr>
            </w:pPr>
            <w:r>
              <w:rPr>
                <w:rFonts w:ascii="宋体" w:hAnsi="宋体" w:eastAsia="宋体" w:cs="Times New Roman"/>
                <w:color w:val="auto"/>
              </w:rPr>
              <w:t>125.15301</w:t>
            </w:r>
          </w:p>
        </w:tc>
        <w:tc>
          <w:tcPr>
            <w:tcW w:w="670" w:type="dxa"/>
            <w:vAlign w:val="center"/>
          </w:tcPr>
          <w:p w14:paraId="08EA086E">
            <w:pPr>
              <w:adjustRightInd w:val="0"/>
              <w:snapToGrid w:val="0"/>
              <w:jc w:val="center"/>
              <w:rPr>
                <w:rFonts w:ascii="宋体" w:hAnsi="宋体" w:eastAsia="宋体" w:cs="Times New Roman"/>
                <w:color w:val="auto"/>
              </w:rPr>
            </w:pPr>
            <w:r>
              <w:rPr>
                <w:rFonts w:ascii="宋体" w:hAnsi="宋体" w:eastAsia="宋体" w:cs="Times New Roman"/>
                <w:color w:val="auto"/>
              </w:rPr>
              <w:t>45.57005</w:t>
            </w:r>
          </w:p>
        </w:tc>
        <w:tc>
          <w:tcPr>
            <w:tcW w:w="671" w:type="dxa"/>
            <w:vAlign w:val="center"/>
          </w:tcPr>
          <w:p w14:paraId="15522C2F">
            <w:pPr>
              <w:adjustRightInd w:val="0"/>
              <w:snapToGrid w:val="0"/>
              <w:jc w:val="center"/>
              <w:rPr>
                <w:rFonts w:ascii="宋体" w:hAnsi="宋体" w:eastAsia="宋体" w:cs="Times New Roman"/>
                <w:color w:val="auto"/>
              </w:rPr>
            </w:pPr>
            <w:r>
              <w:rPr>
                <w:rFonts w:ascii="宋体" w:hAnsi="宋体" w:eastAsia="宋体" w:cs="Times New Roman"/>
                <w:color w:val="auto"/>
              </w:rPr>
              <w:t>125</w:t>
            </w:r>
          </w:p>
        </w:tc>
        <w:tc>
          <w:tcPr>
            <w:tcW w:w="667" w:type="dxa"/>
            <w:vAlign w:val="center"/>
          </w:tcPr>
          <w:p w14:paraId="0C75D58E">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667" w:type="dxa"/>
            <w:vAlign w:val="center"/>
          </w:tcPr>
          <w:p w14:paraId="1F8E6A4D">
            <w:pPr>
              <w:adjustRightInd w:val="0"/>
              <w:snapToGrid w:val="0"/>
              <w:jc w:val="center"/>
              <w:rPr>
                <w:rFonts w:ascii="宋体" w:hAnsi="宋体" w:eastAsia="宋体" w:cs="Times New Roman"/>
                <w:color w:val="auto"/>
              </w:rPr>
            </w:pPr>
            <w:r>
              <w:rPr>
                <w:rFonts w:ascii="宋体" w:hAnsi="宋体" w:eastAsia="宋体" w:cs="Times New Roman"/>
                <w:color w:val="auto"/>
              </w:rPr>
              <w:t>0.3</w:t>
            </w:r>
          </w:p>
        </w:tc>
        <w:tc>
          <w:tcPr>
            <w:tcW w:w="750" w:type="dxa"/>
            <w:vAlign w:val="center"/>
          </w:tcPr>
          <w:p w14:paraId="3590CAEA">
            <w:pPr>
              <w:adjustRightInd w:val="0"/>
              <w:snapToGrid w:val="0"/>
              <w:jc w:val="center"/>
              <w:rPr>
                <w:rFonts w:ascii="宋体" w:hAnsi="宋体" w:eastAsia="宋体" w:cs="Times New Roman"/>
                <w:color w:val="auto"/>
              </w:rPr>
            </w:pPr>
            <w:r>
              <w:rPr>
                <w:rFonts w:hint="eastAsia" w:ascii="宋体" w:hAnsi="宋体" w:eastAsia="宋体" w:cs="Times New Roman"/>
                <w:color w:val="auto"/>
              </w:rPr>
              <w:t>1.79</w:t>
            </w:r>
          </w:p>
        </w:tc>
        <w:tc>
          <w:tcPr>
            <w:tcW w:w="584" w:type="dxa"/>
            <w:vAlign w:val="center"/>
          </w:tcPr>
          <w:p w14:paraId="0EC53CAA">
            <w:pPr>
              <w:adjustRightInd w:val="0"/>
              <w:snapToGrid w:val="0"/>
              <w:jc w:val="center"/>
              <w:rPr>
                <w:rFonts w:ascii="宋体" w:hAnsi="宋体" w:eastAsia="宋体" w:cs="Times New Roman"/>
                <w:color w:val="auto"/>
              </w:rPr>
            </w:pPr>
            <w:r>
              <w:rPr>
                <w:rFonts w:ascii="宋体" w:hAnsi="宋体" w:eastAsia="宋体" w:cs="Times New Roman"/>
                <w:color w:val="auto"/>
              </w:rPr>
              <w:t>98</w:t>
            </w:r>
          </w:p>
        </w:tc>
        <w:tc>
          <w:tcPr>
            <w:tcW w:w="669" w:type="dxa"/>
            <w:vAlign w:val="center"/>
          </w:tcPr>
          <w:p w14:paraId="3FB50E70">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525" w:type="dxa"/>
            <w:vMerge w:val="restart"/>
            <w:vAlign w:val="center"/>
          </w:tcPr>
          <w:p w14:paraId="1FF7BFDF">
            <w:pPr>
              <w:adjustRightInd w:val="0"/>
              <w:snapToGrid w:val="0"/>
              <w:jc w:val="center"/>
              <w:rPr>
                <w:rFonts w:ascii="宋体" w:hAnsi="宋体" w:eastAsia="宋体" w:cs="Times New Roman"/>
                <w:color w:val="auto"/>
              </w:rPr>
            </w:pPr>
            <w:r>
              <w:rPr>
                <w:rFonts w:ascii="宋体" w:hAnsi="宋体" w:eastAsia="宋体" w:cs="Times New Roman"/>
                <w:color w:val="auto"/>
              </w:rPr>
              <w:t>正常排放</w:t>
            </w:r>
          </w:p>
        </w:tc>
        <w:tc>
          <w:tcPr>
            <w:tcW w:w="757" w:type="dxa"/>
            <w:vAlign w:val="center"/>
          </w:tcPr>
          <w:p w14:paraId="7E88980A">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0.0009 </w:t>
            </w:r>
          </w:p>
        </w:tc>
        <w:tc>
          <w:tcPr>
            <w:tcW w:w="641" w:type="dxa"/>
            <w:vAlign w:val="center"/>
          </w:tcPr>
          <w:p w14:paraId="593DA327">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0.0031 </w:t>
            </w:r>
          </w:p>
        </w:tc>
        <w:tc>
          <w:tcPr>
            <w:tcW w:w="843" w:type="dxa"/>
            <w:vAlign w:val="center"/>
          </w:tcPr>
          <w:p w14:paraId="2CA9022F">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0.0013 </w:t>
            </w:r>
          </w:p>
        </w:tc>
      </w:tr>
      <w:tr w14:paraId="70DC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vAlign w:val="center"/>
          </w:tcPr>
          <w:p w14:paraId="3962F4B5">
            <w:pPr>
              <w:adjustRightInd w:val="0"/>
              <w:snapToGrid w:val="0"/>
              <w:jc w:val="center"/>
              <w:rPr>
                <w:rFonts w:ascii="宋体" w:hAnsi="宋体" w:eastAsia="宋体" w:cs="Times New Roman"/>
                <w:color w:val="auto"/>
              </w:rPr>
            </w:pPr>
            <w:r>
              <w:rPr>
                <w:rFonts w:ascii="宋体" w:hAnsi="宋体" w:eastAsia="宋体" w:cs="Times New Roman"/>
                <w:color w:val="auto"/>
              </w:rPr>
              <w:t>储罐加热炉</w:t>
            </w:r>
            <w:r>
              <w:rPr>
                <w:rFonts w:hint="eastAsia" w:ascii="宋体" w:hAnsi="宋体" w:eastAsia="宋体" w:cs="Times New Roman"/>
                <w:color w:val="auto"/>
              </w:rPr>
              <w:t>2</w:t>
            </w:r>
            <w:r>
              <w:rPr>
                <w:rFonts w:ascii="宋体" w:hAnsi="宋体" w:eastAsia="宋体" w:cs="Times New Roman"/>
                <w:color w:val="auto"/>
              </w:rPr>
              <w:t>#</w:t>
            </w:r>
          </w:p>
        </w:tc>
        <w:tc>
          <w:tcPr>
            <w:tcW w:w="667" w:type="dxa"/>
            <w:vAlign w:val="center"/>
          </w:tcPr>
          <w:p w14:paraId="24529CD8">
            <w:pPr>
              <w:adjustRightInd w:val="0"/>
              <w:snapToGrid w:val="0"/>
              <w:jc w:val="center"/>
              <w:rPr>
                <w:rFonts w:ascii="宋体" w:hAnsi="宋体" w:eastAsia="宋体" w:cs="Times New Roman"/>
                <w:color w:val="auto"/>
              </w:rPr>
            </w:pPr>
            <w:r>
              <w:rPr>
                <w:rFonts w:ascii="宋体" w:hAnsi="宋体" w:eastAsia="宋体" w:cs="Times New Roman"/>
                <w:color w:val="auto"/>
              </w:rPr>
              <w:t>125.16228</w:t>
            </w:r>
          </w:p>
        </w:tc>
        <w:tc>
          <w:tcPr>
            <w:tcW w:w="670" w:type="dxa"/>
            <w:vAlign w:val="center"/>
          </w:tcPr>
          <w:p w14:paraId="1057E330">
            <w:pPr>
              <w:adjustRightInd w:val="0"/>
              <w:snapToGrid w:val="0"/>
              <w:jc w:val="center"/>
              <w:rPr>
                <w:rFonts w:ascii="宋体" w:hAnsi="宋体" w:eastAsia="宋体" w:cs="Times New Roman"/>
                <w:color w:val="auto"/>
              </w:rPr>
            </w:pPr>
            <w:r>
              <w:rPr>
                <w:rFonts w:ascii="宋体" w:hAnsi="宋体" w:eastAsia="宋体" w:cs="Times New Roman"/>
                <w:color w:val="auto"/>
              </w:rPr>
              <w:t>45.56775</w:t>
            </w:r>
          </w:p>
        </w:tc>
        <w:tc>
          <w:tcPr>
            <w:tcW w:w="671" w:type="dxa"/>
            <w:vAlign w:val="center"/>
          </w:tcPr>
          <w:p w14:paraId="16B35E50">
            <w:pPr>
              <w:adjustRightInd w:val="0"/>
              <w:snapToGrid w:val="0"/>
              <w:jc w:val="center"/>
              <w:rPr>
                <w:rFonts w:ascii="宋体" w:hAnsi="宋体" w:eastAsia="宋体" w:cs="Times New Roman"/>
                <w:color w:val="auto"/>
              </w:rPr>
            </w:pPr>
            <w:r>
              <w:rPr>
                <w:rFonts w:ascii="宋体" w:hAnsi="宋体" w:eastAsia="宋体" w:cs="Times New Roman"/>
                <w:color w:val="auto"/>
              </w:rPr>
              <w:t>126</w:t>
            </w:r>
          </w:p>
        </w:tc>
        <w:tc>
          <w:tcPr>
            <w:tcW w:w="667" w:type="dxa"/>
            <w:vAlign w:val="center"/>
          </w:tcPr>
          <w:p w14:paraId="7A35ED8A">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667" w:type="dxa"/>
            <w:vAlign w:val="center"/>
          </w:tcPr>
          <w:p w14:paraId="01E6B61B">
            <w:pPr>
              <w:adjustRightInd w:val="0"/>
              <w:snapToGrid w:val="0"/>
              <w:jc w:val="center"/>
              <w:rPr>
                <w:rFonts w:ascii="宋体" w:hAnsi="宋体" w:eastAsia="宋体" w:cs="Times New Roman"/>
                <w:color w:val="auto"/>
              </w:rPr>
            </w:pPr>
            <w:r>
              <w:rPr>
                <w:rFonts w:ascii="宋体" w:hAnsi="宋体" w:eastAsia="宋体" w:cs="Times New Roman"/>
                <w:color w:val="auto"/>
              </w:rPr>
              <w:t>0.3</w:t>
            </w:r>
          </w:p>
        </w:tc>
        <w:tc>
          <w:tcPr>
            <w:tcW w:w="750" w:type="dxa"/>
            <w:vAlign w:val="center"/>
          </w:tcPr>
          <w:p w14:paraId="0AE4DDBD">
            <w:pPr>
              <w:adjustRightInd w:val="0"/>
              <w:snapToGrid w:val="0"/>
              <w:jc w:val="center"/>
              <w:rPr>
                <w:rFonts w:ascii="宋体" w:hAnsi="宋体" w:eastAsia="宋体" w:cs="Times New Roman"/>
                <w:color w:val="auto"/>
              </w:rPr>
            </w:pPr>
            <w:r>
              <w:rPr>
                <w:rFonts w:hint="eastAsia" w:ascii="宋体" w:hAnsi="宋体" w:eastAsia="宋体" w:cs="Times New Roman"/>
                <w:color w:val="auto"/>
              </w:rPr>
              <w:t>1.79</w:t>
            </w:r>
          </w:p>
        </w:tc>
        <w:tc>
          <w:tcPr>
            <w:tcW w:w="584" w:type="dxa"/>
            <w:vAlign w:val="center"/>
          </w:tcPr>
          <w:p w14:paraId="091B4A6C">
            <w:pPr>
              <w:adjustRightInd w:val="0"/>
              <w:snapToGrid w:val="0"/>
              <w:jc w:val="center"/>
              <w:rPr>
                <w:rFonts w:ascii="宋体" w:hAnsi="宋体" w:eastAsia="宋体" w:cs="Times New Roman"/>
                <w:color w:val="auto"/>
              </w:rPr>
            </w:pPr>
            <w:r>
              <w:rPr>
                <w:rFonts w:ascii="宋体" w:hAnsi="宋体" w:eastAsia="宋体" w:cs="Times New Roman"/>
                <w:color w:val="auto"/>
              </w:rPr>
              <w:t>98</w:t>
            </w:r>
          </w:p>
        </w:tc>
        <w:tc>
          <w:tcPr>
            <w:tcW w:w="669" w:type="dxa"/>
            <w:vAlign w:val="center"/>
          </w:tcPr>
          <w:p w14:paraId="7702C286">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525" w:type="dxa"/>
            <w:vMerge w:val="continue"/>
            <w:vAlign w:val="center"/>
          </w:tcPr>
          <w:p w14:paraId="3FED938E">
            <w:pPr>
              <w:adjustRightInd w:val="0"/>
              <w:snapToGrid w:val="0"/>
              <w:jc w:val="center"/>
              <w:rPr>
                <w:rFonts w:ascii="宋体" w:hAnsi="宋体" w:eastAsia="宋体" w:cs="Times New Roman"/>
                <w:color w:val="auto"/>
              </w:rPr>
            </w:pPr>
          </w:p>
        </w:tc>
        <w:tc>
          <w:tcPr>
            <w:tcW w:w="757" w:type="dxa"/>
            <w:vAlign w:val="center"/>
          </w:tcPr>
          <w:p w14:paraId="184291B8">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0.0009 </w:t>
            </w:r>
          </w:p>
        </w:tc>
        <w:tc>
          <w:tcPr>
            <w:tcW w:w="641" w:type="dxa"/>
            <w:vAlign w:val="center"/>
          </w:tcPr>
          <w:p w14:paraId="4CDCFF3C">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0.0031 </w:t>
            </w:r>
          </w:p>
        </w:tc>
        <w:tc>
          <w:tcPr>
            <w:tcW w:w="843" w:type="dxa"/>
            <w:vAlign w:val="center"/>
          </w:tcPr>
          <w:p w14:paraId="55386DE6">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0.0013 </w:t>
            </w:r>
          </w:p>
        </w:tc>
      </w:tr>
      <w:tr w14:paraId="20D5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vAlign w:val="center"/>
          </w:tcPr>
          <w:p w14:paraId="6591DC71">
            <w:pPr>
              <w:adjustRightInd w:val="0"/>
              <w:snapToGrid w:val="0"/>
              <w:jc w:val="center"/>
              <w:rPr>
                <w:rFonts w:ascii="宋体" w:hAnsi="宋体" w:eastAsia="宋体" w:cs="Times New Roman"/>
                <w:color w:val="auto"/>
              </w:rPr>
            </w:pPr>
            <w:r>
              <w:rPr>
                <w:rFonts w:ascii="宋体" w:hAnsi="宋体" w:eastAsia="宋体" w:cs="Times New Roman"/>
                <w:color w:val="auto"/>
              </w:rPr>
              <w:t>储罐加热炉</w:t>
            </w:r>
            <w:r>
              <w:rPr>
                <w:rFonts w:hint="eastAsia" w:ascii="宋体" w:hAnsi="宋体" w:eastAsia="宋体" w:cs="Times New Roman"/>
                <w:color w:val="auto"/>
              </w:rPr>
              <w:t>3</w:t>
            </w:r>
            <w:r>
              <w:rPr>
                <w:rFonts w:ascii="宋体" w:hAnsi="宋体" w:eastAsia="宋体" w:cs="Times New Roman"/>
                <w:color w:val="auto"/>
              </w:rPr>
              <w:t>#</w:t>
            </w:r>
          </w:p>
        </w:tc>
        <w:tc>
          <w:tcPr>
            <w:tcW w:w="667" w:type="dxa"/>
            <w:vAlign w:val="center"/>
          </w:tcPr>
          <w:p w14:paraId="27C2B664">
            <w:pPr>
              <w:adjustRightInd w:val="0"/>
              <w:snapToGrid w:val="0"/>
              <w:jc w:val="center"/>
              <w:rPr>
                <w:rFonts w:ascii="宋体" w:hAnsi="宋体" w:eastAsia="宋体" w:cs="Times New Roman"/>
                <w:color w:val="auto"/>
              </w:rPr>
            </w:pPr>
            <w:r>
              <w:rPr>
                <w:rFonts w:ascii="宋体" w:hAnsi="宋体" w:eastAsia="宋体" w:cs="Times New Roman"/>
                <w:color w:val="auto"/>
              </w:rPr>
              <w:t>125.17298</w:t>
            </w:r>
          </w:p>
        </w:tc>
        <w:tc>
          <w:tcPr>
            <w:tcW w:w="670" w:type="dxa"/>
            <w:vAlign w:val="center"/>
          </w:tcPr>
          <w:p w14:paraId="73DBDDE9">
            <w:pPr>
              <w:adjustRightInd w:val="0"/>
              <w:snapToGrid w:val="0"/>
              <w:jc w:val="center"/>
              <w:rPr>
                <w:rFonts w:ascii="宋体" w:hAnsi="宋体" w:eastAsia="宋体" w:cs="Times New Roman"/>
                <w:color w:val="auto"/>
              </w:rPr>
            </w:pPr>
            <w:r>
              <w:rPr>
                <w:rFonts w:ascii="宋体" w:hAnsi="宋体" w:eastAsia="宋体" w:cs="Times New Roman"/>
                <w:color w:val="auto"/>
              </w:rPr>
              <w:t>45.56549</w:t>
            </w:r>
          </w:p>
        </w:tc>
        <w:tc>
          <w:tcPr>
            <w:tcW w:w="671" w:type="dxa"/>
            <w:vAlign w:val="center"/>
          </w:tcPr>
          <w:p w14:paraId="54DD2DB4">
            <w:pPr>
              <w:adjustRightInd w:val="0"/>
              <w:snapToGrid w:val="0"/>
              <w:jc w:val="center"/>
              <w:rPr>
                <w:rFonts w:ascii="宋体" w:hAnsi="宋体" w:eastAsia="宋体" w:cs="Times New Roman"/>
                <w:color w:val="auto"/>
              </w:rPr>
            </w:pPr>
            <w:r>
              <w:rPr>
                <w:rFonts w:ascii="宋体" w:hAnsi="宋体" w:eastAsia="宋体" w:cs="Times New Roman"/>
                <w:color w:val="auto"/>
              </w:rPr>
              <w:t>136</w:t>
            </w:r>
          </w:p>
        </w:tc>
        <w:tc>
          <w:tcPr>
            <w:tcW w:w="667" w:type="dxa"/>
            <w:vAlign w:val="center"/>
          </w:tcPr>
          <w:p w14:paraId="442F282F">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667" w:type="dxa"/>
            <w:vAlign w:val="center"/>
          </w:tcPr>
          <w:p w14:paraId="60256C16">
            <w:pPr>
              <w:adjustRightInd w:val="0"/>
              <w:snapToGrid w:val="0"/>
              <w:jc w:val="center"/>
              <w:rPr>
                <w:rFonts w:ascii="宋体" w:hAnsi="宋体" w:eastAsia="宋体" w:cs="Times New Roman"/>
                <w:color w:val="auto"/>
              </w:rPr>
            </w:pPr>
            <w:r>
              <w:rPr>
                <w:rFonts w:ascii="宋体" w:hAnsi="宋体" w:eastAsia="宋体" w:cs="Times New Roman"/>
                <w:color w:val="auto"/>
              </w:rPr>
              <w:t>0.3</w:t>
            </w:r>
          </w:p>
        </w:tc>
        <w:tc>
          <w:tcPr>
            <w:tcW w:w="750" w:type="dxa"/>
            <w:vAlign w:val="center"/>
          </w:tcPr>
          <w:p w14:paraId="16B0801B">
            <w:pPr>
              <w:adjustRightInd w:val="0"/>
              <w:snapToGrid w:val="0"/>
              <w:jc w:val="center"/>
              <w:rPr>
                <w:rFonts w:ascii="宋体" w:hAnsi="宋体" w:eastAsia="宋体" w:cs="Times New Roman"/>
                <w:color w:val="auto"/>
              </w:rPr>
            </w:pPr>
            <w:r>
              <w:rPr>
                <w:rFonts w:hint="eastAsia" w:ascii="宋体" w:hAnsi="宋体" w:eastAsia="宋体" w:cs="Times New Roman"/>
                <w:color w:val="auto"/>
              </w:rPr>
              <w:t>1.18</w:t>
            </w:r>
          </w:p>
        </w:tc>
        <w:tc>
          <w:tcPr>
            <w:tcW w:w="584" w:type="dxa"/>
            <w:vAlign w:val="center"/>
          </w:tcPr>
          <w:p w14:paraId="0C2F45CE">
            <w:pPr>
              <w:adjustRightInd w:val="0"/>
              <w:snapToGrid w:val="0"/>
              <w:jc w:val="center"/>
              <w:rPr>
                <w:rFonts w:ascii="宋体" w:hAnsi="宋体" w:eastAsia="宋体" w:cs="Times New Roman"/>
                <w:color w:val="auto"/>
              </w:rPr>
            </w:pPr>
            <w:r>
              <w:rPr>
                <w:rFonts w:ascii="宋体" w:hAnsi="宋体" w:eastAsia="宋体" w:cs="Times New Roman"/>
                <w:color w:val="auto"/>
              </w:rPr>
              <w:t>98</w:t>
            </w:r>
          </w:p>
        </w:tc>
        <w:tc>
          <w:tcPr>
            <w:tcW w:w="669" w:type="dxa"/>
            <w:vAlign w:val="center"/>
          </w:tcPr>
          <w:p w14:paraId="0C95B9F2">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525" w:type="dxa"/>
            <w:vMerge w:val="continue"/>
            <w:vAlign w:val="center"/>
          </w:tcPr>
          <w:p w14:paraId="670B1EAD">
            <w:pPr>
              <w:adjustRightInd w:val="0"/>
              <w:snapToGrid w:val="0"/>
              <w:jc w:val="center"/>
              <w:rPr>
                <w:rFonts w:ascii="宋体" w:hAnsi="宋体" w:eastAsia="宋体" w:cs="Times New Roman"/>
                <w:color w:val="auto"/>
              </w:rPr>
            </w:pPr>
          </w:p>
        </w:tc>
        <w:tc>
          <w:tcPr>
            <w:tcW w:w="757" w:type="dxa"/>
            <w:vAlign w:val="center"/>
          </w:tcPr>
          <w:p w14:paraId="30A4C1AB">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0.0006 </w:t>
            </w:r>
          </w:p>
        </w:tc>
        <w:tc>
          <w:tcPr>
            <w:tcW w:w="641" w:type="dxa"/>
            <w:vAlign w:val="center"/>
          </w:tcPr>
          <w:p w14:paraId="3BA68966">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0.0020 </w:t>
            </w:r>
          </w:p>
        </w:tc>
        <w:tc>
          <w:tcPr>
            <w:tcW w:w="843" w:type="dxa"/>
            <w:vAlign w:val="center"/>
          </w:tcPr>
          <w:p w14:paraId="7EF1E472">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0.0009 </w:t>
            </w:r>
          </w:p>
        </w:tc>
      </w:tr>
      <w:tr w14:paraId="2E2C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vAlign w:val="center"/>
          </w:tcPr>
          <w:p w14:paraId="462BA9B4">
            <w:pPr>
              <w:adjustRightInd w:val="0"/>
              <w:snapToGrid w:val="0"/>
              <w:jc w:val="center"/>
              <w:rPr>
                <w:rFonts w:ascii="宋体" w:hAnsi="宋体" w:eastAsia="宋体" w:cs="Times New Roman"/>
                <w:color w:val="auto"/>
              </w:rPr>
            </w:pPr>
            <w:r>
              <w:rPr>
                <w:rFonts w:ascii="宋体" w:hAnsi="宋体" w:eastAsia="宋体" w:cs="Times New Roman"/>
                <w:color w:val="auto"/>
              </w:rPr>
              <w:t>储罐加热炉</w:t>
            </w:r>
            <w:r>
              <w:rPr>
                <w:rFonts w:hint="eastAsia" w:ascii="宋体" w:hAnsi="宋体" w:eastAsia="宋体" w:cs="Times New Roman"/>
                <w:color w:val="auto"/>
              </w:rPr>
              <w:t>4</w:t>
            </w:r>
            <w:r>
              <w:rPr>
                <w:rFonts w:ascii="宋体" w:hAnsi="宋体" w:eastAsia="宋体" w:cs="Times New Roman"/>
                <w:color w:val="auto"/>
              </w:rPr>
              <w:t>#</w:t>
            </w:r>
          </w:p>
        </w:tc>
        <w:tc>
          <w:tcPr>
            <w:tcW w:w="667" w:type="dxa"/>
            <w:vAlign w:val="center"/>
          </w:tcPr>
          <w:p w14:paraId="141A41C0">
            <w:pPr>
              <w:adjustRightInd w:val="0"/>
              <w:snapToGrid w:val="0"/>
              <w:jc w:val="center"/>
              <w:rPr>
                <w:rFonts w:ascii="宋体" w:hAnsi="宋体" w:eastAsia="宋体" w:cs="Times New Roman"/>
                <w:color w:val="auto"/>
              </w:rPr>
            </w:pPr>
            <w:r>
              <w:rPr>
                <w:rFonts w:ascii="宋体" w:hAnsi="宋体" w:eastAsia="宋体" w:cs="Times New Roman"/>
                <w:color w:val="auto"/>
              </w:rPr>
              <w:t>125.17332</w:t>
            </w:r>
          </w:p>
        </w:tc>
        <w:tc>
          <w:tcPr>
            <w:tcW w:w="670" w:type="dxa"/>
            <w:vAlign w:val="center"/>
          </w:tcPr>
          <w:p w14:paraId="4E5910AE">
            <w:pPr>
              <w:adjustRightInd w:val="0"/>
              <w:snapToGrid w:val="0"/>
              <w:jc w:val="center"/>
              <w:rPr>
                <w:rFonts w:ascii="宋体" w:hAnsi="宋体" w:eastAsia="宋体" w:cs="Times New Roman"/>
                <w:color w:val="auto"/>
              </w:rPr>
            </w:pPr>
            <w:r>
              <w:rPr>
                <w:rFonts w:ascii="宋体" w:hAnsi="宋体" w:eastAsia="宋体" w:cs="Times New Roman"/>
                <w:color w:val="auto"/>
              </w:rPr>
              <w:t>45.56550</w:t>
            </w:r>
          </w:p>
        </w:tc>
        <w:tc>
          <w:tcPr>
            <w:tcW w:w="671" w:type="dxa"/>
            <w:vAlign w:val="center"/>
          </w:tcPr>
          <w:p w14:paraId="49E1CA50">
            <w:pPr>
              <w:adjustRightInd w:val="0"/>
              <w:snapToGrid w:val="0"/>
              <w:jc w:val="center"/>
              <w:rPr>
                <w:rFonts w:ascii="宋体" w:hAnsi="宋体" w:eastAsia="宋体" w:cs="Times New Roman"/>
                <w:color w:val="auto"/>
              </w:rPr>
            </w:pPr>
            <w:r>
              <w:rPr>
                <w:rFonts w:ascii="宋体" w:hAnsi="宋体" w:eastAsia="宋体" w:cs="Times New Roman"/>
                <w:color w:val="auto"/>
              </w:rPr>
              <w:t>138</w:t>
            </w:r>
          </w:p>
        </w:tc>
        <w:tc>
          <w:tcPr>
            <w:tcW w:w="667" w:type="dxa"/>
            <w:vAlign w:val="center"/>
          </w:tcPr>
          <w:p w14:paraId="761B3680">
            <w:pPr>
              <w:adjustRightInd w:val="0"/>
              <w:snapToGrid w:val="0"/>
              <w:jc w:val="center"/>
              <w:rPr>
                <w:rFonts w:ascii="宋体" w:hAnsi="宋体" w:eastAsia="宋体" w:cs="Times New Roman"/>
                <w:color w:val="auto"/>
              </w:rPr>
            </w:pPr>
            <w:r>
              <w:rPr>
                <w:rFonts w:ascii="宋体" w:hAnsi="宋体" w:eastAsia="宋体" w:cs="Times New Roman"/>
                <w:color w:val="auto"/>
              </w:rPr>
              <w:t>15</w:t>
            </w:r>
          </w:p>
        </w:tc>
        <w:tc>
          <w:tcPr>
            <w:tcW w:w="667" w:type="dxa"/>
            <w:vAlign w:val="center"/>
          </w:tcPr>
          <w:p w14:paraId="0D06CBBB">
            <w:pPr>
              <w:adjustRightInd w:val="0"/>
              <w:snapToGrid w:val="0"/>
              <w:jc w:val="center"/>
              <w:rPr>
                <w:rFonts w:ascii="宋体" w:hAnsi="宋体" w:eastAsia="宋体" w:cs="Times New Roman"/>
                <w:color w:val="auto"/>
              </w:rPr>
            </w:pPr>
            <w:r>
              <w:rPr>
                <w:rFonts w:ascii="宋体" w:hAnsi="宋体" w:eastAsia="宋体" w:cs="Times New Roman"/>
                <w:color w:val="auto"/>
              </w:rPr>
              <w:t>0.3</w:t>
            </w:r>
          </w:p>
        </w:tc>
        <w:tc>
          <w:tcPr>
            <w:tcW w:w="750" w:type="dxa"/>
            <w:vAlign w:val="center"/>
          </w:tcPr>
          <w:p w14:paraId="58C288E4">
            <w:pPr>
              <w:adjustRightInd w:val="0"/>
              <w:snapToGrid w:val="0"/>
              <w:jc w:val="center"/>
              <w:rPr>
                <w:rFonts w:ascii="宋体" w:hAnsi="宋体" w:eastAsia="宋体" w:cs="Times New Roman"/>
                <w:color w:val="auto"/>
              </w:rPr>
            </w:pPr>
            <w:r>
              <w:rPr>
                <w:rFonts w:hint="eastAsia" w:ascii="宋体" w:hAnsi="宋体" w:eastAsia="宋体" w:cs="Times New Roman"/>
                <w:color w:val="auto"/>
              </w:rPr>
              <w:t>2.41</w:t>
            </w:r>
          </w:p>
        </w:tc>
        <w:tc>
          <w:tcPr>
            <w:tcW w:w="584" w:type="dxa"/>
            <w:vAlign w:val="center"/>
          </w:tcPr>
          <w:p w14:paraId="3A0A895E">
            <w:pPr>
              <w:adjustRightInd w:val="0"/>
              <w:snapToGrid w:val="0"/>
              <w:jc w:val="center"/>
              <w:rPr>
                <w:rFonts w:ascii="宋体" w:hAnsi="宋体" w:eastAsia="宋体" w:cs="Times New Roman"/>
                <w:color w:val="auto"/>
              </w:rPr>
            </w:pPr>
            <w:r>
              <w:rPr>
                <w:rFonts w:ascii="宋体" w:hAnsi="宋体" w:eastAsia="宋体" w:cs="Times New Roman"/>
                <w:color w:val="auto"/>
              </w:rPr>
              <w:t>98</w:t>
            </w:r>
          </w:p>
        </w:tc>
        <w:tc>
          <w:tcPr>
            <w:tcW w:w="669" w:type="dxa"/>
            <w:vAlign w:val="center"/>
          </w:tcPr>
          <w:p w14:paraId="41449C43">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525" w:type="dxa"/>
            <w:vMerge w:val="continue"/>
            <w:vAlign w:val="center"/>
          </w:tcPr>
          <w:p w14:paraId="002B8A44">
            <w:pPr>
              <w:adjustRightInd w:val="0"/>
              <w:snapToGrid w:val="0"/>
              <w:jc w:val="center"/>
              <w:rPr>
                <w:rFonts w:ascii="宋体" w:hAnsi="宋体" w:eastAsia="宋体" w:cs="Times New Roman"/>
                <w:color w:val="auto"/>
              </w:rPr>
            </w:pPr>
          </w:p>
        </w:tc>
        <w:tc>
          <w:tcPr>
            <w:tcW w:w="757" w:type="dxa"/>
            <w:vAlign w:val="center"/>
          </w:tcPr>
          <w:p w14:paraId="2163F09A">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0.0013 </w:t>
            </w:r>
          </w:p>
        </w:tc>
        <w:tc>
          <w:tcPr>
            <w:tcW w:w="641" w:type="dxa"/>
            <w:vAlign w:val="center"/>
          </w:tcPr>
          <w:p w14:paraId="121209A2">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0.0042 </w:t>
            </w:r>
          </w:p>
        </w:tc>
        <w:tc>
          <w:tcPr>
            <w:tcW w:w="843" w:type="dxa"/>
            <w:vAlign w:val="center"/>
          </w:tcPr>
          <w:p w14:paraId="59084ADD">
            <w:pPr>
              <w:adjustRightInd w:val="0"/>
              <w:snapToGrid w:val="0"/>
              <w:jc w:val="center"/>
              <w:rPr>
                <w:rFonts w:ascii="宋体" w:hAnsi="宋体" w:eastAsia="宋体" w:cs="Times New Roman"/>
                <w:color w:val="auto"/>
              </w:rPr>
            </w:pPr>
            <w:r>
              <w:rPr>
                <w:rFonts w:ascii="宋体" w:hAnsi="宋体" w:eastAsia="宋体" w:cs="Times New Roman"/>
                <w:color w:val="auto"/>
                <w:lang w:bidi="ar"/>
              </w:rPr>
              <w:t xml:space="preserve">0.0018 </w:t>
            </w:r>
          </w:p>
        </w:tc>
      </w:tr>
    </w:tbl>
    <w:p w14:paraId="0E16FCFE">
      <w:pPr>
        <w:pStyle w:val="276"/>
        <w:widowControl w:val="0"/>
        <w:spacing w:line="440" w:lineRule="exact"/>
        <w:ind w:firstLine="0" w:firstLineChars="0"/>
        <w:jc w:val="center"/>
        <w:rPr>
          <w:color w:val="auto"/>
        </w:rPr>
      </w:pPr>
      <w:r>
        <w:rPr>
          <w:color w:val="auto"/>
        </w:rPr>
        <w:t>表5.1-10   污染物面源参数调查清单</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161"/>
        <w:gridCol w:w="1064"/>
        <w:gridCol w:w="642"/>
        <w:gridCol w:w="767"/>
        <w:gridCol w:w="560"/>
        <w:gridCol w:w="615"/>
        <w:gridCol w:w="797"/>
        <w:gridCol w:w="636"/>
        <w:gridCol w:w="426"/>
        <w:gridCol w:w="1044"/>
      </w:tblGrid>
      <w:tr w14:paraId="11A1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vMerge w:val="restart"/>
            <w:shd w:val="clear" w:color="auto" w:fill="auto"/>
            <w:vAlign w:val="center"/>
          </w:tcPr>
          <w:p w14:paraId="22F45778">
            <w:pPr>
              <w:adjustRightInd w:val="0"/>
              <w:snapToGrid w:val="0"/>
              <w:jc w:val="center"/>
              <w:rPr>
                <w:rFonts w:ascii="宋体" w:hAnsi="宋体" w:eastAsia="宋体" w:cs="Times New Roman"/>
                <w:color w:val="auto"/>
              </w:rPr>
            </w:pPr>
            <w:r>
              <w:rPr>
                <w:rFonts w:ascii="宋体" w:hAnsi="宋体" w:eastAsia="宋体" w:cs="Times New Roman"/>
                <w:color w:val="auto"/>
              </w:rPr>
              <w:t>污染源名称</w:t>
            </w:r>
          </w:p>
        </w:tc>
        <w:tc>
          <w:tcPr>
            <w:tcW w:w="1109" w:type="pct"/>
            <w:gridSpan w:val="2"/>
            <w:shd w:val="clear" w:color="auto" w:fill="auto"/>
            <w:vAlign w:val="center"/>
          </w:tcPr>
          <w:p w14:paraId="12CC5D1B">
            <w:pPr>
              <w:adjustRightInd w:val="0"/>
              <w:snapToGrid w:val="0"/>
              <w:jc w:val="center"/>
              <w:rPr>
                <w:rFonts w:ascii="宋体" w:hAnsi="宋体" w:eastAsia="宋体" w:cs="Times New Roman"/>
                <w:color w:val="auto"/>
              </w:rPr>
            </w:pPr>
            <w:r>
              <w:rPr>
                <w:rFonts w:ascii="宋体" w:hAnsi="宋体" w:eastAsia="宋体" w:cs="Times New Roman"/>
                <w:color w:val="auto"/>
              </w:rPr>
              <w:t>面源起点坐标</w:t>
            </w:r>
            <w:r>
              <w:rPr>
                <w:rFonts w:hint="eastAsia" w:ascii="宋体" w:hAnsi="宋体" w:eastAsia="宋体" w:cs="Times New Roman"/>
                <w:color w:val="auto"/>
              </w:rPr>
              <w:t>/°</w:t>
            </w:r>
          </w:p>
        </w:tc>
        <w:tc>
          <w:tcPr>
            <w:tcW w:w="356" w:type="pct"/>
            <w:vMerge w:val="restart"/>
            <w:shd w:val="clear" w:color="auto" w:fill="auto"/>
            <w:vAlign w:val="center"/>
          </w:tcPr>
          <w:p w14:paraId="451C855D">
            <w:pPr>
              <w:adjustRightInd w:val="0"/>
              <w:snapToGrid w:val="0"/>
              <w:jc w:val="center"/>
              <w:rPr>
                <w:rFonts w:ascii="宋体" w:hAnsi="宋体" w:eastAsia="宋体" w:cs="Times New Roman"/>
                <w:color w:val="auto"/>
              </w:rPr>
            </w:pPr>
            <w:r>
              <w:rPr>
                <w:rFonts w:ascii="宋体" w:hAnsi="宋体" w:eastAsia="宋体" w:cs="Times New Roman"/>
                <w:color w:val="auto"/>
              </w:rPr>
              <w:t>海拔高度/m</w:t>
            </w:r>
          </w:p>
        </w:tc>
        <w:tc>
          <w:tcPr>
            <w:tcW w:w="423" w:type="pct"/>
            <w:vMerge w:val="restart"/>
            <w:shd w:val="clear" w:color="auto" w:fill="auto"/>
            <w:vAlign w:val="center"/>
          </w:tcPr>
          <w:p w14:paraId="72350F3B">
            <w:pPr>
              <w:adjustRightInd w:val="0"/>
              <w:snapToGrid w:val="0"/>
              <w:jc w:val="center"/>
              <w:rPr>
                <w:rFonts w:ascii="宋体" w:hAnsi="宋体" w:eastAsia="宋体" w:cs="Times New Roman"/>
                <w:color w:val="auto"/>
              </w:rPr>
            </w:pPr>
            <w:r>
              <w:rPr>
                <w:rFonts w:ascii="宋体" w:hAnsi="宋体" w:eastAsia="宋体" w:cs="Times New Roman"/>
                <w:color w:val="auto"/>
              </w:rPr>
              <w:t>与正北方向夹角/°</w:t>
            </w:r>
          </w:p>
        </w:tc>
        <w:tc>
          <w:tcPr>
            <w:tcW w:w="311" w:type="pct"/>
            <w:vMerge w:val="restart"/>
            <w:shd w:val="clear" w:color="auto" w:fill="auto"/>
            <w:vAlign w:val="center"/>
          </w:tcPr>
          <w:p w14:paraId="78965174">
            <w:pPr>
              <w:adjustRightInd w:val="0"/>
              <w:snapToGrid w:val="0"/>
              <w:jc w:val="center"/>
              <w:rPr>
                <w:rFonts w:ascii="宋体" w:hAnsi="宋体" w:eastAsia="宋体" w:cs="Times New Roman"/>
                <w:color w:val="auto"/>
              </w:rPr>
            </w:pPr>
            <w:r>
              <w:rPr>
                <w:rFonts w:ascii="宋体" w:hAnsi="宋体" w:eastAsia="宋体" w:cs="Times New Roman"/>
                <w:color w:val="auto"/>
              </w:rPr>
              <w:t>面源长度/m</w:t>
            </w:r>
          </w:p>
        </w:tc>
        <w:tc>
          <w:tcPr>
            <w:tcW w:w="341" w:type="pct"/>
            <w:vMerge w:val="restart"/>
            <w:shd w:val="clear" w:color="auto" w:fill="auto"/>
            <w:vAlign w:val="center"/>
          </w:tcPr>
          <w:p w14:paraId="39BFB545">
            <w:pPr>
              <w:adjustRightInd w:val="0"/>
              <w:snapToGrid w:val="0"/>
              <w:jc w:val="center"/>
              <w:rPr>
                <w:rFonts w:ascii="宋体" w:hAnsi="宋体" w:eastAsia="宋体" w:cs="Times New Roman"/>
                <w:color w:val="auto"/>
              </w:rPr>
            </w:pPr>
            <w:r>
              <w:rPr>
                <w:rFonts w:ascii="宋体" w:hAnsi="宋体" w:eastAsia="宋体" w:cs="Times New Roman"/>
                <w:color w:val="auto"/>
              </w:rPr>
              <w:t>面源宽度/m</w:t>
            </w:r>
          </w:p>
        </w:tc>
        <w:tc>
          <w:tcPr>
            <w:tcW w:w="439" w:type="pct"/>
            <w:vMerge w:val="restart"/>
            <w:shd w:val="clear" w:color="auto" w:fill="auto"/>
            <w:vAlign w:val="center"/>
          </w:tcPr>
          <w:p w14:paraId="0A99E1B9">
            <w:pPr>
              <w:adjustRightInd w:val="0"/>
              <w:snapToGrid w:val="0"/>
              <w:jc w:val="center"/>
              <w:rPr>
                <w:rFonts w:ascii="宋体" w:hAnsi="宋体" w:eastAsia="宋体" w:cs="Times New Roman"/>
                <w:color w:val="auto"/>
              </w:rPr>
            </w:pPr>
            <w:r>
              <w:rPr>
                <w:rFonts w:ascii="宋体" w:hAnsi="宋体" w:eastAsia="宋体" w:cs="Times New Roman"/>
                <w:color w:val="auto"/>
              </w:rPr>
              <w:t>面源有效排放高度/m</w:t>
            </w:r>
          </w:p>
        </w:tc>
        <w:tc>
          <w:tcPr>
            <w:tcW w:w="351" w:type="pct"/>
            <w:vMerge w:val="restart"/>
            <w:shd w:val="clear" w:color="auto" w:fill="auto"/>
            <w:vAlign w:val="center"/>
          </w:tcPr>
          <w:p w14:paraId="4C753EE3">
            <w:pPr>
              <w:adjustRightInd w:val="0"/>
              <w:snapToGrid w:val="0"/>
              <w:jc w:val="center"/>
              <w:rPr>
                <w:rFonts w:ascii="宋体" w:hAnsi="宋体" w:eastAsia="宋体" w:cs="Times New Roman"/>
                <w:color w:val="auto"/>
              </w:rPr>
            </w:pPr>
            <w:r>
              <w:rPr>
                <w:rFonts w:ascii="宋体" w:hAnsi="宋体" w:eastAsia="宋体" w:cs="Times New Roman"/>
                <w:color w:val="auto"/>
              </w:rPr>
              <w:t>年排放小时数/h</w:t>
            </w:r>
          </w:p>
        </w:tc>
        <w:tc>
          <w:tcPr>
            <w:tcW w:w="235" w:type="pct"/>
            <w:vMerge w:val="restart"/>
            <w:shd w:val="clear" w:color="auto" w:fill="auto"/>
            <w:vAlign w:val="center"/>
          </w:tcPr>
          <w:p w14:paraId="48FA6BA6">
            <w:pPr>
              <w:adjustRightInd w:val="0"/>
              <w:snapToGrid w:val="0"/>
              <w:jc w:val="center"/>
              <w:rPr>
                <w:rFonts w:ascii="宋体" w:hAnsi="宋体" w:eastAsia="宋体" w:cs="Times New Roman"/>
                <w:color w:val="auto"/>
              </w:rPr>
            </w:pPr>
            <w:r>
              <w:rPr>
                <w:rFonts w:ascii="宋体" w:hAnsi="宋体" w:eastAsia="宋体" w:cs="Times New Roman"/>
                <w:color w:val="auto"/>
              </w:rPr>
              <w:t>排放工况</w:t>
            </w:r>
          </w:p>
        </w:tc>
        <w:tc>
          <w:tcPr>
            <w:tcW w:w="577" w:type="pct"/>
            <w:shd w:val="clear" w:color="auto" w:fill="auto"/>
            <w:vAlign w:val="center"/>
          </w:tcPr>
          <w:p w14:paraId="4A008955">
            <w:pPr>
              <w:adjustRightInd w:val="0"/>
              <w:snapToGrid w:val="0"/>
              <w:jc w:val="center"/>
              <w:rPr>
                <w:rFonts w:ascii="宋体" w:hAnsi="宋体" w:eastAsia="宋体" w:cs="Times New Roman"/>
                <w:color w:val="auto"/>
              </w:rPr>
            </w:pPr>
            <w:r>
              <w:rPr>
                <w:rFonts w:ascii="宋体" w:hAnsi="宋体" w:eastAsia="宋体" w:cs="Times New Roman"/>
                <w:color w:val="auto"/>
              </w:rPr>
              <w:t>污染物排放速率/kg/h</w:t>
            </w:r>
          </w:p>
        </w:tc>
      </w:tr>
      <w:tr w14:paraId="5CB7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vMerge w:val="continue"/>
            <w:shd w:val="clear" w:color="auto" w:fill="auto"/>
            <w:vAlign w:val="center"/>
          </w:tcPr>
          <w:p w14:paraId="78EED4FE">
            <w:pPr>
              <w:adjustRightInd w:val="0"/>
              <w:snapToGrid w:val="0"/>
              <w:jc w:val="center"/>
              <w:rPr>
                <w:rFonts w:ascii="宋体" w:hAnsi="宋体" w:eastAsia="宋体" w:cs="Times New Roman"/>
                <w:color w:val="auto"/>
              </w:rPr>
            </w:pPr>
          </w:p>
        </w:tc>
        <w:tc>
          <w:tcPr>
            <w:tcW w:w="526" w:type="pct"/>
            <w:shd w:val="clear" w:color="auto" w:fill="auto"/>
            <w:vAlign w:val="center"/>
          </w:tcPr>
          <w:p w14:paraId="7D6E0689">
            <w:pPr>
              <w:adjustRightInd w:val="0"/>
              <w:snapToGrid w:val="0"/>
              <w:jc w:val="center"/>
              <w:rPr>
                <w:rFonts w:ascii="宋体" w:hAnsi="宋体" w:eastAsia="宋体" w:cs="Times New Roman"/>
                <w:color w:val="auto"/>
              </w:rPr>
            </w:pPr>
            <w:r>
              <w:rPr>
                <w:rFonts w:ascii="宋体" w:hAnsi="宋体" w:eastAsia="宋体" w:cs="Times New Roman"/>
                <w:color w:val="auto"/>
              </w:rPr>
              <w:t>经度</w:t>
            </w:r>
          </w:p>
        </w:tc>
        <w:tc>
          <w:tcPr>
            <w:tcW w:w="583" w:type="pct"/>
            <w:shd w:val="clear" w:color="auto" w:fill="auto"/>
            <w:vAlign w:val="center"/>
          </w:tcPr>
          <w:p w14:paraId="00FDB620">
            <w:pPr>
              <w:adjustRightInd w:val="0"/>
              <w:snapToGrid w:val="0"/>
              <w:jc w:val="center"/>
              <w:rPr>
                <w:rFonts w:ascii="宋体" w:hAnsi="宋体" w:eastAsia="宋体" w:cs="Times New Roman"/>
                <w:color w:val="auto"/>
              </w:rPr>
            </w:pPr>
            <w:r>
              <w:rPr>
                <w:rFonts w:ascii="宋体" w:hAnsi="宋体" w:eastAsia="宋体" w:cs="Times New Roman"/>
                <w:color w:val="auto"/>
              </w:rPr>
              <w:t>纬度</w:t>
            </w:r>
          </w:p>
        </w:tc>
        <w:tc>
          <w:tcPr>
            <w:tcW w:w="356" w:type="pct"/>
            <w:vMerge w:val="continue"/>
            <w:shd w:val="clear" w:color="auto" w:fill="auto"/>
            <w:vAlign w:val="center"/>
          </w:tcPr>
          <w:p w14:paraId="2040A2F3">
            <w:pPr>
              <w:adjustRightInd w:val="0"/>
              <w:snapToGrid w:val="0"/>
              <w:jc w:val="center"/>
              <w:rPr>
                <w:rFonts w:ascii="宋体" w:hAnsi="宋体" w:eastAsia="宋体" w:cs="Times New Roman"/>
                <w:color w:val="auto"/>
              </w:rPr>
            </w:pPr>
          </w:p>
        </w:tc>
        <w:tc>
          <w:tcPr>
            <w:tcW w:w="423" w:type="pct"/>
            <w:vMerge w:val="continue"/>
            <w:shd w:val="clear" w:color="auto" w:fill="auto"/>
            <w:vAlign w:val="center"/>
          </w:tcPr>
          <w:p w14:paraId="6AB7F607">
            <w:pPr>
              <w:adjustRightInd w:val="0"/>
              <w:snapToGrid w:val="0"/>
              <w:jc w:val="center"/>
              <w:rPr>
                <w:rFonts w:ascii="宋体" w:hAnsi="宋体" w:eastAsia="宋体" w:cs="Times New Roman"/>
                <w:color w:val="auto"/>
              </w:rPr>
            </w:pPr>
          </w:p>
        </w:tc>
        <w:tc>
          <w:tcPr>
            <w:tcW w:w="311" w:type="pct"/>
            <w:vMerge w:val="continue"/>
            <w:shd w:val="clear" w:color="auto" w:fill="auto"/>
            <w:vAlign w:val="center"/>
          </w:tcPr>
          <w:p w14:paraId="2E666743">
            <w:pPr>
              <w:adjustRightInd w:val="0"/>
              <w:snapToGrid w:val="0"/>
              <w:jc w:val="center"/>
              <w:rPr>
                <w:rFonts w:ascii="宋体" w:hAnsi="宋体" w:eastAsia="宋体" w:cs="Times New Roman"/>
                <w:color w:val="auto"/>
              </w:rPr>
            </w:pPr>
          </w:p>
        </w:tc>
        <w:tc>
          <w:tcPr>
            <w:tcW w:w="341" w:type="pct"/>
            <w:vMerge w:val="continue"/>
            <w:shd w:val="clear" w:color="auto" w:fill="auto"/>
            <w:vAlign w:val="center"/>
          </w:tcPr>
          <w:p w14:paraId="2994491D">
            <w:pPr>
              <w:adjustRightInd w:val="0"/>
              <w:snapToGrid w:val="0"/>
              <w:jc w:val="center"/>
              <w:rPr>
                <w:rFonts w:ascii="宋体" w:hAnsi="宋体" w:eastAsia="宋体" w:cs="Times New Roman"/>
                <w:color w:val="auto"/>
              </w:rPr>
            </w:pPr>
          </w:p>
        </w:tc>
        <w:tc>
          <w:tcPr>
            <w:tcW w:w="439" w:type="pct"/>
            <w:vMerge w:val="continue"/>
            <w:shd w:val="clear" w:color="auto" w:fill="auto"/>
            <w:vAlign w:val="center"/>
          </w:tcPr>
          <w:p w14:paraId="38C593DC">
            <w:pPr>
              <w:adjustRightInd w:val="0"/>
              <w:snapToGrid w:val="0"/>
              <w:jc w:val="center"/>
              <w:rPr>
                <w:rFonts w:ascii="宋体" w:hAnsi="宋体" w:eastAsia="宋体" w:cs="Times New Roman"/>
                <w:color w:val="auto"/>
              </w:rPr>
            </w:pPr>
          </w:p>
        </w:tc>
        <w:tc>
          <w:tcPr>
            <w:tcW w:w="351" w:type="pct"/>
            <w:vMerge w:val="continue"/>
            <w:shd w:val="clear" w:color="auto" w:fill="auto"/>
            <w:vAlign w:val="center"/>
          </w:tcPr>
          <w:p w14:paraId="0EC62CDA">
            <w:pPr>
              <w:adjustRightInd w:val="0"/>
              <w:snapToGrid w:val="0"/>
              <w:jc w:val="center"/>
              <w:rPr>
                <w:rFonts w:ascii="宋体" w:hAnsi="宋体" w:eastAsia="宋体" w:cs="Times New Roman"/>
                <w:color w:val="auto"/>
              </w:rPr>
            </w:pPr>
          </w:p>
        </w:tc>
        <w:tc>
          <w:tcPr>
            <w:tcW w:w="235" w:type="pct"/>
            <w:vMerge w:val="continue"/>
            <w:shd w:val="clear" w:color="auto" w:fill="auto"/>
            <w:vAlign w:val="center"/>
          </w:tcPr>
          <w:p w14:paraId="63B35713">
            <w:pPr>
              <w:adjustRightInd w:val="0"/>
              <w:snapToGrid w:val="0"/>
              <w:jc w:val="center"/>
              <w:rPr>
                <w:rFonts w:ascii="宋体" w:hAnsi="宋体" w:eastAsia="宋体" w:cs="Times New Roman"/>
                <w:color w:val="auto"/>
              </w:rPr>
            </w:pPr>
          </w:p>
        </w:tc>
        <w:tc>
          <w:tcPr>
            <w:tcW w:w="577" w:type="pct"/>
            <w:shd w:val="clear" w:color="auto" w:fill="auto"/>
            <w:vAlign w:val="center"/>
          </w:tcPr>
          <w:p w14:paraId="7220505C">
            <w:pPr>
              <w:adjustRightInd w:val="0"/>
              <w:snapToGrid w:val="0"/>
              <w:jc w:val="center"/>
              <w:rPr>
                <w:rFonts w:ascii="宋体" w:hAnsi="宋体" w:eastAsia="宋体" w:cs="Times New Roman"/>
                <w:color w:val="auto"/>
              </w:rPr>
            </w:pPr>
            <w:r>
              <w:rPr>
                <w:rFonts w:ascii="宋体" w:hAnsi="宋体" w:eastAsia="宋体" w:cs="Times New Roman"/>
                <w:color w:val="auto"/>
              </w:rPr>
              <w:t>NMHC</w:t>
            </w:r>
          </w:p>
        </w:tc>
      </w:tr>
      <w:tr w14:paraId="539B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shd w:val="clear" w:color="auto" w:fill="auto"/>
            <w:vAlign w:val="center"/>
          </w:tcPr>
          <w:p w14:paraId="14F9574E">
            <w:pPr>
              <w:adjustRightInd w:val="0"/>
              <w:snapToGrid w:val="0"/>
              <w:jc w:val="center"/>
              <w:rPr>
                <w:rFonts w:ascii="宋体" w:hAnsi="宋体" w:eastAsia="宋体" w:cs="Times New Roman"/>
                <w:color w:val="auto"/>
                <w:kern w:val="24"/>
              </w:rPr>
            </w:pPr>
            <w:r>
              <w:rPr>
                <w:rFonts w:hint="eastAsia" w:ascii="宋体" w:hAnsi="宋体" w:eastAsia="宋体" w:cs="Times New Roman"/>
                <w:color w:val="auto"/>
              </w:rPr>
              <w:t>3</w:t>
            </w:r>
            <w:r>
              <w:rPr>
                <w:rFonts w:ascii="宋体" w:hAnsi="宋体" w:eastAsia="宋体" w:cs="Times New Roman"/>
                <w:color w:val="auto"/>
              </w:rPr>
              <w:t>号平台井场（2口油井）</w:t>
            </w:r>
          </w:p>
        </w:tc>
        <w:tc>
          <w:tcPr>
            <w:tcW w:w="526" w:type="pct"/>
            <w:shd w:val="clear" w:color="auto" w:fill="auto"/>
            <w:vAlign w:val="center"/>
          </w:tcPr>
          <w:p w14:paraId="3C970747">
            <w:pPr>
              <w:adjustRightInd w:val="0"/>
              <w:snapToGrid w:val="0"/>
              <w:jc w:val="center"/>
              <w:rPr>
                <w:rFonts w:ascii="宋体" w:hAnsi="宋体" w:eastAsia="宋体" w:cs="Times New Roman"/>
                <w:color w:val="auto"/>
                <w:kern w:val="24"/>
              </w:rPr>
            </w:pPr>
            <w:r>
              <w:rPr>
                <w:rFonts w:ascii="宋体" w:hAnsi="宋体" w:eastAsia="宋体" w:cs="Times New Roman"/>
                <w:color w:val="auto"/>
                <w:szCs w:val="23"/>
              </w:rPr>
              <w:t>125.17320</w:t>
            </w:r>
          </w:p>
        </w:tc>
        <w:tc>
          <w:tcPr>
            <w:tcW w:w="583" w:type="pct"/>
            <w:shd w:val="clear" w:color="auto" w:fill="auto"/>
            <w:vAlign w:val="center"/>
          </w:tcPr>
          <w:p w14:paraId="08FF14A0">
            <w:pPr>
              <w:adjustRightInd w:val="0"/>
              <w:snapToGrid w:val="0"/>
              <w:jc w:val="center"/>
              <w:rPr>
                <w:rFonts w:ascii="宋体" w:hAnsi="宋体" w:eastAsia="宋体" w:cs="Times New Roman"/>
                <w:color w:val="auto"/>
                <w:kern w:val="24"/>
              </w:rPr>
            </w:pPr>
            <w:r>
              <w:rPr>
                <w:rFonts w:ascii="宋体" w:hAnsi="宋体" w:eastAsia="宋体" w:cs="Times New Roman"/>
                <w:color w:val="auto"/>
                <w:szCs w:val="23"/>
              </w:rPr>
              <w:t>45.56462</w:t>
            </w:r>
          </w:p>
        </w:tc>
        <w:tc>
          <w:tcPr>
            <w:tcW w:w="356" w:type="pct"/>
            <w:shd w:val="clear" w:color="auto" w:fill="auto"/>
            <w:vAlign w:val="center"/>
          </w:tcPr>
          <w:p w14:paraId="3CC6EBD5">
            <w:pPr>
              <w:adjustRightInd w:val="0"/>
              <w:snapToGrid w:val="0"/>
              <w:jc w:val="center"/>
              <w:rPr>
                <w:rFonts w:ascii="宋体" w:hAnsi="宋体" w:eastAsia="宋体" w:cs="Times New Roman"/>
                <w:color w:val="auto"/>
              </w:rPr>
            </w:pPr>
            <w:r>
              <w:rPr>
                <w:rFonts w:ascii="宋体" w:hAnsi="宋体" w:eastAsia="宋体" w:cs="Times New Roman"/>
                <w:color w:val="auto"/>
                <w:szCs w:val="23"/>
              </w:rPr>
              <w:t>135</w:t>
            </w:r>
          </w:p>
        </w:tc>
        <w:tc>
          <w:tcPr>
            <w:tcW w:w="423" w:type="pct"/>
            <w:shd w:val="clear" w:color="auto" w:fill="auto"/>
            <w:vAlign w:val="center"/>
          </w:tcPr>
          <w:p w14:paraId="36521C93">
            <w:pPr>
              <w:adjustRightInd w:val="0"/>
              <w:snapToGrid w:val="0"/>
              <w:jc w:val="center"/>
              <w:rPr>
                <w:rFonts w:ascii="宋体" w:hAnsi="宋体" w:eastAsia="宋体" w:cs="Times New Roman"/>
                <w:color w:val="auto"/>
              </w:rPr>
            </w:pPr>
            <w:r>
              <w:rPr>
                <w:rFonts w:ascii="宋体" w:hAnsi="宋体" w:eastAsia="宋体" w:cs="Times New Roman"/>
                <w:color w:val="auto"/>
              </w:rPr>
              <w:t>0</w:t>
            </w:r>
          </w:p>
        </w:tc>
        <w:tc>
          <w:tcPr>
            <w:tcW w:w="311" w:type="pct"/>
            <w:shd w:val="clear" w:color="auto" w:fill="auto"/>
            <w:vAlign w:val="center"/>
          </w:tcPr>
          <w:p w14:paraId="071F1736">
            <w:pPr>
              <w:adjustRightInd w:val="0"/>
              <w:snapToGrid w:val="0"/>
              <w:jc w:val="center"/>
              <w:rPr>
                <w:rFonts w:ascii="宋体" w:hAnsi="宋体" w:eastAsia="宋体" w:cs="Times New Roman"/>
                <w:color w:val="auto"/>
              </w:rPr>
            </w:pPr>
            <w:r>
              <w:rPr>
                <w:rFonts w:ascii="宋体" w:hAnsi="宋体" w:eastAsia="宋体" w:cs="Times New Roman"/>
                <w:color w:val="auto"/>
              </w:rPr>
              <w:t>40</w:t>
            </w:r>
          </w:p>
        </w:tc>
        <w:tc>
          <w:tcPr>
            <w:tcW w:w="341" w:type="pct"/>
            <w:shd w:val="clear" w:color="auto" w:fill="auto"/>
            <w:vAlign w:val="center"/>
          </w:tcPr>
          <w:p w14:paraId="4ECA23FF">
            <w:pPr>
              <w:adjustRightInd w:val="0"/>
              <w:snapToGrid w:val="0"/>
              <w:jc w:val="center"/>
              <w:rPr>
                <w:rFonts w:ascii="宋体" w:hAnsi="宋体" w:eastAsia="宋体" w:cs="Times New Roman"/>
                <w:color w:val="auto"/>
              </w:rPr>
            </w:pPr>
            <w:r>
              <w:rPr>
                <w:rFonts w:ascii="宋体" w:hAnsi="宋体" w:eastAsia="宋体" w:cs="Times New Roman"/>
                <w:color w:val="auto"/>
              </w:rPr>
              <w:t>40</w:t>
            </w:r>
          </w:p>
        </w:tc>
        <w:tc>
          <w:tcPr>
            <w:tcW w:w="439" w:type="pct"/>
            <w:shd w:val="clear" w:color="auto" w:fill="auto"/>
            <w:vAlign w:val="center"/>
          </w:tcPr>
          <w:p w14:paraId="3BD3BC03">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351" w:type="pct"/>
            <w:shd w:val="clear" w:color="auto" w:fill="auto"/>
            <w:vAlign w:val="center"/>
          </w:tcPr>
          <w:p w14:paraId="44E098C7">
            <w:pPr>
              <w:adjustRightInd w:val="0"/>
              <w:snapToGrid w:val="0"/>
              <w:jc w:val="center"/>
              <w:rPr>
                <w:rFonts w:ascii="宋体" w:hAnsi="宋体" w:eastAsia="宋体" w:cs="Times New Roman"/>
                <w:color w:val="auto"/>
              </w:rPr>
            </w:pPr>
            <w:r>
              <w:rPr>
                <w:rFonts w:ascii="宋体" w:hAnsi="宋体" w:eastAsia="宋体" w:cs="Times New Roman"/>
                <w:color w:val="auto"/>
              </w:rPr>
              <w:t>7200</w:t>
            </w:r>
          </w:p>
        </w:tc>
        <w:tc>
          <w:tcPr>
            <w:tcW w:w="235" w:type="pct"/>
            <w:vMerge w:val="restart"/>
            <w:shd w:val="clear" w:color="auto" w:fill="auto"/>
            <w:vAlign w:val="center"/>
          </w:tcPr>
          <w:p w14:paraId="7751F463">
            <w:pPr>
              <w:adjustRightInd w:val="0"/>
              <w:snapToGrid w:val="0"/>
              <w:jc w:val="center"/>
              <w:rPr>
                <w:rFonts w:ascii="宋体" w:hAnsi="宋体" w:eastAsia="宋体" w:cs="Times New Roman"/>
                <w:color w:val="auto"/>
              </w:rPr>
            </w:pPr>
            <w:r>
              <w:rPr>
                <w:rFonts w:ascii="宋体" w:hAnsi="宋体" w:eastAsia="宋体" w:cs="Times New Roman"/>
                <w:color w:val="auto"/>
              </w:rPr>
              <w:t>正常排放</w:t>
            </w:r>
          </w:p>
        </w:tc>
        <w:tc>
          <w:tcPr>
            <w:tcW w:w="577" w:type="pct"/>
            <w:shd w:val="clear" w:color="auto" w:fill="auto"/>
            <w:vAlign w:val="center"/>
          </w:tcPr>
          <w:p w14:paraId="1E1981F6">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0.34</w:t>
            </w:r>
          </w:p>
        </w:tc>
      </w:tr>
      <w:tr w14:paraId="5D63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shd w:val="clear" w:color="auto" w:fill="auto"/>
            <w:vAlign w:val="center"/>
          </w:tcPr>
          <w:p w14:paraId="10BA1C23">
            <w:pPr>
              <w:adjustRightInd w:val="0"/>
              <w:snapToGrid w:val="0"/>
              <w:jc w:val="center"/>
              <w:rPr>
                <w:rFonts w:ascii="宋体" w:hAnsi="宋体" w:eastAsia="宋体" w:cs="Times New Roman"/>
                <w:color w:val="auto"/>
                <w:kern w:val="24"/>
              </w:rPr>
            </w:pPr>
            <w:r>
              <w:rPr>
                <w:rFonts w:ascii="宋体" w:hAnsi="宋体" w:eastAsia="宋体" w:cs="Times New Roman"/>
                <w:color w:val="auto"/>
              </w:rPr>
              <w:t>源212-扶平</w:t>
            </w:r>
            <w:r>
              <w:rPr>
                <w:rFonts w:hint="eastAsia" w:ascii="宋体" w:hAnsi="宋体" w:eastAsia="宋体" w:cs="Times New Roman"/>
                <w:color w:val="auto"/>
              </w:rPr>
              <w:t>3</w:t>
            </w:r>
          </w:p>
        </w:tc>
        <w:tc>
          <w:tcPr>
            <w:tcW w:w="526" w:type="pct"/>
            <w:shd w:val="clear" w:color="auto" w:fill="auto"/>
            <w:vAlign w:val="center"/>
          </w:tcPr>
          <w:p w14:paraId="4ED6356B">
            <w:pPr>
              <w:adjustRightInd w:val="0"/>
              <w:snapToGrid w:val="0"/>
              <w:jc w:val="center"/>
              <w:rPr>
                <w:rFonts w:ascii="宋体" w:hAnsi="宋体" w:eastAsia="宋体" w:cs="Times New Roman"/>
                <w:color w:val="auto"/>
                <w:kern w:val="24"/>
              </w:rPr>
            </w:pPr>
            <w:r>
              <w:rPr>
                <w:rFonts w:hint="eastAsia" w:ascii="宋体" w:hAnsi="宋体" w:eastAsia="宋体" w:cs="Times New Roman"/>
                <w:color w:val="auto"/>
                <w:kern w:val="24"/>
              </w:rPr>
              <w:t>125.15301</w:t>
            </w:r>
          </w:p>
        </w:tc>
        <w:tc>
          <w:tcPr>
            <w:tcW w:w="583" w:type="pct"/>
            <w:shd w:val="clear" w:color="auto" w:fill="auto"/>
            <w:vAlign w:val="center"/>
          </w:tcPr>
          <w:p w14:paraId="0ACC2763">
            <w:pPr>
              <w:adjustRightInd w:val="0"/>
              <w:snapToGrid w:val="0"/>
              <w:jc w:val="center"/>
              <w:rPr>
                <w:rFonts w:ascii="宋体" w:hAnsi="宋体" w:eastAsia="宋体" w:cs="Times New Roman"/>
                <w:color w:val="auto"/>
                <w:kern w:val="24"/>
              </w:rPr>
            </w:pPr>
            <w:r>
              <w:rPr>
                <w:rFonts w:hint="eastAsia" w:ascii="宋体" w:hAnsi="宋体" w:eastAsia="宋体" w:cs="Times New Roman"/>
                <w:color w:val="auto"/>
                <w:kern w:val="24"/>
              </w:rPr>
              <w:t>45.57005</w:t>
            </w:r>
          </w:p>
        </w:tc>
        <w:tc>
          <w:tcPr>
            <w:tcW w:w="356" w:type="pct"/>
            <w:shd w:val="clear" w:color="auto" w:fill="auto"/>
            <w:vAlign w:val="center"/>
          </w:tcPr>
          <w:p w14:paraId="550FA873">
            <w:pPr>
              <w:adjustRightInd w:val="0"/>
              <w:snapToGrid w:val="0"/>
              <w:jc w:val="center"/>
              <w:rPr>
                <w:rFonts w:ascii="宋体" w:hAnsi="宋体" w:eastAsia="宋体" w:cs="Times New Roman"/>
                <w:color w:val="auto"/>
              </w:rPr>
            </w:pPr>
            <w:r>
              <w:rPr>
                <w:rFonts w:ascii="宋体" w:hAnsi="宋体" w:eastAsia="宋体" w:cs="Times New Roman"/>
                <w:color w:val="auto"/>
                <w:szCs w:val="23"/>
              </w:rPr>
              <w:t>132</w:t>
            </w:r>
          </w:p>
        </w:tc>
        <w:tc>
          <w:tcPr>
            <w:tcW w:w="423" w:type="pct"/>
            <w:shd w:val="clear" w:color="auto" w:fill="auto"/>
            <w:vAlign w:val="center"/>
          </w:tcPr>
          <w:p w14:paraId="54BE396A">
            <w:pPr>
              <w:adjustRightInd w:val="0"/>
              <w:snapToGrid w:val="0"/>
              <w:jc w:val="center"/>
              <w:rPr>
                <w:rFonts w:ascii="宋体" w:hAnsi="宋体" w:eastAsia="宋体" w:cs="Times New Roman"/>
                <w:color w:val="auto"/>
              </w:rPr>
            </w:pPr>
            <w:r>
              <w:rPr>
                <w:rFonts w:ascii="宋体" w:hAnsi="宋体" w:eastAsia="宋体" w:cs="Times New Roman"/>
                <w:color w:val="auto"/>
              </w:rPr>
              <w:t>0</w:t>
            </w:r>
          </w:p>
        </w:tc>
        <w:tc>
          <w:tcPr>
            <w:tcW w:w="311" w:type="pct"/>
            <w:shd w:val="clear" w:color="auto" w:fill="auto"/>
            <w:vAlign w:val="center"/>
          </w:tcPr>
          <w:p w14:paraId="20AD7818">
            <w:pPr>
              <w:adjustRightInd w:val="0"/>
              <w:snapToGrid w:val="0"/>
              <w:jc w:val="center"/>
              <w:rPr>
                <w:rFonts w:ascii="宋体" w:hAnsi="宋体" w:eastAsia="宋体" w:cs="Times New Roman"/>
                <w:color w:val="auto"/>
              </w:rPr>
            </w:pPr>
            <w:r>
              <w:rPr>
                <w:rFonts w:ascii="宋体" w:hAnsi="宋体" w:eastAsia="宋体" w:cs="Times New Roman"/>
                <w:color w:val="auto"/>
              </w:rPr>
              <w:t>40</w:t>
            </w:r>
          </w:p>
        </w:tc>
        <w:tc>
          <w:tcPr>
            <w:tcW w:w="341" w:type="pct"/>
            <w:shd w:val="clear" w:color="auto" w:fill="auto"/>
            <w:vAlign w:val="center"/>
          </w:tcPr>
          <w:p w14:paraId="39E4E95E">
            <w:pPr>
              <w:adjustRightInd w:val="0"/>
              <w:snapToGrid w:val="0"/>
              <w:jc w:val="center"/>
              <w:rPr>
                <w:rFonts w:ascii="宋体" w:hAnsi="宋体" w:eastAsia="宋体" w:cs="Times New Roman"/>
                <w:color w:val="auto"/>
              </w:rPr>
            </w:pPr>
            <w:r>
              <w:rPr>
                <w:rFonts w:ascii="宋体" w:hAnsi="宋体" w:eastAsia="宋体" w:cs="Times New Roman"/>
                <w:color w:val="auto"/>
              </w:rPr>
              <w:t>30</w:t>
            </w:r>
          </w:p>
        </w:tc>
        <w:tc>
          <w:tcPr>
            <w:tcW w:w="439" w:type="pct"/>
            <w:shd w:val="clear" w:color="auto" w:fill="auto"/>
            <w:vAlign w:val="center"/>
          </w:tcPr>
          <w:p w14:paraId="1DD97AEA">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351" w:type="pct"/>
            <w:shd w:val="clear" w:color="auto" w:fill="auto"/>
            <w:vAlign w:val="center"/>
          </w:tcPr>
          <w:p w14:paraId="3B4D2C97">
            <w:pPr>
              <w:adjustRightInd w:val="0"/>
              <w:snapToGrid w:val="0"/>
              <w:jc w:val="center"/>
              <w:rPr>
                <w:rFonts w:ascii="宋体" w:hAnsi="宋体" w:eastAsia="宋体" w:cs="Times New Roman"/>
                <w:color w:val="auto"/>
              </w:rPr>
            </w:pPr>
            <w:r>
              <w:rPr>
                <w:rFonts w:ascii="宋体" w:hAnsi="宋体" w:eastAsia="宋体" w:cs="Times New Roman"/>
                <w:color w:val="auto"/>
              </w:rPr>
              <w:t>7200</w:t>
            </w:r>
          </w:p>
        </w:tc>
        <w:tc>
          <w:tcPr>
            <w:tcW w:w="235" w:type="pct"/>
            <w:vMerge w:val="continue"/>
            <w:shd w:val="clear" w:color="auto" w:fill="auto"/>
            <w:vAlign w:val="center"/>
          </w:tcPr>
          <w:p w14:paraId="1AB45E92">
            <w:pPr>
              <w:adjustRightInd w:val="0"/>
              <w:snapToGrid w:val="0"/>
              <w:jc w:val="center"/>
              <w:rPr>
                <w:rFonts w:ascii="宋体" w:hAnsi="宋体" w:eastAsia="宋体" w:cs="Times New Roman"/>
                <w:color w:val="auto"/>
              </w:rPr>
            </w:pPr>
          </w:p>
        </w:tc>
        <w:tc>
          <w:tcPr>
            <w:tcW w:w="577" w:type="pct"/>
            <w:shd w:val="clear" w:color="auto" w:fill="auto"/>
            <w:vAlign w:val="center"/>
          </w:tcPr>
          <w:p w14:paraId="149CC5FB">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0.17</w:t>
            </w:r>
          </w:p>
        </w:tc>
      </w:tr>
      <w:tr w14:paraId="5CC2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shd w:val="clear" w:color="auto" w:fill="auto"/>
            <w:vAlign w:val="center"/>
          </w:tcPr>
          <w:p w14:paraId="5F27BBC9">
            <w:pPr>
              <w:adjustRightInd w:val="0"/>
              <w:snapToGrid w:val="0"/>
              <w:jc w:val="center"/>
              <w:rPr>
                <w:rFonts w:ascii="宋体" w:hAnsi="宋体" w:eastAsia="宋体" w:cs="Times New Roman"/>
                <w:color w:val="auto"/>
                <w:kern w:val="24"/>
              </w:rPr>
            </w:pPr>
            <w:r>
              <w:rPr>
                <w:rFonts w:ascii="宋体" w:hAnsi="宋体" w:eastAsia="宋体" w:cs="Times New Roman"/>
                <w:color w:val="auto"/>
              </w:rPr>
              <w:t>源212-扶平4</w:t>
            </w:r>
          </w:p>
        </w:tc>
        <w:tc>
          <w:tcPr>
            <w:tcW w:w="526" w:type="pct"/>
            <w:shd w:val="clear" w:color="auto" w:fill="auto"/>
            <w:vAlign w:val="center"/>
          </w:tcPr>
          <w:p w14:paraId="125BEF34">
            <w:pPr>
              <w:adjustRightInd w:val="0"/>
              <w:snapToGrid w:val="0"/>
              <w:jc w:val="center"/>
              <w:rPr>
                <w:rFonts w:ascii="宋体" w:hAnsi="宋体" w:eastAsia="宋体" w:cs="Times New Roman"/>
                <w:color w:val="auto"/>
                <w:kern w:val="24"/>
              </w:rPr>
            </w:pPr>
            <w:r>
              <w:rPr>
                <w:rFonts w:ascii="宋体" w:hAnsi="宋体" w:eastAsia="宋体" w:cs="Times New Roman"/>
                <w:color w:val="auto"/>
                <w:szCs w:val="23"/>
              </w:rPr>
              <w:t>125.16246</w:t>
            </w:r>
          </w:p>
        </w:tc>
        <w:tc>
          <w:tcPr>
            <w:tcW w:w="583" w:type="pct"/>
            <w:shd w:val="clear" w:color="auto" w:fill="auto"/>
            <w:vAlign w:val="center"/>
          </w:tcPr>
          <w:p w14:paraId="6BF467EB">
            <w:pPr>
              <w:adjustRightInd w:val="0"/>
              <w:snapToGrid w:val="0"/>
              <w:jc w:val="center"/>
              <w:rPr>
                <w:rFonts w:ascii="宋体" w:hAnsi="宋体" w:eastAsia="宋体" w:cs="Times New Roman"/>
                <w:color w:val="auto"/>
                <w:kern w:val="24"/>
              </w:rPr>
            </w:pPr>
            <w:r>
              <w:rPr>
                <w:rFonts w:ascii="宋体" w:hAnsi="宋体" w:eastAsia="宋体" w:cs="Times New Roman"/>
                <w:color w:val="auto"/>
                <w:szCs w:val="23"/>
              </w:rPr>
              <w:t>45.56705</w:t>
            </w:r>
          </w:p>
        </w:tc>
        <w:tc>
          <w:tcPr>
            <w:tcW w:w="356" w:type="pct"/>
            <w:shd w:val="clear" w:color="auto" w:fill="auto"/>
            <w:vAlign w:val="center"/>
          </w:tcPr>
          <w:p w14:paraId="1A438DE5">
            <w:pPr>
              <w:adjustRightInd w:val="0"/>
              <w:snapToGrid w:val="0"/>
              <w:jc w:val="center"/>
              <w:rPr>
                <w:rFonts w:ascii="宋体" w:hAnsi="宋体" w:eastAsia="宋体" w:cs="Times New Roman"/>
                <w:color w:val="auto"/>
              </w:rPr>
            </w:pPr>
            <w:r>
              <w:rPr>
                <w:rFonts w:ascii="宋体" w:hAnsi="宋体" w:eastAsia="宋体" w:cs="Times New Roman"/>
                <w:color w:val="auto"/>
                <w:szCs w:val="23"/>
              </w:rPr>
              <w:t>132</w:t>
            </w:r>
          </w:p>
        </w:tc>
        <w:tc>
          <w:tcPr>
            <w:tcW w:w="423" w:type="pct"/>
            <w:shd w:val="clear" w:color="auto" w:fill="auto"/>
            <w:vAlign w:val="center"/>
          </w:tcPr>
          <w:p w14:paraId="2CA756D8">
            <w:pPr>
              <w:adjustRightInd w:val="0"/>
              <w:snapToGrid w:val="0"/>
              <w:jc w:val="center"/>
              <w:rPr>
                <w:rFonts w:ascii="宋体" w:hAnsi="宋体" w:eastAsia="宋体" w:cs="Times New Roman"/>
                <w:color w:val="auto"/>
              </w:rPr>
            </w:pPr>
            <w:r>
              <w:rPr>
                <w:rFonts w:ascii="宋体" w:hAnsi="宋体" w:eastAsia="宋体" w:cs="Times New Roman"/>
                <w:color w:val="auto"/>
              </w:rPr>
              <w:t>0</w:t>
            </w:r>
          </w:p>
        </w:tc>
        <w:tc>
          <w:tcPr>
            <w:tcW w:w="311" w:type="pct"/>
            <w:shd w:val="clear" w:color="auto" w:fill="auto"/>
            <w:vAlign w:val="center"/>
          </w:tcPr>
          <w:p w14:paraId="2ABB6F57">
            <w:pPr>
              <w:adjustRightInd w:val="0"/>
              <w:snapToGrid w:val="0"/>
              <w:jc w:val="center"/>
              <w:rPr>
                <w:rFonts w:ascii="宋体" w:hAnsi="宋体" w:eastAsia="宋体" w:cs="Times New Roman"/>
                <w:color w:val="auto"/>
              </w:rPr>
            </w:pPr>
            <w:r>
              <w:rPr>
                <w:rFonts w:ascii="宋体" w:hAnsi="宋体" w:eastAsia="宋体" w:cs="Times New Roman"/>
                <w:color w:val="auto"/>
              </w:rPr>
              <w:t>40</w:t>
            </w:r>
          </w:p>
        </w:tc>
        <w:tc>
          <w:tcPr>
            <w:tcW w:w="341" w:type="pct"/>
            <w:shd w:val="clear" w:color="auto" w:fill="auto"/>
            <w:vAlign w:val="center"/>
          </w:tcPr>
          <w:p w14:paraId="73AB3265">
            <w:pPr>
              <w:adjustRightInd w:val="0"/>
              <w:snapToGrid w:val="0"/>
              <w:jc w:val="center"/>
              <w:rPr>
                <w:rFonts w:ascii="宋体" w:hAnsi="宋体" w:eastAsia="宋体" w:cs="Times New Roman"/>
                <w:color w:val="auto"/>
              </w:rPr>
            </w:pPr>
            <w:r>
              <w:rPr>
                <w:rFonts w:ascii="宋体" w:hAnsi="宋体" w:eastAsia="宋体" w:cs="Times New Roman"/>
                <w:color w:val="auto"/>
              </w:rPr>
              <w:t>30</w:t>
            </w:r>
          </w:p>
        </w:tc>
        <w:tc>
          <w:tcPr>
            <w:tcW w:w="439" w:type="pct"/>
            <w:shd w:val="clear" w:color="auto" w:fill="auto"/>
            <w:vAlign w:val="center"/>
          </w:tcPr>
          <w:p w14:paraId="09B94C13">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351" w:type="pct"/>
            <w:shd w:val="clear" w:color="auto" w:fill="auto"/>
            <w:vAlign w:val="center"/>
          </w:tcPr>
          <w:p w14:paraId="24A8204A">
            <w:pPr>
              <w:adjustRightInd w:val="0"/>
              <w:snapToGrid w:val="0"/>
              <w:jc w:val="center"/>
              <w:rPr>
                <w:rFonts w:ascii="宋体" w:hAnsi="宋体" w:eastAsia="宋体" w:cs="Times New Roman"/>
                <w:color w:val="auto"/>
              </w:rPr>
            </w:pPr>
            <w:r>
              <w:rPr>
                <w:rFonts w:ascii="宋体" w:hAnsi="宋体" w:eastAsia="宋体" w:cs="Times New Roman"/>
                <w:color w:val="auto"/>
              </w:rPr>
              <w:t>7200</w:t>
            </w:r>
          </w:p>
        </w:tc>
        <w:tc>
          <w:tcPr>
            <w:tcW w:w="235" w:type="pct"/>
            <w:vMerge w:val="continue"/>
            <w:shd w:val="clear" w:color="auto" w:fill="auto"/>
            <w:vAlign w:val="center"/>
          </w:tcPr>
          <w:p w14:paraId="60EB70E0">
            <w:pPr>
              <w:adjustRightInd w:val="0"/>
              <w:snapToGrid w:val="0"/>
              <w:jc w:val="center"/>
              <w:rPr>
                <w:rFonts w:ascii="宋体" w:hAnsi="宋体" w:eastAsia="宋体" w:cs="Times New Roman"/>
                <w:color w:val="auto"/>
              </w:rPr>
            </w:pPr>
          </w:p>
        </w:tc>
        <w:tc>
          <w:tcPr>
            <w:tcW w:w="577" w:type="pct"/>
            <w:shd w:val="clear" w:color="auto" w:fill="auto"/>
            <w:vAlign w:val="center"/>
          </w:tcPr>
          <w:p w14:paraId="435631D8">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0.17</w:t>
            </w:r>
          </w:p>
        </w:tc>
      </w:tr>
      <w:tr w14:paraId="7FAB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shd w:val="clear" w:color="auto" w:fill="auto"/>
            <w:vAlign w:val="center"/>
          </w:tcPr>
          <w:p w14:paraId="3EA1710A">
            <w:pPr>
              <w:adjustRightInd w:val="0"/>
              <w:snapToGrid w:val="0"/>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#拉油点（2台储罐）</w:t>
            </w:r>
          </w:p>
        </w:tc>
        <w:tc>
          <w:tcPr>
            <w:tcW w:w="526" w:type="pct"/>
            <w:shd w:val="clear" w:color="auto" w:fill="auto"/>
            <w:vAlign w:val="center"/>
          </w:tcPr>
          <w:p w14:paraId="527A58E9">
            <w:pPr>
              <w:adjustRightInd w:val="0"/>
              <w:snapToGrid w:val="0"/>
              <w:jc w:val="center"/>
              <w:rPr>
                <w:rFonts w:ascii="宋体" w:hAnsi="宋体" w:eastAsia="宋体" w:cs="Times New Roman"/>
                <w:color w:val="auto"/>
                <w:kern w:val="24"/>
              </w:rPr>
            </w:pPr>
            <w:r>
              <w:rPr>
                <w:rFonts w:ascii="宋体" w:hAnsi="宋体" w:eastAsia="宋体" w:cs="Times New Roman"/>
                <w:color w:val="auto"/>
                <w:szCs w:val="23"/>
              </w:rPr>
              <w:t>125.17324</w:t>
            </w:r>
          </w:p>
        </w:tc>
        <w:tc>
          <w:tcPr>
            <w:tcW w:w="583" w:type="pct"/>
            <w:shd w:val="clear" w:color="auto" w:fill="auto"/>
            <w:vAlign w:val="center"/>
          </w:tcPr>
          <w:p w14:paraId="3AB1B90A">
            <w:pPr>
              <w:adjustRightInd w:val="0"/>
              <w:snapToGrid w:val="0"/>
              <w:jc w:val="center"/>
              <w:rPr>
                <w:rFonts w:ascii="宋体" w:hAnsi="宋体" w:eastAsia="宋体" w:cs="Times New Roman"/>
                <w:color w:val="auto"/>
                <w:kern w:val="24"/>
              </w:rPr>
            </w:pPr>
            <w:r>
              <w:rPr>
                <w:rFonts w:ascii="宋体" w:hAnsi="宋体" w:eastAsia="宋体" w:cs="Times New Roman"/>
                <w:color w:val="auto"/>
                <w:szCs w:val="23"/>
              </w:rPr>
              <w:t>45.56538</w:t>
            </w:r>
          </w:p>
        </w:tc>
        <w:tc>
          <w:tcPr>
            <w:tcW w:w="356" w:type="pct"/>
            <w:shd w:val="clear" w:color="auto" w:fill="auto"/>
            <w:vAlign w:val="center"/>
          </w:tcPr>
          <w:p w14:paraId="4F1478AB">
            <w:pPr>
              <w:adjustRightInd w:val="0"/>
              <w:snapToGrid w:val="0"/>
              <w:jc w:val="center"/>
              <w:rPr>
                <w:rFonts w:ascii="宋体" w:hAnsi="宋体" w:eastAsia="宋体" w:cs="Times New Roman"/>
                <w:color w:val="auto"/>
              </w:rPr>
            </w:pPr>
            <w:r>
              <w:rPr>
                <w:rFonts w:ascii="宋体" w:hAnsi="宋体" w:eastAsia="宋体" w:cs="Times New Roman"/>
                <w:color w:val="auto"/>
                <w:szCs w:val="23"/>
              </w:rPr>
              <w:t>136</w:t>
            </w:r>
          </w:p>
        </w:tc>
        <w:tc>
          <w:tcPr>
            <w:tcW w:w="423" w:type="pct"/>
            <w:shd w:val="clear" w:color="auto" w:fill="auto"/>
            <w:vAlign w:val="center"/>
          </w:tcPr>
          <w:p w14:paraId="5F660F43">
            <w:pPr>
              <w:adjustRightInd w:val="0"/>
              <w:snapToGrid w:val="0"/>
              <w:jc w:val="center"/>
              <w:rPr>
                <w:rFonts w:ascii="宋体" w:hAnsi="宋体" w:eastAsia="宋体" w:cs="Times New Roman"/>
                <w:color w:val="auto"/>
              </w:rPr>
            </w:pPr>
            <w:r>
              <w:rPr>
                <w:rFonts w:ascii="宋体" w:hAnsi="宋体" w:eastAsia="宋体" w:cs="Times New Roman"/>
                <w:color w:val="auto"/>
              </w:rPr>
              <w:t>0</w:t>
            </w:r>
          </w:p>
        </w:tc>
        <w:tc>
          <w:tcPr>
            <w:tcW w:w="311" w:type="pct"/>
            <w:shd w:val="clear" w:color="auto" w:fill="auto"/>
            <w:vAlign w:val="center"/>
          </w:tcPr>
          <w:p w14:paraId="696460B1">
            <w:pPr>
              <w:adjustRightInd w:val="0"/>
              <w:snapToGrid w:val="0"/>
              <w:jc w:val="center"/>
              <w:rPr>
                <w:rFonts w:ascii="宋体" w:hAnsi="宋体" w:eastAsia="宋体" w:cs="Times New Roman"/>
                <w:color w:val="auto"/>
              </w:rPr>
            </w:pPr>
            <w:r>
              <w:rPr>
                <w:rFonts w:ascii="宋体" w:hAnsi="宋体" w:eastAsia="宋体" w:cs="Times New Roman"/>
                <w:color w:val="auto"/>
              </w:rPr>
              <w:t>100</w:t>
            </w:r>
          </w:p>
        </w:tc>
        <w:tc>
          <w:tcPr>
            <w:tcW w:w="341" w:type="pct"/>
            <w:shd w:val="clear" w:color="auto" w:fill="auto"/>
            <w:vAlign w:val="center"/>
          </w:tcPr>
          <w:p w14:paraId="4ADE60F5">
            <w:pPr>
              <w:adjustRightInd w:val="0"/>
              <w:snapToGrid w:val="0"/>
              <w:jc w:val="center"/>
              <w:rPr>
                <w:rFonts w:ascii="宋体" w:hAnsi="宋体" w:eastAsia="宋体" w:cs="Times New Roman"/>
                <w:color w:val="auto"/>
              </w:rPr>
            </w:pPr>
            <w:r>
              <w:rPr>
                <w:rFonts w:ascii="宋体" w:hAnsi="宋体" w:eastAsia="宋体" w:cs="Times New Roman"/>
                <w:color w:val="auto"/>
              </w:rPr>
              <w:t>55</w:t>
            </w:r>
          </w:p>
        </w:tc>
        <w:tc>
          <w:tcPr>
            <w:tcW w:w="439" w:type="pct"/>
            <w:shd w:val="clear" w:color="auto" w:fill="auto"/>
            <w:vAlign w:val="center"/>
          </w:tcPr>
          <w:p w14:paraId="503A7E1B">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351" w:type="pct"/>
            <w:shd w:val="clear" w:color="auto" w:fill="auto"/>
            <w:vAlign w:val="center"/>
          </w:tcPr>
          <w:p w14:paraId="6F04A93F">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235" w:type="pct"/>
            <w:vMerge w:val="continue"/>
            <w:shd w:val="clear" w:color="auto" w:fill="auto"/>
            <w:vAlign w:val="center"/>
          </w:tcPr>
          <w:p w14:paraId="20DDD51E">
            <w:pPr>
              <w:adjustRightInd w:val="0"/>
              <w:snapToGrid w:val="0"/>
              <w:jc w:val="center"/>
              <w:rPr>
                <w:rFonts w:ascii="宋体" w:hAnsi="宋体" w:eastAsia="宋体" w:cs="Times New Roman"/>
                <w:color w:val="auto"/>
              </w:rPr>
            </w:pPr>
          </w:p>
        </w:tc>
        <w:tc>
          <w:tcPr>
            <w:tcW w:w="577" w:type="pct"/>
            <w:shd w:val="clear" w:color="auto" w:fill="auto"/>
            <w:vAlign w:val="center"/>
          </w:tcPr>
          <w:p w14:paraId="7945A3DB">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0.09</w:t>
            </w:r>
          </w:p>
        </w:tc>
      </w:tr>
      <w:tr w14:paraId="04B1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shd w:val="clear" w:color="auto" w:fill="auto"/>
            <w:vAlign w:val="center"/>
          </w:tcPr>
          <w:p w14:paraId="04662359">
            <w:pPr>
              <w:adjustRightInd w:val="0"/>
              <w:snapToGrid w:val="0"/>
              <w:jc w:val="center"/>
              <w:rPr>
                <w:rFonts w:ascii="宋体" w:hAnsi="宋体" w:eastAsia="宋体" w:cs="Times New Roman"/>
                <w:color w:val="auto"/>
              </w:rPr>
            </w:pPr>
            <w:r>
              <w:rPr>
                <w:rFonts w:ascii="宋体" w:hAnsi="宋体" w:eastAsia="宋体" w:cs="Times New Roman"/>
                <w:color w:val="auto"/>
              </w:rPr>
              <w:t>2#拉油点（1台储罐）</w:t>
            </w:r>
          </w:p>
        </w:tc>
        <w:tc>
          <w:tcPr>
            <w:tcW w:w="526" w:type="pct"/>
            <w:shd w:val="clear" w:color="auto" w:fill="auto"/>
            <w:vAlign w:val="center"/>
          </w:tcPr>
          <w:p w14:paraId="5D66C8E6">
            <w:pPr>
              <w:adjustRightInd w:val="0"/>
              <w:snapToGrid w:val="0"/>
              <w:jc w:val="center"/>
              <w:rPr>
                <w:rFonts w:ascii="宋体" w:hAnsi="宋体" w:eastAsia="宋体" w:cs="Times New Roman"/>
                <w:color w:val="auto"/>
                <w:kern w:val="24"/>
              </w:rPr>
            </w:pPr>
            <w:r>
              <w:rPr>
                <w:rFonts w:ascii="宋体" w:hAnsi="宋体" w:eastAsia="宋体" w:cs="Times New Roman"/>
                <w:color w:val="auto"/>
                <w:szCs w:val="23"/>
              </w:rPr>
              <w:t>125.16228</w:t>
            </w:r>
          </w:p>
        </w:tc>
        <w:tc>
          <w:tcPr>
            <w:tcW w:w="583" w:type="pct"/>
            <w:shd w:val="clear" w:color="auto" w:fill="auto"/>
            <w:vAlign w:val="center"/>
          </w:tcPr>
          <w:p w14:paraId="4B3608E7">
            <w:pPr>
              <w:adjustRightInd w:val="0"/>
              <w:snapToGrid w:val="0"/>
              <w:jc w:val="center"/>
              <w:rPr>
                <w:rFonts w:ascii="宋体" w:hAnsi="宋体" w:eastAsia="宋体" w:cs="Times New Roman"/>
                <w:color w:val="auto"/>
                <w:kern w:val="24"/>
              </w:rPr>
            </w:pPr>
            <w:r>
              <w:rPr>
                <w:rFonts w:ascii="宋体" w:hAnsi="宋体" w:eastAsia="宋体" w:cs="Times New Roman"/>
                <w:color w:val="auto"/>
                <w:szCs w:val="23"/>
              </w:rPr>
              <w:t>45.56775</w:t>
            </w:r>
          </w:p>
        </w:tc>
        <w:tc>
          <w:tcPr>
            <w:tcW w:w="356" w:type="pct"/>
            <w:shd w:val="clear" w:color="auto" w:fill="auto"/>
            <w:vAlign w:val="center"/>
          </w:tcPr>
          <w:p w14:paraId="73006E97">
            <w:pPr>
              <w:adjustRightInd w:val="0"/>
              <w:snapToGrid w:val="0"/>
              <w:jc w:val="center"/>
              <w:rPr>
                <w:rFonts w:ascii="宋体" w:hAnsi="宋体" w:eastAsia="宋体" w:cs="Times New Roman"/>
                <w:color w:val="auto"/>
              </w:rPr>
            </w:pPr>
            <w:r>
              <w:rPr>
                <w:rFonts w:ascii="宋体" w:hAnsi="宋体" w:eastAsia="宋体" w:cs="Times New Roman"/>
                <w:color w:val="auto"/>
                <w:szCs w:val="23"/>
              </w:rPr>
              <w:t>127</w:t>
            </w:r>
          </w:p>
        </w:tc>
        <w:tc>
          <w:tcPr>
            <w:tcW w:w="423" w:type="pct"/>
            <w:shd w:val="clear" w:color="auto" w:fill="auto"/>
            <w:vAlign w:val="center"/>
          </w:tcPr>
          <w:p w14:paraId="729F8D8A">
            <w:pPr>
              <w:adjustRightInd w:val="0"/>
              <w:snapToGrid w:val="0"/>
              <w:jc w:val="center"/>
              <w:rPr>
                <w:rFonts w:ascii="宋体" w:hAnsi="宋体" w:eastAsia="宋体" w:cs="Times New Roman"/>
                <w:color w:val="auto"/>
              </w:rPr>
            </w:pPr>
            <w:r>
              <w:rPr>
                <w:rFonts w:ascii="宋体" w:hAnsi="宋体" w:eastAsia="宋体" w:cs="Times New Roman"/>
                <w:color w:val="auto"/>
              </w:rPr>
              <w:t>0</w:t>
            </w:r>
          </w:p>
        </w:tc>
        <w:tc>
          <w:tcPr>
            <w:tcW w:w="311" w:type="pct"/>
            <w:shd w:val="clear" w:color="auto" w:fill="auto"/>
            <w:vAlign w:val="center"/>
          </w:tcPr>
          <w:p w14:paraId="6E05DC8B">
            <w:pPr>
              <w:adjustRightInd w:val="0"/>
              <w:snapToGrid w:val="0"/>
              <w:jc w:val="center"/>
              <w:rPr>
                <w:rFonts w:ascii="宋体" w:hAnsi="宋体" w:eastAsia="宋体" w:cs="Times New Roman"/>
                <w:color w:val="auto"/>
              </w:rPr>
            </w:pPr>
            <w:r>
              <w:rPr>
                <w:rFonts w:ascii="宋体" w:hAnsi="宋体" w:eastAsia="宋体" w:cs="Times New Roman"/>
                <w:color w:val="auto"/>
              </w:rPr>
              <w:t>100</w:t>
            </w:r>
          </w:p>
        </w:tc>
        <w:tc>
          <w:tcPr>
            <w:tcW w:w="341" w:type="pct"/>
            <w:shd w:val="clear" w:color="auto" w:fill="auto"/>
            <w:vAlign w:val="center"/>
          </w:tcPr>
          <w:p w14:paraId="71EAB29C">
            <w:pPr>
              <w:adjustRightInd w:val="0"/>
              <w:snapToGrid w:val="0"/>
              <w:jc w:val="center"/>
              <w:rPr>
                <w:rFonts w:ascii="宋体" w:hAnsi="宋体" w:eastAsia="宋体" w:cs="Times New Roman"/>
                <w:color w:val="auto"/>
              </w:rPr>
            </w:pPr>
            <w:r>
              <w:rPr>
                <w:rFonts w:ascii="宋体" w:hAnsi="宋体" w:eastAsia="宋体" w:cs="Times New Roman"/>
                <w:color w:val="auto"/>
              </w:rPr>
              <w:t>55</w:t>
            </w:r>
          </w:p>
        </w:tc>
        <w:tc>
          <w:tcPr>
            <w:tcW w:w="439" w:type="pct"/>
            <w:shd w:val="clear" w:color="auto" w:fill="auto"/>
            <w:vAlign w:val="center"/>
          </w:tcPr>
          <w:p w14:paraId="53D2FD16">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351" w:type="pct"/>
            <w:shd w:val="clear" w:color="auto" w:fill="auto"/>
            <w:vAlign w:val="center"/>
          </w:tcPr>
          <w:p w14:paraId="60441CEB">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235" w:type="pct"/>
            <w:vMerge w:val="continue"/>
            <w:shd w:val="clear" w:color="auto" w:fill="auto"/>
            <w:vAlign w:val="center"/>
          </w:tcPr>
          <w:p w14:paraId="30163ABD">
            <w:pPr>
              <w:adjustRightInd w:val="0"/>
              <w:snapToGrid w:val="0"/>
              <w:jc w:val="center"/>
              <w:rPr>
                <w:rFonts w:ascii="宋体" w:hAnsi="宋体" w:eastAsia="宋体" w:cs="Times New Roman"/>
                <w:color w:val="auto"/>
              </w:rPr>
            </w:pPr>
          </w:p>
        </w:tc>
        <w:tc>
          <w:tcPr>
            <w:tcW w:w="577" w:type="pct"/>
            <w:shd w:val="clear" w:color="auto" w:fill="auto"/>
            <w:vAlign w:val="center"/>
          </w:tcPr>
          <w:p w14:paraId="5FD8368E">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0.03</w:t>
            </w:r>
          </w:p>
        </w:tc>
      </w:tr>
      <w:tr w14:paraId="7003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shd w:val="clear" w:color="auto" w:fill="auto"/>
            <w:vAlign w:val="center"/>
          </w:tcPr>
          <w:p w14:paraId="351A46F7">
            <w:pPr>
              <w:adjustRightInd w:val="0"/>
              <w:snapToGrid w:val="0"/>
              <w:jc w:val="center"/>
              <w:rPr>
                <w:rFonts w:ascii="宋体" w:hAnsi="宋体" w:eastAsia="宋体" w:cs="Times New Roman"/>
                <w:color w:val="auto"/>
              </w:rPr>
            </w:pPr>
            <w:r>
              <w:rPr>
                <w:rFonts w:hint="eastAsia" w:ascii="宋体" w:hAnsi="宋体" w:eastAsia="宋体" w:cs="Times New Roman"/>
                <w:color w:val="auto"/>
              </w:rPr>
              <w:t>1</w:t>
            </w:r>
            <w:r>
              <w:rPr>
                <w:rFonts w:ascii="宋体" w:hAnsi="宋体" w:eastAsia="宋体" w:cs="Times New Roman"/>
                <w:color w:val="auto"/>
              </w:rPr>
              <w:t>#拉油点（1台储罐）</w:t>
            </w:r>
          </w:p>
        </w:tc>
        <w:tc>
          <w:tcPr>
            <w:tcW w:w="526" w:type="pct"/>
            <w:shd w:val="clear" w:color="auto" w:fill="auto"/>
            <w:vAlign w:val="center"/>
          </w:tcPr>
          <w:p w14:paraId="4C213E9B">
            <w:pPr>
              <w:adjustRightInd w:val="0"/>
              <w:snapToGrid w:val="0"/>
              <w:jc w:val="center"/>
              <w:rPr>
                <w:rFonts w:ascii="宋体" w:hAnsi="宋体" w:eastAsia="宋体" w:cs="Times New Roman"/>
                <w:color w:val="auto"/>
                <w:szCs w:val="23"/>
              </w:rPr>
            </w:pPr>
            <w:r>
              <w:rPr>
                <w:rFonts w:hint="eastAsia" w:ascii="宋体" w:hAnsi="宋体" w:eastAsia="宋体" w:cs="Times New Roman"/>
                <w:color w:val="auto"/>
                <w:kern w:val="24"/>
              </w:rPr>
              <w:t>125.15325</w:t>
            </w:r>
          </w:p>
        </w:tc>
        <w:tc>
          <w:tcPr>
            <w:tcW w:w="583" w:type="pct"/>
            <w:shd w:val="clear" w:color="auto" w:fill="auto"/>
            <w:vAlign w:val="center"/>
          </w:tcPr>
          <w:p w14:paraId="326BA816">
            <w:pPr>
              <w:adjustRightInd w:val="0"/>
              <w:snapToGrid w:val="0"/>
              <w:jc w:val="center"/>
              <w:rPr>
                <w:rFonts w:ascii="宋体" w:hAnsi="宋体" w:eastAsia="宋体" w:cs="Times New Roman"/>
                <w:color w:val="auto"/>
                <w:szCs w:val="23"/>
              </w:rPr>
            </w:pPr>
            <w:r>
              <w:rPr>
                <w:rFonts w:hint="eastAsia" w:ascii="宋体" w:hAnsi="宋体" w:eastAsia="宋体" w:cs="Times New Roman"/>
                <w:color w:val="auto"/>
                <w:kern w:val="24"/>
              </w:rPr>
              <w:t>45.57008</w:t>
            </w:r>
          </w:p>
        </w:tc>
        <w:tc>
          <w:tcPr>
            <w:tcW w:w="356" w:type="pct"/>
            <w:shd w:val="clear" w:color="auto" w:fill="auto"/>
            <w:vAlign w:val="center"/>
          </w:tcPr>
          <w:p w14:paraId="671C1D6B">
            <w:pPr>
              <w:adjustRightInd w:val="0"/>
              <w:snapToGrid w:val="0"/>
              <w:jc w:val="center"/>
              <w:rPr>
                <w:rFonts w:ascii="宋体" w:hAnsi="宋体" w:eastAsia="宋体" w:cs="Times New Roman"/>
                <w:color w:val="auto"/>
                <w:szCs w:val="23"/>
              </w:rPr>
            </w:pPr>
            <w:r>
              <w:rPr>
                <w:rFonts w:hint="eastAsia" w:ascii="宋体" w:hAnsi="宋体" w:eastAsia="宋体" w:cs="Times New Roman"/>
                <w:color w:val="auto"/>
                <w:szCs w:val="23"/>
              </w:rPr>
              <w:t>132</w:t>
            </w:r>
          </w:p>
        </w:tc>
        <w:tc>
          <w:tcPr>
            <w:tcW w:w="423" w:type="pct"/>
            <w:shd w:val="clear" w:color="auto" w:fill="auto"/>
            <w:vAlign w:val="center"/>
          </w:tcPr>
          <w:p w14:paraId="3CA19260">
            <w:pPr>
              <w:adjustRightInd w:val="0"/>
              <w:snapToGrid w:val="0"/>
              <w:jc w:val="center"/>
              <w:rPr>
                <w:rFonts w:ascii="宋体" w:hAnsi="宋体" w:eastAsia="宋体" w:cs="Times New Roman"/>
                <w:color w:val="auto"/>
              </w:rPr>
            </w:pPr>
            <w:r>
              <w:rPr>
                <w:rFonts w:ascii="宋体" w:hAnsi="宋体" w:eastAsia="宋体" w:cs="Times New Roman"/>
                <w:color w:val="auto"/>
              </w:rPr>
              <w:t>0</w:t>
            </w:r>
          </w:p>
        </w:tc>
        <w:tc>
          <w:tcPr>
            <w:tcW w:w="311" w:type="pct"/>
            <w:shd w:val="clear" w:color="auto" w:fill="auto"/>
            <w:vAlign w:val="center"/>
          </w:tcPr>
          <w:p w14:paraId="1D79340F">
            <w:pPr>
              <w:adjustRightInd w:val="0"/>
              <w:snapToGrid w:val="0"/>
              <w:jc w:val="center"/>
              <w:rPr>
                <w:rFonts w:ascii="宋体" w:hAnsi="宋体" w:eastAsia="宋体" w:cs="Times New Roman"/>
                <w:color w:val="auto"/>
              </w:rPr>
            </w:pPr>
            <w:r>
              <w:rPr>
                <w:rFonts w:ascii="宋体" w:hAnsi="宋体" w:eastAsia="宋体" w:cs="Times New Roman"/>
                <w:color w:val="auto"/>
              </w:rPr>
              <w:t>100</w:t>
            </w:r>
          </w:p>
        </w:tc>
        <w:tc>
          <w:tcPr>
            <w:tcW w:w="341" w:type="pct"/>
            <w:shd w:val="clear" w:color="auto" w:fill="auto"/>
            <w:vAlign w:val="center"/>
          </w:tcPr>
          <w:p w14:paraId="4DCEEC5B">
            <w:pPr>
              <w:adjustRightInd w:val="0"/>
              <w:snapToGrid w:val="0"/>
              <w:jc w:val="center"/>
              <w:rPr>
                <w:rFonts w:ascii="宋体" w:hAnsi="宋体" w:eastAsia="宋体" w:cs="Times New Roman"/>
                <w:color w:val="auto"/>
              </w:rPr>
            </w:pPr>
            <w:r>
              <w:rPr>
                <w:rFonts w:ascii="宋体" w:hAnsi="宋体" w:eastAsia="宋体" w:cs="Times New Roman"/>
                <w:color w:val="auto"/>
              </w:rPr>
              <w:t>55</w:t>
            </w:r>
          </w:p>
        </w:tc>
        <w:tc>
          <w:tcPr>
            <w:tcW w:w="439" w:type="pct"/>
            <w:shd w:val="clear" w:color="auto" w:fill="auto"/>
            <w:vAlign w:val="center"/>
          </w:tcPr>
          <w:p w14:paraId="164E2EC9">
            <w:pPr>
              <w:adjustRightInd w:val="0"/>
              <w:snapToGrid w:val="0"/>
              <w:jc w:val="center"/>
              <w:rPr>
                <w:rFonts w:ascii="宋体" w:hAnsi="宋体" w:eastAsia="宋体" w:cs="Times New Roman"/>
                <w:color w:val="auto"/>
              </w:rPr>
            </w:pPr>
            <w:r>
              <w:rPr>
                <w:rFonts w:ascii="宋体" w:hAnsi="宋体" w:eastAsia="宋体" w:cs="Times New Roman"/>
                <w:color w:val="auto"/>
              </w:rPr>
              <w:t>3</w:t>
            </w:r>
          </w:p>
        </w:tc>
        <w:tc>
          <w:tcPr>
            <w:tcW w:w="351" w:type="pct"/>
            <w:shd w:val="clear" w:color="auto" w:fill="auto"/>
            <w:vAlign w:val="center"/>
          </w:tcPr>
          <w:p w14:paraId="506592AF">
            <w:pPr>
              <w:adjustRightInd w:val="0"/>
              <w:snapToGrid w:val="0"/>
              <w:jc w:val="center"/>
              <w:rPr>
                <w:rFonts w:ascii="宋体" w:hAnsi="宋体" w:eastAsia="宋体" w:cs="Times New Roman"/>
                <w:color w:val="auto"/>
              </w:rPr>
            </w:pPr>
            <w:r>
              <w:rPr>
                <w:rFonts w:ascii="宋体" w:hAnsi="宋体" w:eastAsia="宋体" w:cs="Times New Roman"/>
                <w:color w:val="auto"/>
              </w:rPr>
              <w:t>8760</w:t>
            </w:r>
          </w:p>
        </w:tc>
        <w:tc>
          <w:tcPr>
            <w:tcW w:w="235" w:type="pct"/>
            <w:shd w:val="clear" w:color="auto" w:fill="auto"/>
            <w:vAlign w:val="center"/>
          </w:tcPr>
          <w:p w14:paraId="63B93038">
            <w:pPr>
              <w:adjustRightInd w:val="0"/>
              <w:snapToGrid w:val="0"/>
              <w:jc w:val="center"/>
              <w:rPr>
                <w:rFonts w:ascii="宋体" w:hAnsi="宋体" w:eastAsia="宋体" w:cs="Times New Roman"/>
                <w:color w:val="auto"/>
              </w:rPr>
            </w:pPr>
          </w:p>
        </w:tc>
        <w:tc>
          <w:tcPr>
            <w:tcW w:w="577" w:type="pct"/>
            <w:shd w:val="clear" w:color="auto" w:fill="auto"/>
            <w:vAlign w:val="center"/>
          </w:tcPr>
          <w:p w14:paraId="527BBCB8">
            <w:pPr>
              <w:adjustRightInd w:val="0"/>
              <w:snapToGrid w:val="0"/>
              <w:jc w:val="center"/>
              <w:rPr>
                <w:rFonts w:ascii="宋体" w:hAnsi="宋体" w:eastAsia="宋体" w:cs="Times New Roman"/>
                <w:color w:val="auto"/>
                <w:kern w:val="24"/>
              </w:rPr>
            </w:pPr>
            <w:r>
              <w:rPr>
                <w:rFonts w:ascii="宋体" w:hAnsi="宋体" w:eastAsia="宋体" w:cs="Times New Roman"/>
                <w:color w:val="auto"/>
                <w:kern w:val="24"/>
              </w:rPr>
              <w:t>0.03</w:t>
            </w:r>
          </w:p>
        </w:tc>
      </w:tr>
    </w:tbl>
    <w:p w14:paraId="32B9DB63">
      <w:pPr>
        <w:pStyle w:val="276"/>
        <w:widowControl w:val="0"/>
        <w:ind w:firstLine="480"/>
        <w:jc w:val="both"/>
        <w:rPr>
          <w:color w:val="auto"/>
          <w:lang w:val="zh-CN"/>
        </w:rPr>
      </w:pPr>
    </w:p>
    <w:p w14:paraId="59F64190">
      <w:pPr>
        <w:pStyle w:val="276"/>
        <w:widowControl w:val="0"/>
        <w:ind w:firstLine="480"/>
        <w:jc w:val="both"/>
        <w:rPr>
          <w:color w:val="auto"/>
          <w:lang w:val="zh-CN"/>
        </w:rPr>
      </w:pPr>
      <w:r>
        <w:rPr>
          <w:color w:val="auto"/>
          <w:lang w:val="zh-CN"/>
        </w:rPr>
        <w:t>（2）本项目拟替代的污染源</w:t>
      </w:r>
    </w:p>
    <w:p w14:paraId="573E21EE">
      <w:pPr>
        <w:pStyle w:val="276"/>
        <w:widowControl w:val="0"/>
        <w:ind w:firstLine="480"/>
        <w:jc w:val="both"/>
        <w:rPr>
          <w:color w:val="auto"/>
          <w:lang w:val="zh-CN"/>
        </w:rPr>
      </w:pPr>
      <w:r>
        <w:rPr>
          <w:color w:val="auto"/>
          <w:lang w:val="zh-CN"/>
        </w:rPr>
        <w:t>根据建设单位提供资料和现场调查，项目</w:t>
      </w:r>
      <w:r>
        <w:rPr>
          <w:color w:val="auto"/>
          <w:lang w:bidi="zh-CN"/>
        </w:rPr>
        <w:t>区域</w:t>
      </w:r>
      <w:r>
        <w:rPr>
          <w:color w:val="auto"/>
          <w:lang w:val="zh-CN"/>
        </w:rPr>
        <w:t>不存在拟替代的污染源。</w:t>
      </w:r>
    </w:p>
    <w:p w14:paraId="05A88187">
      <w:pPr>
        <w:pStyle w:val="276"/>
        <w:widowControl w:val="0"/>
        <w:ind w:firstLine="480"/>
        <w:jc w:val="both"/>
        <w:rPr>
          <w:color w:val="auto"/>
          <w:lang w:val="zh-CN"/>
        </w:rPr>
      </w:pPr>
      <w:r>
        <w:rPr>
          <w:color w:val="auto"/>
          <w:lang w:val="zh-CN"/>
        </w:rPr>
        <w:t>（3）其他在建项目、已批复环境影响评价文件的拟建项目</w:t>
      </w:r>
      <w:r>
        <w:rPr>
          <w:color w:val="auto"/>
          <w:lang w:bidi="zh-CN"/>
        </w:rPr>
        <w:t>污染源</w:t>
      </w:r>
    </w:p>
    <w:p w14:paraId="2C7DD842">
      <w:pPr>
        <w:pStyle w:val="276"/>
        <w:widowControl w:val="0"/>
        <w:ind w:firstLine="480"/>
        <w:jc w:val="both"/>
        <w:rPr>
          <w:color w:val="auto"/>
          <w:lang w:val="zh-CN"/>
        </w:rPr>
      </w:pPr>
      <w:r>
        <w:rPr>
          <w:color w:val="auto"/>
          <w:lang w:val="zh-CN"/>
        </w:rPr>
        <w:t>根据建设单位提供的项目区建设情况及现场调查本次拟开发的区块大气评价区域目前不存在与评价项目排放污染物有关的其他在建项目、已批复</w:t>
      </w:r>
      <w:r>
        <w:rPr>
          <w:color w:val="auto"/>
          <w:lang w:bidi="zh-CN"/>
        </w:rPr>
        <w:t>环境影响评价</w:t>
      </w:r>
      <w:r>
        <w:rPr>
          <w:color w:val="auto"/>
          <w:lang w:val="zh-CN"/>
        </w:rPr>
        <w:t>文件的拟建项目。</w:t>
      </w:r>
    </w:p>
    <w:p w14:paraId="72DE290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大气环境影响预测方案</w:t>
      </w:r>
    </w:p>
    <w:p w14:paraId="4FD7DAB6">
      <w:pPr>
        <w:pStyle w:val="276"/>
        <w:widowControl w:val="0"/>
        <w:ind w:firstLine="480"/>
        <w:jc w:val="both"/>
        <w:rPr>
          <w:color w:val="auto"/>
          <w:lang w:val="zh-CN"/>
        </w:rPr>
      </w:pPr>
      <w:r>
        <w:rPr>
          <w:color w:val="auto"/>
          <w:lang w:val="zh-CN"/>
        </w:rPr>
        <w:t>（1）预测模式</w:t>
      </w:r>
    </w:p>
    <w:p w14:paraId="26EE5FBF">
      <w:pPr>
        <w:pStyle w:val="276"/>
        <w:widowControl w:val="0"/>
        <w:ind w:firstLine="480"/>
        <w:jc w:val="both"/>
        <w:rPr>
          <w:color w:val="auto"/>
          <w:lang w:val="zh-CN"/>
        </w:rPr>
      </w:pPr>
      <w:r>
        <w:rPr>
          <w:color w:val="auto"/>
          <w:lang w:val="zh-CN"/>
        </w:rPr>
        <w:t>采用HJ2.2-2018推荐模式清单中的AERMOD模型进行预测，AERMOD模型版本号为2.2.0.23875。地形按简单地形考虑。</w:t>
      </w:r>
    </w:p>
    <w:p w14:paraId="21DBDDE2">
      <w:pPr>
        <w:pStyle w:val="276"/>
        <w:widowControl w:val="0"/>
        <w:ind w:firstLine="480"/>
        <w:jc w:val="both"/>
        <w:rPr>
          <w:color w:val="auto"/>
          <w:lang w:val="zh-CN"/>
        </w:rPr>
      </w:pPr>
      <w:r>
        <w:rPr>
          <w:color w:val="auto"/>
          <w:lang w:val="zh-CN"/>
        </w:rPr>
        <w:t>（2）气象资料</w:t>
      </w:r>
    </w:p>
    <w:p w14:paraId="0ADBE31F">
      <w:pPr>
        <w:pStyle w:val="276"/>
        <w:widowControl w:val="0"/>
        <w:ind w:firstLine="480"/>
        <w:jc w:val="both"/>
        <w:rPr>
          <w:color w:val="auto"/>
          <w:lang w:val="zh-CN"/>
        </w:rPr>
      </w:pPr>
      <w:r>
        <w:rPr>
          <w:color w:val="auto"/>
          <w:lang w:val="zh-CN"/>
        </w:rPr>
        <w:t>根据本项目的厂址位置，通过生态环境部环境工程评估中心环境空气质量模型技术支持服务系统查询确定气象资料站点，选择大庆</w:t>
      </w:r>
      <w:r>
        <w:rPr>
          <w:color w:val="auto"/>
          <w:lang w:bidi="zh-CN"/>
        </w:rPr>
        <w:t>气象站</w:t>
      </w:r>
      <w:r>
        <w:rPr>
          <w:color w:val="auto"/>
          <w:lang w:val="zh-CN"/>
        </w:rPr>
        <w:t>（</w:t>
      </w:r>
      <w:r>
        <w:rPr>
          <w:color w:val="auto"/>
        </w:rPr>
        <w:t>124.99030</w:t>
      </w:r>
      <w:r>
        <w:rPr>
          <w:color w:val="auto"/>
          <w:lang w:val="zh-CN"/>
        </w:rPr>
        <w:t>°E，</w:t>
      </w:r>
      <w:r>
        <w:rPr>
          <w:color w:val="auto"/>
        </w:rPr>
        <w:t>46.62080</w:t>
      </w:r>
      <w:r>
        <w:rPr>
          <w:color w:val="auto"/>
          <w:lang w:val="zh-CN"/>
        </w:rPr>
        <w:t>N）作为本次预测气象统计资料、地面气象数据、高空模拟气象数据来源。本项目大气预测所需的地面气象数据由国家气象信息中心提供；高空气象资料采用“中国全球大气再分析中间产品（CRA-Interim），购置于国家气象信息中心。</w:t>
      </w:r>
    </w:p>
    <w:p w14:paraId="30A4E2B2">
      <w:pPr>
        <w:pStyle w:val="276"/>
        <w:widowControl w:val="0"/>
        <w:ind w:firstLine="480"/>
        <w:jc w:val="both"/>
        <w:rPr>
          <w:color w:val="auto"/>
          <w:lang w:val="zh-CN"/>
        </w:rPr>
      </w:pPr>
      <w:r>
        <w:rPr>
          <w:color w:val="auto"/>
          <w:lang w:val="zh-CN"/>
        </w:rPr>
        <w:t>观测气象数据及探空气象数据基本信息见表5.1-11。</w:t>
      </w:r>
    </w:p>
    <w:p w14:paraId="4099969D">
      <w:pPr>
        <w:pStyle w:val="276"/>
        <w:widowControl w:val="0"/>
        <w:spacing w:line="440" w:lineRule="exact"/>
        <w:ind w:firstLine="0" w:firstLineChars="0"/>
        <w:jc w:val="center"/>
        <w:rPr>
          <w:color w:val="auto"/>
        </w:rPr>
      </w:pPr>
      <w:r>
        <w:rPr>
          <w:color w:val="auto"/>
        </w:rPr>
        <w:t>表5.1-11 观测气象数据信息</w:t>
      </w:r>
    </w:p>
    <w:tbl>
      <w:tblPr>
        <w:tblStyle w:val="172"/>
        <w:tblW w:w="928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34"/>
        <w:gridCol w:w="887"/>
        <w:gridCol w:w="1139"/>
        <w:gridCol w:w="1126"/>
        <w:gridCol w:w="941"/>
        <w:gridCol w:w="1026"/>
        <w:gridCol w:w="626"/>
        <w:gridCol w:w="2506"/>
      </w:tblGrid>
      <w:tr w14:paraId="741CE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034" w:type="dxa"/>
            <w:tcBorders>
              <w:left w:val="single" w:color="000000" w:sz="10" w:space="0"/>
            </w:tcBorders>
            <w:vAlign w:val="center"/>
          </w:tcPr>
          <w:p w14:paraId="5F33D79B">
            <w:pPr>
              <w:spacing w:line="320" w:lineRule="exact"/>
              <w:jc w:val="center"/>
              <w:rPr>
                <w:rFonts w:ascii="宋体" w:hAnsi="宋体" w:eastAsia="宋体" w:cs="Times New Roman"/>
                <w:color w:val="auto"/>
              </w:rPr>
            </w:pPr>
            <w:r>
              <w:rPr>
                <w:rFonts w:ascii="宋体" w:hAnsi="宋体" w:eastAsia="宋体" w:cs="Times New Roman"/>
                <w:color w:val="auto"/>
              </w:rPr>
              <w:t>气象站</w:t>
            </w:r>
          </w:p>
          <w:p w14:paraId="62E33597">
            <w:pPr>
              <w:spacing w:line="320" w:lineRule="exact"/>
              <w:jc w:val="center"/>
              <w:rPr>
                <w:rFonts w:ascii="宋体" w:hAnsi="宋体" w:eastAsia="宋体" w:cs="Times New Roman"/>
                <w:color w:val="auto"/>
              </w:rPr>
            </w:pPr>
            <w:r>
              <w:rPr>
                <w:rFonts w:ascii="宋体" w:hAnsi="宋体" w:eastAsia="宋体" w:cs="Times New Roman"/>
                <w:color w:val="auto"/>
              </w:rPr>
              <w:t>名称</w:t>
            </w:r>
          </w:p>
        </w:tc>
        <w:tc>
          <w:tcPr>
            <w:tcW w:w="887" w:type="dxa"/>
            <w:vAlign w:val="center"/>
          </w:tcPr>
          <w:p w14:paraId="418BCB5B">
            <w:pPr>
              <w:spacing w:line="320" w:lineRule="exact"/>
              <w:jc w:val="center"/>
              <w:rPr>
                <w:rFonts w:ascii="宋体" w:hAnsi="宋体" w:eastAsia="宋体" w:cs="Times New Roman"/>
                <w:color w:val="auto"/>
              </w:rPr>
            </w:pPr>
            <w:r>
              <w:rPr>
                <w:rFonts w:ascii="宋体" w:hAnsi="宋体" w:eastAsia="宋体" w:cs="Times New Roman"/>
                <w:color w:val="auto"/>
              </w:rPr>
              <w:t>气象站等级</w:t>
            </w:r>
          </w:p>
        </w:tc>
        <w:tc>
          <w:tcPr>
            <w:tcW w:w="2265" w:type="dxa"/>
            <w:gridSpan w:val="2"/>
            <w:vAlign w:val="center"/>
          </w:tcPr>
          <w:p w14:paraId="2B05324F">
            <w:pPr>
              <w:spacing w:line="320" w:lineRule="exact"/>
              <w:jc w:val="center"/>
              <w:rPr>
                <w:rFonts w:ascii="宋体" w:hAnsi="宋体" w:eastAsia="宋体" w:cs="Times New Roman"/>
                <w:color w:val="auto"/>
              </w:rPr>
            </w:pPr>
            <w:r>
              <w:rPr>
                <w:rFonts w:ascii="宋体" w:hAnsi="宋体" w:eastAsia="宋体" w:cs="Times New Roman"/>
                <w:color w:val="auto"/>
              </w:rPr>
              <w:t>气象站坐标</w:t>
            </w:r>
            <w:r>
              <w:rPr>
                <w:rFonts w:hint="eastAsia" w:ascii="宋体" w:hAnsi="宋体" w:eastAsia="宋体" w:cs="Times New Roman"/>
                <w:color w:val="auto"/>
              </w:rPr>
              <w:t>/°</w:t>
            </w:r>
          </w:p>
        </w:tc>
        <w:tc>
          <w:tcPr>
            <w:tcW w:w="941" w:type="dxa"/>
            <w:vAlign w:val="center"/>
          </w:tcPr>
          <w:p w14:paraId="0167C8C9">
            <w:pPr>
              <w:spacing w:line="320" w:lineRule="exact"/>
              <w:jc w:val="center"/>
              <w:rPr>
                <w:rFonts w:ascii="宋体" w:hAnsi="宋体" w:eastAsia="宋体" w:cs="Times New Roman"/>
                <w:color w:val="auto"/>
              </w:rPr>
            </w:pPr>
            <w:r>
              <w:rPr>
                <w:rFonts w:ascii="宋体" w:hAnsi="宋体" w:eastAsia="宋体" w:cs="Times New Roman"/>
                <w:color w:val="auto"/>
              </w:rPr>
              <w:t>相对距离/km</w:t>
            </w:r>
          </w:p>
        </w:tc>
        <w:tc>
          <w:tcPr>
            <w:tcW w:w="1026" w:type="dxa"/>
            <w:vAlign w:val="center"/>
          </w:tcPr>
          <w:p w14:paraId="058E7075">
            <w:pPr>
              <w:spacing w:line="320" w:lineRule="exact"/>
              <w:jc w:val="center"/>
              <w:rPr>
                <w:rFonts w:ascii="宋体" w:hAnsi="宋体" w:eastAsia="宋体" w:cs="Times New Roman"/>
                <w:color w:val="auto"/>
              </w:rPr>
            </w:pPr>
            <w:r>
              <w:rPr>
                <w:rFonts w:ascii="宋体" w:hAnsi="宋体" w:eastAsia="宋体" w:cs="Times New Roman"/>
                <w:color w:val="auto"/>
              </w:rPr>
              <w:t>海拔高度/m</w:t>
            </w:r>
          </w:p>
        </w:tc>
        <w:tc>
          <w:tcPr>
            <w:tcW w:w="626" w:type="dxa"/>
            <w:vAlign w:val="center"/>
          </w:tcPr>
          <w:p w14:paraId="447CFD24">
            <w:pPr>
              <w:spacing w:line="320" w:lineRule="exact"/>
              <w:jc w:val="center"/>
              <w:rPr>
                <w:rFonts w:ascii="宋体" w:hAnsi="宋体" w:eastAsia="宋体" w:cs="Times New Roman"/>
                <w:color w:val="auto"/>
              </w:rPr>
            </w:pPr>
            <w:r>
              <w:rPr>
                <w:rFonts w:ascii="宋体" w:hAnsi="宋体" w:eastAsia="宋体" w:cs="Times New Roman"/>
                <w:color w:val="auto"/>
              </w:rPr>
              <w:t>数据年份/年</w:t>
            </w:r>
          </w:p>
        </w:tc>
        <w:tc>
          <w:tcPr>
            <w:tcW w:w="2506" w:type="dxa"/>
            <w:tcBorders>
              <w:right w:val="single" w:color="000000" w:sz="10" w:space="0"/>
            </w:tcBorders>
            <w:vAlign w:val="center"/>
          </w:tcPr>
          <w:p w14:paraId="0A081BBE">
            <w:pPr>
              <w:spacing w:line="320" w:lineRule="exact"/>
              <w:jc w:val="center"/>
              <w:rPr>
                <w:rFonts w:ascii="宋体" w:hAnsi="宋体" w:eastAsia="宋体" w:cs="Times New Roman"/>
                <w:color w:val="auto"/>
              </w:rPr>
            </w:pPr>
            <w:r>
              <w:rPr>
                <w:rFonts w:ascii="宋体" w:hAnsi="宋体" w:eastAsia="宋体" w:cs="Times New Roman"/>
                <w:color w:val="auto"/>
              </w:rPr>
              <w:t>气象要素</w:t>
            </w:r>
          </w:p>
        </w:tc>
      </w:tr>
      <w:tr w14:paraId="2226A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034" w:type="dxa"/>
            <w:tcBorders>
              <w:left w:val="single" w:color="000000" w:sz="10" w:space="0"/>
            </w:tcBorders>
            <w:vAlign w:val="center"/>
          </w:tcPr>
          <w:p w14:paraId="1473AB7F">
            <w:pPr>
              <w:spacing w:line="320" w:lineRule="exact"/>
              <w:jc w:val="center"/>
              <w:rPr>
                <w:rFonts w:ascii="宋体" w:hAnsi="宋体" w:eastAsia="宋体" w:cs="Times New Roman"/>
                <w:color w:val="auto"/>
              </w:rPr>
            </w:pPr>
            <w:r>
              <w:rPr>
                <w:rFonts w:ascii="宋体" w:hAnsi="宋体" w:eastAsia="宋体" w:cs="Times New Roman"/>
                <w:color w:val="auto"/>
              </w:rPr>
              <w:t>50850</w:t>
            </w:r>
          </w:p>
        </w:tc>
        <w:tc>
          <w:tcPr>
            <w:tcW w:w="887" w:type="dxa"/>
            <w:vAlign w:val="center"/>
          </w:tcPr>
          <w:p w14:paraId="3486EE65">
            <w:pPr>
              <w:spacing w:line="320" w:lineRule="exact"/>
              <w:jc w:val="center"/>
              <w:rPr>
                <w:rFonts w:ascii="宋体" w:hAnsi="宋体" w:eastAsia="宋体" w:cs="Times New Roman"/>
                <w:color w:val="auto"/>
              </w:rPr>
            </w:pPr>
            <w:r>
              <w:rPr>
                <w:rFonts w:ascii="宋体" w:hAnsi="宋体" w:eastAsia="宋体" w:cs="Times New Roman"/>
                <w:color w:val="auto"/>
              </w:rPr>
              <w:t>一般站</w:t>
            </w:r>
          </w:p>
        </w:tc>
        <w:tc>
          <w:tcPr>
            <w:tcW w:w="1139" w:type="dxa"/>
            <w:vAlign w:val="center"/>
          </w:tcPr>
          <w:p w14:paraId="37746891">
            <w:pPr>
              <w:spacing w:line="320" w:lineRule="exact"/>
              <w:jc w:val="center"/>
              <w:rPr>
                <w:rFonts w:ascii="宋体" w:hAnsi="宋体" w:eastAsia="宋体" w:cs="Times New Roman"/>
                <w:color w:val="auto"/>
              </w:rPr>
            </w:pPr>
            <w:r>
              <w:rPr>
                <w:rFonts w:ascii="宋体" w:hAnsi="宋体" w:eastAsia="宋体" w:cs="Times New Roman"/>
                <w:color w:val="auto"/>
              </w:rPr>
              <w:t>124.99030E</w:t>
            </w:r>
          </w:p>
        </w:tc>
        <w:tc>
          <w:tcPr>
            <w:tcW w:w="1126" w:type="dxa"/>
            <w:vAlign w:val="center"/>
          </w:tcPr>
          <w:p w14:paraId="07DC4E48">
            <w:pPr>
              <w:spacing w:line="320" w:lineRule="exact"/>
              <w:jc w:val="center"/>
              <w:rPr>
                <w:rFonts w:ascii="宋体" w:hAnsi="宋体" w:eastAsia="宋体" w:cs="Times New Roman"/>
                <w:color w:val="auto"/>
              </w:rPr>
            </w:pPr>
            <w:r>
              <w:rPr>
                <w:rFonts w:ascii="宋体" w:hAnsi="宋体" w:eastAsia="宋体" w:cs="Times New Roman"/>
                <w:color w:val="auto"/>
              </w:rPr>
              <w:t>46.62080N</w:t>
            </w:r>
          </w:p>
        </w:tc>
        <w:tc>
          <w:tcPr>
            <w:tcW w:w="941" w:type="dxa"/>
            <w:vAlign w:val="center"/>
          </w:tcPr>
          <w:p w14:paraId="29B3DE33">
            <w:pPr>
              <w:spacing w:line="320" w:lineRule="exact"/>
              <w:jc w:val="center"/>
              <w:rPr>
                <w:rFonts w:ascii="宋体" w:hAnsi="宋体" w:eastAsia="宋体" w:cs="Times New Roman"/>
                <w:color w:val="auto"/>
              </w:rPr>
            </w:pPr>
            <w:r>
              <w:rPr>
                <w:rFonts w:hint="eastAsia" w:ascii="宋体" w:hAnsi="宋体" w:eastAsia="宋体" w:cs="Times New Roman"/>
                <w:color w:val="auto"/>
              </w:rPr>
              <w:t>118</w:t>
            </w:r>
          </w:p>
        </w:tc>
        <w:tc>
          <w:tcPr>
            <w:tcW w:w="1026" w:type="dxa"/>
            <w:vAlign w:val="center"/>
          </w:tcPr>
          <w:p w14:paraId="74600D49">
            <w:pPr>
              <w:spacing w:line="320" w:lineRule="exact"/>
              <w:jc w:val="center"/>
              <w:rPr>
                <w:rFonts w:ascii="宋体" w:hAnsi="宋体" w:eastAsia="宋体" w:cs="Times New Roman"/>
                <w:color w:val="auto"/>
              </w:rPr>
            </w:pPr>
            <w:r>
              <w:rPr>
                <w:rFonts w:ascii="宋体" w:hAnsi="宋体" w:eastAsia="宋体" w:cs="Times New Roman"/>
                <w:color w:val="auto"/>
              </w:rPr>
              <w:t>152</w:t>
            </w:r>
            <w:r>
              <w:rPr>
                <w:rFonts w:hint="eastAsia" w:ascii="宋体" w:hAnsi="宋体" w:eastAsia="宋体" w:cs="Times New Roman"/>
                <w:color w:val="auto"/>
              </w:rPr>
              <w:t>.3</w:t>
            </w:r>
          </w:p>
        </w:tc>
        <w:tc>
          <w:tcPr>
            <w:tcW w:w="626" w:type="dxa"/>
            <w:vAlign w:val="center"/>
          </w:tcPr>
          <w:p w14:paraId="23EAA3A8">
            <w:pPr>
              <w:spacing w:line="320" w:lineRule="exact"/>
              <w:jc w:val="center"/>
              <w:rPr>
                <w:rFonts w:ascii="宋体" w:hAnsi="宋体" w:eastAsia="宋体" w:cs="Times New Roman"/>
                <w:color w:val="auto"/>
              </w:rPr>
            </w:pPr>
            <w:r>
              <w:rPr>
                <w:rFonts w:ascii="宋体" w:hAnsi="宋体" w:eastAsia="宋体" w:cs="Times New Roman"/>
                <w:color w:val="auto"/>
              </w:rPr>
              <w:t>2024</w:t>
            </w:r>
          </w:p>
        </w:tc>
        <w:tc>
          <w:tcPr>
            <w:tcW w:w="2506" w:type="dxa"/>
            <w:tcBorders>
              <w:right w:val="single" w:color="000000" w:sz="10" w:space="0"/>
            </w:tcBorders>
            <w:vAlign w:val="center"/>
          </w:tcPr>
          <w:p w14:paraId="7B951A80">
            <w:pPr>
              <w:spacing w:line="320" w:lineRule="exact"/>
              <w:jc w:val="center"/>
              <w:rPr>
                <w:rFonts w:ascii="宋体" w:hAnsi="宋体" w:eastAsia="宋体" w:cs="Times New Roman"/>
                <w:color w:val="auto"/>
              </w:rPr>
            </w:pPr>
            <w:r>
              <w:rPr>
                <w:rFonts w:ascii="宋体" w:hAnsi="宋体" w:eastAsia="宋体" w:cs="Times New Roman"/>
                <w:color w:val="auto"/>
              </w:rPr>
              <w:t>温度、风向、风速、总云量</w:t>
            </w:r>
          </w:p>
        </w:tc>
      </w:tr>
    </w:tbl>
    <w:p w14:paraId="7C01C259">
      <w:pPr>
        <w:pStyle w:val="276"/>
        <w:widowControl w:val="0"/>
        <w:ind w:firstLine="480"/>
        <w:jc w:val="both"/>
        <w:rPr>
          <w:color w:val="auto"/>
          <w:lang w:val="zh-CN"/>
        </w:rPr>
      </w:pPr>
    </w:p>
    <w:p w14:paraId="3F3D87B9">
      <w:pPr>
        <w:pStyle w:val="276"/>
        <w:widowControl w:val="0"/>
        <w:ind w:firstLine="480"/>
        <w:jc w:val="both"/>
        <w:rPr>
          <w:color w:val="auto"/>
          <w:lang w:val="zh-CN"/>
        </w:rPr>
      </w:pPr>
      <w:r>
        <w:rPr>
          <w:color w:val="auto"/>
          <w:lang w:val="zh-CN"/>
        </w:rPr>
        <w:t>（3）地形及土地利用参数</w:t>
      </w:r>
    </w:p>
    <w:p w14:paraId="368C88FE">
      <w:pPr>
        <w:pStyle w:val="276"/>
        <w:widowControl w:val="0"/>
        <w:ind w:firstLine="480"/>
        <w:jc w:val="both"/>
        <w:rPr>
          <w:color w:val="auto"/>
          <w:lang w:val="zh-CN"/>
        </w:rPr>
      </w:pPr>
      <w:r>
        <w:rPr>
          <w:color w:val="auto"/>
          <w:lang w:val="zh-CN"/>
        </w:rPr>
        <w:t>1</w:t>
      </w:r>
      <w:r>
        <w:rPr>
          <w:rFonts w:hint="eastAsia"/>
          <w:color w:val="auto"/>
          <w:lang w:val="zh-CN"/>
        </w:rPr>
        <w:t>）</w:t>
      </w:r>
      <w:r>
        <w:rPr>
          <w:color w:val="auto"/>
          <w:lang w:val="zh-CN"/>
        </w:rPr>
        <w:t>地形参数</w:t>
      </w:r>
    </w:p>
    <w:p w14:paraId="4870485F">
      <w:pPr>
        <w:pStyle w:val="276"/>
        <w:widowControl w:val="0"/>
        <w:ind w:firstLine="480"/>
        <w:jc w:val="both"/>
        <w:rPr>
          <w:color w:val="auto"/>
          <w:lang w:val="zh-CN"/>
        </w:rPr>
      </w:pPr>
      <w:r>
        <w:rPr>
          <w:color w:val="auto"/>
          <w:lang w:val="zh-CN"/>
        </w:rPr>
        <w:t>地形采用 SRTM 的数据，土地利用类型采用中欧亚大陆的亚洲部分，并根据实际规划情况进行了调整。地形数据由软件配套数据库提供。</w:t>
      </w:r>
    </w:p>
    <w:p w14:paraId="16954506">
      <w:pPr>
        <w:pStyle w:val="276"/>
        <w:widowControl w:val="0"/>
        <w:ind w:firstLine="480"/>
        <w:jc w:val="both"/>
        <w:rPr>
          <w:color w:val="auto"/>
          <w:lang w:val="zh-CN"/>
        </w:rPr>
      </w:pPr>
      <w:r>
        <w:rPr>
          <w:color w:val="auto"/>
          <w:lang w:val="zh-CN"/>
        </w:rPr>
        <w:t>2</w:t>
      </w:r>
      <w:r>
        <w:rPr>
          <w:rFonts w:hint="eastAsia"/>
          <w:color w:val="auto"/>
          <w:lang w:val="zh-CN"/>
        </w:rPr>
        <w:t>）</w:t>
      </w:r>
      <w:r>
        <w:rPr>
          <w:color w:val="auto"/>
          <w:lang w:val="zh-CN"/>
        </w:rPr>
        <w:t>地表参数</w:t>
      </w:r>
    </w:p>
    <w:p w14:paraId="7785A8DB">
      <w:pPr>
        <w:pStyle w:val="276"/>
        <w:widowControl w:val="0"/>
        <w:ind w:firstLine="480"/>
        <w:jc w:val="both"/>
        <w:rPr>
          <w:color w:val="auto"/>
          <w:lang w:val="zh-CN"/>
        </w:rPr>
      </w:pPr>
      <w:r>
        <w:rPr>
          <w:color w:val="auto"/>
          <w:lang w:val="zh-CN"/>
        </w:rPr>
        <w:t>评价区内地表特征为农作地（0°～360°），采用 1 个扇区。项目所处大庆市属于温带季风气候，四季气候区分明显，对地表参数按月份进行划分，其地表参数列于下表。</w:t>
      </w:r>
    </w:p>
    <w:p w14:paraId="5DABC3CE">
      <w:pPr>
        <w:pStyle w:val="276"/>
        <w:widowControl w:val="0"/>
        <w:spacing w:line="440" w:lineRule="exact"/>
        <w:ind w:firstLine="0" w:firstLineChars="0"/>
        <w:jc w:val="center"/>
        <w:rPr>
          <w:color w:val="auto"/>
          <w:lang w:val="zh-CN"/>
        </w:rPr>
      </w:pPr>
      <w:r>
        <w:rPr>
          <w:color w:val="auto"/>
          <w:lang w:val="zh-CN"/>
        </w:rPr>
        <w:t>表5.1-12 预测模式中应用的地表参数</w:t>
      </w:r>
    </w:p>
    <w:tbl>
      <w:tblPr>
        <w:tblStyle w:val="172"/>
        <w:tblW w:w="905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6"/>
        <w:gridCol w:w="1516"/>
        <w:gridCol w:w="1507"/>
        <w:gridCol w:w="1632"/>
        <w:gridCol w:w="1632"/>
        <w:gridCol w:w="1632"/>
      </w:tblGrid>
      <w:tr w14:paraId="3AF4C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2183A58E">
            <w:pPr>
              <w:spacing w:line="320" w:lineRule="exact"/>
              <w:jc w:val="center"/>
              <w:rPr>
                <w:rFonts w:ascii="宋体" w:hAnsi="宋体" w:eastAsia="宋体" w:cs="Times New Roman"/>
                <w:color w:val="auto"/>
              </w:rPr>
            </w:pPr>
            <w:r>
              <w:rPr>
                <w:rFonts w:ascii="宋体" w:hAnsi="宋体" w:eastAsia="宋体" w:cs="Times New Roman"/>
                <w:color w:val="auto"/>
              </w:rPr>
              <w:t>序号</w:t>
            </w:r>
          </w:p>
        </w:tc>
        <w:tc>
          <w:tcPr>
            <w:tcW w:w="1516" w:type="dxa"/>
            <w:vAlign w:val="center"/>
          </w:tcPr>
          <w:p w14:paraId="52730BC1">
            <w:pPr>
              <w:spacing w:line="320" w:lineRule="exact"/>
              <w:jc w:val="center"/>
              <w:rPr>
                <w:rFonts w:ascii="宋体" w:hAnsi="宋体" w:eastAsia="宋体" w:cs="Times New Roman"/>
                <w:color w:val="auto"/>
              </w:rPr>
            </w:pPr>
            <w:r>
              <w:rPr>
                <w:rFonts w:ascii="宋体" w:hAnsi="宋体" w:eastAsia="宋体" w:cs="Times New Roman"/>
                <w:color w:val="auto"/>
              </w:rPr>
              <w:t>扇区</w:t>
            </w:r>
          </w:p>
        </w:tc>
        <w:tc>
          <w:tcPr>
            <w:tcW w:w="1507" w:type="dxa"/>
            <w:vAlign w:val="center"/>
          </w:tcPr>
          <w:p w14:paraId="2296DCC8">
            <w:pPr>
              <w:spacing w:line="320" w:lineRule="exact"/>
              <w:jc w:val="center"/>
              <w:rPr>
                <w:rFonts w:ascii="宋体" w:hAnsi="宋体" w:eastAsia="宋体" w:cs="Times New Roman"/>
                <w:color w:val="auto"/>
              </w:rPr>
            </w:pPr>
            <w:r>
              <w:rPr>
                <w:rFonts w:ascii="宋体" w:hAnsi="宋体" w:eastAsia="宋体" w:cs="Times New Roman"/>
                <w:color w:val="auto"/>
              </w:rPr>
              <w:t>时段</w:t>
            </w:r>
          </w:p>
        </w:tc>
        <w:tc>
          <w:tcPr>
            <w:tcW w:w="1632" w:type="dxa"/>
            <w:tcBorders>
              <w:right w:val="single" w:color="000000" w:sz="10" w:space="0"/>
            </w:tcBorders>
            <w:vAlign w:val="center"/>
          </w:tcPr>
          <w:p w14:paraId="10A0AD31">
            <w:pPr>
              <w:spacing w:line="320" w:lineRule="exact"/>
              <w:jc w:val="center"/>
              <w:rPr>
                <w:rFonts w:ascii="宋体" w:hAnsi="宋体" w:eastAsia="宋体" w:cs="Times New Roman"/>
                <w:color w:val="auto"/>
              </w:rPr>
            </w:pPr>
            <w:r>
              <w:rPr>
                <w:rFonts w:ascii="宋体" w:hAnsi="宋体" w:eastAsia="宋体" w:cs="Times New Roman"/>
                <w:color w:val="auto"/>
              </w:rPr>
              <w:t>正午反照率</w:t>
            </w:r>
          </w:p>
        </w:tc>
        <w:tc>
          <w:tcPr>
            <w:tcW w:w="1632" w:type="dxa"/>
            <w:tcBorders>
              <w:right w:val="single" w:color="000000" w:sz="10" w:space="0"/>
            </w:tcBorders>
          </w:tcPr>
          <w:p w14:paraId="7F20DDAE">
            <w:pPr>
              <w:spacing w:line="320" w:lineRule="exact"/>
              <w:jc w:val="center"/>
              <w:rPr>
                <w:rFonts w:ascii="宋体" w:hAnsi="宋体" w:eastAsia="宋体" w:cs="Times New Roman"/>
                <w:color w:val="auto"/>
              </w:rPr>
            </w:pPr>
            <w:r>
              <w:rPr>
                <w:rFonts w:ascii="宋体" w:hAnsi="宋体" w:eastAsia="宋体" w:cs="Times New Roman"/>
                <w:color w:val="auto"/>
              </w:rPr>
              <w:t>BOWEN</w:t>
            </w:r>
          </w:p>
        </w:tc>
        <w:tc>
          <w:tcPr>
            <w:tcW w:w="1632" w:type="dxa"/>
            <w:tcBorders>
              <w:right w:val="single" w:color="000000" w:sz="10" w:space="0"/>
            </w:tcBorders>
          </w:tcPr>
          <w:p w14:paraId="2AE554D9">
            <w:pPr>
              <w:spacing w:line="320" w:lineRule="exact"/>
              <w:jc w:val="center"/>
              <w:rPr>
                <w:rFonts w:ascii="宋体" w:hAnsi="宋体" w:eastAsia="宋体" w:cs="Times New Roman"/>
                <w:color w:val="auto"/>
              </w:rPr>
            </w:pPr>
            <w:r>
              <w:rPr>
                <w:rFonts w:ascii="宋体" w:hAnsi="宋体" w:eastAsia="宋体" w:cs="Times New Roman"/>
                <w:color w:val="auto"/>
              </w:rPr>
              <w:t>粗糙度</w:t>
            </w:r>
          </w:p>
        </w:tc>
      </w:tr>
      <w:tr w14:paraId="5E960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5C7856E2">
            <w:pPr>
              <w:spacing w:line="320" w:lineRule="exact"/>
              <w:jc w:val="center"/>
              <w:rPr>
                <w:rFonts w:ascii="宋体" w:hAnsi="宋体" w:eastAsia="宋体" w:cs="Times New Roman"/>
                <w:color w:val="auto"/>
              </w:rPr>
            </w:pPr>
            <w:r>
              <w:rPr>
                <w:rFonts w:ascii="宋体" w:hAnsi="宋体" w:eastAsia="宋体" w:cs="Times New Roman"/>
                <w:color w:val="auto"/>
              </w:rPr>
              <w:t>1</w:t>
            </w:r>
          </w:p>
        </w:tc>
        <w:tc>
          <w:tcPr>
            <w:tcW w:w="1516" w:type="dxa"/>
            <w:vAlign w:val="center"/>
          </w:tcPr>
          <w:p w14:paraId="0FAA08FA">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09270F61">
            <w:pPr>
              <w:spacing w:line="320" w:lineRule="exact"/>
              <w:jc w:val="center"/>
              <w:rPr>
                <w:rFonts w:ascii="宋体" w:hAnsi="宋体" w:eastAsia="宋体" w:cs="Times New Roman"/>
                <w:color w:val="auto"/>
              </w:rPr>
            </w:pPr>
            <w:r>
              <w:rPr>
                <w:rFonts w:ascii="宋体" w:hAnsi="宋体" w:eastAsia="宋体" w:cs="Times New Roman"/>
                <w:color w:val="auto"/>
              </w:rPr>
              <w:t>一月</w:t>
            </w:r>
          </w:p>
        </w:tc>
        <w:tc>
          <w:tcPr>
            <w:tcW w:w="1632" w:type="dxa"/>
            <w:tcBorders>
              <w:right w:val="single" w:color="000000" w:sz="10" w:space="0"/>
            </w:tcBorders>
            <w:vAlign w:val="center"/>
          </w:tcPr>
          <w:p w14:paraId="3A85A453">
            <w:pPr>
              <w:spacing w:line="320" w:lineRule="exact"/>
              <w:jc w:val="center"/>
              <w:rPr>
                <w:rFonts w:ascii="宋体" w:hAnsi="宋体" w:eastAsia="宋体" w:cs="Times New Roman"/>
                <w:color w:val="auto"/>
              </w:rPr>
            </w:pPr>
            <w:r>
              <w:rPr>
                <w:rFonts w:ascii="宋体" w:hAnsi="宋体" w:eastAsia="宋体" w:cs="Times New Roman"/>
                <w:color w:val="auto"/>
              </w:rPr>
              <w:t>0.6</w:t>
            </w:r>
          </w:p>
        </w:tc>
        <w:tc>
          <w:tcPr>
            <w:tcW w:w="1632" w:type="dxa"/>
            <w:tcBorders>
              <w:right w:val="single" w:color="000000" w:sz="10" w:space="0"/>
            </w:tcBorders>
          </w:tcPr>
          <w:p w14:paraId="33FDE4D0">
            <w:pPr>
              <w:spacing w:line="320" w:lineRule="exact"/>
              <w:jc w:val="center"/>
              <w:rPr>
                <w:rFonts w:ascii="宋体" w:hAnsi="宋体" w:eastAsia="宋体" w:cs="Times New Roman"/>
                <w:color w:val="auto"/>
              </w:rPr>
            </w:pPr>
            <w:r>
              <w:rPr>
                <w:rFonts w:ascii="宋体" w:hAnsi="宋体" w:eastAsia="宋体" w:cs="Times New Roman"/>
                <w:color w:val="auto"/>
              </w:rPr>
              <w:t>1.5</w:t>
            </w:r>
          </w:p>
        </w:tc>
        <w:tc>
          <w:tcPr>
            <w:tcW w:w="1632" w:type="dxa"/>
            <w:tcBorders>
              <w:right w:val="single" w:color="000000" w:sz="10" w:space="0"/>
            </w:tcBorders>
          </w:tcPr>
          <w:p w14:paraId="2E3FBF2E">
            <w:pPr>
              <w:spacing w:line="320" w:lineRule="exact"/>
              <w:jc w:val="center"/>
              <w:rPr>
                <w:rFonts w:ascii="宋体" w:hAnsi="宋体" w:eastAsia="宋体" w:cs="Times New Roman"/>
                <w:color w:val="auto"/>
              </w:rPr>
            </w:pPr>
            <w:r>
              <w:rPr>
                <w:rFonts w:ascii="宋体" w:hAnsi="宋体" w:eastAsia="宋体" w:cs="Times New Roman"/>
                <w:color w:val="auto"/>
              </w:rPr>
              <w:t>0.01</w:t>
            </w:r>
          </w:p>
        </w:tc>
      </w:tr>
      <w:tr w14:paraId="226E4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3C0B8403">
            <w:pPr>
              <w:spacing w:line="320" w:lineRule="exact"/>
              <w:jc w:val="center"/>
              <w:rPr>
                <w:rFonts w:ascii="宋体" w:hAnsi="宋体" w:eastAsia="宋体" w:cs="Times New Roman"/>
                <w:color w:val="auto"/>
              </w:rPr>
            </w:pPr>
            <w:r>
              <w:rPr>
                <w:rFonts w:ascii="宋体" w:hAnsi="宋体" w:eastAsia="宋体" w:cs="Times New Roman"/>
                <w:color w:val="auto"/>
              </w:rPr>
              <w:t>2</w:t>
            </w:r>
          </w:p>
        </w:tc>
        <w:tc>
          <w:tcPr>
            <w:tcW w:w="1516" w:type="dxa"/>
            <w:vAlign w:val="center"/>
          </w:tcPr>
          <w:p w14:paraId="20D44BA5">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0B66C9A5">
            <w:pPr>
              <w:spacing w:line="320" w:lineRule="exact"/>
              <w:jc w:val="center"/>
              <w:rPr>
                <w:rFonts w:ascii="宋体" w:hAnsi="宋体" w:eastAsia="宋体" w:cs="Times New Roman"/>
                <w:color w:val="auto"/>
              </w:rPr>
            </w:pPr>
            <w:r>
              <w:rPr>
                <w:rFonts w:ascii="宋体" w:hAnsi="宋体" w:eastAsia="宋体" w:cs="Times New Roman"/>
                <w:color w:val="auto"/>
              </w:rPr>
              <w:t>二月</w:t>
            </w:r>
          </w:p>
        </w:tc>
        <w:tc>
          <w:tcPr>
            <w:tcW w:w="1632" w:type="dxa"/>
            <w:tcBorders>
              <w:right w:val="single" w:color="000000" w:sz="10" w:space="0"/>
            </w:tcBorders>
            <w:vAlign w:val="center"/>
          </w:tcPr>
          <w:p w14:paraId="0152641C">
            <w:pPr>
              <w:spacing w:line="320" w:lineRule="exact"/>
              <w:jc w:val="center"/>
              <w:rPr>
                <w:rFonts w:ascii="宋体" w:hAnsi="宋体" w:eastAsia="宋体" w:cs="Times New Roman"/>
                <w:color w:val="auto"/>
              </w:rPr>
            </w:pPr>
            <w:r>
              <w:rPr>
                <w:rFonts w:ascii="宋体" w:hAnsi="宋体" w:eastAsia="宋体" w:cs="Times New Roman"/>
                <w:color w:val="auto"/>
              </w:rPr>
              <w:t>0.6</w:t>
            </w:r>
          </w:p>
        </w:tc>
        <w:tc>
          <w:tcPr>
            <w:tcW w:w="1632" w:type="dxa"/>
            <w:tcBorders>
              <w:right w:val="single" w:color="000000" w:sz="10" w:space="0"/>
            </w:tcBorders>
          </w:tcPr>
          <w:p w14:paraId="50D73D3E">
            <w:pPr>
              <w:spacing w:line="320" w:lineRule="exact"/>
              <w:jc w:val="center"/>
              <w:rPr>
                <w:rFonts w:ascii="宋体" w:hAnsi="宋体" w:eastAsia="宋体" w:cs="Times New Roman"/>
                <w:color w:val="auto"/>
              </w:rPr>
            </w:pPr>
            <w:r>
              <w:rPr>
                <w:rFonts w:ascii="宋体" w:hAnsi="宋体" w:eastAsia="宋体" w:cs="Times New Roman"/>
                <w:color w:val="auto"/>
              </w:rPr>
              <w:t>1.5</w:t>
            </w:r>
          </w:p>
        </w:tc>
        <w:tc>
          <w:tcPr>
            <w:tcW w:w="1632" w:type="dxa"/>
            <w:tcBorders>
              <w:right w:val="single" w:color="000000" w:sz="10" w:space="0"/>
            </w:tcBorders>
          </w:tcPr>
          <w:p w14:paraId="6C5560C5">
            <w:pPr>
              <w:spacing w:line="320" w:lineRule="exact"/>
              <w:jc w:val="center"/>
              <w:rPr>
                <w:rFonts w:ascii="宋体" w:hAnsi="宋体" w:eastAsia="宋体" w:cs="Times New Roman"/>
                <w:color w:val="auto"/>
              </w:rPr>
            </w:pPr>
            <w:r>
              <w:rPr>
                <w:rFonts w:ascii="宋体" w:hAnsi="宋体" w:eastAsia="宋体" w:cs="Times New Roman"/>
                <w:color w:val="auto"/>
              </w:rPr>
              <w:t>0.01</w:t>
            </w:r>
          </w:p>
        </w:tc>
      </w:tr>
      <w:tr w14:paraId="3C862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7B43E1EF">
            <w:pPr>
              <w:spacing w:line="320" w:lineRule="exact"/>
              <w:jc w:val="center"/>
              <w:rPr>
                <w:rFonts w:ascii="宋体" w:hAnsi="宋体" w:eastAsia="宋体" w:cs="Times New Roman"/>
                <w:color w:val="auto"/>
              </w:rPr>
            </w:pPr>
            <w:r>
              <w:rPr>
                <w:rFonts w:ascii="宋体" w:hAnsi="宋体" w:eastAsia="宋体" w:cs="Times New Roman"/>
                <w:color w:val="auto"/>
              </w:rPr>
              <w:t>3</w:t>
            </w:r>
          </w:p>
        </w:tc>
        <w:tc>
          <w:tcPr>
            <w:tcW w:w="1516" w:type="dxa"/>
            <w:vAlign w:val="center"/>
          </w:tcPr>
          <w:p w14:paraId="763F93F1">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001B8A27">
            <w:pPr>
              <w:spacing w:line="320" w:lineRule="exact"/>
              <w:jc w:val="center"/>
              <w:rPr>
                <w:rFonts w:ascii="宋体" w:hAnsi="宋体" w:eastAsia="宋体" w:cs="Times New Roman"/>
                <w:color w:val="auto"/>
              </w:rPr>
            </w:pPr>
            <w:r>
              <w:rPr>
                <w:rFonts w:ascii="宋体" w:hAnsi="宋体" w:eastAsia="宋体" w:cs="Times New Roman"/>
                <w:color w:val="auto"/>
              </w:rPr>
              <w:t>三月</w:t>
            </w:r>
          </w:p>
        </w:tc>
        <w:tc>
          <w:tcPr>
            <w:tcW w:w="1632" w:type="dxa"/>
            <w:tcBorders>
              <w:right w:val="single" w:color="000000" w:sz="10" w:space="0"/>
            </w:tcBorders>
            <w:vAlign w:val="center"/>
          </w:tcPr>
          <w:p w14:paraId="3B8FA88D">
            <w:pPr>
              <w:spacing w:line="320" w:lineRule="exact"/>
              <w:jc w:val="center"/>
              <w:rPr>
                <w:rFonts w:ascii="宋体" w:hAnsi="宋体" w:eastAsia="宋体" w:cs="Times New Roman"/>
                <w:color w:val="auto"/>
              </w:rPr>
            </w:pPr>
            <w:r>
              <w:rPr>
                <w:rFonts w:ascii="宋体" w:hAnsi="宋体" w:eastAsia="宋体" w:cs="Times New Roman"/>
                <w:color w:val="auto"/>
              </w:rPr>
              <w:t>0.14</w:t>
            </w:r>
          </w:p>
        </w:tc>
        <w:tc>
          <w:tcPr>
            <w:tcW w:w="1632" w:type="dxa"/>
            <w:tcBorders>
              <w:right w:val="single" w:color="000000" w:sz="10" w:space="0"/>
            </w:tcBorders>
          </w:tcPr>
          <w:p w14:paraId="1141ED69">
            <w:pPr>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1632" w:type="dxa"/>
            <w:tcBorders>
              <w:right w:val="single" w:color="000000" w:sz="10" w:space="0"/>
            </w:tcBorders>
          </w:tcPr>
          <w:p w14:paraId="293DA23F">
            <w:pPr>
              <w:spacing w:line="320" w:lineRule="exact"/>
              <w:jc w:val="center"/>
              <w:rPr>
                <w:rFonts w:ascii="宋体" w:hAnsi="宋体" w:eastAsia="宋体" w:cs="Times New Roman"/>
                <w:color w:val="auto"/>
              </w:rPr>
            </w:pPr>
            <w:r>
              <w:rPr>
                <w:rFonts w:ascii="宋体" w:hAnsi="宋体" w:eastAsia="宋体" w:cs="Times New Roman"/>
                <w:color w:val="auto"/>
              </w:rPr>
              <w:t>0.03</w:t>
            </w:r>
          </w:p>
        </w:tc>
      </w:tr>
      <w:tr w14:paraId="4FA7E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00B4AB53">
            <w:pPr>
              <w:spacing w:line="320" w:lineRule="exact"/>
              <w:jc w:val="center"/>
              <w:rPr>
                <w:rFonts w:ascii="宋体" w:hAnsi="宋体" w:eastAsia="宋体" w:cs="Times New Roman"/>
                <w:color w:val="auto"/>
              </w:rPr>
            </w:pPr>
            <w:r>
              <w:rPr>
                <w:rFonts w:ascii="宋体" w:hAnsi="宋体" w:eastAsia="宋体" w:cs="Times New Roman"/>
                <w:color w:val="auto"/>
              </w:rPr>
              <w:t>4</w:t>
            </w:r>
          </w:p>
        </w:tc>
        <w:tc>
          <w:tcPr>
            <w:tcW w:w="1516" w:type="dxa"/>
            <w:vAlign w:val="center"/>
          </w:tcPr>
          <w:p w14:paraId="2E1D440E">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33C889B5">
            <w:pPr>
              <w:spacing w:line="320" w:lineRule="exact"/>
              <w:jc w:val="center"/>
              <w:rPr>
                <w:rFonts w:ascii="宋体" w:hAnsi="宋体" w:eastAsia="宋体" w:cs="Times New Roman"/>
                <w:color w:val="auto"/>
              </w:rPr>
            </w:pPr>
            <w:r>
              <w:rPr>
                <w:rFonts w:ascii="宋体" w:hAnsi="宋体" w:eastAsia="宋体" w:cs="Times New Roman"/>
                <w:color w:val="auto"/>
              </w:rPr>
              <w:t>四月</w:t>
            </w:r>
          </w:p>
        </w:tc>
        <w:tc>
          <w:tcPr>
            <w:tcW w:w="1632" w:type="dxa"/>
            <w:tcBorders>
              <w:right w:val="single" w:color="000000" w:sz="10" w:space="0"/>
            </w:tcBorders>
            <w:vAlign w:val="center"/>
          </w:tcPr>
          <w:p w14:paraId="2F57A1B6">
            <w:pPr>
              <w:spacing w:line="320" w:lineRule="exact"/>
              <w:jc w:val="center"/>
              <w:rPr>
                <w:rFonts w:ascii="宋体" w:hAnsi="宋体" w:eastAsia="宋体" w:cs="Times New Roman"/>
                <w:color w:val="auto"/>
              </w:rPr>
            </w:pPr>
            <w:r>
              <w:rPr>
                <w:rFonts w:ascii="宋体" w:hAnsi="宋体" w:eastAsia="宋体" w:cs="Times New Roman"/>
                <w:color w:val="auto"/>
              </w:rPr>
              <w:t>0.14</w:t>
            </w:r>
          </w:p>
        </w:tc>
        <w:tc>
          <w:tcPr>
            <w:tcW w:w="1632" w:type="dxa"/>
            <w:tcBorders>
              <w:right w:val="single" w:color="000000" w:sz="10" w:space="0"/>
            </w:tcBorders>
          </w:tcPr>
          <w:p w14:paraId="4FE380BF">
            <w:pPr>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1632" w:type="dxa"/>
            <w:tcBorders>
              <w:right w:val="single" w:color="000000" w:sz="10" w:space="0"/>
            </w:tcBorders>
          </w:tcPr>
          <w:p w14:paraId="65CEF55D">
            <w:pPr>
              <w:spacing w:line="320" w:lineRule="exact"/>
              <w:jc w:val="center"/>
              <w:rPr>
                <w:rFonts w:ascii="宋体" w:hAnsi="宋体" w:eastAsia="宋体" w:cs="Times New Roman"/>
                <w:color w:val="auto"/>
              </w:rPr>
            </w:pPr>
            <w:r>
              <w:rPr>
                <w:rFonts w:ascii="宋体" w:hAnsi="宋体" w:eastAsia="宋体" w:cs="Times New Roman"/>
                <w:color w:val="auto"/>
              </w:rPr>
              <w:t>0.03</w:t>
            </w:r>
          </w:p>
        </w:tc>
      </w:tr>
      <w:tr w14:paraId="03B20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7870501B">
            <w:pPr>
              <w:spacing w:line="320" w:lineRule="exact"/>
              <w:jc w:val="center"/>
              <w:rPr>
                <w:rFonts w:ascii="宋体" w:hAnsi="宋体" w:eastAsia="宋体" w:cs="Times New Roman"/>
                <w:color w:val="auto"/>
              </w:rPr>
            </w:pPr>
            <w:r>
              <w:rPr>
                <w:rFonts w:ascii="宋体" w:hAnsi="宋体" w:eastAsia="宋体" w:cs="Times New Roman"/>
                <w:color w:val="auto"/>
              </w:rPr>
              <w:t>5</w:t>
            </w:r>
          </w:p>
        </w:tc>
        <w:tc>
          <w:tcPr>
            <w:tcW w:w="1516" w:type="dxa"/>
            <w:vAlign w:val="center"/>
          </w:tcPr>
          <w:p w14:paraId="07BE1259">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21D2A199">
            <w:pPr>
              <w:spacing w:line="320" w:lineRule="exact"/>
              <w:jc w:val="center"/>
              <w:rPr>
                <w:rFonts w:ascii="宋体" w:hAnsi="宋体" w:eastAsia="宋体" w:cs="Times New Roman"/>
                <w:color w:val="auto"/>
              </w:rPr>
            </w:pPr>
            <w:r>
              <w:rPr>
                <w:rFonts w:ascii="宋体" w:hAnsi="宋体" w:eastAsia="宋体" w:cs="Times New Roman"/>
                <w:color w:val="auto"/>
              </w:rPr>
              <w:t>五月</w:t>
            </w:r>
          </w:p>
        </w:tc>
        <w:tc>
          <w:tcPr>
            <w:tcW w:w="1632" w:type="dxa"/>
            <w:tcBorders>
              <w:right w:val="single" w:color="000000" w:sz="10" w:space="0"/>
            </w:tcBorders>
            <w:vAlign w:val="center"/>
          </w:tcPr>
          <w:p w14:paraId="288E2614">
            <w:pPr>
              <w:spacing w:line="320" w:lineRule="exact"/>
              <w:jc w:val="center"/>
              <w:rPr>
                <w:rFonts w:ascii="宋体" w:hAnsi="宋体" w:eastAsia="宋体" w:cs="Times New Roman"/>
                <w:color w:val="auto"/>
              </w:rPr>
            </w:pPr>
            <w:r>
              <w:rPr>
                <w:rFonts w:ascii="宋体" w:hAnsi="宋体" w:eastAsia="宋体" w:cs="Times New Roman"/>
                <w:color w:val="auto"/>
              </w:rPr>
              <w:t>0.14</w:t>
            </w:r>
          </w:p>
        </w:tc>
        <w:tc>
          <w:tcPr>
            <w:tcW w:w="1632" w:type="dxa"/>
            <w:tcBorders>
              <w:right w:val="single" w:color="000000" w:sz="10" w:space="0"/>
            </w:tcBorders>
          </w:tcPr>
          <w:p w14:paraId="70578948">
            <w:pPr>
              <w:spacing w:line="320" w:lineRule="exact"/>
              <w:jc w:val="center"/>
              <w:rPr>
                <w:rFonts w:ascii="宋体" w:hAnsi="宋体" w:eastAsia="宋体" w:cs="Times New Roman"/>
                <w:color w:val="auto"/>
              </w:rPr>
            </w:pPr>
            <w:r>
              <w:rPr>
                <w:rFonts w:ascii="宋体" w:hAnsi="宋体" w:eastAsia="宋体" w:cs="Times New Roman"/>
                <w:color w:val="auto"/>
              </w:rPr>
              <w:t>0.3</w:t>
            </w:r>
          </w:p>
        </w:tc>
        <w:tc>
          <w:tcPr>
            <w:tcW w:w="1632" w:type="dxa"/>
            <w:tcBorders>
              <w:right w:val="single" w:color="000000" w:sz="10" w:space="0"/>
            </w:tcBorders>
          </w:tcPr>
          <w:p w14:paraId="693A7BF3">
            <w:pPr>
              <w:spacing w:line="320" w:lineRule="exact"/>
              <w:jc w:val="center"/>
              <w:rPr>
                <w:rFonts w:ascii="宋体" w:hAnsi="宋体" w:eastAsia="宋体" w:cs="Times New Roman"/>
                <w:color w:val="auto"/>
              </w:rPr>
            </w:pPr>
            <w:r>
              <w:rPr>
                <w:rFonts w:ascii="宋体" w:hAnsi="宋体" w:eastAsia="宋体" w:cs="Times New Roman"/>
                <w:color w:val="auto"/>
              </w:rPr>
              <w:t>0.03</w:t>
            </w:r>
          </w:p>
        </w:tc>
      </w:tr>
      <w:tr w14:paraId="59D40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610CE66D">
            <w:pPr>
              <w:spacing w:line="320" w:lineRule="exact"/>
              <w:jc w:val="center"/>
              <w:rPr>
                <w:rFonts w:ascii="宋体" w:hAnsi="宋体" w:eastAsia="宋体" w:cs="Times New Roman"/>
                <w:color w:val="auto"/>
              </w:rPr>
            </w:pPr>
            <w:r>
              <w:rPr>
                <w:rFonts w:ascii="宋体" w:hAnsi="宋体" w:eastAsia="宋体" w:cs="Times New Roman"/>
                <w:color w:val="auto"/>
              </w:rPr>
              <w:t>6</w:t>
            </w:r>
          </w:p>
        </w:tc>
        <w:tc>
          <w:tcPr>
            <w:tcW w:w="1516" w:type="dxa"/>
            <w:vAlign w:val="center"/>
          </w:tcPr>
          <w:p w14:paraId="46F0C3E1">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1D97783D">
            <w:pPr>
              <w:spacing w:line="320" w:lineRule="exact"/>
              <w:jc w:val="center"/>
              <w:rPr>
                <w:rFonts w:ascii="宋体" w:hAnsi="宋体" w:eastAsia="宋体" w:cs="Times New Roman"/>
                <w:color w:val="auto"/>
              </w:rPr>
            </w:pPr>
            <w:r>
              <w:rPr>
                <w:rFonts w:ascii="宋体" w:hAnsi="宋体" w:eastAsia="宋体" w:cs="Times New Roman"/>
                <w:color w:val="auto"/>
              </w:rPr>
              <w:t>六月</w:t>
            </w:r>
          </w:p>
        </w:tc>
        <w:tc>
          <w:tcPr>
            <w:tcW w:w="1632" w:type="dxa"/>
            <w:tcBorders>
              <w:right w:val="single" w:color="000000" w:sz="10" w:space="0"/>
            </w:tcBorders>
            <w:vAlign w:val="center"/>
          </w:tcPr>
          <w:p w14:paraId="56EC8C68">
            <w:pPr>
              <w:spacing w:line="320" w:lineRule="exact"/>
              <w:jc w:val="center"/>
              <w:rPr>
                <w:rFonts w:ascii="宋体" w:hAnsi="宋体" w:eastAsia="宋体" w:cs="Times New Roman"/>
                <w:color w:val="auto"/>
              </w:rPr>
            </w:pPr>
            <w:r>
              <w:rPr>
                <w:rFonts w:ascii="宋体" w:hAnsi="宋体" w:eastAsia="宋体" w:cs="Times New Roman"/>
                <w:color w:val="auto"/>
              </w:rPr>
              <w:t>0.2</w:t>
            </w:r>
          </w:p>
        </w:tc>
        <w:tc>
          <w:tcPr>
            <w:tcW w:w="1632" w:type="dxa"/>
            <w:tcBorders>
              <w:right w:val="single" w:color="000000" w:sz="10" w:space="0"/>
            </w:tcBorders>
          </w:tcPr>
          <w:p w14:paraId="4BD3603A">
            <w:pPr>
              <w:spacing w:line="320" w:lineRule="exact"/>
              <w:jc w:val="center"/>
              <w:rPr>
                <w:rFonts w:ascii="宋体" w:hAnsi="宋体" w:eastAsia="宋体" w:cs="Times New Roman"/>
                <w:color w:val="auto"/>
              </w:rPr>
            </w:pPr>
            <w:r>
              <w:rPr>
                <w:rFonts w:ascii="宋体" w:hAnsi="宋体" w:eastAsia="宋体" w:cs="Times New Roman"/>
                <w:color w:val="auto"/>
              </w:rPr>
              <w:t>0.5</w:t>
            </w:r>
          </w:p>
        </w:tc>
        <w:tc>
          <w:tcPr>
            <w:tcW w:w="1632" w:type="dxa"/>
            <w:tcBorders>
              <w:right w:val="single" w:color="000000" w:sz="10" w:space="0"/>
            </w:tcBorders>
          </w:tcPr>
          <w:p w14:paraId="071F60DF">
            <w:pPr>
              <w:spacing w:line="320" w:lineRule="exact"/>
              <w:jc w:val="center"/>
              <w:rPr>
                <w:rFonts w:ascii="宋体" w:hAnsi="宋体" w:eastAsia="宋体" w:cs="Times New Roman"/>
                <w:color w:val="auto"/>
              </w:rPr>
            </w:pPr>
            <w:r>
              <w:rPr>
                <w:rFonts w:ascii="宋体" w:hAnsi="宋体" w:eastAsia="宋体" w:cs="Times New Roman"/>
                <w:color w:val="auto"/>
              </w:rPr>
              <w:t>0.2</w:t>
            </w:r>
          </w:p>
        </w:tc>
      </w:tr>
      <w:tr w14:paraId="0C652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37691578">
            <w:pPr>
              <w:spacing w:line="320" w:lineRule="exact"/>
              <w:jc w:val="center"/>
              <w:rPr>
                <w:rFonts w:ascii="宋体" w:hAnsi="宋体" w:eastAsia="宋体" w:cs="Times New Roman"/>
                <w:color w:val="auto"/>
              </w:rPr>
            </w:pPr>
            <w:r>
              <w:rPr>
                <w:rFonts w:ascii="宋体" w:hAnsi="宋体" w:eastAsia="宋体" w:cs="Times New Roman"/>
                <w:color w:val="auto"/>
              </w:rPr>
              <w:t>7</w:t>
            </w:r>
          </w:p>
        </w:tc>
        <w:tc>
          <w:tcPr>
            <w:tcW w:w="1516" w:type="dxa"/>
            <w:vAlign w:val="center"/>
          </w:tcPr>
          <w:p w14:paraId="55695EFB">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466D9A7A">
            <w:pPr>
              <w:spacing w:line="320" w:lineRule="exact"/>
              <w:jc w:val="center"/>
              <w:rPr>
                <w:rFonts w:ascii="宋体" w:hAnsi="宋体" w:eastAsia="宋体" w:cs="Times New Roman"/>
                <w:color w:val="auto"/>
              </w:rPr>
            </w:pPr>
            <w:r>
              <w:rPr>
                <w:rFonts w:ascii="宋体" w:hAnsi="宋体" w:eastAsia="宋体" w:cs="Times New Roman"/>
                <w:color w:val="auto"/>
              </w:rPr>
              <w:t>七月</w:t>
            </w:r>
          </w:p>
        </w:tc>
        <w:tc>
          <w:tcPr>
            <w:tcW w:w="1632" w:type="dxa"/>
            <w:tcBorders>
              <w:right w:val="single" w:color="000000" w:sz="10" w:space="0"/>
            </w:tcBorders>
            <w:vAlign w:val="center"/>
          </w:tcPr>
          <w:p w14:paraId="75CC053F">
            <w:pPr>
              <w:spacing w:line="320" w:lineRule="exact"/>
              <w:jc w:val="center"/>
              <w:rPr>
                <w:rFonts w:ascii="宋体" w:hAnsi="宋体" w:eastAsia="宋体" w:cs="Times New Roman"/>
                <w:color w:val="auto"/>
              </w:rPr>
            </w:pPr>
            <w:r>
              <w:rPr>
                <w:rFonts w:ascii="宋体" w:hAnsi="宋体" w:eastAsia="宋体" w:cs="Times New Roman"/>
                <w:color w:val="auto"/>
              </w:rPr>
              <w:t>0.2</w:t>
            </w:r>
          </w:p>
        </w:tc>
        <w:tc>
          <w:tcPr>
            <w:tcW w:w="1632" w:type="dxa"/>
            <w:tcBorders>
              <w:right w:val="single" w:color="000000" w:sz="10" w:space="0"/>
            </w:tcBorders>
          </w:tcPr>
          <w:p w14:paraId="2EF2344E">
            <w:pPr>
              <w:spacing w:line="320" w:lineRule="exact"/>
              <w:jc w:val="center"/>
              <w:rPr>
                <w:rFonts w:ascii="宋体" w:hAnsi="宋体" w:eastAsia="宋体" w:cs="Times New Roman"/>
                <w:color w:val="auto"/>
              </w:rPr>
            </w:pPr>
            <w:r>
              <w:rPr>
                <w:rFonts w:ascii="宋体" w:hAnsi="宋体" w:eastAsia="宋体" w:cs="Times New Roman"/>
                <w:color w:val="auto"/>
              </w:rPr>
              <w:t>0.5</w:t>
            </w:r>
          </w:p>
        </w:tc>
        <w:tc>
          <w:tcPr>
            <w:tcW w:w="1632" w:type="dxa"/>
            <w:tcBorders>
              <w:right w:val="single" w:color="000000" w:sz="10" w:space="0"/>
            </w:tcBorders>
          </w:tcPr>
          <w:p w14:paraId="1CCD55E7">
            <w:pPr>
              <w:spacing w:line="320" w:lineRule="exact"/>
              <w:jc w:val="center"/>
              <w:rPr>
                <w:rFonts w:ascii="宋体" w:hAnsi="宋体" w:eastAsia="宋体" w:cs="Times New Roman"/>
                <w:color w:val="auto"/>
              </w:rPr>
            </w:pPr>
            <w:r>
              <w:rPr>
                <w:rFonts w:ascii="宋体" w:hAnsi="宋体" w:eastAsia="宋体" w:cs="Times New Roman"/>
                <w:color w:val="auto"/>
              </w:rPr>
              <w:t>0.2</w:t>
            </w:r>
          </w:p>
        </w:tc>
      </w:tr>
      <w:tr w14:paraId="27D20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20EC42A2">
            <w:pPr>
              <w:spacing w:line="320" w:lineRule="exact"/>
              <w:jc w:val="center"/>
              <w:rPr>
                <w:rFonts w:ascii="宋体" w:hAnsi="宋体" w:eastAsia="宋体" w:cs="Times New Roman"/>
                <w:color w:val="auto"/>
              </w:rPr>
            </w:pPr>
            <w:r>
              <w:rPr>
                <w:rFonts w:ascii="宋体" w:hAnsi="宋体" w:eastAsia="宋体" w:cs="Times New Roman"/>
                <w:color w:val="auto"/>
              </w:rPr>
              <w:t>8</w:t>
            </w:r>
          </w:p>
        </w:tc>
        <w:tc>
          <w:tcPr>
            <w:tcW w:w="1516" w:type="dxa"/>
            <w:vAlign w:val="center"/>
          </w:tcPr>
          <w:p w14:paraId="22C508C9">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7BEEC8E1">
            <w:pPr>
              <w:spacing w:line="320" w:lineRule="exact"/>
              <w:jc w:val="center"/>
              <w:rPr>
                <w:rFonts w:ascii="宋体" w:hAnsi="宋体" w:eastAsia="宋体" w:cs="Times New Roman"/>
                <w:color w:val="auto"/>
              </w:rPr>
            </w:pPr>
            <w:r>
              <w:rPr>
                <w:rFonts w:ascii="宋体" w:hAnsi="宋体" w:eastAsia="宋体" w:cs="Times New Roman"/>
                <w:color w:val="auto"/>
              </w:rPr>
              <w:t>八月</w:t>
            </w:r>
          </w:p>
        </w:tc>
        <w:tc>
          <w:tcPr>
            <w:tcW w:w="1632" w:type="dxa"/>
            <w:tcBorders>
              <w:right w:val="single" w:color="000000" w:sz="10" w:space="0"/>
            </w:tcBorders>
            <w:vAlign w:val="center"/>
          </w:tcPr>
          <w:p w14:paraId="129D52FB">
            <w:pPr>
              <w:spacing w:line="320" w:lineRule="exact"/>
              <w:jc w:val="center"/>
              <w:rPr>
                <w:rFonts w:ascii="宋体" w:hAnsi="宋体" w:eastAsia="宋体" w:cs="Times New Roman"/>
                <w:color w:val="auto"/>
              </w:rPr>
            </w:pPr>
            <w:r>
              <w:rPr>
                <w:rFonts w:ascii="宋体" w:hAnsi="宋体" w:eastAsia="宋体" w:cs="Times New Roman"/>
                <w:color w:val="auto"/>
              </w:rPr>
              <w:t>0.2</w:t>
            </w:r>
          </w:p>
        </w:tc>
        <w:tc>
          <w:tcPr>
            <w:tcW w:w="1632" w:type="dxa"/>
            <w:tcBorders>
              <w:right w:val="single" w:color="000000" w:sz="10" w:space="0"/>
            </w:tcBorders>
          </w:tcPr>
          <w:p w14:paraId="388528BF">
            <w:pPr>
              <w:spacing w:line="320" w:lineRule="exact"/>
              <w:jc w:val="center"/>
              <w:rPr>
                <w:rFonts w:ascii="宋体" w:hAnsi="宋体" w:eastAsia="宋体" w:cs="Times New Roman"/>
                <w:color w:val="auto"/>
              </w:rPr>
            </w:pPr>
            <w:r>
              <w:rPr>
                <w:rFonts w:ascii="宋体" w:hAnsi="宋体" w:eastAsia="宋体" w:cs="Times New Roman"/>
                <w:color w:val="auto"/>
              </w:rPr>
              <w:t>0.5</w:t>
            </w:r>
          </w:p>
        </w:tc>
        <w:tc>
          <w:tcPr>
            <w:tcW w:w="1632" w:type="dxa"/>
            <w:tcBorders>
              <w:right w:val="single" w:color="000000" w:sz="10" w:space="0"/>
            </w:tcBorders>
          </w:tcPr>
          <w:p w14:paraId="6778FEC0">
            <w:pPr>
              <w:spacing w:line="320" w:lineRule="exact"/>
              <w:jc w:val="center"/>
              <w:rPr>
                <w:rFonts w:ascii="宋体" w:hAnsi="宋体" w:eastAsia="宋体" w:cs="Times New Roman"/>
                <w:color w:val="auto"/>
              </w:rPr>
            </w:pPr>
            <w:r>
              <w:rPr>
                <w:rFonts w:ascii="宋体" w:hAnsi="宋体" w:eastAsia="宋体" w:cs="Times New Roman"/>
                <w:color w:val="auto"/>
              </w:rPr>
              <w:t>0.2</w:t>
            </w:r>
          </w:p>
        </w:tc>
      </w:tr>
      <w:tr w14:paraId="695DD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3EF0AF05">
            <w:pPr>
              <w:spacing w:line="320" w:lineRule="exact"/>
              <w:jc w:val="center"/>
              <w:rPr>
                <w:rFonts w:ascii="宋体" w:hAnsi="宋体" w:eastAsia="宋体" w:cs="Times New Roman"/>
                <w:color w:val="auto"/>
              </w:rPr>
            </w:pPr>
            <w:r>
              <w:rPr>
                <w:rFonts w:ascii="宋体" w:hAnsi="宋体" w:eastAsia="宋体" w:cs="Times New Roman"/>
                <w:color w:val="auto"/>
              </w:rPr>
              <w:t>9</w:t>
            </w:r>
          </w:p>
        </w:tc>
        <w:tc>
          <w:tcPr>
            <w:tcW w:w="1516" w:type="dxa"/>
            <w:vAlign w:val="center"/>
          </w:tcPr>
          <w:p w14:paraId="32773B0B">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2320E1E0">
            <w:pPr>
              <w:spacing w:line="320" w:lineRule="exact"/>
              <w:jc w:val="center"/>
              <w:rPr>
                <w:rFonts w:ascii="宋体" w:hAnsi="宋体" w:eastAsia="宋体" w:cs="Times New Roman"/>
                <w:color w:val="auto"/>
              </w:rPr>
            </w:pPr>
            <w:r>
              <w:rPr>
                <w:rFonts w:ascii="宋体" w:hAnsi="宋体" w:eastAsia="宋体" w:cs="Times New Roman"/>
                <w:color w:val="auto"/>
              </w:rPr>
              <w:t>九月</w:t>
            </w:r>
          </w:p>
        </w:tc>
        <w:tc>
          <w:tcPr>
            <w:tcW w:w="1632" w:type="dxa"/>
            <w:tcBorders>
              <w:right w:val="single" w:color="000000" w:sz="10" w:space="0"/>
            </w:tcBorders>
            <w:vAlign w:val="center"/>
          </w:tcPr>
          <w:p w14:paraId="3F860FCA">
            <w:pPr>
              <w:spacing w:line="320" w:lineRule="exact"/>
              <w:jc w:val="center"/>
              <w:rPr>
                <w:rFonts w:ascii="宋体" w:hAnsi="宋体" w:eastAsia="宋体" w:cs="Times New Roman"/>
                <w:color w:val="auto"/>
              </w:rPr>
            </w:pPr>
            <w:r>
              <w:rPr>
                <w:rFonts w:ascii="宋体" w:hAnsi="宋体" w:eastAsia="宋体" w:cs="Times New Roman"/>
                <w:color w:val="auto"/>
              </w:rPr>
              <w:t>0.18</w:t>
            </w:r>
          </w:p>
        </w:tc>
        <w:tc>
          <w:tcPr>
            <w:tcW w:w="1632" w:type="dxa"/>
            <w:tcBorders>
              <w:right w:val="single" w:color="000000" w:sz="10" w:space="0"/>
            </w:tcBorders>
          </w:tcPr>
          <w:p w14:paraId="151881D1">
            <w:pPr>
              <w:spacing w:line="320" w:lineRule="exact"/>
              <w:jc w:val="center"/>
              <w:rPr>
                <w:rFonts w:ascii="宋体" w:hAnsi="宋体" w:eastAsia="宋体" w:cs="Times New Roman"/>
                <w:color w:val="auto"/>
              </w:rPr>
            </w:pPr>
            <w:r>
              <w:rPr>
                <w:rFonts w:ascii="宋体" w:hAnsi="宋体" w:eastAsia="宋体" w:cs="Times New Roman"/>
                <w:color w:val="auto"/>
              </w:rPr>
              <w:t>0.7</w:t>
            </w:r>
          </w:p>
        </w:tc>
        <w:tc>
          <w:tcPr>
            <w:tcW w:w="1632" w:type="dxa"/>
            <w:tcBorders>
              <w:right w:val="single" w:color="000000" w:sz="10" w:space="0"/>
            </w:tcBorders>
          </w:tcPr>
          <w:p w14:paraId="6838E2B3">
            <w:pPr>
              <w:spacing w:line="320" w:lineRule="exact"/>
              <w:jc w:val="center"/>
              <w:rPr>
                <w:rFonts w:ascii="宋体" w:hAnsi="宋体" w:eastAsia="宋体" w:cs="Times New Roman"/>
                <w:color w:val="auto"/>
              </w:rPr>
            </w:pPr>
            <w:r>
              <w:rPr>
                <w:rFonts w:ascii="宋体" w:hAnsi="宋体" w:eastAsia="宋体" w:cs="Times New Roman"/>
                <w:color w:val="auto"/>
              </w:rPr>
              <w:t>0.05</w:t>
            </w:r>
          </w:p>
        </w:tc>
      </w:tr>
      <w:tr w14:paraId="091AA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5097024F">
            <w:pPr>
              <w:spacing w:line="320" w:lineRule="exact"/>
              <w:jc w:val="center"/>
              <w:rPr>
                <w:rFonts w:ascii="宋体" w:hAnsi="宋体" w:eastAsia="宋体" w:cs="Times New Roman"/>
                <w:color w:val="auto"/>
              </w:rPr>
            </w:pPr>
            <w:r>
              <w:rPr>
                <w:rFonts w:ascii="宋体" w:hAnsi="宋体" w:eastAsia="宋体" w:cs="Times New Roman"/>
                <w:color w:val="auto"/>
              </w:rPr>
              <w:t>10</w:t>
            </w:r>
          </w:p>
        </w:tc>
        <w:tc>
          <w:tcPr>
            <w:tcW w:w="1516" w:type="dxa"/>
            <w:vAlign w:val="center"/>
          </w:tcPr>
          <w:p w14:paraId="4C40606C">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5CBFF343">
            <w:pPr>
              <w:spacing w:line="320" w:lineRule="exact"/>
              <w:jc w:val="center"/>
              <w:rPr>
                <w:rFonts w:ascii="宋体" w:hAnsi="宋体" w:eastAsia="宋体" w:cs="Times New Roman"/>
                <w:color w:val="auto"/>
              </w:rPr>
            </w:pPr>
            <w:r>
              <w:rPr>
                <w:rFonts w:ascii="宋体" w:hAnsi="宋体" w:eastAsia="宋体" w:cs="Times New Roman"/>
                <w:color w:val="auto"/>
              </w:rPr>
              <w:t>十月</w:t>
            </w:r>
          </w:p>
        </w:tc>
        <w:tc>
          <w:tcPr>
            <w:tcW w:w="1632" w:type="dxa"/>
            <w:tcBorders>
              <w:right w:val="single" w:color="000000" w:sz="10" w:space="0"/>
            </w:tcBorders>
            <w:vAlign w:val="center"/>
          </w:tcPr>
          <w:p w14:paraId="4AE43DFC">
            <w:pPr>
              <w:spacing w:line="320" w:lineRule="exact"/>
              <w:jc w:val="center"/>
              <w:rPr>
                <w:rFonts w:ascii="宋体" w:hAnsi="宋体" w:eastAsia="宋体" w:cs="Times New Roman"/>
                <w:color w:val="auto"/>
              </w:rPr>
            </w:pPr>
            <w:r>
              <w:rPr>
                <w:rFonts w:ascii="宋体" w:hAnsi="宋体" w:eastAsia="宋体" w:cs="Times New Roman"/>
                <w:color w:val="auto"/>
              </w:rPr>
              <w:t>0.18</w:t>
            </w:r>
          </w:p>
        </w:tc>
        <w:tc>
          <w:tcPr>
            <w:tcW w:w="1632" w:type="dxa"/>
            <w:tcBorders>
              <w:right w:val="single" w:color="000000" w:sz="10" w:space="0"/>
            </w:tcBorders>
          </w:tcPr>
          <w:p w14:paraId="312AD4EC">
            <w:pPr>
              <w:spacing w:line="320" w:lineRule="exact"/>
              <w:jc w:val="center"/>
              <w:rPr>
                <w:rFonts w:ascii="宋体" w:hAnsi="宋体" w:eastAsia="宋体" w:cs="Times New Roman"/>
                <w:color w:val="auto"/>
              </w:rPr>
            </w:pPr>
            <w:r>
              <w:rPr>
                <w:rFonts w:ascii="宋体" w:hAnsi="宋体" w:eastAsia="宋体" w:cs="Times New Roman"/>
                <w:color w:val="auto"/>
              </w:rPr>
              <w:t>0.7</w:t>
            </w:r>
          </w:p>
        </w:tc>
        <w:tc>
          <w:tcPr>
            <w:tcW w:w="1632" w:type="dxa"/>
            <w:tcBorders>
              <w:right w:val="single" w:color="000000" w:sz="10" w:space="0"/>
            </w:tcBorders>
          </w:tcPr>
          <w:p w14:paraId="53373C8C">
            <w:pPr>
              <w:spacing w:line="320" w:lineRule="exact"/>
              <w:jc w:val="center"/>
              <w:rPr>
                <w:rFonts w:ascii="宋体" w:hAnsi="宋体" w:eastAsia="宋体" w:cs="Times New Roman"/>
                <w:color w:val="auto"/>
              </w:rPr>
            </w:pPr>
            <w:r>
              <w:rPr>
                <w:rFonts w:ascii="宋体" w:hAnsi="宋体" w:eastAsia="宋体" w:cs="Times New Roman"/>
                <w:color w:val="auto"/>
              </w:rPr>
              <w:t>0.05</w:t>
            </w:r>
          </w:p>
        </w:tc>
      </w:tr>
      <w:tr w14:paraId="1DE3A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5E6E3ADE">
            <w:pPr>
              <w:spacing w:line="320" w:lineRule="exact"/>
              <w:jc w:val="center"/>
              <w:rPr>
                <w:rFonts w:ascii="宋体" w:hAnsi="宋体" w:eastAsia="宋体" w:cs="Times New Roman"/>
                <w:color w:val="auto"/>
              </w:rPr>
            </w:pPr>
            <w:r>
              <w:rPr>
                <w:rFonts w:ascii="宋体" w:hAnsi="宋体" w:eastAsia="宋体" w:cs="Times New Roman"/>
                <w:color w:val="auto"/>
              </w:rPr>
              <w:t>11</w:t>
            </w:r>
          </w:p>
        </w:tc>
        <w:tc>
          <w:tcPr>
            <w:tcW w:w="1516" w:type="dxa"/>
            <w:vAlign w:val="center"/>
          </w:tcPr>
          <w:p w14:paraId="45D5501B">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236F0682">
            <w:pPr>
              <w:spacing w:line="320" w:lineRule="exact"/>
              <w:jc w:val="center"/>
              <w:rPr>
                <w:rFonts w:ascii="宋体" w:hAnsi="宋体" w:eastAsia="宋体" w:cs="Times New Roman"/>
                <w:color w:val="auto"/>
              </w:rPr>
            </w:pPr>
            <w:r>
              <w:rPr>
                <w:rFonts w:ascii="宋体" w:hAnsi="宋体" w:eastAsia="宋体" w:cs="Times New Roman"/>
                <w:color w:val="auto"/>
              </w:rPr>
              <w:t>十一月</w:t>
            </w:r>
          </w:p>
        </w:tc>
        <w:tc>
          <w:tcPr>
            <w:tcW w:w="1632" w:type="dxa"/>
            <w:tcBorders>
              <w:right w:val="single" w:color="000000" w:sz="10" w:space="0"/>
            </w:tcBorders>
            <w:vAlign w:val="center"/>
          </w:tcPr>
          <w:p w14:paraId="755975E0">
            <w:pPr>
              <w:spacing w:line="320" w:lineRule="exact"/>
              <w:jc w:val="center"/>
              <w:rPr>
                <w:rFonts w:ascii="宋体" w:hAnsi="宋体" w:eastAsia="宋体" w:cs="Times New Roman"/>
                <w:color w:val="auto"/>
              </w:rPr>
            </w:pPr>
            <w:r>
              <w:rPr>
                <w:rFonts w:ascii="宋体" w:hAnsi="宋体" w:eastAsia="宋体" w:cs="Times New Roman"/>
                <w:color w:val="auto"/>
              </w:rPr>
              <w:t>0.18</w:t>
            </w:r>
          </w:p>
        </w:tc>
        <w:tc>
          <w:tcPr>
            <w:tcW w:w="1632" w:type="dxa"/>
            <w:tcBorders>
              <w:right w:val="single" w:color="000000" w:sz="10" w:space="0"/>
            </w:tcBorders>
          </w:tcPr>
          <w:p w14:paraId="040C0B9D">
            <w:pPr>
              <w:spacing w:line="320" w:lineRule="exact"/>
              <w:jc w:val="center"/>
              <w:rPr>
                <w:rFonts w:ascii="宋体" w:hAnsi="宋体" w:eastAsia="宋体" w:cs="Times New Roman"/>
                <w:color w:val="auto"/>
              </w:rPr>
            </w:pPr>
            <w:r>
              <w:rPr>
                <w:rFonts w:ascii="宋体" w:hAnsi="宋体" w:eastAsia="宋体" w:cs="Times New Roman"/>
                <w:color w:val="auto"/>
              </w:rPr>
              <w:t>0.7</w:t>
            </w:r>
          </w:p>
        </w:tc>
        <w:tc>
          <w:tcPr>
            <w:tcW w:w="1632" w:type="dxa"/>
            <w:tcBorders>
              <w:right w:val="single" w:color="000000" w:sz="10" w:space="0"/>
            </w:tcBorders>
          </w:tcPr>
          <w:p w14:paraId="5D26359D">
            <w:pPr>
              <w:spacing w:line="320" w:lineRule="exact"/>
              <w:jc w:val="center"/>
              <w:rPr>
                <w:rFonts w:ascii="宋体" w:hAnsi="宋体" w:eastAsia="宋体" w:cs="Times New Roman"/>
                <w:color w:val="auto"/>
              </w:rPr>
            </w:pPr>
            <w:r>
              <w:rPr>
                <w:rFonts w:ascii="宋体" w:hAnsi="宋体" w:eastAsia="宋体" w:cs="Times New Roman"/>
                <w:color w:val="auto"/>
              </w:rPr>
              <w:t>0.05</w:t>
            </w:r>
          </w:p>
        </w:tc>
      </w:tr>
      <w:tr w14:paraId="08D49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136" w:type="dxa"/>
            <w:vAlign w:val="center"/>
          </w:tcPr>
          <w:p w14:paraId="42BCE96A">
            <w:pPr>
              <w:spacing w:line="320" w:lineRule="exact"/>
              <w:jc w:val="center"/>
              <w:rPr>
                <w:rFonts w:ascii="宋体" w:hAnsi="宋体" w:eastAsia="宋体" w:cs="Times New Roman"/>
                <w:color w:val="auto"/>
              </w:rPr>
            </w:pPr>
            <w:r>
              <w:rPr>
                <w:rFonts w:ascii="宋体" w:hAnsi="宋体" w:eastAsia="宋体" w:cs="Times New Roman"/>
                <w:color w:val="auto"/>
              </w:rPr>
              <w:t>12</w:t>
            </w:r>
          </w:p>
        </w:tc>
        <w:tc>
          <w:tcPr>
            <w:tcW w:w="1516" w:type="dxa"/>
            <w:vAlign w:val="center"/>
          </w:tcPr>
          <w:p w14:paraId="6453689D">
            <w:pPr>
              <w:spacing w:line="320" w:lineRule="exact"/>
              <w:jc w:val="center"/>
              <w:rPr>
                <w:rFonts w:ascii="宋体" w:hAnsi="宋体" w:eastAsia="宋体" w:cs="Times New Roman"/>
                <w:color w:val="auto"/>
              </w:rPr>
            </w:pPr>
            <w:r>
              <w:rPr>
                <w:rFonts w:ascii="宋体" w:hAnsi="宋体" w:eastAsia="宋体" w:cs="Times New Roman"/>
                <w:color w:val="auto"/>
              </w:rPr>
              <w:t>0-360</w:t>
            </w:r>
          </w:p>
        </w:tc>
        <w:tc>
          <w:tcPr>
            <w:tcW w:w="1507" w:type="dxa"/>
            <w:vAlign w:val="center"/>
          </w:tcPr>
          <w:p w14:paraId="6EE13875">
            <w:pPr>
              <w:spacing w:line="320" w:lineRule="exact"/>
              <w:jc w:val="center"/>
              <w:rPr>
                <w:rFonts w:ascii="宋体" w:hAnsi="宋体" w:eastAsia="宋体" w:cs="Times New Roman"/>
                <w:color w:val="auto"/>
              </w:rPr>
            </w:pPr>
            <w:r>
              <w:rPr>
                <w:rFonts w:ascii="宋体" w:hAnsi="宋体" w:eastAsia="宋体" w:cs="Times New Roman"/>
                <w:color w:val="auto"/>
              </w:rPr>
              <w:t>十二月</w:t>
            </w:r>
          </w:p>
        </w:tc>
        <w:tc>
          <w:tcPr>
            <w:tcW w:w="1632" w:type="dxa"/>
            <w:tcBorders>
              <w:right w:val="single" w:color="000000" w:sz="10" w:space="0"/>
            </w:tcBorders>
            <w:vAlign w:val="center"/>
          </w:tcPr>
          <w:p w14:paraId="513FD025">
            <w:pPr>
              <w:spacing w:line="320" w:lineRule="exact"/>
              <w:jc w:val="center"/>
              <w:rPr>
                <w:rFonts w:ascii="宋体" w:hAnsi="宋体" w:eastAsia="宋体" w:cs="Times New Roman"/>
                <w:color w:val="auto"/>
              </w:rPr>
            </w:pPr>
            <w:r>
              <w:rPr>
                <w:rFonts w:ascii="宋体" w:hAnsi="宋体" w:eastAsia="宋体" w:cs="Times New Roman"/>
                <w:color w:val="auto"/>
              </w:rPr>
              <w:t>0.6</w:t>
            </w:r>
          </w:p>
        </w:tc>
        <w:tc>
          <w:tcPr>
            <w:tcW w:w="1632" w:type="dxa"/>
            <w:tcBorders>
              <w:right w:val="single" w:color="000000" w:sz="10" w:space="0"/>
            </w:tcBorders>
          </w:tcPr>
          <w:p w14:paraId="18210E29">
            <w:pPr>
              <w:spacing w:line="320" w:lineRule="exact"/>
              <w:jc w:val="center"/>
              <w:rPr>
                <w:rFonts w:ascii="宋体" w:hAnsi="宋体" w:eastAsia="宋体" w:cs="Times New Roman"/>
                <w:color w:val="auto"/>
              </w:rPr>
            </w:pPr>
            <w:r>
              <w:rPr>
                <w:rFonts w:ascii="宋体" w:hAnsi="宋体" w:eastAsia="宋体" w:cs="Times New Roman"/>
                <w:color w:val="auto"/>
              </w:rPr>
              <w:t>1.5</w:t>
            </w:r>
          </w:p>
        </w:tc>
        <w:tc>
          <w:tcPr>
            <w:tcW w:w="1632" w:type="dxa"/>
            <w:tcBorders>
              <w:right w:val="single" w:color="000000" w:sz="10" w:space="0"/>
            </w:tcBorders>
          </w:tcPr>
          <w:p w14:paraId="4728F1E4">
            <w:pPr>
              <w:spacing w:line="320" w:lineRule="exact"/>
              <w:jc w:val="center"/>
              <w:rPr>
                <w:rFonts w:ascii="宋体" w:hAnsi="宋体" w:eastAsia="宋体" w:cs="Times New Roman"/>
                <w:color w:val="auto"/>
              </w:rPr>
            </w:pPr>
            <w:r>
              <w:rPr>
                <w:rFonts w:ascii="宋体" w:hAnsi="宋体" w:eastAsia="宋体" w:cs="Times New Roman"/>
                <w:color w:val="auto"/>
              </w:rPr>
              <w:t>0.01</w:t>
            </w:r>
          </w:p>
        </w:tc>
      </w:tr>
    </w:tbl>
    <w:p w14:paraId="40A53109">
      <w:pPr>
        <w:pStyle w:val="276"/>
        <w:widowControl w:val="0"/>
        <w:ind w:firstLine="480"/>
        <w:jc w:val="both"/>
        <w:rPr>
          <w:color w:val="auto"/>
          <w:lang w:val="zh-CN"/>
        </w:rPr>
      </w:pPr>
    </w:p>
    <w:p w14:paraId="5FC24953">
      <w:pPr>
        <w:pStyle w:val="276"/>
        <w:widowControl w:val="0"/>
        <w:ind w:firstLine="480"/>
        <w:jc w:val="both"/>
        <w:rPr>
          <w:color w:val="auto"/>
          <w:lang w:val="zh-CN"/>
        </w:rPr>
      </w:pPr>
      <w:r>
        <w:rPr>
          <w:color w:val="auto"/>
          <w:lang w:val="zh-CN"/>
        </w:rPr>
        <w:t>（4）环境空气保护目标及网格点</w:t>
      </w:r>
      <w:r>
        <w:rPr>
          <w:color w:val="auto"/>
          <w:lang w:bidi="zh-CN"/>
        </w:rPr>
        <w:t>环境质量</w:t>
      </w:r>
      <w:r>
        <w:rPr>
          <w:color w:val="auto"/>
          <w:lang w:val="zh-CN"/>
        </w:rPr>
        <w:t>现状浓度</w:t>
      </w:r>
    </w:p>
    <w:p w14:paraId="3B83D4FC">
      <w:pPr>
        <w:pStyle w:val="276"/>
        <w:widowControl w:val="0"/>
        <w:ind w:firstLine="480"/>
        <w:jc w:val="both"/>
        <w:rPr>
          <w:color w:val="auto"/>
          <w:lang w:val="zh-CN"/>
        </w:rPr>
      </w:pPr>
      <w:r>
        <w:rPr>
          <w:color w:val="auto"/>
          <w:lang w:val="zh-CN"/>
        </w:rPr>
        <w:t>对于区块NMHC采用1个点位补充监测数据（</w:t>
      </w:r>
      <w:r>
        <w:rPr>
          <w:color w:val="auto"/>
        </w:rPr>
        <w:t>可怜屯</w:t>
      </w:r>
      <w:r>
        <w:rPr>
          <w:color w:val="auto"/>
          <w:lang w:val="zh-CN"/>
        </w:rPr>
        <w:t>）作为环境空气保护目标及网格点环境质量现状浓度，首先计算相同时刻各监测点位</w:t>
      </w:r>
      <w:r>
        <w:rPr>
          <w:color w:val="auto"/>
          <w:lang w:bidi="zh-CN"/>
        </w:rPr>
        <w:t>平均值</w:t>
      </w:r>
      <w:r>
        <w:rPr>
          <w:color w:val="auto"/>
          <w:lang w:val="zh-CN"/>
        </w:rPr>
        <w:t>，再取各监测时段平均值中的最大值作为环境空气保护目标及网格点环境质量现状浓度。</w:t>
      </w:r>
    </w:p>
    <w:p w14:paraId="4B8EAD99">
      <w:pPr>
        <w:pStyle w:val="276"/>
        <w:widowControl w:val="0"/>
        <w:spacing w:line="440" w:lineRule="exact"/>
        <w:ind w:firstLine="0" w:firstLineChars="0"/>
        <w:jc w:val="center"/>
        <w:rPr>
          <w:color w:val="auto"/>
          <w:lang w:val="zh-CN"/>
        </w:rPr>
      </w:pPr>
      <w:r>
        <w:rPr>
          <w:color w:val="auto"/>
          <w:lang w:val="zh-CN"/>
        </w:rPr>
        <w:t>表5.1-13 预测背景值</w:t>
      </w:r>
    </w:p>
    <w:tbl>
      <w:tblPr>
        <w:tblStyle w:val="172"/>
        <w:tblW w:w="905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778"/>
        <w:gridCol w:w="1054"/>
        <w:gridCol w:w="1842"/>
        <w:gridCol w:w="4381"/>
      </w:tblGrid>
      <w:tr w14:paraId="7C52A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778" w:type="dxa"/>
            <w:vAlign w:val="center"/>
          </w:tcPr>
          <w:p w14:paraId="3BA6AF8F">
            <w:pPr>
              <w:spacing w:line="320" w:lineRule="exact"/>
              <w:jc w:val="center"/>
              <w:rPr>
                <w:rFonts w:ascii="宋体" w:hAnsi="宋体" w:eastAsia="宋体" w:cs="Times New Roman"/>
                <w:color w:val="auto"/>
              </w:rPr>
            </w:pPr>
            <w:r>
              <w:rPr>
                <w:rFonts w:ascii="宋体" w:hAnsi="宋体" w:eastAsia="宋体" w:cs="Times New Roman"/>
                <w:color w:val="auto"/>
              </w:rPr>
              <w:t>预测因子</w:t>
            </w:r>
          </w:p>
        </w:tc>
        <w:tc>
          <w:tcPr>
            <w:tcW w:w="1054" w:type="dxa"/>
            <w:vAlign w:val="center"/>
          </w:tcPr>
          <w:p w14:paraId="04A9C6C9">
            <w:pPr>
              <w:spacing w:line="320" w:lineRule="exact"/>
              <w:jc w:val="center"/>
              <w:rPr>
                <w:rFonts w:ascii="宋体" w:hAnsi="宋体" w:eastAsia="宋体" w:cs="Times New Roman"/>
                <w:color w:val="auto"/>
              </w:rPr>
            </w:pPr>
            <w:r>
              <w:rPr>
                <w:rFonts w:ascii="宋体" w:hAnsi="宋体" w:eastAsia="宋体" w:cs="Times New Roman"/>
                <w:color w:val="auto"/>
              </w:rPr>
              <w:t>类型</w:t>
            </w:r>
          </w:p>
        </w:tc>
        <w:tc>
          <w:tcPr>
            <w:tcW w:w="1842" w:type="dxa"/>
            <w:vAlign w:val="center"/>
          </w:tcPr>
          <w:p w14:paraId="003BCB97">
            <w:pPr>
              <w:spacing w:line="320" w:lineRule="exact"/>
              <w:jc w:val="center"/>
              <w:rPr>
                <w:rFonts w:ascii="宋体" w:hAnsi="宋体" w:eastAsia="宋体" w:cs="Times New Roman"/>
                <w:color w:val="auto"/>
              </w:rPr>
            </w:pPr>
            <w:r>
              <w:rPr>
                <w:rFonts w:ascii="宋体" w:hAnsi="宋体" w:eastAsia="宋体" w:cs="Times New Roman"/>
                <w:color w:val="auto"/>
              </w:rPr>
              <w:t>背景值µg/m</w:t>
            </w:r>
            <w:r>
              <w:rPr>
                <w:rFonts w:ascii="宋体" w:hAnsi="宋体" w:eastAsia="宋体" w:cs="Times New Roman"/>
                <w:color w:val="auto"/>
                <w:vertAlign w:val="superscript"/>
              </w:rPr>
              <w:t>3</w:t>
            </w:r>
          </w:p>
        </w:tc>
        <w:tc>
          <w:tcPr>
            <w:tcW w:w="4381" w:type="dxa"/>
            <w:tcBorders>
              <w:right w:val="single" w:color="000000" w:sz="10" w:space="0"/>
            </w:tcBorders>
            <w:vAlign w:val="center"/>
          </w:tcPr>
          <w:p w14:paraId="10FE06AC">
            <w:pPr>
              <w:spacing w:line="320" w:lineRule="exact"/>
              <w:jc w:val="center"/>
              <w:rPr>
                <w:rFonts w:ascii="宋体" w:hAnsi="宋体" w:eastAsia="宋体" w:cs="Times New Roman"/>
                <w:color w:val="auto"/>
              </w:rPr>
            </w:pPr>
            <w:r>
              <w:rPr>
                <w:rFonts w:ascii="宋体" w:hAnsi="宋体" w:eastAsia="宋体" w:cs="Times New Roman"/>
                <w:color w:val="auto"/>
              </w:rPr>
              <w:t>来源</w:t>
            </w:r>
          </w:p>
        </w:tc>
      </w:tr>
      <w:tr w14:paraId="25E6D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778" w:type="dxa"/>
            <w:vAlign w:val="center"/>
          </w:tcPr>
          <w:p w14:paraId="0A86A276">
            <w:pPr>
              <w:spacing w:line="320" w:lineRule="exact"/>
              <w:jc w:val="center"/>
              <w:rPr>
                <w:rFonts w:ascii="宋体" w:hAnsi="宋体" w:eastAsia="宋体" w:cs="Times New Roman"/>
                <w:color w:val="auto"/>
              </w:rPr>
            </w:pPr>
            <w:r>
              <w:rPr>
                <w:rFonts w:ascii="宋体" w:hAnsi="宋体" w:eastAsia="宋体" w:cs="Times New Roman"/>
                <w:color w:val="auto"/>
              </w:rPr>
              <w:t>NMHC</w:t>
            </w:r>
          </w:p>
        </w:tc>
        <w:tc>
          <w:tcPr>
            <w:tcW w:w="1054" w:type="dxa"/>
            <w:vAlign w:val="center"/>
          </w:tcPr>
          <w:p w14:paraId="6A134149">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842" w:type="dxa"/>
            <w:vAlign w:val="center"/>
          </w:tcPr>
          <w:p w14:paraId="7FBC851A">
            <w:pPr>
              <w:spacing w:line="320" w:lineRule="exact"/>
              <w:jc w:val="center"/>
              <w:rPr>
                <w:rFonts w:ascii="宋体" w:hAnsi="宋体" w:eastAsia="宋体" w:cs="Times New Roman"/>
                <w:color w:val="auto"/>
              </w:rPr>
            </w:pPr>
            <w:r>
              <w:rPr>
                <w:rFonts w:hint="eastAsia" w:ascii="宋体" w:hAnsi="宋体" w:eastAsia="宋体" w:cs="Times New Roman"/>
                <w:color w:val="auto"/>
              </w:rPr>
              <w:t>660</w:t>
            </w:r>
          </w:p>
        </w:tc>
        <w:tc>
          <w:tcPr>
            <w:tcW w:w="4381" w:type="dxa"/>
            <w:tcBorders>
              <w:right w:val="single" w:color="000000" w:sz="10" w:space="0"/>
            </w:tcBorders>
            <w:vAlign w:val="center"/>
          </w:tcPr>
          <w:p w14:paraId="7E4B32BF">
            <w:pPr>
              <w:spacing w:line="320" w:lineRule="exact"/>
              <w:jc w:val="center"/>
              <w:rPr>
                <w:rFonts w:ascii="宋体" w:hAnsi="宋体" w:eastAsia="宋体" w:cs="Times New Roman"/>
                <w:color w:val="auto"/>
              </w:rPr>
            </w:pPr>
            <w:r>
              <w:rPr>
                <w:rFonts w:ascii="宋体" w:hAnsi="宋体" w:eastAsia="宋体" w:cs="Times New Roman"/>
                <w:color w:val="auto"/>
              </w:rPr>
              <w:t>补充监测数据最大值</w:t>
            </w:r>
          </w:p>
        </w:tc>
      </w:tr>
    </w:tbl>
    <w:p w14:paraId="51559C36">
      <w:pPr>
        <w:pStyle w:val="276"/>
        <w:widowControl w:val="0"/>
        <w:ind w:firstLine="480"/>
        <w:jc w:val="both"/>
        <w:rPr>
          <w:color w:val="auto"/>
          <w:lang w:val="zh-CN"/>
        </w:rPr>
      </w:pPr>
    </w:p>
    <w:p w14:paraId="23CA60D8">
      <w:pPr>
        <w:pStyle w:val="276"/>
        <w:widowControl w:val="0"/>
        <w:ind w:firstLine="480"/>
        <w:jc w:val="both"/>
        <w:rPr>
          <w:color w:val="auto"/>
          <w:lang w:val="zh-CN"/>
        </w:rPr>
      </w:pPr>
      <w:r>
        <w:rPr>
          <w:color w:val="auto"/>
          <w:lang w:val="zh-CN"/>
        </w:rPr>
        <w:t>（5）预测范围</w:t>
      </w:r>
    </w:p>
    <w:p w14:paraId="25F1FC10">
      <w:pPr>
        <w:pStyle w:val="276"/>
        <w:widowControl w:val="0"/>
        <w:ind w:firstLine="480"/>
        <w:jc w:val="both"/>
        <w:rPr>
          <w:color w:val="auto"/>
          <w:lang w:val="zh-CN"/>
        </w:rPr>
      </w:pPr>
      <w:r>
        <w:rPr>
          <w:color w:val="auto"/>
          <w:lang w:val="zh-CN"/>
        </w:rPr>
        <w:t>根据导则要求，预测范围应覆盖评价范围，且覆盖各污染物短期浓度贡献值占标率大于10%的区域，根据AERMOD模型预测结果，本项目废气污染物占标率10%最远影响距离不超过2.5km，因此确定本项目预测范围为以井场为</w:t>
      </w:r>
      <w:r>
        <w:rPr>
          <w:color w:val="auto"/>
          <w:lang w:bidi="zh-CN"/>
        </w:rPr>
        <w:t>中心</w:t>
      </w:r>
      <w:r>
        <w:rPr>
          <w:color w:val="auto"/>
          <w:lang w:val="zh-CN"/>
        </w:rPr>
        <w:t>外扩2.5km，尺寸 13800m×11600m的矩形区域。</w:t>
      </w:r>
    </w:p>
    <w:p w14:paraId="4F5FB120">
      <w:pPr>
        <w:pStyle w:val="276"/>
        <w:widowControl w:val="0"/>
        <w:ind w:firstLine="480"/>
        <w:jc w:val="both"/>
        <w:rPr>
          <w:color w:val="auto"/>
          <w:lang w:val="zh-CN"/>
        </w:rPr>
      </w:pPr>
      <w:r>
        <w:rPr>
          <w:color w:val="auto"/>
          <w:lang w:val="zh-CN"/>
        </w:rPr>
        <w:t>（2）预测参数及情景组合</w:t>
      </w:r>
    </w:p>
    <w:p w14:paraId="251B0520">
      <w:pPr>
        <w:pStyle w:val="276"/>
        <w:widowControl w:val="0"/>
        <w:ind w:firstLine="480"/>
        <w:jc w:val="both"/>
        <w:rPr>
          <w:color w:val="auto"/>
          <w:lang w:val="zh-CN"/>
        </w:rPr>
      </w:pPr>
      <w:r>
        <w:rPr>
          <w:color w:val="auto"/>
          <w:lang w:val="zh-CN"/>
        </w:rPr>
        <w:t>1</w:t>
      </w:r>
      <w:r>
        <w:rPr>
          <w:rFonts w:hint="eastAsia"/>
          <w:color w:val="auto"/>
          <w:lang w:val="zh-CN"/>
        </w:rPr>
        <w:t>）</w:t>
      </w:r>
      <w:r>
        <w:rPr>
          <w:color w:val="auto"/>
          <w:lang w:val="zh-CN"/>
        </w:rPr>
        <w:t>预测因子：非甲烷总烃、</w:t>
      </w:r>
      <w:r>
        <w:rPr>
          <w:color w:val="auto"/>
        </w:rPr>
        <w:t>PM</w:t>
      </w:r>
      <w:r>
        <w:rPr>
          <w:color w:val="auto"/>
          <w:vertAlign w:val="subscript"/>
        </w:rPr>
        <w:t>10</w:t>
      </w:r>
      <w:r>
        <w:rPr>
          <w:color w:val="auto"/>
        </w:rPr>
        <w:t>、SO</w:t>
      </w:r>
      <w:r>
        <w:rPr>
          <w:color w:val="auto"/>
          <w:vertAlign w:val="subscript"/>
        </w:rPr>
        <w:t>2</w:t>
      </w:r>
      <w:r>
        <w:rPr>
          <w:color w:val="auto"/>
        </w:rPr>
        <w:t>、氮氧化物</w:t>
      </w:r>
      <w:r>
        <w:rPr>
          <w:color w:val="auto"/>
          <w:lang w:val="zh-CN"/>
        </w:rPr>
        <w:t>；</w:t>
      </w:r>
    </w:p>
    <w:p w14:paraId="18A050B4">
      <w:pPr>
        <w:pStyle w:val="276"/>
        <w:widowControl w:val="0"/>
        <w:ind w:firstLine="480"/>
        <w:jc w:val="both"/>
        <w:rPr>
          <w:color w:val="auto"/>
          <w:lang w:val="zh-CN"/>
        </w:rPr>
      </w:pPr>
      <w:r>
        <w:rPr>
          <w:color w:val="auto"/>
          <w:lang w:val="zh-CN"/>
        </w:rPr>
        <w:t>2</w:t>
      </w:r>
      <w:r>
        <w:rPr>
          <w:rFonts w:hint="eastAsia"/>
          <w:color w:val="auto"/>
          <w:lang w:val="zh-CN"/>
        </w:rPr>
        <w:t>）</w:t>
      </w:r>
      <w:r>
        <w:rPr>
          <w:color w:val="auto"/>
          <w:lang w:val="zh-CN"/>
        </w:rPr>
        <w:t>预测范围：覆盖评价范围，以井场为中心外扩2.5km，</w:t>
      </w:r>
      <w:r>
        <w:rPr>
          <w:color w:val="auto"/>
        </w:rPr>
        <w:t>预测范围总面积约</w:t>
      </w:r>
      <w:r>
        <w:rPr>
          <w:rFonts w:hint="eastAsia"/>
          <w:color w:val="auto"/>
          <w:lang w:bidi="zh-CN"/>
        </w:rPr>
        <w:t>80</w:t>
      </w:r>
      <w:r>
        <w:rPr>
          <w:color w:val="auto"/>
          <w:lang w:bidi="zh-CN"/>
        </w:rPr>
        <w:t>km</w:t>
      </w:r>
      <w:r>
        <w:rPr>
          <w:color w:val="auto"/>
          <w:vertAlign w:val="superscript"/>
          <w:lang w:bidi="zh-CN"/>
        </w:rPr>
        <w:t>2</w:t>
      </w:r>
      <w:r>
        <w:rPr>
          <w:color w:val="auto"/>
          <w:lang w:val="zh-CN"/>
        </w:rPr>
        <w:t>。</w:t>
      </w:r>
    </w:p>
    <w:p w14:paraId="5944C615">
      <w:pPr>
        <w:pStyle w:val="276"/>
        <w:widowControl w:val="0"/>
        <w:ind w:firstLine="480"/>
        <w:jc w:val="both"/>
        <w:rPr>
          <w:color w:val="auto"/>
          <w:lang w:val="zh-CN"/>
        </w:rPr>
      </w:pPr>
      <w:r>
        <w:rPr>
          <w:color w:val="auto"/>
          <w:lang w:val="zh-CN"/>
        </w:rPr>
        <w:t>3</w:t>
      </w:r>
      <w:r>
        <w:rPr>
          <w:rFonts w:hint="eastAsia"/>
          <w:color w:val="auto"/>
          <w:lang w:val="zh-CN"/>
        </w:rPr>
        <w:t>）</w:t>
      </w:r>
      <w:r>
        <w:rPr>
          <w:color w:val="auto"/>
          <w:lang w:val="zh-CN"/>
        </w:rPr>
        <w:t>网格划分：预测网格间距100m。</w:t>
      </w:r>
    </w:p>
    <w:p w14:paraId="3E6FF26A">
      <w:pPr>
        <w:pStyle w:val="276"/>
        <w:widowControl w:val="0"/>
        <w:ind w:firstLine="480"/>
        <w:jc w:val="both"/>
        <w:rPr>
          <w:color w:val="auto"/>
          <w:lang w:val="zh-CN"/>
        </w:rPr>
      </w:pPr>
      <w:r>
        <w:rPr>
          <w:color w:val="auto"/>
          <w:lang w:val="zh-CN"/>
        </w:rPr>
        <w:t>4</w:t>
      </w:r>
      <w:r>
        <w:rPr>
          <w:rFonts w:hint="eastAsia"/>
          <w:color w:val="auto"/>
          <w:lang w:val="zh-CN"/>
        </w:rPr>
        <w:t>）</w:t>
      </w:r>
      <w:r>
        <w:rPr>
          <w:color w:val="auto"/>
          <w:lang w:val="zh-CN"/>
        </w:rPr>
        <w:t>预测周期：根据导则要求，依据评价所需环境空气质量现状、气象资料等数据的可获得性、数据质量、代表性等因素，选择近3年中数据相对</w:t>
      </w:r>
      <w:r>
        <w:rPr>
          <w:color w:val="auto"/>
          <w:lang w:bidi="zh-CN"/>
        </w:rPr>
        <w:t>完整</w:t>
      </w:r>
      <w:r>
        <w:rPr>
          <w:color w:val="auto"/>
          <w:lang w:val="zh-CN"/>
        </w:rPr>
        <w:t>的1个日历年作为评价基准年。因此可选择2024年为评价基准年，预测周期为连续1年。</w:t>
      </w:r>
    </w:p>
    <w:p w14:paraId="67B39DBA">
      <w:pPr>
        <w:pStyle w:val="276"/>
        <w:widowControl w:val="0"/>
        <w:ind w:firstLine="480"/>
        <w:jc w:val="both"/>
        <w:rPr>
          <w:color w:val="auto"/>
          <w:lang w:val="zh-CN"/>
        </w:rPr>
      </w:pPr>
      <w:r>
        <w:rPr>
          <w:color w:val="auto"/>
          <w:lang w:val="zh-CN"/>
        </w:rPr>
        <w:t>5</w:t>
      </w:r>
      <w:r>
        <w:rPr>
          <w:rFonts w:hint="eastAsia"/>
          <w:color w:val="auto"/>
          <w:lang w:val="zh-CN"/>
        </w:rPr>
        <w:t>）</w:t>
      </w:r>
      <w:r>
        <w:rPr>
          <w:color w:val="auto"/>
          <w:lang w:val="zh-CN"/>
        </w:rPr>
        <w:t>敏感点：</w:t>
      </w:r>
      <w:r>
        <w:rPr>
          <w:color w:val="auto"/>
        </w:rPr>
        <w:t>后欧力马屯、四方山屯、刘兽医屯、王家粉坊屯等村屯，具体见表2.7-1。</w:t>
      </w:r>
    </w:p>
    <w:p w14:paraId="70B6E4E0">
      <w:pPr>
        <w:pStyle w:val="276"/>
        <w:widowControl w:val="0"/>
        <w:ind w:firstLine="480"/>
        <w:jc w:val="both"/>
        <w:rPr>
          <w:color w:val="auto"/>
          <w:lang w:val="zh-CN"/>
        </w:rPr>
      </w:pPr>
      <w:r>
        <w:rPr>
          <w:color w:val="auto"/>
          <w:lang w:val="zh-CN"/>
        </w:rPr>
        <w:t>6</w:t>
      </w:r>
      <w:r>
        <w:rPr>
          <w:rFonts w:hint="eastAsia"/>
          <w:color w:val="auto"/>
          <w:lang w:val="zh-CN"/>
        </w:rPr>
        <w:t>）</w:t>
      </w:r>
      <w:r>
        <w:rPr>
          <w:color w:val="auto"/>
          <w:lang w:val="zh-CN"/>
        </w:rPr>
        <w:t>预测与评价内容</w:t>
      </w:r>
    </w:p>
    <w:p w14:paraId="33774C54">
      <w:pPr>
        <w:pStyle w:val="276"/>
        <w:widowControl w:val="0"/>
        <w:ind w:firstLine="480"/>
        <w:jc w:val="both"/>
        <w:rPr>
          <w:color w:val="auto"/>
          <w:lang w:val="zh-CN"/>
        </w:rPr>
      </w:pPr>
      <w:r>
        <w:rPr>
          <w:color w:val="auto"/>
          <w:lang w:val="zh-CN"/>
        </w:rPr>
        <w:t>本评价大气环境影响预测与评价内容见表5.1-14。</w:t>
      </w:r>
    </w:p>
    <w:p w14:paraId="02B7FC2D">
      <w:pPr>
        <w:pStyle w:val="276"/>
        <w:widowControl w:val="0"/>
        <w:spacing w:line="440" w:lineRule="exact"/>
        <w:ind w:firstLine="0" w:firstLineChars="0"/>
        <w:jc w:val="center"/>
        <w:rPr>
          <w:color w:val="auto"/>
        </w:rPr>
      </w:pPr>
      <w:r>
        <w:rPr>
          <w:color w:val="auto"/>
        </w:rPr>
        <w:t xml:space="preserve">表5.1-14   </w:t>
      </w:r>
      <w:r>
        <w:rPr>
          <w:color w:val="auto"/>
          <w:lang w:val="zh-CN"/>
        </w:rPr>
        <w:t>大气环境</w:t>
      </w:r>
      <w:r>
        <w:rPr>
          <w:color w:val="auto"/>
        </w:rPr>
        <w:t>影响预测与评价内容</w:t>
      </w:r>
    </w:p>
    <w:tbl>
      <w:tblPr>
        <w:tblStyle w:val="172"/>
        <w:tblW w:w="928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18"/>
        <w:gridCol w:w="1565"/>
        <w:gridCol w:w="2085"/>
        <w:gridCol w:w="2072"/>
        <w:gridCol w:w="2245"/>
      </w:tblGrid>
      <w:tr w14:paraId="041F3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318" w:type="dxa"/>
            <w:tcBorders>
              <w:left w:val="single" w:color="000000" w:sz="10" w:space="0"/>
            </w:tcBorders>
            <w:vAlign w:val="center"/>
          </w:tcPr>
          <w:p w14:paraId="6751ECAA">
            <w:pPr>
              <w:spacing w:line="320" w:lineRule="exact"/>
              <w:jc w:val="center"/>
              <w:rPr>
                <w:rFonts w:ascii="宋体" w:hAnsi="宋体" w:eastAsia="宋体" w:cs="Times New Roman"/>
                <w:color w:val="auto"/>
              </w:rPr>
            </w:pPr>
            <w:r>
              <w:rPr>
                <w:rFonts w:ascii="宋体" w:hAnsi="宋体" w:eastAsia="宋体" w:cs="Times New Roman"/>
                <w:color w:val="auto"/>
              </w:rPr>
              <w:t>评价对象</w:t>
            </w:r>
          </w:p>
        </w:tc>
        <w:tc>
          <w:tcPr>
            <w:tcW w:w="1565" w:type="dxa"/>
            <w:vAlign w:val="center"/>
          </w:tcPr>
          <w:p w14:paraId="4CF116F1">
            <w:pPr>
              <w:spacing w:line="320" w:lineRule="exact"/>
              <w:jc w:val="center"/>
              <w:rPr>
                <w:rFonts w:ascii="宋体" w:hAnsi="宋体" w:eastAsia="宋体" w:cs="Times New Roman"/>
                <w:color w:val="auto"/>
              </w:rPr>
            </w:pPr>
            <w:r>
              <w:rPr>
                <w:rFonts w:ascii="宋体" w:hAnsi="宋体" w:eastAsia="宋体" w:cs="Times New Roman"/>
                <w:color w:val="auto"/>
              </w:rPr>
              <w:t>污染源</w:t>
            </w:r>
          </w:p>
        </w:tc>
        <w:tc>
          <w:tcPr>
            <w:tcW w:w="2085" w:type="dxa"/>
            <w:vAlign w:val="center"/>
          </w:tcPr>
          <w:p w14:paraId="5809FC95">
            <w:pPr>
              <w:spacing w:line="320" w:lineRule="exact"/>
              <w:jc w:val="center"/>
              <w:rPr>
                <w:rFonts w:ascii="宋体" w:hAnsi="宋体" w:eastAsia="宋体" w:cs="Times New Roman"/>
                <w:color w:val="auto"/>
              </w:rPr>
            </w:pPr>
            <w:r>
              <w:rPr>
                <w:rFonts w:ascii="宋体" w:hAnsi="宋体" w:eastAsia="宋体" w:cs="Times New Roman"/>
                <w:color w:val="auto"/>
              </w:rPr>
              <w:t>污染源排放形式</w:t>
            </w:r>
          </w:p>
        </w:tc>
        <w:tc>
          <w:tcPr>
            <w:tcW w:w="2072" w:type="dxa"/>
            <w:vAlign w:val="center"/>
          </w:tcPr>
          <w:p w14:paraId="122BC296">
            <w:pPr>
              <w:spacing w:line="320" w:lineRule="exact"/>
              <w:jc w:val="center"/>
              <w:rPr>
                <w:rFonts w:ascii="宋体" w:hAnsi="宋体" w:eastAsia="宋体" w:cs="Times New Roman"/>
                <w:color w:val="auto"/>
              </w:rPr>
            </w:pPr>
            <w:r>
              <w:rPr>
                <w:rFonts w:ascii="宋体" w:hAnsi="宋体" w:eastAsia="宋体" w:cs="Times New Roman"/>
                <w:color w:val="auto"/>
              </w:rPr>
              <w:t>预测内容</w:t>
            </w:r>
          </w:p>
        </w:tc>
        <w:tc>
          <w:tcPr>
            <w:tcW w:w="2245" w:type="dxa"/>
            <w:tcBorders>
              <w:right w:val="single" w:color="000000" w:sz="10" w:space="0"/>
            </w:tcBorders>
            <w:vAlign w:val="center"/>
          </w:tcPr>
          <w:p w14:paraId="33D4C1E5">
            <w:pPr>
              <w:spacing w:line="320" w:lineRule="exact"/>
              <w:jc w:val="center"/>
              <w:rPr>
                <w:rFonts w:ascii="宋体" w:hAnsi="宋体" w:eastAsia="宋体" w:cs="Times New Roman"/>
                <w:color w:val="auto"/>
              </w:rPr>
            </w:pPr>
            <w:r>
              <w:rPr>
                <w:rFonts w:ascii="宋体" w:hAnsi="宋体" w:eastAsia="宋体" w:cs="Times New Roman"/>
                <w:color w:val="auto"/>
              </w:rPr>
              <w:t>评价内容</w:t>
            </w:r>
          </w:p>
        </w:tc>
      </w:tr>
      <w:tr w14:paraId="0DB94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318" w:type="dxa"/>
            <w:vMerge w:val="restart"/>
            <w:tcBorders>
              <w:left w:val="single" w:color="000000" w:sz="10" w:space="0"/>
              <w:bottom w:val="nil"/>
            </w:tcBorders>
            <w:vAlign w:val="center"/>
          </w:tcPr>
          <w:p w14:paraId="3D01A4C3">
            <w:pPr>
              <w:spacing w:line="320" w:lineRule="exact"/>
              <w:jc w:val="center"/>
              <w:rPr>
                <w:rFonts w:ascii="宋体" w:hAnsi="宋体" w:eastAsia="宋体" w:cs="Times New Roman"/>
                <w:color w:val="auto"/>
              </w:rPr>
            </w:pPr>
            <w:r>
              <w:rPr>
                <w:rFonts w:ascii="宋体" w:hAnsi="宋体" w:eastAsia="宋体" w:cs="Times New Roman"/>
                <w:color w:val="auto"/>
              </w:rPr>
              <w:t>达标区评价项目</w:t>
            </w:r>
          </w:p>
        </w:tc>
        <w:tc>
          <w:tcPr>
            <w:tcW w:w="1565" w:type="dxa"/>
            <w:vAlign w:val="center"/>
          </w:tcPr>
          <w:p w14:paraId="031AA99B">
            <w:pPr>
              <w:spacing w:line="320" w:lineRule="exact"/>
              <w:jc w:val="center"/>
              <w:rPr>
                <w:rFonts w:ascii="宋体" w:hAnsi="宋体" w:eastAsia="宋体" w:cs="Times New Roman"/>
                <w:color w:val="auto"/>
              </w:rPr>
            </w:pPr>
            <w:r>
              <w:rPr>
                <w:rFonts w:ascii="宋体" w:hAnsi="宋体" w:eastAsia="宋体" w:cs="Times New Roman"/>
                <w:color w:val="auto"/>
              </w:rPr>
              <w:t>新增污染源</w:t>
            </w:r>
          </w:p>
        </w:tc>
        <w:tc>
          <w:tcPr>
            <w:tcW w:w="2085" w:type="dxa"/>
            <w:vAlign w:val="center"/>
          </w:tcPr>
          <w:p w14:paraId="30E94DD7">
            <w:pPr>
              <w:spacing w:line="320" w:lineRule="exact"/>
              <w:jc w:val="center"/>
              <w:rPr>
                <w:rFonts w:ascii="宋体" w:hAnsi="宋体" w:eastAsia="宋体" w:cs="Times New Roman"/>
                <w:color w:val="auto"/>
              </w:rPr>
            </w:pPr>
            <w:r>
              <w:rPr>
                <w:rFonts w:ascii="宋体" w:hAnsi="宋体" w:eastAsia="宋体" w:cs="Times New Roman"/>
                <w:color w:val="auto"/>
              </w:rPr>
              <w:t>正常排放</w:t>
            </w:r>
          </w:p>
        </w:tc>
        <w:tc>
          <w:tcPr>
            <w:tcW w:w="2072" w:type="dxa"/>
            <w:vAlign w:val="center"/>
          </w:tcPr>
          <w:p w14:paraId="015C033C">
            <w:pPr>
              <w:spacing w:line="320" w:lineRule="exact"/>
              <w:jc w:val="center"/>
              <w:rPr>
                <w:rFonts w:ascii="宋体" w:hAnsi="宋体" w:eastAsia="宋体" w:cs="Times New Roman"/>
                <w:color w:val="auto"/>
              </w:rPr>
            </w:pPr>
            <w:r>
              <w:rPr>
                <w:rFonts w:ascii="宋体" w:hAnsi="宋体" w:eastAsia="宋体" w:cs="Times New Roman"/>
                <w:color w:val="auto"/>
              </w:rPr>
              <w:t>短期浓度</w:t>
            </w:r>
          </w:p>
          <w:p w14:paraId="41F4BBE9">
            <w:pPr>
              <w:spacing w:line="320" w:lineRule="exact"/>
              <w:jc w:val="center"/>
              <w:rPr>
                <w:rFonts w:ascii="宋体" w:hAnsi="宋体" w:eastAsia="宋体" w:cs="Times New Roman"/>
                <w:color w:val="auto"/>
              </w:rPr>
            </w:pPr>
            <w:r>
              <w:rPr>
                <w:rFonts w:ascii="宋体" w:hAnsi="宋体" w:eastAsia="宋体" w:cs="Times New Roman"/>
                <w:color w:val="auto"/>
              </w:rPr>
              <w:t>长期浓度</w:t>
            </w:r>
          </w:p>
        </w:tc>
        <w:tc>
          <w:tcPr>
            <w:tcW w:w="2245" w:type="dxa"/>
            <w:tcBorders>
              <w:right w:val="single" w:color="000000" w:sz="10" w:space="0"/>
            </w:tcBorders>
            <w:vAlign w:val="center"/>
          </w:tcPr>
          <w:p w14:paraId="64D9AC71">
            <w:pPr>
              <w:spacing w:line="320" w:lineRule="exact"/>
              <w:jc w:val="center"/>
              <w:rPr>
                <w:rFonts w:ascii="宋体" w:hAnsi="宋体" w:eastAsia="宋体" w:cs="Times New Roman"/>
                <w:color w:val="auto"/>
              </w:rPr>
            </w:pPr>
            <w:r>
              <w:rPr>
                <w:rFonts w:ascii="宋体" w:hAnsi="宋体" w:eastAsia="宋体" w:cs="Times New Roman"/>
                <w:color w:val="auto"/>
              </w:rPr>
              <w:t>最大浓度占标</w:t>
            </w:r>
          </w:p>
        </w:tc>
      </w:tr>
      <w:tr w14:paraId="5EC33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318" w:type="dxa"/>
            <w:vMerge w:val="continue"/>
            <w:tcBorders>
              <w:top w:val="nil"/>
              <w:left w:val="single" w:color="000000" w:sz="10" w:space="0"/>
              <w:bottom w:val="nil"/>
            </w:tcBorders>
            <w:vAlign w:val="center"/>
          </w:tcPr>
          <w:p w14:paraId="17A5EFBA">
            <w:pPr>
              <w:spacing w:line="320" w:lineRule="exact"/>
              <w:jc w:val="center"/>
              <w:rPr>
                <w:rFonts w:ascii="宋体" w:hAnsi="宋体" w:eastAsia="宋体" w:cs="Times New Roman"/>
                <w:color w:val="auto"/>
              </w:rPr>
            </w:pPr>
          </w:p>
        </w:tc>
        <w:tc>
          <w:tcPr>
            <w:tcW w:w="1565" w:type="dxa"/>
            <w:vAlign w:val="center"/>
          </w:tcPr>
          <w:p w14:paraId="53EA733C">
            <w:pPr>
              <w:spacing w:line="320" w:lineRule="exact"/>
              <w:jc w:val="center"/>
              <w:rPr>
                <w:rFonts w:ascii="宋体" w:hAnsi="宋体" w:eastAsia="宋体" w:cs="Times New Roman"/>
                <w:color w:val="auto"/>
              </w:rPr>
            </w:pPr>
            <w:r>
              <w:rPr>
                <w:rFonts w:ascii="宋体" w:hAnsi="宋体" w:eastAsia="宋体" w:cs="Times New Roman"/>
                <w:color w:val="auto"/>
              </w:rPr>
              <w:t>新增污染源</w:t>
            </w:r>
          </w:p>
        </w:tc>
        <w:tc>
          <w:tcPr>
            <w:tcW w:w="2085" w:type="dxa"/>
            <w:vAlign w:val="center"/>
          </w:tcPr>
          <w:p w14:paraId="64539545">
            <w:pPr>
              <w:spacing w:line="320" w:lineRule="exact"/>
              <w:jc w:val="center"/>
              <w:rPr>
                <w:rFonts w:ascii="宋体" w:hAnsi="宋体" w:eastAsia="宋体" w:cs="Times New Roman"/>
                <w:color w:val="auto"/>
              </w:rPr>
            </w:pPr>
            <w:r>
              <w:rPr>
                <w:rFonts w:ascii="宋体" w:hAnsi="宋体" w:eastAsia="宋体" w:cs="Times New Roman"/>
                <w:color w:val="auto"/>
              </w:rPr>
              <w:t>正常排放</w:t>
            </w:r>
          </w:p>
        </w:tc>
        <w:tc>
          <w:tcPr>
            <w:tcW w:w="2072" w:type="dxa"/>
            <w:vAlign w:val="center"/>
          </w:tcPr>
          <w:p w14:paraId="7592550D">
            <w:pPr>
              <w:spacing w:line="320" w:lineRule="exact"/>
              <w:jc w:val="center"/>
              <w:rPr>
                <w:rFonts w:ascii="宋体" w:hAnsi="宋体" w:eastAsia="宋体" w:cs="Times New Roman"/>
                <w:color w:val="auto"/>
              </w:rPr>
            </w:pPr>
            <w:r>
              <w:rPr>
                <w:rFonts w:ascii="宋体" w:hAnsi="宋体" w:eastAsia="宋体" w:cs="Times New Roman"/>
                <w:color w:val="auto"/>
              </w:rPr>
              <w:t>短期浓度</w:t>
            </w:r>
          </w:p>
          <w:p w14:paraId="09D5BD86">
            <w:pPr>
              <w:spacing w:line="320" w:lineRule="exact"/>
              <w:jc w:val="center"/>
              <w:rPr>
                <w:rFonts w:ascii="宋体" w:hAnsi="宋体" w:eastAsia="宋体" w:cs="Times New Roman"/>
                <w:color w:val="auto"/>
              </w:rPr>
            </w:pPr>
            <w:r>
              <w:rPr>
                <w:rFonts w:ascii="宋体" w:hAnsi="宋体" w:eastAsia="宋体" w:cs="Times New Roman"/>
                <w:color w:val="auto"/>
              </w:rPr>
              <w:t>长期浓度</w:t>
            </w:r>
          </w:p>
        </w:tc>
        <w:tc>
          <w:tcPr>
            <w:tcW w:w="2245" w:type="dxa"/>
            <w:tcBorders>
              <w:right w:val="single" w:color="000000" w:sz="10" w:space="0"/>
            </w:tcBorders>
            <w:vAlign w:val="center"/>
          </w:tcPr>
          <w:p w14:paraId="67D48370">
            <w:pPr>
              <w:spacing w:line="320" w:lineRule="exact"/>
              <w:jc w:val="center"/>
              <w:rPr>
                <w:rFonts w:ascii="宋体" w:hAnsi="宋体" w:eastAsia="宋体" w:cs="Times New Roman"/>
                <w:color w:val="auto"/>
              </w:rPr>
            </w:pPr>
            <w:r>
              <w:rPr>
                <w:rFonts w:ascii="宋体" w:hAnsi="宋体" w:eastAsia="宋体" w:cs="Times New Roman"/>
                <w:color w:val="auto"/>
              </w:rPr>
              <w:t>叠加环境质量现状浓度后保证率日平均质量浓度和年平均质量浓度占标率、短期浓度的达标情况</w:t>
            </w:r>
          </w:p>
        </w:tc>
      </w:tr>
      <w:tr w14:paraId="32AA9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318" w:type="dxa"/>
            <w:vMerge w:val="continue"/>
            <w:tcBorders>
              <w:top w:val="nil"/>
              <w:left w:val="single" w:color="000000" w:sz="10" w:space="0"/>
            </w:tcBorders>
            <w:vAlign w:val="center"/>
          </w:tcPr>
          <w:p w14:paraId="0320DA9B">
            <w:pPr>
              <w:spacing w:line="320" w:lineRule="exact"/>
              <w:jc w:val="center"/>
              <w:rPr>
                <w:rFonts w:ascii="宋体" w:hAnsi="宋体" w:eastAsia="宋体" w:cs="Times New Roman"/>
                <w:color w:val="auto"/>
              </w:rPr>
            </w:pPr>
          </w:p>
        </w:tc>
        <w:tc>
          <w:tcPr>
            <w:tcW w:w="1565" w:type="dxa"/>
            <w:vAlign w:val="center"/>
          </w:tcPr>
          <w:p w14:paraId="1E6F22DC">
            <w:pPr>
              <w:spacing w:line="320" w:lineRule="exact"/>
              <w:jc w:val="center"/>
              <w:rPr>
                <w:rFonts w:ascii="宋体" w:hAnsi="宋体" w:eastAsia="宋体" w:cs="Times New Roman"/>
                <w:color w:val="auto"/>
              </w:rPr>
            </w:pPr>
            <w:r>
              <w:rPr>
                <w:rFonts w:ascii="宋体" w:hAnsi="宋体" w:eastAsia="宋体" w:cs="Times New Roman"/>
                <w:color w:val="auto"/>
              </w:rPr>
              <w:t>新增污染源</w:t>
            </w:r>
          </w:p>
        </w:tc>
        <w:tc>
          <w:tcPr>
            <w:tcW w:w="2085" w:type="dxa"/>
            <w:vAlign w:val="center"/>
          </w:tcPr>
          <w:p w14:paraId="28990E65">
            <w:pPr>
              <w:spacing w:line="320" w:lineRule="exact"/>
              <w:jc w:val="center"/>
              <w:rPr>
                <w:rFonts w:ascii="宋体" w:hAnsi="宋体" w:eastAsia="宋体" w:cs="Times New Roman"/>
                <w:color w:val="auto"/>
              </w:rPr>
            </w:pPr>
            <w:r>
              <w:rPr>
                <w:rFonts w:ascii="宋体" w:hAnsi="宋体" w:eastAsia="宋体" w:cs="Times New Roman"/>
                <w:color w:val="auto"/>
              </w:rPr>
              <w:t>非正常排放</w:t>
            </w:r>
          </w:p>
        </w:tc>
        <w:tc>
          <w:tcPr>
            <w:tcW w:w="2072" w:type="dxa"/>
            <w:vAlign w:val="center"/>
          </w:tcPr>
          <w:p w14:paraId="12C9F337">
            <w:pPr>
              <w:spacing w:line="320" w:lineRule="exact"/>
              <w:jc w:val="center"/>
              <w:rPr>
                <w:rFonts w:ascii="宋体" w:hAnsi="宋体" w:eastAsia="宋体" w:cs="Times New Roman"/>
                <w:color w:val="auto"/>
              </w:rPr>
            </w:pPr>
            <w:r>
              <w:rPr>
                <w:rFonts w:ascii="宋体" w:hAnsi="宋体" w:eastAsia="宋体" w:cs="Times New Roman"/>
                <w:color w:val="auto"/>
              </w:rPr>
              <w:t>1h平均质量浓度</w:t>
            </w:r>
          </w:p>
        </w:tc>
        <w:tc>
          <w:tcPr>
            <w:tcW w:w="2245" w:type="dxa"/>
            <w:tcBorders>
              <w:right w:val="single" w:color="000000" w:sz="10" w:space="0"/>
            </w:tcBorders>
            <w:vAlign w:val="center"/>
          </w:tcPr>
          <w:p w14:paraId="68843322">
            <w:pPr>
              <w:spacing w:line="320" w:lineRule="exact"/>
              <w:jc w:val="center"/>
              <w:rPr>
                <w:rFonts w:ascii="宋体" w:hAnsi="宋体" w:eastAsia="宋体" w:cs="Times New Roman"/>
                <w:color w:val="auto"/>
              </w:rPr>
            </w:pPr>
            <w:r>
              <w:rPr>
                <w:rFonts w:ascii="宋体" w:hAnsi="宋体" w:eastAsia="宋体" w:cs="Times New Roman"/>
                <w:color w:val="auto"/>
              </w:rPr>
              <w:t>最大浓度占标率</w:t>
            </w:r>
          </w:p>
        </w:tc>
      </w:tr>
    </w:tbl>
    <w:p w14:paraId="5616E38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大气环境影响预测结果与分析</w:t>
      </w:r>
    </w:p>
    <w:p w14:paraId="47227F7D">
      <w:pPr>
        <w:pStyle w:val="276"/>
        <w:widowControl w:val="0"/>
        <w:ind w:firstLine="480"/>
        <w:jc w:val="both"/>
        <w:rPr>
          <w:color w:val="auto"/>
          <w:lang w:val="zh-CN"/>
        </w:rPr>
      </w:pPr>
      <w:r>
        <w:rPr>
          <w:color w:val="auto"/>
          <w:lang w:val="zh-CN"/>
        </w:rPr>
        <w:t>（1）新增污染源贡献浓度结果</w:t>
      </w:r>
    </w:p>
    <w:p w14:paraId="1181BE06">
      <w:pPr>
        <w:pStyle w:val="276"/>
        <w:widowControl w:val="0"/>
        <w:ind w:firstLine="480"/>
        <w:jc w:val="both"/>
        <w:rPr>
          <w:color w:val="auto"/>
        </w:rPr>
      </w:pPr>
      <w:r>
        <w:rPr>
          <w:color w:val="auto"/>
          <w:lang w:val="zh-CN"/>
        </w:rPr>
        <w:t>本项目主要选取大气环境影响评价范围内的大气环境保护目标进行预测，本评价采用AERMOD推荐模式计算评价范围内区域最大浓度影响值。新增污染源短期浓度和长期浓度占标率统计见表5.1-15，保护目标处新增污染源短期浓度达标情况及叠加后年平均质量浓度占标率结果见表5.1-16，各项污染物贡献浓度分布见图5.1-11～图5.1-19</w:t>
      </w:r>
      <w:r>
        <w:rPr>
          <w:color w:val="auto"/>
        </w:rPr>
        <w:t>。</w:t>
      </w:r>
    </w:p>
    <w:p w14:paraId="396396F7">
      <w:pPr>
        <w:spacing w:line="500" w:lineRule="exact"/>
        <w:jc w:val="center"/>
        <w:rPr>
          <w:rFonts w:ascii="宋体" w:hAnsi="宋体" w:eastAsia="宋体" w:cs="Times New Roman"/>
          <w:color w:val="auto"/>
        </w:rPr>
      </w:pPr>
      <w:r>
        <w:rPr>
          <w:rFonts w:ascii="宋体" w:hAnsi="宋体" w:eastAsia="宋体" w:cs="Times New Roman"/>
          <w:color w:val="auto"/>
        </w:rPr>
        <w:t>表5.1-15   建设项目贡献浓度预测结果表</w:t>
      </w:r>
    </w:p>
    <w:tbl>
      <w:tblPr>
        <w:tblStyle w:val="81"/>
        <w:tblW w:w="9065" w:type="dxa"/>
        <w:tblInd w:w="-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32"/>
        <w:gridCol w:w="1876"/>
        <w:gridCol w:w="1606"/>
        <w:gridCol w:w="2089"/>
        <w:gridCol w:w="1222"/>
        <w:gridCol w:w="1140"/>
      </w:tblGrid>
      <w:tr w14:paraId="0646C3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1132" w:type="dxa"/>
            <w:vAlign w:val="center"/>
          </w:tcPr>
          <w:p w14:paraId="3CA350B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污染物</w:t>
            </w:r>
          </w:p>
        </w:tc>
        <w:tc>
          <w:tcPr>
            <w:tcW w:w="1876" w:type="dxa"/>
            <w:vAlign w:val="center"/>
          </w:tcPr>
          <w:p w14:paraId="605BF476">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预测点</w:t>
            </w:r>
          </w:p>
        </w:tc>
        <w:tc>
          <w:tcPr>
            <w:tcW w:w="1606" w:type="dxa"/>
            <w:vAlign w:val="center"/>
          </w:tcPr>
          <w:p w14:paraId="42BE425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平均时段</w:t>
            </w:r>
          </w:p>
        </w:tc>
        <w:tc>
          <w:tcPr>
            <w:tcW w:w="2089" w:type="dxa"/>
            <w:vAlign w:val="center"/>
          </w:tcPr>
          <w:p w14:paraId="1804A80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最大贡献值/μg/m</w:t>
            </w:r>
            <w:r>
              <w:rPr>
                <w:rFonts w:ascii="宋体" w:hAnsi="宋体" w:eastAsia="宋体" w:cs="Times New Roman"/>
                <w:color w:val="auto"/>
                <w:vertAlign w:val="superscript"/>
              </w:rPr>
              <w:t>3</w:t>
            </w:r>
          </w:p>
        </w:tc>
        <w:tc>
          <w:tcPr>
            <w:tcW w:w="1222" w:type="dxa"/>
            <w:vAlign w:val="center"/>
          </w:tcPr>
          <w:p w14:paraId="05AFD26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lang w:eastAsia="en-US"/>
              </w:rPr>
              <w:t>贡献值占标率%</w:t>
            </w:r>
          </w:p>
        </w:tc>
        <w:tc>
          <w:tcPr>
            <w:tcW w:w="1140" w:type="dxa"/>
            <w:vAlign w:val="center"/>
          </w:tcPr>
          <w:p w14:paraId="45270DB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达标情况</w:t>
            </w:r>
          </w:p>
        </w:tc>
      </w:tr>
      <w:tr w14:paraId="69787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1132" w:type="dxa"/>
            <w:vMerge w:val="restart"/>
            <w:vAlign w:val="center"/>
          </w:tcPr>
          <w:p w14:paraId="63B7CC8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1876" w:type="dxa"/>
            <w:vMerge w:val="restart"/>
            <w:vAlign w:val="center"/>
          </w:tcPr>
          <w:p w14:paraId="1D2E6290">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区域最大值</w:t>
            </w:r>
          </w:p>
        </w:tc>
        <w:tc>
          <w:tcPr>
            <w:tcW w:w="1606" w:type="dxa"/>
            <w:vAlign w:val="center"/>
          </w:tcPr>
          <w:p w14:paraId="1787EA0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1h平均</w:t>
            </w:r>
          </w:p>
        </w:tc>
        <w:tc>
          <w:tcPr>
            <w:tcW w:w="2089" w:type="dxa"/>
            <w:shd w:val="clear" w:color="auto" w:fill="auto"/>
            <w:vAlign w:val="center"/>
          </w:tcPr>
          <w:p w14:paraId="542A05D4">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0.90035</w:t>
            </w:r>
          </w:p>
        </w:tc>
        <w:tc>
          <w:tcPr>
            <w:tcW w:w="1222" w:type="dxa"/>
            <w:shd w:val="clear" w:color="auto" w:fill="auto"/>
            <w:vAlign w:val="center"/>
          </w:tcPr>
          <w:p w14:paraId="6B2E7672">
            <w:pPr>
              <w:jc w:val="center"/>
              <w:textAlignment w:val="center"/>
              <w:rPr>
                <w:rFonts w:ascii="宋体" w:hAnsi="宋体" w:eastAsia="宋体" w:cs="Times New Roman"/>
                <w:color w:val="auto"/>
              </w:rPr>
            </w:pPr>
            <w:r>
              <w:rPr>
                <w:rFonts w:ascii="宋体" w:hAnsi="宋体" w:eastAsia="宋体" w:cs="Times New Roman"/>
                <w:color w:val="auto"/>
                <w:lang w:bidi="ar"/>
              </w:rPr>
              <w:t xml:space="preserve">0.18 </w:t>
            </w:r>
          </w:p>
        </w:tc>
        <w:tc>
          <w:tcPr>
            <w:tcW w:w="1140" w:type="dxa"/>
            <w:vAlign w:val="center"/>
          </w:tcPr>
          <w:p w14:paraId="7082EAD9">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70A05E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1132" w:type="dxa"/>
            <w:vMerge w:val="continue"/>
            <w:vAlign w:val="center"/>
          </w:tcPr>
          <w:p w14:paraId="4D3AD489">
            <w:pPr>
              <w:adjustRightInd w:val="0"/>
              <w:snapToGrid w:val="0"/>
              <w:spacing w:line="320" w:lineRule="exact"/>
              <w:jc w:val="center"/>
              <w:rPr>
                <w:rFonts w:ascii="宋体" w:hAnsi="宋体" w:eastAsia="宋体" w:cs="Times New Roman"/>
                <w:color w:val="auto"/>
              </w:rPr>
            </w:pPr>
          </w:p>
        </w:tc>
        <w:tc>
          <w:tcPr>
            <w:tcW w:w="1876" w:type="dxa"/>
            <w:vMerge w:val="continue"/>
            <w:vAlign w:val="center"/>
          </w:tcPr>
          <w:p w14:paraId="64F8799D">
            <w:pPr>
              <w:adjustRightInd w:val="0"/>
              <w:snapToGrid w:val="0"/>
              <w:spacing w:line="320" w:lineRule="exact"/>
              <w:jc w:val="center"/>
              <w:rPr>
                <w:rFonts w:ascii="宋体" w:hAnsi="宋体" w:eastAsia="宋体" w:cs="Times New Roman"/>
                <w:color w:val="auto"/>
              </w:rPr>
            </w:pPr>
          </w:p>
        </w:tc>
        <w:tc>
          <w:tcPr>
            <w:tcW w:w="1606" w:type="dxa"/>
            <w:vAlign w:val="center"/>
          </w:tcPr>
          <w:p w14:paraId="2B5E60D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24h平均</w:t>
            </w:r>
          </w:p>
        </w:tc>
        <w:tc>
          <w:tcPr>
            <w:tcW w:w="2089" w:type="dxa"/>
            <w:shd w:val="clear" w:color="auto" w:fill="auto"/>
            <w:vAlign w:val="center"/>
          </w:tcPr>
          <w:p w14:paraId="5EB4F12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0.27514</w:t>
            </w:r>
          </w:p>
        </w:tc>
        <w:tc>
          <w:tcPr>
            <w:tcW w:w="1222" w:type="dxa"/>
            <w:shd w:val="clear" w:color="auto" w:fill="auto"/>
            <w:vAlign w:val="center"/>
          </w:tcPr>
          <w:p w14:paraId="5E94BDC9">
            <w:pPr>
              <w:jc w:val="center"/>
              <w:textAlignment w:val="center"/>
              <w:rPr>
                <w:rFonts w:ascii="宋体" w:hAnsi="宋体" w:eastAsia="宋体" w:cs="Times New Roman"/>
                <w:color w:val="auto"/>
              </w:rPr>
            </w:pPr>
            <w:r>
              <w:rPr>
                <w:rFonts w:ascii="宋体" w:hAnsi="宋体" w:eastAsia="宋体" w:cs="Times New Roman"/>
                <w:color w:val="auto"/>
                <w:lang w:bidi="ar"/>
              </w:rPr>
              <w:t xml:space="preserve">0.18 </w:t>
            </w:r>
          </w:p>
        </w:tc>
        <w:tc>
          <w:tcPr>
            <w:tcW w:w="1140" w:type="dxa"/>
            <w:vAlign w:val="center"/>
          </w:tcPr>
          <w:p w14:paraId="0B41A69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4B3BBD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1132" w:type="dxa"/>
            <w:vMerge w:val="continue"/>
            <w:vAlign w:val="center"/>
          </w:tcPr>
          <w:p w14:paraId="53541DB8">
            <w:pPr>
              <w:adjustRightInd w:val="0"/>
              <w:snapToGrid w:val="0"/>
              <w:spacing w:line="320" w:lineRule="exact"/>
              <w:jc w:val="center"/>
              <w:rPr>
                <w:rFonts w:ascii="宋体" w:hAnsi="宋体" w:eastAsia="宋体" w:cs="Times New Roman"/>
                <w:color w:val="auto"/>
              </w:rPr>
            </w:pPr>
          </w:p>
        </w:tc>
        <w:tc>
          <w:tcPr>
            <w:tcW w:w="1876" w:type="dxa"/>
            <w:vMerge w:val="continue"/>
            <w:vAlign w:val="center"/>
          </w:tcPr>
          <w:p w14:paraId="5D0501AB">
            <w:pPr>
              <w:adjustRightInd w:val="0"/>
              <w:snapToGrid w:val="0"/>
              <w:spacing w:line="320" w:lineRule="exact"/>
              <w:jc w:val="center"/>
              <w:rPr>
                <w:rFonts w:ascii="宋体" w:hAnsi="宋体" w:eastAsia="宋体" w:cs="Times New Roman"/>
                <w:color w:val="auto"/>
              </w:rPr>
            </w:pPr>
          </w:p>
        </w:tc>
        <w:tc>
          <w:tcPr>
            <w:tcW w:w="1606" w:type="dxa"/>
            <w:vAlign w:val="center"/>
          </w:tcPr>
          <w:p w14:paraId="241DF78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年平均</w:t>
            </w:r>
          </w:p>
        </w:tc>
        <w:tc>
          <w:tcPr>
            <w:tcW w:w="2089" w:type="dxa"/>
            <w:shd w:val="clear" w:color="auto" w:fill="auto"/>
            <w:vAlign w:val="center"/>
          </w:tcPr>
          <w:p w14:paraId="2CAED4C9">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0.03661</w:t>
            </w:r>
          </w:p>
        </w:tc>
        <w:tc>
          <w:tcPr>
            <w:tcW w:w="1222" w:type="dxa"/>
            <w:shd w:val="clear" w:color="auto" w:fill="auto"/>
            <w:vAlign w:val="center"/>
          </w:tcPr>
          <w:p w14:paraId="4A25E076">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0.06 </w:t>
            </w:r>
          </w:p>
        </w:tc>
        <w:tc>
          <w:tcPr>
            <w:tcW w:w="1140" w:type="dxa"/>
            <w:vAlign w:val="center"/>
          </w:tcPr>
          <w:p w14:paraId="2A20E69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356687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1132" w:type="dxa"/>
            <w:vMerge w:val="restart"/>
            <w:vAlign w:val="center"/>
          </w:tcPr>
          <w:p w14:paraId="4DD04F0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X</w:t>
            </w:r>
          </w:p>
        </w:tc>
        <w:tc>
          <w:tcPr>
            <w:tcW w:w="1876" w:type="dxa"/>
            <w:vMerge w:val="restart"/>
            <w:vAlign w:val="center"/>
          </w:tcPr>
          <w:p w14:paraId="4B756975">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区域最大值</w:t>
            </w:r>
          </w:p>
        </w:tc>
        <w:tc>
          <w:tcPr>
            <w:tcW w:w="1606" w:type="dxa"/>
            <w:vAlign w:val="center"/>
          </w:tcPr>
          <w:p w14:paraId="725B8F2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1h平均</w:t>
            </w:r>
          </w:p>
        </w:tc>
        <w:tc>
          <w:tcPr>
            <w:tcW w:w="2089" w:type="dxa"/>
            <w:shd w:val="clear" w:color="auto" w:fill="auto"/>
            <w:vAlign w:val="center"/>
          </w:tcPr>
          <w:p w14:paraId="3D8EFF3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7.67183</w:t>
            </w:r>
          </w:p>
        </w:tc>
        <w:tc>
          <w:tcPr>
            <w:tcW w:w="1222" w:type="dxa"/>
            <w:shd w:val="clear" w:color="auto" w:fill="auto"/>
            <w:vAlign w:val="center"/>
          </w:tcPr>
          <w:p w14:paraId="31E0CDBF">
            <w:pPr>
              <w:jc w:val="center"/>
              <w:textAlignment w:val="center"/>
              <w:rPr>
                <w:rFonts w:ascii="宋体" w:hAnsi="宋体" w:eastAsia="宋体" w:cs="Times New Roman"/>
                <w:color w:val="auto"/>
              </w:rPr>
            </w:pPr>
            <w:r>
              <w:rPr>
                <w:rFonts w:ascii="宋体" w:hAnsi="宋体" w:eastAsia="宋体" w:cs="Times New Roman"/>
                <w:color w:val="auto"/>
                <w:lang w:bidi="ar"/>
              </w:rPr>
              <w:t xml:space="preserve">3.07 </w:t>
            </w:r>
          </w:p>
        </w:tc>
        <w:tc>
          <w:tcPr>
            <w:tcW w:w="1140" w:type="dxa"/>
            <w:vAlign w:val="center"/>
          </w:tcPr>
          <w:p w14:paraId="1841F52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46360D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1132" w:type="dxa"/>
            <w:vMerge w:val="continue"/>
            <w:vAlign w:val="center"/>
          </w:tcPr>
          <w:p w14:paraId="3970B026">
            <w:pPr>
              <w:adjustRightInd w:val="0"/>
              <w:snapToGrid w:val="0"/>
              <w:spacing w:line="320" w:lineRule="exact"/>
              <w:jc w:val="center"/>
              <w:rPr>
                <w:rFonts w:ascii="宋体" w:hAnsi="宋体" w:eastAsia="宋体" w:cs="Times New Roman"/>
                <w:color w:val="auto"/>
              </w:rPr>
            </w:pPr>
          </w:p>
        </w:tc>
        <w:tc>
          <w:tcPr>
            <w:tcW w:w="1876" w:type="dxa"/>
            <w:vMerge w:val="continue"/>
            <w:vAlign w:val="center"/>
          </w:tcPr>
          <w:p w14:paraId="33227EA4">
            <w:pPr>
              <w:adjustRightInd w:val="0"/>
              <w:snapToGrid w:val="0"/>
              <w:spacing w:line="320" w:lineRule="exact"/>
              <w:jc w:val="center"/>
              <w:rPr>
                <w:rFonts w:ascii="宋体" w:hAnsi="宋体" w:eastAsia="宋体" w:cs="Times New Roman"/>
                <w:color w:val="auto"/>
              </w:rPr>
            </w:pPr>
          </w:p>
        </w:tc>
        <w:tc>
          <w:tcPr>
            <w:tcW w:w="1606" w:type="dxa"/>
            <w:vAlign w:val="center"/>
          </w:tcPr>
          <w:p w14:paraId="4D61357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24h平均</w:t>
            </w:r>
          </w:p>
        </w:tc>
        <w:tc>
          <w:tcPr>
            <w:tcW w:w="2089" w:type="dxa"/>
            <w:shd w:val="clear" w:color="auto" w:fill="auto"/>
            <w:vAlign w:val="center"/>
          </w:tcPr>
          <w:p w14:paraId="254BFE0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2.32072</w:t>
            </w:r>
          </w:p>
        </w:tc>
        <w:tc>
          <w:tcPr>
            <w:tcW w:w="1222" w:type="dxa"/>
            <w:shd w:val="clear" w:color="auto" w:fill="auto"/>
            <w:vAlign w:val="center"/>
          </w:tcPr>
          <w:p w14:paraId="6F5E15EE">
            <w:pPr>
              <w:jc w:val="center"/>
              <w:textAlignment w:val="center"/>
              <w:rPr>
                <w:rFonts w:ascii="宋体" w:hAnsi="宋体" w:eastAsia="宋体" w:cs="Times New Roman"/>
                <w:color w:val="auto"/>
              </w:rPr>
            </w:pPr>
            <w:r>
              <w:rPr>
                <w:rFonts w:ascii="宋体" w:hAnsi="宋体" w:eastAsia="宋体" w:cs="Times New Roman"/>
                <w:color w:val="auto"/>
                <w:lang w:bidi="ar"/>
              </w:rPr>
              <w:t xml:space="preserve">2.32 </w:t>
            </w:r>
          </w:p>
        </w:tc>
        <w:tc>
          <w:tcPr>
            <w:tcW w:w="1140" w:type="dxa"/>
            <w:vAlign w:val="center"/>
          </w:tcPr>
          <w:p w14:paraId="077C4A2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393BED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1132" w:type="dxa"/>
            <w:vMerge w:val="continue"/>
            <w:vAlign w:val="center"/>
          </w:tcPr>
          <w:p w14:paraId="22A11169">
            <w:pPr>
              <w:adjustRightInd w:val="0"/>
              <w:snapToGrid w:val="0"/>
              <w:spacing w:line="320" w:lineRule="exact"/>
              <w:jc w:val="center"/>
              <w:rPr>
                <w:rFonts w:ascii="宋体" w:hAnsi="宋体" w:eastAsia="宋体" w:cs="Times New Roman"/>
                <w:color w:val="auto"/>
              </w:rPr>
            </w:pPr>
          </w:p>
        </w:tc>
        <w:tc>
          <w:tcPr>
            <w:tcW w:w="1876" w:type="dxa"/>
            <w:vMerge w:val="continue"/>
            <w:vAlign w:val="center"/>
          </w:tcPr>
          <w:p w14:paraId="1825ABC2">
            <w:pPr>
              <w:adjustRightInd w:val="0"/>
              <w:snapToGrid w:val="0"/>
              <w:spacing w:line="320" w:lineRule="exact"/>
              <w:jc w:val="center"/>
              <w:rPr>
                <w:rFonts w:ascii="宋体" w:hAnsi="宋体" w:eastAsia="宋体" w:cs="Times New Roman"/>
                <w:color w:val="auto"/>
              </w:rPr>
            </w:pPr>
          </w:p>
        </w:tc>
        <w:tc>
          <w:tcPr>
            <w:tcW w:w="1606" w:type="dxa"/>
            <w:vAlign w:val="center"/>
          </w:tcPr>
          <w:p w14:paraId="783AF74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年平均</w:t>
            </w:r>
          </w:p>
        </w:tc>
        <w:tc>
          <w:tcPr>
            <w:tcW w:w="2089" w:type="dxa"/>
            <w:shd w:val="clear" w:color="auto" w:fill="auto"/>
            <w:vAlign w:val="center"/>
          </w:tcPr>
          <w:p w14:paraId="092E76A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0.31136</w:t>
            </w:r>
          </w:p>
        </w:tc>
        <w:tc>
          <w:tcPr>
            <w:tcW w:w="1222" w:type="dxa"/>
            <w:shd w:val="clear" w:color="auto" w:fill="auto"/>
            <w:vAlign w:val="center"/>
          </w:tcPr>
          <w:p w14:paraId="5689CBBD">
            <w:pPr>
              <w:jc w:val="center"/>
              <w:textAlignment w:val="center"/>
              <w:rPr>
                <w:rFonts w:ascii="宋体" w:hAnsi="宋体" w:eastAsia="宋体" w:cs="Times New Roman"/>
                <w:color w:val="auto"/>
              </w:rPr>
            </w:pPr>
            <w:r>
              <w:rPr>
                <w:rFonts w:ascii="宋体" w:hAnsi="宋体" w:eastAsia="宋体" w:cs="Times New Roman"/>
                <w:color w:val="auto"/>
                <w:lang w:bidi="ar"/>
              </w:rPr>
              <w:t xml:space="preserve">0.62 </w:t>
            </w:r>
          </w:p>
        </w:tc>
        <w:tc>
          <w:tcPr>
            <w:tcW w:w="1140" w:type="dxa"/>
            <w:vAlign w:val="center"/>
          </w:tcPr>
          <w:p w14:paraId="7F59F5E9">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6AE420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1132" w:type="dxa"/>
            <w:vMerge w:val="restart"/>
            <w:vAlign w:val="center"/>
          </w:tcPr>
          <w:p w14:paraId="4B077340">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PM</w:t>
            </w:r>
            <w:r>
              <w:rPr>
                <w:rFonts w:ascii="宋体" w:hAnsi="宋体" w:eastAsia="宋体" w:cs="Times New Roman"/>
                <w:color w:val="auto"/>
                <w:vertAlign w:val="subscript"/>
              </w:rPr>
              <w:t>10</w:t>
            </w:r>
          </w:p>
        </w:tc>
        <w:tc>
          <w:tcPr>
            <w:tcW w:w="1876" w:type="dxa"/>
            <w:vMerge w:val="restart"/>
            <w:vAlign w:val="center"/>
          </w:tcPr>
          <w:p w14:paraId="77DD412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区域最大值</w:t>
            </w:r>
          </w:p>
        </w:tc>
        <w:tc>
          <w:tcPr>
            <w:tcW w:w="1606" w:type="dxa"/>
            <w:vAlign w:val="center"/>
          </w:tcPr>
          <w:p w14:paraId="7E196C60">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24h平均</w:t>
            </w:r>
          </w:p>
        </w:tc>
        <w:tc>
          <w:tcPr>
            <w:tcW w:w="2089" w:type="dxa"/>
            <w:shd w:val="clear" w:color="auto" w:fill="auto"/>
            <w:vAlign w:val="center"/>
          </w:tcPr>
          <w:p w14:paraId="305F9EC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0.27518</w:t>
            </w:r>
          </w:p>
        </w:tc>
        <w:tc>
          <w:tcPr>
            <w:tcW w:w="1222" w:type="dxa"/>
            <w:shd w:val="clear" w:color="auto" w:fill="auto"/>
            <w:vAlign w:val="center"/>
          </w:tcPr>
          <w:p w14:paraId="5F5B1487">
            <w:pPr>
              <w:jc w:val="center"/>
              <w:textAlignment w:val="center"/>
              <w:rPr>
                <w:rFonts w:ascii="宋体" w:hAnsi="宋体" w:eastAsia="宋体" w:cs="Times New Roman"/>
                <w:color w:val="auto"/>
              </w:rPr>
            </w:pPr>
            <w:r>
              <w:rPr>
                <w:rFonts w:ascii="宋体" w:hAnsi="宋体" w:eastAsia="宋体" w:cs="Times New Roman"/>
                <w:color w:val="auto"/>
                <w:lang w:bidi="ar"/>
              </w:rPr>
              <w:t xml:space="preserve">0.18 </w:t>
            </w:r>
          </w:p>
        </w:tc>
        <w:tc>
          <w:tcPr>
            <w:tcW w:w="1140" w:type="dxa"/>
            <w:vAlign w:val="center"/>
          </w:tcPr>
          <w:p w14:paraId="442F6FE3">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45628E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1132" w:type="dxa"/>
            <w:vMerge w:val="continue"/>
            <w:vAlign w:val="center"/>
          </w:tcPr>
          <w:p w14:paraId="4CAF2CC1">
            <w:pPr>
              <w:adjustRightInd w:val="0"/>
              <w:snapToGrid w:val="0"/>
              <w:spacing w:line="320" w:lineRule="exact"/>
              <w:jc w:val="center"/>
              <w:rPr>
                <w:rFonts w:ascii="宋体" w:hAnsi="宋体" w:eastAsia="宋体" w:cs="Times New Roman"/>
                <w:color w:val="auto"/>
              </w:rPr>
            </w:pPr>
          </w:p>
        </w:tc>
        <w:tc>
          <w:tcPr>
            <w:tcW w:w="1876" w:type="dxa"/>
            <w:vMerge w:val="continue"/>
            <w:vAlign w:val="center"/>
          </w:tcPr>
          <w:p w14:paraId="7754B643">
            <w:pPr>
              <w:adjustRightInd w:val="0"/>
              <w:snapToGrid w:val="0"/>
              <w:spacing w:line="320" w:lineRule="exact"/>
              <w:jc w:val="center"/>
              <w:rPr>
                <w:rFonts w:ascii="宋体" w:hAnsi="宋体" w:eastAsia="宋体" w:cs="Times New Roman"/>
                <w:color w:val="auto"/>
              </w:rPr>
            </w:pPr>
          </w:p>
        </w:tc>
        <w:tc>
          <w:tcPr>
            <w:tcW w:w="1606" w:type="dxa"/>
            <w:vAlign w:val="center"/>
          </w:tcPr>
          <w:p w14:paraId="07E1137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年平均</w:t>
            </w:r>
          </w:p>
        </w:tc>
        <w:tc>
          <w:tcPr>
            <w:tcW w:w="2089" w:type="dxa"/>
            <w:shd w:val="clear" w:color="auto" w:fill="auto"/>
            <w:vAlign w:val="center"/>
          </w:tcPr>
          <w:p w14:paraId="60B572A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0.03734</w:t>
            </w:r>
          </w:p>
        </w:tc>
        <w:tc>
          <w:tcPr>
            <w:tcW w:w="1222" w:type="dxa"/>
            <w:shd w:val="clear" w:color="auto" w:fill="auto"/>
            <w:vAlign w:val="center"/>
          </w:tcPr>
          <w:p w14:paraId="2BFC857A">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0.05 </w:t>
            </w:r>
          </w:p>
        </w:tc>
        <w:tc>
          <w:tcPr>
            <w:tcW w:w="1140" w:type="dxa"/>
            <w:vAlign w:val="center"/>
          </w:tcPr>
          <w:p w14:paraId="1199691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45992F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trPr>
        <w:tc>
          <w:tcPr>
            <w:tcW w:w="1132" w:type="dxa"/>
            <w:vAlign w:val="center"/>
          </w:tcPr>
          <w:p w14:paraId="7110CFB7">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非甲烷总烃</w:t>
            </w:r>
          </w:p>
        </w:tc>
        <w:tc>
          <w:tcPr>
            <w:tcW w:w="1876" w:type="dxa"/>
            <w:vAlign w:val="center"/>
          </w:tcPr>
          <w:p w14:paraId="2CFD883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区域最大值</w:t>
            </w:r>
          </w:p>
        </w:tc>
        <w:tc>
          <w:tcPr>
            <w:tcW w:w="1606" w:type="dxa"/>
            <w:vAlign w:val="center"/>
          </w:tcPr>
          <w:p w14:paraId="156016E1">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1h平均</w:t>
            </w:r>
          </w:p>
        </w:tc>
        <w:tc>
          <w:tcPr>
            <w:tcW w:w="2089" w:type="dxa"/>
            <w:shd w:val="clear" w:color="auto" w:fill="auto"/>
            <w:vAlign w:val="center"/>
          </w:tcPr>
          <w:p w14:paraId="225A683E">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1058.16476</w:t>
            </w:r>
          </w:p>
        </w:tc>
        <w:tc>
          <w:tcPr>
            <w:tcW w:w="1222" w:type="dxa"/>
            <w:shd w:val="clear" w:color="auto" w:fill="auto"/>
            <w:vAlign w:val="center"/>
          </w:tcPr>
          <w:p w14:paraId="015DD656">
            <w:pPr>
              <w:jc w:val="center"/>
              <w:textAlignment w:val="center"/>
              <w:rPr>
                <w:rFonts w:ascii="宋体" w:hAnsi="宋体" w:eastAsia="宋体" w:cs="Times New Roman"/>
                <w:color w:val="auto"/>
              </w:rPr>
            </w:pPr>
            <w:r>
              <w:rPr>
                <w:rFonts w:ascii="宋体" w:hAnsi="宋体" w:eastAsia="宋体" w:cs="Times New Roman"/>
                <w:color w:val="auto"/>
                <w:lang w:bidi="ar"/>
              </w:rPr>
              <w:t xml:space="preserve">52.91 </w:t>
            </w:r>
          </w:p>
        </w:tc>
        <w:tc>
          <w:tcPr>
            <w:tcW w:w="1140" w:type="dxa"/>
            <w:vAlign w:val="center"/>
          </w:tcPr>
          <w:p w14:paraId="07F4637C">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达标</w:t>
            </w:r>
          </w:p>
        </w:tc>
      </w:tr>
    </w:tbl>
    <w:p w14:paraId="20AE714F">
      <w:pPr>
        <w:pStyle w:val="276"/>
        <w:widowControl w:val="0"/>
        <w:spacing w:line="440" w:lineRule="exact"/>
        <w:ind w:firstLine="0" w:firstLineChars="0"/>
        <w:jc w:val="center"/>
        <w:rPr>
          <w:color w:val="auto"/>
        </w:rPr>
      </w:pPr>
      <w:r>
        <w:rPr>
          <w:color w:val="auto"/>
        </w:rPr>
        <w:t>表5.1-16保护目标处新增污染源短期浓度和长期浓度贡献值预测结果表</w:t>
      </w:r>
    </w:p>
    <w:tbl>
      <w:tblPr>
        <w:tblStyle w:val="172"/>
        <w:tblW w:w="90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75"/>
        <w:gridCol w:w="2370"/>
        <w:gridCol w:w="1006"/>
        <w:gridCol w:w="1765"/>
        <w:gridCol w:w="1268"/>
        <w:gridCol w:w="1680"/>
      </w:tblGrid>
      <w:tr w14:paraId="65211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tcBorders>
              <w:tl2br w:val="nil"/>
              <w:tr2bl w:val="nil"/>
            </w:tcBorders>
            <w:vAlign w:val="center"/>
          </w:tcPr>
          <w:p w14:paraId="5F3D9740">
            <w:pPr>
              <w:spacing w:line="320" w:lineRule="exact"/>
              <w:jc w:val="center"/>
              <w:rPr>
                <w:rFonts w:ascii="宋体" w:hAnsi="宋体" w:eastAsia="宋体" w:cs="Times New Roman"/>
                <w:color w:val="auto"/>
              </w:rPr>
            </w:pPr>
            <w:r>
              <w:rPr>
                <w:rFonts w:ascii="宋体" w:hAnsi="宋体" w:eastAsia="宋体" w:cs="Times New Roman"/>
                <w:color w:val="auto"/>
              </w:rPr>
              <w:t>污染物</w:t>
            </w:r>
          </w:p>
        </w:tc>
        <w:tc>
          <w:tcPr>
            <w:tcW w:w="2370" w:type="dxa"/>
            <w:tcBorders>
              <w:tl2br w:val="nil"/>
              <w:tr2bl w:val="nil"/>
            </w:tcBorders>
            <w:vAlign w:val="center"/>
          </w:tcPr>
          <w:p w14:paraId="58E04AE4">
            <w:pPr>
              <w:spacing w:line="320" w:lineRule="exact"/>
              <w:jc w:val="center"/>
              <w:rPr>
                <w:rFonts w:ascii="宋体" w:hAnsi="宋体" w:eastAsia="宋体" w:cs="Times New Roman"/>
                <w:color w:val="auto"/>
              </w:rPr>
            </w:pPr>
            <w:r>
              <w:rPr>
                <w:rFonts w:ascii="宋体" w:hAnsi="宋体" w:eastAsia="宋体" w:cs="Times New Roman"/>
                <w:color w:val="auto"/>
              </w:rPr>
              <w:t>预测点</w:t>
            </w:r>
          </w:p>
        </w:tc>
        <w:tc>
          <w:tcPr>
            <w:tcW w:w="1006" w:type="dxa"/>
            <w:tcBorders>
              <w:tl2br w:val="nil"/>
              <w:tr2bl w:val="nil"/>
            </w:tcBorders>
            <w:vAlign w:val="center"/>
          </w:tcPr>
          <w:p w14:paraId="2FA5E219">
            <w:pPr>
              <w:spacing w:line="320" w:lineRule="exact"/>
              <w:jc w:val="center"/>
              <w:rPr>
                <w:rFonts w:ascii="宋体" w:hAnsi="宋体" w:eastAsia="宋体" w:cs="Times New Roman"/>
                <w:color w:val="auto"/>
              </w:rPr>
            </w:pPr>
            <w:r>
              <w:rPr>
                <w:rFonts w:ascii="宋体" w:hAnsi="宋体" w:eastAsia="宋体" w:cs="Times New Roman"/>
                <w:color w:val="auto"/>
              </w:rPr>
              <w:t>平均时段</w:t>
            </w:r>
          </w:p>
        </w:tc>
        <w:tc>
          <w:tcPr>
            <w:tcW w:w="1765" w:type="dxa"/>
            <w:tcBorders>
              <w:tl2br w:val="nil"/>
              <w:tr2bl w:val="nil"/>
            </w:tcBorders>
            <w:vAlign w:val="center"/>
          </w:tcPr>
          <w:p w14:paraId="09DFA7AF">
            <w:pPr>
              <w:spacing w:line="320" w:lineRule="exact"/>
              <w:jc w:val="center"/>
              <w:rPr>
                <w:rFonts w:ascii="宋体" w:hAnsi="宋体" w:eastAsia="宋体" w:cs="Times New Roman"/>
                <w:color w:val="auto"/>
              </w:rPr>
            </w:pPr>
            <w:r>
              <w:rPr>
                <w:rFonts w:ascii="宋体" w:hAnsi="宋体" w:eastAsia="宋体" w:cs="Times New Roman"/>
                <w:color w:val="auto"/>
              </w:rPr>
              <w:t>最大贡献值（μg/m</w:t>
            </w:r>
            <w:r>
              <w:rPr>
                <w:rFonts w:ascii="宋体" w:hAnsi="宋体" w:eastAsia="宋体" w:cs="Times New Roman"/>
                <w:color w:val="auto"/>
                <w:vertAlign w:val="superscript"/>
              </w:rPr>
              <w:t>3</w:t>
            </w:r>
            <w:r>
              <w:rPr>
                <w:rFonts w:ascii="宋体" w:hAnsi="宋体" w:eastAsia="宋体" w:cs="Times New Roman"/>
                <w:color w:val="auto"/>
              </w:rPr>
              <w:t>)</w:t>
            </w:r>
          </w:p>
        </w:tc>
        <w:tc>
          <w:tcPr>
            <w:tcW w:w="1268" w:type="dxa"/>
            <w:tcBorders>
              <w:tl2br w:val="nil"/>
              <w:tr2bl w:val="nil"/>
            </w:tcBorders>
            <w:vAlign w:val="center"/>
          </w:tcPr>
          <w:p w14:paraId="6430ACCE">
            <w:pPr>
              <w:spacing w:line="320" w:lineRule="exact"/>
              <w:jc w:val="center"/>
              <w:rPr>
                <w:rFonts w:ascii="宋体" w:hAnsi="宋体" w:eastAsia="宋体" w:cs="Times New Roman"/>
                <w:color w:val="auto"/>
              </w:rPr>
            </w:pPr>
            <w:r>
              <w:rPr>
                <w:rFonts w:ascii="宋体" w:hAnsi="宋体" w:eastAsia="宋体" w:cs="Times New Roman"/>
                <w:color w:val="auto"/>
              </w:rPr>
              <w:t>贡献值占标率%</w:t>
            </w:r>
          </w:p>
        </w:tc>
        <w:tc>
          <w:tcPr>
            <w:tcW w:w="1680" w:type="dxa"/>
            <w:tcBorders>
              <w:tl2br w:val="nil"/>
              <w:tr2bl w:val="nil"/>
            </w:tcBorders>
            <w:vAlign w:val="center"/>
          </w:tcPr>
          <w:p w14:paraId="3A623892">
            <w:pPr>
              <w:spacing w:line="320" w:lineRule="exact"/>
              <w:jc w:val="center"/>
              <w:rPr>
                <w:rFonts w:ascii="宋体" w:hAnsi="宋体" w:eastAsia="宋体" w:cs="Times New Roman"/>
                <w:color w:val="auto"/>
              </w:rPr>
            </w:pPr>
            <w:r>
              <w:rPr>
                <w:rFonts w:ascii="宋体" w:hAnsi="宋体" w:eastAsia="宋体" w:cs="Times New Roman"/>
                <w:color w:val="auto"/>
              </w:rPr>
              <w:t>贡献值达标情况</w:t>
            </w:r>
          </w:p>
        </w:tc>
      </w:tr>
      <w:tr w14:paraId="38466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9" w:hRule="atLeast"/>
        </w:trPr>
        <w:tc>
          <w:tcPr>
            <w:tcW w:w="975" w:type="dxa"/>
            <w:vMerge w:val="restart"/>
            <w:tcBorders>
              <w:tl2br w:val="nil"/>
              <w:tr2bl w:val="nil"/>
            </w:tcBorders>
            <w:vAlign w:val="center"/>
          </w:tcPr>
          <w:p w14:paraId="42342405">
            <w:pPr>
              <w:spacing w:line="320" w:lineRule="exact"/>
              <w:jc w:val="center"/>
              <w:rPr>
                <w:rFonts w:ascii="宋体" w:hAnsi="宋体" w:eastAsia="宋体" w:cs="Times New Roman"/>
                <w:color w:val="auto"/>
              </w:rPr>
            </w:pPr>
            <w:r>
              <w:rPr>
                <w:rFonts w:ascii="宋体" w:hAnsi="宋体" w:eastAsia="宋体" w:cs="Times New Roman"/>
                <w:color w:val="auto"/>
              </w:rPr>
              <w:t>NMHC</w:t>
            </w:r>
          </w:p>
        </w:tc>
        <w:tc>
          <w:tcPr>
            <w:tcW w:w="2370" w:type="dxa"/>
            <w:tcBorders>
              <w:tl2br w:val="nil"/>
              <w:tr2bl w:val="nil"/>
            </w:tcBorders>
            <w:vAlign w:val="center"/>
          </w:tcPr>
          <w:p w14:paraId="6556B585">
            <w:pPr>
              <w:spacing w:line="320" w:lineRule="exact"/>
              <w:jc w:val="center"/>
              <w:rPr>
                <w:rFonts w:ascii="宋体" w:hAnsi="宋体" w:eastAsia="宋体" w:cs="Times New Roman"/>
                <w:color w:val="auto"/>
              </w:rPr>
            </w:pPr>
            <w:r>
              <w:rPr>
                <w:rFonts w:ascii="宋体" w:hAnsi="宋体" w:eastAsia="宋体" w:cs="Times New Roman"/>
                <w:color w:val="auto"/>
              </w:rPr>
              <w:t>小欧力马屯</w:t>
            </w:r>
          </w:p>
        </w:tc>
        <w:tc>
          <w:tcPr>
            <w:tcW w:w="1006" w:type="dxa"/>
            <w:tcBorders>
              <w:tl2br w:val="nil"/>
              <w:tr2bl w:val="nil"/>
            </w:tcBorders>
            <w:vAlign w:val="center"/>
          </w:tcPr>
          <w:p w14:paraId="4A7EAA20">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78515C4C">
            <w:pPr>
              <w:spacing w:line="320" w:lineRule="exact"/>
              <w:jc w:val="center"/>
              <w:rPr>
                <w:rFonts w:ascii="宋体" w:hAnsi="宋体" w:eastAsia="宋体" w:cs="Times New Roman"/>
                <w:color w:val="auto"/>
              </w:rPr>
            </w:pPr>
            <w:r>
              <w:rPr>
                <w:rFonts w:ascii="宋体" w:hAnsi="宋体" w:eastAsia="宋体" w:cs="Times New Roman"/>
                <w:color w:val="auto"/>
              </w:rPr>
              <w:t>11.96996</w:t>
            </w:r>
          </w:p>
        </w:tc>
        <w:tc>
          <w:tcPr>
            <w:tcW w:w="1268" w:type="dxa"/>
            <w:tcBorders>
              <w:tl2br w:val="nil"/>
              <w:tr2bl w:val="nil"/>
            </w:tcBorders>
            <w:vAlign w:val="center"/>
          </w:tcPr>
          <w:p w14:paraId="644EC52C">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0.598 </w:t>
            </w:r>
          </w:p>
        </w:tc>
        <w:tc>
          <w:tcPr>
            <w:tcW w:w="1680" w:type="dxa"/>
            <w:tcBorders>
              <w:tl2br w:val="nil"/>
              <w:tr2bl w:val="nil"/>
            </w:tcBorders>
            <w:vAlign w:val="center"/>
          </w:tcPr>
          <w:p w14:paraId="3CEF02AD">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41935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073B7C4">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725D8150">
            <w:pPr>
              <w:spacing w:line="320" w:lineRule="exact"/>
              <w:jc w:val="center"/>
              <w:rPr>
                <w:rFonts w:ascii="宋体" w:hAnsi="宋体" w:eastAsia="宋体" w:cs="Times New Roman"/>
                <w:color w:val="auto"/>
              </w:rPr>
            </w:pPr>
            <w:r>
              <w:rPr>
                <w:rFonts w:ascii="宋体" w:hAnsi="宋体" w:eastAsia="宋体" w:cs="Times New Roman"/>
                <w:color w:val="auto"/>
              </w:rPr>
              <w:t>立功村</w:t>
            </w:r>
          </w:p>
        </w:tc>
        <w:tc>
          <w:tcPr>
            <w:tcW w:w="1006" w:type="dxa"/>
            <w:tcBorders>
              <w:tl2br w:val="nil"/>
              <w:tr2bl w:val="nil"/>
            </w:tcBorders>
            <w:vAlign w:val="center"/>
          </w:tcPr>
          <w:p w14:paraId="0836D33A">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3A520C25">
            <w:pPr>
              <w:spacing w:line="320" w:lineRule="exact"/>
              <w:jc w:val="center"/>
              <w:rPr>
                <w:rFonts w:ascii="宋体" w:hAnsi="宋体" w:eastAsia="宋体" w:cs="Times New Roman"/>
                <w:color w:val="auto"/>
              </w:rPr>
            </w:pPr>
            <w:r>
              <w:rPr>
                <w:rFonts w:ascii="宋体" w:hAnsi="宋体" w:eastAsia="宋体" w:cs="Times New Roman"/>
                <w:color w:val="auto"/>
              </w:rPr>
              <w:t>8.3081</w:t>
            </w:r>
          </w:p>
        </w:tc>
        <w:tc>
          <w:tcPr>
            <w:tcW w:w="1268" w:type="dxa"/>
            <w:tcBorders>
              <w:tl2br w:val="nil"/>
              <w:tr2bl w:val="nil"/>
            </w:tcBorders>
            <w:vAlign w:val="center"/>
          </w:tcPr>
          <w:p w14:paraId="78A8CA7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0.415 </w:t>
            </w:r>
          </w:p>
        </w:tc>
        <w:tc>
          <w:tcPr>
            <w:tcW w:w="1680" w:type="dxa"/>
            <w:tcBorders>
              <w:tl2br w:val="nil"/>
              <w:tr2bl w:val="nil"/>
            </w:tcBorders>
            <w:vAlign w:val="center"/>
          </w:tcPr>
          <w:p w14:paraId="7E6D48EB">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181F2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C7EAAE4">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326ED6A1">
            <w:pPr>
              <w:spacing w:line="320" w:lineRule="exact"/>
              <w:jc w:val="center"/>
              <w:rPr>
                <w:rFonts w:ascii="宋体" w:hAnsi="宋体" w:eastAsia="宋体" w:cs="Times New Roman"/>
                <w:color w:val="auto"/>
              </w:rPr>
            </w:pPr>
            <w:r>
              <w:rPr>
                <w:rFonts w:ascii="宋体" w:hAnsi="宋体" w:eastAsia="宋体" w:cs="Times New Roman"/>
                <w:color w:val="auto"/>
              </w:rPr>
              <w:t>华南屯</w:t>
            </w:r>
          </w:p>
        </w:tc>
        <w:tc>
          <w:tcPr>
            <w:tcW w:w="1006" w:type="dxa"/>
            <w:tcBorders>
              <w:tl2br w:val="nil"/>
              <w:tr2bl w:val="nil"/>
            </w:tcBorders>
            <w:vAlign w:val="center"/>
          </w:tcPr>
          <w:p w14:paraId="612CA43F">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8A5E2DA">
            <w:pPr>
              <w:spacing w:line="320" w:lineRule="exact"/>
              <w:jc w:val="center"/>
              <w:rPr>
                <w:rFonts w:ascii="宋体" w:hAnsi="宋体" w:eastAsia="宋体" w:cs="Times New Roman"/>
                <w:color w:val="auto"/>
              </w:rPr>
            </w:pPr>
            <w:r>
              <w:rPr>
                <w:rFonts w:ascii="宋体" w:hAnsi="宋体" w:eastAsia="宋体" w:cs="Times New Roman"/>
                <w:color w:val="auto"/>
              </w:rPr>
              <w:t>20.57794</w:t>
            </w:r>
          </w:p>
        </w:tc>
        <w:tc>
          <w:tcPr>
            <w:tcW w:w="1268" w:type="dxa"/>
            <w:tcBorders>
              <w:tl2br w:val="nil"/>
              <w:tr2bl w:val="nil"/>
            </w:tcBorders>
            <w:vAlign w:val="center"/>
          </w:tcPr>
          <w:p w14:paraId="5EFC7021">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1.029 </w:t>
            </w:r>
          </w:p>
        </w:tc>
        <w:tc>
          <w:tcPr>
            <w:tcW w:w="1680" w:type="dxa"/>
            <w:tcBorders>
              <w:tl2br w:val="nil"/>
              <w:tr2bl w:val="nil"/>
            </w:tcBorders>
            <w:vAlign w:val="center"/>
          </w:tcPr>
          <w:p w14:paraId="15667EE7">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022F2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D2A3FD7">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58E01F0E">
            <w:pPr>
              <w:spacing w:line="320" w:lineRule="exact"/>
              <w:jc w:val="center"/>
              <w:rPr>
                <w:rFonts w:ascii="宋体" w:hAnsi="宋体" w:eastAsia="宋体" w:cs="Times New Roman"/>
                <w:color w:val="auto"/>
              </w:rPr>
            </w:pPr>
            <w:r>
              <w:rPr>
                <w:rFonts w:ascii="宋体" w:hAnsi="宋体" w:eastAsia="宋体" w:cs="Times New Roman"/>
                <w:color w:val="auto"/>
              </w:rPr>
              <w:t>李彦和屯</w:t>
            </w:r>
          </w:p>
        </w:tc>
        <w:tc>
          <w:tcPr>
            <w:tcW w:w="1006" w:type="dxa"/>
            <w:tcBorders>
              <w:tl2br w:val="nil"/>
              <w:tr2bl w:val="nil"/>
            </w:tcBorders>
            <w:vAlign w:val="center"/>
          </w:tcPr>
          <w:p w14:paraId="291430FB">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6A7DF4F">
            <w:pPr>
              <w:spacing w:line="320" w:lineRule="exact"/>
              <w:jc w:val="center"/>
              <w:rPr>
                <w:rFonts w:ascii="宋体" w:hAnsi="宋体" w:eastAsia="宋体" w:cs="Times New Roman"/>
                <w:color w:val="auto"/>
              </w:rPr>
            </w:pPr>
            <w:r>
              <w:rPr>
                <w:rFonts w:ascii="宋体" w:hAnsi="宋体" w:eastAsia="宋体" w:cs="Times New Roman"/>
                <w:color w:val="auto"/>
              </w:rPr>
              <w:t>22.4446</w:t>
            </w:r>
          </w:p>
        </w:tc>
        <w:tc>
          <w:tcPr>
            <w:tcW w:w="1268" w:type="dxa"/>
            <w:tcBorders>
              <w:tl2br w:val="nil"/>
              <w:tr2bl w:val="nil"/>
            </w:tcBorders>
            <w:vAlign w:val="center"/>
          </w:tcPr>
          <w:p w14:paraId="712E902B">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1.122 </w:t>
            </w:r>
          </w:p>
        </w:tc>
        <w:tc>
          <w:tcPr>
            <w:tcW w:w="1680" w:type="dxa"/>
            <w:tcBorders>
              <w:tl2br w:val="nil"/>
              <w:tr2bl w:val="nil"/>
            </w:tcBorders>
            <w:vAlign w:val="center"/>
          </w:tcPr>
          <w:p w14:paraId="225DC3D9">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30B48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66A6D54">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1BF125FB">
            <w:pPr>
              <w:spacing w:line="320" w:lineRule="exact"/>
              <w:jc w:val="center"/>
              <w:rPr>
                <w:rFonts w:ascii="宋体" w:hAnsi="宋体" w:eastAsia="宋体" w:cs="Times New Roman"/>
                <w:color w:val="auto"/>
              </w:rPr>
            </w:pPr>
            <w:r>
              <w:rPr>
                <w:rFonts w:ascii="宋体" w:hAnsi="宋体" w:eastAsia="宋体" w:cs="Times New Roman"/>
                <w:color w:val="auto"/>
              </w:rPr>
              <w:t>后欧力马屯</w:t>
            </w:r>
          </w:p>
        </w:tc>
        <w:tc>
          <w:tcPr>
            <w:tcW w:w="1006" w:type="dxa"/>
            <w:tcBorders>
              <w:tl2br w:val="nil"/>
              <w:tr2bl w:val="nil"/>
            </w:tcBorders>
            <w:vAlign w:val="center"/>
          </w:tcPr>
          <w:p w14:paraId="0D4ADF56">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C668EDB">
            <w:pPr>
              <w:spacing w:line="320" w:lineRule="exact"/>
              <w:jc w:val="center"/>
              <w:rPr>
                <w:rFonts w:ascii="宋体" w:hAnsi="宋体" w:eastAsia="宋体" w:cs="Times New Roman"/>
                <w:color w:val="auto"/>
              </w:rPr>
            </w:pPr>
            <w:r>
              <w:rPr>
                <w:rFonts w:ascii="宋体" w:hAnsi="宋体" w:eastAsia="宋体" w:cs="Times New Roman"/>
                <w:color w:val="auto"/>
              </w:rPr>
              <w:t>57.69842</w:t>
            </w:r>
          </w:p>
        </w:tc>
        <w:tc>
          <w:tcPr>
            <w:tcW w:w="1268" w:type="dxa"/>
            <w:tcBorders>
              <w:tl2br w:val="nil"/>
              <w:tr2bl w:val="nil"/>
            </w:tcBorders>
            <w:vAlign w:val="center"/>
          </w:tcPr>
          <w:p w14:paraId="55832C44">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2.885 </w:t>
            </w:r>
          </w:p>
        </w:tc>
        <w:tc>
          <w:tcPr>
            <w:tcW w:w="1680" w:type="dxa"/>
            <w:tcBorders>
              <w:tl2br w:val="nil"/>
              <w:tr2bl w:val="nil"/>
            </w:tcBorders>
            <w:vAlign w:val="center"/>
          </w:tcPr>
          <w:p w14:paraId="24461C33">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6FCC9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975" w:type="dxa"/>
            <w:vMerge w:val="continue"/>
            <w:tcBorders>
              <w:tl2br w:val="nil"/>
              <w:tr2bl w:val="nil"/>
            </w:tcBorders>
            <w:vAlign w:val="center"/>
          </w:tcPr>
          <w:p w14:paraId="19D6D96A">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625F7EEA">
            <w:pPr>
              <w:spacing w:line="320" w:lineRule="exact"/>
              <w:jc w:val="center"/>
              <w:rPr>
                <w:rFonts w:ascii="宋体" w:hAnsi="宋体" w:eastAsia="宋体" w:cs="Times New Roman"/>
                <w:color w:val="auto"/>
              </w:rPr>
            </w:pPr>
            <w:r>
              <w:rPr>
                <w:rFonts w:ascii="宋体" w:hAnsi="宋体" w:eastAsia="宋体" w:cs="Times New Roman"/>
                <w:color w:val="auto"/>
              </w:rPr>
              <w:t>对青岗子屯</w:t>
            </w:r>
          </w:p>
        </w:tc>
        <w:tc>
          <w:tcPr>
            <w:tcW w:w="1006" w:type="dxa"/>
            <w:tcBorders>
              <w:tl2br w:val="nil"/>
              <w:tr2bl w:val="nil"/>
            </w:tcBorders>
            <w:vAlign w:val="center"/>
          </w:tcPr>
          <w:p w14:paraId="0494B4D2">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57E99FA6">
            <w:pPr>
              <w:spacing w:line="320" w:lineRule="exact"/>
              <w:jc w:val="center"/>
              <w:rPr>
                <w:rFonts w:ascii="宋体" w:hAnsi="宋体" w:eastAsia="宋体" w:cs="Times New Roman"/>
                <w:color w:val="auto"/>
              </w:rPr>
            </w:pPr>
            <w:r>
              <w:rPr>
                <w:rFonts w:ascii="宋体" w:hAnsi="宋体" w:eastAsia="宋体" w:cs="Times New Roman"/>
                <w:color w:val="auto"/>
              </w:rPr>
              <w:t>9.91248</w:t>
            </w:r>
          </w:p>
        </w:tc>
        <w:tc>
          <w:tcPr>
            <w:tcW w:w="1268" w:type="dxa"/>
            <w:tcBorders>
              <w:tl2br w:val="nil"/>
              <w:tr2bl w:val="nil"/>
            </w:tcBorders>
            <w:vAlign w:val="center"/>
          </w:tcPr>
          <w:p w14:paraId="389E8875">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0.496 </w:t>
            </w:r>
          </w:p>
        </w:tc>
        <w:tc>
          <w:tcPr>
            <w:tcW w:w="1680" w:type="dxa"/>
            <w:tcBorders>
              <w:tl2br w:val="nil"/>
              <w:tr2bl w:val="nil"/>
            </w:tcBorders>
            <w:vAlign w:val="center"/>
          </w:tcPr>
          <w:p w14:paraId="34E5D296">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56325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68CE3F2">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361165B3">
            <w:pPr>
              <w:spacing w:line="320" w:lineRule="exact"/>
              <w:jc w:val="center"/>
              <w:rPr>
                <w:rFonts w:ascii="宋体" w:hAnsi="宋体" w:eastAsia="宋体" w:cs="Times New Roman"/>
                <w:color w:val="auto"/>
              </w:rPr>
            </w:pPr>
            <w:r>
              <w:rPr>
                <w:rFonts w:ascii="宋体" w:hAnsi="宋体" w:eastAsia="宋体" w:cs="Times New Roman"/>
                <w:color w:val="auto"/>
              </w:rPr>
              <w:t>蒙古屯</w:t>
            </w:r>
          </w:p>
        </w:tc>
        <w:tc>
          <w:tcPr>
            <w:tcW w:w="1006" w:type="dxa"/>
            <w:tcBorders>
              <w:tl2br w:val="nil"/>
              <w:tr2bl w:val="nil"/>
            </w:tcBorders>
            <w:vAlign w:val="center"/>
          </w:tcPr>
          <w:p w14:paraId="54775300">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0B81214">
            <w:pPr>
              <w:spacing w:line="320" w:lineRule="exact"/>
              <w:jc w:val="center"/>
              <w:rPr>
                <w:rFonts w:ascii="宋体" w:hAnsi="宋体" w:eastAsia="宋体" w:cs="Times New Roman"/>
                <w:color w:val="auto"/>
              </w:rPr>
            </w:pPr>
            <w:r>
              <w:rPr>
                <w:rFonts w:ascii="宋体" w:hAnsi="宋体" w:eastAsia="宋体" w:cs="Times New Roman"/>
                <w:color w:val="auto"/>
              </w:rPr>
              <w:t>12.2255</w:t>
            </w:r>
          </w:p>
        </w:tc>
        <w:tc>
          <w:tcPr>
            <w:tcW w:w="1268" w:type="dxa"/>
            <w:tcBorders>
              <w:tl2br w:val="nil"/>
              <w:tr2bl w:val="nil"/>
            </w:tcBorders>
            <w:vAlign w:val="center"/>
          </w:tcPr>
          <w:p w14:paraId="309A2C09">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0.611 </w:t>
            </w:r>
          </w:p>
        </w:tc>
        <w:tc>
          <w:tcPr>
            <w:tcW w:w="1680" w:type="dxa"/>
            <w:tcBorders>
              <w:tl2br w:val="nil"/>
              <w:tr2bl w:val="nil"/>
            </w:tcBorders>
            <w:vAlign w:val="center"/>
          </w:tcPr>
          <w:p w14:paraId="2598138A">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23175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37E3A3E">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7C8D3AC8">
            <w:pPr>
              <w:spacing w:line="320" w:lineRule="exact"/>
              <w:jc w:val="center"/>
              <w:rPr>
                <w:rFonts w:ascii="宋体" w:hAnsi="宋体" w:eastAsia="宋体" w:cs="Times New Roman"/>
                <w:color w:val="auto"/>
              </w:rPr>
            </w:pPr>
            <w:r>
              <w:rPr>
                <w:rFonts w:ascii="宋体" w:hAnsi="宋体" w:eastAsia="宋体" w:cs="Times New Roman"/>
                <w:color w:val="auto"/>
              </w:rPr>
              <w:t>王家园子屯</w:t>
            </w:r>
          </w:p>
        </w:tc>
        <w:tc>
          <w:tcPr>
            <w:tcW w:w="1006" w:type="dxa"/>
            <w:tcBorders>
              <w:tl2br w:val="nil"/>
              <w:tr2bl w:val="nil"/>
            </w:tcBorders>
            <w:vAlign w:val="center"/>
          </w:tcPr>
          <w:p w14:paraId="5114F7D3">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C744C85">
            <w:pPr>
              <w:spacing w:line="320" w:lineRule="exact"/>
              <w:jc w:val="center"/>
              <w:rPr>
                <w:rFonts w:ascii="宋体" w:hAnsi="宋体" w:eastAsia="宋体" w:cs="Times New Roman"/>
                <w:color w:val="auto"/>
              </w:rPr>
            </w:pPr>
            <w:r>
              <w:rPr>
                <w:rFonts w:ascii="宋体" w:hAnsi="宋体" w:eastAsia="宋体" w:cs="Times New Roman"/>
                <w:color w:val="auto"/>
              </w:rPr>
              <w:t>42.82393</w:t>
            </w:r>
          </w:p>
        </w:tc>
        <w:tc>
          <w:tcPr>
            <w:tcW w:w="1268" w:type="dxa"/>
            <w:tcBorders>
              <w:tl2br w:val="nil"/>
              <w:tr2bl w:val="nil"/>
            </w:tcBorders>
            <w:vAlign w:val="center"/>
          </w:tcPr>
          <w:p w14:paraId="04A84F41">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2.141 </w:t>
            </w:r>
          </w:p>
        </w:tc>
        <w:tc>
          <w:tcPr>
            <w:tcW w:w="1680" w:type="dxa"/>
            <w:tcBorders>
              <w:tl2br w:val="nil"/>
              <w:tr2bl w:val="nil"/>
            </w:tcBorders>
            <w:vAlign w:val="center"/>
          </w:tcPr>
          <w:p w14:paraId="47F52849">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2EFB2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08307CF">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4DCF7367">
            <w:pPr>
              <w:spacing w:line="320" w:lineRule="exact"/>
              <w:jc w:val="center"/>
              <w:rPr>
                <w:rFonts w:ascii="宋体" w:hAnsi="宋体" w:eastAsia="宋体" w:cs="Times New Roman"/>
                <w:color w:val="auto"/>
              </w:rPr>
            </w:pPr>
            <w:r>
              <w:rPr>
                <w:rFonts w:ascii="宋体" w:hAnsi="宋体" w:eastAsia="宋体" w:cs="Times New Roman"/>
                <w:color w:val="auto"/>
              </w:rPr>
              <w:t>和平乡</w:t>
            </w:r>
          </w:p>
        </w:tc>
        <w:tc>
          <w:tcPr>
            <w:tcW w:w="1006" w:type="dxa"/>
            <w:tcBorders>
              <w:tl2br w:val="nil"/>
              <w:tr2bl w:val="nil"/>
            </w:tcBorders>
            <w:vAlign w:val="center"/>
          </w:tcPr>
          <w:p w14:paraId="2A8B2324">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36CFE50F">
            <w:pPr>
              <w:spacing w:line="320" w:lineRule="exact"/>
              <w:jc w:val="center"/>
              <w:rPr>
                <w:rFonts w:ascii="宋体" w:hAnsi="宋体" w:eastAsia="宋体" w:cs="Times New Roman"/>
                <w:color w:val="auto"/>
              </w:rPr>
            </w:pPr>
            <w:r>
              <w:rPr>
                <w:rFonts w:ascii="宋体" w:hAnsi="宋体" w:eastAsia="宋体" w:cs="Times New Roman"/>
                <w:color w:val="auto"/>
              </w:rPr>
              <w:t>12.1897</w:t>
            </w:r>
          </w:p>
        </w:tc>
        <w:tc>
          <w:tcPr>
            <w:tcW w:w="1268" w:type="dxa"/>
            <w:tcBorders>
              <w:tl2br w:val="nil"/>
              <w:tr2bl w:val="nil"/>
            </w:tcBorders>
            <w:vAlign w:val="center"/>
          </w:tcPr>
          <w:p w14:paraId="60934724">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0.609 </w:t>
            </w:r>
          </w:p>
        </w:tc>
        <w:tc>
          <w:tcPr>
            <w:tcW w:w="1680" w:type="dxa"/>
            <w:tcBorders>
              <w:tl2br w:val="nil"/>
              <w:tr2bl w:val="nil"/>
            </w:tcBorders>
            <w:vAlign w:val="center"/>
          </w:tcPr>
          <w:p w14:paraId="0D1D0FFD">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0FD5D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2" w:hRule="atLeast"/>
        </w:trPr>
        <w:tc>
          <w:tcPr>
            <w:tcW w:w="975" w:type="dxa"/>
            <w:vMerge w:val="continue"/>
            <w:tcBorders>
              <w:tl2br w:val="nil"/>
              <w:tr2bl w:val="nil"/>
            </w:tcBorders>
            <w:vAlign w:val="center"/>
          </w:tcPr>
          <w:p w14:paraId="73905687">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0354659E">
            <w:pPr>
              <w:spacing w:line="320" w:lineRule="exact"/>
              <w:jc w:val="center"/>
              <w:rPr>
                <w:rFonts w:ascii="宋体" w:hAnsi="宋体" w:eastAsia="宋体" w:cs="Times New Roman"/>
                <w:color w:val="auto"/>
              </w:rPr>
            </w:pPr>
            <w:r>
              <w:rPr>
                <w:rFonts w:ascii="宋体" w:hAnsi="宋体" w:eastAsia="宋体" w:cs="Times New Roman"/>
                <w:color w:val="auto"/>
              </w:rPr>
              <w:t>赵家围子屯</w:t>
            </w:r>
          </w:p>
        </w:tc>
        <w:tc>
          <w:tcPr>
            <w:tcW w:w="1006" w:type="dxa"/>
            <w:tcBorders>
              <w:tl2br w:val="nil"/>
              <w:tr2bl w:val="nil"/>
            </w:tcBorders>
            <w:vAlign w:val="center"/>
          </w:tcPr>
          <w:p w14:paraId="57CB1984">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59EC2DC">
            <w:pPr>
              <w:spacing w:line="320" w:lineRule="exact"/>
              <w:jc w:val="center"/>
              <w:rPr>
                <w:rFonts w:ascii="宋体" w:hAnsi="宋体" w:eastAsia="宋体" w:cs="Times New Roman"/>
                <w:color w:val="auto"/>
              </w:rPr>
            </w:pPr>
            <w:r>
              <w:rPr>
                <w:rFonts w:ascii="宋体" w:hAnsi="宋体" w:eastAsia="宋体" w:cs="Times New Roman"/>
                <w:color w:val="auto"/>
              </w:rPr>
              <w:t>12.18365</w:t>
            </w:r>
          </w:p>
        </w:tc>
        <w:tc>
          <w:tcPr>
            <w:tcW w:w="1268" w:type="dxa"/>
            <w:tcBorders>
              <w:tl2br w:val="nil"/>
              <w:tr2bl w:val="nil"/>
            </w:tcBorders>
            <w:vAlign w:val="center"/>
          </w:tcPr>
          <w:p w14:paraId="56A63D99">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0.609 </w:t>
            </w:r>
          </w:p>
        </w:tc>
        <w:tc>
          <w:tcPr>
            <w:tcW w:w="1680" w:type="dxa"/>
            <w:tcBorders>
              <w:tl2br w:val="nil"/>
              <w:tr2bl w:val="nil"/>
            </w:tcBorders>
            <w:vAlign w:val="center"/>
          </w:tcPr>
          <w:p w14:paraId="429601F4">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3FA82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8FED817">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03B49D29">
            <w:pPr>
              <w:spacing w:line="320" w:lineRule="exact"/>
              <w:jc w:val="center"/>
              <w:rPr>
                <w:rFonts w:ascii="宋体" w:hAnsi="宋体" w:eastAsia="宋体" w:cs="Times New Roman"/>
                <w:color w:val="auto"/>
              </w:rPr>
            </w:pPr>
            <w:r>
              <w:rPr>
                <w:rFonts w:ascii="宋体" w:hAnsi="宋体" w:eastAsia="宋体" w:cs="Times New Roman"/>
                <w:color w:val="auto"/>
              </w:rPr>
              <w:t>吴家围子屯</w:t>
            </w:r>
          </w:p>
        </w:tc>
        <w:tc>
          <w:tcPr>
            <w:tcW w:w="1006" w:type="dxa"/>
            <w:tcBorders>
              <w:tl2br w:val="nil"/>
              <w:tr2bl w:val="nil"/>
            </w:tcBorders>
            <w:vAlign w:val="center"/>
          </w:tcPr>
          <w:p w14:paraId="42FDE737">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19C0119">
            <w:pPr>
              <w:spacing w:line="320" w:lineRule="exact"/>
              <w:jc w:val="center"/>
              <w:rPr>
                <w:rFonts w:ascii="宋体" w:hAnsi="宋体" w:eastAsia="宋体" w:cs="Times New Roman"/>
                <w:color w:val="auto"/>
              </w:rPr>
            </w:pPr>
            <w:r>
              <w:rPr>
                <w:rFonts w:ascii="宋体" w:hAnsi="宋体" w:eastAsia="宋体" w:cs="Times New Roman"/>
                <w:color w:val="auto"/>
              </w:rPr>
              <w:t>8.13096</w:t>
            </w:r>
          </w:p>
        </w:tc>
        <w:tc>
          <w:tcPr>
            <w:tcW w:w="1268" w:type="dxa"/>
            <w:tcBorders>
              <w:tl2br w:val="nil"/>
              <w:tr2bl w:val="nil"/>
            </w:tcBorders>
            <w:vAlign w:val="center"/>
          </w:tcPr>
          <w:p w14:paraId="78E2E6EF">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0.407 </w:t>
            </w:r>
          </w:p>
        </w:tc>
        <w:tc>
          <w:tcPr>
            <w:tcW w:w="1680" w:type="dxa"/>
            <w:tcBorders>
              <w:tl2br w:val="nil"/>
              <w:tr2bl w:val="nil"/>
            </w:tcBorders>
            <w:vAlign w:val="center"/>
          </w:tcPr>
          <w:p w14:paraId="33C24A46">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05C68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0A78066">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24F59A5B">
            <w:pPr>
              <w:spacing w:line="320" w:lineRule="exact"/>
              <w:jc w:val="center"/>
              <w:rPr>
                <w:rFonts w:ascii="宋体" w:hAnsi="宋体" w:eastAsia="宋体" w:cs="Times New Roman"/>
                <w:color w:val="auto"/>
              </w:rPr>
            </w:pPr>
            <w:r>
              <w:rPr>
                <w:rFonts w:ascii="宋体" w:hAnsi="宋体" w:eastAsia="宋体" w:cs="Times New Roman"/>
                <w:color w:val="auto"/>
              </w:rPr>
              <w:t>孙家围子屯</w:t>
            </w:r>
          </w:p>
        </w:tc>
        <w:tc>
          <w:tcPr>
            <w:tcW w:w="1006" w:type="dxa"/>
            <w:tcBorders>
              <w:tl2br w:val="nil"/>
              <w:tr2bl w:val="nil"/>
            </w:tcBorders>
            <w:vAlign w:val="center"/>
          </w:tcPr>
          <w:p w14:paraId="7D2F4B9A">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1A745C24">
            <w:pPr>
              <w:spacing w:line="320" w:lineRule="exact"/>
              <w:jc w:val="center"/>
              <w:rPr>
                <w:rFonts w:ascii="宋体" w:hAnsi="宋体" w:eastAsia="宋体" w:cs="Times New Roman"/>
                <w:color w:val="auto"/>
              </w:rPr>
            </w:pPr>
            <w:r>
              <w:rPr>
                <w:rFonts w:ascii="宋体" w:hAnsi="宋体" w:eastAsia="宋体" w:cs="Times New Roman"/>
                <w:color w:val="auto"/>
              </w:rPr>
              <w:t>8.99314</w:t>
            </w:r>
          </w:p>
        </w:tc>
        <w:tc>
          <w:tcPr>
            <w:tcW w:w="1268" w:type="dxa"/>
            <w:tcBorders>
              <w:tl2br w:val="nil"/>
              <w:tr2bl w:val="nil"/>
            </w:tcBorders>
            <w:vAlign w:val="center"/>
          </w:tcPr>
          <w:p w14:paraId="7CFF9B07">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0.450 </w:t>
            </w:r>
          </w:p>
        </w:tc>
        <w:tc>
          <w:tcPr>
            <w:tcW w:w="1680" w:type="dxa"/>
            <w:tcBorders>
              <w:tl2br w:val="nil"/>
              <w:tr2bl w:val="nil"/>
            </w:tcBorders>
            <w:vAlign w:val="center"/>
          </w:tcPr>
          <w:p w14:paraId="74EB6675">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3EF81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D377F05">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4510BEFA">
            <w:pPr>
              <w:spacing w:line="320" w:lineRule="exact"/>
              <w:jc w:val="center"/>
              <w:rPr>
                <w:rFonts w:ascii="宋体" w:hAnsi="宋体" w:eastAsia="宋体" w:cs="Times New Roman"/>
                <w:color w:val="auto"/>
              </w:rPr>
            </w:pPr>
            <w:r>
              <w:rPr>
                <w:rFonts w:ascii="宋体" w:hAnsi="宋体" w:eastAsia="宋体" w:cs="Times New Roman"/>
                <w:color w:val="auto"/>
              </w:rPr>
              <w:t>四方山屯</w:t>
            </w:r>
          </w:p>
        </w:tc>
        <w:tc>
          <w:tcPr>
            <w:tcW w:w="1006" w:type="dxa"/>
            <w:tcBorders>
              <w:tl2br w:val="nil"/>
              <w:tr2bl w:val="nil"/>
            </w:tcBorders>
            <w:vAlign w:val="center"/>
          </w:tcPr>
          <w:p w14:paraId="2E7B66B2">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4F1F8764">
            <w:pPr>
              <w:spacing w:line="320" w:lineRule="exact"/>
              <w:jc w:val="center"/>
              <w:rPr>
                <w:rFonts w:ascii="宋体" w:hAnsi="宋体" w:eastAsia="宋体" w:cs="Times New Roman"/>
                <w:color w:val="auto"/>
              </w:rPr>
            </w:pPr>
            <w:r>
              <w:rPr>
                <w:rFonts w:ascii="宋体" w:hAnsi="宋体" w:eastAsia="宋体" w:cs="Times New Roman"/>
                <w:color w:val="auto"/>
              </w:rPr>
              <w:t>5.47459</w:t>
            </w:r>
          </w:p>
        </w:tc>
        <w:tc>
          <w:tcPr>
            <w:tcW w:w="1268" w:type="dxa"/>
            <w:tcBorders>
              <w:tl2br w:val="nil"/>
              <w:tr2bl w:val="nil"/>
            </w:tcBorders>
            <w:vAlign w:val="center"/>
          </w:tcPr>
          <w:p w14:paraId="0799E12C">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0.274 </w:t>
            </w:r>
          </w:p>
        </w:tc>
        <w:tc>
          <w:tcPr>
            <w:tcW w:w="1680" w:type="dxa"/>
            <w:tcBorders>
              <w:tl2br w:val="nil"/>
              <w:tr2bl w:val="nil"/>
            </w:tcBorders>
            <w:vAlign w:val="center"/>
          </w:tcPr>
          <w:p w14:paraId="3560004B">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4A211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E893970">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016D6FCF">
            <w:pPr>
              <w:spacing w:line="320" w:lineRule="exact"/>
              <w:jc w:val="center"/>
              <w:rPr>
                <w:rFonts w:ascii="宋体" w:hAnsi="宋体" w:eastAsia="宋体" w:cs="Times New Roman"/>
                <w:color w:val="auto"/>
              </w:rPr>
            </w:pPr>
            <w:r>
              <w:rPr>
                <w:rFonts w:ascii="宋体" w:hAnsi="宋体" w:eastAsia="宋体" w:cs="Times New Roman"/>
                <w:color w:val="auto"/>
              </w:rPr>
              <w:t>小东屯</w:t>
            </w:r>
          </w:p>
        </w:tc>
        <w:tc>
          <w:tcPr>
            <w:tcW w:w="1006" w:type="dxa"/>
            <w:tcBorders>
              <w:tl2br w:val="nil"/>
              <w:tr2bl w:val="nil"/>
            </w:tcBorders>
            <w:vAlign w:val="center"/>
          </w:tcPr>
          <w:p w14:paraId="5E66FDD0">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3023F572">
            <w:pPr>
              <w:spacing w:line="320" w:lineRule="exact"/>
              <w:jc w:val="center"/>
              <w:rPr>
                <w:rFonts w:ascii="宋体" w:hAnsi="宋体" w:eastAsia="宋体" w:cs="Times New Roman"/>
                <w:color w:val="auto"/>
              </w:rPr>
            </w:pPr>
            <w:r>
              <w:rPr>
                <w:rFonts w:ascii="宋体" w:hAnsi="宋体" w:eastAsia="宋体" w:cs="Times New Roman"/>
                <w:color w:val="auto"/>
              </w:rPr>
              <w:t>6.30923</w:t>
            </w:r>
          </w:p>
        </w:tc>
        <w:tc>
          <w:tcPr>
            <w:tcW w:w="1268" w:type="dxa"/>
            <w:tcBorders>
              <w:tl2br w:val="nil"/>
              <w:tr2bl w:val="nil"/>
            </w:tcBorders>
            <w:vAlign w:val="center"/>
          </w:tcPr>
          <w:p w14:paraId="6E8BF665">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0.315 </w:t>
            </w:r>
          </w:p>
        </w:tc>
        <w:tc>
          <w:tcPr>
            <w:tcW w:w="1680" w:type="dxa"/>
            <w:tcBorders>
              <w:tl2br w:val="nil"/>
              <w:tr2bl w:val="nil"/>
            </w:tcBorders>
            <w:vAlign w:val="center"/>
          </w:tcPr>
          <w:p w14:paraId="0A7874AF">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3EAC9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2A0657E">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0E629706">
            <w:pPr>
              <w:spacing w:line="320" w:lineRule="exact"/>
              <w:jc w:val="center"/>
              <w:rPr>
                <w:rFonts w:ascii="宋体" w:hAnsi="宋体" w:eastAsia="宋体" w:cs="Times New Roman"/>
                <w:color w:val="auto"/>
              </w:rPr>
            </w:pPr>
            <w:r>
              <w:rPr>
                <w:rFonts w:ascii="宋体" w:hAnsi="宋体" w:eastAsia="宋体" w:cs="Times New Roman"/>
                <w:color w:val="auto"/>
              </w:rPr>
              <w:t>奎中里屯</w:t>
            </w:r>
          </w:p>
        </w:tc>
        <w:tc>
          <w:tcPr>
            <w:tcW w:w="1006" w:type="dxa"/>
            <w:tcBorders>
              <w:tl2br w:val="nil"/>
              <w:tr2bl w:val="nil"/>
            </w:tcBorders>
            <w:vAlign w:val="center"/>
          </w:tcPr>
          <w:p w14:paraId="77488B95">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351FBB21">
            <w:pPr>
              <w:spacing w:line="320" w:lineRule="exact"/>
              <w:jc w:val="center"/>
              <w:rPr>
                <w:rFonts w:ascii="宋体" w:hAnsi="宋体" w:eastAsia="宋体" w:cs="Times New Roman"/>
                <w:color w:val="auto"/>
              </w:rPr>
            </w:pPr>
            <w:r>
              <w:rPr>
                <w:rFonts w:ascii="宋体" w:hAnsi="宋体" w:eastAsia="宋体" w:cs="Times New Roman"/>
                <w:color w:val="auto"/>
              </w:rPr>
              <w:t>4.90166</w:t>
            </w:r>
          </w:p>
        </w:tc>
        <w:tc>
          <w:tcPr>
            <w:tcW w:w="1268" w:type="dxa"/>
            <w:tcBorders>
              <w:tl2br w:val="nil"/>
              <w:tr2bl w:val="nil"/>
            </w:tcBorders>
            <w:vAlign w:val="center"/>
          </w:tcPr>
          <w:p w14:paraId="1D5ABF53">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0.245 </w:t>
            </w:r>
          </w:p>
        </w:tc>
        <w:tc>
          <w:tcPr>
            <w:tcW w:w="1680" w:type="dxa"/>
            <w:tcBorders>
              <w:tl2br w:val="nil"/>
              <w:tr2bl w:val="nil"/>
            </w:tcBorders>
            <w:vAlign w:val="center"/>
          </w:tcPr>
          <w:p w14:paraId="3D6AA0EE">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07270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D874DE7">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4AC49BEA">
            <w:pPr>
              <w:spacing w:line="320" w:lineRule="exact"/>
              <w:jc w:val="center"/>
              <w:rPr>
                <w:rFonts w:ascii="宋体" w:hAnsi="宋体" w:eastAsia="宋体" w:cs="Times New Roman"/>
                <w:color w:val="auto"/>
              </w:rPr>
            </w:pPr>
            <w:r>
              <w:rPr>
                <w:rFonts w:ascii="宋体" w:hAnsi="宋体" w:eastAsia="宋体" w:cs="Times New Roman"/>
                <w:color w:val="auto"/>
              </w:rPr>
              <w:t>东兴村</w:t>
            </w:r>
          </w:p>
        </w:tc>
        <w:tc>
          <w:tcPr>
            <w:tcW w:w="1006" w:type="dxa"/>
            <w:tcBorders>
              <w:tl2br w:val="nil"/>
              <w:tr2bl w:val="nil"/>
            </w:tcBorders>
            <w:vAlign w:val="center"/>
          </w:tcPr>
          <w:p w14:paraId="739E49BB">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1A7F7017">
            <w:pPr>
              <w:spacing w:line="320" w:lineRule="exact"/>
              <w:jc w:val="center"/>
              <w:rPr>
                <w:rFonts w:ascii="宋体" w:hAnsi="宋体" w:eastAsia="宋体" w:cs="Times New Roman"/>
                <w:color w:val="auto"/>
              </w:rPr>
            </w:pPr>
            <w:r>
              <w:rPr>
                <w:rFonts w:ascii="宋体" w:hAnsi="宋体" w:eastAsia="宋体" w:cs="Times New Roman"/>
                <w:color w:val="auto"/>
              </w:rPr>
              <w:t>3.89358</w:t>
            </w:r>
          </w:p>
        </w:tc>
        <w:tc>
          <w:tcPr>
            <w:tcW w:w="1268" w:type="dxa"/>
            <w:tcBorders>
              <w:tl2br w:val="nil"/>
              <w:tr2bl w:val="nil"/>
            </w:tcBorders>
            <w:vAlign w:val="center"/>
          </w:tcPr>
          <w:p w14:paraId="25FBDE3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0.195 </w:t>
            </w:r>
          </w:p>
        </w:tc>
        <w:tc>
          <w:tcPr>
            <w:tcW w:w="1680" w:type="dxa"/>
            <w:tcBorders>
              <w:tl2br w:val="nil"/>
              <w:tr2bl w:val="nil"/>
            </w:tcBorders>
            <w:vAlign w:val="center"/>
          </w:tcPr>
          <w:p w14:paraId="4A890F91">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7809D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F18E777">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7974CDEB">
            <w:pPr>
              <w:spacing w:line="320" w:lineRule="exact"/>
              <w:jc w:val="center"/>
              <w:rPr>
                <w:rFonts w:ascii="宋体" w:hAnsi="宋体" w:eastAsia="宋体" w:cs="Times New Roman"/>
                <w:color w:val="auto"/>
              </w:rPr>
            </w:pPr>
            <w:r>
              <w:rPr>
                <w:rFonts w:ascii="宋体" w:hAnsi="宋体" w:eastAsia="宋体" w:cs="Times New Roman"/>
                <w:color w:val="auto"/>
              </w:rPr>
              <w:t>迟家屯</w:t>
            </w:r>
          </w:p>
        </w:tc>
        <w:tc>
          <w:tcPr>
            <w:tcW w:w="1006" w:type="dxa"/>
            <w:tcBorders>
              <w:tl2br w:val="nil"/>
              <w:tr2bl w:val="nil"/>
            </w:tcBorders>
            <w:vAlign w:val="center"/>
          </w:tcPr>
          <w:p w14:paraId="110C9CC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BE7EB4B">
            <w:pPr>
              <w:spacing w:line="320" w:lineRule="exact"/>
              <w:jc w:val="center"/>
              <w:rPr>
                <w:rFonts w:ascii="宋体" w:hAnsi="宋体" w:eastAsia="宋体" w:cs="Times New Roman"/>
                <w:color w:val="auto"/>
              </w:rPr>
            </w:pPr>
            <w:r>
              <w:rPr>
                <w:rFonts w:ascii="宋体" w:hAnsi="宋体" w:eastAsia="宋体" w:cs="Times New Roman"/>
                <w:color w:val="auto"/>
              </w:rPr>
              <w:t>3.77413</w:t>
            </w:r>
          </w:p>
        </w:tc>
        <w:tc>
          <w:tcPr>
            <w:tcW w:w="1268" w:type="dxa"/>
            <w:tcBorders>
              <w:tl2br w:val="nil"/>
              <w:tr2bl w:val="nil"/>
            </w:tcBorders>
            <w:vAlign w:val="center"/>
          </w:tcPr>
          <w:p w14:paraId="7B3A6406">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0.189 </w:t>
            </w:r>
          </w:p>
        </w:tc>
        <w:tc>
          <w:tcPr>
            <w:tcW w:w="1680" w:type="dxa"/>
            <w:tcBorders>
              <w:tl2br w:val="nil"/>
              <w:tr2bl w:val="nil"/>
            </w:tcBorders>
            <w:vAlign w:val="center"/>
          </w:tcPr>
          <w:p w14:paraId="0A1C3AD6">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225D3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BE01909">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4F2D3A9F">
            <w:pPr>
              <w:spacing w:line="320" w:lineRule="exact"/>
              <w:jc w:val="center"/>
              <w:rPr>
                <w:rFonts w:ascii="宋体" w:hAnsi="宋体" w:eastAsia="宋体" w:cs="Times New Roman"/>
                <w:color w:val="auto"/>
              </w:rPr>
            </w:pPr>
            <w:r>
              <w:rPr>
                <w:rFonts w:ascii="宋体" w:hAnsi="宋体" w:eastAsia="宋体" w:cs="Times New Roman"/>
                <w:color w:val="auto"/>
              </w:rPr>
              <w:t>肇源镇</w:t>
            </w:r>
          </w:p>
        </w:tc>
        <w:tc>
          <w:tcPr>
            <w:tcW w:w="1006" w:type="dxa"/>
            <w:tcBorders>
              <w:tl2br w:val="nil"/>
              <w:tr2bl w:val="nil"/>
            </w:tcBorders>
            <w:vAlign w:val="center"/>
          </w:tcPr>
          <w:p w14:paraId="152EC320">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3E00628A">
            <w:pPr>
              <w:spacing w:line="320" w:lineRule="exact"/>
              <w:jc w:val="center"/>
              <w:rPr>
                <w:rFonts w:ascii="宋体" w:hAnsi="宋体" w:eastAsia="宋体" w:cs="Times New Roman"/>
                <w:color w:val="auto"/>
              </w:rPr>
            </w:pPr>
            <w:r>
              <w:rPr>
                <w:rFonts w:ascii="宋体" w:hAnsi="宋体" w:eastAsia="宋体" w:cs="Times New Roman"/>
                <w:color w:val="auto"/>
              </w:rPr>
              <w:t>2.93884</w:t>
            </w:r>
          </w:p>
        </w:tc>
        <w:tc>
          <w:tcPr>
            <w:tcW w:w="1268" w:type="dxa"/>
            <w:tcBorders>
              <w:tl2br w:val="nil"/>
              <w:tr2bl w:val="nil"/>
            </w:tcBorders>
            <w:vAlign w:val="center"/>
          </w:tcPr>
          <w:p w14:paraId="2FD11FA6">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0.147 </w:t>
            </w:r>
          </w:p>
        </w:tc>
        <w:tc>
          <w:tcPr>
            <w:tcW w:w="1680" w:type="dxa"/>
            <w:tcBorders>
              <w:tl2br w:val="nil"/>
              <w:tr2bl w:val="nil"/>
            </w:tcBorders>
            <w:vAlign w:val="center"/>
          </w:tcPr>
          <w:p w14:paraId="04B80324">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3D3FE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DCAB72D">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14E2258C">
            <w:pPr>
              <w:spacing w:line="320" w:lineRule="exact"/>
              <w:jc w:val="center"/>
              <w:rPr>
                <w:rFonts w:ascii="宋体" w:hAnsi="宋体" w:eastAsia="宋体" w:cs="Times New Roman"/>
                <w:color w:val="auto"/>
              </w:rPr>
            </w:pPr>
            <w:r>
              <w:rPr>
                <w:rFonts w:ascii="宋体" w:hAnsi="宋体" w:eastAsia="宋体" w:cs="Times New Roman"/>
                <w:color w:val="auto"/>
              </w:rPr>
              <w:t>大姚屯</w:t>
            </w:r>
          </w:p>
        </w:tc>
        <w:tc>
          <w:tcPr>
            <w:tcW w:w="1006" w:type="dxa"/>
            <w:tcBorders>
              <w:tl2br w:val="nil"/>
              <w:tr2bl w:val="nil"/>
            </w:tcBorders>
            <w:vAlign w:val="center"/>
          </w:tcPr>
          <w:p w14:paraId="42C72A6D">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6DB364C5">
            <w:pPr>
              <w:spacing w:line="320" w:lineRule="exact"/>
              <w:jc w:val="center"/>
              <w:rPr>
                <w:rFonts w:ascii="宋体" w:hAnsi="宋体" w:eastAsia="宋体" w:cs="Times New Roman"/>
                <w:color w:val="auto"/>
              </w:rPr>
            </w:pPr>
            <w:r>
              <w:rPr>
                <w:rFonts w:ascii="宋体" w:hAnsi="宋体" w:eastAsia="宋体" w:cs="Times New Roman"/>
                <w:color w:val="auto"/>
              </w:rPr>
              <w:t>2.4522</w:t>
            </w:r>
          </w:p>
        </w:tc>
        <w:tc>
          <w:tcPr>
            <w:tcW w:w="1268" w:type="dxa"/>
            <w:tcBorders>
              <w:tl2br w:val="nil"/>
              <w:tr2bl w:val="nil"/>
            </w:tcBorders>
            <w:vAlign w:val="center"/>
          </w:tcPr>
          <w:p w14:paraId="162DDD38">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0.123 </w:t>
            </w:r>
          </w:p>
        </w:tc>
        <w:tc>
          <w:tcPr>
            <w:tcW w:w="1680" w:type="dxa"/>
            <w:tcBorders>
              <w:tl2br w:val="nil"/>
              <w:tr2bl w:val="nil"/>
            </w:tcBorders>
            <w:vAlign w:val="center"/>
          </w:tcPr>
          <w:p w14:paraId="788C665C">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552D9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69037AA">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75B45EB4">
            <w:pPr>
              <w:spacing w:line="320" w:lineRule="exact"/>
              <w:jc w:val="center"/>
              <w:rPr>
                <w:rFonts w:ascii="宋体" w:hAnsi="宋体" w:eastAsia="宋体" w:cs="Times New Roman"/>
                <w:color w:val="auto"/>
              </w:rPr>
            </w:pPr>
            <w:r>
              <w:rPr>
                <w:rFonts w:ascii="宋体" w:hAnsi="宋体" w:eastAsia="宋体" w:cs="Times New Roman"/>
                <w:color w:val="auto"/>
              </w:rPr>
              <w:t>科技屯</w:t>
            </w:r>
          </w:p>
        </w:tc>
        <w:tc>
          <w:tcPr>
            <w:tcW w:w="1006" w:type="dxa"/>
            <w:tcBorders>
              <w:tl2br w:val="nil"/>
              <w:tr2bl w:val="nil"/>
            </w:tcBorders>
            <w:vAlign w:val="center"/>
          </w:tcPr>
          <w:p w14:paraId="23A21973">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1CB72693">
            <w:pPr>
              <w:spacing w:line="320" w:lineRule="exact"/>
              <w:jc w:val="center"/>
              <w:rPr>
                <w:rFonts w:ascii="宋体" w:hAnsi="宋体" w:eastAsia="宋体" w:cs="Times New Roman"/>
                <w:color w:val="auto"/>
              </w:rPr>
            </w:pPr>
            <w:r>
              <w:rPr>
                <w:rFonts w:ascii="宋体" w:hAnsi="宋体" w:eastAsia="宋体" w:cs="Times New Roman"/>
                <w:color w:val="auto"/>
              </w:rPr>
              <w:t>2.60025</w:t>
            </w:r>
          </w:p>
        </w:tc>
        <w:tc>
          <w:tcPr>
            <w:tcW w:w="1268" w:type="dxa"/>
            <w:tcBorders>
              <w:tl2br w:val="nil"/>
              <w:tr2bl w:val="nil"/>
            </w:tcBorders>
            <w:vAlign w:val="center"/>
          </w:tcPr>
          <w:p w14:paraId="394F880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0.130 </w:t>
            </w:r>
          </w:p>
        </w:tc>
        <w:tc>
          <w:tcPr>
            <w:tcW w:w="1680" w:type="dxa"/>
            <w:tcBorders>
              <w:tl2br w:val="nil"/>
              <w:tr2bl w:val="nil"/>
            </w:tcBorders>
            <w:vAlign w:val="center"/>
          </w:tcPr>
          <w:p w14:paraId="3B2352D5">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7C331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0D63DC3">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460C5455">
            <w:pPr>
              <w:spacing w:line="320" w:lineRule="exact"/>
              <w:jc w:val="center"/>
              <w:rPr>
                <w:rFonts w:ascii="宋体" w:hAnsi="宋体" w:eastAsia="宋体" w:cs="Times New Roman"/>
                <w:color w:val="auto"/>
              </w:rPr>
            </w:pPr>
            <w:r>
              <w:rPr>
                <w:rFonts w:ascii="宋体" w:hAnsi="宋体" w:eastAsia="宋体" w:cs="Times New Roman"/>
                <w:color w:val="auto"/>
              </w:rPr>
              <w:t>东小山屯</w:t>
            </w:r>
          </w:p>
        </w:tc>
        <w:tc>
          <w:tcPr>
            <w:tcW w:w="1006" w:type="dxa"/>
            <w:tcBorders>
              <w:tl2br w:val="nil"/>
              <w:tr2bl w:val="nil"/>
            </w:tcBorders>
            <w:vAlign w:val="center"/>
          </w:tcPr>
          <w:p w14:paraId="620C0955">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2CEF486">
            <w:pPr>
              <w:spacing w:line="320" w:lineRule="exact"/>
              <w:jc w:val="center"/>
              <w:rPr>
                <w:rFonts w:ascii="宋体" w:hAnsi="宋体" w:eastAsia="宋体" w:cs="Times New Roman"/>
                <w:color w:val="auto"/>
              </w:rPr>
            </w:pPr>
            <w:r>
              <w:rPr>
                <w:rFonts w:ascii="宋体" w:hAnsi="宋体" w:eastAsia="宋体" w:cs="Times New Roman"/>
                <w:color w:val="auto"/>
              </w:rPr>
              <w:t>2.3029</w:t>
            </w:r>
          </w:p>
        </w:tc>
        <w:tc>
          <w:tcPr>
            <w:tcW w:w="1268" w:type="dxa"/>
            <w:tcBorders>
              <w:tl2br w:val="nil"/>
              <w:tr2bl w:val="nil"/>
            </w:tcBorders>
            <w:vAlign w:val="center"/>
          </w:tcPr>
          <w:p w14:paraId="588768B5">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0.115 </w:t>
            </w:r>
          </w:p>
        </w:tc>
        <w:tc>
          <w:tcPr>
            <w:tcW w:w="1680" w:type="dxa"/>
            <w:tcBorders>
              <w:tl2br w:val="nil"/>
              <w:tr2bl w:val="nil"/>
            </w:tcBorders>
            <w:vAlign w:val="center"/>
          </w:tcPr>
          <w:p w14:paraId="5DC8D227">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56E1C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E05A75A">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49F1FCE3">
            <w:pPr>
              <w:spacing w:line="320" w:lineRule="exact"/>
              <w:jc w:val="center"/>
              <w:rPr>
                <w:rFonts w:ascii="宋体" w:hAnsi="宋体" w:eastAsia="宋体" w:cs="Times New Roman"/>
                <w:color w:val="auto"/>
              </w:rPr>
            </w:pPr>
            <w:r>
              <w:rPr>
                <w:rFonts w:ascii="宋体" w:hAnsi="宋体" w:eastAsia="宋体" w:cs="Times New Roman"/>
                <w:color w:val="auto"/>
              </w:rPr>
              <w:t>协力村</w:t>
            </w:r>
          </w:p>
        </w:tc>
        <w:tc>
          <w:tcPr>
            <w:tcW w:w="1006" w:type="dxa"/>
            <w:tcBorders>
              <w:tl2br w:val="nil"/>
              <w:tr2bl w:val="nil"/>
            </w:tcBorders>
            <w:vAlign w:val="center"/>
          </w:tcPr>
          <w:p w14:paraId="637F7E75">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D234138">
            <w:pPr>
              <w:spacing w:line="320" w:lineRule="exact"/>
              <w:jc w:val="center"/>
              <w:rPr>
                <w:rFonts w:ascii="宋体" w:hAnsi="宋体" w:eastAsia="宋体" w:cs="Times New Roman"/>
                <w:color w:val="auto"/>
              </w:rPr>
            </w:pPr>
            <w:r>
              <w:rPr>
                <w:rFonts w:ascii="宋体" w:hAnsi="宋体" w:eastAsia="宋体" w:cs="Times New Roman"/>
                <w:color w:val="auto"/>
              </w:rPr>
              <w:t>2.12354</w:t>
            </w:r>
          </w:p>
        </w:tc>
        <w:tc>
          <w:tcPr>
            <w:tcW w:w="1268" w:type="dxa"/>
            <w:tcBorders>
              <w:tl2br w:val="nil"/>
              <w:tr2bl w:val="nil"/>
            </w:tcBorders>
            <w:vAlign w:val="center"/>
          </w:tcPr>
          <w:p w14:paraId="3C89DEB4">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0.106 </w:t>
            </w:r>
          </w:p>
        </w:tc>
        <w:tc>
          <w:tcPr>
            <w:tcW w:w="1680" w:type="dxa"/>
            <w:tcBorders>
              <w:tl2br w:val="nil"/>
              <w:tr2bl w:val="nil"/>
            </w:tcBorders>
            <w:vAlign w:val="center"/>
          </w:tcPr>
          <w:p w14:paraId="103185AC">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7231C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EDAF50D">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20F7B36A">
            <w:pPr>
              <w:spacing w:line="320" w:lineRule="exact"/>
              <w:jc w:val="center"/>
              <w:rPr>
                <w:rFonts w:ascii="宋体" w:hAnsi="宋体" w:eastAsia="宋体" w:cs="Times New Roman"/>
                <w:color w:val="auto"/>
              </w:rPr>
            </w:pPr>
            <w:r>
              <w:rPr>
                <w:rFonts w:ascii="宋体" w:hAnsi="宋体" w:eastAsia="宋体" w:cs="Times New Roman"/>
                <w:color w:val="auto"/>
              </w:rPr>
              <w:t>友谊村</w:t>
            </w:r>
          </w:p>
        </w:tc>
        <w:tc>
          <w:tcPr>
            <w:tcW w:w="1006" w:type="dxa"/>
            <w:tcBorders>
              <w:tl2br w:val="nil"/>
              <w:tr2bl w:val="nil"/>
            </w:tcBorders>
            <w:vAlign w:val="center"/>
          </w:tcPr>
          <w:p w14:paraId="59AAAC1E">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399E719">
            <w:pPr>
              <w:spacing w:line="320" w:lineRule="exact"/>
              <w:jc w:val="center"/>
              <w:rPr>
                <w:rFonts w:ascii="宋体" w:hAnsi="宋体" w:eastAsia="宋体" w:cs="Times New Roman"/>
                <w:color w:val="auto"/>
              </w:rPr>
            </w:pPr>
            <w:r>
              <w:rPr>
                <w:rFonts w:ascii="宋体" w:hAnsi="宋体" w:eastAsia="宋体" w:cs="Times New Roman"/>
                <w:color w:val="auto"/>
              </w:rPr>
              <w:t>2.1537</w:t>
            </w:r>
          </w:p>
        </w:tc>
        <w:tc>
          <w:tcPr>
            <w:tcW w:w="1268" w:type="dxa"/>
            <w:tcBorders>
              <w:tl2br w:val="nil"/>
              <w:tr2bl w:val="nil"/>
            </w:tcBorders>
            <w:vAlign w:val="center"/>
          </w:tcPr>
          <w:p w14:paraId="424368A6">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0.108 </w:t>
            </w:r>
          </w:p>
        </w:tc>
        <w:tc>
          <w:tcPr>
            <w:tcW w:w="1680" w:type="dxa"/>
            <w:tcBorders>
              <w:tl2br w:val="nil"/>
              <w:tr2bl w:val="nil"/>
            </w:tcBorders>
            <w:vAlign w:val="center"/>
          </w:tcPr>
          <w:p w14:paraId="2F12757B">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2E34C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B912566">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0A54BC0F">
            <w:pPr>
              <w:spacing w:line="320" w:lineRule="exact"/>
              <w:jc w:val="center"/>
              <w:rPr>
                <w:rFonts w:ascii="宋体" w:hAnsi="宋体" w:eastAsia="宋体" w:cs="Times New Roman"/>
                <w:color w:val="auto"/>
              </w:rPr>
            </w:pPr>
            <w:r>
              <w:rPr>
                <w:rFonts w:ascii="宋体" w:hAnsi="宋体" w:eastAsia="宋体" w:cs="Times New Roman"/>
                <w:color w:val="auto"/>
              </w:rPr>
              <w:t>刘兽医屯</w:t>
            </w:r>
          </w:p>
        </w:tc>
        <w:tc>
          <w:tcPr>
            <w:tcW w:w="1006" w:type="dxa"/>
            <w:tcBorders>
              <w:tl2br w:val="nil"/>
              <w:tr2bl w:val="nil"/>
            </w:tcBorders>
            <w:vAlign w:val="center"/>
          </w:tcPr>
          <w:p w14:paraId="6FBF449E">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17B851F2">
            <w:pPr>
              <w:spacing w:line="320" w:lineRule="exact"/>
              <w:jc w:val="center"/>
              <w:rPr>
                <w:rFonts w:ascii="宋体" w:hAnsi="宋体" w:eastAsia="宋体" w:cs="Times New Roman"/>
                <w:color w:val="auto"/>
              </w:rPr>
            </w:pPr>
            <w:r>
              <w:rPr>
                <w:rFonts w:ascii="宋体" w:hAnsi="宋体" w:eastAsia="宋体" w:cs="Times New Roman"/>
                <w:color w:val="auto"/>
              </w:rPr>
              <w:t>2.28477</w:t>
            </w:r>
          </w:p>
        </w:tc>
        <w:tc>
          <w:tcPr>
            <w:tcW w:w="1268" w:type="dxa"/>
            <w:tcBorders>
              <w:tl2br w:val="nil"/>
              <w:tr2bl w:val="nil"/>
            </w:tcBorders>
            <w:vAlign w:val="center"/>
          </w:tcPr>
          <w:p w14:paraId="152C5DCD">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0.114 </w:t>
            </w:r>
          </w:p>
        </w:tc>
        <w:tc>
          <w:tcPr>
            <w:tcW w:w="1680" w:type="dxa"/>
            <w:tcBorders>
              <w:tl2br w:val="nil"/>
              <w:tr2bl w:val="nil"/>
            </w:tcBorders>
            <w:vAlign w:val="center"/>
          </w:tcPr>
          <w:p w14:paraId="62172D61">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6C246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AA9BFB6">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1D2C77DF">
            <w:pPr>
              <w:spacing w:line="320" w:lineRule="exact"/>
              <w:jc w:val="center"/>
              <w:rPr>
                <w:rFonts w:ascii="宋体" w:hAnsi="宋体" w:eastAsia="宋体" w:cs="Times New Roman"/>
                <w:color w:val="auto"/>
              </w:rPr>
            </w:pPr>
            <w:r>
              <w:rPr>
                <w:rFonts w:ascii="宋体" w:hAnsi="宋体" w:eastAsia="宋体" w:cs="Times New Roman"/>
                <w:color w:val="auto"/>
              </w:rPr>
              <w:t>大三马架屯</w:t>
            </w:r>
          </w:p>
        </w:tc>
        <w:tc>
          <w:tcPr>
            <w:tcW w:w="1006" w:type="dxa"/>
            <w:tcBorders>
              <w:tl2br w:val="nil"/>
              <w:tr2bl w:val="nil"/>
            </w:tcBorders>
            <w:vAlign w:val="center"/>
          </w:tcPr>
          <w:p w14:paraId="4DFF55D1">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578C086B">
            <w:pPr>
              <w:spacing w:line="320" w:lineRule="exact"/>
              <w:jc w:val="center"/>
              <w:rPr>
                <w:rFonts w:ascii="宋体" w:hAnsi="宋体" w:eastAsia="宋体" w:cs="Times New Roman"/>
                <w:color w:val="auto"/>
              </w:rPr>
            </w:pPr>
            <w:r>
              <w:rPr>
                <w:rFonts w:ascii="宋体" w:hAnsi="宋体" w:eastAsia="宋体" w:cs="Times New Roman"/>
                <w:color w:val="auto"/>
              </w:rPr>
              <w:t>1.91081</w:t>
            </w:r>
          </w:p>
        </w:tc>
        <w:tc>
          <w:tcPr>
            <w:tcW w:w="1268" w:type="dxa"/>
            <w:tcBorders>
              <w:tl2br w:val="nil"/>
              <w:tr2bl w:val="nil"/>
            </w:tcBorders>
            <w:vAlign w:val="center"/>
          </w:tcPr>
          <w:p w14:paraId="322BD461">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0.096 </w:t>
            </w:r>
          </w:p>
        </w:tc>
        <w:tc>
          <w:tcPr>
            <w:tcW w:w="1680" w:type="dxa"/>
            <w:tcBorders>
              <w:tl2br w:val="nil"/>
              <w:tr2bl w:val="nil"/>
            </w:tcBorders>
            <w:vAlign w:val="center"/>
          </w:tcPr>
          <w:p w14:paraId="567F491B">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3A9FF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CDCCB50">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4D708DF5">
            <w:pPr>
              <w:spacing w:line="320" w:lineRule="exact"/>
              <w:jc w:val="center"/>
              <w:rPr>
                <w:rFonts w:ascii="宋体" w:hAnsi="宋体" w:eastAsia="宋体" w:cs="Times New Roman"/>
                <w:color w:val="auto"/>
              </w:rPr>
            </w:pPr>
            <w:r>
              <w:rPr>
                <w:rFonts w:ascii="宋体" w:hAnsi="宋体" w:eastAsia="宋体" w:cs="Times New Roman"/>
                <w:color w:val="auto"/>
              </w:rPr>
              <w:t>黑岗子屯</w:t>
            </w:r>
          </w:p>
        </w:tc>
        <w:tc>
          <w:tcPr>
            <w:tcW w:w="1006" w:type="dxa"/>
            <w:tcBorders>
              <w:tl2br w:val="nil"/>
              <w:tr2bl w:val="nil"/>
            </w:tcBorders>
            <w:vAlign w:val="center"/>
          </w:tcPr>
          <w:p w14:paraId="7202DE4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7316F1D5">
            <w:pPr>
              <w:spacing w:line="320" w:lineRule="exact"/>
              <w:jc w:val="center"/>
              <w:rPr>
                <w:rFonts w:ascii="宋体" w:hAnsi="宋体" w:eastAsia="宋体" w:cs="Times New Roman"/>
                <w:color w:val="auto"/>
              </w:rPr>
            </w:pPr>
            <w:r>
              <w:rPr>
                <w:rFonts w:ascii="宋体" w:hAnsi="宋体" w:eastAsia="宋体" w:cs="Times New Roman"/>
                <w:color w:val="auto"/>
              </w:rPr>
              <w:t>4.90166</w:t>
            </w:r>
          </w:p>
        </w:tc>
        <w:tc>
          <w:tcPr>
            <w:tcW w:w="1268" w:type="dxa"/>
            <w:tcBorders>
              <w:tl2br w:val="nil"/>
              <w:tr2bl w:val="nil"/>
            </w:tcBorders>
            <w:vAlign w:val="center"/>
          </w:tcPr>
          <w:p w14:paraId="52486BB1">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0.245 </w:t>
            </w:r>
          </w:p>
        </w:tc>
        <w:tc>
          <w:tcPr>
            <w:tcW w:w="1680" w:type="dxa"/>
            <w:tcBorders>
              <w:tl2br w:val="nil"/>
              <w:tr2bl w:val="nil"/>
            </w:tcBorders>
            <w:vAlign w:val="center"/>
          </w:tcPr>
          <w:p w14:paraId="3F58541F">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0B7D0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59B8587">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5A5E5014">
            <w:pPr>
              <w:spacing w:line="320" w:lineRule="exact"/>
              <w:jc w:val="center"/>
              <w:rPr>
                <w:rFonts w:ascii="宋体" w:hAnsi="宋体" w:eastAsia="宋体" w:cs="Times New Roman"/>
                <w:color w:val="auto"/>
              </w:rPr>
            </w:pPr>
            <w:r>
              <w:rPr>
                <w:rFonts w:ascii="宋体" w:hAnsi="宋体" w:eastAsia="宋体" w:cs="Times New Roman"/>
                <w:color w:val="auto"/>
              </w:rPr>
              <w:t>代龙村</w:t>
            </w:r>
          </w:p>
        </w:tc>
        <w:tc>
          <w:tcPr>
            <w:tcW w:w="1006" w:type="dxa"/>
            <w:tcBorders>
              <w:tl2br w:val="nil"/>
              <w:tr2bl w:val="nil"/>
            </w:tcBorders>
            <w:vAlign w:val="center"/>
          </w:tcPr>
          <w:p w14:paraId="6F32E668">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EBE0724">
            <w:pPr>
              <w:spacing w:line="320" w:lineRule="exact"/>
              <w:jc w:val="center"/>
              <w:rPr>
                <w:rFonts w:ascii="宋体" w:hAnsi="宋体" w:eastAsia="宋体" w:cs="Times New Roman"/>
                <w:color w:val="auto"/>
              </w:rPr>
            </w:pPr>
            <w:r>
              <w:rPr>
                <w:rFonts w:ascii="宋体" w:hAnsi="宋体" w:eastAsia="宋体" w:cs="Times New Roman"/>
                <w:color w:val="auto"/>
              </w:rPr>
              <w:t>2.45486</w:t>
            </w:r>
          </w:p>
        </w:tc>
        <w:tc>
          <w:tcPr>
            <w:tcW w:w="1268" w:type="dxa"/>
            <w:tcBorders>
              <w:tl2br w:val="nil"/>
              <w:tr2bl w:val="nil"/>
            </w:tcBorders>
            <w:vAlign w:val="center"/>
          </w:tcPr>
          <w:p w14:paraId="2B249E29">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0.123 </w:t>
            </w:r>
          </w:p>
        </w:tc>
        <w:tc>
          <w:tcPr>
            <w:tcW w:w="1680" w:type="dxa"/>
            <w:tcBorders>
              <w:tl2br w:val="nil"/>
              <w:tr2bl w:val="nil"/>
            </w:tcBorders>
            <w:vAlign w:val="center"/>
          </w:tcPr>
          <w:p w14:paraId="36D45992">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39E6F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63ECEC6">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428F650F">
            <w:pPr>
              <w:spacing w:line="320" w:lineRule="exact"/>
              <w:jc w:val="center"/>
              <w:rPr>
                <w:rFonts w:ascii="宋体" w:hAnsi="宋体" w:eastAsia="宋体" w:cs="Times New Roman"/>
                <w:color w:val="auto"/>
              </w:rPr>
            </w:pPr>
            <w:r>
              <w:rPr>
                <w:rFonts w:ascii="宋体" w:hAnsi="宋体" w:eastAsia="宋体" w:cs="Times New Roman"/>
                <w:color w:val="auto"/>
              </w:rPr>
              <w:t>刘喜屯</w:t>
            </w:r>
          </w:p>
        </w:tc>
        <w:tc>
          <w:tcPr>
            <w:tcW w:w="1006" w:type="dxa"/>
            <w:tcBorders>
              <w:tl2br w:val="nil"/>
              <w:tr2bl w:val="nil"/>
            </w:tcBorders>
            <w:vAlign w:val="center"/>
          </w:tcPr>
          <w:p w14:paraId="1224D634">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A3A55FE">
            <w:pPr>
              <w:spacing w:line="320" w:lineRule="exact"/>
              <w:jc w:val="center"/>
              <w:rPr>
                <w:rFonts w:ascii="宋体" w:hAnsi="宋体" w:eastAsia="宋体" w:cs="Times New Roman"/>
                <w:color w:val="auto"/>
              </w:rPr>
            </w:pPr>
            <w:r>
              <w:rPr>
                <w:rFonts w:ascii="宋体" w:hAnsi="宋体" w:eastAsia="宋体" w:cs="Times New Roman"/>
                <w:color w:val="auto"/>
              </w:rPr>
              <w:t>2.24629</w:t>
            </w:r>
          </w:p>
        </w:tc>
        <w:tc>
          <w:tcPr>
            <w:tcW w:w="1268" w:type="dxa"/>
            <w:tcBorders>
              <w:tl2br w:val="nil"/>
              <w:tr2bl w:val="nil"/>
            </w:tcBorders>
            <w:vAlign w:val="center"/>
          </w:tcPr>
          <w:p w14:paraId="1B01C798">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0.112 </w:t>
            </w:r>
          </w:p>
        </w:tc>
        <w:tc>
          <w:tcPr>
            <w:tcW w:w="1680" w:type="dxa"/>
            <w:tcBorders>
              <w:tl2br w:val="nil"/>
              <w:tr2bl w:val="nil"/>
            </w:tcBorders>
            <w:vAlign w:val="center"/>
          </w:tcPr>
          <w:p w14:paraId="2E52CF49">
            <w:pPr>
              <w:spacing w:line="320" w:lineRule="exact"/>
              <w:jc w:val="center"/>
              <w:rPr>
                <w:rFonts w:ascii="宋体" w:hAnsi="宋体" w:eastAsia="宋体" w:cs="Times New Roman"/>
                <w:color w:val="auto"/>
              </w:rPr>
            </w:pPr>
            <w:r>
              <w:rPr>
                <w:rFonts w:ascii="宋体" w:hAnsi="宋体" w:eastAsia="宋体" w:cs="Times New Roman"/>
                <w:color w:val="auto"/>
              </w:rPr>
              <w:t>≤100%达标</w:t>
            </w:r>
          </w:p>
        </w:tc>
      </w:tr>
      <w:tr w14:paraId="5E3C2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restart"/>
            <w:tcBorders>
              <w:tl2br w:val="nil"/>
              <w:tr2bl w:val="nil"/>
            </w:tcBorders>
            <w:vAlign w:val="center"/>
          </w:tcPr>
          <w:p w14:paraId="6DC921A2">
            <w:pPr>
              <w:spacing w:line="320" w:lineRule="exact"/>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2370" w:type="dxa"/>
            <w:vMerge w:val="restart"/>
            <w:tcBorders>
              <w:tl2br w:val="nil"/>
              <w:tr2bl w:val="nil"/>
            </w:tcBorders>
            <w:vAlign w:val="center"/>
          </w:tcPr>
          <w:p w14:paraId="581C4208">
            <w:pPr>
              <w:spacing w:line="320" w:lineRule="exact"/>
              <w:jc w:val="center"/>
              <w:rPr>
                <w:rFonts w:ascii="宋体" w:hAnsi="宋体" w:eastAsia="宋体" w:cs="Times New Roman"/>
                <w:color w:val="auto"/>
              </w:rPr>
            </w:pPr>
            <w:r>
              <w:rPr>
                <w:rFonts w:ascii="宋体" w:hAnsi="宋体" w:eastAsia="宋体" w:cs="Times New Roman"/>
                <w:color w:val="auto"/>
              </w:rPr>
              <w:t>小欧力马屯</w:t>
            </w:r>
          </w:p>
        </w:tc>
        <w:tc>
          <w:tcPr>
            <w:tcW w:w="1006" w:type="dxa"/>
            <w:tcBorders>
              <w:tl2br w:val="nil"/>
              <w:tr2bl w:val="nil"/>
            </w:tcBorders>
            <w:vAlign w:val="center"/>
          </w:tcPr>
          <w:p w14:paraId="4F1E0240">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4D4926D1">
            <w:pPr>
              <w:spacing w:line="320" w:lineRule="exact"/>
              <w:jc w:val="center"/>
              <w:rPr>
                <w:rFonts w:ascii="宋体" w:hAnsi="宋体" w:eastAsia="宋体" w:cs="Times New Roman"/>
                <w:color w:val="auto"/>
              </w:rPr>
            </w:pPr>
            <w:r>
              <w:rPr>
                <w:rFonts w:ascii="宋体" w:hAnsi="宋体" w:eastAsia="宋体" w:cs="Times New Roman"/>
                <w:color w:val="auto"/>
              </w:rPr>
              <w:t>0.00951</w:t>
            </w:r>
          </w:p>
        </w:tc>
        <w:tc>
          <w:tcPr>
            <w:tcW w:w="1268" w:type="dxa"/>
            <w:tcBorders>
              <w:tl2br w:val="nil"/>
              <w:tr2bl w:val="nil"/>
            </w:tcBorders>
            <w:vAlign w:val="center"/>
          </w:tcPr>
          <w:p w14:paraId="0A630A67">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0.016 </w:t>
            </w:r>
          </w:p>
        </w:tc>
        <w:tc>
          <w:tcPr>
            <w:tcW w:w="1680" w:type="dxa"/>
            <w:tcBorders>
              <w:tl2br w:val="nil"/>
              <w:tr2bl w:val="nil"/>
            </w:tcBorders>
            <w:vAlign w:val="center"/>
          </w:tcPr>
          <w:p w14:paraId="1492C92B">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3E0C6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5F6C971">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79AD7A2">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7A4F24AF">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493F4EAD">
            <w:pPr>
              <w:spacing w:line="320" w:lineRule="exact"/>
              <w:jc w:val="center"/>
              <w:rPr>
                <w:rFonts w:ascii="宋体" w:hAnsi="宋体" w:eastAsia="宋体" w:cs="Times New Roman"/>
                <w:color w:val="auto"/>
              </w:rPr>
            </w:pPr>
            <w:r>
              <w:rPr>
                <w:rFonts w:ascii="宋体" w:hAnsi="宋体" w:eastAsia="宋体" w:cs="Times New Roman"/>
                <w:color w:val="auto"/>
              </w:rPr>
              <w:t>0.06803</w:t>
            </w:r>
          </w:p>
        </w:tc>
        <w:tc>
          <w:tcPr>
            <w:tcW w:w="1268" w:type="dxa"/>
            <w:tcBorders>
              <w:tl2br w:val="nil"/>
              <w:tr2bl w:val="nil"/>
            </w:tcBorders>
            <w:vAlign w:val="center"/>
          </w:tcPr>
          <w:p w14:paraId="1CBA1B7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0.045 </w:t>
            </w:r>
          </w:p>
        </w:tc>
        <w:tc>
          <w:tcPr>
            <w:tcW w:w="1680" w:type="dxa"/>
            <w:tcBorders>
              <w:tl2br w:val="nil"/>
              <w:tr2bl w:val="nil"/>
            </w:tcBorders>
            <w:vAlign w:val="center"/>
          </w:tcPr>
          <w:p w14:paraId="2ABD5FAE">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71C73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C8447CA">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79C3147A">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4BF59583">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775B2E9">
            <w:pPr>
              <w:spacing w:line="320" w:lineRule="exact"/>
              <w:jc w:val="center"/>
              <w:rPr>
                <w:rFonts w:ascii="宋体" w:hAnsi="宋体" w:eastAsia="宋体" w:cs="Times New Roman"/>
                <w:color w:val="auto"/>
              </w:rPr>
            </w:pPr>
            <w:r>
              <w:rPr>
                <w:rFonts w:ascii="宋体" w:hAnsi="宋体" w:eastAsia="宋体" w:cs="Times New Roman"/>
                <w:color w:val="auto"/>
              </w:rPr>
              <w:t>0.29838</w:t>
            </w:r>
          </w:p>
        </w:tc>
        <w:tc>
          <w:tcPr>
            <w:tcW w:w="1268" w:type="dxa"/>
            <w:tcBorders>
              <w:tl2br w:val="nil"/>
              <w:tr2bl w:val="nil"/>
            </w:tcBorders>
            <w:vAlign w:val="center"/>
          </w:tcPr>
          <w:p w14:paraId="695D52D5">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0.060 </w:t>
            </w:r>
          </w:p>
        </w:tc>
        <w:tc>
          <w:tcPr>
            <w:tcW w:w="1680" w:type="dxa"/>
            <w:tcBorders>
              <w:tl2br w:val="nil"/>
              <w:tr2bl w:val="nil"/>
            </w:tcBorders>
            <w:vAlign w:val="center"/>
          </w:tcPr>
          <w:p w14:paraId="3C3FAC71">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FC39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285A935">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5CB8F6D9">
            <w:pPr>
              <w:spacing w:line="320" w:lineRule="exact"/>
              <w:jc w:val="center"/>
              <w:rPr>
                <w:rFonts w:ascii="宋体" w:hAnsi="宋体" w:eastAsia="宋体" w:cs="Times New Roman"/>
                <w:color w:val="auto"/>
              </w:rPr>
            </w:pPr>
            <w:r>
              <w:rPr>
                <w:rFonts w:ascii="宋体" w:hAnsi="宋体" w:eastAsia="宋体" w:cs="Times New Roman"/>
                <w:color w:val="auto"/>
              </w:rPr>
              <w:t>立功村</w:t>
            </w:r>
          </w:p>
        </w:tc>
        <w:tc>
          <w:tcPr>
            <w:tcW w:w="1006" w:type="dxa"/>
            <w:tcBorders>
              <w:tl2br w:val="nil"/>
              <w:tr2bl w:val="nil"/>
            </w:tcBorders>
            <w:vAlign w:val="center"/>
          </w:tcPr>
          <w:p w14:paraId="3EE2BD33">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1B811A42">
            <w:pPr>
              <w:spacing w:line="320" w:lineRule="exact"/>
              <w:jc w:val="center"/>
              <w:rPr>
                <w:rFonts w:ascii="宋体" w:hAnsi="宋体" w:eastAsia="宋体" w:cs="Times New Roman"/>
                <w:color w:val="auto"/>
              </w:rPr>
            </w:pPr>
            <w:r>
              <w:rPr>
                <w:rFonts w:ascii="宋体" w:hAnsi="宋体" w:eastAsia="宋体" w:cs="Times New Roman"/>
                <w:color w:val="auto"/>
              </w:rPr>
              <w:t>0.00604</w:t>
            </w:r>
          </w:p>
        </w:tc>
        <w:tc>
          <w:tcPr>
            <w:tcW w:w="1268" w:type="dxa"/>
            <w:tcBorders>
              <w:tl2br w:val="nil"/>
              <w:tr2bl w:val="nil"/>
            </w:tcBorders>
            <w:vAlign w:val="center"/>
          </w:tcPr>
          <w:p w14:paraId="42D90974">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0.010 </w:t>
            </w:r>
          </w:p>
        </w:tc>
        <w:tc>
          <w:tcPr>
            <w:tcW w:w="1680" w:type="dxa"/>
            <w:tcBorders>
              <w:tl2br w:val="nil"/>
              <w:tr2bl w:val="nil"/>
            </w:tcBorders>
            <w:vAlign w:val="center"/>
          </w:tcPr>
          <w:p w14:paraId="1B4C78D1">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0951A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E690ADD">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4ED2B266">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0412E579">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63FA1471">
            <w:pPr>
              <w:spacing w:line="320" w:lineRule="exact"/>
              <w:jc w:val="center"/>
              <w:rPr>
                <w:rFonts w:ascii="宋体" w:hAnsi="宋体" w:eastAsia="宋体" w:cs="Times New Roman"/>
                <w:color w:val="auto"/>
              </w:rPr>
            </w:pPr>
            <w:r>
              <w:rPr>
                <w:rFonts w:ascii="宋体" w:hAnsi="宋体" w:eastAsia="宋体" w:cs="Times New Roman"/>
                <w:color w:val="auto"/>
              </w:rPr>
              <w:t>0.05032</w:t>
            </w:r>
          </w:p>
        </w:tc>
        <w:tc>
          <w:tcPr>
            <w:tcW w:w="1268" w:type="dxa"/>
            <w:tcBorders>
              <w:tl2br w:val="nil"/>
              <w:tr2bl w:val="nil"/>
            </w:tcBorders>
            <w:vAlign w:val="center"/>
          </w:tcPr>
          <w:p w14:paraId="0BEF29D1">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0.034 </w:t>
            </w:r>
          </w:p>
        </w:tc>
        <w:tc>
          <w:tcPr>
            <w:tcW w:w="1680" w:type="dxa"/>
            <w:tcBorders>
              <w:tl2br w:val="nil"/>
              <w:tr2bl w:val="nil"/>
            </w:tcBorders>
            <w:vAlign w:val="center"/>
          </w:tcPr>
          <w:p w14:paraId="7123E694">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7E165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CE78A66">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79B52D23">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36919FD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BAE966A">
            <w:pPr>
              <w:spacing w:line="320" w:lineRule="exact"/>
              <w:jc w:val="center"/>
              <w:rPr>
                <w:rFonts w:ascii="宋体" w:hAnsi="宋体" w:eastAsia="宋体" w:cs="Times New Roman"/>
                <w:color w:val="auto"/>
              </w:rPr>
            </w:pPr>
            <w:r>
              <w:rPr>
                <w:rFonts w:ascii="宋体" w:hAnsi="宋体" w:eastAsia="宋体" w:cs="Times New Roman"/>
                <w:color w:val="auto"/>
              </w:rPr>
              <w:t>0.31854</w:t>
            </w:r>
          </w:p>
        </w:tc>
        <w:tc>
          <w:tcPr>
            <w:tcW w:w="1268" w:type="dxa"/>
            <w:tcBorders>
              <w:tl2br w:val="nil"/>
              <w:tr2bl w:val="nil"/>
            </w:tcBorders>
            <w:vAlign w:val="center"/>
          </w:tcPr>
          <w:p w14:paraId="43CD0BAB">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0.064 </w:t>
            </w:r>
          </w:p>
        </w:tc>
        <w:tc>
          <w:tcPr>
            <w:tcW w:w="1680" w:type="dxa"/>
            <w:tcBorders>
              <w:tl2br w:val="nil"/>
              <w:tr2bl w:val="nil"/>
            </w:tcBorders>
            <w:vAlign w:val="center"/>
          </w:tcPr>
          <w:p w14:paraId="2C456A93">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3E0B5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B68B904">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3B8EA18D">
            <w:pPr>
              <w:spacing w:line="320" w:lineRule="exact"/>
              <w:jc w:val="center"/>
              <w:rPr>
                <w:rFonts w:ascii="宋体" w:hAnsi="宋体" w:eastAsia="宋体" w:cs="Times New Roman"/>
                <w:color w:val="auto"/>
              </w:rPr>
            </w:pPr>
            <w:r>
              <w:rPr>
                <w:rFonts w:ascii="宋体" w:hAnsi="宋体" w:eastAsia="宋体" w:cs="Times New Roman"/>
                <w:color w:val="auto"/>
              </w:rPr>
              <w:t>华南屯</w:t>
            </w:r>
          </w:p>
        </w:tc>
        <w:tc>
          <w:tcPr>
            <w:tcW w:w="1006" w:type="dxa"/>
            <w:tcBorders>
              <w:tl2br w:val="nil"/>
              <w:tr2bl w:val="nil"/>
            </w:tcBorders>
            <w:vAlign w:val="center"/>
          </w:tcPr>
          <w:p w14:paraId="69D8628E">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2D49D49A">
            <w:pPr>
              <w:spacing w:line="320" w:lineRule="exact"/>
              <w:jc w:val="center"/>
              <w:rPr>
                <w:rFonts w:ascii="宋体" w:hAnsi="宋体" w:eastAsia="宋体" w:cs="Times New Roman"/>
                <w:color w:val="auto"/>
              </w:rPr>
            </w:pPr>
            <w:r>
              <w:rPr>
                <w:rFonts w:ascii="宋体" w:hAnsi="宋体" w:eastAsia="宋体" w:cs="Times New Roman"/>
                <w:color w:val="auto"/>
              </w:rPr>
              <w:t>0.00767</w:t>
            </w:r>
          </w:p>
        </w:tc>
        <w:tc>
          <w:tcPr>
            <w:tcW w:w="1268" w:type="dxa"/>
            <w:tcBorders>
              <w:tl2br w:val="nil"/>
              <w:tr2bl w:val="nil"/>
            </w:tcBorders>
            <w:vAlign w:val="center"/>
          </w:tcPr>
          <w:p w14:paraId="046DEAD2">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0.013 </w:t>
            </w:r>
          </w:p>
        </w:tc>
        <w:tc>
          <w:tcPr>
            <w:tcW w:w="1680" w:type="dxa"/>
            <w:tcBorders>
              <w:tl2br w:val="nil"/>
              <w:tr2bl w:val="nil"/>
            </w:tcBorders>
            <w:vAlign w:val="center"/>
          </w:tcPr>
          <w:p w14:paraId="07D629B9">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13E68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329D9AB">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0790557C">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472C19CA">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01E62684">
            <w:pPr>
              <w:spacing w:line="320" w:lineRule="exact"/>
              <w:jc w:val="center"/>
              <w:rPr>
                <w:rFonts w:ascii="宋体" w:hAnsi="宋体" w:eastAsia="宋体" w:cs="Times New Roman"/>
                <w:color w:val="auto"/>
              </w:rPr>
            </w:pPr>
            <w:r>
              <w:rPr>
                <w:rFonts w:ascii="宋体" w:hAnsi="宋体" w:eastAsia="宋体" w:cs="Times New Roman"/>
                <w:color w:val="auto"/>
              </w:rPr>
              <w:t>0.0475</w:t>
            </w:r>
          </w:p>
        </w:tc>
        <w:tc>
          <w:tcPr>
            <w:tcW w:w="1268" w:type="dxa"/>
            <w:tcBorders>
              <w:tl2br w:val="nil"/>
              <w:tr2bl w:val="nil"/>
            </w:tcBorders>
            <w:vAlign w:val="center"/>
          </w:tcPr>
          <w:p w14:paraId="7560380B">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0.032 </w:t>
            </w:r>
          </w:p>
        </w:tc>
        <w:tc>
          <w:tcPr>
            <w:tcW w:w="1680" w:type="dxa"/>
            <w:tcBorders>
              <w:tl2br w:val="nil"/>
              <w:tr2bl w:val="nil"/>
            </w:tcBorders>
            <w:vAlign w:val="center"/>
          </w:tcPr>
          <w:p w14:paraId="0752F0A4">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1FE6A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E6343E1">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12FBC39">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6F5493FF">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1ABE8DCF">
            <w:pPr>
              <w:spacing w:line="320" w:lineRule="exact"/>
              <w:jc w:val="center"/>
              <w:rPr>
                <w:rFonts w:ascii="宋体" w:hAnsi="宋体" w:eastAsia="宋体" w:cs="Times New Roman"/>
                <w:color w:val="auto"/>
              </w:rPr>
            </w:pPr>
            <w:r>
              <w:rPr>
                <w:rFonts w:ascii="宋体" w:hAnsi="宋体" w:eastAsia="宋体" w:cs="Times New Roman"/>
                <w:color w:val="auto"/>
              </w:rPr>
              <w:t>0.23801</w:t>
            </w:r>
          </w:p>
        </w:tc>
        <w:tc>
          <w:tcPr>
            <w:tcW w:w="1268" w:type="dxa"/>
            <w:tcBorders>
              <w:tl2br w:val="nil"/>
              <w:tr2bl w:val="nil"/>
            </w:tcBorders>
            <w:vAlign w:val="center"/>
          </w:tcPr>
          <w:p w14:paraId="1B52EE88">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0.048 </w:t>
            </w:r>
          </w:p>
        </w:tc>
        <w:tc>
          <w:tcPr>
            <w:tcW w:w="1680" w:type="dxa"/>
            <w:tcBorders>
              <w:tl2br w:val="nil"/>
              <w:tr2bl w:val="nil"/>
            </w:tcBorders>
            <w:vAlign w:val="center"/>
          </w:tcPr>
          <w:p w14:paraId="579590F3">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1629A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EACF376">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7C04E26F">
            <w:pPr>
              <w:spacing w:line="320" w:lineRule="exact"/>
              <w:jc w:val="center"/>
              <w:rPr>
                <w:rFonts w:ascii="宋体" w:hAnsi="宋体" w:eastAsia="宋体" w:cs="Times New Roman"/>
                <w:color w:val="auto"/>
              </w:rPr>
            </w:pPr>
            <w:r>
              <w:rPr>
                <w:rFonts w:ascii="宋体" w:hAnsi="宋体" w:eastAsia="宋体" w:cs="Times New Roman"/>
                <w:color w:val="auto"/>
              </w:rPr>
              <w:t>李彦和屯</w:t>
            </w:r>
          </w:p>
        </w:tc>
        <w:tc>
          <w:tcPr>
            <w:tcW w:w="1006" w:type="dxa"/>
            <w:tcBorders>
              <w:tl2br w:val="nil"/>
              <w:tr2bl w:val="nil"/>
            </w:tcBorders>
            <w:vAlign w:val="center"/>
          </w:tcPr>
          <w:p w14:paraId="626FC42B">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74C58B98">
            <w:pPr>
              <w:spacing w:line="320" w:lineRule="exact"/>
              <w:jc w:val="center"/>
              <w:rPr>
                <w:rFonts w:ascii="宋体" w:hAnsi="宋体" w:eastAsia="宋体" w:cs="Times New Roman"/>
                <w:color w:val="auto"/>
              </w:rPr>
            </w:pPr>
            <w:r>
              <w:rPr>
                <w:rFonts w:ascii="宋体" w:hAnsi="宋体" w:eastAsia="宋体" w:cs="Times New Roman"/>
                <w:color w:val="auto"/>
              </w:rPr>
              <w:t>0.00744</w:t>
            </w:r>
          </w:p>
        </w:tc>
        <w:tc>
          <w:tcPr>
            <w:tcW w:w="1268" w:type="dxa"/>
            <w:tcBorders>
              <w:tl2br w:val="nil"/>
              <w:tr2bl w:val="nil"/>
            </w:tcBorders>
            <w:vAlign w:val="center"/>
          </w:tcPr>
          <w:p w14:paraId="59894E96">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0.012 </w:t>
            </w:r>
          </w:p>
        </w:tc>
        <w:tc>
          <w:tcPr>
            <w:tcW w:w="1680" w:type="dxa"/>
            <w:tcBorders>
              <w:tl2br w:val="nil"/>
              <w:tr2bl w:val="nil"/>
            </w:tcBorders>
            <w:vAlign w:val="center"/>
          </w:tcPr>
          <w:p w14:paraId="0398C0D0">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102FF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76221CF">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6AB7F417">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E1BF3CB">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016479A2">
            <w:pPr>
              <w:spacing w:line="320" w:lineRule="exact"/>
              <w:jc w:val="center"/>
              <w:rPr>
                <w:rFonts w:ascii="宋体" w:hAnsi="宋体" w:eastAsia="宋体" w:cs="Times New Roman"/>
                <w:color w:val="auto"/>
              </w:rPr>
            </w:pPr>
            <w:r>
              <w:rPr>
                <w:rFonts w:ascii="宋体" w:hAnsi="宋体" w:eastAsia="宋体" w:cs="Times New Roman"/>
                <w:color w:val="auto"/>
              </w:rPr>
              <w:t>0.04626</w:t>
            </w:r>
          </w:p>
        </w:tc>
        <w:tc>
          <w:tcPr>
            <w:tcW w:w="1268" w:type="dxa"/>
            <w:tcBorders>
              <w:tl2br w:val="nil"/>
              <w:tr2bl w:val="nil"/>
            </w:tcBorders>
            <w:vAlign w:val="center"/>
          </w:tcPr>
          <w:p w14:paraId="069AE8E3">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0.031 </w:t>
            </w:r>
          </w:p>
        </w:tc>
        <w:tc>
          <w:tcPr>
            <w:tcW w:w="1680" w:type="dxa"/>
            <w:tcBorders>
              <w:tl2br w:val="nil"/>
              <w:tr2bl w:val="nil"/>
            </w:tcBorders>
            <w:vAlign w:val="center"/>
          </w:tcPr>
          <w:p w14:paraId="7FE5064F">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1C67B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A7FA50F">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DEC01F9">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521478E9">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766F591C">
            <w:pPr>
              <w:spacing w:line="320" w:lineRule="exact"/>
              <w:jc w:val="center"/>
              <w:rPr>
                <w:rFonts w:ascii="宋体" w:hAnsi="宋体" w:eastAsia="宋体" w:cs="Times New Roman"/>
                <w:color w:val="auto"/>
              </w:rPr>
            </w:pPr>
            <w:r>
              <w:rPr>
                <w:rFonts w:ascii="宋体" w:hAnsi="宋体" w:eastAsia="宋体" w:cs="Times New Roman"/>
                <w:color w:val="auto"/>
              </w:rPr>
              <w:t>0.23857</w:t>
            </w:r>
          </w:p>
        </w:tc>
        <w:tc>
          <w:tcPr>
            <w:tcW w:w="1268" w:type="dxa"/>
            <w:tcBorders>
              <w:tl2br w:val="nil"/>
              <w:tr2bl w:val="nil"/>
            </w:tcBorders>
            <w:vAlign w:val="center"/>
          </w:tcPr>
          <w:p w14:paraId="28BA788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0.048 </w:t>
            </w:r>
          </w:p>
        </w:tc>
        <w:tc>
          <w:tcPr>
            <w:tcW w:w="1680" w:type="dxa"/>
            <w:tcBorders>
              <w:tl2br w:val="nil"/>
              <w:tr2bl w:val="nil"/>
            </w:tcBorders>
            <w:vAlign w:val="center"/>
          </w:tcPr>
          <w:p w14:paraId="14AF193B">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8A2E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0F54238">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6BFA3136">
            <w:pPr>
              <w:spacing w:line="320" w:lineRule="exact"/>
              <w:jc w:val="center"/>
              <w:rPr>
                <w:rFonts w:ascii="宋体" w:hAnsi="宋体" w:eastAsia="宋体" w:cs="Times New Roman"/>
                <w:color w:val="auto"/>
              </w:rPr>
            </w:pPr>
            <w:r>
              <w:rPr>
                <w:rFonts w:ascii="宋体" w:hAnsi="宋体" w:eastAsia="宋体" w:cs="Times New Roman"/>
                <w:color w:val="auto"/>
              </w:rPr>
              <w:t>后欧力马屯</w:t>
            </w:r>
          </w:p>
        </w:tc>
        <w:tc>
          <w:tcPr>
            <w:tcW w:w="1006" w:type="dxa"/>
            <w:tcBorders>
              <w:tl2br w:val="nil"/>
              <w:tr2bl w:val="nil"/>
            </w:tcBorders>
            <w:vAlign w:val="center"/>
          </w:tcPr>
          <w:p w14:paraId="783EE0C5">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1F41E506">
            <w:pPr>
              <w:spacing w:line="320" w:lineRule="exact"/>
              <w:jc w:val="center"/>
              <w:rPr>
                <w:rFonts w:ascii="宋体" w:hAnsi="宋体" w:eastAsia="宋体" w:cs="Times New Roman"/>
                <w:color w:val="auto"/>
              </w:rPr>
            </w:pPr>
            <w:r>
              <w:rPr>
                <w:rFonts w:ascii="宋体" w:hAnsi="宋体" w:eastAsia="宋体" w:cs="Times New Roman"/>
                <w:color w:val="auto"/>
              </w:rPr>
              <w:t>0.02057</w:t>
            </w:r>
          </w:p>
        </w:tc>
        <w:tc>
          <w:tcPr>
            <w:tcW w:w="1268" w:type="dxa"/>
            <w:tcBorders>
              <w:tl2br w:val="nil"/>
              <w:tr2bl w:val="nil"/>
            </w:tcBorders>
            <w:vAlign w:val="center"/>
          </w:tcPr>
          <w:p w14:paraId="3DFBC99B">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0.034 </w:t>
            </w:r>
          </w:p>
        </w:tc>
        <w:tc>
          <w:tcPr>
            <w:tcW w:w="1680" w:type="dxa"/>
            <w:tcBorders>
              <w:tl2br w:val="nil"/>
              <w:tr2bl w:val="nil"/>
            </w:tcBorders>
            <w:vAlign w:val="center"/>
          </w:tcPr>
          <w:p w14:paraId="7F722283">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1FED4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CB70E1D">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5A57290">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0728B3E4">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3F89E06F">
            <w:pPr>
              <w:spacing w:line="320" w:lineRule="exact"/>
              <w:jc w:val="center"/>
              <w:rPr>
                <w:rFonts w:ascii="宋体" w:hAnsi="宋体" w:eastAsia="宋体" w:cs="Times New Roman"/>
                <w:color w:val="auto"/>
              </w:rPr>
            </w:pPr>
            <w:r>
              <w:rPr>
                <w:rFonts w:ascii="宋体" w:hAnsi="宋体" w:eastAsia="宋体" w:cs="Times New Roman"/>
                <w:color w:val="auto"/>
              </w:rPr>
              <w:t>0.11447</w:t>
            </w:r>
          </w:p>
        </w:tc>
        <w:tc>
          <w:tcPr>
            <w:tcW w:w="1268" w:type="dxa"/>
            <w:tcBorders>
              <w:tl2br w:val="nil"/>
              <w:tr2bl w:val="nil"/>
            </w:tcBorders>
            <w:vAlign w:val="center"/>
          </w:tcPr>
          <w:p w14:paraId="2773DB6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0.076 </w:t>
            </w:r>
          </w:p>
        </w:tc>
        <w:tc>
          <w:tcPr>
            <w:tcW w:w="1680" w:type="dxa"/>
            <w:tcBorders>
              <w:tl2br w:val="nil"/>
              <w:tr2bl w:val="nil"/>
            </w:tcBorders>
            <w:vAlign w:val="center"/>
          </w:tcPr>
          <w:p w14:paraId="22B54A3A">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4BC29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D143664">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3B77894C">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73DB02E5">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340B06AD">
            <w:pPr>
              <w:spacing w:line="320" w:lineRule="exact"/>
              <w:jc w:val="center"/>
              <w:rPr>
                <w:rFonts w:ascii="宋体" w:hAnsi="宋体" w:eastAsia="宋体" w:cs="Times New Roman"/>
                <w:color w:val="auto"/>
              </w:rPr>
            </w:pPr>
            <w:r>
              <w:rPr>
                <w:rFonts w:ascii="宋体" w:hAnsi="宋体" w:eastAsia="宋体" w:cs="Times New Roman"/>
                <w:color w:val="auto"/>
              </w:rPr>
              <w:t>0.66514</w:t>
            </w:r>
          </w:p>
        </w:tc>
        <w:tc>
          <w:tcPr>
            <w:tcW w:w="1268" w:type="dxa"/>
            <w:tcBorders>
              <w:tl2br w:val="nil"/>
              <w:tr2bl w:val="nil"/>
            </w:tcBorders>
            <w:vAlign w:val="center"/>
          </w:tcPr>
          <w:p w14:paraId="260BDB83">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0.133 </w:t>
            </w:r>
          </w:p>
        </w:tc>
        <w:tc>
          <w:tcPr>
            <w:tcW w:w="1680" w:type="dxa"/>
            <w:tcBorders>
              <w:tl2br w:val="nil"/>
              <w:tr2bl w:val="nil"/>
            </w:tcBorders>
            <w:vAlign w:val="center"/>
          </w:tcPr>
          <w:p w14:paraId="2FF10110">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0250E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4793EE9">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3A6F3667">
            <w:pPr>
              <w:spacing w:line="320" w:lineRule="exact"/>
              <w:jc w:val="center"/>
              <w:rPr>
                <w:rFonts w:ascii="宋体" w:hAnsi="宋体" w:eastAsia="宋体" w:cs="Times New Roman"/>
                <w:color w:val="auto"/>
              </w:rPr>
            </w:pPr>
            <w:r>
              <w:rPr>
                <w:rFonts w:ascii="宋体" w:hAnsi="宋体" w:eastAsia="宋体" w:cs="Times New Roman"/>
                <w:color w:val="auto"/>
              </w:rPr>
              <w:t>对青岗子屯</w:t>
            </w:r>
          </w:p>
        </w:tc>
        <w:tc>
          <w:tcPr>
            <w:tcW w:w="1006" w:type="dxa"/>
            <w:tcBorders>
              <w:tl2br w:val="nil"/>
              <w:tr2bl w:val="nil"/>
            </w:tcBorders>
            <w:vAlign w:val="center"/>
          </w:tcPr>
          <w:p w14:paraId="5786EB60">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6E00B988">
            <w:pPr>
              <w:spacing w:line="320" w:lineRule="exact"/>
              <w:jc w:val="center"/>
              <w:rPr>
                <w:rFonts w:ascii="宋体" w:hAnsi="宋体" w:eastAsia="宋体" w:cs="Times New Roman"/>
                <w:color w:val="auto"/>
              </w:rPr>
            </w:pPr>
            <w:r>
              <w:rPr>
                <w:rFonts w:ascii="宋体" w:hAnsi="宋体" w:eastAsia="宋体" w:cs="Times New Roman"/>
                <w:color w:val="auto"/>
              </w:rPr>
              <w:t>0.00832</w:t>
            </w:r>
          </w:p>
        </w:tc>
        <w:tc>
          <w:tcPr>
            <w:tcW w:w="1268" w:type="dxa"/>
            <w:tcBorders>
              <w:tl2br w:val="nil"/>
              <w:tr2bl w:val="nil"/>
            </w:tcBorders>
            <w:vAlign w:val="center"/>
          </w:tcPr>
          <w:p w14:paraId="2CDA99AF">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0.014 </w:t>
            </w:r>
          </w:p>
        </w:tc>
        <w:tc>
          <w:tcPr>
            <w:tcW w:w="1680" w:type="dxa"/>
            <w:tcBorders>
              <w:tl2br w:val="nil"/>
              <w:tr2bl w:val="nil"/>
            </w:tcBorders>
            <w:vAlign w:val="center"/>
          </w:tcPr>
          <w:p w14:paraId="59468B0A">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6C6BA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5E8E4F5">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02A48631">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7CBCC1AA">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705E9BFB">
            <w:pPr>
              <w:spacing w:line="320" w:lineRule="exact"/>
              <w:jc w:val="center"/>
              <w:rPr>
                <w:rFonts w:ascii="宋体" w:hAnsi="宋体" w:eastAsia="宋体" w:cs="Times New Roman"/>
                <w:color w:val="auto"/>
              </w:rPr>
            </w:pPr>
            <w:r>
              <w:rPr>
                <w:rFonts w:ascii="宋体" w:hAnsi="宋体" w:eastAsia="宋体" w:cs="Times New Roman"/>
                <w:color w:val="auto"/>
              </w:rPr>
              <w:t>0.05957</w:t>
            </w:r>
          </w:p>
        </w:tc>
        <w:tc>
          <w:tcPr>
            <w:tcW w:w="1268" w:type="dxa"/>
            <w:tcBorders>
              <w:tl2br w:val="nil"/>
              <w:tr2bl w:val="nil"/>
            </w:tcBorders>
            <w:vAlign w:val="center"/>
          </w:tcPr>
          <w:p w14:paraId="7892DB73">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0.040 </w:t>
            </w:r>
          </w:p>
        </w:tc>
        <w:tc>
          <w:tcPr>
            <w:tcW w:w="1680" w:type="dxa"/>
            <w:tcBorders>
              <w:tl2br w:val="nil"/>
              <w:tr2bl w:val="nil"/>
            </w:tcBorders>
            <w:vAlign w:val="center"/>
          </w:tcPr>
          <w:p w14:paraId="34F9C0F1">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09BA6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83CAD77">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4AD7B939">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50E99773">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C63E527">
            <w:pPr>
              <w:spacing w:line="320" w:lineRule="exact"/>
              <w:jc w:val="center"/>
              <w:rPr>
                <w:rFonts w:ascii="宋体" w:hAnsi="宋体" w:eastAsia="宋体" w:cs="Times New Roman"/>
                <w:color w:val="auto"/>
              </w:rPr>
            </w:pPr>
            <w:r>
              <w:rPr>
                <w:rFonts w:ascii="宋体" w:hAnsi="宋体" w:eastAsia="宋体" w:cs="Times New Roman"/>
                <w:color w:val="auto"/>
              </w:rPr>
              <w:t>0.31934</w:t>
            </w:r>
          </w:p>
        </w:tc>
        <w:tc>
          <w:tcPr>
            <w:tcW w:w="1268" w:type="dxa"/>
            <w:tcBorders>
              <w:tl2br w:val="nil"/>
              <w:tr2bl w:val="nil"/>
            </w:tcBorders>
            <w:vAlign w:val="center"/>
          </w:tcPr>
          <w:p w14:paraId="0F5AE2DC">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0.064 </w:t>
            </w:r>
          </w:p>
        </w:tc>
        <w:tc>
          <w:tcPr>
            <w:tcW w:w="1680" w:type="dxa"/>
            <w:tcBorders>
              <w:tl2br w:val="nil"/>
              <w:tr2bl w:val="nil"/>
            </w:tcBorders>
            <w:vAlign w:val="center"/>
          </w:tcPr>
          <w:p w14:paraId="2CBDD5A9">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126C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05A9A3C">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3EDBC298">
            <w:pPr>
              <w:spacing w:line="320" w:lineRule="exact"/>
              <w:jc w:val="center"/>
              <w:rPr>
                <w:rFonts w:ascii="宋体" w:hAnsi="宋体" w:eastAsia="宋体" w:cs="Times New Roman"/>
                <w:color w:val="auto"/>
              </w:rPr>
            </w:pPr>
            <w:r>
              <w:rPr>
                <w:rFonts w:ascii="宋体" w:hAnsi="宋体" w:eastAsia="宋体" w:cs="Times New Roman"/>
                <w:color w:val="auto"/>
              </w:rPr>
              <w:t>蒙古屯</w:t>
            </w:r>
          </w:p>
        </w:tc>
        <w:tc>
          <w:tcPr>
            <w:tcW w:w="1006" w:type="dxa"/>
            <w:tcBorders>
              <w:tl2br w:val="nil"/>
              <w:tr2bl w:val="nil"/>
            </w:tcBorders>
            <w:vAlign w:val="center"/>
          </w:tcPr>
          <w:p w14:paraId="0FC5100C">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16055323">
            <w:pPr>
              <w:spacing w:line="320" w:lineRule="exact"/>
              <w:jc w:val="center"/>
              <w:rPr>
                <w:rFonts w:ascii="宋体" w:hAnsi="宋体" w:eastAsia="宋体" w:cs="Times New Roman"/>
                <w:color w:val="auto"/>
              </w:rPr>
            </w:pPr>
            <w:r>
              <w:rPr>
                <w:rFonts w:ascii="宋体" w:hAnsi="宋体" w:eastAsia="宋体" w:cs="Times New Roman"/>
                <w:color w:val="auto"/>
              </w:rPr>
              <w:t>0.00546</w:t>
            </w:r>
          </w:p>
        </w:tc>
        <w:tc>
          <w:tcPr>
            <w:tcW w:w="1268" w:type="dxa"/>
            <w:tcBorders>
              <w:tl2br w:val="nil"/>
              <w:tr2bl w:val="nil"/>
            </w:tcBorders>
            <w:vAlign w:val="center"/>
          </w:tcPr>
          <w:p w14:paraId="655310B9">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680" w:type="dxa"/>
            <w:tcBorders>
              <w:tl2br w:val="nil"/>
              <w:tr2bl w:val="nil"/>
            </w:tcBorders>
            <w:vAlign w:val="center"/>
          </w:tcPr>
          <w:p w14:paraId="3EB56D16">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0D7C7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72E9AA5">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31EF8602">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4CF4BAF1">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63B47C93">
            <w:pPr>
              <w:spacing w:line="320" w:lineRule="exact"/>
              <w:jc w:val="center"/>
              <w:rPr>
                <w:rFonts w:ascii="宋体" w:hAnsi="宋体" w:eastAsia="宋体" w:cs="Times New Roman"/>
                <w:color w:val="auto"/>
              </w:rPr>
            </w:pPr>
            <w:r>
              <w:rPr>
                <w:rFonts w:ascii="宋体" w:hAnsi="宋体" w:eastAsia="宋体" w:cs="Times New Roman"/>
                <w:color w:val="auto"/>
              </w:rPr>
              <w:t>0.05294</w:t>
            </w:r>
          </w:p>
        </w:tc>
        <w:tc>
          <w:tcPr>
            <w:tcW w:w="1268" w:type="dxa"/>
            <w:tcBorders>
              <w:tl2br w:val="nil"/>
              <w:tr2bl w:val="nil"/>
            </w:tcBorders>
            <w:vAlign w:val="center"/>
          </w:tcPr>
          <w:p w14:paraId="1E1C091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0.035 </w:t>
            </w:r>
          </w:p>
        </w:tc>
        <w:tc>
          <w:tcPr>
            <w:tcW w:w="1680" w:type="dxa"/>
            <w:tcBorders>
              <w:tl2br w:val="nil"/>
              <w:tr2bl w:val="nil"/>
            </w:tcBorders>
            <w:vAlign w:val="center"/>
          </w:tcPr>
          <w:p w14:paraId="34968516">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635AC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B0FD93D">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A0DE595">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722D58A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50AFACA1">
            <w:pPr>
              <w:spacing w:line="320" w:lineRule="exact"/>
              <w:jc w:val="center"/>
              <w:rPr>
                <w:rFonts w:ascii="宋体" w:hAnsi="宋体" w:eastAsia="宋体" w:cs="Times New Roman"/>
                <w:color w:val="auto"/>
              </w:rPr>
            </w:pPr>
            <w:r>
              <w:rPr>
                <w:rFonts w:ascii="宋体" w:hAnsi="宋体" w:eastAsia="宋体" w:cs="Times New Roman"/>
                <w:color w:val="auto"/>
              </w:rPr>
              <w:t>0.20788</w:t>
            </w:r>
          </w:p>
        </w:tc>
        <w:tc>
          <w:tcPr>
            <w:tcW w:w="1268" w:type="dxa"/>
            <w:tcBorders>
              <w:tl2br w:val="nil"/>
              <w:tr2bl w:val="nil"/>
            </w:tcBorders>
            <w:vAlign w:val="center"/>
          </w:tcPr>
          <w:p w14:paraId="7E7E76EC">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0.042 </w:t>
            </w:r>
          </w:p>
        </w:tc>
        <w:tc>
          <w:tcPr>
            <w:tcW w:w="1680" w:type="dxa"/>
            <w:tcBorders>
              <w:tl2br w:val="nil"/>
              <w:tr2bl w:val="nil"/>
            </w:tcBorders>
            <w:vAlign w:val="center"/>
          </w:tcPr>
          <w:p w14:paraId="54A54527">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45B9B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CBB6C9B">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2D424403">
            <w:pPr>
              <w:spacing w:line="320" w:lineRule="exact"/>
              <w:jc w:val="center"/>
              <w:rPr>
                <w:rFonts w:ascii="宋体" w:hAnsi="宋体" w:eastAsia="宋体" w:cs="Times New Roman"/>
                <w:color w:val="auto"/>
              </w:rPr>
            </w:pPr>
            <w:r>
              <w:rPr>
                <w:rFonts w:ascii="宋体" w:hAnsi="宋体" w:eastAsia="宋体" w:cs="Times New Roman"/>
                <w:color w:val="auto"/>
              </w:rPr>
              <w:t>王家园子屯</w:t>
            </w:r>
          </w:p>
        </w:tc>
        <w:tc>
          <w:tcPr>
            <w:tcW w:w="1006" w:type="dxa"/>
            <w:tcBorders>
              <w:tl2br w:val="nil"/>
              <w:tr2bl w:val="nil"/>
            </w:tcBorders>
            <w:vAlign w:val="center"/>
          </w:tcPr>
          <w:p w14:paraId="6237E86D">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15DC866D">
            <w:pPr>
              <w:spacing w:line="320" w:lineRule="exact"/>
              <w:jc w:val="center"/>
              <w:rPr>
                <w:rFonts w:ascii="宋体" w:hAnsi="宋体" w:eastAsia="宋体" w:cs="Times New Roman"/>
                <w:color w:val="auto"/>
              </w:rPr>
            </w:pPr>
            <w:r>
              <w:rPr>
                <w:rFonts w:ascii="宋体" w:hAnsi="宋体" w:eastAsia="宋体" w:cs="Times New Roman"/>
                <w:color w:val="auto"/>
              </w:rPr>
              <w:t>0.00918</w:t>
            </w:r>
          </w:p>
        </w:tc>
        <w:tc>
          <w:tcPr>
            <w:tcW w:w="1268" w:type="dxa"/>
            <w:tcBorders>
              <w:tl2br w:val="nil"/>
              <w:tr2bl w:val="nil"/>
            </w:tcBorders>
            <w:vAlign w:val="center"/>
          </w:tcPr>
          <w:p w14:paraId="481DBB7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0.015 </w:t>
            </w:r>
          </w:p>
        </w:tc>
        <w:tc>
          <w:tcPr>
            <w:tcW w:w="1680" w:type="dxa"/>
            <w:tcBorders>
              <w:tl2br w:val="nil"/>
              <w:tr2bl w:val="nil"/>
            </w:tcBorders>
            <w:vAlign w:val="center"/>
          </w:tcPr>
          <w:p w14:paraId="37AEBDF2">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3731C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10822F0">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30310CFB">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64CBD113">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7A20ADB6">
            <w:pPr>
              <w:spacing w:line="320" w:lineRule="exact"/>
              <w:jc w:val="center"/>
              <w:rPr>
                <w:rFonts w:ascii="宋体" w:hAnsi="宋体" w:eastAsia="宋体" w:cs="Times New Roman"/>
                <w:color w:val="auto"/>
              </w:rPr>
            </w:pPr>
            <w:r>
              <w:rPr>
                <w:rFonts w:ascii="宋体" w:hAnsi="宋体" w:eastAsia="宋体" w:cs="Times New Roman"/>
                <w:color w:val="auto"/>
              </w:rPr>
              <w:t>0.06958</w:t>
            </w:r>
          </w:p>
        </w:tc>
        <w:tc>
          <w:tcPr>
            <w:tcW w:w="1268" w:type="dxa"/>
            <w:tcBorders>
              <w:tl2br w:val="nil"/>
              <w:tr2bl w:val="nil"/>
            </w:tcBorders>
            <w:vAlign w:val="center"/>
          </w:tcPr>
          <w:p w14:paraId="52B5258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0.046 </w:t>
            </w:r>
          </w:p>
        </w:tc>
        <w:tc>
          <w:tcPr>
            <w:tcW w:w="1680" w:type="dxa"/>
            <w:tcBorders>
              <w:tl2br w:val="nil"/>
              <w:tr2bl w:val="nil"/>
            </w:tcBorders>
            <w:vAlign w:val="center"/>
          </w:tcPr>
          <w:p w14:paraId="0A6DF3E1">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077C7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B0FBCD1">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75CB52AC">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142F8BE5">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7F1689F5">
            <w:pPr>
              <w:spacing w:line="320" w:lineRule="exact"/>
              <w:jc w:val="center"/>
              <w:rPr>
                <w:rFonts w:ascii="宋体" w:hAnsi="宋体" w:eastAsia="宋体" w:cs="Times New Roman"/>
                <w:color w:val="auto"/>
              </w:rPr>
            </w:pPr>
            <w:r>
              <w:rPr>
                <w:rFonts w:ascii="宋体" w:hAnsi="宋体" w:eastAsia="宋体" w:cs="Times New Roman"/>
                <w:color w:val="auto"/>
              </w:rPr>
              <w:t>0.31437</w:t>
            </w:r>
          </w:p>
        </w:tc>
        <w:tc>
          <w:tcPr>
            <w:tcW w:w="1268" w:type="dxa"/>
            <w:tcBorders>
              <w:tl2br w:val="nil"/>
              <w:tr2bl w:val="nil"/>
            </w:tcBorders>
            <w:vAlign w:val="center"/>
          </w:tcPr>
          <w:p w14:paraId="1EB77DEF">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0.063 </w:t>
            </w:r>
          </w:p>
        </w:tc>
        <w:tc>
          <w:tcPr>
            <w:tcW w:w="1680" w:type="dxa"/>
            <w:tcBorders>
              <w:tl2br w:val="nil"/>
              <w:tr2bl w:val="nil"/>
            </w:tcBorders>
            <w:vAlign w:val="center"/>
          </w:tcPr>
          <w:p w14:paraId="0066EC1B">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31AB8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CE31915">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3F46113D">
            <w:pPr>
              <w:spacing w:line="320" w:lineRule="exact"/>
              <w:jc w:val="center"/>
              <w:rPr>
                <w:rFonts w:ascii="宋体" w:hAnsi="宋体" w:eastAsia="宋体" w:cs="Times New Roman"/>
                <w:color w:val="auto"/>
              </w:rPr>
            </w:pPr>
            <w:r>
              <w:rPr>
                <w:rFonts w:ascii="宋体" w:hAnsi="宋体" w:eastAsia="宋体" w:cs="Times New Roman"/>
                <w:color w:val="auto"/>
              </w:rPr>
              <w:t>和平乡</w:t>
            </w:r>
          </w:p>
        </w:tc>
        <w:tc>
          <w:tcPr>
            <w:tcW w:w="1006" w:type="dxa"/>
            <w:tcBorders>
              <w:tl2br w:val="nil"/>
              <w:tr2bl w:val="nil"/>
            </w:tcBorders>
            <w:vAlign w:val="center"/>
          </w:tcPr>
          <w:p w14:paraId="7E101AD0">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4AE18C9B">
            <w:pPr>
              <w:spacing w:line="320" w:lineRule="exact"/>
              <w:jc w:val="center"/>
              <w:rPr>
                <w:rFonts w:ascii="宋体" w:hAnsi="宋体" w:eastAsia="宋体" w:cs="Times New Roman"/>
                <w:color w:val="auto"/>
              </w:rPr>
            </w:pPr>
            <w:r>
              <w:rPr>
                <w:rFonts w:ascii="宋体" w:hAnsi="宋体" w:eastAsia="宋体" w:cs="Times New Roman"/>
                <w:color w:val="auto"/>
              </w:rPr>
              <w:t>0.00308</w:t>
            </w:r>
          </w:p>
        </w:tc>
        <w:tc>
          <w:tcPr>
            <w:tcW w:w="1268" w:type="dxa"/>
            <w:tcBorders>
              <w:tl2br w:val="nil"/>
              <w:tr2bl w:val="nil"/>
            </w:tcBorders>
            <w:vAlign w:val="center"/>
          </w:tcPr>
          <w:p w14:paraId="49DBF7A4">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16B8268C">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3B170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C37F09F">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916C89F">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6A1B52D3">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35456B67">
            <w:pPr>
              <w:spacing w:line="320" w:lineRule="exact"/>
              <w:jc w:val="center"/>
              <w:rPr>
                <w:rFonts w:ascii="宋体" w:hAnsi="宋体" w:eastAsia="宋体" w:cs="Times New Roman"/>
                <w:color w:val="auto"/>
              </w:rPr>
            </w:pPr>
            <w:r>
              <w:rPr>
                <w:rFonts w:ascii="宋体" w:hAnsi="宋体" w:eastAsia="宋体" w:cs="Times New Roman"/>
                <w:color w:val="auto"/>
              </w:rPr>
              <w:t>0.03043</w:t>
            </w:r>
          </w:p>
        </w:tc>
        <w:tc>
          <w:tcPr>
            <w:tcW w:w="1268" w:type="dxa"/>
            <w:tcBorders>
              <w:tl2br w:val="nil"/>
              <w:tr2bl w:val="nil"/>
            </w:tcBorders>
            <w:vAlign w:val="center"/>
          </w:tcPr>
          <w:p w14:paraId="433626D5">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0.020 </w:t>
            </w:r>
          </w:p>
        </w:tc>
        <w:tc>
          <w:tcPr>
            <w:tcW w:w="1680" w:type="dxa"/>
            <w:tcBorders>
              <w:tl2br w:val="nil"/>
              <w:tr2bl w:val="nil"/>
            </w:tcBorders>
            <w:vAlign w:val="center"/>
          </w:tcPr>
          <w:p w14:paraId="0F7CA01C">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1C7CF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D6BA109">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50DBE92">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1B54BAE3">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1C9253C2">
            <w:pPr>
              <w:spacing w:line="320" w:lineRule="exact"/>
              <w:jc w:val="center"/>
              <w:rPr>
                <w:rFonts w:ascii="宋体" w:hAnsi="宋体" w:eastAsia="宋体" w:cs="Times New Roman"/>
                <w:color w:val="auto"/>
              </w:rPr>
            </w:pPr>
            <w:r>
              <w:rPr>
                <w:rFonts w:ascii="宋体" w:hAnsi="宋体" w:eastAsia="宋体" w:cs="Times New Roman"/>
                <w:color w:val="auto"/>
              </w:rPr>
              <w:t>0.20229</w:t>
            </w:r>
          </w:p>
        </w:tc>
        <w:tc>
          <w:tcPr>
            <w:tcW w:w="1268" w:type="dxa"/>
            <w:tcBorders>
              <w:tl2br w:val="nil"/>
              <w:tr2bl w:val="nil"/>
            </w:tcBorders>
            <w:vAlign w:val="center"/>
          </w:tcPr>
          <w:p w14:paraId="34A40348">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0.040 </w:t>
            </w:r>
          </w:p>
        </w:tc>
        <w:tc>
          <w:tcPr>
            <w:tcW w:w="1680" w:type="dxa"/>
            <w:tcBorders>
              <w:tl2br w:val="nil"/>
              <w:tr2bl w:val="nil"/>
            </w:tcBorders>
            <w:vAlign w:val="center"/>
          </w:tcPr>
          <w:p w14:paraId="131EB7C7">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22B61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270D8CB">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3E39A1DD">
            <w:pPr>
              <w:spacing w:line="320" w:lineRule="exact"/>
              <w:jc w:val="center"/>
              <w:rPr>
                <w:rFonts w:ascii="宋体" w:hAnsi="宋体" w:eastAsia="宋体" w:cs="Times New Roman"/>
                <w:color w:val="auto"/>
              </w:rPr>
            </w:pPr>
            <w:r>
              <w:rPr>
                <w:rFonts w:ascii="宋体" w:hAnsi="宋体" w:eastAsia="宋体" w:cs="Times New Roman"/>
                <w:color w:val="auto"/>
              </w:rPr>
              <w:t>赵家围子屯</w:t>
            </w:r>
          </w:p>
        </w:tc>
        <w:tc>
          <w:tcPr>
            <w:tcW w:w="1006" w:type="dxa"/>
            <w:tcBorders>
              <w:tl2br w:val="nil"/>
              <w:tr2bl w:val="nil"/>
            </w:tcBorders>
            <w:vAlign w:val="center"/>
          </w:tcPr>
          <w:p w14:paraId="44036504">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5147311B">
            <w:pPr>
              <w:spacing w:line="320" w:lineRule="exact"/>
              <w:jc w:val="center"/>
              <w:rPr>
                <w:rFonts w:ascii="宋体" w:hAnsi="宋体" w:eastAsia="宋体" w:cs="Times New Roman"/>
                <w:color w:val="auto"/>
              </w:rPr>
            </w:pPr>
            <w:r>
              <w:rPr>
                <w:rFonts w:ascii="宋体" w:hAnsi="宋体" w:eastAsia="宋体" w:cs="Times New Roman"/>
                <w:color w:val="auto"/>
              </w:rPr>
              <w:t>0.00304</w:t>
            </w:r>
          </w:p>
        </w:tc>
        <w:tc>
          <w:tcPr>
            <w:tcW w:w="1268" w:type="dxa"/>
            <w:tcBorders>
              <w:tl2br w:val="nil"/>
              <w:tr2bl w:val="nil"/>
            </w:tcBorders>
            <w:vAlign w:val="center"/>
          </w:tcPr>
          <w:p w14:paraId="3333ACC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60792610">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1318D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F52F907">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6D285370">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3F15DDFB">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44F1CE69">
            <w:pPr>
              <w:spacing w:line="320" w:lineRule="exact"/>
              <w:jc w:val="center"/>
              <w:rPr>
                <w:rFonts w:ascii="宋体" w:hAnsi="宋体" w:eastAsia="宋体" w:cs="Times New Roman"/>
                <w:color w:val="auto"/>
              </w:rPr>
            </w:pPr>
            <w:r>
              <w:rPr>
                <w:rFonts w:ascii="宋体" w:hAnsi="宋体" w:eastAsia="宋体" w:cs="Times New Roman"/>
                <w:color w:val="auto"/>
              </w:rPr>
              <w:t>0.05718</w:t>
            </w:r>
          </w:p>
        </w:tc>
        <w:tc>
          <w:tcPr>
            <w:tcW w:w="1268" w:type="dxa"/>
            <w:tcBorders>
              <w:tl2br w:val="nil"/>
              <w:tr2bl w:val="nil"/>
            </w:tcBorders>
            <w:vAlign w:val="center"/>
          </w:tcPr>
          <w:p w14:paraId="0B885F06">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0.038 </w:t>
            </w:r>
          </w:p>
        </w:tc>
        <w:tc>
          <w:tcPr>
            <w:tcW w:w="1680" w:type="dxa"/>
            <w:tcBorders>
              <w:tl2br w:val="nil"/>
              <w:tr2bl w:val="nil"/>
            </w:tcBorders>
            <w:vAlign w:val="center"/>
          </w:tcPr>
          <w:p w14:paraId="09B22A99">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1238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A560472">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0F55099">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E21C67D">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60C87922">
            <w:pPr>
              <w:spacing w:line="320" w:lineRule="exact"/>
              <w:jc w:val="center"/>
              <w:rPr>
                <w:rFonts w:ascii="宋体" w:hAnsi="宋体" w:eastAsia="宋体" w:cs="Times New Roman"/>
                <w:color w:val="auto"/>
              </w:rPr>
            </w:pPr>
            <w:r>
              <w:rPr>
                <w:rFonts w:ascii="宋体" w:hAnsi="宋体" w:eastAsia="宋体" w:cs="Times New Roman"/>
                <w:color w:val="auto"/>
              </w:rPr>
              <w:t>0.41431</w:t>
            </w:r>
          </w:p>
        </w:tc>
        <w:tc>
          <w:tcPr>
            <w:tcW w:w="1268" w:type="dxa"/>
            <w:tcBorders>
              <w:tl2br w:val="nil"/>
              <w:tr2bl w:val="nil"/>
            </w:tcBorders>
            <w:vAlign w:val="center"/>
          </w:tcPr>
          <w:p w14:paraId="05DBF162">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0.083 </w:t>
            </w:r>
          </w:p>
        </w:tc>
        <w:tc>
          <w:tcPr>
            <w:tcW w:w="1680" w:type="dxa"/>
            <w:tcBorders>
              <w:tl2br w:val="nil"/>
              <w:tr2bl w:val="nil"/>
            </w:tcBorders>
            <w:vAlign w:val="center"/>
          </w:tcPr>
          <w:p w14:paraId="61C802E2">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6C015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A04A322">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7EF32EE2">
            <w:pPr>
              <w:spacing w:line="320" w:lineRule="exact"/>
              <w:jc w:val="center"/>
              <w:rPr>
                <w:rFonts w:ascii="宋体" w:hAnsi="宋体" w:eastAsia="宋体" w:cs="Times New Roman"/>
                <w:color w:val="auto"/>
              </w:rPr>
            </w:pPr>
            <w:r>
              <w:rPr>
                <w:rFonts w:ascii="宋体" w:hAnsi="宋体" w:eastAsia="宋体" w:cs="Times New Roman"/>
                <w:color w:val="auto"/>
              </w:rPr>
              <w:t>吴家围子屯</w:t>
            </w:r>
          </w:p>
        </w:tc>
        <w:tc>
          <w:tcPr>
            <w:tcW w:w="1006" w:type="dxa"/>
            <w:tcBorders>
              <w:tl2br w:val="nil"/>
              <w:tr2bl w:val="nil"/>
            </w:tcBorders>
            <w:vAlign w:val="center"/>
          </w:tcPr>
          <w:p w14:paraId="525A84A5">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759F812F">
            <w:pPr>
              <w:spacing w:line="320" w:lineRule="exact"/>
              <w:jc w:val="center"/>
              <w:rPr>
                <w:rFonts w:ascii="宋体" w:hAnsi="宋体" w:eastAsia="宋体" w:cs="Times New Roman"/>
                <w:color w:val="auto"/>
              </w:rPr>
            </w:pPr>
            <w:r>
              <w:rPr>
                <w:rFonts w:ascii="宋体" w:hAnsi="宋体" w:eastAsia="宋体" w:cs="Times New Roman"/>
                <w:color w:val="auto"/>
              </w:rPr>
              <w:t>0.00309</w:t>
            </w:r>
          </w:p>
        </w:tc>
        <w:tc>
          <w:tcPr>
            <w:tcW w:w="1268" w:type="dxa"/>
            <w:tcBorders>
              <w:tl2br w:val="nil"/>
              <w:tr2bl w:val="nil"/>
            </w:tcBorders>
            <w:vAlign w:val="center"/>
          </w:tcPr>
          <w:p w14:paraId="032BE0B6">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45586AAD">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70AA7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976834C">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297A219">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E32685C">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5EDA4BA4">
            <w:pPr>
              <w:spacing w:line="320" w:lineRule="exact"/>
              <w:jc w:val="center"/>
              <w:rPr>
                <w:rFonts w:ascii="宋体" w:hAnsi="宋体" w:eastAsia="宋体" w:cs="Times New Roman"/>
                <w:color w:val="auto"/>
              </w:rPr>
            </w:pPr>
            <w:r>
              <w:rPr>
                <w:rFonts w:ascii="宋体" w:hAnsi="宋体" w:eastAsia="宋体" w:cs="Times New Roman"/>
                <w:color w:val="auto"/>
              </w:rPr>
              <w:t>0.0312</w:t>
            </w:r>
          </w:p>
        </w:tc>
        <w:tc>
          <w:tcPr>
            <w:tcW w:w="1268" w:type="dxa"/>
            <w:tcBorders>
              <w:tl2br w:val="nil"/>
              <w:tr2bl w:val="nil"/>
            </w:tcBorders>
            <w:vAlign w:val="center"/>
          </w:tcPr>
          <w:p w14:paraId="7794B196">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0.021 </w:t>
            </w:r>
          </w:p>
        </w:tc>
        <w:tc>
          <w:tcPr>
            <w:tcW w:w="1680" w:type="dxa"/>
            <w:tcBorders>
              <w:tl2br w:val="nil"/>
              <w:tr2bl w:val="nil"/>
            </w:tcBorders>
            <w:vAlign w:val="center"/>
          </w:tcPr>
          <w:p w14:paraId="1E6DAD9F">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6A095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68DAF8D">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494958F">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33A408E">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CCB4482">
            <w:pPr>
              <w:spacing w:line="320" w:lineRule="exact"/>
              <w:jc w:val="center"/>
              <w:rPr>
                <w:rFonts w:ascii="宋体" w:hAnsi="宋体" w:eastAsia="宋体" w:cs="Times New Roman"/>
                <w:color w:val="auto"/>
              </w:rPr>
            </w:pPr>
            <w:r>
              <w:rPr>
                <w:rFonts w:ascii="宋体" w:hAnsi="宋体" w:eastAsia="宋体" w:cs="Times New Roman"/>
                <w:color w:val="auto"/>
              </w:rPr>
              <w:t>0.19185</w:t>
            </w:r>
          </w:p>
        </w:tc>
        <w:tc>
          <w:tcPr>
            <w:tcW w:w="1268" w:type="dxa"/>
            <w:tcBorders>
              <w:tl2br w:val="nil"/>
              <w:tr2bl w:val="nil"/>
            </w:tcBorders>
            <w:vAlign w:val="center"/>
          </w:tcPr>
          <w:p w14:paraId="6D0FD630">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0.038 </w:t>
            </w:r>
          </w:p>
        </w:tc>
        <w:tc>
          <w:tcPr>
            <w:tcW w:w="1680" w:type="dxa"/>
            <w:tcBorders>
              <w:tl2br w:val="nil"/>
              <w:tr2bl w:val="nil"/>
            </w:tcBorders>
            <w:vAlign w:val="center"/>
          </w:tcPr>
          <w:p w14:paraId="1398DAAA">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1CE43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42FD721">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3A5CBAEC">
            <w:pPr>
              <w:spacing w:line="320" w:lineRule="exact"/>
              <w:jc w:val="center"/>
              <w:rPr>
                <w:rFonts w:ascii="宋体" w:hAnsi="宋体" w:eastAsia="宋体" w:cs="Times New Roman"/>
                <w:color w:val="auto"/>
              </w:rPr>
            </w:pPr>
            <w:r>
              <w:rPr>
                <w:rFonts w:ascii="宋体" w:hAnsi="宋体" w:eastAsia="宋体" w:cs="Times New Roman"/>
                <w:color w:val="auto"/>
              </w:rPr>
              <w:t>孙家围子屯</w:t>
            </w:r>
          </w:p>
        </w:tc>
        <w:tc>
          <w:tcPr>
            <w:tcW w:w="1006" w:type="dxa"/>
            <w:tcBorders>
              <w:tl2br w:val="nil"/>
              <w:tr2bl w:val="nil"/>
            </w:tcBorders>
            <w:vAlign w:val="center"/>
          </w:tcPr>
          <w:p w14:paraId="127BB07A">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2E2DE966">
            <w:pPr>
              <w:spacing w:line="320" w:lineRule="exact"/>
              <w:jc w:val="center"/>
              <w:rPr>
                <w:rFonts w:ascii="宋体" w:hAnsi="宋体" w:eastAsia="宋体" w:cs="Times New Roman"/>
                <w:color w:val="auto"/>
              </w:rPr>
            </w:pPr>
            <w:r>
              <w:rPr>
                <w:rFonts w:ascii="宋体" w:hAnsi="宋体" w:eastAsia="宋体" w:cs="Times New Roman"/>
                <w:color w:val="auto"/>
              </w:rPr>
              <w:t>0.00196</w:t>
            </w:r>
          </w:p>
        </w:tc>
        <w:tc>
          <w:tcPr>
            <w:tcW w:w="1268" w:type="dxa"/>
            <w:tcBorders>
              <w:tl2br w:val="nil"/>
              <w:tr2bl w:val="nil"/>
            </w:tcBorders>
            <w:vAlign w:val="center"/>
          </w:tcPr>
          <w:p w14:paraId="325FC6EC">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0.003 </w:t>
            </w:r>
          </w:p>
        </w:tc>
        <w:tc>
          <w:tcPr>
            <w:tcW w:w="1680" w:type="dxa"/>
            <w:tcBorders>
              <w:tl2br w:val="nil"/>
              <w:tr2bl w:val="nil"/>
            </w:tcBorders>
            <w:vAlign w:val="center"/>
          </w:tcPr>
          <w:p w14:paraId="1F5F0F8C">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60451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915F86F">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5AE8B3DB">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C48CA60">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7F889B57">
            <w:pPr>
              <w:spacing w:line="320" w:lineRule="exact"/>
              <w:jc w:val="center"/>
              <w:rPr>
                <w:rFonts w:ascii="宋体" w:hAnsi="宋体" w:eastAsia="宋体" w:cs="Times New Roman"/>
                <w:color w:val="auto"/>
              </w:rPr>
            </w:pPr>
            <w:r>
              <w:rPr>
                <w:rFonts w:ascii="宋体" w:hAnsi="宋体" w:eastAsia="宋体" w:cs="Times New Roman"/>
                <w:color w:val="auto"/>
              </w:rPr>
              <w:t>0.02952</w:t>
            </w:r>
          </w:p>
        </w:tc>
        <w:tc>
          <w:tcPr>
            <w:tcW w:w="1268" w:type="dxa"/>
            <w:tcBorders>
              <w:tl2br w:val="nil"/>
              <w:tr2bl w:val="nil"/>
            </w:tcBorders>
            <w:vAlign w:val="center"/>
          </w:tcPr>
          <w:p w14:paraId="36BC49F9">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0.020 </w:t>
            </w:r>
          </w:p>
        </w:tc>
        <w:tc>
          <w:tcPr>
            <w:tcW w:w="1680" w:type="dxa"/>
            <w:tcBorders>
              <w:tl2br w:val="nil"/>
              <w:tr2bl w:val="nil"/>
            </w:tcBorders>
            <w:vAlign w:val="center"/>
          </w:tcPr>
          <w:p w14:paraId="706EA88D">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1C525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51A1163">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6419D5D5">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4E2D4889">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3A4488C9">
            <w:pPr>
              <w:spacing w:line="320" w:lineRule="exact"/>
              <w:jc w:val="center"/>
              <w:rPr>
                <w:rFonts w:ascii="宋体" w:hAnsi="宋体" w:eastAsia="宋体" w:cs="Times New Roman"/>
                <w:color w:val="auto"/>
              </w:rPr>
            </w:pPr>
            <w:r>
              <w:rPr>
                <w:rFonts w:ascii="宋体" w:hAnsi="宋体" w:eastAsia="宋体" w:cs="Times New Roman"/>
                <w:color w:val="auto"/>
              </w:rPr>
              <w:t>0.36282</w:t>
            </w:r>
          </w:p>
        </w:tc>
        <w:tc>
          <w:tcPr>
            <w:tcW w:w="1268" w:type="dxa"/>
            <w:tcBorders>
              <w:tl2br w:val="nil"/>
              <w:tr2bl w:val="nil"/>
            </w:tcBorders>
            <w:vAlign w:val="center"/>
          </w:tcPr>
          <w:p w14:paraId="724058C3">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0.073 </w:t>
            </w:r>
          </w:p>
        </w:tc>
        <w:tc>
          <w:tcPr>
            <w:tcW w:w="1680" w:type="dxa"/>
            <w:tcBorders>
              <w:tl2br w:val="nil"/>
              <w:tr2bl w:val="nil"/>
            </w:tcBorders>
            <w:vAlign w:val="center"/>
          </w:tcPr>
          <w:p w14:paraId="299A3790">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70E95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E42E9BE">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080DDE3E">
            <w:pPr>
              <w:spacing w:line="320" w:lineRule="exact"/>
              <w:jc w:val="center"/>
              <w:rPr>
                <w:rFonts w:ascii="宋体" w:hAnsi="宋体" w:eastAsia="宋体" w:cs="Times New Roman"/>
                <w:color w:val="auto"/>
              </w:rPr>
            </w:pPr>
            <w:r>
              <w:rPr>
                <w:rFonts w:ascii="宋体" w:hAnsi="宋体" w:eastAsia="宋体" w:cs="Times New Roman"/>
                <w:color w:val="auto"/>
              </w:rPr>
              <w:t>四方山屯</w:t>
            </w:r>
          </w:p>
        </w:tc>
        <w:tc>
          <w:tcPr>
            <w:tcW w:w="1006" w:type="dxa"/>
            <w:tcBorders>
              <w:tl2br w:val="nil"/>
              <w:tr2bl w:val="nil"/>
            </w:tcBorders>
            <w:vAlign w:val="center"/>
          </w:tcPr>
          <w:p w14:paraId="17139730">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659BDBC9">
            <w:pPr>
              <w:widowControl/>
              <w:jc w:val="center"/>
              <w:textAlignment w:val="center"/>
              <w:rPr>
                <w:rFonts w:ascii="宋体" w:hAnsi="宋体" w:eastAsia="宋体" w:cs="Times New Roman"/>
                <w:color w:val="auto"/>
              </w:rPr>
            </w:pPr>
            <w:r>
              <w:rPr>
                <w:rFonts w:ascii="宋体" w:hAnsi="宋体" w:eastAsia="宋体" w:cs="Times New Roman"/>
                <w:color w:val="auto"/>
                <w:lang w:bidi="ar"/>
              </w:rPr>
              <w:t>0.00143</w:t>
            </w:r>
          </w:p>
        </w:tc>
        <w:tc>
          <w:tcPr>
            <w:tcW w:w="1268" w:type="dxa"/>
            <w:tcBorders>
              <w:tl2br w:val="nil"/>
              <w:tr2bl w:val="nil"/>
            </w:tcBorders>
            <w:vAlign w:val="center"/>
          </w:tcPr>
          <w:p w14:paraId="274B9592">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680" w:type="dxa"/>
            <w:tcBorders>
              <w:tl2br w:val="nil"/>
              <w:tr2bl w:val="nil"/>
            </w:tcBorders>
            <w:vAlign w:val="center"/>
          </w:tcPr>
          <w:p w14:paraId="19B5DCEE">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58A3B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2AC1801">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5F21B1E8">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AB2FF6D">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2FFDD2E3">
            <w:pPr>
              <w:spacing w:line="320" w:lineRule="exact"/>
              <w:jc w:val="center"/>
              <w:rPr>
                <w:rFonts w:ascii="宋体" w:hAnsi="宋体" w:eastAsia="宋体" w:cs="Times New Roman"/>
                <w:color w:val="auto"/>
              </w:rPr>
            </w:pPr>
            <w:r>
              <w:rPr>
                <w:rFonts w:ascii="宋体" w:hAnsi="宋体" w:eastAsia="宋体" w:cs="Times New Roman"/>
                <w:color w:val="auto"/>
              </w:rPr>
              <w:t>0.01494</w:t>
            </w:r>
          </w:p>
        </w:tc>
        <w:tc>
          <w:tcPr>
            <w:tcW w:w="1268" w:type="dxa"/>
            <w:tcBorders>
              <w:tl2br w:val="nil"/>
              <w:tr2bl w:val="nil"/>
            </w:tcBorders>
            <w:vAlign w:val="center"/>
          </w:tcPr>
          <w:p w14:paraId="37902396">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0.010 </w:t>
            </w:r>
          </w:p>
        </w:tc>
        <w:tc>
          <w:tcPr>
            <w:tcW w:w="1680" w:type="dxa"/>
            <w:tcBorders>
              <w:tl2br w:val="nil"/>
              <w:tr2bl w:val="nil"/>
            </w:tcBorders>
            <w:vAlign w:val="center"/>
          </w:tcPr>
          <w:p w14:paraId="2FB1F228">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68330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BFD385A">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5C679821">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0D44161D">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8110E23">
            <w:pPr>
              <w:spacing w:line="320" w:lineRule="exact"/>
              <w:jc w:val="center"/>
              <w:rPr>
                <w:rFonts w:ascii="宋体" w:hAnsi="宋体" w:eastAsia="宋体" w:cs="Times New Roman"/>
                <w:color w:val="auto"/>
              </w:rPr>
            </w:pPr>
            <w:r>
              <w:rPr>
                <w:rFonts w:ascii="宋体" w:hAnsi="宋体" w:eastAsia="宋体" w:cs="Times New Roman"/>
                <w:color w:val="auto"/>
              </w:rPr>
              <w:t>0.12274</w:t>
            </w:r>
          </w:p>
        </w:tc>
        <w:tc>
          <w:tcPr>
            <w:tcW w:w="1268" w:type="dxa"/>
            <w:tcBorders>
              <w:tl2br w:val="nil"/>
              <w:tr2bl w:val="nil"/>
            </w:tcBorders>
            <w:vAlign w:val="center"/>
          </w:tcPr>
          <w:p w14:paraId="1157FFA7">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0.025 </w:t>
            </w:r>
          </w:p>
        </w:tc>
        <w:tc>
          <w:tcPr>
            <w:tcW w:w="1680" w:type="dxa"/>
            <w:tcBorders>
              <w:tl2br w:val="nil"/>
              <w:tr2bl w:val="nil"/>
            </w:tcBorders>
            <w:vAlign w:val="center"/>
          </w:tcPr>
          <w:p w14:paraId="77F76036">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9526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7B2F585">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7781AD81">
            <w:pPr>
              <w:spacing w:line="320" w:lineRule="exact"/>
              <w:jc w:val="center"/>
              <w:rPr>
                <w:rFonts w:ascii="宋体" w:hAnsi="宋体" w:eastAsia="宋体" w:cs="Times New Roman"/>
                <w:color w:val="auto"/>
              </w:rPr>
            </w:pPr>
            <w:r>
              <w:rPr>
                <w:rFonts w:ascii="宋体" w:hAnsi="宋体" w:eastAsia="宋体" w:cs="Times New Roman"/>
                <w:color w:val="auto"/>
              </w:rPr>
              <w:t>小东屯</w:t>
            </w:r>
          </w:p>
        </w:tc>
        <w:tc>
          <w:tcPr>
            <w:tcW w:w="1006" w:type="dxa"/>
            <w:tcBorders>
              <w:tl2br w:val="nil"/>
              <w:tr2bl w:val="nil"/>
            </w:tcBorders>
            <w:vAlign w:val="center"/>
          </w:tcPr>
          <w:p w14:paraId="44EA24ED">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659763B3">
            <w:pPr>
              <w:widowControl/>
              <w:jc w:val="center"/>
              <w:textAlignment w:val="center"/>
              <w:rPr>
                <w:rFonts w:ascii="宋体" w:hAnsi="宋体" w:eastAsia="宋体" w:cs="Times New Roman"/>
                <w:color w:val="auto"/>
              </w:rPr>
            </w:pPr>
            <w:r>
              <w:rPr>
                <w:rFonts w:ascii="宋体" w:hAnsi="宋体" w:eastAsia="宋体" w:cs="Times New Roman"/>
                <w:color w:val="auto"/>
                <w:lang w:bidi="ar"/>
              </w:rPr>
              <w:t>0.00127</w:t>
            </w:r>
          </w:p>
        </w:tc>
        <w:tc>
          <w:tcPr>
            <w:tcW w:w="1268" w:type="dxa"/>
            <w:tcBorders>
              <w:tl2br w:val="nil"/>
              <w:tr2bl w:val="nil"/>
            </w:tcBorders>
            <w:vAlign w:val="center"/>
          </w:tcPr>
          <w:p w14:paraId="7BD8AE6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680" w:type="dxa"/>
            <w:tcBorders>
              <w:tl2br w:val="nil"/>
              <w:tr2bl w:val="nil"/>
            </w:tcBorders>
            <w:vAlign w:val="center"/>
          </w:tcPr>
          <w:p w14:paraId="42A89B16">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325B7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A72EB66">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35BD71DC">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3FC5DB8A">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24841613">
            <w:pPr>
              <w:spacing w:line="320" w:lineRule="exact"/>
              <w:jc w:val="center"/>
              <w:rPr>
                <w:rFonts w:ascii="宋体" w:hAnsi="宋体" w:eastAsia="宋体" w:cs="Times New Roman"/>
                <w:color w:val="auto"/>
              </w:rPr>
            </w:pPr>
            <w:r>
              <w:rPr>
                <w:rFonts w:ascii="宋体" w:hAnsi="宋体" w:eastAsia="宋体" w:cs="Times New Roman"/>
                <w:color w:val="auto"/>
              </w:rPr>
              <w:t>0.01713</w:t>
            </w:r>
          </w:p>
        </w:tc>
        <w:tc>
          <w:tcPr>
            <w:tcW w:w="1268" w:type="dxa"/>
            <w:tcBorders>
              <w:tl2br w:val="nil"/>
              <w:tr2bl w:val="nil"/>
            </w:tcBorders>
            <w:vAlign w:val="center"/>
          </w:tcPr>
          <w:p w14:paraId="7A4FA1AD">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0.011 </w:t>
            </w:r>
          </w:p>
        </w:tc>
        <w:tc>
          <w:tcPr>
            <w:tcW w:w="1680" w:type="dxa"/>
            <w:tcBorders>
              <w:tl2br w:val="nil"/>
              <w:tr2bl w:val="nil"/>
            </w:tcBorders>
            <w:vAlign w:val="center"/>
          </w:tcPr>
          <w:p w14:paraId="5BFA74B0">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6C2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982066C">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0C3D5C8B">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913E4FD">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7B4482FE">
            <w:pPr>
              <w:spacing w:line="320" w:lineRule="exact"/>
              <w:jc w:val="center"/>
              <w:rPr>
                <w:rFonts w:ascii="宋体" w:hAnsi="宋体" w:eastAsia="宋体" w:cs="Times New Roman"/>
                <w:color w:val="auto"/>
              </w:rPr>
            </w:pPr>
            <w:r>
              <w:rPr>
                <w:rFonts w:ascii="宋体" w:hAnsi="宋体" w:eastAsia="宋体" w:cs="Times New Roman"/>
                <w:color w:val="auto"/>
              </w:rPr>
              <w:t>0.10703</w:t>
            </w:r>
          </w:p>
        </w:tc>
        <w:tc>
          <w:tcPr>
            <w:tcW w:w="1268" w:type="dxa"/>
            <w:tcBorders>
              <w:tl2br w:val="nil"/>
              <w:tr2bl w:val="nil"/>
            </w:tcBorders>
            <w:vAlign w:val="center"/>
          </w:tcPr>
          <w:p w14:paraId="0E623640">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0.021 </w:t>
            </w:r>
          </w:p>
        </w:tc>
        <w:tc>
          <w:tcPr>
            <w:tcW w:w="1680" w:type="dxa"/>
            <w:tcBorders>
              <w:tl2br w:val="nil"/>
              <w:tr2bl w:val="nil"/>
            </w:tcBorders>
            <w:vAlign w:val="center"/>
          </w:tcPr>
          <w:p w14:paraId="68C7DEFC">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202C5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69FD320">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6C735CDF">
            <w:pPr>
              <w:spacing w:line="320" w:lineRule="exact"/>
              <w:jc w:val="center"/>
              <w:rPr>
                <w:rFonts w:ascii="宋体" w:hAnsi="宋体" w:eastAsia="宋体" w:cs="Times New Roman"/>
                <w:color w:val="auto"/>
              </w:rPr>
            </w:pPr>
            <w:r>
              <w:rPr>
                <w:rFonts w:ascii="宋体" w:hAnsi="宋体" w:eastAsia="宋体" w:cs="Times New Roman"/>
                <w:color w:val="auto"/>
              </w:rPr>
              <w:t>奎中里屯</w:t>
            </w:r>
          </w:p>
        </w:tc>
        <w:tc>
          <w:tcPr>
            <w:tcW w:w="1006" w:type="dxa"/>
            <w:tcBorders>
              <w:tl2br w:val="nil"/>
              <w:tr2bl w:val="nil"/>
            </w:tcBorders>
            <w:vAlign w:val="center"/>
          </w:tcPr>
          <w:p w14:paraId="20BEC6BB">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51DAC72E">
            <w:pPr>
              <w:spacing w:line="320" w:lineRule="exact"/>
              <w:jc w:val="center"/>
              <w:rPr>
                <w:rFonts w:ascii="宋体" w:hAnsi="宋体" w:eastAsia="宋体" w:cs="Times New Roman"/>
                <w:color w:val="auto"/>
              </w:rPr>
            </w:pPr>
            <w:r>
              <w:rPr>
                <w:rFonts w:ascii="宋体" w:hAnsi="宋体" w:eastAsia="宋体" w:cs="Times New Roman"/>
                <w:color w:val="auto"/>
              </w:rPr>
              <w:t>0.00188</w:t>
            </w:r>
          </w:p>
        </w:tc>
        <w:tc>
          <w:tcPr>
            <w:tcW w:w="1268" w:type="dxa"/>
            <w:tcBorders>
              <w:tl2br w:val="nil"/>
              <w:tr2bl w:val="nil"/>
            </w:tcBorders>
            <w:vAlign w:val="center"/>
          </w:tcPr>
          <w:p w14:paraId="511801FB">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0.003 </w:t>
            </w:r>
          </w:p>
        </w:tc>
        <w:tc>
          <w:tcPr>
            <w:tcW w:w="1680" w:type="dxa"/>
            <w:tcBorders>
              <w:tl2br w:val="nil"/>
              <w:tr2bl w:val="nil"/>
            </w:tcBorders>
            <w:vAlign w:val="center"/>
          </w:tcPr>
          <w:p w14:paraId="2110E4F5">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5E9E0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136EEDF">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376DD8C">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521DF2FD">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61FFB76A">
            <w:pPr>
              <w:spacing w:line="320" w:lineRule="exact"/>
              <w:jc w:val="center"/>
              <w:rPr>
                <w:rFonts w:ascii="宋体" w:hAnsi="宋体" w:eastAsia="宋体" w:cs="Times New Roman"/>
                <w:color w:val="auto"/>
              </w:rPr>
            </w:pPr>
            <w:r>
              <w:rPr>
                <w:rFonts w:ascii="宋体" w:hAnsi="宋体" w:eastAsia="宋体" w:cs="Times New Roman"/>
                <w:color w:val="auto"/>
              </w:rPr>
              <w:t>0.02931</w:t>
            </w:r>
          </w:p>
        </w:tc>
        <w:tc>
          <w:tcPr>
            <w:tcW w:w="1268" w:type="dxa"/>
            <w:tcBorders>
              <w:tl2br w:val="nil"/>
              <w:tr2bl w:val="nil"/>
            </w:tcBorders>
            <w:vAlign w:val="center"/>
          </w:tcPr>
          <w:p w14:paraId="2A2C3FB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0.020 </w:t>
            </w:r>
          </w:p>
        </w:tc>
        <w:tc>
          <w:tcPr>
            <w:tcW w:w="1680" w:type="dxa"/>
            <w:tcBorders>
              <w:tl2br w:val="nil"/>
              <w:tr2bl w:val="nil"/>
            </w:tcBorders>
            <w:vAlign w:val="center"/>
          </w:tcPr>
          <w:p w14:paraId="7E961484">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66636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005EF1F">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EB3668F">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33723DD0">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40BA2170">
            <w:pPr>
              <w:spacing w:line="320" w:lineRule="exact"/>
              <w:jc w:val="center"/>
              <w:rPr>
                <w:rFonts w:ascii="宋体" w:hAnsi="宋体" w:eastAsia="宋体" w:cs="Times New Roman"/>
                <w:color w:val="auto"/>
              </w:rPr>
            </w:pPr>
            <w:r>
              <w:rPr>
                <w:rFonts w:ascii="宋体" w:hAnsi="宋体" w:eastAsia="宋体" w:cs="Times New Roman"/>
                <w:color w:val="auto"/>
              </w:rPr>
              <w:t>0.12548</w:t>
            </w:r>
          </w:p>
        </w:tc>
        <w:tc>
          <w:tcPr>
            <w:tcW w:w="1268" w:type="dxa"/>
            <w:tcBorders>
              <w:tl2br w:val="nil"/>
              <w:tr2bl w:val="nil"/>
            </w:tcBorders>
            <w:vAlign w:val="center"/>
          </w:tcPr>
          <w:p w14:paraId="3FA1AD77">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0.025 </w:t>
            </w:r>
          </w:p>
        </w:tc>
        <w:tc>
          <w:tcPr>
            <w:tcW w:w="1680" w:type="dxa"/>
            <w:tcBorders>
              <w:tl2br w:val="nil"/>
              <w:tr2bl w:val="nil"/>
            </w:tcBorders>
            <w:vAlign w:val="center"/>
          </w:tcPr>
          <w:p w14:paraId="388877A9">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380F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EAE16F4">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47B3578C">
            <w:pPr>
              <w:spacing w:line="320" w:lineRule="exact"/>
              <w:jc w:val="center"/>
              <w:rPr>
                <w:rFonts w:ascii="宋体" w:hAnsi="宋体" w:eastAsia="宋体" w:cs="Times New Roman"/>
                <w:color w:val="auto"/>
              </w:rPr>
            </w:pPr>
            <w:r>
              <w:rPr>
                <w:rFonts w:ascii="宋体" w:hAnsi="宋体" w:eastAsia="宋体" w:cs="Times New Roman"/>
                <w:color w:val="auto"/>
              </w:rPr>
              <w:t>东兴村</w:t>
            </w:r>
          </w:p>
        </w:tc>
        <w:tc>
          <w:tcPr>
            <w:tcW w:w="1006" w:type="dxa"/>
            <w:tcBorders>
              <w:tl2br w:val="nil"/>
              <w:tr2bl w:val="nil"/>
            </w:tcBorders>
            <w:vAlign w:val="center"/>
          </w:tcPr>
          <w:p w14:paraId="46326595">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166FE929">
            <w:pPr>
              <w:widowControl/>
              <w:jc w:val="center"/>
              <w:textAlignment w:val="center"/>
              <w:rPr>
                <w:rFonts w:ascii="宋体" w:hAnsi="宋体" w:eastAsia="宋体" w:cs="Times New Roman"/>
                <w:color w:val="auto"/>
              </w:rPr>
            </w:pPr>
            <w:r>
              <w:rPr>
                <w:rFonts w:ascii="宋体" w:hAnsi="宋体" w:eastAsia="宋体" w:cs="Times New Roman"/>
                <w:color w:val="auto"/>
                <w:lang w:bidi="ar"/>
              </w:rPr>
              <w:t>0.00092</w:t>
            </w:r>
          </w:p>
        </w:tc>
        <w:tc>
          <w:tcPr>
            <w:tcW w:w="1268" w:type="dxa"/>
            <w:tcBorders>
              <w:tl2br w:val="nil"/>
              <w:tr2bl w:val="nil"/>
            </w:tcBorders>
            <w:vAlign w:val="center"/>
          </w:tcPr>
          <w:p w14:paraId="5E50902D">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680" w:type="dxa"/>
            <w:tcBorders>
              <w:tl2br w:val="nil"/>
              <w:tr2bl w:val="nil"/>
            </w:tcBorders>
            <w:vAlign w:val="center"/>
          </w:tcPr>
          <w:p w14:paraId="53B7F6B9">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3FB26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4D1895A">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458F0BE0">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1BC76379">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4B3FDD4B">
            <w:pPr>
              <w:spacing w:line="320" w:lineRule="exact"/>
              <w:jc w:val="center"/>
              <w:rPr>
                <w:rFonts w:ascii="宋体" w:hAnsi="宋体" w:eastAsia="宋体" w:cs="Times New Roman"/>
                <w:color w:val="auto"/>
              </w:rPr>
            </w:pPr>
            <w:r>
              <w:rPr>
                <w:rFonts w:ascii="宋体" w:hAnsi="宋体" w:eastAsia="宋体" w:cs="Times New Roman"/>
                <w:color w:val="auto"/>
              </w:rPr>
              <w:t>0.01001</w:t>
            </w:r>
          </w:p>
        </w:tc>
        <w:tc>
          <w:tcPr>
            <w:tcW w:w="1268" w:type="dxa"/>
            <w:tcBorders>
              <w:tl2br w:val="nil"/>
              <w:tr2bl w:val="nil"/>
            </w:tcBorders>
            <w:vAlign w:val="center"/>
          </w:tcPr>
          <w:p w14:paraId="6C1952E5">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0.007 </w:t>
            </w:r>
          </w:p>
        </w:tc>
        <w:tc>
          <w:tcPr>
            <w:tcW w:w="1680" w:type="dxa"/>
            <w:tcBorders>
              <w:tl2br w:val="nil"/>
              <w:tr2bl w:val="nil"/>
            </w:tcBorders>
            <w:vAlign w:val="center"/>
          </w:tcPr>
          <w:p w14:paraId="228E146D">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4C751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B6DE816">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026D5D80">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38A8B23F">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3ACADDF3">
            <w:pPr>
              <w:spacing w:line="320" w:lineRule="exact"/>
              <w:jc w:val="center"/>
              <w:rPr>
                <w:rFonts w:ascii="宋体" w:hAnsi="宋体" w:eastAsia="宋体" w:cs="Times New Roman"/>
                <w:color w:val="auto"/>
              </w:rPr>
            </w:pPr>
            <w:r>
              <w:rPr>
                <w:rFonts w:ascii="宋体" w:hAnsi="宋体" w:eastAsia="宋体" w:cs="Times New Roman"/>
                <w:color w:val="auto"/>
              </w:rPr>
              <w:t>0.10061</w:t>
            </w:r>
          </w:p>
        </w:tc>
        <w:tc>
          <w:tcPr>
            <w:tcW w:w="1268" w:type="dxa"/>
            <w:tcBorders>
              <w:tl2br w:val="nil"/>
              <w:tr2bl w:val="nil"/>
            </w:tcBorders>
            <w:vAlign w:val="center"/>
          </w:tcPr>
          <w:p w14:paraId="13B19390">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0.020 </w:t>
            </w:r>
          </w:p>
        </w:tc>
        <w:tc>
          <w:tcPr>
            <w:tcW w:w="1680" w:type="dxa"/>
            <w:tcBorders>
              <w:tl2br w:val="nil"/>
              <w:tr2bl w:val="nil"/>
            </w:tcBorders>
            <w:vAlign w:val="center"/>
          </w:tcPr>
          <w:p w14:paraId="1E76BE73">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8407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2415EA0">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60D7EFEC">
            <w:pPr>
              <w:spacing w:line="320" w:lineRule="exact"/>
              <w:jc w:val="center"/>
              <w:rPr>
                <w:rFonts w:ascii="宋体" w:hAnsi="宋体" w:eastAsia="宋体" w:cs="Times New Roman"/>
                <w:color w:val="auto"/>
              </w:rPr>
            </w:pPr>
            <w:r>
              <w:rPr>
                <w:rFonts w:ascii="宋体" w:hAnsi="宋体" w:eastAsia="宋体" w:cs="Times New Roman"/>
                <w:color w:val="auto"/>
              </w:rPr>
              <w:t>迟家屯</w:t>
            </w:r>
          </w:p>
        </w:tc>
        <w:tc>
          <w:tcPr>
            <w:tcW w:w="1006" w:type="dxa"/>
            <w:tcBorders>
              <w:tl2br w:val="nil"/>
              <w:tr2bl w:val="nil"/>
            </w:tcBorders>
            <w:vAlign w:val="center"/>
          </w:tcPr>
          <w:p w14:paraId="571C1BBB">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6C60BD75">
            <w:pPr>
              <w:widowControl/>
              <w:jc w:val="center"/>
              <w:textAlignment w:val="center"/>
              <w:rPr>
                <w:rFonts w:ascii="宋体" w:hAnsi="宋体" w:eastAsia="宋体" w:cs="Times New Roman"/>
                <w:color w:val="auto"/>
              </w:rPr>
            </w:pPr>
            <w:r>
              <w:rPr>
                <w:rFonts w:ascii="宋体" w:hAnsi="宋体" w:eastAsia="宋体" w:cs="Times New Roman"/>
                <w:color w:val="auto"/>
                <w:lang w:bidi="ar"/>
              </w:rPr>
              <w:t>0.00088</w:t>
            </w:r>
          </w:p>
        </w:tc>
        <w:tc>
          <w:tcPr>
            <w:tcW w:w="1268" w:type="dxa"/>
            <w:tcBorders>
              <w:tl2br w:val="nil"/>
              <w:tr2bl w:val="nil"/>
            </w:tcBorders>
            <w:vAlign w:val="center"/>
          </w:tcPr>
          <w:p w14:paraId="56511A41">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0069070F">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667D0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D066074">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38AF12C4">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F6FADC4">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6A69F365">
            <w:pPr>
              <w:spacing w:line="320" w:lineRule="exact"/>
              <w:jc w:val="center"/>
              <w:rPr>
                <w:rFonts w:ascii="宋体" w:hAnsi="宋体" w:eastAsia="宋体" w:cs="Times New Roman"/>
                <w:color w:val="auto"/>
              </w:rPr>
            </w:pPr>
            <w:r>
              <w:rPr>
                <w:rFonts w:ascii="宋体" w:hAnsi="宋体" w:eastAsia="宋体" w:cs="Times New Roman"/>
                <w:color w:val="auto"/>
              </w:rPr>
              <w:t>0.01302</w:t>
            </w:r>
          </w:p>
        </w:tc>
        <w:tc>
          <w:tcPr>
            <w:tcW w:w="1268" w:type="dxa"/>
            <w:tcBorders>
              <w:tl2br w:val="nil"/>
              <w:tr2bl w:val="nil"/>
            </w:tcBorders>
            <w:vAlign w:val="center"/>
          </w:tcPr>
          <w:p w14:paraId="7DAB568F">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680" w:type="dxa"/>
            <w:tcBorders>
              <w:tl2br w:val="nil"/>
              <w:tr2bl w:val="nil"/>
            </w:tcBorders>
            <w:vAlign w:val="center"/>
          </w:tcPr>
          <w:p w14:paraId="3124A93B">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23C3E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61760C2">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9E7D875">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3E67BC26">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CA9C7C3">
            <w:pPr>
              <w:spacing w:line="320" w:lineRule="exact"/>
              <w:jc w:val="center"/>
              <w:rPr>
                <w:rFonts w:ascii="宋体" w:hAnsi="宋体" w:eastAsia="宋体" w:cs="Times New Roman"/>
                <w:color w:val="auto"/>
              </w:rPr>
            </w:pPr>
            <w:r>
              <w:rPr>
                <w:rFonts w:ascii="宋体" w:hAnsi="宋体" w:eastAsia="宋体" w:cs="Times New Roman"/>
                <w:color w:val="auto"/>
              </w:rPr>
              <w:t>0.09712</w:t>
            </w:r>
          </w:p>
        </w:tc>
        <w:tc>
          <w:tcPr>
            <w:tcW w:w="1268" w:type="dxa"/>
            <w:tcBorders>
              <w:tl2br w:val="nil"/>
              <w:tr2bl w:val="nil"/>
            </w:tcBorders>
            <w:vAlign w:val="center"/>
          </w:tcPr>
          <w:p w14:paraId="08614209">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0.019 </w:t>
            </w:r>
          </w:p>
        </w:tc>
        <w:tc>
          <w:tcPr>
            <w:tcW w:w="1680" w:type="dxa"/>
            <w:tcBorders>
              <w:tl2br w:val="nil"/>
              <w:tr2bl w:val="nil"/>
            </w:tcBorders>
            <w:vAlign w:val="center"/>
          </w:tcPr>
          <w:p w14:paraId="162EFD9B">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6FBCF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EAE652E">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736C5C97">
            <w:pPr>
              <w:spacing w:line="320" w:lineRule="exact"/>
              <w:jc w:val="center"/>
              <w:rPr>
                <w:rFonts w:ascii="宋体" w:hAnsi="宋体" w:eastAsia="宋体" w:cs="Times New Roman"/>
                <w:color w:val="auto"/>
              </w:rPr>
            </w:pPr>
            <w:r>
              <w:rPr>
                <w:rFonts w:ascii="宋体" w:hAnsi="宋体" w:eastAsia="宋体" w:cs="Times New Roman"/>
                <w:color w:val="auto"/>
              </w:rPr>
              <w:t>肇源镇</w:t>
            </w:r>
          </w:p>
        </w:tc>
        <w:tc>
          <w:tcPr>
            <w:tcW w:w="1006" w:type="dxa"/>
            <w:tcBorders>
              <w:tl2br w:val="nil"/>
              <w:tr2bl w:val="nil"/>
            </w:tcBorders>
            <w:vAlign w:val="center"/>
          </w:tcPr>
          <w:p w14:paraId="1F29069E">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03EF9552">
            <w:pPr>
              <w:spacing w:line="320" w:lineRule="exact"/>
              <w:jc w:val="center"/>
              <w:rPr>
                <w:rFonts w:ascii="宋体" w:hAnsi="宋体" w:eastAsia="宋体" w:cs="Times New Roman"/>
                <w:color w:val="auto"/>
              </w:rPr>
            </w:pPr>
            <w:r>
              <w:rPr>
                <w:rFonts w:ascii="宋体" w:hAnsi="宋体" w:eastAsia="宋体" w:cs="Times New Roman"/>
                <w:color w:val="auto"/>
              </w:rPr>
              <w:t>0.00059</w:t>
            </w:r>
          </w:p>
        </w:tc>
        <w:tc>
          <w:tcPr>
            <w:tcW w:w="1268" w:type="dxa"/>
            <w:tcBorders>
              <w:tl2br w:val="nil"/>
              <w:tr2bl w:val="nil"/>
            </w:tcBorders>
            <w:vAlign w:val="center"/>
          </w:tcPr>
          <w:p w14:paraId="19402DED">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4E2EAD58">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4729A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F6C6D4F">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3DAA3469">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45A96946">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0F388710">
            <w:pPr>
              <w:spacing w:line="320" w:lineRule="exact"/>
              <w:jc w:val="center"/>
              <w:rPr>
                <w:rFonts w:ascii="宋体" w:hAnsi="宋体" w:eastAsia="宋体" w:cs="Times New Roman"/>
                <w:color w:val="auto"/>
              </w:rPr>
            </w:pPr>
            <w:r>
              <w:rPr>
                <w:rFonts w:ascii="宋体" w:hAnsi="宋体" w:eastAsia="宋体" w:cs="Times New Roman"/>
                <w:color w:val="auto"/>
              </w:rPr>
              <w:t>0.01</w:t>
            </w:r>
          </w:p>
        </w:tc>
        <w:tc>
          <w:tcPr>
            <w:tcW w:w="1268" w:type="dxa"/>
            <w:tcBorders>
              <w:tl2br w:val="nil"/>
              <w:tr2bl w:val="nil"/>
            </w:tcBorders>
            <w:vAlign w:val="center"/>
          </w:tcPr>
          <w:p w14:paraId="06A2221F">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0.007 </w:t>
            </w:r>
          </w:p>
        </w:tc>
        <w:tc>
          <w:tcPr>
            <w:tcW w:w="1680" w:type="dxa"/>
            <w:tcBorders>
              <w:tl2br w:val="nil"/>
              <w:tr2bl w:val="nil"/>
            </w:tcBorders>
            <w:vAlign w:val="center"/>
          </w:tcPr>
          <w:p w14:paraId="1503A04F">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61A0B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50AAB2B">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5554F6A">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54D4513A">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703CEEFE">
            <w:pPr>
              <w:spacing w:line="320" w:lineRule="exact"/>
              <w:jc w:val="center"/>
              <w:rPr>
                <w:rFonts w:ascii="宋体" w:hAnsi="宋体" w:eastAsia="宋体" w:cs="Times New Roman"/>
                <w:color w:val="auto"/>
              </w:rPr>
            </w:pPr>
            <w:r>
              <w:rPr>
                <w:rFonts w:ascii="宋体" w:hAnsi="宋体" w:eastAsia="宋体" w:cs="Times New Roman"/>
                <w:color w:val="auto"/>
              </w:rPr>
              <w:t>0.08747</w:t>
            </w:r>
          </w:p>
        </w:tc>
        <w:tc>
          <w:tcPr>
            <w:tcW w:w="1268" w:type="dxa"/>
            <w:tcBorders>
              <w:tl2br w:val="nil"/>
              <w:tr2bl w:val="nil"/>
            </w:tcBorders>
            <w:vAlign w:val="center"/>
          </w:tcPr>
          <w:p w14:paraId="6CA966B4">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0.017 </w:t>
            </w:r>
          </w:p>
        </w:tc>
        <w:tc>
          <w:tcPr>
            <w:tcW w:w="1680" w:type="dxa"/>
            <w:tcBorders>
              <w:tl2br w:val="nil"/>
              <w:tr2bl w:val="nil"/>
            </w:tcBorders>
            <w:vAlign w:val="center"/>
          </w:tcPr>
          <w:p w14:paraId="39D5FEE7">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2910E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CFE9FC5">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7F4433EF">
            <w:pPr>
              <w:spacing w:line="320" w:lineRule="exact"/>
              <w:jc w:val="center"/>
              <w:rPr>
                <w:rFonts w:ascii="宋体" w:hAnsi="宋体" w:eastAsia="宋体" w:cs="Times New Roman"/>
                <w:color w:val="auto"/>
              </w:rPr>
            </w:pPr>
            <w:r>
              <w:rPr>
                <w:rFonts w:ascii="宋体" w:hAnsi="宋体" w:eastAsia="宋体" w:cs="Times New Roman"/>
                <w:color w:val="auto"/>
              </w:rPr>
              <w:t>大姚屯</w:t>
            </w:r>
          </w:p>
        </w:tc>
        <w:tc>
          <w:tcPr>
            <w:tcW w:w="1006" w:type="dxa"/>
            <w:tcBorders>
              <w:tl2br w:val="nil"/>
              <w:tr2bl w:val="nil"/>
            </w:tcBorders>
            <w:vAlign w:val="center"/>
          </w:tcPr>
          <w:p w14:paraId="76896343">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0FB202E5">
            <w:pPr>
              <w:spacing w:line="320" w:lineRule="exact"/>
              <w:jc w:val="center"/>
              <w:rPr>
                <w:rFonts w:ascii="宋体" w:hAnsi="宋体" w:eastAsia="宋体" w:cs="Times New Roman"/>
                <w:color w:val="auto"/>
              </w:rPr>
            </w:pPr>
            <w:r>
              <w:rPr>
                <w:rFonts w:ascii="宋体" w:hAnsi="宋体" w:eastAsia="宋体" w:cs="Times New Roman"/>
                <w:color w:val="auto"/>
              </w:rPr>
              <w:t>0.00045</w:t>
            </w:r>
          </w:p>
        </w:tc>
        <w:tc>
          <w:tcPr>
            <w:tcW w:w="1268" w:type="dxa"/>
            <w:tcBorders>
              <w:tl2br w:val="nil"/>
              <w:tr2bl w:val="nil"/>
            </w:tcBorders>
            <w:vAlign w:val="center"/>
          </w:tcPr>
          <w:p w14:paraId="3B25C0E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3266B3EA">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711CE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8C1F307">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3950260">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5688E481">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5CB31B94">
            <w:pPr>
              <w:spacing w:line="320" w:lineRule="exact"/>
              <w:jc w:val="center"/>
              <w:rPr>
                <w:rFonts w:ascii="宋体" w:hAnsi="宋体" w:eastAsia="宋体" w:cs="Times New Roman"/>
                <w:color w:val="auto"/>
              </w:rPr>
            </w:pPr>
            <w:r>
              <w:rPr>
                <w:rFonts w:ascii="宋体" w:hAnsi="宋体" w:eastAsia="宋体" w:cs="Times New Roman"/>
                <w:color w:val="auto"/>
              </w:rPr>
              <w:t>0.00777</w:t>
            </w:r>
          </w:p>
        </w:tc>
        <w:tc>
          <w:tcPr>
            <w:tcW w:w="1268" w:type="dxa"/>
            <w:tcBorders>
              <w:tl2br w:val="nil"/>
              <w:tr2bl w:val="nil"/>
            </w:tcBorders>
            <w:vAlign w:val="center"/>
          </w:tcPr>
          <w:p w14:paraId="5E35DA20">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52FDE3E7">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3A1EC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DA73E27">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4086AA9">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1F09F0D">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7127E68">
            <w:pPr>
              <w:spacing w:line="320" w:lineRule="exact"/>
              <w:jc w:val="center"/>
              <w:rPr>
                <w:rFonts w:ascii="宋体" w:hAnsi="宋体" w:eastAsia="宋体" w:cs="Times New Roman"/>
                <w:color w:val="auto"/>
              </w:rPr>
            </w:pPr>
            <w:r>
              <w:rPr>
                <w:rFonts w:ascii="宋体" w:hAnsi="宋体" w:eastAsia="宋体" w:cs="Times New Roman"/>
                <w:color w:val="auto"/>
              </w:rPr>
              <w:t>0.07631</w:t>
            </w:r>
          </w:p>
        </w:tc>
        <w:tc>
          <w:tcPr>
            <w:tcW w:w="1268" w:type="dxa"/>
            <w:tcBorders>
              <w:tl2br w:val="nil"/>
              <w:tr2bl w:val="nil"/>
            </w:tcBorders>
            <w:vAlign w:val="center"/>
          </w:tcPr>
          <w:p w14:paraId="0B88169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0.015 </w:t>
            </w:r>
          </w:p>
        </w:tc>
        <w:tc>
          <w:tcPr>
            <w:tcW w:w="1680" w:type="dxa"/>
            <w:tcBorders>
              <w:tl2br w:val="nil"/>
              <w:tr2bl w:val="nil"/>
            </w:tcBorders>
            <w:vAlign w:val="center"/>
          </w:tcPr>
          <w:p w14:paraId="7ED7DBF9">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192ED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A5DCBD6">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0B61A39E">
            <w:pPr>
              <w:spacing w:line="320" w:lineRule="exact"/>
              <w:jc w:val="center"/>
              <w:rPr>
                <w:rFonts w:ascii="宋体" w:hAnsi="宋体" w:eastAsia="宋体" w:cs="Times New Roman"/>
                <w:color w:val="auto"/>
              </w:rPr>
            </w:pPr>
            <w:r>
              <w:rPr>
                <w:rFonts w:ascii="宋体" w:hAnsi="宋体" w:eastAsia="宋体" w:cs="Times New Roman"/>
                <w:color w:val="auto"/>
              </w:rPr>
              <w:t>科技屯</w:t>
            </w:r>
          </w:p>
        </w:tc>
        <w:tc>
          <w:tcPr>
            <w:tcW w:w="1006" w:type="dxa"/>
            <w:tcBorders>
              <w:tl2br w:val="nil"/>
              <w:tr2bl w:val="nil"/>
            </w:tcBorders>
            <w:vAlign w:val="center"/>
          </w:tcPr>
          <w:p w14:paraId="3BCE93D4">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7F0A0507">
            <w:pPr>
              <w:spacing w:line="320" w:lineRule="exact"/>
              <w:jc w:val="center"/>
              <w:rPr>
                <w:rFonts w:ascii="宋体" w:hAnsi="宋体" w:eastAsia="宋体" w:cs="Times New Roman"/>
                <w:color w:val="auto"/>
              </w:rPr>
            </w:pPr>
            <w:r>
              <w:rPr>
                <w:rFonts w:ascii="宋体" w:hAnsi="宋体" w:eastAsia="宋体" w:cs="Times New Roman"/>
                <w:color w:val="auto"/>
              </w:rPr>
              <w:t>0.00051</w:t>
            </w:r>
          </w:p>
        </w:tc>
        <w:tc>
          <w:tcPr>
            <w:tcW w:w="1268" w:type="dxa"/>
            <w:tcBorders>
              <w:tl2br w:val="nil"/>
              <w:tr2bl w:val="nil"/>
            </w:tcBorders>
            <w:vAlign w:val="center"/>
          </w:tcPr>
          <w:p w14:paraId="3E6FD5A7">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63644819">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6B818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61B5C53">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52B1A4FB">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0413204E">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6CCB121F">
            <w:pPr>
              <w:spacing w:line="320" w:lineRule="exact"/>
              <w:jc w:val="center"/>
              <w:rPr>
                <w:rFonts w:ascii="宋体" w:hAnsi="宋体" w:eastAsia="宋体" w:cs="Times New Roman"/>
                <w:color w:val="auto"/>
              </w:rPr>
            </w:pPr>
            <w:r>
              <w:rPr>
                <w:rFonts w:ascii="宋体" w:hAnsi="宋体" w:eastAsia="宋体" w:cs="Times New Roman"/>
                <w:color w:val="auto"/>
              </w:rPr>
              <w:t>0.01333</w:t>
            </w:r>
          </w:p>
        </w:tc>
        <w:tc>
          <w:tcPr>
            <w:tcW w:w="1268" w:type="dxa"/>
            <w:tcBorders>
              <w:tl2br w:val="nil"/>
              <w:tr2bl w:val="nil"/>
            </w:tcBorders>
            <w:vAlign w:val="center"/>
          </w:tcPr>
          <w:p w14:paraId="45831B88">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680" w:type="dxa"/>
            <w:tcBorders>
              <w:tl2br w:val="nil"/>
              <w:tr2bl w:val="nil"/>
            </w:tcBorders>
            <w:vAlign w:val="center"/>
          </w:tcPr>
          <w:p w14:paraId="51C41C61">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4418D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2E234E1">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B1377FA">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54EE7C4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5C235E94">
            <w:pPr>
              <w:spacing w:line="320" w:lineRule="exact"/>
              <w:jc w:val="center"/>
              <w:rPr>
                <w:rFonts w:ascii="宋体" w:hAnsi="宋体" w:eastAsia="宋体" w:cs="Times New Roman"/>
                <w:color w:val="auto"/>
              </w:rPr>
            </w:pPr>
            <w:r>
              <w:rPr>
                <w:rFonts w:ascii="宋体" w:hAnsi="宋体" w:eastAsia="宋体" w:cs="Times New Roman"/>
                <w:color w:val="auto"/>
              </w:rPr>
              <w:t>0.06732</w:t>
            </w:r>
          </w:p>
        </w:tc>
        <w:tc>
          <w:tcPr>
            <w:tcW w:w="1268" w:type="dxa"/>
            <w:tcBorders>
              <w:tl2br w:val="nil"/>
              <w:tr2bl w:val="nil"/>
            </w:tcBorders>
            <w:vAlign w:val="center"/>
          </w:tcPr>
          <w:p w14:paraId="53F02DF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0.013 </w:t>
            </w:r>
          </w:p>
        </w:tc>
        <w:tc>
          <w:tcPr>
            <w:tcW w:w="1680" w:type="dxa"/>
            <w:tcBorders>
              <w:tl2br w:val="nil"/>
              <w:tr2bl w:val="nil"/>
            </w:tcBorders>
            <w:vAlign w:val="center"/>
          </w:tcPr>
          <w:p w14:paraId="4020C456">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28F8F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8BDC8A5">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73C71C15">
            <w:pPr>
              <w:spacing w:line="320" w:lineRule="exact"/>
              <w:jc w:val="center"/>
              <w:rPr>
                <w:rFonts w:ascii="宋体" w:hAnsi="宋体" w:eastAsia="宋体" w:cs="Times New Roman"/>
                <w:color w:val="auto"/>
              </w:rPr>
            </w:pPr>
            <w:r>
              <w:rPr>
                <w:rFonts w:ascii="宋体" w:hAnsi="宋体" w:eastAsia="宋体" w:cs="Times New Roman"/>
                <w:color w:val="auto"/>
              </w:rPr>
              <w:t>东小山屯</w:t>
            </w:r>
          </w:p>
        </w:tc>
        <w:tc>
          <w:tcPr>
            <w:tcW w:w="1006" w:type="dxa"/>
            <w:tcBorders>
              <w:tl2br w:val="nil"/>
              <w:tr2bl w:val="nil"/>
            </w:tcBorders>
            <w:vAlign w:val="center"/>
          </w:tcPr>
          <w:p w14:paraId="388D5009">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20442D3B">
            <w:pPr>
              <w:spacing w:line="320" w:lineRule="exact"/>
              <w:jc w:val="center"/>
              <w:rPr>
                <w:rFonts w:ascii="宋体" w:hAnsi="宋体" w:eastAsia="宋体" w:cs="Times New Roman"/>
                <w:color w:val="auto"/>
              </w:rPr>
            </w:pPr>
            <w:r>
              <w:rPr>
                <w:rFonts w:ascii="宋体" w:hAnsi="宋体" w:eastAsia="宋体" w:cs="Times New Roman"/>
                <w:color w:val="auto"/>
              </w:rPr>
              <w:t>0.00046</w:t>
            </w:r>
          </w:p>
        </w:tc>
        <w:tc>
          <w:tcPr>
            <w:tcW w:w="1268" w:type="dxa"/>
            <w:tcBorders>
              <w:tl2br w:val="nil"/>
              <w:tr2bl w:val="nil"/>
            </w:tcBorders>
            <w:vAlign w:val="center"/>
          </w:tcPr>
          <w:p w14:paraId="7288009B">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668C21C8">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5F61C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11C94AE">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7080BF22">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16317929">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0301CC7A">
            <w:pPr>
              <w:spacing w:line="320" w:lineRule="exact"/>
              <w:jc w:val="center"/>
              <w:rPr>
                <w:rFonts w:ascii="宋体" w:hAnsi="宋体" w:eastAsia="宋体" w:cs="Times New Roman"/>
                <w:color w:val="auto"/>
              </w:rPr>
            </w:pPr>
            <w:r>
              <w:rPr>
                <w:rFonts w:ascii="宋体" w:hAnsi="宋体" w:eastAsia="宋体" w:cs="Times New Roman"/>
                <w:color w:val="auto"/>
              </w:rPr>
              <w:t>0.01292</w:t>
            </w:r>
          </w:p>
        </w:tc>
        <w:tc>
          <w:tcPr>
            <w:tcW w:w="1268" w:type="dxa"/>
            <w:tcBorders>
              <w:tl2br w:val="nil"/>
              <w:tr2bl w:val="nil"/>
            </w:tcBorders>
            <w:vAlign w:val="center"/>
          </w:tcPr>
          <w:p w14:paraId="770E08BC">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680" w:type="dxa"/>
            <w:tcBorders>
              <w:tl2br w:val="nil"/>
              <w:tr2bl w:val="nil"/>
            </w:tcBorders>
            <w:vAlign w:val="center"/>
          </w:tcPr>
          <w:p w14:paraId="7071F8C7">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0358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5B69233">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08139362">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7209DCCF">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7F68D29A">
            <w:pPr>
              <w:spacing w:line="320" w:lineRule="exact"/>
              <w:jc w:val="center"/>
              <w:rPr>
                <w:rFonts w:ascii="宋体" w:hAnsi="宋体" w:eastAsia="宋体" w:cs="Times New Roman"/>
                <w:color w:val="auto"/>
              </w:rPr>
            </w:pPr>
            <w:r>
              <w:rPr>
                <w:rFonts w:ascii="宋体" w:hAnsi="宋体" w:eastAsia="宋体" w:cs="Times New Roman"/>
                <w:color w:val="auto"/>
              </w:rPr>
              <w:t>0.06529</w:t>
            </w:r>
          </w:p>
        </w:tc>
        <w:tc>
          <w:tcPr>
            <w:tcW w:w="1268" w:type="dxa"/>
            <w:tcBorders>
              <w:tl2br w:val="nil"/>
              <w:tr2bl w:val="nil"/>
            </w:tcBorders>
            <w:vAlign w:val="center"/>
          </w:tcPr>
          <w:p w14:paraId="7364633D">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0.013 </w:t>
            </w:r>
          </w:p>
        </w:tc>
        <w:tc>
          <w:tcPr>
            <w:tcW w:w="1680" w:type="dxa"/>
            <w:tcBorders>
              <w:tl2br w:val="nil"/>
              <w:tr2bl w:val="nil"/>
            </w:tcBorders>
            <w:vAlign w:val="center"/>
          </w:tcPr>
          <w:p w14:paraId="6D4020C1">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210C8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975" w:type="dxa"/>
            <w:vMerge w:val="continue"/>
            <w:tcBorders>
              <w:tl2br w:val="nil"/>
              <w:tr2bl w:val="nil"/>
            </w:tcBorders>
            <w:vAlign w:val="center"/>
          </w:tcPr>
          <w:p w14:paraId="309159F8">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533544C7">
            <w:pPr>
              <w:spacing w:line="320" w:lineRule="exact"/>
              <w:jc w:val="center"/>
              <w:rPr>
                <w:rFonts w:ascii="宋体" w:hAnsi="宋体" w:eastAsia="宋体" w:cs="Times New Roman"/>
                <w:color w:val="auto"/>
              </w:rPr>
            </w:pPr>
            <w:r>
              <w:rPr>
                <w:rFonts w:ascii="宋体" w:hAnsi="宋体" w:eastAsia="宋体" w:cs="Times New Roman"/>
                <w:color w:val="auto"/>
              </w:rPr>
              <w:t>协力村</w:t>
            </w:r>
          </w:p>
        </w:tc>
        <w:tc>
          <w:tcPr>
            <w:tcW w:w="1006" w:type="dxa"/>
            <w:tcBorders>
              <w:tl2br w:val="nil"/>
              <w:tr2bl w:val="nil"/>
            </w:tcBorders>
            <w:vAlign w:val="center"/>
          </w:tcPr>
          <w:p w14:paraId="3D9C5D49">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32B38EF0">
            <w:pPr>
              <w:spacing w:line="320" w:lineRule="exact"/>
              <w:jc w:val="center"/>
              <w:rPr>
                <w:rFonts w:ascii="宋体" w:hAnsi="宋体" w:eastAsia="宋体" w:cs="Times New Roman"/>
                <w:color w:val="auto"/>
              </w:rPr>
            </w:pPr>
            <w:r>
              <w:rPr>
                <w:rFonts w:ascii="宋体" w:hAnsi="宋体" w:eastAsia="宋体" w:cs="Times New Roman"/>
                <w:color w:val="auto"/>
              </w:rPr>
              <w:t>0.00037</w:t>
            </w:r>
          </w:p>
        </w:tc>
        <w:tc>
          <w:tcPr>
            <w:tcW w:w="1268" w:type="dxa"/>
            <w:tcBorders>
              <w:tl2br w:val="nil"/>
              <w:tr2bl w:val="nil"/>
            </w:tcBorders>
            <w:vAlign w:val="center"/>
          </w:tcPr>
          <w:p w14:paraId="2D7F69B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0C07C490">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0E3E9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7A7FE09">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02C985B3">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081AE332">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0A8AAD5E">
            <w:pPr>
              <w:spacing w:line="320" w:lineRule="exact"/>
              <w:jc w:val="center"/>
              <w:rPr>
                <w:rFonts w:ascii="宋体" w:hAnsi="宋体" w:eastAsia="宋体" w:cs="Times New Roman"/>
                <w:color w:val="auto"/>
              </w:rPr>
            </w:pPr>
            <w:r>
              <w:rPr>
                <w:rFonts w:ascii="宋体" w:hAnsi="宋体" w:eastAsia="宋体" w:cs="Times New Roman"/>
                <w:color w:val="auto"/>
              </w:rPr>
              <w:t>0.00683</w:t>
            </w:r>
          </w:p>
        </w:tc>
        <w:tc>
          <w:tcPr>
            <w:tcW w:w="1268" w:type="dxa"/>
            <w:tcBorders>
              <w:tl2br w:val="nil"/>
              <w:tr2bl w:val="nil"/>
            </w:tcBorders>
            <w:vAlign w:val="center"/>
          </w:tcPr>
          <w:p w14:paraId="05299C1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28563511">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2C16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1919D12">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A438349">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B104B25">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2B1F8E71">
            <w:pPr>
              <w:spacing w:line="320" w:lineRule="exact"/>
              <w:jc w:val="center"/>
              <w:rPr>
                <w:rFonts w:ascii="宋体" w:hAnsi="宋体" w:eastAsia="宋体" w:cs="Times New Roman"/>
                <w:color w:val="auto"/>
              </w:rPr>
            </w:pPr>
            <w:r>
              <w:rPr>
                <w:rFonts w:ascii="宋体" w:hAnsi="宋体" w:eastAsia="宋体" w:cs="Times New Roman"/>
                <w:color w:val="auto"/>
              </w:rPr>
              <w:t>0.06811</w:t>
            </w:r>
          </w:p>
        </w:tc>
        <w:tc>
          <w:tcPr>
            <w:tcW w:w="1268" w:type="dxa"/>
            <w:tcBorders>
              <w:tl2br w:val="nil"/>
              <w:tr2bl w:val="nil"/>
            </w:tcBorders>
            <w:vAlign w:val="center"/>
          </w:tcPr>
          <w:p w14:paraId="74A84586">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0.014 </w:t>
            </w:r>
          </w:p>
        </w:tc>
        <w:tc>
          <w:tcPr>
            <w:tcW w:w="1680" w:type="dxa"/>
            <w:tcBorders>
              <w:tl2br w:val="nil"/>
              <w:tr2bl w:val="nil"/>
            </w:tcBorders>
            <w:vAlign w:val="center"/>
          </w:tcPr>
          <w:p w14:paraId="76801E46">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63347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11E996D">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3DF0D140">
            <w:pPr>
              <w:spacing w:line="320" w:lineRule="exact"/>
              <w:jc w:val="center"/>
              <w:rPr>
                <w:rFonts w:ascii="宋体" w:hAnsi="宋体" w:eastAsia="宋体" w:cs="Times New Roman"/>
                <w:color w:val="auto"/>
              </w:rPr>
            </w:pPr>
            <w:r>
              <w:rPr>
                <w:rFonts w:ascii="宋体" w:hAnsi="宋体" w:eastAsia="宋体" w:cs="Times New Roman"/>
                <w:color w:val="auto"/>
              </w:rPr>
              <w:t>友谊村</w:t>
            </w:r>
          </w:p>
        </w:tc>
        <w:tc>
          <w:tcPr>
            <w:tcW w:w="1006" w:type="dxa"/>
            <w:tcBorders>
              <w:tl2br w:val="nil"/>
              <w:tr2bl w:val="nil"/>
            </w:tcBorders>
            <w:vAlign w:val="center"/>
          </w:tcPr>
          <w:p w14:paraId="5A985865">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2183F3DC">
            <w:pPr>
              <w:spacing w:line="320" w:lineRule="exact"/>
              <w:jc w:val="center"/>
              <w:rPr>
                <w:rFonts w:ascii="宋体" w:hAnsi="宋体" w:eastAsia="宋体" w:cs="Times New Roman"/>
                <w:color w:val="auto"/>
              </w:rPr>
            </w:pPr>
            <w:r>
              <w:rPr>
                <w:rFonts w:ascii="宋体" w:hAnsi="宋体" w:eastAsia="宋体" w:cs="Times New Roman"/>
                <w:color w:val="auto"/>
              </w:rPr>
              <w:t>0.0004</w:t>
            </w:r>
          </w:p>
        </w:tc>
        <w:tc>
          <w:tcPr>
            <w:tcW w:w="1268" w:type="dxa"/>
            <w:tcBorders>
              <w:tl2br w:val="nil"/>
              <w:tr2bl w:val="nil"/>
            </w:tcBorders>
            <w:vAlign w:val="center"/>
          </w:tcPr>
          <w:p w14:paraId="5E2EF83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4AF63AA4">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6EBE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DCA1768">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7CF0DCC0">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3F51A836">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3AAF0033">
            <w:pPr>
              <w:spacing w:line="320" w:lineRule="exact"/>
              <w:jc w:val="center"/>
              <w:rPr>
                <w:rFonts w:ascii="宋体" w:hAnsi="宋体" w:eastAsia="宋体" w:cs="Times New Roman"/>
                <w:color w:val="auto"/>
              </w:rPr>
            </w:pPr>
            <w:r>
              <w:rPr>
                <w:rFonts w:ascii="宋体" w:hAnsi="宋体" w:eastAsia="宋体" w:cs="Times New Roman"/>
                <w:color w:val="auto"/>
              </w:rPr>
              <w:t>0.00723</w:t>
            </w:r>
          </w:p>
        </w:tc>
        <w:tc>
          <w:tcPr>
            <w:tcW w:w="1268" w:type="dxa"/>
            <w:tcBorders>
              <w:tl2br w:val="nil"/>
              <w:tr2bl w:val="nil"/>
            </w:tcBorders>
            <w:vAlign w:val="center"/>
          </w:tcPr>
          <w:p w14:paraId="66A78389">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436E04E6">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622F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537C16E">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670457F9">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2CAFE272">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728EF3F8">
            <w:pPr>
              <w:spacing w:line="320" w:lineRule="exact"/>
              <w:jc w:val="center"/>
              <w:rPr>
                <w:rFonts w:ascii="宋体" w:hAnsi="宋体" w:eastAsia="宋体" w:cs="Times New Roman"/>
                <w:color w:val="auto"/>
              </w:rPr>
            </w:pPr>
            <w:r>
              <w:rPr>
                <w:rFonts w:ascii="宋体" w:hAnsi="宋体" w:eastAsia="宋体" w:cs="Times New Roman"/>
                <w:color w:val="auto"/>
              </w:rPr>
              <w:t>0.06816</w:t>
            </w:r>
          </w:p>
        </w:tc>
        <w:tc>
          <w:tcPr>
            <w:tcW w:w="1268" w:type="dxa"/>
            <w:tcBorders>
              <w:tl2br w:val="nil"/>
              <w:tr2bl w:val="nil"/>
            </w:tcBorders>
            <w:vAlign w:val="center"/>
          </w:tcPr>
          <w:p w14:paraId="71327903">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0.014 </w:t>
            </w:r>
          </w:p>
        </w:tc>
        <w:tc>
          <w:tcPr>
            <w:tcW w:w="1680" w:type="dxa"/>
            <w:tcBorders>
              <w:tl2br w:val="nil"/>
              <w:tr2bl w:val="nil"/>
            </w:tcBorders>
            <w:vAlign w:val="center"/>
          </w:tcPr>
          <w:p w14:paraId="3859551C">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13818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694CAA0">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652E130C">
            <w:pPr>
              <w:spacing w:line="320" w:lineRule="exact"/>
              <w:jc w:val="center"/>
              <w:rPr>
                <w:rFonts w:ascii="宋体" w:hAnsi="宋体" w:eastAsia="宋体" w:cs="Times New Roman"/>
                <w:color w:val="auto"/>
              </w:rPr>
            </w:pPr>
            <w:r>
              <w:rPr>
                <w:rFonts w:ascii="宋体" w:hAnsi="宋体" w:eastAsia="宋体" w:cs="Times New Roman"/>
                <w:color w:val="auto"/>
              </w:rPr>
              <w:t>刘兽医屯</w:t>
            </w:r>
          </w:p>
        </w:tc>
        <w:tc>
          <w:tcPr>
            <w:tcW w:w="1006" w:type="dxa"/>
            <w:tcBorders>
              <w:tl2br w:val="nil"/>
              <w:tr2bl w:val="nil"/>
            </w:tcBorders>
            <w:vAlign w:val="center"/>
          </w:tcPr>
          <w:p w14:paraId="339D92AB">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3F1085C2">
            <w:pPr>
              <w:spacing w:line="320" w:lineRule="exact"/>
              <w:jc w:val="center"/>
              <w:rPr>
                <w:rFonts w:ascii="宋体" w:hAnsi="宋体" w:eastAsia="宋体" w:cs="Times New Roman"/>
                <w:color w:val="auto"/>
              </w:rPr>
            </w:pPr>
            <w:r>
              <w:rPr>
                <w:rFonts w:ascii="宋体" w:hAnsi="宋体" w:eastAsia="宋体" w:cs="Times New Roman"/>
                <w:color w:val="auto"/>
              </w:rPr>
              <w:t>0.0004</w:t>
            </w:r>
          </w:p>
        </w:tc>
        <w:tc>
          <w:tcPr>
            <w:tcW w:w="1268" w:type="dxa"/>
            <w:tcBorders>
              <w:tl2br w:val="nil"/>
              <w:tr2bl w:val="nil"/>
            </w:tcBorders>
            <w:vAlign w:val="center"/>
          </w:tcPr>
          <w:p w14:paraId="77E842EF">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245CB466">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139BF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ABF1542">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3F9F7764">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63B41F2D">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101CF81D">
            <w:pPr>
              <w:spacing w:line="320" w:lineRule="exact"/>
              <w:jc w:val="center"/>
              <w:rPr>
                <w:rFonts w:ascii="宋体" w:hAnsi="宋体" w:eastAsia="宋体" w:cs="Times New Roman"/>
                <w:color w:val="auto"/>
              </w:rPr>
            </w:pPr>
            <w:r>
              <w:rPr>
                <w:rFonts w:ascii="宋体" w:hAnsi="宋体" w:eastAsia="宋体" w:cs="Times New Roman"/>
                <w:color w:val="auto"/>
              </w:rPr>
              <w:t>0.00726</w:t>
            </w:r>
          </w:p>
        </w:tc>
        <w:tc>
          <w:tcPr>
            <w:tcW w:w="1268" w:type="dxa"/>
            <w:tcBorders>
              <w:tl2br w:val="nil"/>
              <w:tr2bl w:val="nil"/>
            </w:tcBorders>
            <w:vAlign w:val="center"/>
          </w:tcPr>
          <w:p w14:paraId="42672031">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094ABF5C">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6C73F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0984D51">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4DDB0254">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65F52B8D">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994B4AA">
            <w:pPr>
              <w:spacing w:line="320" w:lineRule="exact"/>
              <w:jc w:val="center"/>
              <w:rPr>
                <w:rFonts w:ascii="宋体" w:hAnsi="宋体" w:eastAsia="宋体" w:cs="Times New Roman"/>
                <w:color w:val="auto"/>
              </w:rPr>
            </w:pPr>
            <w:r>
              <w:rPr>
                <w:rFonts w:ascii="宋体" w:hAnsi="宋体" w:eastAsia="宋体" w:cs="Times New Roman"/>
                <w:color w:val="auto"/>
              </w:rPr>
              <w:t>0.07208</w:t>
            </w:r>
          </w:p>
        </w:tc>
        <w:tc>
          <w:tcPr>
            <w:tcW w:w="1268" w:type="dxa"/>
            <w:tcBorders>
              <w:tl2br w:val="nil"/>
              <w:tr2bl w:val="nil"/>
            </w:tcBorders>
            <w:vAlign w:val="center"/>
          </w:tcPr>
          <w:p w14:paraId="28E39B93">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0.014 </w:t>
            </w:r>
          </w:p>
        </w:tc>
        <w:tc>
          <w:tcPr>
            <w:tcW w:w="1680" w:type="dxa"/>
            <w:tcBorders>
              <w:tl2br w:val="nil"/>
              <w:tr2bl w:val="nil"/>
            </w:tcBorders>
            <w:vAlign w:val="center"/>
          </w:tcPr>
          <w:p w14:paraId="3ED42A9F">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2F549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7AD2DC1">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09C11DC2">
            <w:pPr>
              <w:spacing w:line="320" w:lineRule="exact"/>
              <w:jc w:val="center"/>
              <w:rPr>
                <w:rFonts w:ascii="宋体" w:hAnsi="宋体" w:eastAsia="宋体" w:cs="Times New Roman"/>
                <w:color w:val="auto"/>
              </w:rPr>
            </w:pPr>
            <w:r>
              <w:rPr>
                <w:rFonts w:ascii="宋体" w:hAnsi="宋体" w:eastAsia="宋体" w:cs="Times New Roman"/>
                <w:color w:val="auto"/>
              </w:rPr>
              <w:t>大三马架屯</w:t>
            </w:r>
          </w:p>
        </w:tc>
        <w:tc>
          <w:tcPr>
            <w:tcW w:w="1006" w:type="dxa"/>
            <w:tcBorders>
              <w:tl2br w:val="nil"/>
              <w:tr2bl w:val="nil"/>
            </w:tcBorders>
            <w:vAlign w:val="center"/>
          </w:tcPr>
          <w:p w14:paraId="509F4A62">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09F56034">
            <w:pPr>
              <w:spacing w:line="320" w:lineRule="exact"/>
              <w:jc w:val="center"/>
              <w:rPr>
                <w:rFonts w:ascii="宋体" w:hAnsi="宋体" w:eastAsia="宋体" w:cs="Times New Roman"/>
                <w:color w:val="auto"/>
              </w:rPr>
            </w:pPr>
            <w:r>
              <w:rPr>
                <w:rFonts w:ascii="宋体" w:hAnsi="宋体" w:eastAsia="宋体" w:cs="Times New Roman"/>
                <w:color w:val="auto"/>
              </w:rPr>
              <w:t>0.00029</w:t>
            </w:r>
          </w:p>
        </w:tc>
        <w:tc>
          <w:tcPr>
            <w:tcW w:w="1268" w:type="dxa"/>
            <w:tcBorders>
              <w:tl2br w:val="nil"/>
              <w:tr2bl w:val="nil"/>
            </w:tcBorders>
            <w:vAlign w:val="center"/>
          </w:tcPr>
          <w:p w14:paraId="25787320">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0.000 </w:t>
            </w:r>
          </w:p>
        </w:tc>
        <w:tc>
          <w:tcPr>
            <w:tcW w:w="1680" w:type="dxa"/>
            <w:tcBorders>
              <w:tl2br w:val="nil"/>
              <w:tr2bl w:val="nil"/>
            </w:tcBorders>
            <w:vAlign w:val="center"/>
          </w:tcPr>
          <w:p w14:paraId="18E54A00">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014A7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C4D4B9A">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C5A34A8">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4BA2BF1D">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3D8A8A36">
            <w:pPr>
              <w:spacing w:line="320" w:lineRule="exact"/>
              <w:jc w:val="center"/>
              <w:rPr>
                <w:rFonts w:ascii="宋体" w:hAnsi="宋体" w:eastAsia="宋体" w:cs="Times New Roman"/>
                <w:color w:val="auto"/>
              </w:rPr>
            </w:pPr>
            <w:r>
              <w:rPr>
                <w:rFonts w:ascii="宋体" w:hAnsi="宋体" w:eastAsia="宋体" w:cs="Times New Roman"/>
                <w:color w:val="auto"/>
              </w:rPr>
              <w:t>0.00536</w:t>
            </w:r>
          </w:p>
        </w:tc>
        <w:tc>
          <w:tcPr>
            <w:tcW w:w="1268" w:type="dxa"/>
            <w:tcBorders>
              <w:tl2br w:val="nil"/>
              <w:tr2bl w:val="nil"/>
            </w:tcBorders>
            <w:vAlign w:val="center"/>
          </w:tcPr>
          <w:p w14:paraId="06E508D2">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0.004 </w:t>
            </w:r>
          </w:p>
        </w:tc>
        <w:tc>
          <w:tcPr>
            <w:tcW w:w="1680" w:type="dxa"/>
            <w:tcBorders>
              <w:tl2br w:val="nil"/>
              <w:tr2bl w:val="nil"/>
            </w:tcBorders>
            <w:vAlign w:val="center"/>
          </w:tcPr>
          <w:p w14:paraId="1B90138B">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E2CD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0F48818">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6015CDD2">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3F85D31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C00A4DA">
            <w:pPr>
              <w:spacing w:line="320" w:lineRule="exact"/>
              <w:jc w:val="center"/>
              <w:rPr>
                <w:rFonts w:ascii="宋体" w:hAnsi="宋体" w:eastAsia="宋体" w:cs="Times New Roman"/>
                <w:color w:val="auto"/>
              </w:rPr>
            </w:pPr>
            <w:r>
              <w:rPr>
                <w:rFonts w:ascii="宋体" w:hAnsi="宋体" w:eastAsia="宋体" w:cs="Times New Roman"/>
                <w:color w:val="auto"/>
              </w:rPr>
              <w:t>0.05535</w:t>
            </w:r>
          </w:p>
        </w:tc>
        <w:tc>
          <w:tcPr>
            <w:tcW w:w="1268" w:type="dxa"/>
            <w:tcBorders>
              <w:tl2br w:val="nil"/>
              <w:tr2bl w:val="nil"/>
            </w:tcBorders>
            <w:vAlign w:val="center"/>
          </w:tcPr>
          <w:p w14:paraId="0FC10435">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0.011 </w:t>
            </w:r>
          </w:p>
        </w:tc>
        <w:tc>
          <w:tcPr>
            <w:tcW w:w="1680" w:type="dxa"/>
            <w:tcBorders>
              <w:tl2br w:val="nil"/>
              <w:tr2bl w:val="nil"/>
            </w:tcBorders>
            <w:vAlign w:val="center"/>
          </w:tcPr>
          <w:p w14:paraId="7ACB23E4">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7C5A9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A0DA87B">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79055D55">
            <w:pPr>
              <w:spacing w:line="320" w:lineRule="exact"/>
              <w:jc w:val="center"/>
              <w:rPr>
                <w:rFonts w:ascii="宋体" w:hAnsi="宋体" w:eastAsia="宋体" w:cs="Times New Roman"/>
                <w:color w:val="auto"/>
              </w:rPr>
            </w:pPr>
            <w:r>
              <w:rPr>
                <w:rFonts w:ascii="宋体" w:hAnsi="宋体" w:eastAsia="宋体" w:cs="Times New Roman"/>
                <w:color w:val="auto"/>
              </w:rPr>
              <w:t>代龙村</w:t>
            </w:r>
          </w:p>
        </w:tc>
        <w:tc>
          <w:tcPr>
            <w:tcW w:w="1006" w:type="dxa"/>
            <w:tcBorders>
              <w:tl2br w:val="nil"/>
              <w:tr2bl w:val="nil"/>
            </w:tcBorders>
            <w:vAlign w:val="center"/>
          </w:tcPr>
          <w:p w14:paraId="5DDA8063">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227C2F35">
            <w:pPr>
              <w:spacing w:line="320" w:lineRule="exact"/>
              <w:jc w:val="center"/>
              <w:rPr>
                <w:rFonts w:ascii="宋体" w:hAnsi="宋体" w:eastAsia="宋体" w:cs="Times New Roman"/>
                <w:color w:val="auto"/>
              </w:rPr>
            </w:pPr>
            <w:r>
              <w:rPr>
                <w:rFonts w:ascii="宋体" w:hAnsi="宋体" w:eastAsia="宋体" w:cs="Times New Roman"/>
                <w:color w:val="auto"/>
              </w:rPr>
              <w:t>0.00038</w:t>
            </w:r>
          </w:p>
        </w:tc>
        <w:tc>
          <w:tcPr>
            <w:tcW w:w="1268" w:type="dxa"/>
            <w:tcBorders>
              <w:tl2br w:val="nil"/>
              <w:tr2bl w:val="nil"/>
            </w:tcBorders>
            <w:vAlign w:val="center"/>
          </w:tcPr>
          <w:p w14:paraId="112BC48C">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571FDC7D">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160EE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AAC7CED">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0641678B">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162DF200">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7BA9ADCF">
            <w:pPr>
              <w:spacing w:line="320" w:lineRule="exact"/>
              <w:jc w:val="center"/>
              <w:rPr>
                <w:rFonts w:ascii="宋体" w:hAnsi="宋体" w:eastAsia="宋体" w:cs="Times New Roman"/>
                <w:color w:val="auto"/>
              </w:rPr>
            </w:pPr>
            <w:r>
              <w:rPr>
                <w:rFonts w:ascii="宋体" w:hAnsi="宋体" w:eastAsia="宋体" w:cs="Times New Roman"/>
                <w:color w:val="auto"/>
              </w:rPr>
              <w:t>0.00699</w:t>
            </w:r>
          </w:p>
        </w:tc>
        <w:tc>
          <w:tcPr>
            <w:tcW w:w="1268" w:type="dxa"/>
            <w:tcBorders>
              <w:tl2br w:val="nil"/>
              <w:tr2bl w:val="nil"/>
            </w:tcBorders>
            <w:vAlign w:val="center"/>
          </w:tcPr>
          <w:p w14:paraId="377DC6CD">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6F406FD3">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2402F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5615BE4">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30F104C">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43F0FE9D">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0F64A00F">
            <w:pPr>
              <w:spacing w:line="320" w:lineRule="exact"/>
              <w:jc w:val="center"/>
              <w:rPr>
                <w:rFonts w:ascii="宋体" w:hAnsi="宋体" w:eastAsia="宋体" w:cs="Times New Roman"/>
                <w:color w:val="auto"/>
              </w:rPr>
            </w:pPr>
            <w:r>
              <w:rPr>
                <w:rFonts w:ascii="宋体" w:hAnsi="宋体" w:eastAsia="宋体" w:cs="Times New Roman"/>
                <w:color w:val="auto"/>
              </w:rPr>
              <w:t>0.08659</w:t>
            </w:r>
          </w:p>
        </w:tc>
        <w:tc>
          <w:tcPr>
            <w:tcW w:w="1268" w:type="dxa"/>
            <w:tcBorders>
              <w:tl2br w:val="nil"/>
              <w:tr2bl w:val="nil"/>
            </w:tcBorders>
            <w:vAlign w:val="center"/>
          </w:tcPr>
          <w:p w14:paraId="225D1CD1">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0.017 </w:t>
            </w:r>
          </w:p>
        </w:tc>
        <w:tc>
          <w:tcPr>
            <w:tcW w:w="1680" w:type="dxa"/>
            <w:tcBorders>
              <w:tl2br w:val="nil"/>
              <w:tr2bl w:val="nil"/>
            </w:tcBorders>
            <w:vAlign w:val="center"/>
          </w:tcPr>
          <w:p w14:paraId="69274EB2">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7D11B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1781CFF">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17FD29E5">
            <w:pPr>
              <w:spacing w:line="320" w:lineRule="exact"/>
              <w:jc w:val="center"/>
              <w:rPr>
                <w:rFonts w:ascii="宋体" w:hAnsi="宋体" w:eastAsia="宋体" w:cs="Times New Roman"/>
                <w:color w:val="auto"/>
              </w:rPr>
            </w:pPr>
            <w:r>
              <w:rPr>
                <w:rFonts w:ascii="宋体" w:hAnsi="宋体" w:eastAsia="宋体" w:cs="Times New Roman"/>
                <w:color w:val="auto"/>
              </w:rPr>
              <w:t>刘喜屯</w:t>
            </w:r>
          </w:p>
        </w:tc>
        <w:tc>
          <w:tcPr>
            <w:tcW w:w="1006" w:type="dxa"/>
            <w:tcBorders>
              <w:tl2br w:val="nil"/>
              <w:tr2bl w:val="nil"/>
            </w:tcBorders>
            <w:vAlign w:val="center"/>
          </w:tcPr>
          <w:p w14:paraId="663D0610">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l2br w:val="nil"/>
              <w:tr2bl w:val="nil"/>
            </w:tcBorders>
            <w:vAlign w:val="center"/>
          </w:tcPr>
          <w:p w14:paraId="4E1E85C7">
            <w:pPr>
              <w:widowControl/>
              <w:jc w:val="center"/>
              <w:textAlignment w:val="center"/>
              <w:rPr>
                <w:rFonts w:ascii="宋体" w:hAnsi="宋体" w:eastAsia="宋体" w:cs="Times New Roman"/>
                <w:color w:val="auto"/>
              </w:rPr>
            </w:pPr>
            <w:r>
              <w:rPr>
                <w:rFonts w:ascii="宋体" w:hAnsi="宋体" w:eastAsia="宋体" w:cs="Times New Roman"/>
                <w:color w:val="auto"/>
                <w:lang w:bidi="ar"/>
              </w:rPr>
              <w:t>0.00042</w:t>
            </w:r>
          </w:p>
        </w:tc>
        <w:tc>
          <w:tcPr>
            <w:tcW w:w="1268" w:type="dxa"/>
            <w:tcBorders>
              <w:tl2br w:val="nil"/>
              <w:tr2bl w:val="nil"/>
            </w:tcBorders>
            <w:vAlign w:val="center"/>
          </w:tcPr>
          <w:p w14:paraId="03FF07B3">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69D720C9">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5C580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BF8E9DB">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07304490">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61C2FF29">
            <w:pPr>
              <w:spacing w:line="320" w:lineRule="exact"/>
              <w:jc w:val="center"/>
              <w:rPr>
                <w:rFonts w:ascii="宋体" w:hAnsi="宋体" w:eastAsia="宋体" w:cs="Times New Roman"/>
                <w:color w:val="auto"/>
              </w:rPr>
            </w:pPr>
            <w:r>
              <w:rPr>
                <w:rFonts w:ascii="宋体" w:hAnsi="宋体" w:eastAsia="宋体" w:cs="Times New Roman"/>
                <w:color w:val="auto"/>
              </w:rPr>
              <w:t>日均值</w:t>
            </w:r>
          </w:p>
        </w:tc>
        <w:tc>
          <w:tcPr>
            <w:tcW w:w="1765" w:type="dxa"/>
            <w:tcBorders>
              <w:tl2br w:val="nil"/>
              <w:tr2bl w:val="nil"/>
            </w:tcBorders>
            <w:vAlign w:val="center"/>
          </w:tcPr>
          <w:p w14:paraId="10C3A03D">
            <w:pPr>
              <w:spacing w:line="320" w:lineRule="exact"/>
              <w:jc w:val="center"/>
              <w:rPr>
                <w:rFonts w:ascii="宋体" w:hAnsi="宋体" w:eastAsia="宋体" w:cs="Times New Roman"/>
                <w:color w:val="auto"/>
              </w:rPr>
            </w:pPr>
            <w:r>
              <w:rPr>
                <w:rFonts w:ascii="宋体" w:hAnsi="宋体" w:eastAsia="宋体" w:cs="Times New Roman"/>
                <w:color w:val="auto"/>
              </w:rPr>
              <w:t>0.00606</w:t>
            </w:r>
          </w:p>
        </w:tc>
        <w:tc>
          <w:tcPr>
            <w:tcW w:w="1268" w:type="dxa"/>
            <w:tcBorders>
              <w:tl2br w:val="nil"/>
              <w:tr2bl w:val="nil"/>
            </w:tcBorders>
            <w:vAlign w:val="center"/>
          </w:tcPr>
          <w:p w14:paraId="3BE6FD8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0.004 </w:t>
            </w:r>
          </w:p>
        </w:tc>
        <w:tc>
          <w:tcPr>
            <w:tcW w:w="1680" w:type="dxa"/>
            <w:tcBorders>
              <w:tl2br w:val="nil"/>
              <w:tr2bl w:val="nil"/>
            </w:tcBorders>
            <w:vAlign w:val="center"/>
          </w:tcPr>
          <w:p w14:paraId="279A0FAC">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4B032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70D29CE">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0F0985ED">
            <w:pPr>
              <w:spacing w:line="320" w:lineRule="exact"/>
              <w:jc w:val="center"/>
              <w:rPr>
                <w:rFonts w:ascii="宋体" w:hAnsi="宋体" w:eastAsia="宋体" w:cs="Times New Roman"/>
                <w:color w:val="auto"/>
              </w:rPr>
            </w:pPr>
          </w:p>
        </w:tc>
        <w:tc>
          <w:tcPr>
            <w:tcW w:w="1006" w:type="dxa"/>
            <w:tcBorders>
              <w:tl2br w:val="nil"/>
              <w:tr2bl w:val="nil"/>
            </w:tcBorders>
            <w:vAlign w:val="center"/>
          </w:tcPr>
          <w:p w14:paraId="7B639083">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1765" w:type="dxa"/>
            <w:tcBorders>
              <w:tl2br w:val="nil"/>
              <w:tr2bl w:val="nil"/>
            </w:tcBorders>
            <w:vAlign w:val="center"/>
          </w:tcPr>
          <w:p w14:paraId="35ABF35E">
            <w:pPr>
              <w:spacing w:line="320" w:lineRule="exact"/>
              <w:jc w:val="center"/>
              <w:rPr>
                <w:rFonts w:ascii="宋体" w:hAnsi="宋体" w:eastAsia="宋体" w:cs="Times New Roman"/>
                <w:color w:val="auto"/>
              </w:rPr>
            </w:pPr>
            <w:r>
              <w:rPr>
                <w:rFonts w:ascii="宋体" w:hAnsi="宋体" w:eastAsia="宋体" w:cs="Times New Roman"/>
                <w:color w:val="auto"/>
              </w:rPr>
              <w:t>0.08333</w:t>
            </w:r>
          </w:p>
        </w:tc>
        <w:tc>
          <w:tcPr>
            <w:tcW w:w="1268" w:type="dxa"/>
            <w:tcBorders>
              <w:tl2br w:val="nil"/>
              <w:tr2bl w:val="nil"/>
            </w:tcBorders>
            <w:vAlign w:val="center"/>
          </w:tcPr>
          <w:p w14:paraId="20A427B4">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0.017 </w:t>
            </w:r>
          </w:p>
        </w:tc>
        <w:tc>
          <w:tcPr>
            <w:tcW w:w="1680" w:type="dxa"/>
            <w:tcBorders>
              <w:tl2br w:val="nil"/>
              <w:tr2bl w:val="nil"/>
            </w:tcBorders>
            <w:vAlign w:val="center"/>
          </w:tcPr>
          <w:p w14:paraId="5493F3F7">
            <w:pPr>
              <w:spacing w:line="320" w:lineRule="exact"/>
              <w:jc w:val="center"/>
              <w:rPr>
                <w:rFonts w:ascii="宋体" w:hAnsi="宋体" w:eastAsia="宋体" w:cs="Times New Roman"/>
                <w:color w:val="auto"/>
              </w:rPr>
            </w:pPr>
            <w:r>
              <w:rPr>
                <w:rFonts w:ascii="宋体" w:hAnsi="宋体" w:eastAsia="宋体" w:cs="Times New Roman"/>
                <w:color w:val="auto"/>
                <w:lang w:bidi="ar"/>
              </w:rPr>
              <w:t>≤100%达标</w:t>
            </w:r>
          </w:p>
        </w:tc>
      </w:tr>
      <w:tr w14:paraId="5D4B5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975" w:type="dxa"/>
            <w:vMerge w:val="restart"/>
            <w:tcBorders>
              <w:tl2br w:val="nil"/>
              <w:tr2bl w:val="nil"/>
            </w:tcBorders>
            <w:vAlign w:val="center"/>
          </w:tcPr>
          <w:p w14:paraId="520F0D2D">
            <w:pPr>
              <w:spacing w:line="320" w:lineRule="exact"/>
              <w:jc w:val="center"/>
              <w:rPr>
                <w:rFonts w:ascii="宋体" w:hAnsi="宋体" w:eastAsia="宋体" w:cs="Times New Roman"/>
                <w:color w:val="auto"/>
              </w:rPr>
            </w:pPr>
            <w:r>
              <w:rPr>
                <w:rFonts w:ascii="宋体" w:hAnsi="宋体" w:eastAsia="宋体" w:cs="Times New Roman"/>
                <w:color w:val="auto"/>
              </w:rPr>
              <w:t>NO2</w:t>
            </w:r>
          </w:p>
          <w:p w14:paraId="26795EFA">
            <w:pPr>
              <w:spacing w:line="320" w:lineRule="exact"/>
              <w:jc w:val="center"/>
              <w:rPr>
                <w:rFonts w:ascii="宋体" w:hAnsi="宋体" w:eastAsia="宋体" w:cs="Times New Roman"/>
                <w:color w:val="auto"/>
              </w:rPr>
            </w:pPr>
          </w:p>
          <w:p w14:paraId="193D5851">
            <w:pPr>
              <w:spacing w:line="320" w:lineRule="exact"/>
              <w:jc w:val="center"/>
              <w:rPr>
                <w:rFonts w:ascii="宋体" w:hAnsi="宋体" w:eastAsia="宋体" w:cs="Times New Roman"/>
                <w:color w:val="auto"/>
              </w:rPr>
            </w:pPr>
          </w:p>
          <w:p w14:paraId="6171D771">
            <w:pPr>
              <w:spacing w:line="320" w:lineRule="exact"/>
              <w:jc w:val="center"/>
              <w:rPr>
                <w:rFonts w:ascii="宋体" w:hAnsi="宋体" w:eastAsia="宋体" w:cs="Times New Roman"/>
                <w:color w:val="auto"/>
              </w:rPr>
            </w:pPr>
          </w:p>
          <w:p w14:paraId="6762F6D8">
            <w:pPr>
              <w:spacing w:line="320" w:lineRule="exact"/>
              <w:jc w:val="center"/>
              <w:rPr>
                <w:rFonts w:ascii="宋体" w:hAnsi="宋体" w:eastAsia="宋体" w:cs="Times New Roman"/>
                <w:color w:val="auto"/>
              </w:rPr>
            </w:pPr>
          </w:p>
          <w:p w14:paraId="5AA4B2C7">
            <w:pPr>
              <w:spacing w:line="320" w:lineRule="exact"/>
              <w:jc w:val="center"/>
              <w:rPr>
                <w:rFonts w:ascii="宋体" w:hAnsi="宋体" w:eastAsia="宋体" w:cs="Times New Roman"/>
                <w:color w:val="auto"/>
              </w:rPr>
            </w:pPr>
          </w:p>
          <w:p w14:paraId="7B6B7539">
            <w:pPr>
              <w:spacing w:line="320" w:lineRule="exact"/>
              <w:jc w:val="center"/>
              <w:rPr>
                <w:rFonts w:ascii="宋体" w:hAnsi="宋体" w:eastAsia="宋体" w:cs="Times New Roman"/>
                <w:color w:val="auto"/>
              </w:rPr>
            </w:pPr>
          </w:p>
          <w:p w14:paraId="647D125A">
            <w:pPr>
              <w:spacing w:line="320" w:lineRule="exact"/>
              <w:jc w:val="center"/>
              <w:rPr>
                <w:rFonts w:ascii="宋体" w:hAnsi="宋体" w:eastAsia="宋体" w:cs="Times New Roman"/>
                <w:color w:val="auto"/>
              </w:rPr>
            </w:pPr>
          </w:p>
          <w:p w14:paraId="2D35F045">
            <w:pPr>
              <w:spacing w:line="320" w:lineRule="exact"/>
              <w:jc w:val="center"/>
              <w:rPr>
                <w:rFonts w:ascii="宋体" w:hAnsi="宋体" w:eastAsia="宋体" w:cs="Times New Roman"/>
                <w:color w:val="auto"/>
              </w:rPr>
            </w:pPr>
          </w:p>
          <w:p w14:paraId="094F5E49">
            <w:pPr>
              <w:spacing w:line="320" w:lineRule="exact"/>
              <w:jc w:val="center"/>
              <w:rPr>
                <w:rFonts w:ascii="宋体" w:hAnsi="宋体" w:eastAsia="宋体" w:cs="Times New Roman"/>
                <w:color w:val="auto"/>
              </w:rPr>
            </w:pPr>
          </w:p>
          <w:p w14:paraId="44E0DA7B">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012A70DC">
            <w:pPr>
              <w:widowControl/>
              <w:jc w:val="center"/>
              <w:textAlignment w:val="center"/>
              <w:rPr>
                <w:rFonts w:ascii="宋体" w:hAnsi="宋体" w:eastAsia="宋体" w:cs="Times New Roman"/>
                <w:color w:val="auto"/>
              </w:rPr>
            </w:pPr>
            <w:r>
              <w:rPr>
                <w:rFonts w:ascii="宋体" w:hAnsi="宋体" w:eastAsia="宋体" w:cs="Times New Roman"/>
                <w:color w:val="auto"/>
                <w:lang w:bidi="ar"/>
              </w:rPr>
              <w:t>吴家围子</w:t>
            </w:r>
          </w:p>
        </w:tc>
        <w:tc>
          <w:tcPr>
            <w:tcW w:w="1006" w:type="dxa"/>
            <w:tcBorders>
              <w:bottom w:val="single" w:color="auto" w:sz="4" w:space="0"/>
              <w:tl2br w:val="nil"/>
              <w:tr2bl w:val="nil"/>
            </w:tcBorders>
            <w:vAlign w:val="center"/>
          </w:tcPr>
          <w:p w14:paraId="54386909">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bottom w:val="single" w:color="auto" w:sz="4" w:space="0"/>
              <w:tl2br w:val="nil"/>
              <w:tr2bl w:val="nil"/>
            </w:tcBorders>
            <w:vAlign w:val="center"/>
          </w:tcPr>
          <w:p w14:paraId="13225232">
            <w:pPr>
              <w:widowControl/>
              <w:jc w:val="center"/>
              <w:textAlignment w:val="center"/>
              <w:rPr>
                <w:rFonts w:ascii="宋体" w:hAnsi="宋体" w:eastAsia="宋体" w:cs="Times New Roman"/>
                <w:color w:val="auto"/>
              </w:rPr>
            </w:pPr>
            <w:r>
              <w:rPr>
                <w:rFonts w:ascii="宋体" w:hAnsi="宋体" w:eastAsia="宋体" w:cs="Times New Roman"/>
                <w:color w:val="auto"/>
                <w:lang w:bidi="ar"/>
              </w:rPr>
              <w:t>0.02681</w:t>
            </w:r>
          </w:p>
        </w:tc>
        <w:tc>
          <w:tcPr>
            <w:tcW w:w="1268" w:type="dxa"/>
            <w:tcBorders>
              <w:bottom w:val="single" w:color="auto" w:sz="4" w:space="0"/>
              <w:tl2br w:val="nil"/>
              <w:tr2bl w:val="nil"/>
            </w:tcBorders>
            <w:vAlign w:val="center"/>
          </w:tcPr>
          <w:p w14:paraId="26B7F187">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0.067 </w:t>
            </w:r>
          </w:p>
        </w:tc>
        <w:tc>
          <w:tcPr>
            <w:tcW w:w="1680" w:type="dxa"/>
            <w:tcBorders>
              <w:bottom w:val="single" w:color="auto" w:sz="4" w:space="0"/>
              <w:tl2br w:val="nil"/>
              <w:tr2bl w:val="nil"/>
            </w:tcBorders>
            <w:vAlign w:val="center"/>
          </w:tcPr>
          <w:p w14:paraId="79B985B5">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6FAD1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975" w:type="dxa"/>
            <w:vMerge w:val="continue"/>
            <w:tcBorders>
              <w:tl2br w:val="nil"/>
              <w:tr2bl w:val="nil"/>
            </w:tcBorders>
            <w:vAlign w:val="center"/>
          </w:tcPr>
          <w:p w14:paraId="2F4AFA95">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6A7BE883">
            <w:pPr>
              <w:widowControl/>
              <w:jc w:val="center"/>
              <w:textAlignment w:val="center"/>
              <w:rPr>
                <w:rFonts w:ascii="宋体" w:hAnsi="宋体" w:eastAsia="宋体" w:cs="Times New Roman"/>
                <w:color w:val="auto"/>
              </w:rPr>
            </w:pPr>
            <w:r>
              <w:rPr>
                <w:rFonts w:ascii="宋体" w:hAnsi="宋体" w:eastAsia="宋体" w:cs="Times New Roman"/>
                <w:color w:val="auto"/>
                <w:lang w:bidi="ar"/>
              </w:rPr>
              <w:t>李彦和屯</w:t>
            </w:r>
          </w:p>
        </w:tc>
        <w:tc>
          <w:tcPr>
            <w:tcW w:w="1006" w:type="dxa"/>
            <w:tcBorders>
              <w:top w:val="single" w:color="auto" w:sz="4" w:space="0"/>
              <w:bottom w:val="single" w:color="auto" w:sz="4" w:space="0"/>
              <w:tl2br w:val="nil"/>
              <w:tr2bl w:val="nil"/>
            </w:tcBorders>
            <w:vAlign w:val="center"/>
          </w:tcPr>
          <w:p w14:paraId="2E93E73F">
            <w:pPr>
              <w:spacing w:line="320" w:lineRule="exact"/>
              <w:jc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7B1B26D0">
            <w:pPr>
              <w:widowControl/>
              <w:jc w:val="center"/>
              <w:textAlignment w:val="center"/>
              <w:rPr>
                <w:rFonts w:ascii="宋体" w:hAnsi="宋体" w:eastAsia="宋体" w:cs="Times New Roman"/>
                <w:color w:val="auto"/>
              </w:rPr>
            </w:pPr>
            <w:r>
              <w:rPr>
                <w:rFonts w:ascii="宋体" w:hAnsi="宋体" w:eastAsia="宋体" w:cs="Times New Roman"/>
                <w:color w:val="auto"/>
                <w:lang w:bidi="ar"/>
              </w:rPr>
              <w:t>0.06445</w:t>
            </w:r>
          </w:p>
        </w:tc>
        <w:tc>
          <w:tcPr>
            <w:tcW w:w="1268" w:type="dxa"/>
            <w:tcBorders>
              <w:top w:val="single" w:color="auto" w:sz="4" w:space="0"/>
              <w:bottom w:val="single" w:color="auto" w:sz="4" w:space="0"/>
              <w:tl2br w:val="nil"/>
              <w:tr2bl w:val="nil"/>
            </w:tcBorders>
            <w:vAlign w:val="center"/>
          </w:tcPr>
          <w:p w14:paraId="5BACEBF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0.161 </w:t>
            </w:r>
          </w:p>
        </w:tc>
        <w:tc>
          <w:tcPr>
            <w:tcW w:w="1680" w:type="dxa"/>
            <w:tcBorders>
              <w:top w:val="single" w:color="auto" w:sz="4" w:space="0"/>
              <w:bottom w:val="single" w:color="auto" w:sz="4" w:space="0"/>
              <w:tl2br w:val="nil"/>
              <w:tr2bl w:val="nil"/>
            </w:tcBorders>
            <w:vAlign w:val="center"/>
          </w:tcPr>
          <w:p w14:paraId="13E5BDC0">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7314D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975" w:type="dxa"/>
            <w:vMerge w:val="continue"/>
            <w:tcBorders>
              <w:tl2br w:val="nil"/>
              <w:tr2bl w:val="nil"/>
            </w:tcBorders>
            <w:vAlign w:val="center"/>
          </w:tcPr>
          <w:p w14:paraId="5FA80102">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4B3B9818">
            <w:pPr>
              <w:widowControl/>
              <w:jc w:val="center"/>
              <w:textAlignment w:val="center"/>
              <w:rPr>
                <w:rFonts w:ascii="宋体" w:hAnsi="宋体" w:eastAsia="宋体" w:cs="Times New Roman"/>
                <w:color w:val="auto"/>
              </w:rPr>
            </w:pPr>
            <w:r>
              <w:rPr>
                <w:rFonts w:ascii="宋体" w:hAnsi="宋体" w:eastAsia="宋体" w:cs="Times New Roman"/>
                <w:color w:val="auto"/>
                <w:lang w:bidi="ar"/>
              </w:rPr>
              <w:t>华南屯</w:t>
            </w:r>
          </w:p>
        </w:tc>
        <w:tc>
          <w:tcPr>
            <w:tcW w:w="1006" w:type="dxa"/>
            <w:tcBorders>
              <w:top w:val="single" w:color="auto" w:sz="4" w:space="0"/>
              <w:bottom w:val="single" w:color="auto" w:sz="4" w:space="0"/>
              <w:tl2br w:val="nil"/>
              <w:tr2bl w:val="nil"/>
            </w:tcBorders>
            <w:vAlign w:val="center"/>
          </w:tcPr>
          <w:p w14:paraId="4846BFEA">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5D3D3CC3">
            <w:pPr>
              <w:widowControl/>
              <w:jc w:val="center"/>
              <w:textAlignment w:val="center"/>
              <w:rPr>
                <w:rFonts w:ascii="宋体" w:hAnsi="宋体" w:eastAsia="宋体" w:cs="Times New Roman"/>
                <w:color w:val="auto"/>
              </w:rPr>
            </w:pPr>
            <w:r>
              <w:rPr>
                <w:rFonts w:ascii="宋体" w:hAnsi="宋体" w:eastAsia="宋体" w:cs="Times New Roman"/>
                <w:color w:val="auto"/>
                <w:lang w:bidi="ar"/>
              </w:rPr>
              <w:t>0.06637</w:t>
            </w:r>
          </w:p>
        </w:tc>
        <w:tc>
          <w:tcPr>
            <w:tcW w:w="1268" w:type="dxa"/>
            <w:tcBorders>
              <w:top w:val="single" w:color="auto" w:sz="4" w:space="0"/>
              <w:bottom w:val="single" w:color="auto" w:sz="4" w:space="0"/>
              <w:tl2br w:val="nil"/>
              <w:tr2bl w:val="nil"/>
            </w:tcBorders>
            <w:vAlign w:val="center"/>
          </w:tcPr>
          <w:p w14:paraId="1150ECF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0.166 </w:t>
            </w:r>
          </w:p>
        </w:tc>
        <w:tc>
          <w:tcPr>
            <w:tcW w:w="1680" w:type="dxa"/>
            <w:tcBorders>
              <w:top w:val="single" w:color="auto" w:sz="4" w:space="0"/>
              <w:bottom w:val="single" w:color="auto" w:sz="4" w:space="0"/>
              <w:tl2br w:val="nil"/>
              <w:tr2bl w:val="nil"/>
            </w:tcBorders>
            <w:vAlign w:val="center"/>
          </w:tcPr>
          <w:p w14:paraId="68A0922E">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76B45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2135BBB">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3BB2CC4E">
            <w:pPr>
              <w:widowControl/>
              <w:jc w:val="center"/>
              <w:textAlignment w:val="center"/>
              <w:rPr>
                <w:rFonts w:ascii="宋体" w:hAnsi="宋体" w:eastAsia="宋体" w:cs="Times New Roman"/>
                <w:color w:val="auto"/>
              </w:rPr>
            </w:pPr>
            <w:r>
              <w:rPr>
                <w:rFonts w:ascii="宋体" w:hAnsi="宋体" w:eastAsia="宋体" w:cs="Times New Roman"/>
                <w:color w:val="auto"/>
                <w:lang w:bidi="ar"/>
              </w:rPr>
              <w:t>小欧力马屯</w:t>
            </w:r>
          </w:p>
        </w:tc>
        <w:tc>
          <w:tcPr>
            <w:tcW w:w="1006" w:type="dxa"/>
            <w:tcBorders>
              <w:top w:val="single" w:color="auto" w:sz="4" w:space="0"/>
              <w:bottom w:val="single" w:color="auto" w:sz="4" w:space="0"/>
              <w:tl2br w:val="nil"/>
              <w:tr2bl w:val="nil"/>
            </w:tcBorders>
            <w:vAlign w:val="center"/>
          </w:tcPr>
          <w:p w14:paraId="5554AF18">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2CCE05A2">
            <w:pPr>
              <w:widowControl/>
              <w:jc w:val="center"/>
              <w:textAlignment w:val="center"/>
              <w:rPr>
                <w:rFonts w:ascii="宋体" w:hAnsi="宋体" w:eastAsia="宋体" w:cs="Times New Roman"/>
                <w:color w:val="auto"/>
              </w:rPr>
            </w:pPr>
            <w:r>
              <w:rPr>
                <w:rFonts w:ascii="宋体" w:hAnsi="宋体" w:eastAsia="宋体" w:cs="Times New Roman"/>
                <w:color w:val="auto"/>
                <w:lang w:bidi="ar"/>
              </w:rPr>
              <w:t>0.08162</w:t>
            </w:r>
          </w:p>
        </w:tc>
        <w:tc>
          <w:tcPr>
            <w:tcW w:w="1268" w:type="dxa"/>
            <w:tcBorders>
              <w:top w:val="single" w:color="auto" w:sz="4" w:space="0"/>
              <w:bottom w:val="single" w:color="auto" w:sz="4" w:space="0"/>
              <w:tl2br w:val="nil"/>
              <w:tr2bl w:val="nil"/>
            </w:tcBorders>
            <w:vAlign w:val="center"/>
          </w:tcPr>
          <w:p w14:paraId="76BAF07D">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0.204 </w:t>
            </w:r>
          </w:p>
        </w:tc>
        <w:tc>
          <w:tcPr>
            <w:tcW w:w="1680" w:type="dxa"/>
            <w:tcBorders>
              <w:top w:val="single" w:color="auto" w:sz="4" w:space="0"/>
              <w:bottom w:val="single" w:color="auto" w:sz="4" w:space="0"/>
              <w:tl2br w:val="nil"/>
              <w:tr2bl w:val="nil"/>
            </w:tcBorders>
            <w:vAlign w:val="center"/>
          </w:tcPr>
          <w:p w14:paraId="7CA8E70A">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4BBBF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0C9F8A2">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F541506">
            <w:pPr>
              <w:widowControl/>
              <w:jc w:val="center"/>
              <w:textAlignment w:val="center"/>
              <w:rPr>
                <w:rFonts w:ascii="宋体" w:hAnsi="宋体" w:eastAsia="宋体" w:cs="Times New Roman"/>
                <w:color w:val="auto"/>
              </w:rPr>
            </w:pPr>
            <w:r>
              <w:rPr>
                <w:rFonts w:ascii="宋体" w:hAnsi="宋体" w:eastAsia="宋体" w:cs="Times New Roman"/>
                <w:color w:val="auto"/>
                <w:lang w:bidi="ar"/>
              </w:rPr>
              <w:t>立功村</w:t>
            </w:r>
          </w:p>
        </w:tc>
        <w:tc>
          <w:tcPr>
            <w:tcW w:w="1006" w:type="dxa"/>
            <w:tcBorders>
              <w:top w:val="single" w:color="auto" w:sz="4" w:space="0"/>
              <w:bottom w:val="single" w:color="auto" w:sz="4" w:space="0"/>
              <w:tl2br w:val="nil"/>
              <w:tr2bl w:val="nil"/>
            </w:tcBorders>
            <w:vAlign w:val="center"/>
          </w:tcPr>
          <w:p w14:paraId="37B76D89">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12F1E45C">
            <w:pPr>
              <w:widowControl/>
              <w:jc w:val="center"/>
              <w:textAlignment w:val="center"/>
              <w:rPr>
                <w:rFonts w:ascii="宋体" w:hAnsi="宋体" w:eastAsia="宋体" w:cs="Times New Roman"/>
                <w:color w:val="auto"/>
              </w:rPr>
            </w:pPr>
            <w:r>
              <w:rPr>
                <w:rFonts w:ascii="宋体" w:hAnsi="宋体" w:eastAsia="宋体" w:cs="Times New Roman"/>
                <w:color w:val="auto"/>
                <w:lang w:bidi="ar"/>
              </w:rPr>
              <w:t>0.0517</w:t>
            </w:r>
          </w:p>
        </w:tc>
        <w:tc>
          <w:tcPr>
            <w:tcW w:w="1268" w:type="dxa"/>
            <w:tcBorders>
              <w:top w:val="single" w:color="auto" w:sz="4" w:space="0"/>
              <w:bottom w:val="single" w:color="auto" w:sz="4" w:space="0"/>
              <w:tl2br w:val="nil"/>
              <w:tr2bl w:val="nil"/>
            </w:tcBorders>
            <w:vAlign w:val="center"/>
          </w:tcPr>
          <w:p w14:paraId="64D24AC0">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0.129 </w:t>
            </w:r>
          </w:p>
        </w:tc>
        <w:tc>
          <w:tcPr>
            <w:tcW w:w="1680" w:type="dxa"/>
            <w:tcBorders>
              <w:top w:val="single" w:color="auto" w:sz="4" w:space="0"/>
              <w:bottom w:val="single" w:color="auto" w:sz="4" w:space="0"/>
              <w:tl2br w:val="nil"/>
              <w:tr2bl w:val="nil"/>
            </w:tcBorders>
            <w:vAlign w:val="center"/>
          </w:tcPr>
          <w:p w14:paraId="728AA3D4">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23E7A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49CCF8B">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ED2C816">
            <w:pPr>
              <w:widowControl/>
              <w:jc w:val="center"/>
              <w:textAlignment w:val="center"/>
              <w:rPr>
                <w:rFonts w:ascii="宋体" w:hAnsi="宋体" w:eastAsia="宋体" w:cs="Times New Roman"/>
                <w:color w:val="auto"/>
              </w:rPr>
            </w:pPr>
            <w:r>
              <w:rPr>
                <w:rFonts w:ascii="宋体" w:hAnsi="宋体" w:eastAsia="宋体" w:cs="Times New Roman"/>
                <w:color w:val="auto"/>
                <w:lang w:bidi="ar"/>
              </w:rPr>
              <w:t>后欧力马屯</w:t>
            </w:r>
          </w:p>
        </w:tc>
        <w:tc>
          <w:tcPr>
            <w:tcW w:w="1006" w:type="dxa"/>
            <w:tcBorders>
              <w:top w:val="single" w:color="auto" w:sz="4" w:space="0"/>
              <w:bottom w:val="single" w:color="auto" w:sz="4" w:space="0"/>
              <w:tl2br w:val="nil"/>
              <w:tr2bl w:val="nil"/>
            </w:tcBorders>
            <w:vAlign w:val="center"/>
          </w:tcPr>
          <w:p w14:paraId="4752BD7F">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4C3C923E">
            <w:pPr>
              <w:widowControl/>
              <w:jc w:val="center"/>
              <w:textAlignment w:val="center"/>
              <w:rPr>
                <w:rFonts w:ascii="宋体" w:hAnsi="宋体" w:eastAsia="宋体" w:cs="Times New Roman"/>
                <w:color w:val="auto"/>
              </w:rPr>
            </w:pPr>
            <w:r>
              <w:rPr>
                <w:rFonts w:ascii="宋体" w:hAnsi="宋体" w:eastAsia="宋体" w:cs="Times New Roman"/>
                <w:color w:val="auto"/>
                <w:lang w:bidi="ar"/>
              </w:rPr>
              <w:t>0.17748</w:t>
            </w:r>
          </w:p>
        </w:tc>
        <w:tc>
          <w:tcPr>
            <w:tcW w:w="1268" w:type="dxa"/>
            <w:tcBorders>
              <w:top w:val="single" w:color="auto" w:sz="4" w:space="0"/>
              <w:bottom w:val="single" w:color="auto" w:sz="4" w:space="0"/>
              <w:tl2br w:val="nil"/>
              <w:tr2bl w:val="nil"/>
            </w:tcBorders>
            <w:vAlign w:val="center"/>
          </w:tcPr>
          <w:p w14:paraId="4AC33DF2">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0.444 </w:t>
            </w:r>
          </w:p>
        </w:tc>
        <w:tc>
          <w:tcPr>
            <w:tcW w:w="1680" w:type="dxa"/>
            <w:tcBorders>
              <w:top w:val="single" w:color="auto" w:sz="4" w:space="0"/>
              <w:bottom w:val="single" w:color="auto" w:sz="4" w:space="0"/>
              <w:tl2br w:val="nil"/>
              <w:tr2bl w:val="nil"/>
            </w:tcBorders>
            <w:vAlign w:val="center"/>
          </w:tcPr>
          <w:p w14:paraId="3F2C5C8F">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2E485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8DDF598">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46239060">
            <w:pPr>
              <w:widowControl/>
              <w:jc w:val="center"/>
              <w:textAlignment w:val="center"/>
              <w:rPr>
                <w:rFonts w:ascii="宋体" w:hAnsi="宋体" w:eastAsia="宋体" w:cs="Times New Roman"/>
                <w:color w:val="auto"/>
              </w:rPr>
            </w:pPr>
            <w:r>
              <w:rPr>
                <w:rFonts w:ascii="宋体" w:hAnsi="宋体" w:eastAsia="宋体" w:cs="Times New Roman"/>
                <w:color w:val="auto"/>
                <w:lang w:bidi="ar"/>
              </w:rPr>
              <w:t>王家园子屯</w:t>
            </w:r>
          </w:p>
        </w:tc>
        <w:tc>
          <w:tcPr>
            <w:tcW w:w="1006" w:type="dxa"/>
            <w:tcBorders>
              <w:top w:val="single" w:color="auto" w:sz="4" w:space="0"/>
              <w:bottom w:val="single" w:color="auto" w:sz="4" w:space="0"/>
              <w:tl2br w:val="nil"/>
              <w:tr2bl w:val="nil"/>
            </w:tcBorders>
            <w:vAlign w:val="center"/>
          </w:tcPr>
          <w:p w14:paraId="5D6689A4">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41BB3F74">
            <w:pPr>
              <w:widowControl/>
              <w:jc w:val="center"/>
              <w:textAlignment w:val="center"/>
              <w:rPr>
                <w:rFonts w:ascii="宋体" w:hAnsi="宋体" w:eastAsia="宋体" w:cs="Times New Roman"/>
                <w:color w:val="auto"/>
              </w:rPr>
            </w:pPr>
            <w:r>
              <w:rPr>
                <w:rFonts w:ascii="宋体" w:hAnsi="宋体" w:eastAsia="宋体" w:cs="Times New Roman"/>
                <w:color w:val="auto"/>
                <w:lang w:bidi="ar"/>
              </w:rPr>
              <w:t>0.07955</w:t>
            </w:r>
          </w:p>
        </w:tc>
        <w:tc>
          <w:tcPr>
            <w:tcW w:w="1268" w:type="dxa"/>
            <w:tcBorders>
              <w:top w:val="single" w:color="auto" w:sz="4" w:space="0"/>
              <w:bottom w:val="single" w:color="auto" w:sz="4" w:space="0"/>
              <w:tl2br w:val="nil"/>
              <w:tr2bl w:val="nil"/>
            </w:tcBorders>
            <w:vAlign w:val="center"/>
          </w:tcPr>
          <w:p w14:paraId="477E2E0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0.199 </w:t>
            </w:r>
          </w:p>
        </w:tc>
        <w:tc>
          <w:tcPr>
            <w:tcW w:w="1680" w:type="dxa"/>
            <w:tcBorders>
              <w:top w:val="single" w:color="auto" w:sz="4" w:space="0"/>
              <w:bottom w:val="single" w:color="auto" w:sz="4" w:space="0"/>
              <w:tl2br w:val="nil"/>
              <w:tr2bl w:val="nil"/>
            </w:tcBorders>
            <w:vAlign w:val="center"/>
          </w:tcPr>
          <w:p w14:paraId="4EB91ADC">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14B50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7A3E743">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5EBAFC8">
            <w:pPr>
              <w:widowControl/>
              <w:jc w:val="center"/>
              <w:textAlignment w:val="center"/>
              <w:rPr>
                <w:rFonts w:ascii="宋体" w:hAnsi="宋体" w:eastAsia="宋体" w:cs="Times New Roman"/>
                <w:color w:val="auto"/>
              </w:rPr>
            </w:pPr>
            <w:r>
              <w:rPr>
                <w:rFonts w:ascii="宋体" w:hAnsi="宋体" w:eastAsia="宋体" w:cs="Times New Roman"/>
                <w:color w:val="auto"/>
                <w:lang w:bidi="ar"/>
              </w:rPr>
              <w:t>和平乡</w:t>
            </w:r>
          </w:p>
        </w:tc>
        <w:tc>
          <w:tcPr>
            <w:tcW w:w="1006" w:type="dxa"/>
            <w:tcBorders>
              <w:top w:val="single" w:color="auto" w:sz="4" w:space="0"/>
              <w:bottom w:val="single" w:color="auto" w:sz="4" w:space="0"/>
              <w:tl2br w:val="nil"/>
              <w:tr2bl w:val="nil"/>
            </w:tcBorders>
            <w:vAlign w:val="center"/>
          </w:tcPr>
          <w:p w14:paraId="4DC37F92">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6001DDCD">
            <w:pPr>
              <w:widowControl/>
              <w:jc w:val="center"/>
              <w:textAlignment w:val="center"/>
              <w:rPr>
                <w:rFonts w:ascii="宋体" w:hAnsi="宋体" w:eastAsia="宋体" w:cs="Times New Roman"/>
                <w:color w:val="auto"/>
              </w:rPr>
            </w:pPr>
            <w:r>
              <w:rPr>
                <w:rFonts w:ascii="宋体" w:hAnsi="宋体" w:eastAsia="宋体" w:cs="Times New Roman"/>
                <w:color w:val="auto"/>
                <w:lang w:bidi="ar"/>
              </w:rPr>
              <w:t>0.02662</w:t>
            </w:r>
          </w:p>
        </w:tc>
        <w:tc>
          <w:tcPr>
            <w:tcW w:w="1268" w:type="dxa"/>
            <w:tcBorders>
              <w:top w:val="single" w:color="auto" w:sz="4" w:space="0"/>
              <w:bottom w:val="single" w:color="auto" w:sz="4" w:space="0"/>
              <w:tl2br w:val="nil"/>
              <w:tr2bl w:val="nil"/>
            </w:tcBorders>
            <w:vAlign w:val="center"/>
          </w:tcPr>
          <w:p w14:paraId="42A6F28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0.067 </w:t>
            </w:r>
          </w:p>
        </w:tc>
        <w:tc>
          <w:tcPr>
            <w:tcW w:w="1680" w:type="dxa"/>
            <w:tcBorders>
              <w:top w:val="single" w:color="auto" w:sz="4" w:space="0"/>
              <w:bottom w:val="single" w:color="auto" w:sz="4" w:space="0"/>
              <w:tl2br w:val="nil"/>
              <w:tr2bl w:val="nil"/>
            </w:tcBorders>
            <w:vAlign w:val="center"/>
          </w:tcPr>
          <w:p w14:paraId="19B375A5">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69AA6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01F2306">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458F5766">
            <w:pPr>
              <w:widowControl/>
              <w:jc w:val="center"/>
              <w:textAlignment w:val="center"/>
              <w:rPr>
                <w:rFonts w:ascii="宋体" w:hAnsi="宋体" w:eastAsia="宋体" w:cs="Times New Roman"/>
                <w:color w:val="auto"/>
              </w:rPr>
            </w:pPr>
            <w:r>
              <w:rPr>
                <w:rFonts w:ascii="宋体" w:hAnsi="宋体" w:eastAsia="宋体" w:cs="Times New Roman"/>
                <w:color w:val="auto"/>
                <w:lang w:bidi="ar"/>
              </w:rPr>
              <w:t>赵家围子屯</w:t>
            </w:r>
          </w:p>
        </w:tc>
        <w:tc>
          <w:tcPr>
            <w:tcW w:w="1006" w:type="dxa"/>
            <w:tcBorders>
              <w:top w:val="single" w:color="auto" w:sz="4" w:space="0"/>
              <w:bottom w:val="single" w:color="auto" w:sz="4" w:space="0"/>
              <w:tl2br w:val="nil"/>
              <w:tr2bl w:val="nil"/>
            </w:tcBorders>
            <w:vAlign w:val="center"/>
          </w:tcPr>
          <w:p w14:paraId="2718C311">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7C003153">
            <w:pPr>
              <w:widowControl/>
              <w:jc w:val="center"/>
              <w:textAlignment w:val="center"/>
              <w:rPr>
                <w:rFonts w:ascii="宋体" w:hAnsi="宋体" w:eastAsia="宋体" w:cs="Times New Roman"/>
                <w:color w:val="auto"/>
              </w:rPr>
            </w:pPr>
            <w:r>
              <w:rPr>
                <w:rFonts w:ascii="宋体" w:hAnsi="宋体" w:eastAsia="宋体" w:cs="Times New Roman"/>
                <w:color w:val="auto"/>
                <w:lang w:bidi="ar"/>
              </w:rPr>
              <w:t>0.02636</w:t>
            </w:r>
          </w:p>
        </w:tc>
        <w:tc>
          <w:tcPr>
            <w:tcW w:w="1268" w:type="dxa"/>
            <w:tcBorders>
              <w:top w:val="single" w:color="auto" w:sz="4" w:space="0"/>
              <w:bottom w:val="single" w:color="auto" w:sz="4" w:space="0"/>
              <w:tl2br w:val="nil"/>
              <w:tr2bl w:val="nil"/>
            </w:tcBorders>
            <w:vAlign w:val="center"/>
          </w:tcPr>
          <w:p w14:paraId="2E71284D">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0.066 </w:t>
            </w:r>
          </w:p>
        </w:tc>
        <w:tc>
          <w:tcPr>
            <w:tcW w:w="1680" w:type="dxa"/>
            <w:tcBorders>
              <w:top w:val="single" w:color="auto" w:sz="4" w:space="0"/>
              <w:bottom w:val="single" w:color="auto" w:sz="4" w:space="0"/>
              <w:tl2br w:val="nil"/>
              <w:tr2bl w:val="nil"/>
            </w:tcBorders>
            <w:vAlign w:val="center"/>
          </w:tcPr>
          <w:p w14:paraId="4623E239">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5676A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4A1C512E">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3B633CB6">
            <w:pPr>
              <w:widowControl/>
              <w:jc w:val="center"/>
              <w:textAlignment w:val="center"/>
              <w:rPr>
                <w:rFonts w:ascii="宋体" w:hAnsi="宋体" w:eastAsia="宋体" w:cs="Times New Roman"/>
                <w:color w:val="auto"/>
              </w:rPr>
            </w:pPr>
            <w:r>
              <w:rPr>
                <w:rFonts w:ascii="宋体" w:hAnsi="宋体" w:eastAsia="宋体" w:cs="Times New Roman"/>
                <w:color w:val="auto"/>
                <w:lang w:bidi="ar"/>
              </w:rPr>
              <w:t>孙家围子屯</w:t>
            </w:r>
          </w:p>
        </w:tc>
        <w:tc>
          <w:tcPr>
            <w:tcW w:w="1006" w:type="dxa"/>
            <w:tcBorders>
              <w:top w:val="single" w:color="auto" w:sz="4" w:space="0"/>
              <w:bottom w:val="single" w:color="auto" w:sz="4" w:space="0"/>
              <w:tl2br w:val="nil"/>
              <w:tr2bl w:val="nil"/>
            </w:tcBorders>
            <w:vAlign w:val="center"/>
          </w:tcPr>
          <w:p w14:paraId="691CD447">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1208908C">
            <w:pPr>
              <w:widowControl/>
              <w:jc w:val="center"/>
              <w:textAlignment w:val="center"/>
              <w:rPr>
                <w:rFonts w:ascii="宋体" w:hAnsi="宋体" w:eastAsia="宋体" w:cs="Times New Roman"/>
                <w:color w:val="auto"/>
              </w:rPr>
            </w:pPr>
            <w:r>
              <w:rPr>
                <w:rFonts w:ascii="宋体" w:hAnsi="宋体" w:eastAsia="宋体" w:cs="Times New Roman"/>
                <w:color w:val="auto"/>
                <w:lang w:bidi="ar"/>
              </w:rPr>
              <w:t>0.01698</w:t>
            </w:r>
          </w:p>
        </w:tc>
        <w:tc>
          <w:tcPr>
            <w:tcW w:w="1268" w:type="dxa"/>
            <w:tcBorders>
              <w:top w:val="single" w:color="auto" w:sz="4" w:space="0"/>
              <w:bottom w:val="single" w:color="auto" w:sz="4" w:space="0"/>
              <w:tl2br w:val="nil"/>
              <w:tr2bl w:val="nil"/>
            </w:tcBorders>
            <w:vAlign w:val="center"/>
          </w:tcPr>
          <w:p w14:paraId="6D9DFBC9">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0.042 </w:t>
            </w:r>
          </w:p>
        </w:tc>
        <w:tc>
          <w:tcPr>
            <w:tcW w:w="1680" w:type="dxa"/>
            <w:tcBorders>
              <w:top w:val="single" w:color="auto" w:sz="4" w:space="0"/>
              <w:bottom w:val="single" w:color="auto" w:sz="4" w:space="0"/>
              <w:tl2br w:val="nil"/>
              <w:tr2bl w:val="nil"/>
            </w:tcBorders>
            <w:vAlign w:val="center"/>
          </w:tcPr>
          <w:p w14:paraId="60D13F4F">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028DD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1B5BC63">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408F25D">
            <w:pPr>
              <w:widowControl/>
              <w:jc w:val="center"/>
              <w:textAlignment w:val="center"/>
              <w:rPr>
                <w:rFonts w:ascii="宋体" w:hAnsi="宋体" w:eastAsia="宋体" w:cs="Times New Roman"/>
                <w:color w:val="auto"/>
              </w:rPr>
            </w:pPr>
            <w:r>
              <w:rPr>
                <w:rFonts w:ascii="宋体" w:hAnsi="宋体" w:eastAsia="宋体" w:cs="Times New Roman"/>
                <w:color w:val="auto"/>
                <w:lang w:bidi="ar"/>
              </w:rPr>
              <w:t>对青岗子屯</w:t>
            </w:r>
          </w:p>
        </w:tc>
        <w:tc>
          <w:tcPr>
            <w:tcW w:w="1006" w:type="dxa"/>
            <w:tcBorders>
              <w:top w:val="single" w:color="auto" w:sz="4" w:space="0"/>
              <w:bottom w:val="single" w:color="auto" w:sz="4" w:space="0"/>
              <w:tl2br w:val="nil"/>
              <w:tr2bl w:val="nil"/>
            </w:tcBorders>
            <w:vAlign w:val="center"/>
          </w:tcPr>
          <w:p w14:paraId="7646AFCD">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10D33965">
            <w:pPr>
              <w:widowControl/>
              <w:jc w:val="center"/>
              <w:textAlignment w:val="center"/>
              <w:rPr>
                <w:rFonts w:ascii="宋体" w:hAnsi="宋体" w:eastAsia="宋体" w:cs="Times New Roman"/>
                <w:color w:val="auto"/>
              </w:rPr>
            </w:pPr>
            <w:r>
              <w:rPr>
                <w:rFonts w:ascii="宋体" w:hAnsi="宋体" w:eastAsia="宋体" w:cs="Times New Roman"/>
                <w:color w:val="auto"/>
                <w:lang w:bidi="ar"/>
              </w:rPr>
              <w:t>0.07128</w:t>
            </w:r>
          </w:p>
        </w:tc>
        <w:tc>
          <w:tcPr>
            <w:tcW w:w="1268" w:type="dxa"/>
            <w:tcBorders>
              <w:top w:val="single" w:color="auto" w:sz="4" w:space="0"/>
              <w:bottom w:val="single" w:color="auto" w:sz="4" w:space="0"/>
              <w:tl2br w:val="nil"/>
              <w:tr2bl w:val="nil"/>
            </w:tcBorders>
            <w:vAlign w:val="center"/>
          </w:tcPr>
          <w:p w14:paraId="124D9D27">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0.178 </w:t>
            </w:r>
          </w:p>
        </w:tc>
        <w:tc>
          <w:tcPr>
            <w:tcW w:w="1680" w:type="dxa"/>
            <w:tcBorders>
              <w:top w:val="single" w:color="auto" w:sz="4" w:space="0"/>
              <w:bottom w:val="single" w:color="auto" w:sz="4" w:space="0"/>
              <w:tl2br w:val="nil"/>
              <w:tr2bl w:val="nil"/>
            </w:tcBorders>
            <w:vAlign w:val="center"/>
          </w:tcPr>
          <w:p w14:paraId="4692A341">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2AF41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1666BC1B">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7E4B225C">
            <w:pPr>
              <w:widowControl/>
              <w:jc w:val="center"/>
              <w:textAlignment w:val="center"/>
              <w:rPr>
                <w:rFonts w:ascii="宋体" w:hAnsi="宋体" w:eastAsia="宋体" w:cs="Times New Roman"/>
                <w:color w:val="auto"/>
              </w:rPr>
            </w:pPr>
            <w:r>
              <w:rPr>
                <w:rFonts w:ascii="宋体" w:hAnsi="宋体" w:eastAsia="宋体" w:cs="Times New Roman"/>
                <w:color w:val="auto"/>
                <w:lang w:bidi="ar"/>
              </w:rPr>
              <w:t>蒙古屯</w:t>
            </w:r>
          </w:p>
        </w:tc>
        <w:tc>
          <w:tcPr>
            <w:tcW w:w="1006" w:type="dxa"/>
            <w:tcBorders>
              <w:top w:val="single" w:color="auto" w:sz="4" w:space="0"/>
              <w:bottom w:val="single" w:color="auto" w:sz="4" w:space="0"/>
              <w:tl2br w:val="nil"/>
              <w:tr2bl w:val="nil"/>
            </w:tcBorders>
            <w:vAlign w:val="center"/>
          </w:tcPr>
          <w:p w14:paraId="2372305D">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6EB62CE2">
            <w:pPr>
              <w:widowControl/>
              <w:jc w:val="center"/>
              <w:textAlignment w:val="center"/>
              <w:rPr>
                <w:rFonts w:ascii="宋体" w:hAnsi="宋体" w:eastAsia="宋体" w:cs="Times New Roman"/>
                <w:color w:val="auto"/>
              </w:rPr>
            </w:pPr>
            <w:r>
              <w:rPr>
                <w:rFonts w:ascii="宋体" w:hAnsi="宋体" w:eastAsia="宋体" w:cs="Times New Roman"/>
                <w:color w:val="auto"/>
                <w:lang w:bidi="ar"/>
              </w:rPr>
              <w:t>0.04698</w:t>
            </w:r>
          </w:p>
        </w:tc>
        <w:tc>
          <w:tcPr>
            <w:tcW w:w="1268" w:type="dxa"/>
            <w:tcBorders>
              <w:top w:val="single" w:color="auto" w:sz="4" w:space="0"/>
              <w:bottom w:val="single" w:color="auto" w:sz="4" w:space="0"/>
              <w:tl2br w:val="nil"/>
              <w:tr2bl w:val="nil"/>
            </w:tcBorders>
            <w:vAlign w:val="center"/>
          </w:tcPr>
          <w:p w14:paraId="5DE4D6C8">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0.117 </w:t>
            </w:r>
          </w:p>
        </w:tc>
        <w:tc>
          <w:tcPr>
            <w:tcW w:w="1680" w:type="dxa"/>
            <w:tcBorders>
              <w:top w:val="single" w:color="auto" w:sz="4" w:space="0"/>
              <w:bottom w:val="single" w:color="auto" w:sz="4" w:space="0"/>
              <w:tl2br w:val="nil"/>
              <w:tr2bl w:val="nil"/>
            </w:tcBorders>
            <w:vAlign w:val="center"/>
          </w:tcPr>
          <w:p w14:paraId="2F109A16">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4CFAB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7179B597">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65386008">
            <w:pPr>
              <w:widowControl/>
              <w:jc w:val="center"/>
              <w:textAlignment w:val="center"/>
              <w:rPr>
                <w:rFonts w:ascii="宋体" w:hAnsi="宋体" w:eastAsia="宋体" w:cs="Times New Roman"/>
                <w:color w:val="auto"/>
              </w:rPr>
            </w:pPr>
            <w:r>
              <w:rPr>
                <w:rFonts w:ascii="宋体" w:hAnsi="宋体" w:eastAsia="宋体" w:cs="Times New Roman"/>
                <w:color w:val="auto"/>
                <w:lang w:bidi="ar"/>
              </w:rPr>
              <w:t>四方山屯</w:t>
            </w:r>
          </w:p>
        </w:tc>
        <w:tc>
          <w:tcPr>
            <w:tcW w:w="1006" w:type="dxa"/>
            <w:tcBorders>
              <w:top w:val="single" w:color="auto" w:sz="4" w:space="0"/>
              <w:bottom w:val="single" w:color="auto" w:sz="4" w:space="0"/>
              <w:tl2br w:val="nil"/>
              <w:tr2bl w:val="nil"/>
            </w:tcBorders>
            <w:vAlign w:val="center"/>
          </w:tcPr>
          <w:p w14:paraId="3EC90E9D">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4242729A">
            <w:pPr>
              <w:widowControl/>
              <w:jc w:val="center"/>
              <w:textAlignment w:val="center"/>
              <w:rPr>
                <w:rFonts w:ascii="宋体" w:hAnsi="宋体" w:eastAsia="宋体" w:cs="Times New Roman"/>
                <w:color w:val="auto"/>
              </w:rPr>
            </w:pPr>
            <w:r>
              <w:rPr>
                <w:rFonts w:ascii="宋体" w:hAnsi="宋体" w:eastAsia="宋体" w:cs="Times New Roman"/>
                <w:color w:val="auto"/>
                <w:lang w:bidi="ar"/>
              </w:rPr>
              <w:t>0.01236</w:t>
            </w:r>
          </w:p>
        </w:tc>
        <w:tc>
          <w:tcPr>
            <w:tcW w:w="1268" w:type="dxa"/>
            <w:tcBorders>
              <w:top w:val="single" w:color="auto" w:sz="4" w:space="0"/>
              <w:bottom w:val="single" w:color="auto" w:sz="4" w:space="0"/>
              <w:tl2br w:val="nil"/>
              <w:tr2bl w:val="nil"/>
            </w:tcBorders>
            <w:vAlign w:val="center"/>
          </w:tcPr>
          <w:p w14:paraId="0A33686C">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0.031 </w:t>
            </w:r>
          </w:p>
        </w:tc>
        <w:tc>
          <w:tcPr>
            <w:tcW w:w="1680" w:type="dxa"/>
            <w:tcBorders>
              <w:top w:val="single" w:color="auto" w:sz="4" w:space="0"/>
              <w:bottom w:val="single" w:color="auto" w:sz="4" w:space="0"/>
              <w:tl2br w:val="nil"/>
              <w:tr2bl w:val="nil"/>
            </w:tcBorders>
            <w:vAlign w:val="center"/>
          </w:tcPr>
          <w:p w14:paraId="7139AEFA">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16629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489B879D">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1AE7C96">
            <w:pPr>
              <w:widowControl/>
              <w:jc w:val="center"/>
              <w:textAlignment w:val="center"/>
              <w:rPr>
                <w:rFonts w:ascii="宋体" w:hAnsi="宋体" w:eastAsia="宋体" w:cs="Times New Roman"/>
                <w:color w:val="auto"/>
              </w:rPr>
            </w:pPr>
            <w:r>
              <w:rPr>
                <w:rFonts w:ascii="宋体" w:hAnsi="宋体" w:eastAsia="宋体" w:cs="Times New Roman"/>
                <w:color w:val="auto"/>
                <w:lang w:bidi="ar"/>
              </w:rPr>
              <w:t>小东屯</w:t>
            </w:r>
          </w:p>
        </w:tc>
        <w:tc>
          <w:tcPr>
            <w:tcW w:w="1006" w:type="dxa"/>
            <w:tcBorders>
              <w:top w:val="single" w:color="auto" w:sz="4" w:space="0"/>
              <w:bottom w:val="single" w:color="auto" w:sz="4" w:space="0"/>
              <w:tl2br w:val="nil"/>
              <w:tr2bl w:val="nil"/>
            </w:tcBorders>
            <w:vAlign w:val="center"/>
          </w:tcPr>
          <w:p w14:paraId="6DEE4534">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68E1DD5D">
            <w:pPr>
              <w:widowControl/>
              <w:jc w:val="center"/>
              <w:textAlignment w:val="center"/>
              <w:rPr>
                <w:rFonts w:ascii="宋体" w:hAnsi="宋体" w:eastAsia="宋体" w:cs="Times New Roman"/>
                <w:color w:val="auto"/>
              </w:rPr>
            </w:pPr>
            <w:r>
              <w:rPr>
                <w:rFonts w:ascii="宋体" w:hAnsi="宋体" w:eastAsia="宋体" w:cs="Times New Roman"/>
                <w:color w:val="auto"/>
                <w:lang w:bidi="ar"/>
              </w:rPr>
              <w:t>0.01098</w:t>
            </w:r>
          </w:p>
        </w:tc>
        <w:tc>
          <w:tcPr>
            <w:tcW w:w="1268" w:type="dxa"/>
            <w:tcBorders>
              <w:top w:val="single" w:color="auto" w:sz="4" w:space="0"/>
              <w:bottom w:val="single" w:color="auto" w:sz="4" w:space="0"/>
              <w:tl2br w:val="nil"/>
              <w:tr2bl w:val="nil"/>
            </w:tcBorders>
            <w:vAlign w:val="center"/>
          </w:tcPr>
          <w:p w14:paraId="3BF63431">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0.027 </w:t>
            </w:r>
          </w:p>
        </w:tc>
        <w:tc>
          <w:tcPr>
            <w:tcW w:w="1680" w:type="dxa"/>
            <w:tcBorders>
              <w:top w:val="single" w:color="auto" w:sz="4" w:space="0"/>
              <w:bottom w:val="single" w:color="auto" w:sz="4" w:space="0"/>
              <w:tl2br w:val="nil"/>
              <w:tr2bl w:val="nil"/>
            </w:tcBorders>
            <w:vAlign w:val="center"/>
          </w:tcPr>
          <w:p w14:paraId="6F3D1BDB">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0D7BD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5FF4F3A3">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333A881">
            <w:pPr>
              <w:widowControl/>
              <w:jc w:val="center"/>
              <w:textAlignment w:val="center"/>
              <w:rPr>
                <w:rFonts w:ascii="宋体" w:hAnsi="宋体" w:eastAsia="宋体" w:cs="Times New Roman"/>
                <w:color w:val="auto"/>
              </w:rPr>
            </w:pPr>
            <w:r>
              <w:rPr>
                <w:rFonts w:ascii="宋体" w:hAnsi="宋体" w:eastAsia="宋体" w:cs="Times New Roman"/>
                <w:color w:val="auto"/>
                <w:lang w:bidi="ar"/>
              </w:rPr>
              <w:t>东兴村</w:t>
            </w:r>
          </w:p>
        </w:tc>
        <w:tc>
          <w:tcPr>
            <w:tcW w:w="1006" w:type="dxa"/>
            <w:tcBorders>
              <w:top w:val="single" w:color="auto" w:sz="4" w:space="0"/>
              <w:bottom w:val="single" w:color="auto" w:sz="4" w:space="0"/>
              <w:tl2br w:val="nil"/>
              <w:tr2bl w:val="nil"/>
            </w:tcBorders>
            <w:vAlign w:val="center"/>
          </w:tcPr>
          <w:p w14:paraId="7FD4331A">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0AB96F46">
            <w:pPr>
              <w:widowControl/>
              <w:jc w:val="center"/>
              <w:textAlignment w:val="center"/>
              <w:rPr>
                <w:rFonts w:ascii="宋体" w:hAnsi="宋体" w:eastAsia="宋体" w:cs="Times New Roman"/>
                <w:color w:val="auto"/>
              </w:rPr>
            </w:pPr>
            <w:r>
              <w:rPr>
                <w:rFonts w:ascii="宋体" w:hAnsi="宋体" w:eastAsia="宋体" w:cs="Times New Roman"/>
                <w:color w:val="auto"/>
                <w:lang w:bidi="ar"/>
              </w:rPr>
              <w:t>0.00792</w:t>
            </w:r>
          </w:p>
        </w:tc>
        <w:tc>
          <w:tcPr>
            <w:tcW w:w="1268" w:type="dxa"/>
            <w:tcBorders>
              <w:top w:val="single" w:color="auto" w:sz="4" w:space="0"/>
              <w:bottom w:val="single" w:color="auto" w:sz="4" w:space="0"/>
              <w:tl2br w:val="nil"/>
              <w:tr2bl w:val="nil"/>
            </w:tcBorders>
            <w:vAlign w:val="center"/>
          </w:tcPr>
          <w:p w14:paraId="06EE899B">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0.020 </w:t>
            </w:r>
          </w:p>
        </w:tc>
        <w:tc>
          <w:tcPr>
            <w:tcW w:w="1680" w:type="dxa"/>
            <w:tcBorders>
              <w:top w:val="single" w:color="auto" w:sz="4" w:space="0"/>
              <w:bottom w:val="single" w:color="auto" w:sz="4" w:space="0"/>
              <w:tl2br w:val="nil"/>
              <w:tr2bl w:val="nil"/>
            </w:tcBorders>
            <w:vAlign w:val="center"/>
          </w:tcPr>
          <w:p w14:paraId="0821A321">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03659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2C2DE8A">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68E04725">
            <w:pPr>
              <w:widowControl/>
              <w:jc w:val="center"/>
              <w:textAlignment w:val="center"/>
              <w:rPr>
                <w:rFonts w:ascii="宋体" w:hAnsi="宋体" w:eastAsia="宋体" w:cs="Times New Roman"/>
                <w:color w:val="auto"/>
              </w:rPr>
            </w:pPr>
            <w:r>
              <w:rPr>
                <w:rFonts w:ascii="宋体" w:hAnsi="宋体" w:eastAsia="宋体" w:cs="Times New Roman"/>
                <w:color w:val="auto"/>
                <w:lang w:bidi="ar"/>
              </w:rPr>
              <w:t>迟家屯</w:t>
            </w:r>
          </w:p>
        </w:tc>
        <w:tc>
          <w:tcPr>
            <w:tcW w:w="1006" w:type="dxa"/>
            <w:tcBorders>
              <w:top w:val="single" w:color="auto" w:sz="4" w:space="0"/>
              <w:bottom w:val="single" w:color="auto" w:sz="4" w:space="0"/>
              <w:tl2br w:val="nil"/>
              <w:tr2bl w:val="nil"/>
            </w:tcBorders>
            <w:vAlign w:val="center"/>
          </w:tcPr>
          <w:p w14:paraId="7F164FAC">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15FB75A5">
            <w:pPr>
              <w:widowControl/>
              <w:jc w:val="center"/>
              <w:textAlignment w:val="center"/>
              <w:rPr>
                <w:rFonts w:ascii="宋体" w:hAnsi="宋体" w:eastAsia="宋体" w:cs="Times New Roman"/>
                <w:color w:val="auto"/>
              </w:rPr>
            </w:pPr>
            <w:r>
              <w:rPr>
                <w:rFonts w:ascii="宋体" w:hAnsi="宋体" w:eastAsia="宋体" w:cs="Times New Roman"/>
                <w:color w:val="auto"/>
                <w:lang w:bidi="ar"/>
              </w:rPr>
              <w:t>0.00759</w:t>
            </w:r>
          </w:p>
        </w:tc>
        <w:tc>
          <w:tcPr>
            <w:tcW w:w="1268" w:type="dxa"/>
            <w:tcBorders>
              <w:top w:val="single" w:color="auto" w:sz="4" w:space="0"/>
              <w:bottom w:val="single" w:color="auto" w:sz="4" w:space="0"/>
              <w:tl2br w:val="nil"/>
              <w:tr2bl w:val="nil"/>
            </w:tcBorders>
            <w:vAlign w:val="center"/>
          </w:tcPr>
          <w:p w14:paraId="6ADCEDA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0.019 </w:t>
            </w:r>
          </w:p>
        </w:tc>
        <w:tc>
          <w:tcPr>
            <w:tcW w:w="1680" w:type="dxa"/>
            <w:tcBorders>
              <w:top w:val="single" w:color="auto" w:sz="4" w:space="0"/>
              <w:bottom w:val="single" w:color="auto" w:sz="4" w:space="0"/>
              <w:tl2br w:val="nil"/>
              <w:tr2bl w:val="nil"/>
            </w:tcBorders>
            <w:vAlign w:val="center"/>
          </w:tcPr>
          <w:p w14:paraId="389691D6">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0B750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BF759A9">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B37975E">
            <w:pPr>
              <w:widowControl/>
              <w:jc w:val="center"/>
              <w:textAlignment w:val="center"/>
              <w:rPr>
                <w:rFonts w:ascii="宋体" w:hAnsi="宋体" w:eastAsia="宋体" w:cs="Times New Roman"/>
                <w:color w:val="auto"/>
              </w:rPr>
            </w:pPr>
            <w:r>
              <w:rPr>
                <w:rFonts w:ascii="宋体" w:hAnsi="宋体" w:eastAsia="宋体" w:cs="Times New Roman"/>
                <w:color w:val="auto"/>
                <w:lang w:bidi="ar"/>
              </w:rPr>
              <w:t>刘喜屯</w:t>
            </w:r>
          </w:p>
        </w:tc>
        <w:tc>
          <w:tcPr>
            <w:tcW w:w="1006" w:type="dxa"/>
            <w:tcBorders>
              <w:top w:val="single" w:color="auto" w:sz="4" w:space="0"/>
              <w:bottom w:val="single" w:color="auto" w:sz="4" w:space="0"/>
              <w:tl2br w:val="nil"/>
              <w:tr2bl w:val="nil"/>
            </w:tcBorders>
            <w:vAlign w:val="center"/>
          </w:tcPr>
          <w:p w14:paraId="6EB6A512">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6FE79F05">
            <w:pPr>
              <w:widowControl/>
              <w:jc w:val="center"/>
              <w:textAlignment w:val="center"/>
              <w:rPr>
                <w:rFonts w:ascii="宋体" w:hAnsi="宋体" w:eastAsia="宋体" w:cs="Times New Roman"/>
                <w:color w:val="auto"/>
              </w:rPr>
            </w:pPr>
            <w:r>
              <w:rPr>
                <w:rFonts w:ascii="宋体" w:hAnsi="宋体" w:eastAsia="宋体" w:cs="Times New Roman"/>
                <w:color w:val="auto"/>
                <w:lang w:bidi="ar"/>
              </w:rPr>
              <w:t>0.00363</w:t>
            </w:r>
          </w:p>
        </w:tc>
        <w:tc>
          <w:tcPr>
            <w:tcW w:w="1268" w:type="dxa"/>
            <w:tcBorders>
              <w:top w:val="single" w:color="auto" w:sz="4" w:space="0"/>
              <w:bottom w:val="single" w:color="auto" w:sz="4" w:space="0"/>
              <w:tl2br w:val="nil"/>
              <w:tr2bl w:val="nil"/>
            </w:tcBorders>
            <w:vAlign w:val="center"/>
          </w:tcPr>
          <w:p w14:paraId="23CC69D8">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680" w:type="dxa"/>
            <w:tcBorders>
              <w:top w:val="single" w:color="auto" w:sz="4" w:space="0"/>
              <w:bottom w:val="single" w:color="auto" w:sz="4" w:space="0"/>
              <w:tl2br w:val="nil"/>
              <w:tr2bl w:val="nil"/>
            </w:tcBorders>
            <w:vAlign w:val="center"/>
          </w:tcPr>
          <w:p w14:paraId="74055404">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16C64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2C3D89C">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4E59ACBE">
            <w:pPr>
              <w:widowControl/>
              <w:jc w:val="center"/>
              <w:textAlignment w:val="center"/>
              <w:rPr>
                <w:rFonts w:ascii="宋体" w:hAnsi="宋体" w:eastAsia="宋体" w:cs="Times New Roman"/>
                <w:color w:val="auto"/>
              </w:rPr>
            </w:pPr>
            <w:r>
              <w:rPr>
                <w:rFonts w:ascii="宋体" w:hAnsi="宋体" w:eastAsia="宋体" w:cs="Times New Roman"/>
                <w:color w:val="auto"/>
                <w:lang w:bidi="ar"/>
              </w:rPr>
              <w:t>代龙村</w:t>
            </w:r>
          </w:p>
        </w:tc>
        <w:tc>
          <w:tcPr>
            <w:tcW w:w="1006" w:type="dxa"/>
            <w:tcBorders>
              <w:top w:val="single" w:color="auto" w:sz="4" w:space="0"/>
              <w:bottom w:val="single" w:color="auto" w:sz="4" w:space="0"/>
              <w:tl2br w:val="nil"/>
              <w:tr2bl w:val="nil"/>
            </w:tcBorders>
            <w:vAlign w:val="center"/>
          </w:tcPr>
          <w:p w14:paraId="6144C738">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269B9326">
            <w:pPr>
              <w:widowControl/>
              <w:jc w:val="center"/>
              <w:textAlignment w:val="center"/>
              <w:rPr>
                <w:rFonts w:ascii="宋体" w:hAnsi="宋体" w:eastAsia="宋体" w:cs="Times New Roman"/>
                <w:color w:val="auto"/>
              </w:rPr>
            </w:pPr>
            <w:r>
              <w:rPr>
                <w:rFonts w:ascii="宋体" w:hAnsi="宋体" w:eastAsia="宋体" w:cs="Times New Roman"/>
                <w:color w:val="auto"/>
                <w:lang w:bidi="ar"/>
              </w:rPr>
              <w:t>0.00325</w:t>
            </w:r>
          </w:p>
        </w:tc>
        <w:tc>
          <w:tcPr>
            <w:tcW w:w="1268" w:type="dxa"/>
            <w:tcBorders>
              <w:top w:val="single" w:color="auto" w:sz="4" w:space="0"/>
              <w:bottom w:val="single" w:color="auto" w:sz="4" w:space="0"/>
              <w:tl2br w:val="nil"/>
              <w:tr2bl w:val="nil"/>
            </w:tcBorders>
            <w:vAlign w:val="center"/>
          </w:tcPr>
          <w:p w14:paraId="3968F08C">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0.008 </w:t>
            </w:r>
          </w:p>
        </w:tc>
        <w:tc>
          <w:tcPr>
            <w:tcW w:w="1680" w:type="dxa"/>
            <w:tcBorders>
              <w:top w:val="single" w:color="auto" w:sz="4" w:space="0"/>
              <w:bottom w:val="single" w:color="auto" w:sz="4" w:space="0"/>
              <w:tl2br w:val="nil"/>
              <w:tr2bl w:val="nil"/>
            </w:tcBorders>
            <w:vAlign w:val="center"/>
          </w:tcPr>
          <w:p w14:paraId="09E0F93D">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2E81D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50711B25">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E2B3C13">
            <w:pPr>
              <w:widowControl/>
              <w:jc w:val="center"/>
              <w:textAlignment w:val="center"/>
              <w:rPr>
                <w:rFonts w:ascii="宋体" w:hAnsi="宋体" w:eastAsia="宋体" w:cs="Times New Roman"/>
                <w:color w:val="auto"/>
              </w:rPr>
            </w:pPr>
            <w:r>
              <w:rPr>
                <w:rFonts w:ascii="宋体" w:hAnsi="宋体" w:eastAsia="宋体" w:cs="Times New Roman"/>
                <w:color w:val="auto"/>
                <w:lang w:bidi="ar"/>
              </w:rPr>
              <w:t>肇源镇</w:t>
            </w:r>
          </w:p>
        </w:tc>
        <w:tc>
          <w:tcPr>
            <w:tcW w:w="1006" w:type="dxa"/>
            <w:tcBorders>
              <w:top w:val="single" w:color="auto" w:sz="4" w:space="0"/>
              <w:bottom w:val="single" w:color="auto" w:sz="4" w:space="0"/>
              <w:tl2br w:val="nil"/>
              <w:tr2bl w:val="nil"/>
            </w:tcBorders>
            <w:vAlign w:val="center"/>
          </w:tcPr>
          <w:p w14:paraId="7BAC7260">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21ACC609">
            <w:pPr>
              <w:widowControl/>
              <w:jc w:val="center"/>
              <w:textAlignment w:val="center"/>
              <w:rPr>
                <w:rFonts w:ascii="宋体" w:hAnsi="宋体" w:eastAsia="宋体" w:cs="Times New Roman"/>
                <w:color w:val="auto"/>
              </w:rPr>
            </w:pPr>
            <w:r>
              <w:rPr>
                <w:rFonts w:ascii="宋体" w:hAnsi="宋体" w:eastAsia="宋体" w:cs="Times New Roman"/>
                <w:color w:val="auto"/>
                <w:lang w:bidi="ar"/>
              </w:rPr>
              <w:t>0.00505</w:t>
            </w:r>
          </w:p>
        </w:tc>
        <w:tc>
          <w:tcPr>
            <w:tcW w:w="1268" w:type="dxa"/>
            <w:tcBorders>
              <w:top w:val="single" w:color="auto" w:sz="4" w:space="0"/>
              <w:bottom w:val="single" w:color="auto" w:sz="4" w:space="0"/>
              <w:tl2br w:val="nil"/>
              <w:tr2bl w:val="nil"/>
            </w:tcBorders>
            <w:vAlign w:val="center"/>
          </w:tcPr>
          <w:p w14:paraId="7C36162A">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0.013 </w:t>
            </w:r>
          </w:p>
        </w:tc>
        <w:tc>
          <w:tcPr>
            <w:tcW w:w="1680" w:type="dxa"/>
            <w:tcBorders>
              <w:top w:val="single" w:color="auto" w:sz="4" w:space="0"/>
              <w:bottom w:val="single" w:color="auto" w:sz="4" w:space="0"/>
              <w:tl2br w:val="nil"/>
              <w:tr2bl w:val="nil"/>
            </w:tcBorders>
            <w:vAlign w:val="center"/>
          </w:tcPr>
          <w:p w14:paraId="41FD53BA">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7054E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45A8038B">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99CC6AF">
            <w:pPr>
              <w:widowControl/>
              <w:jc w:val="center"/>
              <w:textAlignment w:val="center"/>
              <w:rPr>
                <w:rFonts w:ascii="宋体" w:hAnsi="宋体" w:eastAsia="宋体" w:cs="Times New Roman"/>
                <w:color w:val="auto"/>
              </w:rPr>
            </w:pPr>
            <w:r>
              <w:rPr>
                <w:rFonts w:ascii="宋体" w:hAnsi="宋体" w:eastAsia="宋体" w:cs="Times New Roman"/>
                <w:color w:val="auto"/>
                <w:lang w:bidi="ar"/>
              </w:rPr>
              <w:t>刘兽医屯</w:t>
            </w:r>
          </w:p>
        </w:tc>
        <w:tc>
          <w:tcPr>
            <w:tcW w:w="1006" w:type="dxa"/>
            <w:tcBorders>
              <w:top w:val="single" w:color="auto" w:sz="4" w:space="0"/>
              <w:bottom w:val="single" w:color="auto" w:sz="4" w:space="0"/>
              <w:tl2br w:val="nil"/>
              <w:tr2bl w:val="nil"/>
            </w:tcBorders>
            <w:vAlign w:val="center"/>
          </w:tcPr>
          <w:p w14:paraId="6E7F0395">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19B96D6F">
            <w:pPr>
              <w:widowControl/>
              <w:jc w:val="center"/>
              <w:textAlignment w:val="center"/>
              <w:rPr>
                <w:rFonts w:ascii="宋体" w:hAnsi="宋体" w:eastAsia="宋体" w:cs="Times New Roman"/>
                <w:color w:val="auto"/>
              </w:rPr>
            </w:pPr>
            <w:r>
              <w:rPr>
                <w:rFonts w:ascii="宋体" w:hAnsi="宋体" w:eastAsia="宋体" w:cs="Times New Roman"/>
                <w:color w:val="auto"/>
                <w:lang w:bidi="ar"/>
              </w:rPr>
              <w:t>0.00346</w:t>
            </w:r>
          </w:p>
        </w:tc>
        <w:tc>
          <w:tcPr>
            <w:tcW w:w="1268" w:type="dxa"/>
            <w:tcBorders>
              <w:top w:val="single" w:color="auto" w:sz="4" w:space="0"/>
              <w:bottom w:val="single" w:color="auto" w:sz="4" w:space="0"/>
              <w:tl2br w:val="nil"/>
              <w:tr2bl w:val="nil"/>
            </w:tcBorders>
            <w:vAlign w:val="center"/>
          </w:tcPr>
          <w:p w14:paraId="79A7EA00">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680" w:type="dxa"/>
            <w:tcBorders>
              <w:top w:val="single" w:color="auto" w:sz="4" w:space="0"/>
              <w:bottom w:val="single" w:color="auto" w:sz="4" w:space="0"/>
              <w:tl2br w:val="nil"/>
              <w:tr2bl w:val="nil"/>
            </w:tcBorders>
            <w:vAlign w:val="center"/>
          </w:tcPr>
          <w:p w14:paraId="39C9086C">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7C6F6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9" w:hRule="atLeast"/>
        </w:trPr>
        <w:tc>
          <w:tcPr>
            <w:tcW w:w="975" w:type="dxa"/>
            <w:vMerge w:val="continue"/>
            <w:tcBorders>
              <w:tl2br w:val="nil"/>
              <w:tr2bl w:val="nil"/>
            </w:tcBorders>
            <w:vAlign w:val="center"/>
          </w:tcPr>
          <w:p w14:paraId="04EDC05F">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2FF9BB61">
            <w:pPr>
              <w:widowControl/>
              <w:jc w:val="center"/>
              <w:textAlignment w:val="center"/>
              <w:rPr>
                <w:rFonts w:ascii="宋体" w:hAnsi="宋体" w:eastAsia="宋体" w:cs="Times New Roman"/>
                <w:color w:val="auto"/>
              </w:rPr>
            </w:pPr>
            <w:r>
              <w:rPr>
                <w:rFonts w:ascii="宋体" w:hAnsi="宋体" w:eastAsia="宋体" w:cs="Times New Roman"/>
                <w:color w:val="auto"/>
                <w:lang w:bidi="ar"/>
              </w:rPr>
              <w:t>友谊村</w:t>
            </w:r>
          </w:p>
        </w:tc>
        <w:tc>
          <w:tcPr>
            <w:tcW w:w="1006" w:type="dxa"/>
            <w:tcBorders>
              <w:top w:val="single" w:color="auto" w:sz="4" w:space="0"/>
              <w:bottom w:val="single" w:color="auto" w:sz="4" w:space="0"/>
              <w:tl2br w:val="nil"/>
              <w:tr2bl w:val="nil"/>
            </w:tcBorders>
            <w:vAlign w:val="center"/>
          </w:tcPr>
          <w:p w14:paraId="1A963AED">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105F62E7">
            <w:pPr>
              <w:widowControl/>
              <w:jc w:val="center"/>
              <w:textAlignment w:val="center"/>
              <w:rPr>
                <w:rFonts w:ascii="宋体" w:hAnsi="宋体" w:eastAsia="宋体" w:cs="Times New Roman"/>
                <w:color w:val="auto"/>
              </w:rPr>
            </w:pPr>
            <w:r>
              <w:rPr>
                <w:rFonts w:ascii="宋体" w:hAnsi="宋体" w:eastAsia="宋体" w:cs="Times New Roman"/>
                <w:color w:val="auto"/>
                <w:lang w:bidi="ar"/>
              </w:rPr>
              <w:t>0.00343</w:t>
            </w:r>
          </w:p>
        </w:tc>
        <w:tc>
          <w:tcPr>
            <w:tcW w:w="1268" w:type="dxa"/>
            <w:tcBorders>
              <w:top w:val="single" w:color="auto" w:sz="4" w:space="0"/>
              <w:bottom w:val="single" w:color="auto" w:sz="4" w:space="0"/>
              <w:tl2br w:val="nil"/>
              <w:tr2bl w:val="nil"/>
            </w:tcBorders>
            <w:vAlign w:val="center"/>
          </w:tcPr>
          <w:p w14:paraId="3661F25D">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680" w:type="dxa"/>
            <w:tcBorders>
              <w:top w:val="single" w:color="auto" w:sz="4" w:space="0"/>
              <w:bottom w:val="single" w:color="auto" w:sz="4" w:space="0"/>
              <w:tl2br w:val="nil"/>
              <w:tr2bl w:val="nil"/>
            </w:tcBorders>
            <w:vAlign w:val="center"/>
          </w:tcPr>
          <w:p w14:paraId="669BA755">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550E8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58F5DF6E">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6B895C8B">
            <w:pPr>
              <w:widowControl/>
              <w:jc w:val="center"/>
              <w:textAlignment w:val="center"/>
              <w:rPr>
                <w:rFonts w:ascii="宋体" w:hAnsi="宋体" w:eastAsia="宋体" w:cs="Times New Roman"/>
                <w:color w:val="auto"/>
              </w:rPr>
            </w:pPr>
            <w:r>
              <w:rPr>
                <w:rFonts w:ascii="宋体" w:hAnsi="宋体" w:eastAsia="宋体" w:cs="Times New Roman"/>
                <w:color w:val="auto"/>
                <w:lang w:bidi="ar"/>
              </w:rPr>
              <w:t>协力屯</w:t>
            </w:r>
          </w:p>
        </w:tc>
        <w:tc>
          <w:tcPr>
            <w:tcW w:w="1006" w:type="dxa"/>
            <w:tcBorders>
              <w:top w:val="single" w:color="auto" w:sz="4" w:space="0"/>
              <w:bottom w:val="single" w:color="auto" w:sz="4" w:space="0"/>
              <w:tl2br w:val="nil"/>
              <w:tr2bl w:val="nil"/>
            </w:tcBorders>
            <w:vAlign w:val="center"/>
          </w:tcPr>
          <w:p w14:paraId="0FB03BAE">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76EE4D5C">
            <w:pPr>
              <w:widowControl/>
              <w:jc w:val="center"/>
              <w:textAlignment w:val="center"/>
              <w:rPr>
                <w:rFonts w:ascii="宋体" w:hAnsi="宋体" w:eastAsia="宋体" w:cs="Times New Roman"/>
                <w:color w:val="auto"/>
              </w:rPr>
            </w:pPr>
            <w:r>
              <w:rPr>
                <w:rFonts w:ascii="宋体" w:hAnsi="宋体" w:eastAsia="宋体" w:cs="Times New Roman"/>
                <w:color w:val="auto"/>
                <w:lang w:bidi="ar"/>
              </w:rPr>
              <w:t>0.00319</w:t>
            </w:r>
          </w:p>
        </w:tc>
        <w:tc>
          <w:tcPr>
            <w:tcW w:w="1268" w:type="dxa"/>
            <w:tcBorders>
              <w:top w:val="single" w:color="auto" w:sz="4" w:space="0"/>
              <w:bottom w:val="single" w:color="auto" w:sz="4" w:space="0"/>
              <w:tl2br w:val="nil"/>
              <w:tr2bl w:val="nil"/>
            </w:tcBorders>
            <w:vAlign w:val="center"/>
          </w:tcPr>
          <w:p w14:paraId="2F1AC9BE">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0.008 </w:t>
            </w:r>
          </w:p>
        </w:tc>
        <w:tc>
          <w:tcPr>
            <w:tcW w:w="1680" w:type="dxa"/>
            <w:tcBorders>
              <w:top w:val="single" w:color="auto" w:sz="4" w:space="0"/>
              <w:bottom w:val="single" w:color="auto" w:sz="4" w:space="0"/>
              <w:tl2br w:val="nil"/>
              <w:tr2bl w:val="nil"/>
            </w:tcBorders>
            <w:vAlign w:val="center"/>
          </w:tcPr>
          <w:p w14:paraId="31BA59A9">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777BC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97E9FC5">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79C41FC8">
            <w:pPr>
              <w:widowControl/>
              <w:jc w:val="center"/>
              <w:textAlignment w:val="center"/>
              <w:rPr>
                <w:rFonts w:ascii="宋体" w:hAnsi="宋体" w:eastAsia="宋体" w:cs="Times New Roman"/>
                <w:color w:val="auto"/>
              </w:rPr>
            </w:pPr>
            <w:r>
              <w:rPr>
                <w:rFonts w:ascii="宋体" w:hAnsi="宋体" w:eastAsia="宋体" w:cs="Times New Roman"/>
                <w:color w:val="auto"/>
                <w:lang w:bidi="ar"/>
              </w:rPr>
              <w:t>大三马架</w:t>
            </w:r>
          </w:p>
        </w:tc>
        <w:tc>
          <w:tcPr>
            <w:tcW w:w="1006" w:type="dxa"/>
            <w:tcBorders>
              <w:top w:val="single" w:color="auto" w:sz="4" w:space="0"/>
              <w:bottom w:val="single" w:color="auto" w:sz="4" w:space="0"/>
              <w:tl2br w:val="nil"/>
              <w:tr2bl w:val="nil"/>
            </w:tcBorders>
            <w:vAlign w:val="center"/>
          </w:tcPr>
          <w:p w14:paraId="740425FA">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5E31DE6E">
            <w:pPr>
              <w:widowControl/>
              <w:jc w:val="center"/>
              <w:textAlignment w:val="center"/>
              <w:rPr>
                <w:rFonts w:ascii="宋体" w:hAnsi="宋体" w:eastAsia="宋体" w:cs="Times New Roman"/>
                <w:color w:val="auto"/>
              </w:rPr>
            </w:pPr>
            <w:r>
              <w:rPr>
                <w:rFonts w:ascii="宋体" w:hAnsi="宋体" w:eastAsia="宋体" w:cs="Times New Roman"/>
                <w:color w:val="auto"/>
                <w:lang w:bidi="ar"/>
              </w:rPr>
              <w:t>0.0025</w:t>
            </w:r>
          </w:p>
        </w:tc>
        <w:tc>
          <w:tcPr>
            <w:tcW w:w="1268" w:type="dxa"/>
            <w:tcBorders>
              <w:top w:val="single" w:color="auto" w:sz="4" w:space="0"/>
              <w:bottom w:val="single" w:color="auto" w:sz="4" w:space="0"/>
              <w:tl2br w:val="nil"/>
              <w:tr2bl w:val="nil"/>
            </w:tcBorders>
            <w:vAlign w:val="center"/>
          </w:tcPr>
          <w:p w14:paraId="3A2F107B">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0.006 </w:t>
            </w:r>
          </w:p>
        </w:tc>
        <w:tc>
          <w:tcPr>
            <w:tcW w:w="1680" w:type="dxa"/>
            <w:tcBorders>
              <w:top w:val="single" w:color="auto" w:sz="4" w:space="0"/>
              <w:bottom w:val="single" w:color="auto" w:sz="4" w:space="0"/>
              <w:tl2br w:val="nil"/>
              <w:tr2bl w:val="nil"/>
            </w:tcBorders>
            <w:vAlign w:val="center"/>
          </w:tcPr>
          <w:p w14:paraId="3A981574">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645ED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20DC691">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45878DE7">
            <w:pPr>
              <w:widowControl/>
              <w:jc w:val="center"/>
              <w:textAlignment w:val="center"/>
              <w:rPr>
                <w:rFonts w:ascii="宋体" w:hAnsi="宋体" w:eastAsia="宋体" w:cs="Times New Roman"/>
                <w:color w:val="auto"/>
              </w:rPr>
            </w:pPr>
            <w:r>
              <w:rPr>
                <w:rFonts w:ascii="宋体" w:hAnsi="宋体" w:eastAsia="宋体" w:cs="Times New Roman"/>
                <w:color w:val="auto"/>
                <w:lang w:bidi="ar"/>
              </w:rPr>
              <w:t>东小山</w:t>
            </w:r>
          </w:p>
        </w:tc>
        <w:tc>
          <w:tcPr>
            <w:tcW w:w="1006" w:type="dxa"/>
            <w:tcBorders>
              <w:top w:val="single" w:color="auto" w:sz="4" w:space="0"/>
              <w:bottom w:val="single" w:color="auto" w:sz="4" w:space="0"/>
              <w:tl2br w:val="nil"/>
              <w:tr2bl w:val="nil"/>
            </w:tcBorders>
            <w:vAlign w:val="center"/>
          </w:tcPr>
          <w:p w14:paraId="7C5BBFF7">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66E059E5">
            <w:pPr>
              <w:widowControl/>
              <w:jc w:val="center"/>
              <w:textAlignment w:val="center"/>
              <w:rPr>
                <w:rFonts w:ascii="宋体" w:hAnsi="宋体" w:eastAsia="宋体" w:cs="Times New Roman"/>
                <w:color w:val="auto"/>
              </w:rPr>
            </w:pPr>
            <w:r>
              <w:rPr>
                <w:rFonts w:ascii="宋体" w:hAnsi="宋体" w:eastAsia="宋体" w:cs="Times New Roman"/>
                <w:color w:val="auto"/>
                <w:lang w:bidi="ar"/>
              </w:rPr>
              <w:t>0.00395</w:t>
            </w:r>
          </w:p>
        </w:tc>
        <w:tc>
          <w:tcPr>
            <w:tcW w:w="1268" w:type="dxa"/>
            <w:tcBorders>
              <w:top w:val="single" w:color="auto" w:sz="4" w:space="0"/>
              <w:bottom w:val="single" w:color="auto" w:sz="4" w:space="0"/>
              <w:tl2br w:val="nil"/>
              <w:tr2bl w:val="nil"/>
            </w:tcBorders>
            <w:vAlign w:val="center"/>
          </w:tcPr>
          <w:p w14:paraId="47E58713">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0.010 </w:t>
            </w:r>
          </w:p>
        </w:tc>
        <w:tc>
          <w:tcPr>
            <w:tcW w:w="1680" w:type="dxa"/>
            <w:tcBorders>
              <w:top w:val="single" w:color="auto" w:sz="4" w:space="0"/>
              <w:bottom w:val="single" w:color="auto" w:sz="4" w:space="0"/>
              <w:tl2br w:val="nil"/>
              <w:tr2bl w:val="nil"/>
            </w:tcBorders>
            <w:vAlign w:val="center"/>
          </w:tcPr>
          <w:p w14:paraId="4B7BB86C">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063FA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64C6ED1">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D4421EA">
            <w:pPr>
              <w:widowControl/>
              <w:jc w:val="center"/>
              <w:textAlignment w:val="center"/>
              <w:rPr>
                <w:rFonts w:ascii="宋体" w:hAnsi="宋体" w:eastAsia="宋体" w:cs="Times New Roman"/>
                <w:color w:val="auto"/>
              </w:rPr>
            </w:pPr>
            <w:r>
              <w:rPr>
                <w:rFonts w:ascii="宋体" w:hAnsi="宋体" w:eastAsia="宋体" w:cs="Times New Roman"/>
                <w:color w:val="auto"/>
                <w:lang w:bidi="ar"/>
              </w:rPr>
              <w:t>科技屯</w:t>
            </w:r>
          </w:p>
        </w:tc>
        <w:tc>
          <w:tcPr>
            <w:tcW w:w="1006" w:type="dxa"/>
            <w:tcBorders>
              <w:top w:val="single" w:color="auto" w:sz="4" w:space="0"/>
              <w:bottom w:val="single" w:color="auto" w:sz="4" w:space="0"/>
              <w:tl2br w:val="nil"/>
              <w:tr2bl w:val="nil"/>
            </w:tcBorders>
            <w:vAlign w:val="center"/>
          </w:tcPr>
          <w:p w14:paraId="19D5ED9E">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3F09978C">
            <w:pPr>
              <w:widowControl/>
              <w:jc w:val="center"/>
              <w:textAlignment w:val="center"/>
              <w:rPr>
                <w:rFonts w:ascii="宋体" w:hAnsi="宋体" w:eastAsia="宋体" w:cs="Times New Roman"/>
                <w:color w:val="auto"/>
              </w:rPr>
            </w:pPr>
            <w:r>
              <w:rPr>
                <w:rFonts w:ascii="宋体" w:hAnsi="宋体" w:eastAsia="宋体" w:cs="Times New Roman"/>
                <w:color w:val="auto"/>
                <w:lang w:bidi="ar"/>
              </w:rPr>
              <w:t>0.00441</w:t>
            </w:r>
          </w:p>
        </w:tc>
        <w:tc>
          <w:tcPr>
            <w:tcW w:w="1268" w:type="dxa"/>
            <w:tcBorders>
              <w:top w:val="single" w:color="auto" w:sz="4" w:space="0"/>
              <w:bottom w:val="single" w:color="auto" w:sz="4" w:space="0"/>
              <w:tl2br w:val="nil"/>
              <w:tr2bl w:val="nil"/>
            </w:tcBorders>
            <w:vAlign w:val="center"/>
          </w:tcPr>
          <w:p w14:paraId="6E07A4D5">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0.011 </w:t>
            </w:r>
          </w:p>
        </w:tc>
        <w:tc>
          <w:tcPr>
            <w:tcW w:w="1680" w:type="dxa"/>
            <w:tcBorders>
              <w:top w:val="single" w:color="auto" w:sz="4" w:space="0"/>
              <w:bottom w:val="single" w:color="auto" w:sz="4" w:space="0"/>
              <w:tl2br w:val="nil"/>
              <w:tr2bl w:val="nil"/>
            </w:tcBorders>
            <w:vAlign w:val="center"/>
          </w:tcPr>
          <w:p w14:paraId="364B6A74">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21B34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53E9F491">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1583238">
            <w:pPr>
              <w:widowControl/>
              <w:jc w:val="center"/>
              <w:textAlignment w:val="center"/>
              <w:rPr>
                <w:rFonts w:ascii="宋体" w:hAnsi="宋体" w:eastAsia="宋体" w:cs="Times New Roman"/>
                <w:color w:val="auto"/>
              </w:rPr>
            </w:pPr>
            <w:r>
              <w:rPr>
                <w:rFonts w:ascii="宋体" w:hAnsi="宋体" w:eastAsia="宋体" w:cs="Times New Roman"/>
                <w:color w:val="auto"/>
                <w:lang w:bidi="ar"/>
              </w:rPr>
              <w:t>大姚屯</w:t>
            </w:r>
          </w:p>
        </w:tc>
        <w:tc>
          <w:tcPr>
            <w:tcW w:w="1006" w:type="dxa"/>
            <w:tcBorders>
              <w:top w:val="single" w:color="auto" w:sz="4" w:space="0"/>
              <w:bottom w:val="single" w:color="auto" w:sz="4" w:space="0"/>
              <w:tl2br w:val="nil"/>
              <w:tr2bl w:val="nil"/>
            </w:tcBorders>
            <w:vAlign w:val="center"/>
          </w:tcPr>
          <w:p w14:paraId="3F8B7C7D">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6533A1B2">
            <w:pPr>
              <w:widowControl/>
              <w:jc w:val="center"/>
              <w:textAlignment w:val="center"/>
              <w:rPr>
                <w:rFonts w:ascii="宋体" w:hAnsi="宋体" w:eastAsia="宋体" w:cs="Times New Roman"/>
                <w:color w:val="auto"/>
              </w:rPr>
            </w:pPr>
            <w:r>
              <w:rPr>
                <w:rFonts w:ascii="宋体" w:hAnsi="宋体" w:eastAsia="宋体" w:cs="Times New Roman"/>
                <w:color w:val="auto"/>
                <w:lang w:bidi="ar"/>
              </w:rPr>
              <w:t>0.00385</w:t>
            </w:r>
          </w:p>
        </w:tc>
        <w:tc>
          <w:tcPr>
            <w:tcW w:w="1268" w:type="dxa"/>
            <w:tcBorders>
              <w:top w:val="single" w:color="auto" w:sz="4" w:space="0"/>
              <w:bottom w:val="single" w:color="auto" w:sz="4" w:space="0"/>
              <w:tl2br w:val="nil"/>
              <w:tr2bl w:val="nil"/>
            </w:tcBorders>
            <w:vAlign w:val="center"/>
          </w:tcPr>
          <w:p w14:paraId="08CF2526">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0.010 </w:t>
            </w:r>
          </w:p>
        </w:tc>
        <w:tc>
          <w:tcPr>
            <w:tcW w:w="1680" w:type="dxa"/>
            <w:tcBorders>
              <w:top w:val="single" w:color="auto" w:sz="4" w:space="0"/>
              <w:bottom w:val="single" w:color="auto" w:sz="4" w:space="0"/>
              <w:tl2br w:val="nil"/>
              <w:tr2bl w:val="nil"/>
            </w:tcBorders>
            <w:vAlign w:val="center"/>
          </w:tcPr>
          <w:p w14:paraId="0DD0E379">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4A144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7520C029">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478CEB2">
            <w:pPr>
              <w:widowControl/>
              <w:jc w:val="center"/>
              <w:textAlignment w:val="center"/>
              <w:rPr>
                <w:rFonts w:ascii="宋体" w:hAnsi="宋体" w:eastAsia="宋体" w:cs="Times New Roman"/>
                <w:color w:val="auto"/>
              </w:rPr>
            </w:pPr>
            <w:r>
              <w:rPr>
                <w:rFonts w:ascii="宋体" w:hAnsi="宋体" w:eastAsia="宋体" w:cs="Times New Roman"/>
                <w:color w:val="auto"/>
                <w:lang w:bidi="ar"/>
              </w:rPr>
              <w:t>奎中里屯</w:t>
            </w:r>
          </w:p>
        </w:tc>
        <w:tc>
          <w:tcPr>
            <w:tcW w:w="1006" w:type="dxa"/>
            <w:tcBorders>
              <w:top w:val="single" w:color="auto" w:sz="4" w:space="0"/>
              <w:bottom w:val="single" w:color="auto" w:sz="4" w:space="0"/>
              <w:tl2br w:val="nil"/>
              <w:tr2bl w:val="nil"/>
            </w:tcBorders>
            <w:vAlign w:val="center"/>
          </w:tcPr>
          <w:p w14:paraId="299E486D">
            <w:pPr>
              <w:widowControl/>
              <w:jc w:val="center"/>
              <w:textAlignment w:val="center"/>
              <w:rPr>
                <w:rFonts w:ascii="宋体" w:hAnsi="宋体" w:eastAsia="宋体" w:cs="Times New Roman"/>
                <w:color w:val="auto"/>
              </w:rPr>
            </w:pPr>
            <w:r>
              <w:rPr>
                <w:rFonts w:ascii="宋体" w:hAnsi="宋体" w:eastAsia="宋体" w:cs="Times New Roman"/>
                <w:color w:val="auto"/>
              </w:rPr>
              <w:t>年均值</w:t>
            </w:r>
          </w:p>
        </w:tc>
        <w:tc>
          <w:tcPr>
            <w:tcW w:w="1765" w:type="dxa"/>
            <w:tcBorders>
              <w:top w:val="single" w:color="auto" w:sz="4" w:space="0"/>
              <w:bottom w:val="single" w:color="auto" w:sz="4" w:space="0"/>
              <w:tl2br w:val="nil"/>
              <w:tr2bl w:val="nil"/>
            </w:tcBorders>
            <w:vAlign w:val="center"/>
          </w:tcPr>
          <w:p w14:paraId="384D3532">
            <w:pPr>
              <w:widowControl/>
              <w:jc w:val="center"/>
              <w:textAlignment w:val="center"/>
              <w:rPr>
                <w:rFonts w:ascii="宋体" w:hAnsi="宋体" w:eastAsia="宋体" w:cs="Times New Roman"/>
                <w:color w:val="auto"/>
              </w:rPr>
            </w:pPr>
            <w:r>
              <w:rPr>
                <w:rFonts w:ascii="宋体" w:hAnsi="宋体" w:eastAsia="宋体" w:cs="Times New Roman"/>
                <w:color w:val="auto"/>
                <w:lang w:bidi="ar"/>
              </w:rPr>
              <w:t>0.01618</w:t>
            </w:r>
          </w:p>
        </w:tc>
        <w:tc>
          <w:tcPr>
            <w:tcW w:w="1268" w:type="dxa"/>
            <w:tcBorders>
              <w:top w:val="single" w:color="auto" w:sz="4" w:space="0"/>
              <w:bottom w:val="single" w:color="auto" w:sz="4" w:space="0"/>
              <w:tl2br w:val="nil"/>
              <w:tr2bl w:val="nil"/>
            </w:tcBorders>
            <w:vAlign w:val="center"/>
          </w:tcPr>
          <w:p w14:paraId="04FE9077">
            <w:pPr>
              <w:widowControl/>
              <w:jc w:val="center"/>
              <w:textAlignment w:val="center"/>
              <w:rPr>
                <w:rFonts w:ascii="宋体" w:hAnsi="宋体" w:eastAsia="宋体" w:cs="Times New Roman"/>
                <w:color w:val="auto"/>
              </w:rPr>
            </w:pPr>
            <w:r>
              <w:rPr>
                <w:rFonts w:ascii="宋体" w:hAnsi="宋体" w:eastAsia="宋体" w:cs="Times New Roman"/>
                <w:color w:val="auto"/>
                <w:lang w:bidi="ar"/>
              </w:rPr>
              <w:t xml:space="preserve">0.040 </w:t>
            </w:r>
          </w:p>
        </w:tc>
        <w:tc>
          <w:tcPr>
            <w:tcW w:w="1680" w:type="dxa"/>
            <w:tcBorders>
              <w:top w:val="single" w:color="auto" w:sz="4" w:space="0"/>
              <w:bottom w:val="single" w:color="auto" w:sz="4" w:space="0"/>
              <w:tl2br w:val="nil"/>
              <w:tr2bl w:val="nil"/>
            </w:tcBorders>
            <w:vAlign w:val="center"/>
          </w:tcPr>
          <w:p w14:paraId="34F8DBC7">
            <w:pPr>
              <w:spacing w:line="320" w:lineRule="exact"/>
              <w:jc w:val="center"/>
              <w:rPr>
                <w:rFonts w:ascii="宋体" w:hAnsi="宋体" w:eastAsia="宋体" w:cs="Times New Roman"/>
                <w:color w:val="auto"/>
              </w:rPr>
            </w:pPr>
            <w:r>
              <w:rPr>
                <w:rFonts w:ascii="宋体" w:hAnsi="宋体" w:eastAsia="宋体" w:cs="Times New Roman"/>
                <w:color w:val="auto"/>
                <w:lang w:bidi="ar"/>
              </w:rPr>
              <w:t>≤30%达标</w:t>
            </w:r>
          </w:p>
        </w:tc>
      </w:tr>
      <w:tr w14:paraId="4C7AD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6864982">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68BEB77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李彦和屯</w:t>
            </w:r>
          </w:p>
        </w:tc>
        <w:tc>
          <w:tcPr>
            <w:tcW w:w="1006" w:type="dxa"/>
            <w:tcBorders>
              <w:top w:val="single" w:color="auto" w:sz="4" w:space="0"/>
              <w:bottom w:val="single" w:color="auto" w:sz="4" w:space="0"/>
              <w:tl2br w:val="nil"/>
              <w:tr2bl w:val="nil"/>
            </w:tcBorders>
            <w:vAlign w:val="center"/>
          </w:tcPr>
          <w:p w14:paraId="77908B9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7F4837B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2.01298</w:t>
            </w:r>
          </w:p>
        </w:tc>
        <w:tc>
          <w:tcPr>
            <w:tcW w:w="1268" w:type="dxa"/>
            <w:tcBorders>
              <w:top w:val="single" w:color="auto" w:sz="4" w:space="0"/>
              <w:bottom w:val="single" w:color="auto" w:sz="4" w:space="0"/>
              <w:tl2br w:val="nil"/>
              <w:tr2bl w:val="nil"/>
            </w:tcBorders>
            <w:vAlign w:val="center"/>
          </w:tcPr>
          <w:p w14:paraId="108F085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1.006 </w:t>
            </w:r>
          </w:p>
        </w:tc>
        <w:tc>
          <w:tcPr>
            <w:tcW w:w="1680" w:type="dxa"/>
            <w:tcBorders>
              <w:top w:val="single" w:color="auto" w:sz="4" w:space="0"/>
              <w:bottom w:val="single" w:color="auto" w:sz="4" w:space="0"/>
              <w:tl2br w:val="nil"/>
              <w:tr2bl w:val="nil"/>
            </w:tcBorders>
            <w:vAlign w:val="center"/>
          </w:tcPr>
          <w:p w14:paraId="5A3F610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9293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09916A4">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2C0664E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华南屯</w:t>
            </w:r>
          </w:p>
        </w:tc>
        <w:tc>
          <w:tcPr>
            <w:tcW w:w="1006" w:type="dxa"/>
            <w:tcBorders>
              <w:top w:val="single" w:color="auto" w:sz="4" w:space="0"/>
              <w:bottom w:val="single" w:color="auto" w:sz="4" w:space="0"/>
              <w:tl2br w:val="nil"/>
              <w:tr2bl w:val="nil"/>
            </w:tcBorders>
            <w:vAlign w:val="center"/>
          </w:tcPr>
          <w:p w14:paraId="0C59A4C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6613E66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2.00782</w:t>
            </w:r>
          </w:p>
        </w:tc>
        <w:tc>
          <w:tcPr>
            <w:tcW w:w="1268" w:type="dxa"/>
            <w:tcBorders>
              <w:top w:val="single" w:color="auto" w:sz="4" w:space="0"/>
              <w:bottom w:val="single" w:color="auto" w:sz="4" w:space="0"/>
              <w:tl2br w:val="nil"/>
              <w:tr2bl w:val="nil"/>
            </w:tcBorders>
            <w:vAlign w:val="center"/>
          </w:tcPr>
          <w:p w14:paraId="247AAB0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1.004 </w:t>
            </w:r>
          </w:p>
        </w:tc>
        <w:tc>
          <w:tcPr>
            <w:tcW w:w="1680" w:type="dxa"/>
            <w:tcBorders>
              <w:top w:val="single" w:color="auto" w:sz="4" w:space="0"/>
              <w:bottom w:val="single" w:color="auto" w:sz="4" w:space="0"/>
              <w:tl2br w:val="nil"/>
              <w:tr2bl w:val="nil"/>
            </w:tcBorders>
            <w:vAlign w:val="center"/>
          </w:tcPr>
          <w:p w14:paraId="1100DCF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34E3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E442841">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47C93DD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小欧力马屯</w:t>
            </w:r>
          </w:p>
        </w:tc>
        <w:tc>
          <w:tcPr>
            <w:tcW w:w="1006" w:type="dxa"/>
            <w:tcBorders>
              <w:top w:val="single" w:color="auto" w:sz="4" w:space="0"/>
              <w:bottom w:val="single" w:color="auto" w:sz="4" w:space="0"/>
              <w:tl2br w:val="nil"/>
              <w:tr2bl w:val="nil"/>
            </w:tcBorders>
            <w:vAlign w:val="center"/>
          </w:tcPr>
          <w:p w14:paraId="0E57826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4E31B26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2.51689</w:t>
            </w:r>
          </w:p>
        </w:tc>
        <w:tc>
          <w:tcPr>
            <w:tcW w:w="1268" w:type="dxa"/>
            <w:tcBorders>
              <w:top w:val="single" w:color="auto" w:sz="4" w:space="0"/>
              <w:bottom w:val="single" w:color="auto" w:sz="4" w:space="0"/>
              <w:tl2br w:val="nil"/>
              <w:tr2bl w:val="nil"/>
            </w:tcBorders>
            <w:vAlign w:val="center"/>
          </w:tcPr>
          <w:p w14:paraId="6397151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1.258 </w:t>
            </w:r>
          </w:p>
        </w:tc>
        <w:tc>
          <w:tcPr>
            <w:tcW w:w="1680" w:type="dxa"/>
            <w:tcBorders>
              <w:top w:val="single" w:color="auto" w:sz="4" w:space="0"/>
              <w:bottom w:val="single" w:color="auto" w:sz="4" w:space="0"/>
              <w:tl2br w:val="nil"/>
              <w:tr2bl w:val="nil"/>
            </w:tcBorders>
            <w:vAlign w:val="center"/>
          </w:tcPr>
          <w:p w14:paraId="3610886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B20C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5A985C30">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22158CD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立功村</w:t>
            </w:r>
          </w:p>
        </w:tc>
        <w:tc>
          <w:tcPr>
            <w:tcW w:w="1006" w:type="dxa"/>
            <w:tcBorders>
              <w:top w:val="single" w:color="auto" w:sz="4" w:space="0"/>
              <w:bottom w:val="single" w:color="auto" w:sz="4" w:space="0"/>
              <w:tl2br w:val="nil"/>
              <w:tr2bl w:val="nil"/>
            </w:tcBorders>
            <w:vAlign w:val="center"/>
          </w:tcPr>
          <w:p w14:paraId="2FC98B3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61EEBF2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2.73772</w:t>
            </w:r>
          </w:p>
        </w:tc>
        <w:tc>
          <w:tcPr>
            <w:tcW w:w="1268" w:type="dxa"/>
            <w:tcBorders>
              <w:top w:val="single" w:color="auto" w:sz="4" w:space="0"/>
              <w:bottom w:val="single" w:color="auto" w:sz="4" w:space="0"/>
              <w:tl2br w:val="nil"/>
              <w:tr2bl w:val="nil"/>
            </w:tcBorders>
            <w:vAlign w:val="center"/>
          </w:tcPr>
          <w:p w14:paraId="1F27426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1.369 </w:t>
            </w:r>
          </w:p>
        </w:tc>
        <w:tc>
          <w:tcPr>
            <w:tcW w:w="1680" w:type="dxa"/>
            <w:tcBorders>
              <w:top w:val="single" w:color="auto" w:sz="4" w:space="0"/>
              <w:bottom w:val="single" w:color="auto" w:sz="4" w:space="0"/>
              <w:tl2br w:val="nil"/>
              <w:tr2bl w:val="nil"/>
            </w:tcBorders>
            <w:vAlign w:val="center"/>
          </w:tcPr>
          <w:p w14:paraId="402A8AE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9CE5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74108AA9">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39A4691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后欧力马屯</w:t>
            </w:r>
          </w:p>
        </w:tc>
        <w:tc>
          <w:tcPr>
            <w:tcW w:w="1006" w:type="dxa"/>
            <w:tcBorders>
              <w:top w:val="single" w:color="auto" w:sz="4" w:space="0"/>
              <w:bottom w:val="single" w:color="auto" w:sz="4" w:space="0"/>
              <w:tl2br w:val="nil"/>
              <w:tr2bl w:val="nil"/>
            </w:tcBorders>
            <w:vAlign w:val="center"/>
          </w:tcPr>
          <w:p w14:paraId="736035D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4CFEC34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5.60994</w:t>
            </w:r>
          </w:p>
        </w:tc>
        <w:tc>
          <w:tcPr>
            <w:tcW w:w="1268" w:type="dxa"/>
            <w:tcBorders>
              <w:top w:val="single" w:color="auto" w:sz="4" w:space="0"/>
              <w:bottom w:val="single" w:color="auto" w:sz="4" w:space="0"/>
              <w:tl2br w:val="nil"/>
              <w:tr2bl w:val="nil"/>
            </w:tcBorders>
            <w:vAlign w:val="center"/>
          </w:tcPr>
          <w:p w14:paraId="6495BDE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2.805 </w:t>
            </w:r>
          </w:p>
        </w:tc>
        <w:tc>
          <w:tcPr>
            <w:tcW w:w="1680" w:type="dxa"/>
            <w:tcBorders>
              <w:top w:val="single" w:color="auto" w:sz="4" w:space="0"/>
              <w:bottom w:val="single" w:color="auto" w:sz="4" w:space="0"/>
              <w:tl2br w:val="nil"/>
              <w:tr2bl w:val="nil"/>
            </w:tcBorders>
            <w:vAlign w:val="center"/>
          </w:tcPr>
          <w:p w14:paraId="5FA220B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8C0C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CFB1ACD">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383FEA8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王家园子屯</w:t>
            </w:r>
          </w:p>
        </w:tc>
        <w:tc>
          <w:tcPr>
            <w:tcW w:w="1006" w:type="dxa"/>
            <w:tcBorders>
              <w:top w:val="single" w:color="auto" w:sz="4" w:space="0"/>
              <w:bottom w:val="single" w:color="auto" w:sz="4" w:space="0"/>
              <w:tl2br w:val="nil"/>
              <w:tr2bl w:val="nil"/>
            </w:tcBorders>
            <w:vAlign w:val="center"/>
          </w:tcPr>
          <w:p w14:paraId="07156F3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5C58B54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2.65281</w:t>
            </w:r>
          </w:p>
        </w:tc>
        <w:tc>
          <w:tcPr>
            <w:tcW w:w="1268" w:type="dxa"/>
            <w:tcBorders>
              <w:top w:val="single" w:color="auto" w:sz="4" w:space="0"/>
              <w:bottom w:val="single" w:color="auto" w:sz="4" w:space="0"/>
              <w:tl2br w:val="nil"/>
              <w:tr2bl w:val="nil"/>
            </w:tcBorders>
            <w:vAlign w:val="center"/>
          </w:tcPr>
          <w:p w14:paraId="52300B6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1.326 </w:t>
            </w:r>
          </w:p>
        </w:tc>
        <w:tc>
          <w:tcPr>
            <w:tcW w:w="1680" w:type="dxa"/>
            <w:tcBorders>
              <w:top w:val="single" w:color="auto" w:sz="4" w:space="0"/>
              <w:bottom w:val="single" w:color="auto" w:sz="4" w:space="0"/>
              <w:tl2br w:val="nil"/>
              <w:tr2bl w:val="nil"/>
            </w:tcBorders>
            <w:vAlign w:val="center"/>
          </w:tcPr>
          <w:p w14:paraId="18329D1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A5C0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47423EED">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374DA6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和平乡</w:t>
            </w:r>
          </w:p>
        </w:tc>
        <w:tc>
          <w:tcPr>
            <w:tcW w:w="1006" w:type="dxa"/>
            <w:tcBorders>
              <w:top w:val="single" w:color="auto" w:sz="4" w:space="0"/>
              <w:bottom w:val="single" w:color="auto" w:sz="4" w:space="0"/>
              <w:tl2br w:val="nil"/>
              <w:tr2bl w:val="nil"/>
            </w:tcBorders>
            <w:vAlign w:val="center"/>
          </w:tcPr>
          <w:p w14:paraId="44EC304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34052C3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1.70625</w:t>
            </w:r>
          </w:p>
        </w:tc>
        <w:tc>
          <w:tcPr>
            <w:tcW w:w="1268" w:type="dxa"/>
            <w:tcBorders>
              <w:top w:val="single" w:color="auto" w:sz="4" w:space="0"/>
              <w:bottom w:val="single" w:color="auto" w:sz="4" w:space="0"/>
              <w:tl2br w:val="nil"/>
              <w:tr2bl w:val="nil"/>
            </w:tcBorders>
            <w:vAlign w:val="center"/>
          </w:tcPr>
          <w:p w14:paraId="457D658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0.853 </w:t>
            </w:r>
          </w:p>
        </w:tc>
        <w:tc>
          <w:tcPr>
            <w:tcW w:w="1680" w:type="dxa"/>
            <w:tcBorders>
              <w:top w:val="single" w:color="auto" w:sz="4" w:space="0"/>
              <w:bottom w:val="single" w:color="auto" w:sz="4" w:space="0"/>
              <w:tl2br w:val="nil"/>
              <w:tr2bl w:val="nil"/>
            </w:tcBorders>
            <w:vAlign w:val="center"/>
          </w:tcPr>
          <w:p w14:paraId="76AD1DC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2145E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7D4F724">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701A06B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赵家围子屯</w:t>
            </w:r>
          </w:p>
        </w:tc>
        <w:tc>
          <w:tcPr>
            <w:tcW w:w="1006" w:type="dxa"/>
            <w:tcBorders>
              <w:top w:val="single" w:color="auto" w:sz="4" w:space="0"/>
              <w:bottom w:val="single" w:color="auto" w:sz="4" w:space="0"/>
              <w:tl2br w:val="nil"/>
              <w:tr2bl w:val="nil"/>
            </w:tcBorders>
            <w:vAlign w:val="center"/>
          </w:tcPr>
          <w:p w14:paraId="318107E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3E1A00C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3.58531</w:t>
            </w:r>
          </w:p>
        </w:tc>
        <w:tc>
          <w:tcPr>
            <w:tcW w:w="1268" w:type="dxa"/>
            <w:tcBorders>
              <w:top w:val="single" w:color="auto" w:sz="4" w:space="0"/>
              <w:bottom w:val="single" w:color="auto" w:sz="4" w:space="0"/>
              <w:tl2br w:val="nil"/>
              <w:tr2bl w:val="nil"/>
            </w:tcBorders>
            <w:vAlign w:val="center"/>
          </w:tcPr>
          <w:p w14:paraId="069C27B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1.793 </w:t>
            </w:r>
          </w:p>
        </w:tc>
        <w:tc>
          <w:tcPr>
            <w:tcW w:w="1680" w:type="dxa"/>
            <w:tcBorders>
              <w:top w:val="single" w:color="auto" w:sz="4" w:space="0"/>
              <w:bottom w:val="single" w:color="auto" w:sz="4" w:space="0"/>
              <w:tl2br w:val="nil"/>
              <w:tr2bl w:val="nil"/>
            </w:tcBorders>
            <w:vAlign w:val="center"/>
          </w:tcPr>
          <w:p w14:paraId="2FAD2A8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A350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11FF91FB">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48FF77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孙家围子屯</w:t>
            </w:r>
          </w:p>
        </w:tc>
        <w:tc>
          <w:tcPr>
            <w:tcW w:w="1006" w:type="dxa"/>
            <w:tcBorders>
              <w:top w:val="single" w:color="auto" w:sz="4" w:space="0"/>
              <w:bottom w:val="single" w:color="auto" w:sz="4" w:space="0"/>
              <w:tl2br w:val="nil"/>
              <w:tr2bl w:val="nil"/>
            </w:tcBorders>
            <w:vAlign w:val="center"/>
          </w:tcPr>
          <w:p w14:paraId="721478C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166B26A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3.13821</w:t>
            </w:r>
          </w:p>
        </w:tc>
        <w:tc>
          <w:tcPr>
            <w:tcW w:w="1268" w:type="dxa"/>
            <w:tcBorders>
              <w:top w:val="single" w:color="auto" w:sz="4" w:space="0"/>
              <w:bottom w:val="single" w:color="auto" w:sz="4" w:space="0"/>
              <w:tl2br w:val="nil"/>
              <w:tr2bl w:val="nil"/>
            </w:tcBorders>
            <w:vAlign w:val="center"/>
          </w:tcPr>
          <w:p w14:paraId="27B6373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1.569 </w:t>
            </w:r>
          </w:p>
        </w:tc>
        <w:tc>
          <w:tcPr>
            <w:tcW w:w="1680" w:type="dxa"/>
            <w:tcBorders>
              <w:top w:val="single" w:color="auto" w:sz="4" w:space="0"/>
              <w:bottom w:val="single" w:color="auto" w:sz="4" w:space="0"/>
              <w:tl2br w:val="nil"/>
              <w:tr2bl w:val="nil"/>
            </w:tcBorders>
            <w:vAlign w:val="center"/>
          </w:tcPr>
          <w:p w14:paraId="147150C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E252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3FA77156">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5B3C16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对青岗子屯</w:t>
            </w:r>
          </w:p>
        </w:tc>
        <w:tc>
          <w:tcPr>
            <w:tcW w:w="1006" w:type="dxa"/>
            <w:tcBorders>
              <w:top w:val="single" w:color="auto" w:sz="4" w:space="0"/>
              <w:bottom w:val="single" w:color="auto" w:sz="4" w:space="0"/>
              <w:tl2br w:val="nil"/>
              <w:tr2bl w:val="nil"/>
            </w:tcBorders>
            <w:vAlign w:val="center"/>
          </w:tcPr>
          <w:p w14:paraId="2C0EE84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52F2BD0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2.73942</w:t>
            </w:r>
          </w:p>
        </w:tc>
        <w:tc>
          <w:tcPr>
            <w:tcW w:w="1268" w:type="dxa"/>
            <w:tcBorders>
              <w:top w:val="single" w:color="auto" w:sz="4" w:space="0"/>
              <w:bottom w:val="single" w:color="auto" w:sz="4" w:space="0"/>
              <w:tl2br w:val="nil"/>
              <w:tr2bl w:val="nil"/>
            </w:tcBorders>
            <w:vAlign w:val="center"/>
          </w:tcPr>
          <w:p w14:paraId="454B3E7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1.370 </w:t>
            </w:r>
          </w:p>
        </w:tc>
        <w:tc>
          <w:tcPr>
            <w:tcW w:w="1680" w:type="dxa"/>
            <w:tcBorders>
              <w:top w:val="single" w:color="auto" w:sz="4" w:space="0"/>
              <w:bottom w:val="single" w:color="auto" w:sz="4" w:space="0"/>
              <w:tl2br w:val="nil"/>
              <w:tr2bl w:val="nil"/>
            </w:tcBorders>
            <w:vAlign w:val="center"/>
          </w:tcPr>
          <w:p w14:paraId="72A9260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0522F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5214C287">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177A0C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蒙古屯</w:t>
            </w:r>
          </w:p>
        </w:tc>
        <w:tc>
          <w:tcPr>
            <w:tcW w:w="1006" w:type="dxa"/>
            <w:tcBorders>
              <w:top w:val="single" w:color="auto" w:sz="4" w:space="0"/>
              <w:bottom w:val="single" w:color="auto" w:sz="4" w:space="0"/>
              <w:tl2br w:val="nil"/>
              <w:tr2bl w:val="nil"/>
            </w:tcBorders>
            <w:vAlign w:val="center"/>
          </w:tcPr>
          <w:p w14:paraId="656046D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398B723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1.75399</w:t>
            </w:r>
          </w:p>
        </w:tc>
        <w:tc>
          <w:tcPr>
            <w:tcW w:w="1268" w:type="dxa"/>
            <w:tcBorders>
              <w:top w:val="single" w:color="auto" w:sz="4" w:space="0"/>
              <w:bottom w:val="single" w:color="auto" w:sz="4" w:space="0"/>
              <w:tl2br w:val="nil"/>
              <w:tr2bl w:val="nil"/>
            </w:tcBorders>
            <w:vAlign w:val="center"/>
          </w:tcPr>
          <w:p w14:paraId="35A881F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0.877 </w:t>
            </w:r>
          </w:p>
        </w:tc>
        <w:tc>
          <w:tcPr>
            <w:tcW w:w="1680" w:type="dxa"/>
            <w:tcBorders>
              <w:top w:val="single" w:color="auto" w:sz="4" w:space="0"/>
              <w:bottom w:val="single" w:color="auto" w:sz="4" w:space="0"/>
              <w:tl2br w:val="nil"/>
              <w:tr2bl w:val="nil"/>
            </w:tcBorders>
            <w:vAlign w:val="center"/>
          </w:tcPr>
          <w:p w14:paraId="1C8DC09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168B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8FCF042">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A99CC0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四方山屯</w:t>
            </w:r>
          </w:p>
        </w:tc>
        <w:tc>
          <w:tcPr>
            <w:tcW w:w="1006" w:type="dxa"/>
            <w:tcBorders>
              <w:top w:val="single" w:color="auto" w:sz="4" w:space="0"/>
              <w:bottom w:val="single" w:color="auto" w:sz="4" w:space="0"/>
              <w:tl2br w:val="nil"/>
              <w:tr2bl w:val="nil"/>
            </w:tcBorders>
            <w:vAlign w:val="center"/>
          </w:tcPr>
          <w:p w14:paraId="4934D6E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0B26064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1.0378</w:t>
            </w:r>
          </w:p>
        </w:tc>
        <w:tc>
          <w:tcPr>
            <w:tcW w:w="1268" w:type="dxa"/>
            <w:tcBorders>
              <w:top w:val="single" w:color="auto" w:sz="4" w:space="0"/>
              <w:bottom w:val="single" w:color="auto" w:sz="4" w:space="0"/>
              <w:tl2br w:val="nil"/>
              <w:tr2bl w:val="nil"/>
            </w:tcBorders>
            <w:vAlign w:val="center"/>
          </w:tcPr>
          <w:p w14:paraId="4CCBDD3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0.519 </w:t>
            </w:r>
          </w:p>
        </w:tc>
        <w:tc>
          <w:tcPr>
            <w:tcW w:w="1680" w:type="dxa"/>
            <w:tcBorders>
              <w:top w:val="single" w:color="auto" w:sz="4" w:space="0"/>
              <w:bottom w:val="single" w:color="auto" w:sz="4" w:space="0"/>
              <w:tl2br w:val="nil"/>
              <w:tr2bl w:val="nil"/>
            </w:tcBorders>
            <w:vAlign w:val="center"/>
          </w:tcPr>
          <w:p w14:paraId="43F321E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01521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A1B8C00">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DD68A3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小东屯</w:t>
            </w:r>
          </w:p>
        </w:tc>
        <w:tc>
          <w:tcPr>
            <w:tcW w:w="1006" w:type="dxa"/>
            <w:tcBorders>
              <w:top w:val="single" w:color="auto" w:sz="4" w:space="0"/>
              <w:bottom w:val="single" w:color="auto" w:sz="4" w:space="0"/>
              <w:tl2br w:val="nil"/>
              <w:tr2bl w:val="nil"/>
            </w:tcBorders>
            <w:vAlign w:val="center"/>
          </w:tcPr>
          <w:p w14:paraId="0A81D60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31FD515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0.90487</w:t>
            </w:r>
          </w:p>
        </w:tc>
        <w:tc>
          <w:tcPr>
            <w:tcW w:w="1268" w:type="dxa"/>
            <w:tcBorders>
              <w:top w:val="single" w:color="auto" w:sz="4" w:space="0"/>
              <w:bottom w:val="single" w:color="auto" w:sz="4" w:space="0"/>
              <w:tl2br w:val="nil"/>
              <w:tr2bl w:val="nil"/>
            </w:tcBorders>
            <w:vAlign w:val="center"/>
          </w:tcPr>
          <w:p w14:paraId="5E256AC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0.452 </w:t>
            </w:r>
          </w:p>
        </w:tc>
        <w:tc>
          <w:tcPr>
            <w:tcW w:w="1680" w:type="dxa"/>
            <w:tcBorders>
              <w:top w:val="single" w:color="auto" w:sz="4" w:space="0"/>
              <w:bottom w:val="single" w:color="auto" w:sz="4" w:space="0"/>
              <w:tl2br w:val="nil"/>
              <w:tr2bl w:val="nil"/>
            </w:tcBorders>
            <w:vAlign w:val="center"/>
          </w:tcPr>
          <w:p w14:paraId="5C7EA37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24D15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450FA059">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3874FC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东兴村</w:t>
            </w:r>
          </w:p>
        </w:tc>
        <w:tc>
          <w:tcPr>
            <w:tcW w:w="1006" w:type="dxa"/>
            <w:tcBorders>
              <w:top w:val="single" w:color="auto" w:sz="4" w:space="0"/>
              <w:bottom w:val="single" w:color="auto" w:sz="4" w:space="0"/>
              <w:tl2br w:val="nil"/>
              <w:tr2bl w:val="nil"/>
            </w:tcBorders>
            <w:vAlign w:val="center"/>
          </w:tcPr>
          <w:p w14:paraId="790D25C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086EB62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0.85183</w:t>
            </w:r>
          </w:p>
        </w:tc>
        <w:tc>
          <w:tcPr>
            <w:tcW w:w="1268" w:type="dxa"/>
            <w:tcBorders>
              <w:top w:val="single" w:color="auto" w:sz="4" w:space="0"/>
              <w:bottom w:val="single" w:color="auto" w:sz="4" w:space="0"/>
              <w:tl2br w:val="nil"/>
              <w:tr2bl w:val="nil"/>
            </w:tcBorders>
            <w:vAlign w:val="center"/>
          </w:tcPr>
          <w:p w14:paraId="1A4FE4C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0.426 </w:t>
            </w:r>
          </w:p>
        </w:tc>
        <w:tc>
          <w:tcPr>
            <w:tcW w:w="1680" w:type="dxa"/>
            <w:tcBorders>
              <w:top w:val="single" w:color="auto" w:sz="4" w:space="0"/>
              <w:bottom w:val="single" w:color="auto" w:sz="4" w:space="0"/>
              <w:tl2br w:val="nil"/>
              <w:tr2bl w:val="nil"/>
            </w:tcBorders>
            <w:vAlign w:val="center"/>
          </w:tcPr>
          <w:p w14:paraId="060910A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23575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D0C28A9">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2680A36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迟家屯</w:t>
            </w:r>
          </w:p>
        </w:tc>
        <w:tc>
          <w:tcPr>
            <w:tcW w:w="1006" w:type="dxa"/>
            <w:tcBorders>
              <w:top w:val="single" w:color="auto" w:sz="4" w:space="0"/>
              <w:bottom w:val="single" w:color="auto" w:sz="4" w:space="0"/>
              <w:tl2br w:val="nil"/>
              <w:tr2bl w:val="nil"/>
            </w:tcBorders>
            <w:vAlign w:val="center"/>
          </w:tcPr>
          <w:p w14:paraId="30096F4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74FDB30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0.82299</w:t>
            </w:r>
          </w:p>
        </w:tc>
        <w:tc>
          <w:tcPr>
            <w:tcW w:w="1268" w:type="dxa"/>
            <w:tcBorders>
              <w:top w:val="single" w:color="auto" w:sz="4" w:space="0"/>
              <w:bottom w:val="single" w:color="auto" w:sz="4" w:space="0"/>
              <w:tl2br w:val="nil"/>
              <w:tr2bl w:val="nil"/>
            </w:tcBorders>
            <w:vAlign w:val="center"/>
          </w:tcPr>
          <w:p w14:paraId="43C9158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0.411 </w:t>
            </w:r>
          </w:p>
        </w:tc>
        <w:tc>
          <w:tcPr>
            <w:tcW w:w="1680" w:type="dxa"/>
            <w:tcBorders>
              <w:top w:val="single" w:color="auto" w:sz="4" w:space="0"/>
              <w:bottom w:val="single" w:color="auto" w:sz="4" w:space="0"/>
              <w:tl2br w:val="nil"/>
              <w:tr2bl w:val="nil"/>
            </w:tcBorders>
            <w:vAlign w:val="center"/>
          </w:tcPr>
          <w:p w14:paraId="144B2F0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F811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913AA20">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32726C0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刘喜屯</w:t>
            </w:r>
          </w:p>
        </w:tc>
        <w:tc>
          <w:tcPr>
            <w:tcW w:w="1006" w:type="dxa"/>
            <w:tcBorders>
              <w:top w:val="single" w:color="auto" w:sz="4" w:space="0"/>
              <w:bottom w:val="single" w:color="auto" w:sz="4" w:space="0"/>
              <w:tl2br w:val="nil"/>
              <w:tr2bl w:val="nil"/>
            </w:tcBorders>
            <w:vAlign w:val="center"/>
          </w:tcPr>
          <w:p w14:paraId="6AA76A0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339ADFA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0.71126</w:t>
            </w:r>
          </w:p>
        </w:tc>
        <w:tc>
          <w:tcPr>
            <w:tcW w:w="1268" w:type="dxa"/>
            <w:tcBorders>
              <w:top w:val="single" w:color="auto" w:sz="4" w:space="0"/>
              <w:bottom w:val="single" w:color="auto" w:sz="4" w:space="0"/>
              <w:tl2br w:val="nil"/>
              <w:tr2bl w:val="nil"/>
            </w:tcBorders>
            <w:vAlign w:val="center"/>
          </w:tcPr>
          <w:p w14:paraId="5782554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0.356 </w:t>
            </w:r>
          </w:p>
        </w:tc>
        <w:tc>
          <w:tcPr>
            <w:tcW w:w="1680" w:type="dxa"/>
            <w:tcBorders>
              <w:top w:val="single" w:color="auto" w:sz="4" w:space="0"/>
              <w:bottom w:val="single" w:color="auto" w:sz="4" w:space="0"/>
              <w:tl2br w:val="nil"/>
              <w:tr2bl w:val="nil"/>
            </w:tcBorders>
            <w:vAlign w:val="center"/>
          </w:tcPr>
          <w:p w14:paraId="3E0EF95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2885C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75D49C49">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787C977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代龙村</w:t>
            </w:r>
          </w:p>
        </w:tc>
        <w:tc>
          <w:tcPr>
            <w:tcW w:w="1006" w:type="dxa"/>
            <w:tcBorders>
              <w:top w:val="single" w:color="auto" w:sz="4" w:space="0"/>
              <w:bottom w:val="single" w:color="auto" w:sz="4" w:space="0"/>
              <w:tl2br w:val="nil"/>
              <w:tr2bl w:val="nil"/>
            </w:tcBorders>
            <w:vAlign w:val="center"/>
          </w:tcPr>
          <w:p w14:paraId="5ECC000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53291AB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0.74495</w:t>
            </w:r>
          </w:p>
        </w:tc>
        <w:tc>
          <w:tcPr>
            <w:tcW w:w="1268" w:type="dxa"/>
            <w:tcBorders>
              <w:top w:val="single" w:color="auto" w:sz="4" w:space="0"/>
              <w:bottom w:val="single" w:color="auto" w:sz="4" w:space="0"/>
              <w:tl2br w:val="nil"/>
              <w:tr2bl w:val="nil"/>
            </w:tcBorders>
            <w:vAlign w:val="center"/>
          </w:tcPr>
          <w:p w14:paraId="6AF32EC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0.372 </w:t>
            </w:r>
          </w:p>
        </w:tc>
        <w:tc>
          <w:tcPr>
            <w:tcW w:w="1680" w:type="dxa"/>
            <w:tcBorders>
              <w:top w:val="single" w:color="auto" w:sz="4" w:space="0"/>
              <w:bottom w:val="single" w:color="auto" w:sz="4" w:space="0"/>
              <w:tl2br w:val="nil"/>
              <w:tr2bl w:val="nil"/>
            </w:tcBorders>
            <w:vAlign w:val="center"/>
          </w:tcPr>
          <w:p w14:paraId="0E56870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2E967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ECF15A6">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97E43E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肇源镇</w:t>
            </w:r>
          </w:p>
        </w:tc>
        <w:tc>
          <w:tcPr>
            <w:tcW w:w="1006" w:type="dxa"/>
            <w:tcBorders>
              <w:top w:val="single" w:color="auto" w:sz="4" w:space="0"/>
              <w:bottom w:val="single" w:color="auto" w:sz="4" w:space="0"/>
              <w:tl2br w:val="nil"/>
              <w:tr2bl w:val="nil"/>
            </w:tcBorders>
            <w:vAlign w:val="center"/>
          </w:tcPr>
          <w:p w14:paraId="5C00543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13AB33D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0.74906</w:t>
            </w:r>
          </w:p>
        </w:tc>
        <w:tc>
          <w:tcPr>
            <w:tcW w:w="1268" w:type="dxa"/>
            <w:tcBorders>
              <w:top w:val="single" w:color="auto" w:sz="4" w:space="0"/>
              <w:bottom w:val="single" w:color="auto" w:sz="4" w:space="0"/>
              <w:tl2br w:val="nil"/>
              <w:tr2bl w:val="nil"/>
            </w:tcBorders>
            <w:vAlign w:val="center"/>
          </w:tcPr>
          <w:p w14:paraId="29EFCC7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0.375 </w:t>
            </w:r>
          </w:p>
        </w:tc>
        <w:tc>
          <w:tcPr>
            <w:tcW w:w="1680" w:type="dxa"/>
            <w:tcBorders>
              <w:top w:val="single" w:color="auto" w:sz="4" w:space="0"/>
              <w:bottom w:val="single" w:color="auto" w:sz="4" w:space="0"/>
              <w:tl2br w:val="nil"/>
              <w:tr2bl w:val="nil"/>
            </w:tcBorders>
            <w:vAlign w:val="center"/>
          </w:tcPr>
          <w:p w14:paraId="6F83CE8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B3AD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5E504EFA">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49F2AC4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刘兽医屯</w:t>
            </w:r>
          </w:p>
        </w:tc>
        <w:tc>
          <w:tcPr>
            <w:tcW w:w="1006" w:type="dxa"/>
            <w:tcBorders>
              <w:top w:val="single" w:color="auto" w:sz="4" w:space="0"/>
              <w:bottom w:val="single" w:color="auto" w:sz="4" w:space="0"/>
              <w:tl2br w:val="nil"/>
              <w:tr2bl w:val="nil"/>
            </w:tcBorders>
            <w:vAlign w:val="center"/>
          </w:tcPr>
          <w:p w14:paraId="7DC8095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7E1C325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0.62111</w:t>
            </w:r>
          </w:p>
        </w:tc>
        <w:tc>
          <w:tcPr>
            <w:tcW w:w="1268" w:type="dxa"/>
            <w:tcBorders>
              <w:top w:val="single" w:color="auto" w:sz="4" w:space="0"/>
              <w:bottom w:val="single" w:color="auto" w:sz="4" w:space="0"/>
              <w:tl2br w:val="nil"/>
              <w:tr2bl w:val="nil"/>
            </w:tcBorders>
            <w:vAlign w:val="center"/>
          </w:tcPr>
          <w:p w14:paraId="1AC5041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0.311 </w:t>
            </w:r>
          </w:p>
        </w:tc>
        <w:tc>
          <w:tcPr>
            <w:tcW w:w="1680" w:type="dxa"/>
            <w:tcBorders>
              <w:top w:val="single" w:color="auto" w:sz="4" w:space="0"/>
              <w:bottom w:val="single" w:color="auto" w:sz="4" w:space="0"/>
              <w:tl2br w:val="nil"/>
              <w:tr2bl w:val="nil"/>
            </w:tcBorders>
            <w:vAlign w:val="center"/>
          </w:tcPr>
          <w:p w14:paraId="133B766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2772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4B165439">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32A9F9C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友谊村</w:t>
            </w:r>
          </w:p>
        </w:tc>
        <w:tc>
          <w:tcPr>
            <w:tcW w:w="1006" w:type="dxa"/>
            <w:tcBorders>
              <w:top w:val="single" w:color="auto" w:sz="4" w:space="0"/>
              <w:bottom w:val="single" w:color="auto" w:sz="4" w:space="0"/>
              <w:tl2br w:val="nil"/>
              <w:tr2bl w:val="nil"/>
            </w:tcBorders>
            <w:vAlign w:val="center"/>
          </w:tcPr>
          <w:p w14:paraId="3DE036C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5DA2A1A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0.58416</w:t>
            </w:r>
          </w:p>
        </w:tc>
        <w:tc>
          <w:tcPr>
            <w:tcW w:w="1268" w:type="dxa"/>
            <w:tcBorders>
              <w:top w:val="single" w:color="auto" w:sz="4" w:space="0"/>
              <w:bottom w:val="single" w:color="auto" w:sz="4" w:space="0"/>
              <w:tl2br w:val="nil"/>
              <w:tr2bl w:val="nil"/>
            </w:tcBorders>
            <w:vAlign w:val="center"/>
          </w:tcPr>
          <w:p w14:paraId="432034F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0.292 </w:t>
            </w:r>
          </w:p>
        </w:tc>
        <w:tc>
          <w:tcPr>
            <w:tcW w:w="1680" w:type="dxa"/>
            <w:tcBorders>
              <w:top w:val="single" w:color="auto" w:sz="4" w:space="0"/>
              <w:bottom w:val="single" w:color="auto" w:sz="4" w:space="0"/>
              <w:tl2br w:val="nil"/>
              <w:tr2bl w:val="nil"/>
            </w:tcBorders>
            <w:vAlign w:val="center"/>
          </w:tcPr>
          <w:p w14:paraId="459CFBD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D080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0BD2172">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2B8D13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协力屯</w:t>
            </w:r>
          </w:p>
        </w:tc>
        <w:tc>
          <w:tcPr>
            <w:tcW w:w="1006" w:type="dxa"/>
            <w:tcBorders>
              <w:top w:val="single" w:color="auto" w:sz="4" w:space="0"/>
              <w:bottom w:val="single" w:color="auto" w:sz="4" w:space="0"/>
              <w:tl2br w:val="nil"/>
              <w:tr2bl w:val="nil"/>
            </w:tcBorders>
            <w:vAlign w:val="center"/>
          </w:tcPr>
          <w:p w14:paraId="573E99F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17A5B66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0.58644</w:t>
            </w:r>
          </w:p>
        </w:tc>
        <w:tc>
          <w:tcPr>
            <w:tcW w:w="1268" w:type="dxa"/>
            <w:tcBorders>
              <w:top w:val="single" w:color="auto" w:sz="4" w:space="0"/>
              <w:bottom w:val="single" w:color="auto" w:sz="4" w:space="0"/>
              <w:tl2br w:val="nil"/>
              <w:tr2bl w:val="nil"/>
            </w:tcBorders>
            <w:vAlign w:val="center"/>
          </w:tcPr>
          <w:p w14:paraId="4B5287A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0.293 </w:t>
            </w:r>
          </w:p>
        </w:tc>
        <w:tc>
          <w:tcPr>
            <w:tcW w:w="1680" w:type="dxa"/>
            <w:tcBorders>
              <w:top w:val="single" w:color="auto" w:sz="4" w:space="0"/>
              <w:bottom w:val="single" w:color="auto" w:sz="4" w:space="0"/>
              <w:tl2br w:val="nil"/>
              <w:tr2bl w:val="nil"/>
            </w:tcBorders>
            <w:vAlign w:val="center"/>
          </w:tcPr>
          <w:p w14:paraId="382BA28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14758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3958F2D6">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2468C48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大三马架</w:t>
            </w:r>
          </w:p>
        </w:tc>
        <w:tc>
          <w:tcPr>
            <w:tcW w:w="1006" w:type="dxa"/>
            <w:tcBorders>
              <w:top w:val="single" w:color="auto" w:sz="4" w:space="0"/>
              <w:bottom w:val="single" w:color="auto" w:sz="4" w:space="0"/>
              <w:tl2br w:val="nil"/>
              <w:tr2bl w:val="nil"/>
            </w:tcBorders>
            <w:vAlign w:val="center"/>
          </w:tcPr>
          <w:p w14:paraId="6247244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5E47F0C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0.47234</w:t>
            </w:r>
          </w:p>
        </w:tc>
        <w:tc>
          <w:tcPr>
            <w:tcW w:w="1268" w:type="dxa"/>
            <w:tcBorders>
              <w:top w:val="single" w:color="auto" w:sz="4" w:space="0"/>
              <w:bottom w:val="single" w:color="auto" w:sz="4" w:space="0"/>
              <w:tl2br w:val="nil"/>
              <w:tr2bl w:val="nil"/>
            </w:tcBorders>
            <w:vAlign w:val="center"/>
          </w:tcPr>
          <w:p w14:paraId="08ED614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0.236 </w:t>
            </w:r>
          </w:p>
        </w:tc>
        <w:tc>
          <w:tcPr>
            <w:tcW w:w="1680" w:type="dxa"/>
            <w:tcBorders>
              <w:top w:val="single" w:color="auto" w:sz="4" w:space="0"/>
              <w:bottom w:val="single" w:color="auto" w:sz="4" w:space="0"/>
              <w:tl2br w:val="nil"/>
              <w:tr2bl w:val="nil"/>
            </w:tcBorders>
            <w:vAlign w:val="center"/>
          </w:tcPr>
          <w:p w14:paraId="15B9D03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972A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7B86D094">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7DFCAB2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东小山</w:t>
            </w:r>
          </w:p>
        </w:tc>
        <w:tc>
          <w:tcPr>
            <w:tcW w:w="1006" w:type="dxa"/>
            <w:tcBorders>
              <w:top w:val="single" w:color="auto" w:sz="4" w:space="0"/>
              <w:bottom w:val="single" w:color="auto" w:sz="4" w:space="0"/>
              <w:tl2br w:val="nil"/>
              <w:tr2bl w:val="nil"/>
            </w:tcBorders>
            <w:vAlign w:val="center"/>
          </w:tcPr>
          <w:p w14:paraId="613F253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4E83FA1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0.55726</w:t>
            </w:r>
          </w:p>
        </w:tc>
        <w:tc>
          <w:tcPr>
            <w:tcW w:w="1268" w:type="dxa"/>
            <w:tcBorders>
              <w:top w:val="single" w:color="auto" w:sz="4" w:space="0"/>
              <w:bottom w:val="single" w:color="auto" w:sz="4" w:space="0"/>
              <w:tl2br w:val="nil"/>
              <w:tr2bl w:val="nil"/>
            </w:tcBorders>
            <w:vAlign w:val="center"/>
          </w:tcPr>
          <w:p w14:paraId="381EEE6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0.279 </w:t>
            </w:r>
          </w:p>
        </w:tc>
        <w:tc>
          <w:tcPr>
            <w:tcW w:w="1680" w:type="dxa"/>
            <w:tcBorders>
              <w:top w:val="single" w:color="auto" w:sz="4" w:space="0"/>
              <w:bottom w:val="single" w:color="auto" w:sz="4" w:space="0"/>
              <w:tl2br w:val="nil"/>
              <w:tr2bl w:val="nil"/>
            </w:tcBorders>
            <w:vAlign w:val="center"/>
          </w:tcPr>
          <w:p w14:paraId="15AD6E7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AAD1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7EFB8610">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25301F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科技屯</w:t>
            </w:r>
          </w:p>
        </w:tc>
        <w:tc>
          <w:tcPr>
            <w:tcW w:w="1006" w:type="dxa"/>
            <w:tcBorders>
              <w:top w:val="single" w:color="auto" w:sz="4" w:space="0"/>
              <w:bottom w:val="single" w:color="auto" w:sz="4" w:space="0"/>
              <w:tl2br w:val="nil"/>
              <w:tr2bl w:val="nil"/>
            </w:tcBorders>
            <w:vAlign w:val="center"/>
          </w:tcPr>
          <w:p w14:paraId="157EEE7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418E481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0.58548</w:t>
            </w:r>
          </w:p>
        </w:tc>
        <w:tc>
          <w:tcPr>
            <w:tcW w:w="1268" w:type="dxa"/>
            <w:tcBorders>
              <w:top w:val="single" w:color="auto" w:sz="4" w:space="0"/>
              <w:bottom w:val="single" w:color="auto" w:sz="4" w:space="0"/>
              <w:tl2br w:val="nil"/>
              <w:tr2bl w:val="nil"/>
            </w:tcBorders>
            <w:vAlign w:val="center"/>
          </w:tcPr>
          <w:p w14:paraId="0A71129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0.293 </w:t>
            </w:r>
          </w:p>
        </w:tc>
        <w:tc>
          <w:tcPr>
            <w:tcW w:w="1680" w:type="dxa"/>
            <w:tcBorders>
              <w:top w:val="single" w:color="auto" w:sz="4" w:space="0"/>
              <w:bottom w:val="single" w:color="auto" w:sz="4" w:space="0"/>
              <w:tl2br w:val="nil"/>
              <w:tr2bl w:val="nil"/>
            </w:tcBorders>
            <w:vAlign w:val="center"/>
          </w:tcPr>
          <w:p w14:paraId="2EE3227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EB94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3E8ADD3A">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7055C39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大姚屯</w:t>
            </w:r>
          </w:p>
        </w:tc>
        <w:tc>
          <w:tcPr>
            <w:tcW w:w="1006" w:type="dxa"/>
            <w:tcBorders>
              <w:top w:val="single" w:color="auto" w:sz="4" w:space="0"/>
              <w:bottom w:val="single" w:color="auto" w:sz="4" w:space="0"/>
              <w:tl2br w:val="nil"/>
              <w:tr2bl w:val="nil"/>
            </w:tcBorders>
            <w:vAlign w:val="center"/>
          </w:tcPr>
          <w:p w14:paraId="253CBF8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268BC7A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0.65629</w:t>
            </w:r>
          </w:p>
        </w:tc>
        <w:tc>
          <w:tcPr>
            <w:tcW w:w="1268" w:type="dxa"/>
            <w:tcBorders>
              <w:top w:val="single" w:color="auto" w:sz="4" w:space="0"/>
              <w:bottom w:val="single" w:color="auto" w:sz="4" w:space="0"/>
              <w:tl2br w:val="nil"/>
              <w:tr2bl w:val="nil"/>
            </w:tcBorders>
            <w:vAlign w:val="center"/>
          </w:tcPr>
          <w:p w14:paraId="5B771AF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0.328 </w:t>
            </w:r>
          </w:p>
        </w:tc>
        <w:tc>
          <w:tcPr>
            <w:tcW w:w="1680" w:type="dxa"/>
            <w:tcBorders>
              <w:top w:val="single" w:color="auto" w:sz="4" w:space="0"/>
              <w:bottom w:val="single" w:color="auto" w:sz="4" w:space="0"/>
              <w:tl2br w:val="nil"/>
              <w:tr2bl w:val="nil"/>
            </w:tcBorders>
            <w:vAlign w:val="center"/>
          </w:tcPr>
          <w:p w14:paraId="0351A87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91C7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54C36854">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67864C4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奎中里屯</w:t>
            </w:r>
          </w:p>
        </w:tc>
        <w:tc>
          <w:tcPr>
            <w:tcW w:w="1006" w:type="dxa"/>
            <w:tcBorders>
              <w:top w:val="single" w:color="auto" w:sz="4" w:space="0"/>
              <w:bottom w:val="single" w:color="auto" w:sz="4" w:space="0"/>
              <w:tl2br w:val="nil"/>
              <w:tr2bl w:val="nil"/>
            </w:tcBorders>
            <w:vAlign w:val="center"/>
          </w:tcPr>
          <w:p w14:paraId="26296A5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op w:val="single" w:color="auto" w:sz="4" w:space="0"/>
              <w:bottom w:val="single" w:color="auto" w:sz="4" w:space="0"/>
              <w:tl2br w:val="nil"/>
              <w:tr2bl w:val="nil"/>
            </w:tcBorders>
            <w:vAlign w:val="center"/>
          </w:tcPr>
          <w:p w14:paraId="1DE1023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1.05935</w:t>
            </w:r>
          </w:p>
        </w:tc>
        <w:tc>
          <w:tcPr>
            <w:tcW w:w="1268" w:type="dxa"/>
            <w:tcBorders>
              <w:top w:val="single" w:color="auto" w:sz="4" w:space="0"/>
              <w:bottom w:val="single" w:color="auto" w:sz="4" w:space="0"/>
              <w:tl2br w:val="nil"/>
              <w:tr2bl w:val="nil"/>
            </w:tcBorders>
            <w:vAlign w:val="center"/>
          </w:tcPr>
          <w:p w14:paraId="5C1FC35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0.530 </w:t>
            </w:r>
          </w:p>
        </w:tc>
        <w:tc>
          <w:tcPr>
            <w:tcW w:w="1680" w:type="dxa"/>
            <w:tcBorders>
              <w:top w:val="single" w:color="auto" w:sz="4" w:space="0"/>
              <w:bottom w:val="single" w:color="auto" w:sz="4" w:space="0"/>
              <w:tl2br w:val="nil"/>
              <w:tr2bl w:val="nil"/>
            </w:tcBorders>
            <w:vAlign w:val="center"/>
          </w:tcPr>
          <w:p w14:paraId="4994B62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4BF1C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48F2239">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2208F6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吴家围子</w:t>
            </w:r>
          </w:p>
        </w:tc>
        <w:tc>
          <w:tcPr>
            <w:tcW w:w="1006" w:type="dxa"/>
            <w:tcBorders>
              <w:top w:val="single" w:color="auto" w:sz="4" w:space="0"/>
              <w:bottom w:val="single" w:color="auto" w:sz="4" w:space="0"/>
              <w:tl2br w:val="nil"/>
              <w:tr2bl w:val="nil"/>
            </w:tcBorders>
            <w:vAlign w:val="center"/>
          </w:tcPr>
          <w:p w14:paraId="362AC3E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21A9579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0.27185</w:t>
            </w:r>
          </w:p>
        </w:tc>
        <w:tc>
          <w:tcPr>
            <w:tcW w:w="1268" w:type="dxa"/>
            <w:tcBorders>
              <w:top w:val="single" w:color="auto" w:sz="4" w:space="0"/>
              <w:bottom w:val="single" w:color="auto" w:sz="4" w:space="0"/>
              <w:tl2br w:val="nil"/>
              <w:tr2bl w:val="nil"/>
            </w:tcBorders>
            <w:vAlign w:val="center"/>
          </w:tcPr>
          <w:p w14:paraId="78915BC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0.340 </w:t>
            </w:r>
          </w:p>
        </w:tc>
        <w:tc>
          <w:tcPr>
            <w:tcW w:w="1680" w:type="dxa"/>
            <w:tcBorders>
              <w:top w:val="single" w:color="auto" w:sz="4" w:space="0"/>
              <w:bottom w:val="single" w:color="auto" w:sz="4" w:space="0"/>
              <w:tl2br w:val="nil"/>
              <w:tr2bl w:val="nil"/>
            </w:tcBorders>
            <w:vAlign w:val="center"/>
          </w:tcPr>
          <w:p w14:paraId="7B7B803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3846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151E50F6">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4714B24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李彦和屯</w:t>
            </w:r>
          </w:p>
        </w:tc>
        <w:tc>
          <w:tcPr>
            <w:tcW w:w="1006" w:type="dxa"/>
            <w:tcBorders>
              <w:top w:val="single" w:color="auto" w:sz="4" w:space="0"/>
              <w:bottom w:val="single" w:color="auto" w:sz="4" w:space="0"/>
              <w:tl2br w:val="nil"/>
              <w:tr2bl w:val="nil"/>
            </w:tcBorders>
            <w:vAlign w:val="center"/>
          </w:tcPr>
          <w:p w14:paraId="0009120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7704AEF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0.39339</w:t>
            </w:r>
          </w:p>
        </w:tc>
        <w:tc>
          <w:tcPr>
            <w:tcW w:w="1268" w:type="dxa"/>
            <w:tcBorders>
              <w:top w:val="single" w:color="auto" w:sz="4" w:space="0"/>
              <w:bottom w:val="single" w:color="auto" w:sz="4" w:space="0"/>
              <w:tl2br w:val="nil"/>
              <w:tr2bl w:val="nil"/>
            </w:tcBorders>
            <w:vAlign w:val="center"/>
          </w:tcPr>
          <w:p w14:paraId="09BA1F1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0.492 </w:t>
            </w:r>
          </w:p>
        </w:tc>
        <w:tc>
          <w:tcPr>
            <w:tcW w:w="1680" w:type="dxa"/>
            <w:tcBorders>
              <w:top w:val="single" w:color="auto" w:sz="4" w:space="0"/>
              <w:bottom w:val="single" w:color="auto" w:sz="4" w:space="0"/>
              <w:tl2br w:val="nil"/>
              <w:tr2bl w:val="nil"/>
            </w:tcBorders>
            <w:vAlign w:val="center"/>
          </w:tcPr>
          <w:p w14:paraId="444699B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1735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9F6D351">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3D15BF5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华南屯</w:t>
            </w:r>
          </w:p>
        </w:tc>
        <w:tc>
          <w:tcPr>
            <w:tcW w:w="1006" w:type="dxa"/>
            <w:tcBorders>
              <w:top w:val="single" w:color="auto" w:sz="4" w:space="0"/>
              <w:bottom w:val="single" w:color="auto" w:sz="4" w:space="0"/>
              <w:tl2br w:val="nil"/>
              <w:tr2bl w:val="nil"/>
            </w:tcBorders>
            <w:vAlign w:val="center"/>
          </w:tcPr>
          <w:p w14:paraId="065947B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2A200CC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0.40827</w:t>
            </w:r>
          </w:p>
        </w:tc>
        <w:tc>
          <w:tcPr>
            <w:tcW w:w="1268" w:type="dxa"/>
            <w:tcBorders>
              <w:top w:val="single" w:color="auto" w:sz="4" w:space="0"/>
              <w:bottom w:val="single" w:color="auto" w:sz="4" w:space="0"/>
              <w:tl2br w:val="nil"/>
              <w:tr2bl w:val="nil"/>
            </w:tcBorders>
            <w:vAlign w:val="center"/>
          </w:tcPr>
          <w:p w14:paraId="2A97AA2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0.510 </w:t>
            </w:r>
          </w:p>
        </w:tc>
        <w:tc>
          <w:tcPr>
            <w:tcW w:w="1680" w:type="dxa"/>
            <w:tcBorders>
              <w:top w:val="single" w:color="auto" w:sz="4" w:space="0"/>
              <w:bottom w:val="single" w:color="auto" w:sz="4" w:space="0"/>
              <w:tl2br w:val="nil"/>
              <w:tr2bl w:val="nil"/>
            </w:tcBorders>
            <w:vAlign w:val="center"/>
          </w:tcPr>
          <w:p w14:paraId="17667A6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01EC5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4FFE4AA5">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69827C3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小欧力马屯</w:t>
            </w:r>
          </w:p>
        </w:tc>
        <w:tc>
          <w:tcPr>
            <w:tcW w:w="1006" w:type="dxa"/>
            <w:tcBorders>
              <w:top w:val="single" w:color="auto" w:sz="4" w:space="0"/>
              <w:bottom w:val="single" w:color="auto" w:sz="4" w:space="0"/>
              <w:tl2br w:val="nil"/>
              <w:tr2bl w:val="nil"/>
            </w:tcBorders>
            <w:vAlign w:val="center"/>
          </w:tcPr>
          <w:p w14:paraId="4DE4803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5217418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0.58652</w:t>
            </w:r>
          </w:p>
        </w:tc>
        <w:tc>
          <w:tcPr>
            <w:tcW w:w="1268" w:type="dxa"/>
            <w:tcBorders>
              <w:top w:val="single" w:color="auto" w:sz="4" w:space="0"/>
              <w:bottom w:val="single" w:color="auto" w:sz="4" w:space="0"/>
              <w:tl2br w:val="nil"/>
              <w:tr2bl w:val="nil"/>
            </w:tcBorders>
            <w:vAlign w:val="center"/>
          </w:tcPr>
          <w:p w14:paraId="6138B9F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0.733 </w:t>
            </w:r>
          </w:p>
        </w:tc>
        <w:tc>
          <w:tcPr>
            <w:tcW w:w="1680" w:type="dxa"/>
            <w:tcBorders>
              <w:top w:val="single" w:color="auto" w:sz="4" w:space="0"/>
              <w:bottom w:val="single" w:color="auto" w:sz="4" w:space="0"/>
              <w:tl2br w:val="nil"/>
              <w:tr2bl w:val="nil"/>
            </w:tcBorders>
            <w:vAlign w:val="center"/>
          </w:tcPr>
          <w:p w14:paraId="584248B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BEEA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323960F">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6740A63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立功村</w:t>
            </w:r>
          </w:p>
        </w:tc>
        <w:tc>
          <w:tcPr>
            <w:tcW w:w="1006" w:type="dxa"/>
            <w:tcBorders>
              <w:top w:val="single" w:color="auto" w:sz="4" w:space="0"/>
              <w:bottom w:val="single" w:color="auto" w:sz="4" w:space="0"/>
              <w:tl2br w:val="nil"/>
              <w:tr2bl w:val="nil"/>
            </w:tcBorders>
            <w:vAlign w:val="center"/>
          </w:tcPr>
          <w:p w14:paraId="3634E0D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25A1C08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0.42911</w:t>
            </w:r>
          </w:p>
        </w:tc>
        <w:tc>
          <w:tcPr>
            <w:tcW w:w="1268" w:type="dxa"/>
            <w:tcBorders>
              <w:top w:val="single" w:color="auto" w:sz="4" w:space="0"/>
              <w:bottom w:val="single" w:color="auto" w:sz="4" w:space="0"/>
              <w:tl2br w:val="nil"/>
              <w:tr2bl w:val="nil"/>
            </w:tcBorders>
            <w:vAlign w:val="center"/>
          </w:tcPr>
          <w:p w14:paraId="496354D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0.536 </w:t>
            </w:r>
          </w:p>
        </w:tc>
        <w:tc>
          <w:tcPr>
            <w:tcW w:w="1680" w:type="dxa"/>
            <w:tcBorders>
              <w:top w:val="single" w:color="auto" w:sz="4" w:space="0"/>
              <w:bottom w:val="single" w:color="auto" w:sz="4" w:space="0"/>
              <w:tl2br w:val="nil"/>
              <w:tr2bl w:val="nil"/>
            </w:tcBorders>
            <w:vAlign w:val="center"/>
          </w:tcPr>
          <w:p w14:paraId="02BA30C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BC7A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4D43897D">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32FE5E9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后欧力马屯</w:t>
            </w:r>
          </w:p>
        </w:tc>
        <w:tc>
          <w:tcPr>
            <w:tcW w:w="1006" w:type="dxa"/>
            <w:tcBorders>
              <w:top w:val="single" w:color="auto" w:sz="4" w:space="0"/>
              <w:bottom w:val="single" w:color="auto" w:sz="4" w:space="0"/>
              <w:tl2br w:val="nil"/>
              <w:tr2bl w:val="nil"/>
            </w:tcBorders>
            <w:vAlign w:val="center"/>
          </w:tcPr>
          <w:p w14:paraId="637FD36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39DEA6C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0.9658</w:t>
            </w:r>
          </w:p>
        </w:tc>
        <w:tc>
          <w:tcPr>
            <w:tcW w:w="1268" w:type="dxa"/>
            <w:tcBorders>
              <w:top w:val="single" w:color="auto" w:sz="4" w:space="0"/>
              <w:bottom w:val="single" w:color="auto" w:sz="4" w:space="0"/>
              <w:tl2br w:val="nil"/>
              <w:tr2bl w:val="nil"/>
            </w:tcBorders>
            <w:vAlign w:val="center"/>
          </w:tcPr>
          <w:p w14:paraId="2DB12A9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1.207 </w:t>
            </w:r>
          </w:p>
        </w:tc>
        <w:tc>
          <w:tcPr>
            <w:tcW w:w="1680" w:type="dxa"/>
            <w:tcBorders>
              <w:top w:val="single" w:color="auto" w:sz="4" w:space="0"/>
              <w:bottom w:val="single" w:color="auto" w:sz="4" w:space="0"/>
              <w:tl2br w:val="nil"/>
              <w:tr2bl w:val="nil"/>
            </w:tcBorders>
            <w:vAlign w:val="center"/>
          </w:tcPr>
          <w:p w14:paraId="00BC885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2A26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15F16175">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68348DA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王家园子屯</w:t>
            </w:r>
          </w:p>
        </w:tc>
        <w:tc>
          <w:tcPr>
            <w:tcW w:w="1006" w:type="dxa"/>
            <w:tcBorders>
              <w:top w:val="single" w:color="auto" w:sz="4" w:space="0"/>
              <w:bottom w:val="single" w:color="auto" w:sz="4" w:space="0"/>
              <w:tl2br w:val="nil"/>
              <w:tr2bl w:val="nil"/>
            </w:tcBorders>
            <w:vAlign w:val="center"/>
          </w:tcPr>
          <w:p w14:paraId="432B632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728802C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0.60058</w:t>
            </w:r>
          </w:p>
        </w:tc>
        <w:tc>
          <w:tcPr>
            <w:tcW w:w="1268" w:type="dxa"/>
            <w:tcBorders>
              <w:top w:val="single" w:color="auto" w:sz="4" w:space="0"/>
              <w:bottom w:val="single" w:color="auto" w:sz="4" w:space="0"/>
              <w:tl2br w:val="nil"/>
              <w:tr2bl w:val="nil"/>
            </w:tcBorders>
            <w:vAlign w:val="center"/>
          </w:tcPr>
          <w:p w14:paraId="66DF287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0.751 </w:t>
            </w:r>
          </w:p>
        </w:tc>
        <w:tc>
          <w:tcPr>
            <w:tcW w:w="1680" w:type="dxa"/>
            <w:tcBorders>
              <w:top w:val="single" w:color="auto" w:sz="4" w:space="0"/>
              <w:bottom w:val="single" w:color="auto" w:sz="4" w:space="0"/>
              <w:tl2br w:val="nil"/>
              <w:tr2bl w:val="nil"/>
            </w:tcBorders>
            <w:vAlign w:val="center"/>
          </w:tcPr>
          <w:p w14:paraId="1A20427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1BBD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C04F364">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34F9FDC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和平乡</w:t>
            </w:r>
          </w:p>
        </w:tc>
        <w:tc>
          <w:tcPr>
            <w:tcW w:w="1006" w:type="dxa"/>
            <w:tcBorders>
              <w:top w:val="single" w:color="auto" w:sz="4" w:space="0"/>
              <w:bottom w:val="single" w:color="auto" w:sz="4" w:space="0"/>
              <w:tl2br w:val="nil"/>
              <w:tr2bl w:val="nil"/>
            </w:tcBorders>
            <w:vAlign w:val="center"/>
          </w:tcPr>
          <w:p w14:paraId="7589627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3293E27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0.26007</w:t>
            </w:r>
          </w:p>
        </w:tc>
        <w:tc>
          <w:tcPr>
            <w:tcW w:w="1268" w:type="dxa"/>
            <w:tcBorders>
              <w:top w:val="single" w:color="auto" w:sz="4" w:space="0"/>
              <w:bottom w:val="single" w:color="auto" w:sz="4" w:space="0"/>
              <w:tl2br w:val="nil"/>
              <w:tr2bl w:val="nil"/>
            </w:tcBorders>
            <w:vAlign w:val="center"/>
          </w:tcPr>
          <w:p w14:paraId="6E6320A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0.325 </w:t>
            </w:r>
          </w:p>
        </w:tc>
        <w:tc>
          <w:tcPr>
            <w:tcW w:w="1680" w:type="dxa"/>
            <w:tcBorders>
              <w:top w:val="single" w:color="auto" w:sz="4" w:space="0"/>
              <w:bottom w:val="single" w:color="auto" w:sz="4" w:space="0"/>
              <w:tl2br w:val="nil"/>
              <w:tr2bl w:val="nil"/>
            </w:tcBorders>
            <w:vAlign w:val="center"/>
          </w:tcPr>
          <w:p w14:paraId="6BE7ABE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698B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EF1B0F4">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691E328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赵家围子屯</w:t>
            </w:r>
          </w:p>
        </w:tc>
        <w:tc>
          <w:tcPr>
            <w:tcW w:w="1006" w:type="dxa"/>
            <w:tcBorders>
              <w:top w:val="single" w:color="auto" w:sz="4" w:space="0"/>
              <w:bottom w:val="single" w:color="auto" w:sz="4" w:space="0"/>
              <w:tl2br w:val="nil"/>
              <w:tr2bl w:val="nil"/>
            </w:tcBorders>
            <w:vAlign w:val="center"/>
          </w:tcPr>
          <w:p w14:paraId="4685D74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17A0EEB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0.49488</w:t>
            </w:r>
          </w:p>
        </w:tc>
        <w:tc>
          <w:tcPr>
            <w:tcW w:w="1268" w:type="dxa"/>
            <w:tcBorders>
              <w:top w:val="single" w:color="auto" w:sz="4" w:space="0"/>
              <w:bottom w:val="single" w:color="auto" w:sz="4" w:space="0"/>
              <w:tl2br w:val="nil"/>
              <w:tr2bl w:val="nil"/>
            </w:tcBorders>
            <w:vAlign w:val="center"/>
          </w:tcPr>
          <w:p w14:paraId="13F31BE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0.619 </w:t>
            </w:r>
          </w:p>
        </w:tc>
        <w:tc>
          <w:tcPr>
            <w:tcW w:w="1680" w:type="dxa"/>
            <w:tcBorders>
              <w:top w:val="single" w:color="auto" w:sz="4" w:space="0"/>
              <w:bottom w:val="single" w:color="auto" w:sz="4" w:space="0"/>
              <w:tl2br w:val="nil"/>
              <w:tr2bl w:val="nil"/>
            </w:tcBorders>
            <w:vAlign w:val="center"/>
          </w:tcPr>
          <w:p w14:paraId="7083427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65A5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5D00BC01">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039666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孙家围子屯</w:t>
            </w:r>
          </w:p>
        </w:tc>
        <w:tc>
          <w:tcPr>
            <w:tcW w:w="1006" w:type="dxa"/>
            <w:tcBorders>
              <w:top w:val="single" w:color="auto" w:sz="4" w:space="0"/>
              <w:bottom w:val="single" w:color="auto" w:sz="4" w:space="0"/>
              <w:tl2br w:val="nil"/>
              <w:tr2bl w:val="nil"/>
            </w:tcBorders>
            <w:vAlign w:val="center"/>
          </w:tcPr>
          <w:p w14:paraId="351B4B4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73248B6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0.25586</w:t>
            </w:r>
          </w:p>
        </w:tc>
        <w:tc>
          <w:tcPr>
            <w:tcW w:w="1268" w:type="dxa"/>
            <w:tcBorders>
              <w:top w:val="single" w:color="auto" w:sz="4" w:space="0"/>
              <w:bottom w:val="single" w:color="auto" w:sz="4" w:space="0"/>
              <w:tl2br w:val="nil"/>
              <w:tr2bl w:val="nil"/>
            </w:tcBorders>
            <w:vAlign w:val="center"/>
          </w:tcPr>
          <w:p w14:paraId="5C060DF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0.320 </w:t>
            </w:r>
          </w:p>
        </w:tc>
        <w:tc>
          <w:tcPr>
            <w:tcW w:w="1680" w:type="dxa"/>
            <w:tcBorders>
              <w:top w:val="single" w:color="auto" w:sz="4" w:space="0"/>
              <w:bottom w:val="single" w:color="auto" w:sz="4" w:space="0"/>
              <w:tl2br w:val="nil"/>
              <w:tr2bl w:val="nil"/>
            </w:tcBorders>
            <w:vAlign w:val="center"/>
          </w:tcPr>
          <w:p w14:paraId="6F52CB9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DDDA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2816A3F">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9D5CBC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对青岗子屯</w:t>
            </w:r>
          </w:p>
        </w:tc>
        <w:tc>
          <w:tcPr>
            <w:tcW w:w="1006" w:type="dxa"/>
            <w:tcBorders>
              <w:top w:val="single" w:color="auto" w:sz="4" w:space="0"/>
              <w:bottom w:val="single" w:color="auto" w:sz="4" w:space="0"/>
              <w:tl2br w:val="nil"/>
              <w:tr2bl w:val="nil"/>
            </w:tcBorders>
            <w:vAlign w:val="center"/>
          </w:tcPr>
          <w:p w14:paraId="39F66EE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3E0A3C5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0.51159</w:t>
            </w:r>
          </w:p>
        </w:tc>
        <w:tc>
          <w:tcPr>
            <w:tcW w:w="1268" w:type="dxa"/>
            <w:tcBorders>
              <w:top w:val="single" w:color="auto" w:sz="4" w:space="0"/>
              <w:bottom w:val="single" w:color="auto" w:sz="4" w:space="0"/>
              <w:tl2br w:val="nil"/>
              <w:tr2bl w:val="nil"/>
            </w:tcBorders>
            <w:vAlign w:val="center"/>
          </w:tcPr>
          <w:p w14:paraId="29B9789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0.639 </w:t>
            </w:r>
          </w:p>
        </w:tc>
        <w:tc>
          <w:tcPr>
            <w:tcW w:w="1680" w:type="dxa"/>
            <w:tcBorders>
              <w:top w:val="single" w:color="auto" w:sz="4" w:space="0"/>
              <w:bottom w:val="single" w:color="auto" w:sz="4" w:space="0"/>
              <w:tl2br w:val="nil"/>
              <w:tr2bl w:val="nil"/>
            </w:tcBorders>
            <w:vAlign w:val="center"/>
          </w:tcPr>
          <w:p w14:paraId="4B5458C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46DE0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3C9F6467">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49DB96A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蒙古屯</w:t>
            </w:r>
          </w:p>
        </w:tc>
        <w:tc>
          <w:tcPr>
            <w:tcW w:w="1006" w:type="dxa"/>
            <w:tcBorders>
              <w:top w:val="single" w:color="auto" w:sz="4" w:space="0"/>
              <w:bottom w:val="single" w:color="auto" w:sz="4" w:space="0"/>
              <w:tl2br w:val="nil"/>
              <w:tr2bl w:val="nil"/>
            </w:tcBorders>
            <w:vAlign w:val="center"/>
          </w:tcPr>
          <w:p w14:paraId="082FCA0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2C66595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0.45248</w:t>
            </w:r>
          </w:p>
        </w:tc>
        <w:tc>
          <w:tcPr>
            <w:tcW w:w="1268" w:type="dxa"/>
            <w:tcBorders>
              <w:top w:val="single" w:color="auto" w:sz="4" w:space="0"/>
              <w:bottom w:val="single" w:color="auto" w:sz="4" w:space="0"/>
              <w:tl2br w:val="nil"/>
              <w:tr2bl w:val="nil"/>
            </w:tcBorders>
            <w:vAlign w:val="center"/>
          </w:tcPr>
          <w:p w14:paraId="6D7D4C0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0.566 </w:t>
            </w:r>
          </w:p>
        </w:tc>
        <w:tc>
          <w:tcPr>
            <w:tcW w:w="1680" w:type="dxa"/>
            <w:tcBorders>
              <w:top w:val="single" w:color="auto" w:sz="4" w:space="0"/>
              <w:bottom w:val="single" w:color="auto" w:sz="4" w:space="0"/>
              <w:tl2br w:val="nil"/>
              <w:tr2bl w:val="nil"/>
            </w:tcBorders>
            <w:vAlign w:val="center"/>
          </w:tcPr>
          <w:p w14:paraId="7ADB371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165F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4E35D60B">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2614A5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四方山屯</w:t>
            </w:r>
          </w:p>
        </w:tc>
        <w:tc>
          <w:tcPr>
            <w:tcW w:w="1006" w:type="dxa"/>
            <w:tcBorders>
              <w:top w:val="single" w:color="auto" w:sz="4" w:space="0"/>
              <w:bottom w:val="single" w:color="auto" w:sz="4" w:space="0"/>
              <w:tl2br w:val="nil"/>
              <w:tr2bl w:val="nil"/>
            </w:tcBorders>
            <w:vAlign w:val="center"/>
          </w:tcPr>
          <w:p w14:paraId="696E16D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3F6E2BA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0.12804</w:t>
            </w:r>
          </w:p>
        </w:tc>
        <w:tc>
          <w:tcPr>
            <w:tcW w:w="1268" w:type="dxa"/>
            <w:tcBorders>
              <w:top w:val="single" w:color="auto" w:sz="4" w:space="0"/>
              <w:bottom w:val="single" w:color="auto" w:sz="4" w:space="0"/>
              <w:tl2br w:val="nil"/>
              <w:tr2bl w:val="nil"/>
            </w:tcBorders>
            <w:vAlign w:val="center"/>
          </w:tcPr>
          <w:p w14:paraId="008D09A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0.160 </w:t>
            </w:r>
          </w:p>
        </w:tc>
        <w:tc>
          <w:tcPr>
            <w:tcW w:w="1680" w:type="dxa"/>
            <w:tcBorders>
              <w:top w:val="single" w:color="auto" w:sz="4" w:space="0"/>
              <w:bottom w:val="single" w:color="auto" w:sz="4" w:space="0"/>
              <w:tl2br w:val="nil"/>
              <w:tr2bl w:val="nil"/>
            </w:tcBorders>
            <w:vAlign w:val="center"/>
          </w:tcPr>
          <w:p w14:paraId="3DB7DB5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424AA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50CB85A7">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2AD32A9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小东屯</w:t>
            </w:r>
          </w:p>
        </w:tc>
        <w:tc>
          <w:tcPr>
            <w:tcW w:w="1006" w:type="dxa"/>
            <w:tcBorders>
              <w:top w:val="single" w:color="auto" w:sz="4" w:space="0"/>
              <w:bottom w:val="single" w:color="auto" w:sz="4" w:space="0"/>
              <w:tl2br w:val="nil"/>
              <w:tr2bl w:val="nil"/>
            </w:tcBorders>
            <w:vAlign w:val="center"/>
          </w:tcPr>
          <w:p w14:paraId="0216A5C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39E3580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0.14918</w:t>
            </w:r>
          </w:p>
        </w:tc>
        <w:tc>
          <w:tcPr>
            <w:tcW w:w="1268" w:type="dxa"/>
            <w:tcBorders>
              <w:top w:val="single" w:color="auto" w:sz="4" w:space="0"/>
              <w:bottom w:val="single" w:color="auto" w:sz="4" w:space="0"/>
              <w:tl2br w:val="nil"/>
              <w:tr2bl w:val="nil"/>
            </w:tcBorders>
            <w:vAlign w:val="center"/>
          </w:tcPr>
          <w:p w14:paraId="61B3F07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0.186 </w:t>
            </w:r>
          </w:p>
        </w:tc>
        <w:tc>
          <w:tcPr>
            <w:tcW w:w="1680" w:type="dxa"/>
            <w:tcBorders>
              <w:top w:val="single" w:color="auto" w:sz="4" w:space="0"/>
              <w:bottom w:val="single" w:color="auto" w:sz="4" w:space="0"/>
              <w:tl2br w:val="nil"/>
              <w:tr2bl w:val="nil"/>
            </w:tcBorders>
            <w:vAlign w:val="center"/>
          </w:tcPr>
          <w:p w14:paraId="4F1DB8E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D91B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46326C2A">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76C646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东兴村</w:t>
            </w:r>
          </w:p>
        </w:tc>
        <w:tc>
          <w:tcPr>
            <w:tcW w:w="1006" w:type="dxa"/>
            <w:tcBorders>
              <w:top w:val="single" w:color="auto" w:sz="4" w:space="0"/>
              <w:bottom w:val="single" w:color="auto" w:sz="4" w:space="0"/>
              <w:tl2br w:val="nil"/>
              <w:tr2bl w:val="nil"/>
            </w:tcBorders>
            <w:vAlign w:val="center"/>
          </w:tcPr>
          <w:p w14:paraId="3454481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205D71B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0.08624</w:t>
            </w:r>
          </w:p>
        </w:tc>
        <w:tc>
          <w:tcPr>
            <w:tcW w:w="1268" w:type="dxa"/>
            <w:tcBorders>
              <w:top w:val="single" w:color="auto" w:sz="4" w:space="0"/>
              <w:bottom w:val="single" w:color="auto" w:sz="4" w:space="0"/>
              <w:tl2br w:val="nil"/>
              <w:tr2bl w:val="nil"/>
            </w:tcBorders>
            <w:vAlign w:val="center"/>
          </w:tcPr>
          <w:p w14:paraId="3BDF720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0.108 </w:t>
            </w:r>
          </w:p>
        </w:tc>
        <w:tc>
          <w:tcPr>
            <w:tcW w:w="1680" w:type="dxa"/>
            <w:tcBorders>
              <w:top w:val="single" w:color="auto" w:sz="4" w:space="0"/>
              <w:bottom w:val="single" w:color="auto" w:sz="4" w:space="0"/>
              <w:tl2br w:val="nil"/>
              <w:tr2bl w:val="nil"/>
            </w:tcBorders>
            <w:vAlign w:val="center"/>
          </w:tcPr>
          <w:p w14:paraId="0625A75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05C52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09DADA7D">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2BFC942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迟家屯</w:t>
            </w:r>
          </w:p>
        </w:tc>
        <w:tc>
          <w:tcPr>
            <w:tcW w:w="1006" w:type="dxa"/>
            <w:tcBorders>
              <w:top w:val="single" w:color="auto" w:sz="4" w:space="0"/>
              <w:bottom w:val="single" w:color="auto" w:sz="4" w:space="0"/>
              <w:tl2br w:val="nil"/>
              <w:tr2bl w:val="nil"/>
            </w:tcBorders>
            <w:vAlign w:val="center"/>
          </w:tcPr>
          <w:p w14:paraId="13CC4C2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1F9124B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0.11169</w:t>
            </w:r>
          </w:p>
        </w:tc>
        <w:tc>
          <w:tcPr>
            <w:tcW w:w="1268" w:type="dxa"/>
            <w:tcBorders>
              <w:top w:val="single" w:color="auto" w:sz="4" w:space="0"/>
              <w:bottom w:val="single" w:color="auto" w:sz="4" w:space="0"/>
              <w:tl2br w:val="nil"/>
              <w:tr2bl w:val="nil"/>
            </w:tcBorders>
            <w:vAlign w:val="center"/>
          </w:tcPr>
          <w:p w14:paraId="1E39759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0.140 </w:t>
            </w:r>
          </w:p>
        </w:tc>
        <w:tc>
          <w:tcPr>
            <w:tcW w:w="1680" w:type="dxa"/>
            <w:tcBorders>
              <w:top w:val="single" w:color="auto" w:sz="4" w:space="0"/>
              <w:bottom w:val="single" w:color="auto" w:sz="4" w:space="0"/>
              <w:tl2br w:val="nil"/>
              <w:tr2bl w:val="nil"/>
            </w:tcBorders>
            <w:vAlign w:val="center"/>
          </w:tcPr>
          <w:p w14:paraId="1D5FF84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CCEF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785E9427">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5F66981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刘喜屯</w:t>
            </w:r>
          </w:p>
        </w:tc>
        <w:tc>
          <w:tcPr>
            <w:tcW w:w="1006" w:type="dxa"/>
            <w:tcBorders>
              <w:top w:val="single" w:color="auto" w:sz="4" w:space="0"/>
              <w:bottom w:val="single" w:color="auto" w:sz="4" w:space="0"/>
              <w:tl2br w:val="nil"/>
              <w:tr2bl w:val="nil"/>
            </w:tcBorders>
            <w:vAlign w:val="center"/>
          </w:tcPr>
          <w:p w14:paraId="7DE5E1B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7710A26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0.05172</w:t>
            </w:r>
          </w:p>
        </w:tc>
        <w:tc>
          <w:tcPr>
            <w:tcW w:w="1268" w:type="dxa"/>
            <w:tcBorders>
              <w:top w:val="single" w:color="auto" w:sz="4" w:space="0"/>
              <w:bottom w:val="single" w:color="auto" w:sz="4" w:space="0"/>
              <w:tl2br w:val="nil"/>
              <w:tr2bl w:val="nil"/>
            </w:tcBorders>
            <w:vAlign w:val="center"/>
          </w:tcPr>
          <w:p w14:paraId="543479D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0.065 </w:t>
            </w:r>
          </w:p>
        </w:tc>
        <w:tc>
          <w:tcPr>
            <w:tcW w:w="1680" w:type="dxa"/>
            <w:tcBorders>
              <w:top w:val="single" w:color="auto" w:sz="4" w:space="0"/>
              <w:bottom w:val="single" w:color="auto" w:sz="4" w:space="0"/>
              <w:tl2br w:val="nil"/>
              <w:tr2bl w:val="nil"/>
            </w:tcBorders>
            <w:vAlign w:val="center"/>
          </w:tcPr>
          <w:p w14:paraId="7C329D7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1287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B4D44FA">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E5C109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代龙村</w:t>
            </w:r>
          </w:p>
        </w:tc>
        <w:tc>
          <w:tcPr>
            <w:tcW w:w="1006" w:type="dxa"/>
            <w:tcBorders>
              <w:top w:val="single" w:color="auto" w:sz="4" w:space="0"/>
              <w:bottom w:val="single" w:color="auto" w:sz="4" w:space="0"/>
              <w:tl2br w:val="nil"/>
              <w:tr2bl w:val="nil"/>
            </w:tcBorders>
            <w:vAlign w:val="center"/>
          </w:tcPr>
          <w:p w14:paraId="7CF4A4A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505D7EE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0.05993</w:t>
            </w:r>
          </w:p>
        </w:tc>
        <w:tc>
          <w:tcPr>
            <w:tcW w:w="1268" w:type="dxa"/>
            <w:tcBorders>
              <w:top w:val="single" w:color="auto" w:sz="4" w:space="0"/>
              <w:bottom w:val="single" w:color="auto" w:sz="4" w:space="0"/>
              <w:tl2br w:val="nil"/>
              <w:tr2bl w:val="nil"/>
            </w:tcBorders>
            <w:vAlign w:val="center"/>
          </w:tcPr>
          <w:p w14:paraId="2DDAFF1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0.075 </w:t>
            </w:r>
          </w:p>
        </w:tc>
        <w:tc>
          <w:tcPr>
            <w:tcW w:w="1680" w:type="dxa"/>
            <w:tcBorders>
              <w:top w:val="single" w:color="auto" w:sz="4" w:space="0"/>
              <w:bottom w:val="single" w:color="auto" w:sz="4" w:space="0"/>
              <w:tl2br w:val="nil"/>
              <w:tr2bl w:val="nil"/>
            </w:tcBorders>
            <w:vAlign w:val="center"/>
          </w:tcPr>
          <w:p w14:paraId="45783F7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2C8BF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77AE4B86">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74944C1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肇源镇</w:t>
            </w:r>
          </w:p>
        </w:tc>
        <w:tc>
          <w:tcPr>
            <w:tcW w:w="1006" w:type="dxa"/>
            <w:tcBorders>
              <w:top w:val="single" w:color="auto" w:sz="4" w:space="0"/>
              <w:bottom w:val="single" w:color="auto" w:sz="4" w:space="0"/>
              <w:tl2br w:val="nil"/>
              <w:tr2bl w:val="nil"/>
            </w:tcBorders>
            <w:vAlign w:val="center"/>
          </w:tcPr>
          <w:p w14:paraId="7837E44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133E1EA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0.08662</w:t>
            </w:r>
          </w:p>
        </w:tc>
        <w:tc>
          <w:tcPr>
            <w:tcW w:w="1268" w:type="dxa"/>
            <w:tcBorders>
              <w:top w:val="single" w:color="auto" w:sz="4" w:space="0"/>
              <w:bottom w:val="single" w:color="auto" w:sz="4" w:space="0"/>
              <w:tl2br w:val="nil"/>
              <w:tr2bl w:val="nil"/>
            </w:tcBorders>
            <w:vAlign w:val="center"/>
          </w:tcPr>
          <w:p w14:paraId="512A23C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0.108 </w:t>
            </w:r>
          </w:p>
        </w:tc>
        <w:tc>
          <w:tcPr>
            <w:tcW w:w="1680" w:type="dxa"/>
            <w:tcBorders>
              <w:top w:val="single" w:color="auto" w:sz="4" w:space="0"/>
              <w:bottom w:val="single" w:color="auto" w:sz="4" w:space="0"/>
              <w:tl2br w:val="nil"/>
              <w:tr2bl w:val="nil"/>
            </w:tcBorders>
            <w:vAlign w:val="center"/>
          </w:tcPr>
          <w:p w14:paraId="58AAD3C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4199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10C633BC">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EBB676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刘兽医屯</w:t>
            </w:r>
          </w:p>
        </w:tc>
        <w:tc>
          <w:tcPr>
            <w:tcW w:w="1006" w:type="dxa"/>
            <w:tcBorders>
              <w:top w:val="single" w:color="auto" w:sz="4" w:space="0"/>
              <w:bottom w:val="single" w:color="auto" w:sz="4" w:space="0"/>
              <w:tl2br w:val="nil"/>
              <w:tr2bl w:val="nil"/>
            </w:tcBorders>
            <w:vAlign w:val="center"/>
          </w:tcPr>
          <w:p w14:paraId="16798A9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4FC5BB7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0.06291</w:t>
            </w:r>
          </w:p>
        </w:tc>
        <w:tc>
          <w:tcPr>
            <w:tcW w:w="1268" w:type="dxa"/>
            <w:tcBorders>
              <w:top w:val="single" w:color="auto" w:sz="4" w:space="0"/>
              <w:bottom w:val="single" w:color="auto" w:sz="4" w:space="0"/>
              <w:tl2br w:val="nil"/>
              <w:tr2bl w:val="nil"/>
            </w:tcBorders>
            <w:vAlign w:val="center"/>
          </w:tcPr>
          <w:p w14:paraId="6FB56F1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0.079 </w:t>
            </w:r>
          </w:p>
        </w:tc>
        <w:tc>
          <w:tcPr>
            <w:tcW w:w="1680" w:type="dxa"/>
            <w:tcBorders>
              <w:top w:val="single" w:color="auto" w:sz="4" w:space="0"/>
              <w:bottom w:val="single" w:color="auto" w:sz="4" w:space="0"/>
              <w:tl2br w:val="nil"/>
              <w:tr2bl w:val="nil"/>
            </w:tcBorders>
            <w:vAlign w:val="center"/>
          </w:tcPr>
          <w:p w14:paraId="1E739B4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847E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7527D2AF">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3CA86E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友谊村</w:t>
            </w:r>
          </w:p>
        </w:tc>
        <w:tc>
          <w:tcPr>
            <w:tcW w:w="1006" w:type="dxa"/>
            <w:tcBorders>
              <w:top w:val="single" w:color="auto" w:sz="4" w:space="0"/>
              <w:bottom w:val="single" w:color="auto" w:sz="4" w:space="0"/>
              <w:tl2br w:val="nil"/>
              <w:tr2bl w:val="nil"/>
            </w:tcBorders>
            <w:vAlign w:val="center"/>
          </w:tcPr>
          <w:p w14:paraId="5BA6F59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2F292E6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0.06226</w:t>
            </w:r>
          </w:p>
        </w:tc>
        <w:tc>
          <w:tcPr>
            <w:tcW w:w="1268" w:type="dxa"/>
            <w:tcBorders>
              <w:top w:val="single" w:color="auto" w:sz="4" w:space="0"/>
              <w:bottom w:val="single" w:color="auto" w:sz="4" w:space="0"/>
              <w:tl2br w:val="nil"/>
              <w:tr2bl w:val="nil"/>
            </w:tcBorders>
            <w:vAlign w:val="center"/>
          </w:tcPr>
          <w:p w14:paraId="59E5D8E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0.078 </w:t>
            </w:r>
          </w:p>
        </w:tc>
        <w:tc>
          <w:tcPr>
            <w:tcW w:w="1680" w:type="dxa"/>
            <w:tcBorders>
              <w:top w:val="single" w:color="auto" w:sz="4" w:space="0"/>
              <w:bottom w:val="single" w:color="auto" w:sz="4" w:space="0"/>
              <w:tl2br w:val="nil"/>
              <w:tr2bl w:val="nil"/>
            </w:tcBorders>
            <w:vAlign w:val="center"/>
          </w:tcPr>
          <w:p w14:paraId="61BE9AD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4FE9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29DC6013">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65E84A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协力屯</w:t>
            </w:r>
          </w:p>
        </w:tc>
        <w:tc>
          <w:tcPr>
            <w:tcW w:w="1006" w:type="dxa"/>
            <w:tcBorders>
              <w:top w:val="single" w:color="auto" w:sz="4" w:space="0"/>
              <w:bottom w:val="single" w:color="auto" w:sz="4" w:space="0"/>
              <w:tl2br w:val="nil"/>
              <w:tr2bl w:val="nil"/>
            </w:tcBorders>
            <w:vAlign w:val="center"/>
          </w:tcPr>
          <w:p w14:paraId="7313ED0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5E78469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0.05913</w:t>
            </w:r>
          </w:p>
        </w:tc>
        <w:tc>
          <w:tcPr>
            <w:tcW w:w="1268" w:type="dxa"/>
            <w:tcBorders>
              <w:top w:val="single" w:color="auto" w:sz="4" w:space="0"/>
              <w:bottom w:val="single" w:color="auto" w:sz="4" w:space="0"/>
              <w:tl2br w:val="nil"/>
              <w:tr2bl w:val="nil"/>
            </w:tcBorders>
            <w:vAlign w:val="center"/>
          </w:tcPr>
          <w:p w14:paraId="4739A34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0.074 </w:t>
            </w:r>
          </w:p>
        </w:tc>
        <w:tc>
          <w:tcPr>
            <w:tcW w:w="1680" w:type="dxa"/>
            <w:tcBorders>
              <w:top w:val="single" w:color="auto" w:sz="4" w:space="0"/>
              <w:bottom w:val="single" w:color="auto" w:sz="4" w:space="0"/>
              <w:tl2br w:val="nil"/>
              <w:tr2bl w:val="nil"/>
            </w:tcBorders>
            <w:vAlign w:val="center"/>
          </w:tcPr>
          <w:p w14:paraId="0939445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EE70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70EEFF7">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4318B2F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大三马架</w:t>
            </w:r>
          </w:p>
        </w:tc>
        <w:tc>
          <w:tcPr>
            <w:tcW w:w="1006" w:type="dxa"/>
            <w:tcBorders>
              <w:top w:val="single" w:color="auto" w:sz="4" w:space="0"/>
              <w:bottom w:val="single" w:color="auto" w:sz="4" w:space="0"/>
              <w:tl2br w:val="nil"/>
              <w:tr2bl w:val="nil"/>
            </w:tcBorders>
            <w:vAlign w:val="center"/>
          </w:tcPr>
          <w:p w14:paraId="25969E9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1E4E360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0.04628</w:t>
            </w:r>
          </w:p>
        </w:tc>
        <w:tc>
          <w:tcPr>
            <w:tcW w:w="1268" w:type="dxa"/>
            <w:tcBorders>
              <w:top w:val="single" w:color="auto" w:sz="4" w:space="0"/>
              <w:bottom w:val="single" w:color="auto" w:sz="4" w:space="0"/>
              <w:tl2br w:val="nil"/>
              <w:tr2bl w:val="nil"/>
            </w:tcBorders>
            <w:vAlign w:val="center"/>
          </w:tcPr>
          <w:p w14:paraId="397AC4F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0.058 </w:t>
            </w:r>
          </w:p>
        </w:tc>
        <w:tc>
          <w:tcPr>
            <w:tcW w:w="1680" w:type="dxa"/>
            <w:tcBorders>
              <w:top w:val="single" w:color="auto" w:sz="4" w:space="0"/>
              <w:bottom w:val="single" w:color="auto" w:sz="4" w:space="0"/>
              <w:tl2br w:val="nil"/>
              <w:tr2bl w:val="nil"/>
            </w:tcBorders>
            <w:vAlign w:val="center"/>
          </w:tcPr>
          <w:p w14:paraId="35E21FB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F0C6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3F24EB72">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66954E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东小山</w:t>
            </w:r>
          </w:p>
        </w:tc>
        <w:tc>
          <w:tcPr>
            <w:tcW w:w="1006" w:type="dxa"/>
            <w:tcBorders>
              <w:top w:val="single" w:color="auto" w:sz="4" w:space="0"/>
              <w:bottom w:val="single" w:color="auto" w:sz="4" w:space="0"/>
              <w:tl2br w:val="nil"/>
              <w:tr2bl w:val="nil"/>
            </w:tcBorders>
            <w:vAlign w:val="center"/>
          </w:tcPr>
          <w:p w14:paraId="11EBB9C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1B42CB2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0.11138</w:t>
            </w:r>
          </w:p>
        </w:tc>
        <w:tc>
          <w:tcPr>
            <w:tcW w:w="1268" w:type="dxa"/>
            <w:tcBorders>
              <w:top w:val="single" w:color="auto" w:sz="4" w:space="0"/>
              <w:bottom w:val="single" w:color="auto" w:sz="4" w:space="0"/>
              <w:tl2br w:val="nil"/>
              <w:tr2bl w:val="nil"/>
            </w:tcBorders>
            <w:vAlign w:val="center"/>
          </w:tcPr>
          <w:p w14:paraId="6C796CE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0.139 </w:t>
            </w:r>
          </w:p>
        </w:tc>
        <w:tc>
          <w:tcPr>
            <w:tcW w:w="1680" w:type="dxa"/>
            <w:tcBorders>
              <w:top w:val="single" w:color="auto" w:sz="4" w:space="0"/>
              <w:bottom w:val="single" w:color="auto" w:sz="4" w:space="0"/>
              <w:tl2br w:val="nil"/>
              <w:tr2bl w:val="nil"/>
            </w:tcBorders>
            <w:vAlign w:val="center"/>
          </w:tcPr>
          <w:p w14:paraId="0954389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26D8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19AC4A58">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01ACC60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科技屯</w:t>
            </w:r>
          </w:p>
        </w:tc>
        <w:tc>
          <w:tcPr>
            <w:tcW w:w="1006" w:type="dxa"/>
            <w:tcBorders>
              <w:top w:val="single" w:color="auto" w:sz="4" w:space="0"/>
              <w:bottom w:val="single" w:color="auto" w:sz="4" w:space="0"/>
              <w:tl2br w:val="nil"/>
              <w:tr2bl w:val="nil"/>
            </w:tcBorders>
            <w:vAlign w:val="center"/>
          </w:tcPr>
          <w:p w14:paraId="5C36770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30820C8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0.11528</w:t>
            </w:r>
          </w:p>
        </w:tc>
        <w:tc>
          <w:tcPr>
            <w:tcW w:w="1268" w:type="dxa"/>
            <w:tcBorders>
              <w:top w:val="single" w:color="auto" w:sz="4" w:space="0"/>
              <w:bottom w:val="single" w:color="auto" w:sz="4" w:space="0"/>
              <w:tl2br w:val="nil"/>
              <w:tr2bl w:val="nil"/>
            </w:tcBorders>
            <w:vAlign w:val="center"/>
          </w:tcPr>
          <w:p w14:paraId="0826BF7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0.144 </w:t>
            </w:r>
          </w:p>
        </w:tc>
        <w:tc>
          <w:tcPr>
            <w:tcW w:w="1680" w:type="dxa"/>
            <w:tcBorders>
              <w:top w:val="single" w:color="auto" w:sz="4" w:space="0"/>
              <w:bottom w:val="single" w:color="auto" w:sz="4" w:space="0"/>
              <w:tl2br w:val="nil"/>
              <w:tr2bl w:val="nil"/>
            </w:tcBorders>
            <w:vAlign w:val="center"/>
          </w:tcPr>
          <w:p w14:paraId="518B920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F1A1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F831FDC">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146A3B6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大姚屯</w:t>
            </w:r>
          </w:p>
        </w:tc>
        <w:tc>
          <w:tcPr>
            <w:tcW w:w="1006" w:type="dxa"/>
            <w:tcBorders>
              <w:top w:val="single" w:color="auto" w:sz="4" w:space="0"/>
              <w:bottom w:val="single" w:color="auto" w:sz="4" w:space="0"/>
              <w:tl2br w:val="nil"/>
              <w:tr2bl w:val="nil"/>
            </w:tcBorders>
            <w:vAlign w:val="center"/>
          </w:tcPr>
          <w:p w14:paraId="4A768BD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40E0206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0.0672</w:t>
            </w:r>
          </w:p>
        </w:tc>
        <w:tc>
          <w:tcPr>
            <w:tcW w:w="1268" w:type="dxa"/>
            <w:tcBorders>
              <w:top w:val="single" w:color="auto" w:sz="4" w:space="0"/>
              <w:bottom w:val="single" w:color="auto" w:sz="4" w:space="0"/>
              <w:tl2br w:val="nil"/>
              <w:tr2bl w:val="nil"/>
            </w:tcBorders>
            <w:vAlign w:val="center"/>
          </w:tcPr>
          <w:p w14:paraId="71490DE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0.084 </w:t>
            </w:r>
          </w:p>
        </w:tc>
        <w:tc>
          <w:tcPr>
            <w:tcW w:w="1680" w:type="dxa"/>
            <w:tcBorders>
              <w:top w:val="single" w:color="auto" w:sz="4" w:space="0"/>
              <w:bottom w:val="single" w:color="auto" w:sz="4" w:space="0"/>
              <w:tl2br w:val="nil"/>
              <w:tr2bl w:val="nil"/>
            </w:tcBorders>
            <w:vAlign w:val="center"/>
          </w:tcPr>
          <w:p w14:paraId="1AA8218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B6E0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975" w:type="dxa"/>
            <w:vMerge w:val="continue"/>
            <w:tcBorders>
              <w:tl2br w:val="nil"/>
              <w:tr2bl w:val="nil"/>
            </w:tcBorders>
            <w:vAlign w:val="center"/>
          </w:tcPr>
          <w:p w14:paraId="669611E5">
            <w:pPr>
              <w:spacing w:line="320" w:lineRule="exact"/>
              <w:jc w:val="center"/>
              <w:rPr>
                <w:rFonts w:ascii="宋体" w:hAnsi="宋体" w:eastAsia="宋体" w:cs="Times New Roman"/>
                <w:color w:val="auto"/>
              </w:rPr>
            </w:pPr>
          </w:p>
        </w:tc>
        <w:tc>
          <w:tcPr>
            <w:tcW w:w="2370" w:type="dxa"/>
            <w:tcBorders>
              <w:top w:val="single" w:color="auto" w:sz="4" w:space="0"/>
              <w:tl2br w:val="nil"/>
              <w:tr2bl w:val="nil"/>
            </w:tcBorders>
            <w:vAlign w:val="center"/>
          </w:tcPr>
          <w:p w14:paraId="26395AE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奎中里屯</w:t>
            </w:r>
          </w:p>
        </w:tc>
        <w:tc>
          <w:tcPr>
            <w:tcW w:w="1006" w:type="dxa"/>
            <w:tcBorders>
              <w:top w:val="single" w:color="auto" w:sz="4" w:space="0"/>
              <w:bottom w:val="single" w:color="auto" w:sz="4" w:space="0"/>
              <w:tl2br w:val="nil"/>
              <w:tr2bl w:val="nil"/>
            </w:tcBorders>
            <w:vAlign w:val="center"/>
          </w:tcPr>
          <w:p w14:paraId="016037A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op w:val="single" w:color="auto" w:sz="4" w:space="0"/>
              <w:bottom w:val="single" w:color="auto" w:sz="4" w:space="0"/>
              <w:tl2br w:val="nil"/>
              <w:tr2bl w:val="nil"/>
            </w:tcBorders>
            <w:vAlign w:val="center"/>
          </w:tcPr>
          <w:p w14:paraId="63444B0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0.2515</w:t>
            </w:r>
          </w:p>
        </w:tc>
        <w:tc>
          <w:tcPr>
            <w:tcW w:w="1268" w:type="dxa"/>
            <w:tcBorders>
              <w:top w:val="single" w:color="auto" w:sz="4" w:space="0"/>
              <w:bottom w:val="single" w:color="auto" w:sz="4" w:space="0"/>
              <w:tl2br w:val="nil"/>
              <w:tr2bl w:val="nil"/>
            </w:tcBorders>
            <w:vAlign w:val="center"/>
          </w:tcPr>
          <w:p w14:paraId="4DFE1B7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0.314 </w:t>
            </w:r>
          </w:p>
        </w:tc>
        <w:tc>
          <w:tcPr>
            <w:tcW w:w="1680" w:type="dxa"/>
            <w:tcBorders>
              <w:top w:val="single" w:color="auto" w:sz="4" w:space="0"/>
              <w:bottom w:val="single" w:color="auto" w:sz="4" w:space="0"/>
              <w:tl2br w:val="nil"/>
              <w:tr2bl w:val="nil"/>
            </w:tcBorders>
            <w:vAlign w:val="center"/>
          </w:tcPr>
          <w:p w14:paraId="287068B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2BB8A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restart"/>
            <w:tcBorders>
              <w:top w:val="single" w:color="auto" w:sz="4" w:space="0"/>
              <w:tl2br w:val="nil"/>
              <w:tr2bl w:val="nil"/>
            </w:tcBorders>
            <w:vAlign w:val="center"/>
          </w:tcPr>
          <w:p w14:paraId="4844F02B">
            <w:pPr>
              <w:spacing w:line="320" w:lineRule="exact"/>
              <w:jc w:val="center"/>
              <w:rPr>
                <w:rFonts w:ascii="宋体" w:hAnsi="宋体" w:eastAsia="宋体" w:cs="Times New Roman"/>
                <w:color w:val="auto"/>
              </w:rPr>
            </w:pPr>
            <w:r>
              <w:rPr>
                <w:rFonts w:ascii="宋体" w:hAnsi="宋体" w:eastAsia="宋体" w:cs="Times New Roman"/>
                <w:color w:val="auto"/>
              </w:rPr>
              <w:t>PM</w:t>
            </w:r>
            <w:r>
              <w:rPr>
                <w:rFonts w:ascii="宋体" w:hAnsi="宋体" w:eastAsia="宋体" w:cs="Times New Roman"/>
                <w:color w:val="auto"/>
                <w:vertAlign w:val="subscript"/>
              </w:rPr>
              <w:t>10</w:t>
            </w:r>
          </w:p>
        </w:tc>
        <w:tc>
          <w:tcPr>
            <w:tcW w:w="2370" w:type="dxa"/>
            <w:vMerge w:val="restart"/>
            <w:tcBorders>
              <w:top w:val="single" w:color="auto" w:sz="4" w:space="0"/>
              <w:tl2br w:val="nil"/>
              <w:tr2bl w:val="nil"/>
            </w:tcBorders>
            <w:vAlign w:val="center"/>
          </w:tcPr>
          <w:p w14:paraId="17BE782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小欧力马屯</w:t>
            </w:r>
          </w:p>
        </w:tc>
        <w:tc>
          <w:tcPr>
            <w:tcW w:w="1006" w:type="dxa"/>
            <w:tcBorders>
              <w:tl2br w:val="nil"/>
              <w:tr2bl w:val="nil"/>
            </w:tcBorders>
            <w:vAlign w:val="center"/>
          </w:tcPr>
          <w:p w14:paraId="0114B53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1279675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0.0099</w:t>
            </w:r>
          </w:p>
        </w:tc>
        <w:tc>
          <w:tcPr>
            <w:tcW w:w="1268" w:type="dxa"/>
            <w:tcBorders>
              <w:tl2br w:val="nil"/>
              <w:tr2bl w:val="nil"/>
            </w:tcBorders>
            <w:vAlign w:val="center"/>
          </w:tcPr>
          <w:p w14:paraId="567E0BF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0.014 </w:t>
            </w:r>
          </w:p>
        </w:tc>
        <w:tc>
          <w:tcPr>
            <w:tcW w:w="1680" w:type="dxa"/>
            <w:tcBorders>
              <w:tl2br w:val="nil"/>
              <w:tr2bl w:val="nil"/>
            </w:tcBorders>
            <w:vAlign w:val="center"/>
          </w:tcPr>
          <w:p w14:paraId="3C9E9B4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416E7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5B3DE1F">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405D4B8A">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5627C5C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4EDB123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0.07162</w:t>
            </w:r>
          </w:p>
        </w:tc>
        <w:tc>
          <w:tcPr>
            <w:tcW w:w="1268" w:type="dxa"/>
            <w:tcBorders>
              <w:tl2br w:val="nil"/>
              <w:tr2bl w:val="nil"/>
            </w:tcBorders>
            <w:vAlign w:val="center"/>
          </w:tcPr>
          <w:p w14:paraId="4555FD2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0.048 </w:t>
            </w:r>
          </w:p>
        </w:tc>
        <w:tc>
          <w:tcPr>
            <w:tcW w:w="1680" w:type="dxa"/>
            <w:tcBorders>
              <w:tl2br w:val="nil"/>
              <w:tr2bl w:val="nil"/>
            </w:tcBorders>
            <w:vAlign w:val="center"/>
          </w:tcPr>
          <w:p w14:paraId="0EDCA33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13F09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627D705">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0170C41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立功村</w:t>
            </w:r>
          </w:p>
        </w:tc>
        <w:tc>
          <w:tcPr>
            <w:tcW w:w="1006" w:type="dxa"/>
            <w:tcBorders>
              <w:tl2br w:val="nil"/>
              <w:tr2bl w:val="nil"/>
            </w:tcBorders>
            <w:vAlign w:val="center"/>
          </w:tcPr>
          <w:p w14:paraId="5E1F880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7AB3A24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0.00626</w:t>
            </w:r>
          </w:p>
        </w:tc>
        <w:tc>
          <w:tcPr>
            <w:tcW w:w="1268" w:type="dxa"/>
            <w:tcBorders>
              <w:tl2br w:val="nil"/>
              <w:tr2bl w:val="nil"/>
            </w:tcBorders>
            <w:vAlign w:val="center"/>
          </w:tcPr>
          <w:p w14:paraId="5864981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0.009 </w:t>
            </w:r>
          </w:p>
        </w:tc>
        <w:tc>
          <w:tcPr>
            <w:tcW w:w="1680" w:type="dxa"/>
            <w:tcBorders>
              <w:tl2br w:val="nil"/>
              <w:tr2bl w:val="nil"/>
            </w:tcBorders>
            <w:vAlign w:val="center"/>
          </w:tcPr>
          <w:p w14:paraId="262C7E2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01747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F7A2563">
            <w:pPr>
              <w:spacing w:line="320" w:lineRule="exact"/>
              <w:jc w:val="center"/>
              <w:rPr>
                <w:rFonts w:ascii="宋体" w:hAnsi="宋体" w:eastAsia="宋体" w:cs="Times New Roman"/>
                <w:color w:val="auto"/>
              </w:rPr>
            </w:pPr>
          </w:p>
        </w:tc>
        <w:tc>
          <w:tcPr>
            <w:tcW w:w="2370" w:type="dxa"/>
            <w:tcBorders>
              <w:tl2br w:val="nil"/>
              <w:tr2bl w:val="nil"/>
            </w:tcBorders>
            <w:vAlign w:val="center"/>
          </w:tcPr>
          <w:p w14:paraId="5BF90501">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7B41E07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294DEF2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0.05164</w:t>
            </w:r>
          </w:p>
        </w:tc>
        <w:tc>
          <w:tcPr>
            <w:tcW w:w="1268" w:type="dxa"/>
            <w:tcBorders>
              <w:tl2br w:val="nil"/>
              <w:tr2bl w:val="nil"/>
            </w:tcBorders>
            <w:vAlign w:val="center"/>
          </w:tcPr>
          <w:p w14:paraId="2DDD948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0.034 </w:t>
            </w:r>
          </w:p>
        </w:tc>
        <w:tc>
          <w:tcPr>
            <w:tcW w:w="1680" w:type="dxa"/>
            <w:tcBorders>
              <w:tl2br w:val="nil"/>
              <w:tr2bl w:val="nil"/>
            </w:tcBorders>
            <w:vAlign w:val="center"/>
          </w:tcPr>
          <w:p w14:paraId="28989AB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128FC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C5AC376">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7109849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华南屯</w:t>
            </w:r>
          </w:p>
        </w:tc>
        <w:tc>
          <w:tcPr>
            <w:tcW w:w="1006" w:type="dxa"/>
            <w:tcBorders>
              <w:tl2br w:val="nil"/>
              <w:tr2bl w:val="nil"/>
            </w:tcBorders>
            <w:vAlign w:val="center"/>
          </w:tcPr>
          <w:p w14:paraId="152FC06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63F5613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0.00815</w:t>
            </w:r>
          </w:p>
        </w:tc>
        <w:tc>
          <w:tcPr>
            <w:tcW w:w="1268" w:type="dxa"/>
            <w:tcBorders>
              <w:tl2br w:val="nil"/>
              <w:tr2bl w:val="nil"/>
            </w:tcBorders>
            <w:vAlign w:val="center"/>
          </w:tcPr>
          <w:p w14:paraId="579FA2D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0.012 </w:t>
            </w:r>
          </w:p>
        </w:tc>
        <w:tc>
          <w:tcPr>
            <w:tcW w:w="1680" w:type="dxa"/>
            <w:tcBorders>
              <w:tl2br w:val="nil"/>
              <w:tr2bl w:val="nil"/>
            </w:tcBorders>
            <w:vAlign w:val="center"/>
          </w:tcPr>
          <w:p w14:paraId="2236275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69E43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0F616C8">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6BD4D344">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5EB9C50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17C8519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0.04965</w:t>
            </w:r>
          </w:p>
        </w:tc>
        <w:tc>
          <w:tcPr>
            <w:tcW w:w="1268" w:type="dxa"/>
            <w:tcBorders>
              <w:tl2br w:val="nil"/>
              <w:tr2bl w:val="nil"/>
            </w:tcBorders>
            <w:vAlign w:val="center"/>
          </w:tcPr>
          <w:p w14:paraId="7AEFFD7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0.033 </w:t>
            </w:r>
          </w:p>
        </w:tc>
        <w:tc>
          <w:tcPr>
            <w:tcW w:w="1680" w:type="dxa"/>
            <w:tcBorders>
              <w:tl2br w:val="nil"/>
              <w:tr2bl w:val="nil"/>
            </w:tcBorders>
            <w:vAlign w:val="center"/>
          </w:tcPr>
          <w:p w14:paraId="63DB29E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BF79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3A1119A">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052D23C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李彦和屯</w:t>
            </w:r>
          </w:p>
        </w:tc>
        <w:tc>
          <w:tcPr>
            <w:tcW w:w="1006" w:type="dxa"/>
            <w:tcBorders>
              <w:tl2br w:val="nil"/>
              <w:tr2bl w:val="nil"/>
            </w:tcBorders>
            <w:vAlign w:val="center"/>
          </w:tcPr>
          <w:p w14:paraId="2FC2534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4D007C7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0.00792</w:t>
            </w:r>
          </w:p>
        </w:tc>
        <w:tc>
          <w:tcPr>
            <w:tcW w:w="1268" w:type="dxa"/>
            <w:tcBorders>
              <w:tl2br w:val="nil"/>
              <w:tr2bl w:val="nil"/>
            </w:tcBorders>
            <w:vAlign w:val="center"/>
          </w:tcPr>
          <w:p w14:paraId="26B2CBC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0.011 </w:t>
            </w:r>
          </w:p>
        </w:tc>
        <w:tc>
          <w:tcPr>
            <w:tcW w:w="1680" w:type="dxa"/>
            <w:tcBorders>
              <w:tl2br w:val="nil"/>
              <w:tr2bl w:val="nil"/>
            </w:tcBorders>
            <w:vAlign w:val="center"/>
          </w:tcPr>
          <w:p w14:paraId="343F504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57495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38B4B50">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71D535F8">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1B84593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3F60539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0.04717</w:t>
            </w:r>
          </w:p>
        </w:tc>
        <w:tc>
          <w:tcPr>
            <w:tcW w:w="1268" w:type="dxa"/>
            <w:tcBorders>
              <w:tl2br w:val="nil"/>
              <w:tr2bl w:val="nil"/>
            </w:tcBorders>
            <w:vAlign w:val="center"/>
          </w:tcPr>
          <w:p w14:paraId="6D73F7A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0.031 </w:t>
            </w:r>
          </w:p>
        </w:tc>
        <w:tc>
          <w:tcPr>
            <w:tcW w:w="1680" w:type="dxa"/>
            <w:tcBorders>
              <w:tl2br w:val="nil"/>
              <w:tr2bl w:val="nil"/>
            </w:tcBorders>
            <w:vAlign w:val="center"/>
          </w:tcPr>
          <w:p w14:paraId="14F0070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1698C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466AC86">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61F54D2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后欧力马屯</w:t>
            </w:r>
          </w:p>
        </w:tc>
        <w:tc>
          <w:tcPr>
            <w:tcW w:w="1006" w:type="dxa"/>
            <w:tcBorders>
              <w:tl2br w:val="nil"/>
              <w:tr2bl w:val="nil"/>
            </w:tcBorders>
            <w:vAlign w:val="center"/>
          </w:tcPr>
          <w:p w14:paraId="1A9D74B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25923B2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0.02169</w:t>
            </w:r>
          </w:p>
        </w:tc>
        <w:tc>
          <w:tcPr>
            <w:tcW w:w="1268" w:type="dxa"/>
            <w:tcBorders>
              <w:tl2br w:val="nil"/>
              <w:tr2bl w:val="nil"/>
            </w:tcBorders>
            <w:vAlign w:val="center"/>
          </w:tcPr>
          <w:p w14:paraId="75F468B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0.031 </w:t>
            </w:r>
          </w:p>
        </w:tc>
        <w:tc>
          <w:tcPr>
            <w:tcW w:w="1680" w:type="dxa"/>
            <w:tcBorders>
              <w:tl2br w:val="nil"/>
              <w:tr2bl w:val="nil"/>
            </w:tcBorders>
            <w:vAlign w:val="center"/>
          </w:tcPr>
          <w:p w14:paraId="3C61FFA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36E06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975" w:type="dxa"/>
            <w:vMerge w:val="continue"/>
            <w:tcBorders>
              <w:tl2br w:val="nil"/>
              <w:tr2bl w:val="nil"/>
            </w:tcBorders>
            <w:vAlign w:val="center"/>
          </w:tcPr>
          <w:p w14:paraId="7EAC228E">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CB6955A">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738C699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6CBBEC7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0.11455</w:t>
            </w:r>
          </w:p>
        </w:tc>
        <w:tc>
          <w:tcPr>
            <w:tcW w:w="1268" w:type="dxa"/>
            <w:tcBorders>
              <w:tl2br w:val="nil"/>
              <w:tr2bl w:val="nil"/>
            </w:tcBorders>
            <w:vAlign w:val="center"/>
          </w:tcPr>
          <w:p w14:paraId="006C9CC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0.076 </w:t>
            </w:r>
          </w:p>
        </w:tc>
        <w:tc>
          <w:tcPr>
            <w:tcW w:w="1680" w:type="dxa"/>
            <w:tcBorders>
              <w:tl2br w:val="nil"/>
              <w:tr2bl w:val="nil"/>
            </w:tcBorders>
            <w:vAlign w:val="center"/>
          </w:tcPr>
          <w:p w14:paraId="61C753A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A38D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A471398">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73C7844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对青岗子屯</w:t>
            </w:r>
          </w:p>
        </w:tc>
        <w:tc>
          <w:tcPr>
            <w:tcW w:w="1006" w:type="dxa"/>
            <w:tcBorders>
              <w:tl2br w:val="nil"/>
              <w:tr2bl w:val="nil"/>
            </w:tcBorders>
            <w:vAlign w:val="center"/>
          </w:tcPr>
          <w:p w14:paraId="482BBF9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5161C51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0.00863</w:t>
            </w:r>
          </w:p>
        </w:tc>
        <w:tc>
          <w:tcPr>
            <w:tcW w:w="1268" w:type="dxa"/>
            <w:tcBorders>
              <w:tl2br w:val="nil"/>
              <w:tr2bl w:val="nil"/>
            </w:tcBorders>
            <w:vAlign w:val="center"/>
          </w:tcPr>
          <w:p w14:paraId="2ED3F1C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0.012 </w:t>
            </w:r>
          </w:p>
        </w:tc>
        <w:tc>
          <w:tcPr>
            <w:tcW w:w="1680" w:type="dxa"/>
            <w:tcBorders>
              <w:tl2br w:val="nil"/>
              <w:tr2bl w:val="nil"/>
            </w:tcBorders>
            <w:vAlign w:val="center"/>
          </w:tcPr>
          <w:p w14:paraId="13EE5B7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491D2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975" w:type="dxa"/>
            <w:vMerge w:val="continue"/>
            <w:tcBorders>
              <w:tl2br w:val="nil"/>
              <w:tr2bl w:val="nil"/>
            </w:tcBorders>
            <w:vAlign w:val="center"/>
          </w:tcPr>
          <w:p w14:paraId="3298F9FD">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31BB317B">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75661BF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694BBC3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0.06215</w:t>
            </w:r>
          </w:p>
        </w:tc>
        <w:tc>
          <w:tcPr>
            <w:tcW w:w="1268" w:type="dxa"/>
            <w:tcBorders>
              <w:tl2br w:val="nil"/>
              <w:tr2bl w:val="nil"/>
            </w:tcBorders>
            <w:vAlign w:val="center"/>
          </w:tcPr>
          <w:p w14:paraId="1980F3A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0.041 </w:t>
            </w:r>
          </w:p>
        </w:tc>
        <w:tc>
          <w:tcPr>
            <w:tcW w:w="1680" w:type="dxa"/>
            <w:tcBorders>
              <w:tl2br w:val="nil"/>
              <w:tr2bl w:val="nil"/>
            </w:tcBorders>
            <w:vAlign w:val="center"/>
          </w:tcPr>
          <w:p w14:paraId="031148A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3881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E1AC403">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63DEA69E">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6FAADB3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l2br w:val="nil"/>
              <w:tr2bl w:val="nil"/>
            </w:tcBorders>
            <w:vAlign w:val="center"/>
          </w:tcPr>
          <w:p w14:paraId="08A94C7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0.33228</w:t>
            </w:r>
          </w:p>
        </w:tc>
        <w:tc>
          <w:tcPr>
            <w:tcW w:w="1268" w:type="dxa"/>
            <w:tcBorders>
              <w:tl2br w:val="nil"/>
              <w:tr2bl w:val="nil"/>
            </w:tcBorders>
            <w:vAlign w:val="center"/>
          </w:tcPr>
          <w:p w14:paraId="61E81A2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0.008 </w:t>
            </w:r>
          </w:p>
        </w:tc>
        <w:tc>
          <w:tcPr>
            <w:tcW w:w="1680" w:type="dxa"/>
            <w:tcBorders>
              <w:tl2br w:val="nil"/>
              <w:tr2bl w:val="nil"/>
            </w:tcBorders>
            <w:vAlign w:val="center"/>
          </w:tcPr>
          <w:p w14:paraId="2040DDC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030A5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61FB366">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4932264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蒙古屯</w:t>
            </w:r>
          </w:p>
        </w:tc>
        <w:tc>
          <w:tcPr>
            <w:tcW w:w="1006" w:type="dxa"/>
            <w:tcBorders>
              <w:tl2br w:val="nil"/>
              <w:tr2bl w:val="nil"/>
            </w:tcBorders>
            <w:vAlign w:val="center"/>
          </w:tcPr>
          <w:p w14:paraId="23F40E1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64CCA7E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0.00572</w:t>
            </w:r>
          </w:p>
        </w:tc>
        <w:tc>
          <w:tcPr>
            <w:tcW w:w="1268" w:type="dxa"/>
            <w:tcBorders>
              <w:tl2br w:val="nil"/>
              <w:tr2bl w:val="nil"/>
            </w:tcBorders>
            <w:vAlign w:val="center"/>
          </w:tcPr>
          <w:p w14:paraId="1A52EB5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0.036 </w:t>
            </w:r>
          </w:p>
        </w:tc>
        <w:tc>
          <w:tcPr>
            <w:tcW w:w="1680" w:type="dxa"/>
            <w:tcBorders>
              <w:tl2br w:val="nil"/>
              <w:tr2bl w:val="nil"/>
            </w:tcBorders>
            <w:vAlign w:val="center"/>
          </w:tcPr>
          <w:p w14:paraId="7A1B43F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12F7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FD82858">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62909BA0">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60AF29E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3AE8836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0.05462</w:t>
            </w:r>
          </w:p>
        </w:tc>
        <w:tc>
          <w:tcPr>
            <w:tcW w:w="1268" w:type="dxa"/>
            <w:tcBorders>
              <w:tl2br w:val="nil"/>
              <w:tr2bl w:val="nil"/>
            </w:tcBorders>
            <w:vAlign w:val="center"/>
          </w:tcPr>
          <w:p w14:paraId="0504D3A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0.014 </w:t>
            </w:r>
          </w:p>
        </w:tc>
        <w:tc>
          <w:tcPr>
            <w:tcW w:w="1680" w:type="dxa"/>
            <w:tcBorders>
              <w:tl2br w:val="nil"/>
              <w:tr2bl w:val="nil"/>
            </w:tcBorders>
            <w:vAlign w:val="center"/>
          </w:tcPr>
          <w:p w14:paraId="2538054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44D5D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53505F9">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1E32F0C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王家园子屯</w:t>
            </w:r>
          </w:p>
        </w:tc>
        <w:tc>
          <w:tcPr>
            <w:tcW w:w="1006" w:type="dxa"/>
            <w:tcBorders>
              <w:tl2br w:val="nil"/>
              <w:tr2bl w:val="nil"/>
            </w:tcBorders>
            <w:vAlign w:val="center"/>
          </w:tcPr>
          <w:p w14:paraId="234CF66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5A950ED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0.00977</w:t>
            </w:r>
          </w:p>
        </w:tc>
        <w:tc>
          <w:tcPr>
            <w:tcW w:w="1268" w:type="dxa"/>
            <w:tcBorders>
              <w:tl2br w:val="nil"/>
              <w:tr2bl w:val="nil"/>
            </w:tcBorders>
            <w:vAlign w:val="center"/>
          </w:tcPr>
          <w:p w14:paraId="2367A7B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0.049 </w:t>
            </w:r>
          </w:p>
        </w:tc>
        <w:tc>
          <w:tcPr>
            <w:tcW w:w="1680" w:type="dxa"/>
            <w:tcBorders>
              <w:tl2br w:val="nil"/>
              <w:tr2bl w:val="nil"/>
            </w:tcBorders>
            <w:vAlign w:val="center"/>
          </w:tcPr>
          <w:p w14:paraId="5A99441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18FF5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A1E3D0B">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5518AD68">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2EC1438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4748563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0.07344</w:t>
            </w:r>
          </w:p>
        </w:tc>
        <w:tc>
          <w:tcPr>
            <w:tcW w:w="1268" w:type="dxa"/>
            <w:tcBorders>
              <w:tl2br w:val="nil"/>
              <w:tr2bl w:val="nil"/>
            </w:tcBorders>
            <w:vAlign w:val="center"/>
          </w:tcPr>
          <w:p w14:paraId="3D20D42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0.000 </w:t>
            </w:r>
          </w:p>
        </w:tc>
        <w:tc>
          <w:tcPr>
            <w:tcW w:w="1680" w:type="dxa"/>
            <w:tcBorders>
              <w:tl2br w:val="nil"/>
              <w:tr2bl w:val="nil"/>
            </w:tcBorders>
            <w:vAlign w:val="center"/>
          </w:tcPr>
          <w:p w14:paraId="2F7790E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32FD5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7892E92">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04CC454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和平乡</w:t>
            </w:r>
          </w:p>
        </w:tc>
        <w:tc>
          <w:tcPr>
            <w:tcW w:w="1006" w:type="dxa"/>
            <w:tcBorders>
              <w:tl2br w:val="nil"/>
              <w:tr2bl w:val="nil"/>
            </w:tcBorders>
            <w:vAlign w:val="center"/>
          </w:tcPr>
          <w:p w14:paraId="2B8A44A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72798E2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0.00327</w:t>
            </w:r>
          </w:p>
        </w:tc>
        <w:tc>
          <w:tcPr>
            <w:tcW w:w="1268" w:type="dxa"/>
            <w:tcBorders>
              <w:tl2br w:val="nil"/>
              <w:tr2bl w:val="nil"/>
            </w:tcBorders>
            <w:vAlign w:val="center"/>
          </w:tcPr>
          <w:p w14:paraId="3C4FE1F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0.021 </w:t>
            </w:r>
          </w:p>
        </w:tc>
        <w:tc>
          <w:tcPr>
            <w:tcW w:w="1680" w:type="dxa"/>
            <w:tcBorders>
              <w:tl2br w:val="nil"/>
              <w:tr2bl w:val="nil"/>
            </w:tcBorders>
            <w:vAlign w:val="center"/>
          </w:tcPr>
          <w:p w14:paraId="5F9D5CC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494B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BC5D81B">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30005E06">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1923DA5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0F7BB3A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0.0314</w:t>
            </w:r>
          </w:p>
        </w:tc>
        <w:tc>
          <w:tcPr>
            <w:tcW w:w="1268" w:type="dxa"/>
            <w:tcBorders>
              <w:tl2br w:val="nil"/>
              <w:tr2bl w:val="nil"/>
            </w:tcBorders>
            <w:vAlign w:val="center"/>
          </w:tcPr>
          <w:p w14:paraId="17A850D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2F32C21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6A736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E98CE3A">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472C76A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赵家围子屯</w:t>
            </w:r>
          </w:p>
        </w:tc>
        <w:tc>
          <w:tcPr>
            <w:tcW w:w="1006" w:type="dxa"/>
            <w:tcBorders>
              <w:tl2br w:val="nil"/>
              <w:tr2bl w:val="nil"/>
            </w:tcBorders>
            <w:vAlign w:val="center"/>
          </w:tcPr>
          <w:p w14:paraId="0FD036E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41D67CF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0.00325</w:t>
            </w:r>
          </w:p>
        </w:tc>
        <w:tc>
          <w:tcPr>
            <w:tcW w:w="1268" w:type="dxa"/>
            <w:tcBorders>
              <w:tl2br w:val="nil"/>
              <w:tr2bl w:val="nil"/>
            </w:tcBorders>
            <w:vAlign w:val="center"/>
          </w:tcPr>
          <w:p w14:paraId="5C856CD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0.040 </w:t>
            </w:r>
          </w:p>
        </w:tc>
        <w:tc>
          <w:tcPr>
            <w:tcW w:w="1680" w:type="dxa"/>
            <w:tcBorders>
              <w:tl2br w:val="nil"/>
              <w:tr2bl w:val="nil"/>
            </w:tcBorders>
            <w:vAlign w:val="center"/>
          </w:tcPr>
          <w:p w14:paraId="05AD752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4FED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8DABEB2">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AD2AB60">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6F054D4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3971861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0.06074</w:t>
            </w:r>
          </w:p>
        </w:tc>
        <w:tc>
          <w:tcPr>
            <w:tcW w:w="1268" w:type="dxa"/>
            <w:tcBorders>
              <w:tl2br w:val="nil"/>
              <w:tr2bl w:val="nil"/>
            </w:tcBorders>
            <w:vAlign w:val="center"/>
          </w:tcPr>
          <w:p w14:paraId="5332D5B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603E66E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59ACC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04220AE">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13ECA6A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吴家围子屯</w:t>
            </w:r>
          </w:p>
        </w:tc>
        <w:tc>
          <w:tcPr>
            <w:tcW w:w="1006" w:type="dxa"/>
            <w:tcBorders>
              <w:tl2br w:val="nil"/>
              <w:tr2bl w:val="nil"/>
            </w:tcBorders>
            <w:vAlign w:val="center"/>
          </w:tcPr>
          <w:p w14:paraId="78C3112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6E765BA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0.00331</w:t>
            </w:r>
          </w:p>
        </w:tc>
        <w:tc>
          <w:tcPr>
            <w:tcW w:w="1268" w:type="dxa"/>
            <w:tcBorders>
              <w:tl2br w:val="nil"/>
              <w:tr2bl w:val="nil"/>
            </w:tcBorders>
            <w:vAlign w:val="center"/>
          </w:tcPr>
          <w:p w14:paraId="4DA84A4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0.022 </w:t>
            </w:r>
          </w:p>
        </w:tc>
        <w:tc>
          <w:tcPr>
            <w:tcW w:w="1680" w:type="dxa"/>
            <w:tcBorders>
              <w:tl2br w:val="nil"/>
              <w:tr2bl w:val="nil"/>
            </w:tcBorders>
            <w:vAlign w:val="center"/>
          </w:tcPr>
          <w:p w14:paraId="4C36497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6ED5E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393CD6F">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683CEDBE">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04798AB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45CC19A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0.03366</w:t>
            </w:r>
          </w:p>
        </w:tc>
        <w:tc>
          <w:tcPr>
            <w:tcW w:w="1268" w:type="dxa"/>
            <w:tcBorders>
              <w:tl2br w:val="nil"/>
              <w:tr2bl w:val="nil"/>
            </w:tcBorders>
            <w:vAlign w:val="center"/>
          </w:tcPr>
          <w:p w14:paraId="4201D15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0.000 </w:t>
            </w:r>
          </w:p>
        </w:tc>
        <w:tc>
          <w:tcPr>
            <w:tcW w:w="1680" w:type="dxa"/>
            <w:tcBorders>
              <w:tl2br w:val="nil"/>
              <w:tr2bl w:val="nil"/>
            </w:tcBorders>
            <w:vAlign w:val="center"/>
          </w:tcPr>
          <w:p w14:paraId="5AC9127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2AF00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1EC4CA0F">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7E88609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孙家围子屯</w:t>
            </w:r>
          </w:p>
        </w:tc>
        <w:tc>
          <w:tcPr>
            <w:tcW w:w="1006" w:type="dxa"/>
            <w:tcBorders>
              <w:tl2br w:val="nil"/>
              <w:tr2bl w:val="nil"/>
            </w:tcBorders>
            <w:vAlign w:val="center"/>
          </w:tcPr>
          <w:p w14:paraId="50EF459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064DBB0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0.00209</w:t>
            </w:r>
          </w:p>
        </w:tc>
        <w:tc>
          <w:tcPr>
            <w:tcW w:w="1268" w:type="dxa"/>
            <w:tcBorders>
              <w:tl2br w:val="nil"/>
              <w:tr2bl w:val="nil"/>
            </w:tcBorders>
            <w:vAlign w:val="center"/>
          </w:tcPr>
          <w:p w14:paraId="6F0DAB9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0.021 </w:t>
            </w:r>
          </w:p>
        </w:tc>
        <w:tc>
          <w:tcPr>
            <w:tcW w:w="1680" w:type="dxa"/>
            <w:tcBorders>
              <w:tl2br w:val="nil"/>
              <w:tr2bl w:val="nil"/>
            </w:tcBorders>
            <w:vAlign w:val="center"/>
          </w:tcPr>
          <w:p w14:paraId="7A7D108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1624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52E8A2B">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7577776C">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032D685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0008A00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0.03147</w:t>
            </w:r>
          </w:p>
        </w:tc>
        <w:tc>
          <w:tcPr>
            <w:tcW w:w="1268" w:type="dxa"/>
            <w:tcBorders>
              <w:tl2br w:val="nil"/>
              <w:tr2bl w:val="nil"/>
            </w:tcBorders>
            <w:vAlign w:val="center"/>
          </w:tcPr>
          <w:p w14:paraId="65F119B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0.002 </w:t>
            </w:r>
          </w:p>
        </w:tc>
        <w:tc>
          <w:tcPr>
            <w:tcW w:w="1680" w:type="dxa"/>
            <w:tcBorders>
              <w:tl2br w:val="nil"/>
              <w:tr2bl w:val="nil"/>
            </w:tcBorders>
            <w:vAlign w:val="center"/>
          </w:tcPr>
          <w:p w14:paraId="6D758AF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49FAA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424AE0A2">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4D98769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四方山屯</w:t>
            </w:r>
          </w:p>
        </w:tc>
        <w:tc>
          <w:tcPr>
            <w:tcW w:w="1006" w:type="dxa"/>
            <w:tcBorders>
              <w:tl2br w:val="nil"/>
              <w:tr2bl w:val="nil"/>
            </w:tcBorders>
            <w:vAlign w:val="center"/>
          </w:tcPr>
          <w:p w14:paraId="6D09C96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2B816D9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0.00152</w:t>
            </w:r>
          </w:p>
        </w:tc>
        <w:tc>
          <w:tcPr>
            <w:tcW w:w="1268" w:type="dxa"/>
            <w:tcBorders>
              <w:tl2br w:val="nil"/>
              <w:tr2bl w:val="nil"/>
            </w:tcBorders>
            <w:vAlign w:val="center"/>
          </w:tcPr>
          <w:p w14:paraId="1F56BBD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0.010 </w:t>
            </w:r>
          </w:p>
        </w:tc>
        <w:tc>
          <w:tcPr>
            <w:tcW w:w="1680" w:type="dxa"/>
            <w:tcBorders>
              <w:tl2br w:val="nil"/>
              <w:tr2bl w:val="nil"/>
            </w:tcBorders>
            <w:vAlign w:val="center"/>
          </w:tcPr>
          <w:p w14:paraId="5D70C32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0429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EE3B516">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70A6D90B">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4BE162D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2099EF6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0.01551</w:t>
            </w:r>
          </w:p>
        </w:tc>
        <w:tc>
          <w:tcPr>
            <w:tcW w:w="1268" w:type="dxa"/>
            <w:tcBorders>
              <w:tl2br w:val="nil"/>
              <w:tr2bl w:val="nil"/>
            </w:tcBorders>
            <w:vAlign w:val="center"/>
          </w:tcPr>
          <w:p w14:paraId="4C81403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0.002 </w:t>
            </w:r>
          </w:p>
        </w:tc>
        <w:tc>
          <w:tcPr>
            <w:tcW w:w="1680" w:type="dxa"/>
            <w:tcBorders>
              <w:tl2br w:val="nil"/>
              <w:tr2bl w:val="nil"/>
            </w:tcBorders>
            <w:vAlign w:val="center"/>
          </w:tcPr>
          <w:p w14:paraId="15887D7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00167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6AD355E">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3DE513D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小东屯</w:t>
            </w:r>
          </w:p>
        </w:tc>
        <w:tc>
          <w:tcPr>
            <w:tcW w:w="1006" w:type="dxa"/>
            <w:tcBorders>
              <w:tl2br w:val="nil"/>
              <w:tr2bl w:val="nil"/>
            </w:tcBorders>
            <w:vAlign w:val="center"/>
          </w:tcPr>
          <w:p w14:paraId="1836FDE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10B6E50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0.00135</w:t>
            </w:r>
          </w:p>
        </w:tc>
        <w:tc>
          <w:tcPr>
            <w:tcW w:w="1268" w:type="dxa"/>
            <w:tcBorders>
              <w:tl2br w:val="nil"/>
              <w:tr2bl w:val="nil"/>
            </w:tcBorders>
            <w:vAlign w:val="center"/>
          </w:tcPr>
          <w:p w14:paraId="537DF9A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0.012 </w:t>
            </w:r>
          </w:p>
        </w:tc>
        <w:tc>
          <w:tcPr>
            <w:tcW w:w="1680" w:type="dxa"/>
            <w:tcBorders>
              <w:tl2br w:val="nil"/>
              <w:tr2bl w:val="nil"/>
            </w:tcBorders>
            <w:vAlign w:val="center"/>
          </w:tcPr>
          <w:p w14:paraId="22DFD5B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6B50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7EB64DE">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1C898214">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624FE9E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2ECCCB9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0.01845</w:t>
            </w:r>
          </w:p>
        </w:tc>
        <w:tc>
          <w:tcPr>
            <w:tcW w:w="1268" w:type="dxa"/>
            <w:tcBorders>
              <w:tl2br w:val="nil"/>
              <w:tr2bl w:val="nil"/>
            </w:tcBorders>
            <w:vAlign w:val="center"/>
          </w:tcPr>
          <w:p w14:paraId="01ABFC3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0.003 </w:t>
            </w:r>
          </w:p>
        </w:tc>
        <w:tc>
          <w:tcPr>
            <w:tcW w:w="1680" w:type="dxa"/>
            <w:tcBorders>
              <w:tl2br w:val="nil"/>
              <w:tr2bl w:val="nil"/>
            </w:tcBorders>
            <w:vAlign w:val="center"/>
          </w:tcPr>
          <w:p w14:paraId="3DF7639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2FB7A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B2BD175">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5B0F793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奎中里屯</w:t>
            </w:r>
          </w:p>
        </w:tc>
        <w:tc>
          <w:tcPr>
            <w:tcW w:w="1006" w:type="dxa"/>
            <w:tcBorders>
              <w:tl2br w:val="nil"/>
              <w:tr2bl w:val="nil"/>
            </w:tcBorders>
            <w:vAlign w:val="center"/>
          </w:tcPr>
          <w:p w14:paraId="7BAA8C7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58DCC99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0.00198</w:t>
            </w:r>
          </w:p>
        </w:tc>
        <w:tc>
          <w:tcPr>
            <w:tcW w:w="1268" w:type="dxa"/>
            <w:tcBorders>
              <w:tl2br w:val="nil"/>
              <w:tr2bl w:val="nil"/>
            </w:tcBorders>
            <w:vAlign w:val="center"/>
          </w:tcPr>
          <w:p w14:paraId="292E7D9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0.020 </w:t>
            </w:r>
          </w:p>
        </w:tc>
        <w:tc>
          <w:tcPr>
            <w:tcW w:w="1680" w:type="dxa"/>
            <w:tcBorders>
              <w:tl2br w:val="nil"/>
              <w:tr2bl w:val="nil"/>
            </w:tcBorders>
            <w:vAlign w:val="center"/>
          </w:tcPr>
          <w:p w14:paraId="779524F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8D4C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3336047A">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3A567E8F">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2341FD4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359F6C8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0.03051</w:t>
            </w:r>
          </w:p>
        </w:tc>
        <w:tc>
          <w:tcPr>
            <w:tcW w:w="1268" w:type="dxa"/>
            <w:tcBorders>
              <w:tl2br w:val="nil"/>
              <w:tr2bl w:val="nil"/>
            </w:tcBorders>
            <w:vAlign w:val="center"/>
          </w:tcPr>
          <w:p w14:paraId="4012828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212663F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28DC2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50D9198">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4975EFE">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5E2409F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tcBorders>
              <w:tl2br w:val="nil"/>
              <w:tr2bl w:val="nil"/>
            </w:tcBorders>
            <w:vAlign w:val="center"/>
          </w:tcPr>
          <w:p w14:paraId="279F44D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0.12576</w:t>
            </w:r>
          </w:p>
        </w:tc>
        <w:tc>
          <w:tcPr>
            <w:tcW w:w="1268" w:type="dxa"/>
            <w:tcBorders>
              <w:tl2br w:val="nil"/>
              <w:tr2bl w:val="nil"/>
            </w:tcBorders>
            <w:vAlign w:val="center"/>
          </w:tcPr>
          <w:p w14:paraId="241FB19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0.007 </w:t>
            </w:r>
          </w:p>
        </w:tc>
        <w:tc>
          <w:tcPr>
            <w:tcW w:w="1680" w:type="dxa"/>
            <w:tcBorders>
              <w:tl2br w:val="nil"/>
              <w:tr2bl w:val="nil"/>
            </w:tcBorders>
            <w:vAlign w:val="center"/>
          </w:tcPr>
          <w:p w14:paraId="6EED838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0527B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2088BD9A">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38DE7E4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东兴村</w:t>
            </w:r>
          </w:p>
        </w:tc>
        <w:tc>
          <w:tcPr>
            <w:tcW w:w="1006" w:type="dxa"/>
            <w:tcBorders>
              <w:tl2br w:val="nil"/>
              <w:tr2bl w:val="nil"/>
            </w:tcBorders>
            <w:vAlign w:val="center"/>
          </w:tcPr>
          <w:p w14:paraId="4A9F78F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62F1137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0.00097</w:t>
            </w:r>
          </w:p>
        </w:tc>
        <w:tc>
          <w:tcPr>
            <w:tcW w:w="1268" w:type="dxa"/>
            <w:tcBorders>
              <w:tl2br w:val="nil"/>
              <w:tr2bl w:val="nil"/>
            </w:tcBorders>
            <w:vAlign w:val="center"/>
          </w:tcPr>
          <w:p w14:paraId="5583C33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3AE52E2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012AA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EFE9F5E">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6934B10A">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2578A8F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20F61D5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0.01053</w:t>
            </w:r>
          </w:p>
        </w:tc>
        <w:tc>
          <w:tcPr>
            <w:tcW w:w="1268" w:type="dxa"/>
            <w:tcBorders>
              <w:tl2br w:val="nil"/>
              <w:tr2bl w:val="nil"/>
            </w:tcBorders>
            <w:vAlign w:val="center"/>
          </w:tcPr>
          <w:p w14:paraId="1CD13D4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0.009 </w:t>
            </w:r>
          </w:p>
        </w:tc>
        <w:tc>
          <w:tcPr>
            <w:tcW w:w="1680" w:type="dxa"/>
            <w:tcBorders>
              <w:tl2br w:val="nil"/>
              <w:tr2bl w:val="nil"/>
            </w:tcBorders>
            <w:vAlign w:val="center"/>
          </w:tcPr>
          <w:p w14:paraId="22285AA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26FA0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5CBB8EEF">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22675F2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迟家屯</w:t>
            </w:r>
          </w:p>
        </w:tc>
        <w:tc>
          <w:tcPr>
            <w:tcW w:w="1006" w:type="dxa"/>
            <w:tcBorders>
              <w:tl2br w:val="nil"/>
              <w:tr2bl w:val="nil"/>
            </w:tcBorders>
            <w:vAlign w:val="center"/>
          </w:tcPr>
          <w:p w14:paraId="72BA824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7823FA0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0.00093</w:t>
            </w:r>
          </w:p>
        </w:tc>
        <w:tc>
          <w:tcPr>
            <w:tcW w:w="1268" w:type="dxa"/>
            <w:tcBorders>
              <w:tl2br w:val="nil"/>
              <w:tr2bl w:val="nil"/>
            </w:tcBorders>
            <w:vAlign w:val="center"/>
          </w:tcPr>
          <w:p w14:paraId="173D1AC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1E39B5A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26F47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6172AE7D">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079CDC43">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27BAAA9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3F2E474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0.01354</w:t>
            </w:r>
          </w:p>
        </w:tc>
        <w:tc>
          <w:tcPr>
            <w:tcW w:w="1268" w:type="dxa"/>
            <w:tcBorders>
              <w:tl2br w:val="nil"/>
              <w:tr2bl w:val="nil"/>
            </w:tcBorders>
            <w:vAlign w:val="center"/>
          </w:tcPr>
          <w:p w14:paraId="6D7251E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0.007 </w:t>
            </w:r>
          </w:p>
        </w:tc>
        <w:tc>
          <w:tcPr>
            <w:tcW w:w="1680" w:type="dxa"/>
            <w:tcBorders>
              <w:tl2br w:val="nil"/>
              <w:tr2bl w:val="nil"/>
            </w:tcBorders>
            <w:vAlign w:val="center"/>
          </w:tcPr>
          <w:p w14:paraId="55BBF6B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D8BD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0AF3044D">
            <w:pPr>
              <w:spacing w:line="320" w:lineRule="exact"/>
              <w:jc w:val="center"/>
              <w:rPr>
                <w:rFonts w:ascii="宋体" w:hAnsi="宋体" w:eastAsia="宋体" w:cs="Times New Roman"/>
                <w:color w:val="auto"/>
              </w:rPr>
            </w:pPr>
          </w:p>
        </w:tc>
        <w:tc>
          <w:tcPr>
            <w:tcW w:w="2370" w:type="dxa"/>
            <w:vMerge w:val="restart"/>
            <w:tcBorders>
              <w:tl2br w:val="nil"/>
              <w:tr2bl w:val="nil"/>
            </w:tcBorders>
            <w:vAlign w:val="center"/>
          </w:tcPr>
          <w:p w14:paraId="27F8C2F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肇源镇</w:t>
            </w:r>
          </w:p>
        </w:tc>
        <w:tc>
          <w:tcPr>
            <w:tcW w:w="1006" w:type="dxa"/>
            <w:tcBorders>
              <w:tl2br w:val="nil"/>
              <w:tr2bl w:val="nil"/>
            </w:tcBorders>
            <w:vAlign w:val="center"/>
          </w:tcPr>
          <w:p w14:paraId="0D5CFC3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tcBorders>
              <w:tl2br w:val="nil"/>
              <w:tr2bl w:val="nil"/>
            </w:tcBorders>
            <w:vAlign w:val="center"/>
          </w:tcPr>
          <w:p w14:paraId="4343919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0.00062</w:t>
            </w:r>
          </w:p>
        </w:tc>
        <w:tc>
          <w:tcPr>
            <w:tcW w:w="1268" w:type="dxa"/>
            <w:tcBorders>
              <w:tl2br w:val="nil"/>
              <w:tr2bl w:val="nil"/>
            </w:tcBorders>
            <w:vAlign w:val="center"/>
          </w:tcPr>
          <w:p w14:paraId="1234DA4C">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0.001 </w:t>
            </w:r>
          </w:p>
        </w:tc>
        <w:tc>
          <w:tcPr>
            <w:tcW w:w="1680" w:type="dxa"/>
            <w:tcBorders>
              <w:tl2br w:val="nil"/>
              <w:tr2bl w:val="nil"/>
            </w:tcBorders>
            <w:vAlign w:val="center"/>
          </w:tcPr>
          <w:p w14:paraId="10A74EE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5AE56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Borders>
              <w:tl2br w:val="nil"/>
              <w:tr2bl w:val="nil"/>
            </w:tcBorders>
            <w:vAlign w:val="center"/>
          </w:tcPr>
          <w:p w14:paraId="7900709E">
            <w:pPr>
              <w:spacing w:line="320" w:lineRule="exact"/>
              <w:jc w:val="center"/>
              <w:rPr>
                <w:rFonts w:ascii="宋体" w:hAnsi="宋体" w:eastAsia="宋体" w:cs="Times New Roman"/>
                <w:color w:val="auto"/>
              </w:rPr>
            </w:pPr>
          </w:p>
        </w:tc>
        <w:tc>
          <w:tcPr>
            <w:tcW w:w="2370" w:type="dxa"/>
            <w:vMerge w:val="continue"/>
            <w:tcBorders>
              <w:tl2br w:val="nil"/>
              <w:tr2bl w:val="nil"/>
            </w:tcBorders>
            <w:vAlign w:val="center"/>
          </w:tcPr>
          <w:p w14:paraId="20ED48EC">
            <w:pPr>
              <w:widowControl/>
              <w:jc w:val="center"/>
              <w:textAlignment w:val="center"/>
              <w:rPr>
                <w:rFonts w:ascii="宋体" w:hAnsi="宋体" w:eastAsia="宋体" w:cs="Times New Roman"/>
                <w:color w:val="auto"/>
                <w:lang w:bidi="ar"/>
              </w:rPr>
            </w:pPr>
          </w:p>
        </w:tc>
        <w:tc>
          <w:tcPr>
            <w:tcW w:w="1006" w:type="dxa"/>
            <w:tcBorders>
              <w:tl2br w:val="nil"/>
              <w:tr2bl w:val="nil"/>
            </w:tcBorders>
            <w:vAlign w:val="center"/>
          </w:tcPr>
          <w:p w14:paraId="4A13526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tcBorders>
              <w:tl2br w:val="nil"/>
              <w:tr2bl w:val="nil"/>
            </w:tcBorders>
            <w:vAlign w:val="center"/>
          </w:tcPr>
          <w:p w14:paraId="624C72D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0.01064</w:t>
            </w:r>
          </w:p>
        </w:tc>
        <w:tc>
          <w:tcPr>
            <w:tcW w:w="1268" w:type="dxa"/>
            <w:tcBorders>
              <w:tl2br w:val="nil"/>
              <w:tr2bl w:val="nil"/>
            </w:tcBorders>
            <w:vAlign w:val="center"/>
          </w:tcPr>
          <w:p w14:paraId="29DE518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0.005 </w:t>
            </w:r>
          </w:p>
        </w:tc>
        <w:tc>
          <w:tcPr>
            <w:tcW w:w="1680" w:type="dxa"/>
            <w:tcBorders>
              <w:tl2br w:val="nil"/>
              <w:tr2bl w:val="nil"/>
            </w:tcBorders>
            <w:vAlign w:val="center"/>
          </w:tcPr>
          <w:p w14:paraId="50EACDC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1C487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2E176490">
            <w:pPr>
              <w:spacing w:line="320" w:lineRule="exact"/>
              <w:jc w:val="center"/>
              <w:rPr>
                <w:rFonts w:ascii="宋体" w:hAnsi="宋体" w:eastAsia="宋体" w:cs="Times New Roman"/>
                <w:color w:val="auto"/>
              </w:rPr>
            </w:pPr>
          </w:p>
        </w:tc>
        <w:tc>
          <w:tcPr>
            <w:tcW w:w="2370" w:type="dxa"/>
            <w:vMerge w:val="continue"/>
            <w:vAlign w:val="center"/>
          </w:tcPr>
          <w:p w14:paraId="5279B26A">
            <w:pPr>
              <w:widowControl/>
              <w:jc w:val="center"/>
              <w:textAlignment w:val="center"/>
              <w:rPr>
                <w:rFonts w:ascii="宋体" w:hAnsi="宋体" w:eastAsia="宋体" w:cs="Times New Roman"/>
                <w:color w:val="auto"/>
                <w:lang w:bidi="ar"/>
              </w:rPr>
            </w:pPr>
          </w:p>
        </w:tc>
        <w:tc>
          <w:tcPr>
            <w:tcW w:w="1006" w:type="dxa"/>
            <w:vAlign w:val="center"/>
          </w:tcPr>
          <w:p w14:paraId="21BE7F0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vAlign w:val="center"/>
          </w:tcPr>
          <w:p w14:paraId="241AEB7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0.09112</w:t>
            </w:r>
          </w:p>
        </w:tc>
        <w:tc>
          <w:tcPr>
            <w:tcW w:w="1268" w:type="dxa"/>
            <w:vAlign w:val="center"/>
          </w:tcPr>
          <w:p w14:paraId="37C7B3C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0.001 </w:t>
            </w:r>
          </w:p>
        </w:tc>
        <w:tc>
          <w:tcPr>
            <w:tcW w:w="1680" w:type="dxa"/>
            <w:vAlign w:val="center"/>
          </w:tcPr>
          <w:p w14:paraId="0348D60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6676A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22B40D9F">
            <w:pPr>
              <w:spacing w:line="320" w:lineRule="exact"/>
              <w:jc w:val="center"/>
              <w:rPr>
                <w:rFonts w:ascii="宋体" w:hAnsi="宋体" w:eastAsia="宋体" w:cs="Times New Roman"/>
                <w:color w:val="auto"/>
              </w:rPr>
            </w:pPr>
          </w:p>
        </w:tc>
        <w:tc>
          <w:tcPr>
            <w:tcW w:w="2370" w:type="dxa"/>
            <w:vMerge w:val="restart"/>
            <w:vAlign w:val="center"/>
          </w:tcPr>
          <w:p w14:paraId="707B60C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大姚屯</w:t>
            </w:r>
          </w:p>
        </w:tc>
        <w:tc>
          <w:tcPr>
            <w:tcW w:w="1006" w:type="dxa"/>
            <w:vAlign w:val="center"/>
          </w:tcPr>
          <w:p w14:paraId="483BBDB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vAlign w:val="center"/>
          </w:tcPr>
          <w:p w14:paraId="36E98A5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0.00047</w:t>
            </w:r>
          </w:p>
        </w:tc>
        <w:tc>
          <w:tcPr>
            <w:tcW w:w="1268" w:type="dxa"/>
            <w:vAlign w:val="center"/>
          </w:tcPr>
          <w:p w14:paraId="386C1CC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0.009 </w:t>
            </w:r>
          </w:p>
        </w:tc>
        <w:tc>
          <w:tcPr>
            <w:tcW w:w="1680" w:type="dxa"/>
            <w:vAlign w:val="center"/>
          </w:tcPr>
          <w:p w14:paraId="269969A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4A524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70ECA13C">
            <w:pPr>
              <w:spacing w:line="320" w:lineRule="exact"/>
              <w:jc w:val="center"/>
              <w:rPr>
                <w:rFonts w:ascii="宋体" w:hAnsi="宋体" w:eastAsia="宋体" w:cs="Times New Roman"/>
                <w:color w:val="auto"/>
              </w:rPr>
            </w:pPr>
          </w:p>
        </w:tc>
        <w:tc>
          <w:tcPr>
            <w:tcW w:w="2370" w:type="dxa"/>
            <w:vMerge w:val="continue"/>
            <w:vAlign w:val="center"/>
          </w:tcPr>
          <w:p w14:paraId="40F26E09">
            <w:pPr>
              <w:widowControl/>
              <w:jc w:val="center"/>
              <w:textAlignment w:val="center"/>
              <w:rPr>
                <w:rFonts w:ascii="宋体" w:hAnsi="宋体" w:eastAsia="宋体" w:cs="Times New Roman"/>
                <w:color w:val="auto"/>
                <w:lang w:bidi="ar"/>
              </w:rPr>
            </w:pPr>
          </w:p>
        </w:tc>
        <w:tc>
          <w:tcPr>
            <w:tcW w:w="1006" w:type="dxa"/>
            <w:vAlign w:val="center"/>
          </w:tcPr>
          <w:p w14:paraId="2F74373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vAlign w:val="center"/>
          </w:tcPr>
          <w:p w14:paraId="1876508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0.00824</w:t>
            </w:r>
          </w:p>
        </w:tc>
        <w:tc>
          <w:tcPr>
            <w:tcW w:w="1268" w:type="dxa"/>
            <w:vAlign w:val="center"/>
          </w:tcPr>
          <w:p w14:paraId="0DFC434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0.001 </w:t>
            </w:r>
          </w:p>
        </w:tc>
        <w:tc>
          <w:tcPr>
            <w:tcW w:w="1680" w:type="dxa"/>
            <w:vAlign w:val="center"/>
          </w:tcPr>
          <w:p w14:paraId="21AECF4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27EED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5237B656">
            <w:pPr>
              <w:spacing w:line="320" w:lineRule="exact"/>
              <w:jc w:val="center"/>
              <w:rPr>
                <w:rFonts w:ascii="宋体" w:hAnsi="宋体" w:eastAsia="宋体" w:cs="Times New Roman"/>
                <w:color w:val="auto"/>
              </w:rPr>
            </w:pPr>
          </w:p>
        </w:tc>
        <w:tc>
          <w:tcPr>
            <w:tcW w:w="2370" w:type="dxa"/>
            <w:vMerge w:val="restart"/>
            <w:vAlign w:val="center"/>
          </w:tcPr>
          <w:p w14:paraId="3E5AE90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科技屯</w:t>
            </w:r>
          </w:p>
        </w:tc>
        <w:tc>
          <w:tcPr>
            <w:tcW w:w="1006" w:type="dxa"/>
            <w:vAlign w:val="center"/>
          </w:tcPr>
          <w:p w14:paraId="40AA2E3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vAlign w:val="center"/>
          </w:tcPr>
          <w:p w14:paraId="5BBD010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0.00054</w:t>
            </w:r>
          </w:p>
        </w:tc>
        <w:tc>
          <w:tcPr>
            <w:tcW w:w="1268" w:type="dxa"/>
            <w:vAlign w:val="center"/>
          </w:tcPr>
          <w:p w14:paraId="7CDD30B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0.009 </w:t>
            </w:r>
          </w:p>
        </w:tc>
        <w:tc>
          <w:tcPr>
            <w:tcW w:w="1680" w:type="dxa"/>
            <w:vAlign w:val="center"/>
          </w:tcPr>
          <w:p w14:paraId="4CA3187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1263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0FB2F9E6">
            <w:pPr>
              <w:spacing w:line="320" w:lineRule="exact"/>
              <w:jc w:val="center"/>
              <w:rPr>
                <w:rFonts w:ascii="宋体" w:hAnsi="宋体" w:eastAsia="宋体" w:cs="Times New Roman"/>
                <w:color w:val="auto"/>
              </w:rPr>
            </w:pPr>
          </w:p>
        </w:tc>
        <w:tc>
          <w:tcPr>
            <w:tcW w:w="2370" w:type="dxa"/>
            <w:vMerge w:val="continue"/>
            <w:vAlign w:val="center"/>
          </w:tcPr>
          <w:p w14:paraId="6029AEB7">
            <w:pPr>
              <w:widowControl/>
              <w:jc w:val="center"/>
              <w:textAlignment w:val="center"/>
              <w:rPr>
                <w:rFonts w:ascii="宋体" w:hAnsi="宋体" w:eastAsia="宋体" w:cs="Times New Roman"/>
                <w:color w:val="auto"/>
                <w:lang w:bidi="ar"/>
              </w:rPr>
            </w:pPr>
          </w:p>
        </w:tc>
        <w:tc>
          <w:tcPr>
            <w:tcW w:w="1006" w:type="dxa"/>
            <w:vAlign w:val="center"/>
          </w:tcPr>
          <w:p w14:paraId="3A208B3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vAlign w:val="center"/>
          </w:tcPr>
          <w:p w14:paraId="0D8A2DB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0.01413</w:t>
            </w:r>
          </w:p>
        </w:tc>
        <w:tc>
          <w:tcPr>
            <w:tcW w:w="1268" w:type="dxa"/>
            <w:vAlign w:val="center"/>
          </w:tcPr>
          <w:p w14:paraId="0909038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0.001 </w:t>
            </w:r>
          </w:p>
        </w:tc>
        <w:tc>
          <w:tcPr>
            <w:tcW w:w="1680" w:type="dxa"/>
            <w:vAlign w:val="center"/>
          </w:tcPr>
          <w:p w14:paraId="39D8118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14E49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21F5474D">
            <w:pPr>
              <w:spacing w:line="320" w:lineRule="exact"/>
              <w:jc w:val="center"/>
              <w:rPr>
                <w:rFonts w:ascii="宋体" w:hAnsi="宋体" w:eastAsia="宋体" w:cs="Times New Roman"/>
                <w:color w:val="auto"/>
              </w:rPr>
            </w:pPr>
          </w:p>
        </w:tc>
        <w:tc>
          <w:tcPr>
            <w:tcW w:w="2370" w:type="dxa"/>
            <w:vMerge w:val="continue"/>
            <w:vAlign w:val="center"/>
          </w:tcPr>
          <w:p w14:paraId="59BD2AFD">
            <w:pPr>
              <w:widowControl/>
              <w:jc w:val="center"/>
              <w:textAlignment w:val="center"/>
              <w:rPr>
                <w:rFonts w:ascii="宋体" w:hAnsi="宋体" w:eastAsia="宋体" w:cs="Times New Roman"/>
                <w:color w:val="auto"/>
                <w:lang w:bidi="ar"/>
              </w:rPr>
            </w:pPr>
          </w:p>
        </w:tc>
        <w:tc>
          <w:tcPr>
            <w:tcW w:w="1006" w:type="dxa"/>
            <w:vAlign w:val="center"/>
          </w:tcPr>
          <w:p w14:paraId="492719D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小时值</w:t>
            </w:r>
          </w:p>
        </w:tc>
        <w:tc>
          <w:tcPr>
            <w:tcW w:w="1765" w:type="dxa"/>
            <w:vAlign w:val="center"/>
          </w:tcPr>
          <w:p w14:paraId="7C16C5C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0.07241</w:t>
            </w:r>
          </w:p>
        </w:tc>
        <w:tc>
          <w:tcPr>
            <w:tcW w:w="1268" w:type="dxa"/>
            <w:vAlign w:val="center"/>
          </w:tcPr>
          <w:p w14:paraId="10ADAB5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0.005 </w:t>
            </w:r>
          </w:p>
        </w:tc>
        <w:tc>
          <w:tcPr>
            <w:tcW w:w="1680" w:type="dxa"/>
            <w:vAlign w:val="center"/>
          </w:tcPr>
          <w:p w14:paraId="71924EC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5700E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2089BC93">
            <w:pPr>
              <w:spacing w:line="320" w:lineRule="exact"/>
              <w:jc w:val="center"/>
              <w:rPr>
                <w:rFonts w:ascii="宋体" w:hAnsi="宋体" w:eastAsia="宋体" w:cs="Times New Roman"/>
                <w:color w:val="auto"/>
              </w:rPr>
            </w:pPr>
          </w:p>
        </w:tc>
        <w:tc>
          <w:tcPr>
            <w:tcW w:w="2370" w:type="dxa"/>
            <w:vMerge w:val="restart"/>
            <w:vAlign w:val="center"/>
          </w:tcPr>
          <w:p w14:paraId="5F14119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东小山屯</w:t>
            </w:r>
          </w:p>
        </w:tc>
        <w:tc>
          <w:tcPr>
            <w:tcW w:w="1006" w:type="dxa"/>
            <w:vAlign w:val="center"/>
          </w:tcPr>
          <w:p w14:paraId="1FF3C4E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vAlign w:val="center"/>
          </w:tcPr>
          <w:p w14:paraId="65D636E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0.00048</w:t>
            </w:r>
          </w:p>
        </w:tc>
        <w:tc>
          <w:tcPr>
            <w:tcW w:w="1268" w:type="dxa"/>
            <w:vAlign w:val="center"/>
          </w:tcPr>
          <w:p w14:paraId="6604F2F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0.001 </w:t>
            </w:r>
          </w:p>
        </w:tc>
        <w:tc>
          <w:tcPr>
            <w:tcW w:w="1680" w:type="dxa"/>
            <w:vAlign w:val="center"/>
          </w:tcPr>
          <w:p w14:paraId="66EAC12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77F88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59DADA4E">
            <w:pPr>
              <w:spacing w:line="320" w:lineRule="exact"/>
              <w:jc w:val="center"/>
              <w:rPr>
                <w:rFonts w:ascii="宋体" w:hAnsi="宋体" w:eastAsia="宋体" w:cs="Times New Roman"/>
                <w:color w:val="auto"/>
              </w:rPr>
            </w:pPr>
          </w:p>
        </w:tc>
        <w:tc>
          <w:tcPr>
            <w:tcW w:w="2370" w:type="dxa"/>
            <w:vMerge w:val="continue"/>
            <w:vAlign w:val="center"/>
          </w:tcPr>
          <w:p w14:paraId="3BF5C4DE">
            <w:pPr>
              <w:widowControl/>
              <w:jc w:val="center"/>
              <w:textAlignment w:val="center"/>
              <w:rPr>
                <w:rFonts w:ascii="宋体" w:hAnsi="宋体" w:eastAsia="宋体" w:cs="Times New Roman"/>
                <w:color w:val="auto"/>
                <w:lang w:bidi="ar"/>
              </w:rPr>
            </w:pPr>
          </w:p>
        </w:tc>
        <w:tc>
          <w:tcPr>
            <w:tcW w:w="1006" w:type="dxa"/>
            <w:vAlign w:val="center"/>
          </w:tcPr>
          <w:p w14:paraId="5E8E4D0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vAlign w:val="center"/>
          </w:tcPr>
          <w:p w14:paraId="142D808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0.0136</w:t>
            </w:r>
          </w:p>
        </w:tc>
        <w:tc>
          <w:tcPr>
            <w:tcW w:w="1268" w:type="dxa"/>
            <w:vAlign w:val="center"/>
          </w:tcPr>
          <w:p w14:paraId="30A8680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0.005 </w:t>
            </w:r>
          </w:p>
        </w:tc>
        <w:tc>
          <w:tcPr>
            <w:tcW w:w="1680" w:type="dxa"/>
            <w:vAlign w:val="center"/>
          </w:tcPr>
          <w:p w14:paraId="47AAA13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4B260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147F0A8F">
            <w:pPr>
              <w:spacing w:line="320" w:lineRule="exact"/>
              <w:jc w:val="center"/>
              <w:rPr>
                <w:rFonts w:ascii="宋体" w:hAnsi="宋体" w:eastAsia="宋体" w:cs="Times New Roman"/>
                <w:color w:val="auto"/>
              </w:rPr>
            </w:pPr>
          </w:p>
        </w:tc>
        <w:tc>
          <w:tcPr>
            <w:tcW w:w="2370" w:type="dxa"/>
            <w:vMerge w:val="restart"/>
            <w:vAlign w:val="center"/>
          </w:tcPr>
          <w:p w14:paraId="68C4DB4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协力村</w:t>
            </w:r>
          </w:p>
        </w:tc>
        <w:tc>
          <w:tcPr>
            <w:tcW w:w="1006" w:type="dxa"/>
            <w:vAlign w:val="center"/>
          </w:tcPr>
          <w:p w14:paraId="631C152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vAlign w:val="center"/>
          </w:tcPr>
          <w:p w14:paraId="4763FFB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0.00039</w:t>
            </w:r>
          </w:p>
        </w:tc>
        <w:tc>
          <w:tcPr>
            <w:tcW w:w="1268" w:type="dxa"/>
            <w:vAlign w:val="center"/>
          </w:tcPr>
          <w:p w14:paraId="6254D53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0.001 </w:t>
            </w:r>
          </w:p>
        </w:tc>
        <w:tc>
          <w:tcPr>
            <w:tcW w:w="1680" w:type="dxa"/>
            <w:vAlign w:val="center"/>
          </w:tcPr>
          <w:p w14:paraId="6B843D0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4FBC7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0D3A5F03">
            <w:pPr>
              <w:spacing w:line="320" w:lineRule="exact"/>
              <w:jc w:val="center"/>
              <w:rPr>
                <w:rFonts w:ascii="宋体" w:hAnsi="宋体" w:eastAsia="宋体" w:cs="Times New Roman"/>
                <w:color w:val="auto"/>
              </w:rPr>
            </w:pPr>
          </w:p>
        </w:tc>
        <w:tc>
          <w:tcPr>
            <w:tcW w:w="2370" w:type="dxa"/>
            <w:vMerge w:val="continue"/>
            <w:vAlign w:val="center"/>
          </w:tcPr>
          <w:p w14:paraId="135BA5E6">
            <w:pPr>
              <w:widowControl/>
              <w:jc w:val="center"/>
              <w:textAlignment w:val="center"/>
              <w:rPr>
                <w:rFonts w:ascii="宋体" w:hAnsi="宋体" w:eastAsia="宋体" w:cs="Times New Roman"/>
                <w:color w:val="auto"/>
                <w:lang w:bidi="ar"/>
              </w:rPr>
            </w:pPr>
          </w:p>
        </w:tc>
        <w:tc>
          <w:tcPr>
            <w:tcW w:w="1006" w:type="dxa"/>
            <w:vAlign w:val="center"/>
          </w:tcPr>
          <w:p w14:paraId="3DF817A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vAlign w:val="center"/>
          </w:tcPr>
          <w:p w14:paraId="71B1781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0.00726</w:t>
            </w:r>
          </w:p>
        </w:tc>
        <w:tc>
          <w:tcPr>
            <w:tcW w:w="1268" w:type="dxa"/>
            <w:vAlign w:val="center"/>
          </w:tcPr>
          <w:p w14:paraId="4058797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0.005 </w:t>
            </w:r>
          </w:p>
        </w:tc>
        <w:tc>
          <w:tcPr>
            <w:tcW w:w="1680" w:type="dxa"/>
            <w:vAlign w:val="center"/>
          </w:tcPr>
          <w:p w14:paraId="1D39DC1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1864F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0D2F09BB">
            <w:pPr>
              <w:spacing w:line="320" w:lineRule="exact"/>
              <w:jc w:val="center"/>
              <w:rPr>
                <w:rFonts w:ascii="宋体" w:hAnsi="宋体" w:eastAsia="宋体" w:cs="Times New Roman"/>
                <w:color w:val="auto"/>
              </w:rPr>
            </w:pPr>
          </w:p>
        </w:tc>
        <w:tc>
          <w:tcPr>
            <w:tcW w:w="2370" w:type="dxa"/>
            <w:vMerge w:val="restart"/>
            <w:vAlign w:val="center"/>
          </w:tcPr>
          <w:p w14:paraId="60950C45">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友谊村</w:t>
            </w:r>
          </w:p>
        </w:tc>
        <w:tc>
          <w:tcPr>
            <w:tcW w:w="1006" w:type="dxa"/>
            <w:vAlign w:val="center"/>
          </w:tcPr>
          <w:p w14:paraId="51049BE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vAlign w:val="center"/>
          </w:tcPr>
          <w:p w14:paraId="38DD581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0.00042</w:t>
            </w:r>
          </w:p>
        </w:tc>
        <w:tc>
          <w:tcPr>
            <w:tcW w:w="1268" w:type="dxa"/>
            <w:vAlign w:val="center"/>
          </w:tcPr>
          <w:p w14:paraId="1E89312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0.000 </w:t>
            </w:r>
          </w:p>
        </w:tc>
        <w:tc>
          <w:tcPr>
            <w:tcW w:w="1680" w:type="dxa"/>
            <w:vAlign w:val="center"/>
          </w:tcPr>
          <w:p w14:paraId="102FE4B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3FD44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975" w:type="dxa"/>
            <w:vMerge w:val="continue"/>
          </w:tcPr>
          <w:p w14:paraId="73A10D12">
            <w:pPr>
              <w:spacing w:line="320" w:lineRule="exact"/>
              <w:jc w:val="center"/>
              <w:rPr>
                <w:rFonts w:ascii="宋体" w:hAnsi="宋体" w:eastAsia="宋体" w:cs="Times New Roman"/>
                <w:color w:val="auto"/>
              </w:rPr>
            </w:pPr>
          </w:p>
        </w:tc>
        <w:tc>
          <w:tcPr>
            <w:tcW w:w="2370" w:type="dxa"/>
            <w:vMerge w:val="continue"/>
            <w:vAlign w:val="center"/>
          </w:tcPr>
          <w:p w14:paraId="047F69CC">
            <w:pPr>
              <w:widowControl/>
              <w:jc w:val="center"/>
              <w:textAlignment w:val="center"/>
              <w:rPr>
                <w:rFonts w:ascii="宋体" w:hAnsi="宋体" w:eastAsia="宋体" w:cs="Times New Roman"/>
                <w:color w:val="auto"/>
                <w:lang w:bidi="ar"/>
              </w:rPr>
            </w:pPr>
          </w:p>
        </w:tc>
        <w:tc>
          <w:tcPr>
            <w:tcW w:w="1006" w:type="dxa"/>
            <w:vAlign w:val="center"/>
          </w:tcPr>
          <w:p w14:paraId="270A6D2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vAlign w:val="center"/>
          </w:tcPr>
          <w:p w14:paraId="560989C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0.00759</w:t>
            </w:r>
          </w:p>
        </w:tc>
        <w:tc>
          <w:tcPr>
            <w:tcW w:w="1268" w:type="dxa"/>
            <w:vAlign w:val="center"/>
          </w:tcPr>
          <w:p w14:paraId="46F70AE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0.004 </w:t>
            </w:r>
          </w:p>
        </w:tc>
        <w:tc>
          <w:tcPr>
            <w:tcW w:w="1680" w:type="dxa"/>
            <w:vAlign w:val="center"/>
          </w:tcPr>
          <w:p w14:paraId="0E6B276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8F54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4DCFACB1">
            <w:pPr>
              <w:spacing w:line="320" w:lineRule="exact"/>
              <w:jc w:val="center"/>
              <w:rPr>
                <w:rFonts w:ascii="宋体" w:hAnsi="宋体" w:eastAsia="宋体" w:cs="Times New Roman"/>
                <w:color w:val="auto"/>
              </w:rPr>
            </w:pPr>
          </w:p>
        </w:tc>
        <w:tc>
          <w:tcPr>
            <w:tcW w:w="2370" w:type="dxa"/>
            <w:vMerge w:val="restart"/>
            <w:vAlign w:val="center"/>
          </w:tcPr>
          <w:p w14:paraId="3320D62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刘兽医屯</w:t>
            </w:r>
          </w:p>
        </w:tc>
        <w:tc>
          <w:tcPr>
            <w:tcW w:w="1006" w:type="dxa"/>
            <w:vAlign w:val="center"/>
          </w:tcPr>
          <w:p w14:paraId="0DC42D19">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vAlign w:val="center"/>
          </w:tcPr>
          <w:p w14:paraId="3A02E1E3">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0.00042</w:t>
            </w:r>
          </w:p>
        </w:tc>
        <w:tc>
          <w:tcPr>
            <w:tcW w:w="1268" w:type="dxa"/>
            <w:vAlign w:val="center"/>
          </w:tcPr>
          <w:p w14:paraId="1BA0981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0.000 </w:t>
            </w:r>
          </w:p>
        </w:tc>
        <w:tc>
          <w:tcPr>
            <w:tcW w:w="1680" w:type="dxa"/>
            <w:vAlign w:val="center"/>
          </w:tcPr>
          <w:p w14:paraId="7AF7369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286F6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751DBB8D">
            <w:pPr>
              <w:spacing w:line="320" w:lineRule="exact"/>
              <w:jc w:val="center"/>
              <w:rPr>
                <w:rFonts w:ascii="宋体" w:hAnsi="宋体" w:eastAsia="宋体" w:cs="Times New Roman"/>
                <w:color w:val="auto"/>
              </w:rPr>
            </w:pPr>
          </w:p>
        </w:tc>
        <w:tc>
          <w:tcPr>
            <w:tcW w:w="2370" w:type="dxa"/>
            <w:vMerge w:val="continue"/>
            <w:vAlign w:val="center"/>
          </w:tcPr>
          <w:p w14:paraId="10B10E55">
            <w:pPr>
              <w:widowControl/>
              <w:jc w:val="center"/>
              <w:textAlignment w:val="center"/>
              <w:rPr>
                <w:rFonts w:ascii="宋体" w:hAnsi="宋体" w:eastAsia="宋体" w:cs="Times New Roman"/>
                <w:color w:val="auto"/>
                <w:lang w:bidi="ar"/>
              </w:rPr>
            </w:pPr>
          </w:p>
        </w:tc>
        <w:tc>
          <w:tcPr>
            <w:tcW w:w="1006" w:type="dxa"/>
            <w:vAlign w:val="center"/>
          </w:tcPr>
          <w:p w14:paraId="737F7AF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vAlign w:val="center"/>
          </w:tcPr>
          <w:p w14:paraId="7C9D366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0.00773</w:t>
            </w:r>
          </w:p>
        </w:tc>
        <w:tc>
          <w:tcPr>
            <w:tcW w:w="1268" w:type="dxa"/>
            <w:vAlign w:val="center"/>
          </w:tcPr>
          <w:p w14:paraId="363C5A1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0.000 </w:t>
            </w:r>
          </w:p>
        </w:tc>
        <w:tc>
          <w:tcPr>
            <w:tcW w:w="1680" w:type="dxa"/>
            <w:vAlign w:val="center"/>
          </w:tcPr>
          <w:p w14:paraId="4459146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75D55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56177BC4">
            <w:pPr>
              <w:spacing w:line="320" w:lineRule="exact"/>
              <w:jc w:val="center"/>
              <w:rPr>
                <w:rFonts w:ascii="宋体" w:hAnsi="宋体" w:eastAsia="宋体" w:cs="Times New Roman"/>
                <w:color w:val="auto"/>
              </w:rPr>
            </w:pPr>
          </w:p>
        </w:tc>
        <w:tc>
          <w:tcPr>
            <w:tcW w:w="2370" w:type="dxa"/>
            <w:vMerge w:val="restart"/>
            <w:vAlign w:val="center"/>
          </w:tcPr>
          <w:p w14:paraId="5DF3FE9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大三马架屯</w:t>
            </w:r>
          </w:p>
        </w:tc>
        <w:tc>
          <w:tcPr>
            <w:tcW w:w="1006" w:type="dxa"/>
            <w:vAlign w:val="center"/>
          </w:tcPr>
          <w:p w14:paraId="747AF8B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vAlign w:val="center"/>
          </w:tcPr>
          <w:p w14:paraId="2CA55D9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0.00031</w:t>
            </w:r>
          </w:p>
        </w:tc>
        <w:tc>
          <w:tcPr>
            <w:tcW w:w="1268" w:type="dxa"/>
            <w:vAlign w:val="center"/>
          </w:tcPr>
          <w:p w14:paraId="5F04A8F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0.000 </w:t>
            </w:r>
          </w:p>
        </w:tc>
        <w:tc>
          <w:tcPr>
            <w:tcW w:w="1680" w:type="dxa"/>
            <w:vAlign w:val="center"/>
          </w:tcPr>
          <w:p w14:paraId="50D4267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4C5AF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14E33038">
            <w:pPr>
              <w:spacing w:line="320" w:lineRule="exact"/>
              <w:jc w:val="center"/>
              <w:rPr>
                <w:rFonts w:ascii="宋体" w:hAnsi="宋体" w:eastAsia="宋体" w:cs="Times New Roman"/>
                <w:color w:val="auto"/>
              </w:rPr>
            </w:pPr>
          </w:p>
        </w:tc>
        <w:tc>
          <w:tcPr>
            <w:tcW w:w="2370" w:type="dxa"/>
            <w:vMerge w:val="continue"/>
            <w:vAlign w:val="center"/>
          </w:tcPr>
          <w:p w14:paraId="6ABD9BE6">
            <w:pPr>
              <w:widowControl/>
              <w:jc w:val="center"/>
              <w:textAlignment w:val="center"/>
              <w:rPr>
                <w:rFonts w:ascii="宋体" w:hAnsi="宋体" w:eastAsia="宋体" w:cs="Times New Roman"/>
                <w:color w:val="auto"/>
                <w:lang w:bidi="ar"/>
              </w:rPr>
            </w:pPr>
          </w:p>
        </w:tc>
        <w:tc>
          <w:tcPr>
            <w:tcW w:w="1006" w:type="dxa"/>
            <w:vAlign w:val="center"/>
          </w:tcPr>
          <w:p w14:paraId="0712B24E">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vAlign w:val="center"/>
          </w:tcPr>
          <w:p w14:paraId="734F1574">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0.00566</w:t>
            </w:r>
          </w:p>
        </w:tc>
        <w:tc>
          <w:tcPr>
            <w:tcW w:w="1268" w:type="dxa"/>
            <w:vAlign w:val="center"/>
          </w:tcPr>
          <w:p w14:paraId="3BF6E90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0.000 </w:t>
            </w:r>
          </w:p>
        </w:tc>
        <w:tc>
          <w:tcPr>
            <w:tcW w:w="1680" w:type="dxa"/>
            <w:vAlign w:val="center"/>
          </w:tcPr>
          <w:p w14:paraId="0A57260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421D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58831526">
            <w:pPr>
              <w:spacing w:line="320" w:lineRule="exact"/>
              <w:jc w:val="center"/>
              <w:rPr>
                <w:rFonts w:ascii="宋体" w:hAnsi="宋体" w:eastAsia="宋体" w:cs="Times New Roman"/>
                <w:color w:val="auto"/>
              </w:rPr>
            </w:pPr>
          </w:p>
        </w:tc>
        <w:tc>
          <w:tcPr>
            <w:tcW w:w="2370" w:type="dxa"/>
            <w:vMerge w:val="restart"/>
            <w:vAlign w:val="center"/>
          </w:tcPr>
          <w:p w14:paraId="37CF2706">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代龙村</w:t>
            </w:r>
          </w:p>
        </w:tc>
        <w:tc>
          <w:tcPr>
            <w:tcW w:w="1006" w:type="dxa"/>
            <w:vAlign w:val="center"/>
          </w:tcPr>
          <w:p w14:paraId="2118F15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vAlign w:val="center"/>
          </w:tcPr>
          <w:p w14:paraId="54EE65A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0.0004</w:t>
            </w:r>
          </w:p>
        </w:tc>
        <w:tc>
          <w:tcPr>
            <w:tcW w:w="1268" w:type="dxa"/>
            <w:vAlign w:val="center"/>
          </w:tcPr>
          <w:p w14:paraId="58BD839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0.014 </w:t>
            </w:r>
          </w:p>
        </w:tc>
        <w:tc>
          <w:tcPr>
            <w:tcW w:w="1680" w:type="dxa"/>
            <w:vAlign w:val="center"/>
          </w:tcPr>
          <w:p w14:paraId="796F0BBA">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6E184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11F928DA">
            <w:pPr>
              <w:spacing w:line="320" w:lineRule="exact"/>
              <w:jc w:val="center"/>
              <w:rPr>
                <w:rFonts w:ascii="宋体" w:hAnsi="宋体" w:eastAsia="宋体" w:cs="Times New Roman"/>
                <w:color w:val="auto"/>
              </w:rPr>
            </w:pPr>
          </w:p>
        </w:tc>
        <w:tc>
          <w:tcPr>
            <w:tcW w:w="2370" w:type="dxa"/>
            <w:vMerge w:val="continue"/>
            <w:vAlign w:val="center"/>
          </w:tcPr>
          <w:p w14:paraId="1EA0F895">
            <w:pPr>
              <w:widowControl/>
              <w:jc w:val="center"/>
              <w:textAlignment w:val="center"/>
              <w:rPr>
                <w:rFonts w:ascii="宋体" w:hAnsi="宋体" w:eastAsia="宋体" w:cs="Times New Roman"/>
                <w:color w:val="auto"/>
                <w:lang w:bidi="ar"/>
              </w:rPr>
            </w:pPr>
          </w:p>
        </w:tc>
        <w:tc>
          <w:tcPr>
            <w:tcW w:w="1006" w:type="dxa"/>
            <w:vAlign w:val="center"/>
          </w:tcPr>
          <w:p w14:paraId="206D2740">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vAlign w:val="center"/>
          </w:tcPr>
          <w:p w14:paraId="168781C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0.00727</w:t>
            </w:r>
          </w:p>
        </w:tc>
        <w:tc>
          <w:tcPr>
            <w:tcW w:w="1268" w:type="dxa"/>
            <w:vAlign w:val="center"/>
          </w:tcPr>
          <w:p w14:paraId="678AFD6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0.048 </w:t>
            </w:r>
          </w:p>
        </w:tc>
        <w:tc>
          <w:tcPr>
            <w:tcW w:w="1680" w:type="dxa"/>
            <w:vAlign w:val="center"/>
          </w:tcPr>
          <w:p w14:paraId="5A28E64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r w14:paraId="3945B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34B0B3F5">
            <w:pPr>
              <w:spacing w:line="320" w:lineRule="exact"/>
              <w:jc w:val="center"/>
              <w:rPr>
                <w:rFonts w:ascii="宋体" w:hAnsi="宋体" w:eastAsia="宋体" w:cs="Times New Roman"/>
                <w:color w:val="auto"/>
              </w:rPr>
            </w:pPr>
          </w:p>
        </w:tc>
        <w:tc>
          <w:tcPr>
            <w:tcW w:w="2370" w:type="dxa"/>
            <w:vMerge w:val="restart"/>
            <w:vAlign w:val="center"/>
          </w:tcPr>
          <w:p w14:paraId="79F49E22">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刘喜屯</w:t>
            </w:r>
          </w:p>
        </w:tc>
        <w:tc>
          <w:tcPr>
            <w:tcW w:w="1006" w:type="dxa"/>
            <w:vAlign w:val="center"/>
          </w:tcPr>
          <w:p w14:paraId="38638047">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年均值</w:t>
            </w:r>
          </w:p>
        </w:tc>
        <w:tc>
          <w:tcPr>
            <w:tcW w:w="1765" w:type="dxa"/>
            <w:vAlign w:val="center"/>
          </w:tcPr>
          <w:p w14:paraId="5C3CFC6F">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0.00044</w:t>
            </w:r>
          </w:p>
        </w:tc>
        <w:tc>
          <w:tcPr>
            <w:tcW w:w="1268" w:type="dxa"/>
            <w:vAlign w:val="center"/>
          </w:tcPr>
          <w:p w14:paraId="2AAD039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0.009 </w:t>
            </w:r>
          </w:p>
        </w:tc>
        <w:tc>
          <w:tcPr>
            <w:tcW w:w="1680" w:type="dxa"/>
            <w:vAlign w:val="center"/>
          </w:tcPr>
          <w:p w14:paraId="4A6FACD1">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≤30%达标</w:t>
            </w:r>
          </w:p>
        </w:tc>
      </w:tr>
      <w:tr w14:paraId="09628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75" w:type="dxa"/>
            <w:vMerge w:val="continue"/>
          </w:tcPr>
          <w:p w14:paraId="435E180D">
            <w:pPr>
              <w:spacing w:line="320" w:lineRule="exact"/>
              <w:jc w:val="center"/>
              <w:rPr>
                <w:rFonts w:ascii="宋体" w:hAnsi="宋体" w:eastAsia="宋体" w:cs="Times New Roman"/>
                <w:color w:val="auto"/>
              </w:rPr>
            </w:pPr>
          </w:p>
        </w:tc>
        <w:tc>
          <w:tcPr>
            <w:tcW w:w="2370" w:type="dxa"/>
            <w:vMerge w:val="continue"/>
            <w:vAlign w:val="center"/>
          </w:tcPr>
          <w:p w14:paraId="0BCD8D7B">
            <w:pPr>
              <w:widowControl/>
              <w:jc w:val="center"/>
              <w:textAlignment w:val="center"/>
              <w:rPr>
                <w:rFonts w:ascii="宋体" w:hAnsi="宋体" w:eastAsia="宋体" w:cs="Times New Roman"/>
                <w:color w:val="auto"/>
                <w:lang w:bidi="ar"/>
              </w:rPr>
            </w:pPr>
          </w:p>
        </w:tc>
        <w:tc>
          <w:tcPr>
            <w:tcW w:w="1006" w:type="dxa"/>
            <w:vAlign w:val="center"/>
          </w:tcPr>
          <w:p w14:paraId="67B96A98">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日均值</w:t>
            </w:r>
          </w:p>
        </w:tc>
        <w:tc>
          <w:tcPr>
            <w:tcW w:w="1765" w:type="dxa"/>
            <w:vAlign w:val="center"/>
          </w:tcPr>
          <w:p w14:paraId="4F3B2AED">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0.00623</w:t>
            </w:r>
          </w:p>
        </w:tc>
        <w:tc>
          <w:tcPr>
            <w:tcW w:w="1268" w:type="dxa"/>
            <w:vAlign w:val="center"/>
          </w:tcPr>
          <w:p w14:paraId="2BEA9A8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 xml:space="preserve">0.034 </w:t>
            </w:r>
          </w:p>
        </w:tc>
        <w:tc>
          <w:tcPr>
            <w:tcW w:w="1680" w:type="dxa"/>
            <w:vAlign w:val="center"/>
          </w:tcPr>
          <w:p w14:paraId="6237952B">
            <w:pPr>
              <w:widowControl/>
              <w:jc w:val="center"/>
              <w:textAlignment w:val="center"/>
              <w:rPr>
                <w:rFonts w:ascii="宋体" w:hAnsi="宋体" w:eastAsia="宋体" w:cs="Times New Roman"/>
                <w:color w:val="auto"/>
                <w:lang w:bidi="ar"/>
              </w:rPr>
            </w:pPr>
            <w:r>
              <w:rPr>
                <w:rFonts w:ascii="宋体" w:hAnsi="宋体" w:eastAsia="宋体" w:cs="Times New Roman"/>
                <w:color w:val="auto"/>
                <w:lang w:bidi="ar"/>
              </w:rPr>
              <w:t>≤100%达标</w:t>
            </w:r>
          </w:p>
        </w:tc>
      </w:tr>
    </w:tbl>
    <w:p w14:paraId="240F4CB1">
      <w:pPr>
        <w:rPr>
          <w:rFonts w:ascii="宋体" w:hAnsi="宋体" w:eastAsia="宋体"/>
          <w:color w:val="auto"/>
        </w:rPr>
      </w:pPr>
    </w:p>
    <w:p w14:paraId="79FDDF10">
      <w:pPr>
        <w:jc w:val="center"/>
        <w:rPr>
          <w:rFonts w:ascii="宋体" w:hAnsi="宋体" w:eastAsia="宋体" w:cs="Times New Roman"/>
          <w:color w:val="auto"/>
          <w:lang w:bidi="zh-CN"/>
        </w:rPr>
      </w:pPr>
      <w:r>
        <w:rPr>
          <w:rFonts w:ascii="宋体" w:hAnsi="宋体" w:eastAsia="宋体"/>
          <w:color w:val="auto"/>
        </w:rPr>
        <w:drawing>
          <wp:inline distT="0" distB="0" distL="114300" distR="114300">
            <wp:extent cx="5755005" cy="4063365"/>
            <wp:effectExtent l="0" t="0" r="17145" b="13335"/>
            <wp:docPr id="13527281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47" name="图片 3"/>
                    <pic:cNvPicPr>
                      <a:picLocks noChangeAspect="1"/>
                    </pic:cNvPicPr>
                  </pic:nvPicPr>
                  <pic:blipFill>
                    <a:blip r:embed="rId92"/>
                    <a:stretch>
                      <a:fillRect/>
                    </a:stretch>
                  </pic:blipFill>
                  <pic:spPr>
                    <a:xfrm>
                      <a:off x="0" y="0"/>
                      <a:ext cx="5755005" cy="4063365"/>
                    </a:xfrm>
                    <a:prstGeom prst="rect">
                      <a:avLst/>
                    </a:prstGeom>
                    <a:noFill/>
                    <a:ln>
                      <a:noFill/>
                    </a:ln>
                  </pic:spPr>
                </pic:pic>
              </a:graphicData>
            </a:graphic>
          </wp:inline>
        </w:drawing>
      </w:r>
    </w:p>
    <w:p w14:paraId="1B6374EE">
      <w:pPr>
        <w:spacing w:line="440" w:lineRule="exact"/>
        <w:jc w:val="center"/>
        <w:rPr>
          <w:rFonts w:ascii="宋体" w:hAnsi="宋体" w:eastAsia="宋体" w:cs="Times New Roman"/>
          <w:color w:val="auto"/>
          <w:lang w:bidi="zh-CN"/>
        </w:rPr>
      </w:pPr>
      <w:r>
        <w:rPr>
          <w:rFonts w:ascii="宋体" w:hAnsi="宋体" w:eastAsia="宋体" w:cs="Times New Roman"/>
          <w:color w:val="auto"/>
          <w:lang w:bidi="zh-CN"/>
        </w:rPr>
        <w:t>图5.1-11  非甲烷总烃小时贡献浓度分布图</w:t>
      </w:r>
    </w:p>
    <w:p w14:paraId="51899BB6">
      <w:pPr>
        <w:jc w:val="center"/>
        <w:rPr>
          <w:rFonts w:ascii="宋体" w:hAnsi="宋体" w:eastAsia="宋体" w:cs="Times New Roman"/>
          <w:color w:val="auto"/>
          <w:lang w:bidi="zh-CN"/>
        </w:rPr>
      </w:pPr>
      <w:r>
        <w:rPr>
          <w:rFonts w:ascii="宋体" w:hAnsi="宋体" w:eastAsia="宋体"/>
          <w:color w:val="auto"/>
        </w:rPr>
        <w:drawing>
          <wp:inline distT="0" distB="0" distL="114300" distR="114300">
            <wp:extent cx="5756275" cy="4024630"/>
            <wp:effectExtent l="0" t="0" r="15875" b="13970"/>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93"/>
                    <a:stretch>
                      <a:fillRect/>
                    </a:stretch>
                  </pic:blipFill>
                  <pic:spPr>
                    <a:xfrm>
                      <a:off x="0" y="0"/>
                      <a:ext cx="5756275" cy="4024630"/>
                    </a:xfrm>
                    <a:prstGeom prst="rect">
                      <a:avLst/>
                    </a:prstGeom>
                    <a:noFill/>
                    <a:ln>
                      <a:noFill/>
                    </a:ln>
                  </pic:spPr>
                </pic:pic>
              </a:graphicData>
            </a:graphic>
          </wp:inline>
        </w:drawing>
      </w:r>
    </w:p>
    <w:p w14:paraId="27277960">
      <w:pPr>
        <w:jc w:val="center"/>
        <w:rPr>
          <w:rFonts w:ascii="宋体" w:hAnsi="宋体" w:eastAsia="宋体" w:cs="Times New Roman"/>
          <w:color w:val="auto"/>
          <w:lang w:bidi="zh-CN"/>
        </w:rPr>
      </w:pPr>
      <w:r>
        <w:rPr>
          <w:rFonts w:ascii="宋体" w:hAnsi="宋体" w:eastAsia="宋体" w:cs="Times New Roman"/>
          <w:color w:val="auto"/>
          <w:lang w:bidi="zh-CN"/>
        </w:rPr>
        <w:t>图5.1-12  SO</w:t>
      </w:r>
      <w:r>
        <w:rPr>
          <w:rFonts w:ascii="宋体" w:hAnsi="宋体" w:eastAsia="宋体" w:cs="Times New Roman"/>
          <w:color w:val="auto"/>
          <w:vertAlign w:val="subscript"/>
          <w:lang w:bidi="zh-CN"/>
        </w:rPr>
        <w:t>2</w:t>
      </w:r>
      <w:r>
        <w:rPr>
          <w:rFonts w:ascii="宋体" w:hAnsi="宋体" w:eastAsia="宋体" w:cs="Times New Roman"/>
          <w:color w:val="auto"/>
          <w:lang w:bidi="zh-CN"/>
        </w:rPr>
        <w:t>年均值贡献浓度分布图</w:t>
      </w:r>
    </w:p>
    <w:p w14:paraId="30680CB3">
      <w:pPr>
        <w:jc w:val="center"/>
        <w:rPr>
          <w:rFonts w:ascii="宋体" w:hAnsi="宋体" w:eastAsia="宋体" w:cs="Times New Roman"/>
          <w:color w:val="auto"/>
          <w:lang w:bidi="zh-CN"/>
        </w:rPr>
      </w:pPr>
      <w:r>
        <w:rPr>
          <w:rFonts w:ascii="宋体" w:hAnsi="宋体" w:eastAsia="宋体"/>
          <w:color w:val="auto"/>
        </w:rPr>
        <w:drawing>
          <wp:inline distT="0" distB="0" distL="114300" distR="114300">
            <wp:extent cx="5756275" cy="4011930"/>
            <wp:effectExtent l="0" t="0" r="15875" b="7620"/>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94"/>
                    <a:stretch>
                      <a:fillRect/>
                    </a:stretch>
                  </pic:blipFill>
                  <pic:spPr>
                    <a:xfrm>
                      <a:off x="0" y="0"/>
                      <a:ext cx="5756275" cy="4011930"/>
                    </a:xfrm>
                    <a:prstGeom prst="rect">
                      <a:avLst/>
                    </a:prstGeom>
                    <a:noFill/>
                    <a:ln>
                      <a:noFill/>
                    </a:ln>
                  </pic:spPr>
                </pic:pic>
              </a:graphicData>
            </a:graphic>
          </wp:inline>
        </w:drawing>
      </w:r>
    </w:p>
    <w:p w14:paraId="22BC0B0B">
      <w:pPr>
        <w:jc w:val="center"/>
        <w:rPr>
          <w:rFonts w:ascii="宋体" w:hAnsi="宋体" w:eastAsia="宋体" w:cs="Times New Roman"/>
          <w:color w:val="auto"/>
          <w:lang w:bidi="zh-CN"/>
        </w:rPr>
      </w:pPr>
      <w:r>
        <w:rPr>
          <w:rFonts w:ascii="宋体" w:hAnsi="宋体" w:eastAsia="宋体" w:cs="Times New Roman"/>
          <w:color w:val="auto"/>
          <w:lang w:bidi="zh-CN"/>
        </w:rPr>
        <w:t>图5.1-13  SO</w:t>
      </w:r>
      <w:r>
        <w:rPr>
          <w:rFonts w:ascii="宋体" w:hAnsi="宋体" w:eastAsia="宋体" w:cs="Times New Roman"/>
          <w:color w:val="auto"/>
          <w:vertAlign w:val="subscript"/>
          <w:lang w:bidi="zh-CN"/>
        </w:rPr>
        <w:t>2</w:t>
      </w:r>
      <w:r>
        <w:rPr>
          <w:rFonts w:ascii="宋体" w:hAnsi="宋体" w:eastAsia="宋体" w:cs="Times New Roman"/>
          <w:color w:val="auto"/>
          <w:lang w:bidi="zh-CN"/>
        </w:rPr>
        <w:t>日均值贡献浓度分布图</w:t>
      </w:r>
    </w:p>
    <w:p w14:paraId="23005A92">
      <w:pPr>
        <w:jc w:val="center"/>
        <w:rPr>
          <w:rFonts w:ascii="宋体" w:hAnsi="宋体" w:eastAsia="宋体" w:cs="Times New Roman"/>
          <w:color w:val="auto"/>
          <w:lang w:bidi="zh-CN"/>
        </w:rPr>
      </w:pPr>
      <w:r>
        <w:rPr>
          <w:rFonts w:ascii="宋体" w:hAnsi="宋体" w:eastAsia="宋体"/>
          <w:color w:val="auto"/>
        </w:rPr>
        <w:drawing>
          <wp:inline distT="0" distB="0" distL="114300" distR="114300">
            <wp:extent cx="5756910" cy="4048125"/>
            <wp:effectExtent l="0" t="0" r="15240" b="9525"/>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95"/>
                    <a:stretch>
                      <a:fillRect/>
                    </a:stretch>
                  </pic:blipFill>
                  <pic:spPr>
                    <a:xfrm>
                      <a:off x="0" y="0"/>
                      <a:ext cx="5756910" cy="4048125"/>
                    </a:xfrm>
                    <a:prstGeom prst="rect">
                      <a:avLst/>
                    </a:prstGeom>
                    <a:noFill/>
                    <a:ln>
                      <a:noFill/>
                    </a:ln>
                  </pic:spPr>
                </pic:pic>
              </a:graphicData>
            </a:graphic>
          </wp:inline>
        </w:drawing>
      </w:r>
    </w:p>
    <w:p w14:paraId="5F9F6802">
      <w:pPr>
        <w:jc w:val="center"/>
        <w:rPr>
          <w:rFonts w:ascii="宋体" w:hAnsi="宋体" w:eastAsia="宋体" w:cs="Times New Roman"/>
          <w:color w:val="auto"/>
          <w:lang w:bidi="zh-CN"/>
        </w:rPr>
      </w:pPr>
      <w:r>
        <w:rPr>
          <w:rFonts w:ascii="宋体" w:hAnsi="宋体" w:eastAsia="宋体" w:cs="Times New Roman"/>
          <w:color w:val="auto"/>
          <w:lang w:bidi="zh-CN"/>
        </w:rPr>
        <w:t>图5.1-14  SO</w:t>
      </w:r>
      <w:r>
        <w:rPr>
          <w:rFonts w:ascii="宋体" w:hAnsi="宋体" w:eastAsia="宋体" w:cs="Times New Roman"/>
          <w:color w:val="auto"/>
          <w:vertAlign w:val="subscript"/>
          <w:lang w:bidi="zh-CN"/>
        </w:rPr>
        <w:t>2</w:t>
      </w:r>
      <w:r>
        <w:rPr>
          <w:rFonts w:ascii="宋体" w:hAnsi="宋体" w:eastAsia="宋体" w:cs="Times New Roman"/>
          <w:color w:val="auto"/>
          <w:lang w:bidi="zh-CN"/>
        </w:rPr>
        <w:t>小时均值贡献浓度分布图</w:t>
      </w:r>
    </w:p>
    <w:p w14:paraId="0165EDD2">
      <w:pPr>
        <w:jc w:val="center"/>
        <w:rPr>
          <w:rFonts w:ascii="宋体" w:hAnsi="宋体" w:eastAsia="宋体" w:cs="Times New Roman"/>
          <w:color w:val="auto"/>
          <w:lang w:bidi="zh-CN"/>
        </w:rPr>
      </w:pPr>
      <w:r>
        <w:rPr>
          <w:rFonts w:ascii="宋体" w:hAnsi="宋体" w:eastAsia="宋体"/>
          <w:color w:val="auto"/>
        </w:rPr>
        <w:drawing>
          <wp:inline distT="0" distB="0" distL="114300" distR="114300">
            <wp:extent cx="5755005" cy="3994150"/>
            <wp:effectExtent l="0" t="0" r="17145" b="6350"/>
            <wp:docPr id="1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
                    <pic:cNvPicPr>
                      <a:picLocks noChangeAspect="1"/>
                    </pic:cNvPicPr>
                  </pic:nvPicPr>
                  <pic:blipFill>
                    <a:blip r:embed="rId96"/>
                    <a:stretch>
                      <a:fillRect/>
                    </a:stretch>
                  </pic:blipFill>
                  <pic:spPr>
                    <a:xfrm>
                      <a:off x="0" y="0"/>
                      <a:ext cx="5755005" cy="3994150"/>
                    </a:xfrm>
                    <a:prstGeom prst="rect">
                      <a:avLst/>
                    </a:prstGeom>
                    <a:noFill/>
                    <a:ln>
                      <a:noFill/>
                    </a:ln>
                  </pic:spPr>
                </pic:pic>
              </a:graphicData>
            </a:graphic>
          </wp:inline>
        </w:drawing>
      </w:r>
    </w:p>
    <w:p w14:paraId="3E6143A4">
      <w:pPr>
        <w:jc w:val="center"/>
        <w:rPr>
          <w:rFonts w:ascii="宋体" w:hAnsi="宋体" w:eastAsia="宋体" w:cs="Times New Roman"/>
          <w:color w:val="auto"/>
          <w:lang w:bidi="zh-CN"/>
        </w:rPr>
      </w:pPr>
      <w:r>
        <w:rPr>
          <w:rFonts w:ascii="宋体" w:hAnsi="宋体" w:eastAsia="宋体" w:cs="Times New Roman"/>
          <w:color w:val="auto"/>
          <w:lang w:bidi="zh-CN"/>
        </w:rPr>
        <w:t>图5.1-15  NOx年均值贡献浓度分布图</w:t>
      </w:r>
    </w:p>
    <w:p w14:paraId="346CC6D1">
      <w:pPr>
        <w:jc w:val="center"/>
        <w:rPr>
          <w:rFonts w:ascii="宋体" w:hAnsi="宋体" w:eastAsia="宋体" w:cs="Times New Roman"/>
          <w:color w:val="auto"/>
          <w:lang w:bidi="zh-CN"/>
        </w:rPr>
      </w:pPr>
    </w:p>
    <w:p w14:paraId="4C1415DE">
      <w:pPr>
        <w:jc w:val="center"/>
        <w:rPr>
          <w:rFonts w:ascii="宋体" w:hAnsi="宋体" w:eastAsia="宋体" w:cs="Times New Roman"/>
          <w:color w:val="auto"/>
          <w:lang w:bidi="zh-CN"/>
        </w:rPr>
      </w:pPr>
      <w:r>
        <w:rPr>
          <w:rFonts w:ascii="宋体" w:hAnsi="宋体" w:eastAsia="宋体"/>
          <w:color w:val="auto"/>
        </w:rPr>
        <w:drawing>
          <wp:inline distT="0" distB="0" distL="114300" distR="114300">
            <wp:extent cx="5757545" cy="4098925"/>
            <wp:effectExtent l="0" t="0" r="14605" b="15875"/>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97"/>
                    <a:stretch>
                      <a:fillRect/>
                    </a:stretch>
                  </pic:blipFill>
                  <pic:spPr>
                    <a:xfrm>
                      <a:off x="0" y="0"/>
                      <a:ext cx="5757545" cy="4098925"/>
                    </a:xfrm>
                    <a:prstGeom prst="rect">
                      <a:avLst/>
                    </a:prstGeom>
                    <a:noFill/>
                    <a:ln>
                      <a:noFill/>
                    </a:ln>
                  </pic:spPr>
                </pic:pic>
              </a:graphicData>
            </a:graphic>
          </wp:inline>
        </w:drawing>
      </w:r>
      <w:r>
        <w:rPr>
          <w:rFonts w:ascii="宋体" w:hAnsi="宋体" w:eastAsia="宋体" w:cs="Times New Roman"/>
          <w:color w:val="auto"/>
          <w:lang w:bidi="zh-CN"/>
        </w:rPr>
        <w:t>图5.1-16  NOx日均值贡献浓度分布图</w:t>
      </w:r>
    </w:p>
    <w:p w14:paraId="3997CC9A">
      <w:pPr>
        <w:jc w:val="center"/>
        <w:rPr>
          <w:rFonts w:ascii="宋体" w:hAnsi="宋体" w:eastAsia="宋体" w:cs="Times New Roman"/>
          <w:color w:val="auto"/>
          <w:lang w:bidi="zh-CN"/>
        </w:rPr>
      </w:pPr>
      <w:r>
        <w:rPr>
          <w:rFonts w:ascii="宋体" w:hAnsi="宋体" w:eastAsia="宋体"/>
          <w:color w:val="auto"/>
        </w:rPr>
        <w:drawing>
          <wp:inline distT="0" distB="0" distL="114300" distR="114300">
            <wp:extent cx="5758815" cy="4093845"/>
            <wp:effectExtent l="0" t="0" r="13335" b="1905"/>
            <wp:docPr id="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
                    <pic:cNvPicPr>
                      <a:picLocks noChangeAspect="1"/>
                    </pic:cNvPicPr>
                  </pic:nvPicPr>
                  <pic:blipFill>
                    <a:blip r:embed="rId98"/>
                    <a:stretch>
                      <a:fillRect/>
                    </a:stretch>
                  </pic:blipFill>
                  <pic:spPr>
                    <a:xfrm>
                      <a:off x="0" y="0"/>
                      <a:ext cx="5758815" cy="4093845"/>
                    </a:xfrm>
                    <a:prstGeom prst="rect">
                      <a:avLst/>
                    </a:prstGeom>
                    <a:noFill/>
                    <a:ln>
                      <a:noFill/>
                    </a:ln>
                  </pic:spPr>
                </pic:pic>
              </a:graphicData>
            </a:graphic>
          </wp:inline>
        </w:drawing>
      </w:r>
    </w:p>
    <w:p w14:paraId="0F90F974">
      <w:pPr>
        <w:jc w:val="center"/>
        <w:rPr>
          <w:rFonts w:ascii="宋体" w:hAnsi="宋体" w:eastAsia="宋体" w:cs="Times New Roman"/>
          <w:color w:val="auto"/>
          <w:lang w:bidi="zh-CN"/>
        </w:rPr>
      </w:pPr>
      <w:r>
        <w:rPr>
          <w:rFonts w:ascii="宋体" w:hAnsi="宋体" w:eastAsia="宋体" w:cs="Times New Roman"/>
          <w:color w:val="auto"/>
          <w:lang w:bidi="zh-CN"/>
        </w:rPr>
        <w:t>图5.1-17  NOx小时均值贡献浓度分布图</w:t>
      </w:r>
    </w:p>
    <w:p w14:paraId="47BE91E2">
      <w:pPr>
        <w:jc w:val="center"/>
        <w:rPr>
          <w:rFonts w:ascii="宋体" w:hAnsi="宋体" w:eastAsia="宋体" w:cs="Times New Roman"/>
          <w:color w:val="auto"/>
          <w:lang w:bidi="zh-CN"/>
        </w:rPr>
      </w:pPr>
      <w:r>
        <w:rPr>
          <w:rFonts w:ascii="宋体" w:hAnsi="宋体" w:eastAsia="宋体"/>
          <w:color w:val="auto"/>
        </w:rPr>
        <w:drawing>
          <wp:inline distT="0" distB="0" distL="114300" distR="114300">
            <wp:extent cx="5751195" cy="4039870"/>
            <wp:effectExtent l="0" t="0" r="1905" b="1778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99"/>
                    <a:stretch>
                      <a:fillRect/>
                    </a:stretch>
                  </pic:blipFill>
                  <pic:spPr>
                    <a:xfrm>
                      <a:off x="0" y="0"/>
                      <a:ext cx="5751195" cy="4039870"/>
                    </a:xfrm>
                    <a:prstGeom prst="rect">
                      <a:avLst/>
                    </a:prstGeom>
                    <a:noFill/>
                    <a:ln>
                      <a:noFill/>
                    </a:ln>
                  </pic:spPr>
                </pic:pic>
              </a:graphicData>
            </a:graphic>
          </wp:inline>
        </w:drawing>
      </w:r>
    </w:p>
    <w:p w14:paraId="74EF7486">
      <w:pPr>
        <w:jc w:val="center"/>
        <w:rPr>
          <w:rFonts w:ascii="宋体" w:hAnsi="宋体" w:eastAsia="宋体" w:cs="Times New Roman"/>
          <w:color w:val="auto"/>
          <w:lang w:bidi="zh-CN"/>
        </w:rPr>
      </w:pPr>
      <w:r>
        <w:rPr>
          <w:rFonts w:ascii="宋体" w:hAnsi="宋体" w:eastAsia="宋体" w:cs="Times New Roman"/>
          <w:color w:val="auto"/>
          <w:lang w:bidi="zh-CN"/>
        </w:rPr>
        <w:t>图5.1-18  PM</w:t>
      </w:r>
      <w:r>
        <w:rPr>
          <w:rFonts w:ascii="宋体" w:hAnsi="宋体" w:eastAsia="宋体" w:cs="Times New Roman"/>
          <w:color w:val="auto"/>
          <w:vertAlign w:val="subscript"/>
          <w:lang w:bidi="zh-CN"/>
        </w:rPr>
        <w:t>10</w:t>
      </w:r>
      <w:r>
        <w:rPr>
          <w:rFonts w:ascii="宋体" w:hAnsi="宋体" w:eastAsia="宋体" w:cs="Times New Roman"/>
          <w:color w:val="auto"/>
          <w:lang w:bidi="zh-CN"/>
        </w:rPr>
        <w:t>年均值贡献浓度分布图</w:t>
      </w:r>
    </w:p>
    <w:p w14:paraId="21562853">
      <w:pPr>
        <w:jc w:val="center"/>
        <w:rPr>
          <w:rFonts w:ascii="宋体" w:hAnsi="宋体" w:eastAsia="宋体" w:cs="Times New Roman"/>
          <w:color w:val="auto"/>
          <w:lang w:bidi="zh-CN"/>
        </w:rPr>
      </w:pPr>
      <w:r>
        <w:rPr>
          <w:rFonts w:ascii="宋体" w:hAnsi="宋体" w:eastAsia="宋体"/>
          <w:color w:val="auto"/>
        </w:rPr>
        <w:drawing>
          <wp:inline distT="0" distB="0" distL="114300" distR="114300">
            <wp:extent cx="5756910" cy="3910330"/>
            <wp:effectExtent l="0" t="0" r="15240" b="13970"/>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100"/>
                    <a:stretch>
                      <a:fillRect/>
                    </a:stretch>
                  </pic:blipFill>
                  <pic:spPr>
                    <a:xfrm>
                      <a:off x="0" y="0"/>
                      <a:ext cx="5756910" cy="3910330"/>
                    </a:xfrm>
                    <a:prstGeom prst="rect">
                      <a:avLst/>
                    </a:prstGeom>
                    <a:noFill/>
                    <a:ln>
                      <a:noFill/>
                    </a:ln>
                  </pic:spPr>
                </pic:pic>
              </a:graphicData>
            </a:graphic>
          </wp:inline>
        </w:drawing>
      </w:r>
    </w:p>
    <w:p w14:paraId="0155C482">
      <w:pPr>
        <w:jc w:val="center"/>
        <w:rPr>
          <w:rFonts w:ascii="宋体" w:hAnsi="宋体" w:eastAsia="宋体" w:cs="Times New Roman"/>
          <w:color w:val="auto"/>
          <w:lang w:bidi="zh-CN"/>
        </w:rPr>
      </w:pPr>
      <w:r>
        <w:rPr>
          <w:rFonts w:ascii="宋体" w:hAnsi="宋体" w:eastAsia="宋体" w:cs="Times New Roman"/>
          <w:color w:val="auto"/>
          <w:lang w:bidi="zh-CN"/>
        </w:rPr>
        <w:t>图5.1-19  PM</w:t>
      </w:r>
      <w:r>
        <w:rPr>
          <w:rFonts w:ascii="宋体" w:hAnsi="宋体" w:eastAsia="宋体" w:cs="Times New Roman"/>
          <w:color w:val="auto"/>
          <w:vertAlign w:val="subscript"/>
          <w:lang w:bidi="zh-CN"/>
        </w:rPr>
        <w:t>10</w:t>
      </w:r>
      <w:r>
        <w:rPr>
          <w:rFonts w:ascii="宋体" w:hAnsi="宋体" w:eastAsia="宋体" w:cs="Times New Roman"/>
          <w:color w:val="auto"/>
          <w:lang w:bidi="zh-CN"/>
        </w:rPr>
        <w:t>日均值贡献浓度分布图</w:t>
      </w:r>
    </w:p>
    <w:p w14:paraId="52606639">
      <w:pPr>
        <w:pStyle w:val="276"/>
        <w:widowControl w:val="0"/>
        <w:ind w:firstLine="480"/>
        <w:jc w:val="both"/>
        <w:rPr>
          <w:color w:val="auto"/>
          <w:lang w:val="zh-CN"/>
        </w:rPr>
      </w:pPr>
      <w:r>
        <w:rPr>
          <w:color w:val="auto"/>
          <w:lang w:val="zh-CN"/>
        </w:rPr>
        <w:t>（2）新增污染源叠加环境质量现状</w:t>
      </w:r>
      <w:r>
        <w:rPr>
          <w:color w:val="auto"/>
          <w:lang w:bidi="zh-CN"/>
        </w:rPr>
        <w:t>浓度</w:t>
      </w:r>
      <w:r>
        <w:rPr>
          <w:color w:val="auto"/>
          <w:lang w:val="zh-CN"/>
        </w:rPr>
        <w:t>预测</w:t>
      </w:r>
    </w:p>
    <w:p w14:paraId="573E7EFC">
      <w:pPr>
        <w:pStyle w:val="276"/>
        <w:widowControl w:val="0"/>
        <w:ind w:firstLine="480"/>
        <w:jc w:val="both"/>
        <w:rPr>
          <w:color w:val="auto"/>
        </w:rPr>
      </w:pPr>
      <w:r>
        <w:rPr>
          <w:color w:val="auto"/>
          <w:lang w:val="zh-CN"/>
        </w:rPr>
        <w:t>对于区域内污染物浓度采用</w:t>
      </w:r>
      <w:r>
        <w:rPr>
          <w:color w:val="auto"/>
        </w:rPr>
        <w:t>空气质量自动监测站萨区政府监测点2024年全年的监测资料或</w:t>
      </w:r>
      <w:r>
        <w:rPr>
          <w:color w:val="auto"/>
          <w:lang w:val="zh-CN"/>
        </w:rPr>
        <w:t>补充点位监测数据的最大值作为环境空气保护目标及网格点环境质量现状浓度，首先计算相同时刻各监测点位平均值，再取各监测时段平均值中的最大值作为环境空气保护目标及网格点环境质量现状浓度。本项目正常排放</w:t>
      </w:r>
      <w:r>
        <w:rPr>
          <w:color w:val="auto"/>
        </w:rPr>
        <w:t>新增污染源贡献浓度及叠加后环境质量浓度预测结果见表5.1-17及图5.1-20～图5.1-25。</w:t>
      </w:r>
    </w:p>
    <w:p w14:paraId="139A6C88">
      <w:pPr>
        <w:spacing w:line="440" w:lineRule="exact"/>
        <w:ind w:firstLine="420" w:firstLineChars="200"/>
        <w:rPr>
          <w:rFonts w:ascii="宋体" w:hAnsi="宋体" w:eastAsia="宋体" w:cs="Times New Roman"/>
          <w:color w:val="auto"/>
        </w:rPr>
      </w:pPr>
      <w:r>
        <w:rPr>
          <w:rFonts w:ascii="宋体" w:hAnsi="宋体" w:eastAsia="宋体" w:cs="Times New Roman"/>
          <w:color w:val="auto"/>
        </w:rPr>
        <w:t>表5.1-17   叠加环境质量现状浓度后保证率日均和年均浓度占标率结果表</w:t>
      </w:r>
    </w:p>
    <w:tbl>
      <w:tblPr>
        <w:tblStyle w:val="81"/>
        <w:tblW w:w="906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4"/>
        <w:gridCol w:w="1430"/>
        <w:gridCol w:w="810"/>
        <w:gridCol w:w="1006"/>
        <w:gridCol w:w="794"/>
        <w:gridCol w:w="1262"/>
        <w:gridCol w:w="1403"/>
        <w:gridCol w:w="836"/>
        <w:gridCol w:w="830"/>
      </w:tblGrid>
      <w:tr w14:paraId="31F3B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tcBorders>
              <w:tl2br w:val="nil"/>
              <w:tr2bl w:val="nil"/>
            </w:tcBorders>
            <w:vAlign w:val="center"/>
          </w:tcPr>
          <w:p w14:paraId="26424EDC">
            <w:pPr>
              <w:jc w:val="center"/>
              <w:rPr>
                <w:rFonts w:ascii="宋体" w:hAnsi="宋体" w:eastAsia="宋体" w:cs="Times New Roman"/>
                <w:color w:val="auto"/>
              </w:rPr>
            </w:pPr>
            <w:r>
              <w:rPr>
                <w:rFonts w:ascii="宋体" w:hAnsi="宋体" w:eastAsia="宋体" w:cs="Times New Roman"/>
                <w:color w:val="auto"/>
              </w:rPr>
              <w:t>污染物</w:t>
            </w:r>
          </w:p>
        </w:tc>
        <w:tc>
          <w:tcPr>
            <w:tcW w:w="1430" w:type="dxa"/>
            <w:tcBorders>
              <w:tl2br w:val="nil"/>
              <w:tr2bl w:val="nil"/>
            </w:tcBorders>
            <w:vAlign w:val="center"/>
          </w:tcPr>
          <w:p w14:paraId="58D82344">
            <w:pPr>
              <w:jc w:val="center"/>
              <w:rPr>
                <w:rFonts w:ascii="宋体" w:hAnsi="宋体" w:eastAsia="宋体" w:cs="Times New Roman"/>
                <w:color w:val="auto"/>
              </w:rPr>
            </w:pPr>
            <w:r>
              <w:rPr>
                <w:rFonts w:ascii="宋体" w:hAnsi="宋体" w:eastAsia="宋体" w:cs="Times New Roman"/>
                <w:color w:val="auto"/>
              </w:rPr>
              <w:t>预测点</w:t>
            </w:r>
          </w:p>
        </w:tc>
        <w:tc>
          <w:tcPr>
            <w:tcW w:w="810" w:type="dxa"/>
            <w:tcBorders>
              <w:tl2br w:val="nil"/>
              <w:tr2bl w:val="nil"/>
            </w:tcBorders>
            <w:vAlign w:val="center"/>
          </w:tcPr>
          <w:p w14:paraId="76CDBD45">
            <w:pPr>
              <w:jc w:val="center"/>
              <w:rPr>
                <w:rFonts w:ascii="宋体" w:hAnsi="宋体" w:eastAsia="宋体" w:cs="Times New Roman"/>
                <w:color w:val="auto"/>
              </w:rPr>
            </w:pPr>
            <w:r>
              <w:rPr>
                <w:rFonts w:ascii="宋体" w:hAnsi="宋体" w:eastAsia="宋体" w:cs="Times New Roman"/>
                <w:color w:val="auto"/>
              </w:rPr>
              <w:t>平均时段</w:t>
            </w:r>
          </w:p>
        </w:tc>
        <w:tc>
          <w:tcPr>
            <w:tcW w:w="1006" w:type="dxa"/>
            <w:tcBorders>
              <w:tl2br w:val="nil"/>
              <w:tr2bl w:val="nil"/>
            </w:tcBorders>
            <w:vAlign w:val="center"/>
          </w:tcPr>
          <w:p w14:paraId="4DE2EA8A">
            <w:pPr>
              <w:jc w:val="center"/>
              <w:rPr>
                <w:rFonts w:ascii="宋体" w:hAnsi="宋体" w:eastAsia="宋体" w:cs="Times New Roman"/>
                <w:color w:val="auto"/>
              </w:rPr>
            </w:pPr>
            <w:r>
              <w:rPr>
                <w:rFonts w:ascii="宋体" w:hAnsi="宋体" w:eastAsia="宋体" w:cs="Times New Roman"/>
                <w:color w:val="auto"/>
              </w:rPr>
              <w:t>贡献值（μg/m</w:t>
            </w:r>
            <w:r>
              <w:rPr>
                <w:rFonts w:ascii="宋体" w:hAnsi="宋体" w:eastAsia="宋体" w:cs="Times New Roman"/>
                <w:color w:val="auto"/>
                <w:vertAlign w:val="superscript"/>
              </w:rPr>
              <w:t>3</w:t>
            </w:r>
            <w:r>
              <w:rPr>
                <w:rFonts w:ascii="宋体" w:hAnsi="宋体" w:eastAsia="宋体" w:cs="Times New Roman"/>
                <w:color w:val="auto"/>
              </w:rPr>
              <w:t>)</w:t>
            </w:r>
          </w:p>
        </w:tc>
        <w:tc>
          <w:tcPr>
            <w:tcW w:w="794" w:type="dxa"/>
            <w:tcBorders>
              <w:tl2br w:val="nil"/>
              <w:tr2bl w:val="nil"/>
            </w:tcBorders>
            <w:vAlign w:val="center"/>
          </w:tcPr>
          <w:p w14:paraId="154C8E52">
            <w:pPr>
              <w:jc w:val="center"/>
              <w:rPr>
                <w:rFonts w:ascii="宋体" w:hAnsi="宋体" w:eastAsia="宋体" w:cs="Times New Roman"/>
                <w:color w:val="auto"/>
              </w:rPr>
            </w:pPr>
            <w:r>
              <w:rPr>
                <w:rFonts w:ascii="宋体" w:hAnsi="宋体" w:eastAsia="宋体" w:cs="Times New Roman"/>
                <w:color w:val="auto"/>
              </w:rPr>
              <w:t>占标率/%</w:t>
            </w:r>
          </w:p>
        </w:tc>
        <w:tc>
          <w:tcPr>
            <w:tcW w:w="1262" w:type="dxa"/>
            <w:tcBorders>
              <w:tl2br w:val="nil"/>
              <w:tr2bl w:val="nil"/>
            </w:tcBorders>
            <w:vAlign w:val="center"/>
          </w:tcPr>
          <w:p w14:paraId="34FC9FA1">
            <w:pPr>
              <w:jc w:val="center"/>
              <w:rPr>
                <w:rFonts w:ascii="宋体" w:hAnsi="宋体" w:eastAsia="宋体" w:cs="Times New Roman"/>
                <w:color w:val="auto"/>
              </w:rPr>
            </w:pPr>
            <w:r>
              <w:rPr>
                <w:rFonts w:ascii="宋体" w:hAnsi="宋体" w:eastAsia="宋体" w:cs="Times New Roman"/>
                <w:color w:val="auto"/>
              </w:rPr>
              <w:t>现状浓度（μg/m</w:t>
            </w:r>
            <w:r>
              <w:rPr>
                <w:rFonts w:ascii="宋体" w:hAnsi="宋体" w:eastAsia="宋体" w:cs="Times New Roman"/>
                <w:color w:val="auto"/>
                <w:vertAlign w:val="superscript"/>
              </w:rPr>
              <w:t>3</w:t>
            </w:r>
            <w:r>
              <w:rPr>
                <w:rFonts w:ascii="宋体" w:hAnsi="宋体" w:eastAsia="宋体" w:cs="Times New Roman"/>
                <w:color w:val="auto"/>
              </w:rPr>
              <w:t>）</w:t>
            </w:r>
          </w:p>
        </w:tc>
        <w:tc>
          <w:tcPr>
            <w:tcW w:w="1403" w:type="dxa"/>
            <w:tcBorders>
              <w:tl2br w:val="nil"/>
              <w:tr2bl w:val="nil"/>
            </w:tcBorders>
            <w:vAlign w:val="center"/>
          </w:tcPr>
          <w:p w14:paraId="5A84B409">
            <w:pPr>
              <w:jc w:val="center"/>
              <w:rPr>
                <w:rFonts w:ascii="宋体" w:hAnsi="宋体" w:eastAsia="宋体" w:cs="Times New Roman"/>
                <w:color w:val="auto"/>
              </w:rPr>
            </w:pPr>
            <w:r>
              <w:rPr>
                <w:rFonts w:ascii="宋体" w:hAnsi="宋体" w:eastAsia="宋体" w:cs="Times New Roman"/>
                <w:color w:val="auto"/>
              </w:rPr>
              <w:t>叠加后浓度（μg/m</w:t>
            </w:r>
            <w:r>
              <w:rPr>
                <w:rFonts w:ascii="宋体" w:hAnsi="宋体" w:eastAsia="宋体" w:cs="Times New Roman"/>
                <w:color w:val="auto"/>
                <w:vertAlign w:val="superscript"/>
              </w:rPr>
              <w:t>3</w:t>
            </w:r>
            <w:r>
              <w:rPr>
                <w:rFonts w:ascii="宋体" w:hAnsi="宋体" w:eastAsia="宋体" w:cs="Times New Roman"/>
                <w:color w:val="auto"/>
              </w:rPr>
              <w:t>）</w:t>
            </w:r>
          </w:p>
        </w:tc>
        <w:tc>
          <w:tcPr>
            <w:tcW w:w="836" w:type="dxa"/>
            <w:tcBorders>
              <w:tl2br w:val="nil"/>
              <w:tr2bl w:val="nil"/>
            </w:tcBorders>
            <w:vAlign w:val="center"/>
          </w:tcPr>
          <w:p w14:paraId="2FFBA13A">
            <w:pPr>
              <w:jc w:val="center"/>
              <w:rPr>
                <w:rFonts w:ascii="宋体" w:hAnsi="宋体" w:eastAsia="宋体" w:cs="Times New Roman"/>
                <w:color w:val="auto"/>
              </w:rPr>
            </w:pPr>
            <w:r>
              <w:rPr>
                <w:rFonts w:ascii="宋体" w:hAnsi="宋体" w:eastAsia="宋体" w:cs="Times New Roman"/>
                <w:color w:val="auto"/>
              </w:rPr>
              <w:t>占标率/%</w:t>
            </w:r>
          </w:p>
        </w:tc>
        <w:tc>
          <w:tcPr>
            <w:tcW w:w="830" w:type="dxa"/>
            <w:tcBorders>
              <w:tl2br w:val="nil"/>
              <w:tr2bl w:val="nil"/>
            </w:tcBorders>
            <w:vAlign w:val="center"/>
          </w:tcPr>
          <w:p w14:paraId="6364ED62">
            <w:pPr>
              <w:jc w:val="center"/>
              <w:rPr>
                <w:rFonts w:ascii="宋体" w:hAnsi="宋体" w:eastAsia="宋体" w:cs="Times New Roman"/>
                <w:color w:val="auto"/>
              </w:rPr>
            </w:pPr>
            <w:r>
              <w:rPr>
                <w:rFonts w:ascii="宋体" w:hAnsi="宋体" w:eastAsia="宋体" w:cs="Times New Roman"/>
                <w:color w:val="auto"/>
              </w:rPr>
              <w:t>达标情况</w:t>
            </w:r>
          </w:p>
        </w:tc>
      </w:tr>
      <w:tr w14:paraId="148C0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restart"/>
            <w:tcBorders>
              <w:tl2br w:val="nil"/>
              <w:tr2bl w:val="nil"/>
            </w:tcBorders>
            <w:vAlign w:val="center"/>
          </w:tcPr>
          <w:p w14:paraId="6D775A85">
            <w:pPr>
              <w:jc w:val="center"/>
              <w:rPr>
                <w:rFonts w:ascii="宋体" w:hAnsi="宋体" w:eastAsia="宋体" w:cs="Times New Roman"/>
                <w:color w:val="auto"/>
              </w:rPr>
            </w:pPr>
            <w:r>
              <w:rPr>
                <w:rFonts w:ascii="宋体" w:hAnsi="宋体" w:eastAsia="宋体" w:cs="Times New Roman"/>
                <w:color w:val="auto"/>
              </w:rPr>
              <w:t>PM</w:t>
            </w:r>
            <w:r>
              <w:rPr>
                <w:rFonts w:ascii="宋体" w:hAnsi="宋体" w:eastAsia="宋体" w:cs="Times New Roman"/>
                <w:color w:val="auto"/>
                <w:vertAlign w:val="subscript"/>
              </w:rPr>
              <w:t>10</w:t>
            </w:r>
          </w:p>
        </w:tc>
        <w:tc>
          <w:tcPr>
            <w:tcW w:w="1430" w:type="dxa"/>
            <w:tcBorders>
              <w:tl2br w:val="nil"/>
              <w:tr2bl w:val="nil"/>
            </w:tcBorders>
            <w:vAlign w:val="center"/>
          </w:tcPr>
          <w:p w14:paraId="16D88360">
            <w:pPr>
              <w:jc w:val="center"/>
              <w:rPr>
                <w:rFonts w:ascii="宋体" w:hAnsi="宋体" w:eastAsia="宋体" w:cs="Times New Roman"/>
                <w:color w:val="auto"/>
              </w:rPr>
            </w:pPr>
            <w:r>
              <w:rPr>
                <w:rFonts w:ascii="宋体" w:hAnsi="宋体" w:eastAsia="宋体" w:cs="Times New Roman"/>
                <w:color w:val="auto"/>
              </w:rPr>
              <w:t xml:space="preserve"> 吴家围子</w:t>
            </w:r>
          </w:p>
        </w:tc>
        <w:tc>
          <w:tcPr>
            <w:tcW w:w="810" w:type="dxa"/>
            <w:vMerge w:val="restart"/>
            <w:tcBorders>
              <w:tl2br w:val="nil"/>
              <w:tr2bl w:val="nil"/>
            </w:tcBorders>
            <w:vAlign w:val="center"/>
          </w:tcPr>
          <w:p w14:paraId="0B34B273">
            <w:pPr>
              <w:jc w:val="center"/>
              <w:rPr>
                <w:rFonts w:ascii="宋体" w:hAnsi="宋体" w:eastAsia="宋体" w:cs="Times New Roman"/>
                <w:color w:val="auto"/>
              </w:rPr>
            </w:pPr>
            <w:r>
              <w:rPr>
                <w:rFonts w:ascii="宋体" w:hAnsi="宋体" w:eastAsia="宋体" w:cs="Times New Roman"/>
                <w:color w:val="auto"/>
              </w:rPr>
              <w:t>95%保证率日平均</w:t>
            </w:r>
          </w:p>
        </w:tc>
        <w:tc>
          <w:tcPr>
            <w:tcW w:w="1006" w:type="dxa"/>
            <w:tcBorders>
              <w:tl2br w:val="nil"/>
              <w:tr2bl w:val="nil"/>
            </w:tcBorders>
            <w:vAlign w:val="center"/>
          </w:tcPr>
          <w:p w14:paraId="7FAE9E92">
            <w:pPr>
              <w:jc w:val="center"/>
              <w:rPr>
                <w:rFonts w:ascii="宋体" w:hAnsi="宋体" w:eastAsia="宋体" w:cs="Times New Roman"/>
                <w:color w:val="auto"/>
              </w:rPr>
            </w:pPr>
            <w:r>
              <w:rPr>
                <w:rFonts w:ascii="宋体" w:hAnsi="宋体" w:eastAsia="宋体" w:cs="Times New Roman"/>
                <w:color w:val="auto"/>
              </w:rPr>
              <w:t>0.0159</w:t>
            </w:r>
          </w:p>
        </w:tc>
        <w:tc>
          <w:tcPr>
            <w:tcW w:w="794" w:type="dxa"/>
            <w:tcBorders>
              <w:tl2br w:val="nil"/>
              <w:tr2bl w:val="nil"/>
            </w:tcBorders>
            <w:vAlign w:val="center"/>
          </w:tcPr>
          <w:p w14:paraId="69063B1A">
            <w:pPr>
              <w:jc w:val="center"/>
              <w:rPr>
                <w:rFonts w:ascii="宋体" w:hAnsi="宋体" w:eastAsia="宋体" w:cs="Times New Roman"/>
                <w:color w:val="auto"/>
              </w:rPr>
            </w:pPr>
            <w:r>
              <w:rPr>
                <w:rFonts w:ascii="宋体" w:hAnsi="宋体" w:eastAsia="宋体" w:cs="Times New Roman"/>
                <w:color w:val="auto"/>
              </w:rPr>
              <w:t xml:space="preserve">0.011 </w:t>
            </w:r>
          </w:p>
        </w:tc>
        <w:tc>
          <w:tcPr>
            <w:tcW w:w="1262" w:type="dxa"/>
            <w:tcBorders>
              <w:tl2br w:val="nil"/>
              <w:tr2bl w:val="nil"/>
            </w:tcBorders>
            <w:vAlign w:val="center"/>
          </w:tcPr>
          <w:p w14:paraId="2F163C39">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03112024">
            <w:pPr>
              <w:jc w:val="center"/>
              <w:rPr>
                <w:rFonts w:ascii="宋体" w:hAnsi="宋体" w:eastAsia="宋体" w:cs="Times New Roman"/>
                <w:color w:val="auto"/>
              </w:rPr>
            </w:pPr>
            <w:r>
              <w:rPr>
                <w:rFonts w:ascii="宋体" w:hAnsi="宋体" w:eastAsia="宋体" w:cs="Times New Roman"/>
                <w:color w:val="auto"/>
              </w:rPr>
              <w:t>87.0159</w:t>
            </w:r>
          </w:p>
        </w:tc>
        <w:tc>
          <w:tcPr>
            <w:tcW w:w="836" w:type="dxa"/>
            <w:tcBorders>
              <w:tl2br w:val="nil"/>
              <w:tr2bl w:val="nil"/>
            </w:tcBorders>
            <w:vAlign w:val="center"/>
          </w:tcPr>
          <w:p w14:paraId="430AB8DB">
            <w:pPr>
              <w:jc w:val="center"/>
              <w:rPr>
                <w:rFonts w:ascii="宋体" w:hAnsi="宋体" w:eastAsia="宋体" w:cs="Times New Roman"/>
                <w:color w:val="auto"/>
              </w:rPr>
            </w:pPr>
            <w:r>
              <w:rPr>
                <w:rFonts w:ascii="宋体" w:hAnsi="宋体" w:eastAsia="宋体" w:cs="Times New Roman"/>
                <w:color w:val="auto"/>
              </w:rPr>
              <w:t xml:space="preserve">58.011 </w:t>
            </w:r>
          </w:p>
        </w:tc>
        <w:tc>
          <w:tcPr>
            <w:tcW w:w="830" w:type="dxa"/>
            <w:tcBorders>
              <w:tl2br w:val="nil"/>
              <w:tr2bl w:val="nil"/>
            </w:tcBorders>
            <w:vAlign w:val="center"/>
          </w:tcPr>
          <w:p w14:paraId="0D6270BF">
            <w:pPr>
              <w:jc w:val="center"/>
              <w:rPr>
                <w:rFonts w:ascii="宋体" w:hAnsi="宋体" w:eastAsia="宋体" w:cs="Times New Roman"/>
                <w:color w:val="auto"/>
              </w:rPr>
            </w:pPr>
            <w:r>
              <w:rPr>
                <w:rFonts w:ascii="宋体" w:hAnsi="宋体" w:eastAsia="宋体" w:cs="Times New Roman"/>
                <w:color w:val="auto"/>
              </w:rPr>
              <w:t>达标</w:t>
            </w:r>
          </w:p>
        </w:tc>
      </w:tr>
      <w:tr w14:paraId="3485D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5B3F7F7B">
            <w:pPr>
              <w:jc w:val="center"/>
              <w:rPr>
                <w:rFonts w:ascii="宋体" w:hAnsi="宋体" w:eastAsia="宋体" w:cs="Times New Roman"/>
                <w:color w:val="auto"/>
              </w:rPr>
            </w:pPr>
          </w:p>
        </w:tc>
        <w:tc>
          <w:tcPr>
            <w:tcW w:w="1430" w:type="dxa"/>
            <w:tcBorders>
              <w:tl2br w:val="nil"/>
              <w:tr2bl w:val="nil"/>
            </w:tcBorders>
            <w:vAlign w:val="center"/>
          </w:tcPr>
          <w:p w14:paraId="2E0A768A">
            <w:pPr>
              <w:jc w:val="center"/>
              <w:rPr>
                <w:rFonts w:ascii="宋体" w:hAnsi="宋体" w:eastAsia="宋体" w:cs="Times New Roman"/>
                <w:color w:val="auto"/>
              </w:rPr>
            </w:pPr>
            <w:r>
              <w:rPr>
                <w:rFonts w:ascii="宋体" w:hAnsi="宋体" w:eastAsia="宋体" w:cs="Times New Roman"/>
                <w:color w:val="auto"/>
              </w:rPr>
              <w:t>李彦和屯</w:t>
            </w:r>
          </w:p>
        </w:tc>
        <w:tc>
          <w:tcPr>
            <w:tcW w:w="810" w:type="dxa"/>
            <w:vMerge w:val="continue"/>
            <w:tcBorders>
              <w:tl2br w:val="nil"/>
              <w:tr2bl w:val="nil"/>
            </w:tcBorders>
            <w:vAlign w:val="center"/>
          </w:tcPr>
          <w:p w14:paraId="62725257">
            <w:pPr>
              <w:jc w:val="center"/>
              <w:rPr>
                <w:rFonts w:ascii="宋体" w:hAnsi="宋体" w:eastAsia="宋体" w:cs="Times New Roman"/>
                <w:color w:val="auto"/>
              </w:rPr>
            </w:pPr>
          </w:p>
        </w:tc>
        <w:tc>
          <w:tcPr>
            <w:tcW w:w="1006" w:type="dxa"/>
            <w:tcBorders>
              <w:tl2br w:val="nil"/>
              <w:tr2bl w:val="nil"/>
            </w:tcBorders>
            <w:vAlign w:val="center"/>
          </w:tcPr>
          <w:p w14:paraId="56CDB503">
            <w:pPr>
              <w:jc w:val="center"/>
              <w:rPr>
                <w:rFonts w:ascii="宋体" w:hAnsi="宋体" w:eastAsia="宋体" w:cs="Times New Roman"/>
                <w:color w:val="auto"/>
              </w:rPr>
            </w:pPr>
            <w:r>
              <w:rPr>
                <w:rFonts w:ascii="宋体" w:hAnsi="宋体" w:eastAsia="宋体" w:cs="Times New Roman"/>
                <w:color w:val="auto"/>
              </w:rPr>
              <w:t>0.0265</w:t>
            </w:r>
          </w:p>
        </w:tc>
        <w:tc>
          <w:tcPr>
            <w:tcW w:w="794" w:type="dxa"/>
            <w:tcBorders>
              <w:tl2br w:val="nil"/>
              <w:tr2bl w:val="nil"/>
            </w:tcBorders>
            <w:vAlign w:val="center"/>
          </w:tcPr>
          <w:p w14:paraId="2CA61307">
            <w:pPr>
              <w:jc w:val="center"/>
              <w:rPr>
                <w:rFonts w:ascii="宋体" w:hAnsi="宋体" w:eastAsia="宋体" w:cs="Times New Roman"/>
                <w:color w:val="auto"/>
              </w:rPr>
            </w:pPr>
            <w:r>
              <w:rPr>
                <w:rFonts w:ascii="宋体" w:hAnsi="宋体" w:eastAsia="宋体" w:cs="Times New Roman"/>
                <w:color w:val="auto"/>
              </w:rPr>
              <w:t xml:space="preserve">0.018 </w:t>
            </w:r>
          </w:p>
        </w:tc>
        <w:tc>
          <w:tcPr>
            <w:tcW w:w="1262" w:type="dxa"/>
            <w:tcBorders>
              <w:tl2br w:val="nil"/>
              <w:tr2bl w:val="nil"/>
            </w:tcBorders>
            <w:vAlign w:val="center"/>
          </w:tcPr>
          <w:p w14:paraId="7A34AC56">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51C4534E">
            <w:pPr>
              <w:jc w:val="center"/>
              <w:rPr>
                <w:rFonts w:ascii="宋体" w:hAnsi="宋体" w:eastAsia="宋体" w:cs="Times New Roman"/>
                <w:color w:val="auto"/>
              </w:rPr>
            </w:pPr>
            <w:r>
              <w:rPr>
                <w:rFonts w:ascii="宋体" w:hAnsi="宋体" w:eastAsia="宋体" w:cs="Times New Roman"/>
                <w:color w:val="auto"/>
              </w:rPr>
              <w:t>87.0265</w:t>
            </w:r>
          </w:p>
        </w:tc>
        <w:tc>
          <w:tcPr>
            <w:tcW w:w="836" w:type="dxa"/>
            <w:tcBorders>
              <w:tl2br w:val="nil"/>
              <w:tr2bl w:val="nil"/>
            </w:tcBorders>
            <w:vAlign w:val="center"/>
          </w:tcPr>
          <w:p w14:paraId="73BCBF1C">
            <w:pPr>
              <w:jc w:val="center"/>
              <w:rPr>
                <w:rFonts w:ascii="宋体" w:hAnsi="宋体" w:eastAsia="宋体" w:cs="Times New Roman"/>
                <w:color w:val="auto"/>
              </w:rPr>
            </w:pPr>
            <w:r>
              <w:rPr>
                <w:rFonts w:ascii="宋体" w:hAnsi="宋体" w:eastAsia="宋体" w:cs="Times New Roman"/>
                <w:color w:val="auto"/>
              </w:rPr>
              <w:t xml:space="preserve">58.018 </w:t>
            </w:r>
          </w:p>
        </w:tc>
        <w:tc>
          <w:tcPr>
            <w:tcW w:w="830" w:type="dxa"/>
            <w:tcBorders>
              <w:tl2br w:val="nil"/>
              <w:tr2bl w:val="nil"/>
            </w:tcBorders>
            <w:vAlign w:val="center"/>
          </w:tcPr>
          <w:p w14:paraId="2AFC84F7">
            <w:pPr>
              <w:jc w:val="center"/>
              <w:rPr>
                <w:rFonts w:ascii="宋体" w:hAnsi="宋体" w:eastAsia="宋体" w:cs="Times New Roman"/>
                <w:color w:val="auto"/>
              </w:rPr>
            </w:pPr>
            <w:r>
              <w:rPr>
                <w:rFonts w:ascii="宋体" w:hAnsi="宋体" w:eastAsia="宋体" w:cs="Times New Roman"/>
                <w:color w:val="auto"/>
              </w:rPr>
              <w:t>达标</w:t>
            </w:r>
          </w:p>
        </w:tc>
      </w:tr>
      <w:tr w14:paraId="56F13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0CD11F32">
            <w:pPr>
              <w:jc w:val="center"/>
              <w:rPr>
                <w:rFonts w:ascii="宋体" w:hAnsi="宋体" w:eastAsia="宋体" w:cs="Times New Roman"/>
                <w:color w:val="auto"/>
              </w:rPr>
            </w:pPr>
          </w:p>
        </w:tc>
        <w:tc>
          <w:tcPr>
            <w:tcW w:w="1430" w:type="dxa"/>
            <w:tcBorders>
              <w:tl2br w:val="nil"/>
              <w:tr2bl w:val="nil"/>
            </w:tcBorders>
            <w:vAlign w:val="center"/>
          </w:tcPr>
          <w:p w14:paraId="4DA68A12">
            <w:pPr>
              <w:jc w:val="center"/>
              <w:rPr>
                <w:rFonts w:ascii="宋体" w:hAnsi="宋体" w:eastAsia="宋体" w:cs="Times New Roman"/>
                <w:color w:val="auto"/>
              </w:rPr>
            </w:pPr>
            <w:r>
              <w:rPr>
                <w:rFonts w:ascii="宋体" w:hAnsi="宋体" w:eastAsia="宋体" w:cs="Times New Roman"/>
                <w:color w:val="auto"/>
              </w:rPr>
              <w:t>华南屯</w:t>
            </w:r>
          </w:p>
        </w:tc>
        <w:tc>
          <w:tcPr>
            <w:tcW w:w="810" w:type="dxa"/>
            <w:vMerge w:val="continue"/>
            <w:tcBorders>
              <w:tl2br w:val="nil"/>
              <w:tr2bl w:val="nil"/>
            </w:tcBorders>
            <w:vAlign w:val="center"/>
          </w:tcPr>
          <w:p w14:paraId="090BA444">
            <w:pPr>
              <w:jc w:val="center"/>
              <w:rPr>
                <w:rFonts w:ascii="宋体" w:hAnsi="宋体" w:eastAsia="宋体" w:cs="Times New Roman"/>
                <w:color w:val="auto"/>
              </w:rPr>
            </w:pPr>
          </w:p>
        </w:tc>
        <w:tc>
          <w:tcPr>
            <w:tcW w:w="1006" w:type="dxa"/>
            <w:tcBorders>
              <w:tl2br w:val="nil"/>
              <w:tr2bl w:val="nil"/>
            </w:tcBorders>
            <w:vAlign w:val="center"/>
          </w:tcPr>
          <w:p w14:paraId="1EA9825F">
            <w:pPr>
              <w:jc w:val="center"/>
              <w:rPr>
                <w:rFonts w:ascii="宋体" w:hAnsi="宋体" w:eastAsia="宋体" w:cs="Times New Roman"/>
                <w:color w:val="auto"/>
              </w:rPr>
            </w:pPr>
            <w:r>
              <w:rPr>
                <w:rFonts w:ascii="宋体" w:hAnsi="宋体" w:eastAsia="宋体" w:cs="Times New Roman"/>
                <w:color w:val="auto"/>
              </w:rPr>
              <w:t>0.0273</w:t>
            </w:r>
          </w:p>
        </w:tc>
        <w:tc>
          <w:tcPr>
            <w:tcW w:w="794" w:type="dxa"/>
            <w:tcBorders>
              <w:tl2br w:val="nil"/>
              <w:tr2bl w:val="nil"/>
            </w:tcBorders>
            <w:vAlign w:val="center"/>
          </w:tcPr>
          <w:p w14:paraId="67FB3CCB">
            <w:pPr>
              <w:jc w:val="center"/>
              <w:rPr>
                <w:rFonts w:ascii="宋体" w:hAnsi="宋体" w:eastAsia="宋体" w:cs="Times New Roman"/>
                <w:color w:val="auto"/>
              </w:rPr>
            </w:pPr>
            <w:r>
              <w:rPr>
                <w:rFonts w:ascii="宋体" w:hAnsi="宋体" w:eastAsia="宋体" w:cs="Times New Roman"/>
                <w:color w:val="auto"/>
              </w:rPr>
              <w:t xml:space="preserve">0.018 </w:t>
            </w:r>
          </w:p>
        </w:tc>
        <w:tc>
          <w:tcPr>
            <w:tcW w:w="1262" w:type="dxa"/>
            <w:tcBorders>
              <w:tl2br w:val="nil"/>
              <w:tr2bl w:val="nil"/>
            </w:tcBorders>
            <w:vAlign w:val="center"/>
          </w:tcPr>
          <w:p w14:paraId="2C58201F">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4BD52013">
            <w:pPr>
              <w:jc w:val="center"/>
              <w:rPr>
                <w:rFonts w:ascii="宋体" w:hAnsi="宋体" w:eastAsia="宋体" w:cs="Times New Roman"/>
                <w:color w:val="auto"/>
              </w:rPr>
            </w:pPr>
            <w:r>
              <w:rPr>
                <w:rFonts w:ascii="宋体" w:hAnsi="宋体" w:eastAsia="宋体" w:cs="Times New Roman"/>
                <w:color w:val="auto"/>
              </w:rPr>
              <w:t>87.0273</w:t>
            </w:r>
          </w:p>
        </w:tc>
        <w:tc>
          <w:tcPr>
            <w:tcW w:w="836" w:type="dxa"/>
            <w:tcBorders>
              <w:tl2br w:val="nil"/>
              <w:tr2bl w:val="nil"/>
            </w:tcBorders>
            <w:vAlign w:val="center"/>
          </w:tcPr>
          <w:p w14:paraId="4A3C5870">
            <w:pPr>
              <w:jc w:val="center"/>
              <w:rPr>
                <w:rFonts w:ascii="宋体" w:hAnsi="宋体" w:eastAsia="宋体" w:cs="Times New Roman"/>
                <w:color w:val="auto"/>
              </w:rPr>
            </w:pPr>
            <w:r>
              <w:rPr>
                <w:rFonts w:ascii="宋体" w:hAnsi="宋体" w:eastAsia="宋体" w:cs="Times New Roman"/>
                <w:color w:val="auto"/>
              </w:rPr>
              <w:t xml:space="preserve">58.018 </w:t>
            </w:r>
          </w:p>
        </w:tc>
        <w:tc>
          <w:tcPr>
            <w:tcW w:w="830" w:type="dxa"/>
            <w:tcBorders>
              <w:tl2br w:val="nil"/>
              <w:tr2bl w:val="nil"/>
            </w:tcBorders>
            <w:vAlign w:val="center"/>
          </w:tcPr>
          <w:p w14:paraId="08198ADF">
            <w:pPr>
              <w:jc w:val="center"/>
              <w:rPr>
                <w:rFonts w:ascii="宋体" w:hAnsi="宋体" w:eastAsia="宋体" w:cs="Times New Roman"/>
                <w:color w:val="auto"/>
              </w:rPr>
            </w:pPr>
            <w:r>
              <w:rPr>
                <w:rFonts w:ascii="宋体" w:hAnsi="宋体" w:eastAsia="宋体" w:cs="Times New Roman"/>
                <w:color w:val="auto"/>
              </w:rPr>
              <w:t>达标</w:t>
            </w:r>
          </w:p>
        </w:tc>
      </w:tr>
      <w:tr w14:paraId="291C8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7F4118B8">
            <w:pPr>
              <w:jc w:val="center"/>
              <w:rPr>
                <w:rFonts w:ascii="宋体" w:hAnsi="宋体" w:eastAsia="宋体" w:cs="Times New Roman"/>
                <w:color w:val="auto"/>
              </w:rPr>
            </w:pPr>
          </w:p>
        </w:tc>
        <w:tc>
          <w:tcPr>
            <w:tcW w:w="1430" w:type="dxa"/>
            <w:tcBorders>
              <w:tl2br w:val="nil"/>
              <w:tr2bl w:val="nil"/>
            </w:tcBorders>
            <w:vAlign w:val="center"/>
          </w:tcPr>
          <w:p w14:paraId="7F5E3DDB">
            <w:pPr>
              <w:jc w:val="center"/>
              <w:rPr>
                <w:rFonts w:ascii="宋体" w:hAnsi="宋体" w:eastAsia="宋体" w:cs="Times New Roman"/>
                <w:color w:val="auto"/>
              </w:rPr>
            </w:pPr>
            <w:r>
              <w:rPr>
                <w:rFonts w:ascii="宋体" w:hAnsi="宋体" w:eastAsia="宋体" w:cs="Times New Roman"/>
                <w:color w:val="auto"/>
              </w:rPr>
              <w:t>小欧力马屯</w:t>
            </w:r>
          </w:p>
        </w:tc>
        <w:tc>
          <w:tcPr>
            <w:tcW w:w="810" w:type="dxa"/>
            <w:vMerge w:val="continue"/>
            <w:tcBorders>
              <w:tl2br w:val="nil"/>
              <w:tr2bl w:val="nil"/>
            </w:tcBorders>
            <w:vAlign w:val="center"/>
          </w:tcPr>
          <w:p w14:paraId="5D77F3DE">
            <w:pPr>
              <w:jc w:val="center"/>
              <w:rPr>
                <w:rFonts w:ascii="宋体" w:hAnsi="宋体" w:eastAsia="宋体" w:cs="Times New Roman"/>
                <w:color w:val="auto"/>
              </w:rPr>
            </w:pPr>
          </w:p>
        </w:tc>
        <w:tc>
          <w:tcPr>
            <w:tcW w:w="1006" w:type="dxa"/>
            <w:tcBorders>
              <w:tl2br w:val="nil"/>
              <w:tr2bl w:val="nil"/>
            </w:tcBorders>
            <w:vAlign w:val="center"/>
          </w:tcPr>
          <w:p w14:paraId="5DD3687C">
            <w:pPr>
              <w:jc w:val="center"/>
              <w:rPr>
                <w:rFonts w:ascii="宋体" w:hAnsi="宋体" w:eastAsia="宋体" w:cs="Times New Roman"/>
                <w:color w:val="auto"/>
              </w:rPr>
            </w:pPr>
            <w:r>
              <w:rPr>
                <w:rFonts w:ascii="宋体" w:hAnsi="宋体" w:eastAsia="宋体" w:cs="Times New Roman"/>
                <w:color w:val="auto"/>
              </w:rPr>
              <w:t>0.0323</w:t>
            </w:r>
          </w:p>
        </w:tc>
        <w:tc>
          <w:tcPr>
            <w:tcW w:w="794" w:type="dxa"/>
            <w:tcBorders>
              <w:tl2br w:val="nil"/>
              <w:tr2bl w:val="nil"/>
            </w:tcBorders>
            <w:vAlign w:val="center"/>
          </w:tcPr>
          <w:p w14:paraId="125C38E9">
            <w:pPr>
              <w:jc w:val="center"/>
              <w:rPr>
                <w:rFonts w:ascii="宋体" w:hAnsi="宋体" w:eastAsia="宋体" w:cs="Times New Roman"/>
                <w:color w:val="auto"/>
              </w:rPr>
            </w:pPr>
            <w:r>
              <w:rPr>
                <w:rFonts w:ascii="宋体" w:hAnsi="宋体" w:eastAsia="宋体" w:cs="Times New Roman"/>
                <w:color w:val="auto"/>
              </w:rPr>
              <w:t xml:space="preserve">0.022 </w:t>
            </w:r>
          </w:p>
        </w:tc>
        <w:tc>
          <w:tcPr>
            <w:tcW w:w="1262" w:type="dxa"/>
            <w:tcBorders>
              <w:tl2br w:val="nil"/>
              <w:tr2bl w:val="nil"/>
            </w:tcBorders>
            <w:vAlign w:val="center"/>
          </w:tcPr>
          <w:p w14:paraId="770010A4">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588B6727">
            <w:pPr>
              <w:jc w:val="center"/>
              <w:rPr>
                <w:rFonts w:ascii="宋体" w:hAnsi="宋体" w:eastAsia="宋体" w:cs="Times New Roman"/>
                <w:color w:val="auto"/>
              </w:rPr>
            </w:pPr>
            <w:r>
              <w:rPr>
                <w:rFonts w:ascii="宋体" w:hAnsi="宋体" w:eastAsia="宋体" w:cs="Times New Roman"/>
                <w:color w:val="auto"/>
              </w:rPr>
              <w:t>87.0323</w:t>
            </w:r>
          </w:p>
        </w:tc>
        <w:tc>
          <w:tcPr>
            <w:tcW w:w="836" w:type="dxa"/>
            <w:tcBorders>
              <w:tl2br w:val="nil"/>
              <w:tr2bl w:val="nil"/>
            </w:tcBorders>
            <w:vAlign w:val="center"/>
          </w:tcPr>
          <w:p w14:paraId="77011B81">
            <w:pPr>
              <w:jc w:val="center"/>
              <w:rPr>
                <w:rFonts w:ascii="宋体" w:hAnsi="宋体" w:eastAsia="宋体" w:cs="Times New Roman"/>
                <w:color w:val="auto"/>
              </w:rPr>
            </w:pPr>
            <w:r>
              <w:rPr>
                <w:rFonts w:ascii="宋体" w:hAnsi="宋体" w:eastAsia="宋体" w:cs="Times New Roman"/>
                <w:color w:val="auto"/>
              </w:rPr>
              <w:t xml:space="preserve">58.022 </w:t>
            </w:r>
          </w:p>
        </w:tc>
        <w:tc>
          <w:tcPr>
            <w:tcW w:w="830" w:type="dxa"/>
            <w:tcBorders>
              <w:tl2br w:val="nil"/>
              <w:tr2bl w:val="nil"/>
            </w:tcBorders>
            <w:vAlign w:val="center"/>
          </w:tcPr>
          <w:p w14:paraId="008929FD">
            <w:pPr>
              <w:jc w:val="center"/>
              <w:rPr>
                <w:rFonts w:ascii="宋体" w:hAnsi="宋体" w:eastAsia="宋体" w:cs="Times New Roman"/>
                <w:color w:val="auto"/>
              </w:rPr>
            </w:pPr>
            <w:r>
              <w:rPr>
                <w:rFonts w:ascii="宋体" w:hAnsi="宋体" w:eastAsia="宋体" w:cs="Times New Roman"/>
                <w:color w:val="auto"/>
              </w:rPr>
              <w:t>达标</w:t>
            </w:r>
          </w:p>
        </w:tc>
      </w:tr>
      <w:tr w14:paraId="52E0D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4691D854">
            <w:pPr>
              <w:jc w:val="center"/>
              <w:rPr>
                <w:rFonts w:ascii="宋体" w:hAnsi="宋体" w:eastAsia="宋体" w:cs="Times New Roman"/>
                <w:color w:val="auto"/>
              </w:rPr>
            </w:pPr>
          </w:p>
        </w:tc>
        <w:tc>
          <w:tcPr>
            <w:tcW w:w="1430" w:type="dxa"/>
            <w:tcBorders>
              <w:tl2br w:val="nil"/>
              <w:tr2bl w:val="nil"/>
            </w:tcBorders>
            <w:vAlign w:val="center"/>
          </w:tcPr>
          <w:p w14:paraId="6424D73B">
            <w:pPr>
              <w:jc w:val="center"/>
              <w:rPr>
                <w:rFonts w:ascii="宋体" w:hAnsi="宋体" w:eastAsia="宋体" w:cs="Times New Roman"/>
                <w:color w:val="auto"/>
              </w:rPr>
            </w:pPr>
            <w:r>
              <w:rPr>
                <w:rFonts w:ascii="宋体" w:hAnsi="宋体" w:eastAsia="宋体" w:cs="Times New Roman"/>
                <w:color w:val="auto"/>
              </w:rPr>
              <w:t>立功村</w:t>
            </w:r>
          </w:p>
        </w:tc>
        <w:tc>
          <w:tcPr>
            <w:tcW w:w="810" w:type="dxa"/>
            <w:vMerge w:val="continue"/>
            <w:tcBorders>
              <w:tl2br w:val="nil"/>
              <w:tr2bl w:val="nil"/>
            </w:tcBorders>
            <w:vAlign w:val="center"/>
          </w:tcPr>
          <w:p w14:paraId="7461EA51">
            <w:pPr>
              <w:jc w:val="center"/>
              <w:rPr>
                <w:rFonts w:ascii="宋体" w:hAnsi="宋体" w:eastAsia="宋体" w:cs="Times New Roman"/>
                <w:color w:val="auto"/>
              </w:rPr>
            </w:pPr>
          </w:p>
        </w:tc>
        <w:tc>
          <w:tcPr>
            <w:tcW w:w="1006" w:type="dxa"/>
            <w:tcBorders>
              <w:tl2br w:val="nil"/>
              <w:tr2bl w:val="nil"/>
            </w:tcBorders>
            <w:vAlign w:val="center"/>
          </w:tcPr>
          <w:p w14:paraId="6B67173D">
            <w:pPr>
              <w:jc w:val="center"/>
              <w:rPr>
                <w:rFonts w:ascii="宋体" w:hAnsi="宋体" w:eastAsia="宋体" w:cs="Times New Roman"/>
                <w:color w:val="auto"/>
              </w:rPr>
            </w:pPr>
            <w:r>
              <w:rPr>
                <w:rFonts w:ascii="宋体" w:hAnsi="宋体" w:eastAsia="宋体" w:cs="Times New Roman"/>
                <w:color w:val="auto"/>
              </w:rPr>
              <w:t>0.0253</w:t>
            </w:r>
          </w:p>
        </w:tc>
        <w:tc>
          <w:tcPr>
            <w:tcW w:w="794" w:type="dxa"/>
            <w:tcBorders>
              <w:tl2br w:val="nil"/>
              <w:tr2bl w:val="nil"/>
            </w:tcBorders>
            <w:vAlign w:val="center"/>
          </w:tcPr>
          <w:p w14:paraId="6CF37C10">
            <w:pPr>
              <w:jc w:val="center"/>
              <w:rPr>
                <w:rFonts w:ascii="宋体" w:hAnsi="宋体" w:eastAsia="宋体" w:cs="Times New Roman"/>
                <w:color w:val="auto"/>
              </w:rPr>
            </w:pPr>
            <w:r>
              <w:rPr>
                <w:rFonts w:ascii="宋体" w:hAnsi="宋体" w:eastAsia="宋体" w:cs="Times New Roman"/>
                <w:color w:val="auto"/>
              </w:rPr>
              <w:t xml:space="preserve">0.017 </w:t>
            </w:r>
          </w:p>
        </w:tc>
        <w:tc>
          <w:tcPr>
            <w:tcW w:w="1262" w:type="dxa"/>
            <w:tcBorders>
              <w:tl2br w:val="nil"/>
              <w:tr2bl w:val="nil"/>
            </w:tcBorders>
            <w:vAlign w:val="center"/>
          </w:tcPr>
          <w:p w14:paraId="53EB6A39">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0956E2A7">
            <w:pPr>
              <w:jc w:val="center"/>
              <w:rPr>
                <w:rFonts w:ascii="宋体" w:hAnsi="宋体" w:eastAsia="宋体" w:cs="Times New Roman"/>
                <w:color w:val="auto"/>
              </w:rPr>
            </w:pPr>
            <w:r>
              <w:rPr>
                <w:rFonts w:ascii="宋体" w:hAnsi="宋体" w:eastAsia="宋体" w:cs="Times New Roman"/>
                <w:color w:val="auto"/>
              </w:rPr>
              <w:t>87.0253</w:t>
            </w:r>
          </w:p>
        </w:tc>
        <w:tc>
          <w:tcPr>
            <w:tcW w:w="836" w:type="dxa"/>
            <w:tcBorders>
              <w:tl2br w:val="nil"/>
              <w:tr2bl w:val="nil"/>
            </w:tcBorders>
            <w:vAlign w:val="center"/>
          </w:tcPr>
          <w:p w14:paraId="6541E141">
            <w:pPr>
              <w:jc w:val="center"/>
              <w:rPr>
                <w:rFonts w:ascii="宋体" w:hAnsi="宋体" w:eastAsia="宋体" w:cs="Times New Roman"/>
                <w:color w:val="auto"/>
              </w:rPr>
            </w:pPr>
            <w:r>
              <w:rPr>
                <w:rFonts w:ascii="宋体" w:hAnsi="宋体" w:eastAsia="宋体" w:cs="Times New Roman"/>
                <w:color w:val="auto"/>
              </w:rPr>
              <w:t xml:space="preserve">58.017 </w:t>
            </w:r>
          </w:p>
        </w:tc>
        <w:tc>
          <w:tcPr>
            <w:tcW w:w="830" w:type="dxa"/>
            <w:tcBorders>
              <w:tl2br w:val="nil"/>
              <w:tr2bl w:val="nil"/>
            </w:tcBorders>
            <w:vAlign w:val="center"/>
          </w:tcPr>
          <w:p w14:paraId="2B6B6A7C">
            <w:pPr>
              <w:jc w:val="center"/>
              <w:rPr>
                <w:rFonts w:ascii="宋体" w:hAnsi="宋体" w:eastAsia="宋体" w:cs="Times New Roman"/>
                <w:color w:val="auto"/>
              </w:rPr>
            </w:pPr>
            <w:r>
              <w:rPr>
                <w:rFonts w:ascii="宋体" w:hAnsi="宋体" w:eastAsia="宋体" w:cs="Times New Roman"/>
                <w:color w:val="auto"/>
              </w:rPr>
              <w:t>达标</w:t>
            </w:r>
          </w:p>
        </w:tc>
      </w:tr>
      <w:tr w14:paraId="1F184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15DD1BCF">
            <w:pPr>
              <w:jc w:val="center"/>
              <w:rPr>
                <w:rFonts w:ascii="宋体" w:hAnsi="宋体" w:eastAsia="宋体" w:cs="Times New Roman"/>
                <w:color w:val="auto"/>
              </w:rPr>
            </w:pPr>
          </w:p>
        </w:tc>
        <w:tc>
          <w:tcPr>
            <w:tcW w:w="1430" w:type="dxa"/>
            <w:tcBorders>
              <w:tl2br w:val="nil"/>
              <w:tr2bl w:val="nil"/>
            </w:tcBorders>
            <w:vAlign w:val="center"/>
          </w:tcPr>
          <w:p w14:paraId="5E809D7A">
            <w:pPr>
              <w:jc w:val="center"/>
              <w:rPr>
                <w:rFonts w:ascii="宋体" w:hAnsi="宋体" w:eastAsia="宋体" w:cs="Times New Roman"/>
                <w:color w:val="auto"/>
              </w:rPr>
            </w:pPr>
            <w:r>
              <w:rPr>
                <w:rFonts w:ascii="宋体" w:hAnsi="宋体" w:eastAsia="宋体" w:cs="Times New Roman"/>
                <w:color w:val="auto"/>
              </w:rPr>
              <w:t>后欧力马屯</w:t>
            </w:r>
          </w:p>
        </w:tc>
        <w:tc>
          <w:tcPr>
            <w:tcW w:w="810" w:type="dxa"/>
            <w:vMerge w:val="continue"/>
            <w:tcBorders>
              <w:tl2br w:val="nil"/>
              <w:tr2bl w:val="nil"/>
            </w:tcBorders>
            <w:vAlign w:val="center"/>
          </w:tcPr>
          <w:p w14:paraId="072643E4">
            <w:pPr>
              <w:jc w:val="center"/>
              <w:rPr>
                <w:rFonts w:ascii="宋体" w:hAnsi="宋体" w:eastAsia="宋体" w:cs="Times New Roman"/>
                <w:color w:val="auto"/>
              </w:rPr>
            </w:pPr>
          </w:p>
        </w:tc>
        <w:tc>
          <w:tcPr>
            <w:tcW w:w="1006" w:type="dxa"/>
            <w:tcBorders>
              <w:tl2br w:val="nil"/>
              <w:tr2bl w:val="nil"/>
            </w:tcBorders>
            <w:vAlign w:val="center"/>
          </w:tcPr>
          <w:p w14:paraId="62072AE3">
            <w:pPr>
              <w:jc w:val="center"/>
              <w:rPr>
                <w:rFonts w:ascii="宋体" w:hAnsi="宋体" w:eastAsia="宋体" w:cs="Times New Roman"/>
                <w:color w:val="auto"/>
              </w:rPr>
            </w:pPr>
            <w:r>
              <w:rPr>
                <w:rFonts w:ascii="宋体" w:hAnsi="宋体" w:eastAsia="宋体" w:cs="Times New Roman"/>
                <w:color w:val="auto"/>
              </w:rPr>
              <w:t>0.0622</w:t>
            </w:r>
          </w:p>
        </w:tc>
        <w:tc>
          <w:tcPr>
            <w:tcW w:w="794" w:type="dxa"/>
            <w:tcBorders>
              <w:tl2br w:val="nil"/>
              <w:tr2bl w:val="nil"/>
            </w:tcBorders>
            <w:vAlign w:val="center"/>
          </w:tcPr>
          <w:p w14:paraId="480534FC">
            <w:pPr>
              <w:jc w:val="center"/>
              <w:rPr>
                <w:rFonts w:ascii="宋体" w:hAnsi="宋体" w:eastAsia="宋体" w:cs="Times New Roman"/>
                <w:color w:val="auto"/>
              </w:rPr>
            </w:pPr>
            <w:r>
              <w:rPr>
                <w:rFonts w:ascii="宋体" w:hAnsi="宋体" w:eastAsia="宋体" w:cs="Times New Roman"/>
                <w:color w:val="auto"/>
              </w:rPr>
              <w:t xml:space="preserve">0.041 </w:t>
            </w:r>
          </w:p>
        </w:tc>
        <w:tc>
          <w:tcPr>
            <w:tcW w:w="1262" w:type="dxa"/>
            <w:tcBorders>
              <w:tl2br w:val="nil"/>
              <w:tr2bl w:val="nil"/>
            </w:tcBorders>
            <w:vAlign w:val="center"/>
          </w:tcPr>
          <w:p w14:paraId="0ACE7E51">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2ED0A9F1">
            <w:pPr>
              <w:jc w:val="center"/>
              <w:rPr>
                <w:rFonts w:ascii="宋体" w:hAnsi="宋体" w:eastAsia="宋体" w:cs="Times New Roman"/>
                <w:color w:val="auto"/>
              </w:rPr>
            </w:pPr>
            <w:r>
              <w:rPr>
                <w:rFonts w:ascii="宋体" w:hAnsi="宋体" w:eastAsia="宋体" w:cs="Times New Roman"/>
                <w:color w:val="auto"/>
              </w:rPr>
              <w:t>87.0622</w:t>
            </w:r>
          </w:p>
        </w:tc>
        <w:tc>
          <w:tcPr>
            <w:tcW w:w="836" w:type="dxa"/>
            <w:tcBorders>
              <w:tl2br w:val="nil"/>
              <w:tr2bl w:val="nil"/>
            </w:tcBorders>
            <w:vAlign w:val="center"/>
          </w:tcPr>
          <w:p w14:paraId="16144517">
            <w:pPr>
              <w:jc w:val="center"/>
              <w:rPr>
                <w:rFonts w:ascii="宋体" w:hAnsi="宋体" w:eastAsia="宋体" w:cs="Times New Roman"/>
                <w:color w:val="auto"/>
              </w:rPr>
            </w:pPr>
            <w:r>
              <w:rPr>
                <w:rFonts w:ascii="宋体" w:hAnsi="宋体" w:eastAsia="宋体" w:cs="Times New Roman"/>
                <w:color w:val="auto"/>
              </w:rPr>
              <w:t xml:space="preserve">58.041 </w:t>
            </w:r>
          </w:p>
        </w:tc>
        <w:tc>
          <w:tcPr>
            <w:tcW w:w="830" w:type="dxa"/>
            <w:tcBorders>
              <w:tl2br w:val="nil"/>
              <w:tr2bl w:val="nil"/>
            </w:tcBorders>
            <w:vAlign w:val="center"/>
          </w:tcPr>
          <w:p w14:paraId="22AB4239">
            <w:pPr>
              <w:jc w:val="center"/>
              <w:rPr>
                <w:rFonts w:ascii="宋体" w:hAnsi="宋体" w:eastAsia="宋体" w:cs="Times New Roman"/>
                <w:color w:val="auto"/>
              </w:rPr>
            </w:pPr>
            <w:r>
              <w:rPr>
                <w:rFonts w:ascii="宋体" w:hAnsi="宋体" w:eastAsia="宋体" w:cs="Times New Roman"/>
                <w:color w:val="auto"/>
              </w:rPr>
              <w:t>达标</w:t>
            </w:r>
          </w:p>
        </w:tc>
      </w:tr>
      <w:tr w14:paraId="03F20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0177BA7F">
            <w:pPr>
              <w:jc w:val="center"/>
              <w:rPr>
                <w:rFonts w:ascii="宋体" w:hAnsi="宋体" w:eastAsia="宋体" w:cs="Times New Roman"/>
                <w:color w:val="auto"/>
              </w:rPr>
            </w:pPr>
          </w:p>
        </w:tc>
        <w:tc>
          <w:tcPr>
            <w:tcW w:w="1430" w:type="dxa"/>
            <w:tcBorders>
              <w:tl2br w:val="nil"/>
              <w:tr2bl w:val="nil"/>
            </w:tcBorders>
            <w:vAlign w:val="center"/>
          </w:tcPr>
          <w:p w14:paraId="693A5494">
            <w:pPr>
              <w:jc w:val="center"/>
              <w:rPr>
                <w:rFonts w:ascii="宋体" w:hAnsi="宋体" w:eastAsia="宋体" w:cs="Times New Roman"/>
                <w:color w:val="auto"/>
              </w:rPr>
            </w:pPr>
            <w:r>
              <w:rPr>
                <w:rFonts w:ascii="宋体" w:hAnsi="宋体" w:eastAsia="宋体" w:cs="Times New Roman"/>
                <w:color w:val="auto"/>
              </w:rPr>
              <w:t>王家园子屯</w:t>
            </w:r>
          </w:p>
        </w:tc>
        <w:tc>
          <w:tcPr>
            <w:tcW w:w="810" w:type="dxa"/>
            <w:vMerge w:val="continue"/>
            <w:tcBorders>
              <w:tl2br w:val="nil"/>
              <w:tr2bl w:val="nil"/>
            </w:tcBorders>
            <w:vAlign w:val="center"/>
          </w:tcPr>
          <w:p w14:paraId="7DCBA5AD">
            <w:pPr>
              <w:jc w:val="center"/>
              <w:rPr>
                <w:rFonts w:ascii="宋体" w:hAnsi="宋体" w:eastAsia="宋体" w:cs="Times New Roman"/>
                <w:color w:val="auto"/>
              </w:rPr>
            </w:pPr>
          </w:p>
        </w:tc>
        <w:tc>
          <w:tcPr>
            <w:tcW w:w="1006" w:type="dxa"/>
            <w:tcBorders>
              <w:tl2br w:val="nil"/>
              <w:tr2bl w:val="nil"/>
            </w:tcBorders>
            <w:vAlign w:val="center"/>
          </w:tcPr>
          <w:p w14:paraId="089FE971">
            <w:pPr>
              <w:jc w:val="center"/>
              <w:rPr>
                <w:rFonts w:ascii="宋体" w:hAnsi="宋体" w:eastAsia="宋体" w:cs="Times New Roman"/>
                <w:color w:val="auto"/>
              </w:rPr>
            </w:pPr>
            <w:r>
              <w:rPr>
                <w:rFonts w:ascii="宋体" w:hAnsi="宋体" w:eastAsia="宋体" w:cs="Times New Roman"/>
                <w:color w:val="auto"/>
              </w:rPr>
              <w:t>0.0354</w:t>
            </w:r>
          </w:p>
        </w:tc>
        <w:tc>
          <w:tcPr>
            <w:tcW w:w="794" w:type="dxa"/>
            <w:tcBorders>
              <w:tl2br w:val="nil"/>
              <w:tr2bl w:val="nil"/>
            </w:tcBorders>
            <w:vAlign w:val="center"/>
          </w:tcPr>
          <w:p w14:paraId="79CB56CF">
            <w:pPr>
              <w:jc w:val="center"/>
              <w:rPr>
                <w:rFonts w:ascii="宋体" w:hAnsi="宋体" w:eastAsia="宋体" w:cs="Times New Roman"/>
                <w:color w:val="auto"/>
              </w:rPr>
            </w:pPr>
            <w:r>
              <w:rPr>
                <w:rFonts w:ascii="宋体" w:hAnsi="宋体" w:eastAsia="宋体" w:cs="Times New Roman"/>
                <w:color w:val="auto"/>
              </w:rPr>
              <w:t xml:space="preserve">0.024 </w:t>
            </w:r>
          </w:p>
        </w:tc>
        <w:tc>
          <w:tcPr>
            <w:tcW w:w="1262" w:type="dxa"/>
            <w:tcBorders>
              <w:tl2br w:val="nil"/>
              <w:tr2bl w:val="nil"/>
            </w:tcBorders>
            <w:vAlign w:val="center"/>
          </w:tcPr>
          <w:p w14:paraId="08CE3D56">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6B13C2B6">
            <w:pPr>
              <w:jc w:val="center"/>
              <w:rPr>
                <w:rFonts w:ascii="宋体" w:hAnsi="宋体" w:eastAsia="宋体" w:cs="Times New Roman"/>
                <w:color w:val="auto"/>
              </w:rPr>
            </w:pPr>
            <w:r>
              <w:rPr>
                <w:rFonts w:ascii="宋体" w:hAnsi="宋体" w:eastAsia="宋体" w:cs="Times New Roman"/>
                <w:color w:val="auto"/>
              </w:rPr>
              <w:t>87.0354</w:t>
            </w:r>
          </w:p>
        </w:tc>
        <w:tc>
          <w:tcPr>
            <w:tcW w:w="836" w:type="dxa"/>
            <w:tcBorders>
              <w:tl2br w:val="nil"/>
              <w:tr2bl w:val="nil"/>
            </w:tcBorders>
            <w:vAlign w:val="center"/>
          </w:tcPr>
          <w:p w14:paraId="7021C257">
            <w:pPr>
              <w:jc w:val="center"/>
              <w:rPr>
                <w:rFonts w:ascii="宋体" w:hAnsi="宋体" w:eastAsia="宋体" w:cs="Times New Roman"/>
                <w:color w:val="auto"/>
              </w:rPr>
            </w:pPr>
            <w:r>
              <w:rPr>
                <w:rFonts w:ascii="宋体" w:hAnsi="宋体" w:eastAsia="宋体" w:cs="Times New Roman"/>
                <w:color w:val="auto"/>
              </w:rPr>
              <w:t xml:space="preserve">58.024 </w:t>
            </w:r>
          </w:p>
        </w:tc>
        <w:tc>
          <w:tcPr>
            <w:tcW w:w="830" w:type="dxa"/>
            <w:tcBorders>
              <w:tl2br w:val="nil"/>
              <w:tr2bl w:val="nil"/>
            </w:tcBorders>
            <w:vAlign w:val="center"/>
          </w:tcPr>
          <w:p w14:paraId="5A29781E">
            <w:pPr>
              <w:jc w:val="center"/>
              <w:rPr>
                <w:rFonts w:ascii="宋体" w:hAnsi="宋体" w:eastAsia="宋体" w:cs="Times New Roman"/>
                <w:color w:val="auto"/>
              </w:rPr>
            </w:pPr>
            <w:r>
              <w:rPr>
                <w:rFonts w:ascii="宋体" w:hAnsi="宋体" w:eastAsia="宋体" w:cs="Times New Roman"/>
                <w:color w:val="auto"/>
              </w:rPr>
              <w:t>达标</w:t>
            </w:r>
          </w:p>
        </w:tc>
      </w:tr>
      <w:tr w14:paraId="7F32C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76483653">
            <w:pPr>
              <w:jc w:val="center"/>
              <w:rPr>
                <w:rFonts w:ascii="宋体" w:hAnsi="宋体" w:eastAsia="宋体" w:cs="Times New Roman"/>
                <w:color w:val="auto"/>
              </w:rPr>
            </w:pPr>
          </w:p>
        </w:tc>
        <w:tc>
          <w:tcPr>
            <w:tcW w:w="1430" w:type="dxa"/>
            <w:tcBorders>
              <w:tl2br w:val="nil"/>
              <w:tr2bl w:val="nil"/>
            </w:tcBorders>
            <w:vAlign w:val="center"/>
          </w:tcPr>
          <w:p w14:paraId="4B5910E7">
            <w:pPr>
              <w:jc w:val="center"/>
              <w:rPr>
                <w:rFonts w:ascii="宋体" w:hAnsi="宋体" w:eastAsia="宋体" w:cs="Times New Roman"/>
                <w:color w:val="auto"/>
              </w:rPr>
            </w:pPr>
            <w:r>
              <w:rPr>
                <w:rFonts w:ascii="宋体" w:hAnsi="宋体" w:eastAsia="宋体" w:cs="Times New Roman"/>
                <w:color w:val="auto"/>
              </w:rPr>
              <w:t>和平乡</w:t>
            </w:r>
          </w:p>
        </w:tc>
        <w:tc>
          <w:tcPr>
            <w:tcW w:w="810" w:type="dxa"/>
            <w:vMerge w:val="continue"/>
            <w:tcBorders>
              <w:tl2br w:val="nil"/>
              <w:tr2bl w:val="nil"/>
            </w:tcBorders>
            <w:vAlign w:val="center"/>
          </w:tcPr>
          <w:p w14:paraId="32EA4669">
            <w:pPr>
              <w:jc w:val="center"/>
              <w:rPr>
                <w:rFonts w:ascii="宋体" w:hAnsi="宋体" w:eastAsia="宋体" w:cs="Times New Roman"/>
                <w:color w:val="auto"/>
              </w:rPr>
            </w:pPr>
          </w:p>
        </w:tc>
        <w:tc>
          <w:tcPr>
            <w:tcW w:w="1006" w:type="dxa"/>
            <w:tcBorders>
              <w:tl2br w:val="nil"/>
              <w:tr2bl w:val="nil"/>
            </w:tcBorders>
            <w:vAlign w:val="center"/>
          </w:tcPr>
          <w:p w14:paraId="609BF179">
            <w:pPr>
              <w:jc w:val="center"/>
              <w:rPr>
                <w:rFonts w:ascii="宋体" w:hAnsi="宋体" w:eastAsia="宋体" w:cs="Times New Roman"/>
                <w:color w:val="auto"/>
              </w:rPr>
            </w:pPr>
            <w:r>
              <w:rPr>
                <w:rFonts w:ascii="宋体" w:hAnsi="宋体" w:eastAsia="宋体" w:cs="Times New Roman"/>
                <w:color w:val="auto"/>
              </w:rPr>
              <w:t>0.0145</w:t>
            </w:r>
          </w:p>
        </w:tc>
        <w:tc>
          <w:tcPr>
            <w:tcW w:w="794" w:type="dxa"/>
            <w:tcBorders>
              <w:tl2br w:val="nil"/>
              <w:tr2bl w:val="nil"/>
            </w:tcBorders>
            <w:vAlign w:val="center"/>
          </w:tcPr>
          <w:p w14:paraId="598BAC29">
            <w:pPr>
              <w:jc w:val="center"/>
              <w:rPr>
                <w:rFonts w:ascii="宋体" w:hAnsi="宋体" w:eastAsia="宋体" w:cs="Times New Roman"/>
                <w:color w:val="auto"/>
              </w:rPr>
            </w:pPr>
            <w:r>
              <w:rPr>
                <w:rFonts w:ascii="宋体" w:hAnsi="宋体" w:eastAsia="宋体" w:cs="Times New Roman"/>
                <w:color w:val="auto"/>
              </w:rPr>
              <w:t xml:space="preserve">0.010 </w:t>
            </w:r>
          </w:p>
        </w:tc>
        <w:tc>
          <w:tcPr>
            <w:tcW w:w="1262" w:type="dxa"/>
            <w:tcBorders>
              <w:tl2br w:val="nil"/>
              <w:tr2bl w:val="nil"/>
            </w:tcBorders>
            <w:vAlign w:val="center"/>
          </w:tcPr>
          <w:p w14:paraId="5E588EBD">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0668CD71">
            <w:pPr>
              <w:jc w:val="center"/>
              <w:rPr>
                <w:rFonts w:ascii="宋体" w:hAnsi="宋体" w:eastAsia="宋体" w:cs="Times New Roman"/>
                <w:color w:val="auto"/>
              </w:rPr>
            </w:pPr>
            <w:r>
              <w:rPr>
                <w:rFonts w:ascii="宋体" w:hAnsi="宋体" w:eastAsia="宋体" w:cs="Times New Roman"/>
                <w:color w:val="auto"/>
              </w:rPr>
              <w:t>87.0145</w:t>
            </w:r>
          </w:p>
        </w:tc>
        <w:tc>
          <w:tcPr>
            <w:tcW w:w="836" w:type="dxa"/>
            <w:tcBorders>
              <w:tl2br w:val="nil"/>
              <w:tr2bl w:val="nil"/>
            </w:tcBorders>
            <w:vAlign w:val="center"/>
          </w:tcPr>
          <w:p w14:paraId="7D9E2749">
            <w:pPr>
              <w:jc w:val="center"/>
              <w:rPr>
                <w:rFonts w:ascii="宋体" w:hAnsi="宋体" w:eastAsia="宋体" w:cs="Times New Roman"/>
                <w:color w:val="auto"/>
              </w:rPr>
            </w:pPr>
            <w:r>
              <w:rPr>
                <w:rFonts w:ascii="宋体" w:hAnsi="宋体" w:eastAsia="宋体" w:cs="Times New Roman"/>
                <w:color w:val="auto"/>
              </w:rPr>
              <w:t xml:space="preserve">58.010 </w:t>
            </w:r>
          </w:p>
        </w:tc>
        <w:tc>
          <w:tcPr>
            <w:tcW w:w="830" w:type="dxa"/>
            <w:tcBorders>
              <w:tl2br w:val="nil"/>
              <w:tr2bl w:val="nil"/>
            </w:tcBorders>
            <w:vAlign w:val="center"/>
          </w:tcPr>
          <w:p w14:paraId="37562769">
            <w:pPr>
              <w:jc w:val="center"/>
              <w:rPr>
                <w:rFonts w:ascii="宋体" w:hAnsi="宋体" w:eastAsia="宋体" w:cs="Times New Roman"/>
                <w:color w:val="auto"/>
              </w:rPr>
            </w:pPr>
            <w:r>
              <w:rPr>
                <w:rFonts w:ascii="宋体" w:hAnsi="宋体" w:eastAsia="宋体" w:cs="Times New Roman"/>
                <w:color w:val="auto"/>
              </w:rPr>
              <w:t>达标</w:t>
            </w:r>
          </w:p>
        </w:tc>
      </w:tr>
      <w:tr w14:paraId="6CD3B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59DA4CF1">
            <w:pPr>
              <w:jc w:val="center"/>
              <w:rPr>
                <w:rFonts w:ascii="宋体" w:hAnsi="宋体" w:eastAsia="宋体" w:cs="Times New Roman"/>
                <w:color w:val="auto"/>
              </w:rPr>
            </w:pPr>
          </w:p>
        </w:tc>
        <w:tc>
          <w:tcPr>
            <w:tcW w:w="1430" w:type="dxa"/>
            <w:tcBorders>
              <w:tl2br w:val="nil"/>
              <w:tr2bl w:val="nil"/>
            </w:tcBorders>
            <w:vAlign w:val="center"/>
          </w:tcPr>
          <w:p w14:paraId="26C697E3">
            <w:pPr>
              <w:jc w:val="center"/>
              <w:rPr>
                <w:rFonts w:ascii="宋体" w:hAnsi="宋体" w:eastAsia="宋体" w:cs="Times New Roman"/>
                <w:color w:val="auto"/>
              </w:rPr>
            </w:pPr>
            <w:r>
              <w:rPr>
                <w:rFonts w:ascii="宋体" w:hAnsi="宋体" w:eastAsia="宋体" w:cs="Times New Roman"/>
                <w:color w:val="auto"/>
              </w:rPr>
              <w:t>赵家围子屯</w:t>
            </w:r>
          </w:p>
        </w:tc>
        <w:tc>
          <w:tcPr>
            <w:tcW w:w="810" w:type="dxa"/>
            <w:vMerge w:val="continue"/>
            <w:tcBorders>
              <w:tl2br w:val="nil"/>
              <w:tr2bl w:val="nil"/>
            </w:tcBorders>
            <w:vAlign w:val="center"/>
          </w:tcPr>
          <w:p w14:paraId="2BBDAD3E">
            <w:pPr>
              <w:jc w:val="center"/>
              <w:rPr>
                <w:rFonts w:ascii="宋体" w:hAnsi="宋体" w:eastAsia="宋体" w:cs="Times New Roman"/>
                <w:color w:val="auto"/>
              </w:rPr>
            </w:pPr>
          </w:p>
        </w:tc>
        <w:tc>
          <w:tcPr>
            <w:tcW w:w="1006" w:type="dxa"/>
            <w:tcBorders>
              <w:tl2br w:val="nil"/>
              <w:tr2bl w:val="nil"/>
            </w:tcBorders>
            <w:vAlign w:val="center"/>
          </w:tcPr>
          <w:p w14:paraId="26ABEBD5">
            <w:pPr>
              <w:jc w:val="center"/>
              <w:rPr>
                <w:rFonts w:ascii="宋体" w:hAnsi="宋体" w:eastAsia="宋体" w:cs="Times New Roman"/>
                <w:color w:val="auto"/>
              </w:rPr>
            </w:pPr>
            <w:r>
              <w:rPr>
                <w:rFonts w:ascii="宋体" w:hAnsi="宋体" w:eastAsia="宋体" w:cs="Times New Roman"/>
                <w:color w:val="auto"/>
              </w:rPr>
              <w:t>0.0163</w:t>
            </w:r>
          </w:p>
        </w:tc>
        <w:tc>
          <w:tcPr>
            <w:tcW w:w="794" w:type="dxa"/>
            <w:tcBorders>
              <w:tl2br w:val="nil"/>
              <w:tr2bl w:val="nil"/>
            </w:tcBorders>
            <w:vAlign w:val="center"/>
          </w:tcPr>
          <w:p w14:paraId="2C8308B9">
            <w:pPr>
              <w:jc w:val="center"/>
              <w:rPr>
                <w:rFonts w:ascii="宋体" w:hAnsi="宋体" w:eastAsia="宋体" w:cs="Times New Roman"/>
                <w:color w:val="auto"/>
              </w:rPr>
            </w:pPr>
            <w:r>
              <w:rPr>
                <w:rFonts w:ascii="宋体" w:hAnsi="宋体" w:eastAsia="宋体" w:cs="Times New Roman"/>
                <w:color w:val="auto"/>
              </w:rPr>
              <w:t xml:space="preserve">0.011 </w:t>
            </w:r>
          </w:p>
        </w:tc>
        <w:tc>
          <w:tcPr>
            <w:tcW w:w="1262" w:type="dxa"/>
            <w:tcBorders>
              <w:tl2br w:val="nil"/>
              <w:tr2bl w:val="nil"/>
            </w:tcBorders>
            <w:vAlign w:val="center"/>
          </w:tcPr>
          <w:p w14:paraId="39F2597B">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215F86F9">
            <w:pPr>
              <w:jc w:val="center"/>
              <w:rPr>
                <w:rFonts w:ascii="宋体" w:hAnsi="宋体" w:eastAsia="宋体" w:cs="Times New Roman"/>
                <w:color w:val="auto"/>
              </w:rPr>
            </w:pPr>
            <w:r>
              <w:rPr>
                <w:rFonts w:ascii="宋体" w:hAnsi="宋体" w:eastAsia="宋体" w:cs="Times New Roman"/>
                <w:color w:val="auto"/>
              </w:rPr>
              <w:t>87.0163</w:t>
            </w:r>
          </w:p>
        </w:tc>
        <w:tc>
          <w:tcPr>
            <w:tcW w:w="836" w:type="dxa"/>
            <w:tcBorders>
              <w:tl2br w:val="nil"/>
              <w:tr2bl w:val="nil"/>
            </w:tcBorders>
            <w:vAlign w:val="center"/>
          </w:tcPr>
          <w:p w14:paraId="68C9B647">
            <w:pPr>
              <w:jc w:val="center"/>
              <w:rPr>
                <w:rFonts w:ascii="宋体" w:hAnsi="宋体" w:eastAsia="宋体" w:cs="Times New Roman"/>
                <w:color w:val="auto"/>
              </w:rPr>
            </w:pPr>
            <w:r>
              <w:rPr>
                <w:rFonts w:ascii="宋体" w:hAnsi="宋体" w:eastAsia="宋体" w:cs="Times New Roman"/>
                <w:color w:val="auto"/>
              </w:rPr>
              <w:t xml:space="preserve">58.011 </w:t>
            </w:r>
          </w:p>
        </w:tc>
        <w:tc>
          <w:tcPr>
            <w:tcW w:w="830" w:type="dxa"/>
            <w:tcBorders>
              <w:tl2br w:val="nil"/>
              <w:tr2bl w:val="nil"/>
            </w:tcBorders>
            <w:vAlign w:val="center"/>
          </w:tcPr>
          <w:p w14:paraId="1D62A7FF">
            <w:pPr>
              <w:jc w:val="center"/>
              <w:rPr>
                <w:rFonts w:ascii="宋体" w:hAnsi="宋体" w:eastAsia="宋体" w:cs="Times New Roman"/>
                <w:color w:val="auto"/>
              </w:rPr>
            </w:pPr>
            <w:r>
              <w:rPr>
                <w:rFonts w:ascii="宋体" w:hAnsi="宋体" w:eastAsia="宋体" w:cs="Times New Roman"/>
                <w:color w:val="auto"/>
              </w:rPr>
              <w:t>达标</w:t>
            </w:r>
          </w:p>
        </w:tc>
      </w:tr>
      <w:tr w14:paraId="3B722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10679908">
            <w:pPr>
              <w:jc w:val="center"/>
              <w:rPr>
                <w:rFonts w:ascii="宋体" w:hAnsi="宋体" w:eastAsia="宋体" w:cs="Times New Roman"/>
                <w:color w:val="auto"/>
              </w:rPr>
            </w:pPr>
          </w:p>
        </w:tc>
        <w:tc>
          <w:tcPr>
            <w:tcW w:w="1430" w:type="dxa"/>
            <w:tcBorders>
              <w:tl2br w:val="nil"/>
              <w:tr2bl w:val="nil"/>
            </w:tcBorders>
            <w:vAlign w:val="center"/>
          </w:tcPr>
          <w:p w14:paraId="7166875E">
            <w:pPr>
              <w:jc w:val="center"/>
              <w:rPr>
                <w:rFonts w:ascii="宋体" w:hAnsi="宋体" w:eastAsia="宋体" w:cs="Times New Roman"/>
                <w:color w:val="auto"/>
              </w:rPr>
            </w:pPr>
            <w:r>
              <w:rPr>
                <w:rFonts w:ascii="宋体" w:hAnsi="宋体" w:eastAsia="宋体" w:cs="Times New Roman"/>
                <w:color w:val="auto"/>
              </w:rPr>
              <w:t>孙家围子屯</w:t>
            </w:r>
          </w:p>
        </w:tc>
        <w:tc>
          <w:tcPr>
            <w:tcW w:w="810" w:type="dxa"/>
            <w:vMerge w:val="continue"/>
            <w:tcBorders>
              <w:tl2br w:val="nil"/>
              <w:tr2bl w:val="nil"/>
            </w:tcBorders>
            <w:vAlign w:val="center"/>
          </w:tcPr>
          <w:p w14:paraId="05641B96">
            <w:pPr>
              <w:jc w:val="center"/>
              <w:rPr>
                <w:rFonts w:ascii="宋体" w:hAnsi="宋体" w:eastAsia="宋体" w:cs="Times New Roman"/>
                <w:color w:val="auto"/>
              </w:rPr>
            </w:pPr>
          </w:p>
        </w:tc>
        <w:tc>
          <w:tcPr>
            <w:tcW w:w="1006" w:type="dxa"/>
            <w:tcBorders>
              <w:tl2br w:val="nil"/>
              <w:tr2bl w:val="nil"/>
            </w:tcBorders>
            <w:vAlign w:val="center"/>
          </w:tcPr>
          <w:p w14:paraId="6C82F579">
            <w:pPr>
              <w:jc w:val="center"/>
              <w:rPr>
                <w:rFonts w:ascii="宋体" w:hAnsi="宋体" w:eastAsia="宋体" w:cs="Times New Roman"/>
                <w:color w:val="auto"/>
              </w:rPr>
            </w:pPr>
            <w:r>
              <w:rPr>
                <w:rFonts w:ascii="宋体" w:hAnsi="宋体" w:eastAsia="宋体" w:cs="Times New Roman"/>
                <w:color w:val="auto"/>
              </w:rPr>
              <w:t>0.0122</w:t>
            </w:r>
          </w:p>
        </w:tc>
        <w:tc>
          <w:tcPr>
            <w:tcW w:w="794" w:type="dxa"/>
            <w:tcBorders>
              <w:tl2br w:val="nil"/>
              <w:tr2bl w:val="nil"/>
            </w:tcBorders>
            <w:vAlign w:val="center"/>
          </w:tcPr>
          <w:p w14:paraId="771014B2">
            <w:pPr>
              <w:jc w:val="center"/>
              <w:rPr>
                <w:rFonts w:ascii="宋体" w:hAnsi="宋体" w:eastAsia="宋体" w:cs="Times New Roman"/>
                <w:color w:val="auto"/>
              </w:rPr>
            </w:pPr>
            <w:r>
              <w:rPr>
                <w:rFonts w:ascii="宋体" w:hAnsi="宋体" w:eastAsia="宋体" w:cs="Times New Roman"/>
                <w:color w:val="auto"/>
              </w:rPr>
              <w:t xml:space="preserve">0.008 </w:t>
            </w:r>
          </w:p>
        </w:tc>
        <w:tc>
          <w:tcPr>
            <w:tcW w:w="1262" w:type="dxa"/>
            <w:tcBorders>
              <w:tl2br w:val="nil"/>
              <w:tr2bl w:val="nil"/>
            </w:tcBorders>
            <w:vAlign w:val="center"/>
          </w:tcPr>
          <w:p w14:paraId="3EF6E6AD">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20FC57FC">
            <w:pPr>
              <w:jc w:val="center"/>
              <w:rPr>
                <w:rFonts w:ascii="宋体" w:hAnsi="宋体" w:eastAsia="宋体" w:cs="Times New Roman"/>
                <w:color w:val="auto"/>
              </w:rPr>
            </w:pPr>
            <w:r>
              <w:rPr>
                <w:rFonts w:ascii="宋体" w:hAnsi="宋体" w:eastAsia="宋体" w:cs="Times New Roman"/>
                <w:color w:val="auto"/>
              </w:rPr>
              <w:t>87.0122</w:t>
            </w:r>
          </w:p>
        </w:tc>
        <w:tc>
          <w:tcPr>
            <w:tcW w:w="836" w:type="dxa"/>
            <w:tcBorders>
              <w:tl2br w:val="nil"/>
              <w:tr2bl w:val="nil"/>
            </w:tcBorders>
            <w:vAlign w:val="center"/>
          </w:tcPr>
          <w:p w14:paraId="0BC82FEC">
            <w:pPr>
              <w:jc w:val="center"/>
              <w:rPr>
                <w:rFonts w:ascii="宋体" w:hAnsi="宋体" w:eastAsia="宋体" w:cs="Times New Roman"/>
                <w:color w:val="auto"/>
              </w:rPr>
            </w:pPr>
            <w:r>
              <w:rPr>
                <w:rFonts w:ascii="宋体" w:hAnsi="宋体" w:eastAsia="宋体" w:cs="Times New Roman"/>
                <w:color w:val="auto"/>
              </w:rPr>
              <w:t xml:space="preserve">58.008 </w:t>
            </w:r>
          </w:p>
        </w:tc>
        <w:tc>
          <w:tcPr>
            <w:tcW w:w="830" w:type="dxa"/>
            <w:tcBorders>
              <w:tl2br w:val="nil"/>
              <w:tr2bl w:val="nil"/>
            </w:tcBorders>
            <w:vAlign w:val="center"/>
          </w:tcPr>
          <w:p w14:paraId="19E32E41">
            <w:pPr>
              <w:jc w:val="center"/>
              <w:rPr>
                <w:rFonts w:ascii="宋体" w:hAnsi="宋体" w:eastAsia="宋体" w:cs="Times New Roman"/>
                <w:color w:val="auto"/>
              </w:rPr>
            </w:pPr>
            <w:r>
              <w:rPr>
                <w:rFonts w:ascii="宋体" w:hAnsi="宋体" w:eastAsia="宋体" w:cs="Times New Roman"/>
                <w:color w:val="auto"/>
              </w:rPr>
              <w:t>达标</w:t>
            </w:r>
          </w:p>
        </w:tc>
      </w:tr>
      <w:tr w14:paraId="3441C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260D469F">
            <w:pPr>
              <w:jc w:val="center"/>
              <w:rPr>
                <w:rFonts w:ascii="宋体" w:hAnsi="宋体" w:eastAsia="宋体" w:cs="Times New Roman"/>
                <w:color w:val="auto"/>
              </w:rPr>
            </w:pPr>
          </w:p>
        </w:tc>
        <w:tc>
          <w:tcPr>
            <w:tcW w:w="1430" w:type="dxa"/>
            <w:tcBorders>
              <w:tl2br w:val="nil"/>
              <w:tr2bl w:val="nil"/>
            </w:tcBorders>
            <w:vAlign w:val="center"/>
          </w:tcPr>
          <w:p w14:paraId="665B1BD3">
            <w:pPr>
              <w:jc w:val="center"/>
              <w:rPr>
                <w:rFonts w:ascii="宋体" w:hAnsi="宋体" w:eastAsia="宋体" w:cs="Times New Roman"/>
                <w:color w:val="auto"/>
              </w:rPr>
            </w:pPr>
            <w:r>
              <w:rPr>
                <w:rFonts w:ascii="宋体" w:hAnsi="宋体" w:eastAsia="宋体" w:cs="Times New Roman"/>
                <w:color w:val="auto"/>
              </w:rPr>
              <w:t>对青岗子屯</w:t>
            </w:r>
          </w:p>
        </w:tc>
        <w:tc>
          <w:tcPr>
            <w:tcW w:w="810" w:type="dxa"/>
            <w:vMerge w:val="continue"/>
            <w:tcBorders>
              <w:tl2br w:val="nil"/>
              <w:tr2bl w:val="nil"/>
            </w:tcBorders>
            <w:vAlign w:val="center"/>
          </w:tcPr>
          <w:p w14:paraId="5047543A">
            <w:pPr>
              <w:jc w:val="center"/>
              <w:rPr>
                <w:rFonts w:ascii="宋体" w:hAnsi="宋体" w:eastAsia="宋体" w:cs="Times New Roman"/>
                <w:color w:val="auto"/>
              </w:rPr>
            </w:pPr>
          </w:p>
        </w:tc>
        <w:tc>
          <w:tcPr>
            <w:tcW w:w="1006" w:type="dxa"/>
            <w:tcBorders>
              <w:tl2br w:val="nil"/>
              <w:tr2bl w:val="nil"/>
            </w:tcBorders>
            <w:vAlign w:val="center"/>
          </w:tcPr>
          <w:p w14:paraId="5B772875">
            <w:pPr>
              <w:jc w:val="center"/>
              <w:rPr>
                <w:rFonts w:ascii="宋体" w:hAnsi="宋体" w:eastAsia="宋体" w:cs="Times New Roman"/>
                <w:color w:val="auto"/>
              </w:rPr>
            </w:pPr>
            <w:r>
              <w:rPr>
                <w:rFonts w:ascii="宋体" w:hAnsi="宋体" w:eastAsia="宋体" w:cs="Times New Roman"/>
                <w:color w:val="auto"/>
              </w:rPr>
              <w:t>0.0352</w:t>
            </w:r>
          </w:p>
        </w:tc>
        <w:tc>
          <w:tcPr>
            <w:tcW w:w="794" w:type="dxa"/>
            <w:tcBorders>
              <w:tl2br w:val="nil"/>
              <w:tr2bl w:val="nil"/>
            </w:tcBorders>
            <w:vAlign w:val="center"/>
          </w:tcPr>
          <w:p w14:paraId="05580638">
            <w:pPr>
              <w:jc w:val="center"/>
              <w:rPr>
                <w:rFonts w:ascii="宋体" w:hAnsi="宋体" w:eastAsia="宋体" w:cs="Times New Roman"/>
                <w:color w:val="auto"/>
              </w:rPr>
            </w:pPr>
            <w:r>
              <w:rPr>
                <w:rFonts w:ascii="宋体" w:hAnsi="宋体" w:eastAsia="宋体" w:cs="Times New Roman"/>
                <w:color w:val="auto"/>
              </w:rPr>
              <w:t xml:space="preserve">0.023 </w:t>
            </w:r>
          </w:p>
        </w:tc>
        <w:tc>
          <w:tcPr>
            <w:tcW w:w="1262" w:type="dxa"/>
            <w:tcBorders>
              <w:tl2br w:val="nil"/>
              <w:tr2bl w:val="nil"/>
            </w:tcBorders>
            <w:vAlign w:val="center"/>
          </w:tcPr>
          <w:p w14:paraId="1CF35389">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3DD8634B">
            <w:pPr>
              <w:jc w:val="center"/>
              <w:rPr>
                <w:rFonts w:ascii="宋体" w:hAnsi="宋体" w:eastAsia="宋体" w:cs="Times New Roman"/>
                <w:color w:val="auto"/>
              </w:rPr>
            </w:pPr>
            <w:r>
              <w:rPr>
                <w:rFonts w:ascii="宋体" w:hAnsi="宋体" w:eastAsia="宋体" w:cs="Times New Roman"/>
                <w:color w:val="auto"/>
              </w:rPr>
              <w:t>87.0352</w:t>
            </w:r>
          </w:p>
        </w:tc>
        <w:tc>
          <w:tcPr>
            <w:tcW w:w="836" w:type="dxa"/>
            <w:tcBorders>
              <w:tl2br w:val="nil"/>
              <w:tr2bl w:val="nil"/>
            </w:tcBorders>
            <w:vAlign w:val="center"/>
          </w:tcPr>
          <w:p w14:paraId="31661AC0">
            <w:pPr>
              <w:jc w:val="center"/>
              <w:rPr>
                <w:rFonts w:ascii="宋体" w:hAnsi="宋体" w:eastAsia="宋体" w:cs="Times New Roman"/>
                <w:color w:val="auto"/>
              </w:rPr>
            </w:pPr>
            <w:r>
              <w:rPr>
                <w:rFonts w:ascii="宋体" w:hAnsi="宋体" w:eastAsia="宋体" w:cs="Times New Roman"/>
                <w:color w:val="auto"/>
              </w:rPr>
              <w:t xml:space="preserve">58.023 </w:t>
            </w:r>
          </w:p>
        </w:tc>
        <w:tc>
          <w:tcPr>
            <w:tcW w:w="830" w:type="dxa"/>
            <w:tcBorders>
              <w:tl2br w:val="nil"/>
              <w:tr2bl w:val="nil"/>
            </w:tcBorders>
            <w:vAlign w:val="center"/>
          </w:tcPr>
          <w:p w14:paraId="351CFDCF">
            <w:pPr>
              <w:jc w:val="center"/>
              <w:rPr>
                <w:rFonts w:ascii="宋体" w:hAnsi="宋体" w:eastAsia="宋体" w:cs="Times New Roman"/>
                <w:color w:val="auto"/>
              </w:rPr>
            </w:pPr>
            <w:r>
              <w:rPr>
                <w:rFonts w:ascii="宋体" w:hAnsi="宋体" w:eastAsia="宋体" w:cs="Times New Roman"/>
                <w:color w:val="auto"/>
              </w:rPr>
              <w:t>达标</w:t>
            </w:r>
          </w:p>
        </w:tc>
      </w:tr>
      <w:tr w14:paraId="352FC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59AFA44C">
            <w:pPr>
              <w:jc w:val="center"/>
              <w:rPr>
                <w:rFonts w:ascii="宋体" w:hAnsi="宋体" w:eastAsia="宋体" w:cs="Times New Roman"/>
                <w:color w:val="auto"/>
              </w:rPr>
            </w:pPr>
          </w:p>
        </w:tc>
        <w:tc>
          <w:tcPr>
            <w:tcW w:w="1430" w:type="dxa"/>
            <w:tcBorders>
              <w:tl2br w:val="nil"/>
              <w:tr2bl w:val="nil"/>
            </w:tcBorders>
            <w:vAlign w:val="center"/>
          </w:tcPr>
          <w:p w14:paraId="423ED605">
            <w:pPr>
              <w:jc w:val="center"/>
              <w:rPr>
                <w:rFonts w:ascii="宋体" w:hAnsi="宋体" w:eastAsia="宋体" w:cs="Times New Roman"/>
                <w:color w:val="auto"/>
              </w:rPr>
            </w:pPr>
            <w:r>
              <w:rPr>
                <w:rFonts w:ascii="宋体" w:hAnsi="宋体" w:eastAsia="宋体" w:cs="Times New Roman"/>
                <w:color w:val="auto"/>
              </w:rPr>
              <w:t>蒙古屯</w:t>
            </w:r>
          </w:p>
        </w:tc>
        <w:tc>
          <w:tcPr>
            <w:tcW w:w="810" w:type="dxa"/>
            <w:vMerge w:val="continue"/>
            <w:tcBorders>
              <w:tl2br w:val="nil"/>
              <w:tr2bl w:val="nil"/>
            </w:tcBorders>
            <w:vAlign w:val="center"/>
          </w:tcPr>
          <w:p w14:paraId="7FA5528F">
            <w:pPr>
              <w:jc w:val="center"/>
              <w:rPr>
                <w:rFonts w:ascii="宋体" w:hAnsi="宋体" w:eastAsia="宋体" w:cs="Times New Roman"/>
                <w:color w:val="auto"/>
              </w:rPr>
            </w:pPr>
          </w:p>
        </w:tc>
        <w:tc>
          <w:tcPr>
            <w:tcW w:w="1006" w:type="dxa"/>
            <w:tcBorders>
              <w:tl2br w:val="nil"/>
              <w:tr2bl w:val="nil"/>
            </w:tcBorders>
            <w:vAlign w:val="center"/>
          </w:tcPr>
          <w:p w14:paraId="045D2280">
            <w:pPr>
              <w:jc w:val="center"/>
              <w:rPr>
                <w:rFonts w:ascii="宋体" w:hAnsi="宋体" w:eastAsia="宋体" w:cs="Times New Roman"/>
                <w:color w:val="auto"/>
              </w:rPr>
            </w:pPr>
            <w:r>
              <w:rPr>
                <w:rFonts w:ascii="宋体" w:hAnsi="宋体" w:eastAsia="宋体" w:cs="Times New Roman"/>
                <w:color w:val="auto"/>
              </w:rPr>
              <w:t>0.021</w:t>
            </w:r>
          </w:p>
        </w:tc>
        <w:tc>
          <w:tcPr>
            <w:tcW w:w="794" w:type="dxa"/>
            <w:tcBorders>
              <w:tl2br w:val="nil"/>
              <w:tr2bl w:val="nil"/>
            </w:tcBorders>
            <w:vAlign w:val="center"/>
          </w:tcPr>
          <w:p w14:paraId="0401475E">
            <w:pPr>
              <w:jc w:val="center"/>
              <w:rPr>
                <w:rFonts w:ascii="宋体" w:hAnsi="宋体" w:eastAsia="宋体" w:cs="Times New Roman"/>
                <w:color w:val="auto"/>
              </w:rPr>
            </w:pPr>
            <w:r>
              <w:rPr>
                <w:rFonts w:ascii="宋体" w:hAnsi="宋体" w:eastAsia="宋体" w:cs="Times New Roman"/>
                <w:color w:val="auto"/>
              </w:rPr>
              <w:t xml:space="preserve">0.014 </w:t>
            </w:r>
          </w:p>
        </w:tc>
        <w:tc>
          <w:tcPr>
            <w:tcW w:w="1262" w:type="dxa"/>
            <w:tcBorders>
              <w:tl2br w:val="nil"/>
              <w:tr2bl w:val="nil"/>
            </w:tcBorders>
            <w:vAlign w:val="center"/>
          </w:tcPr>
          <w:p w14:paraId="401BA3D6">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7F69158A">
            <w:pPr>
              <w:jc w:val="center"/>
              <w:rPr>
                <w:rFonts w:ascii="宋体" w:hAnsi="宋体" w:eastAsia="宋体" w:cs="Times New Roman"/>
                <w:color w:val="auto"/>
              </w:rPr>
            </w:pPr>
            <w:r>
              <w:rPr>
                <w:rFonts w:ascii="宋体" w:hAnsi="宋体" w:eastAsia="宋体" w:cs="Times New Roman"/>
                <w:color w:val="auto"/>
              </w:rPr>
              <w:t>87.021</w:t>
            </w:r>
          </w:p>
        </w:tc>
        <w:tc>
          <w:tcPr>
            <w:tcW w:w="836" w:type="dxa"/>
            <w:tcBorders>
              <w:tl2br w:val="nil"/>
              <w:tr2bl w:val="nil"/>
            </w:tcBorders>
            <w:vAlign w:val="center"/>
          </w:tcPr>
          <w:p w14:paraId="7D6C564D">
            <w:pPr>
              <w:jc w:val="center"/>
              <w:rPr>
                <w:rFonts w:ascii="宋体" w:hAnsi="宋体" w:eastAsia="宋体" w:cs="Times New Roman"/>
                <w:color w:val="auto"/>
              </w:rPr>
            </w:pPr>
            <w:r>
              <w:rPr>
                <w:rFonts w:ascii="宋体" w:hAnsi="宋体" w:eastAsia="宋体" w:cs="Times New Roman"/>
                <w:color w:val="auto"/>
              </w:rPr>
              <w:t xml:space="preserve">58.014 </w:t>
            </w:r>
          </w:p>
        </w:tc>
        <w:tc>
          <w:tcPr>
            <w:tcW w:w="830" w:type="dxa"/>
            <w:tcBorders>
              <w:tl2br w:val="nil"/>
              <w:tr2bl w:val="nil"/>
            </w:tcBorders>
            <w:vAlign w:val="center"/>
          </w:tcPr>
          <w:p w14:paraId="4037BBE3">
            <w:pPr>
              <w:jc w:val="center"/>
              <w:rPr>
                <w:rFonts w:ascii="宋体" w:hAnsi="宋体" w:eastAsia="宋体" w:cs="Times New Roman"/>
                <w:color w:val="auto"/>
              </w:rPr>
            </w:pPr>
            <w:r>
              <w:rPr>
                <w:rFonts w:ascii="宋体" w:hAnsi="宋体" w:eastAsia="宋体" w:cs="Times New Roman"/>
                <w:color w:val="auto"/>
              </w:rPr>
              <w:t>达标</w:t>
            </w:r>
          </w:p>
        </w:tc>
      </w:tr>
      <w:tr w14:paraId="356F8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05E3FB03">
            <w:pPr>
              <w:jc w:val="center"/>
              <w:rPr>
                <w:rFonts w:ascii="宋体" w:hAnsi="宋体" w:eastAsia="宋体" w:cs="Times New Roman"/>
                <w:color w:val="auto"/>
              </w:rPr>
            </w:pPr>
          </w:p>
        </w:tc>
        <w:tc>
          <w:tcPr>
            <w:tcW w:w="1430" w:type="dxa"/>
            <w:tcBorders>
              <w:tl2br w:val="nil"/>
              <w:tr2bl w:val="nil"/>
            </w:tcBorders>
            <w:vAlign w:val="center"/>
          </w:tcPr>
          <w:p w14:paraId="1621551E">
            <w:pPr>
              <w:jc w:val="center"/>
              <w:rPr>
                <w:rFonts w:ascii="宋体" w:hAnsi="宋体" w:eastAsia="宋体" w:cs="Times New Roman"/>
                <w:color w:val="auto"/>
              </w:rPr>
            </w:pPr>
            <w:r>
              <w:rPr>
                <w:rFonts w:ascii="宋体" w:hAnsi="宋体" w:eastAsia="宋体" w:cs="Times New Roman"/>
                <w:color w:val="auto"/>
              </w:rPr>
              <w:t>四方山屯</w:t>
            </w:r>
          </w:p>
        </w:tc>
        <w:tc>
          <w:tcPr>
            <w:tcW w:w="810" w:type="dxa"/>
            <w:vMerge w:val="continue"/>
            <w:tcBorders>
              <w:tl2br w:val="nil"/>
              <w:tr2bl w:val="nil"/>
            </w:tcBorders>
            <w:vAlign w:val="center"/>
          </w:tcPr>
          <w:p w14:paraId="17CB2E20">
            <w:pPr>
              <w:jc w:val="center"/>
              <w:rPr>
                <w:rFonts w:ascii="宋体" w:hAnsi="宋体" w:eastAsia="宋体" w:cs="Times New Roman"/>
                <w:color w:val="auto"/>
              </w:rPr>
            </w:pPr>
          </w:p>
        </w:tc>
        <w:tc>
          <w:tcPr>
            <w:tcW w:w="1006" w:type="dxa"/>
            <w:tcBorders>
              <w:tl2br w:val="nil"/>
              <w:tr2bl w:val="nil"/>
            </w:tcBorders>
            <w:vAlign w:val="center"/>
          </w:tcPr>
          <w:p w14:paraId="68B54D60">
            <w:pPr>
              <w:jc w:val="center"/>
              <w:rPr>
                <w:rFonts w:ascii="宋体" w:hAnsi="宋体" w:eastAsia="宋体" w:cs="Times New Roman"/>
                <w:color w:val="auto"/>
              </w:rPr>
            </w:pPr>
            <w:r>
              <w:rPr>
                <w:rFonts w:ascii="宋体" w:hAnsi="宋体" w:eastAsia="宋体" w:cs="Times New Roman"/>
                <w:color w:val="auto"/>
              </w:rPr>
              <w:t>0.0073</w:t>
            </w:r>
          </w:p>
        </w:tc>
        <w:tc>
          <w:tcPr>
            <w:tcW w:w="794" w:type="dxa"/>
            <w:tcBorders>
              <w:tl2br w:val="nil"/>
              <w:tr2bl w:val="nil"/>
            </w:tcBorders>
            <w:vAlign w:val="center"/>
          </w:tcPr>
          <w:p w14:paraId="0E664E38">
            <w:pPr>
              <w:jc w:val="center"/>
              <w:rPr>
                <w:rFonts w:ascii="宋体" w:hAnsi="宋体" w:eastAsia="宋体" w:cs="Times New Roman"/>
                <w:color w:val="auto"/>
              </w:rPr>
            </w:pPr>
            <w:r>
              <w:rPr>
                <w:rFonts w:ascii="宋体" w:hAnsi="宋体" w:eastAsia="宋体" w:cs="Times New Roman"/>
                <w:color w:val="auto"/>
              </w:rPr>
              <w:t xml:space="preserve">0.005 </w:t>
            </w:r>
          </w:p>
        </w:tc>
        <w:tc>
          <w:tcPr>
            <w:tcW w:w="1262" w:type="dxa"/>
            <w:tcBorders>
              <w:tl2br w:val="nil"/>
              <w:tr2bl w:val="nil"/>
            </w:tcBorders>
            <w:vAlign w:val="center"/>
          </w:tcPr>
          <w:p w14:paraId="05D374DE">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1C3716CF">
            <w:pPr>
              <w:jc w:val="center"/>
              <w:rPr>
                <w:rFonts w:ascii="宋体" w:hAnsi="宋体" w:eastAsia="宋体" w:cs="Times New Roman"/>
                <w:color w:val="auto"/>
              </w:rPr>
            </w:pPr>
            <w:r>
              <w:rPr>
                <w:rFonts w:ascii="宋体" w:hAnsi="宋体" w:eastAsia="宋体" w:cs="Times New Roman"/>
                <w:color w:val="auto"/>
              </w:rPr>
              <w:t>87.0073</w:t>
            </w:r>
          </w:p>
        </w:tc>
        <w:tc>
          <w:tcPr>
            <w:tcW w:w="836" w:type="dxa"/>
            <w:tcBorders>
              <w:tl2br w:val="nil"/>
              <w:tr2bl w:val="nil"/>
            </w:tcBorders>
            <w:vAlign w:val="center"/>
          </w:tcPr>
          <w:p w14:paraId="0872B27C">
            <w:pPr>
              <w:jc w:val="center"/>
              <w:rPr>
                <w:rFonts w:ascii="宋体" w:hAnsi="宋体" w:eastAsia="宋体" w:cs="Times New Roman"/>
                <w:color w:val="auto"/>
              </w:rPr>
            </w:pPr>
            <w:r>
              <w:rPr>
                <w:rFonts w:ascii="宋体" w:hAnsi="宋体" w:eastAsia="宋体" w:cs="Times New Roman"/>
                <w:color w:val="auto"/>
              </w:rPr>
              <w:t xml:space="preserve">58.005 </w:t>
            </w:r>
          </w:p>
        </w:tc>
        <w:tc>
          <w:tcPr>
            <w:tcW w:w="830" w:type="dxa"/>
            <w:tcBorders>
              <w:tl2br w:val="nil"/>
              <w:tr2bl w:val="nil"/>
            </w:tcBorders>
            <w:vAlign w:val="center"/>
          </w:tcPr>
          <w:p w14:paraId="3335E3C3">
            <w:pPr>
              <w:jc w:val="center"/>
              <w:rPr>
                <w:rFonts w:ascii="宋体" w:hAnsi="宋体" w:eastAsia="宋体" w:cs="Times New Roman"/>
                <w:color w:val="auto"/>
              </w:rPr>
            </w:pPr>
            <w:r>
              <w:rPr>
                <w:rFonts w:ascii="宋体" w:hAnsi="宋体" w:eastAsia="宋体" w:cs="Times New Roman"/>
                <w:color w:val="auto"/>
              </w:rPr>
              <w:t>达标</w:t>
            </w:r>
          </w:p>
        </w:tc>
      </w:tr>
      <w:tr w14:paraId="16CC7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130769A1">
            <w:pPr>
              <w:jc w:val="center"/>
              <w:rPr>
                <w:rFonts w:ascii="宋体" w:hAnsi="宋体" w:eastAsia="宋体" w:cs="Times New Roman"/>
                <w:color w:val="auto"/>
              </w:rPr>
            </w:pPr>
          </w:p>
        </w:tc>
        <w:tc>
          <w:tcPr>
            <w:tcW w:w="1430" w:type="dxa"/>
            <w:tcBorders>
              <w:tl2br w:val="nil"/>
              <w:tr2bl w:val="nil"/>
            </w:tcBorders>
            <w:vAlign w:val="center"/>
          </w:tcPr>
          <w:p w14:paraId="1E6BF046">
            <w:pPr>
              <w:jc w:val="center"/>
              <w:rPr>
                <w:rFonts w:ascii="宋体" w:hAnsi="宋体" w:eastAsia="宋体" w:cs="Times New Roman"/>
                <w:color w:val="auto"/>
              </w:rPr>
            </w:pPr>
            <w:r>
              <w:rPr>
                <w:rFonts w:ascii="宋体" w:hAnsi="宋体" w:eastAsia="宋体" w:cs="Times New Roman"/>
                <w:color w:val="auto"/>
              </w:rPr>
              <w:t>小东屯</w:t>
            </w:r>
          </w:p>
        </w:tc>
        <w:tc>
          <w:tcPr>
            <w:tcW w:w="810" w:type="dxa"/>
            <w:vMerge w:val="continue"/>
            <w:tcBorders>
              <w:tl2br w:val="nil"/>
              <w:tr2bl w:val="nil"/>
            </w:tcBorders>
            <w:vAlign w:val="center"/>
          </w:tcPr>
          <w:p w14:paraId="2DED7C68">
            <w:pPr>
              <w:jc w:val="center"/>
              <w:rPr>
                <w:rFonts w:ascii="宋体" w:hAnsi="宋体" w:eastAsia="宋体" w:cs="Times New Roman"/>
                <w:color w:val="auto"/>
              </w:rPr>
            </w:pPr>
          </w:p>
        </w:tc>
        <w:tc>
          <w:tcPr>
            <w:tcW w:w="1006" w:type="dxa"/>
            <w:tcBorders>
              <w:tl2br w:val="nil"/>
              <w:tr2bl w:val="nil"/>
            </w:tcBorders>
            <w:vAlign w:val="center"/>
          </w:tcPr>
          <w:p w14:paraId="0ACA667E">
            <w:pPr>
              <w:jc w:val="center"/>
              <w:rPr>
                <w:rFonts w:ascii="宋体" w:hAnsi="宋体" w:eastAsia="宋体" w:cs="Times New Roman"/>
                <w:color w:val="auto"/>
              </w:rPr>
            </w:pPr>
            <w:r>
              <w:rPr>
                <w:rFonts w:ascii="宋体" w:hAnsi="宋体" w:eastAsia="宋体" w:cs="Times New Roman"/>
                <w:color w:val="auto"/>
              </w:rPr>
              <w:t>0.0059</w:t>
            </w:r>
          </w:p>
        </w:tc>
        <w:tc>
          <w:tcPr>
            <w:tcW w:w="794" w:type="dxa"/>
            <w:tcBorders>
              <w:tl2br w:val="nil"/>
              <w:tr2bl w:val="nil"/>
            </w:tcBorders>
            <w:vAlign w:val="center"/>
          </w:tcPr>
          <w:p w14:paraId="11CAB8E8">
            <w:pPr>
              <w:jc w:val="center"/>
              <w:rPr>
                <w:rFonts w:ascii="宋体" w:hAnsi="宋体" w:eastAsia="宋体" w:cs="Times New Roman"/>
                <w:color w:val="auto"/>
              </w:rPr>
            </w:pPr>
            <w:r>
              <w:rPr>
                <w:rFonts w:ascii="宋体" w:hAnsi="宋体" w:eastAsia="宋体" w:cs="Times New Roman"/>
                <w:color w:val="auto"/>
              </w:rPr>
              <w:t xml:space="preserve">0.004 </w:t>
            </w:r>
          </w:p>
        </w:tc>
        <w:tc>
          <w:tcPr>
            <w:tcW w:w="1262" w:type="dxa"/>
            <w:tcBorders>
              <w:tl2br w:val="nil"/>
              <w:tr2bl w:val="nil"/>
            </w:tcBorders>
            <w:vAlign w:val="center"/>
          </w:tcPr>
          <w:p w14:paraId="29245A8C">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72B28486">
            <w:pPr>
              <w:jc w:val="center"/>
              <w:rPr>
                <w:rFonts w:ascii="宋体" w:hAnsi="宋体" w:eastAsia="宋体" w:cs="Times New Roman"/>
                <w:color w:val="auto"/>
              </w:rPr>
            </w:pPr>
            <w:r>
              <w:rPr>
                <w:rFonts w:ascii="宋体" w:hAnsi="宋体" w:eastAsia="宋体" w:cs="Times New Roman"/>
                <w:color w:val="auto"/>
              </w:rPr>
              <w:t>87.0059</w:t>
            </w:r>
          </w:p>
        </w:tc>
        <w:tc>
          <w:tcPr>
            <w:tcW w:w="836" w:type="dxa"/>
            <w:tcBorders>
              <w:tl2br w:val="nil"/>
              <w:tr2bl w:val="nil"/>
            </w:tcBorders>
            <w:vAlign w:val="center"/>
          </w:tcPr>
          <w:p w14:paraId="4592F673">
            <w:pPr>
              <w:jc w:val="center"/>
              <w:rPr>
                <w:rFonts w:ascii="宋体" w:hAnsi="宋体" w:eastAsia="宋体" w:cs="Times New Roman"/>
                <w:color w:val="auto"/>
              </w:rPr>
            </w:pPr>
            <w:r>
              <w:rPr>
                <w:rFonts w:ascii="宋体" w:hAnsi="宋体" w:eastAsia="宋体" w:cs="Times New Roman"/>
                <w:color w:val="auto"/>
              </w:rPr>
              <w:t xml:space="preserve">58.004 </w:t>
            </w:r>
          </w:p>
        </w:tc>
        <w:tc>
          <w:tcPr>
            <w:tcW w:w="830" w:type="dxa"/>
            <w:tcBorders>
              <w:tl2br w:val="nil"/>
              <w:tr2bl w:val="nil"/>
            </w:tcBorders>
            <w:vAlign w:val="center"/>
          </w:tcPr>
          <w:p w14:paraId="320577AA">
            <w:pPr>
              <w:jc w:val="center"/>
              <w:rPr>
                <w:rFonts w:ascii="宋体" w:hAnsi="宋体" w:eastAsia="宋体" w:cs="Times New Roman"/>
                <w:color w:val="auto"/>
              </w:rPr>
            </w:pPr>
            <w:r>
              <w:rPr>
                <w:rFonts w:ascii="宋体" w:hAnsi="宋体" w:eastAsia="宋体" w:cs="Times New Roman"/>
                <w:color w:val="auto"/>
              </w:rPr>
              <w:t>达标</w:t>
            </w:r>
          </w:p>
        </w:tc>
      </w:tr>
      <w:tr w14:paraId="379ED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3E345006">
            <w:pPr>
              <w:jc w:val="center"/>
              <w:rPr>
                <w:rFonts w:ascii="宋体" w:hAnsi="宋体" w:eastAsia="宋体" w:cs="Times New Roman"/>
                <w:color w:val="auto"/>
              </w:rPr>
            </w:pPr>
          </w:p>
        </w:tc>
        <w:tc>
          <w:tcPr>
            <w:tcW w:w="1430" w:type="dxa"/>
            <w:tcBorders>
              <w:tl2br w:val="nil"/>
              <w:tr2bl w:val="nil"/>
            </w:tcBorders>
            <w:vAlign w:val="center"/>
          </w:tcPr>
          <w:p w14:paraId="77EED8A2">
            <w:pPr>
              <w:jc w:val="center"/>
              <w:rPr>
                <w:rFonts w:ascii="宋体" w:hAnsi="宋体" w:eastAsia="宋体" w:cs="Times New Roman"/>
                <w:color w:val="auto"/>
              </w:rPr>
            </w:pPr>
            <w:r>
              <w:rPr>
                <w:rFonts w:ascii="宋体" w:hAnsi="宋体" w:eastAsia="宋体" w:cs="Times New Roman"/>
                <w:color w:val="auto"/>
              </w:rPr>
              <w:t>东兴村</w:t>
            </w:r>
          </w:p>
        </w:tc>
        <w:tc>
          <w:tcPr>
            <w:tcW w:w="810" w:type="dxa"/>
            <w:vMerge w:val="continue"/>
            <w:tcBorders>
              <w:tl2br w:val="nil"/>
              <w:tr2bl w:val="nil"/>
            </w:tcBorders>
            <w:vAlign w:val="center"/>
          </w:tcPr>
          <w:p w14:paraId="20F9B29E">
            <w:pPr>
              <w:jc w:val="center"/>
              <w:rPr>
                <w:rFonts w:ascii="宋体" w:hAnsi="宋体" w:eastAsia="宋体" w:cs="Times New Roman"/>
                <w:color w:val="auto"/>
              </w:rPr>
            </w:pPr>
          </w:p>
        </w:tc>
        <w:tc>
          <w:tcPr>
            <w:tcW w:w="1006" w:type="dxa"/>
            <w:tcBorders>
              <w:tl2br w:val="nil"/>
              <w:tr2bl w:val="nil"/>
            </w:tcBorders>
            <w:vAlign w:val="center"/>
          </w:tcPr>
          <w:p w14:paraId="2646234D">
            <w:pPr>
              <w:jc w:val="center"/>
              <w:rPr>
                <w:rFonts w:ascii="宋体" w:hAnsi="宋体" w:eastAsia="宋体" w:cs="Times New Roman"/>
                <w:color w:val="auto"/>
              </w:rPr>
            </w:pPr>
            <w:r>
              <w:rPr>
                <w:rFonts w:ascii="宋体" w:hAnsi="宋体" w:eastAsia="宋体" w:cs="Times New Roman"/>
                <w:color w:val="auto"/>
              </w:rPr>
              <w:t>0.0052</w:t>
            </w:r>
          </w:p>
        </w:tc>
        <w:tc>
          <w:tcPr>
            <w:tcW w:w="794" w:type="dxa"/>
            <w:tcBorders>
              <w:tl2br w:val="nil"/>
              <w:tr2bl w:val="nil"/>
            </w:tcBorders>
            <w:vAlign w:val="center"/>
          </w:tcPr>
          <w:p w14:paraId="6BC51AE2">
            <w:pPr>
              <w:jc w:val="center"/>
              <w:rPr>
                <w:rFonts w:ascii="宋体" w:hAnsi="宋体" w:eastAsia="宋体" w:cs="Times New Roman"/>
                <w:color w:val="auto"/>
              </w:rPr>
            </w:pPr>
            <w:r>
              <w:rPr>
                <w:rFonts w:ascii="宋体" w:hAnsi="宋体" w:eastAsia="宋体" w:cs="Times New Roman"/>
                <w:color w:val="auto"/>
              </w:rPr>
              <w:t xml:space="preserve">0.003 </w:t>
            </w:r>
          </w:p>
        </w:tc>
        <w:tc>
          <w:tcPr>
            <w:tcW w:w="1262" w:type="dxa"/>
            <w:tcBorders>
              <w:tl2br w:val="nil"/>
              <w:tr2bl w:val="nil"/>
            </w:tcBorders>
            <w:vAlign w:val="center"/>
          </w:tcPr>
          <w:p w14:paraId="03A54F1C">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77D89426">
            <w:pPr>
              <w:jc w:val="center"/>
              <w:rPr>
                <w:rFonts w:ascii="宋体" w:hAnsi="宋体" w:eastAsia="宋体" w:cs="Times New Roman"/>
                <w:color w:val="auto"/>
              </w:rPr>
            </w:pPr>
            <w:r>
              <w:rPr>
                <w:rFonts w:ascii="宋体" w:hAnsi="宋体" w:eastAsia="宋体" w:cs="Times New Roman"/>
                <w:color w:val="auto"/>
              </w:rPr>
              <w:t>87.0052</w:t>
            </w:r>
          </w:p>
        </w:tc>
        <w:tc>
          <w:tcPr>
            <w:tcW w:w="836" w:type="dxa"/>
            <w:tcBorders>
              <w:tl2br w:val="nil"/>
              <w:tr2bl w:val="nil"/>
            </w:tcBorders>
            <w:vAlign w:val="center"/>
          </w:tcPr>
          <w:p w14:paraId="4AB871BC">
            <w:pPr>
              <w:jc w:val="center"/>
              <w:rPr>
                <w:rFonts w:ascii="宋体" w:hAnsi="宋体" w:eastAsia="宋体" w:cs="Times New Roman"/>
                <w:color w:val="auto"/>
              </w:rPr>
            </w:pPr>
            <w:r>
              <w:rPr>
                <w:rFonts w:ascii="宋体" w:hAnsi="宋体" w:eastAsia="宋体" w:cs="Times New Roman"/>
                <w:color w:val="auto"/>
              </w:rPr>
              <w:t xml:space="preserve">58.003 </w:t>
            </w:r>
          </w:p>
        </w:tc>
        <w:tc>
          <w:tcPr>
            <w:tcW w:w="830" w:type="dxa"/>
            <w:tcBorders>
              <w:tl2br w:val="nil"/>
              <w:tr2bl w:val="nil"/>
            </w:tcBorders>
            <w:vAlign w:val="center"/>
          </w:tcPr>
          <w:p w14:paraId="20F023EC">
            <w:pPr>
              <w:jc w:val="center"/>
              <w:rPr>
                <w:rFonts w:ascii="宋体" w:hAnsi="宋体" w:eastAsia="宋体" w:cs="Times New Roman"/>
                <w:color w:val="auto"/>
              </w:rPr>
            </w:pPr>
            <w:r>
              <w:rPr>
                <w:rFonts w:ascii="宋体" w:hAnsi="宋体" w:eastAsia="宋体" w:cs="Times New Roman"/>
                <w:color w:val="auto"/>
              </w:rPr>
              <w:t>达标</w:t>
            </w:r>
          </w:p>
        </w:tc>
      </w:tr>
      <w:tr w14:paraId="02E29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642E11DC">
            <w:pPr>
              <w:jc w:val="center"/>
              <w:rPr>
                <w:rFonts w:ascii="宋体" w:hAnsi="宋体" w:eastAsia="宋体" w:cs="Times New Roman"/>
                <w:color w:val="auto"/>
              </w:rPr>
            </w:pPr>
          </w:p>
        </w:tc>
        <w:tc>
          <w:tcPr>
            <w:tcW w:w="1430" w:type="dxa"/>
            <w:tcBorders>
              <w:tl2br w:val="nil"/>
              <w:tr2bl w:val="nil"/>
            </w:tcBorders>
            <w:vAlign w:val="center"/>
          </w:tcPr>
          <w:p w14:paraId="567020B4">
            <w:pPr>
              <w:jc w:val="center"/>
              <w:rPr>
                <w:rFonts w:ascii="宋体" w:hAnsi="宋体" w:eastAsia="宋体" w:cs="Times New Roman"/>
                <w:color w:val="auto"/>
              </w:rPr>
            </w:pPr>
            <w:r>
              <w:rPr>
                <w:rFonts w:ascii="宋体" w:hAnsi="宋体" w:eastAsia="宋体" w:cs="Times New Roman"/>
                <w:color w:val="auto"/>
              </w:rPr>
              <w:t>迟家屯</w:t>
            </w:r>
          </w:p>
        </w:tc>
        <w:tc>
          <w:tcPr>
            <w:tcW w:w="810" w:type="dxa"/>
            <w:vMerge w:val="continue"/>
            <w:tcBorders>
              <w:tl2br w:val="nil"/>
              <w:tr2bl w:val="nil"/>
            </w:tcBorders>
            <w:vAlign w:val="center"/>
          </w:tcPr>
          <w:p w14:paraId="26A375EE">
            <w:pPr>
              <w:jc w:val="center"/>
              <w:rPr>
                <w:rFonts w:ascii="宋体" w:hAnsi="宋体" w:eastAsia="宋体" w:cs="Times New Roman"/>
                <w:color w:val="auto"/>
              </w:rPr>
            </w:pPr>
          </w:p>
        </w:tc>
        <w:tc>
          <w:tcPr>
            <w:tcW w:w="1006" w:type="dxa"/>
            <w:tcBorders>
              <w:tl2br w:val="nil"/>
              <w:tr2bl w:val="nil"/>
            </w:tcBorders>
            <w:vAlign w:val="center"/>
          </w:tcPr>
          <w:p w14:paraId="67EFEB73">
            <w:pPr>
              <w:jc w:val="center"/>
              <w:rPr>
                <w:rFonts w:ascii="宋体" w:hAnsi="宋体" w:eastAsia="宋体" w:cs="Times New Roman"/>
                <w:color w:val="auto"/>
              </w:rPr>
            </w:pPr>
            <w:r>
              <w:rPr>
                <w:rFonts w:ascii="宋体" w:hAnsi="宋体" w:eastAsia="宋体" w:cs="Times New Roman"/>
                <w:color w:val="auto"/>
              </w:rPr>
              <w:t>0.0048</w:t>
            </w:r>
          </w:p>
        </w:tc>
        <w:tc>
          <w:tcPr>
            <w:tcW w:w="794" w:type="dxa"/>
            <w:tcBorders>
              <w:tl2br w:val="nil"/>
              <w:tr2bl w:val="nil"/>
            </w:tcBorders>
            <w:vAlign w:val="center"/>
          </w:tcPr>
          <w:p w14:paraId="7A287942">
            <w:pPr>
              <w:jc w:val="center"/>
              <w:rPr>
                <w:rFonts w:ascii="宋体" w:hAnsi="宋体" w:eastAsia="宋体" w:cs="Times New Roman"/>
                <w:color w:val="auto"/>
              </w:rPr>
            </w:pPr>
            <w:r>
              <w:rPr>
                <w:rFonts w:ascii="宋体" w:hAnsi="宋体" w:eastAsia="宋体" w:cs="Times New Roman"/>
                <w:color w:val="auto"/>
              </w:rPr>
              <w:t xml:space="preserve">0.003 </w:t>
            </w:r>
          </w:p>
        </w:tc>
        <w:tc>
          <w:tcPr>
            <w:tcW w:w="1262" w:type="dxa"/>
            <w:tcBorders>
              <w:tl2br w:val="nil"/>
              <w:tr2bl w:val="nil"/>
            </w:tcBorders>
            <w:vAlign w:val="center"/>
          </w:tcPr>
          <w:p w14:paraId="7DC0DB0C">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6AA06826">
            <w:pPr>
              <w:jc w:val="center"/>
              <w:rPr>
                <w:rFonts w:ascii="宋体" w:hAnsi="宋体" w:eastAsia="宋体" w:cs="Times New Roman"/>
                <w:color w:val="auto"/>
              </w:rPr>
            </w:pPr>
            <w:r>
              <w:rPr>
                <w:rFonts w:ascii="宋体" w:hAnsi="宋体" w:eastAsia="宋体" w:cs="Times New Roman"/>
                <w:color w:val="auto"/>
              </w:rPr>
              <w:t>87.0048</w:t>
            </w:r>
          </w:p>
        </w:tc>
        <w:tc>
          <w:tcPr>
            <w:tcW w:w="836" w:type="dxa"/>
            <w:tcBorders>
              <w:tl2br w:val="nil"/>
              <w:tr2bl w:val="nil"/>
            </w:tcBorders>
            <w:vAlign w:val="center"/>
          </w:tcPr>
          <w:p w14:paraId="26C85F56">
            <w:pPr>
              <w:jc w:val="center"/>
              <w:rPr>
                <w:rFonts w:ascii="宋体" w:hAnsi="宋体" w:eastAsia="宋体" w:cs="Times New Roman"/>
                <w:color w:val="auto"/>
              </w:rPr>
            </w:pPr>
            <w:r>
              <w:rPr>
                <w:rFonts w:ascii="宋体" w:hAnsi="宋体" w:eastAsia="宋体" w:cs="Times New Roman"/>
                <w:color w:val="auto"/>
              </w:rPr>
              <w:t xml:space="preserve">58.003 </w:t>
            </w:r>
          </w:p>
        </w:tc>
        <w:tc>
          <w:tcPr>
            <w:tcW w:w="830" w:type="dxa"/>
            <w:tcBorders>
              <w:tl2br w:val="nil"/>
              <w:tr2bl w:val="nil"/>
            </w:tcBorders>
            <w:vAlign w:val="center"/>
          </w:tcPr>
          <w:p w14:paraId="6FFE1E70">
            <w:pPr>
              <w:jc w:val="center"/>
              <w:rPr>
                <w:rFonts w:ascii="宋体" w:hAnsi="宋体" w:eastAsia="宋体" w:cs="Times New Roman"/>
                <w:color w:val="auto"/>
              </w:rPr>
            </w:pPr>
            <w:r>
              <w:rPr>
                <w:rFonts w:ascii="宋体" w:hAnsi="宋体" w:eastAsia="宋体" w:cs="Times New Roman"/>
                <w:color w:val="auto"/>
              </w:rPr>
              <w:t>达标</w:t>
            </w:r>
          </w:p>
        </w:tc>
      </w:tr>
      <w:tr w14:paraId="3A2D7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48EFA587">
            <w:pPr>
              <w:jc w:val="center"/>
              <w:rPr>
                <w:rFonts w:ascii="宋体" w:hAnsi="宋体" w:eastAsia="宋体" w:cs="Times New Roman"/>
                <w:color w:val="auto"/>
              </w:rPr>
            </w:pPr>
          </w:p>
        </w:tc>
        <w:tc>
          <w:tcPr>
            <w:tcW w:w="1430" w:type="dxa"/>
            <w:tcBorders>
              <w:tl2br w:val="nil"/>
              <w:tr2bl w:val="nil"/>
            </w:tcBorders>
            <w:vAlign w:val="center"/>
          </w:tcPr>
          <w:p w14:paraId="2CAE18D8">
            <w:pPr>
              <w:jc w:val="center"/>
              <w:rPr>
                <w:rFonts w:ascii="宋体" w:hAnsi="宋体" w:eastAsia="宋体" w:cs="Times New Roman"/>
                <w:color w:val="auto"/>
              </w:rPr>
            </w:pPr>
            <w:r>
              <w:rPr>
                <w:rFonts w:ascii="宋体" w:hAnsi="宋体" w:eastAsia="宋体" w:cs="Times New Roman"/>
                <w:color w:val="auto"/>
              </w:rPr>
              <w:t>刘喜屯</w:t>
            </w:r>
          </w:p>
        </w:tc>
        <w:tc>
          <w:tcPr>
            <w:tcW w:w="810" w:type="dxa"/>
            <w:vMerge w:val="continue"/>
            <w:tcBorders>
              <w:tl2br w:val="nil"/>
              <w:tr2bl w:val="nil"/>
            </w:tcBorders>
            <w:vAlign w:val="center"/>
          </w:tcPr>
          <w:p w14:paraId="2DFBD70F">
            <w:pPr>
              <w:jc w:val="center"/>
              <w:rPr>
                <w:rFonts w:ascii="宋体" w:hAnsi="宋体" w:eastAsia="宋体" w:cs="Times New Roman"/>
                <w:color w:val="auto"/>
              </w:rPr>
            </w:pPr>
          </w:p>
        </w:tc>
        <w:tc>
          <w:tcPr>
            <w:tcW w:w="1006" w:type="dxa"/>
            <w:tcBorders>
              <w:tl2br w:val="nil"/>
              <w:tr2bl w:val="nil"/>
            </w:tcBorders>
            <w:vAlign w:val="center"/>
          </w:tcPr>
          <w:p w14:paraId="317623F5">
            <w:pPr>
              <w:jc w:val="center"/>
              <w:rPr>
                <w:rFonts w:ascii="宋体" w:hAnsi="宋体" w:eastAsia="宋体" w:cs="Times New Roman"/>
                <w:color w:val="auto"/>
              </w:rPr>
            </w:pPr>
            <w:r>
              <w:rPr>
                <w:rFonts w:ascii="宋体" w:hAnsi="宋体" w:eastAsia="宋体" w:cs="Times New Roman"/>
                <w:color w:val="auto"/>
              </w:rPr>
              <w:t>0.0022</w:t>
            </w:r>
          </w:p>
        </w:tc>
        <w:tc>
          <w:tcPr>
            <w:tcW w:w="794" w:type="dxa"/>
            <w:tcBorders>
              <w:tl2br w:val="nil"/>
              <w:tr2bl w:val="nil"/>
            </w:tcBorders>
            <w:vAlign w:val="center"/>
          </w:tcPr>
          <w:p w14:paraId="1C4E28C0">
            <w:pPr>
              <w:jc w:val="center"/>
              <w:rPr>
                <w:rFonts w:ascii="宋体" w:hAnsi="宋体" w:eastAsia="宋体" w:cs="Times New Roman"/>
                <w:color w:val="auto"/>
              </w:rPr>
            </w:pPr>
            <w:r>
              <w:rPr>
                <w:rFonts w:ascii="宋体" w:hAnsi="宋体" w:eastAsia="宋体" w:cs="Times New Roman"/>
                <w:color w:val="auto"/>
              </w:rPr>
              <w:t xml:space="preserve">0.001 </w:t>
            </w:r>
          </w:p>
        </w:tc>
        <w:tc>
          <w:tcPr>
            <w:tcW w:w="1262" w:type="dxa"/>
            <w:tcBorders>
              <w:tl2br w:val="nil"/>
              <w:tr2bl w:val="nil"/>
            </w:tcBorders>
            <w:vAlign w:val="center"/>
          </w:tcPr>
          <w:p w14:paraId="7D7E10CF">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6857C4D7">
            <w:pPr>
              <w:jc w:val="center"/>
              <w:rPr>
                <w:rFonts w:ascii="宋体" w:hAnsi="宋体" w:eastAsia="宋体" w:cs="Times New Roman"/>
                <w:color w:val="auto"/>
              </w:rPr>
            </w:pPr>
            <w:r>
              <w:rPr>
                <w:rFonts w:ascii="宋体" w:hAnsi="宋体" w:eastAsia="宋体" w:cs="Times New Roman"/>
                <w:color w:val="auto"/>
              </w:rPr>
              <w:t>87.0022</w:t>
            </w:r>
          </w:p>
        </w:tc>
        <w:tc>
          <w:tcPr>
            <w:tcW w:w="836" w:type="dxa"/>
            <w:tcBorders>
              <w:tl2br w:val="nil"/>
              <w:tr2bl w:val="nil"/>
            </w:tcBorders>
            <w:vAlign w:val="center"/>
          </w:tcPr>
          <w:p w14:paraId="0A275ED3">
            <w:pPr>
              <w:jc w:val="center"/>
              <w:rPr>
                <w:rFonts w:ascii="宋体" w:hAnsi="宋体" w:eastAsia="宋体" w:cs="Times New Roman"/>
                <w:color w:val="auto"/>
              </w:rPr>
            </w:pPr>
            <w:r>
              <w:rPr>
                <w:rFonts w:ascii="宋体" w:hAnsi="宋体" w:eastAsia="宋体" w:cs="Times New Roman"/>
                <w:color w:val="auto"/>
              </w:rPr>
              <w:t xml:space="preserve">58.001 </w:t>
            </w:r>
          </w:p>
        </w:tc>
        <w:tc>
          <w:tcPr>
            <w:tcW w:w="830" w:type="dxa"/>
            <w:tcBorders>
              <w:tl2br w:val="nil"/>
              <w:tr2bl w:val="nil"/>
            </w:tcBorders>
            <w:vAlign w:val="center"/>
          </w:tcPr>
          <w:p w14:paraId="236D7BA7">
            <w:pPr>
              <w:jc w:val="center"/>
              <w:rPr>
                <w:rFonts w:ascii="宋体" w:hAnsi="宋体" w:eastAsia="宋体" w:cs="Times New Roman"/>
                <w:color w:val="auto"/>
              </w:rPr>
            </w:pPr>
            <w:r>
              <w:rPr>
                <w:rFonts w:ascii="宋体" w:hAnsi="宋体" w:eastAsia="宋体" w:cs="Times New Roman"/>
                <w:color w:val="auto"/>
              </w:rPr>
              <w:t>达标</w:t>
            </w:r>
          </w:p>
        </w:tc>
      </w:tr>
      <w:tr w14:paraId="7C317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7D04ACA4">
            <w:pPr>
              <w:jc w:val="center"/>
              <w:rPr>
                <w:rFonts w:ascii="宋体" w:hAnsi="宋体" w:eastAsia="宋体" w:cs="Times New Roman"/>
                <w:color w:val="auto"/>
              </w:rPr>
            </w:pPr>
          </w:p>
        </w:tc>
        <w:tc>
          <w:tcPr>
            <w:tcW w:w="1430" w:type="dxa"/>
            <w:tcBorders>
              <w:tl2br w:val="nil"/>
              <w:tr2bl w:val="nil"/>
            </w:tcBorders>
            <w:vAlign w:val="center"/>
          </w:tcPr>
          <w:p w14:paraId="376015C7">
            <w:pPr>
              <w:jc w:val="center"/>
              <w:rPr>
                <w:rFonts w:ascii="宋体" w:hAnsi="宋体" w:eastAsia="宋体" w:cs="Times New Roman"/>
                <w:color w:val="auto"/>
              </w:rPr>
            </w:pPr>
            <w:r>
              <w:rPr>
                <w:rFonts w:ascii="宋体" w:hAnsi="宋体" w:eastAsia="宋体" w:cs="Times New Roman"/>
                <w:color w:val="auto"/>
              </w:rPr>
              <w:t>代龙村</w:t>
            </w:r>
          </w:p>
        </w:tc>
        <w:tc>
          <w:tcPr>
            <w:tcW w:w="810" w:type="dxa"/>
            <w:vMerge w:val="continue"/>
            <w:tcBorders>
              <w:tl2br w:val="nil"/>
              <w:tr2bl w:val="nil"/>
            </w:tcBorders>
            <w:vAlign w:val="center"/>
          </w:tcPr>
          <w:p w14:paraId="7C30330E">
            <w:pPr>
              <w:jc w:val="center"/>
              <w:rPr>
                <w:rFonts w:ascii="宋体" w:hAnsi="宋体" w:eastAsia="宋体" w:cs="Times New Roman"/>
                <w:color w:val="auto"/>
              </w:rPr>
            </w:pPr>
          </w:p>
        </w:tc>
        <w:tc>
          <w:tcPr>
            <w:tcW w:w="1006" w:type="dxa"/>
            <w:tcBorders>
              <w:tl2br w:val="nil"/>
              <w:tr2bl w:val="nil"/>
            </w:tcBorders>
            <w:vAlign w:val="center"/>
          </w:tcPr>
          <w:p w14:paraId="60239007">
            <w:pPr>
              <w:jc w:val="center"/>
              <w:rPr>
                <w:rFonts w:ascii="宋体" w:hAnsi="宋体" w:eastAsia="宋体" w:cs="Times New Roman"/>
                <w:color w:val="auto"/>
              </w:rPr>
            </w:pPr>
            <w:r>
              <w:rPr>
                <w:rFonts w:ascii="宋体" w:hAnsi="宋体" w:eastAsia="宋体" w:cs="Times New Roman"/>
                <w:color w:val="auto"/>
              </w:rPr>
              <w:t>0.0018</w:t>
            </w:r>
          </w:p>
        </w:tc>
        <w:tc>
          <w:tcPr>
            <w:tcW w:w="794" w:type="dxa"/>
            <w:tcBorders>
              <w:tl2br w:val="nil"/>
              <w:tr2bl w:val="nil"/>
            </w:tcBorders>
            <w:vAlign w:val="center"/>
          </w:tcPr>
          <w:p w14:paraId="4F5944C5">
            <w:pPr>
              <w:jc w:val="center"/>
              <w:rPr>
                <w:rFonts w:ascii="宋体" w:hAnsi="宋体" w:eastAsia="宋体" w:cs="Times New Roman"/>
                <w:color w:val="auto"/>
              </w:rPr>
            </w:pPr>
            <w:r>
              <w:rPr>
                <w:rFonts w:ascii="宋体" w:hAnsi="宋体" w:eastAsia="宋体" w:cs="Times New Roman"/>
                <w:color w:val="auto"/>
              </w:rPr>
              <w:t xml:space="preserve">0.001 </w:t>
            </w:r>
          </w:p>
        </w:tc>
        <w:tc>
          <w:tcPr>
            <w:tcW w:w="1262" w:type="dxa"/>
            <w:tcBorders>
              <w:tl2br w:val="nil"/>
              <w:tr2bl w:val="nil"/>
            </w:tcBorders>
            <w:vAlign w:val="center"/>
          </w:tcPr>
          <w:p w14:paraId="2EB00672">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31F404D4">
            <w:pPr>
              <w:jc w:val="center"/>
              <w:rPr>
                <w:rFonts w:ascii="宋体" w:hAnsi="宋体" w:eastAsia="宋体" w:cs="Times New Roman"/>
                <w:color w:val="auto"/>
              </w:rPr>
            </w:pPr>
            <w:r>
              <w:rPr>
                <w:rFonts w:ascii="宋体" w:hAnsi="宋体" w:eastAsia="宋体" w:cs="Times New Roman"/>
                <w:color w:val="auto"/>
              </w:rPr>
              <w:t>87.0018</w:t>
            </w:r>
          </w:p>
        </w:tc>
        <w:tc>
          <w:tcPr>
            <w:tcW w:w="836" w:type="dxa"/>
            <w:tcBorders>
              <w:tl2br w:val="nil"/>
              <w:tr2bl w:val="nil"/>
            </w:tcBorders>
            <w:vAlign w:val="center"/>
          </w:tcPr>
          <w:p w14:paraId="796A0271">
            <w:pPr>
              <w:jc w:val="center"/>
              <w:rPr>
                <w:rFonts w:ascii="宋体" w:hAnsi="宋体" w:eastAsia="宋体" w:cs="Times New Roman"/>
                <w:color w:val="auto"/>
              </w:rPr>
            </w:pPr>
            <w:r>
              <w:rPr>
                <w:rFonts w:ascii="宋体" w:hAnsi="宋体" w:eastAsia="宋体" w:cs="Times New Roman"/>
                <w:color w:val="auto"/>
              </w:rPr>
              <w:t xml:space="preserve">58.001 </w:t>
            </w:r>
          </w:p>
        </w:tc>
        <w:tc>
          <w:tcPr>
            <w:tcW w:w="830" w:type="dxa"/>
            <w:tcBorders>
              <w:tl2br w:val="nil"/>
              <w:tr2bl w:val="nil"/>
            </w:tcBorders>
            <w:vAlign w:val="center"/>
          </w:tcPr>
          <w:p w14:paraId="72ECA98D">
            <w:pPr>
              <w:jc w:val="center"/>
              <w:rPr>
                <w:rFonts w:ascii="宋体" w:hAnsi="宋体" w:eastAsia="宋体" w:cs="Times New Roman"/>
                <w:color w:val="auto"/>
              </w:rPr>
            </w:pPr>
            <w:r>
              <w:rPr>
                <w:rFonts w:ascii="宋体" w:hAnsi="宋体" w:eastAsia="宋体" w:cs="Times New Roman"/>
                <w:color w:val="auto"/>
              </w:rPr>
              <w:t>达标</w:t>
            </w:r>
          </w:p>
        </w:tc>
      </w:tr>
      <w:tr w14:paraId="7FED4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1035F56C">
            <w:pPr>
              <w:jc w:val="center"/>
              <w:rPr>
                <w:rFonts w:ascii="宋体" w:hAnsi="宋体" w:eastAsia="宋体" w:cs="Times New Roman"/>
                <w:color w:val="auto"/>
              </w:rPr>
            </w:pPr>
          </w:p>
        </w:tc>
        <w:tc>
          <w:tcPr>
            <w:tcW w:w="1430" w:type="dxa"/>
            <w:tcBorders>
              <w:tl2br w:val="nil"/>
              <w:tr2bl w:val="nil"/>
            </w:tcBorders>
            <w:vAlign w:val="center"/>
          </w:tcPr>
          <w:p w14:paraId="0114DC85">
            <w:pPr>
              <w:jc w:val="center"/>
              <w:rPr>
                <w:rFonts w:ascii="宋体" w:hAnsi="宋体" w:eastAsia="宋体" w:cs="Times New Roman"/>
                <w:color w:val="auto"/>
              </w:rPr>
            </w:pPr>
            <w:r>
              <w:rPr>
                <w:rFonts w:ascii="宋体" w:hAnsi="宋体" w:eastAsia="宋体" w:cs="Times New Roman"/>
                <w:color w:val="auto"/>
              </w:rPr>
              <w:t>肇源镇</w:t>
            </w:r>
          </w:p>
        </w:tc>
        <w:tc>
          <w:tcPr>
            <w:tcW w:w="810" w:type="dxa"/>
            <w:vMerge w:val="continue"/>
            <w:tcBorders>
              <w:tl2br w:val="nil"/>
              <w:tr2bl w:val="nil"/>
            </w:tcBorders>
            <w:vAlign w:val="center"/>
          </w:tcPr>
          <w:p w14:paraId="185C9B35">
            <w:pPr>
              <w:jc w:val="center"/>
              <w:rPr>
                <w:rFonts w:ascii="宋体" w:hAnsi="宋体" w:eastAsia="宋体" w:cs="Times New Roman"/>
                <w:color w:val="auto"/>
              </w:rPr>
            </w:pPr>
          </w:p>
        </w:tc>
        <w:tc>
          <w:tcPr>
            <w:tcW w:w="1006" w:type="dxa"/>
            <w:tcBorders>
              <w:tl2br w:val="nil"/>
              <w:tr2bl w:val="nil"/>
            </w:tcBorders>
            <w:vAlign w:val="center"/>
          </w:tcPr>
          <w:p w14:paraId="33BAFF45">
            <w:pPr>
              <w:jc w:val="center"/>
              <w:rPr>
                <w:rFonts w:ascii="宋体" w:hAnsi="宋体" w:eastAsia="宋体" w:cs="Times New Roman"/>
                <w:color w:val="auto"/>
              </w:rPr>
            </w:pPr>
            <w:r>
              <w:rPr>
                <w:rFonts w:ascii="宋体" w:hAnsi="宋体" w:eastAsia="宋体" w:cs="Times New Roman"/>
                <w:color w:val="auto"/>
              </w:rPr>
              <w:t>0.0033</w:t>
            </w:r>
          </w:p>
        </w:tc>
        <w:tc>
          <w:tcPr>
            <w:tcW w:w="794" w:type="dxa"/>
            <w:tcBorders>
              <w:tl2br w:val="nil"/>
              <w:tr2bl w:val="nil"/>
            </w:tcBorders>
            <w:vAlign w:val="center"/>
          </w:tcPr>
          <w:p w14:paraId="27DFD631">
            <w:pPr>
              <w:jc w:val="center"/>
              <w:rPr>
                <w:rFonts w:ascii="宋体" w:hAnsi="宋体" w:eastAsia="宋体" w:cs="Times New Roman"/>
                <w:color w:val="auto"/>
              </w:rPr>
            </w:pPr>
            <w:r>
              <w:rPr>
                <w:rFonts w:ascii="宋体" w:hAnsi="宋体" w:eastAsia="宋体" w:cs="Times New Roman"/>
                <w:color w:val="auto"/>
              </w:rPr>
              <w:t xml:space="preserve">0.002 </w:t>
            </w:r>
          </w:p>
        </w:tc>
        <w:tc>
          <w:tcPr>
            <w:tcW w:w="1262" w:type="dxa"/>
            <w:tcBorders>
              <w:tl2br w:val="nil"/>
              <w:tr2bl w:val="nil"/>
            </w:tcBorders>
            <w:vAlign w:val="center"/>
          </w:tcPr>
          <w:p w14:paraId="5128E902">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297FD3B2">
            <w:pPr>
              <w:jc w:val="center"/>
              <w:rPr>
                <w:rFonts w:ascii="宋体" w:hAnsi="宋体" w:eastAsia="宋体" w:cs="Times New Roman"/>
                <w:color w:val="auto"/>
              </w:rPr>
            </w:pPr>
            <w:r>
              <w:rPr>
                <w:rFonts w:ascii="宋体" w:hAnsi="宋体" w:eastAsia="宋体" w:cs="Times New Roman"/>
                <w:color w:val="auto"/>
              </w:rPr>
              <w:t>87.0033</w:t>
            </w:r>
          </w:p>
        </w:tc>
        <w:tc>
          <w:tcPr>
            <w:tcW w:w="836" w:type="dxa"/>
            <w:tcBorders>
              <w:tl2br w:val="nil"/>
              <w:tr2bl w:val="nil"/>
            </w:tcBorders>
            <w:vAlign w:val="center"/>
          </w:tcPr>
          <w:p w14:paraId="27E92D48">
            <w:pPr>
              <w:jc w:val="center"/>
              <w:rPr>
                <w:rFonts w:ascii="宋体" w:hAnsi="宋体" w:eastAsia="宋体" w:cs="Times New Roman"/>
                <w:color w:val="auto"/>
              </w:rPr>
            </w:pPr>
            <w:r>
              <w:rPr>
                <w:rFonts w:ascii="宋体" w:hAnsi="宋体" w:eastAsia="宋体" w:cs="Times New Roman"/>
                <w:color w:val="auto"/>
              </w:rPr>
              <w:t xml:space="preserve">58.002 </w:t>
            </w:r>
          </w:p>
        </w:tc>
        <w:tc>
          <w:tcPr>
            <w:tcW w:w="830" w:type="dxa"/>
            <w:tcBorders>
              <w:tl2br w:val="nil"/>
              <w:tr2bl w:val="nil"/>
            </w:tcBorders>
            <w:vAlign w:val="center"/>
          </w:tcPr>
          <w:p w14:paraId="377ADFED">
            <w:pPr>
              <w:jc w:val="center"/>
              <w:rPr>
                <w:rFonts w:ascii="宋体" w:hAnsi="宋体" w:eastAsia="宋体" w:cs="Times New Roman"/>
                <w:color w:val="auto"/>
              </w:rPr>
            </w:pPr>
            <w:r>
              <w:rPr>
                <w:rFonts w:ascii="宋体" w:hAnsi="宋体" w:eastAsia="宋体" w:cs="Times New Roman"/>
                <w:color w:val="auto"/>
              </w:rPr>
              <w:t>达标</w:t>
            </w:r>
          </w:p>
        </w:tc>
      </w:tr>
      <w:tr w14:paraId="79883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restart"/>
            <w:tcBorders>
              <w:tl2br w:val="nil"/>
              <w:tr2bl w:val="nil"/>
            </w:tcBorders>
            <w:vAlign w:val="center"/>
          </w:tcPr>
          <w:p w14:paraId="4CB5F683">
            <w:pPr>
              <w:jc w:val="center"/>
              <w:rPr>
                <w:rFonts w:ascii="宋体" w:hAnsi="宋体" w:eastAsia="宋体" w:cs="Times New Roman"/>
                <w:color w:val="auto"/>
              </w:rPr>
            </w:pPr>
          </w:p>
          <w:p w14:paraId="7BBED5FB">
            <w:pPr>
              <w:jc w:val="center"/>
              <w:rPr>
                <w:rFonts w:ascii="宋体" w:hAnsi="宋体" w:eastAsia="宋体" w:cs="Times New Roman"/>
                <w:color w:val="auto"/>
              </w:rPr>
            </w:pPr>
          </w:p>
        </w:tc>
        <w:tc>
          <w:tcPr>
            <w:tcW w:w="1430" w:type="dxa"/>
            <w:tcBorders>
              <w:tl2br w:val="nil"/>
              <w:tr2bl w:val="nil"/>
            </w:tcBorders>
            <w:vAlign w:val="center"/>
          </w:tcPr>
          <w:p w14:paraId="6323E894">
            <w:pPr>
              <w:jc w:val="center"/>
              <w:rPr>
                <w:rFonts w:ascii="宋体" w:hAnsi="宋体" w:eastAsia="宋体" w:cs="Times New Roman"/>
                <w:color w:val="auto"/>
              </w:rPr>
            </w:pPr>
            <w:r>
              <w:rPr>
                <w:rFonts w:ascii="宋体" w:hAnsi="宋体" w:eastAsia="宋体" w:cs="Times New Roman"/>
                <w:color w:val="auto"/>
              </w:rPr>
              <w:t>刘兽医屯</w:t>
            </w:r>
          </w:p>
        </w:tc>
        <w:tc>
          <w:tcPr>
            <w:tcW w:w="810" w:type="dxa"/>
            <w:vMerge w:val="continue"/>
            <w:tcBorders>
              <w:tl2br w:val="nil"/>
              <w:tr2bl w:val="nil"/>
            </w:tcBorders>
            <w:vAlign w:val="center"/>
          </w:tcPr>
          <w:p w14:paraId="739E7345">
            <w:pPr>
              <w:jc w:val="center"/>
              <w:rPr>
                <w:rFonts w:ascii="宋体" w:hAnsi="宋体" w:eastAsia="宋体" w:cs="Times New Roman"/>
                <w:color w:val="auto"/>
              </w:rPr>
            </w:pPr>
          </w:p>
        </w:tc>
        <w:tc>
          <w:tcPr>
            <w:tcW w:w="1006" w:type="dxa"/>
            <w:tcBorders>
              <w:tl2br w:val="nil"/>
              <w:tr2bl w:val="nil"/>
            </w:tcBorders>
            <w:vAlign w:val="center"/>
          </w:tcPr>
          <w:p w14:paraId="20B9016C">
            <w:pPr>
              <w:jc w:val="center"/>
              <w:rPr>
                <w:rFonts w:ascii="宋体" w:hAnsi="宋体" w:eastAsia="宋体" w:cs="Times New Roman"/>
                <w:color w:val="auto"/>
              </w:rPr>
            </w:pPr>
            <w:r>
              <w:rPr>
                <w:rFonts w:ascii="宋体" w:hAnsi="宋体" w:eastAsia="宋体" w:cs="Times New Roman"/>
                <w:color w:val="auto"/>
              </w:rPr>
              <w:t>0.0021</w:t>
            </w:r>
          </w:p>
        </w:tc>
        <w:tc>
          <w:tcPr>
            <w:tcW w:w="794" w:type="dxa"/>
            <w:tcBorders>
              <w:tl2br w:val="nil"/>
              <w:tr2bl w:val="nil"/>
            </w:tcBorders>
            <w:vAlign w:val="center"/>
          </w:tcPr>
          <w:p w14:paraId="747860AD">
            <w:pPr>
              <w:jc w:val="center"/>
              <w:rPr>
                <w:rFonts w:ascii="宋体" w:hAnsi="宋体" w:eastAsia="宋体" w:cs="Times New Roman"/>
                <w:color w:val="auto"/>
              </w:rPr>
            </w:pPr>
            <w:r>
              <w:rPr>
                <w:rFonts w:ascii="宋体" w:hAnsi="宋体" w:eastAsia="宋体" w:cs="Times New Roman"/>
                <w:color w:val="auto"/>
              </w:rPr>
              <w:t xml:space="preserve">0.001 </w:t>
            </w:r>
          </w:p>
        </w:tc>
        <w:tc>
          <w:tcPr>
            <w:tcW w:w="1262" w:type="dxa"/>
            <w:tcBorders>
              <w:tl2br w:val="nil"/>
              <w:tr2bl w:val="nil"/>
            </w:tcBorders>
            <w:vAlign w:val="center"/>
          </w:tcPr>
          <w:p w14:paraId="4921C1E3">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2F17F0D1">
            <w:pPr>
              <w:jc w:val="center"/>
              <w:rPr>
                <w:rFonts w:ascii="宋体" w:hAnsi="宋体" w:eastAsia="宋体" w:cs="Times New Roman"/>
                <w:color w:val="auto"/>
              </w:rPr>
            </w:pPr>
            <w:r>
              <w:rPr>
                <w:rFonts w:ascii="宋体" w:hAnsi="宋体" w:eastAsia="宋体" w:cs="Times New Roman"/>
                <w:color w:val="auto"/>
              </w:rPr>
              <w:t>87.0021</w:t>
            </w:r>
          </w:p>
        </w:tc>
        <w:tc>
          <w:tcPr>
            <w:tcW w:w="836" w:type="dxa"/>
            <w:tcBorders>
              <w:tl2br w:val="nil"/>
              <w:tr2bl w:val="nil"/>
            </w:tcBorders>
            <w:vAlign w:val="center"/>
          </w:tcPr>
          <w:p w14:paraId="447E431D">
            <w:pPr>
              <w:jc w:val="center"/>
              <w:rPr>
                <w:rFonts w:ascii="宋体" w:hAnsi="宋体" w:eastAsia="宋体" w:cs="Times New Roman"/>
                <w:color w:val="auto"/>
              </w:rPr>
            </w:pPr>
            <w:r>
              <w:rPr>
                <w:rFonts w:ascii="宋体" w:hAnsi="宋体" w:eastAsia="宋体" w:cs="Times New Roman"/>
                <w:color w:val="auto"/>
              </w:rPr>
              <w:t xml:space="preserve">58.001 </w:t>
            </w:r>
          </w:p>
        </w:tc>
        <w:tc>
          <w:tcPr>
            <w:tcW w:w="830" w:type="dxa"/>
            <w:tcBorders>
              <w:tl2br w:val="nil"/>
              <w:tr2bl w:val="nil"/>
            </w:tcBorders>
            <w:vAlign w:val="center"/>
          </w:tcPr>
          <w:p w14:paraId="3AE18A6C">
            <w:pPr>
              <w:jc w:val="center"/>
              <w:rPr>
                <w:rFonts w:ascii="宋体" w:hAnsi="宋体" w:eastAsia="宋体" w:cs="Times New Roman"/>
                <w:color w:val="auto"/>
              </w:rPr>
            </w:pPr>
            <w:r>
              <w:rPr>
                <w:rFonts w:ascii="宋体" w:hAnsi="宋体" w:eastAsia="宋体" w:cs="Times New Roman"/>
                <w:color w:val="auto"/>
              </w:rPr>
              <w:t>达标</w:t>
            </w:r>
          </w:p>
        </w:tc>
      </w:tr>
      <w:tr w14:paraId="5140B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79CF13B7">
            <w:pPr>
              <w:jc w:val="center"/>
              <w:rPr>
                <w:rFonts w:ascii="宋体" w:hAnsi="宋体" w:eastAsia="宋体" w:cs="Times New Roman"/>
                <w:color w:val="auto"/>
              </w:rPr>
            </w:pPr>
          </w:p>
        </w:tc>
        <w:tc>
          <w:tcPr>
            <w:tcW w:w="1430" w:type="dxa"/>
            <w:tcBorders>
              <w:tl2br w:val="nil"/>
              <w:tr2bl w:val="nil"/>
            </w:tcBorders>
            <w:vAlign w:val="center"/>
          </w:tcPr>
          <w:p w14:paraId="18344D64">
            <w:pPr>
              <w:jc w:val="center"/>
              <w:rPr>
                <w:rFonts w:ascii="宋体" w:hAnsi="宋体" w:eastAsia="宋体" w:cs="Times New Roman"/>
                <w:color w:val="auto"/>
              </w:rPr>
            </w:pPr>
            <w:r>
              <w:rPr>
                <w:rFonts w:ascii="宋体" w:hAnsi="宋体" w:eastAsia="宋体" w:cs="Times New Roman"/>
                <w:color w:val="auto"/>
              </w:rPr>
              <w:t>友谊村</w:t>
            </w:r>
          </w:p>
        </w:tc>
        <w:tc>
          <w:tcPr>
            <w:tcW w:w="810" w:type="dxa"/>
            <w:vMerge w:val="continue"/>
            <w:tcBorders>
              <w:tl2br w:val="nil"/>
              <w:tr2bl w:val="nil"/>
            </w:tcBorders>
            <w:vAlign w:val="center"/>
          </w:tcPr>
          <w:p w14:paraId="2989BD30">
            <w:pPr>
              <w:jc w:val="center"/>
              <w:rPr>
                <w:rFonts w:ascii="宋体" w:hAnsi="宋体" w:eastAsia="宋体" w:cs="Times New Roman"/>
                <w:color w:val="auto"/>
              </w:rPr>
            </w:pPr>
          </w:p>
        </w:tc>
        <w:tc>
          <w:tcPr>
            <w:tcW w:w="1006" w:type="dxa"/>
            <w:tcBorders>
              <w:tl2br w:val="nil"/>
              <w:tr2bl w:val="nil"/>
            </w:tcBorders>
            <w:vAlign w:val="center"/>
          </w:tcPr>
          <w:p w14:paraId="242B9555">
            <w:pPr>
              <w:jc w:val="center"/>
              <w:rPr>
                <w:rFonts w:ascii="宋体" w:hAnsi="宋体" w:eastAsia="宋体" w:cs="Times New Roman"/>
                <w:color w:val="auto"/>
              </w:rPr>
            </w:pPr>
            <w:r>
              <w:rPr>
                <w:rFonts w:ascii="宋体" w:hAnsi="宋体" w:eastAsia="宋体" w:cs="Times New Roman"/>
                <w:color w:val="auto"/>
              </w:rPr>
              <w:t>0.0021</w:t>
            </w:r>
          </w:p>
        </w:tc>
        <w:tc>
          <w:tcPr>
            <w:tcW w:w="794" w:type="dxa"/>
            <w:tcBorders>
              <w:tl2br w:val="nil"/>
              <w:tr2bl w:val="nil"/>
            </w:tcBorders>
            <w:vAlign w:val="center"/>
          </w:tcPr>
          <w:p w14:paraId="370CAEE1">
            <w:pPr>
              <w:jc w:val="center"/>
              <w:rPr>
                <w:rFonts w:ascii="宋体" w:hAnsi="宋体" w:eastAsia="宋体" w:cs="Times New Roman"/>
                <w:color w:val="auto"/>
              </w:rPr>
            </w:pPr>
            <w:r>
              <w:rPr>
                <w:rFonts w:ascii="宋体" w:hAnsi="宋体" w:eastAsia="宋体" w:cs="Times New Roman"/>
                <w:color w:val="auto"/>
              </w:rPr>
              <w:t xml:space="preserve">0.001 </w:t>
            </w:r>
          </w:p>
        </w:tc>
        <w:tc>
          <w:tcPr>
            <w:tcW w:w="1262" w:type="dxa"/>
            <w:tcBorders>
              <w:tl2br w:val="nil"/>
              <w:tr2bl w:val="nil"/>
            </w:tcBorders>
            <w:vAlign w:val="center"/>
          </w:tcPr>
          <w:p w14:paraId="7C9DAEC6">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4846D53F">
            <w:pPr>
              <w:jc w:val="center"/>
              <w:rPr>
                <w:rFonts w:ascii="宋体" w:hAnsi="宋体" w:eastAsia="宋体" w:cs="Times New Roman"/>
                <w:color w:val="auto"/>
              </w:rPr>
            </w:pPr>
            <w:r>
              <w:rPr>
                <w:rFonts w:ascii="宋体" w:hAnsi="宋体" w:eastAsia="宋体" w:cs="Times New Roman"/>
                <w:color w:val="auto"/>
              </w:rPr>
              <w:t>87.0021</w:t>
            </w:r>
          </w:p>
        </w:tc>
        <w:tc>
          <w:tcPr>
            <w:tcW w:w="836" w:type="dxa"/>
            <w:tcBorders>
              <w:tl2br w:val="nil"/>
              <w:tr2bl w:val="nil"/>
            </w:tcBorders>
            <w:vAlign w:val="center"/>
          </w:tcPr>
          <w:p w14:paraId="606F9A57">
            <w:pPr>
              <w:jc w:val="center"/>
              <w:rPr>
                <w:rFonts w:ascii="宋体" w:hAnsi="宋体" w:eastAsia="宋体" w:cs="Times New Roman"/>
                <w:color w:val="auto"/>
              </w:rPr>
            </w:pPr>
            <w:r>
              <w:rPr>
                <w:rFonts w:ascii="宋体" w:hAnsi="宋体" w:eastAsia="宋体" w:cs="Times New Roman"/>
                <w:color w:val="auto"/>
              </w:rPr>
              <w:t xml:space="preserve">58.001 </w:t>
            </w:r>
          </w:p>
        </w:tc>
        <w:tc>
          <w:tcPr>
            <w:tcW w:w="830" w:type="dxa"/>
            <w:tcBorders>
              <w:tl2br w:val="nil"/>
              <w:tr2bl w:val="nil"/>
            </w:tcBorders>
            <w:vAlign w:val="center"/>
          </w:tcPr>
          <w:p w14:paraId="3480EE3F">
            <w:pPr>
              <w:jc w:val="center"/>
              <w:rPr>
                <w:rFonts w:ascii="宋体" w:hAnsi="宋体" w:eastAsia="宋体" w:cs="Times New Roman"/>
                <w:color w:val="auto"/>
              </w:rPr>
            </w:pPr>
            <w:r>
              <w:rPr>
                <w:rFonts w:ascii="宋体" w:hAnsi="宋体" w:eastAsia="宋体" w:cs="Times New Roman"/>
                <w:color w:val="auto"/>
              </w:rPr>
              <w:t>达标</w:t>
            </w:r>
          </w:p>
        </w:tc>
      </w:tr>
      <w:tr w14:paraId="37059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3BAA3731">
            <w:pPr>
              <w:jc w:val="center"/>
              <w:rPr>
                <w:rFonts w:ascii="宋体" w:hAnsi="宋体" w:eastAsia="宋体" w:cs="Times New Roman"/>
                <w:color w:val="auto"/>
              </w:rPr>
            </w:pPr>
          </w:p>
        </w:tc>
        <w:tc>
          <w:tcPr>
            <w:tcW w:w="1430" w:type="dxa"/>
            <w:tcBorders>
              <w:tl2br w:val="nil"/>
              <w:tr2bl w:val="nil"/>
            </w:tcBorders>
            <w:vAlign w:val="center"/>
          </w:tcPr>
          <w:p w14:paraId="0C1429F2">
            <w:pPr>
              <w:jc w:val="center"/>
              <w:rPr>
                <w:rFonts w:ascii="宋体" w:hAnsi="宋体" w:eastAsia="宋体" w:cs="Times New Roman"/>
                <w:color w:val="auto"/>
              </w:rPr>
            </w:pPr>
            <w:r>
              <w:rPr>
                <w:rFonts w:ascii="宋体" w:hAnsi="宋体" w:eastAsia="宋体" w:cs="Times New Roman"/>
                <w:color w:val="auto"/>
              </w:rPr>
              <w:t>协力屯</w:t>
            </w:r>
          </w:p>
        </w:tc>
        <w:tc>
          <w:tcPr>
            <w:tcW w:w="810" w:type="dxa"/>
            <w:vMerge w:val="continue"/>
            <w:tcBorders>
              <w:tl2br w:val="nil"/>
              <w:tr2bl w:val="nil"/>
            </w:tcBorders>
            <w:vAlign w:val="center"/>
          </w:tcPr>
          <w:p w14:paraId="7C99E5E7">
            <w:pPr>
              <w:jc w:val="center"/>
              <w:rPr>
                <w:rFonts w:ascii="宋体" w:hAnsi="宋体" w:eastAsia="宋体" w:cs="Times New Roman"/>
                <w:color w:val="auto"/>
              </w:rPr>
            </w:pPr>
          </w:p>
        </w:tc>
        <w:tc>
          <w:tcPr>
            <w:tcW w:w="1006" w:type="dxa"/>
            <w:tcBorders>
              <w:tl2br w:val="nil"/>
              <w:tr2bl w:val="nil"/>
            </w:tcBorders>
            <w:vAlign w:val="center"/>
          </w:tcPr>
          <w:p w14:paraId="3715C994">
            <w:pPr>
              <w:jc w:val="center"/>
              <w:rPr>
                <w:rFonts w:ascii="宋体" w:hAnsi="宋体" w:eastAsia="宋体" w:cs="Times New Roman"/>
                <w:color w:val="auto"/>
              </w:rPr>
            </w:pPr>
            <w:r>
              <w:rPr>
                <w:rFonts w:ascii="宋体" w:hAnsi="宋体" w:eastAsia="宋体" w:cs="Times New Roman"/>
                <w:color w:val="auto"/>
              </w:rPr>
              <w:t>0.0019</w:t>
            </w:r>
          </w:p>
        </w:tc>
        <w:tc>
          <w:tcPr>
            <w:tcW w:w="794" w:type="dxa"/>
            <w:tcBorders>
              <w:tl2br w:val="nil"/>
              <w:tr2bl w:val="nil"/>
            </w:tcBorders>
            <w:vAlign w:val="center"/>
          </w:tcPr>
          <w:p w14:paraId="59E2F394">
            <w:pPr>
              <w:jc w:val="center"/>
              <w:rPr>
                <w:rFonts w:ascii="宋体" w:hAnsi="宋体" w:eastAsia="宋体" w:cs="Times New Roman"/>
                <w:color w:val="auto"/>
              </w:rPr>
            </w:pPr>
            <w:r>
              <w:rPr>
                <w:rFonts w:ascii="宋体" w:hAnsi="宋体" w:eastAsia="宋体" w:cs="Times New Roman"/>
                <w:color w:val="auto"/>
              </w:rPr>
              <w:t xml:space="preserve">0.001 </w:t>
            </w:r>
          </w:p>
        </w:tc>
        <w:tc>
          <w:tcPr>
            <w:tcW w:w="1262" w:type="dxa"/>
            <w:tcBorders>
              <w:tl2br w:val="nil"/>
              <w:tr2bl w:val="nil"/>
            </w:tcBorders>
            <w:vAlign w:val="center"/>
          </w:tcPr>
          <w:p w14:paraId="72A7532C">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182EBA18">
            <w:pPr>
              <w:jc w:val="center"/>
              <w:rPr>
                <w:rFonts w:ascii="宋体" w:hAnsi="宋体" w:eastAsia="宋体" w:cs="Times New Roman"/>
                <w:color w:val="auto"/>
              </w:rPr>
            </w:pPr>
            <w:r>
              <w:rPr>
                <w:rFonts w:ascii="宋体" w:hAnsi="宋体" w:eastAsia="宋体" w:cs="Times New Roman"/>
                <w:color w:val="auto"/>
              </w:rPr>
              <w:t>87.0019</w:t>
            </w:r>
          </w:p>
        </w:tc>
        <w:tc>
          <w:tcPr>
            <w:tcW w:w="836" w:type="dxa"/>
            <w:tcBorders>
              <w:tl2br w:val="nil"/>
              <w:tr2bl w:val="nil"/>
            </w:tcBorders>
            <w:vAlign w:val="center"/>
          </w:tcPr>
          <w:p w14:paraId="53A5EEFA">
            <w:pPr>
              <w:jc w:val="center"/>
              <w:rPr>
                <w:rFonts w:ascii="宋体" w:hAnsi="宋体" w:eastAsia="宋体" w:cs="Times New Roman"/>
                <w:color w:val="auto"/>
              </w:rPr>
            </w:pPr>
            <w:r>
              <w:rPr>
                <w:rFonts w:ascii="宋体" w:hAnsi="宋体" w:eastAsia="宋体" w:cs="Times New Roman"/>
                <w:color w:val="auto"/>
              </w:rPr>
              <w:t xml:space="preserve">58.001 </w:t>
            </w:r>
          </w:p>
        </w:tc>
        <w:tc>
          <w:tcPr>
            <w:tcW w:w="830" w:type="dxa"/>
            <w:tcBorders>
              <w:tl2br w:val="nil"/>
              <w:tr2bl w:val="nil"/>
            </w:tcBorders>
            <w:vAlign w:val="center"/>
          </w:tcPr>
          <w:p w14:paraId="1FCDD8DF">
            <w:pPr>
              <w:jc w:val="center"/>
              <w:rPr>
                <w:rFonts w:ascii="宋体" w:hAnsi="宋体" w:eastAsia="宋体" w:cs="Times New Roman"/>
                <w:color w:val="auto"/>
              </w:rPr>
            </w:pPr>
            <w:r>
              <w:rPr>
                <w:rFonts w:ascii="宋体" w:hAnsi="宋体" w:eastAsia="宋体" w:cs="Times New Roman"/>
                <w:color w:val="auto"/>
              </w:rPr>
              <w:t>达标</w:t>
            </w:r>
          </w:p>
        </w:tc>
      </w:tr>
      <w:tr w14:paraId="3D143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6BFDCFFE">
            <w:pPr>
              <w:jc w:val="center"/>
              <w:rPr>
                <w:rFonts w:ascii="宋体" w:hAnsi="宋体" w:eastAsia="宋体" w:cs="Times New Roman"/>
                <w:color w:val="auto"/>
              </w:rPr>
            </w:pPr>
          </w:p>
        </w:tc>
        <w:tc>
          <w:tcPr>
            <w:tcW w:w="1430" w:type="dxa"/>
            <w:tcBorders>
              <w:tl2br w:val="nil"/>
              <w:tr2bl w:val="nil"/>
            </w:tcBorders>
            <w:vAlign w:val="center"/>
          </w:tcPr>
          <w:p w14:paraId="0321462D">
            <w:pPr>
              <w:jc w:val="center"/>
              <w:rPr>
                <w:rFonts w:ascii="宋体" w:hAnsi="宋体" w:eastAsia="宋体" w:cs="Times New Roman"/>
                <w:color w:val="auto"/>
              </w:rPr>
            </w:pPr>
            <w:r>
              <w:rPr>
                <w:rFonts w:ascii="宋体" w:hAnsi="宋体" w:eastAsia="宋体" w:cs="Times New Roman"/>
                <w:color w:val="auto"/>
              </w:rPr>
              <w:t>大三马架</w:t>
            </w:r>
          </w:p>
        </w:tc>
        <w:tc>
          <w:tcPr>
            <w:tcW w:w="810" w:type="dxa"/>
            <w:vMerge w:val="continue"/>
            <w:tcBorders>
              <w:tl2br w:val="nil"/>
              <w:tr2bl w:val="nil"/>
            </w:tcBorders>
            <w:vAlign w:val="center"/>
          </w:tcPr>
          <w:p w14:paraId="2E8DEC6A">
            <w:pPr>
              <w:jc w:val="center"/>
              <w:rPr>
                <w:rFonts w:ascii="宋体" w:hAnsi="宋体" w:eastAsia="宋体" w:cs="Times New Roman"/>
                <w:color w:val="auto"/>
              </w:rPr>
            </w:pPr>
          </w:p>
        </w:tc>
        <w:tc>
          <w:tcPr>
            <w:tcW w:w="1006" w:type="dxa"/>
            <w:tcBorders>
              <w:tl2br w:val="nil"/>
              <w:tr2bl w:val="nil"/>
            </w:tcBorders>
            <w:vAlign w:val="center"/>
          </w:tcPr>
          <w:p w14:paraId="15B35D9A">
            <w:pPr>
              <w:jc w:val="center"/>
              <w:rPr>
                <w:rFonts w:ascii="宋体" w:hAnsi="宋体" w:eastAsia="宋体" w:cs="Times New Roman"/>
                <w:color w:val="auto"/>
              </w:rPr>
            </w:pPr>
            <w:r>
              <w:rPr>
                <w:rFonts w:ascii="宋体" w:hAnsi="宋体" w:eastAsia="宋体" w:cs="Times New Roman"/>
                <w:color w:val="auto"/>
              </w:rPr>
              <w:t>0.0015</w:t>
            </w:r>
          </w:p>
        </w:tc>
        <w:tc>
          <w:tcPr>
            <w:tcW w:w="794" w:type="dxa"/>
            <w:tcBorders>
              <w:tl2br w:val="nil"/>
              <w:tr2bl w:val="nil"/>
            </w:tcBorders>
            <w:vAlign w:val="center"/>
          </w:tcPr>
          <w:p w14:paraId="1D1AA52E">
            <w:pPr>
              <w:jc w:val="center"/>
              <w:rPr>
                <w:rFonts w:ascii="宋体" w:hAnsi="宋体" w:eastAsia="宋体" w:cs="Times New Roman"/>
                <w:color w:val="auto"/>
              </w:rPr>
            </w:pPr>
            <w:r>
              <w:rPr>
                <w:rFonts w:ascii="宋体" w:hAnsi="宋体" w:eastAsia="宋体" w:cs="Times New Roman"/>
                <w:color w:val="auto"/>
              </w:rPr>
              <w:t xml:space="preserve">0.001 </w:t>
            </w:r>
          </w:p>
        </w:tc>
        <w:tc>
          <w:tcPr>
            <w:tcW w:w="1262" w:type="dxa"/>
            <w:tcBorders>
              <w:tl2br w:val="nil"/>
              <w:tr2bl w:val="nil"/>
            </w:tcBorders>
            <w:vAlign w:val="center"/>
          </w:tcPr>
          <w:p w14:paraId="223F8D16">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7B144162">
            <w:pPr>
              <w:jc w:val="center"/>
              <w:rPr>
                <w:rFonts w:ascii="宋体" w:hAnsi="宋体" w:eastAsia="宋体" w:cs="Times New Roman"/>
                <w:color w:val="auto"/>
              </w:rPr>
            </w:pPr>
            <w:r>
              <w:rPr>
                <w:rFonts w:ascii="宋体" w:hAnsi="宋体" w:eastAsia="宋体" w:cs="Times New Roman"/>
                <w:color w:val="auto"/>
              </w:rPr>
              <w:t>87.0015</w:t>
            </w:r>
          </w:p>
        </w:tc>
        <w:tc>
          <w:tcPr>
            <w:tcW w:w="836" w:type="dxa"/>
            <w:tcBorders>
              <w:tl2br w:val="nil"/>
              <w:tr2bl w:val="nil"/>
            </w:tcBorders>
            <w:vAlign w:val="center"/>
          </w:tcPr>
          <w:p w14:paraId="531D35E0">
            <w:pPr>
              <w:jc w:val="center"/>
              <w:rPr>
                <w:rFonts w:ascii="宋体" w:hAnsi="宋体" w:eastAsia="宋体" w:cs="Times New Roman"/>
                <w:color w:val="auto"/>
              </w:rPr>
            </w:pPr>
            <w:r>
              <w:rPr>
                <w:rFonts w:ascii="宋体" w:hAnsi="宋体" w:eastAsia="宋体" w:cs="Times New Roman"/>
                <w:color w:val="auto"/>
              </w:rPr>
              <w:t xml:space="preserve">58.001 </w:t>
            </w:r>
          </w:p>
        </w:tc>
        <w:tc>
          <w:tcPr>
            <w:tcW w:w="830" w:type="dxa"/>
            <w:tcBorders>
              <w:tl2br w:val="nil"/>
              <w:tr2bl w:val="nil"/>
            </w:tcBorders>
            <w:vAlign w:val="center"/>
          </w:tcPr>
          <w:p w14:paraId="22A8B429">
            <w:pPr>
              <w:jc w:val="center"/>
              <w:rPr>
                <w:rFonts w:ascii="宋体" w:hAnsi="宋体" w:eastAsia="宋体" w:cs="Times New Roman"/>
                <w:color w:val="auto"/>
              </w:rPr>
            </w:pPr>
            <w:r>
              <w:rPr>
                <w:rFonts w:ascii="宋体" w:hAnsi="宋体" w:eastAsia="宋体" w:cs="Times New Roman"/>
                <w:color w:val="auto"/>
              </w:rPr>
              <w:t>达标</w:t>
            </w:r>
          </w:p>
        </w:tc>
      </w:tr>
      <w:tr w14:paraId="17DC8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4C993778">
            <w:pPr>
              <w:jc w:val="center"/>
              <w:rPr>
                <w:rFonts w:ascii="宋体" w:hAnsi="宋体" w:eastAsia="宋体" w:cs="Times New Roman"/>
                <w:color w:val="auto"/>
              </w:rPr>
            </w:pPr>
          </w:p>
        </w:tc>
        <w:tc>
          <w:tcPr>
            <w:tcW w:w="1430" w:type="dxa"/>
            <w:tcBorders>
              <w:tl2br w:val="nil"/>
              <w:tr2bl w:val="nil"/>
            </w:tcBorders>
            <w:vAlign w:val="center"/>
          </w:tcPr>
          <w:p w14:paraId="2CF1C62B">
            <w:pPr>
              <w:jc w:val="center"/>
              <w:rPr>
                <w:rFonts w:ascii="宋体" w:hAnsi="宋体" w:eastAsia="宋体" w:cs="Times New Roman"/>
                <w:color w:val="auto"/>
              </w:rPr>
            </w:pPr>
            <w:r>
              <w:rPr>
                <w:rFonts w:ascii="宋体" w:hAnsi="宋体" w:eastAsia="宋体" w:cs="Times New Roman"/>
                <w:color w:val="auto"/>
              </w:rPr>
              <w:t>东小山</w:t>
            </w:r>
          </w:p>
        </w:tc>
        <w:tc>
          <w:tcPr>
            <w:tcW w:w="810" w:type="dxa"/>
            <w:vMerge w:val="continue"/>
            <w:tcBorders>
              <w:tl2br w:val="nil"/>
              <w:tr2bl w:val="nil"/>
            </w:tcBorders>
            <w:vAlign w:val="center"/>
          </w:tcPr>
          <w:p w14:paraId="524C35B7">
            <w:pPr>
              <w:jc w:val="center"/>
              <w:rPr>
                <w:rFonts w:ascii="宋体" w:hAnsi="宋体" w:eastAsia="宋体" w:cs="Times New Roman"/>
                <w:color w:val="auto"/>
              </w:rPr>
            </w:pPr>
          </w:p>
        </w:tc>
        <w:tc>
          <w:tcPr>
            <w:tcW w:w="1006" w:type="dxa"/>
            <w:tcBorders>
              <w:tl2br w:val="nil"/>
              <w:tr2bl w:val="nil"/>
            </w:tcBorders>
            <w:vAlign w:val="center"/>
          </w:tcPr>
          <w:p w14:paraId="50B57C01">
            <w:pPr>
              <w:jc w:val="center"/>
              <w:rPr>
                <w:rFonts w:ascii="宋体" w:hAnsi="宋体" w:eastAsia="宋体" w:cs="Times New Roman"/>
                <w:color w:val="auto"/>
              </w:rPr>
            </w:pPr>
            <w:r>
              <w:rPr>
                <w:rFonts w:ascii="宋体" w:hAnsi="宋体" w:eastAsia="宋体" w:cs="Times New Roman"/>
                <w:color w:val="auto"/>
              </w:rPr>
              <w:t>0.0021</w:t>
            </w:r>
          </w:p>
        </w:tc>
        <w:tc>
          <w:tcPr>
            <w:tcW w:w="794" w:type="dxa"/>
            <w:tcBorders>
              <w:tl2br w:val="nil"/>
              <w:tr2bl w:val="nil"/>
            </w:tcBorders>
            <w:vAlign w:val="center"/>
          </w:tcPr>
          <w:p w14:paraId="5D6319FD">
            <w:pPr>
              <w:jc w:val="center"/>
              <w:rPr>
                <w:rFonts w:ascii="宋体" w:hAnsi="宋体" w:eastAsia="宋体" w:cs="Times New Roman"/>
                <w:color w:val="auto"/>
              </w:rPr>
            </w:pPr>
            <w:r>
              <w:rPr>
                <w:rFonts w:ascii="宋体" w:hAnsi="宋体" w:eastAsia="宋体" w:cs="Times New Roman"/>
                <w:color w:val="auto"/>
              </w:rPr>
              <w:t xml:space="preserve">0.001 </w:t>
            </w:r>
          </w:p>
        </w:tc>
        <w:tc>
          <w:tcPr>
            <w:tcW w:w="1262" w:type="dxa"/>
            <w:tcBorders>
              <w:tl2br w:val="nil"/>
              <w:tr2bl w:val="nil"/>
            </w:tcBorders>
            <w:vAlign w:val="center"/>
          </w:tcPr>
          <w:p w14:paraId="3DE8E0C4">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2A03A196">
            <w:pPr>
              <w:jc w:val="center"/>
              <w:rPr>
                <w:rFonts w:ascii="宋体" w:hAnsi="宋体" w:eastAsia="宋体" w:cs="Times New Roman"/>
                <w:color w:val="auto"/>
              </w:rPr>
            </w:pPr>
            <w:r>
              <w:rPr>
                <w:rFonts w:ascii="宋体" w:hAnsi="宋体" w:eastAsia="宋体" w:cs="Times New Roman"/>
                <w:color w:val="auto"/>
              </w:rPr>
              <w:t>87.0021</w:t>
            </w:r>
          </w:p>
        </w:tc>
        <w:tc>
          <w:tcPr>
            <w:tcW w:w="836" w:type="dxa"/>
            <w:tcBorders>
              <w:tl2br w:val="nil"/>
              <w:tr2bl w:val="nil"/>
            </w:tcBorders>
            <w:vAlign w:val="center"/>
          </w:tcPr>
          <w:p w14:paraId="685ABDEC">
            <w:pPr>
              <w:jc w:val="center"/>
              <w:rPr>
                <w:rFonts w:ascii="宋体" w:hAnsi="宋体" w:eastAsia="宋体" w:cs="Times New Roman"/>
                <w:color w:val="auto"/>
              </w:rPr>
            </w:pPr>
            <w:r>
              <w:rPr>
                <w:rFonts w:ascii="宋体" w:hAnsi="宋体" w:eastAsia="宋体" w:cs="Times New Roman"/>
                <w:color w:val="auto"/>
              </w:rPr>
              <w:t xml:space="preserve">58.001 </w:t>
            </w:r>
          </w:p>
        </w:tc>
        <w:tc>
          <w:tcPr>
            <w:tcW w:w="830" w:type="dxa"/>
            <w:tcBorders>
              <w:tl2br w:val="nil"/>
              <w:tr2bl w:val="nil"/>
            </w:tcBorders>
            <w:vAlign w:val="center"/>
          </w:tcPr>
          <w:p w14:paraId="7C34FD0B">
            <w:pPr>
              <w:jc w:val="center"/>
              <w:rPr>
                <w:rFonts w:ascii="宋体" w:hAnsi="宋体" w:eastAsia="宋体" w:cs="Times New Roman"/>
                <w:color w:val="auto"/>
              </w:rPr>
            </w:pPr>
            <w:r>
              <w:rPr>
                <w:rFonts w:ascii="宋体" w:hAnsi="宋体" w:eastAsia="宋体" w:cs="Times New Roman"/>
                <w:color w:val="auto"/>
              </w:rPr>
              <w:t>达标</w:t>
            </w:r>
          </w:p>
        </w:tc>
      </w:tr>
      <w:tr w14:paraId="0474B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025795E6">
            <w:pPr>
              <w:jc w:val="center"/>
              <w:rPr>
                <w:rFonts w:ascii="宋体" w:hAnsi="宋体" w:eastAsia="宋体" w:cs="Times New Roman"/>
                <w:color w:val="auto"/>
              </w:rPr>
            </w:pPr>
          </w:p>
        </w:tc>
        <w:tc>
          <w:tcPr>
            <w:tcW w:w="1430" w:type="dxa"/>
            <w:tcBorders>
              <w:tl2br w:val="nil"/>
              <w:tr2bl w:val="nil"/>
            </w:tcBorders>
            <w:vAlign w:val="center"/>
          </w:tcPr>
          <w:p w14:paraId="751E4343">
            <w:pPr>
              <w:jc w:val="center"/>
              <w:rPr>
                <w:rFonts w:ascii="宋体" w:hAnsi="宋体" w:eastAsia="宋体" w:cs="Times New Roman"/>
                <w:color w:val="auto"/>
              </w:rPr>
            </w:pPr>
            <w:r>
              <w:rPr>
                <w:rFonts w:ascii="宋体" w:hAnsi="宋体" w:eastAsia="宋体" w:cs="Times New Roman"/>
                <w:color w:val="auto"/>
              </w:rPr>
              <w:t>科技屯</w:t>
            </w:r>
          </w:p>
        </w:tc>
        <w:tc>
          <w:tcPr>
            <w:tcW w:w="810" w:type="dxa"/>
            <w:vMerge w:val="continue"/>
            <w:tcBorders>
              <w:tl2br w:val="nil"/>
              <w:tr2bl w:val="nil"/>
            </w:tcBorders>
            <w:vAlign w:val="center"/>
          </w:tcPr>
          <w:p w14:paraId="25074FB7">
            <w:pPr>
              <w:jc w:val="center"/>
              <w:rPr>
                <w:rFonts w:ascii="宋体" w:hAnsi="宋体" w:eastAsia="宋体" w:cs="Times New Roman"/>
                <w:color w:val="auto"/>
              </w:rPr>
            </w:pPr>
          </w:p>
        </w:tc>
        <w:tc>
          <w:tcPr>
            <w:tcW w:w="1006" w:type="dxa"/>
            <w:tcBorders>
              <w:tl2br w:val="nil"/>
              <w:tr2bl w:val="nil"/>
            </w:tcBorders>
            <w:vAlign w:val="center"/>
          </w:tcPr>
          <w:p w14:paraId="2489D8F4">
            <w:pPr>
              <w:jc w:val="center"/>
              <w:rPr>
                <w:rFonts w:ascii="宋体" w:hAnsi="宋体" w:eastAsia="宋体" w:cs="Times New Roman"/>
                <w:color w:val="auto"/>
              </w:rPr>
            </w:pPr>
            <w:r>
              <w:rPr>
                <w:rFonts w:ascii="宋体" w:hAnsi="宋体" w:eastAsia="宋体" w:cs="Times New Roman"/>
                <w:color w:val="auto"/>
              </w:rPr>
              <w:t>0.0026</w:t>
            </w:r>
          </w:p>
        </w:tc>
        <w:tc>
          <w:tcPr>
            <w:tcW w:w="794" w:type="dxa"/>
            <w:tcBorders>
              <w:tl2br w:val="nil"/>
              <w:tr2bl w:val="nil"/>
            </w:tcBorders>
            <w:vAlign w:val="center"/>
          </w:tcPr>
          <w:p w14:paraId="5754C854">
            <w:pPr>
              <w:jc w:val="center"/>
              <w:rPr>
                <w:rFonts w:ascii="宋体" w:hAnsi="宋体" w:eastAsia="宋体" w:cs="Times New Roman"/>
                <w:color w:val="auto"/>
              </w:rPr>
            </w:pPr>
            <w:r>
              <w:rPr>
                <w:rFonts w:ascii="宋体" w:hAnsi="宋体" w:eastAsia="宋体" w:cs="Times New Roman"/>
                <w:color w:val="auto"/>
              </w:rPr>
              <w:t xml:space="preserve">0.002 </w:t>
            </w:r>
          </w:p>
        </w:tc>
        <w:tc>
          <w:tcPr>
            <w:tcW w:w="1262" w:type="dxa"/>
            <w:tcBorders>
              <w:tl2br w:val="nil"/>
              <w:tr2bl w:val="nil"/>
            </w:tcBorders>
            <w:vAlign w:val="center"/>
          </w:tcPr>
          <w:p w14:paraId="6A96277D">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1D75D29C">
            <w:pPr>
              <w:jc w:val="center"/>
              <w:rPr>
                <w:rFonts w:ascii="宋体" w:hAnsi="宋体" w:eastAsia="宋体" w:cs="Times New Roman"/>
                <w:color w:val="auto"/>
              </w:rPr>
            </w:pPr>
            <w:r>
              <w:rPr>
                <w:rFonts w:ascii="宋体" w:hAnsi="宋体" w:eastAsia="宋体" w:cs="Times New Roman"/>
                <w:color w:val="auto"/>
              </w:rPr>
              <w:t>87.0026</w:t>
            </w:r>
          </w:p>
        </w:tc>
        <w:tc>
          <w:tcPr>
            <w:tcW w:w="836" w:type="dxa"/>
            <w:tcBorders>
              <w:tl2br w:val="nil"/>
              <w:tr2bl w:val="nil"/>
            </w:tcBorders>
            <w:vAlign w:val="center"/>
          </w:tcPr>
          <w:p w14:paraId="4C1D693D">
            <w:pPr>
              <w:jc w:val="center"/>
              <w:rPr>
                <w:rFonts w:ascii="宋体" w:hAnsi="宋体" w:eastAsia="宋体" w:cs="Times New Roman"/>
                <w:color w:val="auto"/>
              </w:rPr>
            </w:pPr>
            <w:r>
              <w:rPr>
                <w:rFonts w:ascii="宋体" w:hAnsi="宋体" w:eastAsia="宋体" w:cs="Times New Roman"/>
                <w:color w:val="auto"/>
              </w:rPr>
              <w:t xml:space="preserve">58.002 </w:t>
            </w:r>
          </w:p>
        </w:tc>
        <w:tc>
          <w:tcPr>
            <w:tcW w:w="830" w:type="dxa"/>
            <w:tcBorders>
              <w:tl2br w:val="nil"/>
              <w:tr2bl w:val="nil"/>
            </w:tcBorders>
            <w:vAlign w:val="center"/>
          </w:tcPr>
          <w:p w14:paraId="1F5B1657">
            <w:pPr>
              <w:jc w:val="center"/>
              <w:rPr>
                <w:rFonts w:ascii="宋体" w:hAnsi="宋体" w:eastAsia="宋体" w:cs="Times New Roman"/>
                <w:color w:val="auto"/>
              </w:rPr>
            </w:pPr>
            <w:r>
              <w:rPr>
                <w:rFonts w:ascii="宋体" w:hAnsi="宋体" w:eastAsia="宋体" w:cs="Times New Roman"/>
                <w:color w:val="auto"/>
              </w:rPr>
              <w:t>达标</w:t>
            </w:r>
          </w:p>
        </w:tc>
      </w:tr>
      <w:tr w14:paraId="7D57C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0DBE205B">
            <w:pPr>
              <w:jc w:val="center"/>
              <w:rPr>
                <w:rFonts w:ascii="宋体" w:hAnsi="宋体" w:eastAsia="宋体" w:cs="Times New Roman"/>
                <w:color w:val="auto"/>
              </w:rPr>
            </w:pPr>
          </w:p>
        </w:tc>
        <w:tc>
          <w:tcPr>
            <w:tcW w:w="1430" w:type="dxa"/>
            <w:tcBorders>
              <w:tl2br w:val="nil"/>
              <w:tr2bl w:val="nil"/>
            </w:tcBorders>
            <w:vAlign w:val="center"/>
          </w:tcPr>
          <w:p w14:paraId="51EBF855">
            <w:pPr>
              <w:jc w:val="center"/>
              <w:rPr>
                <w:rFonts w:ascii="宋体" w:hAnsi="宋体" w:eastAsia="宋体" w:cs="Times New Roman"/>
                <w:color w:val="auto"/>
              </w:rPr>
            </w:pPr>
            <w:r>
              <w:rPr>
                <w:rFonts w:ascii="宋体" w:hAnsi="宋体" w:eastAsia="宋体" w:cs="Times New Roman"/>
                <w:color w:val="auto"/>
              </w:rPr>
              <w:t>大姚屯</w:t>
            </w:r>
          </w:p>
        </w:tc>
        <w:tc>
          <w:tcPr>
            <w:tcW w:w="810" w:type="dxa"/>
            <w:vMerge w:val="continue"/>
            <w:tcBorders>
              <w:tl2br w:val="nil"/>
              <w:tr2bl w:val="nil"/>
            </w:tcBorders>
            <w:vAlign w:val="center"/>
          </w:tcPr>
          <w:p w14:paraId="64A2B456">
            <w:pPr>
              <w:jc w:val="center"/>
              <w:rPr>
                <w:rFonts w:ascii="宋体" w:hAnsi="宋体" w:eastAsia="宋体" w:cs="Times New Roman"/>
                <w:color w:val="auto"/>
              </w:rPr>
            </w:pPr>
          </w:p>
        </w:tc>
        <w:tc>
          <w:tcPr>
            <w:tcW w:w="1006" w:type="dxa"/>
            <w:tcBorders>
              <w:tl2br w:val="nil"/>
              <w:tr2bl w:val="nil"/>
            </w:tcBorders>
            <w:vAlign w:val="center"/>
          </w:tcPr>
          <w:p w14:paraId="50ED30D1">
            <w:pPr>
              <w:jc w:val="center"/>
              <w:rPr>
                <w:rFonts w:ascii="宋体" w:hAnsi="宋体" w:eastAsia="宋体" w:cs="Times New Roman"/>
                <w:color w:val="auto"/>
              </w:rPr>
            </w:pPr>
            <w:r>
              <w:rPr>
                <w:rFonts w:ascii="宋体" w:hAnsi="宋体" w:eastAsia="宋体" w:cs="Times New Roman"/>
                <w:color w:val="auto"/>
              </w:rPr>
              <w:t>0.0023</w:t>
            </w:r>
          </w:p>
        </w:tc>
        <w:tc>
          <w:tcPr>
            <w:tcW w:w="794" w:type="dxa"/>
            <w:tcBorders>
              <w:tl2br w:val="nil"/>
              <w:tr2bl w:val="nil"/>
            </w:tcBorders>
            <w:vAlign w:val="center"/>
          </w:tcPr>
          <w:p w14:paraId="36769925">
            <w:pPr>
              <w:jc w:val="center"/>
              <w:rPr>
                <w:rFonts w:ascii="宋体" w:hAnsi="宋体" w:eastAsia="宋体" w:cs="Times New Roman"/>
                <w:color w:val="auto"/>
              </w:rPr>
            </w:pPr>
            <w:r>
              <w:rPr>
                <w:rFonts w:ascii="宋体" w:hAnsi="宋体" w:eastAsia="宋体" w:cs="Times New Roman"/>
                <w:color w:val="auto"/>
              </w:rPr>
              <w:t xml:space="preserve">0.002 </w:t>
            </w:r>
          </w:p>
        </w:tc>
        <w:tc>
          <w:tcPr>
            <w:tcW w:w="1262" w:type="dxa"/>
            <w:tcBorders>
              <w:tl2br w:val="nil"/>
              <w:tr2bl w:val="nil"/>
            </w:tcBorders>
            <w:vAlign w:val="center"/>
          </w:tcPr>
          <w:p w14:paraId="7EDDE466">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21901398">
            <w:pPr>
              <w:jc w:val="center"/>
              <w:rPr>
                <w:rFonts w:ascii="宋体" w:hAnsi="宋体" w:eastAsia="宋体" w:cs="Times New Roman"/>
                <w:color w:val="auto"/>
              </w:rPr>
            </w:pPr>
            <w:r>
              <w:rPr>
                <w:rFonts w:ascii="宋体" w:hAnsi="宋体" w:eastAsia="宋体" w:cs="Times New Roman"/>
                <w:color w:val="auto"/>
              </w:rPr>
              <w:t>87.0023</w:t>
            </w:r>
          </w:p>
        </w:tc>
        <w:tc>
          <w:tcPr>
            <w:tcW w:w="836" w:type="dxa"/>
            <w:tcBorders>
              <w:tl2br w:val="nil"/>
              <w:tr2bl w:val="nil"/>
            </w:tcBorders>
            <w:vAlign w:val="center"/>
          </w:tcPr>
          <w:p w14:paraId="2F4C6F7C">
            <w:pPr>
              <w:jc w:val="center"/>
              <w:rPr>
                <w:rFonts w:ascii="宋体" w:hAnsi="宋体" w:eastAsia="宋体" w:cs="Times New Roman"/>
                <w:color w:val="auto"/>
              </w:rPr>
            </w:pPr>
            <w:r>
              <w:rPr>
                <w:rFonts w:ascii="宋体" w:hAnsi="宋体" w:eastAsia="宋体" w:cs="Times New Roman"/>
                <w:color w:val="auto"/>
              </w:rPr>
              <w:t xml:space="preserve">58.002 </w:t>
            </w:r>
          </w:p>
        </w:tc>
        <w:tc>
          <w:tcPr>
            <w:tcW w:w="830" w:type="dxa"/>
            <w:tcBorders>
              <w:tl2br w:val="nil"/>
              <w:tr2bl w:val="nil"/>
            </w:tcBorders>
            <w:vAlign w:val="center"/>
          </w:tcPr>
          <w:p w14:paraId="225DA38B">
            <w:pPr>
              <w:jc w:val="center"/>
              <w:rPr>
                <w:rFonts w:ascii="宋体" w:hAnsi="宋体" w:eastAsia="宋体" w:cs="Times New Roman"/>
                <w:color w:val="auto"/>
              </w:rPr>
            </w:pPr>
            <w:r>
              <w:rPr>
                <w:rFonts w:ascii="宋体" w:hAnsi="宋体" w:eastAsia="宋体" w:cs="Times New Roman"/>
                <w:color w:val="auto"/>
              </w:rPr>
              <w:t>达标</w:t>
            </w:r>
          </w:p>
        </w:tc>
      </w:tr>
      <w:tr w14:paraId="5DC61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2B8DD963">
            <w:pPr>
              <w:jc w:val="center"/>
              <w:rPr>
                <w:rFonts w:ascii="宋体" w:hAnsi="宋体" w:eastAsia="宋体" w:cs="Times New Roman"/>
                <w:color w:val="auto"/>
              </w:rPr>
            </w:pPr>
          </w:p>
        </w:tc>
        <w:tc>
          <w:tcPr>
            <w:tcW w:w="1430" w:type="dxa"/>
            <w:tcBorders>
              <w:tl2br w:val="nil"/>
              <w:tr2bl w:val="nil"/>
            </w:tcBorders>
            <w:vAlign w:val="center"/>
          </w:tcPr>
          <w:p w14:paraId="7BD97AE9">
            <w:pPr>
              <w:jc w:val="center"/>
              <w:rPr>
                <w:rFonts w:ascii="宋体" w:hAnsi="宋体" w:eastAsia="宋体" w:cs="Times New Roman"/>
                <w:color w:val="auto"/>
              </w:rPr>
            </w:pPr>
            <w:r>
              <w:rPr>
                <w:rFonts w:ascii="宋体" w:hAnsi="宋体" w:eastAsia="宋体" w:cs="Times New Roman"/>
                <w:color w:val="auto"/>
              </w:rPr>
              <w:t>奎中里屯</w:t>
            </w:r>
          </w:p>
        </w:tc>
        <w:tc>
          <w:tcPr>
            <w:tcW w:w="810" w:type="dxa"/>
            <w:vMerge w:val="continue"/>
            <w:tcBorders>
              <w:tl2br w:val="nil"/>
              <w:tr2bl w:val="nil"/>
            </w:tcBorders>
            <w:vAlign w:val="center"/>
          </w:tcPr>
          <w:p w14:paraId="614D3594">
            <w:pPr>
              <w:jc w:val="center"/>
              <w:rPr>
                <w:rFonts w:ascii="宋体" w:hAnsi="宋体" w:eastAsia="宋体" w:cs="Times New Roman"/>
                <w:color w:val="auto"/>
              </w:rPr>
            </w:pPr>
          </w:p>
        </w:tc>
        <w:tc>
          <w:tcPr>
            <w:tcW w:w="1006" w:type="dxa"/>
            <w:tcBorders>
              <w:tl2br w:val="nil"/>
              <w:tr2bl w:val="nil"/>
            </w:tcBorders>
            <w:vAlign w:val="center"/>
          </w:tcPr>
          <w:p w14:paraId="6A0D4F32">
            <w:pPr>
              <w:jc w:val="center"/>
              <w:rPr>
                <w:rFonts w:ascii="宋体" w:hAnsi="宋体" w:eastAsia="宋体" w:cs="Times New Roman"/>
                <w:color w:val="auto"/>
              </w:rPr>
            </w:pPr>
            <w:r>
              <w:rPr>
                <w:rFonts w:ascii="宋体" w:hAnsi="宋体" w:eastAsia="宋体" w:cs="Times New Roman"/>
                <w:color w:val="auto"/>
              </w:rPr>
              <w:t>0.0084</w:t>
            </w:r>
          </w:p>
        </w:tc>
        <w:tc>
          <w:tcPr>
            <w:tcW w:w="794" w:type="dxa"/>
            <w:tcBorders>
              <w:tl2br w:val="nil"/>
              <w:tr2bl w:val="nil"/>
            </w:tcBorders>
            <w:vAlign w:val="center"/>
          </w:tcPr>
          <w:p w14:paraId="1BA4289A">
            <w:pPr>
              <w:jc w:val="center"/>
              <w:rPr>
                <w:rFonts w:ascii="宋体" w:hAnsi="宋体" w:eastAsia="宋体" w:cs="Times New Roman"/>
                <w:color w:val="auto"/>
              </w:rPr>
            </w:pPr>
            <w:r>
              <w:rPr>
                <w:rFonts w:ascii="宋体" w:hAnsi="宋体" w:eastAsia="宋体" w:cs="Times New Roman"/>
                <w:color w:val="auto"/>
              </w:rPr>
              <w:t xml:space="preserve">0.006 </w:t>
            </w:r>
          </w:p>
        </w:tc>
        <w:tc>
          <w:tcPr>
            <w:tcW w:w="1262" w:type="dxa"/>
            <w:tcBorders>
              <w:tl2br w:val="nil"/>
              <w:tr2bl w:val="nil"/>
            </w:tcBorders>
            <w:vAlign w:val="center"/>
          </w:tcPr>
          <w:p w14:paraId="03B663F5">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0725507A">
            <w:pPr>
              <w:jc w:val="center"/>
              <w:rPr>
                <w:rFonts w:ascii="宋体" w:hAnsi="宋体" w:eastAsia="宋体" w:cs="Times New Roman"/>
                <w:color w:val="auto"/>
              </w:rPr>
            </w:pPr>
            <w:r>
              <w:rPr>
                <w:rFonts w:ascii="宋体" w:hAnsi="宋体" w:eastAsia="宋体" w:cs="Times New Roman"/>
                <w:color w:val="auto"/>
              </w:rPr>
              <w:t>87.0084</w:t>
            </w:r>
          </w:p>
        </w:tc>
        <w:tc>
          <w:tcPr>
            <w:tcW w:w="836" w:type="dxa"/>
            <w:tcBorders>
              <w:tl2br w:val="nil"/>
              <w:tr2bl w:val="nil"/>
            </w:tcBorders>
            <w:vAlign w:val="center"/>
          </w:tcPr>
          <w:p w14:paraId="3D8CFAB6">
            <w:pPr>
              <w:jc w:val="center"/>
              <w:rPr>
                <w:rFonts w:ascii="宋体" w:hAnsi="宋体" w:eastAsia="宋体" w:cs="Times New Roman"/>
                <w:color w:val="auto"/>
              </w:rPr>
            </w:pPr>
            <w:r>
              <w:rPr>
                <w:rFonts w:ascii="宋体" w:hAnsi="宋体" w:eastAsia="宋体" w:cs="Times New Roman"/>
                <w:color w:val="auto"/>
              </w:rPr>
              <w:t xml:space="preserve">58.006 </w:t>
            </w:r>
          </w:p>
        </w:tc>
        <w:tc>
          <w:tcPr>
            <w:tcW w:w="830" w:type="dxa"/>
            <w:tcBorders>
              <w:tl2br w:val="nil"/>
              <w:tr2bl w:val="nil"/>
            </w:tcBorders>
            <w:vAlign w:val="center"/>
          </w:tcPr>
          <w:p w14:paraId="647B0044">
            <w:pPr>
              <w:jc w:val="center"/>
              <w:rPr>
                <w:rFonts w:ascii="宋体" w:hAnsi="宋体" w:eastAsia="宋体" w:cs="Times New Roman"/>
                <w:color w:val="auto"/>
              </w:rPr>
            </w:pPr>
            <w:r>
              <w:rPr>
                <w:rFonts w:ascii="宋体" w:hAnsi="宋体" w:eastAsia="宋体" w:cs="Times New Roman"/>
                <w:color w:val="auto"/>
              </w:rPr>
              <w:t>达标</w:t>
            </w:r>
          </w:p>
        </w:tc>
      </w:tr>
      <w:tr w14:paraId="19BF1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1452685B">
            <w:pPr>
              <w:jc w:val="center"/>
              <w:rPr>
                <w:rFonts w:ascii="宋体" w:hAnsi="宋体" w:eastAsia="宋体" w:cs="Times New Roman"/>
                <w:color w:val="auto"/>
              </w:rPr>
            </w:pPr>
          </w:p>
        </w:tc>
        <w:tc>
          <w:tcPr>
            <w:tcW w:w="1430" w:type="dxa"/>
            <w:tcBorders>
              <w:tl2br w:val="nil"/>
              <w:tr2bl w:val="nil"/>
            </w:tcBorders>
            <w:vAlign w:val="center"/>
          </w:tcPr>
          <w:p w14:paraId="387A341D">
            <w:pPr>
              <w:jc w:val="center"/>
              <w:rPr>
                <w:rFonts w:ascii="宋体" w:hAnsi="宋体" w:eastAsia="宋体" w:cs="Times New Roman"/>
                <w:color w:val="auto"/>
              </w:rPr>
            </w:pPr>
            <w:r>
              <w:rPr>
                <w:rFonts w:ascii="宋体" w:hAnsi="宋体" w:eastAsia="宋体" w:cs="Times New Roman"/>
                <w:color w:val="auto"/>
              </w:rPr>
              <w:t>区域最大落地浓度</w:t>
            </w:r>
          </w:p>
        </w:tc>
        <w:tc>
          <w:tcPr>
            <w:tcW w:w="810" w:type="dxa"/>
            <w:vMerge w:val="continue"/>
            <w:tcBorders>
              <w:bottom w:val="single" w:color="auto" w:sz="4" w:space="0"/>
              <w:tl2br w:val="nil"/>
              <w:tr2bl w:val="nil"/>
            </w:tcBorders>
            <w:vAlign w:val="center"/>
          </w:tcPr>
          <w:p w14:paraId="432E1A32">
            <w:pPr>
              <w:jc w:val="center"/>
              <w:rPr>
                <w:rFonts w:ascii="宋体" w:hAnsi="宋体" w:eastAsia="宋体" w:cs="Times New Roman"/>
                <w:color w:val="auto"/>
              </w:rPr>
            </w:pPr>
          </w:p>
        </w:tc>
        <w:tc>
          <w:tcPr>
            <w:tcW w:w="1006" w:type="dxa"/>
            <w:tcBorders>
              <w:tl2br w:val="nil"/>
              <w:tr2bl w:val="nil"/>
            </w:tcBorders>
            <w:vAlign w:val="center"/>
          </w:tcPr>
          <w:p w14:paraId="5AAFCBF3">
            <w:pPr>
              <w:jc w:val="center"/>
              <w:rPr>
                <w:rFonts w:ascii="宋体" w:hAnsi="宋体" w:eastAsia="宋体" w:cs="Times New Roman"/>
                <w:color w:val="auto"/>
              </w:rPr>
            </w:pPr>
            <w:r>
              <w:rPr>
                <w:rFonts w:ascii="宋体" w:hAnsi="宋体" w:eastAsia="宋体" w:cs="Times New Roman"/>
                <w:color w:val="auto"/>
              </w:rPr>
              <w:t>0.121252</w:t>
            </w:r>
          </w:p>
        </w:tc>
        <w:tc>
          <w:tcPr>
            <w:tcW w:w="794" w:type="dxa"/>
            <w:tcBorders>
              <w:tl2br w:val="nil"/>
              <w:tr2bl w:val="nil"/>
            </w:tcBorders>
            <w:vAlign w:val="center"/>
          </w:tcPr>
          <w:p w14:paraId="253016AD">
            <w:pPr>
              <w:jc w:val="center"/>
              <w:rPr>
                <w:rFonts w:ascii="宋体" w:hAnsi="宋体" w:eastAsia="宋体" w:cs="Times New Roman"/>
                <w:color w:val="auto"/>
              </w:rPr>
            </w:pPr>
            <w:r>
              <w:rPr>
                <w:rFonts w:ascii="宋体" w:hAnsi="宋体" w:eastAsia="宋体" w:cs="Times New Roman"/>
                <w:color w:val="auto"/>
              </w:rPr>
              <w:t>0.081</w:t>
            </w:r>
          </w:p>
        </w:tc>
        <w:tc>
          <w:tcPr>
            <w:tcW w:w="1262" w:type="dxa"/>
            <w:tcBorders>
              <w:tl2br w:val="nil"/>
              <w:tr2bl w:val="nil"/>
            </w:tcBorders>
            <w:vAlign w:val="center"/>
          </w:tcPr>
          <w:p w14:paraId="40E2A5D1">
            <w:pPr>
              <w:jc w:val="center"/>
              <w:rPr>
                <w:rFonts w:ascii="宋体" w:hAnsi="宋体" w:eastAsia="宋体" w:cs="Times New Roman"/>
                <w:color w:val="auto"/>
              </w:rPr>
            </w:pPr>
            <w:r>
              <w:rPr>
                <w:rFonts w:ascii="宋体" w:hAnsi="宋体" w:eastAsia="宋体" w:cs="Times New Roman"/>
                <w:color w:val="auto"/>
              </w:rPr>
              <w:t>87</w:t>
            </w:r>
          </w:p>
        </w:tc>
        <w:tc>
          <w:tcPr>
            <w:tcW w:w="1403" w:type="dxa"/>
            <w:tcBorders>
              <w:tl2br w:val="nil"/>
              <w:tr2bl w:val="nil"/>
            </w:tcBorders>
            <w:vAlign w:val="center"/>
          </w:tcPr>
          <w:p w14:paraId="52001AE4">
            <w:pPr>
              <w:jc w:val="center"/>
              <w:rPr>
                <w:rFonts w:ascii="宋体" w:hAnsi="宋体" w:eastAsia="宋体" w:cs="Times New Roman"/>
                <w:color w:val="auto"/>
              </w:rPr>
            </w:pPr>
            <w:r>
              <w:rPr>
                <w:rFonts w:ascii="宋体" w:hAnsi="宋体" w:eastAsia="宋体" w:cs="Times New Roman"/>
                <w:color w:val="auto"/>
              </w:rPr>
              <w:t>87.1213</w:t>
            </w:r>
          </w:p>
        </w:tc>
        <w:tc>
          <w:tcPr>
            <w:tcW w:w="836" w:type="dxa"/>
            <w:tcBorders>
              <w:tl2br w:val="nil"/>
              <w:tr2bl w:val="nil"/>
            </w:tcBorders>
            <w:vAlign w:val="center"/>
          </w:tcPr>
          <w:p w14:paraId="6914801B">
            <w:pPr>
              <w:jc w:val="center"/>
              <w:rPr>
                <w:rFonts w:ascii="宋体" w:hAnsi="宋体" w:eastAsia="宋体" w:cs="Times New Roman"/>
                <w:color w:val="auto"/>
              </w:rPr>
            </w:pPr>
            <w:r>
              <w:rPr>
                <w:rFonts w:ascii="宋体" w:hAnsi="宋体" w:eastAsia="宋体" w:cs="Times New Roman"/>
                <w:color w:val="auto"/>
              </w:rPr>
              <w:t>58.081</w:t>
            </w:r>
          </w:p>
        </w:tc>
        <w:tc>
          <w:tcPr>
            <w:tcW w:w="830" w:type="dxa"/>
            <w:tcBorders>
              <w:tl2br w:val="nil"/>
              <w:tr2bl w:val="nil"/>
            </w:tcBorders>
            <w:vAlign w:val="center"/>
          </w:tcPr>
          <w:p w14:paraId="52837F7F">
            <w:pPr>
              <w:jc w:val="center"/>
              <w:rPr>
                <w:rFonts w:ascii="宋体" w:hAnsi="宋体" w:eastAsia="宋体" w:cs="Times New Roman"/>
                <w:color w:val="auto"/>
              </w:rPr>
            </w:pPr>
            <w:r>
              <w:rPr>
                <w:rFonts w:ascii="宋体" w:hAnsi="宋体" w:eastAsia="宋体" w:cs="Times New Roman"/>
                <w:color w:val="auto"/>
              </w:rPr>
              <w:t>达标</w:t>
            </w:r>
          </w:p>
        </w:tc>
      </w:tr>
      <w:tr w14:paraId="71FA9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52C99E7D">
            <w:pPr>
              <w:jc w:val="center"/>
              <w:rPr>
                <w:rFonts w:ascii="宋体" w:hAnsi="宋体" w:eastAsia="宋体" w:cs="Times New Roman"/>
                <w:color w:val="auto"/>
              </w:rPr>
            </w:pPr>
          </w:p>
        </w:tc>
        <w:tc>
          <w:tcPr>
            <w:tcW w:w="1430" w:type="dxa"/>
            <w:tcBorders>
              <w:tl2br w:val="nil"/>
              <w:tr2bl w:val="nil"/>
            </w:tcBorders>
            <w:vAlign w:val="center"/>
          </w:tcPr>
          <w:p w14:paraId="1BD1FDCD">
            <w:pPr>
              <w:jc w:val="center"/>
              <w:rPr>
                <w:rFonts w:ascii="宋体" w:hAnsi="宋体" w:eastAsia="宋体" w:cs="Times New Roman"/>
                <w:color w:val="auto"/>
              </w:rPr>
            </w:pPr>
            <w:r>
              <w:rPr>
                <w:rFonts w:ascii="宋体" w:hAnsi="宋体" w:eastAsia="宋体" w:cs="Times New Roman"/>
                <w:color w:val="auto"/>
              </w:rPr>
              <w:t xml:space="preserve"> 吴家围子</w:t>
            </w:r>
          </w:p>
        </w:tc>
        <w:tc>
          <w:tcPr>
            <w:tcW w:w="810" w:type="dxa"/>
            <w:vMerge w:val="restart"/>
            <w:tcBorders>
              <w:top w:val="single" w:color="auto" w:sz="4" w:space="0"/>
              <w:tl2br w:val="nil"/>
              <w:tr2bl w:val="nil"/>
            </w:tcBorders>
            <w:vAlign w:val="center"/>
          </w:tcPr>
          <w:p w14:paraId="62025386">
            <w:pPr>
              <w:jc w:val="center"/>
              <w:rPr>
                <w:rFonts w:ascii="宋体" w:hAnsi="宋体" w:eastAsia="宋体" w:cs="Times New Roman"/>
                <w:color w:val="auto"/>
              </w:rPr>
            </w:pPr>
            <w:r>
              <w:rPr>
                <w:rFonts w:ascii="宋体" w:hAnsi="宋体" w:eastAsia="宋体" w:cs="Times New Roman"/>
                <w:color w:val="auto"/>
              </w:rPr>
              <w:t>年平均</w:t>
            </w:r>
          </w:p>
        </w:tc>
        <w:tc>
          <w:tcPr>
            <w:tcW w:w="1006" w:type="dxa"/>
            <w:tcBorders>
              <w:tl2br w:val="nil"/>
              <w:tr2bl w:val="nil"/>
            </w:tcBorders>
            <w:vAlign w:val="center"/>
          </w:tcPr>
          <w:p w14:paraId="0E4B2269">
            <w:pPr>
              <w:jc w:val="center"/>
              <w:rPr>
                <w:rFonts w:ascii="宋体" w:hAnsi="宋体" w:eastAsia="宋体" w:cs="Times New Roman"/>
                <w:color w:val="auto"/>
              </w:rPr>
            </w:pPr>
            <w:r>
              <w:rPr>
                <w:rFonts w:ascii="宋体" w:hAnsi="宋体" w:eastAsia="宋体" w:cs="Times New Roman"/>
                <w:color w:val="auto"/>
              </w:rPr>
              <w:t xml:space="preserve"> 0.00330852</w:t>
            </w:r>
          </w:p>
        </w:tc>
        <w:tc>
          <w:tcPr>
            <w:tcW w:w="794" w:type="dxa"/>
            <w:tcBorders>
              <w:tl2br w:val="nil"/>
              <w:tr2bl w:val="nil"/>
            </w:tcBorders>
            <w:vAlign w:val="center"/>
          </w:tcPr>
          <w:p w14:paraId="7373CABE">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262" w:type="dxa"/>
            <w:tcBorders>
              <w:tl2br w:val="nil"/>
              <w:tr2bl w:val="nil"/>
            </w:tcBorders>
            <w:vAlign w:val="center"/>
          </w:tcPr>
          <w:p w14:paraId="3C35C87F">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76597225">
            <w:pPr>
              <w:jc w:val="right"/>
              <w:textAlignment w:val="center"/>
              <w:rPr>
                <w:rFonts w:ascii="宋体" w:hAnsi="宋体" w:eastAsia="宋体" w:cs="Times New Roman"/>
                <w:color w:val="auto"/>
              </w:rPr>
            </w:pPr>
            <w:r>
              <w:rPr>
                <w:rFonts w:ascii="宋体" w:hAnsi="宋体" w:eastAsia="宋体" w:cs="Times New Roman"/>
                <w:color w:val="auto"/>
                <w:lang w:bidi="ar"/>
              </w:rPr>
              <w:t>39.0033</w:t>
            </w:r>
          </w:p>
        </w:tc>
        <w:tc>
          <w:tcPr>
            <w:tcW w:w="836" w:type="dxa"/>
            <w:tcBorders>
              <w:tl2br w:val="nil"/>
              <w:tr2bl w:val="nil"/>
            </w:tcBorders>
            <w:vAlign w:val="center"/>
          </w:tcPr>
          <w:p w14:paraId="607CF69E">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55.719 </w:t>
            </w:r>
          </w:p>
        </w:tc>
        <w:tc>
          <w:tcPr>
            <w:tcW w:w="830" w:type="dxa"/>
            <w:tcBorders>
              <w:tl2br w:val="nil"/>
              <w:tr2bl w:val="nil"/>
            </w:tcBorders>
            <w:vAlign w:val="center"/>
          </w:tcPr>
          <w:p w14:paraId="350DEAEF">
            <w:pPr>
              <w:jc w:val="center"/>
              <w:rPr>
                <w:rFonts w:ascii="宋体" w:hAnsi="宋体" w:eastAsia="宋体" w:cs="Times New Roman"/>
                <w:color w:val="auto"/>
              </w:rPr>
            </w:pPr>
            <w:r>
              <w:rPr>
                <w:rFonts w:ascii="宋体" w:hAnsi="宋体" w:eastAsia="宋体" w:cs="Times New Roman"/>
                <w:color w:val="auto"/>
              </w:rPr>
              <w:t>达标</w:t>
            </w:r>
          </w:p>
        </w:tc>
      </w:tr>
      <w:tr w14:paraId="035CF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36660276">
            <w:pPr>
              <w:jc w:val="center"/>
              <w:rPr>
                <w:rFonts w:ascii="宋体" w:hAnsi="宋体" w:eastAsia="宋体" w:cs="Times New Roman"/>
                <w:color w:val="auto"/>
              </w:rPr>
            </w:pPr>
          </w:p>
        </w:tc>
        <w:tc>
          <w:tcPr>
            <w:tcW w:w="1430" w:type="dxa"/>
            <w:tcBorders>
              <w:tl2br w:val="nil"/>
              <w:tr2bl w:val="nil"/>
            </w:tcBorders>
            <w:vAlign w:val="center"/>
          </w:tcPr>
          <w:p w14:paraId="02792D48">
            <w:pPr>
              <w:jc w:val="center"/>
              <w:rPr>
                <w:rFonts w:ascii="宋体" w:hAnsi="宋体" w:eastAsia="宋体" w:cs="Times New Roman"/>
                <w:color w:val="auto"/>
              </w:rPr>
            </w:pPr>
            <w:r>
              <w:rPr>
                <w:rFonts w:ascii="宋体" w:hAnsi="宋体" w:eastAsia="宋体" w:cs="Times New Roman"/>
                <w:color w:val="auto"/>
              </w:rPr>
              <w:t>李彦和屯</w:t>
            </w:r>
          </w:p>
        </w:tc>
        <w:tc>
          <w:tcPr>
            <w:tcW w:w="810" w:type="dxa"/>
            <w:vMerge w:val="continue"/>
            <w:tcBorders>
              <w:tl2br w:val="nil"/>
              <w:tr2bl w:val="nil"/>
            </w:tcBorders>
            <w:vAlign w:val="center"/>
          </w:tcPr>
          <w:p w14:paraId="7DCAD069">
            <w:pPr>
              <w:jc w:val="center"/>
              <w:rPr>
                <w:rFonts w:ascii="宋体" w:hAnsi="宋体" w:eastAsia="宋体" w:cs="Times New Roman"/>
                <w:color w:val="auto"/>
              </w:rPr>
            </w:pPr>
          </w:p>
        </w:tc>
        <w:tc>
          <w:tcPr>
            <w:tcW w:w="1006" w:type="dxa"/>
            <w:tcBorders>
              <w:tl2br w:val="nil"/>
              <w:tr2bl w:val="nil"/>
            </w:tcBorders>
            <w:vAlign w:val="center"/>
          </w:tcPr>
          <w:p w14:paraId="68AA4142">
            <w:pPr>
              <w:jc w:val="center"/>
              <w:rPr>
                <w:rFonts w:ascii="宋体" w:hAnsi="宋体" w:eastAsia="宋体" w:cs="Times New Roman"/>
                <w:color w:val="auto"/>
              </w:rPr>
            </w:pPr>
            <w:r>
              <w:rPr>
                <w:rFonts w:ascii="宋体" w:hAnsi="宋体" w:eastAsia="宋体" w:cs="Times New Roman"/>
                <w:color w:val="auto"/>
              </w:rPr>
              <w:t>0.00791691</w:t>
            </w:r>
          </w:p>
        </w:tc>
        <w:tc>
          <w:tcPr>
            <w:tcW w:w="794" w:type="dxa"/>
            <w:tcBorders>
              <w:tl2br w:val="nil"/>
              <w:tr2bl w:val="nil"/>
            </w:tcBorders>
            <w:vAlign w:val="center"/>
          </w:tcPr>
          <w:p w14:paraId="66966E25">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0.011 </w:t>
            </w:r>
          </w:p>
        </w:tc>
        <w:tc>
          <w:tcPr>
            <w:tcW w:w="1262" w:type="dxa"/>
            <w:tcBorders>
              <w:tl2br w:val="nil"/>
              <w:tr2bl w:val="nil"/>
            </w:tcBorders>
            <w:vAlign w:val="center"/>
          </w:tcPr>
          <w:p w14:paraId="340C743C">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5CD3DFC3">
            <w:pPr>
              <w:jc w:val="right"/>
              <w:textAlignment w:val="center"/>
              <w:rPr>
                <w:rFonts w:ascii="宋体" w:hAnsi="宋体" w:eastAsia="宋体" w:cs="Times New Roman"/>
                <w:color w:val="auto"/>
              </w:rPr>
            </w:pPr>
            <w:r>
              <w:rPr>
                <w:rFonts w:ascii="宋体" w:hAnsi="宋体" w:eastAsia="宋体" w:cs="Times New Roman"/>
                <w:color w:val="auto"/>
                <w:lang w:bidi="ar"/>
              </w:rPr>
              <w:t>39.0079</w:t>
            </w:r>
          </w:p>
        </w:tc>
        <w:tc>
          <w:tcPr>
            <w:tcW w:w="836" w:type="dxa"/>
            <w:tcBorders>
              <w:tl2br w:val="nil"/>
              <w:tr2bl w:val="nil"/>
            </w:tcBorders>
            <w:vAlign w:val="center"/>
          </w:tcPr>
          <w:p w14:paraId="473C1DFF">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55.726 </w:t>
            </w:r>
          </w:p>
        </w:tc>
        <w:tc>
          <w:tcPr>
            <w:tcW w:w="830" w:type="dxa"/>
            <w:tcBorders>
              <w:tl2br w:val="nil"/>
              <w:tr2bl w:val="nil"/>
            </w:tcBorders>
            <w:vAlign w:val="center"/>
          </w:tcPr>
          <w:p w14:paraId="68579787">
            <w:pPr>
              <w:jc w:val="center"/>
              <w:rPr>
                <w:rFonts w:ascii="宋体" w:hAnsi="宋体" w:eastAsia="宋体" w:cs="Times New Roman"/>
                <w:color w:val="auto"/>
              </w:rPr>
            </w:pPr>
            <w:r>
              <w:rPr>
                <w:rFonts w:ascii="宋体" w:hAnsi="宋体" w:eastAsia="宋体" w:cs="Times New Roman"/>
                <w:color w:val="auto"/>
              </w:rPr>
              <w:t>达标</w:t>
            </w:r>
          </w:p>
        </w:tc>
      </w:tr>
      <w:tr w14:paraId="05DC4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1FCA5E82">
            <w:pPr>
              <w:jc w:val="center"/>
              <w:rPr>
                <w:rFonts w:ascii="宋体" w:hAnsi="宋体" w:eastAsia="宋体" w:cs="Times New Roman"/>
                <w:color w:val="auto"/>
              </w:rPr>
            </w:pPr>
          </w:p>
        </w:tc>
        <w:tc>
          <w:tcPr>
            <w:tcW w:w="1430" w:type="dxa"/>
            <w:tcBorders>
              <w:tl2br w:val="nil"/>
              <w:tr2bl w:val="nil"/>
            </w:tcBorders>
            <w:vAlign w:val="center"/>
          </w:tcPr>
          <w:p w14:paraId="319865B6">
            <w:pPr>
              <w:jc w:val="center"/>
              <w:rPr>
                <w:rFonts w:ascii="宋体" w:hAnsi="宋体" w:eastAsia="宋体" w:cs="Times New Roman"/>
                <w:color w:val="auto"/>
              </w:rPr>
            </w:pPr>
            <w:r>
              <w:rPr>
                <w:rFonts w:ascii="宋体" w:hAnsi="宋体" w:eastAsia="宋体" w:cs="Times New Roman"/>
                <w:color w:val="auto"/>
              </w:rPr>
              <w:t>华南屯</w:t>
            </w:r>
          </w:p>
        </w:tc>
        <w:tc>
          <w:tcPr>
            <w:tcW w:w="810" w:type="dxa"/>
            <w:vMerge w:val="continue"/>
            <w:tcBorders>
              <w:tl2br w:val="nil"/>
              <w:tr2bl w:val="nil"/>
            </w:tcBorders>
            <w:vAlign w:val="center"/>
          </w:tcPr>
          <w:p w14:paraId="3E82D1B5">
            <w:pPr>
              <w:jc w:val="center"/>
              <w:rPr>
                <w:rFonts w:ascii="宋体" w:hAnsi="宋体" w:eastAsia="宋体" w:cs="Times New Roman"/>
                <w:color w:val="auto"/>
              </w:rPr>
            </w:pPr>
          </w:p>
        </w:tc>
        <w:tc>
          <w:tcPr>
            <w:tcW w:w="1006" w:type="dxa"/>
            <w:tcBorders>
              <w:tl2br w:val="nil"/>
              <w:tr2bl w:val="nil"/>
            </w:tcBorders>
            <w:vAlign w:val="center"/>
          </w:tcPr>
          <w:p w14:paraId="3BB3D762">
            <w:pPr>
              <w:jc w:val="center"/>
              <w:rPr>
                <w:rFonts w:ascii="宋体" w:hAnsi="宋体" w:eastAsia="宋体" w:cs="Times New Roman"/>
                <w:color w:val="auto"/>
              </w:rPr>
            </w:pPr>
            <w:r>
              <w:rPr>
                <w:rFonts w:ascii="宋体" w:hAnsi="宋体" w:eastAsia="宋体" w:cs="Times New Roman"/>
                <w:color w:val="auto"/>
              </w:rPr>
              <w:t>0.00814851</w:t>
            </w:r>
          </w:p>
        </w:tc>
        <w:tc>
          <w:tcPr>
            <w:tcW w:w="794" w:type="dxa"/>
            <w:tcBorders>
              <w:tl2br w:val="nil"/>
              <w:tr2bl w:val="nil"/>
            </w:tcBorders>
            <w:vAlign w:val="center"/>
          </w:tcPr>
          <w:p w14:paraId="7D5AA124">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0.012 </w:t>
            </w:r>
          </w:p>
        </w:tc>
        <w:tc>
          <w:tcPr>
            <w:tcW w:w="1262" w:type="dxa"/>
            <w:tcBorders>
              <w:tl2br w:val="nil"/>
              <w:tr2bl w:val="nil"/>
            </w:tcBorders>
            <w:vAlign w:val="center"/>
          </w:tcPr>
          <w:p w14:paraId="18E4DA6A">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1E9BE38F">
            <w:pPr>
              <w:jc w:val="right"/>
              <w:textAlignment w:val="center"/>
              <w:rPr>
                <w:rFonts w:ascii="宋体" w:hAnsi="宋体" w:eastAsia="宋体" w:cs="Times New Roman"/>
                <w:color w:val="auto"/>
              </w:rPr>
            </w:pPr>
            <w:r>
              <w:rPr>
                <w:rFonts w:ascii="宋体" w:hAnsi="宋体" w:eastAsia="宋体" w:cs="Times New Roman"/>
                <w:color w:val="auto"/>
                <w:lang w:bidi="ar"/>
              </w:rPr>
              <w:t>39.0081</w:t>
            </w:r>
          </w:p>
        </w:tc>
        <w:tc>
          <w:tcPr>
            <w:tcW w:w="836" w:type="dxa"/>
            <w:tcBorders>
              <w:tl2br w:val="nil"/>
              <w:tr2bl w:val="nil"/>
            </w:tcBorders>
            <w:vAlign w:val="center"/>
          </w:tcPr>
          <w:p w14:paraId="5D75B0A0">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55.726 </w:t>
            </w:r>
          </w:p>
        </w:tc>
        <w:tc>
          <w:tcPr>
            <w:tcW w:w="830" w:type="dxa"/>
            <w:tcBorders>
              <w:tl2br w:val="nil"/>
              <w:tr2bl w:val="nil"/>
            </w:tcBorders>
            <w:vAlign w:val="center"/>
          </w:tcPr>
          <w:p w14:paraId="0705D580">
            <w:pPr>
              <w:jc w:val="center"/>
              <w:rPr>
                <w:rFonts w:ascii="宋体" w:hAnsi="宋体" w:eastAsia="宋体" w:cs="Times New Roman"/>
                <w:color w:val="auto"/>
              </w:rPr>
            </w:pPr>
            <w:r>
              <w:rPr>
                <w:rFonts w:ascii="宋体" w:hAnsi="宋体" w:eastAsia="宋体" w:cs="Times New Roman"/>
                <w:color w:val="auto"/>
              </w:rPr>
              <w:t>达标</w:t>
            </w:r>
          </w:p>
        </w:tc>
      </w:tr>
      <w:tr w14:paraId="39003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6FAE8F38">
            <w:pPr>
              <w:jc w:val="center"/>
              <w:rPr>
                <w:rFonts w:ascii="宋体" w:hAnsi="宋体" w:eastAsia="宋体" w:cs="Times New Roman"/>
                <w:color w:val="auto"/>
              </w:rPr>
            </w:pPr>
          </w:p>
        </w:tc>
        <w:tc>
          <w:tcPr>
            <w:tcW w:w="1430" w:type="dxa"/>
            <w:tcBorders>
              <w:tl2br w:val="nil"/>
              <w:tr2bl w:val="nil"/>
            </w:tcBorders>
            <w:vAlign w:val="center"/>
          </w:tcPr>
          <w:p w14:paraId="16B956E0">
            <w:pPr>
              <w:jc w:val="center"/>
              <w:rPr>
                <w:rFonts w:ascii="宋体" w:hAnsi="宋体" w:eastAsia="宋体" w:cs="Times New Roman"/>
                <w:color w:val="auto"/>
              </w:rPr>
            </w:pPr>
            <w:r>
              <w:rPr>
                <w:rFonts w:ascii="宋体" w:hAnsi="宋体" w:eastAsia="宋体" w:cs="Times New Roman"/>
                <w:color w:val="auto"/>
              </w:rPr>
              <w:t>小欧力马屯</w:t>
            </w:r>
          </w:p>
        </w:tc>
        <w:tc>
          <w:tcPr>
            <w:tcW w:w="810" w:type="dxa"/>
            <w:vMerge w:val="continue"/>
            <w:tcBorders>
              <w:tl2br w:val="nil"/>
              <w:tr2bl w:val="nil"/>
            </w:tcBorders>
            <w:vAlign w:val="center"/>
          </w:tcPr>
          <w:p w14:paraId="5F4688D8">
            <w:pPr>
              <w:jc w:val="center"/>
              <w:rPr>
                <w:rFonts w:ascii="宋体" w:hAnsi="宋体" w:eastAsia="宋体" w:cs="Times New Roman"/>
                <w:color w:val="auto"/>
              </w:rPr>
            </w:pPr>
          </w:p>
        </w:tc>
        <w:tc>
          <w:tcPr>
            <w:tcW w:w="1006" w:type="dxa"/>
            <w:tcBorders>
              <w:tl2br w:val="nil"/>
              <w:tr2bl w:val="nil"/>
            </w:tcBorders>
            <w:vAlign w:val="center"/>
          </w:tcPr>
          <w:p w14:paraId="2FFCAC86">
            <w:pPr>
              <w:jc w:val="center"/>
              <w:rPr>
                <w:rFonts w:ascii="宋体" w:hAnsi="宋体" w:eastAsia="宋体" w:cs="Times New Roman"/>
                <w:color w:val="auto"/>
              </w:rPr>
            </w:pPr>
            <w:r>
              <w:rPr>
                <w:rFonts w:ascii="宋体" w:hAnsi="宋体" w:eastAsia="宋体" w:cs="Times New Roman"/>
                <w:color w:val="auto"/>
              </w:rPr>
              <w:t>0.00990277</w:t>
            </w:r>
          </w:p>
        </w:tc>
        <w:tc>
          <w:tcPr>
            <w:tcW w:w="794" w:type="dxa"/>
            <w:tcBorders>
              <w:tl2br w:val="nil"/>
              <w:tr2bl w:val="nil"/>
            </w:tcBorders>
            <w:vAlign w:val="center"/>
          </w:tcPr>
          <w:p w14:paraId="0B73534B">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0.014 </w:t>
            </w:r>
          </w:p>
        </w:tc>
        <w:tc>
          <w:tcPr>
            <w:tcW w:w="1262" w:type="dxa"/>
            <w:tcBorders>
              <w:tl2br w:val="nil"/>
              <w:tr2bl w:val="nil"/>
            </w:tcBorders>
            <w:vAlign w:val="center"/>
          </w:tcPr>
          <w:p w14:paraId="624F2A14">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120E2632">
            <w:pPr>
              <w:jc w:val="right"/>
              <w:textAlignment w:val="center"/>
              <w:rPr>
                <w:rFonts w:ascii="宋体" w:hAnsi="宋体" w:eastAsia="宋体" w:cs="Times New Roman"/>
                <w:color w:val="auto"/>
              </w:rPr>
            </w:pPr>
            <w:r>
              <w:rPr>
                <w:rFonts w:ascii="宋体" w:hAnsi="宋体" w:eastAsia="宋体" w:cs="Times New Roman"/>
                <w:color w:val="auto"/>
                <w:lang w:bidi="ar"/>
              </w:rPr>
              <w:t>39.0099</w:t>
            </w:r>
          </w:p>
        </w:tc>
        <w:tc>
          <w:tcPr>
            <w:tcW w:w="836" w:type="dxa"/>
            <w:tcBorders>
              <w:tl2br w:val="nil"/>
              <w:tr2bl w:val="nil"/>
            </w:tcBorders>
            <w:vAlign w:val="center"/>
          </w:tcPr>
          <w:p w14:paraId="43DC1957">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55.728 </w:t>
            </w:r>
          </w:p>
        </w:tc>
        <w:tc>
          <w:tcPr>
            <w:tcW w:w="830" w:type="dxa"/>
            <w:tcBorders>
              <w:tl2br w:val="nil"/>
              <w:tr2bl w:val="nil"/>
            </w:tcBorders>
            <w:vAlign w:val="center"/>
          </w:tcPr>
          <w:p w14:paraId="6DC4FBE4">
            <w:pPr>
              <w:jc w:val="center"/>
              <w:rPr>
                <w:rFonts w:ascii="宋体" w:hAnsi="宋体" w:eastAsia="宋体" w:cs="Times New Roman"/>
                <w:color w:val="auto"/>
              </w:rPr>
            </w:pPr>
            <w:r>
              <w:rPr>
                <w:rFonts w:ascii="宋体" w:hAnsi="宋体" w:eastAsia="宋体" w:cs="Times New Roman"/>
                <w:color w:val="auto"/>
              </w:rPr>
              <w:t>达标</w:t>
            </w:r>
          </w:p>
        </w:tc>
      </w:tr>
      <w:tr w14:paraId="10DD5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589CCF5A">
            <w:pPr>
              <w:jc w:val="center"/>
              <w:rPr>
                <w:rFonts w:ascii="宋体" w:hAnsi="宋体" w:eastAsia="宋体" w:cs="Times New Roman"/>
                <w:color w:val="auto"/>
              </w:rPr>
            </w:pPr>
          </w:p>
        </w:tc>
        <w:tc>
          <w:tcPr>
            <w:tcW w:w="1430" w:type="dxa"/>
            <w:tcBorders>
              <w:tl2br w:val="nil"/>
              <w:tr2bl w:val="nil"/>
            </w:tcBorders>
            <w:vAlign w:val="center"/>
          </w:tcPr>
          <w:p w14:paraId="12CB8F28">
            <w:pPr>
              <w:jc w:val="center"/>
              <w:rPr>
                <w:rFonts w:ascii="宋体" w:hAnsi="宋体" w:eastAsia="宋体" w:cs="Times New Roman"/>
                <w:color w:val="auto"/>
              </w:rPr>
            </w:pPr>
            <w:r>
              <w:rPr>
                <w:rFonts w:ascii="宋体" w:hAnsi="宋体" w:eastAsia="宋体" w:cs="Times New Roman"/>
                <w:color w:val="auto"/>
              </w:rPr>
              <w:t>立功村</w:t>
            </w:r>
          </w:p>
        </w:tc>
        <w:tc>
          <w:tcPr>
            <w:tcW w:w="810" w:type="dxa"/>
            <w:vMerge w:val="continue"/>
            <w:tcBorders>
              <w:tl2br w:val="nil"/>
              <w:tr2bl w:val="nil"/>
            </w:tcBorders>
            <w:vAlign w:val="center"/>
          </w:tcPr>
          <w:p w14:paraId="263FB4BE">
            <w:pPr>
              <w:jc w:val="center"/>
              <w:rPr>
                <w:rFonts w:ascii="宋体" w:hAnsi="宋体" w:eastAsia="宋体" w:cs="Times New Roman"/>
                <w:color w:val="auto"/>
              </w:rPr>
            </w:pPr>
          </w:p>
        </w:tc>
        <w:tc>
          <w:tcPr>
            <w:tcW w:w="1006" w:type="dxa"/>
            <w:tcBorders>
              <w:tl2br w:val="nil"/>
              <w:tr2bl w:val="nil"/>
            </w:tcBorders>
            <w:vAlign w:val="center"/>
          </w:tcPr>
          <w:p w14:paraId="7505B43D">
            <w:pPr>
              <w:jc w:val="center"/>
              <w:rPr>
                <w:rFonts w:ascii="宋体" w:hAnsi="宋体" w:eastAsia="宋体" w:cs="Times New Roman"/>
                <w:color w:val="auto"/>
              </w:rPr>
            </w:pPr>
            <w:r>
              <w:rPr>
                <w:rFonts w:ascii="宋体" w:hAnsi="宋体" w:eastAsia="宋体" w:cs="Times New Roman"/>
                <w:color w:val="auto"/>
              </w:rPr>
              <w:t>0.00625938</w:t>
            </w:r>
          </w:p>
        </w:tc>
        <w:tc>
          <w:tcPr>
            <w:tcW w:w="794" w:type="dxa"/>
            <w:tcBorders>
              <w:tl2br w:val="nil"/>
              <w:tr2bl w:val="nil"/>
            </w:tcBorders>
            <w:vAlign w:val="center"/>
          </w:tcPr>
          <w:p w14:paraId="76E0727B">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262" w:type="dxa"/>
            <w:tcBorders>
              <w:tl2br w:val="nil"/>
              <w:tr2bl w:val="nil"/>
            </w:tcBorders>
            <w:vAlign w:val="center"/>
          </w:tcPr>
          <w:p w14:paraId="1B94CF4C">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36E15EC4">
            <w:pPr>
              <w:jc w:val="right"/>
              <w:textAlignment w:val="center"/>
              <w:rPr>
                <w:rFonts w:ascii="宋体" w:hAnsi="宋体" w:eastAsia="宋体" w:cs="Times New Roman"/>
                <w:color w:val="auto"/>
              </w:rPr>
            </w:pPr>
            <w:r>
              <w:rPr>
                <w:rFonts w:ascii="宋体" w:hAnsi="宋体" w:eastAsia="宋体" w:cs="Times New Roman"/>
                <w:color w:val="auto"/>
                <w:lang w:bidi="ar"/>
              </w:rPr>
              <w:t>39.0063</w:t>
            </w:r>
          </w:p>
        </w:tc>
        <w:tc>
          <w:tcPr>
            <w:tcW w:w="836" w:type="dxa"/>
            <w:tcBorders>
              <w:tl2br w:val="nil"/>
              <w:tr2bl w:val="nil"/>
            </w:tcBorders>
            <w:vAlign w:val="center"/>
          </w:tcPr>
          <w:p w14:paraId="7EFD5BF7">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55.723 </w:t>
            </w:r>
          </w:p>
        </w:tc>
        <w:tc>
          <w:tcPr>
            <w:tcW w:w="830" w:type="dxa"/>
            <w:tcBorders>
              <w:tl2br w:val="nil"/>
              <w:tr2bl w:val="nil"/>
            </w:tcBorders>
            <w:vAlign w:val="center"/>
          </w:tcPr>
          <w:p w14:paraId="58BE1FF8">
            <w:pPr>
              <w:jc w:val="center"/>
              <w:rPr>
                <w:rFonts w:ascii="宋体" w:hAnsi="宋体" w:eastAsia="宋体" w:cs="Times New Roman"/>
                <w:color w:val="auto"/>
              </w:rPr>
            </w:pPr>
            <w:r>
              <w:rPr>
                <w:rFonts w:ascii="宋体" w:hAnsi="宋体" w:eastAsia="宋体" w:cs="Times New Roman"/>
                <w:color w:val="auto"/>
              </w:rPr>
              <w:t>达标</w:t>
            </w:r>
          </w:p>
        </w:tc>
      </w:tr>
      <w:tr w14:paraId="56634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163BB660">
            <w:pPr>
              <w:jc w:val="center"/>
              <w:rPr>
                <w:rFonts w:ascii="宋体" w:hAnsi="宋体" w:eastAsia="宋体" w:cs="Times New Roman"/>
                <w:color w:val="auto"/>
              </w:rPr>
            </w:pPr>
          </w:p>
        </w:tc>
        <w:tc>
          <w:tcPr>
            <w:tcW w:w="1430" w:type="dxa"/>
            <w:tcBorders>
              <w:tl2br w:val="nil"/>
              <w:tr2bl w:val="nil"/>
            </w:tcBorders>
            <w:vAlign w:val="center"/>
          </w:tcPr>
          <w:p w14:paraId="0BD03F72">
            <w:pPr>
              <w:jc w:val="center"/>
              <w:rPr>
                <w:rFonts w:ascii="宋体" w:hAnsi="宋体" w:eastAsia="宋体" w:cs="Times New Roman"/>
                <w:color w:val="auto"/>
              </w:rPr>
            </w:pPr>
            <w:r>
              <w:rPr>
                <w:rFonts w:ascii="宋体" w:hAnsi="宋体" w:eastAsia="宋体" w:cs="Times New Roman"/>
                <w:color w:val="auto"/>
              </w:rPr>
              <w:t>后欧力马屯</w:t>
            </w:r>
          </w:p>
        </w:tc>
        <w:tc>
          <w:tcPr>
            <w:tcW w:w="810" w:type="dxa"/>
            <w:vMerge w:val="continue"/>
            <w:tcBorders>
              <w:tl2br w:val="nil"/>
              <w:tr2bl w:val="nil"/>
            </w:tcBorders>
            <w:vAlign w:val="center"/>
          </w:tcPr>
          <w:p w14:paraId="4F1E9F3A">
            <w:pPr>
              <w:jc w:val="center"/>
              <w:rPr>
                <w:rFonts w:ascii="宋体" w:hAnsi="宋体" w:eastAsia="宋体" w:cs="Times New Roman"/>
                <w:color w:val="auto"/>
              </w:rPr>
            </w:pPr>
          </w:p>
        </w:tc>
        <w:tc>
          <w:tcPr>
            <w:tcW w:w="1006" w:type="dxa"/>
            <w:tcBorders>
              <w:tl2br w:val="nil"/>
              <w:tr2bl w:val="nil"/>
            </w:tcBorders>
            <w:vAlign w:val="center"/>
          </w:tcPr>
          <w:p w14:paraId="64CF515B">
            <w:pPr>
              <w:jc w:val="center"/>
              <w:rPr>
                <w:rFonts w:ascii="宋体" w:hAnsi="宋体" w:eastAsia="宋体" w:cs="Times New Roman"/>
                <w:color w:val="auto"/>
              </w:rPr>
            </w:pPr>
            <w:r>
              <w:rPr>
                <w:rFonts w:ascii="宋体" w:hAnsi="宋体" w:eastAsia="宋体" w:cs="Times New Roman"/>
                <w:color w:val="auto"/>
              </w:rPr>
              <w:t>0.0216902</w:t>
            </w:r>
          </w:p>
        </w:tc>
        <w:tc>
          <w:tcPr>
            <w:tcW w:w="794" w:type="dxa"/>
            <w:tcBorders>
              <w:tl2br w:val="nil"/>
              <w:tr2bl w:val="nil"/>
            </w:tcBorders>
            <w:vAlign w:val="center"/>
          </w:tcPr>
          <w:p w14:paraId="0070EF5F">
            <w:pPr>
              <w:jc w:val="right"/>
              <w:textAlignment w:val="center"/>
              <w:rPr>
                <w:rFonts w:ascii="宋体" w:hAnsi="宋体" w:eastAsia="宋体" w:cs="Times New Roman"/>
                <w:color w:val="auto"/>
              </w:rPr>
            </w:pPr>
            <w:r>
              <w:rPr>
                <w:rFonts w:ascii="宋体" w:hAnsi="宋体" w:eastAsia="宋体" w:cs="Times New Roman"/>
                <w:color w:val="auto"/>
                <w:lang w:bidi="ar"/>
              </w:rPr>
              <w:t xml:space="preserve">0.031 </w:t>
            </w:r>
          </w:p>
        </w:tc>
        <w:tc>
          <w:tcPr>
            <w:tcW w:w="1262" w:type="dxa"/>
            <w:tcBorders>
              <w:tl2br w:val="nil"/>
              <w:tr2bl w:val="nil"/>
            </w:tcBorders>
            <w:vAlign w:val="center"/>
          </w:tcPr>
          <w:p w14:paraId="079BC4CA">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7DD9327A">
            <w:pPr>
              <w:jc w:val="right"/>
              <w:textAlignment w:val="center"/>
              <w:rPr>
                <w:rFonts w:ascii="宋体" w:hAnsi="宋体" w:eastAsia="宋体" w:cs="Times New Roman"/>
                <w:color w:val="auto"/>
              </w:rPr>
            </w:pPr>
            <w:r>
              <w:rPr>
                <w:rFonts w:ascii="宋体" w:hAnsi="宋体" w:eastAsia="宋体" w:cs="Times New Roman"/>
                <w:color w:val="auto"/>
                <w:lang w:bidi="ar"/>
              </w:rPr>
              <w:t>39.0217</w:t>
            </w:r>
          </w:p>
        </w:tc>
        <w:tc>
          <w:tcPr>
            <w:tcW w:w="836" w:type="dxa"/>
            <w:tcBorders>
              <w:tl2br w:val="nil"/>
              <w:tr2bl w:val="nil"/>
            </w:tcBorders>
            <w:vAlign w:val="center"/>
          </w:tcPr>
          <w:p w14:paraId="10726766">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55.745 </w:t>
            </w:r>
          </w:p>
        </w:tc>
        <w:tc>
          <w:tcPr>
            <w:tcW w:w="830" w:type="dxa"/>
            <w:tcBorders>
              <w:tl2br w:val="nil"/>
              <w:tr2bl w:val="nil"/>
            </w:tcBorders>
            <w:vAlign w:val="center"/>
          </w:tcPr>
          <w:p w14:paraId="0FF573AC">
            <w:pPr>
              <w:jc w:val="center"/>
              <w:rPr>
                <w:rFonts w:ascii="宋体" w:hAnsi="宋体" w:eastAsia="宋体" w:cs="Times New Roman"/>
                <w:color w:val="auto"/>
              </w:rPr>
            </w:pPr>
            <w:r>
              <w:rPr>
                <w:rFonts w:ascii="宋体" w:hAnsi="宋体" w:eastAsia="宋体" w:cs="Times New Roman"/>
                <w:color w:val="auto"/>
              </w:rPr>
              <w:t>达标</w:t>
            </w:r>
          </w:p>
        </w:tc>
      </w:tr>
      <w:tr w14:paraId="0D35C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39F940F1">
            <w:pPr>
              <w:jc w:val="center"/>
              <w:rPr>
                <w:rFonts w:ascii="宋体" w:hAnsi="宋体" w:eastAsia="宋体" w:cs="Times New Roman"/>
                <w:color w:val="auto"/>
              </w:rPr>
            </w:pPr>
          </w:p>
        </w:tc>
        <w:tc>
          <w:tcPr>
            <w:tcW w:w="1430" w:type="dxa"/>
            <w:tcBorders>
              <w:tl2br w:val="nil"/>
              <w:tr2bl w:val="nil"/>
            </w:tcBorders>
            <w:vAlign w:val="center"/>
          </w:tcPr>
          <w:p w14:paraId="2A3D421B">
            <w:pPr>
              <w:jc w:val="center"/>
              <w:rPr>
                <w:rFonts w:ascii="宋体" w:hAnsi="宋体" w:eastAsia="宋体" w:cs="Times New Roman"/>
                <w:color w:val="auto"/>
              </w:rPr>
            </w:pPr>
            <w:r>
              <w:rPr>
                <w:rFonts w:ascii="宋体" w:hAnsi="宋体" w:eastAsia="宋体" w:cs="Times New Roman"/>
                <w:color w:val="auto"/>
              </w:rPr>
              <w:t>王家园子屯</w:t>
            </w:r>
          </w:p>
        </w:tc>
        <w:tc>
          <w:tcPr>
            <w:tcW w:w="810" w:type="dxa"/>
            <w:vMerge w:val="continue"/>
            <w:tcBorders>
              <w:tl2br w:val="nil"/>
              <w:tr2bl w:val="nil"/>
            </w:tcBorders>
            <w:vAlign w:val="center"/>
          </w:tcPr>
          <w:p w14:paraId="0B1DD683">
            <w:pPr>
              <w:jc w:val="center"/>
              <w:rPr>
                <w:rFonts w:ascii="宋体" w:hAnsi="宋体" w:eastAsia="宋体" w:cs="Times New Roman"/>
                <w:color w:val="auto"/>
              </w:rPr>
            </w:pPr>
          </w:p>
        </w:tc>
        <w:tc>
          <w:tcPr>
            <w:tcW w:w="1006" w:type="dxa"/>
            <w:tcBorders>
              <w:tl2br w:val="nil"/>
              <w:tr2bl w:val="nil"/>
            </w:tcBorders>
            <w:vAlign w:val="center"/>
          </w:tcPr>
          <w:p w14:paraId="12BB04C2">
            <w:pPr>
              <w:jc w:val="center"/>
              <w:rPr>
                <w:rFonts w:ascii="宋体" w:hAnsi="宋体" w:eastAsia="宋体" w:cs="Times New Roman"/>
                <w:color w:val="auto"/>
              </w:rPr>
            </w:pPr>
            <w:r>
              <w:rPr>
                <w:rFonts w:ascii="宋体" w:hAnsi="宋体" w:eastAsia="宋体" w:cs="Times New Roman"/>
                <w:color w:val="auto"/>
              </w:rPr>
              <w:t>0.00977434</w:t>
            </w:r>
          </w:p>
        </w:tc>
        <w:tc>
          <w:tcPr>
            <w:tcW w:w="794" w:type="dxa"/>
            <w:tcBorders>
              <w:tl2br w:val="nil"/>
              <w:tr2bl w:val="nil"/>
            </w:tcBorders>
            <w:vAlign w:val="center"/>
          </w:tcPr>
          <w:p w14:paraId="2BB23D8D">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0.014 </w:t>
            </w:r>
          </w:p>
        </w:tc>
        <w:tc>
          <w:tcPr>
            <w:tcW w:w="1262" w:type="dxa"/>
            <w:tcBorders>
              <w:tl2br w:val="nil"/>
              <w:tr2bl w:val="nil"/>
            </w:tcBorders>
            <w:vAlign w:val="center"/>
          </w:tcPr>
          <w:p w14:paraId="6FF0111A">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67CD0C34">
            <w:pPr>
              <w:jc w:val="right"/>
              <w:textAlignment w:val="center"/>
              <w:rPr>
                <w:rFonts w:ascii="宋体" w:hAnsi="宋体" w:eastAsia="宋体" w:cs="Times New Roman"/>
                <w:color w:val="auto"/>
              </w:rPr>
            </w:pPr>
            <w:r>
              <w:rPr>
                <w:rFonts w:ascii="宋体" w:hAnsi="宋体" w:eastAsia="宋体" w:cs="Times New Roman"/>
                <w:color w:val="auto"/>
                <w:lang w:bidi="ar"/>
              </w:rPr>
              <w:t>39.0098</w:t>
            </w:r>
          </w:p>
        </w:tc>
        <w:tc>
          <w:tcPr>
            <w:tcW w:w="836" w:type="dxa"/>
            <w:tcBorders>
              <w:tl2br w:val="nil"/>
              <w:tr2bl w:val="nil"/>
            </w:tcBorders>
            <w:vAlign w:val="center"/>
          </w:tcPr>
          <w:p w14:paraId="405A072C">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55.728 </w:t>
            </w:r>
          </w:p>
        </w:tc>
        <w:tc>
          <w:tcPr>
            <w:tcW w:w="830" w:type="dxa"/>
            <w:tcBorders>
              <w:tl2br w:val="nil"/>
              <w:tr2bl w:val="nil"/>
            </w:tcBorders>
            <w:vAlign w:val="center"/>
          </w:tcPr>
          <w:p w14:paraId="58D20C7B">
            <w:pPr>
              <w:jc w:val="center"/>
              <w:rPr>
                <w:rFonts w:ascii="宋体" w:hAnsi="宋体" w:eastAsia="宋体" w:cs="Times New Roman"/>
                <w:color w:val="auto"/>
              </w:rPr>
            </w:pPr>
            <w:r>
              <w:rPr>
                <w:rFonts w:ascii="宋体" w:hAnsi="宋体" w:eastAsia="宋体" w:cs="Times New Roman"/>
                <w:color w:val="auto"/>
              </w:rPr>
              <w:t>达标</w:t>
            </w:r>
          </w:p>
        </w:tc>
      </w:tr>
      <w:tr w14:paraId="6AF73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624548B0">
            <w:pPr>
              <w:jc w:val="center"/>
              <w:rPr>
                <w:rFonts w:ascii="宋体" w:hAnsi="宋体" w:eastAsia="宋体" w:cs="Times New Roman"/>
                <w:color w:val="auto"/>
              </w:rPr>
            </w:pPr>
          </w:p>
        </w:tc>
        <w:tc>
          <w:tcPr>
            <w:tcW w:w="1430" w:type="dxa"/>
            <w:tcBorders>
              <w:tl2br w:val="nil"/>
              <w:tr2bl w:val="nil"/>
            </w:tcBorders>
            <w:vAlign w:val="center"/>
          </w:tcPr>
          <w:p w14:paraId="17027E1A">
            <w:pPr>
              <w:jc w:val="center"/>
              <w:rPr>
                <w:rFonts w:ascii="宋体" w:hAnsi="宋体" w:eastAsia="宋体" w:cs="Times New Roman"/>
                <w:color w:val="auto"/>
              </w:rPr>
            </w:pPr>
            <w:r>
              <w:rPr>
                <w:rFonts w:ascii="宋体" w:hAnsi="宋体" w:eastAsia="宋体" w:cs="Times New Roman"/>
                <w:color w:val="auto"/>
              </w:rPr>
              <w:t>和平乡</w:t>
            </w:r>
          </w:p>
        </w:tc>
        <w:tc>
          <w:tcPr>
            <w:tcW w:w="810" w:type="dxa"/>
            <w:vMerge w:val="continue"/>
            <w:tcBorders>
              <w:tl2br w:val="nil"/>
              <w:tr2bl w:val="nil"/>
            </w:tcBorders>
            <w:vAlign w:val="center"/>
          </w:tcPr>
          <w:p w14:paraId="55AC7014">
            <w:pPr>
              <w:jc w:val="center"/>
              <w:rPr>
                <w:rFonts w:ascii="宋体" w:hAnsi="宋体" w:eastAsia="宋体" w:cs="Times New Roman"/>
                <w:color w:val="auto"/>
              </w:rPr>
            </w:pPr>
          </w:p>
        </w:tc>
        <w:tc>
          <w:tcPr>
            <w:tcW w:w="1006" w:type="dxa"/>
            <w:tcBorders>
              <w:tl2br w:val="nil"/>
              <w:tr2bl w:val="nil"/>
            </w:tcBorders>
            <w:vAlign w:val="center"/>
          </w:tcPr>
          <w:p w14:paraId="535497CA">
            <w:pPr>
              <w:jc w:val="center"/>
              <w:rPr>
                <w:rFonts w:ascii="宋体" w:hAnsi="宋体" w:eastAsia="宋体" w:cs="Times New Roman"/>
                <w:color w:val="auto"/>
              </w:rPr>
            </w:pPr>
            <w:r>
              <w:rPr>
                <w:rFonts w:ascii="宋体" w:hAnsi="宋体" w:eastAsia="宋体" w:cs="Times New Roman"/>
                <w:color w:val="auto"/>
              </w:rPr>
              <w:t>0.003269</w:t>
            </w:r>
          </w:p>
        </w:tc>
        <w:tc>
          <w:tcPr>
            <w:tcW w:w="794" w:type="dxa"/>
            <w:tcBorders>
              <w:tl2br w:val="nil"/>
              <w:tr2bl w:val="nil"/>
            </w:tcBorders>
            <w:vAlign w:val="center"/>
          </w:tcPr>
          <w:p w14:paraId="6F500921">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262" w:type="dxa"/>
            <w:tcBorders>
              <w:tl2br w:val="nil"/>
              <w:tr2bl w:val="nil"/>
            </w:tcBorders>
            <w:vAlign w:val="center"/>
          </w:tcPr>
          <w:p w14:paraId="6C7B34A4">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4D9F68F2">
            <w:pPr>
              <w:jc w:val="right"/>
              <w:textAlignment w:val="center"/>
              <w:rPr>
                <w:rFonts w:ascii="宋体" w:hAnsi="宋体" w:eastAsia="宋体" w:cs="Times New Roman"/>
                <w:color w:val="auto"/>
              </w:rPr>
            </w:pPr>
            <w:r>
              <w:rPr>
                <w:rFonts w:ascii="宋体" w:hAnsi="宋体" w:eastAsia="宋体" w:cs="Times New Roman"/>
                <w:color w:val="auto"/>
                <w:lang w:bidi="ar"/>
              </w:rPr>
              <w:t>39.0033</w:t>
            </w:r>
          </w:p>
        </w:tc>
        <w:tc>
          <w:tcPr>
            <w:tcW w:w="836" w:type="dxa"/>
            <w:tcBorders>
              <w:tl2br w:val="nil"/>
              <w:tr2bl w:val="nil"/>
            </w:tcBorders>
            <w:vAlign w:val="center"/>
          </w:tcPr>
          <w:p w14:paraId="7789DF02">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55.719 </w:t>
            </w:r>
          </w:p>
        </w:tc>
        <w:tc>
          <w:tcPr>
            <w:tcW w:w="830" w:type="dxa"/>
            <w:tcBorders>
              <w:tl2br w:val="nil"/>
              <w:tr2bl w:val="nil"/>
            </w:tcBorders>
            <w:vAlign w:val="center"/>
          </w:tcPr>
          <w:p w14:paraId="7F3D3A6C">
            <w:pPr>
              <w:jc w:val="center"/>
              <w:rPr>
                <w:rFonts w:ascii="宋体" w:hAnsi="宋体" w:eastAsia="宋体" w:cs="Times New Roman"/>
                <w:color w:val="auto"/>
              </w:rPr>
            </w:pPr>
            <w:r>
              <w:rPr>
                <w:rFonts w:ascii="宋体" w:hAnsi="宋体" w:eastAsia="宋体" w:cs="Times New Roman"/>
                <w:color w:val="auto"/>
              </w:rPr>
              <w:t>达标</w:t>
            </w:r>
          </w:p>
        </w:tc>
      </w:tr>
      <w:tr w14:paraId="59429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289C4E33">
            <w:pPr>
              <w:jc w:val="center"/>
              <w:rPr>
                <w:rFonts w:ascii="宋体" w:hAnsi="宋体" w:eastAsia="宋体" w:cs="Times New Roman"/>
                <w:color w:val="auto"/>
              </w:rPr>
            </w:pPr>
          </w:p>
        </w:tc>
        <w:tc>
          <w:tcPr>
            <w:tcW w:w="1430" w:type="dxa"/>
            <w:tcBorders>
              <w:tl2br w:val="nil"/>
              <w:tr2bl w:val="nil"/>
            </w:tcBorders>
            <w:vAlign w:val="center"/>
          </w:tcPr>
          <w:p w14:paraId="0F70B101">
            <w:pPr>
              <w:jc w:val="center"/>
              <w:rPr>
                <w:rFonts w:ascii="宋体" w:hAnsi="宋体" w:eastAsia="宋体" w:cs="Times New Roman"/>
                <w:color w:val="auto"/>
              </w:rPr>
            </w:pPr>
            <w:r>
              <w:rPr>
                <w:rFonts w:ascii="宋体" w:hAnsi="宋体" w:eastAsia="宋体" w:cs="Times New Roman"/>
                <w:color w:val="auto"/>
              </w:rPr>
              <w:t>赵家围子屯</w:t>
            </w:r>
          </w:p>
        </w:tc>
        <w:tc>
          <w:tcPr>
            <w:tcW w:w="810" w:type="dxa"/>
            <w:vMerge w:val="continue"/>
            <w:tcBorders>
              <w:tl2br w:val="nil"/>
              <w:tr2bl w:val="nil"/>
            </w:tcBorders>
            <w:vAlign w:val="center"/>
          </w:tcPr>
          <w:p w14:paraId="714328DC">
            <w:pPr>
              <w:jc w:val="center"/>
              <w:rPr>
                <w:rFonts w:ascii="宋体" w:hAnsi="宋体" w:eastAsia="宋体" w:cs="Times New Roman"/>
                <w:color w:val="auto"/>
              </w:rPr>
            </w:pPr>
          </w:p>
        </w:tc>
        <w:tc>
          <w:tcPr>
            <w:tcW w:w="1006" w:type="dxa"/>
            <w:tcBorders>
              <w:tl2br w:val="nil"/>
              <w:tr2bl w:val="nil"/>
            </w:tcBorders>
            <w:vAlign w:val="center"/>
          </w:tcPr>
          <w:p w14:paraId="38837449">
            <w:pPr>
              <w:jc w:val="center"/>
              <w:rPr>
                <w:rFonts w:ascii="宋体" w:hAnsi="宋体" w:eastAsia="宋体" w:cs="Times New Roman"/>
                <w:color w:val="auto"/>
              </w:rPr>
            </w:pPr>
            <w:r>
              <w:rPr>
                <w:rFonts w:ascii="宋体" w:hAnsi="宋体" w:eastAsia="宋体" w:cs="Times New Roman"/>
                <w:color w:val="auto"/>
              </w:rPr>
              <w:t>0.00324508</w:t>
            </w:r>
          </w:p>
        </w:tc>
        <w:tc>
          <w:tcPr>
            <w:tcW w:w="794" w:type="dxa"/>
            <w:tcBorders>
              <w:tl2br w:val="nil"/>
              <w:tr2bl w:val="nil"/>
            </w:tcBorders>
            <w:vAlign w:val="center"/>
          </w:tcPr>
          <w:p w14:paraId="2610F1CF">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262" w:type="dxa"/>
            <w:tcBorders>
              <w:tl2br w:val="nil"/>
              <w:tr2bl w:val="nil"/>
            </w:tcBorders>
            <w:vAlign w:val="center"/>
          </w:tcPr>
          <w:p w14:paraId="73194B24">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2C64A615">
            <w:pPr>
              <w:jc w:val="right"/>
              <w:textAlignment w:val="center"/>
              <w:rPr>
                <w:rFonts w:ascii="宋体" w:hAnsi="宋体" w:eastAsia="宋体" w:cs="Times New Roman"/>
                <w:color w:val="auto"/>
              </w:rPr>
            </w:pPr>
            <w:r>
              <w:rPr>
                <w:rFonts w:ascii="宋体" w:hAnsi="宋体" w:eastAsia="宋体" w:cs="Times New Roman"/>
                <w:color w:val="auto"/>
                <w:lang w:bidi="ar"/>
              </w:rPr>
              <w:t>39.0032</w:t>
            </w:r>
          </w:p>
        </w:tc>
        <w:tc>
          <w:tcPr>
            <w:tcW w:w="836" w:type="dxa"/>
            <w:tcBorders>
              <w:tl2br w:val="nil"/>
              <w:tr2bl w:val="nil"/>
            </w:tcBorders>
            <w:vAlign w:val="center"/>
          </w:tcPr>
          <w:p w14:paraId="2C442CCD">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55.719 </w:t>
            </w:r>
          </w:p>
        </w:tc>
        <w:tc>
          <w:tcPr>
            <w:tcW w:w="830" w:type="dxa"/>
            <w:tcBorders>
              <w:tl2br w:val="nil"/>
              <w:tr2bl w:val="nil"/>
            </w:tcBorders>
            <w:vAlign w:val="center"/>
          </w:tcPr>
          <w:p w14:paraId="4E777EA7">
            <w:pPr>
              <w:jc w:val="center"/>
              <w:rPr>
                <w:rFonts w:ascii="宋体" w:hAnsi="宋体" w:eastAsia="宋体" w:cs="Times New Roman"/>
                <w:color w:val="auto"/>
              </w:rPr>
            </w:pPr>
            <w:r>
              <w:rPr>
                <w:rFonts w:ascii="宋体" w:hAnsi="宋体" w:eastAsia="宋体" w:cs="Times New Roman"/>
                <w:color w:val="auto"/>
              </w:rPr>
              <w:t>达标</w:t>
            </w:r>
          </w:p>
        </w:tc>
      </w:tr>
      <w:tr w14:paraId="0B3F1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6BF7E689">
            <w:pPr>
              <w:jc w:val="center"/>
              <w:rPr>
                <w:rFonts w:ascii="宋体" w:hAnsi="宋体" w:eastAsia="宋体" w:cs="Times New Roman"/>
                <w:color w:val="auto"/>
              </w:rPr>
            </w:pPr>
          </w:p>
        </w:tc>
        <w:tc>
          <w:tcPr>
            <w:tcW w:w="1430" w:type="dxa"/>
            <w:tcBorders>
              <w:tl2br w:val="nil"/>
              <w:tr2bl w:val="nil"/>
            </w:tcBorders>
            <w:vAlign w:val="center"/>
          </w:tcPr>
          <w:p w14:paraId="205408C9">
            <w:pPr>
              <w:jc w:val="center"/>
              <w:rPr>
                <w:rFonts w:ascii="宋体" w:hAnsi="宋体" w:eastAsia="宋体" w:cs="Times New Roman"/>
                <w:color w:val="auto"/>
              </w:rPr>
            </w:pPr>
            <w:r>
              <w:rPr>
                <w:rFonts w:ascii="宋体" w:hAnsi="宋体" w:eastAsia="宋体" w:cs="Times New Roman"/>
                <w:color w:val="auto"/>
              </w:rPr>
              <w:t>孙家围子屯</w:t>
            </w:r>
          </w:p>
        </w:tc>
        <w:tc>
          <w:tcPr>
            <w:tcW w:w="810" w:type="dxa"/>
            <w:vMerge w:val="continue"/>
            <w:tcBorders>
              <w:tl2br w:val="nil"/>
              <w:tr2bl w:val="nil"/>
            </w:tcBorders>
            <w:vAlign w:val="center"/>
          </w:tcPr>
          <w:p w14:paraId="52E1D9F7">
            <w:pPr>
              <w:jc w:val="center"/>
              <w:rPr>
                <w:rFonts w:ascii="宋体" w:hAnsi="宋体" w:eastAsia="宋体" w:cs="Times New Roman"/>
                <w:color w:val="auto"/>
              </w:rPr>
            </w:pPr>
          </w:p>
        </w:tc>
        <w:tc>
          <w:tcPr>
            <w:tcW w:w="1006" w:type="dxa"/>
            <w:tcBorders>
              <w:tl2br w:val="nil"/>
              <w:tr2bl w:val="nil"/>
            </w:tcBorders>
            <w:vAlign w:val="center"/>
          </w:tcPr>
          <w:p w14:paraId="3D73B57E">
            <w:pPr>
              <w:jc w:val="center"/>
              <w:rPr>
                <w:rFonts w:ascii="宋体" w:hAnsi="宋体" w:eastAsia="宋体" w:cs="Times New Roman"/>
                <w:color w:val="auto"/>
              </w:rPr>
            </w:pPr>
            <w:r>
              <w:rPr>
                <w:rFonts w:ascii="宋体" w:hAnsi="宋体" w:eastAsia="宋体" w:cs="Times New Roman"/>
                <w:color w:val="auto"/>
              </w:rPr>
              <w:t>0.00208643</w:t>
            </w:r>
          </w:p>
        </w:tc>
        <w:tc>
          <w:tcPr>
            <w:tcW w:w="794" w:type="dxa"/>
            <w:tcBorders>
              <w:tl2br w:val="nil"/>
              <w:tr2bl w:val="nil"/>
            </w:tcBorders>
            <w:vAlign w:val="center"/>
          </w:tcPr>
          <w:p w14:paraId="1B0677AB">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0.003 </w:t>
            </w:r>
          </w:p>
        </w:tc>
        <w:tc>
          <w:tcPr>
            <w:tcW w:w="1262" w:type="dxa"/>
            <w:tcBorders>
              <w:tl2br w:val="nil"/>
              <w:tr2bl w:val="nil"/>
            </w:tcBorders>
            <w:vAlign w:val="center"/>
          </w:tcPr>
          <w:p w14:paraId="6229AD3E">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73E8005B">
            <w:pPr>
              <w:jc w:val="right"/>
              <w:textAlignment w:val="center"/>
              <w:rPr>
                <w:rFonts w:ascii="宋体" w:hAnsi="宋体" w:eastAsia="宋体" w:cs="Times New Roman"/>
                <w:color w:val="auto"/>
              </w:rPr>
            </w:pPr>
            <w:r>
              <w:rPr>
                <w:rFonts w:ascii="宋体" w:hAnsi="宋体" w:eastAsia="宋体" w:cs="Times New Roman"/>
                <w:color w:val="auto"/>
                <w:lang w:bidi="ar"/>
              </w:rPr>
              <w:t>39.0021</w:t>
            </w:r>
          </w:p>
        </w:tc>
        <w:tc>
          <w:tcPr>
            <w:tcW w:w="836" w:type="dxa"/>
            <w:tcBorders>
              <w:tl2br w:val="nil"/>
              <w:tr2bl w:val="nil"/>
            </w:tcBorders>
            <w:vAlign w:val="center"/>
          </w:tcPr>
          <w:p w14:paraId="2662A549">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55.717 </w:t>
            </w:r>
          </w:p>
        </w:tc>
        <w:tc>
          <w:tcPr>
            <w:tcW w:w="830" w:type="dxa"/>
            <w:tcBorders>
              <w:tl2br w:val="nil"/>
              <w:tr2bl w:val="nil"/>
            </w:tcBorders>
            <w:vAlign w:val="center"/>
          </w:tcPr>
          <w:p w14:paraId="316BAFAC">
            <w:pPr>
              <w:jc w:val="center"/>
              <w:rPr>
                <w:rFonts w:ascii="宋体" w:hAnsi="宋体" w:eastAsia="宋体" w:cs="Times New Roman"/>
                <w:color w:val="auto"/>
              </w:rPr>
            </w:pPr>
            <w:r>
              <w:rPr>
                <w:rFonts w:ascii="宋体" w:hAnsi="宋体" w:eastAsia="宋体" w:cs="Times New Roman"/>
                <w:color w:val="auto"/>
              </w:rPr>
              <w:t>达标</w:t>
            </w:r>
          </w:p>
        </w:tc>
      </w:tr>
      <w:tr w14:paraId="34532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0F790D2B">
            <w:pPr>
              <w:jc w:val="center"/>
              <w:rPr>
                <w:rFonts w:ascii="宋体" w:hAnsi="宋体" w:eastAsia="宋体" w:cs="Times New Roman"/>
                <w:color w:val="auto"/>
              </w:rPr>
            </w:pPr>
          </w:p>
        </w:tc>
        <w:tc>
          <w:tcPr>
            <w:tcW w:w="1430" w:type="dxa"/>
            <w:tcBorders>
              <w:tl2br w:val="nil"/>
              <w:tr2bl w:val="nil"/>
            </w:tcBorders>
            <w:vAlign w:val="center"/>
          </w:tcPr>
          <w:p w14:paraId="31FAE4C4">
            <w:pPr>
              <w:jc w:val="center"/>
              <w:rPr>
                <w:rFonts w:ascii="宋体" w:hAnsi="宋体" w:eastAsia="宋体" w:cs="Times New Roman"/>
                <w:color w:val="auto"/>
              </w:rPr>
            </w:pPr>
            <w:r>
              <w:rPr>
                <w:rFonts w:ascii="宋体" w:hAnsi="宋体" w:eastAsia="宋体" w:cs="Times New Roman"/>
                <w:color w:val="auto"/>
              </w:rPr>
              <w:t>对青岗子屯</w:t>
            </w:r>
          </w:p>
        </w:tc>
        <w:tc>
          <w:tcPr>
            <w:tcW w:w="810" w:type="dxa"/>
            <w:vMerge w:val="continue"/>
            <w:tcBorders>
              <w:tl2br w:val="nil"/>
              <w:tr2bl w:val="nil"/>
            </w:tcBorders>
            <w:vAlign w:val="center"/>
          </w:tcPr>
          <w:p w14:paraId="01270B3F">
            <w:pPr>
              <w:jc w:val="center"/>
              <w:rPr>
                <w:rFonts w:ascii="宋体" w:hAnsi="宋体" w:eastAsia="宋体" w:cs="Times New Roman"/>
                <w:color w:val="auto"/>
              </w:rPr>
            </w:pPr>
          </w:p>
        </w:tc>
        <w:tc>
          <w:tcPr>
            <w:tcW w:w="1006" w:type="dxa"/>
            <w:tcBorders>
              <w:tl2br w:val="nil"/>
              <w:tr2bl w:val="nil"/>
            </w:tcBorders>
            <w:vAlign w:val="center"/>
          </w:tcPr>
          <w:p w14:paraId="51E733C5">
            <w:pPr>
              <w:jc w:val="center"/>
              <w:rPr>
                <w:rFonts w:ascii="宋体" w:hAnsi="宋体" w:eastAsia="宋体" w:cs="Times New Roman"/>
                <w:color w:val="auto"/>
              </w:rPr>
            </w:pPr>
            <w:r>
              <w:rPr>
                <w:rFonts w:ascii="宋体" w:hAnsi="宋体" w:eastAsia="宋体" w:cs="Times New Roman"/>
                <w:color w:val="auto"/>
              </w:rPr>
              <w:t>0.00862746</w:t>
            </w:r>
          </w:p>
        </w:tc>
        <w:tc>
          <w:tcPr>
            <w:tcW w:w="794" w:type="dxa"/>
            <w:tcBorders>
              <w:tl2br w:val="nil"/>
              <w:tr2bl w:val="nil"/>
            </w:tcBorders>
            <w:vAlign w:val="center"/>
          </w:tcPr>
          <w:p w14:paraId="2DB9FC23">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0.012 </w:t>
            </w:r>
          </w:p>
        </w:tc>
        <w:tc>
          <w:tcPr>
            <w:tcW w:w="1262" w:type="dxa"/>
            <w:tcBorders>
              <w:tl2br w:val="nil"/>
              <w:tr2bl w:val="nil"/>
            </w:tcBorders>
            <w:vAlign w:val="center"/>
          </w:tcPr>
          <w:p w14:paraId="530A9B69">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58F8FD09">
            <w:pPr>
              <w:jc w:val="right"/>
              <w:textAlignment w:val="center"/>
              <w:rPr>
                <w:rFonts w:ascii="宋体" w:hAnsi="宋体" w:eastAsia="宋体" w:cs="Times New Roman"/>
                <w:color w:val="auto"/>
              </w:rPr>
            </w:pPr>
            <w:r>
              <w:rPr>
                <w:rFonts w:ascii="宋体" w:hAnsi="宋体" w:eastAsia="宋体" w:cs="Times New Roman"/>
                <w:color w:val="auto"/>
                <w:lang w:bidi="ar"/>
              </w:rPr>
              <w:t>39.0086</w:t>
            </w:r>
          </w:p>
        </w:tc>
        <w:tc>
          <w:tcPr>
            <w:tcW w:w="836" w:type="dxa"/>
            <w:tcBorders>
              <w:tl2br w:val="nil"/>
              <w:tr2bl w:val="nil"/>
            </w:tcBorders>
            <w:vAlign w:val="center"/>
          </w:tcPr>
          <w:p w14:paraId="63101FB4">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55.727 </w:t>
            </w:r>
          </w:p>
        </w:tc>
        <w:tc>
          <w:tcPr>
            <w:tcW w:w="830" w:type="dxa"/>
            <w:tcBorders>
              <w:tl2br w:val="nil"/>
              <w:tr2bl w:val="nil"/>
            </w:tcBorders>
            <w:vAlign w:val="center"/>
          </w:tcPr>
          <w:p w14:paraId="7C9D29A2">
            <w:pPr>
              <w:jc w:val="center"/>
              <w:rPr>
                <w:rFonts w:ascii="宋体" w:hAnsi="宋体" w:eastAsia="宋体" w:cs="Times New Roman"/>
                <w:color w:val="auto"/>
              </w:rPr>
            </w:pPr>
            <w:r>
              <w:rPr>
                <w:rFonts w:ascii="宋体" w:hAnsi="宋体" w:eastAsia="宋体" w:cs="Times New Roman"/>
                <w:color w:val="auto"/>
              </w:rPr>
              <w:t>达标</w:t>
            </w:r>
          </w:p>
        </w:tc>
      </w:tr>
      <w:tr w14:paraId="70D3F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74D6B1F4">
            <w:pPr>
              <w:jc w:val="center"/>
              <w:rPr>
                <w:rFonts w:ascii="宋体" w:hAnsi="宋体" w:eastAsia="宋体" w:cs="Times New Roman"/>
                <w:color w:val="auto"/>
              </w:rPr>
            </w:pPr>
          </w:p>
        </w:tc>
        <w:tc>
          <w:tcPr>
            <w:tcW w:w="1430" w:type="dxa"/>
            <w:tcBorders>
              <w:tl2br w:val="nil"/>
              <w:tr2bl w:val="nil"/>
            </w:tcBorders>
            <w:vAlign w:val="center"/>
          </w:tcPr>
          <w:p w14:paraId="6B75C723">
            <w:pPr>
              <w:jc w:val="center"/>
              <w:rPr>
                <w:rFonts w:ascii="宋体" w:hAnsi="宋体" w:eastAsia="宋体" w:cs="Times New Roman"/>
                <w:color w:val="auto"/>
              </w:rPr>
            </w:pPr>
            <w:r>
              <w:rPr>
                <w:rFonts w:ascii="宋体" w:hAnsi="宋体" w:eastAsia="宋体" w:cs="Times New Roman"/>
                <w:color w:val="auto"/>
              </w:rPr>
              <w:t>蒙古屯</w:t>
            </w:r>
          </w:p>
        </w:tc>
        <w:tc>
          <w:tcPr>
            <w:tcW w:w="810" w:type="dxa"/>
            <w:vMerge w:val="continue"/>
            <w:tcBorders>
              <w:tl2br w:val="nil"/>
              <w:tr2bl w:val="nil"/>
            </w:tcBorders>
            <w:vAlign w:val="center"/>
          </w:tcPr>
          <w:p w14:paraId="20658054">
            <w:pPr>
              <w:jc w:val="center"/>
              <w:rPr>
                <w:rFonts w:ascii="宋体" w:hAnsi="宋体" w:eastAsia="宋体" w:cs="Times New Roman"/>
                <w:color w:val="auto"/>
              </w:rPr>
            </w:pPr>
          </w:p>
        </w:tc>
        <w:tc>
          <w:tcPr>
            <w:tcW w:w="1006" w:type="dxa"/>
            <w:tcBorders>
              <w:tl2br w:val="nil"/>
              <w:tr2bl w:val="nil"/>
            </w:tcBorders>
            <w:vAlign w:val="center"/>
          </w:tcPr>
          <w:p w14:paraId="70F8DEAB">
            <w:pPr>
              <w:jc w:val="center"/>
              <w:rPr>
                <w:rFonts w:ascii="宋体" w:hAnsi="宋体" w:eastAsia="宋体" w:cs="Times New Roman"/>
                <w:color w:val="auto"/>
              </w:rPr>
            </w:pPr>
            <w:r>
              <w:rPr>
                <w:rFonts w:ascii="宋体" w:hAnsi="宋体" w:eastAsia="宋体" w:cs="Times New Roman"/>
                <w:color w:val="auto"/>
              </w:rPr>
              <w:t>0.00571663</w:t>
            </w:r>
          </w:p>
        </w:tc>
        <w:tc>
          <w:tcPr>
            <w:tcW w:w="794" w:type="dxa"/>
            <w:tcBorders>
              <w:tl2br w:val="nil"/>
              <w:tr2bl w:val="nil"/>
            </w:tcBorders>
            <w:vAlign w:val="center"/>
          </w:tcPr>
          <w:p w14:paraId="16834341">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0.008 </w:t>
            </w:r>
          </w:p>
        </w:tc>
        <w:tc>
          <w:tcPr>
            <w:tcW w:w="1262" w:type="dxa"/>
            <w:tcBorders>
              <w:tl2br w:val="nil"/>
              <w:tr2bl w:val="nil"/>
            </w:tcBorders>
            <w:vAlign w:val="center"/>
          </w:tcPr>
          <w:p w14:paraId="44B7D547">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5B7DD544">
            <w:pPr>
              <w:jc w:val="right"/>
              <w:textAlignment w:val="center"/>
              <w:rPr>
                <w:rFonts w:ascii="宋体" w:hAnsi="宋体" w:eastAsia="宋体" w:cs="Times New Roman"/>
                <w:color w:val="auto"/>
              </w:rPr>
            </w:pPr>
            <w:r>
              <w:rPr>
                <w:rFonts w:ascii="宋体" w:hAnsi="宋体" w:eastAsia="宋体" w:cs="Times New Roman"/>
                <w:color w:val="auto"/>
                <w:lang w:bidi="ar"/>
              </w:rPr>
              <w:t>39.0057</w:t>
            </w:r>
          </w:p>
        </w:tc>
        <w:tc>
          <w:tcPr>
            <w:tcW w:w="836" w:type="dxa"/>
            <w:tcBorders>
              <w:tl2br w:val="nil"/>
              <w:tr2bl w:val="nil"/>
            </w:tcBorders>
            <w:vAlign w:val="center"/>
          </w:tcPr>
          <w:p w14:paraId="056B6EB1">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55.722 </w:t>
            </w:r>
          </w:p>
        </w:tc>
        <w:tc>
          <w:tcPr>
            <w:tcW w:w="830" w:type="dxa"/>
            <w:tcBorders>
              <w:tl2br w:val="nil"/>
              <w:tr2bl w:val="nil"/>
            </w:tcBorders>
            <w:vAlign w:val="center"/>
          </w:tcPr>
          <w:p w14:paraId="05823FBD">
            <w:pPr>
              <w:jc w:val="center"/>
              <w:rPr>
                <w:rFonts w:ascii="宋体" w:hAnsi="宋体" w:eastAsia="宋体" w:cs="Times New Roman"/>
                <w:color w:val="auto"/>
              </w:rPr>
            </w:pPr>
            <w:r>
              <w:rPr>
                <w:rFonts w:ascii="宋体" w:hAnsi="宋体" w:eastAsia="宋体" w:cs="Times New Roman"/>
                <w:color w:val="auto"/>
              </w:rPr>
              <w:t>达标</w:t>
            </w:r>
          </w:p>
        </w:tc>
      </w:tr>
      <w:tr w14:paraId="494CC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0F6115D6">
            <w:pPr>
              <w:jc w:val="center"/>
              <w:rPr>
                <w:rFonts w:ascii="宋体" w:hAnsi="宋体" w:eastAsia="宋体" w:cs="Times New Roman"/>
                <w:color w:val="auto"/>
              </w:rPr>
            </w:pPr>
          </w:p>
        </w:tc>
        <w:tc>
          <w:tcPr>
            <w:tcW w:w="1430" w:type="dxa"/>
            <w:tcBorders>
              <w:tl2br w:val="nil"/>
              <w:tr2bl w:val="nil"/>
            </w:tcBorders>
            <w:vAlign w:val="center"/>
          </w:tcPr>
          <w:p w14:paraId="1A8F5DD4">
            <w:pPr>
              <w:jc w:val="center"/>
              <w:rPr>
                <w:rFonts w:ascii="宋体" w:hAnsi="宋体" w:eastAsia="宋体" w:cs="Times New Roman"/>
                <w:color w:val="auto"/>
              </w:rPr>
            </w:pPr>
            <w:r>
              <w:rPr>
                <w:rFonts w:ascii="宋体" w:hAnsi="宋体" w:eastAsia="宋体" w:cs="Times New Roman"/>
                <w:color w:val="auto"/>
              </w:rPr>
              <w:t>四方山屯</w:t>
            </w:r>
          </w:p>
        </w:tc>
        <w:tc>
          <w:tcPr>
            <w:tcW w:w="810" w:type="dxa"/>
            <w:vMerge w:val="continue"/>
            <w:tcBorders>
              <w:tl2br w:val="nil"/>
              <w:tr2bl w:val="nil"/>
            </w:tcBorders>
            <w:vAlign w:val="center"/>
          </w:tcPr>
          <w:p w14:paraId="090F5281">
            <w:pPr>
              <w:jc w:val="center"/>
              <w:rPr>
                <w:rFonts w:ascii="宋体" w:hAnsi="宋体" w:eastAsia="宋体" w:cs="Times New Roman"/>
                <w:color w:val="auto"/>
              </w:rPr>
            </w:pPr>
          </w:p>
        </w:tc>
        <w:tc>
          <w:tcPr>
            <w:tcW w:w="1006" w:type="dxa"/>
            <w:tcBorders>
              <w:tl2br w:val="nil"/>
              <w:tr2bl w:val="nil"/>
            </w:tcBorders>
            <w:vAlign w:val="center"/>
          </w:tcPr>
          <w:p w14:paraId="2BDCD317">
            <w:pPr>
              <w:jc w:val="center"/>
              <w:rPr>
                <w:rFonts w:ascii="宋体" w:hAnsi="宋体" w:eastAsia="宋体" w:cs="Times New Roman"/>
                <w:color w:val="auto"/>
              </w:rPr>
            </w:pPr>
            <w:r>
              <w:rPr>
                <w:rFonts w:ascii="宋体" w:hAnsi="宋体" w:eastAsia="宋体" w:cs="Times New Roman"/>
                <w:color w:val="auto"/>
              </w:rPr>
              <w:t>0.00151531</w:t>
            </w:r>
          </w:p>
        </w:tc>
        <w:tc>
          <w:tcPr>
            <w:tcW w:w="794" w:type="dxa"/>
            <w:tcBorders>
              <w:tl2br w:val="nil"/>
              <w:tr2bl w:val="nil"/>
            </w:tcBorders>
            <w:vAlign w:val="center"/>
          </w:tcPr>
          <w:p w14:paraId="519AE3FC">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tl2br w:val="nil"/>
              <w:tr2bl w:val="nil"/>
            </w:tcBorders>
            <w:vAlign w:val="center"/>
          </w:tcPr>
          <w:p w14:paraId="3E291117">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48817154">
            <w:pPr>
              <w:jc w:val="right"/>
              <w:textAlignment w:val="center"/>
              <w:rPr>
                <w:rFonts w:ascii="宋体" w:hAnsi="宋体" w:eastAsia="宋体" w:cs="Times New Roman"/>
                <w:color w:val="auto"/>
              </w:rPr>
            </w:pPr>
            <w:r>
              <w:rPr>
                <w:rFonts w:ascii="宋体" w:hAnsi="宋体" w:eastAsia="宋体" w:cs="Times New Roman"/>
                <w:color w:val="auto"/>
                <w:lang w:bidi="ar"/>
              </w:rPr>
              <w:t>39.0015</w:t>
            </w:r>
          </w:p>
        </w:tc>
        <w:tc>
          <w:tcPr>
            <w:tcW w:w="836" w:type="dxa"/>
            <w:tcBorders>
              <w:tl2br w:val="nil"/>
              <w:tr2bl w:val="nil"/>
            </w:tcBorders>
            <w:vAlign w:val="center"/>
          </w:tcPr>
          <w:p w14:paraId="28E5726B">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55.716 </w:t>
            </w:r>
          </w:p>
        </w:tc>
        <w:tc>
          <w:tcPr>
            <w:tcW w:w="830" w:type="dxa"/>
            <w:tcBorders>
              <w:tl2br w:val="nil"/>
              <w:tr2bl w:val="nil"/>
            </w:tcBorders>
            <w:vAlign w:val="center"/>
          </w:tcPr>
          <w:p w14:paraId="0563309E">
            <w:pPr>
              <w:jc w:val="center"/>
              <w:rPr>
                <w:rFonts w:ascii="宋体" w:hAnsi="宋体" w:eastAsia="宋体" w:cs="Times New Roman"/>
                <w:color w:val="auto"/>
              </w:rPr>
            </w:pPr>
            <w:r>
              <w:rPr>
                <w:rFonts w:ascii="宋体" w:hAnsi="宋体" w:eastAsia="宋体" w:cs="Times New Roman"/>
                <w:color w:val="auto"/>
              </w:rPr>
              <w:t>达标</w:t>
            </w:r>
          </w:p>
        </w:tc>
      </w:tr>
      <w:tr w14:paraId="3449E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211308C7">
            <w:pPr>
              <w:jc w:val="center"/>
              <w:rPr>
                <w:rFonts w:ascii="宋体" w:hAnsi="宋体" w:eastAsia="宋体" w:cs="Times New Roman"/>
                <w:color w:val="auto"/>
              </w:rPr>
            </w:pPr>
          </w:p>
        </w:tc>
        <w:tc>
          <w:tcPr>
            <w:tcW w:w="1430" w:type="dxa"/>
            <w:tcBorders>
              <w:tl2br w:val="nil"/>
              <w:tr2bl w:val="nil"/>
            </w:tcBorders>
            <w:vAlign w:val="center"/>
          </w:tcPr>
          <w:p w14:paraId="72446F1D">
            <w:pPr>
              <w:jc w:val="center"/>
              <w:rPr>
                <w:rFonts w:ascii="宋体" w:hAnsi="宋体" w:eastAsia="宋体" w:cs="Times New Roman"/>
                <w:color w:val="auto"/>
              </w:rPr>
            </w:pPr>
            <w:r>
              <w:rPr>
                <w:rFonts w:ascii="宋体" w:hAnsi="宋体" w:eastAsia="宋体" w:cs="Times New Roman"/>
                <w:color w:val="auto"/>
              </w:rPr>
              <w:t>小东屯</w:t>
            </w:r>
          </w:p>
        </w:tc>
        <w:tc>
          <w:tcPr>
            <w:tcW w:w="810" w:type="dxa"/>
            <w:vMerge w:val="continue"/>
            <w:tcBorders>
              <w:tl2br w:val="nil"/>
              <w:tr2bl w:val="nil"/>
            </w:tcBorders>
            <w:vAlign w:val="center"/>
          </w:tcPr>
          <w:p w14:paraId="4667ADE9">
            <w:pPr>
              <w:jc w:val="center"/>
              <w:rPr>
                <w:rFonts w:ascii="宋体" w:hAnsi="宋体" w:eastAsia="宋体" w:cs="Times New Roman"/>
                <w:color w:val="auto"/>
              </w:rPr>
            </w:pPr>
          </w:p>
        </w:tc>
        <w:tc>
          <w:tcPr>
            <w:tcW w:w="1006" w:type="dxa"/>
            <w:tcBorders>
              <w:tl2br w:val="nil"/>
              <w:tr2bl w:val="nil"/>
            </w:tcBorders>
            <w:vAlign w:val="center"/>
          </w:tcPr>
          <w:p w14:paraId="12879F96">
            <w:pPr>
              <w:jc w:val="center"/>
              <w:rPr>
                <w:rFonts w:ascii="宋体" w:hAnsi="宋体" w:eastAsia="宋体" w:cs="Times New Roman"/>
                <w:color w:val="auto"/>
              </w:rPr>
            </w:pPr>
            <w:r>
              <w:rPr>
                <w:rFonts w:ascii="宋体" w:hAnsi="宋体" w:eastAsia="宋体" w:cs="Times New Roman"/>
                <w:color w:val="auto"/>
              </w:rPr>
              <w:t>0.00134501</w:t>
            </w:r>
          </w:p>
        </w:tc>
        <w:tc>
          <w:tcPr>
            <w:tcW w:w="794" w:type="dxa"/>
            <w:tcBorders>
              <w:tl2br w:val="nil"/>
              <w:tr2bl w:val="nil"/>
            </w:tcBorders>
            <w:vAlign w:val="center"/>
          </w:tcPr>
          <w:p w14:paraId="7801EC18">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tl2br w:val="nil"/>
              <w:tr2bl w:val="nil"/>
            </w:tcBorders>
            <w:vAlign w:val="center"/>
          </w:tcPr>
          <w:p w14:paraId="7CCB542B">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1F68F4C7">
            <w:pPr>
              <w:jc w:val="right"/>
              <w:textAlignment w:val="center"/>
              <w:rPr>
                <w:rFonts w:ascii="宋体" w:hAnsi="宋体" w:eastAsia="宋体" w:cs="Times New Roman"/>
                <w:color w:val="auto"/>
              </w:rPr>
            </w:pPr>
            <w:r>
              <w:rPr>
                <w:rFonts w:ascii="宋体" w:hAnsi="宋体" w:eastAsia="宋体" w:cs="Times New Roman"/>
                <w:color w:val="auto"/>
                <w:lang w:bidi="ar"/>
              </w:rPr>
              <w:t>39.0013</w:t>
            </w:r>
          </w:p>
        </w:tc>
        <w:tc>
          <w:tcPr>
            <w:tcW w:w="836" w:type="dxa"/>
            <w:tcBorders>
              <w:tl2br w:val="nil"/>
              <w:tr2bl w:val="nil"/>
            </w:tcBorders>
            <w:vAlign w:val="center"/>
          </w:tcPr>
          <w:p w14:paraId="18833336">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55.716 </w:t>
            </w:r>
          </w:p>
        </w:tc>
        <w:tc>
          <w:tcPr>
            <w:tcW w:w="830" w:type="dxa"/>
            <w:tcBorders>
              <w:tl2br w:val="nil"/>
              <w:tr2bl w:val="nil"/>
            </w:tcBorders>
            <w:vAlign w:val="center"/>
          </w:tcPr>
          <w:p w14:paraId="7C506BF1">
            <w:pPr>
              <w:jc w:val="center"/>
              <w:rPr>
                <w:rFonts w:ascii="宋体" w:hAnsi="宋体" w:eastAsia="宋体" w:cs="Times New Roman"/>
                <w:color w:val="auto"/>
              </w:rPr>
            </w:pPr>
            <w:r>
              <w:rPr>
                <w:rFonts w:ascii="宋体" w:hAnsi="宋体" w:eastAsia="宋体" w:cs="Times New Roman"/>
                <w:color w:val="auto"/>
              </w:rPr>
              <w:t>达标</w:t>
            </w:r>
          </w:p>
        </w:tc>
      </w:tr>
      <w:tr w14:paraId="57319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124D6E13">
            <w:pPr>
              <w:jc w:val="center"/>
              <w:rPr>
                <w:rFonts w:ascii="宋体" w:hAnsi="宋体" w:eastAsia="宋体" w:cs="Times New Roman"/>
                <w:color w:val="auto"/>
              </w:rPr>
            </w:pPr>
          </w:p>
        </w:tc>
        <w:tc>
          <w:tcPr>
            <w:tcW w:w="1430" w:type="dxa"/>
            <w:tcBorders>
              <w:tl2br w:val="nil"/>
              <w:tr2bl w:val="nil"/>
            </w:tcBorders>
            <w:vAlign w:val="center"/>
          </w:tcPr>
          <w:p w14:paraId="3F848BE5">
            <w:pPr>
              <w:jc w:val="center"/>
              <w:rPr>
                <w:rFonts w:ascii="宋体" w:hAnsi="宋体" w:eastAsia="宋体" w:cs="Times New Roman"/>
                <w:color w:val="auto"/>
              </w:rPr>
            </w:pPr>
            <w:r>
              <w:rPr>
                <w:rFonts w:ascii="宋体" w:hAnsi="宋体" w:eastAsia="宋体" w:cs="Times New Roman"/>
                <w:color w:val="auto"/>
              </w:rPr>
              <w:t>东兴村</w:t>
            </w:r>
          </w:p>
        </w:tc>
        <w:tc>
          <w:tcPr>
            <w:tcW w:w="810" w:type="dxa"/>
            <w:vMerge w:val="continue"/>
            <w:tcBorders>
              <w:tl2br w:val="nil"/>
              <w:tr2bl w:val="nil"/>
            </w:tcBorders>
            <w:vAlign w:val="center"/>
          </w:tcPr>
          <w:p w14:paraId="5AF7A47C">
            <w:pPr>
              <w:jc w:val="center"/>
              <w:rPr>
                <w:rFonts w:ascii="宋体" w:hAnsi="宋体" w:eastAsia="宋体" w:cs="Times New Roman"/>
                <w:color w:val="auto"/>
              </w:rPr>
            </w:pPr>
          </w:p>
        </w:tc>
        <w:tc>
          <w:tcPr>
            <w:tcW w:w="1006" w:type="dxa"/>
            <w:tcBorders>
              <w:tl2br w:val="nil"/>
              <w:tr2bl w:val="nil"/>
            </w:tcBorders>
            <w:vAlign w:val="center"/>
          </w:tcPr>
          <w:p w14:paraId="696E1025">
            <w:pPr>
              <w:jc w:val="center"/>
              <w:rPr>
                <w:rFonts w:ascii="宋体" w:hAnsi="宋体" w:eastAsia="宋体" w:cs="Times New Roman"/>
                <w:color w:val="auto"/>
              </w:rPr>
            </w:pPr>
            <w:r>
              <w:rPr>
                <w:rFonts w:ascii="宋体" w:hAnsi="宋体" w:eastAsia="宋体" w:cs="Times New Roman"/>
                <w:color w:val="auto"/>
              </w:rPr>
              <w:t>0.000968673</w:t>
            </w:r>
          </w:p>
        </w:tc>
        <w:tc>
          <w:tcPr>
            <w:tcW w:w="794" w:type="dxa"/>
            <w:tcBorders>
              <w:tl2br w:val="nil"/>
              <w:tr2bl w:val="nil"/>
            </w:tcBorders>
            <w:vAlign w:val="center"/>
          </w:tcPr>
          <w:p w14:paraId="3E6E593F">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2A629EC1">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247115ED">
            <w:pPr>
              <w:jc w:val="right"/>
              <w:textAlignment w:val="center"/>
              <w:rPr>
                <w:rFonts w:ascii="宋体" w:hAnsi="宋体" w:eastAsia="宋体" w:cs="Times New Roman"/>
                <w:color w:val="auto"/>
              </w:rPr>
            </w:pPr>
            <w:r>
              <w:rPr>
                <w:rFonts w:ascii="宋体" w:hAnsi="宋体" w:eastAsia="宋体" w:cs="Times New Roman"/>
                <w:color w:val="auto"/>
                <w:lang w:bidi="ar"/>
              </w:rPr>
              <w:t>39.001</w:t>
            </w:r>
          </w:p>
        </w:tc>
        <w:tc>
          <w:tcPr>
            <w:tcW w:w="836" w:type="dxa"/>
            <w:tcBorders>
              <w:tl2br w:val="nil"/>
              <w:tr2bl w:val="nil"/>
            </w:tcBorders>
            <w:vAlign w:val="center"/>
          </w:tcPr>
          <w:p w14:paraId="2162E756">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55.716 </w:t>
            </w:r>
          </w:p>
        </w:tc>
        <w:tc>
          <w:tcPr>
            <w:tcW w:w="830" w:type="dxa"/>
            <w:tcBorders>
              <w:tl2br w:val="nil"/>
              <w:tr2bl w:val="nil"/>
            </w:tcBorders>
            <w:vAlign w:val="center"/>
          </w:tcPr>
          <w:p w14:paraId="6A519798">
            <w:pPr>
              <w:jc w:val="center"/>
              <w:rPr>
                <w:rFonts w:ascii="宋体" w:hAnsi="宋体" w:eastAsia="宋体" w:cs="Times New Roman"/>
                <w:color w:val="auto"/>
              </w:rPr>
            </w:pPr>
            <w:r>
              <w:rPr>
                <w:rFonts w:ascii="宋体" w:hAnsi="宋体" w:eastAsia="宋体" w:cs="Times New Roman"/>
                <w:color w:val="auto"/>
              </w:rPr>
              <w:t>达标</w:t>
            </w:r>
          </w:p>
        </w:tc>
      </w:tr>
      <w:tr w14:paraId="40717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2531066B">
            <w:pPr>
              <w:jc w:val="center"/>
              <w:rPr>
                <w:rFonts w:ascii="宋体" w:hAnsi="宋体" w:eastAsia="宋体" w:cs="Times New Roman"/>
                <w:color w:val="auto"/>
              </w:rPr>
            </w:pPr>
          </w:p>
        </w:tc>
        <w:tc>
          <w:tcPr>
            <w:tcW w:w="1430" w:type="dxa"/>
            <w:tcBorders>
              <w:tl2br w:val="nil"/>
              <w:tr2bl w:val="nil"/>
            </w:tcBorders>
            <w:vAlign w:val="center"/>
          </w:tcPr>
          <w:p w14:paraId="64CFFF66">
            <w:pPr>
              <w:jc w:val="center"/>
              <w:rPr>
                <w:rFonts w:ascii="宋体" w:hAnsi="宋体" w:eastAsia="宋体" w:cs="Times New Roman"/>
                <w:color w:val="auto"/>
              </w:rPr>
            </w:pPr>
            <w:r>
              <w:rPr>
                <w:rFonts w:ascii="宋体" w:hAnsi="宋体" w:eastAsia="宋体" w:cs="Times New Roman"/>
                <w:color w:val="auto"/>
              </w:rPr>
              <w:t>迟家屯</w:t>
            </w:r>
          </w:p>
        </w:tc>
        <w:tc>
          <w:tcPr>
            <w:tcW w:w="810" w:type="dxa"/>
            <w:vMerge w:val="continue"/>
            <w:tcBorders>
              <w:tl2br w:val="nil"/>
              <w:tr2bl w:val="nil"/>
            </w:tcBorders>
            <w:vAlign w:val="center"/>
          </w:tcPr>
          <w:p w14:paraId="1A85E5AA">
            <w:pPr>
              <w:jc w:val="center"/>
              <w:rPr>
                <w:rFonts w:ascii="宋体" w:hAnsi="宋体" w:eastAsia="宋体" w:cs="Times New Roman"/>
                <w:color w:val="auto"/>
              </w:rPr>
            </w:pPr>
          </w:p>
        </w:tc>
        <w:tc>
          <w:tcPr>
            <w:tcW w:w="1006" w:type="dxa"/>
            <w:tcBorders>
              <w:tl2br w:val="nil"/>
              <w:tr2bl w:val="nil"/>
            </w:tcBorders>
            <w:vAlign w:val="center"/>
          </w:tcPr>
          <w:p w14:paraId="1DC87D08">
            <w:pPr>
              <w:jc w:val="center"/>
              <w:rPr>
                <w:rFonts w:ascii="宋体" w:hAnsi="宋体" w:eastAsia="宋体" w:cs="Times New Roman"/>
                <w:color w:val="auto"/>
              </w:rPr>
            </w:pPr>
            <w:r>
              <w:rPr>
                <w:rFonts w:ascii="宋体" w:hAnsi="宋体" w:eastAsia="宋体" w:cs="Times New Roman"/>
                <w:color w:val="auto"/>
              </w:rPr>
              <w:t>0.000926129</w:t>
            </w:r>
          </w:p>
        </w:tc>
        <w:tc>
          <w:tcPr>
            <w:tcW w:w="794" w:type="dxa"/>
            <w:tcBorders>
              <w:tl2br w:val="nil"/>
              <w:tr2bl w:val="nil"/>
            </w:tcBorders>
            <w:vAlign w:val="center"/>
          </w:tcPr>
          <w:p w14:paraId="2F716051">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2B88D70C">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3BAEB61C">
            <w:pPr>
              <w:jc w:val="right"/>
              <w:textAlignment w:val="center"/>
              <w:rPr>
                <w:rFonts w:ascii="宋体" w:hAnsi="宋体" w:eastAsia="宋体" w:cs="Times New Roman"/>
                <w:color w:val="auto"/>
              </w:rPr>
            </w:pPr>
            <w:r>
              <w:rPr>
                <w:rFonts w:ascii="宋体" w:hAnsi="宋体" w:eastAsia="宋体" w:cs="Times New Roman"/>
                <w:color w:val="auto"/>
                <w:lang w:bidi="ar"/>
              </w:rPr>
              <w:t>39.0009</w:t>
            </w:r>
          </w:p>
        </w:tc>
        <w:tc>
          <w:tcPr>
            <w:tcW w:w="836" w:type="dxa"/>
            <w:tcBorders>
              <w:tl2br w:val="nil"/>
              <w:tr2bl w:val="nil"/>
            </w:tcBorders>
            <w:vAlign w:val="center"/>
          </w:tcPr>
          <w:p w14:paraId="388D2657">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55.716 </w:t>
            </w:r>
          </w:p>
        </w:tc>
        <w:tc>
          <w:tcPr>
            <w:tcW w:w="830" w:type="dxa"/>
            <w:tcBorders>
              <w:tl2br w:val="nil"/>
              <w:tr2bl w:val="nil"/>
            </w:tcBorders>
            <w:vAlign w:val="center"/>
          </w:tcPr>
          <w:p w14:paraId="1A04AD1A">
            <w:pPr>
              <w:jc w:val="center"/>
              <w:rPr>
                <w:rFonts w:ascii="宋体" w:hAnsi="宋体" w:eastAsia="宋体" w:cs="Times New Roman"/>
                <w:color w:val="auto"/>
              </w:rPr>
            </w:pPr>
            <w:r>
              <w:rPr>
                <w:rFonts w:ascii="宋体" w:hAnsi="宋体" w:eastAsia="宋体" w:cs="Times New Roman"/>
                <w:color w:val="auto"/>
              </w:rPr>
              <w:t>达标</w:t>
            </w:r>
          </w:p>
        </w:tc>
      </w:tr>
      <w:tr w14:paraId="134DE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5C9F0BB9">
            <w:pPr>
              <w:jc w:val="center"/>
              <w:rPr>
                <w:rFonts w:ascii="宋体" w:hAnsi="宋体" w:eastAsia="宋体" w:cs="Times New Roman"/>
                <w:color w:val="auto"/>
              </w:rPr>
            </w:pPr>
          </w:p>
        </w:tc>
        <w:tc>
          <w:tcPr>
            <w:tcW w:w="1430" w:type="dxa"/>
            <w:tcBorders>
              <w:tl2br w:val="nil"/>
              <w:tr2bl w:val="nil"/>
            </w:tcBorders>
            <w:vAlign w:val="center"/>
          </w:tcPr>
          <w:p w14:paraId="5C919711">
            <w:pPr>
              <w:jc w:val="center"/>
              <w:rPr>
                <w:rFonts w:ascii="宋体" w:hAnsi="宋体" w:eastAsia="宋体" w:cs="Times New Roman"/>
                <w:color w:val="auto"/>
              </w:rPr>
            </w:pPr>
            <w:r>
              <w:rPr>
                <w:rFonts w:ascii="宋体" w:hAnsi="宋体" w:eastAsia="宋体" w:cs="Times New Roman"/>
                <w:color w:val="auto"/>
              </w:rPr>
              <w:t>刘喜屯</w:t>
            </w:r>
          </w:p>
        </w:tc>
        <w:tc>
          <w:tcPr>
            <w:tcW w:w="810" w:type="dxa"/>
            <w:vMerge w:val="continue"/>
            <w:tcBorders>
              <w:tl2br w:val="nil"/>
              <w:tr2bl w:val="nil"/>
            </w:tcBorders>
            <w:vAlign w:val="center"/>
          </w:tcPr>
          <w:p w14:paraId="585D3F5D">
            <w:pPr>
              <w:jc w:val="center"/>
              <w:rPr>
                <w:rFonts w:ascii="宋体" w:hAnsi="宋体" w:eastAsia="宋体" w:cs="Times New Roman"/>
                <w:color w:val="auto"/>
              </w:rPr>
            </w:pPr>
          </w:p>
        </w:tc>
        <w:tc>
          <w:tcPr>
            <w:tcW w:w="1006" w:type="dxa"/>
            <w:tcBorders>
              <w:tl2br w:val="nil"/>
              <w:tr2bl w:val="nil"/>
            </w:tcBorders>
            <w:vAlign w:val="center"/>
          </w:tcPr>
          <w:p w14:paraId="0C54CAF9">
            <w:pPr>
              <w:jc w:val="center"/>
              <w:rPr>
                <w:rFonts w:ascii="宋体" w:hAnsi="宋体" w:eastAsia="宋体" w:cs="Times New Roman"/>
                <w:color w:val="auto"/>
              </w:rPr>
            </w:pPr>
            <w:r>
              <w:rPr>
                <w:rFonts w:ascii="宋体" w:hAnsi="宋体" w:eastAsia="宋体" w:cs="Times New Roman"/>
                <w:color w:val="auto"/>
              </w:rPr>
              <w:t>0.00044279</w:t>
            </w:r>
          </w:p>
        </w:tc>
        <w:tc>
          <w:tcPr>
            <w:tcW w:w="794" w:type="dxa"/>
            <w:tcBorders>
              <w:tl2br w:val="nil"/>
              <w:tr2bl w:val="nil"/>
            </w:tcBorders>
            <w:vAlign w:val="center"/>
          </w:tcPr>
          <w:p w14:paraId="2BFB736C">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6887BC37">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3A4C7CD9">
            <w:pPr>
              <w:jc w:val="right"/>
              <w:textAlignment w:val="center"/>
              <w:rPr>
                <w:rFonts w:ascii="宋体" w:hAnsi="宋体" w:eastAsia="宋体" w:cs="Times New Roman"/>
                <w:color w:val="auto"/>
              </w:rPr>
            </w:pPr>
            <w:r>
              <w:rPr>
                <w:rFonts w:ascii="宋体" w:hAnsi="宋体" w:eastAsia="宋体" w:cs="Times New Roman"/>
                <w:color w:val="auto"/>
                <w:lang w:bidi="ar"/>
              </w:rPr>
              <w:t>39.0004</w:t>
            </w:r>
          </w:p>
        </w:tc>
        <w:tc>
          <w:tcPr>
            <w:tcW w:w="836" w:type="dxa"/>
            <w:tcBorders>
              <w:tl2br w:val="nil"/>
              <w:tr2bl w:val="nil"/>
            </w:tcBorders>
            <w:vAlign w:val="center"/>
          </w:tcPr>
          <w:p w14:paraId="235E55C5">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55.715 </w:t>
            </w:r>
          </w:p>
        </w:tc>
        <w:tc>
          <w:tcPr>
            <w:tcW w:w="830" w:type="dxa"/>
            <w:tcBorders>
              <w:tl2br w:val="nil"/>
              <w:tr2bl w:val="nil"/>
            </w:tcBorders>
            <w:vAlign w:val="center"/>
          </w:tcPr>
          <w:p w14:paraId="750D1E3C">
            <w:pPr>
              <w:jc w:val="center"/>
              <w:rPr>
                <w:rFonts w:ascii="宋体" w:hAnsi="宋体" w:eastAsia="宋体" w:cs="Times New Roman"/>
                <w:color w:val="auto"/>
              </w:rPr>
            </w:pPr>
            <w:r>
              <w:rPr>
                <w:rFonts w:ascii="宋体" w:hAnsi="宋体" w:eastAsia="宋体" w:cs="Times New Roman"/>
                <w:color w:val="auto"/>
              </w:rPr>
              <w:t>达标</w:t>
            </w:r>
          </w:p>
        </w:tc>
      </w:tr>
      <w:tr w14:paraId="27831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2DF4488A">
            <w:pPr>
              <w:jc w:val="center"/>
              <w:rPr>
                <w:rFonts w:ascii="宋体" w:hAnsi="宋体" w:eastAsia="宋体" w:cs="Times New Roman"/>
                <w:color w:val="auto"/>
              </w:rPr>
            </w:pPr>
          </w:p>
        </w:tc>
        <w:tc>
          <w:tcPr>
            <w:tcW w:w="1430" w:type="dxa"/>
            <w:tcBorders>
              <w:tl2br w:val="nil"/>
              <w:tr2bl w:val="nil"/>
            </w:tcBorders>
            <w:vAlign w:val="center"/>
          </w:tcPr>
          <w:p w14:paraId="0F8FA0EA">
            <w:pPr>
              <w:jc w:val="center"/>
              <w:rPr>
                <w:rFonts w:ascii="宋体" w:hAnsi="宋体" w:eastAsia="宋体" w:cs="Times New Roman"/>
                <w:color w:val="auto"/>
              </w:rPr>
            </w:pPr>
            <w:r>
              <w:rPr>
                <w:rFonts w:ascii="宋体" w:hAnsi="宋体" w:eastAsia="宋体" w:cs="Times New Roman"/>
                <w:color w:val="auto"/>
              </w:rPr>
              <w:t>代龙村</w:t>
            </w:r>
          </w:p>
        </w:tc>
        <w:tc>
          <w:tcPr>
            <w:tcW w:w="810" w:type="dxa"/>
            <w:vMerge w:val="continue"/>
            <w:tcBorders>
              <w:tl2br w:val="nil"/>
              <w:tr2bl w:val="nil"/>
            </w:tcBorders>
            <w:vAlign w:val="center"/>
          </w:tcPr>
          <w:p w14:paraId="141CEF20">
            <w:pPr>
              <w:jc w:val="center"/>
              <w:rPr>
                <w:rFonts w:ascii="宋体" w:hAnsi="宋体" w:eastAsia="宋体" w:cs="Times New Roman"/>
                <w:color w:val="auto"/>
              </w:rPr>
            </w:pPr>
          </w:p>
        </w:tc>
        <w:tc>
          <w:tcPr>
            <w:tcW w:w="1006" w:type="dxa"/>
            <w:tcBorders>
              <w:tl2br w:val="nil"/>
              <w:tr2bl w:val="nil"/>
            </w:tcBorders>
            <w:vAlign w:val="center"/>
          </w:tcPr>
          <w:p w14:paraId="350E685B">
            <w:pPr>
              <w:jc w:val="center"/>
              <w:rPr>
                <w:rFonts w:ascii="宋体" w:hAnsi="宋体" w:eastAsia="宋体" w:cs="Times New Roman"/>
                <w:color w:val="auto"/>
              </w:rPr>
            </w:pPr>
            <w:r>
              <w:rPr>
                <w:rFonts w:ascii="宋体" w:hAnsi="宋体" w:eastAsia="宋体" w:cs="Times New Roman"/>
                <w:color w:val="auto"/>
              </w:rPr>
              <w:t>0.000396743</w:t>
            </w:r>
          </w:p>
        </w:tc>
        <w:tc>
          <w:tcPr>
            <w:tcW w:w="794" w:type="dxa"/>
            <w:tcBorders>
              <w:tl2br w:val="nil"/>
              <w:tr2bl w:val="nil"/>
            </w:tcBorders>
            <w:vAlign w:val="center"/>
          </w:tcPr>
          <w:p w14:paraId="04C63AB6">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43C70ED1">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46903254">
            <w:pPr>
              <w:jc w:val="right"/>
              <w:textAlignment w:val="center"/>
              <w:rPr>
                <w:rFonts w:ascii="宋体" w:hAnsi="宋体" w:eastAsia="宋体" w:cs="Times New Roman"/>
                <w:color w:val="auto"/>
              </w:rPr>
            </w:pPr>
            <w:r>
              <w:rPr>
                <w:rFonts w:ascii="宋体" w:hAnsi="宋体" w:eastAsia="宋体" w:cs="Times New Roman"/>
                <w:color w:val="auto"/>
                <w:lang w:bidi="ar"/>
              </w:rPr>
              <w:t>39.0004</w:t>
            </w:r>
          </w:p>
        </w:tc>
        <w:tc>
          <w:tcPr>
            <w:tcW w:w="836" w:type="dxa"/>
            <w:tcBorders>
              <w:tl2br w:val="nil"/>
              <w:tr2bl w:val="nil"/>
            </w:tcBorders>
            <w:vAlign w:val="center"/>
          </w:tcPr>
          <w:p w14:paraId="24E7A885">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55.715 </w:t>
            </w:r>
          </w:p>
        </w:tc>
        <w:tc>
          <w:tcPr>
            <w:tcW w:w="830" w:type="dxa"/>
            <w:tcBorders>
              <w:tl2br w:val="nil"/>
              <w:tr2bl w:val="nil"/>
            </w:tcBorders>
            <w:vAlign w:val="center"/>
          </w:tcPr>
          <w:p w14:paraId="6638AE49">
            <w:pPr>
              <w:jc w:val="center"/>
              <w:rPr>
                <w:rFonts w:ascii="宋体" w:hAnsi="宋体" w:eastAsia="宋体" w:cs="Times New Roman"/>
                <w:color w:val="auto"/>
              </w:rPr>
            </w:pPr>
            <w:r>
              <w:rPr>
                <w:rFonts w:ascii="宋体" w:hAnsi="宋体" w:eastAsia="宋体" w:cs="Times New Roman"/>
                <w:color w:val="auto"/>
              </w:rPr>
              <w:t>达标</w:t>
            </w:r>
          </w:p>
        </w:tc>
      </w:tr>
      <w:tr w14:paraId="24BCC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6BA28DB3">
            <w:pPr>
              <w:jc w:val="center"/>
              <w:rPr>
                <w:rFonts w:ascii="宋体" w:hAnsi="宋体" w:eastAsia="宋体" w:cs="Times New Roman"/>
                <w:color w:val="auto"/>
              </w:rPr>
            </w:pPr>
          </w:p>
        </w:tc>
        <w:tc>
          <w:tcPr>
            <w:tcW w:w="1430" w:type="dxa"/>
            <w:tcBorders>
              <w:tl2br w:val="nil"/>
              <w:tr2bl w:val="nil"/>
            </w:tcBorders>
            <w:vAlign w:val="center"/>
          </w:tcPr>
          <w:p w14:paraId="5622F0BB">
            <w:pPr>
              <w:jc w:val="center"/>
              <w:rPr>
                <w:rFonts w:ascii="宋体" w:hAnsi="宋体" w:eastAsia="宋体" w:cs="Times New Roman"/>
                <w:color w:val="auto"/>
              </w:rPr>
            </w:pPr>
            <w:r>
              <w:rPr>
                <w:rFonts w:ascii="宋体" w:hAnsi="宋体" w:eastAsia="宋体" w:cs="Times New Roman"/>
                <w:color w:val="auto"/>
              </w:rPr>
              <w:t>肇源镇</w:t>
            </w:r>
          </w:p>
        </w:tc>
        <w:tc>
          <w:tcPr>
            <w:tcW w:w="810" w:type="dxa"/>
            <w:vMerge w:val="continue"/>
            <w:tcBorders>
              <w:tl2br w:val="nil"/>
              <w:tr2bl w:val="nil"/>
            </w:tcBorders>
            <w:vAlign w:val="center"/>
          </w:tcPr>
          <w:p w14:paraId="157A1492">
            <w:pPr>
              <w:jc w:val="center"/>
              <w:rPr>
                <w:rFonts w:ascii="宋体" w:hAnsi="宋体" w:eastAsia="宋体" w:cs="Times New Roman"/>
                <w:color w:val="auto"/>
              </w:rPr>
            </w:pPr>
          </w:p>
        </w:tc>
        <w:tc>
          <w:tcPr>
            <w:tcW w:w="1006" w:type="dxa"/>
            <w:tcBorders>
              <w:tl2br w:val="nil"/>
              <w:tr2bl w:val="nil"/>
            </w:tcBorders>
            <w:vAlign w:val="center"/>
          </w:tcPr>
          <w:p w14:paraId="0773E854">
            <w:pPr>
              <w:jc w:val="center"/>
              <w:rPr>
                <w:rFonts w:ascii="宋体" w:hAnsi="宋体" w:eastAsia="宋体" w:cs="Times New Roman"/>
                <w:color w:val="auto"/>
              </w:rPr>
            </w:pPr>
            <w:r>
              <w:rPr>
                <w:rFonts w:ascii="宋体" w:hAnsi="宋体" w:eastAsia="宋体" w:cs="Times New Roman"/>
                <w:color w:val="auto"/>
              </w:rPr>
              <w:t>0.000615892</w:t>
            </w:r>
          </w:p>
        </w:tc>
        <w:tc>
          <w:tcPr>
            <w:tcW w:w="794" w:type="dxa"/>
            <w:tcBorders>
              <w:tl2br w:val="nil"/>
              <w:tr2bl w:val="nil"/>
            </w:tcBorders>
            <w:vAlign w:val="center"/>
          </w:tcPr>
          <w:p w14:paraId="04A49657">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39284772">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5949B0F6">
            <w:pPr>
              <w:jc w:val="right"/>
              <w:textAlignment w:val="center"/>
              <w:rPr>
                <w:rFonts w:ascii="宋体" w:hAnsi="宋体" w:eastAsia="宋体" w:cs="Times New Roman"/>
                <w:color w:val="auto"/>
              </w:rPr>
            </w:pPr>
            <w:r>
              <w:rPr>
                <w:rFonts w:ascii="宋体" w:hAnsi="宋体" w:eastAsia="宋体" w:cs="Times New Roman"/>
                <w:color w:val="auto"/>
                <w:lang w:bidi="ar"/>
              </w:rPr>
              <w:t>39.0006</w:t>
            </w:r>
          </w:p>
        </w:tc>
        <w:tc>
          <w:tcPr>
            <w:tcW w:w="836" w:type="dxa"/>
            <w:tcBorders>
              <w:tl2br w:val="nil"/>
              <w:tr2bl w:val="nil"/>
            </w:tcBorders>
            <w:vAlign w:val="center"/>
          </w:tcPr>
          <w:p w14:paraId="7B16B151">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55.715 </w:t>
            </w:r>
          </w:p>
        </w:tc>
        <w:tc>
          <w:tcPr>
            <w:tcW w:w="830" w:type="dxa"/>
            <w:tcBorders>
              <w:tl2br w:val="nil"/>
              <w:tr2bl w:val="nil"/>
            </w:tcBorders>
            <w:vAlign w:val="center"/>
          </w:tcPr>
          <w:p w14:paraId="309D7C78">
            <w:pPr>
              <w:jc w:val="center"/>
              <w:rPr>
                <w:rFonts w:ascii="宋体" w:hAnsi="宋体" w:eastAsia="宋体" w:cs="Times New Roman"/>
                <w:color w:val="auto"/>
              </w:rPr>
            </w:pPr>
            <w:r>
              <w:rPr>
                <w:rFonts w:ascii="宋体" w:hAnsi="宋体" w:eastAsia="宋体" w:cs="Times New Roman"/>
                <w:color w:val="auto"/>
              </w:rPr>
              <w:t>达标</w:t>
            </w:r>
          </w:p>
        </w:tc>
      </w:tr>
      <w:tr w14:paraId="1782B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7A3012E0">
            <w:pPr>
              <w:jc w:val="center"/>
              <w:rPr>
                <w:rFonts w:ascii="宋体" w:hAnsi="宋体" w:eastAsia="宋体" w:cs="Times New Roman"/>
                <w:color w:val="auto"/>
              </w:rPr>
            </w:pPr>
          </w:p>
        </w:tc>
        <w:tc>
          <w:tcPr>
            <w:tcW w:w="1430" w:type="dxa"/>
            <w:tcBorders>
              <w:tl2br w:val="nil"/>
              <w:tr2bl w:val="nil"/>
            </w:tcBorders>
            <w:vAlign w:val="center"/>
          </w:tcPr>
          <w:p w14:paraId="215120AD">
            <w:pPr>
              <w:jc w:val="center"/>
              <w:rPr>
                <w:rFonts w:ascii="宋体" w:hAnsi="宋体" w:eastAsia="宋体" w:cs="Times New Roman"/>
                <w:color w:val="auto"/>
              </w:rPr>
            </w:pPr>
            <w:r>
              <w:rPr>
                <w:rFonts w:ascii="宋体" w:hAnsi="宋体" w:eastAsia="宋体" w:cs="Times New Roman"/>
                <w:color w:val="auto"/>
              </w:rPr>
              <w:t>刘兽医屯</w:t>
            </w:r>
          </w:p>
        </w:tc>
        <w:tc>
          <w:tcPr>
            <w:tcW w:w="810" w:type="dxa"/>
            <w:vMerge w:val="continue"/>
            <w:tcBorders>
              <w:tl2br w:val="nil"/>
              <w:tr2bl w:val="nil"/>
            </w:tcBorders>
            <w:vAlign w:val="center"/>
          </w:tcPr>
          <w:p w14:paraId="405F45B8">
            <w:pPr>
              <w:jc w:val="center"/>
              <w:rPr>
                <w:rFonts w:ascii="宋体" w:hAnsi="宋体" w:eastAsia="宋体" w:cs="Times New Roman"/>
                <w:color w:val="auto"/>
              </w:rPr>
            </w:pPr>
          </w:p>
        </w:tc>
        <w:tc>
          <w:tcPr>
            <w:tcW w:w="1006" w:type="dxa"/>
            <w:tcBorders>
              <w:tl2br w:val="nil"/>
              <w:tr2bl w:val="nil"/>
            </w:tcBorders>
            <w:vAlign w:val="center"/>
          </w:tcPr>
          <w:p w14:paraId="22027884">
            <w:pPr>
              <w:jc w:val="center"/>
              <w:rPr>
                <w:rFonts w:ascii="宋体" w:hAnsi="宋体" w:eastAsia="宋体" w:cs="Times New Roman"/>
                <w:color w:val="auto"/>
              </w:rPr>
            </w:pPr>
            <w:r>
              <w:rPr>
                <w:rFonts w:ascii="宋体" w:hAnsi="宋体" w:eastAsia="宋体" w:cs="Times New Roman"/>
                <w:color w:val="auto"/>
              </w:rPr>
              <w:t>0.000423895</w:t>
            </w:r>
          </w:p>
        </w:tc>
        <w:tc>
          <w:tcPr>
            <w:tcW w:w="794" w:type="dxa"/>
            <w:tcBorders>
              <w:tl2br w:val="nil"/>
              <w:tr2bl w:val="nil"/>
            </w:tcBorders>
            <w:vAlign w:val="center"/>
          </w:tcPr>
          <w:p w14:paraId="53D61D2B">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5829E3D2">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5A15CA07">
            <w:pPr>
              <w:jc w:val="right"/>
              <w:textAlignment w:val="center"/>
              <w:rPr>
                <w:rFonts w:ascii="宋体" w:hAnsi="宋体" w:eastAsia="宋体" w:cs="Times New Roman"/>
                <w:color w:val="auto"/>
              </w:rPr>
            </w:pPr>
            <w:r>
              <w:rPr>
                <w:rFonts w:ascii="宋体" w:hAnsi="宋体" w:eastAsia="宋体" w:cs="Times New Roman"/>
                <w:color w:val="auto"/>
                <w:lang w:bidi="ar"/>
              </w:rPr>
              <w:t>39.0004</w:t>
            </w:r>
          </w:p>
        </w:tc>
        <w:tc>
          <w:tcPr>
            <w:tcW w:w="836" w:type="dxa"/>
            <w:tcBorders>
              <w:tl2br w:val="nil"/>
              <w:tr2bl w:val="nil"/>
            </w:tcBorders>
            <w:vAlign w:val="center"/>
          </w:tcPr>
          <w:p w14:paraId="10F4471D">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55.715 </w:t>
            </w:r>
          </w:p>
        </w:tc>
        <w:tc>
          <w:tcPr>
            <w:tcW w:w="830" w:type="dxa"/>
            <w:tcBorders>
              <w:tl2br w:val="nil"/>
              <w:tr2bl w:val="nil"/>
            </w:tcBorders>
            <w:vAlign w:val="center"/>
          </w:tcPr>
          <w:p w14:paraId="0658CB7A">
            <w:pPr>
              <w:jc w:val="center"/>
              <w:rPr>
                <w:rFonts w:ascii="宋体" w:hAnsi="宋体" w:eastAsia="宋体" w:cs="Times New Roman"/>
                <w:color w:val="auto"/>
              </w:rPr>
            </w:pPr>
            <w:r>
              <w:rPr>
                <w:rFonts w:ascii="宋体" w:hAnsi="宋体" w:eastAsia="宋体" w:cs="Times New Roman"/>
                <w:color w:val="auto"/>
              </w:rPr>
              <w:t>达标</w:t>
            </w:r>
          </w:p>
        </w:tc>
      </w:tr>
      <w:tr w14:paraId="49A38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0C33E212">
            <w:pPr>
              <w:jc w:val="center"/>
              <w:rPr>
                <w:rFonts w:ascii="宋体" w:hAnsi="宋体" w:eastAsia="宋体" w:cs="Times New Roman"/>
                <w:color w:val="auto"/>
              </w:rPr>
            </w:pPr>
          </w:p>
        </w:tc>
        <w:tc>
          <w:tcPr>
            <w:tcW w:w="1430" w:type="dxa"/>
            <w:tcBorders>
              <w:tl2br w:val="nil"/>
              <w:tr2bl w:val="nil"/>
            </w:tcBorders>
            <w:vAlign w:val="center"/>
          </w:tcPr>
          <w:p w14:paraId="3D74876F">
            <w:pPr>
              <w:jc w:val="center"/>
              <w:rPr>
                <w:rFonts w:ascii="宋体" w:hAnsi="宋体" w:eastAsia="宋体" w:cs="Times New Roman"/>
                <w:color w:val="auto"/>
              </w:rPr>
            </w:pPr>
            <w:r>
              <w:rPr>
                <w:rFonts w:ascii="宋体" w:hAnsi="宋体" w:eastAsia="宋体" w:cs="Times New Roman"/>
                <w:color w:val="auto"/>
              </w:rPr>
              <w:t>友谊村</w:t>
            </w:r>
          </w:p>
        </w:tc>
        <w:tc>
          <w:tcPr>
            <w:tcW w:w="810" w:type="dxa"/>
            <w:vMerge w:val="continue"/>
            <w:tcBorders>
              <w:tl2br w:val="nil"/>
              <w:tr2bl w:val="nil"/>
            </w:tcBorders>
            <w:vAlign w:val="center"/>
          </w:tcPr>
          <w:p w14:paraId="3A7C7E53">
            <w:pPr>
              <w:jc w:val="center"/>
              <w:rPr>
                <w:rFonts w:ascii="宋体" w:hAnsi="宋体" w:eastAsia="宋体" w:cs="Times New Roman"/>
                <w:color w:val="auto"/>
              </w:rPr>
            </w:pPr>
          </w:p>
        </w:tc>
        <w:tc>
          <w:tcPr>
            <w:tcW w:w="1006" w:type="dxa"/>
            <w:tcBorders>
              <w:tl2br w:val="nil"/>
              <w:tr2bl w:val="nil"/>
            </w:tcBorders>
            <w:vAlign w:val="center"/>
          </w:tcPr>
          <w:p w14:paraId="5506F730">
            <w:pPr>
              <w:jc w:val="center"/>
              <w:rPr>
                <w:rFonts w:ascii="宋体" w:hAnsi="宋体" w:eastAsia="宋体" w:cs="Times New Roman"/>
                <w:color w:val="auto"/>
              </w:rPr>
            </w:pPr>
            <w:r>
              <w:rPr>
                <w:rFonts w:ascii="宋体" w:hAnsi="宋体" w:eastAsia="宋体" w:cs="Times New Roman"/>
                <w:color w:val="auto"/>
              </w:rPr>
              <w:t>0.000419782</w:t>
            </w:r>
          </w:p>
        </w:tc>
        <w:tc>
          <w:tcPr>
            <w:tcW w:w="794" w:type="dxa"/>
            <w:tcBorders>
              <w:tl2br w:val="nil"/>
              <w:tr2bl w:val="nil"/>
            </w:tcBorders>
            <w:vAlign w:val="center"/>
          </w:tcPr>
          <w:p w14:paraId="0745DFC2">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1EA5B77F">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567D4872">
            <w:pPr>
              <w:jc w:val="right"/>
              <w:textAlignment w:val="center"/>
              <w:rPr>
                <w:rFonts w:ascii="宋体" w:hAnsi="宋体" w:eastAsia="宋体" w:cs="Times New Roman"/>
                <w:color w:val="auto"/>
              </w:rPr>
            </w:pPr>
            <w:r>
              <w:rPr>
                <w:rFonts w:ascii="宋体" w:hAnsi="宋体" w:eastAsia="宋体" w:cs="Times New Roman"/>
                <w:color w:val="auto"/>
                <w:lang w:bidi="ar"/>
              </w:rPr>
              <w:t>39.0004</w:t>
            </w:r>
          </w:p>
        </w:tc>
        <w:tc>
          <w:tcPr>
            <w:tcW w:w="836" w:type="dxa"/>
            <w:tcBorders>
              <w:tl2br w:val="nil"/>
              <w:tr2bl w:val="nil"/>
            </w:tcBorders>
            <w:vAlign w:val="center"/>
          </w:tcPr>
          <w:p w14:paraId="1F5117EE">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55.715 </w:t>
            </w:r>
          </w:p>
        </w:tc>
        <w:tc>
          <w:tcPr>
            <w:tcW w:w="830" w:type="dxa"/>
            <w:tcBorders>
              <w:tl2br w:val="nil"/>
              <w:tr2bl w:val="nil"/>
            </w:tcBorders>
            <w:vAlign w:val="center"/>
          </w:tcPr>
          <w:p w14:paraId="050FC920">
            <w:pPr>
              <w:jc w:val="center"/>
              <w:rPr>
                <w:rFonts w:ascii="宋体" w:hAnsi="宋体" w:eastAsia="宋体" w:cs="Times New Roman"/>
                <w:color w:val="auto"/>
              </w:rPr>
            </w:pPr>
            <w:r>
              <w:rPr>
                <w:rFonts w:ascii="宋体" w:hAnsi="宋体" w:eastAsia="宋体" w:cs="Times New Roman"/>
                <w:color w:val="auto"/>
              </w:rPr>
              <w:t>达标</w:t>
            </w:r>
          </w:p>
        </w:tc>
      </w:tr>
      <w:tr w14:paraId="7BBDF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212F49B2">
            <w:pPr>
              <w:jc w:val="center"/>
              <w:rPr>
                <w:rFonts w:ascii="宋体" w:hAnsi="宋体" w:eastAsia="宋体" w:cs="Times New Roman"/>
                <w:color w:val="auto"/>
              </w:rPr>
            </w:pPr>
          </w:p>
        </w:tc>
        <w:tc>
          <w:tcPr>
            <w:tcW w:w="1430" w:type="dxa"/>
            <w:tcBorders>
              <w:tl2br w:val="nil"/>
              <w:tr2bl w:val="nil"/>
            </w:tcBorders>
            <w:vAlign w:val="center"/>
          </w:tcPr>
          <w:p w14:paraId="2E2B0416">
            <w:pPr>
              <w:jc w:val="center"/>
              <w:rPr>
                <w:rFonts w:ascii="宋体" w:hAnsi="宋体" w:eastAsia="宋体" w:cs="Times New Roman"/>
                <w:color w:val="auto"/>
              </w:rPr>
            </w:pPr>
            <w:r>
              <w:rPr>
                <w:rFonts w:ascii="宋体" w:hAnsi="宋体" w:eastAsia="宋体" w:cs="Times New Roman"/>
                <w:color w:val="auto"/>
              </w:rPr>
              <w:t>协力屯</w:t>
            </w:r>
          </w:p>
        </w:tc>
        <w:tc>
          <w:tcPr>
            <w:tcW w:w="810" w:type="dxa"/>
            <w:vMerge w:val="continue"/>
            <w:tcBorders>
              <w:tl2br w:val="nil"/>
              <w:tr2bl w:val="nil"/>
            </w:tcBorders>
            <w:vAlign w:val="center"/>
          </w:tcPr>
          <w:p w14:paraId="43489257">
            <w:pPr>
              <w:jc w:val="center"/>
              <w:rPr>
                <w:rFonts w:ascii="宋体" w:hAnsi="宋体" w:eastAsia="宋体" w:cs="Times New Roman"/>
                <w:color w:val="auto"/>
              </w:rPr>
            </w:pPr>
          </w:p>
        </w:tc>
        <w:tc>
          <w:tcPr>
            <w:tcW w:w="1006" w:type="dxa"/>
            <w:tcBorders>
              <w:tl2br w:val="nil"/>
              <w:tr2bl w:val="nil"/>
            </w:tcBorders>
            <w:vAlign w:val="center"/>
          </w:tcPr>
          <w:p w14:paraId="5222DEFC">
            <w:pPr>
              <w:jc w:val="center"/>
              <w:rPr>
                <w:rFonts w:ascii="宋体" w:hAnsi="宋体" w:eastAsia="宋体" w:cs="Times New Roman"/>
                <w:color w:val="auto"/>
              </w:rPr>
            </w:pPr>
            <w:r>
              <w:rPr>
                <w:rFonts w:ascii="宋体" w:hAnsi="宋体" w:eastAsia="宋体" w:cs="Times New Roman"/>
                <w:color w:val="auto"/>
              </w:rPr>
              <w:t>0.000390184</w:t>
            </w:r>
          </w:p>
        </w:tc>
        <w:tc>
          <w:tcPr>
            <w:tcW w:w="794" w:type="dxa"/>
            <w:tcBorders>
              <w:tl2br w:val="nil"/>
              <w:tr2bl w:val="nil"/>
            </w:tcBorders>
            <w:vAlign w:val="center"/>
          </w:tcPr>
          <w:p w14:paraId="1ED1390C">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5B86507B">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4ACA77B1">
            <w:pPr>
              <w:jc w:val="right"/>
              <w:textAlignment w:val="center"/>
              <w:rPr>
                <w:rFonts w:ascii="宋体" w:hAnsi="宋体" w:eastAsia="宋体" w:cs="Times New Roman"/>
                <w:color w:val="auto"/>
              </w:rPr>
            </w:pPr>
            <w:r>
              <w:rPr>
                <w:rFonts w:ascii="宋体" w:hAnsi="宋体" w:eastAsia="宋体" w:cs="Times New Roman"/>
                <w:color w:val="auto"/>
                <w:lang w:bidi="ar"/>
              </w:rPr>
              <w:t>39.0004</w:t>
            </w:r>
          </w:p>
        </w:tc>
        <w:tc>
          <w:tcPr>
            <w:tcW w:w="836" w:type="dxa"/>
            <w:tcBorders>
              <w:tl2br w:val="nil"/>
              <w:tr2bl w:val="nil"/>
            </w:tcBorders>
            <w:vAlign w:val="center"/>
          </w:tcPr>
          <w:p w14:paraId="545EA88D">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55.715 </w:t>
            </w:r>
          </w:p>
        </w:tc>
        <w:tc>
          <w:tcPr>
            <w:tcW w:w="830" w:type="dxa"/>
            <w:tcBorders>
              <w:tl2br w:val="nil"/>
              <w:tr2bl w:val="nil"/>
            </w:tcBorders>
            <w:vAlign w:val="center"/>
          </w:tcPr>
          <w:p w14:paraId="4E750E9A">
            <w:pPr>
              <w:jc w:val="center"/>
              <w:rPr>
                <w:rFonts w:ascii="宋体" w:hAnsi="宋体" w:eastAsia="宋体" w:cs="Times New Roman"/>
                <w:color w:val="auto"/>
              </w:rPr>
            </w:pPr>
            <w:r>
              <w:rPr>
                <w:rFonts w:ascii="宋体" w:hAnsi="宋体" w:eastAsia="宋体" w:cs="Times New Roman"/>
                <w:color w:val="auto"/>
              </w:rPr>
              <w:t>达标</w:t>
            </w:r>
          </w:p>
        </w:tc>
      </w:tr>
      <w:tr w14:paraId="2C36A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42427799">
            <w:pPr>
              <w:jc w:val="center"/>
              <w:rPr>
                <w:rFonts w:ascii="宋体" w:hAnsi="宋体" w:eastAsia="宋体" w:cs="Times New Roman"/>
                <w:color w:val="auto"/>
              </w:rPr>
            </w:pPr>
          </w:p>
        </w:tc>
        <w:tc>
          <w:tcPr>
            <w:tcW w:w="1430" w:type="dxa"/>
            <w:tcBorders>
              <w:tl2br w:val="nil"/>
              <w:tr2bl w:val="nil"/>
            </w:tcBorders>
            <w:vAlign w:val="center"/>
          </w:tcPr>
          <w:p w14:paraId="0AF30A38">
            <w:pPr>
              <w:jc w:val="center"/>
              <w:rPr>
                <w:rFonts w:ascii="宋体" w:hAnsi="宋体" w:eastAsia="宋体" w:cs="Times New Roman"/>
                <w:color w:val="auto"/>
              </w:rPr>
            </w:pPr>
            <w:r>
              <w:rPr>
                <w:rFonts w:ascii="宋体" w:hAnsi="宋体" w:eastAsia="宋体" w:cs="Times New Roman"/>
                <w:color w:val="auto"/>
              </w:rPr>
              <w:t>大三马架</w:t>
            </w:r>
          </w:p>
        </w:tc>
        <w:tc>
          <w:tcPr>
            <w:tcW w:w="810" w:type="dxa"/>
            <w:vMerge w:val="continue"/>
            <w:tcBorders>
              <w:tl2br w:val="nil"/>
              <w:tr2bl w:val="nil"/>
            </w:tcBorders>
            <w:vAlign w:val="center"/>
          </w:tcPr>
          <w:p w14:paraId="28DBAD75">
            <w:pPr>
              <w:jc w:val="center"/>
              <w:rPr>
                <w:rFonts w:ascii="宋体" w:hAnsi="宋体" w:eastAsia="宋体" w:cs="Times New Roman"/>
                <w:color w:val="auto"/>
              </w:rPr>
            </w:pPr>
          </w:p>
        </w:tc>
        <w:tc>
          <w:tcPr>
            <w:tcW w:w="1006" w:type="dxa"/>
            <w:tcBorders>
              <w:tl2br w:val="nil"/>
              <w:tr2bl w:val="nil"/>
            </w:tcBorders>
            <w:vAlign w:val="center"/>
          </w:tcPr>
          <w:p w14:paraId="0E9A344E">
            <w:pPr>
              <w:jc w:val="center"/>
              <w:rPr>
                <w:rFonts w:ascii="宋体" w:hAnsi="宋体" w:eastAsia="宋体" w:cs="Times New Roman"/>
                <w:color w:val="auto"/>
              </w:rPr>
            </w:pPr>
            <w:r>
              <w:rPr>
                <w:rFonts w:ascii="宋体" w:hAnsi="宋体" w:eastAsia="宋体" w:cs="Times New Roman"/>
                <w:color w:val="auto"/>
              </w:rPr>
              <w:t>0.000305752</w:t>
            </w:r>
          </w:p>
        </w:tc>
        <w:tc>
          <w:tcPr>
            <w:tcW w:w="794" w:type="dxa"/>
            <w:tcBorders>
              <w:tl2br w:val="nil"/>
              <w:tr2bl w:val="nil"/>
            </w:tcBorders>
            <w:vAlign w:val="center"/>
          </w:tcPr>
          <w:p w14:paraId="4CD53CCC">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0.000 </w:t>
            </w:r>
          </w:p>
        </w:tc>
        <w:tc>
          <w:tcPr>
            <w:tcW w:w="1262" w:type="dxa"/>
            <w:tcBorders>
              <w:tl2br w:val="nil"/>
              <w:tr2bl w:val="nil"/>
            </w:tcBorders>
            <w:vAlign w:val="center"/>
          </w:tcPr>
          <w:p w14:paraId="2B8A3B3F">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710FB142">
            <w:pPr>
              <w:jc w:val="right"/>
              <w:textAlignment w:val="center"/>
              <w:rPr>
                <w:rFonts w:ascii="宋体" w:hAnsi="宋体" w:eastAsia="宋体" w:cs="Times New Roman"/>
                <w:color w:val="auto"/>
              </w:rPr>
            </w:pPr>
            <w:r>
              <w:rPr>
                <w:rFonts w:ascii="宋体" w:hAnsi="宋体" w:eastAsia="宋体" w:cs="Times New Roman"/>
                <w:color w:val="auto"/>
                <w:lang w:bidi="ar"/>
              </w:rPr>
              <w:t>39.0003</w:t>
            </w:r>
          </w:p>
        </w:tc>
        <w:tc>
          <w:tcPr>
            <w:tcW w:w="836" w:type="dxa"/>
            <w:tcBorders>
              <w:tl2br w:val="nil"/>
              <w:tr2bl w:val="nil"/>
            </w:tcBorders>
            <w:vAlign w:val="center"/>
          </w:tcPr>
          <w:p w14:paraId="021014DC">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55.715 </w:t>
            </w:r>
          </w:p>
        </w:tc>
        <w:tc>
          <w:tcPr>
            <w:tcW w:w="830" w:type="dxa"/>
            <w:tcBorders>
              <w:tl2br w:val="nil"/>
              <w:tr2bl w:val="nil"/>
            </w:tcBorders>
            <w:vAlign w:val="center"/>
          </w:tcPr>
          <w:p w14:paraId="3DFCF458">
            <w:pPr>
              <w:jc w:val="center"/>
              <w:rPr>
                <w:rFonts w:ascii="宋体" w:hAnsi="宋体" w:eastAsia="宋体" w:cs="Times New Roman"/>
                <w:color w:val="auto"/>
              </w:rPr>
            </w:pPr>
            <w:r>
              <w:rPr>
                <w:rFonts w:ascii="宋体" w:hAnsi="宋体" w:eastAsia="宋体" w:cs="Times New Roman"/>
                <w:color w:val="auto"/>
              </w:rPr>
              <w:t>达标</w:t>
            </w:r>
          </w:p>
        </w:tc>
      </w:tr>
      <w:tr w14:paraId="76794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476C35BF">
            <w:pPr>
              <w:jc w:val="center"/>
              <w:rPr>
                <w:rFonts w:ascii="宋体" w:hAnsi="宋体" w:eastAsia="宋体" w:cs="Times New Roman"/>
                <w:color w:val="auto"/>
              </w:rPr>
            </w:pPr>
          </w:p>
        </w:tc>
        <w:tc>
          <w:tcPr>
            <w:tcW w:w="1430" w:type="dxa"/>
            <w:tcBorders>
              <w:tl2br w:val="nil"/>
              <w:tr2bl w:val="nil"/>
            </w:tcBorders>
            <w:vAlign w:val="center"/>
          </w:tcPr>
          <w:p w14:paraId="1D56BE46">
            <w:pPr>
              <w:jc w:val="center"/>
              <w:rPr>
                <w:rFonts w:ascii="宋体" w:hAnsi="宋体" w:eastAsia="宋体" w:cs="Times New Roman"/>
                <w:color w:val="auto"/>
              </w:rPr>
            </w:pPr>
            <w:r>
              <w:rPr>
                <w:rFonts w:ascii="宋体" w:hAnsi="宋体" w:eastAsia="宋体" w:cs="Times New Roman"/>
                <w:color w:val="auto"/>
              </w:rPr>
              <w:t>东小山</w:t>
            </w:r>
          </w:p>
        </w:tc>
        <w:tc>
          <w:tcPr>
            <w:tcW w:w="810" w:type="dxa"/>
            <w:vMerge w:val="continue"/>
            <w:tcBorders>
              <w:tl2br w:val="nil"/>
              <w:tr2bl w:val="nil"/>
            </w:tcBorders>
            <w:vAlign w:val="center"/>
          </w:tcPr>
          <w:p w14:paraId="23CE4DC3">
            <w:pPr>
              <w:jc w:val="center"/>
              <w:rPr>
                <w:rFonts w:ascii="宋体" w:hAnsi="宋体" w:eastAsia="宋体" w:cs="Times New Roman"/>
                <w:color w:val="auto"/>
              </w:rPr>
            </w:pPr>
          </w:p>
        </w:tc>
        <w:tc>
          <w:tcPr>
            <w:tcW w:w="1006" w:type="dxa"/>
            <w:tcBorders>
              <w:tl2br w:val="nil"/>
              <w:tr2bl w:val="nil"/>
            </w:tcBorders>
            <w:vAlign w:val="center"/>
          </w:tcPr>
          <w:p w14:paraId="3C89EC82">
            <w:pPr>
              <w:jc w:val="center"/>
              <w:rPr>
                <w:rFonts w:ascii="宋体" w:hAnsi="宋体" w:eastAsia="宋体" w:cs="Times New Roman"/>
                <w:color w:val="auto"/>
              </w:rPr>
            </w:pPr>
            <w:r>
              <w:rPr>
                <w:rFonts w:ascii="宋体" w:hAnsi="宋体" w:eastAsia="宋体" w:cs="Times New Roman"/>
                <w:color w:val="auto"/>
              </w:rPr>
              <w:t>0.000483231</w:t>
            </w:r>
          </w:p>
        </w:tc>
        <w:tc>
          <w:tcPr>
            <w:tcW w:w="794" w:type="dxa"/>
            <w:tcBorders>
              <w:tl2br w:val="nil"/>
              <w:tr2bl w:val="nil"/>
            </w:tcBorders>
            <w:vAlign w:val="center"/>
          </w:tcPr>
          <w:p w14:paraId="124319AF">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333D1BFA">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4A6711A6">
            <w:pPr>
              <w:jc w:val="right"/>
              <w:textAlignment w:val="center"/>
              <w:rPr>
                <w:rFonts w:ascii="宋体" w:hAnsi="宋体" w:eastAsia="宋体" w:cs="Times New Roman"/>
                <w:color w:val="auto"/>
              </w:rPr>
            </w:pPr>
            <w:r>
              <w:rPr>
                <w:rFonts w:ascii="宋体" w:hAnsi="宋体" w:eastAsia="宋体" w:cs="Times New Roman"/>
                <w:color w:val="auto"/>
                <w:lang w:bidi="ar"/>
              </w:rPr>
              <w:t>39.0005</w:t>
            </w:r>
          </w:p>
        </w:tc>
        <w:tc>
          <w:tcPr>
            <w:tcW w:w="836" w:type="dxa"/>
            <w:tcBorders>
              <w:tl2br w:val="nil"/>
              <w:tr2bl w:val="nil"/>
            </w:tcBorders>
            <w:vAlign w:val="center"/>
          </w:tcPr>
          <w:p w14:paraId="6F1CE03F">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55.715 </w:t>
            </w:r>
          </w:p>
        </w:tc>
        <w:tc>
          <w:tcPr>
            <w:tcW w:w="830" w:type="dxa"/>
            <w:tcBorders>
              <w:tl2br w:val="nil"/>
              <w:tr2bl w:val="nil"/>
            </w:tcBorders>
            <w:vAlign w:val="center"/>
          </w:tcPr>
          <w:p w14:paraId="41D3D403">
            <w:pPr>
              <w:jc w:val="center"/>
              <w:rPr>
                <w:rFonts w:ascii="宋体" w:hAnsi="宋体" w:eastAsia="宋体" w:cs="Times New Roman"/>
                <w:color w:val="auto"/>
              </w:rPr>
            </w:pPr>
            <w:r>
              <w:rPr>
                <w:rFonts w:ascii="宋体" w:hAnsi="宋体" w:eastAsia="宋体" w:cs="Times New Roman"/>
                <w:color w:val="auto"/>
              </w:rPr>
              <w:t>达标</w:t>
            </w:r>
          </w:p>
        </w:tc>
      </w:tr>
      <w:tr w14:paraId="77D13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266A9469">
            <w:pPr>
              <w:jc w:val="center"/>
              <w:rPr>
                <w:rFonts w:ascii="宋体" w:hAnsi="宋体" w:eastAsia="宋体" w:cs="Times New Roman"/>
                <w:color w:val="auto"/>
              </w:rPr>
            </w:pPr>
          </w:p>
        </w:tc>
        <w:tc>
          <w:tcPr>
            <w:tcW w:w="1430" w:type="dxa"/>
            <w:tcBorders>
              <w:tl2br w:val="nil"/>
              <w:tr2bl w:val="nil"/>
            </w:tcBorders>
            <w:vAlign w:val="center"/>
          </w:tcPr>
          <w:p w14:paraId="61CC54E3">
            <w:pPr>
              <w:jc w:val="center"/>
              <w:rPr>
                <w:rFonts w:ascii="宋体" w:hAnsi="宋体" w:eastAsia="宋体" w:cs="Times New Roman"/>
                <w:color w:val="auto"/>
              </w:rPr>
            </w:pPr>
            <w:r>
              <w:rPr>
                <w:rFonts w:ascii="宋体" w:hAnsi="宋体" w:eastAsia="宋体" w:cs="Times New Roman"/>
                <w:color w:val="auto"/>
              </w:rPr>
              <w:t>科技屯</w:t>
            </w:r>
          </w:p>
        </w:tc>
        <w:tc>
          <w:tcPr>
            <w:tcW w:w="810" w:type="dxa"/>
            <w:vMerge w:val="continue"/>
            <w:tcBorders>
              <w:tl2br w:val="nil"/>
              <w:tr2bl w:val="nil"/>
            </w:tcBorders>
            <w:vAlign w:val="center"/>
          </w:tcPr>
          <w:p w14:paraId="76E17303">
            <w:pPr>
              <w:jc w:val="center"/>
              <w:rPr>
                <w:rFonts w:ascii="宋体" w:hAnsi="宋体" w:eastAsia="宋体" w:cs="Times New Roman"/>
                <w:color w:val="auto"/>
              </w:rPr>
            </w:pPr>
          </w:p>
        </w:tc>
        <w:tc>
          <w:tcPr>
            <w:tcW w:w="1006" w:type="dxa"/>
            <w:tcBorders>
              <w:tl2br w:val="nil"/>
              <w:tr2bl w:val="nil"/>
            </w:tcBorders>
            <w:vAlign w:val="center"/>
          </w:tcPr>
          <w:p w14:paraId="42061F2B">
            <w:pPr>
              <w:jc w:val="center"/>
              <w:rPr>
                <w:rFonts w:ascii="宋体" w:hAnsi="宋体" w:eastAsia="宋体" w:cs="Times New Roman"/>
                <w:color w:val="auto"/>
              </w:rPr>
            </w:pPr>
            <w:r>
              <w:rPr>
                <w:rFonts w:ascii="宋体" w:hAnsi="宋体" w:eastAsia="宋体" w:cs="Times New Roman"/>
                <w:color w:val="auto"/>
              </w:rPr>
              <w:t>0.000539849</w:t>
            </w:r>
          </w:p>
        </w:tc>
        <w:tc>
          <w:tcPr>
            <w:tcW w:w="794" w:type="dxa"/>
            <w:tcBorders>
              <w:tl2br w:val="nil"/>
              <w:tr2bl w:val="nil"/>
            </w:tcBorders>
            <w:vAlign w:val="center"/>
          </w:tcPr>
          <w:p w14:paraId="7FE68FCE">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4B27D436">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5204F78E">
            <w:pPr>
              <w:jc w:val="right"/>
              <w:textAlignment w:val="center"/>
              <w:rPr>
                <w:rFonts w:ascii="宋体" w:hAnsi="宋体" w:eastAsia="宋体" w:cs="Times New Roman"/>
                <w:color w:val="auto"/>
              </w:rPr>
            </w:pPr>
            <w:r>
              <w:rPr>
                <w:rFonts w:ascii="宋体" w:hAnsi="宋体" w:eastAsia="宋体" w:cs="Times New Roman"/>
                <w:color w:val="auto"/>
                <w:lang w:bidi="ar"/>
              </w:rPr>
              <w:t>39.0005</w:t>
            </w:r>
          </w:p>
        </w:tc>
        <w:tc>
          <w:tcPr>
            <w:tcW w:w="836" w:type="dxa"/>
            <w:tcBorders>
              <w:tl2br w:val="nil"/>
              <w:tr2bl w:val="nil"/>
            </w:tcBorders>
            <w:vAlign w:val="center"/>
          </w:tcPr>
          <w:p w14:paraId="2399D78F">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55.715 </w:t>
            </w:r>
          </w:p>
        </w:tc>
        <w:tc>
          <w:tcPr>
            <w:tcW w:w="830" w:type="dxa"/>
            <w:tcBorders>
              <w:tl2br w:val="nil"/>
              <w:tr2bl w:val="nil"/>
            </w:tcBorders>
            <w:vAlign w:val="center"/>
          </w:tcPr>
          <w:p w14:paraId="5FEF3BAD">
            <w:pPr>
              <w:jc w:val="center"/>
              <w:rPr>
                <w:rFonts w:ascii="宋体" w:hAnsi="宋体" w:eastAsia="宋体" w:cs="Times New Roman"/>
                <w:color w:val="auto"/>
              </w:rPr>
            </w:pPr>
            <w:r>
              <w:rPr>
                <w:rFonts w:ascii="宋体" w:hAnsi="宋体" w:eastAsia="宋体" w:cs="Times New Roman"/>
                <w:color w:val="auto"/>
              </w:rPr>
              <w:t>达标</w:t>
            </w:r>
          </w:p>
        </w:tc>
      </w:tr>
      <w:tr w14:paraId="5CA95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2FDA548D">
            <w:pPr>
              <w:jc w:val="center"/>
              <w:rPr>
                <w:rFonts w:ascii="宋体" w:hAnsi="宋体" w:eastAsia="宋体" w:cs="Times New Roman"/>
                <w:color w:val="auto"/>
              </w:rPr>
            </w:pPr>
          </w:p>
        </w:tc>
        <w:tc>
          <w:tcPr>
            <w:tcW w:w="1430" w:type="dxa"/>
            <w:tcBorders>
              <w:tl2br w:val="nil"/>
              <w:tr2bl w:val="nil"/>
            </w:tcBorders>
            <w:vAlign w:val="center"/>
          </w:tcPr>
          <w:p w14:paraId="65EA6FC6">
            <w:pPr>
              <w:jc w:val="center"/>
              <w:rPr>
                <w:rFonts w:ascii="宋体" w:hAnsi="宋体" w:eastAsia="宋体" w:cs="Times New Roman"/>
                <w:color w:val="auto"/>
              </w:rPr>
            </w:pPr>
            <w:r>
              <w:rPr>
                <w:rFonts w:ascii="宋体" w:hAnsi="宋体" w:eastAsia="宋体" w:cs="Times New Roman"/>
                <w:color w:val="auto"/>
              </w:rPr>
              <w:t>大姚屯</w:t>
            </w:r>
          </w:p>
        </w:tc>
        <w:tc>
          <w:tcPr>
            <w:tcW w:w="810" w:type="dxa"/>
            <w:vMerge w:val="continue"/>
            <w:tcBorders>
              <w:tl2br w:val="nil"/>
              <w:tr2bl w:val="nil"/>
            </w:tcBorders>
            <w:vAlign w:val="center"/>
          </w:tcPr>
          <w:p w14:paraId="6DCEF4DD">
            <w:pPr>
              <w:jc w:val="center"/>
              <w:rPr>
                <w:rFonts w:ascii="宋体" w:hAnsi="宋体" w:eastAsia="宋体" w:cs="Times New Roman"/>
                <w:color w:val="auto"/>
              </w:rPr>
            </w:pPr>
          </w:p>
        </w:tc>
        <w:tc>
          <w:tcPr>
            <w:tcW w:w="1006" w:type="dxa"/>
            <w:tcBorders>
              <w:tl2br w:val="nil"/>
              <w:tr2bl w:val="nil"/>
            </w:tcBorders>
            <w:vAlign w:val="center"/>
          </w:tcPr>
          <w:p w14:paraId="3794BEBE">
            <w:pPr>
              <w:jc w:val="center"/>
              <w:rPr>
                <w:rFonts w:ascii="宋体" w:hAnsi="宋体" w:eastAsia="宋体" w:cs="Times New Roman"/>
                <w:color w:val="auto"/>
              </w:rPr>
            </w:pPr>
            <w:r>
              <w:rPr>
                <w:rFonts w:ascii="宋体" w:hAnsi="宋体" w:eastAsia="宋体" w:cs="Times New Roman"/>
                <w:color w:val="auto"/>
              </w:rPr>
              <w:t>0.000471629</w:t>
            </w:r>
          </w:p>
        </w:tc>
        <w:tc>
          <w:tcPr>
            <w:tcW w:w="794" w:type="dxa"/>
            <w:tcBorders>
              <w:tl2br w:val="nil"/>
              <w:tr2bl w:val="nil"/>
            </w:tcBorders>
            <w:vAlign w:val="center"/>
          </w:tcPr>
          <w:p w14:paraId="60664D9F">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l2br w:val="nil"/>
              <w:tr2bl w:val="nil"/>
            </w:tcBorders>
            <w:vAlign w:val="center"/>
          </w:tcPr>
          <w:p w14:paraId="4FBCBB5B">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166C6FCC">
            <w:pPr>
              <w:jc w:val="right"/>
              <w:textAlignment w:val="center"/>
              <w:rPr>
                <w:rFonts w:ascii="宋体" w:hAnsi="宋体" w:eastAsia="宋体" w:cs="Times New Roman"/>
                <w:color w:val="auto"/>
              </w:rPr>
            </w:pPr>
            <w:r>
              <w:rPr>
                <w:rFonts w:ascii="宋体" w:hAnsi="宋体" w:eastAsia="宋体" w:cs="Times New Roman"/>
                <w:color w:val="auto"/>
                <w:lang w:bidi="ar"/>
              </w:rPr>
              <w:t>39.0005</w:t>
            </w:r>
          </w:p>
        </w:tc>
        <w:tc>
          <w:tcPr>
            <w:tcW w:w="836" w:type="dxa"/>
            <w:tcBorders>
              <w:tl2br w:val="nil"/>
              <w:tr2bl w:val="nil"/>
            </w:tcBorders>
            <w:vAlign w:val="center"/>
          </w:tcPr>
          <w:p w14:paraId="5909A180">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55.715 </w:t>
            </w:r>
          </w:p>
        </w:tc>
        <w:tc>
          <w:tcPr>
            <w:tcW w:w="830" w:type="dxa"/>
            <w:tcBorders>
              <w:tl2br w:val="nil"/>
              <w:tr2bl w:val="nil"/>
            </w:tcBorders>
            <w:vAlign w:val="center"/>
          </w:tcPr>
          <w:p w14:paraId="618594C6">
            <w:pPr>
              <w:jc w:val="center"/>
              <w:rPr>
                <w:rFonts w:ascii="宋体" w:hAnsi="宋体" w:eastAsia="宋体" w:cs="Times New Roman"/>
                <w:color w:val="auto"/>
              </w:rPr>
            </w:pPr>
            <w:r>
              <w:rPr>
                <w:rFonts w:ascii="宋体" w:hAnsi="宋体" w:eastAsia="宋体" w:cs="Times New Roman"/>
                <w:color w:val="auto"/>
              </w:rPr>
              <w:t>达标</w:t>
            </w:r>
          </w:p>
        </w:tc>
      </w:tr>
      <w:tr w14:paraId="43200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66ADAEA8">
            <w:pPr>
              <w:jc w:val="center"/>
              <w:rPr>
                <w:rFonts w:ascii="宋体" w:hAnsi="宋体" w:eastAsia="宋体" w:cs="Times New Roman"/>
                <w:color w:val="auto"/>
              </w:rPr>
            </w:pPr>
          </w:p>
        </w:tc>
        <w:tc>
          <w:tcPr>
            <w:tcW w:w="1430" w:type="dxa"/>
            <w:tcBorders>
              <w:tl2br w:val="nil"/>
              <w:tr2bl w:val="nil"/>
            </w:tcBorders>
            <w:vAlign w:val="center"/>
          </w:tcPr>
          <w:p w14:paraId="30125812">
            <w:pPr>
              <w:jc w:val="center"/>
              <w:rPr>
                <w:rFonts w:ascii="宋体" w:hAnsi="宋体" w:eastAsia="宋体" w:cs="Times New Roman"/>
                <w:color w:val="auto"/>
              </w:rPr>
            </w:pPr>
            <w:r>
              <w:rPr>
                <w:rFonts w:ascii="宋体" w:hAnsi="宋体" w:eastAsia="宋体" w:cs="Times New Roman"/>
                <w:color w:val="auto"/>
              </w:rPr>
              <w:t>奎中里屯</w:t>
            </w:r>
          </w:p>
        </w:tc>
        <w:tc>
          <w:tcPr>
            <w:tcW w:w="810" w:type="dxa"/>
            <w:vMerge w:val="continue"/>
            <w:tcBorders>
              <w:tl2br w:val="nil"/>
              <w:tr2bl w:val="nil"/>
            </w:tcBorders>
            <w:vAlign w:val="center"/>
          </w:tcPr>
          <w:p w14:paraId="4AC979BD">
            <w:pPr>
              <w:jc w:val="center"/>
              <w:rPr>
                <w:rFonts w:ascii="宋体" w:hAnsi="宋体" w:eastAsia="宋体" w:cs="Times New Roman"/>
                <w:color w:val="auto"/>
              </w:rPr>
            </w:pPr>
          </w:p>
        </w:tc>
        <w:tc>
          <w:tcPr>
            <w:tcW w:w="1006" w:type="dxa"/>
            <w:tcBorders>
              <w:tl2br w:val="nil"/>
              <w:tr2bl w:val="nil"/>
            </w:tcBorders>
            <w:vAlign w:val="center"/>
          </w:tcPr>
          <w:p w14:paraId="2E502147">
            <w:pPr>
              <w:jc w:val="center"/>
              <w:rPr>
                <w:rFonts w:ascii="宋体" w:hAnsi="宋体" w:eastAsia="宋体" w:cs="Times New Roman"/>
                <w:color w:val="auto"/>
              </w:rPr>
            </w:pPr>
            <w:r>
              <w:rPr>
                <w:rFonts w:ascii="宋体" w:hAnsi="宋体" w:eastAsia="宋体" w:cs="Times New Roman"/>
                <w:color w:val="auto"/>
              </w:rPr>
              <w:t>0.00197675</w:t>
            </w:r>
          </w:p>
        </w:tc>
        <w:tc>
          <w:tcPr>
            <w:tcW w:w="794" w:type="dxa"/>
            <w:tcBorders>
              <w:tl2br w:val="nil"/>
              <w:tr2bl w:val="nil"/>
            </w:tcBorders>
            <w:vAlign w:val="center"/>
          </w:tcPr>
          <w:p w14:paraId="53195D8F">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0.003 </w:t>
            </w:r>
          </w:p>
        </w:tc>
        <w:tc>
          <w:tcPr>
            <w:tcW w:w="1262" w:type="dxa"/>
            <w:tcBorders>
              <w:tl2br w:val="nil"/>
              <w:tr2bl w:val="nil"/>
            </w:tcBorders>
            <w:vAlign w:val="center"/>
          </w:tcPr>
          <w:p w14:paraId="0F271CB5">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6A84F27D">
            <w:pPr>
              <w:jc w:val="right"/>
              <w:textAlignment w:val="center"/>
              <w:rPr>
                <w:rFonts w:ascii="宋体" w:hAnsi="宋体" w:eastAsia="宋体" w:cs="Times New Roman"/>
                <w:color w:val="auto"/>
              </w:rPr>
            </w:pPr>
            <w:r>
              <w:rPr>
                <w:rFonts w:ascii="宋体" w:hAnsi="宋体" w:eastAsia="宋体" w:cs="Times New Roman"/>
                <w:color w:val="auto"/>
                <w:lang w:bidi="ar"/>
              </w:rPr>
              <w:t>39.002</w:t>
            </w:r>
          </w:p>
        </w:tc>
        <w:tc>
          <w:tcPr>
            <w:tcW w:w="836" w:type="dxa"/>
            <w:tcBorders>
              <w:tl2br w:val="nil"/>
              <w:tr2bl w:val="nil"/>
            </w:tcBorders>
            <w:vAlign w:val="center"/>
          </w:tcPr>
          <w:p w14:paraId="0957A218">
            <w:pPr>
              <w:jc w:val="right"/>
              <w:textAlignment w:val="center"/>
              <w:rPr>
                <w:rFonts w:ascii="宋体" w:hAnsi="宋体" w:eastAsia="宋体" w:cs="Times New Roman"/>
                <w:color w:val="auto"/>
              </w:rPr>
            </w:pPr>
            <w:r>
              <w:rPr>
                <w:rFonts w:ascii="宋体" w:hAnsi="宋体" w:eastAsia="宋体" w:cs="Times New Roman"/>
                <w:color w:val="auto"/>
                <w:lang w:bidi="ar"/>
              </w:rPr>
              <w:t xml:space="preserve">55.717 </w:t>
            </w:r>
          </w:p>
        </w:tc>
        <w:tc>
          <w:tcPr>
            <w:tcW w:w="830" w:type="dxa"/>
            <w:tcBorders>
              <w:tl2br w:val="nil"/>
              <w:tr2bl w:val="nil"/>
            </w:tcBorders>
            <w:vAlign w:val="center"/>
          </w:tcPr>
          <w:p w14:paraId="01F22FCA">
            <w:pPr>
              <w:jc w:val="center"/>
              <w:rPr>
                <w:rFonts w:ascii="宋体" w:hAnsi="宋体" w:eastAsia="宋体" w:cs="Times New Roman"/>
                <w:color w:val="auto"/>
              </w:rPr>
            </w:pPr>
            <w:r>
              <w:rPr>
                <w:rFonts w:ascii="宋体" w:hAnsi="宋体" w:eastAsia="宋体" w:cs="Times New Roman"/>
                <w:color w:val="auto"/>
              </w:rPr>
              <w:t>达标</w:t>
            </w:r>
          </w:p>
        </w:tc>
      </w:tr>
      <w:tr w14:paraId="3EE12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694" w:type="dxa"/>
            <w:vMerge w:val="continue"/>
            <w:tcBorders>
              <w:tl2br w:val="nil"/>
              <w:tr2bl w:val="nil"/>
            </w:tcBorders>
            <w:vAlign w:val="center"/>
          </w:tcPr>
          <w:p w14:paraId="3FAA6624">
            <w:pPr>
              <w:jc w:val="center"/>
              <w:rPr>
                <w:rFonts w:ascii="宋体" w:hAnsi="宋体" w:eastAsia="宋体" w:cs="Times New Roman"/>
                <w:color w:val="auto"/>
              </w:rPr>
            </w:pPr>
          </w:p>
        </w:tc>
        <w:tc>
          <w:tcPr>
            <w:tcW w:w="1430" w:type="dxa"/>
            <w:tcBorders>
              <w:tl2br w:val="nil"/>
              <w:tr2bl w:val="nil"/>
            </w:tcBorders>
            <w:vAlign w:val="center"/>
          </w:tcPr>
          <w:p w14:paraId="071D3B8A">
            <w:pPr>
              <w:jc w:val="center"/>
              <w:rPr>
                <w:rFonts w:ascii="宋体" w:hAnsi="宋体" w:eastAsia="宋体" w:cs="Times New Roman"/>
                <w:color w:val="auto"/>
              </w:rPr>
            </w:pPr>
            <w:r>
              <w:rPr>
                <w:rFonts w:ascii="宋体" w:hAnsi="宋体" w:eastAsia="宋体" w:cs="Times New Roman"/>
                <w:color w:val="auto"/>
              </w:rPr>
              <w:t>区域最大落地浓度</w:t>
            </w:r>
          </w:p>
        </w:tc>
        <w:tc>
          <w:tcPr>
            <w:tcW w:w="810" w:type="dxa"/>
            <w:vMerge w:val="continue"/>
            <w:tcBorders>
              <w:tl2br w:val="nil"/>
              <w:tr2bl w:val="nil"/>
            </w:tcBorders>
            <w:vAlign w:val="center"/>
          </w:tcPr>
          <w:p w14:paraId="0781C30D">
            <w:pPr>
              <w:jc w:val="center"/>
              <w:rPr>
                <w:rFonts w:ascii="宋体" w:hAnsi="宋体" w:eastAsia="宋体" w:cs="Times New Roman"/>
                <w:color w:val="auto"/>
              </w:rPr>
            </w:pPr>
          </w:p>
        </w:tc>
        <w:tc>
          <w:tcPr>
            <w:tcW w:w="1006" w:type="dxa"/>
            <w:tcBorders>
              <w:tl2br w:val="nil"/>
              <w:tr2bl w:val="nil"/>
            </w:tcBorders>
            <w:vAlign w:val="center"/>
          </w:tcPr>
          <w:p w14:paraId="182479C1">
            <w:pPr>
              <w:jc w:val="center"/>
              <w:rPr>
                <w:rFonts w:ascii="宋体" w:hAnsi="宋体" w:eastAsia="宋体" w:cs="Times New Roman"/>
                <w:color w:val="auto"/>
              </w:rPr>
            </w:pPr>
            <w:r>
              <w:rPr>
                <w:rFonts w:ascii="宋体" w:hAnsi="宋体" w:eastAsia="宋体" w:cs="Times New Roman"/>
                <w:color w:val="auto"/>
              </w:rPr>
              <w:t>0.0373428</w:t>
            </w:r>
          </w:p>
        </w:tc>
        <w:tc>
          <w:tcPr>
            <w:tcW w:w="794" w:type="dxa"/>
            <w:tcBorders>
              <w:tl2br w:val="nil"/>
              <w:tr2bl w:val="nil"/>
            </w:tcBorders>
            <w:vAlign w:val="center"/>
          </w:tcPr>
          <w:p w14:paraId="4A5FA526">
            <w:pPr>
              <w:jc w:val="center"/>
              <w:rPr>
                <w:rFonts w:ascii="宋体" w:hAnsi="宋体" w:eastAsia="宋体" w:cs="Times New Roman"/>
                <w:color w:val="auto"/>
              </w:rPr>
            </w:pPr>
            <w:r>
              <w:rPr>
                <w:rFonts w:ascii="宋体" w:hAnsi="宋体" w:eastAsia="宋体" w:cs="Times New Roman"/>
                <w:color w:val="auto"/>
              </w:rPr>
              <w:t>0.025</w:t>
            </w:r>
          </w:p>
        </w:tc>
        <w:tc>
          <w:tcPr>
            <w:tcW w:w="1262" w:type="dxa"/>
            <w:tcBorders>
              <w:tl2br w:val="nil"/>
              <w:tr2bl w:val="nil"/>
            </w:tcBorders>
            <w:vAlign w:val="center"/>
          </w:tcPr>
          <w:p w14:paraId="524F79F2">
            <w:pPr>
              <w:jc w:val="center"/>
              <w:rPr>
                <w:rFonts w:ascii="宋体" w:hAnsi="宋体" w:eastAsia="宋体" w:cs="Times New Roman"/>
                <w:color w:val="auto"/>
              </w:rPr>
            </w:pPr>
            <w:r>
              <w:rPr>
                <w:rFonts w:ascii="宋体" w:hAnsi="宋体" w:eastAsia="宋体" w:cs="Times New Roman"/>
                <w:color w:val="auto"/>
              </w:rPr>
              <w:t>39</w:t>
            </w:r>
          </w:p>
        </w:tc>
        <w:tc>
          <w:tcPr>
            <w:tcW w:w="1403" w:type="dxa"/>
            <w:tcBorders>
              <w:tl2br w:val="nil"/>
              <w:tr2bl w:val="nil"/>
            </w:tcBorders>
            <w:vAlign w:val="center"/>
          </w:tcPr>
          <w:p w14:paraId="4E061C45">
            <w:pPr>
              <w:jc w:val="center"/>
              <w:rPr>
                <w:rFonts w:ascii="宋体" w:hAnsi="宋体" w:eastAsia="宋体" w:cs="Times New Roman"/>
                <w:color w:val="auto"/>
              </w:rPr>
            </w:pPr>
            <w:r>
              <w:rPr>
                <w:rFonts w:ascii="宋体" w:hAnsi="宋体" w:eastAsia="宋体" w:cs="Times New Roman"/>
                <w:color w:val="auto"/>
              </w:rPr>
              <w:t>39.0373</w:t>
            </w:r>
          </w:p>
        </w:tc>
        <w:tc>
          <w:tcPr>
            <w:tcW w:w="836" w:type="dxa"/>
            <w:tcBorders>
              <w:tl2br w:val="nil"/>
              <w:tr2bl w:val="nil"/>
            </w:tcBorders>
            <w:vAlign w:val="center"/>
          </w:tcPr>
          <w:p w14:paraId="5B77575C">
            <w:pPr>
              <w:jc w:val="center"/>
              <w:rPr>
                <w:rFonts w:ascii="宋体" w:hAnsi="宋体" w:eastAsia="宋体" w:cs="Times New Roman"/>
                <w:color w:val="auto"/>
              </w:rPr>
            </w:pPr>
            <w:r>
              <w:rPr>
                <w:rFonts w:ascii="宋体" w:hAnsi="宋体" w:eastAsia="宋体" w:cs="Times New Roman"/>
                <w:color w:val="auto"/>
              </w:rPr>
              <w:t>55.768</w:t>
            </w:r>
          </w:p>
        </w:tc>
        <w:tc>
          <w:tcPr>
            <w:tcW w:w="830" w:type="dxa"/>
            <w:tcBorders>
              <w:tl2br w:val="nil"/>
              <w:tr2bl w:val="nil"/>
            </w:tcBorders>
            <w:vAlign w:val="center"/>
          </w:tcPr>
          <w:p w14:paraId="0C5F4B87">
            <w:pPr>
              <w:jc w:val="center"/>
              <w:rPr>
                <w:rFonts w:ascii="宋体" w:hAnsi="宋体" w:eastAsia="宋体" w:cs="Times New Roman"/>
                <w:color w:val="auto"/>
              </w:rPr>
            </w:pPr>
            <w:r>
              <w:rPr>
                <w:rFonts w:ascii="宋体" w:hAnsi="宋体" w:eastAsia="宋体" w:cs="Times New Roman"/>
                <w:color w:val="auto"/>
              </w:rPr>
              <w:t>达标</w:t>
            </w:r>
          </w:p>
        </w:tc>
      </w:tr>
      <w:tr w14:paraId="18C11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restart"/>
            <w:tcBorders>
              <w:tl2br w:val="nil"/>
              <w:tr2bl w:val="nil"/>
            </w:tcBorders>
            <w:vAlign w:val="center"/>
          </w:tcPr>
          <w:p w14:paraId="5F401D20">
            <w:pPr>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p>
        </w:tc>
        <w:tc>
          <w:tcPr>
            <w:tcW w:w="1430" w:type="dxa"/>
            <w:tcBorders>
              <w:bottom w:val="single" w:color="auto" w:sz="4" w:space="0"/>
              <w:tl2br w:val="nil"/>
              <w:tr2bl w:val="nil"/>
            </w:tcBorders>
            <w:vAlign w:val="center"/>
          </w:tcPr>
          <w:p w14:paraId="39AA3ECD">
            <w:pPr>
              <w:jc w:val="center"/>
              <w:rPr>
                <w:rFonts w:ascii="宋体" w:hAnsi="宋体" w:eastAsia="宋体" w:cs="Times New Roman"/>
                <w:color w:val="auto"/>
              </w:rPr>
            </w:pPr>
            <w:r>
              <w:rPr>
                <w:rFonts w:ascii="宋体" w:hAnsi="宋体" w:eastAsia="宋体" w:cs="Times New Roman"/>
                <w:color w:val="auto"/>
              </w:rPr>
              <w:t xml:space="preserve"> 吴家围子</w:t>
            </w:r>
          </w:p>
        </w:tc>
        <w:tc>
          <w:tcPr>
            <w:tcW w:w="810" w:type="dxa"/>
            <w:vMerge w:val="restart"/>
            <w:tcBorders>
              <w:tl2br w:val="nil"/>
              <w:tr2bl w:val="nil"/>
            </w:tcBorders>
            <w:vAlign w:val="center"/>
          </w:tcPr>
          <w:p w14:paraId="533800B5">
            <w:pPr>
              <w:jc w:val="center"/>
              <w:rPr>
                <w:rFonts w:ascii="宋体" w:hAnsi="宋体" w:eastAsia="宋体" w:cs="Times New Roman"/>
                <w:color w:val="auto"/>
              </w:rPr>
            </w:pPr>
            <w:r>
              <w:rPr>
                <w:rFonts w:ascii="宋体" w:hAnsi="宋体" w:eastAsia="宋体" w:cs="Times New Roman"/>
                <w:color w:val="auto"/>
              </w:rPr>
              <w:t>98%保证率日平均</w:t>
            </w:r>
          </w:p>
        </w:tc>
        <w:tc>
          <w:tcPr>
            <w:tcW w:w="1006" w:type="dxa"/>
            <w:tcBorders>
              <w:bottom w:val="single" w:color="auto" w:sz="4" w:space="0"/>
              <w:tl2br w:val="nil"/>
              <w:tr2bl w:val="nil"/>
            </w:tcBorders>
            <w:vAlign w:val="center"/>
          </w:tcPr>
          <w:p w14:paraId="26800F79">
            <w:pPr>
              <w:jc w:val="center"/>
              <w:rPr>
                <w:rFonts w:ascii="宋体" w:hAnsi="宋体" w:eastAsia="宋体" w:cs="Times New Roman"/>
                <w:color w:val="auto"/>
              </w:rPr>
            </w:pPr>
            <w:r>
              <w:rPr>
                <w:rFonts w:ascii="宋体" w:hAnsi="宋体" w:eastAsia="宋体" w:cs="Times New Roman"/>
                <w:color w:val="auto"/>
              </w:rPr>
              <w:t xml:space="preserve"> 0.0196724</w:t>
            </w:r>
          </w:p>
        </w:tc>
        <w:tc>
          <w:tcPr>
            <w:tcW w:w="794" w:type="dxa"/>
            <w:tcBorders>
              <w:bottom w:val="single" w:color="auto" w:sz="4" w:space="0"/>
              <w:tl2br w:val="nil"/>
              <w:tr2bl w:val="nil"/>
            </w:tcBorders>
            <w:vAlign w:val="center"/>
          </w:tcPr>
          <w:p w14:paraId="19DE6821">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0.013 </w:t>
            </w:r>
          </w:p>
        </w:tc>
        <w:tc>
          <w:tcPr>
            <w:tcW w:w="1262" w:type="dxa"/>
            <w:tcBorders>
              <w:bottom w:val="single" w:color="auto" w:sz="4" w:space="0"/>
              <w:tl2br w:val="nil"/>
              <w:tr2bl w:val="nil"/>
            </w:tcBorders>
            <w:vAlign w:val="center"/>
          </w:tcPr>
          <w:p w14:paraId="044D854C">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2CFF56C7">
            <w:pPr>
              <w:jc w:val="center"/>
              <w:rPr>
                <w:rFonts w:ascii="宋体" w:hAnsi="宋体" w:eastAsia="宋体" w:cs="Times New Roman"/>
                <w:color w:val="auto"/>
              </w:rPr>
            </w:pPr>
            <w:r>
              <w:rPr>
                <w:rFonts w:ascii="宋体" w:hAnsi="宋体" w:eastAsia="宋体" w:cs="Times New Roman"/>
                <w:color w:val="auto"/>
              </w:rPr>
              <w:t xml:space="preserve"> 13.0197</w:t>
            </w:r>
          </w:p>
        </w:tc>
        <w:tc>
          <w:tcPr>
            <w:tcW w:w="836" w:type="dxa"/>
            <w:tcBorders>
              <w:bottom w:val="single" w:color="auto" w:sz="4" w:space="0"/>
              <w:tl2br w:val="nil"/>
              <w:tr2bl w:val="nil"/>
            </w:tcBorders>
            <w:vAlign w:val="center"/>
          </w:tcPr>
          <w:p w14:paraId="5AB0E389">
            <w:pPr>
              <w:jc w:val="right"/>
              <w:textAlignment w:val="center"/>
              <w:rPr>
                <w:rFonts w:ascii="宋体" w:hAnsi="宋体" w:eastAsia="宋体" w:cs="Times New Roman"/>
                <w:color w:val="auto"/>
              </w:rPr>
            </w:pPr>
            <w:r>
              <w:rPr>
                <w:rFonts w:ascii="宋体" w:hAnsi="宋体" w:eastAsia="宋体" w:cs="Times New Roman"/>
                <w:color w:val="auto"/>
                <w:lang w:bidi="ar"/>
              </w:rPr>
              <w:t xml:space="preserve">8.680 </w:t>
            </w:r>
          </w:p>
        </w:tc>
        <w:tc>
          <w:tcPr>
            <w:tcW w:w="830" w:type="dxa"/>
            <w:tcBorders>
              <w:bottom w:val="single" w:color="auto" w:sz="4" w:space="0"/>
              <w:tl2br w:val="nil"/>
              <w:tr2bl w:val="nil"/>
            </w:tcBorders>
            <w:vAlign w:val="center"/>
          </w:tcPr>
          <w:p w14:paraId="4F15F767">
            <w:pPr>
              <w:jc w:val="center"/>
              <w:rPr>
                <w:rFonts w:ascii="宋体" w:hAnsi="宋体" w:eastAsia="宋体" w:cs="Times New Roman"/>
                <w:color w:val="auto"/>
              </w:rPr>
            </w:pPr>
            <w:r>
              <w:rPr>
                <w:rFonts w:ascii="宋体" w:hAnsi="宋体" w:eastAsia="宋体" w:cs="Times New Roman"/>
                <w:color w:val="auto"/>
              </w:rPr>
              <w:t>达标</w:t>
            </w:r>
          </w:p>
        </w:tc>
      </w:tr>
      <w:tr w14:paraId="0B5D4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4256CC6C">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16ED19FD">
            <w:pPr>
              <w:jc w:val="center"/>
              <w:rPr>
                <w:rFonts w:ascii="宋体" w:hAnsi="宋体" w:eastAsia="宋体" w:cs="Times New Roman"/>
                <w:color w:val="auto"/>
              </w:rPr>
            </w:pPr>
            <w:r>
              <w:rPr>
                <w:rFonts w:ascii="宋体" w:hAnsi="宋体" w:eastAsia="宋体" w:cs="Times New Roman"/>
                <w:color w:val="auto"/>
              </w:rPr>
              <w:t>李彦和屯</w:t>
            </w:r>
          </w:p>
        </w:tc>
        <w:tc>
          <w:tcPr>
            <w:tcW w:w="810" w:type="dxa"/>
            <w:vMerge w:val="continue"/>
            <w:tcBorders>
              <w:tl2br w:val="nil"/>
              <w:tr2bl w:val="nil"/>
            </w:tcBorders>
            <w:vAlign w:val="center"/>
          </w:tcPr>
          <w:p w14:paraId="210AAEB7">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1DD77FA">
            <w:pPr>
              <w:jc w:val="center"/>
              <w:rPr>
                <w:rFonts w:ascii="宋体" w:hAnsi="宋体" w:eastAsia="宋体" w:cs="Times New Roman"/>
                <w:color w:val="auto"/>
              </w:rPr>
            </w:pPr>
            <w:r>
              <w:rPr>
                <w:rFonts w:ascii="宋体" w:hAnsi="宋体" w:eastAsia="宋体" w:cs="Times New Roman"/>
                <w:color w:val="auto"/>
              </w:rPr>
              <w:t>0.0320855</w:t>
            </w:r>
          </w:p>
        </w:tc>
        <w:tc>
          <w:tcPr>
            <w:tcW w:w="794" w:type="dxa"/>
            <w:tcBorders>
              <w:bottom w:val="single" w:color="auto" w:sz="4" w:space="0"/>
              <w:tl2br w:val="nil"/>
              <w:tr2bl w:val="nil"/>
            </w:tcBorders>
            <w:vAlign w:val="center"/>
          </w:tcPr>
          <w:p w14:paraId="18506EF7">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0.021 </w:t>
            </w:r>
          </w:p>
        </w:tc>
        <w:tc>
          <w:tcPr>
            <w:tcW w:w="1262" w:type="dxa"/>
            <w:tcBorders>
              <w:bottom w:val="single" w:color="auto" w:sz="4" w:space="0"/>
              <w:tl2br w:val="nil"/>
              <w:tr2bl w:val="nil"/>
            </w:tcBorders>
            <w:vAlign w:val="center"/>
          </w:tcPr>
          <w:p w14:paraId="60BDB599">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68EC8D70">
            <w:pPr>
              <w:jc w:val="center"/>
              <w:rPr>
                <w:rFonts w:ascii="宋体" w:hAnsi="宋体" w:eastAsia="宋体" w:cs="Times New Roman"/>
                <w:color w:val="auto"/>
              </w:rPr>
            </w:pPr>
            <w:r>
              <w:rPr>
                <w:rFonts w:ascii="宋体" w:hAnsi="宋体" w:eastAsia="宋体" w:cs="Times New Roman"/>
                <w:color w:val="auto"/>
              </w:rPr>
              <w:t>13.0321</w:t>
            </w:r>
          </w:p>
        </w:tc>
        <w:tc>
          <w:tcPr>
            <w:tcW w:w="836" w:type="dxa"/>
            <w:tcBorders>
              <w:bottom w:val="single" w:color="auto" w:sz="4" w:space="0"/>
              <w:tl2br w:val="nil"/>
              <w:tr2bl w:val="nil"/>
            </w:tcBorders>
            <w:vAlign w:val="center"/>
          </w:tcPr>
          <w:p w14:paraId="55FB003E">
            <w:pPr>
              <w:jc w:val="right"/>
              <w:textAlignment w:val="center"/>
              <w:rPr>
                <w:rFonts w:ascii="宋体" w:hAnsi="宋体" w:eastAsia="宋体" w:cs="Times New Roman"/>
                <w:color w:val="auto"/>
              </w:rPr>
            </w:pPr>
            <w:r>
              <w:rPr>
                <w:rFonts w:ascii="宋体" w:hAnsi="宋体" w:eastAsia="宋体" w:cs="Times New Roman"/>
                <w:color w:val="auto"/>
                <w:lang w:bidi="ar"/>
              </w:rPr>
              <w:t xml:space="preserve">8.688 </w:t>
            </w:r>
          </w:p>
        </w:tc>
        <w:tc>
          <w:tcPr>
            <w:tcW w:w="830" w:type="dxa"/>
            <w:tcBorders>
              <w:bottom w:val="single" w:color="auto" w:sz="4" w:space="0"/>
              <w:tl2br w:val="nil"/>
              <w:tr2bl w:val="nil"/>
            </w:tcBorders>
            <w:vAlign w:val="center"/>
          </w:tcPr>
          <w:p w14:paraId="19451C59">
            <w:pPr>
              <w:jc w:val="center"/>
              <w:rPr>
                <w:rFonts w:ascii="宋体" w:hAnsi="宋体" w:eastAsia="宋体" w:cs="Times New Roman"/>
                <w:color w:val="auto"/>
              </w:rPr>
            </w:pPr>
            <w:r>
              <w:rPr>
                <w:rFonts w:ascii="宋体" w:hAnsi="宋体" w:eastAsia="宋体" w:cs="Times New Roman"/>
                <w:color w:val="auto"/>
              </w:rPr>
              <w:t>达标</w:t>
            </w:r>
          </w:p>
        </w:tc>
      </w:tr>
      <w:tr w14:paraId="7BF46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13EB8098">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4CB113B8">
            <w:pPr>
              <w:jc w:val="center"/>
              <w:rPr>
                <w:rFonts w:ascii="宋体" w:hAnsi="宋体" w:eastAsia="宋体" w:cs="Times New Roman"/>
                <w:color w:val="auto"/>
              </w:rPr>
            </w:pPr>
            <w:r>
              <w:rPr>
                <w:rFonts w:ascii="宋体" w:hAnsi="宋体" w:eastAsia="宋体" w:cs="Times New Roman"/>
                <w:color w:val="auto"/>
              </w:rPr>
              <w:t>华南屯</w:t>
            </w:r>
          </w:p>
        </w:tc>
        <w:tc>
          <w:tcPr>
            <w:tcW w:w="810" w:type="dxa"/>
            <w:vMerge w:val="continue"/>
            <w:tcBorders>
              <w:tl2br w:val="nil"/>
              <w:tr2bl w:val="nil"/>
            </w:tcBorders>
            <w:vAlign w:val="center"/>
          </w:tcPr>
          <w:p w14:paraId="404E6524">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A8AF41E">
            <w:pPr>
              <w:jc w:val="center"/>
              <w:rPr>
                <w:rFonts w:ascii="宋体" w:hAnsi="宋体" w:eastAsia="宋体" w:cs="Times New Roman"/>
                <w:color w:val="auto"/>
              </w:rPr>
            </w:pPr>
            <w:r>
              <w:rPr>
                <w:rFonts w:ascii="宋体" w:hAnsi="宋体" w:eastAsia="宋体" w:cs="Times New Roman"/>
                <w:color w:val="auto"/>
              </w:rPr>
              <w:t>0.0363122</w:t>
            </w:r>
          </w:p>
        </w:tc>
        <w:tc>
          <w:tcPr>
            <w:tcW w:w="794" w:type="dxa"/>
            <w:tcBorders>
              <w:bottom w:val="single" w:color="auto" w:sz="4" w:space="0"/>
              <w:tl2br w:val="nil"/>
              <w:tr2bl w:val="nil"/>
            </w:tcBorders>
            <w:vAlign w:val="center"/>
          </w:tcPr>
          <w:p w14:paraId="5FC3D4CD">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0.024 </w:t>
            </w:r>
          </w:p>
        </w:tc>
        <w:tc>
          <w:tcPr>
            <w:tcW w:w="1262" w:type="dxa"/>
            <w:tcBorders>
              <w:bottom w:val="single" w:color="auto" w:sz="4" w:space="0"/>
              <w:tl2br w:val="nil"/>
              <w:tr2bl w:val="nil"/>
            </w:tcBorders>
            <w:vAlign w:val="center"/>
          </w:tcPr>
          <w:p w14:paraId="76C79542">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61B60E8B">
            <w:pPr>
              <w:jc w:val="center"/>
              <w:rPr>
                <w:rFonts w:ascii="宋体" w:hAnsi="宋体" w:eastAsia="宋体" w:cs="Times New Roman"/>
                <w:color w:val="auto"/>
              </w:rPr>
            </w:pPr>
            <w:r>
              <w:rPr>
                <w:rFonts w:ascii="宋体" w:hAnsi="宋体" w:eastAsia="宋体" w:cs="Times New Roman"/>
                <w:color w:val="auto"/>
              </w:rPr>
              <w:t>13.0363</w:t>
            </w:r>
          </w:p>
        </w:tc>
        <w:tc>
          <w:tcPr>
            <w:tcW w:w="836" w:type="dxa"/>
            <w:tcBorders>
              <w:bottom w:val="single" w:color="auto" w:sz="4" w:space="0"/>
              <w:tl2br w:val="nil"/>
              <w:tr2bl w:val="nil"/>
            </w:tcBorders>
            <w:vAlign w:val="center"/>
          </w:tcPr>
          <w:p w14:paraId="2058D738">
            <w:pPr>
              <w:jc w:val="right"/>
              <w:textAlignment w:val="center"/>
              <w:rPr>
                <w:rFonts w:ascii="宋体" w:hAnsi="宋体" w:eastAsia="宋体" w:cs="Times New Roman"/>
                <w:color w:val="auto"/>
              </w:rPr>
            </w:pPr>
            <w:r>
              <w:rPr>
                <w:rFonts w:ascii="宋体" w:hAnsi="宋体" w:eastAsia="宋体" w:cs="Times New Roman"/>
                <w:color w:val="auto"/>
                <w:lang w:bidi="ar"/>
              </w:rPr>
              <w:t xml:space="preserve">8.691 </w:t>
            </w:r>
          </w:p>
        </w:tc>
        <w:tc>
          <w:tcPr>
            <w:tcW w:w="830" w:type="dxa"/>
            <w:tcBorders>
              <w:bottom w:val="single" w:color="auto" w:sz="4" w:space="0"/>
              <w:tl2br w:val="nil"/>
              <w:tr2bl w:val="nil"/>
            </w:tcBorders>
            <w:vAlign w:val="center"/>
          </w:tcPr>
          <w:p w14:paraId="0B454854">
            <w:pPr>
              <w:jc w:val="center"/>
              <w:rPr>
                <w:rFonts w:ascii="宋体" w:hAnsi="宋体" w:eastAsia="宋体" w:cs="Times New Roman"/>
                <w:color w:val="auto"/>
              </w:rPr>
            </w:pPr>
            <w:r>
              <w:rPr>
                <w:rFonts w:ascii="宋体" w:hAnsi="宋体" w:eastAsia="宋体" w:cs="Times New Roman"/>
                <w:color w:val="auto"/>
              </w:rPr>
              <w:t>达标</w:t>
            </w:r>
          </w:p>
        </w:tc>
      </w:tr>
      <w:tr w14:paraId="598D3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694" w:type="dxa"/>
            <w:vMerge w:val="continue"/>
            <w:tcBorders>
              <w:tl2br w:val="nil"/>
              <w:tr2bl w:val="nil"/>
            </w:tcBorders>
            <w:vAlign w:val="center"/>
          </w:tcPr>
          <w:p w14:paraId="6B4D3460">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BDF33E6">
            <w:pPr>
              <w:jc w:val="center"/>
              <w:rPr>
                <w:rFonts w:ascii="宋体" w:hAnsi="宋体" w:eastAsia="宋体" w:cs="Times New Roman"/>
                <w:color w:val="auto"/>
              </w:rPr>
            </w:pPr>
            <w:r>
              <w:rPr>
                <w:rFonts w:ascii="宋体" w:hAnsi="宋体" w:eastAsia="宋体" w:cs="Times New Roman"/>
                <w:color w:val="auto"/>
              </w:rPr>
              <w:t>小欧力马屯</w:t>
            </w:r>
          </w:p>
        </w:tc>
        <w:tc>
          <w:tcPr>
            <w:tcW w:w="810" w:type="dxa"/>
            <w:vMerge w:val="continue"/>
            <w:tcBorders>
              <w:tl2br w:val="nil"/>
              <w:tr2bl w:val="nil"/>
            </w:tcBorders>
            <w:vAlign w:val="center"/>
          </w:tcPr>
          <w:p w14:paraId="0CD6BD20">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25221B71">
            <w:pPr>
              <w:jc w:val="center"/>
              <w:rPr>
                <w:rFonts w:ascii="宋体" w:hAnsi="宋体" w:eastAsia="宋体" w:cs="Times New Roman"/>
                <w:color w:val="auto"/>
              </w:rPr>
            </w:pPr>
            <w:r>
              <w:rPr>
                <w:rFonts w:ascii="宋体" w:hAnsi="宋体" w:eastAsia="宋体" w:cs="Times New Roman"/>
                <w:color w:val="auto"/>
              </w:rPr>
              <w:t>0.037129</w:t>
            </w:r>
          </w:p>
        </w:tc>
        <w:tc>
          <w:tcPr>
            <w:tcW w:w="794" w:type="dxa"/>
            <w:tcBorders>
              <w:bottom w:val="single" w:color="auto" w:sz="4" w:space="0"/>
              <w:tl2br w:val="nil"/>
              <w:tr2bl w:val="nil"/>
            </w:tcBorders>
            <w:vAlign w:val="center"/>
          </w:tcPr>
          <w:p w14:paraId="288374FA">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0.025 </w:t>
            </w:r>
          </w:p>
        </w:tc>
        <w:tc>
          <w:tcPr>
            <w:tcW w:w="1262" w:type="dxa"/>
            <w:tcBorders>
              <w:bottom w:val="single" w:color="auto" w:sz="4" w:space="0"/>
              <w:tl2br w:val="nil"/>
              <w:tr2bl w:val="nil"/>
            </w:tcBorders>
            <w:vAlign w:val="center"/>
          </w:tcPr>
          <w:p w14:paraId="562B53C4">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573961D7">
            <w:pPr>
              <w:jc w:val="center"/>
              <w:rPr>
                <w:rFonts w:ascii="宋体" w:hAnsi="宋体" w:eastAsia="宋体" w:cs="Times New Roman"/>
                <w:color w:val="auto"/>
              </w:rPr>
            </w:pPr>
            <w:r>
              <w:rPr>
                <w:rFonts w:ascii="宋体" w:hAnsi="宋体" w:eastAsia="宋体" w:cs="Times New Roman"/>
                <w:color w:val="auto"/>
              </w:rPr>
              <w:t>13.0371</w:t>
            </w:r>
          </w:p>
        </w:tc>
        <w:tc>
          <w:tcPr>
            <w:tcW w:w="836" w:type="dxa"/>
            <w:tcBorders>
              <w:bottom w:val="single" w:color="auto" w:sz="4" w:space="0"/>
              <w:tl2br w:val="nil"/>
              <w:tr2bl w:val="nil"/>
            </w:tcBorders>
            <w:vAlign w:val="center"/>
          </w:tcPr>
          <w:p w14:paraId="4F6B5490">
            <w:pPr>
              <w:jc w:val="right"/>
              <w:textAlignment w:val="center"/>
              <w:rPr>
                <w:rFonts w:ascii="宋体" w:hAnsi="宋体" w:eastAsia="宋体" w:cs="Times New Roman"/>
                <w:color w:val="auto"/>
              </w:rPr>
            </w:pPr>
            <w:r>
              <w:rPr>
                <w:rFonts w:ascii="宋体" w:hAnsi="宋体" w:eastAsia="宋体" w:cs="Times New Roman"/>
                <w:color w:val="auto"/>
                <w:lang w:bidi="ar"/>
              </w:rPr>
              <w:t xml:space="preserve">8.691 </w:t>
            </w:r>
          </w:p>
        </w:tc>
        <w:tc>
          <w:tcPr>
            <w:tcW w:w="830" w:type="dxa"/>
            <w:tcBorders>
              <w:bottom w:val="single" w:color="auto" w:sz="4" w:space="0"/>
              <w:tl2br w:val="nil"/>
              <w:tr2bl w:val="nil"/>
            </w:tcBorders>
            <w:vAlign w:val="center"/>
          </w:tcPr>
          <w:p w14:paraId="639801E2">
            <w:pPr>
              <w:jc w:val="center"/>
              <w:rPr>
                <w:rFonts w:ascii="宋体" w:hAnsi="宋体" w:eastAsia="宋体" w:cs="Times New Roman"/>
                <w:color w:val="auto"/>
              </w:rPr>
            </w:pPr>
            <w:r>
              <w:rPr>
                <w:rFonts w:ascii="宋体" w:hAnsi="宋体" w:eastAsia="宋体" w:cs="Times New Roman"/>
                <w:color w:val="auto"/>
              </w:rPr>
              <w:t>达标</w:t>
            </w:r>
          </w:p>
        </w:tc>
      </w:tr>
      <w:tr w14:paraId="5CC16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19C45589">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1C1238F2">
            <w:pPr>
              <w:jc w:val="center"/>
              <w:rPr>
                <w:rFonts w:ascii="宋体" w:hAnsi="宋体" w:eastAsia="宋体" w:cs="Times New Roman"/>
                <w:color w:val="auto"/>
              </w:rPr>
            </w:pPr>
            <w:r>
              <w:rPr>
                <w:rFonts w:ascii="宋体" w:hAnsi="宋体" w:eastAsia="宋体" w:cs="Times New Roman"/>
                <w:color w:val="auto"/>
              </w:rPr>
              <w:t>立功村</w:t>
            </w:r>
          </w:p>
        </w:tc>
        <w:tc>
          <w:tcPr>
            <w:tcW w:w="810" w:type="dxa"/>
            <w:vMerge w:val="continue"/>
            <w:tcBorders>
              <w:tl2br w:val="nil"/>
              <w:tr2bl w:val="nil"/>
            </w:tcBorders>
            <w:vAlign w:val="center"/>
          </w:tcPr>
          <w:p w14:paraId="021F5D08">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0840A977">
            <w:pPr>
              <w:jc w:val="center"/>
              <w:rPr>
                <w:rFonts w:ascii="宋体" w:hAnsi="宋体" w:eastAsia="宋体" w:cs="Times New Roman"/>
                <w:color w:val="auto"/>
              </w:rPr>
            </w:pPr>
            <w:r>
              <w:rPr>
                <w:rFonts w:ascii="宋体" w:hAnsi="宋体" w:eastAsia="宋体" w:cs="Times New Roman"/>
                <w:color w:val="auto"/>
              </w:rPr>
              <w:t>0.029487</w:t>
            </w:r>
          </w:p>
        </w:tc>
        <w:tc>
          <w:tcPr>
            <w:tcW w:w="794" w:type="dxa"/>
            <w:tcBorders>
              <w:bottom w:val="single" w:color="auto" w:sz="4" w:space="0"/>
              <w:tl2br w:val="nil"/>
              <w:tr2bl w:val="nil"/>
            </w:tcBorders>
            <w:vAlign w:val="center"/>
          </w:tcPr>
          <w:p w14:paraId="33B1FE7E">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0.020 </w:t>
            </w:r>
          </w:p>
        </w:tc>
        <w:tc>
          <w:tcPr>
            <w:tcW w:w="1262" w:type="dxa"/>
            <w:tcBorders>
              <w:bottom w:val="single" w:color="auto" w:sz="4" w:space="0"/>
              <w:tl2br w:val="nil"/>
              <w:tr2bl w:val="nil"/>
            </w:tcBorders>
            <w:vAlign w:val="center"/>
          </w:tcPr>
          <w:p w14:paraId="4E7D0473">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2D2094D2">
            <w:pPr>
              <w:jc w:val="center"/>
              <w:rPr>
                <w:rFonts w:ascii="宋体" w:hAnsi="宋体" w:eastAsia="宋体" w:cs="Times New Roman"/>
                <w:color w:val="auto"/>
              </w:rPr>
            </w:pPr>
            <w:r>
              <w:rPr>
                <w:rFonts w:ascii="宋体" w:hAnsi="宋体" w:eastAsia="宋体" w:cs="Times New Roman"/>
                <w:color w:val="auto"/>
              </w:rPr>
              <w:t>13.0295</w:t>
            </w:r>
          </w:p>
        </w:tc>
        <w:tc>
          <w:tcPr>
            <w:tcW w:w="836" w:type="dxa"/>
            <w:tcBorders>
              <w:bottom w:val="single" w:color="auto" w:sz="4" w:space="0"/>
              <w:tl2br w:val="nil"/>
              <w:tr2bl w:val="nil"/>
            </w:tcBorders>
            <w:vAlign w:val="center"/>
          </w:tcPr>
          <w:p w14:paraId="55FA00C6">
            <w:pPr>
              <w:jc w:val="right"/>
              <w:textAlignment w:val="center"/>
              <w:rPr>
                <w:rFonts w:ascii="宋体" w:hAnsi="宋体" w:eastAsia="宋体" w:cs="Times New Roman"/>
                <w:color w:val="auto"/>
              </w:rPr>
            </w:pPr>
            <w:r>
              <w:rPr>
                <w:rFonts w:ascii="宋体" w:hAnsi="宋体" w:eastAsia="宋体" w:cs="Times New Roman"/>
                <w:color w:val="auto"/>
                <w:lang w:bidi="ar"/>
              </w:rPr>
              <w:t xml:space="preserve">8.686 </w:t>
            </w:r>
          </w:p>
        </w:tc>
        <w:tc>
          <w:tcPr>
            <w:tcW w:w="830" w:type="dxa"/>
            <w:tcBorders>
              <w:bottom w:val="single" w:color="auto" w:sz="4" w:space="0"/>
              <w:tl2br w:val="nil"/>
              <w:tr2bl w:val="nil"/>
            </w:tcBorders>
            <w:vAlign w:val="center"/>
          </w:tcPr>
          <w:p w14:paraId="72FC8684">
            <w:pPr>
              <w:jc w:val="center"/>
              <w:rPr>
                <w:rFonts w:ascii="宋体" w:hAnsi="宋体" w:eastAsia="宋体" w:cs="Times New Roman"/>
                <w:color w:val="auto"/>
              </w:rPr>
            </w:pPr>
            <w:r>
              <w:rPr>
                <w:rFonts w:ascii="宋体" w:hAnsi="宋体" w:eastAsia="宋体" w:cs="Times New Roman"/>
                <w:color w:val="auto"/>
              </w:rPr>
              <w:t>达标</w:t>
            </w:r>
          </w:p>
        </w:tc>
      </w:tr>
      <w:tr w14:paraId="1775E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02972876">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7BF7E279">
            <w:pPr>
              <w:jc w:val="center"/>
              <w:rPr>
                <w:rFonts w:ascii="宋体" w:hAnsi="宋体" w:eastAsia="宋体" w:cs="Times New Roman"/>
                <w:color w:val="auto"/>
              </w:rPr>
            </w:pPr>
            <w:r>
              <w:rPr>
                <w:rFonts w:ascii="宋体" w:hAnsi="宋体" w:eastAsia="宋体" w:cs="Times New Roman"/>
                <w:color w:val="auto"/>
              </w:rPr>
              <w:t>后欧力马屯</w:t>
            </w:r>
          </w:p>
        </w:tc>
        <w:tc>
          <w:tcPr>
            <w:tcW w:w="810" w:type="dxa"/>
            <w:vMerge w:val="continue"/>
            <w:tcBorders>
              <w:tl2br w:val="nil"/>
              <w:tr2bl w:val="nil"/>
            </w:tcBorders>
            <w:vAlign w:val="center"/>
          </w:tcPr>
          <w:p w14:paraId="6FB83138">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08452C74">
            <w:pPr>
              <w:jc w:val="center"/>
              <w:rPr>
                <w:rFonts w:ascii="宋体" w:hAnsi="宋体" w:eastAsia="宋体" w:cs="Times New Roman"/>
                <w:color w:val="auto"/>
              </w:rPr>
            </w:pPr>
            <w:r>
              <w:rPr>
                <w:rFonts w:ascii="宋体" w:hAnsi="宋体" w:eastAsia="宋体" w:cs="Times New Roman"/>
                <w:color w:val="auto"/>
              </w:rPr>
              <w:t>0.081428</w:t>
            </w:r>
          </w:p>
        </w:tc>
        <w:tc>
          <w:tcPr>
            <w:tcW w:w="794" w:type="dxa"/>
            <w:tcBorders>
              <w:bottom w:val="single" w:color="auto" w:sz="4" w:space="0"/>
              <w:tl2br w:val="nil"/>
              <w:tr2bl w:val="nil"/>
            </w:tcBorders>
            <w:vAlign w:val="center"/>
          </w:tcPr>
          <w:p w14:paraId="60C72266">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0.054 </w:t>
            </w:r>
          </w:p>
        </w:tc>
        <w:tc>
          <w:tcPr>
            <w:tcW w:w="1262" w:type="dxa"/>
            <w:tcBorders>
              <w:bottom w:val="single" w:color="auto" w:sz="4" w:space="0"/>
              <w:tl2br w:val="nil"/>
              <w:tr2bl w:val="nil"/>
            </w:tcBorders>
            <w:vAlign w:val="center"/>
          </w:tcPr>
          <w:p w14:paraId="527F8F1A">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02A1AF71">
            <w:pPr>
              <w:jc w:val="center"/>
              <w:rPr>
                <w:rFonts w:ascii="宋体" w:hAnsi="宋体" w:eastAsia="宋体" w:cs="Times New Roman"/>
                <w:color w:val="auto"/>
              </w:rPr>
            </w:pPr>
            <w:r>
              <w:rPr>
                <w:rFonts w:ascii="宋体" w:hAnsi="宋体" w:eastAsia="宋体" w:cs="Times New Roman"/>
                <w:color w:val="auto"/>
              </w:rPr>
              <w:t>13.0814</w:t>
            </w:r>
          </w:p>
        </w:tc>
        <w:tc>
          <w:tcPr>
            <w:tcW w:w="836" w:type="dxa"/>
            <w:tcBorders>
              <w:bottom w:val="single" w:color="auto" w:sz="4" w:space="0"/>
              <w:tl2br w:val="nil"/>
              <w:tr2bl w:val="nil"/>
            </w:tcBorders>
            <w:vAlign w:val="center"/>
          </w:tcPr>
          <w:p w14:paraId="0FD4311C">
            <w:pPr>
              <w:jc w:val="right"/>
              <w:textAlignment w:val="center"/>
              <w:rPr>
                <w:rFonts w:ascii="宋体" w:hAnsi="宋体" w:eastAsia="宋体" w:cs="Times New Roman"/>
                <w:color w:val="auto"/>
              </w:rPr>
            </w:pPr>
            <w:r>
              <w:rPr>
                <w:rFonts w:ascii="宋体" w:hAnsi="宋体" w:eastAsia="宋体" w:cs="Times New Roman"/>
                <w:color w:val="auto"/>
                <w:lang w:bidi="ar"/>
              </w:rPr>
              <w:t xml:space="preserve">8.721 </w:t>
            </w:r>
          </w:p>
        </w:tc>
        <w:tc>
          <w:tcPr>
            <w:tcW w:w="830" w:type="dxa"/>
            <w:tcBorders>
              <w:bottom w:val="single" w:color="auto" w:sz="4" w:space="0"/>
              <w:tl2br w:val="nil"/>
              <w:tr2bl w:val="nil"/>
            </w:tcBorders>
            <w:vAlign w:val="center"/>
          </w:tcPr>
          <w:p w14:paraId="5A6CB559">
            <w:pPr>
              <w:jc w:val="center"/>
              <w:rPr>
                <w:rFonts w:ascii="宋体" w:hAnsi="宋体" w:eastAsia="宋体" w:cs="Times New Roman"/>
                <w:color w:val="auto"/>
              </w:rPr>
            </w:pPr>
            <w:r>
              <w:rPr>
                <w:rFonts w:ascii="宋体" w:hAnsi="宋体" w:eastAsia="宋体" w:cs="Times New Roman"/>
                <w:color w:val="auto"/>
              </w:rPr>
              <w:t>达标</w:t>
            </w:r>
          </w:p>
        </w:tc>
      </w:tr>
      <w:tr w14:paraId="4470C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2244BB93">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41DCAC93">
            <w:pPr>
              <w:jc w:val="center"/>
              <w:rPr>
                <w:rFonts w:ascii="宋体" w:hAnsi="宋体" w:eastAsia="宋体" w:cs="Times New Roman"/>
                <w:color w:val="auto"/>
              </w:rPr>
            </w:pPr>
            <w:r>
              <w:rPr>
                <w:rFonts w:ascii="宋体" w:hAnsi="宋体" w:eastAsia="宋体" w:cs="Times New Roman"/>
                <w:color w:val="auto"/>
              </w:rPr>
              <w:t>王家园子屯</w:t>
            </w:r>
          </w:p>
        </w:tc>
        <w:tc>
          <w:tcPr>
            <w:tcW w:w="810" w:type="dxa"/>
            <w:vMerge w:val="continue"/>
            <w:tcBorders>
              <w:tl2br w:val="nil"/>
              <w:tr2bl w:val="nil"/>
            </w:tcBorders>
            <w:vAlign w:val="center"/>
          </w:tcPr>
          <w:p w14:paraId="49D569C1">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B46EF9A">
            <w:pPr>
              <w:jc w:val="center"/>
              <w:rPr>
                <w:rFonts w:ascii="宋体" w:hAnsi="宋体" w:eastAsia="宋体" w:cs="Times New Roman"/>
                <w:color w:val="auto"/>
              </w:rPr>
            </w:pPr>
            <w:r>
              <w:rPr>
                <w:rFonts w:ascii="宋体" w:hAnsi="宋体" w:eastAsia="宋体" w:cs="Times New Roman"/>
                <w:color w:val="auto"/>
              </w:rPr>
              <w:t>0.0446965</w:t>
            </w:r>
          </w:p>
        </w:tc>
        <w:tc>
          <w:tcPr>
            <w:tcW w:w="794" w:type="dxa"/>
            <w:tcBorders>
              <w:bottom w:val="single" w:color="auto" w:sz="4" w:space="0"/>
              <w:tl2br w:val="nil"/>
              <w:tr2bl w:val="nil"/>
            </w:tcBorders>
            <w:vAlign w:val="center"/>
          </w:tcPr>
          <w:p w14:paraId="0B629C4C">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0.030 </w:t>
            </w:r>
          </w:p>
        </w:tc>
        <w:tc>
          <w:tcPr>
            <w:tcW w:w="1262" w:type="dxa"/>
            <w:tcBorders>
              <w:bottom w:val="single" w:color="auto" w:sz="4" w:space="0"/>
              <w:tl2br w:val="nil"/>
              <w:tr2bl w:val="nil"/>
            </w:tcBorders>
            <w:vAlign w:val="center"/>
          </w:tcPr>
          <w:p w14:paraId="6112CFAC">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29B5DEF0">
            <w:pPr>
              <w:jc w:val="center"/>
              <w:rPr>
                <w:rFonts w:ascii="宋体" w:hAnsi="宋体" w:eastAsia="宋体" w:cs="Times New Roman"/>
                <w:color w:val="auto"/>
              </w:rPr>
            </w:pPr>
            <w:r>
              <w:rPr>
                <w:rFonts w:ascii="宋体" w:hAnsi="宋体" w:eastAsia="宋体" w:cs="Times New Roman"/>
                <w:color w:val="auto"/>
              </w:rPr>
              <w:t>13.0447</w:t>
            </w:r>
          </w:p>
        </w:tc>
        <w:tc>
          <w:tcPr>
            <w:tcW w:w="836" w:type="dxa"/>
            <w:tcBorders>
              <w:bottom w:val="single" w:color="auto" w:sz="4" w:space="0"/>
              <w:tl2br w:val="nil"/>
              <w:tr2bl w:val="nil"/>
            </w:tcBorders>
            <w:vAlign w:val="center"/>
          </w:tcPr>
          <w:p w14:paraId="413674C7">
            <w:pPr>
              <w:jc w:val="right"/>
              <w:textAlignment w:val="center"/>
              <w:rPr>
                <w:rFonts w:ascii="宋体" w:hAnsi="宋体" w:eastAsia="宋体" w:cs="Times New Roman"/>
                <w:color w:val="auto"/>
              </w:rPr>
            </w:pPr>
            <w:r>
              <w:rPr>
                <w:rFonts w:ascii="宋体" w:hAnsi="宋体" w:eastAsia="宋体" w:cs="Times New Roman"/>
                <w:color w:val="auto"/>
                <w:lang w:bidi="ar"/>
              </w:rPr>
              <w:t xml:space="preserve">8.696 </w:t>
            </w:r>
          </w:p>
        </w:tc>
        <w:tc>
          <w:tcPr>
            <w:tcW w:w="830" w:type="dxa"/>
            <w:tcBorders>
              <w:bottom w:val="single" w:color="auto" w:sz="4" w:space="0"/>
              <w:tl2br w:val="nil"/>
              <w:tr2bl w:val="nil"/>
            </w:tcBorders>
            <w:vAlign w:val="center"/>
          </w:tcPr>
          <w:p w14:paraId="612ADD18">
            <w:pPr>
              <w:jc w:val="center"/>
              <w:rPr>
                <w:rFonts w:ascii="宋体" w:hAnsi="宋体" w:eastAsia="宋体" w:cs="Times New Roman"/>
                <w:color w:val="auto"/>
              </w:rPr>
            </w:pPr>
            <w:r>
              <w:rPr>
                <w:rFonts w:ascii="宋体" w:hAnsi="宋体" w:eastAsia="宋体" w:cs="Times New Roman"/>
                <w:color w:val="auto"/>
              </w:rPr>
              <w:t>达标</w:t>
            </w:r>
          </w:p>
        </w:tc>
      </w:tr>
      <w:tr w14:paraId="58E0C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350EA0A8">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D360F59">
            <w:pPr>
              <w:jc w:val="center"/>
              <w:rPr>
                <w:rFonts w:ascii="宋体" w:hAnsi="宋体" w:eastAsia="宋体" w:cs="Times New Roman"/>
                <w:color w:val="auto"/>
              </w:rPr>
            </w:pPr>
            <w:r>
              <w:rPr>
                <w:rFonts w:ascii="宋体" w:hAnsi="宋体" w:eastAsia="宋体" w:cs="Times New Roman"/>
                <w:color w:val="auto"/>
              </w:rPr>
              <w:t>和平乡</w:t>
            </w:r>
          </w:p>
        </w:tc>
        <w:tc>
          <w:tcPr>
            <w:tcW w:w="810" w:type="dxa"/>
            <w:vMerge w:val="continue"/>
            <w:tcBorders>
              <w:tl2br w:val="nil"/>
              <w:tr2bl w:val="nil"/>
            </w:tcBorders>
            <w:vAlign w:val="center"/>
          </w:tcPr>
          <w:p w14:paraId="6DF7734A">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490ED34C">
            <w:pPr>
              <w:jc w:val="center"/>
              <w:rPr>
                <w:rFonts w:ascii="宋体" w:hAnsi="宋体" w:eastAsia="宋体" w:cs="Times New Roman"/>
                <w:color w:val="auto"/>
              </w:rPr>
            </w:pPr>
            <w:r>
              <w:rPr>
                <w:rFonts w:ascii="宋体" w:hAnsi="宋体" w:eastAsia="宋体" w:cs="Times New Roman"/>
                <w:color w:val="auto"/>
              </w:rPr>
              <w:t>0.0207618</w:t>
            </w:r>
          </w:p>
        </w:tc>
        <w:tc>
          <w:tcPr>
            <w:tcW w:w="794" w:type="dxa"/>
            <w:tcBorders>
              <w:bottom w:val="single" w:color="auto" w:sz="4" w:space="0"/>
              <w:tl2br w:val="nil"/>
              <w:tr2bl w:val="nil"/>
            </w:tcBorders>
            <w:vAlign w:val="center"/>
          </w:tcPr>
          <w:p w14:paraId="58CCD65C">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0.014 </w:t>
            </w:r>
          </w:p>
        </w:tc>
        <w:tc>
          <w:tcPr>
            <w:tcW w:w="1262" w:type="dxa"/>
            <w:tcBorders>
              <w:bottom w:val="single" w:color="auto" w:sz="4" w:space="0"/>
              <w:tl2br w:val="nil"/>
              <w:tr2bl w:val="nil"/>
            </w:tcBorders>
            <w:vAlign w:val="center"/>
          </w:tcPr>
          <w:p w14:paraId="454879C3">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08740EBA">
            <w:pPr>
              <w:jc w:val="center"/>
              <w:rPr>
                <w:rFonts w:ascii="宋体" w:hAnsi="宋体" w:eastAsia="宋体" w:cs="Times New Roman"/>
                <w:color w:val="auto"/>
              </w:rPr>
            </w:pPr>
            <w:r>
              <w:rPr>
                <w:rFonts w:ascii="宋体" w:hAnsi="宋体" w:eastAsia="宋体" w:cs="Times New Roman"/>
                <w:color w:val="auto"/>
              </w:rPr>
              <w:t>13.0208</w:t>
            </w:r>
          </w:p>
        </w:tc>
        <w:tc>
          <w:tcPr>
            <w:tcW w:w="836" w:type="dxa"/>
            <w:tcBorders>
              <w:bottom w:val="single" w:color="auto" w:sz="4" w:space="0"/>
              <w:tl2br w:val="nil"/>
              <w:tr2bl w:val="nil"/>
            </w:tcBorders>
            <w:vAlign w:val="center"/>
          </w:tcPr>
          <w:p w14:paraId="6765A3B9">
            <w:pPr>
              <w:jc w:val="right"/>
              <w:textAlignment w:val="center"/>
              <w:rPr>
                <w:rFonts w:ascii="宋体" w:hAnsi="宋体" w:eastAsia="宋体" w:cs="Times New Roman"/>
                <w:color w:val="auto"/>
              </w:rPr>
            </w:pPr>
            <w:r>
              <w:rPr>
                <w:rFonts w:ascii="宋体" w:hAnsi="宋体" w:eastAsia="宋体" w:cs="Times New Roman"/>
                <w:color w:val="auto"/>
                <w:lang w:bidi="ar"/>
              </w:rPr>
              <w:t xml:space="preserve">8.681 </w:t>
            </w:r>
          </w:p>
        </w:tc>
        <w:tc>
          <w:tcPr>
            <w:tcW w:w="830" w:type="dxa"/>
            <w:tcBorders>
              <w:bottom w:val="single" w:color="auto" w:sz="4" w:space="0"/>
              <w:tl2br w:val="nil"/>
              <w:tr2bl w:val="nil"/>
            </w:tcBorders>
            <w:vAlign w:val="center"/>
          </w:tcPr>
          <w:p w14:paraId="4146EC37">
            <w:pPr>
              <w:jc w:val="center"/>
              <w:rPr>
                <w:rFonts w:ascii="宋体" w:hAnsi="宋体" w:eastAsia="宋体" w:cs="Times New Roman"/>
                <w:color w:val="auto"/>
              </w:rPr>
            </w:pPr>
            <w:r>
              <w:rPr>
                <w:rFonts w:ascii="宋体" w:hAnsi="宋体" w:eastAsia="宋体" w:cs="Times New Roman"/>
                <w:color w:val="auto"/>
              </w:rPr>
              <w:t>达标</w:t>
            </w:r>
          </w:p>
        </w:tc>
      </w:tr>
      <w:tr w14:paraId="72170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41F4AA70">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623B6A4B">
            <w:pPr>
              <w:jc w:val="center"/>
              <w:rPr>
                <w:rFonts w:ascii="宋体" w:hAnsi="宋体" w:eastAsia="宋体" w:cs="Times New Roman"/>
                <w:color w:val="auto"/>
              </w:rPr>
            </w:pPr>
            <w:r>
              <w:rPr>
                <w:rFonts w:ascii="宋体" w:hAnsi="宋体" w:eastAsia="宋体" w:cs="Times New Roman"/>
                <w:color w:val="auto"/>
              </w:rPr>
              <w:t>赵家围子屯</w:t>
            </w:r>
          </w:p>
        </w:tc>
        <w:tc>
          <w:tcPr>
            <w:tcW w:w="810" w:type="dxa"/>
            <w:vMerge w:val="continue"/>
            <w:tcBorders>
              <w:tl2br w:val="nil"/>
              <w:tr2bl w:val="nil"/>
            </w:tcBorders>
            <w:vAlign w:val="center"/>
          </w:tcPr>
          <w:p w14:paraId="1C69B6C2">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E94FF74">
            <w:pPr>
              <w:jc w:val="center"/>
              <w:rPr>
                <w:rFonts w:ascii="宋体" w:hAnsi="宋体" w:eastAsia="宋体" w:cs="Times New Roman"/>
                <w:color w:val="auto"/>
              </w:rPr>
            </w:pPr>
            <w:r>
              <w:rPr>
                <w:rFonts w:ascii="宋体" w:hAnsi="宋体" w:eastAsia="宋体" w:cs="Times New Roman"/>
                <w:color w:val="auto"/>
              </w:rPr>
              <w:t>0.0207916</w:t>
            </w:r>
          </w:p>
        </w:tc>
        <w:tc>
          <w:tcPr>
            <w:tcW w:w="794" w:type="dxa"/>
            <w:tcBorders>
              <w:bottom w:val="single" w:color="auto" w:sz="4" w:space="0"/>
              <w:tl2br w:val="nil"/>
              <w:tr2bl w:val="nil"/>
            </w:tcBorders>
            <w:vAlign w:val="center"/>
          </w:tcPr>
          <w:p w14:paraId="5518C9D9">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0.014 </w:t>
            </w:r>
          </w:p>
        </w:tc>
        <w:tc>
          <w:tcPr>
            <w:tcW w:w="1262" w:type="dxa"/>
            <w:tcBorders>
              <w:bottom w:val="single" w:color="auto" w:sz="4" w:space="0"/>
              <w:tl2br w:val="nil"/>
              <w:tr2bl w:val="nil"/>
            </w:tcBorders>
            <w:vAlign w:val="center"/>
          </w:tcPr>
          <w:p w14:paraId="33047954">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4DAF49C8">
            <w:pPr>
              <w:jc w:val="center"/>
              <w:rPr>
                <w:rFonts w:ascii="宋体" w:hAnsi="宋体" w:eastAsia="宋体" w:cs="Times New Roman"/>
                <w:color w:val="auto"/>
              </w:rPr>
            </w:pPr>
            <w:r>
              <w:rPr>
                <w:rFonts w:ascii="宋体" w:hAnsi="宋体" w:eastAsia="宋体" w:cs="Times New Roman"/>
                <w:color w:val="auto"/>
              </w:rPr>
              <w:t>13.0208</w:t>
            </w:r>
          </w:p>
        </w:tc>
        <w:tc>
          <w:tcPr>
            <w:tcW w:w="836" w:type="dxa"/>
            <w:tcBorders>
              <w:bottom w:val="single" w:color="auto" w:sz="4" w:space="0"/>
              <w:tl2br w:val="nil"/>
              <w:tr2bl w:val="nil"/>
            </w:tcBorders>
            <w:vAlign w:val="center"/>
          </w:tcPr>
          <w:p w14:paraId="58AE5552">
            <w:pPr>
              <w:jc w:val="right"/>
              <w:textAlignment w:val="center"/>
              <w:rPr>
                <w:rFonts w:ascii="宋体" w:hAnsi="宋体" w:eastAsia="宋体" w:cs="Times New Roman"/>
                <w:color w:val="auto"/>
              </w:rPr>
            </w:pPr>
            <w:r>
              <w:rPr>
                <w:rFonts w:ascii="宋体" w:hAnsi="宋体" w:eastAsia="宋体" w:cs="Times New Roman"/>
                <w:color w:val="auto"/>
                <w:lang w:bidi="ar"/>
              </w:rPr>
              <w:t xml:space="preserve">8.681 </w:t>
            </w:r>
          </w:p>
        </w:tc>
        <w:tc>
          <w:tcPr>
            <w:tcW w:w="830" w:type="dxa"/>
            <w:tcBorders>
              <w:bottom w:val="single" w:color="auto" w:sz="4" w:space="0"/>
              <w:tl2br w:val="nil"/>
              <w:tr2bl w:val="nil"/>
            </w:tcBorders>
            <w:vAlign w:val="center"/>
          </w:tcPr>
          <w:p w14:paraId="330C188F">
            <w:pPr>
              <w:jc w:val="center"/>
              <w:rPr>
                <w:rFonts w:ascii="宋体" w:hAnsi="宋体" w:eastAsia="宋体" w:cs="Times New Roman"/>
                <w:color w:val="auto"/>
              </w:rPr>
            </w:pPr>
            <w:r>
              <w:rPr>
                <w:rFonts w:ascii="宋体" w:hAnsi="宋体" w:eastAsia="宋体" w:cs="Times New Roman"/>
                <w:color w:val="auto"/>
              </w:rPr>
              <w:t>达标</w:t>
            </w:r>
          </w:p>
        </w:tc>
      </w:tr>
      <w:tr w14:paraId="3406F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77F81333">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30570C2">
            <w:pPr>
              <w:jc w:val="center"/>
              <w:rPr>
                <w:rFonts w:ascii="宋体" w:hAnsi="宋体" w:eastAsia="宋体" w:cs="Times New Roman"/>
                <w:color w:val="auto"/>
              </w:rPr>
            </w:pPr>
            <w:r>
              <w:rPr>
                <w:rFonts w:ascii="宋体" w:hAnsi="宋体" w:eastAsia="宋体" w:cs="Times New Roman"/>
                <w:color w:val="auto"/>
              </w:rPr>
              <w:t>孙家围子屯</w:t>
            </w:r>
          </w:p>
        </w:tc>
        <w:tc>
          <w:tcPr>
            <w:tcW w:w="810" w:type="dxa"/>
            <w:vMerge w:val="continue"/>
            <w:tcBorders>
              <w:tl2br w:val="nil"/>
              <w:tr2bl w:val="nil"/>
            </w:tcBorders>
            <w:vAlign w:val="center"/>
          </w:tcPr>
          <w:p w14:paraId="02C3853E">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21DB48EF">
            <w:pPr>
              <w:jc w:val="center"/>
              <w:rPr>
                <w:rFonts w:ascii="宋体" w:hAnsi="宋体" w:eastAsia="宋体" w:cs="Times New Roman"/>
                <w:color w:val="auto"/>
              </w:rPr>
            </w:pPr>
            <w:r>
              <w:rPr>
                <w:rFonts w:ascii="宋体" w:hAnsi="宋体" w:eastAsia="宋体" w:cs="Times New Roman"/>
                <w:color w:val="auto"/>
              </w:rPr>
              <w:t>0.0157624</w:t>
            </w:r>
          </w:p>
        </w:tc>
        <w:tc>
          <w:tcPr>
            <w:tcW w:w="794" w:type="dxa"/>
            <w:tcBorders>
              <w:bottom w:val="single" w:color="auto" w:sz="4" w:space="0"/>
              <w:tl2br w:val="nil"/>
              <w:tr2bl w:val="nil"/>
            </w:tcBorders>
            <w:vAlign w:val="center"/>
          </w:tcPr>
          <w:p w14:paraId="7489C625">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0.011 </w:t>
            </w:r>
          </w:p>
        </w:tc>
        <w:tc>
          <w:tcPr>
            <w:tcW w:w="1262" w:type="dxa"/>
            <w:tcBorders>
              <w:bottom w:val="single" w:color="auto" w:sz="4" w:space="0"/>
              <w:tl2br w:val="nil"/>
              <w:tr2bl w:val="nil"/>
            </w:tcBorders>
            <w:vAlign w:val="center"/>
          </w:tcPr>
          <w:p w14:paraId="64835D05">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1E947218">
            <w:pPr>
              <w:jc w:val="center"/>
              <w:rPr>
                <w:rFonts w:ascii="宋体" w:hAnsi="宋体" w:eastAsia="宋体" w:cs="Times New Roman"/>
                <w:color w:val="auto"/>
              </w:rPr>
            </w:pPr>
            <w:r>
              <w:rPr>
                <w:rFonts w:ascii="宋体" w:hAnsi="宋体" w:eastAsia="宋体" w:cs="Times New Roman"/>
                <w:color w:val="auto"/>
              </w:rPr>
              <w:t>13.0158</w:t>
            </w:r>
          </w:p>
        </w:tc>
        <w:tc>
          <w:tcPr>
            <w:tcW w:w="836" w:type="dxa"/>
            <w:tcBorders>
              <w:bottom w:val="single" w:color="auto" w:sz="4" w:space="0"/>
              <w:tl2br w:val="nil"/>
              <w:tr2bl w:val="nil"/>
            </w:tcBorders>
            <w:vAlign w:val="center"/>
          </w:tcPr>
          <w:p w14:paraId="3FE9BE10">
            <w:pPr>
              <w:jc w:val="right"/>
              <w:textAlignment w:val="center"/>
              <w:rPr>
                <w:rFonts w:ascii="宋体" w:hAnsi="宋体" w:eastAsia="宋体" w:cs="Times New Roman"/>
                <w:color w:val="auto"/>
              </w:rPr>
            </w:pPr>
            <w:r>
              <w:rPr>
                <w:rFonts w:ascii="宋体" w:hAnsi="宋体" w:eastAsia="宋体" w:cs="Times New Roman"/>
                <w:color w:val="auto"/>
                <w:lang w:bidi="ar"/>
              </w:rPr>
              <w:t xml:space="preserve">8.677 </w:t>
            </w:r>
          </w:p>
        </w:tc>
        <w:tc>
          <w:tcPr>
            <w:tcW w:w="830" w:type="dxa"/>
            <w:tcBorders>
              <w:bottom w:val="single" w:color="auto" w:sz="4" w:space="0"/>
              <w:tl2br w:val="nil"/>
              <w:tr2bl w:val="nil"/>
            </w:tcBorders>
            <w:vAlign w:val="center"/>
          </w:tcPr>
          <w:p w14:paraId="052D4043">
            <w:pPr>
              <w:jc w:val="center"/>
              <w:rPr>
                <w:rFonts w:ascii="宋体" w:hAnsi="宋体" w:eastAsia="宋体" w:cs="Times New Roman"/>
                <w:color w:val="auto"/>
              </w:rPr>
            </w:pPr>
            <w:r>
              <w:rPr>
                <w:rFonts w:ascii="宋体" w:hAnsi="宋体" w:eastAsia="宋体" w:cs="Times New Roman"/>
                <w:color w:val="auto"/>
              </w:rPr>
              <w:t>达标</w:t>
            </w:r>
          </w:p>
        </w:tc>
      </w:tr>
      <w:tr w14:paraId="20A9B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0997BFDF">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1DA88144">
            <w:pPr>
              <w:jc w:val="center"/>
              <w:rPr>
                <w:rFonts w:ascii="宋体" w:hAnsi="宋体" w:eastAsia="宋体" w:cs="Times New Roman"/>
                <w:color w:val="auto"/>
              </w:rPr>
            </w:pPr>
            <w:r>
              <w:rPr>
                <w:rFonts w:ascii="宋体" w:hAnsi="宋体" w:eastAsia="宋体" w:cs="Times New Roman"/>
                <w:color w:val="auto"/>
              </w:rPr>
              <w:t>对青岗子屯</w:t>
            </w:r>
          </w:p>
        </w:tc>
        <w:tc>
          <w:tcPr>
            <w:tcW w:w="810" w:type="dxa"/>
            <w:vMerge w:val="continue"/>
            <w:tcBorders>
              <w:tl2br w:val="nil"/>
              <w:tr2bl w:val="nil"/>
            </w:tcBorders>
            <w:vAlign w:val="center"/>
          </w:tcPr>
          <w:p w14:paraId="6473CA78">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492B4359">
            <w:pPr>
              <w:jc w:val="center"/>
              <w:rPr>
                <w:rFonts w:ascii="宋体" w:hAnsi="宋体" w:eastAsia="宋体" w:cs="Times New Roman"/>
                <w:color w:val="auto"/>
              </w:rPr>
            </w:pPr>
            <w:r>
              <w:rPr>
                <w:rFonts w:ascii="宋体" w:hAnsi="宋体" w:eastAsia="宋体" w:cs="Times New Roman"/>
                <w:color w:val="auto"/>
              </w:rPr>
              <w:t>0.049303</w:t>
            </w:r>
          </w:p>
        </w:tc>
        <w:tc>
          <w:tcPr>
            <w:tcW w:w="794" w:type="dxa"/>
            <w:tcBorders>
              <w:bottom w:val="single" w:color="auto" w:sz="4" w:space="0"/>
              <w:tl2br w:val="nil"/>
              <w:tr2bl w:val="nil"/>
            </w:tcBorders>
            <w:vAlign w:val="center"/>
          </w:tcPr>
          <w:p w14:paraId="1BC37A70">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0.033 </w:t>
            </w:r>
          </w:p>
        </w:tc>
        <w:tc>
          <w:tcPr>
            <w:tcW w:w="1262" w:type="dxa"/>
            <w:tcBorders>
              <w:bottom w:val="single" w:color="auto" w:sz="4" w:space="0"/>
              <w:tl2br w:val="nil"/>
              <w:tr2bl w:val="nil"/>
            </w:tcBorders>
            <w:vAlign w:val="center"/>
          </w:tcPr>
          <w:p w14:paraId="353CCAA5">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7836D901">
            <w:pPr>
              <w:jc w:val="center"/>
              <w:rPr>
                <w:rFonts w:ascii="宋体" w:hAnsi="宋体" w:eastAsia="宋体" w:cs="Times New Roman"/>
                <w:color w:val="auto"/>
              </w:rPr>
            </w:pPr>
            <w:r>
              <w:rPr>
                <w:rFonts w:ascii="宋体" w:hAnsi="宋体" w:eastAsia="宋体" w:cs="Times New Roman"/>
                <w:color w:val="auto"/>
              </w:rPr>
              <w:t>13.0493</w:t>
            </w:r>
          </w:p>
        </w:tc>
        <w:tc>
          <w:tcPr>
            <w:tcW w:w="836" w:type="dxa"/>
            <w:tcBorders>
              <w:bottom w:val="single" w:color="auto" w:sz="4" w:space="0"/>
              <w:tl2br w:val="nil"/>
              <w:tr2bl w:val="nil"/>
            </w:tcBorders>
            <w:vAlign w:val="center"/>
          </w:tcPr>
          <w:p w14:paraId="6B2FFCFD">
            <w:pPr>
              <w:jc w:val="right"/>
              <w:textAlignment w:val="center"/>
              <w:rPr>
                <w:rFonts w:ascii="宋体" w:hAnsi="宋体" w:eastAsia="宋体" w:cs="Times New Roman"/>
                <w:color w:val="auto"/>
              </w:rPr>
            </w:pPr>
            <w:r>
              <w:rPr>
                <w:rFonts w:ascii="宋体" w:hAnsi="宋体" w:eastAsia="宋体" w:cs="Times New Roman"/>
                <w:color w:val="auto"/>
                <w:lang w:bidi="ar"/>
              </w:rPr>
              <w:t xml:space="preserve">8.700 </w:t>
            </w:r>
          </w:p>
        </w:tc>
        <w:tc>
          <w:tcPr>
            <w:tcW w:w="830" w:type="dxa"/>
            <w:tcBorders>
              <w:bottom w:val="single" w:color="auto" w:sz="4" w:space="0"/>
              <w:tl2br w:val="nil"/>
              <w:tr2bl w:val="nil"/>
            </w:tcBorders>
            <w:vAlign w:val="center"/>
          </w:tcPr>
          <w:p w14:paraId="2B09590B">
            <w:pPr>
              <w:jc w:val="center"/>
              <w:rPr>
                <w:rFonts w:ascii="宋体" w:hAnsi="宋体" w:eastAsia="宋体" w:cs="Times New Roman"/>
                <w:color w:val="auto"/>
              </w:rPr>
            </w:pPr>
            <w:r>
              <w:rPr>
                <w:rFonts w:ascii="宋体" w:hAnsi="宋体" w:eastAsia="宋体" w:cs="Times New Roman"/>
                <w:color w:val="auto"/>
              </w:rPr>
              <w:t>达标</w:t>
            </w:r>
          </w:p>
        </w:tc>
      </w:tr>
      <w:tr w14:paraId="69CB3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2A6314F0">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36270D62">
            <w:pPr>
              <w:jc w:val="center"/>
              <w:rPr>
                <w:rFonts w:ascii="宋体" w:hAnsi="宋体" w:eastAsia="宋体" w:cs="Times New Roman"/>
                <w:color w:val="auto"/>
              </w:rPr>
            </w:pPr>
            <w:r>
              <w:rPr>
                <w:rFonts w:ascii="宋体" w:hAnsi="宋体" w:eastAsia="宋体" w:cs="Times New Roman"/>
                <w:color w:val="auto"/>
              </w:rPr>
              <w:t>蒙古屯</w:t>
            </w:r>
          </w:p>
        </w:tc>
        <w:tc>
          <w:tcPr>
            <w:tcW w:w="810" w:type="dxa"/>
            <w:vMerge w:val="continue"/>
            <w:tcBorders>
              <w:tl2br w:val="nil"/>
              <w:tr2bl w:val="nil"/>
            </w:tcBorders>
            <w:vAlign w:val="center"/>
          </w:tcPr>
          <w:p w14:paraId="13394C69">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8350986">
            <w:pPr>
              <w:jc w:val="center"/>
              <w:rPr>
                <w:rFonts w:ascii="宋体" w:hAnsi="宋体" w:eastAsia="宋体" w:cs="Times New Roman"/>
                <w:color w:val="auto"/>
              </w:rPr>
            </w:pPr>
            <w:r>
              <w:rPr>
                <w:rFonts w:ascii="宋体" w:hAnsi="宋体" w:eastAsia="宋体" w:cs="Times New Roman"/>
                <w:color w:val="auto"/>
              </w:rPr>
              <w:t>0.0273941</w:t>
            </w:r>
          </w:p>
        </w:tc>
        <w:tc>
          <w:tcPr>
            <w:tcW w:w="794" w:type="dxa"/>
            <w:tcBorders>
              <w:bottom w:val="single" w:color="auto" w:sz="4" w:space="0"/>
              <w:tl2br w:val="nil"/>
              <w:tr2bl w:val="nil"/>
            </w:tcBorders>
            <w:vAlign w:val="center"/>
          </w:tcPr>
          <w:p w14:paraId="45BB280E">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0.018 </w:t>
            </w:r>
          </w:p>
        </w:tc>
        <w:tc>
          <w:tcPr>
            <w:tcW w:w="1262" w:type="dxa"/>
            <w:tcBorders>
              <w:bottom w:val="single" w:color="auto" w:sz="4" w:space="0"/>
              <w:tl2br w:val="nil"/>
              <w:tr2bl w:val="nil"/>
            </w:tcBorders>
            <w:vAlign w:val="center"/>
          </w:tcPr>
          <w:p w14:paraId="37FC7AC7">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6BFEE807">
            <w:pPr>
              <w:jc w:val="center"/>
              <w:rPr>
                <w:rFonts w:ascii="宋体" w:hAnsi="宋体" w:eastAsia="宋体" w:cs="Times New Roman"/>
                <w:color w:val="auto"/>
              </w:rPr>
            </w:pPr>
            <w:r>
              <w:rPr>
                <w:rFonts w:ascii="宋体" w:hAnsi="宋体" w:eastAsia="宋体" w:cs="Times New Roman"/>
                <w:color w:val="auto"/>
              </w:rPr>
              <w:t>13.0274</w:t>
            </w:r>
          </w:p>
        </w:tc>
        <w:tc>
          <w:tcPr>
            <w:tcW w:w="836" w:type="dxa"/>
            <w:tcBorders>
              <w:bottom w:val="single" w:color="auto" w:sz="4" w:space="0"/>
              <w:tl2br w:val="nil"/>
              <w:tr2bl w:val="nil"/>
            </w:tcBorders>
            <w:vAlign w:val="center"/>
          </w:tcPr>
          <w:p w14:paraId="2D18362D">
            <w:pPr>
              <w:jc w:val="right"/>
              <w:textAlignment w:val="center"/>
              <w:rPr>
                <w:rFonts w:ascii="宋体" w:hAnsi="宋体" w:eastAsia="宋体" w:cs="Times New Roman"/>
                <w:color w:val="auto"/>
              </w:rPr>
            </w:pPr>
            <w:r>
              <w:rPr>
                <w:rFonts w:ascii="宋体" w:hAnsi="宋体" w:eastAsia="宋体" w:cs="Times New Roman"/>
                <w:color w:val="auto"/>
                <w:lang w:bidi="ar"/>
              </w:rPr>
              <w:t xml:space="preserve">8.685 </w:t>
            </w:r>
          </w:p>
        </w:tc>
        <w:tc>
          <w:tcPr>
            <w:tcW w:w="830" w:type="dxa"/>
            <w:tcBorders>
              <w:bottom w:val="single" w:color="auto" w:sz="4" w:space="0"/>
              <w:tl2br w:val="nil"/>
              <w:tr2bl w:val="nil"/>
            </w:tcBorders>
            <w:vAlign w:val="center"/>
          </w:tcPr>
          <w:p w14:paraId="14E329E7">
            <w:pPr>
              <w:jc w:val="center"/>
              <w:rPr>
                <w:rFonts w:ascii="宋体" w:hAnsi="宋体" w:eastAsia="宋体" w:cs="Times New Roman"/>
                <w:color w:val="auto"/>
              </w:rPr>
            </w:pPr>
            <w:r>
              <w:rPr>
                <w:rFonts w:ascii="宋体" w:hAnsi="宋体" w:eastAsia="宋体" w:cs="Times New Roman"/>
                <w:color w:val="auto"/>
              </w:rPr>
              <w:t>达标</w:t>
            </w:r>
          </w:p>
        </w:tc>
      </w:tr>
      <w:tr w14:paraId="7D632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33EFB27E">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D9F694A">
            <w:pPr>
              <w:jc w:val="center"/>
              <w:rPr>
                <w:rFonts w:ascii="宋体" w:hAnsi="宋体" w:eastAsia="宋体" w:cs="Times New Roman"/>
                <w:color w:val="auto"/>
              </w:rPr>
            </w:pPr>
            <w:r>
              <w:rPr>
                <w:rFonts w:ascii="宋体" w:hAnsi="宋体" w:eastAsia="宋体" w:cs="Times New Roman"/>
                <w:color w:val="auto"/>
              </w:rPr>
              <w:t>四方山屯</w:t>
            </w:r>
          </w:p>
        </w:tc>
        <w:tc>
          <w:tcPr>
            <w:tcW w:w="810" w:type="dxa"/>
            <w:vMerge w:val="continue"/>
            <w:tcBorders>
              <w:tl2br w:val="nil"/>
              <w:tr2bl w:val="nil"/>
            </w:tcBorders>
            <w:vAlign w:val="center"/>
          </w:tcPr>
          <w:p w14:paraId="3796E35F">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29D82C9">
            <w:pPr>
              <w:jc w:val="center"/>
              <w:rPr>
                <w:rFonts w:ascii="宋体" w:hAnsi="宋体" w:eastAsia="宋体" w:cs="Times New Roman"/>
                <w:color w:val="auto"/>
              </w:rPr>
            </w:pPr>
            <w:r>
              <w:rPr>
                <w:rFonts w:ascii="宋体" w:hAnsi="宋体" w:eastAsia="宋体" w:cs="Times New Roman"/>
                <w:color w:val="auto"/>
              </w:rPr>
              <w:t>0.00855378</w:t>
            </w:r>
          </w:p>
        </w:tc>
        <w:tc>
          <w:tcPr>
            <w:tcW w:w="794" w:type="dxa"/>
            <w:tcBorders>
              <w:bottom w:val="single" w:color="auto" w:sz="4" w:space="0"/>
              <w:tl2br w:val="nil"/>
              <w:tr2bl w:val="nil"/>
            </w:tcBorders>
            <w:vAlign w:val="center"/>
          </w:tcPr>
          <w:p w14:paraId="5FAF399A">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0.006 </w:t>
            </w:r>
          </w:p>
        </w:tc>
        <w:tc>
          <w:tcPr>
            <w:tcW w:w="1262" w:type="dxa"/>
            <w:tcBorders>
              <w:bottom w:val="single" w:color="auto" w:sz="4" w:space="0"/>
              <w:tl2br w:val="nil"/>
              <w:tr2bl w:val="nil"/>
            </w:tcBorders>
            <w:vAlign w:val="center"/>
          </w:tcPr>
          <w:p w14:paraId="6041A7F4">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51D521C4">
            <w:pPr>
              <w:jc w:val="center"/>
              <w:rPr>
                <w:rFonts w:ascii="宋体" w:hAnsi="宋体" w:eastAsia="宋体" w:cs="Times New Roman"/>
                <w:color w:val="auto"/>
              </w:rPr>
            </w:pPr>
            <w:r>
              <w:rPr>
                <w:rFonts w:ascii="宋体" w:hAnsi="宋体" w:eastAsia="宋体" w:cs="Times New Roman"/>
                <w:color w:val="auto"/>
              </w:rPr>
              <w:t>13.0086</w:t>
            </w:r>
          </w:p>
        </w:tc>
        <w:tc>
          <w:tcPr>
            <w:tcW w:w="836" w:type="dxa"/>
            <w:tcBorders>
              <w:bottom w:val="single" w:color="auto" w:sz="4" w:space="0"/>
              <w:tl2br w:val="nil"/>
              <w:tr2bl w:val="nil"/>
            </w:tcBorders>
            <w:vAlign w:val="center"/>
          </w:tcPr>
          <w:p w14:paraId="787D4C25">
            <w:pPr>
              <w:jc w:val="right"/>
              <w:textAlignment w:val="center"/>
              <w:rPr>
                <w:rFonts w:ascii="宋体" w:hAnsi="宋体" w:eastAsia="宋体" w:cs="Times New Roman"/>
                <w:color w:val="auto"/>
              </w:rPr>
            </w:pPr>
            <w:r>
              <w:rPr>
                <w:rFonts w:ascii="宋体" w:hAnsi="宋体" w:eastAsia="宋体" w:cs="Times New Roman"/>
                <w:color w:val="auto"/>
                <w:lang w:bidi="ar"/>
              </w:rPr>
              <w:t xml:space="preserve">8.672 </w:t>
            </w:r>
          </w:p>
        </w:tc>
        <w:tc>
          <w:tcPr>
            <w:tcW w:w="830" w:type="dxa"/>
            <w:tcBorders>
              <w:bottom w:val="single" w:color="auto" w:sz="4" w:space="0"/>
              <w:tl2br w:val="nil"/>
              <w:tr2bl w:val="nil"/>
            </w:tcBorders>
            <w:vAlign w:val="center"/>
          </w:tcPr>
          <w:p w14:paraId="79DF0F83">
            <w:pPr>
              <w:jc w:val="center"/>
              <w:rPr>
                <w:rFonts w:ascii="宋体" w:hAnsi="宋体" w:eastAsia="宋体" w:cs="Times New Roman"/>
                <w:color w:val="auto"/>
              </w:rPr>
            </w:pPr>
            <w:r>
              <w:rPr>
                <w:rFonts w:ascii="宋体" w:hAnsi="宋体" w:eastAsia="宋体" w:cs="Times New Roman"/>
                <w:color w:val="auto"/>
              </w:rPr>
              <w:t>达标</w:t>
            </w:r>
          </w:p>
        </w:tc>
      </w:tr>
      <w:tr w14:paraId="20F41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5EDC2D93">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3FCD525E">
            <w:pPr>
              <w:jc w:val="center"/>
              <w:rPr>
                <w:rFonts w:ascii="宋体" w:hAnsi="宋体" w:eastAsia="宋体" w:cs="Times New Roman"/>
                <w:color w:val="auto"/>
              </w:rPr>
            </w:pPr>
            <w:r>
              <w:rPr>
                <w:rFonts w:ascii="宋体" w:hAnsi="宋体" w:eastAsia="宋体" w:cs="Times New Roman"/>
                <w:color w:val="auto"/>
              </w:rPr>
              <w:t>小东屯</w:t>
            </w:r>
          </w:p>
        </w:tc>
        <w:tc>
          <w:tcPr>
            <w:tcW w:w="810" w:type="dxa"/>
            <w:vMerge w:val="continue"/>
            <w:tcBorders>
              <w:tl2br w:val="nil"/>
              <w:tr2bl w:val="nil"/>
            </w:tcBorders>
            <w:vAlign w:val="center"/>
          </w:tcPr>
          <w:p w14:paraId="42DDC48D">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50CA3E59">
            <w:pPr>
              <w:jc w:val="center"/>
              <w:rPr>
                <w:rFonts w:ascii="宋体" w:hAnsi="宋体" w:eastAsia="宋体" w:cs="Times New Roman"/>
                <w:color w:val="auto"/>
              </w:rPr>
            </w:pPr>
            <w:r>
              <w:rPr>
                <w:rFonts w:ascii="宋体" w:hAnsi="宋体" w:eastAsia="宋体" w:cs="Times New Roman"/>
                <w:color w:val="auto"/>
              </w:rPr>
              <w:t>0.00867576</w:t>
            </w:r>
          </w:p>
        </w:tc>
        <w:tc>
          <w:tcPr>
            <w:tcW w:w="794" w:type="dxa"/>
            <w:tcBorders>
              <w:bottom w:val="single" w:color="auto" w:sz="4" w:space="0"/>
              <w:tl2br w:val="nil"/>
              <w:tr2bl w:val="nil"/>
            </w:tcBorders>
            <w:vAlign w:val="center"/>
          </w:tcPr>
          <w:p w14:paraId="79C6B019">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0.006 </w:t>
            </w:r>
          </w:p>
        </w:tc>
        <w:tc>
          <w:tcPr>
            <w:tcW w:w="1262" w:type="dxa"/>
            <w:tcBorders>
              <w:bottom w:val="single" w:color="auto" w:sz="4" w:space="0"/>
              <w:tl2br w:val="nil"/>
              <w:tr2bl w:val="nil"/>
            </w:tcBorders>
            <w:vAlign w:val="center"/>
          </w:tcPr>
          <w:p w14:paraId="565EB221">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09E4905B">
            <w:pPr>
              <w:jc w:val="center"/>
              <w:rPr>
                <w:rFonts w:ascii="宋体" w:hAnsi="宋体" w:eastAsia="宋体" w:cs="Times New Roman"/>
                <w:color w:val="auto"/>
              </w:rPr>
            </w:pPr>
            <w:r>
              <w:rPr>
                <w:rFonts w:ascii="宋体" w:hAnsi="宋体" w:eastAsia="宋体" w:cs="Times New Roman"/>
                <w:color w:val="auto"/>
              </w:rPr>
              <w:t>13.0087</w:t>
            </w:r>
          </w:p>
        </w:tc>
        <w:tc>
          <w:tcPr>
            <w:tcW w:w="836" w:type="dxa"/>
            <w:tcBorders>
              <w:bottom w:val="single" w:color="auto" w:sz="4" w:space="0"/>
              <w:tl2br w:val="nil"/>
              <w:tr2bl w:val="nil"/>
            </w:tcBorders>
            <w:vAlign w:val="center"/>
          </w:tcPr>
          <w:p w14:paraId="2082A9E9">
            <w:pPr>
              <w:jc w:val="right"/>
              <w:textAlignment w:val="center"/>
              <w:rPr>
                <w:rFonts w:ascii="宋体" w:hAnsi="宋体" w:eastAsia="宋体" w:cs="Times New Roman"/>
                <w:color w:val="auto"/>
              </w:rPr>
            </w:pPr>
            <w:r>
              <w:rPr>
                <w:rFonts w:ascii="宋体" w:hAnsi="宋体" w:eastAsia="宋体" w:cs="Times New Roman"/>
                <w:color w:val="auto"/>
                <w:lang w:bidi="ar"/>
              </w:rPr>
              <w:t xml:space="preserve">8.672 </w:t>
            </w:r>
          </w:p>
        </w:tc>
        <w:tc>
          <w:tcPr>
            <w:tcW w:w="830" w:type="dxa"/>
            <w:tcBorders>
              <w:bottom w:val="single" w:color="auto" w:sz="4" w:space="0"/>
              <w:tl2br w:val="nil"/>
              <w:tr2bl w:val="nil"/>
            </w:tcBorders>
            <w:vAlign w:val="center"/>
          </w:tcPr>
          <w:p w14:paraId="4FBD019F">
            <w:pPr>
              <w:jc w:val="center"/>
              <w:rPr>
                <w:rFonts w:ascii="宋体" w:hAnsi="宋体" w:eastAsia="宋体" w:cs="Times New Roman"/>
                <w:color w:val="auto"/>
              </w:rPr>
            </w:pPr>
            <w:r>
              <w:rPr>
                <w:rFonts w:ascii="宋体" w:hAnsi="宋体" w:eastAsia="宋体" w:cs="Times New Roman"/>
                <w:color w:val="auto"/>
              </w:rPr>
              <w:t>达标</w:t>
            </w:r>
          </w:p>
        </w:tc>
      </w:tr>
      <w:tr w14:paraId="011A0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4E2A9D66">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3E53F26">
            <w:pPr>
              <w:jc w:val="center"/>
              <w:rPr>
                <w:rFonts w:ascii="宋体" w:hAnsi="宋体" w:eastAsia="宋体" w:cs="Times New Roman"/>
                <w:color w:val="auto"/>
              </w:rPr>
            </w:pPr>
            <w:r>
              <w:rPr>
                <w:rFonts w:ascii="宋体" w:hAnsi="宋体" w:eastAsia="宋体" w:cs="Times New Roman"/>
                <w:color w:val="auto"/>
              </w:rPr>
              <w:t>东兴村</w:t>
            </w:r>
          </w:p>
        </w:tc>
        <w:tc>
          <w:tcPr>
            <w:tcW w:w="810" w:type="dxa"/>
            <w:vMerge w:val="continue"/>
            <w:tcBorders>
              <w:tl2br w:val="nil"/>
              <w:tr2bl w:val="nil"/>
            </w:tcBorders>
            <w:vAlign w:val="center"/>
          </w:tcPr>
          <w:p w14:paraId="1CB480A1">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53B76293">
            <w:pPr>
              <w:jc w:val="center"/>
              <w:rPr>
                <w:rFonts w:ascii="宋体" w:hAnsi="宋体" w:eastAsia="宋体" w:cs="Times New Roman"/>
                <w:color w:val="auto"/>
              </w:rPr>
            </w:pPr>
            <w:r>
              <w:rPr>
                <w:rFonts w:ascii="宋体" w:hAnsi="宋体" w:eastAsia="宋体" w:cs="Times New Roman"/>
                <w:color w:val="auto"/>
              </w:rPr>
              <w:t>0.00604773</w:t>
            </w:r>
          </w:p>
        </w:tc>
        <w:tc>
          <w:tcPr>
            <w:tcW w:w="794" w:type="dxa"/>
            <w:tcBorders>
              <w:bottom w:val="single" w:color="auto" w:sz="4" w:space="0"/>
              <w:tl2br w:val="nil"/>
              <w:tr2bl w:val="nil"/>
            </w:tcBorders>
            <w:vAlign w:val="center"/>
          </w:tcPr>
          <w:p w14:paraId="3D4D832F">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0.004 </w:t>
            </w:r>
          </w:p>
        </w:tc>
        <w:tc>
          <w:tcPr>
            <w:tcW w:w="1262" w:type="dxa"/>
            <w:tcBorders>
              <w:bottom w:val="single" w:color="auto" w:sz="4" w:space="0"/>
              <w:tl2br w:val="nil"/>
              <w:tr2bl w:val="nil"/>
            </w:tcBorders>
            <w:vAlign w:val="center"/>
          </w:tcPr>
          <w:p w14:paraId="61AE7D7C">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7E10EEF6">
            <w:pPr>
              <w:jc w:val="center"/>
              <w:rPr>
                <w:rFonts w:ascii="宋体" w:hAnsi="宋体" w:eastAsia="宋体" w:cs="Times New Roman"/>
                <w:color w:val="auto"/>
              </w:rPr>
            </w:pPr>
            <w:r>
              <w:rPr>
                <w:rFonts w:ascii="宋体" w:hAnsi="宋体" w:eastAsia="宋体" w:cs="Times New Roman"/>
                <w:color w:val="auto"/>
              </w:rPr>
              <w:t>13.006</w:t>
            </w:r>
          </w:p>
        </w:tc>
        <w:tc>
          <w:tcPr>
            <w:tcW w:w="836" w:type="dxa"/>
            <w:tcBorders>
              <w:bottom w:val="single" w:color="auto" w:sz="4" w:space="0"/>
              <w:tl2br w:val="nil"/>
              <w:tr2bl w:val="nil"/>
            </w:tcBorders>
            <w:vAlign w:val="center"/>
          </w:tcPr>
          <w:p w14:paraId="6AAC494D">
            <w:pPr>
              <w:jc w:val="right"/>
              <w:textAlignment w:val="center"/>
              <w:rPr>
                <w:rFonts w:ascii="宋体" w:hAnsi="宋体" w:eastAsia="宋体" w:cs="Times New Roman"/>
                <w:color w:val="auto"/>
              </w:rPr>
            </w:pPr>
            <w:r>
              <w:rPr>
                <w:rFonts w:ascii="宋体" w:hAnsi="宋体" w:eastAsia="宋体" w:cs="Times New Roman"/>
                <w:color w:val="auto"/>
                <w:lang w:bidi="ar"/>
              </w:rPr>
              <w:t xml:space="preserve">8.671 </w:t>
            </w:r>
          </w:p>
        </w:tc>
        <w:tc>
          <w:tcPr>
            <w:tcW w:w="830" w:type="dxa"/>
            <w:tcBorders>
              <w:bottom w:val="single" w:color="auto" w:sz="4" w:space="0"/>
              <w:tl2br w:val="nil"/>
              <w:tr2bl w:val="nil"/>
            </w:tcBorders>
            <w:vAlign w:val="center"/>
          </w:tcPr>
          <w:p w14:paraId="6E850B93">
            <w:pPr>
              <w:jc w:val="center"/>
              <w:rPr>
                <w:rFonts w:ascii="宋体" w:hAnsi="宋体" w:eastAsia="宋体" w:cs="Times New Roman"/>
                <w:color w:val="auto"/>
              </w:rPr>
            </w:pPr>
            <w:r>
              <w:rPr>
                <w:rFonts w:ascii="宋体" w:hAnsi="宋体" w:eastAsia="宋体" w:cs="Times New Roman"/>
                <w:color w:val="auto"/>
              </w:rPr>
              <w:t>达标</w:t>
            </w:r>
          </w:p>
        </w:tc>
      </w:tr>
      <w:tr w14:paraId="766DD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tcBorders>
              <w:tl2br w:val="nil"/>
              <w:tr2bl w:val="nil"/>
            </w:tcBorders>
            <w:vAlign w:val="center"/>
          </w:tcPr>
          <w:p w14:paraId="5EE0D59A">
            <w:pPr>
              <w:jc w:val="center"/>
              <w:rPr>
                <w:rFonts w:ascii="宋体" w:hAnsi="宋体" w:eastAsia="宋体" w:cs="Times New Roman"/>
                <w:color w:val="auto"/>
              </w:rPr>
            </w:pPr>
          </w:p>
          <w:p w14:paraId="726F657C">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36954AF8">
            <w:pPr>
              <w:jc w:val="center"/>
              <w:rPr>
                <w:rFonts w:ascii="宋体" w:hAnsi="宋体" w:eastAsia="宋体" w:cs="Times New Roman"/>
                <w:color w:val="auto"/>
              </w:rPr>
            </w:pPr>
            <w:r>
              <w:rPr>
                <w:rFonts w:ascii="宋体" w:hAnsi="宋体" w:eastAsia="宋体" w:cs="Times New Roman"/>
                <w:color w:val="auto"/>
              </w:rPr>
              <w:t>迟家屯</w:t>
            </w:r>
          </w:p>
        </w:tc>
        <w:tc>
          <w:tcPr>
            <w:tcW w:w="810" w:type="dxa"/>
            <w:vMerge w:val="continue"/>
            <w:tcBorders>
              <w:tl2br w:val="nil"/>
              <w:tr2bl w:val="nil"/>
            </w:tcBorders>
            <w:vAlign w:val="center"/>
          </w:tcPr>
          <w:p w14:paraId="1869EEED">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2FFC3FA">
            <w:pPr>
              <w:jc w:val="center"/>
              <w:rPr>
                <w:rFonts w:ascii="宋体" w:hAnsi="宋体" w:eastAsia="宋体" w:cs="Times New Roman"/>
                <w:color w:val="auto"/>
              </w:rPr>
            </w:pPr>
            <w:r>
              <w:rPr>
                <w:rFonts w:ascii="宋体" w:hAnsi="宋体" w:eastAsia="宋体" w:cs="Times New Roman"/>
                <w:color w:val="auto"/>
              </w:rPr>
              <w:t>0.0060431</w:t>
            </w:r>
          </w:p>
        </w:tc>
        <w:tc>
          <w:tcPr>
            <w:tcW w:w="794" w:type="dxa"/>
            <w:tcBorders>
              <w:bottom w:val="single" w:color="auto" w:sz="4" w:space="0"/>
              <w:tl2br w:val="nil"/>
              <w:tr2bl w:val="nil"/>
            </w:tcBorders>
            <w:vAlign w:val="center"/>
          </w:tcPr>
          <w:p w14:paraId="190E2B69">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0.004 </w:t>
            </w:r>
          </w:p>
        </w:tc>
        <w:tc>
          <w:tcPr>
            <w:tcW w:w="1262" w:type="dxa"/>
            <w:tcBorders>
              <w:bottom w:val="single" w:color="auto" w:sz="4" w:space="0"/>
              <w:tl2br w:val="nil"/>
              <w:tr2bl w:val="nil"/>
            </w:tcBorders>
            <w:vAlign w:val="center"/>
          </w:tcPr>
          <w:p w14:paraId="4FA40999">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63112419">
            <w:pPr>
              <w:jc w:val="center"/>
              <w:rPr>
                <w:rFonts w:ascii="宋体" w:hAnsi="宋体" w:eastAsia="宋体" w:cs="Times New Roman"/>
                <w:color w:val="auto"/>
              </w:rPr>
            </w:pPr>
            <w:r>
              <w:rPr>
                <w:rFonts w:ascii="宋体" w:hAnsi="宋体" w:eastAsia="宋体" w:cs="Times New Roman"/>
                <w:color w:val="auto"/>
              </w:rPr>
              <w:t>13.006</w:t>
            </w:r>
          </w:p>
        </w:tc>
        <w:tc>
          <w:tcPr>
            <w:tcW w:w="836" w:type="dxa"/>
            <w:tcBorders>
              <w:bottom w:val="single" w:color="auto" w:sz="4" w:space="0"/>
              <w:tl2br w:val="nil"/>
              <w:tr2bl w:val="nil"/>
            </w:tcBorders>
            <w:vAlign w:val="center"/>
          </w:tcPr>
          <w:p w14:paraId="23A2B40B">
            <w:pPr>
              <w:jc w:val="right"/>
              <w:textAlignment w:val="center"/>
              <w:rPr>
                <w:rFonts w:ascii="宋体" w:hAnsi="宋体" w:eastAsia="宋体" w:cs="Times New Roman"/>
                <w:color w:val="auto"/>
              </w:rPr>
            </w:pPr>
            <w:r>
              <w:rPr>
                <w:rFonts w:ascii="宋体" w:hAnsi="宋体" w:eastAsia="宋体" w:cs="Times New Roman"/>
                <w:color w:val="auto"/>
                <w:lang w:bidi="ar"/>
              </w:rPr>
              <w:t xml:space="preserve">8.671 </w:t>
            </w:r>
          </w:p>
        </w:tc>
        <w:tc>
          <w:tcPr>
            <w:tcW w:w="830" w:type="dxa"/>
            <w:tcBorders>
              <w:bottom w:val="single" w:color="auto" w:sz="4" w:space="0"/>
              <w:tl2br w:val="nil"/>
              <w:tr2bl w:val="nil"/>
            </w:tcBorders>
            <w:vAlign w:val="center"/>
          </w:tcPr>
          <w:p w14:paraId="33E1BF1F">
            <w:pPr>
              <w:jc w:val="center"/>
              <w:rPr>
                <w:rFonts w:ascii="宋体" w:hAnsi="宋体" w:eastAsia="宋体" w:cs="Times New Roman"/>
                <w:color w:val="auto"/>
              </w:rPr>
            </w:pPr>
            <w:r>
              <w:rPr>
                <w:rFonts w:ascii="宋体" w:hAnsi="宋体" w:eastAsia="宋体" w:cs="Times New Roman"/>
                <w:color w:val="auto"/>
              </w:rPr>
              <w:t>达标</w:t>
            </w:r>
          </w:p>
        </w:tc>
      </w:tr>
      <w:tr w14:paraId="4DCA5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restart"/>
            <w:tcBorders>
              <w:tl2br w:val="nil"/>
              <w:tr2bl w:val="nil"/>
            </w:tcBorders>
            <w:vAlign w:val="center"/>
          </w:tcPr>
          <w:p w14:paraId="6F48BF78">
            <w:pPr>
              <w:jc w:val="center"/>
              <w:rPr>
                <w:rFonts w:ascii="宋体" w:hAnsi="宋体" w:eastAsia="宋体" w:cs="Times New Roman"/>
                <w:color w:val="auto"/>
              </w:rPr>
            </w:pPr>
          </w:p>
          <w:p w14:paraId="54E65B80">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24510F8C">
            <w:pPr>
              <w:jc w:val="center"/>
              <w:rPr>
                <w:rFonts w:ascii="宋体" w:hAnsi="宋体" w:eastAsia="宋体" w:cs="Times New Roman"/>
                <w:color w:val="auto"/>
              </w:rPr>
            </w:pPr>
            <w:r>
              <w:rPr>
                <w:rFonts w:ascii="宋体" w:hAnsi="宋体" w:eastAsia="宋体" w:cs="Times New Roman"/>
                <w:color w:val="auto"/>
              </w:rPr>
              <w:t>刘喜屯</w:t>
            </w:r>
          </w:p>
        </w:tc>
        <w:tc>
          <w:tcPr>
            <w:tcW w:w="810" w:type="dxa"/>
            <w:vMerge w:val="continue"/>
            <w:tcBorders>
              <w:tl2br w:val="nil"/>
              <w:tr2bl w:val="nil"/>
            </w:tcBorders>
            <w:vAlign w:val="center"/>
          </w:tcPr>
          <w:p w14:paraId="54CE43BA">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0809168F">
            <w:pPr>
              <w:jc w:val="center"/>
              <w:rPr>
                <w:rFonts w:ascii="宋体" w:hAnsi="宋体" w:eastAsia="宋体" w:cs="Times New Roman"/>
                <w:color w:val="auto"/>
              </w:rPr>
            </w:pPr>
            <w:r>
              <w:rPr>
                <w:rFonts w:ascii="宋体" w:hAnsi="宋体" w:eastAsia="宋体" w:cs="Times New Roman"/>
                <w:color w:val="auto"/>
              </w:rPr>
              <w:t>0.00284377</w:t>
            </w:r>
          </w:p>
        </w:tc>
        <w:tc>
          <w:tcPr>
            <w:tcW w:w="794" w:type="dxa"/>
            <w:tcBorders>
              <w:bottom w:val="single" w:color="auto" w:sz="4" w:space="0"/>
              <w:tl2br w:val="nil"/>
              <w:tr2bl w:val="nil"/>
            </w:tcBorders>
            <w:vAlign w:val="center"/>
          </w:tcPr>
          <w:p w14:paraId="5FB31336">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bottom w:val="single" w:color="auto" w:sz="4" w:space="0"/>
              <w:tl2br w:val="nil"/>
              <w:tr2bl w:val="nil"/>
            </w:tcBorders>
            <w:vAlign w:val="center"/>
          </w:tcPr>
          <w:p w14:paraId="73F4DF59">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14294648">
            <w:pPr>
              <w:jc w:val="center"/>
              <w:rPr>
                <w:rFonts w:ascii="宋体" w:hAnsi="宋体" w:eastAsia="宋体" w:cs="Times New Roman"/>
                <w:color w:val="auto"/>
              </w:rPr>
            </w:pPr>
            <w:r>
              <w:rPr>
                <w:rFonts w:ascii="宋体" w:hAnsi="宋体" w:eastAsia="宋体" w:cs="Times New Roman"/>
                <w:color w:val="auto"/>
              </w:rPr>
              <w:t>13.0028</w:t>
            </w:r>
          </w:p>
        </w:tc>
        <w:tc>
          <w:tcPr>
            <w:tcW w:w="836" w:type="dxa"/>
            <w:tcBorders>
              <w:bottom w:val="single" w:color="auto" w:sz="4" w:space="0"/>
              <w:tl2br w:val="nil"/>
              <w:tr2bl w:val="nil"/>
            </w:tcBorders>
            <w:vAlign w:val="center"/>
          </w:tcPr>
          <w:p w14:paraId="0E79EFD5">
            <w:pPr>
              <w:jc w:val="right"/>
              <w:textAlignment w:val="center"/>
              <w:rPr>
                <w:rFonts w:ascii="宋体" w:hAnsi="宋体" w:eastAsia="宋体" w:cs="Times New Roman"/>
                <w:color w:val="auto"/>
              </w:rPr>
            </w:pPr>
            <w:r>
              <w:rPr>
                <w:rFonts w:ascii="宋体" w:hAnsi="宋体" w:eastAsia="宋体" w:cs="Times New Roman"/>
                <w:color w:val="auto"/>
                <w:lang w:bidi="ar"/>
              </w:rPr>
              <w:t xml:space="preserve">8.669 </w:t>
            </w:r>
          </w:p>
        </w:tc>
        <w:tc>
          <w:tcPr>
            <w:tcW w:w="830" w:type="dxa"/>
            <w:tcBorders>
              <w:bottom w:val="single" w:color="auto" w:sz="4" w:space="0"/>
              <w:tl2br w:val="nil"/>
              <w:tr2bl w:val="nil"/>
            </w:tcBorders>
            <w:vAlign w:val="center"/>
          </w:tcPr>
          <w:p w14:paraId="76F27047">
            <w:pPr>
              <w:jc w:val="center"/>
              <w:rPr>
                <w:rFonts w:ascii="宋体" w:hAnsi="宋体" w:eastAsia="宋体" w:cs="Times New Roman"/>
                <w:color w:val="auto"/>
              </w:rPr>
            </w:pPr>
            <w:r>
              <w:rPr>
                <w:rFonts w:ascii="宋体" w:hAnsi="宋体" w:eastAsia="宋体" w:cs="Times New Roman"/>
                <w:color w:val="auto"/>
              </w:rPr>
              <w:t>达标</w:t>
            </w:r>
          </w:p>
        </w:tc>
      </w:tr>
      <w:tr w14:paraId="79CFB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65DCF131">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681DD87D">
            <w:pPr>
              <w:jc w:val="center"/>
              <w:rPr>
                <w:rFonts w:ascii="宋体" w:hAnsi="宋体" w:eastAsia="宋体" w:cs="Times New Roman"/>
                <w:color w:val="auto"/>
              </w:rPr>
            </w:pPr>
            <w:r>
              <w:rPr>
                <w:rFonts w:ascii="宋体" w:hAnsi="宋体" w:eastAsia="宋体" w:cs="Times New Roman"/>
                <w:color w:val="auto"/>
              </w:rPr>
              <w:t>代龙村</w:t>
            </w:r>
          </w:p>
        </w:tc>
        <w:tc>
          <w:tcPr>
            <w:tcW w:w="810" w:type="dxa"/>
            <w:vMerge w:val="continue"/>
            <w:tcBorders>
              <w:tl2br w:val="nil"/>
              <w:tr2bl w:val="nil"/>
            </w:tcBorders>
            <w:vAlign w:val="center"/>
          </w:tcPr>
          <w:p w14:paraId="5C071EA2">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82F03EC">
            <w:pPr>
              <w:jc w:val="center"/>
              <w:rPr>
                <w:rFonts w:ascii="宋体" w:hAnsi="宋体" w:eastAsia="宋体" w:cs="Times New Roman"/>
                <w:color w:val="auto"/>
              </w:rPr>
            </w:pPr>
            <w:r>
              <w:rPr>
                <w:rFonts w:ascii="宋体" w:hAnsi="宋体" w:eastAsia="宋体" w:cs="Times New Roman"/>
                <w:color w:val="auto"/>
              </w:rPr>
              <w:t>0.00295921</w:t>
            </w:r>
          </w:p>
        </w:tc>
        <w:tc>
          <w:tcPr>
            <w:tcW w:w="794" w:type="dxa"/>
            <w:tcBorders>
              <w:bottom w:val="single" w:color="auto" w:sz="4" w:space="0"/>
              <w:tl2br w:val="nil"/>
              <w:tr2bl w:val="nil"/>
            </w:tcBorders>
            <w:vAlign w:val="center"/>
          </w:tcPr>
          <w:p w14:paraId="5EB62AC2">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bottom w:val="single" w:color="auto" w:sz="4" w:space="0"/>
              <w:tl2br w:val="nil"/>
              <w:tr2bl w:val="nil"/>
            </w:tcBorders>
            <w:vAlign w:val="center"/>
          </w:tcPr>
          <w:p w14:paraId="0D932CE5">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622E0D8E">
            <w:pPr>
              <w:jc w:val="center"/>
              <w:rPr>
                <w:rFonts w:ascii="宋体" w:hAnsi="宋体" w:eastAsia="宋体" w:cs="Times New Roman"/>
                <w:color w:val="auto"/>
              </w:rPr>
            </w:pPr>
            <w:r>
              <w:rPr>
                <w:rFonts w:ascii="宋体" w:hAnsi="宋体" w:eastAsia="宋体" w:cs="Times New Roman"/>
                <w:color w:val="auto"/>
              </w:rPr>
              <w:t>13.003</w:t>
            </w:r>
          </w:p>
        </w:tc>
        <w:tc>
          <w:tcPr>
            <w:tcW w:w="836" w:type="dxa"/>
            <w:tcBorders>
              <w:bottom w:val="single" w:color="auto" w:sz="4" w:space="0"/>
              <w:tl2br w:val="nil"/>
              <w:tr2bl w:val="nil"/>
            </w:tcBorders>
            <w:vAlign w:val="center"/>
          </w:tcPr>
          <w:p w14:paraId="1BCADB8D">
            <w:pPr>
              <w:jc w:val="right"/>
              <w:textAlignment w:val="center"/>
              <w:rPr>
                <w:rFonts w:ascii="宋体" w:hAnsi="宋体" w:eastAsia="宋体" w:cs="Times New Roman"/>
                <w:color w:val="auto"/>
              </w:rPr>
            </w:pPr>
            <w:r>
              <w:rPr>
                <w:rFonts w:ascii="宋体" w:hAnsi="宋体" w:eastAsia="宋体" w:cs="Times New Roman"/>
                <w:color w:val="auto"/>
                <w:lang w:bidi="ar"/>
              </w:rPr>
              <w:t xml:space="preserve">8.669 </w:t>
            </w:r>
          </w:p>
        </w:tc>
        <w:tc>
          <w:tcPr>
            <w:tcW w:w="830" w:type="dxa"/>
            <w:tcBorders>
              <w:bottom w:val="single" w:color="auto" w:sz="4" w:space="0"/>
              <w:tl2br w:val="nil"/>
              <w:tr2bl w:val="nil"/>
            </w:tcBorders>
            <w:vAlign w:val="center"/>
          </w:tcPr>
          <w:p w14:paraId="50557754">
            <w:pPr>
              <w:jc w:val="center"/>
              <w:rPr>
                <w:rFonts w:ascii="宋体" w:hAnsi="宋体" w:eastAsia="宋体" w:cs="Times New Roman"/>
                <w:color w:val="auto"/>
              </w:rPr>
            </w:pPr>
            <w:r>
              <w:rPr>
                <w:rFonts w:ascii="宋体" w:hAnsi="宋体" w:eastAsia="宋体" w:cs="Times New Roman"/>
                <w:color w:val="auto"/>
              </w:rPr>
              <w:t>达标</w:t>
            </w:r>
          </w:p>
        </w:tc>
      </w:tr>
      <w:tr w14:paraId="2BFEF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31185AC6">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E5F1B4D">
            <w:pPr>
              <w:jc w:val="center"/>
              <w:rPr>
                <w:rFonts w:ascii="宋体" w:hAnsi="宋体" w:eastAsia="宋体" w:cs="Times New Roman"/>
                <w:color w:val="auto"/>
              </w:rPr>
            </w:pPr>
            <w:r>
              <w:rPr>
                <w:rFonts w:ascii="宋体" w:hAnsi="宋体" w:eastAsia="宋体" w:cs="Times New Roman"/>
                <w:color w:val="auto"/>
              </w:rPr>
              <w:t>肇源镇</w:t>
            </w:r>
          </w:p>
        </w:tc>
        <w:tc>
          <w:tcPr>
            <w:tcW w:w="810" w:type="dxa"/>
            <w:vMerge w:val="continue"/>
            <w:tcBorders>
              <w:tl2br w:val="nil"/>
              <w:tr2bl w:val="nil"/>
            </w:tcBorders>
            <w:vAlign w:val="center"/>
          </w:tcPr>
          <w:p w14:paraId="71A70361">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2F399919">
            <w:pPr>
              <w:jc w:val="center"/>
              <w:rPr>
                <w:rFonts w:ascii="宋体" w:hAnsi="宋体" w:eastAsia="宋体" w:cs="Times New Roman"/>
                <w:color w:val="auto"/>
              </w:rPr>
            </w:pPr>
            <w:r>
              <w:rPr>
                <w:rFonts w:ascii="宋体" w:hAnsi="宋体" w:eastAsia="宋体" w:cs="Times New Roman"/>
                <w:color w:val="auto"/>
              </w:rPr>
              <w:t>0.00430869</w:t>
            </w:r>
          </w:p>
        </w:tc>
        <w:tc>
          <w:tcPr>
            <w:tcW w:w="794" w:type="dxa"/>
            <w:tcBorders>
              <w:bottom w:val="single" w:color="auto" w:sz="4" w:space="0"/>
              <w:tl2br w:val="nil"/>
              <w:tr2bl w:val="nil"/>
            </w:tcBorders>
            <w:vAlign w:val="center"/>
          </w:tcPr>
          <w:p w14:paraId="4FB32D79">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0.003 </w:t>
            </w:r>
          </w:p>
        </w:tc>
        <w:tc>
          <w:tcPr>
            <w:tcW w:w="1262" w:type="dxa"/>
            <w:tcBorders>
              <w:bottom w:val="single" w:color="auto" w:sz="4" w:space="0"/>
              <w:tl2br w:val="nil"/>
              <w:tr2bl w:val="nil"/>
            </w:tcBorders>
            <w:vAlign w:val="center"/>
          </w:tcPr>
          <w:p w14:paraId="27E4492F">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7BD85BD3">
            <w:pPr>
              <w:jc w:val="center"/>
              <w:rPr>
                <w:rFonts w:ascii="宋体" w:hAnsi="宋体" w:eastAsia="宋体" w:cs="Times New Roman"/>
                <w:color w:val="auto"/>
              </w:rPr>
            </w:pPr>
            <w:r>
              <w:rPr>
                <w:rFonts w:ascii="宋体" w:hAnsi="宋体" w:eastAsia="宋体" w:cs="Times New Roman"/>
                <w:color w:val="auto"/>
              </w:rPr>
              <w:t>13.0043</w:t>
            </w:r>
          </w:p>
        </w:tc>
        <w:tc>
          <w:tcPr>
            <w:tcW w:w="836" w:type="dxa"/>
            <w:tcBorders>
              <w:bottom w:val="single" w:color="auto" w:sz="4" w:space="0"/>
              <w:tl2br w:val="nil"/>
              <w:tr2bl w:val="nil"/>
            </w:tcBorders>
            <w:vAlign w:val="center"/>
          </w:tcPr>
          <w:p w14:paraId="36479FFE">
            <w:pPr>
              <w:jc w:val="right"/>
              <w:textAlignment w:val="center"/>
              <w:rPr>
                <w:rFonts w:ascii="宋体" w:hAnsi="宋体" w:eastAsia="宋体" w:cs="Times New Roman"/>
                <w:color w:val="auto"/>
              </w:rPr>
            </w:pPr>
            <w:r>
              <w:rPr>
                <w:rFonts w:ascii="宋体" w:hAnsi="宋体" w:eastAsia="宋体" w:cs="Times New Roman"/>
                <w:color w:val="auto"/>
                <w:lang w:bidi="ar"/>
              </w:rPr>
              <w:t xml:space="preserve">8.670 </w:t>
            </w:r>
          </w:p>
        </w:tc>
        <w:tc>
          <w:tcPr>
            <w:tcW w:w="830" w:type="dxa"/>
            <w:tcBorders>
              <w:bottom w:val="single" w:color="auto" w:sz="4" w:space="0"/>
              <w:tl2br w:val="nil"/>
              <w:tr2bl w:val="nil"/>
            </w:tcBorders>
            <w:vAlign w:val="center"/>
          </w:tcPr>
          <w:p w14:paraId="74D1B44D">
            <w:pPr>
              <w:jc w:val="center"/>
              <w:rPr>
                <w:rFonts w:ascii="宋体" w:hAnsi="宋体" w:eastAsia="宋体" w:cs="Times New Roman"/>
                <w:color w:val="auto"/>
              </w:rPr>
            </w:pPr>
            <w:r>
              <w:rPr>
                <w:rFonts w:ascii="宋体" w:hAnsi="宋体" w:eastAsia="宋体" w:cs="Times New Roman"/>
                <w:color w:val="auto"/>
              </w:rPr>
              <w:t>达标</w:t>
            </w:r>
          </w:p>
        </w:tc>
      </w:tr>
      <w:tr w14:paraId="73E7A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6F4E974B">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350F1860">
            <w:pPr>
              <w:jc w:val="center"/>
              <w:rPr>
                <w:rFonts w:ascii="宋体" w:hAnsi="宋体" w:eastAsia="宋体" w:cs="Times New Roman"/>
                <w:color w:val="auto"/>
              </w:rPr>
            </w:pPr>
            <w:r>
              <w:rPr>
                <w:rFonts w:ascii="宋体" w:hAnsi="宋体" w:eastAsia="宋体" w:cs="Times New Roman"/>
                <w:color w:val="auto"/>
              </w:rPr>
              <w:t>刘兽医屯</w:t>
            </w:r>
          </w:p>
        </w:tc>
        <w:tc>
          <w:tcPr>
            <w:tcW w:w="810" w:type="dxa"/>
            <w:vMerge w:val="continue"/>
            <w:tcBorders>
              <w:tl2br w:val="nil"/>
              <w:tr2bl w:val="nil"/>
            </w:tcBorders>
            <w:vAlign w:val="center"/>
          </w:tcPr>
          <w:p w14:paraId="1F26E5BB">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247FC05">
            <w:pPr>
              <w:jc w:val="center"/>
              <w:rPr>
                <w:rFonts w:ascii="宋体" w:hAnsi="宋体" w:eastAsia="宋体" w:cs="Times New Roman"/>
                <w:color w:val="auto"/>
              </w:rPr>
            </w:pPr>
            <w:r>
              <w:rPr>
                <w:rFonts w:ascii="宋体" w:hAnsi="宋体" w:eastAsia="宋体" w:cs="Times New Roman"/>
                <w:color w:val="auto"/>
              </w:rPr>
              <w:t>0.00329607</w:t>
            </w:r>
          </w:p>
        </w:tc>
        <w:tc>
          <w:tcPr>
            <w:tcW w:w="794" w:type="dxa"/>
            <w:tcBorders>
              <w:bottom w:val="single" w:color="auto" w:sz="4" w:space="0"/>
              <w:tl2br w:val="nil"/>
              <w:tr2bl w:val="nil"/>
            </w:tcBorders>
            <w:vAlign w:val="center"/>
          </w:tcPr>
          <w:p w14:paraId="0E9C116E">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bottom w:val="single" w:color="auto" w:sz="4" w:space="0"/>
              <w:tl2br w:val="nil"/>
              <w:tr2bl w:val="nil"/>
            </w:tcBorders>
            <w:vAlign w:val="center"/>
          </w:tcPr>
          <w:p w14:paraId="145552A0">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284F774E">
            <w:pPr>
              <w:jc w:val="center"/>
              <w:rPr>
                <w:rFonts w:ascii="宋体" w:hAnsi="宋体" w:eastAsia="宋体" w:cs="Times New Roman"/>
                <w:color w:val="auto"/>
              </w:rPr>
            </w:pPr>
            <w:r>
              <w:rPr>
                <w:rFonts w:ascii="宋体" w:hAnsi="宋体" w:eastAsia="宋体" w:cs="Times New Roman"/>
                <w:color w:val="auto"/>
              </w:rPr>
              <w:t>13.0033</w:t>
            </w:r>
          </w:p>
        </w:tc>
        <w:tc>
          <w:tcPr>
            <w:tcW w:w="836" w:type="dxa"/>
            <w:tcBorders>
              <w:bottom w:val="single" w:color="auto" w:sz="4" w:space="0"/>
              <w:tl2br w:val="nil"/>
              <w:tr2bl w:val="nil"/>
            </w:tcBorders>
            <w:vAlign w:val="center"/>
          </w:tcPr>
          <w:p w14:paraId="0BA0A123">
            <w:pPr>
              <w:jc w:val="right"/>
              <w:textAlignment w:val="center"/>
              <w:rPr>
                <w:rFonts w:ascii="宋体" w:hAnsi="宋体" w:eastAsia="宋体" w:cs="Times New Roman"/>
                <w:color w:val="auto"/>
              </w:rPr>
            </w:pPr>
            <w:r>
              <w:rPr>
                <w:rFonts w:ascii="宋体" w:hAnsi="宋体" w:eastAsia="宋体" w:cs="Times New Roman"/>
                <w:color w:val="auto"/>
                <w:lang w:bidi="ar"/>
              </w:rPr>
              <w:t xml:space="preserve">8.669 </w:t>
            </w:r>
          </w:p>
        </w:tc>
        <w:tc>
          <w:tcPr>
            <w:tcW w:w="830" w:type="dxa"/>
            <w:tcBorders>
              <w:bottom w:val="single" w:color="auto" w:sz="4" w:space="0"/>
              <w:tl2br w:val="nil"/>
              <w:tr2bl w:val="nil"/>
            </w:tcBorders>
            <w:vAlign w:val="center"/>
          </w:tcPr>
          <w:p w14:paraId="2C527F3A">
            <w:pPr>
              <w:jc w:val="center"/>
              <w:rPr>
                <w:rFonts w:ascii="宋体" w:hAnsi="宋体" w:eastAsia="宋体" w:cs="Times New Roman"/>
                <w:color w:val="auto"/>
              </w:rPr>
            </w:pPr>
            <w:r>
              <w:rPr>
                <w:rFonts w:ascii="宋体" w:hAnsi="宋体" w:eastAsia="宋体" w:cs="Times New Roman"/>
                <w:color w:val="auto"/>
              </w:rPr>
              <w:t>达标</w:t>
            </w:r>
          </w:p>
        </w:tc>
      </w:tr>
      <w:tr w14:paraId="6E58D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18108BF3">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4DD5BB06">
            <w:pPr>
              <w:jc w:val="center"/>
              <w:rPr>
                <w:rFonts w:ascii="宋体" w:hAnsi="宋体" w:eastAsia="宋体" w:cs="Times New Roman"/>
                <w:color w:val="auto"/>
              </w:rPr>
            </w:pPr>
            <w:r>
              <w:rPr>
                <w:rFonts w:ascii="宋体" w:hAnsi="宋体" w:eastAsia="宋体" w:cs="Times New Roman"/>
                <w:color w:val="auto"/>
              </w:rPr>
              <w:t>友谊村</w:t>
            </w:r>
          </w:p>
        </w:tc>
        <w:tc>
          <w:tcPr>
            <w:tcW w:w="810" w:type="dxa"/>
            <w:vMerge w:val="continue"/>
            <w:tcBorders>
              <w:tl2br w:val="nil"/>
              <w:tr2bl w:val="nil"/>
            </w:tcBorders>
            <w:vAlign w:val="center"/>
          </w:tcPr>
          <w:p w14:paraId="1B74B58A">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6765393C">
            <w:pPr>
              <w:jc w:val="center"/>
              <w:rPr>
                <w:rFonts w:ascii="宋体" w:hAnsi="宋体" w:eastAsia="宋体" w:cs="Times New Roman"/>
                <w:color w:val="auto"/>
              </w:rPr>
            </w:pPr>
            <w:r>
              <w:rPr>
                <w:rFonts w:ascii="宋体" w:hAnsi="宋体" w:eastAsia="宋体" w:cs="Times New Roman"/>
                <w:color w:val="auto"/>
              </w:rPr>
              <w:t>0.00303524</w:t>
            </w:r>
          </w:p>
        </w:tc>
        <w:tc>
          <w:tcPr>
            <w:tcW w:w="794" w:type="dxa"/>
            <w:tcBorders>
              <w:bottom w:val="single" w:color="auto" w:sz="4" w:space="0"/>
              <w:tl2br w:val="nil"/>
              <w:tr2bl w:val="nil"/>
            </w:tcBorders>
            <w:vAlign w:val="center"/>
          </w:tcPr>
          <w:p w14:paraId="3151A54A">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bottom w:val="single" w:color="auto" w:sz="4" w:space="0"/>
              <w:tl2br w:val="nil"/>
              <w:tr2bl w:val="nil"/>
            </w:tcBorders>
            <w:vAlign w:val="center"/>
          </w:tcPr>
          <w:p w14:paraId="243ED057">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18CB65E3">
            <w:pPr>
              <w:jc w:val="center"/>
              <w:rPr>
                <w:rFonts w:ascii="宋体" w:hAnsi="宋体" w:eastAsia="宋体" w:cs="Times New Roman"/>
                <w:color w:val="auto"/>
              </w:rPr>
            </w:pPr>
            <w:r>
              <w:rPr>
                <w:rFonts w:ascii="宋体" w:hAnsi="宋体" w:eastAsia="宋体" w:cs="Times New Roman"/>
                <w:color w:val="auto"/>
              </w:rPr>
              <w:t>13.003</w:t>
            </w:r>
          </w:p>
        </w:tc>
        <w:tc>
          <w:tcPr>
            <w:tcW w:w="836" w:type="dxa"/>
            <w:tcBorders>
              <w:bottom w:val="single" w:color="auto" w:sz="4" w:space="0"/>
              <w:tl2br w:val="nil"/>
              <w:tr2bl w:val="nil"/>
            </w:tcBorders>
            <w:vAlign w:val="center"/>
          </w:tcPr>
          <w:p w14:paraId="4E10657E">
            <w:pPr>
              <w:jc w:val="right"/>
              <w:textAlignment w:val="center"/>
              <w:rPr>
                <w:rFonts w:ascii="宋体" w:hAnsi="宋体" w:eastAsia="宋体" w:cs="Times New Roman"/>
                <w:color w:val="auto"/>
              </w:rPr>
            </w:pPr>
            <w:r>
              <w:rPr>
                <w:rFonts w:ascii="宋体" w:hAnsi="宋体" w:eastAsia="宋体" w:cs="Times New Roman"/>
                <w:color w:val="auto"/>
                <w:lang w:bidi="ar"/>
              </w:rPr>
              <w:t xml:space="preserve">8.669 </w:t>
            </w:r>
          </w:p>
        </w:tc>
        <w:tc>
          <w:tcPr>
            <w:tcW w:w="830" w:type="dxa"/>
            <w:tcBorders>
              <w:bottom w:val="single" w:color="auto" w:sz="4" w:space="0"/>
              <w:tl2br w:val="nil"/>
              <w:tr2bl w:val="nil"/>
            </w:tcBorders>
            <w:vAlign w:val="center"/>
          </w:tcPr>
          <w:p w14:paraId="66127D2B">
            <w:pPr>
              <w:jc w:val="center"/>
              <w:rPr>
                <w:rFonts w:ascii="宋体" w:hAnsi="宋体" w:eastAsia="宋体" w:cs="Times New Roman"/>
                <w:color w:val="auto"/>
              </w:rPr>
            </w:pPr>
            <w:r>
              <w:rPr>
                <w:rFonts w:ascii="宋体" w:hAnsi="宋体" w:eastAsia="宋体" w:cs="Times New Roman"/>
                <w:color w:val="auto"/>
              </w:rPr>
              <w:t>达标</w:t>
            </w:r>
          </w:p>
        </w:tc>
      </w:tr>
      <w:tr w14:paraId="6D4C1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616826FA">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73AC3FA0">
            <w:pPr>
              <w:jc w:val="center"/>
              <w:rPr>
                <w:rFonts w:ascii="宋体" w:hAnsi="宋体" w:eastAsia="宋体" w:cs="Times New Roman"/>
                <w:color w:val="auto"/>
              </w:rPr>
            </w:pPr>
            <w:r>
              <w:rPr>
                <w:rFonts w:ascii="宋体" w:hAnsi="宋体" w:eastAsia="宋体" w:cs="Times New Roman"/>
                <w:color w:val="auto"/>
              </w:rPr>
              <w:t>协力屯</w:t>
            </w:r>
          </w:p>
        </w:tc>
        <w:tc>
          <w:tcPr>
            <w:tcW w:w="810" w:type="dxa"/>
            <w:vMerge w:val="continue"/>
            <w:tcBorders>
              <w:tl2br w:val="nil"/>
              <w:tr2bl w:val="nil"/>
            </w:tcBorders>
            <w:vAlign w:val="center"/>
          </w:tcPr>
          <w:p w14:paraId="3211D22A">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70B8649B">
            <w:pPr>
              <w:jc w:val="center"/>
              <w:rPr>
                <w:rFonts w:ascii="宋体" w:hAnsi="宋体" w:eastAsia="宋体" w:cs="Times New Roman"/>
                <w:color w:val="auto"/>
              </w:rPr>
            </w:pPr>
            <w:r>
              <w:rPr>
                <w:rFonts w:ascii="宋体" w:hAnsi="宋体" w:eastAsia="宋体" w:cs="Times New Roman"/>
                <w:color w:val="auto"/>
              </w:rPr>
              <w:t>0.0030631</w:t>
            </w:r>
          </w:p>
        </w:tc>
        <w:tc>
          <w:tcPr>
            <w:tcW w:w="794" w:type="dxa"/>
            <w:tcBorders>
              <w:bottom w:val="single" w:color="auto" w:sz="4" w:space="0"/>
              <w:tl2br w:val="nil"/>
              <w:tr2bl w:val="nil"/>
            </w:tcBorders>
            <w:vAlign w:val="center"/>
          </w:tcPr>
          <w:p w14:paraId="6CF875DB">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bottom w:val="single" w:color="auto" w:sz="4" w:space="0"/>
              <w:tl2br w:val="nil"/>
              <w:tr2bl w:val="nil"/>
            </w:tcBorders>
            <w:vAlign w:val="center"/>
          </w:tcPr>
          <w:p w14:paraId="12CE53F6">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1077D285">
            <w:pPr>
              <w:jc w:val="center"/>
              <w:rPr>
                <w:rFonts w:ascii="宋体" w:hAnsi="宋体" w:eastAsia="宋体" w:cs="Times New Roman"/>
                <w:color w:val="auto"/>
              </w:rPr>
            </w:pPr>
            <w:r>
              <w:rPr>
                <w:rFonts w:ascii="宋体" w:hAnsi="宋体" w:eastAsia="宋体" w:cs="Times New Roman"/>
                <w:color w:val="auto"/>
              </w:rPr>
              <w:t>13.0031</w:t>
            </w:r>
          </w:p>
        </w:tc>
        <w:tc>
          <w:tcPr>
            <w:tcW w:w="836" w:type="dxa"/>
            <w:tcBorders>
              <w:bottom w:val="single" w:color="auto" w:sz="4" w:space="0"/>
              <w:tl2br w:val="nil"/>
              <w:tr2bl w:val="nil"/>
            </w:tcBorders>
            <w:vAlign w:val="center"/>
          </w:tcPr>
          <w:p w14:paraId="5FD3FD19">
            <w:pPr>
              <w:jc w:val="right"/>
              <w:textAlignment w:val="center"/>
              <w:rPr>
                <w:rFonts w:ascii="宋体" w:hAnsi="宋体" w:eastAsia="宋体" w:cs="Times New Roman"/>
                <w:color w:val="auto"/>
              </w:rPr>
            </w:pPr>
            <w:r>
              <w:rPr>
                <w:rFonts w:ascii="宋体" w:hAnsi="宋体" w:eastAsia="宋体" w:cs="Times New Roman"/>
                <w:color w:val="auto"/>
                <w:lang w:bidi="ar"/>
              </w:rPr>
              <w:t xml:space="preserve">8.669 </w:t>
            </w:r>
          </w:p>
        </w:tc>
        <w:tc>
          <w:tcPr>
            <w:tcW w:w="830" w:type="dxa"/>
            <w:tcBorders>
              <w:bottom w:val="single" w:color="auto" w:sz="4" w:space="0"/>
              <w:tl2br w:val="nil"/>
              <w:tr2bl w:val="nil"/>
            </w:tcBorders>
            <w:vAlign w:val="center"/>
          </w:tcPr>
          <w:p w14:paraId="62A19E8B">
            <w:pPr>
              <w:jc w:val="center"/>
              <w:rPr>
                <w:rFonts w:ascii="宋体" w:hAnsi="宋体" w:eastAsia="宋体" w:cs="Times New Roman"/>
                <w:color w:val="auto"/>
              </w:rPr>
            </w:pPr>
            <w:r>
              <w:rPr>
                <w:rFonts w:ascii="宋体" w:hAnsi="宋体" w:eastAsia="宋体" w:cs="Times New Roman"/>
                <w:color w:val="auto"/>
              </w:rPr>
              <w:t>达标</w:t>
            </w:r>
          </w:p>
        </w:tc>
      </w:tr>
      <w:tr w14:paraId="07AF2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1BB4CD68">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238D2BF">
            <w:pPr>
              <w:jc w:val="center"/>
              <w:rPr>
                <w:rFonts w:ascii="宋体" w:hAnsi="宋体" w:eastAsia="宋体" w:cs="Times New Roman"/>
                <w:color w:val="auto"/>
              </w:rPr>
            </w:pPr>
            <w:r>
              <w:rPr>
                <w:rFonts w:ascii="宋体" w:hAnsi="宋体" w:eastAsia="宋体" w:cs="Times New Roman"/>
                <w:color w:val="auto"/>
              </w:rPr>
              <w:t>大三马架</w:t>
            </w:r>
          </w:p>
        </w:tc>
        <w:tc>
          <w:tcPr>
            <w:tcW w:w="810" w:type="dxa"/>
            <w:vMerge w:val="continue"/>
            <w:tcBorders>
              <w:tl2br w:val="nil"/>
              <w:tr2bl w:val="nil"/>
            </w:tcBorders>
            <w:vAlign w:val="center"/>
          </w:tcPr>
          <w:p w14:paraId="58F99332">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7990CCA4">
            <w:pPr>
              <w:jc w:val="center"/>
              <w:rPr>
                <w:rFonts w:ascii="宋体" w:hAnsi="宋体" w:eastAsia="宋体" w:cs="Times New Roman"/>
                <w:color w:val="auto"/>
              </w:rPr>
            </w:pPr>
            <w:r>
              <w:rPr>
                <w:rFonts w:ascii="宋体" w:hAnsi="宋体" w:eastAsia="宋体" w:cs="Times New Roman"/>
                <w:color w:val="auto"/>
              </w:rPr>
              <w:t>0.00229654</w:t>
            </w:r>
          </w:p>
        </w:tc>
        <w:tc>
          <w:tcPr>
            <w:tcW w:w="794" w:type="dxa"/>
            <w:tcBorders>
              <w:bottom w:val="single" w:color="auto" w:sz="4" w:space="0"/>
              <w:tl2br w:val="nil"/>
              <w:tr2bl w:val="nil"/>
            </w:tcBorders>
            <w:vAlign w:val="center"/>
          </w:tcPr>
          <w:p w14:paraId="43079A80">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bottom w:val="single" w:color="auto" w:sz="4" w:space="0"/>
              <w:tl2br w:val="nil"/>
              <w:tr2bl w:val="nil"/>
            </w:tcBorders>
            <w:vAlign w:val="center"/>
          </w:tcPr>
          <w:p w14:paraId="15BF0222">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5BC19FD3">
            <w:pPr>
              <w:jc w:val="center"/>
              <w:rPr>
                <w:rFonts w:ascii="宋体" w:hAnsi="宋体" w:eastAsia="宋体" w:cs="Times New Roman"/>
                <w:color w:val="auto"/>
              </w:rPr>
            </w:pPr>
            <w:r>
              <w:rPr>
                <w:rFonts w:ascii="宋体" w:hAnsi="宋体" w:eastAsia="宋体" w:cs="Times New Roman"/>
                <w:color w:val="auto"/>
              </w:rPr>
              <w:t>13.0023</w:t>
            </w:r>
          </w:p>
        </w:tc>
        <w:tc>
          <w:tcPr>
            <w:tcW w:w="836" w:type="dxa"/>
            <w:tcBorders>
              <w:bottom w:val="single" w:color="auto" w:sz="4" w:space="0"/>
              <w:tl2br w:val="nil"/>
              <w:tr2bl w:val="nil"/>
            </w:tcBorders>
            <w:vAlign w:val="center"/>
          </w:tcPr>
          <w:p w14:paraId="2E1D5AD0">
            <w:pPr>
              <w:jc w:val="right"/>
              <w:textAlignment w:val="center"/>
              <w:rPr>
                <w:rFonts w:ascii="宋体" w:hAnsi="宋体" w:eastAsia="宋体" w:cs="Times New Roman"/>
                <w:color w:val="auto"/>
              </w:rPr>
            </w:pPr>
            <w:r>
              <w:rPr>
                <w:rFonts w:ascii="宋体" w:hAnsi="宋体" w:eastAsia="宋体" w:cs="Times New Roman"/>
                <w:color w:val="auto"/>
                <w:lang w:bidi="ar"/>
              </w:rPr>
              <w:t xml:space="preserve">8.668 </w:t>
            </w:r>
          </w:p>
        </w:tc>
        <w:tc>
          <w:tcPr>
            <w:tcW w:w="830" w:type="dxa"/>
            <w:tcBorders>
              <w:bottom w:val="single" w:color="auto" w:sz="4" w:space="0"/>
              <w:tl2br w:val="nil"/>
              <w:tr2bl w:val="nil"/>
            </w:tcBorders>
            <w:vAlign w:val="center"/>
          </w:tcPr>
          <w:p w14:paraId="3731AC63">
            <w:pPr>
              <w:jc w:val="center"/>
              <w:rPr>
                <w:rFonts w:ascii="宋体" w:hAnsi="宋体" w:eastAsia="宋体" w:cs="Times New Roman"/>
                <w:color w:val="auto"/>
              </w:rPr>
            </w:pPr>
            <w:r>
              <w:rPr>
                <w:rFonts w:ascii="宋体" w:hAnsi="宋体" w:eastAsia="宋体" w:cs="Times New Roman"/>
                <w:color w:val="auto"/>
              </w:rPr>
              <w:t>达标</w:t>
            </w:r>
          </w:p>
        </w:tc>
      </w:tr>
      <w:tr w14:paraId="4B341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66AEC9D1">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A813ACE">
            <w:pPr>
              <w:jc w:val="center"/>
              <w:rPr>
                <w:rFonts w:ascii="宋体" w:hAnsi="宋体" w:eastAsia="宋体" w:cs="Times New Roman"/>
                <w:color w:val="auto"/>
              </w:rPr>
            </w:pPr>
            <w:r>
              <w:rPr>
                <w:rFonts w:ascii="宋体" w:hAnsi="宋体" w:eastAsia="宋体" w:cs="Times New Roman"/>
                <w:color w:val="auto"/>
              </w:rPr>
              <w:t>东小山</w:t>
            </w:r>
          </w:p>
        </w:tc>
        <w:tc>
          <w:tcPr>
            <w:tcW w:w="810" w:type="dxa"/>
            <w:vMerge w:val="continue"/>
            <w:tcBorders>
              <w:tl2br w:val="nil"/>
              <w:tr2bl w:val="nil"/>
            </w:tcBorders>
            <w:vAlign w:val="center"/>
          </w:tcPr>
          <w:p w14:paraId="2AB9CF8C">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55BF81D">
            <w:pPr>
              <w:jc w:val="center"/>
              <w:rPr>
                <w:rFonts w:ascii="宋体" w:hAnsi="宋体" w:eastAsia="宋体" w:cs="Times New Roman"/>
                <w:color w:val="auto"/>
              </w:rPr>
            </w:pPr>
            <w:r>
              <w:rPr>
                <w:rFonts w:ascii="宋体" w:hAnsi="宋体" w:eastAsia="宋体" w:cs="Times New Roman"/>
                <w:color w:val="auto"/>
              </w:rPr>
              <w:t>0.00313829</w:t>
            </w:r>
          </w:p>
        </w:tc>
        <w:tc>
          <w:tcPr>
            <w:tcW w:w="794" w:type="dxa"/>
            <w:tcBorders>
              <w:bottom w:val="single" w:color="auto" w:sz="4" w:space="0"/>
              <w:tl2br w:val="nil"/>
              <w:tr2bl w:val="nil"/>
            </w:tcBorders>
            <w:vAlign w:val="center"/>
          </w:tcPr>
          <w:p w14:paraId="244A4A9A">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bottom w:val="single" w:color="auto" w:sz="4" w:space="0"/>
              <w:tl2br w:val="nil"/>
              <w:tr2bl w:val="nil"/>
            </w:tcBorders>
            <w:vAlign w:val="center"/>
          </w:tcPr>
          <w:p w14:paraId="511CB628">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55850FEB">
            <w:pPr>
              <w:jc w:val="center"/>
              <w:rPr>
                <w:rFonts w:ascii="宋体" w:hAnsi="宋体" w:eastAsia="宋体" w:cs="Times New Roman"/>
                <w:color w:val="auto"/>
              </w:rPr>
            </w:pPr>
            <w:r>
              <w:rPr>
                <w:rFonts w:ascii="宋体" w:hAnsi="宋体" w:eastAsia="宋体" w:cs="Times New Roman"/>
                <w:color w:val="auto"/>
              </w:rPr>
              <w:t>13.0031</w:t>
            </w:r>
          </w:p>
        </w:tc>
        <w:tc>
          <w:tcPr>
            <w:tcW w:w="836" w:type="dxa"/>
            <w:tcBorders>
              <w:bottom w:val="single" w:color="auto" w:sz="4" w:space="0"/>
              <w:tl2br w:val="nil"/>
              <w:tr2bl w:val="nil"/>
            </w:tcBorders>
            <w:vAlign w:val="center"/>
          </w:tcPr>
          <w:p w14:paraId="6CC0A015">
            <w:pPr>
              <w:jc w:val="right"/>
              <w:textAlignment w:val="center"/>
              <w:rPr>
                <w:rFonts w:ascii="宋体" w:hAnsi="宋体" w:eastAsia="宋体" w:cs="Times New Roman"/>
                <w:color w:val="auto"/>
              </w:rPr>
            </w:pPr>
            <w:r>
              <w:rPr>
                <w:rFonts w:ascii="宋体" w:hAnsi="宋体" w:eastAsia="宋体" w:cs="Times New Roman"/>
                <w:color w:val="auto"/>
                <w:lang w:bidi="ar"/>
              </w:rPr>
              <w:t xml:space="preserve">8.669 </w:t>
            </w:r>
          </w:p>
        </w:tc>
        <w:tc>
          <w:tcPr>
            <w:tcW w:w="830" w:type="dxa"/>
            <w:tcBorders>
              <w:bottom w:val="single" w:color="auto" w:sz="4" w:space="0"/>
              <w:tl2br w:val="nil"/>
              <w:tr2bl w:val="nil"/>
            </w:tcBorders>
            <w:vAlign w:val="center"/>
          </w:tcPr>
          <w:p w14:paraId="34CA2D2E">
            <w:pPr>
              <w:jc w:val="center"/>
              <w:rPr>
                <w:rFonts w:ascii="宋体" w:hAnsi="宋体" w:eastAsia="宋体" w:cs="Times New Roman"/>
                <w:color w:val="auto"/>
              </w:rPr>
            </w:pPr>
            <w:r>
              <w:rPr>
                <w:rFonts w:ascii="宋体" w:hAnsi="宋体" w:eastAsia="宋体" w:cs="Times New Roman"/>
                <w:color w:val="auto"/>
              </w:rPr>
              <w:t>达标</w:t>
            </w:r>
          </w:p>
        </w:tc>
      </w:tr>
      <w:tr w14:paraId="61495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28A64BD4">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EB7C1D6">
            <w:pPr>
              <w:jc w:val="center"/>
              <w:rPr>
                <w:rFonts w:ascii="宋体" w:hAnsi="宋体" w:eastAsia="宋体" w:cs="Times New Roman"/>
                <w:color w:val="auto"/>
              </w:rPr>
            </w:pPr>
            <w:r>
              <w:rPr>
                <w:rFonts w:ascii="宋体" w:hAnsi="宋体" w:eastAsia="宋体" w:cs="Times New Roman"/>
                <w:color w:val="auto"/>
              </w:rPr>
              <w:t>科技屯</w:t>
            </w:r>
          </w:p>
        </w:tc>
        <w:tc>
          <w:tcPr>
            <w:tcW w:w="810" w:type="dxa"/>
            <w:vMerge w:val="continue"/>
            <w:tcBorders>
              <w:tl2br w:val="nil"/>
              <w:tr2bl w:val="nil"/>
            </w:tcBorders>
            <w:vAlign w:val="center"/>
          </w:tcPr>
          <w:p w14:paraId="3A93DC99">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5582B9B7">
            <w:pPr>
              <w:jc w:val="center"/>
              <w:rPr>
                <w:rFonts w:ascii="宋体" w:hAnsi="宋体" w:eastAsia="宋体" w:cs="Times New Roman"/>
                <w:color w:val="auto"/>
              </w:rPr>
            </w:pPr>
            <w:r>
              <w:rPr>
                <w:rFonts w:ascii="宋体" w:hAnsi="宋体" w:eastAsia="宋体" w:cs="Times New Roman"/>
                <w:color w:val="auto"/>
              </w:rPr>
              <w:t>0.00349152</w:t>
            </w:r>
          </w:p>
        </w:tc>
        <w:tc>
          <w:tcPr>
            <w:tcW w:w="794" w:type="dxa"/>
            <w:tcBorders>
              <w:bottom w:val="single" w:color="auto" w:sz="4" w:space="0"/>
              <w:tl2br w:val="nil"/>
              <w:tr2bl w:val="nil"/>
            </w:tcBorders>
            <w:vAlign w:val="center"/>
          </w:tcPr>
          <w:p w14:paraId="131B7D0C">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bottom w:val="single" w:color="auto" w:sz="4" w:space="0"/>
              <w:tl2br w:val="nil"/>
              <w:tr2bl w:val="nil"/>
            </w:tcBorders>
            <w:vAlign w:val="center"/>
          </w:tcPr>
          <w:p w14:paraId="2098E77D">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24F56DBE">
            <w:pPr>
              <w:jc w:val="center"/>
              <w:rPr>
                <w:rFonts w:ascii="宋体" w:hAnsi="宋体" w:eastAsia="宋体" w:cs="Times New Roman"/>
                <w:color w:val="auto"/>
              </w:rPr>
            </w:pPr>
            <w:r>
              <w:rPr>
                <w:rFonts w:ascii="宋体" w:hAnsi="宋体" w:eastAsia="宋体" w:cs="Times New Roman"/>
                <w:color w:val="auto"/>
              </w:rPr>
              <w:t>13.0035</w:t>
            </w:r>
          </w:p>
        </w:tc>
        <w:tc>
          <w:tcPr>
            <w:tcW w:w="836" w:type="dxa"/>
            <w:tcBorders>
              <w:bottom w:val="single" w:color="auto" w:sz="4" w:space="0"/>
              <w:tl2br w:val="nil"/>
              <w:tr2bl w:val="nil"/>
            </w:tcBorders>
            <w:vAlign w:val="center"/>
          </w:tcPr>
          <w:p w14:paraId="767FE8DD">
            <w:pPr>
              <w:jc w:val="right"/>
              <w:textAlignment w:val="center"/>
              <w:rPr>
                <w:rFonts w:ascii="宋体" w:hAnsi="宋体" w:eastAsia="宋体" w:cs="Times New Roman"/>
                <w:color w:val="auto"/>
              </w:rPr>
            </w:pPr>
            <w:r>
              <w:rPr>
                <w:rFonts w:ascii="宋体" w:hAnsi="宋体" w:eastAsia="宋体" w:cs="Times New Roman"/>
                <w:color w:val="auto"/>
                <w:lang w:bidi="ar"/>
              </w:rPr>
              <w:t xml:space="preserve">8.669 </w:t>
            </w:r>
          </w:p>
        </w:tc>
        <w:tc>
          <w:tcPr>
            <w:tcW w:w="830" w:type="dxa"/>
            <w:tcBorders>
              <w:bottom w:val="single" w:color="auto" w:sz="4" w:space="0"/>
              <w:tl2br w:val="nil"/>
              <w:tr2bl w:val="nil"/>
            </w:tcBorders>
            <w:vAlign w:val="center"/>
          </w:tcPr>
          <w:p w14:paraId="24155422">
            <w:pPr>
              <w:jc w:val="center"/>
              <w:rPr>
                <w:rFonts w:ascii="宋体" w:hAnsi="宋体" w:eastAsia="宋体" w:cs="Times New Roman"/>
                <w:color w:val="auto"/>
              </w:rPr>
            </w:pPr>
            <w:r>
              <w:rPr>
                <w:rFonts w:ascii="宋体" w:hAnsi="宋体" w:eastAsia="宋体" w:cs="Times New Roman"/>
                <w:color w:val="auto"/>
              </w:rPr>
              <w:t>达标</w:t>
            </w:r>
          </w:p>
        </w:tc>
      </w:tr>
      <w:tr w14:paraId="760AB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5631B68C">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4C34F625">
            <w:pPr>
              <w:jc w:val="center"/>
              <w:rPr>
                <w:rFonts w:ascii="宋体" w:hAnsi="宋体" w:eastAsia="宋体" w:cs="Times New Roman"/>
                <w:color w:val="auto"/>
              </w:rPr>
            </w:pPr>
            <w:r>
              <w:rPr>
                <w:rFonts w:ascii="宋体" w:hAnsi="宋体" w:eastAsia="宋体" w:cs="Times New Roman"/>
                <w:color w:val="auto"/>
              </w:rPr>
              <w:t>大姚屯</w:t>
            </w:r>
          </w:p>
        </w:tc>
        <w:tc>
          <w:tcPr>
            <w:tcW w:w="810" w:type="dxa"/>
            <w:vMerge w:val="continue"/>
            <w:tcBorders>
              <w:tl2br w:val="nil"/>
              <w:tr2bl w:val="nil"/>
            </w:tcBorders>
            <w:vAlign w:val="center"/>
          </w:tcPr>
          <w:p w14:paraId="26D3C8C1">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25C94964">
            <w:pPr>
              <w:jc w:val="center"/>
              <w:rPr>
                <w:rFonts w:ascii="宋体" w:hAnsi="宋体" w:eastAsia="宋体" w:cs="Times New Roman"/>
                <w:color w:val="auto"/>
              </w:rPr>
            </w:pPr>
            <w:r>
              <w:rPr>
                <w:rFonts w:ascii="宋体" w:hAnsi="宋体" w:eastAsia="宋体" w:cs="Times New Roman"/>
                <w:color w:val="auto"/>
              </w:rPr>
              <w:t>0.00344758</w:t>
            </w:r>
          </w:p>
        </w:tc>
        <w:tc>
          <w:tcPr>
            <w:tcW w:w="794" w:type="dxa"/>
            <w:tcBorders>
              <w:bottom w:val="single" w:color="auto" w:sz="4" w:space="0"/>
              <w:tl2br w:val="nil"/>
              <w:tr2bl w:val="nil"/>
            </w:tcBorders>
            <w:vAlign w:val="center"/>
          </w:tcPr>
          <w:p w14:paraId="36113A6D">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bottom w:val="single" w:color="auto" w:sz="4" w:space="0"/>
              <w:tl2br w:val="nil"/>
              <w:tr2bl w:val="nil"/>
            </w:tcBorders>
            <w:vAlign w:val="center"/>
          </w:tcPr>
          <w:p w14:paraId="4DFB2ACF">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37A61E6B">
            <w:pPr>
              <w:jc w:val="center"/>
              <w:rPr>
                <w:rFonts w:ascii="宋体" w:hAnsi="宋体" w:eastAsia="宋体" w:cs="Times New Roman"/>
                <w:color w:val="auto"/>
              </w:rPr>
            </w:pPr>
            <w:r>
              <w:rPr>
                <w:rFonts w:ascii="宋体" w:hAnsi="宋体" w:eastAsia="宋体" w:cs="Times New Roman"/>
                <w:color w:val="auto"/>
              </w:rPr>
              <w:t>13.0034</w:t>
            </w:r>
          </w:p>
        </w:tc>
        <w:tc>
          <w:tcPr>
            <w:tcW w:w="836" w:type="dxa"/>
            <w:tcBorders>
              <w:bottom w:val="single" w:color="auto" w:sz="4" w:space="0"/>
              <w:tl2br w:val="nil"/>
              <w:tr2bl w:val="nil"/>
            </w:tcBorders>
            <w:vAlign w:val="center"/>
          </w:tcPr>
          <w:p w14:paraId="7AE9B2D4">
            <w:pPr>
              <w:jc w:val="right"/>
              <w:textAlignment w:val="center"/>
              <w:rPr>
                <w:rFonts w:ascii="宋体" w:hAnsi="宋体" w:eastAsia="宋体" w:cs="Times New Roman"/>
                <w:color w:val="auto"/>
              </w:rPr>
            </w:pPr>
            <w:r>
              <w:rPr>
                <w:rFonts w:ascii="宋体" w:hAnsi="宋体" w:eastAsia="宋体" w:cs="Times New Roman"/>
                <w:color w:val="auto"/>
                <w:lang w:bidi="ar"/>
              </w:rPr>
              <w:t xml:space="preserve">8.669 </w:t>
            </w:r>
          </w:p>
        </w:tc>
        <w:tc>
          <w:tcPr>
            <w:tcW w:w="830" w:type="dxa"/>
            <w:tcBorders>
              <w:bottom w:val="single" w:color="auto" w:sz="4" w:space="0"/>
              <w:tl2br w:val="nil"/>
              <w:tr2bl w:val="nil"/>
            </w:tcBorders>
            <w:vAlign w:val="center"/>
          </w:tcPr>
          <w:p w14:paraId="727E658D">
            <w:pPr>
              <w:jc w:val="center"/>
              <w:rPr>
                <w:rFonts w:ascii="宋体" w:hAnsi="宋体" w:eastAsia="宋体" w:cs="Times New Roman"/>
                <w:color w:val="auto"/>
              </w:rPr>
            </w:pPr>
            <w:r>
              <w:rPr>
                <w:rFonts w:ascii="宋体" w:hAnsi="宋体" w:eastAsia="宋体" w:cs="Times New Roman"/>
                <w:color w:val="auto"/>
              </w:rPr>
              <w:t>达标</w:t>
            </w:r>
          </w:p>
        </w:tc>
      </w:tr>
      <w:tr w14:paraId="6AF7B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14889BC4">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7CC7143">
            <w:pPr>
              <w:jc w:val="center"/>
              <w:rPr>
                <w:rFonts w:ascii="宋体" w:hAnsi="宋体" w:eastAsia="宋体" w:cs="Times New Roman"/>
                <w:color w:val="auto"/>
              </w:rPr>
            </w:pPr>
            <w:r>
              <w:rPr>
                <w:rFonts w:ascii="宋体" w:hAnsi="宋体" w:eastAsia="宋体" w:cs="Times New Roman"/>
                <w:color w:val="auto"/>
              </w:rPr>
              <w:t>奎中里屯</w:t>
            </w:r>
          </w:p>
        </w:tc>
        <w:tc>
          <w:tcPr>
            <w:tcW w:w="810" w:type="dxa"/>
            <w:vMerge w:val="continue"/>
            <w:tcBorders>
              <w:tl2br w:val="nil"/>
              <w:tr2bl w:val="nil"/>
            </w:tcBorders>
            <w:vAlign w:val="center"/>
          </w:tcPr>
          <w:p w14:paraId="592206FB">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0972BDC1">
            <w:pPr>
              <w:jc w:val="center"/>
              <w:rPr>
                <w:rFonts w:ascii="宋体" w:hAnsi="宋体" w:eastAsia="宋体" w:cs="Times New Roman"/>
                <w:color w:val="auto"/>
              </w:rPr>
            </w:pPr>
            <w:r>
              <w:rPr>
                <w:rFonts w:ascii="宋体" w:hAnsi="宋体" w:eastAsia="宋体" w:cs="Times New Roman"/>
                <w:color w:val="auto"/>
              </w:rPr>
              <w:t>0.0107987</w:t>
            </w:r>
          </w:p>
        </w:tc>
        <w:tc>
          <w:tcPr>
            <w:tcW w:w="794" w:type="dxa"/>
            <w:tcBorders>
              <w:bottom w:val="single" w:color="auto" w:sz="4" w:space="0"/>
              <w:tl2br w:val="nil"/>
              <w:tr2bl w:val="nil"/>
            </w:tcBorders>
            <w:vAlign w:val="center"/>
          </w:tcPr>
          <w:p w14:paraId="11E63E2D">
            <w:pPr>
              <w:jc w:val="center"/>
              <w:textAlignment w:val="center"/>
              <w:rPr>
                <w:rFonts w:ascii="宋体" w:hAnsi="宋体" w:eastAsia="宋体" w:cs="Times New Roman"/>
                <w:color w:val="auto"/>
              </w:rPr>
            </w:pPr>
            <w:r>
              <w:rPr>
                <w:rFonts w:ascii="宋体" w:hAnsi="宋体" w:eastAsia="宋体" w:cs="Times New Roman"/>
                <w:color w:val="auto"/>
                <w:lang w:bidi="ar"/>
              </w:rPr>
              <w:t xml:space="preserve">0.007 </w:t>
            </w:r>
          </w:p>
        </w:tc>
        <w:tc>
          <w:tcPr>
            <w:tcW w:w="1262" w:type="dxa"/>
            <w:tcBorders>
              <w:bottom w:val="single" w:color="auto" w:sz="4" w:space="0"/>
              <w:tl2br w:val="nil"/>
              <w:tr2bl w:val="nil"/>
            </w:tcBorders>
            <w:vAlign w:val="center"/>
          </w:tcPr>
          <w:p w14:paraId="48EC0C81">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22A887A2">
            <w:pPr>
              <w:jc w:val="center"/>
              <w:rPr>
                <w:rFonts w:ascii="宋体" w:hAnsi="宋体" w:eastAsia="宋体" w:cs="Times New Roman"/>
                <w:color w:val="auto"/>
              </w:rPr>
            </w:pPr>
            <w:r>
              <w:rPr>
                <w:rFonts w:ascii="宋体" w:hAnsi="宋体" w:eastAsia="宋体" w:cs="Times New Roman"/>
                <w:color w:val="auto"/>
              </w:rPr>
              <w:t>13.0108</w:t>
            </w:r>
          </w:p>
        </w:tc>
        <w:tc>
          <w:tcPr>
            <w:tcW w:w="836" w:type="dxa"/>
            <w:tcBorders>
              <w:bottom w:val="single" w:color="auto" w:sz="4" w:space="0"/>
              <w:tl2br w:val="nil"/>
              <w:tr2bl w:val="nil"/>
            </w:tcBorders>
            <w:vAlign w:val="center"/>
          </w:tcPr>
          <w:p w14:paraId="3668125E">
            <w:pPr>
              <w:jc w:val="right"/>
              <w:textAlignment w:val="center"/>
              <w:rPr>
                <w:rFonts w:ascii="宋体" w:hAnsi="宋体" w:eastAsia="宋体" w:cs="Times New Roman"/>
                <w:color w:val="auto"/>
              </w:rPr>
            </w:pPr>
            <w:r>
              <w:rPr>
                <w:rFonts w:ascii="宋体" w:hAnsi="宋体" w:eastAsia="宋体" w:cs="Times New Roman"/>
                <w:color w:val="auto"/>
                <w:lang w:bidi="ar"/>
              </w:rPr>
              <w:t xml:space="preserve">8.674 </w:t>
            </w:r>
          </w:p>
        </w:tc>
        <w:tc>
          <w:tcPr>
            <w:tcW w:w="830" w:type="dxa"/>
            <w:tcBorders>
              <w:bottom w:val="single" w:color="auto" w:sz="4" w:space="0"/>
              <w:tl2br w:val="nil"/>
              <w:tr2bl w:val="nil"/>
            </w:tcBorders>
            <w:vAlign w:val="center"/>
          </w:tcPr>
          <w:p w14:paraId="519562AF">
            <w:pPr>
              <w:jc w:val="center"/>
              <w:rPr>
                <w:rFonts w:ascii="宋体" w:hAnsi="宋体" w:eastAsia="宋体" w:cs="Times New Roman"/>
                <w:color w:val="auto"/>
              </w:rPr>
            </w:pPr>
            <w:r>
              <w:rPr>
                <w:rFonts w:ascii="宋体" w:hAnsi="宋体" w:eastAsia="宋体" w:cs="Times New Roman"/>
                <w:color w:val="auto"/>
              </w:rPr>
              <w:t>达标</w:t>
            </w:r>
          </w:p>
        </w:tc>
      </w:tr>
      <w:tr w14:paraId="09FBA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3C797986">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1B37D6A2">
            <w:pPr>
              <w:jc w:val="center"/>
              <w:rPr>
                <w:rFonts w:ascii="宋体" w:hAnsi="宋体" w:eastAsia="宋体" w:cs="Times New Roman"/>
                <w:color w:val="auto"/>
              </w:rPr>
            </w:pPr>
            <w:r>
              <w:rPr>
                <w:rFonts w:ascii="宋体" w:hAnsi="宋体" w:eastAsia="宋体" w:cs="Times New Roman"/>
                <w:color w:val="auto"/>
              </w:rPr>
              <w:t>区域最大落地浓度</w:t>
            </w:r>
          </w:p>
        </w:tc>
        <w:tc>
          <w:tcPr>
            <w:tcW w:w="810" w:type="dxa"/>
            <w:vMerge w:val="continue"/>
            <w:tcBorders>
              <w:bottom w:val="single" w:color="auto" w:sz="4" w:space="0"/>
              <w:tl2br w:val="nil"/>
              <w:tr2bl w:val="nil"/>
            </w:tcBorders>
            <w:vAlign w:val="center"/>
          </w:tcPr>
          <w:p w14:paraId="4831CD3B">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99B3C1B">
            <w:pPr>
              <w:jc w:val="center"/>
              <w:rPr>
                <w:rFonts w:ascii="宋体" w:hAnsi="宋体" w:eastAsia="宋体" w:cs="Times New Roman"/>
                <w:color w:val="auto"/>
              </w:rPr>
            </w:pPr>
            <w:r>
              <w:rPr>
                <w:rFonts w:ascii="宋体" w:hAnsi="宋体" w:eastAsia="宋体" w:cs="Times New Roman"/>
                <w:color w:val="auto"/>
              </w:rPr>
              <w:t>0.160272</w:t>
            </w:r>
          </w:p>
        </w:tc>
        <w:tc>
          <w:tcPr>
            <w:tcW w:w="794" w:type="dxa"/>
            <w:tcBorders>
              <w:bottom w:val="single" w:color="auto" w:sz="4" w:space="0"/>
              <w:tl2br w:val="nil"/>
              <w:tr2bl w:val="nil"/>
            </w:tcBorders>
            <w:vAlign w:val="center"/>
          </w:tcPr>
          <w:p w14:paraId="135DB253">
            <w:pPr>
              <w:jc w:val="center"/>
              <w:rPr>
                <w:rFonts w:ascii="宋体" w:hAnsi="宋体" w:eastAsia="宋体" w:cs="Times New Roman"/>
                <w:color w:val="auto"/>
              </w:rPr>
            </w:pPr>
            <w:r>
              <w:rPr>
                <w:rFonts w:ascii="宋体" w:hAnsi="宋体" w:eastAsia="宋体" w:cs="Times New Roman"/>
                <w:color w:val="auto"/>
              </w:rPr>
              <w:t>0.107</w:t>
            </w:r>
          </w:p>
        </w:tc>
        <w:tc>
          <w:tcPr>
            <w:tcW w:w="1262" w:type="dxa"/>
            <w:tcBorders>
              <w:bottom w:val="single" w:color="auto" w:sz="4" w:space="0"/>
              <w:tl2br w:val="nil"/>
              <w:tr2bl w:val="nil"/>
            </w:tcBorders>
            <w:vAlign w:val="center"/>
          </w:tcPr>
          <w:p w14:paraId="0C8EDDD1">
            <w:pPr>
              <w:jc w:val="center"/>
              <w:rPr>
                <w:rFonts w:ascii="宋体" w:hAnsi="宋体" w:eastAsia="宋体" w:cs="Times New Roman"/>
                <w:color w:val="auto"/>
              </w:rPr>
            </w:pPr>
            <w:r>
              <w:rPr>
                <w:rFonts w:ascii="宋体" w:hAnsi="宋体" w:eastAsia="宋体" w:cs="Times New Roman"/>
                <w:color w:val="auto"/>
              </w:rPr>
              <w:t>13</w:t>
            </w:r>
          </w:p>
        </w:tc>
        <w:tc>
          <w:tcPr>
            <w:tcW w:w="1403" w:type="dxa"/>
            <w:tcBorders>
              <w:bottom w:val="single" w:color="auto" w:sz="4" w:space="0"/>
              <w:tl2br w:val="nil"/>
              <w:tr2bl w:val="nil"/>
            </w:tcBorders>
            <w:vAlign w:val="center"/>
          </w:tcPr>
          <w:p w14:paraId="5FE04F39">
            <w:pPr>
              <w:jc w:val="center"/>
              <w:rPr>
                <w:rFonts w:ascii="宋体" w:hAnsi="宋体" w:eastAsia="宋体" w:cs="Times New Roman"/>
                <w:color w:val="auto"/>
              </w:rPr>
            </w:pPr>
            <w:r>
              <w:rPr>
                <w:rFonts w:ascii="宋体" w:hAnsi="宋体" w:eastAsia="宋体" w:cs="Times New Roman"/>
                <w:color w:val="auto"/>
              </w:rPr>
              <w:t>13.1603</w:t>
            </w:r>
          </w:p>
        </w:tc>
        <w:tc>
          <w:tcPr>
            <w:tcW w:w="836" w:type="dxa"/>
            <w:tcBorders>
              <w:bottom w:val="single" w:color="auto" w:sz="4" w:space="0"/>
              <w:tl2br w:val="nil"/>
              <w:tr2bl w:val="nil"/>
            </w:tcBorders>
            <w:vAlign w:val="center"/>
          </w:tcPr>
          <w:p w14:paraId="3B4C35AB">
            <w:pPr>
              <w:jc w:val="center"/>
              <w:rPr>
                <w:rFonts w:ascii="宋体" w:hAnsi="宋体" w:eastAsia="宋体" w:cs="Times New Roman"/>
                <w:color w:val="auto"/>
              </w:rPr>
            </w:pPr>
            <w:r>
              <w:rPr>
                <w:rFonts w:ascii="宋体" w:hAnsi="宋体" w:eastAsia="宋体" w:cs="Times New Roman"/>
                <w:color w:val="auto"/>
              </w:rPr>
              <w:t>8.774</w:t>
            </w:r>
          </w:p>
        </w:tc>
        <w:tc>
          <w:tcPr>
            <w:tcW w:w="830" w:type="dxa"/>
            <w:tcBorders>
              <w:bottom w:val="single" w:color="auto" w:sz="4" w:space="0"/>
              <w:tl2br w:val="nil"/>
              <w:tr2bl w:val="nil"/>
            </w:tcBorders>
            <w:vAlign w:val="center"/>
          </w:tcPr>
          <w:p w14:paraId="75B3B38A">
            <w:pPr>
              <w:jc w:val="center"/>
              <w:rPr>
                <w:rFonts w:ascii="宋体" w:hAnsi="宋体" w:eastAsia="宋体" w:cs="Times New Roman"/>
                <w:color w:val="auto"/>
              </w:rPr>
            </w:pPr>
            <w:r>
              <w:rPr>
                <w:rFonts w:ascii="宋体" w:hAnsi="宋体" w:eastAsia="宋体" w:cs="Times New Roman"/>
                <w:color w:val="auto"/>
              </w:rPr>
              <w:t>达标</w:t>
            </w:r>
          </w:p>
        </w:tc>
      </w:tr>
      <w:tr w14:paraId="5ADE5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174902ED">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6701EE33">
            <w:pPr>
              <w:jc w:val="center"/>
              <w:rPr>
                <w:rFonts w:ascii="宋体" w:hAnsi="宋体" w:eastAsia="宋体" w:cs="Times New Roman"/>
                <w:color w:val="auto"/>
              </w:rPr>
            </w:pPr>
            <w:r>
              <w:rPr>
                <w:rFonts w:ascii="宋体" w:hAnsi="宋体" w:eastAsia="宋体" w:cs="Times New Roman"/>
                <w:color w:val="auto"/>
              </w:rPr>
              <w:t xml:space="preserve"> 吴家围子</w:t>
            </w:r>
          </w:p>
        </w:tc>
        <w:tc>
          <w:tcPr>
            <w:tcW w:w="810" w:type="dxa"/>
            <w:vMerge w:val="restart"/>
            <w:tcBorders>
              <w:top w:val="single" w:color="auto" w:sz="4" w:space="0"/>
              <w:tl2br w:val="nil"/>
              <w:tr2bl w:val="nil"/>
            </w:tcBorders>
            <w:vAlign w:val="center"/>
          </w:tcPr>
          <w:p w14:paraId="501C0BE5">
            <w:pPr>
              <w:jc w:val="center"/>
              <w:rPr>
                <w:rFonts w:ascii="宋体" w:hAnsi="宋体" w:eastAsia="宋体" w:cs="Times New Roman"/>
                <w:color w:val="auto"/>
              </w:rPr>
            </w:pPr>
            <w:r>
              <w:rPr>
                <w:rFonts w:ascii="宋体" w:hAnsi="宋体" w:eastAsia="宋体" w:cs="Times New Roman"/>
                <w:color w:val="auto"/>
              </w:rPr>
              <w:t>年平均</w:t>
            </w:r>
          </w:p>
        </w:tc>
        <w:tc>
          <w:tcPr>
            <w:tcW w:w="1006" w:type="dxa"/>
            <w:tcBorders>
              <w:bottom w:val="single" w:color="auto" w:sz="4" w:space="0"/>
              <w:tl2br w:val="nil"/>
              <w:tr2bl w:val="nil"/>
            </w:tcBorders>
            <w:vAlign w:val="center"/>
          </w:tcPr>
          <w:p w14:paraId="5F012336">
            <w:pPr>
              <w:jc w:val="center"/>
              <w:rPr>
                <w:rFonts w:ascii="宋体" w:hAnsi="宋体" w:eastAsia="宋体" w:cs="Times New Roman"/>
                <w:color w:val="auto"/>
              </w:rPr>
            </w:pPr>
            <w:r>
              <w:rPr>
                <w:rFonts w:ascii="宋体" w:hAnsi="宋体" w:eastAsia="宋体" w:cs="Times New Roman"/>
                <w:color w:val="auto"/>
              </w:rPr>
              <w:t xml:space="preserve"> 0.00308533</w:t>
            </w:r>
          </w:p>
        </w:tc>
        <w:tc>
          <w:tcPr>
            <w:tcW w:w="794" w:type="dxa"/>
            <w:tcBorders>
              <w:bottom w:val="single" w:color="auto" w:sz="4" w:space="0"/>
              <w:tl2br w:val="nil"/>
              <w:tr2bl w:val="nil"/>
            </w:tcBorders>
            <w:vAlign w:val="center"/>
          </w:tcPr>
          <w:p w14:paraId="49B0B259">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0.008 </w:t>
            </w:r>
          </w:p>
        </w:tc>
        <w:tc>
          <w:tcPr>
            <w:tcW w:w="1262" w:type="dxa"/>
            <w:tcBorders>
              <w:bottom w:val="single" w:color="auto" w:sz="4" w:space="0"/>
              <w:tl2br w:val="nil"/>
              <w:tr2bl w:val="nil"/>
            </w:tcBorders>
            <w:vAlign w:val="center"/>
          </w:tcPr>
          <w:p w14:paraId="1AB6D11B">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7280CB4D">
            <w:pPr>
              <w:jc w:val="center"/>
              <w:rPr>
                <w:rFonts w:ascii="宋体" w:hAnsi="宋体" w:eastAsia="宋体" w:cs="Times New Roman"/>
                <w:color w:val="auto"/>
              </w:rPr>
            </w:pPr>
            <w:r>
              <w:rPr>
                <w:rFonts w:ascii="宋体" w:hAnsi="宋体" w:eastAsia="宋体" w:cs="Times New Roman"/>
                <w:color w:val="auto"/>
              </w:rPr>
              <w:t xml:space="preserve"> 8.00309</w:t>
            </w:r>
          </w:p>
        </w:tc>
        <w:tc>
          <w:tcPr>
            <w:tcW w:w="836" w:type="dxa"/>
            <w:tcBorders>
              <w:bottom w:val="single" w:color="auto" w:sz="4" w:space="0"/>
              <w:tl2br w:val="nil"/>
              <w:tr2bl w:val="nil"/>
            </w:tcBorders>
            <w:vAlign w:val="center"/>
          </w:tcPr>
          <w:p w14:paraId="520448A6">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20.008 </w:t>
            </w:r>
          </w:p>
        </w:tc>
        <w:tc>
          <w:tcPr>
            <w:tcW w:w="830" w:type="dxa"/>
            <w:tcBorders>
              <w:bottom w:val="single" w:color="auto" w:sz="4" w:space="0"/>
              <w:tl2br w:val="nil"/>
              <w:tr2bl w:val="nil"/>
            </w:tcBorders>
            <w:vAlign w:val="center"/>
          </w:tcPr>
          <w:p w14:paraId="0963F5EE">
            <w:pPr>
              <w:jc w:val="center"/>
              <w:rPr>
                <w:rFonts w:ascii="宋体" w:hAnsi="宋体" w:eastAsia="宋体" w:cs="Times New Roman"/>
                <w:color w:val="auto"/>
              </w:rPr>
            </w:pPr>
            <w:r>
              <w:rPr>
                <w:rFonts w:ascii="宋体" w:hAnsi="宋体" w:eastAsia="宋体" w:cs="Times New Roman"/>
                <w:color w:val="auto"/>
              </w:rPr>
              <w:t>达标</w:t>
            </w:r>
          </w:p>
        </w:tc>
      </w:tr>
      <w:tr w14:paraId="46C8C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1E6EA010">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14FF43DB">
            <w:pPr>
              <w:jc w:val="center"/>
              <w:rPr>
                <w:rFonts w:ascii="宋体" w:hAnsi="宋体" w:eastAsia="宋体" w:cs="Times New Roman"/>
                <w:color w:val="auto"/>
              </w:rPr>
            </w:pPr>
            <w:r>
              <w:rPr>
                <w:rFonts w:ascii="宋体" w:hAnsi="宋体" w:eastAsia="宋体" w:cs="Times New Roman"/>
                <w:color w:val="auto"/>
              </w:rPr>
              <w:t>李彦和屯</w:t>
            </w:r>
          </w:p>
        </w:tc>
        <w:tc>
          <w:tcPr>
            <w:tcW w:w="810" w:type="dxa"/>
            <w:vMerge w:val="continue"/>
            <w:tcBorders>
              <w:tl2br w:val="nil"/>
              <w:tr2bl w:val="nil"/>
            </w:tcBorders>
            <w:vAlign w:val="center"/>
          </w:tcPr>
          <w:p w14:paraId="1FDAEB52">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2C827C8F">
            <w:pPr>
              <w:jc w:val="center"/>
              <w:rPr>
                <w:rFonts w:ascii="宋体" w:hAnsi="宋体" w:eastAsia="宋体" w:cs="Times New Roman"/>
                <w:color w:val="auto"/>
              </w:rPr>
            </w:pPr>
            <w:r>
              <w:rPr>
                <w:rFonts w:ascii="宋体" w:hAnsi="宋体" w:eastAsia="宋体" w:cs="Times New Roman"/>
                <w:color w:val="auto"/>
              </w:rPr>
              <w:t>0.00744215</w:t>
            </w:r>
          </w:p>
        </w:tc>
        <w:tc>
          <w:tcPr>
            <w:tcW w:w="794" w:type="dxa"/>
            <w:tcBorders>
              <w:bottom w:val="single" w:color="auto" w:sz="4" w:space="0"/>
              <w:tl2br w:val="nil"/>
              <w:tr2bl w:val="nil"/>
            </w:tcBorders>
            <w:vAlign w:val="center"/>
          </w:tcPr>
          <w:p w14:paraId="24F156A3">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0.019 </w:t>
            </w:r>
          </w:p>
        </w:tc>
        <w:tc>
          <w:tcPr>
            <w:tcW w:w="1262" w:type="dxa"/>
            <w:tcBorders>
              <w:bottom w:val="single" w:color="auto" w:sz="4" w:space="0"/>
              <w:tl2br w:val="nil"/>
              <w:tr2bl w:val="nil"/>
            </w:tcBorders>
            <w:vAlign w:val="center"/>
          </w:tcPr>
          <w:p w14:paraId="59957924">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56553052">
            <w:pPr>
              <w:jc w:val="center"/>
              <w:rPr>
                <w:rFonts w:ascii="宋体" w:hAnsi="宋体" w:eastAsia="宋体" w:cs="Times New Roman"/>
                <w:color w:val="auto"/>
              </w:rPr>
            </w:pPr>
            <w:r>
              <w:rPr>
                <w:rFonts w:ascii="宋体" w:hAnsi="宋体" w:eastAsia="宋体" w:cs="Times New Roman"/>
                <w:color w:val="auto"/>
              </w:rPr>
              <w:t>8.00744</w:t>
            </w:r>
          </w:p>
        </w:tc>
        <w:tc>
          <w:tcPr>
            <w:tcW w:w="836" w:type="dxa"/>
            <w:tcBorders>
              <w:bottom w:val="single" w:color="auto" w:sz="4" w:space="0"/>
              <w:tl2br w:val="nil"/>
              <w:tr2bl w:val="nil"/>
            </w:tcBorders>
            <w:vAlign w:val="center"/>
          </w:tcPr>
          <w:p w14:paraId="1D2B9641">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20.019 </w:t>
            </w:r>
          </w:p>
        </w:tc>
        <w:tc>
          <w:tcPr>
            <w:tcW w:w="830" w:type="dxa"/>
            <w:tcBorders>
              <w:bottom w:val="single" w:color="auto" w:sz="4" w:space="0"/>
              <w:tl2br w:val="nil"/>
              <w:tr2bl w:val="nil"/>
            </w:tcBorders>
            <w:vAlign w:val="center"/>
          </w:tcPr>
          <w:p w14:paraId="2C2FF4A3">
            <w:pPr>
              <w:jc w:val="center"/>
              <w:rPr>
                <w:rFonts w:ascii="宋体" w:hAnsi="宋体" w:eastAsia="宋体" w:cs="Times New Roman"/>
                <w:color w:val="auto"/>
              </w:rPr>
            </w:pPr>
            <w:r>
              <w:rPr>
                <w:rFonts w:ascii="宋体" w:hAnsi="宋体" w:eastAsia="宋体" w:cs="Times New Roman"/>
                <w:color w:val="auto"/>
              </w:rPr>
              <w:t>达标</w:t>
            </w:r>
          </w:p>
        </w:tc>
      </w:tr>
      <w:tr w14:paraId="323FA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207EDCD8">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3DEB0E0E">
            <w:pPr>
              <w:jc w:val="center"/>
              <w:rPr>
                <w:rFonts w:ascii="宋体" w:hAnsi="宋体" w:eastAsia="宋体" w:cs="Times New Roman"/>
                <w:color w:val="auto"/>
              </w:rPr>
            </w:pPr>
            <w:r>
              <w:rPr>
                <w:rFonts w:ascii="宋体" w:hAnsi="宋体" w:eastAsia="宋体" w:cs="Times New Roman"/>
                <w:color w:val="auto"/>
              </w:rPr>
              <w:t>华南屯</w:t>
            </w:r>
          </w:p>
        </w:tc>
        <w:tc>
          <w:tcPr>
            <w:tcW w:w="810" w:type="dxa"/>
            <w:vMerge w:val="continue"/>
            <w:tcBorders>
              <w:tl2br w:val="nil"/>
              <w:tr2bl w:val="nil"/>
            </w:tcBorders>
            <w:vAlign w:val="center"/>
          </w:tcPr>
          <w:p w14:paraId="7D8702C7">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F828860">
            <w:pPr>
              <w:jc w:val="center"/>
              <w:rPr>
                <w:rFonts w:ascii="宋体" w:hAnsi="宋体" w:eastAsia="宋体" w:cs="Times New Roman"/>
                <w:color w:val="auto"/>
              </w:rPr>
            </w:pPr>
            <w:r>
              <w:rPr>
                <w:rFonts w:ascii="宋体" w:hAnsi="宋体" w:eastAsia="宋体" w:cs="Times New Roman"/>
                <w:color w:val="auto"/>
              </w:rPr>
              <w:t>0.00766718</w:t>
            </w:r>
          </w:p>
        </w:tc>
        <w:tc>
          <w:tcPr>
            <w:tcW w:w="794" w:type="dxa"/>
            <w:tcBorders>
              <w:bottom w:val="single" w:color="auto" w:sz="4" w:space="0"/>
              <w:tl2br w:val="nil"/>
              <w:tr2bl w:val="nil"/>
            </w:tcBorders>
            <w:vAlign w:val="center"/>
          </w:tcPr>
          <w:p w14:paraId="0DB69CED">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0.019 </w:t>
            </w:r>
          </w:p>
        </w:tc>
        <w:tc>
          <w:tcPr>
            <w:tcW w:w="1262" w:type="dxa"/>
            <w:tcBorders>
              <w:bottom w:val="single" w:color="auto" w:sz="4" w:space="0"/>
              <w:tl2br w:val="nil"/>
              <w:tr2bl w:val="nil"/>
            </w:tcBorders>
            <w:vAlign w:val="center"/>
          </w:tcPr>
          <w:p w14:paraId="31AEDF9A">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1CC4F6EE">
            <w:pPr>
              <w:jc w:val="center"/>
              <w:rPr>
                <w:rFonts w:ascii="宋体" w:hAnsi="宋体" w:eastAsia="宋体" w:cs="Times New Roman"/>
                <w:color w:val="auto"/>
              </w:rPr>
            </w:pPr>
            <w:r>
              <w:rPr>
                <w:rFonts w:ascii="宋体" w:hAnsi="宋体" w:eastAsia="宋体" w:cs="Times New Roman"/>
                <w:color w:val="auto"/>
              </w:rPr>
              <w:t>8.00767</w:t>
            </w:r>
          </w:p>
        </w:tc>
        <w:tc>
          <w:tcPr>
            <w:tcW w:w="836" w:type="dxa"/>
            <w:tcBorders>
              <w:bottom w:val="single" w:color="auto" w:sz="4" w:space="0"/>
              <w:tl2br w:val="nil"/>
              <w:tr2bl w:val="nil"/>
            </w:tcBorders>
            <w:vAlign w:val="center"/>
          </w:tcPr>
          <w:p w14:paraId="4B41D616">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20.019 </w:t>
            </w:r>
          </w:p>
        </w:tc>
        <w:tc>
          <w:tcPr>
            <w:tcW w:w="830" w:type="dxa"/>
            <w:tcBorders>
              <w:bottom w:val="single" w:color="auto" w:sz="4" w:space="0"/>
              <w:tl2br w:val="nil"/>
              <w:tr2bl w:val="nil"/>
            </w:tcBorders>
            <w:vAlign w:val="center"/>
          </w:tcPr>
          <w:p w14:paraId="37BEEABA">
            <w:pPr>
              <w:jc w:val="center"/>
              <w:rPr>
                <w:rFonts w:ascii="宋体" w:hAnsi="宋体" w:eastAsia="宋体" w:cs="Times New Roman"/>
                <w:color w:val="auto"/>
              </w:rPr>
            </w:pPr>
            <w:r>
              <w:rPr>
                <w:rFonts w:ascii="宋体" w:hAnsi="宋体" w:eastAsia="宋体" w:cs="Times New Roman"/>
                <w:color w:val="auto"/>
              </w:rPr>
              <w:t>达标</w:t>
            </w:r>
          </w:p>
        </w:tc>
      </w:tr>
      <w:tr w14:paraId="4519B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4F22BE0D">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2E1E96B">
            <w:pPr>
              <w:jc w:val="center"/>
              <w:rPr>
                <w:rFonts w:ascii="宋体" w:hAnsi="宋体" w:eastAsia="宋体" w:cs="Times New Roman"/>
                <w:color w:val="auto"/>
              </w:rPr>
            </w:pPr>
            <w:r>
              <w:rPr>
                <w:rFonts w:ascii="宋体" w:hAnsi="宋体" w:eastAsia="宋体" w:cs="Times New Roman"/>
                <w:color w:val="auto"/>
              </w:rPr>
              <w:t>小欧力马屯</w:t>
            </w:r>
          </w:p>
        </w:tc>
        <w:tc>
          <w:tcPr>
            <w:tcW w:w="810" w:type="dxa"/>
            <w:vMerge w:val="continue"/>
            <w:tcBorders>
              <w:tl2br w:val="nil"/>
              <w:tr2bl w:val="nil"/>
            </w:tcBorders>
            <w:vAlign w:val="center"/>
          </w:tcPr>
          <w:p w14:paraId="2FC4688B">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CEB5898">
            <w:pPr>
              <w:jc w:val="center"/>
              <w:rPr>
                <w:rFonts w:ascii="宋体" w:hAnsi="宋体" w:eastAsia="宋体" w:cs="Times New Roman"/>
                <w:color w:val="auto"/>
              </w:rPr>
            </w:pPr>
            <w:r>
              <w:rPr>
                <w:rFonts w:ascii="宋体" w:hAnsi="宋体" w:eastAsia="宋体" w:cs="Times New Roman"/>
                <w:color w:val="auto"/>
              </w:rPr>
              <w:t>0.00951452</w:t>
            </w:r>
          </w:p>
        </w:tc>
        <w:tc>
          <w:tcPr>
            <w:tcW w:w="794" w:type="dxa"/>
            <w:tcBorders>
              <w:bottom w:val="single" w:color="auto" w:sz="4" w:space="0"/>
              <w:tl2br w:val="nil"/>
              <w:tr2bl w:val="nil"/>
            </w:tcBorders>
            <w:vAlign w:val="center"/>
          </w:tcPr>
          <w:p w14:paraId="0BB27D43">
            <w:pPr>
              <w:jc w:val="right"/>
              <w:textAlignment w:val="center"/>
              <w:rPr>
                <w:rFonts w:ascii="宋体" w:hAnsi="宋体" w:eastAsia="宋体" w:cs="Times New Roman"/>
                <w:color w:val="auto"/>
              </w:rPr>
            </w:pPr>
            <w:r>
              <w:rPr>
                <w:rFonts w:ascii="宋体" w:hAnsi="宋体" w:eastAsia="宋体" w:cs="Times New Roman"/>
                <w:color w:val="auto"/>
                <w:lang w:bidi="ar"/>
              </w:rPr>
              <w:t xml:space="preserve">0.024 </w:t>
            </w:r>
          </w:p>
        </w:tc>
        <w:tc>
          <w:tcPr>
            <w:tcW w:w="1262" w:type="dxa"/>
            <w:tcBorders>
              <w:bottom w:val="single" w:color="auto" w:sz="4" w:space="0"/>
              <w:tl2br w:val="nil"/>
              <w:tr2bl w:val="nil"/>
            </w:tcBorders>
            <w:vAlign w:val="center"/>
          </w:tcPr>
          <w:p w14:paraId="597C361A">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0D345738">
            <w:pPr>
              <w:jc w:val="center"/>
              <w:rPr>
                <w:rFonts w:ascii="宋体" w:hAnsi="宋体" w:eastAsia="宋体" w:cs="Times New Roman"/>
                <w:color w:val="auto"/>
              </w:rPr>
            </w:pPr>
            <w:r>
              <w:rPr>
                <w:rFonts w:ascii="宋体" w:hAnsi="宋体" w:eastAsia="宋体" w:cs="Times New Roman"/>
                <w:color w:val="auto"/>
              </w:rPr>
              <w:t>8.00951</w:t>
            </w:r>
          </w:p>
        </w:tc>
        <w:tc>
          <w:tcPr>
            <w:tcW w:w="836" w:type="dxa"/>
            <w:tcBorders>
              <w:bottom w:val="single" w:color="auto" w:sz="4" w:space="0"/>
              <w:tl2br w:val="nil"/>
              <w:tr2bl w:val="nil"/>
            </w:tcBorders>
            <w:vAlign w:val="center"/>
          </w:tcPr>
          <w:p w14:paraId="2C02B5AB">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20.024 </w:t>
            </w:r>
          </w:p>
        </w:tc>
        <w:tc>
          <w:tcPr>
            <w:tcW w:w="830" w:type="dxa"/>
            <w:tcBorders>
              <w:bottom w:val="single" w:color="auto" w:sz="4" w:space="0"/>
              <w:tl2br w:val="nil"/>
              <w:tr2bl w:val="nil"/>
            </w:tcBorders>
            <w:vAlign w:val="center"/>
          </w:tcPr>
          <w:p w14:paraId="7F002F0B">
            <w:pPr>
              <w:jc w:val="center"/>
              <w:rPr>
                <w:rFonts w:ascii="宋体" w:hAnsi="宋体" w:eastAsia="宋体" w:cs="Times New Roman"/>
                <w:color w:val="auto"/>
              </w:rPr>
            </w:pPr>
            <w:r>
              <w:rPr>
                <w:rFonts w:ascii="宋体" w:hAnsi="宋体" w:eastAsia="宋体" w:cs="Times New Roman"/>
                <w:color w:val="auto"/>
              </w:rPr>
              <w:t>达标</w:t>
            </w:r>
          </w:p>
        </w:tc>
      </w:tr>
      <w:tr w14:paraId="3C940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0658B17C">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139DA20A">
            <w:pPr>
              <w:jc w:val="center"/>
              <w:rPr>
                <w:rFonts w:ascii="宋体" w:hAnsi="宋体" w:eastAsia="宋体" w:cs="Times New Roman"/>
                <w:color w:val="auto"/>
              </w:rPr>
            </w:pPr>
            <w:r>
              <w:rPr>
                <w:rFonts w:ascii="宋体" w:hAnsi="宋体" w:eastAsia="宋体" w:cs="Times New Roman"/>
                <w:color w:val="auto"/>
              </w:rPr>
              <w:t>立功村</w:t>
            </w:r>
          </w:p>
        </w:tc>
        <w:tc>
          <w:tcPr>
            <w:tcW w:w="810" w:type="dxa"/>
            <w:vMerge w:val="continue"/>
            <w:tcBorders>
              <w:tl2br w:val="nil"/>
              <w:tr2bl w:val="nil"/>
            </w:tcBorders>
            <w:vAlign w:val="center"/>
          </w:tcPr>
          <w:p w14:paraId="215E11C2">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0DBF4D4">
            <w:pPr>
              <w:jc w:val="center"/>
              <w:rPr>
                <w:rFonts w:ascii="宋体" w:hAnsi="宋体" w:eastAsia="宋体" w:cs="Times New Roman"/>
                <w:color w:val="auto"/>
              </w:rPr>
            </w:pPr>
            <w:r>
              <w:rPr>
                <w:rFonts w:ascii="宋体" w:hAnsi="宋体" w:eastAsia="宋体" w:cs="Times New Roman"/>
                <w:color w:val="auto"/>
              </w:rPr>
              <w:t>0.00603527</w:t>
            </w:r>
          </w:p>
        </w:tc>
        <w:tc>
          <w:tcPr>
            <w:tcW w:w="794" w:type="dxa"/>
            <w:tcBorders>
              <w:bottom w:val="single" w:color="auto" w:sz="4" w:space="0"/>
              <w:tl2br w:val="nil"/>
              <w:tr2bl w:val="nil"/>
            </w:tcBorders>
            <w:vAlign w:val="center"/>
          </w:tcPr>
          <w:p w14:paraId="014C2915">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0.015 </w:t>
            </w:r>
          </w:p>
        </w:tc>
        <w:tc>
          <w:tcPr>
            <w:tcW w:w="1262" w:type="dxa"/>
            <w:tcBorders>
              <w:bottom w:val="single" w:color="auto" w:sz="4" w:space="0"/>
              <w:tl2br w:val="nil"/>
              <w:tr2bl w:val="nil"/>
            </w:tcBorders>
            <w:vAlign w:val="center"/>
          </w:tcPr>
          <w:p w14:paraId="61D0C9B7">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21D76F70">
            <w:pPr>
              <w:jc w:val="center"/>
              <w:rPr>
                <w:rFonts w:ascii="宋体" w:hAnsi="宋体" w:eastAsia="宋体" w:cs="Times New Roman"/>
                <w:color w:val="auto"/>
              </w:rPr>
            </w:pPr>
            <w:r>
              <w:rPr>
                <w:rFonts w:ascii="宋体" w:hAnsi="宋体" w:eastAsia="宋体" w:cs="Times New Roman"/>
                <w:color w:val="auto"/>
              </w:rPr>
              <w:t>8.00604</w:t>
            </w:r>
          </w:p>
        </w:tc>
        <w:tc>
          <w:tcPr>
            <w:tcW w:w="836" w:type="dxa"/>
            <w:tcBorders>
              <w:bottom w:val="single" w:color="auto" w:sz="4" w:space="0"/>
              <w:tl2br w:val="nil"/>
              <w:tr2bl w:val="nil"/>
            </w:tcBorders>
            <w:vAlign w:val="center"/>
          </w:tcPr>
          <w:p w14:paraId="60DAE797">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20.015 </w:t>
            </w:r>
          </w:p>
        </w:tc>
        <w:tc>
          <w:tcPr>
            <w:tcW w:w="830" w:type="dxa"/>
            <w:tcBorders>
              <w:bottom w:val="single" w:color="auto" w:sz="4" w:space="0"/>
              <w:tl2br w:val="nil"/>
              <w:tr2bl w:val="nil"/>
            </w:tcBorders>
            <w:vAlign w:val="center"/>
          </w:tcPr>
          <w:p w14:paraId="48F365C5">
            <w:pPr>
              <w:jc w:val="center"/>
              <w:rPr>
                <w:rFonts w:ascii="宋体" w:hAnsi="宋体" w:eastAsia="宋体" w:cs="Times New Roman"/>
                <w:color w:val="auto"/>
              </w:rPr>
            </w:pPr>
            <w:r>
              <w:rPr>
                <w:rFonts w:ascii="宋体" w:hAnsi="宋体" w:eastAsia="宋体" w:cs="Times New Roman"/>
                <w:color w:val="auto"/>
              </w:rPr>
              <w:t>达标</w:t>
            </w:r>
          </w:p>
        </w:tc>
      </w:tr>
      <w:tr w14:paraId="637B2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17183986">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17639848">
            <w:pPr>
              <w:jc w:val="center"/>
              <w:rPr>
                <w:rFonts w:ascii="宋体" w:hAnsi="宋体" w:eastAsia="宋体" w:cs="Times New Roman"/>
                <w:color w:val="auto"/>
              </w:rPr>
            </w:pPr>
            <w:r>
              <w:rPr>
                <w:rFonts w:ascii="宋体" w:hAnsi="宋体" w:eastAsia="宋体" w:cs="Times New Roman"/>
                <w:color w:val="auto"/>
              </w:rPr>
              <w:t>后欧力马屯</w:t>
            </w:r>
          </w:p>
        </w:tc>
        <w:tc>
          <w:tcPr>
            <w:tcW w:w="810" w:type="dxa"/>
            <w:vMerge w:val="continue"/>
            <w:tcBorders>
              <w:tl2br w:val="nil"/>
              <w:tr2bl w:val="nil"/>
            </w:tcBorders>
            <w:vAlign w:val="center"/>
          </w:tcPr>
          <w:p w14:paraId="62D5CA63">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EC215B3">
            <w:pPr>
              <w:jc w:val="center"/>
              <w:rPr>
                <w:rFonts w:ascii="宋体" w:hAnsi="宋体" w:eastAsia="宋体" w:cs="Times New Roman"/>
                <w:color w:val="auto"/>
              </w:rPr>
            </w:pPr>
            <w:r>
              <w:rPr>
                <w:rFonts w:ascii="宋体" w:hAnsi="宋体" w:eastAsia="宋体" w:cs="Times New Roman"/>
                <w:color w:val="auto"/>
              </w:rPr>
              <w:t>0.0205696</w:t>
            </w:r>
          </w:p>
        </w:tc>
        <w:tc>
          <w:tcPr>
            <w:tcW w:w="794" w:type="dxa"/>
            <w:tcBorders>
              <w:bottom w:val="single" w:color="auto" w:sz="4" w:space="0"/>
              <w:tl2br w:val="nil"/>
              <w:tr2bl w:val="nil"/>
            </w:tcBorders>
            <w:vAlign w:val="center"/>
          </w:tcPr>
          <w:p w14:paraId="36C756C9">
            <w:pPr>
              <w:jc w:val="right"/>
              <w:textAlignment w:val="center"/>
              <w:rPr>
                <w:rFonts w:ascii="宋体" w:hAnsi="宋体" w:eastAsia="宋体" w:cs="Times New Roman"/>
                <w:color w:val="auto"/>
              </w:rPr>
            </w:pPr>
            <w:r>
              <w:rPr>
                <w:rFonts w:ascii="宋体" w:hAnsi="宋体" w:eastAsia="宋体" w:cs="Times New Roman"/>
                <w:color w:val="auto"/>
                <w:lang w:bidi="ar"/>
              </w:rPr>
              <w:t xml:space="preserve">0.051 </w:t>
            </w:r>
          </w:p>
        </w:tc>
        <w:tc>
          <w:tcPr>
            <w:tcW w:w="1262" w:type="dxa"/>
            <w:tcBorders>
              <w:bottom w:val="single" w:color="auto" w:sz="4" w:space="0"/>
              <w:tl2br w:val="nil"/>
              <w:tr2bl w:val="nil"/>
            </w:tcBorders>
            <w:vAlign w:val="center"/>
          </w:tcPr>
          <w:p w14:paraId="18591FEF">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2E2ACF2B">
            <w:pPr>
              <w:jc w:val="center"/>
              <w:rPr>
                <w:rFonts w:ascii="宋体" w:hAnsi="宋体" w:eastAsia="宋体" w:cs="Times New Roman"/>
                <w:color w:val="auto"/>
              </w:rPr>
            </w:pPr>
            <w:r>
              <w:rPr>
                <w:rFonts w:ascii="宋体" w:hAnsi="宋体" w:eastAsia="宋体" w:cs="Times New Roman"/>
                <w:color w:val="auto"/>
              </w:rPr>
              <w:t>8.02057</w:t>
            </w:r>
          </w:p>
        </w:tc>
        <w:tc>
          <w:tcPr>
            <w:tcW w:w="836" w:type="dxa"/>
            <w:tcBorders>
              <w:bottom w:val="single" w:color="auto" w:sz="4" w:space="0"/>
              <w:tl2br w:val="nil"/>
              <w:tr2bl w:val="nil"/>
            </w:tcBorders>
            <w:vAlign w:val="center"/>
          </w:tcPr>
          <w:p w14:paraId="3B5A7911">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20.051 </w:t>
            </w:r>
          </w:p>
        </w:tc>
        <w:tc>
          <w:tcPr>
            <w:tcW w:w="830" w:type="dxa"/>
            <w:tcBorders>
              <w:bottom w:val="single" w:color="auto" w:sz="4" w:space="0"/>
              <w:tl2br w:val="nil"/>
              <w:tr2bl w:val="nil"/>
            </w:tcBorders>
            <w:vAlign w:val="center"/>
          </w:tcPr>
          <w:p w14:paraId="18E34FDA">
            <w:pPr>
              <w:jc w:val="center"/>
              <w:rPr>
                <w:rFonts w:ascii="宋体" w:hAnsi="宋体" w:eastAsia="宋体" w:cs="Times New Roman"/>
                <w:color w:val="auto"/>
              </w:rPr>
            </w:pPr>
            <w:r>
              <w:rPr>
                <w:rFonts w:ascii="宋体" w:hAnsi="宋体" w:eastAsia="宋体" w:cs="Times New Roman"/>
                <w:color w:val="auto"/>
              </w:rPr>
              <w:t>达标</w:t>
            </w:r>
          </w:p>
        </w:tc>
      </w:tr>
      <w:tr w14:paraId="163A7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0789554F">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3A9A7477">
            <w:pPr>
              <w:jc w:val="center"/>
              <w:rPr>
                <w:rFonts w:ascii="宋体" w:hAnsi="宋体" w:eastAsia="宋体" w:cs="Times New Roman"/>
                <w:color w:val="auto"/>
              </w:rPr>
            </w:pPr>
            <w:r>
              <w:rPr>
                <w:rFonts w:ascii="宋体" w:hAnsi="宋体" w:eastAsia="宋体" w:cs="Times New Roman"/>
                <w:color w:val="auto"/>
              </w:rPr>
              <w:t>王家园子屯</w:t>
            </w:r>
          </w:p>
        </w:tc>
        <w:tc>
          <w:tcPr>
            <w:tcW w:w="810" w:type="dxa"/>
            <w:vMerge w:val="continue"/>
            <w:tcBorders>
              <w:tl2br w:val="nil"/>
              <w:tr2bl w:val="nil"/>
            </w:tcBorders>
            <w:vAlign w:val="center"/>
          </w:tcPr>
          <w:p w14:paraId="5272DEFB">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BE136A7">
            <w:pPr>
              <w:jc w:val="center"/>
              <w:rPr>
                <w:rFonts w:ascii="宋体" w:hAnsi="宋体" w:eastAsia="宋体" w:cs="Times New Roman"/>
                <w:color w:val="auto"/>
              </w:rPr>
            </w:pPr>
            <w:r>
              <w:rPr>
                <w:rFonts w:ascii="宋体" w:hAnsi="宋体" w:eastAsia="宋体" w:cs="Times New Roman"/>
                <w:color w:val="auto"/>
              </w:rPr>
              <w:t>0.00918381</w:t>
            </w:r>
          </w:p>
        </w:tc>
        <w:tc>
          <w:tcPr>
            <w:tcW w:w="794" w:type="dxa"/>
            <w:tcBorders>
              <w:bottom w:val="single" w:color="auto" w:sz="4" w:space="0"/>
              <w:tl2br w:val="nil"/>
              <w:tr2bl w:val="nil"/>
            </w:tcBorders>
            <w:vAlign w:val="center"/>
          </w:tcPr>
          <w:p w14:paraId="29FA54A0">
            <w:pPr>
              <w:jc w:val="right"/>
              <w:textAlignment w:val="center"/>
              <w:rPr>
                <w:rFonts w:ascii="宋体" w:hAnsi="宋体" w:eastAsia="宋体" w:cs="Times New Roman"/>
                <w:color w:val="auto"/>
              </w:rPr>
            </w:pPr>
            <w:r>
              <w:rPr>
                <w:rFonts w:ascii="宋体" w:hAnsi="宋体" w:eastAsia="宋体" w:cs="Times New Roman"/>
                <w:color w:val="auto"/>
                <w:lang w:bidi="ar"/>
              </w:rPr>
              <w:t xml:space="preserve">0.023 </w:t>
            </w:r>
          </w:p>
        </w:tc>
        <w:tc>
          <w:tcPr>
            <w:tcW w:w="1262" w:type="dxa"/>
            <w:tcBorders>
              <w:bottom w:val="single" w:color="auto" w:sz="4" w:space="0"/>
              <w:tl2br w:val="nil"/>
              <w:tr2bl w:val="nil"/>
            </w:tcBorders>
            <w:vAlign w:val="center"/>
          </w:tcPr>
          <w:p w14:paraId="038D3B32">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5C24A210">
            <w:pPr>
              <w:jc w:val="center"/>
              <w:rPr>
                <w:rFonts w:ascii="宋体" w:hAnsi="宋体" w:eastAsia="宋体" w:cs="Times New Roman"/>
                <w:color w:val="auto"/>
              </w:rPr>
            </w:pPr>
            <w:r>
              <w:rPr>
                <w:rFonts w:ascii="宋体" w:hAnsi="宋体" w:eastAsia="宋体" w:cs="Times New Roman"/>
                <w:color w:val="auto"/>
              </w:rPr>
              <w:t>8.00918</w:t>
            </w:r>
          </w:p>
        </w:tc>
        <w:tc>
          <w:tcPr>
            <w:tcW w:w="836" w:type="dxa"/>
            <w:tcBorders>
              <w:bottom w:val="single" w:color="auto" w:sz="4" w:space="0"/>
              <w:tl2br w:val="nil"/>
              <w:tr2bl w:val="nil"/>
            </w:tcBorders>
            <w:vAlign w:val="center"/>
          </w:tcPr>
          <w:p w14:paraId="046A22CC">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20.023 </w:t>
            </w:r>
          </w:p>
        </w:tc>
        <w:tc>
          <w:tcPr>
            <w:tcW w:w="830" w:type="dxa"/>
            <w:tcBorders>
              <w:bottom w:val="single" w:color="auto" w:sz="4" w:space="0"/>
              <w:tl2br w:val="nil"/>
              <w:tr2bl w:val="nil"/>
            </w:tcBorders>
            <w:vAlign w:val="center"/>
          </w:tcPr>
          <w:p w14:paraId="76C59D8F">
            <w:pPr>
              <w:jc w:val="center"/>
              <w:rPr>
                <w:rFonts w:ascii="宋体" w:hAnsi="宋体" w:eastAsia="宋体" w:cs="Times New Roman"/>
                <w:color w:val="auto"/>
              </w:rPr>
            </w:pPr>
            <w:r>
              <w:rPr>
                <w:rFonts w:ascii="宋体" w:hAnsi="宋体" w:eastAsia="宋体" w:cs="Times New Roman"/>
                <w:color w:val="auto"/>
              </w:rPr>
              <w:t>达标</w:t>
            </w:r>
          </w:p>
        </w:tc>
      </w:tr>
      <w:tr w14:paraId="0DB31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5B4D6CAC">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444EF3ED">
            <w:pPr>
              <w:jc w:val="center"/>
              <w:rPr>
                <w:rFonts w:ascii="宋体" w:hAnsi="宋体" w:eastAsia="宋体" w:cs="Times New Roman"/>
                <w:color w:val="auto"/>
              </w:rPr>
            </w:pPr>
            <w:r>
              <w:rPr>
                <w:rFonts w:ascii="宋体" w:hAnsi="宋体" w:eastAsia="宋体" w:cs="Times New Roman"/>
                <w:color w:val="auto"/>
              </w:rPr>
              <w:t>和平乡</w:t>
            </w:r>
          </w:p>
        </w:tc>
        <w:tc>
          <w:tcPr>
            <w:tcW w:w="810" w:type="dxa"/>
            <w:vMerge w:val="continue"/>
            <w:tcBorders>
              <w:tl2br w:val="nil"/>
              <w:tr2bl w:val="nil"/>
            </w:tcBorders>
            <w:vAlign w:val="center"/>
          </w:tcPr>
          <w:p w14:paraId="23F0A517">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61FA1C99">
            <w:pPr>
              <w:jc w:val="center"/>
              <w:rPr>
                <w:rFonts w:ascii="宋体" w:hAnsi="宋体" w:eastAsia="宋体" w:cs="Times New Roman"/>
                <w:color w:val="auto"/>
              </w:rPr>
            </w:pPr>
            <w:r>
              <w:rPr>
                <w:rFonts w:ascii="宋体" w:hAnsi="宋体" w:eastAsia="宋体" w:cs="Times New Roman"/>
                <w:color w:val="auto"/>
              </w:rPr>
              <w:t>0.00307531</w:t>
            </w:r>
          </w:p>
        </w:tc>
        <w:tc>
          <w:tcPr>
            <w:tcW w:w="794" w:type="dxa"/>
            <w:tcBorders>
              <w:bottom w:val="single" w:color="auto" w:sz="4" w:space="0"/>
              <w:tl2br w:val="nil"/>
              <w:tr2bl w:val="nil"/>
            </w:tcBorders>
            <w:vAlign w:val="center"/>
          </w:tcPr>
          <w:p w14:paraId="53281118">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0.008 </w:t>
            </w:r>
          </w:p>
        </w:tc>
        <w:tc>
          <w:tcPr>
            <w:tcW w:w="1262" w:type="dxa"/>
            <w:tcBorders>
              <w:bottom w:val="single" w:color="auto" w:sz="4" w:space="0"/>
              <w:tl2br w:val="nil"/>
              <w:tr2bl w:val="nil"/>
            </w:tcBorders>
            <w:vAlign w:val="center"/>
          </w:tcPr>
          <w:p w14:paraId="432494B1">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6D69355F">
            <w:pPr>
              <w:jc w:val="center"/>
              <w:rPr>
                <w:rFonts w:ascii="宋体" w:hAnsi="宋体" w:eastAsia="宋体" w:cs="Times New Roman"/>
                <w:color w:val="auto"/>
              </w:rPr>
            </w:pPr>
            <w:r>
              <w:rPr>
                <w:rFonts w:ascii="宋体" w:hAnsi="宋体" w:eastAsia="宋体" w:cs="Times New Roman"/>
                <w:color w:val="auto"/>
              </w:rPr>
              <w:t>8.00308</w:t>
            </w:r>
          </w:p>
        </w:tc>
        <w:tc>
          <w:tcPr>
            <w:tcW w:w="836" w:type="dxa"/>
            <w:tcBorders>
              <w:bottom w:val="single" w:color="auto" w:sz="4" w:space="0"/>
              <w:tl2br w:val="nil"/>
              <w:tr2bl w:val="nil"/>
            </w:tcBorders>
            <w:vAlign w:val="center"/>
          </w:tcPr>
          <w:p w14:paraId="78316D00">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20.008 </w:t>
            </w:r>
          </w:p>
        </w:tc>
        <w:tc>
          <w:tcPr>
            <w:tcW w:w="830" w:type="dxa"/>
            <w:tcBorders>
              <w:bottom w:val="single" w:color="auto" w:sz="4" w:space="0"/>
              <w:tl2br w:val="nil"/>
              <w:tr2bl w:val="nil"/>
            </w:tcBorders>
            <w:vAlign w:val="center"/>
          </w:tcPr>
          <w:p w14:paraId="1B2FA3FF">
            <w:pPr>
              <w:jc w:val="center"/>
              <w:rPr>
                <w:rFonts w:ascii="宋体" w:hAnsi="宋体" w:eastAsia="宋体" w:cs="Times New Roman"/>
                <w:color w:val="auto"/>
              </w:rPr>
            </w:pPr>
            <w:r>
              <w:rPr>
                <w:rFonts w:ascii="宋体" w:hAnsi="宋体" w:eastAsia="宋体" w:cs="Times New Roman"/>
                <w:color w:val="auto"/>
              </w:rPr>
              <w:t>达标</w:t>
            </w:r>
          </w:p>
        </w:tc>
      </w:tr>
      <w:tr w14:paraId="1E24A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2BB9AAD4">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CDB60B5">
            <w:pPr>
              <w:jc w:val="center"/>
              <w:rPr>
                <w:rFonts w:ascii="宋体" w:hAnsi="宋体" w:eastAsia="宋体" w:cs="Times New Roman"/>
                <w:color w:val="auto"/>
              </w:rPr>
            </w:pPr>
            <w:r>
              <w:rPr>
                <w:rFonts w:ascii="宋体" w:hAnsi="宋体" w:eastAsia="宋体" w:cs="Times New Roman"/>
                <w:color w:val="auto"/>
              </w:rPr>
              <w:t>赵家围子屯</w:t>
            </w:r>
          </w:p>
        </w:tc>
        <w:tc>
          <w:tcPr>
            <w:tcW w:w="810" w:type="dxa"/>
            <w:vMerge w:val="continue"/>
            <w:tcBorders>
              <w:tl2br w:val="nil"/>
              <w:tr2bl w:val="nil"/>
            </w:tcBorders>
            <w:vAlign w:val="center"/>
          </w:tcPr>
          <w:p w14:paraId="5719C37D">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26D740B">
            <w:pPr>
              <w:jc w:val="center"/>
              <w:rPr>
                <w:rFonts w:ascii="宋体" w:hAnsi="宋体" w:eastAsia="宋体" w:cs="Times New Roman"/>
                <w:color w:val="auto"/>
              </w:rPr>
            </w:pPr>
            <w:r>
              <w:rPr>
                <w:rFonts w:ascii="宋体" w:hAnsi="宋体" w:eastAsia="宋体" w:cs="Times New Roman"/>
                <w:color w:val="auto"/>
              </w:rPr>
              <w:t>0.00303831</w:t>
            </w:r>
          </w:p>
        </w:tc>
        <w:tc>
          <w:tcPr>
            <w:tcW w:w="794" w:type="dxa"/>
            <w:tcBorders>
              <w:bottom w:val="single" w:color="auto" w:sz="4" w:space="0"/>
              <w:tl2br w:val="nil"/>
              <w:tr2bl w:val="nil"/>
            </w:tcBorders>
            <w:vAlign w:val="center"/>
          </w:tcPr>
          <w:p w14:paraId="0C09977A">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0.008 </w:t>
            </w:r>
          </w:p>
        </w:tc>
        <w:tc>
          <w:tcPr>
            <w:tcW w:w="1262" w:type="dxa"/>
            <w:tcBorders>
              <w:bottom w:val="single" w:color="auto" w:sz="4" w:space="0"/>
              <w:tl2br w:val="nil"/>
              <w:tr2bl w:val="nil"/>
            </w:tcBorders>
            <w:vAlign w:val="center"/>
          </w:tcPr>
          <w:p w14:paraId="6704CFC0">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3EA2EDF0">
            <w:pPr>
              <w:jc w:val="center"/>
              <w:rPr>
                <w:rFonts w:ascii="宋体" w:hAnsi="宋体" w:eastAsia="宋体" w:cs="Times New Roman"/>
                <w:color w:val="auto"/>
              </w:rPr>
            </w:pPr>
            <w:r>
              <w:rPr>
                <w:rFonts w:ascii="宋体" w:hAnsi="宋体" w:eastAsia="宋体" w:cs="Times New Roman"/>
                <w:color w:val="auto"/>
              </w:rPr>
              <w:t>8.00304</w:t>
            </w:r>
          </w:p>
        </w:tc>
        <w:tc>
          <w:tcPr>
            <w:tcW w:w="836" w:type="dxa"/>
            <w:tcBorders>
              <w:bottom w:val="single" w:color="auto" w:sz="4" w:space="0"/>
              <w:tl2br w:val="nil"/>
              <w:tr2bl w:val="nil"/>
            </w:tcBorders>
            <w:vAlign w:val="center"/>
          </w:tcPr>
          <w:p w14:paraId="0B8EED54">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20.008 </w:t>
            </w:r>
          </w:p>
        </w:tc>
        <w:tc>
          <w:tcPr>
            <w:tcW w:w="830" w:type="dxa"/>
            <w:tcBorders>
              <w:bottom w:val="single" w:color="auto" w:sz="4" w:space="0"/>
              <w:tl2br w:val="nil"/>
              <w:tr2bl w:val="nil"/>
            </w:tcBorders>
            <w:vAlign w:val="center"/>
          </w:tcPr>
          <w:p w14:paraId="05335A87">
            <w:pPr>
              <w:jc w:val="center"/>
              <w:rPr>
                <w:rFonts w:ascii="宋体" w:hAnsi="宋体" w:eastAsia="宋体" w:cs="Times New Roman"/>
                <w:color w:val="auto"/>
              </w:rPr>
            </w:pPr>
            <w:r>
              <w:rPr>
                <w:rFonts w:ascii="宋体" w:hAnsi="宋体" w:eastAsia="宋体" w:cs="Times New Roman"/>
                <w:color w:val="auto"/>
              </w:rPr>
              <w:t>达标</w:t>
            </w:r>
          </w:p>
        </w:tc>
      </w:tr>
      <w:tr w14:paraId="2FEFA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7FB00EA8">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202F33A7">
            <w:pPr>
              <w:jc w:val="center"/>
              <w:rPr>
                <w:rFonts w:ascii="宋体" w:hAnsi="宋体" w:eastAsia="宋体" w:cs="Times New Roman"/>
                <w:color w:val="auto"/>
              </w:rPr>
            </w:pPr>
            <w:r>
              <w:rPr>
                <w:rFonts w:ascii="宋体" w:hAnsi="宋体" w:eastAsia="宋体" w:cs="Times New Roman"/>
                <w:color w:val="auto"/>
              </w:rPr>
              <w:t>孙家围子屯</w:t>
            </w:r>
          </w:p>
        </w:tc>
        <w:tc>
          <w:tcPr>
            <w:tcW w:w="810" w:type="dxa"/>
            <w:vMerge w:val="continue"/>
            <w:tcBorders>
              <w:tl2br w:val="nil"/>
              <w:tr2bl w:val="nil"/>
            </w:tcBorders>
            <w:vAlign w:val="center"/>
          </w:tcPr>
          <w:p w14:paraId="4DDD4171">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C247999">
            <w:pPr>
              <w:jc w:val="center"/>
              <w:rPr>
                <w:rFonts w:ascii="宋体" w:hAnsi="宋体" w:eastAsia="宋体" w:cs="Times New Roman"/>
                <w:color w:val="auto"/>
              </w:rPr>
            </w:pPr>
            <w:r>
              <w:rPr>
                <w:rFonts w:ascii="宋体" w:hAnsi="宋体" w:eastAsia="宋体" w:cs="Times New Roman"/>
                <w:color w:val="auto"/>
              </w:rPr>
              <w:t>0.00195922</w:t>
            </w:r>
          </w:p>
        </w:tc>
        <w:tc>
          <w:tcPr>
            <w:tcW w:w="794" w:type="dxa"/>
            <w:tcBorders>
              <w:bottom w:val="single" w:color="auto" w:sz="4" w:space="0"/>
              <w:tl2br w:val="nil"/>
              <w:tr2bl w:val="nil"/>
            </w:tcBorders>
            <w:vAlign w:val="center"/>
          </w:tcPr>
          <w:p w14:paraId="5E59AB7C">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262" w:type="dxa"/>
            <w:tcBorders>
              <w:bottom w:val="single" w:color="auto" w:sz="4" w:space="0"/>
              <w:tl2br w:val="nil"/>
              <w:tr2bl w:val="nil"/>
            </w:tcBorders>
            <w:vAlign w:val="center"/>
          </w:tcPr>
          <w:p w14:paraId="3114AA23">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00CFBE63">
            <w:pPr>
              <w:jc w:val="center"/>
              <w:rPr>
                <w:rFonts w:ascii="宋体" w:hAnsi="宋体" w:eastAsia="宋体" w:cs="Times New Roman"/>
                <w:color w:val="auto"/>
              </w:rPr>
            </w:pPr>
            <w:r>
              <w:rPr>
                <w:rFonts w:ascii="宋体" w:hAnsi="宋体" w:eastAsia="宋体" w:cs="Times New Roman"/>
                <w:color w:val="auto"/>
              </w:rPr>
              <w:t>8.00196</w:t>
            </w:r>
          </w:p>
        </w:tc>
        <w:tc>
          <w:tcPr>
            <w:tcW w:w="836" w:type="dxa"/>
            <w:tcBorders>
              <w:bottom w:val="single" w:color="auto" w:sz="4" w:space="0"/>
              <w:tl2br w:val="nil"/>
              <w:tr2bl w:val="nil"/>
            </w:tcBorders>
            <w:vAlign w:val="center"/>
          </w:tcPr>
          <w:p w14:paraId="3CC77BE3">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20.005 </w:t>
            </w:r>
          </w:p>
        </w:tc>
        <w:tc>
          <w:tcPr>
            <w:tcW w:w="830" w:type="dxa"/>
            <w:tcBorders>
              <w:bottom w:val="single" w:color="auto" w:sz="4" w:space="0"/>
              <w:tl2br w:val="nil"/>
              <w:tr2bl w:val="nil"/>
            </w:tcBorders>
            <w:vAlign w:val="center"/>
          </w:tcPr>
          <w:p w14:paraId="4BE8757A">
            <w:pPr>
              <w:jc w:val="center"/>
              <w:rPr>
                <w:rFonts w:ascii="宋体" w:hAnsi="宋体" w:eastAsia="宋体" w:cs="Times New Roman"/>
                <w:color w:val="auto"/>
              </w:rPr>
            </w:pPr>
            <w:r>
              <w:rPr>
                <w:rFonts w:ascii="宋体" w:hAnsi="宋体" w:eastAsia="宋体" w:cs="Times New Roman"/>
                <w:color w:val="auto"/>
              </w:rPr>
              <w:t>达标</w:t>
            </w:r>
          </w:p>
        </w:tc>
      </w:tr>
      <w:tr w14:paraId="11E6A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1930581A">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6EB096EA">
            <w:pPr>
              <w:jc w:val="center"/>
              <w:rPr>
                <w:rFonts w:ascii="宋体" w:hAnsi="宋体" w:eastAsia="宋体" w:cs="Times New Roman"/>
                <w:color w:val="auto"/>
              </w:rPr>
            </w:pPr>
            <w:r>
              <w:rPr>
                <w:rFonts w:ascii="宋体" w:hAnsi="宋体" w:eastAsia="宋体" w:cs="Times New Roman"/>
                <w:color w:val="auto"/>
              </w:rPr>
              <w:t>对青岗子屯</w:t>
            </w:r>
          </w:p>
        </w:tc>
        <w:tc>
          <w:tcPr>
            <w:tcW w:w="810" w:type="dxa"/>
            <w:vMerge w:val="continue"/>
            <w:tcBorders>
              <w:tl2br w:val="nil"/>
              <w:tr2bl w:val="nil"/>
            </w:tcBorders>
            <w:vAlign w:val="center"/>
          </w:tcPr>
          <w:p w14:paraId="079A7510">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4B89A993">
            <w:pPr>
              <w:jc w:val="center"/>
              <w:rPr>
                <w:rFonts w:ascii="宋体" w:hAnsi="宋体" w:eastAsia="宋体" w:cs="Times New Roman"/>
                <w:color w:val="auto"/>
              </w:rPr>
            </w:pPr>
            <w:r>
              <w:rPr>
                <w:rFonts w:ascii="宋体" w:hAnsi="宋体" w:eastAsia="宋体" w:cs="Times New Roman"/>
                <w:color w:val="auto"/>
              </w:rPr>
              <w:t>0.00832366</w:t>
            </w:r>
          </w:p>
        </w:tc>
        <w:tc>
          <w:tcPr>
            <w:tcW w:w="794" w:type="dxa"/>
            <w:tcBorders>
              <w:bottom w:val="single" w:color="auto" w:sz="4" w:space="0"/>
              <w:tl2br w:val="nil"/>
              <w:tr2bl w:val="nil"/>
            </w:tcBorders>
            <w:vAlign w:val="center"/>
          </w:tcPr>
          <w:p w14:paraId="7B3B402B">
            <w:pPr>
              <w:jc w:val="right"/>
              <w:textAlignment w:val="center"/>
              <w:rPr>
                <w:rFonts w:ascii="宋体" w:hAnsi="宋体" w:eastAsia="宋体" w:cs="Times New Roman"/>
                <w:color w:val="auto"/>
              </w:rPr>
            </w:pPr>
            <w:r>
              <w:rPr>
                <w:rFonts w:ascii="宋体" w:hAnsi="宋体" w:eastAsia="宋体" w:cs="Times New Roman"/>
                <w:color w:val="auto"/>
                <w:lang w:bidi="ar"/>
              </w:rPr>
              <w:t xml:space="preserve">0.021 </w:t>
            </w:r>
          </w:p>
        </w:tc>
        <w:tc>
          <w:tcPr>
            <w:tcW w:w="1262" w:type="dxa"/>
            <w:tcBorders>
              <w:bottom w:val="single" w:color="auto" w:sz="4" w:space="0"/>
              <w:tl2br w:val="nil"/>
              <w:tr2bl w:val="nil"/>
            </w:tcBorders>
            <w:vAlign w:val="center"/>
          </w:tcPr>
          <w:p w14:paraId="2B19B4AC">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1434F87D">
            <w:pPr>
              <w:jc w:val="center"/>
              <w:rPr>
                <w:rFonts w:ascii="宋体" w:hAnsi="宋体" w:eastAsia="宋体" w:cs="Times New Roman"/>
                <w:color w:val="auto"/>
              </w:rPr>
            </w:pPr>
            <w:r>
              <w:rPr>
                <w:rFonts w:ascii="宋体" w:hAnsi="宋体" w:eastAsia="宋体" w:cs="Times New Roman"/>
                <w:color w:val="auto"/>
              </w:rPr>
              <w:t>8.00832</w:t>
            </w:r>
          </w:p>
        </w:tc>
        <w:tc>
          <w:tcPr>
            <w:tcW w:w="836" w:type="dxa"/>
            <w:tcBorders>
              <w:bottom w:val="single" w:color="auto" w:sz="4" w:space="0"/>
              <w:tl2br w:val="nil"/>
              <w:tr2bl w:val="nil"/>
            </w:tcBorders>
            <w:vAlign w:val="center"/>
          </w:tcPr>
          <w:p w14:paraId="4F2D8A42">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20.021 </w:t>
            </w:r>
          </w:p>
        </w:tc>
        <w:tc>
          <w:tcPr>
            <w:tcW w:w="830" w:type="dxa"/>
            <w:tcBorders>
              <w:bottom w:val="single" w:color="auto" w:sz="4" w:space="0"/>
              <w:tl2br w:val="nil"/>
              <w:tr2bl w:val="nil"/>
            </w:tcBorders>
            <w:vAlign w:val="center"/>
          </w:tcPr>
          <w:p w14:paraId="211DDE52">
            <w:pPr>
              <w:jc w:val="center"/>
              <w:rPr>
                <w:rFonts w:ascii="宋体" w:hAnsi="宋体" w:eastAsia="宋体" w:cs="Times New Roman"/>
                <w:color w:val="auto"/>
              </w:rPr>
            </w:pPr>
            <w:r>
              <w:rPr>
                <w:rFonts w:ascii="宋体" w:hAnsi="宋体" w:eastAsia="宋体" w:cs="Times New Roman"/>
                <w:color w:val="auto"/>
              </w:rPr>
              <w:t>达标</w:t>
            </w:r>
          </w:p>
        </w:tc>
      </w:tr>
      <w:tr w14:paraId="4D0F1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58F54F28">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5EA9EA0">
            <w:pPr>
              <w:jc w:val="center"/>
              <w:rPr>
                <w:rFonts w:ascii="宋体" w:hAnsi="宋体" w:eastAsia="宋体" w:cs="Times New Roman"/>
                <w:color w:val="auto"/>
              </w:rPr>
            </w:pPr>
            <w:r>
              <w:rPr>
                <w:rFonts w:ascii="宋体" w:hAnsi="宋体" w:eastAsia="宋体" w:cs="Times New Roman"/>
                <w:color w:val="auto"/>
              </w:rPr>
              <w:t>蒙古屯</w:t>
            </w:r>
          </w:p>
        </w:tc>
        <w:tc>
          <w:tcPr>
            <w:tcW w:w="810" w:type="dxa"/>
            <w:vMerge w:val="continue"/>
            <w:tcBorders>
              <w:tl2br w:val="nil"/>
              <w:tr2bl w:val="nil"/>
            </w:tcBorders>
            <w:vAlign w:val="center"/>
          </w:tcPr>
          <w:p w14:paraId="24D44BF3">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7F726B5C">
            <w:pPr>
              <w:jc w:val="center"/>
              <w:rPr>
                <w:rFonts w:ascii="宋体" w:hAnsi="宋体" w:eastAsia="宋体" w:cs="Times New Roman"/>
                <w:color w:val="auto"/>
              </w:rPr>
            </w:pPr>
            <w:r>
              <w:rPr>
                <w:rFonts w:ascii="宋体" w:hAnsi="宋体" w:eastAsia="宋体" w:cs="Times New Roman"/>
                <w:color w:val="auto"/>
              </w:rPr>
              <w:t>0.00546465</w:t>
            </w:r>
          </w:p>
        </w:tc>
        <w:tc>
          <w:tcPr>
            <w:tcW w:w="794" w:type="dxa"/>
            <w:tcBorders>
              <w:bottom w:val="single" w:color="auto" w:sz="4" w:space="0"/>
              <w:tl2br w:val="nil"/>
              <w:tr2bl w:val="nil"/>
            </w:tcBorders>
            <w:vAlign w:val="center"/>
          </w:tcPr>
          <w:p w14:paraId="638DB091">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0.014 </w:t>
            </w:r>
          </w:p>
        </w:tc>
        <w:tc>
          <w:tcPr>
            <w:tcW w:w="1262" w:type="dxa"/>
            <w:tcBorders>
              <w:bottom w:val="single" w:color="auto" w:sz="4" w:space="0"/>
              <w:tl2br w:val="nil"/>
              <w:tr2bl w:val="nil"/>
            </w:tcBorders>
            <w:vAlign w:val="center"/>
          </w:tcPr>
          <w:p w14:paraId="4DBB862A">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2E16CAC8">
            <w:pPr>
              <w:jc w:val="center"/>
              <w:rPr>
                <w:rFonts w:ascii="宋体" w:hAnsi="宋体" w:eastAsia="宋体" w:cs="Times New Roman"/>
                <w:color w:val="auto"/>
              </w:rPr>
            </w:pPr>
            <w:r>
              <w:rPr>
                <w:rFonts w:ascii="宋体" w:hAnsi="宋体" w:eastAsia="宋体" w:cs="Times New Roman"/>
                <w:color w:val="auto"/>
              </w:rPr>
              <w:t>8.00546</w:t>
            </w:r>
          </w:p>
        </w:tc>
        <w:tc>
          <w:tcPr>
            <w:tcW w:w="836" w:type="dxa"/>
            <w:tcBorders>
              <w:bottom w:val="single" w:color="auto" w:sz="4" w:space="0"/>
              <w:tl2br w:val="nil"/>
              <w:tr2bl w:val="nil"/>
            </w:tcBorders>
            <w:vAlign w:val="center"/>
          </w:tcPr>
          <w:p w14:paraId="3B6E261C">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20.014 </w:t>
            </w:r>
          </w:p>
        </w:tc>
        <w:tc>
          <w:tcPr>
            <w:tcW w:w="830" w:type="dxa"/>
            <w:tcBorders>
              <w:bottom w:val="single" w:color="auto" w:sz="4" w:space="0"/>
              <w:tl2br w:val="nil"/>
              <w:tr2bl w:val="nil"/>
            </w:tcBorders>
            <w:vAlign w:val="center"/>
          </w:tcPr>
          <w:p w14:paraId="0BB8D6A5">
            <w:pPr>
              <w:jc w:val="center"/>
              <w:rPr>
                <w:rFonts w:ascii="宋体" w:hAnsi="宋体" w:eastAsia="宋体" w:cs="Times New Roman"/>
                <w:color w:val="auto"/>
              </w:rPr>
            </w:pPr>
            <w:r>
              <w:rPr>
                <w:rFonts w:ascii="宋体" w:hAnsi="宋体" w:eastAsia="宋体" w:cs="Times New Roman"/>
                <w:color w:val="auto"/>
              </w:rPr>
              <w:t>达标</w:t>
            </w:r>
          </w:p>
        </w:tc>
      </w:tr>
      <w:tr w14:paraId="194A1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57C85326">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3B2ABC89">
            <w:pPr>
              <w:jc w:val="center"/>
              <w:rPr>
                <w:rFonts w:ascii="宋体" w:hAnsi="宋体" w:eastAsia="宋体" w:cs="Times New Roman"/>
                <w:color w:val="auto"/>
              </w:rPr>
            </w:pPr>
            <w:r>
              <w:rPr>
                <w:rFonts w:ascii="宋体" w:hAnsi="宋体" w:eastAsia="宋体" w:cs="Times New Roman"/>
                <w:color w:val="auto"/>
              </w:rPr>
              <w:t>四方山屯</w:t>
            </w:r>
          </w:p>
        </w:tc>
        <w:tc>
          <w:tcPr>
            <w:tcW w:w="810" w:type="dxa"/>
            <w:vMerge w:val="continue"/>
            <w:tcBorders>
              <w:tl2br w:val="nil"/>
              <w:tr2bl w:val="nil"/>
            </w:tcBorders>
            <w:vAlign w:val="center"/>
          </w:tcPr>
          <w:p w14:paraId="718FA48A">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2EA83AFE">
            <w:pPr>
              <w:jc w:val="center"/>
              <w:rPr>
                <w:rFonts w:ascii="宋体" w:hAnsi="宋体" w:eastAsia="宋体" w:cs="Times New Roman"/>
                <w:color w:val="auto"/>
              </w:rPr>
            </w:pPr>
            <w:r>
              <w:rPr>
                <w:rFonts w:ascii="宋体" w:hAnsi="宋体" w:eastAsia="宋体" w:cs="Times New Roman"/>
                <w:color w:val="auto"/>
              </w:rPr>
              <w:t>0.0014302</w:t>
            </w:r>
          </w:p>
        </w:tc>
        <w:tc>
          <w:tcPr>
            <w:tcW w:w="794" w:type="dxa"/>
            <w:tcBorders>
              <w:bottom w:val="single" w:color="auto" w:sz="4" w:space="0"/>
              <w:tl2br w:val="nil"/>
              <w:tr2bl w:val="nil"/>
            </w:tcBorders>
            <w:vAlign w:val="center"/>
          </w:tcPr>
          <w:p w14:paraId="06EBFBAB">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0.004 </w:t>
            </w:r>
          </w:p>
        </w:tc>
        <w:tc>
          <w:tcPr>
            <w:tcW w:w="1262" w:type="dxa"/>
            <w:tcBorders>
              <w:bottom w:val="single" w:color="auto" w:sz="4" w:space="0"/>
              <w:tl2br w:val="nil"/>
              <w:tr2bl w:val="nil"/>
            </w:tcBorders>
            <w:vAlign w:val="center"/>
          </w:tcPr>
          <w:p w14:paraId="262276FC">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133B6D4D">
            <w:pPr>
              <w:jc w:val="center"/>
              <w:rPr>
                <w:rFonts w:ascii="宋体" w:hAnsi="宋体" w:eastAsia="宋体" w:cs="Times New Roman"/>
                <w:color w:val="auto"/>
              </w:rPr>
            </w:pPr>
            <w:r>
              <w:rPr>
                <w:rFonts w:ascii="宋体" w:hAnsi="宋体" w:eastAsia="宋体" w:cs="Times New Roman"/>
                <w:color w:val="auto"/>
              </w:rPr>
              <w:t>8.00143</w:t>
            </w:r>
          </w:p>
        </w:tc>
        <w:tc>
          <w:tcPr>
            <w:tcW w:w="836" w:type="dxa"/>
            <w:tcBorders>
              <w:bottom w:val="single" w:color="auto" w:sz="4" w:space="0"/>
              <w:tl2br w:val="nil"/>
              <w:tr2bl w:val="nil"/>
            </w:tcBorders>
            <w:vAlign w:val="center"/>
          </w:tcPr>
          <w:p w14:paraId="69DCEEF3">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20.004 </w:t>
            </w:r>
          </w:p>
        </w:tc>
        <w:tc>
          <w:tcPr>
            <w:tcW w:w="830" w:type="dxa"/>
            <w:tcBorders>
              <w:bottom w:val="single" w:color="auto" w:sz="4" w:space="0"/>
              <w:tl2br w:val="nil"/>
              <w:tr2bl w:val="nil"/>
            </w:tcBorders>
            <w:vAlign w:val="center"/>
          </w:tcPr>
          <w:p w14:paraId="5BC7C129">
            <w:pPr>
              <w:jc w:val="center"/>
              <w:rPr>
                <w:rFonts w:ascii="宋体" w:hAnsi="宋体" w:eastAsia="宋体" w:cs="Times New Roman"/>
                <w:color w:val="auto"/>
              </w:rPr>
            </w:pPr>
            <w:r>
              <w:rPr>
                <w:rFonts w:ascii="宋体" w:hAnsi="宋体" w:eastAsia="宋体" w:cs="Times New Roman"/>
                <w:color w:val="auto"/>
              </w:rPr>
              <w:t>达标</w:t>
            </w:r>
          </w:p>
        </w:tc>
      </w:tr>
      <w:tr w14:paraId="7F07B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4A4AB627">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2F3AC13F">
            <w:pPr>
              <w:jc w:val="center"/>
              <w:rPr>
                <w:rFonts w:ascii="宋体" w:hAnsi="宋体" w:eastAsia="宋体" w:cs="Times New Roman"/>
                <w:color w:val="auto"/>
              </w:rPr>
            </w:pPr>
            <w:r>
              <w:rPr>
                <w:rFonts w:ascii="宋体" w:hAnsi="宋体" w:eastAsia="宋体" w:cs="Times New Roman"/>
                <w:color w:val="auto"/>
              </w:rPr>
              <w:t>小东屯</w:t>
            </w:r>
          </w:p>
        </w:tc>
        <w:tc>
          <w:tcPr>
            <w:tcW w:w="810" w:type="dxa"/>
            <w:vMerge w:val="continue"/>
            <w:tcBorders>
              <w:tl2br w:val="nil"/>
              <w:tr2bl w:val="nil"/>
            </w:tcBorders>
            <w:vAlign w:val="center"/>
          </w:tcPr>
          <w:p w14:paraId="7C1467DF">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5E1DBFC">
            <w:pPr>
              <w:jc w:val="center"/>
              <w:rPr>
                <w:rFonts w:ascii="宋体" w:hAnsi="宋体" w:eastAsia="宋体" w:cs="Times New Roman"/>
                <w:color w:val="auto"/>
              </w:rPr>
            </w:pPr>
            <w:r>
              <w:rPr>
                <w:rFonts w:ascii="宋体" w:hAnsi="宋体" w:eastAsia="宋体" w:cs="Times New Roman"/>
                <w:color w:val="auto"/>
              </w:rPr>
              <w:t>0.00127125</w:t>
            </w:r>
          </w:p>
        </w:tc>
        <w:tc>
          <w:tcPr>
            <w:tcW w:w="794" w:type="dxa"/>
            <w:tcBorders>
              <w:bottom w:val="single" w:color="auto" w:sz="4" w:space="0"/>
              <w:tl2br w:val="nil"/>
              <w:tr2bl w:val="nil"/>
            </w:tcBorders>
            <w:vAlign w:val="center"/>
          </w:tcPr>
          <w:p w14:paraId="34C123B2">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0.003 </w:t>
            </w:r>
          </w:p>
        </w:tc>
        <w:tc>
          <w:tcPr>
            <w:tcW w:w="1262" w:type="dxa"/>
            <w:tcBorders>
              <w:bottom w:val="single" w:color="auto" w:sz="4" w:space="0"/>
              <w:tl2br w:val="nil"/>
              <w:tr2bl w:val="nil"/>
            </w:tcBorders>
            <w:vAlign w:val="center"/>
          </w:tcPr>
          <w:p w14:paraId="708332A3">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743A8249">
            <w:pPr>
              <w:jc w:val="center"/>
              <w:rPr>
                <w:rFonts w:ascii="宋体" w:hAnsi="宋体" w:eastAsia="宋体" w:cs="Times New Roman"/>
                <w:color w:val="auto"/>
              </w:rPr>
            </w:pPr>
            <w:r>
              <w:rPr>
                <w:rFonts w:ascii="宋体" w:hAnsi="宋体" w:eastAsia="宋体" w:cs="Times New Roman"/>
                <w:color w:val="auto"/>
              </w:rPr>
              <w:t>8.00127</w:t>
            </w:r>
          </w:p>
        </w:tc>
        <w:tc>
          <w:tcPr>
            <w:tcW w:w="836" w:type="dxa"/>
            <w:tcBorders>
              <w:bottom w:val="single" w:color="auto" w:sz="4" w:space="0"/>
              <w:tl2br w:val="nil"/>
              <w:tr2bl w:val="nil"/>
            </w:tcBorders>
            <w:vAlign w:val="center"/>
          </w:tcPr>
          <w:p w14:paraId="03A51A17">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20.003 </w:t>
            </w:r>
          </w:p>
        </w:tc>
        <w:tc>
          <w:tcPr>
            <w:tcW w:w="830" w:type="dxa"/>
            <w:tcBorders>
              <w:bottom w:val="single" w:color="auto" w:sz="4" w:space="0"/>
              <w:tl2br w:val="nil"/>
              <w:tr2bl w:val="nil"/>
            </w:tcBorders>
            <w:vAlign w:val="center"/>
          </w:tcPr>
          <w:p w14:paraId="6FE6A9A9">
            <w:pPr>
              <w:jc w:val="center"/>
              <w:rPr>
                <w:rFonts w:ascii="宋体" w:hAnsi="宋体" w:eastAsia="宋体" w:cs="Times New Roman"/>
                <w:color w:val="auto"/>
              </w:rPr>
            </w:pPr>
            <w:r>
              <w:rPr>
                <w:rFonts w:ascii="宋体" w:hAnsi="宋体" w:eastAsia="宋体" w:cs="Times New Roman"/>
                <w:color w:val="auto"/>
              </w:rPr>
              <w:t>达标</w:t>
            </w:r>
          </w:p>
        </w:tc>
      </w:tr>
      <w:tr w14:paraId="6EB15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665B7617">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DCE2B18">
            <w:pPr>
              <w:jc w:val="center"/>
              <w:rPr>
                <w:rFonts w:ascii="宋体" w:hAnsi="宋体" w:eastAsia="宋体" w:cs="Times New Roman"/>
                <w:color w:val="auto"/>
              </w:rPr>
            </w:pPr>
            <w:r>
              <w:rPr>
                <w:rFonts w:ascii="宋体" w:hAnsi="宋体" w:eastAsia="宋体" w:cs="Times New Roman"/>
                <w:color w:val="auto"/>
              </w:rPr>
              <w:t>东兴村</w:t>
            </w:r>
          </w:p>
        </w:tc>
        <w:tc>
          <w:tcPr>
            <w:tcW w:w="810" w:type="dxa"/>
            <w:vMerge w:val="continue"/>
            <w:tcBorders>
              <w:tl2br w:val="nil"/>
              <w:tr2bl w:val="nil"/>
            </w:tcBorders>
            <w:vAlign w:val="center"/>
          </w:tcPr>
          <w:p w14:paraId="49581049">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52758ED2">
            <w:pPr>
              <w:jc w:val="center"/>
              <w:rPr>
                <w:rFonts w:ascii="宋体" w:hAnsi="宋体" w:eastAsia="宋体" w:cs="Times New Roman"/>
                <w:color w:val="auto"/>
              </w:rPr>
            </w:pPr>
            <w:r>
              <w:rPr>
                <w:rFonts w:ascii="宋体" w:hAnsi="宋体" w:eastAsia="宋体" w:cs="Times New Roman"/>
                <w:color w:val="auto"/>
              </w:rPr>
              <w:t>0.000916736</w:t>
            </w:r>
          </w:p>
        </w:tc>
        <w:tc>
          <w:tcPr>
            <w:tcW w:w="794" w:type="dxa"/>
            <w:tcBorders>
              <w:bottom w:val="single" w:color="auto" w:sz="4" w:space="0"/>
              <w:tl2br w:val="nil"/>
              <w:tr2bl w:val="nil"/>
            </w:tcBorders>
            <w:vAlign w:val="center"/>
          </w:tcPr>
          <w:p w14:paraId="02F4E104">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bottom w:val="single" w:color="auto" w:sz="4" w:space="0"/>
              <w:tl2br w:val="nil"/>
              <w:tr2bl w:val="nil"/>
            </w:tcBorders>
            <w:vAlign w:val="center"/>
          </w:tcPr>
          <w:p w14:paraId="0768F7F3">
            <w:pPr>
              <w:jc w:val="center"/>
              <w:rPr>
                <w:rFonts w:ascii="宋体" w:hAnsi="宋体" w:eastAsia="宋体" w:cs="Times New Roman"/>
                <w:color w:val="auto"/>
              </w:rPr>
            </w:pPr>
            <w:r>
              <w:rPr>
                <w:rFonts w:ascii="宋体" w:hAnsi="宋体" w:eastAsia="宋体" w:cs="Times New Roman"/>
                <w:color w:val="auto"/>
              </w:rPr>
              <w:t>8</w:t>
            </w:r>
          </w:p>
        </w:tc>
        <w:tc>
          <w:tcPr>
            <w:tcW w:w="1403" w:type="dxa"/>
            <w:tcBorders>
              <w:bottom w:val="single" w:color="auto" w:sz="4" w:space="0"/>
              <w:tl2br w:val="nil"/>
              <w:tr2bl w:val="nil"/>
            </w:tcBorders>
            <w:vAlign w:val="center"/>
          </w:tcPr>
          <w:p w14:paraId="60FCE02C">
            <w:pPr>
              <w:jc w:val="center"/>
              <w:rPr>
                <w:rFonts w:ascii="宋体" w:hAnsi="宋体" w:eastAsia="宋体" w:cs="Times New Roman"/>
                <w:color w:val="auto"/>
              </w:rPr>
            </w:pPr>
            <w:r>
              <w:rPr>
                <w:rFonts w:ascii="宋体" w:hAnsi="宋体" w:eastAsia="宋体" w:cs="Times New Roman"/>
                <w:color w:val="auto"/>
              </w:rPr>
              <w:t>8.00092</w:t>
            </w:r>
          </w:p>
        </w:tc>
        <w:tc>
          <w:tcPr>
            <w:tcW w:w="836" w:type="dxa"/>
            <w:tcBorders>
              <w:bottom w:val="single" w:color="auto" w:sz="4" w:space="0"/>
              <w:tl2br w:val="nil"/>
              <w:tr2bl w:val="nil"/>
            </w:tcBorders>
            <w:vAlign w:val="center"/>
          </w:tcPr>
          <w:p w14:paraId="6030DFF9">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20.002 </w:t>
            </w:r>
          </w:p>
        </w:tc>
        <w:tc>
          <w:tcPr>
            <w:tcW w:w="830" w:type="dxa"/>
            <w:tcBorders>
              <w:bottom w:val="single" w:color="auto" w:sz="4" w:space="0"/>
              <w:tl2br w:val="nil"/>
              <w:tr2bl w:val="nil"/>
            </w:tcBorders>
            <w:vAlign w:val="center"/>
          </w:tcPr>
          <w:p w14:paraId="4E0D48DE">
            <w:pPr>
              <w:jc w:val="center"/>
              <w:rPr>
                <w:rFonts w:ascii="宋体" w:hAnsi="宋体" w:eastAsia="宋体" w:cs="Times New Roman"/>
                <w:color w:val="auto"/>
              </w:rPr>
            </w:pPr>
            <w:r>
              <w:rPr>
                <w:rFonts w:ascii="宋体" w:hAnsi="宋体" w:eastAsia="宋体" w:cs="Times New Roman"/>
                <w:color w:val="auto"/>
              </w:rPr>
              <w:t>达标</w:t>
            </w:r>
          </w:p>
        </w:tc>
      </w:tr>
      <w:tr w14:paraId="4CA00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0" w:hRule="atLeast"/>
        </w:trPr>
        <w:tc>
          <w:tcPr>
            <w:tcW w:w="694" w:type="dxa"/>
            <w:vMerge w:val="continue"/>
            <w:tcBorders>
              <w:tl2br w:val="nil"/>
              <w:tr2bl w:val="nil"/>
            </w:tcBorders>
            <w:vAlign w:val="center"/>
          </w:tcPr>
          <w:p w14:paraId="258A7150">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4B29C8C7">
            <w:pPr>
              <w:jc w:val="center"/>
              <w:rPr>
                <w:rFonts w:ascii="宋体" w:hAnsi="宋体" w:eastAsia="宋体" w:cs="Times New Roman"/>
                <w:color w:val="auto"/>
              </w:rPr>
            </w:pPr>
            <w:r>
              <w:rPr>
                <w:rFonts w:ascii="宋体" w:hAnsi="宋体" w:eastAsia="宋体" w:cs="Times New Roman"/>
                <w:color w:val="auto"/>
              </w:rPr>
              <w:t>迟家屯</w:t>
            </w:r>
          </w:p>
        </w:tc>
        <w:tc>
          <w:tcPr>
            <w:tcW w:w="810" w:type="dxa"/>
            <w:vMerge w:val="continue"/>
            <w:tcBorders>
              <w:tl2br w:val="nil"/>
              <w:tr2bl w:val="nil"/>
            </w:tcBorders>
            <w:vAlign w:val="center"/>
          </w:tcPr>
          <w:p w14:paraId="1D085569">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63C14BD3">
            <w:pPr>
              <w:jc w:val="center"/>
              <w:rPr>
                <w:rFonts w:ascii="宋体" w:hAnsi="宋体" w:eastAsia="宋体" w:cs="Times New Roman"/>
                <w:color w:val="auto"/>
              </w:rPr>
            </w:pPr>
            <w:r>
              <w:rPr>
                <w:rFonts w:ascii="宋体" w:hAnsi="宋体" w:eastAsia="宋体" w:cs="Times New Roman"/>
                <w:color w:val="auto"/>
              </w:rPr>
              <w:t>0.000881362</w:t>
            </w:r>
          </w:p>
        </w:tc>
        <w:tc>
          <w:tcPr>
            <w:tcW w:w="794" w:type="dxa"/>
            <w:tcBorders>
              <w:top w:val="single" w:color="auto" w:sz="4" w:space="0"/>
              <w:bottom w:val="single" w:color="auto" w:sz="4" w:space="0"/>
              <w:tl2br w:val="nil"/>
              <w:tr2bl w:val="nil"/>
            </w:tcBorders>
            <w:vAlign w:val="center"/>
          </w:tcPr>
          <w:p w14:paraId="0986BDB7">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0.002 </w:t>
            </w:r>
          </w:p>
        </w:tc>
        <w:tc>
          <w:tcPr>
            <w:tcW w:w="1262" w:type="dxa"/>
            <w:tcBorders>
              <w:top w:val="single" w:color="auto" w:sz="4" w:space="0"/>
              <w:bottom w:val="single" w:color="auto" w:sz="4" w:space="0"/>
              <w:tl2br w:val="nil"/>
              <w:tr2bl w:val="nil"/>
            </w:tcBorders>
            <w:vAlign w:val="center"/>
          </w:tcPr>
          <w:p w14:paraId="1128C3B7">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63E8F9BA">
            <w:pPr>
              <w:jc w:val="center"/>
              <w:rPr>
                <w:rFonts w:ascii="宋体" w:hAnsi="宋体" w:eastAsia="宋体" w:cs="Times New Roman"/>
                <w:color w:val="auto"/>
              </w:rPr>
            </w:pPr>
            <w:r>
              <w:rPr>
                <w:rFonts w:ascii="宋体" w:hAnsi="宋体" w:eastAsia="宋体" w:cs="Times New Roman"/>
                <w:color w:val="auto"/>
              </w:rPr>
              <w:t>8.00088</w:t>
            </w:r>
          </w:p>
        </w:tc>
        <w:tc>
          <w:tcPr>
            <w:tcW w:w="836" w:type="dxa"/>
            <w:tcBorders>
              <w:top w:val="single" w:color="auto" w:sz="4" w:space="0"/>
              <w:bottom w:val="single" w:color="auto" w:sz="4" w:space="0"/>
              <w:tl2br w:val="nil"/>
              <w:tr2bl w:val="nil"/>
            </w:tcBorders>
            <w:vAlign w:val="center"/>
          </w:tcPr>
          <w:p w14:paraId="7BC141E3">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20.002 </w:t>
            </w:r>
          </w:p>
        </w:tc>
        <w:tc>
          <w:tcPr>
            <w:tcW w:w="830" w:type="dxa"/>
            <w:tcBorders>
              <w:top w:val="single" w:color="auto" w:sz="4" w:space="0"/>
              <w:bottom w:val="single" w:color="auto" w:sz="4" w:space="0"/>
              <w:tl2br w:val="nil"/>
              <w:tr2bl w:val="nil"/>
            </w:tcBorders>
            <w:vAlign w:val="center"/>
          </w:tcPr>
          <w:p w14:paraId="4009A231">
            <w:pPr>
              <w:jc w:val="center"/>
              <w:rPr>
                <w:rFonts w:ascii="宋体" w:hAnsi="宋体" w:eastAsia="宋体" w:cs="Times New Roman"/>
                <w:color w:val="auto"/>
              </w:rPr>
            </w:pPr>
            <w:r>
              <w:rPr>
                <w:rFonts w:ascii="宋体" w:hAnsi="宋体" w:eastAsia="宋体" w:cs="Times New Roman"/>
                <w:color w:val="auto"/>
              </w:rPr>
              <w:t>达标</w:t>
            </w:r>
          </w:p>
        </w:tc>
      </w:tr>
      <w:tr w14:paraId="446C2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347601D">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543F0124">
            <w:pPr>
              <w:jc w:val="center"/>
              <w:rPr>
                <w:rFonts w:ascii="宋体" w:hAnsi="宋体" w:eastAsia="宋体" w:cs="Times New Roman"/>
                <w:color w:val="auto"/>
              </w:rPr>
            </w:pPr>
            <w:r>
              <w:rPr>
                <w:rFonts w:ascii="宋体" w:hAnsi="宋体" w:eastAsia="宋体" w:cs="Times New Roman"/>
                <w:color w:val="auto"/>
              </w:rPr>
              <w:t>刘喜屯</w:t>
            </w:r>
          </w:p>
        </w:tc>
        <w:tc>
          <w:tcPr>
            <w:tcW w:w="810" w:type="dxa"/>
            <w:vMerge w:val="continue"/>
            <w:tcBorders>
              <w:tl2br w:val="nil"/>
              <w:tr2bl w:val="nil"/>
            </w:tcBorders>
            <w:vAlign w:val="center"/>
          </w:tcPr>
          <w:p w14:paraId="101B9C4C">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0E47B766">
            <w:pPr>
              <w:jc w:val="center"/>
              <w:rPr>
                <w:rFonts w:ascii="宋体" w:hAnsi="宋体" w:eastAsia="宋体" w:cs="Times New Roman"/>
                <w:color w:val="auto"/>
              </w:rPr>
            </w:pPr>
            <w:r>
              <w:rPr>
                <w:rFonts w:ascii="宋体" w:hAnsi="宋体" w:eastAsia="宋体" w:cs="Times New Roman"/>
                <w:color w:val="auto"/>
              </w:rPr>
              <w:t>0.000420618</w:t>
            </w:r>
          </w:p>
        </w:tc>
        <w:tc>
          <w:tcPr>
            <w:tcW w:w="794" w:type="dxa"/>
            <w:tcBorders>
              <w:top w:val="single" w:color="auto" w:sz="4" w:space="0"/>
              <w:bottom w:val="single" w:color="auto" w:sz="4" w:space="0"/>
              <w:tl2br w:val="nil"/>
              <w:tr2bl w:val="nil"/>
            </w:tcBorders>
            <w:vAlign w:val="center"/>
          </w:tcPr>
          <w:p w14:paraId="705388D6">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op w:val="single" w:color="auto" w:sz="4" w:space="0"/>
              <w:bottom w:val="single" w:color="auto" w:sz="4" w:space="0"/>
              <w:tl2br w:val="nil"/>
              <w:tr2bl w:val="nil"/>
            </w:tcBorders>
            <w:vAlign w:val="center"/>
          </w:tcPr>
          <w:p w14:paraId="4FB57034">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7E9E5B78">
            <w:pPr>
              <w:jc w:val="center"/>
              <w:rPr>
                <w:rFonts w:ascii="宋体" w:hAnsi="宋体" w:eastAsia="宋体" w:cs="Times New Roman"/>
                <w:color w:val="auto"/>
              </w:rPr>
            </w:pPr>
            <w:r>
              <w:rPr>
                <w:rFonts w:ascii="宋体" w:hAnsi="宋体" w:eastAsia="宋体" w:cs="Times New Roman"/>
                <w:color w:val="auto"/>
              </w:rPr>
              <w:t>8.00042</w:t>
            </w:r>
          </w:p>
        </w:tc>
        <w:tc>
          <w:tcPr>
            <w:tcW w:w="836" w:type="dxa"/>
            <w:tcBorders>
              <w:top w:val="single" w:color="auto" w:sz="4" w:space="0"/>
              <w:bottom w:val="single" w:color="auto" w:sz="4" w:space="0"/>
              <w:tl2br w:val="nil"/>
              <w:tr2bl w:val="nil"/>
            </w:tcBorders>
            <w:vAlign w:val="center"/>
          </w:tcPr>
          <w:p w14:paraId="1C280FF8">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20.001 </w:t>
            </w:r>
          </w:p>
        </w:tc>
        <w:tc>
          <w:tcPr>
            <w:tcW w:w="830" w:type="dxa"/>
            <w:tcBorders>
              <w:top w:val="single" w:color="auto" w:sz="4" w:space="0"/>
              <w:bottom w:val="single" w:color="auto" w:sz="4" w:space="0"/>
              <w:tl2br w:val="nil"/>
              <w:tr2bl w:val="nil"/>
            </w:tcBorders>
            <w:vAlign w:val="center"/>
          </w:tcPr>
          <w:p w14:paraId="47F95CDC">
            <w:pPr>
              <w:jc w:val="center"/>
              <w:rPr>
                <w:rFonts w:ascii="宋体" w:hAnsi="宋体" w:eastAsia="宋体" w:cs="Times New Roman"/>
                <w:color w:val="auto"/>
              </w:rPr>
            </w:pPr>
            <w:r>
              <w:rPr>
                <w:rFonts w:ascii="宋体" w:hAnsi="宋体" w:eastAsia="宋体" w:cs="Times New Roman"/>
                <w:color w:val="auto"/>
              </w:rPr>
              <w:t>达标</w:t>
            </w:r>
          </w:p>
        </w:tc>
      </w:tr>
      <w:tr w14:paraId="00FD3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51A6F94">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62373FB4">
            <w:pPr>
              <w:jc w:val="center"/>
              <w:rPr>
                <w:rFonts w:ascii="宋体" w:hAnsi="宋体" w:eastAsia="宋体" w:cs="Times New Roman"/>
                <w:color w:val="auto"/>
              </w:rPr>
            </w:pPr>
            <w:r>
              <w:rPr>
                <w:rFonts w:ascii="宋体" w:hAnsi="宋体" w:eastAsia="宋体" w:cs="Times New Roman"/>
                <w:color w:val="auto"/>
              </w:rPr>
              <w:t>代龙村</w:t>
            </w:r>
          </w:p>
        </w:tc>
        <w:tc>
          <w:tcPr>
            <w:tcW w:w="810" w:type="dxa"/>
            <w:vMerge w:val="continue"/>
            <w:tcBorders>
              <w:tl2br w:val="nil"/>
              <w:tr2bl w:val="nil"/>
            </w:tcBorders>
            <w:vAlign w:val="center"/>
          </w:tcPr>
          <w:p w14:paraId="7C93CC68">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4D15A0D3">
            <w:pPr>
              <w:jc w:val="center"/>
              <w:rPr>
                <w:rFonts w:ascii="宋体" w:hAnsi="宋体" w:eastAsia="宋体" w:cs="Times New Roman"/>
                <w:color w:val="auto"/>
              </w:rPr>
            </w:pPr>
            <w:r>
              <w:rPr>
                <w:rFonts w:ascii="宋体" w:hAnsi="宋体" w:eastAsia="宋体" w:cs="Times New Roman"/>
                <w:color w:val="auto"/>
              </w:rPr>
              <w:t>0.000376582</w:t>
            </w:r>
          </w:p>
        </w:tc>
        <w:tc>
          <w:tcPr>
            <w:tcW w:w="794" w:type="dxa"/>
            <w:tcBorders>
              <w:top w:val="single" w:color="auto" w:sz="4" w:space="0"/>
              <w:bottom w:val="single" w:color="auto" w:sz="4" w:space="0"/>
              <w:tl2br w:val="nil"/>
              <w:tr2bl w:val="nil"/>
            </w:tcBorders>
            <w:vAlign w:val="center"/>
          </w:tcPr>
          <w:p w14:paraId="51C79FFC">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op w:val="single" w:color="auto" w:sz="4" w:space="0"/>
              <w:bottom w:val="single" w:color="auto" w:sz="4" w:space="0"/>
              <w:tl2br w:val="nil"/>
              <w:tr2bl w:val="nil"/>
            </w:tcBorders>
            <w:vAlign w:val="center"/>
          </w:tcPr>
          <w:p w14:paraId="72515E83">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36A3AADF">
            <w:pPr>
              <w:jc w:val="center"/>
              <w:rPr>
                <w:rFonts w:ascii="宋体" w:hAnsi="宋体" w:eastAsia="宋体" w:cs="Times New Roman"/>
                <w:color w:val="auto"/>
              </w:rPr>
            </w:pPr>
            <w:r>
              <w:rPr>
                <w:rFonts w:ascii="宋体" w:hAnsi="宋体" w:eastAsia="宋体" w:cs="Times New Roman"/>
                <w:color w:val="auto"/>
              </w:rPr>
              <w:t>8.00038</w:t>
            </w:r>
          </w:p>
        </w:tc>
        <w:tc>
          <w:tcPr>
            <w:tcW w:w="836" w:type="dxa"/>
            <w:tcBorders>
              <w:top w:val="single" w:color="auto" w:sz="4" w:space="0"/>
              <w:bottom w:val="single" w:color="auto" w:sz="4" w:space="0"/>
              <w:tl2br w:val="nil"/>
              <w:tr2bl w:val="nil"/>
            </w:tcBorders>
            <w:vAlign w:val="center"/>
          </w:tcPr>
          <w:p w14:paraId="3FDEFA6A">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20.001 </w:t>
            </w:r>
          </w:p>
        </w:tc>
        <w:tc>
          <w:tcPr>
            <w:tcW w:w="830" w:type="dxa"/>
            <w:tcBorders>
              <w:top w:val="single" w:color="auto" w:sz="4" w:space="0"/>
              <w:bottom w:val="single" w:color="auto" w:sz="4" w:space="0"/>
              <w:tl2br w:val="nil"/>
              <w:tr2bl w:val="nil"/>
            </w:tcBorders>
            <w:vAlign w:val="center"/>
          </w:tcPr>
          <w:p w14:paraId="68398055">
            <w:pPr>
              <w:jc w:val="center"/>
              <w:rPr>
                <w:rFonts w:ascii="宋体" w:hAnsi="宋体" w:eastAsia="宋体" w:cs="Times New Roman"/>
                <w:color w:val="auto"/>
              </w:rPr>
            </w:pPr>
            <w:r>
              <w:rPr>
                <w:rFonts w:ascii="宋体" w:hAnsi="宋体" w:eastAsia="宋体" w:cs="Times New Roman"/>
                <w:color w:val="auto"/>
              </w:rPr>
              <w:t>达标</w:t>
            </w:r>
          </w:p>
        </w:tc>
      </w:tr>
      <w:tr w14:paraId="55F0D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D14AC34">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6D1EF56B">
            <w:pPr>
              <w:jc w:val="center"/>
              <w:rPr>
                <w:rFonts w:ascii="宋体" w:hAnsi="宋体" w:eastAsia="宋体" w:cs="Times New Roman"/>
                <w:color w:val="auto"/>
              </w:rPr>
            </w:pPr>
            <w:r>
              <w:rPr>
                <w:rFonts w:ascii="宋体" w:hAnsi="宋体" w:eastAsia="宋体" w:cs="Times New Roman"/>
                <w:color w:val="auto"/>
              </w:rPr>
              <w:t>肇源镇</w:t>
            </w:r>
          </w:p>
        </w:tc>
        <w:tc>
          <w:tcPr>
            <w:tcW w:w="810" w:type="dxa"/>
            <w:vMerge w:val="continue"/>
            <w:tcBorders>
              <w:tl2br w:val="nil"/>
              <w:tr2bl w:val="nil"/>
            </w:tcBorders>
            <w:vAlign w:val="center"/>
          </w:tcPr>
          <w:p w14:paraId="57BA0DDB">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17B27615">
            <w:pPr>
              <w:jc w:val="center"/>
              <w:rPr>
                <w:rFonts w:ascii="宋体" w:hAnsi="宋体" w:eastAsia="宋体" w:cs="Times New Roman"/>
                <w:color w:val="auto"/>
              </w:rPr>
            </w:pPr>
            <w:r>
              <w:rPr>
                <w:rFonts w:ascii="宋体" w:hAnsi="宋体" w:eastAsia="宋体" w:cs="Times New Roman"/>
                <w:color w:val="auto"/>
              </w:rPr>
              <w:t>0.000585457</w:t>
            </w:r>
          </w:p>
        </w:tc>
        <w:tc>
          <w:tcPr>
            <w:tcW w:w="794" w:type="dxa"/>
            <w:tcBorders>
              <w:top w:val="single" w:color="auto" w:sz="4" w:space="0"/>
              <w:bottom w:val="single" w:color="auto" w:sz="4" w:space="0"/>
              <w:tl2br w:val="nil"/>
              <w:tr2bl w:val="nil"/>
            </w:tcBorders>
            <w:vAlign w:val="center"/>
          </w:tcPr>
          <w:p w14:paraId="3468D035">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op w:val="single" w:color="auto" w:sz="4" w:space="0"/>
              <w:bottom w:val="single" w:color="auto" w:sz="4" w:space="0"/>
              <w:tl2br w:val="nil"/>
              <w:tr2bl w:val="nil"/>
            </w:tcBorders>
            <w:vAlign w:val="center"/>
          </w:tcPr>
          <w:p w14:paraId="34084D28">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3D84D172">
            <w:pPr>
              <w:jc w:val="center"/>
              <w:rPr>
                <w:rFonts w:ascii="宋体" w:hAnsi="宋体" w:eastAsia="宋体" w:cs="Times New Roman"/>
                <w:color w:val="auto"/>
              </w:rPr>
            </w:pPr>
            <w:r>
              <w:rPr>
                <w:rFonts w:ascii="宋体" w:hAnsi="宋体" w:eastAsia="宋体" w:cs="Times New Roman"/>
                <w:color w:val="auto"/>
              </w:rPr>
              <w:t>8.00059</w:t>
            </w:r>
          </w:p>
        </w:tc>
        <w:tc>
          <w:tcPr>
            <w:tcW w:w="836" w:type="dxa"/>
            <w:tcBorders>
              <w:top w:val="single" w:color="auto" w:sz="4" w:space="0"/>
              <w:bottom w:val="single" w:color="auto" w:sz="4" w:space="0"/>
              <w:tl2br w:val="nil"/>
              <w:tr2bl w:val="nil"/>
            </w:tcBorders>
            <w:vAlign w:val="center"/>
          </w:tcPr>
          <w:p w14:paraId="2B63DB0E">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20.001 </w:t>
            </w:r>
          </w:p>
        </w:tc>
        <w:tc>
          <w:tcPr>
            <w:tcW w:w="830" w:type="dxa"/>
            <w:tcBorders>
              <w:top w:val="single" w:color="auto" w:sz="4" w:space="0"/>
              <w:bottom w:val="single" w:color="auto" w:sz="4" w:space="0"/>
              <w:tl2br w:val="nil"/>
              <w:tr2bl w:val="nil"/>
            </w:tcBorders>
            <w:vAlign w:val="center"/>
          </w:tcPr>
          <w:p w14:paraId="30D77D5B">
            <w:pPr>
              <w:jc w:val="center"/>
              <w:rPr>
                <w:rFonts w:ascii="宋体" w:hAnsi="宋体" w:eastAsia="宋体" w:cs="Times New Roman"/>
                <w:color w:val="auto"/>
              </w:rPr>
            </w:pPr>
            <w:r>
              <w:rPr>
                <w:rFonts w:ascii="宋体" w:hAnsi="宋体" w:eastAsia="宋体" w:cs="Times New Roman"/>
                <w:color w:val="auto"/>
              </w:rPr>
              <w:t>达标</w:t>
            </w:r>
          </w:p>
        </w:tc>
      </w:tr>
      <w:tr w14:paraId="3924C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14014DA1">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110BD0DD">
            <w:pPr>
              <w:jc w:val="center"/>
              <w:rPr>
                <w:rFonts w:ascii="宋体" w:hAnsi="宋体" w:eastAsia="宋体" w:cs="Times New Roman"/>
                <w:color w:val="auto"/>
              </w:rPr>
            </w:pPr>
            <w:r>
              <w:rPr>
                <w:rFonts w:ascii="宋体" w:hAnsi="宋体" w:eastAsia="宋体" w:cs="Times New Roman"/>
                <w:color w:val="auto"/>
              </w:rPr>
              <w:t>刘兽医屯</w:t>
            </w:r>
          </w:p>
        </w:tc>
        <w:tc>
          <w:tcPr>
            <w:tcW w:w="810" w:type="dxa"/>
            <w:vMerge w:val="continue"/>
            <w:tcBorders>
              <w:tl2br w:val="nil"/>
              <w:tr2bl w:val="nil"/>
            </w:tcBorders>
            <w:vAlign w:val="center"/>
          </w:tcPr>
          <w:p w14:paraId="0D586AAE">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14015820">
            <w:pPr>
              <w:jc w:val="center"/>
              <w:rPr>
                <w:rFonts w:ascii="宋体" w:hAnsi="宋体" w:eastAsia="宋体" w:cs="Times New Roman"/>
                <w:color w:val="auto"/>
              </w:rPr>
            </w:pPr>
            <w:r>
              <w:rPr>
                <w:rFonts w:ascii="宋体" w:hAnsi="宋体" w:eastAsia="宋体" w:cs="Times New Roman"/>
                <w:color w:val="auto"/>
              </w:rPr>
              <w:t>0.000400854</w:t>
            </w:r>
          </w:p>
        </w:tc>
        <w:tc>
          <w:tcPr>
            <w:tcW w:w="794" w:type="dxa"/>
            <w:tcBorders>
              <w:top w:val="single" w:color="auto" w:sz="4" w:space="0"/>
              <w:bottom w:val="single" w:color="auto" w:sz="4" w:space="0"/>
              <w:tl2br w:val="nil"/>
              <w:tr2bl w:val="nil"/>
            </w:tcBorders>
            <w:vAlign w:val="center"/>
          </w:tcPr>
          <w:p w14:paraId="129E7EF9">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op w:val="single" w:color="auto" w:sz="4" w:space="0"/>
              <w:bottom w:val="single" w:color="auto" w:sz="4" w:space="0"/>
              <w:tl2br w:val="nil"/>
              <w:tr2bl w:val="nil"/>
            </w:tcBorders>
            <w:vAlign w:val="center"/>
          </w:tcPr>
          <w:p w14:paraId="6579C489">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0B75B0D0">
            <w:pPr>
              <w:jc w:val="center"/>
              <w:rPr>
                <w:rFonts w:ascii="宋体" w:hAnsi="宋体" w:eastAsia="宋体" w:cs="Times New Roman"/>
                <w:color w:val="auto"/>
              </w:rPr>
            </w:pPr>
            <w:r>
              <w:rPr>
                <w:rFonts w:ascii="宋体" w:hAnsi="宋体" w:eastAsia="宋体" w:cs="Times New Roman"/>
                <w:color w:val="auto"/>
              </w:rPr>
              <w:t>8.0004</w:t>
            </w:r>
          </w:p>
        </w:tc>
        <w:tc>
          <w:tcPr>
            <w:tcW w:w="836" w:type="dxa"/>
            <w:tcBorders>
              <w:top w:val="single" w:color="auto" w:sz="4" w:space="0"/>
              <w:bottom w:val="single" w:color="auto" w:sz="4" w:space="0"/>
              <w:tl2br w:val="nil"/>
              <w:tr2bl w:val="nil"/>
            </w:tcBorders>
            <w:vAlign w:val="center"/>
          </w:tcPr>
          <w:p w14:paraId="3D0CC466">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20.001 </w:t>
            </w:r>
          </w:p>
        </w:tc>
        <w:tc>
          <w:tcPr>
            <w:tcW w:w="830" w:type="dxa"/>
            <w:tcBorders>
              <w:top w:val="single" w:color="auto" w:sz="4" w:space="0"/>
              <w:bottom w:val="single" w:color="auto" w:sz="4" w:space="0"/>
              <w:tl2br w:val="nil"/>
              <w:tr2bl w:val="nil"/>
            </w:tcBorders>
            <w:vAlign w:val="center"/>
          </w:tcPr>
          <w:p w14:paraId="2DD756AC">
            <w:pPr>
              <w:jc w:val="center"/>
              <w:rPr>
                <w:rFonts w:ascii="宋体" w:hAnsi="宋体" w:eastAsia="宋体" w:cs="Times New Roman"/>
                <w:color w:val="auto"/>
              </w:rPr>
            </w:pPr>
            <w:r>
              <w:rPr>
                <w:rFonts w:ascii="宋体" w:hAnsi="宋体" w:eastAsia="宋体" w:cs="Times New Roman"/>
                <w:color w:val="auto"/>
              </w:rPr>
              <w:t>达标</w:t>
            </w:r>
          </w:p>
        </w:tc>
      </w:tr>
      <w:tr w14:paraId="38405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52169A00">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481EE577">
            <w:pPr>
              <w:jc w:val="center"/>
              <w:rPr>
                <w:rFonts w:ascii="宋体" w:hAnsi="宋体" w:eastAsia="宋体" w:cs="Times New Roman"/>
                <w:color w:val="auto"/>
              </w:rPr>
            </w:pPr>
            <w:r>
              <w:rPr>
                <w:rFonts w:ascii="宋体" w:hAnsi="宋体" w:eastAsia="宋体" w:cs="Times New Roman"/>
                <w:color w:val="auto"/>
              </w:rPr>
              <w:t>友谊村</w:t>
            </w:r>
          </w:p>
        </w:tc>
        <w:tc>
          <w:tcPr>
            <w:tcW w:w="810" w:type="dxa"/>
            <w:vMerge w:val="continue"/>
            <w:tcBorders>
              <w:tl2br w:val="nil"/>
              <w:tr2bl w:val="nil"/>
            </w:tcBorders>
            <w:vAlign w:val="center"/>
          </w:tcPr>
          <w:p w14:paraId="6455DC8C">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4CFACA4A">
            <w:pPr>
              <w:jc w:val="center"/>
              <w:rPr>
                <w:rFonts w:ascii="宋体" w:hAnsi="宋体" w:eastAsia="宋体" w:cs="Times New Roman"/>
                <w:color w:val="auto"/>
              </w:rPr>
            </w:pPr>
            <w:r>
              <w:rPr>
                <w:rFonts w:ascii="宋体" w:hAnsi="宋体" w:eastAsia="宋体" w:cs="Times New Roman"/>
                <w:color w:val="auto"/>
              </w:rPr>
              <w:t>0.000398021</w:t>
            </w:r>
          </w:p>
        </w:tc>
        <w:tc>
          <w:tcPr>
            <w:tcW w:w="794" w:type="dxa"/>
            <w:tcBorders>
              <w:top w:val="single" w:color="auto" w:sz="4" w:space="0"/>
              <w:bottom w:val="single" w:color="auto" w:sz="4" w:space="0"/>
              <w:tl2br w:val="nil"/>
              <w:tr2bl w:val="nil"/>
            </w:tcBorders>
            <w:vAlign w:val="center"/>
          </w:tcPr>
          <w:p w14:paraId="4C2F5425">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op w:val="single" w:color="auto" w:sz="4" w:space="0"/>
              <w:bottom w:val="single" w:color="auto" w:sz="4" w:space="0"/>
              <w:tl2br w:val="nil"/>
              <w:tr2bl w:val="nil"/>
            </w:tcBorders>
            <w:vAlign w:val="center"/>
          </w:tcPr>
          <w:p w14:paraId="4EBBF26C">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1B4FF10E">
            <w:pPr>
              <w:jc w:val="center"/>
              <w:rPr>
                <w:rFonts w:ascii="宋体" w:hAnsi="宋体" w:eastAsia="宋体" w:cs="Times New Roman"/>
                <w:color w:val="auto"/>
              </w:rPr>
            </w:pPr>
            <w:r>
              <w:rPr>
                <w:rFonts w:ascii="宋体" w:hAnsi="宋体" w:eastAsia="宋体" w:cs="Times New Roman"/>
                <w:color w:val="auto"/>
              </w:rPr>
              <w:t>8.0004</w:t>
            </w:r>
          </w:p>
        </w:tc>
        <w:tc>
          <w:tcPr>
            <w:tcW w:w="836" w:type="dxa"/>
            <w:tcBorders>
              <w:top w:val="single" w:color="auto" w:sz="4" w:space="0"/>
              <w:bottom w:val="single" w:color="auto" w:sz="4" w:space="0"/>
              <w:tl2br w:val="nil"/>
              <w:tr2bl w:val="nil"/>
            </w:tcBorders>
            <w:vAlign w:val="center"/>
          </w:tcPr>
          <w:p w14:paraId="64DF5510">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20.001 </w:t>
            </w:r>
          </w:p>
        </w:tc>
        <w:tc>
          <w:tcPr>
            <w:tcW w:w="830" w:type="dxa"/>
            <w:tcBorders>
              <w:top w:val="single" w:color="auto" w:sz="4" w:space="0"/>
              <w:bottom w:val="single" w:color="auto" w:sz="4" w:space="0"/>
              <w:tl2br w:val="nil"/>
              <w:tr2bl w:val="nil"/>
            </w:tcBorders>
            <w:vAlign w:val="center"/>
          </w:tcPr>
          <w:p w14:paraId="66CF42BE">
            <w:pPr>
              <w:jc w:val="center"/>
              <w:rPr>
                <w:rFonts w:ascii="宋体" w:hAnsi="宋体" w:eastAsia="宋体" w:cs="Times New Roman"/>
                <w:color w:val="auto"/>
              </w:rPr>
            </w:pPr>
            <w:r>
              <w:rPr>
                <w:rFonts w:ascii="宋体" w:hAnsi="宋体" w:eastAsia="宋体" w:cs="Times New Roman"/>
                <w:color w:val="auto"/>
              </w:rPr>
              <w:t>达标</w:t>
            </w:r>
          </w:p>
        </w:tc>
      </w:tr>
      <w:tr w14:paraId="14B7C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184FAF40">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4402E31F">
            <w:pPr>
              <w:jc w:val="center"/>
              <w:rPr>
                <w:rFonts w:ascii="宋体" w:hAnsi="宋体" w:eastAsia="宋体" w:cs="Times New Roman"/>
                <w:color w:val="auto"/>
              </w:rPr>
            </w:pPr>
            <w:r>
              <w:rPr>
                <w:rFonts w:ascii="宋体" w:hAnsi="宋体" w:eastAsia="宋体" w:cs="Times New Roman"/>
                <w:color w:val="auto"/>
              </w:rPr>
              <w:t>协力屯</w:t>
            </w:r>
          </w:p>
        </w:tc>
        <w:tc>
          <w:tcPr>
            <w:tcW w:w="810" w:type="dxa"/>
            <w:vMerge w:val="continue"/>
            <w:tcBorders>
              <w:tl2br w:val="nil"/>
              <w:tr2bl w:val="nil"/>
            </w:tcBorders>
            <w:vAlign w:val="center"/>
          </w:tcPr>
          <w:p w14:paraId="3DCFF0EE">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6D5ABE0A">
            <w:pPr>
              <w:jc w:val="center"/>
              <w:rPr>
                <w:rFonts w:ascii="宋体" w:hAnsi="宋体" w:eastAsia="宋体" w:cs="Times New Roman"/>
                <w:color w:val="auto"/>
              </w:rPr>
            </w:pPr>
            <w:r>
              <w:rPr>
                <w:rFonts w:ascii="宋体" w:hAnsi="宋体" w:eastAsia="宋体" w:cs="Times New Roman"/>
                <w:color w:val="auto"/>
              </w:rPr>
              <w:t>0.000369212</w:t>
            </w:r>
          </w:p>
        </w:tc>
        <w:tc>
          <w:tcPr>
            <w:tcW w:w="794" w:type="dxa"/>
            <w:tcBorders>
              <w:top w:val="single" w:color="auto" w:sz="4" w:space="0"/>
              <w:bottom w:val="single" w:color="auto" w:sz="4" w:space="0"/>
              <w:tl2br w:val="nil"/>
              <w:tr2bl w:val="nil"/>
            </w:tcBorders>
            <w:vAlign w:val="center"/>
          </w:tcPr>
          <w:p w14:paraId="4D396ED5">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op w:val="single" w:color="auto" w:sz="4" w:space="0"/>
              <w:bottom w:val="single" w:color="auto" w:sz="4" w:space="0"/>
              <w:tl2br w:val="nil"/>
              <w:tr2bl w:val="nil"/>
            </w:tcBorders>
            <w:vAlign w:val="center"/>
          </w:tcPr>
          <w:p w14:paraId="2F5DBC1E">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3A06A377">
            <w:pPr>
              <w:jc w:val="center"/>
              <w:rPr>
                <w:rFonts w:ascii="宋体" w:hAnsi="宋体" w:eastAsia="宋体" w:cs="Times New Roman"/>
                <w:color w:val="auto"/>
              </w:rPr>
            </w:pPr>
            <w:r>
              <w:rPr>
                <w:rFonts w:ascii="宋体" w:hAnsi="宋体" w:eastAsia="宋体" w:cs="Times New Roman"/>
                <w:color w:val="auto"/>
              </w:rPr>
              <w:t>8.00037</w:t>
            </w:r>
          </w:p>
        </w:tc>
        <w:tc>
          <w:tcPr>
            <w:tcW w:w="836" w:type="dxa"/>
            <w:tcBorders>
              <w:top w:val="single" w:color="auto" w:sz="4" w:space="0"/>
              <w:bottom w:val="single" w:color="auto" w:sz="4" w:space="0"/>
              <w:tl2br w:val="nil"/>
              <w:tr2bl w:val="nil"/>
            </w:tcBorders>
            <w:vAlign w:val="center"/>
          </w:tcPr>
          <w:p w14:paraId="2BB9DA88">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20.001 </w:t>
            </w:r>
          </w:p>
        </w:tc>
        <w:tc>
          <w:tcPr>
            <w:tcW w:w="830" w:type="dxa"/>
            <w:tcBorders>
              <w:top w:val="single" w:color="auto" w:sz="4" w:space="0"/>
              <w:bottom w:val="single" w:color="auto" w:sz="4" w:space="0"/>
              <w:tl2br w:val="nil"/>
              <w:tr2bl w:val="nil"/>
            </w:tcBorders>
            <w:vAlign w:val="center"/>
          </w:tcPr>
          <w:p w14:paraId="14016621">
            <w:pPr>
              <w:jc w:val="center"/>
              <w:rPr>
                <w:rFonts w:ascii="宋体" w:hAnsi="宋体" w:eastAsia="宋体" w:cs="Times New Roman"/>
                <w:color w:val="auto"/>
              </w:rPr>
            </w:pPr>
            <w:r>
              <w:rPr>
                <w:rFonts w:ascii="宋体" w:hAnsi="宋体" w:eastAsia="宋体" w:cs="Times New Roman"/>
                <w:color w:val="auto"/>
              </w:rPr>
              <w:t>达标</w:t>
            </w:r>
          </w:p>
        </w:tc>
      </w:tr>
      <w:tr w14:paraId="018C6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97A8AB9">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1D28D292">
            <w:pPr>
              <w:jc w:val="center"/>
              <w:rPr>
                <w:rFonts w:ascii="宋体" w:hAnsi="宋体" w:eastAsia="宋体" w:cs="Times New Roman"/>
                <w:color w:val="auto"/>
              </w:rPr>
            </w:pPr>
            <w:r>
              <w:rPr>
                <w:rFonts w:ascii="宋体" w:hAnsi="宋体" w:eastAsia="宋体" w:cs="Times New Roman"/>
                <w:color w:val="auto"/>
              </w:rPr>
              <w:t>大三马架</w:t>
            </w:r>
          </w:p>
        </w:tc>
        <w:tc>
          <w:tcPr>
            <w:tcW w:w="810" w:type="dxa"/>
            <w:vMerge w:val="continue"/>
            <w:tcBorders>
              <w:tl2br w:val="nil"/>
              <w:tr2bl w:val="nil"/>
            </w:tcBorders>
            <w:vAlign w:val="center"/>
          </w:tcPr>
          <w:p w14:paraId="4222EC14">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50C78837">
            <w:pPr>
              <w:jc w:val="center"/>
              <w:rPr>
                <w:rFonts w:ascii="宋体" w:hAnsi="宋体" w:eastAsia="宋体" w:cs="Times New Roman"/>
                <w:color w:val="auto"/>
              </w:rPr>
            </w:pPr>
            <w:r>
              <w:rPr>
                <w:rFonts w:ascii="宋体" w:hAnsi="宋体" w:eastAsia="宋体" w:cs="Times New Roman"/>
                <w:color w:val="auto"/>
              </w:rPr>
              <w:t>0.000289603</w:t>
            </w:r>
          </w:p>
        </w:tc>
        <w:tc>
          <w:tcPr>
            <w:tcW w:w="794" w:type="dxa"/>
            <w:tcBorders>
              <w:top w:val="single" w:color="auto" w:sz="4" w:space="0"/>
              <w:bottom w:val="single" w:color="auto" w:sz="4" w:space="0"/>
              <w:tl2br w:val="nil"/>
              <w:tr2bl w:val="nil"/>
            </w:tcBorders>
            <w:vAlign w:val="center"/>
          </w:tcPr>
          <w:p w14:paraId="11C194BA">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op w:val="single" w:color="auto" w:sz="4" w:space="0"/>
              <w:bottom w:val="single" w:color="auto" w:sz="4" w:space="0"/>
              <w:tl2br w:val="nil"/>
              <w:tr2bl w:val="nil"/>
            </w:tcBorders>
            <w:vAlign w:val="center"/>
          </w:tcPr>
          <w:p w14:paraId="4A7368E1">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488B5A40">
            <w:pPr>
              <w:jc w:val="center"/>
              <w:rPr>
                <w:rFonts w:ascii="宋体" w:hAnsi="宋体" w:eastAsia="宋体" w:cs="Times New Roman"/>
                <w:color w:val="auto"/>
              </w:rPr>
            </w:pPr>
            <w:r>
              <w:rPr>
                <w:rFonts w:ascii="宋体" w:hAnsi="宋体" w:eastAsia="宋体" w:cs="Times New Roman"/>
                <w:color w:val="auto"/>
              </w:rPr>
              <w:t>8.00029</w:t>
            </w:r>
          </w:p>
        </w:tc>
        <w:tc>
          <w:tcPr>
            <w:tcW w:w="836" w:type="dxa"/>
            <w:tcBorders>
              <w:top w:val="single" w:color="auto" w:sz="4" w:space="0"/>
              <w:bottom w:val="single" w:color="auto" w:sz="4" w:space="0"/>
              <w:tl2br w:val="nil"/>
              <w:tr2bl w:val="nil"/>
            </w:tcBorders>
            <w:vAlign w:val="center"/>
          </w:tcPr>
          <w:p w14:paraId="25123347">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20.001 </w:t>
            </w:r>
          </w:p>
        </w:tc>
        <w:tc>
          <w:tcPr>
            <w:tcW w:w="830" w:type="dxa"/>
            <w:tcBorders>
              <w:top w:val="single" w:color="auto" w:sz="4" w:space="0"/>
              <w:bottom w:val="single" w:color="auto" w:sz="4" w:space="0"/>
              <w:tl2br w:val="nil"/>
              <w:tr2bl w:val="nil"/>
            </w:tcBorders>
            <w:vAlign w:val="center"/>
          </w:tcPr>
          <w:p w14:paraId="4645DF18">
            <w:pPr>
              <w:jc w:val="center"/>
              <w:rPr>
                <w:rFonts w:ascii="宋体" w:hAnsi="宋体" w:eastAsia="宋体" w:cs="Times New Roman"/>
                <w:color w:val="auto"/>
              </w:rPr>
            </w:pPr>
            <w:r>
              <w:rPr>
                <w:rFonts w:ascii="宋体" w:hAnsi="宋体" w:eastAsia="宋体" w:cs="Times New Roman"/>
                <w:color w:val="auto"/>
              </w:rPr>
              <w:t>达标</w:t>
            </w:r>
          </w:p>
        </w:tc>
      </w:tr>
      <w:tr w14:paraId="6CDCF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34A8EDA">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5E56ED2E">
            <w:pPr>
              <w:jc w:val="center"/>
              <w:rPr>
                <w:rFonts w:ascii="宋体" w:hAnsi="宋体" w:eastAsia="宋体" w:cs="Times New Roman"/>
                <w:color w:val="auto"/>
              </w:rPr>
            </w:pPr>
            <w:r>
              <w:rPr>
                <w:rFonts w:ascii="宋体" w:hAnsi="宋体" w:eastAsia="宋体" w:cs="Times New Roman"/>
                <w:color w:val="auto"/>
              </w:rPr>
              <w:t>东小山</w:t>
            </w:r>
          </w:p>
        </w:tc>
        <w:tc>
          <w:tcPr>
            <w:tcW w:w="810" w:type="dxa"/>
            <w:vMerge w:val="continue"/>
            <w:tcBorders>
              <w:tl2br w:val="nil"/>
              <w:tr2bl w:val="nil"/>
            </w:tcBorders>
            <w:vAlign w:val="center"/>
          </w:tcPr>
          <w:p w14:paraId="47D5D496">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71496C09">
            <w:pPr>
              <w:jc w:val="center"/>
              <w:rPr>
                <w:rFonts w:ascii="宋体" w:hAnsi="宋体" w:eastAsia="宋体" w:cs="Times New Roman"/>
                <w:color w:val="auto"/>
              </w:rPr>
            </w:pPr>
            <w:r>
              <w:rPr>
                <w:rFonts w:ascii="宋体" w:hAnsi="宋体" w:eastAsia="宋体" w:cs="Times New Roman"/>
                <w:color w:val="auto"/>
              </w:rPr>
              <w:t>0.000457085</w:t>
            </w:r>
          </w:p>
        </w:tc>
        <w:tc>
          <w:tcPr>
            <w:tcW w:w="794" w:type="dxa"/>
            <w:tcBorders>
              <w:top w:val="single" w:color="auto" w:sz="4" w:space="0"/>
              <w:bottom w:val="single" w:color="auto" w:sz="4" w:space="0"/>
              <w:tl2br w:val="nil"/>
              <w:tr2bl w:val="nil"/>
            </w:tcBorders>
            <w:vAlign w:val="center"/>
          </w:tcPr>
          <w:p w14:paraId="28C2848A">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op w:val="single" w:color="auto" w:sz="4" w:space="0"/>
              <w:bottom w:val="single" w:color="auto" w:sz="4" w:space="0"/>
              <w:tl2br w:val="nil"/>
              <w:tr2bl w:val="nil"/>
            </w:tcBorders>
            <w:vAlign w:val="center"/>
          </w:tcPr>
          <w:p w14:paraId="496371EE">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0716A276">
            <w:pPr>
              <w:jc w:val="center"/>
              <w:rPr>
                <w:rFonts w:ascii="宋体" w:hAnsi="宋体" w:eastAsia="宋体" w:cs="Times New Roman"/>
                <w:color w:val="auto"/>
              </w:rPr>
            </w:pPr>
            <w:r>
              <w:rPr>
                <w:rFonts w:ascii="宋体" w:hAnsi="宋体" w:eastAsia="宋体" w:cs="Times New Roman"/>
                <w:color w:val="auto"/>
              </w:rPr>
              <w:t>8.00046</w:t>
            </w:r>
          </w:p>
        </w:tc>
        <w:tc>
          <w:tcPr>
            <w:tcW w:w="836" w:type="dxa"/>
            <w:tcBorders>
              <w:top w:val="single" w:color="auto" w:sz="4" w:space="0"/>
              <w:bottom w:val="single" w:color="auto" w:sz="4" w:space="0"/>
              <w:tl2br w:val="nil"/>
              <w:tr2bl w:val="nil"/>
            </w:tcBorders>
            <w:vAlign w:val="center"/>
          </w:tcPr>
          <w:p w14:paraId="0A634B08">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20.001 </w:t>
            </w:r>
          </w:p>
        </w:tc>
        <w:tc>
          <w:tcPr>
            <w:tcW w:w="830" w:type="dxa"/>
            <w:tcBorders>
              <w:top w:val="single" w:color="auto" w:sz="4" w:space="0"/>
              <w:bottom w:val="single" w:color="auto" w:sz="4" w:space="0"/>
              <w:tl2br w:val="nil"/>
              <w:tr2bl w:val="nil"/>
            </w:tcBorders>
            <w:vAlign w:val="center"/>
          </w:tcPr>
          <w:p w14:paraId="1E42344C">
            <w:pPr>
              <w:jc w:val="center"/>
              <w:rPr>
                <w:rFonts w:ascii="宋体" w:hAnsi="宋体" w:eastAsia="宋体" w:cs="Times New Roman"/>
                <w:color w:val="auto"/>
              </w:rPr>
            </w:pPr>
            <w:r>
              <w:rPr>
                <w:rFonts w:ascii="宋体" w:hAnsi="宋体" w:eastAsia="宋体" w:cs="Times New Roman"/>
                <w:color w:val="auto"/>
              </w:rPr>
              <w:t>达标</w:t>
            </w:r>
          </w:p>
        </w:tc>
      </w:tr>
      <w:tr w14:paraId="19306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7437910F">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12C4DEDE">
            <w:pPr>
              <w:jc w:val="center"/>
              <w:rPr>
                <w:rFonts w:ascii="宋体" w:hAnsi="宋体" w:eastAsia="宋体" w:cs="Times New Roman"/>
                <w:color w:val="auto"/>
              </w:rPr>
            </w:pPr>
            <w:r>
              <w:rPr>
                <w:rFonts w:ascii="宋体" w:hAnsi="宋体" w:eastAsia="宋体" w:cs="Times New Roman"/>
                <w:color w:val="auto"/>
              </w:rPr>
              <w:t>科技屯</w:t>
            </w:r>
          </w:p>
        </w:tc>
        <w:tc>
          <w:tcPr>
            <w:tcW w:w="810" w:type="dxa"/>
            <w:vMerge w:val="continue"/>
            <w:tcBorders>
              <w:tl2br w:val="nil"/>
              <w:tr2bl w:val="nil"/>
            </w:tcBorders>
            <w:vAlign w:val="center"/>
          </w:tcPr>
          <w:p w14:paraId="25A6AC36">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06296AFD">
            <w:pPr>
              <w:jc w:val="center"/>
              <w:rPr>
                <w:rFonts w:ascii="宋体" w:hAnsi="宋体" w:eastAsia="宋体" w:cs="Times New Roman"/>
                <w:color w:val="auto"/>
              </w:rPr>
            </w:pPr>
            <w:r>
              <w:rPr>
                <w:rFonts w:ascii="宋体" w:hAnsi="宋体" w:eastAsia="宋体" w:cs="Times New Roman"/>
                <w:color w:val="auto"/>
              </w:rPr>
              <w:t>0.000510767</w:t>
            </w:r>
          </w:p>
        </w:tc>
        <w:tc>
          <w:tcPr>
            <w:tcW w:w="794" w:type="dxa"/>
            <w:tcBorders>
              <w:top w:val="single" w:color="auto" w:sz="4" w:space="0"/>
              <w:bottom w:val="single" w:color="auto" w:sz="4" w:space="0"/>
              <w:tl2br w:val="nil"/>
              <w:tr2bl w:val="nil"/>
            </w:tcBorders>
            <w:vAlign w:val="center"/>
          </w:tcPr>
          <w:p w14:paraId="7DFA1771">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op w:val="single" w:color="auto" w:sz="4" w:space="0"/>
              <w:bottom w:val="single" w:color="auto" w:sz="4" w:space="0"/>
              <w:tl2br w:val="nil"/>
              <w:tr2bl w:val="nil"/>
            </w:tcBorders>
            <w:vAlign w:val="center"/>
          </w:tcPr>
          <w:p w14:paraId="7E623857">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19187032">
            <w:pPr>
              <w:jc w:val="center"/>
              <w:rPr>
                <w:rFonts w:ascii="宋体" w:hAnsi="宋体" w:eastAsia="宋体" w:cs="Times New Roman"/>
                <w:color w:val="auto"/>
              </w:rPr>
            </w:pPr>
            <w:r>
              <w:rPr>
                <w:rFonts w:ascii="宋体" w:hAnsi="宋体" w:eastAsia="宋体" w:cs="Times New Roman"/>
                <w:color w:val="auto"/>
              </w:rPr>
              <w:t>8.00051</w:t>
            </w:r>
          </w:p>
        </w:tc>
        <w:tc>
          <w:tcPr>
            <w:tcW w:w="836" w:type="dxa"/>
            <w:tcBorders>
              <w:top w:val="single" w:color="auto" w:sz="4" w:space="0"/>
              <w:bottom w:val="single" w:color="auto" w:sz="4" w:space="0"/>
              <w:tl2br w:val="nil"/>
              <w:tr2bl w:val="nil"/>
            </w:tcBorders>
            <w:vAlign w:val="center"/>
          </w:tcPr>
          <w:p w14:paraId="5994FB1D">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20.001 </w:t>
            </w:r>
          </w:p>
        </w:tc>
        <w:tc>
          <w:tcPr>
            <w:tcW w:w="830" w:type="dxa"/>
            <w:tcBorders>
              <w:top w:val="single" w:color="auto" w:sz="4" w:space="0"/>
              <w:bottom w:val="single" w:color="auto" w:sz="4" w:space="0"/>
              <w:tl2br w:val="nil"/>
              <w:tr2bl w:val="nil"/>
            </w:tcBorders>
            <w:vAlign w:val="center"/>
          </w:tcPr>
          <w:p w14:paraId="43727647">
            <w:pPr>
              <w:jc w:val="center"/>
              <w:rPr>
                <w:rFonts w:ascii="宋体" w:hAnsi="宋体" w:eastAsia="宋体" w:cs="Times New Roman"/>
                <w:color w:val="auto"/>
              </w:rPr>
            </w:pPr>
            <w:r>
              <w:rPr>
                <w:rFonts w:ascii="宋体" w:hAnsi="宋体" w:eastAsia="宋体" w:cs="Times New Roman"/>
                <w:color w:val="auto"/>
              </w:rPr>
              <w:t>达标</w:t>
            </w:r>
          </w:p>
        </w:tc>
      </w:tr>
      <w:tr w14:paraId="0B701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71E448BE">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5DC78B0C">
            <w:pPr>
              <w:jc w:val="center"/>
              <w:rPr>
                <w:rFonts w:ascii="宋体" w:hAnsi="宋体" w:eastAsia="宋体" w:cs="Times New Roman"/>
                <w:color w:val="auto"/>
              </w:rPr>
            </w:pPr>
            <w:r>
              <w:rPr>
                <w:rFonts w:ascii="宋体" w:hAnsi="宋体" w:eastAsia="宋体" w:cs="Times New Roman"/>
                <w:color w:val="auto"/>
              </w:rPr>
              <w:t>大姚屯</w:t>
            </w:r>
          </w:p>
        </w:tc>
        <w:tc>
          <w:tcPr>
            <w:tcW w:w="810" w:type="dxa"/>
            <w:vMerge w:val="continue"/>
            <w:tcBorders>
              <w:tl2br w:val="nil"/>
              <w:tr2bl w:val="nil"/>
            </w:tcBorders>
            <w:vAlign w:val="center"/>
          </w:tcPr>
          <w:p w14:paraId="4B2E2619">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447865A6">
            <w:pPr>
              <w:jc w:val="center"/>
              <w:rPr>
                <w:rFonts w:ascii="宋体" w:hAnsi="宋体" w:eastAsia="宋体" w:cs="Times New Roman"/>
                <w:color w:val="auto"/>
              </w:rPr>
            </w:pPr>
            <w:r>
              <w:rPr>
                <w:rFonts w:ascii="宋体" w:hAnsi="宋体" w:eastAsia="宋体" w:cs="Times New Roman"/>
                <w:color w:val="auto"/>
              </w:rPr>
              <w:t>0.000446089</w:t>
            </w:r>
          </w:p>
        </w:tc>
        <w:tc>
          <w:tcPr>
            <w:tcW w:w="794" w:type="dxa"/>
            <w:tcBorders>
              <w:top w:val="single" w:color="auto" w:sz="4" w:space="0"/>
              <w:bottom w:val="single" w:color="auto" w:sz="4" w:space="0"/>
              <w:tl2br w:val="nil"/>
              <w:tr2bl w:val="nil"/>
            </w:tcBorders>
            <w:vAlign w:val="center"/>
          </w:tcPr>
          <w:p w14:paraId="59E05F9A">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0.001 </w:t>
            </w:r>
          </w:p>
        </w:tc>
        <w:tc>
          <w:tcPr>
            <w:tcW w:w="1262" w:type="dxa"/>
            <w:tcBorders>
              <w:top w:val="single" w:color="auto" w:sz="4" w:space="0"/>
              <w:bottom w:val="single" w:color="auto" w:sz="4" w:space="0"/>
              <w:tl2br w:val="nil"/>
              <w:tr2bl w:val="nil"/>
            </w:tcBorders>
            <w:vAlign w:val="center"/>
          </w:tcPr>
          <w:p w14:paraId="0FC09008">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69624AC3">
            <w:pPr>
              <w:jc w:val="center"/>
              <w:rPr>
                <w:rFonts w:ascii="宋体" w:hAnsi="宋体" w:eastAsia="宋体" w:cs="Times New Roman"/>
                <w:color w:val="auto"/>
              </w:rPr>
            </w:pPr>
            <w:r>
              <w:rPr>
                <w:rFonts w:ascii="宋体" w:hAnsi="宋体" w:eastAsia="宋体" w:cs="Times New Roman"/>
                <w:color w:val="auto"/>
              </w:rPr>
              <w:t>8.00045</w:t>
            </w:r>
          </w:p>
        </w:tc>
        <w:tc>
          <w:tcPr>
            <w:tcW w:w="836" w:type="dxa"/>
            <w:tcBorders>
              <w:top w:val="single" w:color="auto" w:sz="4" w:space="0"/>
              <w:bottom w:val="single" w:color="auto" w:sz="4" w:space="0"/>
              <w:tl2br w:val="nil"/>
              <w:tr2bl w:val="nil"/>
            </w:tcBorders>
            <w:vAlign w:val="center"/>
          </w:tcPr>
          <w:p w14:paraId="7ADAFC18">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20.001 </w:t>
            </w:r>
          </w:p>
        </w:tc>
        <w:tc>
          <w:tcPr>
            <w:tcW w:w="830" w:type="dxa"/>
            <w:tcBorders>
              <w:top w:val="single" w:color="auto" w:sz="4" w:space="0"/>
              <w:bottom w:val="single" w:color="auto" w:sz="4" w:space="0"/>
              <w:tl2br w:val="nil"/>
              <w:tr2bl w:val="nil"/>
            </w:tcBorders>
            <w:vAlign w:val="center"/>
          </w:tcPr>
          <w:p w14:paraId="3E061C14">
            <w:pPr>
              <w:jc w:val="center"/>
              <w:rPr>
                <w:rFonts w:ascii="宋体" w:hAnsi="宋体" w:eastAsia="宋体" w:cs="Times New Roman"/>
                <w:color w:val="auto"/>
              </w:rPr>
            </w:pPr>
            <w:r>
              <w:rPr>
                <w:rFonts w:ascii="宋体" w:hAnsi="宋体" w:eastAsia="宋体" w:cs="Times New Roman"/>
                <w:color w:val="auto"/>
              </w:rPr>
              <w:t>达标</w:t>
            </w:r>
          </w:p>
        </w:tc>
      </w:tr>
      <w:tr w14:paraId="72841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58BD6F1">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40C1C62D">
            <w:pPr>
              <w:jc w:val="center"/>
              <w:rPr>
                <w:rFonts w:ascii="宋体" w:hAnsi="宋体" w:eastAsia="宋体" w:cs="Times New Roman"/>
                <w:color w:val="auto"/>
              </w:rPr>
            </w:pPr>
            <w:r>
              <w:rPr>
                <w:rFonts w:ascii="宋体" w:hAnsi="宋体" w:eastAsia="宋体" w:cs="Times New Roman"/>
                <w:color w:val="auto"/>
              </w:rPr>
              <w:t>奎中里屯</w:t>
            </w:r>
          </w:p>
        </w:tc>
        <w:tc>
          <w:tcPr>
            <w:tcW w:w="810" w:type="dxa"/>
            <w:vMerge w:val="continue"/>
            <w:tcBorders>
              <w:tl2br w:val="nil"/>
              <w:tr2bl w:val="nil"/>
            </w:tcBorders>
            <w:vAlign w:val="center"/>
          </w:tcPr>
          <w:p w14:paraId="64DC7207">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780F73E5">
            <w:pPr>
              <w:jc w:val="center"/>
              <w:rPr>
                <w:rFonts w:ascii="宋体" w:hAnsi="宋体" w:eastAsia="宋体" w:cs="Times New Roman"/>
                <w:color w:val="auto"/>
              </w:rPr>
            </w:pPr>
            <w:r>
              <w:rPr>
                <w:rFonts w:ascii="宋体" w:hAnsi="宋体" w:eastAsia="宋体" w:cs="Times New Roman"/>
                <w:color w:val="auto"/>
              </w:rPr>
              <w:t>0.00187561</w:t>
            </w:r>
          </w:p>
        </w:tc>
        <w:tc>
          <w:tcPr>
            <w:tcW w:w="794" w:type="dxa"/>
            <w:tcBorders>
              <w:top w:val="single" w:color="auto" w:sz="4" w:space="0"/>
              <w:bottom w:val="single" w:color="auto" w:sz="4" w:space="0"/>
              <w:tl2br w:val="nil"/>
              <w:tr2bl w:val="nil"/>
            </w:tcBorders>
            <w:vAlign w:val="center"/>
          </w:tcPr>
          <w:p w14:paraId="03DE13FA">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0.005 </w:t>
            </w:r>
          </w:p>
        </w:tc>
        <w:tc>
          <w:tcPr>
            <w:tcW w:w="1262" w:type="dxa"/>
            <w:tcBorders>
              <w:top w:val="single" w:color="auto" w:sz="4" w:space="0"/>
              <w:bottom w:val="single" w:color="auto" w:sz="4" w:space="0"/>
              <w:tl2br w:val="nil"/>
              <w:tr2bl w:val="nil"/>
            </w:tcBorders>
            <w:vAlign w:val="center"/>
          </w:tcPr>
          <w:p w14:paraId="79B113FE">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1958DDA1">
            <w:pPr>
              <w:jc w:val="center"/>
              <w:rPr>
                <w:rFonts w:ascii="宋体" w:hAnsi="宋体" w:eastAsia="宋体" w:cs="Times New Roman"/>
                <w:color w:val="auto"/>
              </w:rPr>
            </w:pPr>
            <w:r>
              <w:rPr>
                <w:rFonts w:ascii="宋体" w:hAnsi="宋体" w:eastAsia="宋体" w:cs="Times New Roman"/>
                <w:color w:val="auto"/>
              </w:rPr>
              <w:t>8.00188</w:t>
            </w:r>
          </w:p>
        </w:tc>
        <w:tc>
          <w:tcPr>
            <w:tcW w:w="836" w:type="dxa"/>
            <w:tcBorders>
              <w:top w:val="single" w:color="auto" w:sz="4" w:space="0"/>
              <w:bottom w:val="single" w:color="auto" w:sz="4" w:space="0"/>
              <w:tl2br w:val="nil"/>
              <w:tr2bl w:val="nil"/>
            </w:tcBorders>
            <w:vAlign w:val="center"/>
          </w:tcPr>
          <w:p w14:paraId="013B21C3">
            <w:pPr>
              <w:jc w:val="right"/>
              <w:textAlignment w:val="center"/>
              <w:rPr>
                <w:rFonts w:ascii="宋体" w:hAnsi="宋体" w:eastAsia="宋体" w:cs="Times New Roman"/>
                <w:color w:val="auto"/>
              </w:rPr>
            </w:pPr>
            <w:r>
              <w:rPr>
                <w:rFonts w:ascii="宋体" w:hAnsi="宋体" w:eastAsia="宋体" w:cs="Times New Roman"/>
                <w:color w:val="auto"/>
                <w:lang w:bidi="ar"/>
              </w:rPr>
              <w:t xml:space="preserve">20.005 </w:t>
            </w:r>
          </w:p>
        </w:tc>
        <w:tc>
          <w:tcPr>
            <w:tcW w:w="830" w:type="dxa"/>
            <w:tcBorders>
              <w:top w:val="single" w:color="auto" w:sz="4" w:space="0"/>
              <w:bottom w:val="single" w:color="auto" w:sz="4" w:space="0"/>
              <w:tl2br w:val="nil"/>
              <w:tr2bl w:val="nil"/>
            </w:tcBorders>
            <w:vAlign w:val="center"/>
          </w:tcPr>
          <w:p w14:paraId="548AF920">
            <w:pPr>
              <w:jc w:val="center"/>
              <w:rPr>
                <w:rFonts w:ascii="宋体" w:hAnsi="宋体" w:eastAsia="宋体" w:cs="Times New Roman"/>
                <w:color w:val="auto"/>
              </w:rPr>
            </w:pPr>
            <w:r>
              <w:rPr>
                <w:rFonts w:ascii="宋体" w:hAnsi="宋体" w:eastAsia="宋体" w:cs="Times New Roman"/>
                <w:color w:val="auto"/>
              </w:rPr>
              <w:t>达标</w:t>
            </w:r>
          </w:p>
        </w:tc>
      </w:tr>
      <w:tr w14:paraId="5B881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519EDCDD">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568BF941">
            <w:pPr>
              <w:jc w:val="center"/>
              <w:rPr>
                <w:rFonts w:ascii="宋体" w:hAnsi="宋体" w:eastAsia="宋体" w:cs="Times New Roman"/>
                <w:color w:val="auto"/>
              </w:rPr>
            </w:pPr>
            <w:r>
              <w:rPr>
                <w:rFonts w:ascii="宋体" w:hAnsi="宋体" w:eastAsia="宋体" w:cs="Times New Roman"/>
                <w:color w:val="auto"/>
              </w:rPr>
              <w:t>区域最大落地浓度</w:t>
            </w:r>
          </w:p>
        </w:tc>
        <w:tc>
          <w:tcPr>
            <w:tcW w:w="810" w:type="dxa"/>
            <w:vMerge w:val="continue"/>
            <w:tcBorders>
              <w:tl2br w:val="nil"/>
              <w:tr2bl w:val="nil"/>
            </w:tcBorders>
            <w:vAlign w:val="center"/>
          </w:tcPr>
          <w:p w14:paraId="52E60CD3">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5E86EF2A">
            <w:pPr>
              <w:jc w:val="center"/>
              <w:rPr>
                <w:rFonts w:ascii="宋体" w:hAnsi="宋体" w:eastAsia="宋体" w:cs="Times New Roman"/>
                <w:color w:val="auto"/>
              </w:rPr>
            </w:pPr>
            <w:r>
              <w:rPr>
                <w:rFonts w:ascii="宋体" w:hAnsi="宋体" w:eastAsia="宋体" w:cs="Times New Roman"/>
                <w:color w:val="auto"/>
              </w:rPr>
              <w:t xml:space="preserve"> 0.0366061</w:t>
            </w:r>
          </w:p>
        </w:tc>
        <w:tc>
          <w:tcPr>
            <w:tcW w:w="794" w:type="dxa"/>
            <w:tcBorders>
              <w:top w:val="single" w:color="auto" w:sz="4" w:space="0"/>
              <w:bottom w:val="single" w:color="auto" w:sz="4" w:space="0"/>
              <w:tl2br w:val="nil"/>
              <w:tr2bl w:val="nil"/>
            </w:tcBorders>
            <w:vAlign w:val="center"/>
          </w:tcPr>
          <w:p w14:paraId="79920967">
            <w:pPr>
              <w:jc w:val="center"/>
              <w:rPr>
                <w:rFonts w:ascii="宋体" w:hAnsi="宋体" w:eastAsia="宋体" w:cs="Times New Roman"/>
                <w:color w:val="auto"/>
              </w:rPr>
            </w:pPr>
            <w:r>
              <w:rPr>
                <w:rFonts w:ascii="宋体" w:hAnsi="宋体" w:eastAsia="宋体" w:cs="Times New Roman"/>
                <w:color w:val="auto"/>
              </w:rPr>
              <w:t>0.092</w:t>
            </w:r>
          </w:p>
        </w:tc>
        <w:tc>
          <w:tcPr>
            <w:tcW w:w="1262" w:type="dxa"/>
            <w:tcBorders>
              <w:top w:val="single" w:color="auto" w:sz="4" w:space="0"/>
              <w:bottom w:val="single" w:color="auto" w:sz="4" w:space="0"/>
              <w:tl2br w:val="nil"/>
              <w:tr2bl w:val="nil"/>
            </w:tcBorders>
            <w:vAlign w:val="center"/>
          </w:tcPr>
          <w:p w14:paraId="727FAAE0">
            <w:pPr>
              <w:jc w:val="center"/>
              <w:rPr>
                <w:rFonts w:ascii="宋体" w:hAnsi="宋体" w:eastAsia="宋体" w:cs="Times New Roman"/>
                <w:color w:val="auto"/>
              </w:rPr>
            </w:pPr>
            <w:r>
              <w:rPr>
                <w:rFonts w:ascii="宋体" w:hAnsi="宋体" w:eastAsia="宋体" w:cs="Times New Roman"/>
                <w:color w:val="auto"/>
              </w:rPr>
              <w:t>8</w:t>
            </w:r>
          </w:p>
        </w:tc>
        <w:tc>
          <w:tcPr>
            <w:tcW w:w="1403" w:type="dxa"/>
            <w:tcBorders>
              <w:top w:val="single" w:color="auto" w:sz="4" w:space="0"/>
              <w:bottom w:val="single" w:color="auto" w:sz="4" w:space="0"/>
              <w:tl2br w:val="nil"/>
              <w:tr2bl w:val="nil"/>
            </w:tcBorders>
            <w:vAlign w:val="center"/>
          </w:tcPr>
          <w:p w14:paraId="26CB5A53">
            <w:pPr>
              <w:jc w:val="center"/>
              <w:rPr>
                <w:rFonts w:ascii="宋体" w:hAnsi="宋体" w:eastAsia="宋体" w:cs="Times New Roman"/>
                <w:color w:val="auto"/>
              </w:rPr>
            </w:pPr>
            <w:r>
              <w:rPr>
                <w:rFonts w:ascii="宋体" w:hAnsi="宋体" w:eastAsia="宋体" w:cs="Times New Roman"/>
                <w:color w:val="auto"/>
              </w:rPr>
              <w:t xml:space="preserve"> 8.03661</w:t>
            </w:r>
          </w:p>
        </w:tc>
        <w:tc>
          <w:tcPr>
            <w:tcW w:w="836" w:type="dxa"/>
            <w:tcBorders>
              <w:top w:val="single" w:color="auto" w:sz="4" w:space="0"/>
              <w:bottom w:val="single" w:color="auto" w:sz="4" w:space="0"/>
              <w:tl2br w:val="nil"/>
              <w:tr2bl w:val="nil"/>
            </w:tcBorders>
            <w:vAlign w:val="center"/>
          </w:tcPr>
          <w:p w14:paraId="6254DADF">
            <w:pPr>
              <w:jc w:val="center"/>
              <w:rPr>
                <w:rFonts w:ascii="宋体" w:hAnsi="宋体" w:eastAsia="宋体" w:cs="Times New Roman"/>
                <w:color w:val="auto"/>
              </w:rPr>
            </w:pPr>
            <w:r>
              <w:rPr>
                <w:rFonts w:ascii="宋体" w:hAnsi="宋体" w:eastAsia="宋体" w:cs="Times New Roman"/>
                <w:color w:val="auto"/>
              </w:rPr>
              <w:t>20.092</w:t>
            </w:r>
          </w:p>
        </w:tc>
        <w:tc>
          <w:tcPr>
            <w:tcW w:w="830" w:type="dxa"/>
            <w:tcBorders>
              <w:top w:val="single" w:color="auto" w:sz="4" w:space="0"/>
              <w:bottom w:val="single" w:color="auto" w:sz="4" w:space="0"/>
              <w:tl2br w:val="nil"/>
              <w:tr2bl w:val="nil"/>
            </w:tcBorders>
            <w:vAlign w:val="center"/>
          </w:tcPr>
          <w:p w14:paraId="6C5D8A1B">
            <w:pPr>
              <w:jc w:val="center"/>
              <w:rPr>
                <w:rFonts w:ascii="宋体" w:hAnsi="宋体" w:eastAsia="宋体" w:cs="Times New Roman"/>
                <w:color w:val="auto"/>
              </w:rPr>
            </w:pPr>
            <w:r>
              <w:rPr>
                <w:rFonts w:ascii="宋体" w:hAnsi="宋体" w:eastAsia="宋体" w:cs="Times New Roman"/>
                <w:color w:val="auto"/>
              </w:rPr>
              <w:t>达标</w:t>
            </w:r>
          </w:p>
        </w:tc>
      </w:tr>
      <w:tr w14:paraId="31F91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restart"/>
            <w:tcBorders>
              <w:tl2br w:val="nil"/>
              <w:tr2bl w:val="nil"/>
            </w:tcBorders>
            <w:vAlign w:val="center"/>
          </w:tcPr>
          <w:p w14:paraId="0F4C1E04">
            <w:pPr>
              <w:jc w:val="center"/>
              <w:rPr>
                <w:rFonts w:ascii="宋体" w:hAnsi="宋体" w:eastAsia="宋体" w:cs="Times New Roman"/>
                <w:color w:val="auto"/>
              </w:rPr>
            </w:pPr>
            <w:r>
              <w:rPr>
                <w:rFonts w:ascii="宋体" w:hAnsi="宋体" w:eastAsia="宋体" w:cs="Times New Roman"/>
                <w:color w:val="auto"/>
              </w:rPr>
              <w:t>NO</w:t>
            </w:r>
            <w:r>
              <w:rPr>
                <w:rFonts w:ascii="宋体" w:hAnsi="宋体" w:eastAsia="宋体" w:cs="Times New Roman"/>
                <w:color w:val="auto"/>
                <w:vertAlign w:val="subscript"/>
              </w:rPr>
              <w:t>2</w:t>
            </w:r>
          </w:p>
        </w:tc>
        <w:tc>
          <w:tcPr>
            <w:tcW w:w="1430" w:type="dxa"/>
            <w:tcBorders>
              <w:bottom w:val="single" w:color="auto" w:sz="4" w:space="0"/>
              <w:tl2br w:val="nil"/>
              <w:tr2bl w:val="nil"/>
            </w:tcBorders>
            <w:vAlign w:val="center"/>
          </w:tcPr>
          <w:p w14:paraId="762841D6">
            <w:pPr>
              <w:jc w:val="center"/>
              <w:rPr>
                <w:rFonts w:ascii="宋体" w:hAnsi="宋体" w:eastAsia="宋体" w:cs="Times New Roman"/>
                <w:color w:val="auto"/>
              </w:rPr>
            </w:pPr>
            <w:r>
              <w:rPr>
                <w:rFonts w:ascii="宋体" w:hAnsi="宋体" w:eastAsia="宋体" w:cs="Times New Roman"/>
                <w:color w:val="auto"/>
              </w:rPr>
              <w:t xml:space="preserve"> 吴家围子</w:t>
            </w:r>
          </w:p>
        </w:tc>
        <w:tc>
          <w:tcPr>
            <w:tcW w:w="810" w:type="dxa"/>
            <w:vMerge w:val="restart"/>
            <w:tcBorders>
              <w:tl2br w:val="nil"/>
              <w:tr2bl w:val="nil"/>
            </w:tcBorders>
            <w:vAlign w:val="center"/>
          </w:tcPr>
          <w:p w14:paraId="0172AC67">
            <w:pPr>
              <w:jc w:val="center"/>
              <w:rPr>
                <w:rFonts w:ascii="宋体" w:hAnsi="宋体" w:eastAsia="宋体" w:cs="Times New Roman"/>
                <w:color w:val="auto"/>
              </w:rPr>
            </w:pPr>
            <w:r>
              <w:rPr>
                <w:rFonts w:ascii="宋体" w:hAnsi="宋体" w:eastAsia="宋体" w:cs="Times New Roman"/>
                <w:color w:val="auto"/>
              </w:rPr>
              <w:t>98%保证率日平均</w:t>
            </w:r>
          </w:p>
        </w:tc>
        <w:tc>
          <w:tcPr>
            <w:tcW w:w="1006" w:type="dxa"/>
            <w:tcBorders>
              <w:bottom w:val="single" w:color="auto" w:sz="4" w:space="0"/>
              <w:tl2br w:val="nil"/>
              <w:tr2bl w:val="nil"/>
            </w:tcBorders>
            <w:vAlign w:val="center"/>
          </w:tcPr>
          <w:p w14:paraId="274C900F">
            <w:pPr>
              <w:jc w:val="center"/>
              <w:rPr>
                <w:rFonts w:ascii="宋体" w:hAnsi="宋体" w:eastAsia="宋体" w:cs="Times New Roman"/>
                <w:color w:val="auto"/>
              </w:rPr>
            </w:pPr>
            <w:r>
              <w:rPr>
                <w:rFonts w:ascii="宋体" w:hAnsi="宋体" w:eastAsia="宋体" w:cs="Times New Roman"/>
                <w:color w:val="auto"/>
              </w:rPr>
              <w:t xml:space="preserve"> 0.169055</w:t>
            </w:r>
          </w:p>
        </w:tc>
        <w:tc>
          <w:tcPr>
            <w:tcW w:w="794" w:type="dxa"/>
            <w:tcBorders>
              <w:bottom w:val="single" w:color="auto" w:sz="4" w:space="0"/>
              <w:tl2br w:val="nil"/>
              <w:tr2bl w:val="nil"/>
            </w:tcBorders>
            <w:vAlign w:val="center"/>
          </w:tcPr>
          <w:p w14:paraId="3F3F6279">
            <w:pPr>
              <w:jc w:val="right"/>
              <w:textAlignment w:val="center"/>
              <w:rPr>
                <w:rFonts w:ascii="宋体" w:hAnsi="宋体" w:eastAsia="宋体" w:cs="Times New Roman"/>
                <w:color w:val="auto"/>
              </w:rPr>
            </w:pPr>
            <w:r>
              <w:rPr>
                <w:rFonts w:ascii="宋体" w:hAnsi="宋体" w:eastAsia="宋体" w:cs="Times New Roman"/>
                <w:color w:val="auto"/>
                <w:lang w:bidi="ar"/>
              </w:rPr>
              <w:t xml:space="preserve">0.211 </w:t>
            </w:r>
          </w:p>
        </w:tc>
        <w:tc>
          <w:tcPr>
            <w:tcW w:w="1262" w:type="dxa"/>
            <w:tcBorders>
              <w:bottom w:val="single" w:color="auto" w:sz="4" w:space="0"/>
              <w:tl2br w:val="nil"/>
              <w:tr2bl w:val="nil"/>
            </w:tcBorders>
            <w:vAlign w:val="center"/>
          </w:tcPr>
          <w:p w14:paraId="7DB184D2">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1E41721D">
            <w:pPr>
              <w:jc w:val="center"/>
              <w:rPr>
                <w:rFonts w:ascii="宋体" w:hAnsi="宋体" w:eastAsia="宋体" w:cs="Times New Roman"/>
                <w:color w:val="auto"/>
              </w:rPr>
            </w:pPr>
            <w:r>
              <w:rPr>
                <w:rFonts w:ascii="宋体" w:hAnsi="宋体" w:eastAsia="宋体" w:cs="Times New Roman"/>
                <w:color w:val="auto"/>
              </w:rPr>
              <w:t xml:space="preserve"> 31.1691</w:t>
            </w:r>
          </w:p>
        </w:tc>
        <w:tc>
          <w:tcPr>
            <w:tcW w:w="836" w:type="dxa"/>
            <w:tcBorders>
              <w:bottom w:val="single" w:color="auto" w:sz="4" w:space="0"/>
              <w:tl2br w:val="nil"/>
              <w:tr2bl w:val="nil"/>
            </w:tcBorders>
            <w:vAlign w:val="center"/>
          </w:tcPr>
          <w:p w14:paraId="4FC385E5">
            <w:pPr>
              <w:jc w:val="right"/>
              <w:textAlignment w:val="center"/>
              <w:rPr>
                <w:rFonts w:ascii="宋体" w:hAnsi="宋体" w:eastAsia="宋体" w:cs="Times New Roman"/>
                <w:color w:val="auto"/>
              </w:rPr>
            </w:pPr>
            <w:r>
              <w:rPr>
                <w:rFonts w:ascii="宋体" w:hAnsi="宋体" w:eastAsia="宋体" w:cs="Times New Roman"/>
                <w:color w:val="auto"/>
                <w:lang w:bidi="ar"/>
              </w:rPr>
              <w:t xml:space="preserve">38.961 </w:t>
            </w:r>
          </w:p>
        </w:tc>
        <w:tc>
          <w:tcPr>
            <w:tcW w:w="830" w:type="dxa"/>
            <w:tcBorders>
              <w:bottom w:val="single" w:color="auto" w:sz="4" w:space="0"/>
              <w:tl2br w:val="nil"/>
              <w:tr2bl w:val="nil"/>
            </w:tcBorders>
            <w:vAlign w:val="center"/>
          </w:tcPr>
          <w:p w14:paraId="1AF48759">
            <w:pPr>
              <w:jc w:val="center"/>
              <w:rPr>
                <w:rFonts w:ascii="宋体" w:hAnsi="宋体" w:eastAsia="宋体" w:cs="Times New Roman"/>
                <w:color w:val="auto"/>
              </w:rPr>
            </w:pPr>
            <w:r>
              <w:rPr>
                <w:rFonts w:ascii="宋体" w:hAnsi="宋体" w:eastAsia="宋体" w:cs="Times New Roman"/>
                <w:color w:val="auto"/>
              </w:rPr>
              <w:t>达标</w:t>
            </w:r>
          </w:p>
        </w:tc>
      </w:tr>
      <w:tr w14:paraId="76858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CDC4CA5">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6A75365F">
            <w:pPr>
              <w:jc w:val="center"/>
              <w:rPr>
                <w:rFonts w:ascii="宋体" w:hAnsi="宋体" w:eastAsia="宋体" w:cs="Times New Roman"/>
                <w:color w:val="auto"/>
              </w:rPr>
            </w:pPr>
            <w:r>
              <w:rPr>
                <w:rFonts w:ascii="宋体" w:hAnsi="宋体" w:eastAsia="宋体" w:cs="Times New Roman"/>
                <w:color w:val="auto"/>
              </w:rPr>
              <w:t>李彦和屯</w:t>
            </w:r>
          </w:p>
        </w:tc>
        <w:tc>
          <w:tcPr>
            <w:tcW w:w="810" w:type="dxa"/>
            <w:vMerge w:val="continue"/>
            <w:tcBorders>
              <w:tl2br w:val="nil"/>
              <w:tr2bl w:val="nil"/>
            </w:tcBorders>
            <w:vAlign w:val="center"/>
          </w:tcPr>
          <w:p w14:paraId="2DB3D1F3">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668A1F48">
            <w:pPr>
              <w:jc w:val="center"/>
              <w:rPr>
                <w:rFonts w:ascii="宋体" w:hAnsi="宋体" w:eastAsia="宋体" w:cs="Times New Roman"/>
                <w:color w:val="auto"/>
              </w:rPr>
            </w:pPr>
            <w:r>
              <w:rPr>
                <w:rFonts w:ascii="宋体" w:hAnsi="宋体" w:eastAsia="宋体" w:cs="Times New Roman"/>
                <w:color w:val="auto"/>
              </w:rPr>
              <w:t>0.275705</w:t>
            </w:r>
          </w:p>
        </w:tc>
        <w:tc>
          <w:tcPr>
            <w:tcW w:w="794" w:type="dxa"/>
            <w:tcBorders>
              <w:bottom w:val="single" w:color="auto" w:sz="4" w:space="0"/>
              <w:tl2br w:val="nil"/>
              <w:tr2bl w:val="nil"/>
            </w:tcBorders>
            <w:vAlign w:val="center"/>
          </w:tcPr>
          <w:p w14:paraId="5BDEFC59">
            <w:pPr>
              <w:jc w:val="right"/>
              <w:textAlignment w:val="center"/>
              <w:rPr>
                <w:rFonts w:ascii="宋体" w:hAnsi="宋体" w:eastAsia="宋体" w:cs="Times New Roman"/>
                <w:color w:val="auto"/>
              </w:rPr>
            </w:pPr>
            <w:r>
              <w:rPr>
                <w:rFonts w:ascii="宋体" w:hAnsi="宋体" w:eastAsia="宋体" w:cs="Times New Roman"/>
                <w:color w:val="auto"/>
                <w:lang w:bidi="ar"/>
              </w:rPr>
              <w:t xml:space="preserve">0.345 </w:t>
            </w:r>
          </w:p>
        </w:tc>
        <w:tc>
          <w:tcPr>
            <w:tcW w:w="1262" w:type="dxa"/>
            <w:tcBorders>
              <w:bottom w:val="single" w:color="auto" w:sz="4" w:space="0"/>
              <w:tl2br w:val="nil"/>
              <w:tr2bl w:val="nil"/>
            </w:tcBorders>
            <w:vAlign w:val="center"/>
          </w:tcPr>
          <w:p w14:paraId="1483D174">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200710EE">
            <w:pPr>
              <w:jc w:val="center"/>
              <w:rPr>
                <w:rFonts w:ascii="宋体" w:hAnsi="宋体" w:eastAsia="宋体" w:cs="Times New Roman"/>
                <w:color w:val="auto"/>
              </w:rPr>
            </w:pPr>
            <w:r>
              <w:rPr>
                <w:rFonts w:ascii="宋体" w:hAnsi="宋体" w:eastAsia="宋体" w:cs="Times New Roman"/>
                <w:color w:val="auto"/>
              </w:rPr>
              <w:t>31.2757</w:t>
            </w:r>
          </w:p>
        </w:tc>
        <w:tc>
          <w:tcPr>
            <w:tcW w:w="836" w:type="dxa"/>
            <w:tcBorders>
              <w:bottom w:val="single" w:color="auto" w:sz="4" w:space="0"/>
              <w:tl2br w:val="nil"/>
              <w:tr2bl w:val="nil"/>
            </w:tcBorders>
            <w:vAlign w:val="center"/>
          </w:tcPr>
          <w:p w14:paraId="4A21405E">
            <w:pPr>
              <w:jc w:val="right"/>
              <w:textAlignment w:val="center"/>
              <w:rPr>
                <w:rFonts w:ascii="宋体" w:hAnsi="宋体" w:eastAsia="宋体" w:cs="Times New Roman"/>
                <w:color w:val="auto"/>
              </w:rPr>
            </w:pPr>
            <w:r>
              <w:rPr>
                <w:rFonts w:ascii="宋体" w:hAnsi="宋体" w:eastAsia="宋体" w:cs="Times New Roman"/>
                <w:color w:val="auto"/>
                <w:lang w:bidi="ar"/>
              </w:rPr>
              <w:t xml:space="preserve">39.095 </w:t>
            </w:r>
          </w:p>
        </w:tc>
        <w:tc>
          <w:tcPr>
            <w:tcW w:w="830" w:type="dxa"/>
            <w:tcBorders>
              <w:bottom w:val="single" w:color="auto" w:sz="4" w:space="0"/>
              <w:tl2br w:val="nil"/>
              <w:tr2bl w:val="nil"/>
            </w:tcBorders>
            <w:vAlign w:val="center"/>
          </w:tcPr>
          <w:p w14:paraId="78AF420B">
            <w:pPr>
              <w:jc w:val="center"/>
              <w:rPr>
                <w:rFonts w:ascii="宋体" w:hAnsi="宋体" w:eastAsia="宋体" w:cs="Times New Roman"/>
                <w:color w:val="auto"/>
              </w:rPr>
            </w:pPr>
            <w:r>
              <w:rPr>
                <w:rFonts w:ascii="宋体" w:hAnsi="宋体" w:eastAsia="宋体" w:cs="Times New Roman"/>
                <w:color w:val="auto"/>
              </w:rPr>
              <w:t>达标</w:t>
            </w:r>
          </w:p>
        </w:tc>
      </w:tr>
      <w:tr w14:paraId="1E24E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7CDBB33D">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1378345B">
            <w:pPr>
              <w:jc w:val="center"/>
              <w:rPr>
                <w:rFonts w:ascii="宋体" w:hAnsi="宋体" w:eastAsia="宋体" w:cs="Times New Roman"/>
                <w:color w:val="auto"/>
              </w:rPr>
            </w:pPr>
            <w:r>
              <w:rPr>
                <w:rFonts w:ascii="宋体" w:hAnsi="宋体" w:eastAsia="宋体" w:cs="Times New Roman"/>
                <w:color w:val="auto"/>
              </w:rPr>
              <w:t>华南屯</w:t>
            </w:r>
          </w:p>
        </w:tc>
        <w:tc>
          <w:tcPr>
            <w:tcW w:w="810" w:type="dxa"/>
            <w:vMerge w:val="continue"/>
            <w:tcBorders>
              <w:tl2br w:val="nil"/>
              <w:tr2bl w:val="nil"/>
            </w:tcBorders>
            <w:vAlign w:val="center"/>
          </w:tcPr>
          <w:p w14:paraId="057D5104">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399C4A5">
            <w:pPr>
              <w:jc w:val="center"/>
              <w:rPr>
                <w:rFonts w:ascii="宋体" w:hAnsi="宋体" w:eastAsia="宋体" w:cs="Times New Roman"/>
                <w:color w:val="auto"/>
              </w:rPr>
            </w:pPr>
            <w:r>
              <w:rPr>
                <w:rFonts w:ascii="宋体" w:hAnsi="宋体" w:eastAsia="宋体" w:cs="Times New Roman"/>
                <w:color w:val="auto"/>
              </w:rPr>
              <w:t>0.309452</w:t>
            </w:r>
          </w:p>
        </w:tc>
        <w:tc>
          <w:tcPr>
            <w:tcW w:w="794" w:type="dxa"/>
            <w:tcBorders>
              <w:bottom w:val="single" w:color="auto" w:sz="4" w:space="0"/>
              <w:tl2br w:val="nil"/>
              <w:tr2bl w:val="nil"/>
            </w:tcBorders>
            <w:vAlign w:val="center"/>
          </w:tcPr>
          <w:p w14:paraId="2D19BEA4">
            <w:pPr>
              <w:jc w:val="right"/>
              <w:textAlignment w:val="center"/>
              <w:rPr>
                <w:rFonts w:ascii="宋体" w:hAnsi="宋体" w:eastAsia="宋体" w:cs="Times New Roman"/>
                <w:color w:val="auto"/>
              </w:rPr>
            </w:pPr>
            <w:r>
              <w:rPr>
                <w:rFonts w:ascii="宋体" w:hAnsi="宋体" w:eastAsia="宋体" w:cs="Times New Roman"/>
                <w:color w:val="auto"/>
                <w:lang w:bidi="ar"/>
              </w:rPr>
              <w:t xml:space="preserve">0.387 </w:t>
            </w:r>
          </w:p>
        </w:tc>
        <w:tc>
          <w:tcPr>
            <w:tcW w:w="1262" w:type="dxa"/>
            <w:tcBorders>
              <w:bottom w:val="single" w:color="auto" w:sz="4" w:space="0"/>
              <w:tl2br w:val="nil"/>
              <w:tr2bl w:val="nil"/>
            </w:tcBorders>
            <w:vAlign w:val="center"/>
          </w:tcPr>
          <w:p w14:paraId="4FB3651B">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303A9A3F">
            <w:pPr>
              <w:jc w:val="center"/>
              <w:rPr>
                <w:rFonts w:ascii="宋体" w:hAnsi="宋体" w:eastAsia="宋体" w:cs="Times New Roman"/>
                <w:color w:val="auto"/>
              </w:rPr>
            </w:pPr>
            <w:r>
              <w:rPr>
                <w:rFonts w:ascii="宋体" w:hAnsi="宋体" w:eastAsia="宋体" w:cs="Times New Roman"/>
                <w:color w:val="auto"/>
              </w:rPr>
              <w:t>31.3095</w:t>
            </w:r>
          </w:p>
        </w:tc>
        <w:tc>
          <w:tcPr>
            <w:tcW w:w="836" w:type="dxa"/>
            <w:tcBorders>
              <w:bottom w:val="single" w:color="auto" w:sz="4" w:space="0"/>
              <w:tl2br w:val="nil"/>
              <w:tr2bl w:val="nil"/>
            </w:tcBorders>
            <w:vAlign w:val="center"/>
          </w:tcPr>
          <w:p w14:paraId="533C29C5">
            <w:pPr>
              <w:jc w:val="right"/>
              <w:textAlignment w:val="center"/>
              <w:rPr>
                <w:rFonts w:ascii="宋体" w:hAnsi="宋体" w:eastAsia="宋体" w:cs="Times New Roman"/>
                <w:color w:val="auto"/>
              </w:rPr>
            </w:pPr>
            <w:r>
              <w:rPr>
                <w:rFonts w:ascii="宋体" w:hAnsi="宋体" w:eastAsia="宋体" w:cs="Times New Roman"/>
                <w:color w:val="auto"/>
                <w:lang w:bidi="ar"/>
              </w:rPr>
              <w:t xml:space="preserve">39.137 </w:t>
            </w:r>
          </w:p>
        </w:tc>
        <w:tc>
          <w:tcPr>
            <w:tcW w:w="830" w:type="dxa"/>
            <w:tcBorders>
              <w:bottom w:val="single" w:color="auto" w:sz="4" w:space="0"/>
              <w:tl2br w:val="nil"/>
              <w:tr2bl w:val="nil"/>
            </w:tcBorders>
            <w:vAlign w:val="center"/>
          </w:tcPr>
          <w:p w14:paraId="461B3DF6">
            <w:pPr>
              <w:jc w:val="center"/>
              <w:rPr>
                <w:rFonts w:ascii="宋体" w:hAnsi="宋体" w:eastAsia="宋体" w:cs="Times New Roman"/>
                <w:color w:val="auto"/>
              </w:rPr>
            </w:pPr>
            <w:r>
              <w:rPr>
                <w:rFonts w:ascii="宋体" w:hAnsi="宋体" w:eastAsia="宋体" w:cs="Times New Roman"/>
                <w:color w:val="auto"/>
              </w:rPr>
              <w:t>达标</w:t>
            </w:r>
          </w:p>
        </w:tc>
      </w:tr>
      <w:tr w14:paraId="411A1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8AE77F0">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283BE032">
            <w:pPr>
              <w:jc w:val="center"/>
              <w:rPr>
                <w:rFonts w:ascii="宋体" w:hAnsi="宋体" w:eastAsia="宋体" w:cs="Times New Roman"/>
                <w:color w:val="auto"/>
              </w:rPr>
            </w:pPr>
            <w:r>
              <w:rPr>
                <w:rFonts w:ascii="宋体" w:hAnsi="宋体" w:eastAsia="宋体" w:cs="Times New Roman"/>
                <w:color w:val="auto"/>
              </w:rPr>
              <w:t>小欧力马屯</w:t>
            </w:r>
          </w:p>
        </w:tc>
        <w:tc>
          <w:tcPr>
            <w:tcW w:w="810" w:type="dxa"/>
            <w:vMerge w:val="continue"/>
            <w:tcBorders>
              <w:tl2br w:val="nil"/>
              <w:tr2bl w:val="nil"/>
            </w:tcBorders>
            <w:vAlign w:val="center"/>
          </w:tcPr>
          <w:p w14:paraId="1C14A5DF">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5F2C2F55">
            <w:pPr>
              <w:jc w:val="center"/>
              <w:rPr>
                <w:rFonts w:ascii="宋体" w:hAnsi="宋体" w:eastAsia="宋体" w:cs="Times New Roman"/>
                <w:color w:val="auto"/>
              </w:rPr>
            </w:pPr>
            <w:r>
              <w:rPr>
                <w:rFonts w:ascii="宋体" w:hAnsi="宋体" w:eastAsia="宋体" w:cs="Times New Roman"/>
                <w:color w:val="auto"/>
              </w:rPr>
              <w:t>0.319446</w:t>
            </w:r>
          </w:p>
        </w:tc>
        <w:tc>
          <w:tcPr>
            <w:tcW w:w="794" w:type="dxa"/>
            <w:tcBorders>
              <w:bottom w:val="single" w:color="auto" w:sz="4" w:space="0"/>
              <w:tl2br w:val="nil"/>
              <w:tr2bl w:val="nil"/>
            </w:tcBorders>
            <w:vAlign w:val="center"/>
          </w:tcPr>
          <w:p w14:paraId="3D20A91E">
            <w:pPr>
              <w:jc w:val="right"/>
              <w:textAlignment w:val="center"/>
              <w:rPr>
                <w:rFonts w:ascii="宋体" w:hAnsi="宋体" w:eastAsia="宋体" w:cs="Times New Roman"/>
                <w:color w:val="auto"/>
              </w:rPr>
            </w:pPr>
            <w:r>
              <w:rPr>
                <w:rFonts w:ascii="宋体" w:hAnsi="宋体" w:eastAsia="宋体" w:cs="Times New Roman"/>
                <w:color w:val="auto"/>
                <w:lang w:bidi="ar"/>
              </w:rPr>
              <w:t xml:space="preserve">0.399 </w:t>
            </w:r>
          </w:p>
        </w:tc>
        <w:tc>
          <w:tcPr>
            <w:tcW w:w="1262" w:type="dxa"/>
            <w:tcBorders>
              <w:bottom w:val="single" w:color="auto" w:sz="4" w:space="0"/>
              <w:tl2br w:val="nil"/>
              <w:tr2bl w:val="nil"/>
            </w:tcBorders>
            <w:vAlign w:val="center"/>
          </w:tcPr>
          <w:p w14:paraId="2904CA8D">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37DB5738">
            <w:pPr>
              <w:jc w:val="center"/>
              <w:rPr>
                <w:rFonts w:ascii="宋体" w:hAnsi="宋体" w:eastAsia="宋体" w:cs="Times New Roman"/>
                <w:color w:val="auto"/>
              </w:rPr>
            </w:pPr>
            <w:r>
              <w:rPr>
                <w:rFonts w:ascii="宋体" w:hAnsi="宋体" w:eastAsia="宋体" w:cs="Times New Roman"/>
                <w:color w:val="auto"/>
              </w:rPr>
              <w:t>31.3194</w:t>
            </w:r>
          </w:p>
        </w:tc>
        <w:tc>
          <w:tcPr>
            <w:tcW w:w="836" w:type="dxa"/>
            <w:tcBorders>
              <w:bottom w:val="single" w:color="auto" w:sz="4" w:space="0"/>
              <w:tl2br w:val="nil"/>
              <w:tr2bl w:val="nil"/>
            </w:tcBorders>
            <w:vAlign w:val="center"/>
          </w:tcPr>
          <w:p w14:paraId="74ADCA92">
            <w:pPr>
              <w:jc w:val="right"/>
              <w:textAlignment w:val="center"/>
              <w:rPr>
                <w:rFonts w:ascii="宋体" w:hAnsi="宋体" w:eastAsia="宋体" w:cs="Times New Roman"/>
                <w:color w:val="auto"/>
              </w:rPr>
            </w:pPr>
            <w:r>
              <w:rPr>
                <w:rFonts w:ascii="宋体" w:hAnsi="宋体" w:eastAsia="宋体" w:cs="Times New Roman"/>
                <w:color w:val="auto"/>
                <w:lang w:bidi="ar"/>
              </w:rPr>
              <w:t xml:space="preserve">39.149 </w:t>
            </w:r>
          </w:p>
        </w:tc>
        <w:tc>
          <w:tcPr>
            <w:tcW w:w="830" w:type="dxa"/>
            <w:tcBorders>
              <w:bottom w:val="single" w:color="auto" w:sz="4" w:space="0"/>
              <w:tl2br w:val="nil"/>
              <w:tr2bl w:val="nil"/>
            </w:tcBorders>
            <w:vAlign w:val="center"/>
          </w:tcPr>
          <w:p w14:paraId="4A412AF7">
            <w:pPr>
              <w:jc w:val="center"/>
              <w:rPr>
                <w:rFonts w:ascii="宋体" w:hAnsi="宋体" w:eastAsia="宋体" w:cs="Times New Roman"/>
                <w:color w:val="auto"/>
              </w:rPr>
            </w:pPr>
            <w:r>
              <w:rPr>
                <w:rFonts w:ascii="宋体" w:hAnsi="宋体" w:eastAsia="宋体" w:cs="Times New Roman"/>
                <w:color w:val="auto"/>
              </w:rPr>
              <w:t>达标</w:t>
            </w:r>
          </w:p>
        </w:tc>
      </w:tr>
      <w:tr w14:paraId="5AFCF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21DDF9DA">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BC6E401">
            <w:pPr>
              <w:jc w:val="center"/>
              <w:rPr>
                <w:rFonts w:ascii="宋体" w:hAnsi="宋体" w:eastAsia="宋体" w:cs="Times New Roman"/>
                <w:color w:val="auto"/>
              </w:rPr>
            </w:pPr>
            <w:r>
              <w:rPr>
                <w:rFonts w:ascii="宋体" w:hAnsi="宋体" w:eastAsia="宋体" w:cs="Times New Roman"/>
                <w:color w:val="auto"/>
              </w:rPr>
              <w:t>立功村</w:t>
            </w:r>
          </w:p>
        </w:tc>
        <w:tc>
          <w:tcPr>
            <w:tcW w:w="810" w:type="dxa"/>
            <w:vMerge w:val="continue"/>
            <w:tcBorders>
              <w:tl2br w:val="nil"/>
              <w:tr2bl w:val="nil"/>
            </w:tcBorders>
            <w:vAlign w:val="center"/>
          </w:tcPr>
          <w:p w14:paraId="7825E2F6">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6080E715">
            <w:pPr>
              <w:jc w:val="center"/>
              <w:rPr>
                <w:rFonts w:ascii="宋体" w:hAnsi="宋体" w:eastAsia="宋体" w:cs="Times New Roman"/>
                <w:color w:val="auto"/>
              </w:rPr>
            </w:pPr>
            <w:r>
              <w:rPr>
                <w:rFonts w:ascii="宋体" w:hAnsi="宋体" w:eastAsia="宋体" w:cs="Times New Roman"/>
                <w:color w:val="auto"/>
              </w:rPr>
              <w:t>0.25702</w:t>
            </w:r>
          </w:p>
        </w:tc>
        <w:tc>
          <w:tcPr>
            <w:tcW w:w="794" w:type="dxa"/>
            <w:tcBorders>
              <w:bottom w:val="single" w:color="auto" w:sz="4" w:space="0"/>
              <w:tl2br w:val="nil"/>
              <w:tr2bl w:val="nil"/>
            </w:tcBorders>
            <w:vAlign w:val="center"/>
          </w:tcPr>
          <w:p w14:paraId="4C2E0A3D">
            <w:pPr>
              <w:jc w:val="right"/>
              <w:textAlignment w:val="center"/>
              <w:rPr>
                <w:rFonts w:ascii="宋体" w:hAnsi="宋体" w:eastAsia="宋体" w:cs="Times New Roman"/>
                <w:color w:val="auto"/>
              </w:rPr>
            </w:pPr>
            <w:r>
              <w:rPr>
                <w:rFonts w:ascii="宋体" w:hAnsi="宋体" w:eastAsia="宋体" w:cs="Times New Roman"/>
                <w:color w:val="auto"/>
                <w:lang w:bidi="ar"/>
              </w:rPr>
              <w:t xml:space="preserve">0.321 </w:t>
            </w:r>
          </w:p>
        </w:tc>
        <w:tc>
          <w:tcPr>
            <w:tcW w:w="1262" w:type="dxa"/>
            <w:tcBorders>
              <w:bottom w:val="single" w:color="auto" w:sz="4" w:space="0"/>
              <w:tl2br w:val="nil"/>
              <w:tr2bl w:val="nil"/>
            </w:tcBorders>
            <w:vAlign w:val="center"/>
          </w:tcPr>
          <w:p w14:paraId="1D4B986F">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78239EBB">
            <w:pPr>
              <w:jc w:val="center"/>
              <w:rPr>
                <w:rFonts w:ascii="宋体" w:hAnsi="宋体" w:eastAsia="宋体" w:cs="Times New Roman"/>
                <w:color w:val="auto"/>
              </w:rPr>
            </w:pPr>
            <w:r>
              <w:rPr>
                <w:rFonts w:ascii="宋体" w:hAnsi="宋体" w:eastAsia="宋体" w:cs="Times New Roman"/>
                <w:color w:val="auto"/>
              </w:rPr>
              <w:t>31.257</w:t>
            </w:r>
          </w:p>
        </w:tc>
        <w:tc>
          <w:tcPr>
            <w:tcW w:w="836" w:type="dxa"/>
            <w:tcBorders>
              <w:bottom w:val="single" w:color="auto" w:sz="4" w:space="0"/>
              <w:tl2br w:val="nil"/>
              <w:tr2bl w:val="nil"/>
            </w:tcBorders>
            <w:vAlign w:val="center"/>
          </w:tcPr>
          <w:p w14:paraId="098D65EC">
            <w:pPr>
              <w:jc w:val="right"/>
              <w:textAlignment w:val="center"/>
              <w:rPr>
                <w:rFonts w:ascii="宋体" w:hAnsi="宋体" w:eastAsia="宋体" w:cs="Times New Roman"/>
                <w:color w:val="auto"/>
              </w:rPr>
            </w:pPr>
            <w:r>
              <w:rPr>
                <w:rFonts w:ascii="宋体" w:hAnsi="宋体" w:eastAsia="宋体" w:cs="Times New Roman"/>
                <w:color w:val="auto"/>
                <w:lang w:bidi="ar"/>
              </w:rPr>
              <w:t xml:space="preserve">39.071 </w:t>
            </w:r>
          </w:p>
        </w:tc>
        <w:tc>
          <w:tcPr>
            <w:tcW w:w="830" w:type="dxa"/>
            <w:tcBorders>
              <w:bottom w:val="single" w:color="auto" w:sz="4" w:space="0"/>
              <w:tl2br w:val="nil"/>
              <w:tr2bl w:val="nil"/>
            </w:tcBorders>
            <w:vAlign w:val="center"/>
          </w:tcPr>
          <w:p w14:paraId="108BB720">
            <w:pPr>
              <w:jc w:val="center"/>
              <w:rPr>
                <w:rFonts w:ascii="宋体" w:hAnsi="宋体" w:eastAsia="宋体" w:cs="Times New Roman"/>
                <w:color w:val="auto"/>
              </w:rPr>
            </w:pPr>
            <w:r>
              <w:rPr>
                <w:rFonts w:ascii="宋体" w:hAnsi="宋体" w:eastAsia="宋体" w:cs="Times New Roman"/>
                <w:color w:val="auto"/>
              </w:rPr>
              <w:t>达标</w:t>
            </w:r>
          </w:p>
        </w:tc>
      </w:tr>
      <w:tr w14:paraId="75350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586AF75">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B05D8A6">
            <w:pPr>
              <w:jc w:val="center"/>
              <w:rPr>
                <w:rFonts w:ascii="宋体" w:hAnsi="宋体" w:eastAsia="宋体" w:cs="Times New Roman"/>
                <w:color w:val="auto"/>
              </w:rPr>
            </w:pPr>
            <w:r>
              <w:rPr>
                <w:rFonts w:ascii="宋体" w:hAnsi="宋体" w:eastAsia="宋体" w:cs="Times New Roman"/>
                <w:color w:val="auto"/>
              </w:rPr>
              <w:t>后欧力马屯</w:t>
            </w:r>
          </w:p>
        </w:tc>
        <w:tc>
          <w:tcPr>
            <w:tcW w:w="810" w:type="dxa"/>
            <w:vMerge w:val="continue"/>
            <w:tcBorders>
              <w:tl2br w:val="nil"/>
              <w:tr2bl w:val="nil"/>
            </w:tcBorders>
            <w:vAlign w:val="center"/>
          </w:tcPr>
          <w:p w14:paraId="7A55142B">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2CF3BAD8">
            <w:pPr>
              <w:jc w:val="center"/>
              <w:rPr>
                <w:rFonts w:ascii="宋体" w:hAnsi="宋体" w:eastAsia="宋体" w:cs="Times New Roman"/>
                <w:color w:val="auto"/>
              </w:rPr>
            </w:pPr>
            <w:r>
              <w:rPr>
                <w:rFonts w:ascii="宋体" w:hAnsi="宋体" w:eastAsia="宋体" w:cs="Times New Roman"/>
                <w:color w:val="auto"/>
              </w:rPr>
              <w:t>0.706549</w:t>
            </w:r>
          </w:p>
        </w:tc>
        <w:tc>
          <w:tcPr>
            <w:tcW w:w="794" w:type="dxa"/>
            <w:tcBorders>
              <w:bottom w:val="single" w:color="auto" w:sz="4" w:space="0"/>
              <w:tl2br w:val="nil"/>
              <w:tr2bl w:val="nil"/>
            </w:tcBorders>
            <w:vAlign w:val="center"/>
          </w:tcPr>
          <w:p w14:paraId="1D53C8D0">
            <w:pPr>
              <w:jc w:val="right"/>
              <w:textAlignment w:val="center"/>
              <w:rPr>
                <w:rFonts w:ascii="宋体" w:hAnsi="宋体" w:eastAsia="宋体" w:cs="Times New Roman"/>
                <w:color w:val="auto"/>
              </w:rPr>
            </w:pPr>
            <w:r>
              <w:rPr>
                <w:rFonts w:ascii="宋体" w:hAnsi="宋体" w:eastAsia="宋体" w:cs="Times New Roman"/>
                <w:color w:val="auto"/>
                <w:lang w:bidi="ar"/>
              </w:rPr>
              <w:t xml:space="preserve">0.883 </w:t>
            </w:r>
          </w:p>
        </w:tc>
        <w:tc>
          <w:tcPr>
            <w:tcW w:w="1262" w:type="dxa"/>
            <w:tcBorders>
              <w:bottom w:val="single" w:color="auto" w:sz="4" w:space="0"/>
              <w:tl2br w:val="nil"/>
              <w:tr2bl w:val="nil"/>
            </w:tcBorders>
            <w:vAlign w:val="center"/>
          </w:tcPr>
          <w:p w14:paraId="324B8CF5">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176B7217">
            <w:pPr>
              <w:jc w:val="center"/>
              <w:rPr>
                <w:rFonts w:ascii="宋体" w:hAnsi="宋体" w:eastAsia="宋体" w:cs="Times New Roman"/>
                <w:color w:val="auto"/>
              </w:rPr>
            </w:pPr>
            <w:r>
              <w:rPr>
                <w:rFonts w:ascii="宋体" w:hAnsi="宋体" w:eastAsia="宋体" w:cs="Times New Roman"/>
                <w:color w:val="auto"/>
              </w:rPr>
              <w:t>31.7065</w:t>
            </w:r>
          </w:p>
        </w:tc>
        <w:tc>
          <w:tcPr>
            <w:tcW w:w="836" w:type="dxa"/>
            <w:tcBorders>
              <w:bottom w:val="single" w:color="auto" w:sz="4" w:space="0"/>
              <w:tl2br w:val="nil"/>
              <w:tr2bl w:val="nil"/>
            </w:tcBorders>
            <w:vAlign w:val="center"/>
          </w:tcPr>
          <w:p w14:paraId="1004A317">
            <w:pPr>
              <w:jc w:val="right"/>
              <w:textAlignment w:val="center"/>
              <w:rPr>
                <w:rFonts w:ascii="宋体" w:hAnsi="宋体" w:eastAsia="宋体" w:cs="Times New Roman"/>
                <w:color w:val="auto"/>
              </w:rPr>
            </w:pPr>
            <w:r>
              <w:rPr>
                <w:rFonts w:ascii="宋体" w:hAnsi="宋体" w:eastAsia="宋体" w:cs="Times New Roman"/>
                <w:color w:val="auto"/>
                <w:lang w:bidi="ar"/>
              </w:rPr>
              <w:t xml:space="preserve">39.633 </w:t>
            </w:r>
          </w:p>
        </w:tc>
        <w:tc>
          <w:tcPr>
            <w:tcW w:w="830" w:type="dxa"/>
            <w:tcBorders>
              <w:bottom w:val="single" w:color="auto" w:sz="4" w:space="0"/>
              <w:tl2br w:val="nil"/>
              <w:tr2bl w:val="nil"/>
            </w:tcBorders>
            <w:vAlign w:val="center"/>
          </w:tcPr>
          <w:p w14:paraId="1CF16ED1">
            <w:pPr>
              <w:jc w:val="center"/>
              <w:rPr>
                <w:rFonts w:ascii="宋体" w:hAnsi="宋体" w:eastAsia="宋体" w:cs="Times New Roman"/>
                <w:color w:val="auto"/>
              </w:rPr>
            </w:pPr>
            <w:r>
              <w:rPr>
                <w:rFonts w:ascii="宋体" w:hAnsi="宋体" w:eastAsia="宋体" w:cs="Times New Roman"/>
                <w:color w:val="auto"/>
              </w:rPr>
              <w:t>达标</w:t>
            </w:r>
          </w:p>
        </w:tc>
      </w:tr>
      <w:tr w14:paraId="17EF2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ECDF6E0">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E84A481">
            <w:pPr>
              <w:jc w:val="center"/>
              <w:rPr>
                <w:rFonts w:ascii="宋体" w:hAnsi="宋体" w:eastAsia="宋体" w:cs="Times New Roman"/>
                <w:color w:val="auto"/>
              </w:rPr>
            </w:pPr>
            <w:r>
              <w:rPr>
                <w:rFonts w:ascii="宋体" w:hAnsi="宋体" w:eastAsia="宋体" w:cs="Times New Roman"/>
                <w:color w:val="auto"/>
              </w:rPr>
              <w:t>王家园子屯</w:t>
            </w:r>
          </w:p>
        </w:tc>
        <w:tc>
          <w:tcPr>
            <w:tcW w:w="810" w:type="dxa"/>
            <w:vMerge w:val="continue"/>
            <w:tcBorders>
              <w:tl2br w:val="nil"/>
              <w:tr2bl w:val="nil"/>
            </w:tcBorders>
            <w:vAlign w:val="center"/>
          </w:tcPr>
          <w:p w14:paraId="11A79406">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64E675A1">
            <w:pPr>
              <w:jc w:val="center"/>
              <w:rPr>
                <w:rFonts w:ascii="宋体" w:hAnsi="宋体" w:eastAsia="宋体" w:cs="Times New Roman"/>
                <w:color w:val="auto"/>
              </w:rPr>
            </w:pPr>
            <w:r>
              <w:rPr>
                <w:rFonts w:ascii="宋体" w:hAnsi="宋体" w:eastAsia="宋体" w:cs="Times New Roman"/>
                <w:color w:val="auto"/>
              </w:rPr>
              <w:t>0.379126</w:t>
            </w:r>
          </w:p>
        </w:tc>
        <w:tc>
          <w:tcPr>
            <w:tcW w:w="794" w:type="dxa"/>
            <w:tcBorders>
              <w:bottom w:val="single" w:color="auto" w:sz="4" w:space="0"/>
              <w:tl2br w:val="nil"/>
              <w:tr2bl w:val="nil"/>
            </w:tcBorders>
            <w:vAlign w:val="center"/>
          </w:tcPr>
          <w:p w14:paraId="783B9E51">
            <w:pPr>
              <w:jc w:val="right"/>
              <w:textAlignment w:val="center"/>
              <w:rPr>
                <w:rFonts w:ascii="宋体" w:hAnsi="宋体" w:eastAsia="宋体" w:cs="Times New Roman"/>
                <w:color w:val="auto"/>
              </w:rPr>
            </w:pPr>
            <w:r>
              <w:rPr>
                <w:rFonts w:ascii="宋体" w:hAnsi="宋体" w:eastAsia="宋体" w:cs="Times New Roman"/>
                <w:color w:val="auto"/>
                <w:lang w:bidi="ar"/>
              </w:rPr>
              <w:t xml:space="preserve">0.474 </w:t>
            </w:r>
          </w:p>
        </w:tc>
        <w:tc>
          <w:tcPr>
            <w:tcW w:w="1262" w:type="dxa"/>
            <w:tcBorders>
              <w:bottom w:val="single" w:color="auto" w:sz="4" w:space="0"/>
              <w:tl2br w:val="nil"/>
              <w:tr2bl w:val="nil"/>
            </w:tcBorders>
            <w:vAlign w:val="center"/>
          </w:tcPr>
          <w:p w14:paraId="22357ACB">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78B490D7">
            <w:pPr>
              <w:jc w:val="center"/>
              <w:rPr>
                <w:rFonts w:ascii="宋体" w:hAnsi="宋体" w:eastAsia="宋体" w:cs="Times New Roman"/>
                <w:color w:val="auto"/>
              </w:rPr>
            </w:pPr>
            <w:r>
              <w:rPr>
                <w:rFonts w:ascii="宋体" w:hAnsi="宋体" w:eastAsia="宋体" w:cs="Times New Roman"/>
                <w:color w:val="auto"/>
              </w:rPr>
              <w:t>31.3791</w:t>
            </w:r>
          </w:p>
        </w:tc>
        <w:tc>
          <w:tcPr>
            <w:tcW w:w="836" w:type="dxa"/>
            <w:tcBorders>
              <w:bottom w:val="single" w:color="auto" w:sz="4" w:space="0"/>
              <w:tl2br w:val="nil"/>
              <w:tr2bl w:val="nil"/>
            </w:tcBorders>
            <w:vAlign w:val="center"/>
          </w:tcPr>
          <w:p w14:paraId="422572CE">
            <w:pPr>
              <w:jc w:val="right"/>
              <w:textAlignment w:val="center"/>
              <w:rPr>
                <w:rFonts w:ascii="宋体" w:hAnsi="宋体" w:eastAsia="宋体" w:cs="Times New Roman"/>
                <w:color w:val="auto"/>
              </w:rPr>
            </w:pPr>
            <w:r>
              <w:rPr>
                <w:rFonts w:ascii="宋体" w:hAnsi="宋体" w:eastAsia="宋体" w:cs="Times New Roman"/>
                <w:color w:val="auto"/>
                <w:lang w:bidi="ar"/>
              </w:rPr>
              <w:t xml:space="preserve">39.224 </w:t>
            </w:r>
          </w:p>
        </w:tc>
        <w:tc>
          <w:tcPr>
            <w:tcW w:w="830" w:type="dxa"/>
            <w:tcBorders>
              <w:bottom w:val="single" w:color="auto" w:sz="4" w:space="0"/>
              <w:tl2br w:val="nil"/>
              <w:tr2bl w:val="nil"/>
            </w:tcBorders>
            <w:vAlign w:val="center"/>
          </w:tcPr>
          <w:p w14:paraId="31B2157D">
            <w:pPr>
              <w:jc w:val="center"/>
              <w:rPr>
                <w:rFonts w:ascii="宋体" w:hAnsi="宋体" w:eastAsia="宋体" w:cs="Times New Roman"/>
                <w:color w:val="auto"/>
              </w:rPr>
            </w:pPr>
            <w:r>
              <w:rPr>
                <w:rFonts w:ascii="宋体" w:hAnsi="宋体" w:eastAsia="宋体" w:cs="Times New Roman"/>
                <w:color w:val="auto"/>
              </w:rPr>
              <w:t>达标</w:t>
            </w:r>
          </w:p>
        </w:tc>
      </w:tr>
      <w:tr w14:paraId="7697F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4DF5B2F3">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65DEED4A">
            <w:pPr>
              <w:jc w:val="center"/>
              <w:rPr>
                <w:rFonts w:ascii="宋体" w:hAnsi="宋体" w:eastAsia="宋体" w:cs="Times New Roman"/>
                <w:color w:val="auto"/>
              </w:rPr>
            </w:pPr>
            <w:r>
              <w:rPr>
                <w:rFonts w:ascii="宋体" w:hAnsi="宋体" w:eastAsia="宋体" w:cs="Times New Roman"/>
                <w:color w:val="auto"/>
              </w:rPr>
              <w:t>和平乡</w:t>
            </w:r>
          </w:p>
        </w:tc>
        <w:tc>
          <w:tcPr>
            <w:tcW w:w="810" w:type="dxa"/>
            <w:vMerge w:val="continue"/>
            <w:tcBorders>
              <w:tl2br w:val="nil"/>
              <w:tr2bl w:val="nil"/>
            </w:tcBorders>
            <w:vAlign w:val="center"/>
          </w:tcPr>
          <w:p w14:paraId="344227FE">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69051BA1">
            <w:pPr>
              <w:jc w:val="center"/>
              <w:rPr>
                <w:rFonts w:ascii="宋体" w:hAnsi="宋体" w:eastAsia="宋体" w:cs="Times New Roman"/>
                <w:color w:val="auto"/>
              </w:rPr>
            </w:pPr>
            <w:r>
              <w:rPr>
                <w:rFonts w:ascii="宋体" w:hAnsi="宋体" w:eastAsia="宋体" w:cs="Times New Roman"/>
                <w:color w:val="auto"/>
              </w:rPr>
              <w:t>0.179635</w:t>
            </w:r>
          </w:p>
        </w:tc>
        <w:tc>
          <w:tcPr>
            <w:tcW w:w="794" w:type="dxa"/>
            <w:tcBorders>
              <w:bottom w:val="single" w:color="auto" w:sz="4" w:space="0"/>
              <w:tl2br w:val="nil"/>
              <w:tr2bl w:val="nil"/>
            </w:tcBorders>
            <w:vAlign w:val="center"/>
          </w:tcPr>
          <w:p w14:paraId="0401DFF6">
            <w:pPr>
              <w:jc w:val="right"/>
              <w:textAlignment w:val="center"/>
              <w:rPr>
                <w:rFonts w:ascii="宋体" w:hAnsi="宋体" w:eastAsia="宋体" w:cs="Times New Roman"/>
                <w:color w:val="auto"/>
              </w:rPr>
            </w:pPr>
            <w:r>
              <w:rPr>
                <w:rFonts w:ascii="宋体" w:hAnsi="宋体" w:eastAsia="宋体" w:cs="Times New Roman"/>
                <w:color w:val="auto"/>
                <w:lang w:bidi="ar"/>
              </w:rPr>
              <w:t xml:space="preserve">0.225 </w:t>
            </w:r>
          </w:p>
        </w:tc>
        <w:tc>
          <w:tcPr>
            <w:tcW w:w="1262" w:type="dxa"/>
            <w:tcBorders>
              <w:bottom w:val="single" w:color="auto" w:sz="4" w:space="0"/>
              <w:tl2br w:val="nil"/>
              <w:tr2bl w:val="nil"/>
            </w:tcBorders>
            <w:vAlign w:val="center"/>
          </w:tcPr>
          <w:p w14:paraId="56F98621">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3D9B8ECF">
            <w:pPr>
              <w:jc w:val="center"/>
              <w:rPr>
                <w:rFonts w:ascii="宋体" w:hAnsi="宋体" w:eastAsia="宋体" w:cs="Times New Roman"/>
                <w:color w:val="auto"/>
              </w:rPr>
            </w:pPr>
            <w:r>
              <w:rPr>
                <w:rFonts w:ascii="宋体" w:hAnsi="宋体" w:eastAsia="宋体" w:cs="Times New Roman"/>
                <w:color w:val="auto"/>
              </w:rPr>
              <w:t>31.1796</w:t>
            </w:r>
          </w:p>
        </w:tc>
        <w:tc>
          <w:tcPr>
            <w:tcW w:w="836" w:type="dxa"/>
            <w:tcBorders>
              <w:bottom w:val="single" w:color="auto" w:sz="4" w:space="0"/>
              <w:tl2br w:val="nil"/>
              <w:tr2bl w:val="nil"/>
            </w:tcBorders>
            <w:vAlign w:val="center"/>
          </w:tcPr>
          <w:p w14:paraId="13C2677B">
            <w:pPr>
              <w:jc w:val="right"/>
              <w:textAlignment w:val="center"/>
              <w:rPr>
                <w:rFonts w:ascii="宋体" w:hAnsi="宋体" w:eastAsia="宋体" w:cs="Times New Roman"/>
                <w:color w:val="auto"/>
              </w:rPr>
            </w:pPr>
            <w:r>
              <w:rPr>
                <w:rFonts w:ascii="宋体" w:hAnsi="宋体" w:eastAsia="宋体" w:cs="Times New Roman"/>
                <w:color w:val="auto"/>
                <w:lang w:bidi="ar"/>
              </w:rPr>
              <w:t xml:space="preserve">38.975 </w:t>
            </w:r>
          </w:p>
        </w:tc>
        <w:tc>
          <w:tcPr>
            <w:tcW w:w="830" w:type="dxa"/>
            <w:tcBorders>
              <w:bottom w:val="single" w:color="auto" w:sz="4" w:space="0"/>
              <w:tl2br w:val="nil"/>
              <w:tr2bl w:val="nil"/>
            </w:tcBorders>
            <w:vAlign w:val="center"/>
          </w:tcPr>
          <w:p w14:paraId="240889B7">
            <w:pPr>
              <w:jc w:val="center"/>
              <w:rPr>
                <w:rFonts w:ascii="宋体" w:hAnsi="宋体" w:eastAsia="宋体" w:cs="Times New Roman"/>
                <w:color w:val="auto"/>
              </w:rPr>
            </w:pPr>
            <w:r>
              <w:rPr>
                <w:rFonts w:ascii="宋体" w:hAnsi="宋体" w:eastAsia="宋体" w:cs="Times New Roman"/>
                <w:color w:val="auto"/>
              </w:rPr>
              <w:t>达标</w:t>
            </w:r>
          </w:p>
        </w:tc>
      </w:tr>
      <w:tr w14:paraId="336D7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EB2A018">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65B49C26">
            <w:pPr>
              <w:jc w:val="center"/>
              <w:rPr>
                <w:rFonts w:ascii="宋体" w:hAnsi="宋体" w:eastAsia="宋体" w:cs="Times New Roman"/>
                <w:color w:val="auto"/>
              </w:rPr>
            </w:pPr>
            <w:r>
              <w:rPr>
                <w:rFonts w:ascii="宋体" w:hAnsi="宋体" w:eastAsia="宋体" w:cs="Times New Roman"/>
                <w:color w:val="auto"/>
              </w:rPr>
              <w:t>赵家围子屯</w:t>
            </w:r>
          </w:p>
        </w:tc>
        <w:tc>
          <w:tcPr>
            <w:tcW w:w="810" w:type="dxa"/>
            <w:vMerge w:val="continue"/>
            <w:tcBorders>
              <w:tl2br w:val="nil"/>
              <w:tr2bl w:val="nil"/>
            </w:tcBorders>
            <w:vAlign w:val="center"/>
          </w:tcPr>
          <w:p w14:paraId="5CD73911">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47B52428">
            <w:pPr>
              <w:jc w:val="center"/>
              <w:rPr>
                <w:rFonts w:ascii="宋体" w:hAnsi="宋体" w:eastAsia="宋体" w:cs="Times New Roman"/>
                <w:color w:val="auto"/>
              </w:rPr>
            </w:pPr>
            <w:r>
              <w:rPr>
                <w:rFonts w:ascii="宋体" w:hAnsi="宋体" w:eastAsia="宋体" w:cs="Times New Roman"/>
                <w:color w:val="auto"/>
              </w:rPr>
              <w:t>0.180778</w:t>
            </w:r>
          </w:p>
        </w:tc>
        <w:tc>
          <w:tcPr>
            <w:tcW w:w="794" w:type="dxa"/>
            <w:tcBorders>
              <w:bottom w:val="single" w:color="auto" w:sz="4" w:space="0"/>
              <w:tl2br w:val="nil"/>
              <w:tr2bl w:val="nil"/>
            </w:tcBorders>
            <w:vAlign w:val="center"/>
          </w:tcPr>
          <w:p w14:paraId="0B38EA5A">
            <w:pPr>
              <w:jc w:val="right"/>
              <w:textAlignment w:val="center"/>
              <w:rPr>
                <w:rFonts w:ascii="宋体" w:hAnsi="宋体" w:eastAsia="宋体" w:cs="Times New Roman"/>
                <w:color w:val="auto"/>
              </w:rPr>
            </w:pPr>
            <w:r>
              <w:rPr>
                <w:rFonts w:ascii="宋体" w:hAnsi="宋体" w:eastAsia="宋体" w:cs="Times New Roman"/>
                <w:color w:val="auto"/>
                <w:lang w:bidi="ar"/>
              </w:rPr>
              <w:t xml:space="preserve">0.226 </w:t>
            </w:r>
          </w:p>
        </w:tc>
        <w:tc>
          <w:tcPr>
            <w:tcW w:w="1262" w:type="dxa"/>
            <w:tcBorders>
              <w:bottom w:val="single" w:color="auto" w:sz="4" w:space="0"/>
              <w:tl2br w:val="nil"/>
              <w:tr2bl w:val="nil"/>
            </w:tcBorders>
            <w:vAlign w:val="center"/>
          </w:tcPr>
          <w:p w14:paraId="21832DAD">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407C1B6B">
            <w:pPr>
              <w:jc w:val="center"/>
              <w:rPr>
                <w:rFonts w:ascii="宋体" w:hAnsi="宋体" w:eastAsia="宋体" w:cs="Times New Roman"/>
                <w:color w:val="auto"/>
              </w:rPr>
            </w:pPr>
            <w:r>
              <w:rPr>
                <w:rFonts w:ascii="宋体" w:hAnsi="宋体" w:eastAsia="宋体" w:cs="Times New Roman"/>
                <w:color w:val="auto"/>
              </w:rPr>
              <w:t>31.1808</w:t>
            </w:r>
          </w:p>
        </w:tc>
        <w:tc>
          <w:tcPr>
            <w:tcW w:w="836" w:type="dxa"/>
            <w:tcBorders>
              <w:bottom w:val="single" w:color="auto" w:sz="4" w:space="0"/>
              <w:tl2br w:val="nil"/>
              <w:tr2bl w:val="nil"/>
            </w:tcBorders>
            <w:vAlign w:val="center"/>
          </w:tcPr>
          <w:p w14:paraId="74349BFA">
            <w:pPr>
              <w:jc w:val="right"/>
              <w:textAlignment w:val="center"/>
              <w:rPr>
                <w:rFonts w:ascii="宋体" w:hAnsi="宋体" w:eastAsia="宋体" w:cs="Times New Roman"/>
                <w:color w:val="auto"/>
              </w:rPr>
            </w:pPr>
            <w:r>
              <w:rPr>
                <w:rFonts w:ascii="宋体" w:hAnsi="宋体" w:eastAsia="宋体" w:cs="Times New Roman"/>
                <w:color w:val="auto"/>
                <w:lang w:bidi="ar"/>
              </w:rPr>
              <w:t xml:space="preserve">38.976 </w:t>
            </w:r>
          </w:p>
        </w:tc>
        <w:tc>
          <w:tcPr>
            <w:tcW w:w="830" w:type="dxa"/>
            <w:tcBorders>
              <w:bottom w:val="single" w:color="auto" w:sz="4" w:space="0"/>
              <w:tl2br w:val="nil"/>
              <w:tr2bl w:val="nil"/>
            </w:tcBorders>
            <w:vAlign w:val="center"/>
          </w:tcPr>
          <w:p w14:paraId="2150CA4C">
            <w:pPr>
              <w:jc w:val="center"/>
              <w:rPr>
                <w:rFonts w:ascii="宋体" w:hAnsi="宋体" w:eastAsia="宋体" w:cs="Times New Roman"/>
                <w:color w:val="auto"/>
              </w:rPr>
            </w:pPr>
            <w:r>
              <w:rPr>
                <w:rFonts w:ascii="宋体" w:hAnsi="宋体" w:eastAsia="宋体" w:cs="Times New Roman"/>
                <w:color w:val="auto"/>
              </w:rPr>
              <w:t>达标</w:t>
            </w:r>
          </w:p>
        </w:tc>
      </w:tr>
      <w:tr w14:paraId="03FAD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A9A095B">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265A546">
            <w:pPr>
              <w:jc w:val="center"/>
              <w:rPr>
                <w:rFonts w:ascii="宋体" w:hAnsi="宋体" w:eastAsia="宋体" w:cs="Times New Roman"/>
                <w:color w:val="auto"/>
              </w:rPr>
            </w:pPr>
            <w:r>
              <w:rPr>
                <w:rFonts w:ascii="宋体" w:hAnsi="宋体" w:eastAsia="宋体" w:cs="Times New Roman"/>
                <w:color w:val="auto"/>
              </w:rPr>
              <w:t>孙家围子屯</w:t>
            </w:r>
          </w:p>
        </w:tc>
        <w:tc>
          <w:tcPr>
            <w:tcW w:w="810" w:type="dxa"/>
            <w:vMerge w:val="continue"/>
            <w:tcBorders>
              <w:tl2br w:val="nil"/>
              <w:tr2bl w:val="nil"/>
            </w:tcBorders>
            <w:vAlign w:val="center"/>
          </w:tcPr>
          <w:p w14:paraId="208257A2">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4368963A">
            <w:pPr>
              <w:jc w:val="center"/>
              <w:rPr>
                <w:rFonts w:ascii="宋体" w:hAnsi="宋体" w:eastAsia="宋体" w:cs="Times New Roman"/>
                <w:color w:val="auto"/>
              </w:rPr>
            </w:pPr>
            <w:r>
              <w:rPr>
                <w:rFonts w:ascii="宋体" w:hAnsi="宋体" w:eastAsia="宋体" w:cs="Times New Roman"/>
                <w:color w:val="auto"/>
              </w:rPr>
              <w:t>0.136334</w:t>
            </w:r>
          </w:p>
        </w:tc>
        <w:tc>
          <w:tcPr>
            <w:tcW w:w="794" w:type="dxa"/>
            <w:tcBorders>
              <w:bottom w:val="single" w:color="auto" w:sz="4" w:space="0"/>
              <w:tl2br w:val="nil"/>
              <w:tr2bl w:val="nil"/>
            </w:tcBorders>
            <w:vAlign w:val="center"/>
          </w:tcPr>
          <w:p w14:paraId="1E5807A3">
            <w:pPr>
              <w:jc w:val="right"/>
              <w:textAlignment w:val="center"/>
              <w:rPr>
                <w:rFonts w:ascii="宋体" w:hAnsi="宋体" w:eastAsia="宋体" w:cs="Times New Roman"/>
                <w:color w:val="auto"/>
              </w:rPr>
            </w:pPr>
            <w:r>
              <w:rPr>
                <w:rFonts w:ascii="宋体" w:hAnsi="宋体" w:eastAsia="宋体" w:cs="Times New Roman"/>
                <w:color w:val="auto"/>
                <w:lang w:bidi="ar"/>
              </w:rPr>
              <w:t xml:space="preserve">0.170 </w:t>
            </w:r>
          </w:p>
        </w:tc>
        <w:tc>
          <w:tcPr>
            <w:tcW w:w="1262" w:type="dxa"/>
            <w:tcBorders>
              <w:bottom w:val="single" w:color="auto" w:sz="4" w:space="0"/>
              <w:tl2br w:val="nil"/>
              <w:tr2bl w:val="nil"/>
            </w:tcBorders>
            <w:vAlign w:val="center"/>
          </w:tcPr>
          <w:p w14:paraId="3229C684">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07B188AD">
            <w:pPr>
              <w:jc w:val="center"/>
              <w:rPr>
                <w:rFonts w:ascii="宋体" w:hAnsi="宋体" w:eastAsia="宋体" w:cs="Times New Roman"/>
                <w:color w:val="auto"/>
              </w:rPr>
            </w:pPr>
            <w:r>
              <w:rPr>
                <w:rFonts w:ascii="宋体" w:hAnsi="宋体" w:eastAsia="宋体" w:cs="Times New Roman"/>
                <w:color w:val="auto"/>
              </w:rPr>
              <w:t>31.1363</w:t>
            </w:r>
          </w:p>
        </w:tc>
        <w:tc>
          <w:tcPr>
            <w:tcW w:w="836" w:type="dxa"/>
            <w:tcBorders>
              <w:bottom w:val="single" w:color="auto" w:sz="4" w:space="0"/>
              <w:tl2br w:val="nil"/>
              <w:tr2bl w:val="nil"/>
            </w:tcBorders>
            <w:vAlign w:val="center"/>
          </w:tcPr>
          <w:p w14:paraId="40D51CB4">
            <w:pPr>
              <w:jc w:val="right"/>
              <w:textAlignment w:val="center"/>
              <w:rPr>
                <w:rFonts w:ascii="宋体" w:hAnsi="宋体" w:eastAsia="宋体" w:cs="Times New Roman"/>
                <w:color w:val="auto"/>
              </w:rPr>
            </w:pPr>
            <w:r>
              <w:rPr>
                <w:rFonts w:ascii="宋体" w:hAnsi="宋体" w:eastAsia="宋体" w:cs="Times New Roman"/>
                <w:color w:val="auto"/>
                <w:lang w:bidi="ar"/>
              </w:rPr>
              <w:t xml:space="preserve">38.920 </w:t>
            </w:r>
          </w:p>
        </w:tc>
        <w:tc>
          <w:tcPr>
            <w:tcW w:w="830" w:type="dxa"/>
            <w:tcBorders>
              <w:bottom w:val="single" w:color="auto" w:sz="4" w:space="0"/>
              <w:tl2br w:val="nil"/>
              <w:tr2bl w:val="nil"/>
            </w:tcBorders>
            <w:vAlign w:val="center"/>
          </w:tcPr>
          <w:p w14:paraId="4ABB06A6">
            <w:pPr>
              <w:jc w:val="center"/>
              <w:rPr>
                <w:rFonts w:ascii="宋体" w:hAnsi="宋体" w:eastAsia="宋体" w:cs="Times New Roman"/>
                <w:color w:val="auto"/>
              </w:rPr>
            </w:pPr>
            <w:r>
              <w:rPr>
                <w:rFonts w:ascii="宋体" w:hAnsi="宋体" w:eastAsia="宋体" w:cs="Times New Roman"/>
                <w:color w:val="auto"/>
              </w:rPr>
              <w:t>达标</w:t>
            </w:r>
          </w:p>
        </w:tc>
      </w:tr>
      <w:tr w14:paraId="28A09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4A557460">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4B5E53D3">
            <w:pPr>
              <w:jc w:val="center"/>
              <w:rPr>
                <w:rFonts w:ascii="宋体" w:hAnsi="宋体" w:eastAsia="宋体" w:cs="Times New Roman"/>
                <w:color w:val="auto"/>
              </w:rPr>
            </w:pPr>
            <w:r>
              <w:rPr>
                <w:rFonts w:ascii="宋体" w:hAnsi="宋体" w:eastAsia="宋体" w:cs="Times New Roman"/>
                <w:color w:val="auto"/>
              </w:rPr>
              <w:t>对青岗子屯</w:t>
            </w:r>
          </w:p>
        </w:tc>
        <w:tc>
          <w:tcPr>
            <w:tcW w:w="810" w:type="dxa"/>
            <w:vMerge w:val="continue"/>
            <w:tcBorders>
              <w:tl2br w:val="nil"/>
              <w:tr2bl w:val="nil"/>
            </w:tcBorders>
            <w:vAlign w:val="center"/>
          </w:tcPr>
          <w:p w14:paraId="7CC2B465">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548F725D">
            <w:pPr>
              <w:jc w:val="center"/>
              <w:rPr>
                <w:rFonts w:ascii="宋体" w:hAnsi="宋体" w:eastAsia="宋体" w:cs="Times New Roman"/>
                <w:color w:val="auto"/>
              </w:rPr>
            </w:pPr>
            <w:r>
              <w:rPr>
                <w:rFonts w:ascii="宋体" w:hAnsi="宋体" w:eastAsia="宋体" w:cs="Times New Roman"/>
                <w:color w:val="auto"/>
              </w:rPr>
              <w:t>0.424722</w:t>
            </w:r>
          </w:p>
        </w:tc>
        <w:tc>
          <w:tcPr>
            <w:tcW w:w="794" w:type="dxa"/>
            <w:tcBorders>
              <w:bottom w:val="single" w:color="auto" w:sz="4" w:space="0"/>
              <w:tl2br w:val="nil"/>
              <w:tr2bl w:val="nil"/>
            </w:tcBorders>
            <w:vAlign w:val="center"/>
          </w:tcPr>
          <w:p w14:paraId="1E233460">
            <w:pPr>
              <w:jc w:val="right"/>
              <w:textAlignment w:val="center"/>
              <w:rPr>
                <w:rFonts w:ascii="宋体" w:hAnsi="宋体" w:eastAsia="宋体" w:cs="Times New Roman"/>
                <w:color w:val="auto"/>
              </w:rPr>
            </w:pPr>
            <w:r>
              <w:rPr>
                <w:rFonts w:ascii="宋体" w:hAnsi="宋体" w:eastAsia="宋体" w:cs="Times New Roman"/>
                <w:color w:val="auto"/>
                <w:lang w:bidi="ar"/>
              </w:rPr>
              <w:t xml:space="preserve">0.531 </w:t>
            </w:r>
          </w:p>
        </w:tc>
        <w:tc>
          <w:tcPr>
            <w:tcW w:w="1262" w:type="dxa"/>
            <w:tcBorders>
              <w:bottom w:val="single" w:color="auto" w:sz="4" w:space="0"/>
              <w:tl2br w:val="nil"/>
              <w:tr2bl w:val="nil"/>
            </w:tcBorders>
            <w:vAlign w:val="center"/>
          </w:tcPr>
          <w:p w14:paraId="479D1181">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6FB55867">
            <w:pPr>
              <w:jc w:val="center"/>
              <w:rPr>
                <w:rFonts w:ascii="宋体" w:hAnsi="宋体" w:eastAsia="宋体" w:cs="Times New Roman"/>
                <w:color w:val="auto"/>
              </w:rPr>
            </w:pPr>
            <w:r>
              <w:rPr>
                <w:rFonts w:ascii="宋体" w:hAnsi="宋体" w:eastAsia="宋体" w:cs="Times New Roman"/>
                <w:color w:val="auto"/>
              </w:rPr>
              <w:t>31.4247</w:t>
            </w:r>
          </w:p>
        </w:tc>
        <w:tc>
          <w:tcPr>
            <w:tcW w:w="836" w:type="dxa"/>
            <w:tcBorders>
              <w:bottom w:val="single" w:color="auto" w:sz="4" w:space="0"/>
              <w:tl2br w:val="nil"/>
              <w:tr2bl w:val="nil"/>
            </w:tcBorders>
            <w:vAlign w:val="center"/>
          </w:tcPr>
          <w:p w14:paraId="1B0D5FC1">
            <w:pPr>
              <w:jc w:val="right"/>
              <w:textAlignment w:val="center"/>
              <w:rPr>
                <w:rFonts w:ascii="宋体" w:hAnsi="宋体" w:eastAsia="宋体" w:cs="Times New Roman"/>
                <w:color w:val="auto"/>
              </w:rPr>
            </w:pPr>
            <w:r>
              <w:rPr>
                <w:rFonts w:ascii="宋体" w:hAnsi="宋体" w:eastAsia="宋体" w:cs="Times New Roman"/>
                <w:color w:val="auto"/>
                <w:lang w:bidi="ar"/>
              </w:rPr>
              <w:t xml:space="preserve">39.281 </w:t>
            </w:r>
          </w:p>
        </w:tc>
        <w:tc>
          <w:tcPr>
            <w:tcW w:w="830" w:type="dxa"/>
            <w:tcBorders>
              <w:bottom w:val="single" w:color="auto" w:sz="4" w:space="0"/>
              <w:tl2br w:val="nil"/>
              <w:tr2bl w:val="nil"/>
            </w:tcBorders>
            <w:vAlign w:val="center"/>
          </w:tcPr>
          <w:p w14:paraId="6B1F3E29">
            <w:pPr>
              <w:jc w:val="center"/>
              <w:rPr>
                <w:rFonts w:ascii="宋体" w:hAnsi="宋体" w:eastAsia="宋体" w:cs="Times New Roman"/>
                <w:color w:val="auto"/>
              </w:rPr>
            </w:pPr>
            <w:r>
              <w:rPr>
                <w:rFonts w:ascii="宋体" w:hAnsi="宋体" w:eastAsia="宋体" w:cs="Times New Roman"/>
                <w:color w:val="auto"/>
              </w:rPr>
              <w:t>达标</w:t>
            </w:r>
          </w:p>
        </w:tc>
      </w:tr>
      <w:tr w14:paraId="55991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4B16859">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14FCEAE9">
            <w:pPr>
              <w:jc w:val="center"/>
              <w:rPr>
                <w:rFonts w:ascii="宋体" w:hAnsi="宋体" w:eastAsia="宋体" w:cs="Times New Roman"/>
                <w:color w:val="auto"/>
              </w:rPr>
            </w:pPr>
            <w:r>
              <w:rPr>
                <w:rFonts w:ascii="宋体" w:hAnsi="宋体" w:eastAsia="宋体" w:cs="Times New Roman"/>
                <w:color w:val="auto"/>
              </w:rPr>
              <w:t>蒙古屯</w:t>
            </w:r>
          </w:p>
        </w:tc>
        <w:tc>
          <w:tcPr>
            <w:tcW w:w="810" w:type="dxa"/>
            <w:vMerge w:val="continue"/>
            <w:tcBorders>
              <w:tl2br w:val="nil"/>
              <w:tr2bl w:val="nil"/>
            </w:tcBorders>
            <w:vAlign w:val="center"/>
          </w:tcPr>
          <w:p w14:paraId="45CCB88C">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59D0ACC6">
            <w:pPr>
              <w:jc w:val="center"/>
              <w:rPr>
                <w:rFonts w:ascii="宋体" w:hAnsi="宋体" w:eastAsia="宋体" w:cs="Times New Roman"/>
                <w:color w:val="auto"/>
              </w:rPr>
            </w:pPr>
            <w:r>
              <w:rPr>
                <w:rFonts w:ascii="宋体" w:hAnsi="宋体" w:eastAsia="宋体" w:cs="Times New Roman"/>
                <w:color w:val="auto"/>
              </w:rPr>
              <w:t>0.233619</w:t>
            </w:r>
          </w:p>
        </w:tc>
        <w:tc>
          <w:tcPr>
            <w:tcW w:w="794" w:type="dxa"/>
            <w:tcBorders>
              <w:bottom w:val="single" w:color="auto" w:sz="4" w:space="0"/>
              <w:tl2br w:val="nil"/>
              <w:tr2bl w:val="nil"/>
            </w:tcBorders>
            <w:vAlign w:val="center"/>
          </w:tcPr>
          <w:p w14:paraId="35810092">
            <w:pPr>
              <w:jc w:val="right"/>
              <w:textAlignment w:val="center"/>
              <w:rPr>
                <w:rFonts w:ascii="宋体" w:hAnsi="宋体" w:eastAsia="宋体" w:cs="Times New Roman"/>
                <w:color w:val="auto"/>
              </w:rPr>
            </w:pPr>
            <w:r>
              <w:rPr>
                <w:rFonts w:ascii="宋体" w:hAnsi="宋体" w:eastAsia="宋体" w:cs="Times New Roman"/>
                <w:color w:val="auto"/>
                <w:lang w:bidi="ar"/>
              </w:rPr>
              <w:t xml:space="preserve">0.292 </w:t>
            </w:r>
          </w:p>
        </w:tc>
        <w:tc>
          <w:tcPr>
            <w:tcW w:w="1262" w:type="dxa"/>
            <w:tcBorders>
              <w:bottom w:val="single" w:color="auto" w:sz="4" w:space="0"/>
              <w:tl2br w:val="nil"/>
              <w:tr2bl w:val="nil"/>
            </w:tcBorders>
            <w:vAlign w:val="center"/>
          </w:tcPr>
          <w:p w14:paraId="30FFB64F">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5D01C34C">
            <w:pPr>
              <w:jc w:val="center"/>
              <w:rPr>
                <w:rFonts w:ascii="宋体" w:hAnsi="宋体" w:eastAsia="宋体" w:cs="Times New Roman"/>
                <w:color w:val="auto"/>
              </w:rPr>
            </w:pPr>
            <w:r>
              <w:rPr>
                <w:rFonts w:ascii="宋体" w:hAnsi="宋体" w:eastAsia="宋体" w:cs="Times New Roman"/>
                <w:color w:val="auto"/>
              </w:rPr>
              <w:t>31.2336</w:t>
            </w:r>
          </w:p>
        </w:tc>
        <w:tc>
          <w:tcPr>
            <w:tcW w:w="836" w:type="dxa"/>
            <w:tcBorders>
              <w:bottom w:val="single" w:color="auto" w:sz="4" w:space="0"/>
              <w:tl2br w:val="nil"/>
              <w:tr2bl w:val="nil"/>
            </w:tcBorders>
            <w:vAlign w:val="center"/>
          </w:tcPr>
          <w:p w14:paraId="27AE2935">
            <w:pPr>
              <w:jc w:val="right"/>
              <w:textAlignment w:val="center"/>
              <w:rPr>
                <w:rFonts w:ascii="宋体" w:hAnsi="宋体" w:eastAsia="宋体" w:cs="Times New Roman"/>
                <w:color w:val="auto"/>
              </w:rPr>
            </w:pPr>
            <w:r>
              <w:rPr>
                <w:rFonts w:ascii="宋体" w:hAnsi="宋体" w:eastAsia="宋体" w:cs="Times New Roman"/>
                <w:color w:val="auto"/>
                <w:lang w:bidi="ar"/>
              </w:rPr>
              <w:t xml:space="preserve">39.042 </w:t>
            </w:r>
          </w:p>
        </w:tc>
        <w:tc>
          <w:tcPr>
            <w:tcW w:w="830" w:type="dxa"/>
            <w:tcBorders>
              <w:bottom w:val="single" w:color="auto" w:sz="4" w:space="0"/>
              <w:tl2br w:val="nil"/>
              <w:tr2bl w:val="nil"/>
            </w:tcBorders>
            <w:vAlign w:val="center"/>
          </w:tcPr>
          <w:p w14:paraId="5F6F8DA0">
            <w:pPr>
              <w:jc w:val="center"/>
              <w:rPr>
                <w:rFonts w:ascii="宋体" w:hAnsi="宋体" w:eastAsia="宋体" w:cs="Times New Roman"/>
                <w:color w:val="auto"/>
              </w:rPr>
            </w:pPr>
            <w:r>
              <w:rPr>
                <w:rFonts w:ascii="宋体" w:hAnsi="宋体" w:eastAsia="宋体" w:cs="Times New Roman"/>
                <w:color w:val="auto"/>
              </w:rPr>
              <w:t>达标</w:t>
            </w:r>
          </w:p>
        </w:tc>
      </w:tr>
      <w:tr w14:paraId="42DF4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CE94203">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4B964ECC">
            <w:pPr>
              <w:jc w:val="center"/>
              <w:rPr>
                <w:rFonts w:ascii="宋体" w:hAnsi="宋体" w:eastAsia="宋体" w:cs="Times New Roman"/>
                <w:color w:val="auto"/>
              </w:rPr>
            </w:pPr>
            <w:r>
              <w:rPr>
                <w:rFonts w:ascii="宋体" w:hAnsi="宋体" w:eastAsia="宋体" w:cs="Times New Roman"/>
                <w:color w:val="auto"/>
              </w:rPr>
              <w:t>四方山屯</w:t>
            </w:r>
          </w:p>
        </w:tc>
        <w:tc>
          <w:tcPr>
            <w:tcW w:w="810" w:type="dxa"/>
            <w:vMerge w:val="continue"/>
            <w:tcBorders>
              <w:tl2br w:val="nil"/>
              <w:tr2bl w:val="nil"/>
            </w:tcBorders>
            <w:vAlign w:val="center"/>
          </w:tcPr>
          <w:p w14:paraId="6059BC8D">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6DA36242">
            <w:pPr>
              <w:jc w:val="center"/>
              <w:rPr>
                <w:rFonts w:ascii="宋体" w:hAnsi="宋体" w:eastAsia="宋体" w:cs="Times New Roman"/>
                <w:color w:val="auto"/>
              </w:rPr>
            </w:pPr>
            <w:r>
              <w:rPr>
                <w:rFonts w:ascii="宋体" w:hAnsi="宋体" w:eastAsia="宋体" w:cs="Times New Roman"/>
                <w:color w:val="auto"/>
              </w:rPr>
              <w:t>0.0740039</w:t>
            </w:r>
          </w:p>
        </w:tc>
        <w:tc>
          <w:tcPr>
            <w:tcW w:w="794" w:type="dxa"/>
            <w:tcBorders>
              <w:bottom w:val="single" w:color="auto" w:sz="4" w:space="0"/>
              <w:tl2br w:val="nil"/>
              <w:tr2bl w:val="nil"/>
            </w:tcBorders>
            <w:vAlign w:val="center"/>
          </w:tcPr>
          <w:p w14:paraId="2FFD738A">
            <w:pPr>
              <w:jc w:val="right"/>
              <w:textAlignment w:val="center"/>
              <w:rPr>
                <w:rFonts w:ascii="宋体" w:hAnsi="宋体" w:eastAsia="宋体" w:cs="Times New Roman"/>
                <w:color w:val="auto"/>
              </w:rPr>
            </w:pPr>
            <w:r>
              <w:rPr>
                <w:rFonts w:ascii="宋体" w:hAnsi="宋体" w:eastAsia="宋体" w:cs="Times New Roman"/>
                <w:color w:val="auto"/>
                <w:lang w:bidi="ar"/>
              </w:rPr>
              <w:t xml:space="preserve">0.093 </w:t>
            </w:r>
          </w:p>
        </w:tc>
        <w:tc>
          <w:tcPr>
            <w:tcW w:w="1262" w:type="dxa"/>
            <w:tcBorders>
              <w:bottom w:val="single" w:color="auto" w:sz="4" w:space="0"/>
              <w:tl2br w:val="nil"/>
              <w:tr2bl w:val="nil"/>
            </w:tcBorders>
            <w:vAlign w:val="center"/>
          </w:tcPr>
          <w:p w14:paraId="29464ED3">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094AB864">
            <w:pPr>
              <w:jc w:val="center"/>
              <w:rPr>
                <w:rFonts w:ascii="宋体" w:hAnsi="宋体" w:eastAsia="宋体" w:cs="Times New Roman"/>
                <w:color w:val="auto"/>
              </w:rPr>
            </w:pPr>
            <w:r>
              <w:rPr>
                <w:rFonts w:ascii="宋体" w:hAnsi="宋体" w:eastAsia="宋体" w:cs="Times New Roman"/>
                <w:color w:val="auto"/>
              </w:rPr>
              <w:t>31.074</w:t>
            </w:r>
          </w:p>
        </w:tc>
        <w:tc>
          <w:tcPr>
            <w:tcW w:w="836" w:type="dxa"/>
            <w:tcBorders>
              <w:bottom w:val="single" w:color="auto" w:sz="4" w:space="0"/>
              <w:tl2br w:val="nil"/>
              <w:tr2bl w:val="nil"/>
            </w:tcBorders>
            <w:vAlign w:val="center"/>
          </w:tcPr>
          <w:p w14:paraId="12908F99">
            <w:pPr>
              <w:jc w:val="right"/>
              <w:textAlignment w:val="center"/>
              <w:rPr>
                <w:rFonts w:ascii="宋体" w:hAnsi="宋体" w:eastAsia="宋体" w:cs="Times New Roman"/>
                <w:color w:val="auto"/>
              </w:rPr>
            </w:pPr>
            <w:r>
              <w:rPr>
                <w:rFonts w:ascii="宋体" w:hAnsi="宋体" w:eastAsia="宋体" w:cs="Times New Roman"/>
                <w:color w:val="auto"/>
                <w:lang w:bidi="ar"/>
              </w:rPr>
              <w:t xml:space="preserve">38.843 </w:t>
            </w:r>
          </w:p>
        </w:tc>
        <w:tc>
          <w:tcPr>
            <w:tcW w:w="830" w:type="dxa"/>
            <w:tcBorders>
              <w:bottom w:val="single" w:color="auto" w:sz="4" w:space="0"/>
              <w:tl2br w:val="nil"/>
              <w:tr2bl w:val="nil"/>
            </w:tcBorders>
            <w:vAlign w:val="center"/>
          </w:tcPr>
          <w:p w14:paraId="4EE1AE0F">
            <w:pPr>
              <w:jc w:val="center"/>
              <w:rPr>
                <w:rFonts w:ascii="宋体" w:hAnsi="宋体" w:eastAsia="宋体" w:cs="Times New Roman"/>
                <w:color w:val="auto"/>
              </w:rPr>
            </w:pPr>
            <w:r>
              <w:rPr>
                <w:rFonts w:ascii="宋体" w:hAnsi="宋体" w:eastAsia="宋体" w:cs="Times New Roman"/>
                <w:color w:val="auto"/>
              </w:rPr>
              <w:t>达标</w:t>
            </w:r>
          </w:p>
        </w:tc>
      </w:tr>
      <w:tr w14:paraId="57935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AE367B7">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10E8E41">
            <w:pPr>
              <w:jc w:val="center"/>
              <w:rPr>
                <w:rFonts w:ascii="宋体" w:hAnsi="宋体" w:eastAsia="宋体" w:cs="Times New Roman"/>
                <w:color w:val="auto"/>
              </w:rPr>
            </w:pPr>
            <w:r>
              <w:rPr>
                <w:rFonts w:ascii="宋体" w:hAnsi="宋体" w:eastAsia="宋体" w:cs="Times New Roman"/>
                <w:color w:val="auto"/>
              </w:rPr>
              <w:t>小东屯</w:t>
            </w:r>
          </w:p>
        </w:tc>
        <w:tc>
          <w:tcPr>
            <w:tcW w:w="810" w:type="dxa"/>
            <w:vMerge w:val="continue"/>
            <w:tcBorders>
              <w:tl2br w:val="nil"/>
              <w:tr2bl w:val="nil"/>
            </w:tcBorders>
            <w:vAlign w:val="center"/>
          </w:tcPr>
          <w:p w14:paraId="367424FC">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20BBBB6E">
            <w:pPr>
              <w:jc w:val="center"/>
              <w:rPr>
                <w:rFonts w:ascii="宋体" w:hAnsi="宋体" w:eastAsia="宋体" w:cs="Times New Roman"/>
                <w:color w:val="auto"/>
              </w:rPr>
            </w:pPr>
            <w:r>
              <w:rPr>
                <w:rFonts w:ascii="宋体" w:hAnsi="宋体" w:eastAsia="宋体" w:cs="Times New Roman"/>
                <w:color w:val="auto"/>
              </w:rPr>
              <w:t>0.074581</w:t>
            </w:r>
          </w:p>
        </w:tc>
        <w:tc>
          <w:tcPr>
            <w:tcW w:w="794" w:type="dxa"/>
            <w:tcBorders>
              <w:bottom w:val="single" w:color="auto" w:sz="4" w:space="0"/>
              <w:tl2br w:val="nil"/>
              <w:tr2bl w:val="nil"/>
            </w:tcBorders>
            <w:vAlign w:val="center"/>
          </w:tcPr>
          <w:p w14:paraId="5D12234E">
            <w:pPr>
              <w:jc w:val="right"/>
              <w:textAlignment w:val="center"/>
              <w:rPr>
                <w:rFonts w:ascii="宋体" w:hAnsi="宋体" w:eastAsia="宋体" w:cs="Times New Roman"/>
                <w:color w:val="auto"/>
              </w:rPr>
            </w:pPr>
            <w:r>
              <w:rPr>
                <w:rFonts w:ascii="宋体" w:hAnsi="宋体" w:eastAsia="宋体" w:cs="Times New Roman"/>
                <w:color w:val="auto"/>
                <w:lang w:bidi="ar"/>
              </w:rPr>
              <w:t xml:space="preserve">0.093 </w:t>
            </w:r>
          </w:p>
        </w:tc>
        <w:tc>
          <w:tcPr>
            <w:tcW w:w="1262" w:type="dxa"/>
            <w:tcBorders>
              <w:bottom w:val="single" w:color="auto" w:sz="4" w:space="0"/>
              <w:tl2br w:val="nil"/>
              <w:tr2bl w:val="nil"/>
            </w:tcBorders>
            <w:vAlign w:val="center"/>
          </w:tcPr>
          <w:p w14:paraId="1BE157F5">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2EF805B5">
            <w:pPr>
              <w:jc w:val="center"/>
              <w:rPr>
                <w:rFonts w:ascii="宋体" w:hAnsi="宋体" w:eastAsia="宋体" w:cs="Times New Roman"/>
                <w:color w:val="auto"/>
              </w:rPr>
            </w:pPr>
            <w:r>
              <w:rPr>
                <w:rFonts w:ascii="宋体" w:hAnsi="宋体" w:eastAsia="宋体" w:cs="Times New Roman"/>
                <w:color w:val="auto"/>
              </w:rPr>
              <w:t>31.0746</w:t>
            </w:r>
          </w:p>
        </w:tc>
        <w:tc>
          <w:tcPr>
            <w:tcW w:w="836" w:type="dxa"/>
            <w:tcBorders>
              <w:bottom w:val="single" w:color="auto" w:sz="4" w:space="0"/>
              <w:tl2br w:val="nil"/>
              <w:tr2bl w:val="nil"/>
            </w:tcBorders>
            <w:vAlign w:val="center"/>
          </w:tcPr>
          <w:p w14:paraId="7BFFB0F7">
            <w:pPr>
              <w:jc w:val="right"/>
              <w:textAlignment w:val="center"/>
              <w:rPr>
                <w:rFonts w:ascii="宋体" w:hAnsi="宋体" w:eastAsia="宋体" w:cs="Times New Roman"/>
                <w:color w:val="auto"/>
              </w:rPr>
            </w:pPr>
            <w:r>
              <w:rPr>
                <w:rFonts w:ascii="宋体" w:hAnsi="宋体" w:eastAsia="宋体" w:cs="Times New Roman"/>
                <w:color w:val="auto"/>
                <w:lang w:bidi="ar"/>
              </w:rPr>
              <w:t xml:space="preserve">38.843 </w:t>
            </w:r>
          </w:p>
        </w:tc>
        <w:tc>
          <w:tcPr>
            <w:tcW w:w="830" w:type="dxa"/>
            <w:tcBorders>
              <w:bottom w:val="single" w:color="auto" w:sz="4" w:space="0"/>
              <w:tl2br w:val="nil"/>
              <w:tr2bl w:val="nil"/>
            </w:tcBorders>
            <w:vAlign w:val="center"/>
          </w:tcPr>
          <w:p w14:paraId="1B34E71F">
            <w:pPr>
              <w:jc w:val="center"/>
              <w:rPr>
                <w:rFonts w:ascii="宋体" w:hAnsi="宋体" w:eastAsia="宋体" w:cs="Times New Roman"/>
                <w:color w:val="auto"/>
              </w:rPr>
            </w:pPr>
            <w:r>
              <w:rPr>
                <w:rFonts w:ascii="宋体" w:hAnsi="宋体" w:eastAsia="宋体" w:cs="Times New Roman"/>
                <w:color w:val="auto"/>
              </w:rPr>
              <w:t>达标</w:t>
            </w:r>
          </w:p>
        </w:tc>
      </w:tr>
      <w:tr w14:paraId="5B2BD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4BC7CB39">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4ACC2498">
            <w:pPr>
              <w:jc w:val="center"/>
              <w:rPr>
                <w:rFonts w:ascii="宋体" w:hAnsi="宋体" w:eastAsia="宋体" w:cs="Times New Roman"/>
                <w:color w:val="auto"/>
              </w:rPr>
            </w:pPr>
            <w:r>
              <w:rPr>
                <w:rFonts w:ascii="宋体" w:hAnsi="宋体" w:eastAsia="宋体" w:cs="Times New Roman"/>
                <w:color w:val="auto"/>
              </w:rPr>
              <w:t>东兴村</w:t>
            </w:r>
          </w:p>
        </w:tc>
        <w:tc>
          <w:tcPr>
            <w:tcW w:w="810" w:type="dxa"/>
            <w:vMerge w:val="continue"/>
            <w:tcBorders>
              <w:tl2br w:val="nil"/>
              <w:tr2bl w:val="nil"/>
            </w:tcBorders>
            <w:vAlign w:val="center"/>
          </w:tcPr>
          <w:p w14:paraId="14A4C1B9">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0FA89C45">
            <w:pPr>
              <w:jc w:val="center"/>
              <w:rPr>
                <w:rFonts w:ascii="宋体" w:hAnsi="宋体" w:eastAsia="宋体" w:cs="Times New Roman"/>
                <w:color w:val="auto"/>
              </w:rPr>
            </w:pPr>
            <w:r>
              <w:rPr>
                <w:rFonts w:ascii="宋体" w:hAnsi="宋体" w:eastAsia="宋体" w:cs="Times New Roman"/>
                <w:color w:val="auto"/>
              </w:rPr>
              <w:t>0.0518702</w:t>
            </w:r>
          </w:p>
        </w:tc>
        <w:tc>
          <w:tcPr>
            <w:tcW w:w="794" w:type="dxa"/>
            <w:tcBorders>
              <w:bottom w:val="single" w:color="auto" w:sz="4" w:space="0"/>
              <w:tl2br w:val="nil"/>
              <w:tr2bl w:val="nil"/>
            </w:tcBorders>
            <w:vAlign w:val="center"/>
          </w:tcPr>
          <w:p w14:paraId="527FB02C">
            <w:pPr>
              <w:jc w:val="right"/>
              <w:textAlignment w:val="center"/>
              <w:rPr>
                <w:rFonts w:ascii="宋体" w:hAnsi="宋体" w:eastAsia="宋体" w:cs="Times New Roman"/>
                <w:color w:val="auto"/>
              </w:rPr>
            </w:pPr>
            <w:r>
              <w:rPr>
                <w:rFonts w:ascii="宋体" w:hAnsi="宋体" w:eastAsia="宋体" w:cs="Times New Roman"/>
                <w:color w:val="auto"/>
                <w:lang w:bidi="ar"/>
              </w:rPr>
              <w:t xml:space="preserve">0.065 </w:t>
            </w:r>
          </w:p>
        </w:tc>
        <w:tc>
          <w:tcPr>
            <w:tcW w:w="1262" w:type="dxa"/>
            <w:tcBorders>
              <w:bottom w:val="single" w:color="auto" w:sz="4" w:space="0"/>
              <w:tl2br w:val="nil"/>
              <w:tr2bl w:val="nil"/>
            </w:tcBorders>
            <w:vAlign w:val="center"/>
          </w:tcPr>
          <w:p w14:paraId="07966F2A">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3133564E">
            <w:pPr>
              <w:jc w:val="center"/>
              <w:rPr>
                <w:rFonts w:ascii="宋体" w:hAnsi="宋体" w:eastAsia="宋体" w:cs="Times New Roman"/>
                <w:color w:val="auto"/>
              </w:rPr>
            </w:pPr>
            <w:r>
              <w:rPr>
                <w:rFonts w:ascii="宋体" w:hAnsi="宋体" w:eastAsia="宋体" w:cs="Times New Roman"/>
                <w:color w:val="auto"/>
              </w:rPr>
              <w:t>31.0519</w:t>
            </w:r>
          </w:p>
        </w:tc>
        <w:tc>
          <w:tcPr>
            <w:tcW w:w="836" w:type="dxa"/>
            <w:tcBorders>
              <w:bottom w:val="single" w:color="auto" w:sz="4" w:space="0"/>
              <w:tl2br w:val="nil"/>
              <w:tr2bl w:val="nil"/>
            </w:tcBorders>
            <w:vAlign w:val="center"/>
          </w:tcPr>
          <w:p w14:paraId="1982C315">
            <w:pPr>
              <w:jc w:val="right"/>
              <w:textAlignment w:val="center"/>
              <w:rPr>
                <w:rFonts w:ascii="宋体" w:hAnsi="宋体" w:eastAsia="宋体" w:cs="Times New Roman"/>
                <w:color w:val="auto"/>
              </w:rPr>
            </w:pPr>
            <w:r>
              <w:rPr>
                <w:rFonts w:ascii="宋体" w:hAnsi="宋体" w:eastAsia="宋体" w:cs="Times New Roman"/>
                <w:color w:val="auto"/>
                <w:lang w:bidi="ar"/>
              </w:rPr>
              <w:t xml:space="preserve">38.815 </w:t>
            </w:r>
          </w:p>
        </w:tc>
        <w:tc>
          <w:tcPr>
            <w:tcW w:w="830" w:type="dxa"/>
            <w:tcBorders>
              <w:bottom w:val="single" w:color="auto" w:sz="4" w:space="0"/>
              <w:tl2br w:val="nil"/>
              <w:tr2bl w:val="nil"/>
            </w:tcBorders>
            <w:vAlign w:val="center"/>
          </w:tcPr>
          <w:p w14:paraId="4882C0D0">
            <w:pPr>
              <w:jc w:val="center"/>
              <w:rPr>
                <w:rFonts w:ascii="宋体" w:hAnsi="宋体" w:eastAsia="宋体" w:cs="Times New Roman"/>
                <w:color w:val="auto"/>
              </w:rPr>
            </w:pPr>
            <w:r>
              <w:rPr>
                <w:rFonts w:ascii="宋体" w:hAnsi="宋体" w:eastAsia="宋体" w:cs="Times New Roman"/>
                <w:color w:val="auto"/>
              </w:rPr>
              <w:t>达标</w:t>
            </w:r>
          </w:p>
        </w:tc>
      </w:tr>
      <w:tr w14:paraId="1C362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AEFFEB1">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240AA159">
            <w:pPr>
              <w:jc w:val="center"/>
              <w:rPr>
                <w:rFonts w:ascii="宋体" w:hAnsi="宋体" w:eastAsia="宋体" w:cs="Times New Roman"/>
                <w:color w:val="auto"/>
              </w:rPr>
            </w:pPr>
            <w:r>
              <w:rPr>
                <w:rFonts w:ascii="宋体" w:hAnsi="宋体" w:eastAsia="宋体" w:cs="Times New Roman"/>
                <w:color w:val="auto"/>
              </w:rPr>
              <w:t>迟家屯</w:t>
            </w:r>
          </w:p>
        </w:tc>
        <w:tc>
          <w:tcPr>
            <w:tcW w:w="810" w:type="dxa"/>
            <w:vMerge w:val="continue"/>
            <w:tcBorders>
              <w:tl2br w:val="nil"/>
              <w:tr2bl w:val="nil"/>
            </w:tcBorders>
            <w:vAlign w:val="center"/>
          </w:tcPr>
          <w:p w14:paraId="46DC8D07">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61B1A24">
            <w:pPr>
              <w:jc w:val="center"/>
              <w:rPr>
                <w:rFonts w:ascii="宋体" w:hAnsi="宋体" w:eastAsia="宋体" w:cs="Times New Roman"/>
                <w:color w:val="auto"/>
              </w:rPr>
            </w:pPr>
            <w:r>
              <w:rPr>
                <w:rFonts w:ascii="宋体" w:hAnsi="宋体" w:eastAsia="宋体" w:cs="Times New Roman"/>
                <w:color w:val="auto"/>
              </w:rPr>
              <w:t>0.0513962</w:t>
            </w:r>
          </w:p>
        </w:tc>
        <w:tc>
          <w:tcPr>
            <w:tcW w:w="794" w:type="dxa"/>
            <w:tcBorders>
              <w:bottom w:val="single" w:color="auto" w:sz="4" w:space="0"/>
              <w:tl2br w:val="nil"/>
              <w:tr2bl w:val="nil"/>
            </w:tcBorders>
            <w:vAlign w:val="center"/>
          </w:tcPr>
          <w:p w14:paraId="28C68D54">
            <w:pPr>
              <w:jc w:val="right"/>
              <w:textAlignment w:val="center"/>
              <w:rPr>
                <w:rFonts w:ascii="宋体" w:hAnsi="宋体" w:eastAsia="宋体" w:cs="Times New Roman"/>
                <w:color w:val="auto"/>
              </w:rPr>
            </w:pPr>
            <w:r>
              <w:rPr>
                <w:rFonts w:ascii="宋体" w:hAnsi="宋体" w:eastAsia="宋体" w:cs="Times New Roman"/>
                <w:color w:val="auto"/>
                <w:lang w:bidi="ar"/>
              </w:rPr>
              <w:t xml:space="preserve">0.064 </w:t>
            </w:r>
          </w:p>
        </w:tc>
        <w:tc>
          <w:tcPr>
            <w:tcW w:w="1262" w:type="dxa"/>
            <w:tcBorders>
              <w:bottom w:val="single" w:color="auto" w:sz="4" w:space="0"/>
              <w:tl2br w:val="nil"/>
              <w:tr2bl w:val="nil"/>
            </w:tcBorders>
            <w:vAlign w:val="center"/>
          </w:tcPr>
          <w:p w14:paraId="64289679">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04217A53">
            <w:pPr>
              <w:jc w:val="center"/>
              <w:rPr>
                <w:rFonts w:ascii="宋体" w:hAnsi="宋体" w:eastAsia="宋体" w:cs="Times New Roman"/>
                <w:color w:val="auto"/>
              </w:rPr>
            </w:pPr>
            <w:r>
              <w:rPr>
                <w:rFonts w:ascii="宋体" w:hAnsi="宋体" w:eastAsia="宋体" w:cs="Times New Roman"/>
                <w:color w:val="auto"/>
              </w:rPr>
              <w:t>31.0514</w:t>
            </w:r>
          </w:p>
        </w:tc>
        <w:tc>
          <w:tcPr>
            <w:tcW w:w="836" w:type="dxa"/>
            <w:tcBorders>
              <w:bottom w:val="single" w:color="auto" w:sz="4" w:space="0"/>
              <w:tl2br w:val="nil"/>
              <w:tr2bl w:val="nil"/>
            </w:tcBorders>
            <w:vAlign w:val="center"/>
          </w:tcPr>
          <w:p w14:paraId="135E77E1">
            <w:pPr>
              <w:jc w:val="right"/>
              <w:textAlignment w:val="center"/>
              <w:rPr>
                <w:rFonts w:ascii="宋体" w:hAnsi="宋体" w:eastAsia="宋体" w:cs="Times New Roman"/>
                <w:color w:val="auto"/>
              </w:rPr>
            </w:pPr>
            <w:r>
              <w:rPr>
                <w:rFonts w:ascii="宋体" w:hAnsi="宋体" w:eastAsia="宋体" w:cs="Times New Roman"/>
                <w:color w:val="auto"/>
                <w:lang w:bidi="ar"/>
              </w:rPr>
              <w:t xml:space="preserve">38.814 </w:t>
            </w:r>
          </w:p>
        </w:tc>
        <w:tc>
          <w:tcPr>
            <w:tcW w:w="830" w:type="dxa"/>
            <w:tcBorders>
              <w:bottom w:val="single" w:color="auto" w:sz="4" w:space="0"/>
              <w:tl2br w:val="nil"/>
              <w:tr2bl w:val="nil"/>
            </w:tcBorders>
            <w:vAlign w:val="center"/>
          </w:tcPr>
          <w:p w14:paraId="2A29AF48">
            <w:pPr>
              <w:jc w:val="center"/>
              <w:rPr>
                <w:rFonts w:ascii="宋体" w:hAnsi="宋体" w:eastAsia="宋体" w:cs="Times New Roman"/>
                <w:color w:val="auto"/>
              </w:rPr>
            </w:pPr>
            <w:r>
              <w:rPr>
                <w:rFonts w:ascii="宋体" w:hAnsi="宋体" w:eastAsia="宋体" w:cs="Times New Roman"/>
                <w:color w:val="auto"/>
              </w:rPr>
              <w:t>达标</w:t>
            </w:r>
          </w:p>
        </w:tc>
      </w:tr>
      <w:tr w14:paraId="446ED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58FB5D3">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53F5B35">
            <w:pPr>
              <w:jc w:val="center"/>
              <w:rPr>
                <w:rFonts w:ascii="宋体" w:hAnsi="宋体" w:eastAsia="宋体" w:cs="Times New Roman"/>
                <w:color w:val="auto"/>
              </w:rPr>
            </w:pPr>
            <w:r>
              <w:rPr>
                <w:rFonts w:ascii="宋体" w:hAnsi="宋体" w:eastAsia="宋体" w:cs="Times New Roman"/>
                <w:color w:val="auto"/>
              </w:rPr>
              <w:t>刘喜屯</w:t>
            </w:r>
          </w:p>
        </w:tc>
        <w:tc>
          <w:tcPr>
            <w:tcW w:w="810" w:type="dxa"/>
            <w:vMerge w:val="continue"/>
            <w:tcBorders>
              <w:tl2br w:val="nil"/>
              <w:tr2bl w:val="nil"/>
            </w:tcBorders>
            <w:vAlign w:val="center"/>
          </w:tcPr>
          <w:p w14:paraId="7A9AEE3F">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24B2D99B">
            <w:pPr>
              <w:jc w:val="center"/>
              <w:rPr>
                <w:rFonts w:ascii="宋体" w:hAnsi="宋体" w:eastAsia="宋体" w:cs="Times New Roman"/>
                <w:color w:val="auto"/>
              </w:rPr>
            </w:pPr>
            <w:r>
              <w:rPr>
                <w:rFonts w:ascii="宋体" w:hAnsi="宋体" w:eastAsia="宋体" w:cs="Times New Roman"/>
                <w:color w:val="auto"/>
              </w:rPr>
              <w:t>0.0243661</w:t>
            </w:r>
          </w:p>
        </w:tc>
        <w:tc>
          <w:tcPr>
            <w:tcW w:w="794" w:type="dxa"/>
            <w:tcBorders>
              <w:bottom w:val="single" w:color="auto" w:sz="4" w:space="0"/>
              <w:tl2br w:val="nil"/>
              <w:tr2bl w:val="nil"/>
            </w:tcBorders>
            <w:vAlign w:val="center"/>
          </w:tcPr>
          <w:p w14:paraId="7C52C661">
            <w:pPr>
              <w:jc w:val="right"/>
              <w:textAlignment w:val="center"/>
              <w:rPr>
                <w:rFonts w:ascii="宋体" w:hAnsi="宋体" w:eastAsia="宋体" w:cs="Times New Roman"/>
                <w:color w:val="auto"/>
              </w:rPr>
            </w:pPr>
            <w:r>
              <w:rPr>
                <w:rFonts w:ascii="宋体" w:hAnsi="宋体" w:eastAsia="宋体" w:cs="Times New Roman"/>
                <w:color w:val="auto"/>
                <w:lang w:bidi="ar"/>
              </w:rPr>
              <w:t xml:space="preserve">0.030 </w:t>
            </w:r>
          </w:p>
        </w:tc>
        <w:tc>
          <w:tcPr>
            <w:tcW w:w="1262" w:type="dxa"/>
            <w:tcBorders>
              <w:bottom w:val="single" w:color="auto" w:sz="4" w:space="0"/>
              <w:tl2br w:val="nil"/>
              <w:tr2bl w:val="nil"/>
            </w:tcBorders>
            <w:vAlign w:val="center"/>
          </w:tcPr>
          <w:p w14:paraId="0E91647D">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7AC8BC97">
            <w:pPr>
              <w:jc w:val="center"/>
              <w:rPr>
                <w:rFonts w:ascii="宋体" w:hAnsi="宋体" w:eastAsia="宋体" w:cs="Times New Roman"/>
                <w:color w:val="auto"/>
              </w:rPr>
            </w:pPr>
            <w:r>
              <w:rPr>
                <w:rFonts w:ascii="宋体" w:hAnsi="宋体" w:eastAsia="宋体" w:cs="Times New Roman"/>
                <w:color w:val="auto"/>
              </w:rPr>
              <w:t>31.0244</w:t>
            </w:r>
          </w:p>
        </w:tc>
        <w:tc>
          <w:tcPr>
            <w:tcW w:w="836" w:type="dxa"/>
            <w:tcBorders>
              <w:bottom w:val="single" w:color="auto" w:sz="4" w:space="0"/>
              <w:tl2br w:val="nil"/>
              <w:tr2bl w:val="nil"/>
            </w:tcBorders>
            <w:vAlign w:val="center"/>
          </w:tcPr>
          <w:p w14:paraId="01F7DB01">
            <w:pPr>
              <w:jc w:val="right"/>
              <w:textAlignment w:val="center"/>
              <w:rPr>
                <w:rFonts w:ascii="宋体" w:hAnsi="宋体" w:eastAsia="宋体" w:cs="Times New Roman"/>
                <w:color w:val="auto"/>
              </w:rPr>
            </w:pPr>
            <w:r>
              <w:rPr>
                <w:rFonts w:ascii="宋体" w:hAnsi="宋体" w:eastAsia="宋体" w:cs="Times New Roman"/>
                <w:color w:val="auto"/>
                <w:lang w:bidi="ar"/>
              </w:rPr>
              <w:t xml:space="preserve">38.781 </w:t>
            </w:r>
          </w:p>
        </w:tc>
        <w:tc>
          <w:tcPr>
            <w:tcW w:w="830" w:type="dxa"/>
            <w:tcBorders>
              <w:bottom w:val="single" w:color="auto" w:sz="4" w:space="0"/>
              <w:tl2br w:val="nil"/>
              <w:tr2bl w:val="nil"/>
            </w:tcBorders>
            <w:vAlign w:val="center"/>
          </w:tcPr>
          <w:p w14:paraId="1C996971">
            <w:pPr>
              <w:jc w:val="center"/>
              <w:rPr>
                <w:rFonts w:ascii="宋体" w:hAnsi="宋体" w:eastAsia="宋体" w:cs="Times New Roman"/>
                <w:color w:val="auto"/>
              </w:rPr>
            </w:pPr>
            <w:r>
              <w:rPr>
                <w:rFonts w:ascii="宋体" w:hAnsi="宋体" w:eastAsia="宋体" w:cs="Times New Roman"/>
                <w:color w:val="auto"/>
              </w:rPr>
              <w:t>达标</w:t>
            </w:r>
          </w:p>
        </w:tc>
      </w:tr>
      <w:tr w14:paraId="64E23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A4AFECF">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A1E39B8">
            <w:pPr>
              <w:jc w:val="center"/>
              <w:rPr>
                <w:rFonts w:ascii="宋体" w:hAnsi="宋体" w:eastAsia="宋体" w:cs="Times New Roman"/>
                <w:color w:val="auto"/>
              </w:rPr>
            </w:pPr>
            <w:r>
              <w:rPr>
                <w:rFonts w:ascii="宋体" w:hAnsi="宋体" w:eastAsia="宋体" w:cs="Times New Roman"/>
                <w:color w:val="auto"/>
              </w:rPr>
              <w:t>代龙村</w:t>
            </w:r>
          </w:p>
        </w:tc>
        <w:tc>
          <w:tcPr>
            <w:tcW w:w="810" w:type="dxa"/>
            <w:vMerge w:val="continue"/>
            <w:tcBorders>
              <w:tl2br w:val="nil"/>
              <w:tr2bl w:val="nil"/>
            </w:tcBorders>
            <w:vAlign w:val="center"/>
          </w:tcPr>
          <w:p w14:paraId="54991E9C">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1382D8D">
            <w:pPr>
              <w:jc w:val="center"/>
              <w:rPr>
                <w:rFonts w:ascii="宋体" w:hAnsi="宋体" w:eastAsia="宋体" w:cs="Times New Roman"/>
                <w:color w:val="auto"/>
              </w:rPr>
            </w:pPr>
            <w:r>
              <w:rPr>
                <w:rFonts w:ascii="宋体" w:hAnsi="宋体" w:eastAsia="宋体" w:cs="Times New Roman"/>
                <w:color w:val="auto"/>
              </w:rPr>
              <w:t>0.0254121</w:t>
            </w:r>
          </w:p>
        </w:tc>
        <w:tc>
          <w:tcPr>
            <w:tcW w:w="794" w:type="dxa"/>
            <w:tcBorders>
              <w:bottom w:val="single" w:color="auto" w:sz="4" w:space="0"/>
              <w:tl2br w:val="nil"/>
              <w:tr2bl w:val="nil"/>
            </w:tcBorders>
            <w:vAlign w:val="center"/>
          </w:tcPr>
          <w:p w14:paraId="33383CC3">
            <w:pPr>
              <w:jc w:val="right"/>
              <w:textAlignment w:val="center"/>
              <w:rPr>
                <w:rFonts w:ascii="宋体" w:hAnsi="宋体" w:eastAsia="宋体" w:cs="Times New Roman"/>
                <w:color w:val="auto"/>
              </w:rPr>
            </w:pPr>
            <w:r>
              <w:rPr>
                <w:rFonts w:ascii="宋体" w:hAnsi="宋体" w:eastAsia="宋体" w:cs="Times New Roman"/>
                <w:color w:val="auto"/>
                <w:lang w:bidi="ar"/>
              </w:rPr>
              <w:t xml:space="preserve">0.032 </w:t>
            </w:r>
          </w:p>
        </w:tc>
        <w:tc>
          <w:tcPr>
            <w:tcW w:w="1262" w:type="dxa"/>
            <w:tcBorders>
              <w:bottom w:val="single" w:color="auto" w:sz="4" w:space="0"/>
              <w:tl2br w:val="nil"/>
              <w:tr2bl w:val="nil"/>
            </w:tcBorders>
            <w:vAlign w:val="center"/>
          </w:tcPr>
          <w:p w14:paraId="0F7FC3B5">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3383B971">
            <w:pPr>
              <w:jc w:val="center"/>
              <w:rPr>
                <w:rFonts w:ascii="宋体" w:hAnsi="宋体" w:eastAsia="宋体" w:cs="Times New Roman"/>
                <w:color w:val="auto"/>
              </w:rPr>
            </w:pPr>
            <w:r>
              <w:rPr>
                <w:rFonts w:ascii="宋体" w:hAnsi="宋体" w:eastAsia="宋体" w:cs="Times New Roman"/>
                <w:color w:val="auto"/>
              </w:rPr>
              <w:t>31.0254</w:t>
            </w:r>
          </w:p>
        </w:tc>
        <w:tc>
          <w:tcPr>
            <w:tcW w:w="836" w:type="dxa"/>
            <w:tcBorders>
              <w:bottom w:val="single" w:color="auto" w:sz="4" w:space="0"/>
              <w:tl2br w:val="nil"/>
              <w:tr2bl w:val="nil"/>
            </w:tcBorders>
            <w:vAlign w:val="center"/>
          </w:tcPr>
          <w:p w14:paraId="5F6DF0DA">
            <w:pPr>
              <w:jc w:val="right"/>
              <w:textAlignment w:val="center"/>
              <w:rPr>
                <w:rFonts w:ascii="宋体" w:hAnsi="宋体" w:eastAsia="宋体" w:cs="Times New Roman"/>
                <w:color w:val="auto"/>
              </w:rPr>
            </w:pPr>
            <w:r>
              <w:rPr>
                <w:rFonts w:ascii="宋体" w:hAnsi="宋体" w:eastAsia="宋体" w:cs="Times New Roman"/>
                <w:color w:val="auto"/>
                <w:lang w:bidi="ar"/>
              </w:rPr>
              <w:t xml:space="preserve">38.782 </w:t>
            </w:r>
          </w:p>
        </w:tc>
        <w:tc>
          <w:tcPr>
            <w:tcW w:w="830" w:type="dxa"/>
            <w:tcBorders>
              <w:bottom w:val="single" w:color="auto" w:sz="4" w:space="0"/>
              <w:tl2br w:val="nil"/>
              <w:tr2bl w:val="nil"/>
            </w:tcBorders>
            <w:vAlign w:val="center"/>
          </w:tcPr>
          <w:p w14:paraId="17BDBC01">
            <w:pPr>
              <w:jc w:val="center"/>
              <w:rPr>
                <w:rFonts w:ascii="宋体" w:hAnsi="宋体" w:eastAsia="宋体" w:cs="Times New Roman"/>
                <w:color w:val="auto"/>
              </w:rPr>
            </w:pPr>
            <w:r>
              <w:rPr>
                <w:rFonts w:ascii="宋体" w:hAnsi="宋体" w:eastAsia="宋体" w:cs="Times New Roman"/>
                <w:color w:val="auto"/>
              </w:rPr>
              <w:t>达标</w:t>
            </w:r>
          </w:p>
        </w:tc>
      </w:tr>
      <w:tr w14:paraId="59C4E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56BACDC5">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774EFA2">
            <w:pPr>
              <w:jc w:val="center"/>
              <w:rPr>
                <w:rFonts w:ascii="宋体" w:hAnsi="宋体" w:eastAsia="宋体" w:cs="Times New Roman"/>
                <w:color w:val="auto"/>
              </w:rPr>
            </w:pPr>
            <w:r>
              <w:rPr>
                <w:rFonts w:ascii="宋体" w:hAnsi="宋体" w:eastAsia="宋体" w:cs="Times New Roman"/>
                <w:color w:val="auto"/>
              </w:rPr>
              <w:t>肇源镇</w:t>
            </w:r>
          </w:p>
        </w:tc>
        <w:tc>
          <w:tcPr>
            <w:tcW w:w="810" w:type="dxa"/>
            <w:vMerge w:val="continue"/>
            <w:tcBorders>
              <w:tl2br w:val="nil"/>
              <w:tr2bl w:val="nil"/>
            </w:tcBorders>
            <w:vAlign w:val="center"/>
          </w:tcPr>
          <w:p w14:paraId="3C19F75D">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4B3378A3">
            <w:pPr>
              <w:jc w:val="center"/>
              <w:rPr>
                <w:rFonts w:ascii="宋体" w:hAnsi="宋体" w:eastAsia="宋体" w:cs="Times New Roman"/>
                <w:color w:val="auto"/>
              </w:rPr>
            </w:pPr>
            <w:r>
              <w:rPr>
                <w:rFonts w:ascii="宋体" w:hAnsi="宋体" w:eastAsia="宋体" w:cs="Times New Roman"/>
                <w:color w:val="auto"/>
              </w:rPr>
              <w:t>0.0367037</w:t>
            </w:r>
          </w:p>
        </w:tc>
        <w:tc>
          <w:tcPr>
            <w:tcW w:w="794" w:type="dxa"/>
            <w:tcBorders>
              <w:bottom w:val="single" w:color="auto" w:sz="4" w:space="0"/>
              <w:tl2br w:val="nil"/>
              <w:tr2bl w:val="nil"/>
            </w:tcBorders>
            <w:vAlign w:val="center"/>
          </w:tcPr>
          <w:p w14:paraId="10A7D47E">
            <w:pPr>
              <w:jc w:val="right"/>
              <w:textAlignment w:val="center"/>
              <w:rPr>
                <w:rFonts w:ascii="宋体" w:hAnsi="宋体" w:eastAsia="宋体" w:cs="Times New Roman"/>
                <w:color w:val="auto"/>
              </w:rPr>
            </w:pPr>
            <w:r>
              <w:rPr>
                <w:rFonts w:ascii="宋体" w:hAnsi="宋体" w:eastAsia="宋体" w:cs="Times New Roman"/>
                <w:color w:val="auto"/>
                <w:lang w:bidi="ar"/>
              </w:rPr>
              <w:t xml:space="preserve">0.046 </w:t>
            </w:r>
          </w:p>
        </w:tc>
        <w:tc>
          <w:tcPr>
            <w:tcW w:w="1262" w:type="dxa"/>
            <w:tcBorders>
              <w:bottom w:val="single" w:color="auto" w:sz="4" w:space="0"/>
              <w:tl2br w:val="nil"/>
              <w:tr2bl w:val="nil"/>
            </w:tcBorders>
            <w:vAlign w:val="center"/>
          </w:tcPr>
          <w:p w14:paraId="118F9FFF">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4DF9B248">
            <w:pPr>
              <w:jc w:val="center"/>
              <w:rPr>
                <w:rFonts w:ascii="宋体" w:hAnsi="宋体" w:eastAsia="宋体" w:cs="Times New Roman"/>
                <w:color w:val="auto"/>
              </w:rPr>
            </w:pPr>
            <w:r>
              <w:rPr>
                <w:rFonts w:ascii="宋体" w:hAnsi="宋体" w:eastAsia="宋体" w:cs="Times New Roman"/>
                <w:color w:val="auto"/>
              </w:rPr>
              <w:t>31.0367</w:t>
            </w:r>
          </w:p>
        </w:tc>
        <w:tc>
          <w:tcPr>
            <w:tcW w:w="836" w:type="dxa"/>
            <w:tcBorders>
              <w:bottom w:val="single" w:color="auto" w:sz="4" w:space="0"/>
              <w:tl2br w:val="nil"/>
              <w:tr2bl w:val="nil"/>
            </w:tcBorders>
            <w:vAlign w:val="center"/>
          </w:tcPr>
          <w:p w14:paraId="7F395A48">
            <w:pPr>
              <w:jc w:val="right"/>
              <w:textAlignment w:val="center"/>
              <w:rPr>
                <w:rFonts w:ascii="宋体" w:hAnsi="宋体" w:eastAsia="宋体" w:cs="Times New Roman"/>
                <w:color w:val="auto"/>
              </w:rPr>
            </w:pPr>
            <w:r>
              <w:rPr>
                <w:rFonts w:ascii="宋体" w:hAnsi="宋体" w:eastAsia="宋体" w:cs="Times New Roman"/>
                <w:color w:val="auto"/>
                <w:lang w:bidi="ar"/>
              </w:rPr>
              <w:t xml:space="preserve">38.796 </w:t>
            </w:r>
          </w:p>
        </w:tc>
        <w:tc>
          <w:tcPr>
            <w:tcW w:w="830" w:type="dxa"/>
            <w:tcBorders>
              <w:bottom w:val="single" w:color="auto" w:sz="4" w:space="0"/>
              <w:tl2br w:val="nil"/>
              <w:tr2bl w:val="nil"/>
            </w:tcBorders>
            <w:vAlign w:val="center"/>
          </w:tcPr>
          <w:p w14:paraId="56496C19">
            <w:pPr>
              <w:jc w:val="center"/>
              <w:rPr>
                <w:rFonts w:ascii="宋体" w:hAnsi="宋体" w:eastAsia="宋体" w:cs="Times New Roman"/>
                <w:color w:val="auto"/>
              </w:rPr>
            </w:pPr>
            <w:r>
              <w:rPr>
                <w:rFonts w:ascii="宋体" w:hAnsi="宋体" w:eastAsia="宋体" w:cs="Times New Roman"/>
                <w:color w:val="auto"/>
              </w:rPr>
              <w:t>达标</w:t>
            </w:r>
          </w:p>
        </w:tc>
      </w:tr>
      <w:tr w14:paraId="562D1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71511A93">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4F75612D">
            <w:pPr>
              <w:jc w:val="center"/>
              <w:rPr>
                <w:rFonts w:ascii="宋体" w:hAnsi="宋体" w:eastAsia="宋体" w:cs="Times New Roman"/>
                <w:color w:val="auto"/>
              </w:rPr>
            </w:pPr>
            <w:r>
              <w:rPr>
                <w:rFonts w:ascii="宋体" w:hAnsi="宋体" w:eastAsia="宋体" w:cs="Times New Roman"/>
                <w:color w:val="auto"/>
              </w:rPr>
              <w:t>刘兽医屯</w:t>
            </w:r>
          </w:p>
        </w:tc>
        <w:tc>
          <w:tcPr>
            <w:tcW w:w="810" w:type="dxa"/>
            <w:vMerge w:val="continue"/>
            <w:tcBorders>
              <w:tl2br w:val="nil"/>
              <w:tr2bl w:val="nil"/>
            </w:tcBorders>
            <w:vAlign w:val="center"/>
          </w:tcPr>
          <w:p w14:paraId="651DEB37">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47D57E16">
            <w:pPr>
              <w:jc w:val="center"/>
              <w:rPr>
                <w:rFonts w:ascii="宋体" w:hAnsi="宋体" w:eastAsia="宋体" w:cs="Times New Roman"/>
                <w:color w:val="auto"/>
              </w:rPr>
            </w:pPr>
            <w:r>
              <w:rPr>
                <w:rFonts w:ascii="宋体" w:hAnsi="宋体" w:eastAsia="宋体" w:cs="Times New Roman"/>
                <w:color w:val="auto"/>
              </w:rPr>
              <w:t>0.028138</w:t>
            </w:r>
          </w:p>
        </w:tc>
        <w:tc>
          <w:tcPr>
            <w:tcW w:w="794" w:type="dxa"/>
            <w:tcBorders>
              <w:bottom w:val="single" w:color="auto" w:sz="4" w:space="0"/>
              <w:tl2br w:val="nil"/>
              <w:tr2bl w:val="nil"/>
            </w:tcBorders>
            <w:vAlign w:val="center"/>
          </w:tcPr>
          <w:p w14:paraId="6452FB6A">
            <w:pPr>
              <w:jc w:val="right"/>
              <w:textAlignment w:val="center"/>
              <w:rPr>
                <w:rFonts w:ascii="宋体" w:hAnsi="宋体" w:eastAsia="宋体" w:cs="Times New Roman"/>
                <w:color w:val="auto"/>
              </w:rPr>
            </w:pPr>
            <w:r>
              <w:rPr>
                <w:rFonts w:ascii="宋体" w:hAnsi="宋体" w:eastAsia="宋体" w:cs="Times New Roman"/>
                <w:color w:val="auto"/>
                <w:lang w:bidi="ar"/>
              </w:rPr>
              <w:t xml:space="preserve">0.035 </w:t>
            </w:r>
          </w:p>
        </w:tc>
        <w:tc>
          <w:tcPr>
            <w:tcW w:w="1262" w:type="dxa"/>
            <w:tcBorders>
              <w:bottom w:val="single" w:color="auto" w:sz="4" w:space="0"/>
              <w:tl2br w:val="nil"/>
              <w:tr2bl w:val="nil"/>
            </w:tcBorders>
            <w:vAlign w:val="center"/>
          </w:tcPr>
          <w:p w14:paraId="5E840126">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092D0160">
            <w:pPr>
              <w:jc w:val="center"/>
              <w:rPr>
                <w:rFonts w:ascii="宋体" w:hAnsi="宋体" w:eastAsia="宋体" w:cs="Times New Roman"/>
                <w:color w:val="auto"/>
              </w:rPr>
            </w:pPr>
            <w:r>
              <w:rPr>
                <w:rFonts w:ascii="宋体" w:hAnsi="宋体" w:eastAsia="宋体" w:cs="Times New Roman"/>
                <w:color w:val="auto"/>
              </w:rPr>
              <w:t>31.0281</w:t>
            </w:r>
          </w:p>
        </w:tc>
        <w:tc>
          <w:tcPr>
            <w:tcW w:w="836" w:type="dxa"/>
            <w:tcBorders>
              <w:bottom w:val="single" w:color="auto" w:sz="4" w:space="0"/>
              <w:tl2br w:val="nil"/>
              <w:tr2bl w:val="nil"/>
            </w:tcBorders>
            <w:vAlign w:val="center"/>
          </w:tcPr>
          <w:p w14:paraId="1E9A68F0">
            <w:pPr>
              <w:jc w:val="right"/>
              <w:textAlignment w:val="center"/>
              <w:rPr>
                <w:rFonts w:ascii="宋体" w:hAnsi="宋体" w:eastAsia="宋体" w:cs="Times New Roman"/>
                <w:color w:val="auto"/>
              </w:rPr>
            </w:pPr>
            <w:r>
              <w:rPr>
                <w:rFonts w:ascii="宋体" w:hAnsi="宋体" w:eastAsia="宋体" w:cs="Times New Roman"/>
                <w:color w:val="auto"/>
                <w:lang w:bidi="ar"/>
              </w:rPr>
              <w:t xml:space="preserve">38.785 </w:t>
            </w:r>
          </w:p>
        </w:tc>
        <w:tc>
          <w:tcPr>
            <w:tcW w:w="830" w:type="dxa"/>
            <w:tcBorders>
              <w:bottom w:val="single" w:color="auto" w:sz="4" w:space="0"/>
              <w:tl2br w:val="nil"/>
              <w:tr2bl w:val="nil"/>
            </w:tcBorders>
            <w:vAlign w:val="center"/>
          </w:tcPr>
          <w:p w14:paraId="24B88758">
            <w:pPr>
              <w:jc w:val="center"/>
              <w:rPr>
                <w:rFonts w:ascii="宋体" w:hAnsi="宋体" w:eastAsia="宋体" w:cs="Times New Roman"/>
                <w:color w:val="auto"/>
              </w:rPr>
            </w:pPr>
            <w:r>
              <w:rPr>
                <w:rFonts w:ascii="宋体" w:hAnsi="宋体" w:eastAsia="宋体" w:cs="Times New Roman"/>
                <w:color w:val="auto"/>
              </w:rPr>
              <w:t>达标</w:t>
            </w:r>
          </w:p>
        </w:tc>
      </w:tr>
      <w:tr w14:paraId="1330E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1A0E402D">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2FC0C0E3">
            <w:pPr>
              <w:jc w:val="center"/>
              <w:rPr>
                <w:rFonts w:ascii="宋体" w:hAnsi="宋体" w:eastAsia="宋体" w:cs="Times New Roman"/>
                <w:color w:val="auto"/>
              </w:rPr>
            </w:pPr>
            <w:r>
              <w:rPr>
                <w:rFonts w:ascii="宋体" w:hAnsi="宋体" w:eastAsia="宋体" w:cs="Times New Roman"/>
                <w:color w:val="auto"/>
              </w:rPr>
              <w:t>友谊村</w:t>
            </w:r>
          </w:p>
        </w:tc>
        <w:tc>
          <w:tcPr>
            <w:tcW w:w="810" w:type="dxa"/>
            <w:vMerge w:val="continue"/>
            <w:tcBorders>
              <w:tl2br w:val="nil"/>
              <w:tr2bl w:val="nil"/>
            </w:tcBorders>
            <w:vAlign w:val="center"/>
          </w:tcPr>
          <w:p w14:paraId="10B48355">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781F1690">
            <w:pPr>
              <w:jc w:val="center"/>
              <w:rPr>
                <w:rFonts w:ascii="宋体" w:hAnsi="宋体" w:eastAsia="宋体" w:cs="Times New Roman"/>
                <w:color w:val="auto"/>
              </w:rPr>
            </w:pPr>
            <w:r>
              <w:rPr>
                <w:rFonts w:ascii="宋体" w:hAnsi="宋体" w:eastAsia="宋体" w:cs="Times New Roman"/>
                <w:color w:val="auto"/>
              </w:rPr>
              <w:t>0.0263025</w:t>
            </w:r>
          </w:p>
        </w:tc>
        <w:tc>
          <w:tcPr>
            <w:tcW w:w="794" w:type="dxa"/>
            <w:tcBorders>
              <w:bottom w:val="single" w:color="auto" w:sz="4" w:space="0"/>
              <w:tl2br w:val="nil"/>
              <w:tr2bl w:val="nil"/>
            </w:tcBorders>
            <w:vAlign w:val="center"/>
          </w:tcPr>
          <w:p w14:paraId="5BB1857A">
            <w:pPr>
              <w:jc w:val="right"/>
              <w:textAlignment w:val="center"/>
              <w:rPr>
                <w:rFonts w:ascii="宋体" w:hAnsi="宋体" w:eastAsia="宋体" w:cs="Times New Roman"/>
                <w:color w:val="auto"/>
              </w:rPr>
            </w:pPr>
            <w:r>
              <w:rPr>
                <w:rFonts w:ascii="宋体" w:hAnsi="宋体" w:eastAsia="宋体" w:cs="Times New Roman"/>
                <w:color w:val="auto"/>
                <w:lang w:bidi="ar"/>
              </w:rPr>
              <w:t xml:space="preserve">0.033 </w:t>
            </w:r>
          </w:p>
        </w:tc>
        <w:tc>
          <w:tcPr>
            <w:tcW w:w="1262" w:type="dxa"/>
            <w:tcBorders>
              <w:bottom w:val="single" w:color="auto" w:sz="4" w:space="0"/>
              <w:tl2br w:val="nil"/>
              <w:tr2bl w:val="nil"/>
            </w:tcBorders>
            <w:vAlign w:val="center"/>
          </w:tcPr>
          <w:p w14:paraId="445A7A34">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5E0EF169">
            <w:pPr>
              <w:jc w:val="center"/>
              <w:rPr>
                <w:rFonts w:ascii="宋体" w:hAnsi="宋体" w:eastAsia="宋体" w:cs="Times New Roman"/>
                <w:color w:val="auto"/>
              </w:rPr>
            </w:pPr>
            <w:r>
              <w:rPr>
                <w:rFonts w:ascii="宋体" w:hAnsi="宋体" w:eastAsia="宋体" w:cs="Times New Roman"/>
                <w:color w:val="auto"/>
              </w:rPr>
              <w:t>31.0263</w:t>
            </w:r>
          </w:p>
        </w:tc>
        <w:tc>
          <w:tcPr>
            <w:tcW w:w="836" w:type="dxa"/>
            <w:tcBorders>
              <w:bottom w:val="single" w:color="auto" w:sz="4" w:space="0"/>
              <w:tl2br w:val="nil"/>
              <w:tr2bl w:val="nil"/>
            </w:tcBorders>
            <w:vAlign w:val="center"/>
          </w:tcPr>
          <w:p w14:paraId="7E501EC9">
            <w:pPr>
              <w:jc w:val="right"/>
              <w:textAlignment w:val="center"/>
              <w:rPr>
                <w:rFonts w:ascii="宋体" w:hAnsi="宋体" w:eastAsia="宋体" w:cs="Times New Roman"/>
                <w:color w:val="auto"/>
              </w:rPr>
            </w:pPr>
            <w:r>
              <w:rPr>
                <w:rFonts w:ascii="宋体" w:hAnsi="宋体" w:eastAsia="宋体" w:cs="Times New Roman"/>
                <w:color w:val="auto"/>
                <w:lang w:bidi="ar"/>
              </w:rPr>
              <w:t xml:space="preserve">38.783 </w:t>
            </w:r>
          </w:p>
        </w:tc>
        <w:tc>
          <w:tcPr>
            <w:tcW w:w="830" w:type="dxa"/>
            <w:tcBorders>
              <w:bottom w:val="single" w:color="auto" w:sz="4" w:space="0"/>
              <w:tl2br w:val="nil"/>
              <w:tr2bl w:val="nil"/>
            </w:tcBorders>
            <w:vAlign w:val="center"/>
          </w:tcPr>
          <w:p w14:paraId="62B9F676">
            <w:pPr>
              <w:jc w:val="center"/>
              <w:rPr>
                <w:rFonts w:ascii="宋体" w:hAnsi="宋体" w:eastAsia="宋体" w:cs="Times New Roman"/>
                <w:color w:val="auto"/>
              </w:rPr>
            </w:pPr>
            <w:r>
              <w:rPr>
                <w:rFonts w:ascii="宋体" w:hAnsi="宋体" w:eastAsia="宋体" w:cs="Times New Roman"/>
                <w:color w:val="auto"/>
              </w:rPr>
              <w:t>达标</w:t>
            </w:r>
          </w:p>
        </w:tc>
      </w:tr>
      <w:tr w14:paraId="25416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561AFEE8">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64B1F98C">
            <w:pPr>
              <w:jc w:val="center"/>
              <w:rPr>
                <w:rFonts w:ascii="宋体" w:hAnsi="宋体" w:eastAsia="宋体" w:cs="Times New Roman"/>
                <w:color w:val="auto"/>
              </w:rPr>
            </w:pPr>
            <w:r>
              <w:rPr>
                <w:rFonts w:ascii="宋体" w:hAnsi="宋体" w:eastAsia="宋体" w:cs="Times New Roman"/>
                <w:color w:val="auto"/>
              </w:rPr>
              <w:t>协力屯</w:t>
            </w:r>
          </w:p>
        </w:tc>
        <w:tc>
          <w:tcPr>
            <w:tcW w:w="810" w:type="dxa"/>
            <w:vMerge w:val="continue"/>
            <w:tcBorders>
              <w:tl2br w:val="nil"/>
              <w:tr2bl w:val="nil"/>
            </w:tcBorders>
            <w:vAlign w:val="center"/>
          </w:tcPr>
          <w:p w14:paraId="1ABF65F3">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BB6D8F2">
            <w:pPr>
              <w:jc w:val="center"/>
              <w:rPr>
                <w:rFonts w:ascii="宋体" w:hAnsi="宋体" w:eastAsia="宋体" w:cs="Times New Roman"/>
                <w:color w:val="auto"/>
              </w:rPr>
            </w:pPr>
            <w:r>
              <w:rPr>
                <w:rFonts w:ascii="宋体" w:hAnsi="宋体" w:eastAsia="宋体" w:cs="Times New Roman"/>
                <w:color w:val="auto"/>
              </w:rPr>
              <w:t>0.0263657</w:t>
            </w:r>
          </w:p>
        </w:tc>
        <w:tc>
          <w:tcPr>
            <w:tcW w:w="794" w:type="dxa"/>
            <w:tcBorders>
              <w:bottom w:val="single" w:color="auto" w:sz="4" w:space="0"/>
              <w:tl2br w:val="nil"/>
              <w:tr2bl w:val="nil"/>
            </w:tcBorders>
            <w:vAlign w:val="center"/>
          </w:tcPr>
          <w:p w14:paraId="70AD8232">
            <w:pPr>
              <w:jc w:val="right"/>
              <w:textAlignment w:val="center"/>
              <w:rPr>
                <w:rFonts w:ascii="宋体" w:hAnsi="宋体" w:eastAsia="宋体" w:cs="Times New Roman"/>
                <w:color w:val="auto"/>
              </w:rPr>
            </w:pPr>
            <w:r>
              <w:rPr>
                <w:rFonts w:ascii="宋体" w:hAnsi="宋体" w:eastAsia="宋体" w:cs="Times New Roman"/>
                <w:color w:val="auto"/>
                <w:lang w:bidi="ar"/>
              </w:rPr>
              <w:t xml:space="preserve">0.033 </w:t>
            </w:r>
          </w:p>
        </w:tc>
        <w:tc>
          <w:tcPr>
            <w:tcW w:w="1262" w:type="dxa"/>
            <w:tcBorders>
              <w:bottom w:val="single" w:color="auto" w:sz="4" w:space="0"/>
              <w:tl2br w:val="nil"/>
              <w:tr2bl w:val="nil"/>
            </w:tcBorders>
            <w:vAlign w:val="center"/>
          </w:tcPr>
          <w:p w14:paraId="4B68A08A">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07E3A906">
            <w:pPr>
              <w:jc w:val="center"/>
              <w:rPr>
                <w:rFonts w:ascii="宋体" w:hAnsi="宋体" w:eastAsia="宋体" w:cs="Times New Roman"/>
                <w:color w:val="auto"/>
              </w:rPr>
            </w:pPr>
            <w:r>
              <w:rPr>
                <w:rFonts w:ascii="宋体" w:hAnsi="宋体" w:eastAsia="宋体" w:cs="Times New Roman"/>
                <w:color w:val="auto"/>
              </w:rPr>
              <w:t>31.0264</w:t>
            </w:r>
          </w:p>
        </w:tc>
        <w:tc>
          <w:tcPr>
            <w:tcW w:w="836" w:type="dxa"/>
            <w:tcBorders>
              <w:bottom w:val="single" w:color="auto" w:sz="4" w:space="0"/>
              <w:tl2br w:val="nil"/>
              <w:tr2bl w:val="nil"/>
            </w:tcBorders>
            <w:vAlign w:val="center"/>
          </w:tcPr>
          <w:p w14:paraId="43D80B52">
            <w:pPr>
              <w:jc w:val="right"/>
              <w:textAlignment w:val="center"/>
              <w:rPr>
                <w:rFonts w:ascii="宋体" w:hAnsi="宋体" w:eastAsia="宋体" w:cs="Times New Roman"/>
                <w:color w:val="auto"/>
              </w:rPr>
            </w:pPr>
            <w:r>
              <w:rPr>
                <w:rFonts w:ascii="宋体" w:hAnsi="宋体" w:eastAsia="宋体" w:cs="Times New Roman"/>
                <w:color w:val="auto"/>
                <w:lang w:bidi="ar"/>
              </w:rPr>
              <w:t xml:space="preserve">38.783 </w:t>
            </w:r>
          </w:p>
        </w:tc>
        <w:tc>
          <w:tcPr>
            <w:tcW w:w="830" w:type="dxa"/>
            <w:tcBorders>
              <w:bottom w:val="single" w:color="auto" w:sz="4" w:space="0"/>
              <w:tl2br w:val="nil"/>
              <w:tr2bl w:val="nil"/>
            </w:tcBorders>
            <w:vAlign w:val="center"/>
          </w:tcPr>
          <w:p w14:paraId="52370ED9">
            <w:pPr>
              <w:jc w:val="center"/>
              <w:rPr>
                <w:rFonts w:ascii="宋体" w:hAnsi="宋体" w:eastAsia="宋体" w:cs="Times New Roman"/>
                <w:color w:val="auto"/>
              </w:rPr>
            </w:pPr>
            <w:r>
              <w:rPr>
                <w:rFonts w:ascii="宋体" w:hAnsi="宋体" w:eastAsia="宋体" w:cs="Times New Roman"/>
                <w:color w:val="auto"/>
              </w:rPr>
              <w:t>达标</w:t>
            </w:r>
          </w:p>
        </w:tc>
      </w:tr>
      <w:tr w14:paraId="7C4ED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5A316726">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344EFB37">
            <w:pPr>
              <w:jc w:val="center"/>
              <w:rPr>
                <w:rFonts w:ascii="宋体" w:hAnsi="宋体" w:eastAsia="宋体" w:cs="Times New Roman"/>
                <w:color w:val="auto"/>
              </w:rPr>
            </w:pPr>
            <w:r>
              <w:rPr>
                <w:rFonts w:ascii="宋体" w:hAnsi="宋体" w:eastAsia="宋体" w:cs="Times New Roman"/>
                <w:color w:val="auto"/>
              </w:rPr>
              <w:t>大三马架</w:t>
            </w:r>
          </w:p>
        </w:tc>
        <w:tc>
          <w:tcPr>
            <w:tcW w:w="810" w:type="dxa"/>
            <w:vMerge w:val="continue"/>
            <w:tcBorders>
              <w:tl2br w:val="nil"/>
              <w:tr2bl w:val="nil"/>
            </w:tcBorders>
            <w:vAlign w:val="center"/>
          </w:tcPr>
          <w:p w14:paraId="550841B9">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8CE40C1">
            <w:pPr>
              <w:jc w:val="center"/>
              <w:rPr>
                <w:rFonts w:ascii="宋体" w:hAnsi="宋体" w:eastAsia="宋体" w:cs="Times New Roman"/>
                <w:color w:val="auto"/>
              </w:rPr>
            </w:pPr>
            <w:r>
              <w:rPr>
                <w:rFonts w:ascii="宋体" w:hAnsi="宋体" w:eastAsia="宋体" w:cs="Times New Roman"/>
                <w:color w:val="auto"/>
              </w:rPr>
              <w:t>0.0199905</w:t>
            </w:r>
          </w:p>
        </w:tc>
        <w:tc>
          <w:tcPr>
            <w:tcW w:w="794" w:type="dxa"/>
            <w:tcBorders>
              <w:bottom w:val="single" w:color="auto" w:sz="4" w:space="0"/>
              <w:tl2br w:val="nil"/>
              <w:tr2bl w:val="nil"/>
            </w:tcBorders>
            <w:vAlign w:val="center"/>
          </w:tcPr>
          <w:p w14:paraId="5B971131">
            <w:pPr>
              <w:jc w:val="right"/>
              <w:textAlignment w:val="center"/>
              <w:rPr>
                <w:rFonts w:ascii="宋体" w:hAnsi="宋体" w:eastAsia="宋体" w:cs="Times New Roman"/>
                <w:color w:val="auto"/>
              </w:rPr>
            </w:pPr>
            <w:r>
              <w:rPr>
                <w:rFonts w:ascii="宋体" w:hAnsi="宋体" w:eastAsia="宋体" w:cs="Times New Roman"/>
                <w:color w:val="auto"/>
                <w:lang w:bidi="ar"/>
              </w:rPr>
              <w:t xml:space="preserve">0.025 </w:t>
            </w:r>
          </w:p>
        </w:tc>
        <w:tc>
          <w:tcPr>
            <w:tcW w:w="1262" w:type="dxa"/>
            <w:tcBorders>
              <w:bottom w:val="single" w:color="auto" w:sz="4" w:space="0"/>
              <w:tl2br w:val="nil"/>
              <w:tr2bl w:val="nil"/>
            </w:tcBorders>
            <w:vAlign w:val="center"/>
          </w:tcPr>
          <w:p w14:paraId="4D7B5FEA">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111B690E">
            <w:pPr>
              <w:jc w:val="center"/>
              <w:rPr>
                <w:rFonts w:ascii="宋体" w:hAnsi="宋体" w:eastAsia="宋体" w:cs="Times New Roman"/>
                <w:color w:val="auto"/>
              </w:rPr>
            </w:pPr>
            <w:r>
              <w:rPr>
                <w:rFonts w:ascii="宋体" w:hAnsi="宋体" w:eastAsia="宋体" w:cs="Times New Roman"/>
                <w:color w:val="auto"/>
              </w:rPr>
              <w:t>31.02</w:t>
            </w:r>
          </w:p>
        </w:tc>
        <w:tc>
          <w:tcPr>
            <w:tcW w:w="836" w:type="dxa"/>
            <w:tcBorders>
              <w:bottom w:val="single" w:color="auto" w:sz="4" w:space="0"/>
              <w:tl2br w:val="nil"/>
              <w:tr2bl w:val="nil"/>
            </w:tcBorders>
            <w:vAlign w:val="center"/>
          </w:tcPr>
          <w:p w14:paraId="6399F7C7">
            <w:pPr>
              <w:jc w:val="right"/>
              <w:textAlignment w:val="center"/>
              <w:rPr>
                <w:rFonts w:ascii="宋体" w:hAnsi="宋体" w:eastAsia="宋体" w:cs="Times New Roman"/>
                <w:color w:val="auto"/>
              </w:rPr>
            </w:pPr>
            <w:r>
              <w:rPr>
                <w:rFonts w:ascii="宋体" w:hAnsi="宋体" w:eastAsia="宋体" w:cs="Times New Roman"/>
                <w:color w:val="auto"/>
                <w:lang w:bidi="ar"/>
              </w:rPr>
              <w:t xml:space="preserve">38.775 </w:t>
            </w:r>
          </w:p>
        </w:tc>
        <w:tc>
          <w:tcPr>
            <w:tcW w:w="830" w:type="dxa"/>
            <w:tcBorders>
              <w:bottom w:val="single" w:color="auto" w:sz="4" w:space="0"/>
              <w:tl2br w:val="nil"/>
              <w:tr2bl w:val="nil"/>
            </w:tcBorders>
            <w:vAlign w:val="center"/>
          </w:tcPr>
          <w:p w14:paraId="24C38841">
            <w:pPr>
              <w:jc w:val="center"/>
              <w:rPr>
                <w:rFonts w:ascii="宋体" w:hAnsi="宋体" w:eastAsia="宋体" w:cs="Times New Roman"/>
                <w:color w:val="auto"/>
              </w:rPr>
            </w:pPr>
            <w:r>
              <w:rPr>
                <w:rFonts w:ascii="宋体" w:hAnsi="宋体" w:eastAsia="宋体" w:cs="Times New Roman"/>
                <w:color w:val="auto"/>
              </w:rPr>
              <w:t>达标</w:t>
            </w:r>
          </w:p>
        </w:tc>
      </w:tr>
      <w:tr w14:paraId="5AA99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7855743D">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15948F7">
            <w:pPr>
              <w:jc w:val="center"/>
              <w:rPr>
                <w:rFonts w:ascii="宋体" w:hAnsi="宋体" w:eastAsia="宋体" w:cs="Times New Roman"/>
                <w:color w:val="auto"/>
              </w:rPr>
            </w:pPr>
            <w:r>
              <w:rPr>
                <w:rFonts w:ascii="宋体" w:hAnsi="宋体" w:eastAsia="宋体" w:cs="Times New Roman"/>
                <w:color w:val="auto"/>
              </w:rPr>
              <w:t>东小山</w:t>
            </w:r>
          </w:p>
        </w:tc>
        <w:tc>
          <w:tcPr>
            <w:tcW w:w="810" w:type="dxa"/>
            <w:vMerge w:val="continue"/>
            <w:tcBorders>
              <w:tl2br w:val="nil"/>
              <w:tr2bl w:val="nil"/>
            </w:tcBorders>
            <w:vAlign w:val="center"/>
          </w:tcPr>
          <w:p w14:paraId="5950E87F">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0FF435E5">
            <w:pPr>
              <w:jc w:val="center"/>
              <w:rPr>
                <w:rFonts w:ascii="宋体" w:hAnsi="宋体" w:eastAsia="宋体" w:cs="Times New Roman"/>
                <w:color w:val="auto"/>
              </w:rPr>
            </w:pPr>
            <w:r>
              <w:rPr>
                <w:rFonts w:ascii="宋体" w:hAnsi="宋体" w:eastAsia="宋体" w:cs="Times New Roman"/>
                <w:color w:val="auto"/>
              </w:rPr>
              <w:t>0.0273273</w:t>
            </w:r>
          </w:p>
        </w:tc>
        <w:tc>
          <w:tcPr>
            <w:tcW w:w="794" w:type="dxa"/>
            <w:tcBorders>
              <w:bottom w:val="single" w:color="auto" w:sz="4" w:space="0"/>
              <w:tl2br w:val="nil"/>
              <w:tr2bl w:val="nil"/>
            </w:tcBorders>
            <w:vAlign w:val="center"/>
          </w:tcPr>
          <w:p w14:paraId="26C44465">
            <w:pPr>
              <w:jc w:val="right"/>
              <w:textAlignment w:val="center"/>
              <w:rPr>
                <w:rFonts w:ascii="宋体" w:hAnsi="宋体" w:eastAsia="宋体" w:cs="Times New Roman"/>
                <w:color w:val="auto"/>
              </w:rPr>
            </w:pPr>
            <w:r>
              <w:rPr>
                <w:rFonts w:ascii="宋体" w:hAnsi="宋体" w:eastAsia="宋体" w:cs="Times New Roman"/>
                <w:color w:val="auto"/>
                <w:lang w:bidi="ar"/>
              </w:rPr>
              <w:t xml:space="preserve">0.034 </w:t>
            </w:r>
          </w:p>
        </w:tc>
        <w:tc>
          <w:tcPr>
            <w:tcW w:w="1262" w:type="dxa"/>
            <w:tcBorders>
              <w:bottom w:val="single" w:color="auto" w:sz="4" w:space="0"/>
              <w:tl2br w:val="nil"/>
              <w:tr2bl w:val="nil"/>
            </w:tcBorders>
            <w:vAlign w:val="center"/>
          </w:tcPr>
          <w:p w14:paraId="5280A4FE">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2C4676FF">
            <w:pPr>
              <w:jc w:val="center"/>
              <w:rPr>
                <w:rFonts w:ascii="宋体" w:hAnsi="宋体" w:eastAsia="宋体" w:cs="Times New Roman"/>
                <w:color w:val="auto"/>
              </w:rPr>
            </w:pPr>
            <w:r>
              <w:rPr>
                <w:rFonts w:ascii="宋体" w:hAnsi="宋体" w:eastAsia="宋体" w:cs="Times New Roman"/>
                <w:color w:val="auto"/>
              </w:rPr>
              <w:t>31.0273</w:t>
            </w:r>
          </w:p>
        </w:tc>
        <w:tc>
          <w:tcPr>
            <w:tcW w:w="836" w:type="dxa"/>
            <w:tcBorders>
              <w:bottom w:val="single" w:color="auto" w:sz="4" w:space="0"/>
              <w:tl2br w:val="nil"/>
              <w:tr2bl w:val="nil"/>
            </w:tcBorders>
            <w:vAlign w:val="center"/>
          </w:tcPr>
          <w:p w14:paraId="264FDC7F">
            <w:pPr>
              <w:jc w:val="right"/>
              <w:textAlignment w:val="center"/>
              <w:rPr>
                <w:rFonts w:ascii="宋体" w:hAnsi="宋体" w:eastAsia="宋体" w:cs="Times New Roman"/>
                <w:color w:val="auto"/>
              </w:rPr>
            </w:pPr>
            <w:r>
              <w:rPr>
                <w:rFonts w:ascii="宋体" w:hAnsi="宋体" w:eastAsia="宋体" w:cs="Times New Roman"/>
                <w:color w:val="auto"/>
                <w:lang w:bidi="ar"/>
              </w:rPr>
              <w:t xml:space="preserve">38.784 </w:t>
            </w:r>
          </w:p>
        </w:tc>
        <w:tc>
          <w:tcPr>
            <w:tcW w:w="830" w:type="dxa"/>
            <w:tcBorders>
              <w:bottom w:val="single" w:color="auto" w:sz="4" w:space="0"/>
              <w:tl2br w:val="nil"/>
              <w:tr2bl w:val="nil"/>
            </w:tcBorders>
            <w:vAlign w:val="center"/>
          </w:tcPr>
          <w:p w14:paraId="60CAAF07">
            <w:pPr>
              <w:jc w:val="center"/>
              <w:rPr>
                <w:rFonts w:ascii="宋体" w:hAnsi="宋体" w:eastAsia="宋体" w:cs="Times New Roman"/>
                <w:color w:val="auto"/>
              </w:rPr>
            </w:pPr>
            <w:r>
              <w:rPr>
                <w:rFonts w:ascii="宋体" w:hAnsi="宋体" w:eastAsia="宋体" w:cs="Times New Roman"/>
                <w:color w:val="auto"/>
              </w:rPr>
              <w:t>达标</w:t>
            </w:r>
          </w:p>
        </w:tc>
      </w:tr>
      <w:tr w14:paraId="5F97F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70F0352">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5FF2DBD">
            <w:pPr>
              <w:jc w:val="center"/>
              <w:rPr>
                <w:rFonts w:ascii="宋体" w:hAnsi="宋体" w:eastAsia="宋体" w:cs="Times New Roman"/>
                <w:color w:val="auto"/>
              </w:rPr>
            </w:pPr>
            <w:r>
              <w:rPr>
                <w:rFonts w:ascii="宋体" w:hAnsi="宋体" w:eastAsia="宋体" w:cs="Times New Roman"/>
                <w:color w:val="auto"/>
              </w:rPr>
              <w:t>科技屯</w:t>
            </w:r>
          </w:p>
        </w:tc>
        <w:tc>
          <w:tcPr>
            <w:tcW w:w="810" w:type="dxa"/>
            <w:vMerge w:val="continue"/>
            <w:tcBorders>
              <w:tl2br w:val="nil"/>
              <w:tr2bl w:val="nil"/>
            </w:tcBorders>
            <w:vAlign w:val="center"/>
          </w:tcPr>
          <w:p w14:paraId="398A9A68">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15524D18">
            <w:pPr>
              <w:jc w:val="center"/>
              <w:rPr>
                <w:rFonts w:ascii="宋体" w:hAnsi="宋体" w:eastAsia="宋体" w:cs="Times New Roman"/>
                <w:color w:val="auto"/>
              </w:rPr>
            </w:pPr>
            <w:r>
              <w:rPr>
                <w:rFonts w:ascii="宋体" w:hAnsi="宋体" w:eastAsia="宋体" w:cs="Times New Roman"/>
                <w:color w:val="auto"/>
              </w:rPr>
              <w:t>0.0305025</w:t>
            </w:r>
          </w:p>
        </w:tc>
        <w:tc>
          <w:tcPr>
            <w:tcW w:w="794" w:type="dxa"/>
            <w:tcBorders>
              <w:bottom w:val="single" w:color="auto" w:sz="4" w:space="0"/>
              <w:tl2br w:val="nil"/>
              <w:tr2bl w:val="nil"/>
            </w:tcBorders>
            <w:vAlign w:val="center"/>
          </w:tcPr>
          <w:p w14:paraId="116445DF">
            <w:pPr>
              <w:jc w:val="right"/>
              <w:textAlignment w:val="center"/>
              <w:rPr>
                <w:rFonts w:ascii="宋体" w:hAnsi="宋体" w:eastAsia="宋体" w:cs="Times New Roman"/>
                <w:color w:val="auto"/>
              </w:rPr>
            </w:pPr>
            <w:r>
              <w:rPr>
                <w:rFonts w:ascii="宋体" w:hAnsi="宋体" w:eastAsia="宋体" w:cs="Times New Roman"/>
                <w:color w:val="auto"/>
                <w:lang w:bidi="ar"/>
              </w:rPr>
              <w:t xml:space="preserve">0.038 </w:t>
            </w:r>
          </w:p>
        </w:tc>
        <w:tc>
          <w:tcPr>
            <w:tcW w:w="1262" w:type="dxa"/>
            <w:tcBorders>
              <w:bottom w:val="single" w:color="auto" w:sz="4" w:space="0"/>
              <w:tl2br w:val="nil"/>
              <w:tr2bl w:val="nil"/>
            </w:tcBorders>
            <w:vAlign w:val="center"/>
          </w:tcPr>
          <w:p w14:paraId="4ED93FAC">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7F6C8425">
            <w:pPr>
              <w:jc w:val="center"/>
              <w:rPr>
                <w:rFonts w:ascii="宋体" w:hAnsi="宋体" w:eastAsia="宋体" w:cs="Times New Roman"/>
                <w:color w:val="auto"/>
              </w:rPr>
            </w:pPr>
            <w:r>
              <w:rPr>
                <w:rFonts w:ascii="宋体" w:hAnsi="宋体" w:eastAsia="宋体" w:cs="Times New Roman"/>
                <w:color w:val="auto"/>
              </w:rPr>
              <w:t>31.0305</w:t>
            </w:r>
          </w:p>
        </w:tc>
        <w:tc>
          <w:tcPr>
            <w:tcW w:w="836" w:type="dxa"/>
            <w:tcBorders>
              <w:bottom w:val="single" w:color="auto" w:sz="4" w:space="0"/>
              <w:tl2br w:val="nil"/>
              <w:tr2bl w:val="nil"/>
            </w:tcBorders>
            <w:vAlign w:val="center"/>
          </w:tcPr>
          <w:p w14:paraId="01167768">
            <w:pPr>
              <w:jc w:val="right"/>
              <w:textAlignment w:val="center"/>
              <w:rPr>
                <w:rFonts w:ascii="宋体" w:hAnsi="宋体" w:eastAsia="宋体" w:cs="Times New Roman"/>
                <w:color w:val="auto"/>
              </w:rPr>
            </w:pPr>
            <w:r>
              <w:rPr>
                <w:rFonts w:ascii="宋体" w:hAnsi="宋体" w:eastAsia="宋体" w:cs="Times New Roman"/>
                <w:color w:val="auto"/>
                <w:lang w:bidi="ar"/>
              </w:rPr>
              <w:t xml:space="preserve">38.788 </w:t>
            </w:r>
          </w:p>
        </w:tc>
        <w:tc>
          <w:tcPr>
            <w:tcW w:w="830" w:type="dxa"/>
            <w:tcBorders>
              <w:bottom w:val="single" w:color="auto" w:sz="4" w:space="0"/>
              <w:tl2br w:val="nil"/>
              <w:tr2bl w:val="nil"/>
            </w:tcBorders>
            <w:vAlign w:val="center"/>
          </w:tcPr>
          <w:p w14:paraId="55EF7CEA">
            <w:pPr>
              <w:jc w:val="center"/>
              <w:rPr>
                <w:rFonts w:ascii="宋体" w:hAnsi="宋体" w:eastAsia="宋体" w:cs="Times New Roman"/>
                <w:color w:val="auto"/>
              </w:rPr>
            </w:pPr>
            <w:r>
              <w:rPr>
                <w:rFonts w:ascii="宋体" w:hAnsi="宋体" w:eastAsia="宋体" w:cs="Times New Roman"/>
                <w:color w:val="auto"/>
              </w:rPr>
              <w:t>达标</w:t>
            </w:r>
          </w:p>
        </w:tc>
      </w:tr>
      <w:tr w14:paraId="533EC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3D1A0DF">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7C15793A">
            <w:pPr>
              <w:jc w:val="center"/>
              <w:rPr>
                <w:rFonts w:ascii="宋体" w:hAnsi="宋体" w:eastAsia="宋体" w:cs="Times New Roman"/>
                <w:color w:val="auto"/>
              </w:rPr>
            </w:pPr>
            <w:r>
              <w:rPr>
                <w:rFonts w:ascii="宋体" w:hAnsi="宋体" w:eastAsia="宋体" w:cs="Times New Roman"/>
                <w:color w:val="auto"/>
              </w:rPr>
              <w:t>大姚屯</w:t>
            </w:r>
          </w:p>
        </w:tc>
        <w:tc>
          <w:tcPr>
            <w:tcW w:w="810" w:type="dxa"/>
            <w:vMerge w:val="continue"/>
            <w:tcBorders>
              <w:tl2br w:val="nil"/>
              <w:tr2bl w:val="nil"/>
            </w:tcBorders>
            <w:vAlign w:val="center"/>
          </w:tcPr>
          <w:p w14:paraId="5ED8ADB0">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398C3073">
            <w:pPr>
              <w:jc w:val="center"/>
              <w:rPr>
                <w:rFonts w:ascii="宋体" w:hAnsi="宋体" w:eastAsia="宋体" w:cs="Times New Roman"/>
                <w:color w:val="auto"/>
              </w:rPr>
            </w:pPr>
            <w:r>
              <w:rPr>
                <w:rFonts w:ascii="宋体" w:hAnsi="宋体" w:eastAsia="宋体" w:cs="Times New Roman"/>
                <w:color w:val="auto"/>
              </w:rPr>
              <w:t>0.0295655</w:t>
            </w:r>
          </w:p>
        </w:tc>
        <w:tc>
          <w:tcPr>
            <w:tcW w:w="794" w:type="dxa"/>
            <w:tcBorders>
              <w:bottom w:val="single" w:color="auto" w:sz="4" w:space="0"/>
              <w:tl2br w:val="nil"/>
              <w:tr2bl w:val="nil"/>
            </w:tcBorders>
            <w:vAlign w:val="center"/>
          </w:tcPr>
          <w:p w14:paraId="522B7AC0">
            <w:pPr>
              <w:jc w:val="right"/>
              <w:textAlignment w:val="center"/>
              <w:rPr>
                <w:rFonts w:ascii="宋体" w:hAnsi="宋体" w:eastAsia="宋体" w:cs="Times New Roman"/>
                <w:color w:val="auto"/>
              </w:rPr>
            </w:pPr>
            <w:r>
              <w:rPr>
                <w:rFonts w:ascii="宋体" w:hAnsi="宋体" w:eastAsia="宋体" w:cs="Times New Roman"/>
                <w:color w:val="auto"/>
                <w:lang w:bidi="ar"/>
              </w:rPr>
              <w:t xml:space="preserve">0.037 </w:t>
            </w:r>
          </w:p>
        </w:tc>
        <w:tc>
          <w:tcPr>
            <w:tcW w:w="1262" w:type="dxa"/>
            <w:tcBorders>
              <w:bottom w:val="single" w:color="auto" w:sz="4" w:space="0"/>
              <w:tl2br w:val="nil"/>
              <w:tr2bl w:val="nil"/>
            </w:tcBorders>
            <w:vAlign w:val="center"/>
          </w:tcPr>
          <w:p w14:paraId="691102D2">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4CA621C8">
            <w:pPr>
              <w:jc w:val="center"/>
              <w:rPr>
                <w:rFonts w:ascii="宋体" w:hAnsi="宋体" w:eastAsia="宋体" w:cs="Times New Roman"/>
                <w:color w:val="auto"/>
              </w:rPr>
            </w:pPr>
            <w:r>
              <w:rPr>
                <w:rFonts w:ascii="宋体" w:hAnsi="宋体" w:eastAsia="宋体" w:cs="Times New Roman"/>
                <w:color w:val="auto"/>
              </w:rPr>
              <w:t>31.0296</w:t>
            </w:r>
          </w:p>
        </w:tc>
        <w:tc>
          <w:tcPr>
            <w:tcW w:w="836" w:type="dxa"/>
            <w:tcBorders>
              <w:bottom w:val="single" w:color="auto" w:sz="4" w:space="0"/>
              <w:tl2br w:val="nil"/>
              <w:tr2bl w:val="nil"/>
            </w:tcBorders>
            <w:vAlign w:val="center"/>
          </w:tcPr>
          <w:p w14:paraId="1C6ADA4A">
            <w:pPr>
              <w:jc w:val="right"/>
              <w:textAlignment w:val="center"/>
              <w:rPr>
                <w:rFonts w:ascii="宋体" w:hAnsi="宋体" w:eastAsia="宋体" w:cs="Times New Roman"/>
                <w:color w:val="auto"/>
              </w:rPr>
            </w:pPr>
            <w:r>
              <w:rPr>
                <w:rFonts w:ascii="宋体" w:hAnsi="宋体" w:eastAsia="宋体" w:cs="Times New Roman"/>
                <w:color w:val="auto"/>
                <w:lang w:bidi="ar"/>
              </w:rPr>
              <w:t xml:space="preserve">38.787 </w:t>
            </w:r>
          </w:p>
        </w:tc>
        <w:tc>
          <w:tcPr>
            <w:tcW w:w="830" w:type="dxa"/>
            <w:tcBorders>
              <w:bottom w:val="single" w:color="auto" w:sz="4" w:space="0"/>
              <w:tl2br w:val="nil"/>
              <w:tr2bl w:val="nil"/>
            </w:tcBorders>
            <w:vAlign w:val="center"/>
          </w:tcPr>
          <w:p w14:paraId="4A44FA2F">
            <w:pPr>
              <w:jc w:val="center"/>
              <w:rPr>
                <w:rFonts w:ascii="宋体" w:hAnsi="宋体" w:eastAsia="宋体" w:cs="Times New Roman"/>
                <w:color w:val="auto"/>
              </w:rPr>
            </w:pPr>
            <w:r>
              <w:rPr>
                <w:rFonts w:ascii="宋体" w:hAnsi="宋体" w:eastAsia="宋体" w:cs="Times New Roman"/>
                <w:color w:val="auto"/>
              </w:rPr>
              <w:t>达标</w:t>
            </w:r>
          </w:p>
        </w:tc>
      </w:tr>
      <w:tr w14:paraId="2898F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2AF89E48">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1EDCF385">
            <w:pPr>
              <w:jc w:val="center"/>
              <w:rPr>
                <w:rFonts w:ascii="宋体" w:hAnsi="宋体" w:eastAsia="宋体" w:cs="Times New Roman"/>
                <w:color w:val="auto"/>
              </w:rPr>
            </w:pPr>
            <w:r>
              <w:rPr>
                <w:rFonts w:ascii="宋体" w:hAnsi="宋体" w:eastAsia="宋体" w:cs="Times New Roman"/>
                <w:color w:val="auto"/>
              </w:rPr>
              <w:t>奎中里屯</w:t>
            </w:r>
          </w:p>
        </w:tc>
        <w:tc>
          <w:tcPr>
            <w:tcW w:w="810" w:type="dxa"/>
            <w:vMerge w:val="continue"/>
            <w:tcBorders>
              <w:tl2br w:val="nil"/>
              <w:tr2bl w:val="nil"/>
            </w:tcBorders>
            <w:vAlign w:val="center"/>
          </w:tcPr>
          <w:p w14:paraId="1D76F41C">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777F91E3">
            <w:pPr>
              <w:jc w:val="center"/>
              <w:rPr>
                <w:rFonts w:ascii="宋体" w:hAnsi="宋体" w:eastAsia="宋体" w:cs="Times New Roman"/>
                <w:color w:val="auto"/>
              </w:rPr>
            </w:pPr>
            <w:r>
              <w:rPr>
                <w:rFonts w:ascii="宋体" w:hAnsi="宋体" w:eastAsia="宋体" w:cs="Times New Roman"/>
                <w:color w:val="auto"/>
              </w:rPr>
              <w:t>0.0937826</w:t>
            </w:r>
          </w:p>
        </w:tc>
        <w:tc>
          <w:tcPr>
            <w:tcW w:w="794" w:type="dxa"/>
            <w:tcBorders>
              <w:bottom w:val="single" w:color="auto" w:sz="4" w:space="0"/>
              <w:tl2br w:val="nil"/>
              <w:tr2bl w:val="nil"/>
            </w:tcBorders>
            <w:vAlign w:val="center"/>
          </w:tcPr>
          <w:p w14:paraId="740CA8BF">
            <w:pPr>
              <w:jc w:val="right"/>
              <w:textAlignment w:val="center"/>
              <w:rPr>
                <w:rFonts w:ascii="宋体" w:hAnsi="宋体" w:eastAsia="宋体" w:cs="Times New Roman"/>
                <w:color w:val="auto"/>
              </w:rPr>
            </w:pPr>
            <w:r>
              <w:rPr>
                <w:rFonts w:ascii="宋体" w:hAnsi="宋体" w:eastAsia="宋体" w:cs="Times New Roman"/>
                <w:color w:val="auto"/>
                <w:lang w:bidi="ar"/>
              </w:rPr>
              <w:t xml:space="preserve">0.117 </w:t>
            </w:r>
          </w:p>
        </w:tc>
        <w:tc>
          <w:tcPr>
            <w:tcW w:w="1262" w:type="dxa"/>
            <w:tcBorders>
              <w:bottom w:val="single" w:color="auto" w:sz="4" w:space="0"/>
              <w:tl2br w:val="nil"/>
              <w:tr2bl w:val="nil"/>
            </w:tcBorders>
            <w:vAlign w:val="center"/>
          </w:tcPr>
          <w:p w14:paraId="24B2AE2F">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75D11238">
            <w:pPr>
              <w:jc w:val="center"/>
              <w:rPr>
                <w:rFonts w:ascii="宋体" w:hAnsi="宋体" w:eastAsia="宋体" w:cs="Times New Roman"/>
                <w:color w:val="auto"/>
              </w:rPr>
            </w:pPr>
            <w:r>
              <w:rPr>
                <w:rFonts w:ascii="宋体" w:hAnsi="宋体" w:eastAsia="宋体" w:cs="Times New Roman"/>
                <w:color w:val="auto"/>
              </w:rPr>
              <w:t>31.0938</w:t>
            </w:r>
          </w:p>
        </w:tc>
        <w:tc>
          <w:tcPr>
            <w:tcW w:w="836" w:type="dxa"/>
            <w:tcBorders>
              <w:bottom w:val="single" w:color="auto" w:sz="4" w:space="0"/>
              <w:tl2br w:val="nil"/>
              <w:tr2bl w:val="nil"/>
            </w:tcBorders>
            <w:vAlign w:val="center"/>
          </w:tcPr>
          <w:p w14:paraId="70B4E3AE">
            <w:pPr>
              <w:jc w:val="right"/>
              <w:textAlignment w:val="center"/>
              <w:rPr>
                <w:rFonts w:ascii="宋体" w:hAnsi="宋体" w:eastAsia="宋体" w:cs="Times New Roman"/>
                <w:color w:val="auto"/>
              </w:rPr>
            </w:pPr>
            <w:r>
              <w:rPr>
                <w:rFonts w:ascii="宋体" w:hAnsi="宋体" w:eastAsia="宋体" w:cs="Times New Roman"/>
                <w:color w:val="auto"/>
                <w:lang w:bidi="ar"/>
              </w:rPr>
              <w:t xml:space="preserve">38.867 </w:t>
            </w:r>
          </w:p>
        </w:tc>
        <w:tc>
          <w:tcPr>
            <w:tcW w:w="830" w:type="dxa"/>
            <w:tcBorders>
              <w:bottom w:val="single" w:color="auto" w:sz="4" w:space="0"/>
              <w:tl2br w:val="nil"/>
              <w:tr2bl w:val="nil"/>
            </w:tcBorders>
            <w:vAlign w:val="center"/>
          </w:tcPr>
          <w:p w14:paraId="668F756E">
            <w:pPr>
              <w:jc w:val="center"/>
              <w:rPr>
                <w:rFonts w:ascii="宋体" w:hAnsi="宋体" w:eastAsia="宋体" w:cs="Times New Roman"/>
                <w:color w:val="auto"/>
              </w:rPr>
            </w:pPr>
            <w:r>
              <w:rPr>
                <w:rFonts w:ascii="宋体" w:hAnsi="宋体" w:eastAsia="宋体" w:cs="Times New Roman"/>
                <w:color w:val="auto"/>
              </w:rPr>
              <w:t>达标</w:t>
            </w:r>
          </w:p>
        </w:tc>
      </w:tr>
      <w:tr w14:paraId="0F697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FCD8A97">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5B4A70C9">
            <w:pPr>
              <w:jc w:val="center"/>
              <w:rPr>
                <w:rFonts w:ascii="宋体" w:hAnsi="宋体" w:eastAsia="宋体" w:cs="Times New Roman"/>
                <w:color w:val="auto"/>
              </w:rPr>
            </w:pPr>
            <w:r>
              <w:rPr>
                <w:rFonts w:ascii="宋体" w:hAnsi="宋体" w:eastAsia="宋体" w:cs="Times New Roman"/>
                <w:color w:val="auto"/>
              </w:rPr>
              <w:t>区域最大落地浓度</w:t>
            </w:r>
          </w:p>
        </w:tc>
        <w:tc>
          <w:tcPr>
            <w:tcW w:w="810" w:type="dxa"/>
            <w:vMerge w:val="continue"/>
            <w:tcBorders>
              <w:bottom w:val="single" w:color="auto" w:sz="4" w:space="0"/>
              <w:tl2br w:val="nil"/>
              <w:tr2bl w:val="nil"/>
            </w:tcBorders>
            <w:vAlign w:val="center"/>
          </w:tcPr>
          <w:p w14:paraId="51D5B61F">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0EB89AB5">
            <w:pPr>
              <w:jc w:val="center"/>
              <w:rPr>
                <w:rFonts w:ascii="宋体" w:hAnsi="宋体" w:eastAsia="宋体" w:cs="Times New Roman"/>
                <w:color w:val="auto"/>
              </w:rPr>
            </w:pPr>
            <w:r>
              <w:rPr>
                <w:rFonts w:ascii="宋体" w:hAnsi="宋体" w:eastAsia="宋体" w:cs="Times New Roman"/>
                <w:color w:val="auto"/>
              </w:rPr>
              <w:t xml:space="preserve"> 1.36144</w:t>
            </w:r>
          </w:p>
        </w:tc>
        <w:tc>
          <w:tcPr>
            <w:tcW w:w="794" w:type="dxa"/>
            <w:tcBorders>
              <w:bottom w:val="single" w:color="auto" w:sz="4" w:space="0"/>
              <w:tl2br w:val="nil"/>
              <w:tr2bl w:val="nil"/>
            </w:tcBorders>
            <w:vAlign w:val="center"/>
          </w:tcPr>
          <w:p w14:paraId="5B13C441">
            <w:pPr>
              <w:jc w:val="center"/>
              <w:rPr>
                <w:rFonts w:ascii="宋体" w:hAnsi="宋体" w:eastAsia="宋体" w:cs="Times New Roman"/>
                <w:color w:val="auto"/>
              </w:rPr>
            </w:pPr>
            <w:r>
              <w:rPr>
                <w:rFonts w:ascii="宋体" w:hAnsi="宋体" w:eastAsia="宋体" w:cs="Times New Roman"/>
                <w:color w:val="auto"/>
              </w:rPr>
              <w:t>1.702</w:t>
            </w:r>
          </w:p>
        </w:tc>
        <w:tc>
          <w:tcPr>
            <w:tcW w:w="1262" w:type="dxa"/>
            <w:tcBorders>
              <w:bottom w:val="single" w:color="auto" w:sz="4" w:space="0"/>
              <w:tl2br w:val="nil"/>
              <w:tr2bl w:val="nil"/>
            </w:tcBorders>
            <w:vAlign w:val="center"/>
          </w:tcPr>
          <w:p w14:paraId="205CDBCA">
            <w:pPr>
              <w:jc w:val="center"/>
              <w:rPr>
                <w:rFonts w:ascii="宋体" w:hAnsi="宋体" w:eastAsia="宋体" w:cs="Times New Roman"/>
                <w:color w:val="auto"/>
              </w:rPr>
            </w:pPr>
            <w:r>
              <w:rPr>
                <w:rFonts w:ascii="宋体" w:hAnsi="宋体" w:eastAsia="宋体" w:cs="Times New Roman"/>
                <w:color w:val="auto"/>
              </w:rPr>
              <w:t>31</w:t>
            </w:r>
          </w:p>
        </w:tc>
        <w:tc>
          <w:tcPr>
            <w:tcW w:w="1403" w:type="dxa"/>
            <w:tcBorders>
              <w:bottom w:val="single" w:color="auto" w:sz="4" w:space="0"/>
              <w:tl2br w:val="nil"/>
              <w:tr2bl w:val="nil"/>
            </w:tcBorders>
            <w:vAlign w:val="center"/>
          </w:tcPr>
          <w:p w14:paraId="2568969F">
            <w:pPr>
              <w:jc w:val="center"/>
              <w:rPr>
                <w:rFonts w:ascii="宋体" w:hAnsi="宋体" w:eastAsia="宋体" w:cs="Times New Roman"/>
                <w:color w:val="auto"/>
              </w:rPr>
            </w:pPr>
            <w:r>
              <w:rPr>
                <w:rFonts w:ascii="宋体" w:hAnsi="宋体" w:eastAsia="宋体" w:cs="Times New Roman"/>
                <w:color w:val="auto"/>
              </w:rPr>
              <w:t xml:space="preserve"> 32.3614</w:t>
            </w:r>
          </w:p>
        </w:tc>
        <w:tc>
          <w:tcPr>
            <w:tcW w:w="836" w:type="dxa"/>
            <w:tcBorders>
              <w:bottom w:val="single" w:color="auto" w:sz="4" w:space="0"/>
              <w:tl2br w:val="nil"/>
              <w:tr2bl w:val="nil"/>
            </w:tcBorders>
            <w:vAlign w:val="center"/>
          </w:tcPr>
          <w:p w14:paraId="38671B1E">
            <w:pPr>
              <w:jc w:val="center"/>
              <w:rPr>
                <w:rFonts w:ascii="宋体" w:hAnsi="宋体" w:eastAsia="宋体" w:cs="Times New Roman"/>
                <w:color w:val="auto"/>
              </w:rPr>
            </w:pPr>
            <w:r>
              <w:rPr>
                <w:rFonts w:ascii="宋体" w:hAnsi="宋体" w:eastAsia="宋体" w:cs="Times New Roman"/>
                <w:color w:val="auto"/>
              </w:rPr>
              <w:t xml:space="preserve">40.452 </w:t>
            </w:r>
          </w:p>
        </w:tc>
        <w:tc>
          <w:tcPr>
            <w:tcW w:w="830" w:type="dxa"/>
            <w:tcBorders>
              <w:bottom w:val="single" w:color="auto" w:sz="4" w:space="0"/>
              <w:tl2br w:val="nil"/>
              <w:tr2bl w:val="nil"/>
            </w:tcBorders>
            <w:vAlign w:val="center"/>
          </w:tcPr>
          <w:p w14:paraId="66882111">
            <w:pPr>
              <w:jc w:val="center"/>
              <w:rPr>
                <w:rFonts w:ascii="宋体" w:hAnsi="宋体" w:eastAsia="宋体" w:cs="Times New Roman"/>
                <w:color w:val="auto"/>
              </w:rPr>
            </w:pPr>
            <w:r>
              <w:rPr>
                <w:rFonts w:ascii="宋体" w:hAnsi="宋体" w:eastAsia="宋体" w:cs="Times New Roman"/>
                <w:color w:val="auto"/>
              </w:rPr>
              <w:t>达标</w:t>
            </w:r>
          </w:p>
        </w:tc>
      </w:tr>
      <w:tr w14:paraId="10024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5C9A78FF">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2D20C83F">
            <w:pPr>
              <w:jc w:val="center"/>
              <w:rPr>
                <w:rFonts w:ascii="宋体" w:hAnsi="宋体" w:eastAsia="宋体" w:cs="Times New Roman"/>
                <w:color w:val="auto"/>
              </w:rPr>
            </w:pPr>
            <w:r>
              <w:rPr>
                <w:rFonts w:ascii="宋体" w:hAnsi="宋体" w:eastAsia="宋体" w:cs="Times New Roman"/>
                <w:color w:val="auto"/>
              </w:rPr>
              <w:t xml:space="preserve"> 吴家围子</w:t>
            </w:r>
          </w:p>
        </w:tc>
        <w:tc>
          <w:tcPr>
            <w:tcW w:w="810" w:type="dxa"/>
            <w:vMerge w:val="restart"/>
            <w:tcBorders>
              <w:top w:val="single" w:color="auto" w:sz="4" w:space="0"/>
              <w:tl2br w:val="nil"/>
              <w:tr2bl w:val="nil"/>
            </w:tcBorders>
            <w:vAlign w:val="center"/>
          </w:tcPr>
          <w:p w14:paraId="5DAEEB28">
            <w:pPr>
              <w:jc w:val="center"/>
              <w:rPr>
                <w:rFonts w:ascii="宋体" w:hAnsi="宋体" w:eastAsia="宋体" w:cs="Times New Roman"/>
                <w:color w:val="auto"/>
              </w:rPr>
            </w:pPr>
            <w:r>
              <w:rPr>
                <w:rFonts w:ascii="宋体" w:hAnsi="宋体" w:eastAsia="宋体" w:cs="Times New Roman"/>
                <w:color w:val="auto"/>
              </w:rPr>
              <w:t>年平均</w:t>
            </w:r>
          </w:p>
        </w:tc>
        <w:tc>
          <w:tcPr>
            <w:tcW w:w="1006" w:type="dxa"/>
            <w:tcBorders>
              <w:bottom w:val="single" w:color="auto" w:sz="4" w:space="0"/>
              <w:tl2br w:val="nil"/>
              <w:tr2bl w:val="nil"/>
            </w:tcBorders>
            <w:vAlign w:val="center"/>
          </w:tcPr>
          <w:p w14:paraId="1A80484F">
            <w:pPr>
              <w:jc w:val="center"/>
              <w:rPr>
                <w:rFonts w:ascii="宋体" w:hAnsi="宋体" w:eastAsia="宋体" w:cs="Times New Roman"/>
                <w:color w:val="auto"/>
              </w:rPr>
            </w:pPr>
            <w:r>
              <w:rPr>
                <w:rFonts w:ascii="宋体" w:hAnsi="宋体" w:eastAsia="宋体" w:cs="Times New Roman"/>
                <w:color w:val="auto"/>
              </w:rPr>
              <w:t xml:space="preserve"> 0.0268139</w:t>
            </w:r>
          </w:p>
        </w:tc>
        <w:tc>
          <w:tcPr>
            <w:tcW w:w="794" w:type="dxa"/>
            <w:tcBorders>
              <w:bottom w:val="single" w:color="auto" w:sz="4" w:space="0"/>
              <w:tl2br w:val="nil"/>
              <w:tr2bl w:val="nil"/>
            </w:tcBorders>
            <w:vAlign w:val="center"/>
          </w:tcPr>
          <w:p w14:paraId="4662ABF5">
            <w:pPr>
              <w:jc w:val="right"/>
              <w:textAlignment w:val="center"/>
              <w:rPr>
                <w:rFonts w:ascii="宋体" w:hAnsi="宋体" w:eastAsia="宋体" w:cs="Times New Roman"/>
                <w:color w:val="auto"/>
              </w:rPr>
            </w:pPr>
            <w:r>
              <w:rPr>
                <w:rFonts w:ascii="宋体" w:hAnsi="宋体" w:eastAsia="宋体" w:cs="Times New Roman"/>
                <w:color w:val="auto"/>
                <w:lang w:bidi="ar"/>
              </w:rPr>
              <w:t xml:space="preserve">0.067 </w:t>
            </w:r>
          </w:p>
        </w:tc>
        <w:tc>
          <w:tcPr>
            <w:tcW w:w="1262" w:type="dxa"/>
            <w:tcBorders>
              <w:bottom w:val="single" w:color="auto" w:sz="4" w:space="0"/>
              <w:tl2br w:val="nil"/>
              <w:tr2bl w:val="nil"/>
            </w:tcBorders>
            <w:vAlign w:val="center"/>
          </w:tcPr>
          <w:p w14:paraId="526BA4C1">
            <w:pPr>
              <w:jc w:val="center"/>
              <w:rPr>
                <w:rFonts w:ascii="宋体" w:hAnsi="宋体" w:eastAsia="宋体" w:cs="Times New Roman"/>
                <w:color w:val="auto"/>
              </w:rPr>
            </w:pPr>
            <w:r>
              <w:rPr>
                <w:rFonts w:ascii="宋体" w:hAnsi="宋体" w:eastAsia="宋体" w:cs="Times New Roman"/>
                <w:color w:val="auto"/>
              </w:rPr>
              <w:t>18</w:t>
            </w:r>
          </w:p>
        </w:tc>
        <w:tc>
          <w:tcPr>
            <w:tcW w:w="1403" w:type="dxa"/>
            <w:tcBorders>
              <w:bottom w:val="single" w:color="auto" w:sz="4" w:space="0"/>
              <w:tl2br w:val="nil"/>
              <w:tr2bl w:val="nil"/>
            </w:tcBorders>
            <w:vAlign w:val="center"/>
          </w:tcPr>
          <w:p w14:paraId="069C5649">
            <w:pPr>
              <w:jc w:val="center"/>
              <w:rPr>
                <w:rFonts w:ascii="宋体" w:hAnsi="宋体" w:eastAsia="宋体" w:cs="Times New Roman"/>
                <w:color w:val="auto"/>
              </w:rPr>
            </w:pPr>
            <w:r>
              <w:rPr>
                <w:rFonts w:ascii="宋体" w:hAnsi="宋体" w:eastAsia="宋体" w:cs="Times New Roman"/>
                <w:color w:val="auto"/>
              </w:rPr>
              <w:t xml:space="preserve"> 18.0268</w:t>
            </w:r>
          </w:p>
        </w:tc>
        <w:tc>
          <w:tcPr>
            <w:tcW w:w="836" w:type="dxa"/>
            <w:tcBorders>
              <w:bottom w:val="single" w:color="auto" w:sz="4" w:space="0"/>
              <w:tl2br w:val="nil"/>
              <w:tr2bl w:val="nil"/>
            </w:tcBorders>
            <w:vAlign w:val="center"/>
          </w:tcPr>
          <w:p w14:paraId="36A6DDA6">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45.067 </w:t>
            </w:r>
          </w:p>
        </w:tc>
        <w:tc>
          <w:tcPr>
            <w:tcW w:w="830" w:type="dxa"/>
            <w:tcBorders>
              <w:bottom w:val="single" w:color="auto" w:sz="4" w:space="0"/>
              <w:tl2br w:val="nil"/>
              <w:tr2bl w:val="nil"/>
            </w:tcBorders>
            <w:vAlign w:val="center"/>
          </w:tcPr>
          <w:p w14:paraId="3A920CCF">
            <w:pPr>
              <w:jc w:val="center"/>
              <w:rPr>
                <w:rFonts w:ascii="宋体" w:hAnsi="宋体" w:eastAsia="宋体" w:cs="Times New Roman"/>
                <w:color w:val="auto"/>
              </w:rPr>
            </w:pPr>
            <w:r>
              <w:rPr>
                <w:rFonts w:ascii="宋体" w:hAnsi="宋体" w:eastAsia="宋体" w:cs="Times New Roman"/>
                <w:color w:val="auto"/>
              </w:rPr>
              <w:t>达标</w:t>
            </w:r>
          </w:p>
        </w:tc>
      </w:tr>
      <w:tr w14:paraId="2E653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41E1B1D2">
            <w:pPr>
              <w:jc w:val="center"/>
              <w:rPr>
                <w:rFonts w:ascii="宋体" w:hAnsi="宋体" w:eastAsia="宋体" w:cs="Times New Roman"/>
                <w:color w:val="auto"/>
              </w:rPr>
            </w:pPr>
          </w:p>
        </w:tc>
        <w:tc>
          <w:tcPr>
            <w:tcW w:w="1430" w:type="dxa"/>
            <w:tcBorders>
              <w:bottom w:val="single" w:color="auto" w:sz="4" w:space="0"/>
              <w:tl2br w:val="nil"/>
              <w:tr2bl w:val="nil"/>
            </w:tcBorders>
            <w:vAlign w:val="center"/>
          </w:tcPr>
          <w:p w14:paraId="0A6F9D7C">
            <w:pPr>
              <w:jc w:val="center"/>
              <w:rPr>
                <w:rFonts w:ascii="宋体" w:hAnsi="宋体" w:eastAsia="宋体" w:cs="Times New Roman"/>
                <w:color w:val="auto"/>
              </w:rPr>
            </w:pPr>
            <w:r>
              <w:rPr>
                <w:rFonts w:ascii="宋体" w:hAnsi="宋体" w:eastAsia="宋体" w:cs="Times New Roman"/>
                <w:color w:val="auto"/>
              </w:rPr>
              <w:t>李彦和屯</w:t>
            </w:r>
          </w:p>
        </w:tc>
        <w:tc>
          <w:tcPr>
            <w:tcW w:w="810" w:type="dxa"/>
            <w:vMerge w:val="continue"/>
            <w:tcBorders>
              <w:tl2br w:val="nil"/>
              <w:tr2bl w:val="nil"/>
            </w:tcBorders>
            <w:vAlign w:val="center"/>
          </w:tcPr>
          <w:p w14:paraId="76F94981">
            <w:pPr>
              <w:jc w:val="center"/>
              <w:rPr>
                <w:rFonts w:ascii="宋体" w:hAnsi="宋体" w:eastAsia="宋体" w:cs="Times New Roman"/>
                <w:color w:val="auto"/>
              </w:rPr>
            </w:pPr>
          </w:p>
        </w:tc>
        <w:tc>
          <w:tcPr>
            <w:tcW w:w="1006" w:type="dxa"/>
            <w:tcBorders>
              <w:bottom w:val="single" w:color="auto" w:sz="4" w:space="0"/>
              <w:tl2br w:val="nil"/>
              <w:tr2bl w:val="nil"/>
            </w:tcBorders>
            <w:vAlign w:val="center"/>
          </w:tcPr>
          <w:p w14:paraId="5485C130">
            <w:pPr>
              <w:jc w:val="center"/>
              <w:rPr>
                <w:rFonts w:ascii="宋体" w:hAnsi="宋体" w:eastAsia="宋体" w:cs="Times New Roman"/>
                <w:color w:val="auto"/>
              </w:rPr>
            </w:pPr>
            <w:r>
              <w:rPr>
                <w:rFonts w:ascii="宋体" w:hAnsi="宋体" w:eastAsia="宋体" w:cs="Times New Roman"/>
                <w:color w:val="auto"/>
              </w:rPr>
              <w:t>0.0644534</w:t>
            </w:r>
          </w:p>
        </w:tc>
        <w:tc>
          <w:tcPr>
            <w:tcW w:w="794" w:type="dxa"/>
            <w:tcBorders>
              <w:bottom w:val="single" w:color="auto" w:sz="4" w:space="0"/>
              <w:tl2br w:val="nil"/>
              <w:tr2bl w:val="nil"/>
            </w:tcBorders>
            <w:vAlign w:val="center"/>
          </w:tcPr>
          <w:p w14:paraId="2A513ADC">
            <w:pPr>
              <w:jc w:val="right"/>
              <w:textAlignment w:val="center"/>
              <w:rPr>
                <w:rFonts w:ascii="宋体" w:hAnsi="宋体" w:eastAsia="宋体" w:cs="Times New Roman"/>
                <w:color w:val="auto"/>
              </w:rPr>
            </w:pPr>
            <w:r>
              <w:rPr>
                <w:rFonts w:ascii="宋体" w:hAnsi="宋体" w:eastAsia="宋体" w:cs="Times New Roman"/>
                <w:color w:val="auto"/>
                <w:lang w:bidi="ar"/>
              </w:rPr>
              <w:t xml:space="preserve">0.161 </w:t>
            </w:r>
          </w:p>
        </w:tc>
        <w:tc>
          <w:tcPr>
            <w:tcW w:w="1262" w:type="dxa"/>
            <w:tcBorders>
              <w:bottom w:val="single" w:color="auto" w:sz="4" w:space="0"/>
              <w:tl2br w:val="nil"/>
              <w:tr2bl w:val="nil"/>
            </w:tcBorders>
            <w:vAlign w:val="center"/>
          </w:tcPr>
          <w:p w14:paraId="094BDD65">
            <w:pPr>
              <w:jc w:val="center"/>
              <w:rPr>
                <w:rFonts w:ascii="宋体" w:hAnsi="宋体" w:eastAsia="宋体" w:cs="Times New Roman"/>
                <w:color w:val="auto"/>
              </w:rPr>
            </w:pPr>
            <w:r>
              <w:rPr>
                <w:rFonts w:ascii="宋体" w:hAnsi="宋体" w:eastAsia="宋体" w:cs="Times New Roman"/>
                <w:color w:val="auto"/>
              </w:rPr>
              <w:t>18</w:t>
            </w:r>
          </w:p>
        </w:tc>
        <w:tc>
          <w:tcPr>
            <w:tcW w:w="1403" w:type="dxa"/>
            <w:tcBorders>
              <w:bottom w:val="single" w:color="auto" w:sz="4" w:space="0"/>
              <w:tl2br w:val="nil"/>
              <w:tr2bl w:val="nil"/>
            </w:tcBorders>
            <w:vAlign w:val="center"/>
          </w:tcPr>
          <w:p w14:paraId="3E792C81">
            <w:pPr>
              <w:jc w:val="center"/>
              <w:rPr>
                <w:rFonts w:ascii="宋体" w:hAnsi="宋体" w:eastAsia="宋体" w:cs="Times New Roman"/>
                <w:color w:val="auto"/>
              </w:rPr>
            </w:pPr>
            <w:r>
              <w:rPr>
                <w:rFonts w:ascii="宋体" w:hAnsi="宋体" w:eastAsia="宋体" w:cs="Times New Roman"/>
                <w:color w:val="auto"/>
              </w:rPr>
              <w:t>18.0645</w:t>
            </w:r>
          </w:p>
        </w:tc>
        <w:tc>
          <w:tcPr>
            <w:tcW w:w="836" w:type="dxa"/>
            <w:tcBorders>
              <w:bottom w:val="single" w:color="auto" w:sz="4" w:space="0"/>
              <w:tl2br w:val="nil"/>
              <w:tr2bl w:val="nil"/>
            </w:tcBorders>
            <w:vAlign w:val="center"/>
          </w:tcPr>
          <w:p w14:paraId="49AD2F46">
            <w:pPr>
              <w:jc w:val="right"/>
              <w:textAlignment w:val="center"/>
              <w:rPr>
                <w:rFonts w:ascii="宋体" w:hAnsi="宋体" w:eastAsia="宋体" w:cs="Times New Roman"/>
                <w:color w:val="auto"/>
              </w:rPr>
            </w:pPr>
            <w:r>
              <w:rPr>
                <w:rFonts w:ascii="宋体" w:hAnsi="宋体" w:eastAsia="宋体" w:cs="Times New Roman"/>
                <w:color w:val="auto"/>
                <w:lang w:bidi="ar"/>
              </w:rPr>
              <w:t xml:space="preserve">45.161 </w:t>
            </w:r>
          </w:p>
        </w:tc>
        <w:tc>
          <w:tcPr>
            <w:tcW w:w="830" w:type="dxa"/>
            <w:tcBorders>
              <w:bottom w:val="single" w:color="auto" w:sz="4" w:space="0"/>
              <w:tl2br w:val="nil"/>
              <w:tr2bl w:val="nil"/>
            </w:tcBorders>
            <w:vAlign w:val="center"/>
          </w:tcPr>
          <w:p w14:paraId="13FB652D">
            <w:pPr>
              <w:jc w:val="center"/>
              <w:rPr>
                <w:rFonts w:ascii="宋体" w:hAnsi="宋体" w:eastAsia="宋体" w:cs="Times New Roman"/>
                <w:color w:val="auto"/>
              </w:rPr>
            </w:pPr>
            <w:r>
              <w:rPr>
                <w:rFonts w:ascii="宋体" w:hAnsi="宋体" w:eastAsia="宋体" w:cs="Times New Roman"/>
                <w:color w:val="auto"/>
              </w:rPr>
              <w:t>达标</w:t>
            </w:r>
          </w:p>
        </w:tc>
      </w:tr>
      <w:tr w14:paraId="0C352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7B76CD7B">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17B5E92A">
            <w:pPr>
              <w:jc w:val="center"/>
              <w:rPr>
                <w:rFonts w:ascii="宋体" w:hAnsi="宋体" w:eastAsia="宋体" w:cs="Times New Roman"/>
                <w:color w:val="auto"/>
              </w:rPr>
            </w:pPr>
            <w:r>
              <w:rPr>
                <w:rFonts w:ascii="宋体" w:hAnsi="宋体" w:eastAsia="宋体" w:cs="Times New Roman"/>
                <w:color w:val="auto"/>
              </w:rPr>
              <w:t>华南屯</w:t>
            </w:r>
          </w:p>
        </w:tc>
        <w:tc>
          <w:tcPr>
            <w:tcW w:w="810" w:type="dxa"/>
            <w:vMerge w:val="continue"/>
            <w:tcBorders>
              <w:tl2br w:val="nil"/>
              <w:tr2bl w:val="nil"/>
            </w:tcBorders>
            <w:vAlign w:val="center"/>
          </w:tcPr>
          <w:p w14:paraId="38BE9EF0">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03E43D40">
            <w:pPr>
              <w:jc w:val="center"/>
              <w:rPr>
                <w:rFonts w:ascii="宋体" w:hAnsi="宋体" w:eastAsia="宋体" w:cs="Times New Roman"/>
                <w:color w:val="auto"/>
              </w:rPr>
            </w:pPr>
            <w:r>
              <w:rPr>
                <w:rFonts w:ascii="宋体" w:hAnsi="宋体" w:eastAsia="宋体" w:cs="Times New Roman"/>
                <w:color w:val="auto"/>
              </w:rPr>
              <w:t>0.0663744</w:t>
            </w:r>
          </w:p>
        </w:tc>
        <w:tc>
          <w:tcPr>
            <w:tcW w:w="794" w:type="dxa"/>
            <w:tcBorders>
              <w:top w:val="single" w:color="auto" w:sz="4" w:space="0"/>
              <w:bottom w:val="single" w:color="auto" w:sz="4" w:space="0"/>
              <w:tl2br w:val="nil"/>
              <w:tr2bl w:val="nil"/>
            </w:tcBorders>
            <w:vAlign w:val="center"/>
          </w:tcPr>
          <w:p w14:paraId="660E6E7B">
            <w:pPr>
              <w:jc w:val="right"/>
              <w:textAlignment w:val="center"/>
              <w:rPr>
                <w:rFonts w:ascii="宋体" w:hAnsi="宋体" w:eastAsia="宋体" w:cs="Times New Roman"/>
                <w:color w:val="auto"/>
              </w:rPr>
            </w:pPr>
            <w:r>
              <w:rPr>
                <w:rFonts w:ascii="宋体" w:hAnsi="宋体" w:eastAsia="宋体" w:cs="Times New Roman"/>
                <w:color w:val="auto"/>
                <w:lang w:bidi="ar"/>
              </w:rPr>
              <w:t xml:space="preserve">0.166 </w:t>
            </w:r>
          </w:p>
        </w:tc>
        <w:tc>
          <w:tcPr>
            <w:tcW w:w="1262" w:type="dxa"/>
            <w:tcBorders>
              <w:top w:val="single" w:color="auto" w:sz="4" w:space="0"/>
              <w:bottom w:val="single" w:color="auto" w:sz="4" w:space="0"/>
              <w:tl2br w:val="nil"/>
              <w:tr2bl w:val="nil"/>
            </w:tcBorders>
            <w:vAlign w:val="center"/>
          </w:tcPr>
          <w:p w14:paraId="52B1414B">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7522C790">
            <w:pPr>
              <w:jc w:val="center"/>
              <w:rPr>
                <w:rFonts w:ascii="宋体" w:hAnsi="宋体" w:eastAsia="宋体" w:cs="Times New Roman"/>
                <w:color w:val="auto"/>
              </w:rPr>
            </w:pPr>
            <w:r>
              <w:rPr>
                <w:rFonts w:ascii="宋体" w:hAnsi="宋体" w:eastAsia="宋体" w:cs="Times New Roman"/>
                <w:color w:val="auto"/>
              </w:rPr>
              <w:t>18.0664</w:t>
            </w:r>
          </w:p>
        </w:tc>
        <w:tc>
          <w:tcPr>
            <w:tcW w:w="836" w:type="dxa"/>
            <w:tcBorders>
              <w:top w:val="single" w:color="auto" w:sz="4" w:space="0"/>
              <w:bottom w:val="single" w:color="auto" w:sz="4" w:space="0"/>
              <w:tl2br w:val="nil"/>
              <w:tr2bl w:val="nil"/>
            </w:tcBorders>
            <w:vAlign w:val="center"/>
          </w:tcPr>
          <w:p w14:paraId="524EE00A">
            <w:pPr>
              <w:jc w:val="right"/>
              <w:textAlignment w:val="center"/>
              <w:rPr>
                <w:rFonts w:ascii="宋体" w:hAnsi="宋体" w:eastAsia="宋体" w:cs="Times New Roman"/>
                <w:color w:val="auto"/>
              </w:rPr>
            </w:pPr>
            <w:r>
              <w:rPr>
                <w:rFonts w:ascii="宋体" w:hAnsi="宋体" w:eastAsia="宋体" w:cs="Times New Roman"/>
                <w:color w:val="auto"/>
                <w:lang w:bidi="ar"/>
              </w:rPr>
              <w:t xml:space="preserve">45.166 </w:t>
            </w:r>
          </w:p>
        </w:tc>
        <w:tc>
          <w:tcPr>
            <w:tcW w:w="830" w:type="dxa"/>
            <w:tcBorders>
              <w:top w:val="single" w:color="auto" w:sz="4" w:space="0"/>
              <w:bottom w:val="single" w:color="auto" w:sz="4" w:space="0"/>
              <w:tl2br w:val="nil"/>
              <w:tr2bl w:val="nil"/>
            </w:tcBorders>
            <w:vAlign w:val="center"/>
          </w:tcPr>
          <w:p w14:paraId="36F5BBDF">
            <w:pPr>
              <w:jc w:val="center"/>
              <w:rPr>
                <w:rFonts w:ascii="宋体" w:hAnsi="宋体" w:eastAsia="宋体" w:cs="Times New Roman"/>
                <w:color w:val="auto"/>
              </w:rPr>
            </w:pPr>
            <w:r>
              <w:rPr>
                <w:rFonts w:ascii="宋体" w:hAnsi="宋体" w:eastAsia="宋体" w:cs="Times New Roman"/>
                <w:color w:val="auto"/>
              </w:rPr>
              <w:t>达标</w:t>
            </w:r>
          </w:p>
        </w:tc>
      </w:tr>
      <w:tr w14:paraId="2ACBB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6DC5BE60">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56256973">
            <w:pPr>
              <w:jc w:val="center"/>
              <w:rPr>
                <w:rFonts w:ascii="宋体" w:hAnsi="宋体" w:eastAsia="宋体" w:cs="Times New Roman"/>
                <w:color w:val="auto"/>
              </w:rPr>
            </w:pPr>
            <w:r>
              <w:rPr>
                <w:rFonts w:ascii="宋体" w:hAnsi="宋体" w:eastAsia="宋体" w:cs="Times New Roman"/>
                <w:color w:val="auto"/>
              </w:rPr>
              <w:t>小欧力马屯</w:t>
            </w:r>
          </w:p>
        </w:tc>
        <w:tc>
          <w:tcPr>
            <w:tcW w:w="810" w:type="dxa"/>
            <w:vMerge w:val="continue"/>
            <w:tcBorders>
              <w:tl2br w:val="nil"/>
              <w:tr2bl w:val="nil"/>
            </w:tcBorders>
            <w:vAlign w:val="center"/>
          </w:tcPr>
          <w:p w14:paraId="744B554A">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0913E309">
            <w:pPr>
              <w:jc w:val="center"/>
              <w:rPr>
                <w:rFonts w:ascii="宋体" w:hAnsi="宋体" w:eastAsia="宋体" w:cs="Times New Roman"/>
                <w:color w:val="auto"/>
              </w:rPr>
            </w:pPr>
            <w:r>
              <w:rPr>
                <w:rFonts w:ascii="宋体" w:hAnsi="宋体" w:eastAsia="宋体" w:cs="Times New Roman"/>
                <w:color w:val="auto"/>
              </w:rPr>
              <w:t>0.0816246</w:t>
            </w:r>
          </w:p>
        </w:tc>
        <w:tc>
          <w:tcPr>
            <w:tcW w:w="794" w:type="dxa"/>
            <w:tcBorders>
              <w:top w:val="single" w:color="auto" w:sz="4" w:space="0"/>
              <w:bottom w:val="single" w:color="auto" w:sz="4" w:space="0"/>
              <w:tl2br w:val="nil"/>
              <w:tr2bl w:val="nil"/>
            </w:tcBorders>
            <w:vAlign w:val="center"/>
          </w:tcPr>
          <w:p w14:paraId="5AF97A27">
            <w:pPr>
              <w:jc w:val="right"/>
              <w:textAlignment w:val="center"/>
              <w:rPr>
                <w:rFonts w:ascii="宋体" w:hAnsi="宋体" w:eastAsia="宋体" w:cs="Times New Roman"/>
                <w:color w:val="auto"/>
              </w:rPr>
            </w:pPr>
            <w:r>
              <w:rPr>
                <w:rFonts w:ascii="宋体" w:hAnsi="宋体" w:eastAsia="宋体" w:cs="Times New Roman"/>
                <w:color w:val="auto"/>
                <w:lang w:bidi="ar"/>
              </w:rPr>
              <w:t xml:space="preserve">0.204 </w:t>
            </w:r>
          </w:p>
        </w:tc>
        <w:tc>
          <w:tcPr>
            <w:tcW w:w="1262" w:type="dxa"/>
            <w:tcBorders>
              <w:top w:val="single" w:color="auto" w:sz="4" w:space="0"/>
              <w:bottom w:val="single" w:color="auto" w:sz="4" w:space="0"/>
              <w:tl2br w:val="nil"/>
              <w:tr2bl w:val="nil"/>
            </w:tcBorders>
            <w:vAlign w:val="center"/>
          </w:tcPr>
          <w:p w14:paraId="2FD0189D">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5D4D0ED5">
            <w:pPr>
              <w:jc w:val="center"/>
              <w:rPr>
                <w:rFonts w:ascii="宋体" w:hAnsi="宋体" w:eastAsia="宋体" w:cs="Times New Roman"/>
                <w:color w:val="auto"/>
              </w:rPr>
            </w:pPr>
            <w:r>
              <w:rPr>
                <w:rFonts w:ascii="宋体" w:hAnsi="宋体" w:eastAsia="宋体" w:cs="Times New Roman"/>
                <w:color w:val="auto"/>
              </w:rPr>
              <w:t>18.0816</w:t>
            </w:r>
          </w:p>
        </w:tc>
        <w:tc>
          <w:tcPr>
            <w:tcW w:w="836" w:type="dxa"/>
            <w:tcBorders>
              <w:top w:val="single" w:color="auto" w:sz="4" w:space="0"/>
              <w:bottom w:val="single" w:color="auto" w:sz="4" w:space="0"/>
              <w:tl2br w:val="nil"/>
              <w:tr2bl w:val="nil"/>
            </w:tcBorders>
            <w:vAlign w:val="center"/>
          </w:tcPr>
          <w:p w14:paraId="703EEC60">
            <w:pPr>
              <w:jc w:val="right"/>
              <w:textAlignment w:val="center"/>
              <w:rPr>
                <w:rFonts w:ascii="宋体" w:hAnsi="宋体" w:eastAsia="宋体" w:cs="Times New Roman"/>
                <w:color w:val="auto"/>
              </w:rPr>
            </w:pPr>
            <w:r>
              <w:rPr>
                <w:rFonts w:ascii="宋体" w:hAnsi="宋体" w:eastAsia="宋体" w:cs="Times New Roman"/>
                <w:color w:val="auto"/>
                <w:lang w:bidi="ar"/>
              </w:rPr>
              <w:t xml:space="preserve">45.204 </w:t>
            </w:r>
          </w:p>
        </w:tc>
        <w:tc>
          <w:tcPr>
            <w:tcW w:w="830" w:type="dxa"/>
            <w:tcBorders>
              <w:top w:val="single" w:color="auto" w:sz="4" w:space="0"/>
              <w:bottom w:val="single" w:color="auto" w:sz="4" w:space="0"/>
              <w:tl2br w:val="nil"/>
              <w:tr2bl w:val="nil"/>
            </w:tcBorders>
            <w:vAlign w:val="center"/>
          </w:tcPr>
          <w:p w14:paraId="38FF0767">
            <w:pPr>
              <w:jc w:val="center"/>
              <w:rPr>
                <w:rFonts w:ascii="宋体" w:hAnsi="宋体" w:eastAsia="宋体" w:cs="Times New Roman"/>
                <w:color w:val="auto"/>
              </w:rPr>
            </w:pPr>
            <w:r>
              <w:rPr>
                <w:rFonts w:ascii="宋体" w:hAnsi="宋体" w:eastAsia="宋体" w:cs="Times New Roman"/>
                <w:color w:val="auto"/>
              </w:rPr>
              <w:t>达标</w:t>
            </w:r>
          </w:p>
        </w:tc>
      </w:tr>
      <w:tr w14:paraId="2252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6519E1FF">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2CFFE0CF">
            <w:pPr>
              <w:jc w:val="center"/>
              <w:rPr>
                <w:rFonts w:ascii="宋体" w:hAnsi="宋体" w:eastAsia="宋体" w:cs="Times New Roman"/>
                <w:color w:val="auto"/>
              </w:rPr>
            </w:pPr>
            <w:r>
              <w:rPr>
                <w:rFonts w:ascii="宋体" w:hAnsi="宋体" w:eastAsia="宋体" w:cs="Times New Roman"/>
                <w:color w:val="auto"/>
              </w:rPr>
              <w:t>立功村</w:t>
            </w:r>
          </w:p>
        </w:tc>
        <w:tc>
          <w:tcPr>
            <w:tcW w:w="810" w:type="dxa"/>
            <w:vMerge w:val="continue"/>
            <w:tcBorders>
              <w:tl2br w:val="nil"/>
              <w:tr2bl w:val="nil"/>
            </w:tcBorders>
            <w:vAlign w:val="center"/>
          </w:tcPr>
          <w:p w14:paraId="6F6031A0">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585CAB74">
            <w:pPr>
              <w:jc w:val="center"/>
              <w:rPr>
                <w:rFonts w:ascii="宋体" w:hAnsi="宋体" w:eastAsia="宋体" w:cs="Times New Roman"/>
                <w:color w:val="auto"/>
              </w:rPr>
            </w:pPr>
            <w:r>
              <w:rPr>
                <w:rFonts w:ascii="宋体" w:hAnsi="宋体" w:eastAsia="宋体" w:cs="Times New Roman"/>
                <w:color w:val="auto"/>
              </w:rPr>
              <w:t>0.0516968</w:t>
            </w:r>
          </w:p>
        </w:tc>
        <w:tc>
          <w:tcPr>
            <w:tcW w:w="794" w:type="dxa"/>
            <w:tcBorders>
              <w:top w:val="single" w:color="auto" w:sz="4" w:space="0"/>
              <w:bottom w:val="single" w:color="auto" w:sz="4" w:space="0"/>
              <w:tl2br w:val="nil"/>
              <w:tr2bl w:val="nil"/>
            </w:tcBorders>
            <w:vAlign w:val="center"/>
          </w:tcPr>
          <w:p w14:paraId="762A635E">
            <w:pPr>
              <w:jc w:val="right"/>
              <w:textAlignment w:val="center"/>
              <w:rPr>
                <w:rFonts w:ascii="宋体" w:hAnsi="宋体" w:eastAsia="宋体" w:cs="Times New Roman"/>
                <w:color w:val="auto"/>
              </w:rPr>
            </w:pPr>
            <w:r>
              <w:rPr>
                <w:rFonts w:ascii="宋体" w:hAnsi="宋体" w:eastAsia="宋体" w:cs="Times New Roman"/>
                <w:color w:val="auto"/>
                <w:lang w:bidi="ar"/>
              </w:rPr>
              <w:t xml:space="preserve">0.129 </w:t>
            </w:r>
          </w:p>
        </w:tc>
        <w:tc>
          <w:tcPr>
            <w:tcW w:w="1262" w:type="dxa"/>
            <w:tcBorders>
              <w:top w:val="single" w:color="auto" w:sz="4" w:space="0"/>
              <w:bottom w:val="single" w:color="auto" w:sz="4" w:space="0"/>
              <w:tl2br w:val="nil"/>
              <w:tr2bl w:val="nil"/>
            </w:tcBorders>
            <w:vAlign w:val="center"/>
          </w:tcPr>
          <w:p w14:paraId="5333125F">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69549EDA">
            <w:pPr>
              <w:jc w:val="center"/>
              <w:rPr>
                <w:rFonts w:ascii="宋体" w:hAnsi="宋体" w:eastAsia="宋体" w:cs="Times New Roman"/>
                <w:color w:val="auto"/>
              </w:rPr>
            </w:pPr>
            <w:r>
              <w:rPr>
                <w:rFonts w:ascii="宋体" w:hAnsi="宋体" w:eastAsia="宋体" w:cs="Times New Roman"/>
                <w:color w:val="auto"/>
              </w:rPr>
              <w:t>18.0517</w:t>
            </w:r>
          </w:p>
        </w:tc>
        <w:tc>
          <w:tcPr>
            <w:tcW w:w="836" w:type="dxa"/>
            <w:tcBorders>
              <w:top w:val="single" w:color="auto" w:sz="4" w:space="0"/>
              <w:bottom w:val="single" w:color="auto" w:sz="4" w:space="0"/>
              <w:tl2br w:val="nil"/>
              <w:tr2bl w:val="nil"/>
            </w:tcBorders>
            <w:vAlign w:val="center"/>
          </w:tcPr>
          <w:p w14:paraId="6E5EF0F3">
            <w:pPr>
              <w:jc w:val="right"/>
              <w:textAlignment w:val="center"/>
              <w:rPr>
                <w:rFonts w:ascii="宋体" w:hAnsi="宋体" w:eastAsia="宋体" w:cs="Times New Roman"/>
                <w:color w:val="auto"/>
              </w:rPr>
            </w:pPr>
            <w:r>
              <w:rPr>
                <w:rFonts w:ascii="宋体" w:hAnsi="宋体" w:eastAsia="宋体" w:cs="Times New Roman"/>
                <w:color w:val="auto"/>
                <w:lang w:bidi="ar"/>
              </w:rPr>
              <w:t xml:space="preserve">45.129 </w:t>
            </w:r>
          </w:p>
        </w:tc>
        <w:tc>
          <w:tcPr>
            <w:tcW w:w="830" w:type="dxa"/>
            <w:tcBorders>
              <w:top w:val="single" w:color="auto" w:sz="4" w:space="0"/>
              <w:bottom w:val="single" w:color="auto" w:sz="4" w:space="0"/>
              <w:tl2br w:val="nil"/>
              <w:tr2bl w:val="nil"/>
            </w:tcBorders>
            <w:vAlign w:val="center"/>
          </w:tcPr>
          <w:p w14:paraId="4B4E9FB9">
            <w:pPr>
              <w:jc w:val="center"/>
              <w:rPr>
                <w:rFonts w:ascii="宋体" w:hAnsi="宋体" w:eastAsia="宋体" w:cs="Times New Roman"/>
                <w:color w:val="auto"/>
              </w:rPr>
            </w:pPr>
            <w:r>
              <w:rPr>
                <w:rFonts w:ascii="宋体" w:hAnsi="宋体" w:eastAsia="宋体" w:cs="Times New Roman"/>
                <w:color w:val="auto"/>
              </w:rPr>
              <w:t>达标</w:t>
            </w:r>
          </w:p>
        </w:tc>
      </w:tr>
      <w:tr w14:paraId="44F5A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4EA17AAA">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23EBB017">
            <w:pPr>
              <w:jc w:val="center"/>
              <w:rPr>
                <w:rFonts w:ascii="宋体" w:hAnsi="宋体" w:eastAsia="宋体" w:cs="Times New Roman"/>
                <w:color w:val="auto"/>
              </w:rPr>
            </w:pPr>
            <w:r>
              <w:rPr>
                <w:rFonts w:ascii="宋体" w:hAnsi="宋体" w:eastAsia="宋体" w:cs="Times New Roman"/>
                <w:color w:val="auto"/>
              </w:rPr>
              <w:t>后欧力马屯</w:t>
            </w:r>
          </w:p>
        </w:tc>
        <w:tc>
          <w:tcPr>
            <w:tcW w:w="810" w:type="dxa"/>
            <w:vMerge w:val="continue"/>
            <w:tcBorders>
              <w:tl2br w:val="nil"/>
              <w:tr2bl w:val="nil"/>
            </w:tcBorders>
            <w:vAlign w:val="center"/>
          </w:tcPr>
          <w:p w14:paraId="23CF1E26">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5BC46FB2">
            <w:pPr>
              <w:jc w:val="center"/>
              <w:rPr>
                <w:rFonts w:ascii="宋体" w:hAnsi="宋体" w:eastAsia="宋体" w:cs="Times New Roman"/>
                <w:color w:val="auto"/>
              </w:rPr>
            </w:pPr>
            <w:r>
              <w:rPr>
                <w:rFonts w:ascii="宋体" w:hAnsi="宋体" w:eastAsia="宋体" w:cs="Times New Roman"/>
                <w:color w:val="auto"/>
              </w:rPr>
              <w:t>0.177476</w:t>
            </w:r>
          </w:p>
        </w:tc>
        <w:tc>
          <w:tcPr>
            <w:tcW w:w="794" w:type="dxa"/>
            <w:tcBorders>
              <w:top w:val="single" w:color="auto" w:sz="4" w:space="0"/>
              <w:bottom w:val="single" w:color="auto" w:sz="4" w:space="0"/>
              <w:tl2br w:val="nil"/>
              <w:tr2bl w:val="nil"/>
            </w:tcBorders>
            <w:vAlign w:val="center"/>
          </w:tcPr>
          <w:p w14:paraId="19FDDBFA">
            <w:pPr>
              <w:jc w:val="right"/>
              <w:textAlignment w:val="center"/>
              <w:rPr>
                <w:rFonts w:ascii="宋体" w:hAnsi="宋体" w:eastAsia="宋体" w:cs="Times New Roman"/>
                <w:color w:val="auto"/>
              </w:rPr>
            </w:pPr>
            <w:r>
              <w:rPr>
                <w:rFonts w:ascii="宋体" w:hAnsi="宋体" w:eastAsia="宋体" w:cs="Times New Roman"/>
                <w:color w:val="auto"/>
                <w:lang w:bidi="ar"/>
              </w:rPr>
              <w:t xml:space="preserve">0.444 </w:t>
            </w:r>
          </w:p>
        </w:tc>
        <w:tc>
          <w:tcPr>
            <w:tcW w:w="1262" w:type="dxa"/>
            <w:tcBorders>
              <w:top w:val="single" w:color="auto" w:sz="4" w:space="0"/>
              <w:bottom w:val="single" w:color="auto" w:sz="4" w:space="0"/>
              <w:tl2br w:val="nil"/>
              <w:tr2bl w:val="nil"/>
            </w:tcBorders>
            <w:vAlign w:val="center"/>
          </w:tcPr>
          <w:p w14:paraId="3AECD745">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2B0B368D">
            <w:pPr>
              <w:jc w:val="center"/>
              <w:rPr>
                <w:rFonts w:ascii="宋体" w:hAnsi="宋体" w:eastAsia="宋体" w:cs="Times New Roman"/>
                <w:color w:val="auto"/>
              </w:rPr>
            </w:pPr>
            <w:r>
              <w:rPr>
                <w:rFonts w:ascii="宋体" w:hAnsi="宋体" w:eastAsia="宋体" w:cs="Times New Roman"/>
                <w:color w:val="auto"/>
              </w:rPr>
              <w:t>18.1775</w:t>
            </w:r>
          </w:p>
        </w:tc>
        <w:tc>
          <w:tcPr>
            <w:tcW w:w="836" w:type="dxa"/>
            <w:tcBorders>
              <w:top w:val="single" w:color="auto" w:sz="4" w:space="0"/>
              <w:bottom w:val="single" w:color="auto" w:sz="4" w:space="0"/>
              <w:tl2br w:val="nil"/>
              <w:tr2bl w:val="nil"/>
            </w:tcBorders>
            <w:vAlign w:val="center"/>
          </w:tcPr>
          <w:p w14:paraId="683899CF">
            <w:pPr>
              <w:jc w:val="right"/>
              <w:textAlignment w:val="center"/>
              <w:rPr>
                <w:rFonts w:ascii="宋体" w:hAnsi="宋体" w:eastAsia="宋体" w:cs="Times New Roman"/>
                <w:color w:val="auto"/>
              </w:rPr>
            </w:pPr>
            <w:r>
              <w:rPr>
                <w:rFonts w:ascii="宋体" w:hAnsi="宋体" w:eastAsia="宋体" w:cs="Times New Roman"/>
                <w:color w:val="auto"/>
                <w:lang w:bidi="ar"/>
              </w:rPr>
              <w:t xml:space="preserve">45.444 </w:t>
            </w:r>
          </w:p>
        </w:tc>
        <w:tc>
          <w:tcPr>
            <w:tcW w:w="830" w:type="dxa"/>
            <w:tcBorders>
              <w:top w:val="single" w:color="auto" w:sz="4" w:space="0"/>
              <w:bottom w:val="single" w:color="auto" w:sz="4" w:space="0"/>
              <w:tl2br w:val="nil"/>
              <w:tr2bl w:val="nil"/>
            </w:tcBorders>
            <w:vAlign w:val="center"/>
          </w:tcPr>
          <w:p w14:paraId="5E718B31">
            <w:pPr>
              <w:jc w:val="center"/>
              <w:rPr>
                <w:rFonts w:ascii="宋体" w:hAnsi="宋体" w:eastAsia="宋体" w:cs="Times New Roman"/>
                <w:color w:val="auto"/>
              </w:rPr>
            </w:pPr>
            <w:r>
              <w:rPr>
                <w:rFonts w:ascii="宋体" w:hAnsi="宋体" w:eastAsia="宋体" w:cs="Times New Roman"/>
                <w:color w:val="auto"/>
              </w:rPr>
              <w:t>达标</w:t>
            </w:r>
          </w:p>
        </w:tc>
      </w:tr>
      <w:tr w14:paraId="3CA13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2007DAF1">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68671E73">
            <w:pPr>
              <w:jc w:val="center"/>
              <w:rPr>
                <w:rFonts w:ascii="宋体" w:hAnsi="宋体" w:eastAsia="宋体" w:cs="Times New Roman"/>
                <w:color w:val="auto"/>
              </w:rPr>
            </w:pPr>
            <w:r>
              <w:rPr>
                <w:rFonts w:ascii="宋体" w:hAnsi="宋体" w:eastAsia="宋体" w:cs="Times New Roman"/>
                <w:color w:val="auto"/>
              </w:rPr>
              <w:t>王家园子屯</w:t>
            </w:r>
          </w:p>
        </w:tc>
        <w:tc>
          <w:tcPr>
            <w:tcW w:w="810" w:type="dxa"/>
            <w:vMerge w:val="continue"/>
            <w:tcBorders>
              <w:tl2br w:val="nil"/>
              <w:tr2bl w:val="nil"/>
            </w:tcBorders>
            <w:vAlign w:val="center"/>
          </w:tcPr>
          <w:p w14:paraId="570805E1">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69D67C5A">
            <w:pPr>
              <w:jc w:val="center"/>
              <w:rPr>
                <w:rFonts w:ascii="宋体" w:hAnsi="宋体" w:eastAsia="宋体" w:cs="Times New Roman"/>
                <w:color w:val="auto"/>
              </w:rPr>
            </w:pPr>
            <w:r>
              <w:rPr>
                <w:rFonts w:ascii="宋体" w:hAnsi="宋体" w:eastAsia="宋体" w:cs="Times New Roman"/>
                <w:color w:val="auto"/>
              </w:rPr>
              <w:t>0.0795546</w:t>
            </w:r>
          </w:p>
        </w:tc>
        <w:tc>
          <w:tcPr>
            <w:tcW w:w="794" w:type="dxa"/>
            <w:tcBorders>
              <w:top w:val="single" w:color="auto" w:sz="4" w:space="0"/>
              <w:bottom w:val="single" w:color="auto" w:sz="4" w:space="0"/>
              <w:tl2br w:val="nil"/>
              <w:tr2bl w:val="nil"/>
            </w:tcBorders>
            <w:vAlign w:val="center"/>
          </w:tcPr>
          <w:p w14:paraId="646D6CF3">
            <w:pPr>
              <w:jc w:val="right"/>
              <w:textAlignment w:val="center"/>
              <w:rPr>
                <w:rFonts w:ascii="宋体" w:hAnsi="宋体" w:eastAsia="宋体" w:cs="Times New Roman"/>
                <w:color w:val="auto"/>
              </w:rPr>
            </w:pPr>
            <w:r>
              <w:rPr>
                <w:rFonts w:ascii="宋体" w:hAnsi="宋体" w:eastAsia="宋体" w:cs="Times New Roman"/>
                <w:color w:val="auto"/>
                <w:lang w:bidi="ar"/>
              </w:rPr>
              <w:t xml:space="preserve">0.199 </w:t>
            </w:r>
          </w:p>
        </w:tc>
        <w:tc>
          <w:tcPr>
            <w:tcW w:w="1262" w:type="dxa"/>
            <w:tcBorders>
              <w:top w:val="single" w:color="auto" w:sz="4" w:space="0"/>
              <w:bottom w:val="single" w:color="auto" w:sz="4" w:space="0"/>
              <w:tl2br w:val="nil"/>
              <w:tr2bl w:val="nil"/>
            </w:tcBorders>
            <w:vAlign w:val="center"/>
          </w:tcPr>
          <w:p w14:paraId="54F98177">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02E88E3F">
            <w:pPr>
              <w:jc w:val="center"/>
              <w:rPr>
                <w:rFonts w:ascii="宋体" w:hAnsi="宋体" w:eastAsia="宋体" w:cs="Times New Roman"/>
                <w:color w:val="auto"/>
              </w:rPr>
            </w:pPr>
            <w:r>
              <w:rPr>
                <w:rFonts w:ascii="宋体" w:hAnsi="宋体" w:eastAsia="宋体" w:cs="Times New Roman"/>
                <w:color w:val="auto"/>
              </w:rPr>
              <w:t>18.0796</w:t>
            </w:r>
          </w:p>
        </w:tc>
        <w:tc>
          <w:tcPr>
            <w:tcW w:w="836" w:type="dxa"/>
            <w:tcBorders>
              <w:top w:val="single" w:color="auto" w:sz="4" w:space="0"/>
              <w:bottom w:val="single" w:color="auto" w:sz="4" w:space="0"/>
              <w:tl2br w:val="nil"/>
              <w:tr2bl w:val="nil"/>
            </w:tcBorders>
            <w:vAlign w:val="center"/>
          </w:tcPr>
          <w:p w14:paraId="2EA5BC76">
            <w:pPr>
              <w:jc w:val="right"/>
              <w:textAlignment w:val="center"/>
              <w:rPr>
                <w:rFonts w:ascii="宋体" w:hAnsi="宋体" w:eastAsia="宋体" w:cs="Times New Roman"/>
                <w:color w:val="auto"/>
              </w:rPr>
            </w:pPr>
            <w:r>
              <w:rPr>
                <w:rFonts w:ascii="宋体" w:hAnsi="宋体" w:eastAsia="宋体" w:cs="Times New Roman"/>
                <w:color w:val="auto"/>
                <w:lang w:bidi="ar"/>
              </w:rPr>
              <w:t xml:space="preserve">45.199 </w:t>
            </w:r>
          </w:p>
        </w:tc>
        <w:tc>
          <w:tcPr>
            <w:tcW w:w="830" w:type="dxa"/>
            <w:tcBorders>
              <w:top w:val="single" w:color="auto" w:sz="4" w:space="0"/>
              <w:bottom w:val="single" w:color="auto" w:sz="4" w:space="0"/>
              <w:tl2br w:val="nil"/>
              <w:tr2bl w:val="nil"/>
            </w:tcBorders>
            <w:vAlign w:val="center"/>
          </w:tcPr>
          <w:p w14:paraId="273BCFD7">
            <w:pPr>
              <w:jc w:val="center"/>
              <w:rPr>
                <w:rFonts w:ascii="宋体" w:hAnsi="宋体" w:eastAsia="宋体" w:cs="Times New Roman"/>
                <w:color w:val="auto"/>
              </w:rPr>
            </w:pPr>
            <w:r>
              <w:rPr>
                <w:rFonts w:ascii="宋体" w:hAnsi="宋体" w:eastAsia="宋体" w:cs="Times New Roman"/>
                <w:color w:val="auto"/>
              </w:rPr>
              <w:t>达标</w:t>
            </w:r>
          </w:p>
        </w:tc>
      </w:tr>
      <w:tr w14:paraId="45A99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0F74C565">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0DC56A64">
            <w:pPr>
              <w:jc w:val="center"/>
              <w:rPr>
                <w:rFonts w:ascii="宋体" w:hAnsi="宋体" w:eastAsia="宋体" w:cs="Times New Roman"/>
                <w:color w:val="auto"/>
              </w:rPr>
            </w:pPr>
            <w:r>
              <w:rPr>
                <w:rFonts w:ascii="宋体" w:hAnsi="宋体" w:eastAsia="宋体" w:cs="Times New Roman"/>
                <w:color w:val="auto"/>
              </w:rPr>
              <w:t>和平乡</w:t>
            </w:r>
          </w:p>
        </w:tc>
        <w:tc>
          <w:tcPr>
            <w:tcW w:w="810" w:type="dxa"/>
            <w:vMerge w:val="continue"/>
            <w:tcBorders>
              <w:tl2br w:val="nil"/>
              <w:tr2bl w:val="nil"/>
            </w:tcBorders>
            <w:vAlign w:val="center"/>
          </w:tcPr>
          <w:p w14:paraId="698F48BB">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38E615EF">
            <w:pPr>
              <w:jc w:val="center"/>
              <w:rPr>
                <w:rFonts w:ascii="宋体" w:hAnsi="宋体" w:eastAsia="宋体" w:cs="Times New Roman"/>
                <w:color w:val="auto"/>
              </w:rPr>
            </w:pPr>
            <w:r>
              <w:rPr>
                <w:rFonts w:ascii="宋体" w:hAnsi="宋体" w:eastAsia="宋体" w:cs="Times New Roman"/>
                <w:color w:val="auto"/>
              </w:rPr>
              <w:t>0.0266249</w:t>
            </w:r>
          </w:p>
        </w:tc>
        <w:tc>
          <w:tcPr>
            <w:tcW w:w="794" w:type="dxa"/>
            <w:tcBorders>
              <w:top w:val="single" w:color="auto" w:sz="4" w:space="0"/>
              <w:bottom w:val="single" w:color="auto" w:sz="4" w:space="0"/>
              <w:tl2br w:val="nil"/>
              <w:tr2bl w:val="nil"/>
            </w:tcBorders>
            <w:vAlign w:val="center"/>
          </w:tcPr>
          <w:p w14:paraId="6DE45028">
            <w:pPr>
              <w:jc w:val="right"/>
              <w:textAlignment w:val="center"/>
              <w:rPr>
                <w:rFonts w:ascii="宋体" w:hAnsi="宋体" w:eastAsia="宋体" w:cs="Times New Roman"/>
                <w:color w:val="auto"/>
              </w:rPr>
            </w:pPr>
            <w:r>
              <w:rPr>
                <w:rFonts w:ascii="宋体" w:hAnsi="宋体" w:eastAsia="宋体" w:cs="Times New Roman"/>
                <w:color w:val="auto"/>
                <w:lang w:bidi="ar"/>
              </w:rPr>
              <w:t xml:space="preserve">0.067 </w:t>
            </w:r>
          </w:p>
        </w:tc>
        <w:tc>
          <w:tcPr>
            <w:tcW w:w="1262" w:type="dxa"/>
            <w:tcBorders>
              <w:top w:val="single" w:color="auto" w:sz="4" w:space="0"/>
              <w:bottom w:val="single" w:color="auto" w:sz="4" w:space="0"/>
              <w:tl2br w:val="nil"/>
              <w:tr2bl w:val="nil"/>
            </w:tcBorders>
            <w:vAlign w:val="center"/>
          </w:tcPr>
          <w:p w14:paraId="6AE402AB">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484748F1">
            <w:pPr>
              <w:jc w:val="center"/>
              <w:rPr>
                <w:rFonts w:ascii="宋体" w:hAnsi="宋体" w:eastAsia="宋体" w:cs="Times New Roman"/>
                <w:color w:val="auto"/>
              </w:rPr>
            </w:pPr>
            <w:r>
              <w:rPr>
                <w:rFonts w:ascii="宋体" w:hAnsi="宋体" w:eastAsia="宋体" w:cs="Times New Roman"/>
                <w:color w:val="auto"/>
              </w:rPr>
              <w:t>18.0266</w:t>
            </w:r>
          </w:p>
        </w:tc>
        <w:tc>
          <w:tcPr>
            <w:tcW w:w="836" w:type="dxa"/>
            <w:tcBorders>
              <w:top w:val="single" w:color="auto" w:sz="4" w:space="0"/>
              <w:bottom w:val="single" w:color="auto" w:sz="4" w:space="0"/>
              <w:tl2br w:val="nil"/>
              <w:tr2bl w:val="nil"/>
            </w:tcBorders>
            <w:vAlign w:val="center"/>
          </w:tcPr>
          <w:p w14:paraId="71C611E6">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45.067 </w:t>
            </w:r>
          </w:p>
        </w:tc>
        <w:tc>
          <w:tcPr>
            <w:tcW w:w="830" w:type="dxa"/>
            <w:tcBorders>
              <w:top w:val="single" w:color="auto" w:sz="4" w:space="0"/>
              <w:bottom w:val="single" w:color="auto" w:sz="4" w:space="0"/>
              <w:tl2br w:val="nil"/>
              <w:tr2bl w:val="nil"/>
            </w:tcBorders>
            <w:vAlign w:val="center"/>
          </w:tcPr>
          <w:p w14:paraId="56A9A847">
            <w:pPr>
              <w:jc w:val="center"/>
              <w:rPr>
                <w:rFonts w:ascii="宋体" w:hAnsi="宋体" w:eastAsia="宋体" w:cs="Times New Roman"/>
                <w:color w:val="auto"/>
              </w:rPr>
            </w:pPr>
            <w:r>
              <w:rPr>
                <w:rFonts w:ascii="宋体" w:hAnsi="宋体" w:eastAsia="宋体" w:cs="Times New Roman"/>
                <w:color w:val="auto"/>
              </w:rPr>
              <w:t>达标</w:t>
            </w:r>
          </w:p>
        </w:tc>
      </w:tr>
      <w:tr w14:paraId="3A9E1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155B53CD">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6BAA90B3">
            <w:pPr>
              <w:jc w:val="center"/>
              <w:rPr>
                <w:rFonts w:ascii="宋体" w:hAnsi="宋体" w:eastAsia="宋体" w:cs="Times New Roman"/>
                <w:color w:val="auto"/>
              </w:rPr>
            </w:pPr>
            <w:r>
              <w:rPr>
                <w:rFonts w:ascii="宋体" w:hAnsi="宋体" w:eastAsia="宋体" w:cs="Times New Roman"/>
                <w:color w:val="auto"/>
              </w:rPr>
              <w:t>赵家围子屯</w:t>
            </w:r>
          </w:p>
        </w:tc>
        <w:tc>
          <w:tcPr>
            <w:tcW w:w="810" w:type="dxa"/>
            <w:vMerge w:val="continue"/>
            <w:tcBorders>
              <w:tl2br w:val="nil"/>
              <w:tr2bl w:val="nil"/>
            </w:tcBorders>
            <w:vAlign w:val="center"/>
          </w:tcPr>
          <w:p w14:paraId="097E09D5">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434BEBF2">
            <w:pPr>
              <w:jc w:val="center"/>
              <w:rPr>
                <w:rFonts w:ascii="宋体" w:hAnsi="宋体" w:eastAsia="宋体" w:cs="Times New Roman"/>
                <w:color w:val="auto"/>
              </w:rPr>
            </w:pPr>
            <w:r>
              <w:rPr>
                <w:rFonts w:ascii="宋体" w:hAnsi="宋体" w:eastAsia="宋体" w:cs="Times New Roman"/>
                <w:color w:val="auto"/>
              </w:rPr>
              <w:t>0.0263592</w:t>
            </w:r>
          </w:p>
        </w:tc>
        <w:tc>
          <w:tcPr>
            <w:tcW w:w="794" w:type="dxa"/>
            <w:tcBorders>
              <w:top w:val="single" w:color="auto" w:sz="4" w:space="0"/>
              <w:bottom w:val="single" w:color="auto" w:sz="4" w:space="0"/>
              <w:tl2br w:val="nil"/>
              <w:tr2bl w:val="nil"/>
            </w:tcBorders>
            <w:vAlign w:val="center"/>
          </w:tcPr>
          <w:p w14:paraId="52A78C43">
            <w:pPr>
              <w:jc w:val="right"/>
              <w:textAlignment w:val="center"/>
              <w:rPr>
                <w:rFonts w:ascii="宋体" w:hAnsi="宋体" w:eastAsia="宋体" w:cs="Times New Roman"/>
                <w:color w:val="auto"/>
              </w:rPr>
            </w:pPr>
            <w:r>
              <w:rPr>
                <w:rFonts w:ascii="宋体" w:hAnsi="宋体" w:eastAsia="宋体" w:cs="Times New Roman"/>
                <w:color w:val="auto"/>
                <w:lang w:bidi="ar"/>
              </w:rPr>
              <w:t xml:space="preserve">0.066 </w:t>
            </w:r>
          </w:p>
        </w:tc>
        <w:tc>
          <w:tcPr>
            <w:tcW w:w="1262" w:type="dxa"/>
            <w:tcBorders>
              <w:top w:val="single" w:color="auto" w:sz="4" w:space="0"/>
              <w:bottom w:val="single" w:color="auto" w:sz="4" w:space="0"/>
              <w:tl2br w:val="nil"/>
              <w:tr2bl w:val="nil"/>
            </w:tcBorders>
            <w:vAlign w:val="center"/>
          </w:tcPr>
          <w:p w14:paraId="00BCCF05">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665E9CC6">
            <w:pPr>
              <w:jc w:val="center"/>
              <w:rPr>
                <w:rFonts w:ascii="宋体" w:hAnsi="宋体" w:eastAsia="宋体" w:cs="Times New Roman"/>
                <w:color w:val="auto"/>
              </w:rPr>
            </w:pPr>
            <w:r>
              <w:rPr>
                <w:rFonts w:ascii="宋体" w:hAnsi="宋体" w:eastAsia="宋体" w:cs="Times New Roman"/>
                <w:color w:val="auto"/>
              </w:rPr>
              <w:t>18.0264</w:t>
            </w:r>
          </w:p>
        </w:tc>
        <w:tc>
          <w:tcPr>
            <w:tcW w:w="836" w:type="dxa"/>
            <w:tcBorders>
              <w:top w:val="single" w:color="auto" w:sz="4" w:space="0"/>
              <w:bottom w:val="single" w:color="auto" w:sz="4" w:space="0"/>
              <w:tl2br w:val="nil"/>
              <w:tr2bl w:val="nil"/>
            </w:tcBorders>
            <w:vAlign w:val="center"/>
          </w:tcPr>
          <w:p w14:paraId="56B14D58">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45.066 </w:t>
            </w:r>
          </w:p>
        </w:tc>
        <w:tc>
          <w:tcPr>
            <w:tcW w:w="830" w:type="dxa"/>
            <w:tcBorders>
              <w:top w:val="single" w:color="auto" w:sz="4" w:space="0"/>
              <w:bottom w:val="single" w:color="auto" w:sz="4" w:space="0"/>
              <w:tl2br w:val="nil"/>
              <w:tr2bl w:val="nil"/>
            </w:tcBorders>
            <w:vAlign w:val="center"/>
          </w:tcPr>
          <w:p w14:paraId="6AF1001C">
            <w:pPr>
              <w:jc w:val="center"/>
              <w:rPr>
                <w:rFonts w:ascii="宋体" w:hAnsi="宋体" w:eastAsia="宋体" w:cs="Times New Roman"/>
                <w:color w:val="auto"/>
              </w:rPr>
            </w:pPr>
            <w:r>
              <w:rPr>
                <w:rFonts w:ascii="宋体" w:hAnsi="宋体" w:eastAsia="宋体" w:cs="Times New Roman"/>
                <w:color w:val="auto"/>
              </w:rPr>
              <w:t>达标</w:t>
            </w:r>
          </w:p>
        </w:tc>
      </w:tr>
      <w:tr w14:paraId="6DD5D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5DACB07C">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44FB7A16">
            <w:pPr>
              <w:jc w:val="center"/>
              <w:rPr>
                <w:rFonts w:ascii="宋体" w:hAnsi="宋体" w:eastAsia="宋体" w:cs="Times New Roman"/>
                <w:color w:val="auto"/>
              </w:rPr>
            </w:pPr>
            <w:r>
              <w:rPr>
                <w:rFonts w:ascii="宋体" w:hAnsi="宋体" w:eastAsia="宋体" w:cs="Times New Roman"/>
                <w:color w:val="auto"/>
              </w:rPr>
              <w:t>孙家围子屯</w:t>
            </w:r>
          </w:p>
        </w:tc>
        <w:tc>
          <w:tcPr>
            <w:tcW w:w="810" w:type="dxa"/>
            <w:vMerge w:val="continue"/>
            <w:tcBorders>
              <w:tl2br w:val="nil"/>
              <w:tr2bl w:val="nil"/>
            </w:tcBorders>
            <w:vAlign w:val="center"/>
          </w:tcPr>
          <w:p w14:paraId="7E876D30">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2C74CA6B">
            <w:pPr>
              <w:jc w:val="center"/>
              <w:rPr>
                <w:rFonts w:ascii="宋体" w:hAnsi="宋体" w:eastAsia="宋体" w:cs="Times New Roman"/>
                <w:color w:val="auto"/>
              </w:rPr>
            </w:pPr>
            <w:r>
              <w:rPr>
                <w:rFonts w:ascii="宋体" w:hAnsi="宋体" w:eastAsia="宋体" w:cs="Times New Roman"/>
                <w:color w:val="auto"/>
              </w:rPr>
              <w:t>0.0169757</w:t>
            </w:r>
          </w:p>
        </w:tc>
        <w:tc>
          <w:tcPr>
            <w:tcW w:w="794" w:type="dxa"/>
            <w:tcBorders>
              <w:top w:val="single" w:color="auto" w:sz="4" w:space="0"/>
              <w:bottom w:val="single" w:color="auto" w:sz="4" w:space="0"/>
              <w:tl2br w:val="nil"/>
              <w:tr2bl w:val="nil"/>
            </w:tcBorders>
            <w:vAlign w:val="center"/>
          </w:tcPr>
          <w:p w14:paraId="178627A4">
            <w:pPr>
              <w:jc w:val="right"/>
              <w:textAlignment w:val="center"/>
              <w:rPr>
                <w:rFonts w:ascii="宋体" w:hAnsi="宋体" w:eastAsia="宋体" w:cs="Times New Roman"/>
                <w:color w:val="auto"/>
              </w:rPr>
            </w:pPr>
            <w:r>
              <w:rPr>
                <w:rFonts w:ascii="宋体" w:hAnsi="宋体" w:eastAsia="宋体" w:cs="Times New Roman"/>
                <w:color w:val="auto"/>
                <w:lang w:bidi="ar"/>
              </w:rPr>
              <w:t xml:space="preserve">0.042 </w:t>
            </w:r>
          </w:p>
        </w:tc>
        <w:tc>
          <w:tcPr>
            <w:tcW w:w="1262" w:type="dxa"/>
            <w:tcBorders>
              <w:top w:val="single" w:color="auto" w:sz="4" w:space="0"/>
              <w:bottom w:val="single" w:color="auto" w:sz="4" w:space="0"/>
              <w:tl2br w:val="nil"/>
              <w:tr2bl w:val="nil"/>
            </w:tcBorders>
            <w:vAlign w:val="center"/>
          </w:tcPr>
          <w:p w14:paraId="10AB7DF8">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1E0C6033">
            <w:pPr>
              <w:jc w:val="center"/>
              <w:rPr>
                <w:rFonts w:ascii="宋体" w:hAnsi="宋体" w:eastAsia="宋体" w:cs="Times New Roman"/>
                <w:color w:val="auto"/>
              </w:rPr>
            </w:pPr>
            <w:r>
              <w:rPr>
                <w:rFonts w:ascii="宋体" w:hAnsi="宋体" w:eastAsia="宋体" w:cs="Times New Roman"/>
                <w:color w:val="auto"/>
              </w:rPr>
              <w:t>18.017</w:t>
            </w:r>
          </w:p>
        </w:tc>
        <w:tc>
          <w:tcPr>
            <w:tcW w:w="836" w:type="dxa"/>
            <w:tcBorders>
              <w:top w:val="single" w:color="auto" w:sz="4" w:space="0"/>
              <w:bottom w:val="single" w:color="auto" w:sz="4" w:space="0"/>
              <w:tl2br w:val="nil"/>
              <w:tr2bl w:val="nil"/>
            </w:tcBorders>
            <w:vAlign w:val="center"/>
          </w:tcPr>
          <w:p w14:paraId="5BD3347B">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45.043 </w:t>
            </w:r>
          </w:p>
        </w:tc>
        <w:tc>
          <w:tcPr>
            <w:tcW w:w="830" w:type="dxa"/>
            <w:tcBorders>
              <w:top w:val="single" w:color="auto" w:sz="4" w:space="0"/>
              <w:bottom w:val="single" w:color="auto" w:sz="4" w:space="0"/>
              <w:tl2br w:val="nil"/>
              <w:tr2bl w:val="nil"/>
            </w:tcBorders>
            <w:vAlign w:val="center"/>
          </w:tcPr>
          <w:p w14:paraId="5091361D">
            <w:pPr>
              <w:jc w:val="center"/>
              <w:rPr>
                <w:rFonts w:ascii="宋体" w:hAnsi="宋体" w:eastAsia="宋体" w:cs="Times New Roman"/>
                <w:color w:val="auto"/>
              </w:rPr>
            </w:pPr>
            <w:r>
              <w:rPr>
                <w:rFonts w:ascii="宋体" w:hAnsi="宋体" w:eastAsia="宋体" w:cs="Times New Roman"/>
                <w:color w:val="auto"/>
              </w:rPr>
              <w:t>达标</w:t>
            </w:r>
          </w:p>
        </w:tc>
      </w:tr>
      <w:tr w14:paraId="48DB6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3EDE6217">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7465E43E">
            <w:pPr>
              <w:jc w:val="center"/>
              <w:rPr>
                <w:rFonts w:ascii="宋体" w:hAnsi="宋体" w:eastAsia="宋体" w:cs="Times New Roman"/>
                <w:color w:val="auto"/>
              </w:rPr>
            </w:pPr>
            <w:r>
              <w:rPr>
                <w:rFonts w:ascii="宋体" w:hAnsi="宋体" w:eastAsia="宋体" w:cs="Times New Roman"/>
                <w:color w:val="auto"/>
              </w:rPr>
              <w:t>对青岗子屯</w:t>
            </w:r>
          </w:p>
        </w:tc>
        <w:tc>
          <w:tcPr>
            <w:tcW w:w="810" w:type="dxa"/>
            <w:vMerge w:val="continue"/>
            <w:tcBorders>
              <w:tl2br w:val="nil"/>
              <w:tr2bl w:val="nil"/>
            </w:tcBorders>
            <w:vAlign w:val="center"/>
          </w:tcPr>
          <w:p w14:paraId="03F22134">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7AF072F9">
            <w:pPr>
              <w:jc w:val="center"/>
              <w:rPr>
                <w:rFonts w:ascii="宋体" w:hAnsi="宋体" w:eastAsia="宋体" w:cs="Times New Roman"/>
                <w:color w:val="auto"/>
              </w:rPr>
            </w:pPr>
            <w:r>
              <w:rPr>
                <w:rFonts w:ascii="宋体" w:hAnsi="宋体" w:eastAsia="宋体" w:cs="Times New Roman"/>
                <w:color w:val="auto"/>
              </w:rPr>
              <w:t>0.0712807</w:t>
            </w:r>
          </w:p>
        </w:tc>
        <w:tc>
          <w:tcPr>
            <w:tcW w:w="794" w:type="dxa"/>
            <w:tcBorders>
              <w:top w:val="single" w:color="auto" w:sz="4" w:space="0"/>
              <w:bottom w:val="single" w:color="auto" w:sz="4" w:space="0"/>
              <w:tl2br w:val="nil"/>
              <w:tr2bl w:val="nil"/>
            </w:tcBorders>
            <w:vAlign w:val="center"/>
          </w:tcPr>
          <w:p w14:paraId="7577A54D">
            <w:pPr>
              <w:jc w:val="right"/>
              <w:textAlignment w:val="center"/>
              <w:rPr>
                <w:rFonts w:ascii="宋体" w:hAnsi="宋体" w:eastAsia="宋体" w:cs="Times New Roman"/>
                <w:color w:val="auto"/>
              </w:rPr>
            </w:pPr>
            <w:r>
              <w:rPr>
                <w:rFonts w:ascii="宋体" w:hAnsi="宋体" w:eastAsia="宋体" w:cs="Times New Roman"/>
                <w:color w:val="auto"/>
                <w:lang w:bidi="ar"/>
              </w:rPr>
              <w:t xml:space="preserve">0.178 </w:t>
            </w:r>
          </w:p>
        </w:tc>
        <w:tc>
          <w:tcPr>
            <w:tcW w:w="1262" w:type="dxa"/>
            <w:tcBorders>
              <w:top w:val="single" w:color="auto" w:sz="4" w:space="0"/>
              <w:bottom w:val="single" w:color="auto" w:sz="4" w:space="0"/>
              <w:tl2br w:val="nil"/>
              <w:tr2bl w:val="nil"/>
            </w:tcBorders>
            <w:vAlign w:val="center"/>
          </w:tcPr>
          <w:p w14:paraId="0A0D7C14">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425DBD8B">
            <w:pPr>
              <w:jc w:val="center"/>
              <w:rPr>
                <w:rFonts w:ascii="宋体" w:hAnsi="宋体" w:eastAsia="宋体" w:cs="Times New Roman"/>
                <w:color w:val="auto"/>
              </w:rPr>
            </w:pPr>
            <w:r>
              <w:rPr>
                <w:rFonts w:ascii="宋体" w:hAnsi="宋体" w:eastAsia="宋体" w:cs="Times New Roman"/>
                <w:color w:val="auto"/>
              </w:rPr>
              <w:t>18.0713</w:t>
            </w:r>
          </w:p>
        </w:tc>
        <w:tc>
          <w:tcPr>
            <w:tcW w:w="836" w:type="dxa"/>
            <w:tcBorders>
              <w:top w:val="single" w:color="auto" w:sz="4" w:space="0"/>
              <w:bottom w:val="single" w:color="auto" w:sz="4" w:space="0"/>
              <w:tl2br w:val="nil"/>
              <w:tr2bl w:val="nil"/>
            </w:tcBorders>
            <w:vAlign w:val="center"/>
          </w:tcPr>
          <w:p w14:paraId="213D52C4">
            <w:pPr>
              <w:jc w:val="right"/>
              <w:textAlignment w:val="center"/>
              <w:rPr>
                <w:rFonts w:ascii="宋体" w:hAnsi="宋体" w:eastAsia="宋体" w:cs="Times New Roman"/>
                <w:color w:val="auto"/>
              </w:rPr>
            </w:pPr>
            <w:r>
              <w:rPr>
                <w:rFonts w:ascii="宋体" w:hAnsi="宋体" w:eastAsia="宋体" w:cs="Times New Roman"/>
                <w:color w:val="auto"/>
                <w:lang w:bidi="ar"/>
              </w:rPr>
              <w:t xml:space="preserve">45.178 </w:t>
            </w:r>
          </w:p>
        </w:tc>
        <w:tc>
          <w:tcPr>
            <w:tcW w:w="830" w:type="dxa"/>
            <w:tcBorders>
              <w:top w:val="single" w:color="auto" w:sz="4" w:space="0"/>
              <w:bottom w:val="single" w:color="auto" w:sz="4" w:space="0"/>
              <w:tl2br w:val="nil"/>
              <w:tr2bl w:val="nil"/>
            </w:tcBorders>
            <w:vAlign w:val="center"/>
          </w:tcPr>
          <w:p w14:paraId="489CF7CD">
            <w:pPr>
              <w:jc w:val="center"/>
              <w:rPr>
                <w:rFonts w:ascii="宋体" w:hAnsi="宋体" w:eastAsia="宋体" w:cs="Times New Roman"/>
                <w:color w:val="auto"/>
              </w:rPr>
            </w:pPr>
            <w:r>
              <w:rPr>
                <w:rFonts w:ascii="宋体" w:hAnsi="宋体" w:eastAsia="宋体" w:cs="Times New Roman"/>
                <w:color w:val="auto"/>
              </w:rPr>
              <w:t>达标</w:t>
            </w:r>
          </w:p>
        </w:tc>
      </w:tr>
      <w:tr w14:paraId="3DAD5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 w:hRule="atLeast"/>
        </w:trPr>
        <w:tc>
          <w:tcPr>
            <w:tcW w:w="694" w:type="dxa"/>
            <w:vMerge w:val="continue"/>
            <w:tcBorders>
              <w:tl2br w:val="nil"/>
              <w:tr2bl w:val="nil"/>
            </w:tcBorders>
            <w:vAlign w:val="center"/>
          </w:tcPr>
          <w:p w14:paraId="234E03EA">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02F8E467">
            <w:pPr>
              <w:jc w:val="center"/>
              <w:rPr>
                <w:rFonts w:ascii="宋体" w:hAnsi="宋体" w:eastAsia="宋体" w:cs="Times New Roman"/>
                <w:color w:val="auto"/>
              </w:rPr>
            </w:pPr>
            <w:r>
              <w:rPr>
                <w:rFonts w:ascii="宋体" w:hAnsi="宋体" w:eastAsia="宋体" w:cs="Times New Roman"/>
                <w:color w:val="auto"/>
              </w:rPr>
              <w:t>蒙古屯</w:t>
            </w:r>
          </w:p>
        </w:tc>
        <w:tc>
          <w:tcPr>
            <w:tcW w:w="810" w:type="dxa"/>
            <w:vMerge w:val="continue"/>
            <w:tcBorders>
              <w:tl2br w:val="nil"/>
              <w:tr2bl w:val="nil"/>
            </w:tcBorders>
            <w:vAlign w:val="center"/>
          </w:tcPr>
          <w:p w14:paraId="215F0655">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5582A639">
            <w:pPr>
              <w:jc w:val="center"/>
              <w:rPr>
                <w:rFonts w:ascii="宋体" w:hAnsi="宋体" w:eastAsia="宋体" w:cs="Times New Roman"/>
                <w:color w:val="auto"/>
              </w:rPr>
            </w:pPr>
            <w:r>
              <w:rPr>
                <w:rFonts w:ascii="宋体" w:hAnsi="宋体" w:eastAsia="宋体" w:cs="Times New Roman"/>
                <w:color w:val="auto"/>
              </w:rPr>
              <w:t>0.0469844</w:t>
            </w:r>
          </w:p>
        </w:tc>
        <w:tc>
          <w:tcPr>
            <w:tcW w:w="794" w:type="dxa"/>
            <w:tcBorders>
              <w:top w:val="single" w:color="auto" w:sz="4" w:space="0"/>
              <w:bottom w:val="single" w:color="auto" w:sz="4" w:space="0"/>
              <w:tl2br w:val="nil"/>
              <w:tr2bl w:val="nil"/>
            </w:tcBorders>
            <w:vAlign w:val="center"/>
          </w:tcPr>
          <w:p w14:paraId="102FC428">
            <w:pPr>
              <w:jc w:val="right"/>
              <w:textAlignment w:val="center"/>
              <w:rPr>
                <w:rFonts w:ascii="宋体" w:hAnsi="宋体" w:eastAsia="宋体" w:cs="Times New Roman"/>
                <w:color w:val="auto"/>
              </w:rPr>
            </w:pPr>
            <w:r>
              <w:rPr>
                <w:rFonts w:ascii="宋体" w:hAnsi="宋体" w:eastAsia="宋体" w:cs="Times New Roman"/>
                <w:color w:val="auto"/>
                <w:lang w:bidi="ar"/>
              </w:rPr>
              <w:t xml:space="preserve">0.117 </w:t>
            </w:r>
          </w:p>
        </w:tc>
        <w:tc>
          <w:tcPr>
            <w:tcW w:w="1262" w:type="dxa"/>
            <w:tcBorders>
              <w:top w:val="single" w:color="auto" w:sz="4" w:space="0"/>
              <w:bottom w:val="single" w:color="auto" w:sz="4" w:space="0"/>
              <w:tl2br w:val="nil"/>
              <w:tr2bl w:val="nil"/>
            </w:tcBorders>
            <w:vAlign w:val="center"/>
          </w:tcPr>
          <w:p w14:paraId="1384F825">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6F304D19">
            <w:pPr>
              <w:jc w:val="center"/>
              <w:rPr>
                <w:rFonts w:ascii="宋体" w:hAnsi="宋体" w:eastAsia="宋体" w:cs="Times New Roman"/>
                <w:color w:val="auto"/>
              </w:rPr>
            </w:pPr>
            <w:r>
              <w:rPr>
                <w:rFonts w:ascii="宋体" w:hAnsi="宋体" w:eastAsia="宋体" w:cs="Times New Roman"/>
                <w:color w:val="auto"/>
              </w:rPr>
              <w:t>18.047</w:t>
            </w:r>
          </w:p>
        </w:tc>
        <w:tc>
          <w:tcPr>
            <w:tcW w:w="836" w:type="dxa"/>
            <w:tcBorders>
              <w:top w:val="single" w:color="auto" w:sz="4" w:space="0"/>
              <w:bottom w:val="single" w:color="auto" w:sz="4" w:space="0"/>
              <w:tl2br w:val="nil"/>
              <w:tr2bl w:val="nil"/>
            </w:tcBorders>
            <w:vAlign w:val="center"/>
          </w:tcPr>
          <w:p w14:paraId="2B0AB7FC">
            <w:pPr>
              <w:jc w:val="right"/>
              <w:textAlignment w:val="center"/>
              <w:rPr>
                <w:rFonts w:ascii="宋体" w:hAnsi="宋体" w:eastAsia="宋体" w:cs="Times New Roman"/>
                <w:color w:val="auto"/>
              </w:rPr>
            </w:pPr>
            <w:r>
              <w:rPr>
                <w:rFonts w:ascii="宋体" w:hAnsi="宋体" w:eastAsia="宋体" w:cs="Times New Roman"/>
                <w:color w:val="auto"/>
                <w:lang w:bidi="ar"/>
              </w:rPr>
              <w:t xml:space="preserve">45.118 </w:t>
            </w:r>
          </w:p>
        </w:tc>
        <w:tc>
          <w:tcPr>
            <w:tcW w:w="830" w:type="dxa"/>
            <w:tcBorders>
              <w:top w:val="single" w:color="auto" w:sz="4" w:space="0"/>
              <w:bottom w:val="single" w:color="auto" w:sz="4" w:space="0"/>
              <w:tl2br w:val="nil"/>
              <w:tr2bl w:val="nil"/>
            </w:tcBorders>
            <w:vAlign w:val="center"/>
          </w:tcPr>
          <w:p w14:paraId="55411AC8">
            <w:pPr>
              <w:jc w:val="center"/>
              <w:rPr>
                <w:rFonts w:ascii="宋体" w:hAnsi="宋体" w:eastAsia="宋体" w:cs="Times New Roman"/>
                <w:color w:val="auto"/>
              </w:rPr>
            </w:pPr>
            <w:r>
              <w:rPr>
                <w:rFonts w:ascii="宋体" w:hAnsi="宋体" w:eastAsia="宋体" w:cs="Times New Roman"/>
                <w:color w:val="auto"/>
              </w:rPr>
              <w:t>达标</w:t>
            </w:r>
          </w:p>
        </w:tc>
      </w:tr>
      <w:tr w14:paraId="6A56E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E9C061B">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02A31407">
            <w:pPr>
              <w:jc w:val="center"/>
              <w:rPr>
                <w:rFonts w:ascii="宋体" w:hAnsi="宋体" w:eastAsia="宋体" w:cs="Times New Roman"/>
                <w:color w:val="auto"/>
              </w:rPr>
            </w:pPr>
            <w:r>
              <w:rPr>
                <w:rFonts w:ascii="宋体" w:hAnsi="宋体" w:eastAsia="宋体" w:cs="Times New Roman"/>
                <w:color w:val="auto"/>
              </w:rPr>
              <w:t>四方山屯</w:t>
            </w:r>
          </w:p>
        </w:tc>
        <w:tc>
          <w:tcPr>
            <w:tcW w:w="810" w:type="dxa"/>
            <w:vMerge w:val="continue"/>
            <w:tcBorders>
              <w:tl2br w:val="nil"/>
              <w:tr2bl w:val="nil"/>
            </w:tcBorders>
            <w:vAlign w:val="center"/>
          </w:tcPr>
          <w:p w14:paraId="4543F854">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5B9A99AA">
            <w:pPr>
              <w:jc w:val="center"/>
              <w:rPr>
                <w:rFonts w:ascii="宋体" w:hAnsi="宋体" w:eastAsia="宋体" w:cs="Times New Roman"/>
                <w:color w:val="auto"/>
              </w:rPr>
            </w:pPr>
            <w:r>
              <w:rPr>
                <w:rFonts w:ascii="宋体" w:hAnsi="宋体" w:eastAsia="宋体" w:cs="Times New Roman"/>
                <w:color w:val="auto"/>
              </w:rPr>
              <w:t>0.0123644</w:t>
            </w:r>
          </w:p>
        </w:tc>
        <w:tc>
          <w:tcPr>
            <w:tcW w:w="794" w:type="dxa"/>
            <w:tcBorders>
              <w:top w:val="single" w:color="auto" w:sz="4" w:space="0"/>
              <w:tl2br w:val="nil"/>
              <w:tr2bl w:val="nil"/>
            </w:tcBorders>
            <w:vAlign w:val="center"/>
          </w:tcPr>
          <w:p w14:paraId="5505F5DC">
            <w:pPr>
              <w:jc w:val="right"/>
              <w:textAlignment w:val="center"/>
              <w:rPr>
                <w:rFonts w:ascii="宋体" w:hAnsi="宋体" w:eastAsia="宋体" w:cs="Times New Roman"/>
                <w:color w:val="auto"/>
              </w:rPr>
            </w:pPr>
            <w:r>
              <w:rPr>
                <w:rFonts w:ascii="宋体" w:hAnsi="宋体" w:eastAsia="宋体" w:cs="Times New Roman"/>
                <w:color w:val="auto"/>
                <w:lang w:bidi="ar"/>
              </w:rPr>
              <w:t xml:space="preserve">0.031 </w:t>
            </w:r>
          </w:p>
        </w:tc>
        <w:tc>
          <w:tcPr>
            <w:tcW w:w="1262" w:type="dxa"/>
            <w:tcBorders>
              <w:top w:val="single" w:color="auto" w:sz="4" w:space="0"/>
              <w:tl2br w:val="nil"/>
              <w:tr2bl w:val="nil"/>
            </w:tcBorders>
            <w:vAlign w:val="center"/>
          </w:tcPr>
          <w:p w14:paraId="60B5D05D">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3A0758A7">
            <w:pPr>
              <w:jc w:val="center"/>
              <w:rPr>
                <w:rFonts w:ascii="宋体" w:hAnsi="宋体" w:eastAsia="宋体" w:cs="Times New Roman"/>
                <w:color w:val="auto"/>
              </w:rPr>
            </w:pPr>
            <w:r>
              <w:rPr>
                <w:rFonts w:ascii="宋体" w:hAnsi="宋体" w:eastAsia="宋体" w:cs="Times New Roman"/>
                <w:color w:val="auto"/>
              </w:rPr>
              <w:t>18.0124</w:t>
            </w:r>
          </w:p>
        </w:tc>
        <w:tc>
          <w:tcPr>
            <w:tcW w:w="836" w:type="dxa"/>
            <w:tcBorders>
              <w:top w:val="single" w:color="auto" w:sz="4" w:space="0"/>
              <w:tl2br w:val="nil"/>
              <w:tr2bl w:val="nil"/>
            </w:tcBorders>
            <w:vAlign w:val="center"/>
          </w:tcPr>
          <w:p w14:paraId="46E0C27A">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45.031 </w:t>
            </w:r>
          </w:p>
        </w:tc>
        <w:tc>
          <w:tcPr>
            <w:tcW w:w="830" w:type="dxa"/>
            <w:tcBorders>
              <w:top w:val="single" w:color="auto" w:sz="4" w:space="0"/>
              <w:tl2br w:val="nil"/>
              <w:tr2bl w:val="nil"/>
            </w:tcBorders>
            <w:vAlign w:val="center"/>
          </w:tcPr>
          <w:p w14:paraId="3791AAEC">
            <w:pPr>
              <w:jc w:val="center"/>
              <w:rPr>
                <w:rFonts w:ascii="宋体" w:hAnsi="宋体" w:eastAsia="宋体" w:cs="Times New Roman"/>
                <w:color w:val="auto"/>
              </w:rPr>
            </w:pPr>
            <w:r>
              <w:rPr>
                <w:rFonts w:ascii="宋体" w:hAnsi="宋体" w:eastAsia="宋体" w:cs="Times New Roman"/>
                <w:color w:val="auto"/>
              </w:rPr>
              <w:t>达标</w:t>
            </w:r>
          </w:p>
        </w:tc>
      </w:tr>
      <w:tr w14:paraId="1C924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2338EA87">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598A0858">
            <w:pPr>
              <w:jc w:val="center"/>
              <w:rPr>
                <w:rFonts w:ascii="宋体" w:hAnsi="宋体" w:eastAsia="宋体" w:cs="Times New Roman"/>
                <w:color w:val="auto"/>
              </w:rPr>
            </w:pPr>
            <w:r>
              <w:rPr>
                <w:rFonts w:ascii="宋体" w:hAnsi="宋体" w:eastAsia="宋体" w:cs="Times New Roman"/>
                <w:color w:val="auto"/>
              </w:rPr>
              <w:t>小东屯</w:t>
            </w:r>
          </w:p>
        </w:tc>
        <w:tc>
          <w:tcPr>
            <w:tcW w:w="810" w:type="dxa"/>
            <w:vMerge w:val="continue"/>
            <w:tcBorders>
              <w:tl2br w:val="nil"/>
              <w:tr2bl w:val="nil"/>
            </w:tcBorders>
            <w:vAlign w:val="center"/>
          </w:tcPr>
          <w:p w14:paraId="1F6F06DD">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01671F89">
            <w:pPr>
              <w:jc w:val="center"/>
              <w:rPr>
                <w:rFonts w:ascii="宋体" w:hAnsi="宋体" w:eastAsia="宋体" w:cs="Times New Roman"/>
                <w:color w:val="auto"/>
              </w:rPr>
            </w:pPr>
            <w:r>
              <w:rPr>
                <w:rFonts w:ascii="宋体" w:hAnsi="宋体" w:eastAsia="宋体" w:cs="Times New Roman"/>
                <w:color w:val="auto"/>
              </w:rPr>
              <w:t>0.0109835</w:t>
            </w:r>
          </w:p>
        </w:tc>
        <w:tc>
          <w:tcPr>
            <w:tcW w:w="794" w:type="dxa"/>
            <w:tcBorders>
              <w:top w:val="single" w:color="auto" w:sz="4" w:space="0"/>
              <w:tl2br w:val="nil"/>
              <w:tr2bl w:val="nil"/>
            </w:tcBorders>
            <w:vAlign w:val="center"/>
          </w:tcPr>
          <w:p w14:paraId="6C3176AD">
            <w:pPr>
              <w:jc w:val="right"/>
              <w:textAlignment w:val="center"/>
              <w:rPr>
                <w:rFonts w:ascii="宋体" w:hAnsi="宋体" w:eastAsia="宋体" w:cs="Times New Roman"/>
                <w:color w:val="auto"/>
              </w:rPr>
            </w:pPr>
            <w:r>
              <w:rPr>
                <w:rFonts w:ascii="宋体" w:hAnsi="宋体" w:eastAsia="宋体" w:cs="Times New Roman"/>
                <w:color w:val="auto"/>
                <w:lang w:bidi="ar"/>
              </w:rPr>
              <w:t xml:space="preserve">0.027 </w:t>
            </w:r>
          </w:p>
        </w:tc>
        <w:tc>
          <w:tcPr>
            <w:tcW w:w="1262" w:type="dxa"/>
            <w:tcBorders>
              <w:top w:val="single" w:color="auto" w:sz="4" w:space="0"/>
              <w:tl2br w:val="nil"/>
              <w:tr2bl w:val="nil"/>
            </w:tcBorders>
            <w:vAlign w:val="center"/>
          </w:tcPr>
          <w:p w14:paraId="40A2B59F">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3D1E73FF">
            <w:pPr>
              <w:jc w:val="center"/>
              <w:rPr>
                <w:rFonts w:ascii="宋体" w:hAnsi="宋体" w:eastAsia="宋体" w:cs="Times New Roman"/>
                <w:color w:val="auto"/>
              </w:rPr>
            </w:pPr>
            <w:r>
              <w:rPr>
                <w:rFonts w:ascii="宋体" w:hAnsi="宋体" w:eastAsia="宋体" w:cs="Times New Roman"/>
                <w:color w:val="auto"/>
              </w:rPr>
              <w:t>18.011</w:t>
            </w:r>
          </w:p>
        </w:tc>
        <w:tc>
          <w:tcPr>
            <w:tcW w:w="836" w:type="dxa"/>
            <w:tcBorders>
              <w:top w:val="single" w:color="auto" w:sz="4" w:space="0"/>
              <w:tl2br w:val="nil"/>
              <w:tr2bl w:val="nil"/>
            </w:tcBorders>
            <w:vAlign w:val="center"/>
          </w:tcPr>
          <w:p w14:paraId="5454D24E">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45.028 </w:t>
            </w:r>
          </w:p>
        </w:tc>
        <w:tc>
          <w:tcPr>
            <w:tcW w:w="830" w:type="dxa"/>
            <w:tcBorders>
              <w:top w:val="single" w:color="auto" w:sz="4" w:space="0"/>
              <w:tl2br w:val="nil"/>
              <w:tr2bl w:val="nil"/>
            </w:tcBorders>
            <w:vAlign w:val="center"/>
          </w:tcPr>
          <w:p w14:paraId="5514DDEA">
            <w:pPr>
              <w:jc w:val="center"/>
              <w:rPr>
                <w:rFonts w:ascii="宋体" w:hAnsi="宋体" w:eastAsia="宋体" w:cs="Times New Roman"/>
                <w:color w:val="auto"/>
              </w:rPr>
            </w:pPr>
            <w:r>
              <w:rPr>
                <w:rFonts w:ascii="宋体" w:hAnsi="宋体" w:eastAsia="宋体" w:cs="Times New Roman"/>
                <w:color w:val="auto"/>
              </w:rPr>
              <w:t>达标</w:t>
            </w:r>
          </w:p>
        </w:tc>
      </w:tr>
      <w:tr w14:paraId="2628E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22922FE">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6F3042D6">
            <w:pPr>
              <w:jc w:val="center"/>
              <w:rPr>
                <w:rFonts w:ascii="宋体" w:hAnsi="宋体" w:eastAsia="宋体" w:cs="Times New Roman"/>
                <w:color w:val="auto"/>
              </w:rPr>
            </w:pPr>
            <w:r>
              <w:rPr>
                <w:rFonts w:ascii="宋体" w:hAnsi="宋体" w:eastAsia="宋体" w:cs="Times New Roman"/>
                <w:color w:val="auto"/>
              </w:rPr>
              <w:t>东兴村</w:t>
            </w:r>
          </w:p>
        </w:tc>
        <w:tc>
          <w:tcPr>
            <w:tcW w:w="810" w:type="dxa"/>
            <w:vMerge w:val="continue"/>
            <w:tcBorders>
              <w:tl2br w:val="nil"/>
              <w:tr2bl w:val="nil"/>
            </w:tcBorders>
            <w:vAlign w:val="center"/>
          </w:tcPr>
          <w:p w14:paraId="29810068">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54F96893">
            <w:pPr>
              <w:jc w:val="center"/>
              <w:rPr>
                <w:rFonts w:ascii="宋体" w:hAnsi="宋体" w:eastAsia="宋体" w:cs="Times New Roman"/>
                <w:color w:val="auto"/>
              </w:rPr>
            </w:pPr>
            <w:r>
              <w:rPr>
                <w:rFonts w:ascii="宋体" w:hAnsi="宋体" w:eastAsia="宋体" w:cs="Times New Roman"/>
                <w:color w:val="auto"/>
              </w:rPr>
              <w:t>0.00791604</w:t>
            </w:r>
          </w:p>
        </w:tc>
        <w:tc>
          <w:tcPr>
            <w:tcW w:w="794" w:type="dxa"/>
            <w:tcBorders>
              <w:top w:val="single" w:color="auto" w:sz="4" w:space="0"/>
              <w:tl2br w:val="nil"/>
              <w:tr2bl w:val="nil"/>
            </w:tcBorders>
            <w:vAlign w:val="center"/>
          </w:tcPr>
          <w:p w14:paraId="7F2DC496">
            <w:pPr>
              <w:jc w:val="right"/>
              <w:textAlignment w:val="center"/>
              <w:rPr>
                <w:rFonts w:ascii="宋体" w:hAnsi="宋体" w:eastAsia="宋体" w:cs="Times New Roman"/>
                <w:color w:val="auto"/>
              </w:rPr>
            </w:pPr>
            <w:r>
              <w:rPr>
                <w:rFonts w:ascii="宋体" w:hAnsi="宋体" w:eastAsia="宋体" w:cs="Times New Roman"/>
                <w:color w:val="auto"/>
                <w:lang w:bidi="ar"/>
              </w:rPr>
              <w:t xml:space="preserve">0.020 </w:t>
            </w:r>
          </w:p>
        </w:tc>
        <w:tc>
          <w:tcPr>
            <w:tcW w:w="1262" w:type="dxa"/>
            <w:tcBorders>
              <w:top w:val="single" w:color="auto" w:sz="4" w:space="0"/>
              <w:tl2br w:val="nil"/>
              <w:tr2bl w:val="nil"/>
            </w:tcBorders>
            <w:vAlign w:val="center"/>
          </w:tcPr>
          <w:p w14:paraId="19DBB1FE">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1C482EB9">
            <w:pPr>
              <w:jc w:val="center"/>
              <w:rPr>
                <w:rFonts w:ascii="宋体" w:hAnsi="宋体" w:eastAsia="宋体" w:cs="Times New Roman"/>
                <w:color w:val="auto"/>
              </w:rPr>
            </w:pPr>
            <w:r>
              <w:rPr>
                <w:rFonts w:ascii="宋体" w:hAnsi="宋体" w:eastAsia="宋体" w:cs="Times New Roman"/>
                <w:color w:val="auto"/>
              </w:rPr>
              <w:t>18.0079</w:t>
            </w:r>
          </w:p>
        </w:tc>
        <w:tc>
          <w:tcPr>
            <w:tcW w:w="836" w:type="dxa"/>
            <w:tcBorders>
              <w:top w:val="single" w:color="auto" w:sz="4" w:space="0"/>
              <w:tl2br w:val="nil"/>
              <w:tr2bl w:val="nil"/>
            </w:tcBorders>
            <w:vAlign w:val="center"/>
          </w:tcPr>
          <w:p w14:paraId="183533B2">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45.020 </w:t>
            </w:r>
          </w:p>
        </w:tc>
        <w:tc>
          <w:tcPr>
            <w:tcW w:w="830" w:type="dxa"/>
            <w:tcBorders>
              <w:top w:val="single" w:color="auto" w:sz="4" w:space="0"/>
              <w:tl2br w:val="nil"/>
              <w:tr2bl w:val="nil"/>
            </w:tcBorders>
            <w:vAlign w:val="center"/>
          </w:tcPr>
          <w:p w14:paraId="4C0CE7E4">
            <w:pPr>
              <w:jc w:val="center"/>
              <w:rPr>
                <w:rFonts w:ascii="宋体" w:hAnsi="宋体" w:eastAsia="宋体" w:cs="Times New Roman"/>
                <w:color w:val="auto"/>
              </w:rPr>
            </w:pPr>
            <w:r>
              <w:rPr>
                <w:rFonts w:ascii="宋体" w:hAnsi="宋体" w:eastAsia="宋体" w:cs="Times New Roman"/>
                <w:color w:val="auto"/>
              </w:rPr>
              <w:t>达标</w:t>
            </w:r>
          </w:p>
        </w:tc>
      </w:tr>
      <w:tr w14:paraId="49DE0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937BF0D">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3AA90155">
            <w:pPr>
              <w:jc w:val="center"/>
              <w:rPr>
                <w:rFonts w:ascii="宋体" w:hAnsi="宋体" w:eastAsia="宋体" w:cs="Times New Roman"/>
                <w:color w:val="auto"/>
              </w:rPr>
            </w:pPr>
            <w:r>
              <w:rPr>
                <w:rFonts w:ascii="宋体" w:hAnsi="宋体" w:eastAsia="宋体" w:cs="Times New Roman"/>
                <w:color w:val="auto"/>
              </w:rPr>
              <w:t>迟家屯</w:t>
            </w:r>
          </w:p>
        </w:tc>
        <w:tc>
          <w:tcPr>
            <w:tcW w:w="810" w:type="dxa"/>
            <w:vMerge w:val="continue"/>
            <w:tcBorders>
              <w:tl2br w:val="nil"/>
              <w:tr2bl w:val="nil"/>
            </w:tcBorders>
            <w:vAlign w:val="center"/>
          </w:tcPr>
          <w:p w14:paraId="00A4E8C8">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5182FE65">
            <w:pPr>
              <w:jc w:val="center"/>
              <w:rPr>
                <w:rFonts w:ascii="宋体" w:hAnsi="宋体" w:eastAsia="宋体" w:cs="Times New Roman"/>
                <w:color w:val="auto"/>
              </w:rPr>
            </w:pPr>
            <w:r>
              <w:rPr>
                <w:rFonts w:ascii="宋体" w:hAnsi="宋体" w:eastAsia="宋体" w:cs="Times New Roman"/>
                <w:color w:val="auto"/>
              </w:rPr>
              <w:t>0.00759223</w:t>
            </w:r>
          </w:p>
        </w:tc>
        <w:tc>
          <w:tcPr>
            <w:tcW w:w="794" w:type="dxa"/>
            <w:tcBorders>
              <w:top w:val="single" w:color="auto" w:sz="4" w:space="0"/>
              <w:tl2br w:val="nil"/>
              <w:tr2bl w:val="nil"/>
            </w:tcBorders>
            <w:vAlign w:val="center"/>
          </w:tcPr>
          <w:p w14:paraId="29665C4F">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0.019 </w:t>
            </w:r>
          </w:p>
        </w:tc>
        <w:tc>
          <w:tcPr>
            <w:tcW w:w="1262" w:type="dxa"/>
            <w:tcBorders>
              <w:top w:val="single" w:color="auto" w:sz="4" w:space="0"/>
              <w:tl2br w:val="nil"/>
              <w:tr2bl w:val="nil"/>
            </w:tcBorders>
            <w:vAlign w:val="center"/>
          </w:tcPr>
          <w:p w14:paraId="56F00C0E">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520B4841">
            <w:pPr>
              <w:jc w:val="center"/>
              <w:rPr>
                <w:rFonts w:ascii="宋体" w:hAnsi="宋体" w:eastAsia="宋体" w:cs="Times New Roman"/>
                <w:color w:val="auto"/>
              </w:rPr>
            </w:pPr>
            <w:r>
              <w:rPr>
                <w:rFonts w:ascii="宋体" w:hAnsi="宋体" w:eastAsia="宋体" w:cs="Times New Roman"/>
                <w:color w:val="auto"/>
              </w:rPr>
              <w:t>18.0076</w:t>
            </w:r>
          </w:p>
        </w:tc>
        <w:tc>
          <w:tcPr>
            <w:tcW w:w="836" w:type="dxa"/>
            <w:tcBorders>
              <w:top w:val="single" w:color="auto" w:sz="4" w:space="0"/>
              <w:tl2br w:val="nil"/>
              <w:tr2bl w:val="nil"/>
            </w:tcBorders>
            <w:vAlign w:val="center"/>
          </w:tcPr>
          <w:p w14:paraId="15DFD748">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45.019 </w:t>
            </w:r>
          </w:p>
        </w:tc>
        <w:tc>
          <w:tcPr>
            <w:tcW w:w="830" w:type="dxa"/>
            <w:tcBorders>
              <w:top w:val="single" w:color="auto" w:sz="4" w:space="0"/>
              <w:tl2br w:val="nil"/>
              <w:tr2bl w:val="nil"/>
            </w:tcBorders>
            <w:vAlign w:val="center"/>
          </w:tcPr>
          <w:p w14:paraId="4752ADB0">
            <w:pPr>
              <w:jc w:val="center"/>
              <w:rPr>
                <w:rFonts w:ascii="宋体" w:hAnsi="宋体" w:eastAsia="宋体" w:cs="Times New Roman"/>
                <w:color w:val="auto"/>
              </w:rPr>
            </w:pPr>
            <w:r>
              <w:rPr>
                <w:rFonts w:ascii="宋体" w:hAnsi="宋体" w:eastAsia="宋体" w:cs="Times New Roman"/>
                <w:color w:val="auto"/>
              </w:rPr>
              <w:t>达标</w:t>
            </w:r>
          </w:p>
        </w:tc>
      </w:tr>
      <w:tr w14:paraId="2A738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6863958">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4652CFBE">
            <w:pPr>
              <w:jc w:val="center"/>
              <w:rPr>
                <w:rFonts w:ascii="宋体" w:hAnsi="宋体" w:eastAsia="宋体" w:cs="Times New Roman"/>
                <w:color w:val="auto"/>
              </w:rPr>
            </w:pPr>
            <w:r>
              <w:rPr>
                <w:rFonts w:ascii="宋体" w:hAnsi="宋体" w:eastAsia="宋体" w:cs="Times New Roman"/>
                <w:color w:val="auto"/>
              </w:rPr>
              <w:t>刘喜屯</w:t>
            </w:r>
          </w:p>
        </w:tc>
        <w:tc>
          <w:tcPr>
            <w:tcW w:w="810" w:type="dxa"/>
            <w:vMerge w:val="continue"/>
            <w:tcBorders>
              <w:tl2br w:val="nil"/>
              <w:tr2bl w:val="nil"/>
            </w:tcBorders>
            <w:vAlign w:val="center"/>
          </w:tcPr>
          <w:p w14:paraId="71F87FA4">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6545ABB0">
            <w:pPr>
              <w:jc w:val="center"/>
              <w:rPr>
                <w:rFonts w:ascii="宋体" w:hAnsi="宋体" w:eastAsia="宋体" w:cs="Times New Roman"/>
                <w:color w:val="auto"/>
              </w:rPr>
            </w:pPr>
            <w:r>
              <w:rPr>
                <w:rFonts w:ascii="宋体" w:hAnsi="宋体" w:eastAsia="宋体" w:cs="Times New Roman"/>
                <w:color w:val="auto"/>
              </w:rPr>
              <w:t>0.00362616</w:t>
            </w:r>
          </w:p>
        </w:tc>
        <w:tc>
          <w:tcPr>
            <w:tcW w:w="794" w:type="dxa"/>
            <w:tcBorders>
              <w:top w:val="single" w:color="auto" w:sz="4" w:space="0"/>
              <w:tl2br w:val="nil"/>
              <w:tr2bl w:val="nil"/>
            </w:tcBorders>
            <w:vAlign w:val="center"/>
          </w:tcPr>
          <w:p w14:paraId="3CD87B8B">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262" w:type="dxa"/>
            <w:tcBorders>
              <w:top w:val="single" w:color="auto" w:sz="4" w:space="0"/>
              <w:tl2br w:val="nil"/>
              <w:tr2bl w:val="nil"/>
            </w:tcBorders>
            <w:vAlign w:val="center"/>
          </w:tcPr>
          <w:p w14:paraId="58085FF5">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54561963">
            <w:pPr>
              <w:jc w:val="center"/>
              <w:rPr>
                <w:rFonts w:ascii="宋体" w:hAnsi="宋体" w:eastAsia="宋体" w:cs="Times New Roman"/>
                <w:color w:val="auto"/>
              </w:rPr>
            </w:pPr>
            <w:r>
              <w:rPr>
                <w:rFonts w:ascii="宋体" w:hAnsi="宋体" w:eastAsia="宋体" w:cs="Times New Roman"/>
                <w:color w:val="auto"/>
              </w:rPr>
              <w:t>18.0036</w:t>
            </w:r>
          </w:p>
        </w:tc>
        <w:tc>
          <w:tcPr>
            <w:tcW w:w="836" w:type="dxa"/>
            <w:tcBorders>
              <w:top w:val="single" w:color="auto" w:sz="4" w:space="0"/>
              <w:tl2br w:val="nil"/>
              <w:tr2bl w:val="nil"/>
            </w:tcBorders>
            <w:vAlign w:val="center"/>
          </w:tcPr>
          <w:p w14:paraId="0618CD93">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45.009 </w:t>
            </w:r>
          </w:p>
        </w:tc>
        <w:tc>
          <w:tcPr>
            <w:tcW w:w="830" w:type="dxa"/>
            <w:tcBorders>
              <w:top w:val="single" w:color="auto" w:sz="4" w:space="0"/>
              <w:tl2br w:val="nil"/>
              <w:tr2bl w:val="nil"/>
            </w:tcBorders>
            <w:vAlign w:val="center"/>
          </w:tcPr>
          <w:p w14:paraId="00933561">
            <w:pPr>
              <w:jc w:val="center"/>
              <w:rPr>
                <w:rFonts w:ascii="宋体" w:hAnsi="宋体" w:eastAsia="宋体" w:cs="Times New Roman"/>
                <w:color w:val="auto"/>
              </w:rPr>
            </w:pPr>
            <w:r>
              <w:rPr>
                <w:rFonts w:ascii="宋体" w:hAnsi="宋体" w:eastAsia="宋体" w:cs="Times New Roman"/>
                <w:color w:val="auto"/>
              </w:rPr>
              <w:t>达标</w:t>
            </w:r>
          </w:p>
        </w:tc>
      </w:tr>
      <w:tr w14:paraId="27F51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2E14AB5A">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69FE568D">
            <w:pPr>
              <w:jc w:val="center"/>
              <w:rPr>
                <w:rFonts w:ascii="宋体" w:hAnsi="宋体" w:eastAsia="宋体" w:cs="Times New Roman"/>
                <w:color w:val="auto"/>
              </w:rPr>
            </w:pPr>
            <w:r>
              <w:rPr>
                <w:rFonts w:ascii="宋体" w:hAnsi="宋体" w:eastAsia="宋体" w:cs="Times New Roman"/>
                <w:color w:val="auto"/>
              </w:rPr>
              <w:t>代龙村</w:t>
            </w:r>
          </w:p>
        </w:tc>
        <w:tc>
          <w:tcPr>
            <w:tcW w:w="810" w:type="dxa"/>
            <w:vMerge w:val="continue"/>
            <w:tcBorders>
              <w:tl2br w:val="nil"/>
              <w:tr2bl w:val="nil"/>
            </w:tcBorders>
            <w:vAlign w:val="center"/>
          </w:tcPr>
          <w:p w14:paraId="5D4B3FEB">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2ADFF0B1">
            <w:pPr>
              <w:jc w:val="center"/>
              <w:rPr>
                <w:rFonts w:ascii="宋体" w:hAnsi="宋体" w:eastAsia="宋体" w:cs="Times New Roman"/>
                <w:color w:val="auto"/>
              </w:rPr>
            </w:pPr>
            <w:r>
              <w:rPr>
                <w:rFonts w:ascii="宋体" w:hAnsi="宋体" w:eastAsia="宋体" w:cs="Times New Roman"/>
                <w:color w:val="auto"/>
              </w:rPr>
              <w:t>0.00324762</w:t>
            </w:r>
          </w:p>
        </w:tc>
        <w:tc>
          <w:tcPr>
            <w:tcW w:w="794" w:type="dxa"/>
            <w:tcBorders>
              <w:top w:val="single" w:color="auto" w:sz="4" w:space="0"/>
              <w:tl2br w:val="nil"/>
              <w:tr2bl w:val="nil"/>
            </w:tcBorders>
            <w:vAlign w:val="center"/>
          </w:tcPr>
          <w:p w14:paraId="6C21735D">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0.008 </w:t>
            </w:r>
          </w:p>
        </w:tc>
        <w:tc>
          <w:tcPr>
            <w:tcW w:w="1262" w:type="dxa"/>
            <w:tcBorders>
              <w:top w:val="single" w:color="auto" w:sz="4" w:space="0"/>
              <w:tl2br w:val="nil"/>
              <w:tr2bl w:val="nil"/>
            </w:tcBorders>
            <w:vAlign w:val="center"/>
          </w:tcPr>
          <w:p w14:paraId="5A53B869">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58D67746">
            <w:pPr>
              <w:jc w:val="center"/>
              <w:rPr>
                <w:rFonts w:ascii="宋体" w:hAnsi="宋体" w:eastAsia="宋体" w:cs="Times New Roman"/>
                <w:color w:val="auto"/>
              </w:rPr>
            </w:pPr>
            <w:r>
              <w:rPr>
                <w:rFonts w:ascii="宋体" w:hAnsi="宋体" w:eastAsia="宋体" w:cs="Times New Roman"/>
                <w:color w:val="auto"/>
              </w:rPr>
              <w:t>18.0032</w:t>
            </w:r>
          </w:p>
        </w:tc>
        <w:tc>
          <w:tcPr>
            <w:tcW w:w="836" w:type="dxa"/>
            <w:tcBorders>
              <w:top w:val="single" w:color="auto" w:sz="4" w:space="0"/>
              <w:tl2br w:val="nil"/>
              <w:tr2bl w:val="nil"/>
            </w:tcBorders>
            <w:vAlign w:val="center"/>
          </w:tcPr>
          <w:p w14:paraId="36AA9E2F">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45.008 </w:t>
            </w:r>
          </w:p>
        </w:tc>
        <w:tc>
          <w:tcPr>
            <w:tcW w:w="830" w:type="dxa"/>
            <w:tcBorders>
              <w:top w:val="single" w:color="auto" w:sz="4" w:space="0"/>
              <w:tl2br w:val="nil"/>
              <w:tr2bl w:val="nil"/>
            </w:tcBorders>
            <w:vAlign w:val="center"/>
          </w:tcPr>
          <w:p w14:paraId="4A833E2D">
            <w:pPr>
              <w:jc w:val="center"/>
              <w:rPr>
                <w:rFonts w:ascii="宋体" w:hAnsi="宋体" w:eastAsia="宋体" w:cs="Times New Roman"/>
                <w:color w:val="auto"/>
              </w:rPr>
            </w:pPr>
            <w:r>
              <w:rPr>
                <w:rFonts w:ascii="宋体" w:hAnsi="宋体" w:eastAsia="宋体" w:cs="Times New Roman"/>
                <w:color w:val="auto"/>
              </w:rPr>
              <w:t>达标</w:t>
            </w:r>
          </w:p>
        </w:tc>
      </w:tr>
      <w:tr w14:paraId="61DA9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10CCF31">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63753FB3">
            <w:pPr>
              <w:jc w:val="center"/>
              <w:rPr>
                <w:rFonts w:ascii="宋体" w:hAnsi="宋体" w:eastAsia="宋体" w:cs="Times New Roman"/>
                <w:color w:val="auto"/>
              </w:rPr>
            </w:pPr>
            <w:r>
              <w:rPr>
                <w:rFonts w:ascii="宋体" w:hAnsi="宋体" w:eastAsia="宋体" w:cs="Times New Roman"/>
                <w:color w:val="auto"/>
              </w:rPr>
              <w:t>肇源镇</w:t>
            </w:r>
          </w:p>
        </w:tc>
        <w:tc>
          <w:tcPr>
            <w:tcW w:w="810" w:type="dxa"/>
            <w:vMerge w:val="continue"/>
            <w:tcBorders>
              <w:tl2br w:val="nil"/>
              <w:tr2bl w:val="nil"/>
            </w:tcBorders>
            <w:vAlign w:val="center"/>
          </w:tcPr>
          <w:p w14:paraId="24199903">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050FC503">
            <w:pPr>
              <w:jc w:val="center"/>
              <w:rPr>
                <w:rFonts w:ascii="宋体" w:hAnsi="宋体" w:eastAsia="宋体" w:cs="Times New Roman"/>
                <w:color w:val="auto"/>
              </w:rPr>
            </w:pPr>
            <w:r>
              <w:rPr>
                <w:rFonts w:ascii="宋体" w:hAnsi="宋体" w:eastAsia="宋体" w:cs="Times New Roman"/>
                <w:color w:val="auto"/>
              </w:rPr>
              <w:t>0.00504575</w:t>
            </w:r>
          </w:p>
        </w:tc>
        <w:tc>
          <w:tcPr>
            <w:tcW w:w="794" w:type="dxa"/>
            <w:tcBorders>
              <w:top w:val="single" w:color="auto" w:sz="4" w:space="0"/>
              <w:tl2br w:val="nil"/>
              <w:tr2bl w:val="nil"/>
            </w:tcBorders>
            <w:vAlign w:val="center"/>
          </w:tcPr>
          <w:p w14:paraId="4905AB0D">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0.013 </w:t>
            </w:r>
          </w:p>
        </w:tc>
        <w:tc>
          <w:tcPr>
            <w:tcW w:w="1262" w:type="dxa"/>
            <w:tcBorders>
              <w:top w:val="single" w:color="auto" w:sz="4" w:space="0"/>
              <w:tl2br w:val="nil"/>
              <w:tr2bl w:val="nil"/>
            </w:tcBorders>
            <w:vAlign w:val="center"/>
          </w:tcPr>
          <w:p w14:paraId="797FFCF1">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3E17A6FB">
            <w:pPr>
              <w:jc w:val="center"/>
              <w:rPr>
                <w:rFonts w:ascii="宋体" w:hAnsi="宋体" w:eastAsia="宋体" w:cs="Times New Roman"/>
                <w:color w:val="auto"/>
              </w:rPr>
            </w:pPr>
            <w:r>
              <w:rPr>
                <w:rFonts w:ascii="宋体" w:hAnsi="宋体" w:eastAsia="宋体" w:cs="Times New Roman"/>
                <w:color w:val="auto"/>
              </w:rPr>
              <w:t>18.005</w:t>
            </w:r>
          </w:p>
        </w:tc>
        <w:tc>
          <w:tcPr>
            <w:tcW w:w="836" w:type="dxa"/>
            <w:tcBorders>
              <w:top w:val="single" w:color="auto" w:sz="4" w:space="0"/>
              <w:tl2br w:val="nil"/>
              <w:tr2bl w:val="nil"/>
            </w:tcBorders>
            <w:vAlign w:val="center"/>
          </w:tcPr>
          <w:p w14:paraId="2C6DC7B9">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45.013 </w:t>
            </w:r>
          </w:p>
        </w:tc>
        <w:tc>
          <w:tcPr>
            <w:tcW w:w="830" w:type="dxa"/>
            <w:tcBorders>
              <w:top w:val="single" w:color="auto" w:sz="4" w:space="0"/>
              <w:tl2br w:val="nil"/>
              <w:tr2bl w:val="nil"/>
            </w:tcBorders>
            <w:vAlign w:val="center"/>
          </w:tcPr>
          <w:p w14:paraId="0A93C433">
            <w:pPr>
              <w:jc w:val="center"/>
              <w:rPr>
                <w:rFonts w:ascii="宋体" w:hAnsi="宋体" w:eastAsia="宋体" w:cs="Times New Roman"/>
                <w:color w:val="auto"/>
              </w:rPr>
            </w:pPr>
            <w:r>
              <w:rPr>
                <w:rFonts w:ascii="宋体" w:hAnsi="宋体" w:eastAsia="宋体" w:cs="Times New Roman"/>
                <w:color w:val="auto"/>
              </w:rPr>
              <w:t>达标</w:t>
            </w:r>
          </w:p>
        </w:tc>
      </w:tr>
      <w:tr w14:paraId="48333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18EC0C05">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3295DBE2">
            <w:pPr>
              <w:jc w:val="center"/>
              <w:rPr>
                <w:rFonts w:ascii="宋体" w:hAnsi="宋体" w:eastAsia="宋体" w:cs="Times New Roman"/>
                <w:color w:val="auto"/>
              </w:rPr>
            </w:pPr>
            <w:r>
              <w:rPr>
                <w:rFonts w:ascii="宋体" w:hAnsi="宋体" w:eastAsia="宋体" w:cs="Times New Roman"/>
                <w:color w:val="auto"/>
              </w:rPr>
              <w:t>刘兽医屯</w:t>
            </w:r>
          </w:p>
        </w:tc>
        <w:tc>
          <w:tcPr>
            <w:tcW w:w="810" w:type="dxa"/>
            <w:vMerge w:val="continue"/>
            <w:tcBorders>
              <w:tl2br w:val="nil"/>
              <w:tr2bl w:val="nil"/>
            </w:tcBorders>
            <w:vAlign w:val="center"/>
          </w:tcPr>
          <w:p w14:paraId="3A212C31">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25A92B65">
            <w:pPr>
              <w:jc w:val="center"/>
              <w:rPr>
                <w:rFonts w:ascii="宋体" w:hAnsi="宋体" w:eastAsia="宋体" w:cs="Times New Roman"/>
                <w:color w:val="auto"/>
              </w:rPr>
            </w:pPr>
            <w:r>
              <w:rPr>
                <w:rFonts w:ascii="宋体" w:hAnsi="宋体" w:eastAsia="宋体" w:cs="Times New Roman"/>
                <w:color w:val="auto"/>
              </w:rPr>
              <w:t>0.00346255</w:t>
            </w:r>
          </w:p>
        </w:tc>
        <w:tc>
          <w:tcPr>
            <w:tcW w:w="794" w:type="dxa"/>
            <w:tcBorders>
              <w:top w:val="single" w:color="auto" w:sz="4" w:space="0"/>
              <w:tl2br w:val="nil"/>
              <w:tr2bl w:val="nil"/>
            </w:tcBorders>
            <w:vAlign w:val="center"/>
          </w:tcPr>
          <w:p w14:paraId="65F28221">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262" w:type="dxa"/>
            <w:tcBorders>
              <w:top w:val="single" w:color="auto" w:sz="4" w:space="0"/>
              <w:tl2br w:val="nil"/>
              <w:tr2bl w:val="nil"/>
            </w:tcBorders>
            <w:vAlign w:val="center"/>
          </w:tcPr>
          <w:p w14:paraId="23770DEC">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295DD9B9">
            <w:pPr>
              <w:jc w:val="center"/>
              <w:rPr>
                <w:rFonts w:ascii="宋体" w:hAnsi="宋体" w:eastAsia="宋体" w:cs="Times New Roman"/>
                <w:color w:val="auto"/>
              </w:rPr>
            </w:pPr>
            <w:r>
              <w:rPr>
                <w:rFonts w:ascii="宋体" w:hAnsi="宋体" w:eastAsia="宋体" w:cs="Times New Roman"/>
                <w:color w:val="auto"/>
              </w:rPr>
              <w:t>18.0035</w:t>
            </w:r>
          </w:p>
        </w:tc>
        <w:tc>
          <w:tcPr>
            <w:tcW w:w="836" w:type="dxa"/>
            <w:tcBorders>
              <w:top w:val="single" w:color="auto" w:sz="4" w:space="0"/>
              <w:tl2br w:val="nil"/>
              <w:tr2bl w:val="nil"/>
            </w:tcBorders>
            <w:vAlign w:val="center"/>
          </w:tcPr>
          <w:p w14:paraId="10765086">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45.009 </w:t>
            </w:r>
          </w:p>
        </w:tc>
        <w:tc>
          <w:tcPr>
            <w:tcW w:w="830" w:type="dxa"/>
            <w:tcBorders>
              <w:top w:val="single" w:color="auto" w:sz="4" w:space="0"/>
              <w:tl2br w:val="nil"/>
              <w:tr2bl w:val="nil"/>
            </w:tcBorders>
            <w:vAlign w:val="center"/>
          </w:tcPr>
          <w:p w14:paraId="25FBCEA4">
            <w:pPr>
              <w:jc w:val="center"/>
              <w:rPr>
                <w:rFonts w:ascii="宋体" w:hAnsi="宋体" w:eastAsia="宋体" w:cs="Times New Roman"/>
                <w:color w:val="auto"/>
              </w:rPr>
            </w:pPr>
            <w:r>
              <w:rPr>
                <w:rFonts w:ascii="宋体" w:hAnsi="宋体" w:eastAsia="宋体" w:cs="Times New Roman"/>
                <w:color w:val="auto"/>
              </w:rPr>
              <w:t>达标</w:t>
            </w:r>
          </w:p>
        </w:tc>
      </w:tr>
      <w:tr w14:paraId="53A48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7010442A">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3B13EAA1">
            <w:pPr>
              <w:jc w:val="center"/>
              <w:rPr>
                <w:rFonts w:ascii="宋体" w:hAnsi="宋体" w:eastAsia="宋体" w:cs="Times New Roman"/>
                <w:color w:val="auto"/>
              </w:rPr>
            </w:pPr>
            <w:r>
              <w:rPr>
                <w:rFonts w:ascii="宋体" w:hAnsi="宋体" w:eastAsia="宋体" w:cs="Times New Roman"/>
                <w:color w:val="auto"/>
              </w:rPr>
              <w:t>友谊村</w:t>
            </w:r>
          </w:p>
        </w:tc>
        <w:tc>
          <w:tcPr>
            <w:tcW w:w="810" w:type="dxa"/>
            <w:vMerge w:val="continue"/>
            <w:tcBorders>
              <w:tl2br w:val="nil"/>
              <w:tr2bl w:val="nil"/>
            </w:tcBorders>
            <w:vAlign w:val="center"/>
          </w:tcPr>
          <w:p w14:paraId="061D0792">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22B820CA">
            <w:pPr>
              <w:jc w:val="center"/>
              <w:rPr>
                <w:rFonts w:ascii="宋体" w:hAnsi="宋体" w:eastAsia="宋体" w:cs="Times New Roman"/>
                <w:color w:val="auto"/>
              </w:rPr>
            </w:pPr>
            <w:r>
              <w:rPr>
                <w:rFonts w:ascii="宋体" w:hAnsi="宋体" w:eastAsia="宋体" w:cs="Times New Roman"/>
                <w:color w:val="auto"/>
              </w:rPr>
              <w:t>0.00343411</w:t>
            </w:r>
          </w:p>
        </w:tc>
        <w:tc>
          <w:tcPr>
            <w:tcW w:w="794" w:type="dxa"/>
            <w:tcBorders>
              <w:top w:val="single" w:color="auto" w:sz="4" w:space="0"/>
              <w:tl2br w:val="nil"/>
              <w:tr2bl w:val="nil"/>
            </w:tcBorders>
            <w:vAlign w:val="center"/>
          </w:tcPr>
          <w:p w14:paraId="0CCEBA6E">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0.009 </w:t>
            </w:r>
          </w:p>
        </w:tc>
        <w:tc>
          <w:tcPr>
            <w:tcW w:w="1262" w:type="dxa"/>
            <w:tcBorders>
              <w:top w:val="single" w:color="auto" w:sz="4" w:space="0"/>
              <w:tl2br w:val="nil"/>
              <w:tr2bl w:val="nil"/>
            </w:tcBorders>
            <w:vAlign w:val="center"/>
          </w:tcPr>
          <w:p w14:paraId="71D2C7A7">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3E424CA0">
            <w:pPr>
              <w:jc w:val="center"/>
              <w:rPr>
                <w:rFonts w:ascii="宋体" w:hAnsi="宋体" w:eastAsia="宋体" w:cs="Times New Roman"/>
                <w:color w:val="auto"/>
              </w:rPr>
            </w:pPr>
            <w:r>
              <w:rPr>
                <w:rFonts w:ascii="宋体" w:hAnsi="宋体" w:eastAsia="宋体" w:cs="Times New Roman"/>
                <w:color w:val="auto"/>
              </w:rPr>
              <w:t>18.0034</w:t>
            </w:r>
          </w:p>
        </w:tc>
        <w:tc>
          <w:tcPr>
            <w:tcW w:w="836" w:type="dxa"/>
            <w:tcBorders>
              <w:top w:val="single" w:color="auto" w:sz="4" w:space="0"/>
              <w:tl2br w:val="nil"/>
              <w:tr2bl w:val="nil"/>
            </w:tcBorders>
            <w:vAlign w:val="center"/>
          </w:tcPr>
          <w:p w14:paraId="108272D1">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45.009 </w:t>
            </w:r>
          </w:p>
        </w:tc>
        <w:tc>
          <w:tcPr>
            <w:tcW w:w="830" w:type="dxa"/>
            <w:tcBorders>
              <w:top w:val="single" w:color="auto" w:sz="4" w:space="0"/>
              <w:tl2br w:val="nil"/>
              <w:tr2bl w:val="nil"/>
            </w:tcBorders>
            <w:vAlign w:val="center"/>
          </w:tcPr>
          <w:p w14:paraId="777B637C">
            <w:pPr>
              <w:jc w:val="center"/>
              <w:rPr>
                <w:rFonts w:ascii="宋体" w:hAnsi="宋体" w:eastAsia="宋体" w:cs="Times New Roman"/>
                <w:color w:val="auto"/>
              </w:rPr>
            </w:pPr>
            <w:r>
              <w:rPr>
                <w:rFonts w:ascii="宋体" w:hAnsi="宋体" w:eastAsia="宋体" w:cs="Times New Roman"/>
                <w:color w:val="auto"/>
              </w:rPr>
              <w:t>达标</w:t>
            </w:r>
          </w:p>
        </w:tc>
      </w:tr>
      <w:tr w14:paraId="2C7CA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A1B4B34">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3420F03E">
            <w:pPr>
              <w:jc w:val="center"/>
              <w:rPr>
                <w:rFonts w:ascii="宋体" w:hAnsi="宋体" w:eastAsia="宋体" w:cs="Times New Roman"/>
                <w:color w:val="auto"/>
              </w:rPr>
            </w:pPr>
            <w:r>
              <w:rPr>
                <w:rFonts w:ascii="宋体" w:hAnsi="宋体" w:eastAsia="宋体" w:cs="Times New Roman"/>
                <w:color w:val="auto"/>
              </w:rPr>
              <w:t>协力屯</w:t>
            </w:r>
          </w:p>
        </w:tc>
        <w:tc>
          <w:tcPr>
            <w:tcW w:w="810" w:type="dxa"/>
            <w:vMerge w:val="continue"/>
            <w:tcBorders>
              <w:tl2br w:val="nil"/>
              <w:tr2bl w:val="nil"/>
            </w:tcBorders>
            <w:vAlign w:val="center"/>
          </w:tcPr>
          <w:p w14:paraId="6EAD5901">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0B3C7D71">
            <w:pPr>
              <w:jc w:val="center"/>
              <w:rPr>
                <w:rFonts w:ascii="宋体" w:hAnsi="宋体" w:eastAsia="宋体" w:cs="Times New Roman"/>
                <w:color w:val="auto"/>
              </w:rPr>
            </w:pPr>
            <w:r>
              <w:rPr>
                <w:rFonts w:ascii="宋体" w:hAnsi="宋体" w:eastAsia="宋体" w:cs="Times New Roman"/>
                <w:color w:val="auto"/>
              </w:rPr>
              <w:t>0.00318834</w:t>
            </w:r>
          </w:p>
        </w:tc>
        <w:tc>
          <w:tcPr>
            <w:tcW w:w="794" w:type="dxa"/>
            <w:tcBorders>
              <w:top w:val="single" w:color="auto" w:sz="4" w:space="0"/>
              <w:tl2br w:val="nil"/>
              <w:tr2bl w:val="nil"/>
            </w:tcBorders>
            <w:vAlign w:val="center"/>
          </w:tcPr>
          <w:p w14:paraId="2AA5181E">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0.008 </w:t>
            </w:r>
          </w:p>
        </w:tc>
        <w:tc>
          <w:tcPr>
            <w:tcW w:w="1262" w:type="dxa"/>
            <w:tcBorders>
              <w:top w:val="single" w:color="auto" w:sz="4" w:space="0"/>
              <w:tl2br w:val="nil"/>
              <w:tr2bl w:val="nil"/>
            </w:tcBorders>
            <w:vAlign w:val="center"/>
          </w:tcPr>
          <w:p w14:paraId="1A9AF5FE">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45DBC280">
            <w:pPr>
              <w:jc w:val="center"/>
              <w:rPr>
                <w:rFonts w:ascii="宋体" w:hAnsi="宋体" w:eastAsia="宋体" w:cs="Times New Roman"/>
                <w:color w:val="auto"/>
              </w:rPr>
            </w:pPr>
            <w:r>
              <w:rPr>
                <w:rFonts w:ascii="宋体" w:hAnsi="宋体" w:eastAsia="宋体" w:cs="Times New Roman"/>
                <w:color w:val="auto"/>
              </w:rPr>
              <w:t>18.0032</w:t>
            </w:r>
          </w:p>
        </w:tc>
        <w:tc>
          <w:tcPr>
            <w:tcW w:w="836" w:type="dxa"/>
            <w:tcBorders>
              <w:top w:val="single" w:color="auto" w:sz="4" w:space="0"/>
              <w:tl2br w:val="nil"/>
              <w:tr2bl w:val="nil"/>
            </w:tcBorders>
            <w:vAlign w:val="center"/>
          </w:tcPr>
          <w:p w14:paraId="1AC18F4E">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45.008 </w:t>
            </w:r>
          </w:p>
        </w:tc>
        <w:tc>
          <w:tcPr>
            <w:tcW w:w="830" w:type="dxa"/>
            <w:tcBorders>
              <w:top w:val="single" w:color="auto" w:sz="4" w:space="0"/>
              <w:tl2br w:val="nil"/>
              <w:tr2bl w:val="nil"/>
            </w:tcBorders>
            <w:vAlign w:val="center"/>
          </w:tcPr>
          <w:p w14:paraId="0EA35EE8">
            <w:pPr>
              <w:jc w:val="center"/>
              <w:rPr>
                <w:rFonts w:ascii="宋体" w:hAnsi="宋体" w:eastAsia="宋体" w:cs="Times New Roman"/>
                <w:color w:val="auto"/>
              </w:rPr>
            </w:pPr>
            <w:r>
              <w:rPr>
                <w:rFonts w:ascii="宋体" w:hAnsi="宋体" w:eastAsia="宋体" w:cs="Times New Roman"/>
                <w:color w:val="auto"/>
              </w:rPr>
              <w:t>达标</w:t>
            </w:r>
          </w:p>
        </w:tc>
      </w:tr>
      <w:tr w14:paraId="6C48D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460FF261">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6CD2438F">
            <w:pPr>
              <w:jc w:val="center"/>
              <w:rPr>
                <w:rFonts w:ascii="宋体" w:hAnsi="宋体" w:eastAsia="宋体" w:cs="Times New Roman"/>
                <w:color w:val="auto"/>
              </w:rPr>
            </w:pPr>
            <w:r>
              <w:rPr>
                <w:rFonts w:ascii="宋体" w:hAnsi="宋体" w:eastAsia="宋体" w:cs="Times New Roman"/>
                <w:color w:val="auto"/>
              </w:rPr>
              <w:t>大三马架</w:t>
            </w:r>
          </w:p>
        </w:tc>
        <w:tc>
          <w:tcPr>
            <w:tcW w:w="810" w:type="dxa"/>
            <w:vMerge w:val="continue"/>
            <w:tcBorders>
              <w:tl2br w:val="nil"/>
              <w:tr2bl w:val="nil"/>
            </w:tcBorders>
            <w:vAlign w:val="center"/>
          </w:tcPr>
          <w:p w14:paraId="5976BA5C">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3AD84D8A">
            <w:pPr>
              <w:jc w:val="center"/>
              <w:rPr>
                <w:rFonts w:ascii="宋体" w:hAnsi="宋体" w:eastAsia="宋体" w:cs="Times New Roman"/>
                <w:color w:val="auto"/>
              </w:rPr>
            </w:pPr>
            <w:r>
              <w:rPr>
                <w:rFonts w:ascii="宋体" w:hAnsi="宋体" w:eastAsia="宋体" w:cs="Times New Roman"/>
                <w:color w:val="auto"/>
              </w:rPr>
              <w:t>0.0024998</w:t>
            </w:r>
          </w:p>
        </w:tc>
        <w:tc>
          <w:tcPr>
            <w:tcW w:w="794" w:type="dxa"/>
            <w:tcBorders>
              <w:top w:val="single" w:color="auto" w:sz="4" w:space="0"/>
              <w:tl2br w:val="nil"/>
              <w:tr2bl w:val="nil"/>
            </w:tcBorders>
            <w:vAlign w:val="center"/>
          </w:tcPr>
          <w:p w14:paraId="1723731D">
            <w:pPr>
              <w:jc w:val="right"/>
              <w:textAlignment w:val="center"/>
              <w:rPr>
                <w:rFonts w:ascii="宋体" w:hAnsi="宋体" w:eastAsia="宋体" w:cs="Times New Roman"/>
                <w:color w:val="auto"/>
              </w:rPr>
            </w:pPr>
            <w:r>
              <w:rPr>
                <w:rFonts w:ascii="宋体" w:hAnsi="宋体" w:eastAsia="宋体" w:cs="Times New Roman"/>
                <w:color w:val="auto"/>
                <w:lang w:bidi="ar"/>
              </w:rPr>
              <w:t xml:space="preserve">0.006 </w:t>
            </w:r>
          </w:p>
        </w:tc>
        <w:tc>
          <w:tcPr>
            <w:tcW w:w="1262" w:type="dxa"/>
            <w:tcBorders>
              <w:top w:val="single" w:color="auto" w:sz="4" w:space="0"/>
              <w:tl2br w:val="nil"/>
              <w:tr2bl w:val="nil"/>
            </w:tcBorders>
            <w:vAlign w:val="center"/>
          </w:tcPr>
          <w:p w14:paraId="4603DA0E">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1CD11F9C">
            <w:pPr>
              <w:jc w:val="center"/>
              <w:rPr>
                <w:rFonts w:ascii="宋体" w:hAnsi="宋体" w:eastAsia="宋体" w:cs="Times New Roman"/>
                <w:color w:val="auto"/>
              </w:rPr>
            </w:pPr>
            <w:r>
              <w:rPr>
                <w:rFonts w:ascii="宋体" w:hAnsi="宋体" w:eastAsia="宋体" w:cs="Times New Roman"/>
                <w:color w:val="auto"/>
              </w:rPr>
              <w:t>18.0025</w:t>
            </w:r>
          </w:p>
        </w:tc>
        <w:tc>
          <w:tcPr>
            <w:tcW w:w="836" w:type="dxa"/>
            <w:tcBorders>
              <w:top w:val="single" w:color="auto" w:sz="4" w:space="0"/>
              <w:tl2br w:val="nil"/>
              <w:tr2bl w:val="nil"/>
            </w:tcBorders>
            <w:vAlign w:val="center"/>
          </w:tcPr>
          <w:p w14:paraId="1DB652F4">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45.006 </w:t>
            </w:r>
          </w:p>
        </w:tc>
        <w:tc>
          <w:tcPr>
            <w:tcW w:w="830" w:type="dxa"/>
            <w:tcBorders>
              <w:top w:val="single" w:color="auto" w:sz="4" w:space="0"/>
              <w:tl2br w:val="nil"/>
              <w:tr2bl w:val="nil"/>
            </w:tcBorders>
            <w:vAlign w:val="center"/>
          </w:tcPr>
          <w:p w14:paraId="769925B7">
            <w:pPr>
              <w:jc w:val="center"/>
              <w:rPr>
                <w:rFonts w:ascii="宋体" w:hAnsi="宋体" w:eastAsia="宋体" w:cs="Times New Roman"/>
                <w:color w:val="auto"/>
              </w:rPr>
            </w:pPr>
            <w:r>
              <w:rPr>
                <w:rFonts w:ascii="宋体" w:hAnsi="宋体" w:eastAsia="宋体" w:cs="Times New Roman"/>
                <w:color w:val="auto"/>
              </w:rPr>
              <w:t>达标</w:t>
            </w:r>
          </w:p>
        </w:tc>
      </w:tr>
      <w:tr w14:paraId="515A9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restart"/>
            <w:tcBorders>
              <w:tl2br w:val="nil"/>
              <w:tr2bl w:val="nil"/>
            </w:tcBorders>
            <w:vAlign w:val="center"/>
          </w:tcPr>
          <w:p w14:paraId="42731410">
            <w:pPr>
              <w:jc w:val="center"/>
              <w:rPr>
                <w:rFonts w:ascii="宋体" w:hAnsi="宋体" w:eastAsia="宋体" w:cs="Times New Roman"/>
                <w:color w:val="auto"/>
              </w:rPr>
            </w:pPr>
          </w:p>
          <w:p w14:paraId="53D58201">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40E9322F">
            <w:pPr>
              <w:jc w:val="center"/>
              <w:rPr>
                <w:rFonts w:ascii="宋体" w:hAnsi="宋体" w:eastAsia="宋体" w:cs="Times New Roman"/>
                <w:color w:val="auto"/>
              </w:rPr>
            </w:pPr>
            <w:r>
              <w:rPr>
                <w:rFonts w:ascii="宋体" w:hAnsi="宋体" w:eastAsia="宋体" w:cs="Times New Roman"/>
                <w:color w:val="auto"/>
              </w:rPr>
              <w:t>东小山</w:t>
            </w:r>
          </w:p>
        </w:tc>
        <w:tc>
          <w:tcPr>
            <w:tcW w:w="810" w:type="dxa"/>
            <w:vMerge w:val="continue"/>
            <w:tcBorders>
              <w:tl2br w:val="nil"/>
              <w:tr2bl w:val="nil"/>
            </w:tcBorders>
            <w:vAlign w:val="center"/>
          </w:tcPr>
          <w:p w14:paraId="4D371C66">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56496166">
            <w:pPr>
              <w:jc w:val="center"/>
              <w:rPr>
                <w:rFonts w:ascii="宋体" w:hAnsi="宋体" w:eastAsia="宋体" w:cs="Times New Roman"/>
                <w:color w:val="auto"/>
              </w:rPr>
            </w:pPr>
            <w:r>
              <w:rPr>
                <w:rFonts w:ascii="宋体" w:hAnsi="宋体" w:eastAsia="宋体" w:cs="Times New Roman"/>
                <w:color w:val="auto"/>
              </w:rPr>
              <w:t>0.00394782</w:t>
            </w:r>
          </w:p>
        </w:tc>
        <w:tc>
          <w:tcPr>
            <w:tcW w:w="794" w:type="dxa"/>
            <w:tcBorders>
              <w:top w:val="single" w:color="auto" w:sz="4" w:space="0"/>
              <w:tl2br w:val="nil"/>
              <w:tr2bl w:val="nil"/>
            </w:tcBorders>
            <w:vAlign w:val="center"/>
          </w:tcPr>
          <w:p w14:paraId="582A78EB">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0.010 </w:t>
            </w:r>
          </w:p>
        </w:tc>
        <w:tc>
          <w:tcPr>
            <w:tcW w:w="1262" w:type="dxa"/>
            <w:tcBorders>
              <w:top w:val="single" w:color="auto" w:sz="4" w:space="0"/>
              <w:tl2br w:val="nil"/>
              <w:tr2bl w:val="nil"/>
            </w:tcBorders>
            <w:vAlign w:val="center"/>
          </w:tcPr>
          <w:p w14:paraId="706DBAAA">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3C9F1028">
            <w:pPr>
              <w:jc w:val="center"/>
              <w:rPr>
                <w:rFonts w:ascii="宋体" w:hAnsi="宋体" w:eastAsia="宋体" w:cs="Times New Roman"/>
                <w:color w:val="auto"/>
              </w:rPr>
            </w:pPr>
            <w:r>
              <w:rPr>
                <w:rFonts w:ascii="宋体" w:hAnsi="宋体" w:eastAsia="宋体" w:cs="Times New Roman"/>
                <w:color w:val="auto"/>
              </w:rPr>
              <w:t>18.0039</w:t>
            </w:r>
          </w:p>
        </w:tc>
        <w:tc>
          <w:tcPr>
            <w:tcW w:w="836" w:type="dxa"/>
            <w:tcBorders>
              <w:top w:val="single" w:color="auto" w:sz="4" w:space="0"/>
              <w:tl2br w:val="nil"/>
              <w:tr2bl w:val="nil"/>
            </w:tcBorders>
            <w:vAlign w:val="center"/>
          </w:tcPr>
          <w:p w14:paraId="3D3BA6DF">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45.010 </w:t>
            </w:r>
          </w:p>
        </w:tc>
        <w:tc>
          <w:tcPr>
            <w:tcW w:w="830" w:type="dxa"/>
            <w:tcBorders>
              <w:top w:val="single" w:color="auto" w:sz="4" w:space="0"/>
              <w:tl2br w:val="nil"/>
              <w:tr2bl w:val="nil"/>
            </w:tcBorders>
            <w:vAlign w:val="center"/>
          </w:tcPr>
          <w:p w14:paraId="347D98C5">
            <w:pPr>
              <w:jc w:val="center"/>
              <w:rPr>
                <w:rFonts w:ascii="宋体" w:hAnsi="宋体" w:eastAsia="宋体" w:cs="Times New Roman"/>
                <w:color w:val="auto"/>
              </w:rPr>
            </w:pPr>
            <w:r>
              <w:rPr>
                <w:rFonts w:ascii="宋体" w:hAnsi="宋体" w:eastAsia="宋体" w:cs="Times New Roman"/>
                <w:color w:val="auto"/>
              </w:rPr>
              <w:t>达标</w:t>
            </w:r>
          </w:p>
        </w:tc>
      </w:tr>
      <w:tr w14:paraId="2E4D7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1C387967">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3D9629E1">
            <w:pPr>
              <w:jc w:val="center"/>
              <w:rPr>
                <w:rFonts w:ascii="宋体" w:hAnsi="宋体" w:eastAsia="宋体" w:cs="Times New Roman"/>
                <w:color w:val="auto"/>
              </w:rPr>
            </w:pPr>
            <w:r>
              <w:rPr>
                <w:rFonts w:ascii="宋体" w:hAnsi="宋体" w:eastAsia="宋体" w:cs="Times New Roman"/>
                <w:color w:val="auto"/>
              </w:rPr>
              <w:t>科技屯</w:t>
            </w:r>
          </w:p>
        </w:tc>
        <w:tc>
          <w:tcPr>
            <w:tcW w:w="810" w:type="dxa"/>
            <w:vMerge w:val="continue"/>
            <w:tcBorders>
              <w:tl2br w:val="nil"/>
              <w:tr2bl w:val="nil"/>
            </w:tcBorders>
            <w:vAlign w:val="center"/>
          </w:tcPr>
          <w:p w14:paraId="44D15ED3">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2F2FA66F">
            <w:pPr>
              <w:jc w:val="center"/>
              <w:rPr>
                <w:rFonts w:ascii="宋体" w:hAnsi="宋体" w:eastAsia="宋体" w:cs="Times New Roman"/>
                <w:color w:val="auto"/>
              </w:rPr>
            </w:pPr>
            <w:r>
              <w:rPr>
                <w:rFonts w:ascii="宋体" w:hAnsi="宋体" w:eastAsia="宋体" w:cs="Times New Roman"/>
                <w:color w:val="auto"/>
              </w:rPr>
              <w:t>0.00441099</w:t>
            </w:r>
          </w:p>
        </w:tc>
        <w:tc>
          <w:tcPr>
            <w:tcW w:w="794" w:type="dxa"/>
            <w:tcBorders>
              <w:top w:val="single" w:color="auto" w:sz="4" w:space="0"/>
              <w:tl2br w:val="nil"/>
              <w:tr2bl w:val="nil"/>
            </w:tcBorders>
            <w:vAlign w:val="center"/>
          </w:tcPr>
          <w:p w14:paraId="5210CBBC">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0.011 </w:t>
            </w:r>
          </w:p>
        </w:tc>
        <w:tc>
          <w:tcPr>
            <w:tcW w:w="1262" w:type="dxa"/>
            <w:tcBorders>
              <w:top w:val="single" w:color="auto" w:sz="4" w:space="0"/>
              <w:tl2br w:val="nil"/>
              <w:tr2bl w:val="nil"/>
            </w:tcBorders>
            <w:vAlign w:val="center"/>
          </w:tcPr>
          <w:p w14:paraId="6964DC36">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5D60F98E">
            <w:pPr>
              <w:jc w:val="center"/>
              <w:rPr>
                <w:rFonts w:ascii="宋体" w:hAnsi="宋体" w:eastAsia="宋体" w:cs="Times New Roman"/>
                <w:color w:val="auto"/>
              </w:rPr>
            </w:pPr>
            <w:r>
              <w:rPr>
                <w:rFonts w:ascii="宋体" w:hAnsi="宋体" w:eastAsia="宋体" w:cs="Times New Roman"/>
                <w:color w:val="auto"/>
              </w:rPr>
              <w:t>18.0044</w:t>
            </w:r>
          </w:p>
        </w:tc>
        <w:tc>
          <w:tcPr>
            <w:tcW w:w="836" w:type="dxa"/>
            <w:tcBorders>
              <w:top w:val="single" w:color="auto" w:sz="4" w:space="0"/>
              <w:tl2br w:val="nil"/>
              <w:tr2bl w:val="nil"/>
            </w:tcBorders>
            <w:vAlign w:val="center"/>
          </w:tcPr>
          <w:p w14:paraId="6C5292AD">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45.011 </w:t>
            </w:r>
          </w:p>
        </w:tc>
        <w:tc>
          <w:tcPr>
            <w:tcW w:w="830" w:type="dxa"/>
            <w:tcBorders>
              <w:top w:val="single" w:color="auto" w:sz="4" w:space="0"/>
              <w:tl2br w:val="nil"/>
              <w:tr2bl w:val="nil"/>
            </w:tcBorders>
            <w:vAlign w:val="center"/>
          </w:tcPr>
          <w:p w14:paraId="36D1EBBD">
            <w:pPr>
              <w:jc w:val="center"/>
              <w:rPr>
                <w:rFonts w:ascii="宋体" w:hAnsi="宋体" w:eastAsia="宋体" w:cs="Times New Roman"/>
                <w:color w:val="auto"/>
              </w:rPr>
            </w:pPr>
            <w:r>
              <w:rPr>
                <w:rFonts w:ascii="宋体" w:hAnsi="宋体" w:eastAsia="宋体" w:cs="Times New Roman"/>
                <w:color w:val="auto"/>
              </w:rPr>
              <w:t>达标</w:t>
            </w:r>
          </w:p>
        </w:tc>
      </w:tr>
      <w:tr w14:paraId="49680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C3EA997">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3AFCE83D">
            <w:pPr>
              <w:jc w:val="center"/>
              <w:rPr>
                <w:rFonts w:ascii="宋体" w:hAnsi="宋体" w:eastAsia="宋体" w:cs="Times New Roman"/>
                <w:color w:val="auto"/>
              </w:rPr>
            </w:pPr>
            <w:r>
              <w:rPr>
                <w:rFonts w:ascii="宋体" w:hAnsi="宋体" w:eastAsia="宋体" w:cs="Times New Roman"/>
                <w:color w:val="auto"/>
              </w:rPr>
              <w:t>大姚屯</w:t>
            </w:r>
          </w:p>
        </w:tc>
        <w:tc>
          <w:tcPr>
            <w:tcW w:w="810" w:type="dxa"/>
            <w:vMerge w:val="continue"/>
            <w:tcBorders>
              <w:tl2br w:val="nil"/>
              <w:tr2bl w:val="nil"/>
            </w:tcBorders>
            <w:vAlign w:val="center"/>
          </w:tcPr>
          <w:p w14:paraId="136632AC">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52B2A109">
            <w:pPr>
              <w:jc w:val="center"/>
              <w:rPr>
                <w:rFonts w:ascii="宋体" w:hAnsi="宋体" w:eastAsia="宋体" w:cs="Times New Roman"/>
                <w:color w:val="auto"/>
              </w:rPr>
            </w:pPr>
            <w:r>
              <w:rPr>
                <w:rFonts w:ascii="宋体" w:hAnsi="宋体" w:eastAsia="宋体" w:cs="Times New Roman"/>
                <w:color w:val="auto"/>
              </w:rPr>
              <w:t>0.00385294</w:t>
            </w:r>
          </w:p>
        </w:tc>
        <w:tc>
          <w:tcPr>
            <w:tcW w:w="794" w:type="dxa"/>
            <w:tcBorders>
              <w:top w:val="single" w:color="auto" w:sz="4" w:space="0"/>
              <w:tl2br w:val="nil"/>
              <w:tr2bl w:val="nil"/>
            </w:tcBorders>
            <w:vAlign w:val="center"/>
          </w:tcPr>
          <w:p w14:paraId="29D8CB16">
            <w:pPr>
              <w:jc w:val="right"/>
              <w:textAlignment w:val="center"/>
              <w:rPr>
                <w:rFonts w:ascii="宋体" w:hAnsi="宋体" w:eastAsia="宋体" w:cs="Times New Roman"/>
                <w:color w:val="auto"/>
              </w:rPr>
            </w:pPr>
            <w:r>
              <w:rPr>
                <w:rFonts w:ascii="宋体" w:hAnsi="宋体" w:eastAsia="宋体" w:cs="Times New Roman"/>
                <w:color w:val="auto"/>
                <w:lang w:bidi="ar"/>
              </w:rPr>
              <w:t xml:space="preserve">0.010 </w:t>
            </w:r>
          </w:p>
        </w:tc>
        <w:tc>
          <w:tcPr>
            <w:tcW w:w="1262" w:type="dxa"/>
            <w:tcBorders>
              <w:top w:val="single" w:color="auto" w:sz="4" w:space="0"/>
              <w:tl2br w:val="nil"/>
              <w:tr2bl w:val="nil"/>
            </w:tcBorders>
            <w:vAlign w:val="center"/>
          </w:tcPr>
          <w:p w14:paraId="7CF3C548">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2EE46780">
            <w:pPr>
              <w:jc w:val="center"/>
              <w:rPr>
                <w:rFonts w:ascii="宋体" w:hAnsi="宋体" w:eastAsia="宋体" w:cs="Times New Roman"/>
                <w:color w:val="auto"/>
              </w:rPr>
            </w:pPr>
            <w:r>
              <w:rPr>
                <w:rFonts w:ascii="宋体" w:hAnsi="宋体" w:eastAsia="宋体" w:cs="Times New Roman"/>
                <w:color w:val="auto"/>
              </w:rPr>
              <w:t>18.0039</w:t>
            </w:r>
          </w:p>
        </w:tc>
        <w:tc>
          <w:tcPr>
            <w:tcW w:w="836" w:type="dxa"/>
            <w:tcBorders>
              <w:top w:val="single" w:color="auto" w:sz="4" w:space="0"/>
              <w:tl2br w:val="nil"/>
              <w:tr2bl w:val="nil"/>
            </w:tcBorders>
            <w:vAlign w:val="center"/>
          </w:tcPr>
          <w:p w14:paraId="0B635539">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45.010 </w:t>
            </w:r>
          </w:p>
        </w:tc>
        <w:tc>
          <w:tcPr>
            <w:tcW w:w="830" w:type="dxa"/>
            <w:tcBorders>
              <w:top w:val="single" w:color="auto" w:sz="4" w:space="0"/>
              <w:tl2br w:val="nil"/>
              <w:tr2bl w:val="nil"/>
            </w:tcBorders>
            <w:vAlign w:val="center"/>
          </w:tcPr>
          <w:p w14:paraId="7CC91643">
            <w:pPr>
              <w:jc w:val="center"/>
              <w:rPr>
                <w:rFonts w:ascii="宋体" w:hAnsi="宋体" w:eastAsia="宋体" w:cs="Times New Roman"/>
                <w:color w:val="auto"/>
              </w:rPr>
            </w:pPr>
            <w:r>
              <w:rPr>
                <w:rFonts w:ascii="宋体" w:hAnsi="宋体" w:eastAsia="宋体" w:cs="Times New Roman"/>
                <w:color w:val="auto"/>
              </w:rPr>
              <w:t>达标</w:t>
            </w:r>
          </w:p>
        </w:tc>
      </w:tr>
      <w:tr w14:paraId="45752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81982DD">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45BE2742">
            <w:pPr>
              <w:jc w:val="center"/>
              <w:rPr>
                <w:rFonts w:ascii="宋体" w:hAnsi="宋体" w:eastAsia="宋体" w:cs="Times New Roman"/>
                <w:color w:val="auto"/>
              </w:rPr>
            </w:pPr>
            <w:r>
              <w:rPr>
                <w:rFonts w:ascii="宋体" w:hAnsi="宋体" w:eastAsia="宋体" w:cs="Times New Roman"/>
                <w:color w:val="auto"/>
              </w:rPr>
              <w:t>奎中里屯</w:t>
            </w:r>
          </w:p>
        </w:tc>
        <w:tc>
          <w:tcPr>
            <w:tcW w:w="810" w:type="dxa"/>
            <w:vMerge w:val="continue"/>
            <w:tcBorders>
              <w:tl2br w:val="nil"/>
              <w:tr2bl w:val="nil"/>
            </w:tcBorders>
            <w:vAlign w:val="center"/>
          </w:tcPr>
          <w:p w14:paraId="2AF4FA0D">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13298DDB">
            <w:pPr>
              <w:jc w:val="center"/>
              <w:rPr>
                <w:rFonts w:ascii="宋体" w:hAnsi="宋体" w:eastAsia="宋体" w:cs="Times New Roman"/>
                <w:color w:val="auto"/>
              </w:rPr>
            </w:pPr>
            <w:r>
              <w:rPr>
                <w:rFonts w:ascii="宋体" w:hAnsi="宋体" w:eastAsia="宋体" w:cs="Times New Roman"/>
                <w:color w:val="auto"/>
              </w:rPr>
              <w:t>0.0161779</w:t>
            </w:r>
          </w:p>
        </w:tc>
        <w:tc>
          <w:tcPr>
            <w:tcW w:w="794" w:type="dxa"/>
            <w:tcBorders>
              <w:top w:val="single" w:color="auto" w:sz="4" w:space="0"/>
              <w:tl2br w:val="nil"/>
              <w:tr2bl w:val="nil"/>
            </w:tcBorders>
            <w:vAlign w:val="center"/>
          </w:tcPr>
          <w:p w14:paraId="3C33C8D3">
            <w:pPr>
              <w:jc w:val="right"/>
              <w:textAlignment w:val="center"/>
              <w:rPr>
                <w:rFonts w:ascii="宋体" w:hAnsi="宋体" w:eastAsia="宋体" w:cs="Times New Roman"/>
                <w:color w:val="auto"/>
              </w:rPr>
            </w:pPr>
            <w:r>
              <w:rPr>
                <w:rFonts w:ascii="宋体" w:hAnsi="宋体" w:eastAsia="宋体" w:cs="Times New Roman"/>
                <w:color w:val="auto"/>
                <w:lang w:bidi="ar"/>
              </w:rPr>
              <w:t xml:space="preserve">0.040 </w:t>
            </w:r>
          </w:p>
        </w:tc>
        <w:tc>
          <w:tcPr>
            <w:tcW w:w="1262" w:type="dxa"/>
            <w:tcBorders>
              <w:top w:val="single" w:color="auto" w:sz="4" w:space="0"/>
              <w:tl2br w:val="nil"/>
              <w:tr2bl w:val="nil"/>
            </w:tcBorders>
            <w:vAlign w:val="center"/>
          </w:tcPr>
          <w:p w14:paraId="29AC1E52">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tl2br w:val="nil"/>
              <w:tr2bl w:val="nil"/>
            </w:tcBorders>
            <w:vAlign w:val="center"/>
          </w:tcPr>
          <w:p w14:paraId="4B13F732">
            <w:pPr>
              <w:jc w:val="center"/>
              <w:rPr>
                <w:rFonts w:ascii="宋体" w:hAnsi="宋体" w:eastAsia="宋体" w:cs="Times New Roman"/>
                <w:color w:val="auto"/>
              </w:rPr>
            </w:pPr>
            <w:r>
              <w:rPr>
                <w:rFonts w:ascii="宋体" w:hAnsi="宋体" w:eastAsia="宋体" w:cs="Times New Roman"/>
                <w:color w:val="auto"/>
              </w:rPr>
              <w:t>18.0162</w:t>
            </w:r>
          </w:p>
        </w:tc>
        <w:tc>
          <w:tcPr>
            <w:tcW w:w="836" w:type="dxa"/>
            <w:tcBorders>
              <w:top w:val="single" w:color="auto" w:sz="4" w:space="0"/>
              <w:tl2br w:val="nil"/>
              <w:tr2bl w:val="nil"/>
            </w:tcBorders>
            <w:vAlign w:val="center"/>
          </w:tcPr>
          <w:p w14:paraId="57FF16F9">
            <w:pPr>
              <w:jc w:val="right"/>
              <w:textAlignment w:val="center"/>
              <w:rPr>
                <w:rFonts w:ascii="宋体" w:hAnsi="宋体" w:eastAsia="宋体" w:cs="Times New Roman"/>
                <w:color w:val="auto"/>
              </w:rPr>
            </w:pPr>
            <w:r>
              <w:rPr>
                <w:rFonts w:ascii="宋体" w:hAnsi="宋体" w:eastAsia="宋体" w:cs="Times New Roman"/>
                <w:color w:val="auto"/>
                <w:lang w:bidi="ar"/>
              </w:rPr>
              <w:t xml:space="preserve">45.041 </w:t>
            </w:r>
          </w:p>
        </w:tc>
        <w:tc>
          <w:tcPr>
            <w:tcW w:w="830" w:type="dxa"/>
            <w:tcBorders>
              <w:top w:val="single" w:color="auto" w:sz="4" w:space="0"/>
              <w:tl2br w:val="nil"/>
              <w:tr2bl w:val="nil"/>
            </w:tcBorders>
            <w:vAlign w:val="center"/>
          </w:tcPr>
          <w:p w14:paraId="7021382E">
            <w:pPr>
              <w:jc w:val="center"/>
              <w:rPr>
                <w:rFonts w:ascii="宋体" w:hAnsi="宋体" w:eastAsia="宋体" w:cs="Times New Roman"/>
                <w:color w:val="auto"/>
              </w:rPr>
            </w:pPr>
            <w:r>
              <w:rPr>
                <w:rFonts w:ascii="宋体" w:hAnsi="宋体" w:eastAsia="宋体" w:cs="Times New Roman"/>
                <w:color w:val="auto"/>
              </w:rPr>
              <w:t>达标</w:t>
            </w:r>
          </w:p>
        </w:tc>
      </w:tr>
      <w:tr w14:paraId="0EDF3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9A0FD84">
            <w:pPr>
              <w:jc w:val="center"/>
              <w:rPr>
                <w:rFonts w:ascii="宋体" w:hAnsi="宋体" w:eastAsia="宋体" w:cs="Times New Roman"/>
                <w:color w:val="auto"/>
              </w:rPr>
            </w:pPr>
          </w:p>
        </w:tc>
        <w:tc>
          <w:tcPr>
            <w:tcW w:w="1430" w:type="dxa"/>
            <w:tcBorders>
              <w:top w:val="single" w:color="auto" w:sz="4" w:space="0"/>
              <w:bottom w:val="single" w:color="auto" w:sz="4" w:space="0"/>
              <w:tl2br w:val="nil"/>
              <w:tr2bl w:val="nil"/>
            </w:tcBorders>
            <w:vAlign w:val="center"/>
          </w:tcPr>
          <w:p w14:paraId="702A8FCF">
            <w:pPr>
              <w:jc w:val="center"/>
              <w:rPr>
                <w:rFonts w:ascii="宋体" w:hAnsi="宋体" w:eastAsia="宋体" w:cs="Times New Roman"/>
                <w:color w:val="auto"/>
              </w:rPr>
            </w:pPr>
            <w:r>
              <w:rPr>
                <w:rFonts w:ascii="宋体" w:hAnsi="宋体" w:eastAsia="宋体" w:cs="Times New Roman"/>
                <w:color w:val="auto"/>
              </w:rPr>
              <w:t>区域最大落地浓度</w:t>
            </w:r>
          </w:p>
        </w:tc>
        <w:tc>
          <w:tcPr>
            <w:tcW w:w="810" w:type="dxa"/>
            <w:vMerge w:val="continue"/>
            <w:tcBorders>
              <w:tl2br w:val="nil"/>
              <w:tr2bl w:val="nil"/>
            </w:tcBorders>
            <w:vAlign w:val="center"/>
          </w:tcPr>
          <w:p w14:paraId="2BDBF6C1">
            <w:pPr>
              <w:jc w:val="center"/>
              <w:rPr>
                <w:rFonts w:ascii="宋体" w:hAnsi="宋体" w:eastAsia="宋体" w:cs="Times New Roman"/>
                <w:color w:val="auto"/>
              </w:rPr>
            </w:pPr>
          </w:p>
        </w:tc>
        <w:tc>
          <w:tcPr>
            <w:tcW w:w="1006" w:type="dxa"/>
            <w:tcBorders>
              <w:top w:val="single" w:color="auto" w:sz="4" w:space="0"/>
              <w:bottom w:val="single" w:color="auto" w:sz="4" w:space="0"/>
              <w:tl2br w:val="nil"/>
              <w:tr2bl w:val="nil"/>
            </w:tcBorders>
            <w:vAlign w:val="center"/>
          </w:tcPr>
          <w:p w14:paraId="30961C03">
            <w:pPr>
              <w:jc w:val="center"/>
              <w:rPr>
                <w:rFonts w:ascii="宋体" w:hAnsi="宋体" w:eastAsia="宋体" w:cs="Times New Roman"/>
                <w:color w:val="auto"/>
              </w:rPr>
            </w:pPr>
            <w:r>
              <w:rPr>
                <w:rFonts w:ascii="宋体" w:hAnsi="宋体" w:eastAsia="宋体" w:cs="Times New Roman"/>
                <w:color w:val="auto"/>
              </w:rPr>
              <w:t>0.311359</w:t>
            </w:r>
          </w:p>
        </w:tc>
        <w:tc>
          <w:tcPr>
            <w:tcW w:w="794" w:type="dxa"/>
            <w:tcBorders>
              <w:top w:val="single" w:color="auto" w:sz="4" w:space="0"/>
              <w:bottom w:val="single" w:color="auto" w:sz="4" w:space="0"/>
              <w:tl2br w:val="nil"/>
              <w:tr2bl w:val="nil"/>
            </w:tcBorders>
            <w:vAlign w:val="center"/>
          </w:tcPr>
          <w:p w14:paraId="09BD6706">
            <w:pPr>
              <w:jc w:val="center"/>
              <w:rPr>
                <w:rFonts w:ascii="宋体" w:hAnsi="宋体" w:eastAsia="宋体" w:cs="Times New Roman"/>
                <w:color w:val="auto"/>
              </w:rPr>
            </w:pPr>
            <w:r>
              <w:rPr>
                <w:rFonts w:ascii="宋体" w:hAnsi="宋体" w:eastAsia="宋体" w:cs="Times New Roman"/>
                <w:color w:val="auto"/>
              </w:rPr>
              <w:t>0.778</w:t>
            </w:r>
          </w:p>
        </w:tc>
        <w:tc>
          <w:tcPr>
            <w:tcW w:w="1262" w:type="dxa"/>
            <w:tcBorders>
              <w:top w:val="single" w:color="auto" w:sz="4" w:space="0"/>
              <w:bottom w:val="single" w:color="auto" w:sz="4" w:space="0"/>
              <w:tl2br w:val="nil"/>
              <w:tr2bl w:val="nil"/>
            </w:tcBorders>
            <w:vAlign w:val="center"/>
          </w:tcPr>
          <w:p w14:paraId="4226130B">
            <w:pPr>
              <w:jc w:val="center"/>
              <w:rPr>
                <w:rFonts w:ascii="宋体" w:hAnsi="宋体" w:eastAsia="宋体" w:cs="Times New Roman"/>
                <w:color w:val="auto"/>
              </w:rPr>
            </w:pPr>
            <w:r>
              <w:rPr>
                <w:rFonts w:ascii="宋体" w:hAnsi="宋体" w:eastAsia="宋体" w:cs="Times New Roman"/>
                <w:color w:val="auto"/>
              </w:rPr>
              <w:t>18</w:t>
            </w:r>
          </w:p>
        </w:tc>
        <w:tc>
          <w:tcPr>
            <w:tcW w:w="1403" w:type="dxa"/>
            <w:tcBorders>
              <w:top w:val="single" w:color="auto" w:sz="4" w:space="0"/>
              <w:bottom w:val="single" w:color="auto" w:sz="4" w:space="0"/>
              <w:tl2br w:val="nil"/>
              <w:tr2bl w:val="nil"/>
            </w:tcBorders>
            <w:vAlign w:val="center"/>
          </w:tcPr>
          <w:p w14:paraId="49B559DF">
            <w:pPr>
              <w:jc w:val="center"/>
              <w:rPr>
                <w:rFonts w:ascii="宋体" w:hAnsi="宋体" w:eastAsia="宋体" w:cs="Times New Roman"/>
                <w:color w:val="auto"/>
              </w:rPr>
            </w:pPr>
            <w:r>
              <w:rPr>
                <w:rFonts w:ascii="宋体" w:hAnsi="宋体" w:eastAsia="宋体" w:cs="Times New Roman"/>
                <w:color w:val="auto"/>
              </w:rPr>
              <w:t xml:space="preserve"> 18.3114</w:t>
            </w:r>
          </w:p>
        </w:tc>
        <w:tc>
          <w:tcPr>
            <w:tcW w:w="836" w:type="dxa"/>
            <w:tcBorders>
              <w:top w:val="single" w:color="auto" w:sz="4" w:space="0"/>
              <w:bottom w:val="single" w:color="auto" w:sz="4" w:space="0"/>
              <w:tl2br w:val="nil"/>
              <w:tr2bl w:val="nil"/>
            </w:tcBorders>
            <w:vAlign w:val="center"/>
          </w:tcPr>
          <w:p w14:paraId="4D45A7C9">
            <w:pPr>
              <w:jc w:val="center"/>
              <w:rPr>
                <w:rFonts w:ascii="宋体" w:hAnsi="宋体" w:eastAsia="宋体" w:cs="Times New Roman"/>
                <w:color w:val="auto"/>
              </w:rPr>
            </w:pPr>
            <w:r>
              <w:rPr>
                <w:rFonts w:ascii="宋体" w:hAnsi="宋体" w:eastAsia="宋体" w:cs="Times New Roman"/>
                <w:color w:val="auto"/>
              </w:rPr>
              <w:t>45.779</w:t>
            </w:r>
          </w:p>
        </w:tc>
        <w:tc>
          <w:tcPr>
            <w:tcW w:w="830" w:type="dxa"/>
            <w:tcBorders>
              <w:top w:val="single" w:color="auto" w:sz="4" w:space="0"/>
              <w:bottom w:val="single" w:color="auto" w:sz="4" w:space="0"/>
              <w:tl2br w:val="nil"/>
              <w:tr2bl w:val="nil"/>
            </w:tcBorders>
            <w:vAlign w:val="center"/>
          </w:tcPr>
          <w:p w14:paraId="0442B9D1">
            <w:pPr>
              <w:jc w:val="center"/>
              <w:rPr>
                <w:rFonts w:ascii="宋体" w:hAnsi="宋体" w:eastAsia="宋体" w:cs="Times New Roman"/>
                <w:color w:val="auto"/>
              </w:rPr>
            </w:pPr>
            <w:r>
              <w:rPr>
                <w:rFonts w:ascii="宋体" w:hAnsi="宋体" w:eastAsia="宋体" w:cs="Times New Roman"/>
                <w:color w:val="auto"/>
              </w:rPr>
              <w:t>达标</w:t>
            </w:r>
          </w:p>
        </w:tc>
      </w:tr>
      <w:tr w14:paraId="45976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restart"/>
            <w:tcBorders>
              <w:tl2br w:val="nil"/>
              <w:tr2bl w:val="nil"/>
            </w:tcBorders>
            <w:vAlign w:val="center"/>
          </w:tcPr>
          <w:p w14:paraId="24DBD293">
            <w:pPr>
              <w:jc w:val="center"/>
              <w:rPr>
                <w:rFonts w:ascii="宋体" w:hAnsi="宋体" w:eastAsia="宋体" w:cs="Times New Roman"/>
                <w:color w:val="auto"/>
              </w:rPr>
            </w:pPr>
            <w:r>
              <w:rPr>
                <w:rFonts w:ascii="宋体" w:hAnsi="宋体" w:eastAsia="宋体" w:cs="Times New Roman"/>
                <w:color w:val="auto"/>
              </w:rPr>
              <w:t>非甲烷总烃</w:t>
            </w:r>
          </w:p>
        </w:tc>
        <w:tc>
          <w:tcPr>
            <w:tcW w:w="1430" w:type="dxa"/>
            <w:tcBorders>
              <w:top w:val="single" w:color="auto" w:sz="4" w:space="0"/>
              <w:tl2br w:val="nil"/>
              <w:tr2bl w:val="nil"/>
            </w:tcBorders>
            <w:vAlign w:val="center"/>
          </w:tcPr>
          <w:p w14:paraId="202A1A4F">
            <w:pPr>
              <w:spacing w:line="320" w:lineRule="exact"/>
              <w:jc w:val="center"/>
              <w:rPr>
                <w:rFonts w:ascii="宋体" w:hAnsi="宋体" w:eastAsia="宋体" w:cs="Times New Roman"/>
                <w:color w:val="auto"/>
                <w:lang w:eastAsia="en-US"/>
              </w:rPr>
            </w:pPr>
            <w:r>
              <w:rPr>
                <w:rFonts w:ascii="宋体" w:hAnsi="宋体" w:eastAsia="宋体" w:cs="Times New Roman"/>
                <w:color w:val="auto"/>
              </w:rPr>
              <w:t>小欧力马屯</w:t>
            </w:r>
          </w:p>
        </w:tc>
        <w:tc>
          <w:tcPr>
            <w:tcW w:w="810" w:type="dxa"/>
            <w:vMerge w:val="restart"/>
            <w:tcBorders>
              <w:tl2br w:val="nil"/>
              <w:tr2bl w:val="nil"/>
            </w:tcBorders>
            <w:vAlign w:val="center"/>
          </w:tcPr>
          <w:p w14:paraId="0A40186D">
            <w:pPr>
              <w:jc w:val="center"/>
              <w:rPr>
                <w:rFonts w:ascii="宋体" w:hAnsi="宋体" w:eastAsia="宋体" w:cs="Times New Roman"/>
                <w:color w:val="auto"/>
              </w:rPr>
            </w:pPr>
            <w:r>
              <w:rPr>
                <w:rFonts w:ascii="宋体" w:hAnsi="宋体" w:eastAsia="宋体" w:cs="Times New Roman"/>
                <w:color w:val="auto"/>
              </w:rPr>
              <w:t>小时均值</w:t>
            </w:r>
          </w:p>
        </w:tc>
        <w:tc>
          <w:tcPr>
            <w:tcW w:w="1006" w:type="dxa"/>
            <w:tcBorders>
              <w:top w:val="single" w:color="auto" w:sz="4" w:space="0"/>
              <w:tl2br w:val="nil"/>
              <w:tr2bl w:val="nil"/>
            </w:tcBorders>
            <w:vAlign w:val="center"/>
          </w:tcPr>
          <w:p w14:paraId="57F5CB43">
            <w:pPr>
              <w:spacing w:line="320" w:lineRule="exact"/>
              <w:jc w:val="center"/>
              <w:rPr>
                <w:rFonts w:ascii="宋体" w:hAnsi="宋体" w:eastAsia="宋体" w:cs="Times New Roman"/>
                <w:color w:val="auto"/>
              </w:rPr>
            </w:pPr>
            <w:r>
              <w:rPr>
                <w:rFonts w:ascii="宋体" w:hAnsi="宋体" w:eastAsia="宋体" w:cs="Times New Roman"/>
                <w:color w:val="auto"/>
                <w:lang w:eastAsia="en-US"/>
              </w:rPr>
              <w:t>11.96996</w:t>
            </w:r>
          </w:p>
        </w:tc>
        <w:tc>
          <w:tcPr>
            <w:tcW w:w="794" w:type="dxa"/>
            <w:tcBorders>
              <w:top w:val="single" w:color="auto" w:sz="4" w:space="0"/>
              <w:tl2br w:val="nil"/>
              <w:tr2bl w:val="nil"/>
            </w:tcBorders>
            <w:vAlign w:val="center"/>
          </w:tcPr>
          <w:p w14:paraId="0B83B5FD">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0.598 </w:t>
            </w:r>
          </w:p>
        </w:tc>
        <w:tc>
          <w:tcPr>
            <w:tcW w:w="1262" w:type="dxa"/>
            <w:tcBorders>
              <w:top w:val="single" w:color="auto" w:sz="4" w:space="0"/>
              <w:tl2br w:val="nil"/>
              <w:tr2bl w:val="nil"/>
            </w:tcBorders>
            <w:vAlign w:val="center"/>
          </w:tcPr>
          <w:p w14:paraId="56E96CEC">
            <w:pPr>
              <w:spacing w:line="320" w:lineRule="exact"/>
              <w:jc w:val="center"/>
              <w:rPr>
                <w:rFonts w:ascii="宋体" w:hAnsi="宋体" w:eastAsia="宋体" w:cs="Times New Roman"/>
                <w:color w:val="auto"/>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5404748C">
            <w:pPr>
              <w:spacing w:line="320" w:lineRule="exact"/>
              <w:jc w:val="center"/>
              <w:rPr>
                <w:rFonts w:ascii="宋体" w:hAnsi="宋体" w:eastAsia="宋体" w:cs="Times New Roman"/>
                <w:color w:val="auto"/>
                <w:lang w:eastAsia="en-US"/>
              </w:rPr>
            </w:pPr>
            <w:r>
              <w:rPr>
                <w:rFonts w:ascii="宋体" w:hAnsi="宋体" w:eastAsia="宋体" w:cs="Times New Roman"/>
                <w:color w:val="auto"/>
              </w:rPr>
              <w:t>671.96996</w:t>
            </w:r>
          </w:p>
        </w:tc>
        <w:tc>
          <w:tcPr>
            <w:tcW w:w="836" w:type="dxa"/>
            <w:tcBorders>
              <w:top w:val="single" w:color="auto" w:sz="4" w:space="0"/>
              <w:tl2br w:val="nil"/>
              <w:tr2bl w:val="nil"/>
            </w:tcBorders>
            <w:vAlign w:val="center"/>
          </w:tcPr>
          <w:p w14:paraId="49F7FE65">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33.598 </w:t>
            </w:r>
          </w:p>
        </w:tc>
        <w:tc>
          <w:tcPr>
            <w:tcW w:w="830" w:type="dxa"/>
            <w:tcBorders>
              <w:top w:val="single" w:color="auto" w:sz="4" w:space="0"/>
              <w:tl2br w:val="nil"/>
              <w:tr2bl w:val="nil"/>
            </w:tcBorders>
            <w:vAlign w:val="center"/>
          </w:tcPr>
          <w:p w14:paraId="49E732DF">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43EB2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5C81BE81">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78764DE0">
            <w:pPr>
              <w:spacing w:line="320" w:lineRule="exact"/>
              <w:jc w:val="center"/>
              <w:rPr>
                <w:rFonts w:ascii="宋体" w:hAnsi="宋体" w:eastAsia="宋体" w:cs="Times New Roman"/>
                <w:color w:val="auto"/>
                <w:lang w:eastAsia="en-US"/>
              </w:rPr>
            </w:pPr>
            <w:r>
              <w:rPr>
                <w:rFonts w:ascii="宋体" w:hAnsi="宋体" w:eastAsia="宋体" w:cs="Times New Roman"/>
                <w:color w:val="auto"/>
              </w:rPr>
              <w:t>立功村</w:t>
            </w:r>
          </w:p>
        </w:tc>
        <w:tc>
          <w:tcPr>
            <w:tcW w:w="810" w:type="dxa"/>
            <w:vMerge w:val="continue"/>
            <w:tcBorders>
              <w:tl2br w:val="nil"/>
              <w:tr2bl w:val="nil"/>
            </w:tcBorders>
            <w:vAlign w:val="center"/>
          </w:tcPr>
          <w:p w14:paraId="6D96839B">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4243CD9D">
            <w:pPr>
              <w:spacing w:line="320" w:lineRule="exact"/>
              <w:jc w:val="center"/>
              <w:rPr>
                <w:rFonts w:ascii="宋体" w:hAnsi="宋体" w:eastAsia="宋体" w:cs="Times New Roman"/>
                <w:color w:val="auto"/>
              </w:rPr>
            </w:pPr>
            <w:r>
              <w:rPr>
                <w:rFonts w:ascii="宋体" w:hAnsi="宋体" w:eastAsia="宋体" w:cs="Times New Roman"/>
                <w:color w:val="auto"/>
                <w:lang w:eastAsia="en-US"/>
              </w:rPr>
              <w:t>8.3081</w:t>
            </w:r>
          </w:p>
        </w:tc>
        <w:tc>
          <w:tcPr>
            <w:tcW w:w="794" w:type="dxa"/>
            <w:tcBorders>
              <w:top w:val="single" w:color="auto" w:sz="4" w:space="0"/>
              <w:tl2br w:val="nil"/>
              <w:tr2bl w:val="nil"/>
            </w:tcBorders>
            <w:vAlign w:val="center"/>
          </w:tcPr>
          <w:p w14:paraId="3E33E710">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0.415 </w:t>
            </w:r>
          </w:p>
        </w:tc>
        <w:tc>
          <w:tcPr>
            <w:tcW w:w="1262" w:type="dxa"/>
            <w:tcBorders>
              <w:top w:val="single" w:color="auto" w:sz="4" w:space="0"/>
              <w:tl2br w:val="nil"/>
              <w:tr2bl w:val="nil"/>
            </w:tcBorders>
            <w:vAlign w:val="center"/>
          </w:tcPr>
          <w:p w14:paraId="68342149">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32EDCA82">
            <w:pPr>
              <w:spacing w:line="320" w:lineRule="exact"/>
              <w:jc w:val="center"/>
              <w:rPr>
                <w:rFonts w:ascii="宋体" w:hAnsi="宋体" w:eastAsia="宋体" w:cs="Times New Roman"/>
                <w:color w:val="auto"/>
                <w:lang w:eastAsia="en-US"/>
              </w:rPr>
            </w:pPr>
            <w:r>
              <w:rPr>
                <w:rFonts w:ascii="宋体" w:hAnsi="宋体" w:eastAsia="宋体" w:cs="Times New Roman"/>
                <w:color w:val="auto"/>
              </w:rPr>
              <w:t>668.3081</w:t>
            </w:r>
          </w:p>
        </w:tc>
        <w:tc>
          <w:tcPr>
            <w:tcW w:w="836" w:type="dxa"/>
            <w:tcBorders>
              <w:top w:val="single" w:color="auto" w:sz="4" w:space="0"/>
              <w:tl2br w:val="nil"/>
              <w:tr2bl w:val="nil"/>
            </w:tcBorders>
            <w:vAlign w:val="center"/>
          </w:tcPr>
          <w:p w14:paraId="677EA0A9">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33.415 </w:t>
            </w:r>
          </w:p>
        </w:tc>
        <w:tc>
          <w:tcPr>
            <w:tcW w:w="830" w:type="dxa"/>
            <w:tcBorders>
              <w:top w:val="single" w:color="auto" w:sz="4" w:space="0"/>
              <w:tl2br w:val="nil"/>
              <w:tr2bl w:val="nil"/>
            </w:tcBorders>
            <w:vAlign w:val="center"/>
          </w:tcPr>
          <w:p w14:paraId="7FE65F83">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1549C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2F8D6A75">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5F39CEFD">
            <w:pPr>
              <w:spacing w:line="320" w:lineRule="exact"/>
              <w:jc w:val="center"/>
              <w:rPr>
                <w:rFonts w:ascii="宋体" w:hAnsi="宋体" w:eastAsia="宋体" w:cs="Times New Roman"/>
                <w:color w:val="auto"/>
                <w:lang w:eastAsia="en-US"/>
              </w:rPr>
            </w:pPr>
            <w:r>
              <w:rPr>
                <w:rFonts w:ascii="宋体" w:hAnsi="宋体" w:eastAsia="宋体" w:cs="Times New Roman"/>
                <w:color w:val="auto"/>
              </w:rPr>
              <w:t>华南屯</w:t>
            </w:r>
          </w:p>
        </w:tc>
        <w:tc>
          <w:tcPr>
            <w:tcW w:w="810" w:type="dxa"/>
            <w:vMerge w:val="continue"/>
            <w:tcBorders>
              <w:tl2br w:val="nil"/>
              <w:tr2bl w:val="nil"/>
            </w:tcBorders>
            <w:vAlign w:val="center"/>
          </w:tcPr>
          <w:p w14:paraId="47C69A80">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2921EB21">
            <w:pPr>
              <w:spacing w:line="320" w:lineRule="exact"/>
              <w:jc w:val="center"/>
              <w:rPr>
                <w:rFonts w:ascii="宋体" w:hAnsi="宋体" w:eastAsia="宋体" w:cs="Times New Roman"/>
                <w:color w:val="auto"/>
              </w:rPr>
            </w:pPr>
            <w:r>
              <w:rPr>
                <w:rFonts w:ascii="宋体" w:hAnsi="宋体" w:eastAsia="宋体" w:cs="Times New Roman"/>
                <w:color w:val="auto"/>
                <w:lang w:eastAsia="en-US"/>
              </w:rPr>
              <w:t>20.57794</w:t>
            </w:r>
          </w:p>
        </w:tc>
        <w:tc>
          <w:tcPr>
            <w:tcW w:w="794" w:type="dxa"/>
            <w:tcBorders>
              <w:top w:val="single" w:color="auto" w:sz="4" w:space="0"/>
              <w:tl2br w:val="nil"/>
              <w:tr2bl w:val="nil"/>
            </w:tcBorders>
            <w:vAlign w:val="center"/>
          </w:tcPr>
          <w:p w14:paraId="15462789">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1.029 </w:t>
            </w:r>
          </w:p>
        </w:tc>
        <w:tc>
          <w:tcPr>
            <w:tcW w:w="1262" w:type="dxa"/>
            <w:tcBorders>
              <w:top w:val="single" w:color="auto" w:sz="4" w:space="0"/>
              <w:tl2br w:val="nil"/>
              <w:tr2bl w:val="nil"/>
            </w:tcBorders>
            <w:vAlign w:val="center"/>
          </w:tcPr>
          <w:p w14:paraId="3F675E61">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7B9C7E22">
            <w:pPr>
              <w:spacing w:line="320" w:lineRule="exact"/>
              <w:jc w:val="center"/>
              <w:rPr>
                <w:rFonts w:ascii="宋体" w:hAnsi="宋体" w:eastAsia="宋体" w:cs="Times New Roman"/>
                <w:color w:val="auto"/>
                <w:lang w:eastAsia="en-US"/>
              </w:rPr>
            </w:pPr>
            <w:r>
              <w:rPr>
                <w:rFonts w:ascii="宋体" w:hAnsi="宋体" w:eastAsia="宋体" w:cs="Times New Roman"/>
                <w:color w:val="auto"/>
              </w:rPr>
              <w:t>680.57794</w:t>
            </w:r>
          </w:p>
        </w:tc>
        <w:tc>
          <w:tcPr>
            <w:tcW w:w="836" w:type="dxa"/>
            <w:tcBorders>
              <w:top w:val="single" w:color="auto" w:sz="4" w:space="0"/>
              <w:tl2br w:val="nil"/>
              <w:tr2bl w:val="nil"/>
            </w:tcBorders>
            <w:vAlign w:val="center"/>
          </w:tcPr>
          <w:p w14:paraId="3D9FE8D2">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34.029 </w:t>
            </w:r>
          </w:p>
        </w:tc>
        <w:tc>
          <w:tcPr>
            <w:tcW w:w="830" w:type="dxa"/>
            <w:tcBorders>
              <w:top w:val="single" w:color="auto" w:sz="4" w:space="0"/>
              <w:tl2br w:val="nil"/>
              <w:tr2bl w:val="nil"/>
            </w:tcBorders>
            <w:vAlign w:val="center"/>
          </w:tcPr>
          <w:p w14:paraId="3AB38D8A">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75CED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4B0C7027">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3737642E">
            <w:pPr>
              <w:spacing w:line="320" w:lineRule="exact"/>
              <w:jc w:val="center"/>
              <w:rPr>
                <w:rFonts w:ascii="宋体" w:hAnsi="宋体" w:eastAsia="宋体" w:cs="Times New Roman"/>
                <w:color w:val="auto"/>
                <w:lang w:eastAsia="en-US"/>
              </w:rPr>
            </w:pPr>
            <w:r>
              <w:rPr>
                <w:rFonts w:ascii="宋体" w:hAnsi="宋体" w:eastAsia="宋体" w:cs="Times New Roman"/>
                <w:color w:val="auto"/>
              </w:rPr>
              <w:t>李彦和屯</w:t>
            </w:r>
          </w:p>
        </w:tc>
        <w:tc>
          <w:tcPr>
            <w:tcW w:w="810" w:type="dxa"/>
            <w:vMerge w:val="continue"/>
            <w:tcBorders>
              <w:tl2br w:val="nil"/>
              <w:tr2bl w:val="nil"/>
            </w:tcBorders>
            <w:vAlign w:val="center"/>
          </w:tcPr>
          <w:p w14:paraId="630B14A5">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3B23F946">
            <w:pPr>
              <w:spacing w:line="320" w:lineRule="exact"/>
              <w:jc w:val="center"/>
              <w:rPr>
                <w:rFonts w:ascii="宋体" w:hAnsi="宋体" w:eastAsia="宋体" w:cs="Times New Roman"/>
                <w:color w:val="auto"/>
              </w:rPr>
            </w:pPr>
            <w:r>
              <w:rPr>
                <w:rFonts w:ascii="宋体" w:hAnsi="宋体" w:eastAsia="宋体" w:cs="Times New Roman"/>
                <w:color w:val="auto"/>
                <w:lang w:eastAsia="en-US"/>
              </w:rPr>
              <w:t>22.4446</w:t>
            </w:r>
          </w:p>
        </w:tc>
        <w:tc>
          <w:tcPr>
            <w:tcW w:w="794" w:type="dxa"/>
            <w:tcBorders>
              <w:top w:val="single" w:color="auto" w:sz="4" w:space="0"/>
              <w:tl2br w:val="nil"/>
              <w:tr2bl w:val="nil"/>
            </w:tcBorders>
            <w:vAlign w:val="center"/>
          </w:tcPr>
          <w:p w14:paraId="6E1ECB84">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1.122 </w:t>
            </w:r>
          </w:p>
        </w:tc>
        <w:tc>
          <w:tcPr>
            <w:tcW w:w="1262" w:type="dxa"/>
            <w:tcBorders>
              <w:top w:val="single" w:color="auto" w:sz="4" w:space="0"/>
              <w:tl2br w:val="nil"/>
              <w:tr2bl w:val="nil"/>
            </w:tcBorders>
            <w:vAlign w:val="center"/>
          </w:tcPr>
          <w:p w14:paraId="2E728608">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7A8CBD24">
            <w:pPr>
              <w:spacing w:line="320" w:lineRule="exact"/>
              <w:jc w:val="center"/>
              <w:rPr>
                <w:rFonts w:ascii="宋体" w:hAnsi="宋体" w:eastAsia="宋体" w:cs="Times New Roman"/>
                <w:color w:val="auto"/>
                <w:lang w:eastAsia="en-US"/>
              </w:rPr>
            </w:pPr>
            <w:r>
              <w:rPr>
                <w:rFonts w:ascii="宋体" w:hAnsi="宋体" w:eastAsia="宋体" w:cs="Times New Roman"/>
                <w:color w:val="auto"/>
              </w:rPr>
              <w:t>682.4446</w:t>
            </w:r>
          </w:p>
        </w:tc>
        <w:tc>
          <w:tcPr>
            <w:tcW w:w="836" w:type="dxa"/>
            <w:tcBorders>
              <w:top w:val="single" w:color="auto" w:sz="4" w:space="0"/>
              <w:tl2br w:val="nil"/>
              <w:tr2bl w:val="nil"/>
            </w:tcBorders>
            <w:vAlign w:val="center"/>
          </w:tcPr>
          <w:p w14:paraId="0440FEED">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34.122 </w:t>
            </w:r>
          </w:p>
        </w:tc>
        <w:tc>
          <w:tcPr>
            <w:tcW w:w="830" w:type="dxa"/>
            <w:tcBorders>
              <w:top w:val="single" w:color="auto" w:sz="4" w:space="0"/>
              <w:tl2br w:val="nil"/>
              <w:tr2bl w:val="nil"/>
            </w:tcBorders>
            <w:vAlign w:val="center"/>
          </w:tcPr>
          <w:p w14:paraId="4C806C7D">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54C60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1C635D39">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2AFC1951">
            <w:pPr>
              <w:spacing w:line="320" w:lineRule="exact"/>
              <w:jc w:val="center"/>
              <w:rPr>
                <w:rFonts w:ascii="宋体" w:hAnsi="宋体" w:eastAsia="宋体" w:cs="Times New Roman"/>
                <w:color w:val="auto"/>
                <w:lang w:eastAsia="en-US"/>
              </w:rPr>
            </w:pPr>
            <w:r>
              <w:rPr>
                <w:rFonts w:ascii="宋体" w:hAnsi="宋体" w:eastAsia="宋体" w:cs="Times New Roman"/>
                <w:color w:val="auto"/>
              </w:rPr>
              <w:t>后欧力马屯</w:t>
            </w:r>
          </w:p>
        </w:tc>
        <w:tc>
          <w:tcPr>
            <w:tcW w:w="810" w:type="dxa"/>
            <w:vMerge w:val="continue"/>
            <w:tcBorders>
              <w:tl2br w:val="nil"/>
              <w:tr2bl w:val="nil"/>
            </w:tcBorders>
            <w:vAlign w:val="center"/>
          </w:tcPr>
          <w:p w14:paraId="24640874">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2CA4FD51">
            <w:pPr>
              <w:spacing w:line="320" w:lineRule="exact"/>
              <w:jc w:val="center"/>
              <w:rPr>
                <w:rFonts w:ascii="宋体" w:hAnsi="宋体" w:eastAsia="宋体" w:cs="Times New Roman"/>
                <w:color w:val="auto"/>
              </w:rPr>
            </w:pPr>
            <w:r>
              <w:rPr>
                <w:rFonts w:ascii="宋体" w:hAnsi="宋体" w:eastAsia="宋体" w:cs="Times New Roman"/>
                <w:color w:val="auto"/>
                <w:lang w:eastAsia="en-US"/>
              </w:rPr>
              <w:t>57.69842</w:t>
            </w:r>
          </w:p>
        </w:tc>
        <w:tc>
          <w:tcPr>
            <w:tcW w:w="794" w:type="dxa"/>
            <w:tcBorders>
              <w:top w:val="single" w:color="auto" w:sz="4" w:space="0"/>
              <w:tl2br w:val="nil"/>
              <w:tr2bl w:val="nil"/>
            </w:tcBorders>
            <w:vAlign w:val="center"/>
          </w:tcPr>
          <w:p w14:paraId="5096E896">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2.885 </w:t>
            </w:r>
          </w:p>
        </w:tc>
        <w:tc>
          <w:tcPr>
            <w:tcW w:w="1262" w:type="dxa"/>
            <w:tcBorders>
              <w:top w:val="single" w:color="auto" w:sz="4" w:space="0"/>
              <w:tl2br w:val="nil"/>
              <w:tr2bl w:val="nil"/>
            </w:tcBorders>
            <w:vAlign w:val="center"/>
          </w:tcPr>
          <w:p w14:paraId="4865AC5E">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7F925EDF">
            <w:pPr>
              <w:spacing w:line="320" w:lineRule="exact"/>
              <w:jc w:val="center"/>
              <w:rPr>
                <w:rFonts w:ascii="宋体" w:hAnsi="宋体" w:eastAsia="宋体" w:cs="Times New Roman"/>
                <w:color w:val="auto"/>
                <w:lang w:eastAsia="en-US"/>
              </w:rPr>
            </w:pPr>
            <w:r>
              <w:rPr>
                <w:rFonts w:ascii="宋体" w:hAnsi="宋体" w:eastAsia="宋体" w:cs="Times New Roman"/>
                <w:color w:val="auto"/>
              </w:rPr>
              <w:t>717.69842</w:t>
            </w:r>
          </w:p>
        </w:tc>
        <w:tc>
          <w:tcPr>
            <w:tcW w:w="836" w:type="dxa"/>
            <w:tcBorders>
              <w:top w:val="single" w:color="auto" w:sz="4" w:space="0"/>
              <w:tl2br w:val="nil"/>
              <w:tr2bl w:val="nil"/>
            </w:tcBorders>
            <w:vAlign w:val="center"/>
          </w:tcPr>
          <w:p w14:paraId="2D4E9137">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35.885 </w:t>
            </w:r>
          </w:p>
        </w:tc>
        <w:tc>
          <w:tcPr>
            <w:tcW w:w="830" w:type="dxa"/>
            <w:tcBorders>
              <w:top w:val="single" w:color="auto" w:sz="4" w:space="0"/>
              <w:tl2br w:val="nil"/>
              <w:tr2bl w:val="nil"/>
            </w:tcBorders>
            <w:vAlign w:val="center"/>
          </w:tcPr>
          <w:p w14:paraId="3A25BCBA">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376D2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4CC47391">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27924DCE">
            <w:pPr>
              <w:spacing w:line="320" w:lineRule="exact"/>
              <w:jc w:val="center"/>
              <w:rPr>
                <w:rFonts w:ascii="宋体" w:hAnsi="宋体" w:eastAsia="宋体" w:cs="Times New Roman"/>
                <w:color w:val="auto"/>
                <w:lang w:eastAsia="en-US"/>
              </w:rPr>
            </w:pPr>
            <w:r>
              <w:rPr>
                <w:rFonts w:ascii="宋体" w:hAnsi="宋体" w:eastAsia="宋体" w:cs="Times New Roman"/>
                <w:color w:val="auto"/>
              </w:rPr>
              <w:t>对青岗子屯</w:t>
            </w:r>
          </w:p>
        </w:tc>
        <w:tc>
          <w:tcPr>
            <w:tcW w:w="810" w:type="dxa"/>
            <w:vMerge w:val="continue"/>
            <w:tcBorders>
              <w:tl2br w:val="nil"/>
              <w:tr2bl w:val="nil"/>
            </w:tcBorders>
            <w:vAlign w:val="center"/>
          </w:tcPr>
          <w:p w14:paraId="32BFA04B">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7C752985">
            <w:pPr>
              <w:spacing w:line="320" w:lineRule="exact"/>
              <w:jc w:val="center"/>
              <w:rPr>
                <w:rFonts w:ascii="宋体" w:hAnsi="宋体" w:eastAsia="宋体" w:cs="Times New Roman"/>
                <w:color w:val="auto"/>
              </w:rPr>
            </w:pPr>
            <w:r>
              <w:rPr>
                <w:rFonts w:ascii="宋体" w:hAnsi="宋体" w:eastAsia="宋体" w:cs="Times New Roman"/>
                <w:color w:val="auto"/>
                <w:lang w:eastAsia="en-US"/>
              </w:rPr>
              <w:t>9.91248</w:t>
            </w:r>
          </w:p>
        </w:tc>
        <w:tc>
          <w:tcPr>
            <w:tcW w:w="794" w:type="dxa"/>
            <w:tcBorders>
              <w:top w:val="single" w:color="auto" w:sz="4" w:space="0"/>
              <w:tl2br w:val="nil"/>
              <w:tr2bl w:val="nil"/>
            </w:tcBorders>
            <w:vAlign w:val="center"/>
          </w:tcPr>
          <w:p w14:paraId="35C6D013">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0.496 </w:t>
            </w:r>
          </w:p>
        </w:tc>
        <w:tc>
          <w:tcPr>
            <w:tcW w:w="1262" w:type="dxa"/>
            <w:tcBorders>
              <w:top w:val="single" w:color="auto" w:sz="4" w:space="0"/>
              <w:tl2br w:val="nil"/>
              <w:tr2bl w:val="nil"/>
            </w:tcBorders>
            <w:vAlign w:val="center"/>
          </w:tcPr>
          <w:p w14:paraId="27292D04">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71B0AA32">
            <w:pPr>
              <w:spacing w:line="320" w:lineRule="exact"/>
              <w:jc w:val="center"/>
              <w:rPr>
                <w:rFonts w:ascii="宋体" w:hAnsi="宋体" w:eastAsia="宋体" w:cs="Times New Roman"/>
                <w:color w:val="auto"/>
                <w:lang w:eastAsia="en-US"/>
              </w:rPr>
            </w:pPr>
            <w:r>
              <w:rPr>
                <w:rFonts w:ascii="宋体" w:hAnsi="宋体" w:eastAsia="宋体" w:cs="Times New Roman"/>
                <w:color w:val="auto"/>
              </w:rPr>
              <w:t>669.91248</w:t>
            </w:r>
          </w:p>
        </w:tc>
        <w:tc>
          <w:tcPr>
            <w:tcW w:w="836" w:type="dxa"/>
            <w:tcBorders>
              <w:top w:val="single" w:color="auto" w:sz="4" w:space="0"/>
              <w:tl2br w:val="nil"/>
              <w:tr2bl w:val="nil"/>
            </w:tcBorders>
            <w:vAlign w:val="center"/>
          </w:tcPr>
          <w:p w14:paraId="217E45C3">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33.496 </w:t>
            </w:r>
          </w:p>
        </w:tc>
        <w:tc>
          <w:tcPr>
            <w:tcW w:w="830" w:type="dxa"/>
            <w:tcBorders>
              <w:top w:val="single" w:color="auto" w:sz="4" w:space="0"/>
              <w:tl2br w:val="nil"/>
              <w:tr2bl w:val="nil"/>
            </w:tcBorders>
            <w:vAlign w:val="center"/>
          </w:tcPr>
          <w:p w14:paraId="04471E96">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5995D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7124E5EC">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2F959036">
            <w:pPr>
              <w:spacing w:line="320" w:lineRule="exact"/>
              <w:jc w:val="center"/>
              <w:rPr>
                <w:rFonts w:ascii="宋体" w:hAnsi="宋体" w:eastAsia="宋体" w:cs="Times New Roman"/>
                <w:color w:val="auto"/>
                <w:lang w:eastAsia="en-US"/>
              </w:rPr>
            </w:pPr>
            <w:r>
              <w:rPr>
                <w:rFonts w:ascii="宋体" w:hAnsi="宋体" w:eastAsia="宋体" w:cs="Times New Roman"/>
                <w:color w:val="auto"/>
              </w:rPr>
              <w:t>蒙古屯</w:t>
            </w:r>
          </w:p>
        </w:tc>
        <w:tc>
          <w:tcPr>
            <w:tcW w:w="810" w:type="dxa"/>
            <w:vMerge w:val="continue"/>
            <w:tcBorders>
              <w:tl2br w:val="nil"/>
              <w:tr2bl w:val="nil"/>
            </w:tcBorders>
            <w:vAlign w:val="center"/>
          </w:tcPr>
          <w:p w14:paraId="17CA3CAA">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4485FF74">
            <w:pPr>
              <w:spacing w:line="320" w:lineRule="exact"/>
              <w:jc w:val="center"/>
              <w:rPr>
                <w:rFonts w:ascii="宋体" w:hAnsi="宋体" w:eastAsia="宋体" w:cs="Times New Roman"/>
                <w:color w:val="auto"/>
              </w:rPr>
            </w:pPr>
            <w:r>
              <w:rPr>
                <w:rFonts w:ascii="宋体" w:hAnsi="宋体" w:eastAsia="宋体" w:cs="Times New Roman"/>
                <w:color w:val="auto"/>
                <w:lang w:eastAsia="en-US"/>
              </w:rPr>
              <w:t>12.2255</w:t>
            </w:r>
          </w:p>
        </w:tc>
        <w:tc>
          <w:tcPr>
            <w:tcW w:w="794" w:type="dxa"/>
            <w:tcBorders>
              <w:top w:val="single" w:color="auto" w:sz="4" w:space="0"/>
              <w:tl2br w:val="nil"/>
              <w:tr2bl w:val="nil"/>
            </w:tcBorders>
            <w:vAlign w:val="center"/>
          </w:tcPr>
          <w:p w14:paraId="63A5D9BC">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0.611 </w:t>
            </w:r>
          </w:p>
        </w:tc>
        <w:tc>
          <w:tcPr>
            <w:tcW w:w="1262" w:type="dxa"/>
            <w:tcBorders>
              <w:top w:val="single" w:color="auto" w:sz="4" w:space="0"/>
              <w:tl2br w:val="nil"/>
              <w:tr2bl w:val="nil"/>
            </w:tcBorders>
            <w:vAlign w:val="center"/>
          </w:tcPr>
          <w:p w14:paraId="6C9EDDE8">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25B3FA9B">
            <w:pPr>
              <w:spacing w:line="320" w:lineRule="exact"/>
              <w:jc w:val="center"/>
              <w:rPr>
                <w:rFonts w:ascii="宋体" w:hAnsi="宋体" w:eastAsia="宋体" w:cs="Times New Roman"/>
                <w:color w:val="auto"/>
                <w:lang w:eastAsia="en-US"/>
              </w:rPr>
            </w:pPr>
            <w:r>
              <w:rPr>
                <w:rFonts w:ascii="宋体" w:hAnsi="宋体" w:eastAsia="宋体" w:cs="Times New Roman"/>
                <w:color w:val="auto"/>
              </w:rPr>
              <w:t>672.2255</w:t>
            </w:r>
          </w:p>
        </w:tc>
        <w:tc>
          <w:tcPr>
            <w:tcW w:w="836" w:type="dxa"/>
            <w:tcBorders>
              <w:top w:val="single" w:color="auto" w:sz="4" w:space="0"/>
              <w:tl2br w:val="nil"/>
              <w:tr2bl w:val="nil"/>
            </w:tcBorders>
            <w:vAlign w:val="center"/>
          </w:tcPr>
          <w:p w14:paraId="04A1C063">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33.611 </w:t>
            </w:r>
          </w:p>
        </w:tc>
        <w:tc>
          <w:tcPr>
            <w:tcW w:w="830" w:type="dxa"/>
            <w:tcBorders>
              <w:top w:val="single" w:color="auto" w:sz="4" w:space="0"/>
              <w:tl2br w:val="nil"/>
              <w:tr2bl w:val="nil"/>
            </w:tcBorders>
            <w:vAlign w:val="center"/>
          </w:tcPr>
          <w:p w14:paraId="4C5E52A8">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59017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4388425">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67327BBF">
            <w:pPr>
              <w:spacing w:line="320" w:lineRule="exact"/>
              <w:jc w:val="center"/>
              <w:rPr>
                <w:rFonts w:ascii="宋体" w:hAnsi="宋体" w:eastAsia="宋体" w:cs="Times New Roman"/>
                <w:color w:val="auto"/>
                <w:lang w:eastAsia="en-US"/>
              </w:rPr>
            </w:pPr>
            <w:r>
              <w:rPr>
                <w:rFonts w:ascii="宋体" w:hAnsi="宋体" w:eastAsia="宋体" w:cs="Times New Roman"/>
                <w:color w:val="auto"/>
              </w:rPr>
              <w:t>王家园子屯</w:t>
            </w:r>
          </w:p>
        </w:tc>
        <w:tc>
          <w:tcPr>
            <w:tcW w:w="810" w:type="dxa"/>
            <w:vMerge w:val="continue"/>
            <w:tcBorders>
              <w:tl2br w:val="nil"/>
              <w:tr2bl w:val="nil"/>
            </w:tcBorders>
            <w:vAlign w:val="center"/>
          </w:tcPr>
          <w:p w14:paraId="16C23557">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3385141C">
            <w:pPr>
              <w:spacing w:line="320" w:lineRule="exact"/>
              <w:jc w:val="center"/>
              <w:rPr>
                <w:rFonts w:ascii="宋体" w:hAnsi="宋体" w:eastAsia="宋体" w:cs="Times New Roman"/>
                <w:color w:val="auto"/>
              </w:rPr>
            </w:pPr>
            <w:r>
              <w:rPr>
                <w:rFonts w:ascii="宋体" w:hAnsi="宋体" w:eastAsia="宋体" w:cs="Times New Roman"/>
                <w:color w:val="auto"/>
                <w:lang w:eastAsia="en-US"/>
              </w:rPr>
              <w:t>42.82393</w:t>
            </w:r>
          </w:p>
        </w:tc>
        <w:tc>
          <w:tcPr>
            <w:tcW w:w="794" w:type="dxa"/>
            <w:tcBorders>
              <w:top w:val="single" w:color="auto" w:sz="4" w:space="0"/>
              <w:tl2br w:val="nil"/>
              <w:tr2bl w:val="nil"/>
            </w:tcBorders>
            <w:vAlign w:val="center"/>
          </w:tcPr>
          <w:p w14:paraId="13615748">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2.141 </w:t>
            </w:r>
          </w:p>
        </w:tc>
        <w:tc>
          <w:tcPr>
            <w:tcW w:w="1262" w:type="dxa"/>
            <w:tcBorders>
              <w:top w:val="single" w:color="auto" w:sz="4" w:space="0"/>
              <w:tl2br w:val="nil"/>
              <w:tr2bl w:val="nil"/>
            </w:tcBorders>
            <w:vAlign w:val="center"/>
          </w:tcPr>
          <w:p w14:paraId="185E2838">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6F39B59F">
            <w:pPr>
              <w:spacing w:line="320" w:lineRule="exact"/>
              <w:jc w:val="center"/>
              <w:rPr>
                <w:rFonts w:ascii="宋体" w:hAnsi="宋体" w:eastAsia="宋体" w:cs="Times New Roman"/>
                <w:color w:val="auto"/>
                <w:lang w:eastAsia="en-US"/>
              </w:rPr>
            </w:pPr>
            <w:r>
              <w:rPr>
                <w:rFonts w:ascii="宋体" w:hAnsi="宋体" w:eastAsia="宋体" w:cs="Times New Roman"/>
                <w:color w:val="auto"/>
              </w:rPr>
              <w:t>702.82393</w:t>
            </w:r>
          </w:p>
        </w:tc>
        <w:tc>
          <w:tcPr>
            <w:tcW w:w="836" w:type="dxa"/>
            <w:tcBorders>
              <w:top w:val="single" w:color="auto" w:sz="4" w:space="0"/>
              <w:tl2br w:val="nil"/>
              <w:tr2bl w:val="nil"/>
            </w:tcBorders>
            <w:vAlign w:val="center"/>
          </w:tcPr>
          <w:p w14:paraId="13F98755">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35.141 </w:t>
            </w:r>
          </w:p>
        </w:tc>
        <w:tc>
          <w:tcPr>
            <w:tcW w:w="830" w:type="dxa"/>
            <w:tcBorders>
              <w:top w:val="single" w:color="auto" w:sz="4" w:space="0"/>
              <w:tl2br w:val="nil"/>
              <w:tr2bl w:val="nil"/>
            </w:tcBorders>
            <w:vAlign w:val="center"/>
          </w:tcPr>
          <w:p w14:paraId="66C97103">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2EE1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2808816A">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69598065">
            <w:pPr>
              <w:spacing w:line="320" w:lineRule="exact"/>
              <w:jc w:val="center"/>
              <w:rPr>
                <w:rFonts w:ascii="宋体" w:hAnsi="宋体" w:eastAsia="宋体" w:cs="Times New Roman"/>
                <w:color w:val="auto"/>
                <w:lang w:eastAsia="en-US"/>
              </w:rPr>
            </w:pPr>
            <w:r>
              <w:rPr>
                <w:rFonts w:ascii="宋体" w:hAnsi="宋体" w:eastAsia="宋体" w:cs="Times New Roman"/>
                <w:color w:val="auto"/>
              </w:rPr>
              <w:t>和平乡</w:t>
            </w:r>
          </w:p>
        </w:tc>
        <w:tc>
          <w:tcPr>
            <w:tcW w:w="810" w:type="dxa"/>
            <w:vMerge w:val="continue"/>
            <w:tcBorders>
              <w:tl2br w:val="nil"/>
              <w:tr2bl w:val="nil"/>
            </w:tcBorders>
            <w:vAlign w:val="center"/>
          </w:tcPr>
          <w:p w14:paraId="299F8812">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6833EB29">
            <w:pPr>
              <w:spacing w:line="320" w:lineRule="exact"/>
              <w:jc w:val="center"/>
              <w:rPr>
                <w:rFonts w:ascii="宋体" w:hAnsi="宋体" w:eastAsia="宋体" w:cs="Times New Roman"/>
                <w:color w:val="auto"/>
              </w:rPr>
            </w:pPr>
            <w:r>
              <w:rPr>
                <w:rFonts w:ascii="宋体" w:hAnsi="宋体" w:eastAsia="宋体" w:cs="Times New Roman"/>
                <w:color w:val="auto"/>
                <w:lang w:eastAsia="en-US"/>
              </w:rPr>
              <w:t>12.1897</w:t>
            </w:r>
          </w:p>
        </w:tc>
        <w:tc>
          <w:tcPr>
            <w:tcW w:w="794" w:type="dxa"/>
            <w:tcBorders>
              <w:top w:val="single" w:color="auto" w:sz="4" w:space="0"/>
              <w:tl2br w:val="nil"/>
              <w:tr2bl w:val="nil"/>
            </w:tcBorders>
            <w:vAlign w:val="center"/>
          </w:tcPr>
          <w:p w14:paraId="2AD16ED2">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0.609 </w:t>
            </w:r>
          </w:p>
        </w:tc>
        <w:tc>
          <w:tcPr>
            <w:tcW w:w="1262" w:type="dxa"/>
            <w:tcBorders>
              <w:top w:val="single" w:color="auto" w:sz="4" w:space="0"/>
              <w:tl2br w:val="nil"/>
              <w:tr2bl w:val="nil"/>
            </w:tcBorders>
            <w:vAlign w:val="center"/>
          </w:tcPr>
          <w:p w14:paraId="3F95297C">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5865408E">
            <w:pPr>
              <w:spacing w:line="320" w:lineRule="exact"/>
              <w:jc w:val="center"/>
              <w:rPr>
                <w:rFonts w:ascii="宋体" w:hAnsi="宋体" w:eastAsia="宋体" w:cs="Times New Roman"/>
                <w:color w:val="auto"/>
                <w:lang w:eastAsia="en-US"/>
              </w:rPr>
            </w:pPr>
            <w:r>
              <w:rPr>
                <w:rFonts w:ascii="宋体" w:hAnsi="宋体" w:eastAsia="宋体" w:cs="Times New Roman"/>
                <w:color w:val="auto"/>
              </w:rPr>
              <w:t>672.1897</w:t>
            </w:r>
          </w:p>
        </w:tc>
        <w:tc>
          <w:tcPr>
            <w:tcW w:w="836" w:type="dxa"/>
            <w:tcBorders>
              <w:top w:val="single" w:color="auto" w:sz="4" w:space="0"/>
              <w:tl2br w:val="nil"/>
              <w:tr2bl w:val="nil"/>
            </w:tcBorders>
            <w:vAlign w:val="center"/>
          </w:tcPr>
          <w:p w14:paraId="3F6A5E81">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33.609 </w:t>
            </w:r>
          </w:p>
        </w:tc>
        <w:tc>
          <w:tcPr>
            <w:tcW w:w="830" w:type="dxa"/>
            <w:tcBorders>
              <w:top w:val="single" w:color="auto" w:sz="4" w:space="0"/>
              <w:tl2br w:val="nil"/>
              <w:tr2bl w:val="nil"/>
            </w:tcBorders>
            <w:vAlign w:val="center"/>
          </w:tcPr>
          <w:p w14:paraId="6EB84950">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58B4E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179512F9">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4D05A409">
            <w:pPr>
              <w:spacing w:line="320" w:lineRule="exact"/>
              <w:jc w:val="center"/>
              <w:rPr>
                <w:rFonts w:ascii="宋体" w:hAnsi="宋体" w:eastAsia="宋体" w:cs="Times New Roman"/>
                <w:color w:val="auto"/>
                <w:lang w:eastAsia="en-US"/>
              </w:rPr>
            </w:pPr>
            <w:r>
              <w:rPr>
                <w:rFonts w:ascii="宋体" w:hAnsi="宋体" w:eastAsia="宋体" w:cs="Times New Roman"/>
                <w:color w:val="auto"/>
              </w:rPr>
              <w:t>赵家围子屯</w:t>
            </w:r>
          </w:p>
        </w:tc>
        <w:tc>
          <w:tcPr>
            <w:tcW w:w="810" w:type="dxa"/>
            <w:vMerge w:val="continue"/>
            <w:tcBorders>
              <w:tl2br w:val="nil"/>
              <w:tr2bl w:val="nil"/>
            </w:tcBorders>
            <w:vAlign w:val="center"/>
          </w:tcPr>
          <w:p w14:paraId="6C72D558">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0C6F7646">
            <w:pPr>
              <w:spacing w:line="320" w:lineRule="exact"/>
              <w:jc w:val="center"/>
              <w:rPr>
                <w:rFonts w:ascii="宋体" w:hAnsi="宋体" w:eastAsia="宋体" w:cs="Times New Roman"/>
                <w:color w:val="auto"/>
              </w:rPr>
            </w:pPr>
            <w:r>
              <w:rPr>
                <w:rFonts w:ascii="宋体" w:hAnsi="宋体" w:eastAsia="宋体" w:cs="Times New Roman"/>
                <w:color w:val="auto"/>
                <w:lang w:eastAsia="en-US"/>
              </w:rPr>
              <w:t>12.18365</w:t>
            </w:r>
          </w:p>
        </w:tc>
        <w:tc>
          <w:tcPr>
            <w:tcW w:w="794" w:type="dxa"/>
            <w:tcBorders>
              <w:top w:val="single" w:color="auto" w:sz="4" w:space="0"/>
              <w:tl2br w:val="nil"/>
              <w:tr2bl w:val="nil"/>
            </w:tcBorders>
            <w:vAlign w:val="center"/>
          </w:tcPr>
          <w:p w14:paraId="2B192516">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0.609 </w:t>
            </w:r>
          </w:p>
        </w:tc>
        <w:tc>
          <w:tcPr>
            <w:tcW w:w="1262" w:type="dxa"/>
            <w:tcBorders>
              <w:top w:val="single" w:color="auto" w:sz="4" w:space="0"/>
              <w:tl2br w:val="nil"/>
              <w:tr2bl w:val="nil"/>
            </w:tcBorders>
            <w:vAlign w:val="center"/>
          </w:tcPr>
          <w:p w14:paraId="7EB085AB">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5504F8AA">
            <w:pPr>
              <w:spacing w:line="320" w:lineRule="exact"/>
              <w:jc w:val="center"/>
              <w:rPr>
                <w:rFonts w:ascii="宋体" w:hAnsi="宋体" w:eastAsia="宋体" w:cs="Times New Roman"/>
                <w:color w:val="auto"/>
                <w:lang w:eastAsia="en-US"/>
              </w:rPr>
            </w:pPr>
            <w:r>
              <w:rPr>
                <w:rFonts w:ascii="宋体" w:hAnsi="宋体" w:eastAsia="宋体" w:cs="Times New Roman"/>
                <w:color w:val="auto"/>
              </w:rPr>
              <w:t>672.18365</w:t>
            </w:r>
          </w:p>
        </w:tc>
        <w:tc>
          <w:tcPr>
            <w:tcW w:w="836" w:type="dxa"/>
            <w:tcBorders>
              <w:top w:val="single" w:color="auto" w:sz="4" w:space="0"/>
              <w:tl2br w:val="nil"/>
              <w:tr2bl w:val="nil"/>
            </w:tcBorders>
            <w:vAlign w:val="center"/>
          </w:tcPr>
          <w:p w14:paraId="3AC4823A">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33.609 </w:t>
            </w:r>
          </w:p>
        </w:tc>
        <w:tc>
          <w:tcPr>
            <w:tcW w:w="830" w:type="dxa"/>
            <w:tcBorders>
              <w:top w:val="single" w:color="auto" w:sz="4" w:space="0"/>
              <w:tl2br w:val="nil"/>
              <w:tr2bl w:val="nil"/>
            </w:tcBorders>
            <w:vAlign w:val="center"/>
          </w:tcPr>
          <w:p w14:paraId="1FC4B733">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42D92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2F347AD3">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0B58C70C">
            <w:pPr>
              <w:spacing w:line="320" w:lineRule="exact"/>
              <w:jc w:val="center"/>
              <w:rPr>
                <w:rFonts w:ascii="宋体" w:hAnsi="宋体" w:eastAsia="宋体" w:cs="Times New Roman"/>
                <w:color w:val="auto"/>
                <w:lang w:eastAsia="en-US"/>
              </w:rPr>
            </w:pPr>
            <w:r>
              <w:rPr>
                <w:rFonts w:ascii="宋体" w:hAnsi="宋体" w:eastAsia="宋体" w:cs="Times New Roman"/>
                <w:color w:val="auto"/>
              </w:rPr>
              <w:t>吴家围子屯</w:t>
            </w:r>
          </w:p>
        </w:tc>
        <w:tc>
          <w:tcPr>
            <w:tcW w:w="810" w:type="dxa"/>
            <w:vMerge w:val="continue"/>
            <w:tcBorders>
              <w:tl2br w:val="nil"/>
              <w:tr2bl w:val="nil"/>
            </w:tcBorders>
            <w:vAlign w:val="center"/>
          </w:tcPr>
          <w:p w14:paraId="67D8DB64">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056588D6">
            <w:pPr>
              <w:spacing w:line="320" w:lineRule="exact"/>
              <w:jc w:val="center"/>
              <w:rPr>
                <w:rFonts w:ascii="宋体" w:hAnsi="宋体" w:eastAsia="宋体" w:cs="Times New Roman"/>
                <w:color w:val="auto"/>
              </w:rPr>
            </w:pPr>
            <w:r>
              <w:rPr>
                <w:rFonts w:ascii="宋体" w:hAnsi="宋体" w:eastAsia="宋体" w:cs="Times New Roman"/>
                <w:color w:val="auto"/>
                <w:lang w:eastAsia="en-US"/>
              </w:rPr>
              <w:t>8.13096</w:t>
            </w:r>
          </w:p>
        </w:tc>
        <w:tc>
          <w:tcPr>
            <w:tcW w:w="794" w:type="dxa"/>
            <w:tcBorders>
              <w:top w:val="single" w:color="auto" w:sz="4" w:space="0"/>
              <w:tl2br w:val="nil"/>
              <w:tr2bl w:val="nil"/>
            </w:tcBorders>
            <w:vAlign w:val="center"/>
          </w:tcPr>
          <w:p w14:paraId="233F36BC">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0.407 </w:t>
            </w:r>
          </w:p>
        </w:tc>
        <w:tc>
          <w:tcPr>
            <w:tcW w:w="1262" w:type="dxa"/>
            <w:tcBorders>
              <w:top w:val="single" w:color="auto" w:sz="4" w:space="0"/>
              <w:tl2br w:val="nil"/>
              <w:tr2bl w:val="nil"/>
            </w:tcBorders>
            <w:vAlign w:val="center"/>
          </w:tcPr>
          <w:p w14:paraId="4B239E97">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3087EDF5">
            <w:pPr>
              <w:spacing w:line="320" w:lineRule="exact"/>
              <w:jc w:val="center"/>
              <w:rPr>
                <w:rFonts w:ascii="宋体" w:hAnsi="宋体" w:eastAsia="宋体" w:cs="Times New Roman"/>
                <w:color w:val="auto"/>
                <w:lang w:eastAsia="en-US"/>
              </w:rPr>
            </w:pPr>
            <w:r>
              <w:rPr>
                <w:rFonts w:ascii="宋体" w:hAnsi="宋体" w:eastAsia="宋体" w:cs="Times New Roman"/>
                <w:color w:val="auto"/>
              </w:rPr>
              <w:t>668.13096</w:t>
            </w:r>
          </w:p>
        </w:tc>
        <w:tc>
          <w:tcPr>
            <w:tcW w:w="836" w:type="dxa"/>
            <w:tcBorders>
              <w:top w:val="single" w:color="auto" w:sz="4" w:space="0"/>
              <w:tl2br w:val="nil"/>
              <w:tr2bl w:val="nil"/>
            </w:tcBorders>
            <w:vAlign w:val="center"/>
          </w:tcPr>
          <w:p w14:paraId="69C0A771">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33.407 </w:t>
            </w:r>
          </w:p>
        </w:tc>
        <w:tc>
          <w:tcPr>
            <w:tcW w:w="830" w:type="dxa"/>
            <w:tcBorders>
              <w:top w:val="single" w:color="auto" w:sz="4" w:space="0"/>
              <w:tl2br w:val="nil"/>
              <w:tr2bl w:val="nil"/>
            </w:tcBorders>
            <w:vAlign w:val="center"/>
          </w:tcPr>
          <w:p w14:paraId="1EE49948">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5CB18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1F1F4655">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0DD9F43D">
            <w:pPr>
              <w:spacing w:line="320" w:lineRule="exact"/>
              <w:jc w:val="center"/>
              <w:rPr>
                <w:rFonts w:ascii="宋体" w:hAnsi="宋体" w:eastAsia="宋体" w:cs="Times New Roman"/>
                <w:color w:val="auto"/>
                <w:lang w:eastAsia="en-US"/>
              </w:rPr>
            </w:pPr>
            <w:r>
              <w:rPr>
                <w:rFonts w:ascii="宋体" w:hAnsi="宋体" w:eastAsia="宋体" w:cs="Times New Roman"/>
                <w:color w:val="auto"/>
              </w:rPr>
              <w:t>孙家围子屯</w:t>
            </w:r>
          </w:p>
        </w:tc>
        <w:tc>
          <w:tcPr>
            <w:tcW w:w="810" w:type="dxa"/>
            <w:vMerge w:val="continue"/>
            <w:tcBorders>
              <w:tl2br w:val="nil"/>
              <w:tr2bl w:val="nil"/>
            </w:tcBorders>
            <w:vAlign w:val="center"/>
          </w:tcPr>
          <w:p w14:paraId="7D7B74F7">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04431967">
            <w:pPr>
              <w:spacing w:line="320" w:lineRule="exact"/>
              <w:jc w:val="center"/>
              <w:rPr>
                <w:rFonts w:ascii="宋体" w:hAnsi="宋体" w:eastAsia="宋体" w:cs="Times New Roman"/>
                <w:color w:val="auto"/>
              </w:rPr>
            </w:pPr>
            <w:r>
              <w:rPr>
                <w:rFonts w:ascii="宋体" w:hAnsi="宋体" w:eastAsia="宋体" w:cs="Times New Roman"/>
                <w:color w:val="auto"/>
                <w:lang w:eastAsia="en-US"/>
              </w:rPr>
              <w:t>8.99314</w:t>
            </w:r>
          </w:p>
        </w:tc>
        <w:tc>
          <w:tcPr>
            <w:tcW w:w="794" w:type="dxa"/>
            <w:tcBorders>
              <w:top w:val="single" w:color="auto" w:sz="4" w:space="0"/>
              <w:tl2br w:val="nil"/>
              <w:tr2bl w:val="nil"/>
            </w:tcBorders>
            <w:vAlign w:val="center"/>
          </w:tcPr>
          <w:p w14:paraId="1D3226AA">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0.450 </w:t>
            </w:r>
          </w:p>
        </w:tc>
        <w:tc>
          <w:tcPr>
            <w:tcW w:w="1262" w:type="dxa"/>
            <w:tcBorders>
              <w:top w:val="single" w:color="auto" w:sz="4" w:space="0"/>
              <w:tl2br w:val="nil"/>
              <w:tr2bl w:val="nil"/>
            </w:tcBorders>
            <w:vAlign w:val="center"/>
          </w:tcPr>
          <w:p w14:paraId="2801FB9C">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6F1E5DD2">
            <w:pPr>
              <w:spacing w:line="320" w:lineRule="exact"/>
              <w:jc w:val="center"/>
              <w:rPr>
                <w:rFonts w:ascii="宋体" w:hAnsi="宋体" w:eastAsia="宋体" w:cs="Times New Roman"/>
                <w:color w:val="auto"/>
                <w:lang w:eastAsia="en-US"/>
              </w:rPr>
            </w:pPr>
            <w:r>
              <w:rPr>
                <w:rFonts w:ascii="宋体" w:hAnsi="宋体" w:eastAsia="宋体" w:cs="Times New Roman"/>
                <w:color w:val="auto"/>
              </w:rPr>
              <w:t>668.99314</w:t>
            </w:r>
          </w:p>
        </w:tc>
        <w:tc>
          <w:tcPr>
            <w:tcW w:w="836" w:type="dxa"/>
            <w:tcBorders>
              <w:top w:val="single" w:color="auto" w:sz="4" w:space="0"/>
              <w:tl2br w:val="nil"/>
              <w:tr2bl w:val="nil"/>
            </w:tcBorders>
            <w:vAlign w:val="center"/>
          </w:tcPr>
          <w:p w14:paraId="7B022C6F">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33.450 </w:t>
            </w:r>
          </w:p>
        </w:tc>
        <w:tc>
          <w:tcPr>
            <w:tcW w:w="830" w:type="dxa"/>
            <w:tcBorders>
              <w:top w:val="single" w:color="auto" w:sz="4" w:space="0"/>
              <w:tl2br w:val="nil"/>
              <w:tr2bl w:val="nil"/>
            </w:tcBorders>
            <w:vAlign w:val="center"/>
          </w:tcPr>
          <w:p w14:paraId="1D6F94F0">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48829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21089DBD">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62981C2C">
            <w:pPr>
              <w:spacing w:line="320" w:lineRule="exact"/>
              <w:jc w:val="center"/>
              <w:rPr>
                <w:rFonts w:ascii="宋体" w:hAnsi="宋体" w:eastAsia="宋体" w:cs="Times New Roman"/>
                <w:color w:val="auto"/>
                <w:lang w:eastAsia="en-US"/>
              </w:rPr>
            </w:pPr>
            <w:r>
              <w:rPr>
                <w:rFonts w:ascii="宋体" w:hAnsi="宋体" w:eastAsia="宋体" w:cs="Times New Roman"/>
                <w:color w:val="auto"/>
              </w:rPr>
              <w:t>四方山屯</w:t>
            </w:r>
          </w:p>
        </w:tc>
        <w:tc>
          <w:tcPr>
            <w:tcW w:w="810" w:type="dxa"/>
            <w:vMerge w:val="continue"/>
            <w:tcBorders>
              <w:tl2br w:val="nil"/>
              <w:tr2bl w:val="nil"/>
            </w:tcBorders>
            <w:vAlign w:val="center"/>
          </w:tcPr>
          <w:p w14:paraId="007DACE3">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705E3F54">
            <w:pPr>
              <w:spacing w:line="320" w:lineRule="exact"/>
              <w:jc w:val="center"/>
              <w:rPr>
                <w:rFonts w:ascii="宋体" w:hAnsi="宋体" w:eastAsia="宋体" w:cs="Times New Roman"/>
                <w:color w:val="auto"/>
              </w:rPr>
            </w:pPr>
            <w:r>
              <w:rPr>
                <w:rFonts w:ascii="宋体" w:hAnsi="宋体" w:eastAsia="宋体" w:cs="Times New Roman"/>
                <w:color w:val="auto"/>
                <w:lang w:eastAsia="en-US"/>
              </w:rPr>
              <w:t>5.47459</w:t>
            </w:r>
          </w:p>
        </w:tc>
        <w:tc>
          <w:tcPr>
            <w:tcW w:w="794" w:type="dxa"/>
            <w:tcBorders>
              <w:top w:val="single" w:color="auto" w:sz="4" w:space="0"/>
              <w:tl2br w:val="nil"/>
              <w:tr2bl w:val="nil"/>
            </w:tcBorders>
            <w:vAlign w:val="center"/>
          </w:tcPr>
          <w:p w14:paraId="6AB06290">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0.274 </w:t>
            </w:r>
          </w:p>
        </w:tc>
        <w:tc>
          <w:tcPr>
            <w:tcW w:w="1262" w:type="dxa"/>
            <w:tcBorders>
              <w:top w:val="single" w:color="auto" w:sz="4" w:space="0"/>
              <w:tl2br w:val="nil"/>
              <w:tr2bl w:val="nil"/>
            </w:tcBorders>
            <w:vAlign w:val="center"/>
          </w:tcPr>
          <w:p w14:paraId="0BC22D05">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3345D236">
            <w:pPr>
              <w:spacing w:line="320" w:lineRule="exact"/>
              <w:jc w:val="center"/>
              <w:rPr>
                <w:rFonts w:ascii="宋体" w:hAnsi="宋体" w:eastAsia="宋体" w:cs="Times New Roman"/>
                <w:color w:val="auto"/>
                <w:lang w:eastAsia="en-US"/>
              </w:rPr>
            </w:pPr>
            <w:r>
              <w:rPr>
                <w:rFonts w:ascii="宋体" w:hAnsi="宋体" w:eastAsia="宋体" w:cs="Times New Roman"/>
                <w:color w:val="auto"/>
              </w:rPr>
              <w:t>665.47459</w:t>
            </w:r>
          </w:p>
        </w:tc>
        <w:tc>
          <w:tcPr>
            <w:tcW w:w="836" w:type="dxa"/>
            <w:tcBorders>
              <w:top w:val="single" w:color="auto" w:sz="4" w:space="0"/>
              <w:tl2br w:val="nil"/>
              <w:tr2bl w:val="nil"/>
            </w:tcBorders>
            <w:vAlign w:val="center"/>
          </w:tcPr>
          <w:p w14:paraId="189E40B4">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33.274 </w:t>
            </w:r>
          </w:p>
        </w:tc>
        <w:tc>
          <w:tcPr>
            <w:tcW w:w="830" w:type="dxa"/>
            <w:tcBorders>
              <w:top w:val="single" w:color="auto" w:sz="4" w:space="0"/>
              <w:tl2br w:val="nil"/>
              <w:tr2bl w:val="nil"/>
            </w:tcBorders>
            <w:vAlign w:val="center"/>
          </w:tcPr>
          <w:p w14:paraId="0A250020">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30310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5404BB14">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5489D00C">
            <w:pPr>
              <w:spacing w:line="320" w:lineRule="exact"/>
              <w:jc w:val="center"/>
              <w:rPr>
                <w:rFonts w:ascii="宋体" w:hAnsi="宋体" w:eastAsia="宋体" w:cs="Times New Roman"/>
                <w:color w:val="auto"/>
                <w:lang w:eastAsia="en-US"/>
              </w:rPr>
            </w:pPr>
            <w:r>
              <w:rPr>
                <w:rFonts w:ascii="宋体" w:hAnsi="宋体" w:eastAsia="宋体" w:cs="Times New Roman"/>
                <w:color w:val="auto"/>
              </w:rPr>
              <w:t>小东屯</w:t>
            </w:r>
          </w:p>
        </w:tc>
        <w:tc>
          <w:tcPr>
            <w:tcW w:w="810" w:type="dxa"/>
            <w:vMerge w:val="continue"/>
            <w:tcBorders>
              <w:tl2br w:val="nil"/>
              <w:tr2bl w:val="nil"/>
            </w:tcBorders>
            <w:vAlign w:val="center"/>
          </w:tcPr>
          <w:p w14:paraId="45FF37C6">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6B0B717B">
            <w:pPr>
              <w:spacing w:line="320" w:lineRule="exact"/>
              <w:jc w:val="center"/>
              <w:rPr>
                <w:rFonts w:ascii="宋体" w:hAnsi="宋体" w:eastAsia="宋体" w:cs="Times New Roman"/>
                <w:color w:val="auto"/>
              </w:rPr>
            </w:pPr>
            <w:r>
              <w:rPr>
                <w:rFonts w:ascii="宋体" w:hAnsi="宋体" w:eastAsia="宋体" w:cs="Times New Roman"/>
                <w:color w:val="auto"/>
                <w:lang w:eastAsia="en-US"/>
              </w:rPr>
              <w:t>6.30923</w:t>
            </w:r>
          </w:p>
        </w:tc>
        <w:tc>
          <w:tcPr>
            <w:tcW w:w="794" w:type="dxa"/>
            <w:tcBorders>
              <w:top w:val="single" w:color="auto" w:sz="4" w:space="0"/>
              <w:tl2br w:val="nil"/>
              <w:tr2bl w:val="nil"/>
            </w:tcBorders>
            <w:vAlign w:val="center"/>
          </w:tcPr>
          <w:p w14:paraId="310D719F">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0.315 </w:t>
            </w:r>
          </w:p>
        </w:tc>
        <w:tc>
          <w:tcPr>
            <w:tcW w:w="1262" w:type="dxa"/>
            <w:tcBorders>
              <w:top w:val="single" w:color="auto" w:sz="4" w:space="0"/>
              <w:tl2br w:val="nil"/>
              <w:tr2bl w:val="nil"/>
            </w:tcBorders>
            <w:vAlign w:val="center"/>
          </w:tcPr>
          <w:p w14:paraId="6BCCB700">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27957DD4">
            <w:pPr>
              <w:spacing w:line="320" w:lineRule="exact"/>
              <w:jc w:val="center"/>
              <w:rPr>
                <w:rFonts w:ascii="宋体" w:hAnsi="宋体" w:eastAsia="宋体" w:cs="Times New Roman"/>
                <w:color w:val="auto"/>
                <w:lang w:eastAsia="en-US"/>
              </w:rPr>
            </w:pPr>
            <w:r>
              <w:rPr>
                <w:rFonts w:ascii="宋体" w:hAnsi="宋体" w:eastAsia="宋体" w:cs="Times New Roman"/>
                <w:color w:val="auto"/>
              </w:rPr>
              <w:t>666.30923</w:t>
            </w:r>
          </w:p>
        </w:tc>
        <w:tc>
          <w:tcPr>
            <w:tcW w:w="836" w:type="dxa"/>
            <w:tcBorders>
              <w:top w:val="single" w:color="auto" w:sz="4" w:space="0"/>
              <w:tl2br w:val="nil"/>
              <w:tr2bl w:val="nil"/>
            </w:tcBorders>
            <w:vAlign w:val="center"/>
          </w:tcPr>
          <w:p w14:paraId="2D08E730">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33.315 </w:t>
            </w:r>
          </w:p>
        </w:tc>
        <w:tc>
          <w:tcPr>
            <w:tcW w:w="830" w:type="dxa"/>
            <w:tcBorders>
              <w:top w:val="single" w:color="auto" w:sz="4" w:space="0"/>
              <w:tl2br w:val="nil"/>
              <w:tr2bl w:val="nil"/>
            </w:tcBorders>
            <w:vAlign w:val="center"/>
          </w:tcPr>
          <w:p w14:paraId="4999E69E">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2A6AA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505E278">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2DCE089C">
            <w:pPr>
              <w:spacing w:line="320" w:lineRule="exact"/>
              <w:jc w:val="center"/>
              <w:rPr>
                <w:rFonts w:ascii="宋体" w:hAnsi="宋体" w:eastAsia="宋体" w:cs="Times New Roman"/>
                <w:color w:val="auto"/>
                <w:lang w:eastAsia="en-US"/>
              </w:rPr>
            </w:pPr>
            <w:r>
              <w:rPr>
                <w:rFonts w:ascii="宋体" w:hAnsi="宋体" w:eastAsia="宋体" w:cs="Times New Roman"/>
                <w:color w:val="auto"/>
              </w:rPr>
              <w:t>奎中里屯</w:t>
            </w:r>
          </w:p>
        </w:tc>
        <w:tc>
          <w:tcPr>
            <w:tcW w:w="810" w:type="dxa"/>
            <w:vMerge w:val="continue"/>
            <w:tcBorders>
              <w:tl2br w:val="nil"/>
              <w:tr2bl w:val="nil"/>
            </w:tcBorders>
            <w:vAlign w:val="center"/>
          </w:tcPr>
          <w:p w14:paraId="542D1B8B">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6186794A">
            <w:pPr>
              <w:spacing w:line="320" w:lineRule="exact"/>
              <w:jc w:val="center"/>
              <w:rPr>
                <w:rFonts w:ascii="宋体" w:hAnsi="宋体" w:eastAsia="宋体" w:cs="Times New Roman"/>
                <w:color w:val="auto"/>
              </w:rPr>
            </w:pPr>
            <w:r>
              <w:rPr>
                <w:rFonts w:ascii="宋体" w:hAnsi="宋体" w:eastAsia="宋体" w:cs="Times New Roman"/>
                <w:color w:val="auto"/>
                <w:lang w:eastAsia="en-US"/>
              </w:rPr>
              <w:t>4.90166</w:t>
            </w:r>
          </w:p>
        </w:tc>
        <w:tc>
          <w:tcPr>
            <w:tcW w:w="794" w:type="dxa"/>
            <w:tcBorders>
              <w:top w:val="single" w:color="auto" w:sz="4" w:space="0"/>
              <w:tl2br w:val="nil"/>
              <w:tr2bl w:val="nil"/>
            </w:tcBorders>
            <w:vAlign w:val="center"/>
          </w:tcPr>
          <w:p w14:paraId="7EE7E4E5">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0.245 </w:t>
            </w:r>
          </w:p>
        </w:tc>
        <w:tc>
          <w:tcPr>
            <w:tcW w:w="1262" w:type="dxa"/>
            <w:tcBorders>
              <w:top w:val="single" w:color="auto" w:sz="4" w:space="0"/>
              <w:tl2br w:val="nil"/>
              <w:tr2bl w:val="nil"/>
            </w:tcBorders>
            <w:vAlign w:val="center"/>
          </w:tcPr>
          <w:p w14:paraId="21451D4E">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7381F367">
            <w:pPr>
              <w:spacing w:line="320" w:lineRule="exact"/>
              <w:jc w:val="center"/>
              <w:rPr>
                <w:rFonts w:ascii="宋体" w:hAnsi="宋体" w:eastAsia="宋体" w:cs="Times New Roman"/>
                <w:color w:val="auto"/>
                <w:lang w:eastAsia="en-US"/>
              </w:rPr>
            </w:pPr>
            <w:r>
              <w:rPr>
                <w:rFonts w:ascii="宋体" w:hAnsi="宋体" w:eastAsia="宋体" w:cs="Times New Roman"/>
                <w:color w:val="auto"/>
              </w:rPr>
              <w:t>664.90166</w:t>
            </w:r>
          </w:p>
        </w:tc>
        <w:tc>
          <w:tcPr>
            <w:tcW w:w="836" w:type="dxa"/>
            <w:tcBorders>
              <w:top w:val="single" w:color="auto" w:sz="4" w:space="0"/>
              <w:tl2br w:val="nil"/>
              <w:tr2bl w:val="nil"/>
            </w:tcBorders>
            <w:vAlign w:val="center"/>
          </w:tcPr>
          <w:p w14:paraId="5B63ADDA">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33.245 </w:t>
            </w:r>
          </w:p>
        </w:tc>
        <w:tc>
          <w:tcPr>
            <w:tcW w:w="830" w:type="dxa"/>
            <w:tcBorders>
              <w:top w:val="single" w:color="auto" w:sz="4" w:space="0"/>
              <w:tl2br w:val="nil"/>
              <w:tr2bl w:val="nil"/>
            </w:tcBorders>
            <w:vAlign w:val="center"/>
          </w:tcPr>
          <w:p w14:paraId="1A1172B8">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09FA6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598530C3">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65AC91BD">
            <w:pPr>
              <w:spacing w:line="320" w:lineRule="exact"/>
              <w:jc w:val="center"/>
              <w:rPr>
                <w:rFonts w:ascii="宋体" w:hAnsi="宋体" w:eastAsia="宋体" w:cs="Times New Roman"/>
                <w:color w:val="auto"/>
                <w:lang w:eastAsia="en-US"/>
              </w:rPr>
            </w:pPr>
            <w:r>
              <w:rPr>
                <w:rFonts w:ascii="宋体" w:hAnsi="宋体" w:eastAsia="宋体" w:cs="Times New Roman"/>
                <w:color w:val="auto"/>
              </w:rPr>
              <w:t>东兴村</w:t>
            </w:r>
          </w:p>
        </w:tc>
        <w:tc>
          <w:tcPr>
            <w:tcW w:w="810" w:type="dxa"/>
            <w:vMerge w:val="continue"/>
            <w:tcBorders>
              <w:tl2br w:val="nil"/>
              <w:tr2bl w:val="nil"/>
            </w:tcBorders>
            <w:vAlign w:val="center"/>
          </w:tcPr>
          <w:p w14:paraId="285FE4E4">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01DCC185">
            <w:pPr>
              <w:spacing w:line="320" w:lineRule="exact"/>
              <w:jc w:val="center"/>
              <w:rPr>
                <w:rFonts w:ascii="宋体" w:hAnsi="宋体" w:eastAsia="宋体" w:cs="Times New Roman"/>
                <w:color w:val="auto"/>
              </w:rPr>
            </w:pPr>
            <w:r>
              <w:rPr>
                <w:rFonts w:ascii="宋体" w:hAnsi="宋体" w:eastAsia="宋体" w:cs="Times New Roman"/>
                <w:color w:val="auto"/>
                <w:lang w:eastAsia="en-US"/>
              </w:rPr>
              <w:t>3.89358</w:t>
            </w:r>
          </w:p>
        </w:tc>
        <w:tc>
          <w:tcPr>
            <w:tcW w:w="794" w:type="dxa"/>
            <w:tcBorders>
              <w:top w:val="single" w:color="auto" w:sz="4" w:space="0"/>
              <w:tl2br w:val="nil"/>
              <w:tr2bl w:val="nil"/>
            </w:tcBorders>
            <w:vAlign w:val="center"/>
          </w:tcPr>
          <w:p w14:paraId="0CF8B1C2">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0.195 </w:t>
            </w:r>
          </w:p>
        </w:tc>
        <w:tc>
          <w:tcPr>
            <w:tcW w:w="1262" w:type="dxa"/>
            <w:tcBorders>
              <w:top w:val="single" w:color="auto" w:sz="4" w:space="0"/>
              <w:tl2br w:val="nil"/>
              <w:tr2bl w:val="nil"/>
            </w:tcBorders>
            <w:vAlign w:val="center"/>
          </w:tcPr>
          <w:p w14:paraId="3BC819EC">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06975748">
            <w:pPr>
              <w:spacing w:line="320" w:lineRule="exact"/>
              <w:jc w:val="center"/>
              <w:rPr>
                <w:rFonts w:ascii="宋体" w:hAnsi="宋体" w:eastAsia="宋体" w:cs="Times New Roman"/>
                <w:color w:val="auto"/>
                <w:lang w:eastAsia="en-US"/>
              </w:rPr>
            </w:pPr>
            <w:r>
              <w:rPr>
                <w:rFonts w:ascii="宋体" w:hAnsi="宋体" w:eastAsia="宋体" w:cs="Times New Roman"/>
                <w:color w:val="auto"/>
              </w:rPr>
              <w:t>663.89358</w:t>
            </w:r>
          </w:p>
        </w:tc>
        <w:tc>
          <w:tcPr>
            <w:tcW w:w="836" w:type="dxa"/>
            <w:tcBorders>
              <w:top w:val="single" w:color="auto" w:sz="4" w:space="0"/>
              <w:tl2br w:val="nil"/>
              <w:tr2bl w:val="nil"/>
            </w:tcBorders>
            <w:vAlign w:val="center"/>
          </w:tcPr>
          <w:p w14:paraId="76FC2691">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33.195 </w:t>
            </w:r>
          </w:p>
        </w:tc>
        <w:tc>
          <w:tcPr>
            <w:tcW w:w="830" w:type="dxa"/>
            <w:tcBorders>
              <w:top w:val="single" w:color="auto" w:sz="4" w:space="0"/>
              <w:tl2br w:val="nil"/>
              <w:tr2bl w:val="nil"/>
            </w:tcBorders>
            <w:vAlign w:val="center"/>
          </w:tcPr>
          <w:p w14:paraId="42607878">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27319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7508C7A">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182A1397">
            <w:pPr>
              <w:spacing w:line="320" w:lineRule="exact"/>
              <w:jc w:val="center"/>
              <w:rPr>
                <w:rFonts w:ascii="宋体" w:hAnsi="宋体" w:eastAsia="宋体" w:cs="Times New Roman"/>
                <w:color w:val="auto"/>
                <w:lang w:eastAsia="en-US"/>
              </w:rPr>
            </w:pPr>
            <w:r>
              <w:rPr>
                <w:rFonts w:ascii="宋体" w:hAnsi="宋体" w:eastAsia="宋体" w:cs="Times New Roman"/>
                <w:color w:val="auto"/>
              </w:rPr>
              <w:t>迟家屯</w:t>
            </w:r>
          </w:p>
        </w:tc>
        <w:tc>
          <w:tcPr>
            <w:tcW w:w="810" w:type="dxa"/>
            <w:vMerge w:val="continue"/>
            <w:tcBorders>
              <w:tl2br w:val="nil"/>
              <w:tr2bl w:val="nil"/>
            </w:tcBorders>
            <w:vAlign w:val="center"/>
          </w:tcPr>
          <w:p w14:paraId="213E5795">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6FB2ACCB">
            <w:pPr>
              <w:spacing w:line="320" w:lineRule="exact"/>
              <w:jc w:val="center"/>
              <w:rPr>
                <w:rFonts w:ascii="宋体" w:hAnsi="宋体" w:eastAsia="宋体" w:cs="Times New Roman"/>
                <w:color w:val="auto"/>
              </w:rPr>
            </w:pPr>
            <w:r>
              <w:rPr>
                <w:rFonts w:ascii="宋体" w:hAnsi="宋体" w:eastAsia="宋体" w:cs="Times New Roman"/>
                <w:color w:val="auto"/>
                <w:lang w:eastAsia="en-US"/>
              </w:rPr>
              <w:t>3.77413</w:t>
            </w:r>
          </w:p>
        </w:tc>
        <w:tc>
          <w:tcPr>
            <w:tcW w:w="794" w:type="dxa"/>
            <w:tcBorders>
              <w:top w:val="single" w:color="auto" w:sz="4" w:space="0"/>
              <w:tl2br w:val="nil"/>
              <w:tr2bl w:val="nil"/>
            </w:tcBorders>
            <w:vAlign w:val="center"/>
          </w:tcPr>
          <w:p w14:paraId="349BD465">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0.189 </w:t>
            </w:r>
          </w:p>
        </w:tc>
        <w:tc>
          <w:tcPr>
            <w:tcW w:w="1262" w:type="dxa"/>
            <w:tcBorders>
              <w:top w:val="single" w:color="auto" w:sz="4" w:space="0"/>
              <w:tl2br w:val="nil"/>
              <w:tr2bl w:val="nil"/>
            </w:tcBorders>
            <w:vAlign w:val="center"/>
          </w:tcPr>
          <w:p w14:paraId="592FE8DA">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1E04DBF3">
            <w:pPr>
              <w:spacing w:line="320" w:lineRule="exact"/>
              <w:jc w:val="center"/>
              <w:rPr>
                <w:rFonts w:ascii="宋体" w:hAnsi="宋体" w:eastAsia="宋体" w:cs="Times New Roman"/>
                <w:color w:val="auto"/>
                <w:lang w:eastAsia="en-US"/>
              </w:rPr>
            </w:pPr>
            <w:r>
              <w:rPr>
                <w:rFonts w:ascii="宋体" w:hAnsi="宋体" w:eastAsia="宋体" w:cs="Times New Roman"/>
                <w:color w:val="auto"/>
              </w:rPr>
              <w:t>663.77413</w:t>
            </w:r>
          </w:p>
        </w:tc>
        <w:tc>
          <w:tcPr>
            <w:tcW w:w="836" w:type="dxa"/>
            <w:tcBorders>
              <w:top w:val="single" w:color="auto" w:sz="4" w:space="0"/>
              <w:tl2br w:val="nil"/>
              <w:tr2bl w:val="nil"/>
            </w:tcBorders>
            <w:vAlign w:val="center"/>
          </w:tcPr>
          <w:p w14:paraId="3B76AA35">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33.189 </w:t>
            </w:r>
          </w:p>
        </w:tc>
        <w:tc>
          <w:tcPr>
            <w:tcW w:w="830" w:type="dxa"/>
            <w:tcBorders>
              <w:top w:val="single" w:color="auto" w:sz="4" w:space="0"/>
              <w:tl2br w:val="nil"/>
              <w:tr2bl w:val="nil"/>
            </w:tcBorders>
            <w:vAlign w:val="center"/>
          </w:tcPr>
          <w:p w14:paraId="526C7E2E">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29468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565BC7A">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1AFC64B9">
            <w:pPr>
              <w:spacing w:line="320" w:lineRule="exact"/>
              <w:jc w:val="center"/>
              <w:rPr>
                <w:rFonts w:ascii="宋体" w:hAnsi="宋体" w:eastAsia="宋体" w:cs="Times New Roman"/>
                <w:color w:val="auto"/>
                <w:lang w:eastAsia="en-US"/>
              </w:rPr>
            </w:pPr>
            <w:r>
              <w:rPr>
                <w:rFonts w:ascii="宋体" w:hAnsi="宋体" w:eastAsia="宋体" w:cs="Times New Roman"/>
                <w:color w:val="auto"/>
              </w:rPr>
              <w:t>肇源镇</w:t>
            </w:r>
          </w:p>
        </w:tc>
        <w:tc>
          <w:tcPr>
            <w:tcW w:w="810" w:type="dxa"/>
            <w:vMerge w:val="continue"/>
            <w:tcBorders>
              <w:tl2br w:val="nil"/>
              <w:tr2bl w:val="nil"/>
            </w:tcBorders>
            <w:vAlign w:val="center"/>
          </w:tcPr>
          <w:p w14:paraId="5FB0BCDC">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1A4A31D8">
            <w:pPr>
              <w:spacing w:line="320" w:lineRule="exact"/>
              <w:jc w:val="center"/>
              <w:rPr>
                <w:rFonts w:ascii="宋体" w:hAnsi="宋体" w:eastAsia="宋体" w:cs="Times New Roman"/>
                <w:color w:val="auto"/>
              </w:rPr>
            </w:pPr>
            <w:r>
              <w:rPr>
                <w:rFonts w:ascii="宋体" w:hAnsi="宋体" w:eastAsia="宋体" w:cs="Times New Roman"/>
                <w:color w:val="auto"/>
                <w:lang w:eastAsia="en-US"/>
              </w:rPr>
              <w:t>2.93884</w:t>
            </w:r>
          </w:p>
        </w:tc>
        <w:tc>
          <w:tcPr>
            <w:tcW w:w="794" w:type="dxa"/>
            <w:tcBorders>
              <w:top w:val="single" w:color="auto" w:sz="4" w:space="0"/>
              <w:tl2br w:val="nil"/>
              <w:tr2bl w:val="nil"/>
            </w:tcBorders>
            <w:vAlign w:val="center"/>
          </w:tcPr>
          <w:p w14:paraId="2B66F0DB">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0.147 </w:t>
            </w:r>
          </w:p>
        </w:tc>
        <w:tc>
          <w:tcPr>
            <w:tcW w:w="1262" w:type="dxa"/>
            <w:tcBorders>
              <w:top w:val="single" w:color="auto" w:sz="4" w:space="0"/>
              <w:tl2br w:val="nil"/>
              <w:tr2bl w:val="nil"/>
            </w:tcBorders>
            <w:vAlign w:val="center"/>
          </w:tcPr>
          <w:p w14:paraId="2732BCAE">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607D1EC0">
            <w:pPr>
              <w:spacing w:line="320" w:lineRule="exact"/>
              <w:jc w:val="center"/>
              <w:rPr>
                <w:rFonts w:ascii="宋体" w:hAnsi="宋体" w:eastAsia="宋体" w:cs="Times New Roman"/>
                <w:color w:val="auto"/>
                <w:lang w:eastAsia="en-US"/>
              </w:rPr>
            </w:pPr>
            <w:r>
              <w:rPr>
                <w:rFonts w:ascii="宋体" w:hAnsi="宋体" w:eastAsia="宋体" w:cs="Times New Roman"/>
                <w:color w:val="auto"/>
              </w:rPr>
              <w:t>662.93884</w:t>
            </w:r>
          </w:p>
        </w:tc>
        <w:tc>
          <w:tcPr>
            <w:tcW w:w="836" w:type="dxa"/>
            <w:tcBorders>
              <w:top w:val="single" w:color="auto" w:sz="4" w:space="0"/>
              <w:tl2br w:val="nil"/>
              <w:tr2bl w:val="nil"/>
            </w:tcBorders>
            <w:vAlign w:val="center"/>
          </w:tcPr>
          <w:p w14:paraId="3B1186CA">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33.147 </w:t>
            </w:r>
          </w:p>
        </w:tc>
        <w:tc>
          <w:tcPr>
            <w:tcW w:w="830" w:type="dxa"/>
            <w:tcBorders>
              <w:top w:val="single" w:color="auto" w:sz="4" w:space="0"/>
              <w:tl2br w:val="nil"/>
              <w:tr2bl w:val="nil"/>
            </w:tcBorders>
            <w:vAlign w:val="center"/>
          </w:tcPr>
          <w:p w14:paraId="2A6CC176">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51858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121CD2CC">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76CF95E0">
            <w:pPr>
              <w:spacing w:line="320" w:lineRule="exact"/>
              <w:jc w:val="center"/>
              <w:rPr>
                <w:rFonts w:ascii="宋体" w:hAnsi="宋体" w:eastAsia="宋体" w:cs="Times New Roman"/>
                <w:color w:val="auto"/>
                <w:lang w:eastAsia="en-US"/>
              </w:rPr>
            </w:pPr>
            <w:r>
              <w:rPr>
                <w:rFonts w:ascii="宋体" w:hAnsi="宋体" w:eastAsia="宋体" w:cs="Times New Roman"/>
                <w:color w:val="auto"/>
              </w:rPr>
              <w:t>大姚屯</w:t>
            </w:r>
          </w:p>
        </w:tc>
        <w:tc>
          <w:tcPr>
            <w:tcW w:w="810" w:type="dxa"/>
            <w:vMerge w:val="continue"/>
            <w:tcBorders>
              <w:tl2br w:val="nil"/>
              <w:tr2bl w:val="nil"/>
            </w:tcBorders>
            <w:vAlign w:val="center"/>
          </w:tcPr>
          <w:p w14:paraId="14B5B44E">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19D2C69E">
            <w:pPr>
              <w:spacing w:line="320" w:lineRule="exact"/>
              <w:jc w:val="center"/>
              <w:rPr>
                <w:rFonts w:ascii="宋体" w:hAnsi="宋体" w:eastAsia="宋体" w:cs="Times New Roman"/>
                <w:color w:val="auto"/>
              </w:rPr>
            </w:pPr>
            <w:r>
              <w:rPr>
                <w:rFonts w:ascii="宋体" w:hAnsi="宋体" w:eastAsia="宋体" w:cs="Times New Roman"/>
                <w:color w:val="auto"/>
                <w:lang w:eastAsia="en-US"/>
              </w:rPr>
              <w:t>2.4522</w:t>
            </w:r>
          </w:p>
        </w:tc>
        <w:tc>
          <w:tcPr>
            <w:tcW w:w="794" w:type="dxa"/>
            <w:tcBorders>
              <w:top w:val="single" w:color="auto" w:sz="4" w:space="0"/>
              <w:tl2br w:val="nil"/>
              <w:tr2bl w:val="nil"/>
            </w:tcBorders>
            <w:vAlign w:val="center"/>
          </w:tcPr>
          <w:p w14:paraId="461A4A4E">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0.123 </w:t>
            </w:r>
          </w:p>
        </w:tc>
        <w:tc>
          <w:tcPr>
            <w:tcW w:w="1262" w:type="dxa"/>
            <w:tcBorders>
              <w:top w:val="single" w:color="auto" w:sz="4" w:space="0"/>
              <w:tl2br w:val="nil"/>
              <w:tr2bl w:val="nil"/>
            </w:tcBorders>
            <w:vAlign w:val="center"/>
          </w:tcPr>
          <w:p w14:paraId="79A160EF">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3F109F6B">
            <w:pPr>
              <w:spacing w:line="320" w:lineRule="exact"/>
              <w:jc w:val="center"/>
              <w:rPr>
                <w:rFonts w:ascii="宋体" w:hAnsi="宋体" w:eastAsia="宋体" w:cs="Times New Roman"/>
                <w:color w:val="auto"/>
                <w:lang w:eastAsia="en-US"/>
              </w:rPr>
            </w:pPr>
            <w:r>
              <w:rPr>
                <w:rFonts w:ascii="宋体" w:hAnsi="宋体" w:eastAsia="宋体" w:cs="Times New Roman"/>
                <w:color w:val="auto"/>
              </w:rPr>
              <w:t>662.4522</w:t>
            </w:r>
          </w:p>
        </w:tc>
        <w:tc>
          <w:tcPr>
            <w:tcW w:w="836" w:type="dxa"/>
            <w:tcBorders>
              <w:top w:val="single" w:color="auto" w:sz="4" w:space="0"/>
              <w:tl2br w:val="nil"/>
              <w:tr2bl w:val="nil"/>
            </w:tcBorders>
            <w:vAlign w:val="center"/>
          </w:tcPr>
          <w:p w14:paraId="7BC0A99A">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33.123 </w:t>
            </w:r>
          </w:p>
        </w:tc>
        <w:tc>
          <w:tcPr>
            <w:tcW w:w="830" w:type="dxa"/>
            <w:tcBorders>
              <w:top w:val="single" w:color="auto" w:sz="4" w:space="0"/>
              <w:tl2br w:val="nil"/>
              <w:tr2bl w:val="nil"/>
            </w:tcBorders>
            <w:vAlign w:val="center"/>
          </w:tcPr>
          <w:p w14:paraId="29378211">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4DFF1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AEEB272">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02406542">
            <w:pPr>
              <w:spacing w:line="320" w:lineRule="exact"/>
              <w:jc w:val="center"/>
              <w:rPr>
                <w:rFonts w:ascii="宋体" w:hAnsi="宋体" w:eastAsia="宋体" w:cs="Times New Roman"/>
                <w:color w:val="auto"/>
                <w:lang w:eastAsia="en-US"/>
              </w:rPr>
            </w:pPr>
            <w:r>
              <w:rPr>
                <w:rFonts w:ascii="宋体" w:hAnsi="宋体" w:eastAsia="宋体" w:cs="Times New Roman"/>
                <w:color w:val="auto"/>
              </w:rPr>
              <w:t>科技屯</w:t>
            </w:r>
          </w:p>
        </w:tc>
        <w:tc>
          <w:tcPr>
            <w:tcW w:w="810" w:type="dxa"/>
            <w:vMerge w:val="continue"/>
            <w:tcBorders>
              <w:tl2br w:val="nil"/>
              <w:tr2bl w:val="nil"/>
            </w:tcBorders>
            <w:vAlign w:val="center"/>
          </w:tcPr>
          <w:p w14:paraId="7B793E09">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754DCDCA">
            <w:pPr>
              <w:spacing w:line="320" w:lineRule="exact"/>
              <w:jc w:val="center"/>
              <w:rPr>
                <w:rFonts w:ascii="宋体" w:hAnsi="宋体" w:eastAsia="宋体" w:cs="Times New Roman"/>
                <w:color w:val="auto"/>
              </w:rPr>
            </w:pPr>
            <w:r>
              <w:rPr>
                <w:rFonts w:ascii="宋体" w:hAnsi="宋体" w:eastAsia="宋体" w:cs="Times New Roman"/>
                <w:color w:val="auto"/>
                <w:lang w:eastAsia="en-US"/>
              </w:rPr>
              <w:t>2.60025</w:t>
            </w:r>
          </w:p>
        </w:tc>
        <w:tc>
          <w:tcPr>
            <w:tcW w:w="794" w:type="dxa"/>
            <w:tcBorders>
              <w:top w:val="single" w:color="auto" w:sz="4" w:space="0"/>
              <w:tl2br w:val="nil"/>
              <w:tr2bl w:val="nil"/>
            </w:tcBorders>
            <w:vAlign w:val="center"/>
          </w:tcPr>
          <w:p w14:paraId="44DCAC27">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0.130 </w:t>
            </w:r>
          </w:p>
        </w:tc>
        <w:tc>
          <w:tcPr>
            <w:tcW w:w="1262" w:type="dxa"/>
            <w:tcBorders>
              <w:top w:val="single" w:color="auto" w:sz="4" w:space="0"/>
              <w:tl2br w:val="nil"/>
              <w:tr2bl w:val="nil"/>
            </w:tcBorders>
            <w:vAlign w:val="center"/>
          </w:tcPr>
          <w:p w14:paraId="60C5320D">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081E0D6B">
            <w:pPr>
              <w:spacing w:line="320" w:lineRule="exact"/>
              <w:jc w:val="center"/>
              <w:rPr>
                <w:rFonts w:ascii="宋体" w:hAnsi="宋体" w:eastAsia="宋体" w:cs="Times New Roman"/>
                <w:color w:val="auto"/>
                <w:lang w:eastAsia="en-US"/>
              </w:rPr>
            </w:pPr>
            <w:r>
              <w:rPr>
                <w:rFonts w:ascii="宋体" w:hAnsi="宋体" w:eastAsia="宋体" w:cs="Times New Roman"/>
                <w:color w:val="auto"/>
              </w:rPr>
              <w:t>662.60025</w:t>
            </w:r>
          </w:p>
        </w:tc>
        <w:tc>
          <w:tcPr>
            <w:tcW w:w="836" w:type="dxa"/>
            <w:tcBorders>
              <w:top w:val="single" w:color="auto" w:sz="4" w:space="0"/>
              <w:tl2br w:val="nil"/>
              <w:tr2bl w:val="nil"/>
            </w:tcBorders>
            <w:vAlign w:val="center"/>
          </w:tcPr>
          <w:p w14:paraId="03F57C8B">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33.130 </w:t>
            </w:r>
          </w:p>
        </w:tc>
        <w:tc>
          <w:tcPr>
            <w:tcW w:w="830" w:type="dxa"/>
            <w:tcBorders>
              <w:top w:val="single" w:color="auto" w:sz="4" w:space="0"/>
              <w:tl2br w:val="nil"/>
              <w:tr2bl w:val="nil"/>
            </w:tcBorders>
            <w:vAlign w:val="center"/>
          </w:tcPr>
          <w:p w14:paraId="7BB79C96">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7C453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4E9F21E1">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49E38EA7">
            <w:pPr>
              <w:spacing w:line="320" w:lineRule="exact"/>
              <w:jc w:val="center"/>
              <w:rPr>
                <w:rFonts w:ascii="宋体" w:hAnsi="宋体" w:eastAsia="宋体" w:cs="Times New Roman"/>
                <w:color w:val="auto"/>
                <w:lang w:eastAsia="en-US"/>
              </w:rPr>
            </w:pPr>
            <w:r>
              <w:rPr>
                <w:rFonts w:ascii="宋体" w:hAnsi="宋体" w:eastAsia="宋体" w:cs="Times New Roman"/>
                <w:color w:val="auto"/>
              </w:rPr>
              <w:t>东小山屯</w:t>
            </w:r>
          </w:p>
        </w:tc>
        <w:tc>
          <w:tcPr>
            <w:tcW w:w="810" w:type="dxa"/>
            <w:vMerge w:val="continue"/>
            <w:tcBorders>
              <w:tl2br w:val="nil"/>
              <w:tr2bl w:val="nil"/>
            </w:tcBorders>
            <w:vAlign w:val="center"/>
          </w:tcPr>
          <w:p w14:paraId="39E4754F">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0C752CF9">
            <w:pPr>
              <w:spacing w:line="320" w:lineRule="exact"/>
              <w:jc w:val="center"/>
              <w:rPr>
                <w:rFonts w:ascii="宋体" w:hAnsi="宋体" w:eastAsia="宋体" w:cs="Times New Roman"/>
                <w:color w:val="auto"/>
              </w:rPr>
            </w:pPr>
            <w:r>
              <w:rPr>
                <w:rFonts w:ascii="宋体" w:hAnsi="宋体" w:eastAsia="宋体" w:cs="Times New Roman"/>
                <w:color w:val="auto"/>
                <w:lang w:eastAsia="en-US"/>
              </w:rPr>
              <w:t>2.3029</w:t>
            </w:r>
          </w:p>
        </w:tc>
        <w:tc>
          <w:tcPr>
            <w:tcW w:w="794" w:type="dxa"/>
            <w:tcBorders>
              <w:top w:val="single" w:color="auto" w:sz="4" w:space="0"/>
              <w:tl2br w:val="nil"/>
              <w:tr2bl w:val="nil"/>
            </w:tcBorders>
            <w:vAlign w:val="center"/>
          </w:tcPr>
          <w:p w14:paraId="064AF4B3">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0.115 </w:t>
            </w:r>
          </w:p>
        </w:tc>
        <w:tc>
          <w:tcPr>
            <w:tcW w:w="1262" w:type="dxa"/>
            <w:tcBorders>
              <w:top w:val="single" w:color="auto" w:sz="4" w:space="0"/>
              <w:tl2br w:val="nil"/>
              <w:tr2bl w:val="nil"/>
            </w:tcBorders>
            <w:vAlign w:val="center"/>
          </w:tcPr>
          <w:p w14:paraId="049A18E6">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26B9E6EE">
            <w:pPr>
              <w:spacing w:line="320" w:lineRule="exact"/>
              <w:jc w:val="center"/>
              <w:rPr>
                <w:rFonts w:ascii="宋体" w:hAnsi="宋体" w:eastAsia="宋体" w:cs="Times New Roman"/>
                <w:color w:val="auto"/>
                <w:lang w:eastAsia="en-US"/>
              </w:rPr>
            </w:pPr>
            <w:r>
              <w:rPr>
                <w:rFonts w:ascii="宋体" w:hAnsi="宋体" w:eastAsia="宋体" w:cs="Times New Roman"/>
                <w:color w:val="auto"/>
              </w:rPr>
              <w:t>662.3029</w:t>
            </w:r>
          </w:p>
        </w:tc>
        <w:tc>
          <w:tcPr>
            <w:tcW w:w="836" w:type="dxa"/>
            <w:tcBorders>
              <w:top w:val="single" w:color="auto" w:sz="4" w:space="0"/>
              <w:tl2br w:val="nil"/>
              <w:tr2bl w:val="nil"/>
            </w:tcBorders>
            <w:vAlign w:val="center"/>
          </w:tcPr>
          <w:p w14:paraId="44DCF4DA">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33.115 </w:t>
            </w:r>
          </w:p>
        </w:tc>
        <w:tc>
          <w:tcPr>
            <w:tcW w:w="830" w:type="dxa"/>
            <w:tcBorders>
              <w:top w:val="single" w:color="auto" w:sz="4" w:space="0"/>
              <w:tl2br w:val="nil"/>
              <w:tr2bl w:val="nil"/>
            </w:tcBorders>
            <w:vAlign w:val="center"/>
          </w:tcPr>
          <w:p w14:paraId="6BAA3878">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01C9C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061A9F6C">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46629A9F">
            <w:pPr>
              <w:spacing w:line="320" w:lineRule="exact"/>
              <w:jc w:val="center"/>
              <w:rPr>
                <w:rFonts w:ascii="宋体" w:hAnsi="宋体" w:eastAsia="宋体" w:cs="Times New Roman"/>
                <w:color w:val="auto"/>
                <w:lang w:eastAsia="en-US"/>
              </w:rPr>
            </w:pPr>
            <w:r>
              <w:rPr>
                <w:rFonts w:ascii="宋体" w:hAnsi="宋体" w:eastAsia="宋体" w:cs="Times New Roman"/>
                <w:color w:val="auto"/>
              </w:rPr>
              <w:t>协力村</w:t>
            </w:r>
          </w:p>
        </w:tc>
        <w:tc>
          <w:tcPr>
            <w:tcW w:w="810" w:type="dxa"/>
            <w:vMerge w:val="continue"/>
            <w:tcBorders>
              <w:tl2br w:val="nil"/>
              <w:tr2bl w:val="nil"/>
            </w:tcBorders>
            <w:vAlign w:val="center"/>
          </w:tcPr>
          <w:p w14:paraId="4FD29BEE">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5DB4CEF4">
            <w:pPr>
              <w:spacing w:line="320" w:lineRule="exact"/>
              <w:jc w:val="center"/>
              <w:rPr>
                <w:rFonts w:ascii="宋体" w:hAnsi="宋体" w:eastAsia="宋体" w:cs="Times New Roman"/>
                <w:color w:val="auto"/>
              </w:rPr>
            </w:pPr>
            <w:r>
              <w:rPr>
                <w:rFonts w:ascii="宋体" w:hAnsi="宋体" w:eastAsia="宋体" w:cs="Times New Roman"/>
                <w:color w:val="auto"/>
                <w:lang w:eastAsia="en-US"/>
              </w:rPr>
              <w:t>2.12354</w:t>
            </w:r>
          </w:p>
        </w:tc>
        <w:tc>
          <w:tcPr>
            <w:tcW w:w="794" w:type="dxa"/>
            <w:tcBorders>
              <w:top w:val="single" w:color="auto" w:sz="4" w:space="0"/>
              <w:tl2br w:val="nil"/>
              <w:tr2bl w:val="nil"/>
            </w:tcBorders>
            <w:vAlign w:val="center"/>
          </w:tcPr>
          <w:p w14:paraId="7C744A24">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0.106 </w:t>
            </w:r>
          </w:p>
        </w:tc>
        <w:tc>
          <w:tcPr>
            <w:tcW w:w="1262" w:type="dxa"/>
            <w:tcBorders>
              <w:top w:val="single" w:color="auto" w:sz="4" w:space="0"/>
              <w:tl2br w:val="nil"/>
              <w:tr2bl w:val="nil"/>
            </w:tcBorders>
            <w:vAlign w:val="center"/>
          </w:tcPr>
          <w:p w14:paraId="144D4FAD">
            <w:pPr>
              <w:spacing w:line="320" w:lineRule="exact"/>
              <w:jc w:val="center"/>
              <w:rPr>
                <w:rFonts w:ascii="宋体" w:hAnsi="宋体" w:eastAsia="宋体" w:cs="Times New Roman"/>
                <w:color w:val="auto"/>
                <w:lang w:eastAsia="en-US"/>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74F6586A">
            <w:pPr>
              <w:spacing w:line="320" w:lineRule="exact"/>
              <w:jc w:val="center"/>
              <w:rPr>
                <w:rFonts w:ascii="宋体" w:hAnsi="宋体" w:eastAsia="宋体" w:cs="Times New Roman"/>
                <w:color w:val="auto"/>
                <w:lang w:eastAsia="en-US"/>
              </w:rPr>
            </w:pPr>
            <w:r>
              <w:rPr>
                <w:rFonts w:ascii="宋体" w:hAnsi="宋体" w:eastAsia="宋体" w:cs="Times New Roman"/>
                <w:color w:val="auto"/>
              </w:rPr>
              <w:t>662.12354</w:t>
            </w:r>
          </w:p>
        </w:tc>
        <w:tc>
          <w:tcPr>
            <w:tcW w:w="836" w:type="dxa"/>
            <w:tcBorders>
              <w:top w:val="single" w:color="auto" w:sz="4" w:space="0"/>
              <w:tl2br w:val="nil"/>
              <w:tr2bl w:val="nil"/>
            </w:tcBorders>
            <w:vAlign w:val="center"/>
          </w:tcPr>
          <w:p w14:paraId="29AAE008">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33.106 </w:t>
            </w:r>
          </w:p>
        </w:tc>
        <w:tc>
          <w:tcPr>
            <w:tcW w:w="830" w:type="dxa"/>
            <w:tcBorders>
              <w:top w:val="single" w:color="auto" w:sz="4" w:space="0"/>
              <w:tl2br w:val="nil"/>
              <w:tr2bl w:val="nil"/>
            </w:tcBorders>
            <w:vAlign w:val="center"/>
          </w:tcPr>
          <w:p w14:paraId="1B6160C2">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22386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341AC355">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01C472E5">
            <w:pPr>
              <w:spacing w:line="320" w:lineRule="exact"/>
              <w:jc w:val="center"/>
              <w:rPr>
                <w:rFonts w:ascii="宋体" w:hAnsi="宋体" w:eastAsia="宋体" w:cs="Times New Roman"/>
                <w:color w:val="auto"/>
                <w:lang w:eastAsia="en-US"/>
              </w:rPr>
            </w:pPr>
            <w:r>
              <w:rPr>
                <w:rFonts w:ascii="宋体" w:hAnsi="宋体" w:eastAsia="宋体" w:cs="Times New Roman"/>
                <w:color w:val="auto"/>
              </w:rPr>
              <w:t>友谊村</w:t>
            </w:r>
          </w:p>
        </w:tc>
        <w:tc>
          <w:tcPr>
            <w:tcW w:w="810" w:type="dxa"/>
            <w:vMerge w:val="continue"/>
            <w:tcBorders>
              <w:tl2br w:val="nil"/>
              <w:tr2bl w:val="nil"/>
            </w:tcBorders>
            <w:vAlign w:val="center"/>
          </w:tcPr>
          <w:p w14:paraId="68786B98">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6EC48D18">
            <w:pPr>
              <w:spacing w:line="320" w:lineRule="exact"/>
              <w:jc w:val="center"/>
              <w:rPr>
                <w:rFonts w:ascii="宋体" w:hAnsi="宋体" w:eastAsia="宋体" w:cs="Times New Roman"/>
                <w:color w:val="auto"/>
              </w:rPr>
            </w:pPr>
            <w:r>
              <w:rPr>
                <w:rFonts w:ascii="宋体" w:hAnsi="宋体" w:eastAsia="宋体" w:cs="Times New Roman"/>
                <w:color w:val="auto"/>
                <w:lang w:eastAsia="en-US"/>
              </w:rPr>
              <w:t>2.1537</w:t>
            </w:r>
          </w:p>
        </w:tc>
        <w:tc>
          <w:tcPr>
            <w:tcW w:w="794" w:type="dxa"/>
            <w:tcBorders>
              <w:top w:val="single" w:color="auto" w:sz="4" w:space="0"/>
              <w:tl2br w:val="nil"/>
              <w:tr2bl w:val="nil"/>
            </w:tcBorders>
            <w:vAlign w:val="center"/>
          </w:tcPr>
          <w:p w14:paraId="0565D1A0">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0.108 </w:t>
            </w:r>
          </w:p>
        </w:tc>
        <w:tc>
          <w:tcPr>
            <w:tcW w:w="1262" w:type="dxa"/>
            <w:tcBorders>
              <w:top w:val="single" w:color="auto" w:sz="4" w:space="0"/>
              <w:tl2br w:val="nil"/>
              <w:tr2bl w:val="nil"/>
            </w:tcBorders>
            <w:vAlign w:val="center"/>
          </w:tcPr>
          <w:p w14:paraId="2E279D00">
            <w:pPr>
              <w:spacing w:line="320" w:lineRule="exact"/>
              <w:jc w:val="center"/>
              <w:rPr>
                <w:rFonts w:ascii="宋体" w:hAnsi="宋体" w:eastAsia="宋体" w:cs="Times New Roman"/>
                <w:color w:val="auto"/>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40BED37B">
            <w:pPr>
              <w:spacing w:line="320" w:lineRule="exact"/>
              <w:jc w:val="center"/>
              <w:rPr>
                <w:rFonts w:ascii="宋体" w:hAnsi="宋体" w:eastAsia="宋体" w:cs="Times New Roman"/>
                <w:color w:val="auto"/>
                <w:lang w:eastAsia="en-US"/>
              </w:rPr>
            </w:pPr>
            <w:r>
              <w:rPr>
                <w:rFonts w:ascii="宋体" w:hAnsi="宋体" w:eastAsia="宋体" w:cs="Times New Roman"/>
                <w:color w:val="auto"/>
              </w:rPr>
              <w:t>662.1537</w:t>
            </w:r>
          </w:p>
        </w:tc>
        <w:tc>
          <w:tcPr>
            <w:tcW w:w="836" w:type="dxa"/>
            <w:tcBorders>
              <w:top w:val="single" w:color="auto" w:sz="4" w:space="0"/>
              <w:tl2br w:val="nil"/>
              <w:tr2bl w:val="nil"/>
            </w:tcBorders>
            <w:vAlign w:val="center"/>
          </w:tcPr>
          <w:p w14:paraId="73C3DE49">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33.108 </w:t>
            </w:r>
          </w:p>
        </w:tc>
        <w:tc>
          <w:tcPr>
            <w:tcW w:w="830" w:type="dxa"/>
            <w:tcBorders>
              <w:top w:val="single" w:color="auto" w:sz="4" w:space="0"/>
              <w:tl2br w:val="nil"/>
              <w:tr2bl w:val="nil"/>
            </w:tcBorders>
            <w:vAlign w:val="center"/>
          </w:tcPr>
          <w:p w14:paraId="3C339719">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20A99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69038A94">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47E8463A">
            <w:pPr>
              <w:spacing w:line="320" w:lineRule="exact"/>
              <w:jc w:val="center"/>
              <w:rPr>
                <w:rFonts w:ascii="宋体" w:hAnsi="宋体" w:eastAsia="宋体" w:cs="Times New Roman"/>
                <w:color w:val="auto"/>
                <w:lang w:eastAsia="en-US"/>
              </w:rPr>
            </w:pPr>
            <w:r>
              <w:rPr>
                <w:rFonts w:ascii="宋体" w:hAnsi="宋体" w:eastAsia="宋体" w:cs="Times New Roman"/>
                <w:color w:val="auto"/>
              </w:rPr>
              <w:t>刘兽医屯</w:t>
            </w:r>
          </w:p>
        </w:tc>
        <w:tc>
          <w:tcPr>
            <w:tcW w:w="810" w:type="dxa"/>
            <w:vMerge w:val="continue"/>
            <w:tcBorders>
              <w:tl2br w:val="nil"/>
              <w:tr2bl w:val="nil"/>
            </w:tcBorders>
            <w:vAlign w:val="center"/>
          </w:tcPr>
          <w:p w14:paraId="34DAFF94">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508BA8CE">
            <w:pPr>
              <w:spacing w:line="320" w:lineRule="exact"/>
              <w:jc w:val="center"/>
              <w:rPr>
                <w:rFonts w:ascii="宋体" w:hAnsi="宋体" w:eastAsia="宋体" w:cs="Times New Roman"/>
                <w:color w:val="auto"/>
              </w:rPr>
            </w:pPr>
            <w:r>
              <w:rPr>
                <w:rFonts w:ascii="宋体" w:hAnsi="宋体" w:eastAsia="宋体" w:cs="Times New Roman"/>
                <w:color w:val="auto"/>
                <w:lang w:eastAsia="en-US"/>
              </w:rPr>
              <w:t>2.28477</w:t>
            </w:r>
          </w:p>
        </w:tc>
        <w:tc>
          <w:tcPr>
            <w:tcW w:w="794" w:type="dxa"/>
            <w:tcBorders>
              <w:top w:val="single" w:color="auto" w:sz="4" w:space="0"/>
              <w:tl2br w:val="nil"/>
              <w:tr2bl w:val="nil"/>
            </w:tcBorders>
            <w:vAlign w:val="center"/>
          </w:tcPr>
          <w:p w14:paraId="18D7D116">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0.114 </w:t>
            </w:r>
          </w:p>
        </w:tc>
        <w:tc>
          <w:tcPr>
            <w:tcW w:w="1262" w:type="dxa"/>
            <w:tcBorders>
              <w:top w:val="single" w:color="auto" w:sz="4" w:space="0"/>
              <w:tl2br w:val="nil"/>
              <w:tr2bl w:val="nil"/>
            </w:tcBorders>
            <w:vAlign w:val="center"/>
          </w:tcPr>
          <w:p w14:paraId="2A7D0233">
            <w:pPr>
              <w:spacing w:line="320" w:lineRule="exact"/>
              <w:jc w:val="center"/>
              <w:rPr>
                <w:rFonts w:ascii="宋体" w:hAnsi="宋体" w:eastAsia="宋体" w:cs="Times New Roman"/>
                <w:color w:val="auto"/>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18CA23C4">
            <w:pPr>
              <w:spacing w:line="320" w:lineRule="exact"/>
              <w:jc w:val="center"/>
              <w:rPr>
                <w:rFonts w:ascii="宋体" w:hAnsi="宋体" w:eastAsia="宋体" w:cs="Times New Roman"/>
                <w:color w:val="auto"/>
                <w:lang w:eastAsia="en-US"/>
              </w:rPr>
            </w:pPr>
            <w:r>
              <w:rPr>
                <w:rFonts w:ascii="宋体" w:hAnsi="宋体" w:eastAsia="宋体" w:cs="Times New Roman"/>
                <w:color w:val="auto"/>
              </w:rPr>
              <w:t>662.28477</w:t>
            </w:r>
          </w:p>
        </w:tc>
        <w:tc>
          <w:tcPr>
            <w:tcW w:w="836" w:type="dxa"/>
            <w:tcBorders>
              <w:top w:val="single" w:color="auto" w:sz="4" w:space="0"/>
              <w:tl2br w:val="nil"/>
              <w:tr2bl w:val="nil"/>
            </w:tcBorders>
            <w:vAlign w:val="center"/>
          </w:tcPr>
          <w:p w14:paraId="1DCAC363">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33.114 </w:t>
            </w:r>
          </w:p>
        </w:tc>
        <w:tc>
          <w:tcPr>
            <w:tcW w:w="830" w:type="dxa"/>
            <w:tcBorders>
              <w:top w:val="single" w:color="auto" w:sz="4" w:space="0"/>
              <w:tl2br w:val="nil"/>
              <w:tr2bl w:val="nil"/>
            </w:tcBorders>
            <w:vAlign w:val="center"/>
          </w:tcPr>
          <w:p w14:paraId="06B674C0">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6FA9A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2612CAF8">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3A014CC2">
            <w:pPr>
              <w:spacing w:line="320" w:lineRule="exact"/>
              <w:jc w:val="center"/>
              <w:rPr>
                <w:rFonts w:ascii="宋体" w:hAnsi="宋体" w:eastAsia="宋体" w:cs="Times New Roman"/>
                <w:color w:val="auto"/>
                <w:lang w:eastAsia="en-US"/>
              </w:rPr>
            </w:pPr>
            <w:r>
              <w:rPr>
                <w:rFonts w:ascii="宋体" w:hAnsi="宋体" w:eastAsia="宋体" w:cs="Times New Roman"/>
                <w:color w:val="auto"/>
              </w:rPr>
              <w:t>大三马架屯</w:t>
            </w:r>
          </w:p>
        </w:tc>
        <w:tc>
          <w:tcPr>
            <w:tcW w:w="810" w:type="dxa"/>
            <w:vMerge w:val="continue"/>
            <w:tcBorders>
              <w:tl2br w:val="nil"/>
              <w:tr2bl w:val="nil"/>
            </w:tcBorders>
            <w:vAlign w:val="center"/>
          </w:tcPr>
          <w:p w14:paraId="5EEA7EF3">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65150D43">
            <w:pPr>
              <w:spacing w:line="320" w:lineRule="exact"/>
              <w:jc w:val="center"/>
              <w:rPr>
                <w:rFonts w:ascii="宋体" w:hAnsi="宋体" w:eastAsia="宋体" w:cs="Times New Roman"/>
                <w:color w:val="auto"/>
              </w:rPr>
            </w:pPr>
            <w:r>
              <w:rPr>
                <w:rFonts w:ascii="宋体" w:hAnsi="宋体" w:eastAsia="宋体" w:cs="Times New Roman"/>
                <w:color w:val="auto"/>
                <w:lang w:eastAsia="en-US"/>
              </w:rPr>
              <w:t>1.91081</w:t>
            </w:r>
          </w:p>
        </w:tc>
        <w:tc>
          <w:tcPr>
            <w:tcW w:w="794" w:type="dxa"/>
            <w:tcBorders>
              <w:top w:val="single" w:color="auto" w:sz="4" w:space="0"/>
              <w:tl2br w:val="nil"/>
              <w:tr2bl w:val="nil"/>
            </w:tcBorders>
            <w:vAlign w:val="center"/>
          </w:tcPr>
          <w:p w14:paraId="73AAAD23">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0.096 </w:t>
            </w:r>
          </w:p>
        </w:tc>
        <w:tc>
          <w:tcPr>
            <w:tcW w:w="1262" w:type="dxa"/>
            <w:tcBorders>
              <w:top w:val="single" w:color="auto" w:sz="4" w:space="0"/>
              <w:tl2br w:val="nil"/>
              <w:tr2bl w:val="nil"/>
            </w:tcBorders>
            <w:vAlign w:val="center"/>
          </w:tcPr>
          <w:p w14:paraId="75C103D5">
            <w:pPr>
              <w:spacing w:line="320" w:lineRule="exact"/>
              <w:jc w:val="center"/>
              <w:rPr>
                <w:rFonts w:ascii="宋体" w:hAnsi="宋体" w:eastAsia="宋体" w:cs="Times New Roman"/>
                <w:color w:val="auto"/>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08BD06C8">
            <w:pPr>
              <w:spacing w:line="320" w:lineRule="exact"/>
              <w:jc w:val="center"/>
              <w:rPr>
                <w:rFonts w:ascii="宋体" w:hAnsi="宋体" w:eastAsia="宋体" w:cs="Times New Roman"/>
                <w:color w:val="auto"/>
                <w:lang w:eastAsia="en-US"/>
              </w:rPr>
            </w:pPr>
            <w:r>
              <w:rPr>
                <w:rFonts w:ascii="宋体" w:hAnsi="宋体" w:eastAsia="宋体" w:cs="Times New Roman"/>
                <w:color w:val="auto"/>
              </w:rPr>
              <w:t>661.91081</w:t>
            </w:r>
          </w:p>
        </w:tc>
        <w:tc>
          <w:tcPr>
            <w:tcW w:w="836" w:type="dxa"/>
            <w:tcBorders>
              <w:top w:val="single" w:color="auto" w:sz="4" w:space="0"/>
              <w:tl2br w:val="nil"/>
              <w:tr2bl w:val="nil"/>
            </w:tcBorders>
            <w:vAlign w:val="center"/>
          </w:tcPr>
          <w:p w14:paraId="56B9D8A2">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33.096 </w:t>
            </w:r>
          </w:p>
        </w:tc>
        <w:tc>
          <w:tcPr>
            <w:tcW w:w="830" w:type="dxa"/>
            <w:tcBorders>
              <w:top w:val="single" w:color="auto" w:sz="4" w:space="0"/>
              <w:tl2br w:val="nil"/>
              <w:tr2bl w:val="nil"/>
            </w:tcBorders>
            <w:vAlign w:val="center"/>
          </w:tcPr>
          <w:p w14:paraId="32B89E9C">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582D2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restart"/>
            <w:tcBorders>
              <w:tl2br w:val="nil"/>
              <w:tr2bl w:val="nil"/>
            </w:tcBorders>
            <w:vAlign w:val="center"/>
          </w:tcPr>
          <w:p w14:paraId="5A48CA35">
            <w:pPr>
              <w:jc w:val="center"/>
              <w:rPr>
                <w:rFonts w:ascii="宋体" w:hAnsi="宋体" w:eastAsia="宋体" w:cs="Times New Roman"/>
                <w:color w:val="auto"/>
              </w:rPr>
            </w:pPr>
          </w:p>
          <w:p w14:paraId="35823F14">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60BAA45A">
            <w:pPr>
              <w:spacing w:line="320" w:lineRule="exact"/>
              <w:jc w:val="center"/>
              <w:rPr>
                <w:rFonts w:ascii="宋体" w:hAnsi="宋体" w:eastAsia="宋体" w:cs="Times New Roman"/>
                <w:color w:val="auto"/>
                <w:lang w:eastAsia="en-US"/>
              </w:rPr>
            </w:pPr>
            <w:r>
              <w:rPr>
                <w:rFonts w:ascii="宋体" w:hAnsi="宋体" w:eastAsia="宋体" w:cs="Times New Roman"/>
                <w:color w:val="auto"/>
              </w:rPr>
              <w:t>黑岗子屯</w:t>
            </w:r>
          </w:p>
        </w:tc>
        <w:tc>
          <w:tcPr>
            <w:tcW w:w="810" w:type="dxa"/>
            <w:vMerge w:val="continue"/>
            <w:tcBorders>
              <w:tl2br w:val="nil"/>
              <w:tr2bl w:val="nil"/>
            </w:tcBorders>
            <w:vAlign w:val="center"/>
          </w:tcPr>
          <w:p w14:paraId="733FF279">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77460DBB">
            <w:pPr>
              <w:spacing w:line="320" w:lineRule="exact"/>
              <w:jc w:val="center"/>
              <w:rPr>
                <w:rFonts w:ascii="宋体" w:hAnsi="宋体" w:eastAsia="宋体" w:cs="Times New Roman"/>
                <w:color w:val="auto"/>
              </w:rPr>
            </w:pPr>
            <w:r>
              <w:rPr>
                <w:rFonts w:ascii="宋体" w:hAnsi="宋体" w:eastAsia="宋体" w:cs="Times New Roman"/>
                <w:color w:val="auto"/>
                <w:lang w:eastAsia="en-US"/>
              </w:rPr>
              <w:t>4.90166</w:t>
            </w:r>
          </w:p>
        </w:tc>
        <w:tc>
          <w:tcPr>
            <w:tcW w:w="794" w:type="dxa"/>
            <w:tcBorders>
              <w:top w:val="single" w:color="auto" w:sz="4" w:space="0"/>
              <w:tl2br w:val="nil"/>
              <w:tr2bl w:val="nil"/>
            </w:tcBorders>
            <w:vAlign w:val="center"/>
          </w:tcPr>
          <w:p w14:paraId="5589AFD9">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0.245 </w:t>
            </w:r>
          </w:p>
        </w:tc>
        <w:tc>
          <w:tcPr>
            <w:tcW w:w="1262" w:type="dxa"/>
            <w:tcBorders>
              <w:top w:val="single" w:color="auto" w:sz="4" w:space="0"/>
              <w:tl2br w:val="nil"/>
              <w:tr2bl w:val="nil"/>
            </w:tcBorders>
            <w:vAlign w:val="center"/>
          </w:tcPr>
          <w:p w14:paraId="1E2C0DD9">
            <w:pPr>
              <w:spacing w:line="320" w:lineRule="exact"/>
              <w:jc w:val="center"/>
              <w:rPr>
                <w:rFonts w:ascii="宋体" w:hAnsi="宋体" w:eastAsia="宋体" w:cs="Times New Roman"/>
                <w:color w:val="auto"/>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1B1BF488">
            <w:pPr>
              <w:spacing w:line="320" w:lineRule="exact"/>
              <w:jc w:val="center"/>
              <w:rPr>
                <w:rFonts w:ascii="宋体" w:hAnsi="宋体" w:eastAsia="宋体" w:cs="Times New Roman"/>
                <w:color w:val="auto"/>
                <w:lang w:eastAsia="en-US"/>
              </w:rPr>
            </w:pPr>
            <w:r>
              <w:rPr>
                <w:rFonts w:ascii="宋体" w:hAnsi="宋体" w:eastAsia="宋体" w:cs="Times New Roman"/>
                <w:color w:val="auto"/>
              </w:rPr>
              <w:t>664.90166</w:t>
            </w:r>
          </w:p>
        </w:tc>
        <w:tc>
          <w:tcPr>
            <w:tcW w:w="836" w:type="dxa"/>
            <w:tcBorders>
              <w:top w:val="single" w:color="auto" w:sz="4" w:space="0"/>
              <w:tl2br w:val="nil"/>
              <w:tr2bl w:val="nil"/>
            </w:tcBorders>
            <w:vAlign w:val="center"/>
          </w:tcPr>
          <w:p w14:paraId="1A80CFD0">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33.245 </w:t>
            </w:r>
          </w:p>
        </w:tc>
        <w:tc>
          <w:tcPr>
            <w:tcW w:w="830" w:type="dxa"/>
            <w:tcBorders>
              <w:top w:val="single" w:color="auto" w:sz="4" w:space="0"/>
              <w:tl2br w:val="nil"/>
              <w:tr2bl w:val="nil"/>
            </w:tcBorders>
            <w:vAlign w:val="center"/>
          </w:tcPr>
          <w:p w14:paraId="5AB12033">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44D0D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569F460F">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374F9C1F">
            <w:pPr>
              <w:spacing w:line="320" w:lineRule="exact"/>
              <w:jc w:val="center"/>
              <w:rPr>
                <w:rFonts w:ascii="宋体" w:hAnsi="宋体" w:eastAsia="宋体" w:cs="Times New Roman"/>
                <w:color w:val="auto"/>
                <w:lang w:eastAsia="en-US"/>
              </w:rPr>
            </w:pPr>
            <w:r>
              <w:rPr>
                <w:rFonts w:ascii="宋体" w:hAnsi="宋体" w:eastAsia="宋体" w:cs="Times New Roman"/>
                <w:color w:val="auto"/>
              </w:rPr>
              <w:t>代龙村</w:t>
            </w:r>
          </w:p>
        </w:tc>
        <w:tc>
          <w:tcPr>
            <w:tcW w:w="810" w:type="dxa"/>
            <w:vMerge w:val="continue"/>
            <w:tcBorders>
              <w:tl2br w:val="nil"/>
              <w:tr2bl w:val="nil"/>
            </w:tcBorders>
            <w:vAlign w:val="center"/>
          </w:tcPr>
          <w:p w14:paraId="04250F9B">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1CD46595">
            <w:pPr>
              <w:spacing w:line="320" w:lineRule="exact"/>
              <w:jc w:val="center"/>
              <w:rPr>
                <w:rFonts w:ascii="宋体" w:hAnsi="宋体" w:eastAsia="宋体" w:cs="Times New Roman"/>
                <w:color w:val="auto"/>
              </w:rPr>
            </w:pPr>
            <w:r>
              <w:rPr>
                <w:rFonts w:ascii="宋体" w:hAnsi="宋体" w:eastAsia="宋体" w:cs="Times New Roman"/>
                <w:color w:val="auto"/>
                <w:lang w:eastAsia="en-US"/>
              </w:rPr>
              <w:t>2.45486</w:t>
            </w:r>
          </w:p>
        </w:tc>
        <w:tc>
          <w:tcPr>
            <w:tcW w:w="794" w:type="dxa"/>
            <w:tcBorders>
              <w:top w:val="single" w:color="auto" w:sz="4" w:space="0"/>
              <w:tl2br w:val="nil"/>
              <w:tr2bl w:val="nil"/>
            </w:tcBorders>
            <w:vAlign w:val="center"/>
          </w:tcPr>
          <w:p w14:paraId="1B49C86B">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0.123 </w:t>
            </w:r>
          </w:p>
        </w:tc>
        <w:tc>
          <w:tcPr>
            <w:tcW w:w="1262" w:type="dxa"/>
            <w:tcBorders>
              <w:top w:val="single" w:color="auto" w:sz="4" w:space="0"/>
              <w:tl2br w:val="nil"/>
              <w:tr2bl w:val="nil"/>
            </w:tcBorders>
            <w:vAlign w:val="center"/>
          </w:tcPr>
          <w:p w14:paraId="789A68B1">
            <w:pPr>
              <w:spacing w:line="320" w:lineRule="exact"/>
              <w:jc w:val="center"/>
              <w:rPr>
                <w:rFonts w:ascii="宋体" w:hAnsi="宋体" w:eastAsia="宋体" w:cs="Times New Roman"/>
                <w:color w:val="auto"/>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56AF3480">
            <w:pPr>
              <w:spacing w:line="320" w:lineRule="exact"/>
              <w:jc w:val="center"/>
              <w:rPr>
                <w:rFonts w:ascii="宋体" w:hAnsi="宋体" w:eastAsia="宋体" w:cs="Times New Roman"/>
                <w:color w:val="auto"/>
                <w:lang w:eastAsia="en-US"/>
              </w:rPr>
            </w:pPr>
            <w:r>
              <w:rPr>
                <w:rFonts w:ascii="宋体" w:hAnsi="宋体" w:eastAsia="宋体" w:cs="Times New Roman"/>
                <w:color w:val="auto"/>
              </w:rPr>
              <w:t>662.45486</w:t>
            </w:r>
          </w:p>
        </w:tc>
        <w:tc>
          <w:tcPr>
            <w:tcW w:w="836" w:type="dxa"/>
            <w:tcBorders>
              <w:top w:val="single" w:color="auto" w:sz="4" w:space="0"/>
              <w:tl2br w:val="nil"/>
              <w:tr2bl w:val="nil"/>
            </w:tcBorders>
            <w:vAlign w:val="center"/>
          </w:tcPr>
          <w:p w14:paraId="1A7E096A">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33.123 </w:t>
            </w:r>
          </w:p>
        </w:tc>
        <w:tc>
          <w:tcPr>
            <w:tcW w:w="830" w:type="dxa"/>
            <w:tcBorders>
              <w:top w:val="single" w:color="auto" w:sz="4" w:space="0"/>
              <w:tl2br w:val="nil"/>
              <w:tr2bl w:val="nil"/>
            </w:tcBorders>
            <w:vAlign w:val="center"/>
          </w:tcPr>
          <w:p w14:paraId="703BE519">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33A39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1AA5600D">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55628DC4">
            <w:pPr>
              <w:spacing w:line="320" w:lineRule="exact"/>
              <w:jc w:val="center"/>
              <w:rPr>
                <w:rFonts w:ascii="宋体" w:hAnsi="宋体" w:eastAsia="宋体" w:cs="Times New Roman"/>
                <w:color w:val="auto"/>
                <w:lang w:eastAsia="en-US"/>
              </w:rPr>
            </w:pPr>
            <w:r>
              <w:rPr>
                <w:rFonts w:ascii="宋体" w:hAnsi="宋体" w:eastAsia="宋体" w:cs="Times New Roman"/>
                <w:color w:val="auto"/>
              </w:rPr>
              <w:t>刘喜屯</w:t>
            </w:r>
          </w:p>
        </w:tc>
        <w:tc>
          <w:tcPr>
            <w:tcW w:w="810" w:type="dxa"/>
            <w:vMerge w:val="continue"/>
            <w:tcBorders>
              <w:tl2br w:val="nil"/>
              <w:tr2bl w:val="nil"/>
            </w:tcBorders>
            <w:vAlign w:val="center"/>
          </w:tcPr>
          <w:p w14:paraId="40E57723">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3E1858E0">
            <w:pPr>
              <w:spacing w:line="320" w:lineRule="exact"/>
              <w:jc w:val="center"/>
              <w:rPr>
                <w:rFonts w:ascii="宋体" w:hAnsi="宋体" w:eastAsia="宋体" w:cs="Times New Roman"/>
                <w:color w:val="auto"/>
              </w:rPr>
            </w:pPr>
            <w:r>
              <w:rPr>
                <w:rFonts w:ascii="宋体" w:hAnsi="宋体" w:eastAsia="宋体" w:cs="Times New Roman"/>
                <w:color w:val="auto"/>
                <w:lang w:eastAsia="en-US"/>
              </w:rPr>
              <w:t>2.24629</w:t>
            </w:r>
          </w:p>
        </w:tc>
        <w:tc>
          <w:tcPr>
            <w:tcW w:w="794" w:type="dxa"/>
            <w:tcBorders>
              <w:top w:val="single" w:color="auto" w:sz="4" w:space="0"/>
              <w:tl2br w:val="nil"/>
              <w:tr2bl w:val="nil"/>
            </w:tcBorders>
            <w:vAlign w:val="center"/>
          </w:tcPr>
          <w:p w14:paraId="47165713">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0.112 </w:t>
            </w:r>
          </w:p>
        </w:tc>
        <w:tc>
          <w:tcPr>
            <w:tcW w:w="1262" w:type="dxa"/>
            <w:tcBorders>
              <w:top w:val="single" w:color="auto" w:sz="4" w:space="0"/>
              <w:tl2br w:val="nil"/>
              <w:tr2bl w:val="nil"/>
            </w:tcBorders>
            <w:vAlign w:val="center"/>
          </w:tcPr>
          <w:p w14:paraId="3F175B9A">
            <w:pPr>
              <w:spacing w:line="320" w:lineRule="exact"/>
              <w:jc w:val="center"/>
              <w:rPr>
                <w:rFonts w:ascii="宋体" w:hAnsi="宋体" w:eastAsia="宋体" w:cs="Times New Roman"/>
                <w:color w:val="auto"/>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7E220BC4">
            <w:pPr>
              <w:spacing w:line="320" w:lineRule="exact"/>
              <w:jc w:val="center"/>
              <w:rPr>
                <w:rFonts w:ascii="宋体" w:hAnsi="宋体" w:eastAsia="宋体" w:cs="Times New Roman"/>
                <w:color w:val="auto"/>
                <w:lang w:eastAsia="en-US"/>
              </w:rPr>
            </w:pPr>
            <w:r>
              <w:rPr>
                <w:rFonts w:ascii="宋体" w:hAnsi="宋体" w:eastAsia="宋体" w:cs="Times New Roman"/>
                <w:color w:val="auto"/>
              </w:rPr>
              <w:t>662.24629</w:t>
            </w:r>
          </w:p>
        </w:tc>
        <w:tc>
          <w:tcPr>
            <w:tcW w:w="836" w:type="dxa"/>
            <w:tcBorders>
              <w:top w:val="single" w:color="auto" w:sz="4" w:space="0"/>
              <w:tl2br w:val="nil"/>
              <w:tr2bl w:val="nil"/>
            </w:tcBorders>
            <w:vAlign w:val="center"/>
          </w:tcPr>
          <w:p w14:paraId="7B2A62D3">
            <w:pPr>
              <w:spacing w:line="320" w:lineRule="exact"/>
              <w:jc w:val="center"/>
              <w:rPr>
                <w:rFonts w:ascii="宋体" w:hAnsi="宋体" w:eastAsia="宋体" w:cs="Times New Roman"/>
                <w:color w:val="auto"/>
                <w:lang w:eastAsia="en-US"/>
              </w:rPr>
            </w:pPr>
            <w:r>
              <w:rPr>
                <w:rFonts w:ascii="宋体" w:hAnsi="宋体" w:eastAsia="宋体" w:cs="Times New Roman"/>
                <w:color w:val="auto"/>
              </w:rPr>
              <w:t xml:space="preserve">33.112 </w:t>
            </w:r>
          </w:p>
        </w:tc>
        <w:tc>
          <w:tcPr>
            <w:tcW w:w="830" w:type="dxa"/>
            <w:tcBorders>
              <w:top w:val="single" w:color="auto" w:sz="4" w:space="0"/>
              <w:tl2br w:val="nil"/>
              <w:tr2bl w:val="nil"/>
            </w:tcBorders>
            <w:vAlign w:val="center"/>
          </w:tcPr>
          <w:p w14:paraId="241E25FA">
            <w:pPr>
              <w:spacing w:line="320" w:lineRule="exact"/>
              <w:jc w:val="center"/>
              <w:rPr>
                <w:rFonts w:ascii="宋体" w:hAnsi="宋体" w:eastAsia="宋体" w:cs="Times New Roman"/>
                <w:color w:val="auto"/>
                <w:lang w:eastAsia="en-US"/>
              </w:rPr>
            </w:pPr>
            <w:r>
              <w:rPr>
                <w:rFonts w:ascii="宋体" w:hAnsi="宋体" w:eastAsia="宋体" w:cs="Times New Roman"/>
                <w:color w:val="auto"/>
                <w:lang w:eastAsia="en-US"/>
              </w:rPr>
              <w:t>达标</w:t>
            </w:r>
          </w:p>
        </w:tc>
      </w:tr>
      <w:tr w14:paraId="19167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6" w:hRule="atLeast"/>
        </w:trPr>
        <w:tc>
          <w:tcPr>
            <w:tcW w:w="694" w:type="dxa"/>
            <w:vMerge w:val="continue"/>
            <w:tcBorders>
              <w:tl2br w:val="nil"/>
              <w:tr2bl w:val="nil"/>
            </w:tcBorders>
            <w:vAlign w:val="center"/>
          </w:tcPr>
          <w:p w14:paraId="26A08340">
            <w:pPr>
              <w:jc w:val="center"/>
              <w:rPr>
                <w:rFonts w:ascii="宋体" w:hAnsi="宋体" w:eastAsia="宋体" w:cs="Times New Roman"/>
                <w:color w:val="auto"/>
              </w:rPr>
            </w:pPr>
          </w:p>
        </w:tc>
        <w:tc>
          <w:tcPr>
            <w:tcW w:w="1430" w:type="dxa"/>
            <w:tcBorders>
              <w:top w:val="single" w:color="auto" w:sz="4" w:space="0"/>
              <w:tl2br w:val="nil"/>
              <w:tr2bl w:val="nil"/>
            </w:tcBorders>
            <w:vAlign w:val="center"/>
          </w:tcPr>
          <w:p w14:paraId="76D7E6AB">
            <w:pPr>
              <w:jc w:val="center"/>
              <w:rPr>
                <w:rFonts w:ascii="宋体" w:hAnsi="宋体" w:eastAsia="宋体" w:cs="Times New Roman"/>
                <w:color w:val="auto"/>
              </w:rPr>
            </w:pPr>
            <w:r>
              <w:rPr>
                <w:rFonts w:ascii="宋体" w:hAnsi="宋体" w:eastAsia="宋体" w:cs="Times New Roman"/>
                <w:color w:val="auto"/>
              </w:rPr>
              <w:t>区域最大落地浓度</w:t>
            </w:r>
          </w:p>
        </w:tc>
        <w:tc>
          <w:tcPr>
            <w:tcW w:w="810" w:type="dxa"/>
            <w:vMerge w:val="continue"/>
            <w:tcBorders>
              <w:tl2br w:val="nil"/>
              <w:tr2bl w:val="nil"/>
            </w:tcBorders>
            <w:vAlign w:val="center"/>
          </w:tcPr>
          <w:p w14:paraId="53B925B5">
            <w:pPr>
              <w:jc w:val="center"/>
              <w:rPr>
                <w:rFonts w:ascii="宋体" w:hAnsi="宋体" w:eastAsia="宋体" w:cs="Times New Roman"/>
                <w:color w:val="auto"/>
              </w:rPr>
            </w:pPr>
          </w:p>
        </w:tc>
        <w:tc>
          <w:tcPr>
            <w:tcW w:w="1006" w:type="dxa"/>
            <w:tcBorders>
              <w:top w:val="single" w:color="auto" w:sz="4" w:space="0"/>
              <w:tl2br w:val="nil"/>
              <w:tr2bl w:val="nil"/>
            </w:tcBorders>
            <w:vAlign w:val="center"/>
          </w:tcPr>
          <w:p w14:paraId="00E866B3">
            <w:pPr>
              <w:jc w:val="center"/>
              <w:rPr>
                <w:rFonts w:ascii="宋体" w:hAnsi="宋体" w:eastAsia="宋体" w:cs="Times New Roman"/>
                <w:color w:val="auto"/>
              </w:rPr>
            </w:pPr>
            <w:r>
              <w:rPr>
                <w:rFonts w:ascii="宋体" w:hAnsi="宋体" w:eastAsia="宋体" w:cs="Times New Roman"/>
                <w:color w:val="auto"/>
              </w:rPr>
              <w:t>57.69842</w:t>
            </w:r>
          </w:p>
        </w:tc>
        <w:tc>
          <w:tcPr>
            <w:tcW w:w="794" w:type="dxa"/>
            <w:tcBorders>
              <w:top w:val="single" w:color="auto" w:sz="4" w:space="0"/>
              <w:tl2br w:val="nil"/>
              <w:tr2bl w:val="nil"/>
            </w:tcBorders>
            <w:vAlign w:val="center"/>
          </w:tcPr>
          <w:p w14:paraId="6EB8A19D">
            <w:pPr>
              <w:jc w:val="center"/>
              <w:rPr>
                <w:rFonts w:ascii="宋体" w:hAnsi="宋体" w:eastAsia="宋体" w:cs="Times New Roman"/>
                <w:color w:val="auto"/>
              </w:rPr>
            </w:pPr>
            <w:r>
              <w:rPr>
                <w:rFonts w:ascii="宋体" w:hAnsi="宋体" w:eastAsia="宋体" w:cs="Times New Roman"/>
                <w:color w:val="auto"/>
              </w:rPr>
              <w:t>2.885</w:t>
            </w:r>
          </w:p>
        </w:tc>
        <w:tc>
          <w:tcPr>
            <w:tcW w:w="1262" w:type="dxa"/>
            <w:tcBorders>
              <w:top w:val="single" w:color="auto" w:sz="4" w:space="0"/>
              <w:tl2br w:val="nil"/>
              <w:tr2bl w:val="nil"/>
            </w:tcBorders>
            <w:vAlign w:val="center"/>
          </w:tcPr>
          <w:p w14:paraId="3C1CF3E8">
            <w:pPr>
              <w:jc w:val="center"/>
              <w:rPr>
                <w:rFonts w:ascii="宋体" w:hAnsi="宋体" w:eastAsia="宋体" w:cs="Times New Roman"/>
                <w:color w:val="auto"/>
              </w:rPr>
            </w:pPr>
            <w:r>
              <w:rPr>
                <w:rFonts w:ascii="宋体" w:hAnsi="宋体" w:eastAsia="宋体" w:cs="Times New Roman"/>
                <w:color w:val="auto"/>
              </w:rPr>
              <w:t>660</w:t>
            </w:r>
          </w:p>
        </w:tc>
        <w:tc>
          <w:tcPr>
            <w:tcW w:w="1403" w:type="dxa"/>
            <w:tcBorders>
              <w:top w:val="single" w:color="auto" w:sz="4" w:space="0"/>
              <w:tl2br w:val="nil"/>
              <w:tr2bl w:val="nil"/>
            </w:tcBorders>
            <w:vAlign w:val="center"/>
          </w:tcPr>
          <w:p w14:paraId="3DC5D1A4">
            <w:pPr>
              <w:jc w:val="center"/>
              <w:rPr>
                <w:rFonts w:ascii="宋体" w:hAnsi="宋体" w:eastAsia="宋体" w:cs="Times New Roman"/>
                <w:color w:val="auto"/>
              </w:rPr>
            </w:pPr>
            <w:r>
              <w:rPr>
                <w:rFonts w:ascii="宋体" w:hAnsi="宋体" w:eastAsia="宋体" w:cs="Times New Roman"/>
                <w:color w:val="auto"/>
              </w:rPr>
              <w:t>717.69842</w:t>
            </w:r>
          </w:p>
        </w:tc>
        <w:tc>
          <w:tcPr>
            <w:tcW w:w="836" w:type="dxa"/>
            <w:tcBorders>
              <w:top w:val="single" w:color="auto" w:sz="4" w:space="0"/>
              <w:tl2br w:val="nil"/>
              <w:tr2bl w:val="nil"/>
            </w:tcBorders>
            <w:vAlign w:val="center"/>
          </w:tcPr>
          <w:p w14:paraId="6908498E">
            <w:pPr>
              <w:jc w:val="center"/>
              <w:rPr>
                <w:rFonts w:ascii="宋体" w:hAnsi="宋体" w:eastAsia="宋体" w:cs="Times New Roman"/>
                <w:color w:val="auto"/>
              </w:rPr>
            </w:pPr>
            <w:r>
              <w:rPr>
                <w:rFonts w:ascii="宋体" w:hAnsi="宋体" w:eastAsia="宋体" w:cs="Times New Roman"/>
                <w:color w:val="auto"/>
              </w:rPr>
              <w:t>35.884921</w:t>
            </w:r>
          </w:p>
        </w:tc>
        <w:tc>
          <w:tcPr>
            <w:tcW w:w="830" w:type="dxa"/>
            <w:tcBorders>
              <w:top w:val="single" w:color="auto" w:sz="4" w:space="0"/>
              <w:tl2br w:val="nil"/>
              <w:tr2bl w:val="nil"/>
            </w:tcBorders>
            <w:vAlign w:val="center"/>
          </w:tcPr>
          <w:p w14:paraId="7DFAC9A3">
            <w:pPr>
              <w:jc w:val="center"/>
              <w:rPr>
                <w:rFonts w:ascii="宋体" w:hAnsi="宋体" w:eastAsia="宋体" w:cs="Times New Roman"/>
                <w:color w:val="auto"/>
              </w:rPr>
            </w:pPr>
            <w:r>
              <w:rPr>
                <w:rFonts w:ascii="宋体" w:hAnsi="宋体" w:eastAsia="宋体" w:cs="Times New Roman"/>
                <w:color w:val="auto"/>
              </w:rPr>
              <w:t>达标</w:t>
            </w:r>
          </w:p>
        </w:tc>
      </w:tr>
    </w:tbl>
    <w:p w14:paraId="0E191A12">
      <w:pPr>
        <w:jc w:val="center"/>
        <w:rPr>
          <w:rFonts w:ascii="宋体" w:hAnsi="宋体" w:eastAsia="宋体" w:cs="Times New Roman"/>
          <w:color w:val="auto"/>
        </w:rPr>
      </w:pPr>
      <w:r>
        <w:rPr>
          <w:rFonts w:ascii="宋体" w:hAnsi="宋体" w:eastAsia="宋体"/>
          <w:color w:val="auto"/>
        </w:rPr>
        <w:drawing>
          <wp:inline distT="0" distB="0" distL="114300" distR="114300">
            <wp:extent cx="5758815" cy="4039870"/>
            <wp:effectExtent l="0" t="0" r="13335" b="17780"/>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101"/>
                    <a:stretch>
                      <a:fillRect/>
                    </a:stretch>
                  </pic:blipFill>
                  <pic:spPr>
                    <a:xfrm>
                      <a:off x="0" y="0"/>
                      <a:ext cx="5758815" cy="4039870"/>
                    </a:xfrm>
                    <a:prstGeom prst="rect">
                      <a:avLst/>
                    </a:prstGeom>
                    <a:noFill/>
                    <a:ln>
                      <a:noFill/>
                    </a:ln>
                  </pic:spPr>
                </pic:pic>
              </a:graphicData>
            </a:graphic>
          </wp:inline>
        </w:drawing>
      </w:r>
    </w:p>
    <w:p w14:paraId="7409E307">
      <w:pPr>
        <w:spacing w:line="440" w:lineRule="exact"/>
        <w:ind w:firstLine="420" w:firstLineChars="200"/>
        <w:jc w:val="center"/>
        <w:rPr>
          <w:rFonts w:ascii="宋体" w:hAnsi="宋体" w:eastAsia="宋体" w:cs="Times New Roman"/>
          <w:color w:val="auto"/>
          <w:lang w:val="zh-CN"/>
        </w:rPr>
      </w:pPr>
      <w:r>
        <w:rPr>
          <w:rFonts w:ascii="宋体" w:hAnsi="宋体" w:eastAsia="宋体" w:cs="Times New Roman"/>
          <w:color w:val="auto"/>
        </w:rPr>
        <w:t>图5.1-20   正常排放叠加现状浓度后PM</w:t>
      </w:r>
      <w:r>
        <w:rPr>
          <w:rFonts w:ascii="宋体" w:hAnsi="宋体" w:eastAsia="宋体" w:cs="Times New Roman"/>
          <w:color w:val="auto"/>
          <w:vertAlign w:val="subscript"/>
        </w:rPr>
        <w:t>10</w:t>
      </w:r>
      <w:r>
        <w:rPr>
          <w:rFonts w:ascii="宋体" w:hAnsi="宋体" w:eastAsia="宋体" w:cs="Times New Roman"/>
          <w:color w:val="auto"/>
        </w:rPr>
        <w:t>保证率日平均网格浓度分布图</w:t>
      </w:r>
    </w:p>
    <w:p w14:paraId="3A57701D">
      <w:pPr>
        <w:jc w:val="center"/>
        <w:rPr>
          <w:rFonts w:ascii="宋体" w:hAnsi="宋体" w:eastAsia="宋体" w:cs="Times New Roman"/>
          <w:color w:val="auto"/>
          <w:lang w:val="zh-CN"/>
        </w:rPr>
      </w:pPr>
      <w:r>
        <w:rPr>
          <w:rFonts w:ascii="宋体" w:hAnsi="宋体" w:eastAsia="宋体"/>
          <w:color w:val="auto"/>
        </w:rPr>
        <w:drawing>
          <wp:inline distT="0" distB="0" distL="114300" distR="114300">
            <wp:extent cx="5759450" cy="4029075"/>
            <wp:effectExtent l="0" t="0" r="12700" b="9525"/>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102"/>
                    <a:stretch>
                      <a:fillRect/>
                    </a:stretch>
                  </pic:blipFill>
                  <pic:spPr>
                    <a:xfrm>
                      <a:off x="0" y="0"/>
                      <a:ext cx="5759450" cy="4029075"/>
                    </a:xfrm>
                    <a:prstGeom prst="rect">
                      <a:avLst/>
                    </a:prstGeom>
                    <a:noFill/>
                    <a:ln>
                      <a:noFill/>
                    </a:ln>
                  </pic:spPr>
                </pic:pic>
              </a:graphicData>
            </a:graphic>
          </wp:inline>
        </w:drawing>
      </w:r>
    </w:p>
    <w:p w14:paraId="4774EA04">
      <w:pPr>
        <w:spacing w:line="440" w:lineRule="exact"/>
        <w:ind w:firstLine="420" w:firstLineChars="200"/>
        <w:jc w:val="center"/>
        <w:rPr>
          <w:rFonts w:ascii="宋体" w:hAnsi="宋体" w:eastAsia="宋体" w:cs="Times New Roman"/>
          <w:color w:val="auto"/>
          <w:lang w:val="zh-CN"/>
        </w:rPr>
      </w:pPr>
      <w:r>
        <w:rPr>
          <w:rFonts w:ascii="宋体" w:hAnsi="宋体" w:eastAsia="宋体" w:cs="Times New Roman"/>
          <w:color w:val="auto"/>
        </w:rPr>
        <w:t>图5.1-21   正常排放叠加现状浓度后PM</w:t>
      </w:r>
      <w:r>
        <w:rPr>
          <w:rFonts w:ascii="宋体" w:hAnsi="宋体" w:eastAsia="宋体" w:cs="Times New Roman"/>
          <w:color w:val="auto"/>
          <w:vertAlign w:val="subscript"/>
        </w:rPr>
        <w:t>10</w:t>
      </w:r>
      <w:r>
        <w:rPr>
          <w:rFonts w:ascii="宋体" w:hAnsi="宋体" w:eastAsia="宋体" w:cs="Times New Roman"/>
          <w:color w:val="auto"/>
        </w:rPr>
        <w:t>年平均网格浓度分布图</w:t>
      </w:r>
    </w:p>
    <w:p w14:paraId="6B42815A">
      <w:pPr>
        <w:jc w:val="center"/>
        <w:rPr>
          <w:rFonts w:ascii="宋体" w:hAnsi="宋体" w:eastAsia="宋体" w:cs="Times New Roman"/>
          <w:color w:val="auto"/>
          <w:lang w:val="zh-CN"/>
        </w:rPr>
      </w:pPr>
      <w:r>
        <w:rPr>
          <w:rFonts w:ascii="宋体" w:hAnsi="宋体" w:eastAsia="宋体"/>
          <w:color w:val="auto"/>
        </w:rPr>
        <w:drawing>
          <wp:inline distT="0" distB="0" distL="114300" distR="114300">
            <wp:extent cx="5756275" cy="4085590"/>
            <wp:effectExtent l="0" t="0" r="15875" b="10160"/>
            <wp:docPr id="1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8"/>
                    <pic:cNvPicPr>
                      <a:picLocks noChangeAspect="1"/>
                    </pic:cNvPicPr>
                  </pic:nvPicPr>
                  <pic:blipFill>
                    <a:blip r:embed="rId103"/>
                    <a:stretch>
                      <a:fillRect/>
                    </a:stretch>
                  </pic:blipFill>
                  <pic:spPr>
                    <a:xfrm>
                      <a:off x="0" y="0"/>
                      <a:ext cx="5756275" cy="4085590"/>
                    </a:xfrm>
                    <a:prstGeom prst="rect">
                      <a:avLst/>
                    </a:prstGeom>
                    <a:noFill/>
                    <a:ln>
                      <a:noFill/>
                    </a:ln>
                  </pic:spPr>
                </pic:pic>
              </a:graphicData>
            </a:graphic>
          </wp:inline>
        </w:drawing>
      </w:r>
    </w:p>
    <w:p w14:paraId="71695B18">
      <w:pPr>
        <w:spacing w:line="440" w:lineRule="exact"/>
        <w:jc w:val="center"/>
        <w:rPr>
          <w:rFonts w:ascii="宋体" w:hAnsi="宋体" w:eastAsia="宋体" w:cs="Times New Roman"/>
          <w:color w:val="auto"/>
          <w:lang w:val="zh-CN"/>
        </w:rPr>
      </w:pPr>
      <w:r>
        <w:rPr>
          <w:rFonts w:ascii="宋体" w:hAnsi="宋体" w:eastAsia="宋体" w:cs="Times New Roman"/>
          <w:color w:val="auto"/>
        </w:rPr>
        <w:t>图5.1-22  正常排放叠加现状浓度后SO</w:t>
      </w:r>
      <w:r>
        <w:rPr>
          <w:rFonts w:ascii="宋体" w:hAnsi="宋体" w:eastAsia="宋体" w:cs="Times New Roman"/>
          <w:color w:val="auto"/>
          <w:vertAlign w:val="subscript"/>
        </w:rPr>
        <w:t>2</w:t>
      </w:r>
      <w:r>
        <w:rPr>
          <w:rFonts w:ascii="宋体" w:hAnsi="宋体" w:eastAsia="宋体" w:cs="Times New Roman"/>
          <w:color w:val="auto"/>
        </w:rPr>
        <w:t>保证率日平均网格浓度分布图</w:t>
      </w:r>
    </w:p>
    <w:p w14:paraId="71D89C3B">
      <w:pPr>
        <w:jc w:val="center"/>
        <w:rPr>
          <w:rFonts w:ascii="宋体" w:hAnsi="宋体" w:eastAsia="宋体" w:cs="Times New Roman"/>
          <w:color w:val="auto"/>
          <w:lang w:val="zh-CN"/>
        </w:rPr>
      </w:pPr>
      <w:r>
        <w:rPr>
          <w:rFonts w:ascii="宋体" w:hAnsi="宋体" w:eastAsia="宋体"/>
          <w:color w:val="auto"/>
        </w:rPr>
        <w:drawing>
          <wp:inline distT="0" distB="0" distL="114300" distR="114300">
            <wp:extent cx="5753100" cy="4005580"/>
            <wp:effectExtent l="0" t="0" r="0" b="13970"/>
            <wp:docPr id="1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9"/>
                    <pic:cNvPicPr>
                      <a:picLocks noChangeAspect="1"/>
                    </pic:cNvPicPr>
                  </pic:nvPicPr>
                  <pic:blipFill>
                    <a:blip r:embed="rId104"/>
                    <a:stretch>
                      <a:fillRect/>
                    </a:stretch>
                  </pic:blipFill>
                  <pic:spPr>
                    <a:xfrm>
                      <a:off x="0" y="0"/>
                      <a:ext cx="5753100" cy="4005580"/>
                    </a:xfrm>
                    <a:prstGeom prst="rect">
                      <a:avLst/>
                    </a:prstGeom>
                    <a:noFill/>
                    <a:ln>
                      <a:noFill/>
                    </a:ln>
                  </pic:spPr>
                </pic:pic>
              </a:graphicData>
            </a:graphic>
          </wp:inline>
        </w:drawing>
      </w:r>
    </w:p>
    <w:p w14:paraId="1DEE6EA9">
      <w:pPr>
        <w:spacing w:line="440" w:lineRule="exact"/>
        <w:ind w:firstLine="420" w:firstLineChars="200"/>
        <w:jc w:val="center"/>
        <w:rPr>
          <w:rFonts w:ascii="宋体" w:hAnsi="宋体" w:eastAsia="宋体" w:cs="Times New Roman"/>
          <w:color w:val="auto"/>
          <w:lang w:val="zh-CN"/>
        </w:rPr>
      </w:pPr>
      <w:r>
        <w:rPr>
          <w:rFonts w:ascii="宋体" w:hAnsi="宋体" w:eastAsia="宋体" w:cs="Times New Roman"/>
          <w:color w:val="auto"/>
        </w:rPr>
        <w:t>图5.1-23   正常排放叠加现状浓度后SO</w:t>
      </w:r>
      <w:r>
        <w:rPr>
          <w:rFonts w:ascii="宋体" w:hAnsi="宋体" w:eastAsia="宋体" w:cs="Times New Roman"/>
          <w:color w:val="auto"/>
          <w:vertAlign w:val="subscript"/>
        </w:rPr>
        <w:t>2</w:t>
      </w:r>
      <w:r>
        <w:rPr>
          <w:rFonts w:ascii="宋体" w:hAnsi="宋体" w:eastAsia="宋体" w:cs="Times New Roman"/>
          <w:color w:val="auto"/>
        </w:rPr>
        <w:t>年平均网格浓度分布图</w:t>
      </w:r>
    </w:p>
    <w:p w14:paraId="5F17FA2C">
      <w:pPr>
        <w:jc w:val="center"/>
        <w:rPr>
          <w:rFonts w:ascii="宋体" w:hAnsi="宋体" w:eastAsia="宋体" w:cs="Times New Roman"/>
          <w:color w:val="auto"/>
          <w:lang w:val="zh-CN"/>
        </w:rPr>
      </w:pPr>
      <w:r>
        <w:rPr>
          <w:rFonts w:ascii="宋体" w:hAnsi="宋体" w:eastAsia="宋体"/>
          <w:color w:val="auto"/>
        </w:rPr>
        <w:drawing>
          <wp:inline distT="0" distB="0" distL="114300" distR="114300">
            <wp:extent cx="5758815" cy="4019550"/>
            <wp:effectExtent l="0" t="0" r="13335" b="0"/>
            <wp:docPr id="1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
                    <pic:cNvPicPr>
                      <a:picLocks noChangeAspect="1"/>
                    </pic:cNvPicPr>
                  </pic:nvPicPr>
                  <pic:blipFill>
                    <a:blip r:embed="rId105"/>
                    <a:stretch>
                      <a:fillRect/>
                    </a:stretch>
                  </pic:blipFill>
                  <pic:spPr>
                    <a:xfrm>
                      <a:off x="0" y="0"/>
                      <a:ext cx="5758815" cy="4019550"/>
                    </a:xfrm>
                    <a:prstGeom prst="rect">
                      <a:avLst/>
                    </a:prstGeom>
                    <a:noFill/>
                    <a:ln>
                      <a:noFill/>
                    </a:ln>
                  </pic:spPr>
                </pic:pic>
              </a:graphicData>
            </a:graphic>
          </wp:inline>
        </w:drawing>
      </w:r>
    </w:p>
    <w:p w14:paraId="35E54D57">
      <w:pPr>
        <w:spacing w:line="440" w:lineRule="exact"/>
        <w:ind w:firstLine="420" w:firstLineChars="200"/>
        <w:jc w:val="center"/>
        <w:rPr>
          <w:rFonts w:ascii="宋体" w:hAnsi="宋体" w:eastAsia="宋体" w:cs="Times New Roman"/>
          <w:color w:val="auto"/>
          <w:lang w:val="zh-CN"/>
        </w:rPr>
      </w:pPr>
      <w:r>
        <w:rPr>
          <w:rFonts w:ascii="宋体" w:hAnsi="宋体" w:eastAsia="宋体" w:cs="Times New Roman"/>
          <w:color w:val="auto"/>
        </w:rPr>
        <w:t>图5.1-24   正常排放叠加现状浓度后NOx保证率日平均网格浓度分布图</w:t>
      </w:r>
    </w:p>
    <w:p w14:paraId="38D4D6E7">
      <w:pPr>
        <w:jc w:val="center"/>
        <w:rPr>
          <w:rFonts w:ascii="宋体" w:hAnsi="宋体" w:eastAsia="宋体" w:cs="Times New Roman"/>
          <w:color w:val="auto"/>
          <w:lang w:val="zh-CN"/>
        </w:rPr>
      </w:pPr>
      <w:r>
        <w:rPr>
          <w:rFonts w:ascii="宋体" w:hAnsi="宋体" w:eastAsia="宋体"/>
          <w:color w:val="auto"/>
        </w:rPr>
        <w:drawing>
          <wp:inline distT="0" distB="0" distL="114300" distR="114300">
            <wp:extent cx="5756910" cy="4083685"/>
            <wp:effectExtent l="0" t="0" r="15240" b="12065"/>
            <wp:docPr id="1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1"/>
                    <pic:cNvPicPr>
                      <a:picLocks noChangeAspect="1"/>
                    </pic:cNvPicPr>
                  </pic:nvPicPr>
                  <pic:blipFill>
                    <a:blip r:embed="rId106"/>
                    <a:stretch>
                      <a:fillRect/>
                    </a:stretch>
                  </pic:blipFill>
                  <pic:spPr>
                    <a:xfrm>
                      <a:off x="0" y="0"/>
                      <a:ext cx="5756910" cy="4083685"/>
                    </a:xfrm>
                    <a:prstGeom prst="rect">
                      <a:avLst/>
                    </a:prstGeom>
                    <a:noFill/>
                    <a:ln>
                      <a:noFill/>
                    </a:ln>
                  </pic:spPr>
                </pic:pic>
              </a:graphicData>
            </a:graphic>
          </wp:inline>
        </w:drawing>
      </w:r>
    </w:p>
    <w:p w14:paraId="58451CA8">
      <w:pPr>
        <w:spacing w:line="440" w:lineRule="exact"/>
        <w:ind w:firstLine="420" w:firstLineChars="200"/>
        <w:jc w:val="center"/>
        <w:rPr>
          <w:rFonts w:ascii="宋体" w:hAnsi="宋体" w:eastAsia="宋体" w:cs="Times New Roman"/>
          <w:color w:val="auto"/>
          <w:lang w:val="zh-CN"/>
        </w:rPr>
      </w:pPr>
      <w:r>
        <w:rPr>
          <w:rFonts w:ascii="宋体" w:hAnsi="宋体" w:eastAsia="宋体" w:cs="Times New Roman"/>
          <w:color w:val="auto"/>
        </w:rPr>
        <w:t>图5.1-25  正常排放叠加现状浓度后NOx年平均网格浓度分布图</w:t>
      </w:r>
    </w:p>
    <w:p w14:paraId="6E693078">
      <w:pPr>
        <w:pStyle w:val="276"/>
        <w:widowControl w:val="0"/>
        <w:ind w:firstLine="480"/>
        <w:jc w:val="both"/>
        <w:rPr>
          <w:color w:val="auto"/>
          <w:lang w:val="zh-CN"/>
        </w:rPr>
      </w:pPr>
      <w:r>
        <w:rPr>
          <w:color w:val="auto"/>
          <w:lang w:val="zh-CN"/>
        </w:rPr>
        <w:t>（2）非正常工况预测</w:t>
      </w:r>
    </w:p>
    <w:p w14:paraId="54756AD2">
      <w:pPr>
        <w:pStyle w:val="276"/>
        <w:widowControl w:val="0"/>
        <w:ind w:firstLine="480"/>
        <w:jc w:val="both"/>
        <w:rPr>
          <w:color w:val="auto"/>
          <w:lang w:val="zh-CN"/>
        </w:rPr>
      </w:pPr>
      <w:r>
        <w:rPr>
          <w:color w:val="auto"/>
          <w:lang w:val="zh-CN"/>
        </w:rPr>
        <w:t>在采油井投产一段时间后，由于腐蚀结垢，机具损坏等原因，往往要进行修井，修井时要将油管全部拔出，以更换损坏的油管和机具，会增加非甲烷总烃挥发量，取油井作业时非甲烷总烃挥发量为正常挥发量的10倍，同一平台油井不同时作业，以</w:t>
      </w:r>
      <w:r>
        <w:rPr>
          <w:rFonts w:hint="eastAsia"/>
          <w:color w:val="auto"/>
        </w:rPr>
        <w:t>3</w:t>
      </w:r>
      <w:r>
        <w:rPr>
          <w:color w:val="auto"/>
          <w:lang w:val="zh-CN"/>
        </w:rPr>
        <w:t>号平台井场1口油井作业为例，本项目非正常工况下污染物外排情况参见表5.1-18，非正常工况非甲烷总烃小时贡献浓度保护目标处占标率统计见表5.1-19。非正常工况废气污染物预测结果图见图5.1-26。</w:t>
      </w:r>
    </w:p>
    <w:p w14:paraId="378FE49D">
      <w:pPr>
        <w:pStyle w:val="276"/>
        <w:widowControl w:val="0"/>
        <w:spacing w:line="440" w:lineRule="exact"/>
        <w:ind w:firstLine="0" w:firstLineChars="0"/>
        <w:jc w:val="center"/>
        <w:rPr>
          <w:color w:val="auto"/>
        </w:rPr>
      </w:pPr>
      <w:r>
        <w:rPr>
          <w:color w:val="auto"/>
        </w:rPr>
        <w:t>表5.1-18   非</w:t>
      </w:r>
      <w:r>
        <w:rPr>
          <w:color w:val="auto"/>
          <w:lang w:val="zh-CN"/>
        </w:rPr>
        <w:t>正常</w:t>
      </w:r>
      <w:r>
        <w:rPr>
          <w:color w:val="auto"/>
        </w:rPr>
        <w:t>工况源强表</w:t>
      </w:r>
    </w:p>
    <w:tbl>
      <w:tblPr>
        <w:tblStyle w:val="172"/>
        <w:tblW w:w="92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10"/>
        <w:gridCol w:w="851"/>
        <w:gridCol w:w="850"/>
        <w:gridCol w:w="1276"/>
        <w:gridCol w:w="1276"/>
        <w:gridCol w:w="992"/>
        <w:gridCol w:w="992"/>
        <w:gridCol w:w="2260"/>
      </w:tblGrid>
      <w:tr w14:paraId="5A976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10" w:type="dxa"/>
            <w:tcBorders>
              <w:left w:val="single" w:color="000000" w:sz="10" w:space="0"/>
            </w:tcBorders>
            <w:vAlign w:val="center"/>
          </w:tcPr>
          <w:p w14:paraId="26422B36">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污染源</w:t>
            </w:r>
          </w:p>
        </w:tc>
        <w:tc>
          <w:tcPr>
            <w:tcW w:w="851" w:type="dxa"/>
            <w:vAlign w:val="center"/>
          </w:tcPr>
          <w:p w14:paraId="538077B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非正常排放原因</w:t>
            </w:r>
          </w:p>
        </w:tc>
        <w:tc>
          <w:tcPr>
            <w:tcW w:w="850" w:type="dxa"/>
            <w:vAlign w:val="center"/>
          </w:tcPr>
          <w:p w14:paraId="027E14DB">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污染物</w:t>
            </w:r>
          </w:p>
        </w:tc>
        <w:tc>
          <w:tcPr>
            <w:tcW w:w="1276" w:type="dxa"/>
            <w:vAlign w:val="center"/>
          </w:tcPr>
          <w:p w14:paraId="39F2D9D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非正常排放浓</w:t>
            </w:r>
          </w:p>
          <w:p w14:paraId="349B12F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度（μg/m</w:t>
            </w:r>
            <w:r>
              <w:rPr>
                <w:rFonts w:ascii="宋体" w:hAnsi="宋体" w:eastAsia="宋体" w:cs="Times New Roman"/>
                <w:color w:val="auto"/>
                <w:vertAlign w:val="superscript"/>
              </w:rPr>
              <w:t>3</w:t>
            </w:r>
            <w:r>
              <w:rPr>
                <w:rFonts w:ascii="宋体" w:hAnsi="宋体" w:eastAsia="宋体" w:cs="Times New Roman"/>
                <w:color w:val="auto"/>
              </w:rPr>
              <w:t>）</w:t>
            </w:r>
          </w:p>
        </w:tc>
        <w:tc>
          <w:tcPr>
            <w:tcW w:w="1276" w:type="dxa"/>
            <w:vAlign w:val="center"/>
          </w:tcPr>
          <w:p w14:paraId="3C33C874">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非正常排放速率（kg/h）</w:t>
            </w:r>
          </w:p>
        </w:tc>
        <w:tc>
          <w:tcPr>
            <w:tcW w:w="992" w:type="dxa"/>
            <w:vAlign w:val="center"/>
          </w:tcPr>
          <w:p w14:paraId="299DD67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单次持续时间（h）</w:t>
            </w:r>
          </w:p>
        </w:tc>
        <w:tc>
          <w:tcPr>
            <w:tcW w:w="992" w:type="dxa"/>
            <w:vAlign w:val="center"/>
          </w:tcPr>
          <w:p w14:paraId="273A7D23">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年发生频次（次）</w:t>
            </w:r>
          </w:p>
        </w:tc>
        <w:tc>
          <w:tcPr>
            <w:tcW w:w="2260" w:type="dxa"/>
            <w:tcBorders>
              <w:right w:val="single" w:color="000000" w:sz="10" w:space="0"/>
            </w:tcBorders>
            <w:vAlign w:val="center"/>
          </w:tcPr>
          <w:p w14:paraId="09DF67A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应对措施</w:t>
            </w:r>
          </w:p>
        </w:tc>
      </w:tr>
      <w:tr w14:paraId="079E1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710" w:type="dxa"/>
            <w:tcBorders>
              <w:left w:val="single" w:color="000000" w:sz="10" w:space="0"/>
            </w:tcBorders>
            <w:vAlign w:val="center"/>
          </w:tcPr>
          <w:p w14:paraId="7CBDFD31">
            <w:pPr>
              <w:adjustRightInd w:val="0"/>
              <w:snapToGrid w:val="0"/>
              <w:spacing w:line="320" w:lineRule="exact"/>
              <w:jc w:val="center"/>
              <w:rPr>
                <w:rFonts w:ascii="宋体" w:hAnsi="宋体" w:eastAsia="宋体" w:cs="Times New Roman"/>
                <w:color w:val="auto"/>
              </w:rPr>
            </w:pPr>
            <w:r>
              <w:rPr>
                <w:rFonts w:hint="eastAsia" w:ascii="宋体" w:hAnsi="宋体" w:eastAsia="宋体" w:cs="Times New Roman"/>
                <w:color w:val="auto"/>
              </w:rPr>
              <w:t>源212扶平3</w:t>
            </w:r>
            <w:r>
              <w:rPr>
                <w:rFonts w:ascii="宋体" w:hAnsi="宋体" w:eastAsia="宋体" w:cs="Times New Roman"/>
                <w:color w:val="auto"/>
              </w:rPr>
              <w:t>井场</w:t>
            </w:r>
          </w:p>
        </w:tc>
        <w:tc>
          <w:tcPr>
            <w:tcW w:w="851" w:type="dxa"/>
            <w:vAlign w:val="center"/>
          </w:tcPr>
          <w:p w14:paraId="1FA74D38">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油井作业</w:t>
            </w:r>
          </w:p>
        </w:tc>
        <w:tc>
          <w:tcPr>
            <w:tcW w:w="850" w:type="dxa"/>
            <w:vAlign w:val="center"/>
          </w:tcPr>
          <w:p w14:paraId="704A201A">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NMHC</w:t>
            </w:r>
          </w:p>
        </w:tc>
        <w:tc>
          <w:tcPr>
            <w:tcW w:w="1276" w:type="dxa"/>
            <w:vAlign w:val="center"/>
          </w:tcPr>
          <w:p w14:paraId="66BE7F94">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w:t>
            </w:r>
          </w:p>
        </w:tc>
        <w:tc>
          <w:tcPr>
            <w:tcW w:w="1276" w:type="dxa"/>
            <w:vAlign w:val="center"/>
          </w:tcPr>
          <w:p w14:paraId="35312D9A">
            <w:pPr>
              <w:adjustRightInd w:val="0"/>
              <w:snapToGrid w:val="0"/>
              <w:spacing w:line="320" w:lineRule="exact"/>
              <w:jc w:val="center"/>
              <w:rPr>
                <w:rFonts w:ascii="宋体" w:hAnsi="宋体" w:eastAsia="宋体" w:cs="Times New Roman"/>
                <w:color w:val="auto"/>
              </w:rPr>
            </w:pPr>
            <w:r>
              <w:rPr>
                <w:rFonts w:hint="eastAsia" w:ascii="宋体" w:hAnsi="宋体" w:eastAsia="宋体" w:cs="Times New Roman"/>
                <w:color w:val="auto"/>
              </w:rPr>
              <w:t>1.70</w:t>
            </w:r>
          </w:p>
        </w:tc>
        <w:tc>
          <w:tcPr>
            <w:tcW w:w="992" w:type="dxa"/>
            <w:vAlign w:val="center"/>
          </w:tcPr>
          <w:p w14:paraId="3AAF48CF">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w:t>
            </w:r>
          </w:p>
        </w:tc>
        <w:tc>
          <w:tcPr>
            <w:tcW w:w="992" w:type="dxa"/>
            <w:vAlign w:val="center"/>
          </w:tcPr>
          <w:p w14:paraId="7188FB32">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1</w:t>
            </w:r>
          </w:p>
        </w:tc>
        <w:tc>
          <w:tcPr>
            <w:tcW w:w="2260" w:type="dxa"/>
            <w:tcBorders>
              <w:right w:val="single" w:color="000000" w:sz="10" w:space="0"/>
            </w:tcBorders>
            <w:vAlign w:val="center"/>
          </w:tcPr>
          <w:p w14:paraId="2F19B0BD">
            <w:pPr>
              <w:adjustRightInd w:val="0"/>
              <w:snapToGrid w:val="0"/>
              <w:spacing w:line="320" w:lineRule="exact"/>
              <w:jc w:val="center"/>
              <w:rPr>
                <w:rFonts w:ascii="宋体" w:hAnsi="宋体" w:eastAsia="宋体" w:cs="Times New Roman"/>
                <w:color w:val="auto"/>
              </w:rPr>
            </w:pPr>
            <w:r>
              <w:rPr>
                <w:rFonts w:ascii="宋体" w:hAnsi="宋体" w:eastAsia="宋体" w:cs="Times New Roman"/>
                <w:color w:val="auto"/>
              </w:rPr>
              <w:t>作业前实施压井技术（即对油井修井前向其注入高压水，冲刷油管和套管）以及安装井下卸油器</w:t>
            </w:r>
          </w:p>
        </w:tc>
      </w:tr>
    </w:tbl>
    <w:p w14:paraId="577EAEC2">
      <w:pPr>
        <w:pStyle w:val="276"/>
        <w:widowControl w:val="0"/>
        <w:spacing w:line="440" w:lineRule="exact"/>
        <w:ind w:firstLine="0" w:firstLineChars="0"/>
        <w:jc w:val="center"/>
        <w:rPr>
          <w:color w:val="auto"/>
        </w:rPr>
      </w:pPr>
      <w:r>
        <w:rPr>
          <w:color w:val="auto"/>
        </w:rPr>
        <w:t>表5.1-19 非正常工况非甲烷总烃小时贡献浓度占标率统计表</w:t>
      </w:r>
    </w:p>
    <w:tbl>
      <w:tblPr>
        <w:tblStyle w:val="172"/>
        <w:tblW w:w="906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66"/>
        <w:gridCol w:w="2159"/>
        <w:gridCol w:w="992"/>
        <w:gridCol w:w="2117"/>
        <w:gridCol w:w="1569"/>
        <w:gridCol w:w="1262"/>
      </w:tblGrid>
      <w:tr w14:paraId="21C4B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tcBorders>
              <w:tl2br w:val="nil"/>
              <w:tr2bl w:val="nil"/>
            </w:tcBorders>
            <w:vAlign w:val="center"/>
          </w:tcPr>
          <w:p w14:paraId="32032790">
            <w:pPr>
              <w:spacing w:line="320" w:lineRule="exact"/>
              <w:jc w:val="center"/>
              <w:rPr>
                <w:rFonts w:ascii="宋体" w:hAnsi="宋体" w:eastAsia="宋体" w:cs="Times New Roman"/>
                <w:color w:val="auto"/>
              </w:rPr>
            </w:pPr>
            <w:r>
              <w:rPr>
                <w:rFonts w:ascii="宋体" w:hAnsi="宋体" w:eastAsia="宋体" w:cs="Times New Roman"/>
                <w:color w:val="auto"/>
              </w:rPr>
              <w:t>污染物</w:t>
            </w:r>
          </w:p>
        </w:tc>
        <w:tc>
          <w:tcPr>
            <w:tcW w:w="2159" w:type="dxa"/>
            <w:tcBorders>
              <w:tl2br w:val="nil"/>
              <w:tr2bl w:val="nil"/>
            </w:tcBorders>
            <w:vAlign w:val="center"/>
          </w:tcPr>
          <w:p w14:paraId="3E11860C">
            <w:pPr>
              <w:spacing w:line="320" w:lineRule="exact"/>
              <w:jc w:val="center"/>
              <w:rPr>
                <w:rFonts w:ascii="宋体" w:hAnsi="宋体" w:eastAsia="宋体" w:cs="Times New Roman"/>
                <w:color w:val="auto"/>
              </w:rPr>
            </w:pPr>
            <w:r>
              <w:rPr>
                <w:rFonts w:ascii="宋体" w:hAnsi="宋体" w:eastAsia="宋体" w:cs="Times New Roman"/>
                <w:color w:val="auto"/>
              </w:rPr>
              <w:t>预测点</w:t>
            </w:r>
          </w:p>
        </w:tc>
        <w:tc>
          <w:tcPr>
            <w:tcW w:w="992" w:type="dxa"/>
            <w:tcBorders>
              <w:tl2br w:val="nil"/>
              <w:tr2bl w:val="nil"/>
            </w:tcBorders>
            <w:vAlign w:val="center"/>
          </w:tcPr>
          <w:p w14:paraId="41503FD1">
            <w:pPr>
              <w:spacing w:line="320" w:lineRule="exact"/>
              <w:jc w:val="center"/>
              <w:rPr>
                <w:rFonts w:ascii="宋体" w:hAnsi="宋体" w:eastAsia="宋体" w:cs="Times New Roman"/>
                <w:color w:val="auto"/>
              </w:rPr>
            </w:pPr>
            <w:r>
              <w:rPr>
                <w:rFonts w:ascii="宋体" w:hAnsi="宋体" w:eastAsia="宋体" w:cs="Times New Roman"/>
                <w:color w:val="auto"/>
              </w:rPr>
              <w:t>平均时段</w:t>
            </w:r>
          </w:p>
        </w:tc>
        <w:tc>
          <w:tcPr>
            <w:tcW w:w="2117" w:type="dxa"/>
            <w:tcBorders>
              <w:tl2br w:val="nil"/>
              <w:tr2bl w:val="nil"/>
            </w:tcBorders>
            <w:vAlign w:val="center"/>
          </w:tcPr>
          <w:p w14:paraId="3EAD1D60">
            <w:pPr>
              <w:spacing w:line="320" w:lineRule="exact"/>
              <w:jc w:val="center"/>
              <w:rPr>
                <w:rFonts w:ascii="宋体" w:hAnsi="宋体" w:eastAsia="宋体" w:cs="Times New Roman"/>
                <w:color w:val="auto"/>
              </w:rPr>
            </w:pPr>
            <w:r>
              <w:rPr>
                <w:rFonts w:ascii="宋体" w:hAnsi="宋体" w:eastAsia="宋体" w:cs="Times New Roman"/>
                <w:color w:val="auto"/>
              </w:rPr>
              <w:t>最大贡献值（μg/m</w:t>
            </w:r>
            <w:r>
              <w:rPr>
                <w:rFonts w:ascii="宋体" w:hAnsi="宋体" w:eastAsia="宋体" w:cs="Times New Roman"/>
                <w:color w:val="auto"/>
                <w:vertAlign w:val="superscript"/>
              </w:rPr>
              <w:t>3</w:t>
            </w:r>
            <w:r>
              <w:rPr>
                <w:rFonts w:ascii="宋体" w:hAnsi="宋体" w:eastAsia="宋体" w:cs="Times New Roman"/>
                <w:color w:val="auto"/>
              </w:rPr>
              <w:t>）</w:t>
            </w:r>
          </w:p>
        </w:tc>
        <w:tc>
          <w:tcPr>
            <w:tcW w:w="1569" w:type="dxa"/>
            <w:tcBorders>
              <w:tl2br w:val="nil"/>
              <w:tr2bl w:val="nil"/>
            </w:tcBorders>
            <w:vAlign w:val="center"/>
          </w:tcPr>
          <w:p w14:paraId="124CCDA9">
            <w:pPr>
              <w:spacing w:line="320" w:lineRule="exact"/>
              <w:jc w:val="center"/>
              <w:rPr>
                <w:rFonts w:ascii="宋体" w:hAnsi="宋体" w:eastAsia="宋体" w:cs="Times New Roman"/>
                <w:color w:val="auto"/>
              </w:rPr>
            </w:pPr>
            <w:r>
              <w:rPr>
                <w:rFonts w:ascii="宋体" w:hAnsi="宋体" w:eastAsia="宋体" w:cs="Times New Roman"/>
                <w:color w:val="auto"/>
              </w:rPr>
              <w:t>占标率/%</w:t>
            </w:r>
          </w:p>
        </w:tc>
        <w:tc>
          <w:tcPr>
            <w:tcW w:w="1262" w:type="dxa"/>
            <w:tcBorders>
              <w:tl2br w:val="nil"/>
              <w:tr2bl w:val="nil"/>
            </w:tcBorders>
            <w:vAlign w:val="center"/>
          </w:tcPr>
          <w:p w14:paraId="277A8172">
            <w:pPr>
              <w:spacing w:line="320" w:lineRule="exact"/>
              <w:jc w:val="center"/>
              <w:rPr>
                <w:rFonts w:ascii="宋体" w:hAnsi="宋体" w:eastAsia="宋体" w:cs="Times New Roman"/>
                <w:color w:val="auto"/>
              </w:rPr>
            </w:pPr>
            <w:r>
              <w:rPr>
                <w:rFonts w:ascii="宋体" w:hAnsi="宋体" w:eastAsia="宋体" w:cs="Times New Roman"/>
                <w:color w:val="auto"/>
              </w:rPr>
              <w:t>达标情况</w:t>
            </w:r>
          </w:p>
        </w:tc>
      </w:tr>
      <w:tr w14:paraId="131F3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restart"/>
            <w:tcBorders>
              <w:tl2br w:val="nil"/>
              <w:tr2bl w:val="nil"/>
            </w:tcBorders>
            <w:vAlign w:val="center"/>
          </w:tcPr>
          <w:p w14:paraId="139245AC">
            <w:pPr>
              <w:spacing w:line="320" w:lineRule="exact"/>
              <w:jc w:val="center"/>
              <w:rPr>
                <w:rFonts w:ascii="宋体" w:hAnsi="宋体" w:eastAsia="宋体" w:cs="Times New Roman"/>
                <w:color w:val="auto"/>
              </w:rPr>
            </w:pPr>
            <w:r>
              <w:rPr>
                <w:rFonts w:ascii="宋体" w:hAnsi="宋体" w:eastAsia="宋体" w:cs="Times New Roman"/>
                <w:color w:val="auto"/>
              </w:rPr>
              <w:t>NMHC</w:t>
            </w:r>
          </w:p>
        </w:tc>
        <w:tc>
          <w:tcPr>
            <w:tcW w:w="2159" w:type="dxa"/>
            <w:tcBorders>
              <w:tl2br w:val="nil"/>
              <w:tr2bl w:val="nil"/>
            </w:tcBorders>
            <w:vAlign w:val="center"/>
          </w:tcPr>
          <w:p w14:paraId="6D878736">
            <w:pPr>
              <w:spacing w:line="320" w:lineRule="exact"/>
              <w:jc w:val="center"/>
              <w:rPr>
                <w:rFonts w:ascii="宋体" w:hAnsi="宋体" w:eastAsia="宋体" w:cs="Times New Roman"/>
                <w:color w:val="auto"/>
              </w:rPr>
            </w:pPr>
            <w:r>
              <w:rPr>
                <w:rFonts w:hint="eastAsia" w:ascii="宋体" w:hAnsi="宋体" w:eastAsia="宋体" w:cs="Times New Roman"/>
                <w:color w:val="auto"/>
              </w:rPr>
              <w:t>吴家围子</w:t>
            </w:r>
          </w:p>
        </w:tc>
        <w:tc>
          <w:tcPr>
            <w:tcW w:w="992" w:type="dxa"/>
            <w:tcBorders>
              <w:tl2br w:val="nil"/>
              <w:tr2bl w:val="nil"/>
            </w:tcBorders>
            <w:vAlign w:val="center"/>
          </w:tcPr>
          <w:p w14:paraId="035B1782">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58A1977D">
            <w:pPr>
              <w:spacing w:line="320" w:lineRule="exact"/>
              <w:jc w:val="center"/>
              <w:rPr>
                <w:rFonts w:ascii="宋体" w:hAnsi="宋体" w:eastAsia="宋体" w:cs="Times New Roman"/>
                <w:color w:val="auto"/>
              </w:rPr>
            </w:pPr>
            <w:r>
              <w:rPr>
                <w:rFonts w:hint="eastAsia" w:ascii="宋体" w:hAnsi="宋体" w:eastAsia="宋体" w:cs="Times New Roman"/>
                <w:color w:val="auto"/>
              </w:rPr>
              <w:t>18.64496</w:t>
            </w:r>
          </w:p>
        </w:tc>
        <w:tc>
          <w:tcPr>
            <w:tcW w:w="1569" w:type="dxa"/>
            <w:tcBorders>
              <w:tl2br w:val="nil"/>
              <w:tr2bl w:val="nil"/>
            </w:tcBorders>
            <w:vAlign w:val="center"/>
          </w:tcPr>
          <w:p w14:paraId="4A3D7844">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0.932 </w:t>
            </w:r>
          </w:p>
        </w:tc>
        <w:tc>
          <w:tcPr>
            <w:tcW w:w="1262" w:type="dxa"/>
            <w:tcBorders>
              <w:tl2br w:val="nil"/>
              <w:tr2bl w:val="nil"/>
            </w:tcBorders>
            <w:vAlign w:val="center"/>
          </w:tcPr>
          <w:p w14:paraId="333BAB16">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28629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2EB7F28C">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61E0B76E">
            <w:pPr>
              <w:spacing w:line="320" w:lineRule="exact"/>
              <w:jc w:val="center"/>
              <w:rPr>
                <w:rFonts w:ascii="宋体" w:hAnsi="宋体" w:eastAsia="宋体" w:cs="Times New Roman"/>
                <w:color w:val="auto"/>
              </w:rPr>
            </w:pPr>
            <w:r>
              <w:rPr>
                <w:rFonts w:hint="eastAsia" w:ascii="宋体" w:hAnsi="宋体" w:eastAsia="宋体" w:cs="Times New Roman"/>
                <w:color w:val="auto"/>
              </w:rPr>
              <w:t>李彦和屯</w:t>
            </w:r>
          </w:p>
        </w:tc>
        <w:tc>
          <w:tcPr>
            <w:tcW w:w="992" w:type="dxa"/>
            <w:tcBorders>
              <w:tl2br w:val="nil"/>
              <w:tr2bl w:val="nil"/>
            </w:tcBorders>
            <w:vAlign w:val="center"/>
          </w:tcPr>
          <w:p w14:paraId="04E9D73F">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19F34F06">
            <w:pPr>
              <w:spacing w:line="320" w:lineRule="exact"/>
              <w:jc w:val="center"/>
              <w:rPr>
                <w:rFonts w:ascii="宋体" w:hAnsi="宋体" w:eastAsia="宋体" w:cs="Times New Roman"/>
                <w:color w:val="auto"/>
              </w:rPr>
            </w:pPr>
            <w:r>
              <w:rPr>
                <w:rFonts w:hint="eastAsia" w:ascii="宋体" w:hAnsi="宋体" w:eastAsia="宋体" w:cs="Times New Roman"/>
                <w:color w:val="auto"/>
              </w:rPr>
              <w:t>22.4446</w:t>
            </w:r>
          </w:p>
        </w:tc>
        <w:tc>
          <w:tcPr>
            <w:tcW w:w="1569" w:type="dxa"/>
            <w:tcBorders>
              <w:tl2br w:val="nil"/>
              <w:tr2bl w:val="nil"/>
            </w:tcBorders>
            <w:vAlign w:val="center"/>
          </w:tcPr>
          <w:p w14:paraId="262B696E">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1.122 </w:t>
            </w:r>
          </w:p>
        </w:tc>
        <w:tc>
          <w:tcPr>
            <w:tcW w:w="1262" w:type="dxa"/>
            <w:tcBorders>
              <w:tl2br w:val="nil"/>
              <w:tr2bl w:val="nil"/>
            </w:tcBorders>
            <w:vAlign w:val="center"/>
          </w:tcPr>
          <w:p w14:paraId="6A78690A">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01B13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69D948BE">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4FC8898C">
            <w:pPr>
              <w:spacing w:line="320" w:lineRule="exact"/>
              <w:jc w:val="center"/>
              <w:rPr>
                <w:rFonts w:ascii="宋体" w:hAnsi="宋体" w:eastAsia="宋体" w:cs="Times New Roman"/>
                <w:color w:val="auto"/>
              </w:rPr>
            </w:pPr>
            <w:r>
              <w:rPr>
                <w:rFonts w:hint="eastAsia" w:ascii="宋体" w:hAnsi="宋体" w:eastAsia="宋体" w:cs="Times New Roman"/>
                <w:color w:val="auto"/>
              </w:rPr>
              <w:t>华南屯</w:t>
            </w:r>
          </w:p>
        </w:tc>
        <w:tc>
          <w:tcPr>
            <w:tcW w:w="992" w:type="dxa"/>
            <w:tcBorders>
              <w:tl2br w:val="nil"/>
              <w:tr2bl w:val="nil"/>
            </w:tcBorders>
            <w:vAlign w:val="center"/>
          </w:tcPr>
          <w:p w14:paraId="5B51A89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66BE3FF6">
            <w:pPr>
              <w:spacing w:line="320" w:lineRule="exact"/>
              <w:jc w:val="center"/>
              <w:rPr>
                <w:rFonts w:ascii="宋体" w:hAnsi="宋体" w:eastAsia="宋体" w:cs="Times New Roman"/>
                <w:color w:val="auto"/>
              </w:rPr>
            </w:pPr>
            <w:r>
              <w:rPr>
                <w:rFonts w:hint="eastAsia" w:ascii="宋体" w:hAnsi="宋体" w:eastAsia="宋体" w:cs="Times New Roman"/>
                <w:color w:val="auto"/>
              </w:rPr>
              <w:t>20.57794</w:t>
            </w:r>
          </w:p>
        </w:tc>
        <w:tc>
          <w:tcPr>
            <w:tcW w:w="1569" w:type="dxa"/>
            <w:tcBorders>
              <w:tl2br w:val="nil"/>
              <w:tr2bl w:val="nil"/>
            </w:tcBorders>
            <w:vAlign w:val="center"/>
          </w:tcPr>
          <w:p w14:paraId="2BA8B1A9">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1.029 </w:t>
            </w:r>
          </w:p>
        </w:tc>
        <w:tc>
          <w:tcPr>
            <w:tcW w:w="1262" w:type="dxa"/>
            <w:tcBorders>
              <w:tl2br w:val="nil"/>
              <w:tr2bl w:val="nil"/>
            </w:tcBorders>
            <w:vAlign w:val="center"/>
          </w:tcPr>
          <w:p w14:paraId="01B46C73">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1AB96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06EEB61B">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0ECCF077">
            <w:pPr>
              <w:spacing w:line="320" w:lineRule="exact"/>
              <w:jc w:val="center"/>
              <w:rPr>
                <w:rFonts w:ascii="宋体" w:hAnsi="宋体" w:eastAsia="宋体" w:cs="Times New Roman"/>
                <w:color w:val="auto"/>
              </w:rPr>
            </w:pPr>
            <w:r>
              <w:rPr>
                <w:rFonts w:hint="eastAsia" w:ascii="宋体" w:hAnsi="宋体" w:eastAsia="宋体" w:cs="Times New Roman"/>
                <w:color w:val="auto"/>
              </w:rPr>
              <w:t>小欧力马屯</w:t>
            </w:r>
          </w:p>
        </w:tc>
        <w:tc>
          <w:tcPr>
            <w:tcW w:w="992" w:type="dxa"/>
            <w:tcBorders>
              <w:tl2br w:val="nil"/>
              <w:tr2bl w:val="nil"/>
            </w:tcBorders>
            <w:vAlign w:val="center"/>
          </w:tcPr>
          <w:p w14:paraId="6731BC18">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7A09DB92">
            <w:pPr>
              <w:spacing w:line="320" w:lineRule="exact"/>
              <w:jc w:val="center"/>
              <w:rPr>
                <w:rFonts w:ascii="宋体" w:hAnsi="宋体" w:eastAsia="宋体" w:cs="Times New Roman"/>
                <w:color w:val="auto"/>
              </w:rPr>
            </w:pPr>
            <w:r>
              <w:rPr>
                <w:rFonts w:hint="eastAsia" w:ascii="宋体" w:hAnsi="宋体" w:eastAsia="宋体" w:cs="Times New Roman"/>
                <w:color w:val="auto"/>
              </w:rPr>
              <w:t>30.89787</w:t>
            </w:r>
          </w:p>
        </w:tc>
        <w:tc>
          <w:tcPr>
            <w:tcW w:w="1569" w:type="dxa"/>
            <w:tcBorders>
              <w:tl2br w:val="nil"/>
              <w:tr2bl w:val="nil"/>
            </w:tcBorders>
            <w:vAlign w:val="center"/>
          </w:tcPr>
          <w:p w14:paraId="67396B85">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1.545 </w:t>
            </w:r>
          </w:p>
        </w:tc>
        <w:tc>
          <w:tcPr>
            <w:tcW w:w="1262" w:type="dxa"/>
            <w:tcBorders>
              <w:tl2br w:val="nil"/>
              <w:tr2bl w:val="nil"/>
            </w:tcBorders>
            <w:vAlign w:val="center"/>
          </w:tcPr>
          <w:p w14:paraId="20DEB458">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2BE1A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554F2009">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578CE311">
            <w:pPr>
              <w:spacing w:line="320" w:lineRule="exact"/>
              <w:jc w:val="center"/>
              <w:rPr>
                <w:rFonts w:ascii="宋体" w:hAnsi="宋体" w:eastAsia="宋体" w:cs="Times New Roman"/>
                <w:color w:val="auto"/>
              </w:rPr>
            </w:pPr>
            <w:r>
              <w:rPr>
                <w:rFonts w:hint="eastAsia" w:ascii="宋体" w:hAnsi="宋体" w:eastAsia="宋体" w:cs="Times New Roman"/>
                <w:color w:val="auto"/>
              </w:rPr>
              <w:t>立功村</w:t>
            </w:r>
          </w:p>
        </w:tc>
        <w:tc>
          <w:tcPr>
            <w:tcW w:w="992" w:type="dxa"/>
            <w:tcBorders>
              <w:tl2br w:val="nil"/>
              <w:tr2bl w:val="nil"/>
            </w:tcBorders>
            <w:vAlign w:val="center"/>
          </w:tcPr>
          <w:p w14:paraId="52EFEF4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59BC1491">
            <w:pPr>
              <w:spacing w:line="320" w:lineRule="exact"/>
              <w:jc w:val="center"/>
              <w:rPr>
                <w:rFonts w:ascii="宋体" w:hAnsi="宋体" w:eastAsia="宋体" w:cs="Times New Roman"/>
                <w:color w:val="auto"/>
              </w:rPr>
            </w:pPr>
            <w:r>
              <w:rPr>
                <w:rFonts w:hint="eastAsia" w:ascii="宋体" w:hAnsi="宋体" w:eastAsia="宋体" w:cs="Times New Roman"/>
                <w:color w:val="auto"/>
              </w:rPr>
              <w:t>17.25691</w:t>
            </w:r>
          </w:p>
        </w:tc>
        <w:tc>
          <w:tcPr>
            <w:tcW w:w="1569" w:type="dxa"/>
            <w:tcBorders>
              <w:tl2br w:val="nil"/>
              <w:tr2bl w:val="nil"/>
            </w:tcBorders>
            <w:vAlign w:val="center"/>
          </w:tcPr>
          <w:p w14:paraId="1F6DF657">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0.863 </w:t>
            </w:r>
          </w:p>
        </w:tc>
        <w:tc>
          <w:tcPr>
            <w:tcW w:w="1262" w:type="dxa"/>
            <w:tcBorders>
              <w:tl2br w:val="nil"/>
              <w:tr2bl w:val="nil"/>
            </w:tcBorders>
            <w:vAlign w:val="center"/>
          </w:tcPr>
          <w:p w14:paraId="58901E27">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13B35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09EA46E2">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7BAE0352">
            <w:pPr>
              <w:spacing w:line="320" w:lineRule="exact"/>
              <w:jc w:val="center"/>
              <w:rPr>
                <w:rFonts w:ascii="宋体" w:hAnsi="宋体" w:eastAsia="宋体" w:cs="Times New Roman"/>
                <w:color w:val="auto"/>
              </w:rPr>
            </w:pPr>
            <w:r>
              <w:rPr>
                <w:rFonts w:hint="eastAsia" w:ascii="宋体" w:hAnsi="宋体" w:eastAsia="宋体" w:cs="Times New Roman"/>
                <w:color w:val="auto"/>
              </w:rPr>
              <w:t>后欧力马屯</w:t>
            </w:r>
          </w:p>
        </w:tc>
        <w:tc>
          <w:tcPr>
            <w:tcW w:w="992" w:type="dxa"/>
            <w:tcBorders>
              <w:tl2br w:val="nil"/>
              <w:tr2bl w:val="nil"/>
            </w:tcBorders>
            <w:vAlign w:val="center"/>
          </w:tcPr>
          <w:p w14:paraId="5DC25BF8">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044F2A9D">
            <w:pPr>
              <w:spacing w:line="320" w:lineRule="exact"/>
              <w:jc w:val="center"/>
              <w:rPr>
                <w:rFonts w:ascii="宋体" w:hAnsi="宋体" w:eastAsia="宋体" w:cs="Times New Roman"/>
                <w:color w:val="auto"/>
              </w:rPr>
            </w:pPr>
            <w:r>
              <w:rPr>
                <w:rFonts w:hint="eastAsia" w:ascii="宋体" w:hAnsi="宋体" w:eastAsia="宋体" w:cs="Times New Roman"/>
                <w:color w:val="auto"/>
              </w:rPr>
              <w:t>58.41991</w:t>
            </w:r>
          </w:p>
        </w:tc>
        <w:tc>
          <w:tcPr>
            <w:tcW w:w="1569" w:type="dxa"/>
            <w:tcBorders>
              <w:tl2br w:val="nil"/>
              <w:tr2bl w:val="nil"/>
            </w:tcBorders>
            <w:vAlign w:val="center"/>
          </w:tcPr>
          <w:p w14:paraId="6C2283A0">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2.921 </w:t>
            </w:r>
          </w:p>
        </w:tc>
        <w:tc>
          <w:tcPr>
            <w:tcW w:w="1262" w:type="dxa"/>
            <w:tcBorders>
              <w:tl2br w:val="nil"/>
              <w:tr2bl w:val="nil"/>
            </w:tcBorders>
            <w:vAlign w:val="center"/>
          </w:tcPr>
          <w:p w14:paraId="032092FB">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4806B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616DA54B">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466B1798">
            <w:pPr>
              <w:spacing w:line="320" w:lineRule="exact"/>
              <w:jc w:val="center"/>
              <w:rPr>
                <w:rFonts w:ascii="宋体" w:hAnsi="宋体" w:eastAsia="宋体" w:cs="Times New Roman"/>
                <w:color w:val="auto"/>
              </w:rPr>
            </w:pPr>
            <w:r>
              <w:rPr>
                <w:rFonts w:hint="eastAsia" w:ascii="宋体" w:hAnsi="宋体" w:eastAsia="宋体" w:cs="Times New Roman"/>
                <w:color w:val="auto"/>
              </w:rPr>
              <w:t>王家园子屯</w:t>
            </w:r>
          </w:p>
        </w:tc>
        <w:tc>
          <w:tcPr>
            <w:tcW w:w="992" w:type="dxa"/>
            <w:tcBorders>
              <w:tl2br w:val="nil"/>
              <w:tr2bl w:val="nil"/>
            </w:tcBorders>
            <w:vAlign w:val="center"/>
          </w:tcPr>
          <w:p w14:paraId="15750AE6">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462FC384">
            <w:pPr>
              <w:spacing w:line="320" w:lineRule="exact"/>
              <w:jc w:val="center"/>
              <w:rPr>
                <w:rFonts w:ascii="宋体" w:hAnsi="宋体" w:eastAsia="宋体" w:cs="Times New Roman"/>
                <w:color w:val="auto"/>
              </w:rPr>
            </w:pPr>
            <w:r>
              <w:rPr>
                <w:rFonts w:hint="eastAsia" w:ascii="宋体" w:hAnsi="宋体" w:eastAsia="宋体" w:cs="Times New Roman"/>
                <w:color w:val="auto"/>
              </w:rPr>
              <w:t>42.82393</w:t>
            </w:r>
          </w:p>
        </w:tc>
        <w:tc>
          <w:tcPr>
            <w:tcW w:w="1569" w:type="dxa"/>
            <w:tcBorders>
              <w:tl2br w:val="nil"/>
              <w:tr2bl w:val="nil"/>
            </w:tcBorders>
            <w:vAlign w:val="center"/>
          </w:tcPr>
          <w:p w14:paraId="316C6E01">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2.141 </w:t>
            </w:r>
          </w:p>
        </w:tc>
        <w:tc>
          <w:tcPr>
            <w:tcW w:w="1262" w:type="dxa"/>
            <w:tcBorders>
              <w:tl2br w:val="nil"/>
              <w:tr2bl w:val="nil"/>
            </w:tcBorders>
            <w:vAlign w:val="center"/>
          </w:tcPr>
          <w:p w14:paraId="27C4E80B">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0EC2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440E125E">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6AE3744A">
            <w:pPr>
              <w:spacing w:line="320" w:lineRule="exact"/>
              <w:jc w:val="center"/>
              <w:rPr>
                <w:rFonts w:ascii="宋体" w:hAnsi="宋体" w:eastAsia="宋体" w:cs="Times New Roman"/>
                <w:color w:val="auto"/>
              </w:rPr>
            </w:pPr>
            <w:r>
              <w:rPr>
                <w:rFonts w:hint="eastAsia" w:ascii="宋体" w:hAnsi="宋体" w:eastAsia="宋体" w:cs="Times New Roman"/>
                <w:color w:val="auto"/>
              </w:rPr>
              <w:t>和平乡</w:t>
            </w:r>
          </w:p>
        </w:tc>
        <w:tc>
          <w:tcPr>
            <w:tcW w:w="992" w:type="dxa"/>
            <w:tcBorders>
              <w:tl2br w:val="nil"/>
              <w:tr2bl w:val="nil"/>
            </w:tcBorders>
            <w:vAlign w:val="center"/>
          </w:tcPr>
          <w:p w14:paraId="32F13A69">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6B5AADFA">
            <w:pPr>
              <w:spacing w:line="320" w:lineRule="exact"/>
              <w:jc w:val="center"/>
              <w:rPr>
                <w:rFonts w:ascii="宋体" w:hAnsi="宋体" w:eastAsia="宋体" w:cs="Times New Roman"/>
                <w:color w:val="auto"/>
              </w:rPr>
            </w:pPr>
            <w:r>
              <w:rPr>
                <w:rFonts w:hint="eastAsia" w:ascii="宋体" w:hAnsi="宋体" w:eastAsia="宋体" w:cs="Times New Roman"/>
                <w:color w:val="auto"/>
              </w:rPr>
              <w:t>21.97677</w:t>
            </w:r>
          </w:p>
        </w:tc>
        <w:tc>
          <w:tcPr>
            <w:tcW w:w="1569" w:type="dxa"/>
            <w:tcBorders>
              <w:tl2br w:val="nil"/>
              <w:tr2bl w:val="nil"/>
            </w:tcBorders>
            <w:vAlign w:val="center"/>
          </w:tcPr>
          <w:p w14:paraId="10D135E0">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1.099 </w:t>
            </w:r>
          </w:p>
        </w:tc>
        <w:tc>
          <w:tcPr>
            <w:tcW w:w="1262" w:type="dxa"/>
            <w:tcBorders>
              <w:tl2br w:val="nil"/>
              <w:tr2bl w:val="nil"/>
            </w:tcBorders>
            <w:vAlign w:val="center"/>
          </w:tcPr>
          <w:p w14:paraId="450C9523">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44AC1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4B3DF8BC">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237C1239">
            <w:pPr>
              <w:spacing w:line="320" w:lineRule="exact"/>
              <w:jc w:val="center"/>
              <w:rPr>
                <w:rFonts w:ascii="宋体" w:hAnsi="宋体" w:eastAsia="宋体" w:cs="Times New Roman"/>
                <w:color w:val="auto"/>
              </w:rPr>
            </w:pPr>
            <w:r>
              <w:rPr>
                <w:rFonts w:hint="eastAsia" w:ascii="宋体" w:hAnsi="宋体" w:eastAsia="宋体" w:cs="Times New Roman"/>
                <w:color w:val="auto"/>
              </w:rPr>
              <w:t>赵家围子屯</w:t>
            </w:r>
          </w:p>
        </w:tc>
        <w:tc>
          <w:tcPr>
            <w:tcW w:w="992" w:type="dxa"/>
            <w:tcBorders>
              <w:tl2br w:val="nil"/>
              <w:tr2bl w:val="nil"/>
            </w:tcBorders>
            <w:vAlign w:val="center"/>
          </w:tcPr>
          <w:p w14:paraId="69D3EAF3">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01E948BE">
            <w:pPr>
              <w:spacing w:line="320" w:lineRule="exact"/>
              <w:jc w:val="center"/>
              <w:rPr>
                <w:rFonts w:ascii="宋体" w:hAnsi="宋体" w:eastAsia="宋体" w:cs="Times New Roman"/>
                <w:color w:val="auto"/>
              </w:rPr>
            </w:pPr>
            <w:r>
              <w:rPr>
                <w:rFonts w:hint="eastAsia" w:ascii="宋体" w:hAnsi="宋体" w:eastAsia="宋体" w:cs="Times New Roman"/>
                <w:color w:val="auto"/>
              </w:rPr>
              <w:t>30.23112</w:t>
            </w:r>
          </w:p>
        </w:tc>
        <w:tc>
          <w:tcPr>
            <w:tcW w:w="1569" w:type="dxa"/>
            <w:tcBorders>
              <w:tl2br w:val="nil"/>
              <w:tr2bl w:val="nil"/>
            </w:tcBorders>
            <w:vAlign w:val="center"/>
          </w:tcPr>
          <w:p w14:paraId="6D985A0B">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1.512 </w:t>
            </w:r>
          </w:p>
        </w:tc>
        <w:tc>
          <w:tcPr>
            <w:tcW w:w="1262" w:type="dxa"/>
            <w:tcBorders>
              <w:tl2br w:val="nil"/>
              <w:tr2bl w:val="nil"/>
            </w:tcBorders>
            <w:vAlign w:val="center"/>
          </w:tcPr>
          <w:p w14:paraId="08C33A9C">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5190B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192F6946">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4AE672D4">
            <w:pPr>
              <w:spacing w:line="320" w:lineRule="exact"/>
              <w:jc w:val="center"/>
              <w:rPr>
                <w:rFonts w:ascii="宋体" w:hAnsi="宋体" w:eastAsia="宋体" w:cs="Times New Roman"/>
                <w:color w:val="auto"/>
              </w:rPr>
            </w:pPr>
            <w:r>
              <w:rPr>
                <w:rFonts w:hint="eastAsia" w:ascii="宋体" w:hAnsi="宋体" w:eastAsia="宋体" w:cs="Times New Roman"/>
                <w:color w:val="auto"/>
              </w:rPr>
              <w:t>孙家围子屯</w:t>
            </w:r>
          </w:p>
        </w:tc>
        <w:tc>
          <w:tcPr>
            <w:tcW w:w="992" w:type="dxa"/>
            <w:tcBorders>
              <w:tl2br w:val="nil"/>
              <w:tr2bl w:val="nil"/>
            </w:tcBorders>
            <w:vAlign w:val="center"/>
          </w:tcPr>
          <w:p w14:paraId="05D0050A">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185DF1D4">
            <w:pPr>
              <w:spacing w:line="320" w:lineRule="exact"/>
              <w:jc w:val="center"/>
              <w:rPr>
                <w:rFonts w:ascii="宋体" w:hAnsi="宋体" w:eastAsia="宋体" w:cs="Times New Roman"/>
                <w:color w:val="auto"/>
              </w:rPr>
            </w:pPr>
            <w:r>
              <w:rPr>
                <w:rFonts w:hint="eastAsia" w:ascii="宋体" w:hAnsi="宋体" w:eastAsia="宋体" w:cs="Times New Roman"/>
                <w:color w:val="auto"/>
              </w:rPr>
              <w:t>21.679</w:t>
            </w:r>
          </w:p>
        </w:tc>
        <w:tc>
          <w:tcPr>
            <w:tcW w:w="1569" w:type="dxa"/>
            <w:tcBorders>
              <w:tl2br w:val="nil"/>
              <w:tr2bl w:val="nil"/>
            </w:tcBorders>
            <w:vAlign w:val="center"/>
          </w:tcPr>
          <w:p w14:paraId="67131766">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1.084 </w:t>
            </w:r>
          </w:p>
        </w:tc>
        <w:tc>
          <w:tcPr>
            <w:tcW w:w="1262" w:type="dxa"/>
            <w:tcBorders>
              <w:tl2br w:val="nil"/>
              <w:tr2bl w:val="nil"/>
            </w:tcBorders>
            <w:vAlign w:val="center"/>
          </w:tcPr>
          <w:p w14:paraId="62758589">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30C8B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38EFA786">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5CFA8DC1">
            <w:pPr>
              <w:spacing w:line="320" w:lineRule="exact"/>
              <w:jc w:val="center"/>
              <w:rPr>
                <w:rFonts w:ascii="宋体" w:hAnsi="宋体" w:eastAsia="宋体" w:cs="Times New Roman"/>
                <w:color w:val="auto"/>
              </w:rPr>
            </w:pPr>
            <w:r>
              <w:rPr>
                <w:rFonts w:hint="eastAsia" w:ascii="宋体" w:hAnsi="宋体" w:eastAsia="宋体" w:cs="Times New Roman"/>
                <w:color w:val="auto"/>
              </w:rPr>
              <w:t>对青岗子屯</w:t>
            </w:r>
          </w:p>
        </w:tc>
        <w:tc>
          <w:tcPr>
            <w:tcW w:w="992" w:type="dxa"/>
            <w:tcBorders>
              <w:tl2br w:val="nil"/>
              <w:tr2bl w:val="nil"/>
            </w:tcBorders>
            <w:vAlign w:val="center"/>
          </w:tcPr>
          <w:p w14:paraId="131D094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5BFA5677">
            <w:pPr>
              <w:spacing w:line="320" w:lineRule="exact"/>
              <w:jc w:val="center"/>
              <w:rPr>
                <w:rFonts w:ascii="宋体" w:hAnsi="宋体" w:eastAsia="宋体" w:cs="Times New Roman"/>
                <w:color w:val="auto"/>
              </w:rPr>
            </w:pPr>
            <w:r>
              <w:rPr>
                <w:rFonts w:hint="eastAsia" w:ascii="宋体" w:hAnsi="宋体" w:eastAsia="宋体" w:cs="Times New Roman"/>
                <w:color w:val="auto"/>
              </w:rPr>
              <w:t>17.35503</w:t>
            </w:r>
          </w:p>
        </w:tc>
        <w:tc>
          <w:tcPr>
            <w:tcW w:w="1569" w:type="dxa"/>
            <w:tcBorders>
              <w:tl2br w:val="nil"/>
              <w:tr2bl w:val="nil"/>
            </w:tcBorders>
            <w:vAlign w:val="center"/>
          </w:tcPr>
          <w:p w14:paraId="2DD3F35D">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0.868 </w:t>
            </w:r>
          </w:p>
        </w:tc>
        <w:tc>
          <w:tcPr>
            <w:tcW w:w="1262" w:type="dxa"/>
            <w:tcBorders>
              <w:tl2br w:val="nil"/>
              <w:tr2bl w:val="nil"/>
            </w:tcBorders>
            <w:vAlign w:val="center"/>
          </w:tcPr>
          <w:p w14:paraId="372C1259">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26C0D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1F673DFD">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56C1C363">
            <w:pPr>
              <w:spacing w:line="320" w:lineRule="exact"/>
              <w:jc w:val="center"/>
              <w:rPr>
                <w:rFonts w:ascii="宋体" w:hAnsi="宋体" w:eastAsia="宋体" w:cs="Times New Roman"/>
                <w:color w:val="auto"/>
              </w:rPr>
            </w:pPr>
            <w:r>
              <w:rPr>
                <w:rFonts w:hint="eastAsia" w:ascii="宋体" w:hAnsi="宋体" w:eastAsia="宋体" w:cs="Times New Roman"/>
                <w:color w:val="auto"/>
              </w:rPr>
              <w:t>蒙古屯</w:t>
            </w:r>
          </w:p>
        </w:tc>
        <w:tc>
          <w:tcPr>
            <w:tcW w:w="992" w:type="dxa"/>
            <w:tcBorders>
              <w:tl2br w:val="nil"/>
              <w:tr2bl w:val="nil"/>
            </w:tcBorders>
            <w:vAlign w:val="center"/>
          </w:tcPr>
          <w:p w14:paraId="62719ACF">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3B4CDBFA">
            <w:pPr>
              <w:spacing w:line="320" w:lineRule="exact"/>
              <w:jc w:val="center"/>
              <w:rPr>
                <w:rFonts w:ascii="宋体" w:hAnsi="宋体" w:eastAsia="宋体" w:cs="Times New Roman"/>
                <w:color w:val="auto"/>
              </w:rPr>
            </w:pPr>
            <w:r>
              <w:rPr>
                <w:rFonts w:hint="eastAsia" w:ascii="宋体" w:hAnsi="宋体" w:eastAsia="宋体" w:cs="Times New Roman"/>
                <w:color w:val="auto"/>
              </w:rPr>
              <w:t>13.90703</w:t>
            </w:r>
          </w:p>
        </w:tc>
        <w:tc>
          <w:tcPr>
            <w:tcW w:w="1569" w:type="dxa"/>
            <w:tcBorders>
              <w:tl2br w:val="nil"/>
              <w:tr2bl w:val="nil"/>
            </w:tcBorders>
            <w:vAlign w:val="center"/>
          </w:tcPr>
          <w:p w14:paraId="0E9FEB6D">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0.695 </w:t>
            </w:r>
          </w:p>
        </w:tc>
        <w:tc>
          <w:tcPr>
            <w:tcW w:w="1262" w:type="dxa"/>
            <w:tcBorders>
              <w:tl2br w:val="nil"/>
              <w:tr2bl w:val="nil"/>
            </w:tcBorders>
            <w:vAlign w:val="center"/>
          </w:tcPr>
          <w:p w14:paraId="281773C4">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38CA4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5020D1BC">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161AFB9B">
            <w:pPr>
              <w:spacing w:line="320" w:lineRule="exact"/>
              <w:jc w:val="center"/>
              <w:rPr>
                <w:rFonts w:ascii="宋体" w:hAnsi="宋体" w:eastAsia="宋体" w:cs="Times New Roman"/>
                <w:color w:val="auto"/>
              </w:rPr>
            </w:pPr>
            <w:r>
              <w:rPr>
                <w:rFonts w:hint="eastAsia" w:ascii="宋体" w:hAnsi="宋体" w:eastAsia="宋体" w:cs="Times New Roman"/>
                <w:color w:val="auto"/>
              </w:rPr>
              <w:t>四方山屯</w:t>
            </w:r>
          </w:p>
        </w:tc>
        <w:tc>
          <w:tcPr>
            <w:tcW w:w="992" w:type="dxa"/>
            <w:tcBorders>
              <w:tl2br w:val="nil"/>
              <w:tr2bl w:val="nil"/>
            </w:tcBorders>
            <w:vAlign w:val="center"/>
          </w:tcPr>
          <w:p w14:paraId="243328C6">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59B007FF">
            <w:pPr>
              <w:spacing w:line="320" w:lineRule="exact"/>
              <w:jc w:val="center"/>
              <w:rPr>
                <w:rFonts w:ascii="宋体" w:hAnsi="宋体" w:eastAsia="宋体" w:cs="Times New Roman"/>
                <w:color w:val="auto"/>
              </w:rPr>
            </w:pPr>
            <w:r>
              <w:rPr>
                <w:rFonts w:hint="eastAsia" w:ascii="宋体" w:hAnsi="宋体" w:eastAsia="宋体" w:cs="Times New Roman"/>
                <w:color w:val="auto"/>
              </w:rPr>
              <w:t>12.91619</w:t>
            </w:r>
          </w:p>
        </w:tc>
        <w:tc>
          <w:tcPr>
            <w:tcW w:w="1569" w:type="dxa"/>
            <w:tcBorders>
              <w:tl2br w:val="nil"/>
              <w:tr2bl w:val="nil"/>
            </w:tcBorders>
            <w:vAlign w:val="center"/>
          </w:tcPr>
          <w:p w14:paraId="512FBA32">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0.646 </w:t>
            </w:r>
          </w:p>
        </w:tc>
        <w:tc>
          <w:tcPr>
            <w:tcW w:w="1262" w:type="dxa"/>
            <w:tcBorders>
              <w:tl2br w:val="nil"/>
              <w:tr2bl w:val="nil"/>
            </w:tcBorders>
            <w:vAlign w:val="center"/>
          </w:tcPr>
          <w:p w14:paraId="2F06F3F8">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78712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4359081E">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49994096">
            <w:pPr>
              <w:spacing w:line="320" w:lineRule="exact"/>
              <w:jc w:val="center"/>
              <w:rPr>
                <w:rFonts w:ascii="宋体" w:hAnsi="宋体" w:eastAsia="宋体" w:cs="Times New Roman"/>
                <w:color w:val="auto"/>
              </w:rPr>
            </w:pPr>
            <w:r>
              <w:rPr>
                <w:rFonts w:hint="eastAsia" w:ascii="宋体" w:hAnsi="宋体" w:eastAsia="宋体" w:cs="Times New Roman"/>
                <w:color w:val="auto"/>
              </w:rPr>
              <w:t>小东屯</w:t>
            </w:r>
          </w:p>
        </w:tc>
        <w:tc>
          <w:tcPr>
            <w:tcW w:w="992" w:type="dxa"/>
            <w:tcBorders>
              <w:tl2br w:val="nil"/>
              <w:tr2bl w:val="nil"/>
            </w:tcBorders>
            <w:vAlign w:val="center"/>
          </w:tcPr>
          <w:p w14:paraId="174FA498">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656A167C">
            <w:pPr>
              <w:spacing w:line="320" w:lineRule="exact"/>
              <w:jc w:val="center"/>
              <w:rPr>
                <w:rFonts w:ascii="宋体" w:hAnsi="宋体" w:eastAsia="宋体" w:cs="Times New Roman"/>
                <w:color w:val="auto"/>
              </w:rPr>
            </w:pPr>
            <w:r>
              <w:rPr>
                <w:rFonts w:hint="eastAsia" w:ascii="宋体" w:hAnsi="宋体" w:eastAsia="宋体" w:cs="Times New Roman"/>
                <w:color w:val="auto"/>
              </w:rPr>
              <w:t>10.23493</w:t>
            </w:r>
          </w:p>
        </w:tc>
        <w:tc>
          <w:tcPr>
            <w:tcW w:w="1569" w:type="dxa"/>
            <w:tcBorders>
              <w:tl2br w:val="nil"/>
              <w:tr2bl w:val="nil"/>
            </w:tcBorders>
            <w:vAlign w:val="center"/>
          </w:tcPr>
          <w:p w14:paraId="31ED86E3">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0.512 </w:t>
            </w:r>
          </w:p>
        </w:tc>
        <w:tc>
          <w:tcPr>
            <w:tcW w:w="1262" w:type="dxa"/>
            <w:tcBorders>
              <w:tl2br w:val="nil"/>
              <w:tr2bl w:val="nil"/>
            </w:tcBorders>
            <w:vAlign w:val="center"/>
          </w:tcPr>
          <w:p w14:paraId="005C8544">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1ABAE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286B6A66">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3BDD8486">
            <w:pPr>
              <w:spacing w:line="320" w:lineRule="exact"/>
              <w:jc w:val="center"/>
              <w:rPr>
                <w:rFonts w:ascii="宋体" w:hAnsi="宋体" w:eastAsia="宋体" w:cs="Times New Roman"/>
                <w:color w:val="auto"/>
              </w:rPr>
            </w:pPr>
            <w:r>
              <w:rPr>
                <w:rFonts w:hint="eastAsia" w:ascii="宋体" w:hAnsi="宋体" w:eastAsia="宋体" w:cs="Times New Roman"/>
                <w:color w:val="auto"/>
              </w:rPr>
              <w:t>东兴村</w:t>
            </w:r>
          </w:p>
        </w:tc>
        <w:tc>
          <w:tcPr>
            <w:tcW w:w="992" w:type="dxa"/>
            <w:tcBorders>
              <w:tl2br w:val="nil"/>
              <w:tr2bl w:val="nil"/>
            </w:tcBorders>
            <w:vAlign w:val="center"/>
          </w:tcPr>
          <w:p w14:paraId="3C31EEB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62A064E8">
            <w:pPr>
              <w:spacing w:line="320" w:lineRule="exact"/>
              <w:jc w:val="center"/>
              <w:rPr>
                <w:rFonts w:ascii="宋体" w:hAnsi="宋体" w:eastAsia="宋体" w:cs="Times New Roman"/>
                <w:color w:val="auto"/>
              </w:rPr>
            </w:pPr>
            <w:r>
              <w:rPr>
                <w:rFonts w:hint="eastAsia" w:ascii="宋体" w:hAnsi="宋体" w:eastAsia="宋体" w:cs="Times New Roman"/>
                <w:color w:val="auto"/>
              </w:rPr>
              <w:t>7.37734</w:t>
            </w:r>
          </w:p>
        </w:tc>
        <w:tc>
          <w:tcPr>
            <w:tcW w:w="1569" w:type="dxa"/>
            <w:tcBorders>
              <w:tl2br w:val="nil"/>
              <w:tr2bl w:val="nil"/>
            </w:tcBorders>
            <w:vAlign w:val="center"/>
          </w:tcPr>
          <w:p w14:paraId="3E4C047A">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0.369 </w:t>
            </w:r>
          </w:p>
        </w:tc>
        <w:tc>
          <w:tcPr>
            <w:tcW w:w="1262" w:type="dxa"/>
            <w:tcBorders>
              <w:tl2br w:val="nil"/>
              <w:tr2bl w:val="nil"/>
            </w:tcBorders>
            <w:vAlign w:val="center"/>
          </w:tcPr>
          <w:p w14:paraId="0554A141">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67E5A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0E66EFE3">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1E0D906A">
            <w:pPr>
              <w:spacing w:line="320" w:lineRule="exact"/>
              <w:jc w:val="center"/>
              <w:rPr>
                <w:rFonts w:ascii="宋体" w:hAnsi="宋体" w:eastAsia="宋体" w:cs="Times New Roman"/>
                <w:color w:val="auto"/>
              </w:rPr>
            </w:pPr>
            <w:r>
              <w:rPr>
                <w:rFonts w:hint="eastAsia" w:ascii="宋体" w:hAnsi="宋体" w:eastAsia="宋体" w:cs="Times New Roman"/>
                <w:color w:val="auto"/>
              </w:rPr>
              <w:t>迟家屯</w:t>
            </w:r>
          </w:p>
        </w:tc>
        <w:tc>
          <w:tcPr>
            <w:tcW w:w="992" w:type="dxa"/>
            <w:tcBorders>
              <w:tl2br w:val="nil"/>
              <w:tr2bl w:val="nil"/>
            </w:tcBorders>
            <w:vAlign w:val="center"/>
          </w:tcPr>
          <w:p w14:paraId="0969E7C9">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3EEDC31E">
            <w:pPr>
              <w:spacing w:line="320" w:lineRule="exact"/>
              <w:jc w:val="center"/>
              <w:rPr>
                <w:rFonts w:ascii="宋体" w:hAnsi="宋体" w:eastAsia="宋体" w:cs="Times New Roman"/>
                <w:color w:val="auto"/>
              </w:rPr>
            </w:pPr>
            <w:r>
              <w:rPr>
                <w:rFonts w:hint="eastAsia" w:ascii="宋体" w:hAnsi="宋体" w:eastAsia="宋体" w:cs="Times New Roman"/>
                <w:color w:val="auto"/>
              </w:rPr>
              <w:t>7.10195</w:t>
            </w:r>
          </w:p>
        </w:tc>
        <w:tc>
          <w:tcPr>
            <w:tcW w:w="1569" w:type="dxa"/>
            <w:tcBorders>
              <w:tl2br w:val="nil"/>
              <w:tr2bl w:val="nil"/>
            </w:tcBorders>
            <w:vAlign w:val="center"/>
          </w:tcPr>
          <w:p w14:paraId="4263191C">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0.355 </w:t>
            </w:r>
          </w:p>
        </w:tc>
        <w:tc>
          <w:tcPr>
            <w:tcW w:w="1262" w:type="dxa"/>
            <w:tcBorders>
              <w:tl2br w:val="nil"/>
              <w:tr2bl w:val="nil"/>
            </w:tcBorders>
            <w:vAlign w:val="center"/>
          </w:tcPr>
          <w:p w14:paraId="6EC71E63">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2B212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70293521">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77E8216E">
            <w:pPr>
              <w:spacing w:line="320" w:lineRule="exact"/>
              <w:jc w:val="center"/>
              <w:rPr>
                <w:rFonts w:ascii="宋体" w:hAnsi="宋体" w:eastAsia="宋体" w:cs="Times New Roman"/>
                <w:color w:val="auto"/>
              </w:rPr>
            </w:pPr>
            <w:r>
              <w:rPr>
                <w:rFonts w:hint="eastAsia" w:ascii="宋体" w:hAnsi="宋体" w:eastAsia="宋体" w:cs="Times New Roman"/>
                <w:color w:val="auto"/>
              </w:rPr>
              <w:t>刘喜屯</w:t>
            </w:r>
          </w:p>
        </w:tc>
        <w:tc>
          <w:tcPr>
            <w:tcW w:w="992" w:type="dxa"/>
            <w:tcBorders>
              <w:tl2br w:val="nil"/>
              <w:tr2bl w:val="nil"/>
            </w:tcBorders>
            <w:vAlign w:val="center"/>
          </w:tcPr>
          <w:p w14:paraId="1F576F46">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7854A313">
            <w:pPr>
              <w:spacing w:line="320" w:lineRule="exact"/>
              <w:jc w:val="center"/>
              <w:rPr>
                <w:rFonts w:ascii="宋体" w:hAnsi="宋体" w:eastAsia="宋体" w:cs="Times New Roman"/>
                <w:color w:val="auto"/>
              </w:rPr>
            </w:pPr>
            <w:r>
              <w:rPr>
                <w:rFonts w:hint="eastAsia" w:ascii="宋体" w:hAnsi="宋体" w:eastAsia="宋体" w:cs="Times New Roman"/>
                <w:color w:val="auto"/>
              </w:rPr>
              <w:t>5.18577</w:t>
            </w:r>
          </w:p>
        </w:tc>
        <w:tc>
          <w:tcPr>
            <w:tcW w:w="1569" w:type="dxa"/>
            <w:tcBorders>
              <w:tl2br w:val="nil"/>
              <w:tr2bl w:val="nil"/>
            </w:tcBorders>
            <w:vAlign w:val="center"/>
          </w:tcPr>
          <w:p w14:paraId="6200F727">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0.259 </w:t>
            </w:r>
          </w:p>
        </w:tc>
        <w:tc>
          <w:tcPr>
            <w:tcW w:w="1262" w:type="dxa"/>
            <w:tcBorders>
              <w:tl2br w:val="nil"/>
              <w:tr2bl w:val="nil"/>
            </w:tcBorders>
            <w:vAlign w:val="center"/>
          </w:tcPr>
          <w:p w14:paraId="5A1678B2">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7E6FE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31512464">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10EDCC46">
            <w:pPr>
              <w:spacing w:line="320" w:lineRule="exact"/>
              <w:jc w:val="center"/>
              <w:rPr>
                <w:rFonts w:ascii="宋体" w:hAnsi="宋体" w:eastAsia="宋体" w:cs="Times New Roman"/>
                <w:color w:val="auto"/>
              </w:rPr>
            </w:pPr>
            <w:r>
              <w:rPr>
                <w:rFonts w:hint="eastAsia" w:ascii="宋体" w:hAnsi="宋体" w:eastAsia="宋体" w:cs="Times New Roman"/>
                <w:color w:val="auto"/>
              </w:rPr>
              <w:t>代龙村</w:t>
            </w:r>
          </w:p>
        </w:tc>
        <w:tc>
          <w:tcPr>
            <w:tcW w:w="992" w:type="dxa"/>
            <w:tcBorders>
              <w:tl2br w:val="nil"/>
              <w:tr2bl w:val="nil"/>
            </w:tcBorders>
            <w:vAlign w:val="center"/>
          </w:tcPr>
          <w:p w14:paraId="0DC258E6">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73D91D42">
            <w:pPr>
              <w:spacing w:line="320" w:lineRule="exact"/>
              <w:jc w:val="center"/>
              <w:rPr>
                <w:rFonts w:ascii="宋体" w:hAnsi="宋体" w:eastAsia="宋体" w:cs="Times New Roman"/>
                <w:color w:val="auto"/>
              </w:rPr>
            </w:pPr>
            <w:r>
              <w:rPr>
                <w:rFonts w:hint="eastAsia" w:ascii="宋体" w:hAnsi="宋体" w:eastAsia="宋体" w:cs="Times New Roman"/>
                <w:color w:val="auto"/>
              </w:rPr>
              <w:t>5.17271</w:t>
            </w:r>
          </w:p>
        </w:tc>
        <w:tc>
          <w:tcPr>
            <w:tcW w:w="1569" w:type="dxa"/>
            <w:tcBorders>
              <w:tl2br w:val="nil"/>
              <w:tr2bl w:val="nil"/>
            </w:tcBorders>
            <w:vAlign w:val="center"/>
          </w:tcPr>
          <w:p w14:paraId="6B446589">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0.259 </w:t>
            </w:r>
          </w:p>
        </w:tc>
        <w:tc>
          <w:tcPr>
            <w:tcW w:w="1262" w:type="dxa"/>
            <w:tcBorders>
              <w:tl2br w:val="nil"/>
              <w:tr2bl w:val="nil"/>
            </w:tcBorders>
            <w:vAlign w:val="center"/>
          </w:tcPr>
          <w:p w14:paraId="39F81CA6">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1CD5F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269AA294">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155BDDB6">
            <w:pPr>
              <w:spacing w:line="320" w:lineRule="exact"/>
              <w:jc w:val="center"/>
              <w:rPr>
                <w:rFonts w:ascii="宋体" w:hAnsi="宋体" w:eastAsia="宋体" w:cs="Times New Roman"/>
                <w:color w:val="auto"/>
              </w:rPr>
            </w:pPr>
            <w:r>
              <w:rPr>
                <w:rFonts w:hint="eastAsia" w:ascii="宋体" w:hAnsi="宋体" w:eastAsia="宋体" w:cs="Times New Roman"/>
                <w:color w:val="auto"/>
              </w:rPr>
              <w:t>肇源镇</w:t>
            </w:r>
          </w:p>
        </w:tc>
        <w:tc>
          <w:tcPr>
            <w:tcW w:w="992" w:type="dxa"/>
            <w:tcBorders>
              <w:tl2br w:val="nil"/>
              <w:tr2bl w:val="nil"/>
            </w:tcBorders>
            <w:vAlign w:val="center"/>
          </w:tcPr>
          <w:p w14:paraId="00554FB6">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63DF9C42">
            <w:pPr>
              <w:spacing w:line="320" w:lineRule="exact"/>
              <w:jc w:val="center"/>
              <w:rPr>
                <w:rFonts w:ascii="宋体" w:hAnsi="宋体" w:eastAsia="宋体" w:cs="Times New Roman"/>
                <w:color w:val="auto"/>
              </w:rPr>
            </w:pPr>
            <w:r>
              <w:rPr>
                <w:rFonts w:hint="eastAsia" w:ascii="宋体" w:hAnsi="宋体" w:eastAsia="宋体" w:cs="Times New Roman"/>
                <w:color w:val="auto"/>
              </w:rPr>
              <w:t>6.57853</w:t>
            </w:r>
          </w:p>
        </w:tc>
        <w:tc>
          <w:tcPr>
            <w:tcW w:w="1569" w:type="dxa"/>
            <w:tcBorders>
              <w:tl2br w:val="nil"/>
              <w:tr2bl w:val="nil"/>
            </w:tcBorders>
            <w:vAlign w:val="center"/>
          </w:tcPr>
          <w:p w14:paraId="147A7117">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0.329 </w:t>
            </w:r>
          </w:p>
        </w:tc>
        <w:tc>
          <w:tcPr>
            <w:tcW w:w="1262" w:type="dxa"/>
            <w:tcBorders>
              <w:tl2br w:val="nil"/>
              <w:tr2bl w:val="nil"/>
            </w:tcBorders>
            <w:vAlign w:val="center"/>
          </w:tcPr>
          <w:p w14:paraId="38512A71">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2A67E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5739635B">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4FA58B0D">
            <w:pPr>
              <w:spacing w:line="320" w:lineRule="exact"/>
              <w:jc w:val="center"/>
              <w:rPr>
                <w:rFonts w:ascii="宋体" w:hAnsi="宋体" w:eastAsia="宋体" w:cs="Times New Roman"/>
                <w:color w:val="auto"/>
              </w:rPr>
            </w:pPr>
            <w:r>
              <w:rPr>
                <w:rFonts w:hint="eastAsia" w:ascii="宋体" w:hAnsi="宋体" w:eastAsia="宋体" w:cs="Times New Roman"/>
                <w:color w:val="auto"/>
              </w:rPr>
              <w:t>刘兽医屯</w:t>
            </w:r>
          </w:p>
        </w:tc>
        <w:tc>
          <w:tcPr>
            <w:tcW w:w="992" w:type="dxa"/>
            <w:tcBorders>
              <w:tl2br w:val="nil"/>
              <w:tr2bl w:val="nil"/>
            </w:tcBorders>
            <w:vAlign w:val="center"/>
          </w:tcPr>
          <w:p w14:paraId="1CD44844">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16E52AAD">
            <w:pPr>
              <w:spacing w:line="320" w:lineRule="exact"/>
              <w:jc w:val="center"/>
              <w:rPr>
                <w:rFonts w:ascii="宋体" w:hAnsi="宋体" w:eastAsia="宋体" w:cs="Times New Roman"/>
                <w:color w:val="auto"/>
              </w:rPr>
            </w:pPr>
            <w:r>
              <w:rPr>
                <w:rFonts w:hint="eastAsia" w:ascii="宋体" w:hAnsi="宋体" w:eastAsia="宋体" w:cs="Times New Roman"/>
                <w:color w:val="auto"/>
              </w:rPr>
              <w:t>5.53127</w:t>
            </w:r>
          </w:p>
        </w:tc>
        <w:tc>
          <w:tcPr>
            <w:tcW w:w="1569" w:type="dxa"/>
            <w:tcBorders>
              <w:tl2br w:val="nil"/>
              <w:tr2bl w:val="nil"/>
            </w:tcBorders>
            <w:vAlign w:val="center"/>
          </w:tcPr>
          <w:p w14:paraId="70A2FDBF">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0.277 </w:t>
            </w:r>
          </w:p>
        </w:tc>
        <w:tc>
          <w:tcPr>
            <w:tcW w:w="1262" w:type="dxa"/>
            <w:tcBorders>
              <w:tl2br w:val="nil"/>
              <w:tr2bl w:val="nil"/>
            </w:tcBorders>
            <w:vAlign w:val="center"/>
          </w:tcPr>
          <w:p w14:paraId="37ED6C7E">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21B84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6FB0296E">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54326283">
            <w:pPr>
              <w:spacing w:line="320" w:lineRule="exact"/>
              <w:jc w:val="center"/>
              <w:rPr>
                <w:rFonts w:ascii="宋体" w:hAnsi="宋体" w:eastAsia="宋体" w:cs="Times New Roman"/>
                <w:color w:val="auto"/>
              </w:rPr>
            </w:pPr>
            <w:r>
              <w:rPr>
                <w:rFonts w:hint="eastAsia" w:ascii="宋体" w:hAnsi="宋体" w:eastAsia="宋体" w:cs="Times New Roman"/>
                <w:color w:val="auto"/>
              </w:rPr>
              <w:t>友谊村</w:t>
            </w:r>
          </w:p>
        </w:tc>
        <w:tc>
          <w:tcPr>
            <w:tcW w:w="992" w:type="dxa"/>
            <w:tcBorders>
              <w:tl2br w:val="nil"/>
              <w:tr2bl w:val="nil"/>
            </w:tcBorders>
            <w:vAlign w:val="center"/>
          </w:tcPr>
          <w:p w14:paraId="2BFA17AE">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346B2AC1">
            <w:pPr>
              <w:spacing w:line="320" w:lineRule="exact"/>
              <w:jc w:val="center"/>
              <w:rPr>
                <w:rFonts w:ascii="宋体" w:hAnsi="宋体" w:eastAsia="宋体" w:cs="Times New Roman"/>
                <w:color w:val="auto"/>
              </w:rPr>
            </w:pPr>
            <w:r>
              <w:rPr>
                <w:rFonts w:hint="eastAsia" w:ascii="宋体" w:hAnsi="宋体" w:eastAsia="宋体" w:cs="Times New Roman"/>
                <w:color w:val="auto"/>
              </w:rPr>
              <w:t>5.43275</w:t>
            </w:r>
          </w:p>
        </w:tc>
        <w:tc>
          <w:tcPr>
            <w:tcW w:w="1569" w:type="dxa"/>
            <w:tcBorders>
              <w:tl2br w:val="nil"/>
              <w:tr2bl w:val="nil"/>
            </w:tcBorders>
            <w:vAlign w:val="center"/>
          </w:tcPr>
          <w:p w14:paraId="0E53FEF7">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0.272 </w:t>
            </w:r>
          </w:p>
        </w:tc>
        <w:tc>
          <w:tcPr>
            <w:tcW w:w="1262" w:type="dxa"/>
            <w:tcBorders>
              <w:tl2br w:val="nil"/>
              <w:tr2bl w:val="nil"/>
            </w:tcBorders>
            <w:vAlign w:val="center"/>
          </w:tcPr>
          <w:p w14:paraId="4768FCD5">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65533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365E6B09">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5F3D049F">
            <w:pPr>
              <w:spacing w:line="320" w:lineRule="exact"/>
              <w:jc w:val="center"/>
              <w:rPr>
                <w:rFonts w:ascii="宋体" w:hAnsi="宋体" w:eastAsia="宋体" w:cs="Times New Roman"/>
                <w:color w:val="auto"/>
              </w:rPr>
            </w:pPr>
            <w:r>
              <w:rPr>
                <w:rFonts w:hint="eastAsia" w:ascii="宋体" w:hAnsi="宋体" w:eastAsia="宋体" w:cs="Times New Roman"/>
                <w:color w:val="auto"/>
              </w:rPr>
              <w:t>协力屯</w:t>
            </w:r>
          </w:p>
        </w:tc>
        <w:tc>
          <w:tcPr>
            <w:tcW w:w="992" w:type="dxa"/>
            <w:tcBorders>
              <w:tl2br w:val="nil"/>
              <w:tr2bl w:val="nil"/>
            </w:tcBorders>
            <w:vAlign w:val="center"/>
          </w:tcPr>
          <w:p w14:paraId="42E7251F">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3887FC8A">
            <w:pPr>
              <w:spacing w:line="320" w:lineRule="exact"/>
              <w:jc w:val="center"/>
              <w:rPr>
                <w:rFonts w:ascii="宋体" w:hAnsi="宋体" w:eastAsia="宋体" w:cs="Times New Roman"/>
                <w:color w:val="auto"/>
              </w:rPr>
            </w:pPr>
            <w:r>
              <w:rPr>
                <w:rFonts w:hint="eastAsia" w:ascii="宋体" w:hAnsi="宋体" w:eastAsia="宋体" w:cs="Times New Roman"/>
                <w:color w:val="auto"/>
              </w:rPr>
              <w:t>5.17488</w:t>
            </w:r>
          </w:p>
        </w:tc>
        <w:tc>
          <w:tcPr>
            <w:tcW w:w="1569" w:type="dxa"/>
            <w:tcBorders>
              <w:tl2br w:val="nil"/>
              <w:tr2bl w:val="nil"/>
            </w:tcBorders>
            <w:vAlign w:val="center"/>
          </w:tcPr>
          <w:p w14:paraId="53F011A6">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0.259 </w:t>
            </w:r>
          </w:p>
        </w:tc>
        <w:tc>
          <w:tcPr>
            <w:tcW w:w="1262" w:type="dxa"/>
            <w:tcBorders>
              <w:tl2br w:val="nil"/>
              <w:tr2bl w:val="nil"/>
            </w:tcBorders>
            <w:vAlign w:val="center"/>
          </w:tcPr>
          <w:p w14:paraId="3BE1ED23">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26092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4575712D">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4583B78B">
            <w:pPr>
              <w:spacing w:line="320" w:lineRule="exact"/>
              <w:jc w:val="center"/>
              <w:rPr>
                <w:rFonts w:ascii="宋体" w:hAnsi="宋体" w:eastAsia="宋体" w:cs="Times New Roman"/>
                <w:color w:val="auto"/>
              </w:rPr>
            </w:pPr>
            <w:r>
              <w:rPr>
                <w:rFonts w:hint="eastAsia" w:ascii="宋体" w:hAnsi="宋体" w:eastAsia="宋体" w:cs="Times New Roman"/>
                <w:color w:val="auto"/>
              </w:rPr>
              <w:t>大三马架</w:t>
            </w:r>
          </w:p>
        </w:tc>
        <w:tc>
          <w:tcPr>
            <w:tcW w:w="992" w:type="dxa"/>
            <w:tcBorders>
              <w:tl2br w:val="nil"/>
              <w:tr2bl w:val="nil"/>
            </w:tcBorders>
            <w:vAlign w:val="center"/>
          </w:tcPr>
          <w:p w14:paraId="6925346C">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535906C6">
            <w:pPr>
              <w:spacing w:line="320" w:lineRule="exact"/>
              <w:jc w:val="center"/>
              <w:rPr>
                <w:rFonts w:ascii="宋体" w:hAnsi="宋体" w:eastAsia="宋体" w:cs="Times New Roman"/>
                <w:color w:val="auto"/>
              </w:rPr>
            </w:pPr>
            <w:r>
              <w:rPr>
                <w:rFonts w:hint="eastAsia" w:ascii="宋体" w:hAnsi="宋体" w:eastAsia="宋体" w:cs="Times New Roman"/>
                <w:color w:val="auto"/>
              </w:rPr>
              <w:t>5.73552</w:t>
            </w:r>
          </w:p>
        </w:tc>
        <w:tc>
          <w:tcPr>
            <w:tcW w:w="1569" w:type="dxa"/>
            <w:tcBorders>
              <w:tl2br w:val="nil"/>
              <w:tr2bl w:val="nil"/>
            </w:tcBorders>
            <w:vAlign w:val="center"/>
          </w:tcPr>
          <w:p w14:paraId="1965B738">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0.287 </w:t>
            </w:r>
          </w:p>
        </w:tc>
        <w:tc>
          <w:tcPr>
            <w:tcW w:w="1262" w:type="dxa"/>
            <w:tcBorders>
              <w:tl2br w:val="nil"/>
              <w:tr2bl w:val="nil"/>
            </w:tcBorders>
            <w:vAlign w:val="center"/>
          </w:tcPr>
          <w:p w14:paraId="6E329849">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4E4E9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48B10FDA">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4BB9E860">
            <w:pPr>
              <w:spacing w:line="320" w:lineRule="exact"/>
              <w:jc w:val="center"/>
              <w:rPr>
                <w:rFonts w:ascii="宋体" w:hAnsi="宋体" w:eastAsia="宋体" w:cs="Times New Roman"/>
                <w:color w:val="auto"/>
              </w:rPr>
            </w:pPr>
            <w:r>
              <w:rPr>
                <w:rFonts w:hint="eastAsia" w:ascii="宋体" w:hAnsi="宋体" w:eastAsia="宋体" w:cs="Times New Roman"/>
                <w:color w:val="auto"/>
              </w:rPr>
              <w:t>东小山</w:t>
            </w:r>
          </w:p>
        </w:tc>
        <w:tc>
          <w:tcPr>
            <w:tcW w:w="992" w:type="dxa"/>
            <w:tcBorders>
              <w:tl2br w:val="nil"/>
              <w:tr2bl w:val="nil"/>
            </w:tcBorders>
            <w:vAlign w:val="center"/>
          </w:tcPr>
          <w:p w14:paraId="36147DF9">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4B317DCB">
            <w:pPr>
              <w:spacing w:line="320" w:lineRule="exact"/>
              <w:jc w:val="center"/>
              <w:rPr>
                <w:rFonts w:ascii="宋体" w:hAnsi="宋体" w:eastAsia="宋体" w:cs="Times New Roman"/>
                <w:color w:val="auto"/>
              </w:rPr>
            </w:pPr>
            <w:r>
              <w:rPr>
                <w:rFonts w:hint="eastAsia" w:ascii="宋体" w:hAnsi="宋体" w:eastAsia="宋体" w:cs="Times New Roman"/>
                <w:color w:val="auto"/>
              </w:rPr>
              <w:t>5.5983</w:t>
            </w:r>
          </w:p>
        </w:tc>
        <w:tc>
          <w:tcPr>
            <w:tcW w:w="1569" w:type="dxa"/>
            <w:tcBorders>
              <w:tl2br w:val="nil"/>
              <w:tr2bl w:val="nil"/>
            </w:tcBorders>
            <w:vAlign w:val="center"/>
          </w:tcPr>
          <w:p w14:paraId="44B3A166">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0.280 </w:t>
            </w:r>
          </w:p>
        </w:tc>
        <w:tc>
          <w:tcPr>
            <w:tcW w:w="1262" w:type="dxa"/>
            <w:tcBorders>
              <w:tl2br w:val="nil"/>
              <w:tr2bl w:val="nil"/>
            </w:tcBorders>
            <w:vAlign w:val="center"/>
          </w:tcPr>
          <w:p w14:paraId="3A4398ED">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19591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373FB0D8">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21702038">
            <w:pPr>
              <w:spacing w:line="320" w:lineRule="exact"/>
              <w:jc w:val="center"/>
              <w:rPr>
                <w:rFonts w:ascii="宋体" w:hAnsi="宋体" w:eastAsia="宋体" w:cs="Times New Roman"/>
                <w:color w:val="auto"/>
              </w:rPr>
            </w:pPr>
            <w:r>
              <w:rPr>
                <w:rFonts w:hint="eastAsia" w:ascii="宋体" w:hAnsi="宋体" w:eastAsia="宋体" w:cs="Times New Roman"/>
                <w:color w:val="auto"/>
              </w:rPr>
              <w:t>科技屯</w:t>
            </w:r>
          </w:p>
        </w:tc>
        <w:tc>
          <w:tcPr>
            <w:tcW w:w="992" w:type="dxa"/>
            <w:tcBorders>
              <w:tl2br w:val="nil"/>
              <w:tr2bl w:val="nil"/>
            </w:tcBorders>
            <w:vAlign w:val="center"/>
          </w:tcPr>
          <w:p w14:paraId="6590BE56">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7CE2D9B5">
            <w:pPr>
              <w:spacing w:line="320" w:lineRule="exact"/>
              <w:jc w:val="center"/>
              <w:rPr>
                <w:rFonts w:ascii="宋体" w:hAnsi="宋体" w:eastAsia="宋体" w:cs="Times New Roman"/>
                <w:color w:val="auto"/>
              </w:rPr>
            </w:pPr>
            <w:r>
              <w:rPr>
                <w:rFonts w:hint="eastAsia" w:ascii="宋体" w:hAnsi="宋体" w:eastAsia="宋体" w:cs="Times New Roman"/>
                <w:color w:val="auto"/>
              </w:rPr>
              <w:t>6.0075</w:t>
            </w:r>
          </w:p>
        </w:tc>
        <w:tc>
          <w:tcPr>
            <w:tcW w:w="1569" w:type="dxa"/>
            <w:tcBorders>
              <w:tl2br w:val="nil"/>
              <w:tr2bl w:val="nil"/>
            </w:tcBorders>
            <w:vAlign w:val="center"/>
          </w:tcPr>
          <w:p w14:paraId="25C6E73F">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0.300 </w:t>
            </w:r>
          </w:p>
        </w:tc>
        <w:tc>
          <w:tcPr>
            <w:tcW w:w="1262" w:type="dxa"/>
            <w:tcBorders>
              <w:tl2br w:val="nil"/>
              <w:tr2bl w:val="nil"/>
            </w:tcBorders>
            <w:vAlign w:val="center"/>
          </w:tcPr>
          <w:p w14:paraId="5AA22457">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6ADD3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08D11748">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5876E931">
            <w:pPr>
              <w:spacing w:line="320" w:lineRule="exact"/>
              <w:jc w:val="center"/>
              <w:rPr>
                <w:rFonts w:ascii="宋体" w:hAnsi="宋体" w:eastAsia="宋体" w:cs="Times New Roman"/>
                <w:color w:val="auto"/>
              </w:rPr>
            </w:pPr>
            <w:r>
              <w:rPr>
                <w:rFonts w:hint="eastAsia" w:ascii="宋体" w:hAnsi="宋体" w:eastAsia="宋体" w:cs="Times New Roman"/>
                <w:color w:val="auto"/>
              </w:rPr>
              <w:t>大姚屯</w:t>
            </w:r>
          </w:p>
        </w:tc>
        <w:tc>
          <w:tcPr>
            <w:tcW w:w="992" w:type="dxa"/>
            <w:tcBorders>
              <w:tl2br w:val="nil"/>
              <w:tr2bl w:val="nil"/>
            </w:tcBorders>
            <w:vAlign w:val="center"/>
          </w:tcPr>
          <w:p w14:paraId="64DCD3F1">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06BBA7E9">
            <w:pPr>
              <w:spacing w:line="320" w:lineRule="exact"/>
              <w:jc w:val="center"/>
              <w:rPr>
                <w:rFonts w:ascii="宋体" w:hAnsi="宋体" w:eastAsia="宋体" w:cs="Times New Roman"/>
                <w:color w:val="auto"/>
              </w:rPr>
            </w:pPr>
            <w:r>
              <w:rPr>
                <w:rFonts w:hint="eastAsia" w:ascii="宋体" w:hAnsi="宋体" w:eastAsia="宋体" w:cs="Times New Roman"/>
                <w:color w:val="auto"/>
              </w:rPr>
              <w:t>5.81898</w:t>
            </w:r>
          </w:p>
        </w:tc>
        <w:tc>
          <w:tcPr>
            <w:tcW w:w="1569" w:type="dxa"/>
            <w:tcBorders>
              <w:tl2br w:val="nil"/>
              <w:tr2bl w:val="nil"/>
            </w:tcBorders>
            <w:vAlign w:val="center"/>
          </w:tcPr>
          <w:p w14:paraId="68254393">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0.291 </w:t>
            </w:r>
          </w:p>
        </w:tc>
        <w:tc>
          <w:tcPr>
            <w:tcW w:w="1262" w:type="dxa"/>
            <w:tcBorders>
              <w:tl2br w:val="nil"/>
              <w:tr2bl w:val="nil"/>
            </w:tcBorders>
            <w:vAlign w:val="center"/>
          </w:tcPr>
          <w:p w14:paraId="789E4580">
            <w:pPr>
              <w:spacing w:line="320" w:lineRule="exact"/>
              <w:jc w:val="center"/>
              <w:rPr>
                <w:rFonts w:ascii="宋体" w:hAnsi="宋体" w:eastAsia="宋体" w:cs="Times New Roman"/>
                <w:color w:val="auto"/>
              </w:rPr>
            </w:pPr>
            <w:r>
              <w:rPr>
                <w:rFonts w:ascii="宋体" w:hAnsi="宋体" w:eastAsia="宋体" w:cs="Times New Roman"/>
                <w:color w:val="auto"/>
              </w:rPr>
              <w:t>达标</w:t>
            </w:r>
          </w:p>
        </w:tc>
      </w:tr>
      <w:tr w14:paraId="74445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966" w:type="dxa"/>
            <w:vMerge w:val="continue"/>
            <w:tcBorders>
              <w:tl2br w:val="nil"/>
              <w:tr2bl w:val="nil"/>
            </w:tcBorders>
            <w:vAlign w:val="center"/>
          </w:tcPr>
          <w:p w14:paraId="4485B247">
            <w:pPr>
              <w:spacing w:line="320" w:lineRule="exact"/>
              <w:jc w:val="center"/>
              <w:rPr>
                <w:rFonts w:ascii="宋体" w:hAnsi="宋体" w:eastAsia="宋体" w:cs="Times New Roman"/>
                <w:color w:val="auto"/>
              </w:rPr>
            </w:pPr>
          </w:p>
        </w:tc>
        <w:tc>
          <w:tcPr>
            <w:tcW w:w="2159" w:type="dxa"/>
            <w:tcBorders>
              <w:tl2br w:val="nil"/>
              <w:tr2bl w:val="nil"/>
            </w:tcBorders>
            <w:vAlign w:val="center"/>
          </w:tcPr>
          <w:p w14:paraId="581518A5">
            <w:pPr>
              <w:spacing w:line="320" w:lineRule="exact"/>
              <w:jc w:val="center"/>
              <w:rPr>
                <w:rFonts w:ascii="宋体" w:hAnsi="宋体" w:eastAsia="宋体" w:cs="Times New Roman"/>
                <w:color w:val="auto"/>
              </w:rPr>
            </w:pPr>
            <w:r>
              <w:rPr>
                <w:rFonts w:hint="eastAsia" w:ascii="宋体" w:hAnsi="宋体" w:eastAsia="宋体" w:cs="Times New Roman"/>
                <w:color w:val="auto"/>
              </w:rPr>
              <w:t>奎中里屯</w:t>
            </w:r>
          </w:p>
        </w:tc>
        <w:tc>
          <w:tcPr>
            <w:tcW w:w="992" w:type="dxa"/>
            <w:tcBorders>
              <w:tl2br w:val="nil"/>
              <w:tr2bl w:val="nil"/>
            </w:tcBorders>
            <w:vAlign w:val="center"/>
          </w:tcPr>
          <w:p w14:paraId="3C5F5D64">
            <w:pPr>
              <w:spacing w:line="320" w:lineRule="exact"/>
              <w:jc w:val="center"/>
              <w:rPr>
                <w:rFonts w:ascii="宋体" w:hAnsi="宋体" w:eastAsia="宋体" w:cs="Times New Roman"/>
                <w:color w:val="auto"/>
              </w:rPr>
            </w:pPr>
            <w:r>
              <w:rPr>
                <w:rFonts w:ascii="宋体" w:hAnsi="宋体" w:eastAsia="宋体" w:cs="Times New Roman"/>
                <w:color w:val="auto"/>
              </w:rPr>
              <w:t>小时值</w:t>
            </w:r>
          </w:p>
        </w:tc>
        <w:tc>
          <w:tcPr>
            <w:tcW w:w="2117" w:type="dxa"/>
            <w:tcBorders>
              <w:tl2br w:val="nil"/>
              <w:tr2bl w:val="nil"/>
            </w:tcBorders>
            <w:vAlign w:val="center"/>
          </w:tcPr>
          <w:p w14:paraId="318E8AF0">
            <w:pPr>
              <w:spacing w:line="320" w:lineRule="exact"/>
              <w:jc w:val="center"/>
              <w:rPr>
                <w:rFonts w:ascii="宋体" w:hAnsi="宋体" w:eastAsia="宋体" w:cs="Times New Roman"/>
                <w:color w:val="auto"/>
              </w:rPr>
            </w:pPr>
            <w:r>
              <w:rPr>
                <w:rFonts w:hint="eastAsia" w:ascii="宋体" w:hAnsi="宋体" w:eastAsia="宋体" w:cs="Times New Roman"/>
                <w:color w:val="auto"/>
              </w:rPr>
              <w:t>20.05293</w:t>
            </w:r>
          </w:p>
        </w:tc>
        <w:tc>
          <w:tcPr>
            <w:tcW w:w="1569" w:type="dxa"/>
            <w:tcBorders>
              <w:tl2br w:val="nil"/>
              <w:tr2bl w:val="nil"/>
            </w:tcBorders>
            <w:vAlign w:val="center"/>
          </w:tcPr>
          <w:p w14:paraId="4474E936">
            <w:pPr>
              <w:spacing w:line="320" w:lineRule="exact"/>
              <w:jc w:val="center"/>
              <w:rPr>
                <w:rFonts w:ascii="宋体" w:hAnsi="宋体" w:eastAsia="宋体" w:cs="Times New Roman"/>
                <w:color w:val="auto"/>
              </w:rPr>
            </w:pPr>
            <w:r>
              <w:rPr>
                <w:rFonts w:hint="eastAsia" w:ascii="宋体" w:hAnsi="宋体" w:eastAsia="宋体" w:cs="Times New Roman"/>
                <w:color w:val="auto"/>
              </w:rPr>
              <w:t xml:space="preserve">1.003 </w:t>
            </w:r>
          </w:p>
        </w:tc>
        <w:tc>
          <w:tcPr>
            <w:tcW w:w="1262" w:type="dxa"/>
            <w:tcBorders>
              <w:tl2br w:val="nil"/>
              <w:tr2bl w:val="nil"/>
            </w:tcBorders>
            <w:vAlign w:val="center"/>
          </w:tcPr>
          <w:p w14:paraId="54239628">
            <w:pPr>
              <w:spacing w:line="320" w:lineRule="exact"/>
              <w:jc w:val="center"/>
              <w:rPr>
                <w:rFonts w:ascii="宋体" w:hAnsi="宋体" w:eastAsia="宋体" w:cs="Times New Roman"/>
                <w:color w:val="auto"/>
              </w:rPr>
            </w:pPr>
            <w:r>
              <w:rPr>
                <w:rFonts w:ascii="宋体" w:hAnsi="宋体" w:eastAsia="宋体" w:cs="Times New Roman"/>
                <w:color w:val="auto"/>
              </w:rPr>
              <w:t>达标</w:t>
            </w:r>
          </w:p>
        </w:tc>
      </w:tr>
    </w:tbl>
    <w:p w14:paraId="7D0B682C">
      <w:pPr>
        <w:tabs>
          <w:tab w:val="left" w:pos="2842"/>
        </w:tabs>
        <w:rPr>
          <w:rFonts w:ascii="宋体" w:hAnsi="宋体" w:eastAsia="宋体" w:cs="Times New Roman"/>
          <w:color w:val="auto"/>
        </w:rPr>
      </w:pPr>
    </w:p>
    <w:p w14:paraId="39A85326">
      <w:pPr>
        <w:tabs>
          <w:tab w:val="left" w:pos="2842"/>
        </w:tabs>
        <w:jc w:val="center"/>
        <w:rPr>
          <w:rFonts w:ascii="宋体" w:hAnsi="宋体" w:eastAsia="宋体" w:cs="Times New Roman"/>
          <w:color w:val="auto"/>
        </w:rPr>
      </w:pPr>
      <w:r>
        <w:rPr>
          <w:rFonts w:ascii="宋体" w:hAnsi="宋体" w:eastAsia="宋体"/>
          <w:color w:val="auto"/>
        </w:rPr>
        <w:drawing>
          <wp:inline distT="0" distB="0" distL="114300" distR="114300">
            <wp:extent cx="5756910" cy="4003040"/>
            <wp:effectExtent l="0" t="0" r="15240" b="16510"/>
            <wp:docPr id="1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2"/>
                    <pic:cNvPicPr>
                      <a:picLocks noChangeAspect="1"/>
                    </pic:cNvPicPr>
                  </pic:nvPicPr>
                  <pic:blipFill>
                    <a:blip r:embed="rId107"/>
                    <a:stretch>
                      <a:fillRect/>
                    </a:stretch>
                  </pic:blipFill>
                  <pic:spPr>
                    <a:xfrm>
                      <a:off x="0" y="0"/>
                      <a:ext cx="5756910" cy="4003040"/>
                    </a:xfrm>
                    <a:prstGeom prst="rect">
                      <a:avLst/>
                    </a:prstGeom>
                    <a:noFill/>
                    <a:ln>
                      <a:noFill/>
                    </a:ln>
                  </pic:spPr>
                </pic:pic>
              </a:graphicData>
            </a:graphic>
          </wp:inline>
        </w:drawing>
      </w:r>
    </w:p>
    <w:p w14:paraId="098AB9B1">
      <w:pPr>
        <w:jc w:val="center"/>
        <w:rPr>
          <w:rFonts w:ascii="宋体" w:hAnsi="宋体" w:eastAsia="宋体" w:cs="Times New Roman"/>
          <w:color w:val="auto"/>
          <w:lang w:val="zh-CN"/>
        </w:rPr>
      </w:pPr>
      <w:r>
        <w:rPr>
          <w:rFonts w:ascii="宋体" w:hAnsi="宋体" w:eastAsia="宋体" w:cs="Times New Roman"/>
          <w:color w:val="auto"/>
        </w:rPr>
        <w:t>图5.1-26 非正常工况非甲烷总烃小时浓度占标率预测结果图</w:t>
      </w:r>
    </w:p>
    <w:p w14:paraId="2A026975">
      <w:pPr>
        <w:pStyle w:val="276"/>
        <w:widowControl w:val="0"/>
        <w:ind w:firstLine="480"/>
        <w:jc w:val="both"/>
        <w:rPr>
          <w:color w:val="auto"/>
          <w:lang w:val="zh-CN"/>
        </w:rPr>
      </w:pPr>
      <w:r>
        <w:rPr>
          <w:color w:val="auto"/>
          <w:lang w:val="zh-CN"/>
        </w:rPr>
        <w:t>（3）大气环境防护距离的设置</w:t>
      </w:r>
    </w:p>
    <w:p w14:paraId="39948326">
      <w:pPr>
        <w:pStyle w:val="276"/>
        <w:widowControl w:val="0"/>
        <w:ind w:firstLine="480"/>
        <w:jc w:val="both"/>
        <w:rPr>
          <w:color w:val="auto"/>
          <w:lang w:val="zh-CN"/>
        </w:rPr>
      </w:pPr>
      <w:r>
        <w:rPr>
          <w:color w:val="auto"/>
          <w:lang w:val="zh-CN"/>
        </w:rPr>
        <w:t>根据《环境影响评价技术导则大气环境》（HJ2.2-2018）的8.7.5条要求“对于项目厂界浓度满足大气污染物厂界浓度限值，但厂界外大气污染物短期贡献浓度超过环境质量浓度限值的，可以自厂界向外设置一定范围的大气环境防护区域，以</w:t>
      </w:r>
      <w:r>
        <w:rPr>
          <w:color w:val="auto"/>
          <w:lang w:bidi="zh-CN"/>
        </w:rPr>
        <w:t>确保</w:t>
      </w:r>
      <w:r>
        <w:rPr>
          <w:color w:val="auto"/>
          <w:lang w:val="zh-CN"/>
        </w:rPr>
        <w:t>大气环境防护区域外的贡献浓度满足环境质量标准”，根据预测结果，本项目无组织排放的非甲烷总烃厂界浓度值及厂界外短期贡献浓度均满足《大气污染物综合排放标准详解》中标准限值，故无需设置大气环境防护距离。</w:t>
      </w:r>
    </w:p>
    <w:p w14:paraId="117813E3">
      <w:pPr>
        <w:pStyle w:val="276"/>
        <w:widowControl w:val="0"/>
        <w:ind w:firstLine="480"/>
        <w:jc w:val="both"/>
        <w:rPr>
          <w:color w:val="auto"/>
          <w:lang w:val="zh-CN"/>
        </w:rPr>
      </w:pPr>
      <w:r>
        <w:rPr>
          <w:color w:val="auto"/>
          <w:lang w:val="zh-CN"/>
        </w:rPr>
        <w:t>（4）污染物排放量核算</w:t>
      </w:r>
    </w:p>
    <w:p w14:paraId="469F9F17">
      <w:pPr>
        <w:pStyle w:val="276"/>
        <w:widowControl w:val="0"/>
        <w:ind w:firstLine="480"/>
        <w:jc w:val="both"/>
        <w:rPr>
          <w:color w:val="auto"/>
        </w:rPr>
      </w:pPr>
      <w:bookmarkStart w:id="1303" w:name="_Toc14853"/>
      <w:r>
        <w:rPr>
          <w:color w:val="auto"/>
        </w:rPr>
        <w:t>1</w:t>
      </w:r>
      <w:r>
        <w:rPr>
          <w:rFonts w:hint="eastAsia"/>
          <w:color w:val="auto"/>
        </w:rPr>
        <w:t>）</w:t>
      </w:r>
      <w:r>
        <w:rPr>
          <w:color w:val="auto"/>
        </w:rPr>
        <w:t>正常工况下大气污染物年排放量核算</w:t>
      </w:r>
    </w:p>
    <w:p w14:paraId="74A714F6">
      <w:pPr>
        <w:pStyle w:val="276"/>
        <w:widowControl w:val="0"/>
        <w:ind w:firstLine="480"/>
        <w:jc w:val="both"/>
        <w:rPr>
          <w:color w:val="auto"/>
          <w:lang w:val="zh-CN"/>
        </w:rPr>
      </w:pPr>
      <w:r>
        <w:rPr>
          <w:color w:val="auto"/>
          <w:lang w:val="zh-CN"/>
        </w:rPr>
        <w:t>根据《环境影响评价技术导则 大气环境》（HJ2.2-2018），对污染物排放量进行核算，提出污染源监测计划。由于依托场站加热炉均满足相应的负荷状态下运行，且大气污染物总量在原申请总量范围内，故不对依托加热炉排放的污染物进行核算。本项目</w:t>
      </w:r>
      <w:r>
        <w:rPr>
          <w:color w:val="auto"/>
          <w:lang w:bidi="zh-CN"/>
        </w:rPr>
        <w:t>大气污染</w:t>
      </w:r>
      <w:r>
        <w:rPr>
          <w:color w:val="auto"/>
          <w:lang w:val="zh-CN"/>
        </w:rPr>
        <w:t>物有组织排放量核算见表5.1-20，无组织排放量核算见表5.1-21。</w:t>
      </w:r>
    </w:p>
    <w:p w14:paraId="48DC18E1">
      <w:pPr>
        <w:spacing w:line="440" w:lineRule="exact"/>
        <w:ind w:firstLine="420" w:firstLineChars="200"/>
        <w:rPr>
          <w:rFonts w:ascii="宋体" w:hAnsi="宋体" w:eastAsia="宋体" w:cs="Times New Roman"/>
          <w:color w:val="auto"/>
        </w:rPr>
      </w:pPr>
      <w:r>
        <w:rPr>
          <w:rFonts w:ascii="宋体" w:hAnsi="宋体" w:eastAsia="宋体" w:cs="Times New Roman"/>
          <w:color w:val="auto"/>
        </w:rPr>
        <w:t>表5.1-20 大气污染物有组织排放量核算</w:t>
      </w:r>
    </w:p>
    <w:tbl>
      <w:tblPr>
        <w:tblStyle w:val="81"/>
        <w:tblW w:w="907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319"/>
        <w:gridCol w:w="1512"/>
        <w:gridCol w:w="1512"/>
        <w:gridCol w:w="1512"/>
        <w:gridCol w:w="1512"/>
      </w:tblGrid>
      <w:tr w14:paraId="68A1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tcBorders>
              <w:tl2br w:val="nil"/>
              <w:tr2bl w:val="nil"/>
            </w:tcBorders>
            <w:vAlign w:val="center"/>
          </w:tcPr>
          <w:p w14:paraId="3EB33ECA">
            <w:pPr>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2319" w:type="dxa"/>
            <w:tcBorders>
              <w:tl2br w:val="nil"/>
              <w:tr2bl w:val="nil"/>
            </w:tcBorders>
            <w:vAlign w:val="center"/>
          </w:tcPr>
          <w:p w14:paraId="7D7C970F">
            <w:pPr>
              <w:jc w:val="center"/>
              <w:rPr>
                <w:rFonts w:ascii="宋体" w:hAnsi="宋体" w:eastAsia="宋体" w:cs="Times New Roman"/>
                <w:snapToGrid w:val="0"/>
                <w:color w:val="auto"/>
              </w:rPr>
            </w:pPr>
            <w:r>
              <w:rPr>
                <w:rFonts w:ascii="宋体" w:hAnsi="宋体" w:eastAsia="宋体" w:cs="Times New Roman"/>
                <w:snapToGrid w:val="0"/>
                <w:color w:val="auto"/>
              </w:rPr>
              <w:t>排放口编号</w:t>
            </w:r>
          </w:p>
        </w:tc>
        <w:tc>
          <w:tcPr>
            <w:tcW w:w="1512" w:type="dxa"/>
            <w:tcBorders>
              <w:tl2br w:val="nil"/>
              <w:tr2bl w:val="nil"/>
            </w:tcBorders>
            <w:vAlign w:val="center"/>
          </w:tcPr>
          <w:p w14:paraId="2FBC05D3">
            <w:pPr>
              <w:jc w:val="center"/>
              <w:rPr>
                <w:rFonts w:ascii="宋体" w:hAnsi="宋体" w:eastAsia="宋体" w:cs="Times New Roman"/>
                <w:snapToGrid w:val="0"/>
                <w:color w:val="auto"/>
              </w:rPr>
            </w:pPr>
            <w:r>
              <w:rPr>
                <w:rFonts w:ascii="宋体" w:hAnsi="宋体" w:eastAsia="宋体" w:cs="Times New Roman"/>
                <w:snapToGrid w:val="0"/>
                <w:color w:val="auto"/>
              </w:rPr>
              <w:t>污染物</w:t>
            </w:r>
          </w:p>
        </w:tc>
        <w:tc>
          <w:tcPr>
            <w:tcW w:w="1512" w:type="dxa"/>
            <w:tcBorders>
              <w:tl2br w:val="nil"/>
              <w:tr2bl w:val="nil"/>
            </w:tcBorders>
            <w:vAlign w:val="center"/>
          </w:tcPr>
          <w:p w14:paraId="5B382E5E">
            <w:pPr>
              <w:jc w:val="center"/>
              <w:rPr>
                <w:rFonts w:ascii="宋体" w:hAnsi="宋体" w:eastAsia="宋体" w:cs="Times New Roman"/>
                <w:snapToGrid w:val="0"/>
                <w:color w:val="auto"/>
              </w:rPr>
            </w:pPr>
            <w:r>
              <w:rPr>
                <w:rFonts w:ascii="宋体" w:hAnsi="宋体" w:eastAsia="宋体" w:cs="Times New Roman"/>
                <w:snapToGrid w:val="0"/>
                <w:color w:val="auto"/>
              </w:rPr>
              <w:t>核算排放浓度/(mg/m</w:t>
            </w:r>
            <w:r>
              <w:rPr>
                <w:rFonts w:ascii="宋体" w:hAnsi="宋体" w:eastAsia="宋体" w:cs="Times New Roman"/>
                <w:snapToGrid w:val="0"/>
                <w:color w:val="auto"/>
                <w:vertAlign w:val="superscript"/>
              </w:rPr>
              <w:t>3</w:t>
            </w:r>
            <w:r>
              <w:rPr>
                <w:rFonts w:ascii="宋体" w:hAnsi="宋体" w:eastAsia="宋体" w:cs="Times New Roman"/>
                <w:snapToGrid w:val="0"/>
                <w:color w:val="auto"/>
              </w:rPr>
              <w:t>）</w:t>
            </w:r>
          </w:p>
        </w:tc>
        <w:tc>
          <w:tcPr>
            <w:tcW w:w="1512" w:type="dxa"/>
            <w:tcBorders>
              <w:tl2br w:val="nil"/>
              <w:tr2bl w:val="nil"/>
            </w:tcBorders>
            <w:vAlign w:val="center"/>
          </w:tcPr>
          <w:p w14:paraId="1557A744">
            <w:pPr>
              <w:jc w:val="center"/>
              <w:rPr>
                <w:rFonts w:ascii="宋体" w:hAnsi="宋体" w:eastAsia="宋体" w:cs="Times New Roman"/>
                <w:snapToGrid w:val="0"/>
                <w:color w:val="auto"/>
              </w:rPr>
            </w:pPr>
            <w:r>
              <w:rPr>
                <w:rFonts w:ascii="宋体" w:hAnsi="宋体" w:eastAsia="宋体" w:cs="Times New Roman"/>
                <w:snapToGrid w:val="0"/>
                <w:color w:val="auto"/>
              </w:rPr>
              <w:t>核算排放速率/(kg/h)</w:t>
            </w:r>
          </w:p>
        </w:tc>
        <w:tc>
          <w:tcPr>
            <w:tcW w:w="1512" w:type="dxa"/>
            <w:tcBorders>
              <w:tl2br w:val="nil"/>
              <w:tr2bl w:val="nil"/>
            </w:tcBorders>
            <w:vAlign w:val="center"/>
          </w:tcPr>
          <w:p w14:paraId="5EB88A62">
            <w:pPr>
              <w:jc w:val="center"/>
              <w:rPr>
                <w:rFonts w:ascii="宋体" w:hAnsi="宋体" w:eastAsia="宋体" w:cs="Times New Roman"/>
                <w:snapToGrid w:val="0"/>
                <w:color w:val="auto"/>
              </w:rPr>
            </w:pPr>
            <w:r>
              <w:rPr>
                <w:rFonts w:ascii="宋体" w:hAnsi="宋体" w:eastAsia="宋体" w:cs="Times New Roman"/>
                <w:snapToGrid w:val="0"/>
                <w:color w:val="auto"/>
              </w:rPr>
              <w:t>核算年排放量/(t/a)</w:t>
            </w:r>
          </w:p>
        </w:tc>
      </w:tr>
      <w:tr w14:paraId="3779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0" w:type="dxa"/>
            <w:gridSpan w:val="6"/>
            <w:tcBorders>
              <w:tl2br w:val="nil"/>
              <w:tr2bl w:val="nil"/>
            </w:tcBorders>
            <w:vAlign w:val="center"/>
          </w:tcPr>
          <w:p w14:paraId="1E2974FE">
            <w:pPr>
              <w:jc w:val="center"/>
              <w:rPr>
                <w:rFonts w:ascii="宋体" w:hAnsi="宋体" w:eastAsia="宋体" w:cs="Times New Roman"/>
                <w:snapToGrid w:val="0"/>
                <w:color w:val="auto"/>
              </w:rPr>
            </w:pPr>
            <w:r>
              <w:rPr>
                <w:rFonts w:ascii="宋体" w:hAnsi="宋体" w:eastAsia="宋体" w:cs="Times New Roman"/>
                <w:snapToGrid w:val="0"/>
                <w:color w:val="auto"/>
              </w:rPr>
              <w:t>主要排放口</w:t>
            </w:r>
          </w:p>
        </w:tc>
      </w:tr>
      <w:tr w14:paraId="420C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2" w:type="dxa"/>
            <w:gridSpan w:val="2"/>
            <w:tcBorders>
              <w:tl2br w:val="nil"/>
              <w:tr2bl w:val="nil"/>
            </w:tcBorders>
            <w:vAlign w:val="center"/>
          </w:tcPr>
          <w:p w14:paraId="5B26DDA3">
            <w:pPr>
              <w:jc w:val="center"/>
              <w:rPr>
                <w:rFonts w:ascii="宋体" w:hAnsi="宋体" w:eastAsia="宋体" w:cs="Times New Roman"/>
                <w:snapToGrid w:val="0"/>
                <w:color w:val="auto"/>
              </w:rPr>
            </w:pPr>
            <w:r>
              <w:rPr>
                <w:rFonts w:ascii="宋体" w:hAnsi="宋体" w:eastAsia="宋体" w:cs="Times New Roman"/>
                <w:snapToGrid w:val="0"/>
                <w:color w:val="auto"/>
              </w:rPr>
              <w:t>主要排放口合计</w:t>
            </w:r>
          </w:p>
        </w:tc>
        <w:tc>
          <w:tcPr>
            <w:tcW w:w="1512" w:type="dxa"/>
            <w:tcBorders>
              <w:tl2br w:val="nil"/>
              <w:tr2bl w:val="nil"/>
            </w:tcBorders>
            <w:vAlign w:val="center"/>
          </w:tcPr>
          <w:p w14:paraId="7D119093">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1512" w:type="dxa"/>
            <w:tcBorders>
              <w:tl2br w:val="nil"/>
              <w:tr2bl w:val="nil"/>
            </w:tcBorders>
            <w:vAlign w:val="center"/>
          </w:tcPr>
          <w:p w14:paraId="25E459DB">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1512" w:type="dxa"/>
            <w:tcBorders>
              <w:tl2br w:val="nil"/>
              <w:tr2bl w:val="nil"/>
            </w:tcBorders>
            <w:vAlign w:val="center"/>
          </w:tcPr>
          <w:p w14:paraId="4457E32D">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1512" w:type="dxa"/>
            <w:tcBorders>
              <w:tl2br w:val="nil"/>
              <w:tr2bl w:val="nil"/>
            </w:tcBorders>
            <w:vAlign w:val="center"/>
          </w:tcPr>
          <w:p w14:paraId="7AB30D29">
            <w:pPr>
              <w:jc w:val="center"/>
              <w:rPr>
                <w:rFonts w:ascii="宋体" w:hAnsi="宋体" w:eastAsia="宋体" w:cs="Times New Roman"/>
                <w:snapToGrid w:val="0"/>
                <w:color w:val="auto"/>
              </w:rPr>
            </w:pPr>
            <w:r>
              <w:rPr>
                <w:rFonts w:ascii="宋体" w:hAnsi="宋体" w:eastAsia="宋体" w:cs="Times New Roman"/>
                <w:snapToGrid w:val="0"/>
                <w:color w:val="auto"/>
              </w:rPr>
              <w:t>/</w:t>
            </w:r>
          </w:p>
        </w:tc>
      </w:tr>
      <w:tr w14:paraId="0B10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0" w:type="dxa"/>
            <w:gridSpan w:val="6"/>
            <w:tcBorders>
              <w:tl2br w:val="nil"/>
              <w:tr2bl w:val="nil"/>
            </w:tcBorders>
            <w:vAlign w:val="center"/>
          </w:tcPr>
          <w:p w14:paraId="0204BE98">
            <w:pPr>
              <w:jc w:val="center"/>
              <w:rPr>
                <w:rFonts w:ascii="宋体" w:hAnsi="宋体" w:eastAsia="宋体" w:cs="Times New Roman"/>
                <w:snapToGrid w:val="0"/>
                <w:color w:val="auto"/>
              </w:rPr>
            </w:pPr>
            <w:r>
              <w:rPr>
                <w:rFonts w:ascii="宋体" w:hAnsi="宋体" w:eastAsia="宋体" w:cs="Times New Roman"/>
                <w:snapToGrid w:val="0"/>
                <w:color w:val="auto"/>
              </w:rPr>
              <w:t>一般排放口</w:t>
            </w:r>
          </w:p>
        </w:tc>
      </w:tr>
      <w:tr w14:paraId="3E01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restart"/>
            <w:tcBorders>
              <w:tl2br w:val="nil"/>
              <w:tr2bl w:val="nil"/>
            </w:tcBorders>
            <w:vAlign w:val="center"/>
          </w:tcPr>
          <w:p w14:paraId="10EFB7D2">
            <w:pPr>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2319" w:type="dxa"/>
            <w:vMerge w:val="restart"/>
            <w:tcBorders>
              <w:tl2br w:val="nil"/>
              <w:tr2bl w:val="nil"/>
            </w:tcBorders>
            <w:vAlign w:val="center"/>
          </w:tcPr>
          <w:p w14:paraId="576B9D2A">
            <w:pPr>
              <w:jc w:val="center"/>
              <w:rPr>
                <w:rFonts w:ascii="宋体" w:hAnsi="宋体" w:eastAsia="宋体" w:cs="Times New Roman"/>
                <w:snapToGrid w:val="0"/>
                <w:color w:val="auto"/>
              </w:rPr>
            </w:pPr>
            <w:r>
              <w:rPr>
                <w:rFonts w:hint="eastAsia" w:ascii="宋体" w:hAnsi="宋体" w:eastAsia="宋体" w:cs="Times New Roman"/>
                <w:color w:val="auto"/>
                <w:lang w:bidi="zh-CN"/>
              </w:rPr>
              <w:t>1#</w:t>
            </w:r>
            <w:r>
              <w:rPr>
                <w:rFonts w:ascii="宋体" w:hAnsi="宋体" w:eastAsia="宋体" w:cs="Times New Roman"/>
                <w:color w:val="auto"/>
                <w:lang w:bidi="zh-CN"/>
              </w:rPr>
              <w:t>拉油点储罐1#</w:t>
            </w:r>
          </w:p>
        </w:tc>
        <w:tc>
          <w:tcPr>
            <w:tcW w:w="1512" w:type="dxa"/>
            <w:tcBorders>
              <w:tl2br w:val="nil"/>
              <w:tr2bl w:val="nil"/>
            </w:tcBorders>
            <w:vAlign w:val="center"/>
          </w:tcPr>
          <w:p w14:paraId="56793374">
            <w:pPr>
              <w:jc w:val="center"/>
              <w:rPr>
                <w:rFonts w:ascii="宋体" w:hAnsi="宋体" w:eastAsia="宋体" w:cs="Times New Roman"/>
                <w:snapToGrid w:val="0"/>
                <w:color w:val="auto"/>
                <w:lang w:val="zh-CN"/>
              </w:rPr>
            </w:pPr>
            <w:r>
              <w:rPr>
                <w:rFonts w:ascii="宋体" w:hAnsi="宋体" w:eastAsia="宋体" w:cs="Times New Roman"/>
                <w:snapToGrid w:val="0"/>
                <w:color w:val="auto"/>
                <w:lang w:val="zh-CN"/>
              </w:rPr>
              <w:t>颗粒物</w:t>
            </w:r>
          </w:p>
        </w:tc>
        <w:tc>
          <w:tcPr>
            <w:tcW w:w="1512" w:type="dxa"/>
            <w:tcBorders>
              <w:tl2br w:val="nil"/>
              <w:tr2bl w:val="nil"/>
            </w:tcBorders>
            <w:vAlign w:val="center"/>
          </w:tcPr>
          <w:p w14:paraId="02B7CD8C">
            <w:pPr>
              <w:jc w:val="center"/>
              <w:rPr>
                <w:rFonts w:ascii="宋体" w:hAnsi="宋体" w:eastAsia="宋体" w:cs="Times New Roman"/>
                <w:snapToGrid w:val="0"/>
                <w:color w:val="auto"/>
              </w:rPr>
            </w:pPr>
            <w:r>
              <w:rPr>
                <w:rFonts w:hint="eastAsia" w:ascii="宋体" w:hAnsi="宋体" w:eastAsia="宋体" w:cs="Times New Roman"/>
                <w:snapToGrid w:val="0"/>
                <w:color w:val="auto"/>
              </w:rPr>
              <w:t>9.4</w:t>
            </w:r>
          </w:p>
        </w:tc>
        <w:tc>
          <w:tcPr>
            <w:tcW w:w="1512" w:type="dxa"/>
            <w:tcBorders>
              <w:tl2br w:val="nil"/>
              <w:tr2bl w:val="nil"/>
            </w:tcBorders>
            <w:vAlign w:val="bottom"/>
          </w:tcPr>
          <w:p w14:paraId="6055369E">
            <w:pPr>
              <w:jc w:val="center"/>
              <w:rPr>
                <w:rFonts w:ascii="宋体" w:hAnsi="宋体" w:eastAsia="宋体" w:cs="Times New Roman"/>
                <w:snapToGrid w:val="0"/>
                <w:color w:val="auto"/>
              </w:rPr>
            </w:pPr>
            <w:r>
              <w:rPr>
                <w:rFonts w:ascii="宋体" w:hAnsi="宋体" w:eastAsia="宋体" w:cs="Times New Roman"/>
                <w:snapToGrid w:val="0"/>
                <w:color w:val="auto"/>
              </w:rPr>
              <w:t>0.00183</w:t>
            </w:r>
          </w:p>
        </w:tc>
        <w:tc>
          <w:tcPr>
            <w:tcW w:w="1512" w:type="dxa"/>
            <w:tcBorders>
              <w:tl2br w:val="nil"/>
              <w:tr2bl w:val="nil"/>
            </w:tcBorders>
            <w:vAlign w:val="center"/>
          </w:tcPr>
          <w:p w14:paraId="401D4589">
            <w:pPr>
              <w:jc w:val="center"/>
              <w:rPr>
                <w:rFonts w:ascii="宋体" w:hAnsi="宋体" w:eastAsia="宋体" w:cs="Times New Roman"/>
                <w:snapToGrid w:val="0"/>
                <w:color w:val="auto"/>
              </w:rPr>
            </w:pPr>
            <w:r>
              <w:rPr>
                <w:rFonts w:hint="eastAsia" w:ascii="宋体" w:hAnsi="宋体" w:eastAsia="宋体" w:cs="Times New Roman"/>
                <w:snapToGrid w:val="0"/>
                <w:color w:val="auto"/>
              </w:rPr>
              <w:t>0.093</w:t>
            </w:r>
          </w:p>
        </w:tc>
      </w:tr>
      <w:tr w14:paraId="3532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continue"/>
            <w:tcBorders>
              <w:tl2br w:val="nil"/>
              <w:tr2bl w:val="nil"/>
            </w:tcBorders>
            <w:vAlign w:val="center"/>
          </w:tcPr>
          <w:p w14:paraId="56B691F1">
            <w:pPr>
              <w:jc w:val="center"/>
              <w:rPr>
                <w:rFonts w:ascii="宋体" w:hAnsi="宋体" w:eastAsia="宋体" w:cs="Times New Roman"/>
                <w:snapToGrid w:val="0"/>
                <w:color w:val="auto"/>
              </w:rPr>
            </w:pPr>
          </w:p>
        </w:tc>
        <w:tc>
          <w:tcPr>
            <w:tcW w:w="2319" w:type="dxa"/>
            <w:vMerge w:val="continue"/>
            <w:tcBorders>
              <w:tl2br w:val="nil"/>
              <w:tr2bl w:val="nil"/>
            </w:tcBorders>
            <w:vAlign w:val="center"/>
          </w:tcPr>
          <w:p w14:paraId="3509A19E">
            <w:pPr>
              <w:jc w:val="center"/>
              <w:rPr>
                <w:rFonts w:ascii="宋体" w:hAnsi="宋体" w:eastAsia="宋体" w:cs="Times New Roman"/>
                <w:snapToGrid w:val="0"/>
                <w:color w:val="auto"/>
              </w:rPr>
            </w:pPr>
          </w:p>
        </w:tc>
        <w:tc>
          <w:tcPr>
            <w:tcW w:w="1512" w:type="dxa"/>
            <w:tcBorders>
              <w:tl2br w:val="nil"/>
              <w:tr2bl w:val="nil"/>
            </w:tcBorders>
            <w:vAlign w:val="center"/>
          </w:tcPr>
          <w:p w14:paraId="4D8A06C9">
            <w:pPr>
              <w:jc w:val="center"/>
              <w:rPr>
                <w:rFonts w:ascii="宋体" w:hAnsi="宋体" w:eastAsia="宋体" w:cs="Times New Roman"/>
                <w:snapToGrid w:val="0"/>
                <w:color w:val="auto"/>
                <w:lang w:val="zh-CN"/>
              </w:rPr>
            </w:pPr>
            <w:r>
              <w:rPr>
                <w:rFonts w:ascii="宋体" w:hAnsi="宋体" w:eastAsia="宋体" w:cs="Times New Roman"/>
                <w:snapToGrid w:val="0"/>
                <w:color w:val="auto"/>
                <w:lang w:val="zh-CN"/>
              </w:rPr>
              <w:t>NOx</w:t>
            </w:r>
          </w:p>
        </w:tc>
        <w:tc>
          <w:tcPr>
            <w:tcW w:w="1512" w:type="dxa"/>
            <w:tcBorders>
              <w:tl2br w:val="nil"/>
              <w:tr2bl w:val="nil"/>
            </w:tcBorders>
            <w:vAlign w:val="center"/>
          </w:tcPr>
          <w:p w14:paraId="4333256F">
            <w:pPr>
              <w:jc w:val="center"/>
              <w:rPr>
                <w:rFonts w:ascii="宋体" w:hAnsi="宋体" w:eastAsia="宋体" w:cs="Times New Roman"/>
                <w:snapToGrid w:val="0"/>
                <w:color w:val="auto"/>
              </w:rPr>
            </w:pPr>
            <w:r>
              <w:rPr>
                <w:rFonts w:hint="eastAsia" w:ascii="宋体" w:hAnsi="宋体" w:eastAsia="宋体" w:cs="Times New Roman"/>
                <w:snapToGrid w:val="0"/>
                <w:color w:val="auto"/>
              </w:rPr>
              <w:t>78</w:t>
            </w:r>
          </w:p>
        </w:tc>
        <w:tc>
          <w:tcPr>
            <w:tcW w:w="1512" w:type="dxa"/>
            <w:tcBorders>
              <w:tl2br w:val="nil"/>
              <w:tr2bl w:val="nil"/>
            </w:tcBorders>
            <w:vAlign w:val="bottom"/>
          </w:tcPr>
          <w:p w14:paraId="1C2FFA0E">
            <w:pPr>
              <w:jc w:val="center"/>
              <w:rPr>
                <w:rFonts w:ascii="宋体" w:hAnsi="宋体" w:eastAsia="宋体" w:cs="Times New Roman"/>
                <w:snapToGrid w:val="0"/>
                <w:color w:val="auto"/>
              </w:rPr>
            </w:pPr>
            <w:r>
              <w:rPr>
                <w:rFonts w:ascii="宋体" w:hAnsi="宋体" w:eastAsia="宋体" w:cs="Times New Roman"/>
                <w:snapToGrid w:val="0"/>
                <w:color w:val="auto"/>
              </w:rPr>
              <w:t>0.0146</w:t>
            </w:r>
          </w:p>
        </w:tc>
        <w:tc>
          <w:tcPr>
            <w:tcW w:w="1512" w:type="dxa"/>
            <w:tcBorders>
              <w:tl2br w:val="nil"/>
              <w:tr2bl w:val="nil"/>
            </w:tcBorders>
            <w:vAlign w:val="center"/>
          </w:tcPr>
          <w:p w14:paraId="77989FAF">
            <w:pPr>
              <w:jc w:val="center"/>
              <w:rPr>
                <w:rFonts w:ascii="宋体" w:hAnsi="宋体" w:eastAsia="宋体" w:cs="Times New Roman"/>
                <w:snapToGrid w:val="0"/>
                <w:color w:val="auto"/>
              </w:rPr>
            </w:pPr>
            <w:r>
              <w:rPr>
                <w:rFonts w:hint="eastAsia" w:ascii="宋体" w:hAnsi="宋体" w:eastAsia="宋体" w:cs="Times New Roman"/>
                <w:snapToGrid w:val="0"/>
                <w:color w:val="auto"/>
              </w:rPr>
              <w:t>0.775</w:t>
            </w:r>
          </w:p>
        </w:tc>
      </w:tr>
      <w:tr w14:paraId="6366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continue"/>
            <w:tcBorders>
              <w:tl2br w:val="nil"/>
              <w:tr2bl w:val="nil"/>
            </w:tcBorders>
            <w:vAlign w:val="center"/>
          </w:tcPr>
          <w:p w14:paraId="7D49905E">
            <w:pPr>
              <w:jc w:val="center"/>
              <w:rPr>
                <w:rFonts w:ascii="宋体" w:hAnsi="宋体" w:eastAsia="宋体" w:cs="Times New Roman"/>
                <w:snapToGrid w:val="0"/>
                <w:color w:val="auto"/>
              </w:rPr>
            </w:pPr>
          </w:p>
        </w:tc>
        <w:tc>
          <w:tcPr>
            <w:tcW w:w="2319" w:type="dxa"/>
            <w:vMerge w:val="continue"/>
            <w:tcBorders>
              <w:tl2br w:val="nil"/>
              <w:tr2bl w:val="nil"/>
            </w:tcBorders>
            <w:vAlign w:val="center"/>
          </w:tcPr>
          <w:p w14:paraId="0A346754">
            <w:pPr>
              <w:jc w:val="center"/>
              <w:rPr>
                <w:rFonts w:ascii="宋体" w:hAnsi="宋体" w:eastAsia="宋体" w:cs="Times New Roman"/>
                <w:snapToGrid w:val="0"/>
                <w:color w:val="auto"/>
              </w:rPr>
            </w:pPr>
          </w:p>
        </w:tc>
        <w:tc>
          <w:tcPr>
            <w:tcW w:w="1512" w:type="dxa"/>
            <w:tcBorders>
              <w:tl2br w:val="nil"/>
              <w:tr2bl w:val="nil"/>
            </w:tcBorders>
            <w:vAlign w:val="center"/>
          </w:tcPr>
          <w:p w14:paraId="176CBAB0">
            <w:pPr>
              <w:jc w:val="center"/>
              <w:rPr>
                <w:rFonts w:ascii="宋体" w:hAnsi="宋体" w:eastAsia="宋体" w:cs="Times New Roman"/>
                <w:snapToGrid w:val="0"/>
                <w:color w:val="auto"/>
                <w:lang w:val="zh-CN"/>
              </w:rPr>
            </w:pPr>
            <w:r>
              <w:rPr>
                <w:rFonts w:ascii="宋体" w:hAnsi="宋体" w:eastAsia="宋体" w:cs="Times New Roman"/>
                <w:snapToGrid w:val="0"/>
                <w:color w:val="auto"/>
                <w:lang w:val="zh-CN"/>
              </w:rPr>
              <w:t>SO</w:t>
            </w:r>
            <w:r>
              <w:rPr>
                <w:rFonts w:ascii="宋体" w:hAnsi="宋体" w:eastAsia="宋体" w:cs="Times New Roman"/>
                <w:snapToGrid w:val="0"/>
                <w:color w:val="auto"/>
                <w:vertAlign w:val="subscript"/>
                <w:lang w:val="zh-CN"/>
              </w:rPr>
              <w:t>2</w:t>
            </w:r>
          </w:p>
        </w:tc>
        <w:tc>
          <w:tcPr>
            <w:tcW w:w="1512" w:type="dxa"/>
            <w:tcBorders>
              <w:tl2br w:val="nil"/>
              <w:tr2bl w:val="nil"/>
            </w:tcBorders>
            <w:vAlign w:val="center"/>
          </w:tcPr>
          <w:p w14:paraId="4142BC1E">
            <w:pPr>
              <w:jc w:val="center"/>
              <w:rPr>
                <w:rFonts w:ascii="宋体" w:hAnsi="宋体" w:eastAsia="宋体" w:cs="Times New Roman"/>
                <w:snapToGrid w:val="0"/>
                <w:color w:val="auto"/>
              </w:rPr>
            </w:pPr>
            <w:r>
              <w:rPr>
                <w:rFonts w:hint="eastAsia" w:ascii="宋体" w:hAnsi="宋体" w:eastAsia="宋体" w:cs="Times New Roman"/>
                <w:snapToGrid w:val="0"/>
                <w:color w:val="auto"/>
              </w:rPr>
              <w:t>9</w:t>
            </w:r>
          </w:p>
        </w:tc>
        <w:tc>
          <w:tcPr>
            <w:tcW w:w="1512" w:type="dxa"/>
            <w:tcBorders>
              <w:tl2br w:val="nil"/>
              <w:tr2bl w:val="nil"/>
            </w:tcBorders>
            <w:vAlign w:val="bottom"/>
          </w:tcPr>
          <w:p w14:paraId="38379DFF">
            <w:pPr>
              <w:jc w:val="center"/>
              <w:rPr>
                <w:rFonts w:ascii="宋体" w:hAnsi="宋体" w:eastAsia="宋体" w:cs="Times New Roman"/>
                <w:snapToGrid w:val="0"/>
                <w:color w:val="auto"/>
              </w:rPr>
            </w:pPr>
            <w:r>
              <w:rPr>
                <w:rFonts w:ascii="宋体" w:hAnsi="宋体" w:eastAsia="宋体" w:cs="Times New Roman"/>
                <w:snapToGrid w:val="0"/>
                <w:color w:val="auto"/>
              </w:rPr>
              <w:t>0.00187</w:t>
            </w:r>
          </w:p>
        </w:tc>
        <w:tc>
          <w:tcPr>
            <w:tcW w:w="1512" w:type="dxa"/>
            <w:tcBorders>
              <w:tl2br w:val="nil"/>
              <w:tr2bl w:val="nil"/>
            </w:tcBorders>
            <w:vAlign w:val="center"/>
          </w:tcPr>
          <w:p w14:paraId="48B503F9">
            <w:pPr>
              <w:jc w:val="center"/>
              <w:rPr>
                <w:rFonts w:ascii="宋体" w:hAnsi="宋体" w:eastAsia="宋体" w:cs="Times New Roman"/>
                <w:snapToGrid w:val="0"/>
                <w:color w:val="auto"/>
              </w:rPr>
            </w:pPr>
            <w:r>
              <w:rPr>
                <w:rFonts w:hint="eastAsia" w:ascii="宋体" w:hAnsi="宋体" w:eastAsia="宋体" w:cs="Times New Roman"/>
                <w:snapToGrid w:val="0"/>
                <w:color w:val="auto"/>
              </w:rPr>
              <w:t>0.089</w:t>
            </w:r>
          </w:p>
        </w:tc>
      </w:tr>
      <w:tr w14:paraId="46B3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restart"/>
            <w:tcBorders>
              <w:tl2br w:val="nil"/>
              <w:tr2bl w:val="nil"/>
            </w:tcBorders>
            <w:vAlign w:val="center"/>
          </w:tcPr>
          <w:p w14:paraId="62E9E90A">
            <w:pPr>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2319" w:type="dxa"/>
            <w:vMerge w:val="restart"/>
            <w:tcBorders>
              <w:tl2br w:val="nil"/>
              <w:tr2bl w:val="nil"/>
            </w:tcBorders>
            <w:vAlign w:val="center"/>
          </w:tcPr>
          <w:p w14:paraId="429E20CA">
            <w:pPr>
              <w:jc w:val="center"/>
              <w:rPr>
                <w:rFonts w:ascii="宋体" w:hAnsi="宋体" w:eastAsia="宋体" w:cs="Times New Roman"/>
                <w:snapToGrid w:val="0"/>
                <w:color w:val="auto"/>
              </w:rPr>
            </w:pPr>
            <w:r>
              <w:rPr>
                <w:rFonts w:hint="eastAsia" w:ascii="宋体" w:hAnsi="宋体" w:eastAsia="宋体" w:cs="Times New Roman"/>
                <w:color w:val="auto"/>
                <w:lang w:bidi="zh-CN"/>
              </w:rPr>
              <w:t>2#</w:t>
            </w:r>
            <w:r>
              <w:rPr>
                <w:rFonts w:ascii="宋体" w:hAnsi="宋体" w:eastAsia="宋体" w:cs="Times New Roman"/>
                <w:color w:val="auto"/>
                <w:lang w:bidi="zh-CN"/>
              </w:rPr>
              <w:t>拉油点储罐2#</w:t>
            </w:r>
          </w:p>
        </w:tc>
        <w:tc>
          <w:tcPr>
            <w:tcW w:w="1512" w:type="dxa"/>
            <w:tcBorders>
              <w:tl2br w:val="nil"/>
              <w:tr2bl w:val="nil"/>
            </w:tcBorders>
            <w:vAlign w:val="center"/>
          </w:tcPr>
          <w:p w14:paraId="475CBE66">
            <w:pPr>
              <w:jc w:val="center"/>
              <w:rPr>
                <w:rFonts w:ascii="宋体" w:hAnsi="宋体" w:eastAsia="宋体" w:cs="Times New Roman"/>
                <w:snapToGrid w:val="0"/>
                <w:color w:val="auto"/>
              </w:rPr>
            </w:pPr>
            <w:r>
              <w:rPr>
                <w:rFonts w:ascii="宋体" w:hAnsi="宋体" w:eastAsia="宋体" w:cs="Times New Roman"/>
                <w:snapToGrid w:val="0"/>
                <w:color w:val="auto"/>
                <w:lang w:val="zh-CN"/>
              </w:rPr>
              <w:t>颗粒物</w:t>
            </w:r>
          </w:p>
        </w:tc>
        <w:tc>
          <w:tcPr>
            <w:tcW w:w="1512" w:type="dxa"/>
            <w:tcBorders>
              <w:tl2br w:val="nil"/>
              <w:tr2bl w:val="nil"/>
            </w:tcBorders>
            <w:vAlign w:val="center"/>
          </w:tcPr>
          <w:p w14:paraId="4C0120CD">
            <w:pPr>
              <w:jc w:val="center"/>
              <w:rPr>
                <w:rFonts w:ascii="宋体" w:hAnsi="宋体" w:eastAsia="宋体" w:cs="Times New Roman"/>
                <w:snapToGrid w:val="0"/>
                <w:color w:val="auto"/>
              </w:rPr>
            </w:pPr>
            <w:r>
              <w:rPr>
                <w:rFonts w:hint="eastAsia" w:ascii="宋体" w:hAnsi="宋体" w:eastAsia="宋体" w:cs="Times New Roman"/>
                <w:snapToGrid w:val="0"/>
                <w:color w:val="auto"/>
              </w:rPr>
              <w:t>9.4</w:t>
            </w:r>
          </w:p>
        </w:tc>
        <w:tc>
          <w:tcPr>
            <w:tcW w:w="1512" w:type="dxa"/>
            <w:tcBorders>
              <w:tl2br w:val="nil"/>
              <w:tr2bl w:val="nil"/>
            </w:tcBorders>
            <w:vAlign w:val="bottom"/>
          </w:tcPr>
          <w:p w14:paraId="625438D4">
            <w:pPr>
              <w:jc w:val="center"/>
              <w:rPr>
                <w:rFonts w:ascii="宋体" w:hAnsi="宋体" w:eastAsia="宋体" w:cs="Times New Roman"/>
                <w:snapToGrid w:val="0"/>
                <w:color w:val="auto"/>
              </w:rPr>
            </w:pPr>
            <w:r>
              <w:rPr>
                <w:rFonts w:ascii="宋体" w:hAnsi="宋体" w:eastAsia="宋体" w:cs="Times New Roman"/>
                <w:snapToGrid w:val="0"/>
                <w:color w:val="auto"/>
              </w:rPr>
              <w:t>0.00183</w:t>
            </w:r>
          </w:p>
        </w:tc>
        <w:tc>
          <w:tcPr>
            <w:tcW w:w="1512" w:type="dxa"/>
            <w:tcBorders>
              <w:tl2br w:val="nil"/>
              <w:tr2bl w:val="nil"/>
            </w:tcBorders>
            <w:vAlign w:val="center"/>
          </w:tcPr>
          <w:p w14:paraId="54150D7B">
            <w:pPr>
              <w:jc w:val="center"/>
              <w:rPr>
                <w:rFonts w:ascii="宋体" w:hAnsi="宋体" w:eastAsia="宋体" w:cs="Times New Roman"/>
                <w:snapToGrid w:val="0"/>
                <w:color w:val="auto"/>
              </w:rPr>
            </w:pPr>
            <w:r>
              <w:rPr>
                <w:rFonts w:hint="eastAsia" w:ascii="宋体" w:hAnsi="宋体" w:eastAsia="宋体" w:cs="Times New Roman"/>
                <w:snapToGrid w:val="0"/>
                <w:color w:val="auto"/>
              </w:rPr>
              <w:t>0.093</w:t>
            </w:r>
          </w:p>
        </w:tc>
      </w:tr>
      <w:tr w14:paraId="1789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continue"/>
            <w:tcBorders>
              <w:tl2br w:val="nil"/>
              <w:tr2bl w:val="nil"/>
            </w:tcBorders>
            <w:vAlign w:val="center"/>
          </w:tcPr>
          <w:p w14:paraId="5FFFF8CD">
            <w:pPr>
              <w:jc w:val="center"/>
              <w:rPr>
                <w:rFonts w:ascii="宋体" w:hAnsi="宋体" w:eastAsia="宋体" w:cs="Times New Roman"/>
                <w:snapToGrid w:val="0"/>
                <w:color w:val="auto"/>
              </w:rPr>
            </w:pPr>
          </w:p>
        </w:tc>
        <w:tc>
          <w:tcPr>
            <w:tcW w:w="2319" w:type="dxa"/>
            <w:vMerge w:val="continue"/>
            <w:tcBorders>
              <w:tl2br w:val="nil"/>
              <w:tr2bl w:val="nil"/>
            </w:tcBorders>
            <w:vAlign w:val="center"/>
          </w:tcPr>
          <w:p w14:paraId="79F8C31C">
            <w:pPr>
              <w:jc w:val="center"/>
              <w:rPr>
                <w:rFonts w:ascii="宋体" w:hAnsi="宋体" w:eastAsia="宋体" w:cs="Times New Roman"/>
                <w:snapToGrid w:val="0"/>
                <w:color w:val="auto"/>
              </w:rPr>
            </w:pPr>
          </w:p>
        </w:tc>
        <w:tc>
          <w:tcPr>
            <w:tcW w:w="1512" w:type="dxa"/>
            <w:tcBorders>
              <w:tl2br w:val="nil"/>
              <w:tr2bl w:val="nil"/>
            </w:tcBorders>
            <w:vAlign w:val="center"/>
          </w:tcPr>
          <w:p w14:paraId="576205ED">
            <w:pPr>
              <w:jc w:val="center"/>
              <w:rPr>
                <w:rFonts w:ascii="宋体" w:hAnsi="宋体" w:eastAsia="宋体" w:cs="Times New Roman"/>
                <w:snapToGrid w:val="0"/>
                <w:color w:val="auto"/>
              </w:rPr>
            </w:pPr>
            <w:r>
              <w:rPr>
                <w:rFonts w:ascii="宋体" w:hAnsi="宋体" w:eastAsia="宋体" w:cs="Times New Roman"/>
                <w:snapToGrid w:val="0"/>
                <w:color w:val="auto"/>
                <w:lang w:val="zh-CN"/>
              </w:rPr>
              <w:t>NOx</w:t>
            </w:r>
          </w:p>
        </w:tc>
        <w:tc>
          <w:tcPr>
            <w:tcW w:w="1512" w:type="dxa"/>
            <w:tcBorders>
              <w:tl2br w:val="nil"/>
              <w:tr2bl w:val="nil"/>
            </w:tcBorders>
            <w:vAlign w:val="center"/>
          </w:tcPr>
          <w:p w14:paraId="668A3F92">
            <w:pPr>
              <w:jc w:val="center"/>
              <w:rPr>
                <w:rFonts w:ascii="宋体" w:hAnsi="宋体" w:eastAsia="宋体" w:cs="Times New Roman"/>
                <w:snapToGrid w:val="0"/>
                <w:color w:val="auto"/>
              </w:rPr>
            </w:pPr>
            <w:r>
              <w:rPr>
                <w:rFonts w:hint="eastAsia" w:ascii="宋体" w:hAnsi="宋体" w:eastAsia="宋体" w:cs="Times New Roman"/>
                <w:snapToGrid w:val="0"/>
                <w:color w:val="auto"/>
              </w:rPr>
              <w:t>78</w:t>
            </w:r>
          </w:p>
        </w:tc>
        <w:tc>
          <w:tcPr>
            <w:tcW w:w="1512" w:type="dxa"/>
            <w:tcBorders>
              <w:tl2br w:val="nil"/>
              <w:tr2bl w:val="nil"/>
            </w:tcBorders>
            <w:vAlign w:val="bottom"/>
          </w:tcPr>
          <w:p w14:paraId="60B5A226">
            <w:pPr>
              <w:jc w:val="center"/>
              <w:rPr>
                <w:rFonts w:ascii="宋体" w:hAnsi="宋体" w:eastAsia="宋体" w:cs="Times New Roman"/>
                <w:snapToGrid w:val="0"/>
                <w:color w:val="auto"/>
              </w:rPr>
            </w:pPr>
            <w:r>
              <w:rPr>
                <w:rFonts w:ascii="宋体" w:hAnsi="宋体" w:eastAsia="宋体" w:cs="Times New Roman"/>
                <w:snapToGrid w:val="0"/>
                <w:color w:val="auto"/>
              </w:rPr>
              <w:t>0.0146</w:t>
            </w:r>
          </w:p>
        </w:tc>
        <w:tc>
          <w:tcPr>
            <w:tcW w:w="1512" w:type="dxa"/>
            <w:tcBorders>
              <w:tl2br w:val="nil"/>
              <w:tr2bl w:val="nil"/>
            </w:tcBorders>
            <w:vAlign w:val="center"/>
          </w:tcPr>
          <w:p w14:paraId="331A6B0A">
            <w:pPr>
              <w:jc w:val="center"/>
              <w:rPr>
                <w:rFonts w:ascii="宋体" w:hAnsi="宋体" w:eastAsia="宋体" w:cs="Times New Roman"/>
                <w:snapToGrid w:val="0"/>
                <w:color w:val="auto"/>
              </w:rPr>
            </w:pPr>
            <w:r>
              <w:rPr>
                <w:rFonts w:hint="eastAsia" w:ascii="宋体" w:hAnsi="宋体" w:eastAsia="宋体" w:cs="Times New Roman"/>
                <w:snapToGrid w:val="0"/>
                <w:color w:val="auto"/>
              </w:rPr>
              <w:t>0.775</w:t>
            </w:r>
          </w:p>
        </w:tc>
      </w:tr>
      <w:tr w14:paraId="02E5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continue"/>
            <w:tcBorders>
              <w:tl2br w:val="nil"/>
              <w:tr2bl w:val="nil"/>
            </w:tcBorders>
            <w:vAlign w:val="center"/>
          </w:tcPr>
          <w:p w14:paraId="0581F48E">
            <w:pPr>
              <w:jc w:val="center"/>
              <w:rPr>
                <w:rFonts w:ascii="宋体" w:hAnsi="宋体" w:eastAsia="宋体" w:cs="Times New Roman"/>
                <w:snapToGrid w:val="0"/>
                <w:color w:val="auto"/>
              </w:rPr>
            </w:pPr>
          </w:p>
        </w:tc>
        <w:tc>
          <w:tcPr>
            <w:tcW w:w="2319" w:type="dxa"/>
            <w:vMerge w:val="continue"/>
            <w:tcBorders>
              <w:tl2br w:val="nil"/>
              <w:tr2bl w:val="nil"/>
            </w:tcBorders>
            <w:vAlign w:val="center"/>
          </w:tcPr>
          <w:p w14:paraId="658FAE6C">
            <w:pPr>
              <w:jc w:val="center"/>
              <w:rPr>
                <w:rFonts w:ascii="宋体" w:hAnsi="宋体" w:eastAsia="宋体" w:cs="Times New Roman"/>
                <w:snapToGrid w:val="0"/>
                <w:color w:val="auto"/>
              </w:rPr>
            </w:pPr>
          </w:p>
        </w:tc>
        <w:tc>
          <w:tcPr>
            <w:tcW w:w="1512" w:type="dxa"/>
            <w:tcBorders>
              <w:tl2br w:val="nil"/>
              <w:tr2bl w:val="nil"/>
            </w:tcBorders>
            <w:vAlign w:val="center"/>
          </w:tcPr>
          <w:p w14:paraId="54233FF9">
            <w:pPr>
              <w:jc w:val="center"/>
              <w:rPr>
                <w:rFonts w:ascii="宋体" w:hAnsi="宋体" w:eastAsia="宋体" w:cs="Times New Roman"/>
                <w:snapToGrid w:val="0"/>
                <w:color w:val="auto"/>
              </w:rPr>
            </w:pPr>
            <w:r>
              <w:rPr>
                <w:rFonts w:ascii="宋体" w:hAnsi="宋体" w:eastAsia="宋体" w:cs="Times New Roman"/>
                <w:snapToGrid w:val="0"/>
                <w:color w:val="auto"/>
                <w:lang w:val="zh-CN"/>
              </w:rPr>
              <w:t>SO</w:t>
            </w:r>
            <w:r>
              <w:rPr>
                <w:rFonts w:ascii="宋体" w:hAnsi="宋体" w:eastAsia="宋体" w:cs="Times New Roman"/>
                <w:snapToGrid w:val="0"/>
                <w:color w:val="auto"/>
                <w:vertAlign w:val="subscript"/>
                <w:lang w:val="zh-CN"/>
              </w:rPr>
              <w:t>2</w:t>
            </w:r>
          </w:p>
        </w:tc>
        <w:tc>
          <w:tcPr>
            <w:tcW w:w="1512" w:type="dxa"/>
            <w:tcBorders>
              <w:tl2br w:val="nil"/>
              <w:tr2bl w:val="nil"/>
            </w:tcBorders>
            <w:vAlign w:val="center"/>
          </w:tcPr>
          <w:p w14:paraId="675A0C05">
            <w:pPr>
              <w:jc w:val="center"/>
              <w:rPr>
                <w:rFonts w:ascii="宋体" w:hAnsi="宋体" w:eastAsia="宋体" w:cs="Times New Roman"/>
                <w:snapToGrid w:val="0"/>
                <w:color w:val="auto"/>
              </w:rPr>
            </w:pPr>
            <w:r>
              <w:rPr>
                <w:rFonts w:hint="eastAsia" w:ascii="宋体" w:hAnsi="宋体" w:eastAsia="宋体" w:cs="Times New Roman"/>
                <w:snapToGrid w:val="0"/>
                <w:color w:val="auto"/>
              </w:rPr>
              <w:t>9</w:t>
            </w:r>
          </w:p>
        </w:tc>
        <w:tc>
          <w:tcPr>
            <w:tcW w:w="1512" w:type="dxa"/>
            <w:tcBorders>
              <w:tl2br w:val="nil"/>
              <w:tr2bl w:val="nil"/>
            </w:tcBorders>
            <w:vAlign w:val="bottom"/>
          </w:tcPr>
          <w:p w14:paraId="048C107C">
            <w:pPr>
              <w:jc w:val="center"/>
              <w:rPr>
                <w:rFonts w:ascii="宋体" w:hAnsi="宋体" w:eastAsia="宋体" w:cs="Times New Roman"/>
                <w:snapToGrid w:val="0"/>
                <w:color w:val="auto"/>
              </w:rPr>
            </w:pPr>
            <w:r>
              <w:rPr>
                <w:rFonts w:ascii="宋体" w:hAnsi="宋体" w:eastAsia="宋体" w:cs="Times New Roman"/>
                <w:snapToGrid w:val="0"/>
                <w:color w:val="auto"/>
              </w:rPr>
              <w:t>0.00187</w:t>
            </w:r>
          </w:p>
        </w:tc>
        <w:tc>
          <w:tcPr>
            <w:tcW w:w="1512" w:type="dxa"/>
            <w:tcBorders>
              <w:tl2br w:val="nil"/>
              <w:tr2bl w:val="nil"/>
            </w:tcBorders>
            <w:vAlign w:val="center"/>
          </w:tcPr>
          <w:p w14:paraId="0C611168">
            <w:pPr>
              <w:jc w:val="center"/>
              <w:rPr>
                <w:rFonts w:ascii="宋体" w:hAnsi="宋体" w:eastAsia="宋体" w:cs="Times New Roman"/>
                <w:snapToGrid w:val="0"/>
                <w:color w:val="auto"/>
              </w:rPr>
            </w:pPr>
            <w:r>
              <w:rPr>
                <w:rFonts w:hint="eastAsia" w:ascii="宋体" w:hAnsi="宋体" w:eastAsia="宋体" w:cs="Times New Roman"/>
                <w:snapToGrid w:val="0"/>
                <w:color w:val="auto"/>
              </w:rPr>
              <w:t>0.089</w:t>
            </w:r>
          </w:p>
        </w:tc>
      </w:tr>
      <w:tr w14:paraId="4CCE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restart"/>
            <w:tcBorders>
              <w:tl2br w:val="nil"/>
              <w:tr2bl w:val="nil"/>
            </w:tcBorders>
            <w:vAlign w:val="center"/>
          </w:tcPr>
          <w:p w14:paraId="3B047079">
            <w:pPr>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2319" w:type="dxa"/>
            <w:vMerge w:val="restart"/>
            <w:tcBorders>
              <w:tl2br w:val="nil"/>
              <w:tr2bl w:val="nil"/>
            </w:tcBorders>
            <w:vAlign w:val="center"/>
          </w:tcPr>
          <w:p w14:paraId="345BA2F5">
            <w:pPr>
              <w:jc w:val="center"/>
              <w:rPr>
                <w:rFonts w:ascii="宋体" w:hAnsi="宋体" w:eastAsia="宋体" w:cs="Times New Roman"/>
                <w:snapToGrid w:val="0"/>
                <w:color w:val="auto"/>
              </w:rPr>
            </w:pPr>
            <w:r>
              <w:rPr>
                <w:rFonts w:hint="eastAsia" w:ascii="宋体" w:hAnsi="宋体" w:eastAsia="宋体" w:cs="Times New Roman"/>
                <w:color w:val="auto"/>
                <w:lang w:bidi="zh-CN"/>
              </w:rPr>
              <w:t>3#</w:t>
            </w:r>
            <w:r>
              <w:rPr>
                <w:rFonts w:ascii="宋体" w:hAnsi="宋体" w:eastAsia="宋体" w:cs="Times New Roman"/>
                <w:color w:val="auto"/>
                <w:lang w:bidi="zh-CN"/>
              </w:rPr>
              <w:t>拉油点储罐3#</w:t>
            </w:r>
          </w:p>
        </w:tc>
        <w:tc>
          <w:tcPr>
            <w:tcW w:w="1512" w:type="dxa"/>
            <w:tcBorders>
              <w:tl2br w:val="nil"/>
              <w:tr2bl w:val="nil"/>
            </w:tcBorders>
            <w:vAlign w:val="center"/>
          </w:tcPr>
          <w:p w14:paraId="3A87690C">
            <w:pPr>
              <w:jc w:val="center"/>
              <w:rPr>
                <w:rFonts w:ascii="宋体" w:hAnsi="宋体" w:eastAsia="宋体" w:cs="Times New Roman"/>
                <w:snapToGrid w:val="0"/>
                <w:color w:val="auto"/>
                <w:lang w:val="zh-CN"/>
              </w:rPr>
            </w:pPr>
            <w:r>
              <w:rPr>
                <w:rFonts w:ascii="宋体" w:hAnsi="宋体" w:eastAsia="宋体" w:cs="Times New Roman"/>
                <w:snapToGrid w:val="0"/>
                <w:color w:val="auto"/>
                <w:lang w:val="zh-CN"/>
              </w:rPr>
              <w:t>颗粒物</w:t>
            </w:r>
          </w:p>
        </w:tc>
        <w:tc>
          <w:tcPr>
            <w:tcW w:w="1512" w:type="dxa"/>
            <w:tcBorders>
              <w:tl2br w:val="nil"/>
              <w:tr2bl w:val="nil"/>
            </w:tcBorders>
            <w:vAlign w:val="center"/>
          </w:tcPr>
          <w:p w14:paraId="77D5B53E">
            <w:pPr>
              <w:jc w:val="center"/>
              <w:rPr>
                <w:rFonts w:ascii="宋体" w:hAnsi="宋体" w:eastAsia="宋体" w:cs="Times New Roman"/>
                <w:snapToGrid w:val="0"/>
                <w:color w:val="auto"/>
              </w:rPr>
            </w:pPr>
            <w:r>
              <w:rPr>
                <w:rFonts w:hint="eastAsia" w:ascii="宋体" w:hAnsi="宋体" w:eastAsia="宋体" w:cs="Times New Roman"/>
                <w:snapToGrid w:val="0"/>
                <w:color w:val="auto"/>
              </w:rPr>
              <w:t>9.4</w:t>
            </w:r>
          </w:p>
        </w:tc>
        <w:tc>
          <w:tcPr>
            <w:tcW w:w="1512" w:type="dxa"/>
            <w:tcBorders>
              <w:tl2br w:val="nil"/>
              <w:tr2bl w:val="nil"/>
            </w:tcBorders>
            <w:vAlign w:val="bottom"/>
          </w:tcPr>
          <w:p w14:paraId="5C96FB17">
            <w:pPr>
              <w:jc w:val="center"/>
              <w:rPr>
                <w:rFonts w:ascii="宋体" w:hAnsi="宋体" w:eastAsia="宋体" w:cs="Times New Roman"/>
                <w:snapToGrid w:val="0"/>
                <w:color w:val="auto"/>
              </w:rPr>
            </w:pPr>
            <w:r>
              <w:rPr>
                <w:rFonts w:ascii="宋体" w:hAnsi="宋体" w:eastAsia="宋体" w:cs="Times New Roman"/>
                <w:snapToGrid w:val="0"/>
                <w:color w:val="auto"/>
              </w:rPr>
              <w:t>0.00183</w:t>
            </w:r>
          </w:p>
        </w:tc>
        <w:tc>
          <w:tcPr>
            <w:tcW w:w="1512" w:type="dxa"/>
            <w:tcBorders>
              <w:tl2br w:val="nil"/>
              <w:tr2bl w:val="nil"/>
            </w:tcBorders>
            <w:vAlign w:val="center"/>
          </w:tcPr>
          <w:p w14:paraId="272B8D07">
            <w:pPr>
              <w:jc w:val="center"/>
              <w:rPr>
                <w:rFonts w:ascii="宋体" w:hAnsi="宋体" w:eastAsia="宋体" w:cs="Times New Roman"/>
                <w:snapToGrid w:val="0"/>
                <w:color w:val="auto"/>
              </w:rPr>
            </w:pPr>
            <w:r>
              <w:rPr>
                <w:rFonts w:hint="eastAsia" w:ascii="宋体" w:hAnsi="宋体" w:eastAsia="宋体" w:cs="Times New Roman"/>
                <w:snapToGrid w:val="0"/>
                <w:color w:val="auto"/>
              </w:rPr>
              <w:t>0.062</w:t>
            </w:r>
          </w:p>
        </w:tc>
      </w:tr>
      <w:tr w14:paraId="4915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continue"/>
            <w:tcBorders>
              <w:tl2br w:val="nil"/>
              <w:tr2bl w:val="nil"/>
            </w:tcBorders>
            <w:vAlign w:val="center"/>
          </w:tcPr>
          <w:p w14:paraId="1AB0A31D">
            <w:pPr>
              <w:jc w:val="center"/>
              <w:rPr>
                <w:rFonts w:ascii="宋体" w:hAnsi="宋体" w:eastAsia="宋体" w:cs="Times New Roman"/>
                <w:snapToGrid w:val="0"/>
                <w:color w:val="auto"/>
              </w:rPr>
            </w:pPr>
          </w:p>
        </w:tc>
        <w:tc>
          <w:tcPr>
            <w:tcW w:w="2319" w:type="dxa"/>
            <w:vMerge w:val="continue"/>
            <w:tcBorders>
              <w:tl2br w:val="nil"/>
              <w:tr2bl w:val="nil"/>
            </w:tcBorders>
            <w:vAlign w:val="center"/>
          </w:tcPr>
          <w:p w14:paraId="056E43D7">
            <w:pPr>
              <w:jc w:val="center"/>
              <w:rPr>
                <w:rFonts w:ascii="宋体" w:hAnsi="宋体" w:eastAsia="宋体" w:cs="Times New Roman"/>
                <w:snapToGrid w:val="0"/>
                <w:color w:val="auto"/>
              </w:rPr>
            </w:pPr>
          </w:p>
        </w:tc>
        <w:tc>
          <w:tcPr>
            <w:tcW w:w="1512" w:type="dxa"/>
            <w:tcBorders>
              <w:tl2br w:val="nil"/>
              <w:tr2bl w:val="nil"/>
            </w:tcBorders>
            <w:vAlign w:val="center"/>
          </w:tcPr>
          <w:p w14:paraId="722D3A56">
            <w:pPr>
              <w:jc w:val="center"/>
              <w:rPr>
                <w:rFonts w:ascii="宋体" w:hAnsi="宋体" w:eastAsia="宋体" w:cs="Times New Roman"/>
                <w:snapToGrid w:val="0"/>
                <w:color w:val="auto"/>
                <w:lang w:val="zh-CN"/>
              </w:rPr>
            </w:pPr>
            <w:r>
              <w:rPr>
                <w:rFonts w:ascii="宋体" w:hAnsi="宋体" w:eastAsia="宋体" w:cs="Times New Roman"/>
                <w:snapToGrid w:val="0"/>
                <w:color w:val="auto"/>
                <w:lang w:val="zh-CN"/>
              </w:rPr>
              <w:t>NOx</w:t>
            </w:r>
          </w:p>
        </w:tc>
        <w:tc>
          <w:tcPr>
            <w:tcW w:w="1512" w:type="dxa"/>
            <w:tcBorders>
              <w:tl2br w:val="nil"/>
              <w:tr2bl w:val="nil"/>
            </w:tcBorders>
            <w:vAlign w:val="center"/>
          </w:tcPr>
          <w:p w14:paraId="4C23EE07">
            <w:pPr>
              <w:jc w:val="center"/>
              <w:rPr>
                <w:rFonts w:ascii="宋体" w:hAnsi="宋体" w:eastAsia="宋体" w:cs="Times New Roman"/>
                <w:snapToGrid w:val="0"/>
                <w:color w:val="auto"/>
              </w:rPr>
            </w:pPr>
            <w:r>
              <w:rPr>
                <w:rFonts w:hint="eastAsia" w:ascii="宋体" w:hAnsi="宋体" w:eastAsia="宋体" w:cs="Times New Roman"/>
                <w:snapToGrid w:val="0"/>
                <w:color w:val="auto"/>
              </w:rPr>
              <w:t>78</w:t>
            </w:r>
          </w:p>
        </w:tc>
        <w:tc>
          <w:tcPr>
            <w:tcW w:w="1512" w:type="dxa"/>
            <w:tcBorders>
              <w:tl2br w:val="nil"/>
              <w:tr2bl w:val="nil"/>
            </w:tcBorders>
            <w:vAlign w:val="bottom"/>
          </w:tcPr>
          <w:p w14:paraId="196F54E4">
            <w:pPr>
              <w:jc w:val="center"/>
              <w:rPr>
                <w:rFonts w:ascii="宋体" w:hAnsi="宋体" w:eastAsia="宋体" w:cs="Times New Roman"/>
                <w:snapToGrid w:val="0"/>
                <w:color w:val="auto"/>
              </w:rPr>
            </w:pPr>
            <w:r>
              <w:rPr>
                <w:rFonts w:ascii="宋体" w:hAnsi="宋体" w:eastAsia="宋体" w:cs="Times New Roman"/>
                <w:snapToGrid w:val="0"/>
                <w:color w:val="auto"/>
              </w:rPr>
              <w:t>0.0146</w:t>
            </w:r>
          </w:p>
        </w:tc>
        <w:tc>
          <w:tcPr>
            <w:tcW w:w="1512" w:type="dxa"/>
            <w:tcBorders>
              <w:tl2br w:val="nil"/>
              <w:tr2bl w:val="nil"/>
            </w:tcBorders>
            <w:vAlign w:val="center"/>
          </w:tcPr>
          <w:p w14:paraId="5F187A34">
            <w:pPr>
              <w:jc w:val="center"/>
              <w:rPr>
                <w:rFonts w:ascii="宋体" w:hAnsi="宋体" w:eastAsia="宋体" w:cs="Times New Roman"/>
                <w:snapToGrid w:val="0"/>
                <w:color w:val="auto"/>
              </w:rPr>
            </w:pPr>
            <w:r>
              <w:rPr>
                <w:rFonts w:hint="eastAsia" w:ascii="宋体" w:hAnsi="宋体" w:eastAsia="宋体" w:cs="Times New Roman"/>
                <w:snapToGrid w:val="0"/>
                <w:color w:val="auto"/>
              </w:rPr>
              <w:t>0.517</w:t>
            </w:r>
          </w:p>
        </w:tc>
      </w:tr>
      <w:tr w14:paraId="4A32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continue"/>
            <w:tcBorders>
              <w:tl2br w:val="nil"/>
              <w:tr2bl w:val="nil"/>
            </w:tcBorders>
            <w:vAlign w:val="center"/>
          </w:tcPr>
          <w:p w14:paraId="487D453D">
            <w:pPr>
              <w:jc w:val="center"/>
              <w:rPr>
                <w:rFonts w:ascii="宋体" w:hAnsi="宋体" w:eastAsia="宋体" w:cs="Times New Roman"/>
                <w:snapToGrid w:val="0"/>
                <w:color w:val="auto"/>
              </w:rPr>
            </w:pPr>
          </w:p>
        </w:tc>
        <w:tc>
          <w:tcPr>
            <w:tcW w:w="2319" w:type="dxa"/>
            <w:vMerge w:val="continue"/>
            <w:tcBorders>
              <w:tl2br w:val="nil"/>
              <w:tr2bl w:val="nil"/>
            </w:tcBorders>
            <w:vAlign w:val="center"/>
          </w:tcPr>
          <w:p w14:paraId="08D607CF">
            <w:pPr>
              <w:jc w:val="center"/>
              <w:rPr>
                <w:rFonts w:ascii="宋体" w:hAnsi="宋体" w:eastAsia="宋体" w:cs="Times New Roman"/>
                <w:snapToGrid w:val="0"/>
                <w:color w:val="auto"/>
              </w:rPr>
            </w:pPr>
          </w:p>
        </w:tc>
        <w:tc>
          <w:tcPr>
            <w:tcW w:w="1512" w:type="dxa"/>
            <w:tcBorders>
              <w:tl2br w:val="nil"/>
              <w:tr2bl w:val="nil"/>
            </w:tcBorders>
            <w:vAlign w:val="center"/>
          </w:tcPr>
          <w:p w14:paraId="15F65117">
            <w:pPr>
              <w:jc w:val="center"/>
              <w:rPr>
                <w:rFonts w:ascii="宋体" w:hAnsi="宋体" w:eastAsia="宋体" w:cs="Times New Roman"/>
                <w:snapToGrid w:val="0"/>
                <w:color w:val="auto"/>
                <w:lang w:val="zh-CN"/>
              </w:rPr>
            </w:pPr>
            <w:r>
              <w:rPr>
                <w:rFonts w:ascii="宋体" w:hAnsi="宋体" w:eastAsia="宋体" w:cs="Times New Roman"/>
                <w:snapToGrid w:val="0"/>
                <w:color w:val="auto"/>
                <w:lang w:val="zh-CN"/>
              </w:rPr>
              <w:t>SO</w:t>
            </w:r>
            <w:r>
              <w:rPr>
                <w:rFonts w:ascii="宋体" w:hAnsi="宋体" w:eastAsia="宋体" w:cs="Times New Roman"/>
                <w:snapToGrid w:val="0"/>
                <w:color w:val="auto"/>
                <w:vertAlign w:val="subscript"/>
                <w:lang w:val="zh-CN"/>
              </w:rPr>
              <w:t>2</w:t>
            </w:r>
          </w:p>
        </w:tc>
        <w:tc>
          <w:tcPr>
            <w:tcW w:w="1512" w:type="dxa"/>
            <w:tcBorders>
              <w:tl2br w:val="nil"/>
              <w:tr2bl w:val="nil"/>
            </w:tcBorders>
            <w:vAlign w:val="center"/>
          </w:tcPr>
          <w:p w14:paraId="25919E5F">
            <w:pPr>
              <w:jc w:val="center"/>
              <w:rPr>
                <w:rFonts w:ascii="宋体" w:hAnsi="宋体" w:eastAsia="宋体" w:cs="Times New Roman"/>
                <w:snapToGrid w:val="0"/>
                <w:color w:val="auto"/>
              </w:rPr>
            </w:pPr>
            <w:r>
              <w:rPr>
                <w:rFonts w:hint="eastAsia" w:ascii="宋体" w:hAnsi="宋体" w:eastAsia="宋体" w:cs="Times New Roman"/>
                <w:snapToGrid w:val="0"/>
                <w:color w:val="auto"/>
              </w:rPr>
              <w:t>9</w:t>
            </w:r>
          </w:p>
        </w:tc>
        <w:tc>
          <w:tcPr>
            <w:tcW w:w="1512" w:type="dxa"/>
            <w:tcBorders>
              <w:tl2br w:val="nil"/>
              <w:tr2bl w:val="nil"/>
            </w:tcBorders>
            <w:vAlign w:val="bottom"/>
          </w:tcPr>
          <w:p w14:paraId="5E757322">
            <w:pPr>
              <w:jc w:val="center"/>
              <w:rPr>
                <w:rFonts w:ascii="宋体" w:hAnsi="宋体" w:eastAsia="宋体" w:cs="Times New Roman"/>
                <w:snapToGrid w:val="0"/>
                <w:color w:val="auto"/>
              </w:rPr>
            </w:pPr>
            <w:r>
              <w:rPr>
                <w:rFonts w:ascii="宋体" w:hAnsi="宋体" w:eastAsia="宋体" w:cs="Times New Roman"/>
                <w:snapToGrid w:val="0"/>
                <w:color w:val="auto"/>
              </w:rPr>
              <w:t>0.00187</w:t>
            </w:r>
          </w:p>
        </w:tc>
        <w:tc>
          <w:tcPr>
            <w:tcW w:w="1512" w:type="dxa"/>
            <w:tcBorders>
              <w:tl2br w:val="nil"/>
              <w:tr2bl w:val="nil"/>
            </w:tcBorders>
            <w:vAlign w:val="center"/>
          </w:tcPr>
          <w:p w14:paraId="5ACECA46">
            <w:pPr>
              <w:jc w:val="center"/>
              <w:rPr>
                <w:rFonts w:ascii="宋体" w:hAnsi="宋体" w:eastAsia="宋体" w:cs="Times New Roman"/>
                <w:snapToGrid w:val="0"/>
                <w:color w:val="auto"/>
              </w:rPr>
            </w:pPr>
            <w:r>
              <w:rPr>
                <w:rFonts w:hint="eastAsia" w:ascii="宋体" w:hAnsi="宋体" w:eastAsia="宋体" w:cs="Times New Roman"/>
                <w:snapToGrid w:val="0"/>
                <w:color w:val="auto"/>
              </w:rPr>
              <w:t>0.060</w:t>
            </w:r>
          </w:p>
        </w:tc>
      </w:tr>
      <w:tr w14:paraId="7D60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restart"/>
            <w:tcBorders>
              <w:tl2br w:val="nil"/>
              <w:tr2bl w:val="nil"/>
            </w:tcBorders>
            <w:vAlign w:val="center"/>
          </w:tcPr>
          <w:p w14:paraId="1822706C">
            <w:pPr>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2319" w:type="dxa"/>
            <w:vMerge w:val="restart"/>
            <w:tcBorders>
              <w:tl2br w:val="nil"/>
              <w:tr2bl w:val="nil"/>
            </w:tcBorders>
            <w:vAlign w:val="center"/>
          </w:tcPr>
          <w:p w14:paraId="7C3F8FC9">
            <w:pPr>
              <w:jc w:val="center"/>
              <w:rPr>
                <w:rFonts w:ascii="宋体" w:hAnsi="宋体" w:eastAsia="宋体" w:cs="Times New Roman"/>
                <w:snapToGrid w:val="0"/>
                <w:color w:val="auto"/>
              </w:rPr>
            </w:pPr>
            <w:r>
              <w:rPr>
                <w:rFonts w:hint="eastAsia" w:ascii="宋体" w:hAnsi="宋体" w:eastAsia="宋体" w:cs="Times New Roman"/>
                <w:color w:val="auto"/>
                <w:lang w:bidi="zh-CN"/>
              </w:rPr>
              <w:t>3#</w:t>
            </w:r>
            <w:r>
              <w:rPr>
                <w:rFonts w:ascii="宋体" w:hAnsi="宋体" w:eastAsia="宋体" w:cs="Times New Roman"/>
                <w:color w:val="auto"/>
                <w:lang w:bidi="zh-CN"/>
              </w:rPr>
              <w:t>拉油点储罐4#</w:t>
            </w:r>
          </w:p>
        </w:tc>
        <w:tc>
          <w:tcPr>
            <w:tcW w:w="1512" w:type="dxa"/>
            <w:tcBorders>
              <w:tl2br w:val="nil"/>
              <w:tr2bl w:val="nil"/>
            </w:tcBorders>
            <w:vAlign w:val="center"/>
          </w:tcPr>
          <w:p w14:paraId="2D7C06D6">
            <w:pPr>
              <w:jc w:val="center"/>
              <w:rPr>
                <w:rFonts w:ascii="宋体" w:hAnsi="宋体" w:eastAsia="宋体" w:cs="Times New Roman"/>
                <w:snapToGrid w:val="0"/>
                <w:color w:val="auto"/>
                <w:lang w:val="zh-CN"/>
              </w:rPr>
            </w:pPr>
            <w:r>
              <w:rPr>
                <w:rFonts w:ascii="宋体" w:hAnsi="宋体" w:eastAsia="宋体" w:cs="Times New Roman"/>
                <w:snapToGrid w:val="0"/>
                <w:color w:val="auto"/>
                <w:lang w:val="zh-CN"/>
              </w:rPr>
              <w:t>颗粒物</w:t>
            </w:r>
          </w:p>
        </w:tc>
        <w:tc>
          <w:tcPr>
            <w:tcW w:w="1512" w:type="dxa"/>
            <w:tcBorders>
              <w:tl2br w:val="nil"/>
              <w:tr2bl w:val="nil"/>
            </w:tcBorders>
            <w:vAlign w:val="center"/>
          </w:tcPr>
          <w:p w14:paraId="0A1EFA1D">
            <w:pPr>
              <w:jc w:val="center"/>
              <w:rPr>
                <w:rFonts w:ascii="宋体" w:hAnsi="宋体" w:eastAsia="宋体" w:cs="Times New Roman"/>
                <w:snapToGrid w:val="0"/>
                <w:color w:val="auto"/>
              </w:rPr>
            </w:pPr>
            <w:r>
              <w:rPr>
                <w:rFonts w:hint="eastAsia" w:ascii="宋体" w:hAnsi="宋体" w:eastAsia="宋体" w:cs="Times New Roman"/>
                <w:snapToGrid w:val="0"/>
                <w:color w:val="auto"/>
              </w:rPr>
              <w:t>9.4</w:t>
            </w:r>
          </w:p>
        </w:tc>
        <w:tc>
          <w:tcPr>
            <w:tcW w:w="1512" w:type="dxa"/>
            <w:tcBorders>
              <w:tl2br w:val="nil"/>
              <w:tr2bl w:val="nil"/>
            </w:tcBorders>
            <w:vAlign w:val="bottom"/>
          </w:tcPr>
          <w:p w14:paraId="616DF11E">
            <w:pPr>
              <w:jc w:val="center"/>
              <w:rPr>
                <w:rFonts w:ascii="宋体" w:hAnsi="宋体" w:eastAsia="宋体" w:cs="Times New Roman"/>
                <w:snapToGrid w:val="0"/>
                <w:color w:val="auto"/>
              </w:rPr>
            </w:pPr>
            <w:r>
              <w:rPr>
                <w:rFonts w:ascii="宋体" w:hAnsi="宋体" w:eastAsia="宋体" w:cs="Times New Roman"/>
                <w:snapToGrid w:val="0"/>
                <w:color w:val="auto"/>
              </w:rPr>
              <w:t>0.00183</w:t>
            </w:r>
          </w:p>
        </w:tc>
        <w:tc>
          <w:tcPr>
            <w:tcW w:w="1512" w:type="dxa"/>
            <w:tcBorders>
              <w:tl2br w:val="nil"/>
              <w:tr2bl w:val="nil"/>
            </w:tcBorders>
            <w:vAlign w:val="center"/>
          </w:tcPr>
          <w:p w14:paraId="51C7E9C8">
            <w:pPr>
              <w:jc w:val="center"/>
              <w:rPr>
                <w:rFonts w:ascii="宋体" w:hAnsi="宋体" w:eastAsia="宋体" w:cs="Times New Roman"/>
                <w:snapToGrid w:val="0"/>
                <w:color w:val="auto"/>
              </w:rPr>
            </w:pPr>
            <w:r>
              <w:rPr>
                <w:rFonts w:hint="eastAsia" w:ascii="宋体" w:hAnsi="宋体" w:eastAsia="宋体" w:cs="Times New Roman"/>
                <w:snapToGrid w:val="0"/>
                <w:color w:val="auto"/>
              </w:rPr>
              <w:t>0.125</w:t>
            </w:r>
          </w:p>
        </w:tc>
      </w:tr>
      <w:tr w14:paraId="3AEE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continue"/>
            <w:tcBorders>
              <w:tl2br w:val="nil"/>
              <w:tr2bl w:val="nil"/>
            </w:tcBorders>
            <w:vAlign w:val="center"/>
          </w:tcPr>
          <w:p w14:paraId="7C41CD5C">
            <w:pPr>
              <w:jc w:val="center"/>
              <w:rPr>
                <w:rFonts w:ascii="宋体" w:hAnsi="宋体" w:eastAsia="宋体" w:cs="Times New Roman"/>
                <w:snapToGrid w:val="0"/>
                <w:color w:val="auto"/>
              </w:rPr>
            </w:pPr>
          </w:p>
        </w:tc>
        <w:tc>
          <w:tcPr>
            <w:tcW w:w="2319" w:type="dxa"/>
            <w:vMerge w:val="continue"/>
            <w:tcBorders>
              <w:tl2br w:val="nil"/>
              <w:tr2bl w:val="nil"/>
            </w:tcBorders>
            <w:vAlign w:val="center"/>
          </w:tcPr>
          <w:p w14:paraId="03704B52">
            <w:pPr>
              <w:jc w:val="center"/>
              <w:rPr>
                <w:rFonts w:ascii="宋体" w:hAnsi="宋体" w:eastAsia="宋体" w:cs="Times New Roman"/>
                <w:snapToGrid w:val="0"/>
                <w:color w:val="auto"/>
              </w:rPr>
            </w:pPr>
          </w:p>
        </w:tc>
        <w:tc>
          <w:tcPr>
            <w:tcW w:w="1512" w:type="dxa"/>
            <w:tcBorders>
              <w:tl2br w:val="nil"/>
              <w:tr2bl w:val="nil"/>
            </w:tcBorders>
            <w:vAlign w:val="center"/>
          </w:tcPr>
          <w:p w14:paraId="060636E0">
            <w:pPr>
              <w:jc w:val="center"/>
              <w:rPr>
                <w:rFonts w:ascii="宋体" w:hAnsi="宋体" w:eastAsia="宋体" w:cs="Times New Roman"/>
                <w:snapToGrid w:val="0"/>
                <w:color w:val="auto"/>
                <w:lang w:val="zh-CN"/>
              </w:rPr>
            </w:pPr>
            <w:r>
              <w:rPr>
                <w:rFonts w:ascii="宋体" w:hAnsi="宋体" w:eastAsia="宋体" w:cs="Times New Roman"/>
                <w:snapToGrid w:val="0"/>
                <w:color w:val="auto"/>
                <w:lang w:val="zh-CN"/>
              </w:rPr>
              <w:t>NOx</w:t>
            </w:r>
          </w:p>
        </w:tc>
        <w:tc>
          <w:tcPr>
            <w:tcW w:w="1512" w:type="dxa"/>
            <w:tcBorders>
              <w:tl2br w:val="nil"/>
              <w:tr2bl w:val="nil"/>
            </w:tcBorders>
            <w:vAlign w:val="center"/>
          </w:tcPr>
          <w:p w14:paraId="3773D7B0">
            <w:pPr>
              <w:jc w:val="center"/>
              <w:rPr>
                <w:rFonts w:ascii="宋体" w:hAnsi="宋体" w:eastAsia="宋体" w:cs="Times New Roman"/>
                <w:snapToGrid w:val="0"/>
                <w:color w:val="auto"/>
              </w:rPr>
            </w:pPr>
            <w:r>
              <w:rPr>
                <w:rFonts w:hint="eastAsia" w:ascii="宋体" w:hAnsi="宋体" w:eastAsia="宋体" w:cs="Times New Roman"/>
                <w:snapToGrid w:val="0"/>
                <w:color w:val="auto"/>
              </w:rPr>
              <w:t>78</w:t>
            </w:r>
          </w:p>
        </w:tc>
        <w:tc>
          <w:tcPr>
            <w:tcW w:w="1512" w:type="dxa"/>
            <w:tcBorders>
              <w:tl2br w:val="nil"/>
              <w:tr2bl w:val="nil"/>
            </w:tcBorders>
            <w:vAlign w:val="bottom"/>
          </w:tcPr>
          <w:p w14:paraId="72264A22">
            <w:pPr>
              <w:jc w:val="center"/>
              <w:rPr>
                <w:rFonts w:ascii="宋体" w:hAnsi="宋体" w:eastAsia="宋体" w:cs="Times New Roman"/>
                <w:snapToGrid w:val="0"/>
                <w:color w:val="auto"/>
              </w:rPr>
            </w:pPr>
            <w:r>
              <w:rPr>
                <w:rFonts w:ascii="宋体" w:hAnsi="宋体" w:eastAsia="宋体" w:cs="Times New Roman"/>
                <w:snapToGrid w:val="0"/>
                <w:color w:val="auto"/>
              </w:rPr>
              <w:t>0.0146</w:t>
            </w:r>
          </w:p>
        </w:tc>
        <w:tc>
          <w:tcPr>
            <w:tcW w:w="1512" w:type="dxa"/>
            <w:tcBorders>
              <w:tl2br w:val="nil"/>
              <w:tr2bl w:val="nil"/>
            </w:tcBorders>
            <w:vAlign w:val="center"/>
          </w:tcPr>
          <w:p w14:paraId="41F6FA54">
            <w:pPr>
              <w:jc w:val="center"/>
              <w:rPr>
                <w:rFonts w:ascii="宋体" w:hAnsi="宋体" w:eastAsia="宋体" w:cs="Times New Roman"/>
                <w:snapToGrid w:val="0"/>
                <w:color w:val="auto"/>
              </w:rPr>
            </w:pPr>
            <w:r>
              <w:rPr>
                <w:rFonts w:hint="eastAsia" w:ascii="宋体" w:hAnsi="宋体" w:eastAsia="宋体" w:cs="Times New Roman"/>
                <w:snapToGrid w:val="0"/>
                <w:color w:val="auto"/>
              </w:rPr>
              <w:t>1.034</w:t>
            </w:r>
          </w:p>
        </w:tc>
      </w:tr>
      <w:tr w14:paraId="520D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dxa"/>
            <w:vMerge w:val="continue"/>
            <w:tcBorders>
              <w:tl2br w:val="nil"/>
              <w:tr2bl w:val="nil"/>
            </w:tcBorders>
            <w:vAlign w:val="center"/>
          </w:tcPr>
          <w:p w14:paraId="62D8DEB1">
            <w:pPr>
              <w:jc w:val="center"/>
              <w:rPr>
                <w:rFonts w:ascii="宋体" w:hAnsi="宋体" w:eastAsia="宋体" w:cs="Times New Roman"/>
                <w:snapToGrid w:val="0"/>
                <w:color w:val="auto"/>
              </w:rPr>
            </w:pPr>
          </w:p>
        </w:tc>
        <w:tc>
          <w:tcPr>
            <w:tcW w:w="2319" w:type="dxa"/>
            <w:vMerge w:val="continue"/>
            <w:tcBorders>
              <w:tl2br w:val="nil"/>
              <w:tr2bl w:val="nil"/>
            </w:tcBorders>
            <w:vAlign w:val="center"/>
          </w:tcPr>
          <w:p w14:paraId="34E41FC4">
            <w:pPr>
              <w:jc w:val="center"/>
              <w:rPr>
                <w:rFonts w:ascii="宋体" w:hAnsi="宋体" w:eastAsia="宋体" w:cs="Times New Roman"/>
                <w:snapToGrid w:val="0"/>
                <w:color w:val="auto"/>
              </w:rPr>
            </w:pPr>
          </w:p>
        </w:tc>
        <w:tc>
          <w:tcPr>
            <w:tcW w:w="1512" w:type="dxa"/>
            <w:tcBorders>
              <w:tl2br w:val="nil"/>
              <w:tr2bl w:val="nil"/>
            </w:tcBorders>
            <w:vAlign w:val="center"/>
          </w:tcPr>
          <w:p w14:paraId="2EA37886">
            <w:pPr>
              <w:jc w:val="center"/>
              <w:rPr>
                <w:rFonts w:ascii="宋体" w:hAnsi="宋体" w:eastAsia="宋体" w:cs="Times New Roman"/>
                <w:snapToGrid w:val="0"/>
                <w:color w:val="auto"/>
                <w:lang w:val="zh-CN"/>
              </w:rPr>
            </w:pPr>
            <w:r>
              <w:rPr>
                <w:rFonts w:ascii="宋体" w:hAnsi="宋体" w:eastAsia="宋体" w:cs="Times New Roman"/>
                <w:snapToGrid w:val="0"/>
                <w:color w:val="auto"/>
                <w:lang w:val="zh-CN"/>
              </w:rPr>
              <w:t>SO</w:t>
            </w:r>
            <w:r>
              <w:rPr>
                <w:rFonts w:ascii="宋体" w:hAnsi="宋体" w:eastAsia="宋体" w:cs="Times New Roman"/>
                <w:snapToGrid w:val="0"/>
                <w:color w:val="auto"/>
                <w:vertAlign w:val="subscript"/>
                <w:lang w:val="zh-CN"/>
              </w:rPr>
              <w:t>2</w:t>
            </w:r>
          </w:p>
        </w:tc>
        <w:tc>
          <w:tcPr>
            <w:tcW w:w="1512" w:type="dxa"/>
            <w:tcBorders>
              <w:tl2br w:val="nil"/>
              <w:tr2bl w:val="nil"/>
            </w:tcBorders>
            <w:vAlign w:val="center"/>
          </w:tcPr>
          <w:p w14:paraId="505369BF">
            <w:pPr>
              <w:jc w:val="center"/>
              <w:rPr>
                <w:rFonts w:ascii="宋体" w:hAnsi="宋体" w:eastAsia="宋体" w:cs="Times New Roman"/>
                <w:snapToGrid w:val="0"/>
                <w:color w:val="auto"/>
              </w:rPr>
            </w:pPr>
            <w:r>
              <w:rPr>
                <w:rFonts w:hint="eastAsia" w:ascii="宋体" w:hAnsi="宋体" w:eastAsia="宋体" w:cs="Times New Roman"/>
                <w:snapToGrid w:val="0"/>
                <w:color w:val="auto"/>
              </w:rPr>
              <w:t>9</w:t>
            </w:r>
          </w:p>
        </w:tc>
        <w:tc>
          <w:tcPr>
            <w:tcW w:w="1512" w:type="dxa"/>
            <w:tcBorders>
              <w:tl2br w:val="nil"/>
              <w:tr2bl w:val="nil"/>
            </w:tcBorders>
            <w:vAlign w:val="bottom"/>
          </w:tcPr>
          <w:p w14:paraId="2B0C9FA7">
            <w:pPr>
              <w:jc w:val="center"/>
              <w:rPr>
                <w:rFonts w:ascii="宋体" w:hAnsi="宋体" w:eastAsia="宋体" w:cs="Times New Roman"/>
                <w:snapToGrid w:val="0"/>
                <w:color w:val="auto"/>
              </w:rPr>
            </w:pPr>
            <w:r>
              <w:rPr>
                <w:rFonts w:ascii="宋体" w:hAnsi="宋体" w:eastAsia="宋体" w:cs="Times New Roman"/>
                <w:snapToGrid w:val="0"/>
                <w:color w:val="auto"/>
              </w:rPr>
              <w:t>0.00187</w:t>
            </w:r>
          </w:p>
        </w:tc>
        <w:tc>
          <w:tcPr>
            <w:tcW w:w="1512" w:type="dxa"/>
            <w:tcBorders>
              <w:tl2br w:val="nil"/>
              <w:tr2bl w:val="nil"/>
            </w:tcBorders>
            <w:vAlign w:val="center"/>
          </w:tcPr>
          <w:p w14:paraId="1E55864A">
            <w:pPr>
              <w:jc w:val="center"/>
              <w:rPr>
                <w:rFonts w:ascii="宋体" w:hAnsi="宋体" w:eastAsia="宋体" w:cs="Times New Roman"/>
                <w:snapToGrid w:val="0"/>
                <w:color w:val="auto"/>
              </w:rPr>
            </w:pPr>
            <w:r>
              <w:rPr>
                <w:rFonts w:hint="eastAsia" w:ascii="宋体" w:hAnsi="宋体" w:eastAsia="宋体" w:cs="Times New Roman"/>
                <w:snapToGrid w:val="0"/>
                <w:color w:val="auto"/>
              </w:rPr>
              <w:t>0.119</w:t>
            </w:r>
          </w:p>
        </w:tc>
      </w:tr>
      <w:tr w14:paraId="2F49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2" w:type="dxa"/>
            <w:gridSpan w:val="2"/>
            <w:vMerge w:val="restart"/>
            <w:tcBorders>
              <w:tl2br w:val="nil"/>
              <w:tr2bl w:val="nil"/>
            </w:tcBorders>
            <w:vAlign w:val="center"/>
          </w:tcPr>
          <w:p w14:paraId="69819695">
            <w:pPr>
              <w:jc w:val="center"/>
              <w:rPr>
                <w:rFonts w:ascii="宋体" w:hAnsi="宋体" w:eastAsia="宋体" w:cs="Times New Roman"/>
                <w:snapToGrid w:val="0"/>
                <w:color w:val="auto"/>
              </w:rPr>
            </w:pPr>
            <w:r>
              <w:rPr>
                <w:rFonts w:ascii="宋体" w:hAnsi="宋体" w:eastAsia="宋体" w:cs="Times New Roman"/>
                <w:snapToGrid w:val="0"/>
                <w:color w:val="auto"/>
              </w:rPr>
              <w:t>一般排放口合计</w:t>
            </w:r>
          </w:p>
        </w:tc>
        <w:tc>
          <w:tcPr>
            <w:tcW w:w="4536" w:type="dxa"/>
            <w:gridSpan w:val="3"/>
            <w:tcBorders>
              <w:tl2br w:val="nil"/>
              <w:tr2bl w:val="nil"/>
            </w:tcBorders>
            <w:vAlign w:val="center"/>
          </w:tcPr>
          <w:p w14:paraId="2B7ACE10">
            <w:pPr>
              <w:jc w:val="center"/>
              <w:rPr>
                <w:rFonts w:ascii="宋体" w:hAnsi="宋体" w:eastAsia="宋体" w:cs="Times New Roman"/>
                <w:snapToGrid w:val="0"/>
                <w:color w:val="auto"/>
              </w:rPr>
            </w:pPr>
            <w:r>
              <w:rPr>
                <w:rFonts w:ascii="宋体" w:hAnsi="宋体" w:eastAsia="宋体" w:cs="Times New Roman"/>
                <w:snapToGrid w:val="0"/>
                <w:color w:val="auto"/>
                <w:lang w:val="zh-CN"/>
              </w:rPr>
              <w:t>SO</w:t>
            </w:r>
            <w:r>
              <w:rPr>
                <w:rFonts w:ascii="宋体" w:hAnsi="宋体" w:eastAsia="宋体" w:cs="Times New Roman"/>
                <w:snapToGrid w:val="0"/>
                <w:color w:val="auto"/>
                <w:vertAlign w:val="subscript"/>
                <w:lang w:val="zh-CN"/>
              </w:rPr>
              <w:t>2</w:t>
            </w:r>
          </w:p>
        </w:tc>
        <w:tc>
          <w:tcPr>
            <w:tcW w:w="1512" w:type="dxa"/>
            <w:tcBorders>
              <w:tl2br w:val="nil"/>
              <w:tr2bl w:val="nil"/>
            </w:tcBorders>
            <w:vAlign w:val="center"/>
          </w:tcPr>
          <w:p w14:paraId="213FFFED">
            <w:pPr>
              <w:jc w:val="center"/>
              <w:rPr>
                <w:rFonts w:ascii="宋体" w:hAnsi="宋体" w:eastAsia="宋体" w:cs="Times New Roman"/>
                <w:snapToGrid w:val="0"/>
                <w:color w:val="auto"/>
              </w:rPr>
            </w:pPr>
            <w:r>
              <w:rPr>
                <w:rFonts w:hint="eastAsia" w:ascii="宋体" w:hAnsi="宋体" w:eastAsia="宋体" w:cs="Times New Roman"/>
                <w:snapToGrid w:val="0"/>
                <w:color w:val="auto"/>
              </w:rPr>
              <w:t>0.046</w:t>
            </w:r>
          </w:p>
        </w:tc>
      </w:tr>
      <w:tr w14:paraId="5040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2" w:type="dxa"/>
            <w:gridSpan w:val="2"/>
            <w:vMerge w:val="continue"/>
            <w:tcBorders>
              <w:tl2br w:val="nil"/>
              <w:tr2bl w:val="nil"/>
            </w:tcBorders>
            <w:vAlign w:val="center"/>
          </w:tcPr>
          <w:p w14:paraId="3FF6E3B4">
            <w:pPr>
              <w:jc w:val="center"/>
              <w:rPr>
                <w:rFonts w:ascii="宋体" w:hAnsi="宋体" w:eastAsia="宋体" w:cs="Times New Roman"/>
                <w:snapToGrid w:val="0"/>
                <w:color w:val="auto"/>
              </w:rPr>
            </w:pPr>
          </w:p>
        </w:tc>
        <w:tc>
          <w:tcPr>
            <w:tcW w:w="4536" w:type="dxa"/>
            <w:gridSpan w:val="3"/>
            <w:tcBorders>
              <w:tl2br w:val="nil"/>
              <w:tr2bl w:val="nil"/>
            </w:tcBorders>
            <w:vAlign w:val="center"/>
          </w:tcPr>
          <w:p w14:paraId="7D8A450E">
            <w:pPr>
              <w:jc w:val="center"/>
              <w:rPr>
                <w:rFonts w:ascii="宋体" w:hAnsi="宋体" w:eastAsia="宋体" w:cs="Times New Roman"/>
                <w:snapToGrid w:val="0"/>
                <w:color w:val="auto"/>
              </w:rPr>
            </w:pPr>
            <w:r>
              <w:rPr>
                <w:rFonts w:ascii="宋体" w:hAnsi="宋体" w:eastAsia="宋体" w:cs="Times New Roman"/>
                <w:snapToGrid w:val="0"/>
                <w:color w:val="auto"/>
                <w:lang w:val="zh-CN"/>
              </w:rPr>
              <w:t>NOx</w:t>
            </w:r>
          </w:p>
        </w:tc>
        <w:tc>
          <w:tcPr>
            <w:tcW w:w="1512" w:type="dxa"/>
            <w:tcBorders>
              <w:tl2br w:val="nil"/>
              <w:tr2bl w:val="nil"/>
            </w:tcBorders>
            <w:vAlign w:val="center"/>
          </w:tcPr>
          <w:p w14:paraId="3C883408">
            <w:pPr>
              <w:jc w:val="center"/>
              <w:rPr>
                <w:rFonts w:ascii="宋体" w:hAnsi="宋体" w:eastAsia="宋体" w:cs="Times New Roman"/>
                <w:snapToGrid w:val="0"/>
                <w:color w:val="auto"/>
              </w:rPr>
            </w:pPr>
            <w:r>
              <w:rPr>
                <w:rFonts w:hint="eastAsia" w:ascii="宋体" w:hAnsi="宋体" w:eastAsia="宋体" w:cs="Times New Roman"/>
                <w:snapToGrid w:val="0"/>
                <w:color w:val="auto"/>
              </w:rPr>
              <w:t>0.108</w:t>
            </w:r>
          </w:p>
        </w:tc>
      </w:tr>
      <w:tr w14:paraId="3954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2" w:type="dxa"/>
            <w:gridSpan w:val="2"/>
            <w:vMerge w:val="continue"/>
            <w:tcBorders>
              <w:tl2br w:val="nil"/>
              <w:tr2bl w:val="nil"/>
            </w:tcBorders>
            <w:vAlign w:val="center"/>
          </w:tcPr>
          <w:p w14:paraId="62F108A1">
            <w:pPr>
              <w:jc w:val="center"/>
              <w:rPr>
                <w:rFonts w:ascii="宋体" w:hAnsi="宋体" w:eastAsia="宋体" w:cs="Times New Roman"/>
                <w:snapToGrid w:val="0"/>
                <w:color w:val="auto"/>
              </w:rPr>
            </w:pPr>
          </w:p>
        </w:tc>
        <w:tc>
          <w:tcPr>
            <w:tcW w:w="4536" w:type="dxa"/>
            <w:gridSpan w:val="3"/>
            <w:tcBorders>
              <w:tl2br w:val="nil"/>
              <w:tr2bl w:val="nil"/>
            </w:tcBorders>
            <w:vAlign w:val="center"/>
          </w:tcPr>
          <w:p w14:paraId="53E5034B">
            <w:pPr>
              <w:jc w:val="center"/>
              <w:rPr>
                <w:rFonts w:ascii="宋体" w:hAnsi="宋体" w:eastAsia="宋体" w:cs="Times New Roman"/>
                <w:snapToGrid w:val="0"/>
                <w:color w:val="auto"/>
              </w:rPr>
            </w:pPr>
            <w:r>
              <w:rPr>
                <w:rFonts w:ascii="宋体" w:hAnsi="宋体" w:eastAsia="宋体" w:cs="Times New Roman"/>
                <w:snapToGrid w:val="0"/>
                <w:color w:val="auto"/>
                <w:lang w:val="zh-CN"/>
              </w:rPr>
              <w:t>颗粒物</w:t>
            </w:r>
          </w:p>
        </w:tc>
        <w:tc>
          <w:tcPr>
            <w:tcW w:w="1512" w:type="dxa"/>
            <w:tcBorders>
              <w:tl2br w:val="nil"/>
              <w:tr2bl w:val="nil"/>
            </w:tcBorders>
            <w:vAlign w:val="center"/>
          </w:tcPr>
          <w:p w14:paraId="13BC494A">
            <w:pPr>
              <w:jc w:val="center"/>
              <w:rPr>
                <w:rFonts w:ascii="宋体" w:hAnsi="宋体" w:eastAsia="宋体" w:cs="Times New Roman"/>
                <w:snapToGrid w:val="0"/>
                <w:color w:val="auto"/>
              </w:rPr>
            </w:pPr>
            <w:r>
              <w:rPr>
                <w:rFonts w:hint="eastAsia" w:ascii="宋体" w:hAnsi="宋体" w:eastAsia="宋体" w:cs="Times New Roman"/>
                <w:snapToGrid w:val="0"/>
                <w:color w:val="auto"/>
              </w:rPr>
              <w:t>0.033</w:t>
            </w:r>
          </w:p>
        </w:tc>
      </w:tr>
      <w:tr w14:paraId="6E33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70" w:type="dxa"/>
            <w:gridSpan w:val="6"/>
            <w:tcBorders>
              <w:tl2br w:val="nil"/>
              <w:tr2bl w:val="nil"/>
            </w:tcBorders>
            <w:vAlign w:val="center"/>
          </w:tcPr>
          <w:p w14:paraId="70DD2075">
            <w:pPr>
              <w:jc w:val="center"/>
              <w:rPr>
                <w:rFonts w:ascii="宋体" w:hAnsi="宋体" w:eastAsia="宋体" w:cs="Times New Roman"/>
                <w:snapToGrid w:val="0"/>
                <w:color w:val="auto"/>
              </w:rPr>
            </w:pPr>
            <w:r>
              <w:rPr>
                <w:rFonts w:ascii="宋体" w:hAnsi="宋体" w:eastAsia="宋体" w:cs="Times New Roman"/>
                <w:snapToGrid w:val="0"/>
                <w:color w:val="auto"/>
              </w:rPr>
              <w:t>有组织排放总计</w:t>
            </w:r>
          </w:p>
        </w:tc>
      </w:tr>
      <w:tr w14:paraId="7C65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2" w:type="dxa"/>
            <w:gridSpan w:val="2"/>
            <w:vMerge w:val="restart"/>
            <w:tcBorders>
              <w:tl2br w:val="nil"/>
              <w:tr2bl w:val="nil"/>
            </w:tcBorders>
            <w:vAlign w:val="center"/>
          </w:tcPr>
          <w:p w14:paraId="37522BAE">
            <w:pPr>
              <w:jc w:val="center"/>
              <w:rPr>
                <w:rFonts w:ascii="宋体" w:hAnsi="宋体" w:eastAsia="宋体" w:cs="Times New Roman"/>
                <w:snapToGrid w:val="0"/>
                <w:color w:val="auto"/>
              </w:rPr>
            </w:pPr>
            <w:r>
              <w:rPr>
                <w:rFonts w:ascii="宋体" w:hAnsi="宋体" w:eastAsia="宋体" w:cs="Times New Roman"/>
                <w:snapToGrid w:val="0"/>
                <w:color w:val="auto"/>
              </w:rPr>
              <w:t>有组织排放总计</w:t>
            </w:r>
          </w:p>
        </w:tc>
        <w:tc>
          <w:tcPr>
            <w:tcW w:w="4536" w:type="dxa"/>
            <w:gridSpan w:val="3"/>
            <w:tcBorders>
              <w:tl2br w:val="nil"/>
              <w:tr2bl w:val="nil"/>
            </w:tcBorders>
            <w:vAlign w:val="center"/>
          </w:tcPr>
          <w:p w14:paraId="6662865A">
            <w:pPr>
              <w:jc w:val="center"/>
              <w:rPr>
                <w:rFonts w:ascii="宋体" w:hAnsi="宋体" w:eastAsia="宋体" w:cs="Times New Roman"/>
                <w:snapToGrid w:val="0"/>
                <w:color w:val="auto"/>
              </w:rPr>
            </w:pPr>
            <w:r>
              <w:rPr>
                <w:rFonts w:ascii="宋体" w:hAnsi="宋体" w:eastAsia="宋体" w:cs="Times New Roman"/>
                <w:snapToGrid w:val="0"/>
                <w:color w:val="auto"/>
                <w:lang w:val="zh-CN"/>
              </w:rPr>
              <w:t>SO</w:t>
            </w:r>
            <w:r>
              <w:rPr>
                <w:rFonts w:ascii="宋体" w:hAnsi="宋体" w:eastAsia="宋体" w:cs="Times New Roman"/>
                <w:snapToGrid w:val="0"/>
                <w:color w:val="auto"/>
                <w:vertAlign w:val="subscript"/>
                <w:lang w:val="zh-CN"/>
              </w:rPr>
              <w:t>2</w:t>
            </w:r>
          </w:p>
        </w:tc>
        <w:tc>
          <w:tcPr>
            <w:tcW w:w="1512" w:type="dxa"/>
            <w:tcBorders>
              <w:tl2br w:val="nil"/>
              <w:tr2bl w:val="nil"/>
            </w:tcBorders>
            <w:vAlign w:val="center"/>
          </w:tcPr>
          <w:p w14:paraId="6CC92A39">
            <w:pPr>
              <w:jc w:val="center"/>
              <w:rPr>
                <w:rFonts w:ascii="宋体" w:hAnsi="宋体" w:eastAsia="宋体" w:cs="Times New Roman"/>
                <w:snapToGrid w:val="0"/>
                <w:color w:val="auto"/>
              </w:rPr>
            </w:pPr>
            <w:r>
              <w:rPr>
                <w:rFonts w:hint="eastAsia" w:ascii="宋体" w:hAnsi="宋体" w:eastAsia="宋体" w:cs="Times New Roman"/>
                <w:snapToGrid w:val="0"/>
                <w:color w:val="auto"/>
              </w:rPr>
              <w:t>0.046</w:t>
            </w:r>
          </w:p>
        </w:tc>
      </w:tr>
      <w:tr w14:paraId="4367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2" w:type="dxa"/>
            <w:gridSpan w:val="2"/>
            <w:vMerge w:val="continue"/>
            <w:tcBorders>
              <w:tl2br w:val="nil"/>
              <w:tr2bl w:val="nil"/>
            </w:tcBorders>
            <w:vAlign w:val="center"/>
          </w:tcPr>
          <w:p w14:paraId="63935084">
            <w:pPr>
              <w:jc w:val="center"/>
              <w:rPr>
                <w:rFonts w:ascii="宋体" w:hAnsi="宋体" w:eastAsia="宋体" w:cs="Times New Roman"/>
                <w:snapToGrid w:val="0"/>
                <w:color w:val="auto"/>
              </w:rPr>
            </w:pPr>
          </w:p>
        </w:tc>
        <w:tc>
          <w:tcPr>
            <w:tcW w:w="4536" w:type="dxa"/>
            <w:gridSpan w:val="3"/>
            <w:tcBorders>
              <w:tl2br w:val="nil"/>
              <w:tr2bl w:val="nil"/>
            </w:tcBorders>
            <w:vAlign w:val="center"/>
          </w:tcPr>
          <w:p w14:paraId="2584D037">
            <w:pPr>
              <w:jc w:val="center"/>
              <w:rPr>
                <w:rFonts w:ascii="宋体" w:hAnsi="宋体" w:eastAsia="宋体" w:cs="Times New Roman"/>
                <w:snapToGrid w:val="0"/>
                <w:color w:val="auto"/>
              </w:rPr>
            </w:pPr>
            <w:r>
              <w:rPr>
                <w:rFonts w:ascii="宋体" w:hAnsi="宋体" w:eastAsia="宋体" w:cs="Times New Roman"/>
                <w:snapToGrid w:val="0"/>
                <w:color w:val="auto"/>
                <w:lang w:val="zh-CN"/>
              </w:rPr>
              <w:t>NOx</w:t>
            </w:r>
          </w:p>
        </w:tc>
        <w:tc>
          <w:tcPr>
            <w:tcW w:w="1512" w:type="dxa"/>
            <w:tcBorders>
              <w:tl2br w:val="nil"/>
              <w:tr2bl w:val="nil"/>
            </w:tcBorders>
            <w:vAlign w:val="center"/>
          </w:tcPr>
          <w:p w14:paraId="733495E9">
            <w:pPr>
              <w:jc w:val="center"/>
              <w:rPr>
                <w:rFonts w:ascii="宋体" w:hAnsi="宋体" w:eastAsia="宋体" w:cs="Times New Roman"/>
                <w:snapToGrid w:val="0"/>
                <w:color w:val="auto"/>
              </w:rPr>
            </w:pPr>
            <w:r>
              <w:rPr>
                <w:rFonts w:hint="eastAsia" w:ascii="宋体" w:hAnsi="宋体" w:eastAsia="宋体" w:cs="Times New Roman"/>
                <w:snapToGrid w:val="0"/>
                <w:color w:val="auto"/>
              </w:rPr>
              <w:t>0.108</w:t>
            </w:r>
          </w:p>
        </w:tc>
      </w:tr>
      <w:tr w14:paraId="7EE9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2" w:type="dxa"/>
            <w:gridSpan w:val="2"/>
            <w:vMerge w:val="continue"/>
            <w:tcBorders>
              <w:tl2br w:val="nil"/>
              <w:tr2bl w:val="nil"/>
            </w:tcBorders>
            <w:vAlign w:val="center"/>
          </w:tcPr>
          <w:p w14:paraId="06037EF8">
            <w:pPr>
              <w:jc w:val="center"/>
              <w:rPr>
                <w:rFonts w:ascii="宋体" w:hAnsi="宋体" w:eastAsia="宋体" w:cs="Times New Roman"/>
                <w:snapToGrid w:val="0"/>
                <w:color w:val="auto"/>
              </w:rPr>
            </w:pPr>
          </w:p>
        </w:tc>
        <w:tc>
          <w:tcPr>
            <w:tcW w:w="4536" w:type="dxa"/>
            <w:gridSpan w:val="3"/>
            <w:tcBorders>
              <w:tl2br w:val="nil"/>
              <w:tr2bl w:val="nil"/>
            </w:tcBorders>
            <w:vAlign w:val="center"/>
          </w:tcPr>
          <w:p w14:paraId="4F2A921C">
            <w:pPr>
              <w:jc w:val="center"/>
              <w:rPr>
                <w:rFonts w:ascii="宋体" w:hAnsi="宋体" w:eastAsia="宋体" w:cs="Times New Roman"/>
                <w:snapToGrid w:val="0"/>
                <w:color w:val="auto"/>
              </w:rPr>
            </w:pPr>
            <w:r>
              <w:rPr>
                <w:rFonts w:ascii="宋体" w:hAnsi="宋体" w:eastAsia="宋体" w:cs="Times New Roman"/>
                <w:snapToGrid w:val="0"/>
                <w:color w:val="auto"/>
                <w:lang w:val="zh-CN"/>
              </w:rPr>
              <w:t>颗粒物</w:t>
            </w:r>
          </w:p>
        </w:tc>
        <w:tc>
          <w:tcPr>
            <w:tcW w:w="1512" w:type="dxa"/>
            <w:tcBorders>
              <w:tl2br w:val="nil"/>
              <w:tr2bl w:val="nil"/>
            </w:tcBorders>
            <w:vAlign w:val="center"/>
          </w:tcPr>
          <w:p w14:paraId="2F3427D8">
            <w:pPr>
              <w:jc w:val="center"/>
              <w:rPr>
                <w:rFonts w:ascii="宋体" w:hAnsi="宋体" w:eastAsia="宋体" w:cs="Times New Roman"/>
                <w:snapToGrid w:val="0"/>
                <w:color w:val="auto"/>
              </w:rPr>
            </w:pPr>
            <w:r>
              <w:rPr>
                <w:rFonts w:hint="eastAsia" w:ascii="宋体" w:hAnsi="宋体" w:eastAsia="宋体" w:cs="Times New Roman"/>
                <w:snapToGrid w:val="0"/>
                <w:color w:val="auto"/>
              </w:rPr>
              <w:t>0.033</w:t>
            </w:r>
          </w:p>
        </w:tc>
      </w:tr>
    </w:tbl>
    <w:p w14:paraId="5AAD7E35">
      <w:pPr>
        <w:pStyle w:val="276"/>
        <w:widowControl w:val="0"/>
        <w:spacing w:line="440" w:lineRule="exact"/>
        <w:ind w:firstLine="0" w:firstLineChars="0"/>
        <w:jc w:val="center"/>
        <w:rPr>
          <w:snapToGrid w:val="0"/>
          <w:color w:val="auto"/>
          <w:szCs w:val="20"/>
        </w:rPr>
      </w:pPr>
      <w:r>
        <w:rPr>
          <w:snapToGrid w:val="0"/>
          <w:color w:val="auto"/>
          <w:szCs w:val="20"/>
        </w:rPr>
        <w:t xml:space="preserve">表5.1-21 </w:t>
      </w:r>
      <w:r>
        <w:rPr>
          <w:color w:val="auto"/>
        </w:rPr>
        <w:t>大气污染</w:t>
      </w:r>
      <w:r>
        <w:rPr>
          <w:snapToGrid w:val="0"/>
          <w:color w:val="auto"/>
          <w:szCs w:val="20"/>
        </w:rPr>
        <w:t>物无组织排放量核算</w:t>
      </w:r>
    </w:p>
    <w:tbl>
      <w:tblPr>
        <w:tblStyle w:val="8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1"/>
        <w:gridCol w:w="1279"/>
        <w:gridCol w:w="709"/>
        <w:gridCol w:w="852"/>
        <w:gridCol w:w="1839"/>
        <w:gridCol w:w="1983"/>
        <w:gridCol w:w="1134"/>
        <w:gridCol w:w="844"/>
      </w:tblGrid>
      <w:tr w14:paraId="1D799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1" w:type="dxa"/>
            <w:vMerge w:val="restart"/>
            <w:vAlign w:val="center"/>
          </w:tcPr>
          <w:p w14:paraId="4CCF91FE">
            <w:pPr>
              <w:spacing w:line="320" w:lineRule="exact"/>
              <w:jc w:val="center"/>
              <w:rPr>
                <w:rFonts w:ascii="宋体" w:hAnsi="宋体" w:eastAsia="宋体" w:cs="Times New Roman"/>
                <w:color w:val="auto"/>
              </w:rPr>
            </w:pPr>
            <w:r>
              <w:rPr>
                <w:rFonts w:ascii="宋体" w:hAnsi="宋体" w:eastAsia="宋体" w:cs="Times New Roman"/>
                <w:color w:val="auto"/>
              </w:rPr>
              <w:t>序号</w:t>
            </w:r>
          </w:p>
        </w:tc>
        <w:tc>
          <w:tcPr>
            <w:tcW w:w="1279" w:type="dxa"/>
            <w:vMerge w:val="restart"/>
            <w:vAlign w:val="center"/>
          </w:tcPr>
          <w:p w14:paraId="522095D7">
            <w:pPr>
              <w:spacing w:line="320" w:lineRule="exact"/>
              <w:jc w:val="center"/>
              <w:rPr>
                <w:rFonts w:ascii="宋体" w:hAnsi="宋体" w:eastAsia="宋体" w:cs="Times New Roman"/>
                <w:color w:val="auto"/>
              </w:rPr>
            </w:pPr>
            <w:r>
              <w:rPr>
                <w:rFonts w:ascii="宋体" w:hAnsi="宋体" w:eastAsia="宋体" w:cs="Times New Roman"/>
                <w:color w:val="auto"/>
              </w:rPr>
              <w:t>排放口编号</w:t>
            </w:r>
          </w:p>
        </w:tc>
        <w:tc>
          <w:tcPr>
            <w:tcW w:w="709" w:type="dxa"/>
            <w:vMerge w:val="restart"/>
            <w:vAlign w:val="center"/>
          </w:tcPr>
          <w:p w14:paraId="47212768">
            <w:pPr>
              <w:spacing w:line="320" w:lineRule="exact"/>
              <w:jc w:val="center"/>
              <w:rPr>
                <w:rFonts w:ascii="宋体" w:hAnsi="宋体" w:eastAsia="宋体" w:cs="Times New Roman"/>
                <w:color w:val="auto"/>
              </w:rPr>
            </w:pPr>
            <w:r>
              <w:rPr>
                <w:rFonts w:ascii="宋体" w:hAnsi="宋体" w:eastAsia="宋体" w:cs="Times New Roman"/>
                <w:color w:val="auto"/>
              </w:rPr>
              <w:t>产污环节</w:t>
            </w:r>
          </w:p>
        </w:tc>
        <w:tc>
          <w:tcPr>
            <w:tcW w:w="852" w:type="dxa"/>
            <w:vMerge w:val="restart"/>
            <w:vAlign w:val="center"/>
          </w:tcPr>
          <w:p w14:paraId="5DF19380">
            <w:pPr>
              <w:spacing w:line="320" w:lineRule="exact"/>
              <w:jc w:val="center"/>
              <w:rPr>
                <w:rFonts w:ascii="宋体" w:hAnsi="宋体" w:eastAsia="宋体" w:cs="Times New Roman"/>
                <w:color w:val="auto"/>
              </w:rPr>
            </w:pPr>
            <w:r>
              <w:rPr>
                <w:rFonts w:ascii="宋体" w:hAnsi="宋体" w:eastAsia="宋体" w:cs="Times New Roman"/>
                <w:color w:val="auto"/>
              </w:rPr>
              <w:t>污染物</w:t>
            </w:r>
          </w:p>
        </w:tc>
        <w:tc>
          <w:tcPr>
            <w:tcW w:w="1839" w:type="dxa"/>
            <w:vMerge w:val="restart"/>
            <w:vAlign w:val="center"/>
          </w:tcPr>
          <w:p w14:paraId="17B483B9">
            <w:pPr>
              <w:spacing w:line="320" w:lineRule="exact"/>
              <w:jc w:val="center"/>
              <w:rPr>
                <w:rFonts w:ascii="宋体" w:hAnsi="宋体" w:eastAsia="宋体" w:cs="Times New Roman"/>
                <w:color w:val="auto"/>
              </w:rPr>
            </w:pPr>
            <w:r>
              <w:rPr>
                <w:rFonts w:ascii="宋体" w:hAnsi="宋体" w:eastAsia="宋体" w:cs="Times New Roman"/>
                <w:color w:val="auto"/>
              </w:rPr>
              <w:t>主要污染防治措施</w:t>
            </w:r>
          </w:p>
        </w:tc>
        <w:tc>
          <w:tcPr>
            <w:tcW w:w="3117" w:type="dxa"/>
            <w:gridSpan w:val="2"/>
            <w:vAlign w:val="center"/>
          </w:tcPr>
          <w:p w14:paraId="032E0B1B">
            <w:pPr>
              <w:spacing w:line="320" w:lineRule="exact"/>
              <w:jc w:val="center"/>
              <w:rPr>
                <w:rFonts w:ascii="宋体" w:hAnsi="宋体" w:eastAsia="宋体" w:cs="Times New Roman"/>
                <w:color w:val="auto"/>
              </w:rPr>
            </w:pPr>
            <w:r>
              <w:rPr>
                <w:rFonts w:ascii="宋体" w:hAnsi="宋体" w:eastAsia="宋体" w:cs="Times New Roman"/>
                <w:color w:val="auto"/>
              </w:rPr>
              <w:t>国家或地方污染物排放标准（μg/m</w:t>
            </w:r>
            <w:r>
              <w:rPr>
                <w:rFonts w:ascii="宋体" w:hAnsi="宋体" w:eastAsia="宋体" w:cs="Times New Roman"/>
                <w:color w:val="auto"/>
                <w:vertAlign w:val="superscript"/>
              </w:rPr>
              <w:t>3</w:t>
            </w:r>
            <w:r>
              <w:rPr>
                <w:rFonts w:ascii="宋体" w:hAnsi="宋体" w:eastAsia="宋体" w:cs="Times New Roman"/>
                <w:color w:val="auto"/>
              </w:rPr>
              <w:t>）</w:t>
            </w:r>
          </w:p>
        </w:tc>
        <w:tc>
          <w:tcPr>
            <w:tcW w:w="844" w:type="dxa"/>
            <w:vMerge w:val="restart"/>
            <w:vAlign w:val="center"/>
          </w:tcPr>
          <w:p w14:paraId="186CB572">
            <w:pPr>
              <w:spacing w:line="320" w:lineRule="exact"/>
              <w:jc w:val="center"/>
              <w:rPr>
                <w:rFonts w:ascii="宋体" w:hAnsi="宋体" w:eastAsia="宋体" w:cs="Times New Roman"/>
                <w:color w:val="auto"/>
              </w:rPr>
            </w:pPr>
            <w:r>
              <w:rPr>
                <w:rFonts w:ascii="宋体" w:hAnsi="宋体" w:eastAsia="宋体" w:cs="Times New Roman"/>
                <w:color w:val="auto"/>
              </w:rPr>
              <w:t>年排放量（t/a）</w:t>
            </w:r>
          </w:p>
        </w:tc>
      </w:tr>
      <w:tr w14:paraId="69F12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1" w:type="dxa"/>
            <w:vMerge w:val="continue"/>
            <w:vAlign w:val="center"/>
          </w:tcPr>
          <w:p w14:paraId="5CB42118">
            <w:pPr>
              <w:spacing w:line="320" w:lineRule="exact"/>
              <w:rPr>
                <w:rFonts w:ascii="宋体" w:hAnsi="宋体" w:eastAsia="宋体" w:cs="Times New Roman"/>
                <w:color w:val="auto"/>
              </w:rPr>
            </w:pPr>
          </w:p>
        </w:tc>
        <w:tc>
          <w:tcPr>
            <w:tcW w:w="1279" w:type="dxa"/>
            <w:vMerge w:val="continue"/>
            <w:vAlign w:val="center"/>
          </w:tcPr>
          <w:p w14:paraId="05667B66">
            <w:pPr>
              <w:spacing w:line="320" w:lineRule="exact"/>
              <w:rPr>
                <w:rFonts w:ascii="宋体" w:hAnsi="宋体" w:eastAsia="宋体" w:cs="Times New Roman"/>
                <w:color w:val="auto"/>
              </w:rPr>
            </w:pPr>
          </w:p>
        </w:tc>
        <w:tc>
          <w:tcPr>
            <w:tcW w:w="709" w:type="dxa"/>
            <w:vMerge w:val="continue"/>
            <w:vAlign w:val="center"/>
          </w:tcPr>
          <w:p w14:paraId="4798BE30">
            <w:pPr>
              <w:spacing w:line="320" w:lineRule="exact"/>
              <w:rPr>
                <w:rFonts w:ascii="宋体" w:hAnsi="宋体" w:eastAsia="宋体" w:cs="Times New Roman"/>
                <w:color w:val="auto"/>
              </w:rPr>
            </w:pPr>
          </w:p>
        </w:tc>
        <w:tc>
          <w:tcPr>
            <w:tcW w:w="852" w:type="dxa"/>
            <w:vMerge w:val="continue"/>
            <w:vAlign w:val="center"/>
          </w:tcPr>
          <w:p w14:paraId="49C511E0">
            <w:pPr>
              <w:spacing w:line="320" w:lineRule="exact"/>
              <w:rPr>
                <w:rFonts w:ascii="宋体" w:hAnsi="宋体" w:eastAsia="宋体" w:cs="Times New Roman"/>
                <w:color w:val="auto"/>
              </w:rPr>
            </w:pPr>
          </w:p>
        </w:tc>
        <w:tc>
          <w:tcPr>
            <w:tcW w:w="1839" w:type="dxa"/>
            <w:vMerge w:val="continue"/>
            <w:vAlign w:val="center"/>
          </w:tcPr>
          <w:p w14:paraId="284BA16F">
            <w:pPr>
              <w:spacing w:line="320" w:lineRule="exact"/>
              <w:rPr>
                <w:rFonts w:ascii="宋体" w:hAnsi="宋体" w:eastAsia="宋体" w:cs="Times New Roman"/>
                <w:color w:val="auto"/>
              </w:rPr>
            </w:pPr>
          </w:p>
        </w:tc>
        <w:tc>
          <w:tcPr>
            <w:tcW w:w="1983" w:type="dxa"/>
            <w:vAlign w:val="center"/>
          </w:tcPr>
          <w:p w14:paraId="787CD7BE">
            <w:pPr>
              <w:spacing w:line="320" w:lineRule="exact"/>
              <w:jc w:val="center"/>
              <w:rPr>
                <w:rFonts w:ascii="宋体" w:hAnsi="宋体" w:eastAsia="宋体" w:cs="Times New Roman"/>
                <w:color w:val="auto"/>
              </w:rPr>
            </w:pPr>
            <w:r>
              <w:rPr>
                <w:rFonts w:ascii="宋体" w:hAnsi="宋体" w:eastAsia="宋体" w:cs="Times New Roman"/>
                <w:color w:val="auto"/>
              </w:rPr>
              <w:t>标准名称</w:t>
            </w:r>
          </w:p>
        </w:tc>
        <w:tc>
          <w:tcPr>
            <w:tcW w:w="1134" w:type="dxa"/>
            <w:vAlign w:val="center"/>
          </w:tcPr>
          <w:p w14:paraId="686D8B9B">
            <w:pPr>
              <w:spacing w:line="320" w:lineRule="exact"/>
              <w:rPr>
                <w:rFonts w:ascii="宋体" w:hAnsi="宋体" w:eastAsia="宋体" w:cs="Times New Roman"/>
                <w:color w:val="auto"/>
              </w:rPr>
            </w:pPr>
            <w:r>
              <w:rPr>
                <w:rFonts w:ascii="宋体" w:hAnsi="宋体" w:eastAsia="宋体" w:cs="Times New Roman"/>
                <w:color w:val="auto"/>
              </w:rPr>
              <w:t>浓度限值（mg/m</w:t>
            </w:r>
            <w:r>
              <w:rPr>
                <w:rFonts w:ascii="宋体" w:hAnsi="宋体" w:eastAsia="宋体" w:cs="Times New Roman"/>
                <w:color w:val="auto"/>
                <w:vertAlign w:val="superscript"/>
              </w:rPr>
              <w:t>3</w:t>
            </w:r>
            <w:r>
              <w:rPr>
                <w:rFonts w:ascii="宋体" w:hAnsi="宋体" w:eastAsia="宋体" w:cs="Times New Roman"/>
                <w:color w:val="auto"/>
              </w:rPr>
              <w:t>）</w:t>
            </w:r>
          </w:p>
        </w:tc>
        <w:tc>
          <w:tcPr>
            <w:tcW w:w="844" w:type="dxa"/>
            <w:vMerge w:val="continue"/>
            <w:vAlign w:val="center"/>
          </w:tcPr>
          <w:p w14:paraId="4D91B59D">
            <w:pPr>
              <w:spacing w:line="320" w:lineRule="exact"/>
              <w:rPr>
                <w:rFonts w:ascii="宋体" w:hAnsi="宋体" w:eastAsia="宋体" w:cs="Times New Roman"/>
                <w:color w:val="auto"/>
              </w:rPr>
            </w:pPr>
          </w:p>
        </w:tc>
      </w:tr>
      <w:tr w14:paraId="621B5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jc w:val="center"/>
        </w:trPr>
        <w:tc>
          <w:tcPr>
            <w:tcW w:w="421" w:type="dxa"/>
            <w:vAlign w:val="center"/>
          </w:tcPr>
          <w:p w14:paraId="64A4696A">
            <w:pPr>
              <w:spacing w:line="320" w:lineRule="exact"/>
              <w:jc w:val="center"/>
              <w:rPr>
                <w:rFonts w:ascii="宋体" w:hAnsi="宋体" w:eastAsia="宋体" w:cs="Times New Roman"/>
                <w:color w:val="auto"/>
              </w:rPr>
            </w:pPr>
            <w:r>
              <w:rPr>
                <w:rFonts w:ascii="宋体" w:hAnsi="宋体" w:eastAsia="宋体" w:cs="Times New Roman"/>
                <w:color w:val="auto"/>
              </w:rPr>
              <w:t>1</w:t>
            </w:r>
          </w:p>
        </w:tc>
        <w:tc>
          <w:tcPr>
            <w:tcW w:w="1279" w:type="dxa"/>
            <w:vAlign w:val="center"/>
          </w:tcPr>
          <w:p w14:paraId="126CE89E">
            <w:pPr>
              <w:spacing w:line="320" w:lineRule="exact"/>
              <w:jc w:val="center"/>
              <w:rPr>
                <w:rFonts w:ascii="宋体" w:hAnsi="宋体" w:eastAsia="宋体" w:cs="Times New Roman"/>
                <w:color w:val="auto"/>
              </w:rPr>
            </w:pPr>
            <w:r>
              <w:rPr>
                <w:rFonts w:ascii="宋体" w:hAnsi="宋体" w:eastAsia="宋体" w:cs="Times New Roman"/>
                <w:color w:val="auto"/>
              </w:rPr>
              <w:t>井场、拉油点和管线等</w:t>
            </w:r>
          </w:p>
        </w:tc>
        <w:tc>
          <w:tcPr>
            <w:tcW w:w="709" w:type="dxa"/>
            <w:vAlign w:val="center"/>
          </w:tcPr>
          <w:p w14:paraId="7724B875">
            <w:pPr>
              <w:spacing w:line="320" w:lineRule="exact"/>
              <w:jc w:val="center"/>
              <w:rPr>
                <w:rFonts w:ascii="宋体" w:hAnsi="宋体" w:eastAsia="宋体" w:cs="Times New Roman"/>
                <w:color w:val="auto"/>
              </w:rPr>
            </w:pPr>
            <w:r>
              <w:rPr>
                <w:rFonts w:ascii="宋体" w:hAnsi="宋体" w:eastAsia="宋体" w:cs="Times New Roman"/>
                <w:color w:val="auto"/>
              </w:rPr>
              <w:t>油气集输</w:t>
            </w:r>
          </w:p>
        </w:tc>
        <w:tc>
          <w:tcPr>
            <w:tcW w:w="852" w:type="dxa"/>
            <w:vAlign w:val="center"/>
          </w:tcPr>
          <w:p w14:paraId="56C55025">
            <w:pPr>
              <w:spacing w:line="320" w:lineRule="exact"/>
              <w:jc w:val="center"/>
              <w:rPr>
                <w:rFonts w:ascii="宋体" w:hAnsi="宋体" w:eastAsia="宋体" w:cs="Times New Roman"/>
                <w:color w:val="auto"/>
              </w:rPr>
            </w:pPr>
            <w:r>
              <w:rPr>
                <w:rFonts w:ascii="宋体" w:hAnsi="宋体" w:eastAsia="宋体" w:cs="Times New Roman"/>
                <w:color w:val="auto"/>
              </w:rPr>
              <w:t>非甲烷总烃</w:t>
            </w:r>
          </w:p>
        </w:tc>
        <w:tc>
          <w:tcPr>
            <w:tcW w:w="1839" w:type="dxa"/>
            <w:vAlign w:val="center"/>
          </w:tcPr>
          <w:p w14:paraId="6AA08E28">
            <w:pPr>
              <w:spacing w:line="320" w:lineRule="exact"/>
              <w:jc w:val="center"/>
              <w:rPr>
                <w:rFonts w:ascii="宋体" w:hAnsi="宋体" w:eastAsia="宋体" w:cs="Times New Roman"/>
                <w:color w:val="auto"/>
              </w:rPr>
            </w:pPr>
            <w:r>
              <w:rPr>
                <w:rFonts w:ascii="宋体" w:hAnsi="宋体" w:eastAsia="宋体" w:cs="Times New Roman"/>
                <w:color w:val="auto"/>
              </w:rPr>
              <w:t>井口安装密封垫、拉油点储罐阀门、法兰等安装密封垫片</w:t>
            </w:r>
          </w:p>
        </w:tc>
        <w:tc>
          <w:tcPr>
            <w:tcW w:w="1983" w:type="dxa"/>
            <w:vMerge w:val="restart"/>
            <w:vAlign w:val="center"/>
          </w:tcPr>
          <w:p w14:paraId="2C7A71E5">
            <w:pPr>
              <w:spacing w:line="320" w:lineRule="exact"/>
              <w:jc w:val="center"/>
              <w:rPr>
                <w:rFonts w:ascii="宋体" w:hAnsi="宋体" w:eastAsia="宋体" w:cs="Times New Roman"/>
                <w:color w:val="auto"/>
              </w:rPr>
            </w:pPr>
            <w:r>
              <w:rPr>
                <w:rFonts w:ascii="宋体" w:hAnsi="宋体" w:eastAsia="宋体" w:cs="Times New Roman"/>
                <w:color w:val="auto"/>
              </w:rPr>
              <w:t>《陆上石油天然气开采工业大气污染物排放标准》（GB39728-2020）5.9中规定要求</w:t>
            </w:r>
          </w:p>
        </w:tc>
        <w:tc>
          <w:tcPr>
            <w:tcW w:w="1134" w:type="dxa"/>
            <w:vMerge w:val="restart"/>
            <w:vAlign w:val="center"/>
          </w:tcPr>
          <w:p w14:paraId="70701E1A">
            <w:pPr>
              <w:spacing w:line="320" w:lineRule="exact"/>
              <w:jc w:val="center"/>
              <w:rPr>
                <w:rFonts w:ascii="宋体" w:hAnsi="宋体" w:eastAsia="宋体" w:cs="Times New Roman"/>
                <w:color w:val="auto"/>
              </w:rPr>
            </w:pPr>
            <w:r>
              <w:rPr>
                <w:rFonts w:ascii="宋体" w:hAnsi="宋体" w:eastAsia="宋体" w:cs="Times New Roman"/>
                <w:color w:val="auto"/>
              </w:rPr>
              <w:t>4.0</w:t>
            </w:r>
          </w:p>
        </w:tc>
        <w:tc>
          <w:tcPr>
            <w:tcW w:w="844" w:type="dxa"/>
            <w:vMerge w:val="restart"/>
            <w:vAlign w:val="center"/>
          </w:tcPr>
          <w:p w14:paraId="183FC954">
            <w:pPr>
              <w:spacing w:line="320" w:lineRule="exact"/>
              <w:jc w:val="center"/>
              <w:rPr>
                <w:rFonts w:ascii="宋体" w:hAnsi="宋体" w:eastAsia="宋体" w:cs="Times New Roman"/>
                <w:color w:val="auto"/>
              </w:rPr>
            </w:pPr>
            <w:r>
              <w:rPr>
                <w:rFonts w:hint="eastAsia" w:ascii="宋体" w:hAnsi="宋体" w:eastAsia="宋体" w:cs="Times New Roman"/>
                <w:color w:val="auto"/>
              </w:rPr>
              <w:t>16.44</w:t>
            </w:r>
          </w:p>
        </w:tc>
      </w:tr>
      <w:tr w14:paraId="390D3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jc w:val="center"/>
        </w:trPr>
        <w:tc>
          <w:tcPr>
            <w:tcW w:w="421" w:type="dxa"/>
            <w:vAlign w:val="center"/>
          </w:tcPr>
          <w:p w14:paraId="4D982D99">
            <w:pPr>
              <w:spacing w:line="320" w:lineRule="exact"/>
              <w:jc w:val="center"/>
              <w:rPr>
                <w:rFonts w:ascii="宋体" w:hAnsi="宋体" w:eastAsia="宋体" w:cs="Times New Roman"/>
                <w:color w:val="auto"/>
              </w:rPr>
            </w:pPr>
            <w:r>
              <w:rPr>
                <w:rFonts w:ascii="宋体" w:hAnsi="宋体" w:eastAsia="宋体" w:cs="Times New Roman"/>
                <w:color w:val="auto"/>
              </w:rPr>
              <w:t>2</w:t>
            </w:r>
          </w:p>
        </w:tc>
        <w:tc>
          <w:tcPr>
            <w:tcW w:w="1279" w:type="dxa"/>
            <w:vAlign w:val="center"/>
          </w:tcPr>
          <w:p w14:paraId="621A2F8E">
            <w:pPr>
              <w:spacing w:line="320" w:lineRule="exact"/>
              <w:jc w:val="center"/>
              <w:rPr>
                <w:rFonts w:ascii="宋体" w:hAnsi="宋体" w:eastAsia="宋体" w:cs="Times New Roman"/>
                <w:color w:val="auto"/>
              </w:rPr>
            </w:pPr>
            <w:r>
              <w:rPr>
                <w:rFonts w:ascii="宋体" w:hAnsi="宋体" w:eastAsia="宋体" w:cs="Times New Roman"/>
                <w:color w:val="auto"/>
              </w:rPr>
              <w:t>依托朝</w:t>
            </w:r>
            <w:r>
              <w:rPr>
                <w:rFonts w:hint="eastAsia" w:ascii="宋体" w:hAnsi="宋体" w:eastAsia="宋体" w:cs="Times New Roman"/>
                <w:color w:val="auto"/>
              </w:rPr>
              <w:t>二</w:t>
            </w:r>
            <w:r>
              <w:rPr>
                <w:rFonts w:ascii="宋体" w:hAnsi="宋体" w:eastAsia="宋体" w:cs="Times New Roman"/>
                <w:color w:val="auto"/>
              </w:rPr>
              <w:t>联合站</w:t>
            </w:r>
          </w:p>
        </w:tc>
        <w:tc>
          <w:tcPr>
            <w:tcW w:w="709" w:type="dxa"/>
            <w:vAlign w:val="center"/>
          </w:tcPr>
          <w:p w14:paraId="219F46C9">
            <w:pPr>
              <w:spacing w:line="320" w:lineRule="exact"/>
              <w:jc w:val="center"/>
              <w:rPr>
                <w:rFonts w:ascii="宋体" w:hAnsi="宋体" w:eastAsia="宋体" w:cs="Times New Roman"/>
                <w:color w:val="auto"/>
              </w:rPr>
            </w:pPr>
            <w:r>
              <w:rPr>
                <w:rFonts w:ascii="宋体" w:hAnsi="宋体" w:eastAsia="宋体" w:cs="Times New Roman"/>
                <w:color w:val="auto"/>
              </w:rPr>
              <w:t>油气集输</w:t>
            </w:r>
          </w:p>
        </w:tc>
        <w:tc>
          <w:tcPr>
            <w:tcW w:w="852" w:type="dxa"/>
            <w:vAlign w:val="center"/>
          </w:tcPr>
          <w:p w14:paraId="766B4B95">
            <w:pPr>
              <w:spacing w:line="320" w:lineRule="exact"/>
              <w:jc w:val="center"/>
              <w:rPr>
                <w:rFonts w:ascii="宋体" w:hAnsi="宋体" w:eastAsia="宋体" w:cs="Times New Roman"/>
                <w:color w:val="auto"/>
              </w:rPr>
            </w:pPr>
            <w:r>
              <w:rPr>
                <w:rFonts w:ascii="宋体" w:hAnsi="宋体" w:eastAsia="宋体" w:cs="Times New Roman"/>
                <w:color w:val="auto"/>
              </w:rPr>
              <w:t>非甲烷总烃</w:t>
            </w:r>
          </w:p>
        </w:tc>
        <w:tc>
          <w:tcPr>
            <w:tcW w:w="1839" w:type="dxa"/>
            <w:vAlign w:val="center"/>
          </w:tcPr>
          <w:p w14:paraId="0D3F86AC">
            <w:pPr>
              <w:spacing w:line="320" w:lineRule="exact"/>
              <w:jc w:val="center"/>
              <w:rPr>
                <w:rFonts w:ascii="宋体" w:hAnsi="宋体" w:eastAsia="宋体" w:cs="Times New Roman"/>
                <w:color w:val="auto"/>
              </w:rPr>
            </w:pPr>
            <w:r>
              <w:rPr>
                <w:rFonts w:ascii="宋体" w:hAnsi="宋体" w:eastAsia="宋体" w:cs="Times New Roman"/>
                <w:color w:val="auto"/>
              </w:rPr>
              <w:t>油气集输采用密闭流程</w:t>
            </w:r>
          </w:p>
        </w:tc>
        <w:tc>
          <w:tcPr>
            <w:tcW w:w="1983" w:type="dxa"/>
            <w:vMerge w:val="continue"/>
            <w:vAlign w:val="center"/>
          </w:tcPr>
          <w:p w14:paraId="591E2B8E">
            <w:pPr>
              <w:spacing w:line="320" w:lineRule="exact"/>
              <w:jc w:val="center"/>
              <w:rPr>
                <w:rFonts w:ascii="宋体" w:hAnsi="宋体" w:eastAsia="宋体" w:cs="Times New Roman"/>
                <w:color w:val="auto"/>
              </w:rPr>
            </w:pPr>
          </w:p>
        </w:tc>
        <w:tc>
          <w:tcPr>
            <w:tcW w:w="1134" w:type="dxa"/>
            <w:vMerge w:val="continue"/>
            <w:vAlign w:val="center"/>
          </w:tcPr>
          <w:p w14:paraId="7579D3D4">
            <w:pPr>
              <w:spacing w:line="320" w:lineRule="exact"/>
              <w:jc w:val="center"/>
              <w:rPr>
                <w:rFonts w:ascii="宋体" w:hAnsi="宋体" w:eastAsia="宋体" w:cs="Times New Roman"/>
                <w:color w:val="auto"/>
              </w:rPr>
            </w:pPr>
          </w:p>
        </w:tc>
        <w:tc>
          <w:tcPr>
            <w:tcW w:w="844" w:type="dxa"/>
            <w:vMerge w:val="continue"/>
            <w:vAlign w:val="center"/>
          </w:tcPr>
          <w:p w14:paraId="5DC065C6">
            <w:pPr>
              <w:spacing w:line="320" w:lineRule="exact"/>
              <w:jc w:val="center"/>
              <w:rPr>
                <w:rFonts w:ascii="宋体" w:hAnsi="宋体" w:eastAsia="宋体" w:cs="Times New Roman"/>
                <w:color w:val="auto"/>
              </w:rPr>
            </w:pPr>
          </w:p>
        </w:tc>
      </w:tr>
      <w:tr w14:paraId="24469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61" w:type="dxa"/>
            <w:gridSpan w:val="8"/>
            <w:vAlign w:val="center"/>
          </w:tcPr>
          <w:p w14:paraId="4BF22A1E">
            <w:pPr>
              <w:spacing w:line="320" w:lineRule="exact"/>
              <w:jc w:val="center"/>
              <w:rPr>
                <w:rFonts w:ascii="宋体" w:hAnsi="宋体" w:eastAsia="宋体" w:cs="Times New Roman"/>
                <w:color w:val="auto"/>
              </w:rPr>
            </w:pPr>
            <w:r>
              <w:rPr>
                <w:rFonts w:ascii="宋体" w:hAnsi="宋体" w:eastAsia="宋体" w:cs="Times New Roman"/>
                <w:color w:val="auto"/>
              </w:rPr>
              <w:t>无组织排放总计</w:t>
            </w:r>
          </w:p>
        </w:tc>
      </w:tr>
      <w:tr w14:paraId="43EEF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61" w:type="dxa"/>
            <w:gridSpan w:val="4"/>
            <w:vAlign w:val="center"/>
          </w:tcPr>
          <w:p w14:paraId="423B26E3">
            <w:pPr>
              <w:spacing w:line="320" w:lineRule="exact"/>
              <w:jc w:val="center"/>
              <w:rPr>
                <w:rFonts w:ascii="宋体" w:hAnsi="宋体" w:eastAsia="宋体" w:cs="Times New Roman"/>
                <w:color w:val="auto"/>
              </w:rPr>
            </w:pPr>
            <w:r>
              <w:rPr>
                <w:rFonts w:ascii="宋体" w:hAnsi="宋体" w:eastAsia="宋体" w:cs="Times New Roman"/>
                <w:color w:val="auto"/>
              </w:rPr>
              <w:t>无组织排放总计</w:t>
            </w:r>
          </w:p>
        </w:tc>
        <w:tc>
          <w:tcPr>
            <w:tcW w:w="4956" w:type="dxa"/>
            <w:gridSpan w:val="3"/>
            <w:vAlign w:val="center"/>
          </w:tcPr>
          <w:p w14:paraId="724FA243">
            <w:pPr>
              <w:spacing w:line="320" w:lineRule="exact"/>
              <w:jc w:val="center"/>
              <w:rPr>
                <w:rFonts w:ascii="宋体" w:hAnsi="宋体" w:eastAsia="宋体" w:cs="Times New Roman"/>
                <w:color w:val="auto"/>
              </w:rPr>
            </w:pPr>
            <w:r>
              <w:rPr>
                <w:rFonts w:ascii="宋体" w:hAnsi="宋体" w:eastAsia="宋体" w:cs="Times New Roman"/>
                <w:color w:val="auto"/>
              </w:rPr>
              <w:t>非甲烷总烃</w:t>
            </w:r>
          </w:p>
        </w:tc>
        <w:tc>
          <w:tcPr>
            <w:tcW w:w="844" w:type="dxa"/>
            <w:vAlign w:val="center"/>
          </w:tcPr>
          <w:p w14:paraId="7410CF56">
            <w:pPr>
              <w:spacing w:line="320" w:lineRule="exact"/>
              <w:jc w:val="center"/>
              <w:rPr>
                <w:rFonts w:ascii="宋体" w:hAnsi="宋体" w:eastAsia="宋体" w:cs="Times New Roman"/>
                <w:color w:val="auto"/>
              </w:rPr>
            </w:pPr>
            <w:r>
              <w:rPr>
                <w:rFonts w:hint="eastAsia" w:ascii="宋体" w:hAnsi="宋体" w:eastAsia="宋体" w:cs="Times New Roman"/>
                <w:color w:val="auto"/>
                <w:szCs w:val="20"/>
              </w:rPr>
              <w:t>16.44</w:t>
            </w:r>
          </w:p>
        </w:tc>
      </w:tr>
    </w:tbl>
    <w:p w14:paraId="42B08E07">
      <w:pPr>
        <w:spacing w:line="440" w:lineRule="exact"/>
        <w:ind w:firstLine="420" w:firstLineChars="200"/>
        <w:rPr>
          <w:rFonts w:ascii="宋体" w:hAnsi="宋体" w:eastAsia="宋体" w:cs="Times New Roman"/>
          <w:snapToGrid w:val="0"/>
          <w:color w:val="auto"/>
          <w:szCs w:val="20"/>
        </w:rPr>
      </w:pPr>
      <w:r>
        <w:rPr>
          <w:rFonts w:ascii="宋体" w:hAnsi="宋体" w:eastAsia="宋体" w:cs="Times New Roman"/>
          <w:snapToGrid w:val="0"/>
          <w:color w:val="auto"/>
          <w:szCs w:val="20"/>
        </w:rPr>
        <w:t>本项目大气污染物年排放量核算见表5.1-22。</w:t>
      </w:r>
    </w:p>
    <w:p w14:paraId="0A4580CE">
      <w:pPr>
        <w:pStyle w:val="276"/>
        <w:widowControl w:val="0"/>
        <w:spacing w:line="440" w:lineRule="exact"/>
        <w:ind w:firstLine="0" w:firstLineChars="0"/>
        <w:jc w:val="center"/>
        <w:rPr>
          <w:snapToGrid w:val="0"/>
          <w:color w:val="auto"/>
          <w:szCs w:val="20"/>
        </w:rPr>
      </w:pPr>
      <w:r>
        <w:rPr>
          <w:snapToGrid w:val="0"/>
          <w:color w:val="auto"/>
          <w:szCs w:val="20"/>
        </w:rPr>
        <w:t>表5.1-22 本项目大气污染物年排放量核算</w:t>
      </w:r>
    </w:p>
    <w:tbl>
      <w:tblPr>
        <w:tblStyle w:val="81"/>
        <w:tblW w:w="90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0"/>
        <w:gridCol w:w="3965"/>
        <w:gridCol w:w="3396"/>
      </w:tblGrid>
      <w:tr w14:paraId="6C6BE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00" w:type="dxa"/>
            <w:vAlign w:val="center"/>
          </w:tcPr>
          <w:p w14:paraId="276B25A5">
            <w:pPr>
              <w:tabs>
                <w:tab w:val="center" w:pos="743"/>
                <w:tab w:val="left" w:pos="1425"/>
              </w:tabs>
              <w:adjustRightInd w:val="0"/>
              <w:snapToGrid w:val="0"/>
              <w:spacing w:line="360" w:lineRule="exact"/>
              <w:jc w:val="left"/>
              <w:textAlignment w:val="center"/>
              <w:rPr>
                <w:rFonts w:ascii="宋体" w:hAnsi="宋体" w:eastAsia="宋体"/>
                <w:color w:val="auto"/>
              </w:rPr>
            </w:pPr>
            <w:r>
              <w:rPr>
                <w:rFonts w:ascii="宋体" w:hAnsi="宋体" w:eastAsia="宋体"/>
                <w:color w:val="auto"/>
              </w:rPr>
              <w:tab/>
            </w:r>
            <w:r>
              <w:rPr>
                <w:rFonts w:ascii="宋体" w:hAnsi="宋体" w:eastAsia="宋体"/>
                <w:color w:val="auto"/>
              </w:rPr>
              <w:t>序号</w:t>
            </w:r>
            <w:r>
              <w:rPr>
                <w:rFonts w:ascii="宋体" w:hAnsi="宋体" w:eastAsia="宋体"/>
                <w:color w:val="auto"/>
              </w:rPr>
              <w:tab/>
            </w:r>
          </w:p>
        </w:tc>
        <w:tc>
          <w:tcPr>
            <w:tcW w:w="3965" w:type="dxa"/>
            <w:vAlign w:val="center"/>
          </w:tcPr>
          <w:p w14:paraId="548FF75E">
            <w:pPr>
              <w:adjustRightInd w:val="0"/>
              <w:snapToGrid w:val="0"/>
              <w:spacing w:line="360" w:lineRule="exact"/>
              <w:textAlignment w:val="center"/>
              <w:rPr>
                <w:rFonts w:ascii="宋体" w:hAnsi="宋体" w:eastAsia="宋体"/>
                <w:color w:val="auto"/>
              </w:rPr>
            </w:pPr>
            <w:r>
              <w:rPr>
                <w:rFonts w:ascii="宋体" w:hAnsi="宋体" w:eastAsia="宋体"/>
                <w:color w:val="auto"/>
              </w:rPr>
              <w:t>污染物</w:t>
            </w:r>
          </w:p>
        </w:tc>
        <w:tc>
          <w:tcPr>
            <w:tcW w:w="3396" w:type="dxa"/>
            <w:vAlign w:val="center"/>
          </w:tcPr>
          <w:p w14:paraId="3211B57B">
            <w:pPr>
              <w:adjustRightInd w:val="0"/>
              <w:snapToGrid w:val="0"/>
              <w:spacing w:line="360" w:lineRule="exact"/>
              <w:textAlignment w:val="center"/>
              <w:rPr>
                <w:rFonts w:ascii="宋体" w:hAnsi="宋体" w:eastAsia="宋体"/>
                <w:color w:val="auto"/>
              </w:rPr>
            </w:pPr>
            <w:r>
              <w:rPr>
                <w:rFonts w:ascii="宋体" w:hAnsi="宋体" w:eastAsia="宋体"/>
                <w:color w:val="auto"/>
              </w:rPr>
              <w:t>年排放量（t/a）</w:t>
            </w:r>
          </w:p>
        </w:tc>
      </w:tr>
      <w:tr w14:paraId="2C722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00" w:type="dxa"/>
            <w:vAlign w:val="center"/>
          </w:tcPr>
          <w:p w14:paraId="03357F37">
            <w:pPr>
              <w:adjustRightInd w:val="0"/>
              <w:snapToGrid w:val="0"/>
              <w:spacing w:line="360" w:lineRule="exact"/>
              <w:textAlignment w:val="center"/>
              <w:rPr>
                <w:rFonts w:ascii="宋体" w:hAnsi="宋体" w:eastAsia="宋体"/>
                <w:color w:val="auto"/>
              </w:rPr>
            </w:pPr>
            <w:r>
              <w:rPr>
                <w:rFonts w:ascii="宋体" w:hAnsi="宋体" w:eastAsia="宋体"/>
                <w:color w:val="auto"/>
              </w:rPr>
              <w:t>1</w:t>
            </w:r>
          </w:p>
        </w:tc>
        <w:tc>
          <w:tcPr>
            <w:tcW w:w="3965" w:type="dxa"/>
            <w:vAlign w:val="center"/>
          </w:tcPr>
          <w:p w14:paraId="365E1701">
            <w:pPr>
              <w:adjustRightInd w:val="0"/>
              <w:snapToGrid w:val="0"/>
              <w:spacing w:line="360" w:lineRule="exact"/>
              <w:textAlignment w:val="center"/>
              <w:rPr>
                <w:rFonts w:ascii="宋体" w:hAnsi="宋体" w:eastAsia="宋体"/>
                <w:color w:val="auto"/>
              </w:rPr>
            </w:pPr>
            <w:r>
              <w:rPr>
                <w:rFonts w:ascii="宋体" w:hAnsi="宋体" w:eastAsia="宋体"/>
                <w:color w:val="auto"/>
              </w:rPr>
              <w:t>非甲烷总烃</w:t>
            </w:r>
          </w:p>
        </w:tc>
        <w:tc>
          <w:tcPr>
            <w:tcW w:w="3396" w:type="dxa"/>
            <w:vAlign w:val="center"/>
          </w:tcPr>
          <w:p w14:paraId="52A559C8">
            <w:pPr>
              <w:adjustRightInd w:val="0"/>
              <w:snapToGrid w:val="0"/>
              <w:spacing w:line="360" w:lineRule="exact"/>
              <w:textAlignment w:val="center"/>
              <w:rPr>
                <w:rFonts w:ascii="宋体" w:hAnsi="宋体" w:eastAsia="宋体"/>
                <w:color w:val="auto"/>
              </w:rPr>
            </w:pPr>
            <w:r>
              <w:rPr>
                <w:rFonts w:hint="eastAsia" w:ascii="宋体" w:hAnsi="宋体" w:eastAsia="宋体"/>
                <w:color w:val="auto"/>
              </w:rPr>
              <w:t>16.44</w:t>
            </w:r>
          </w:p>
        </w:tc>
      </w:tr>
      <w:tr w14:paraId="140EE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00" w:type="dxa"/>
            <w:vAlign w:val="center"/>
          </w:tcPr>
          <w:p w14:paraId="32032914">
            <w:pPr>
              <w:adjustRightInd w:val="0"/>
              <w:snapToGrid w:val="0"/>
              <w:spacing w:line="360" w:lineRule="exact"/>
              <w:textAlignment w:val="center"/>
              <w:rPr>
                <w:rFonts w:ascii="宋体" w:hAnsi="宋体" w:eastAsia="宋体"/>
                <w:color w:val="auto"/>
              </w:rPr>
            </w:pPr>
            <w:r>
              <w:rPr>
                <w:rFonts w:hint="eastAsia" w:ascii="宋体" w:hAnsi="宋体" w:eastAsia="宋体"/>
                <w:color w:val="auto"/>
              </w:rPr>
              <w:t>2</w:t>
            </w:r>
          </w:p>
        </w:tc>
        <w:tc>
          <w:tcPr>
            <w:tcW w:w="3965" w:type="dxa"/>
            <w:vAlign w:val="center"/>
          </w:tcPr>
          <w:p w14:paraId="3E4BAC32">
            <w:pPr>
              <w:jc w:val="center"/>
              <w:rPr>
                <w:rFonts w:ascii="宋体" w:hAnsi="宋体" w:eastAsia="宋体" w:cs="Times New Roman"/>
                <w:snapToGrid w:val="0"/>
                <w:color w:val="auto"/>
              </w:rPr>
            </w:pPr>
            <w:r>
              <w:rPr>
                <w:rFonts w:ascii="宋体" w:hAnsi="宋体" w:eastAsia="宋体" w:cs="Times New Roman"/>
                <w:snapToGrid w:val="0"/>
                <w:color w:val="auto"/>
                <w:lang w:val="zh-CN"/>
              </w:rPr>
              <w:t>SO</w:t>
            </w:r>
            <w:r>
              <w:rPr>
                <w:rFonts w:ascii="宋体" w:hAnsi="宋体" w:eastAsia="宋体" w:cs="Times New Roman"/>
                <w:snapToGrid w:val="0"/>
                <w:color w:val="auto"/>
                <w:vertAlign w:val="subscript"/>
                <w:lang w:val="zh-CN"/>
              </w:rPr>
              <w:t>2</w:t>
            </w:r>
          </w:p>
        </w:tc>
        <w:tc>
          <w:tcPr>
            <w:tcW w:w="3396" w:type="dxa"/>
            <w:vAlign w:val="center"/>
          </w:tcPr>
          <w:p w14:paraId="7819E263">
            <w:pPr>
              <w:jc w:val="center"/>
              <w:rPr>
                <w:rFonts w:ascii="宋体" w:hAnsi="宋体" w:eastAsia="宋体" w:cs="Times New Roman"/>
                <w:snapToGrid w:val="0"/>
                <w:color w:val="auto"/>
              </w:rPr>
            </w:pPr>
            <w:r>
              <w:rPr>
                <w:rFonts w:hint="eastAsia" w:ascii="宋体" w:hAnsi="宋体" w:eastAsia="宋体" w:cs="Times New Roman"/>
                <w:snapToGrid w:val="0"/>
                <w:color w:val="auto"/>
              </w:rPr>
              <w:t>0.046</w:t>
            </w:r>
          </w:p>
        </w:tc>
      </w:tr>
      <w:tr w14:paraId="31EEC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00" w:type="dxa"/>
            <w:vAlign w:val="center"/>
          </w:tcPr>
          <w:p w14:paraId="1A2F29D2">
            <w:pPr>
              <w:adjustRightInd w:val="0"/>
              <w:snapToGrid w:val="0"/>
              <w:spacing w:line="360" w:lineRule="exact"/>
              <w:textAlignment w:val="center"/>
              <w:rPr>
                <w:rFonts w:ascii="宋体" w:hAnsi="宋体" w:eastAsia="宋体"/>
                <w:color w:val="auto"/>
              </w:rPr>
            </w:pPr>
            <w:r>
              <w:rPr>
                <w:rFonts w:hint="eastAsia" w:ascii="宋体" w:hAnsi="宋体" w:eastAsia="宋体"/>
                <w:color w:val="auto"/>
              </w:rPr>
              <w:t>3</w:t>
            </w:r>
          </w:p>
        </w:tc>
        <w:tc>
          <w:tcPr>
            <w:tcW w:w="3965" w:type="dxa"/>
            <w:vAlign w:val="center"/>
          </w:tcPr>
          <w:p w14:paraId="1E640E4B">
            <w:pPr>
              <w:jc w:val="center"/>
              <w:rPr>
                <w:rFonts w:ascii="宋体" w:hAnsi="宋体" w:eastAsia="宋体" w:cs="Times New Roman"/>
                <w:snapToGrid w:val="0"/>
                <w:color w:val="auto"/>
              </w:rPr>
            </w:pPr>
            <w:r>
              <w:rPr>
                <w:rFonts w:ascii="宋体" w:hAnsi="宋体" w:eastAsia="宋体" w:cs="Times New Roman"/>
                <w:snapToGrid w:val="0"/>
                <w:color w:val="auto"/>
                <w:lang w:val="zh-CN"/>
              </w:rPr>
              <w:t>NOx</w:t>
            </w:r>
          </w:p>
        </w:tc>
        <w:tc>
          <w:tcPr>
            <w:tcW w:w="3396" w:type="dxa"/>
            <w:vAlign w:val="center"/>
          </w:tcPr>
          <w:p w14:paraId="7F852524">
            <w:pPr>
              <w:jc w:val="center"/>
              <w:rPr>
                <w:rFonts w:ascii="宋体" w:hAnsi="宋体" w:eastAsia="宋体" w:cs="Times New Roman"/>
                <w:snapToGrid w:val="0"/>
                <w:color w:val="auto"/>
              </w:rPr>
            </w:pPr>
            <w:r>
              <w:rPr>
                <w:rFonts w:hint="eastAsia" w:ascii="宋体" w:hAnsi="宋体" w:eastAsia="宋体" w:cs="Times New Roman"/>
                <w:snapToGrid w:val="0"/>
                <w:color w:val="auto"/>
              </w:rPr>
              <w:t>0.108</w:t>
            </w:r>
          </w:p>
        </w:tc>
      </w:tr>
      <w:tr w14:paraId="795F2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00" w:type="dxa"/>
            <w:vAlign w:val="center"/>
          </w:tcPr>
          <w:p w14:paraId="2FF058BD">
            <w:pPr>
              <w:adjustRightInd w:val="0"/>
              <w:snapToGrid w:val="0"/>
              <w:spacing w:line="360" w:lineRule="exact"/>
              <w:textAlignment w:val="center"/>
              <w:rPr>
                <w:rFonts w:ascii="宋体" w:hAnsi="宋体" w:eastAsia="宋体"/>
                <w:color w:val="auto"/>
              </w:rPr>
            </w:pPr>
            <w:r>
              <w:rPr>
                <w:rFonts w:hint="eastAsia" w:ascii="宋体" w:hAnsi="宋体" w:eastAsia="宋体"/>
                <w:color w:val="auto"/>
              </w:rPr>
              <w:t>4</w:t>
            </w:r>
          </w:p>
        </w:tc>
        <w:tc>
          <w:tcPr>
            <w:tcW w:w="3965" w:type="dxa"/>
            <w:vAlign w:val="center"/>
          </w:tcPr>
          <w:p w14:paraId="3289178A">
            <w:pPr>
              <w:jc w:val="center"/>
              <w:rPr>
                <w:rFonts w:ascii="宋体" w:hAnsi="宋体" w:eastAsia="宋体" w:cs="Times New Roman"/>
                <w:snapToGrid w:val="0"/>
                <w:color w:val="auto"/>
              </w:rPr>
            </w:pPr>
            <w:r>
              <w:rPr>
                <w:rFonts w:ascii="宋体" w:hAnsi="宋体" w:eastAsia="宋体" w:cs="Times New Roman"/>
                <w:snapToGrid w:val="0"/>
                <w:color w:val="auto"/>
                <w:lang w:val="zh-CN"/>
              </w:rPr>
              <w:t>颗粒物</w:t>
            </w:r>
          </w:p>
        </w:tc>
        <w:tc>
          <w:tcPr>
            <w:tcW w:w="3396" w:type="dxa"/>
            <w:vAlign w:val="center"/>
          </w:tcPr>
          <w:p w14:paraId="5058CA8B">
            <w:pPr>
              <w:jc w:val="center"/>
              <w:rPr>
                <w:rFonts w:ascii="宋体" w:hAnsi="宋体" w:eastAsia="宋体" w:cs="Times New Roman"/>
                <w:snapToGrid w:val="0"/>
                <w:color w:val="auto"/>
              </w:rPr>
            </w:pPr>
            <w:r>
              <w:rPr>
                <w:rFonts w:hint="eastAsia" w:ascii="宋体" w:hAnsi="宋体" w:eastAsia="宋体" w:cs="Times New Roman"/>
                <w:snapToGrid w:val="0"/>
                <w:color w:val="auto"/>
              </w:rPr>
              <w:t>0.033</w:t>
            </w:r>
          </w:p>
        </w:tc>
      </w:tr>
      <w:bookmarkEnd w:id="1303"/>
    </w:tbl>
    <w:p w14:paraId="524CBF05">
      <w:pPr>
        <w:pStyle w:val="276"/>
        <w:widowControl w:val="0"/>
        <w:ind w:firstLine="480"/>
        <w:jc w:val="both"/>
        <w:rPr>
          <w:color w:val="auto"/>
        </w:rPr>
      </w:pPr>
      <w:r>
        <w:rPr>
          <w:color w:val="auto"/>
        </w:rPr>
        <w:t>2</w:t>
      </w:r>
      <w:r>
        <w:rPr>
          <w:rFonts w:hint="eastAsia"/>
          <w:color w:val="auto"/>
        </w:rPr>
        <w:t>）</w:t>
      </w:r>
      <w:r>
        <w:rPr>
          <w:color w:val="auto"/>
        </w:rPr>
        <w:t>非正常工况下大气污染物年排放量核算</w:t>
      </w:r>
    </w:p>
    <w:p w14:paraId="6549106F">
      <w:pPr>
        <w:pStyle w:val="276"/>
        <w:widowControl w:val="0"/>
        <w:ind w:firstLine="480"/>
        <w:jc w:val="both"/>
        <w:rPr>
          <w:color w:val="auto"/>
          <w:lang w:val="zh-CN"/>
        </w:rPr>
      </w:pPr>
      <w:r>
        <w:rPr>
          <w:color w:val="auto"/>
        </w:rPr>
        <w:t>根据工程分析可知，本项目涉及的非正常工况条件下的废气排放主要为井场、场站设备检修时非甲烷总烃的溢散，一般情况下检修</w:t>
      </w:r>
      <w:r>
        <w:rPr>
          <w:color w:val="auto"/>
          <w:lang w:bidi="zh-CN"/>
        </w:rPr>
        <w:t>时间</w:t>
      </w:r>
      <w:r>
        <w:rPr>
          <w:color w:val="auto"/>
        </w:rPr>
        <w:t>较短（1-2d），非甲烷总烃溢散量难以核算，且项目均处于野外，扩散条件较好，不会对周围大气环境造成较大影响。</w:t>
      </w:r>
    </w:p>
    <w:p w14:paraId="3F086890">
      <w:pPr>
        <w:pStyle w:val="276"/>
        <w:widowControl w:val="0"/>
        <w:ind w:firstLine="480"/>
        <w:jc w:val="both"/>
        <w:rPr>
          <w:color w:val="auto"/>
          <w:lang w:val="zh-CN"/>
        </w:rPr>
      </w:pPr>
      <w:r>
        <w:rPr>
          <w:color w:val="auto"/>
          <w:lang w:val="zh-CN"/>
        </w:rPr>
        <w:t>（5）评价结论</w:t>
      </w:r>
    </w:p>
    <w:p w14:paraId="40A027EA">
      <w:pPr>
        <w:pStyle w:val="276"/>
        <w:widowControl w:val="0"/>
        <w:ind w:firstLine="480"/>
        <w:jc w:val="both"/>
        <w:rPr>
          <w:color w:val="auto"/>
          <w:lang w:val="zh-CN"/>
        </w:rPr>
      </w:pPr>
      <w:r>
        <w:rPr>
          <w:color w:val="auto"/>
          <w:lang w:val="zh-CN"/>
        </w:rPr>
        <w:t>1</w:t>
      </w:r>
      <w:r>
        <w:rPr>
          <w:rFonts w:hint="eastAsia"/>
          <w:color w:val="auto"/>
          <w:lang w:val="zh-CN"/>
        </w:rPr>
        <w:t>）</w:t>
      </w:r>
      <w:r>
        <w:rPr>
          <w:color w:val="auto"/>
          <w:lang w:val="zh-CN"/>
        </w:rPr>
        <w:t>本项目所在地区为大庆市，为达标区域。新增污染物正常排放下，拟建井场非甲烷总烃贡献浓度满足</w:t>
      </w:r>
      <w:r>
        <w:rPr>
          <w:color w:val="auto"/>
          <w:lang w:bidi="zh-CN"/>
        </w:rPr>
        <w:t>《陆上石油天然气开采工业大气污染物排放标准》</w:t>
      </w:r>
      <w:r>
        <w:rPr>
          <w:color w:val="auto"/>
        </w:rPr>
        <w:t>（GB39728-2020）5.9中规定要求</w:t>
      </w:r>
      <w:r>
        <w:rPr>
          <w:color w:val="auto"/>
          <w:lang w:val="zh-CN"/>
        </w:rPr>
        <w:t>，非甲烷总烃小时值对环境敏感点最大浓度贡献值占标率为</w:t>
      </w:r>
      <w:r>
        <w:rPr>
          <w:rFonts w:hint="eastAsia"/>
          <w:color w:val="auto"/>
        </w:rPr>
        <w:t>52.91</w:t>
      </w:r>
      <w:r>
        <w:rPr>
          <w:color w:val="auto"/>
          <w:lang w:val="zh-CN"/>
        </w:rPr>
        <w:t>%，小于100%，拉油点储罐加热炉排放SO</w:t>
      </w:r>
      <w:r>
        <w:rPr>
          <w:color w:val="auto"/>
          <w:vertAlign w:val="subscript"/>
          <w:lang w:val="zh-CN"/>
        </w:rPr>
        <w:t>2</w:t>
      </w:r>
      <w:r>
        <w:rPr>
          <w:color w:val="auto"/>
          <w:lang w:val="zh-CN"/>
        </w:rPr>
        <w:t>、NO</w:t>
      </w:r>
      <w:r>
        <w:rPr>
          <w:color w:val="auto"/>
          <w:vertAlign w:val="subscript"/>
          <w:lang w:val="zh-CN"/>
        </w:rPr>
        <w:t>X</w:t>
      </w:r>
      <w:r>
        <w:rPr>
          <w:color w:val="auto"/>
          <w:lang w:val="zh-CN"/>
        </w:rPr>
        <w:t>和PM</w:t>
      </w:r>
      <w:r>
        <w:rPr>
          <w:color w:val="auto"/>
          <w:vertAlign w:val="subscript"/>
          <w:lang w:val="zh-CN"/>
        </w:rPr>
        <w:t>10</w:t>
      </w:r>
      <w:r>
        <w:rPr>
          <w:color w:val="auto"/>
          <w:lang w:val="zh-CN"/>
        </w:rPr>
        <w:t>年均浓度贡献值最大浓度占标率≤30%，小时浓度和日均浓度贡献值最大浓度占标率≤100%，满足《环境影响评价技术导则 大气环境》（HJ2.2-2018）中新增污染源正常排放下污染物短期浓度贡献值最大浓度占标率≤100%和年均浓度贡献值最大浓度占标率≤30%要求；叠加现状浓度后，环境敏感点处非甲烷总烃的小时浓度最大出现在</w:t>
      </w:r>
      <w:r>
        <w:rPr>
          <w:rFonts w:hint="eastAsia"/>
          <w:color w:val="auto"/>
        </w:rPr>
        <w:t>后欧力马屯</w:t>
      </w:r>
      <w:r>
        <w:rPr>
          <w:color w:val="auto"/>
          <w:lang w:val="zh-CN"/>
        </w:rPr>
        <w:t>为</w:t>
      </w:r>
      <w:r>
        <w:rPr>
          <w:color w:val="auto"/>
        </w:rPr>
        <w:t>57.69842</w:t>
      </w:r>
      <w:r>
        <w:rPr>
          <w:color w:val="auto"/>
          <w:lang w:val="zh-CN"/>
        </w:rPr>
        <w:t>μg/m</w:t>
      </w:r>
      <w:r>
        <w:rPr>
          <w:color w:val="auto"/>
          <w:vertAlign w:val="superscript"/>
          <w:lang w:val="zh-CN"/>
        </w:rPr>
        <w:t>3</w:t>
      </w:r>
      <w:r>
        <w:rPr>
          <w:color w:val="auto"/>
          <w:lang w:val="zh-CN"/>
        </w:rPr>
        <w:t>，满足《大气污染物综合排放标准详解》2.0mg/m</w:t>
      </w:r>
      <w:r>
        <w:rPr>
          <w:color w:val="auto"/>
          <w:vertAlign w:val="superscript"/>
          <w:lang w:val="zh-CN"/>
        </w:rPr>
        <w:t>3</w:t>
      </w:r>
      <w:r>
        <w:rPr>
          <w:color w:val="auto"/>
          <w:lang w:val="zh-CN"/>
        </w:rPr>
        <w:t>要求。</w:t>
      </w:r>
    </w:p>
    <w:p w14:paraId="5B282069">
      <w:pPr>
        <w:pStyle w:val="276"/>
        <w:widowControl w:val="0"/>
        <w:ind w:firstLine="480"/>
        <w:jc w:val="both"/>
        <w:rPr>
          <w:color w:val="auto"/>
          <w:lang w:val="zh-CN"/>
        </w:rPr>
      </w:pPr>
      <w:r>
        <w:rPr>
          <w:color w:val="auto"/>
          <w:lang w:val="zh-CN"/>
        </w:rPr>
        <w:t>2</w:t>
      </w:r>
      <w:r>
        <w:rPr>
          <w:rFonts w:hint="eastAsia"/>
          <w:color w:val="auto"/>
          <w:lang w:val="zh-CN"/>
        </w:rPr>
        <w:t>）</w:t>
      </w:r>
      <w:r>
        <w:rPr>
          <w:color w:val="auto"/>
          <w:lang w:val="zh-CN"/>
        </w:rPr>
        <w:t>非正常工况下，预测NMHC的1h平均质量浓度贡献值最大浓度占标率均</w:t>
      </w:r>
      <w:r>
        <w:rPr>
          <w:color w:val="auto"/>
          <w:lang w:bidi="zh-CN"/>
        </w:rPr>
        <w:t>小于</w:t>
      </w:r>
      <w:r>
        <w:rPr>
          <w:color w:val="auto"/>
          <w:lang w:val="zh-CN"/>
        </w:rPr>
        <w:t>100%。</w:t>
      </w:r>
    </w:p>
    <w:p w14:paraId="2D704545">
      <w:pPr>
        <w:pStyle w:val="276"/>
        <w:widowControl w:val="0"/>
        <w:ind w:firstLine="480"/>
        <w:jc w:val="both"/>
        <w:rPr>
          <w:color w:val="auto"/>
          <w:lang w:val="zh-CN"/>
        </w:rPr>
      </w:pPr>
      <w:r>
        <w:rPr>
          <w:color w:val="auto"/>
          <w:lang w:val="zh-CN"/>
        </w:rPr>
        <w:t>3</w:t>
      </w:r>
      <w:r>
        <w:rPr>
          <w:rFonts w:hint="eastAsia"/>
          <w:color w:val="auto"/>
          <w:lang w:val="zh-CN"/>
        </w:rPr>
        <w:t>）</w:t>
      </w:r>
      <w:r>
        <w:rPr>
          <w:color w:val="auto"/>
        </w:rPr>
        <w:t>通过预测可知，本项目对大气环境影响较小，无需设置大气环境防护区域</w:t>
      </w:r>
      <w:r>
        <w:rPr>
          <w:color w:val="auto"/>
          <w:lang w:val="zh-CN"/>
        </w:rPr>
        <w:t>。</w:t>
      </w:r>
    </w:p>
    <w:p w14:paraId="471E3BD6">
      <w:pPr>
        <w:pStyle w:val="276"/>
        <w:widowControl w:val="0"/>
        <w:ind w:firstLine="480"/>
        <w:jc w:val="both"/>
        <w:rPr>
          <w:color w:val="auto"/>
          <w:lang w:val="zh-CN"/>
        </w:rPr>
      </w:pPr>
      <w:r>
        <w:rPr>
          <w:color w:val="auto"/>
          <w:lang w:val="zh-CN"/>
        </w:rPr>
        <w:t>4</w:t>
      </w:r>
      <w:r>
        <w:rPr>
          <w:rFonts w:hint="eastAsia"/>
          <w:color w:val="auto"/>
          <w:lang w:val="zh-CN"/>
        </w:rPr>
        <w:t>）</w:t>
      </w:r>
      <w:r>
        <w:rPr>
          <w:color w:val="auto"/>
          <w:lang w:val="zh-CN"/>
        </w:rPr>
        <w:t>正常工况下，本项目在</w:t>
      </w:r>
      <w:r>
        <w:rPr>
          <w:rFonts w:hint="eastAsia"/>
          <w:color w:val="auto"/>
          <w:lang w:val="zh-CN"/>
        </w:rPr>
        <w:t>运营期</w:t>
      </w:r>
      <w:r>
        <w:rPr>
          <w:color w:val="auto"/>
          <w:lang w:val="zh-CN"/>
        </w:rPr>
        <w:t>油田生产过程中采用全密闭工艺流程，油井井口均安装了密封垫，</w:t>
      </w:r>
      <w:r>
        <w:rPr>
          <w:color w:val="auto"/>
        </w:rPr>
        <w:t>烃类气体的损失量可以控制在合理范围以内</w:t>
      </w:r>
      <w:r>
        <w:rPr>
          <w:color w:val="auto"/>
          <w:lang w:val="zh-CN"/>
        </w:rPr>
        <w:t>，</w:t>
      </w:r>
      <w:r>
        <w:rPr>
          <w:color w:val="auto"/>
        </w:rPr>
        <w:t>井场、拉油点及依托的油气处理站排放的非甲烷总烃满足《陆上石油天然气开采工业大气污染物排放标准》（GB39728-2020）5.9中规定要求，依托场站排放的非甲烷总烃</w:t>
      </w:r>
      <w:r>
        <w:rPr>
          <w:color w:val="auto"/>
          <w:lang w:bidi="zh-CN"/>
        </w:rPr>
        <w:t>厂区</w:t>
      </w:r>
      <w:r>
        <w:rPr>
          <w:color w:val="auto"/>
        </w:rPr>
        <w:t>内满足《挥发性有机物无组织排放控制标准》（GB37822-2019）附录A中VOCs无组织排放限值要求，油田开发区域产生的非甲烷总烃对大气环境影响较小</w:t>
      </w:r>
      <w:r>
        <w:rPr>
          <w:color w:val="auto"/>
          <w:lang w:val="zh-CN"/>
        </w:rPr>
        <w:t>。非正常工况为油井井下作业，作业过程中使用作业污水回收装置，整个过程非甲烷总烃排放量很小，且作业时间很短，对大气环境影响较小。</w:t>
      </w:r>
    </w:p>
    <w:p w14:paraId="6DEA5D6D">
      <w:pPr>
        <w:pStyle w:val="276"/>
        <w:widowControl w:val="0"/>
        <w:ind w:firstLine="480"/>
        <w:jc w:val="both"/>
        <w:rPr>
          <w:color w:val="auto"/>
          <w:lang w:val="zh-CN"/>
        </w:rPr>
      </w:pPr>
      <w:r>
        <w:rPr>
          <w:color w:val="auto"/>
          <w:lang w:val="zh-CN"/>
        </w:rPr>
        <w:t>通过采取上述措施，区域环境质量能够满足《环境空气质量标准》（GB3095-2012）及修改单二级标准要求。本项目大气环境评价等级为一级，环境影响是可接受的，大气环境影响评价自查表见附表1。</w:t>
      </w:r>
    </w:p>
    <w:bookmarkEnd w:id="1290"/>
    <w:bookmarkEnd w:id="1291"/>
    <w:bookmarkEnd w:id="1292"/>
    <w:bookmarkEnd w:id="1293"/>
    <w:bookmarkEnd w:id="1294"/>
    <w:bookmarkEnd w:id="1295"/>
    <w:bookmarkEnd w:id="1296"/>
    <w:bookmarkEnd w:id="1297"/>
    <w:bookmarkEnd w:id="1298"/>
    <w:bookmarkEnd w:id="1299"/>
    <w:bookmarkEnd w:id="1300"/>
    <w:bookmarkEnd w:id="1301"/>
    <w:bookmarkEnd w:id="1302"/>
    <w:p w14:paraId="530F12E3">
      <w:pPr>
        <w:pStyle w:val="6"/>
        <w:rPr>
          <w:color w:val="auto"/>
        </w:rPr>
      </w:pPr>
      <w:r>
        <w:rPr>
          <w:color w:val="auto"/>
        </w:rPr>
        <w:t>退役期</w:t>
      </w:r>
    </w:p>
    <w:p w14:paraId="045464B6">
      <w:pPr>
        <w:pStyle w:val="276"/>
        <w:widowControl w:val="0"/>
        <w:ind w:firstLine="480"/>
        <w:jc w:val="both"/>
        <w:rPr>
          <w:color w:val="auto"/>
        </w:rPr>
      </w:pPr>
      <w:r>
        <w:rPr>
          <w:color w:val="auto"/>
        </w:rPr>
        <w:t>本项目退役期对</w:t>
      </w:r>
      <w:r>
        <w:rPr>
          <w:color w:val="auto"/>
          <w:lang w:val="zh-CN"/>
        </w:rPr>
        <w:t>大气环境</w:t>
      </w:r>
      <w:r>
        <w:rPr>
          <w:color w:val="auto"/>
        </w:rPr>
        <w:t>的影响主要是施工产生的扬尘、运输车辆排放的尾气。</w:t>
      </w:r>
    </w:p>
    <w:p w14:paraId="34A85037">
      <w:pPr>
        <w:pStyle w:val="276"/>
        <w:widowControl w:val="0"/>
        <w:ind w:firstLine="480"/>
        <w:jc w:val="both"/>
        <w:rPr>
          <w:color w:val="auto"/>
        </w:rPr>
      </w:pPr>
      <w:r>
        <w:rPr>
          <w:color w:val="auto"/>
        </w:rPr>
        <w:t>（1）施工扬尘</w:t>
      </w:r>
    </w:p>
    <w:p w14:paraId="381A2D5D">
      <w:pPr>
        <w:pStyle w:val="276"/>
        <w:widowControl w:val="0"/>
        <w:ind w:firstLine="480"/>
        <w:jc w:val="both"/>
        <w:rPr>
          <w:color w:val="auto"/>
        </w:rPr>
      </w:pPr>
      <w:r>
        <w:rPr>
          <w:color w:val="auto"/>
        </w:rPr>
        <w:t>运输车辆行驶扬尘与车辆行驶速度、风速、路面积尘量和积尘湿度等因素有关。施工场地、施工道路在自然风作用下产生的扬尘所影响的范围在100m以内，在退役期施工过程中应采取以下措施：</w:t>
      </w:r>
    </w:p>
    <w:p w14:paraId="5F4B2B64">
      <w:pPr>
        <w:pStyle w:val="276"/>
        <w:widowControl w:val="0"/>
        <w:ind w:firstLine="480"/>
        <w:jc w:val="both"/>
        <w:rPr>
          <w:color w:val="auto"/>
        </w:rPr>
      </w:pPr>
      <w:r>
        <w:rPr>
          <w:color w:val="auto"/>
        </w:rPr>
        <w:t>1）材料运输过程中，</w:t>
      </w:r>
      <w:r>
        <w:rPr>
          <w:color w:val="auto"/>
          <w:lang w:val="zh-CN"/>
        </w:rPr>
        <w:t>进行</w:t>
      </w:r>
      <w:r>
        <w:rPr>
          <w:color w:val="auto"/>
        </w:rPr>
        <w:t>材料遮盖，防止材料洒落、风刮起的粉尘；</w:t>
      </w:r>
    </w:p>
    <w:p w14:paraId="61CC76AA">
      <w:pPr>
        <w:pStyle w:val="276"/>
        <w:widowControl w:val="0"/>
        <w:ind w:firstLine="480"/>
        <w:jc w:val="both"/>
        <w:rPr>
          <w:color w:val="auto"/>
        </w:rPr>
      </w:pPr>
      <w:r>
        <w:rPr>
          <w:color w:val="auto"/>
        </w:rPr>
        <w:t>2）运输车辆进入居民区附近</w:t>
      </w:r>
      <w:r>
        <w:rPr>
          <w:color w:val="auto"/>
          <w:lang w:val="zh-CN"/>
        </w:rPr>
        <w:t>施工</w:t>
      </w:r>
      <w:r>
        <w:rPr>
          <w:color w:val="auto"/>
        </w:rPr>
        <w:t>场地应低速行驶或限速行驶，减少扬尘产生。</w:t>
      </w:r>
    </w:p>
    <w:p w14:paraId="7BF141B4">
      <w:pPr>
        <w:pStyle w:val="276"/>
        <w:widowControl w:val="0"/>
        <w:ind w:firstLine="480"/>
        <w:jc w:val="both"/>
        <w:rPr>
          <w:color w:val="auto"/>
        </w:rPr>
      </w:pPr>
      <w:r>
        <w:rPr>
          <w:color w:val="auto"/>
        </w:rPr>
        <w:t>3）在施工过程中，施工场地应定时适量洒水，并在大风天加大洒水量及洒水次数，使作业面保持一定的湿度；</w:t>
      </w:r>
    </w:p>
    <w:p w14:paraId="71729072">
      <w:pPr>
        <w:pStyle w:val="276"/>
        <w:widowControl w:val="0"/>
        <w:ind w:firstLine="480"/>
        <w:jc w:val="both"/>
        <w:rPr>
          <w:color w:val="auto"/>
        </w:rPr>
      </w:pPr>
      <w:r>
        <w:rPr>
          <w:color w:val="auto"/>
        </w:rPr>
        <w:t>采取上述措施后，可有效降低退役期施工过程中产生的扬尘，颗粒物浓度能够满足《大气污染物综合排放标准》（GB16297-1996）表2中无组织排放监控浓度限值要求。施工扬尘对周边敏感目标影响具有一定的时段性，这种影响随着施工的结束而消失。</w:t>
      </w:r>
    </w:p>
    <w:p w14:paraId="531C6192">
      <w:pPr>
        <w:pStyle w:val="276"/>
        <w:widowControl w:val="0"/>
        <w:ind w:firstLine="480"/>
        <w:jc w:val="both"/>
        <w:rPr>
          <w:color w:val="auto"/>
        </w:rPr>
      </w:pPr>
      <w:r>
        <w:rPr>
          <w:color w:val="auto"/>
        </w:rPr>
        <w:t>（2）车辆尾气</w:t>
      </w:r>
    </w:p>
    <w:p w14:paraId="02D7F722">
      <w:pPr>
        <w:pStyle w:val="276"/>
        <w:widowControl w:val="0"/>
        <w:ind w:firstLine="480"/>
        <w:jc w:val="both"/>
        <w:rPr>
          <w:color w:val="auto"/>
        </w:rPr>
      </w:pPr>
      <w:r>
        <w:rPr>
          <w:color w:val="auto"/>
        </w:rPr>
        <w:t>本项目退役期各类工程及运输车辆排放的尾气会对大气环境造成一定污染，排放主要污染物为NOx、CO、HC等，均属于无组织排放，施工所处地区宽阔，地形简单，污染物在大气中可快速扩散，由于车辆排放的尾气为流动的线源，其污染不集中且扩散能力相对较快，因此对环境的空气的影响不是很大。</w:t>
      </w:r>
    </w:p>
    <w:p w14:paraId="323085B4">
      <w:pPr>
        <w:pStyle w:val="5"/>
        <w:rPr>
          <w:bCs w:val="0"/>
          <w:color w:val="auto"/>
        </w:rPr>
      </w:pPr>
      <w:bookmarkStart w:id="1304" w:name="_Toc18748"/>
      <w:bookmarkStart w:id="1305" w:name="_Toc212033033"/>
      <w:r>
        <w:rPr>
          <w:bCs w:val="0"/>
          <w:color w:val="auto"/>
        </w:rPr>
        <w:t>地表水环境影响评价</w:t>
      </w:r>
      <w:bookmarkEnd w:id="1304"/>
      <w:bookmarkEnd w:id="1305"/>
    </w:p>
    <w:p w14:paraId="0A8626A2">
      <w:pPr>
        <w:pStyle w:val="276"/>
        <w:widowControl w:val="0"/>
        <w:ind w:firstLine="480"/>
        <w:jc w:val="both"/>
        <w:rPr>
          <w:color w:val="auto"/>
        </w:rPr>
      </w:pPr>
      <w:r>
        <w:rPr>
          <w:color w:val="auto"/>
        </w:rPr>
        <w:t>本项目评价范围内地表水体为源斜2401西北侧130m的一般湿地，施工期对地表水体可能造成污染的污染源主要是</w:t>
      </w:r>
      <w:r>
        <w:rPr>
          <w:color w:val="auto"/>
          <w:lang w:val="zh-CN"/>
        </w:rPr>
        <w:t>水基</w:t>
      </w:r>
      <w:r>
        <w:rPr>
          <w:color w:val="auto"/>
        </w:rPr>
        <w:t>钻井废水、油基钻井废水、管线试压废水、生活污水、压裂返排液、试油产液，污染因子主要为COD、氨氮、SS、石油类。</w:t>
      </w:r>
    </w:p>
    <w:p w14:paraId="5784CFF8">
      <w:pPr>
        <w:pStyle w:val="276"/>
        <w:widowControl w:val="0"/>
        <w:ind w:firstLine="480"/>
        <w:jc w:val="both"/>
        <w:rPr>
          <w:color w:val="auto"/>
        </w:rPr>
      </w:pPr>
      <w:r>
        <w:rPr>
          <w:color w:val="auto"/>
        </w:rPr>
        <w:t>运营期产生的废水主要为作业污水、洗井污水、油田采出液中分离的含油污水，污染因子为石油类。</w:t>
      </w:r>
    </w:p>
    <w:p w14:paraId="1D2B4300">
      <w:pPr>
        <w:pStyle w:val="6"/>
        <w:rPr>
          <w:color w:val="auto"/>
        </w:rPr>
      </w:pPr>
      <w:bookmarkStart w:id="1306" w:name="_Toc85640812"/>
      <w:bookmarkStart w:id="1307" w:name="_Toc86141987"/>
      <w:bookmarkStart w:id="1308" w:name="_Toc127192392"/>
      <w:bookmarkStart w:id="1309" w:name="_Toc126863443"/>
      <w:bookmarkStart w:id="1310" w:name="_Toc131167343"/>
      <w:bookmarkStart w:id="1311" w:name="_Toc143099630"/>
      <w:r>
        <w:rPr>
          <w:color w:val="auto"/>
        </w:rPr>
        <w:t>施工期</w:t>
      </w:r>
      <w:bookmarkEnd w:id="1306"/>
      <w:bookmarkEnd w:id="1307"/>
      <w:bookmarkEnd w:id="1308"/>
      <w:bookmarkEnd w:id="1309"/>
      <w:bookmarkEnd w:id="1310"/>
      <w:bookmarkEnd w:id="1311"/>
    </w:p>
    <w:p w14:paraId="1FB60BAD">
      <w:pPr>
        <w:pStyle w:val="276"/>
        <w:widowControl w:val="0"/>
        <w:ind w:firstLine="480"/>
        <w:jc w:val="both"/>
        <w:rPr>
          <w:color w:val="auto"/>
        </w:rPr>
      </w:pPr>
      <w:r>
        <w:rPr>
          <w:rFonts w:hint="eastAsia"/>
          <w:color w:val="auto"/>
        </w:rPr>
        <w:t>（1）</w:t>
      </w:r>
      <w:r>
        <w:rPr>
          <w:color w:val="auto"/>
        </w:rPr>
        <w:t>项目施工期产生的水基钻井废水排入井场水基钢制泥浆槽中，及时拉运至大庆油田昆仑集团有限公司环保分公司处理，处理后的压滤水定期由罐车拉运至朝二联含油污水处理站处理达标后回注油层；</w:t>
      </w:r>
    </w:p>
    <w:p w14:paraId="25EAB9ED">
      <w:pPr>
        <w:pStyle w:val="276"/>
        <w:widowControl w:val="0"/>
        <w:ind w:firstLine="480"/>
        <w:jc w:val="both"/>
        <w:rPr>
          <w:color w:val="auto"/>
        </w:rPr>
      </w:pPr>
      <w:r>
        <w:rPr>
          <w:rFonts w:hint="eastAsia"/>
          <w:color w:val="auto"/>
        </w:rPr>
        <w:t>（2）</w:t>
      </w:r>
      <w:r>
        <w:rPr>
          <w:color w:val="auto"/>
        </w:rPr>
        <w:t>油基钻井废水排入井场设置的油基钢制泥浆槽中，委托黑龙江迈景环保科技有限公司处理，处理后的污水进入污水罐储存，定期拉运至朝二联含油污水处理站处理满足《大庆油田地面工程建设设计规定》（Q/</w:t>
      </w:r>
      <w:r>
        <w:rPr>
          <w:color w:val="auto"/>
          <w:lang w:val="zh-CN"/>
        </w:rPr>
        <w:t>SYDQ0639</w:t>
      </w:r>
      <w:r>
        <w:rPr>
          <w:color w:val="auto"/>
        </w:rPr>
        <w:t>-2015）及《碎屑岩油藏注水水质指标技术要求及分析方法》（SY/T5329-2022）限值要求后回注油层；</w:t>
      </w:r>
    </w:p>
    <w:p w14:paraId="38EB76EA">
      <w:pPr>
        <w:pStyle w:val="276"/>
        <w:widowControl w:val="0"/>
        <w:ind w:firstLine="480"/>
        <w:jc w:val="both"/>
        <w:rPr>
          <w:color w:val="auto"/>
        </w:rPr>
      </w:pPr>
      <w:r>
        <w:rPr>
          <w:rFonts w:hint="eastAsia"/>
          <w:color w:val="auto"/>
        </w:rPr>
        <w:t>（3）</w:t>
      </w:r>
      <w:r>
        <w:rPr>
          <w:color w:val="auto"/>
        </w:rPr>
        <w:t>管线试压废水由罐车拉运至朝二联含油污水处理站处理满足《大庆油田地面工程建设设计规定》（Q/SYDQ0639-2015）及《碎屑岩油藏注水水质指标技术要求及分析方法》（SY/T5329-2022）限值要求后回注油层，不外排；</w:t>
      </w:r>
    </w:p>
    <w:p w14:paraId="3C3DC33A">
      <w:pPr>
        <w:pStyle w:val="276"/>
        <w:widowControl w:val="0"/>
        <w:ind w:firstLine="480"/>
        <w:jc w:val="both"/>
        <w:rPr>
          <w:color w:val="auto"/>
        </w:rPr>
      </w:pPr>
      <w:r>
        <w:rPr>
          <w:rFonts w:hint="eastAsia"/>
          <w:color w:val="auto"/>
        </w:rPr>
        <w:t>（4）</w:t>
      </w:r>
      <w:r>
        <w:rPr>
          <w:color w:val="auto"/>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w:t>
      </w:r>
    </w:p>
    <w:p w14:paraId="28776834">
      <w:pPr>
        <w:pStyle w:val="276"/>
        <w:widowControl w:val="0"/>
        <w:ind w:firstLine="480"/>
        <w:jc w:val="both"/>
        <w:rPr>
          <w:color w:val="auto"/>
        </w:rPr>
      </w:pPr>
      <w:r>
        <w:rPr>
          <w:rFonts w:hint="eastAsia"/>
          <w:color w:val="auto"/>
        </w:rPr>
        <w:t>（5）</w:t>
      </w:r>
      <w:r>
        <w:rPr>
          <w:color w:val="auto"/>
        </w:rPr>
        <w:t>压裂返排液由罐车拉运至朝一联压裂返排液无害化处理站处理后，管输进入朝一联含油污水处理站处理，处理后的出水</w:t>
      </w:r>
      <w:r>
        <w:rPr>
          <w:color w:val="auto"/>
          <w:lang w:val="zh-CN"/>
        </w:rPr>
        <w:t>满足</w:t>
      </w:r>
      <w:r>
        <w:rPr>
          <w:color w:val="auto"/>
        </w:rPr>
        <w:t>《大庆油田地面工程建设设计规定》（Q/SYDQ0639-2015）及《碎屑岩油藏注水水质指标技术要求及分析方法》（SY/T5329-2022）限值要求后回注油层。</w:t>
      </w:r>
    </w:p>
    <w:p w14:paraId="07E56E75">
      <w:pPr>
        <w:pStyle w:val="276"/>
        <w:widowControl w:val="0"/>
        <w:ind w:firstLine="480"/>
        <w:jc w:val="both"/>
        <w:rPr>
          <w:color w:val="auto"/>
        </w:rPr>
      </w:pPr>
      <w:r>
        <w:rPr>
          <w:rFonts w:hint="eastAsia"/>
          <w:color w:val="auto"/>
        </w:rPr>
        <w:t>（6）</w:t>
      </w:r>
      <w:r>
        <w:rPr>
          <w:color w:val="auto"/>
        </w:rPr>
        <w:t>试油产液通过罐车拉运至朝二联卸油点后，进入朝二联转油脱水站处理系统，处理后含水油外输至朝二联含油污水处理站处理后回注。</w:t>
      </w:r>
    </w:p>
    <w:p w14:paraId="07CB30A2">
      <w:pPr>
        <w:pStyle w:val="276"/>
        <w:widowControl w:val="0"/>
        <w:ind w:firstLine="480"/>
        <w:jc w:val="both"/>
        <w:rPr>
          <w:color w:val="auto"/>
        </w:rPr>
      </w:pPr>
      <w:r>
        <w:rPr>
          <w:color w:val="auto"/>
        </w:rPr>
        <w:t>综上所述，本项目施工期废水均得到</w:t>
      </w:r>
      <w:r>
        <w:rPr>
          <w:color w:val="auto"/>
          <w:lang w:val="zh-CN"/>
        </w:rPr>
        <w:t>合理</w:t>
      </w:r>
      <w:r>
        <w:rPr>
          <w:color w:val="auto"/>
        </w:rPr>
        <w:t>有效的处理，不会对区域内地表水体产生影响。</w:t>
      </w:r>
    </w:p>
    <w:p w14:paraId="19157E30">
      <w:pPr>
        <w:pStyle w:val="6"/>
        <w:rPr>
          <w:color w:val="auto"/>
        </w:rPr>
      </w:pPr>
      <w:bookmarkStart w:id="1312" w:name="_Toc127192393"/>
      <w:bookmarkStart w:id="1313" w:name="_Toc85640813"/>
      <w:bookmarkStart w:id="1314" w:name="_Toc86141988"/>
      <w:bookmarkStart w:id="1315" w:name="_Toc131167344"/>
      <w:bookmarkStart w:id="1316" w:name="_Toc126863444"/>
      <w:bookmarkStart w:id="1317" w:name="_Toc143099631"/>
      <w:r>
        <w:rPr>
          <w:color w:val="auto"/>
        </w:rPr>
        <w:t>运营期</w:t>
      </w:r>
      <w:bookmarkEnd w:id="1312"/>
      <w:bookmarkEnd w:id="1313"/>
      <w:bookmarkEnd w:id="1314"/>
      <w:bookmarkEnd w:id="1315"/>
      <w:bookmarkEnd w:id="1316"/>
      <w:bookmarkEnd w:id="1317"/>
    </w:p>
    <w:p w14:paraId="6896A7E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正常工况下地表水环境影响分析</w:t>
      </w:r>
    </w:p>
    <w:p w14:paraId="76B4A9DA">
      <w:pPr>
        <w:pStyle w:val="276"/>
        <w:widowControl w:val="0"/>
        <w:ind w:firstLine="480"/>
        <w:jc w:val="both"/>
        <w:rPr>
          <w:color w:val="auto"/>
        </w:rPr>
      </w:pPr>
      <w:r>
        <w:rPr>
          <w:color w:val="auto"/>
        </w:rPr>
        <w:t>正常工况下，本项目运营期油井产液收集到新建拉油点储罐内，定期由罐车拉运至朝二联卸油点，进入朝二转油脱水站处理系统，分离的含油污水最终管输进入朝二联含油污水处理站处理满足</w:t>
      </w:r>
      <w:r>
        <w:rPr>
          <w:color w:val="auto"/>
          <w:lang w:val="zh-CN"/>
        </w:rPr>
        <w:t>《大庆油田地面工程建设设计规定》</w:t>
      </w:r>
      <w:r>
        <w:rPr>
          <w:color w:val="auto"/>
        </w:rPr>
        <w:t>（Q/SYDQ0639-2015）及《碎屑岩油藏注水水质指标技术要求及分析方法》（SY/T5329-2022）限值要求后回注油层；作业污水通过罐车回收后拉运至朝二联含油污水处理站处理满足《大庆油田地面工程建设设计规定》（Q/SYDQ0639-2015）及《碎屑岩油藏注水水质指标技术要求及分析方法》（SY/T5329-2022）限值要求后回注油层，不外排；洗井污水由罐车回收后拉运至朝二联含油污水处理站处理满足《大庆油田地面工程建设设计规定》（Q/SYDQ0639-2015）及《碎屑岩油藏注水水质指标技术要求及分析方法》（SY/T5329-2022）限值要求后回注油层。综上所述，本项目运营期废水均得到合理有效的处理，不排入外环境，因此，正常工况下对区域内地表水体几乎不产生影响。</w:t>
      </w:r>
    </w:p>
    <w:p w14:paraId="0BE4F4FA">
      <w:pPr>
        <w:spacing w:line="440" w:lineRule="exact"/>
        <w:ind w:firstLine="480" w:firstLineChars="200"/>
        <w:rPr>
          <w:rFonts w:ascii="宋体" w:hAnsi="宋体" w:eastAsia="宋体"/>
          <w:color w:val="auto"/>
          <w:sz w:val="24"/>
        </w:rPr>
      </w:pPr>
      <w:r>
        <w:rPr>
          <w:rFonts w:ascii="宋体" w:hAnsi="宋体" w:eastAsia="宋体"/>
          <w:color w:val="auto"/>
          <w:sz w:val="24"/>
        </w:rPr>
        <w:t>根据《环境影响评价技术导则</w:t>
      </w:r>
      <w:r>
        <w:rPr>
          <w:rFonts w:hint="eastAsia" w:ascii="宋体" w:hAnsi="宋体" w:eastAsia="宋体"/>
          <w:color w:val="auto"/>
          <w:sz w:val="24"/>
        </w:rPr>
        <w:t xml:space="preserve"> </w:t>
      </w:r>
      <w:r>
        <w:rPr>
          <w:rFonts w:ascii="宋体" w:hAnsi="宋体" w:eastAsia="宋体"/>
          <w:color w:val="auto"/>
          <w:sz w:val="24"/>
        </w:rPr>
        <w:t>地表水</w:t>
      </w:r>
      <w:r>
        <w:rPr>
          <w:rFonts w:hint="eastAsia" w:ascii="宋体" w:hAnsi="宋体" w:eastAsia="宋体"/>
          <w:color w:val="auto"/>
          <w:sz w:val="24"/>
        </w:rPr>
        <w:t>环境</w:t>
      </w:r>
      <w:r>
        <w:rPr>
          <w:rFonts w:ascii="宋体" w:hAnsi="宋体" w:eastAsia="宋体"/>
          <w:color w:val="auto"/>
          <w:sz w:val="24"/>
        </w:rPr>
        <w:t>》（HJ2.3-2018）中 8.1.2，水污染影响型为三级B评价，主要评价内容包括：水污染控制和水环境影响减缓措施有效性评价，及依托污水处理站的环境可行性评价。</w:t>
      </w:r>
    </w:p>
    <w:p w14:paraId="6996DA22">
      <w:pPr>
        <w:spacing w:line="440" w:lineRule="exact"/>
        <w:ind w:firstLine="480" w:firstLineChars="200"/>
        <w:rPr>
          <w:rFonts w:ascii="宋体" w:hAnsi="宋体" w:eastAsia="宋体"/>
          <w:color w:val="auto"/>
          <w:sz w:val="24"/>
        </w:rPr>
      </w:pPr>
      <w:r>
        <w:rPr>
          <w:rFonts w:ascii="宋体" w:hAnsi="宋体" w:eastAsia="宋体"/>
          <w:color w:val="auto"/>
          <w:sz w:val="24"/>
        </w:rPr>
        <w:t>（1）地表水环境保护措施有效性</w:t>
      </w:r>
    </w:p>
    <w:p w14:paraId="5B3B36D9">
      <w:pPr>
        <w:spacing w:line="440" w:lineRule="exact"/>
        <w:ind w:firstLine="480" w:firstLineChars="200"/>
        <w:rPr>
          <w:rFonts w:ascii="宋体" w:hAnsi="宋体" w:eastAsia="宋体"/>
          <w:color w:val="auto"/>
          <w:sz w:val="24"/>
        </w:rPr>
      </w:pPr>
      <w:r>
        <w:rPr>
          <w:rFonts w:ascii="宋体" w:hAnsi="宋体" w:eastAsia="宋体"/>
          <w:color w:val="auto"/>
          <w:sz w:val="24"/>
        </w:rPr>
        <w:t>在油田生产建设及运营过程中，加强管理，同时确保各项污染控制措施及事故应急措施切实落实。</w:t>
      </w:r>
    </w:p>
    <w:p w14:paraId="09B3FD46">
      <w:pPr>
        <w:spacing w:line="440" w:lineRule="exact"/>
        <w:ind w:firstLine="480" w:firstLineChars="200"/>
        <w:rPr>
          <w:rFonts w:ascii="宋体" w:hAnsi="宋体" w:eastAsia="宋体"/>
          <w:color w:val="auto"/>
          <w:sz w:val="24"/>
        </w:rPr>
      </w:pPr>
      <w:r>
        <w:rPr>
          <w:rFonts w:ascii="宋体" w:hAnsi="宋体" w:eastAsia="宋体"/>
          <w:color w:val="auto"/>
          <w:sz w:val="24"/>
        </w:rPr>
        <w:t>1</w:t>
      </w:r>
      <w:r>
        <w:rPr>
          <w:rFonts w:hint="eastAsia" w:ascii="宋体" w:hAnsi="宋体" w:eastAsia="宋体"/>
          <w:color w:val="auto"/>
          <w:sz w:val="24"/>
        </w:rPr>
        <w:t>）</w:t>
      </w:r>
      <w:r>
        <w:rPr>
          <w:rFonts w:ascii="宋体" w:hAnsi="宋体" w:eastAsia="宋体"/>
          <w:color w:val="auto"/>
          <w:sz w:val="24"/>
        </w:rPr>
        <w:t>为避免井场对周边耕地产生影响，对井场进行填筑，平均填高0.3m，井场四周采用水泥混凝土预制块、干砌块石护砌。</w:t>
      </w:r>
    </w:p>
    <w:p w14:paraId="5908231F">
      <w:pPr>
        <w:spacing w:line="440" w:lineRule="exact"/>
        <w:ind w:firstLine="480" w:firstLineChars="200"/>
        <w:rPr>
          <w:rFonts w:ascii="宋体" w:hAnsi="宋体" w:eastAsia="宋体"/>
          <w:color w:val="auto"/>
          <w:sz w:val="24"/>
        </w:rPr>
      </w:pPr>
      <w:r>
        <w:rPr>
          <w:rFonts w:ascii="宋体" w:hAnsi="宋体" w:eastAsia="宋体"/>
          <w:color w:val="auto"/>
          <w:sz w:val="24"/>
        </w:rPr>
        <w:t>2</w:t>
      </w:r>
      <w:r>
        <w:rPr>
          <w:rFonts w:hint="eastAsia" w:ascii="宋体" w:hAnsi="宋体" w:eastAsia="宋体"/>
          <w:color w:val="auto"/>
          <w:sz w:val="24"/>
        </w:rPr>
        <w:t>）</w:t>
      </w:r>
      <w:r>
        <w:rPr>
          <w:rFonts w:ascii="宋体" w:hAnsi="宋体" w:eastAsia="宋体"/>
          <w:color w:val="auto"/>
          <w:sz w:val="24"/>
        </w:rPr>
        <w:t>施工期在井场柴油罐等重点区域铺垫防渗布并修建0.2m高临时玻璃钢围堰，防止污染物</w:t>
      </w:r>
      <w:r>
        <w:rPr>
          <w:rFonts w:hint="eastAsia" w:ascii="宋体" w:hAnsi="宋体" w:eastAsia="宋体"/>
          <w:color w:val="auto"/>
          <w:sz w:val="24"/>
        </w:rPr>
        <w:t>泄漏</w:t>
      </w:r>
      <w:r>
        <w:rPr>
          <w:rFonts w:ascii="宋体" w:hAnsi="宋体" w:eastAsia="宋体"/>
          <w:color w:val="auto"/>
          <w:sz w:val="24"/>
        </w:rPr>
        <w:t>外溢，确保施工期井场污染物不会进入周边水渠。</w:t>
      </w:r>
    </w:p>
    <w:p w14:paraId="28383B0C">
      <w:pPr>
        <w:spacing w:line="440" w:lineRule="exact"/>
        <w:ind w:firstLine="480" w:firstLineChars="200"/>
        <w:rPr>
          <w:rFonts w:ascii="宋体" w:hAnsi="宋体" w:eastAsia="宋体"/>
          <w:color w:val="auto"/>
          <w:sz w:val="24"/>
        </w:rPr>
      </w:pPr>
      <w:r>
        <w:rPr>
          <w:rFonts w:ascii="宋体" w:hAnsi="宋体" w:eastAsia="宋体"/>
          <w:color w:val="auto"/>
          <w:sz w:val="24"/>
        </w:rPr>
        <w:t>3</w:t>
      </w:r>
      <w:r>
        <w:rPr>
          <w:rFonts w:hint="eastAsia" w:ascii="宋体" w:hAnsi="宋体" w:eastAsia="宋体"/>
          <w:color w:val="auto"/>
          <w:sz w:val="24"/>
        </w:rPr>
        <w:t>）</w:t>
      </w:r>
      <w:r>
        <w:rPr>
          <w:rFonts w:ascii="宋体" w:hAnsi="宋体" w:eastAsia="宋体"/>
          <w:color w:val="auto"/>
          <w:sz w:val="24"/>
        </w:rPr>
        <w:t>为避免油田开发过程中污染物随地表径流进入周边灌溉渠，在生产过程中严格管理，杜绝含油污水及污油的随意排放；生产过程中修井及其它井下作业通过安装防喷器、卸油器、作业污水回收装置、井口溢流控制器等井口及井下装置，防止井喷、泄漏等事故的发生，减少含油污泥的产生量，一旦发生原油落地，全部及时回收。</w:t>
      </w:r>
    </w:p>
    <w:p w14:paraId="103E0C96">
      <w:pPr>
        <w:spacing w:line="440" w:lineRule="exact"/>
        <w:ind w:firstLine="480" w:firstLineChars="200"/>
        <w:rPr>
          <w:rFonts w:ascii="宋体" w:hAnsi="宋体" w:eastAsia="宋体"/>
          <w:color w:val="auto"/>
          <w:sz w:val="24"/>
        </w:rPr>
      </w:pPr>
      <w:r>
        <w:rPr>
          <w:rFonts w:ascii="宋体" w:hAnsi="宋体" w:eastAsia="宋体"/>
          <w:color w:val="auto"/>
          <w:sz w:val="24"/>
        </w:rPr>
        <w:t>4</w:t>
      </w:r>
      <w:r>
        <w:rPr>
          <w:rFonts w:hint="eastAsia" w:ascii="宋体" w:hAnsi="宋体" w:eastAsia="宋体"/>
          <w:color w:val="auto"/>
          <w:sz w:val="24"/>
        </w:rPr>
        <w:t>）</w:t>
      </w:r>
      <w:r>
        <w:rPr>
          <w:rFonts w:ascii="宋体" w:hAnsi="宋体" w:eastAsia="宋体"/>
          <w:color w:val="auto"/>
          <w:sz w:val="24"/>
        </w:rPr>
        <w:t>集油管线采用无缝钢管，内缠聚乙烯胶带硬质聚氨酯塑料夹克保温管，能有效防止管线泄漏，同时定期对管线检查、维修，确保各部分的使用性能；</w:t>
      </w:r>
    </w:p>
    <w:p w14:paraId="37758613">
      <w:pPr>
        <w:spacing w:line="440" w:lineRule="exact"/>
        <w:ind w:firstLine="480" w:firstLineChars="200"/>
        <w:rPr>
          <w:rFonts w:ascii="宋体" w:hAnsi="宋体" w:eastAsia="宋体"/>
          <w:color w:val="auto"/>
          <w:sz w:val="24"/>
        </w:rPr>
      </w:pPr>
      <w:r>
        <w:rPr>
          <w:rFonts w:ascii="宋体" w:hAnsi="宋体" w:eastAsia="宋体"/>
          <w:color w:val="auto"/>
          <w:sz w:val="24"/>
        </w:rPr>
        <w:t>5</w:t>
      </w:r>
      <w:r>
        <w:rPr>
          <w:rFonts w:hint="eastAsia" w:ascii="宋体" w:hAnsi="宋体" w:eastAsia="宋体"/>
          <w:color w:val="auto"/>
          <w:sz w:val="24"/>
        </w:rPr>
        <w:t>）</w:t>
      </w:r>
      <w:r>
        <w:rPr>
          <w:rFonts w:ascii="宋体" w:hAnsi="宋体" w:eastAsia="宋体"/>
          <w:color w:val="auto"/>
          <w:sz w:val="24"/>
        </w:rPr>
        <w:t>在进行油井井下作业和油井洗井时，严格按照要求使用污油污水回收装置、油管清洗污水回收装置及罐车对作业污水进行回收，防止作业产生的污油污水进入周围环境。同时限制作业范围，严格控制在井场占地范围内，完工后，将井场平整清理干净，不得遗留油污；</w:t>
      </w:r>
    </w:p>
    <w:p w14:paraId="32A5477E">
      <w:pPr>
        <w:spacing w:line="440" w:lineRule="exact"/>
        <w:ind w:firstLine="480" w:firstLineChars="200"/>
        <w:rPr>
          <w:rFonts w:ascii="宋体" w:hAnsi="宋体" w:eastAsia="宋体"/>
          <w:color w:val="auto"/>
          <w:sz w:val="24"/>
        </w:rPr>
      </w:pPr>
      <w:r>
        <w:rPr>
          <w:rFonts w:ascii="宋体" w:hAnsi="宋体" w:eastAsia="宋体"/>
          <w:color w:val="auto"/>
          <w:sz w:val="24"/>
        </w:rPr>
        <w:t>6</w:t>
      </w:r>
      <w:r>
        <w:rPr>
          <w:rFonts w:hint="eastAsia" w:ascii="宋体" w:hAnsi="宋体" w:eastAsia="宋体"/>
          <w:color w:val="auto"/>
          <w:sz w:val="24"/>
        </w:rPr>
        <w:t>）</w:t>
      </w:r>
      <w:r>
        <w:rPr>
          <w:rFonts w:ascii="宋体" w:hAnsi="宋体" w:eastAsia="宋体"/>
          <w:color w:val="auto"/>
          <w:sz w:val="24"/>
        </w:rPr>
        <w:t>新建集中拉油点采用数字化建设，配套视频监控系统，全部数据接入第八作业区指挥中心，实时监控拉油点运行状态。小队定期巡检，每天有专职人员对油井及管线进行检查，巡检次数至少为1次/d，雨季等特殊天气增加巡检次数，若管线泄漏应及时关闭切断阀，同时确保应急工具和设备齐备完好。准备围油栏、吸油毡、消油剂、接油桶等应急物资，以便在发生泄漏事故时对产生的污油污水进行及时回收和处理，避免对周围地表水环境产生大面积污染。</w:t>
      </w:r>
    </w:p>
    <w:p w14:paraId="09B47648">
      <w:pPr>
        <w:spacing w:line="440" w:lineRule="exact"/>
        <w:ind w:firstLine="480" w:firstLineChars="200"/>
        <w:rPr>
          <w:rFonts w:ascii="宋体" w:hAnsi="宋体" w:eastAsia="宋体"/>
          <w:color w:val="auto"/>
          <w:sz w:val="24"/>
        </w:rPr>
      </w:pPr>
      <w:r>
        <w:rPr>
          <w:rFonts w:ascii="宋体" w:hAnsi="宋体" w:eastAsia="宋体"/>
          <w:color w:val="auto"/>
          <w:sz w:val="24"/>
        </w:rPr>
        <w:t>综上所述，正常生产情况下，项目开发建设采取较为完善的环境保护措施，对周围环境不会产生不良影响。</w:t>
      </w:r>
    </w:p>
    <w:p w14:paraId="6B2A62E6">
      <w:pPr>
        <w:spacing w:line="440" w:lineRule="exact"/>
        <w:ind w:firstLine="480" w:firstLineChars="200"/>
        <w:rPr>
          <w:rFonts w:ascii="宋体" w:hAnsi="宋体" w:eastAsia="宋体"/>
          <w:color w:val="auto"/>
          <w:sz w:val="24"/>
        </w:rPr>
      </w:pPr>
      <w:r>
        <w:rPr>
          <w:rFonts w:ascii="宋体" w:hAnsi="宋体" w:eastAsia="宋体"/>
          <w:color w:val="auto"/>
          <w:sz w:val="24"/>
        </w:rPr>
        <w:t>（2）依托污水处理站的环境可行性</w:t>
      </w:r>
    </w:p>
    <w:p w14:paraId="5420FAFA">
      <w:pPr>
        <w:spacing w:line="440" w:lineRule="exact"/>
        <w:ind w:firstLine="480" w:firstLineChars="200"/>
        <w:rPr>
          <w:rFonts w:ascii="宋体" w:hAnsi="宋体" w:eastAsia="宋体"/>
          <w:color w:val="auto"/>
          <w:sz w:val="24"/>
        </w:rPr>
      </w:pPr>
      <w:r>
        <w:rPr>
          <w:rFonts w:ascii="宋体" w:hAnsi="宋体" w:eastAsia="宋体"/>
          <w:color w:val="auto"/>
          <w:sz w:val="24"/>
        </w:rPr>
        <w:t>1</w:t>
      </w:r>
      <w:r>
        <w:rPr>
          <w:rFonts w:hint="eastAsia" w:ascii="宋体" w:hAnsi="宋体" w:eastAsia="宋体"/>
          <w:color w:val="auto"/>
          <w:sz w:val="24"/>
        </w:rPr>
        <w:t>）</w:t>
      </w:r>
      <w:r>
        <w:rPr>
          <w:rFonts w:ascii="宋体" w:hAnsi="宋体" w:eastAsia="宋体"/>
          <w:color w:val="auto"/>
          <w:sz w:val="24"/>
        </w:rPr>
        <w:t>污水站处理工艺及处理能力可行性分析</w:t>
      </w:r>
    </w:p>
    <w:p w14:paraId="1049388B">
      <w:pPr>
        <w:pStyle w:val="276"/>
        <w:widowControl w:val="0"/>
        <w:ind w:firstLine="480"/>
        <w:jc w:val="both"/>
        <w:rPr>
          <w:color w:val="auto"/>
          <w:lang w:val="de-DE"/>
        </w:rPr>
      </w:pPr>
      <w:r>
        <w:rPr>
          <w:color w:val="auto"/>
          <w:kern w:val="2"/>
          <w:lang w:val="de-DE"/>
        </w:rPr>
        <w:t>本项目</w:t>
      </w:r>
      <w:r>
        <w:rPr>
          <w:color w:val="auto"/>
          <w:kern w:val="2"/>
        </w:rPr>
        <w:t>4</w:t>
      </w:r>
      <w:r>
        <w:rPr>
          <w:color w:val="auto"/>
          <w:kern w:val="2"/>
          <w:lang w:val="de-DE"/>
        </w:rPr>
        <w:t>口</w:t>
      </w:r>
      <w:r>
        <w:rPr>
          <w:color w:val="auto"/>
          <w:kern w:val="2"/>
        </w:rPr>
        <w:t>油井采出水</w:t>
      </w:r>
      <w:r>
        <w:rPr>
          <w:color w:val="auto"/>
          <w:kern w:val="2"/>
          <w:lang w:val="de-DE"/>
        </w:rPr>
        <w:t>依托</w:t>
      </w:r>
      <w:r>
        <w:rPr>
          <w:color w:val="auto"/>
          <w:kern w:val="2"/>
        </w:rPr>
        <w:t>朝二联含油污水处理站</w:t>
      </w:r>
      <w:r>
        <w:rPr>
          <w:color w:val="auto"/>
          <w:kern w:val="2"/>
          <w:lang w:val="de-DE"/>
        </w:rPr>
        <w:t>处理，朝二联含油污水处理站2000年投产运行，采用</w:t>
      </w:r>
      <w:r>
        <w:rPr>
          <w:color w:val="auto"/>
          <w:kern w:val="2"/>
        </w:rPr>
        <w:t>“原水→沉降罐→气浮除油→轴向动态反冲洗过滤罐→连续反冲洗过滤罐→膜过滤” 工艺流程，</w:t>
      </w:r>
      <w:r>
        <w:rPr>
          <w:color w:val="auto"/>
          <w:kern w:val="2"/>
          <w:lang w:val="de-DE"/>
        </w:rPr>
        <w:t>设计出水水质指标为</w:t>
      </w:r>
      <w:r>
        <w:rPr>
          <w:color w:val="auto"/>
          <w:kern w:val="2"/>
        </w:rPr>
        <w:t>含油量≤5mg/L、悬浮固体含量≤1mg/L</w:t>
      </w:r>
      <w:r>
        <w:rPr>
          <w:color w:val="auto"/>
          <w:kern w:val="2"/>
          <w:lang w:val="de-DE"/>
        </w:rPr>
        <w:t>，设计污水处理量为</w:t>
      </w:r>
      <w:r>
        <w:rPr>
          <w:color w:val="auto"/>
          <w:kern w:val="2"/>
        </w:rPr>
        <w:t>2000m</w:t>
      </w:r>
      <w:r>
        <w:rPr>
          <w:color w:val="auto"/>
          <w:kern w:val="2"/>
          <w:vertAlign w:val="superscript"/>
        </w:rPr>
        <w:t>3</w:t>
      </w:r>
      <w:r>
        <w:rPr>
          <w:color w:val="auto"/>
          <w:kern w:val="2"/>
        </w:rPr>
        <w:t>/d，</w:t>
      </w:r>
      <w:r>
        <w:rPr>
          <w:color w:val="auto"/>
          <w:kern w:val="2"/>
          <w:lang w:val="de-DE"/>
        </w:rPr>
        <w:t>目前实际污水处理量为</w:t>
      </w:r>
      <w:r>
        <w:rPr>
          <w:color w:val="auto"/>
          <w:kern w:val="2"/>
        </w:rPr>
        <w:t>1218</w:t>
      </w:r>
      <w:r>
        <w:rPr>
          <w:color w:val="auto"/>
          <w:kern w:val="2"/>
          <w:lang w:val="de-DE"/>
        </w:rPr>
        <w:t>m</w:t>
      </w:r>
      <w:r>
        <w:rPr>
          <w:color w:val="auto"/>
          <w:kern w:val="2"/>
          <w:vertAlign w:val="superscript"/>
          <w:lang w:val="de-DE"/>
        </w:rPr>
        <w:t>3</w:t>
      </w:r>
      <w:r>
        <w:rPr>
          <w:color w:val="auto"/>
          <w:kern w:val="2"/>
          <w:lang w:val="de-DE"/>
        </w:rPr>
        <w:t>/d，本项目</w:t>
      </w:r>
      <w:r>
        <w:rPr>
          <w:rFonts w:hint="eastAsia"/>
          <w:color w:val="auto"/>
          <w:kern w:val="2"/>
        </w:rPr>
        <w:t>4</w:t>
      </w:r>
      <w:r>
        <w:rPr>
          <w:color w:val="auto"/>
          <w:kern w:val="2"/>
          <w:lang w:val="de-DE"/>
        </w:rPr>
        <w:t>口</w:t>
      </w:r>
      <w:r>
        <w:rPr>
          <w:color w:val="auto"/>
          <w:kern w:val="2"/>
        </w:rPr>
        <w:t>油井投产初期最大采出水量</w:t>
      </w:r>
      <w:r>
        <w:rPr>
          <w:color w:val="auto"/>
          <w:kern w:val="2"/>
          <w:lang w:val="de-DE"/>
        </w:rPr>
        <w:t>为</w:t>
      </w:r>
      <w:r>
        <w:rPr>
          <w:rFonts w:hint="eastAsia"/>
          <w:color w:val="auto"/>
          <w:kern w:val="2"/>
        </w:rPr>
        <w:t>72</w:t>
      </w:r>
      <w:r>
        <w:rPr>
          <w:color w:val="auto"/>
          <w:kern w:val="2"/>
          <w:lang w:val="de-DE"/>
        </w:rPr>
        <w:t>t/d，新增本项目采出水后处理量为</w:t>
      </w:r>
      <w:r>
        <w:rPr>
          <w:rFonts w:hint="eastAsia"/>
          <w:color w:val="auto"/>
          <w:kern w:val="2"/>
        </w:rPr>
        <w:t>1290</w:t>
      </w:r>
      <w:r>
        <w:rPr>
          <w:color w:val="auto"/>
          <w:kern w:val="2"/>
          <w:lang w:val="de-DE"/>
        </w:rPr>
        <w:t>m</w:t>
      </w:r>
      <w:r>
        <w:rPr>
          <w:color w:val="auto"/>
          <w:kern w:val="2"/>
          <w:vertAlign w:val="superscript"/>
          <w:lang w:val="de-DE"/>
        </w:rPr>
        <w:t>3</w:t>
      </w:r>
      <w:r>
        <w:rPr>
          <w:color w:val="auto"/>
          <w:kern w:val="2"/>
          <w:lang w:val="de-DE"/>
        </w:rPr>
        <w:t>/d，负荷率为</w:t>
      </w:r>
      <w:r>
        <w:rPr>
          <w:rFonts w:hint="eastAsia"/>
          <w:color w:val="auto"/>
          <w:kern w:val="2"/>
        </w:rPr>
        <w:t>64.5</w:t>
      </w:r>
      <w:r>
        <w:rPr>
          <w:color w:val="auto"/>
          <w:kern w:val="2"/>
          <w:lang w:val="de-DE"/>
        </w:rPr>
        <w:t>%，满足依托需求</w:t>
      </w:r>
      <w:r>
        <w:rPr>
          <w:color w:val="auto"/>
          <w:lang w:val="de-DE"/>
        </w:rPr>
        <w:t>。</w:t>
      </w:r>
    </w:p>
    <w:p w14:paraId="640AD94D">
      <w:pPr>
        <w:spacing w:line="440" w:lineRule="exact"/>
        <w:ind w:firstLine="480" w:firstLineChars="200"/>
        <w:rPr>
          <w:rFonts w:ascii="宋体" w:hAnsi="宋体" w:eastAsia="宋体"/>
          <w:color w:val="auto"/>
          <w:sz w:val="24"/>
        </w:rPr>
      </w:pPr>
      <w:r>
        <w:rPr>
          <w:rFonts w:ascii="宋体" w:hAnsi="宋体" w:eastAsia="宋体"/>
          <w:color w:val="auto"/>
          <w:sz w:val="24"/>
        </w:rPr>
        <w:t>2</w:t>
      </w:r>
      <w:r>
        <w:rPr>
          <w:rFonts w:hint="eastAsia" w:ascii="宋体" w:hAnsi="宋体" w:eastAsia="宋体"/>
          <w:color w:val="auto"/>
          <w:sz w:val="24"/>
        </w:rPr>
        <w:t>）</w:t>
      </w:r>
      <w:r>
        <w:rPr>
          <w:rFonts w:ascii="宋体" w:hAnsi="宋体" w:eastAsia="宋体"/>
          <w:color w:val="auto"/>
          <w:sz w:val="24"/>
        </w:rPr>
        <w:t>污水站处理达标后回注的环境可行性分析</w:t>
      </w:r>
    </w:p>
    <w:p w14:paraId="0F3F50A4">
      <w:pPr>
        <w:spacing w:line="440" w:lineRule="exact"/>
        <w:ind w:firstLine="480" w:firstLineChars="200"/>
        <w:rPr>
          <w:rFonts w:ascii="宋体" w:hAnsi="宋体" w:eastAsia="宋体"/>
          <w:color w:val="auto"/>
          <w:sz w:val="24"/>
        </w:rPr>
      </w:pPr>
      <w:r>
        <w:rPr>
          <w:rFonts w:ascii="宋体" w:hAnsi="宋体" w:eastAsia="宋体"/>
          <w:color w:val="auto"/>
          <w:sz w:val="24"/>
        </w:rPr>
        <w:t>根据调查，朝二联所属区域注水井回注层位与油井开采层位相同，属于回注到现役油气藏层位。</w:t>
      </w:r>
    </w:p>
    <w:p w14:paraId="0B056C1D">
      <w:pPr>
        <w:spacing w:line="440" w:lineRule="exact"/>
        <w:ind w:firstLine="420" w:firstLineChars="200"/>
        <w:rPr>
          <w:rFonts w:ascii="宋体" w:hAnsi="宋体" w:eastAsia="宋体" w:cs="Times New Roman"/>
          <w:b/>
          <w:bCs/>
          <w:color w:val="auto"/>
          <w:szCs w:val="28"/>
        </w:rPr>
      </w:pPr>
      <w:r>
        <w:rPr>
          <w:color w:val="auto"/>
        </w:rPr>
        <w:t>本次委托大庆中环评价检测有限公司于2025年8月17日-18日对</w:t>
      </w:r>
      <w:r>
        <w:rPr>
          <w:color w:val="auto"/>
          <w:szCs w:val="20"/>
        </w:rPr>
        <w:t>朝二联含油污水处理站</w:t>
      </w:r>
      <w:r>
        <w:rPr>
          <w:color w:val="auto"/>
        </w:rPr>
        <w:t>的监测结果可知（见附件7），处理后的污水含油量为0.97-1.28mg/L，悬浮固体含量为1mg/L，项目依托污水站满足《大庆油田地面工程建设设计规定》（Q/SYDQ0639-2015）及《碎屑岩油藏注水水质指标技术要求及分析方法》（SY/T5329-2022）限值要求，处理后污水回注油层，符合《关于进一步加强石油天然气行业环境影响评价管理的通知》</w:t>
      </w:r>
      <w:r>
        <w:rPr>
          <w:rFonts w:ascii="宋体" w:hAnsi="宋体" w:eastAsia="宋体" w:cs="Times New Roman"/>
          <w:b/>
          <w:bCs/>
          <w:color w:val="auto"/>
          <w:szCs w:val="28"/>
        </w:rPr>
        <w:t>（环办环评函〔2019〕910 号）中相关要求。</w:t>
      </w:r>
    </w:p>
    <w:p w14:paraId="6A11416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非正常工况下地表水环境影响分析</w:t>
      </w:r>
    </w:p>
    <w:p w14:paraId="33077825">
      <w:pPr>
        <w:spacing w:line="440" w:lineRule="exact"/>
        <w:ind w:firstLine="480" w:firstLineChars="200"/>
        <w:rPr>
          <w:rFonts w:ascii="宋体" w:hAnsi="宋体" w:eastAsia="宋体"/>
          <w:color w:val="auto"/>
          <w:sz w:val="24"/>
        </w:rPr>
      </w:pPr>
      <w:r>
        <w:rPr>
          <w:rFonts w:ascii="宋体" w:hAnsi="宋体" w:eastAsia="宋体"/>
          <w:color w:val="auto"/>
          <w:sz w:val="24"/>
        </w:rPr>
        <w:t>非正常工况下对地表水体构成污染的污染源主要为作业污水地表径流可能携带部分落地油进入水环境。根据前述工程分析可知：</w:t>
      </w:r>
    </w:p>
    <w:p w14:paraId="4098E7DA">
      <w:pPr>
        <w:spacing w:line="440" w:lineRule="exact"/>
        <w:ind w:firstLine="480" w:firstLineChars="200"/>
        <w:rPr>
          <w:rFonts w:ascii="宋体" w:hAnsi="宋体" w:eastAsia="宋体"/>
          <w:color w:val="auto"/>
          <w:sz w:val="24"/>
        </w:rPr>
      </w:pPr>
      <w:r>
        <w:rPr>
          <w:rFonts w:ascii="宋体" w:hAnsi="宋体" w:eastAsia="宋体"/>
          <w:color w:val="auto"/>
          <w:sz w:val="24"/>
        </w:rPr>
        <w:t>（1）油井作业过程中使用作业污油污水回收装置、油管清洗污水回收装置对作业污水进行回收。油井作业时泄漏出的污油污水限定在井场范围内，通过带有自吸泵的污油污水回收装置将泄漏出的污油污水回收处理，不进入外环境。</w:t>
      </w:r>
    </w:p>
    <w:p w14:paraId="450369D1">
      <w:pPr>
        <w:spacing w:line="440" w:lineRule="exact"/>
        <w:ind w:firstLine="480" w:firstLineChars="200"/>
        <w:rPr>
          <w:rFonts w:ascii="宋体" w:hAnsi="宋体" w:eastAsia="宋体"/>
          <w:color w:val="auto"/>
          <w:sz w:val="24"/>
        </w:rPr>
      </w:pPr>
      <w:r>
        <w:rPr>
          <w:rFonts w:ascii="宋体" w:hAnsi="宋体" w:eastAsia="宋体"/>
          <w:color w:val="auto"/>
          <w:sz w:val="24"/>
        </w:rPr>
        <w:t>（2）作业过程中严格限制作业范围，作业范围不超出井场占地范围外，作业期间油井井场作业区域四周设置临时围堰，作业过程中跑、冒、滴、漏产生的油水不会污染外环境。</w:t>
      </w:r>
    </w:p>
    <w:p w14:paraId="2EFF45AD">
      <w:pPr>
        <w:spacing w:line="440" w:lineRule="exact"/>
        <w:ind w:firstLine="480" w:firstLineChars="200"/>
        <w:rPr>
          <w:rFonts w:ascii="宋体" w:hAnsi="宋体" w:eastAsia="宋体"/>
          <w:color w:val="auto"/>
          <w:sz w:val="24"/>
        </w:rPr>
      </w:pPr>
      <w:r>
        <w:rPr>
          <w:rFonts w:ascii="宋体" w:hAnsi="宋体" w:eastAsia="宋体"/>
          <w:color w:val="auto"/>
          <w:sz w:val="24"/>
        </w:rPr>
        <w:t>（3）本项目对落地油采取了及时回收措施，回收率100%，并禁止在雨季进行油井作业，因此，地表径流不会对周边水渠产生影响。</w:t>
      </w:r>
    </w:p>
    <w:p w14:paraId="1220D405">
      <w:pPr>
        <w:spacing w:line="440" w:lineRule="exact"/>
        <w:ind w:firstLine="480" w:firstLineChars="200"/>
        <w:rPr>
          <w:rFonts w:ascii="宋体" w:hAnsi="宋体" w:eastAsia="宋体"/>
          <w:color w:val="auto"/>
          <w:sz w:val="24"/>
        </w:rPr>
      </w:pPr>
      <w:r>
        <w:rPr>
          <w:rFonts w:ascii="宋体" w:hAnsi="宋体" w:eastAsia="宋体"/>
          <w:color w:val="auto"/>
          <w:sz w:val="24"/>
        </w:rPr>
        <w:t>综上，非正常工况下，通过上述的相应措施，项目对地表水体不会产生影响。</w:t>
      </w:r>
    </w:p>
    <w:p w14:paraId="107272F3">
      <w:pPr>
        <w:pStyle w:val="6"/>
        <w:rPr>
          <w:color w:val="auto"/>
        </w:rPr>
      </w:pPr>
      <w:bookmarkStart w:id="1318" w:name="_Toc85640814"/>
      <w:bookmarkStart w:id="1319" w:name="_Toc126863445"/>
      <w:bookmarkStart w:id="1320" w:name="_Toc86141989"/>
      <w:bookmarkStart w:id="1321" w:name="_Toc127192394"/>
      <w:bookmarkStart w:id="1322" w:name="_Toc131167345"/>
      <w:bookmarkStart w:id="1323" w:name="_Toc143099632"/>
      <w:r>
        <w:rPr>
          <w:color w:val="auto"/>
        </w:rPr>
        <w:t>退役期</w:t>
      </w:r>
    </w:p>
    <w:p w14:paraId="11B0916C">
      <w:pPr>
        <w:spacing w:line="440" w:lineRule="exact"/>
        <w:ind w:firstLine="480" w:firstLineChars="200"/>
        <w:rPr>
          <w:rFonts w:ascii="宋体" w:hAnsi="宋体" w:eastAsia="宋体"/>
          <w:color w:val="auto"/>
          <w:sz w:val="24"/>
        </w:rPr>
      </w:pPr>
      <w:r>
        <w:rPr>
          <w:rFonts w:ascii="宋体" w:hAnsi="宋体" w:eastAsia="宋体"/>
          <w:color w:val="auto"/>
          <w:sz w:val="24"/>
        </w:rPr>
        <w:t>退役期管线内介质均由压缩空气吹扫至拉油点储罐，后续罐车拉运至朝二联集输系统处理，不会对周边地表水产生影响。退役期生活污水排入施工现场临时防渗旱厕，施工结束后拉运至第十采油厂厂区污水泵房，经地下管网输至第十采油厂厂区生活污水处理站处理达标后排入牛毛沟。本项目退役期废水均得到合理有效的处理，不会对区域内地表水体产生不良影响。</w:t>
      </w:r>
    </w:p>
    <w:p w14:paraId="3DC7981A">
      <w:pPr>
        <w:pStyle w:val="6"/>
        <w:rPr>
          <w:color w:val="auto"/>
        </w:rPr>
      </w:pPr>
      <w:r>
        <w:rPr>
          <w:color w:val="auto"/>
        </w:rPr>
        <w:t>地表水环境影响评价结论</w:t>
      </w:r>
      <w:bookmarkEnd w:id="1318"/>
      <w:bookmarkEnd w:id="1319"/>
      <w:bookmarkEnd w:id="1320"/>
      <w:bookmarkEnd w:id="1321"/>
      <w:bookmarkEnd w:id="1322"/>
      <w:bookmarkEnd w:id="1323"/>
    </w:p>
    <w:p w14:paraId="2D22FC4E">
      <w:pPr>
        <w:spacing w:line="440" w:lineRule="exact"/>
        <w:ind w:firstLine="480" w:firstLineChars="200"/>
        <w:rPr>
          <w:rFonts w:ascii="宋体" w:hAnsi="宋体" w:eastAsia="宋体"/>
          <w:color w:val="auto"/>
          <w:sz w:val="24"/>
        </w:rPr>
      </w:pPr>
      <w:r>
        <w:rPr>
          <w:rFonts w:ascii="宋体" w:hAnsi="宋体" w:eastAsia="宋体"/>
          <w:color w:val="auto"/>
          <w:sz w:val="24"/>
        </w:rPr>
        <w:t>本项目在施工期、运营期正常生产及非正常工况、退役期情况下，采取了较为完善的环境保护措施，对地表水环境不会产生不良影响。在事故状态下，尤其是发生拉油点储罐和集输管线泄漏的情况下，若发现或处理不及时会对地表水环境产生一定影响。因此，运营期应加强检测、巡检巡视，及时发现问题及时处理，尽量避免事故的发生，降低事故发生后对环境的影响程度和范围。</w:t>
      </w:r>
    </w:p>
    <w:p w14:paraId="32361487">
      <w:pPr>
        <w:pStyle w:val="5"/>
        <w:rPr>
          <w:bCs w:val="0"/>
          <w:color w:val="auto"/>
        </w:rPr>
      </w:pPr>
      <w:bookmarkStart w:id="1324" w:name="_Toc11011"/>
      <w:bookmarkStart w:id="1325" w:name="_Toc212033034"/>
      <w:r>
        <w:rPr>
          <w:bCs w:val="0"/>
          <w:color w:val="auto"/>
        </w:rPr>
        <w:t>地下水环境影响预测与评价</w:t>
      </w:r>
      <w:bookmarkEnd w:id="1324"/>
      <w:bookmarkEnd w:id="1325"/>
    </w:p>
    <w:p w14:paraId="5FBE50DD">
      <w:pPr>
        <w:pStyle w:val="6"/>
        <w:rPr>
          <w:color w:val="auto"/>
        </w:rPr>
      </w:pPr>
      <w:bookmarkStart w:id="1326" w:name="_Toc70050236"/>
      <w:bookmarkStart w:id="1327" w:name="_Toc143099634"/>
      <w:bookmarkStart w:id="1328" w:name="_Toc80588311"/>
      <w:bookmarkStart w:id="1329" w:name="_Toc127192396"/>
      <w:bookmarkStart w:id="1330" w:name="_Toc84929288"/>
      <w:bookmarkStart w:id="1331" w:name="_Toc83209533"/>
      <w:bookmarkStart w:id="1332" w:name="_Toc67860187"/>
      <w:bookmarkStart w:id="1333" w:name="_Toc126863447"/>
      <w:bookmarkStart w:id="1334" w:name="_Toc80971433"/>
      <w:bookmarkStart w:id="1335" w:name="_Toc78816516"/>
      <w:bookmarkStart w:id="1336" w:name="_Toc76976301"/>
      <w:bookmarkStart w:id="1337" w:name="_Toc85640816"/>
      <w:bookmarkStart w:id="1338" w:name="_Toc77067713"/>
      <w:bookmarkStart w:id="1339" w:name="_Toc131167347"/>
      <w:bookmarkStart w:id="1340" w:name="_Toc86141991"/>
      <w:r>
        <w:rPr>
          <w:color w:val="auto"/>
        </w:rPr>
        <w:t>正常情况下地下水环境影响分析</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2331159D">
      <w:pPr>
        <w:pStyle w:val="276"/>
        <w:widowControl w:val="0"/>
        <w:ind w:firstLine="480"/>
        <w:jc w:val="both"/>
        <w:rPr>
          <w:color w:val="auto"/>
          <w:lang w:val="zh-CN"/>
        </w:rPr>
      </w:pPr>
      <w:r>
        <w:rPr>
          <w:color w:val="auto"/>
          <w:lang w:val="zh-CN"/>
        </w:rPr>
        <w:t>（1）施工期</w:t>
      </w:r>
    </w:p>
    <w:p w14:paraId="2D16EE05">
      <w:pPr>
        <w:pStyle w:val="276"/>
        <w:widowControl w:val="0"/>
        <w:ind w:firstLine="480"/>
        <w:jc w:val="both"/>
        <w:rPr>
          <w:color w:val="auto"/>
          <w:lang w:val="zh-CN"/>
        </w:rPr>
      </w:pPr>
      <w:r>
        <w:rPr>
          <w:color w:val="auto"/>
          <w:lang w:val="zh-CN"/>
        </w:rPr>
        <w:t>1</w:t>
      </w:r>
      <w:r>
        <w:rPr>
          <w:rFonts w:hint="eastAsia"/>
          <w:color w:val="auto"/>
          <w:lang w:val="zh-CN"/>
        </w:rPr>
        <w:t>）</w:t>
      </w:r>
      <w:r>
        <w:rPr>
          <w:color w:val="auto"/>
          <w:lang w:val="zh-CN"/>
        </w:rPr>
        <w:t>钻井过程对地下水环境影响分析</w:t>
      </w:r>
    </w:p>
    <w:p w14:paraId="63B60251">
      <w:pPr>
        <w:pStyle w:val="276"/>
        <w:widowControl w:val="0"/>
        <w:ind w:firstLine="480"/>
        <w:jc w:val="both"/>
        <w:rPr>
          <w:color w:val="auto"/>
          <w:lang w:val="zh-CN"/>
        </w:rPr>
      </w:pPr>
      <w:r>
        <w:rPr>
          <w:color w:val="auto"/>
          <w:lang w:val="zh-CN"/>
        </w:rPr>
        <w:t>本项目钻井期对地下水可能造成的影响主要是钻井过程中钻遇含水层时钻井液漏失对地下水造成影响。若漏失地层存在较多的裂隙时，漏失的钻井液就有可能沿着岩层裂隙进入地下水造成地下水污染。</w:t>
      </w:r>
    </w:p>
    <w:p w14:paraId="5883C8B9">
      <w:pPr>
        <w:pStyle w:val="276"/>
        <w:widowControl w:val="0"/>
        <w:ind w:firstLine="480"/>
        <w:jc w:val="both"/>
        <w:rPr>
          <w:color w:val="auto"/>
          <w:lang w:val="zh-CN"/>
        </w:rPr>
      </w:pPr>
      <w:r>
        <w:rPr>
          <w:color w:val="auto"/>
          <w:lang w:val="zh-CN"/>
        </w:rPr>
        <w:t>钻井期间，为防止钻井泥浆上返地面后对土壤的污染，井场设钢制泥浆槽，泥浆不落地；钻井过程中使用双层套管，以保护地下水不受污染；表层套管和油层套管固井水泥浆必须返至井口，确保安全封闭此深度内的地下水层，同时封固地表疏松地层，为井口控制和后续完井采用预应力固井创造条件；尽可能缩短水泥胶的稠化时间减少对地层水的污染；慎重使用水泥外加剂，表套固井不使用带毒性的水泥外加剂；提高钻井速度，减少钻井泥浆对地层水的污染及浸泡时间；固井水泥返高要求返至油层以上100m，确保完全封闭此深度内的潜水层和承压水层，保证地下水质安全。结合油田多年钻井的实际经验可知，在固井质量可靠的基础上，一般井管泄漏的可能性极小。即使发生泄漏，固井时已采用加套管等防护措施，正常情况下不会对地下水产生影响。</w:t>
      </w:r>
    </w:p>
    <w:p w14:paraId="52B83F3E">
      <w:pPr>
        <w:pStyle w:val="276"/>
        <w:widowControl w:val="0"/>
        <w:ind w:firstLine="480"/>
        <w:jc w:val="both"/>
        <w:rPr>
          <w:color w:val="auto"/>
          <w:lang w:val="zh-CN"/>
        </w:rPr>
      </w:pPr>
      <w:r>
        <w:rPr>
          <w:color w:val="auto"/>
          <w:lang w:val="zh-CN"/>
        </w:rPr>
        <w:t>2</w:t>
      </w:r>
      <w:r>
        <w:rPr>
          <w:rFonts w:hint="eastAsia"/>
          <w:color w:val="auto"/>
          <w:lang w:val="zh-CN"/>
        </w:rPr>
        <w:t>）</w:t>
      </w:r>
      <w:r>
        <w:rPr>
          <w:color w:val="auto"/>
          <w:lang w:val="zh-CN"/>
        </w:rPr>
        <w:t>压裂对地下水环境影响分析</w:t>
      </w:r>
    </w:p>
    <w:p w14:paraId="015F05CB">
      <w:pPr>
        <w:pStyle w:val="276"/>
        <w:widowControl w:val="0"/>
        <w:ind w:firstLine="480"/>
        <w:jc w:val="both"/>
        <w:rPr>
          <w:color w:val="auto"/>
          <w:lang w:val="zh-CN"/>
        </w:rPr>
      </w:pPr>
      <w:r>
        <w:rPr>
          <w:color w:val="auto"/>
          <w:lang w:val="zh-CN"/>
        </w:rPr>
        <w:t>油气层压裂工艺采用压裂车，把高压大排量具有一定粘度的液体通过井筒挤入油层，当把油层压出许多裂缝后，加入支撑剂充填进裂缝，提高油层的渗透能力，以增加产油量。在固井质量可靠，并采用加套管等防护措施的基础上，一般井管压裂液泄漏的可能性极小。本项目采用无毒、低毒的环境友好型压裂液，压裂实施过程中加强现场监督，产生的压裂返排液直接进入罐车，不落地，因此正常情况下不会对地下水产生影响。</w:t>
      </w:r>
    </w:p>
    <w:p w14:paraId="356DEF2C">
      <w:pPr>
        <w:pStyle w:val="276"/>
        <w:widowControl w:val="0"/>
        <w:ind w:firstLine="480"/>
        <w:jc w:val="both"/>
        <w:rPr>
          <w:color w:val="auto"/>
          <w:lang w:val="zh-CN"/>
        </w:rPr>
      </w:pPr>
      <w:r>
        <w:rPr>
          <w:color w:val="auto"/>
          <w:lang w:val="zh-CN"/>
        </w:rPr>
        <w:t>3</w:t>
      </w:r>
      <w:r>
        <w:rPr>
          <w:rFonts w:hint="eastAsia"/>
          <w:color w:val="auto"/>
          <w:lang w:val="zh-CN"/>
        </w:rPr>
        <w:t>）</w:t>
      </w:r>
      <w:r>
        <w:rPr>
          <w:color w:val="auto"/>
          <w:lang w:val="zh-CN"/>
        </w:rPr>
        <w:t>试油产液</w:t>
      </w:r>
      <w:r>
        <w:rPr>
          <w:rFonts w:hint="eastAsia"/>
          <w:color w:val="auto"/>
          <w:lang w:val="zh-CN"/>
        </w:rPr>
        <w:t>泄漏</w:t>
      </w:r>
      <w:r>
        <w:rPr>
          <w:color w:val="auto"/>
          <w:lang w:val="zh-CN"/>
        </w:rPr>
        <w:t>对地下水影响分析</w:t>
      </w:r>
    </w:p>
    <w:p w14:paraId="557D4E31">
      <w:pPr>
        <w:pStyle w:val="276"/>
        <w:widowControl w:val="0"/>
        <w:ind w:firstLine="480"/>
        <w:jc w:val="both"/>
        <w:rPr>
          <w:color w:val="auto"/>
          <w:lang w:val="zh-CN"/>
        </w:rPr>
      </w:pPr>
      <w:r>
        <w:rPr>
          <w:color w:val="auto"/>
          <w:lang w:val="zh-CN"/>
        </w:rPr>
        <w:t>试油过程存在试油产液</w:t>
      </w:r>
      <w:r>
        <w:rPr>
          <w:rFonts w:hint="eastAsia"/>
          <w:color w:val="auto"/>
          <w:lang w:val="zh-CN"/>
        </w:rPr>
        <w:t>泄漏</w:t>
      </w:r>
      <w:r>
        <w:rPr>
          <w:color w:val="auto"/>
          <w:lang w:val="zh-CN"/>
        </w:rPr>
        <w:t>的可能性，本项目试油产液采用抽汲方法采出后不落地，直接进入罐车，作业全过程铺设防渗布，拉油罐车密闭运输，试油产液</w:t>
      </w:r>
      <w:r>
        <w:rPr>
          <w:rFonts w:hint="eastAsia"/>
          <w:color w:val="auto"/>
          <w:lang w:val="zh-CN"/>
        </w:rPr>
        <w:t>泄漏</w:t>
      </w:r>
      <w:r>
        <w:rPr>
          <w:color w:val="auto"/>
          <w:lang w:val="zh-CN"/>
        </w:rPr>
        <w:t>的可能性很小，因此不会对地下水产生大的影响。</w:t>
      </w:r>
    </w:p>
    <w:p w14:paraId="432D7F9F">
      <w:pPr>
        <w:pStyle w:val="276"/>
        <w:widowControl w:val="0"/>
        <w:ind w:firstLine="480"/>
        <w:jc w:val="both"/>
        <w:rPr>
          <w:color w:val="auto"/>
          <w:lang w:val="zh-CN"/>
        </w:rPr>
      </w:pPr>
      <w:r>
        <w:rPr>
          <w:color w:val="auto"/>
          <w:lang w:val="zh-CN"/>
        </w:rPr>
        <w:t>4</w:t>
      </w:r>
      <w:r>
        <w:rPr>
          <w:rFonts w:hint="eastAsia"/>
          <w:color w:val="auto"/>
          <w:lang w:val="zh-CN"/>
        </w:rPr>
        <w:t>）</w:t>
      </w:r>
      <w:r>
        <w:rPr>
          <w:color w:val="auto"/>
          <w:lang w:val="zh-CN"/>
        </w:rPr>
        <w:t>井场防渗旱厕对地下水环境影响分析</w:t>
      </w:r>
    </w:p>
    <w:p w14:paraId="4385DE17">
      <w:pPr>
        <w:pStyle w:val="276"/>
        <w:widowControl w:val="0"/>
        <w:ind w:firstLine="480"/>
        <w:jc w:val="both"/>
        <w:rPr>
          <w:color w:val="auto"/>
          <w:lang w:val="zh-CN"/>
        </w:rPr>
      </w:pPr>
      <w:r>
        <w:rPr>
          <w:color w:val="auto"/>
          <w:lang w:val="zh-CN"/>
        </w:rPr>
        <w:t>施工场地的生活污水经临时防渗旱厕收集，生活污水量少且是短期行为，生活污水定期拉运至第十采油厂厂区污水泵房，经地下管网输至第十采油厂厂区生活污水处理站处理达标后排入牛毛沟。临时防渗旱厕进行卫生处理，场地进行平整。</w:t>
      </w:r>
    </w:p>
    <w:p w14:paraId="01A5DE58">
      <w:pPr>
        <w:pStyle w:val="276"/>
        <w:widowControl w:val="0"/>
        <w:ind w:firstLine="480"/>
        <w:jc w:val="both"/>
        <w:rPr>
          <w:color w:val="auto"/>
          <w:lang w:val="zh-CN"/>
        </w:rPr>
      </w:pPr>
      <w:r>
        <w:rPr>
          <w:color w:val="auto"/>
          <w:lang w:val="zh-CN"/>
        </w:rPr>
        <w:t>5</w:t>
      </w:r>
      <w:r>
        <w:rPr>
          <w:rFonts w:hint="eastAsia"/>
          <w:color w:val="auto"/>
          <w:lang w:val="zh-CN"/>
        </w:rPr>
        <w:t>）</w:t>
      </w:r>
      <w:r>
        <w:rPr>
          <w:color w:val="auto"/>
          <w:lang w:val="zh-CN"/>
        </w:rPr>
        <w:t>油基泥浆循环罐、柴油罐区对地下水影响分析</w:t>
      </w:r>
    </w:p>
    <w:p w14:paraId="534F7C1B">
      <w:pPr>
        <w:pStyle w:val="276"/>
        <w:widowControl w:val="0"/>
        <w:ind w:firstLine="480"/>
        <w:jc w:val="both"/>
        <w:rPr>
          <w:color w:val="auto"/>
          <w:kern w:val="2"/>
          <w:szCs w:val="20"/>
        </w:rPr>
      </w:pPr>
      <w:r>
        <w:rPr>
          <w:color w:val="auto"/>
          <w:kern w:val="2"/>
          <w:szCs w:val="20"/>
        </w:rPr>
        <w:t>本项目钻井时期在井场设置1个油基泥浆循环罐区、1个柴油罐区，罐区属于重点防渗区，采用地面碾压平整并铺设2mm厚防渗布进行防渗，渗透系数为1.0×10</w:t>
      </w:r>
      <w:r>
        <w:rPr>
          <w:color w:val="auto"/>
          <w:kern w:val="2"/>
          <w:szCs w:val="20"/>
          <w:vertAlign w:val="superscript"/>
        </w:rPr>
        <w:t>-10</w:t>
      </w:r>
      <w:r>
        <w:rPr>
          <w:color w:val="auto"/>
          <w:kern w:val="2"/>
          <w:szCs w:val="20"/>
        </w:rPr>
        <w:t>cm/s，满足《环境影响评价技术导则 地下水环境》（HJ610-2016）中重点防渗区“等效黏土防渗层≥6.0m，K≤1×10</w:t>
      </w:r>
      <w:r>
        <w:rPr>
          <w:color w:val="auto"/>
          <w:kern w:val="2"/>
          <w:szCs w:val="20"/>
          <w:vertAlign w:val="superscript"/>
        </w:rPr>
        <w:t>-7</w:t>
      </w:r>
      <w:r>
        <w:rPr>
          <w:color w:val="auto"/>
          <w:kern w:val="2"/>
          <w:szCs w:val="20"/>
        </w:rPr>
        <w:t>cm/s”的要求。由于油基泥浆循环罐、柴油罐为地上罐，即使发生泄漏也能够及时发现并处理，加之罐区场地已进行防渗处理，对地下水产生影响的可能性极小。</w:t>
      </w:r>
    </w:p>
    <w:p w14:paraId="2B59031C">
      <w:pPr>
        <w:pStyle w:val="276"/>
        <w:widowControl w:val="0"/>
        <w:ind w:firstLine="480"/>
        <w:jc w:val="both"/>
        <w:rPr>
          <w:color w:val="auto"/>
          <w:kern w:val="2"/>
          <w:szCs w:val="20"/>
        </w:rPr>
      </w:pPr>
      <w:r>
        <w:rPr>
          <w:color w:val="auto"/>
          <w:kern w:val="2"/>
          <w:szCs w:val="20"/>
        </w:rPr>
        <w:t>综上所述，项目正常情况下施工期水基钻井废水排入井场水基钢制泥浆槽中，与水基废钻井液、水基钻井岩屑、不含油废射孔液一同拉运至大庆油田昆仑集团有限公司环保分公司处理，处理后的压滤水定期由罐车拉运至朝二联含油污水处理站处理达标后回注油层；油基钻井废水、油基废钻井液、油基钻井岩屑、含油废射孔液排入井场设置的油基钢制泥浆槽中，委托</w:t>
      </w:r>
      <w:r>
        <w:rPr>
          <w:color w:val="auto"/>
        </w:rPr>
        <w:t>黑龙江迈景环保科技有限公司</w:t>
      </w:r>
      <w:r>
        <w:rPr>
          <w:color w:val="auto"/>
          <w:kern w:val="2"/>
          <w:szCs w:val="20"/>
        </w:rPr>
        <w:t>处理，处理后的污水进入污水罐储存，定期拉运至朝二联含油污水处理站处理满足《大庆油田地面工程建设设计规定》（Q/SYDQ0639-2015）及《碎屑岩油藏注水水质指标技术要求及分析方法》（SY/T5329-2022）限值要求后回注油层，处理后的脱油泥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管线试压废水由罐车拉运至朝二联含油污水处理站处理满足《大庆油田地面工程建设设计规定》（Q/SYDQ0639-2015）及《碎屑岩油藏注水水质指标技术要求及分析方法》（SY/T5329-2022）限值要求后回注油层，不外排；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压裂返排液由罐车拉运至朝一联压裂返排液无害化处理站处理后，管输进入朝一联含油污水处理站处理，处理后的出水满足《大庆油田地面工程建设设计规定》（Q/SYDQ0639-2015）及《碎屑岩油藏注水水质指标技术要求及分析方法》（SY/T5329-2022）限值要求后回注油层。因此，本项目施工期正常情况下不会对地下水产生影响。</w:t>
      </w:r>
    </w:p>
    <w:p w14:paraId="10D90C50">
      <w:pPr>
        <w:pStyle w:val="276"/>
        <w:widowControl w:val="0"/>
        <w:ind w:firstLine="480"/>
        <w:jc w:val="both"/>
        <w:rPr>
          <w:color w:val="auto"/>
          <w:lang w:val="zh-CN"/>
        </w:rPr>
      </w:pPr>
      <w:r>
        <w:rPr>
          <w:color w:val="auto"/>
          <w:lang w:val="zh-CN"/>
        </w:rPr>
        <w:t>（2）</w:t>
      </w:r>
      <w:r>
        <w:rPr>
          <w:rFonts w:hint="eastAsia"/>
          <w:color w:val="auto"/>
          <w:lang w:val="zh-CN"/>
        </w:rPr>
        <w:t>运营期</w:t>
      </w:r>
    </w:p>
    <w:p w14:paraId="71BA02F2">
      <w:pPr>
        <w:pStyle w:val="276"/>
        <w:widowControl w:val="0"/>
        <w:ind w:firstLine="480"/>
        <w:jc w:val="both"/>
        <w:rPr>
          <w:color w:val="auto"/>
          <w:lang w:val="zh-CN"/>
        </w:rPr>
      </w:pPr>
      <w:r>
        <w:rPr>
          <w:color w:val="auto"/>
          <w:lang w:val="zh-CN"/>
        </w:rPr>
        <w:t>项目运营期可能对地下水产生影响的污染物主要为含油污水、含油污泥、落地油等。</w:t>
      </w:r>
    </w:p>
    <w:p w14:paraId="080FEC5D">
      <w:pPr>
        <w:pStyle w:val="276"/>
        <w:widowControl w:val="0"/>
        <w:ind w:firstLine="480"/>
        <w:jc w:val="both"/>
        <w:rPr>
          <w:color w:val="auto"/>
          <w:lang w:val="zh-CN"/>
        </w:rPr>
      </w:pPr>
      <w:r>
        <w:rPr>
          <w:color w:val="auto"/>
          <w:lang w:val="zh-CN"/>
        </w:rPr>
        <w:t>本项目采出液最终处理产生的含油污水最终由管线输送至朝二联含油污水处理站处理达标后回注油层，含油污泥、落地油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因此，项目营运期正常工况下对地下水产生影响的可能较小。</w:t>
      </w:r>
    </w:p>
    <w:p w14:paraId="65EB555E">
      <w:pPr>
        <w:pStyle w:val="276"/>
        <w:widowControl w:val="0"/>
        <w:ind w:firstLine="480"/>
        <w:jc w:val="both"/>
        <w:rPr>
          <w:color w:val="auto"/>
          <w:lang w:val="zh-CN"/>
        </w:rPr>
      </w:pPr>
      <w:r>
        <w:rPr>
          <w:color w:val="auto"/>
          <w:lang w:val="zh-CN"/>
        </w:rPr>
        <w:t>（3）退役期</w:t>
      </w:r>
    </w:p>
    <w:p w14:paraId="1036F016">
      <w:pPr>
        <w:pStyle w:val="276"/>
        <w:widowControl w:val="0"/>
        <w:ind w:firstLine="480"/>
        <w:jc w:val="both"/>
        <w:rPr>
          <w:color w:val="auto"/>
          <w:lang w:val="zh-CN"/>
        </w:rPr>
      </w:pPr>
      <w:r>
        <w:rPr>
          <w:color w:val="auto"/>
          <w:lang w:val="zh-CN"/>
        </w:rPr>
        <w:t>建设项目进入闭井期，油井退役后采用全段封井工艺进行封井处理，阻止各层段之间的井内窜流，达到保护含水层的目的，可有效阻隔油层中含油地下水与上部其他含水层之间的水力联系，区块内的潜水含水层和承压含水层均不再受石油开采的影响。</w:t>
      </w:r>
    </w:p>
    <w:p w14:paraId="26A535EA">
      <w:pPr>
        <w:pStyle w:val="6"/>
        <w:rPr>
          <w:color w:val="auto"/>
        </w:rPr>
      </w:pPr>
      <w:bookmarkStart w:id="1341" w:name="_Toc85640817"/>
      <w:bookmarkStart w:id="1342" w:name="_Toc84929289"/>
      <w:bookmarkStart w:id="1343" w:name="_Toc127192397"/>
      <w:bookmarkStart w:id="1344" w:name="_Toc77067714"/>
      <w:bookmarkStart w:id="1345" w:name="_Toc78816517"/>
      <w:bookmarkStart w:id="1346" w:name="_Toc143099635"/>
      <w:bookmarkStart w:id="1347" w:name="_Toc83209534"/>
      <w:bookmarkStart w:id="1348" w:name="_Toc131167348"/>
      <w:bookmarkStart w:id="1349" w:name="_Toc80588312"/>
      <w:bookmarkStart w:id="1350" w:name="_Toc86141992"/>
      <w:bookmarkStart w:id="1351" w:name="_Toc76976302"/>
      <w:bookmarkStart w:id="1352" w:name="_Toc80971434"/>
      <w:bookmarkStart w:id="1353" w:name="_Toc126863448"/>
      <w:r>
        <w:rPr>
          <w:color w:val="auto"/>
        </w:rPr>
        <w:t>非正常状况下地下水环境影响分析</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2B121525">
      <w:pPr>
        <w:pStyle w:val="276"/>
        <w:widowControl w:val="0"/>
        <w:ind w:firstLine="480"/>
        <w:jc w:val="both"/>
        <w:rPr>
          <w:color w:val="auto"/>
          <w:kern w:val="2"/>
          <w:szCs w:val="20"/>
        </w:rPr>
      </w:pPr>
      <w:r>
        <w:rPr>
          <w:color w:val="auto"/>
          <w:kern w:val="2"/>
          <w:szCs w:val="20"/>
        </w:rPr>
        <w:t>油田开发生产过程中，非正常状况下，具有污染环境的潜在因素，包括井漏、原油泄漏等，可能对地下水环境产生不利影响。具体分析如下：</w:t>
      </w:r>
    </w:p>
    <w:p w14:paraId="6FC1FCB0">
      <w:pPr>
        <w:pStyle w:val="276"/>
        <w:widowControl w:val="0"/>
        <w:ind w:firstLine="480"/>
        <w:jc w:val="both"/>
        <w:rPr>
          <w:color w:val="auto"/>
          <w:kern w:val="2"/>
          <w:szCs w:val="20"/>
        </w:rPr>
      </w:pPr>
      <w:r>
        <w:rPr>
          <w:color w:val="auto"/>
          <w:kern w:val="2"/>
          <w:szCs w:val="20"/>
        </w:rPr>
        <w:t>（1）根据井身结构设计数据，钻井次序分为二开，一开采用水基钻井液，二开2口勘探井采用水基钻井液，4口基建井采用油基钻井液。钻井时，钻井</w:t>
      </w:r>
      <w:r>
        <w:rPr>
          <w:color w:val="auto"/>
          <w:lang w:val="zh-CN"/>
        </w:rPr>
        <w:t>套管</w:t>
      </w:r>
      <w:r>
        <w:rPr>
          <w:color w:val="auto"/>
          <w:kern w:val="2"/>
          <w:szCs w:val="20"/>
        </w:rPr>
        <w:t>连接错位、套管连接不及时等操作失误导致钻井液泄漏，钻井液窜入含水层造成对地下水污染，可能对承压水含水层造成污染。</w:t>
      </w:r>
    </w:p>
    <w:p w14:paraId="0007DA63">
      <w:pPr>
        <w:pStyle w:val="276"/>
        <w:widowControl w:val="0"/>
        <w:ind w:firstLine="480"/>
        <w:jc w:val="both"/>
        <w:rPr>
          <w:color w:val="auto"/>
          <w:kern w:val="2"/>
          <w:szCs w:val="20"/>
        </w:rPr>
      </w:pPr>
      <w:r>
        <w:rPr>
          <w:color w:val="auto"/>
          <w:kern w:val="2"/>
          <w:szCs w:val="20"/>
        </w:rPr>
        <w:t>（2）运营期间，可能因管道老化、腐蚀穿孔引起原油、含油污水泄漏，多发生在投产若干年后，一旦管道泄漏会有原油、含油污水溢出，对环境造成污染，但发生管线泄漏时因管道的压力变化较易发现，及时采取必要的处理措施后，使造成的污染可控制在局部地区，不会造成大面积的区域性污染。管道泄漏原油、含油污水首先进入土壤，经过土壤下渗到达潜水层，会对土壤、潜水产生影响；承压水含水层上有隔水层阻隔，管道泄漏一般不会对承压水造成影响。</w:t>
      </w:r>
    </w:p>
    <w:p w14:paraId="4851B18D">
      <w:pPr>
        <w:pStyle w:val="276"/>
        <w:widowControl w:val="0"/>
        <w:ind w:firstLine="480"/>
        <w:jc w:val="both"/>
        <w:rPr>
          <w:color w:val="auto"/>
          <w:kern w:val="2"/>
          <w:szCs w:val="20"/>
        </w:rPr>
      </w:pPr>
      <w:r>
        <w:rPr>
          <w:color w:val="auto"/>
          <w:kern w:val="2"/>
          <w:szCs w:val="20"/>
        </w:rPr>
        <w:t>（3）如果钻井时固井质量不高，密封不严，可使原油水由井下深层上升进入含水层而污染地下水。这些井孔不仅是下部原油上升污染地下水的通道，同时也可成为地表污水进入地下水层的通道，使污染物随地下径流扩散迁移，造成地下水的污染而长期无法补救和恢复。随着油田的开发时间的逐渐后移，运行了一段时间的油井可能会发生套管破裂造成含油物质渗漏进而对地下水造成影响。</w:t>
      </w:r>
    </w:p>
    <w:p w14:paraId="011540CD">
      <w:pPr>
        <w:pStyle w:val="276"/>
        <w:widowControl w:val="0"/>
        <w:ind w:firstLine="480"/>
        <w:jc w:val="both"/>
        <w:rPr>
          <w:color w:val="auto"/>
          <w:kern w:val="2"/>
          <w:szCs w:val="20"/>
        </w:rPr>
      </w:pPr>
      <w:r>
        <w:rPr>
          <w:color w:val="auto"/>
          <w:kern w:val="2"/>
          <w:szCs w:val="20"/>
        </w:rPr>
        <w:t>本项目预测情景模式见表 5.3-1。</w:t>
      </w:r>
    </w:p>
    <w:p w14:paraId="276399AB">
      <w:pPr>
        <w:pStyle w:val="276"/>
        <w:widowControl w:val="0"/>
        <w:spacing w:line="440" w:lineRule="exact"/>
        <w:ind w:firstLine="0" w:firstLineChars="0"/>
        <w:jc w:val="center"/>
        <w:rPr>
          <w:color w:val="auto"/>
          <w:kern w:val="2"/>
          <w:szCs w:val="20"/>
        </w:rPr>
      </w:pPr>
      <w:r>
        <w:rPr>
          <w:color w:val="auto"/>
          <w:kern w:val="2"/>
          <w:szCs w:val="20"/>
        </w:rPr>
        <w:t>表5.3-1 地下水预测情景模式一览表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1"/>
        <w:gridCol w:w="3923"/>
        <w:gridCol w:w="1163"/>
        <w:gridCol w:w="1623"/>
        <w:gridCol w:w="1857"/>
      </w:tblGrid>
      <w:tr w14:paraId="51DB7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restart"/>
            <w:shd w:val="clear" w:color="auto" w:fill="auto"/>
            <w:vAlign w:val="center"/>
          </w:tcPr>
          <w:p w14:paraId="330AFA82">
            <w:pPr>
              <w:jc w:val="center"/>
              <w:rPr>
                <w:rFonts w:ascii="宋体" w:hAnsi="宋体" w:eastAsia="宋体" w:cs="Times New Roman"/>
                <w:color w:val="auto"/>
              </w:rPr>
            </w:pPr>
            <w:r>
              <w:rPr>
                <w:rFonts w:ascii="宋体" w:hAnsi="宋体" w:eastAsia="宋体" w:cs="Times New Roman"/>
                <w:color w:val="auto"/>
              </w:rPr>
              <w:t>序号</w:t>
            </w:r>
          </w:p>
        </w:tc>
        <w:tc>
          <w:tcPr>
            <w:tcW w:w="2112" w:type="pct"/>
            <w:vMerge w:val="restart"/>
            <w:shd w:val="clear" w:color="auto" w:fill="auto"/>
            <w:vAlign w:val="center"/>
          </w:tcPr>
          <w:p w14:paraId="473913D9">
            <w:pPr>
              <w:jc w:val="center"/>
              <w:rPr>
                <w:rFonts w:ascii="宋体" w:hAnsi="宋体" w:eastAsia="宋体" w:cs="Times New Roman"/>
                <w:color w:val="auto"/>
              </w:rPr>
            </w:pPr>
            <w:r>
              <w:rPr>
                <w:rFonts w:ascii="宋体" w:hAnsi="宋体" w:eastAsia="宋体" w:cs="Times New Roman"/>
                <w:color w:val="auto"/>
              </w:rPr>
              <w:t>泄漏类型</w:t>
            </w:r>
          </w:p>
        </w:tc>
        <w:tc>
          <w:tcPr>
            <w:tcW w:w="626" w:type="pct"/>
            <w:vMerge w:val="restart"/>
            <w:shd w:val="clear" w:color="auto" w:fill="auto"/>
            <w:vAlign w:val="center"/>
          </w:tcPr>
          <w:p w14:paraId="73BB3A04">
            <w:pPr>
              <w:jc w:val="center"/>
              <w:rPr>
                <w:rFonts w:ascii="宋体" w:hAnsi="宋体" w:eastAsia="宋体" w:cs="Times New Roman"/>
                <w:color w:val="auto"/>
              </w:rPr>
            </w:pPr>
            <w:r>
              <w:rPr>
                <w:rFonts w:ascii="宋体" w:hAnsi="宋体" w:eastAsia="宋体" w:cs="Times New Roman"/>
                <w:color w:val="auto"/>
              </w:rPr>
              <w:t>影响层位</w:t>
            </w:r>
          </w:p>
        </w:tc>
        <w:tc>
          <w:tcPr>
            <w:tcW w:w="1874" w:type="pct"/>
            <w:gridSpan w:val="2"/>
            <w:shd w:val="clear" w:color="auto" w:fill="auto"/>
            <w:vAlign w:val="center"/>
          </w:tcPr>
          <w:p w14:paraId="70ADAD3A">
            <w:pPr>
              <w:jc w:val="center"/>
              <w:rPr>
                <w:rFonts w:ascii="宋体" w:hAnsi="宋体" w:eastAsia="宋体" w:cs="Times New Roman"/>
                <w:color w:val="auto"/>
              </w:rPr>
            </w:pPr>
            <w:r>
              <w:rPr>
                <w:rFonts w:ascii="宋体" w:hAnsi="宋体" w:eastAsia="宋体" w:cs="Times New Roman"/>
                <w:color w:val="auto"/>
              </w:rPr>
              <w:t>场景选择</w:t>
            </w:r>
          </w:p>
        </w:tc>
      </w:tr>
      <w:tr w14:paraId="63703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vMerge w:val="continue"/>
            <w:shd w:val="clear" w:color="auto" w:fill="auto"/>
            <w:vAlign w:val="center"/>
          </w:tcPr>
          <w:p w14:paraId="6C0A0B8E">
            <w:pPr>
              <w:jc w:val="center"/>
              <w:rPr>
                <w:rFonts w:ascii="宋体" w:hAnsi="宋体" w:eastAsia="宋体" w:cs="Times New Roman"/>
                <w:color w:val="auto"/>
              </w:rPr>
            </w:pPr>
          </w:p>
        </w:tc>
        <w:tc>
          <w:tcPr>
            <w:tcW w:w="2112" w:type="pct"/>
            <w:vMerge w:val="continue"/>
            <w:shd w:val="clear" w:color="auto" w:fill="auto"/>
            <w:vAlign w:val="center"/>
          </w:tcPr>
          <w:p w14:paraId="586A4A02">
            <w:pPr>
              <w:jc w:val="center"/>
              <w:rPr>
                <w:rFonts w:ascii="宋体" w:hAnsi="宋体" w:eastAsia="宋体" w:cs="Times New Roman"/>
                <w:color w:val="auto"/>
              </w:rPr>
            </w:pPr>
          </w:p>
        </w:tc>
        <w:tc>
          <w:tcPr>
            <w:tcW w:w="626" w:type="pct"/>
            <w:vMerge w:val="continue"/>
            <w:shd w:val="clear" w:color="auto" w:fill="auto"/>
            <w:vAlign w:val="center"/>
          </w:tcPr>
          <w:p w14:paraId="00A61FA6">
            <w:pPr>
              <w:jc w:val="center"/>
              <w:rPr>
                <w:rFonts w:ascii="宋体" w:hAnsi="宋体" w:eastAsia="宋体" w:cs="Times New Roman"/>
                <w:color w:val="auto"/>
              </w:rPr>
            </w:pPr>
          </w:p>
        </w:tc>
        <w:tc>
          <w:tcPr>
            <w:tcW w:w="874" w:type="pct"/>
            <w:shd w:val="clear" w:color="auto" w:fill="auto"/>
            <w:vAlign w:val="center"/>
          </w:tcPr>
          <w:p w14:paraId="0018CC85">
            <w:pPr>
              <w:jc w:val="center"/>
              <w:rPr>
                <w:rFonts w:ascii="宋体" w:hAnsi="宋体" w:eastAsia="宋体" w:cs="Times New Roman"/>
                <w:color w:val="auto"/>
              </w:rPr>
            </w:pPr>
            <w:r>
              <w:rPr>
                <w:rFonts w:ascii="宋体" w:hAnsi="宋体" w:eastAsia="宋体" w:cs="Times New Roman"/>
                <w:color w:val="auto"/>
              </w:rPr>
              <w:t>持续泄漏</w:t>
            </w:r>
          </w:p>
        </w:tc>
        <w:tc>
          <w:tcPr>
            <w:tcW w:w="1000" w:type="pct"/>
            <w:shd w:val="clear" w:color="auto" w:fill="auto"/>
            <w:vAlign w:val="center"/>
          </w:tcPr>
          <w:p w14:paraId="526ABA0C">
            <w:pPr>
              <w:jc w:val="center"/>
              <w:rPr>
                <w:rFonts w:ascii="宋体" w:hAnsi="宋体" w:eastAsia="宋体" w:cs="Times New Roman"/>
                <w:color w:val="auto"/>
              </w:rPr>
            </w:pPr>
            <w:r>
              <w:rPr>
                <w:rFonts w:ascii="宋体" w:hAnsi="宋体" w:eastAsia="宋体" w:cs="Times New Roman"/>
                <w:color w:val="auto"/>
              </w:rPr>
              <w:t>短时泄漏</w:t>
            </w:r>
          </w:p>
        </w:tc>
      </w:tr>
      <w:tr w14:paraId="5667E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shd w:val="clear" w:color="auto" w:fill="auto"/>
            <w:vAlign w:val="center"/>
          </w:tcPr>
          <w:p w14:paraId="632FE902">
            <w:pPr>
              <w:jc w:val="center"/>
              <w:rPr>
                <w:rFonts w:ascii="宋体" w:hAnsi="宋体" w:eastAsia="宋体" w:cs="Times New Roman"/>
                <w:color w:val="auto"/>
              </w:rPr>
            </w:pPr>
            <w:r>
              <w:rPr>
                <w:rFonts w:ascii="宋体" w:hAnsi="宋体" w:eastAsia="宋体" w:cs="Times New Roman"/>
                <w:color w:val="auto"/>
              </w:rPr>
              <w:t>1</w:t>
            </w:r>
          </w:p>
        </w:tc>
        <w:tc>
          <w:tcPr>
            <w:tcW w:w="2112" w:type="pct"/>
            <w:shd w:val="clear" w:color="auto" w:fill="auto"/>
            <w:vAlign w:val="center"/>
          </w:tcPr>
          <w:p w14:paraId="400AD0A9">
            <w:pPr>
              <w:jc w:val="center"/>
              <w:rPr>
                <w:rFonts w:ascii="宋体" w:hAnsi="宋体" w:eastAsia="宋体" w:cs="Times New Roman"/>
                <w:color w:val="auto"/>
              </w:rPr>
            </w:pPr>
            <w:r>
              <w:rPr>
                <w:rFonts w:ascii="宋体" w:hAnsi="宋体" w:eastAsia="宋体" w:cs="Times New Roman"/>
                <w:color w:val="auto"/>
              </w:rPr>
              <w:t>套管连接错位、套管连接不及时等操作失误造成油基钻井液泄漏</w:t>
            </w:r>
          </w:p>
        </w:tc>
        <w:tc>
          <w:tcPr>
            <w:tcW w:w="626" w:type="pct"/>
            <w:shd w:val="clear" w:color="auto" w:fill="auto"/>
            <w:vAlign w:val="center"/>
          </w:tcPr>
          <w:p w14:paraId="79F3C28D">
            <w:pPr>
              <w:jc w:val="center"/>
              <w:rPr>
                <w:rFonts w:ascii="宋体" w:hAnsi="宋体" w:eastAsia="宋体" w:cs="Times New Roman"/>
                <w:color w:val="auto"/>
              </w:rPr>
            </w:pPr>
            <w:r>
              <w:rPr>
                <w:rFonts w:ascii="宋体" w:hAnsi="宋体" w:eastAsia="宋体" w:cs="Times New Roman"/>
                <w:color w:val="auto"/>
              </w:rPr>
              <w:t>承压水</w:t>
            </w:r>
          </w:p>
        </w:tc>
        <w:tc>
          <w:tcPr>
            <w:tcW w:w="874" w:type="pct"/>
            <w:shd w:val="clear" w:color="auto" w:fill="auto"/>
            <w:vAlign w:val="center"/>
          </w:tcPr>
          <w:p w14:paraId="177B8F4A">
            <w:pPr>
              <w:jc w:val="center"/>
              <w:rPr>
                <w:rFonts w:ascii="宋体" w:hAnsi="宋体" w:eastAsia="宋体" w:cs="Times New Roman"/>
                <w:color w:val="auto"/>
              </w:rPr>
            </w:pPr>
            <w:r>
              <w:rPr>
                <w:rFonts w:ascii="宋体" w:hAnsi="宋体" w:eastAsia="宋体" w:cs="Times New Roman"/>
                <w:color w:val="auto"/>
              </w:rPr>
              <w:t>—</w:t>
            </w:r>
          </w:p>
        </w:tc>
        <w:tc>
          <w:tcPr>
            <w:tcW w:w="1000" w:type="pct"/>
            <w:shd w:val="clear" w:color="auto" w:fill="auto"/>
            <w:vAlign w:val="center"/>
          </w:tcPr>
          <w:p w14:paraId="7A34CB4B">
            <w:pPr>
              <w:jc w:val="center"/>
              <w:rPr>
                <w:rFonts w:ascii="宋体" w:hAnsi="宋体" w:eastAsia="宋体" w:cs="Times New Roman"/>
                <w:color w:val="auto"/>
              </w:rPr>
            </w:pPr>
            <w:r>
              <w:rPr>
                <w:rFonts w:ascii="宋体" w:hAnsi="宋体" w:eastAsia="宋体" w:cs="Times New Roman"/>
                <w:color w:val="auto"/>
              </w:rPr>
              <w:t>√</w:t>
            </w:r>
          </w:p>
        </w:tc>
      </w:tr>
      <w:tr w14:paraId="20AF5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shd w:val="clear" w:color="auto" w:fill="auto"/>
            <w:vAlign w:val="center"/>
          </w:tcPr>
          <w:p w14:paraId="6BD715C5">
            <w:pPr>
              <w:jc w:val="center"/>
              <w:rPr>
                <w:rFonts w:ascii="宋体" w:hAnsi="宋体" w:eastAsia="宋体" w:cs="Times New Roman"/>
                <w:color w:val="auto"/>
              </w:rPr>
            </w:pPr>
            <w:r>
              <w:rPr>
                <w:rFonts w:ascii="宋体" w:hAnsi="宋体" w:eastAsia="宋体" w:cs="Times New Roman"/>
                <w:color w:val="auto"/>
              </w:rPr>
              <w:t>2</w:t>
            </w:r>
          </w:p>
        </w:tc>
        <w:tc>
          <w:tcPr>
            <w:tcW w:w="2112" w:type="pct"/>
            <w:shd w:val="clear" w:color="auto" w:fill="auto"/>
            <w:vAlign w:val="center"/>
          </w:tcPr>
          <w:p w14:paraId="356B141D">
            <w:pPr>
              <w:jc w:val="center"/>
              <w:rPr>
                <w:rFonts w:ascii="宋体" w:hAnsi="宋体" w:eastAsia="宋体" w:cs="Times New Roman"/>
                <w:color w:val="auto"/>
              </w:rPr>
            </w:pPr>
            <w:r>
              <w:rPr>
                <w:rFonts w:ascii="宋体" w:hAnsi="宋体" w:eastAsia="宋体" w:cs="Times New Roman"/>
                <w:color w:val="auto"/>
              </w:rPr>
              <w:t>集输管线腐蚀造成的含油物质渗漏</w:t>
            </w:r>
          </w:p>
        </w:tc>
        <w:tc>
          <w:tcPr>
            <w:tcW w:w="626" w:type="pct"/>
            <w:shd w:val="clear" w:color="auto" w:fill="auto"/>
            <w:vAlign w:val="center"/>
          </w:tcPr>
          <w:p w14:paraId="67EF6597">
            <w:pPr>
              <w:jc w:val="center"/>
              <w:rPr>
                <w:rFonts w:ascii="宋体" w:hAnsi="宋体" w:eastAsia="宋体" w:cs="Times New Roman"/>
                <w:color w:val="auto"/>
              </w:rPr>
            </w:pPr>
            <w:r>
              <w:rPr>
                <w:rFonts w:ascii="宋体" w:hAnsi="宋体" w:eastAsia="宋体" w:cs="Times New Roman"/>
                <w:color w:val="auto"/>
              </w:rPr>
              <w:t>潜水</w:t>
            </w:r>
          </w:p>
        </w:tc>
        <w:tc>
          <w:tcPr>
            <w:tcW w:w="874" w:type="pct"/>
            <w:shd w:val="clear" w:color="auto" w:fill="auto"/>
            <w:vAlign w:val="center"/>
          </w:tcPr>
          <w:p w14:paraId="66192F84">
            <w:pPr>
              <w:jc w:val="center"/>
              <w:rPr>
                <w:rFonts w:ascii="宋体" w:hAnsi="宋体" w:eastAsia="宋体" w:cs="Times New Roman"/>
                <w:color w:val="auto"/>
              </w:rPr>
            </w:pPr>
            <w:r>
              <w:rPr>
                <w:rFonts w:ascii="宋体" w:hAnsi="宋体" w:eastAsia="宋体" w:cs="Times New Roman"/>
                <w:color w:val="auto"/>
              </w:rPr>
              <w:t>—</w:t>
            </w:r>
          </w:p>
        </w:tc>
        <w:tc>
          <w:tcPr>
            <w:tcW w:w="1000" w:type="pct"/>
            <w:shd w:val="clear" w:color="auto" w:fill="auto"/>
            <w:vAlign w:val="center"/>
          </w:tcPr>
          <w:p w14:paraId="6F40B6BD">
            <w:pPr>
              <w:jc w:val="center"/>
              <w:rPr>
                <w:rFonts w:ascii="宋体" w:hAnsi="宋体" w:eastAsia="宋体" w:cs="Times New Roman"/>
                <w:color w:val="auto"/>
              </w:rPr>
            </w:pPr>
            <w:r>
              <w:rPr>
                <w:rFonts w:ascii="宋体" w:hAnsi="宋体" w:eastAsia="宋体" w:cs="Times New Roman"/>
                <w:color w:val="auto"/>
              </w:rPr>
              <w:t>√</w:t>
            </w:r>
          </w:p>
        </w:tc>
      </w:tr>
      <w:tr w14:paraId="38923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shd w:val="clear" w:color="auto" w:fill="auto"/>
            <w:vAlign w:val="center"/>
          </w:tcPr>
          <w:p w14:paraId="02B8206C">
            <w:pPr>
              <w:jc w:val="center"/>
              <w:rPr>
                <w:rFonts w:ascii="宋体" w:hAnsi="宋体" w:eastAsia="宋体" w:cs="Times New Roman"/>
                <w:color w:val="auto"/>
              </w:rPr>
            </w:pPr>
            <w:r>
              <w:rPr>
                <w:rFonts w:ascii="宋体" w:hAnsi="宋体" w:eastAsia="宋体" w:cs="Times New Roman"/>
                <w:color w:val="auto"/>
              </w:rPr>
              <w:t>3</w:t>
            </w:r>
          </w:p>
        </w:tc>
        <w:tc>
          <w:tcPr>
            <w:tcW w:w="2112" w:type="pct"/>
            <w:shd w:val="clear" w:color="auto" w:fill="auto"/>
            <w:vAlign w:val="center"/>
          </w:tcPr>
          <w:p w14:paraId="6CC080D6">
            <w:pPr>
              <w:jc w:val="center"/>
              <w:rPr>
                <w:rFonts w:ascii="宋体" w:hAnsi="宋体" w:eastAsia="宋体" w:cs="Times New Roman"/>
                <w:color w:val="auto"/>
              </w:rPr>
            </w:pPr>
            <w:r>
              <w:rPr>
                <w:rFonts w:ascii="宋体" w:hAnsi="宋体" w:eastAsia="宋体" w:cs="Times New Roman"/>
                <w:color w:val="auto"/>
              </w:rPr>
              <w:t>油井泄漏造成的含油物质泄漏</w:t>
            </w:r>
          </w:p>
        </w:tc>
        <w:tc>
          <w:tcPr>
            <w:tcW w:w="626" w:type="pct"/>
            <w:shd w:val="clear" w:color="auto" w:fill="auto"/>
            <w:vAlign w:val="center"/>
          </w:tcPr>
          <w:p w14:paraId="301B7507">
            <w:pPr>
              <w:jc w:val="center"/>
              <w:rPr>
                <w:rFonts w:ascii="宋体" w:hAnsi="宋体" w:eastAsia="宋体" w:cs="Times New Roman"/>
                <w:color w:val="auto"/>
              </w:rPr>
            </w:pPr>
            <w:r>
              <w:rPr>
                <w:rFonts w:ascii="宋体" w:hAnsi="宋体" w:eastAsia="宋体" w:cs="Times New Roman"/>
                <w:color w:val="auto"/>
              </w:rPr>
              <w:t>承压水</w:t>
            </w:r>
          </w:p>
        </w:tc>
        <w:tc>
          <w:tcPr>
            <w:tcW w:w="874" w:type="pct"/>
            <w:shd w:val="clear" w:color="auto" w:fill="auto"/>
            <w:vAlign w:val="center"/>
          </w:tcPr>
          <w:p w14:paraId="28654B83">
            <w:pPr>
              <w:jc w:val="center"/>
              <w:rPr>
                <w:rFonts w:ascii="宋体" w:hAnsi="宋体" w:eastAsia="宋体" w:cs="Times New Roman"/>
                <w:color w:val="auto"/>
              </w:rPr>
            </w:pPr>
            <w:r>
              <w:rPr>
                <w:rFonts w:ascii="宋体" w:hAnsi="宋体" w:eastAsia="宋体" w:cs="Times New Roman"/>
                <w:color w:val="auto"/>
              </w:rPr>
              <w:t>—</w:t>
            </w:r>
          </w:p>
        </w:tc>
        <w:tc>
          <w:tcPr>
            <w:tcW w:w="1000" w:type="pct"/>
            <w:shd w:val="clear" w:color="auto" w:fill="auto"/>
            <w:vAlign w:val="center"/>
          </w:tcPr>
          <w:p w14:paraId="510E9C62">
            <w:pPr>
              <w:jc w:val="center"/>
              <w:rPr>
                <w:rFonts w:ascii="宋体" w:hAnsi="宋体" w:eastAsia="宋体" w:cs="Times New Roman"/>
                <w:color w:val="auto"/>
              </w:rPr>
            </w:pPr>
            <w:r>
              <w:rPr>
                <w:rFonts w:ascii="宋体" w:hAnsi="宋体" w:eastAsia="宋体" w:cs="Times New Roman"/>
                <w:color w:val="auto"/>
              </w:rPr>
              <w:t>√</w:t>
            </w:r>
          </w:p>
        </w:tc>
      </w:tr>
      <w:tr w14:paraId="4D1F8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8" w:type="pct"/>
            <w:shd w:val="clear" w:color="auto" w:fill="auto"/>
            <w:vAlign w:val="center"/>
          </w:tcPr>
          <w:p w14:paraId="5BCE4515">
            <w:pPr>
              <w:jc w:val="center"/>
              <w:rPr>
                <w:rFonts w:ascii="宋体" w:hAnsi="宋体" w:eastAsia="宋体" w:cs="Times New Roman"/>
                <w:color w:val="auto"/>
              </w:rPr>
            </w:pPr>
            <w:r>
              <w:rPr>
                <w:rFonts w:hint="eastAsia" w:ascii="宋体" w:hAnsi="宋体" w:eastAsia="宋体" w:cs="Times New Roman"/>
                <w:color w:val="auto"/>
              </w:rPr>
              <w:t>4</w:t>
            </w:r>
          </w:p>
        </w:tc>
        <w:tc>
          <w:tcPr>
            <w:tcW w:w="2112" w:type="pct"/>
            <w:shd w:val="clear" w:color="auto" w:fill="auto"/>
            <w:vAlign w:val="center"/>
          </w:tcPr>
          <w:p w14:paraId="133D2E71">
            <w:pPr>
              <w:jc w:val="center"/>
              <w:rPr>
                <w:rFonts w:ascii="宋体" w:hAnsi="宋体" w:eastAsia="宋体" w:cs="Times New Roman"/>
                <w:color w:val="auto"/>
              </w:rPr>
            </w:pPr>
            <w:r>
              <w:rPr>
                <w:rFonts w:hint="eastAsia" w:ascii="宋体" w:hAnsi="宋体" w:eastAsia="宋体" w:cs="Times New Roman"/>
                <w:color w:val="auto"/>
              </w:rPr>
              <w:t>拉油点储罐破损</w:t>
            </w:r>
          </w:p>
        </w:tc>
        <w:tc>
          <w:tcPr>
            <w:tcW w:w="626" w:type="pct"/>
            <w:shd w:val="clear" w:color="auto" w:fill="auto"/>
            <w:vAlign w:val="center"/>
          </w:tcPr>
          <w:p w14:paraId="2D2B6989">
            <w:pPr>
              <w:jc w:val="center"/>
              <w:rPr>
                <w:rFonts w:ascii="宋体" w:hAnsi="宋体" w:eastAsia="宋体" w:cs="Times New Roman"/>
                <w:color w:val="auto"/>
              </w:rPr>
            </w:pPr>
            <w:r>
              <w:rPr>
                <w:rFonts w:ascii="宋体" w:hAnsi="宋体" w:eastAsia="宋体" w:cs="Times New Roman"/>
                <w:color w:val="auto"/>
              </w:rPr>
              <w:t>潜水</w:t>
            </w:r>
          </w:p>
        </w:tc>
        <w:tc>
          <w:tcPr>
            <w:tcW w:w="874" w:type="pct"/>
            <w:shd w:val="clear" w:color="auto" w:fill="auto"/>
            <w:vAlign w:val="center"/>
          </w:tcPr>
          <w:p w14:paraId="757C875B">
            <w:pPr>
              <w:jc w:val="center"/>
              <w:rPr>
                <w:rFonts w:ascii="宋体" w:hAnsi="宋体" w:eastAsia="宋体" w:cs="Times New Roman"/>
                <w:color w:val="auto"/>
              </w:rPr>
            </w:pPr>
            <w:r>
              <w:rPr>
                <w:rFonts w:ascii="宋体" w:hAnsi="宋体" w:eastAsia="宋体" w:cs="Times New Roman"/>
                <w:color w:val="auto"/>
              </w:rPr>
              <w:t>—</w:t>
            </w:r>
          </w:p>
        </w:tc>
        <w:tc>
          <w:tcPr>
            <w:tcW w:w="1000" w:type="pct"/>
            <w:shd w:val="clear" w:color="auto" w:fill="auto"/>
            <w:vAlign w:val="center"/>
          </w:tcPr>
          <w:p w14:paraId="45619F0D">
            <w:pPr>
              <w:jc w:val="center"/>
              <w:rPr>
                <w:rFonts w:ascii="宋体" w:hAnsi="宋体" w:eastAsia="宋体" w:cs="Times New Roman"/>
                <w:color w:val="auto"/>
              </w:rPr>
            </w:pPr>
            <w:r>
              <w:rPr>
                <w:rFonts w:ascii="宋体" w:hAnsi="宋体" w:eastAsia="宋体" w:cs="Times New Roman"/>
                <w:color w:val="auto"/>
              </w:rPr>
              <w:t>√</w:t>
            </w:r>
          </w:p>
        </w:tc>
      </w:tr>
    </w:tbl>
    <w:p w14:paraId="4E54DEAD">
      <w:pPr>
        <w:pStyle w:val="276"/>
        <w:widowControl w:val="0"/>
        <w:ind w:firstLine="480"/>
        <w:jc w:val="both"/>
        <w:rPr>
          <w:color w:val="auto"/>
          <w:kern w:val="2"/>
          <w:szCs w:val="20"/>
        </w:rPr>
      </w:pPr>
      <w:r>
        <w:rPr>
          <w:color w:val="auto"/>
          <w:kern w:val="2"/>
          <w:szCs w:val="20"/>
        </w:rPr>
        <w:t>根据以上情景模式，预测非正常状态下对区域潜水层（第四系上更新统松散层孔隙潜水）或有饮用价值的承压水层（第三系上统明水组孔隙裂隙承压水</w:t>
      </w:r>
      <w:r>
        <w:rPr>
          <w:color w:val="auto"/>
          <w:lang w:val="zh-CN"/>
        </w:rPr>
        <w:t>含水层</w:t>
      </w:r>
      <w:r>
        <w:rPr>
          <w:color w:val="auto"/>
          <w:kern w:val="2"/>
          <w:szCs w:val="20"/>
        </w:rPr>
        <w:t>）的影响。由于本项目井场距离较近，且位于同一水文地质单元，因此选取可能对地下水造成最大影响的井场进行预测分析。</w:t>
      </w:r>
    </w:p>
    <w:p w14:paraId="28EF61C0">
      <w:pPr>
        <w:pStyle w:val="276"/>
        <w:widowControl w:val="0"/>
        <w:ind w:firstLine="480"/>
        <w:jc w:val="both"/>
        <w:rPr>
          <w:color w:val="auto"/>
          <w:kern w:val="2"/>
          <w:szCs w:val="20"/>
        </w:rPr>
      </w:pPr>
      <w:r>
        <w:rPr>
          <w:color w:val="auto"/>
          <w:kern w:val="2"/>
          <w:szCs w:val="20"/>
        </w:rPr>
        <w:t>情景一：钻井套管连接不及时等操作失误造成油基钻井液泄漏</w:t>
      </w:r>
    </w:p>
    <w:p w14:paraId="0285C07F">
      <w:pPr>
        <w:pStyle w:val="276"/>
        <w:widowControl w:val="0"/>
        <w:ind w:firstLine="480"/>
        <w:jc w:val="both"/>
        <w:rPr>
          <w:color w:val="auto"/>
          <w:kern w:val="2"/>
          <w:szCs w:val="20"/>
        </w:rPr>
      </w:pPr>
      <w:r>
        <w:rPr>
          <w:color w:val="auto"/>
          <w:kern w:val="2"/>
          <w:szCs w:val="20"/>
        </w:rPr>
        <w:t>（1）预测源强</w:t>
      </w:r>
    </w:p>
    <w:p w14:paraId="60366F06">
      <w:pPr>
        <w:pStyle w:val="276"/>
        <w:widowControl w:val="0"/>
        <w:ind w:firstLine="480"/>
        <w:jc w:val="both"/>
        <w:rPr>
          <w:color w:val="auto"/>
          <w:kern w:val="2"/>
          <w:szCs w:val="20"/>
        </w:rPr>
      </w:pPr>
      <w:r>
        <w:rPr>
          <w:color w:val="auto"/>
          <w:kern w:val="2"/>
          <w:szCs w:val="20"/>
        </w:rPr>
        <w:t>根据工程方案，</w:t>
      </w:r>
      <w:r>
        <w:rPr>
          <w:color w:val="auto"/>
          <w:szCs w:val="28"/>
        </w:rPr>
        <w:t>本项目钻井泥浆类型一开选用膨润土浆、二开选用油基泥浆。膨润土浆为无毒无害，因此本次选取危害作用最大的油基泥浆进行预测分析。根据钻井工程方案，井深最深的油井二开</w:t>
      </w:r>
      <w:r>
        <w:rPr>
          <w:rFonts w:hint="eastAsia"/>
          <w:color w:val="auto"/>
          <w:szCs w:val="28"/>
        </w:rPr>
        <w:t>油基</w:t>
      </w:r>
      <w:r>
        <w:rPr>
          <w:color w:val="auto"/>
          <w:szCs w:val="28"/>
        </w:rPr>
        <w:t>钻井</w:t>
      </w:r>
      <w:r>
        <w:rPr>
          <w:rFonts w:hint="eastAsia"/>
          <w:color w:val="auto"/>
          <w:szCs w:val="28"/>
        </w:rPr>
        <w:t>液</w:t>
      </w:r>
      <w:r>
        <w:rPr>
          <w:color w:val="auto"/>
          <w:szCs w:val="28"/>
        </w:rPr>
        <w:t>用量为</w:t>
      </w:r>
      <w:r>
        <w:rPr>
          <w:rFonts w:hint="eastAsia"/>
          <w:color w:val="auto"/>
          <w:szCs w:val="28"/>
        </w:rPr>
        <w:t>264</w:t>
      </w:r>
      <w:r>
        <w:rPr>
          <w:color w:val="auto"/>
          <w:szCs w:val="28"/>
        </w:rPr>
        <w:t>m</w:t>
      </w:r>
      <w:r>
        <w:rPr>
          <w:color w:val="auto"/>
          <w:szCs w:val="28"/>
          <w:vertAlign w:val="superscript"/>
        </w:rPr>
        <w:t>3</w:t>
      </w:r>
      <w:r>
        <w:rPr>
          <w:color w:val="auto"/>
          <w:szCs w:val="28"/>
        </w:rPr>
        <w:t>，根据大庆油田多年统计数据，因套管连接不及时钻井泥将漏失量约为10%，则泥浆最大漏失量为</w:t>
      </w:r>
      <w:r>
        <w:rPr>
          <w:rFonts w:hint="eastAsia"/>
          <w:color w:val="auto"/>
          <w:szCs w:val="28"/>
        </w:rPr>
        <w:t>26.4</w:t>
      </w:r>
      <w:r>
        <w:rPr>
          <w:color w:val="auto"/>
          <w:szCs w:val="28"/>
        </w:rPr>
        <w:t>m</w:t>
      </w:r>
      <w:r>
        <w:rPr>
          <w:color w:val="auto"/>
          <w:szCs w:val="28"/>
          <w:vertAlign w:val="superscript"/>
        </w:rPr>
        <w:t>3</w:t>
      </w:r>
      <w:r>
        <w:rPr>
          <w:color w:val="auto"/>
          <w:kern w:val="2"/>
          <w:szCs w:val="20"/>
        </w:rPr>
        <w:t>。</w:t>
      </w:r>
    </w:p>
    <w:p w14:paraId="234E1D70">
      <w:pPr>
        <w:pStyle w:val="276"/>
        <w:widowControl w:val="0"/>
        <w:ind w:firstLine="480"/>
        <w:jc w:val="both"/>
        <w:rPr>
          <w:color w:val="auto"/>
          <w:kern w:val="2"/>
          <w:szCs w:val="20"/>
        </w:rPr>
      </w:pPr>
      <w:r>
        <w:rPr>
          <w:color w:val="auto"/>
          <w:kern w:val="2"/>
          <w:szCs w:val="20"/>
        </w:rPr>
        <w:t>根据企业提供的油基钻井液体系配方，油基钻井液主要污染物为柴油，柴油含量80%～90%，则柴油最大泄漏源强为</w:t>
      </w:r>
      <w:r>
        <w:rPr>
          <w:rFonts w:hint="eastAsia"/>
          <w:color w:val="auto"/>
          <w:kern w:val="2"/>
          <w:szCs w:val="20"/>
        </w:rPr>
        <w:t>26.4</w:t>
      </w:r>
      <w:r>
        <w:rPr>
          <w:color w:val="auto"/>
          <w:kern w:val="2"/>
          <w:szCs w:val="20"/>
        </w:rPr>
        <w:t>m</w:t>
      </w:r>
      <w:r>
        <w:rPr>
          <w:color w:val="auto"/>
          <w:kern w:val="2"/>
          <w:szCs w:val="20"/>
          <w:vertAlign w:val="superscript"/>
        </w:rPr>
        <w:t>3</w:t>
      </w:r>
      <w:r>
        <w:rPr>
          <w:color w:val="auto"/>
          <w:kern w:val="2"/>
          <w:szCs w:val="20"/>
        </w:rPr>
        <w:t>×90%=</w:t>
      </w:r>
      <w:r>
        <w:rPr>
          <w:rFonts w:hint="eastAsia"/>
          <w:color w:val="auto"/>
          <w:kern w:val="2"/>
          <w:szCs w:val="20"/>
        </w:rPr>
        <w:t>23.76</w:t>
      </w:r>
      <w:r>
        <w:rPr>
          <w:color w:val="auto"/>
          <w:kern w:val="2"/>
          <w:szCs w:val="20"/>
        </w:rPr>
        <w:t>m</w:t>
      </w:r>
      <w:r>
        <w:rPr>
          <w:color w:val="auto"/>
          <w:kern w:val="2"/>
          <w:szCs w:val="20"/>
          <w:vertAlign w:val="superscript"/>
        </w:rPr>
        <w:t>3</w:t>
      </w:r>
      <w:r>
        <w:rPr>
          <w:color w:val="auto"/>
          <w:kern w:val="2"/>
          <w:szCs w:val="20"/>
        </w:rPr>
        <w:t>。柴油密度按0.835t/m</w:t>
      </w:r>
      <w:r>
        <w:rPr>
          <w:color w:val="auto"/>
          <w:kern w:val="2"/>
          <w:szCs w:val="20"/>
          <w:vertAlign w:val="superscript"/>
        </w:rPr>
        <w:t>3</w:t>
      </w:r>
      <w:r>
        <w:rPr>
          <w:color w:val="auto"/>
          <w:kern w:val="2"/>
          <w:szCs w:val="20"/>
        </w:rPr>
        <w:t>， 即柴油最大</w:t>
      </w:r>
      <w:r>
        <w:rPr>
          <w:color w:val="auto"/>
          <w:lang w:val="zh-CN"/>
        </w:rPr>
        <w:t>泄漏</w:t>
      </w:r>
      <w:r>
        <w:rPr>
          <w:color w:val="auto"/>
          <w:kern w:val="2"/>
          <w:szCs w:val="20"/>
        </w:rPr>
        <w:t>源强为</w:t>
      </w:r>
      <w:r>
        <w:rPr>
          <w:rFonts w:hint="eastAsia"/>
          <w:color w:val="auto"/>
          <w:kern w:val="2"/>
          <w:szCs w:val="20"/>
        </w:rPr>
        <w:t>23.76</w:t>
      </w:r>
      <w:r>
        <w:rPr>
          <w:color w:val="auto"/>
          <w:kern w:val="2"/>
          <w:szCs w:val="20"/>
        </w:rPr>
        <w:t>m</w:t>
      </w:r>
      <w:r>
        <w:rPr>
          <w:color w:val="auto"/>
          <w:kern w:val="2"/>
          <w:szCs w:val="20"/>
          <w:vertAlign w:val="superscript"/>
        </w:rPr>
        <w:t>3</w:t>
      </w:r>
      <w:r>
        <w:rPr>
          <w:color w:val="auto"/>
          <w:kern w:val="2"/>
          <w:szCs w:val="20"/>
        </w:rPr>
        <w:t>×0.835t/m</w:t>
      </w:r>
      <w:r>
        <w:rPr>
          <w:color w:val="auto"/>
          <w:kern w:val="2"/>
          <w:szCs w:val="20"/>
          <w:vertAlign w:val="superscript"/>
        </w:rPr>
        <w:t>3</w:t>
      </w:r>
      <w:r>
        <w:rPr>
          <w:color w:val="auto"/>
          <w:kern w:val="2"/>
          <w:szCs w:val="20"/>
        </w:rPr>
        <w:t>×1000kg/t=</w:t>
      </w:r>
      <w:r>
        <w:rPr>
          <w:rFonts w:hint="eastAsia"/>
          <w:color w:val="auto"/>
          <w:kern w:val="2"/>
          <w:szCs w:val="20"/>
        </w:rPr>
        <w:t>19839.6</w:t>
      </w:r>
      <w:r>
        <w:rPr>
          <w:color w:val="auto"/>
          <w:kern w:val="2"/>
          <w:szCs w:val="20"/>
        </w:rPr>
        <w:t>kg。</w:t>
      </w:r>
    </w:p>
    <w:p w14:paraId="06CC1D85">
      <w:pPr>
        <w:pStyle w:val="276"/>
        <w:widowControl w:val="0"/>
        <w:ind w:firstLine="480"/>
        <w:jc w:val="both"/>
        <w:rPr>
          <w:color w:val="auto"/>
          <w:kern w:val="2"/>
          <w:szCs w:val="20"/>
        </w:rPr>
      </w:pPr>
      <w:r>
        <w:rPr>
          <w:color w:val="auto"/>
          <w:kern w:val="2"/>
          <w:szCs w:val="20"/>
        </w:rPr>
        <w:t>（2）预测因子</w:t>
      </w:r>
    </w:p>
    <w:p w14:paraId="5F9523E6">
      <w:pPr>
        <w:pStyle w:val="276"/>
        <w:widowControl w:val="0"/>
        <w:ind w:firstLine="480"/>
        <w:jc w:val="both"/>
        <w:rPr>
          <w:color w:val="auto"/>
          <w:kern w:val="2"/>
          <w:szCs w:val="20"/>
        </w:rPr>
      </w:pPr>
      <w:r>
        <w:rPr>
          <w:color w:val="auto"/>
          <w:kern w:val="2"/>
          <w:szCs w:val="20"/>
        </w:rPr>
        <w:t>钻井套管连接错位、套管连接不及时等操作</w:t>
      </w:r>
      <w:r>
        <w:rPr>
          <w:color w:val="auto"/>
          <w:lang w:val="zh-CN"/>
        </w:rPr>
        <w:t>失误</w:t>
      </w:r>
      <w:r>
        <w:rPr>
          <w:color w:val="auto"/>
          <w:kern w:val="2"/>
          <w:szCs w:val="20"/>
        </w:rPr>
        <w:t>造成的井筒油基钻井液泄漏，污染物主要为柴油，以石油类计，因此，选取石油类作为本次评价预测特征因子。预测第100天、1000天、</w:t>
      </w:r>
      <w:r>
        <w:rPr>
          <w:rFonts w:hint="eastAsia"/>
          <w:color w:val="auto"/>
          <w:kern w:val="2"/>
          <w:szCs w:val="20"/>
        </w:rPr>
        <w:t>5475</w:t>
      </w:r>
      <w:r>
        <w:rPr>
          <w:color w:val="auto"/>
          <w:kern w:val="2"/>
          <w:szCs w:val="20"/>
        </w:rPr>
        <w:t>d石油类在承压水中的运移情况。</w:t>
      </w:r>
    </w:p>
    <w:p w14:paraId="778F0B50">
      <w:pPr>
        <w:pStyle w:val="276"/>
        <w:widowControl w:val="0"/>
        <w:ind w:firstLine="480"/>
        <w:jc w:val="both"/>
        <w:rPr>
          <w:color w:val="auto"/>
          <w:kern w:val="2"/>
          <w:szCs w:val="20"/>
        </w:rPr>
      </w:pPr>
      <w:r>
        <w:rPr>
          <w:color w:val="auto"/>
          <w:kern w:val="2"/>
          <w:szCs w:val="20"/>
        </w:rPr>
        <w:t>（3）预测模型</w:t>
      </w:r>
    </w:p>
    <w:p w14:paraId="45B1F752">
      <w:pPr>
        <w:pStyle w:val="276"/>
        <w:widowControl w:val="0"/>
        <w:ind w:firstLine="480"/>
        <w:jc w:val="both"/>
        <w:rPr>
          <w:color w:val="auto"/>
          <w:kern w:val="2"/>
          <w:szCs w:val="20"/>
        </w:rPr>
      </w:pPr>
      <w:r>
        <w:rPr>
          <w:color w:val="auto"/>
          <w:kern w:val="2"/>
          <w:szCs w:val="20"/>
        </w:rPr>
        <w:t>将泄漏时间概化为瞬时</w:t>
      </w:r>
      <w:r>
        <w:rPr>
          <w:color w:val="auto"/>
          <w:lang w:val="zh-CN"/>
        </w:rPr>
        <w:t>注入</w:t>
      </w:r>
      <w:r>
        <w:rPr>
          <w:color w:val="auto"/>
          <w:kern w:val="2"/>
          <w:szCs w:val="20"/>
        </w:rPr>
        <w:t>，再利用二维水动力弥散方程计算最大影响范围。二维水动力瞬时注入弥散方程如下：</w:t>
      </w:r>
    </w:p>
    <w:p w14:paraId="5769D6FC">
      <w:pPr>
        <w:jc w:val="center"/>
        <w:rPr>
          <w:rFonts w:ascii="宋体" w:hAnsi="宋体" w:eastAsia="宋体" w:cs="Times New Roman"/>
          <w:color w:val="auto"/>
          <w:szCs w:val="20"/>
        </w:rPr>
      </w:pPr>
      <w:r>
        <w:rPr>
          <w:rFonts w:ascii="宋体" w:hAnsi="宋体" w:eastAsia="宋体" w:cs="Times New Roman"/>
          <w:color w:val="auto"/>
        </w:rPr>
        <w:drawing>
          <wp:inline distT="0" distB="0" distL="0" distR="0">
            <wp:extent cx="3166110" cy="767715"/>
            <wp:effectExtent l="0" t="0" r="152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08"/>
                    <a:srcRect/>
                    <a:stretch>
                      <a:fillRect/>
                    </a:stretch>
                  </pic:blipFill>
                  <pic:spPr>
                    <a:xfrm>
                      <a:off x="0" y="0"/>
                      <a:ext cx="3166110" cy="767715"/>
                    </a:xfrm>
                    <a:prstGeom prst="rect">
                      <a:avLst/>
                    </a:prstGeom>
                    <a:noFill/>
                    <a:ln>
                      <a:noFill/>
                    </a:ln>
                  </pic:spPr>
                </pic:pic>
              </a:graphicData>
            </a:graphic>
          </wp:inline>
        </w:drawing>
      </w:r>
    </w:p>
    <w:p w14:paraId="1269655B">
      <w:pPr>
        <w:pStyle w:val="276"/>
        <w:widowControl w:val="0"/>
        <w:ind w:firstLine="480"/>
        <w:jc w:val="both"/>
        <w:rPr>
          <w:color w:val="auto"/>
          <w:kern w:val="2"/>
          <w:szCs w:val="20"/>
        </w:rPr>
      </w:pPr>
      <w:r>
        <w:rPr>
          <w:color w:val="auto"/>
          <w:kern w:val="2"/>
          <w:szCs w:val="20"/>
        </w:rPr>
        <w:t>式中：</w:t>
      </w:r>
    </w:p>
    <w:p w14:paraId="7062056F">
      <w:pPr>
        <w:pStyle w:val="276"/>
        <w:widowControl w:val="0"/>
        <w:ind w:firstLine="480"/>
        <w:jc w:val="both"/>
        <w:rPr>
          <w:color w:val="auto"/>
          <w:kern w:val="2"/>
          <w:szCs w:val="20"/>
        </w:rPr>
      </w:pPr>
      <w:r>
        <w:rPr>
          <w:color w:val="auto"/>
          <w:kern w:val="2"/>
          <w:szCs w:val="20"/>
        </w:rPr>
        <w:t>x，y—计算点处的位置坐标；</w:t>
      </w:r>
    </w:p>
    <w:p w14:paraId="7B77680F">
      <w:pPr>
        <w:pStyle w:val="276"/>
        <w:widowControl w:val="0"/>
        <w:ind w:firstLine="480"/>
        <w:jc w:val="both"/>
        <w:rPr>
          <w:color w:val="auto"/>
          <w:kern w:val="2"/>
          <w:szCs w:val="20"/>
        </w:rPr>
      </w:pPr>
      <w:r>
        <w:rPr>
          <w:color w:val="auto"/>
          <w:kern w:val="2"/>
          <w:szCs w:val="20"/>
        </w:rPr>
        <w:t>t—时间，d；</w:t>
      </w:r>
    </w:p>
    <w:p w14:paraId="2EE007A7">
      <w:pPr>
        <w:pStyle w:val="276"/>
        <w:widowControl w:val="0"/>
        <w:ind w:firstLine="480"/>
        <w:jc w:val="both"/>
        <w:rPr>
          <w:color w:val="auto"/>
          <w:kern w:val="2"/>
          <w:szCs w:val="20"/>
        </w:rPr>
      </w:pPr>
      <w:r>
        <w:rPr>
          <w:color w:val="auto"/>
          <w:kern w:val="2"/>
          <w:szCs w:val="20"/>
        </w:rPr>
        <w:t>C(x，y，t)—t时刻点x，y处的示踪剂浓度，g/L；</w:t>
      </w:r>
    </w:p>
    <w:p w14:paraId="6392636A">
      <w:pPr>
        <w:pStyle w:val="276"/>
        <w:widowControl w:val="0"/>
        <w:ind w:firstLine="480"/>
        <w:jc w:val="both"/>
        <w:rPr>
          <w:color w:val="auto"/>
          <w:kern w:val="2"/>
          <w:szCs w:val="20"/>
        </w:rPr>
      </w:pPr>
      <w:r>
        <w:rPr>
          <w:color w:val="auto"/>
          <w:kern w:val="2"/>
          <w:szCs w:val="20"/>
        </w:rPr>
        <w:t>M—含水层的厚度，m；</w:t>
      </w:r>
    </w:p>
    <w:p w14:paraId="01FCB9DF">
      <w:pPr>
        <w:pStyle w:val="276"/>
        <w:widowControl w:val="0"/>
        <w:ind w:firstLine="480"/>
        <w:jc w:val="both"/>
        <w:rPr>
          <w:color w:val="auto"/>
          <w:kern w:val="2"/>
          <w:szCs w:val="20"/>
        </w:rPr>
      </w:pPr>
      <w:r>
        <w:rPr>
          <w:color w:val="auto"/>
          <w:kern w:val="2"/>
          <w:szCs w:val="20"/>
        </w:rPr>
        <w:t>m</w:t>
      </w:r>
      <w:r>
        <w:rPr>
          <w:color w:val="auto"/>
          <w:kern w:val="2"/>
          <w:szCs w:val="20"/>
          <w:vertAlign w:val="subscript"/>
        </w:rPr>
        <w:t>M</w:t>
      </w:r>
      <w:r>
        <w:rPr>
          <w:color w:val="auto"/>
          <w:kern w:val="2"/>
          <w:szCs w:val="20"/>
        </w:rPr>
        <w:t>—长度为M的线源瞬时注入的示踪剂质量，kg；</w:t>
      </w:r>
    </w:p>
    <w:p w14:paraId="577343C0">
      <w:pPr>
        <w:pStyle w:val="276"/>
        <w:widowControl w:val="0"/>
        <w:ind w:firstLine="480"/>
        <w:jc w:val="both"/>
        <w:rPr>
          <w:color w:val="auto"/>
          <w:kern w:val="2"/>
          <w:szCs w:val="20"/>
        </w:rPr>
      </w:pPr>
      <w:r>
        <w:rPr>
          <w:color w:val="auto"/>
          <w:kern w:val="2"/>
          <w:szCs w:val="20"/>
        </w:rPr>
        <w:t>u—水流速度，m/d；</w:t>
      </w:r>
    </w:p>
    <w:p w14:paraId="7BFB0F3D">
      <w:pPr>
        <w:pStyle w:val="276"/>
        <w:widowControl w:val="0"/>
        <w:ind w:firstLine="480"/>
        <w:jc w:val="both"/>
        <w:rPr>
          <w:color w:val="auto"/>
          <w:kern w:val="2"/>
          <w:szCs w:val="20"/>
        </w:rPr>
      </w:pPr>
      <w:r>
        <w:rPr>
          <w:color w:val="auto"/>
          <w:kern w:val="2"/>
          <w:szCs w:val="20"/>
        </w:rPr>
        <w:t>n—有效孔隙度，无量纲；</w:t>
      </w:r>
    </w:p>
    <w:p w14:paraId="69849CFB">
      <w:pPr>
        <w:pStyle w:val="276"/>
        <w:widowControl w:val="0"/>
        <w:ind w:firstLine="480"/>
        <w:jc w:val="both"/>
        <w:rPr>
          <w:color w:val="auto"/>
          <w:kern w:val="2"/>
          <w:szCs w:val="20"/>
        </w:rPr>
      </w:pPr>
      <w:r>
        <w:rPr>
          <w:color w:val="auto"/>
          <w:kern w:val="2"/>
          <w:szCs w:val="20"/>
        </w:rPr>
        <w:t>D</w:t>
      </w:r>
      <w:r>
        <w:rPr>
          <w:color w:val="auto"/>
          <w:kern w:val="2"/>
          <w:szCs w:val="20"/>
          <w:vertAlign w:val="subscript"/>
        </w:rPr>
        <w:t>L</w:t>
      </w:r>
      <w:r>
        <w:rPr>
          <w:color w:val="auto"/>
          <w:kern w:val="2"/>
          <w:szCs w:val="20"/>
        </w:rPr>
        <w:t>—纵向弥散系数，m</w:t>
      </w:r>
      <w:r>
        <w:rPr>
          <w:color w:val="auto"/>
          <w:kern w:val="2"/>
          <w:szCs w:val="20"/>
          <w:vertAlign w:val="superscript"/>
        </w:rPr>
        <w:t>2</w:t>
      </w:r>
      <w:r>
        <w:rPr>
          <w:color w:val="auto"/>
          <w:kern w:val="2"/>
          <w:szCs w:val="20"/>
        </w:rPr>
        <w:t>/d；</w:t>
      </w:r>
    </w:p>
    <w:p w14:paraId="1F8732E9">
      <w:pPr>
        <w:pStyle w:val="276"/>
        <w:widowControl w:val="0"/>
        <w:ind w:firstLine="480"/>
        <w:jc w:val="both"/>
        <w:rPr>
          <w:color w:val="auto"/>
          <w:kern w:val="2"/>
          <w:szCs w:val="20"/>
        </w:rPr>
      </w:pPr>
      <w:r>
        <w:rPr>
          <w:color w:val="auto"/>
          <w:kern w:val="2"/>
          <w:szCs w:val="20"/>
        </w:rPr>
        <w:t>D</w:t>
      </w:r>
      <w:r>
        <w:rPr>
          <w:color w:val="auto"/>
          <w:kern w:val="2"/>
          <w:szCs w:val="20"/>
          <w:vertAlign w:val="subscript"/>
        </w:rPr>
        <w:t>T</w:t>
      </w:r>
      <w:r>
        <w:rPr>
          <w:color w:val="auto"/>
          <w:kern w:val="2"/>
          <w:szCs w:val="20"/>
        </w:rPr>
        <w:t>—横向y方向的弥散系数，m</w:t>
      </w:r>
      <w:r>
        <w:rPr>
          <w:color w:val="auto"/>
          <w:kern w:val="2"/>
          <w:szCs w:val="20"/>
          <w:vertAlign w:val="superscript"/>
        </w:rPr>
        <w:t>2</w:t>
      </w:r>
      <w:r>
        <w:rPr>
          <w:color w:val="auto"/>
          <w:kern w:val="2"/>
          <w:szCs w:val="20"/>
        </w:rPr>
        <w:t>/d。</w:t>
      </w:r>
    </w:p>
    <w:p w14:paraId="20B8D370">
      <w:pPr>
        <w:pStyle w:val="276"/>
        <w:widowControl w:val="0"/>
        <w:ind w:firstLine="480"/>
        <w:jc w:val="both"/>
        <w:rPr>
          <w:color w:val="auto"/>
          <w:kern w:val="2"/>
          <w:szCs w:val="20"/>
        </w:rPr>
      </w:pPr>
      <w:r>
        <w:rPr>
          <w:color w:val="auto"/>
          <w:kern w:val="2"/>
          <w:szCs w:val="20"/>
        </w:rPr>
        <w:t>π—圆周率。</w:t>
      </w:r>
    </w:p>
    <w:p w14:paraId="6D942B67">
      <w:pPr>
        <w:pStyle w:val="276"/>
        <w:widowControl w:val="0"/>
        <w:ind w:firstLine="480"/>
        <w:jc w:val="both"/>
        <w:rPr>
          <w:color w:val="auto"/>
          <w:kern w:val="2"/>
          <w:szCs w:val="20"/>
        </w:rPr>
      </w:pPr>
      <w:r>
        <w:rPr>
          <w:color w:val="auto"/>
          <w:kern w:val="2"/>
          <w:szCs w:val="20"/>
        </w:rPr>
        <w:t>（4）参数选取</w:t>
      </w:r>
    </w:p>
    <w:p w14:paraId="685205B4">
      <w:pPr>
        <w:pStyle w:val="276"/>
        <w:widowControl w:val="0"/>
        <w:ind w:firstLine="480"/>
        <w:jc w:val="both"/>
        <w:rPr>
          <w:color w:val="auto"/>
          <w:kern w:val="21"/>
          <w:szCs w:val="20"/>
        </w:rPr>
      </w:pPr>
      <w:r>
        <w:rPr>
          <w:color w:val="auto"/>
          <w:kern w:val="21"/>
          <w:szCs w:val="20"/>
        </w:rPr>
        <w:t>根据达西定律u=渗透系数×地下水水力坡度/有效孔隙度，承压水含水层渗透系数K=25m/d，水力坡度I=0.000</w:t>
      </w:r>
      <w:r>
        <w:rPr>
          <w:rFonts w:hint="eastAsia"/>
          <w:color w:val="auto"/>
          <w:kern w:val="21"/>
          <w:szCs w:val="20"/>
        </w:rPr>
        <w:t>4</w:t>
      </w:r>
      <w:r>
        <w:rPr>
          <w:color w:val="auto"/>
          <w:kern w:val="21"/>
          <w:szCs w:val="20"/>
        </w:rPr>
        <w:t>，有效孔隙度ne为0.</w:t>
      </w:r>
      <w:r>
        <w:rPr>
          <w:rFonts w:hint="eastAsia"/>
          <w:color w:val="auto"/>
          <w:kern w:val="21"/>
          <w:szCs w:val="20"/>
        </w:rPr>
        <w:t>3</w:t>
      </w:r>
      <w:r>
        <w:rPr>
          <w:color w:val="auto"/>
          <w:kern w:val="21"/>
          <w:szCs w:val="20"/>
        </w:rPr>
        <w:t>，有效评价区内承压水含水层地下水流速为0.0</w:t>
      </w:r>
      <w:r>
        <w:rPr>
          <w:rFonts w:hint="eastAsia"/>
          <w:color w:val="auto"/>
          <w:kern w:val="21"/>
          <w:szCs w:val="20"/>
        </w:rPr>
        <w:t>33</w:t>
      </w:r>
      <w:r>
        <w:rPr>
          <w:color w:val="auto"/>
          <w:kern w:val="21"/>
          <w:szCs w:val="20"/>
        </w:rPr>
        <w:t>m/d。承压含水层厚度</w:t>
      </w:r>
      <w:r>
        <w:rPr>
          <w:rFonts w:hint="eastAsia"/>
          <w:color w:val="auto"/>
          <w:kern w:val="21"/>
          <w:szCs w:val="20"/>
        </w:rPr>
        <w:t>1</w:t>
      </w:r>
      <w:r>
        <w:rPr>
          <w:color w:val="auto"/>
          <w:kern w:val="21"/>
          <w:szCs w:val="20"/>
        </w:rPr>
        <w:t>0m。弥散系数：区域地下水纵向弥散系数0.</w:t>
      </w:r>
      <w:r>
        <w:rPr>
          <w:rFonts w:hint="eastAsia"/>
          <w:color w:val="auto"/>
          <w:kern w:val="21"/>
          <w:szCs w:val="20"/>
        </w:rPr>
        <w:t>1</w:t>
      </w:r>
      <w:r>
        <w:rPr>
          <w:color w:val="auto"/>
          <w:kern w:val="21"/>
          <w:szCs w:val="20"/>
        </w:rPr>
        <w:t>m</w:t>
      </w:r>
      <w:r>
        <w:rPr>
          <w:color w:val="auto"/>
          <w:kern w:val="21"/>
          <w:szCs w:val="20"/>
          <w:vertAlign w:val="superscript"/>
        </w:rPr>
        <w:t>2</w:t>
      </w:r>
      <w:r>
        <w:rPr>
          <w:color w:val="auto"/>
          <w:kern w:val="21"/>
          <w:szCs w:val="20"/>
        </w:rPr>
        <w:t>/d，横向弥散系数0.02m</w:t>
      </w:r>
      <w:r>
        <w:rPr>
          <w:color w:val="auto"/>
          <w:kern w:val="21"/>
          <w:szCs w:val="20"/>
          <w:vertAlign w:val="superscript"/>
        </w:rPr>
        <w:t>2</w:t>
      </w:r>
      <w:r>
        <w:rPr>
          <w:color w:val="auto"/>
          <w:kern w:val="21"/>
          <w:szCs w:val="20"/>
        </w:rPr>
        <w:t>/d。</w:t>
      </w:r>
    </w:p>
    <w:p w14:paraId="2DB1AAD3">
      <w:pPr>
        <w:pStyle w:val="276"/>
        <w:widowControl w:val="0"/>
        <w:ind w:firstLine="480"/>
        <w:jc w:val="both"/>
        <w:rPr>
          <w:color w:val="auto"/>
          <w:kern w:val="2"/>
          <w:szCs w:val="20"/>
        </w:rPr>
      </w:pPr>
      <w:r>
        <w:rPr>
          <w:color w:val="auto"/>
          <w:kern w:val="21"/>
          <w:szCs w:val="20"/>
        </w:rPr>
        <w:t>选取地下水石油类≤0.05mg/L（参照《地表水环境质量标准》（GB3838-2002）II类标准执行），化学反应常数为0。</w:t>
      </w:r>
    </w:p>
    <w:p w14:paraId="13F331BA">
      <w:pPr>
        <w:pStyle w:val="276"/>
        <w:widowControl w:val="0"/>
        <w:ind w:firstLine="480"/>
        <w:jc w:val="both"/>
        <w:rPr>
          <w:color w:val="auto"/>
          <w:kern w:val="2"/>
          <w:szCs w:val="20"/>
        </w:rPr>
      </w:pPr>
      <w:r>
        <w:rPr>
          <w:color w:val="auto"/>
          <w:kern w:val="2"/>
          <w:szCs w:val="20"/>
        </w:rPr>
        <w:t>（5）预测结果</w:t>
      </w:r>
    </w:p>
    <w:p w14:paraId="73C77493">
      <w:pPr>
        <w:pStyle w:val="276"/>
        <w:widowControl w:val="0"/>
        <w:ind w:firstLine="480"/>
        <w:jc w:val="both"/>
        <w:rPr>
          <w:color w:val="auto"/>
          <w:kern w:val="2"/>
          <w:szCs w:val="20"/>
        </w:rPr>
      </w:pPr>
      <w:r>
        <w:rPr>
          <w:color w:val="auto"/>
          <w:kern w:val="2"/>
          <w:szCs w:val="20"/>
        </w:rPr>
        <w:t>钻井套管连接不及时等操作失误造成的油基钻井液泄漏第100d、1000d、5</w:t>
      </w:r>
      <w:r>
        <w:rPr>
          <w:rFonts w:hint="eastAsia"/>
          <w:color w:val="auto"/>
          <w:kern w:val="2"/>
          <w:szCs w:val="20"/>
        </w:rPr>
        <w:t>475</w:t>
      </w:r>
      <w:r>
        <w:rPr>
          <w:color w:val="auto"/>
          <w:kern w:val="2"/>
          <w:szCs w:val="20"/>
        </w:rPr>
        <w:t>d对潜水的影响预测结果见表5.3-2、图5.3-1～图5.3-3。</w:t>
      </w:r>
    </w:p>
    <w:p w14:paraId="45D01A99">
      <w:pPr>
        <w:pStyle w:val="276"/>
        <w:widowControl w:val="0"/>
        <w:spacing w:line="440" w:lineRule="exact"/>
        <w:ind w:firstLine="0" w:firstLineChars="0"/>
        <w:jc w:val="center"/>
        <w:rPr>
          <w:color w:val="auto"/>
          <w:kern w:val="2"/>
          <w:szCs w:val="20"/>
        </w:rPr>
      </w:pPr>
      <w:r>
        <w:rPr>
          <w:color w:val="auto"/>
          <w:kern w:val="2"/>
          <w:szCs w:val="20"/>
        </w:rPr>
        <w:t>表5.3-2 油基钻井液泄漏对地下水影响预测结果表</w:t>
      </w:r>
    </w:p>
    <w:tbl>
      <w:tblPr>
        <w:tblStyle w:val="8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7"/>
        <w:gridCol w:w="934"/>
        <w:gridCol w:w="1518"/>
        <w:gridCol w:w="1518"/>
        <w:gridCol w:w="1423"/>
        <w:gridCol w:w="1995"/>
        <w:gridCol w:w="1128"/>
      </w:tblGrid>
      <w:tr w14:paraId="29AA5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3" w:type="pct"/>
            <w:vAlign w:val="center"/>
          </w:tcPr>
          <w:p w14:paraId="5B992856">
            <w:pPr>
              <w:spacing w:line="360" w:lineRule="exact"/>
              <w:jc w:val="center"/>
              <w:rPr>
                <w:rFonts w:ascii="宋体" w:hAnsi="宋体" w:eastAsia="宋体" w:cs="Times New Roman"/>
                <w:color w:val="auto"/>
              </w:rPr>
            </w:pPr>
            <w:r>
              <w:rPr>
                <w:rFonts w:ascii="宋体" w:hAnsi="宋体" w:eastAsia="宋体" w:cs="Times New Roman"/>
                <w:color w:val="auto"/>
              </w:rPr>
              <w:t>污染物</w:t>
            </w:r>
          </w:p>
        </w:tc>
        <w:tc>
          <w:tcPr>
            <w:tcW w:w="503" w:type="pct"/>
            <w:vAlign w:val="center"/>
          </w:tcPr>
          <w:p w14:paraId="1DAD5365">
            <w:pPr>
              <w:spacing w:line="360" w:lineRule="exact"/>
              <w:jc w:val="center"/>
              <w:rPr>
                <w:rFonts w:ascii="宋体" w:hAnsi="宋体" w:eastAsia="宋体" w:cs="Times New Roman"/>
                <w:color w:val="auto"/>
              </w:rPr>
            </w:pPr>
            <w:r>
              <w:rPr>
                <w:rFonts w:ascii="宋体" w:hAnsi="宋体" w:eastAsia="宋体" w:cs="Times New Roman"/>
                <w:color w:val="auto"/>
              </w:rPr>
              <w:t>预测时间</w:t>
            </w:r>
          </w:p>
        </w:tc>
        <w:tc>
          <w:tcPr>
            <w:tcW w:w="817" w:type="pct"/>
            <w:vAlign w:val="center"/>
          </w:tcPr>
          <w:p w14:paraId="1D650F9A">
            <w:pPr>
              <w:jc w:val="center"/>
              <w:rPr>
                <w:rFonts w:ascii="宋体" w:hAnsi="宋体" w:eastAsia="宋体" w:cs="Times New Roman"/>
                <w:color w:val="auto"/>
              </w:rPr>
            </w:pPr>
            <w:r>
              <w:rPr>
                <w:rFonts w:hint="eastAsia" w:ascii="宋体" w:hAnsi="宋体" w:eastAsia="宋体" w:cs="Times New Roman"/>
                <w:color w:val="auto"/>
              </w:rPr>
              <w:t>最大浓度mg/L</w:t>
            </w:r>
          </w:p>
        </w:tc>
        <w:tc>
          <w:tcPr>
            <w:tcW w:w="817" w:type="pct"/>
            <w:vAlign w:val="center"/>
          </w:tcPr>
          <w:p w14:paraId="49144C7B">
            <w:pPr>
              <w:jc w:val="center"/>
              <w:rPr>
                <w:rFonts w:ascii="宋体" w:hAnsi="宋体" w:eastAsia="宋体" w:cs="Times New Roman"/>
                <w:color w:val="auto"/>
              </w:rPr>
            </w:pPr>
            <w:r>
              <w:rPr>
                <w:rFonts w:ascii="宋体" w:hAnsi="宋体" w:eastAsia="宋体" w:cs="Times New Roman"/>
                <w:color w:val="auto"/>
              </w:rPr>
              <w:t>超标最远距离/m</w:t>
            </w:r>
          </w:p>
        </w:tc>
        <w:tc>
          <w:tcPr>
            <w:tcW w:w="766" w:type="pct"/>
            <w:vAlign w:val="center"/>
          </w:tcPr>
          <w:p w14:paraId="2AC6D3BE">
            <w:pPr>
              <w:jc w:val="center"/>
              <w:rPr>
                <w:rFonts w:ascii="宋体" w:hAnsi="宋体" w:eastAsia="宋体" w:cs="Times New Roman"/>
                <w:color w:val="auto"/>
              </w:rPr>
            </w:pPr>
            <w:r>
              <w:rPr>
                <w:rFonts w:ascii="宋体" w:hAnsi="宋体" w:eastAsia="宋体" w:cs="Times New Roman"/>
                <w:color w:val="auto"/>
              </w:rPr>
              <w:t>超标面积/m</w:t>
            </w:r>
            <w:r>
              <w:rPr>
                <w:rFonts w:ascii="宋体" w:hAnsi="宋体" w:eastAsia="宋体" w:cs="Times New Roman"/>
                <w:color w:val="auto"/>
                <w:vertAlign w:val="superscript"/>
              </w:rPr>
              <w:t>2</w:t>
            </w:r>
          </w:p>
        </w:tc>
        <w:tc>
          <w:tcPr>
            <w:tcW w:w="1074" w:type="pct"/>
            <w:vAlign w:val="center"/>
          </w:tcPr>
          <w:p w14:paraId="28B5D753">
            <w:pPr>
              <w:jc w:val="center"/>
              <w:rPr>
                <w:rFonts w:ascii="宋体" w:hAnsi="宋体" w:eastAsia="宋体" w:cs="Times New Roman"/>
                <w:color w:val="auto"/>
              </w:rPr>
            </w:pPr>
            <w:r>
              <w:rPr>
                <w:rFonts w:ascii="宋体" w:hAnsi="宋体" w:eastAsia="宋体" w:cs="Times New Roman"/>
                <w:color w:val="auto"/>
              </w:rPr>
              <w:t>最远影响距离</w:t>
            </w:r>
          </w:p>
          <w:p w14:paraId="63124093">
            <w:pPr>
              <w:jc w:val="center"/>
              <w:rPr>
                <w:rFonts w:ascii="宋体" w:hAnsi="宋体" w:eastAsia="宋体" w:cs="Times New Roman"/>
                <w:color w:val="auto"/>
              </w:rPr>
            </w:pPr>
            <w:r>
              <w:rPr>
                <w:rFonts w:ascii="宋体" w:hAnsi="宋体" w:eastAsia="宋体" w:cs="Times New Roman"/>
                <w:color w:val="auto"/>
              </w:rPr>
              <w:t>（最大迁移距离）/m</w:t>
            </w:r>
          </w:p>
        </w:tc>
        <w:tc>
          <w:tcPr>
            <w:tcW w:w="607" w:type="pct"/>
            <w:vAlign w:val="center"/>
          </w:tcPr>
          <w:p w14:paraId="4E4434CC">
            <w:pPr>
              <w:jc w:val="center"/>
              <w:rPr>
                <w:rFonts w:ascii="宋体" w:hAnsi="宋体" w:eastAsia="宋体" w:cs="Times New Roman"/>
                <w:color w:val="auto"/>
              </w:rPr>
            </w:pPr>
            <w:r>
              <w:rPr>
                <w:rFonts w:ascii="宋体" w:hAnsi="宋体" w:eastAsia="宋体" w:cs="Times New Roman"/>
                <w:color w:val="auto"/>
              </w:rPr>
              <w:t>影响面积/ m</w:t>
            </w:r>
            <w:r>
              <w:rPr>
                <w:rFonts w:ascii="宋体" w:hAnsi="宋体" w:eastAsia="宋体" w:cs="Times New Roman"/>
                <w:color w:val="auto"/>
                <w:vertAlign w:val="superscript"/>
              </w:rPr>
              <w:t>2</w:t>
            </w:r>
          </w:p>
        </w:tc>
      </w:tr>
      <w:tr w14:paraId="1418A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3" w:type="pct"/>
            <w:vMerge w:val="restart"/>
            <w:vAlign w:val="center"/>
          </w:tcPr>
          <w:p w14:paraId="06E96205">
            <w:pPr>
              <w:spacing w:line="360" w:lineRule="exact"/>
              <w:jc w:val="center"/>
              <w:rPr>
                <w:rFonts w:ascii="宋体" w:hAnsi="宋体" w:eastAsia="宋体" w:cs="Times New Roman"/>
                <w:color w:val="auto"/>
              </w:rPr>
            </w:pPr>
            <w:r>
              <w:rPr>
                <w:rFonts w:ascii="宋体" w:hAnsi="宋体" w:eastAsia="宋体" w:cs="Times New Roman"/>
                <w:color w:val="auto"/>
              </w:rPr>
              <w:t>石油类</w:t>
            </w:r>
          </w:p>
        </w:tc>
        <w:tc>
          <w:tcPr>
            <w:tcW w:w="503" w:type="pct"/>
            <w:vAlign w:val="center"/>
          </w:tcPr>
          <w:p w14:paraId="426216BC">
            <w:pPr>
              <w:spacing w:line="360" w:lineRule="exact"/>
              <w:jc w:val="center"/>
              <w:rPr>
                <w:rFonts w:ascii="宋体" w:hAnsi="宋体" w:eastAsia="宋体" w:cs="Times New Roman"/>
                <w:color w:val="auto"/>
              </w:rPr>
            </w:pPr>
            <w:r>
              <w:rPr>
                <w:rFonts w:ascii="宋体" w:hAnsi="宋体" w:eastAsia="宋体" w:cs="Times New Roman"/>
                <w:color w:val="auto"/>
              </w:rPr>
              <w:t>100天</w:t>
            </w:r>
          </w:p>
        </w:tc>
        <w:tc>
          <w:tcPr>
            <w:tcW w:w="817" w:type="pct"/>
            <w:vAlign w:val="center"/>
          </w:tcPr>
          <w:p w14:paraId="480EF79F">
            <w:pPr>
              <w:spacing w:line="360" w:lineRule="exact"/>
              <w:jc w:val="center"/>
              <w:rPr>
                <w:rFonts w:ascii="宋体" w:hAnsi="宋体" w:eastAsia="宋体" w:cs="Times New Roman"/>
                <w:color w:val="auto"/>
              </w:rPr>
            </w:pPr>
            <w:r>
              <w:rPr>
                <w:rFonts w:ascii="宋体" w:hAnsi="宋体" w:eastAsia="宋体" w:cs="Times New Roman"/>
                <w:color w:val="auto"/>
              </w:rPr>
              <w:t>117675.70</w:t>
            </w:r>
          </w:p>
        </w:tc>
        <w:tc>
          <w:tcPr>
            <w:tcW w:w="817" w:type="pct"/>
            <w:vAlign w:val="center"/>
          </w:tcPr>
          <w:p w14:paraId="013E79FD">
            <w:pPr>
              <w:spacing w:line="360" w:lineRule="exact"/>
              <w:jc w:val="center"/>
              <w:rPr>
                <w:rFonts w:ascii="宋体" w:hAnsi="宋体" w:eastAsia="宋体" w:cs="Times New Roman"/>
                <w:color w:val="auto"/>
              </w:rPr>
            </w:pPr>
            <w:r>
              <w:rPr>
                <w:rFonts w:hint="eastAsia" w:ascii="宋体" w:hAnsi="宋体" w:eastAsia="宋体" w:cs="Times New Roman"/>
                <w:color w:val="auto"/>
              </w:rPr>
              <w:t>27</w:t>
            </w:r>
          </w:p>
        </w:tc>
        <w:tc>
          <w:tcPr>
            <w:tcW w:w="766" w:type="pct"/>
            <w:vAlign w:val="center"/>
          </w:tcPr>
          <w:p w14:paraId="54DA8F9D">
            <w:pPr>
              <w:spacing w:line="360" w:lineRule="exact"/>
              <w:jc w:val="center"/>
              <w:rPr>
                <w:rFonts w:ascii="宋体" w:hAnsi="宋体" w:eastAsia="宋体" w:cs="Times New Roman"/>
                <w:color w:val="auto"/>
              </w:rPr>
            </w:pPr>
            <w:r>
              <w:rPr>
                <w:rFonts w:ascii="宋体" w:hAnsi="宋体" w:eastAsia="宋体" w:cs="Times New Roman"/>
                <w:color w:val="auto"/>
              </w:rPr>
              <w:t>815.61</w:t>
            </w:r>
          </w:p>
        </w:tc>
        <w:tc>
          <w:tcPr>
            <w:tcW w:w="1074" w:type="pct"/>
            <w:vAlign w:val="center"/>
          </w:tcPr>
          <w:p w14:paraId="5FC4566C">
            <w:pPr>
              <w:spacing w:line="360" w:lineRule="exact"/>
              <w:jc w:val="center"/>
              <w:rPr>
                <w:rFonts w:ascii="宋体" w:hAnsi="宋体" w:eastAsia="宋体" w:cs="Times New Roman"/>
                <w:color w:val="auto"/>
              </w:rPr>
            </w:pPr>
            <w:r>
              <w:rPr>
                <w:rFonts w:hint="eastAsia" w:ascii="宋体" w:hAnsi="宋体" w:eastAsia="宋体" w:cs="Times New Roman"/>
                <w:color w:val="auto"/>
              </w:rPr>
              <w:t>28</w:t>
            </w:r>
          </w:p>
        </w:tc>
        <w:tc>
          <w:tcPr>
            <w:tcW w:w="607" w:type="pct"/>
            <w:vAlign w:val="center"/>
          </w:tcPr>
          <w:p w14:paraId="0A34511E">
            <w:pPr>
              <w:spacing w:line="360" w:lineRule="exact"/>
              <w:jc w:val="center"/>
              <w:rPr>
                <w:rFonts w:ascii="宋体" w:hAnsi="宋体" w:eastAsia="宋体" w:cs="Times New Roman"/>
                <w:color w:val="auto"/>
              </w:rPr>
            </w:pPr>
            <w:r>
              <w:rPr>
                <w:rFonts w:ascii="宋体" w:hAnsi="宋体" w:eastAsia="宋体" w:cs="Times New Roman"/>
                <w:color w:val="auto"/>
              </w:rPr>
              <w:t>925.40</w:t>
            </w:r>
          </w:p>
        </w:tc>
      </w:tr>
      <w:tr w14:paraId="0FF65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3" w:type="pct"/>
            <w:vMerge w:val="continue"/>
            <w:vAlign w:val="center"/>
          </w:tcPr>
          <w:p w14:paraId="1061CF25">
            <w:pPr>
              <w:spacing w:line="360" w:lineRule="exact"/>
              <w:jc w:val="center"/>
              <w:rPr>
                <w:rFonts w:ascii="宋体" w:hAnsi="宋体" w:eastAsia="宋体" w:cs="Times New Roman"/>
                <w:color w:val="auto"/>
              </w:rPr>
            </w:pPr>
          </w:p>
        </w:tc>
        <w:tc>
          <w:tcPr>
            <w:tcW w:w="503" w:type="pct"/>
            <w:vAlign w:val="center"/>
          </w:tcPr>
          <w:p w14:paraId="13547225">
            <w:pPr>
              <w:spacing w:line="360" w:lineRule="exact"/>
              <w:jc w:val="center"/>
              <w:rPr>
                <w:rFonts w:ascii="宋体" w:hAnsi="宋体" w:eastAsia="宋体" w:cs="Times New Roman"/>
                <w:color w:val="auto"/>
              </w:rPr>
            </w:pPr>
            <w:r>
              <w:rPr>
                <w:rFonts w:ascii="宋体" w:hAnsi="宋体" w:eastAsia="宋体" w:cs="Times New Roman"/>
                <w:color w:val="auto"/>
              </w:rPr>
              <w:t>1000天</w:t>
            </w:r>
          </w:p>
        </w:tc>
        <w:tc>
          <w:tcPr>
            <w:tcW w:w="817" w:type="pct"/>
            <w:vAlign w:val="center"/>
          </w:tcPr>
          <w:p w14:paraId="29ABB5A8">
            <w:pPr>
              <w:spacing w:line="360" w:lineRule="exact"/>
              <w:jc w:val="center"/>
              <w:rPr>
                <w:rFonts w:ascii="宋体" w:hAnsi="宋体" w:eastAsia="宋体" w:cs="Times New Roman"/>
                <w:color w:val="auto"/>
              </w:rPr>
            </w:pPr>
            <w:r>
              <w:rPr>
                <w:rFonts w:ascii="宋体" w:hAnsi="宋体" w:eastAsia="宋体" w:cs="Times New Roman"/>
                <w:color w:val="auto"/>
              </w:rPr>
              <w:t>11767.57</w:t>
            </w:r>
          </w:p>
        </w:tc>
        <w:tc>
          <w:tcPr>
            <w:tcW w:w="817" w:type="pct"/>
            <w:vAlign w:val="center"/>
          </w:tcPr>
          <w:p w14:paraId="3B64BB0F">
            <w:pPr>
              <w:spacing w:line="360" w:lineRule="exact"/>
              <w:jc w:val="center"/>
              <w:rPr>
                <w:rFonts w:ascii="宋体" w:hAnsi="宋体" w:eastAsia="宋体" w:cs="Times New Roman"/>
                <w:color w:val="auto"/>
              </w:rPr>
            </w:pPr>
            <w:r>
              <w:rPr>
                <w:rFonts w:hint="eastAsia" w:ascii="宋体" w:hAnsi="宋体" w:eastAsia="宋体" w:cs="Times New Roman"/>
                <w:color w:val="auto"/>
              </w:rPr>
              <w:t>103</w:t>
            </w:r>
          </w:p>
        </w:tc>
        <w:tc>
          <w:tcPr>
            <w:tcW w:w="766" w:type="pct"/>
            <w:vAlign w:val="center"/>
          </w:tcPr>
          <w:p w14:paraId="2268FDCD">
            <w:pPr>
              <w:spacing w:line="360" w:lineRule="exact"/>
              <w:jc w:val="center"/>
              <w:rPr>
                <w:rFonts w:ascii="宋体" w:hAnsi="宋体" w:eastAsia="宋体" w:cs="Times New Roman"/>
                <w:color w:val="auto"/>
              </w:rPr>
            </w:pPr>
            <w:r>
              <w:rPr>
                <w:rFonts w:hint="eastAsia" w:ascii="宋体" w:hAnsi="宋体" w:eastAsia="宋体" w:cs="Times New Roman"/>
                <w:color w:val="auto"/>
              </w:rPr>
              <w:t>6</w:t>
            </w:r>
            <w:r>
              <w:rPr>
                <w:rFonts w:ascii="宋体" w:hAnsi="宋体" w:eastAsia="宋体" w:cs="Times New Roman"/>
                <w:color w:val="auto"/>
              </w:rPr>
              <w:t>822.86</w:t>
            </w:r>
          </w:p>
        </w:tc>
        <w:tc>
          <w:tcPr>
            <w:tcW w:w="1074" w:type="pct"/>
            <w:vAlign w:val="center"/>
          </w:tcPr>
          <w:p w14:paraId="30DD62A9">
            <w:pPr>
              <w:spacing w:line="360" w:lineRule="exact"/>
              <w:jc w:val="center"/>
              <w:rPr>
                <w:rFonts w:ascii="宋体" w:hAnsi="宋体" w:eastAsia="宋体" w:cs="Times New Roman"/>
                <w:color w:val="auto"/>
              </w:rPr>
            </w:pPr>
            <w:r>
              <w:rPr>
                <w:rFonts w:hint="eastAsia" w:ascii="宋体" w:hAnsi="宋体" w:eastAsia="宋体" w:cs="Times New Roman"/>
                <w:color w:val="auto"/>
              </w:rPr>
              <w:t>107</w:t>
            </w:r>
          </w:p>
        </w:tc>
        <w:tc>
          <w:tcPr>
            <w:tcW w:w="607" w:type="pct"/>
            <w:vAlign w:val="center"/>
          </w:tcPr>
          <w:p w14:paraId="381EC849">
            <w:pPr>
              <w:spacing w:line="360" w:lineRule="exact"/>
              <w:jc w:val="center"/>
              <w:rPr>
                <w:rFonts w:ascii="宋体" w:hAnsi="宋体" w:eastAsia="宋体" w:cs="Times New Roman"/>
                <w:color w:val="auto"/>
              </w:rPr>
            </w:pPr>
            <w:r>
              <w:rPr>
                <w:rFonts w:ascii="宋体" w:hAnsi="宋体" w:eastAsia="宋体" w:cs="Times New Roman"/>
                <w:color w:val="auto"/>
              </w:rPr>
              <w:t>7669.84</w:t>
            </w:r>
          </w:p>
        </w:tc>
      </w:tr>
      <w:tr w14:paraId="3AD6F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trPr>
        <w:tc>
          <w:tcPr>
            <w:tcW w:w="413" w:type="pct"/>
            <w:vMerge w:val="continue"/>
            <w:vAlign w:val="center"/>
          </w:tcPr>
          <w:p w14:paraId="78B41173">
            <w:pPr>
              <w:spacing w:line="360" w:lineRule="exact"/>
              <w:jc w:val="center"/>
              <w:rPr>
                <w:rFonts w:ascii="宋体" w:hAnsi="宋体" w:eastAsia="宋体" w:cs="Times New Roman"/>
                <w:color w:val="auto"/>
              </w:rPr>
            </w:pPr>
          </w:p>
        </w:tc>
        <w:tc>
          <w:tcPr>
            <w:tcW w:w="503" w:type="pct"/>
            <w:vAlign w:val="center"/>
          </w:tcPr>
          <w:p w14:paraId="2F0E629D">
            <w:pPr>
              <w:spacing w:line="360" w:lineRule="exact"/>
              <w:jc w:val="center"/>
              <w:rPr>
                <w:rFonts w:ascii="宋体" w:hAnsi="宋体" w:eastAsia="宋体" w:cs="Times New Roman"/>
                <w:color w:val="auto"/>
              </w:rPr>
            </w:pPr>
            <w:r>
              <w:rPr>
                <w:rFonts w:ascii="宋体" w:hAnsi="宋体" w:eastAsia="宋体" w:cs="Times New Roman"/>
                <w:color w:val="auto"/>
              </w:rPr>
              <w:t>5</w:t>
            </w:r>
            <w:r>
              <w:rPr>
                <w:rFonts w:hint="eastAsia" w:ascii="宋体" w:hAnsi="宋体" w:eastAsia="宋体" w:cs="Times New Roman"/>
                <w:color w:val="auto"/>
              </w:rPr>
              <w:t>475</w:t>
            </w:r>
            <w:r>
              <w:rPr>
                <w:rFonts w:ascii="宋体" w:hAnsi="宋体" w:eastAsia="宋体" w:cs="Times New Roman"/>
                <w:color w:val="auto"/>
              </w:rPr>
              <w:t>天</w:t>
            </w:r>
          </w:p>
        </w:tc>
        <w:tc>
          <w:tcPr>
            <w:tcW w:w="817" w:type="pct"/>
            <w:vAlign w:val="center"/>
          </w:tcPr>
          <w:p w14:paraId="55E9E1FF">
            <w:pPr>
              <w:spacing w:line="360" w:lineRule="exact"/>
              <w:jc w:val="center"/>
              <w:rPr>
                <w:rFonts w:ascii="宋体" w:hAnsi="宋体" w:eastAsia="宋体" w:cs="Times New Roman"/>
                <w:color w:val="auto"/>
              </w:rPr>
            </w:pPr>
            <w:r>
              <w:rPr>
                <w:rFonts w:ascii="宋体" w:hAnsi="宋体" w:eastAsia="宋体" w:cs="Times New Roman"/>
                <w:color w:val="auto"/>
              </w:rPr>
              <w:t>2149.3</w:t>
            </w:r>
            <w:r>
              <w:rPr>
                <w:rFonts w:hint="eastAsia" w:ascii="宋体" w:hAnsi="宋体" w:eastAsia="宋体" w:cs="Times New Roman"/>
                <w:color w:val="auto"/>
              </w:rPr>
              <w:t>3</w:t>
            </w:r>
          </w:p>
        </w:tc>
        <w:tc>
          <w:tcPr>
            <w:tcW w:w="817" w:type="pct"/>
            <w:vAlign w:val="center"/>
          </w:tcPr>
          <w:p w14:paraId="088FDFFD">
            <w:pPr>
              <w:spacing w:line="360" w:lineRule="exact"/>
              <w:jc w:val="center"/>
              <w:rPr>
                <w:rFonts w:ascii="宋体" w:hAnsi="宋体" w:eastAsia="宋体" w:cs="Times New Roman"/>
                <w:color w:val="auto"/>
              </w:rPr>
            </w:pPr>
            <w:r>
              <w:rPr>
                <w:rFonts w:hint="eastAsia" w:ascii="宋体" w:hAnsi="宋体" w:eastAsia="宋体" w:cs="Times New Roman"/>
                <w:color w:val="auto"/>
              </w:rPr>
              <w:t>333</w:t>
            </w:r>
          </w:p>
        </w:tc>
        <w:tc>
          <w:tcPr>
            <w:tcW w:w="766" w:type="pct"/>
            <w:vAlign w:val="center"/>
          </w:tcPr>
          <w:p w14:paraId="1290930D">
            <w:pPr>
              <w:spacing w:line="360" w:lineRule="exact"/>
              <w:jc w:val="center"/>
              <w:rPr>
                <w:rFonts w:ascii="宋体" w:hAnsi="宋体" w:eastAsia="宋体" w:cs="Times New Roman"/>
                <w:color w:val="auto"/>
              </w:rPr>
            </w:pPr>
            <w:r>
              <w:rPr>
                <w:rFonts w:ascii="宋体" w:hAnsi="宋体" w:eastAsia="宋体" w:cs="Times New Roman"/>
                <w:color w:val="auto"/>
              </w:rPr>
              <w:t>32300.75</w:t>
            </w:r>
          </w:p>
        </w:tc>
        <w:tc>
          <w:tcPr>
            <w:tcW w:w="1074" w:type="pct"/>
            <w:vAlign w:val="center"/>
          </w:tcPr>
          <w:p w14:paraId="4F661EA8">
            <w:pPr>
              <w:spacing w:line="360" w:lineRule="exact"/>
              <w:jc w:val="center"/>
              <w:rPr>
                <w:rFonts w:ascii="宋体" w:hAnsi="宋体" w:eastAsia="宋体" w:cs="Times New Roman"/>
                <w:color w:val="auto"/>
              </w:rPr>
            </w:pPr>
            <w:r>
              <w:rPr>
                <w:rFonts w:hint="eastAsia" w:ascii="宋体" w:hAnsi="宋体" w:eastAsia="宋体" w:cs="Times New Roman"/>
                <w:color w:val="auto"/>
              </w:rPr>
              <w:t>344</w:t>
            </w:r>
          </w:p>
        </w:tc>
        <w:tc>
          <w:tcPr>
            <w:tcW w:w="607" w:type="pct"/>
            <w:vAlign w:val="center"/>
          </w:tcPr>
          <w:p w14:paraId="1BB2F112">
            <w:pPr>
              <w:spacing w:line="360" w:lineRule="exact"/>
              <w:jc w:val="center"/>
              <w:rPr>
                <w:rFonts w:ascii="宋体" w:hAnsi="宋体" w:eastAsia="宋体" w:cs="Times New Roman"/>
                <w:color w:val="auto"/>
              </w:rPr>
            </w:pPr>
            <w:r>
              <w:rPr>
                <w:rFonts w:ascii="宋体" w:hAnsi="宋体" w:eastAsia="宋体" w:cs="Times New Roman"/>
                <w:color w:val="auto"/>
              </w:rPr>
              <w:t>36908.15</w:t>
            </w:r>
          </w:p>
        </w:tc>
      </w:tr>
    </w:tbl>
    <w:p w14:paraId="62F954D7">
      <w:pPr>
        <w:jc w:val="center"/>
        <w:rPr>
          <w:rFonts w:ascii="宋体" w:hAnsi="宋体" w:eastAsia="宋体"/>
          <w:color w:val="auto"/>
          <w:szCs w:val="24"/>
        </w:rPr>
      </w:pPr>
      <w:r>
        <w:rPr>
          <w:rFonts w:ascii="宋体" w:hAnsi="宋体" w:eastAsia="宋体"/>
          <w:color w:val="auto"/>
        </w:rPr>
        <mc:AlternateContent>
          <mc:Choice Requires="wpg">
            <w:drawing>
              <wp:anchor distT="0" distB="0" distL="114300" distR="114300" simplePos="0" relativeHeight="251665408" behindDoc="1" locked="0" layoutInCell="1" allowOverlap="1">
                <wp:simplePos x="0" y="0"/>
                <wp:positionH relativeFrom="column">
                  <wp:posOffset>1025525</wp:posOffset>
                </wp:positionH>
                <wp:positionV relativeFrom="paragraph">
                  <wp:posOffset>137795</wp:posOffset>
                </wp:positionV>
                <wp:extent cx="4155440" cy="1905"/>
                <wp:effectExtent l="0" t="0" r="0" b="0"/>
                <wp:wrapNone/>
                <wp:docPr id="50523484" name="组合 50523484"/>
                <wp:cNvGraphicFramePr/>
                <a:graphic xmlns:a="http://schemas.openxmlformats.org/drawingml/2006/main">
                  <a:graphicData uri="http://schemas.microsoft.com/office/word/2010/wordprocessingGroup">
                    <wpg:wgp>
                      <wpg:cNvGrpSpPr/>
                      <wpg:grpSpPr>
                        <a:xfrm>
                          <a:off x="0" y="0"/>
                          <a:ext cx="4155440" cy="1962"/>
                          <a:chOff x="2735" y="1461"/>
                          <a:chExt cx="6894" cy="3540"/>
                        </a:xfrm>
                      </wpg:grpSpPr>
                      <pic:pic xmlns:pic="http://schemas.openxmlformats.org/drawingml/2006/picture">
                        <pic:nvPicPr>
                          <pic:cNvPr id="50523485" name="图片 25" descr="C:\Users\Lina\Desktop\1.png1"/>
                          <pic:cNvPicPr>
                            <a:picLocks noChangeAspect="1" noChangeArrowheads="1"/>
                          </pic:cNvPicPr>
                        </pic:nvPicPr>
                        <pic:blipFill>
                          <a:blip r:embed="rId109"/>
                          <a:srcRect/>
                          <a:stretch>
                            <a:fillRect/>
                          </a:stretch>
                        </pic:blipFill>
                        <pic:spPr>
                          <a:xfrm>
                            <a:off x="2735" y="1461"/>
                            <a:ext cx="6524" cy="3540"/>
                          </a:xfrm>
                          <a:prstGeom prst="rect">
                            <a:avLst/>
                          </a:prstGeom>
                          <a:noFill/>
                          <a:ln>
                            <a:noFill/>
                          </a:ln>
                        </pic:spPr>
                      </pic:pic>
                      <wps:wsp>
                        <wps:cNvPr id="50523486" name="文本框 26"/>
                        <wps:cNvSpPr txBox="1">
                          <a:spLocks noChangeArrowheads="1"/>
                        </wps:cNvSpPr>
                        <wps:spPr bwMode="auto">
                          <a:xfrm>
                            <a:off x="9319" y="4701"/>
                            <a:ext cx="310" cy="279"/>
                          </a:xfrm>
                          <a:prstGeom prst="rect">
                            <a:avLst/>
                          </a:prstGeom>
                          <a:noFill/>
                          <a:ln>
                            <a:noFill/>
                          </a:ln>
                        </wps:spPr>
                        <wps:txbx>
                          <w:txbxContent>
                            <w:p w14:paraId="47C8583F">
                              <w:r>
                                <w:rPr>
                                  <w:rFonts w:hint="eastAsia"/>
                                </w:rPr>
                                <w:t>m</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80.75pt;margin-top:10.85pt;height:0.15pt;width:327.2pt;z-index:-251651072;mso-width-relative:page;mso-height-relative:page;" coordorigin="2735,1461" coordsize="6894,3540" o:gfxdata="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">
                <o:lock v:ext="edit" aspectratio="f"/>
                <v:shape id="图片 25" o:spid="_x0000_s1026" o:spt="75" alt="C:\Users\Lina\Desktop\1.png1" type="#_x0000_t75" style="position:absolute;left:2735;top:1461;height:3540;width:6524;" filled="f" o:preferrelative="t" stroked="f" coordsize="21600,21600" o:gfxdata="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s&#10;gembwwAAAOEAAAAPAAAAAAAAAAEAIAAAACIAAABkcnMvZG93bnJldi54bWxQSwECFAAUAAAACACH&#10;TuJAMy8FnjsAAAA5AAAAEAAAAAAAAAABACAAAAASAQAAZHJzL3NoYXBleG1sLnhtbFBLBQYAAAAA&#10;BgAGAFsBAAC8AwAAAAA=&#10;">
                  <v:fill on="f" focussize="0,0"/>
                  <v:stroke on="f"/>
                  <v:imagedata r:id="rId109" o:title=""/>
                  <o:lock v:ext="edit" aspectratio="t"/>
                </v:shape>
                <v:shape id="文本框 26" o:spid="_x0000_s1026" o:spt="202" type="#_x0000_t202" style="position:absolute;left:9319;top:4701;height:279;width:310;" filled="f" stroked="f" coordsize="21600,21600" o:gfxdata="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m&#10;cIjawwAAAOEAAAAPAAAAAAAAAAEAIAAAACIAAABkcnMvZG93bnJldi54bWxQSwECFAAUAAAACACH&#10;TuJAMy8FnjsAAAA5AAAAEAAAAAAAAAABACAAAAASAQAAZHJzL3NoYXBleG1sLnhtbFBLBQYAAAAA&#10;BgAGAFsBAAC8AwAAAAA=&#10;">
                  <v:fill on="f" focussize="0,0"/>
                  <v:stroke on="f"/>
                  <v:imagedata o:title=""/>
                  <o:lock v:ext="edit" aspectratio="f"/>
                  <v:textbox inset="0mm,0mm,0mm,0mm">
                    <w:txbxContent>
                      <w:p w14:paraId="47C8583F">
                        <w:r>
                          <w:rPr>
                            <w:rFonts w:hint="eastAsia"/>
                          </w:rPr>
                          <w:t>m</w:t>
                        </w:r>
                      </w:p>
                    </w:txbxContent>
                  </v:textbox>
                </v:shape>
              </v:group>
            </w:pict>
          </mc:Fallback>
        </mc:AlternateContent>
      </w:r>
      <w:r>
        <w:rPr>
          <w:rFonts w:ascii="宋体" w:hAnsi="宋体" w:eastAsia="宋体"/>
          <w:color w:val="auto"/>
          <w:sz w:val="24"/>
        </w:rPr>
        <mc:AlternateContent>
          <mc:Choice Requires="wpg">
            <w:drawing>
              <wp:anchor distT="0" distB="0" distL="114300" distR="114300" simplePos="0" relativeHeight="251681792" behindDoc="0" locked="0" layoutInCell="1" allowOverlap="1">
                <wp:simplePos x="0" y="0"/>
                <wp:positionH relativeFrom="column">
                  <wp:posOffset>2747010</wp:posOffset>
                </wp:positionH>
                <wp:positionV relativeFrom="paragraph">
                  <wp:posOffset>1829435</wp:posOffset>
                </wp:positionV>
                <wp:extent cx="1034415" cy="1212850"/>
                <wp:effectExtent l="0" t="24130" r="0" b="0"/>
                <wp:wrapNone/>
                <wp:docPr id="146" name="组合 146"/>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147"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148" name="矩形 489"/>
                        <wps:cNvSpPr/>
                        <wps:spPr>
                          <a:xfrm rot="2388655">
                            <a:off x="25358" y="2678354"/>
                            <a:ext cx="1377" cy="1911"/>
                          </a:xfrm>
                          <a:prstGeom prst="rect">
                            <a:avLst/>
                          </a:prstGeom>
                          <a:noFill/>
                          <a:ln w="12700" cap="flat" cmpd="sng" algn="ctr">
                            <a:noFill/>
                            <a:prstDash val="solid"/>
                            <a:miter lim="800000"/>
                          </a:ln>
                          <a:effectLst/>
                        </wps:spPr>
                        <wps:txbx>
                          <w:txbxContent>
                            <w:p w14:paraId="355C1D7E">
                              <w:pPr>
                                <w:jc w:val="center"/>
                                <w:rPr>
                                  <w:color w:val="444444"/>
                                </w:rPr>
                              </w:pPr>
                              <w:r>
                                <w:rPr>
                                  <w:rFonts w:hint="eastAsia"/>
                                  <w:color w:val="444444"/>
                                </w:rPr>
                                <w:t>地</w:t>
                              </w:r>
                            </w:p>
                            <w:p w14:paraId="29E43062">
                              <w:pPr>
                                <w:jc w:val="center"/>
                                <w:rPr>
                                  <w:color w:val="444444"/>
                                </w:rPr>
                              </w:pPr>
                              <w:r>
                                <w:rPr>
                                  <w:rFonts w:hint="eastAsia"/>
                                  <w:color w:val="444444"/>
                                </w:rPr>
                                <w:t>下</w:t>
                              </w:r>
                            </w:p>
                            <w:p w14:paraId="3220EFA0">
                              <w:pPr>
                                <w:jc w:val="center"/>
                                <w:rPr>
                                  <w:color w:val="444444"/>
                                </w:rPr>
                              </w:pPr>
                              <w:r>
                                <w:rPr>
                                  <w:rFonts w:hint="eastAsia"/>
                                  <w:color w:val="444444"/>
                                </w:rPr>
                                <w:t>水</w:t>
                              </w:r>
                            </w:p>
                            <w:p w14:paraId="3495A6AA">
                              <w:pPr>
                                <w:jc w:val="center"/>
                                <w:rPr>
                                  <w:color w:val="444444"/>
                                </w:rPr>
                              </w:pPr>
                              <w:r>
                                <w:rPr>
                                  <w:color w:val="444444"/>
                                </w:rPr>
                                <w:t>流</w:t>
                              </w:r>
                            </w:p>
                            <w:p w14:paraId="6C27A3EB">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6.3pt;margin-top:144.05pt;height:95.5pt;width:81.45pt;z-index:251681792;mso-width-relative:page;mso-height-relative:page;" coordorigin="25105,2678354" coordsize="1629,1910" o:gfxdata="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jVQfGdsAAAALAQAADwAAAAAAAAAB&#10;ACAAAAAiAAAAZHJzL2Rvd25yZXYueG1sUEsBAhQAFAAAAAgAh07iQHxwLuWcAwAAQwgAAA4AAAAA&#10;AAAAAQAgAAAAKgEAAGRycy9lMm9Eb2MueG1sUEsFBgAAAAAGAAYAWQEAADgHA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f109Y7wAAADc&#10;AAAADwAAAGRycy9kb3ducmV2LnhtbEVPTWvCQBC9C/0PywheitkoxZY0q9BqqODJtHgestMkmJ1N&#10;s5tE++u7QsHbPN7npJuLacRAnastK1hEMQjiwuqaSwVfn9n8BYTzyBoby6TgSg4264dJiom2Ix9p&#10;yH0pQgi7BBVU3reJlK6oyKCLbEscuG/bGfQBdqXUHY4h3DRyGccrabDm0FBhS+8VFee8Nwre7Ph7&#10;yD525U++1ZnmU+/19lGp2XQRv4LwdPF38b97r8P8p2e4PRMu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dPWO8AAAA&#10;3AAAAA8AAAAAAAAAAQAgAAAAIgAAAGRycy9kb3ducmV2LnhtbFBLAQIUABQAAAAIAIdO4kAzLwWe&#10;OwAAADkAAAAQAAAAAAAAAAEAIAAAAAsBAABkcnMvc2hhcGV4bWwueG1sUEsFBgAAAAAGAAYAWwEA&#10;ALUDAA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0xV8YMAAAADc&#10;AAAADwAAAGRycy9kb3ducmV2LnhtbEWPQU/DMAyF70j8h8hIu23JBppGWbYDMKnV2GGDA0erMW2h&#10;caoma8e/nw9I3Gy95/c+r7cX36qB+tgEtjCfGVDEZXANVxY+3nfTFaiYkB22gcnCL0XYbm5v1pi5&#10;MPKRhlOqlIRwzNBCnVKXaR3LmjzGWeiIRfsKvccka19p1+Mo4b7VC2OW2mPD0lBjR881lT+ns7ew&#10;M9/5+HZ8He4P7eIx/yyK/fBSWDu5m5snUIku6d/8d507wX8QWnlGJtCb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FXxg&#10;wAAAANw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14:paraId="355C1D7E">
                        <w:pPr>
                          <w:jc w:val="center"/>
                          <w:rPr>
                            <w:color w:val="444444"/>
                          </w:rPr>
                        </w:pPr>
                        <w:r>
                          <w:rPr>
                            <w:rFonts w:hint="eastAsia"/>
                            <w:color w:val="444444"/>
                          </w:rPr>
                          <w:t>地</w:t>
                        </w:r>
                      </w:p>
                      <w:p w14:paraId="29E43062">
                        <w:pPr>
                          <w:jc w:val="center"/>
                          <w:rPr>
                            <w:color w:val="444444"/>
                          </w:rPr>
                        </w:pPr>
                        <w:r>
                          <w:rPr>
                            <w:rFonts w:hint="eastAsia"/>
                            <w:color w:val="444444"/>
                          </w:rPr>
                          <w:t>下</w:t>
                        </w:r>
                      </w:p>
                      <w:p w14:paraId="3220EFA0">
                        <w:pPr>
                          <w:jc w:val="center"/>
                          <w:rPr>
                            <w:color w:val="444444"/>
                          </w:rPr>
                        </w:pPr>
                        <w:r>
                          <w:rPr>
                            <w:rFonts w:hint="eastAsia"/>
                            <w:color w:val="444444"/>
                          </w:rPr>
                          <w:t>水</w:t>
                        </w:r>
                      </w:p>
                      <w:p w14:paraId="3495A6AA">
                        <w:pPr>
                          <w:jc w:val="center"/>
                          <w:rPr>
                            <w:color w:val="444444"/>
                          </w:rPr>
                        </w:pPr>
                        <w:r>
                          <w:rPr>
                            <w:color w:val="444444"/>
                          </w:rPr>
                          <w:t>流</w:t>
                        </w:r>
                      </w:p>
                      <w:p w14:paraId="6C27A3EB">
                        <w:pPr>
                          <w:jc w:val="center"/>
                          <w:rPr>
                            <w:color w:val="444444"/>
                          </w:rPr>
                        </w:pPr>
                        <w:r>
                          <w:rPr>
                            <w:color w:val="444444"/>
                          </w:rPr>
                          <w:t>向</w:t>
                        </w:r>
                      </w:p>
                    </w:txbxContent>
                  </v:textbox>
                </v:rect>
              </v:group>
            </w:pict>
          </mc:Fallback>
        </mc:AlternateContent>
      </w:r>
      <w:r>
        <w:rPr>
          <w:rFonts w:ascii="宋体" w:hAnsi="宋体" w:eastAsia="宋体" w:cs="宋体"/>
          <w:color w:val="auto"/>
          <w:sz w:val="24"/>
          <w:szCs w:val="24"/>
        </w:rPr>
        <w:drawing>
          <wp:inline distT="0" distB="0" distL="114300" distR="114300">
            <wp:extent cx="5024755" cy="4032250"/>
            <wp:effectExtent l="0" t="0" r="4445" b="6350"/>
            <wp:docPr id="135272814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48" name="图片 2" descr="IMG_256"/>
                    <pic:cNvPicPr>
                      <a:picLocks noChangeAspect="1"/>
                    </pic:cNvPicPr>
                  </pic:nvPicPr>
                  <pic:blipFill>
                    <a:blip r:embed="rId110"/>
                    <a:stretch>
                      <a:fillRect/>
                    </a:stretch>
                  </pic:blipFill>
                  <pic:spPr>
                    <a:xfrm>
                      <a:off x="0" y="0"/>
                      <a:ext cx="5024755" cy="4032250"/>
                    </a:xfrm>
                    <a:prstGeom prst="rect">
                      <a:avLst/>
                    </a:prstGeom>
                    <a:noFill/>
                    <a:ln w="9525">
                      <a:noFill/>
                    </a:ln>
                  </pic:spPr>
                </pic:pic>
              </a:graphicData>
            </a:graphic>
          </wp:inline>
        </w:drawing>
      </w:r>
      <w:r>
        <w:rPr>
          <w:rFonts w:ascii="宋体" w:hAnsi="宋体" w:eastAsia="宋体"/>
          <w:color w:val="auto"/>
        </w:rPr>
        <w:t xml:space="preserve"> </w:t>
      </w:r>
    </w:p>
    <w:p w14:paraId="12389F50">
      <w:pPr>
        <w:spacing w:line="440" w:lineRule="exact"/>
        <w:jc w:val="center"/>
        <w:rPr>
          <w:rFonts w:ascii="宋体" w:hAnsi="宋体" w:eastAsia="宋体"/>
          <w:color w:val="auto"/>
          <w:sz w:val="24"/>
        </w:rPr>
      </w:pPr>
      <w:r>
        <w:rPr>
          <w:rFonts w:ascii="宋体" w:hAnsi="宋体" w:eastAsia="宋体"/>
          <w:color w:val="auto"/>
          <w:sz w:val="24"/>
          <w:szCs w:val="24"/>
        </w:rPr>
        <w:t>图5.3-1 油基钻井液泄漏后100天污染物浓度分布图（污染源点：0，0）</w:t>
      </w:r>
    </w:p>
    <w:p w14:paraId="2144866C">
      <w:pPr>
        <w:snapToGrid w:val="0"/>
        <w:jc w:val="center"/>
        <w:textAlignment w:val="baseline"/>
        <w:rPr>
          <w:rFonts w:ascii="宋体" w:hAnsi="宋体" w:eastAsia="宋体" w:cs="Times New Roman"/>
          <w:color w:val="auto"/>
        </w:rPr>
      </w:pPr>
      <w:r>
        <w:rPr>
          <w:rFonts w:ascii="宋体" w:hAnsi="宋体" w:eastAsia="宋体"/>
          <w:color w:val="auto"/>
        </w:rPr>
        <mc:AlternateContent>
          <mc:Choice Requires="wpg">
            <w:drawing>
              <wp:anchor distT="0" distB="0" distL="114300" distR="114300" simplePos="0" relativeHeight="251680768" behindDoc="0" locked="0" layoutInCell="1" allowOverlap="1">
                <wp:simplePos x="0" y="0"/>
                <wp:positionH relativeFrom="column">
                  <wp:posOffset>2520315</wp:posOffset>
                </wp:positionH>
                <wp:positionV relativeFrom="paragraph">
                  <wp:posOffset>1978660</wp:posOffset>
                </wp:positionV>
                <wp:extent cx="1034415" cy="1212850"/>
                <wp:effectExtent l="0" t="24130" r="0" b="0"/>
                <wp:wrapNone/>
                <wp:docPr id="143" name="组合 143"/>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144"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145" name="矩形 489"/>
                        <wps:cNvSpPr/>
                        <wps:spPr>
                          <a:xfrm rot="2388655">
                            <a:off x="25358" y="2678354"/>
                            <a:ext cx="1377" cy="1911"/>
                          </a:xfrm>
                          <a:prstGeom prst="rect">
                            <a:avLst/>
                          </a:prstGeom>
                          <a:noFill/>
                          <a:ln w="12700" cap="flat" cmpd="sng" algn="ctr">
                            <a:noFill/>
                            <a:prstDash val="solid"/>
                            <a:miter lim="800000"/>
                          </a:ln>
                          <a:effectLst/>
                        </wps:spPr>
                        <wps:txbx>
                          <w:txbxContent>
                            <w:p w14:paraId="6BEE35B0">
                              <w:pPr>
                                <w:jc w:val="center"/>
                                <w:rPr>
                                  <w:color w:val="444444"/>
                                </w:rPr>
                              </w:pPr>
                              <w:r>
                                <w:rPr>
                                  <w:rFonts w:hint="eastAsia"/>
                                  <w:color w:val="444444"/>
                                </w:rPr>
                                <w:t>地</w:t>
                              </w:r>
                            </w:p>
                            <w:p w14:paraId="2C8E81BF">
                              <w:pPr>
                                <w:jc w:val="center"/>
                                <w:rPr>
                                  <w:color w:val="444444"/>
                                </w:rPr>
                              </w:pPr>
                              <w:r>
                                <w:rPr>
                                  <w:rFonts w:hint="eastAsia"/>
                                  <w:color w:val="444444"/>
                                </w:rPr>
                                <w:t>下</w:t>
                              </w:r>
                            </w:p>
                            <w:p w14:paraId="721449EF">
                              <w:pPr>
                                <w:jc w:val="center"/>
                                <w:rPr>
                                  <w:color w:val="444444"/>
                                </w:rPr>
                              </w:pPr>
                              <w:r>
                                <w:rPr>
                                  <w:rFonts w:hint="eastAsia"/>
                                  <w:color w:val="444444"/>
                                </w:rPr>
                                <w:t>水</w:t>
                              </w:r>
                            </w:p>
                            <w:p w14:paraId="0F6555F4">
                              <w:pPr>
                                <w:jc w:val="center"/>
                                <w:rPr>
                                  <w:color w:val="444444"/>
                                </w:rPr>
                              </w:pPr>
                              <w:r>
                                <w:rPr>
                                  <w:color w:val="444444"/>
                                </w:rPr>
                                <w:t>流</w:t>
                              </w:r>
                            </w:p>
                            <w:p w14:paraId="3D9F3C7F">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8.45pt;margin-top:155.8pt;height:95.5pt;width:81.45pt;z-index:251680768;mso-width-relative:page;mso-height-relative:page;" coordorigin="25105,2678354" coordsize="1629,1910" o:gfxdata="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K6VGhbaAAAACwEAAA8AAAAAAAAAAQAgAAAA&#10;IgAAAGRycy9kb3ducmV2LnhtbFBLAQIUABQAAAAIAIdO4kANLeFGmAMAAEMIAAAOAAAAAAAAAAEA&#10;IAAAACkBAABkcnMvZTJvRG9jLnhtbFBLBQYAAAAABgAGAFkBAAAzBw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j4+jFLoAAADc&#10;AAAADwAAAGRycy9kb3ducmV2LnhtbEVPS4vCMBC+L/gfwgh7WTR1kUWqUfBRFDxtFc9DM7bFZlKb&#10;aNVfbwTB23x8z5nMbqYSV2pcaVnBoB+BIM6sLjlXsN8lvREI55E1VpZJwZ0czKadrwnG2rb8T9fU&#10;5yKEsItRQeF9HUvpsoIMur6tiQN3tI1BH2CTS91gG8JNJX+j6E8aLDk0FFjToqDslF6MgrltH9tk&#10;vcrP6VInmg8Xr5c/Sn13B9EYhKeb/4jf7o0O84dDeD0TLp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j6MUugAAANwA&#10;AAAPAAAAAAAAAAEAIAAAACIAAABkcnMvZG93bnJldi54bWxQSwECFAAUAAAACACHTuJAMy8FnjsA&#10;AAA5AAAAEAAAAAAAAAABACAAAAAJAQAAZHJzL3NoYXBleG1sLnhtbFBLBQYAAAAABgAGAFsBAACz&#10;AwA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PRTT/r4AAADc&#10;AAAADwAAAGRycy9kb3ducmV2LnhtbEVPPW/CMBDdK/U/WIfEBja0VCXFMECREtEO0A6Mp/iahMbn&#10;KDYJ/fcYCanbPb3PW6wuthYdtb5yrGEyViCIc2cqLjR8f21HryB8QDZYOyYNf+RhtXx8WGBiXM97&#10;6g6hEDGEfYIayhCaREqfl2TRj11DHLkf11oMEbaFNC32MdzWcqrUi7RYcWwosaF1Sfnv4Ww1bNUp&#10;7T/2793TZz2dp8cs23WbTOvhYKLeQAS6hH/x3Z2aOP95Brdn4gV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TT/r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14:paraId="6BEE35B0">
                        <w:pPr>
                          <w:jc w:val="center"/>
                          <w:rPr>
                            <w:color w:val="444444"/>
                          </w:rPr>
                        </w:pPr>
                        <w:r>
                          <w:rPr>
                            <w:rFonts w:hint="eastAsia"/>
                            <w:color w:val="444444"/>
                          </w:rPr>
                          <w:t>地</w:t>
                        </w:r>
                      </w:p>
                      <w:p w14:paraId="2C8E81BF">
                        <w:pPr>
                          <w:jc w:val="center"/>
                          <w:rPr>
                            <w:color w:val="444444"/>
                          </w:rPr>
                        </w:pPr>
                        <w:r>
                          <w:rPr>
                            <w:rFonts w:hint="eastAsia"/>
                            <w:color w:val="444444"/>
                          </w:rPr>
                          <w:t>下</w:t>
                        </w:r>
                      </w:p>
                      <w:p w14:paraId="721449EF">
                        <w:pPr>
                          <w:jc w:val="center"/>
                          <w:rPr>
                            <w:color w:val="444444"/>
                          </w:rPr>
                        </w:pPr>
                        <w:r>
                          <w:rPr>
                            <w:rFonts w:hint="eastAsia"/>
                            <w:color w:val="444444"/>
                          </w:rPr>
                          <w:t>水</w:t>
                        </w:r>
                      </w:p>
                      <w:p w14:paraId="0F6555F4">
                        <w:pPr>
                          <w:jc w:val="center"/>
                          <w:rPr>
                            <w:color w:val="444444"/>
                          </w:rPr>
                        </w:pPr>
                        <w:r>
                          <w:rPr>
                            <w:color w:val="444444"/>
                          </w:rPr>
                          <w:t>流</w:t>
                        </w:r>
                      </w:p>
                      <w:p w14:paraId="3D9F3C7F">
                        <w:pPr>
                          <w:jc w:val="center"/>
                          <w:rPr>
                            <w:color w:val="444444"/>
                          </w:rPr>
                        </w:pPr>
                        <w:r>
                          <w:rPr>
                            <w:color w:val="444444"/>
                          </w:rPr>
                          <w:t>向</w:t>
                        </w:r>
                      </w:p>
                    </w:txbxContent>
                  </v:textbox>
                </v:rect>
              </v:group>
            </w:pict>
          </mc:Fallback>
        </mc:AlternateContent>
      </w:r>
      <w:r>
        <w:rPr>
          <w:rFonts w:ascii="宋体" w:hAnsi="宋体" w:eastAsia="宋体"/>
          <w:color w:val="auto"/>
        </w:rPr>
        <w:drawing>
          <wp:inline distT="0" distB="0" distL="114300" distR="114300">
            <wp:extent cx="4965700" cy="4032250"/>
            <wp:effectExtent l="0" t="0" r="6350" b="6350"/>
            <wp:docPr id="1352728149" name="图片 13527281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49" name="图片 1352728149" descr="IMG_256"/>
                    <pic:cNvPicPr>
                      <a:picLocks noChangeAspect="1"/>
                    </pic:cNvPicPr>
                  </pic:nvPicPr>
                  <pic:blipFill>
                    <a:blip r:embed="rId111"/>
                    <a:stretch>
                      <a:fillRect/>
                    </a:stretch>
                  </pic:blipFill>
                  <pic:spPr>
                    <a:xfrm>
                      <a:off x="0" y="0"/>
                      <a:ext cx="4965700" cy="4032250"/>
                    </a:xfrm>
                    <a:prstGeom prst="rect">
                      <a:avLst/>
                    </a:prstGeom>
                    <a:noFill/>
                    <a:ln w="9525">
                      <a:noFill/>
                    </a:ln>
                  </pic:spPr>
                </pic:pic>
              </a:graphicData>
            </a:graphic>
          </wp:inline>
        </w:drawing>
      </w:r>
    </w:p>
    <w:p w14:paraId="5CE5A637">
      <w:pPr>
        <w:spacing w:line="440" w:lineRule="exact"/>
        <w:jc w:val="center"/>
        <w:rPr>
          <w:rFonts w:ascii="宋体" w:hAnsi="宋体" w:eastAsia="宋体"/>
          <w:color w:val="auto"/>
          <w:sz w:val="24"/>
          <w:szCs w:val="24"/>
        </w:rPr>
      </w:pPr>
      <w:r>
        <w:rPr>
          <w:rFonts w:ascii="宋体" w:hAnsi="宋体" w:eastAsia="宋体"/>
          <w:color w:val="auto"/>
          <w:sz w:val="24"/>
          <w:szCs w:val="24"/>
        </w:rPr>
        <w:t>图5.3-2    油基钻井液泄漏后1000天污染物浓度分布图（污染源点：0，0）</w:t>
      </w:r>
    </w:p>
    <w:p w14:paraId="712662AB">
      <w:pPr>
        <w:snapToGrid w:val="0"/>
        <w:jc w:val="center"/>
        <w:textAlignment w:val="baseline"/>
        <w:rPr>
          <w:rFonts w:ascii="宋体" w:hAnsi="宋体" w:eastAsia="宋体" w:cs="Times New Roman"/>
          <w:color w:val="auto"/>
        </w:rPr>
      </w:pPr>
      <w:r>
        <w:rPr>
          <w:rFonts w:ascii="宋体" w:hAnsi="宋体" w:eastAsia="宋体"/>
          <w:color w:val="auto"/>
        </w:rPr>
        <mc:AlternateContent>
          <mc:Choice Requires="wpg">
            <w:drawing>
              <wp:anchor distT="0" distB="0" distL="114300" distR="114300" simplePos="0" relativeHeight="251679744" behindDoc="0" locked="0" layoutInCell="1" allowOverlap="1">
                <wp:simplePos x="0" y="0"/>
                <wp:positionH relativeFrom="column">
                  <wp:posOffset>3230880</wp:posOffset>
                </wp:positionH>
                <wp:positionV relativeFrom="paragraph">
                  <wp:posOffset>1829435</wp:posOffset>
                </wp:positionV>
                <wp:extent cx="1034415" cy="1212850"/>
                <wp:effectExtent l="0" t="24130" r="0" b="0"/>
                <wp:wrapNone/>
                <wp:docPr id="50523487" name="组合 50523487"/>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50523488"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50523489" name="矩形 489"/>
                        <wps:cNvSpPr/>
                        <wps:spPr>
                          <a:xfrm rot="2388655">
                            <a:off x="25358" y="2678354"/>
                            <a:ext cx="1377" cy="1911"/>
                          </a:xfrm>
                          <a:prstGeom prst="rect">
                            <a:avLst/>
                          </a:prstGeom>
                          <a:noFill/>
                          <a:ln w="12700" cap="flat" cmpd="sng" algn="ctr">
                            <a:noFill/>
                            <a:prstDash val="solid"/>
                            <a:miter lim="800000"/>
                          </a:ln>
                          <a:effectLst/>
                        </wps:spPr>
                        <wps:txbx>
                          <w:txbxContent>
                            <w:p w14:paraId="20E09939">
                              <w:pPr>
                                <w:jc w:val="center"/>
                                <w:rPr>
                                  <w:color w:val="444444"/>
                                </w:rPr>
                              </w:pPr>
                              <w:r>
                                <w:rPr>
                                  <w:rFonts w:hint="eastAsia"/>
                                  <w:color w:val="444444"/>
                                </w:rPr>
                                <w:t>地</w:t>
                              </w:r>
                            </w:p>
                            <w:p w14:paraId="6362E550">
                              <w:pPr>
                                <w:jc w:val="center"/>
                                <w:rPr>
                                  <w:color w:val="444444"/>
                                </w:rPr>
                              </w:pPr>
                              <w:r>
                                <w:rPr>
                                  <w:rFonts w:hint="eastAsia"/>
                                  <w:color w:val="444444"/>
                                </w:rPr>
                                <w:t>下</w:t>
                              </w:r>
                            </w:p>
                            <w:p w14:paraId="64042473">
                              <w:pPr>
                                <w:jc w:val="center"/>
                                <w:rPr>
                                  <w:color w:val="444444"/>
                                </w:rPr>
                              </w:pPr>
                              <w:r>
                                <w:rPr>
                                  <w:rFonts w:hint="eastAsia"/>
                                  <w:color w:val="444444"/>
                                </w:rPr>
                                <w:t>水</w:t>
                              </w:r>
                            </w:p>
                            <w:p w14:paraId="0DF72952">
                              <w:pPr>
                                <w:jc w:val="center"/>
                                <w:rPr>
                                  <w:color w:val="444444"/>
                                </w:rPr>
                              </w:pPr>
                              <w:r>
                                <w:rPr>
                                  <w:color w:val="444444"/>
                                </w:rPr>
                                <w:t>流</w:t>
                              </w:r>
                            </w:p>
                            <w:p w14:paraId="5DF8E496">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4.4pt;margin-top:144.05pt;height:95.5pt;width:81.45pt;z-index:251679744;mso-width-relative:page;mso-height-relative:page;" coordorigin="25105,2678354" coordsize="1629,1910" o:gfxdata="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qUihKMAAAADh&#10;AAAADwAAAGRycy9kb3ducmV2LnhtbEVPz2vCMBS+D/wfwhN2GTNRp0hnWnBaHOy0OnZ+NM+22LzU&#10;Jlq3v94cBjt+fL/X2c224kq9bxxrmE4UCOLSmYYrDV+H/HkFwgdkg61j0vBDHrJ09LDGxLiBP+la&#10;hErEEPYJaqhD6BIpfVmTRT9xHXHkjq63GCLsK2l6HGK4beVMqaW02HBsqLGjt5rKU3GxGjZu+P3I&#10;97vqXGxNbvj7Esz2SevH8VS9ggh0C//iP/e70bBQi9n8ZRUnx0fxDcj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KEo&#10;wAAAAOEAAAAPAAAAAAAAAAEAIAAAACIAAABkcnMvZG93bnJldi54bWxQSwECFAAUAAAACACHTuJA&#10;My8FnjsAAAA5AAAAEAAAAAAAAAABACAAAAAPAQAAZHJzL3NoYXBleG1sLnhtbFBLBQYAAAAABgAG&#10;AFsBAAC5AwA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YoGExMQAAADh&#10;AAAADwAAAGRycy9kb3ducmV2LnhtbEWPQU/CQBSE7yT+h80z8Qa7FDFQWTioJG3QA+jB40v30Ra7&#10;b5vu2uK/Z0lIPE5m5pvManO2jeip87VjDdOJAkFcOFNzqeHrcztegPAB2WDjmDT8kYfN+m60wtS4&#10;gffUH0IpIoR9ihqqENpUSl9UZNFPXEscvaPrLIYou1KaDocIt41MlHqSFmuOCxW29FJR8XP4tRq2&#10;6pQN7/u3fvbRJMvsO893/Wuu9cP9VD2DCHQO/+FbOzMa5mqezB4XS7g+im9Ari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oGExMQAAADhAAAADwAAAAAAAAABACAAAAAiAAAAZHJzL2Rvd25yZXYueG1sUEsBAhQAFAAAAAgA&#10;h07iQDMvBZ47AAAAOQAAABAAAAAAAAAAAQAgAAAAEwEAAGRycy9zaGFwZXhtbC54bWxQSwUGAAAA&#10;AAYABgBbAQAAvQMAAAAA&#10;">
                  <v:fill on="f" focussize="0,0"/>
                  <v:stroke on="f" weight="1pt" miterlimit="8" joinstyle="miter"/>
                  <v:imagedata o:title=""/>
                  <o:lock v:ext="edit" aspectratio="f"/>
                  <v:textbox>
                    <w:txbxContent>
                      <w:p w14:paraId="20E09939">
                        <w:pPr>
                          <w:jc w:val="center"/>
                          <w:rPr>
                            <w:color w:val="444444"/>
                          </w:rPr>
                        </w:pPr>
                        <w:r>
                          <w:rPr>
                            <w:rFonts w:hint="eastAsia"/>
                            <w:color w:val="444444"/>
                          </w:rPr>
                          <w:t>地</w:t>
                        </w:r>
                      </w:p>
                      <w:p w14:paraId="6362E550">
                        <w:pPr>
                          <w:jc w:val="center"/>
                          <w:rPr>
                            <w:color w:val="444444"/>
                          </w:rPr>
                        </w:pPr>
                        <w:r>
                          <w:rPr>
                            <w:rFonts w:hint="eastAsia"/>
                            <w:color w:val="444444"/>
                          </w:rPr>
                          <w:t>下</w:t>
                        </w:r>
                      </w:p>
                      <w:p w14:paraId="64042473">
                        <w:pPr>
                          <w:jc w:val="center"/>
                          <w:rPr>
                            <w:color w:val="444444"/>
                          </w:rPr>
                        </w:pPr>
                        <w:r>
                          <w:rPr>
                            <w:rFonts w:hint="eastAsia"/>
                            <w:color w:val="444444"/>
                          </w:rPr>
                          <w:t>水</w:t>
                        </w:r>
                      </w:p>
                      <w:p w14:paraId="0DF72952">
                        <w:pPr>
                          <w:jc w:val="center"/>
                          <w:rPr>
                            <w:color w:val="444444"/>
                          </w:rPr>
                        </w:pPr>
                        <w:r>
                          <w:rPr>
                            <w:color w:val="444444"/>
                          </w:rPr>
                          <w:t>流</w:t>
                        </w:r>
                      </w:p>
                      <w:p w14:paraId="5DF8E496">
                        <w:pPr>
                          <w:jc w:val="center"/>
                          <w:rPr>
                            <w:color w:val="444444"/>
                          </w:rPr>
                        </w:pPr>
                        <w:r>
                          <w:rPr>
                            <w:color w:val="444444"/>
                          </w:rPr>
                          <w:t>向</w:t>
                        </w:r>
                      </w:p>
                    </w:txbxContent>
                  </v:textbox>
                </v:rect>
              </v:group>
            </w:pict>
          </mc:Fallback>
        </mc:AlternateContent>
      </w:r>
      <w:r>
        <w:rPr>
          <w:rFonts w:ascii="宋体" w:hAnsi="宋体" w:eastAsia="宋体"/>
          <w:color w:val="auto"/>
        </w:rPr>
        <w:drawing>
          <wp:inline distT="0" distB="0" distL="114300" distR="114300">
            <wp:extent cx="5032375" cy="4140200"/>
            <wp:effectExtent l="0" t="0" r="15875" b="12700"/>
            <wp:docPr id="135272815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50" name="图片 3" descr="IMG_256"/>
                    <pic:cNvPicPr>
                      <a:picLocks noChangeAspect="1"/>
                    </pic:cNvPicPr>
                  </pic:nvPicPr>
                  <pic:blipFill>
                    <a:blip r:embed="rId112"/>
                    <a:stretch>
                      <a:fillRect/>
                    </a:stretch>
                  </pic:blipFill>
                  <pic:spPr>
                    <a:xfrm>
                      <a:off x="0" y="0"/>
                      <a:ext cx="5032375" cy="4140200"/>
                    </a:xfrm>
                    <a:prstGeom prst="rect">
                      <a:avLst/>
                    </a:prstGeom>
                    <a:noFill/>
                    <a:ln w="9525">
                      <a:noFill/>
                    </a:ln>
                  </pic:spPr>
                </pic:pic>
              </a:graphicData>
            </a:graphic>
          </wp:inline>
        </w:drawing>
      </w:r>
    </w:p>
    <w:p w14:paraId="68A44064">
      <w:pPr>
        <w:spacing w:line="440" w:lineRule="exact"/>
        <w:jc w:val="center"/>
        <w:rPr>
          <w:rFonts w:ascii="宋体" w:hAnsi="宋体" w:eastAsia="宋体"/>
          <w:color w:val="auto"/>
          <w:sz w:val="24"/>
          <w:szCs w:val="24"/>
        </w:rPr>
      </w:pPr>
      <w:r>
        <w:rPr>
          <w:rFonts w:ascii="宋体" w:hAnsi="宋体" w:eastAsia="宋体"/>
          <w:color w:val="auto"/>
          <w:sz w:val="24"/>
          <w:szCs w:val="24"/>
        </w:rPr>
        <w:t>图5.3-3    油基钻井液泄漏后5000天污染物浓度分布图（污染源点：0，0）</w:t>
      </w:r>
    </w:p>
    <w:p w14:paraId="0047295A">
      <w:pPr>
        <w:pStyle w:val="276"/>
        <w:widowControl w:val="0"/>
        <w:ind w:firstLine="480"/>
        <w:jc w:val="both"/>
        <w:rPr>
          <w:color w:val="auto"/>
          <w:lang w:val="zh-CN"/>
        </w:rPr>
      </w:pPr>
      <w:r>
        <w:rPr>
          <w:color w:val="auto"/>
          <w:lang w:val="zh-CN"/>
        </w:rPr>
        <w:t>由预测结果可知，随着时间增加，污染范围有所增加，油基钻井液泄漏100d后，超标距离最远为</w:t>
      </w:r>
      <w:r>
        <w:rPr>
          <w:rFonts w:hint="eastAsia"/>
          <w:color w:val="auto"/>
          <w:lang w:val="zh-CN"/>
        </w:rPr>
        <w:t>27</w:t>
      </w:r>
      <w:r>
        <w:rPr>
          <w:color w:val="auto"/>
          <w:lang w:val="zh-CN"/>
        </w:rPr>
        <w:t>m，影响距离最远为下游</w:t>
      </w:r>
      <w:r>
        <w:rPr>
          <w:rFonts w:hint="eastAsia"/>
          <w:color w:val="auto"/>
          <w:lang w:val="zh-CN"/>
        </w:rPr>
        <w:t>28</w:t>
      </w:r>
      <w:r>
        <w:rPr>
          <w:color w:val="auto"/>
          <w:lang w:val="zh-CN"/>
        </w:rPr>
        <w:t>m；油基钻井液泄漏1000d后，超标距离最远为</w:t>
      </w:r>
      <w:r>
        <w:rPr>
          <w:rFonts w:hint="eastAsia"/>
          <w:color w:val="auto"/>
          <w:lang w:val="zh-CN"/>
        </w:rPr>
        <w:t>103</w:t>
      </w:r>
      <w:r>
        <w:rPr>
          <w:color w:val="auto"/>
          <w:lang w:val="zh-CN"/>
        </w:rPr>
        <w:t>m，影响距离最远为下游1</w:t>
      </w:r>
      <w:r>
        <w:rPr>
          <w:rFonts w:hint="eastAsia"/>
          <w:color w:val="auto"/>
          <w:lang w:val="zh-CN"/>
        </w:rPr>
        <w:t>0</w:t>
      </w:r>
      <w:r>
        <w:rPr>
          <w:color w:val="auto"/>
          <w:lang w:val="zh-CN"/>
        </w:rPr>
        <w:t>7m；油基钻井液泄漏5</w:t>
      </w:r>
      <w:r>
        <w:rPr>
          <w:rFonts w:hint="eastAsia"/>
          <w:color w:val="auto"/>
          <w:lang w:val="zh-CN"/>
        </w:rPr>
        <w:t>475</w:t>
      </w:r>
      <w:r>
        <w:rPr>
          <w:color w:val="auto"/>
          <w:lang w:val="zh-CN"/>
        </w:rPr>
        <w:t>d后，超标距离最远为</w:t>
      </w:r>
      <w:r>
        <w:rPr>
          <w:rFonts w:hint="eastAsia"/>
          <w:color w:val="auto"/>
          <w:lang w:val="zh-CN"/>
        </w:rPr>
        <w:t>333</w:t>
      </w:r>
      <w:r>
        <w:rPr>
          <w:color w:val="auto"/>
          <w:lang w:val="zh-CN"/>
        </w:rPr>
        <w:t>m，影响距离最远为下游</w:t>
      </w:r>
      <w:r>
        <w:rPr>
          <w:rFonts w:hint="eastAsia"/>
          <w:color w:val="auto"/>
          <w:lang w:val="zh-CN"/>
        </w:rPr>
        <w:t>344</w:t>
      </w:r>
      <w:r>
        <w:rPr>
          <w:color w:val="auto"/>
          <w:lang w:val="zh-CN"/>
        </w:rPr>
        <w:t>m。</w:t>
      </w:r>
    </w:p>
    <w:p w14:paraId="450A202F">
      <w:pPr>
        <w:pStyle w:val="276"/>
        <w:widowControl w:val="0"/>
        <w:ind w:firstLine="480"/>
        <w:jc w:val="both"/>
        <w:rPr>
          <w:color w:val="auto"/>
          <w:kern w:val="2"/>
          <w:szCs w:val="20"/>
        </w:rPr>
      </w:pPr>
      <w:r>
        <w:rPr>
          <w:color w:val="auto"/>
          <w:kern w:val="2"/>
          <w:szCs w:val="20"/>
        </w:rPr>
        <w:t>经</w:t>
      </w:r>
      <w:r>
        <w:rPr>
          <w:color w:val="auto"/>
          <w:lang w:val="zh-CN"/>
        </w:rPr>
        <w:t>调查，距离本项目最近的</w:t>
      </w:r>
      <w:r>
        <w:rPr>
          <w:rFonts w:hint="eastAsia"/>
          <w:color w:val="auto"/>
          <w:lang w:val="zh-CN"/>
        </w:rPr>
        <w:t>水源井为3#平台北500m后欧力马屯分散式水源井</w:t>
      </w:r>
      <w:r>
        <w:rPr>
          <w:color w:val="auto"/>
          <w:lang w:val="zh-CN"/>
        </w:rPr>
        <w:t>，位于评价范围上游，不在本项目油基钻井液泄漏5000d的影响范围内，因此，钻井套管连接不及时等操作失误造成的油基钻井液泄漏不会对其产生污染影响。</w:t>
      </w:r>
    </w:p>
    <w:p w14:paraId="308197A6">
      <w:pPr>
        <w:pStyle w:val="276"/>
        <w:widowControl w:val="0"/>
        <w:ind w:firstLine="480"/>
        <w:jc w:val="both"/>
        <w:rPr>
          <w:color w:val="auto"/>
          <w:kern w:val="2"/>
          <w:szCs w:val="20"/>
        </w:rPr>
      </w:pPr>
      <w:r>
        <w:rPr>
          <w:color w:val="auto"/>
          <w:kern w:val="2"/>
          <w:szCs w:val="20"/>
        </w:rPr>
        <w:t>情景二：输油管道泄漏</w:t>
      </w:r>
    </w:p>
    <w:p w14:paraId="76A384BB">
      <w:pPr>
        <w:pStyle w:val="276"/>
        <w:widowControl w:val="0"/>
        <w:ind w:firstLine="480"/>
        <w:jc w:val="both"/>
        <w:rPr>
          <w:color w:val="auto"/>
          <w:kern w:val="2"/>
          <w:szCs w:val="20"/>
        </w:rPr>
      </w:pPr>
      <w:r>
        <w:rPr>
          <w:color w:val="auto"/>
          <w:kern w:val="2"/>
          <w:szCs w:val="20"/>
        </w:rPr>
        <w:t>（1）预测源强</w:t>
      </w:r>
    </w:p>
    <w:p w14:paraId="7A27FA6F">
      <w:pPr>
        <w:pStyle w:val="276"/>
        <w:widowControl w:val="0"/>
        <w:ind w:firstLine="480"/>
        <w:jc w:val="both"/>
        <w:rPr>
          <w:color w:val="auto"/>
          <w:kern w:val="2"/>
          <w:szCs w:val="20"/>
        </w:rPr>
      </w:pPr>
      <w:r>
        <w:rPr>
          <w:color w:val="auto"/>
          <w:kern w:val="2"/>
          <w:szCs w:val="20"/>
        </w:rPr>
        <w:t>假设新建集油管道无缝钢管因破裂而导致泄漏，按管道截面100%断裂估算泄漏量，考虑截断阀启动前后的泄漏量。本项目新建集油管线中</w:t>
      </w:r>
      <w:r>
        <w:rPr>
          <w:color w:val="auto"/>
          <w:lang w:val="zh-CN"/>
        </w:rPr>
        <w:t>位于</w:t>
      </w:r>
      <w:r>
        <w:rPr>
          <w:color w:val="auto"/>
          <w:kern w:val="2"/>
          <w:szCs w:val="20"/>
        </w:rPr>
        <w:t>两个截断阀室间含液量最大管段为</w:t>
      </w:r>
      <w:r>
        <w:rPr>
          <w:color w:val="auto"/>
        </w:rPr>
        <w:t>井场至拉油点管线，管线规格为</w:t>
      </w:r>
      <w:r>
        <w:rPr>
          <w:color w:val="auto"/>
          <w:szCs w:val="20"/>
        </w:rPr>
        <w:t>φ60×3.5-0.06km</w:t>
      </w:r>
      <w:r>
        <w:rPr>
          <w:color w:val="auto"/>
        </w:rPr>
        <w:t>，</w:t>
      </w:r>
      <w:r>
        <w:rPr>
          <w:rFonts w:hint="eastAsia"/>
          <w:color w:val="auto"/>
        </w:rPr>
        <w:t>3</w:t>
      </w:r>
      <w:r>
        <w:rPr>
          <w:color w:val="auto"/>
        </w:rPr>
        <w:t>号平台2口油井</w:t>
      </w:r>
      <w:r>
        <w:rPr>
          <w:color w:val="auto"/>
          <w:kern w:val="2"/>
          <w:szCs w:val="20"/>
        </w:rPr>
        <w:t>产油量最大为</w:t>
      </w:r>
      <w:r>
        <w:rPr>
          <w:rFonts w:hint="eastAsia"/>
          <w:color w:val="auto"/>
          <w:kern w:val="2"/>
          <w:szCs w:val="20"/>
        </w:rPr>
        <w:t>19.4</w:t>
      </w:r>
      <w:r>
        <w:rPr>
          <w:color w:val="auto"/>
          <w:kern w:val="2"/>
          <w:szCs w:val="20"/>
        </w:rPr>
        <w:t>t/d，本项目油井和拉油点均数字化建设，管线</w:t>
      </w:r>
      <w:r>
        <w:rPr>
          <w:rFonts w:hint="eastAsia"/>
          <w:color w:val="auto"/>
          <w:kern w:val="2"/>
          <w:szCs w:val="20"/>
        </w:rPr>
        <w:t>泄漏</w:t>
      </w:r>
      <w:r>
        <w:rPr>
          <w:color w:val="auto"/>
          <w:kern w:val="2"/>
          <w:szCs w:val="20"/>
        </w:rPr>
        <w:t>可在15min内发现并关闭截断阀，截断阀关闭前，即15min最大原油泄漏量</w:t>
      </w:r>
      <w:r>
        <w:rPr>
          <w:rFonts w:hint="eastAsia"/>
          <w:color w:val="auto"/>
          <w:kern w:val="2"/>
          <w:szCs w:val="20"/>
        </w:rPr>
        <w:t>202.08</w:t>
      </w:r>
      <w:r>
        <w:rPr>
          <w:color w:val="auto"/>
          <w:kern w:val="2"/>
          <w:szCs w:val="20"/>
        </w:rPr>
        <w:t>kg。</w:t>
      </w:r>
    </w:p>
    <w:p w14:paraId="6ABF61F1">
      <w:pPr>
        <w:pStyle w:val="276"/>
        <w:widowControl w:val="0"/>
        <w:ind w:firstLine="480"/>
        <w:jc w:val="both"/>
        <w:rPr>
          <w:color w:val="auto"/>
          <w:kern w:val="2"/>
          <w:szCs w:val="20"/>
        </w:rPr>
      </w:pPr>
      <w:r>
        <w:rPr>
          <w:color w:val="auto"/>
          <w:kern w:val="2"/>
          <w:szCs w:val="20"/>
        </w:rPr>
        <w:t>截断阀关闭后，两处截断阀之间（</w:t>
      </w:r>
      <w:r>
        <w:rPr>
          <w:rFonts w:hint="eastAsia"/>
          <w:color w:val="auto"/>
        </w:rPr>
        <w:t>3</w:t>
      </w:r>
      <w:r>
        <w:rPr>
          <w:color w:val="auto"/>
        </w:rPr>
        <w:t>号平台井场至拉油点</w:t>
      </w:r>
      <w:r>
        <w:rPr>
          <w:color w:val="auto"/>
          <w:kern w:val="2"/>
          <w:szCs w:val="20"/>
        </w:rPr>
        <w:t>）新建管段液量按全部</w:t>
      </w:r>
      <w:r>
        <w:rPr>
          <w:rFonts w:hint="eastAsia"/>
          <w:color w:val="auto"/>
          <w:kern w:val="2"/>
          <w:szCs w:val="20"/>
        </w:rPr>
        <w:t>泄漏</w:t>
      </w:r>
      <w:r>
        <w:rPr>
          <w:color w:val="auto"/>
          <w:kern w:val="2"/>
          <w:szCs w:val="20"/>
        </w:rPr>
        <w:t>考虑，</w:t>
      </w:r>
      <w:r>
        <w:rPr>
          <w:color w:val="auto"/>
        </w:rPr>
        <w:t>管线规格为</w:t>
      </w:r>
      <w:r>
        <w:rPr>
          <w:color w:val="auto"/>
          <w:szCs w:val="20"/>
        </w:rPr>
        <w:t>φ60×3.5-0.06km</w:t>
      </w:r>
      <w:r>
        <w:rPr>
          <w:color w:val="auto"/>
          <w:kern w:val="2"/>
          <w:szCs w:val="20"/>
        </w:rPr>
        <w:t>，原油密度0.87g/cm</w:t>
      </w:r>
      <w:r>
        <w:rPr>
          <w:color w:val="auto"/>
          <w:kern w:val="2"/>
          <w:szCs w:val="20"/>
          <w:vertAlign w:val="superscript"/>
        </w:rPr>
        <w:t>3</w:t>
      </w:r>
      <w:r>
        <w:rPr>
          <w:color w:val="auto"/>
          <w:kern w:val="2"/>
          <w:szCs w:val="20"/>
        </w:rPr>
        <w:t>，综合含水最小为</w:t>
      </w:r>
      <w:r>
        <w:rPr>
          <w:rFonts w:hint="eastAsia"/>
          <w:color w:val="auto"/>
          <w:kern w:val="2"/>
          <w:szCs w:val="20"/>
        </w:rPr>
        <w:t>53.85</w:t>
      </w:r>
      <w:r>
        <w:rPr>
          <w:color w:val="auto"/>
          <w:kern w:val="2"/>
          <w:szCs w:val="20"/>
        </w:rPr>
        <w:t>%，则泄漏原油量为</w:t>
      </w:r>
      <w:r>
        <w:rPr>
          <w:color w:val="auto"/>
        </w:rPr>
        <w:t>π(0.0</w:t>
      </w:r>
      <w:r>
        <w:rPr>
          <w:rFonts w:hint="eastAsia"/>
          <w:color w:val="auto"/>
        </w:rPr>
        <w:t>265</w:t>
      </w:r>
      <w:r>
        <w:rPr>
          <w:color w:val="auto"/>
        </w:rPr>
        <w:t>)</w:t>
      </w:r>
      <w:r>
        <w:rPr>
          <w:color w:val="auto"/>
          <w:vertAlign w:val="superscript"/>
        </w:rPr>
        <w:t>2</w:t>
      </w:r>
      <w:r>
        <w:rPr>
          <w:color w:val="auto"/>
        </w:rPr>
        <w:t>×</w:t>
      </w:r>
      <w:r>
        <w:rPr>
          <w:rFonts w:hint="eastAsia"/>
          <w:color w:val="auto"/>
        </w:rPr>
        <w:t>60</w:t>
      </w:r>
      <w:r>
        <w:rPr>
          <w:color w:val="auto"/>
        </w:rPr>
        <w:t>×0.87×（1-</w:t>
      </w:r>
      <w:r>
        <w:rPr>
          <w:rFonts w:hint="eastAsia"/>
          <w:color w:val="auto"/>
        </w:rPr>
        <w:t>53.85</w:t>
      </w:r>
      <w:r>
        <w:rPr>
          <w:color w:val="auto"/>
        </w:rPr>
        <w:t>%）=</w:t>
      </w:r>
      <w:r>
        <w:rPr>
          <w:rFonts w:hint="eastAsia"/>
          <w:color w:val="auto"/>
        </w:rPr>
        <w:t>0.053</w:t>
      </w:r>
      <w:r>
        <w:rPr>
          <w:color w:val="auto"/>
        </w:rPr>
        <w:t>t</w:t>
      </w:r>
      <w:r>
        <w:rPr>
          <w:color w:val="auto"/>
          <w:kern w:val="2"/>
          <w:szCs w:val="20"/>
        </w:rPr>
        <w:t>，截断阀关闭前后</w:t>
      </w:r>
      <w:r>
        <w:rPr>
          <w:rFonts w:hint="eastAsia"/>
          <w:color w:val="auto"/>
          <w:kern w:val="2"/>
          <w:szCs w:val="20"/>
        </w:rPr>
        <w:t>泄漏</w:t>
      </w:r>
      <w:r>
        <w:rPr>
          <w:color w:val="auto"/>
          <w:kern w:val="2"/>
          <w:szCs w:val="20"/>
        </w:rPr>
        <w:t>原油总量</w:t>
      </w:r>
      <w:r>
        <w:rPr>
          <w:rFonts w:hint="eastAsia"/>
          <w:color w:val="auto"/>
          <w:kern w:val="2"/>
          <w:szCs w:val="20"/>
        </w:rPr>
        <w:t>53</w:t>
      </w:r>
      <w:r>
        <w:rPr>
          <w:color w:val="auto"/>
          <w:kern w:val="2"/>
          <w:szCs w:val="20"/>
        </w:rPr>
        <w:t>kg。</w:t>
      </w:r>
    </w:p>
    <w:p w14:paraId="4B1D50DD">
      <w:pPr>
        <w:pStyle w:val="276"/>
        <w:widowControl w:val="0"/>
        <w:ind w:firstLine="480"/>
        <w:jc w:val="both"/>
        <w:rPr>
          <w:color w:val="auto"/>
          <w:kern w:val="2"/>
          <w:szCs w:val="20"/>
        </w:rPr>
      </w:pPr>
      <w:r>
        <w:rPr>
          <w:color w:val="auto"/>
          <w:kern w:val="2"/>
          <w:szCs w:val="20"/>
        </w:rPr>
        <w:t>（2）预测因子</w:t>
      </w:r>
    </w:p>
    <w:p w14:paraId="3EB400DB">
      <w:pPr>
        <w:pStyle w:val="276"/>
        <w:widowControl w:val="0"/>
        <w:ind w:firstLine="480"/>
        <w:jc w:val="both"/>
        <w:rPr>
          <w:color w:val="auto"/>
          <w:kern w:val="2"/>
          <w:szCs w:val="20"/>
        </w:rPr>
      </w:pPr>
      <w:r>
        <w:rPr>
          <w:color w:val="auto"/>
          <w:kern w:val="2"/>
          <w:szCs w:val="20"/>
        </w:rPr>
        <w:t>输油管道发生泄漏，导致原油泄漏，污染物有石油类、挥发性酚类等。根据《环境影响评价技术导则地下水环境》（HJ610-2016）中情景设置预测因子相关要求，对每一类别中的各项因子采取标准指数法进行排序，分别取标准指数最大的因子作为预测因子。在输油管道发生泄漏情景下，原油泄漏的主要污染因子为石油类，挥发性酚类的含量远低于石油，本次评价最终选取石油类作为预测特征因子。预测第100天、1000天、5</w:t>
      </w:r>
      <w:r>
        <w:rPr>
          <w:rFonts w:hint="eastAsia"/>
          <w:color w:val="auto"/>
          <w:kern w:val="2"/>
          <w:szCs w:val="20"/>
        </w:rPr>
        <w:t>475</w:t>
      </w:r>
      <w:r>
        <w:rPr>
          <w:color w:val="auto"/>
          <w:kern w:val="2"/>
          <w:szCs w:val="20"/>
        </w:rPr>
        <w:t>d石油类在潜水中的运移情况。</w:t>
      </w:r>
    </w:p>
    <w:p w14:paraId="1A91B1D8">
      <w:pPr>
        <w:pStyle w:val="276"/>
        <w:widowControl w:val="0"/>
        <w:ind w:firstLine="480"/>
        <w:jc w:val="both"/>
        <w:rPr>
          <w:color w:val="auto"/>
          <w:kern w:val="2"/>
          <w:szCs w:val="20"/>
        </w:rPr>
      </w:pPr>
      <w:r>
        <w:rPr>
          <w:color w:val="auto"/>
          <w:kern w:val="2"/>
          <w:szCs w:val="20"/>
        </w:rPr>
        <w:t>（3）预测模型</w:t>
      </w:r>
    </w:p>
    <w:p w14:paraId="62606E9A">
      <w:pPr>
        <w:pStyle w:val="276"/>
        <w:widowControl w:val="0"/>
        <w:ind w:firstLine="480"/>
        <w:jc w:val="both"/>
        <w:rPr>
          <w:color w:val="auto"/>
          <w:kern w:val="2"/>
          <w:szCs w:val="20"/>
        </w:rPr>
      </w:pPr>
      <w:r>
        <w:rPr>
          <w:color w:val="auto"/>
          <w:kern w:val="2"/>
          <w:szCs w:val="20"/>
        </w:rPr>
        <w:t>将地下水泄漏时间概化为瞬时注入，再利用二维水动力弥散方程计算最大影响范围。二维水动力瞬时注入弥散方程如下：</w:t>
      </w:r>
    </w:p>
    <w:p w14:paraId="2880008F">
      <w:pPr>
        <w:jc w:val="center"/>
        <w:rPr>
          <w:rFonts w:ascii="宋体" w:hAnsi="宋体" w:eastAsia="宋体" w:cs="Times New Roman"/>
          <w:color w:val="auto"/>
          <w:szCs w:val="20"/>
        </w:rPr>
      </w:pPr>
      <w:r>
        <w:rPr>
          <w:rFonts w:ascii="宋体" w:hAnsi="宋体" w:eastAsia="宋体" w:cs="Times New Roman"/>
          <w:color w:val="auto"/>
        </w:rPr>
        <w:drawing>
          <wp:inline distT="0" distB="0" distL="0" distR="0">
            <wp:extent cx="3166110" cy="767715"/>
            <wp:effectExtent l="0" t="0" r="15240" b="0"/>
            <wp:docPr id="1352728151" name="图片 135272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51" name="图片 1352728151"/>
                    <pic:cNvPicPr>
                      <a:picLocks noChangeAspect="1" noChangeArrowheads="1"/>
                    </pic:cNvPicPr>
                  </pic:nvPicPr>
                  <pic:blipFill>
                    <a:blip r:embed="rId108"/>
                    <a:srcRect/>
                    <a:stretch>
                      <a:fillRect/>
                    </a:stretch>
                  </pic:blipFill>
                  <pic:spPr>
                    <a:xfrm>
                      <a:off x="0" y="0"/>
                      <a:ext cx="3166110" cy="767715"/>
                    </a:xfrm>
                    <a:prstGeom prst="rect">
                      <a:avLst/>
                    </a:prstGeom>
                    <a:noFill/>
                    <a:ln>
                      <a:noFill/>
                    </a:ln>
                  </pic:spPr>
                </pic:pic>
              </a:graphicData>
            </a:graphic>
          </wp:inline>
        </w:drawing>
      </w:r>
    </w:p>
    <w:p w14:paraId="51A23608">
      <w:pPr>
        <w:pStyle w:val="276"/>
        <w:widowControl w:val="0"/>
        <w:ind w:firstLine="480"/>
        <w:jc w:val="both"/>
        <w:rPr>
          <w:color w:val="auto"/>
          <w:kern w:val="2"/>
          <w:szCs w:val="20"/>
        </w:rPr>
      </w:pPr>
      <w:r>
        <w:rPr>
          <w:color w:val="auto"/>
          <w:kern w:val="2"/>
          <w:szCs w:val="20"/>
        </w:rPr>
        <w:t>式中：</w:t>
      </w:r>
    </w:p>
    <w:p w14:paraId="56FFA0B4">
      <w:pPr>
        <w:pStyle w:val="276"/>
        <w:widowControl w:val="0"/>
        <w:ind w:firstLine="480"/>
        <w:jc w:val="both"/>
        <w:rPr>
          <w:color w:val="auto"/>
          <w:kern w:val="2"/>
          <w:szCs w:val="20"/>
        </w:rPr>
      </w:pPr>
      <w:r>
        <w:rPr>
          <w:color w:val="auto"/>
          <w:kern w:val="2"/>
          <w:szCs w:val="20"/>
        </w:rPr>
        <w:t>x，y—计算点处的位置坐标；</w:t>
      </w:r>
    </w:p>
    <w:p w14:paraId="27C50464">
      <w:pPr>
        <w:pStyle w:val="276"/>
        <w:widowControl w:val="0"/>
        <w:ind w:firstLine="480"/>
        <w:jc w:val="both"/>
        <w:rPr>
          <w:color w:val="auto"/>
          <w:kern w:val="2"/>
          <w:szCs w:val="20"/>
        </w:rPr>
      </w:pPr>
      <w:r>
        <w:rPr>
          <w:color w:val="auto"/>
          <w:kern w:val="2"/>
          <w:szCs w:val="20"/>
        </w:rPr>
        <w:t>t—时间，d；</w:t>
      </w:r>
    </w:p>
    <w:p w14:paraId="4C46327D">
      <w:pPr>
        <w:pStyle w:val="276"/>
        <w:widowControl w:val="0"/>
        <w:ind w:firstLine="480"/>
        <w:jc w:val="both"/>
        <w:rPr>
          <w:color w:val="auto"/>
          <w:kern w:val="2"/>
          <w:szCs w:val="20"/>
        </w:rPr>
      </w:pPr>
      <w:r>
        <w:rPr>
          <w:color w:val="auto"/>
          <w:kern w:val="2"/>
          <w:szCs w:val="20"/>
        </w:rPr>
        <w:t>C(x，y，t)—t时刻点x，y处的示踪剂浓度，g/L；</w:t>
      </w:r>
    </w:p>
    <w:p w14:paraId="3C0BCE29">
      <w:pPr>
        <w:pStyle w:val="276"/>
        <w:widowControl w:val="0"/>
        <w:ind w:firstLine="480"/>
        <w:jc w:val="both"/>
        <w:rPr>
          <w:color w:val="auto"/>
          <w:kern w:val="2"/>
          <w:szCs w:val="20"/>
        </w:rPr>
      </w:pPr>
      <w:r>
        <w:rPr>
          <w:color w:val="auto"/>
          <w:kern w:val="2"/>
          <w:szCs w:val="20"/>
        </w:rPr>
        <w:t>M—含水层的厚度，m；</w:t>
      </w:r>
    </w:p>
    <w:p w14:paraId="2BF0D230">
      <w:pPr>
        <w:pStyle w:val="276"/>
        <w:widowControl w:val="0"/>
        <w:ind w:firstLine="480"/>
        <w:jc w:val="both"/>
        <w:rPr>
          <w:color w:val="auto"/>
          <w:kern w:val="2"/>
          <w:szCs w:val="20"/>
        </w:rPr>
      </w:pPr>
      <w:r>
        <w:rPr>
          <w:color w:val="auto"/>
          <w:kern w:val="2"/>
          <w:szCs w:val="20"/>
        </w:rPr>
        <w:t>m</w:t>
      </w:r>
      <w:r>
        <w:rPr>
          <w:color w:val="auto"/>
          <w:kern w:val="2"/>
          <w:szCs w:val="20"/>
          <w:vertAlign w:val="subscript"/>
        </w:rPr>
        <w:t>M</w:t>
      </w:r>
      <w:r>
        <w:rPr>
          <w:color w:val="auto"/>
          <w:kern w:val="2"/>
          <w:szCs w:val="20"/>
        </w:rPr>
        <w:t>—长度为M的线源瞬时注入的示踪剂</w:t>
      </w:r>
      <w:r>
        <w:rPr>
          <w:color w:val="auto"/>
          <w:lang w:val="zh-CN"/>
        </w:rPr>
        <w:t>质量</w:t>
      </w:r>
      <w:r>
        <w:rPr>
          <w:color w:val="auto"/>
          <w:kern w:val="2"/>
          <w:szCs w:val="20"/>
        </w:rPr>
        <w:t>，kg；</w:t>
      </w:r>
    </w:p>
    <w:p w14:paraId="50BC465D">
      <w:pPr>
        <w:pStyle w:val="276"/>
        <w:widowControl w:val="0"/>
        <w:ind w:firstLine="480"/>
        <w:jc w:val="both"/>
        <w:rPr>
          <w:color w:val="auto"/>
          <w:kern w:val="2"/>
          <w:szCs w:val="20"/>
        </w:rPr>
      </w:pPr>
      <w:r>
        <w:rPr>
          <w:color w:val="auto"/>
          <w:kern w:val="2"/>
          <w:szCs w:val="20"/>
        </w:rPr>
        <w:t>u—水流速度，m/d；</w:t>
      </w:r>
    </w:p>
    <w:p w14:paraId="61E45033">
      <w:pPr>
        <w:pStyle w:val="276"/>
        <w:widowControl w:val="0"/>
        <w:ind w:firstLine="480"/>
        <w:jc w:val="both"/>
        <w:rPr>
          <w:color w:val="auto"/>
          <w:kern w:val="2"/>
          <w:szCs w:val="20"/>
        </w:rPr>
      </w:pPr>
      <w:r>
        <w:rPr>
          <w:color w:val="auto"/>
          <w:kern w:val="2"/>
          <w:szCs w:val="20"/>
        </w:rPr>
        <w:t>n—有效孔隙度，无量纲；</w:t>
      </w:r>
    </w:p>
    <w:p w14:paraId="0EE59C62">
      <w:pPr>
        <w:pStyle w:val="276"/>
        <w:widowControl w:val="0"/>
        <w:ind w:firstLine="480"/>
        <w:jc w:val="both"/>
        <w:rPr>
          <w:color w:val="auto"/>
          <w:kern w:val="2"/>
          <w:szCs w:val="20"/>
        </w:rPr>
      </w:pPr>
      <w:r>
        <w:rPr>
          <w:color w:val="auto"/>
          <w:kern w:val="2"/>
          <w:szCs w:val="20"/>
        </w:rPr>
        <w:t>D</w:t>
      </w:r>
      <w:r>
        <w:rPr>
          <w:color w:val="auto"/>
          <w:kern w:val="2"/>
          <w:szCs w:val="20"/>
          <w:vertAlign w:val="subscript"/>
        </w:rPr>
        <w:t>L</w:t>
      </w:r>
      <w:r>
        <w:rPr>
          <w:color w:val="auto"/>
          <w:kern w:val="2"/>
          <w:szCs w:val="20"/>
        </w:rPr>
        <w:t>—纵向弥散系数，m</w:t>
      </w:r>
      <w:r>
        <w:rPr>
          <w:color w:val="auto"/>
          <w:kern w:val="2"/>
          <w:szCs w:val="20"/>
          <w:vertAlign w:val="superscript"/>
        </w:rPr>
        <w:t>2</w:t>
      </w:r>
      <w:r>
        <w:rPr>
          <w:color w:val="auto"/>
          <w:kern w:val="2"/>
          <w:szCs w:val="20"/>
        </w:rPr>
        <w:t>/d；</w:t>
      </w:r>
    </w:p>
    <w:p w14:paraId="19AD05A4">
      <w:pPr>
        <w:pStyle w:val="276"/>
        <w:widowControl w:val="0"/>
        <w:ind w:firstLine="480"/>
        <w:jc w:val="both"/>
        <w:rPr>
          <w:color w:val="auto"/>
          <w:kern w:val="2"/>
          <w:szCs w:val="20"/>
        </w:rPr>
      </w:pPr>
      <w:r>
        <w:rPr>
          <w:color w:val="auto"/>
          <w:kern w:val="2"/>
          <w:szCs w:val="20"/>
        </w:rPr>
        <w:t>D</w:t>
      </w:r>
      <w:r>
        <w:rPr>
          <w:color w:val="auto"/>
          <w:kern w:val="2"/>
          <w:szCs w:val="20"/>
          <w:vertAlign w:val="subscript"/>
        </w:rPr>
        <w:t>T</w:t>
      </w:r>
      <w:r>
        <w:rPr>
          <w:color w:val="auto"/>
          <w:kern w:val="2"/>
          <w:szCs w:val="20"/>
        </w:rPr>
        <w:t>—横向y方向的</w:t>
      </w:r>
      <w:r>
        <w:rPr>
          <w:color w:val="auto"/>
          <w:lang w:val="zh-CN"/>
        </w:rPr>
        <w:t>弥散系数</w:t>
      </w:r>
      <w:r>
        <w:rPr>
          <w:color w:val="auto"/>
          <w:kern w:val="2"/>
          <w:szCs w:val="20"/>
        </w:rPr>
        <w:t>，m</w:t>
      </w:r>
      <w:r>
        <w:rPr>
          <w:color w:val="auto"/>
          <w:kern w:val="2"/>
          <w:szCs w:val="20"/>
          <w:vertAlign w:val="superscript"/>
        </w:rPr>
        <w:t>2</w:t>
      </w:r>
      <w:r>
        <w:rPr>
          <w:color w:val="auto"/>
          <w:kern w:val="2"/>
          <w:szCs w:val="20"/>
        </w:rPr>
        <w:t>/d。</w:t>
      </w:r>
    </w:p>
    <w:p w14:paraId="1DBE143C">
      <w:pPr>
        <w:pStyle w:val="276"/>
        <w:widowControl w:val="0"/>
        <w:ind w:firstLine="480"/>
        <w:jc w:val="both"/>
        <w:rPr>
          <w:color w:val="auto"/>
          <w:kern w:val="2"/>
          <w:szCs w:val="20"/>
        </w:rPr>
      </w:pPr>
      <w:r>
        <w:rPr>
          <w:color w:val="auto"/>
          <w:kern w:val="2"/>
          <w:szCs w:val="20"/>
        </w:rPr>
        <w:t>π—圆周率。</w:t>
      </w:r>
    </w:p>
    <w:p w14:paraId="201B095B">
      <w:pPr>
        <w:pStyle w:val="276"/>
        <w:widowControl w:val="0"/>
        <w:ind w:firstLine="480"/>
        <w:jc w:val="both"/>
        <w:rPr>
          <w:color w:val="auto"/>
          <w:kern w:val="2"/>
          <w:szCs w:val="20"/>
        </w:rPr>
      </w:pPr>
      <w:r>
        <w:rPr>
          <w:color w:val="auto"/>
          <w:kern w:val="2"/>
          <w:szCs w:val="20"/>
        </w:rPr>
        <w:t>（4）参数选取</w:t>
      </w:r>
    </w:p>
    <w:p w14:paraId="4842AD71">
      <w:pPr>
        <w:pStyle w:val="276"/>
        <w:widowControl w:val="0"/>
        <w:ind w:firstLine="480"/>
        <w:jc w:val="both"/>
        <w:rPr>
          <w:color w:val="auto"/>
          <w:kern w:val="21"/>
          <w:szCs w:val="20"/>
        </w:rPr>
      </w:pPr>
      <w:r>
        <w:rPr>
          <w:color w:val="auto"/>
          <w:kern w:val="21"/>
          <w:szCs w:val="20"/>
        </w:rPr>
        <w:t>根据达西定律u=渗透系数×地下水水力坡度/有效孔隙度，有效孔隙度n为0.</w:t>
      </w:r>
      <w:r>
        <w:rPr>
          <w:rFonts w:hint="eastAsia"/>
          <w:color w:val="auto"/>
          <w:kern w:val="21"/>
          <w:szCs w:val="20"/>
        </w:rPr>
        <w:t>34</w:t>
      </w:r>
      <w:r>
        <w:rPr>
          <w:color w:val="auto"/>
          <w:kern w:val="21"/>
          <w:szCs w:val="20"/>
        </w:rPr>
        <w:t>，有效评价区内潜水含水层地下水流速为0.0</w:t>
      </w:r>
      <w:r>
        <w:rPr>
          <w:rFonts w:hint="eastAsia"/>
          <w:color w:val="auto"/>
          <w:kern w:val="21"/>
          <w:szCs w:val="20"/>
        </w:rPr>
        <w:t>5</w:t>
      </w:r>
      <w:r>
        <w:rPr>
          <w:color w:val="auto"/>
          <w:kern w:val="21"/>
          <w:szCs w:val="20"/>
        </w:rPr>
        <w:t>m/d。潜水含水层厚度</w:t>
      </w:r>
      <w:r>
        <w:rPr>
          <w:rFonts w:hint="eastAsia"/>
          <w:color w:val="auto"/>
          <w:kern w:val="21"/>
          <w:szCs w:val="20"/>
        </w:rPr>
        <w:t>3.5</w:t>
      </w:r>
      <w:r>
        <w:rPr>
          <w:color w:val="auto"/>
          <w:kern w:val="21"/>
          <w:szCs w:val="20"/>
        </w:rPr>
        <w:t>m。弥散系数：区域地下水纵向弥散系数0.2m</w:t>
      </w:r>
      <w:r>
        <w:rPr>
          <w:color w:val="auto"/>
          <w:kern w:val="21"/>
          <w:szCs w:val="20"/>
          <w:vertAlign w:val="superscript"/>
        </w:rPr>
        <w:t>2</w:t>
      </w:r>
      <w:r>
        <w:rPr>
          <w:color w:val="auto"/>
          <w:kern w:val="21"/>
          <w:szCs w:val="20"/>
        </w:rPr>
        <w:t>/d，横向弥散系数0.02m</w:t>
      </w:r>
      <w:r>
        <w:rPr>
          <w:color w:val="auto"/>
          <w:kern w:val="21"/>
          <w:szCs w:val="20"/>
          <w:vertAlign w:val="superscript"/>
        </w:rPr>
        <w:t>2</w:t>
      </w:r>
      <w:r>
        <w:rPr>
          <w:color w:val="auto"/>
          <w:kern w:val="21"/>
          <w:szCs w:val="20"/>
        </w:rPr>
        <w:t>/d。</w:t>
      </w:r>
    </w:p>
    <w:p w14:paraId="4104A988">
      <w:pPr>
        <w:pStyle w:val="276"/>
        <w:widowControl w:val="0"/>
        <w:ind w:firstLine="480"/>
        <w:jc w:val="both"/>
        <w:rPr>
          <w:color w:val="auto"/>
          <w:kern w:val="2"/>
          <w:szCs w:val="20"/>
        </w:rPr>
      </w:pPr>
      <w:r>
        <w:rPr>
          <w:color w:val="auto"/>
          <w:kern w:val="21"/>
          <w:szCs w:val="20"/>
        </w:rPr>
        <w:t>选取地下水石油类≤0.05mg/L（参照</w:t>
      </w:r>
      <w:r>
        <w:rPr>
          <w:color w:val="auto"/>
          <w:lang w:val="zh-CN"/>
        </w:rPr>
        <w:t>《地表水环境质量标准》</w:t>
      </w:r>
      <w:r>
        <w:rPr>
          <w:color w:val="auto"/>
          <w:kern w:val="21"/>
          <w:szCs w:val="20"/>
        </w:rPr>
        <w:t>（GB3838-2002）II类标准执行），化学反应常数为0。</w:t>
      </w:r>
    </w:p>
    <w:p w14:paraId="6AE8AC4E">
      <w:pPr>
        <w:pStyle w:val="276"/>
        <w:widowControl w:val="0"/>
        <w:ind w:firstLine="480"/>
        <w:jc w:val="both"/>
        <w:rPr>
          <w:color w:val="auto"/>
          <w:kern w:val="2"/>
          <w:szCs w:val="20"/>
        </w:rPr>
      </w:pPr>
      <w:r>
        <w:rPr>
          <w:color w:val="auto"/>
          <w:kern w:val="2"/>
          <w:szCs w:val="20"/>
        </w:rPr>
        <w:t>（5）预测结果</w:t>
      </w:r>
    </w:p>
    <w:p w14:paraId="7B272DBC">
      <w:pPr>
        <w:pStyle w:val="276"/>
        <w:widowControl w:val="0"/>
        <w:ind w:firstLine="480"/>
        <w:jc w:val="both"/>
        <w:rPr>
          <w:color w:val="auto"/>
          <w:kern w:val="2"/>
          <w:szCs w:val="20"/>
        </w:rPr>
      </w:pPr>
      <w:r>
        <w:rPr>
          <w:color w:val="auto"/>
          <w:kern w:val="2"/>
          <w:szCs w:val="20"/>
        </w:rPr>
        <w:t>集油管道泄漏100d、1000d、5</w:t>
      </w:r>
      <w:r>
        <w:rPr>
          <w:rFonts w:hint="eastAsia"/>
          <w:color w:val="auto"/>
          <w:kern w:val="2"/>
          <w:szCs w:val="20"/>
        </w:rPr>
        <w:t>475</w:t>
      </w:r>
      <w:r>
        <w:rPr>
          <w:color w:val="auto"/>
          <w:kern w:val="2"/>
          <w:szCs w:val="20"/>
        </w:rPr>
        <w:t>d对潜水的影响预测结果见表5.3-3、图5.3-4～图5.3-6。</w:t>
      </w:r>
    </w:p>
    <w:p w14:paraId="291279D0">
      <w:pPr>
        <w:pStyle w:val="276"/>
        <w:widowControl w:val="0"/>
        <w:spacing w:line="440" w:lineRule="exact"/>
        <w:ind w:firstLine="0" w:firstLineChars="0"/>
        <w:jc w:val="center"/>
        <w:rPr>
          <w:color w:val="auto"/>
          <w:kern w:val="2"/>
          <w:szCs w:val="20"/>
        </w:rPr>
      </w:pPr>
      <w:r>
        <w:rPr>
          <w:color w:val="auto"/>
          <w:kern w:val="2"/>
          <w:szCs w:val="20"/>
        </w:rPr>
        <w:t>表5.3-3 集油管道泄漏对地下水的影响预测结果表</w:t>
      </w:r>
    </w:p>
    <w:tbl>
      <w:tblPr>
        <w:tblStyle w:val="8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7"/>
        <w:gridCol w:w="934"/>
        <w:gridCol w:w="1518"/>
        <w:gridCol w:w="1518"/>
        <w:gridCol w:w="1423"/>
        <w:gridCol w:w="1995"/>
        <w:gridCol w:w="1128"/>
      </w:tblGrid>
      <w:tr w14:paraId="5659C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3" w:type="pct"/>
            <w:vAlign w:val="center"/>
          </w:tcPr>
          <w:p w14:paraId="44D7E56C">
            <w:pPr>
              <w:spacing w:line="360" w:lineRule="exact"/>
              <w:jc w:val="center"/>
              <w:rPr>
                <w:rFonts w:ascii="宋体" w:hAnsi="宋体" w:eastAsia="宋体" w:cs="Times New Roman"/>
                <w:color w:val="auto"/>
              </w:rPr>
            </w:pPr>
            <w:r>
              <w:rPr>
                <w:rFonts w:ascii="宋体" w:hAnsi="宋体" w:eastAsia="宋体" w:cs="Times New Roman"/>
                <w:color w:val="auto"/>
              </w:rPr>
              <w:t>污染物</w:t>
            </w:r>
          </w:p>
        </w:tc>
        <w:tc>
          <w:tcPr>
            <w:tcW w:w="503" w:type="pct"/>
            <w:vAlign w:val="center"/>
          </w:tcPr>
          <w:p w14:paraId="2989374E">
            <w:pPr>
              <w:spacing w:line="360" w:lineRule="exact"/>
              <w:jc w:val="center"/>
              <w:rPr>
                <w:rFonts w:ascii="宋体" w:hAnsi="宋体" w:eastAsia="宋体" w:cs="Times New Roman"/>
                <w:color w:val="auto"/>
              </w:rPr>
            </w:pPr>
            <w:r>
              <w:rPr>
                <w:rFonts w:ascii="宋体" w:hAnsi="宋体" w:eastAsia="宋体" w:cs="Times New Roman"/>
                <w:color w:val="auto"/>
              </w:rPr>
              <w:t>预测时间</w:t>
            </w:r>
          </w:p>
        </w:tc>
        <w:tc>
          <w:tcPr>
            <w:tcW w:w="817" w:type="pct"/>
            <w:vAlign w:val="center"/>
          </w:tcPr>
          <w:p w14:paraId="101B615D">
            <w:pPr>
              <w:spacing w:line="360" w:lineRule="exact"/>
              <w:jc w:val="center"/>
              <w:rPr>
                <w:rFonts w:ascii="宋体" w:hAnsi="宋体" w:eastAsia="宋体" w:cs="Times New Roman"/>
                <w:color w:val="auto"/>
              </w:rPr>
            </w:pPr>
            <w:r>
              <w:rPr>
                <w:rFonts w:hint="eastAsia" w:ascii="宋体" w:hAnsi="宋体" w:eastAsia="宋体" w:cs="Times New Roman"/>
                <w:color w:val="auto"/>
              </w:rPr>
              <w:t>最大浓度mg/L</w:t>
            </w:r>
          </w:p>
        </w:tc>
        <w:tc>
          <w:tcPr>
            <w:tcW w:w="817" w:type="pct"/>
            <w:vAlign w:val="center"/>
          </w:tcPr>
          <w:p w14:paraId="0572DED7">
            <w:pPr>
              <w:spacing w:line="360" w:lineRule="exact"/>
              <w:jc w:val="center"/>
              <w:rPr>
                <w:rFonts w:ascii="宋体" w:hAnsi="宋体" w:eastAsia="宋体" w:cs="Times New Roman"/>
                <w:color w:val="auto"/>
              </w:rPr>
            </w:pPr>
            <w:r>
              <w:rPr>
                <w:rFonts w:ascii="宋体" w:hAnsi="宋体" w:eastAsia="宋体" w:cs="Times New Roman"/>
                <w:color w:val="auto"/>
              </w:rPr>
              <w:t>超标最远距离/m</w:t>
            </w:r>
          </w:p>
        </w:tc>
        <w:tc>
          <w:tcPr>
            <w:tcW w:w="766" w:type="pct"/>
            <w:vAlign w:val="center"/>
          </w:tcPr>
          <w:p w14:paraId="22DB9E79">
            <w:pPr>
              <w:spacing w:line="360" w:lineRule="exact"/>
              <w:jc w:val="center"/>
              <w:rPr>
                <w:rFonts w:ascii="宋体" w:hAnsi="宋体" w:eastAsia="宋体" w:cs="Times New Roman"/>
                <w:color w:val="auto"/>
              </w:rPr>
            </w:pPr>
            <w:r>
              <w:rPr>
                <w:rFonts w:ascii="宋体" w:hAnsi="宋体" w:eastAsia="宋体" w:cs="Times New Roman"/>
                <w:color w:val="auto"/>
              </w:rPr>
              <w:t>超标面积/m</w:t>
            </w:r>
            <w:r>
              <w:rPr>
                <w:rFonts w:ascii="宋体" w:hAnsi="宋体" w:eastAsia="宋体" w:cs="Times New Roman"/>
                <w:color w:val="auto"/>
                <w:vertAlign w:val="superscript"/>
              </w:rPr>
              <w:t>2</w:t>
            </w:r>
          </w:p>
        </w:tc>
        <w:tc>
          <w:tcPr>
            <w:tcW w:w="1074" w:type="pct"/>
            <w:vAlign w:val="center"/>
          </w:tcPr>
          <w:p w14:paraId="5E5B3C8E">
            <w:pPr>
              <w:jc w:val="center"/>
              <w:rPr>
                <w:rFonts w:ascii="宋体" w:hAnsi="宋体" w:eastAsia="宋体" w:cs="Times New Roman"/>
                <w:color w:val="auto"/>
              </w:rPr>
            </w:pPr>
            <w:r>
              <w:rPr>
                <w:rFonts w:ascii="宋体" w:hAnsi="宋体" w:eastAsia="宋体" w:cs="Times New Roman"/>
                <w:color w:val="auto"/>
              </w:rPr>
              <w:t>最远影响距离</w:t>
            </w:r>
          </w:p>
          <w:p w14:paraId="6D2F010E">
            <w:pPr>
              <w:spacing w:line="360" w:lineRule="exact"/>
              <w:jc w:val="center"/>
              <w:rPr>
                <w:rFonts w:ascii="宋体" w:hAnsi="宋体" w:eastAsia="宋体" w:cs="Times New Roman"/>
                <w:color w:val="auto"/>
              </w:rPr>
            </w:pPr>
            <w:r>
              <w:rPr>
                <w:rFonts w:ascii="宋体" w:hAnsi="宋体" w:eastAsia="宋体" w:cs="Times New Roman"/>
                <w:color w:val="auto"/>
              </w:rPr>
              <w:t>（最大迁移距离）/m</w:t>
            </w:r>
          </w:p>
        </w:tc>
        <w:tc>
          <w:tcPr>
            <w:tcW w:w="607" w:type="pct"/>
            <w:vAlign w:val="center"/>
          </w:tcPr>
          <w:p w14:paraId="3F485E63">
            <w:pPr>
              <w:spacing w:line="360" w:lineRule="exact"/>
              <w:jc w:val="center"/>
              <w:rPr>
                <w:rFonts w:ascii="宋体" w:hAnsi="宋体" w:eastAsia="宋体" w:cs="Times New Roman"/>
                <w:color w:val="auto"/>
              </w:rPr>
            </w:pPr>
            <w:r>
              <w:rPr>
                <w:rFonts w:ascii="宋体" w:hAnsi="宋体" w:eastAsia="宋体" w:cs="Times New Roman"/>
                <w:color w:val="auto"/>
              </w:rPr>
              <w:t>影响面积/ m</w:t>
            </w:r>
            <w:r>
              <w:rPr>
                <w:rFonts w:ascii="宋体" w:hAnsi="宋体" w:eastAsia="宋体" w:cs="Times New Roman"/>
                <w:color w:val="auto"/>
                <w:vertAlign w:val="superscript"/>
              </w:rPr>
              <w:t>2</w:t>
            </w:r>
          </w:p>
        </w:tc>
      </w:tr>
      <w:tr w14:paraId="32863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3" w:type="pct"/>
            <w:vMerge w:val="restart"/>
            <w:vAlign w:val="center"/>
          </w:tcPr>
          <w:p w14:paraId="4E861BDA">
            <w:pPr>
              <w:spacing w:line="360" w:lineRule="exact"/>
              <w:jc w:val="center"/>
              <w:rPr>
                <w:rFonts w:ascii="宋体" w:hAnsi="宋体" w:eastAsia="宋体" w:cs="Times New Roman"/>
                <w:color w:val="auto"/>
              </w:rPr>
            </w:pPr>
            <w:r>
              <w:rPr>
                <w:rFonts w:ascii="宋体" w:hAnsi="宋体" w:eastAsia="宋体" w:cs="Times New Roman"/>
                <w:color w:val="auto"/>
              </w:rPr>
              <w:t>石油类</w:t>
            </w:r>
          </w:p>
        </w:tc>
        <w:tc>
          <w:tcPr>
            <w:tcW w:w="503" w:type="pct"/>
            <w:vAlign w:val="center"/>
          </w:tcPr>
          <w:p w14:paraId="09E76A5E">
            <w:pPr>
              <w:spacing w:line="360" w:lineRule="exact"/>
              <w:jc w:val="center"/>
              <w:rPr>
                <w:rFonts w:ascii="宋体" w:hAnsi="宋体" w:eastAsia="宋体" w:cs="Times New Roman"/>
                <w:color w:val="auto"/>
              </w:rPr>
            </w:pPr>
            <w:r>
              <w:rPr>
                <w:rFonts w:ascii="宋体" w:hAnsi="宋体" w:eastAsia="宋体" w:cs="Times New Roman"/>
                <w:color w:val="auto"/>
              </w:rPr>
              <w:t>100天</w:t>
            </w:r>
          </w:p>
        </w:tc>
        <w:tc>
          <w:tcPr>
            <w:tcW w:w="817" w:type="pct"/>
            <w:vAlign w:val="center"/>
          </w:tcPr>
          <w:p w14:paraId="0DE84868">
            <w:pPr>
              <w:spacing w:line="360" w:lineRule="exact"/>
              <w:jc w:val="center"/>
              <w:rPr>
                <w:rFonts w:ascii="宋体" w:hAnsi="宋体" w:eastAsia="宋体" w:cs="Times New Roman"/>
                <w:color w:val="auto"/>
              </w:rPr>
            </w:pPr>
            <w:r>
              <w:rPr>
                <w:rFonts w:ascii="宋体" w:hAnsi="宋体" w:eastAsia="宋体" w:cs="Times New Roman"/>
                <w:color w:val="auto"/>
              </w:rPr>
              <w:t>560.38</w:t>
            </w:r>
          </w:p>
        </w:tc>
        <w:tc>
          <w:tcPr>
            <w:tcW w:w="817" w:type="pct"/>
            <w:vAlign w:val="center"/>
          </w:tcPr>
          <w:p w14:paraId="232E705C">
            <w:pPr>
              <w:spacing w:line="360" w:lineRule="exact"/>
              <w:jc w:val="center"/>
              <w:rPr>
                <w:rFonts w:ascii="宋体" w:hAnsi="宋体" w:eastAsia="宋体" w:cs="Times New Roman"/>
                <w:color w:val="auto"/>
              </w:rPr>
            </w:pPr>
            <w:r>
              <w:rPr>
                <w:rFonts w:hint="eastAsia" w:ascii="宋体" w:hAnsi="宋体" w:eastAsia="宋体" w:cs="Times New Roman"/>
                <w:color w:val="auto"/>
              </w:rPr>
              <w:t>32</w:t>
            </w:r>
          </w:p>
        </w:tc>
        <w:tc>
          <w:tcPr>
            <w:tcW w:w="766" w:type="pct"/>
            <w:vAlign w:val="center"/>
          </w:tcPr>
          <w:p w14:paraId="47994433">
            <w:pPr>
              <w:spacing w:line="360" w:lineRule="exact"/>
              <w:jc w:val="center"/>
              <w:rPr>
                <w:rFonts w:ascii="宋体" w:hAnsi="宋体" w:eastAsia="宋体" w:cs="Times New Roman"/>
                <w:color w:val="auto"/>
              </w:rPr>
            </w:pPr>
            <w:r>
              <w:rPr>
                <w:rFonts w:ascii="宋体" w:hAnsi="宋体" w:eastAsia="宋体" w:cs="Times New Roman"/>
                <w:color w:val="auto"/>
              </w:rPr>
              <w:t>735.22</w:t>
            </w:r>
          </w:p>
        </w:tc>
        <w:tc>
          <w:tcPr>
            <w:tcW w:w="1074" w:type="pct"/>
            <w:vAlign w:val="center"/>
          </w:tcPr>
          <w:p w14:paraId="5DDA3D01">
            <w:pPr>
              <w:spacing w:line="360" w:lineRule="exact"/>
              <w:jc w:val="center"/>
              <w:rPr>
                <w:rFonts w:ascii="宋体" w:hAnsi="宋体" w:eastAsia="宋体" w:cs="Times New Roman"/>
                <w:color w:val="auto"/>
              </w:rPr>
            </w:pPr>
            <w:r>
              <w:rPr>
                <w:rFonts w:hint="eastAsia" w:ascii="宋体" w:hAnsi="宋体" w:eastAsia="宋体" w:cs="Times New Roman"/>
                <w:color w:val="auto"/>
              </w:rPr>
              <w:t>34</w:t>
            </w:r>
          </w:p>
        </w:tc>
        <w:tc>
          <w:tcPr>
            <w:tcW w:w="607" w:type="pct"/>
            <w:vAlign w:val="center"/>
          </w:tcPr>
          <w:p w14:paraId="18633F75">
            <w:pPr>
              <w:spacing w:line="360" w:lineRule="exact"/>
              <w:jc w:val="center"/>
              <w:rPr>
                <w:rFonts w:ascii="宋体" w:hAnsi="宋体" w:eastAsia="宋体" w:cs="Times New Roman"/>
                <w:color w:val="auto"/>
              </w:rPr>
            </w:pPr>
            <w:r>
              <w:rPr>
                <w:rFonts w:ascii="宋体" w:hAnsi="宋体" w:eastAsia="宋体" w:cs="Times New Roman"/>
                <w:color w:val="auto"/>
              </w:rPr>
              <w:t>882.27</w:t>
            </w:r>
          </w:p>
        </w:tc>
      </w:tr>
      <w:tr w14:paraId="34072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3" w:type="pct"/>
            <w:vMerge w:val="continue"/>
            <w:vAlign w:val="center"/>
          </w:tcPr>
          <w:p w14:paraId="6298243A">
            <w:pPr>
              <w:spacing w:line="360" w:lineRule="exact"/>
              <w:jc w:val="center"/>
              <w:rPr>
                <w:rFonts w:ascii="宋体" w:hAnsi="宋体" w:eastAsia="宋体" w:cs="Times New Roman"/>
                <w:color w:val="auto"/>
              </w:rPr>
            </w:pPr>
          </w:p>
        </w:tc>
        <w:tc>
          <w:tcPr>
            <w:tcW w:w="503" w:type="pct"/>
            <w:vAlign w:val="center"/>
          </w:tcPr>
          <w:p w14:paraId="01B2B5D7">
            <w:pPr>
              <w:spacing w:line="360" w:lineRule="exact"/>
              <w:jc w:val="center"/>
              <w:rPr>
                <w:rFonts w:ascii="宋体" w:hAnsi="宋体" w:eastAsia="宋体" w:cs="Times New Roman"/>
                <w:color w:val="auto"/>
              </w:rPr>
            </w:pPr>
            <w:r>
              <w:rPr>
                <w:rFonts w:ascii="宋体" w:hAnsi="宋体" w:eastAsia="宋体" w:cs="Times New Roman"/>
                <w:color w:val="auto"/>
              </w:rPr>
              <w:t>1000天</w:t>
            </w:r>
          </w:p>
        </w:tc>
        <w:tc>
          <w:tcPr>
            <w:tcW w:w="817" w:type="pct"/>
            <w:vAlign w:val="center"/>
          </w:tcPr>
          <w:p w14:paraId="3FF6BABE">
            <w:pPr>
              <w:spacing w:line="360" w:lineRule="exact"/>
              <w:jc w:val="center"/>
              <w:rPr>
                <w:rFonts w:ascii="宋体" w:hAnsi="宋体" w:eastAsia="宋体" w:cs="Times New Roman"/>
                <w:color w:val="auto"/>
              </w:rPr>
            </w:pPr>
            <w:r>
              <w:rPr>
                <w:rFonts w:ascii="宋体" w:hAnsi="宋体" w:eastAsia="宋体" w:cs="Times New Roman"/>
                <w:color w:val="auto"/>
              </w:rPr>
              <w:t>56.0</w:t>
            </w:r>
            <w:r>
              <w:rPr>
                <w:rFonts w:hint="eastAsia" w:ascii="宋体" w:hAnsi="宋体" w:eastAsia="宋体" w:cs="Times New Roman"/>
                <w:color w:val="auto"/>
              </w:rPr>
              <w:t>4</w:t>
            </w:r>
          </w:p>
        </w:tc>
        <w:tc>
          <w:tcPr>
            <w:tcW w:w="817" w:type="pct"/>
            <w:vAlign w:val="center"/>
          </w:tcPr>
          <w:p w14:paraId="7766E95C">
            <w:pPr>
              <w:spacing w:line="360" w:lineRule="exact"/>
              <w:jc w:val="center"/>
              <w:rPr>
                <w:rFonts w:ascii="宋体" w:hAnsi="宋体" w:eastAsia="宋体" w:cs="Times New Roman"/>
                <w:color w:val="auto"/>
              </w:rPr>
            </w:pPr>
            <w:r>
              <w:rPr>
                <w:rFonts w:hint="eastAsia" w:ascii="宋体" w:hAnsi="宋体" w:eastAsia="宋体" w:cs="Times New Roman"/>
                <w:color w:val="auto"/>
              </w:rPr>
              <w:t>124</w:t>
            </w:r>
          </w:p>
        </w:tc>
        <w:tc>
          <w:tcPr>
            <w:tcW w:w="766" w:type="pct"/>
            <w:vAlign w:val="center"/>
          </w:tcPr>
          <w:p w14:paraId="42135333">
            <w:pPr>
              <w:spacing w:line="360" w:lineRule="exact"/>
              <w:jc w:val="center"/>
              <w:rPr>
                <w:rFonts w:ascii="宋体" w:hAnsi="宋体" w:eastAsia="宋体" w:cs="Times New Roman"/>
                <w:color w:val="auto"/>
              </w:rPr>
            </w:pPr>
            <w:r>
              <w:rPr>
                <w:rFonts w:ascii="宋体" w:hAnsi="宋体" w:eastAsia="宋体" w:cs="Times New Roman"/>
                <w:color w:val="auto"/>
              </w:rPr>
              <w:t>5465.15</w:t>
            </w:r>
          </w:p>
        </w:tc>
        <w:tc>
          <w:tcPr>
            <w:tcW w:w="1074" w:type="pct"/>
            <w:vAlign w:val="center"/>
          </w:tcPr>
          <w:p w14:paraId="7A6BB134">
            <w:pPr>
              <w:spacing w:line="360" w:lineRule="exact"/>
              <w:jc w:val="center"/>
              <w:rPr>
                <w:rFonts w:ascii="宋体" w:hAnsi="宋体" w:eastAsia="宋体" w:cs="Times New Roman"/>
                <w:color w:val="auto"/>
              </w:rPr>
            </w:pPr>
            <w:r>
              <w:rPr>
                <w:rFonts w:hint="eastAsia" w:ascii="宋体" w:hAnsi="宋体" w:eastAsia="宋体" w:cs="Times New Roman"/>
                <w:color w:val="auto"/>
              </w:rPr>
              <w:t>133</w:t>
            </w:r>
          </w:p>
        </w:tc>
        <w:tc>
          <w:tcPr>
            <w:tcW w:w="607" w:type="pct"/>
            <w:vAlign w:val="center"/>
          </w:tcPr>
          <w:p w14:paraId="107A0464">
            <w:pPr>
              <w:spacing w:line="360" w:lineRule="exact"/>
              <w:jc w:val="center"/>
              <w:rPr>
                <w:rFonts w:ascii="宋体" w:hAnsi="宋体" w:eastAsia="宋体" w:cs="Times New Roman"/>
                <w:color w:val="auto"/>
              </w:rPr>
            </w:pPr>
            <w:r>
              <w:rPr>
                <w:rFonts w:ascii="宋体" w:hAnsi="宋体" w:eastAsia="宋体" w:cs="Times New Roman"/>
                <w:color w:val="auto"/>
              </w:rPr>
              <w:t>6837.56</w:t>
            </w:r>
          </w:p>
        </w:tc>
      </w:tr>
      <w:tr w14:paraId="54434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13" w:type="pct"/>
            <w:vMerge w:val="continue"/>
            <w:vAlign w:val="center"/>
          </w:tcPr>
          <w:p w14:paraId="110C667A">
            <w:pPr>
              <w:spacing w:line="360" w:lineRule="exact"/>
              <w:jc w:val="center"/>
              <w:rPr>
                <w:rFonts w:ascii="宋体" w:hAnsi="宋体" w:eastAsia="宋体" w:cs="Times New Roman"/>
                <w:color w:val="auto"/>
              </w:rPr>
            </w:pPr>
          </w:p>
        </w:tc>
        <w:tc>
          <w:tcPr>
            <w:tcW w:w="503" w:type="pct"/>
            <w:vAlign w:val="center"/>
          </w:tcPr>
          <w:p w14:paraId="23C40EBE">
            <w:pPr>
              <w:spacing w:line="360" w:lineRule="exact"/>
              <w:jc w:val="center"/>
              <w:rPr>
                <w:rFonts w:ascii="宋体" w:hAnsi="宋体" w:eastAsia="宋体" w:cs="Times New Roman"/>
                <w:color w:val="auto"/>
              </w:rPr>
            </w:pPr>
            <w:r>
              <w:rPr>
                <w:rFonts w:ascii="宋体" w:hAnsi="宋体" w:eastAsia="宋体" w:cs="Times New Roman"/>
                <w:color w:val="auto"/>
              </w:rPr>
              <w:t>5</w:t>
            </w:r>
            <w:r>
              <w:rPr>
                <w:rFonts w:hint="eastAsia" w:ascii="宋体" w:hAnsi="宋体" w:eastAsia="宋体" w:cs="Times New Roman"/>
                <w:color w:val="auto"/>
              </w:rPr>
              <w:t>475</w:t>
            </w:r>
            <w:r>
              <w:rPr>
                <w:rFonts w:ascii="宋体" w:hAnsi="宋体" w:eastAsia="宋体" w:cs="Times New Roman"/>
                <w:color w:val="auto"/>
              </w:rPr>
              <w:t>天</w:t>
            </w:r>
          </w:p>
        </w:tc>
        <w:tc>
          <w:tcPr>
            <w:tcW w:w="817" w:type="pct"/>
            <w:vAlign w:val="center"/>
          </w:tcPr>
          <w:p w14:paraId="3376603F">
            <w:pPr>
              <w:spacing w:line="360" w:lineRule="exact"/>
              <w:jc w:val="center"/>
              <w:rPr>
                <w:rFonts w:ascii="宋体" w:hAnsi="宋体" w:eastAsia="宋体" w:cs="Times New Roman"/>
                <w:color w:val="auto"/>
              </w:rPr>
            </w:pPr>
            <w:r>
              <w:rPr>
                <w:rFonts w:ascii="宋体" w:hAnsi="宋体" w:eastAsia="宋体" w:cs="Times New Roman"/>
                <w:color w:val="auto"/>
              </w:rPr>
              <w:t>10.23</w:t>
            </w:r>
          </w:p>
        </w:tc>
        <w:tc>
          <w:tcPr>
            <w:tcW w:w="817" w:type="pct"/>
            <w:vAlign w:val="center"/>
          </w:tcPr>
          <w:p w14:paraId="5F5726D4">
            <w:pPr>
              <w:spacing w:line="360" w:lineRule="exact"/>
              <w:jc w:val="center"/>
              <w:rPr>
                <w:rFonts w:ascii="宋体" w:hAnsi="宋体" w:eastAsia="宋体" w:cs="Times New Roman"/>
                <w:color w:val="auto"/>
              </w:rPr>
            </w:pPr>
            <w:r>
              <w:rPr>
                <w:rFonts w:hint="eastAsia" w:ascii="宋体" w:hAnsi="宋体" w:eastAsia="宋体" w:cs="Times New Roman"/>
                <w:color w:val="auto"/>
              </w:rPr>
              <w:t>426</w:t>
            </w:r>
          </w:p>
        </w:tc>
        <w:tc>
          <w:tcPr>
            <w:tcW w:w="766" w:type="pct"/>
            <w:vAlign w:val="center"/>
          </w:tcPr>
          <w:p w14:paraId="2D7979F8">
            <w:pPr>
              <w:spacing w:line="360" w:lineRule="exact"/>
              <w:jc w:val="center"/>
              <w:rPr>
                <w:rFonts w:ascii="宋体" w:hAnsi="宋体" w:eastAsia="宋体" w:cs="Times New Roman"/>
                <w:color w:val="auto"/>
              </w:rPr>
            </w:pPr>
            <w:r>
              <w:rPr>
                <w:rFonts w:ascii="宋体" w:hAnsi="宋体" w:eastAsia="宋体" w:cs="Times New Roman"/>
                <w:color w:val="auto"/>
              </w:rPr>
              <w:t>22718.36</w:t>
            </w:r>
          </w:p>
        </w:tc>
        <w:tc>
          <w:tcPr>
            <w:tcW w:w="1074" w:type="pct"/>
            <w:vAlign w:val="center"/>
          </w:tcPr>
          <w:p w14:paraId="2848E89A">
            <w:pPr>
              <w:spacing w:line="360" w:lineRule="exact"/>
              <w:jc w:val="center"/>
              <w:rPr>
                <w:rFonts w:ascii="宋体" w:hAnsi="宋体" w:eastAsia="宋体" w:cs="Times New Roman"/>
                <w:color w:val="auto"/>
              </w:rPr>
            </w:pPr>
            <w:r>
              <w:rPr>
                <w:rFonts w:hint="eastAsia" w:ascii="宋体" w:hAnsi="宋体" w:eastAsia="宋体" w:cs="Times New Roman"/>
                <w:color w:val="auto"/>
              </w:rPr>
              <w:t>447</w:t>
            </w:r>
          </w:p>
        </w:tc>
        <w:tc>
          <w:tcPr>
            <w:tcW w:w="607" w:type="pct"/>
            <w:vAlign w:val="center"/>
          </w:tcPr>
          <w:p w14:paraId="101016B1">
            <w:pPr>
              <w:spacing w:line="360" w:lineRule="exact"/>
              <w:jc w:val="center"/>
              <w:rPr>
                <w:rFonts w:ascii="宋体" w:hAnsi="宋体" w:eastAsia="宋体" w:cs="Times New Roman"/>
                <w:color w:val="auto"/>
              </w:rPr>
            </w:pPr>
            <w:r>
              <w:rPr>
                <w:rFonts w:ascii="宋体" w:hAnsi="宋体" w:eastAsia="宋体" w:cs="Times New Roman"/>
                <w:color w:val="auto"/>
              </w:rPr>
              <w:t>29629.45</w:t>
            </w:r>
          </w:p>
        </w:tc>
      </w:tr>
    </w:tbl>
    <w:p w14:paraId="34158411">
      <w:pPr>
        <w:jc w:val="center"/>
        <w:rPr>
          <w:rFonts w:ascii="宋体" w:hAnsi="宋体" w:eastAsia="宋体"/>
          <w:color w:val="auto"/>
          <w:szCs w:val="24"/>
        </w:rPr>
      </w:pPr>
      <w:r>
        <w:rPr>
          <w:rFonts w:ascii="宋体" w:hAnsi="宋体" w:eastAsia="宋体"/>
          <w:color w:val="auto"/>
          <w:sz w:val="24"/>
        </w:rPr>
        <mc:AlternateContent>
          <mc:Choice Requires="wpg">
            <w:drawing>
              <wp:anchor distT="0" distB="0" distL="114300" distR="114300" simplePos="0" relativeHeight="251677696" behindDoc="0" locked="0" layoutInCell="1" allowOverlap="1">
                <wp:simplePos x="0" y="0"/>
                <wp:positionH relativeFrom="column">
                  <wp:posOffset>2520315</wp:posOffset>
                </wp:positionH>
                <wp:positionV relativeFrom="paragraph">
                  <wp:posOffset>1991995</wp:posOffset>
                </wp:positionV>
                <wp:extent cx="1228725" cy="1295400"/>
                <wp:effectExtent l="0" t="67945" r="0" b="0"/>
                <wp:wrapNone/>
                <wp:docPr id="134" name="组合 134"/>
                <wp:cNvGraphicFramePr/>
                <a:graphic xmlns:a="http://schemas.openxmlformats.org/drawingml/2006/main">
                  <a:graphicData uri="http://schemas.microsoft.com/office/word/2010/wordprocessingGroup">
                    <wpg:wgp>
                      <wpg:cNvGrpSpPr/>
                      <wpg:grpSpPr>
                        <a:xfrm>
                          <a:off x="0" y="0"/>
                          <a:ext cx="1228725" cy="1295400"/>
                          <a:chOff x="24723" y="2683132"/>
                          <a:chExt cx="1935" cy="2040"/>
                        </a:xfrm>
                      </wpg:grpSpPr>
                      <wps:wsp>
                        <wps:cNvPr id="135" name="直接箭头连接符 488"/>
                        <wps:cNvCnPr/>
                        <wps:spPr>
                          <a:xfrm rot="21120000" flipH="1">
                            <a:off x="24723" y="2683132"/>
                            <a:ext cx="1576" cy="1440"/>
                          </a:xfrm>
                          <a:prstGeom prst="straightConnector1">
                            <a:avLst/>
                          </a:prstGeom>
                          <a:noFill/>
                          <a:ln w="6350" cap="flat" cmpd="sng" algn="ctr">
                            <a:solidFill>
                              <a:srgbClr val="00B050"/>
                            </a:solidFill>
                            <a:prstDash val="solid"/>
                            <a:miter lim="800000"/>
                            <a:tailEnd type="triangle"/>
                          </a:ln>
                          <a:effectLst/>
                        </wps:spPr>
                        <wps:bodyPr/>
                      </wps:wsp>
                      <wps:wsp>
                        <wps:cNvPr id="136" name="矩形 489"/>
                        <wps:cNvSpPr/>
                        <wps:spPr>
                          <a:xfrm rot="2388655">
                            <a:off x="25281" y="2683261"/>
                            <a:ext cx="1377" cy="1911"/>
                          </a:xfrm>
                          <a:prstGeom prst="rect">
                            <a:avLst/>
                          </a:prstGeom>
                          <a:noFill/>
                          <a:ln w="12700" cap="flat" cmpd="sng" algn="ctr">
                            <a:noFill/>
                            <a:prstDash val="solid"/>
                            <a:miter lim="800000"/>
                          </a:ln>
                          <a:effectLst/>
                        </wps:spPr>
                        <wps:txbx>
                          <w:txbxContent>
                            <w:p w14:paraId="3066385E">
                              <w:pPr>
                                <w:jc w:val="center"/>
                                <w:rPr>
                                  <w:color w:val="444444"/>
                                </w:rPr>
                              </w:pPr>
                              <w:r>
                                <w:rPr>
                                  <w:rFonts w:hint="eastAsia"/>
                                  <w:color w:val="444444"/>
                                </w:rPr>
                                <w:t>地</w:t>
                              </w:r>
                            </w:p>
                            <w:p w14:paraId="5C8D3AE0">
                              <w:pPr>
                                <w:jc w:val="center"/>
                                <w:rPr>
                                  <w:color w:val="444444"/>
                                </w:rPr>
                              </w:pPr>
                              <w:r>
                                <w:rPr>
                                  <w:rFonts w:hint="eastAsia"/>
                                  <w:color w:val="444444"/>
                                </w:rPr>
                                <w:t>下</w:t>
                              </w:r>
                            </w:p>
                            <w:p w14:paraId="31187D37">
                              <w:pPr>
                                <w:jc w:val="center"/>
                                <w:rPr>
                                  <w:color w:val="444444"/>
                                </w:rPr>
                              </w:pPr>
                              <w:r>
                                <w:rPr>
                                  <w:rFonts w:hint="eastAsia"/>
                                  <w:color w:val="444444"/>
                                </w:rPr>
                                <w:t>水</w:t>
                              </w:r>
                            </w:p>
                            <w:p w14:paraId="138878A8">
                              <w:pPr>
                                <w:jc w:val="center"/>
                                <w:rPr>
                                  <w:color w:val="444444"/>
                                </w:rPr>
                              </w:pPr>
                              <w:r>
                                <w:rPr>
                                  <w:color w:val="444444"/>
                                </w:rPr>
                                <w:t>流</w:t>
                              </w:r>
                            </w:p>
                            <w:p w14:paraId="7589780E">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8.45pt;margin-top:156.85pt;height:102pt;width:96.75pt;z-index:251677696;mso-width-relative:page;mso-height-relative:page;" coordorigin="24723,2683132" coordsize="1935,2040" o:gfxdata="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NY+bjrbAAAACwEAAA8AAAAAAAAAAQAg&#10;AAAAIgAAAGRycy9kb3ducmV2LnhtbFBLAQIUABQAAAAIAIdO4kBK4YubmgMAAEMIAAAOAAAAAAAA&#10;AAEAIAAAACoBAABkcnMvZTJvRG9jLnhtbFBLBQYAAAAABgAGAFkBAAA2BwAAAAA=&#10;">
                <o:lock v:ext="edit" aspectratio="f"/>
                <v:shape id="直接箭头连接符 488" o:spid="_x0000_s1026" o:spt="32" type="#_x0000_t32" style="position:absolute;left:24723;top:2683132;flip:x;height:1440;width:1576;rotation:524288f;" filled="f" stroked="t" coordsize="21600,21600" o:gfxdata="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FdfK8AAAA&#10;3AAAAA8AAAAAAAAAAQAgAAAAIgAAAGRycy9kb3ducmV2LnhtbFBLAQIUABQAAAAIAIdO4kAzLwWe&#10;OwAAADkAAAAQAAAAAAAAAAEAIAAAAAsBAABkcnMvc2hhcGV4bWwueG1sUEsFBgAAAAAGAAYAWwEA&#10;ALUDAAAAAA==&#10;">
                  <v:fill on="f" focussize="0,0"/>
                  <v:stroke weight="0.5pt" color="#00B050" miterlimit="8" joinstyle="miter" endarrow="block"/>
                  <v:imagedata o:title=""/>
                  <o:lock v:ext="edit" aspectratio="f"/>
                </v:shape>
                <v:rect id="矩形 489" o:spid="_x0000_s1026" o:spt="1" style="position:absolute;left:25281;top:2683261;height:1911;width:1377;rotation:2609048f;v-text-anchor:middle;" filled="f" stroked="f" coordsize="21600,21600" o:gfxdata="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wD70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3066385E">
                        <w:pPr>
                          <w:jc w:val="center"/>
                          <w:rPr>
                            <w:color w:val="444444"/>
                          </w:rPr>
                        </w:pPr>
                        <w:r>
                          <w:rPr>
                            <w:rFonts w:hint="eastAsia"/>
                            <w:color w:val="444444"/>
                          </w:rPr>
                          <w:t>地</w:t>
                        </w:r>
                      </w:p>
                      <w:p w14:paraId="5C8D3AE0">
                        <w:pPr>
                          <w:jc w:val="center"/>
                          <w:rPr>
                            <w:color w:val="444444"/>
                          </w:rPr>
                        </w:pPr>
                        <w:r>
                          <w:rPr>
                            <w:rFonts w:hint="eastAsia"/>
                            <w:color w:val="444444"/>
                          </w:rPr>
                          <w:t>下</w:t>
                        </w:r>
                      </w:p>
                      <w:p w14:paraId="31187D37">
                        <w:pPr>
                          <w:jc w:val="center"/>
                          <w:rPr>
                            <w:color w:val="444444"/>
                          </w:rPr>
                        </w:pPr>
                        <w:r>
                          <w:rPr>
                            <w:rFonts w:hint="eastAsia"/>
                            <w:color w:val="444444"/>
                          </w:rPr>
                          <w:t>水</w:t>
                        </w:r>
                      </w:p>
                      <w:p w14:paraId="138878A8">
                        <w:pPr>
                          <w:jc w:val="center"/>
                          <w:rPr>
                            <w:color w:val="444444"/>
                          </w:rPr>
                        </w:pPr>
                        <w:r>
                          <w:rPr>
                            <w:color w:val="444444"/>
                          </w:rPr>
                          <w:t>流</w:t>
                        </w:r>
                      </w:p>
                      <w:p w14:paraId="7589780E">
                        <w:pPr>
                          <w:jc w:val="center"/>
                          <w:rPr>
                            <w:color w:val="444444"/>
                          </w:rPr>
                        </w:pPr>
                        <w:r>
                          <w:rPr>
                            <w:color w:val="444444"/>
                          </w:rPr>
                          <w:t>向</w:t>
                        </w:r>
                      </w:p>
                    </w:txbxContent>
                  </v:textbox>
                </v:rect>
              </v:group>
            </w:pict>
          </mc:Fallback>
        </mc:AlternateContent>
      </w:r>
      <w:r>
        <w:rPr>
          <w:rFonts w:ascii="宋体" w:hAnsi="宋体" w:eastAsia="宋体" w:cs="宋体"/>
          <w:color w:val="auto"/>
          <w:sz w:val="24"/>
          <w:szCs w:val="24"/>
        </w:rPr>
        <w:drawing>
          <wp:inline distT="0" distB="0" distL="114300" distR="114300">
            <wp:extent cx="5751830" cy="4671695"/>
            <wp:effectExtent l="0" t="0" r="1270" b="14605"/>
            <wp:docPr id="135272815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52" name="图片 4" descr="IMG_256"/>
                    <pic:cNvPicPr>
                      <a:picLocks noChangeAspect="1"/>
                    </pic:cNvPicPr>
                  </pic:nvPicPr>
                  <pic:blipFill>
                    <a:blip r:embed="rId113"/>
                    <a:stretch>
                      <a:fillRect/>
                    </a:stretch>
                  </pic:blipFill>
                  <pic:spPr>
                    <a:xfrm>
                      <a:off x="0" y="0"/>
                      <a:ext cx="5751830" cy="4671695"/>
                    </a:xfrm>
                    <a:prstGeom prst="rect">
                      <a:avLst/>
                    </a:prstGeom>
                    <a:noFill/>
                    <a:ln w="9525">
                      <a:noFill/>
                    </a:ln>
                  </pic:spPr>
                </pic:pic>
              </a:graphicData>
            </a:graphic>
          </wp:inline>
        </w:drawing>
      </w:r>
      <w:r>
        <w:rPr>
          <w:rFonts w:ascii="宋体" w:hAnsi="宋体" w:eastAsia="宋体"/>
          <w:color w:val="auto"/>
        </w:rPr>
        <w:t xml:space="preserve"> </w:t>
      </w:r>
      <w:r>
        <w:rPr>
          <w:rFonts w:ascii="宋体" w:hAnsi="宋体" w:eastAsia="宋体"/>
          <w:color w:val="auto"/>
        </w:rPr>
        <mc:AlternateContent>
          <mc:Choice Requires="wps">
            <w:drawing>
              <wp:anchor distT="0" distB="0" distL="114300" distR="114300" simplePos="0" relativeHeight="251662336" behindDoc="0" locked="0" layoutInCell="1" allowOverlap="1">
                <wp:simplePos x="0" y="0"/>
                <wp:positionH relativeFrom="column">
                  <wp:posOffset>3044190</wp:posOffset>
                </wp:positionH>
                <wp:positionV relativeFrom="paragraph">
                  <wp:posOffset>522605</wp:posOffset>
                </wp:positionV>
                <wp:extent cx="457200" cy="1214120"/>
                <wp:effectExtent l="0" t="0" r="0" b="0"/>
                <wp:wrapNone/>
                <wp:docPr id="470" name="矩形 470"/>
                <wp:cNvGraphicFramePr/>
                <a:graphic xmlns:a="http://schemas.openxmlformats.org/drawingml/2006/main">
                  <a:graphicData uri="http://schemas.microsoft.com/office/word/2010/wordprocessingShape">
                    <wps:wsp>
                      <wps:cNvSpPr/>
                      <wps:spPr>
                        <a:xfrm>
                          <a:off x="0" y="0"/>
                          <a:ext cx="457200" cy="1213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9.7pt;margin-top:41.15pt;height:95.6pt;width:36pt;z-index:251662336;v-text-anchor:middle;mso-width-relative:page;mso-height-relative:page;" filled="f" stroked="f" coordsize="21600,21600" o:gfxdata="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8DHxdkAAAAKAQAADwAAAAAA&#10;AAABACAAAAAiAAAAZHJzL2Rvd25yZXYueG1sUEsBAhQAFAAAAAgAh07iQH5G1uxLAgAAjwQAAA4A&#10;AAAAAAAAAQAgAAAAKAEAAGRycy9lMm9Eb2MueG1sUEsFBgAAAAAGAAYAWQEAAOUFAAAAAA==&#10;">
                <v:fill on="f" focussize="0,0"/>
                <v:stroke on="f" weight="2pt"/>
                <v:imagedata o:title=""/>
                <o:lock v:ext="edit" aspectratio="f"/>
              </v:rect>
            </w:pict>
          </mc:Fallback>
        </mc:AlternateContent>
      </w:r>
      <w:r>
        <w:rPr>
          <w:rFonts w:ascii="宋体" w:hAnsi="宋体" w:eastAsia="宋体"/>
          <w:color w:val="auto"/>
        </w:rPr>
        <mc:AlternateContent>
          <mc:Choice Requires="wpg">
            <w:drawing>
              <wp:anchor distT="0" distB="0" distL="114300" distR="114300" simplePos="0" relativeHeight="251661312" behindDoc="1" locked="0" layoutInCell="1" allowOverlap="1">
                <wp:simplePos x="0" y="0"/>
                <wp:positionH relativeFrom="column">
                  <wp:posOffset>1025525</wp:posOffset>
                </wp:positionH>
                <wp:positionV relativeFrom="paragraph">
                  <wp:posOffset>137795</wp:posOffset>
                </wp:positionV>
                <wp:extent cx="4155440" cy="1962150"/>
                <wp:effectExtent l="1905" t="1270" r="0" b="0"/>
                <wp:wrapNone/>
                <wp:docPr id="513" name="组合 513"/>
                <wp:cNvGraphicFramePr/>
                <a:graphic xmlns:a="http://schemas.openxmlformats.org/drawingml/2006/main">
                  <a:graphicData uri="http://schemas.microsoft.com/office/word/2010/wordprocessingGroup">
                    <wpg:wgp>
                      <wpg:cNvGrpSpPr/>
                      <wpg:grpSpPr>
                        <a:xfrm>
                          <a:off x="0" y="0"/>
                          <a:ext cx="4155440" cy="1962150"/>
                          <a:chOff x="2735" y="1461"/>
                          <a:chExt cx="6894" cy="3540203"/>
                        </a:xfrm>
                      </wpg:grpSpPr>
                      <pic:pic xmlns:pic="http://schemas.openxmlformats.org/drawingml/2006/picture">
                        <pic:nvPicPr>
                          <pic:cNvPr id="514" name="图片 25" descr="C:\Users\Lina\Desktop\1.png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2735" y="1461"/>
                            <a:ext cx="6524" cy="3540"/>
                          </a:xfrm>
                          <a:prstGeom prst="rect">
                            <a:avLst/>
                          </a:prstGeom>
                          <a:noFill/>
                          <a:ln>
                            <a:noFill/>
                          </a:ln>
                        </pic:spPr>
                      </pic:pic>
                      <wps:wsp>
                        <wps:cNvPr id="515" name="文本框 26"/>
                        <wps:cNvSpPr txBox="1">
                          <a:spLocks noChangeArrowheads="1"/>
                        </wps:cNvSpPr>
                        <wps:spPr bwMode="auto">
                          <a:xfrm>
                            <a:off x="9319" y="4701"/>
                            <a:ext cx="310" cy="279"/>
                          </a:xfrm>
                          <a:prstGeom prst="rect">
                            <a:avLst/>
                          </a:prstGeom>
                          <a:noFill/>
                          <a:ln>
                            <a:noFill/>
                          </a:ln>
                        </wps:spPr>
                        <wps:txbx>
                          <w:txbxContent>
                            <w:p w14:paraId="35CFA5AD">
                              <w:r>
                                <w:rPr>
                                  <w:rFonts w:hint="eastAsia"/>
                                </w:rPr>
                                <w:t>m</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80.75pt;margin-top:10.85pt;height:154.5pt;width:327.2pt;z-index:-251655168;mso-width-relative:page;mso-height-relative:page;" coordorigin="2735,1461" coordsize="6894,3540203" o:gfxdata="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">
                <o:lock v:ext="edit" aspectratio="f"/>
                <v:shape id="图片 25" o:spid="_x0000_s1026" o:spt="75" alt="C:\Users\Lina\Desktop\1.png1" type="#_x0000_t75" style="position:absolute;left:2735;top:1461;height:3540;width:6524;" filled="f" o:preferrelative="t" stroked="f" coordsize="21600,21600" o:gfxdata="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RlL4A&#10;AADcAAAADwAAAAAAAAABACAAAAAiAAAAZHJzL2Rvd25yZXYueG1sUEsBAhQAFAAAAAgAh07iQDMv&#10;BZ47AAAAOQAAABAAAAAAAAAAAQAgAAAADQEAAGRycy9zaGFwZXhtbC54bWxQSwUGAAAAAAYABgBb&#10;AQAAtwMAAAAA&#10;">
                  <v:fill on="f" focussize="0,0"/>
                  <v:stroke on="f"/>
                  <v:imagedata r:id="rId114" o:title=""/>
                  <o:lock v:ext="edit" aspectratio="t"/>
                </v:shape>
                <v:shape id="文本框 26" o:spid="_x0000_s1026" o:spt="202" type="#_x0000_t202" style="position:absolute;left:9319;top:4701;height:279;width:310;" filled="f" stroked="f" coordsize="21600,21600" o:gfxdata="UEsDBAoAAAAAAIdO4kAAAAAAAAAAAAAAAAAEAAAAZHJzL1BLAwQUAAAACACHTuJAKaHPPr4AAADc&#10;AAAADwAAAGRycy9kb3ducmV2LnhtbEWPT2sCMRTE7wW/Q3hCbzVZQ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HP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CFA5AD">
                        <w:r>
                          <w:rPr>
                            <w:rFonts w:hint="eastAsia"/>
                          </w:rPr>
                          <w:t>m</w:t>
                        </w:r>
                      </w:p>
                    </w:txbxContent>
                  </v:textbox>
                </v:shape>
              </v:group>
            </w:pict>
          </mc:Fallback>
        </mc:AlternateContent>
      </w:r>
    </w:p>
    <w:p w14:paraId="38784C61">
      <w:pPr>
        <w:spacing w:line="440" w:lineRule="exact"/>
        <w:jc w:val="center"/>
        <w:rPr>
          <w:rFonts w:ascii="宋体" w:hAnsi="宋体" w:eastAsia="宋体"/>
          <w:color w:val="auto"/>
          <w:sz w:val="24"/>
        </w:rPr>
      </w:pPr>
      <w:r>
        <w:rPr>
          <w:rFonts w:ascii="宋体" w:hAnsi="宋体" w:eastAsia="宋体"/>
          <w:color w:val="auto"/>
          <w:sz w:val="24"/>
          <w:szCs w:val="24"/>
        </w:rPr>
        <w:t>图5.3-4 集油管道泄漏后100天污染物浓度分布图（污染源点：0，0）</w:t>
      </w:r>
    </w:p>
    <w:p w14:paraId="7A16F4A9">
      <w:pPr>
        <w:snapToGrid w:val="0"/>
        <w:jc w:val="center"/>
        <w:textAlignment w:val="baseline"/>
        <w:rPr>
          <w:rFonts w:ascii="宋体" w:hAnsi="宋体" w:eastAsia="宋体" w:cs="Times New Roman"/>
          <w:color w:val="auto"/>
        </w:rPr>
      </w:pPr>
      <w:r>
        <w:rPr>
          <w:rFonts w:ascii="宋体" w:hAnsi="宋体" w:eastAsia="宋体"/>
          <w:color w:val="auto"/>
        </w:rPr>
        <w:drawing>
          <wp:inline distT="0" distB="0" distL="114300" distR="114300">
            <wp:extent cx="5098415" cy="4140200"/>
            <wp:effectExtent l="0" t="0" r="6985" b="12700"/>
            <wp:docPr id="135272815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53" name="图片 5" descr="IMG_256"/>
                    <pic:cNvPicPr>
                      <a:picLocks noChangeAspect="1"/>
                    </pic:cNvPicPr>
                  </pic:nvPicPr>
                  <pic:blipFill>
                    <a:blip r:embed="rId115"/>
                    <a:stretch>
                      <a:fillRect/>
                    </a:stretch>
                  </pic:blipFill>
                  <pic:spPr>
                    <a:xfrm>
                      <a:off x="0" y="0"/>
                      <a:ext cx="5098415" cy="4140200"/>
                    </a:xfrm>
                    <a:prstGeom prst="rect">
                      <a:avLst/>
                    </a:prstGeom>
                    <a:noFill/>
                    <a:ln w="9525">
                      <a:noFill/>
                    </a:ln>
                  </pic:spPr>
                </pic:pic>
              </a:graphicData>
            </a:graphic>
          </wp:inline>
        </w:drawing>
      </w:r>
      <w:r>
        <w:rPr>
          <w:rFonts w:ascii="宋体" w:hAnsi="宋体" w:eastAsia="宋体"/>
          <w:color w:val="auto"/>
        </w:rPr>
        <mc:AlternateContent>
          <mc:Choice Requires="wpg">
            <w:drawing>
              <wp:anchor distT="0" distB="0" distL="114300" distR="114300" simplePos="0" relativeHeight="251678720" behindDoc="0" locked="0" layoutInCell="1" allowOverlap="1">
                <wp:simplePos x="0" y="0"/>
                <wp:positionH relativeFrom="column">
                  <wp:posOffset>2762885</wp:posOffset>
                </wp:positionH>
                <wp:positionV relativeFrom="paragraph">
                  <wp:posOffset>2119630</wp:posOffset>
                </wp:positionV>
                <wp:extent cx="1034415" cy="1212850"/>
                <wp:effectExtent l="0" t="24130" r="0" b="0"/>
                <wp:wrapNone/>
                <wp:docPr id="137" name="组合 137"/>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138"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139" name="矩形 489"/>
                        <wps:cNvSpPr/>
                        <wps:spPr>
                          <a:xfrm rot="2388655">
                            <a:off x="25358" y="2678354"/>
                            <a:ext cx="1377" cy="1911"/>
                          </a:xfrm>
                          <a:prstGeom prst="rect">
                            <a:avLst/>
                          </a:prstGeom>
                          <a:noFill/>
                          <a:ln w="12700" cap="flat" cmpd="sng" algn="ctr">
                            <a:noFill/>
                            <a:prstDash val="solid"/>
                            <a:miter lim="800000"/>
                          </a:ln>
                          <a:effectLst/>
                        </wps:spPr>
                        <wps:txbx>
                          <w:txbxContent>
                            <w:p w14:paraId="7A13A999">
                              <w:pPr>
                                <w:jc w:val="center"/>
                                <w:rPr>
                                  <w:color w:val="444444"/>
                                </w:rPr>
                              </w:pPr>
                              <w:r>
                                <w:rPr>
                                  <w:rFonts w:hint="eastAsia"/>
                                  <w:color w:val="444444"/>
                                </w:rPr>
                                <w:t>地</w:t>
                              </w:r>
                            </w:p>
                            <w:p w14:paraId="5F5E44EC">
                              <w:pPr>
                                <w:jc w:val="center"/>
                                <w:rPr>
                                  <w:color w:val="444444"/>
                                </w:rPr>
                              </w:pPr>
                              <w:r>
                                <w:rPr>
                                  <w:rFonts w:hint="eastAsia"/>
                                  <w:color w:val="444444"/>
                                </w:rPr>
                                <w:t>下</w:t>
                              </w:r>
                            </w:p>
                            <w:p w14:paraId="3E86F2C4">
                              <w:pPr>
                                <w:jc w:val="center"/>
                                <w:rPr>
                                  <w:color w:val="444444"/>
                                </w:rPr>
                              </w:pPr>
                              <w:r>
                                <w:rPr>
                                  <w:rFonts w:hint="eastAsia"/>
                                  <w:color w:val="444444"/>
                                </w:rPr>
                                <w:t>水</w:t>
                              </w:r>
                            </w:p>
                            <w:p w14:paraId="5A1C2BA8">
                              <w:pPr>
                                <w:jc w:val="center"/>
                                <w:rPr>
                                  <w:color w:val="444444"/>
                                </w:rPr>
                              </w:pPr>
                              <w:r>
                                <w:rPr>
                                  <w:color w:val="444444"/>
                                </w:rPr>
                                <w:t>流</w:t>
                              </w:r>
                            </w:p>
                            <w:p w14:paraId="05C3BFCD">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7.55pt;margin-top:166.9pt;height:95.5pt;width:81.45pt;z-index:251678720;mso-width-relative:page;mso-height-relative:page;" coordorigin="25105,2678354" coordsize="1629,1910" o:gfxdata="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QzAZ1NsAAAALAQAADwAAAAAAAAAB&#10;ACAAAAAiAAAAZHJzL2Rvd25yZXYueG1sUEsBAhQAFAAAAAgAh07iQNTGfqicAwAAQwgAAA4AAAAA&#10;AAAAAQAgAAAAKgEAAGRycy9lMm9Eb2MueG1sUEsFBgAAAAAGAAYAWQEAADgHA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VsTabL4AAADc&#10;AAAADwAAAGRycy9kb3ducmV2LnhtbEWPQWvCQBCF7wX/wzKCl6IbKxRJXYVqg4KnRvE8ZKdJaHY2&#10;Zldj++udg+BthvfmvW8Wq5tr1JW6UHs2MJ0koIgLb2suDRwP2XgOKkRki41nMvBHAVbLwcsCU+t7&#10;/qZrHkslIRxSNFDF2KZah6Iih2HiW2LRfnznMMraldp22Eu4a/RbkrxrhzVLQ4UtrSsqfvOLM/Dp&#10;+/99tv0qz/nGZpZPl2g3r8aMhtPkA1SkW3yaH9c7K/gzoZVnZAK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TabL4A&#10;AADcAAAADwAAAAAAAAABACAAAAAiAAAAZHJzL2Rvd25yZXYueG1sUEsBAhQAFAAAAAgAh07iQDMv&#10;BZ47AAAAOQAAABAAAAAAAAAAAQAgAAAADQEAAGRycy9zaGFwZXhtbC54bWxQSwUGAAAAAAYABgBb&#10;AQAAtwMA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5F+qhr4AAADc&#10;AAAADwAAAGRycy9kb3ducmV2LnhtbEVPTWvCQBC9C/6HZYTedFeFUqObHLRCQtuD2kOPQ3ZM0mZn&#10;Q3ab2H/fLRS8zeN9zi672VYM1PvGsYblQoEgLp1puNLwfjnOn0D4gGywdUwafshDlk4nO0yMG/lE&#10;wzlUIoawT1BDHUKXSOnLmiz6heuII3d1vcUQYV9J0+MYw20rV0o9SosNx4YaO9rXVH6dv62Go/rM&#10;x9fT87B+a1eb/KMoXoZDofXDbKm2IALdwl38785NnL/ewN8z8QK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qhr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14:paraId="7A13A999">
                        <w:pPr>
                          <w:jc w:val="center"/>
                          <w:rPr>
                            <w:color w:val="444444"/>
                          </w:rPr>
                        </w:pPr>
                        <w:r>
                          <w:rPr>
                            <w:rFonts w:hint="eastAsia"/>
                            <w:color w:val="444444"/>
                          </w:rPr>
                          <w:t>地</w:t>
                        </w:r>
                      </w:p>
                      <w:p w14:paraId="5F5E44EC">
                        <w:pPr>
                          <w:jc w:val="center"/>
                          <w:rPr>
                            <w:color w:val="444444"/>
                          </w:rPr>
                        </w:pPr>
                        <w:r>
                          <w:rPr>
                            <w:rFonts w:hint="eastAsia"/>
                            <w:color w:val="444444"/>
                          </w:rPr>
                          <w:t>下</w:t>
                        </w:r>
                      </w:p>
                      <w:p w14:paraId="3E86F2C4">
                        <w:pPr>
                          <w:jc w:val="center"/>
                          <w:rPr>
                            <w:color w:val="444444"/>
                          </w:rPr>
                        </w:pPr>
                        <w:r>
                          <w:rPr>
                            <w:rFonts w:hint="eastAsia"/>
                            <w:color w:val="444444"/>
                          </w:rPr>
                          <w:t>水</w:t>
                        </w:r>
                      </w:p>
                      <w:p w14:paraId="5A1C2BA8">
                        <w:pPr>
                          <w:jc w:val="center"/>
                          <w:rPr>
                            <w:color w:val="444444"/>
                          </w:rPr>
                        </w:pPr>
                        <w:r>
                          <w:rPr>
                            <w:color w:val="444444"/>
                          </w:rPr>
                          <w:t>流</w:t>
                        </w:r>
                      </w:p>
                      <w:p w14:paraId="05C3BFCD">
                        <w:pPr>
                          <w:jc w:val="center"/>
                          <w:rPr>
                            <w:color w:val="444444"/>
                          </w:rPr>
                        </w:pPr>
                        <w:r>
                          <w:rPr>
                            <w:color w:val="444444"/>
                          </w:rPr>
                          <w:t>向</w:t>
                        </w:r>
                      </w:p>
                    </w:txbxContent>
                  </v:textbox>
                </v:rect>
              </v:group>
            </w:pict>
          </mc:Fallback>
        </mc:AlternateContent>
      </w:r>
    </w:p>
    <w:p w14:paraId="5DB4E5EA">
      <w:pPr>
        <w:spacing w:line="440" w:lineRule="exact"/>
        <w:jc w:val="center"/>
        <w:rPr>
          <w:rFonts w:ascii="宋体" w:hAnsi="宋体" w:eastAsia="宋体"/>
          <w:color w:val="auto"/>
          <w:sz w:val="24"/>
          <w:szCs w:val="24"/>
        </w:rPr>
      </w:pPr>
      <w:r>
        <w:rPr>
          <w:rFonts w:ascii="宋体" w:hAnsi="宋体" w:eastAsia="宋体"/>
          <w:color w:val="auto"/>
          <w:sz w:val="24"/>
          <w:szCs w:val="24"/>
        </w:rPr>
        <w:t>图5.3-5    集油管道泄漏后1000天污染物浓度分布图（污染源点：0，0）</w:t>
      </w:r>
    </w:p>
    <w:p w14:paraId="7FE518D9">
      <w:pPr>
        <w:snapToGrid w:val="0"/>
        <w:jc w:val="center"/>
        <w:textAlignment w:val="baseline"/>
        <w:rPr>
          <w:rFonts w:ascii="宋体" w:hAnsi="宋体" w:eastAsia="宋体" w:cs="Times New Roman"/>
          <w:color w:val="auto"/>
        </w:rPr>
      </w:pPr>
      <w:r>
        <w:rPr>
          <w:rFonts w:ascii="宋体" w:hAnsi="宋体" w:eastAsia="宋体"/>
          <w:color w:val="auto"/>
        </w:rPr>
        <mc:AlternateContent>
          <mc:Choice Requires="wpg">
            <w:drawing>
              <wp:anchor distT="0" distB="0" distL="114300" distR="114300" simplePos="0" relativeHeight="251676672" behindDoc="0" locked="0" layoutInCell="1" allowOverlap="1">
                <wp:simplePos x="0" y="0"/>
                <wp:positionH relativeFrom="column">
                  <wp:posOffset>2714625</wp:posOffset>
                </wp:positionH>
                <wp:positionV relativeFrom="paragraph">
                  <wp:posOffset>2174875</wp:posOffset>
                </wp:positionV>
                <wp:extent cx="1034415" cy="1212850"/>
                <wp:effectExtent l="0" t="24130" r="0" b="0"/>
                <wp:wrapNone/>
                <wp:docPr id="131" name="组合 131"/>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132"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133" name="矩形 489"/>
                        <wps:cNvSpPr/>
                        <wps:spPr>
                          <a:xfrm rot="2388655">
                            <a:off x="25358" y="2678354"/>
                            <a:ext cx="1377" cy="1911"/>
                          </a:xfrm>
                          <a:prstGeom prst="rect">
                            <a:avLst/>
                          </a:prstGeom>
                          <a:noFill/>
                          <a:ln w="12700" cap="flat" cmpd="sng" algn="ctr">
                            <a:noFill/>
                            <a:prstDash val="solid"/>
                            <a:miter lim="800000"/>
                          </a:ln>
                          <a:effectLst/>
                        </wps:spPr>
                        <wps:txbx>
                          <w:txbxContent>
                            <w:p w14:paraId="41A1C0F0">
                              <w:pPr>
                                <w:jc w:val="center"/>
                                <w:rPr>
                                  <w:color w:val="444444"/>
                                </w:rPr>
                              </w:pPr>
                              <w:r>
                                <w:rPr>
                                  <w:rFonts w:hint="eastAsia"/>
                                  <w:color w:val="444444"/>
                                </w:rPr>
                                <w:t>地</w:t>
                              </w:r>
                            </w:p>
                            <w:p w14:paraId="75738A21">
                              <w:pPr>
                                <w:jc w:val="center"/>
                                <w:rPr>
                                  <w:color w:val="444444"/>
                                </w:rPr>
                              </w:pPr>
                              <w:r>
                                <w:rPr>
                                  <w:rFonts w:hint="eastAsia"/>
                                  <w:color w:val="444444"/>
                                </w:rPr>
                                <w:t>下</w:t>
                              </w:r>
                            </w:p>
                            <w:p w14:paraId="6C87171C">
                              <w:pPr>
                                <w:jc w:val="center"/>
                                <w:rPr>
                                  <w:color w:val="444444"/>
                                </w:rPr>
                              </w:pPr>
                              <w:r>
                                <w:rPr>
                                  <w:rFonts w:hint="eastAsia"/>
                                  <w:color w:val="444444"/>
                                </w:rPr>
                                <w:t>水</w:t>
                              </w:r>
                            </w:p>
                            <w:p w14:paraId="158E8895">
                              <w:pPr>
                                <w:jc w:val="center"/>
                                <w:rPr>
                                  <w:color w:val="444444"/>
                                </w:rPr>
                              </w:pPr>
                              <w:r>
                                <w:rPr>
                                  <w:color w:val="444444"/>
                                </w:rPr>
                                <w:t>流</w:t>
                              </w:r>
                            </w:p>
                            <w:p w14:paraId="181A75E7">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3.75pt;margin-top:171.25pt;height:95.5pt;width:81.45pt;z-index:251676672;mso-width-relative:page;mso-height-relative:page;" coordorigin="25105,2678354" coordsize="1629,1910" o:gfxdata="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ngPwc9sAAAALAQAADwAAAAAAAAABACAAAAAi&#10;AAAAZHJzL2Rvd25yZXYueG1sUEsBAhQAFAAAAAgAh07iQJVjjQWWAwAAQwgAAA4AAAAAAAAAAQAg&#10;AAAAKgEAAGRycy9lMm9Eb2MueG1sUEsFBgAAAAAGAAYAWQEAADIHA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NyzthrsAAADc&#10;AAAADwAAAGRycy9kb3ducmV2LnhtbEVPS4vCMBC+L/gfwgheFpuqsEg1Cj6Kwp62iuehGdtiM6lN&#10;tOqv3ywseJuP7znz5cPU4k6tqywrGEUxCOLc6ooLBcdDOpyCcB5ZY22ZFDzJwXLR+5hjom3HP3TP&#10;fCFCCLsEFZTeN4mULi/JoItsQxy4s20N+gDbQuoWuxBuajmO4y9psOLQUGJD65LyS3YzCla2e32n&#10;u21xzTY61Xy6eb35VGrQH8UzEJ4e/i3+d+91mD8Zw98z4Q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zthrsAAADc&#10;AAAADwAAAAAAAAABACAAAAAiAAAAZHJzL2Rvd25yZXYueG1sUEsBAhQAFAAAAAgAh07iQDMvBZ47&#10;AAAAOQAAABAAAAAAAAAAAQAgAAAACgEAAGRycy9zaGFwZXhtbC54bWxQSwUGAAAAAAYABgBbAQAA&#10;tAMA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hbedbL0AAADc&#10;AAAADwAAAGRycy9kb3ducmV2LnhtbEVPTWvCQBC9F/wPyxR6q7saEE1dPVSFBPWg9tDjkJ0mabOz&#10;Ibsm9t+7hYK3ebzPWa5vthE9db52rGEyViCIC2dqLjV8XHavcxA+IBtsHJOGX/KwXo2elpgaN/CJ&#10;+nMoRQxhn6KGKoQ2ldIXFVn0Y9cSR+7LdRZDhF0pTYdDDLeNnCo1kxZrjg0VtvReUfFzvloNO/Wd&#10;DYfTtk+OzXSRfeb5vt/kWr88T9QbiEC38BD/uzMT5ycJ/D0TL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51s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41A1C0F0">
                        <w:pPr>
                          <w:jc w:val="center"/>
                          <w:rPr>
                            <w:color w:val="444444"/>
                          </w:rPr>
                        </w:pPr>
                        <w:r>
                          <w:rPr>
                            <w:rFonts w:hint="eastAsia"/>
                            <w:color w:val="444444"/>
                          </w:rPr>
                          <w:t>地</w:t>
                        </w:r>
                      </w:p>
                      <w:p w14:paraId="75738A21">
                        <w:pPr>
                          <w:jc w:val="center"/>
                          <w:rPr>
                            <w:color w:val="444444"/>
                          </w:rPr>
                        </w:pPr>
                        <w:r>
                          <w:rPr>
                            <w:rFonts w:hint="eastAsia"/>
                            <w:color w:val="444444"/>
                          </w:rPr>
                          <w:t>下</w:t>
                        </w:r>
                      </w:p>
                      <w:p w14:paraId="6C87171C">
                        <w:pPr>
                          <w:jc w:val="center"/>
                          <w:rPr>
                            <w:color w:val="444444"/>
                          </w:rPr>
                        </w:pPr>
                        <w:r>
                          <w:rPr>
                            <w:rFonts w:hint="eastAsia"/>
                            <w:color w:val="444444"/>
                          </w:rPr>
                          <w:t>水</w:t>
                        </w:r>
                      </w:p>
                      <w:p w14:paraId="158E8895">
                        <w:pPr>
                          <w:jc w:val="center"/>
                          <w:rPr>
                            <w:color w:val="444444"/>
                          </w:rPr>
                        </w:pPr>
                        <w:r>
                          <w:rPr>
                            <w:color w:val="444444"/>
                          </w:rPr>
                          <w:t>流</w:t>
                        </w:r>
                      </w:p>
                      <w:p w14:paraId="181A75E7">
                        <w:pPr>
                          <w:jc w:val="center"/>
                          <w:rPr>
                            <w:color w:val="444444"/>
                          </w:rPr>
                        </w:pPr>
                        <w:r>
                          <w:rPr>
                            <w:color w:val="444444"/>
                          </w:rPr>
                          <w:t>向</w:t>
                        </w:r>
                      </w:p>
                    </w:txbxContent>
                  </v:textbox>
                </v:rect>
              </v:group>
            </w:pict>
          </mc:Fallback>
        </mc:AlternateContent>
      </w:r>
      <w:r>
        <w:rPr>
          <w:rFonts w:ascii="宋体" w:hAnsi="宋体" w:eastAsia="宋体" w:cs="Times New Roman"/>
          <w:color w:val="auto"/>
        </w:rPr>
        <w:t xml:space="preserve"> </w:t>
      </w:r>
      <w:r>
        <w:rPr>
          <w:rFonts w:ascii="宋体" w:hAnsi="宋体" w:eastAsia="宋体"/>
          <w:color w:val="auto"/>
        </w:rPr>
        <w:drawing>
          <wp:inline distT="0" distB="0" distL="114300" distR="114300">
            <wp:extent cx="5098415" cy="4140200"/>
            <wp:effectExtent l="0" t="0" r="6985" b="12700"/>
            <wp:docPr id="135272815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54" name="图片 6" descr="IMG_256"/>
                    <pic:cNvPicPr>
                      <a:picLocks noChangeAspect="1"/>
                    </pic:cNvPicPr>
                  </pic:nvPicPr>
                  <pic:blipFill>
                    <a:blip r:embed="rId116"/>
                    <a:stretch>
                      <a:fillRect/>
                    </a:stretch>
                  </pic:blipFill>
                  <pic:spPr>
                    <a:xfrm>
                      <a:off x="0" y="0"/>
                      <a:ext cx="5098415" cy="4140200"/>
                    </a:xfrm>
                    <a:prstGeom prst="rect">
                      <a:avLst/>
                    </a:prstGeom>
                    <a:noFill/>
                    <a:ln w="9525">
                      <a:noFill/>
                    </a:ln>
                  </pic:spPr>
                </pic:pic>
              </a:graphicData>
            </a:graphic>
          </wp:inline>
        </w:drawing>
      </w:r>
    </w:p>
    <w:p w14:paraId="12F72AAE">
      <w:pPr>
        <w:spacing w:line="440" w:lineRule="exact"/>
        <w:jc w:val="center"/>
        <w:rPr>
          <w:rFonts w:ascii="宋体" w:hAnsi="宋体" w:eastAsia="宋体"/>
          <w:color w:val="auto"/>
          <w:sz w:val="24"/>
          <w:szCs w:val="24"/>
        </w:rPr>
      </w:pPr>
      <w:r>
        <w:rPr>
          <w:rFonts w:ascii="宋体" w:hAnsi="宋体" w:eastAsia="宋体"/>
          <w:color w:val="auto"/>
          <w:sz w:val="24"/>
          <w:szCs w:val="24"/>
        </w:rPr>
        <w:t>图5.3-6    集油管道泄漏后5000天污染物浓度分布图（污染源点：0，0）</w:t>
      </w:r>
    </w:p>
    <w:p w14:paraId="2F2D13C7">
      <w:pPr>
        <w:pStyle w:val="276"/>
        <w:widowControl w:val="0"/>
        <w:ind w:firstLine="480"/>
        <w:jc w:val="both"/>
        <w:rPr>
          <w:color w:val="auto"/>
          <w:kern w:val="2"/>
          <w:szCs w:val="20"/>
        </w:rPr>
      </w:pPr>
      <w:r>
        <w:rPr>
          <w:color w:val="auto"/>
          <w:kern w:val="2"/>
          <w:szCs w:val="20"/>
        </w:rPr>
        <w:t>由预测结果可知，随着时间增加，污染范围有所增加，集油管道泄漏100d后，超标距离最远为3</w:t>
      </w:r>
      <w:r>
        <w:rPr>
          <w:rFonts w:hint="eastAsia"/>
          <w:color w:val="auto"/>
          <w:kern w:val="2"/>
          <w:szCs w:val="20"/>
        </w:rPr>
        <w:t>2</w:t>
      </w:r>
      <w:r>
        <w:rPr>
          <w:color w:val="auto"/>
          <w:kern w:val="2"/>
          <w:szCs w:val="20"/>
        </w:rPr>
        <w:t>m，影响距离最远为下游3</w:t>
      </w:r>
      <w:r>
        <w:rPr>
          <w:rFonts w:hint="eastAsia"/>
          <w:color w:val="auto"/>
          <w:kern w:val="2"/>
          <w:szCs w:val="20"/>
        </w:rPr>
        <w:t>4</w:t>
      </w:r>
      <w:r>
        <w:rPr>
          <w:color w:val="auto"/>
          <w:kern w:val="2"/>
          <w:szCs w:val="20"/>
        </w:rPr>
        <w:t>m；集油管道泄漏1000d后，超标距离最远为</w:t>
      </w:r>
      <w:r>
        <w:rPr>
          <w:rFonts w:hint="eastAsia"/>
          <w:color w:val="auto"/>
          <w:kern w:val="2"/>
          <w:szCs w:val="20"/>
        </w:rPr>
        <w:t>124</w:t>
      </w:r>
      <w:r>
        <w:rPr>
          <w:color w:val="auto"/>
          <w:kern w:val="2"/>
          <w:szCs w:val="20"/>
        </w:rPr>
        <w:t>m，影响距离最远为下游1</w:t>
      </w:r>
      <w:r>
        <w:rPr>
          <w:rFonts w:hint="eastAsia"/>
          <w:color w:val="auto"/>
          <w:kern w:val="2"/>
          <w:szCs w:val="20"/>
        </w:rPr>
        <w:t>3</w:t>
      </w:r>
      <w:r>
        <w:rPr>
          <w:color w:val="auto"/>
          <w:kern w:val="2"/>
          <w:szCs w:val="20"/>
        </w:rPr>
        <w:t>3m；集油管道泄漏5</w:t>
      </w:r>
      <w:r>
        <w:rPr>
          <w:rFonts w:hint="eastAsia"/>
          <w:color w:val="auto"/>
          <w:kern w:val="2"/>
          <w:szCs w:val="20"/>
        </w:rPr>
        <w:t>475</w:t>
      </w:r>
      <w:r>
        <w:rPr>
          <w:color w:val="auto"/>
          <w:kern w:val="2"/>
          <w:szCs w:val="20"/>
        </w:rPr>
        <w:t>d后，超标距离最远为</w:t>
      </w:r>
      <w:r>
        <w:rPr>
          <w:rFonts w:hint="eastAsia"/>
          <w:color w:val="auto"/>
          <w:kern w:val="2"/>
          <w:szCs w:val="20"/>
        </w:rPr>
        <w:t>426</w:t>
      </w:r>
      <w:r>
        <w:rPr>
          <w:color w:val="auto"/>
          <w:kern w:val="2"/>
          <w:szCs w:val="20"/>
        </w:rPr>
        <w:t>m，影响距离最远为下游</w:t>
      </w:r>
      <w:r>
        <w:rPr>
          <w:rFonts w:hint="eastAsia"/>
          <w:color w:val="auto"/>
          <w:kern w:val="2"/>
          <w:szCs w:val="20"/>
        </w:rPr>
        <w:t>447</w:t>
      </w:r>
      <w:r>
        <w:rPr>
          <w:color w:val="auto"/>
          <w:kern w:val="2"/>
          <w:szCs w:val="20"/>
        </w:rPr>
        <w:t>m。</w:t>
      </w:r>
      <w:r>
        <w:rPr>
          <w:color w:val="auto"/>
          <w:szCs w:val="20"/>
        </w:rPr>
        <w:t>本项目管线</w:t>
      </w:r>
      <w:r>
        <w:rPr>
          <w:rFonts w:hint="eastAsia"/>
          <w:color w:val="auto"/>
          <w:szCs w:val="20"/>
        </w:rPr>
        <w:t>泄漏</w:t>
      </w:r>
      <w:r>
        <w:rPr>
          <w:color w:val="auto"/>
          <w:szCs w:val="20"/>
        </w:rPr>
        <w:t>，可能会对区域内潜水产生影响，为避免管线泄漏对潜水的影响，应采取措施避免管线泄漏，如采用防腐无缝钢管，</w:t>
      </w:r>
      <w:r>
        <w:rPr>
          <w:rFonts w:hint="eastAsia"/>
          <w:color w:val="auto"/>
          <w:szCs w:val="20"/>
        </w:rPr>
        <w:t>运营期</w:t>
      </w:r>
      <w:r>
        <w:rPr>
          <w:color w:val="auto"/>
          <w:szCs w:val="20"/>
        </w:rPr>
        <w:t>定期巡线检查等措施，巡线过程中若发现管线泄漏，应及时关闭截断阀，并在泄漏点周围修筑围堤，控制油水扩散范围，并对泄漏的管线进行更换，更换完成后及时清理被污染的土壤。采取以上措施后可有效预防管线</w:t>
      </w:r>
      <w:r>
        <w:rPr>
          <w:rFonts w:hint="eastAsia"/>
          <w:color w:val="auto"/>
          <w:szCs w:val="20"/>
        </w:rPr>
        <w:t>泄漏</w:t>
      </w:r>
      <w:r>
        <w:rPr>
          <w:color w:val="auto"/>
          <w:szCs w:val="20"/>
        </w:rPr>
        <w:t>，非正常状况下可有效阻止原油泄漏进入地下水，对潜水的影响较小。</w:t>
      </w:r>
    </w:p>
    <w:p w14:paraId="6F5C8677">
      <w:pPr>
        <w:pStyle w:val="276"/>
        <w:widowControl w:val="0"/>
        <w:ind w:firstLine="480"/>
        <w:jc w:val="both"/>
        <w:rPr>
          <w:color w:val="auto"/>
          <w:kern w:val="2"/>
          <w:szCs w:val="20"/>
        </w:rPr>
      </w:pPr>
      <w:r>
        <w:rPr>
          <w:color w:val="auto"/>
          <w:kern w:val="2"/>
          <w:szCs w:val="20"/>
        </w:rPr>
        <w:t>情景三：油井套管破损泄漏</w:t>
      </w:r>
    </w:p>
    <w:p w14:paraId="4B9F86E1">
      <w:pPr>
        <w:pStyle w:val="276"/>
        <w:widowControl w:val="0"/>
        <w:ind w:firstLine="480"/>
        <w:jc w:val="both"/>
        <w:rPr>
          <w:color w:val="auto"/>
          <w:kern w:val="2"/>
          <w:szCs w:val="20"/>
        </w:rPr>
      </w:pPr>
      <w:r>
        <w:rPr>
          <w:color w:val="auto"/>
          <w:kern w:val="2"/>
          <w:szCs w:val="20"/>
        </w:rPr>
        <w:t>（1）预测源强</w:t>
      </w:r>
    </w:p>
    <w:p w14:paraId="4206451F">
      <w:pPr>
        <w:pStyle w:val="276"/>
        <w:widowControl w:val="0"/>
        <w:ind w:firstLine="480"/>
        <w:jc w:val="both"/>
        <w:rPr>
          <w:color w:val="auto"/>
          <w:kern w:val="2"/>
          <w:szCs w:val="20"/>
        </w:rPr>
      </w:pPr>
      <w:r>
        <w:rPr>
          <w:color w:val="auto"/>
          <w:kern w:val="2"/>
          <w:szCs w:val="20"/>
        </w:rPr>
        <w:t>假设油井套管破损发生泄漏，本项目油井采用数字化建设，当油井套管破损引起产液量不正常下降时可及时发现，从发现到修井作业结束全过程一般需要15d，本项目新建单口油井最大产油量为</w:t>
      </w:r>
      <w:r>
        <w:rPr>
          <w:rFonts w:hint="eastAsia"/>
          <w:color w:val="auto"/>
          <w:kern w:val="2"/>
          <w:szCs w:val="20"/>
        </w:rPr>
        <w:t>9.7</w:t>
      </w:r>
      <w:r>
        <w:rPr>
          <w:color w:val="auto"/>
          <w:kern w:val="2"/>
          <w:szCs w:val="20"/>
        </w:rPr>
        <w:t>t/d，抽油管尺寸Ф139.7mm，压力0.7MPa，原油密度0.87g/cm</w:t>
      </w:r>
      <w:r>
        <w:rPr>
          <w:color w:val="auto"/>
          <w:kern w:val="2"/>
          <w:szCs w:val="20"/>
          <w:vertAlign w:val="superscript"/>
        </w:rPr>
        <w:t>3</w:t>
      </w:r>
      <w:r>
        <w:rPr>
          <w:color w:val="auto"/>
          <w:kern w:val="2"/>
          <w:szCs w:val="20"/>
        </w:rPr>
        <w:t>，区块原油综合含水最小为</w:t>
      </w:r>
      <w:r>
        <w:rPr>
          <w:rFonts w:hint="eastAsia"/>
          <w:color w:val="auto"/>
          <w:kern w:val="2"/>
          <w:szCs w:val="20"/>
        </w:rPr>
        <w:t>53.85</w:t>
      </w:r>
      <w:r>
        <w:rPr>
          <w:color w:val="auto"/>
          <w:kern w:val="2"/>
          <w:szCs w:val="20"/>
        </w:rPr>
        <w:t>%，经计算抽油管</w:t>
      </w:r>
      <w:r>
        <w:rPr>
          <w:rFonts w:hint="eastAsia"/>
          <w:color w:val="auto"/>
          <w:kern w:val="2"/>
          <w:szCs w:val="20"/>
        </w:rPr>
        <w:t>泄漏</w:t>
      </w:r>
      <w:r>
        <w:rPr>
          <w:color w:val="auto"/>
          <w:kern w:val="2"/>
          <w:szCs w:val="20"/>
        </w:rPr>
        <w:t>流速0.0011m/s，总泄漏量=π[139.7/2/1000 ]</w:t>
      </w:r>
      <w:r>
        <w:rPr>
          <w:color w:val="auto"/>
          <w:kern w:val="2"/>
          <w:szCs w:val="20"/>
          <w:vertAlign w:val="superscript"/>
        </w:rPr>
        <w:t>2</w:t>
      </w:r>
      <w:r>
        <w:rPr>
          <w:color w:val="auto"/>
          <w:kern w:val="2"/>
          <w:szCs w:val="20"/>
        </w:rPr>
        <w:t>×0.0011×3600×24×15×0.87×1000×（1-</w:t>
      </w:r>
      <w:r>
        <w:rPr>
          <w:rFonts w:hint="eastAsia"/>
          <w:color w:val="auto"/>
          <w:kern w:val="2"/>
          <w:szCs w:val="20"/>
        </w:rPr>
        <w:t>53.85</w:t>
      </w:r>
      <w:r>
        <w:rPr>
          <w:color w:val="auto"/>
          <w:kern w:val="2"/>
          <w:szCs w:val="20"/>
        </w:rPr>
        <w:t>%）=</w:t>
      </w:r>
      <w:r>
        <w:rPr>
          <w:rFonts w:hint="eastAsia"/>
          <w:color w:val="auto"/>
          <w:kern w:val="2"/>
          <w:szCs w:val="20"/>
        </w:rPr>
        <w:t>8769.02</w:t>
      </w:r>
      <w:r>
        <w:rPr>
          <w:color w:val="auto"/>
          <w:kern w:val="2"/>
          <w:szCs w:val="20"/>
        </w:rPr>
        <w:t>kg。</w:t>
      </w:r>
    </w:p>
    <w:p w14:paraId="059698DF">
      <w:pPr>
        <w:pStyle w:val="276"/>
        <w:widowControl w:val="0"/>
        <w:ind w:firstLine="480"/>
        <w:jc w:val="both"/>
        <w:rPr>
          <w:color w:val="auto"/>
          <w:kern w:val="2"/>
          <w:szCs w:val="20"/>
        </w:rPr>
      </w:pPr>
      <w:r>
        <w:rPr>
          <w:color w:val="auto"/>
          <w:kern w:val="2"/>
          <w:szCs w:val="20"/>
        </w:rPr>
        <w:t>选择石油类作为预测因子，预测第100天、1000天、5</w:t>
      </w:r>
      <w:r>
        <w:rPr>
          <w:rFonts w:hint="eastAsia"/>
          <w:color w:val="auto"/>
          <w:kern w:val="2"/>
          <w:szCs w:val="20"/>
        </w:rPr>
        <w:t>475</w:t>
      </w:r>
      <w:r>
        <w:rPr>
          <w:color w:val="auto"/>
          <w:kern w:val="2"/>
          <w:szCs w:val="20"/>
        </w:rPr>
        <w:t>天石油类在地下水中的运移情况。</w:t>
      </w:r>
    </w:p>
    <w:p w14:paraId="7D7357FC">
      <w:pPr>
        <w:pStyle w:val="276"/>
        <w:widowControl w:val="0"/>
        <w:ind w:firstLine="480"/>
        <w:jc w:val="both"/>
        <w:rPr>
          <w:color w:val="auto"/>
          <w:kern w:val="2"/>
          <w:szCs w:val="20"/>
        </w:rPr>
      </w:pPr>
      <w:r>
        <w:rPr>
          <w:color w:val="auto"/>
          <w:kern w:val="2"/>
          <w:szCs w:val="20"/>
        </w:rPr>
        <w:t>（2）预测因子</w:t>
      </w:r>
    </w:p>
    <w:p w14:paraId="4D03487F">
      <w:pPr>
        <w:pStyle w:val="276"/>
        <w:widowControl w:val="0"/>
        <w:ind w:firstLine="480"/>
        <w:jc w:val="both"/>
        <w:rPr>
          <w:color w:val="auto"/>
          <w:kern w:val="2"/>
          <w:szCs w:val="20"/>
        </w:rPr>
      </w:pPr>
      <w:r>
        <w:rPr>
          <w:color w:val="auto"/>
          <w:kern w:val="2"/>
          <w:szCs w:val="20"/>
        </w:rPr>
        <w:t>油井套管发生泄漏，导致原油泄漏，污染物有石油类、挥发性酚类等。根据《环境影响评价技术导则地下水环境》（HJ610-2016）中情景设置预测因子相关要求，对每一类别中的各项因子采取标准指数法进行排序，分别取标准指数最大的因子作为预测因子。在井套管发生泄漏情景下，原油泄漏的主要污染因子为石油类，挥发性酚类的含量远低于石油类，因此，最终选取石油类作为本次评价预测特征因子。</w:t>
      </w:r>
    </w:p>
    <w:p w14:paraId="120103FC">
      <w:pPr>
        <w:pStyle w:val="276"/>
        <w:widowControl w:val="0"/>
        <w:ind w:firstLine="480"/>
        <w:jc w:val="both"/>
        <w:rPr>
          <w:color w:val="auto"/>
          <w:kern w:val="2"/>
          <w:szCs w:val="20"/>
        </w:rPr>
      </w:pPr>
      <w:r>
        <w:rPr>
          <w:color w:val="auto"/>
          <w:kern w:val="2"/>
          <w:szCs w:val="20"/>
        </w:rPr>
        <w:t>（3）预测模型</w:t>
      </w:r>
    </w:p>
    <w:p w14:paraId="4C0297D6">
      <w:pPr>
        <w:pStyle w:val="276"/>
        <w:widowControl w:val="0"/>
        <w:ind w:firstLine="480"/>
        <w:jc w:val="both"/>
        <w:rPr>
          <w:color w:val="auto"/>
          <w:kern w:val="2"/>
          <w:szCs w:val="20"/>
        </w:rPr>
      </w:pPr>
      <w:r>
        <w:rPr>
          <w:color w:val="auto"/>
          <w:kern w:val="2"/>
          <w:szCs w:val="20"/>
        </w:rPr>
        <w:t>根据《环境影响评价技术导则 地下水环境》（HJ610-2016）中9.7节预测方法，采用推荐的地下水溶质运移解析法中的二维水动力弥散方程计算最大影响范围。二维水动力瞬时注入弥散方程如下。</w:t>
      </w:r>
    </w:p>
    <w:p w14:paraId="1A87DCEA">
      <w:pPr>
        <w:jc w:val="center"/>
        <w:rPr>
          <w:rFonts w:ascii="宋体" w:hAnsi="宋体" w:eastAsia="宋体" w:cs="Times New Roman"/>
          <w:color w:val="auto"/>
          <w:sz w:val="28"/>
          <w:szCs w:val="28"/>
        </w:rPr>
      </w:pPr>
      <w:r>
        <w:rPr>
          <w:rFonts w:ascii="宋体" w:hAnsi="宋体" w:eastAsia="宋体" w:cs="Times New Roman"/>
          <w:color w:val="auto"/>
        </w:rPr>
        <w:drawing>
          <wp:inline distT="0" distB="0" distL="0" distR="0">
            <wp:extent cx="3166110" cy="767715"/>
            <wp:effectExtent l="0" t="0" r="152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08"/>
                    <a:srcRect/>
                    <a:stretch>
                      <a:fillRect/>
                    </a:stretch>
                  </pic:blipFill>
                  <pic:spPr>
                    <a:xfrm>
                      <a:off x="0" y="0"/>
                      <a:ext cx="3166110" cy="767715"/>
                    </a:xfrm>
                    <a:prstGeom prst="rect">
                      <a:avLst/>
                    </a:prstGeom>
                    <a:noFill/>
                    <a:ln>
                      <a:noFill/>
                    </a:ln>
                  </pic:spPr>
                </pic:pic>
              </a:graphicData>
            </a:graphic>
          </wp:inline>
        </w:drawing>
      </w:r>
    </w:p>
    <w:p w14:paraId="6932AD42">
      <w:pPr>
        <w:jc w:val="center"/>
        <w:rPr>
          <w:rFonts w:ascii="宋体" w:hAnsi="宋体" w:eastAsia="宋体" w:cs="Times New Roman"/>
          <w:color w:val="auto"/>
          <w:sz w:val="28"/>
          <w:szCs w:val="28"/>
        </w:rPr>
      </w:pPr>
    </w:p>
    <w:p w14:paraId="582DBC47">
      <w:pPr>
        <w:spacing w:line="440" w:lineRule="exact"/>
        <w:ind w:firstLine="420" w:firstLineChars="200"/>
        <w:rPr>
          <w:rFonts w:ascii="宋体" w:hAnsi="宋体" w:eastAsia="宋体" w:cs="Times New Roman"/>
          <w:color w:val="auto"/>
          <w:szCs w:val="20"/>
        </w:rPr>
      </w:pPr>
      <w:r>
        <w:rPr>
          <w:rFonts w:ascii="宋体" w:hAnsi="宋体" w:eastAsia="宋体" w:cs="Times New Roman"/>
          <w:color w:val="auto"/>
          <w:szCs w:val="20"/>
        </w:rPr>
        <w:t>式中：</w:t>
      </w:r>
    </w:p>
    <w:p w14:paraId="6D9CE0EF">
      <w:pPr>
        <w:pStyle w:val="276"/>
        <w:widowControl w:val="0"/>
        <w:ind w:firstLine="480"/>
        <w:jc w:val="both"/>
        <w:rPr>
          <w:color w:val="auto"/>
          <w:kern w:val="2"/>
          <w:szCs w:val="20"/>
        </w:rPr>
      </w:pPr>
      <w:r>
        <w:rPr>
          <w:color w:val="auto"/>
          <w:kern w:val="2"/>
          <w:szCs w:val="20"/>
        </w:rPr>
        <w:t>x，y—计算点处的位置坐标；</w:t>
      </w:r>
    </w:p>
    <w:p w14:paraId="366E154E">
      <w:pPr>
        <w:pStyle w:val="276"/>
        <w:widowControl w:val="0"/>
        <w:ind w:firstLine="480"/>
        <w:jc w:val="both"/>
        <w:rPr>
          <w:color w:val="auto"/>
          <w:kern w:val="2"/>
          <w:szCs w:val="20"/>
        </w:rPr>
      </w:pPr>
      <w:r>
        <w:rPr>
          <w:color w:val="auto"/>
          <w:kern w:val="2"/>
          <w:szCs w:val="20"/>
        </w:rPr>
        <w:t>t—时间，d；</w:t>
      </w:r>
    </w:p>
    <w:p w14:paraId="38341B24">
      <w:pPr>
        <w:pStyle w:val="276"/>
        <w:widowControl w:val="0"/>
        <w:ind w:firstLine="480"/>
        <w:jc w:val="both"/>
        <w:rPr>
          <w:color w:val="auto"/>
          <w:kern w:val="2"/>
          <w:szCs w:val="20"/>
        </w:rPr>
      </w:pPr>
      <w:r>
        <w:rPr>
          <w:color w:val="auto"/>
          <w:kern w:val="2"/>
          <w:szCs w:val="20"/>
        </w:rPr>
        <w:t>C(x，y，t)—t时刻点x，y处的示踪剂</w:t>
      </w:r>
      <w:r>
        <w:rPr>
          <w:color w:val="auto"/>
          <w:lang w:val="zh-CN"/>
        </w:rPr>
        <w:t>浓度</w:t>
      </w:r>
      <w:r>
        <w:rPr>
          <w:color w:val="auto"/>
          <w:kern w:val="2"/>
          <w:szCs w:val="20"/>
        </w:rPr>
        <w:t>，g/L；</w:t>
      </w:r>
    </w:p>
    <w:p w14:paraId="42020AB2">
      <w:pPr>
        <w:pStyle w:val="276"/>
        <w:widowControl w:val="0"/>
        <w:ind w:firstLine="480"/>
        <w:jc w:val="both"/>
        <w:rPr>
          <w:color w:val="auto"/>
          <w:kern w:val="2"/>
          <w:szCs w:val="20"/>
        </w:rPr>
      </w:pPr>
      <w:r>
        <w:rPr>
          <w:color w:val="auto"/>
          <w:kern w:val="2"/>
          <w:szCs w:val="20"/>
        </w:rPr>
        <w:t>M—含水层的厚度，m；</w:t>
      </w:r>
    </w:p>
    <w:p w14:paraId="6361279A">
      <w:pPr>
        <w:pStyle w:val="276"/>
        <w:widowControl w:val="0"/>
        <w:ind w:firstLine="480"/>
        <w:jc w:val="both"/>
        <w:rPr>
          <w:color w:val="auto"/>
          <w:kern w:val="2"/>
          <w:szCs w:val="20"/>
        </w:rPr>
      </w:pPr>
      <w:r>
        <w:rPr>
          <w:color w:val="auto"/>
          <w:kern w:val="2"/>
          <w:szCs w:val="20"/>
        </w:rPr>
        <w:t>m</w:t>
      </w:r>
      <w:r>
        <w:rPr>
          <w:color w:val="auto"/>
          <w:kern w:val="2"/>
          <w:szCs w:val="20"/>
          <w:vertAlign w:val="subscript"/>
        </w:rPr>
        <w:t>M</w:t>
      </w:r>
      <w:r>
        <w:rPr>
          <w:color w:val="auto"/>
          <w:kern w:val="2"/>
          <w:szCs w:val="20"/>
        </w:rPr>
        <w:t>—长度为M的线源瞬时注入的示踪剂质量，kg；</w:t>
      </w:r>
    </w:p>
    <w:p w14:paraId="21393017">
      <w:pPr>
        <w:pStyle w:val="276"/>
        <w:widowControl w:val="0"/>
        <w:ind w:firstLine="480"/>
        <w:jc w:val="both"/>
        <w:rPr>
          <w:color w:val="auto"/>
          <w:kern w:val="2"/>
          <w:szCs w:val="20"/>
        </w:rPr>
      </w:pPr>
      <w:r>
        <w:rPr>
          <w:color w:val="auto"/>
          <w:kern w:val="2"/>
          <w:szCs w:val="20"/>
        </w:rPr>
        <w:t>u—水流速度，m/d；</w:t>
      </w:r>
    </w:p>
    <w:p w14:paraId="29F6A079">
      <w:pPr>
        <w:pStyle w:val="276"/>
        <w:widowControl w:val="0"/>
        <w:ind w:firstLine="480"/>
        <w:jc w:val="both"/>
        <w:rPr>
          <w:color w:val="auto"/>
          <w:kern w:val="2"/>
          <w:szCs w:val="20"/>
        </w:rPr>
      </w:pPr>
      <w:r>
        <w:rPr>
          <w:color w:val="auto"/>
          <w:kern w:val="2"/>
          <w:szCs w:val="20"/>
        </w:rPr>
        <w:t>n—有效孔隙度，无量纲；</w:t>
      </w:r>
    </w:p>
    <w:p w14:paraId="75770BAF">
      <w:pPr>
        <w:pStyle w:val="276"/>
        <w:widowControl w:val="0"/>
        <w:ind w:firstLine="480"/>
        <w:jc w:val="both"/>
        <w:rPr>
          <w:color w:val="auto"/>
          <w:kern w:val="2"/>
          <w:szCs w:val="20"/>
        </w:rPr>
      </w:pPr>
      <w:r>
        <w:rPr>
          <w:color w:val="auto"/>
          <w:kern w:val="2"/>
          <w:szCs w:val="20"/>
        </w:rPr>
        <w:t>D</w:t>
      </w:r>
      <w:r>
        <w:rPr>
          <w:color w:val="auto"/>
          <w:kern w:val="2"/>
          <w:szCs w:val="20"/>
          <w:vertAlign w:val="subscript"/>
        </w:rPr>
        <w:t>L</w:t>
      </w:r>
      <w:r>
        <w:rPr>
          <w:color w:val="auto"/>
          <w:kern w:val="2"/>
          <w:szCs w:val="20"/>
        </w:rPr>
        <w:t>—纵向弥散系数，m</w:t>
      </w:r>
      <w:r>
        <w:rPr>
          <w:color w:val="auto"/>
          <w:kern w:val="2"/>
          <w:szCs w:val="20"/>
          <w:vertAlign w:val="superscript"/>
        </w:rPr>
        <w:t>2</w:t>
      </w:r>
      <w:r>
        <w:rPr>
          <w:color w:val="auto"/>
          <w:kern w:val="2"/>
          <w:szCs w:val="20"/>
        </w:rPr>
        <w:t>/d；</w:t>
      </w:r>
    </w:p>
    <w:p w14:paraId="73082E95">
      <w:pPr>
        <w:pStyle w:val="276"/>
        <w:widowControl w:val="0"/>
        <w:ind w:firstLine="480"/>
        <w:jc w:val="both"/>
        <w:rPr>
          <w:color w:val="auto"/>
          <w:kern w:val="2"/>
          <w:szCs w:val="20"/>
        </w:rPr>
      </w:pPr>
      <w:r>
        <w:rPr>
          <w:color w:val="auto"/>
          <w:kern w:val="2"/>
          <w:szCs w:val="20"/>
        </w:rPr>
        <w:t>D</w:t>
      </w:r>
      <w:r>
        <w:rPr>
          <w:color w:val="auto"/>
          <w:kern w:val="2"/>
          <w:szCs w:val="20"/>
          <w:vertAlign w:val="subscript"/>
        </w:rPr>
        <w:t>T</w:t>
      </w:r>
      <w:r>
        <w:rPr>
          <w:color w:val="auto"/>
          <w:kern w:val="2"/>
          <w:szCs w:val="20"/>
        </w:rPr>
        <w:t>—横向y方向的弥散系数，m</w:t>
      </w:r>
      <w:r>
        <w:rPr>
          <w:color w:val="auto"/>
          <w:kern w:val="2"/>
          <w:szCs w:val="20"/>
          <w:vertAlign w:val="superscript"/>
        </w:rPr>
        <w:t>2</w:t>
      </w:r>
      <w:r>
        <w:rPr>
          <w:color w:val="auto"/>
          <w:kern w:val="2"/>
          <w:szCs w:val="20"/>
        </w:rPr>
        <w:t>/d。</w:t>
      </w:r>
    </w:p>
    <w:p w14:paraId="1BF00DA1">
      <w:pPr>
        <w:pStyle w:val="276"/>
        <w:widowControl w:val="0"/>
        <w:ind w:firstLine="480"/>
        <w:jc w:val="both"/>
        <w:rPr>
          <w:color w:val="auto"/>
          <w:kern w:val="2"/>
          <w:szCs w:val="20"/>
        </w:rPr>
      </w:pPr>
      <w:r>
        <w:rPr>
          <w:color w:val="auto"/>
          <w:kern w:val="2"/>
          <w:szCs w:val="20"/>
        </w:rPr>
        <w:t>π—圆周率。</w:t>
      </w:r>
    </w:p>
    <w:p w14:paraId="6347AAEF">
      <w:pPr>
        <w:pStyle w:val="276"/>
        <w:widowControl w:val="0"/>
        <w:ind w:firstLine="480"/>
        <w:jc w:val="both"/>
        <w:rPr>
          <w:color w:val="auto"/>
          <w:kern w:val="2"/>
          <w:szCs w:val="20"/>
        </w:rPr>
      </w:pPr>
      <w:r>
        <w:rPr>
          <w:color w:val="auto"/>
          <w:kern w:val="2"/>
          <w:szCs w:val="20"/>
        </w:rPr>
        <w:t>（4）参数选取</w:t>
      </w:r>
    </w:p>
    <w:p w14:paraId="4F757DAC">
      <w:pPr>
        <w:pStyle w:val="276"/>
        <w:widowControl w:val="0"/>
        <w:ind w:firstLine="480"/>
        <w:jc w:val="both"/>
        <w:rPr>
          <w:color w:val="auto"/>
          <w:kern w:val="21"/>
          <w:szCs w:val="20"/>
        </w:rPr>
      </w:pPr>
      <w:r>
        <w:rPr>
          <w:color w:val="auto"/>
          <w:kern w:val="21"/>
          <w:szCs w:val="20"/>
        </w:rPr>
        <w:t>根据达西定律u=渗透系数×地下水水力坡度/有效孔隙度，承压水含水层渗透系数K=25m/d，水力坡度I=0.000</w:t>
      </w:r>
      <w:r>
        <w:rPr>
          <w:rFonts w:hint="eastAsia"/>
          <w:color w:val="auto"/>
          <w:kern w:val="21"/>
          <w:szCs w:val="20"/>
        </w:rPr>
        <w:t>4</w:t>
      </w:r>
      <w:r>
        <w:rPr>
          <w:color w:val="auto"/>
          <w:kern w:val="21"/>
          <w:szCs w:val="20"/>
        </w:rPr>
        <w:t>，有效孔隙度ne为0.</w:t>
      </w:r>
      <w:r>
        <w:rPr>
          <w:rFonts w:hint="eastAsia"/>
          <w:color w:val="auto"/>
          <w:kern w:val="21"/>
          <w:szCs w:val="20"/>
        </w:rPr>
        <w:t>3</w:t>
      </w:r>
      <w:r>
        <w:rPr>
          <w:color w:val="auto"/>
          <w:kern w:val="21"/>
          <w:szCs w:val="20"/>
        </w:rPr>
        <w:t>，有效评价区内承压水含水层地下水流速为0.0</w:t>
      </w:r>
      <w:r>
        <w:rPr>
          <w:rFonts w:hint="eastAsia"/>
          <w:color w:val="auto"/>
          <w:kern w:val="21"/>
          <w:szCs w:val="20"/>
        </w:rPr>
        <w:t>33</w:t>
      </w:r>
      <w:r>
        <w:rPr>
          <w:color w:val="auto"/>
          <w:kern w:val="21"/>
          <w:szCs w:val="20"/>
        </w:rPr>
        <w:t>m/d。承压含水层厚度</w:t>
      </w:r>
      <w:r>
        <w:rPr>
          <w:rFonts w:hint="eastAsia"/>
          <w:color w:val="auto"/>
          <w:kern w:val="21"/>
          <w:szCs w:val="20"/>
        </w:rPr>
        <w:t>1</w:t>
      </w:r>
      <w:r>
        <w:rPr>
          <w:color w:val="auto"/>
          <w:kern w:val="21"/>
          <w:szCs w:val="20"/>
        </w:rPr>
        <w:t>0m。弥散系数：区域地下水纵向弥散系数0.</w:t>
      </w:r>
      <w:r>
        <w:rPr>
          <w:rFonts w:hint="eastAsia"/>
          <w:color w:val="auto"/>
          <w:kern w:val="21"/>
          <w:szCs w:val="20"/>
        </w:rPr>
        <w:t>1</w:t>
      </w:r>
      <w:r>
        <w:rPr>
          <w:color w:val="auto"/>
          <w:kern w:val="21"/>
          <w:szCs w:val="20"/>
        </w:rPr>
        <w:t>m</w:t>
      </w:r>
      <w:r>
        <w:rPr>
          <w:color w:val="auto"/>
          <w:kern w:val="21"/>
          <w:szCs w:val="20"/>
          <w:vertAlign w:val="superscript"/>
        </w:rPr>
        <w:t>2</w:t>
      </w:r>
      <w:r>
        <w:rPr>
          <w:color w:val="auto"/>
          <w:kern w:val="21"/>
          <w:szCs w:val="20"/>
        </w:rPr>
        <w:t>/d，横向弥散系数0.02m</w:t>
      </w:r>
      <w:r>
        <w:rPr>
          <w:color w:val="auto"/>
          <w:kern w:val="21"/>
          <w:szCs w:val="20"/>
          <w:vertAlign w:val="superscript"/>
        </w:rPr>
        <w:t>2</w:t>
      </w:r>
      <w:r>
        <w:rPr>
          <w:color w:val="auto"/>
          <w:kern w:val="21"/>
          <w:szCs w:val="20"/>
        </w:rPr>
        <w:t>/d。</w:t>
      </w:r>
    </w:p>
    <w:p w14:paraId="69630A12">
      <w:pPr>
        <w:pStyle w:val="276"/>
        <w:widowControl w:val="0"/>
        <w:ind w:firstLine="480"/>
        <w:jc w:val="both"/>
        <w:rPr>
          <w:color w:val="auto"/>
          <w:kern w:val="2"/>
          <w:szCs w:val="20"/>
        </w:rPr>
      </w:pPr>
      <w:r>
        <w:rPr>
          <w:color w:val="auto"/>
          <w:kern w:val="2"/>
          <w:szCs w:val="20"/>
        </w:rPr>
        <w:t>选取地下水石油类≤0.05mg/L（参照《地表水环境质量标准》（GB3838-2002）II类标准执行），化学反应常数为0。</w:t>
      </w:r>
    </w:p>
    <w:p w14:paraId="17864589">
      <w:pPr>
        <w:pStyle w:val="276"/>
        <w:widowControl w:val="0"/>
        <w:ind w:firstLine="480"/>
        <w:jc w:val="both"/>
        <w:rPr>
          <w:color w:val="auto"/>
          <w:kern w:val="2"/>
          <w:szCs w:val="20"/>
        </w:rPr>
      </w:pPr>
      <w:r>
        <w:rPr>
          <w:color w:val="auto"/>
          <w:kern w:val="2"/>
          <w:szCs w:val="20"/>
        </w:rPr>
        <w:t>（4）预测结果</w:t>
      </w:r>
    </w:p>
    <w:p w14:paraId="152648F4">
      <w:pPr>
        <w:pStyle w:val="276"/>
        <w:widowControl w:val="0"/>
        <w:ind w:firstLine="480"/>
        <w:jc w:val="both"/>
        <w:rPr>
          <w:color w:val="auto"/>
          <w:kern w:val="2"/>
          <w:szCs w:val="20"/>
        </w:rPr>
      </w:pPr>
      <w:r>
        <w:rPr>
          <w:color w:val="auto"/>
          <w:kern w:val="2"/>
          <w:szCs w:val="20"/>
        </w:rPr>
        <w:t>套管破损泄漏100d、1000d、5</w:t>
      </w:r>
      <w:r>
        <w:rPr>
          <w:rFonts w:hint="eastAsia"/>
          <w:color w:val="auto"/>
          <w:kern w:val="2"/>
          <w:szCs w:val="20"/>
        </w:rPr>
        <w:t>475</w:t>
      </w:r>
      <w:r>
        <w:rPr>
          <w:color w:val="auto"/>
          <w:kern w:val="2"/>
          <w:szCs w:val="20"/>
        </w:rPr>
        <w:t>d对承压水的影响预测结果见表5.3-4、图5.3-7～图5.3-9。</w:t>
      </w:r>
    </w:p>
    <w:p w14:paraId="78C9643F">
      <w:pPr>
        <w:pStyle w:val="276"/>
        <w:widowControl w:val="0"/>
        <w:spacing w:line="440" w:lineRule="exact"/>
        <w:ind w:firstLine="0" w:firstLineChars="0"/>
        <w:jc w:val="center"/>
        <w:rPr>
          <w:color w:val="auto"/>
          <w:kern w:val="2"/>
          <w:szCs w:val="20"/>
        </w:rPr>
      </w:pPr>
      <w:r>
        <w:rPr>
          <w:color w:val="auto"/>
          <w:kern w:val="2"/>
          <w:szCs w:val="20"/>
        </w:rPr>
        <w:t>表5.3-4 油井套管泄漏对地下水的影响预测结果表</w:t>
      </w:r>
    </w:p>
    <w:tbl>
      <w:tblPr>
        <w:tblStyle w:val="81"/>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1107"/>
        <w:gridCol w:w="1564"/>
        <w:gridCol w:w="1564"/>
        <w:gridCol w:w="1328"/>
        <w:gridCol w:w="1813"/>
        <w:gridCol w:w="1201"/>
      </w:tblGrid>
      <w:tr w14:paraId="405CB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79" w:type="pct"/>
            <w:vAlign w:val="center"/>
          </w:tcPr>
          <w:p w14:paraId="6117BA26">
            <w:pPr>
              <w:spacing w:line="360" w:lineRule="exact"/>
              <w:jc w:val="center"/>
              <w:rPr>
                <w:rFonts w:ascii="宋体" w:hAnsi="宋体" w:eastAsia="宋体" w:cs="Times New Roman"/>
                <w:color w:val="auto"/>
              </w:rPr>
            </w:pPr>
            <w:r>
              <w:rPr>
                <w:rFonts w:ascii="宋体" w:hAnsi="宋体" w:eastAsia="宋体" w:cs="Times New Roman"/>
                <w:color w:val="auto"/>
              </w:rPr>
              <w:t>污染物</w:t>
            </w:r>
          </w:p>
        </w:tc>
        <w:tc>
          <w:tcPr>
            <w:tcW w:w="596" w:type="pct"/>
            <w:vAlign w:val="center"/>
          </w:tcPr>
          <w:p w14:paraId="664D27FB">
            <w:pPr>
              <w:spacing w:line="360" w:lineRule="exact"/>
              <w:jc w:val="center"/>
              <w:rPr>
                <w:rFonts w:ascii="宋体" w:hAnsi="宋体" w:eastAsia="宋体" w:cs="Times New Roman"/>
                <w:color w:val="auto"/>
              </w:rPr>
            </w:pPr>
            <w:r>
              <w:rPr>
                <w:rFonts w:ascii="宋体" w:hAnsi="宋体" w:eastAsia="宋体" w:cs="Times New Roman"/>
                <w:color w:val="auto"/>
              </w:rPr>
              <w:t>预测时间</w:t>
            </w:r>
          </w:p>
        </w:tc>
        <w:tc>
          <w:tcPr>
            <w:tcW w:w="842" w:type="pct"/>
            <w:vAlign w:val="center"/>
          </w:tcPr>
          <w:p w14:paraId="3903C2C4">
            <w:pPr>
              <w:spacing w:line="360" w:lineRule="exact"/>
              <w:jc w:val="center"/>
              <w:rPr>
                <w:rFonts w:ascii="宋体" w:hAnsi="宋体" w:eastAsia="宋体" w:cs="Times New Roman"/>
                <w:color w:val="auto"/>
              </w:rPr>
            </w:pPr>
            <w:r>
              <w:rPr>
                <w:rFonts w:hint="eastAsia" w:ascii="宋体" w:hAnsi="宋体" w:eastAsia="宋体" w:cs="Times New Roman"/>
                <w:color w:val="auto"/>
              </w:rPr>
              <w:t>最大浓度mg/L</w:t>
            </w:r>
          </w:p>
        </w:tc>
        <w:tc>
          <w:tcPr>
            <w:tcW w:w="842" w:type="pct"/>
            <w:vAlign w:val="center"/>
          </w:tcPr>
          <w:p w14:paraId="6053B956">
            <w:pPr>
              <w:spacing w:line="360" w:lineRule="exact"/>
              <w:jc w:val="center"/>
              <w:rPr>
                <w:rFonts w:ascii="宋体" w:hAnsi="宋体" w:eastAsia="宋体" w:cs="Times New Roman"/>
                <w:color w:val="auto"/>
              </w:rPr>
            </w:pPr>
            <w:r>
              <w:rPr>
                <w:rFonts w:ascii="宋体" w:hAnsi="宋体" w:eastAsia="宋体" w:cs="Times New Roman"/>
                <w:color w:val="auto"/>
              </w:rPr>
              <w:t>超标最远距离/m</w:t>
            </w:r>
          </w:p>
        </w:tc>
        <w:tc>
          <w:tcPr>
            <w:tcW w:w="715" w:type="pct"/>
            <w:vAlign w:val="center"/>
          </w:tcPr>
          <w:p w14:paraId="06F9F3CF">
            <w:pPr>
              <w:spacing w:line="360" w:lineRule="exact"/>
              <w:jc w:val="center"/>
              <w:rPr>
                <w:rFonts w:ascii="宋体" w:hAnsi="宋体" w:eastAsia="宋体" w:cs="Times New Roman"/>
                <w:color w:val="auto"/>
              </w:rPr>
            </w:pPr>
            <w:r>
              <w:rPr>
                <w:rFonts w:ascii="宋体" w:hAnsi="宋体" w:eastAsia="宋体" w:cs="Times New Roman"/>
                <w:color w:val="auto"/>
              </w:rPr>
              <w:t>超标面积/m</w:t>
            </w:r>
            <w:r>
              <w:rPr>
                <w:rFonts w:ascii="宋体" w:hAnsi="宋体" w:eastAsia="宋体" w:cs="Times New Roman"/>
                <w:color w:val="auto"/>
                <w:vertAlign w:val="superscript"/>
              </w:rPr>
              <w:t>2</w:t>
            </w:r>
          </w:p>
        </w:tc>
        <w:tc>
          <w:tcPr>
            <w:tcW w:w="976" w:type="pct"/>
            <w:vAlign w:val="center"/>
          </w:tcPr>
          <w:p w14:paraId="3E0AFE54">
            <w:pPr>
              <w:jc w:val="center"/>
              <w:rPr>
                <w:rFonts w:ascii="宋体" w:hAnsi="宋体" w:eastAsia="宋体" w:cs="Times New Roman"/>
                <w:color w:val="auto"/>
              </w:rPr>
            </w:pPr>
            <w:r>
              <w:rPr>
                <w:rFonts w:ascii="宋体" w:hAnsi="宋体" w:eastAsia="宋体" w:cs="Times New Roman"/>
                <w:color w:val="auto"/>
              </w:rPr>
              <w:t>最远影响距离</w:t>
            </w:r>
          </w:p>
          <w:p w14:paraId="46CBA3D9">
            <w:pPr>
              <w:spacing w:line="360" w:lineRule="exact"/>
              <w:jc w:val="center"/>
              <w:rPr>
                <w:rFonts w:ascii="宋体" w:hAnsi="宋体" w:eastAsia="宋体" w:cs="Times New Roman"/>
                <w:color w:val="auto"/>
              </w:rPr>
            </w:pPr>
            <w:r>
              <w:rPr>
                <w:rFonts w:ascii="宋体" w:hAnsi="宋体" w:eastAsia="宋体" w:cs="Times New Roman"/>
                <w:color w:val="auto"/>
              </w:rPr>
              <w:t>（最大迁移距离）/m</w:t>
            </w:r>
          </w:p>
        </w:tc>
        <w:tc>
          <w:tcPr>
            <w:tcW w:w="646" w:type="pct"/>
            <w:vAlign w:val="center"/>
          </w:tcPr>
          <w:p w14:paraId="0D5992AD">
            <w:pPr>
              <w:spacing w:line="360" w:lineRule="exact"/>
              <w:jc w:val="center"/>
              <w:rPr>
                <w:rFonts w:ascii="宋体" w:hAnsi="宋体" w:eastAsia="宋体" w:cs="Times New Roman"/>
                <w:color w:val="auto"/>
              </w:rPr>
            </w:pPr>
            <w:r>
              <w:rPr>
                <w:rFonts w:ascii="宋体" w:hAnsi="宋体" w:eastAsia="宋体" w:cs="Times New Roman"/>
                <w:color w:val="auto"/>
              </w:rPr>
              <w:t>影响面积/ m</w:t>
            </w:r>
            <w:r>
              <w:rPr>
                <w:rFonts w:ascii="宋体" w:hAnsi="宋体" w:eastAsia="宋体" w:cs="Times New Roman"/>
                <w:color w:val="auto"/>
                <w:vertAlign w:val="superscript"/>
              </w:rPr>
              <w:t>2</w:t>
            </w:r>
          </w:p>
        </w:tc>
      </w:tr>
      <w:tr w14:paraId="4B676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rPr>
        <w:tc>
          <w:tcPr>
            <w:tcW w:w="379" w:type="pct"/>
            <w:vMerge w:val="restart"/>
            <w:vAlign w:val="center"/>
          </w:tcPr>
          <w:p w14:paraId="40FE814B">
            <w:pPr>
              <w:spacing w:line="360" w:lineRule="exact"/>
              <w:jc w:val="center"/>
              <w:rPr>
                <w:rFonts w:ascii="宋体" w:hAnsi="宋体" w:eastAsia="宋体" w:cs="Times New Roman"/>
                <w:color w:val="auto"/>
              </w:rPr>
            </w:pPr>
            <w:r>
              <w:rPr>
                <w:rFonts w:ascii="宋体" w:hAnsi="宋体" w:eastAsia="宋体" w:cs="Times New Roman"/>
                <w:color w:val="auto"/>
              </w:rPr>
              <w:t>石油类</w:t>
            </w:r>
          </w:p>
        </w:tc>
        <w:tc>
          <w:tcPr>
            <w:tcW w:w="596" w:type="pct"/>
            <w:vAlign w:val="center"/>
          </w:tcPr>
          <w:p w14:paraId="7EB2FFD8">
            <w:pPr>
              <w:spacing w:line="360" w:lineRule="exact"/>
              <w:jc w:val="center"/>
              <w:rPr>
                <w:rFonts w:ascii="宋体" w:hAnsi="宋体" w:eastAsia="宋体" w:cs="Times New Roman"/>
                <w:color w:val="auto"/>
              </w:rPr>
            </w:pPr>
            <w:r>
              <w:rPr>
                <w:rFonts w:ascii="宋体" w:hAnsi="宋体" w:eastAsia="宋体" w:cs="Times New Roman"/>
                <w:color w:val="auto"/>
              </w:rPr>
              <w:t>100天</w:t>
            </w:r>
          </w:p>
        </w:tc>
        <w:tc>
          <w:tcPr>
            <w:tcW w:w="842" w:type="pct"/>
            <w:vAlign w:val="center"/>
          </w:tcPr>
          <w:p w14:paraId="340E0D5C">
            <w:pPr>
              <w:spacing w:line="360" w:lineRule="exact"/>
              <w:jc w:val="center"/>
              <w:rPr>
                <w:rFonts w:ascii="宋体" w:hAnsi="宋体" w:eastAsia="宋体" w:cs="Times New Roman"/>
                <w:color w:val="auto"/>
              </w:rPr>
            </w:pPr>
            <w:r>
              <w:rPr>
                <w:rFonts w:ascii="宋体" w:hAnsi="宋体" w:eastAsia="宋体" w:cs="Times New Roman"/>
                <w:color w:val="auto"/>
              </w:rPr>
              <w:t>52012.16</w:t>
            </w:r>
          </w:p>
        </w:tc>
        <w:tc>
          <w:tcPr>
            <w:tcW w:w="842" w:type="pct"/>
            <w:vAlign w:val="center"/>
          </w:tcPr>
          <w:p w14:paraId="1A23610F">
            <w:pPr>
              <w:spacing w:line="360" w:lineRule="exact"/>
              <w:jc w:val="center"/>
              <w:rPr>
                <w:rFonts w:ascii="宋体" w:hAnsi="宋体" w:eastAsia="宋体" w:cs="Times New Roman"/>
                <w:color w:val="auto"/>
              </w:rPr>
            </w:pPr>
            <w:r>
              <w:rPr>
                <w:rFonts w:hint="eastAsia" w:ascii="宋体" w:hAnsi="宋体" w:eastAsia="宋体" w:cs="Times New Roman"/>
                <w:color w:val="auto"/>
              </w:rPr>
              <w:t>26</w:t>
            </w:r>
          </w:p>
        </w:tc>
        <w:tc>
          <w:tcPr>
            <w:tcW w:w="715" w:type="pct"/>
            <w:vAlign w:val="center"/>
          </w:tcPr>
          <w:p w14:paraId="5A4F3FBC">
            <w:pPr>
              <w:spacing w:line="360" w:lineRule="exact"/>
              <w:jc w:val="center"/>
              <w:rPr>
                <w:rFonts w:ascii="宋体" w:hAnsi="宋体" w:eastAsia="宋体" w:cs="Times New Roman"/>
                <w:color w:val="auto"/>
              </w:rPr>
            </w:pPr>
            <w:r>
              <w:rPr>
                <w:rFonts w:ascii="宋体" w:hAnsi="宋体" w:eastAsia="宋体" w:cs="Times New Roman"/>
                <w:color w:val="auto"/>
              </w:rPr>
              <w:t>752.87</w:t>
            </w:r>
          </w:p>
        </w:tc>
        <w:tc>
          <w:tcPr>
            <w:tcW w:w="976" w:type="pct"/>
            <w:vAlign w:val="center"/>
          </w:tcPr>
          <w:p w14:paraId="2D4CED7C">
            <w:pPr>
              <w:spacing w:line="360" w:lineRule="exact"/>
              <w:jc w:val="center"/>
              <w:rPr>
                <w:rFonts w:ascii="宋体" w:hAnsi="宋体" w:eastAsia="宋体" w:cs="Times New Roman"/>
                <w:color w:val="auto"/>
              </w:rPr>
            </w:pPr>
            <w:r>
              <w:rPr>
                <w:rFonts w:hint="eastAsia" w:ascii="宋体" w:hAnsi="宋体" w:eastAsia="宋体" w:cs="Times New Roman"/>
                <w:color w:val="auto"/>
              </w:rPr>
              <w:t>28</w:t>
            </w:r>
          </w:p>
        </w:tc>
        <w:tc>
          <w:tcPr>
            <w:tcW w:w="646" w:type="pct"/>
            <w:vAlign w:val="center"/>
          </w:tcPr>
          <w:p w14:paraId="7B3F6DE2">
            <w:pPr>
              <w:spacing w:line="360" w:lineRule="exact"/>
              <w:jc w:val="center"/>
              <w:rPr>
                <w:rFonts w:ascii="宋体" w:hAnsi="宋体" w:eastAsia="宋体" w:cs="Times New Roman"/>
                <w:color w:val="auto"/>
              </w:rPr>
            </w:pPr>
            <w:r>
              <w:rPr>
                <w:rFonts w:ascii="宋体" w:hAnsi="宋体" w:eastAsia="宋体" w:cs="Times New Roman"/>
                <w:color w:val="auto"/>
              </w:rPr>
              <w:t>815.61</w:t>
            </w:r>
          </w:p>
        </w:tc>
      </w:tr>
      <w:tr w14:paraId="7F3B7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79" w:type="pct"/>
            <w:vMerge w:val="continue"/>
            <w:vAlign w:val="center"/>
          </w:tcPr>
          <w:p w14:paraId="59F44D1E">
            <w:pPr>
              <w:spacing w:line="360" w:lineRule="exact"/>
              <w:jc w:val="center"/>
              <w:rPr>
                <w:rFonts w:ascii="宋体" w:hAnsi="宋体" w:eastAsia="宋体" w:cs="Times New Roman"/>
                <w:color w:val="auto"/>
              </w:rPr>
            </w:pPr>
          </w:p>
        </w:tc>
        <w:tc>
          <w:tcPr>
            <w:tcW w:w="596" w:type="pct"/>
            <w:vAlign w:val="center"/>
          </w:tcPr>
          <w:p w14:paraId="0C3F648C">
            <w:pPr>
              <w:spacing w:line="360" w:lineRule="exact"/>
              <w:jc w:val="center"/>
              <w:rPr>
                <w:rFonts w:ascii="宋体" w:hAnsi="宋体" w:eastAsia="宋体" w:cs="Times New Roman"/>
                <w:color w:val="auto"/>
              </w:rPr>
            </w:pPr>
            <w:r>
              <w:rPr>
                <w:rFonts w:ascii="宋体" w:hAnsi="宋体" w:eastAsia="宋体" w:cs="Times New Roman"/>
                <w:color w:val="auto"/>
              </w:rPr>
              <w:t>1000天</w:t>
            </w:r>
          </w:p>
        </w:tc>
        <w:tc>
          <w:tcPr>
            <w:tcW w:w="842" w:type="pct"/>
            <w:vAlign w:val="center"/>
          </w:tcPr>
          <w:p w14:paraId="770110DE">
            <w:pPr>
              <w:spacing w:line="360" w:lineRule="exact"/>
              <w:jc w:val="center"/>
              <w:rPr>
                <w:rFonts w:ascii="宋体" w:hAnsi="宋体" w:eastAsia="宋体" w:cs="Times New Roman"/>
                <w:color w:val="auto"/>
              </w:rPr>
            </w:pPr>
            <w:r>
              <w:rPr>
                <w:rFonts w:ascii="宋体" w:hAnsi="宋体" w:eastAsia="宋体" w:cs="Times New Roman"/>
                <w:color w:val="auto"/>
              </w:rPr>
              <w:t>5201.21</w:t>
            </w:r>
          </w:p>
        </w:tc>
        <w:tc>
          <w:tcPr>
            <w:tcW w:w="842" w:type="pct"/>
            <w:vAlign w:val="center"/>
          </w:tcPr>
          <w:p w14:paraId="7EF115D2">
            <w:pPr>
              <w:spacing w:line="360" w:lineRule="exact"/>
              <w:jc w:val="center"/>
              <w:rPr>
                <w:rFonts w:ascii="宋体" w:hAnsi="宋体" w:eastAsia="宋体" w:cs="Times New Roman"/>
                <w:color w:val="auto"/>
              </w:rPr>
            </w:pPr>
            <w:r>
              <w:rPr>
                <w:rFonts w:hint="eastAsia" w:ascii="宋体" w:hAnsi="宋体" w:eastAsia="宋体" w:cs="Times New Roman"/>
                <w:color w:val="auto"/>
              </w:rPr>
              <w:t>100</w:t>
            </w:r>
          </w:p>
        </w:tc>
        <w:tc>
          <w:tcPr>
            <w:tcW w:w="715" w:type="pct"/>
            <w:vAlign w:val="center"/>
          </w:tcPr>
          <w:p w14:paraId="01DF1F31">
            <w:pPr>
              <w:spacing w:line="360" w:lineRule="exact"/>
              <w:jc w:val="center"/>
              <w:rPr>
                <w:rFonts w:ascii="宋体" w:hAnsi="宋体" w:eastAsia="宋体" w:cs="Times New Roman"/>
                <w:color w:val="auto"/>
              </w:rPr>
            </w:pPr>
            <w:r>
              <w:rPr>
                <w:rFonts w:ascii="宋体" w:hAnsi="宋体" w:eastAsia="宋体" w:cs="Times New Roman"/>
                <w:color w:val="auto"/>
              </w:rPr>
              <w:t>6305.26</w:t>
            </w:r>
          </w:p>
        </w:tc>
        <w:tc>
          <w:tcPr>
            <w:tcW w:w="976" w:type="pct"/>
            <w:vAlign w:val="center"/>
          </w:tcPr>
          <w:p w14:paraId="67BC3EB0">
            <w:pPr>
              <w:spacing w:line="360" w:lineRule="exact"/>
              <w:jc w:val="center"/>
              <w:rPr>
                <w:rFonts w:ascii="宋体" w:hAnsi="宋体" w:eastAsia="宋体" w:cs="Times New Roman"/>
                <w:color w:val="auto"/>
              </w:rPr>
            </w:pPr>
            <w:r>
              <w:rPr>
                <w:rFonts w:hint="eastAsia" w:ascii="宋体" w:hAnsi="宋体" w:eastAsia="宋体" w:cs="Times New Roman"/>
                <w:color w:val="auto"/>
              </w:rPr>
              <w:t>105</w:t>
            </w:r>
          </w:p>
        </w:tc>
        <w:tc>
          <w:tcPr>
            <w:tcW w:w="646" w:type="pct"/>
            <w:vAlign w:val="center"/>
          </w:tcPr>
          <w:p w14:paraId="3BBDE65E">
            <w:pPr>
              <w:spacing w:line="360" w:lineRule="exact"/>
              <w:jc w:val="center"/>
              <w:rPr>
                <w:rFonts w:ascii="宋体" w:hAnsi="宋体" w:eastAsia="宋体" w:cs="Times New Roman"/>
                <w:color w:val="auto"/>
              </w:rPr>
            </w:pPr>
            <w:r>
              <w:rPr>
                <w:rFonts w:ascii="宋体" w:hAnsi="宋体" w:eastAsia="宋体" w:cs="Times New Roman"/>
                <w:color w:val="auto"/>
              </w:rPr>
              <w:t>7293.40</w:t>
            </w:r>
          </w:p>
        </w:tc>
      </w:tr>
      <w:tr w14:paraId="3B18C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79" w:type="pct"/>
            <w:vMerge w:val="continue"/>
            <w:vAlign w:val="center"/>
          </w:tcPr>
          <w:p w14:paraId="27F8891C">
            <w:pPr>
              <w:spacing w:line="360" w:lineRule="exact"/>
              <w:jc w:val="center"/>
              <w:rPr>
                <w:rFonts w:ascii="宋体" w:hAnsi="宋体" w:eastAsia="宋体" w:cs="Times New Roman"/>
                <w:color w:val="auto"/>
              </w:rPr>
            </w:pPr>
          </w:p>
        </w:tc>
        <w:tc>
          <w:tcPr>
            <w:tcW w:w="596" w:type="pct"/>
            <w:vAlign w:val="center"/>
          </w:tcPr>
          <w:p w14:paraId="04B0C76D">
            <w:pPr>
              <w:spacing w:line="360" w:lineRule="exact"/>
              <w:jc w:val="center"/>
              <w:rPr>
                <w:rFonts w:ascii="宋体" w:hAnsi="宋体" w:eastAsia="宋体" w:cs="Times New Roman"/>
                <w:color w:val="auto"/>
              </w:rPr>
            </w:pPr>
            <w:r>
              <w:rPr>
                <w:rFonts w:ascii="宋体" w:hAnsi="宋体" w:eastAsia="宋体" w:cs="Times New Roman"/>
                <w:color w:val="auto"/>
              </w:rPr>
              <w:t>5</w:t>
            </w:r>
            <w:r>
              <w:rPr>
                <w:rFonts w:hint="eastAsia" w:ascii="宋体" w:hAnsi="宋体" w:eastAsia="宋体" w:cs="Times New Roman"/>
                <w:color w:val="auto"/>
              </w:rPr>
              <w:t>475</w:t>
            </w:r>
            <w:r>
              <w:rPr>
                <w:rFonts w:ascii="宋体" w:hAnsi="宋体" w:eastAsia="宋体" w:cs="Times New Roman"/>
                <w:color w:val="auto"/>
              </w:rPr>
              <w:t>天</w:t>
            </w:r>
          </w:p>
        </w:tc>
        <w:tc>
          <w:tcPr>
            <w:tcW w:w="842" w:type="pct"/>
            <w:vAlign w:val="center"/>
          </w:tcPr>
          <w:p w14:paraId="0CDF4252">
            <w:pPr>
              <w:spacing w:line="360" w:lineRule="exact"/>
              <w:jc w:val="center"/>
              <w:rPr>
                <w:rFonts w:ascii="宋体" w:hAnsi="宋体" w:eastAsia="宋体" w:cs="Times New Roman"/>
                <w:color w:val="auto"/>
              </w:rPr>
            </w:pPr>
            <w:r>
              <w:rPr>
                <w:rFonts w:hint="eastAsia" w:ascii="宋体" w:hAnsi="宋体" w:eastAsia="宋体" w:cs="Times New Roman"/>
                <w:color w:val="auto"/>
              </w:rPr>
              <w:t>949.99</w:t>
            </w:r>
          </w:p>
        </w:tc>
        <w:tc>
          <w:tcPr>
            <w:tcW w:w="842" w:type="pct"/>
            <w:vAlign w:val="center"/>
          </w:tcPr>
          <w:p w14:paraId="6BFFED39">
            <w:pPr>
              <w:spacing w:line="360" w:lineRule="exact"/>
              <w:jc w:val="center"/>
              <w:rPr>
                <w:rFonts w:ascii="宋体" w:hAnsi="宋体" w:eastAsia="宋体" w:cs="Times New Roman"/>
                <w:color w:val="auto"/>
              </w:rPr>
            </w:pPr>
            <w:r>
              <w:rPr>
                <w:rFonts w:hint="eastAsia" w:ascii="宋体" w:hAnsi="宋体" w:eastAsia="宋体" w:cs="Times New Roman"/>
                <w:color w:val="auto"/>
              </w:rPr>
              <w:t>327</w:t>
            </w:r>
          </w:p>
        </w:tc>
        <w:tc>
          <w:tcPr>
            <w:tcW w:w="715" w:type="pct"/>
            <w:vAlign w:val="center"/>
          </w:tcPr>
          <w:p w14:paraId="543C8EB4">
            <w:pPr>
              <w:spacing w:line="360" w:lineRule="exact"/>
              <w:jc w:val="center"/>
              <w:rPr>
                <w:rFonts w:ascii="宋体" w:hAnsi="宋体" w:eastAsia="宋体" w:cs="Times New Roman"/>
                <w:color w:val="auto"/>
              </w:rPr>
            </w:pPr>
            <w:r>
              <w:rPr>
                <w:rFonts w:hint="eastAsia" w:ascii="宋体" w:hAnsi="宋体" w:eastAsia="宋体" w:cs="Times New Roman"/>
                <w:color w:val="auto"/>
              </w:rPr>
              <w:t>29863.74</w:t>
            </w:r>
          </w:p>
        </w:tc>
        <w:tc>
          <w:tcPr>
            <w:tcW w:w="976" w:type="pct"/>
            <w:vAlign w:val="center"/>
          </w:tcPr>
          <w:p w14:paraId="323B77EB">
            <w:pPr>
              <w:spacing w:line="360" w:lineRule="exact"/>
              <w:jc w:val="center"/>
              <w:rPr>
                <w:rFonts w:ascii="宋体" w:hAnsi="宋体" w:eastAsia="宋体" w:cs="Times New Roman"/>
                <w:color w:val="auto"/>
              </w:rPr>
            </w:pPr>
            <w:r>
              <w:rPr>
                <w:rFonts w:hint="eastAsia" w:ascii="宋体" w:hAnsi="宋体" w:eastAsia="宋体" w:cs="Times New Roman"/>
                <w:color w:val="auto"/>
              </w:rPr>
              <w:t>339</w:t>
            </w:r>
          </w:p>
        </w:tc>
        <w:tc>
          <w:tcPr>
            <w:tcW w:w="646" w:type="pct"/>
            <w:vAlign w:val="center"/>
          </w:tcPr>
          <w:p w14:paraId="2E7434C2">
            <w:pPr>
              <w:spacing w:line="360" w:lineRule="exact"/>
              <w:jc w:val="center"/>
              <w:rPr>
                <w:rFonts w:ascii="宋体" w:hAnsi="宋体" w:eastAsia="宋体" w:cs="Times New Roman"/>
                <w:color w:val="auto"/>
              </w:rPr>
            </w:pPr>
            <w:r>
              <w:rPr>
                <w:rFonts w:hint="eastAsia" w:ascii="宋体" w:hAnsi="宋体" w:eastAsia="宋体" w:cs="Times New Roman"/>
                <w:color w:val="auto"/>
              </w:rPr>
              <w:t>34506.42</w:t>
            </w:r>
          </w:p>
        </w:tc>
      </w:tr>
    </w:tbl>
    <w:p w14:paraId="419AC97F">
      <w:pPr>
        <w:jc w:val="center"/>
        <w:rPr>
          <w:rFonts w:ascii="宋体" w:hAnsi="宋体" w:eastAsia="宋体" w:cs="Times New Roman"/>
          <w:color w:val="auto"/>
        </w:rPr>
      </w:pPr>
      <w:r>
        <w:rPr>
          <w:rFonts w:ascii="宋体" w:hAnsi="宋体" w:eastAsia="宋体"/>
          <w:color w:val="auto"/>
        </w:rPr>
        <mc:AlternateContent>
          <mc:Choice Requires="wpg">
            <w:drawing>
              <wp:anchor distT="0" distB="0" distL="114300" distR="114300" simplePos="0" relativeHeight="251675648" behindDoc="0" locked="0" layoutInCell="1" allowOverlap="1">
                <wp:simplePos x="0" y="0"/>
                <wp:positionH relativeFrom="column">
                  <wp:posOffset>3279775</wp:posOffset>
                </wp:positionH>
                <wp:positionV relativeFrom="paragraph">
                  <wp:posOffset>1473835</wp:posOffset>
                </wp:positionV>
                <wp:extent cx="1034415" cy="1212850"/>
                <wp:effectExtent l="0" t="24130" r="0" b="0"/>
                <wp:wrapNone/>
                <wp:docPr id="107" name="组合 107"/>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108"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116" name="矩形 489"/>
                        <wps:cNvSpPr/>
                        <wps:spPr>
                          <a:xfrm rot="2388655">
                            <a:off x="25358" y="2678354"/>
                            <a:ext cx="1377" cy="1911"/>
                          </a:xfrm>
                          <a:prstGeom prst="rect">
                            <a:avLst/>
                          </a:prstGeom>
                          <a:noFill/>
                          <a:ln w="12700" cap="flat" cmpd="sng" algn="ctr">
                            <a:noFill/>
                            <a:prstDash val="solid"/>
                            <a:miter lim="800000"/>
                          </a:ln>
                          <a:effectLst/>
                        </wps:spPr>
                        <wps:txbx>
                          <w:txbxContent>
                            <w:p w14:paraId="4A29D41E">
                              <w:pPr>
                                <w:jc w:val="center"/>
                                <w:rPr>
                                  <w:color w:val="444444"/>
                                </w:rPr>
                              </w:pPr>
                              <w:r>
                                <w:rPr>
                                  <w:rFonts w:hint="eastAsia"/>
                                  <w:color w:val="444444"/>
                                </w:rPr>
                                <w:t>地</w:t>
                              </w:r>
                            </w:p>
                            <w:p w14:paraId="41BB5B64">
                              <w:pPr>
                                <w:jc w:val="center"/>
                                <w:rPr>
                                  <w:color w:val="444444"/>
                                </w:rPr>
                              </w:pPr>
                              <w:r>
                                <w:rPr>
                                  <w:rFonts w:hint="eastAsia"/>
                                  <w:color w:val="444444"/>
                                </w:rPr>
                                <w:t>下</w:t>
                              </w:r>
                            </w:p>
                            <w:p w14:paraId="4BADD2A9">
                              <w:pPr>
                                <w:jc w:val="center"/>
                                <w:rPr>
                                  <w:color w:val="444444"/>
                                </w:rPr>
                              </w:pPr>
                              <w:r>
                                <w:rPr>
                                  <w:rFonts w:hint="eastAsia"/>
                                  <w:color w:val="444444"/>
                                </w:rPr>
                                <w:t>水</w:t>
                              </w:r>
                            </w:p>
                            <w:p w14:paraId="6677743C">
                              <w:pPr>
                                <w:jc w:val="center"/>
                                <w:rPr>
                                  <w:color w:val="444444"/>
                                </w:rPr>
                              </w:pPr>
                              <w:r>
                                <w:rPr>
                                  <w:color w:val="444444"/>
                                </w:rPr>
                                <w:t>流</w:t>
                              </w:r>
                            </w:p>
                            <w:p w14:paraId="0FB30FA5">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8.25pt;margin-top:116.05pt;height:95.5pt;width:81.45pt;z-index:251675648;mso-width-relative:page;mso-height-relative:page;" coordorigin="25105,2678354" coordsize="1629,1910" o:gfxdata="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BJ5hy7bAAAACwEAAA8AAAAAAAAA&#10;AQAgAAAAIgAAAGRycy9kb3ducmV2LnhtbFBLAQIUABQAAAAIAIdO4kCSr4zMnQMAAEMIAAAOAAAA&#10;AAAAAAEAIAAAACoBAABkcnMvZTJvRG9jLnhtbFBLBQYAAAAABgAGAFkBAAA5Bw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mKgQ0b4AAADc&#10;AAAADwAAAGRycy9kb3ducmV2LnhtbEWPQWvCQBCF74X+h2WEXoru2oNImlWoGix4Mi09D9kxCc3O&#10;ptnV2P76zkHwNsN78943+frqO3WhIbaBLcxnBhRxFVzLtYXPj2K6BBUTssMuMFn4pQjr1eNDjpkL&#10;Ix/pUqZaSQjHDC00KfWZ1rFqyGOchZ5YtFMYPCZZh1q7AUcJ951+MWahPbYsDQ32tGmo+i7P3sJb&#10;GP8OxX5X/5RbVzj+Oie3fbb2aTI3r6ASXdPdfLt+d4JvhFaekQn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gQ0b4A&#10;AADcAAAADwAAAAAAAAABACAAAAAiAAAAZHJzL2Rvd25yZXYueG1sUEsBAhQAFAAAAAgAh07iQDMv&#10;BZ47AAAAOQAAABAAAAAAAAAAAQAgAAAADQEAAGRycy9zaGFwZXhtbC54bWxQSwUGAAAAAAYABgBb&#10;AQAAtwMA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3nVilL0AAADc&#10;AAAADwAAAGRycy9kb3ducmV2LnhtbEVPTWvCQBC9C/6HZQq96W4siKauHqpCgvWg9tDjkJ0mabOz&#10;Ibsm+u+7hYK3ebzPWW1uthE9db52rCGZKhDEhTM1lxo+LvvJAoQPyAYbx6ThTh426/FohalxA5+o&#10;P4dSxBD2KWqoQmhTKX1RkUU/dS1x5L5cZzFE2JXSdDjEcNvImVJzabHm2FBhS28VFT/nq9WwV9/Z&#10;8H7a9S/HZrbMPvP80G9zrZ+fEvUKItAtPMT/7szE+ckc/p6JF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WKU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4A29D41E">
                        <w:pPr>
                          <w:jc w:val="center"/>
                          <w:rPr>
                            <w:color w:val="444444"/>
                          </w:rPr>
                        </w:pPr>
                        <w:r>
                          <w:rPr>
                            <w:rFonts w:hint="eastAsia"/>
                            <w:color w:val="444444"/>
                          </w:rPr>
                          <w:t>地</w:t>
                        </w:r>
                      </w:p>
                      <w:p w14:paraId="41BB5B64">
                        <w:pPr>
                          <w:jc w:val="center"/>
                          <w:rPr>
                            <w:color w:val="444444"/>
                          </w:rPr>
                        </w:pPr>
                        <w:r>
                          <w:rPr>
                            <w:rFonts w:hint="eastAsia"/>
                            <w:color w:val="444444"/>
                          </w:rPr>
                          <w:t>下</w:t>
                        </w:r>
                      </w:p>
                      <w:p w14:paraId="4BADD2A9">
                        <w:pPr>
                          <w:jc w:val="center"/>
                          <w:rPr>
                            <w:color w:val="444444"/>
                          </w:rPr>
                        </w:pPr>
                        <w:r>
                          <w:rPr>
                            <w:rFonts w:hint="eastAsia"/>
                            <w:color w:val="444444"/>
                          </w:rPr>
                          <w:t>水</w:t>
                        </w:r>
                      </w:p>
                      <w:p w14:paraId="6677743C">
                        <w:pPr>
                          <w:jc w:val="center"/>
                          <w:rPr>
                            <w:color w:val="444444"/>
                          </w:rPr>
                        </w:pPr>
                        <w:r>
                          <w:rPr>
                            <w:color w:val="444444"/>
                          </w:rPr>
                          <w:t>流</w:t>
                        </w:r>
                      </w:p>
                      <w:p w14:paraId="0FB30FA5">
                        <w:pPr>
                          <w:jc w:val="center"/>
                          <w:rPr>
                            <w:color w:val="444444"/>
                          </w:rPr>
                        </w:pPr>
                        <w:r>
                          <w:rPr>
                            <w:color w:val="444444"/>
                          </w:rPr>
                          <w:t>向</w:t>
                        </w:r>
                      </w:p>
                    </w:txbxContent>
                  </v:textbox>
                </v:rect>
              </v:group>
            </w:pict>
          </mc:Fallback>
        </mc:AlternateContent>
      </w:r>
      <w:r>
        <w:rPr>
          <w:rFonts w:ascii="宋体" w:hAnsi="宋体" w:eastAsia="宋体"/>
          <w:color w:val="auto"/>
        </w:rPr>
        <w:drawing>
          <wp:inline distT="0" distB="0" distL="114300" distR="114300">
            <wp:extent cx="5021580" cy="4032250"/>
            <wp:effectExtent l="0" t="0" r="7620" b="6350"/>
            <wp:docPr id="12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 descr="IMG_256"/>
                    <pic:cNvPicPr>
                      <a:picLocks noChangeAspect="1"/>
                    </pic:cNvPicPr>
                  </pic:nvPicPr>
                  <pic:blipFill>
                    <a:blip r:embed="rId117"/>
                    <a:stretch>
                      <a:fillRect/>
                    </a:stretch>
                  </pic:blipFill>
                  <pic:spPr>
                    <a:xfrm>
                      <a:off x="0" y="0"/>
                      <a:ext cx="5021580" cy="4032250"/>
                    </a:xfrm>
                    <a:prstGeom prst="rect">
                      <a:avLst/>
                    </a:prstGeom>
                    <a:noFill/>
                    <a:ln w="9525">
                      <a:noFill/>
                    </a:ln>
                  </pic:spPr>
                </pic:pic>
              </a:graphicData>
            </a:graphic>
          </wp:inline>
        </w:drawing>
      </w:r>
    </w:p>
    <w:p w14:paraId="6A30D930">
      <w:pPr>
        <w:spacing w:line="440" w:lineRule="exact"/>
        <w:jc w:val="center"/>
        <w:rPr>
          <w:rFonts w:ascii="宋体" w:hAnsi="宋体" w:eastAsia="宋体"/>
          <w:color w:val="auto"/>
          <w:sz w:val="24"/>
          <w:szCs w:val="24"/>
        </w:rPr>
      </w:pPr>
      <w:r>
        <w:rPr>
          <w:rFonts w:ascii="宋体" w:hAnsi="宋体" w:eastAsia="宋体"/>
          <w:color w:val="auto"/>
          <w:sz w:val="24"/>
          <w:szCs w:val="24"/>
        </w:rPr>
        <w:t>图5.3-7 油井套管泄漏100天石油类污染扩散平面图（污染源点：0，0）</w:t>
      </w:r>
    </w:p>
    <w:p w14:paraId="6F08EE49">
      <w:pPr>
        <w:jc w:val="center"/>
        <w:rPr>
          <w:rFonts w:ascii="宋体" w:hAnsi="宋体" w:eastAsia="宋体" w:cs="Times New Roman"/>
          <w:color w:val="auto"/>
        </w:rPr>
      </w:pPr>
      <w:r>
        <w:rPr>
          <w:rFonts w:ascii="宋体" w:hAnsi="宋体" w:eastAsia="宋体"/>
          <w:color w:val="auto"/>
        </w:rPr>
        <mc:AlternateContent>
          <mc:Choice Requires="wpg">
            <w:drawing>
              <wp:anchor distT="0" distB="0" distL="114300" distR="114300" simplePos="0" relativeHeight="251673600" behindDoc="0" locked="0" layoutInCell="1" allowOverlap="1">
                <wp:simplePos x="0" y="0"/>
                <wp:positionH relativeFrom="column">
                  <wp:posOffset>3215005</wp:posOffset>
                </wp:positionH>
                <wp:positionV relativeFrom="paragraph">
                  <wp:posOffset>2219960</wp:posOffset>
                </wp:positionV>
                <wp:extent cx="1034415" cy="1212850"/>
                <wp:effectExtent l="0" t="24130" r="0" b="0"/>
                <wp:wrapNone/>
                <wp:docPr id="50523490" name="组合 50523490"/>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50523491"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50523492" name="矩形 489"/>
                        <wps:cNvSpPr/>
                        <wps:spPr>
                          <a:xfrm rot="2388655">
                            <a:off x="25358" y="2678354"/>
                            <a:ext cx="1377" cy="1911"/>
                          </a:xfrm>
                          <a:prstGeom prst="rect">
                            <a:avLst/>
                          </a:prstGeom>
                          <a:noFill/>
                          <a:ln w="12700" cap="flat" cmpd="sng" algn="ctr">
                            <a:noFill/>
                            <a:prstDash val="solid"/>
                            <a:miter lim="800000"/>
                          </a:ln>
                          <a:effectLst/>
                        </wps:spPr>
                        <wps:txbx>
                          <w:txbxContent>
                            <w:p w14:paraId="636BEB5B">
                              <w:pPr>
                                <w:jc w:val="center"/>
                                <w:rPr>
                                  <w:color w:val="444444"/>
                                </w:rPr>
                              </w:pPr>
                              <w:r>
                                <w:rPr>
                                  <w:rFonts w:hint="eastAsia"/>
                                  <w:color w:val="444444"/>
                                </w:rPr>
                                <w:t>地</w:t>
                              </w:r>
                            </w:p>
                            <w:p w14:paraId="3E30E7A9">
                              <w:pPr>
                                <w:jc w:val="center"/>
                                <w:rPr>
                                  <w:color w:val="444444"/>
                                </w:rPr>
                              </w:pPr>
                              <w:r>
                                <w:rPr>
                                  <w:rFonts w:hint="eastAsia"/>
                                  <w:color w:val="444444"/>
                                </w:rPr>
                                <w:t>下</w:t>
                              </w:r>
                            </w:p>
                            <w:p w14:paraId="753423EB">
                              <w:pPr>
                                <w:jc w:val="center"/>
                                <w:rPr>
                                  <w:color w:val="444444"/>
                                </w:rPr>
                              </w:pPr>
                              <w:r>
                                <w:rPr>
                                  <w:rFonts w:hint="eastAsia"/>
                                  <w:color w:val="444444"/>
                                </w:rPr>
                                <w:t>水</w:t>
                              </w:r>
                            </w:p>
                            <w:p w14:paraId="6C52F34B">
                              <w:pPr>
                                <w:jc w:val="center"/>
                                <w:rPr>
                                  <w:color w:val="444444"/>
                                </w:rPr>
                              </w:pPr>
                              <w:r>
                                <w:rPr>
                                  <w:color w:val="444444"/>
                                </w:rPr>
                                <w:t>流</w:t>
                              </w:r>
                            </w:p>
                            <w:p w14:paraId="454C6714">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3.15pt;margin-top:174.8pt;height:95.5pt;width:81.45pt;z-index:251673600;mso-width-relative:page;mso-height-relative:page;" coordorigin="25105,2678354" coordsize="1629,1910" o:gfxdata="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BTtZ2m2wAAAAsBAAAPAAAAAAAA&#10;AAEAIAAAACIAAABkcnMvZG93bnJldi54bWxQSwECFAAUAAAACACHTuJA8EJF354DAABXCAAADgAA&#10;AAAAAAABACAAAAAqAQAAZHJzL2Uyb0RvYy54bWxQSwUGAAAAAAYABgBZAQAAOgc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vaueaMMAAADh&#10;AAAADwAAAGRycy9kb3ducmV2LnhtbEWPQWvCQBSE70L/w/IKvYjuRmvR1FVobajgqVE8P7KvSWj2&#10;bZpdjfbXdwsFj8PMfMMs1xfbiDN1vnasIRkrEMSFMzWXGg77bDQH4QOywcYxabiSh/XqbrDE1Lie&#10;P+ich1JECPsUNVQhtKmUvqjIoh+7ljh6n66zGKLsSmk67CPcNnKi1JO0WHNcqLCl14qKr/xkNby4&#10;/meXvb+V3/nGZIaPp2A2Q60f7hP1DCLQJdzC/+2t0TBTs8n0cZHA36P4BuTq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9&#10;q55owwAAAOEAAAAPAAAAAAAAAAEAIAAAACIAAABkcnMvZG93bnJldi54bWxQSwECFAAUAAAACACH&#10;TuJAMy8FnjsAAAA5AAAAEAAAAAAAAAABACAAAAASAQAAZHJzL3NoYXBleG1sLnhtbFBLBQYAAAAA&#10;BgAGAFsBAAC8AwA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6fyAaMUAAADh&#10;AAAADwAAAGRycy9kb3ducmV2LnhtbEWPzU7DMBCE70i8g7VIvVG7aYvaULcHaKVElEN/Dj2u4iUJ&#10;xOsodpPy9hgJieNoZr7RrDY324ieOl871jAZKxDEhTM1lxrOp93jAoQPyAYbx6Thmzxs1vd3K0yN&#10;G/hA/TGUIkLYp6ihCqFNpfRFRRb92LXE0ftwncUQZVdK0+EQ4baRiVJP0mLNcaHCll4qKr6OV6th&#10;pz6zYX/Y9tP3Jllmlzx/619zrUcPE/UMItAt/If/2pnRMFfzZDpbJvD7KL4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n8gGjFAAAA4QAAAA8AAAAAAAAAAQAgAAAAIgAAAGRycy9kb3ducmV2LnhtbFBLAQIUABQAAAAI&#10;AIdO4kAzLwWeOwAAADkAAAAQAAAAAAAAAAEAIAAAABQBAABkcnMvc2hhcGV4bWwueG1sUEsFBgAA&#10;AAAGAAYAWwEAAL4DAAAAAA==&#10;">
                  <v:fill on="f" focussize="0,0"/>
                  <v:stroke on="f" weight="1pt" miterlimit="8" joinstyle="miter"/>
                  <v:imagedata o:title=""/>
                  <o:lock v:ext="edit" aspectratio="f"/>
                  <v:textbox>
                    <w:txbxContent>
                      <w:p w14:paraId="636BEB5B">
                        <w:pPr>
                          <w:jc w:val="center"/>
                          <w:rPr>
                            <w:color w:val="444444"/>
                          </w:rPr>
                        </w:pPr>
                        <w:r>
                          <w:rPr>
                            <w:rFonts w:hint="eastAsia"/>
                            <w:color w:val="444444"/>
                          </w:rPr>
                          <w:t>地</w:t>
                        </w:r>
                      </w:p>
                      <w:p w14:paraId="3E30E7A9">
                        <w:pPr>
                          <w:jc w:val="center"/>
                          <w:rPr>
                            <w:color w:val="444444"/>
                          </w:rPr>
                        </w:pPr>
                        <w:r>
                          <w:rPr>
                            <w:rFonts w:hint="eastAsia"/>
                            <w:color w:val="444444"/>
                          </w:rPr>
                          <w:t>下</w:t>
                        </w:r>
                      </w:p>
                      <w:p w14:paraId="753423EB">
                        <w:pPr>
                          <w:jc w:val="center"/>
                          <w:rPr>
                            <w:color w:val="444444"/>
                          </w:rPr>
                        </w:pPr>
                        <w:r>
                          <w:rPr>
                            <w:rFonts w:hint="eastAsia"/>
                            <w:color w:val="444444"/>
                          </w:rPr>
                          <w:t>水</w:t>
                        </w:r>
                      </w:p>
                      <w:p w14:paraId="6C52F34B">
                        <w:pPr>
                          <w:jc w:val="center"/>
                          <w:rPr>
                            <w:color w:val="444444"/>
                          </w:rPr>
                        </w:pPr>
                        <w:r>
                          <w:rPr>
                            <w:color w:val="444444"/>
                          </w:rPr>
                          <w:t>流</w:t>
                        </w:r>
                      </w:p>
                      <w:p w14:paraId="454C6714">
                        <w:pPr>
                          <w:jc w:val="center"/>
                          <w:rPr>
                            <w:color w:val="444444"/>
                          </w:rPr>
                        </w:pPr>
                        <w:r>
                          <w:rPr>
                            <w:color w:val="444444"/>
                          </w:rPr>
                          <w:t>向</w:t>
                        </w:r>
                      </w:p>
                    </w:txbxContent>
                  </v:textbox>
                </v:rect>
              </v:group>
            </w:pict>
          </mc:Fallback>
        </mc:AlternateContent>
      </w:r>
      <w:r>
        <w:rPr>
          <w:rFonts w:ascii="宋体" w:hAnsi="宋体" w:eastAsia="宋体"/>
          <w:color w:val="auto"/>
        </w:rPr>
        <w:drawing>
          <wp:inline distT="0" distB="0" distL="114300" distR="114300">
            <wp:extent cx="5021580" cy="4032250"/>
            <wp:effectExtent l="0" t="0" r="7620" b="6350"/>
            <wp:docPr id="12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 descr="IMG_256"/>
                    <pic:cNvPicPr>
                      <a:picLocks noChangeAspect="1"/>
                    </pic:cNvPicPr>
                  </pic:nvPicPr>
                  <pic:blipFill>
                    <a:blip r:embed="rId118"/>
                    <a:stretch>
                      <a:fillRect/>
                    </a:stretch>
                  </pic:blipFill>
                  <pic:spPr>
                    <a:xfrm>
                      <a:off x="0" y="0"/>
                      <a:ext cx="5021580" cy="4032250"/>
                    </a:xfrm>
                    <a:prstGeom prst="rect">
                      <a:avLst/>
                    </a:prstGeom>
                    <a:noFill/>
                    <a:ln w="9525">
                      <a:noFill/>
                    </a:ln>
                  </pic:spPr>
                </pic:pic>
              </a:graphicData>
            </a:graphic>
          </wp:inline>
        </w:drawing>
      </w:r>
      <w:r>
        <w:rPr>
          <w:rFonts w:ascii="宋体" w:hAnsi="宋体" w:eastAsia="宋体" w:cs="Times New Roman"/>
          <w:color w:val="auto"/>
        </w:rPr>
        <w:t xml:space="preserve">  </w:t>
      </w:r>
    </w:p>
    <w:p w14:paraId="44AA5D48">
      <w:pPr>
        <w:spacing w:line="440" w:lineRule="exact"/>
        <w:jc w:val="center"/>
        <w:rPr>
          <w:rFonts w:ascii="宋体" w:hAnsi="宋体" w:eastAsia="宋体"/>
          <w:color w:val="auto"/>
          <w:sz w:val="24"/>
          <w:szCs w:val="24"/>
        </w:rPr>
      </w:pPr>
      <w:r>
        <w:rPr>
          <w:rFonts w:ascii="宋体" w:hAnsi="宋体" w:eastAsia="宋体"/>
          <w:color w:val="auto"/>
          <w:sz w:val="24"/>
          <w:szCs w:val="24"/>
        </w:rPr>
        <w:t>图5.3-8 油井套管泄漏1000天石油类污染扩散平面图（污染源点：0，0）</w:t>
      </w:r>
    </w:p>
    <w:p w14:paraId="56C9693F">
      <w:pPr>
        <w:jc w:val="center"/>
        <w:rPr>
          <w:rFonts w:ascii="宋体" w:hAnsi="宋体" w:eastAsia="宋体" w:cs="Times New Roman"/>
          <w:color w:val="auto"/>
        </w:rPr>
      </w:pPr>
      <w:r>
        <w:rPr>
          <w:rFonts w:ascii="宋体" w:hAnsi="宋体" w:eastAsia="宋体" w:cs="Times New Roman"/>
          <w:color w:val="auto"/>
        </w:rPr>
        <w:t xml:space="preserve"> </w:t>
      </w:r>
      <w:r>
        <w:rPr>
          <w:rFonts w:ascii="宋体" w:hAnsi="宋体" w:eastAsia="宋体"/>
          <w:color w:val="auto"/>
        </w:rPr>
        <w:drawing>
          <wp:inline distT="0" distB="0" distL="114300" distR="114300">
            <wp:extent cx="5009515" cy="4067810"/>
            <wp:effectExtent l="0" t="0" r="635" b="8890"/>
            <wp:docPr id="12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 descr="IMG_256"/>
                    <pic:cNvPicPr>
                      <a:picLocks noChangeAspect="1"/>
                    </pic:cNvPicPr>
                  </pic:nvPicPr>
                  <pic:blipFill>
                    <a:blip r:embed="rId119"/>
                    <a:stretch>
                      <a:fillRect/>
                    </a:stretch>
                  </pic:blipFill>
                  <pic:spPr>
                    <a:xfrm>
                      <a:off x="0" y="0"/>
                      <a:ext cx="5009515" cy="4067810"/>
                    </a:xfrm>
                    <a:prstGeom prst="rect">
                      <a:avLst/>
                    </a:prstGeom>
                    <a:noFill/>
                    <a:ln w="9525">
                      <a:noFill/>
                    </a:ln>
                  </pic:spPr>
                </pic:pic>
              </a:graphicData>
            </a:graphic>
          </wp:inline>
        </w:drawing>
      </w:r>
      <w:r>
        <w:rPr>
          <w:rFonts w:ascii="宋体" w:hAnsi="宋体" w:eastAsia="宋体"/>
          <w:color w:val="auto"/>
        </w:rPr>
        <mc:AlternateContent>
          <mc:Choice Requires="wpg">
            <w:drawing>
              <wp:anchor distT="0" distB="0" distL="114300" distR="114300" simplePos="0" relativeHeight="251674624" behindDoc="0" locked="0" layoutInCell="1" allowOverlap="1">
                <wp:simplePos x="0" y="0"/>
                <wp:positionH relativeFrom="column">
                  <wp:posOffset>2762885</wp:posOffset>
                </wp:positionH>
                <wp:positionV relativeFrom="paragraph">
                  <wp:posOffset>2119630</wp:posOffset>
                </wp:positionV>
                <wp:extent cx="1034415" cy="1212850"/>
                <wp:effectExtent l="0" t="24130" r="0" b="0"/>
                <wp:wrapNone/>
                <wp:docPr id="87" name="组合 87"/>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88"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106" name="矩形 489"/>
                        <wps:cNvSpPr/>
                        <wps:spPr>
                          <a:xfrm rot="2388655">
                            <a:off x="25358" y="2678354"/>
                            <a:ext cx="1377" cy="1911"/>
                          </a:xfrm>
                          <a:prstGeom prst="rect">
                            <a:avLst/>
                          </a:prstGeom>
                          <a:noFill/>
                          <a:ln w="12700" cap="flat" cmpd="sng" algn="ctr">
                            <a:noFill/>
                            <a:prstDash val="solid"/>
                            <a:miter lim="800000"/>
                          </a:ln>
                          <a:effectLst/>
                        </wps:spPr>
                        <wps:txbx>
                          <w:txbxContent>
                            <w:p w14:paraId="1F1B3439">
                              <w:pPr>
                                <w:jc w:val="center"/>
                                <w:rPr>
                                  <w:color w:val="444444"/>
                                </w:rPr>
                              </w:pPr>
                              <w:r>
                                <w:rPr>
                                  <w:rFonts w:hint="eastAsia"/>
                                  <w:color w:val="444444"/>
                                </w:rPr>
                                <w:t>地</w:t>
                              </w:r>
                            </w:p>
                            <w:p w14:paraId="71AF2CE5">
                              <w:pPr>
                                <w:jc w:val="center"/>
                                <w:rPr>
                                  <w:color w:val="444444"/>
                                </w:rPr>
                              </w:pPr>
                              <w:r>
                                <w:rPr>
                                  <w:rFonts w:hint="eastAsia"/>
                                  <w:color w:val="444444"/>
                                </w:rPr>
                                <w:t>下</w:t>
                              </w:r>
                            </w:p>
                            <w:p w14:paraId="685A4440">
                              <w:pPr>
                                <w:jc w:val="center"/>
                                <w:rPr>
                                  <w:color w:val="444444"/>
                                </w:rPr>
                              </w:pPr>
                              <w:r>
                                <w:rPr>
                                  <w:rFonts w:hint="eastAsia"/>
                                  <w:color w:val="444444"/>
                                </w:rPr>
                                <w:t>水</w:t>
                              </w:r>
                            </w:p>
                            <w:p w14:paraId="69F93D37">
                              <w:pPr>
                                <w:jc w:val="center"/>
                                <w:rPr>
                                  <w:color w:val="444444"/>
                                </w:rPr>
                              </w:pPr>
                              <w:r>
                                <w:rPr>
                                  <w:color w:val="444444"/>
                                </w:rPr>
                                <w:t>流</w:t>
                              </w:r>
                            </w:p>
                            <w:p w14:paraId="19AE4B63">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7.55pt;margin-top:166.9pt;height:95.5pt;width:81.45pt;z-index:251674624;mso-width-relative:page;mso-height-relative:page;" coordorigin="25105,2678354" coordsize="1629,1910" o:gfxdata="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oYb5o7gAAADb&#10;AAAADwAAAGRycy9kb3ducmV2LnhtbEVPTYvCMBC9C/6HMIIX0VQPIrVR2NWi4Mkqnodmti3bTGoT&#10;rfrrzUHw+HjfyfphanGn1lWWFUwnEQji3OqKCwXnUzpegHAeWWNtmRQ8ycF61e8lGGvb8ZHumS9E&#10;CGEXo4LS+yaW0uUlGXQT2xAH7s+2Bn2AbSF1i10IN7WcRdFcGqw4NJTY0G9J+X92Mwp+bPc6pLtt&#10;cc02OtV8uXm9GSk1HEyjJQhPD/8Vf9x7rWARxoYv4QfI1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Yb5o7gAAADbAAAA&#10;DwAAAAAAAAABACAAAAAiAAAAZHJzL2Rvd25yZXYueG1sUEsBAhQAFAAAAAgAh07iQDMvBZ47AAAA&#10;OQAAABAAAAAAAAAAAQAgAAAABwEAAGRycy9zaGFwZXhtbC54bWxQSwUGAAAAAAYABgBbAQAAsQMA&#10;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W6z0Sb0AAADc&#10;AAAADwAAAGRycy9kb3ducmV2LnhtbEVPS2vCQBC+F/wPywi91V0tSI2uHrRCQtuDj4PHITsm0exs&#10;yG4T+++7guBtPr7nLFY3W4uOWl851jAeKRDEuTMVFxqOh+3bBwgfkA3WjknDH3lYLQcvC0yM63lH&#10;3T4UIoawT1BDGUKTSOnzkiz6kWuII3d2rcUQYVtI02Ifw20tJ0pNpcWKY0OJDa1Lyq/7X6thqy5p&#10;/7377N5/6sksPWXZV7fJtH4djtUcRKBbeIof7tTE+WoK92fiB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PRJ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1F1B3439">
                        <w:pPr>
                          <w:jc w:val="center"/>
                          <w:rPr>
                            <w:color w:val="444444"/>
                          </w:rPr>
                        </w:pPr>
                        <w:r>
                          <w:rPr>
                            <w:rFonts w:hint="eastAsia"/>
                            <w:color w:val="444444"/>
                          </w:rPr>
                          <w:t>地</w:t>
                        </w:r>
                      </w:p>
                      <w:p w14:paraId="71AF2CE5">
                        <w:pPr>
                          <w:jc w:val="center"/>
                          <w:rPr>
                            <w:color w:val="444444"/>
                          </w:rPr>
                        </w:pPr>
                        <w:r>
                          <w:rPr>
                            <w:rFonts w:hint="eastAsia"/>
                            <w:color w:val="444444"/>
                          </w:rPr>
                          <w:t>下</w:t>
                        </w:r>
                      </w:p>
                      <w:p w14:paraId="685A4440">
                        <w:pPr>
                          <w:jc w:val="center"/>
                          <w:rPr>
                            <w:color w:val="444444"/>
                          </w:rPr>
                        </w:pPr>
                        <w:r>
                          <w:rPr>
                            <w:rFonts w:hint="eastAsia"/>
                            <w:color w:val="444444"/>
                          </w:rPr>
                          <w:t>水</w:t>
                        </w:r>
                      </w:p>
                      <w:p w14:paraId="69F93D37">
                        <w:pPr>
                          <w:jc w:val="center"/>
                          <w:rPr>
                            <w:color w:val="444444"/>
                          </w:rPr>
                        </w:pPr>
                        <w:r>
                          <w:rPr>
                            <w:color w:val="444444"/>
                          </w:rPr>
                          <w:t>流</w:t>
                        </w:r>
                      </w:p>
                      <w:p w14:paraId="19AE4B63">
                        <w:pPr>
                          <w:jc w:val="center"/>
                          <w:rPr>
                            <w:color w:val="444444"/>
                          </w:rPr>
                        </w:pPr>
                        <w:r>
                          <w:rPr>
                            <w:color w:val="444444"/>
                          </w:rPr>
                          <w:t>向</w:t>
                        </w:r>
                      </w:p>
                    </w:txbxContent>
                  </v:textbox>
                </v:rect>
              </v:group>
            </w:pict>
          </mc:Fallback>
        </mc:AlternateContent>
      </w:r>
    </w:p>
    <w:p w14:paraId="07D78AC7">
      <w:pPr>
        <w:spacing w:line="440" w:lineRule="exact"/>
        <w:jc w:val="center"/>
        <w:rPr>
          <w:rFonts w:ascii="宋体" w:hAnsi="宋体" w:eastAsia="宋体"/>
          <w:color w:val="auto"/>
          <w:sz w:val="24"/>
          <w:szCs w:val="24"/>
        </w:rPr>
      </w:pPr>
      <w:r>
        <w:rPr>
          <w:rFonts w:ascii="宋体" w:hAnsi="宋体" w:eastAsia="宋体"/>
          <w:color w:val="auto"/>
          <w:sz w:val="24"/>
          <w:szCs w:val="24"/>
        </w:rPr>
        <w:t>图5.3-9 油井套管泄漏5</w:t>
      </w:r>
      <w:r>
        <w:rPr>
          <w:rFonts w:hint="eastAsia" w:ascii="宋体" w:hAnsi="宋体" w:eastAsia="宋体"/>
          <w:color w:val="auto"/>
          <w:sz w:val="24"/>
          <w:szCs w:val="24"/>
        </w:rPr>
        <w:t>475</w:t>
      </w:r>
      <w:r>
        <w:rPr>
          <w:rFonts w:ascii="宋体" w:hAnsi="宋体" w:eastAsia="宋体"/>
          <w:color w:val="auto"/>
          <w:sz w:val="24"/>
          <w:szCs w:val="24"/>
        </w:rPr>
        <w:t>天石油类污染扩散平面图（污染源点：0，0）</w:t>
      </w:r>
    </w:p>
    <w:p w14:paraId="72F3B58D">
      <w:pPr>
        <w:pStyle w:val="276"/>
        <w:widowControl w:val="0"/>
        <w:ind w:firstLine="480"/>
        <w:jc w:val="both"/>
        <w:rPr>
          <w:color w:val="auto"/>
          <w:kern w:val="2"/>
          <w:szCs w:val="20"/>
        </w:rPr>
      </w:pPr>
      <w:r>
        <w:rPr>
          <w:color w:val="auto"/>
          <w:kern w:val="2"/>
          <w:szCs w:val="20"/>
        </w:rPr>
        <w:t>由预测结果可知，随着时间增加，污染范围有所增加，套损并固井层破损泄漏100d后，超标距离为下游</w:t>
      </w:r>
      <w:r>
        <w:rPr>
          <w:rFonts w:hint="eastAsia"/>
          <w:color w:val="auto"/>
          <w:kern w:val="2"/>
          <w:szCs w:val="20"/>
        </w:rPr>
        <w:t>26</w:t>
      </w:r>
      <w:r>
        <w:rPr>
          <w:color w:val="auto"/>
          <w:kern w:val="2"/>
          <w:szCs w:val="20"/>
        </w:rPr>
        <w:t>m，影响距离为下游</w:t>
      </w:r>
      <w:r>
        <w:rPr>
          <w:rFonts w:hint="eastAsia"/>
          <w:color w:val="auto"/>
          <w:kern w:val="2"/>
          <w:szCs w:val="20"/>
        </w:rPr>
        <w:t>28</w:t>
      </w:r>
      <w:r>
        <w:rPr>
          <w:color w:val="auto"/>
          <w:kern w:val="2"/>
          <w:szCs w:val="20"/>
        </w:rPr>
        <w:t>m；套损泄漏1000d后，超标距离为下游</w:t>
      </w:r>
      <w:r>
        <w:rPr>
          <w:rFonts w:hint="eastAsia"/>
          <w:color w:val="auto"/>
          <w:kern w:val="2"/>
          <w:szCs w:val="20"/>
        </w:rPr>
        <w:t>100</w:t>
      </w:r>
      <w:r>
        <w:rPr>
          <w:color w:val="auto"/>
          <w:kern w:val="2"/>
          <w:szCs w:val="20"/>
        </w:rPr>
        <w:t>m，影响距离为下游105m；套损泄漏5</w:t>
      </w:r>
      <w:r>
        <w:rPr>
          <w:rFonts w:hint="eastAsia"/>
          <w:color w:val="auto"/>
          <w:kern w:val="2"/>
          <w:szCs w:val="20"/>
        </w:rPr>
        <w:t>475</w:t>
      </w:r>
      <w:r>
        <w:rPr>
          <w:color w:val="auto"/>
          <w:kern w:val="2"/>
          <w:szCs w:val="20"/>
        </w:rPr>
        <w:t>d后，超标距离为下游</w:t>
      </w:r>
      <w:r>
        <w:rPr>
          <w:rFonts w:hint="eastAsia"/>
          <w:color w:val="auto"/>
          <w:kern w:val="2"/>
          <w:szCs w:val="20"/>
        </w:rPr>
        <w:t>327</w:t>
      </w:r>
      <w:r>
        <w:rPr>
          <w:color w:val="auto"/>
          <w:kern w:val="2"/>
          <w:szCs w:val="20"/>
        </w:rPr>
        <w:t>m，</w:t>
      </w:r>
      <w:r>
        <w:rPr>
          <w:color w:val="auto"/>
          <w:lang w:val="zh-CN"/>
        </w:rPr>
        <w:t>影响</w:t>
      </w:r>
      <w:r>
        <w:rPr>
          <w:color w:val="auto"/>
          <w:kern w:val="2"/>
          <w:szCs w:val="20"/>
        </w:rPr>
        <w:t>距离为下游</w:t>
      </w:r>
      <w:r>
        <w:rPr>
          <w:rFonts w:hint="eastAsia"/>
          <w:color w:val="auto"/>
          <w:kern w:val="2"/>
          <w:szCs w:val="20"/>
        </w:rPr>
        <w:t>339</w:t>
      </w:r>
      <w:r>
        <w:rPr>
          <w:color w:val="auto"/>
          <w:kern w:val="2"/>
          <w:szCs w:val="20"/>
        </w:rPr>
        <w:t>m。</w:t>
      </w:r>
    </w:p>
    <w:p w14:paraId="0A88EA72">
      <w:pPr>
        <w:pStyle w:val="276"/>
        <w:widowControl w:val="0"/>
        <w:ind w:firstLine="480"/>
        <w:jc w:val="both"/>
        <w:rPr>
          <w:color w:val="auto"/>
          <w:kern w:val="21"/>
        </w:rPr>
      </w:pPr>
      <w:r>
        <w:rPr>
          <w:color w:val="auto"/>
          <w:kern w:val="2"/>
          <w:szCs w:val="20"/>
        </w:rPr>
        <w:t>经调查，距离本项目最近的水源井为3#平台北500m后欧力马屯分散式水源井，</w:t>
      </w:r>
      <w:r>
        <w:rPr>
          <w:color w:val="auto"/>
        </w:rPr>
        <w:t>，位于评价范围上游</w:t>
      </w:r>
      <w:r>
        <w:rPr>
          <w:color w:val="auto"/>
          <w:kern w:val="2"/>
          <w:szCs w:val="20"/>
        </w:rPr>
        <w:t>，该水井不在非正常状态下影响范围内，套管破损对周边承压水井影响可接受。为避免油井套管泄漏对地下水的影响，拟基建油井在</w:t>
      </w:r>
      <w:r>
        <w:rPr>
          <w:color w:val="auto"/>
          <w:lang w:val="zh-CN"/>
        </w:rPr>
        <w:t>钻井</w:t>
      </w:r>
      <w:r>
        <w:rPr>
          <w:color w:val="auto"/>
          <w:kern w:val="2"/>
          <w:szCs w:val="20"/>
        </w:rPr>
        <w:t>阶段采油地下井管已使用双层套管，且项目应定期</w:t>
      </w:r>
      <w:r>
        <w:rPr>
          <w:color w:val="auto"/>
          <w:kern w:val="21"/>
        </w:rPr>
        <w:t>对油井套管情况进行检测，发现异常情况，</w:t>
      </w:r>
      <w:r>
        <w:rPr>
          <w:color w:val="auto"/>
          <w:kern w:val="2"/>
          <w:szCs w:val="20"/>
        </w:rPr>
        <w:t>应及时关闭截断阀，并对注采井进行修井作业，修补破损的套管</w:t>
      </w:r>
      <w:r>
        <w:rPr>
          <w:color w:val="auto"/>
          <w:kern w:val="21"/>
        </w:rPr>
        <w:t>，防止污染地下水，降低非正常对地下水的影响。</w:t>
      </w:r>
    </w:p>
    <w:p w14:paraId="4196D395">
      <w:pPr>
        <w:pStyle w:val="276"/>
        <w:widowControl w:val="0"/>
        <w:ind w:firstLine="480"/>
        <w:jc w:val="both"/>
        <w:rPr>
          <w:color w:val="auto"/>
          <w:kern w:val="2"/>
          <w:szCs w:val="20"/>
        </w:rPr>
      </w:pPr>
      <w:bookmarkStart w:id="1354" w:name="_Toc126863449"/>
      <w:bookmarkStart w:id="1355" w:name="_Toc86141993"/>
      <w:bookmarkStart w:id="1356" w:name="_Toc77067715"/>
      <w:bookmarkStart w:id="1357" w:name="_Toc83209535"/>
      <w:bookmarkStart w:id="1358" w:name="_Toc127192398"/>
      <w:bookmarkStart w:id="1359" w:name="_Toc80588313"/>
      <w:bookmarkStart w:id="1360" w:name="_Toc76976303"/>
      <w:bookmarkStart w:id="1361" w:name="_Toc80971435"/>
      <w:bookmarkStart w:id="1362" w:name="_Toc131167349"/>
      <w:bookmarkStart w:id="1363" w:name="_Toc78816518"/>
      <w:bookmarkStart w:id="1364" w:name="_Toc85640818"/>
      <w:bookmarkStart w:id="1365" w:name="_Toc143099636"/>
      <w:bookmarkStart w:id="1366" w:name="_Toc84929290"/>
      <w:r>
        <w:rPr>
          <w:color w:val="auto"/>
          <w:kern w:val="2"/>
          <w:szCs w:val="20"/>
        </w:rPr>
        <w:t>情景</w:t>
      </w:r>
      <w:r>
        <w:rPr>
          <w:rFonts w:hint="eastAsia"/>
          <w:color w:val="auto"/>
          <w:kern w:val="2"/>
          <w:szCs w:val="20"/>
        </w:rPr>
        <w:t>四</w:t>
      </w:r>
      <w:r>
        <w:rPr>
          <w:color w:val="auto"/>
          <w:kern w:val="2"/>
          <w:szCs w:val="20"/>
        </w:rPr>
        <w:t>：拉油点储罐破损泄漏</w:t>
      </w:r>
    </w:p>
    <w:p w14:paraId="523FCF7F">
      <w:pPr>
        <w:pStyle w:val="276"/>
        <w:widowControl w:val="0"/>
        <w:ind w:firstLine="480"/>
        <w:jc w:val="both"/>
        <w:rPr>
          <w:color w:val="auto"/>
          <w:kern w:val="2"/>
          <w:szCs w:val="20"/>
        </w:rPr>
      </w:pPr>
      <w:r>
        <w:rPr>
          <w:color w:val="auto"/>
          <w:kern w:val="2"/>
          <w:szCs w:val="20"/>
        </w:rPr>
        <w:t>（1）预测源强</w:t>
      </w:r>
    </w:p>
    <w:p w14:paraId="75082934">
      <w:pPr>
        <w:pStyle w:val="276"/>
        <w:widowControl w:val="0"/>
        <w:ind w:firstLine="480"/>
        <w:jc w:val="both"/>
        <w:rPr>
          <w:color w:val="auto"/>
          <w:kern w:val="2"/>
          <w:szCs w:val="20"/>
        </w:rPr>
      </w:pPr>
      <w:r>
        <w:rPr>
          <w:color w:val="auto"/>
          <w:kern w:val="2"/>
          <w:szCs w:val="20"/>
        </w:rPr>
        <w:t>假设</w:t>
      </w:r>
      <w:r>
        <w:rPr>
          <w:rFonts w:hint="eastAsia"/>
          <w:color w:val="auto"/>
          <w:kern w:val="2"/>
          <w:szCs w:val="20"/>
        </w:rPr>
        <w:t>拉油点储罐</w:t>
      </w:r>
      <w:r>
        <w:rPr>
          <w:color w:val="auto"/>
          <w:kern w:val="2"/>
          <w:szCs w:val="20"/>
        </w:rPr>
        <w:t>发生泄漏，</w:t>
      </w:r>
      <w:r>
        <w:rPr>
          <w:rFonts w:hint="eastAsia"/>
          <w:color w:val="auto"/>
          <w:lang w:val="zh-CN"/>
        </w:rPr>
        <w:t>多功能</w:t>
      </w:r>
      <w:r>
        <w:rPr>
          <w:rFonts w:hint="eastAsia"/>
          <w:color w:val="auto"/>
          <w:kern w:val="2"/>
          <w:szCs w:val="20"/>
        </w:rPr>
        <w:t>储罐距离地面悬空0.5m，泄漏极易被发现，</w:t>
      </w:r>
      <w:r>
        <w:rPr>
          <w:color w:val="auto"/>
          <w:kern w:val="2"/>
          <w:szCs w:val="20"/>
        </w:rPr>
        <w:t>本项目</w:t>
      </w:r>
      <w:r>
        <w:rPr>
          <w:rFonts w:hint="eastAsia"/>
          <w:color w:val="auto"/>
          <w:kern w:val="2"/>
          <w:szCs w:val="20"/>
        </w:rPr>
        <w:t>最大</w:t>
      </w:r>
      <w:r>
        <w:rPr>
          <w:color w:val="auto"/>
          <w:kern w:val="2"/>
          <w:szCs w:val="20"/>
        </w:rPr>
        <w:t>单个储罐容积为</w:t>
      </w:r>
      <w:r>
        <w:rPr>
          <w:rFonts w:hint="eastAsia"/>
          <w:color w:val="auto"/>
          <w:kern w:val="2"/>
          <w:szCs w:val="20"/>
        </w:rPr>
        <w:t>8</w:t>
      </w:r>
      <w:r>
        <w:rPr>
          <w:color w:val="auto"/>
          <w:kern w:val="2"/>
          <w:szCs w:val="20"/>
        </w:rPr>
        <w:t>0m</w:t>
      </w:r>
      <w:r>
        <w:rPr>
          <w:color w:val="auto"/>
          <w:kern w:val="2"/>
          <w:szCs w:val="20"/>
          <w:vertAlign w:val="superscript"/>
        </w:rPr>
        <w:t>3</w:t>
      </w:r>
      <w:r>
        <w:rPr>
          <w:color w:val="auto"/>
          <w:kern w:val="2"/>
          <w:szCs w:val="20"/>
        </w:rPr>
        <w:t>，假设储罐</w:t>
      </w:r>
      <w:r>
        <w:rPr>
          <w:rFonts w:hint="eastAsia"/>
          <w:color w:val="auto"/>
          <w:kern w:val="2"/>
          <w:szCs w:val="20"/>
        </w:rPr>
        <w:t>因腐蚀穿孔，穿孔大小为半径1cm的圆形，泄漏时间为20分钟</w:t>
      </w:r>
      <w:r>
        <w:rPr>
          <w:color w:val="auto"/>
          <w:kern w:val="2"/>
          <w:szCs w:val="20"/>
        </w:rPr>
        <w:t>。选择石油类作为预测因子，预测第100天、1000天</w:t>
      </w:r>
      <w:r>
        <w:rPr>
          <w:rFonts w:hint="eastAsia"/>
          <w:color w:val="auto"/>
          <w:kern w:val="2"/>
          <w:szCs w:val="20"/>
        </w:rPr>
        <w:t>、5475天</w:t>
      </w:r>
      <w:r>
        <w:rPr>
          <w:color w:val="auto"/>
          <w:kern w:val="2"/>
          <w:szCs w:val="20"/>
        </w:rPr>
        <w:t>石油类在潜水中的运移情况。</w:t>
      </w:r>
    </w:p>
    <w:p w14:paraId="5521A993">
      <w:pPr>
        <w:pStyle w:val="276"/>
        <w:widowControl w:val="0"/>
        <w:ind w:firstLine="480"/>
        <w:jc w:val="both"/>
        <w:rPr>
          <w:color w:val="auto"/>
          <w:kern w:val="2"/>
          <w:szCs w:val="20"/>
        </w:rPr>
      </w:pPr>
      <w:r>
        <w:rPr>
          <w:rFonts w:hint="eastAsia"/>
          <w:color w:val="auto"/>
          <w:kern w:val="2"/>
          <w:szCs w:val="20"/>
        </w:rPr>
        <w:t>根据风险导则，液体泄漏速率Q</w:t>
      </w:r>
      <w:r>
        <w:rPr>
          <w:rFonts w:hint="eastAsia"/>
          <w:color w:val="auto"/>
          <w:kern w:val="2"/>
          <w:szCs w:val="20"/>
          <w:vertAlign w:val="subscript"/>
        </w:rPr>
        <w:t>L</w:t>
      </w:r>
      <w:r>
        <w:rPr>
          <w:rFonts w:hint="eastAsia"/>
          <w:color w:val="auto"/>
          <w:kern w:val="2"/>
          <w:szCs w:val="20"/>
        </w:rPr>
        <w:t>用伯努利方程计算：</w:t>
      </w:r>
    </w:p>
    <w:p w14:paraId="077345A5">
      <w:pPr>
        <w:jc w:val="center"/>
        <w:rPr>
          <w:rFonts w:ascii="宋体" w:hAnsi="宋体" w:eastAsia="宋体" w:cs="Times New Roman"/>
          <w:color w:val="auto"/>
          <w:szCs w:val="20"/>
        </w:rPr>
      </w:pPr>
      <w:r>
        <w:rPr>
          <w:rFonts w:ascii="宋体" w:hAnsi="宋体" w:eastAsia="宋体"/>
          <w:color w:val="auto"/>
        </w:rPr>
        <w:drawing>
          <wp:inline distT="0" distB="0" distL="114300" distR="114300">
            <wp:extent cx="2057400" cy="535305"/>
            <wp:effectExtent l="0" t="0" r="0" b="17145"/>
            <wp:docPr id="13527281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55" name="图片 2"/>
                    <pic:cNvPicPr>
                      <a:picLocks noChangeAspect="1"/>
                    </pic:cNvPicPr>
                  </pic:nvPicPr>
                  <pic:blipFill>
                    <a:blip r:embed="rId120"/>
                    <a:stretch>
                      <a:fillRect/>
                    </a:stretch>
                  </pic:blipFill>
                  <pic:spPr>
                    <a:xfrm>
                      <a:off x="0" y="0"/>
                      <a:ext cx="2057400" cy="535305"/>
                    </a:xfrm>
                    <a:prstGeom prst="rect">
                      <a:avLst/>
                    </a:prstGeom>
                    <a:noFill/>
                    <a:ln>
                      <a:noFill/>
                    </a:ln>
                  </pic:spPr>
                </pic:pic>
              </a:graphicData>
            </a:graphic>
          </wp:inline>
        </w:drawing>
      </w:r>
    </w:p>
    <w:p w14:paraId="6C438B3A">
      <w:pPr>
        <w:pStyle w:val="276"/>
        <w:widowControl w:val="0"/>
        <w:ind w:firstLine="480"/>
        <w:jc w:val="both"/>
        <w:rPr>
          <w:color w:val="auto"/>
          <w:kern w:val="2"/>
          <w:szCs w:val="20"/>
        </w:rPr>
      </w:pPr>
      <w:r>
        <w:rPr>
          <w:color w:val="auto"/>
          <w:kern w:val="2"/>
          <w:szCs w:val="20"/>
        </w:rPr>
        <w:t>式中：</w:t>
      </w:r>
    </w:p>
    <w:p w14:paraId="76412A6D">
      <w:pPr>
        <w:pStyle w:val="276"/>
        <w:widowControl w:val="0"/>
        <w:ind w:firstLine="480"/>
        <w:jc w:val="both"/>
        <w:rPr>
          <w:color w:val="auto"/>
          <w:kern w:val="2"/>
          <w:szCs w:val="20"/>
        </w:rPr>
      </w:pPr>
      <w:r>
        <w:rPr>
          <w:rFonts w:hint="eastAsia"/>
          <w:color w:val="auto"/>
          <w:kern w:val="2"/>
          <w:szCs w:val="20"/>
        </w:rPr>
        <w:t>Q</w:t>
      </w:r>
      <w:r>
        <w:rPr>
          <w:rFonts w:hint="eastAsia"/>
          <w:color w:val="auto"/>
          <w:kern w:val="2"/>
          <w:szCs w:val="20"/>
          <w:vertAlign w:val="subscript"/>
        </w:rPr>
        <w:t>L</w:t>
      </w:r>
      <w:r>
        <w:rPr>
          <w:color w:val="auto"/>
          <w:kern w:val="2"/>
          <w:szCs w:val="20"/>
        </w:rPr>
        <w:t>—</w:t>
      </w:r>
      <w:r>
        <w:rPr>
          <w:rFonts w:hint="eastAsia"/>
          <w:color w:val="auto"/>
          <w:kern w:val="2"/>
          <w:szCs w:val="20"/>
        </w:rPr>
        <w:t>液体泄漏速率，kg/s</w:t>
      </w:r>
      <w:r>
        <w:rPr>
          <w:color w:val="auto"/>
          <w:kern w:val="2"/>
          <w:szCs w:val="20"/>
        </w:rPr>
        <w:t>；</w:t>
      </w:r>
    </w:p>
    <w:p w14:paraId="3D058944">
      <w:pPr>
        <w:pStyle w:val="276"/>
        <w:widowControl w:val="0"/>
        <w:ind w:firstLine="480"/>
        <w:jc w:val="both"/>
        <w:rPr>
          <w:color w:val="auto"/>
          <w:kern w:val="2"/>
          <w:szCs w:val="20"/>
        </w:rPr>
      </w:pPr>
      <w:r>
        <w:rPr>
          <w:rFonts w:hint="eastAsia"/>
          <w:color w:val="auto"/>
          <w:kern w:val="2"/>
          <w:szCs w:val="20"/>
        </w:rPr>
        <w:t>P</w:t>
      </w:r>
      <w:r>
        <w:rPr>
          <w:color w:val="auto"/>
          <w:kern w:val="2"/>
          <w:szCs w:val="20"/>
        </w:rPr>
        <w:t>—</w:t>
      </w:r>
      <w:r>
        <w:rPr>
          <w:rFonts w:hint="eastAsia"/>
          <w:color w:val="auto"/>
          <w:kern w:val="2"/>
          <w:szCs w:val="20"/>
        </w:rPr>
        <w:t>容器内介质压力</w:t>
      </w:r>
      <w:r>
        <w:rPr>
          <w:color w:val="auto"/>
          <w:kern w:val="2"/>
          <w:szCs w:val="20"/>
        </w:rPr>
        <w:t>，</w:t>
      </w:r>
      <w:r>
        <w:rPr>
          <w:rFonts w:hint="eastAsia"/>
          <w:color w:val="auto"/>
          <w:kern w:val="2"/>
          <w:szCs w:val="20"/>
        </w:rPr>
        <w:t>Pa</w:t>
      </w:r>
      <w:r>
        <w:rPr>
          <w:color w:val="auto"/>
          <w:kern w:val="2"/>
          <w:szCs w:val="20"/>
        </w:rPr>
        <w:t>；</w:t>
      </w:r>
    </w:p>
    <w:p w14:paraId="186FBE50">
      <w:pPr>
        <w:pStyle w:val="276"/>
        <w:widowControl w:val="0"/>
        <w:ind w:firstLine="480"/>
        <w:jc w:val="both"/>
        <w:rPr>
          <w:color w:val="auto"/>
          <w:kern w:val="2"/>
          <w:szCs w:val="20"/>
        </w:rPr>
      </w:pPr>
      <w:r>
        <w:rPr>
          <w:rFonts w:hint="eastAsia"/>
          <w:color w:val="auto"/>
          <w:kern w:val="2"/>
          <w:szCs w:val="20"/>
        </w:rPr>
        <w:t>P</w:t>
      </w:r>
      <w:r>
        <w:rPr>
          <w:rFonts w:hint="eastAsia"/>
          <w:color w:val="auto"/>
          <w:kern w:val="2"/>
          <w:szCs w:val="20"/>
          <w:vertAlign w:val="subscript"/>
        </w:rPr>
        <w:t>0</w:t>
      </w:r>
      <w:r>
        <w:rPr>
          <w:color w:val="auto"/>
          <w:kern w:val="2"/>
          <w:szCs w:val="20"/>
        </w:rPr>
        <w:t>—</w:t>
      </w:r>
      <w:r>
        <w:rPr>
          <w:rFonts w:hint="eastAsia"/>
          <w:color w:val="auto"/>
          <w:kern w:val="2"/>
          <w:szCs w:val="20"/>
        </w:rPr>
        <w:t>环境压力</w:t>
      </w:r>
      <w:r>
        <w:rPr>
          <w:color w:val="auto"/>
          <w:kern w:val="2"/>
          <w:szCs w:val="20"/>
        </w:rPr>
        <w:t>，</w:t>
      </w:r>
      <w:r>
        <w:rPr>
          <w:rFonts w:hint="eastAsia"/>
          <w:color w:val="auto"/>
          <w:kern w:val="2"/>
          <w:szCs w:val="20"/>
        </w:rPr>
        <w:t>Pa</w:t>
      </w:r>
      <w:r>
        <w:rPr>
          <w:color w:val="auto"/>
          <w:kern w:val="2"/>
          <w:szCs w:val="20"/>
        </w:rPr>
        <w:t>；</w:t>
      </w:r>
      <w:r>
        <w:rPr>
          <w:rFonts w:hint="eastAsia"/>
          <w:color w:val="auto"/>
          <w:kern w:val="2"/>
          <w:szCs w:val="20"/>
        </w:rPr>
        <w:t>本次取0.1MPa；</w:t>
      </w:r>
    </w:p>
    <w:p w14:paraId="11E4B6EB">
      <w:pPr>
        <w:pStyle w:val="276"/>
        <w:widowControl w:val="0"/>
        <w:ind w:firstLine="480"/>
        <w:jc w:val="both"/>
        <w:rPr>
          <w:color w:val="auto"/>
          <w:kern w:val="2"/>
          <w:szCs w:val="20"/>
        </w:rPr>
      </w:pPr>
      <w:r>
        <w:rPr>
          <w:color w:val="auto"/>
          <w:kern w:val="2"/>
          <w:szCs w:val="20"/>
        </w:rPr>
        <w:t>ρ—</w:t>
      </w:r>
      <w:r>
        <w:rPr>
          <w:rFonts w:hint="eastAsia"/>
          <w:color w:val="auto"/>
          <w:kern w:val="2"/>
          <w:szCs w:val="20"/>
        </w:rPr>
        <w:t>泄漏液体密度</w:t>
      </w:r>
      <w:r>
        <w:rPr>
          <w:color w:val="auto"/>
          <w:kern w:val="2"/>
          <w:szCs w:val="20"/>
        </w:rPr>
        <w:t>，</w:t>
      </w:r>
      <w:r>
        <w:rPr>
          <w:rFonts w:hint="eastAsia"/>
          <w:color w:val="auto"/>
          <w:kern w:val="2"/>
          <w:szCs w:val="20"/>
        </w:rPr>
        <w:t>kg/m</w:t>
      </w:r>
      <w:r>
        <w:rPr>
          <w:rFonts w:hint="eastAsia"/>
          <w:color w:val="auto"/>
          <w:kern w:val="2"/>
          <w:szCs w:val="20"/>
          <w:vertAlign w:val="superscript"/>
        </w:rPr>
        <w:t>3</w:t>
      </w:r>
      <w:r>
        <w:rPr>
          <w:color w:val="auto"/>
          <w:kern w:val="2"/>
          <w:szCs w:val="20"/>
        </w:rPr>
        <w:t>；</w:t>
      </w:r>
      <w:r>
        <w:rPr>
          <w:rFonts w:hint="eastAsia"/>
          <w:color w:val="auto"/>
          <w:kern w:val="2"/>
          <w:szCs w:val="20"/>
        </w:rPr>
        <w:t>本项目取850kg/m</w:t>
      </w:r>
      <w:r>
        <w:rPr>
          <w:rFonts w:hint="eastAsia"/>
          <w:color w:val="auto"/>
          <w:kern w:val="2"/>
          <w:szCs w:val="20"/>
          <w:vertAlign w:val="superscript"/>
        </w:rPr>
        <w:t>3</w:t>
      </w:r>
    </w:p>
    <w:p w14:paraId="0E49FD29">
      <w:pPr>
        <w:pStyle w:val="276"/>
        <w:widowControl w:val="0"/>
        <w:ind w:firstLine="480"/>
        <w:jc w:val="both"/>
        <w:rPr>
          <w:color w:val="auto"/>
          <w:kern w:val="2"/>
          <w:szCs w:val="20"/>
        </w:rPr>
      </w:pPr>
      <w:r>
        <w:rPr>
          <w:rFonts w:hint="eastAsia"/>
          <w:color w:val="auto"/>
          <w:kern w:val="2"/>
          <w:szCs w:val="20"/>
        </w:rPr>
        <w:t>g</w:t>
      </w:r>
      <w:r>
        <w:rPr>
          <w:color w:val="auto"/>
          <w:kern w:val="2"/>
          <w:szCs w:val="20"/>
        </w:rPr>
        <w:t>—</w:t>
      </w:r>
      <w:r>
        <w:rPr>
          <w:rFonts w:hint="eastAsia"/>
          <w:color w:val="auto"/>
          <w:kern w:val="2"/>
          <w:szCs w:val="20"/>
        </w:rPr>
        <w:t>重力加速度</w:t>
      </w:r>
      <w:r>
        <w:rPr>
          <w:color w:val="auto"/>
          <w:kern w:val="2"/>
          <w:szCs w:val="20"/>
        </w:rPr>
        <w:t>，</w:t>
      </w:r>
      <w:r>
        <w:rPr>
          <w:rFonts w:hint="eastAsia"/>
          <w:color w:val="auto"/>
          <w:kern w:val="2"/>
          <w:szCs w:val="20"/>
        </w:rPr>
        <w:t>9.81m/s</w:t>
      </w:r>
      <w:r>
        <w:rPr>
          <w:rFonts w:hint="eastAsia"/>
          <w:color w:val="auto"/>
          <w:kern w:val="2"/>
          <w:szCs w:val="20"/>
          <w:vertAlign w:val="superscript"/>
        </w:rPr>
        <w:t>2</w:t>
      </w:r>
      <w:r>
        <w:rPr>
          <w:color w:val="auto"/>
          <w:kern w:val="2"/>
          <w:szCs w:val="20"/>
        </w:rPr>
        <w:t>；</w:t>
      </w:r>
    </w:p>
    <w:p w14:paraId="4781D2AE">
      <w:pPr>
        <w:pStyle w:val="276"/>
        <w:widowControl w:val="0"/>
        <w:ind w:firstLine="480"/>
        <w:jc w:val="both"/>
        <w:rPr>
          <w:color w:val="auto"/>
          <w:kern w:val="2"/>
          <w:szCs w:val="20"/>
        </w:rPr>
      </w:pPr>
      <w:r>
        <w:rPr>
          <w:rFonts w:hint="eastAsia"/>
          <w:color w:val="auto"/>
          <w:kern w:val="2"/>
          <w:szCs w:val="20"/>
        </w:rPr>
        <w:t>h</w:t>
      </w:r>
      <w:r>
        <w:rPr>
          <w:color w:val="auto"/>
          <w:kern w:val="2"/>
          <w:szCs w:val="20"/>
        </w:rPr>
        <w:t>—</w:t>
      </w:r>
      <w:r>
        <w:rPr>
          <w:rFonts w:hint="eastAsia"/>
          <w:color w:val="auto"/>
          <w:kern w:val="2"/>
          <w:szCs w:val="20"/>
        </w:rPr>
        <w:t>裂口之上液位高度</w:t>
      </w:r>
      <w:r>
        <w:rPr>
          <w:color w:val="auto"/>
          <w:kern w:val="2"/>
          <w:szCs w:val="20"/>
        </w:rPr>
        <w:t>，</w:t>
      </w:r>
      <w:r>
        <w:rPr>
          <w:rFonts w:hint="eastAsia"/>
          <w:color w:val="auto"/>
          <w:kern w:val="2"/>
          <w:szCs w:val="20"/>
        </w:rPr>
        <w:t>m</w:t>
      </w:r>
      <w:r>
        <w:rPr>
          <w:color w:val="auto"/>
          <w:kern w:val="2"/>
          <w:szCs w:val="20"/>
        </w:rPr>
        <w:t>；</w:t>
      </w:r>
    </w:p>
    <w:p w14:paraId="5A7C2D4F">
      <w:pPr>
        <w:pStyle w:val="276"/>
        <w:widowControl w:val="0"/>
        <w:ind w:firstLine="480"/>
        <w:jc w:val="both"/>
        <w:rPr>
          <w:color w:val="auto"/>
          <w:kern w:val="2"/>
          <w:szCs w:val="20"/>
        </w:rPr>
      </w:pPr>
      <w:r>
        <w:rPr>
          <w:rFonts w:hint="eastAsia"/>
          <w:color w:val="auto"/>
          <w:kern w:val="2"/>
          <w:szCs w:val="20"/>
        </w:rPr>
        <w:t>C</w:t>
      </w:r>
      <w:r>
        <w:rPr>
          <w:rFonts w:hint="eastAsia"/>
          <w:color w:val="auto"/>
          <w:kern w:val="2"/>
          <w:szCs w:val="20"/>
          <w:vertAlign w:val="subscript"/>
        </w:rPr>
        <w:t>d</w:t>
      </w:r>
      <w:r>
        <w:rPr>
          <w:color w:val="auto"/>
          <w:kern w:val="2"/>
          <w:szCs w:val="20"/>
        </w:rPr>
        <w:t>—</w:t>
      </w:r>
      <w:r>
        <w:rPr>
          <w:rFonts w:hint="eastAsia"/>
          <w:color w:val="auto"/>
          <w:kern w:val="2"/>
          <w:szCs w:val="20"/>
        </w:rPr>
        <w:t>液体泄漏系数，本项目取0.50</w:t>
      </w:r>
      <w:r>
        <w:rPr>
          <w:color w:val="auto"/>
          <w:kern w:val="2"/>
          <w:szCs w:val="20"/>
        </w:rPr>
        <w:t>；</w:t>
      </w:r>
    </w:p>
    <w:p w14:paraId="68E31034">
      <w:pPr>
        <w:pStyle w:val="276"/>
        <w:widowControl w:val="0"/>
        <w:ind w:firstLine="480"/>
        <w:jc w:val="both"/>
        <w:rPr>
          <w:color w:val="auto"/>
          <w:kern w:val="2"/>
          <w:szCs w:val="20"/>
        </w:rPr>
      </w:pPr>
      <w:r>
        <w:rPr>
          <w:rFonts w:hint="eastAsia"/>
          <w:color w:val="auto"/>
          <w:kern w:val="2"/>
          <w:szCs w:val="20"/>
        </w:rPr>
        <w:t>A</w:t>
      </w:r>
      <w:r>
        <w:rPr>
          <w:color w:val="auto"/>
          <w:kern w:val="2"/>
          <w:szCs w:val="20"/>
        </w:rPr>
        <w:t>—</w:t>
      </w:r>
      <w:r>
        <w:rPr>
          <w:rFonts w:hint="eastAsia"/>
          <w:color w:val="auto"/>
          <w:kern w:val="2"/>
          <w:szCs w:val="20"/>
        </w:rPr>
        <w:t>裂口面积</w:t>
      </w:r>
      <w:r>
        <w:rPr>
          <w:color w:val="auto"/>
          <w:kern w:val="2"/>
          <w:szCs w:val="20"/>
        </w:rPr>
        <w:t>，m</w:t>
      </w:r>
      <w:r>
        <w:rPr>
          <w:color w:val="auto"/>
          <w:kern w:val="2"/>
          <w:szCs w:val="20"/>
          <w:vertAlign w:val="superscript"/>
        </w:rPr>
        <w:t>2</w:t>
      </w:r>
      <w:r>
        <w:rPr>
          <w:color w:val="auto"/>
          <w:kern w:val="2"/>
          <w:szCs w:val="20"/>
        </w:rPr>
        <w:t>；</w:t>
      </w:r>
    </w:p>
    <w:p w14:paraId="69F1994B">
      <w:pPr>
        <w:pStyle w:val="276"/>
        <w:widowControl w:val="0"/>
        <w:ind w:firstLine="480"/>
        <w:jc w:val="both"/>
        <w:rPr>
          <w:color w:val="auto"/>
          <w:kern w:val="2"/>
          <w:szCs w:val="20"/>
        </w:rPr>
      </w:pPr>
      <w:r>
        <w:rPr>
          <w:rFonts w:hint="eastAsia"/>
          <w:color w:val="auto"/>
          <w:kern w:val="2"/>
          <w:szCs w:val="20"/>
        </w:rPr>
        <w:t>根据上述公式计算得到，拉油点储罐泄漏</w:t>
      </w:r>
      <w:r>
        <w:rPr>
          <w:rFonts w:hint="eastAsia"/>
          <w:color w:val="auto"/>
          <w:lang w:val="zh-CN"/>
        </w:rPr>
        <w:t>速率</w:t>
      </w:r>
      <w:r>
        <w:rPr>
          <w:rFonts w:hint="eastAsia"/>
          <w:color w:val="auto"/>
          <w:kern w:val="2"/>
          <w:szCs w:val="20"/>
        </w:rPr>
        <w:t>（Q</w:t>
      </w:r>
      <w:r>
        <w:rPr>
          <w:rFonts w:hint="eastAsia"/>
          <w:color w:val="auto"/>
          <w:kern w:val="2"/>
          <w:szCs w:val="20"/>
          <w:vertAlign w:val="subscript"/>
        </w:rPr>
        <w:t>L</w:t>
      </w:r>
      <w:r>
        <w:rPr>
          <w:rFonts w:hint="eastAsia"/>
          <w:color w:val="auto"/>
          <w:kern w:val="2"/>
          <w:szCs w:val="20"/>
        </w:rPr>
        <w:t>）为0.091kg/s，泄漏时间为20min，泄漏量为0.109t。</w:t>
      </w:r>
    </w:p>
    <w:p w14:paraId="7492BC7E">
      <w:pPr>
        <w:pStyle w:val="276"/>
        <w:widowControl w:val="0"/>
        <w:ind w:firstLine="480"/>
        <w:jc w:val="both"/>
        <w:rPr>
          <w:color w:val="auto"/>
          <w:kern w:val="2"/>
          <w:szCs w:val="20"/>
        </w:rPr>
      </w:pPr>
      <w:r>
        <w:rPr>
          <w:color w:val="auto"/>
          <w:kern w:val="2"/>
          <w:szCs w:val="20"/>
        </w:rPr>
        <w:t>（2）预测因子</w:t>
      </w:r>
    </w:p>
    <w:p w14:paraId="3C561D58">
      <w:pPr>
        <w:pStyle w:val="276"/>
        <w:widowControl w:val="0"/>
        <w:ind w:firstLine="480"/>
        <w:jc w:val="both"/>
        <w:rPr>
          <w:color w:val="auto"/>
          <w:kern w:val="2"/>
          <w:szCs w:val="20"/>
        </w:rPr>
      </w:pPr>
      <w:r>
        <w:rPr>
          <w:rFonts w:hint="eastAsia"/>
          <w:color w:val="auto"/>
          <w:kern w:val="2"/>
          <w:szCs w:val="20"/>
        </w:rPr>
        <w:t>拉油点储罐</w:t>
      </w:r>
      <w:r>
        <w:rPr>
          <w:color w:val="auto"/>
          <w:kern w:val="2"/>
          <w:szCs w:val="20"/>
        </w:rPr>
        <w:t>发生泄漏，导致原油</w:t>
      </w:r>
      <w:r>
        <w:rPr>
          <w:color w:val="auto"/>
          <w:lang w:val="zh-CN"/>
        </w:rPr>
        <w:t>泄漏</w:t>
      </w:r>
      <w:r>
        <w:rPr>
          <w:color w:val="auto"/>
          <w:kern w:val="2"/>
          <w:szCs w:val="20"/>
        </w:rPr>
        <w:t>，污染物有石油类等。根据《环境影响评价技术导则地下水环境》（HJ610-2016）中情景设置预测因子相关要求，对每一类别中的各项因子采取标准指数法进行排序，分别取标准指数最大的因子作为预测因子。在</w:t>
      </w:r>
      <w:r>
        <w:rPr>
          <w:rFonts w:hint="eastAsia"/>
          <w:color w:val="auto"/>
          <w:kern w:val="2"/>
          <w:szCs w:val="20"/>
        </w:rPr>
        <w:t>拉油点储罐</w:t>
      </w:r>
      <w:r>
        <w:rPr>
          <w:color w:val="auto"/>
          <w:kern w:val="2"/>
          <w:szCs w:val="20"/>
        </w:rPr>
        <w:t>发生泄漏情景下，原油泄漏的主要污染因子为石油类，本次评价最终选取石油类作为预测特征因子。</w:t>
      </w:r>
    </w:p>
    <w:p w14:paraId="4EB07E47">
      <w:pPr>
        <w:pStyle w:val="276"/>
        <w:widowControl w:val="0"/>
        <w:ind w:firstLine="480"/>
        <w:jc w:val="both"/>
        <w:rPr>
          <w:color w:val="auto"/>
          <w:kern w:val="2"/>
          <w:szCs w:val="20"/>
        </w:rPr>
      </w:pPr>
      <w:r>
        <w:rPr>
          <w:color w:val="auto"/>
          <w:kern w:val="2"/>
          <w:szCs w:val="20"/>
        </w:rPr>
        <w:t>（3）预测模型</w:t>
      </w:r>
    </w:p>
    <w:p w14:paraId="63E9444E">
      <w:pPr>
        <w:pStyle w:val="276"/>
        <w:widowControl w:val="0"/>
        <w:ind w:firstLine="480"/>
        <w:jc w:val="both"/>
        <w:rPr>
          <w:color w:val="auto"/>
          <w:kern w:val="2"/>
          <w:szCs w:val="20"/>
        </w:rPr>
      </w:pPr>
      <w:r>
        <w:rPr>
          <w:color w:val="auto"/>
          <w:kern w:val="2"/>
          <w:szCs w:val="20"/>
        </w:rPr>
        <w:t>将地下水泄漏时间概化为瞬时注入，再利用二维水动力弥散方程计算最大影响范围。二维水动力瞬时注入弥散方程如下：</w:t>
      </w:r>
    </w:p>
    <w:p w14:paraId="06EE4E5D">
      <w:pPr>
        <w:jc w:val="center"/>
        <w:rPr>
          <w:rFonts w:ascii="宋体" w:hAnsi="宋体" w:eastAsia="宋体" w:cs="Times New Roman"/>
          <w:color w:val="auto"/>
          <w:szCs w:val="20"/>
        </w:rPr>
      </w:pPr>
      <w:r>
        <w:rPr>
          <w:rFonts w:ascii="宋体" w:hAnsi="宋体" w:eastAsia="宋体" w:cs="Times New Roman"/>
          <w:color w:val="auto"/>
        </w:rPr>
        <w:drawing>
          <wp:inline distT="0" distB="0" distL="114300" distR="114300">
            <wp:extent cx="2392680" cy="581025"/>
            <wp:effectExtent l="0" t="0" r="7620" b="8890"/>
            <wp:docPr id="1352728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56" name="图片 3"/>
                    <pic:cNvPicPr>
                      <a:picLocks noChangeAspect="1"/>
                    </pic:cNvPicPr>
                  </pic:nvPicPr>
                  <pic:blipFill>
                    <a:blip r:embed="rId108"/>
                    <a:stretch>
                      <a:fillRect/>
                    </a:stretch>
                  </pic:blipFill>
                  <pic:spPr>
                    <a:xfrm>
                      <a:off x="0" y="0"/>
                      <a:ext cx="2392680" cy="581025"/>
                    </a:xfrm>
                    <a:prstGeom prst="rect">
                      <a:avLst/>
                    </a:prstGeom>
                    <a:noFill/>
                    <a:ln>
                      <a:noFill/>
                    </a:ln>
                  </pic:spPr>
                </pic:pic>
              </a:graphicData>
            </a:graphic>
          </wp:inline>
        </w:drawing>
      </w:r>
    </w:p>
    <w:p w14:paraId="7F40FA15">
      <w:pPr>
        <w:spacing w:line="500" w:lineRule="exact"/>
        <w:ind w:firstLine="420" w:firstLineChars="200"/>
        <w:rPr>
          <w:rFonts w:ascii="宋体" w:hAnsi="宋体" w:eastAsia="宋体" w:cs="Times New Roman"/>
          <w:color w:val="auto"/>
          <w:szCs w:val="20"/>
        </w:rPr>
      </w:pPr>
      <w:r>
        <w:rPr>
          <w:rFonts w:ascii="宋体" w:hAnsi="宋体" w:eastAsia="宋体" w:cs="Times New Roman"/>
          <w:color w:val="auto"/>
          <w:szCs w:val="20"/>
        </w:rPr>
        <w:t>式中：</w:t>
      </w:r>
    </w:p>
    <w:p w14:paraId="7AC6EF96">
      <w:pPr>
        <w:pStyle w:val="276"/>
        <w:widowControl w:val="0"/>
        <w:ind w:firstLine="480"/>
        <w:jc w:val="both"/>
        <w:rPr>
          <w:color w:val="auto"/>
          <w:kern w:val="2"/>
          <w:szCs w:val="20"/>
        </w:rPr>
      </w:pPr>
      <w:r>
        <w:rPr>
          <w:color w:val="auto"/>
          <w:kern w:val="2"/>
          <w:szCs w:val="20"/>
        </w:rPr>
        <w:t>x，y—计算点处的位置坐标；</w:t>
      </w:r>
    </w:p>
    <w:p w14:paraId="3CE2465A">
      <w:pPr>
        <w:pStyle w:val="276"/>
        <w:widowControl w:val="0"/>
        <w:ind w:firstLine="480"/>
        <w:jc w:val="both"/>
        <w:rPr>
          <w:color w:val="auto"/>
          <w:kern w:val="2"/>
          <w:szCs w:val="20"/>
        </w:rPr>
      </w:pPr>
      <w:r>
        <w:rPr>
          <w:color w:val="auto"/>
          <w:kern w:val="2"/>
          <w:szCs w:val="20"/>
        </w:rPr>
        <w:t>t—时间，d；</w:t>
      </w:r>
    </w:p>
    <w:p w14:paraId="4FB1C416">
      <w:pPr>
        <w:pStyle w:val="276"/>
        <w:widowControl w:val="0"/>
        <w:ind w:firstLine="480"/>
        <w:jc w:val="both"/>
        <w:rPr>
          <w:color w:val="auto"/>
          <w:kern w:val="2"/>
          <w:szCs w:val="20"/>
        </w:rPr>
      </w:pPr>
      <w:r>
        <w:rPr>
          <w:color w:val="auto"/>
          <w:kern w:val="2"/>
          <w:szCs w:val="20"/>
        </w:rPr>
        <w:t>C(x，y，t)—t时刻点x，y处的浓度，g/L；</w:t>
      </w:r>
    </w:p>
    <w:p w14:paraId="71BC4E37">
      <w:pPr>
        <w:pStyle w:val="276"/>
        <w:widowControl w:val="0"/>
        <w:ind w:firstLine="480"/>
        <w:jc w:val="both"/>
        <w:rPr>
          <w:color w:val="auto"/>
          <w:kern w:val="2"/>
          <w:szCs w:val="20"/>
        </w:rPr>
      </w:pPr>
      <w:r>
        <w:rPr>
          <w:color w:val="auto"/>
          <w:kern w:val="2"/>
          <w:szCs w:val="20"/>
        </w:rPr>
        <w:t>M—含水层的厚度，m；</w:t>
      </w:r>
    </w:p>
    <w:p w14:paraId="60118618">
      <w:pPr>
        <w:pStyle w:val="276"/>
        <w:widowControl w:val="0"/>
        <w:ind w:firstLine="480"/>
        <w:jc w:val="both"/>
        <w:rPr>
          <w:color w:val="auto"/>
          <w:kern w:val="2"/>
          <w:szCs w:val="20"/>
        </w:rPr>
      </w:pPr>
      <w:r>
        <w:rPr>
          <w:color w:val="auto"/>
          <w:kern w:val="2"/>
          <w:szCs w:val="20"/>
        </w:rPr>
        <w:t>mM—瞬时注入的质量，kg；</w:t>
      </w:r>
    </w:p>
    <w:p w14:paraId="1B523923">
      <w:pPr>
        <w:pStyle w:val="276"/>
        <w:widowControl w:val="0"/>
        <w:ind w:firstLine="480"/>
        <w:jc w:val="both"/>
        <w:rPr>
          <w:color w:val="auto"/>
          <w:kern w:val="2"/>
          <w:szCs w:val="20"/>
        </w:rPr>
      </w:pPr>
      <w:r>
        <w:rPr>
          <w:color w:val="auto"/>
          <w:kern w:val="2"/>
          <w:szCs w:val="20"/>
        </w:rPr>
        <w:t>u—水流速度，m/d；</w:t>
      </w:r>
    </w:p>
    <w:p w14:paraId="3C66B534">
      <w:pPr>
        <w:pStyle w:val="276"/>
        <w:widowControl w:val="0"/>
        <w:ind w:firstLine="480"/>
        <w:jc w:val="both"/>
        <w:rPr>
          <w:color w:val="auto"/>
          <w:kern w:val="2"/>
          <w:szCs w:val="20"/>
        </w:rPr>
      </w:pPr>
      <w:r>
        <w:rPr>
          <w:color w:val="auto"/>
          <w:kern w:val="2"/>
          <w:szCs w:val="20"/>
        </w:rPr>
        <w:t>n—有效孔隙度；</w:t>
      </w:r>
    </w:p>
    <w:p w14:paraId="4B425C4A">
      <w:pPr>
        <w:pStyle w:val="276"/>
        <w:widowControl w:val="0"/>
        <w:ind w:firstLine="480"/>
        <w:jc w:val="both"/>
        <w:rPr>
          <w:color w:val="auto"/>
          <w:kern w:val="2"/>
          <w:szCs w:val="20"/>
        </w:rPr>
      </w:pPr>
      <w:r>
        <w:rPr>
          <w:color w:val="auto"/>
          <w:kern w:val="2"/>
          <w:szCs w:val="20"/>
        </w:rPr>
        <w:t>DL—纵向弥散系数，m</w:t>
      </w:r>
      <w:r>
        <w:rPr>
          <w:color w:val="auto"/>
          <w:kern w:val="2"/>
          <w:szCs w:val="20"/>
          <w:vertAlign w:val="superscript"/>
        </w:rPr>
        <w:t>2</w:t>
      </w:r>
      <w:r>
        <w:rPr>
          <w:color w:val="auto"/>
          <w:kern w:val="2"/>
          <w:szCs w:val="20"/>
        </w:rPr>
        <w:t>/d；</w:t>
      </w:r>
    </w:p>
    <w:p w14:paraId="4BDB58E6">
      <w:pPr>
        <w:pStyle w:val="276"/>
        <w:widowControl w:val="0"/>
        <w:ind w:firstLine="480"/>
        <w:jc w:val="both"/>
        <w:rPr>
          <w:color w:val="auto"/>
          <w:kern w:val="2"/>
          <w:szCs w:val="20"/>
        </w:rPr>
      </w:pPr>
      <w:r>
        <w:rPr>
          <w:color w:val="auto"/>
          <w:kern w:val="2"/>
          <w:szCs w:val="20"/>
        </w:rPr>
        <w:t>DT—横向y方向的弥散系数，m</w:t>
      </w:r>
      <w:r>
        <w:rPr>
          <w:color w:val="auto"/>
          <w:kern w:val="2"/>
          <w:szCs w:val="20"/>
          <w:vertAlign w:val="superscript"/>
        </w:rPr>
        <w:t>2</w:t>
      </w:r>
      <w:r>
        <w:rPr>
          <w:color w:val="auto"/>
          <w:kern w:val="2"/>
          <w:szCs w:val="20"/>
        </w:rPr>
        <w:t>/d。</w:t>
      </w:r>
    </w:p>
    <w:p w14:paraId="38EE5D7A">
      <w:pPr>
        <w:pStyle w:val="276"/>
        <w:widowControl w:val="0"/>
        <w:ind w:firstLine="480"/>
        <w:jc w:val="both"/>
        <w:rPr>
          <w:color w:val="auto"/>
          <w:kern w:val="2"/>
          <w:szCs w:val="20"/>
        </w:rPr>
      </w:pPr>
      <w:r>
        <w:rPr>
          <w:color w:val="auto"/>
          <w:kern w:val="2"/>
          <w:szCs w:val="20"/>
        </w:rPr>
        <w:t>（4）参数选取</w:t>
      </w:r>
    </w:p>
    <w:p w14:paraId="2B84D6B5">
      <w:pPr>
        <w:pStyle w:val="276"/>
        <w:widowControl w:val="0"/>
        <w:ind w:firstLine="480"/>
        <w:jc w:val="both"/>
        <w:rPr>
          <w:color w:val="auto"/>
          <w:kern w:val="2"/>
          <w:szCs w:val="20"/>
        </w:rPr>
      </w:pPr>
      <w:r>
        <w:rPr>
          <w:color w:val="auto"/>
          <w:kern w:val="2"/>
          <w:szCs w:val="20"/>
        </w:rPr>
        <w:t>根据该地区的水文地质资料，评价时分别取：有效孔隙度n为</w:t>
      </w:r>
      <w:r>
        <w:rPr>
          <w:rFonts w:hint="eastAsia"/>
          <w:color w:val="auto"/>
          <w:kern w:val="2"/>
          <w:szCs w:val="20"/>
        </w:rPr>
        <w:t>0.34</w:t>
      </w:r>
      <w:r>
        <w:rPr>
          <w:color w:val="auto"/>
          <w:kern w:val="2"/>
          <w:szCs w:val="20"/>
        </w:rPr>
        <w:t>；水流速度u为</w:t>
      </w:r>
      <w:r>
        <w:rPr>
          <w:rFonts w:hint="eastAsia"/>
          <w:color w:val="auto"/>
          <w:kern w:val="2"/>
          <w:szCs w:val="20"/>
        </w:rPr>
        <w:t>0.05</w:t>
      </w:r>
      <w:r>
        <w:rPr>
          <w:color w:val="auto"/>
          <w:kern w:val="2"/>
          <w:szCs w:val="20"/>
        </w:rPr>
        <w:t>m/d，纵向弥散系数</w:t>
      </w:r>
      <w:r>
        <w:rPr>
          <w:rFonts w:hint="eastAsia"/>
          <w:color w:val="auto"/>
          <w:kern w:val="2"/>
          <w:szCs w:val="20"/>
        </w:rPr>
        <w:t>0.2</w:t>
      </w:r>
      <w:r>
        <w:rPr>
          <w:color w:val="auto"/>
          <w:kern w:val="2"/>
          <w:szCs w:val="20"/>
        </w:rPr>
        <w:t>m</w:t>
      </w:r>
      <w:r>
        <w:rPr>
          <w:color w:val="auto"/>
          <w:kern w:val="2"/>
          <w:szCs w:val="20"/>
          <w:vertAlign w:val="superscript"/>
        </w:rPr>
        <w:t>2</w:t>
      </w:r>
      <w:r>
        <w:rPr>
          <w:color w:val="auto"/>
          <w:kern w:val="2"/>
          <w:szCs w:val="20"/>
        </w:rPr>
        <w:t>/d，横向弥散系数0.</w:t>
      </w:r>
      <w:r>
        <w:rPr>
          <w:rFonts w:hint="eastAsia"/>
          <w:color w:val="auto"/>
          <w:kern w:val="2"/>
          <w:szCs w:val="20"/>
        </w:rPr>
        <w:t>02</w:t>
      </w:r>
      <w:r>
        <w:rPr>
          <w:color w:val="auto"/>
          <w:kern w:val="2"/>
          <w:szCs w:val="20"/>
        </w:rPr>
        <w:t>m</w:t>
      </w:r>
      <w:r>
        <w:rPr>
          <w:color w:val="auto"/>
          <w:kern w:val="2"/>
          <w:szCs w:val="20"/>
          <w:vertAlign w:val="superscript"/>
        </w:rPr>
        <w:t>2</w:t>
      </w:r>
      <w:r>
        <w:rPr>
          <w:color w:val="auto"/>
          <w:kern w:val="2"/>
          <w:szCs w:val="20"/>
        </w:rPr>
        <w:t>/d，</w:t>
      </w:r>
      <w:r>
        <w:rPr>
          <w:color w:val="auto"/>
          <w:kern w:val="21"/>
          <w:szCs w:val="20"/>
        </w:rPr>
        <w:t>潜水</w:t>
      </w:r>
      <w:r>
        <w:rPr>
          <w:color w:val="auto"/>
          <w:kern w:val="2"/>
          <w:szCs w:val="20"/>
        </w:rPr>
        <w:t>含水层厚度以</w:t>
      </w:r>
      <w:r>
        <w:rPr>
          <w:rFonts w:hint="eastAsia"/>
          <w:color w:val="auto"/>
          <w:kern w:val="2"/>
          <w:szCs w:val="20"/>
        </w:rPr>
        <w:t>3.5</w:t>
      </w:r>
      <w:r>
        <w:rPr>
          <w:color w:val="auto"/>
          <w:kern w:val="2"/>
          <w:szCs w:val="20"/>
        </w:rPr>
        <w:t>m计</w:t>
      </w:r>
      <w:r>
        <w:rPr>
          <w:color w:val="auto"/>
          <w:kern w:val="21"/>
          <w:szCs w:val="20"/>
        </w:rPr>
        <w:t>，化学反应常数为0</w:t>
      </w:r>
      <w:r>
        <w:rPr>
          <w:color w:val="auto"/>
          <w:kern w:val="2"/>
          <w:szCs w:val="20"/>
        </w:rPr>
        <w:t>。</w:t>
      </w:r>
    </w:p>
    <w:p w14:paraId="222D98E0">
      <w:pPr>
        <w:pStyle w:val="276"/>
        <w:widowControl w:val="0"/>
        <w:ind w:firstLine="480"/>
        <w:jc w:val="both"/>
        <w:rPr>
          <w:color w:val="auto"/>
          <w:kern w:val="2"/>
          <w:szCs w:val="20"/>
        </w:rPr>
      </w:pPr>
      <w:r>
        <w:rPr>
          <w:color w:val="auto"/>
          <w:kern w:val="2"/>
          <w:szCs w:val="20"/>
        </w:rPr>
        <w:t>（4）预测结果</w:t>
      </w:r>
    </w:p>
    <w:p w14:paraId="4A4E88EA">
      <w:pPr>
        <w:spacing w:line="500" w:lineRule="exact"/>
        <w:ind w:firstLine="420" w:firstLineChars="200"/>
        <w:jc w:val="center"/>
        <w:rPr>
          <w:rFonts w:ascii="宋体" w:hAnsi="宋体" w:eastAsia="宋体" w:cs="Times New Roman"/>
          <w:color w:val="auto"/>
          <w:szCs w:val="20"/>
        </w:rPr>
      </w:pPr>
      <w:r>
        <w:rPr>
          <w:rFonts w:ascii="宋体" w:hAnsi="宋体" w:eastAsia="宋体" w:cs="Times New Roman"/>
          <w:color w:val="auto"/>
          <w:szCs w:val="20"/>
        </w:rPr>
        <w:t>表5.3-</w:t>
      </w:r>
      <w:r>
        <w:rPr>
          <w:rFonts w:hint="eastAsia" w:ascii="宋体" w:hAnsi="宋体" w:eastAsia="宋体" w:cs="Times New Roman"/>
          <w:color w:val="auto"/>
          <w:szCs w:val="20"/>
        </w:rPr>
        <w:t>5</w:t>
      </w:r>
      <w:r>
        <w:rPr>
          <w:rFonts w:ascii="宋体" w:hAnsi="宋体" w:eastAsia="宋体" w:cs="Times New Roman"/>
          <w:color w:val="auto"/>
          <w:szCs w:val="20"/>
        </w:rPr>
        <w:t xml:space="preserve"> </w:t>
      </w:r>
      <w:r>
        <w:rPr>
          <w:rFonts w:hint="eastAsia" w:ascii="宋体" w:hAnsi="宋体" w:eastAsia="宋体" w:cs="Times New Roman"/>
          <w:color w:val="auto"/>
          <w:szCs w:val="20"/>
        </w:rPr>
        <w:t>拉油点储罐</w:t>
      </w:r>
      <w:r>
        <w:rPr>
          <w:rFonts w:ascii="宋体" w:hAnsi="宋体" w:eastAsia="宋体" w:cs="Times New Roman"/>
          <w:color w:val="auto"/>
          <w:szCs w:val="20"/>
        </w:rPr>
        <w:t>泄漏对地下水的影响预测结果表</w:t>
      </w:r>
    </w:p>
    <w:tbl>
      <w:tblPr>
        <w:tblStyle w:val="8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083"/>
        <w:gridCol w:w="1473"/>
        <w:gridCol w:w="1473"/>
        <w:gridCol w:w="1473"/>
        <w:gridCol w:w="1474"/>
        <w:gridCol w:w="1391"/>
      </w:tblGrid>
      <w:tr w14:paraId="0667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492" w:type="pct"/>
            <w:vAlign w:val="center"/>
          </w:tcPr>
          <w:p w14:paraId="41E7540C">
            <w:pPr>
              <w:spacing w:line="360" w:lineRule="exact"/>
              <w:jc w:val="center"/>
              <w:rPr>
                <w:rFonts w:ascii="宋体" w:hAnsi="宋体" w:eastAsia="宋体" w:cs="Times New Roman"/>
                <w:color w:val="auto"/>
              </w:rPr>
            </w:pPr>
            <w:r>
              <w:rPr>
                <w:rFonts w:ascii="宋体" w:hAnsi="宋体" w:eastAsia="宋体" w:cs="Times New Roman"/>
                <w:color w:val="auto"/>
              </w:rPr>
              <w:t>污染物</w:t>
            </w:r>
          </w:p>
        </w:tc>
        <w:tc>
          <w:tcPr>
            <w:tcW w:w="583" w:type="pct"/>
            <w:vAlign w:val="center"/>
          </w:tcPr>
          <w:p w14:paraId="62901E6F">
            <w:pPr>
              <w:spacing w:line="360" w:lineRule="exact"/>
              <w:jc w:val="center"/>
              <w:rPr>
                <w:rFonts w:ascii="宋体" w:hAnsi="宋体" w:eastAsia="宋体" w:cs="Times New Roman"/>
                <w:color w:val="auto"/>
              </w:rPr>
            </w:pPr>
            <w:r>
              <w:rPr>
                <w:rFonts w:ascii="宋体" w:hAnsi="宋体" w:eastAsia="宋体" w:cs="Times New Roman"/>
                <w:color w:val="auto"/>
              </w:rPr>
              <w:t>预测时间</w:t>
            </w:r>
          </w:p>
        </w:tc>
        <w:tc>
          <w:tcPr>
            <w:tcW w:w="793" w:type="pct"/>
            <w:vAlign w:val="center"/>
          </w:tcPr>
          <w:p w14:paraId="4DEC6C81">
            <w:pPr>
              <w:spacing w:line="360" w:lineRule="exact"/>
              <w:jc w:val="center"/>
              <w:rPr>
                <w:rFonts w:ascii="宋体" w:hAnsi="宋体" w:eastAsia="宋体" w:cs="Times New Roman"/>
                <w:color w:val="auto"/>
              </w:rPr>
            </w:pPr>
            <w:r>
              <w:rPr>
                <w:rFonts w:hint="eastAsia" w:ascii="宋体" w:hAnsi="宋体" w:eastAsia="宋体" w:cs="Times New Roman"/>
                <w:color w:val="auto"/>
              </w:rPr>
              <w:t>下游最大浓度mg/L</w:t>
            </w:r>
          </w:p>
        </w:tc>
        <w:tc>
          <w:tcPr>
            <w:tcW w:w="793" w:type="pct"/>
            <w:vAlign w:val="center"/>
          </w:tcPr>
          <w:p w14:paraId="020B6516">
            <w:pPr>
              <w:spacing w:line="360" w:lineRule="exact"/>
              <w:jc w:val="center"/>
              <w:rPr>
                <w:rFonts w:ascii="宋体" w:hAnsi="宋体" w:eastAsia="宋体" w:cs="Times New Roman"/>
                <w:color w:val="auto"/>
              </w:rPr>
            </w:pPr>
            <w:r>
              <w:rPr>
                <w:rFonts w:ascii="宋体" w:hAnsi="宋体" w:eastAsia="宋体" w:cs="Times New Roman"/>
                <w:color w:val="auto"/>
              </w:rPr>
              <w:t>超标距离</w:t>
            </w:r>
            <w:r>
              <w:rPr>
                <w:rFonts w:hint="eastAsia" w:ascii="宋体" w:hAnsi="宋体" w:eastAsia="宋体" w:cs="Times New Roman"/>
                <w:color w:val="auto"/>
              </w:rPr>
              <w:t>m</w:t>
            </w:r>
          </w:p>
        </w:tc>
        <w:tc>
          <w:tcPr>
            <w:tcW w:w="793" w:type="pct"/>
            <w:vAlign w:val="center"/>
          </w:tcPr>
          <w:p w14:paraId="0A31B6C4">
            <w:pPr>
              <w:spacing w:line="360" w:lineRule="exact"/>
              <w:jc w:val="center"/>
              <w:rPr>
                <w:rFonts w:ascii="宋体" w:hAnsi="宋体" w:eastAsia="宋体" w:cs="Times New Roman"/>
                <w:color w:val="auto"/>
              </w:rPr>
            </w:pPr>
            <w:r>
              <w:rPr>
                <w:rFonts w:hint="eastAsia" w:ascii="宋体" w:hAnsi="宋体" w:eastAsia="宋体" w:cs="Times New Roman"/>
                <w:color w:val="auto"/>
              </w:rPr>
              <w:t>超标面积m2</w:t>
            </w:r>
          </w:p>
        </w:tc>
        <w:tc>
          <w:tcPr>
            <w:tcW w:w="793" w:type="pct"/>
            <w:vAlign w:val="center"/>
          </w:tcPr>
          <w:p w14:paraId="303D3268">
            <w:pPr>
              <w:spacing w:line="360" w:lineRule="exact"/>
              <w:jc w:val="center"/>
              <w:rPr>
                <w:rFonts w:ascii="宋体" w:hAnsi="宋体" w:eastAsia="宋体" w:cs="Times New Roman"/>
                <w:color w:val="auto"/>
              </w:rPr>
            </w:pPr>
            <w:r>
              <w:rPr>
                <w:rFonts w:ascii="宋体" w:hAnsi="宋体" w:eastAsia="宋体" w:cs="Times New Roman"/>
                <w:color w:val="auto"/>
              </w:rPr>
              <w:t>最远影响距离</w:t>
            </w:r>
            <w:r>
              <w:rPr>
                <w:rFonts w:hint="eastAsia" w:ascii="宋体" w:hAnsi="宋体" w:eastAsia="宋体" w:cs="Times New Roman"/>
                <w:color w:val="auto"/>
              </w:rPr>
              <w:t>m</w:t>
            </w:r>
          </w:p>
        </w:tc>
        <w:tc>
          <w:tcPr>
            <w:tcW w:w="748" w:type="pct"/>
            <w:vAlign w:val="center"/>
          </w:tcPr>
          <w:p w14:paraId="36C388E7">
            <w:pPr>
              <w:spacing w:line="360" w:lineRule="exact"/>
              <w:jc w:val="center"/>
              <w:rPr>
                <w:rFonts w:ascii="宋体" w:hAnsi="宋体" w:eastAsia="宋体" w:cs="Times New Roman"/>
                <w:color w:val="auto"/>
              </w:rPr>
            </w:pPr>
            <w:r>
              <w:rPr>
                <w:rFonts w:ascii="宋体" w:hAnsi="宋体" w:eastAsia="宋体" w:cs="Times New Roman"/>
                <w:color w:val="auto"/>
              </w:rPr>
              <w:t>影响面积</w:t>
            </w:r>
            <w:r>
              <w:rPr>
                <w:rFonts w:hint="eastAsia" w:ascii="宋体" w:hAnsi="宋体" w:eastAsia="宋体" w:cs="Times New Roman"/>
                <w:color w:val="auto"/>
              </w:rPr>
              <w:t>m2</w:t>
            </w:r>
          </w:p>
        </w:tc>
      </w:tr>
      <w:tr w14:paraId="537C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vMerge w:val="restart"/>
            <w:vAlign w:val="center"/>
          </w:tcPr>
          <w:p w14:paraId="5954DECE">
            <w:pPr>
              <w:spacing w:line="360" w:lineRule="exact"/>
              <w:jc w:val="center"/>
              <w:rPr>
                <w:rFonts w:ascii="宋体" w:hAnsi="宋体" w:eastAsia="宋体" w:cs="Times New Roman"/>
                <w:color w:val="auto"/>
              </w:rPr>
            </w:pPr>
            <w:r>
              <w:rPr>
                <w:rFonts w:ascii="宋体" w:hAnsi="宋体" w:eastAsia="宋体" w:cs="Times New Roman"/>
                <w:color w:val="auto"/>
              </w:rPr>
              <w:t>石油类</w:t>
            </w:r>
          </w:p>
        </w:tc>
        <w:tc>
          <w:tcPr>
            <w:tcW w:w="583" w:type="pct"/>
            <w:vAlign w:val="center"/>
          </w:tcPr>
          <w:p w14:paraId="27F469C4">
            <w:pPr>
              <w:spacing w:line="360" w:lineRule="exact"/>
              <w:jc w:val="center"/>
              <w:rPr>
                <w:rFonts w:ascii="宋体" w:hAnsi="宋体" w:eastAsia="宋体" w:cs="Times New Roman"/>
                <w:color w:val="auto"/>
              </w:rPr>
            </w:pPr>
            <w:r>
              <w:rPr>
                <w:rFonts w:ascii="宋体" w:hAnsi="宋体" w:eastAsia="宋体" w:cs="Times New Roman"/>
                <w:color w:val="auto"/>
              </w:rPr>
              <w:t>100天</w:t>
            </w:r>
          </w:p>
        </w:tc>
        <w:tc>
          <w:tcPr>
            <w:tcW w:w="793" w:type="pct"/>
            <w:vAlign w:val="center"/>
          </w:tcPr>
          <w:p w14:paraId="668A5161">
            <w:pPr>
              <w:spacing w:line="360" w:lineRule="exact"/>
              <w:jc w:val="center"/>
              <w:rPr>
                <w:rFonts w:ascii="宋体" w:hAnsi="宋体" w:eastAsia="宋体" w:cs="Times New Roman"/>
                <w:color w:val="auto"/>
              </w:rPr>
            </w:pPr>
            <w:r>
              <w:rPr>
                <w:rFonts w:ascii="宋体" w:hAnsi="宋体" w:eastAsia="宋体" w:cs="Times New Roman"/>
                <w:color w:val="auto"/>
              </w:rPr>
              <w:t>1152.49</w:t>
            </w:r>
          </w:p>
        </w:tc>
        <w:tc>
          <w:tcPr>
            <w:tcW w:w="793" w:type="pct"/>
            <w:vAlign w:val="center"/>
          </w:tcPr>
          <w:p w14:paraId="6360D386">
            <w:pPr>
              <w:spacing w:line="360" w:lineRule="exact"/>
              <w:jc w:val="center"/>
              <w:rPr>
                <w:rFonts w:ascii="宋体" w:hAnsi="宋体" w:eastAsia="宋体" w:cs="Times New Roman"/>
                <w:color w:val="auto"/>
              </w:rPr>
            </w:pPr>
            <w:r>
              <w:rPr>
                <w:rFonts w:hint="eastAsia" w:ascii="宋体" w:hAnsi="宋体" w:eastAsia="宋体" w:cs="Times New Roman"/>
                <w:color w:val="auto"/>
              </w:rPr>
              <w:t>33</w:t>
            </w:r>
          </w:p>
        </w:tc>
        <w:tc>
          <w:tcPr>
            <w:tcW w:w="793" w:type="pct"/>
            <w:vAlign w:val="center"/>
          </w:tcPr>
          <w:p w14:paraId="149F9AFE">
            <w:pPr>
              <w:spacing w:line="360" w:lineRule="exact"/>
              <w:jc w:val="center"/>
              <w:rPr>
                <w:rFonts w:ascii="宋体" w:hAnsi="宋体" w:eastAsia="宋体" w:cs="Times New Roman"/>
                <w:color w:val="auto"/>
              </w:rPr>
            </w:pPr>
            <w:r>
              <w:rPr>
                <w:rFonts w:ascii="宋体" w:hAnsi="宋体" w:eastAsia="宋体" w:cs="Times New Roman"/>
                <w:color w:val="auto"/>
              </w:rPr>
              <w:t>784.24</w:t>
            </w:r>
          </w:p>
        </w:tc>
        <w:tc>
          <w:tcPr>
            <w:tcW w:w="793" w:type="pct"/>
            <w:vAlign w:val="center"/>
          </w:tcPr>
          <w:p w14:paraId="4A09B78C">
            <w:pPr>
              <w:spacing w:line="360" w:lineRule="exact"/>
              <w:jc w:val="center"/>
              <w:rPr>
                <w:rFonts w:ascii="宋体" w:hAnsi="宋体" w:eastAsia="宋体" w:cs="Times New Roman"/>
                <w:color w:val="auto"/>
              </w:rPr>
            </w:pPr>
            <w:r>
              <w:rPr>
                <w:rFonts w:hint="eastAsia" w:ascii="宋体" w:hAnsi="宋体" w:eastAsia="宋体" w:cs="Times New Roman"/>
                <w:color w:val="auto"/>
              </w:rPr>
              <w:t>35</w:t>
            </w:r>
          </w:p>
        </w:tc>
        <w:tc>
          <w:tcPr>
            <w:tcW w:w="748" w:type="pct"/>
            <w:vAlign w:val="center"/>
          </w:tcPr>
          <w:p w14:paraId="71D35551">
            <w:pPr>
              <w:spacing w:line="360" w:lineRule="exact"/>
              <w:jc w:val="center"/>
              <w:rPr>
                <w:rFonts w:ascii="宋体" w:hAnsi="宋体" w:eastAsia="宋体" w:cs="Times New Roman"/>
                <w:color w:val="auto"/>
              </w:rPr>
            </w:pPr>
            <w:r>
              <w:rPr>
                <w:rFonts w:ascii="宋体" w:hAnsi="宋体" w:eastAsia="宋体" w:cs="Times New Roman"/>
                <w:color w:val="auto"/>
              </w:rPr>
              <w:t>906.77</w:t>
            </w:r>
          </w:p>
        </w:tc>
      </w:tr>
      <w:tr w14:paraId="1404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vMerge w:val="continue"/>
            <w:vAlign w:val="center"/>
          </w:tcPr>
          <w:p w14:paraId="7AC34D4A">
            <w:pPr>
              <w:spacing w:line="360" w:lineRule="exact"/>
              <w:jc w:val="center"/>
              <w:rPr>
                <w:rFonts w:ascii="宋体" w:hAnsi="宋体" w:eastAsia="宋体" w:cs="Times New Roman"/>
                <w:color w:val="auto"/>
              </w:rPr>
            </w:pPr>
          </w:p>
        </w:tc>
        <w:tc>
          <w:tcPr>
            <w:tcW w:w="583" w:type="pct"/>
            <w:vAlign w:val="center"/>
          </w:tcPr>
          <w:p w14:paraId="3179012D">
            <w:pPr>
              <w:spacing w:line="360" w:lineRule="exact"/>
              <w:jc w:val="center"/>
              <w:rPr>
                <w:rFonts w:ascii="宋体" w:hAnsi="宋体" w:eastAsia="宋体" w:cs="Times New Roman"/>
                <w:color w:val="auto"/>
              </w:rPr>
            </w:pPr>
            <w:r>
              <w:rPr>
                <w:rFonts w:ascii="宋体" w:hAnsi="宋体" w:eastAsia="宋体" w:cs="Times New Roman"/>
                <w:color w:val="auto"/>
              </w:rPr>
              <w:t>1000天</w:t>
            </w:r>
          </w:p>
        </w:tc>
        <w:tc>
          <w:tcPr>
            <w:tcW w:w="793" w:type="pct"/>
            <w:vAlign w:val="center"/>
          </w:tcPr>
          <w:p w14:paraId="0A2EE767">
            <w:pPr>
              <w:spacing w:line="360" w:lineRule="exact"/>
              <w:jc w:val="center"/>
              <w:rPr>
                <w:rFonts w:ascii="宋体" w:hAnsi="宋体" w:eastAsia="宋体" w:cs="Times New Roman"/>
                <w:color w:val="auto"/>
              </w:rPr>
            </w:pPr>
            <w:r>
              <w:rPr>
                <w:rFonts w:ascii="宋体" w:hAnsi="宋体" w:eastAsia="宋体" w:cs="Times New Roman"/>
                <w:color w:val="auto"/>
              </w:rPr>
              <w:t>115.24</w:t>
            </w:r>
          </w:p>
        </w:tc>
        <w:tc>
          <w:tcPr>
            <w:tcW w:w="793" w:type="pct"/>
            <w:vAlign w:val="center"/>
          </w:tcPr>
          <w:p w14:paraId="44701BE8">
            <w:pPr>
              <w:spacing w:line="360" w:lineRule="exact"/>
              <w:jc w:val="center"/>
              <w:rPr>
                <w:rFonts w:ascii="宋体" w:hAnsi="宋体" w:eastAsia="宋体" w:cs="Times New Roman"/>
                <w:color w:val="auto"/>
              </w:rPr>
            </w:pPr>
            <w:r>
              <w:rPr>
                <w:rFonts w:hint="eastAsia" w:ascii="宋体" w:hAnsi="宋体" w:eastAsia="宋体" w:cs="Times New Roman"/>
                <w:color w:val="auto"/>
              </w:rPr>
              <w:t>128</w:t>
            </w:r>
          </w:p>
        </w:tc>
        <w:tc>
          <w:tcPr>
            <w:tcW w:w="793" w:type="pct"/>
            <w:vAlign w:val="center"/>
          </w:tcPr>
          <w:p w14:paraId="1BEB63AF">
            <w:pPr>
              <w:spacing w:line="360" w:lineRule="exact"/>
              <w:jc w:val="center"/>
              <w:rPr>
                <w:rFonts w:ascii="宋体" w:hAnsi="宋体" w:eastAsia="宋体" w:cs="Times New Roman"/>
                <w:color w:val="auto"/>
              </w:rPr>
            </w:pPr>
            <w:r>
              <w:rPr>
                <w:rFonts w:ascii="宋体" w:hAnsi="宋体" w:eastAsia="宋体" w:cs="Times New Roman"/>
                <w:color w:val="auto"/>
              </w:rPr>
              <w:t>6004.31</w:t>
            </w:r>
          </w:p>
        </w:tc>
        <w:tc>
          <w:tcPr>
            <w:tcW w:w="793" w:type="pct"/>
            <w:vAlign w:val="center"/>
          </w:tcPr>
          <w:p w14:paraId="305BE03B">
            <w:pPr>
              <w:spacing w:line="360" w:lineRule="exact"/>
              <w:jc w:val="center"/>
              <w:rPr>
                <w:rFonts w:ascii="宋体" w:hAnsi="宋体" w:eastAsia="宋体" w:cs="Times New Roman"/>
                <w:color w:val="auto"/>
              </w:rPr>
            </w:pPr>
            <w:r>
              <w:rPr>
                <w:rFonts w:hint="eastAsia" w:ascii="宋体" w:hAnsi="宋体" w:eastAsia="宋体" w:cs="Times New Roman"/>
                <w:color w:val="auto"/>
              </w:rPr>
              <w:t>136</w:t>
            </w:r>
          </w:p>
        </w:tc>
        <w:tc>
          <w:tcPr>
            <w:tcW w:w="748" w:type="pct"/>
            <w:vAlign w:val="center"/>
          </w:tcPr>
          <w:p w14:paraId="4FB5FEFD">
            <w:pPr>
              <w:spacing w:line="360" w:lineRule="exact"/>
              <w:jc w:val="center"/>
              <w:rPr>
                <w:rFonts w:ascii="宋体" w:hAnsi="宋体" w:eastAsia="宋体" w:cs="Times New Roman"/>
                <w:color w:val="auto"/>
              </w:rPr>
            </w:pPr>
            <w:r>
              <w:rPr>
                <w:rFonts w:ascii="宋体" w:hAnsi="宋体" w:eastAsia="宋体" w:cs="Times New Roman"/>
                <w:color w:val="auto"/>
              </w:rPr>
              <w:t>7131.65</w:t>
            </w:r>
          </w:p>
        </w:tc>
      </w:tr>
      <w:tr w14:paraId="4719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2" w:type="pct"/>
            <w:vMerge w:val="continue"/>
            <w:vAlign w:val="center"/>
          </w:tcPr>
          <w:p w14:paraId="7CA5DD82">
            <w:pPr>
              <w:spacing w:line="360" w:lineRule="exact"/>
              <w:jc w:val="center"/>
              <w:rPr>
                <w:rFonts w:ascii="宋体" w:hAnsi="宋体" w:eastAsia="宋体" w:cs="Times New Roman"/>
                <w:color w:val="auto"/>
              </w:rPr>
            </w:pPr>
          </w:p>
        </w:tc>
        <w:tc>
          <w:tcPr>
            <w:tcW w:w="583" w:type="pct"/>
            <w:vAlign w:val="center"/>
          </w:tcPr>
          <w:p w14:paraId="022FD07F">
            <w:pPr>
              <w:spacing w:line="360" w:lineRule="exact"/>
              <w:jc w:val="center"/>
              <w:rPr>
                <w:rFonts w:ascii="宋体" w:hAnsi="宋体" w:eastAsia="宋体" w:cs="Times New Roman"/>
                <w:color w:val="auto"/>
              </w:rPr>
            </w:pPr>
            <w:r>
              <w:rPr>
                <w:rFonts w:hint="eastAsia" w:ascii="宋体" w:hAnsi="宋体" w:eastAsia="宋体" w:cs="Times New Roman"/>
                <w:color w:val="auto"/>
              </w:rPr>
              <w:t>5475天</w:t>
            </w:r>
          </w:p>
        </w:tc>
        <w:tc>
          <w:tcPr>
            <w:tcW w:w="793" w:type="pct"/>
            <w:vAlign w:val="center"/>
          </w:tcPr>
          <w:p w14:paraId="7F5E4CCF">
            <w:pPr>
              <w:spacing w:line="360" w:lineRule="exact"/>
              <w:jc w:val="center"/>
              <w:rPr>
                <w:rFonts w:ascii="宋体" w:hAnsi="宋体" w:eastAsia="宋体" w:cs="Times New Roman"/>
                <w:color w:val="auto"/>
              </w:rPr>
            </w:pPr>
            <w:r>
              <w:rPr>
                <w:rFonts w:ascii="宋体" w:hAnsi="宋体" w:eastAsia="宋体" w:cs="Times New Roman"/>
                <w:color w:val="auto"/>
              </w:rPr>
              <w:t>21.05</w:t>
            </w:r>
          </w:p>
        </w:tc>
        <w:tc>
          <w:tcPr>
            <w:tcW w:w="793" w:type="pct"/>
            <w:vAlign w:val="center"/>
          </w:tcPr>
          <w:p w14:paraId="5FB595A3">
            <w:pPr>
              <w:spacing w:line="360" w:lineRule="exact"/>
              <w:jc w:val="center"/>
              <w:rPr>
                <w:rFonts w:ascii="宋体" w:hAnsi="宋体" w:eastAsia="宋体" w:cs="Times New Roman"/>
                <w:color w:val="auto"/>
              </w:rPr>
            </w:pPr>
            <w:r>
              <w:rPr>
                <w:rFonts w:hint="eastAsia" w:ascii="宋体" w:hAnsi="宋体" w:eastAsia="宋体" w:cs="Times New Roman"/>
                <w:color w:val="auto"/>
              </w:rPr>
              <w:t>436</w:t>
            </w:r>
          </w:p>
        </w:tc>
        <w:tc>
          <w:tcPr>
            <w:tcW w:w="793" w:type="pct"/>
            <w:vAlign w:val="center"/>
          </w:tcPr>
          <w:p w14:paraId="543A8979">
            <w:pPr>
              <w:spacing w:line="360" w:lineRule="exact"/>
              <w:jc w:val="center"/>
              <w:rPr>
                <w:rFonts w:ascii="宋体" w:hAnsi="宋体" w:eastAsia="宋体" w:cs="Times New Roman"/>
                <w:color w:val="auto"/>
              </w:rPr>
            </w:pPr>
            <w:r>
              <w:rPr>
                <w:rFonts w:ascii="宋体" w:hAnsi="宋体" w:eastAsia="宋体" w:cs="Times New Roman"/>
                <w:color w:val="auto"/>
              </w:rPr>
              <w:t>25732.77</w:t>
            </w:r>
          </w:p>
        </w:tc>
        <w:tc>
          <w:tcPr>
            <w:tcW w:w="793" w:type="pct"/>
            <w:vAlign w:val="center"/>
          </w:tcPr>
          <w:p w14:paraId="64B8B914">
            <w:pPr>
              <w:spacing w:line="360" w:lineRule="exact"/>
              <w:jc w:val="center"/>
              <w:rPr>
                <w:rFonts w:ascii="宋体" w:hAnsi="宋体" w:eastAsia="宋体" w:cs="Times New Roman"/>
                <w:color w:val="auto"/>
              </w:rPr>
            </w:pPr>
            <w:r>
              <w:rPr>
                <w:rFonts w:hint="eastAsia" w:ascii="宋体" w:hAnsi="宋体" w:eastAsia="宋体" w:cs="Times New Roman"/>
                <w:color w:val="auto"/>
              </w:rPr>
              <w:t>456</w:t>
            </w:r>
          </w:p>
        </w:tc>
        <w:tc>
          <w:tcPr>
            <w:tcW w:w="748" w:type="pct"/>
            <w:vAlign w:val="center"/>
          </w:tcPr>
          <w:p w14:paraId="1DA1111B">
            <w:pPr>
              <w:spacing w:line="360" w:lineRule="exact"/>
              <w:jc w:val="center"/>
              <w:rPr>
                <w:rFonts w:ascii="宋体" w:hAnsi="宋体" w:eastAsia="宋体" w:cs="Times New Roman"/>
                <w:color w:val="auto"/>
              </w:rPr>
            </w:pPr>
            <w:r>
              <w:rPr>
                <w:rFonts w:ascii="宋体" w:hAnsi="宋体" w:eastAsia="宋体" w:cs="Times New Roman"/>
                <w:color w:val="auto"/>
              </w:rPr>
              <w:t>32643.86</w:t>
            </w:r>
          </w:p>
        </w:tc>
      </w:tr>
    </w:tbl>
    <w:p w14:paraId="48D81AB3">
      <w:pPr>
        <w:jc w:val="center"/>
        <w:rPr>
          <w:rFonts w:ascii="宋体" w:hAnsi="宋体" w:eastAsia="宋体" w:cs="Times New Roman"/>
          <w:color w:val="auto"/>
        </w:rPr>
      </w:pPr>
      <w:r>
        <w:rPr>
          <w:rFonts w:ascii="宋体" w:hAnsi="宋体" w:eastAsia="宋体"/>
          <w:color w:val="auto"/>
        </w:rPr>
        <w:drawing>
          <wp:inline distT="0" distB="0" distL="114300" distR="114300">
            <wp:extent cx="4934585" cy="4067810"/>
            <wp:effectExtent l="0" t="0" r="18415" b="8890"/>
            <wp:docPr id="12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9" descr="IMG_256"/>
                    <pic:cNvPicPr>
                      <a:picLocks noChangeAspect="1"/>
                    </pic:cNvPicPr>
                  </pic:nvPicPr>
                  <pic:blipFill>
                    <a:blip r:embed="rId121"/>
                    <a:stretch>
                      <a:fillRect/>
                    </a:stretch>
                  </pic:blipFill>
                  <pic:spPr>
                    <a:xfrm>
                      <a:off x="0" y="0"/>
                      <a:ext cx="4934585" cy="4067810"/>
                    </a:xfrm>
                    <a:prstGeom prst="rect">
                      <a:avLst/>
                    </a:prstGeom>
                    <a:noFill/>
                    <a:ln w="9525">
                      <a:noFill/>
                    </a:ln>
                  </pic:spPr>
                </pic:pic>
              </a:graphicData>
            </a:graphic>
          </wp:inline>
        </w:drawing>
      </w:r>
      <w:r>
        <w:rPr>
          <w:rFonts w:ascii="宋体" w:hAnsi="宋体" w:eastAsia="宋体"/>
          <w:color w:val="auto"/>
        </w:rPr>
        <mc:AlternateContent>
          <mc:Choice Requires="wpg">
            <w:drawing>
              <wp:anchor distT="0" distB="0" distL="114300" distR="114300" simplePos="0" relativeHeight="251671552" behindDoc="0" locked="0" layoutInCell="1" allowOverlap="1">
                <wp:simplePos x="0" y="0"/>
                <wp:positionH relativeFrom="column">
                  <wp:posOffset>2762885</wp:posOffset>
                </wp:positionH>
                <wp:positionV relativeFrom="paragraph">
                  <wp:posOffset>2119630</wp:posOffset>
                </wp:positionV>
                <wp:extent cx="1034415" cy="1212850"/>
                <wp:effectExtent l="0" t="24130" r="0" b="0"/>
                <wp:wrapNone/>
                <wp:docPr id="50523494" name="组合 50523494"/>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50523495"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50523496" name="矩形 489"/>
                        <wps:cNvSpPr/>
                        <wps:spPr>
                          <a:xfrm rot="2388655">
                            <a:off x="25358" y="2678354"/>
                            <a:ext cx="1377" cy="1911"/>
                          </a:xfrm>
                          <a:prstGeom prst="rect">
                            <a:avLst/>
                          </a:prstGeom>
                          <a:noFill/>
                          <a:ln w="12700" cap="flat" cmpd="sng" algn="ctr">
                            <a:noFill/>
                            <a:prstDash val="solid"/>
                            <a:miter lim="800000"/>
                          </a:ln>
                          <a:effectLst/>
                        </wps:spPr>
                        <wps:txbx>
                          <w:txbxContent>
                            <w:p w14:paraId="4E8ED7BA">
                              <w:pPr>
                                <w:jc w:val="center"/>
                                <w:rPr>
                                  <w:color w:val="444444"/>
                                </w:rPr>
                              </w:pPr>
                              <w:r>
                                <w:rPr>
                                  <w:rFonts w:hint="eastAsia"/>
                                  <w:color w:val="444444"/>
                                </w:rPr>
                                <w:t>地</w:t>
                              </w:r>
                            </w:p>
                            <w:p w14:paraId="58F6CE57">
                              <w:pPr>
                                <w:jc w:val="center"/>
                                <w:rPr>
                                  <w:color w:val="444444"/>
                                </w:rPr>
                              </w:pPr>
                              <w:r>
                                <w:rPr>
                                  <w:rFonts w:hint="eastAsia"/>
                                  <w:color w:val="444444"/>
                                </w:rPr>
                                <w:t>下</w:t>
                              </w:r>
                            </w:p>
                            <w:p w14:paraId="0F56BC4C">
                              <w:pPr>
                                <w:jc w:val="center"/>
                                <w:rPr>
                                  <w:color w:val="444444"/>
                                </w:rPr>
                              </w:pPr>
                              <w:r>
                                <w:rPr>
                                  <w:rFonts w:hint="eastAsia"/>
                                  <w:color w:val="444444"/>
                                </w:rPr>
                                <w:t>水</w:t>
                              </w:r>
                            </w:p>
                            <w:p w14:paraId="0D82572D">
                              <w:pPr>
                                <w:jc w:val="center"/>
                                <w:rPr>
                                  <w:color w:val="444444"/>
                                </w:rPr>
                              </w:pPr>
                              <w:r>
                                <w:rPr>
                                  <w:color w:val="444444"/>
                                </w:rPr>
                                <w:t>流</w:t>
                              </w:r>
                            </w:p>
                            <w:p w14:paraId="5C57093A">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7.55pt;margin-top:166.9pt;height:95.5pt;width:81.45pt;z-index:251671552;mso-width-relative:page;mso-height-relative:page;" coordorigin="25105,2678354" coordsize="1629,1910" o:gfxdata="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EMwGdTbAAAACwEAAA8AAAAA&#10;AAAAAQAgAAAAIgAAAGRycy9kb3ducmV2LnhtbFBLAQIUABQAAAAIAIdO4kArPAYooAMAAFcIAAAO&#10;AAAAAAAAAAEAIAAAACoBAABkcnMvZTJvRG9jLnhtbFBLBQYAAAAABgAGAFkBAAA8Bw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wpCYa8QAAADh&#10;AAAADwAAAGRycy9kb3ducmV2LnhtbEWPT2vCQBTE74V+h+UJXkrdVZtSU1fBP6GCp6bF8yP7mgSz&#10;b9PsarSfvlsoeBxm5jfMfHmxjThT52vHGsYjBYK4cKbmUsPnR/b4AsIHZIONY9JwJQ/Lxf3dHFPj&#10;en6ncx5KESHsU9RQhdCmUvqiIot+5Fri6H25zmKIsiul6bCPcNvIiVLP0mLNcaHCltYVFcf8ZDWs&#10;XP+zz9625Xe+MZnhwymYzYPWw8FYvYIIdAm38H97ZzQkKplMn2YJ/D2Kb0A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pCYa8QAAADhAAAADwAAAAAAAAABACAAAAAiAAAAZHJzL2Rvd25yZXYueG1sUEsBAhQAFAAAAAgA&#10;h07iQDMvBZ47AAAAOQAAABAAAAAAAAAAAQAgAAAAEwEAAGRycy9zaGFwZXhtbC54bWxQSwUGAAAA&#10;AAYABgBbAQAAvQMA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lseGa8QAAADh&#10;AAAADwAAAGRycy9kb3ducmV2LnhtbEWPQU/CQBSE7yT+h80z8Qa7FCFSWTioJG3QA+jB40v30Ra7&#10;b5vu2uK/Z0lIPE5m5pvManO2jeip87VjDdOJAkFcOFNzqeHrczt+AuEDssHGMWn4Iw+b9d1ohalx&#10;A++pP4RSRAj7FDVUIbSplL6oyKKfuJY4ekfXWQxRdqU0HQ4RbhuZKLWQFmuOCxW29FJR8XP4tRq2&#10;6pQN7/u3fvbRJMvsO893/Wuu9cP9VD2DCHQO/+FbOzMa5mqezB6XC7g+im9Ari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seGa8QAAADhAAAADwAAAAAAAAABACAAAAAiAAAAZHJzL2Rvd25yZXYueG1sUEsBAhQAFAAAAAgA&#10;h07iQDMvBZ47AAAAOQAAABAAAAAAAAAAAQAgAAAAEwEAAGRycy9zaGFwZXhtbC54bWxQSwUGAAAA&#10;AAYABgBbAQAAvQMAAAAA&#10;">
                  <v:fill on="f" focussize="0,0"/>
                  <v:stroke on="f" weight="1pt" miterlimit="8" joinstyle="miter"/>
                  <v:imagedata o:title=""/>
                  <o:lock v:ext="edit" aspectratio="f"/>
                  <v:textbox>
                    <w:txbxContent>
                      <w:p w14:paraId="4E8ED7BA">
                        <w:pPr>
                          <w:jc w:val="center"/>
                          <w:rPr>
                            <w:color w:val="444444"/>
                          </w:rPr>
                        </w:pPr>
                        <w:r>
                          <w:rPr>
                            <w:rFonts w:hint="eastAsia"/>
                            <w:color w:val="444444"/>
                          </w:rPr>
                          <w:t>地</w:t>
                        </w:r>
                      </w:p>
                      <w:p w14:paraId="58F6CE57">
                        <w:pPr>
                          <w:jc w:val="center"/>
                          <w:rPr>
                            <w:color w:val="444444"/>
                          </w:rPr>
                        </w:pPr>
                        <w:r>
                          <w:rPr>
                            <w:rFonts w:hint="eastAsia"/>
                            <w:color w:val="444444"/>
                          </w:rPr>
                          <w:t>下</w:t>
                        </w:r>
                      </w:p>
                      <w:p w14:paraId="0F56BC4C">
                        <w:pPr>
                          <w:jc w:val="center"/>
                          <w:rPr>
                            <w:color w:val="444444"/>
                          </w:rPr>
                        </w:pPr>
                        <w:r>
                          <w:rPr>
                            <w:rFonts w:hint="eastAsia"/>
                            <w:color w:val="444444"/>
                          </w:rPr>
                          <w:t>水</w:t>
                        </w:r>
                      </w:p>
                      <w:p w14:paraId="0D82572D">
                        <w:pPr>
                          <w:jc w:val="center"/>
                          <w:rPr>
                            <w:color w:val="444444"/>
                          </w:rPr>
                        </w:pPr>
                        <w:r>
                          <w:rPr>
                            <w:color w:val="444444"/>
                          </w:rPr>
                          <w:t>流</w:t>
                        </w:r>
                      </w:p>
                      <w:p w14:paraId="5C57093A">
                        <w:pPr>
                          <w:jc w:val="center"/>
                          <w:rPr>
                            <w:color w:val="444444"/>
                          </w:rPr>
                        </w:pPr>
                        <w:r>
                          <w:rPr>
                            <w:color w:val="444444"/>
                          </w:rPr>
                          <w:t>向</w:t>
                        </w:r>
                      </w:p>
                    </w:txbxContent>
                  </v:textbox>
                </v:rect>
              </v:group>
            </w:pict>
          </mc:Fallback>
        </mc:AlternateContent>
      </w:r>
    </w:p>
    <w:p w14:paraId="2585223D">
      <w:pPr>
        <w:spacing w:line="500" w:lineRule="exact"/>
        <w:jc w:val="center"/>
        <w:rPr>
          <w:rFonts w:ascii="宋体" w:hAnsi="宋体" w:eastAsia="宋体" w:cs="Times New Roman"/>
          <w:color w:val="auto"/>
        </w:rPr>
      </w:pPr>
      <w:r>
        <w:rPr>
          <w:rFonts w:ascii="宋体" w:hAnsi="宋体" w:eastAsia="宋体" w:cs="Times New Roman"/>
          <w:color w:val="auto"/>
          <w:szCs w:val="20"/>
        </w:rPr>
        <w:t>图5.3-</w:t>
      </w:r>
      <w:r>
        <w:rPr>
          <w:rFonts w:hint="eastAsia" w:ascii="宋体" w:hAnsi="宋体" w:eastAsia="宋体" w:cs="Times New Roman"/>
          <w:color w:val="auto"/>
          <w:szCs w:val="20"/>
        </w:rPr>
        <w:t>5</w:t>
      </w:r>
      <w:r>
        <w:rPr>
          <w:rFonts w:ascii="宋体" w:hAnsi="宋体" w:eastAsia="宋体" w:cs="Times New Roman"/>
          <w:color w:val="auto"/>
        </w:rPr>
        <w:t xml:space="preserve">  </w:t>
      </w:r>
      <w:r>
        <w:rPr>
          <w:rFonts w:ascii="宋体" w:hAnsi="宋体" w:eastAsia="宋体" w:cs="Times New Roman"/>
          <w:color w:val="auto"/>
          <w:szCs w:val="20"/>
        </w:rPr>
        <w:t>拉油点储罐泄漏</w:t>
      </w:r>
      <w:r>
        <w:rPr>
          <w:rFonts w:ascii="宋体" w:hAnsi="宋体" w:eastAsia="宋体" w:cs="Times New Roman"/>
          <w:color w:val="auto"/>
        </w:rPr>
        <w:t>100天石油类污染扩散平面图</w:t>
      </w:r>
    </w:p>
    <w:p w14:paraId="7F7F567F">
      <w:pPr>
        <w:jc w:val="center"/>
        <w:rPr>
          <w:rFonts w:ascii="宋体" w:hAnsi="宋体" w:eastAsia="宋体" w:cs="Times New Roman"/>
          <w:color w:val="auto"/>
        </w:rPr>
      </w:pPr>
      <w:r>
        <w:rPr>
          <w:rFonts w:ascii="宋体" w:hAnsi="宋体" w:eastAsia="宋体"/>
          <w:color w:val="auto"/>
        </w:rPr>
        <mc:AlternateContent>
          <mc:Choice Requires="wpg">
            <w:drawing>
              <wp:anchor distT="0" distB="0" distL="114300" distR="114300" simplePos="0" relativeHeight="251672576" behindDoc="0" locked="0" layoutInCell="1" allowOverlap="1">
                <wp:simplePos x="0" y="0"/>
                <wp:positionH relativeFrom="column">
                  <wp:posOffset>2689225</wp:posOffset>
                </wp:positionH>
                <wp:positionV relativeFrom="paragraph">
                  <wp:posOffset>1965960</wp:posOffset>
                </wp:positionV>
                <wp:extent cx="1034415" cy="1212850"/>
                <wp:effectExtent l="0" t="24130" r="0" b="0"/>
                <wp:wrapNone/>
                <wp:docPr id="50523497" name="组合 50523497"/>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50523498"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50523499" name="矩形 489"/>
                        <wps:cNvSpPr/>
                        <wps:spPr>
                          <a:xfrm rot="2388655">
                            <a:off x="25358" y="2678354"/>
                            <a:ext cx="1377" cy="1911"/>
                          </a:xfrm>
                          <a:prstGeom prst="rect">
                            <a:avLst/>
                          </a:prstGeom>
                          <a:noFill/>
                          <a:ln w="12700" cap="flat" cmpd="sng" algn="ctr">
                            <a:noFill/>
                            <a:prstDash val="solid"/>
                            <a:miter lim="800000"/>
                          </a:ln>
                          <a:effectLst/>
                        </wps:spPr>
                        <wps:txbx>
                          <w:txbxContent>
                            <w:p w14:paraId="1209D289">
                              <w:pPr>
                                <w:jc w:val="center"/>
                                <w:rPr>
                                  <w:color w:val="444444"/>
                                </w:rPr>
                              </w:pPr>
                              <w:r>
                                <w:rPr>
                                  <w:rFonts w:hint="eastAsia"/>
                                  <w:color w:val="444444"/>
                                </w:rPr>
                                <w:t>地</w:t>
                              </w:r>
                            </w:p>
                            <w:p w14:paraId="1DDE8ACB">
                              <w:pPr>
                                <w:jc w:val="center"/>
                                <w:rPr>
                                  <w:color w:val="444444"/>
                                </w:rPr>
                              </w:pPr>
                              <w:r>
                                <w:rPr>
                                  <w:rFonts w:hint="eastAsia"/>
                                  <w:color w:val="444444"/>
                                </w:rPr>
                                <w:t>下</w:t>
                              </w:r>
                            </w:p>
                            <w:p w14:paraId="7D7F49FC">
                              <w:pPr>
                                <w:jc w:val="center"/>
                                <w:rPr>
                                  <w:color w:val="444444"/>
                                </w:rPr>
                              </w:pPr>
                              <w:r>
                                <w:rPr>
                                  <w:rFonts w:hint="eastAsia"/>
                                  <w:color w:val="444444"/>
                                </w:rPr>
                                <w:t>水</w:t>
                              </w:r>
                            </w:p>
                            <w:p w14:paraId="17464A40">
                              <w:pPr>
                                <w:jc w:val="center"/>
                                <w:rPr>
                                  <w:color w:val="444444"/>
                                </w:rPr>
                              </w:pPr>
                              <w:r>
                                <w:rPr>
                                  <w:color w:val="444444"/>
                                </w:rPr>
                                <w:t>流</w:t>
                              </w:r>
                            </w:p>
                            <w:p w14:paraId="7E9B3CE8">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1.75pt;margin-top:154.8pt;height:95.5pt;width:81.45pt;z-index:251672576;mso-width-relative:page;mso-height-relative:page;" coordorigin="25105,2678354" coordsize="1629,1910" o:gfxdata="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C6/OJbbAAAACwEAAA8A&#10;AAAAAAAAAQAgAAAAIgAAAGRycy9kb3ducmV2LnhtbFBLAQIUABQAAAAIAIdO4kBrEIy5owMAAFcI&#10;AAAOAAAAAAAAAAEAIAAAACoBAABkcnMvZTJvRG9jLnhtbFBLBQYAAAAABgAGAFkBAAA/Bw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LJE39cAAAADh&#10;AAAADwAAAGRycy9kb3ducmV2LnhtbEVPz2vCMBS+C/sfwhvsIjPR6dBqFDZXNvBkNzw/mmdbbF66&#10;JrXqX78chB0/vt+rzcXW4kytrxxrGI8UCOLcmYoLDT/f6fMchA/IBmvHpOFKHjbrh8EKE+N63tM5&#10;C4WIIewT1FCG0CRS+rwki37kGuLIHV1rMUTYFtK02MdwW8uJUq/SYsWxocSG3kvKT1lnNby5/rZL&#10;Pz+K32xrUsOHLpjtUOunx7Faggh0Cf/iu/vLaJip2eRluoiT46P4Bu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kTf1&#10;wAAAAOEAAAAPAAAAAAAAAAEAIAAAACIAAABkcnMvZG93bnJldi54bWxQSwECFAAUAAAACACHTuJA&#10;My8FnjsAAAA5AAAAEAAAAAAAAAABACAAAAAPAQAAZHJzL3NoYXBleG1sLnhtbFBLBQYAAAAABgAG&#10;AFsBAAC5AwA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51gSGcQAAADh&#10;AAAADwAAAGRycy9kb3ducmV2LnhtbEWPQU/CQBSE7yb8h80j8Sa7FDG2snBQSdqIB5ADx5fusy10&#10;3zbdtcV/75qYeJzMzDeZ1eZqWzFQ7xvHGuYzBYK4dKbhSsPxY3v3CMIHZIOtY9LwTR4268nNCjPj&#10;Rt7TcAiViBD2GWqoQ+gyKX1Zk0U/cx1x9D5dbzFE2VfS9DhGuG1lotSDtNhwXKixo+eaysvhy2rY&#10;qnM+7vavw+K9TdL8VBRvw0uh9e10rp5ABLqG//BfOzcalmqZLO7TFH4fxTcg1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1gSGcQAAADhAAAADwAAAAAAAAABACAAAAAiAAAAZHJzL2Rvd25yZXYueG1sUEsBAhQAFAAAAAgA&#10;h07iQDMvBZ47AAAAOQAAABAAAAAAAAAAAQAgAAAAEwEAAGRycy9zaGFwZXhtbC54bWxQSwUGAAAA&#10;AAYABgBbAQAAvQMAAAAA&#10;">
                  <v:fill on="f" focussize="0,0"/>
                  <v:stroke on="f" weight="1pt" miterlimit="8" joinstyle="miter"/>
                  <v:imagedata o:title=""/>
                  <o:lock v:ext="edit" aspectratio="f"/>
                  <v:textbox>
                    <w:txbxContent>
                      <w:p w14:paraId="1209D289">
                        <w:pPr>
                          <w:jc w:val="center"/>
                          <w:rPr>
                            <w:color w:val="444444"/>
                          </w:rPr>
                        </w:pPr>
                        <w:r>
                          <w:rPr>
                            <w:rFonts w:hint="eastAsia"/>
                            <w:color w:val="444444"/>
                          </w:rPr>
                          <w:t>地</w:t>
                        </w:r>
                      </w:p>
                      <w:p w14:paraId="1DDE8ACB">
                        <w:pPr>
                          <w:jc w:val="center"/>
                          <w:rPr>
                            <w:color w:val="444444"/>
                          </w:rPr>
                        </w:pPr>
                        <w:r>
                          <w:rPr>
                            <w:rFonts w:hint="eastAsia"/>
                            <w:color w:val="444444"/>
                          </w:rPr>
                          <w:t>下</w:t>
                        </w:r>
                      </w:p>
                      <w:p w14:paraId="7D7F49FC">
                        <w:pPr>
                          <w:jc w:val="center"/>
                          <w:rPr>
                            <w:color w:val="444444"/>
                          </w:rPr>
                        </w:pPr>
                        <w:r>
                          <w:rPr>
                            <w:rFonts w:hint="eastAsia"/>
                            <w:color w:val="444444"/>
                          </w:rPr>
                          <w:t>水</w:t>
                        </w:r>
                      </w:p>
                      <w:p w14:paraId="17464A40">
                        <w:pPr>
                          <w:jc w:val="center"/>
                          <w:rPr>
                            <w:color w:val="444444"/>
                          </w:rPr>
                        </w:pPr>
                        <w:r>
                          <w:rPr>
                            <w:color w:val="444444"/>
                          </w:rPr>
                          <w:t>流</w:t>
                        </w:r>
                      </w:p>
                      <w:p w14:paraId="7E9B3CE8">
                        <w:pPr>
                          <w:jc w:val="center"/>
                          <w:rPr>
                            <w:color w:val="444444"/>
                          </w:rPr>
                        </w:pPr>
                        <w:r>
                          <w:rPr>
                            <w:color w:val="444444"/>
                          </w:rPr>
                          <w:t>向</w:t>
                        </w:r>
                      </w:p>
                    </w:txbxContent>
                  </v:textbox>
                </v:rect>
              </v:group>
            </w:pict>
          </mc:Fallback>
        </mc:AlternateContent>
      </w:r>
      <w:r>
        <w:rPr>
          <w:rFonts w:ascii="宋体" w:hAnsi="宋体" w:eastAsia="宋体"/>
          <w:color w:val="auto"/>
        </w:rPr>
        <w:drawing>
          <wp:inline distT="0" distB="0" distL="114300" distR="114300">
            <wp:extent cx="5009515" cy="4067810"/>
            <wp:effectExtent l="0" t="0" r="635" b="8890"/>
            <wp:docPr id="12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 descr="IMG_256"/>
                    <pic:cNvPicPr>
                      <a:picLocks noChangeAspect="1"/>
                    </pic:cNvPicPr>
                  </pic:nvPicPr>
                  <pic:blipFill>
                    <a:blip r:embed="rId122"/>
                    <a:stretch>
                      <a:fillRect/>
                    </a:stretch>
                  </pic:blipFill>
                  <pic:spPr>
                    <a:xfrm>
                      <a:off x="0" y="0"/>
                      <a:ext cx="5009515" cy="4067810"/>
                    </a:xfrm>
                    <a:prstGeom prst="rect">
                      <a:avLst/>
                    </a:prstGeom>
                    <a:noFill/>
                    <a:ln w="9525">
                      <a:noFill/>
                    </a:ln>
                  </pic:spPr>
                </pic:pic>
              </a:graphicData>
            </a:graphic>
          </wp:inline>
        </w:drawing>
      </w:r>
    </w:p>
    <w:p w14:paraId="53264C42">
      <w:pPr>
        <w:jc w:val="center"/>
        <w:rPr>
          <w:rFonts w:ascii="宋体" w:hAnsi="宋体" w:eastAsia="宋体" w:cs="Times New Roman"/>
          <w:color w:val="auto"/>
        </w:rPr>
      </w:pPr>
      <w:r>
        <w:rPr>
          <w:rFonts w:ascii="宋体" w:hAnsi="宋体" w:eastAsia="宋体" w:cs="Times New Roman"/>
          <w:color w:val="auto"/>
          <w:szCs w:val="20"/>
        </w:rPr>
        <w:t>图5.3-</w:t>
      </w:r>
      <w:r>
        <w:rPr>
          <w:rFonts w:hint="eastAsia" w:ascii="宋体" w:hAnsi="宋体" w:eastAsia="宋体" w:cs="Times New Roman"/>
          <w:color w:val="auto"/>
          <w:szCs w:val="20"/>
        </w:rPr>
        <w:t>6</w:t>
      </w:r>
      <w:r>
        <w:rPr>
          <w:rFonts w:ascii="宋体" w:hAnsi="宋体" w:eastAsia="宋体" w:cs="Times New Roman"/>
          <w:color w:val="auto"/>
        </w:rPr>
        <w:t xml:space="preserve">  拉油点储罐泄漏1000天，石油类污染扩散平面图</w:t>
      </w:r>
    </w:p>
    <w:p w14:paraId="7F485F35">
      <w:pPr>
        <w:ind w:firstLine="420" w:firstLineChars="200"/>
        <w:jc w:val="center"/>
        <w:rPr>
          <w:rFonts w:ascii="宋体" w:hAnsi="宋体" w:eastAsia="宋体" w:cs="Times New Roman"/>
          <w:color w:val="auto"/>
          <w:szCs w:val="20"/>
        </w:rPr>
      </w:pPr>
      <w:r>
        <w:rPr>
          <w:rFonts w:ascii="宋体" w:hAnsi="宋体" w:eastAsia="宋体"/>
          <w:color w:val="auto"/>
        </w:rPr>
        <mc:AlternateContent>
          <mc:Choice Requires="wpg">
            <w:drawing>
              <wp:anchor distT="0" distB="0" distL="114300" distR="114300" simplePos="0" relativeHeight="251670528" behindDoc="0" locked="0" layoutInCell="1" allowOverlap="1">
                <wp:simplePos x="0" y="0"/>
                <wp:positionH relativeFrom="column">
                  <wp:posOffset>2762885</wp:posOffset>
                </wp:positionH>
                <wp:positionV relativeFrom="paragraph">
                  <wp:posOffset>1912620</wp:posOffset>
                </wp:positionV>
                <wp:extent cx="1034415" cy="1212850"/>
                <wp:effectExtent l="0" t="24130" r="0" b="0"/>
                <wp:wrapNone/>
                <wp:docPr id="50523500" name="组合 50523500"/>
                <wp:cNvGraphicFramePr/>
                <a:graphic xmlns:a="http://schemas.openxmlformats.org/drawingml/2006/main">
                  <a:graphicData uri="http://schemas.microsoft.com/office/word/2010/wordprocessingGroup">
                    <wpg:wgp>
                      <wpg:cNvGrpSpPr/>
                      <wpg:grpSpPr>
                        <a:xfrm>
                          <a:off x="0" y="0"/>
                          <a:ext cx="1034415" cy="1212850"/>
                          <a:chOff x="25105" y="2678354"/>
                          <a:chExt cx="1629" cy="1910"/>
                        </a:xfrm>
                      </wpg:grpSpPr>
                      <wps:wsp>
                        <wps:cNvPr id="50523501" name="直接箭头连接符 488"/>
                        <wps:cNvCnPr/>
                        <wps:spPr>
                          <a:xfrm rot="21120000" flipH="1">
                            <a:off x="25105" y="2678429"/>
                            <a:ext cx="1576" cy="1440"/>
                          </a:xfrm>
                          <a:prstGeom prst="straightConnector1">
                            <a:avLst/>
                          </a:prstGeom>
                          <a:noFill/>
                          <a:ln w="6350" cap="flat" cmpd="sng" algn="ctr">
                            <a:solidFill>
                              <a:srgbClr val="00B050"/>
                            </a:solidFill>
                            <a:prstDash val="solid"/>
                            <a:miter lim="800000"/>
                            <a:tailEnd type="triangle"/>
                          </a:ln>
                          <a:effectLst/>
                        </wps:spPr>
                        <wps:bodyPr/>
                      </wps:wsp>
                      <wps:wsp>
                        <wps:cNvPr id="50523502" name="矩形 489"/>
                        <wps:cNvSpPr/>
                        <wps:spPr>
                          <a:xfrm rot="2388655">
                            <a:off x="25358" y="2678354"/>
                            <a:ext cx="1377" cy="1911"/>
                          </a:xfrm>
                          <a:prstGeom prst="rect">
                            <a:avLst/>
                          </a:prstGeom>
                          <a:noFill/>
                          <a:ln w="12700" cap="flat" cmpd="sng" algn="ctr">
                            <a:noFill/>
                            <a:prstDash val="solid"/>
                            <a:miter lim="800000"/>
                          </a:ln>
                          <a:effectLst/>
                        </wps:spPr>
                        <wps:txbx>
                          <w:txbxContent>
                            <w:p w14:paraId="247C914F">
                              <w:pPr>
                                <w:jc w:val="center"/>
                                <w:rPr>
                                  <w:color w:val="444444"/>
                                </w:rPr>
                              </w:pPr>
                              <w:r>
                                <w:rPr>
                                  <w:rFonts w:hint="eastAsia"/>
                                  <w:color w:val="444444"/>
                                </w:rPr>
                                <w:t>地</w:t>
                              </w:r>
                            </w:p>
                            <w:p w14:paraId="59DF5572">
                              <w:pPr>
                                <w:jc w:val="center"/>
                                <w:rPr>
                                  <w:color w:val="444444"/>
                                </w:rPr>
                              </w:pPr>
                              <w:r>
                                <w:rPr>
                                  <w:rFonts w:hint="eastAsia"/>
                                  <w:color w:val="444444"/>
                                </w:rPr>
                                <w:t>下</w:t>
                              </w:r>
                            </w:p>
                            <w:p w14:paraId="67DDD6C5">
                              <w:pPr>
                                <w:jc w:val="center"/>
                                <w:rPr>
                                  <w:color w:val="444444"/>
                                </w:rPr>
                              </w:pPr>
                              <w:r>
                                <w:rPr>
                                  <w:rFonts w:hint="eastAsia"/>
                                  <w:color w:val="444444"/>
                                </w:rPr>
                                <w:t>水</w:t>
                              </w:r>
                            </w:p>
                            <w:p w14:paraId="44853409">
                              <w:pPr>
                                <w:jc w:val="center"/>
                                <w:rPr>
                                  <w:color w:val="444444"/>
                                </w:rPr>
                              </w:pPr>
                              <w:r>
                                <w:rPr>
                                  <w:color w:val="444444"/>
                                </w:rPr>
                                <w:t>流</w:t>
                              </w:r>
                            </w:p>
                            <w:p w14:paraId="452A0966">
                              <w:pPr>
                                <w:jc w:val="center"/>
                                <w:rPr>
                                  <w:color w:val="444444"/>
                                </w:rPr>
                              </w:pPr>
                              <w:r>
                                <w:rPr>
                                  <w:color w:val="444444"/>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7.55pt;margin-top:150.6pt;height:95.5pt;width:81.45pt;z-index:251670528;mso-width-relative:page;mso-height-relative:page;" coordorigin="25105,2678354" coordsize="1629,1910" o:gfxdata="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DIPSdx2wAAAAsBAAAPAAAAAAAA&#10;AAEAIAAAACIAAABkcnMvZG93bnJldi54bWxQSwECFAAUAAAACACHTuJAd64wIJ4DAABXCAAADgAA&#10;AAAAAAABACAAAAAqAQAAZHJzL2Uyb0RvYy54bWxQSwUGAAAAAAYABgBZAQAAOgcAAAAA&#10;">
                <o:lock v:ext="edit" aspectratio="f"/>
                <v:shape id="直接箭头连接符 488" o:spid="_x0000_s1026" o:spt="32" type="#_x0000_t32" style="position:absolute;left:25105;top:2678429;flip:x;height:1440;width:1576;rotation:524288f;" filled="f" stroked="t" coordsize="21600,21600" o:gfxdata="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NA&#10;BHLCAAAA4QAAAA8AAAAAAAAAAQAgAAAAIgAAAGRycy9kb3ducmV2LnhtbFBLAQIUABQAAAAIAIdO&#10;4kAzLwWeOwAAADkAAAAQAAAAAAAAAAEAIAAAABEBAABkcnMvc2hhcGV4bWwueG1sUEsFBgAAAAAG&#10;AAYAWwEAALsDAAAAAA==&#10;">
                  <v:fill on="f" focussize="0,0"/>
                  <v:stroke weight="0.5pt" color="#00B050" miterlimit="8" joinstyle="miter" endarrow="block"/>
                  <v:imagedata o:title=""/>
                  <o:lock v:ext="edit" aspectratio="f"/>
                </v:shape>
                <v:rect id="矩形 489" o:spid="_x0000_s1026" o:spt="1" style="position:absolute;left:25358;top:2678354;height:1911;width:1377;rotation:2609048f;v-text-anchor:middle;" filled="f" stroked="f" coordsize="21600,21600" o:gfxdata="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xcacsQAAADhAAAADwAAAAAAAAABACAAAAAiAAAAZHJzL2Rvd25yZXYueG1sUEsBAhQAFAAAAAgA&#10;h07iQDMvBZ47AAAAOQAAABAAAAAAAAAAAQAgAAAAEwEAAGRycy9zaGFwZXhtbC54bWxQSwUGAAAA&#10;AAYABgBbAQAAvQMAAAAA&#10;">
                  <v:fill on="f" focussize="0,0"/>
                  <v:stroke on="f" weight="1pt" miterlimit="8" joinstyle="miter"/>
                  <v:imagedata o:title=""/>
                  <o:lock v:ext="edit" aspectratio="f"/>
                  <v:textbox>
                    <w:txbxContent>
                      <w:p w14:paraId="247C914F">
                        <w:pPr>
                          <w:jc w:val="center"/>
                          <w:rPr>
                            <w:color w:val="444444"/>
                          </w:rPr>
                        </w:pPr>
                        <w:r>
                          <w:rPr>
                            <w:rFonts w:hint="eastAsia"/>
                            <w:color w:val="444444"/>
                          </w:rPr>
                          <w:t>地</w:t>
                        </w:r>
                      </w:p>
                      <w:p w14:paraId="59DF5572">
                        <w:pPr>
                          <w:jc w:val="center"/>
                          <w:rPr>
                            <w:color w:val="444444"/>
                          </w:rPr>
                        </w:pPr>
                        <w:r>
                          <w:rPr>
                            <w:rFonts w:hint="eastAsia"/>
                            <w:color w:val="444444"/>
                          </w:rPr>
                          <w:t>下</w:t>
                        </w:r>
                      </w:p>
                      <w:p w14:paraId="67DDD6C5">
                        <w:pPr>
                          <w:jc w:val="center"/>
                          <w:rPr>
                            <w:color w:val="444444"/>
                          </w:rPr>
                        </w:pPr>
                        <w:r>
                          <w:rPr>
                            <w:rFonts w:hint="eastAsia"/>
                            <w:color w:val="444444"/>
                          </w:rPr>
                          <w:t>水</w:t>
                        </w:r>
                      </w:p>
                      <w:p w14:paraId="44853409">
                        <w:pPr>
                          <w:jc w:val="center"/>
                          <w:rPr>
                            <w:color w:val="444444"/>
                          </w:rPr>
                        </w:pPr>
                        <w:r>
                          <w:rPr>
                            <w:color w:val="444444"/>
                          </w:rPr>
                          <w:t>流</w:t>
                        </w:r>
                      </w:p>
                      <w:p w14:paraId="452A0966">
                        <w:pPr>
                          <w:jc w:val="center"/>
                          <w:rPr>
                            <w:color w:val="444444"/>
                          </w:rPr>
                        </w:pPr>
                        <w:r>
                          <w:rPr>
                            <w:color w:val="444444"/>
                          </w:rPr>
                          <w:t>向</w:t>
                        </w:r>
                      </w:p>
                    </w:txbxContent>
                  </v:textbox>
                </v:rect>
              </v:group>
            </w:pict>
          </mc:Fallback>
        </mc:AlternateContent>
      </w:r>
      <w:r>
        <w:rPr>
          <w:rFonts w:ascii="宋体" w:hAnsi="宋体" w:eastAsia="宋体"/>
          <w:color w:val="auto"/>
        </w:rPr>
        <w:drawing>
          <wp:inline distT="0" distB="0" distL="114300" distR="114300">
            <wp:extent cx="5250180" cy="4319905"/>
            <wp:effectExtent l="0" t="0" r="7620" b="4445"/>
            <wp:docPr id="11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 descr="IMG_256"/>
                    <pic:cNvPicPr>
                      <a:picLocks noChangeAspect="1"/>
                    </pic:cNvPicPr>
                  </pic:nvPicPr>
                  <pic:blipFill>
                    <a:blip r:embed="rId123"/>
                    <a:stretch>
                      <a:fillRect/>
                    </a:stretch>
                  </pic:blipFill>
                  <pic:spPr>
                    <a:xfrm>
                      <a:off x="0" y="0"/>
                      <a:ext cx="5250180" cy="4319905"/>
                    </a:xfrm>
                    <a:prstGeom prst="rect">
                      <a:avLst/>
                    </a:prstGeom>
                    <a:noFill/>
                    <a:ln w="9525">
                      <a:noFill/>
                    </a:ln>
                  </pic:spPr>
                </pic:pic>
              </a:graphicData>
            </a:graphic>
          </wp:inline>
        </w:drawing>
      </w:r>
    </w:p>
    <w:p w14:paraId="16796F4A">
      <w:pPr>
        <w:jc w:val="center"/>
        <w:rPr>
          <w:rFonts w:ascii="宋体" w:hAnsi="宋体" w:eastAsia="宋体" w:cs="Times New Roman"/>
          <w:color w:val="auto"/>
        </w:rPr>
      </w:pPr>
      <w:r>
        <w:rPr>
          <w:rFonts w:ascii="宋体" w:hAnsi="宋体" w:eastAsia="宋体" w:cs="Times New Roman"/>
          <w:color w:val="auto"/>
          <w:szCs w:val="20"/>
        </w:rPr>
        <w:t>图5.3-</w:t>
      </w:r>
      <w:r>
        <w:rPr>
          <w:rFonts w:hint="eastAsia" w:ascii="宋体" w:hAnsi="宋体" w:eastAsia="宋体" w:cs="Times New Roman"/>
          <w:color w:val="auto"/>
          <w:szCs w:val="20"/>
        </w:rPr>
        <w:t>6</w:t>
      </w:r>
      <w:r>
        <w:rPr>
          <w:rFonts w:ascii="宋体" w:hAnsi="宋体" w:eastAsia="宋体" w:cs="Times New Roman"/>
          <w:color w:val="auto"/>
        </w:rPr>
        <w:t xml:space="preserve">  拉油点储罐泄漏</w:t>
      </w:r>
      <w:r>
        <w:rPr>
          <w:rFonts w:hint="eastAsia" w:ascii="宋体" w:hAnsi="宋体" w:eastAsia="宋体" w:cs="Times New Roman"/>
          <w:color w:val="auto"/>
        </w:rPr>
        <w:t>5</w:t>
      </w:r>
      <w:r>
        <w:rPr>
          <w:rFonts w:ascii="宋体" w:hAnsi="宋体" w:eastAsia="宋体" w:cs="Times New Roman"/>
          <w:color w:val="auto"/>
        </w:rPr>
        <w:t>000天，石油类污染扩散平面图</w:t>
      </w:r>
    </w:p>
    <w:p w14:paraId="22B77CB8">
      <w:pPr>
        <w:jc w:val="center"/>
        <w:rPr>
          <w:rFonts w:hint="eastAsia" w:ascii="宋体" w:hAnsi="宋体" w:eastAsia="宋体" w:cs="Times New Roman"/>
          <w:color w:val="auto"/>
        </w:rPr>
      </w:pPr>
    </w:p>
    <w:p w14:paraId="4BAF2740">
      <w:pPr>
        <w:pStyle w:val="276"/>
        <w:widowControl w:val="0"/>
        <w:ind w:firstLine="480"/>
        <w:jc w:val="both"/>
        <w:rPr>
          <w:color w:val="auto"/>
          <w:kern w:val="2"/>
          <w:szCs w:val="20"/>
        </w:rPr>
      </w:pPr>
      <w:r>
        <w:rPr>
          <w:color w:val="auto"/>
          <w:kern w:val="2"/>
          <w:szCs w:val="20"/>
        </w:rPr>
        <w:t>由预测结果可知，随着时间增加，污染范围有所增加，</w:t>
      </w:r>
      <w:r>
        <w:rPr>
          <w:rFonts w:hint="eastAsia"/>
          <w:color w:val="auto"/>
          <w:kern w:val="2"/>
          <w:szCs w:val="20"/>
        </w:rPr>
        <w:t>拉油点储罐</w:t>
      </w:r>
      <w:r>
        <w:rPr>
          <w:color w:val="auto"/>
          <w:kern w:val="2"/>
          <w:szCs w:val="20"/>
        </w:rPr>
        <w:t>泄漏100d后，超标距离为下游</w:t>
      </w:r>
      <w:r>
        <w:rPr>
          <w:rFonts w:hint="eastAsia"/>
          <w:color w:val="auto"/>
          <w:kern w:val="2"/>
          <w:szCs w:val="20"/>
        </w:rPr>
        <w:t>33</w:t>
      </w:r>
      <w:r>
        <w:rPr>
          <w:color w:val="auto"/>
          <w:kern w:val="2"/>
          <w:szCs w:val="20"/>
        </w:rPr>
        <w:t>m；影响距离为下游</w:t>
      </w:r>
      <w:r>
        <w:rPr>
          <w:rFonts w:hint="eastAsia"/>
          <w:color w:val="auto"/>
          <w:kern w:val="2"/>
          <w:szCs w:val="20"/>
        </w:rPr>
        <w:t>35</w:t>
      </w:r>
      <w:r>
        <w:rPr>
          <w:color w:val="auto"/>
          <w:kern w:val="2"/>
          <w:szCs w:val="20"/>
        </w:rPr>
        <w:t>m，预测范围内影响面积为</w:t>
      </w:r>
      <w:r>
        <w:rPr>
          <w:rFonts w:hint="eastAsia"/>
          <w:color w:val="auto"/>
          <w:kern w:val="2"/>
          <w:szCs w:val="20"/>
        </w:rPr>
        <w:t>906.77</w:t>
      </w:r>
      <w:r>
        <w:rPr>
          <w:color w:val="auto"/>
          <w:kern w:val="2"/>
          <w:szCs w:val="20"/>
        </w:rPr>
        <w:t>m</w:t>
      </w:r>
      <w:r>
        <w:rPr>
          <w:color w:val="auto"/>
          <w:kern w:val="2"/>
          <w:szCs w:val="20"/>
          <w:vertAlign w:val="superscript"/>
        </w:rPr>
        <w:t>2</w:t>
      </w:r>
      <w:r>
        <w:rPr>
          <w:color w:val="auto"/>
          <w:kern w:val="2"/>
          <w:szCs w:val="20"/>
        </w:rPr>
        <w:t>。</w:t>
      </w:r>
      <w:r>
        <w:rPr>
          <w:rFonts w:hint="eastAsia"/>
          <w:color w:val="auto"/>
          <w:kern w:val="2"/>
          <w:szCs w:val="20"/>
        </w:rPr>
        <w:t>拉油点储罐</w:t>
      </w:r>
      <w:r>
        <w:rPr>
          <w:color w:val="auto"/>
          <w:kern w:val="2"/>
          <w:szCs w:val="20"/>
        </w:rPr>
        <w:t>泄漏1000d后，超标距离为下游</w:t>
      </w:r>
      <w:r>
        <w:rPr>
          <w:rFonts w:hint="eastAsia"/>
          <w:color w:val="auto"/>
          <w:kern w:val="2"/>
          <w:szCs w:val="20"/>
        </w:rPr>
        <w:t>128</w:t>
      </w:r>
      <w:r>
        <w:rPr>
          <w:color w:val="auto"/>
          <w:kern w:val="2"/>
          <w:szCs w:val="20"/>
        </w:rPr>
        <w:t>m；影响距离为下游</w:t>
      </w:r>
      <w:r>
        <w:rPr>
          <w:rFonts w:hint="eastAsia"/>
          <w:color w:val="auto"/>
          <w:kern w:val="2"/>
          <w:szCs w:val="20"/>
        </w:rPr>
        <w:t>136</w:t>
      </w:r>
      <w:r>
        <w:rPr>
          <w:color w:val="auto"/>
          <w:kern w:val="2"/>
          <w:szCs w:val="20"/>
        </w:rPr>
        <w:t>m，预测范围内影响面积为</w:t>
      </w:r>
      <w:r>
        <w:rPr>
          <w:rFonts w:hint="eastAsia"/>
          <w:color w:val="auto"/>
          <w:kern w:val="2"/>
          <w:szCs w:val="20"/>
        </w:rPr>
        <w:t>7131.65</w:t>
      </w:r>
      <w:r>
        <w:rPr>
          <w:color w:val="auto"/>
          <w:kern w:val="2"/>
          <w:szCs w:val="20"/>
        </w:rPr>
        <w:t>m</w:t>
      </w:r>
      <w:r>
        <w:rPr>
          <w:color w:val="auto"/>
          <w:kern w:val="2"/>
          <w:szCs w:val="20"/>
          <w:vertAlign w:val="superscript"/>
        </w:rPr>
        <w:t>2</w:t>
      </w:r>
      <w:r>
        <w:rPr>
          <w:color w:val="auto"/>
          <w:kern w:val="2"/>
          <w:szCs w:val="20"/>
        </w:rPr>
        <w:t>。</w:t>
      </w:r>
      <w:r>
        <w:rPr>
          <w:rFonts w:hint="eastAsia"/>
          <w:color w:val="auto"/>
          <w:kern w:val="2"/>
          <w:szCs w:val="20"/>
        </w:rPr>
        <w:t>拉油点储罐</w:t>
      </w:r>
      <w:r>
        <w:rPr>
          <w:color w:val="auto"/>
          <w:kern w:val="2"/>
          <w:szCs w:val="20"/>
        </w:rPr>
        <w:t>泄漏</w:t>
      </w:r>
      <w:r>
        <w:rPr>
          <w:rFonts w:hint="eastAsia"/>
          <w:color w:val="auto"/>
          <w:kern w:val="2"/>
          <w:szCs w:val="20"/>
        </w:rPr>
        <w:t>5475</w:t>
      </w:r>
      <w:r>
        <w:rPr>
          <w:color w:val="auto"/>
          <w:kern w:val="2"/>
          <w:szCs w:val="20"/>
        </w:rPr>
        <w:t>d后，超标距离为下游</w:t>
      </w:r>
      <w:r>
        <w:rPr>
          <w:rFonts w:hint="eastAsia"/>
          <w:color w:val="auto"/>
          <w:kern w:val="2"/>
          <w:szCs w:val="20"/>
        </w:rPr>
        <w:t>436</w:t>
      </w:r>
      <w:r>
        <w:rPr>
          <w:color w:val="auto"/>
          <w:kern w:val="2"/>
          <w:szCs w:val="20"/>
        </w:rPr>
        <w:t>m；影响距离为</w:t>
      </w:r>
      <w:r>
        <w:rPr>
          <w:color w:val="auto"/>
          <w:lang w:val="zh-CN"/>
        </w:rPr>
        <w:t>下游</w:t>
      </w:r>
      <w:r>
        <w:rPr>
          <w:rFonts w:hint="eastAsia"/>
          <w:color w:val="auto"/>
          <w:kern w:val="2"/>
          <w:szCs w:val="20"/>
        </w:rPr>
        <w:t>456</w:t>
      </w:r>
      <w:r>
        <w:rPr>
          <w:color w:val="auto"/>
          <w:kern w:val="2"/>
          <w:szCs w:val="20"/>
        </w:rPr>
        <w:t>m，预测范围内影响面积为</w:t>
      </w:r>
      <w:r>
        <w:rPr>
          <w:rFonts w:hint="eastAsia"/>
          <w:color w:val="auto"/>
          <w:kern w:val="2"/>
          <w:szCs w:val="20"/>
        </w:rPr>
        <w:t>32643.86</w:t>
      </w:r>
      <w:r>
        <w:rPr>
          <w:color w:val="auto"/>
          <w:kern w:val="2"/>
          <w:szCs w:val="20"/>
        </w:rPr>
        <w:t>m</w:t>
      </w:r>
      <w:r>
        <w:rPr>
          <w:color w:val="auto"/>
          <w:kern w:val="2"/>
          <w:szCs w:val="20"/>
          <w:vertAlign w:val="superscript"/>
        </w:rPr>
        <w:t>2</w:t>
      </w:r>
      <w:r>
        <w:rPr>
          <w:color w:val="auto"/>
          <w:kern w:val="2"/>
          <w:szCs w:val="20"/>
        </w:rPr>
        <w:t>。</w:t>
      </w:r>
      <w:r>
        <w:rPr>
          <w:rFonts w:hint="eastAsia"/>
          <w:color w:val="auto"/>
          <w:kern w:val="2"/>
          <w:szCs w:val="20"/>
        </w:rPr>
        <w:t>经</w:t>
      </w:r>
      <w:r>
        <w:rPr>
          <w:color w:val="auto"/>
          <w:kern w:val="2"/>
          <w:szCs w:val="20"/>
        </w:rPr>
        <w:t>调查，本项目距离本项目最近的</w:t>
      </w:r>
      <w:r>
        <w:rPr>
          <w:rFonts w:hint="eastAsia"/>
          <w:color w:val="auto"/>
          <w:kern w:val="2"/>
          <w:szCs w:val="20"/>
        </w:rPr>
        <w:t>水源井为3#平台北500m后欧力马屯分散式水源井</w:t>
      </w:r>
      <w:r>
        <w:rPr>
          <w:color w:val="auto"/>
          <w:kern w:val="2"/>
          <w:szCs w:val="20"/>
        </w:rPr>
        <w:t>，</w:t>
      </w:r>
      <w:r>
        <w:rPr>
          <w:rFonts w:hint="eastAsia"/>
          <w:color w:val="auto"/>
          <w:kern w:val="2"/>
          <w:szCs w:val="20"/>
        </w:rPr>
        <w:t>最近下游水井为3#平台西南1200m的王家园子水井</w:t>
      </w:r>
      <w:r>
        <w:rPr>
          <w:color w:val="auto"/>
          <w:kern w:val="2"/>
          <w:szCs w:val="20"/>
        </w:rPr>
        <w:t>，</w:t>
      </w:r>
      <w:r>
        <w:rPr>
          <w:rFonts w:hint="eastAsia"/>
          <w:color w:val="auto"/>
          <w:kern w:val="2"/>
          <w:szCs w:val="20"/>
        </w:rPr>
        <w:t>非正常工况</w:t>
      </w:r>
      <w:r>
        <w:rPr>
          <w:color w:val="auto"/>
          <w:kern w:val="2"/>
          <w:szCs w:val="20"/>
        </w:rPr>
        <w:t>下</w:t>
      </w:r>
      <w:r>
        <w:rPr>
          <w:rFonts w:hint="eastAsia"/>
          <w:color w:val="auto"/>
          <w:kern w:val="2"/>
          <w:szCs w:val="20"/>
        </w:rPr>
        <w:t>，</w:t>
      </w:r>
      <w:r>
        <w:rPr>
          <w:color w:val="auto"/>
          <w:kern w:val="2"/>
          <w:szCs w:val="20"/>
        </w:rPr>
        <w:t>拉油点储罐</w:t>
      </w:r>
      <w:r>
        <w:rPr>
          <w:rFonts w:hint="eastAsia"/>
          <w:color w:val="auto"/>
          <w:kern w:val="2"/>
          <w:szCs w:val="20"/>
        </w:rPr>
        <w:t>泄漏</w:t>
      </w:r>
      <w:r>
        <w:rPr>
          <w:color w:val="auto"/>
          <w:kern w:val="2"/>
          <w:szCs w:val="20"/>
        </w:rPr>
        <w:t>原油首先进入土壤，经过土壤下渗到达潜水层，会对土壤、潜水产生影响</w:t>
      </w:r>
      <w:r>
        <w:rPr>
          <w:rFonts w:hint="eastAsia"/>
          <w:color w:val="auto"/>
          <w:kern w:val="2"/>
          <w:szCs w:val="20"/>
        </w:rPr>
        <w:t>。项目运营期</w:t>
      </w:r>
      <w:r>
        <w:rPr>
          <w:color w:val="auto"/>
          <w:kern w:val="2"/>
          <w:szCs w:val="20"/>
        </w:rPr>
        <w:t>拉油点定期巡查，储罐</w:t>
      </w:r>
      <w:r>
        <w:rPr>
          <w:rFonts w:hint="eastAsia"/>
          <w:color w:val="auto"/>
          <w:kern w:val="2"/>
          <w:szCs w:val="20"/>
        </w:rPr>
        <w:t>泄漏</w:t>
      </w:r>
      <w:r>
        <w:rPr>
          <w:color w:val="auto"/>
          <w:kern w:val="2"/>
          <w:szCs w:val="20"/>
        </w:rPr>
        <w:t>较易被发现，且储罐为重点防渗，下铺</w:t>
      </w:r>
      <w:r>
        <w:rPr>
          <w:rFonts w:hint="eastAsia"/>
          <w:color w:val="auto"/>
          <w:kern w:val="2"/>
          <w:szCs w:val="20"/>
        </w:rPr>
        <w:t>高密度聚乙烯土工膜</w:t>
      </w:r>
      <w:r>
        <w:rPr>
          <w:color w:val="auto"/>
          <w:kern w:val="2"/>
          <w:szCs w:val="20"/>
        </w:rPr>
        <w:t>，及时采取必要的处理措施后，使造成的污染可控制在局部地区，不会造成大面积的区域性污染。</w:t>
      </w:r>
      <w:r>
        <w:rPr>
          <w:rFonts w:hint="eastAsia"/>
          <w:color w:val="auto"/>
          <w:kern w:val="21"/>
        </w:rPr>
        <w:t>采取以上措施后，储油罐泄漏对地下水影响较小。</w:t>
      </w:r>
    </w:p>
    <w:p w14:paraId="19819306">
      <w:pPr>
        <w:pStyle w:val="6"/>
        <w:rPr>
          <w:color w:val="auto"/>
        </w:rPr>
      </w:pPr>
      <w:r>
        <w:rPr>
          <w:color w:val="auto"/>
        </w:rPr>
        <w:t>地下水环境影响评价结论</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1AF21FAE">
      <w:pPr>
        <w:pStyle w:val="276"/>
        <w:widowControl w:val="0"/>
        <w:ind w:firstLine="480"/>
        <w:jc w:val="both"/>
        <w:rPr>
          <w:color w:val="auto"/>
          <w:kern w:val="2"/>
          <w:szCs w:val="20"/>
        </w:rPr>
      </w:pPr>
      <w:r>
        <w:rPr>
          <w:color w:val="auto"/>
          <w:kern w:val="2"/>
          <w:szCs w:val="20"/>
        </w:rPr>
        <w:t>项目正常工况下不会对地下水环境产生影响。事故状况下，当钻井套管连接不及时等操作失误造成油基钻井液泄漏100d、1000d、5</w:t>
      </w:r>
      <w:r>
        <w:rPr>
          <w:rFonts w:hint="eastAsia"/>
          <w:color w:val="auto"/>
          <w:kern w:val="2"/>
          <w:szCs w:val="20"/>
        </w:rPr>
        <w:t>475</w:t>
      </w:r>
      <w:r>
        <w:rPr>
          <w:color w:val="auto"/>
          <w:kern w:val="2"/>
          <w:szCs w:val="20"/>
        </w:rPr>
        <w:t>d时，随着时间增加，污染物超标范围有所增加，下游</w:t>
      </w:r>
      <w:r>
        <w:rPr>
          <w:rFonts w:hint="eastAsia"/>
          <w:color w:val="auto"/>
          <w:kern w:val="2"/>
          <w:szCs w:val="20"/>
        </w:rPr>
        <w:t>27</w:t>
      </w:r>
      <w:r>
        <w:rPr>
          <w:color w:val="auto"/>
          <w:kern w:val="2"/>
          <w:szCs w:val="20"/>
        </w:rPr>
        <w:t>m、1</w:t>
      </w:r>
      <w:r>
        <w:rPr>
          <w:rFonts w:hint="eastAsia"/>
          <w:color w:val="auto"/>
          <w:kern w:val="2"/>
          <w:szCs w:val="20"/>
        </w:rPr>
        <w:t>03</w:t>
      </w:r>
      <w:r>
        <w:rPr>
          <w:color w:val="auto"/>
          <w:kern w:val="2"/>
          <w:szCs w:val="20"/>
        </w:rPr>
        <w:t>m、</w:t>
      </w:r>
      <w:r>
        <w:rPr>
          <w:rFonts w:hint="eastAsia"/>
          <w:color w:val="auto"/>
          <w:kern w:val="2"/>
          <w:szCs w:val="20"/>
        </w:rPr>
        <w:t>333</w:t>
      </w:r>
      <w:r>
        <w:rPr>
          <w:color w:val="auto"/>
          <w:kern w:val="2"/>
          <w:szCs w:val="20"/>
        </w:rPr>
        <w:t>m范围内石油类超出了《地表水环境质量标准》（GB3838-2002）中II类标准限值。当集输管线泄漏100d、1000d、5000d时，随着时间增加，污染物超标范围有所增加，下游</w:t>
      </w:r>
      <w:r>
        <w:rPr>
          <w:rFonts w:hint="eastAsia"/>
          <w:color w:val="auto"/>
          <w:kern w:val="2"/>
          <w:szCs w:val="20"/>
        </w:rPr>
        <w:t>32</w:t>
      </w:r>
      <w:r>
        <w:rPr>
          <w:color w:val="auto"/>
          <w:kern w:val="2"/>
          <w:szCs w:val="20"/>
        </w:rPr>
        <w:t>m、</w:t>
      </w:r>
      <w:r>
        <w:rPr>
          <w:rFonts w:hint="eastAsia"/>
          <w:color w:val="auto"/>
          <w:kern w:val="2"/>
          <w:szCs w:val="20"/>
        </w:rPr>
        <w:t>124</w:t>
      </w:r>
      <w:r>
        <w:rPr>
          <w:color w:val="auto"/>
          <w:kern w:val="2"/>
          <w:szCs w:val="20"/>
        </w:rPr>
        <w:t>m、</w:t>
      </w:r>
      <w:r>
        <w:rPr>
          <w:rFonts w:hint="eastAsia"/>
          <w:color w:val="auto"/>
          <w:kern w:val="2"/>
          <w:szCs w:val="20"/>
        </w:rPr>
        <w:t>426</w:t>
      </w:r>
      <w:r>
        <w:rPr>
          <w:color w:val="auto"/>
          <w:kern w:val="2"/>
          <w:szCs w:val="20"/>
        </w:rPr>
        <w:t>m范围内石油类超出了《地表水环境质量标准》（GB3838-2002）中II类标准限值。当油井套损100d、1000d、5000d时，下游</w:t>
      </w:r>
      <w:r>
        <w:rPr>
          <w:rFonts w:hint="eastAsia"/>
          <w:color w:val="auto"/>
          <w:kern w:val="2"/>
          <w:szCs w:val="20"/>
        </w:rPr>
        <w:t>26</w:t>
      </w:r>
      <w:r>
        <w:rPr>
          <w:color w:val="auto"/>
          <w:kern w:val="2"/>
          <w:szCs w:val="20"/>
        </w:rPr>
        <w:t>m、</w:t>
      </w:r>
      <w:r>
        <w:rPr>
          <w:rFonts w:hint="eastAsia"/>
          <w:color w:val="auto"/>
          <w:kern w:val="2"/>
          <w:szCs w:val="20"/>
        </w:rPr>
        <w:t>100</w:t>
      </w:r>
      <w:r>
        <w:rPr>
          <w:color w:val="auto"/>
          <w:kern w:val="2"/>
          <w:szCs w:val="20"/>
        </w:rPr>
        <w:t>m、</w:t>
      </w:r>
      <w:r>
        <w:rPr>
          <w:rFonts w:hint="eastAsia"/>
          <w:color w:val="auto"/>
          <w:kern w:val="2"/>
          <w:szCs w:val="20"/>
        </w:rPr>
        <w:t>327</w:t>
      </w:r>
      <w:r>
        <w:rPr>
          <w:color w:val="auto"/>
          <w:kern w:val="2"/>
          <w:szCs w:val="20"/>
        </w:rPr>
        <w:t>m范围内石油类超出了《地表水环境质量标准》（GB3838-2002）中II类标准限值。</w:t>
      </w:r>
      <w:r>
        <w:rPr>
          <w:rFonts w:hint="eastAsia"/>
          <w:color w:val="auto"/>
          <w:kern w:val="2"/>
          <w:szCs w:val="20"/>
        </w:rPr>
        <w:t>但拉油点储罐泄漏，</w:t>
      </w:r>
      <w:r>
        <w:rPr>
          <w:color w:val="auto"/>
          <w:kern w:val="2"/>
          <w:szCs w:val="20"/>
        </w:rPr>
        <w:t>100d、1000d、5</w:t>
      </w:r>
      <w:r>
        <w:rPr>
          <w:rFonts w:hint="eastAsia"/>
          <w:color w:val="auto"/>
          <w:kern w:val="2"/>
          <w:szCs w:val="20"/>
        </w:rPr>
        <w:t>475</w:t>
      </w:r>
      <w:r>
        <w:rPr>
          <w:color w:val="auto"/>
          <w:kern w:val="2"/>
          <w:szCs w:val="20"/>
        </w:rPr>
        <w:t>d时，随着时间增加，污染物超标范围有所增加，下游</w:t>
      </w:r>
      <w:r>
        <w:rPr>
          <w:rFonts w:hint="eastAsia"/>
          <w:color w:val="auto"/>
          <w:kern w:val="2"/>
          <w:szCs w:val="20"/>
        </w:rPr>
        <w:t>33</w:t>
      </w:r>
      <w:r>
        <w:rPr>
          <w:color w:val="auto"/>
          <w:kern w:val="2"/>
          <w:szCs w:val="20"/>
        </w:rPr>
        <w:t>m、1</w:t>
      </w:r>
      <w:r>
        <w:rPr>
          <w:rFonts w:hint="eastAsia"/>
          <w:color w:val="auto"/>
          <w:kern w:val="2"/>
          <w:szCs w:val="20"/>
        </w:rPr>
        <w:t>28</w:t>
      </w:r>
      <w:r>
        <w:rPr>
          <w:color w:val="auto"/>
          <w:kern w:val="2"/>
          <w:szCs w:val="20"/>
        </w:rPr>
        <w:t>m、4</w:t>
      </w:r>
      <w:r>
        <w:rPr>
          <w:rFonts w:hint="eastAsia"/>
          <w:color w:val="auto"/>
          <w:kern w:val="2"/>
          <w:szCs w:val="20"/>
        </w:rPr>
        <w:t>36</w:t>
      </w:r>
      <w:r>
        <w:rPr>
          <w:color w:val="auto"/>
          <w:kern w:val="2"/>
          <w:szCs w:val="20"/>
        </w:rPr>
        <w:t>m范围内石油类超出了《地表水环境质量标准》（GB3838-2002）中II类标准限值。</w:t>
      </w:r>
    </w:p>
    <w:p w14:paraId="55B60929">
      <w:pPr>
        <w:pStyle w:val="276"/>
        <w:widowControl w:val="0"/>
        <w:ind w:firstLine="480"/>
        <w:jc w:val="both"/>
        <w:rPr>
          <w:color w:val="auto"/>
          <w:kern w:val="2"/>
          <w:szCs w:val="20"/>
        </w:rPr>
      </w:pPr>
      <w:r>
        <w:rPr>
          <w:color w:val="auto"/>
        </w:rPr>
        <w:t>距离本项目最近的</w:t>
      </w:r>
      <w:r>
        <w:rPr>
          <w:rFonts w:hint="eastAsia"/>
          <w:color w:val="auto"/>
        </w:rPr>
        <w:t>后欧力马屯分散式</w:t>
      </w:r>
      <w:r>
        <w:rPr>
          <w:color w:val="auto"/>
        </w:rPr>
        <w:t>水源</w:t>
      </w:r>
      <w:r>
        <w:rPr>
          <w:color w:val="auto"/>
          <w:lang w:val="zh-CN"/>
        </w:rPr>
        <w:t>井位</w:t>
      </w:r>
      <w:r>
        <w:rPr>
          <w:color w:val="auto"/>
        </w:rPr>
        <w:t>于</w:t>
      </w:r>
      <w:r>
        <w:rPr>
          <w:rFonts w:hint="eastAsia"/>
          <w:color w:val="auto"/>
        </w:rPr>
        <w:t>3#平台</w:t>
      </w:r>
      <w:r>
        <w:rPr>
          <w:color w:val="auto"/>
        </w:rPr>
        <w:t>井场北侧</w:t>
      </w:r>
      <w:r>
        <w:rPr>
          <w:rFonts w:hint="eastAsia"/>
          <w:color w:val="auto"/>
        </w:rPr>
        <w:t>5</w:t>
      </w:r>
      <w:r>
        <w:rPr>
          <w:color w:val="auto"/>
        </w:rPr>
        <w:t>00m，位于评价范围上游</w:t>
      </w:r>
      <w:r>
        <w:rPr>
          <w:color w:val="auto"/>
          <w:kern w:val="2"/>
          <w:szCs w:val="20"/>
        </w:rPr>
        <w:t>，事故泄漏情况下石油类不会对其产生影响。</w:t>
      </w:r>
    </w:p>
    <w:p w14:paraId="438A5784">
      <w:pPr>
        <w:pStyle w:val="5"/>
        <w:rPr>
          <w:bCs w:val="0"/>
          <w:color w:val="auto"/>
        </w:rPr>
      </w:pPr>
      <w:bookmarkStart w:id="1367" w:name="_Toc438822741"/>
      <w:bookmarkStart w:id="1368" w:name="_Toc65426004"/>
      <w:bookmarkStart w:id="1369" w:name="_Toc212033035"/>
      <w:bookmarkStart w:id="1370" w:name="_Toc12910"/>
      <w:r>
        <w:rPr>
          <w:bCs w:val="0"/>
          <w:color w:val="auto"/>
        </w:rPr>
        <w:t>声环境影响</w:t>
      </w:r>
      <w:bookmarkEnd w:id="1367"/>
      <w:r>
        <w:rPr>
          <w:bCs w:val="0"/>
          <w:color w:val="auto"/>
        </w:rPr>
        <w:t>预测与评价</w:t>
      </w:r>
      <w:bookmarkEnd w:id="1368"/>
      <w:bookmarkEnd w:id="1369"/>
      <w:bookmarkEnd w:id="1370"/>
    </w:p>
    <w:p w14:paraId="2D4C32D4">
      <w:pPr>
        <w:pStyle w:val="6"/>
        <w:rPr>
          <w:color w:val="auto"/>
        </w:rPr>
      </w:pPr>
      <w:bookmarkStart w:id="1371" w:name="_Toc77067717"/>
      <w:bookmarkStart w:id="1372" w:name="_Toc67860193"/>
      <w:bookmarkStart w:id="1373" w:name="_Toc80971437"/>
      <w:bookmarkStart w:id="1374" w:name="_Toc76976305"/>
      <w:bookmarkStart w:id="1375" w:name="_Toc84929292"/>
      <w:bookmarkStart w:id="1376" w:name="_Toc126863451"/>
      <w:bookmarkStart w:id="1377" w:name="_Toc143099638"/>
      <w:bookmarkStart w:id="1378" w:name="_Toc83209537"/>
      <w:bookmarkStart w:id="1379" w:name="_Toc86141995"/>
      <w:bookmarkStart w:id="1380" w:name="_Toc70050242"/>
      <w:bookmarkStart w:id="1381" w:name="_Toc85640820"/>
      <w:bookmarkStart w:id="1382" w:name="_Toc78816520"/>
      <w:bookmarkStart w:id="1383" w:name="_Toc127192400"/>
      <w:bookmarkStart w:id="1384" w:name="_Toc131167351"/>
      <w:bookmarkStart w:id="1385" w:name="_Toc80588315"/>
      <w:r>
        <w:rPr>
          <w:color w:val="auto"/>
        </w:rPr>
        <w:t>施工期</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5F46BA9E">
      <w:pPr>
        <w:pStyle w:val="276"/>
        <w:widowControl w:val="0"/>
        <w:ind w:firstLine="480"/>
        <w:jc w:val="both"/>
        <w:rPr>
          <w:color w:val="auto"/>
          <w:kern w:val="2"/>
        </w:rPr>
      </w:pPr>
      <w:r>
        <w:rPr>
          <w:color w:val="auto"/>
          <w:kern w:val="2"/>
        </w:rPr>
        <w:t>项目施工期噪声主要来源于钻井工程、</w:t>
      </w:r>
      <w:r>
        <w:rPr>
          <w:color w:val="auto"/>
          <w:lang w:val="zh-CN"/>
        </w:rPr>
        <w:t>压裂</w:t>
      </w:r>
      <w:r>
        <w:rPr>
          <w:color w:val="auto"/>
          <w:kern w:val="2"/>
        </w:rPr>
        <w:t>工程及地面工程时期施工机械噪声和运输车辆噪声。</w:t>
      </w:r>
    </w:p>
    <w:p w14:paraId="377223CE">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钻井工程</w:t>
      </w:r>
      <w:r>
        <w:rPr>
          <w:rFonts w:hint="eastAsia" w:ascii="宋体" w:hAnsi="宋体" w:eastAsia="宋体" w:cs="Times New Roman"/>
          <w:b/>
          <w:bCs/>
          <w:color w:val="auto"/>
          <w:szCs w:val="28"/>
        </w:rPr>
        <w:t>声环境影响分析</w:t>
      </w:r>
    </w:p>
    <w:p w14:paraId="30D45899">
      <w:pPr>
        <w:pStyle w:val="276"/>
        <w:widowControl w:val="0"/>
        <w:ind w:firstLine="480"/>
        <w:jc w:val="both"/>
        <w:rPr>
          <w:color w:val="auto"/>
          <w:kern w:val="2"/>
        </w:rPr>
      </w:pPr>
      <w:r>
        <w:rPr>
          <w:rFonts w:hint="eastAsia"/>
          <w:color w:val="auto"/>
          <w:kern w:val="2"/>
        </w:rPr>
        <w:t>（1）噪声源</w:t>
      </w:r>
    </w:p>
    <w:p w14:paraId="5D57B95A">
      <w:pPr>
        <w:pStyle w:val="276"/>
        <w:widowControl w:val="0"/>
        <w:ind w:firstLine="480"/>
        <w:jc w:val="both"/>
        <w:rPr>
          <w:color w:val="auto"/>
          <w:kern w:val="2"/>
        </w:rPr>
      </w:pPr>
      <w:r>
        <w:rPr>
          <w:rFonts w:hint="eastAsia"/>
          <w:color w:val="auto"/>
          <w:kern w:val="2"/>
        </w:rPr>
        <w:t>施工噪声是由多种施工机械设备和运输</w:t>
      </w:r>
      <w:r>
        <w:rPr>
          <w:rFonts w:hint="eastAsia"/>
          <w:color w:val="auto"/>
          <w:lang w:val="zh-CN"/>
        </w:rPr>
        <w:t>车辆</w:t>
      </w:r>
      <w:r>
        <w:rPr>
          <w:rFonts w:hint="eastAsia"/>
          <w:color w:val="auto"/>
          <w:kern w:val="2"/>
        </w:rPr>
        <w:t>发出的，而且一般设备的运作都是间歇性的，因此，施工噪声有间歇性和短暂性的特点。</w:t>
      </w:r>
    </w:p>
    <w:p w14:paraId="096E8E63">
      <w:pPr>
        <w:pStyle w:val="276"/>
        <w:widowControl w:val="0"/>
        <w:ind w:firstLine="480"/>
        <w:jc w:val="both"/>
        <w:rPr>
          <w:color w:val="auto"/>
          <w:kern w:val="2"/>
        </w:rPr>
      </w:pPr>
      <w:r>
        <w:rPr>
          <w:color w:val="auto"/>
          <w:kern w:val="2"/>
        </w:rPr>
        <w:t>钻井时期井场同时运行噪声源强调查清单（不考虑备用机泵）见表5.4-1，</w:t>
      </w:r>
    </w:p>
    <w:p w14:paraId="71591386">
      <w:pPr>
        <w:pStyle w:val="276"/>
        <w:widowControl w:val="0"/>
        <w:spacing w:line="440" w:lineRule="exact"/>
        <w:ind w:firstLine="0" w:firstLineChars="0"/>
        <w:jc w:val="center"/>
        <w:rPr>
          <w:color w:val="auto"/>
        </w:rPr>
      </w:pPr>
      <w:r>
        <w:rPr>
          <w:color w:val="auto"/>
        </w:rPr>
        <w:t>表5.4-1 钻井时期噪声源强调查清单</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562"/>
        <w:gridCol w:w="758"/>
        <w:gridCol w:w="684"/>
        <w:gridCol w:w="717"/>
        <w:gridCol w:w="1648"/>
        <w:gridCol w:w="2236"/>
        <w:gridCol w:w="1027"/>
      </w:tblGrid>
      <w:tr w14:paraId="1AB9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restart"/>
            <w:shd w:val="clear" w:color="auto" w:fill="auto"/>
            <w:vAlign w:val="center"/>
          </w:tcPr>
          <w:p w14:paraId="014EF84A">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841" w:type="pct"/>
            <w:vMerge w:val="restart"/>
            <w:shd w:val="clear" w:color="auto" w:fill="auto"/>
            <w:vAlign w:val="center"/>
          </w:tcPr>
          <w:p w14:paraId="4D97E50E">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声源名称</w:t>
            </w:r>
          </w:p>
        </w:tc>
        <w:tc>
          <w:tcPr>
            <w:tcW w:w="1162" w:type="pct"/>
            <w:gridSpan w:val="3"/>
            <w:shd w:val="clear" w:color="auto" w:fill="auto"/>
            <w:vAlign w:val="center"/>
          </w:tcPr>
          <w:p w14:paraId="573B3070">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空间相对位置/m</w:t>
            </w:r>
          </w:p>
        </w:tc>
        <w:tc>
          <w:tcPr>
            <w:tcW w:w="887" w:type="pct"/>
            <w:shd w:val="clear" w:color="auto" w:fill="auto"/>
            <w:vAlign w:val="center"/>
          </w:tcPr>
          <w:p w14:paraId="14BE22A4">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声源源强dB(A)</w:t>
            </w:r>
          </w:p>
        </w:tc>
        <w:tc>
          <w:tcPr>
            <w:tcW w:w="1204" w:type="pct"/>
            <w:vMerge w:val="restart"/>
            <w:shd w:val="clear" w:color="auto" w:fill="auto"/>
            <w:vAlign w:val="center"/>
          </w:tcPr>
          <w:p w14:paraId="5D439AE9">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声源控制措施</w:t>
            </w:r>
          </w:p>
        </w:tc>
        <w:tc>
          <w:tcPr>
            <w:tcW w:w="553" w:type="pct"/>
            <w:vMerge w:val="restart"/>
            <w:shd w:val="clear" w:color="auto" w:fill="auto"/>
            <w:vAlign w:val="center"/>
          </w:tcPr>
          <w:p w14:paraId="059AB25E">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运行时段</w:t>
            </w:r>
          </w:p>
        </w:tc>
      </w:tr>
      <w:tr w14:paraId="15E7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shd w:val="clear" w:color="auto" w:fill="auto"/>
            <w:vAlign w:val="center"/>
          </w:tcPr>
          <w:p w14:paraId="566AA03F">
            <w:pPr>
              <w:jc w:val="center"/>
              <w:rPr>
                <w:rFonts w:cs="Times New Roman" w:asciiTheme="minorEastAsia" w:hAnsiTheme="minorEastAsia"/>
                <w:snapToGrid w:val="0"/>
                <w:color w:val="auto"/>
                <w:w w:val="99"/>
              </w:rPr>
            </w:pPr>
          </w:p>
        </w:tc>
        <w:tc>
          <w:tcPr>
            <w:tcW w:w="841" w:type="pct"/>
            <w:vMerge w:val="continue"/>
            <w:shd w:val="clear" w:color="auto" w:fill="auto"/>
            <w:vAlign w:val="center"/>
          </w:tcPr>
          <w:p w14:paraId="539270DE">
            <w:pPr>
              <w:jc w:val="center"/>
              <w:rPr>
                <w:rFonts w:cs="Times New Roman" w:asciiTheme="minorEastAsia" w:hAnsiTheme="minorEastAsia"/>
                <w:snapToGrid w:val="0"/>
                <w:color w:val="auto"/>
                <w:w w:val="99"/>
              </w:rPr>
            </w:pPr>
          </w:p>
        </w:tc>
        <w:tc>
          <w:tcPr>
            <w:tcW w:w="408" w:type="pct"/>
            <w:shd w:val="clear" w:color="auto" w:fill="auto"/>
            <w:vAlign w:val="center"/>
          </w:tcPr>
          <w:p w14:paraId="3400E8A3">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X</w:t>
            </w:r>
          </w:p>
        </w:tc>
        <w:tc>
          <w:tcPr>
            <w:tcW w:w="368" w:type="pct"/>
            <w:shd w:val="clear" w:color="auto" w:fill="auto"/>
            <w:vAlign w:val="center"/>
          </w:tcPr>
          <w:p w14:paraId="21E995F3">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Y</w:t>
            </w:r>
          </w:p>
        </w:tc>
        <w:tc>
          <w:tcPr>
            <w:tcW w:w="386" w:type="pct"/>
            <w:shd w:val="clear" w:color="auto" w:fill="auto"/>
            <w:vAlign w:val="center"/>
          </w:tcPr>
          <w:p w14:paraId="192A51DD">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Z</w:t>
            </w:r>
          </w:p>
        </w:tc>
        <w:tc>
          <w:tcPr>
            <w:tcW w:w="887" w:type="pct"/>
            <w:shd w:val="clear" w:color="auto" w:fill="auto"/>
            <w:vAlign w:val="center"/>
          </w:tcPr>
          <w:p w14:paraId="079342D0">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声压级/距声源距离5m</w:t>
            </w:r>
          </w:p>
        </w:tc>
        <w:tc>
          <w:tcPr>
            <w:tcW w:w="1204" w:type="pct"/>
            <w:vMerge w:val="continue"/>
            <w:shd w:val="clear" w:color="auto" w:fill="auto"/>
            <w:vAlign w:val="center"/>
          </w:tcPr>
          <w:p w14:paraId="3776C987">
            <w:pPr>
              <w:jc w:val="center"/>
              <w:rPr>
                <w:rFonts w:cs="Times New Roman" w:asciiTheme="minorEastAsia" w:hAnsiTheme="minorEastAsia"/>
                <w:snapToGrid w:val="0"/>
                <w:color w:val="auto"/>
                <w:w w:val="99"/>
              </w:rPr>
            </w:pPr>
          </w:p>
        </w:tc>
        <w:tc>
          <w:tcPr>
            <w:tcW w:w="553" w:type="pct"/>
            <w:vMerge w:val="continue"/>
            <w:shd w:val="clear" w:color="auto" w:fill="auto"/>
            <w:vAlign w:val="center"/>
          </w:tcPr>
          <w:p w14:paraId="631E2113">
            <w:pPr>
              <w:jc w:val="center"/>
              <w:rPr>
                <w:rFonts w:cs="Times New Roman" w:asciiTheme="minorEastAsia" w:hAnsiTheme="minorEastAsia"/>
                <w:snapToGrid w:val="0"/>
                <w:color w:val="auto"/>
                <w:w w:val="99"/>
              </w:rPr>
            </w:pPr>
          </w:p>
        </w:tc>
      </w:tr>
      <w:tr w14:paraId="74A6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75986ED2">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841" w:type="pct"/>
            <w:shd w:val="clear" w:color="auto" w:fill="auto"/>
            <w:vAlign w:val="center"/>
          </w:tcPr>
          <w:p w14:paraId="73E0607A">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钻机</w:t>
            </w:r>
          </w:p>
        </w:tc>
        <w:tc>
          <w:tcPr>
            <w:tcW w:w="408" w:type="pct"/>
            <w:shd w:val="clear" w:color="auto" w:fill="auto"/>
            <w:vAlign w:val="center"/>
          </w:tcPr>
          <w:p w14:paraId="01E221A2">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40</w:t>
            </w:r>
          </w:p>
        </w:tc>
        <w:tc>
          <w:tcPr>
            <w:tcW w:w="368" w:type="pct"/>
            <w:shd w:val="clear" w:color="auto" w:fill="auto"/>
            <w:vAlign w:val="center"/>
          </w:tcPr>
          <w:p w14:paraId="5B30FA53">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3</w:t>
            </w:r>
            <w:r>
              <w:rPr>
                <w:rFonts w:ascii="宋体" w:hAnsi="宋体" w:eastAsia="宋体" w:cs="Times New Roman"/>
                <w:snapToGrid w:val="0"/>
                <w:color w:val="auto"/>
              </w:rPr>
              <w:t>7</w:t>
            </w:r>
          </w:p>
        </w:tc>
        <w:tc>
          <w:tcPr>
            <w:tcW w:w="386" w:type="pct"/>
            <w:shd w:val="clear" w:color="auto" w:fill="auto"/>
            <w:vAlign w:val="center"/>
          </w:tcPr>
          <w:p w14:paraId="01001E05">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7C8C6474">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100</w:t>
            </w:r>
          </w:p>
        </w:tc>
        <w:tc>
          <w:tcPr>
            <w:tcW w:w="1204" w:type="pct"/>
            <w:shd w:val="clear" w:color="auto" w:fill="auto"/>
            <w:vAlign w:val="center"/>
          </w:tcPr>
          <w:p w14:paraId="30F6B0A7">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安装减震基础，选用低噪设备</w:t>
            </w:r>
          </w:p>
        </w:tc>
        <w:tc>
          <w:tcPr>
            <w:tcW w:w="553" w:type="pct"/>
            <w:vMerge w:val="restart"/>
            <w:shd w:val="clear" w:color="auto" w:fill="auto"/>
            <w:vAlign w:val="center"/>
          </w:tcPr>
          <w:p w14:paraId="02E3B516">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连续、稳定、昼夜运行</w:t>
            </w:r>
          </w:p>
        </w:tc>
      </w:tr>
      <w:tr w14:paraId="6CD8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3DF5D8F7">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841" w:type="pct"/>
            <w:shd w:val="clear" w:color="auto" w:fill="auto"/>
            <w:vAlign w:val="center"/>
          </w:tcPr>
          <w:p w14:paraId="1B914AEF">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柴油机</w:t>
            </w:r>
          </w:p>
        </w:tc>
        <w:tc>
          <w:tcPr>
            <w:tcW w:w="408" w:type="pct"/>
            <w:shd w:val="clear" w:color="auto" w:fill="auto"/>
            <w:vAlign w:val="center"/>
          </w:tcPr>
          <w:p w14:paraId="2FF46614">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36</w:t>
            </w:r>
          </w:p>
        </w:tc>
        <w:tc>
          <w:tcPr>
            <w:tcW w:w="368" w:type="pct"/>
            <w:shd w:val="clear" w:color="auto" w:fill="auto"/>
            <w:vAlign w:val="center"/>
          </w:tcPr>
          <w:p w14:paraId="4DFCCA08">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65</w:t>
            </w:r>
          </w:p>
        </w:tc>
        <w:tc>
          <w:tcPr>
            <w:tcW w:w="386" w:type="pct"/>
            <w:shd w:val="clear" w:color="auto" w:fill="auto"/>
            <w:vAlign w:val="center"/>
          </w:tcPr>
          <w:p w14:paraId="75DF7AA8">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19717280">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100</w:t>
            </w:r>
          </w:p>
        </w:tc>
        <w:tc>
          <w:tcPr>
            <w:tcW w:w="1204" w:type="pct"/>
            <w:vMerge w:val="restart"/>
            <w:shd w:val="clear" w:color="auto" w:fill="auto"/>
            <w:vAlign w:val="center"/>
          </w:tcPr>
          <w:p w14:paraId="30424888">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安装消音器、减震基础，设备安装在活动板房内</w:t>
            </w:r>
          </w:p>
        </w:tc>
        <w:tc>
          <w:tcPr>
            <w:tcW w:w="553" w:type="pct"/>
            <w:vMerge w:val="continue"/>
            <w:shd w:val="clear" w:color="auto" w:fill="auto"/>
            <w:vAlign w:val="center"/>
          </w:tcPr>
          <w:p w14:paraId="79E54D70">
            <w:pPr>
              <w:adjustRightInd w:val="0"/>
              <w:snapToGrid w:val="0"/>
              <w:spacing w:line="360" w:lineRule="exact"/>
              <w:jc w:val="center"/>
              <w:rPr>
                <w:rFonts w:ascii="宋体" w:hAnsi="宋体" w:eastAsia="宋体" w:cs="Times New Roman"/>
                <w:snapToGrid w:val="0"/>
                <w:color w:val="auto"/>
              </w:rPr>
            </w:pPr>
          </w:p>
        </w:tc>
      </w:tr>
      <w:tr w14:paraId="7430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522B9E3B">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841" w:type="pct"/>
            <w:shd w:val="clear" w:color="auto" w:fill="auto"/>
            <w:vAlign w:val="center"/>
          </w:tcPr>
          <w:p w14:paraId="6E6218C5">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柴油机2</w:t>
            </w:r>
          </w:p>
        </w:tc>
        <w:tc>
          <w:tcPr>
            <w:tcW w:w="408" w:type="pct"/>
            <w:shd w:val="clear" w:color="auto" w:fill="auto"/>
            <w:vAlign w:val="center"/>
          </w:tcPr>
          <w:p w14:paraId="445D2784">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36</w:t>
            </w:r>
          </w:p>
        </w:tc>
        <w:tc>
          <w:tcPr>
            <w:tcW w:w="368" w:type="pct"/>
            <w:shd w:val="clear" w:color="auto" w:fill="auto"/>
            <w:vAlign w:val="center"/>
          </w:tcPr>
          <w:p w14:paraId="44C1C6CC">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5</w:t>
            </w:r>
            <w:r>
              <w:rPr>
                <w:rFonts w:ascii="宋体" w:hAnsi="宋体" w:eastAsia="宋体" w:cs="Times New Roman"/>
                <w:snapToGrid w:val="0"/>
                <w:color w:val="auto"/>
              </w:rPr>
              <w:t>8</w:t>
            </w:r>
          </w:p>
        </w:tc>
        <w:tc>
          <w:tcPr>
            <w:tcW w:w="386" w:type="pct"/>
            <w:shd w:val="clear" w:color="auto" w:fill="auto"/>
            <w:vAlign w:val="center"/>
          </w:tcPr>
          <w:p w14:paraId="58F463C3">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32A42002">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100</w:t>
            </w:r>
          </w:p>
        </w:tc>
        <w:tc>
          <w:tcPr>
            <w:tcW w:w="1204" w:type="pct"/>
            <w:vMerge w:val="continue"/>
            <w:shd w:val="clear" w:color="auto" w:fill="auto"/>
            <w:vAlign w:val="center"/>
          </w:tcPr>
          <w:p w14:paraId="5D6CC358">
            <w:pPr>
              <w:adjustRightInd w:val="0"/>
              <w:snapToGrid w:val="0"/>
              <w:spacing w:line="360" w:lineRule="exact"/>
              <w:jc w:val="center"/>
              <w:rPr>
                <w:rFonts w:ascii="宋体" w:hAnsi="宋体" w:eastAsia="宋体" w:cs="Times New Roman"/>
                <w:snapToGrid w:val="0"/>
                <w:color w:val="auto"/>
              </w:rPr>
            </w:pPr>
          </w:p>
        </w:tc>
        <w:tc>
          <w:tcPr>
            <w:tcW w:w="553" w:type="pct"/>
            <w:vMerge w:val="continue"/>
            <w:shd w:val="clear" w:color="auto" w:fill="auto"/>
            <w:vAlign w:val="center"/>
          </w:tcPr>
          <w:p w14:paraId="308EDFE9">
            <w:pPr>
              <w:adjustRightInd w:val="0"/>
              <w:snapToGrid w:val="0"/>
              <w:spacing w:line="360" w:lineRule="exact"/>
              <w:jc w:val="center"/>
              <w:rPr>
                <w:rFonts w:ascii="宋体" w:hAnsi="宋体" w:eastAsia="宋体" w:cs="Times New Roman"/>
                <w:snapToGrid w:val="0"/>
                <w:color w:val="auto"/>
              </w:rPr>
            </w:pPr>
          </w:p>
        </w:tc>
      </w:tr>
      <w:tr w14:paraId="3D7A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0C1FEBB7">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841" w:type="pct"/>
            <w:shd w:val="clear" w:color="auto" w:fill="auto"/>
            <w:vAlign w:val="center"/>
          </w:tcPr>
          <w:p w14:paraId="3FA29549">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发电机</w:t>
            </w:r>
          </w:p>
        </w:tc>
        <w:tc>
          <w:tcPr>
            <w:tcW w:w="408" w:type="pct"/>
            <w:shd w:val="clear" w:color="auto" w:fill="auto"/>
            <w:vAlign w:val="center"/>
          </w:tcPr>
          <w:p w14:paraId="5B45E823">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36</w:t>
            </w:r>
          </w:p>
        </w:tc>
        <w:tc>
          <w:tcPr>
            <w:tcW w:w="368" w:type="pct"/>
            <w:shd w:val="clear" w:color="auto" w:fill="auto"/>
            <w:vAlign w:val="center"/>
          </w:tcPr>
          <w:p w14:paraId="23E75FA8">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63</w:t>
            </w:r>
          </w:p>
        </w:tc>
        <w:tc>
          <w:tcPr>
            <w:tcW w:w="386" w:type="pct"/>
            <w:shd w:val="clear" w:color="auto" w:fill="auto"/>
            <w:vAlign w:val="center"/>
          </w:tcPr>
          <w:p w14:paraId="7E4D7ACE">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7D6D3BAD">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95</w:t>
            </w:r>
          </w:p>
        </w:tc>
        <w:tc>
          <w:tcPr>
            <w:tcW w:w="1204" w:type="pct"/>
            <w:vMerge w:val="continue"/>
            <w:shd w:val="clear" w:color="auto" w:fill="auto"/>
            <w:vAlign w:val="center"/>
          </w:tcPr>
          <w:p w14:paraId="62974C03">
            <w:pPr>
              <w:adjustRightInd w:val="0"/>
              <w:snapToGrid w:val="0"/>
              <w:spacing w:line="360" w:lineRule="exact"/>
              <w:jc w:val="center"/>
              <w:rPr>
                <w:rFonts w:ascii="宋体" w:hAnsi="宋体" w:eastAsia="宋体" w:cs="Times New Roman"/>
                <w:snapToGrid w:val="0"/>
                <w:color w:val="auto"/>
              </w:rPr>
            </w:pPr>
          </w:p>
        </w:tc>
        <w:tc>
          <w:tcPr>
            <w:tcW w:w="553" w:type="pct"/>
            <w:vMerge w:val="continue"/>
            <w:shd w:val="clear" w:color="auto" w:fill="auto"/>
            <w:vAlign w:val="center"/>
          </w:tcPr>
          <w:p w14:paraId="614C0C25">
            <w:pPr>
              <w:adjustRightInd w:val="0"/>
              <w:snapToGrid w:val="0"/>
              <w:spacing w:line="360" w:lineRule="exact"/>
              <w:jc w:val="center"/>
              <w:rPr>
                <w:rFonts w:ascii="宋体" w:hAnsi="宋体" w:eastAsia="宋体" w:cs="Times New Roman"/>
                <w:snapToGrid w:val="0"/>
                <w:color w:val="auto"/>
              </w:rPr>
            </w:pPr>
          </w:p>
        </w:tc>
      </w:tr>
      <w:tr w14:paraId="1701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2A3E8E5B">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841" w:type="pct"/>
            <w:shd w:val="clear" w:color="auto" w:fill="auto"/>
            <w:vAlign w:val="center"/>
          </w:tcPr>
          <w:p w14:paraId="3CE7F78D">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发电机2</w:t>
            </w:r>
          </w:p>
        </w:tc>
        <w:tc>
          <w:tcPr>
            <w:tcW w:w="408" w:type="pct"/>
            <w:shd w:val="clear" w:color="auto" w:fill="auto"/>
            <w:vAlign w:val="center"/>
          </w:tcPr>
          <w:p w14:paraId="2A10A26F">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36</w:t>
            </w:r>
          </w:p>
        </w:tc>
        <w:tc>
          <w:tcPr>
            <w:tcW w:w="368" w:type="pct"/>
            <w:shd w:val="clear" w:color="auto" w:fill="auto"/>
            <w:vAlign w:val="center"/>
          </w:tcPr>
          <w:p w14:paraId="5B34375E">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56</w:t>
            </w:r>
          </w:p>
        </w:tc>
        <w:tc>
          <w:tcPr>
            <w:tcW w:w="386" w:type="pct"/>
            <w:shd w:val="clear" w:color="auto" w:fill="auto"/>
            <w:vAlign w:val="center"/>
          </w:tcPr>
          <w:p w14:paraId="7D3CF014">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25D334CA">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95</w:t>
            </w:r>
          </w:p>
        </w:tc>
        <w:tc>
          <w:tcPr>
            <w:tcW w:w="1204" w:type="pct"/>
            <w:vMerge w:val="continue"/>
            <w:shd w:val="clear" w:color="auto" w:fill="auto"/>
            <w:vAlign w:val="center"/>
          </w:tcPr>
          <w:p w14:paraId="329CF73C">
            <w:pPr>
              <w:adjustRightInd w:val="0"/>
              <w:snapToGrid w:val="0"/>
              <w:spacing w:line="360" w:lineRule="exact"/>
              <w:jc w:val="center"/>
              <w:rPr>
                <w:rFonts w:ascii="宋体" w:hAnsi="宋体" w:eastAsia="宋体" w:cs="Times New Roman"/>
                <w:snapToGrid w:val="0"/>
                <w:color w:val="auto"/>
              </w:rPr>
            </w:pPr>
          </w:p>
        </w:tc>
        <w:tc>
          <w:tcPr>
            <w:tcW w:w="553" w:type="pct"/>
            <w:vMerge w:val="continue"/>
            <w:shd w:val="clear" w:color="auto" w:fill="auto"/>
            <w:vAlign w:val="center"/>
          </w:tcPr>
          <w:p w14:paraId="4AC58812">
            <w:pPr>
              <w:adjustRightInd w:val="0"/>
              <w:snapToGrid w:val="0"/>
              <w:spacing w:line="360" w:lineRule="exact"/>
              <w:jc w:val="center"/>
              <w:rPr>
                <w:rFonts w:ascii="宋体" w:hAnsi="宋体" w:eastAsia="宋体" w:cs="Times New Roman"/>
                <w:snapToGrid w:val="0"/>
                <w:color w:val="auto"/>
              </w:rPr>
            </w:pPr>
          </w:p>
        </w:tc>
      </w:tr>
      <w:tr w14:paraId="16FD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420BB345">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841" w:type="pct"/>
            <w:shd w:val="clear" w:color="auto" w:fill="auto"/>
            <w:vAlign w:val="center"/>
          </w:tcPr>
          <w:p w14:paraId="55E94431">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钻井泵</w:t>
            </w:r>
          </w:p>
        </w:tc>
        <w:tc>
          <w:tcPr>
            <w:tcW w:w="408" w:type="pct"/>
            <w:shd w:val="clear" w:color="auto" w:fill="auto"/>
            <w:vAlign w:val="center"/>
          </w:tcPr>
          <w:p w14:paraId="70E9FBBE">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48</w:t>
            </w:r>
          </w:p>
        </w:tc>
        <w:tc>
          <w:tcPr>
            <w:tcW w:w="368" w:type="pct"/>
            <w:shd w:val="clear" w:color="auto" w:fill="auto"/>
            <w:vAlign w:val="center"/>
          </w:tcPr>
          <w:p w14:paraId="5B6B9019">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65</w:t>
            </w:r>
          </w:p>
        </w:tc>
        <w:tc>
          <w:tcPr>
            <w:tcW w:w="386" w:type="pct"/>
            <w:shd w:val="clear" w:color="auto" w:fill="auto"/>
            <w:vAlign w:val="center"/>
          </w:tcPr>
          <w:p w14:paraId="4883F476">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0946237E">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1204" w:type="pct"/>
            <w:vMerge w:val="continue"/>
            <w:shd w:val="clear" w:color="auto" w:fill="auto"/>
            <w:vAlign w:val="center"/>
          </w:tcPr>
          <w:p w14:paraId="62CC5D55">
            <w:pPr>
              <w:adjustRightInd w:val="0"/>
              <w:snapToGrid w:val="0"/>
              <w:spacing w:line="360" w:lineRule="exact"/>
              <w:jc w:val="center"/>
              <w:rPr>
                <w:rFonts w:ascii="宋体" w:hAnsi="宋体" w:eastAsia="宋体" w:cs="Times New Roman"/>
                <w:snapToGrid w:val="0"/>
                <w:color w:val="auto"/>
              </w:rPr>
            </w:pPr>
          </w:p>
        </w:tc>
        <w:tc>
          <w:tcPr>
            <w:tcW w:w="553" w:type="pct"/>
            <w:vMerge w:val="continue"/>
            <w:shd w:val="clear" w:color="auto" w:fill="auto"/>
            <w:vAlign w:val="center"/>
          </w:tcPr>
          <w:p w14:paraId="5525676F">
            <w:pPr>
              <w:adjustRightInd w:val="0"/>
              <w:snapToGrid w:val="0"/>
              <w:spacing w:line="360" w:lineRule="exact"/>
              <w:jc w:val="center"/>
              <w:rPr>
                <w:rFonts w:ascii="宋体" w:hAnsi="宋体" w:eastAsia="宋体" w:cs="Times New Roman"/>
                <w:snapToGrid w:val="0"/>
                <w:color w:val="auto"/>
              </w:rPr>
            </w:pPr>
          </w:p>
        </w:tc>
      </w:tr>
      <w:tr w14:paraId="6C5C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28742715">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841" w:type="pct"/>
            <w:shd w:val="clear" w:color="auto" w:fill="auto"/>
            <w:vAlign w:val="center"/>
          </w:tcPr>
          <w:p w14:paraId="0B0C1F15">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振动筛</w:t>
            </w:r>
          </w:p>
        </w:tc>
        <w:tc>
          <w:tcPr>
            <w:tcW w:w="408" w:type="pct"/>
            <w:shd w:val="clear" w:color="auto" w:fill="auto"/>
            <w:vAlign w:val="center"/>
          </w:tcPr>
          <w:p w14:paraId="6B1122EC">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51</w:t>
            </w:r>
          </w:p>
        </w:tc>
        <w:tc>
          <w:tcPr>
            <w:tcW w:w="368" w:type="pct"/>
            <w:shd w:val="clear" w:color="auto" w:fill="auto"/>
            <w:vAlign w:val="center"/>
          </w:tcPr>
          <w:p w14:paraId="0B759DB7">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57</w:t>
            </w:r>
          </w:p>
        </w:tc>
        <w:tc>
          <w:tcPr>
            <w:tcW w:w="386" w:type="pct"/>
            <w:shd w:val="clear" w:color="auto" w:fill="auto"/>
            <w:vAlign w:val="center"/>
          </w:tcPr>
          <w:p w14:paraId="3A303133">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65DC4273">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95</w:t>
            </w:r>
          </w:p>
        </w:tc>
        <w:tc>
          <w:tcPr>
            <w:tcW w:w="1204" w:type="pct"/>
            <w:vMerge w:val="continue"/>
            <w:shd w:val="clear" w:color="auto" w:fill="auto"/>
            <w:vAlign w:val="center"/>
          </w:tcPr>
          <w:p w14:paraId="4DEE1636">
            <w:pPr>
              <w:adjustRightInd w:val="0"/>
              <w:snapToGrid w:val="0"/>
              <w:spacing w:line="360" w:lineRule="exact"/>
              <w:jc w:val="center"/>
              <w:rPr>
                <w:rFonts w:ascii="宋体" w:hAnsi="宋体" w:eastAsia="宋体" w:cs="Times New Roman"/>
                <w:snapToGrid w:val="0"/>
                <w:color w:val="auto"/>
              </w:rPr>
            </w:pPr>
          </w:p>
        </w:tc>
        <w:tc>
          <w:tcPr>
            <w:tcW w:w="553" w:type="pct"/>
            <w:vMerge w:val="continue"/>
            <w:shd w:val="clear" w:color="auto" w:fill="auto"/>
            <w:vAlign w:val="center"/>
          </w:tcPr>
          <w:p w14:paraId="41D6E6B1">
            <w:pPr>
              <w:adjustRightInd w:val="0"/>
              <w:snapToGrid w:val="0"/>
              <w:spacing w:line="360" w:lineRule="exact"/>
              <w:jc w:val="center"/>
              <w:rPr>
                <w:rFonts w:ascii="宋体" w:hAnsi="宋体" w:eastAsia="宋体" w:cs="Times New Roman"/>
                <w:snapToGrid w:val="0"/>
                <w:color w:val="auto"/>
              </w:rPr>
            </w:pPr>
          </w:p>
        </w:tc>
      </w:tr>
      <w:tr w14:paraId="4FB8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417C8B88">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8</w:t>
            </w:r>
          </w:p>
        </w:tc>
        <w:tc>
          <w:tcPr>
            <w:tcW w:w="841" w:type="pct"/>
            <w:shd w:val="clear" w:color="auto" w:fill="auto"/>
            <w:vAlign w:val="center"/>
          </w:tcPr>
          <w:p w14:paraId="6201A929">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筛分装置</w:t>
            </w:r>
          </w:p>
        </w:tc>
        <w:tc>
          <w:tcPr>
            <w:tcW w:w="408" w:type="pct"/>
            <w:shd w:val="clear" w:color="auto" w:fill="auto"/>
            <w:vAlign w:val="center"/>
          </w:tcPr>
          <w:p w14:paraId="74C3720B">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70</w:t>
            </w:r>
          </w:p>
        </w:tc>
        <w:tc>
          <w:tcPr>
            <w:tcW w:w="368" w:type="pct"/>
            <w:shd w:val="clear" w:color="auto" w:fill="auto"/>
            <w:vAlign w:val="center"/>
          </w:tcPr>
          <w:p w14:paraId="08FAFC45">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68</w:t>
            </w:r>
          </w:p>
        </w:tc>
        <w:tc>
          <w:tcPr>
            <w:tcW w:w="386" w:type="pct"/>
            <w:shd w:val="clear" w:color="auto" w:fill="auto"/>
            <w:vAlign w:val="center"/>
          </w:tcPr>
          <w:p w14:paraId="1FACA8AD">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3DCFC4DF">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1204" w:type="pct"/>
            <w:vMerge w:val="restart"/>
            <w:shd w:val="clear" w:color="auto" w:fill="auto"/>
            <w:vAlign w:val="center"/>
          </w:tcPr>
          <w:p w14:paraId="66C0788D">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安装减震基础，选用低噪设备</w:t>
            </w:r>
          </w:p>
        </w:tc>
        <w:tc>
          <w:tcPr>
            <w:tcW w:w="553" w:type="pct"/>
            <w:vMerge w:val="restart"/>
            <w:shd w:val="clear" w:color="auto" w:fill="auto"/>
            <w:vAlign w:val="center"/>
          </w:tcPr>
          <w:p w14:paraId="00DD9563">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连续、稳定、昼夜运行</w:t>
            </w:r>
          </w:p>
        </w:tc>
      </w:tr>
      <w:tr w14:paraId="6735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7CD6A70B">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9</w:t>
            </w:r>
          </w:p>
        </w:tc>
        <w:tc>
          <w:tcPr>
            <w:tcW w:w="841" w:type="pct"/>
            <w:shd w:val="clear" w:color="auto" w:fill="auto"/>
            <w:vAlign w:val="center"/>
          </w:tcPr>
          <w:p w14:paraId="51D35CA9">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固液分离装置</w:t>
            </w:r>
          </w:p>
        </w:tc>
        <w:tc>
          <w:tcPr>
            <w:tcW w:w="408" w:type="pct"/>
            <w:shd w:val="clear" w:color="auto" w:fill="auto"/>
            <w:vAlign w:val="center"/>
          </w:tcPr>
          <w:p w14:paraId="3496AF6A">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76</w:t>
            </w:r>
          </w:p>
        </w:tc>
        <w:tc>
          <w:tcPr>
            <w:tcW w:w="368" w:type="pct"/>
            <w:shd w:val="clear" w:color="auto" w:fill="auto"/>
            <w:vAlign w:val="center"/>
          </w:tcPr>
          <w:p w14:paraId="13D43E31">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68</w:t>
            </w:r>
          </w:p>
        </w:tc>
        <w:tc>
          <w:tcPr>
            <w:tcW w:w="386" w:type="pct"/>
            <w:shd w:val="clear" w:color="auto" w:fill="auto"/>
            <w:vAlign w:val="center"/>
          </w:tcPr>
          <w:p w14:paraId="5062989E">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7185D5CA">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1204" w:type="pct"/>
            <w:vMerge w:val="continue"/>
            <w:shd w:val="clear" w:color="auto" w:fill="auto"/>
            <w:vAlign w:val="center"/>
          </w:tcPr>
          <w:p w14:paraId="366791E8">
            <w:pPr>
              <w:adjustRightInd w:val="0"/>
              <w:snapToGrid w:val="0"/>
              <w:jc w:val="center"/>
              <w:rPr>
                <w:rFonts w:cs="Times New Roman" w:asciiTheme="minorEastAsia" w:hAnsiTheme="minorEastAsia"/>
                <w:color w:val="auto"/>
                <w:lang w:bidi="ar"/>
              </w:rPr>
            </w:pPr>
          </w:p>
        </w:tc>
        <w:tc>
          <w:tcPr>
            <w:tcW w:w="553" w:type="pct"/>
            <w:vMerge w:val="continue"/>
            <w:shd w:val="clear" w:color="auto" w:fill="auto"/>
            <w:vAlign w:val="center"/>
          </w:tcPr>
          <w:p w14:paraId="3E553DEF">
            <w:pPr>
              <w:adjustRightInd w:val="0"/>
              <w:snapToGrid w:val="0"/>
              <w:jc w:val="center"/>
              <w:rPr>
                <w:rFonts w:cs="Times New Roman" w:asciiTheme="minorEastAsia" w:hAnsiTheme="minorEastAsia"/>
                <w:color w:val="auto"/>
                <w:lang w:bidi="ar"/>
              </w:rPr>
            </w:pPr>
          </w:p>
        </w:tc>
      </w:tr>
      <w:tr w14:paraId="3408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15FA9E76">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w:t>
            </w:r>
          </w:p>
        </w:tc>
        <w:tc>
          <w:tcPr>
            <w:tcW w:w="841" w:type="pct"/>
            <w:shd w:val="clear" w:color="auto" w:fill="auto"/>
            <w:vAlign w:val="center"/>
          </w:tcPr>
          <w:p w14:paraId="4A9DC785">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药剂搅拌罐</w:t>
            </w:r>
          </w:p>
        </w:tc>
        <w:tc>
          <w:tcPr>
            <w:tcW w:w="408" w:type="pct"/>
            <w:shd w:val="clear" w:color="auto" w:fill="auto"/>
            <w:vAlign w:val="center"/>
          </w:tcPr>
          <w:p w14:paraId="21FC0B11">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88</w:t>
            </w:r>
          </w:p>
        </w:tc>
        <w:tc>
          <w:tcPr>
            <w:tcW w:w="368" w:type="pct"/>
            <w:shd w:val="clear" w:color="auto" w:fill="auto"/>
            <w:vAlign w:val="center"/>
          </w:tcPr>
          <w:p w14:paraId="5D41452B">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68</w:t>
            </w:r>
          </w:p>
        </w:tc>
        <w:tc>
          <w:tcPr>
            <w:tcW w:w="386" w:type="pct"/>
            <w:shd w:val="clear" w:color="auto" w:fill="auto"/>
            <w:vAlign w:val="center"/>
          </w:tcPr>
          <w:p w14:paraId="2C077317">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34D7057C">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70</w:t>
            </w:r>
          </w:p>
        </w:tc>
        <w:tc>
          <w:tcPr>
            <w:tcW w:w="1204" w:type="pct"/>
            <w:vMerge w:val="continue"/>
            <w:shd w:val="clear" w:color="auto" w:fill="auto"/>
            <w:vAlign w:val="center"/>
          </w:tcPr>
          <w:p w14:paraId="37FA2E81">
            <w:pPr>
              <w:adjustRightInd w:val="0"/>
              <w:snapToGrid w:val="0"/>
              <w:jc w:val="center"/>
              <w:rPr>
                <w:rFonts w:cs="Times New Roman" w:asciiTheme="minorEastAsia" w:hAnsiTheme="minorEastAsia"/>
                <w:color w:val="auto"/>
                <w:lang w:bidi="ar"/>
              </w:rPr>
            </w:pPr>
          </w:p>
        </w:tc>
        <w:tc>
          <w:tcPr>
            <w:tcW w:w="553" w:type="pct"/>
            <w:vMerge w:val="continue"/>
            <w:shd w:val="clear" w:color="auto" w:fill="auto"/>
            <w:vAlign w:val="center"/>
          </w:tcPr>
          <w:p w14:paraId="13D6D725">
            <w:pPr>
              <w:adjustRightInd w:val="0"/>
              <w:snapToGrid w:val="0"/>
              <w:jc w:val="center"/>
              <w:rPr>
                <w:rFonts w:cs="Times New Roman" w:asciiTheme="minorEastAsia" w:hAnsiTheme="minorEastAsia"/>
                <w:color w:val="auto"/>
                <w:lang w:bidi="ar"/>
              </w:rPr>
            </w:pPr>
          </w:p>
        </w:tc>
      </w:tr>
      <w:tr w14:paraId="7F12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shd w:val="clear" w:color="auto" w:fill="auto"/>
            <w:vAlign w:val="center"/>
          </w:tcPr>
          <w:p w14:paraId="3EEA23FE">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11</w:t>
            </w:r>
          </w:p>
        </w:tc>
        <w:tc>
          <w:tcPr>
            <w:tcW w:w="841" w:type="pct"/>
            <w:shd w:val="clear" w:color="auto" w:fill="auto"/>
            <w:vAlign w:val="center"/>
          </w:tcPr>
          <w:p w14:paraId="37739E6A">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均质稳反应装置</w:t>
            </w:r>
          </w:p>
        </w:tc>
        <w:tc>
          <w:tcPr>
            <w:tcW w:w="408" w:type="pct"/>
            <w:shd w:val="clear" w:color="auto" w:fill="auto"/>
            <w:vAlign w:val="center"/>
          </w:tcPr>
          <w:p w14:paraId="69912BDC">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81</w:t>
            </w:r>
          </w:p>
        </w:tc>
        <w:tc>
          <w:tcPr>
            <w:tcW w:w="368" w:type="pct"/>
            <w:shd w:val="clear" w:color="auto" w:fill="auto"/>
            <w:vAlign w:val="center"/>
          </w:tcPr>
          <w:p w14:paraId="014C9195">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68</w:t>
            </w:r>
          </w:p>
        </w:tc>
        <w:tc>
          <w:tcPr>
            <w:tcW w:w="386" w:type="pct"/>
            <w:shd w:val="clear" w:color="auto" w:fill="auto"/>
            <w:vAlign w:val="center"/>
          </w:tcPr>
          <w:p w14:paraId="7179C1DD">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1.5</w:t>
            </w:r>
          </w:p>
        </w:tc>
        <w:tc>
          <w:tcPr>
            <w:tcW w:w="887" w:type="pct"/>
            <w:shd w:val="clear" w:color="auto" w:fill="auto"/>
            <w:vAlign w:val="center"/>
          </w:tcPr>
          <w:p w14:paraId="670F3917">
            <w:pPr>
              <w:adjustRightInd w:val="0"/>
              <w:snapToGrid w:val="0"/>
              <w:spacing w:line="360" w:lineRule="exact"/>
              <w:jc w:val="center"/>
              <w:rPr>
                <w:rFonts w:ascii="宋体" w:hAnsi="宋体" w:eastAsia="宋体" w:cs="Times New Roman"/>
                <w:snapToGrid w:val="0"/>
                <w:color w:val="auto"/>
              </w:rPr>
            </w:pPr>
            <w:r>
              <w:rPr>
                <w:rFonts w:hint="eastAsia" w:ascii="宋体" w:hAnsi="宋体" w:eastAsia="宋体" w:cs="Times New Roman"/>
                <w:snapToGrid w:val="0"/>
                <w:color w:val="auto"/>
              </w:rPr>
              <w:t>90</w:t>
            </w:r>
          </w:p>
        </w:tc>
        <w:tc>
          <w:tcPr>
            <w:tcW w:w="1204" w:type="pct"/>
            <w:vMerge w:val="continue"/>
            <w:shd w:val="clear" w:color="auto" w:fill="auto"/>
            <w:vAlign w:val="center"/>
          </w:tcPr>
          <w:p w14:paraId="4E0E0BD5">
            <w:pPr>
              <w:adjustRightInd w:val="0"/>
              <w:snapToGrid w:val="0"/>
              <w:jc w:val="center"/>
              <w:rPr>
                <w:rFonts w:cs="Times New Roman" w:asciiTheme="minorEastAsia" w:hAnsiTheme="minorEastAsia"/>
                <w:color w:val="auto"/>
                <w:lang w:bidi="ar"/>
              </w:rPr>
            </w:pPr>
          </w:p>
        </w:tc>
        <w:tc>
          <w:tcPr>
            <w:tcW w:w="553" w:type="pct"/>
            <w:vMerge w:val="continue"/>
            <w:shd w:val="clear" w:color="auto" w:fill="auto"/>
            <w:vAlign w:val="center"/>
          </w:tcPr>
          <w:p w14:paraId="0BE8DA7A">
            <w:pPr>
              <w:adjustRightInd w:val="0"/>
              <w:snapToGrid w:val="0"/>
              <w:jc w:val="center"/>
              <w:rPr>
                <w:rFonts w:cs="Times New Roman" w:asciiTheme="minorEastAsia" w:hAnsiTheme="minorEastAsia"/>
                <w:color w:val="auto"/>
                <w:lang w:bidi="ar"/>
              </w:rPr>
            </w:pPr>
          </w:p>
        </w:tc>
      </w:tr>
    </w:tbl>
    <w:p w14:paraId="75ECCE5E">
      <w:pPr>
        <w:spacing w:line="440" w:lineRule="exact"/>
        <w:ind w:firstLine="420" w:firstLineChars="200"/>
        <w:rPr>
          <w:rFonts w:ascii="宋体" w:hAnsi="宋体" w:eastAsia="宋体" w:cs="Times New Roman"/>
          <w:color w:val="auto"/>
        </w:rPr>
      </w:pPr>
    </w:p>
    <w:p w14:paraId="18B5DD11">
      <w:pPr>
        <w:pStyle w:val="276"/>
        <w:widowControl w:val="0"/>
        <w:ind w:firstLine="480"/>
        <w:jc w:val="both"/>
        <w:rPr>
          <w:snapToGrid w:val="0"/>
          <w:color w:val="auto"/>
        </w:rPr>
      </w:pPr>
      <w:r>
        <w:rPr>
          <w:snapToGrid w:val="0"/>
          <w:color w:val="auto"/>
        </w:rPr>
        <w:t>（2）环境数据</w:t>
      </w:r>
    </w:p>
    <w:p w14:paraId="13EEA4D4">
      <w:pPr>
        <w:pStyle w:val="276"/>
        <w:widowControl w:val="0"/>
        <w:ind w:firstLine="480"/>
        <w:jc w:val="both"/>
        <w:rPr>
          <w:snapToGrid w:val="0"/>
          <w:color w:val="auto"/>
        </w:rPr>
      </w:pPr>
      <w:r>
        <w:rPr>
          <w:snapToGrid w:val="0"/>
          <w:color w:val="auto"/>
        </w:rPr>
        <w:t>通过资料收集，影响声波传播的各类参数见表5.4-9。</w:t>
      </w:r>
    </w:p>
    <w:p w14:paraId="45360FB7">
      <w:pPr>
        <w:pStyle w:val="276"/>
        <w:widowControl w:val="0"/>
        <w:spacing w:line="440" w:lineRule="exact"/>
        <w:ind w:firstLine="0" w:firstLineChars="0"/>
        <w:jc w:val="center"/>
        <w:rPr>
          <w:color w:val="auto"/>
          <w:kern w:val="2"/>
        </w:rPr>
      </w:pPr>
      <w:r>
        <w:rPr>
          <w:color w:val="auto"/>
          <w:kern w:val="2"/>
        </w:rPr>
        <w:t>表5.4-9 影响声波传播的各类参数统计</w:t>
      </w:r>
    </w:p>
    <w:tbl>
      <w:tblPr>
        <w:tblStyle w:val="8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
        <w:gridCol w:w="5723"/>
        <w:gridCol w:w="2403"/>
      </w:tblGrid>
      <w:tr w14:paraId="1C3F6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Align w:val="center"/>
          </w:tcPr>
          <w:p w14:paraId="4605A9E2">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5723" w:type="dxa"/>
            <w:vAlign w:val="center"/>
          </w:tcPr>
          <w:p w14:paraId="62532B1A">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参数</w:t>
            </w:r>
          </w:p>
        </w:tc>
        <w:tc>
          <w:tcPr>
            <w:tcW w:w="2403" w:type="dxa"/>
            <w:vAlign w:val="center"/>
          </w:tcPr>
          <w:p w14:paraId="2BA962C8">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取值</w:t>
            </w:r>
          </w:p>
        </w:tc>
      </w:tr>
      <w:tr w14:paraId="40FB8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Align w:val="center"/>
          </w:tcPr>
          <w:p w14:paraId="46634AA1">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5723" w:type="dxa"/>
            <w:vAlign w:val="center"/>
          </w:tcPr>
          <w:p w14:paraId="6A32E731">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年平均风速和主导风向</w:t>
            </w:r>
          </w:p>
        </w:tc>
        <w:tc>
          <w:tcPr>
            <w:tcW w:w="2403" w:type="dxa"/>
            <w:vAlign w:val="center"/>
          </w:tcPr>
          <w:p w14:paraId="3DDC2170">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3.7m/s ，西北风</w:t>
            </w:r>
          </w:p>
        </w:tc>
      </w:tr>
      <w:tr w14:paraId="7C33A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Align w:val="center"/>
          </w:tcPr>
          <w:p w14:paraId="0CC296A5">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5723" w:type="dxa"/>
            <w:vAlign w:val="center"/>
          </w:tcPr>
          <w:p w14:paraId="2019F7C8">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项目区域年平均气温</w:t>
            </w:r>
          </w:p>
        </w:tc>
        <w:tc>
          <w:tcPr>
            <w:tcW w:w="2403" w:type="dxa"/>
            <w:vAlign w:val="center"/>
          </w:tcPr>
          <w:p w14:paraId="1F438435">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3.3℃</w:t>
            </w:r>
          </w:p>
        </w:tc>
      </w:tr>
      <w:tr w14:paraId="32DF3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Align w:val="center"/>
          </w:tcPr>
          <w:p w14:paraId="63FB1E25">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5723" w:type="dxa"/>
            <w:vAlign w:val="center"/>
          </w:tcPr>
          <w:p w14:paraId="33C05E03">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年平均相对湿度</w:t>
            </w:r>
          </w:p>
        </w:tc>
        <w:tc>
          <w:tcPr>
            <w:tcW w:w="2403" w:type="dxa"/>
            <w:vAlign w:val="center"/>
          </w:tcPr>
          <w:p w14:paraId="75E37A7E">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63%</w:t>
            </w:r>
          </w:p>
        </w:tc>
      </w:tr>
      <w:tr w14:paraId="28BCD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Align w:val="center"/>
          </w:tcPr>
          <w:p w14:paraId="389D46C6">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5723" w:type="dxa"/>
            <w:vAlign w:val="center"/>
          </w:tcPr>
          <w:p w14:paraId="04B0EE9A">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大气压强</w:t>
            </w:r>
          </w:p>
        </w:tc>
        <w:tc>
          <w:tcPr>
            <w:tcW w:w="2403" w:type="dxa"/>
            <w:vAlign w:val="center"/>
          </w:tcPr>
          <w:p w14:paraId="12BE472A">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101325Pa</w:t>
            </w:r>
          </w:p>
        </w:tc>
      </w:tr>
      <w:tr w14:paraId="5BF1D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Align w:val="center"/>
          </w:tcPr>
          <w:p w14:paraId="6FE14874">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5723" w:type="dxa"/>
            <w:vAlign w:val="center"/>
          </w:tcPr>
          <w:p w14:paraId="30A58912">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声源和预测点间的地形、高差</w:t>
            </w:r>
          </w:p>
        </w:tc>
        <w:tc>
          <w:tcPr>
            <w:tcW w:w="2403" w:type="dxa"/>
            <w:vAlign w:val="center"/>
          </w:tcPr>
          <w:p w14:paraId="598845FD">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平原，1.2m</w:t>
            </w:r>
          </w:p>
        </w:tc>
      </w:tr>
      <w:tr w14:paraId="5088C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Align w:val="center"/>
          </w:tcPr>
          <w:p w14:paraId="68812FA7">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5723" w:type="dxa"/>
            <w:vAlign w:val="center"/>
          </w:tcPr>
          <w:p w14:paraId="3F0DFBAD">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声源和预测点间障碍物（如建筑物、围墙等）的几何参数</w:t>
            </w:r>
          </w:p>
        </w:tc>
        <w:tc>
          <w:tcPr>
            <w:tcW w:w="2403" w:type="dxa"/>
            <w:vAlign w:val="center"/>
          </w:tcPr>
          <w:p w14:paraId="167CE5CE">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无</w:t>
            </w:r>
          </w:p>
        </w:tc>
      </w:tr>
      <w:tr w14:paraId="2C694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5" w:type="dxa"/>
            <w:vAlign w:val="center"/>
          </w:tcPr>
          <w:p w14:paraId="2B54B33E">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5723" w:type="dxa"/>
            <w:vAlign w:val="center"/>
          </w:tcPr>
          <w:p w14:paraId="6B6D1D0D">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声源和预测点间树林、灌木等的分布情况以及地面覆盖情况</w:t>
            </w:r>
          </w:p>
        </w:tc>
        <w:tc>
          <w:tcPr>
            <w:tcW w:w="2403" w:type="dxa"/>
            <w:vAlign w:val="center"/>
          </w:tcPr>
          <w:p w14:paraId="54005928">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耕地、乔木林地</w:t>
            </w:r>
          </w:p>
        </w:tc>
      </w:tr>
    </w:tbl>
    <w:p w14:paraId="5CE9C58F">
      <w:pPr>
        <w:rPr>
          <w:rFonts w:ascii="宋体" w:hAnsi="宋体" w:eastAsia="宋体"/>
          <w:color w:val="auto"/>
        </w:rPr>
      </w:pPr>
    </w:p>
    <w:p w14:paraId="0F4CDB0A">
      <w:pPr>
        <w:pStyle w:val="276"/>
        <w:widowControl w:val="0"/>
        <w:ind w:firstLine="480"/>
        <w:jc w:val="both"/>
        <w:rPr>
          <w:color w:val="auto"/>
        </w:rPr>
      </w:pPr>
      <w:r>
        <w:rPr>
          <w:rFonts w:hint="eastAsia"/>
          <w:color w:val="auto"/>
        </w:rPr>
        <w:t>（</w:t>
      </w:r>
      <w:r>
        <w:rPr>
          <w:color w:val="auto"/>
        </w:rPr>
        <w:t>3</w:t>
      </w:r>
      <w:r>
        <w:rPr>
          <w:rFonts w:hint="eastAsia"/>
          <w:color w:val="auto"/>
        </w:rPr>
        <w:t>）预测模式</w:t>
      </w:r>
    </w:p>
    <w:p w14:paraId="127BCB2E">
      <w:pPr>
        <w:pStyle w:val="276"/>
        <w:widowControl w:val="0"/>
        <w:ind w:firstLine="480"/>
        <w:jc w:val="both"/>
        <w:rPr>
          <w:color w:val="auto"/>
        </w:rPr>
      </w:pPr>
      <w:r>
        <w:rPr>
          <w:color w:val="auto"/>
        </w:rPr>
        <w:t>本预测计算采用</w:t>
      </w:r>
      <w:r>
        <w:rPr>
          <w:color w:val="auto"/>
          <w:lang w:val="zh-CN"/>
        </w:rPr>
        <w:t>《环境影响评价技术导则 声环境》</w:t>
      </w:r>
      <w:r>
        <w:rPr>
          <w:color w:val="auto"/>
        </w:rPr>
        <w:t>（HJ 2.4-2021）中</w:t>
      </w:r>
      <w:r>
        <w:rPr>
          <w:rFonts w:hint="eastAsia"/>
          <w:color w:val="auto"/>
        </w:rPr>
        <w:t>附录A</w:t>
      </w:r>
      <w:r>
        <w:rPr>
          <w:color w:val="auto"/>
        </w:rPr>
        <w:t>推荐的噪声预测模式，计算公式</w:t>
      </w:r>
      <w:r>
        <w:rPr>
          <w:color w:val="auto"/>
          <w:lang w:val="zh-CN"/>
        </w:rPr>
        <w:t>如下</w:t>
      </w:r>
      <w:r>
        <w:rPr>
          <w:color w:val="auto"/>
        </w:rPr>
        <w:t>：</w:t>
      </w:r>
    </w:p>
    <w:p w14:paraId="322E4E32">
      <w:pPr>
        <w:pStyle w:val="164"/>
        <w:numPr>
          <w:ilvl w:val="0"/>
          <w:numId w:val="16"/>
        </w:numPr>
        <w:adjustRightInd w:val="0"/>
        <w:snapToGrid w:val="0"/>
        <w:spacing w:line="331" w:lineRule="auto"/>
        <w:rPr>
          <w:rFonts w:ascii="宋体" w:hAnsi="宋体" w:eastAsia="宋体" w:cs="Times New Roman"/>
          <w:color w:val="auto"/>
        </w:rPr>
      </w:pPr>
      <w:r>
        <w:rPr>
          <w:rFonts w:hint="eastAsia" w:ascii="宋体" w:hAnsi="宋体" w:eastAsia="宋体" w:cs="Times New Roman"/>
          <w:color w:val="auto"/>
        </w:rPr>
        <w:t>噪声户外传播声级衰减模式</w:t>
      </w:r>
    </w:p>
    <w:p w14:paraId="357AADA1">
      <w:pPr>
        <w:pStyle w:val="276"/>
        <w:widowControl w:val="0"/>
        <w:ind w:firstLine="480"/>
        <w:jc w:val="both"/>
        <w:rPr>
          <w:color w:val="auto"/>
        </w:rPr>
      </w:pPr>
      <w:r>
        <w:rPr>
          <w:rFonts w:hint="eastAsia"/>
          <w:color w:val="auto"/>
        </w:rPr>
        <w:t>户外声传播衰减包括几何发散（</w:t>
      </w:r>
      <w:r>
        <w:rPr>
          <w:i/>
          <w:iCs/>
          <w:color w:val="auto"/>
        </w:rPr>
        <w:t>A</w:t>
      </w:r>
      <w:r>
        <w:rPr>
          <w:color w:val="auto"/>
          <w:vertAlign w:val="subscript"/>
        </w:rPr>
        <w:t>div</w:t>
      </w:r>
      <w:r>
        <w:rPr>
          <w:color w:val="auto"/>
        </w:rPr>
        <w:t>）、</w:t>
      </w:r>
      <w:r>
        <w:rPr>
          <w:color w:val="auto"/>
          <w:lang w:val="zh-CN"/>
        </w:rPr>
        <w:t>大气吸收</w:t>
      </w:r>
      <w:r>
        <w:rPr>
          <w:color w:val="auto"/>
        </w:rPr>
        <w:t>（</w:t>
      </w:r>
      <w:r>
        <w:rPr>
          <w:i/>
          <w:iCs/>
          <w:color w:val="auto"/>
        </w:rPr>
        <w:t>A</w:t>
      </w:r>
      <w:r>
        <w:rPr>
          <w:color w:val="auto"/>
          <w:vertAlign w:val="subscript"/>
        </w:rPr>
        <w:t>atm</w:t>
      </w:r>
      <w:r>
        <w:rPr>
          <w:color w:val="auto"/>
        </w:rPr>
        <w:t>）、地面效应（</w:t>
      </w:r>
      <w:r>
        <w:rPr>
          <w:i/>
          <w:iCs/>
          <w:color w:val="auto"/>
        </w:rPr>
        <w:t>A</w:t>
      </w:r>
      <w:r>
        <w:rPr>
          <w:color w:val="auto"/>
          <w:vertAlign w:val="subscript"/>
        </w:rPr>
        <w:t>gr</w:t>
      </w:r>
      <w:r>
        <w:rPr>
          <w:color w:val="auto"/>
        </w:rPr>
        <w:t>）、障碍物屏蔽（</w:t>
      </w:r>
      <w:r>
        <w:rPr>
          <w:i/>
          <w:iCs/>
          <w:color w:val="auto"/>
        </w:rPr>
        <w:t>A</w:t>
      </w:r>
      <w:r>
        <w:rPr>
          <w:color w:val="auto"/>
          <w:vertAlign w:val="subscript"/>
        </w:rPr>
        <w:t>bar</w:t>
      </w:r>
      <w:r>
        <w:rPr>
          <w:color w:val="auto"/>
        </w:rPr>
        <w:t>）、其</w:t>
      </w:r>
      <w:r>
        <w:rPr>
          <w:rFonts w:hint="eastAsia"/>
          <w:color w:val="auto"/>
        </w:rPr>
        <w:t>他多方面效应（</w:t>
      </w:r>
      <w:r>
        <w:rPr>
          <w:i/>
          <w:iCs/>
          <w:color w:val="auto"/>
        </w:rPr>
        <w:t>A</w:t>
      </w:r>
      <w:r>
        <w:rPr>
          <w:color w:val="auto"/>
          <w:vertAlign w:val="subscript"/>
        </w:rPr>
        <w:t>misc</w:t>
      </w:r>
      <w:r>
        <w:rPr>
          <w:color w:val="auto"/>
        </w:rPr>
        <w:t>）引起的衰减。</w:t>
      </w:r>
    </w:p>
    <w:p w14:paraId="3E63CEAF">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color w:val="auto"/>
        </w:rPr>
        <w:drawing>
          <wp:inline distT="0" distB="0" distL="0" distR="0">
            <wp:extent cx="2830830" cy="230505"/>
            <wp:effectExtent l="0" t="0" r="0" b="0"/>
            <wp:docPr id="1352728157" name="图片 1352728157" descr="C:\Users\DELL\AppData\Local\Temp\企业微信截图_16943922396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57" name="图片 1352728157" descr="C:\Users\DELL\AppData\Local\Temp\企业微信截图_1694392239697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862392" cy="233419"/>
                    </a:xfrm>
                    <a:prstGeom prst="rect">
                      <a:avLst/>
                    </a:prstGeom>
                    <a:noFill/>
                    <a:ln>
                      <a:noFill/>
                    </a:ln>
                  </pic:spPr>
                </pic:pic>
              </a:graphicData>
            </a:graphic>
          </wp:inline>
        </w:drawing>
      </w:r>
      <w:r>
        <w:rPr>
          <w:rFonts w:hint="eastAsia" w:ascii="宋体" w:hAnsi="宋体" w:eastAsia="宋体" w:cs="Times New Roman"/>
          <w:color w:val="auto"/>
        </w:rPr>
        <w:t>（</w:t>
      </w:r>
      <w:r>
        <w:rPr>
          <w:rFonts w:ascii="宋体" w:hAnsi="宋体" w:eastAsia="宋体" w:cs="Times New Roman"/>
          <w:color w:val="auto"/>
        </w:rPr>
        <w:t>A.1</w:t>
      </w:r>
      <w:r>
        <w:rPr>
          <w:rFonts w:hint="eastAsia" w:ascii="宋体" w:hAnsi="宋体" w:eastAsia="宋体" w:cs="Times New Roman"/>
          <w:color w:val="auto"/>
        </w:rPr>
        <w:t>）</w:t>
      </w:r>
    </w:p>
    <w:p w14:paraId="15FCD735">
      <w:pPr>
        <w:pStyle w:val="276"/>
        <w:widowControl w:val="0"/>
        <w:ind w:firstLine="480"/>
        <w:jc w:val="both"/>
        <w:rPr>
          <w:color w:val="auto"/>
        </w:rPr>
      </w:pPr>
      <w:r>
        <w:rPr>
          <w:rFonts w:hint="eastAsia"/>
          <w:color w:val="auto"/>
        </w:rPr>
        <w:t>式中：</w:t>
      </w:r>
      <w:r>
        <w:rPr>
          <w:i/>
          <w:iCs/>
          <w:color w:val="auto"/>
        </w:rPr>
        <w:t>Lp</w:t>
      </w:r>
      <w:r>
        <w:rPr>
          <w:color w:val="auto"/>
        </w:rPr>
        <w:t>（r）——预测点处声压级，dB；</w:t>
      </w:r>
    </w:p>
    <w:p w14:paraId="1FD8D89C">
      <w:pPr>
        <w:pStyle w:val="276"/>
        <w:widowControl w:val="0"/>
        <w:ind w:firstLine="480"/>
        <w:jc w:val="both"/>
        <w:rPr>
          <w:color w:val="auto"/>
        </w:rPr>
      </w:pPr>
      <w:r>
        <w:rPr>
          <w:rFonts w:hint="eastAsia"/>
          <w:color w:val="auto"/>
        </w:rPr>
        <w:t>L</w:t>
      </w:r>
      <w:r>
        <w:rPr>
          <w:rFonts w:hint="eastAsia"/>
          <w:i/>
          <w:color w:val="auto"/>
        </w:rPr>
        <w:t>p（r0）</w:t>
      </w:r>
      <w:r>
        <w:rPr>
          <w:rFonts w:hint="eastAsia"/>
          <w:color w:val="auto"/>
        </w:rPr>
        <w:t xml:space="preserve"> ——参考位置r0处的声压级，dB；</w:t>
      </w:r>
      <w:r>
        <w:rPr>
          <w:color w:val="auto"/>
        </w:rPr>
        <w:t>；</w:t>
      </w:r>
    </w:p>
    <w:p w14:paraId="5CFA8FAB">
      <w:pPr>
        <w:pStyle w:val="276"/>
        <w:widowControl w:val="0"/>
        <w:ind w:firstLine="480"/>
        <w:jc w:val="both"/>
        <w:rPr>
          <w:color w:val="auto"/>
        </w:rPr>
      </w:pPr>
      <w:r>
        <w:rPr>
          <w:i/>
          <w:iCs/>
          <w:color w:val="auto"/>
        </w:rPr>
        <w:t>D</w:t>
      </w:r>
      <w:r>
        <w:rPr>
          <w:color w:val="auto"/>
          <w:vertAlign w:val="subscript"/>
        </w:rPr>
        <w:t>c</w:t>
      </w:r>
      <w:r>
        <w:rPr>
          <w:color w:val="auto"/>
        </w:rPr>
        <w:t xml:space="preserve"> ——指向性校正，它描述点声源的等效连续声压级与产生声功率级</w:t>
      </w:r>
      <w:r>
        <w:rPr>
          <w:i/>
          <w:iCs/>
          <w:color w:val="auto"/>
        </w:rPr>
        <w:t>L</w:t>
      </w:r>
      <w:r>
        <w:rPr>
          <w:color w:val="auto"/>
        </w:rPr>
        <w:t>w的全向点声源在规定方向的声级的偏差程度，dB；</w:t>
      </w:r>
    </w:p>
    <w:p w14:paraId="13667967">
      <w:pPr>
        <w:pStyle w:val="276"/>
        <w:widowControl w:val="0"/>
        <w:ind w:firstLine="480"/>
        <w:jc w:val="both"/>
        <w:rPr>
          <w:color w:val="auto"/>
        </w:rPr>
      </w:pPr>
      <w:r>
        <w:rPr>
          <w:i/>
          <w:iCs/>
          <w:color w:val="auto"/>
        </w:rPr>
        <w:t>A</w:t>
      </w:r>
      <w:r>
        <w:rPr>
          <w:color w:val="auto"/>
          <w:vertAlign w:val="subscript"/>
        </w:rPr>
        <w:t>div</w:t>
      </w:r>
      <w:r>
        <w:rPr>
          <w:color w:val="auto"/>
        </w:rPr>
        <w:t xml:space="preserve"> ——几何发散引起的衰减，dB；</w:t>
      </w:r>
    </w:p>
    <w:p w14:paraId="5D4C1592">
      <w:pPr>
        <w:pStyle w:val="276"/>
        <w:widowControl w:val="0"/>
        <w:ind w:firstLine="480"/>
        <w:jc w:val="both"/>
        <w:rPr>
          <w:color w:val="auto"/>
        </w:rPr>
      </w:pPr>
      <w:r>
        <w:rPr>
          <w:i/>
          <w:iCs/>
          <w:color w:val="auto"/>
        </w:rPr>
        <w:t>A</w:t>
      </w:r>
      <w:r>
        <w:rPr>
          <w:color w:val="auto"/>
          <w:vertAlign w:val="subscript"/>
        </w:rPr>
        <w:t>atm</w:t>
      </w:r>
      <w:r>
        <w:rPr>
          <w:color w:val="auto"/>
        </w:rPr>
        <w:t xml:space="preserve"> ——大气吸收引起的衰减，dB；</w:t>
      </w:r>
    </w:p>
    <w:p w14:paraId="4AE461DF">
      <w:pPr>
        <w:pStyle w:val="276"/>
        <w:widowControl w:val="0"/>
        <w:ind w:firstLine="480"/>
        <w:jc w:val="both"/>
        <w:rPr>
          <w:color w:val="auto"/>
        </w:rPr>
      </w:pPr>
      <w:r>
        <w:rPr>
          <w:i/>
          <w:iCs/>
          <w:color w:val="auto"/>
        </w:rPr>
        <w:t>A</w:t>
      </w:r>
      <w:r>
        <w:rPr>
          <w:color w:val="auto"/>
          <w:vertAlign w:val="subscript"/>
        </w:rPr>
        <w:t>gr</w:t>
      </w:r>
      <w:r>
        <w:rPr>
          <w:color w:val="auto"/>
        </w:rPr>
        <w:t xml:space="preserve"> ——地面效应引起的衰减，dB；</w:t>
      </w:r>
    </w:p>
    <w:p w14:paraId="368B8E11">
      <w:pPr>
        <w:pStyle w:val="276"/>
        <w:widowControl w:val="0"/>
        <w:ind w:firstLine="480"/>
        <w:jc w:val="both"/>
        <w:rPr>
          <w:color w:val="auto"/>
        </w:rPr>
      </w:pPr>
      <w:r>
        <w:rPr>
          <w:color w:val="auto"/>
        </w:rPr>
        <w:t>A</w:t>
      </w:r>
      <w:r>
        <w:rPr>
          <w:color w:val="auto"/>
          <w:vertAlign w:val="subscript"/>
        </w:rPr>
        <w:t>bar</w:t>
      </w:r>
      <w:r>
        <w:rPr>
          <w:color w:val="auto"/>
        </w:rPr>
        <w:t xml:space="preserve"> ——障碍物屏蔽引起的衰减，dB；</w:t>
      </w:r>
    </w:p>
    <w:p w14:paraId="22D5E4CA">
      <w:pPr>
        <w:pStyle w:val="276"/>
        <w:widowControl w:val="0"/>
        <w:ind w:firstLine="480"/>
        <w:jc w:val="both"/>
        <w:rPr>
          <w:color w:val="auto"/>
        </w:rPr>
      </w:pPr>
      <w:r>
        <w:rPr>
          <w:i/>
          <w:iCs/>
          <w:color w:val="auto"/>
        </w:rPr>
        <w:t>A</w:t>
      </w:r>
      <w:r>
        <w:rPr>
          <w:color w:val="auto"/>
          <w:vertAlign w:val="subscript"/>
        </w:rPr>
        <w:t>misc</w:t>
      </w:r>
      <w:r>
        <w:rPr>
          <w:color w:val="auto"/>
        </w:rPr>
        <w:t xml:space="preserve"> ——其他多方面效应引起的衰减，dB</w:t>
      </w:r>
      <w:r>
        <w:rPr>
          <w:rFonts w:hint="eastAsia"/>
          <w:color w:val="auto"/>
        </w:rPr>
        <w:t>。</w:t>
      </w:r>
    </w:p>
    <w:p w14:paraId="02B6DF38">
      <w:pPr>
        <w:pStyle w:val="276"/>
        <w:widowControl w:val="0"/>
        <w:ind w:firstLine="480"/>
        <w:jc w:val="both"/>
        <w:rPr>
          <w:color w:val="auto"/>
        </w:rPr>
      </w:pPr>
      <w:r>
        <w:rPr>
          <w:rFonts w:hint="eastAsia"/>
          <w:color w:val="auto"/>
        </w:rPr>
        <w:t>1）预测点总等效连续A声级计算模式：</w:t>
      </w:r>
    </w:p>
    <w:p w14:paraId="3C9E25E9">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color w:val="auto"/>
        </w:rPr>
        <w:drawing>
          <wp:inline distT="0" distB="0" distL="0" distR="0">
            <wp:extent cx="1875790" cy="460375"/>
            <wp:effectExtent l="0" t="0" r="10160" b="15875"/>
            <wp:docPr id="1352728158" name="图片 1352728158" descr="C:\Users\DELL\AppData\Local\Temp\企业微信截图_1694392310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58" name="图片 1352728158" descr="C:\Users\DELL\AppData\Local\Temp\企业微信截图_16943923102740.png"/>
                    <pic:cNvPicPr>
                      <a:picLocks noChangeAspect="1" noChangeArrowheads="1"/>
                    </pic:cNvPicPr>
                  </pic:nvPicPr>
                  <pic:blipFill>
                    <a:blip r:embed="rId125"/>
                    <a:srcRect/>
                    <a:stretch>
                      <a:fillRect/>
                    </a:stretch>
                  </pic:blipFill>
                  <pic:spPr>
                    <a:xfrm>
                      <a:off x="0" y="0"/>
                      <a:ext cx="1875790" cy="464362"/>
                    </a:xfrm>
                    <a:prstGeom prst="rect">
                      <a:avLst/>
                    </a:prstGeom>
                    <a:noFill/>
                    <a:ln>
                      <a:noFill/>
                    </a:ln>
                  </pic:spPr>
                </pic:pic>
              </a:graphicData>
            </a:graphic>
          </wp:inline>
        </w:drawing>
      </w:r>
      <w:r>
        <w:rPr>
          <w:rFonts w:hint="eastAsia" w:ascii="宋体" w:hAnsi="宋体" w:eastAsia="宋体" w:cs="Times New Roman"/>
          <w:color w:val="auto"/>
        </w:rPr>
        <w:t xml:space="preserve"> </w:t>
      </w:r>
      <w:r>
        <w:rPr>
          <w:rFonts w:ascii="宋体" w:hAnsi="宋体" w:eastAsia="宋体" w:cs="Times New Roman"/>
          <w:color w:val="auto"/>
        </w:rPr>
        <w:t xml:space="preserve"> </w:t>
      </w:r>
      <w:r>
        <w:rPr>
          <w:rFonts w:hint="eastAsia" w:ascii="宋体" w:hAnsi="宋体" w:eastAsia="宋体" w:cs="Times New Roman"/>
          <w:color w:val="auto"/>
        </w:rPr>
        <w:t>（</w:t>
      </w:r>
      <w:r>
        <w:rPr>
          <w:rFonts w:ascii="宋体" w:hAnsi="宋体" w:eastAsia="宋体" w:cs="Times New Roman"/>
          <w:color w:val="auto"/>
        </w:rPr>
        <w:t>A.2</w:t>
      </w:r>
      <w:r>
        <w:rPr>
          <w:rFonts w:hint="eastAsia" w:ascii="宋体" w:hAnsi="宋体" w:eastAsia="宋体" w:cs="Times New Roman"/>
          <w:color w:val="auto"/>
        </w:rPr>
        <w:t>）</w:t>
      </w:r>
    </w:p>
    <w:p w14:paraId="1A2128D3">
      <w:pPr>
        <w:pStyle w:val="276"/>
        <w:widowControl w:val="0"/>
        <w:ind w:firstLine="480"/>
        <w:jc w:val="both"/>
        <w:rPr>
          <w:color w:val="auto"/>
        </w:rPr>
      </w:pPr>
      <w:r>
        <w:rPr>
          <w:rFonts w:hint="eastAsia"/>
          <w:color w:val="auto"/>
        </w:rPr>
        <w:t>式中：</w:t>
      </w:r>
    </w:p>
    <w:p w14:paraId="0527F495">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color w:val="auto"/>
        </w:rPr>
        <w:drawing>
          <wp:inline distT="0" distB="0" distL="0" distR="0">
            <wp:extent cx="2733675" cy="556260"/>
            <wp:effectExtent l="0" t="0" r="9525" b="15240"/>
            <wp:docPr id="1352728159" name="图片 1352728159" descr="C:\Users\DELL\AppData\Local\Temp\企业微信截图_16943923382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59" name="图片 1352728159" descr="C:\Users\DELL\AppData\Local\Temp\企业微信截图_16943923382963.png"/>
                    <pic:cNvPicPr>
                      <a:picLocks noChangeAspect="1" noChangeArrowheads="1"/>
                    </pic:cNvPicPr>
                  </pic:nvPicPr>
                  <pic:blipFill>
                    <a:blip r:embed="rId126"/>
                    <a:srcRect/>
                    <a:stretch>
                      <a:fillRect/>
                    </a:stretch>
                  </pic:blipFill>
                  <pic:spPr>
                    <a:xfrm>
                      <a:off x="0" y="0"/>
                      <a:ext cx="2778243" cy="556260"/>
                    </a:xfrm>
                    <a:prstGeom prst="rect">
                      <a:avLst/>
                    </a:prstGeom>
                    <a:noFill/>
                    <a:ln>
                      <a:noFill/>
                    </a:ln>
                  </pic:spPr>
                </pic:pic>
              </a:graphicData>
            </a:graphic>
          </wp:inline>
        </w:drawing>
      </w:r>
    </w:p>
    <w:p w14:paraId="68DEA802">
      <w:pPr>
        <w:pStyle w:val="276"/>
        <w:widowControl w:val="0"/>
        <w:ind w:firstLine="480"/>
        <w:jc w:val="both"/>
        <w:rPr>
          <w:color w:val="auto"/>
        </w:rPr>
      </w:pPr>
      <w:r>
        <w:rPr>
          <w:rFonts w:hint="eastAsia"/>
          <w:color w:val="auto"/>
        </w:rPr>
        <w:t>2）衰减项的确定</w:t>
      </w:r>
    </w:p>
    <w:p w14:paraId="40E03130">
      <w:pPr>
        <w:pStyle w:val="276"/>
        <w:widowControl w:val="0"/>
        <w:ind w:firstLine="480"/>
        <w:jc w:val="both"/>
        <w:rPr>
          <w:color w:val="auto"/>
        </w:rPr>
      </w:pPr>
      <w:r>
        <w:rPr>
          <w:rFonts w:hint="eastAsia"/>
          <w:color w:val="auto"/>
        </w:rPr>
        <w:t>A</w:t>
      </w:r>
      <w:r>
        <w:rPr>
          <w:color w:val="auto"/>
        </w:rPr>
        <w:t>.3.1</w:t>
      </w:r>
      <w:r>
        <w:rPr>
          <w:rFonts w:hint="eastAsia"/>
          <w:color w:val="auto"/>
        </w:rPr>
        <w:t>几何发散引起的衰减（A</w:t>
      </w:r>
      <w:r>
        <w:rPr>
          <w:rFonts w:hint="eastAsia"/>
          <w:color w:val="auto"/>
          <w:vertAlign w:val="subscript"/>
        </w:rPr>
        <w:t>div</w:t>
      </w:r>
      <w:r>
        <w:rPr>
          <w:rFonts w:hint="eastAsia"/>
          <w:color w:val="auto"/>
        </w:rPr>
        <w:t>）</w:t>
      </w:r>
    </w:p>
    <w:p w14:paraId="73CBDDD2">
      <w:pPr>
        <w:pStyle w:val="276"/>
        <w:widowControl w:val="0"/>
        <w:ind w:firstLine="480"/>
        <w:jc w:val="both"/>
        <w:rPr>
          <w:color w:val="auto"/>
        </w:rPr>
      </w:pPr>
      <w:r>
        <w:rPr>
          <w:color w:val="auto"/>
        </w:rPr>
        <w:t>无指向性点声源几何发散衰减的</w:t>
      </w:r>
      <w:r>
        <w:rPr>
          <w:color w:val="auto"/>
          <w:lang w:val="zh-CN"/>
        </w:rPr>
        <w:t>基本</w:t>
      </w:r>
      <w:r>
        <w:rPr>
          <w:color w:val="auto"/>
        </w:rPr>
        <w:t>公式是：</w:t>
      </w:r>
    </w:p>
    <w:p w14:paraId="6F09A3E4">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i/>
          <w:iCs/>
          <w:color w:val="auto"/>
        </w:rPr>
        <w:t>Lp</w:t>
      </w:r>
      <w:r>
        <w:rPr>
          <w:rFonts w:ascii="宋体" w:hAnsi="宋体" w:eastAsia="宋体" w:cs="Times New Roman"/>
          <w:color w:val="auto"/>
        </w:rPr>
        <w:t>（</w:t>
      </w:r>
      <w:r>
        <w:rPr>
          <w:rFonts w:ascii="宋体" w:hAnsi="宋体" w:eastAsia="宋体" w:cs="Times New Roman"/>
          <w:i/>
          <w:iCs/>
          <w:color w:val="auto"/>
        </w:rPr>
        <w:t>r</w:t>
      </w:r>
      <w:r>
        <w:rPr>
          <w:rFonts w:ascii="宋体" w:hAnsi="宋体" w:eastAsia="宋体" w:cs="Times New Roman"/>
          <w:color w:val="auto"/>
        </w:rPr>
        <w:t>）=</w:t>
      </w:r>
      <w:r>
        <w:rPr>
          <w:rFonts w:ascii="宋体" w:hAnsi="宋体" w:eastAsia="宋体" w:cs="Times New Roman"/>
          <w:i/>
          <w:iCs/>
          <w:color w:val="auto"/>
        </w:rPr>
        <w:t>Lp</w:t>
      </w:r>
      <w:r>
        <w:rPr>
          <w:rFonts w:ascii="宋体" w:hAnsi="宋体" w:eastAsia="宋体" w:cs="Times New Roman"/>
          <w:color w:val="auto"/>
        </w:rPr>
        <w:t>（</w:t>
      </w:r>
      <w:r>
        <w:rPr>
          <w:rFonts w:ascii="宋体" w:hAnsi="宋体" w:eastAsia="宋体" w:cs="Times New Roman"/>
          <w:i/>
          <w:iCs/>
          <w:color w:val="auto"/>
        </w:rPr>
        <w:t>r</w:t>
      </w:r>
      <w:r>
        <w:rPr>
          <w:rFonts w:ascii="宋体" w:hAnsi="宋体" w:eastAsia="宋体" w:cs="Times New Roman"/>
          <w:color w:val="auto"/>
          <w:vertAlign w:val="subscript"/>
        </w:rPr>
        <w:t>0</w:t>
      </w:r>
      <w:r>
        <w:rPr>
          <w:rFonts w:ascii="宋体" w:hAnsi="宋体" w:eastAsia="宋体" w:cs="Times New Roman"/>
          <w:color w:val="auto"/>
        </w:rPr>
        <w:t>）-20lg（</w:t>
      </w:r>
      <w:r>
        <w:rPr>
          <w:rFonts w:ascii="宋体" w:hAnsi="宋体" w:eastAsia="宋体" w:cs="Times New Roman"/>
          <w:i/>
          <w:iCs/>
          <w:color w:val="auto"/>
        </w:rPr>
        <w:t>r</w:t>
      </w:r>
      <w:r>
        <w:rPr>
          <w:rFonts w:ascii="宋体" w:hAnsi="宋体" w:eastAsia="宋体" w:cs="Times New Roman"/>
          <w:color w:val="auto"/>
        </w:rPr>
        <w:t>/</w:t>
      </w:r>
      <w:r>
        <w:rPr>
          <w:rFonts w:ascii="宋体" w:hAnsi="宋体" w:eastAsia="宋体" w:cs="Times New Roman"/>
          <w:i/>
          <w:iCs/>
          <w:color w:val="auto"/>
        </w:rPr>
        <w:t>r</w:t>
      </w:r>
      <w:r>
        <w:rPr>
          <w:rFonts w:ascii="宋体" w:hAnsi="宋体" w:eastAsia="宋体" w:cs="Times New Roman"/>
          <w:color w:val="auto"/>
          <w:vertAlign w:val="subscript"/>
        </w:rPr>
        <w:t>0</w:t>
      </w:r>
      <w:r>
        <w:rPr>
          <w:rFonts w:ascii="宋体" w:hAnsi="宋体" w:eastAsia="宋体" w:cs="Times New Roman"/>
          <w:color w:val="auto"/>
        </w:rPr>
        <w:t>）</w:t>
      </w:r>
      <w:r>
        <w:rPr>
          <w:rFonts w:hint="eastAsia" w:ascii="宋体" w:hAnsi="宋体" w:eastAsia="宋体" w:cs="Times New Roman"/>
          <w:color w:val="auto"/>
        </w:rPr>
        <w:t xml:space="preserve"> </w:t>
      </w:r>
      <w:r>
        <w:rPr>
          <w:rFonts w:ascii="宋体" w:hAnsi="宋体" w:eastAsia="宋体" w:cs="Times New Roman"/>
          <w:color w:val="auto"/>
        </w:rPr>
        <w:t xml:space="preserve"> （A.3）</w:t>
      </w:r>
    </w:p>
    <w:p w14:paraId="5FE16387">
      <w:pPr>
        <w:pStyle w:val="276"/>
        <w:widowControl w:val="0"/>
        <w:ind w:firstLine="480"/>
        <w:jc w:val="both"/>
        <w:rPr>
          <w:color w:val="auto"/>
        </w:rPr>
      </w:pPr>
      <w:r>
        <w:rPr>
          <w:color w:val="auto"/>
        </w:rPr>
        <w:t>式中：</w:t>
      </w:r>
      <w:r>
        <w:rPr>
          <w:i/>
          <w:iCs/>
          <w:color w:val="auto"/>
        </w:rPr>
        <w:t>Lp</w:t>
      </w:r>
      <w:r>
        <w:rPr>
          <w:color w:val="auto"/>
        </w:rPr>
        <w:t>（</w:t>
      </w:r>
      <w:r>
        <w:rPr>
          <w:i/>
          <w:iCs/>
          <w:color w:val="auto"/>
        </w:rPr>
        <w:t>r</w:t>
      </w:r>
      <w:r>
        <w:rPr>
          <w:color w:val="auto"/>
        </w:rPr>
        <w:t>）——预测点处声压级，dB；</w:t>
      </w:r>
    </w:p>
    <w:p w14:paraId="64B41C11">
      <w:pPr>
        <w:pStyle w:val="276"/>
        <w:widowControl w:val="0"/>
        <w:ind w:firstLine="480"/>
        <w:jc w:val="both"/>
        <w:rPr>
          <w:color w:val="auto"/>
        </w:rPr>
      </w:pPr>
      <w:r>
        <w:rPr>
          <w:i/>
          <w:iCs/>
          <w:color w:val="auto"/>
        </w:rPr>
        <w:t>Lp</w:t>
      </w:r>
      <w:r>
        <w:rPr>
          <w:color w:val="auto"/>
        </w:rPr>
        <w:t>（</w:t>
      </w:r>
      <w:r>
        <w:rPr>
          <w:i/>
          <w:iCs/>
          <w:color w:val="auto"/>
        </w:rPr>
        <w:t>r</w:t>
      </w:r>
      <w:r>
        <w:rPr>
          <w:color w:val="auto"/>
          <w:vertAlign w:val="subscript"/>
        </w:rPr>
        <w:t>0</w:t>
      </w:r>
      <w:r>
        <w:rPr>
          <w:color w:val="auto"/>
        </w:rPr>
        <w:t>）——参考位置</w:t>
      </w:r>
      <w:r>
        <w:rPr>
          <w:i/>
          <w:iCs/>
          <w:color w:val="auto"/>
        </w:rPr>
        <w:t>r</w:t>
      </w:r>
      <w:r>
        <w:rPr>
          <w:color w:val="auto"/>
          <w:vertAlign w:val="subscript"/>
        </w:rPr>
        <w:t>0</w:t>
      </w:r>
      <w:r>
        <w:rPr>
          <w:color w:val="auto"/>
        </w:rPr>
        <w:t>处的声压级，dB；</w:t>
      </w:r>
    </w:p>
    <w:p w14:paraId="6CA592D6">
      <w:pPr>
        <w:pStyle w:val="276"/>
        <w:widowControl w:val="0"/>
        <w:ind w:firstLine="480"/>
        <w:jc w:val="both"/>
        <w:rPr>
          <w:color w:val="auto"/>
        </w:rPr>
      </w:pPr>
      <w:r>
        <w:rPr>
          <w:i/>
          <w:iCs/>
          <w:color w:val="auto"/>
        </w:rPr>
        <w:t>r</w:t>
      </w:r>
      <w:r>
        <w:rPr>
          <w:color w:val="auto"/>
        </w:rPr>
        <w:t xml:space="preserve"> ——预测点距声源的距离；</w:t>
      </w:r>
    </w:p>
    <w:p w14:paraId="26FF13B4">
      <w:pPr>
        <w:pStyle w:val="276"/>
        <w:widowControl w:val="0"/>
        <w:ind w:firstLine="480"/>
        <w:jc w:val="both"/>
        <w:rPr>
          <w:color w:val="auto"/>
        </w:rPr>
      </w:pPr>
      <w:r>
        <w:rPr>
          <w:i/>
          <w:iCs/>
          <w:color w:val="auto"/>
        </w:rPr>
        <w:t>r</w:t>
      </w:r>
      <w:r>
        <w:rPr>
          <w:color w:val="auto"/>
          <w:vertAlign w:val="subscript"/>
        </w:rPr>
        <w:t>0</w:t>
      </w:r>
      <w:r>
        <w:rPr>
          <w:color w:val="auto"/>
        </w:rPr>
        <w:t>——参考位置距声源的距离。</w:t>
      </w:r>
    </w:p>
    <w:p w14:paraId="22A3B2E4">
      <w:pPr>
        <w:pStyle w:val="276"/>
        <w:widowControl w:val="0"/>
        <w:ind w:firstLine="480"/>
        <w:jc w:val="both"/>
        <w:rPr>
          <w:color w:val="auto"/>
        </w:rPr>
      </w:pPr>
      <w:r>
        <w:rPr>
          <w:color w:val="auto"/>
        </w:rPr>
        <w:t>式（A.3）中第二项表示了点声源的几何发散衰减</w:t>
      </w:r>
      <w:r>
        <w:rPr>
          <w:rFonts w:hint="eastAsia"/>
          <w:color w:val="auto"/>
        </w:rPr>
        <w:t>：</w:t>
      </w:r>
    </w:p>
    <w:p w14:paraId="7D1287C7">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color w:val="auto"/>
        </w:rPr>
        <w:drawing>
          <wp:inline distT="0" distB="0" distL="0" distR="0">
            <wp:extent cx="1035685" cy="205740"/>
            <wp:effectExtent l="0" t="0" r="12065" b="3810"/>
            <wp:docPr id="1352728160" name="图片 1352728160" descr="C:\Users\DELL\AppData\Local\Temp\企业微信截图_16943924147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60" name="图片 1352728160" descr="C:\Users\DELL\AppData\Local\Temp\企业微信截图_16943924147728.png"/>
                    <pic:cNvPicPr>
                      <a:picLocks noChangeAspect="1" noChangeArrowheads="1"/>
                    </pic:cNvPicPr>
                  </pic:nvPicPr>
                  <pic:blipFill>
                    <a:blip r:embed="rId127"/>
                    <a:srcRect/>
                    <a:stretch>
                      <a:fillRect/>
                    </a:stretch>
                  </pic:blipFill>
                  <pic:spPr>
                    <a:xfrm>
                      <a:off x="0" y="0"/>
                      <a:ext cx="1035685" cy="211804"/>
                    </a:xfrm>
                    <a:prstGeom prst="rect">
                      <a:avLst/>
                    </a:prstGeom>
                    <a:noFill/>
                    <a:ln>
                      <a:noFill/>
                    </a:ln>
                  </pic:spPr>
                </pic:pic>
              </a:graphicData>
            </a:graphic>
          </wp:inline>
        </w:drawing>
      </w:r>
      <w:r>
        <w:rPr>
          <w:rFonts w:ascii="宋体" w:hAnsi="宋体" w:eastAsia="宋体" w:cs="Times New Roman"/>
          <w:color w:val="auto"/>
        </w:rPr>
        <w:t xml:space="preserve">  （A.4）</w:t>
      </w:r>
    </w:p>
    <w:p w14:paraId="4AEFCAEA">
      <w:pPr>
        <w:pStyle w:val="276"/>
        <w:widowControl w:val="0"/>
        <w:ind w:firstLine="480"/>
        <w:jc w:val="both"/>
        <w:rPr>
          <w:color w:val="auto"/>
        </w:rPr>
      </w:pPr>
      <w:r>
        <w:rPr>
          <w:rFonts w:hint="eastAsia"/>
          <w:color w:val="auto"/>
        </w:rPr>
        <w:t>式中：</w:t>
      </w:r>
      <w:r>
        <w:rPr>
          <w:i/>
          <w:iCs/>
          <w:color w:val="auto"/>
        </w:rPr>
        <w:t>A</w:t>
      </w:r>
      <w:r>
        <w:rPr>
          <w:i/>
          <w:iCs/>
          <w:color w:val="auto"/>
          <w:vertAlign w:val="subscript"/>
        </w:rPr>
        <w:t>div</w:t>
      </w:r>
      <w:r>
        <w:rPr>
          <w:color w:val="auto"/>
        </w:rPr>
        <w:t>——几何发散引起的衰减，dB；</w:t>
      </w:r>
    </w:p>
    <w:p w14:paraId="6C4842F4">
      <w:pPr>
        <w:pStyle w:val="276"/>
        <w:widowControl w:val="0"/>
        <w:ind w:firstLine="480"/>
        <w:jc w:val="both"/>
        <w:rPr>
          <w:color w:val="auto"/>
        </w:rPr>
      </w:pPr>
      <w:r>
        <w:rPr>
          <w:color w:val="auto"/>
        </w:rPr>
        <w:t>r——预测点距声源的距离；</w:t>
      </w:r>
    </w:p>
    <w:p w14:paraId="2B3D8394">
      <w:pPr>
        <w:pStyle w:val="276"/>
        <w:widowControl w:val="0"/>
        <w:ind w:firstLine="480"/>
        <w:jc w:val="both"/>
        <w:rPr>
          <w:color w:val="auto"/>
        </w:rPr>
      </w:pPr>
      <w:r>
        <w:rPr>
          <w:color w:val="auto"/>
        </w:rPr>
        <w:t>r</w:t>
      </w:r>
      <w:r>
        <w:rPr>
          <w:color w:val="auto"/>
          <w:vertAlign w:val="subscript"/>
        </w:rPr>
        <w:t>0</w:t>
      </w:r>
      <w:r>
        <w:rPr>
          <w:color w:val="auto"/>
        </w:rPr>
        <w:t>——参考位置距声源的距离</w:t>
      </w:r>
      <w:r>
        <w:rPr>
          <w:rFonts w:hint="eastAsia"/>
          <w:color w:val="auto"/>
        </w:rPr>
        <w:t>。</w:t>
      </w:r>
    </w:p>
    <w:p w14:paraId="71ED7ED5">
      <w:pPr>
        <w:pStyle w:val="276"/>
        <w:widowControl w:val="0"/>
        <w:ind w:firstLine="480"/>
        <w:jc w:val="both"/>
        <w:rPr>
          <w:color w:val="auto"/>
        </w:rPr>
      </w:pPr>
      <w:r>
        <w:rPr>
          <w:rFonts w:hint="eastAsia"/>
          <w:color w:val="auto"/>
        </w:rPr>
        <w:t>A</w:t>
      </w:r>
      <w:r>
        <w:rPr>
          <w:color w:val="auto"/>
        </w:rPr>
        <w:t>.3.2大气吸收引起的衰减</w:t>
      </w:r>
      <w:r>
        <w:rPr>
          <w:rFonts w:hint="eastAsia"/>
          <w:color w:val="auto"/>
        </w:rPr>
        <w:t>（A</w:t>
      </w:r>
      <w:r>
        <w:rPr>
          <w:rFonts w:hint="eastAsia"/>
          <w:color w:val="auto"/>
          <w:vertAlign w:val="subscript"/>
        </w:rPr>
        <w:t>atm</w:t>
      </w:r>
      <w:r>
        <w:rPr>
          <w:rFonts w:hint="eastAsia"/>
          <w:color w:val="auto"/>
        </w:rPr>
        <w:t>）</w:t>
      </w:r>
    </w:p>
    <w:p w14:paraId="3F27A8D1">
      <w:pPr>
        <w:pStyle w:val="276"/>
        <w:widowControl w:val="0"/>
        <w:ind w:firstLine="480"/>
        <w:jc w:val="both"/>
        <w:rPr>
          <w:color w:val="auto"/>
        </w:rPr>
      </w:pPr>
      <w:r>
        <w:rPr>
          <w:rFonts w:hint="eastAsia"/>
          <w:color w:val="auto"/>
        </w:rPr>
        <w:t>大气吸收引起的衰减按式</w:t>
      </w:r>
      <w:r>
        <w:rPr>
          <w:color w:val="auto"/>
        </w:rPr>
        <w:t>（A.5） 计算</w:t>
      </w:r>
      <w:r>
        <w:rPr>
          <w:rFonts w:hint="eastAsia"/>
          <w:color w:val="auto"/>
        </w:rPr>
        <w:t>：</w:t>
      </w:r>
    </w:p>
    <w:p w14:paraId="6F842214">
      <w:pPr>
        <w:adjustRightInd w:val="0"/>
        <w:snapToGrid w:val="0"/>
        <w:spacing w:line="331" w:lineRule="auto"/>
        <w:ind w:firstLine="420" w:firstLineChars="200"/>
        <w:jc w:val="center"/>
        <w:rPr>
          <w:rFonts w:ascii="宋体" w:hAnsi="宋体" w:eastAsia="宋体" w:cs="Times New Roman"/>
          <w:color w:val="auto"/>
        </w:rPr>
      </w:pPr>
      <m:oMath>
        <m:sSub>
          <m:sSubPr>
            <m:ctrlPr>
              <w:rPr>
                <w:rFonts w:ascii="Cambria Math" w:hAnsi="Cambria Math" w:eastAsia="宋体" w:cs="Times New Roman"/>
                <w:i/>
                <w:color w:val="auto"/>
              </w:rPr>
            </m:ctrlPr>
          </m:sSubPr>
          <m:e>
            <m:r>
              <m:rPr/>
              <w:rPr>
                <w:rFonts w:ascii="Cambria Math" w:hAnsi="Cambria Math" w:eastAsia="宋体" w:cs="Times New Roman"/>
                <w:color w:val="auto"/>
              </w:rPr>
              <m:t>A</m:t>
            </m:r>
            <m:ctrlPr>
              <w:rPr>
                <w:rFonts w:ascii="Cambria Math" w:hAnsi="Cambria Math" w:eastAsia="宋体" w:cs="Times New Roman"/>
                <w:i/>
                <w:color w:val="auto"/>
              </w:rPr>
            </m:ctrlPr>
          </m:e>
          <m:sub>
            <m:r>
              <m:rPr/>
              <w:rPr>
                <w:rFonts w:ascii="Cambria Math" w:hAnsi="Cambria Math" w:eastAsia="宋体" w:cs="Times New Roman"/>
                <w:color w:val="auto"/>
              </w:rPr>
              <m:t>atm</m:t>
            </m:r>
            <m:ctrlPr>
              <w:rPr>
                <w:rFonts w:ascii="Cambria Math" w:hAnsi="Cambria Math" w:eastAsia="宋体" w:cs="Times New Roman"/>
                <w:i/>
                <w:color w:val="auto"/>
              </w:rPr>
            </m:ctrlPr>
          </m:sub>
        </m:sSub>
        <m:r>
          <m:rPr/>
          <w:rPr>
            <w:rFonts w:ascii="Cambria Math" w:hAnsi="Cambria Math" w:eastAsia="宋体" w:cs="Times New Roman"/>
            <w:color w:val="auto"/>
          </w:rPr>
          <m:t>=α</m:t>
        </m:r>
        <m:d>
          <m:dPr>
            <m:ctrlPr>
              <w:rPr>
                <w:rFonts w:ascii="Cambria Math" w:hAnsi="Cambria Math" w:eastAsia="宋体" w:cs="Times New Roman"/>
                <w:i/>
                <w:color w:val="auto"/>
              </w:rPr>
            </m:ctrlPr>
          </m:dPr>
          <m:e>
            <m:r>
              <m:rPr/>
              <w:rPr>
                <w:rFonts w:ascii="Cambria Math" w:hAnsi="Cambria Math" w:eastAsia="宋体" w:cs="Times New Roman"/>
                <w:color w:val="auto"/>
              </w:rPr>
              <m:t>r−</m:t>
            </m:r>
            <m:sSub>
              <m:sSubPr>
                <m:ctrlPr>
                  <w:rPr>
                    <w:rFonts w:ascii="Cambria Math" w:hAnsi="Cambria Math" w:eastAsia="宋体" w:cs="Times New Roman"/>
                    <w:i/>
                    <w:color w:val="auto"/>
                  </w:rPr>
                </m:ctrlPr>
              </m:sSubPr>
              <m:e>
                <m:r>
                  <m:rPr/>
                  <w:rPr>
                    <w:rFonts w:ascii="Cambria Math" w:hAnsi="Cambria Math" w:eastAsia="宋体" w:cs="Times New Roman"/>
                    <w:color w:val="auto"/>
                  </w:rPr>
                  <m:t>r</m:t>
                </m:r>
                <m:ctrlPr>
                  <w:rPr>
                    <w:rFonts w:ascii="Cambria Math" w:hAnsi="Cambria Math" w:eastAsia="宋体" w:cs="Times New Roman"/>
                    <w:i/>
                    <w:color w:val="auto"/>
                  </w:rPr>
                </m:ctrlPr>
              </m:e>
              <m:sub>
                <m:r>
                  <m:rPr/>
                  <w:rPr>
                    <w:rFonts w:ascii="Cambria Math" w:hAnsi="Cambria Math" w:eastAsia="宋体" w:cs="Times New Roman"/>
                    <w:color w:val="auto"/>
                  </w:rPr>
                  <m:t>0</m:t>
                </m:r>
                <m:ctrlPr>
                  <w:rPr>
                    <w:rFonts w:ascii="Cambria Math" w:hAnsi="Cambria Math" w:eastAsia="宋体" w:cs="Times New Roman"/>
                    <w:i/>
                    <w:color w:val="auto"/>
                  </w:rPr>
                </m:ctrlPr>
              </m:sub>
            </m:sSub>
            <m:ctrlPr>
              <w:rPr>
                <w:rFonts w:ascii="Cambria Math" w:hAnsi="Cambria Math" w:eastAsia="宋体" w:cs="Times New Roman"/>
                <w:i/>
                <w:color w:val="auto"/>
              </w:rPr>
            </m:ctrlPr>
          </m:e>
        </m:d>
        <m:r>
          <m:rPr/>
          <w:rPr>
            <w:rFonts w:ascii="Cambria Math" w:hAnsi="Cambria Math" w:eastAsia="宋体" w:cs="Times New Roman"/>
            <w:color w:val="auto"/>
          </w:rPr>
          <m:t>/1000</m:t>
        </m:r>
      </m:oMath>
      <w:r>
        <w:rPr>
          <w:rFonts w:hint="eastAsia" w:ascii="宋体" w:hAnsi="宋体" w:eastAsia="宋体" w:cs="Times New Roman"/>
          <w:color w:val="auto"/>
        </w:rPr>
        <w:t xml:space="preserve"> </w:t>
      </w:r>
      <w:r>
        <w:rPr>
          <w:rFonts w:ascii="宋体" w:hAnsi="宋体" w:eastAsia="宋体" w:cs="Times New Roman"/>
          <w:color w:val="auto"/>
        </w:rPr>
        <w:t xml:space="preserve"> （A.5）</w:t>
      </w:r>
    </w:p>
    <w:p w14:paraId="3B1C5666">
      <w:pPr>
        <w:pStyle w:val="276"/>
        <w:widowControl w:val="0"/>
        <w:ind w:firstLine="480"/>
        <w:jc w:val="both"/>
        <w:rPr>
          <w:color w:val="auto"/>
        </w:rPr>
      </w:pPr>
      <w:r>
        <w:rPr>
          <w:rFonts w:hint="eastAsia"/>
          <w:color w:val="auto"/>
        </w:rPr>
        <w:t>式中：</w:t>
      </w:r>
      <m:oMath>
        <m:sSub>
          <m:sSubPr>
            <m:ctrlPr>
              <w:rPr>
                <w:rFonts w:ascii="Cambria Math" w:hAnsi="Cambria Math"/>
                <w:color w:val="auto"/>
              </w:rPr>
            </m:ctrlPr>
          </m:sSubPr>
          <m:e>
            <m:r>
              <m:rPr/>
              <w:rPr>
                <w:rFonts w:ascii="Cambria Math" w:hAnsi="Cambria Math"/>
                <w:color w:val="auto"/>
              </w:rPr>
              <m:t>A</m:t>
            </m:r>
            <m:ctrlPr>
              <w:rPr>
                <w:rFonts w:ascii="Cambria Math" w:hAnsi="Cambria Math"/>
                <w:color w:val="auto"/>
              </w:rPr>
            </m:ctrlPr>
          </m:e>
          <m:sub>
            <m:r>
              <m:rPr/>
              <w:rPr>
                <w:rFonts w:ascii="Cambria Math" w:hAnsi="Cambria Math"/>
                <w:color w:val="auto"/>
              </w:rPr>
              <m:t>atm</m:t>
            </m:r>
            <m:ctrlPr>
              <w:rPr>
                <w:rFonts w:ascii="Cambria Math" w:hAnsi="Cambria Math"/>
                <w:color w:val="auto"/>
              </w:rPr>
            </m:ctrlPr>
          </m:sub>
        </m:sSub>
      </m:oMath>
      <w:r>
        <w:rPr>
          <w:rFonts w:hint="eastAsia"/>
          <w:color w:val="auto"/>
        </w:rPr>
        <w:t>——大气</w:t>
      </w:r>
      <w:r>
        <w:rPr>
          <w:color w:val="auto"/>
        </w:rPr>
        <w:t>吸收引起的衰减，</w:t>
      </w:r>
      <w:r>
        <w:rPr>
          <w:rFonts w:hint="eastAsia"/>
          <w:color w:val="auto"/>
        </w:rPr>
        <w:t>d</w:t>
      </w:r>
      <w:r>
        <w:rPr>
          <w:color w:val="auto"/>
        </w:rPr>
        <w:t>B；</w:t>
      </w:r>
    </w:p>
    <w:p w14:paraId="492B47B8">
      <w:pPr>
        <w:pStyle w:val="276"/>
        <w:widowControl w:val="0"/>
        <w:ind w:firstLine="480"/>
        <w:jc w:val="both"/>
        <w:rPr>
          <w:color w:val="auto"/>
        </w:rPr>
      </w:pPr>
      <w:r>
        <w:rPr>
          <w:rFonts w:hint="eastAsia"/>
          <w:color w:val="auto"/>
        </w:rPr>
        <w:t>α——与温度、湿度和声波频率有关的大气吸收衰减系数，预测计算中一般根据建设项目所处区</w:t>
      </w:r>
      <w:r>
        <w:rPr>
          <w:color w:val="auto"/>
        </w:rPr>
        <w:t>域常年平均气温和湿度选择相应的大气吸收衰减系数；</w:t>
      </w:r>
    </w:p>
    <w:p w14:paraId="1C6B2E52">
      <w:pPr>
        <w:pStyle w:val="276"/>
        <w:widowControl w:val="0"/>
        <w:ind w:firstLine="480"/>
        <w:jc w:val="both"/>
        <w:rPr>
          <w:color w:val="auto"/>
        </w:rPr>
      </w:pPr>
      <w:r>
        <w:rPr>
          <w:color w:val="auto"/>
        </w:rPr>
        <w:t>r——预测点距声源的距离；</w:t>
      </w:r>
    </w:p>
    <w:p w14:paraId="56DCB669">
      <w:pPr>
        <w:pStyle w:val="276"/>
        <w:widowControl w:val="0"/>
        <w:ind w:firstLine="480"/>
        <w:jc w:val="both"/>
        <w:rPr>
          <w:color w:val="auto"/>
        </w:rPr>
      </w:pPr>
      <w:r>
        <w:rPr>
          <w:color w:val="auto"/>
        </w:rPr>
        <w:t>r</w:t>
      </w:r>
      <w:r>
        <w:rPr>
          <w:color w:val="auto"/>
          <w:vertAlign w:val="subscript"/>
        </w:rPr>
        <w:t>0</w:t>
      </w:r>
      <w:r>
        <w:rPr>
          <w:color w:val="auto"/>
        </w:rPr>
        <w:t>——参考位置距声源的距离</w:t>
      </w:r>
      <w:r>
        <w:rPr>
          <w:rFonts w:hint="eastAsia"/>
          <w:color w:val="auto"/>
        </w:rPr>
        <w:t>。</w:t>
      </w:r>
    </w:p>
    <w:p w14:paraId="6C4EC3F1">
      <w:pPr>
        <w:pStyle w:val="276"/>
        <w:widowControl w:val="0"/>
        <w:ind w:firstLine="480"/>
        <w:jc w:val="both"/>
        <w:rPr>
          <w:color w:val="auto"/>
        </w:rPr>
      </w:pPr>
      <w:r>
        <w:rPr>
          <w:rFonts w:hint="eastAsia"/>
          <w:color w:val="auto"/>
        </w:rPr>
        <w:t>常年平均气温为</w:t>
      </w:r>
      <w:r>
        <w:rPr>
          <w:color w:val="auto"/>
        </w:rPr>
        <w:t>13.2</w:t>
      </w:r>
      <w:r>
        <w:rPr>
          <w:rFonts w:hint="eastAsia"/>
          <w:color w:val="auto"/>
        </w:rPr>
        <w:t>℃，平均相对湿度6</w:t>
      </w:r>
      <w:r>
        <w:rPr>
          <w:color w:val="auto"/>
        </w:rPr>
        <w:t>4</w:t>
      </w:r>
      <w:r>
        <w:rPr>
          <w:rFonts w:hint="eastAsia"/>
          <w:color w:val="auto"/>
        </w:rPr>
        <w:t>%，设备噪声以中低频</w:t>
      </w:r>
      <w:r>
        <w:rPr>
          <w:rFonts w:hint="eastAsia"/>
          <w:color w:val="auto"/>
          <w:lang w:val="zh-CN"/>
        </w:rPr>
        <w:t>为主</w:t>
      </w:r>
      <w:r>
        <w:rPr>
          <w:rFonts w:hint="eastAsia"/>
          <w:color w:val="auto"/>
        </w:rPr>
        <w:t>，空气衰减系数很小，本评价在计算时忽略此项。</w:t>
      </w:r>
    </w:p>
    <w:p w14:paraId="24BFE0AD">
      <w:pPr>
        <w:pStyle w:val="276"/>
        <w:widowControl w:val="0"/>
        <w:ind w:firstLine="480"/>
        <w:jc w:val="both"/>
        <w:rPr>
          <w:color w:val="auto"/>
        </w:rPr>
      </w:pPr>
      <w:r>
        <w:rPr>
          <w:rFonts w:hint="eastAsia"/>
          <w:color w:val="auto"/>
        </w:rPr>
        <w:t>A</w:t>
      </w:r>
      <w:r>
        <w:rPr>
          <w:color w:val="auto"/>
        </w:rPr>
        <w:t>.3.3地面效应引起的衰减</w:t>
      </w:r>
      <w:r>
        <w:rPr>
          <w:rFonts w:hint="eastAsia"/>
          <w:color w:val="auto"/>
        </w:rPr>
        <w:t>（A</w:t>
      </w:r>
      <w:r>
        <w:rPr>
          <w:rFonts w:hint="eastAsia"/>
          <w:i/>
          <w:color w:val="auto"/>
          <w:vertAlign w:val="subscript"/>
        </w:rPr>
        <w:t>gr</w:t>
      </w:r>
      <w:r>
        <w:rPr>
          <w:rFonts w:hint="eastAsia"/>
          <w:color w:val="auto"/>
        </w:rPr>
        <w:t>）</w:t>
      </w:r>
    </w:p>
    <w:p w14:paraId="701B0484">
      <w:pPr>
        <w:pStyle w:val="276"/>
        <w:widowControl w:val="0"/>
        <w:ind w:firstLine="480"/>
        <w:jc w:val="both"/>
        <w:rPr>
          <w:color w:val="auto"/>
        </w:rPr>
      </w:pPr>
      <w:r>
        <w:rPr>
          <w:rFonts w:hint="eastAsia"/>
          <w:color w:val="auto"/>
        </w:rPr>
        <w:t>地面类型可分为：</w:t>
      </w:r>
    </w:p>
    <w:p w14:paraId="57893A95">
      <w:pPr>
        <w:pStyle w:val="276"/>
        <w:widowControl w:val="0"/>
        <w:ind w:firstLine="480"/>
        <w:jc w:val="both"/>
        <w:rPr>
          <w:color w:val="auto"/>
        </w:rPr>
      </w:pPr>
      <w:r>
        <w:rPr>
          <w:color w:val="auto"/>
        </w:rPr>
        <w:t>a）坚实地面，包括铺筑过的路面、水面、冰面</w:t>
      </w:r>
      <w:r>
        <w:rPr>
          <w:color w:val="auto"/>
          <w:lang w:val="zh-CN"/>
        </w:rPr>
        <w:t>以及</w:t>
      </w:r>
      <w:r>
        <w:rPr>
          <w:color w:val="auto"/>
        </w:rPr>
        <w:t>夯实地面；</w:t>
      </w:r>
    </w:p>
    <w:p w14:paraId="46993F12">
      <w:pPr>
        <w:pStyle w:val="276"/>
        <w:widowControl w:val="0"/>
        <w:ind w:firstLine="480"/>
        <w:jc w:val="both"/>
        <w:rPr>
          <w:color w:val="auto"/>
        </w:rPr>
      </w:pPr>
      <w:r>
        <w:rPr>
          <w:color w:val="auto"/>
        </w:rPr>
        <w:t>b）疏松地面，包括被草或其他植物覆盖的</w:t>
      </w:r>
      <w:r>
        <w:rPr>
          <w:color w:val="auto"/>
          <w:lang w:val="zh-CN"/>
        </w:rPr>
        <w:t>地面</w:t>
      </w:r>
      <w:r>
        <w:rPr>
          <w:color w:val="auto"/>
        </w:rPr>
        <w:t>，以及农田等适合于植物生长的地面</w:t>
      </w:r>
      <w:r>
        <w:rPr>
          <w:rFonts w:hint="eastAsia"/>
          <w:color w:val="auto"/>
        </w:rPr>
        <w:t>；</w:t>
      </w:r>
    </w:p>
    <w:p w14:paraId="00156052">
      <w:pPr>
        <w:pStyle w:val="276"/>
        <w:widowControl w:val="0"/>
        <w:ind w:firstLine="480"/>
        <w:jc w:val="both"/>
        <w:rPr>
          <w:color w:val="auto"/>
        </w:rPr>
      </w:pPr>
      <w:r>
        <w:rPr>
          <w:color w:val="auto"/>
        </w:rPr>
        <w:t>c）混合地面， 由坚实地面和疏松地面组成。</w:t>
      </w:r>
    </w:p>
    <w:p w14:paraId="4F1CE7E7">
      <w:pPr>
        <w:pStyle w:val="276"/>
        <w:widowControl w:val="0"/>
        <w:ind w:firstLine="480"/>
        <w:jc w:val="both"/>
        <w:rPr>
          <w:color w:val="auto"/>
        </w:rPr>
      </w:pPr>
      <w:r>
        <w:rPr>
          <w:color w:val="auto"/>
        </w:rPr>
        <w:t>声波掠过疏松地面传播时，或大部分为</w:t>
      </w:r>
      <w:r>
        <w:rPr>
          <w:color w:val="auto"/>
          <w:lang w:val="zh-CN"/>
        </w:rPr>
        <w:t>疏松</w:t>
      </w:r>
      <w:r>
        <w:rPr>
          <w:color w:val="auto"/>
        </w:rPr>
        <w:t>地面的混合地面，在预测点仅计算A声级前提下，地面效应引起的倍频带衰减可用式（A.6）计算</w:t>
      </w:r>
    </w:p>
    <w:p w14:paraId="22F97904">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color w:val="auto"/>
        </w:rPr>
        <w:object>
          <v:shape id="_x0000_i1025" o:spt="75" alt="" type="#_x0000_t75" style="height:35.25pt;width:187.5pt;" o:ole="t" filled="f" o:preferrelative="t" stroked="f" coordsize="21600,21600">
            <v:path/>
            <v:fill on="f" focussize="0,0"/>
            <v:stroke on="f"/>
            <v:imagedata r:id="rId129" o:title=""/>
            <o:lock v:ext="edit" aspectratio="t"/>
            <w10:wrap type="none"/>
            <w10:anchorlock/>
          </v:shape>
          <o:OLEObject Type="Embed" ProgID="Equation.DSMT4" ShapeID="_x0000_i1025" DrawAspect="Content" ObjectID="_1468075725" r:id="rId128">
            <o:LockedField>false</o:LockedField>
          </o:OLEObject>
        </w:object>
      </w:r>
      <w:r>
        <w:rPr>
          <w:rFonts w:ascii="宋体" w:hAnsi="宋体" w:eastAsia="宋体" w:cs="Times New Roman"/>
          <w:color w:val="auto"/>
        </w:rPr>
        <w:t xml:space="preserve">  （A.6）</w:t>
      </w:r>
    </w:p>
    <w:p w14:paraId="57A44560">
      <w:pPr>
        <w:pStyle w:val="276"/>
        <w:widowControl w:val="0"/>
        <w:ind w:firstLine="480"/>
        <w:jc w:val="both"/>
        <w:rPr>
          <w:color w:val="auto"/>
        </w:rPr>
      </w:pPr>
      <w:r>
        <w:rPr>
          <w:rFonts w:hint="eastAsia"/>
          <w:color w:val="auto"/>
        </w:rPr>
        <w:t>式中：</w:t>
      </w:r>
      <w:r>
        <w:rPr>
          <w:i/>
          <w:iCs/>
          <w:color w:val="auto"/>
        </w:rPr>
        <w:t>A</w:t>
      </w:r>
      <w:r>
        <w:rPr>
          <w:color w:val="auto"/>
          <w:vertAlign w:val="subscript"/>
        </w:rPr>
        <w:t>gr</w:t>
      </w:r>
      <w:r>
        <w:rPr>
          <w:color w:val="auto"/>
        </w:rPr>
        <w:t>——地面效应引起的衰减，dB；</w:t>
      </w:r>
    </w:p>
    <w:p w14:paraId="5406532F">
      <w:pPr>
        <w:pStyle w:val="276"/>
        <w:widowControl w:val="0"/>
        <w:ind w:firstLine="480"/>
        <w:jc w:val="both"/>
        <w:rPr>
          <w:color w:val="auto"/>
        </w:rPr>
      </w:pPr>
      <w:r>
        <w:rPr>
          <w:i/>
          <w:iCs/>
          <w:color w:val="auto"/>
        </w:rPr>
        <w:t>r</w:t>
      </w:r>
      <w:r>
        <w:rPr>
          <w:color w:val="auto"/>
        </w:rPr>
        <w:t xml:space="preserve"> ——预测点距声源的距离，m</w:t>
      </w:r>
      <w:r>
        <w:rPr>
          <w:rFonts w:hint="eastAsia"/>
          <w:color w:val="auto"/>
        </w:rPr>
        <w:t>；</w:t>
      </w:r>
    </w:p>
    <w:p w14:paraId="11B20DB7">
      <w:pPr>
        <w:pStyle w:val="276"/>
        <w:widowControl w:val="0"/>
        <w:ind w:firstLine="480"/>
        <w:jc w:val="both"/>
        <w:rPr>
          <w:color w:val="auto"/>
        </w:rPr>
      </w:pPr>
      <w:r>
        <w:rPr>
          <w:i/>
          <w:iCs/>
          <w:color w:val="auto"/>
        </w:rPr>
        <w:t>hm</w:t>
      </w:r>
      <w:r>
        <w:rPr>
          <w:color w:val="auto"/>
        </w:rPr>
        <w:t>——传播路径的平均离地高度，m；</w:t>
      </w:r>
      <w:r>
        <w:rPr>
          <w:i/>
          <w:iCs/>
          <w:color w:val="auto"/>
        </w:rPr>
        <w:t>hm</w:t>
      </w:r>
      <w:r>
        <w:rPr>
          <w:color w:val="auto"/>
        </w:rPr>
        <w:t>=</w:t>
      </w:r>
      <w:r>
        <w:rPr>
          <w:i/>
          <w:iCs/>
          <w:color w:val="auto"/>
        </w:rPr>
        <w:t>F</w:t>
      </w:r>
      <w:r>
        <w:rPr>
          <w:color w:val="auto"/>
        </w:rPr>
        <w:t>/</w:t>
      </w:r>
      <w:r>
        <w:rPr>
          <w:i/>
          <w:iCs/>
          <w:color w:val="auto"/>
        </w:rPr>
        <w:t>r</w:t>
      </w:r>
      <w:r>
        <w:rPr>
          <w:color w:val="auto"/>
        </w:rPr>
        <w:t xml:space="preserve"> ；</w:t>
      </w:r>
      <w:r>
        <w:rPr>
          <w:i/>
          <w:iCs/>
          <w:color w:val="auto"/>
        </w:rPr>
        <w:t>F</w:t>
      </w:r>
      <w:r>
        <w:rPr>
          <w:color w:val="auto"/>
        </w:rPr>
        <w:t>：面积，m</w:t>
      </w:r>
      <w:r>
        <w:rPr>
          <w:color w:val="auto"/>
          <w:vertAlign w:val="superscript"/>
        </w:rPr>
        <w:t>2</w:t>
      </w:r>
      <w:r>
        <w:rPr>
          <w:color w:val="auto"/>
        </w:rPr>
        <w:t>；若</w:t>
      </w:r>
      <w:r>
        <w:rPr>
          <w:i/>
          <w:iCs/>
          <w:color w:val="auto"/>
        </w:rPr>
        <w:t>A</w:t>
      </w:r>
      <w:r>
        <w:rPr>
          <w:color w:val="auto"/>
        </w:rPr>
        <w:t>gr计算出负值，则</w:t>
      </w:r>
      <w:r>
        <w:rPr>
          <w:i/>
          <w:iCs/>
          <w:color w:val="auto"/>
        </w:rPr>
        <w:t>A</w:t>
      </w:r>
      <w:r>
        <w:rPr>
          <w:color w:val="auto"/>
          <w:vertAlign w:val="subscript"/>
        </w:rPr>
        <w:t>gr</w:t>
      </w:r>
      <w:r>
        <w:rPr>
          <w:color w:val="auto"/>
        </w:rPr>
        <w:t>可用“0”代替</w:t>
      </w:r>
      <w:r>
        <w:rPr>
          <w:rFonts w:hint="eastAsia"/>
          <w:color w:val="auto"/>
        </w:rPr>
        <w:t>。</w:t>
      </w:r>
    </w:p>
    <w:p w14:paraId="76C4DE93">
      <w:pPr>
        <w:pStyle w:val="276"/>
        <w:widowControl w:val="0"/>
        <w:ind w:firstLine="480"/>
        <w:jc w:val="both"/>
        <w:rPr>
          <w:color w:val="auto"/>
          <w:vertAlign w:val="subscript"/>
        </w:rPr>
      </w:pPr>
      <w:r>
        <w:rPr>
          <w:rFonts w:hint="eastAsia"/>
          <w:color w:val="auto"/>
        </w:rPr>
        <w:t>A</w:t>
      </w:r>
      <w:r>
        <w:rPr>
          <w:color w:val="auto"/>
        </w:rPr>
        <w:t>.3.4</w:t>
      </w:r>
      <w:r>
        <w:rPr>
          <w:rFonts w:hint="eastAsia"/>
          <w:color w:val="auto"/>
        </w:rPr>
        <w:t>障碍物屏蔽引起的衰减</w:t>
      </w:r>
      <w:r>
        <w:rPr>
          <w:color w:val="auto"/>
        </w:rPr>
        <w:t>（</w:t>
      </w:r>
      <w:r>
        <w:rPr>
          <w:rFonts w:hint="eastAsia"/>
          <w:color w:val="auto"/>
        </w:rPr>
        <w:t>A</w:t>
      </w:r>
      <w:r>
        <w:rPr>
          <w:rFonts w:hint="eastAsia"/>
          <w:color w:val="auto"/>
          <w:vertAlign w:val="subscript"/>
        </w:rPr>
        <w:t>bar</w:t>
      </w:r>
      <w:r>
        <w:rPr>
          <w:rFonts w:hint="eastAsia"/>
          <w:color w:val="auto"/>
        </w:rPr>
        <w:t>）</w:t>
      </w:r>
    </w:p>
    <w:p w14:paraId="799B96F9">
      <w:pPr>
        <w:pStyle w:val="276"/>
        <w:widowControl w:val="0"/>
        <w:ind w:firstLine="480"/>
        <w:jc w:val="both"/>
        <w:rPr>
          <w:color w:val="auto"/>
        </w:rPr>
      </w:pPr>
      <w:r>
        <w:rPr>
          <w:rFonts w:hint="eastAsia"/>
          <w:color w:val="auto"/>
        </w:rPr>
        <w:t>位于声源和预测点之间的实体障碍物，如围墙、建筑物、土坡或地堑等起声屏障作用，</w:t>
      </w:r>
      <w:r>
        <w:rPr>
          <w:color w:val="auto"/>
        </w:rPr>
        <w:t>从而引起声能量的较大衰减。在环境影响评价中，可将各种形式的屏障简化为具有一定高度的薄屏障</w:t>
      </w:r>
      <w:r>
        <w:rPr>
          <w:rFonts w:hint="eastAsia"/>
          <w:color w:val="auto"/>
        </w:rPr>
        <w:t>。</w:t>
      </w:r>
    </w:p>
    <w:p w14:paraId="60FBCC1C">
      <w:pPr>
        <w:pStyle w:val="276"/>
        <w:widowControl w:val="0"/>
        <w:ind w:firstLine="480"/>
        <w:jc w:val="both"/>
        <w:rPr>
          <w:color w:val="auto"/>
        </w:rPr>
      </w:pPr>
      <w:r>
        <w:rPr>
          <w:rFonts w:hint="eastAsia"/>
          <w:color w:val="auto"/>
        </w:rPr>
        <w:t>A</w:t>
      </w:r>
      <w:r>
        <w:rPr>
          <w:color w:val="auto"/>
        </w:rPr>
        <w:t>.3.4.1有限长薄屏障在点声源声场中引起的衰减</w:t>
      </w:r>
    </w:p>
    <w:p w14:paraId="36D23F8A">
      <w:pPr>
        <w:pStyle w:val="276"/>
        <w:widowControl w:val="0"/>
        <w:ind w:firstLine="480"/>
        <w:jc w:val="both"/>
        <w:rPr>
          <w:color w:val="auto"/>
        </w:rPr>
      </w:pPr>
      <w:r>
        <w:rPr>
          <w:color w:val="auto"/>
        </w:rPr>
        <w:t>a）首先计算三个传播途径的声程差</w:t>
      </w:r>
      <w:r>
        <w:rPr>
          <w:rFonts w:hint="eastAsia"/>
          <w:color w:val="auto"/>
        </w:rPr>
        <w:sym w:font="Symbol" w:char="F064"/>
      </w:r>
      <w:r>
        <w:rPr>
          <w:color w:val="auto"/>
        </w:rPr>
        <w:t>1，</w:t>
      </w:r>
      <w:r>
        <w:rPr>
          <w:rFonts w:hint="eastAsia"/>
          <w:color w:val="auto"/>
        </w:rPr>
        <w:sym w:font="Symbol" w:char="F064"/>
      </w:r>
      <w:r>
        <w:rPr>
          <w:color w:val="auto"/>
        </w:rPr>
        <w:t>2，</w:t>
      </w:r>
      <w:r>
        <w:rPr>
          <w:rFonts w:hint="eastAsia"/>
          <w:color w:val="auto"/>
        </w:rPr>
        <w:sym w:font="Symbol" w:char="F064"/>
      </w:r>
      <w:r>
        <w:rPr>
          <w:color w:val="auto"/>
        </w:rPr>
        <w:t>3和相应的菲涅尔数</w:t>
      </w:r>
      <w:r>
        <w:rPr>
          <w:i/>
          <w:iCs/>
          <w:color w:val="auto"/>
        </w:rPr>
        <w:t>N</w:t>
      </w:r>
      <w:r>
        <w:rPr>
          <w:color w:val="auto"/>
        </w:rPr>
        <w:t>1、</w:t>
      </w:r>
      <w:r>
        <w:rPr>
          <w:i/>
          <w:iCs/>
          <w:color w:val="auto"/>
        </w:rPr>
        <w:t>N</w:t>
      </w:r>
      <w:r>
        <w:rPr>
          <w:color w:val="auto"/>
        </w:rPr>
        <w:t>2、</w:t>
      </w:r>
      <w:r>
        <w:rPr>
          <w:i/>
          <w:iCs/>
          <w:color w:val="auto"/>
        </w:rPr>
        <w:t>N</w:t>
      </w:r>
      <w:r>
        <w:rPr>
          <w:color w:val="auto"/>
        </w:rPr>
        <w:t>3。</w:t>
      </w:r>
    </w:p>
    <w:p w14:paraId="3ADC6427">
      <w:pPr>
        <w:pStyle w:val="276"/>
        <w:widowControl w:val="0"/>
        <w:ind w:firstLine="480"/>
        <w:jc w:val="both"/>
        <w:rPr>
          <w:color w:val="auto"/>
        </w:rPr>
      </w:pPr>
      <w:r>
        <w:rPr>
          <w:color w:val="auto"/>
        </w:rPr>
        <w:t>b）声屏障引起的衰减按式（A.7）计算</w:t>
      </w:r>
      <w:r>
        <w:rPr>
          <w:rFonts w:hint="eastAsia"/>
          <w:color w:val="auto"/>
        </w:rPr>
        <w:t>：</w:t>
      </w:r>
    </w:p>
    <w:p w14:paraId="33FB0FE6">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color w:val="auto"/>
        </w:rPr>
        <w:drawing>
          <wp:inline distT="0" distB="0" distL="0" distR="0">
            <wp:extent cx="2778760" cy="504825"/>
            <wp:effectExtent l="0" t="0" r="2540" b="9525"/>
            <wp:docPr id="1352728161" name="图片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61" name="图片 1585"/>
                    <pic:cNvPicPr>
                      <a:picLocks noChangeAspect="1" noChangeArrowheads="1"/>
                    </pic:cNvPicPr>
                  </pic:nvPicPr>
                  <pic:blipFill>
                    <a:blip r:embed="rId130"/>
                    <a:srcRect/>
                    <a:stretch>
                      <a:fillRect/>
                    </a:stretch>
                  </pic:blipFill>
                  <pic:spPr>
                    <a:xfrm>
                      <a:off x="0" y="0"/>
                      <a:ext cx="2778760" cy="505505"/>
                    </a:xfrm>
                    <a:prstGeom prst="rect">
                      <a:avLst/>
                    </a:prstGeom>
                    <a:noFill/>
                    <a:ln>
                      <a:noFill/>
                    </a:ln>
                  </pic:spPr>
                </pic:pic>
              </a:graphicData>
            </a:graphic>
          </wp:inline>
        </w:drawing>
      </w:r>
      <w:r>
        <w:rPr>
          <w:rFonts w:hint="eastAsia" w:ascii="宋体" w:hAnsi="宋体" w:eastAsia="宋体" w:cs="Times New Roman"/>
          <w:color w:val="auto"/>
        </w:rPr>
        <w:t xml:space="preserve"> </w:t>
      </w:r>
      <w:r>
        <w:rPr>
          <w:rFonts w:ascii="宋体" w:hAnsi="宋体" w:eastAsia="宋体" w:cs="Times New Roman"/>
          <w:color w:val="auto"/>
        </w:rPr>
        <w:t xml:space="preserve"> （A.7）</w:t>
      </w:r>
    </w:p>
    <w:p w14:paraId="419DBB54">
      <w:pPr>
        <w:pStyle w:val="276"/>
        <w:widowControl w:val="0"/>
        <w:ind w:firstLine="480"/>
        <w:jc w:val="both"/>
        <w:rPr>
          <w:color w:val="auto"/>
        </w:rPr>
      </w:pPr>
      <w:r>
        <w:rPr>
          <w:color w:val="auto"/>
        </w:rPr>
        <w:t xml:space="preserve">式中： </w:t>
      </w:r>
      <w:r>
        <w:rPr>
          <w:i/>
          <w:iCs/>
          <w:color w:val="auto"/>
        </w:rPr>
        <w:t>A</w:t>
      </w:r>
      <w:r>
        <w:rPr>
          <w:color w:val="auto"/>
          <w:vertAlign w:val="subscript"/>
        </w:rPr>
        <w:t>bar</w:t>
      </w:r>
      <w:r>
        <w:rPr>
          <w:color w:val="auto"/>
        </w:rPr>
        <w:t>——障碍物屏蔽引起的衰减，dB；</w:t>
      </w:r>
    </w:p>
    <w:p w14:paraId="5B285803">
      <w:pPr>
        <w:pStyle w:val="276"/>
        <w:widowControl w:val="0"/>
        <w:ind w:firstLine="480"/>
        <w:jc w:val="both"/>
        <w:rPr>
          <w:color w:val="auto"/>
        </w:rPr>
      </w:pPr>
      <w:r>
        <w:rPr>
          <w:i/>
          <w:iCs/>
          <w:color w:val="auto"/>
        </w:rPr>
        <w:t>N</w:t>
      </w:r>
      <w:r>
        <w:rPr>
          <w:color w:val="auto"/>
          <w:vertAlign w:val="subscript"/>
        </w:rPr>
        <w:t>1</w:t>
      </w:r>
      <w:r>
        <w:rPr>
          <w:color w:val="auto"/>
        </w:rPr>
        <w:t>、</w:t>
      </w:r>
      <w:r>
        <w:rPr>
          <w:i/>
          <w:iCs/>
          <w:color w:val="auto"/>
        </w:rPr>
        <w:t>N</w:t>
      </w:r>
      <w:r>
        <w:rPr>
          <w:color w:val="auto"/>
          <w:vertAlign w:val="subscript"/>
        </w:rPr>
        <w:t>2</w:t>
      </w:r>
      <w:r>
        <w:rPr>
          <w:color w:val="auto"/>
        </w:rPr>
        <w:t xml:space="preserve"> 、</w:t>
      </w:r>
      <w:r>
        <w:rPr>
          <w:i/>
          <w:iCs/>
          <w:color w:val="auto"/>
        </w:rPr>
        <w:t>N</w:t>
      </w:r>
      <w:r>
        <w:rPr>
          <w:color w:val="auto"/>
          <w:vertAlign w:val="subscript"/>
        </w:rPr>
        <w:t>3</w:t>
      </w:r>
      <w:r>
        <w:rPr>
          <w:color w:val="auto"/>
        </w:rPr>
        <w:t>——三个传播途径的声程差</w:t>
      </w:r>
      <w:r>
        <w:rPr>
          <w:rFonts w:hint="eastAsia"/>
          <w:color w:val="auto"/>
        </w:rPr>
        <w:sym w:font="Symbol" w:char="F064"/>
      </w:r>
      <w:r>
        <w:rPr>
          <w:color w:val="auto"/>
        </w:rPr>
        <w:t>1，</w:t>
      </w:r>
      <w:r>
        <w:rPr>
          <w:rFonts w:hint="eastAsia"/>
          <w:color w:val="auto"/>
        </w:rPr>
        <w:sym w:font="Symbol" w:char="F064"/>
      </w:r>
      <w:r>
        <w:rPr>
          <w:color w:val="auto"/>
        </w:rPr>
        <w:t>2，</w:t>
      </w:r>
      <w:r>
        <w:rPr>
          <w:rFonts w:hint="eastAsia"/>
          <w:color w:val="auto"/>
        </w:rPr>
        <w:sym w:font="Symbol" w:char="F064"/>
      </w:r>
      <w:r>
        <w:rPr>
          <w:color w:val="auto"/>
        </w:rPr>
        <w:t>3相应的菲涅尔数。</w:t>
      </w:r>
    </w:p>
    <w:p w14:paraId="35C54468">
      <w:pPr>
        <w:pStyle w:val="276"/>
        <w:widowControl w:val="0"/>
        <w:ind w:firstLine="480"/>
        <w:jc w:val="both"/>
        <w:rPr>
          <w:color w:val="auto"/>
        </w:rPr>
      </w:pPr>
      <w:r>
        <w:rPr>
          <w:color w:val="auto"/>
        </w:rPr>
        <w:t>当屏障很长（作无限长处理）时，仅可考虑顶端绕射衰减，按式（A.8）进行计算</w:t>
      </w:r>
      <w:r>
        <w:rPr>
          <w:rFonts w:hint="eastAsia"/>
          <w:color w:val="auto"/>
        </w:rPr>
        <w:t>。</w:t>
      </w:r>
    </w:p>
    <w:p w14:paraId="6BDE1109">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color w:val="auto"/>
        </w:rPr>
        <w:drawing>
          <wp:inline distT="0" distB="0" distL="0" distR="0">
            <wp:extent cx="1638300" cy="548640"/>
            <wp:effectExtent l="0" t="0" r="0" b="3810"/>
            <wp:docPr id="1352728162" name="图片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62" name="图片 1584"/>
                    <pic:cNvPicPr>
                      <a:picLocks noChangeAspect="1" noChangeArrowheads="1"/>
                    </pic:cNvPicPr>
                  </pic:nvPicPr>
                  <pic:blipFill>
                    <a:blip r:embed="rId131"/>
                    <a:srcRect/>
                    <a:stretch>
                      <a:fillRect/>
                    </a:stretch>
                  </pic:blipFill>
                  <pic:spPr>
                    <a:xfrm>
                      <a:off x="0" y="0"/>
                      <a:ext cx="1638300" cy="548640"/>
                    </a:xfrm>
                    <a:prstGeom prst="rect">
                      <a:avLst/>
                    </a:prstGeom>
                    <a:noFill/>
                    <a:ln>
                      <a:noFill/>
                    </a:ln>
                  </pic:spPr>
                </pic:pic>
              </a:graphicData>
            </a:graphic>
          </wp:inline>
        </w:drawing>
      </w:r>
      <w:r>
        <w:rPr>
          <w:rFonts w:hint="eastAsia" w:ascii="宋体" w:hAnsi="宋体" w:eastAsia="宋体" w:cs="Times New Roman"/>
          <w:color w:val="auto"/>
        </w:rPr>
        <w:t xml:space="preserve"> </w:t>
      </w:r>
      <w:r>
        <w:rPr>
          <w:rFonts w:ascii="宋体" w:hAnsi="宋体" w:eastAsia="宋体" w:cs="Times New Roman"/>
          <w:color w:val="auto"/>
        </w:rPr>
        <w:t xml:space="preserve"> （A.8）</w:t>
      </w:r>
    </w:p>
    <w:p w14:paraId="41407C82">
      <w:pPr>
        <w:pStyle w:val="276"/>
        <w:widowControl w:val="0"/>
        <w:ind w:firstLine="480"/>
        <w:jc w:val="both"/>
        <w:rPr>
          <w:color w:val="auto"/>
        </w:rPr>
      </w:pPr>
      <w:r>
        <w:rPr>
          <w:color w:val="auto"/>
        </w:rPr>
        <w:t>式中：</w:t>
      </w:r>
      <w:r>
        <w:rPr>
          <w:i/>
          <w:iCs/>
          <w:color w:val="auto"/>
        </w:rPr>
        <w:t>A</w:t>
      </w:r>
      <w:r>
        <w:rPr>
          <w:color w:val="auto"/>
        </w:rPr>
        <w:t>bar——障碍物屏蔽引起的衰减，</w:t>
      </w:r>
      <w:r>
        <w:rPr>
          <w:color w:val="auto"/>
          <w:lang w:val="zh-CN"/>
        </w:rPr>
        <w:t>dB</w:t>
      </w:r>
      <w:r>
        <w:rPr>
          <w:color w:val="auto"/>
        </w:rPr>
        <w:t>；</w:t>
      </w:r>
    </w:p>
    <w:p w14:paraId="61F552FA">
      <w:pPr>
        <w:pStyle w:val="276"/>
        <w:widowControl w:val="0"/>
        <w:ind w:firstLine="480"/>
        <w:jc w:val="both"/>
        <w:rPr>
          <w:color w:val="auto"/>
        </w:rPr>
      </w:pPr>
      <w:r>
        <w:rPr>
          <w:i/>
          <w:iCs/>
          <w:color w:val="auto"/>
        </w:rPr>
        <w:t>N</w:t>
      </w:r>
      <w:r>
        <w:rPr>
          <w:color w:val="auto"/>
        </w:rPr>
        <w:t>1——顶端绕射的声程差</w:t>
      </w:r>
      <w:r>
        <w:rPr>
          <w:rFonts w:hint="eastAsia"/>
          <w:color w:val="auto"/>
        </w:rPr>
        <w:sym w:font="Symbol" w:char="F064"/>
      </w:r>
      <w:r>
        <w:rPr>
          <w:color w:val="auto"/>
        </w:rPr>
        <w:t>1相应的菲涅尔数</w:t>
      </w:r>
      <w:r>
        <w:rPr>
          <w:rFonts w:hint="eastAsia"/>
          <w:color w:val="auto"/>
        </w:rPr>
        <w:t>。</w:t>
      </w:r>
    </w:p>
    <w:p w14:paraId="1B7D332A">
      <w:pPr>
        <w:pStyle w:val="276"/>
        <w:widowControl w:val="0"/>
        <w:ind w:firstLine="480"/>
        <w:jc w:val="both"/>
        <w:rPr>
          <w:color w:val="auto"/>
        </w:rPr>
      </w:pPr>
      <w:r>
        <w:rPr>
          <w:rFonts w:hint="eastAsia"/>
          <w:color w:val="auto"/>
        </w:rPr>
        <w:t>A</w:t>
      </w:r>
      <w:r>
        <w:rPr>
          <w:color w:val="auto"/>
        </w:rPr>
        <w:t>.3.4.2</w:t>
      </w:r>
      <w:r>
        <w:rPr>
          <w:rFonts w:hint="eastAsia"/>
          <w:color w:val="auto"/>
        </w:rPr>
        <w:t>双绕射计算</w:t>
      </w:r>
    </w:p>
    <w:p w14:paraId="2D208CC7">
      <w:pPr>
        <w:pStyle w:val="276"/>
        <w:widowControl w:val="0"/>
        <w:ind w:firstLine="480"/>
        <w:jc w:val="both"/>
        <w:rPr>
          <w:i/>
          <w:iCs/>
          <w:color w:val="auto"/>
          <w:spacing w:val="-9"/>
        </w:rPr>
      </w:pPr>
      <w:r>
        <w:rPr>
          <w:rFonts w:hint="eastAsia"/>
          <w:color w:val="auto"/>
        </w:rPr>
        <w:t>双绕射情形可由式</w:t>
      </w:r>
      <w:r>
        <w:rPr>
          <w:color w:val="auto"/>
        </w:rPr>
        <w:t>（A.9）计算绕射声与</w:t>
      </w:r>
      <w:r>
        <w:rPr>
          <w:color w:val="auto"/>
          <w:lang w:val="zh-CN"/>
        </w:rPr>
        <w:t>直达声</w:t>
      </w:r>
      <w:r>
        <w:rPr>
          <w:color w:val="auto"/>
        </w:rPr>
        <w:t>之间的声程差</w:t>
      </w:r>
      <w:r>
        <w:rPr>
          <w:rFonts w:hint="eastAsia"/>
          <w:color w:val="auto"/>
        </w:rPr>
        <w:sym w:font="Symbol" w:char="F064"/>
      </w:r>
      <w:r>
        <w:rPr>
          <w:rFonts w:hint="eastAsia"/>
          <w:color w:val="auto"/>
          <w:spacing w:val="-9"/>
        </w:rPr>
        <w:t>：</w:t>
      </w:r>
    </w:p>
    <w:p w14:paraId="54C582D0">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color w:val="auto"/>
        </w:rPr>
        <w:drawing>
          <wp:inline distT="0" distB="0" distL="0" distR="0">
            <wp:extent cx="2326005" cy="361950"/>
            <wp:effectExtent l="0" t="0" r="17145" b="0"/>
            <wp:docPr id="1352728163" name="图片 135272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63" name="图片 1352728163"/>
                    <pic:cNvPicPr>
                      <a:picLocks noChangeAspect="1" noChangeArrowheads="1"/>
                    </pic:cNvPicPr>
                  </pic:nvPicPr>
                  <pic:blipFill>
                    <a:blip r:embed="rId132"/>
                    <a:srcRect/>
                    <a:stretch>
                      <a:fillRect/>
                    </a:stretch>
                  </pic:blipFill>
                  <pic:spPr>
                    <a:xfrm>
                      <a:off x="0" y="0"/>
                      <a:ext cx="2326005" cy="363489"/>
                    </a:xfrm>
                    <a:prstGeom prst="rect">
                      <a:avLst/>
                    </a:prstGeom>
                    <a:noFill/>
                    <a:ln>
                      <a:noFill/>
                    </a:ln>
                  </pic:spPr>
                </pic:pic>
              </a:graphicData>
            </a:graphic>
          </wp:inline>
        </w:drawing>
      </w:r>
      <w:r>
        <w:rPr>
          <w:rFonts w:hint="eastAsia" w:ascii="宋体" w:hAnsi="宋体" w:eastAsia="宋体" w:cs="Times New Roman"/>
          <w:color w:val="auto"/>
        </w:rPr>
        <w:t xml:space="preserve"> </w:t>
      </w:r>
      <w:r>
        <w:rPr>
          <w:rFonts w:ascii="宋体" w:hAnsi="宋体" w:eastAsia="宋体" w:cs="Times New Roman"/>
          <w:color w:val="auto"/>
        </w:rPr>
        <w:t xml:space="preserve"> （A.9）</w:t>
      </w:r>
    </w:p>
    <w:p w14:paraId="38383B35">
      <w:pPr>
        <w:pStyle w:val="276"/>
        <w:widowControl w:val="0"/>
        <w:ind w:firstLine="480"/>
        <w:jc w:val="both"/>
        <w:rPr>
          <w:color w:val="auto"/>
        </w:rPr>
      </w:pPr>
      <w:r>
        <w:rPr>
          <w:color w:val="auto"/>
        </w:rPr>
        <w:t>式中：</w:t>
      </w:r>
      <w:r>
        <w:rPr>
          <w:rFonts w:hint="eastAsia"/>
          <w:color w:val="auto"/>
        </w:rPr>
        <w:sym w:font="Symbol" w:char="F064"/>
      </w:r>
      <w:r>
        <w:rPr>
          <w:color w:val="auto"/>
        </w:rPr>
        <w:t>——声程差，m；</w:t>
      </w:r>
    </w:p>
    <w:p w14:paraId="60442B55">
      <w:pPr>
        <w:pStyle w:val="276"/>
        <w:widowControl w:val="0"/>
        <w:ind w:firstLine="476"/>
        <w:jc w:val="both"/>
        <w:rPr>
          <w:color w:val="auto"/>
          <w:spacing w:val="-1"/>
        </w:rPr>
      </w:pPr>
      <w:r>
        <w:rPr>
          <w:i/>
          <w:iCs/>
          <w:color w:val="auto"/>
          <w:spacing w:val="-1"/>
        </w:rPr>
        <w:t>a</w:t>
      </w:r>
      <w:r>
        <w:rPr>
          <w:color w:val="auto"/>
          <w:spacing w:val="-2"/>
        </w:rPr>
        <w:t>——声源和接收点之间的距离在平行于屏障</w:t>
      </w:r>
      <w:r>
        <w:rPr>
          <w:color w:val="auto"/>
          <w:lang w:val="zh-CN"/>
        </w:rPr>
        <w:t>上边界</w:t>
      </w:r>
      <w:r>
        <w:rPr>
          <w:color w:val="auto"/>
          <w:spacing w:val="-1"/>
        </w:rPr>
        <w:t>的投影长度，m;</w:t>
      </w:r>
    </w:p>
    <w:p w14:paraId="323F35DE">
      <w:pPr>
        <w:pStyle w:val="276"/>
        <w:widowControl w:val="0"/>
        <w:ind w:firstLine="480"/>
        <w:jc w:val="both"/>
        <w:rPr>
          <w:color w:val="auto"/>
        </w:rPr>
      </w:pPr>
      <w:r>
        <w:rPr>
          <w:i/>
          <w:iCs/>
          <w:color w:val="auto"/>
        </w:rPr>
        <w:t>d</w:t>
      </w:r>
      <w:r>
        <w:rPr>
          <w:color w:val="auto"/>
          <w:position w:val="-2"/>
        </w:rPr>
        <w:t>ss</w:t>
      </w:r>
      <w:r>
        <w:rPr>
          <w:color w:val="auto"/>
          <w:spacing w:val="1"/>
          <w:position w:val="-2"/>
        </w:rPr>
        <w:t xml:space="preserve"> </w:t>
      </w:r>
      <w:r>
        <w:rPr>
          <w:color w:val="auto"/>
          <w:spacing w:val="1"/>
        </w:rPr>
        <w:t>——声源到第一绕射</w:t>
      </w:r>
      <w:r>
        <w:rPr>
          <w:color w:val="auto"/>
        </w:rPr>
        <w:t>边的距离，m；</w:t>
      </w:r>
    </w:p>
    <w:p w14:paraId="3E026542">
      <w:pPr>
        <w:pStyle w:val="276"/>
        <w:widowControl w:val="0"/>
        <w:ind w:firstLine="464"/>
        <w:jc w:val="both"/>
        <w:rPr>
          <w:color w:val="auto"/>
        </w:rPr>
      </w:pPr>
      <w:r>
        <w:rPr>
          <w:i/>
          <w:iCs/>
          <w:color w:val="auto"/>
          <w:spacing w:val="-4"/>
        </w:rPr>
        <w:t>d</w:t>
      </w:r>
      <w:r>
        <w:rPr>
          <w:color w:val="auto"/>
          <w:spacing w:val="-4"/>
          <w:position w:val="-2"/>
        </w:rPr>
        <w:t>sr</w:t>
      </w:r>
      <w:r>
        <w:rPr>
          <w:color w:val="auto"/>
          <w:spacing w:val="-8"/>
          <w:position w:val="-2"/>
        </w:rPr>
        <w:t xml:space="preserve"> </w:t>
      </w:r>
      <w:r>
        <w:rPr>
          <w:color w:val="auto"/>
          <w:spacing w:val="-5"/>
        </w:rPr>
        <w:t>—</w:t>
      </w:r>
      <w:r>
        <w:rPr>
          <w:color w:val="auto"/>
          <w:spacing w:val="-4"/>
        </w:rPr>
        <w:t>—第二绕射边到接收点的距离，m；</w:t>
      </w:r>
    </w:p>
    <w:p w14:paraId="7CF3661F">
      <w:pPr>
        <w:pStyle w:val="276"/>
        <w:widowControl w:val="0"/>
        <w:ind w:firstLine="472"/>
        <w:jc w:val="both"/>
        <w:rPr>
          <w:color w:val="auto"/>
          <w:spacing w:val="-2"/>
        </w:rPr>
      </w:pPr>
      <w:r>
        <w:rPr>
          <w:i/>
          <w:iCs/>
          <w:color w:val="auto"/>
          <w:spacing w:val="-2"/>
        </w:rPr>
        <w:t>e</w:t>
      </w:r>
      <w:r>
        <w:rPr>
          <w:color w:val="auto"/>
          <w:spacing w:val="-4"/>
        </w:rPr>
        <w:t xml:space="preserve"> —</w:t>
      </w:r>
      <w:r>
        <w:rPr>
          <w:color w:val="auto"/>
          <w:spacing w:val="-3"/>
        </w:rPr>
        <w:t>—</w:t>
      </w:r>
      <w:r>
        <w:rPr>
          <w:color w:val="auto"/>
          <w:spacing w:val="-2"/>
        </w:rPr>
        <w:t>在双绕射情况下两个绕射边界之间的距离，m;</w:t>
      </w:r>
    </w:p>
    <w:p w14:paraId="20A1A89A">
      <w:pPr>
        <w:pStyle w:val="276"/>
        <w:widowControl w:val="0"/>
        <w:ind w:firstLine="460"/>
        <w:jc w:val="both"/>
        <w:rPr>
          <w:color w:val="auto"/>
        </w:rPr>
      </w:pPr>
      <w:r>
        <w:rPr>
          <w:i/>
          <w:iCs/>
          <w:color w:val="auto"/>
          <w:spacing w:val="-5"/>
        </w:rPr>
        <w:t>d</w:t>
      </w:r>
      <w:r>
        <w:rPr>
          <w:i/>
          <w:iCs/>
          <w:color w:val="auto"/>
          <w:spacing w:val="-10"/>
        </w:rPr>
        <w:t>——</w:t>
      </w:r>
      <w:r>
        <w:rPr>
          <w:color w:val="auto"/>
          <w:spacing w:val="-9"/>
        </w:rPr>
        <w:t>声</w:t>
      </w:r>
      <w:r>
        <w:rPr>
          <w:color w:val="auto"/>
          <w:spacing w:val="-5"/>
        </w:rPr>
        <w:t>源到接收点的直线距离， m.</w:t>
      </w:r>
    </w:p>
    <w:p w14:paraId="74CDE0CD">
      <w:pPr>
        <w:pStyle w:val="276"/>
        <w:widowControl w:val="0"/>
        <w:ind w:firstLine="480"/>
        <w:jc w:val="both"/>
        <w:rPr>
          <w:color w:val="auto"/>
        </w:rPr>
      </w:pPr>
      <w:r>
        <w:rPr>
          <w:color w:val="auto"/>
        </w:rPr>
        <w:t>A.3.5其他方面效应引起的衰减（</w:t>
      </w:r>
      <w:r>
        <w:rPr>
          <w:i/>
          <w:iCs/>
          <w:color w:val="auto"/>
        </w:rPr>
        <w:t>A</w:t>
      </w:r>
      <w:r>
        <w:rPr>
          <w:color w:val="auto"/>
          <w:vertAlign w:val="subscript"/>
        </w:rPr>
        <w:t>misc</w:t>
      </w:r>
      <w:r>
        <w:rPr>
          <w:color w:val="auto"/>
        </w:rPr>
        <w:t>）</w:t>
      </w:r>
    </w:p>
    <w:p w14:paraId="193615E8">
      <w:pPr>
        <w:pStyle w:val="276"/>
        <w:widowControl w:val="0"/>
        <w:ind w:firstLine="480"/>
        <w:jc w:val="both"/>
        <w:rPr>
          <w:color w:val="auto"/>
        </w:rPr>
      </w:pPr>
      <w:r>
        <w:rPr>
          <w:color w:val="auto"/>
        </w:rPr>
        <w:t>其他衰减包括通过工业场所的衰减；通过建筑群的衰减等。在声环境影响评价中，一般情况下，不考虑自然条件（如风、温度梯度、雾）变化引起的附加修正。</w:t>
      </w:r>
    </w:p>
    <w:p w14:paraId="4AF31B74">
      <w:pPr>
        <w:pStyle w:val="276"/>
        <w:widowControl w:val="0"/>
        <w:ind w:firstLine="480"/>
        <w:jc w:val="both"/>
        <w:rPr>
          <w:color w:val="auto"/>
        </w:rPr>
      </w:pPr>
      <w:r>
        <w:rPr>
          <w:color w:val="auto"/>
        </w:rPr>
        <w:t>工业场所的衰减可参照GB/T 17247.2进行计算。</w:t>
      </w:r>
    </w:p>
    <w:p w14:paraId="6B71177E">
      <w:pPr>
        <w:pStyle w:val="276"/>
        <w:widowControl w:val="0"/>
        <w:ind w:firstLine="480"/>
        <w:jc w:val="both"/>
        <w:rPr>
          <w:color w:val="auto"/>
        </w:rPr>
      </w:pPr>
      <w:r>
        <w:rPr>
          <w:color w:val="auto"/>
        </w:rPr>
        <w:t>A.3.5.1绿化林带引起的衰减（</w:t>
      </w:r>
      <w:r>
        <w:rPr>
          <w:i/>
          <w:iCs/>
          <w:color w:val="auto"/>
        </w:rPr>
        <w:t>A</w:t>
      </w:r>
      <w:r>
        <w:rPr>
          <w:color w:val="auto"/>
          <w:vertAlign w:val="subscript"/>
        </w:rPr>
        <w:t>fol</w:t>
      </w:r>
      <w:r>
        <w:rPr>
          <w:color w:val="auto"/>
        </w:rPr>
        <w:t>）</w:t>
      </w:r>
    </w:p>
    <w:p w14:paraId="6C9F1B41">
      <w:pPr>
        <w:pStyle w:val="276"/>
        <w:widowControl w:val="0"/>
        <w:ind w:firstLine="480"/>
        <w:jc w:val="both"/>
        <w:rPr>
          <w:color w:val="auto"/>
        </w:rPr>
      </w:pPr>
      <w:r>
        <w:rPr>
          <w:color w:val="auto"/>
        </w:rPr>
        <w:t>绿化林带的附加衰减与树种、林带结构和密度等因素有关。在声源附近的绿化林带，或在预测点附近的绿化林带，或两者均有的情况都可以使声波衰减</w:t>
      </w:r>
      <w:r>
        <w:rPr>
          <w:rFonts w:hint="eastAsia"/>
          <w:color w:val="auto"/>
        </w:rPr>
        <w:t>。</w:t>
      </w:r>
    </w:p>
    <w:p w14:paraId="2EE58EC4">
      <w:pPr>
        <w:pStyle w:val="276"/>
        <w:widowControl w:val="0"/>
        <w:ind w:firstLine="480"/>
        <w:jc w:val="both"/>
        <w:rPr>
          <w:color w:val="auto"/>
        </w:rPr>
      </w:pPr>
      <w:r>
        <w:rPr>
          <w:rFonts w:hint="eastAsia"/>
          <w:color w:val="auto"/>
        </w:rPr>
        <w:t>通过树叶传播造成的噪声衰减随通过树叶传播距离</w:t>
      </w:r>
      <w:r>
        <w:rPr>
          <w:color w:val="auto"/>
        </w:rPr>
        <w:t>d</w:t>
      </w:r>
      <w:r>
        <w:rPr>
          <w:color w:val="auto"/>
          <w:vertAlign w:val="subscript"/>
        </w:rPr>
        <w:t>f</w:t>
      </w:r>
      <w:r>
        <w:rPr>
          <w:color w:val="auto"/>
        </w:rPr>
        <w:t>的增长而增加，其中 d</w:t>
      </w:r>
      <w:r>
        <w:rPr>
          <w:color w:val="auto"/>
          <w:vertAlign w:val="subscript"/>
        </w:rPr>
        <w:t>f</w:t>
      </w:r>
      <w:r>
        <w:rPr>
          <w:color w:val="auto"/>
        </w:rPr>
        <w:t>=d</w:t>
      </w:r>
      <w:r>
        <w:rPr>
          <w:color w:val="auto"/>
          <w:vertAlign w:val="subscript"/>
        </w:rPr>
        <w:t>1</w:t>
      </w:r>
      <w:r>
        <w:rPr>
          <w:color w:val="auto"/>
        </w:rPr>
        <w:t>+d</w:t>
      </w:r>
      <w:r>
        <w:rPr>
          <w:color w:val="auto"/>
          <w:vertAlign w:val="subscript"/>
        </w:rPr>
        <w:t>2</w:t>
      </w:r>
      <w:r>
        <w:rPr>
          <w:color w:val="auto"/>
        </w:rPr>
        <w:t>，为了计算d</w:t>
      </w:r>
      <w:r>
        <w:rPr>
          <w:color w:val="auto"/>
          <w:vertAlign w:val="subscript"/>
        </w:rPr>
        <w:t>1</w:t>
      </w:r>
      <w:r>
        <w:rPr>
          <w:color w:val="auto"/>
        </w:rPr>
        <w:t>和d</w:t>
      </w:r>
      <w:r>
        <w:rPr>
          <w:color w:val="auto"/>
          <w:vertAlign w:val="subscript"/>
        </w:rPr>
        <w:t>2</w:t>
      </w:r>
      <w:r>
        <w:rPr>
          <w:color w:val="auto"/>
        </w:rPr>
        <w:t>，可假设弯曲路径的半径为5km</w:t>
      </w:r>
      <w:r>
        <w:rPr>
          <w:rFonts w:hint="eastAsia"/>
          <w:color w:val="auto"/>
        </w:rPr>
        <w:t>。</w:t>
      </w:r>
    </w:p>
    <w:p w14:paraId="37A2BC50">
      <w:pPr>
        <w:pStyle w:val="276"/>
        <w:widowControl w:val="0"/>
        <w:ind w:firstLine="480"/>
        <w:jc w:val="both"/>
        <w:rPr>
          <w:color w:val="auto"/>
        </w:rPr>
      </w:pPr>
      <w:r>
        <w:rPr>
          <w:color w:val="auto"/>
        </w:rPr>
        <w:t>A.3.5.2建筑群噪声衰减 （</w:t>
      </w:r>
      <w:r>
        <w:rPr>
          <w:i/>
          <w:iCs/>
          <w:color w:val="auto"/>
        </w:rPr>
        <w:t>A</w:t>
      </w:r>
      <w:r>
        <w:rPr>
          <w:color w:val="auto"/>
          <w:vertAlign w:val="subscript"/>
        </w:rPr>
        <w:t>hous</w:t>
      </w:r>
      <w:r>
        <w:rPr>
          <w:color w:val="auto"/>
        </w:rPr>
        <w:t>）</w:t>
      </w:r>
    </w:p>
    <w:p w14:paraId="791F0AFF">
      <w:pPr>
        <w:pStyle w:val="276"/>
        <w:widowControl w:val="0"/>
        <w:ind w:firstLine="480"/>
        <w:jc w:val="both"/>
        <w:rPr>
          <w:color w:val="auto"/>
        </w:rPr>
      </w:pPr>
      <w:r>
        <w:rPr>
          <w:color w:val="auto"/>
        </w:rPr>
        <w:t>建筑群衰减</w:t>
      </w:r>
      <w:r>
        <w:rPr>
          <w:i/>
          <w:iCs/>
          <w:color w:val="auto"/>
        </w:rPr>
        <w:t>A</w:t>
      </w:r>
      <w:r>
        <w:rPr>
          <w:color w:val="auto"/>
          <w:vertAlign w:val="subscript"/>
        </w:rPr>
        <w:t>hous</w:t>
      </w:r>
      <w:r>
        <w:rPr>
          <w:color w:val="auto"/>
        </w:rPr>
        <w:t>不超过10dB时，近似等效</w:t>
      </w:r>
      <w:r>
        <w:rPr>
          <w:color w:val="auto"/>
          <w:lang w:val="zh-CN"/>
        </w:rPr>
        <w:t>连续</w:t>
      </w:r>
      <w:r>
        <w:rPr>
          <w:color w:val="auto"/>
        </w:rPr>
        <w:t>A声级按式（A.10）估算。当从受声点可直接观察到线路时，不考虑此项衰减。</w:t>
      </w:r>
    </w:p>
    <w:p w14:paraId="36F5D2D8">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i/>
          <w:iCs/>
          <w:color w:val="auto"/>
        </w:rPr>
        <w:t>A</w:t>
      </w:r>
      <w:r>
        <w:rPr>
          <w:rFonts w:ascii="宋体" w:hAnsi="宋体" w:eastAsia="宋体" w:cs="Times New Roman"/>
          <w:color w:val="auto"/>
          <w:vertAlign w:val="subscript"/>
        </w:rPr>
        <w:t>hous</w:t>
      </w:r>
      <w:r>
        <w:rPr>
          <w:rFonts w:ascii="宋体" w:hAnsi="宋体" w:eastAsia="宋体" w:cs="Times New Roman"/>
          <w:color w:val="auto"/>
        </w:rPr>
        <w:t>=</w:t>
      </w:r>
      <w:r>
        <w:rPr>
          <w:rFonts w:ascii="宋体" w:hAnsi="宋体" w:eastAsia="宋体" w:cs="Times New Roman"/>
          <w:i/>
          <w:iCs/>
          <w:color w:val="auto"/>
        </w:rPr>
        <w:t>A</w:t>
      </w:r>
      <w:r>
        <w:rPr>
          <w:rFonts w:ascii="宋体" w:hAnsi="宋体" w:eastAsia="宋体" w:cs="Times New Roman"/>
          <w:color w:val="auto"/>
          <w:vertAlign w:val="subscript"/>
        </w:rPr>
        <w:t>hous,1</w:t>
      </w:r>
      <w:r>
        <w:rPr>
          <w:rFonts w:ascii="宋体" w:hAnsi="宋体" w:eastAsia="宋体" w:cs="Times New Roman"/>
          <w:color w:val="auto"/>
        </w:rPr>
        <w:t>+</w:t>
      </w:r>
      <w:r>
        <w:rPr>
          <w:rFonts w:ascii="宋体" w:hAnsi="宋体" w:eastAsia="宋体" w:cs="Times New Roman"/>
          <w:i/>
          <w:iCs/>
          <w:color w:val="auto"/>
        </w:rPr>
        <w:t>A</w:t>
      </w:r>
      <w:r>
        <w:rPr>
          <w:rFonts w:ascii="宋体" w:hAnsi="宋体" w:eastAsia="宋体" w:cs="Times New Roman"/>
          <w:color w:val="auto"/>
          <w:vertAlign w:val="subscript"/>
        </w:rPr>
        <w:t>hous,2</w:t>
      </w:r>
      <w:r>
        <w:rPr>
          <w:rFonts w:ascii="宋体" w:hAnsi="宋体" w:eastAsia="宋体" w:cs="Times New Roman"/>
          <w:color w:val="auto"/>
        </w:rPr>
        <w:t xml:space="preserve">  （A.10）</w:t>
      </w:r>
    </w:p>
    <w:p w14:paraId="0FA68C34">
      <w:pPr>
        <w:pStyle w:val="276"/>
        <w:widowControl w:val="0"/>
        <w:ind w:firstLine="480"/>
        <w:jc w:val="both"/>
        <w:rPr>
          <w:color w:val="auto"/>
        </w:rPr>
      </w:pPr>
      <w:r>
        <w:rPr>
          <w:color w:val="auto"/>
        </w:rPr>
        <w:t xml:space="preserve">式中 </w:t>
      </w:r>
      <w:r>
        <w:rPr>
          <w:i/>
          <w:iCs/>
          <w:color w:val="auto"/>
        </w:rPr>
        <w:t>A</w:t>
      </w:r>
      <w:r>
        <w:rPr>
          <w:color w:val="auto"/>
          <w:vertAlign w:val="subscript"/>
        </w:rPr>
        <w:t>hous,1</w:t>
      </w:r>
      <w:r>
        <w:rPr>
          <w:color w:val="auto"/>
        </w:rPr>
        <w:t>按式（A.11）计算，单位为 dB。</w:t>
      </w:r>
    </w:p>
    <w:p w14:paraId="035D514E">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i/>
          <w:iCs/>
          <w:color w:val="auto"/>
        </w:rPr>
        <w:t>A</w:t>
      </w:r>
      <w:r>
        <w:rPr>
          <w:rFonts w:ascii="宋体" w:hAnsi="宋体" w:eastAsia="宋体" w:cs="Times New Roman"/>
          <w:color w:val="auto"/>
          <w:vertAlign w:val="subscript"/>
        </w:rPr>
        <w:t>hous,1</w:t>
      </w:r>
      <w:r>
        <w:rPr>
          <w:rFonts w:ascii="宋体" w:hAnsi="宋体" w:eastAsia="宋体" w:cs="Times New Roman"/>
          <w:color w:val="auto"/>
        </w:rPr>
        <w:t>=0.1</w:t>
      </w:r>
      <w:r>
        <w:rPr>
          <w:rFonts w:ascii="宋体" w:hAnsi="宋体" w:eastAsia="宋体" w:cs="Times New Roman"/>
          <w:i/>
          <w:iCs/>
          <w:color w:val="auto"/>
        </w:rPr>
        <w:t>B</w:t>
      </w:r>
      <w:r>
        <w:rPr>
          <w:rFonts w:ascii="宋体" w:hAnsi="宋体" w:eastAsia="宋体" w:cs="Times New Roman"/>
          <w:color w:val="auto"/>
        </w:rPr>
        <w:t>d</w:t>
      </w:r>
      <w:r>
        <w:rPr>
          <w:rFonts w:ascii="宋体" w:hAnsi="宋体" w:eastAsia="宋体" w:cs="Times New Roman"/>
          <w:color w:val="auto"/>
          <w:vertAlign w:val="subscript"/>
        </w:rPr>
        <w:t>b</w:t>
      </w:r>
      <w:r>
        <w:rPr>
          <w:rFonts w:ascii="宋体" w:hAnsi="宋体" w:eastAsia="宋体" w:cs="Times New Roman"/>
          <w:color w:val="auto"/>
        </w:rPr>
        <w:t xml:space="preserve">  （A.11）</w:t>
      </w:r>
    </w:p>
    <w:p w14:paraId="2E04C978">
      <w:pPr>
        <w:pStyle w:val="276"/>
        <w:widowControl w:val="0"/>
        <w:ind w:firstLine="480"/>
        <w:jc w:val="both"/>
        <w:rPr>
          <w:color w:val="auto"/>
        </w:rPr>
      </w:pPr>
      <w:r>
        <w:rPr>
          <w:color w:val="auto"/>
        </w:rPr>
        <w:t>式中：</w:t>
      </w:r>
      <w:r>
        <w:rPr>
          <w:i/>
          <w:iCs/>
          <w:color w:val="auto"/>
        </w:rPr>
        <w:t>B</w:t>
      </w:r>
      <w:r>
        <w:rPr>
          <w:color w:val="auto"/>
        </w:rPr>
        <w:t>——沿声传播路线上的建筑物的密度，等于建筑物总平面面积除以总地面面积（包括建筑物所占面积）；</w:t>
      </w:r>
    </w:p>
    <w:p w14:paraId="08B1D9E9">
      <w:pPr>
        <w:pStyle w:val="276"/>
        <w:widowControl w:val="0"/>
        <w:ind w:firstLine="480"/>
        <w:jc w:val="both"/>
        <w:rPr>
          <w:color w:val="auto"/>
        </w:rPr>
      </w:pPr>
      <w:r>
        <w:rPr>
          <w:color w:val="auto"/>
        </w:rPr>
        <w:t>d</w:t>
      </w:r>
      <w:r>
        <w:rPr>
          <w:color w:val="auto"/>
          <w:vertAlign w:val="subscript"/>
        </w:rPr>
        <w:t>b</w:t>
      </w:r>
      <w:r>
        <w:rPr>
          <w:color w:val="auto"/>
        </w:rPr>
        <w:t>——通过建筑群的声传播路线长度，按式（A.12）计算</w:t>
      </w:r>
      <w:r>
        <w:rPr>
          <w:rFonts w:hint="eastAsia"/>
          <w:color w:val="auto"/>
        </w:rPr>
        <w:t>。</w:t>
      </w:r>
      <w:r>
        <w:rPr>
          <w:color w:val="auto"/>
        </w:rPr>
        <w:t xml:space="preserve"> </w:t>
      </w:r>
    </w:p>
    <w:p w14:paraId="2A0186E7">
      <w:pPr>
        <w:adjustRightInd w:val="0"/>
        <w:snapToGrid w:val="0"/>
        <w:spacing w:line="331" w:lineRule="auto"/>
        <w:ind w:firstLine="420" w:firstLineChars="200"/>
        <w:jc w:val="center"/>
        <w:rPr>
          <w:rFonts w:ascii="宋体" w:hAnsi="宋体" w:eastAsia="宋体" w:cs="Times New Roman"/>
          <w:color w:val="auto"/>
        </w:rPr>
      </w:pPr>
      <w:r>
        <w:rPr>
          <w:rFonts w:ascii="宋体" w:hAnsi="宋体" w:eastAsia="宋体" w:cs="Times New Roman"/>
          <w:color w:val="auto"/>
        </w:rPr>
        <w:t>d</w:t>
      </w:r>
      <w:r>
        <w:rPr>
          <w:rFonts w:ascii="宋体" w:hAnsi="宋体" w:eastAsia="宋体" w:cs="Times New Roman"/>
          <w:color w:val="auto"/>
          <w:vertAlign w:val="subscript"/>
        </w:rPr>
        <w:t>b</w:t>
      </w:r>
      <w:r>
        <w:rPr>
          <w:rFonts w:ascii="宋体" w:hAnsi="宋体" w:eastAsia="宋体" w:cs="Times New Roman"/>
          <w:color w:val="auto"/>
        </w:rPr>
        <w:t>=d</w:t>
      </w:r>
      <w:r>
        <w:rPr>
          <w:rFonts w:ascii="宋体" w:hAnsi="宋体" w:eastAsia="宋体" w:cs="Times New Roman"/>
          <w:color w:val="auto"/>
          <w:vertAlign w:val="subscript"/>
        </w:rPr>
        <w:t>1</w:t>
      </w:r>
      <w:r>
        <w:rPr>
          <w:rFonts w:ascii="宋体" w:hAnsi="宋体" w:eastAsia="宋体" w:cs="Times New Roman"/>
          <w:color w:val="auto"/>
        </w:rPr>
        <w:t>+d</w:t>
      </w:r>
      <w:r>
        <w:rPr>
          <w:rFonts w:ascii="宋体" w:hAnsi="宋体" w:eastAsia="宋体" w:cs="Times New Roman"/>
          <w:color w:val="auto"/>
          <w:vertAlign w:val="subscript"/>
        </w:rPr>
        <w:t>2</w:t>
      </w:r>
      <w:r>
        <w:rPr>
          <w:rFonts w:ascii="宋体" w:hAnsi="宋体" w:eastAsia="宋体" w:cs="Times New Roman"/>
          <w:color w:val="auto"/>
        </w:rPr>
        <w:t xml:space="preserve">  （A.12）</w:t>
      </w:r>
    </w:p>
    <w:p w14:paraId="17A11BCB">
      <w:pPr>
        <w:pStyle w:val="276"/>
        <w:widowControl w:val="0"/>
        <w:ind w:firstLine="480"/>
        <w:jc w:val="both"/>
        <w:rPr>
          <w:color w:val="auto"/>
        </w:rPr>
      </w:pPr>
      <w:r>
        <w:rPr>
          <w:color w:val="auto"/>
        </w:rPr>
        <w:t xml:space="preserve">假如声源沿线附近有成排整齐排列的建筑物时，则可将附加项 </w:t>
      </w:r>
      <w:r>
        <w:rPr>
          <w:i/>
          <w:iCs/>
          <w:color w:val="auto"/>
        </w:rPr>
        <w:t>A</w:t>
      </w:r>
      <w:r>
        <w:rPr>
          <w:color w:val="auto"/>
          <w:vertAlign w:val="subscript"/>
        </w:rPr>
        <w:t>hous,2</w:t>
      </w:r>
      <w:r>
        <w:rPr>
          <w:color w:val="auto"/>
        </w:rPr>
        <w:t>包括在内（假定这一项小于在同一位置上与建筑物平均高度等高的一个屏障插入损失）。</w:t>
      </w:r>
      <w:r>
        <w:rPr>
          <w:i/>
          <w:iCs/>
          <w:color w:val="auto"/>
        </w:rPr>
        <w:t>A</w:t>
      </w:r>
      <w:r>
        <w:rPr>
          <w:color w:val="auto"/>
          <w:vertAlign w:val="subscript"/>
        </w:rPr>
        <w:t>hous,2</w:t>
      </w:r>
      <w:r>
        <w:rPr>
          <w:color w:val="auto"/>
        </w:rPr>
        <w:t>按式（A.13）计算</w:t>
      </w:r>
      <w:r>
        <w:rPr>
          <w:rFonts w:hint="eastAsia"/>
          <w:color w:val="auto"/>
        </w:rPr>
        <w:t>。</w:t>
      </w:r>
    </w:p>
    <w:p w14:paraId="1AB4065A">
      <w:pPr>
        <w:adjustRightInd w:val="0"/>
        <w:snapToGrid w:val="0"/>
        <w:spacing w:line="331" w:lineRule="auto"/>
        <w:ind w:firstLine="368" w:firstLineChars="200"/>
        <w:jc w:val="center"/>
        <w:rPr>
          <w:rFonts w:ascii="宋体" w:hAnsi="宋体" w:eastAsia="宋体"/>
          <w:color w:val="auto"/>
        </w:rPr>
      </w:pPr>
      <w:r>
        <w:rPr>
          <w:rFonts w:ascii="宋体" w:hAnsi="宋体" w:eastAsia="宋体" w:cs="Times New Roman"/>
          <w:i/>
          <w:iCs/>
          <w:color w:val="auto"/>
          <w:spacing w:val="-13"/>
          <w:position w:val="1"/>
        </w:rPr>
        <w:t>A</w:t>
      </w:r>
      <w:r>
        <w:rPr>
          <w:rFonts w:ascii="宋体" w:hAnsi="宋体" w:eastAsia="宋体" w:cs="Times New Roman"/>
          <w:color w:val="auto"/>
          <w:spacing w:val="-13"/>
          <w:position w:val="-4"/>
          <w:vertAlign w:val="subscript"/>
        </w:rPr>
        <w:t>hous</w:t>
      </w:r>
      <w:r>
        <w:rPr>
          <w:rFonts w:ascii="宋体" w:hAnsi="宋体" w:eastAsia="宋体" w:cs="Times New Roman"/>
          <w:color w:val="auto"/>
          <w:spacing w:val="-14"/>
          <w:position w:val="-4"/>
          <w:vertAlign w:val="subscript"/>
        </w:rPr>
        <w:t>,</w:t>
      </w:r>
      <w:r>
        <w:rPr>
          <w:rFonts w:ascii="宋体" w:hAnsi="宋体" w:eastAsia="宋体" w:cs="Times New Roman"/>
          <w:color w:val="auto"/>
          <w:spacing w:val="-17"/>
          <w:position w:val="-4"/>
          <w:vertAlign w:val="subscript"/>
        </w:rPr>
        <w:t>2</w:t>
      </w:r>
      <w:r>
        <w:rPr>
          <w:rFonts w:ascii="宋体" w:hAnsi="宋体" w:eastAsia="宋体" w:cs="Symbol"/>
          <w:color w:val="auto"/>
          <w:spacing w:val="-13"/>
          <w:position w:val="1"/>
        </w:rPr>
        <w:t>=</w:t>
      </w:r>
      <w:r>
        <w:rPr>
          <w:rFonts w:hint="eastAsia" w:ascii="宋体" w:hAnsi="宋体" w:eastAsia="宋体" w:cs="Symbol"/>
          <w:color w:val="auto"/>
          <w:spacing w:val="-13"/>
          <w:position w:val="1"/>
        </w:rPr>
        <w:t>-</w:t>
      </w:r>
      <w:r>
        <w:rPr>
          <w:rFonts w:ascii="宋体" w:hAnsi="宋体" w:eastAsia="宋体" w:cs="Times New Roman"/>
          <w:color w:val="auto"/>
          <w:spacing w:val="-13"/>
        </w:rPr>
        <w:t>10lg</w:t>
      </w:r>
      <w:r>
        <w:rPr>
          <w:rFonts w:hint="eastAsia" w:ascii="宋体" w:hAnsi="宋体" w:eastAsia="宋体" w:cs="Symbol"/>
          <w:color w:val="auto"/>
          <w:spacing w:val="-13"/>
        </w:rPr>
        <w:t>（</w:t>
      </w:r>
      <w:r>
        <w:rPr>
          <w:rFonts w:ascii="宋体" w:hAnsi="宋体" w:eastAsia="宋体" w:cs="Times New Roman"/>
          <w:color w:val="auto"/>
          <w:spacing w:val="-13"/>
        </w:rPr>
        <w:t>1</w:t>
      </w:r>
      <w:r>
        <w:rPr>
          <w:rFonts w:hint="eastAsia" w:ascii="宋体" w:hAnsi="宋体" w:eastAsia="宋体" w:cs="Times New Roman"/>
          <w:color w:val="auto"/>
          <w:position w:val="-3"/>
        </w:rPr>
        <w:t>-</w:t>
      </w:r>
      <w:r>
        <w:rPr>
          <w:rFonts w:ascii="宋体" w:hAnsi="宋体" w:eastAsia="宋体" w:cs="Times New Roman"/>
          <w:i/>
          <w:iCs/>
          <w:color w:val="auto"/>
          <w:spacing w:val="-13"/>
        </w:rPr>
        <w:t>p</w:t>
      </w:r>
      <w:r>
        <w:rPr>
          <w:rFonts w:hint="eastAsia" w:ascii="宋体" w:hAnsi="宋体" w:eastAsia="宋体" w:cs="Symbol"/>
          <w:color w:val="auto"/>
          <w:spacing w:val="-13"/>
        </w:rPr>
        <w:t>）</w:t>
      </w:r>
      <w:r>
        <w:rPr>
          <w:rFonts w:ascii="宋体" w:hAnsi="宋体" w:eastAsia="宋体" w:cs="Symbol"/>
          <w:color w:val="auto"/>
          <w:spacing w:val="-13"/>
        </w:rPr>
        <w:t xml:space="preserve">  </w:t>
      </w:r>
      <w:r>
        <w:rPr>
          <w:rFonts w:ascii="宋体" w:hAnsi="宋体" w:eastAsia="宋体"/>
          <w:color w:val="auto"/>
          <w:spacing w:val="20"/>
        </w:rPr>
        <w:t>（</w:t>
      </w:r>
      <w:r>
        <w:rPr>
          <w:rFonts w:ascii="宋体" w:hAnsi="宋体" w:eastAsia="宋体" w:cs="Times New Roman"/>
          <w:color w:val="auto"/>
        </w:rPr>
        <w:t>A</w:t>
      </w:r>
      <w:r>
        <w:rPr>
          <w:rFonts w:ascii="宋体" w:hAnsi="宋体" w:eastAsia="宋体" w:cs="Times New Roman"/>
          <w:color w:val="auto"/>
          <w:spacing w:val="18"/>
        </w:rPr>
        <w:t>.13</w:t>
      </w:r>
      <w:r>
        <w:rPr>
          <w:rFonts w:ascii="宋体" w:hAnsi="宋体" w:eastAsia="宋体"/>
          <w:color w:val="auto"/>
          <w:spacing w:val="18"/>
        </w:rPr>
        <w:t>）</w:t>
      </w:r>
    </w:p>
    <w:p w14:paraId="076468BD">
      <w:pPr>
        <w:pStyle w:val="276"/>
        <w:widowControl w:val="0"/>
        <w:ind w:firstLine="464"/>
        <w:jc w:val="both"/>
        <w:rPr>
          <w:color w:val="auto"/>
          <w:spacing w:val="-4"/>
        </w:rPr>
      </w:pPr>
      <w:r>
        <w:rPr>
          <w:color w:val="auto"/>
          <w:spacing w:val="-4"/>
        </w:rPr>
        <w:t>式中：</w:t>
      </w:r>
      <w:r>
        <w:rPr>
          <w:i/>
          <w:iCs/>
          <w:color w:val="auto"/>
        </w:rPr>
        <w:t>p</w:t>
      </w:r>
      <w:r>
        <w:rPr>
          <w:color w:val="auto"/>
          <w:spacing w:val="-4"/>
        </w:rPr>
        <w:t xml:space="preserve"> ——沿声源纵向分布的建筑物正面总长度除以对应的声源长度，其值</w:t>
      </w:r>
      <w:r>
        <w:rPr>
          <w:color w:val="auto"/>
          <w:lang w:val="zh-CN"/>
        </w:rPr>
        <w:t>小于</w:t>
      </w:r>
      <w:r>
        <w:rPr>
          <w:color w:val="auto"/>
          <w:spacing w:val="-4"/>
        </w:rPr>
        <w:t>或等于90%</w:t>
      </w:r>
      <w:r>
        <w:rPr>
          <w:rFonts w:hint="eastAsia"/>
          <w:color w:val="auto"/>
          <w:spacing w:val="-4"/>
        </w:rPr>
        <w:t>。</w:t>
      </w:r>
    </w:p>
    <w:p w14:paraId="3212DD6C">
      <w:pPr>
        <w:pStyle w:val="276"/>
        <w:widowControl w:val="0"/>
        <w:ind w:firstLine="480"/>
        <w:jc w:val="both"/>
        <w:rPr>
          <w:color w:val="auto"/>
          <w:lang w:val="zh-CN"/>
        </w:rPr>
      </w:pPr>
      <w:r>
        <w:rPr>
          <w:color w:val="auto"/>
          <w:lang w:val="zh-CN"/>
        </w:rPr>
        <w:t>在进行预测计算时，建筑群衰减A</w:t>
      </w:r>
      <w:r>
        <w:rPr>
          <w:color w:val="auto"/>
          <w:vertAlign w:val="subscript"/>
          <w:lang w:val="zh-CN"/>
        </w:rPr>
        <w:t>hous</w:t>
      </w:r>
      <w:r>
        <w:rPr>
          <w:color w:val="auto"/>
          <w:lang w:val="zh-CN"/>
        </w:rPr>
        <w:t>与地面效应引起的衰减A</w:t>
      </w:r>
      <w:r>
        <w:rPr>
          <w:color w:val="auto"/>
          <w:vertAlign w:val="subscript"/>
          <w:lang w:val="zh-CN"/>
        </w:rPr>
        <w:t>gr</w:t>
      </w:r>
      <w:r>
        <w:rPr>
          <w:color w:val="auto"/>
          <w:lang w:val="zh-CN"/>
        </w:rPr>
        <w:t>通常只需考虑一项最主要的衰减。对于通过建筑群的声传播，一般不考虑地面效应引起的衰减A</w:t>
      </w:r>
      <w:r>
        <w:rPr>
          <w:color w:val="auto"/>
          <w:vertAlign w:val="subscript"/>
          <w:lang w:val="zh-CN"/>
        </w:rPr>
        <w:t>gr</w:t>
      </w:r>
      <w:r>
        <w:rPr>
          <w:color w:val="auto"/>
          <w:lang w:val="zh-CN"/>
        </w:rPr>
        <w:t>；但地面效应引起的衰减A</w:t>
      </w:r>
      <w:r>
        <w:rPr>
          <w:color w:val="auto"/>
          <w:vertAlign w:val="subscript"/>
          <w:lang w:val="zh-CN"/>
        </w:rPr>
        <w:t>gr</w:t>
      </w:r>
      <w:r>
        <w:rPr>
          <w:color w:val="auto"/>
          <w:lang w:val="zh-CN"/>
        </w:rPr>
        <w:t>（假定预测点与声源之间不存在建筑群时的计算结果）大于建筑群衰减A</w:t>
      </w:r>
      <w:r>
        <w:rPr>
          <w:color w:val="auto"/>
          <w:vertAlign w:val="subscript"/>
          <w:lang w:val="zh-CN"/>
        </w:rPr>
        <w:t>hous</w:t>
      </w:r>
      <w:r>
        <w:rPr>
          <w:color w:val="auto"/>
          <w:lang w:val="zh-CN"/>
        </w:rPr>
        <w:t>时，则不考虑建筑群插入损失A</w:t>
      </w:r>
      <w:r>
        <w:rPr>
          <w:color w:val="auto"/>
          <w:vertAlign w:val="subscript"/>
          <w:lang w:val="zh-CN"/>
        </w:rPr>
        <w:t>hous</w:t>
      </w:r>
      <w:r>
        <w:rPr>
          <w:rFonts w:hint="eastAsia"/>
          <w:color w:val="auto"/>
          <w:lang w:val="zh-CN"/>
        </w:rPr>
        <w:t>。</w:t>
      </w:r>
    </w:p>
    <w:p w14:paraId="18C54C02">
      <w:pPr>
        <w:pStyle w:val="276"/>
        <w:widowControl w:val="0"/>
        <w:ind w:firstLine="480"/>
        <w:jc w:val="both"/>
        <w:rPr>
          <w:color w:val="auto"/>
        </w:rPr>
      </w:pPr>
      <w:r>
        <w:rPr>
          <w:rFonts w:hint="eastAsia"/>
          <w:color w:val="auto"/>
        </w:rPr>
        <w:t>（3）预测点设定</w:t>
      </w:r>
    </w:p>
    <w:p w14:paraId="64019F0C">
      <w:pPr>
        <w:pStyle w:val="276"/>
        <w:widowControl w:val="0"/>
        <w:ind w:firstLine="480"/>
        <w:jc w:val="both"/>
        <w:rPr>
          <w:color w:val="auto"/>
        </w:rPr>
      </w:pPr>
      <w:r>
        <w:rPr>
          <w:color w:val="auto"/>
          <w:kern w:val="2"/>
        </w:rPr>
        <w:t>距离本项目钻井井场场界最近的村屯保护</w:t>
      </w:r>
      <w:r>
        <w:rPr>
          <w:color w:val="auto"/>
          <w:lang w:val="zh-CN"/>
        </w:rPr>
        <w:t>目标</w:t>
      </w:r>
      <w:r>
        <w:rPr>
          <w:color w:val="auto"/>
          <w:kern w:val="2"/>
        </w:rPr>
        <w:t>为</w:t>
      </w:r>
      <w:r>
        <w:rPr>
          <w:rFonts w:hint="eastAsia"/>
          <w:color w:val="auto"/>
          <w:kern w:val="2"/>
        </w:rPr>
        <w:t>源</w:t>
      </w:r>
      <w:r>
        <w:rPr>
          <w:color w:val="auto"/>
          <w:kern w:val="2"/>
        </w:rPr>
        <w:t>1011井场</w:t>
      </w:r>
      <w:r>
        <w:rPr>
          <w:color w:val="auto"/>
          <w:szCs w:val="21"/>
        </w:rPr>
        <w:t>施工</w:t>
      </w:r>
      <w:r>
        <w:rPr>
          <w:color w:val="auto"/>
          <w:kern w:val="2"/>
        </w:rPr>
        <w:t>场界</w:t>
      </w:r>
      <w:bookmarkStart w:id="1386" w:name="OLE_LINK49"/>
      <w:bookmarkStart w:id="1387" w:name="OLE_LINK48"/>
      <w:r>
        <w:rPr>
          <w:color w:val="auto"/>
          <w:kern w:val="2"/>
        </w:rPr>
        <w:t>西侧140m的刘兽医屯</w:t>
      </w:r>
      <w:bookmarkEnd w:id="1386"/>
      <w:bookmarkEnd w:id="1387"/>
      <w:r>
        <w:rPr>
          <w:rFonts w:hint="eastAsia"/>
          <w:color w:val="auto"/>
        </w:rPr>
        <w:t>，本次选择</w:t>
      </w:r>
      <w:r>
        <w:rPr>
          <w:rFonts w:hint="eastAsia"/>
          <w:color w:val="auto"/>
          <w:kern w:val="2"/>
        </w:rPr>
        <w:t>源</w:t>
      </w:r>
      <w:r>
        <w:rPr>
          <w:color w:val="auto"/>
          <w:kern w:val="2"/>
        </w:rPr>
        <w:t>1011井场</w:t>
      </w:r>
      <w:r>
        <w:rPr>
          <w:rFonts w:hint="eastAsia"/>
          <w:color w:val="auto"/>
        </w:rPr>
        <w:t>进行钻井期间噪声预测。</w:t>
      </w:r>
    </w:p>
    <w:p w14:paraId="2D3F83A6">
      <w:pPr>
        <w:pStyle w:val="276"/>
        <w:widowControl w:val="0"/>
        <w:ind w:firstLine="480"/>
        <w:jc w:val="both"/>
        <w:rPr>
          <w:color w:val="auto"/>
        </w:rPr>
      </w:pPr>
      <w:r>
        <w:rPr>
          <w:rFonts w:hint="eastAsia"/>
          <w:color w:val="auto"/>
        </w:rPr>
        <w:t>（4）钻井噪声影响预测分析</w:t>
      </w:r>
    </w:p>
    <w:p w14:paraId="78AA4D8B">
      <w:pPr>
        <w:pStyle w:val="276"/>
        <w:widowControl w:val="0"/>
        <w:ind w:firstLine="480"/>
        <w:jc w:val="both"/>
        <w:rPr>
          <w:color w:val="auto"/>
        </w:rPr>
      </w:pPr>
      <w:r>
        <w:rPr>
          <w:rFonts w:hint="eastAsia"/>
          <w:color w:val="auto"/>
        </w:rPr>
        <w:t>钻井施工井场厂界噪声预测结果见</w:t>
      </w:r>
      <w:r>
        <w:rPr>
          <w:rFonts w:hint="eastAsia"/>
          <w:color w:val="auto"/>
          <w:lang w:val="en-US" w:eastAsia="zh-CN"/>
        </w:rPr>
        <w:t>5.4-1</w:t>
      </w:r>
      <w:r>
        <w:rPr>
          <w:color w:val="auto"/>
          <w:kern w:val="2"/>
        </w:rPr>
        <w:t>，钻井工程噪声贡献值预测图见图 5.4-1</w:t>
      </w:r>
      <w:r>
        <w:rPr>
          <w:rFonts w:hint="eastAsia"/>
          <w:color w:val="auto"/>
          <w:kern w:val="2"/>
        </w:rPr>
        <w:t>。</w:t>
      </w:r>
      <w:r>
        <w:rPr>
          <w:rFonts w:hint="eastAsia"/>
          <w:color w:val="auto"/>
        </w:rPr>
        <w:t>由预测结果可知，钻井施工期间井场厂界夜间不满足《建筑施工场界环境噪声排放标准》（GB 12523-2011）中的标准限值（夜间55dB（A））要求，</w:t>
      </w:r>
      <w:r>
        <w:rPr>
          <w:rFonts w:hint="eastAsia"/>
          <w:color w:val="auto"/>
          <w:highlight w:val="yellow"/>
        </w:rPr>
        <w:t>敏感</w:t>
      </w:r>
      <w:r>
        <w:rPr>
          <w:rFonts w:hint="eastAsia"/>
          <w:color w:val="auto"/>
          <w:lang w:val="zh-CN"/>
        </w:rPr>
        <w:t>目标</w:t>
      </w:r>
      <w:r>
        <w:rPr>
          <w:rFonts w:hint="eastAsia"/>
          <w:color w:val="auto"/>
          <w:highlight w:val="yellow"/>
        </w:rPr>
        <w:t>处</w:t>
      </w:r>
      <w:r>
        <w:rPr>
          <w:color w:val="auto"/>
          <w:kern w:val="2"/>
        </w:rPr>
        <w:t>刘兽医屯</w:t>
      </w:r>
      <w:r>
        <w:rPr>
          <w:rFonts w:hint="eastAsia"/>
          <w:color w:val="auto"/>
          <w:highlight w:val="yellow"/>
          <w:lang w:val="en-US" w:eastAsia="zh-CN"/>
        </w:rPr>
        <w:t>噪声</w:t>
      </w:r>
      <w:r>
        <w:rPr>
          <w:rFonts w:hint="eastAsia"/>
          <w:color w:val="auto"/>
          <w:highlight w:val="yellow"/>
        </w:rPr>
        <w:t>《声环境质量标准》（</w:t>
      </w:r>
      <w:r>
        <w:rPr>
          <w:color w:val="auto"/>
          <w:highlight w:val="yellow"/>
        </w:rPr>
        <w:t>GB 3096-2008）中限值要求</w:t>
      </w:r>
      <w:r>
        <w:rPr>
          <w:rFonts w:hint="eastAsia"/>
          <w:color w:val="auto"/>
        </w:rPr>
        <w:t>。</w:t>
      </w:r>
    </w:p>
    <w:p w14:paraId="386DD052">
      <w:pPr>
        <w:pStyle w:val="276"/>
        <w:widowControl w:val="0"/>
        <w:ind w:firstLine="480"/>
        <w:jc w:val="both"/>
        <w:rPr>
          <w:color w:val="auto"/>
        </w:rPr>
      </w:pPr>
      <w:r>
        <w:rPr>
          <w:rFonts w:hint="eastAsia"/>
          <w:color w:val="auto"/>
        </w:rPr>
        <w:t>本项目</w:t>
      </w:r>
      <w:r>
        <w:rPr>
          <w:rFonts w:hint="eastAsia"/>
          <w:color w:val="auto"/>
          <w:kern w:val="2"/>
        </w:rPr>
        <w:t>源</w:t>
      </w:r>
      <w:r>
        <w:rPr>
          <w:color w:val="auto"/>
          <w:kern w:val="2"/>
        </w:rPr>
        <w:t>1011井场西侧140m</w:t>
      </w:r>
      <w:r>
        <w:rPr>
          <w:rFonts w:hint="eastAsia"/>
          <w:color w:val="auto"/>
          <w:kern w:val="2"/>
        </w:rPr>
        <w:t>处存在居民区</w:t>
      </w:r>
      <w:r>
        <w:rPr>
          <w:color w:val="auto"/>
          <w:kern w:val="2"/>
        </w:rPr>
        <w:t>刘兽医屯</w:t>
      </w:r>
      <w:r>
        <w:rPr>
          <w:rFonts w:hint="eastAsia"/>
          <w:color w:val="auto"/>
        </w:rPr>
        <w:t>，建议采取以下降噪措施：</w:t>
      </w:r>
    </w:p>
    <w:p w14:paraId="67DDB952">
      <w:pPr>
        <w:pStyle w:val="276"/>
        <w:widowControl w:val="0"/>
        <w:ind w:firstLine="480"/>
        <w:jc w:val="both"/>
        <w:rPr>
          <w:color w:val="auto"/>
        </w:rPr>
      </w:pPr>
      <w:r>
        <w:rPr>
          <w:rFonts w:hint="eastAsia"/>
          <w:color w:val="auto"/>
        </w:rPr>
        <w:t>（1）选择低噪声设备，泵类设置减振基础，连接处采用软胶皮等。</w:t>
      </w:r>
    </w:p>
    <w:p w14:paraId="401B6F55">
      <w:pPr>
        <w:pStyle w:val="276"/>
        <w:widowControl w:val="0"/>
        <w:ind w:firstLine="480"/>
        <w:jc w:val="both"/>
        <w:rPr>
          <w:color w:val="auto"/>
        </w:rPr>
      </w:pPr>
      <w:r>
        <w:rPr>
          <w:rFonts w:hint="eastAsia"/>
          <w:color w:val="auto"/>
        </w:rPr>
        <w:t>（2）加强设备维护与保养，紧固松动的螺丝和部件，使用</w:t>
      </w:r>
      <w:r>
        <w:rPr>
          <w:rFonts w:hint="eastAsia"/>
          <w:color w:val="auto"/>
          <w:lang w:val="zh-CN"/>
        </w:rPr>
        <w:t>高品质</w:t>
      </w:r>
      <w:r>
        <w:rPr>
          <w:rFonts w:hint="eastAsia"/>
          <w:color w:val="auto"/>
        </w:rPr>
        <w:t>的润滑油可在一定程度上减小噪声。参考《作业通井机噪声污染调查与防治对策研究》（山东环境技术交流，2003年第3期）可知，机械本身的调整、改进和保养可将噪声值减少10dB（A）以上。</w:t>
      </w:r>
    </w:p>
    <w:p w14:paraId="778AE2F9">
      <w:pPr>
        <w:pStyle w:val="276"/>
        <w:widowControl w:val="0"/>
        <w:ind w:firstLine="480"/>
        <w:jc w:val="both"/>
        <w:rPr>
          <w:color w:val="auto"/>
        </w:rPr>
      </w:pPr>
      <w:r>
        <w:rPr>
          <w:rFonts w:hint="eastAsia"/>
          <w:color w:val="auto"/>
        </w:rPr>
        <w:t>（3</w:t>
      </w:r>
      <w:r>
        <w:rPr>
          <w:color w:val="auto"/>
        </w:rPr>
        <w:t>）</w:t>
      </w:r>
      <w:r>
        <w:rPr>
          <w:rFonts w:hint="eastAsia"/>
          <w:color w:val="auto"/>
        </w:rPr>
        <w:t>钻井作业等高噪声施工应安排在昼间进行，禁止夜间</w:t>
      </w:r>
      <w:r>
        <w:rPr>
          <w:rFonts w:hint="eastAsia"/>
          <w:color w:val="auto"/>
          <w:lang w:val="zh-CN"/>
        </w:rPr>
        <w:t>作业</w:t>
      </w:r>
      <w:r>
        <w:rPr>
          <w:rFonts w:hint="eastAsia"/>
          <w:color w:val="auto"/>
        </w:rPr>
        <w:t>。</w:t>
      </w:r>
    </w:p>
    <w:p w14:paraId="26325528">
      <w:pPr>
        <w:pStyle w:val="276"/>
        <w:widowControl w:val="0"/>
        <w:ind w:firstLine="480"/>
        <w:jc w:val="both"/>
        <w:rPr>
          <w:color w:val="auto"/>
        </w:rPr>
      </w:pPr>
      <w:r>
        <w:rPr>
          <w:rFonts w:hint="eastAsia"/>
          <w:color w:val="auto"/>
        </w:rPr>
        <w:t>（4）压裂车组等大型车辆运输线路途经村屯时，车辆与临街民房距离约</w:t>
      </w:r>
      <w:r>
        <w:rPr>
          <w:color w:val="auto"/>
        </w:rPr>
        <w:t>10～20m，车辆途经居民区过程中应减速慢行，非特殊情况不鸣笛</w:t>
      </w:r>
      <w:r>
        <w:rPr>
          <w:rFonts w:hint="eastAsia"/>
          <w:color w:val="auto"/>
        </w:rPr>
        <w:t>。</w:t>
      </w:r>
    </w:p>
    <w:p w14:paraId="73F9AC2E">
      <w:pPr>
        <w:pStyle w:val="276"/>
        <w:widowControl w:val="0"/>
        <w:ind w:firstLine="480"/>
        <w:jc w:val="both"/>
        <w:rPr>
          <w:color w:val="auto"/>
        </w:rPr>
      </w:pPr>
      <w:r>
        <w:rPr>
          <w:rFonts w:hint="eastAsia"/>
          <w:color w:val="auto"/>
        </w:rPr>
        <w:t>经过采取以上措施后，施工期井场对周围环境影响可接受。另外，本项目施工期噪声影响是暂时的且影响较小，随着施工期的结束施工噪声将消失，噪声影响在可接受范围内。</w:t>
      </w:r>
    </w:p>
    <w:p w14:paraId="4C4F59F2">
      <w:pPr>
        <w:adjustRightInd w:val="0"/>
        <w:snapToGrid w:val="0"/>
        <w:spacing w:before="163" w:beforeLines="50" w:line="360" w:lineRule="auto"/>
        <w:jc w:val="center"/>
        <w:rPr>
          <w:rFonts w:ascii="宋体" w:hAnsi="宋体" w:eastAsia="宋体"/>
          <w:color w:val="auto"/>
          <w:szCs w:val="20"/>
        </w:rPr>
      </w:pPr>
      <w:r>
        <w:rPr>
          <w:rFonts w:ascii="宋体" w:hAnsi="宋体" w:eastAsia="宋体"/>
          <w:color w:val="auto"/>
          <w:szCs w:val="20"/>
        </w:rPr>
        <w:t>表</w:t>
      </w:r>
      <w:r>
        <w:rPr>
          <w:rFonts w:hint="eastAsia" w:ascii="宋体" w:hAnsi="宋体" w:eastAsia="宋体"/>
          <w:color w:val="auto"/>
          <w:szCs w:val="20"/>
        </w:rPr>
        <w:t xml:space="preserve"> </w:t>
      </w:r>
      <w:r>
        <w:rPr>
          <w:rFonts w:ascii="宋体" w:hAnsi="宋体" w:eastAsia="宋体"/>
          <w:color w:val="auto"/>
          <w:szCs w:val="20"/>
        </w:rPr>
        <w:fldChar w:fldCharType="begin"/>
      </w:r>
      <w:r>
        <w:rPr>
          <w:rFonts w:ascii="宋体" w:hAnsi="宋体" w:eastAsia="宋体"/>
          <w:color w:val="auto"/>
          <w:szCs w:val="20"/>
        </w:rPr>
        <w:instrText xml:space="preserve"> </w:instrText>
      </w:r>
      <w:r>
        <w:rPr>
          <w:rFonts w:hint="eastAsia" w:ascii="宋体" w:hAnsi="宋体" w:eastAsia="宋体"/>
          <w:color w:val="auto"/>
          <w:szCs w:val="20"/>
        </w:rPr>
        <w:instrText xml:space="preserve">STYLEREF 2 \s</w:instrText>
      </w:r>
      <w:r>
        <w:rPr>
          <w:rFonts w:ascii="宋体" w:hAnsi="宋体" w:eastAsia="宋体"/>
          <w:color w:val="auto"/>
          <w:szCs w:val="20"/>
        </w:rPr>
        <w:instrText xml:space="preserve"> </w:instrText>
      </w:r>
      <w:r>
        <w:rPr>
          <w:rFonts w:ascii="宋体" w:hAnsi="宋体" w:eastAsia="宋体"/>
          <w:color w:val="auto"/>
          <w:szCs w:val="20"/>
        </w:rPr>
        <w:fldChar w:fldCharType="separate"/>
      </w:r>
      <w:r>
        <w:rPr>
          <w:rFonts w:ascii="宋体" w:hAnsi="宋体" w:eastAsia="宋体"/>
          <w:color w:val="auto"/>
          <w:szCs w:val="20"/>
        </w:rPr>
        <w:t>5.4</w:t>
      </w:r>
      <w:r>
        <w:rPr>
          <w:rFonts w:ascii="宋体" w:hAnsi="宋体" w:eastAsia="宋体"/>
          <w:color w:val="auto"/>
          <w:szCs w:val="20"/>
        </w:rPr>
        <w:fldChar w:fldCharType="end"/>
      </w:r>
      <w:r>
        <w:rPr>
          <w:rFonts w:ascii="宋体" w:hAnsi="宋体" w:eastAsia="宋体"/>
          <w:color w:val="auto"/>
          <w:szCs w:val="20"/>
        </w:rPr>
        <w:noBreakHyphen/>
      </w:r>
      <w:r>
        <w:rPr>
          <w:rFonts w:ascii="宋体" w:hAnsi="宋体" w:eastAsia="宋体"/>
          <w:color w:val="auto"/>
          <w:szCs w:val="20"/>
        </w:rPr>
        <w:fldChar w:fldCharType="begin"/>
      </w:r>
      <w:r>
        <w:rPr>
          <w:rFonts w:ascii="宋体" w:hAnsi="宋体" w:eastAsia="宋体"/>
          <w:color w:val="auto"/>
          <w:szCs w:val="20"/>
        </w:rPr>
        <w:instrText xml:space="preserve"> </w:instrText>
      </w:r>
      <w:r>
        <w:rPr>
          <w:rFonts w:hint="eastAsia" w:ascii="宋体" w:hAnsi="宋体" w:eastAsia="宋体"/>
          <w:color w:val="auto"/>
          <w:szCs w:val="20"/>
        </w:rPr>
        <w:instrText xml:space="preserve">SEQ 表 \* ARABIC \s 2</w:instrText>
      </w:r>
      <w:r>
        <w:rPr>
          <w:rFonts w:ascii="宋体" w:hAnsi="宋体" w:eastAsia="宋体"/>
          <w:color w:val="auto"/>
          <w:szCs w:val="20"/>
        </w:rPr>
        <w:instrText xml:space="preserve"> </w:instrText>
      </w:r>
      <w:r>
        <w:rPr>
          <w:rFonts w:ascii="宋体" w:hAnsi="宋体" w:eastAsia="宋体"/>
          <w:color w:val="auto"/>
          <w:szCs w:val="20"/>
        </w:rPr>
        <w:fldChar w:fldCharType="separate"/>
      </w:r>
      <w:r>
        <w:rPr>
          <w:rFonts w:ascii="宋体" w:hAnsi="宋体" w:eastAsia="宋体"/>
          <w:color w:val="auto"/>
          <w:szCs w:val="20"/>
        </w:rPr>
        <w:t>1</w:t>
      </w:r>
      <w:r>
        <w:rPr>
          <w:rFonts w:ascii="宋体" w:hAnsi="宋体" w:eastAsia="宋体"/>
          <w:color w:val="auto"/>
          <w:szCs w:val="20"/>
        </w:rPr>
        <w:fldChar w:fldCharType="end"/>
      </w:r>
      <w:r>
        <w:rPr>
          <w:rFonts w:hint="eastAsia" w:ascii="宋体" w:hAnsi="宋体" w:eastAsia="宋体"/>
          <w:color w:val="auto"/>
          <w:szCs w:val="20"/>
        </w:rPr>
        <w:t>钻井施工井场厂界</w:t>
      </w:r>
      <w:r>
        <w:rPr>
          <w:rFonts w:ascii="宋体" w:hAnsi="宋体" w:eastAsia="宋体" w:cs="黑体"/>
          <w:snapToGrid w:val="0"/>
          <w:color w:val="auto"/>
          <w:spacing w:val="-2"/>
        </w:rPr>
        <w:t>噪声预测结果与达标分析表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1016"/>
        <w:gridCol w:w="1016"/>
        <w:gridCol w:w="871"/>
        <w:gridCol w:w="1018"/>
        <w:gridCol w:w="873"/>
        <w:gridCol w:w="871"/>
        <w:gridCol w:w="873"/>
        <w:gridCol w:w="866"/>
      </w:tblGrid>
      <w:tr w14:paraId="4510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pct"/>
            <w:vMerge w:val="restart"/>
            <w:vAlign w:val="center"/>
          </w:tcPr>
          <w:p w14:paraId="6A456137">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预测井场</w:t>
            </w:r>
          </w:p>
        </w:tc>
        <w:tc>
          <w:tcPr>
            <w:tcW w:w="2111" w:type="pct"/>
            <w:gridSpan w:val="4"/>
            <w:vAlign w:val="center"/>
          </w:tcPr>
          <w:p w14:paraId="02AF720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昼间噪声</w:t>
            </w:r>
          </w:p>
        </w:tc>
        <w:tc>
          <w:tcPr>
            <w:tcW w:w="1875" w:type="pct"/>
            <w:gridSpan w:val="4"/>
            <w:vAlign w:val="center"/>
          </w:tcPr>
          <w:p w14:paraId="1FB6DB87">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夜间噪声</w:t>
            </w:r>
          </w:p>
        </w:tc>
      </w:tr>
      <w:tr w14:paraId="4BBA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pct"/>
            <w:vMerge w:val="continue"/>
            <w:vAlign w:val="center"/>
          </w:tcPr>
          <w:p w14:paraId="253639C9">
            <w:pPr>
              <w:widowControl w:val="0"/>
              <w:spacing w:line="360" w:lineRule="exact"/>
              <w:jc w:val="center"/>
              <w:rPr>
                <w:rFonts w:ascii="Times New Roman" w:hAnsi="Times New Roman" w:cs="Times New Roman" w:eastAsiaTheme="minorEastAsia"/>
                <w:color w:val="auto"/>
                <w:w w:val="99"/>
                <w:kern w:val="2"/>
                <w:sz w:val="21"/>
                <w:szCs w:val="21"/>
              </w:rPr>
            </w:pPr>
          </w:p>
        </w:tc>
        <w:tc>
          <w:tcPr>
            <w:tcW w:w="547" w:type="pct"/>
            <w:vAlign w:val="center"/>
          </w:tcPr>
          <w:p w14:paraId="2C539E5A">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东场界</w:t>
            </w:r>
          </w:p>
        </w:tc>
        <w:tc>
          <w:tcPr>
            <w:tcW w:w="547" w:type="pct"/>
            <w:vAlign w:val="center"/>
          </w:tcPr>
          <w:p w14:paraId="1EEE9D5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南场界</w:t>
            </w:r>
          </w:p>
        </w:tc>
        <w:tc>
          <w:tcPr>
            <w:tcW w:w="469" w:type="pct"/>
            <w:vAlign w:val="center"/>
          </w:tcPr>
          <w:p w14:paraId="4317DB3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西场界</w:t>
            </w:r>
          </w:p>
        </w:tc>
        <w:tc>
          <w:tcPr>
            <w:tcW w:w="548" w:type="pct"/>
            <w:vAlign w:val="center"/>
          </w:tcPr>
          <w:p w14:paraId="0542A6E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北场界</w:t>
            </w:r>
          </w:p>
        </w:tc>
        <w:tc>
          <w:tcPr>
            <w:tcW w:w="470" w:type="pct"/>
            <w:vAlign w:val="center"/>
          </w:tcPr>
          <w:p w14:paraId="690A9DE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东场界</w:t>
            </w:r>
          </w:p>
        </w:tc>
        <w:tc>
          <w:tcPr>
            <w:tcW w:w="469" w:type="pct"/>
            <w:vAlign w:val="center"/>
          </w:tcPr>
          <w:p w14:paraId="5759600B">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南场界</w:t>
            </w:r>
          </w:p>
        </w:tc>
        <w:tc>
          <w:tcPr>
            <w:tcW w:w="470" w:type="pct"/>
            <w:vAlign w:val="center"/>
          </w:tcPr>
          <w:p w14:paraId="1AC662C3">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西场界</w:t>
            </w:r>
          </w:p>
        </w:tc>
        <w:tc>
          <w:tcPr>
            <w:tcW w:w="466" w:type="pct"/>
            <w:vAlign w:val="center"/>
          </w:tcPr>
          <w:p w14:paraId="47C7815F">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北场界</w:t>
            </w:r>
          </w:p>
        </w:tc>
      </w:tr>
      <w:tr w14:paraId="6F16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pct"/>
            <w:vAlign w:val="center"/>
          </w:tcPr>
          <w:p w14:paraId="5CEE82B0">
            <w:pPr>
              <w:widowControl w:val="0"/>
              <w:spacing w:line="360" w:lineRule="exact"/>
              <w:jc w:val="center"/>
              <w:rPr>
                <w:rFonts w:ascii="Times New Roman" w:hAnsi="Times New Roman" w:cs="Times New Roman" w:eastAsiaTheme="minorEastAsia"/>
                <w:color w:val="auto"/>
                <w:w w:val="99"/>
                <w:kern w:val="2"/>
                <w:sz w:val="21"/>
                <w:szCs w:val="21"/>
              </w:rPr>
            </w:pPr>
            <w:r>
              <w:rPr>
                <w:rFonts w:hint="eastAsia" w:ascii="Times New Roman" w:hAnsi="Times New Roman" w:cs="Times New Roman" w:eastAsiaTheme="minorEastAsia"/>
                <w:color w:val="auto"/>
                <w:w w:val="99"/>
                <w:kern w:val="2"/>
                <w:sz w:val="21"/>
                <w:szCs w:val="21"/>
              </w:rPr>
              <w:t>源</w:t>
            </w:r>
            <w:r>
              <w:rPr>
                <w:rFonts w:ascii="Times New Roman" w:hAnsi="Times New Roman" w:cs="Times New Roman" w:eastAsiaTheme="minorEastAsia"/>
                <w:color w:val="auto"/>
                <w:w w:val="99"/>
                <w:kern w:val="2"/>
                <w:sz w:val="21"/>
                <w:szCs w:val="21"/>
              </w:rPr>
              <w:t>1011井场</w:t>
            </w:r>
          </w:p>
        </w:tc>
        <w:tc>
          <w:tcPr>
            <w:tcW w:w="547" w:type="pct"/>
            <w:vAlign w:val="center"/>
          </w:tcPr>
          <w:p w14:paraId="451875CD">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51.9</w:t>
            </w:r>
          </w:p>
        </w:tc>
        <w:tc>
          <w:tcPr>
            <w:tcW w:w="547" w:type="pct"/>
            <w:vAlign w:val="center"/>
          </w:tcPr>
          <w:p w14:paraId="566C0779">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54.4</w:t>
            </w:r>
          </w:p>
        </w:tc>
        <w:tc>
          <w:tcPr>
            <w:tcW w:w="469" w:type="pct"/>
            <w:vAlign w:val="center"/>
          </w:tcPr>
          <w:p w14:paraId="09678A2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54.1</w:t>
            </w:r>
          </w:p>
        </w:tc>
        <w:tc>
          <w:tcPr>
            <w:tcW w:w="548" w:type="pct"/>
            <w:vAlign w:val="center"/>
          </w:tcPr>
          <w:p w14:paraId="642C6BF6">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54.2</w:t>
            </w:r>
          </w:p>
        </w:tc>
        <w:tc>
          <w:tcPr>
            <w:tcW w:w="470" w:type="pct"/>
            <w:vAlign w:val="center"/>
          </w:tcPr>
          <w:p w14:paraId="17369C21">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51.9</w:t>
            </w:r>
          </w:p>
        </w:tc>
        <w:tc>
          <w:tcPr>
            <w:tcW w:w="469" w:type="pct"/>
            <w:vAlign w:val="center"/>
          </w:tcPr>
          <w:p w14:paraId="251056B6">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54.4</w:t>
            </w:r>
          </w:p>
        </w:tc>
        <w:tc>
          <w:tcPr>
            <w:tcW w:w="470" w:type="pct"/>
            <w:vAlign w:val="center"/>
          </w:tcPr>
          <w:p w14:paraId="7EDB4AD9">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54.1</w:t>
            </w:r>
          </w:p>
        </w:tc>
        <w:tc>
          <w:tcPr>
            <w:tcW w:w="466" w:type="pct"/>
            <w:vAlign w:val="center"/>
          </w:tcPr>
          <w:p w14:paraId="3DD352A8">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54.2</w:t>
            </w:r>
          </w:p>
        </w:tc>
      </w:tr>
    </w:tbl>
    <w:p w14:paraId="36C7EF00">
      <w:pPr>
        <w:adjustRightInd w:val="0"/>
        <w:snapToGrid w:val="0"/>
        <w:spacing w:line="331" w:lineRule="auto"/>
        <w:ind w:firstLine="360" w:firstLineChars="200"/>
        <w:rPr>
          <w:rFonts w:hint="eastAsia" w:ascii="宋体" w:hAnsi="宋体" w:eastAsia="宋体" w:cs="Times New Roman"/>
          <w:color w:val="auto"/>
          <w:sz w:val="18"/>
          <w:szCs w:val="18"/>
        </w:rPr>
      </w:pPr>
    </w:p>
    <w:p w14:paraId="55CB758D">
      <w:pPr>
        <w:widowControl w:val="0"/>
        <w:spacing w:line="440" w:lineRule="exact"/>
        <w:ind w:firstLine="416" w:firstLineChars="200"/>
        <w:jc w:val="both"/>
        <w:rPr>
          <w:rFonts w:ascii="Times New Roman" w:hAnsi="Times New Roman" w:cs="Times New Roman" w:eastAsiaTheme="minorEastAsia"/>
          <w:b/>
          <w:color w:val="auto"/>
          <w:w w:val="99"/>
          <w:kern w:val="2"/>
        </w:rPr>
      </w:pPr>
      <w:r>
        <w:rPr>
          <w:rFonts w:ascii="Times New Roman" w:hAnsi="Times New Roman" w:cs="Times New Roman" w:eastAsiaTheme="minorEastAsia"/>
          <w:b/>
          <w:color w:val="auto"/>
          <w:w w:val="99"/>
          <w:kern w:val="2"/>
        </w:rPr>
        <w:t>表5.4-</w:t>
      </w:r>
      <w:r>
        <w:rPr>
          <w:rFonts w:hint="eastAsia" w:ascii="Times New Roman" w:hAnsi="Times New Roman" w:cs="Times New Roman"/>
          <w:b/>
          <w:color w:val="auto"/>
          <w:w w:val="99"/>
          <w:kern w:val="2"/>
          <w:lang w:val="en-US" w:eastAsia="zh-CN"/>
        </w:rPr>
        <w:t>2</w:t>
      </w:r>
      <w:r>
        <w:rPr>
          <w:rFonts w:ascii="Times New Roman" w:hAnsi="Times New Roman" w:cs="Times New Roman" w:eastAsiaTheme="minorEastAsia"/>
          <w:b/>
          <w:color w:val="auto"/>
          <w:w w:val="99"/>
          <w:kern w:val="21"/>
          <w:szCs w:val="22"/>
          <w:lang w:bidi="zh-CN"/>
        </w:rPr>
        <w:t xml:space="preserve">    </w:t>
      </w:r>
      <w:r>
        <w:rPr>
          <w:rFonts w:ascii="Times New Roman" w:hAnsi="Times New Roman" w:cs="Times New Roman" w:eastAsiaTheme="minorEastAsia"/>
          <w:b/>
          <w:color w:val="auto"/>
          <w:w w:val="99"/>
          <w:kern w:val="2"/>
        </w:rPr>
        <w:t>声环境保护目标噪声预测结果与达标分析表</w:t>
      </w:r>
      <w:r>
        <w:rPr>
          <w:rFonts w:ascii="Times New Roman" w:hAnsi="Times New Roman" w:cs="Times New Roman" w:eastAsiaTheme="minorEastAsia"/>
          <w:b/>
          <w:color w:val="auto"/>
          <w:w w:val="99"/>
          <w:kern w:val="21"/>
          <w:szCs w:val="22"/>
          <w:lang w:bidi="zh-CN"/>
        </w:rPr>
        <w:t xml:space="preserve">    </w:t>
      </w:r>
      <w:r>
        <w:rPr>
          <w:rFonts w:ascii="Times New Roman" w:hAnsi="Times New Roman" w:cs="Times New Roman" w:eastAsiaTheme="minorEastAsia"/>
          <w:b/>
          <w:color w:val="auto"/>
          <w:w w:val="99"/>
          <w:kern w:val="2"/>
        </w:rPr>
        <w:t>单位：dB(A)</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594"/>
        <w:gridCol w:w="598"/>
        <w:gridCol w:w="594"/>
        <w:gridCol w:w="594"/>
        <w:gridCol w:w="557"/>
        <w:gridCol w:w="583"/>
        <w:gridCol w:w="700"/>
        <w:gridCol w:w="702"/>
        <w:gridCol w:w="700"/>
        <w:gridCol w:w="702"/>
        <w:gridCol w:w="595"/>
        <w:gridCol w:w="595"/>
        <w:gridCol w:w="542"/>
        <w:gridCol w:w="551"/>
      </w:tblGrid>
      <w:tr w14:paraId="462C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6" w:type="pct"/>
            <w:vMerge w:val="restart"/>
            <w:vAlign w:val="center"/>
          </w:tcPr>
          <w:p w14:paraId="796979A9">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声环境保护目标名称</w:t>
            </w:r>
          </w:p>
        </w:tc>
        <w:tc>
          <w:tcPr>
            <w:tcW w:w="642" w:type="pct"/>
            <w:gridSpan w:val="2"/>
            <w:vAlign w:val="center"/>
          </w:tcPr>
          <w:p w14:paraId="5E6D479F">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噪声背景值</w:t>
            </w:r>
          </w:p>
        </w:tc>
        <w:tc>
          <w:tcPr>
            <w:tcW w:w="640" w:type="pct"/>
            <w:gridSpan w:val="2"/>
            <w:vAlign w:val="center"/>
          </w:tcPr>
          <w:p w14:paraId="21618916">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噪声现状值</w:t>
            </w:r>
          </w:p>
        </w:tc>
        <w:tc>
          <w:tcPr>
            <w:tcW w:w="614" w:type="pct"/>
            <w:gridSpan w:val="2"/>
            <w:vAlign w:val="center"/>
          </w:tcPr>
          <w:p w14:paraId="35D4E12B">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噪声标准</w:t>
            </w:r>
          </w:p>
        </w:tc>
        <w:tc>
          <w:tcPr>
            <w:tcW w:w="755" w:type="pct"/>
            <w:gridSpan w:val="2"/>
            <w:vAlign w:val="center"/>
          </w:tcPr>
          <w:p w14:paraId="42CEEFB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噪声贡献值</w:t>
            </w:r>
          </w:p>
        </w:tc>
        <w:tc>
          <w:tcPr>
            <w:tcW w:w="755" w:type="pct"/>
            <w:gridSpan w:val="2"/>
            <w:vAlign w:val="center"/>
          </w:tcPr>
          <w:p w14:paraId="17CFD338">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噪声预测值</w:t>
            </w:r>
          </w:p>
        </w:tc>
        <w:tc>
          <w:tcPr>
            <w:tcW w:w="640" w:type="pct"/>
            <w:gridSpan w:val="2"/>
            <w:vAlign w:val="center"/>
          </w:tcPr>
          <w:p w14:paraId="1AE6CF9B">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较现状增量</w:t>
            </w:r>
          </w:p>
        </w:tc>
        <w:tc>
          <w:tcPr>
            <w:tcW w:w="587" w:type="pct"/>
            <w:gridSpan w:val="2"/>
            <w:vAlign w:val="center"/>
          </w:tcPr>
          <w:p w14:paraId="23B732F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超标和达标情况</w:t>
            </w:r>
          </w:p>
        </w:tc>
      </w:tr>
      <w:tr w14:paraId="43F8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6" w:type="pct"/>
            <w:vMerge w:val="continue"/>
            <w:vAlign w:val="center"/>
          </w:tcPr>
          <w:p w14:paraId="239F3320">
            <w:pPr>
              <w:widowControl w:val="0"/>
              <w:spacing w:line="360" w:lineRule="exact"/>
              <w:jc w:val="center"/>
              <w:rPr>
                <w:rFonts w:ascii="Times New Roman" w:hAnsi="Times New Roman" w:cs="Times New Roman" w:eastAsiaTheme="minorEastAsia"/>
                <w:color w:val="auto"/>
                <w:w w:val="99"/>
                <w:kern w:val="2"/>
                <w:sz w:val="21"/>
                <w:szCs w:val="21"/>
              </w:rPr>
            </w:pPr>
          </w:p>
        </w:tc>
        <w:tc>
          <w:tcPr>
            <w:tcW w:w="320" w:type="pct"/>
            <w:vAlign w:val="center"/>
          </w:tcPr>
          <w:p w14:paraId="2D7908CD">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22" w:type="pct"/>
            <w:vAlign w:val="center"/>
          </w:tcPr>
          <w:p w14:paraId="17536077">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320" w:type="pct"/>
            <w:vAlign w:val="center"/>
          </w:tcPr>
          <w:p w14:paraId="74A86D59">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20" w:type="pct"/>
            <w:vAlign w:val="center"/>
          </w:tcPr>
          <w:p w14:paraId="7C77F167">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300" w:type="pct"/>
            <w:vAlign w:val="center"/>
          </w:tcPr>
          <w:p w14:paraId="20750936">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14" w:type="pct"/>
            <w:vAlign w:val="center"/>
          </w:tcPr>
          <w:p w14:paraId="44EF1BC8">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377" w:type="pct"/>
            <w:vAlign w:val="center"/>
          </w:tcPr>
          <w:p w14:paraId="2409A638">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78" w:type="pct"/>
            <w:vAlign w:val="center"/>
          </w:tcPr>
          <w:p w14:paraId="213A6EAA">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377" w:type="pct"/>
            <w:vAlign w:val="center"/>
          </w:tcPr>
          <w:p w14:paraId="59B42BB3">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78" w:type="pct"/>
            <w:vAlign w:val="center"/>
          </w:tcPr>
          <w:p w14:paraId="6FFD57DA">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320" w:type="pct"/>
            <w:vAlign w:val="center"/>
          </w:tcPr>
          <w:p w14:paraId="652040A0">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20" w:type="pct"/>
            <w:vAlign w:val="center"/>
          </w:tcPr>
          <w:p w14:paraId="215C32D6">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291" w:type="pct"/>
            <w:vAlign w:val="center"/>
          </w:tcPr>
          <w:p w14:paraId="6917071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296" w:type="pct"/>
            <w:vAlign w:val="center"/>
          </w:tcPr>
          <w:p w14:paraId="3378FFC3">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r>
      <w:tr w14:paraId="0095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66" w:type="pct"/>
            <w:vAlign w:val="center"/>
          </w:tcPr>
          <w:p w14:paraId="35C39861">
            <w:pPr>
              <w:widowControl w:val="0"/>
              <w:spacing w:line="360" w:lineRule="exact"/>
              <w:jc w:val="center"/>
              <w:rPr>
                <w:rFonts w:ascii="Times New Roman" w:hAnsi="Times New Roman" w:cs="Times New Roman" w:eastAsiaTheme="minorEastAsia"/>
                <w:color w:val="auto"/>
                <w:w w:val="99"/>
                <w:kern w:val="2"/>
                <w:sz w:val="21"/>
                <w:szCs w:val="21"/>
              </w:rPr>
            </w:pPr>
            <w:r>
              <w:rPr>
                <w:rFonts w:hint="eastAsia" w:ascii="Times New Roman" w:hAnsi="Times New Roman" w:cs="Times New Roman"/>
                <w:bCs/>
                <w:color w:val="auto"/>
                <w:w w:val="99"/>
                <w:kern w:val="2"/>
                <w:sz w:val="21"/>
                <w:szCs w:val="21"/>
                <w:lang w:val="en-US" w:eastAsia="zh-CN"/>
              </w:rPr>
              <w:t>刘兽医</w:t>
            </w:r>
            <w:r>
              <w:rPr>
                <w:rFonts w:ascii="Times New Roman" w:hAnsi="Times New Roman" w:cs="Times New Roman" w:eastAsiaTheme="minorEastAsia"/>
                <w:bCs/>
                <w:color w:val="auto"/>
                <w:w w:val="99"/>
                <w:kern w:val="2"/>
                <w:sz w:val="21"/>
                <w:szCs w:val="21"/>
              </w:rPr>
              <w:t>屯</w:t>
            </w:r>
          </w:p>
        </w:tc>
        <w:tc>
          <w:tcPr>
            <w:tcW w:w="320" w:type="pct"/>
            <w:vAlign w:val="center"/>
          </w:tcPr>
          <w:p w14:paraId="2BB98221">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47.6</w:t>
            </w:r>
          </w:p>
        </w:tc>
        <w:tc>
          <w:tcPr>
            <w:tcW w:w="322" w:type="pct"/>
            <w:vAlign w:val="center"/>
          </w:tcPr>
          <w:p w14:paraId="06C1EB02">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43.3</w:t>
            </w:r>
          </w:p>
        </w:tc>
        <w:tc>
          <w:tcPr>
            <w:tcW w:w="320" w:type="pct"/>
            <w:vAlign w:val="center"/>
          </w:tcPr>
          <w:p w14:paraId="586155F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47.6</w:t>
            </w:r>
          </w:p>
        </w:tc>
        <w:tc>
          <w:tcPr>
            <w:tcW w:w="320" w:type="pct"/>
            <w:vAlign w:val="center"/>
          </w:tcPr>
          <w:p w14:paraId="292C8F79">
            <w:pPr>
              <w:widowControl w:val="0"/>
              <w:spacing w:line="360" w:lineRule="exact"/>
              <w:jc w:val="center"/>
              <w:rPr>
                <w:rFonts w:hint="default" w:ascii="Times New Roman" w:hAnsi="Times New Roman" w:cs="Times New Roman" w:eastAsiaTheme="minorEastAsia"/>
                <w:color w:val="auto"/>
                <w:w w:val="99"/>
                <w:kern w:val="2"/>
                <w:sz w:val="21"/>
                <w:szCs w:val="21"/>
                <w:lang w:val="en-US" w:eastAsia="zh-CN"/>
              </w:rPr>
            </w:pPr>
            <w:r>
              <w:rPr>
                <w:rFonts w:hint="eastAsia" w:ascii="Times New Roman" w:hAnsi="Times New Roman" w:cs="Times New Roman"/>
                <w:color w:val="auto"/>
                <w:w w:val="99"/>
                <w:kern w:val="2"/>
                <w:sz w:val="21"/>
                <w:szCs w:val="21"/>
                <w:lang w:val="en-US" w:eastAsia="zh-CN"/>
              </w:rPr>
              <w:t>42.9</w:t>
            </w:r>
          </w:p>
        </w:tc>
        <w:tc>
          <w:tcPr>
            <w:tcW w:w="300" w:type="pct"/>
            <w:vAlign w:val="center"/>
          </w:tcPr>
          <w:p w14:paraId="2D88D027">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55</w:t>
            </w:r>
          </w:p>
        </w:tc>
        <w:tc>
          <w:tcPr>
            <w:tcW w:w="314" w:type="pct"/>
            <w:vAlign w:val="center"/>
          </w:tcPr>
          <w:p w14:paraId="74A62EA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45</w:t>
            </w:r>
          </w:p>
        </w:tc>
        <w:tc>
          <w:tcPr>
            <w:tcW w:w="377" w:type="pct"/>
            <w:vAlign w:val="center"/>
          </w:tcPr>
          <w:p w14:paraId="265979C4">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35.4</w:t>
            </w:r>
          </w:p>
        </w:tc>
        <w:tc>
          <w:tcPr>
            <w:tcW w:w="378" w:type="pct"/>
            <w:vAlign w:val="center"/>
          </w:tcPr>
          <w:p w14:paraId="51A122A7">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35.4</w:t>
            </w:r>
          </w:p>
        </w:tc>
        <w:tc>
          <w:tcPr>
            <w:tcW w:w="377" w:type="pct"/>
            <w:vAlign w:val="center"/>
          </w:tcPr>
          <w:p w14:paraId="2DBB4154">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47.9</w:t>
            </w:r>
          </w:p>
        </w:tc>
        <w:tc>
          <w:tcPr>
            <w:tcW w:w="378" w:type="pct"/>
            <w:vAlign w:val="center"/>
          </w:tcPr>
          <w:p w14:paraId="03C5F322">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44.0</w:t>
            </w:r>
          </w:p>
        </w:tc>
        <w:tc>
          <w:tcPr>
            <w:tcW w:w="320" w:type="pct"/>
            <w:vAlign w:val="center"/>
          </w:tcPr>
          <w:p w14:paraId="5C0D1AF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0.3</w:t>
            </w:r>
          </w:p>
        </w:tc>
        <w:tc>
          <w:tcPr>
            <w:tcW w:w="320" w:type="pct"/>
            <w:vAlign w:val="center"/>
          </w:tcPr>
          <w:p w14:paraId="7DD17296">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0.7</w:t>
            </w:r>
          </w:p>
        </w:tc>
        <w:tc>
          <w:tcPr>
            <w:tcW w:w="291" w:type="pct"/>
            <w:vAlign w:val="center"/>
          </w:tcPr>
          <w:p w14:paraId="6725EF68">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达标</w:t>
            </w:r>
          </w:p>
        </w:tc>
        <w:tc>
          <w:tcPr>
            <w:tcW w:w="296" w:type="pct"/>
            <w:vAlign w:val="center"/>
          </w:tcPr>
          <w:p w14:paraId="355E5FF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达标</w:t>
            </w:r>
          </w:p>
        </w:tc>
      </w:tr>
    </w:tbl>
    <w:p w14:paraId="5EBEEDE1">
      <w:pPr>
        <w:jc w:val="center"/>
        <w:rPr>
          <w:rFonts w:ascii="宋体" w:hAnsi="宋体" w:eastAsia="宋体" w:cs="Times New Roman"/>
          <w:color w:val="auto"/>
          <w:szCs w:val="20"/>
        </w:rPr>
      </w:pPr>
      <w:r>
        <w:rPr>
          <w:rFonts w:ascii="宋体" w:hAnsi="宋体" w:eastAsia="宋体"/>
          <w:color w:val="auto"/>
        </w:rPr>
        <w:drawing>
          <wp:inline distT="0" distB="0" distL="114300" distR="114300">
            <wp:extent cx="5755005" cy="3690620"/>
            <wp:effectExtent l="0" t="0" r="17145" b="5080"/>
            <wp:docPr id="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
                    <pic:cNvPicPr>
                      <a:picLocks noChangeAspect="1"/>
                    </pic:cNvPicPr>
                  </pic:nvPicPr>
                  <pic:blipFill>
                    <a:blip r:embed="rId133"/>
                    <a:stretch>
                      <a:fillRect/>
                    </a:stretch>
                  </pic:blipFill>
                  <pic:spPr>
                    <a:xfrm>
                      <a:off x="0" y="0"/>
                      <a:ext cx="5755005" cy="3690620"/>
                    </a:xfrm>
                    <a:prstGeom prst="rect">
                      <a:avLst/>
                    </a:prstGeom>
                    <a:noFill/>
                    <a:ln>
                      <a:noFill/>
                    </a:ln>
                  </pic:spPr>
                </pic:pic>
              </a:graphicData>
            </a:graphic>
          </wp:inline>
        </w:drawing>
      </w:r>
    </w:p>
    <w:p w14:paraId="5DB8AC99">
      <w:pPr>
        <w:jc w:val="center"/>
        <w:rPr>
          <w:rFonts w:ascii="宋体" w:hAnsi="宋体" w:eastAsia="宋体" w:cs="Times New Roman"/>
          <w:color w:val="auto"/>
          <w:szCs w:val="20"/>
        </w:rPr>
      </w:pPr>
      <w:r>
        <w:rPr>
          <w:rFonts w:ascii="宋体" w:hAnsi="宋体" w:eastAsia="宋体" w:cs="Times New Roman"/>
          <w:color w:val="auto"/>
          <w:szCs w:val="20"/>
        </w:rPr>
        <w:t>图5.4-1 钻井工程噪声贡献值预测图</w:t>
      </w:r>
    </w:p>
    <w:p w14:paraId="0B9AEA21">
      <w:pPr>
        <w:spacing w:line="440" w:lineRule="exact"/>
        <w:ind w:firstLine="420" w:firstLineChars="200"/>
        <w:rPr>
          <w:rFonts w:ascii="宋体" w:hAnsi="宋体" w:eastAsia="宋体" w:cs="Times New Roman"/>
          <w:b/>
          <w:bCs/>
          <w:color w:val="auto"/>
          <w:szCs w:val="28"/>
        </w:rPr>
      </w:pPr>
      <w:r>
        <w:rPr>
          <w:rFonts w:hint="eastAsia" w:ascii="宋体" w:hAnsi="宋体" w:eastAsia="宋体" w:cs="Times New Roman"/>
          <w:color w:val="auto"/>
        </w:rPr>
        <w:t xml:space="preserve"> </w:t>
      </w:r>
      <w:r>
        <w:rPr>
          <w:rFonts w:ascii="宋体" w:hAnsi="宋体" w:eastAsia="宋体" w:cs="Times New Roman"/>
          <w:b/>
          <w:bCs/>
          <w:color w:val="auto"/>
          <w:szCs w:val="28"/>
        </w:rPr>
        <w:t>压裂工程</w:t>
      </w:r>
      <w:r>
        <w:rPr>
          <w:rFonts w:hint="eastAsia" w:ascii="宋体" w:hAnsi="宋体" w:eastAsia="宋体" w:cs="Times New Roman"/>
          <w:b/>
          <w:bCs/>
          <w:color w:val="auto"/>
          <w:szCs w:val="28"/>
        </w:rPr>
        <w:t>声环境影响分析</w:t>
      </w:r>
    </w:p>
    <w:p w14:paraId="5114A5F7">
      <w:pPr>
        <w:pStyle w:val="276"/>
        <w:widowControl w:val="0"/>
        <w:ind w:firstLine="480"/>
        <w:jc w:val="both"/>
        <w:rPr>
          <w:color w:val="auto"/>
          <w:kern w:val="2"/>
        </w:rPr>
      </w:pPr>
      <w:r>
        <w:rPr>
          <w:rFonts w:hint="eastAsia"/>
          <w:color w:val="auto"/>
          <w:kern w:val="2"/>
        </w:rPr>
        <w:t>（1）噪声源</w:t>
      </w:r>
    </w:p>
    <w:p w14:paraId="202FD47E">
      <w:pPr>
        <w:pStyle w:val="276"/>
        <w:widowControl w:val="0"/>
        <w:ind w:firstLine="480"/>
        <w:jc w:val="both"/>
        <w:rPr>
          <w:color w:val="auto"/>
          <w:kern w:val="2"/>
        </w:rPr>
      </w:pPr>
      <w:r>
        <w:rPr>
          <w:color w:val="auto"/>
          <w:kern w:val="2"/>
        </w:rPr>
        <w:t>压裂过程噪声源主要为压裂车、混砂车，噪声源强在70</w:t>
      </w:r>
      <w:r>
        <w:rPr>
          <w:rFonts w:hint="eastAsia"/>
          <w:color w:val="auto"/>
          <w:kern w:val="2"/>
        </w:rPr>
        <w:t>～</w:t>
      </w:r>
      <w:r>
        <w:rPr>
          <w:color w:val="auto"/>
          <w:kern w:val="2"/>
        </w:rPr>
        <w:t>90</w:t>
      </w:r>
      <w:r>
        <w:rPr>
          <w:snapToGrid w:val="0"/>
          <w:color w:val="auto"/>
          <w:sz w:val="21"/>
          <w:szCs w:val="21"/>
        </w:rPr>
        <w:t xml:space="preserve"> </w:t>
      </w:r>
      <w:r>
        <w:rPr>
          <w:color w:val="auto"/>
          <w:kern w:val="2"/>
        </w:rPr>
        <w:t>dB(A)之间。压裂噪声源强调查清单见表5.4-</w:t>
      </w:r>
      <w:r>
        <w:rPr>
          <w:rFonts w:hint="eastAsia"/>
          <w:color w:val="auto"/>
          <w:kern w:val="2"/>
          <w:lang w:val="en-US" w:eastAsia="zh-CN"/>
        </w:rPr>
        <w:t>3</w:t>
      </w:r>
      <w:r>
        <w:rPr>
          <w:color w:val="auto"/>
          <w:kern w:val="2"/>
        </w:rPr>
        <w:t>，压裂施工场界噪声贡献值见表5.4-</w:t>
      </w:r>
      <w:r>
        <w:rPr>
          <w:rFonts w:hint="eastAsia"/>
          <w:color w:val="auto"/>
          <w:kern w:val="2"/>
          <w:lang w:val="en-US" w:eastAsia="zh-CN"/>
        </w:rPr>
        <w:t>4</w:t>
      </w:r>
      <w:r>
        <w:rPr>
          <w:color w:val="auto"/>
          <w:kern w:val="2"/>
        </w:rPr>
        <w:t>，压裂施工期井场噪声预测图见图5.4-2。</w:t>
      </w:r>
    </w:p>
    <w:p w14:paraId="65F79E7E">
      <w:pPr>
        <w:pStyle w:val="276"/>
        <w:widowControl w:val="0"/>
        <w:spacing w:line="440" w:lineRule="exact"/>
        <w:ind w:firstLine="0" w:firstLineChars="0"/>
        <w:jc w:val="center"/>
        <w:rPr>
          <w:color w:val="auto"/>
        </w:rPr>
      </w:pPr>
      <w:r>
        <w:rPr>
          <w:color w:val="auto"/>
        </w:rPr>
        <w:t>表5.4-4 压裂噪声源强调查清单</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9"/>
        <w:gridCol w:w="1244"/>
        <w:gridCol w:w="895"/>
        <w:gridCol w:w="996"/>
        <w:gridCol w:w="1016"/>
        <w:gridCol w:w="1308"/>
        <w:gridCol w:w="1744"/>
        <w:gridCol w:w="1445"/>
      </w:tblGrid>
      <w:tr w14:paraId="7AB2D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 w:type="pct"/>
            <w:vMerge w:val="restart"/>
            <w:shd w:val="clear" w:color="auto" w:fill="auto"/>
            <w:vAlign w:val="center"/>
          </w:tcPr>
          <w:p w14:paraId="678834DE">
            <w:pPr>
              <w:jc w:val="center"/>
              <w:rPr>
                <w:rFonts w:ascii="宋体" w:hAnsi="宋体" w:eastAsia="宋体" w:cs="Times New Roman"/>
                <w:snapToGrid w:val="0"/>
                <w:color w:val="auto"/>
                <w:w w:val="99"/>
              </w:rPr>
            </w:pPr>
            <w:r>
              <w:rPr>
                <w:rFonts w:ascii="宋体" w:hAnsi="宋体" w:eastAsia="宋体" w:cs="Times New Roman"/>
                <w:snapToGrid w:val="0"/>
                <w:color w:val="auto"/>
                <w:w w:val="99"/>
              </w:rPr>
              <w:t>序号</w:t>
            </w:r>
          </w:p>
        </w:tc>
        <w:tc>
          <w:tcPr>
            <w:tcW w:w="670" w:type="pct"/>
            <w:vMerge w:val="restart"/>
            <w:shd w:val="clear" w:color="auto" w:fill="auto"/>
            <w:vAlign w:val="center"/>
          </w:tcPr>
          <w:p w14:paraId="6F611478">
            <w:pPr>
              <w:jc w:val="center"/>
              <w:rPr>
                <w:rFonts w:ascii="宋体" w:hAnsi="宋体" w:eastAsia="宋体" w:cs="Times New Roman"/>
                <w:snapToGrid w:val="0"/>
                <w:color w:val="auto"/>
                <w:w w:val="99"/>
              </w:rPr>
            </w:pPr>
            <w:r>
              <w:rPr>
                <w:rFonts w:ascii="宋体" w:hAnsi="宋体" w:eastAsia="宋体" w:cs="Times New Roman"/>
                <w:snapToGrid w:val="0"/>
                <w:color w:val="auto"/>
                <w:w w:val="99"/>
              </w:rPr>
              <w:t>声源名称</w:t>
            </w:r>
          </w:p>
        </w:tc>
        <w:tc>
          <w:tcPr>
            <w:tcW w:w="1564" w:type="pct"/>
            <w:gridSpan w:val="3"/>
            <w:shd w:val="clear" w:color="auto" w:fill="auto"/>
            <w:vAlign w:val="center"/>
          </w:tcPr>
          <w:p w14:paraId="7A5B280A">
            <w:pPr>
              <w:jc w:val="center"/>
              <w:rPr>
                <w:rFonts w:ascii="宋体" w:hAnsi="宋体" w:eastAsia="宋体" w:cs="Times New Roman"/>
                <w:snapToGrid w:val="0"/>
                <w:color w:val="auto"/>
                <w:w w:val="99"/>
              </w:rPr>
            </w:pPr>
            <w:r>
              <w:rPr>
                <w:rFonts w:ascii="宋体" w:hAnsi="宋体" w:eastAsia="宋体" w:cs="Times New Roman"/>
                <w:snapToGrid w:val="0"/>
                <w:color w:val="auto"/>
                <w:w w:val="99"/>
              </w:rPr>
              <w:t>空间相对位置/m</w:t>
            </w:r>
          </w:p>
        </w:tc>
        <w:tc>
          <w:tcPr>
            <w:tcW w:w="704" w:type="pct"/>
            <w:vMerge w:val="restart"/>
            <w:shd w:val="clear" w:color="auto" w:fill="auto"/>
            <w:vAlign w:val="center"/>
          </w:tcPr>
          <w:p w14:paraId="161C0FEE">
            <w:pPr>
              <w:jc w:val="center"/>
              <w:rPr>
                <w:rFonts w:ascii="宋体" w:hAnsi="宋体" w:eastAsia="宋体" w:cs="Times New Roman"/>
                <w:snapToGrid w:val="0"/>
                <w:color w:val="auto"/>
                <w:w w:val="99"/>
              </w:rPr>
            </w:pPr>
            <w:r>
              <w:rPr>
                <w:rFonts w:ascii="宋体" w:hAnsi="宋体" w:eastAsia="宋体" w:cs="Times New Roman"/>
                <w:snapToGrid w:val="0"/>
                <w:color w:val="auto"/>
                <w:w w:val="99"/>
              </w:rPr>
              <w:t>声源源强/</w:t>
            </w:r>
            <w:r>
              <w:rPr>
                <w:rFonts w:ascii="宋体" w:hAnsi="宋体" w:eastAsia="宋体" w:cs="Times New Roman"/>
                <w:color w:val="auto"/>
                <w:w w:val="99"/>
              </w:rPr>
              <w:t xml:space="preserve"> </w:t>
            </w:r>
            <w:r>
              <w:rPr>
                <w:rFonts w:ascii="宋体" w:hAnsi="宋体" w:eastAsia="宋体" w:cs="Times New Roman"/>
                <w:snapToGrid w:val="0"/>
                <w:color w:val="auto"/>
                <w:w w:val="99"/>
              </w:rPr>
              <w:t>dB(A)</w:t>
            </w:r>
          </w:p>
        </w:tc>
        <w:tc>
          <w:tcPr>
            <w:tcW w:w="939" w:type="pct"/>
            <w:vMerge w:val="restart"/>
            <w:shd w:val="clear" w:color="auto" w:fill="auto"/>
            <w:vAlign w:val="center"/>
          </w:tcPr>
          <w:p w14:paraId="4D9BE085">
            <w:pPr>
              <w:jc w:val="center"/>
              <w:rPr>
                <w:rFonts w:ascii="宋体" w:hAnsi="宋体" w:eastAsia="宋体" w:cs="Times New Roman"/>
                <w:snapToGrid w:val="0"/>
                <w:color w:val="auto"/>
                <w:w w:val="99"/>
              </w:rPr>
            </w:pPr>
            <w:r>
              <w:rPr>
                <w:rFonts w:ascii="宋体" w:hAnsi="宋体" w:eastAsia="宋体" w:cs="Times New Roman"/>
                <w:snapToGrid w:val="0"/>
                <w:color w:val="auto"/>
                <w:w w:val="99"/>
              </w:rPr>
              <w:t>声源控制措施</w:t>
            </w:r>
          </w:p>
        </w:tc>
        <w:tc>
          <w:tcPr>
            <w:tcW w:w="778" w:type="pct"/>
            <w:vMerge w:val="restart"/>
            <w:shd w:val="clear" w:color="auto" w:fill="auto"/>
            <w:vAlign w:val="center"/>
          </w:tcPr>
          <w:p w14:paraId="70013DF5">
            <w:pPr>
              <w:jc w:val="center"/>
              <w:rPr>
                <w:rFonts w:ascii="宋体" w:hAnsi="宋体" w:eastAsia="宋体" w:cs="Times New Roman"/>
                <w:snapToGrid w:val="0"/>
                <w:color w:val="auto"/>
                <w:w w:val="99"/>
              </w:rPr>
            </w:pPr>
            <w:r>
              <w:rPr>
                <w:rFonts w:ascii="宋体" w:hAnsi="宋体" w:eastAsia="宋体" w:cs="Times New Roman"/>
                <w:snapToGrid w:val="0"/>
                <w:color w:val="auto"/>
                <w:w w:val="99"/>
              </w:rPr>
              <w:t>运行时段</w:t>
            </w:r>
          </w:p>
        </w:tc>
      </w:tr>
      <w:tr w14:paraId="48C59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 w:type="pct"/>
            <w:vMerge w:val="continue"/>
            <w:shd w:val="clear" w:color="auto" w:fill="auto"/>
            <w:vAlign w:val="center"/>
          </w:tcPr>
          <w:p w14:paraId="3944FA8A">
            <w:pPr>
              <w:jc w:val="center"/>
              <w:rPr>
                <w:rFonts w:ascii="宋体" w:hAnsi="宋体" w:eastAsia="宋体" w:cs="Times New Roman"/>
                <w:snapToGrid w:val="0"/>
                <w:color w:val="auto"/>
                <w:w w:val="99"/>
              </w:rPr>
            </w:pPr>
          </w:p>
        </w:tc>
        <w:tc>
          <w:tcPr>
            <w:tcW w:w="670" w:type="pct"/>
            <w:vMerge w:val="continue"/>
            <w:shd w:val="clear" w:color="auto" w:fill="auto"/>
            <w:vAlign w:val="center"/>
          </w:tcPr>
          <w:p w14:paraId="264C4F55">
            <w:pPr>
              <w:jc w:val="center"/>
              <w:rPr>
                <w:rFonts w:ascii="宋体" w:hAnsi="宋体" w:eastAsia="宋体" w:cs="Times New Roman"/>
                <w:snapToGrid w:val="0"/>
                <w:color w:val="auto"/>
                <w:w w:val="99"/>
              </w:rPr>
            </w:pPr>
          </w:p>
        </w:tc>
        <w:tc>
          <w:tcPr>
            <w:tcW w:w="482" w:type="pct"/>
            <w:shd w:val="clear" w:color="auto" w:fill="auto"/>
            <w:vAlign w:val="center"/>
          </w:tcPr>
          <w:p w14:paraId="588C497E">
            <w:pPr>
              <w:jc w:val="center"/>
              <w:rPr>
                <w:rFonts w:ascii="宋体" w:hAnsi="宋体" w:eastAsia="宋体" w:cs="Times New Roman"/>
                <w:snapToGrid w:val="0"/>
                <w:color w:val="auto"/>
                <w:w w:val="99"/>
              </w:rPr>
            </w:pPr>
            <w:r>
              <w:rPr>
                <w:rFonts w:ascii="宋体" w:hAnsi="宋体" w:eastAsia="宋体" w:cs="Times New Roman"/>
                <w:snapToGrid w:val="0"/>
                <w:color w:val="auto"/>
                <w:w w:val="99"/>
              </w:rPr>
              <w:t>X</w:t>
            </w:r>
          </w:p>
        </w:tc>
        <w:tc>
          <w:tcPr>
            <w:tcW w:w="536" w:type="pct"/>
            <w:shd w:val="clear" w:color="auto" w:fill="auto"/>
            <w:vAlign w:val="center"/>
          </w:tcPr>
          <w:p w14:paraId="18EC49E8">
            <w:pPr>
              <w:jc w:val="center"/>
              <w:rPr>
                <w:rFonts w:ascii="宋体" w:hAnsi="宋体" w:eastAsia="宋体" w:cs="Times New Roman"/>
                <w:snapToGrid w:val="0"/>
                <w:color w:val="auto"/>
                <w:w w:val="99"/>
              </w:rPr>
            </w:pPr>
            <w:r>
              <w:rPr>
                <w:rFonts w:ascii="宋体" w:hAnsi="宋体" w:eastAsia="宋体" w:cs="Times New Roman"/>
                <w:snapToGrid w:val="0"/>
                <w:color w:val="auto"/>
                <w:w w:val="99"/>
              </w:rPr>
              <w:t>Y</w:t>
            </w:r>
          </w:p>
        </w:tc>
        <w:tc>
          <w:tcPr>
            <w:tcW w:w="547" w:type="pct"/>
            <w:shd w:val="clear" w:color="auto" w:fill="auto"/>
            <w:vAlign w:val="center"/>
          </w:tcPr>
          <w:p w14:paraId="3BDC08AC">
            <w:pPr>
              <w:jc w:val="center"/>
              <w:rPr>
                <w:rFonts w:ascii="宋体" w:hAnsi="宋体" w:eastAsia="宋体" w:cs="Times New Roman"/>
                <w:snapToGrid w:val="0"/>
                <w:color w:val="auto"/>
                <w:w w:val="99"/>
              </w:rPr>
            </w:pPr>
            <w:r>
              <w:rPr>
                <w:rFonts w:ascii="宋体" w:hAnsi="宋体" w:eastAsia="宋体" w:cs="Times New Roman"/>
                <w:snapToGrid w:val="0"/>
                <w:color w:val="auto"/>
                <w:w w:val="99"/>
              </w:rPr>
              <w:t>Z</w:t>
            </w:r>
          </w:p>
        </w:tc>
        <w:tc>
          <w:tcPr>
            <w:tcW w:w="704" w:type="pct"/>
            <w:vMerge w:val="continue"/>
            <w:shd w:val="clear" w:color="auto" w:fill="auto"/>
            <w:vAlign w:val="center"/>
          </w:tcPr>
          <w:p w14:paraId="03457B97">
            <w:pPr>
              <w:jc w:val="center"/>
              <w:rPr>
                <w:rFonts w:ascii="宋体" w:hAnsi="宋体" w:eastAsia="宋体" w:cs="Times New Roman"/>
                <w:snapToGrid w:val="0"/>
                <w:color w:val="auto"/>
                <w:w w:val="99"/>
              </w:rPr>
            </w:pPr>
          </w:p>
        </w:tc>
        <w:tc>
          <w:tcPr>
            <w:tcW w:w="939" w:type="pct"/>
            <w:vMerge w:val="continue"/>
            <w:shd w:val="clear" w:color="auto" w:fill="auto"/>
            <w:vAlign w:val="center"/>
          </w:tcPr>
          <w:p w14:paraId="1BA2FFD0">
            <w:pPr>
              <w:jc w:val="center"/>
              <w:rPr>
                <w:rFonts w:ascii="宋体" w:hAnsi="宋体" w:eastAsia="宋体" w:cs="Times New Roman"/>
                <w:snapToGrid w:val="0"/>
                <w:color w:val="auto"/>
                <w:w w:val="99"/>
              </w:rPr>
            </w:pPr>
          </w:p>
        </w:tc>
        <w:tc>
          <w:tcPr>
            <w:tcW w:w="778" w:type="pct"/>
            <w:vMerge w:val="continue"/>
            <w:shd w:val="clear" w:color="auto" w:fill="auto"/>
            <w:vAlign w:val="center"/>
          </w:tcPr>
          <w:p w14:paraId="573C8BA1">
            <w:pPr>
              <w:jc w:val="center"/>
              <w:rPr>
                <w:rFonts w:ascii="宋体" w:hAnsi="宋体" w:eastAsia="宋体" w:cs="Times New Roman"/>
                <w:snapToGrid w:val="0"/>
                <w:color w:val="auto"/>
                <w:w w:val="99"/>
              </w:rPr>
            </w:pPr>
          </w:p>
        </w:tc>
      </w:tr>
      <w:tr w14:paraId="0A1C9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 w:type="pct"/>
            <w:shd w:val="clear" w:color="auto" w:fill="auto"/>
            <w:vAlign w:val="center"/>
          </w:tcPr>
          <w:p w14:paraId="5E757307">
            <w:pPr>
              <w:jc w:val="center"/>
              <w:rPr>
                <w:rFonts w:ascii="宋体" w:hAnsi="宋体" w:eastAsia="宋体" w:cs="Times New Roman"/>
                <w:snapToGrid w:val="0"/>
                <w:color w:val="auto"/>
                <w:w w:val="99"/>
              </w:rPr>
            </w:pPr>
            <w:r>
              <w:rPr>
                <w:rFonts w:ascii="宋体" w:hAnsi="宋体" w:eastAsia="宋体" w:cs="Times New Roman"/>
                <w:snapToGrid w:val="0"/>
                <w:color w:val="auto"/>
                <w:w w:val="99"/>
              </w:rPr>
              <w:t>1</w:t>
            </w:r>
          </w:p>
        </w:tc>
        <w:tc>
          <w:tcPr>
            <w:tcW w:w="670" w:type="pct"/>
            <w:shd w:val="clear" w:color="auto" w:fill="auto"/>
            <w:vAlign w:val="center"/>
          </w:tcPr>
          <w:p w14:paraId="5ACAAC2F">
            <w:pPr>
              <w:jc w:val="center"/>
              <w:rPr>
                <w:rFonts w:ascii="宋体" w:hAnsi="宋体" w:eastAsia="宋体" w:cs="Times New Roman"/>
                <w:snapToGrid w:val="0"/>
                <w:color w:val="auto"/>
                <w:w w:val="99"/>
              </w:rPr>
            </w:pPr>
            <w:r>
              <w:rPr>
                <w:rFonts w:ascii="宋体" w:hAnsi="宋体" w:eastAsia="宋体" w:cs="Times New Roman"/>
                <w:snapToGrid w:val="0"/>
                <w:color w:val="auto"/>
                <w:w w:val="99"/>
              </w:rPr>
              <w:t>压裂车1</w:t>
            </w:r>
          </w:p>
        </w:tc>
        <w:tc>
          <w:tcPr>
            <w:tcW w:w="482" w:type="pct"/>
            <w:shd w:val="clear" w:color="auto" w:fill="auto"/>
            <w:vAlign w:val="center"/>
          </w:tcPr>
          <w:p w14:paraId="2C3C5C58">
            <w:pPr>
              <w:jc w:val="center"/>
              <w:rPr>
                <w:rFonts w:ascii="宋体" w:hAnsi="宋体" w:eastAsia="宋体" w:cs="Times New Roman"/>
                <w:snapToGrid w:val="0"/>
                <w:color w:val="auto"/>
                <w:w w:val="99"/>
              </w:rPr>
            </w:pPr>
            <w:r>
              <w:rPr>
                <w:rFonts w:ascii="宋体" w:hAnsi="宋体" w:eastAsia="宋体" w:cs="Times New Roman"/>
                <w:snapToGrid w:val="0"/>
                <w:color w:val="auto"/>
                <w:w w:val="99"/>
              </w:rPr>
              <w:t>34.2</w:t>
            </w:r>
          </w:p>
        </w:tc>
        <w:tc>
          <w:tcPr>
            <w:tcW w:w="536" w:type="pct"/>
            <w:shd w:val="clear" w:color="auto" w:fill="auto"/>
            <w:vAlign w:val="center"/>
          </w:tcPr>
          <w:p w14:paraId="22AF6A92">
            <w:pPr>
              <w:jc w:val="center"/>
              <w:rPr>
                <w:rFonts w:ascii="宋体" w:hAnsi="宋体" w:eastAsia="宋体" w:cs="Times New Roman"/>
                <w:snapToGrid w:val="0"/>
                <w:color w:val="auto"/>
                <w:w w:val="99"/>
              </w:rPr>
            </w:pPr>
            <w:r>
              <w:rPr>
                <w:rFonts w:ascii="宋体" w:hAnsi="宋体" w:eastAsia="宋体" w:cs="Times New Roman"/>
                <w:snapToGrid w:val="0"/>
                <w:color w:val="auto"/>
                <w:w w:val="99"/>
              </w:rPr>
              <w:t>66.31</w:t>
            </w:r>
          </w:p>
        </w:tc>
        <w:tc>
          <w:tcPr>
            <w:tcW w:w="547" w:type="pct"/>
            <w:shd w:val="clear" w:color="auto" w:fill="auto"/>
            <w:vAlign w:val="center"/>
          </w:tcPr>
          <w:p w14:paraId="3E982B45">
            <w:pPr>
              <w:jc w:val="center"/>
              <w:rPr>
                <w:rFonts w:ascii="宋体" w:hAnsi="宋体" w:eastAsia="宋体" w:cs="Times New Roman"/>
                <w:snapToGrid w:val="0"/>
                <w:color w:val="auto"/>
                <w:w w:val="99"/>
              </w:rPr>
            </w:pPr>
            <w:r>
              <w:rPr>
                <w:rFonts w:ascii="宋体" w:hAnsi="宋体" w:eastAsia="宋体" w:cs="Times New Roman"/>
                <w:snapToGrid w:val="0"/>
                <w:color w:val="auto"/>
                <w:w w:val="99"/>
              </w:rPr>
              <w:t>1.5</w:t>
            </w:r>
          </w:p>
        </w:tc>
        <w:tc>
          <w:tcPr>
            <w:tcW w:w="704" w:type="pct"/>
            <w:shd w:val="clear" w:color="auto" w:fill="auto"/>
            <w:vAlign w:val="center"/>
          </w:tcPr>
          <w:p w14:paraId="6EC0D3CD">
            <w:pPr>
              <w:jc w:val="center"/>
              <w:rPr>
                <w:rFonts w:ascii="宋体" w:hAnsi="宋体" w:eastAsia="宋体" w:cs="Times New Roman"/>
                <w:snapToGrid w:val="0"/>
                <w:color w:val="auto"/>
                <w:w w:val="99"/>
              </w:rPr>
            </w:pPr>
            <w:r>
              <w:rPr>
                <w:rFonts w:ascii="宋体" w:hAnsi="宋体" w:eastAsia="宋体" w:cs="Times New Roman"/>
                <w:snapToGrid w:val="0"/>
                <w:color w:val="auto"/>
                <w:w w:val="99"/>
              </w:rPr>
              <w:t>75</w:t>
            </w:r>
          </w:p>
        </w:tc>
        <w:tc>
          <w:tcPr>
            <w:tcW w:w="939" w:type="pct"/>
            <w:vMerge w:val="restart"/>
            <w:shd w:val="clear" w:color="auto" w:fill="auto"/>
            <w:vAlign w:val="center"/>
          </w:tcPr>
          <w:p w14:paraId="768A423A">
            <w:pPr>
              <w:jc w:val="center"/>
              <w:rPr>
                <w:rFonts w:ascii="宋体" w:hAnsi="宋体" w:eastAsia="宋体" w:cs="Times New Roman"/>
                <w:snapToGrid w:val="0"/>
                <w:color w:val="auto"/>
                <w:w w:val="99"/>
              </w:rPr>
            </w:pPr>
            <w:r>
              <w:rPr>
                <w:rFonts w:ascii="宋体" w:hAnsi="宋体" w:eastAsia="宋体" w:cs="Times New Roman"/>
                <w:snapToGrid w:val="0"/>
                <w:color w:val="auto"/>
                <w:w w:val="99"/>
              </w:rPr>
              <w:t>泵类安装减震基础、选用低噪声设备</w:t>
            </w:r>
          </w:p>
        </w:tc>
        <w:tc>
          <w:tcPr>
            <w:tcW w:w="778" w:type="pct"/>
            <w:vMerge w:val="restart"/>
            <w:shd w:val="clear" w:color="auto" w:fill="auto"/>
            <w:vAlign w:val="center"/>
          </w:tcPr>
          <w:p w14:paraId="311B947F">
            <w:pPr>
              <w:jc w:val="center"/>
              <w:rPr>
                <w:rFonts w:ascii="宋体" w:hAnsi="宋体" w:eastAsia="宋体" w:cs="Times New Roman"/>
                <w:snapToGrid w:val="0"/>
                <w:color w:val="auto"/>
                <w:w w:val="99"/>
              </w:rPr>
            </w:pPr>
            <w:r>
              <w:rPr>
                <w:rFonts w:ascii="宋体" w:hAnsi="宋体" w:eastAsia="宋体" w:cs="Times New Roman"/>
                <w:snapToGrid w:val="0"/>
                <w:color w:val="auto"/>
                <w:w w:val="99"/>
              </w:rPr>
              <w:t>连续、稳定、昼间运行</w:t>
            </w:r>
          </w:p>
        </w:tc>
      </w:tr>
      <w:tr w14:paraId="17021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 w:type="pct"/>
            <w:shd w:val="clear" w:color="auto" w:fill="auto"/>
            <w:vAlign w:val="center"/>
          </w:tcPr>
          <w:p w14:paraId="059FD5F3">
            <w:pPr>
              <w:jc w:val="center"/>
              <w:rPr>
                <w:rFonts w:ascii="宋体" w:hAnsi="宋体" w:eastAsia="宋体" w:cs="Times New Roman"/>
                <w:color w:val="auto"/>
                <w:w w:val="99"/>
              </w:rPr>
            </w:pPr>
            <w:r>
              <w:rPr>
                <w:rFonts w:ascii="宋体" w:hAnsi="宋体" w:eastAsia="宋体" w:cs="Times New Roman"/>
                <w:color w:val="auto"/>
                <w:w w:val="99"/>
              </w:rPr>
              <w:t>2</w:t>
            </w:r>
          </w:p>
        </w:tc>
        <w:tc>
          <w:tcPr>
            <w:tcW w:w="670" w:type="pct"/>
            <w:shd w:val="clear" w:color="auto" w:fill="auto"/>
            <w:vAlign w:val="center"/>
          </w:tcPr>
          <w:p w14:paraId="5FDF7037">
            <w:pPr>
              <w:jc w:val="center"/>
              <w:rPr>
                <w:rFonts w:ascii="宋体" w:hAnsi="宋体" w:eastAsia="宋体" w:cs="Times New Roman"/>
                <w:color w:val="auto"/>
                <w:w w:val="99"/>
              </w:rPr>
            </w:pPr>
            <w:r>
              <w:rPr>
                <w:rFonts w:ascii="宋体" w:hAnsi="宋体" w:eastAsia="宋体" w:cs="Times New Roman"/>
                <w:color w:val="auto"/>
                <w:w w:val="99"/>
              </w:rPr>
              <w:t>压裂车2</w:t>
            </w:r>
          </w:p>
        </w:tc>
        <w:tc>
          <w:tcPr>
            <w:tcW w:w="482" w:type="pct"/>
            <w:shd w:val="clear" w:color="auto" w:fill="auto"/>
            <w:vAlign w:val="center"/>
          </w:tcPr>
          <w:p w14:paraId="19E0DCE1">
            <w:pPr>
              <w:jc w:val="center"/>
              <w:rPr>
                <w:rFonts w:ascii="宋体" w:hAnsi="宋体" w:eastAsia="宋体" w:cs="Times New Roman"/>
                <w:snapToGrid w:val="0"/>
                <w:color w:val="auto"/>
                <w:w w:val="99"/>
              </w:rPr>
            </w:pPr>
            <w:r>
              <w:rPr>
                <w:rFonts w:ascii="宋体" w:hAnsi="宋体" w:eastAsia="宋体" w:cs="Times New Roman"/>
                <w:snapToGrid w:val="0"/>
                <w:color w:val="auto"/>
                <w:w w:val="99"/>
              </w:rPr>
              <w:t>34.2</w:t>
            </w:r>
          </w:p>
        </w:tc>
        <w:tc>
          <w:tcPr>
            <w:tcW w:w="536" w:type="pct"/>
            <w:shd w:val="clear" w:color="auto" w:fill="auto"/>
            <w:vAlign w:val="center"/>
          </w:tcPr>
          <w:p w14:paraId="6286509E">
            <w:pPr>
              <w:jc w:val="center"/>
              <w:rPr>
                <w:rFonts w:ascii="宋体" w:hAnsi="宋体" w:eastAsia="宋体" w:cs="Times New Roman"/>
                <w:color w:val="auto"/>
                <w:w w:val="99"/>
              </w:rPr>
            </w:pPr>
            <w:r>
              <w:rPr>
                <w:rFonts w:ascii="宋体" w:hAnsi="宋体" w:eastAsia="宋体" w:cs="Times New Roman"/>
                <w:color w:val="auto"/>
                <w:w w:val="99"/>
              </w:rPr>
              <w:t>59.57</w:t>
            </w:r>
          </w:p>
        </w:tc>
        <w:tc>
          <w:tcPr>
            <w:tcW w:w="547" w:type="pct"/>
            <w:shd w:val="clear" w:color="auto" w:fill="auto"/>
            <w:vAlign w:val="center"/>
          </w:tcPr>
          <w:p w14:paraId="55CFB608">
            <w:pPr>
              <w:jc w:val="center"/>
              <w:rPr>
                <w:rFonts w:ascii="宋体" w:hAnsi="宋体" w:eastAsia="宋体" w:cs="Times New Roman"/>
                <w:snapToGrid w:val="0"/>
                <w:color w:val="auto"/>
                <w:w w:val="99"/>
              </w:rPr>
            </w:pPr>
            <w:r>
              <w:rPr>
                <w:rFonts w:ascii="宋体" w:hAnsi="宋体" w:eastAsia="宋体" w:cs="Times New Roman"/>
                <w:snapToGrid w:val="0"/>
                <w:color w:val="auto"/>
                <w:w w:val="99"/>
              </w:rPr>
              <w:t>1.5</w:t>
            </w:r>
          </w:p>
        </w:tc>
        <w:tc>
          <w:tcPr>
            <w:tcW w:w="704" w:type="pct"/>
            <w:shd w:val="clear" w:color="auto" w:fill="auto"/>
            <w:vAlign w:val="center"/>
          </w:tcPr>
          <w:p w14:paraId="1C873BAE">
            <w:pPr>
              <w:jc w:val="center"/>
              <w:rPr>
                <w:rFonts w:ascii="宋体" w:hAnsi="宋体" w:eastAsia="宋体" w:cs="Times New Roman"/>
                <w:color w:val="auto"/>
                <w:w w:val="99"/>
              </w:rPr>
            </w:pPr>
            <w:r>
              <w:rPr>
                <w:rFonts w:ascii="宋体" w:hAnsi="宋体" w:eastAsia="宋体" w:cs="Times New Roman"/>
                <w:color w:val="auto"/>
                <w:w w:val="99"/>
              </w:rPr>
              <w:t>75</w:t>
            </w:r>
          </w:p>
        </w:tc>
        <w:tc>
          <w:tcPr>
            <w:tcW w:w="939" w:type="pct"/>
            <w:vMerge w:val="continue"/>
            <w:shd w:val="clear" w:color="auto" w:fill="auto"/>
            <w:vAlign w:val="center"/>
          </w:tcPr>
          <w:p w14:paraId="0B0955D6">
            <w:pPr>
              <w:jc w:val="center"/>
              <w:rPr>
                <w:rFonts w:ascii="宋体" w:hAnsi="宋体" w:eastAsia="宋体" w:cs="Times New Roman"/>
                <w:color w:val="auto"/>
                <w:w w:val="99"/>
              </w:rPr>
            </w:pPr>
          </w:p>
        </w:tc>
        <w:tc>
          <w:tcPr>
            <w:tcW w:w="778" w:type="pct"/>
            <w:vMerge w:val="continue"/>
            <w:shd w:val="clear" w:color="auto" w:fill="auto"/>
            <w:vAlign w:val="center"/>
          </w:tcPr>
          <w:p w14:paraId="002E9B22">
            <w:pPr>
              <w:jc w:val="center"/>
              <w:rPr>
                <w:rFonts w:ascii="宋体" w:hAnsi="宋体" w:eastAsia="宋体" w:cs="Times New Roman"/>
                <w:color w:val="auto"/>
                <w:w w:val="99"/>
              </w:rPr>
            </w:pPr>
          </w:p>
        </w:tc>
      </w:tr>
      <w:tr w14:paraId="3500D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 w:type="pct"/>
            <w:shd w:val="clear" w:color="auto" w:fill="auto"/>
            <w:vAlign w:val="center"/>
          </w:tcPr>
          <w:p w14:paraId="463F2F07">
            <w:pPr>
              <w:jc w:val="center"/>
              <w:rPr>
                <w:rFonts w:ascii="宋体" w:hAnsi="宋体" w:eastAsia="宋体" w:cs="Times New Roman"/>
                <w:color w:val="auto"/>
                <w:w w:val="99"/>
              </w:rPr>
            </w:pPr>
            <w:r>
              <w:rPr>
                <w:rFonts w:ascii="宋体" w:hAnsi="宋体" w:eastAsia="宋体" w:cs="Times New Roman"/>
                <w:color w:val="auto"/>
                <w:w w:val="99"/>
              </w:rPr>
              <w:t>3</w:t>
            </w:r>
          </w:p>
        </w:tc>
        <w:tc>
          <w:tcPr>
            <w:tcW w:w="670" w:type="pct"/>
            <w:shd w:val="clear" w:color="auto" w:fill="auto"/>
            <w:vAlign w:val="center"/>
          </w:tcPr>
          <w:p w14:paraId="00FBEB0E">
            <w:pPr>
              <w:jc w:val="center"/>
              <w:rPr>
                <w:rFonts w:ascii="宋体" w:hAnsi="宋体" w:eastAsia="宋体" w:cs="Times New Roman"/>
                <w:snapToGrid w:val="0"/>
                <w:color w:val="auto"/>
                <w:w w:val="99"/>
              </w:rPr>
            </w:pPr>
            <w:r>
              <w:rPr>
                <w:rFonts w:ascii="宋体" w:hAnsi="宋体" w:eastAsia="宋体" w:cs="Times New Roman"/>
                <w:snapToGrid w:val="0"/>
                <w:color w:val="auto"/>
                <w:w w:val="99"/>
              </w:rPr>
              <w:t>压裂车3</w:t>
            </w:r>
          </w:p>
        </w:tc>
        <w:tc>
          <w:tcPr>
            <w:tcW w:w="482" w:type="pct"/>
            <w:shd w:val="clear" w:color="auto" w:fill="auto"/>
            <w:vAlign w:val="center"/>
          </w:tcPr>
          <w:p w14:paraId="5B753706">
            <w:pPr>
              <w:jc w:val="center"/>
              <w:rPr>
                <w:rFonts w:ascii="宋体" w:hAnsi="宋体" w:eastAsia="宋体" w:cs="Times New Roman"/>
                <w:snapToGrid w:val="0"/>
                <w:color w:val="auto"/>
                <w:w w:val="99"/>
              </w:rPr>
            </w:pPr>
            <w:r>
              <w:rPr>
                <w:rFonts w:ascii="宋体" w:hAnsi="宋体" w:eastAsia="宋体" w:cs="Times New Roman"/>
                <w:snapToGrid w:val="0"/>
                <w:color w:val="auto"/>
                <w:w w:val="99"/>
              </w:rPr>
              <w:t>34.2</w:t>
            </w:r>
          </w:p>
        </w:tc>
        <w:tc>
          <w:tcPr>
            <w:tcW w:w="536" w:type="pct"/>
            <w:shd w:val="clear" w:color="auto" w:fill="auto"/>
            <w:vAlign w:val="center"/>
          </w:tcPr>
          <w:p w14:paraId="3ACCD133">
            <w:pPr>
              <w:jc w:val="center"/>
              <w:rPr>
                <w:rFonts w:ascii="宋体" w:hAnsi="宋体" w:eastAsia="宋体" w:cs="Times New Roman"/>
                <w:snapToGrid w:val="0"/>
                <w:color w:val="auto"/>
                <w:w w:val="99"/>
              </w:rPr>
            </w:pPr>
            <w:r>
              <w:rPr>
                <w:rFonts w:ascii="宋体" w:hAnsi="宋体" w:eastAsia="宋体" w:cs="Times New Roman"/>
                <w:snapToGrid w:val="0"/>
                <w:color w:val="auto"/>
                <w:w w:val="99"/>
              </w:rPr>
              <w:t>51.8</w:t>
            </w:r>
          </w:p>
        </w:tc>
        <w:tc>
          <w:tcPr>
            <w:tcW w:w="547" w:type="pct"/>
            <w:shd w:val="clear" w:color="auto" w:fill="auto"/>
            <w:vAlign w:val="center"/>
          </w:tcPr>
          <w:p w14:paraId="5E8265AC">
            <w:pPr>
              <w:jc w:val="center"/>
              <w:rPr>
                <w:rFonts w:ascii="宋体" w:hAnsi="宋体" w:eastAsia="宋体" w:cs="Times New Roman"/>
                <w:snapToGrid w:val="0"/>
                <w:color w:val="auto"/>
                <w:w w:val="99"/>
              </w:rPr>
            </w:pPr>
            <w:r>
              <w:rPr>
                <w:rFonts w:ascii="宋体" w:hAnsi="宋体" w:eastAsia="宋体" w:cs="Times New Roman"/>
                <w:snapToGrid w:val="0"/>
                <w:color w:val="auto"/>
                <w:w w:val="99"/>
              </w:rPr>
              <w:t>1.5</w:t>
            </w:r>
          </w:p>
        </w:tc>
        <w:tc>
          <w:tcPr>
            <w:tcW w:w="704" w:type="pct"/>
            <w:shd w:val="clear" w:color="auto" w:fill="auto"/>
            <w:vAlign w:val="center"/>
          </w:tcPr>
          <w:p w14:paraId="4B8350A6">
            <w:pPr>
              <w:jc w:val="center"/>
              <w:rPr>
                <w:rFonts w:ascii="宋体" w:hAnsi="宋体" w:eastAsia="宋体" w:cs="Times New Roman"/>
                <w:snapToGrid w:val="0"/>
                <w:color w:val="auto"/>
                <w:w w:val="99"/>
              </w:rPr>
            </w:pPr>
            <w:r>
              <w:rPr>
                <w:rFonts w:ascii="宋体" w:hAnsi="宋体" w:eastAsia="宋体" w:cs="Times New Roman"/>
                <w:snapToGrid w:val="0"/>
                <w:color w:val="auto"/>
                <w:w w:val="99"/>
              </w:rPr>
              <w:t>75</w:t>
            </w:r>
          </w:p>
        </w:tc>
        <w:tc>
          <w:tcPr>
            <w:tcW w:w="939" w:type="pct"/>
            <w:vMerge w:val="continue"/>
            <w:shd w:val="clear" w:color="auto" w:fill="auto"/>
            <w:vAlign w:val="center"/>
          </w:tcPr>
          <w:p w14:paraId="07B9CFFE">
            <w:pPr>
              <w:jc w:val="center"/>
              <w:rPr>
                <w:rFonts w:ascii="宋体" w:hAnsi="宋体" w:eastAsia="宋体" w:cs="Times New Roman"/>
                <w:snapToGrid w:val="0"/>
                <w:color w:val="auto"/>
                <w:w w:val="99"/>
              </w:rPr>
            </w:pPr>
          </w:p>
        </w:tc>
        <w:tc>
          <w:tcPr>
            <w:tcW w:w="778" w:type="pct"/>
            <w:vMerge w:val="continue"/>
            <w:shd w:val="clear" w:color="auto" w:fill="auto"/>
            <w:vAlign w:val="center"/>
          </w:tcPr>
          <w:p w14:paraId="7E6CF506">
            <w:pPr>
              <w:jc w:val="center"/>
              <w:rPr>
                <w:rFonts w:ascii="宋体" w:hAnsi="宋体" w:eastAsia="宋体" w:cs="Times New Roman"/>
                <w:snapToGrid w:val="0"/>
                <w:color w:val="auto"/>
                <w:w w:val="99"/>
              </w:rPr>
            </w:pPr>
          </w:p>
        </w:tc>
      </w:tr>
      <w:tr w14:paraId="70762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 w:type="pct"/>
            <w:shd w:val="clear" w:color="auto" w:fill="auto"/>
            <w:vAlign w:val="center"/>
          </w:tcPr>
          <w:p w14:paraId="7C7A8636">
            <w:pPr>
              <w:jc w:val="center"/>
              <w:rPr>
                <w:rFonts w:ascii="宋体" w:hAnsi="宋体" w:eastAsia="宋体" w:cs="Times New Roman"/>
                <w:color w:val="auto"/>
                <w:w w:val="99"/>
              </w:rPr>
            </w:pPr>
            <w:r>
              <w:rPr>
                <w:rFonts w:ascii="宋体" w:hAnsi="宋体" w:eastAsia="宋体" w:cs="Times New Roman"/>
                <w:color w:val="auto"/>
                <w:w w:val="99"/>
              </w:rPr>
              <w:t>4</w:t>
            </w:r>
          </w:p>
        </w:tc>
        <w:tc>
          <w:tcPr>
            <w:tcW w:w="670" w:type="pct"/>
            <w:shd w:val="clear" w:color="auto" w:fill="auto"/>
            <w:vAlign w:val="center"/>
          </w:tcPr>
          <w:p w14:paraId="037BB890">
            <w:pPr>
              <w:jc w:val="center"/>
              <w:rPr>
                <w:rFonts w:ascii="宋体" w:hAnsi="宋体" w:eastAsia="宋体" w:cs="Times New Roman"/>
                <w:snapToGrid w:val="0"/>
                <w:color w:val="auto"/>
                <w:w w:val="99"/>
              </w:rPr>
            </w:pPr>
            <w:r>
              <w:rPr>
                <w:rFonts w:ascii="宋体" w:hAnsi="宋体" w:eastAsia="宋体" w:cs="Times New Roman"/>
                <w:snapToGrid w:val="0"/>
                <w:color w:val="auto"/>
                <w:w w:val="99"/>
              </w:rPr>
              <w:t>压裂车4</w:t>
            </w:r>
          </w:p>
        </w:tc>
        <w:tc>
          <w:tcPr>
            <w:tcW w:w="482" w:type="pct"/>
            <w:shd w:val="clear" w:color="auto" w:fill="auto"/>
            <w:vAlign w:val="center"/>
          </w:tcPr>
          <w:p w14:paraId="3C641201">
            <w:pPr>
              <w:jc w:val="center"/>
              <w:rPr>
                <w:rFonts w:ascii="宋体" w:hAnsi="宋体" w:eastAsia="宋体" w:cs="Times New Roman"/>
                <w:snapToGrid w:val="0"/>
                <w:color w:val="auto"/>
                <w:w w:val="99"/>
              </w:rPr>
            </w:pPr>
            <w:r>
              <w:rPr>
                <w:rFonts w:ascii="宋体" w:hAnsi="宋体" w:eastAsia="宋体" w:cs="Times New Roman"/>
                <w:snapToGrid w:val="0"/>
                <w:color w:val="auto"/>
                <w:w w:val="99"/>
              </w:rPr>
              <w:t>33.34</w:t>
            </w:r>
          </w:p>
        </w:tc>
        <w:tc>
          <w:tcPr>
            <w:tcW w:w="536" w:type="pct"/>
            <w:shd w:val="clear" w:color="auto" w:fill="auto"/>
            <w:vAlign w:val="center"/>
          </w:tcPr>
          <w:p w14:paraId="661371D9">
            <w:pPr>
              <w:jc w:val="center"/>
              <w:rPr>
                <w:rFonts w:ascii="宋体" w:hAnsi="宋体" w:eastAsia="宋体" w:cs="Times New Roman"/>
                <w:snapToGrid w:val="0"/>
                <w:color w:val="auto"/>
                <w:w w:val="99"/>
              </w:rPr>
            </w:pPr>
            <w:r>
              <w:rPr>
                <w:rFonts w:ascii="宋体" w:hAnsi="宋体" w:eastAsia="宋体" w:cs="Times New Roman"/>
                <w:snapToGrid w:val="0"/>
                <w:color w:val="auto"/>
                <w:w w:val="99"/>
              </w:rPr>
              <w:t>43.33</w:t>
            </w:r>
          </w:p>
        </w:tc>
        <w:tc>
          <w:tcPr>
            <w:tcW w:w="547" w:type="pct"/>
            <w:shd w:val="clear" w:color="auto" w:fill="auto"/>
            <w:vAlign w:val="center"/>
          </w:tcPr>
          <w:p w14:paraId="13038899">
            <w:pPr>
              <w:jc w:val="center"/>
              <w:rPr>
                <w:rFonts w:ascii="宋体" w:hAnsi="宋体" w:eastAsia="宋体" w:cs="Times New Roman"/>
                <w:snapToGrid w:val="0"/>
                <w:color w:val="auto"/>
                <w:w w:val="99"/>
              </w:rPr>
            </w:pPr>
            <w:r>
              <w:rPr>
                <w:rFonts w:ascii="宋体" w:hAnsi="宋体" w:eastAsia="宋体" w:cs="Times New Roman"/>
                <w:snapToGrid w:val="0"/>
                <w:color w:val="auto"/>
                <w:w w:val="99"/>
              </w:rPr>
              <w:t>1.5</w:t>
            </w:r>
          </w:p>
        </w:tc>
        <w:tc>
          <w:tcPr>
            <w:tcW w:w="704" w:type="pct"/>
            <w:shd w:val="clear" w:color="auto" w:fill="auto"/>
            <w:vAlign w:val="center"/>
          </w:tcPr>
          <w:p w14:paraId="099C053D">
            <w:pPr>
              <w:jc w:val="center"/>
              <w:rPr>
                <w:rFonts w:ascii="宋体" w:hAnsi="宋体" w:eastAsia="宋体" w:cs="Times New Roman"/>
                <w:snapToGrid w:val="0"/>
                <w:color w:val="auto"/>
                <w:w w:val="99"/>
              </w:rPr>
            </w:pPr>
            <w:r>
              <w:rPr>
                <w:rFonts w:ascii="宋体" w:hAnsi="宋体" w:eastAsia="宋体" w:cs="Times New Roman"/>
                <w:snapToGrid w:val="0"/>
                <w:color w:val="auto"/>
                <w:w w:val="99"/>
              </w:rPr>
              <w:t>75</w:t>
            </w:r>
          </w:p>
        </w:tc>
        <w:tc>
          <w:tcPr>
            <w:tcW w:w="939" w:type="pct"/>
            <w:vMerge w:val="continue"/>
            <w:shd w:val="clear" w:color="auto" w:fill="auto"/>
            <w:vAlign w:val="center"/>
          </w:tcPr>
          <w:p w14:paraId="4181BCB8">
            <w:pPr>
              <w:jc w:val="center"/>
              <w:rPr>
                <w:rFonts w:ascii="宋体" w:hAnsi="宋体" w:eastAsia="宋体" w:cs="Times New Roman"/>
                <w:snapToGrid w:val="0"/>
                <w:color w:val="auto"/>
                <w:w w:val="99"/>
              </w:rPr>
            </w:pPr>
          </w:p>
        </w:tc>
        <w:tc>
          <w:tcPr>
            <w:tcW w:w="778" w:type="pct"/>
            <w:vMerge w:val="continue"/>
            <w:shd w:val="clear" w:color="auto" w:fill="auto"/>
            <w:vAlign w:val="center"/>
          </w:tcPr>
          <w:p w14:paraId="2931A43B">
            <w:pPr>
              <w:jc w:val="center"/>
              <w:rPr>
                <w:rFonts w:ascii="宋体" w:hAnsi="宋体" w:eastAsia="宋体" w:cs="Times New Roman"/>
                <w:snapToGrid w:val="0"/>
                <w:color w:val="auto"/>
                <w:w w:val="99"/>
              </w:rPr>
            </w:pPr>
          </w:p>
        </w:tc>
      </w:tr>
      <w:tr w14:paraId="6290F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 w:type="pct"/>
            <w:shd w:val="clear" w:color="auto" w:fill="auto"/>
            <w:vAlign w:val="center"/>
          </w:tcPr>
          <w:p w14:paraId="7FB1D51F">
            <w:pPr>
              <w:jc w:val="center"/>
              <w:rPr>
                <w:rFonts w:ascii="宋体" w:hAnsi="宋体" w:eastAsia="宋体" w:cs="Times New Roman"/>
                <w:color w:val="auto"/>
                <w:w w:val="99"/>
              </w:rPr>
            </w:pPr>
            <w:r>
              <w:rPr>
                <w:rFonts w:ascii="宋体" w:hAnsi="宋体" w:eastAsia="宋体" w:cs="Times New Roman"/>
                <w:color w:val="auto"/>
                <w:w w:val="99"/>
              </w:rPr>
              <w:t>5</w:t>
            </w:r>
          </w:p>
        </w:tc>
        <w:tc>
          <w:tcPr>
            <w:tcW w:w="670" w:type="pct"/>
            <w:shd w:val="clear" w:color="auto" w:fill="auto"/>
            <w:vAlign w:val="center"/>
          </w:tcPr>
          <w:p w14:paraId="644A07A9">
            <w:pPr>
              <w:jc w:val="center"/>
              <w:rPr>
                <w:rFonts w:ascii="宋体" w:hAnsi="宋体" w:eastAsia="宋体" w:cs="Times New Roman"/>
                <w:color w:val="auto"/>
                <w:w w:val="99"/>
              </w:rPr>
            </w:pPr>
            <w:r>
              <w:rPr>
                <w:rFonts w:ascii="宋体" w:hAnsi="宋体" w:eastAsia="宋体" w:cs="Times New Roman"/>
                <w:color w:val="auto"/>
                <w:w w:val="99"/>
              </w:rPr>
              <w:t>混砂车1</w:t>
            </w:r>
          </w:p>
        </w:tc>
        <w:tc>
          <w:tcPr>
            <w:tcW w:w="482" w:type="pct"/>
            <w:shd w:val="clear" w:color="auto" w:fill="auto"/>
            <w:vAlign w:val="center"/>
          </w:tcPr>
          <w:p w14:paraId="0714D2E9">
            <w:pPr>
              <w:jc w:val="center"/>
              <w:rPr>
                <w:rFonts w:ascii="宋体" w:hAnsi="宋体" w:eastAsia="宋体" w:cs="Times New Roman"/>
                <w:snapToGrid w:val="0"/>
                <w:color w:val="auto"/>
                <w:w w:val="99"/>
              </w:rPr>
            </w:pPr>
            <w:r>
              <w:rPr>
                <w:rFonts w:ascii="宋体" w:hAnsi="宋体" w:eastAsia="宋体" w:cs="Times New Roman"/>
                <w:snapToGrid w:val="0"/>
                <w:color w:val="auto"/>
                <w:w w:val="99"/>
              </w:rPr>
              <w:t>53.9</w:t>
            </w:r>
          </w:p>
        </w:tc>
        <w:tc>
          <w:tcPr>
            <w:tcW w:w="536" w:type="pct"/>
            <w:shd w:val="clear" w:color="auto" w:fill="auto"/>
            <w:vAlign w:val="center"/>
          </w:tcPr>
          <w:p w14:paraId="44EBF96E">
            <w:pPr>
              <w:jc w:val="center"/>
              <w:rPr>
                <w:rFonts w:ascii="宋体" w:hAnsi="宋体" w:eastAsia="宋体" w:cs="Times New Roman"/>
                <w:color w:val="auto"/>
                <w:w w:val="99"/>
              </w:rPr>
            </w:pPr>
            <w:r>
              <w:rPr>
                <w:rFonts w:ascii="宋体" w:hAnsi="宋体" w:eastAsia="宋体" w:cs="Times New Roman"/>
                <w:color w:val="auto"/>
                <w:w w:val="99"/>
              </w:rPr>
              <w:t>61.3</w:t>
            </w:r>
          </w:p>
        </w:tc>
        <w:tc>
          <w:tcPr>
            <w:tcW w:w="547" w:type="pct"/>
            <w:shd w:val="clear" w:color="auto" w:fill="auto"/>
            <w:vAlign w:val="center"/>
          </w:tcPr>
          <w:p w14:paraId="2BCCC110">
            <w:pPr>
              <w:jc w:val="center"/>
              <w:rPr>
                <w:rFonts w:ascii="宋体" w:hAnsi="宋体" w:eastAsia="宋体" w:cs="Times New Roman"/>
                <w:snapToGrid w:val="0"/>
                <w:color w:val="auto"/>
                <w:w w:val="99"/>
              </w:rPr>
            </w:pPr>
            <w:r>
              <w:rPr>
                <w:rFonts w:ascii="宋体" w:hAnsi="宋体" w:eastAsia="宋体" w:cs="Times New Roman"/>
                <w:snapToGrid w:val="0"/>
                <w:color w:val="auto"/>
                <w:w w:val="99"/>
              </w:rPr>
              <w:t>1.5</w:t>
            </w:r>
          </w:p>
        </w:tc>
        <w:tc>
          <w:tcPr>
            <w:tcW w:w="704" w:type="pct"/>
            <w:shd w:val="clear" w:color="auto" w:fill="auto"/>
            <w:vAlign w:val="center"/>
          </w:tcPr>
          <w:p w14:paraId="69173CF4">
            <w:pPr>
              <w:jc w:val="center"/>
              <w:rPr>
                <w:rFonts w:ascii="宋体" w:hAnsi="宋体" w:eastAsia="宋体" w:cs="Times New Roman"/>
                <w:color w:val="auto"/>
                <w:w w:val="99"/>
              </w:rPr>
            </w:pPr>
            <w:r>
              <w:rPr>
                <w:rFonts w:ascii="宋体" w:hAnsi="宋体" w:eastAsia="宋体" w:cs="Times New Roman"/>
                <w:color w:val="auto"/>
                <w:w w:val="99"/>
              </w:rPr>
              <w:t>90</w:t>
            </w:r>
          </w:p>
        </w:tc>
        <w:tc>
          <w:tcPr>
            <w:tcW w:w="939" w:type="pct"/>
            <w:vMerge w:val="continue"/>
            <w:shd w:val="clear" w:color="auto" w:fill="auto"/>
            <w:vAlign w:val="center"/>
          </w:tcPr>
          <w:p w14:paraId="3B8A5B0C">
            <w:pPr>
              <w:jc w:val="center"/>
              <w:rPr>
                <w:rFonts w:ascii="宋体" w:hAnsi="宋体" w:eastAsia="宋体" w:cs="Times New Roman"/>
                <w:color w:val="auto"/>
                <w:w w:val="99"/>
              </w:rPr>
            </w:pPr>
          </w:p>
        </w:tc>
        <w:tc>
          <w:tcPr>
            <w:tcW w:w="778" w:type="pct"/>
            <w:vMerge w:val="continue"/>
            <w:shd w:val="clear" w:color="auto" w:fill="auto"/>
            <w:vAlign w:val="center"/>
          </w:tcPr>
          <w:p w14:paraId="45D39F3F">
            <w:pPr>
              <w:jc w:val="center"/>
              <w:rPr>
                <w:rFonts w:ascii="宋体" w:hAnsi="宋体" w:eastAsia="宋体" w:cs="Times New Roman"/>
                <w:color w:val="auto"/>
                <w:w w:val="99"/>
              </w:rPr>
            </w:pPr>
          </w:p>
        </w:tc>
      </w:tr>
      <w:tr w14:paraId="1E0FE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44" w:type="pct"/>
            <w:shd w:val="clear" w:color="auto" w:fill="auto"/>
            <w:vAlign w:val="center"/>
          </w:tcPr>
          <w:p w14:paraId="6F4A46F3">
            <w:pPr>
              <w:jc w:val="center"/>
              <w:rPr>
                <w:rFonts w:ascii="宋体" w:hAnsi="宋体" w:eastAsia="宋体" w:cs="Times New Roman"/>
                <w:color w:val="auto"/>
                <w:w w:val="99"/>
              </w:rPr>
            </w:pPr>
            <w:r>
              <w:rPr>
                <w:rFonts w:ascii="宋体" w:hAnsi="宋体" w:eastAsia="宋体" w:cs="Times New Roman"/>
                <w:color w:val="auto"/>
                <w:w w:val="99"/>
              </w:rPr>
              <w:t>6</w:t>
            </w:r>
          </w:p>
        </w:tc>
        <w:tc>
          <w:tcPr>
            <w:tcW w:w="670" w:type="pct"/>
            <w:shd w:val="clear" w:color="auto" w:fill="auto"/>
            <w:vAlign w:val="center"/>
          </w:tcPr>
          <w:p w14:paraId="0F90D230">
            <w:pPr>
              <w:jc w:val="center"/>
              <w:rPr>
                <w:rFonts w:ascii="宋体" w:hAnsi="宋体" w:eastAsia="宋体" w:cs="Times New Roman"/>
                <w:color w:val="auto"/>
                <w:w w:val="99"/>
              </w:rPr>
            </w:pPr>
            <w:r>
              <w:rPr>
                <w:rFonts w:ascii="宋体" w:hAnsi="宋体" w:eastAsia="宋体" w:cs="Times New Roman"/>
                <w:color w:val="auto"/>
                <w:w w:val="99"/>
              </w:rPr>
              <w:t>混砂车2</w:t>
            </w:r>
          </w:p>
        </w:tc>
        <w:tc>
          <w:tcPr>
            <w:tcW w:w="482" w:type="pct"/>
            <w:shd w:val="clear" w:color="auto" w:fill="auto"/>
            <w:vAlign w:val="center"/>
          </w:tcPr>
          <w:p w14:paraId="41DC434B">
            <w:pPr>
              <w:jc w:val="center"/>
              <w:rPr>
                <w:rFonts w:ascii="宋体" w:hAnsi="宋体" w:eastAsia="宋体" w:cs="Times New Roman"/>
                <w:snapToGrid w:val="0"/>
                <w:color w:val="auto"/>
                <w:w w:val="99"/>
              </w:rPr>
            </w:pPr>
            <w:r>
              <w:rPr>
                <w:rFonts w:ascii="宋体" w:hAnsi="宋体" w:eastAsia="宋体" w:cs="Times New Roman"/>
                <w:snapToGrid w:val="0"/>
                <w:color w:val="auto"/>
                <w:w w:val="99"/>
              </w:rPr>
              <w:t>53.56</w:t>
            </w:r>
          </w:p>
        </w:tc>
        <w:tc>
          <w:tcPr>
            <w:tcW w:w="536" w:type="pct"/>
            <w:shd w:val="clear" w:color="auto" w:fill="auto"/>
            <w:vAlign w:val="center"/>
          </w:tcPr>
          <w:p w14:paraId="3A0E7581">
            <w:pPr>
              <w:jc w:val="center"/>
              <w:rPr>
                <w:rFonts w:ascii="宋体" w:hAnsi="宋体" w:eastAsia="宋体" w:cs="Times New Roman"/>
                <w:color w:val="auto"/>
                <w:w w:val="99"/>
              </w:rPr>
            </w:pPr>
            <w:r>
              <w:rPr>
                <w:rFonts w:ascii="宋体" w:hAnsi="宋体" w:eastAsia="宋体" w:cs="Times New Roman"/>
                <w:color w:val="auto"/>
                <w:w w:val="99"/>
              </w:rPr>
              <w:t>49.9</w:t>
            </w:r>
          </w:p>
        </w:tc>
        <w:tc>
          <w:tcPr>
            <w:tcW w:w="547" w:type="pct"/>
            <w:shd w:val="clear" w:color="auto" w:fill="auto"/>
            <w:vAlign w:val="center"/>
          </w:tcPr>
          <w:p w14:paraId="57BEA6DC">
            <w:pPr>
              <w:jc w:val="center"/>
              <w:rPr>
                <w:rFonts w:ascii="宋体" w:hAnsi="宋体" w:eastAsia="宋体" w:cs="Times New Roman"/>
                <w:snapToGrid w:val="0"/>
                <w:color w:val="auto"/>
                <w:w w:val="99"/>
              </w:rPr>
            </w:pPr>
            <w:r>
              <w:rPr>
                <w:rFonts w:ascii="宋体" w:hAnsi="宋体" w:eastAsia="宋体" w:cs="Times New Roman"/>
                <w:snapToGrid w:val="0"/>
                <w:color w:val="auto"/>
                <w:w w:val="99"/>
              </w:rPr>
              <w:t>1.5</w:t>
            </w:r>
          </w:p>
        </w:tc>
        <w:tc>
          <w:tcPr>
            <w:tcW w:w="704" w:type="pct"/>
            <w:shd w:val="clear" w:color="auto" w:fill="auto"/>
            <w:vAlign w:val="center"/>
          </w:tcPr>
          <w:p w14:paraId="48142D53">
            <w:pPr>
              <w:jc w:val="center"/>
              <w:rPr>
                <w:rFonts w:ascii="宋体" w:hAnsi="宋体" w:eastAsia="宋体" w:cs="Times New Roman"/>
                <w:snapToGrid w:val="0"/>
                <w:color w:val="auto"/>
                <w:w w:val="99"/>
              </w:rPr>
            </w:pPr>
            <w:r>
              <w:rPr>
                <w:rFonts w:ascii="宋体" w:hAnsi="宋体" w:eastAsia="宋体" w:cs="Times New Roman"/>
                <w:snapToGrid w:val="0"/>
                <w:color w:val="auto"/>
                <w:w w:val="99"/>
              </w:rPr>
              <w:t>90</w:t>
            </w:r>
          </w:p>
        </w:tc>
        <w:tc>
          <w:tcPr>
            <w:tcW w:w="939" w:type="pct"/>
            <w:vMerge w:val="continue"/>
            <w:shd w:val="clear" w:color="auto" w:fill="auto"/>
            <w:vAlign w:val="center"/>
          </w:tcPr>
          <w:p w14:paraId="491B961A">
            <w:pPr>
              <w:jc w:val="center"/>
              <w:rPr>
                <w:rFonts w:ascii="宋体" w:hAnsi="宋体" w:eastAsia="宋体" w:cs="Times New Roman"/>
                <w:snapToGrid w:val="0"/>
                <w:color w:val="auto"/>
                <w:w w:val="99"/>
              </w:rPr>
            </w:pPr>
          </w:p>
        </w:tc>
        <w:tc>
          <w:tcPr>
            <w:tcW w:w="778" w:type="pct"/>
            <w:vMerge w:val="continue"/>
            <w:shd w:val="clear" w:color="auto" w:fill="auto"/>
            <w:vAlign w:val="center"/>
          </w:tcPr>
          <w:p w14:paraId="425A5231">
            <w:pPr>
              <w:jc w:val="center"/>
              <w:rPr>
                <w:rFonts w:ascii="宋体" w:hAnsi="宋体" w:eastAsia="宋体" w:cs="Times New Roman"/>
                <w:snapToGrid w:val="0"/>
                <w:color w:val="auto"/>
                <w:w w:val="99"/>
              </w:rPr>
            </w:pPr>
          </w:p>
        </w:tc>
      </w:tr>
    </w:tbl>
    <w:p w14:paraId="6321F7AF">
      <w:pPr>
        <w:jc w:val="center"/>
        <w:rPr>
          <w:rFonts w:ascii="宋体" w:hAnsi="宋体" w:eastAsia="宋体"/>
          <w:color w:val="auto"/>
        </w:rPr>
      </w:pPr>
    </w:p>
    <w:p w14:paraId="2927DE99">
      <w:pPr>
        <w:pStyle w:val="276"/>
        <w:widowControl w:val="0"/>
        <w:ind w:firstLine="480"/>
        <w:jc w:val="both"/>
        <w:rPr>
          <w:color w:val="auto"/>
        </w:rPr>
      </w:pPr>
      <w:r>
        <w:rPr>
          <w:rFonts w:hint="eastAsia"/>
          <w:color w:val="auto"/>
        </w:rPr>
        <w:t>（</w:t>
      </w:r>
      <w:r>
        <w:rPr>
          <w:color w:val="auto"/>
        </w:rPr>
        <w:t>2</w:t>
      </w:r>
      <w:r>
        <w:rPr>
          <w:rFonts w:hint="eastAsia"/>
          <w:color w:val="auto"/>
        </w:rPr>
        <w:t>）预测点设定</w:t>
      </w:r>
    </w:p>
    <w:p w14:paraId="79936E3E">
      <w:pPr>
        <w:pStyle w:val="276"/>
        <w:widowControl w:val="0"/>
        <w:ind w:firstLine="480"/>
        <w:jc w:val="both"/>
        <w:rPr>
          <w:color w:val="auto"/>
        </w:rPr>
      </w:pPr>
      <w:r>
        <w:rPr>
          <w:color w:val="auto"/>
          <w:kern w:val="2"/>
        </w:rPr>
        <w:t>距离本项目</w:t>
      </w:r>
      <w:r>
        <w:rPr>
          <w:rFonts w:hint="eastAsia"/>
          <w:color w:val="auto"/>
          <w:kern w:val="2"/>
        </w:rPr>
        <w:t>压裂</w:t>
      </w:r>
      <w:r>
        <w:rPr>
          <w:color w:val="auto"/>
          <w:kern w:val="2"/>
        </w:rPr>
        <w:t>井场场界最近的村屯保护目标为</w:t>
      </w:r>
      <w:r>
        <w:rPr>
          <w:rFonts w:hint="eastAsia"/>
          <w:color w:val="auto"/>
          <w:kern w:val="2"/>
        </w:rPr>
        <w:t>源</w:t>
      </w:r>
      <w:r>
        <w:rPr>
          <w:color w:val="auto"/>
          <w:kern w:val="2"/>
        </w:rPr>
        <w:t>1011井场</w:t>
      </w:r>
      <w:r>
        <w:rPr>
          <w:color w:val="auto"/>
          <w:szCs w:val="21"/>
        </w:rPr>
        <w:t>施工</w:t>
      </w:r>
      <w:r>
        <w:rPr>
          <w:color w:val="auto"/>
          <w:kern w:val="2"/>
        </w:rPr>
        <w:t>场界西侧140m的刘兽医屯</w:t>
      </w:r>
      <w:r>
        <w:rPr>
          <w:rFonts w:hint="eastAsia"/>
          <w:color w:val="auto"/>
        </w:rPr>
        <w:t>，本次选择</w:t>
      </w:r>
      <w:r>
        <w:rPr>
          <w:rFonts w:hint="eastAsia"/>
          <w:color w:val="auto"/>
          <w:kern w:val="2"/>
        </w:rPr>
        <w:t>源</w:t>
      </w:r>
      <w:r>
        <w:rPr>
          <w:color w:val="auto"/>
          <w:kern w:val="2"/>
        </w:rPr>
        <w:t>1011井场</w:t>
      </w:r>
      <w:r>
        <w:rPr>
          <w:rFonts w:hint="eastAsia"/>
          <w:color w:val="auto"/>
        </w:rPr>
        <w:t>进行压裂期间噪声预测。</w:t>
      </w:r>
    </w:p>
    <w:p w14:paraId="27F9387C">
      <w:pPr>
        <w:pStyle w:val="276"/>
        <w:widowControl w:val="0"/>
        <w:ind w:firstLine="480"/>
        <w:jc w:val="both"/>
        <w:rPr>
          <w:color w:val="auto"/>
        </w:rPr>
      </w:pPr>
      <w:r>
        <w:rPr>
          <w:rFonts w:hint="eastAsia"/>
          <w:color w:val="auto"/>
        </w:rPr>
        <w:t>（</w:t>
      </w:r>
      <w:r>
        <w:rPr>
          <w:color w:val="auto"/>
        </w:rPr>
        <w:t>3</w:t>
      </w:r>
      <w:r>
        <w:rPr>
          <w:rFonts w:hint="eastAsia"/>
          <w:color w:val="auto"/>
        </w:rPr>
        <w:t>）压裂噪声影响预测分析</w:t>
      </w:r>
    </w:p>
    <w:p w14:paraId="1EF8BF8C">
      <w:pPr>
        <w:pStyle w:val="276"/>
        <w:widowControl w:val="0"/>
        <w:ind w:firstLine="480"/>
        <w:jc w:val="both"/>
        <w:rPr>
          <w:color w:val="auto"/>
        </w:rPr>
      </w:pPr>
      <w:r>
        <w:rPr>
          <w:rFonts w:hint="eastAsia"/>
          <w:color w:val="auto"/>
        </w:rPr>
        <w:t>压裂施工井场厂界噪声预测结果见</w:t>
      </w:r>
      <w:r>
        <w:rPr>
          <w:rFonts w:hint="eastAsia"/>
          <w:color w:val="auto"/>
          <w:lang w:val="en-US" w:eastAsia="zh-CN"/>
        </w:rPr>
        <w:t>5.4-3</w:t>
      </w:r>
      <w:r>
        <w:rPr>
          <w:color w:val="auto"/>
          <w:kern w:val="2"/>
        </w:rPr>
        <w:t>，</w:t>
      </w:r>
      <w:r>
        <w:rPr>
          <w:rFonts w:hint="eastAsia"/>
          <w:color w:val="auto"/>
        </w:rPr>
        <w:t>压裂</w:t>
      </w:r>
      <w:r>
        <w:rPr>
          <w:color w:val="auto"/>
          <w:kern w:val="2"/>
        </w:rPr>
        <w:t>工程噪声贡献值预测图见图 5.4-</w:t>
      </w:r>
      <w:r>
        <w:rPr>
          <w:rFonts w:hint="eastAsia"/>
          <w:color w:val="auto"/>
          <w:kern w:val="2"/>
          <w:lang w:val="en-US" w:eastAsia="zh-CN"/>
        </w:rPr>
        <w:t>2</w:t>
      </w:r>
      <w:r>
        <w:rPr>
          <w:rFonts w:hint="eastAsia"/>
          <w:color w:val="auto"/>
          <w:kern w:val="2"/>
        </w:rPr>
        <w:t>。</w:t>
      </w:r>
      <w:r>
        <w:rPr>
          <w:rFonts w:hint="eastAsia"/>
          <w:color w:val="auto"/>
        </w:rPr>
        <w:t>由预测结果可知，压裂施工期间井场厂界夜间不满足《建筑施工场界环境噪声排放标准》（GB 12523-2011）中的标准限值（夜间55dB（A））要求，</w:t>
      </w:r>
      <w:r>
        <w:rPr>
          <w:rFonts w:hint="eastAsia"/>
          <w:color w:val="auto"/>
          <w:highlight w:val="yellow"/>
        </w:rPr>
        <w:t>敏感目标处</w:t>
      </w:r>
      <w:r>
        <w:rPr>
          <w:color w:val="auto"/>
          <w:kern w:val="2"/>
        </w:rPr>
        <w:t>刘兽医屯</w:t>
      </w:r>
      <w:r>
        <w:rPr>
          <w:rFonts w:hint="eastAsia"/>
          <w:color w:val="auto"/>
          <w:highlight w:val="yellow"/>
        </w:rPr>
        <w:t>昼间</w:t>
      </w:r>
      <w:r>
        <w:rPr>
          <w:rFonts w:hint="eastAsia"/>
          <w:color w:val="auto"/>
          <w:highlight w:val="yellow"/>
          <w:lang w:eastAsia="zh-CN"/>
        </w:rPr>
        <w:t>、</w:t>
      </w:r>
      <w:r>
        <w:rPr>
          <w:rFonts w:hint="eastAsia"/>
          <w:color w:val="auto"/>
          <w:highlight w:val="yellow"/>
        </w:rPr>
        <w:t>夜间</w:t>
      </w:r>
      <w:r>
        <w:rPr>
          <w:rFonts w:hint="eastAsia"/>
          <w:color w:val="auto"/>
          <w:highlight w:val="yellow"/>
          <w:lang w:val="en-US" w:eastAsia="zh-CN"/>
        </w:rPr>
        <w:t>噪声</w:t>
      </w:r>
      <w:r>
        <w:rPr>
          <w:rFonts w:hint="eastAsia"/>
          <w:color w:val="auto"/>
          <w:highlight w:val="yellow"/>
        </w:rPr>
        <w:t>满足《声环境质量标准》（</w:t>
      </w:r>
      <w:r>
        <w:rPr>
          <w:color w:val="auto"/>
          <w:highlight w:val="yellow"/>
        </w:rPr>
        <w:t>GB 3096-2008）中限值要求</w:t>
      </w:r>
      <w:r>
        <w:rPr>
          <w:rFonts w:hint="eastAsia"/>
          <w:color w:val="auto"/>
        </w:rPr>
        <w:t>。</w:t>
      </w:r>
    </w:p>
    <w:p w14:paraId="47D910CF">
      <w:pPr>
        <w:pStyle w:val="276"/>
        <w:widowControl w:val="0"/>
        <w:ind w:firstLine="480"/>
        <w:jc w:val="both"/>
        <w:rPr>
          <w:color w:val="auto"/>
        </w:rPr>
      </w:pPr>
      <w:r>
        <w:rPr>
          <w:rFonts w:hint="eastAsia"/>
          <w:color w:val="auto"/>
        </w:rPr>
        <w:t>本项目</w:t>
      </w:r>
      <w:r>
        <w:rPr>
          <w:rFonts w:hint="eastAsia"/>
          <w:color w:val="auto"/>
          <w:kern w:val="2"/>
        </w:rPr>
        <w:t>源</w:t>
      </w:r>
      <w:r>
        <w:rPr>
          <w:color w:val="auto"/>
          <w:kern w:val="2"/>
        </w:rPr>
        <w:t>1011井场西侧140m</w:t>
      </w:r>
      <w:r>
        <w:rPr>
          <w:rFonts w:hint="eastAsia"/>
          <w:color w:val="auto"/>
          <w:kern w:val="2"/>
        </w:rPr>
        <w:t>处存在居民区</w:t>
      </w:r>
      <w:r>
        <w:rPr>
          <w:color w:val="auto"/>
          <w:kern w:val="2"/>
        </w:rPr>
        <w:t>刘兽医屯</w:t>
      </w:r>
      <w:r>
        <w:rPr>
          <w:rFonts w:hint="eastAsia"/>
          <w:color w:val="auto"/>
        </w:rPr>
        <w:t>，建议采取以下降噪措施：</w:t>
      </w:r>
    </w:p>
    <w:p w14:paraId="6D66C2D1">
      <w:pPr>
        <w:pStyle w:val="276"/>
        <w:widowControl w:val="0"/>
        <w:ind w:firstLine="480"/>
        <w:jc w:val="both"/>
        <w:rPr>
          <w:color w:val="auto"/>
        </w:rPr>
      </w:pPr>
      <w:r>
        <w:rPr>
          <w:rFonts w:hint="eastAsia"/>
          <w:color w:val="auto"/>
        </w:rPr>
        <w:t>（1）选择低噪声设备，泵类设置减振基础，连接处采用软胶皮等。</w:t>
      </w:r>
    </w:p>
    <w:p w14:paraId="1A4CC22A">
      <w:pPr>
        <w:pStyle w:val="276"/>
        <w:widowControl w:val="0"/>
        <w:ind w:firstLine="480"/>
        <w:jc w:val="both"/>
        <w:rPr>
          <w:color w:val="auto"/>
        </w:rPr>
      </w:pPr>
      <w:r>
        <w:rPr>
          <w:rFonts w:hint="eastAsia"/>
          <w:color w:val="auto"/>
        </w:rPr>
        <w:t>（2）加强设备维护与保养，紧固松动的螺丝和部件，使用高品质的润滑油可在一定程度上减小噪声。参考《作业通井机噪声污染调查与防治对策研究》（山东环境技术交流，2003年第3期）可知，机械本身的调整、改进和保养可将噪声值减少10dB（A）以上。</w:t>
      </w:r>
    </w:p>
    <w:p w14:paraId="0DC19104">
      <w:pPr>
        <w:pStyle w:val="276"/>
        <w:widowControl w:val="0"/>
        <w:ind w:firstLine="480"/>
        <w:jc w:val="both"/>
        <w:rPr>
          <w:color w:val="auto"/>
        </w:rPr>
      </w:pPr>
      <w:r>
        <w:rPr>
          <w:rFonts w:hint="eastAsia"/>
          <w:color w:val="auto"/>
        </w:rPr>
        <w:t>（3</w:t>
      </w:r>
      <w:r>
        <w:rPr>
          <w:color w:val="auto"/>
        </w:rPr>
        <w:t>）</w:t>
      </w:r>
      <w:r>
        <w:rPr>
          <w:rFonts w:hint="eastAsia"/>
          <w:color w:val="auto"/>
        </w:rPr>
        <w:t>压裂作业等高噪声施工应安排在昼间进行，禁止夜间作业。</w:t>
      </w:r>
    </w:p>
    <w:p w14:paraId="55E4EC11">
      <w:pPr>
        <w:pStyle w:val="276"/>
        <w:widowControl w:val="0"/>
        <w:ind w:firstLine="480"/>
        <w:jc w:val="both"/>
        <w:rPr>
          <w:color w:val="auto"/>
        </w:rPr>
      </w:pPr>
      <w:r>
        <w:rPr>
          <w:rFonts w:hint="eastAsia"/>
          <w:color w:val="auto"/>
        </w:rPr>
        <w:t>（4）压裂车组等大型车辆运输线路途经村屯时，车辆与临街民房距离约</w:t>
      </w:r>
      <w:r>
        <w:rPr>
          <w:color w:val="auto"/>
        </w:rPr>
        <w:t>10～20m，车辆途经居民区过程中应减速慢行，非特殊情况不鸣笛</w:t>
      </w:r>
      <w:r>
        <w:rPr>
          <w:rFonts w:hint="eastAsia"/>
          <w:color w:val="auto"/>
        </w:rPr>
        <w:t>。</w:t>
      </w:r>
    </w:p>
    <w:p w14:paraId="4A41290F">
      <w:pPr>
        <w:pStyle w:val="276"/>
        <w:widowControl w:val="0"/>
        <w:ind w:firstLine="480"/>
        <w:jc w:val="both"/>
        <w:rPr>
          <w:color w:val="auto"/>
        </w:rPr>
      </w:pPr>
      <w:r>
        <w:rPr>
          <w:rFonts w:hint="eastAsia"/>
          <w:color w:val="auto"/>
        </w:rPr>
        <w:t>经过采取以上措施后，施工期井场对周围环境影响可接受。另外，本项目施工期噪声影响是暂时的且影响较小，随着施工期的结束施工噪声将消失，噪声影响在可接受范围内。</w:t>
      </w:r>
    </w:p>
    <w:p w14:paraId="40D0F8F8">
      <w:pPr>
        <w:adjustRightInd w:val="0"/>
        <w:snapToGrid w:val="0"/>
        <w:spacing w:before="163" w:beforeLines="50" w:line="360" w:lineRule="auto"/>
        <w:jc w:val="center"/>
        <w:rPr>
          <w:rFonts w:ascii="宋体" w:hAnsi="宋体" w:eastAsia="宋体" w:cs="黑体"/>
          <w:snapToGrid w:val="0"/>
          <w:color w:val="auto"/>
          <w:spacing w:val="-2"/>
        </w:rPr>
      </w:pPr>
      <w:r>
        <w:rPr>
          <w:rFonts w:ascii="宋体" w:hAnsi="宋体" w:eastAsia="宋体"/>
          <w:color w:val="auto"/>
          <w:szCs w:val="20"/>
        </w:rPr>
        <w:t>表</w:t>
      </w:r>
      <w:r>
        <w:rPr>
          <w:rFonts w:hint="eastAsia" w:ascii="宋体" w:hAnsi="宋体" w:eastAsia="宋体"/>
          <w:color w:val="auto"/>
          <w:szCs w:val="20"/>
        </w:rPr>
        <w:t xml:space="preserve"> </w:t>
      </w:r>
      <w:r>
        <w:rPr>
          <w:rFonts w:ascii="宋体" w:hAnsi="宋体" w:eastAsia="宋体"/>
          <w:color w:val="auto"/>
          <w:szCs w:val="20"/>
        </w:rPr>
        <w:fldChar w:fldCharType="begin"/>
      </w:r>
      <w:r>
        <w:rPr>
          <w:rFonts w:ascii="宋体" w:hAnsi="宋体" w:eastAsia="宋体"/>
          <w:color w:val="auto"/>
          <w:szCs w:val="20"/>
        </w:rPr>
        <w:instrText xml:space="preserve"> </w:instrText>
      </w:r>
      <w:r>
        <w:rPr>
          <w:rFonts w:hint="eastAsia" w:ascii="宋体" w:hAnsi="宋体" w:eastAsia="宋体"/>
          <w:color w:val="auto"/>
          <w:szCs w:val="20"/>
        </w:rPr>
        <w:instrText xml:space="preserve">STYLEREF 2 \s</w:instrText>
      </w:r>
      <w:r>
        <w:rPr>
          <w:rFonts w:ascii="宋体" w:hAnsi="宋体" w:eastAsia="宋体"/>
          <w:color w:val="auto"/>
          <w:szCs w:val="20"/>
        </w:rPr>
        <w:instrText xml:space="preserve"> </w:instrText>
      </w:r>
      <w:r>
        <w:rPr>
          <w:rFonts w:ascii="宋体" w:hAnsi="宋体" w:eastAsia="宋体"/>
          <w:color w:val="auto"/>
          <w:szCs w:val="20"/>
        </w:rPr>
        <w:fldChar w:fldCharType="separate"/>
      </w:r>
      <w:r>
        <w:rPr>
          <w:rFonts w:ascii="宋体" w:hAnsi="宋体" w:eastAsia="宋体"/>
          <w:color w:val="auto"/>
          <w:szCs w:val="20"/>
        </w:rPr>
        <w:t>5.4</w:t>
      </w:r>
      <w:r>
        <w:rPr>
          <w:rFonts w:ascii="宋体" w:hAnsi="宋体" w:eastAsia="宋体"/>
          <w:color w:val="auto"/>
          <w:szCs w:val="20"/>
        </w:rPr>
        <w:fldChar w:fldCharType="end"/>
      </w:r>
      <w:r>
        <w:rPr>
          <w:rFonts w:ascii="宋体" w:hAnsi="宋体" w:eastAsia="宋体"/>
          <w:color w:val="auto"/>
          <w:szCs w:val="20"/>
        </w:rPr>
        <w:noBreakHyphen/>
      </w:r>
      <w:r>
        <w:rPr>
          <w:rFonts w:hint="eastAsia" w:ascii="宋体" w:hAnsi="宋体" w:eastAsia="宋体"/>
          <w:color w:val="auto"/>
          <w:szCs w:val="20"/>
          <w:lang w:val="en-US" w:eastAsia="zh-CN"/>
        </w:rPr>
        <w:t>3</w:t>
      </w:r>
      <w:r>
        <w:rPr>
          <w:rFonts w:hint="eastAsia" w:ascii="宋体" w:hAnsi="宋体" w:eastAsia="宋体"/>
          <w:color w:val="auto"/>
          <w:szCs w:val="20"/>
        </w:rPr>
        <w:t>压裂作业井场厂界</w:t>
      </w:r>
      <w:r>
        <w:rPr>
          <w:rFonts w:ascii="宋体" w:hAnsi="宋体" w:eastAsia="宋体" w:cs="黑体"/>
          <w:snapToGrid w:val="0"/>
          <w:color w:val="auto"/>
          <w:spacing w:val="-2"/>
        </w:rPr>
        <w:t>噪声预测结果与达标分析表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1016"/>
        <w:gridCol w:w="1016"/>
        <w:gridCol w:w="871"/>
        <w:gridCol w:w="1018"/>
        <w:gridCol w:w="873"/>
        <w:gridCol w:w="871"/>
        <w:gridCol w:w="873"/>
        <w:gridCol w:w="866"/>
      </w:tblGrid>
      <w:tr w14:paraId="2212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pct"/>
            <w:vMerge w:val="restart"/>
            <w:vAlign w:val="center"/>
          </w:tcPr>
          <w:p w14:paraId="2A6F8D3F">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预测井场</w:t>
            </w:r>
          </w:p>
        </w:tc>
        <w:tc>
          <w:tcPr>
            <w:tcW w:w="2111" w:type="pct"/>
            <w:gridSpan w:val="4"/>
            <w:vAlign w:val="center"/>
          </w:tcPr>
          <w:p w14:paraId="148A726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昼间噪声</w:t>
            </w:r>
          </w:p>
        </w:tc>
        <w:tc>
          <w:tcPr>
            <w:tcW w:w="1875" w:type="pct"/>
            <w:gridSpan w:val="4"/>
            <w:vAlign w:val="center"/>
          </w:tcPr>
          <w:p w14:paraId="1E54461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夜间噪声</w:t>
            </w:r>
          </w:p>
        </w:tc>
      </w:tr>
      <w:tr w14:paraId="4CF7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pct"/>
            <w:vMerge w:val="continue"/>
            <w:vAlign w:val="center"/>
          </w:tcPr>
          <w:p w14:paraId="443CBF65">
            <w:pPr>
              <w:widowControl w:val="0"/>
              <w:spacing w:line="360" w:lineRule="exact"/>
              <w:jc w:val="center"/>
              <w:rPr>
                <w:rFonts w:ascii="Times New Roman" w:hAnsi="Times New Roman" w:cs="Times New Roman" w:eastAsiaTheme="minorEastAsia"/>
                <w:color w:val="auto"/>
                <w:w w:val="99"/>
                <w:kern w:val="2"/>
                <w:sz w:val="21"/>
                <w:szCs w:val="21"/>
              </w:rPr>
            </w:pPr>
          </w:p>
        </w:tc>
        <w:tc>
          <w:tcPr>
            <w:tcW w:w="547" w:type="pct"/>
            <w:shd w:val="clear" w:color="auto" w:fill="auto"/>
            <w:vAlign w:val="center"/>
          </w:tcPr>
          <w:p w14:paraId="6987594F">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东场界</w:t>
            </w:r>
          </w:p>
        </w:tc>
        <w:tc>
          <w:tcPr>
            <w:tcW w:w="547" w:type="pct"/>
            <w:shd w:val="clear" w:color="auto" w:fill="auto"/>
            <w:vAlign w:val="center"/>
          </w:tcPr>
          <w:p w14:paraId="087A20D1">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南场界</w:t>
            </w:r>
          </w:p>
        </w:tc>
        <w:tc>
          <w:tcPr>
            <w:tcW w:w="469" w:type="pct"/>
            <w:shd w:val="clear" w:color="auto" w:fill="auto"/>
            <w:vAlign w:val="center"/>
          </w:tcPr>
          <w:p w14:paraId="5049A1BB">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西场界</w:t>
            </w:r>
          </w:p>
        </w:tc>
        <w:tc>
          <w:tcPr>
            <w:tcW w:w="548" w:type="pct"/>
            <w:shd w:val="clear" w:color="auto" w:fill="auto"/>
            <w:vAlign w:val="center"/>
          </w:tcPr>
          <w:p w14:paraId="33CE586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北场界</w:t>
            </w:r>
          </w:p>
        </w:tc>
        <w:tc>
          <w:tcPr>
            <w:tcW w:w="470" w:type="pct"/>
            <w:shd w:val="clear" w:color="auto" w:fill="auto"/>
            <w:vAlign w:val="center"/>
          </w:tcPr>
          <w:p w14:paraId="0E23311B">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东场界</w:t>
            </w:r>
          </w:p>
        </w:tc>
        <w:tc>
          <w:tcPr>
            <w:tcW w:w="469" w:type="pct"/>
            <w:shd w:val="clear" w:color="auto" w:fill="auto"/>
            <w:vAlign w:val="center"/>
          </w:tcPr>
          <w:p w14:paraId="771F94A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南场界</w:t>
            </w:r>
          </w:p>
        </w:tc>
        <w:tc>
          <w:tcPr>
            <w:tcW w:w="470" w:type="pct"/>
            <w:shd w:val="clear" w:color="auto" w:fill="auto"/>
            <w:vAlign w:val="center"/>
          </w:tcPr>
          <w:p w14:paraId="11978FB6">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西场界</w:t>
            </w:r>
          </w:p>
        </w:tc>
        <w:tc>
          <w:tcPr>
            <w:tcW w:w="466" w:type="pct"/>
            <w:shd w:val="clear" w:color="auto" w:fill="auto"/>
            <w:vAlign w:val="center"/>
          </w:tcPr>
          <w:p w14:paraId="7E70EB17">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北场界</w:t>
            </w:r>
          </w:p>
        </w:tc>
      </w:tr>
      <w:tr w14:paraId="30AB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pct"/>
            <w:vAlign w:val="center"/>
          </w:tcPr>
          <w:p w14:paraId="5B12428E">
            <w:pPr>
              <w:widowControl w:val="0"/>
              <w:spacing w:line="360" w:lineRule="exact"/>
              <w:jc w:val="center"/>
              <w:rPr>
                <w:rFonts w:ascii="Times New Roman" w:hAnsi="Times New Roman" w:cs="Times New Roman" w:eastAsiaTheme="minorEastAsia"/>
                <w:color w:val="auto"/>
                <w:w w:val="99"/>
                <w:kern w:val="2"/>
                <w:sz w:val="21"/>
                <w:szCs w:val="21"/>
              </w:rPr>
            </w:pPr>
            <w:r>
              <w:rPr>
                <w:rFonts w:hint="eastAsia" w:ascii="Times New Roman" w:hAnsi="Times New Roman" w:cs="Times New Roman" w:eastAsiaTheme="minorEastAsia"/>
                <w:color w:val="auto"/>
                <w:w w:val="99"/>
                <w:kern w:val="2"/>
                <w:sz w:val="21"/>
                <w:szCs w:val="21"/>
              </w:rPr>
              <w:t>源</w:t>
            </w:r>
            <w:r>
              <w:rPr>
                <w:rFonts w:ascii="Times New Roman" w:hAnsi="Times New Roman" w:cs="Times New Roman" w:eastAsiaTheme="minorEastAsia"/>
                <w:color w:val="auto"/>
                <w:w w:val="99"/>
                <w:kern w:val="2"/>
                <w:sz w:val="21"/>
                <w:szCs w:val="21"/>
              </w:rPr>
              <w:t>1011井场</w:t>
            </w:r>
          </w:p>
        </w:tc>
        <w:tc>
          <w:tcPr>
            <w:tcW w:w="547" w:type="pct"/>
            <w:shd w:val="clear" w:color="auto" w:fill="auto"/>
            <w:vAlign w:val="center"/>
          </w:tcPr>
          <w:p w14:paraId="66901641">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50.7</w:t>
            </w:r>
          </w:p>
        </w:tc>
        <w:tc>
          <w:tcPr>
            <w:tcW w:w="547" w:type="pct"/>
            <w:shd w:val="clear" w:color="auto" w:fill="auto"/>
            <w:vAlign w:val="center"/>
          </w:tcPr>
          <w:p w14:paraId="40B29F31">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48.7</w:t>
            </w:r>
          </w:p>
        </w:tc>
        <w:tc>
          <w:tcPr>
            <w:tcW w:w="469" w:type="pct"/>
            <w:shd w:val="clear" w:color="auto" w:fill="auto"/>
            <w:vAlign w:val="center"/>
          </w:tcPr>
          <w:p w14:paraId="1F920401">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49.3</w:t>
            </w:r>
          </w:p>
        </w:tc>
        <w:tc>
          <w:tcPr>
            <w:tcW w:w="548" w:type="pct"/>
            <w:shd w:val="clear" w:color="auto" w:fill="auto"/>
            <w:vAlign w:val="center"/>
          </w:tcPr>
          <w:p w14:paraId="3FB04EBD">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51.6</w:t>
            </w:r>
          </w:p>
        </w:tc>
        <w:tc>
          <w:tcPr>
            <w:tcW w:w="470" w:type="pct"/>
            <w:shd w:val="clear" w:color="auto" w:fill="auto"/>
            <w:vAlign w:val="center"/>
          </w:tcPr>
          <w:p w14:paraId="69C98139">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50.7</w:t>
            </w:r>
          </w:p>
        </w:tc>
        <w:tc>
          <w:tcPr>
            <w:tcW w:w="469" w:type="pct"/>
            <w:shd w:val="clear" w:color="auto" w:fill="auto"/>
            <w:vAlign w:val="center"/>
          </w:tcPr>
          <w:p w14:paraId="726F5C5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48.7</w:t>
            </w:r>
          </w:p>
        </w:tc>
        <w:tc>
          <w:tcPr>
            <w:tcW w:w="470" w:type="pct"/>
            <w:shd w:val="clear" w:color="auto" w:fill="auto"/>
            <w:vAlign w:val="center"/>
          </w:tcPr>
          <w:p w14:paraId="35377B3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49.3</w:t>
            </w:r>
          </w:p>
        </w:tc>
        <w:tc>
          <w:tcPr>
            <w:tcW w:w="466" w:type="pct"/>
            <w:shd w:val="clear" w:color="auto" w:fill="auto"/>
            <w:vAlign w:val="center"/>
          </w:tcPr>
          <w:p w14:paraId="2C7F74A8">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51.6</w:t>
            </w:r>
          </w:p>
        </w:tc>
      </w:tr>
    </w:tbl>
    <w:p w14:paraId="7ABF0894">
      <w:pPr>
        <w:adjustRightInd w:val="0"/>
        <w:snapToGrid w:val="0"/>
        <w:spacing w:line="331" w:lineRule="auto"/>
        <w:ind w:firstLine="360" w:firstLineChars="200"/>
        <w:rPr>
          <w:rFonts w:ascii="宋体" w:hAnsi="宋体" w:eastAsia="宋体" w:cs="Times New Roman"/>
          <w:color w:val="auto"/>
          <w:sz w:val="18"/>
          <w:szCs w:val="18"/>
        </w:rPr>
      </w:pPr>
      <w:r>
        <w:rPr>
          <w:rFonts w:hint="eastAsia" w:ascii="宋体" w:hAnsi="宋体" w:eastAsia="宋体" w:cs="Times New Roman"/>
          <w:color w:val="auto"/>
          <w:sz w:val="18"/>
          <w:szCs w:val="18"/>
        </w:rPr>
        <w:t>注：根据《环境影响评价技术导则 声环境》（HJ 2.4-2021）中8.5.2 可知，预测和评价建设项目在施工期和运营期厂界(场界，边界)噪声贡献值,评价其超标和达标情况，因此，本次预测了厂界贡献值。</w:t>
      </w:r>
    </w:p>
    <w:p w14:paraId="1AB6653D">
      <w:pPr>
        <w:adjustRightInd w:val="0"/>
        <w:snapToGrid w:val="0"/>
        <w:spacing w:before="163" w:beforeLines="50" w:line="360" w:lineRule="auto"/>
        <w:jc w:val="center"/>
        <w:rPr>
          <w:rFonts w:ascii="宋体" w:hAnsi="宋体" w:eastAsia="宋体"/>
          <w:color w:val="auto"/>
          <w:szCs w:val="20"/>
        </w:rPr>
      </w:pPr>
      <w:r>
        <w:rPr>
          <w:rFonts w:ascii="宋体" w:hAnsi="宋体" w:eastAsia="宋体"/>
          <w:color w:val="auto"/>
          <w:szCs w:val="20"/>
        </w:rPr>
        <w:t>表5.4-</w:t>
      </w:r>
      <w:r>
        <w:rPr>
          <w:rFonts w:hint="eastAsia" w:ascii="宋体" w:hAnsi="宋体" w:eastAsia="宋体"/>
          <w:color w:val="auto"/>
          <w:szCs w:val="20"/>
          <w:lang w:val="en-US" w:eastAsia="zh-CN"/>
        </w:rPr>
        <w:t>4</w:t>
      </w:r>
      <w:r>
        <w:rPr>
          <w:rFonts w:ascii="宋体" w:hAnsi="宋体" w:eastAsia="宋体"/>
          <w:color w:val="auto"/>
          <w:szCs w:val="20"/>
        </w:rPr>
        <w:t xml:space="preserve">    声环境保护目标噪声预测结果与达标分析表    单位：dB(A)</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594"/>
        <w:gridCol w:w="598"/>
        <w:gridCol w:w="594"/>
        <w:gridCol w:w="594"/>
        <w:gridCol w:w="557"/>
        <w:gridCol w:w="583"/>
        <w:gridCol w:w="700"/>
        <w:gridCol w:w="702"/>
        <w:gridCol w:w="700"/>
        <w:gridCol w:w="702"/>
        <w:gridCol w:w="595"/>
        <w:gridCol w:w="595"/>
        <w:gridCol w:w="542"/>
        <w:gridCol w:w="551"/>
      </w:tblGrid>
      <w:tr w14:paraId="31F5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6" w:type="pct"/>
            <w:vMerge w:val="restart"/>
            <w:vAlign w:val="center"/>
          </w:tcPr>
          <w:p w14:paraId="62568929">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声环境保护目标名称</w:t>
            </w:r>
          </w:p>
        </w:tc>
        <w:tc>
          <w:tcPr>
            <w:tcW w:w="642" w:type="pct"/>
            <w:gridSpan w:val="2"/>
            <w:vAlign w:val="center"/>
          </w:tcPr>
          <w:p w14:paraId="2CD8C5F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噪声背景值</w:t>
            </w:r>
          </w:p>
        </w:tc>
        <w:tc>
          <w:tcPr>
            <w:tcW w:w="640" w:type="pct"/>
            <w:gridSpan w:val="2"/>
            <w:vAlign w:val="center"/>
          </w:tcPr>
          <w:p w14:paraId="13301118">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噪声现状值</w:t>
            </w:r>
          </w:p>
        </w:tc>
        <w:tc>
          <w:tcPr>
            <w:tcW w:w="614" w:type="pct"/>
            <w:gridSpan w:val="2"/>
            <w:vAlign w:val="center"/>
          </w:tcPr>
          <w:p w14:paraId="360C7034">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噪声标准</w:t>
            </w:r>
          </w:p>
        </w:tc>
        <w:tc>
          <w:tcPr>
            <w:tcW w:w="755" w:type="pct"/>
            <w:gridSpan w:val="2"/>
            <w:vAlign w:val="center"/>
          </w:tcPr>
          <w:p w14:paraId="1639545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噪声贡献值</w:t>
            </w:r>
          </w:p>
        </w:tc>
        <w:tc>
          <w:tcPr>
            <w:tcW w:w="755" w:type="pct"/>
            <w:gridSpan w:val="2"/>
            <w:vAlign w:val="center"/>
          </w:tcPr>
          <w:p w14:paraId="3065FC41">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噪声预测值</w:t>
            </w:r>
          </w:p>
        </w:tc>
        <w:tc>
          <w:tcPr>
            <w:tcW w:w="640" w:type="pct"/>
            <w:gridSpan w:val="2"/>
            <w:vAlign w:val="center"/>
          </w:tcPr>
          <w:p w14:paraId="538B113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较现状增量</w:t>
            </w:r>
          </w:p>
        </w:tc>
        <w:tc>
          <w:tcPr>
            <w:tcW w:w="587" w:type="pct"/>
            <w:gridSpan w:val="2"/>
            <w:vAlign w:val="center"/>
          </w:tcPr>
          <w:p w14:paraId="19216A3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超标和达标情况</w:t>
            </w:r>
          </w:p>
        </w:tc>
      </w:tr>
      <w:tr w14:paraId="6ACE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66" w:type="pct"/>
            <w:vMerge w:val="continue"/>
            <w:vAlign w:val="center"/>
          </w:tcPr>
          <w:p w14:paraId="32C36B98">
            <w:pPr>
              <w:widowControl w:val="0"/>
              <w:spacing w:line="360" w:lineRule="exact"/>
              <w:jc w:val="center"/>
              <w:rPr>
                <w:rFonts w:ascii="Times New Roman" w:hAnsi="Times New Roman" w:cs="Times New Roman" w:eastAsiaTheme="minorEastAsia"/>
                <w:color w:val="auto"/>
                <w:w w:val="99"/>
                <w:kern w:val="2"/>
                <w:sz w:val="21"/>
                <w:szCs w:val="21"/>
              </w:rPr>
            </w:pPr>
          </w:p>
        </w:tc>
        <w:tc>
          <w:tcPr>
            <w:tcW w:w="320" w:type="pct"/>
            <w:vAlign w:val="center"/>
          </w:tcPr>
          <w:p w14:paraId="0E037DBD">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22" w:type="pct"/>
            <w:vAlign w:val="center"/>
          </w:tcPr>
          <w:p w14:paraId="36FB7522">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320" w:type="pct"/>
            <w:vAlign w:val="center"/>
          </w:tcPr>
          <w:p w14:paraId="67C9590A">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20" w:type="pct"/>
            <w:vAlign w:val="center"/>
          </w:tcPr>
          <w:p w14:paraId="3269BD9C">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300" w:type="pct"/>
            <w:vAlign w:val="center"/>
          </w:tcPr>
          <w:p w14:paraId="1D9BCF82">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14" w:type="pct"/>
            <w:vAlign w:val="center"/>
          </w:tcPr>
          <w:p w14:paraId="7D746CCA">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377" w:type="pct"/>
            <w:vAlign w:val="center"/>
          </w:tcPr>
          <w:p w14:paraId="767E74EB">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78" w:type="pct"/>
            <w:vAlign w:val="center"/>
          </w:tcPr>
          <w:p w14:paraId="6C585F2B">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377" w:type="pct"/>
            <w:vAlign w:val="center"/>
          </w:tcPr>
          <w:p w14:paraId="1547E1F2">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78" w:type="pct"/>
            <w:vAlign w:val="center"/>
          </w:tcPr>
          <w:p w14:paraId="01B3B4F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320" w:type="pct"/>
            <w:vAlign w:val="center"/>
          </w:tcPr>
          <w:p w14:paraId="663330F7">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320" w:type="pct"/>
            <w:vAlign w:val="center"/>
          </w:tcPr>
          <w:p w14:paraId="54EA5284">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c>
          <w:tcPr>
            <w:tcW w:w="291" w:type="pct"/>
            <w:vAlign w:val="center"/>
          </w:tcPr>
          <w:p w14:paraId="3C6C7A2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昼间</w:t>
            </w:r>
          </w:p>
        </w:tc>
        <w:tc>
          <w:tcPr>
            <w:tcW w:w="296" w:type="pct"/>
            <w:vAlign w:val="center"/>
          </w:tcPr>
          <w:p w14:paraId="28980397">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夜间</w:t>
            </w:r>
          </w:p>
        </w:tc>
      </w:tr>
      <w:tr w14:paraId="4F46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66" w:type="pct"/>
            <w:vAlign w:val="center"/>
          </w:tcPr>
          <w:p w14:paraId="0E0F1580">
            <w:pPr>
              <w:widowControl w:val="0"/>
              <w:spacing w:line="360" w:lineRule="exact"/>
              <w:jc w:val="center"/>
              <w:rPr>
                <w:rFonts w:ascii="Times New Roman" w:hAnsi="Times New Roman" w:cs="Times New Roman" w:eastAsiaTheme="minorEastAsia"/>
                <w:color w:val="auto"/>
                <w:w w:val="99"/>
                <w:kern w:val="2"/>
                <w:sz w:val="21"/>
                <w:szCs w:val="21"/>
              </w:rPr>
            </w:pPr>
            <w:r>
              <w:rPr>
                <w:rFonts w:hint="eastAsia" w:ascii="Times New Roman" w:hAnsi="Times New Roman" w:cs="Times New Roman"/>
                <w:bCs/>
                <w:color w:val="auto"/>
                <w:w w:val="99"/>
                <w:kern w:val="2"/>
                <w:sz w:val="21"/>
                <w:szCs w:val="21"/>
                <w:lang w:val="en-US" w:eastAsia="zh-CN"/>
              </w:rPr>
              <w:t>刘兽医</w:t>
            </w:r>
            <w:r>
              <w:rPr>
                <w:rFonts w:ascii="Times New Roman" w:hAnsi="Times New Roman" w:cs="Times New Roman" w:eastAsiaTheme="minorEastAsia"/>
                <w:bCs/>
                <w:color w:val="auto"/>
                <w:w w:val="99"/>
                <w:kern w:val="2"/>
                <w:sz w:val="21"/>
                <w:szCs w:val="21"/>
              </w:rPr>
              <w:t>屯</w:t>
            </w:r>
          </w:p>
        </w:tc>
        <w:tc>
          <w:tcPr>
            <w:tcW w:w="320" w:type="pct"/>
            <w:vAlign w:val="center"/>
          </w:tcPr>
          <w:p w14:paraId="73B88346">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47.6</w:t>
            </w:r>
          </w:p>
        </w:tc>
        <w:tc>
          <w:tcPr>
            <w:tcW w:w="322" w:type="pct"/>
            <w:vAlign w:val="center"/>
          </w:tcPr>
          <w:p w14:paraId="089101FB">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43.3</w:t>
            </w:r>
          </w:p>
        </w:tc>
        <w:tc>
          <w:tcPr>
            <w:tcW w:w="320" w:type="pct"/>
            <w:vAlign w:val="center"/>
          </w:tcPr>
          <w:p w14:paraId="3E059CE0">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47.6</w:t>
            </w:r>
          </w:p>
        </w:tc>
        <w:tc>
          <w:tcPr>
            <w:tcW w:w="320" w:type="pct"/>
            <w:vAlign w:val="center"/>
          </w:tcPr>
          <w:p w14:paraId="78601B08">
            <w:pPr>
              <w:widowControl w:val="0"/>
              <w:spacing w:line="360" w:lineRule="exact"/>
              <w:jc w:val="center"/>
              <w:rPr>
                <w:rFonts w:hint="default" w:ascii="Times New Roman" w:hAnsi="Times New Roman" w:cs="Times New Roman" w:eastAsiaTheme="minorEastAsia"/>
                <w:color w:val="auto"/>
                <w:w w:val="99"/>
                <w:kern w:val="2"/>
                <w:sz w:val="21"/>
                <w:szCs w:val="21"/>
                <w:lang w:val="en-US" w:eastAsia="zh-CN"/>
              </w:rPr>
            </w:pPr>
            <w:r>
              <w:rPr>
                <w:rFonts w:hint="eastAsia" w:ascii="Times New Roman" w:hAnsi="Times New Roman" w:cs="Times New Roman"/>
                <w:color w:val="auto"/>
                <w:w w:val="99"/>
                <w:kern w:val="2"/>
                <w:sz w:val="21"/>
                <w:szCs w:val="21"/>
                <w:lang w:val="en-US" w:eastAsia="zh-CN"/>
              </w:rPr>
              <w:t>42.9</w:t>
            </w:r>
          </w:p>
        </w:tc>
        <w:tc>
          <w:tcPr>
            <w:tcW w:w="300" w:type="pct"/>
            <w:vAlign w:val="center"/>
          </w:tcPr>
          <w:p w14:paraId="19FA040F">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55</w:t>
            </w:r>
          </w:p>
        </w:tc>
        <w:tc>
          <w:tcPr>
            <w:tcW w:w="314" w:type="pct"/>
            <w:vAlign w:val="center"/>
          </w:tcPr>
          <w:p w14:paraId="277A7A8F">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45</w:t>
            </w:r>
          </w:p>
        </w:tc>
        <w:tc>
          <w:tcPr>
            <w:tcW w:w="377" w:type="pct"/>
            <w:vAlign w:val="center"/>
          </w:tcPr>
          <w:p w14:paraId="20BC81E3">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32.8</w:t>
            </w:r>
          </w:p>
        </w:tc>
        <w:tc>
          <w:tcPr>
            <w:tcW w:w="378" w:type="pct"/>
            <w:vAlign w:val="center"/>
          </w:tcPr>
          <w:p w14:paraId="7ACFB54E">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32.8</w:t>
            </w:r>
          </w:p>
        </w:tc>
        <w:tc>
          <w:tcPr>
            <w:tcW w:w="377" w:type="pct"/>
            <w:vAlign w:val="center"/>
          </w:tcPr>
          <w:p w14:paraId="0D6B7B5B">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47.7</w:t>
            </w:r>
          </w:p>
        </w:tc>
        <w:tc>
          <w:tcPr>
            <w:tcW w:w="378" w:type="pct"/>
            <w:vAlign w:val="center"/>
          </w:tcPr>
          <w:p w14:paraId="6F681C03">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43.7</w:t>
            </w:r>
          </w:p>
        </w:tc>
        <w:tc>
          <w:tcPr>
            <w:tcW w:w="320" w:type="pct"/>
            <w:vAlign w:val="center"/>
          </w:tcPr>
          <w:p w14:paraId="080783A6">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0.1</w:t>
            </w:r>
          </w:p>
        </w:tc>
        <w:tc>
          <w:tcPr>
            <w:tcW w:w="320" w:type="pct"/>
            <w:vAlign w:val="center"/>
          </w:tcPr>
          <w:p w14:paraId="235221CB">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0.4</w:t>
            </w:r>
          </w:p>
        </w:tc>
        <w:tc>
          <w:tcPr>
            <w:tcW w:w="291" w:type="pct"/>
            <w:vAlign w:val="center"/>
          </w:tcPr>
          <w:p w14:paraId="20E71BD9">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达标</w:t>
            </w:r>
          </w:p>
        </w:tc>
        <w:tc>
          <w:tcPr>
            <w:tcW w:w="296" w:type="pct"/>
            <w:vAlign w:val="center"/>
          </w:tcPr>
          <w:p w14:paraId="5D242906">
            <w:pPr>
              <w:widowControl w:val="0"/>
              <w:spacing w:line="360" w:lineRule="exact"/>
              <w:jc w:val="center"/>
              <w:rPr>
                <w:rFonts w:ascii="Times New Roman" w:hAnsi="Times New Roman" w:cs="Times New Roman" w:eastAsiaTheme="minorEastAsia"/>
                <w:color w:val="auto"/>
                <w:w w:val="99"/>
                <w:kern w:val="2"/>
                <w:sz w:val="21"/>
                <w:szCs w:val="21"/>
              </w:rPr>
            </w:pPr>
            <w:r>
              <w:rPr>
                <w:rFonts w:ascii="Times New Roman" w:hAnsi="Times New Roman" w:cs="Times New Roman" w:eastAsiaTheme="minorEastAsia"/>
                <w:color w:val="auto"/>
                <w:w w:val="99"/>
                <w:kern w:val="2"/>
                <w:sz w:val="21"/>
                <w:szCs w:val="21"/>
              </w:rPr>
              <w:t>达标</w:t>
            </w:r>
          </w:p>
        </w:tc>
      </w:tr>
    </w:tbl>
    <w:p w14:paraId="20FF6D1A">
      <w:pPr>
        <w:jc w:val="center"/>
        <w:rPr>
          <w:rFonts w:ascii="宋体" w:hAnsi="宋体" w:eastAsia="宋体"/>
          <w:color w:val="auto"/>
        </w:rPr>
      </w:pPr>
    </w:p>
    <w:p w14:paraId="0FF443C6">
      <w:pPr>
        <w:jc w:val="center"/>
        <w:rPr>
          <w:rFonts w:ascii="宋体" w:hAnsi="宋体" w:eastAsia="宋体"/>
          <w:color w:val="auto"/>
          <w:sz w:val="24"/>
        </w:rPr>
      </w:pPr>
      <w:r>
        <w:rPr>
          <w:rFonts w:ascii="宋体" w:hAnsi="宋体" w:eastAsia="宋体"/>
          <w:color w:val="auto"/>
        </w:rPr>
        <w:drawing>
          <wp:inline distT="0" distB="0" distL="114300" distR="114300">
            <wp:extent cx="5756910" cy="3931285"/>
            <wp:effectExtent l="0" t="0" r="15240" b="12065"/>
            <wp:docPr id="1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4"/>
                    <pic:cNvPicPr>
                      <a:picLocks noChangeAspect="1"/>
                    </pic:cNvPicPr>
                  </pic:nvPicPr>
                  <pic:blipFill>
                    <a:blip r:embed="rId134"/>
                    <a:stretch>
                      <a:fillRect/>
                    </a:stretch>
                  </pic:blipFill>
                  <pic:spPr>
                    <a:xfrm>
                      <a:off x="0" y="0"/>
                      <a:ext cx="5756910" cy="3931285"/>
                    </a:xfrm>
                    <a:prstGeom prst="rect">
                      <a:avLst/>
                    </a:prstGeom>
                    <a:noFill/>
                    <a:ln>
                      <a:noFill/>
                    </a:ln>
                  </pic:spPr>
                </pic:pic>
              </a:graphicData>
            </a:graphic>
          </wp:inline>
        </w:drawing>
      </w:r>
    </w:p>
    <w:p w14:paraId="28D8B821">
      <w:pPr>
        <w:jc w:val="center"/>
        <w:rPr>
          <w:rFonts w:ascii="宋体" w:hAnsi="宋体" w:eastAsia="宋体" w:cs="Times New Roman"/>
          <w:color w:val="auto"/>
          <w:szCs w:val="20"/>
        </w:rPr>
      </w:pPr>
      <w:r>
        <w:rPr>
          <w:rFonts w:ascii="宋体" w:hAnsi="宋体" w:eastAsia="宋体" w:cs="Times New Roman"/>
          <w:color w:val="auto"/>
          <w:szCs w:val="20"/>
        </w:rPr>
        <w:t>图5.4-2 压裂施工期井场噪声预测图</w:t>
      </w:r>
    </w:p>
    <w:p w14:paraId="6E92100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地面工程</w:t>
      </w:r>
      <w:r>
        <w:rPr>
          <w:rFonts w:hint="eastAsia" w:ascii="宋体" w:hAnsi="宋体" w:eastAsia="宋体" w:cs="Times New Roman"/>
          <w:b/>
          <w:bCs/>
          <w:color w:val="auto"/>
          <w:szCs w:val="28"/>
        </w:rPr>
        <w:t>声环境影响分析</w:t>
      </w:r>
    </w:p>
    <w:p w14:paraId="747D404B">
      <w:pPr>
        <w:pStyle w:val="276"/>
        <w:widowControl w:val="0"/>
        <w:ind w:firstLine="480"/>
        <w:jc w:val="both"/>
        <w:rPr>
          <w:color w:val="auto"/>
          <w:kern w:val="2"/>
        </w:rPr>
      </w:pPr>
      <w:r>
        <w:rPr>
          <w:color w:val="auto"/>
          <w:kern w:val="2"/>
        </w:rPr>
        <w:t>本项目地面施工期主要噪声源包括挖掘机、推土机、压路机、电焊机、运输车辆等设备噪声及运输车辆的交通噪声。将各种施工机械等近似为点声源，采用最大噪声值，仅考虑距离衰减进行计算，可得到施工期各种机械等在不同距离处的噪声贡献值，采用无指向性点声源几何发散衰减的基本公式。</w:t>
      </w:r>
    </w:p>
    <w:p w14:paraId="04186B2B">
      <w:pPr>
        <w:pStyle w:val="276"/>
        <w:widowControl w:val="0"/>
        <w:ind w:firstLine="480"/>
        <w:jc w:val="both"/>
        <w:rPr>
          <w:color w:val="auto"/>
          <w:kern w:val="2"/>
        </w:rPr>
      </w:pPr>
      <w:r>
        <w:rPr>
          <w:color w:val="auto"/>
          <w:kern w:val="2"/>
        </w:rPr>
        <w:t>无指向性点声源几何发散衰减的基本公式：</w:t>
      </w:r>
    </w:p>
    <w:p w14:paraId="37D41615">
      <w:pPr>
        <w:spacing w:line="440" w:lineRule="exact"/>
        <w:jc w:val="center"/>
        <w:rPr>
          <w:rFonts w:ascii="宋体" w:hAnsi="宋体" w:eastAsia="宋体" w:cs="Times New Roman"/>
          <w:color w:val="auto"/>
        </w:rPr>
      </w:pPr>
      <w:r>
        <w:rPr>
          <w:rFonts w:ascii="宋体" w:hAnsi="宋体" w:eastAsia="宋体" w:cs="Times New Roman"/>
          <w:color w:val="auto"/>
        </w:rPr>
        <w:t>L</w:t>
      </w:r>
      <w:r>
        <w:rPr>
          <w:rFonts w:ascii="宋体" w:hAnsi="宋体" w:eastAsia="宋体" w:cs="Times New Roman"/>
          <w:color w:val="auto"/>
          <w:vertAlign w:val="subscript"/>
        </w:rPr>
        <w:t>P</w:t>
      </w:r>
      <w:r>
        <w:rPr>
          <w:rFonts w:ascii="宋体" w:hAnsi="宋体" w:eastAsia="宋体" w:cs="Times New Roman"/>
          <w:color w:val="auto"/>
        </w:rPr>
        <w:t>(r)= L</w:t>
      </w:r>
      <w:r>
        <w:rPr>
          <w:rFonts w:ascii="宋体" w:hAnsi="宋体" w:eastAsia="宋体" w:cs="Times New Roman"/>
          <w:color w:val="auto"/>
          <w:vertAlign w:val="subscript"/>
        </w:rPr>
        <w:t>P</w:t>
      </w:r>
      <w:r>
        <w:rPr>
          <w:rFonts w:ascii="宋体" w:hAnsi="宋体" w:eastAsia="宋体" w:cs="Times New Roman"/>
          <w:color w:val="auto"/>
        </w:rPr>
        <w:t>(r</w:t>
      </w:r>
      <w:r>
        <w:rPr>
          <w:rFonts w:ascii="宋体" w:hAnsi="宋体" w:eastAsia="宋体" w:cs="Times New Roman"/>
          <w:color w:val="auto"/>
          <w:vertAlign w:val="subscript"/>
        </w:rPr>
        <w:t>0</w:t>
      </w:r>
      <w:r>
        <w:rPr>
          <w:rFonts w:ascii="宋体" w:hAnsi="宋体" w:eastAsia="宋体" w:cs="Times New Roman"/>
          <w:color w:val="auto"/>
        </w:rPr>
        <w:t>)-20lg(r/r</w:t>
      </w:r>
      <w:r>
        <w:rPr>
          <w:rFonts w:ascii="宋体" w:hAnsi="宋体" w:eastAsia="宋体" w:cs="Times New Roman"/>
          <w:color w:val="auto"/>
          <w:vertAlign w:val="subscript"/>
        </w:rPr>
        <w:t>0</w:t>
      </w:r>
      <w:r>
        <w:rPr>
          <w:rFonts w:ascii="宋体" w:hAnsi="宋体" w:eastAsia="宋体" w:cs="Times New Roman"/>
          <w:color w:val="auto"/>
        </w:rPr>
        <w:t>)</w:t>
      </w:r>
    </w:p>
    <w:p w14:paraId="5E5FE5B7">
      <w:pPr>
        <w:pStyle w:val="276"/>
        <w:widowControl w:val="0"/>
        <w:ind w:firstLine="480"/>
        <w:jc w:val="both"/>
        <w:rPr>
          <w:color w:val="auto"/>
          <w:kern w:val="2"/>
        </w:rPr>
      </w:pPr>
      <w:r>
        <w:rPr>
          <w:color w:val="auto"/>
          <w:kern w:val="2"/>
        </w:rPr>
        <w:t>式中：L</w:t>
      </w:r>
      <w:r>
        <w:rPr>
          <w:color w:val="auto"/>
          <w:kern w:val="2"/>
          <w:vertAlign w:val="subscript"/>
        </w:rPr>
        <w:t>P</w:t>
      </w:r>
      <w:r>
        <w:rPr>
          <w:color w:val="auto"/>
          <w:kern w:val="2"/>
        </w:rPr>
        <w:t>(r) ——预测点处声压级，dB；</w:t>
      </w:r>
    </w:p>
    <w:p w14:paraId="1FFC7F44">
      <w:pPr>
        <w:pStyle w:val="276"/>
        <w:widowControl w:val="0"/>
        <w:ind w:firstLine="480"/>
        <w:jc w:val="both"/>
        <w:rPr>
          <w:color w:val="auto"/>
          <w:kern w:val="2"/>
        </w:rPr>
      </w:pPr>
      <w:r>
        <w:rPr>
          <w:color w:val="auto"/>
          <w:kern w:val="2"/>
        </w:rPr>
        <w:t>L</w:t>
      </w:r>
      <w:r>
        <w:rPr>
          <w:color w:val="auto"/>
          <w:kern w:val="2"/>
          <w:vertAlign w:val="subscript"/>
        </w:rPr>
        <w:t>P</w:t>
      </w:r>
      <w:r>
        <w:rPr>
          <w:color w:val="auto"/>
          <w:kern w:val="2"/>
        </w:rPr>
        <w:t>(r</w:t>
      </w:r>
      <w:r>
        <w:rPr>
          <w:color w:val="auto"/>
          <w:kern w:val="2"/>
          <w:vertAlign w:val="subscript"/>
        </w:rPr>
        <w:t>0</w:t>
      </w:r>
      <w:r>
        <w:rPr>
          <w:color w:val="auto"/>
          <w:kern w:val="2"/>
        </w:rPr>
        <w:t>) ——参考位置r0处的声压级，dB；</w:t>
      </w:r>
    </w:p>
    <w:p w14:paraId="34AB08C1">
      <w:pPr>
        <w:pStyle w:val="276"/>
        <w:widowControl w:val="0"/>
        <w:ind w:firstLine="480"/>
        <w:jc w:val="both"/>
        <w:rPr>
          <w:color w:val="auto"/>
          <w:kern w:val="2"/>
        </w:rPr>
      </w:pPr>
      <w:r>
        <w:rPr>
          <w:color w:val="auto"/>
          <w:kern w:val="2"/>
        </w:rPr>
        <w:t>r ——预测点距声源的距离；</w:t>
      </w:r>
    </w:p>
    <w:p w14:paraId="207B9EAB">
      <w:pPr>
        <w:pStyle w:val="276"/>
        <w:widowControl w:val="0"/>
        <w:ind w:firstLine="480"/>
        <w:jc w:val="both"/>
        <w:rPr>
          <w:color w:val="auto"/>
          <w:kern w:val="2"/>
        </w:rPr>
      </w:pPr>
      <w:r>
        <w:rPr>
          <w:color w:val="auto"/>
          <w:kern w:val="2"/>
        </w:rPr>
        <w:t>r</w:t>
      </w:r>
      <w:r>
        <w:rPr>
          <w:color w:val="auto"/>
          <w:kern w:val="2"/>
          <w:vertAlign w:val="subscript"/>
        </w:rPr>
        <w:t>0</w:t>
      </w:r>
      <w:r>
        <w:rPr>
          <w:color w:val="auto"/>
          <w:kern w:val="2"/>
        </w:rPr>
        <w:t>——参考位置距声源的距离。</w:t>
      </w:r>
    </w:p>
    <w:p w14:paraId="4182D5B2">
      <w:pPr>
        <w:pStyle w:val="276"/>
        <w:widowControl w:val="0"/>
        <w:ind w:firstLine="480"/>
        <w:jc w:val="both"/>
        <w:rPr>
          <w:color w:val="auto"/>
          <w:kern w:val="2"/>
        </w:rPr>
      </w:pPr>
      <w:r>
        <w:rPr>
          <w:color w:val="auto"/>
          <w:kern w:val="2"/>
        </w:rPr>
        <w:t>施工机械噪声衰减结果见表5.4-</w:t>
      </w:r>
      <w:r>
        <w:rPr>
          <w:rFonts w:hint="eastAsia"/>
          <w:color w:val="auto"/>
          <w:kern w:val="2"/>
          <w:lang w:val="en-US" w:eastAsia="zh-CN"/>
        </w:rPr>
        <w:t>5</w:t>
      </w:r>
      <w:r>
        <w:rPr>
          <w:color w:val="auto"/>
          <w:kern w:val="2"/>
        </w:rPr>
        <w:t>。</w:t>
      </w:r>
    </w:p>
    <w:p w14:paraId="534CE3C1">
      <w:pPr>
        <w:pStyle w:val="276"/>
        <w:widowControl w:val="0"/>
        <w:spacing w:line="440" w:lineRule="exact"/>
        <w:ind w:firstLine="0" w:firstLineChars="0"/>
        <w:jc w:val="center"/>
        <w:rPr>
          <w:color w:val="auto"/>
          <w:kern w:val="2"/>
        </w:rPr>
      </w:pPr>
      <w:r>
        <w:rPr>
          <w:color w:val="auto"/>
          <w:kern w:val="2"/>
        </w:rPr>
        <w:t>表5.4-</w:t>
      </w:r>
      <w:r>
        <w:rPr>
          <w:rFonts w:hint="eastAsia"/>
          <w:color w:val="auto"/>
          <w:kern w:val="2"/>
          <w:lang w:val="en-US" w:eastAsia="zh-CN"/>
        </w:rPr>
        <w:t>5</w:t>
      </w:r>
      <w:r>
        <w:rPr>
          <w:color w:val="auto"/>
          <w:kern w:val="2"/>
        </w:rPr>
        <w:t xml:space="preserve"> 施工期施工机械噪声统计表 单位：dB(A)</w:t>
      </w:r>
    </w:p>
    <w:tbl>
      <w:tblPr>
        <w:tblStyle w:val="8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5"/>
        <w:gridCol w:w="992"/>
        <w:gridCol w:w="992"/>
        <w:gridCol w:w="855"/>
        <w:gridCol w:w="846"/>
        <w:gridCol w:w="858"/>
        <w:gridCol w:w="1024"/>
        <w:gridCol w:w="902"/>
        <w:gridCol w:w="1037"/>
      </w:tblGrid>
      <w:tr w14:paraId="41F5D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5" w:type="dxa"/>
            <w:vMerge w:val="restart"/>
            <w:vAlign w:val="center"/>
          </w:tcPr>
          <w:p w14:paraId="47CA5800">
            <w:pPr>
              <w:pStyle w:val="169"/>
              <w:spacing w:line="360" w:lineRule="exact"/>
              <w:rPr>
                <w:rFonts w:ascii="宋体" w:hAnsi="宋体"/>
                <w:color w:val="auto"/>
              </w:rPr>
            </w:pPr>
            <w:r>
              <w:rPr>
                <w:rFonts w:ascii="宋体" w:hAnsi="宋体"/>
                <w:color w:val="auto"/>
              </w:rPr>
              <w:t>机械名称</w:t>
            </w:r>
          </w:p>
        </w:tc>
        <w:tc>
          <w:tcPr>
            <w:tcW w:w="7506" w:type="dxa"/>
            <w:gridSpan w:val="8"/>
          </w:tcPr>
          <w:p w14:paraId="389EDFA0">
            <w:pPr>
              <w:pStyle w:val="169"/>
              <w:spacing w:line="360" w:lineRule="exact"/>
              <w:rPr>
                <w:rFonts w:ascii="宋体" w:hAnsi="宋体"/>
                <w:color w:val="auto"/>
              </w:rPr>
            </w:pPr>
            <w:r>
              <w:rPr>
                <w:rFonts w:ascii="宋体" w:hAnsi="宋体"/>
                <w:color w:val="auto"/>
              </w:rPr>
              <w:t>离施工点距离不同处的噪声值</w:t>
            </w:r>
          </w:p>
        </w:tc>
      </w:tr>
      <w:tr w14:paraId="56B7D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5" w:type="dxa"/>
            <w:vMerge w:val="continue"/>
            <w:vAlign w:val="center"/>
          </w:tcPr>
          <w:p w14:paraId="10782591">
            <w:pPr>
              <w:pStyle w:val="169"/>
              <w:spacing w:line="360" w:lineRule="exact"/>
              <w:rPr>
                <w:rFonts w:ascii="宋体" w:hAnsi="宋体"/>
                <w:color w:val="auto"/>
              </w:rPr>
            </w:pPr>
          </w:p>
        </w:tc>
        <w:tc>
          <w:tcPr>
            <w:tcW w:w="992" w:type="dxa"/>
            <w:vAlign w:val="center"/>
          </w:tcPr>
          <w:p w14:paraId="6C45F21B">
            <w:pPr>
              <w:pStyle w:val="169"/>
              <w:spacing w:line="360" w:lineRule="exact"/>
              <w:rPr>
                <w:rFonts w:ascii="宋体" w:hAnsi="宋体"/>
                <w:color w:val="auto"/>
              </w:rPr>
            </w:pPr>
            <w:r>
              <w:rPr>
                <w:rFonts w:ascii="宋体" w:hAnsi="宋体"/>
                <w:color w:val="auto"/>
              </w:rPr>
              <w:t>10m</w:t>
            </w:r>
          </w:p>
        </w:tc>
        <w:tc>
          <w:tcPr>
            <w:tcW w:w="992" w:type="dxa"/>
          </w:tcPr>
          <w:p w14:paraId="5265EC1F">
            <w:pPr>
              <w:pStyle w:val="169"/>
              <w:spacing w:line="360" w:lineRule="exact"/>
              <w:rPr>
                <w:rFonts w:ascii="宋体" w:hAnsi="宋体"/>
                <w:color w:val="auto"/>
              </w:rPr>
            </w:pPr>
            <w:r>
              <w:rPr>
                <w:rFonts w:ascii="宋体" w:hAnsi="宋体"/>
                <w:color w:val="auto"/>
              </w:rPr>
              <w:t>40m</w:t>
            </w:r>
          </w:p>
        </w:tc>
        <w:tc>
          <w:tcPr>
            <w:tcW w:w="855" w:type="dxa"/>
            <w:tcBorders>
              <w:right w:val="single" w:color="auto" w:sz="4" w:space="0"/>
            </w:tcBorders>
            <w:vAlign w:val="center"/>
          </w:tcPr>
          <w:p w14:paraId="2B2033E9">
            <w:pPr>
              <w:pStyle w:val="169"/>
              <w:spacing w:line="360" w:lineRule="exact"/>
              <w:rPr>
                <w:rFonts w:ascii="宋体" w:hAnsi="宋体"/>
                <w:color w:val="auto"/>
              </w:rPr>
            </w:pPr>
            <w:r>
              <w:rPr>
                <w:rFonts w:ascii="宋体" w:hAnsi="宋体"/>
                <w:color w:val="auto"/>
              </w:rPr>
              <w:t>50m</w:t>
            </w:r>
          </w:p>
        </w:tc>
        <w:tc>
          <w:tcPr>
            <w:tcW w:w="846" w:type="dxa"/>
            <w:tcBorders>
              <w:left w:val="single" w:color="auto" w:sz="4" w:space="0"/>
            </w:tcBorders>
            <w:vAlign w:val="center"/>
          </w:tcPr>
          <w:p w14:paraId="0D743289">
            <w:pPr>
              <w:pStyle w:val="169"/>
              <w:spacing w:line="360" w:lineRule="exact"/>
              <w:rPr>
                <w:rFonts w:ascii="宋体" w:hAnsi="宋体"/>
                <w:color w:val="auto"/>
              </w:rPr>
            </w:pPr>
            <w:r>
              <w:rPr>
                <w:rFonts w:ascii="宋体" w:hAnsi="宋体"/>
                <w:color w:val="auto"/>
              </w:rPr>
              <w:t>80m</w:t>
            </w:r>
          </w:p>
        </w:tc>
        <w:tc>
          <w:tcPr>
            <w:tcW w:w="858" w:type="dxa"/>
            <w:vAlign w:val="center"/>
          </w:tcPr>
          <w:p w14:paraId="3DC370C9">
            <w:pPr>
              <w:pStyle w:val="169"/>
              <w:spacing w:line="360" w:lineRule="exact"/>
              <w:rPr>
                <w:rFonts w:ascii="宋体" w:hAnsi="宋体"/>
                <w:color w:val="auto"/>
              </w:rPr>
            </w:pPr>
            <w:r>
              <w:rPr>
                <w:rFonts w:ascii="宋体" w:hAnsi="宋体"/>
                <w:color w:val="auto"/>
              </w:rPr>
              <w:t>100m</w:t>
            </w:r>
          </w:p>
        </w:tc>
        <w:tc>
          <w:tcPr>
            <w:tcW w:w="1024" w:type="dxa"/>
            <w:vAlign w:val="center"/>
          </w:tcPr>
          <w:p w14:paraId="0DCA9FA5">
            <w:pPr>
              <w:pStyle w:val="169"/>
              <w:spacing w:line="360" w:lineRule="exact"/>
              <w:rPr>
                <w:rFonts w:ascii="宋体" w:hAnsi="宋体"/>
                <w:color w:val="auto"/>
              </w:rPr>
            </w:pPr>
            <w:r>
              <w:rPr>
                <w:rFonts w:ascii="宋体" w:hAnsi="宋体"/>
                <w:color w:val="auto"/>
              </w:rPr>
              <w:t>150m</w:t>
            </w:r>
          </w:p>
        </w:tc>
        <w:tc>
          <w:tcPr>
            <w:tcW w:w="902" w:type="dxa"/>
            <w:vAlign w:val="center"/>
          </w:tcPr>
          <w:p w14:paraId="315B4181">
            <w:pPr>
              <w:pStyle w:val="169"/>
              <w:spacing w:line="360" w:lineRule="exact"/>
              <w:rPr>
                <w:rFonts w:ascii="宋体" w:hAnsi="宋体"/>
                <w:color w:val="auto"/>
              </w:rPr>
            </w:pPr>
            <w:r>
              <w:rPr>
                <w:rFonts w:ascii="宋体" w:hAnsi="宋体"/>
                <w:color w:val="auto"/>
              </w:rPr>
              <w:t>200m</w:t>
            </w:r>
          </w:p>
        </w:tc>
        <w:tc>
          <w:tcPr>
            <w:tcW w:w="1037" w:type="dxa"/>
            <w:vAlign w:val="center"/>
          </w:tcPr>
          <w:p w14:paraId="14ECAD0F">
            <w:pPr>
              <w:pStyle w:val="169"/>
              <w:spacing w:line="360" w:lineRule="exact"/>
              <w:rPr>
                <w:rFonts w:ascii="宋体" w:hAnsi="宋体"/>
                <w:color w:val="auto"/>
              </w:rPr>
            </w:pPr>
            <w:r>
              <w:rPr>
                <w:rFonts w:ascii="宋体" w:hAnsi="宋体"/>
                <w:color w:val="auto"/>
              </w:rPr>
              <w:t>300m</w:t>
            </w:r>
          </w:p>
        </w:tc>
      </w:tr>
      <w:tr w14:paraId="49423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5" w:type="dxa"/>
            <w:vAlign w:val="center"/>
          </w:tcPr>
          <w:p w14:paraId="66F133EB">
            <w:pPr>
              <w:pStyle w:val="169"/>
              <w:spacing w:line="360" w:lineRule="exact"/>
              <w:rPr>
                <w:rFonts w:ascii="宋体" w:hAnsi="宋体"/>
                <w:color w:val="auto"/>
              </w:rPr>
            </w:pPr>
            <w:r>
              <w:rPr>
                <w:rFonts w:ascii="宋体" w:hAnsi="宋体"/>
                <w:snapToGrid w:val="0"/>
                <w:color w:val="auto"/>
              </w:rPr>
              <w:t>挖掘机</w:t>
            </w:r>
          </w:p>
        </w:tc>
        <w:tc>
          <w:tcPr>
            <w:tcW w:w="992" w:type="dxa"/>
            <w:vAlign w:val="center"/>
          </w:tcPr>
          <w:p w14:paraId="4E61B32F">
            <w:pPr>
              <w:pStyle w:val="169"/>
              <w:spacing w:line="360" w:lineRule="exact"/>
              <w:rPr>
                <w:rFonts w:ascii="宋体" w:hAnsi="宋体" w:eastAsia="宋体" w:cs="Times New Roman"/>
                <w:color w:val="auto"/>
              </w:rPr>
            </w:pPr>
            <w:r>
              <w:rPr>
                <w:rFonts w:ascii="宋体" w:hAnsi="宋体" w:eastAsia="宋体" w:cs="Times New Roman"/>
                <w:color w:val="auto"/>
              </w:rPr>
              <w:t>76.0</w:t>
            </w:r>
          </w:p>
        </w:tc>
        <w:tc>
          <w:tcPr>
            <w:tcW w:w="992" w:type="dxa"/>
          </w:tcPr>
          <w:p w14:paraId="1523F2BC">
            <w:pPr>
              <w:pStyle w:val="169"/>
              <w:spacing w:line="360" w:lineRule="exact"/>
              <w:rPr>
                <w:rFonts w:ascii="宋体" w:hAnsi="宋体"/>
                <w:color w:val="auto"/>
              </w:rPr>
            </w:pPr>
            <w:r>
              <w:rPr>
                <w:rFonts w:ascii="宋体" w:hAnsi="宋体"/>
                <w:color w:val="auto"/>
              </w:rPr>
              <w:t>59.1</w:t>
            </w:r>
          </w:p>
        </w:tc>
        <w:tc>
          <w:tcPr>
            <w:tcW w:w="855" w:type="dxa"/>
            <w:tcBorders>
              <w:right w:val="single" w:color="auto" w:sz="4" w:space="0"/>
            </w:tcBorders>
            <w:vAlign w:val="center"/>
          </w:tcPr>
          <w:p w14:paraId="1F23D5EA">
            <w:pPr>
              <w:pStyle w:val="169"/>
              <w:spacing w:line="360" w:lineRule="exact"/>
              <w:rPr>
                <w:rFonts w:ascii="宋体" w:hAnsi="宋体"/>
                <w:color w:val="auto"/>
              </w:rPr>
            </w:pPr>
            <w:r>
              <w:rPr>
                <w:rFonts w:ascii="宋体" w:hAnsi="宋体"/>
                <w:color w:val="auto"/>
              </w:rPr>
              <w:t>57.0</w:t>
            </w:r>
          </w:p>
        </w:tc>
        <w:tc>
          <w:tcPr>
            <w:tcW w:w="846" w:type="dxa"/>
            <w:tcBorders>
              <w:left w:val="single" w:color="auto" w:sz="4" w:space="0"/>
            </w:tcBorders>
            <w:vAlign w:val="center"/>
          </w:tcPr>
          <w:p w14:paraId="3CD22DA7">
            <w:pPr>
              <w:pStyle w:val="169"/>
              <w:spacing w:line="360" w:lineRule="exact"/>
              <w:rPr>
                <w:rFonts w:ascii="宋体" w:hAnsi="宋体"/>
                <w:color w:val="auto"/>
              </w:rPr>
            </w:pPr>
            <w:r>
              <w:rPr>
                <w:rFonts w:ascii="宋体" w:hAnsi="宋体"/>
                <w:color w:val="auto"/>
              </w:rPr>
              <w:t>53.1</w:t>
            </w:r>
          </w:p>
        </w:tc>
        <w:tc>
          <w:tcPr>
            <w:tcW w:w="858" w:type="dxa"/>
            <w:vAlign w:val="center"/>
          </w:tcPr>
          <w:p w14:paraId="662E299F">
            <w:pPr>
              <w:pStyle w:val="169"/>
              <w:spacing w:line="360" w:lineRule="exact"/>
              <w:rPr>
                <w:rFonts w:ascii="宋体" w:hAnsi="宋体"/>
                <w:color w:val="auto"/>
              </w:rPr>
            </w:pPr>
            <w:r>
              <w:rPr>
                <w:rFonts w:ascii="宋体" w:hAnsi="宋体"/>
                <w:color w:val="auto"/>
              </w:rPr>
              <w:t>50.4</w:t>
            </w:r>
          </w:p>
        </w:tc>
        <w:tc>
          <w:tcPr>
            <w:tcW w:w="1024" w:type="dxa"/>
            <w:vAlign w:val="center"/>
          </w:tcPr>
          <w:p w14:paraId="13FF9D52">
            <w:pPr>
              <w:pStyle w:val="169"/>
              <w:spacing w:line="360" w:lineRule="exact"/>
              <w:rPr>
                <w:rFonts w:ascii="宋体" w:hAnsi="宋体"/>
                <w:color w:val="auto"/>
              </w:rPr>
            </w:pPr>
            <w:r>
              <w:rPr>
                <w:rFonts w:ascii="宋体" w:hAnsi="宋体"/>
                <w:color w:val="auto"/>
              </w:rPr>
              <w:t>46.8</w:t>
            </w:r>
          </w:p>
        </w:tc>
        <w:tc>
          <w:tcPr>
            <w:tcW w:w="902" w:type="dxa"/>
            <w:vAlign w:val="center"/>
          </w:tcPr>
          <w:p w14:paraId="5042FD1F">
            <w:pPr>
              <w:pStyle w:val="169"/>
              <w:spacing w:line="360" w:lineRule="exact"/>
              <w:rPr>
                <w:rFonts w:ascii="宋体" w:hAnsi="宋体"/>
                <w:color w:val="auto"/>
              </w:rPr>
            </w:pPr>
            <w:r>
              <w:rPr>
                <w:rFonts w:ascii="宋体" w:hAnsi="宋体"/>
                <w:color w:val="auto"/>
              </w:rPr>
              <w:t>44.2</w:t>
            </w:r>
          </w:p>
        </w:tc>
        <w:tc>
          <w:tcPr>
            <w:tcW w:w="1037" w:type="dxa"/>
            <w:vAlign w:val="center"/>
          </w:tcPr>
          <w:p w14:paraId="34F58027">
            <w:pPr>
              <w:pStyle w:val="169"/>
              <w:spacing w:line="360" w:lineRule="exact"/>
              <w:rPr>
                <w:rFonts w:ascii="宋体" w:hAnsi="宋体"/>
                <w:color w:val="auto"/>
              </w:rPr>
            </w:pPr>
            <w:r>
              <w:rPr>
                <w:rFonts w:ascii="宋体" w:hAnsi="宋体"/>
                <w:color w:val="auto"/>
              </w:rPr>
              <w:t>40.6</w:t>
            </w:r>
          </w:p>
        </w:tc>
      </w:tr>
      <w:tr w14:paraId="37126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5" w:type="dxa"/>
            <w:vAlign w:val="center"/>
          </w:tcPr>
          <w:p w14:paraId="0C0F4232">
            <w:pPr>
              <w:pStyle w:val="169"/>
              <w:spacing w:line="360" w:lineRule="exact"/>
              <w:rPr>
                <w:rFonts w:ascii="宋体" w:hAnsi="宋体"/>
                <w:color w:val="auto"/>
              </w:rPr>
            </w:pPr>
            <w:r>
              <w:rPr>
                <w:rFonts w:ascii="宋体" w:hAnsi="宋体"/>
                <w:snapToGrid w:val="0"/>
                <w:color w:val="auto"/>
              </w:rPr>
              <w:t>推土机</w:t>
            </w:r>
          </w:p>
        </w:tc>
        <w:tc>
          <w:tcPr>
            <w:tcW w:w="992" w:type="dxa"/>
            <w:vAlign w:val="center"/>
          </w:tcPr>
          <w:p w14:paraId="406B2532">
            <w:pPr>
              <w:pStyle w:val="169"/>
              <w:spacing w:line="360" w:lineRule="exact"/>
              <w:rPr>
                <w:rFonts w:ascii="宋体" w:hAnsi="宋体" w:eastAsia="宋体" w:cs="Times New Roman"/>
                <w:color w:val="auto"/>
              </w:rPr>
            </w:pPr>
            <w:r>
              <w:rPr>
                <w:rFonts w:ascii="宋体" w:hAnsi="宋体" w:eastAsia="宋体" w:cs="Times New Roman"/>
                <w:color w:val="auto"/>
              </w:rPr>
              <w:t>74.0</w:t>
            </w:r>
          </w:p>
        </w:tc>
        <w:tc>
          <w:tcPr>
            <w:tcW w:w="992" w:type="dxa"/>
          </w:tcPr>
          <w:p w14:paraId="697ECF5F">
            <w:pPr>
              <w:pStyle w:val="169"/>
              <w:spacing w:line="360" w:lineRule="exact"/>
              <w:rPr>
                <w:rFonts w:ascii="宋体" w:hAnsi="宋体"/>
                <w:color w:val="auto"/>
              </w:rPr>
            </w:pPr>
            <w:r>
              <w:rPr>
                <w:rFonts w:ascii="宋体" w:hAnsi="宋体"/>
                <w:color w:val="auto"/>
              </w:rPr>
              <w:t>57.1</w:t>
            </w:r>
          </w:p>
        </w:tc>
        <w:tc>
          <w:tcPr>
            <w:tcW w:w="855" w:type="dxa"/>
            <w:tcBorders>
              <w:right w:val="single" w:color="auto" w:sz="4" w:space="0"/>
            </w:tcBorders>
            <w:vAlign w:val="center"/>
          </w:tcPr>
          <w:p w14:paraId="40E6520B">
            <w:pPr>
              <w:pStyle w:val="169"/>
              <w:spacing w:line="360" w:lineRule="exact"/>
              <w:rPr>
                <w:rFonts w:ascii="宋体" w:hAnsi="宋体"/>
                <w:color w:val="auto"/>
              </w:rPr>
            </w:pPr>
            <w:r>
              <w:rPr>
                <w:rFonts w:ascii="宋体" w:hAnsi="宋体"/>
                <w:color w:val="auto"/>
              </w:rPr>
              <w:t>55.0</w:t>
            </w:r>
          </w:p>
        </w:tc>
        <w:tc>
          <w:tcPr>
            <w:tcW w:w="846" w:type="dxa"/>
            <w:tcBorders>
              <w:left w:val="single" w:color="auto" w:sz="4" w:space="0"/>
            </w:tcBorders>
            <w:vAlign w:val="center"/>
          </w:tcPr>
          <w:p w14:paraId="5EE6445D">
            <w:pPr>
              <w:pStyle w:val="169"/>
              <w:spacing w:line="360" w:lineRule="exact"/>
              <w:rPr>
                <w:rFonts w:ascii="宋体" w:hAnsi="宋体"/>
                <w:color w:val="auto"/>
              </w:rPr>
            </w:pPr>
            <w:r>
              <w:rPr>
                <w:rFonts w:ascii="宋体" w:hAnsi="宋体"/>
                <w:color w:val="auto"/>
              </w:rPr>
              <w:t>51.1</w:t>
            </w:r>
          </w:p>
        </w:tc>
        <w:tc>
          <w:tcPr>
            <w:tcW w:w="858" w:type="dxa"/>
            <w:vAlign w:val="center"/>
          </w:tcPr>
          <w:p w14:paraId="42D991DB">
            <w:pPr>
              <w:pStyle w:val="169"/>
              <w:spacing w:line="360" w:lineRule="exact"/>
              <w:rPr>
                <w:rFonts w:ascii="宋体" w:hAnsi="宋体"/>
                <w:color w:val="auto"/>
              </w:rPr>
            </w:pPr>
            <w:r>
              <w:rPr>
                <w:rFonts w:ascii="宋体" w:hAnsi="宋体"/>
                <w:color w:val="auto"/>
              </w:rPr>
              <w:t>48.4</w:t>
            </w:r>
          </w:p>
        </w:tc>
        <w:tc>
          <w:tcPr>
            <w:tcW w:w="1024" w:type="dxa"/>
            <w:vAlign w:val="center"/>
          </w:tcPr>
          <w:p w14:paraId="2FBD51E1">
            <w:pPr>
              <w:pStyle w:val="169"/>
              <w:spacing w:line="360" w:lineRule="exact"/>
              <w:rPr>
                <w:rFonts w:ascii="宋体" w:hAnsi="宋体"/>
                <w:color w:val="auto"/>
              </w:rPr>
            </w:pPr>
            <w:r>
              <w:rPr>
                <w:rFonts w:ascii="宋体" w:hAnsi="宋体"/>
                <w:color w:val="auto"/>
              </w:rPr>
              <w:t>44.8</w:t>
            </w:r>
          </w:p>
        </w:tc>
        <w:tc>
          <w:tcPr>
            <w:tcW w:w="902" w:type="dxa"/>
            <w:vAlign w:val="center"/>
          </w:tcPr>
          <w:p w14:paraId="0CFAFDFB">
            <w:pPr>
              <w:pStyle w:val="169"/>
              <w:spacing w:line="360" w:lineRule="exact"/>
              <w:rPr>
                <w:rFonts w:ascii="宋体" w:hAnsi="宋体"/>
                <w:color w:val="auto"/>
              </w:rPr>
            </w:pPr>
            <w:r>
              <w:rPr>
                <w:rFonts w:ascii="宋体" w:hAnsi="宋体"/>
                <w:color w:val="auto"/>
              </w:rPr>
              <w:t>42.2</w:t>
            </w:r>
          </w:p>
        </w:tc>
        <w:tc>
          <w:tcPr>
            <w:tcW w:w="1037" w:type="dxa"/>
            <w:vAlign w:val="center"/>
          </w:tcPr>
          <w:p w14:paraId="13EE467A">
            <w:pPr>
              <w:pStyle w:val="169"/>
              <w:spacing w:line="360" w:lineRule="exact"/>
              <w:rPr>
                <w:rFonts w:ascii="宋体" w:hAnsi="宋体"/>
                <w:color w:val="auto"/>
              </w:rPr>
            </w:pPr>
            <w:r>
              <w:rPr>
                <w:rFonts w:ascii="宋体" w:hAnsi="宋体"/>
                <w:color w:val="auto"/>
              </w:rPr>
              <w:t>38.6</w:t>
            </w:r>
          </w:p>
        </w:tc>
      </w:tr>
      <w:tr w14:paraId="1741B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5" w:type="dxa"/>
            <w:vAlign w:val="center"/>
          </w:tcPr>
          <w:p w14:paraId="579152DE">
            <w:pPr>
              <w:pStyle w:val="169"/>
              <w:spacing w:line="360" w:lineRule="exact"/>
              <w:rPr>
                <w:rFonts w:ascii="宋体" w:hAnsi="宋体"/>
                <w:color w:val="auto"/>
              </w:rPr>
            </w:pPr>
            <w:r>
              <w:rPr>
                <w:rFonts w:ascii="宋体" w:hAnsi="宋体"/>
                <w:color w:val="auto"/>
              </w:rPr>
              <w:t>压路机</w:t>
            </w:r>
          </w:p>
        </w:tc>
        <w:tc>
          <w:tcPr>
            <w:tcW w:w="992" w:type="dxa"/>
            <w:vAlign w:val="center"/>
          </w:tcPr>
          <w:p w14:paraId="7D24F692">
            <w:pPr>
              <w:pStyle w:val="169"/>
              <w:spacing w:line="360" w:lineRule="exact"/>
              <w:rPr>
                <w:rFonts w:ascii="宋体" w:hAnsi="宋体" w:eastAsia="宋体" w:cs="Times New Roman"/>
                <w:color w:val="auto"/>
              </w:rPr>
            </w:pPr>
            <w:r>
              <w:rPr>
                <w:rFonts w:ascii="宋体" w:hAnsi="宋体" w:eastAsia="宋体" w:cs="Times New Roman"/>
                <w:color w:val="auto"/>
              </w:rPr>
              <w:t>76.0</w:t>
            </w:r>
          </w:p>
        </w:tc>
        <w:tc>
          <w:tcPr>
            <w:tcW w:w="992" w:type="dxa"/>
          </w:tcPr>
          <w:p w14:paraId="0E143CC6">
            <w:pPr>
              <w:pStyle w:val="169"/>
              <w:spacing w:line="360" w:lineRule="exact"/>
              <w:rPr>
                <w:rFonts w:ascii="宋体" w:hAnsi="宋体"/>
                <w:color w:val="auto"/>
              </w:rPr>
            </w:pPr>
            <w:r>
              <w:rPr>
                <w:rFonts w:ascii="宋体" w:hAnsi="宋体"/>
                <w:color w:val="auto"/>
              </w:rPr>
              <w:t>59.1</w:t>
            </w:r>
          </w:p>
        </w:tc>
        <w:tc>
          <w:tcPr>
            <w:tcW w:w="855" w:type="dxa"/>
            <w:tcBorders>
              <w:right w:val="single" w:color="auto" w:sz="4" w:space="0"/>
            </w:tcBorders>
            <w:vAlign w:val="center"/>
          </w:tcPr>
          <w:p w14:paraId="396C239D">
            <w:pPr>
              <w:pStyle w:val="169"/>
              <w:spacing w:line="360" w:lineRule="exact"/>
              <w:rPr>
                <w:rFonts w:ascii="宋体" w:hAnsi="宋体"/>
                <w:color w:val="auto"/>
              </w:rPr>
            </w:pPr>
            <w:r>
              <w:rPr>
                <w:rFonts w:ascii="宋体" w:hAnsi="宋体"/>
                <w:color w:val="auto"/>
              </w:rPr>
              <w:t>57.0</w:t>
            </w:r>
          </w:p>
        </w:tc>
        <w:tc>
          <w:tcPr>
            <w:tcW w:w="846" w:type="dxa"/>
            <w:tcBorders>
              <w:left w:val="single" w:color="auto" w:sz="4" w:space="0"/>
            </w:tcBorders>
            <w:vAlign w:val="center"/>
          </w:tcPr>
          <w:p w14:paraId="049F13E8">
            <w:pPr>
              <w:pStyle w:val="169"/>
              <w:spacing w:line="360" w:lineRule="exact"/>
              <w:rPr>
                <w:rFonts w:ascii="宋体" w:hAnsi="宋体"/>
                <w:color w:val="auto"/>
              </w:rPr>
            </w:pPr>
            <w:r>
              <w:rPr>
                <w:rFonts w:ascii="宋体" w:hAnsi="宋体"/>
                <w:color w:val="auto"/>
              </w:rPr>
              <w:t>53.1</w:t>
            </w:r>
          </w:p>
        </w:tc>
        <w:tc>
          <w:tcPr>
            <w:tcW w:w="858" w:type="dxa"/>
            <w:vAlign w:val="center"/>
          </w:tcPr>
          <w:p w14:paraId="65CB64E6">
            <w:pPr>
              <w:pStyle w:val="169"/>
              <w:spacing w:line="360" w:lineRule="exact"/>
              <w:rPr>
                <w:rFonts w:ascii="宋体" w:hAnsi="宋体"/>
                <w:color w:val="auto"/>
              </w:rPr>
            </w:pPr>
            <w:r>
              <w:rPr>
                <w:rFonts w:ascii="宋体" w:hAnsi="宋体"/>
                <w:color w:val="auto"/>
              </w:rPr>
              <w:t>50.4</w:t>
            </w:r>
          </w:p>
        </w:tc>
        <w:tc>
          <w:tcPr>
            <w:tcW w:w="1024" w:type="dxa"/>
            <w:vAlign w:val="center"/>
          </w:tcPr>
          <w:p w14:paraId="46EABF8B">
            <w:pPr>
              <w:pStyle w:val="169"/>
              <w:spacing w:line="360" w:lineRule="exact"/>
              <w:rPr>
                <w:rFonts w:ascii="宋体" w:hAnsi="宋体"/>
                <w:color w:val="auto"/>
              </w:rPr>
            </w:pPr>
            <w:r>
              <w:rPr>
                <w:rFonts w:ascii="宋体" w:hAnsi="宋体"/>
                <w:color w:val="auto"/>
              </w:rPr>
              <w:t>46.8</w:t>
            </w:r>
          </w:p>
        </w:tc>
        <w:tc>
          <w:tcPr>
            <w:tcW w:w="902" w:type="dxa"/>
            <w:vAlign w:val="center"/>
          </w:tcPr>
          <w:p w14:paraId="36C3183B">
            <w:pPr>
              <w:pStyle w:val="169"/>
              <w:spacing w:line="360" w:lineRule="exact"/>
              <w:rPr>
                <w:rFonts w:ascii="宋体" w:hAnsi="宋体"/>
                <w:color w:val="auto"/>
              </w:rPr>
            </w:pPr>
            <w:r>
              <w:rPr>
                <w:rFonts w:ascii="宋体" w:hAnsi="宋体"/>
                <w:color w:val="auto"/>
              </w:rPr>
              <w:t>44.2</w:t>
            </w:r>
          </w:p>
        </w:tc>
        <w:tc>
          <w:tcPr>
            <w:tcW w:w="1037" w:type="dxa"/>
            <w:vAlign w:val="center"/>
          </w:tcPr>
          <w:p w14:paraId="75855603">
            <w:pPr>
              <w:pStyle w:val="169"/>
              <w:spacing w:line="360" w:lineRule="exact"/>
              <w:rPr>
                <w:rFonts w:ascii="宋体" w:hAnsi="宋体"/>
                <w:color w:val="auto"/>
              </w:rPr>
            </w:pPr>
            <w:r>
              <w:rPr>
                <w:rFonts w:ascii="宋体" w:hAnsi="宋体"/>
                <w:color w:val="auto"/>
              </w:rPr>
              <w:t>40.6</w:t>
            </w:r>
          </w:p>
        </w:tc>
      </w:tr>
      <w:tr w14:paraId="7A5E3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5" w:type="dxa"/>
            <w:vAlign w:val="center"/>
          </w:tcPr>
          <w:p w14:paraId="4ED69502">
            <w:pPr>
              <w:pStyle w:val="169"/>
              <w:spacing w:line="360" w:lineRule="exact"/>
              <w:rPr>
                <w:rFonts w:ascii="宋体" w:hAnsi="宋体"/>
                <w:color w:val="auto"/>
              </w:rPr>
            </w:pPr>
            <w:r>
              <w:rPr>
                <w:rFonts w:ascii="宋体" w:hAnsi="宋体"/>
                <w:color w:val="auto"/>
              </w:rPr>
              <w:t>电焊机</w:t>
            </w:r>
          </w:p>
        </w:tc>
        <w:tc>
          <w:tcPr>
            <w:tcW w:w="992" w:type="dxa"/>
            <w:vAlign w:val="center"/>
          </w:tcPr>
          <w:p w14:paraId="191F55BB">
            <w:pPr>
              <w:pStyle w:val="169"/>
              <w:spacing w:line="360" w:lineRule="exact"/>
              <w:rPr>
                <w:rFonts w:ascii="宋体" w:hAnsi="宋体"/>
                <w:color w:val="auto"/>
              </w:rPr>
            </w:pPr>
            <w:r>
              <w:rPr>
                <w:rFonts w:ascii="宋体" w:hAnsi="宋体"/>
                <w:color w:val="auto"/>
              </w:rPr>
              <w:t>50</w:t>
            </w:r>
          </w:p>
        </w:tc>
        <w:tc>
          <w:tcPr>
            <w:tcW w:w="992" w:type="dxa"/>
          </w:tcPr>
          <w:p w14:paraId="62289EE7">
            <w:pPr>
              <w:pStyle w:val="169"/>
              <w:spacing w:line="360" w:lineRule="exact"/>
              <w:rPr>
                <w:rFonts w:ascii="宋体" w:hAnsi="宋体"/>
                <w:color w:val="auto"/>
              </w:rPr>
            </w:pPr>
            <w:r>
              <w:rPr>
                <w:rFonts w:ascii="宋体" w:hAnsi="宋体"/>
                <w:color w:val="auto"/>
              </w:rPr>
              <w:t>38.0</w:t>
            </w:r>
          </w:p>
        </w:tc>
        <w:tc>
          <w:tcPr>
            <w:tcW w:w="855" w:type="dxa"/>
            <w:tcBorders>
              <w:right w:val="single" w:color="auto" w:sz="4" w:space="0"/>
            </w:tcBorders>
            <w:vAlign w:val="center"/>
          </w:tcPr>
          <w:p w14:paraId="4B64F80E">
            <w:pPr>
              <w:pStyle w:val="169"/>
              <w:spacing w:line="360" w:lineRule="exact"/>
              <w:rPr>
                <w:rFonts w:ascii="宋体" w:hAnsi="宋体"/>
                <w:color w:val="auto"/>
              </w:rPr>
            </w:pPr>
            <w:r>
              <w:rPr>
                <w:rFonts w:ascii="宋体" w:hAnsi="宋体"/>
                <w:color w:val="auto"/>
              </w:rPr>
              <w:t>36.0</w:t>
            </w:r>
          </w:p>
        </w:tc>
        <w:tc>
          <w:tcPr>
            <w:tcW w:w="846" w:type="dxa"/>
            <w:tcBorders>
              <w:left w:val="single" w:color="auto" w:sz="4" w:space="0"/>
            </w:tcBorders>
            <w:vAlign w:val="center"/>
          </w:tcPr>
          <w:p w14:paraId="7B8D1FC0">
            <w:pPr>
              <w:pStyle w:val="169"/>
              <w:spacing w:line="360" w:lineRule="exact"/>
              <w:rPr>
                <w:rFonts w:ascii="宋体" w:hAnsi="宋体"/>
                <w:color w:val="auto"/>
              </w:rPr>
            </w:pPr>
            <w:r>
              <w:rPr>
                <w:rFonts w:ascii="宋体" w:hAnsi="宋体"/>
                <w:color w:val="auto"/>
              </w:rPr>
              <w:t>32.0</w:t>
            </w:r>
          </w:p>
        </w:tc>
        <w:tc>
          <w:tcPr>
            <w:tcW w:w="858" w:type="dxa"/>
            <w:vAlign w:val="center"/>
          </w:tcPr>
          <w:p w14:paraId="700813D0">
            <w:pPr>
              <w:pStyle w:val="169"/>
              <w:spacing w:line="360" w:lineRule="exact"/>
              <w:rPr>
                <w:rFonts w:ascii="宋体" w:hAnsi="宋体"/>
                <w:color w:val="auto"/>
              </w:rPr>
            </w:pPr>
            <w:r>
              <w:rPr>
                <w:rFonts w:ascii="宋体" w:hAnsi="宋体"/>
                <w:color w:val="auto"/>
              </w:rPr>
              <w:t>30.0</w:t>
            </w:r>
          </w:p>
        </w:tc>
        <w:tc>
          <w:tcPr>
            <w:tcW w:w="1024" w:type="dxa"/>
            <w:vAlign w:val="center"/>
          </w:tcPr>
          <w:p w14:paraId="00ED1790">
            <w:pPr>
              <w:pStyle w:val="169"/>
              <w:spacing w:line="360" w:lineRule="exact"/>
              <w:rPr>
                <w:rFonts w:ascii="宋体" w:hAnsi="宋体"/>
                <w:color w:val="auto"/>
              </w:rPr>
            </w:pPr>
            <w:r>
              <w:rPr>
                <w:rFonts w:ascii="宋体" w:hAnsi="宋体"/>
                <w:color w:val="auto"/>
              </w:rPr>
              <w:t>26.5</w:t>
            </w:r>
          </w:p>
        </w:tc>
        <w:tc>
          <w:tcPr>
            <w:tcW w:w="902" w:type="dxa"/>
            <w:vAlign w:val="center"/>
          </w:tcPr>
          <w:p w14:paraId="22ADB2AD">
            <w:pPr>
              <w:pStyle w:val="169"/>
              <w:spacing w:line="360" w:lineRule="exact"/>
              <w:rPr>
                <w:rFonts w:ascii="宋体" w:hAnsi="宋体"/>
                <w:color w:val="auto"/>
              </w:rPr>
            </w:pPr>
            <w:r>
              <w:rPr>
                <w:rFonts w:ascii="宋体" w:hAnsi="宋体"/>
                <w:color w:val="auto"/>
              </w:rPr>
              <w:t>24.0</w:t>
            </w:r>
          </w:p>
        </w:tc>
        <w:tc>
          <w:tcPr>
            <w:tcW w:w="1037" w:type="dxa"/>
            <w:vAlign w:val="center"/>
          </w:tcPr>
          <w:p w14:paraId="7CAC55A3">
            <w:pPr>
              <w:pStyle w:val="169"/>
              <w:spacing w:line="360" w:lineRule="exact"/>
              <w:rPr>
                <w:rFonts w:ascii="宋体" w:hAnsi="宋体"/>
                <w:color w:val="auto"/>
              </w:rPr>
            </w:pPr>
            <w:r>
              <w:rPr>
                <w:rFonts w:ascii="宋体" w:hAnsi="宋体"/>
                <w:color w:val="auto"/>
              </w:rPr>
              <w:t>20.5</w:t>
            </w:r>
          </w:p>
        </w:tc>
      </w:tr>
      <w:tr w14:paraId="1F17B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55" w:type="dxa"/>
            <w:vAlign w:val="center"/>
          </w:tcPr>
          <w:p w14:paraId="0C28E0CC">
            <w:pPr>
              <w:pStyle w:val="169"/>
              <w:spacing w:line="360" w:lineRule="exact"/>
              <w:rPr>
                <w:rFonts w:ascii="宋体" w:hAnsi="宋体"/>
                <w:color w:val="auto"/>
              </w:rPr>
            </w:pPr>
            <w:r>
              <w:rPr>
                <w:rFonts w:ascii="宋体" w:hAnsi="宋体"/>
                <w:color w:val="auto"/>
              </w:rPr>
              <w:t>运输车辆</w:t>
            </w:r>
          </w:p>
        </w:tc>
        <w:tc>
          <w:tcPr>
            <w:tcW w:w="992" w:type="dxa"/>
            <w:vAlign w:val="center"/>
          </w:tcPr>
          <w:p w14:paraId="1744A3F1">
            <w:pPr>
              <w:pStyle w:val="169"/>
              <w:spacing w:line="360" w:lineRule="exact"/>
              <w:rPr>
                <w:rFonts w:ascii="宋体" w:hAnsi="宋体"/>
                <w:color w:val="auto"/>
              </w:rPr>
            </w:pPr>
            <w:r>
              <w:rPr>
                <w:rFonts w:ascii="宋体" w:hAnsi="宋体"/>
                <w:color w:val="auto"/>
              </w:rPr>
              <w:t>70.0</w:t>
            </w:r>
          </w:p>
        </w:tc>
        <w:tc>
          <w:tcPr>
            <w:tcW w:w="992" w:type="dxa"/>
          </w:tcPr>
          <w:p w14:paraId="3F520002">
            <w:pPr>
              <w:pStyle w:val="169"/>
              <w:spacing w:line="360" w:lineRule="exact"/>
              <w:rPr>
                <w:rFonts w:ascii="宋体" w:hAnsi="宋体"/>
                <w:color w:val="auto"/>
              </w:rPr>
            </w:pPr>
            <w:r>
              <w:rPr>
                <w:rFonts w:ascii="宋体" w:hAnsi="宋体"/>
                <w:color w:val="auto"/>
              </w:rPr>
              <w:t>58.0</w:t>
            </w:r>
          </w:p>
        </w:tc>
        <w:tc>
          <w:tcPr>
            <w:tcW w:w="855" w:type="dxa"/>
            <w:tcBorders>
              <w:right w:val="single" w:color="auto" w:sz="4" w:space="0"/>
            </w:tcBorders>
            <w:vAlign w:val="center"/>
          </w:tcPr>
          <w:p w14:paraId="47D7340D">
            <w:pPr>
              <w:pStyle w:val="169"/>
              <w:spacing w:line="360" w:lineRule="exact"/>
              <w:rPr>
                <w:rFonts w:ascii="宋体" w:hAnsi="宋体"/>
                <w:color w:val="auto"/>
              </w:rPr>
            </w:pPr>
            <w:r>
              <w:rPr>
                <w:rFonts w:ascii="宋体" w:hAnsi="宋体"/>
                <w:color w:val="auto"/>
              </w:rPr>
              <w:t>56.0</w:t>
            </w:r>
          </w:p>
        </w:tc>
        <w:tc>
          <w:tcPr>
            <w:tcW w:w="846" w:type="dxa"/>
            <w:tcBorders>
              <w:left w:val="single" w:color="auto" w:sz="4" w:space="0"/>
            </w:tcBorders>
            <w:vAlign w:val="center"/>
          </w:tcPr>
          <w:p w14:paraId="25F4C312">
            <w:pPr>
              <w:pStyle w:val="169"/>
              <w:spacing w:line="360" w:lineRule="exact"/>
              <w:rPr>
                <w:rFonts w:ascii="宋体" w:hAnsi="宋体"/>
                <w:color w:val="auto"/>
              </w:rPr>
            </w:pPr>
            <w:r>
              <w:rPr>
                <w:rFonts w:ascii="宋体" w:hAnsi="宋体"/>
                <w:color w:val="auto"/>
              </w:rPr>
              <w:t>52.0</w:t>
            </w:r>
          </w:p>
        </w:tc>
        <w:tc>
          <w:tcPr>
            <w:tcW w:w="858" w:type="dxa"/>
            <w:vAlign w:val="center"/>
          </w:tcPr>
          <w:p w14:paraId="39EC560B">
            <w:pPr>
              <w:pStyle w:val="169"/>
              <w:spacing w:line="360" w:lineRule="exact"/>
              <w:rPr>
                <w:rFonts w:ascii="宋体" w:hAnsi="宋体"/>
                <w:color w:val="auto"/>
              </w:rPr>
            </w:pPr>
            <w:r>
              <w:rPr>
                <w:rFonts w:ascii="宋体" w:hAnsi="宋体"/>
                <w:color w:val="auto"/>
              </w:rPr>
              <w:t>50.0</w:t>
            </w:r>
          </w:p>
        </w:tc>
        <w:tc>
          <w:tcPr>
            <w:tcW w:w="1024" w:type="dxa"/>
            <w:vAlign w:val="center"/>
          </w:tcPr>
          <w:p w14:paraId="3AADA8EE">
            <w:pPr>
              <w:pStyle w:val="169"/>
              <w:spacing w:line="360" w:lineRule="exact"/>
              <w:rPr>
                <w:rFonts w:ascii="宋体" w:hAnsi="宋体"/>
                <w:color w:val="auto"/>
              </w:rPr>
            </w:pPr>
            <w:r>
              <w:rPr>
                <w:rFonts w:ascii="宋体" w:hAnsi="宋体"/>
                <w:color w:val="auto"/>
              </w:rPr>
              <w:t>46.5</w:t>
            </w:r>
          </w:p>
        </w:tc>
        <w:tc>
          <w:tcPr>
            <w:tcW w:w="902" w:type="dxa"/>
            <w:vAlign w:val="center"/>
          </w:tcPr>
          <w:p w14:paraId="3336907F">
            <w:pPr>
              <w:pStyle w:val="169"/>
              <w:spacing w:line="360" w:lineRule="exact"/>
              <w:rPr>
                <w:rFonts w:ascii="宋体" w:hAnsi="宋体"/>
                <w:color w:val="auto"/>
              </w:rPr>
            </w:pPr>
            <w:r>
              <w:rPr>
                <w:rFonts w:ascii="宋体" w:hAnsi="宋体"/>
                <w:color w:val="auto"/>
              </w:rPr>
              <w:t>44.0</w:t>
            </w:r>
          </w:p>
        </w:tc>
        <w:tc>
          <w:tcPr>
            <w:tcW w:w="1037" w:type="dxa"/>
            <w:vAlign w:val="center"/>
          </w:tcPr>
          <w:p w14:paraId="4F523067">
            <w:pPr>
              <w:pStyle w:val="169"/>
              <w:spacing w:line="360" w:lineRule="exact"/>
              <w:rPr>
                <w:rFonts w:ascii="宋体" w:hAnsi="宋体"/>
                <w:color w:val="auto"/>
              </w:rPr>
            </w:pPr>
            <w:r>
              <w:rPr>
                <w:rFonts w:ascii="宋体" w:hAnsi="宋体"/>
                <w:color w:val="auto"/>
              </w:rPr>
              <w:t>40.5</w:t>
            </w:r>
          </w:p>
        </w:tc>
      </w:tr>
    </w:tbl>
    <w:p w14:paraId="6C02AC75">
      <w:pPr>
        <w:pStyle w:val="276"/>
        <w:widowControl w:val="0"/>
        <w:ind w:firstLine="480"/>
        <w:jc w:val="both"/>
        <w:rPr>
          <w:color w:val="auto"/>
        </w:rPr>
      </w:pPr>
      <w:r>
        <w:rPr>
          <w:color w:val="auto"/>
        </w:rPr>
        <w:t>本项目地面工程道路施工、管线工程等仅在昼间进行施工，本项目源1011井场西侧140m为刘兽医屯，由表5.4-</w:t>
      </w:r>
      <w:r>
        <w:rPr>
          <w:rFonts w:hint="eastAsia"/>
          <w:color w:val="auto"/>
          <w:lang w:val="en-US" w:eastAsia="zh-CN"/>
        </w:rPr>
        <w:t>5</w:t>
      </w:r>
      <w:r>
        <w:rPr>
          <w:color w:val="auto"/>
        </w:rPr>
        <w:t>可知，施工场地机械噪声衰减至村屯处满足标准要求，地面工程施工拟采取以下措施：</w:t>
      </w:r>
    </w:p>
    <w:p w14:paraId="3D9EF13A">
      <w:pPr>
        <w:pStyle w:val="276"/>
        <w:widowControl w:val="0"/>
        <w:ind w:firstLine="480"/>
        <w:jc w:val="both"/>
        <w:rPr>
          <w:color w:val="auto"/>
        </w:rPr>
      </w:pPr>
      <w:r>
        <w:rPr>
          <w:rFonts w:hint="eastAsia"/>
          <w:color w:val="auto"/>
        </w:rPr>
        <w:t>（1）</w:t>
      </w:r>
      <w:r>
        <w:rPr>
          <w:color w:val="auto"/>
        </w:rPr>
        <w:t>降低设备噪声。选用低噪声设备，注意对设备的维护和保养，合理操作，保证施工机械保持在最佳状态，降低噪声源强度。</w:t>
      </w:r>
    </w:p>
    <w:p w14:paraId="15990721">
      <w:pPr>
        <w:pStyle w:val="276"/>
        <w:widowControl w:val="0"/>
        <w:ind w:firstLine="480"/>
        <w:jc w:val="both"/>
        <w:rPr>
          <w:color w:val="auto"/>
        </w:rPr>
      </w:pPr>
      <w:r>
        <w:rPr>
          <w:rFonts w:hint="eastAsia"/>
          <w:color w:val="auto"/>
        </w:rPr>
        <w:t>（2）</w:t>
      </w:r>
      <w:r>
        <w:rPr>
          <w:color w:val="auto"/>
        </w:rPr>
        <w:t>合理安排施工进度，减少施工时间，不在夜间施工，调整同时作业的施工机械数量，降低对周围环境的影响。</w:t>
      </w:r>
    </w:p>
    <w:p w14:paraId="2AB33449">
      <w:pPr>
        <w:pStyle w:val="276"/>
        <w:widowControl w:val="0"/>
        <w:ind w:firstLine="480"/>
        <w:jc w:val="both"/>
        <w:rPr>
          <w:color w:val="auto"/>
        </w:rPr>
      </w:pPr>
      <w:r>
        <w:rPr>
          <w:rFonts w:hint="eastAsia"/>
          <w:color w:val="auto"/>
        </w:rPr>
        <w:t>（3）</w:t>
      </w:r>
      <w:r>
        <w:rPr>
          <w:color w:val="auto"/>
        </w:rPr>
        <w:t>合理布置施工现场，尽量将高噪声机械布置远离环境敏感点一侧，同时，避免在同一地点安排较多的动力机械。</w:t>
      </w:r>
    </w:p>
    <w:p w14:paraId="37E9B04F">
      <w:pPr>
        <w:pStyle w:val="276"/>
        <w:widowControl w:val="0"/>
        <w:ind w:firstLine="480"/>
        <w:jc w:val="both"/>
        <w:rPr>
          <w:color w:val="auto"/>
        </w:rPr>
      </w:pPr>
      <w:r>
        <w:rPr>
          <w:rFonts w:hint="eastAsia"/>
          <w:color w:val="auto"/>
        </w:rPr>
        <w:t>（4）</w:t>
      </w:r>
      <w:r>
        <w:rPr>
          <w:color w:val="auto"/>
        </w:rPr>
        <w:t>施工期运输车辆的运行路线应远离周围的居民区，合理选择路线进行绕行、避让措施，临近居民区应减少汽车鸣笛的次数，减速慢行，减少车辆噪声对居民区的不利影响。</w:t>
      </w:r>
    </w:p>
    <w:p w14:paraId="1B1D8DBC">
      <w:pPr>
        <w:pStyle w:val="276"/>
        <w:widowControl w:val="0"/>
        <w:ind w:firstLine="480"/>
        <w:jc w:val="both"/>
        <w:rPr>
          <w:color w:val="auto"/>
        </w:rPr>
      </w:pPr>
      <w:r>
        <w:rPr>
          <w:rFonts w:hint="eastAsia"/>
          <w:color w:val="auto"/>
        </w:rPr>
        <w:t>（5）</w:t>
      </w:r>
      <w:r>
        <w:rPr>
          <w:color w:val="auto"/>
        </w:rPr>
        <w:t>源1011井场施工场地在靠近村屯区域管段以人工开挖为主，减少挖掘机等施工机械施工时间，降低噪声影响。</w:t>
      </w:r>
    </w:p>
    <w:p w14:paraId="57D32044">
      <w:pPr>
        <w:pStyle w:val="276"/>
        <w:widowControl w:val="0"/>
        <w:ind w:firstLine="480"/>
        <w:jc w:val="both"/>
        <w:rPr>
          <w:color w:val="auto"/>
        </w:rPr>
      </w:pPr>
      <w:r>
        <w:rPr>
          <w:color w:val="auto"/>
        </w:rPr>
        <w:t>在采取了上述措施后，地面工程井场场界噪声可以满足《建筑施工场界环境噪声排放标准》(GB12523-2011)标准要求。施工噪声对周围环境的影响较小，且施工期噪声对环境的影响是暂时性的，随着施工结束，其影响也随之消失。</w:t>
      </w:r>
    </w:p>
    <w:p w14:paraId="5989A8AB">
      <w:pPr>
        <w:pStyle w:val="6"/>
        <w:rPr>
          <w:color w:val="auto"/>
        </w:rPr>
      </w:pPr>
      <w:r>
        <w:rPr>
          <w:rFonts w:hint="eastAsia"/>
          <w:color w:val="auto"/>
        </w:rPr>
        <w:t>运营期</w:t>
      </w:r>
    </w:p>
    <w:p w14:paraId="11188B6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主要噪声源分析</w:t>
      </w:r>
    </w:p>
    <w:p w14:paraId="75A8BBBE">
      <w:pPr>
        <w:pStyle w:val="276"/>
        <w:widowControl w:val="0"/>
        <w:ind w:firstLine="480"/>
        <w:jc w:val="both"/>
        <w:rPr>
          <w:color w:val="auto"/>
        </w:rPr>
      </w:pPr>
      <w:r>
        <w:rPr>
          <w:rFonts w:hint="eastAsia"/>
          <w:color w:val="auto"/>
        </w:rPr>
        <w:t>（1）</w:t>
      </w:r>
      <w:r>
        <w:rPr>
          <w:color w:val="auto"/>
        </w:rPr>
        <w:t>气体动力噪声：由气体振动、高速流动引起的噪声，频谱呈宽频带，可通过风管传到各设备和房间以及透过墙、窗及风管骚扰风机附近的房间，并以共振形式沿着房屋结构传播，污染周围环境。</w:t>
      </w:r>
    </w:p>
    <w:p w14:paraId="6537533E">
      <w:pPr>
        <w:pStyle w:val="276"/>
        <w:widowControl w:val="0"/>
        <w:ind w:firstLine="480"/>
        <w:jc w:val="both"/>
        <w:rPr>
          <w:color w:val="auto"/>
        </w:rPr>
      </w:pPr>
      <w:r>
        <w:rPr>
          <w:rFonts w:hint="eastAsia"/>
          <w:color w:val="auto"/>
        </w:rPr>
        <w:t>（2）</w:t>
      </w:r>
      <w:r>
        <w:rPr>
          <w:color w:val="auto"/>
        </w:rPr>
        <w:t>机械动力噪声：机械设备运转过程中由于振动、摩擦、碰撞产生的噪声，如电动机等噪声，以中、低频为主。</w:t>
      </w:r>
    </w:p>
    <w:p w14:paraId="16816F08">
      <w:pPr>
        <w:pStyle w:val="276"/>
        <w:widowControl w:val="0"/>
        <w:ind w:firstLine="480"/>
        <w:jc w:val="both"/>
        <w:rPr>
          <w:color w:val="auto"/>
        </w:rPr>
      </w:pPr>
      <w:r>
        <w:rPr>
          <w:rFonts w:hint="eastAsia"/>
          <w:color w:val="auto"/>
        </w:rPr>
        <w:t>（3）</w:t>
      </w:r>
      <w:r>
        <w:rPr>
          <w:color w:val="auto"/>
        </w:rPr>
        <w:t>交通噪声：井场内、外道路上各种车辆、人流活动产生噪声，属流动性声源，其噪声成分以中、低频为主。</w:t>
      </w:r>
    </w:p>
    <w:p w14:paraId="7E8D42E5">
      <w:pPr>
        <w:pStyle w:val="276"/>
        <w:widowControl w:val="0"/>
        <w:ind w:firstLine="480"/>
        <w:jc w:val="both"/>
        <w:rPr>
          <w:color w:val="auto"/>
        </w:rPr>
      </w:pPr>
      <w:r>
        <w:rPr>
          <w:rFonts w:hint="eastAsia"/>
          <w:color w:val="auto"/>
        </w:rPr>
        <w:t>前两类噪声源声压级较大，影响范围广，是项目的主要噪声源。本项目为油田开发项目，各设备比较分散且大部分均独立运行，正常运营过程中主要噪声源是抽油机、储罐加热炉；当进行井下作业时，通井机、机泵等井下作业设备会产生噪声，噪声源强降噪后约</w:t>
      </w:r>
      <w:r>
        <w:rPr>
          <w:color w:val="auto"/>
        </w:rPr>
        <w:t>65dB（A）～100dB（A）之间。运营期主要噪声源强调查清单见3.12.1.2运营期污染物排放情况，本节不再重复介绍。</w:t>
      </w:r>
    </w:p>
    <w:p w14:paraId="0C4C45D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设备正常运行对周围声环境影响</w:t>
      </w:r>
    </w:p>
    <w:p w14:paraId="65207D02">
      <w:pPr>
        <w:pStyle w:val="276"/>
        <w:widowControl w:val="0"/>
        <w:ind w:firstLine="480"/>
        <w:jc w:val="both"/>
        <w:rPr>
          <w:color w:val="auto"/>
        </w:rPr>
      </w:pPr>
      <w:r>
        <w:rPr>
          <w:rFonts w:hint="eastAsia"/>
          <w:color w:val="auto"/>
        </w:rPr>
        <w:t>（1）预测模式</w:t>
      </w:r>
    </w:p>
    <w:p w14:paraId="2A689423">
      <w:pPr>
        <w:pStyle w:val="276"/>
        <w:widowControl w:val="0"/>
        <w:ind w:firstLine="480"/>
        <w:jc w:val="both"/>
        <w:rPr>
          <w:color w:val="auto"/>
        </w:rPr>
      </w:pPr>
      <w:r>
        <w:rPr>
          <w:rFonts w:hint="eastAsia"/>
          <w:color w:val="auto"/>
        </w:rPr>
        <w:t>见</w:t>
      </w:r>
      <w:r>
        <w:rPr>
          <w:color w:val="auto"/>
        </w:rPr>
        <w:t>5</w:t>
      </w:r>
      <w:r>
        <w:rPr>
          <w:rFonts w:hint="eastAsia"/>
          <w:color w:val="auto"/>
        </w:rPr>
        <w:t>.4.1.1 钻井工程声环境影响分析中2）预测模式。</w:t>
      </w:r>
    </w:p>
    <w:p w14:paraId="0907D776">
      <w:pPr>
        <w:pStyle w:val="276"/>
        <w:widowControl w:val="0"/>
        <w:ind w:firstLine="480"/>
        <w:jc w:val="both"/>
        <w:rPr>
          <w:color w:val="auto"/>
        </w:rPr>
      </w:pPr>
      <w:r>
        <w:rPr>
          <w:rFonts w:hint="eastAsia"/>
          <w:color w:val="auto"/>
        </w:rPr>
        <w:t>（2）预测点</w:t>
      </w:r>
      <w:r>
        <w:rPr>
          <w:color w:val="auto"/>
        </w:rPr>
        <w:t>设定</w:t>
      </w:r>
    </w:p>
    <w:p w14:paraId="0CE18E0E">
      <w:pPr>
        <w:pStyle w:val="276"/>
        <w:widowControl w:val="0"/>
        <w:ind w:firstLine="480"/>
        <w:jc w:val="both"/>
        <w:rPr>
          <w:color w:val="auto"/>
          <w:highlight w:val="yellow"/>
        </w:rPr>
      </w:pPr>
      <w:r>
        <w:rPr>
          <w:rFonts w:hint="eastAsia"/>
          <w:color w:val="auto"/>
        </w:rPr>
        <w:t>本次评价采用BREEZE NOISE软件进行预测，</w:t>
      </w:r>
      <w:r>
        <w:rPr>
          <w:color w:val="auto"/>
        </w:rPr>
        <w:t>运营期选择距离保护目标相对较近、井数较多的</w:t>
      </w:r>
      <w:r>
        <w:rPr>
          <w:rFonts w:hint="eastAsia"/>
          <w:color w:val="auto"/>
        </w:rPr>
        <w:t>3</w:t>
      </w:r>
      <w:r>
        <w:rPr>
          <w:color w:val="auto"/>
        </w:rPr>
        <w:t>#平台井场和1#拉油点进行预测分析达标情况</w:t>
      </w:r>
      <w:r>
        <w:rPr>
          <w:rFonts w:hint="eastAsia"/>
          <w:color w:val="auto"/>
        </w:rPr>
        <w:t>。</w:t>
      </w:r>
    </w:p>
    <w:p w14:paraId="44136DCD">
      <w:pPr>
        <w:pStyle w:val="276"/>
        <w:widowControl w:val="0"/>
        <w:ind w:firstLine="480"/>
        <w:jc w:val="both"/>
        <w:rPr>
          <w:color w:val="auto"/>
        </w:rPr>
      </w:pPr>
      <w:r>
        <w:rPr>
          <w:rFonts w:hint="eastAsia"/>
          <w:color w:val="auto"/>
        </w:rPr>
        <w:t>（3）评价</w:t>
      </w:r>
      <w:r>
        <w:rPr>
          <w:color w:val="auto"/>
        </w:rPr>
        <w:t>标准</w:t>
      </w:r>
    </w:p>
    <w:p w14:paraId="38682C96">
      <w:pPr>
        <w:pStyle w:val="276"/>
        <w:widowControl w:val="0"/>
        <w:ind w:firstLine="480"/>
        <w:jc w:val="both"/>
        <w:rPr>
          <w:color w:val="auto"/>
        </w:rPr>
      </w:pPr>
      <w:r>
        <w:rPr>
          <w:rFonts w:hint="eastAsia"/>
          <w:color w:val="auto"/>
        </w:rPr>
        <w:t>井场厂界预测点评价标准为《工业企业厂界环境噪声排放标准》（GB 12348-2008）中</w:t>
      </w:r>
      <w:r>
        <w:rPr>
          <w:color w:val="auto"/>
        </w:rPr>
        <w:t>2</w:t>
      </w:r>
      <w:r>
        <w:rPr>
          <w:rFonts w:hint="eastAsia"/>
          <w:color w:val="auto"/>
        </w:rPr>
        <w:t>类区排放限值（昼间6</w:t>
      </w:r>
      <w:r>
        <w:rPr>
          <w:color w:val="auto"/>
        </w:rPr>
        <w:t>0</w:t>
      </w:r>
      <w:r>
        <w:rPr>
          <w:rFonts w:hint="eastAsia"/>
          <w:color w:val="auto"/>
        </w:rPr>
        <w:t>dB（A），夜间5</w:t>
      </w:r>
      <w:r>
        <w:rPr>
          <w:color w:val="auto"/>
        </w:rPr>
        <w:t>0dB（A）</w:t>
      </w:r>
      <w:r>
        <w:rPr>
          <w:rFonts w:hint="eastAsia"/>
          <w:color w:val="auto"/>
        </w:rPr>
        <w:t>）。</w:t>
      </w:r>
    </w:p>
    <w:p w14:paraId="0F834B8A">
      <w:pPr>
        <w:pStyle w:val="276"/>
        <w:widowControl w:val="0"/>
        <w:ind w:firstLine="480"/>
        <w:jc w:val="both"/>
        <w:rPr>
          <w:color w:val="auto"/>
        </w:rPr>
      </w:pPr>
      <w:r>
        <w:rPr>
          <w:rFonts w:hint="eastAsia"/>
          <w:color w:val="auto"/>
        </w:rPr>
        <w:t>（</w:t>
      </w:r>
      <w:r>
        <w:rPr>
          <w:color w:val="auto"/>
        </w:rPr>
        <w:t>4</w:t>
      </w:r>
      <w:r>
        <w:rPr>
          <w:rFonts w:hint="eastAsia"/>
          <w:color w:val="auto"/>
        </w:rPr>
        <w:t>）预测结果</w:t>
      </w:r>
    </w:p>
    <w:p w14:paraId="7D0DE79B">
      <w:pPr>
        <w:pStyle w:val="276"/>
        <w:widowControl w:val="0"/>
        <w:ind w:firstLine="480"/>
        <w:jc w:val="both"/>
        <w:rPr>
          <w:color w:val="auto"/>
          <w:kern w:val="2"/>
          <w:szCs w:val="20"/>
        </w:rPr>
      </w:pPr>
      <w:r>
        <w:rPr>
          <w:color w:val="auto"/>
          <w:kern w:val="2"/>
          <w:szCs w:val="20"/>
        </w:rPr>
        <w:t>井场厂界噪声贡献值预测结果见表5.4-</w:t>
      </w:r>
      <w:r>
        <w:rPr>
          <w:color w:val="auto"/>
        </w:rPr>
        <w:t>10</w:t>
      </w:r>
      <w:r>
        <w:rPr>
          <w:color w:val="auto"/>
          <w:kern w:val="2"/>
          <w:szCs w:val="20"/>
        </w:rPr>
        <w:t>，噪声预测图见图5.4-3和图5.4-4。井场和拉油点外声环境保护目标噪声预测结果与达标分析表见表5.4-11。</w:t>
      </w:r>
    </w:p>
    <w:p w14:paraId="197B2849">
      <w:pPr>
        <w:pStyle w:val="276"/>
        <w:widowControl w:val="0"/>
        <w:spacing w:line="440" w:lineRule="exact"/>
        <w:ind w:firstLine="0" w:firstLineChars="0"/>
        <w:jc w:val="center"/>
        <w:rPr>
          <w:color w:val="auto"/>
          <w:kern w:val="2"/>
        </w:rPr>
      </w:pPr>
      <w:r>
        <w:rPr>
          <w:color w:val="auto"/>
          <w:kern w:val="2"/>
        </w:rPr>
        <w:t>表5.4-10</w:t>
      </w:r>
      <w:r>
        <w:rPr>
          <w:color w:val="auto"/>
          <w:kern w:val="21"/>
          <w:szCs w:val="22"/>
          <w:lang w:bidi="zh-CN"/>
        </w:rPr>
        <w:t xml:space="preserve"> </w:t>
      </w:r>
      <w:r>
        <w:rPr>
          <w:color w:val="auto"/>
          <w:kern w:val="2"/>
        </w:rPr>
        <w:t>运营期平台井场厂界噪声贡献值预测结果</w:t>
      </w:r>
      <w:r>
        <w:rPr>
          <w:color w:val="auto"/>
          <w:kern w:val="21"/>
          <w:szCs w:val="22"/>
          <w:lang w:bidi="zh-CN"/>
        </w:rPr>
        <w:t xml:space="preserve"> </w:t>
      </w:r>
      <w:r>
        <w:rPr>
          <w:color w:val="auto"/>
          <w:kern w:val="2"/>
        </w:rPr>
        <w:t>单位：dB(A)</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016"/>
        <w:gridCol w:w="1016"/>
        <w:gridCol w:w="869"/>
        <w:gridCol w:w="1020"/>
        <w:gridCol w:w="873"/>
        <w:gridCol w:w="869"/>
        <w:gridCol w:w="873"/>
        <w:gridCol w:w="869"/>
      </w:tblGrid>
      <w:tr w14:paraId="2914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3" w:type="pct"/>
            <w:vMerge w:val="restart"/>
            <w:shd w:val="clear" w:color="auto" w:fill="auto"/>
            <w:vAlign w:val="center"/>
          </w:tcPr>
          <w:p w14:paraId="24C53F7B">
            <w:pPr>
              <w:jc w:val="center"/>
              <w:rPr>
                <w:rFonts w:ascii="宋体" w:hAnsi="宋体" w:eastAsia="宋体" w:cs="Times New Roman"/>
                <w:color w:val="auto"/>
              </w:rPr>
            </w:pPr>
            <w:r>
              <w:rPr>
                <w:rFonts w:ascii="宋体" w:hAnsi="宋体" w:eastAsia="宋体" w:cs="Times New Roman"/>
                <w:color w:val="auto"/>
              </w:rPr>
              <w:t>预测位置</w:t>
            </w:r>
          </w:p>
        </w:tc>
        <w:tc>
          <w:tcPr>
            <w:tcW w:w="2111" w:type="pct"/>
            <w:gridSpan w:val="4"/>
            <w:shd w:val="clear" w:color="auto" w:fill="auto"/>
            <w:vAlign w:val="center"/>
          </w:tcPr>
          <w:p w14:paraId="3E2105AF">
            <w:pPr>
              <w:jc w:val="center"/>
              <w:rPr>
                <w:rFonts w:ascii="宋体" w:hAnsi="宋体" w:eastAsia="宋体" w:cs="Times New Roman"/>
                <w:color w:val="auto"/>
              </w:rPr>
            </w:pPr>
            <w:r>
              <w:rPr>
                <w:rFonts w:ascii="宋体" w:hAnsi="宋体" w:eastAsia="宋体" w:cs="Times New Roman"/>
                <w:color w:val="auto"/>
              </w:rPr>
              <w:t>昼间噪声</w:t>
            </w:r>
          </w:p>
        </w:tc>
        <w:tc>
          <w:tcPr>
            <w:tcW w:w="1875" w:type="pct"/>
            <w:gridSpan w:val="4"/>
            <w:shd w:val="clear" w:color="auto" w:fill="auto"/>
            <w:vAlign w:val="center"/>
          </w:tcPr>
          <w:p w14:paraId="13E3E6AA">
            <w:pPr>
              <w:jc w:val="center"/>
              <w:rPr>
                <w:rFonts w:ascii="宋体" w:hAnsi="宋体" w:eastAsia="宋体" w:cs="Times New Roman"/>
                <w:color w:val="auto"/>
              </w:rPr>
            </w:pPr>
            <w:r>
              <w:rPr>
                <w:rFonts w:ascii="宋体" w:hAnsi="宋体" w:eastAsia="宋体" w:cs="Times New Roman"/>
                <w:color w:val="auto"/>
              </w:rPr>
              <w:t>夜间噪声</w:t>
            </w:r>
          </w:p>
        </w:tc>
      </w:tr>
      <w:tr w14:paraId="7AC3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pct"/>
            <w:vMerge w:val="continue"/>
            <w:shd w:val="clear" w:color="auto" w:fill="auto"/>
            <w:vAlign w:val="center"/>
          </w:tcPr>
          <w:p w14:paraId="1CBB8ED3">
            <w:pPr>
              <w:jc w:val="center"/>
              <w:rPr>
                <w:rFonts w:ascii="宋体" w:hAnsi="宋体" w:eastAsia="宋体" w:cs="Times New Roman"/>
                <w:color w:val="auto"/>
              </w:rPr>
            </w:pPr>
          </w:p>
        </w:tc>
        <w:tc>
          <w:tcPr>
            <w:tcW w:w="547" w:type="pct"/>
            <w:shd w:val="clear" w:color="auto" w:fill="auto"/>
            <w:vAlign w:val="center"/>
          </w:tcPr>
          <w:p w14:paraId="6262E7C0">
            <w:pPr>
              <w:jc w:val="center"/>
              <w:rPr>
                <w:rFonts w:ascii="宋体" w:hAnsi="宋体" w:eastAsia="宋体" w:cs="Times New Roman"/>
                <w:color w:val="auto"/>
              </w:rPr>
            </w:pPr>
            <w:r>
              <w:rPr>
                <w:rFonts w:ascii="宋体" w:hAnsi="宋体" w:eastAsia="宋体" w:cs="Times New Roman"/>
                <w:color w:val="auto"/>
              </w:rPr>
              <w:t>东厂界</w:t>
            </w:r>
          </w:p>
        </w:tc>
        <w:tc>
          <w:tcPr>
            <w:tcW w:w="547" w:type="pct"/>
            <w:shd w:val="clear" w:color="auto" w:fill="auto"/>
            <w:vAlign w:val="center"/>
          </w:tcPr>
          <w:p w14:paraId="0761AC4F">
            <w:pPr>
              <w:jc w:val="center"/>
              <w:rPr>
                <w:rFonts w:ascii="宋体" w:hAnsi="宋体" w:eastAsia="宋体" w:cs="Times New Roman"/>
                <w:color w:val="auto"/>
              </w:rPr>
            </w:pPr>
            <w:r>
              <w:rPr>
                <w:rFonts w:ascii="宋体" w:hAnsi="宋体" w:eastAsia="宋体" w:cs="Times New Roman"/>
                <w:color w:val="auto"/>
              </w:rPr>
              <w:t>南厂界</w:t>
            </w:r>
          </w:p>
        </w:tc>
        <w:tc>
          <w:tcPr>
            <w:tcW w:w="468" w:type="pct"/>
            <w:shd w:val="clear" w:color="auto" w:fill="auto"/>
            <w:vAlign w:val="center"/>
          </w:tcPr>
          <w:p w14:paraId="491C1A55">
            <w:pPr>
              <w:jc w:val="center"/>
              <w:rPr>
                <w:rFonts w:ascii="宋体" w:hAnsi="宋体" w:eastAsia="宋体" w:cs="Times New Roman"/>
                <w:color w:val="auto"/>
              </w:rPr>
            </w:pPr>
            <w:r>
              <w:rPr>
                <w:rFonts w:ascii="宋体" w:hAnsi="宋体" w:eastAsia="宋体" w:cs="Times New Roman"/>
                <w:color w:val="auto"/>
              </w:rPr>
              <w:t>西厂界</w:t>
            </w:r>
          </w:p>
        </w:tc>
        <w:tc>
          <w:tcPr>
            <w:tcW w:w="548" w:type="pct"/>
            <w:shd w:val="clear" w:color="auto" w:fill="auto"/>
            <w:vAlign w:val="center"/>
          </w:tcPr>
          <w:p w14:paraId="562AFB3B">
            <w:pPr>
              <w:jc w:val="center"/>
              <w:rPr>
                <w:rFonts w:ascii="宋体" w:hAnsi="宋体" w:eastAsia="宋体" w:cs="Times New Roman"/>
                <w:color w:val="auto"/>
              </w:rPr>
            </w:pPr>
            <w:r>
              <w:rPr>
                <w:rFonts w:ascii="宋体" w:hAnsi="宋体" w:eastAsia="宋体" w:cs="Times New Roman"/>
                <w:color w:val="auto"/>
              </w:rPr>
              <w:t>北厂界</w:t>
            </w:r>
          </w:p>
        </w:tc>
        <w:tc>
          <w:tcPr>
            <w:tcW w:w="470" w:type="pct"/>
            <w:shd w:val="clear" w:color="auto" w:fill="auto"/>
            <w:vAlign w:val="center"/>
          </w:tcPr>
          <w:p w14:paraId="49F4E3CB">
            <w:pPr>
              <w:jc w:val="center"/>
              <w:rPr>
                <w:rFonts w:ascii="宋体" w:hAnsi="宋体" w:eastAsia="宋体" w:cs="Times New Roman"/>
                <w:color w:val="auto"/>
              </w:rPr>
            </w:pPr>
            <w:r>
              <w:rPr>
                <w:rFonts w:ascii="宋体" w:hAnsi="宋体" w:eastAsia="宋体" w:cs="Times New Roman"/>
                <w:color w:val="auto"/>
              </w:rPr>
              <w:t>东厂界</w:t>
            </w:r>
          </w:p>
        </w:tc>
        <w:tc>
          <w:tcPr>
            <w:tcW w:w="468" w:type="pct"/>
            <w:shd w:val="clear" w:color="auto" w:fill="auto"/>
            <w:vAlign w:val="center"/>
          </w:tcPr>
          <w:p w14:paraId="52D3C906">
            <w:pPr>
              <w:jc w:val="center"/>
              <w:rPr>
                <w:rFonts w:ascii="宋体" w:hAnsi="宋体" w:eastAsia="宋体" w:cs="Times New Roman"/>
                <w:color w:val="auto"/>
              </w:rPr>
            </w:pPr>
            <w:r>
              <w:rPr>
                <w:rFonts w:ascii="宋体" w:hAnsi="宋体" w:eastAsia="宋体" w:cs="Times New Roman"/>
                <w:color w:val="auto"/>
              </w:rPr>
              <w:t>南厂界</w:t>
            </w:r>
          </w:p>
        </w:tc>
        <w:tc>
          <w:tcPr>
            <w:tcW w:w="470" w:type="pct"/>
            <w:shd w:val="clear" w:color="auto" w:fill="auto"/>
            <w:vAlign w:val="center"/>
          </w:tcPr>
          <w:p w14:paraId="21D3C2B3">
            <w:pPr>
              <w:jc w:val="center"/>
              <w:rPr>
                <w:rFonts w:ascii="宋体" w:hAnsi="宋体" w:eastAsia="宋体" w:cs="Times New Roman"/>
                <w:color w:val="auto"/>
              </w:rPr>
            </w:pPr>
            <w:r>
              <w:rPr>
                <w:rFonts w:ascii="宋体" w:hAnsi="宋体" w:eastAsia="宋体" w:cs="Times New Roman"/>
                <w:color w:val="auto"/>
              </w:rPr>
              <w:t>西厂界</w:t>
            </w:r>
          </w:p>
        </w:tc>
        <w:tc>
          <w:tcPr>
            <w:tcW w:w="466" w:type="pct"/>
            <w:shd w:val="clear" w:color="auto" w:fill="auto"/>
            <w:vAlign w:val="center"/>
          </w:tcPr>
          <w:p w14:paraId="53E1067F">
            <w:pPr>
              <w:jc w:val="center"/>
              <w:rPr>
                <w:rFonts w:ascii="宋体" w:hAnsi="宋体" w:eastAsia="宋体" w:cs="Times New Roman"/>
                <w:color w:val="auto"/>
              </w:rPr>
            </w:pPr>
            <w:r>
              <w:rPr>
                <w:rFonts w:ascii="宋体" w:hAnsi="宋体" w:eastAsia="宋体" w:cs="Times New Roman"/>
                <w:color w:val="auto"/>
              </w:rPr>
              <w:t>北厂界</w:t>
            </w:r>
          </w:p>
        </w:tc>
      </w:tr>
      <w:tr w14:paraId="1F4D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pct"/>
            <w:shd w:val="clear" w:color="auto" w:fill="auto"/>
            <w:vAlign w:val="center"/>
          </w:tcPr>
          <w:p w14:paraId="2A1D466A">
            <w:pPr>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号平台井场</w:t>
            </w:r>
          </w:p>
        </w:tc>
        <w:tc>
          <w:tcPr>
            <w:tcW w:w="547" w:type="pct"/>
            <w:shd w:val="clear" w:color="auto" w:fill="auto"/>
            <w:vAlign w:val="center"/>
          </w:tcPr>
          <w:p w14:paraId="4023166B">
            <w:pPr>
              <w:jc w:val="center"/>
              <w:rPr>
                <w:rFonts w:ascii="宋体" w:hAnsi="宋体" w:eastAsia="宋体" w:cs="Times New Roman"/>
                <w:color w:val="auto"/>
              </w:rPr>
            </w:pPr>
            <w:r>
              <w:rPr>
                <w:rFonts w:ascii="宋体" w:hAnsi="宋体" w:eastAsia="宋体" w:cs="Times New Roman"/>
                <w:color w:val="auto"/>
              </w:rPr>
              <w:t>46.65</w:t>
            </w:r>
          </w:p>
        </w:tc>
        <w:tc>
          <w:tcPr>
            <w:tcW w:w="547" w:type="pct"/>
            <w:shd w:val="clear" w:color="auto" w:fill="auto"/>
            <w:vAlign w:val="center"/>
          </w:tcPr>
          <w:p w14:paraId="1D1FCC68">
            <w:pPr>
              <w:jc w:val="center"/>
              <w:rPr>
                <w:rFonts w:ascii="宋体" w:hAnsi="宋体" w:eastAsia="宋体" w:cs="Times New Roman"/>
                <w:color w:val="auto"/>
              </w:rPr>
            </w:pPr>
            <w:r>
              <w:rPr>
                <w:rFonts w:ascii="宋体" w:hAnsi="宋体" w:eastAsia="宋体" w:cs="Times New Roman"/>
                <w:color w:val="auto"/>
              </w:rPr>
              <w:t>48.89</w:t>
            </w:r>
          </w:p>
        </w:tc>
        <w:tc>
          <w:tcPr>
            <w:tcW w:w="468" w:type="pct"/>
            <w:shd w:val="clear" w:color="auto" w:fill="auto"/>
            <w:vAlign w:val="center"/>
          </w:tcPr>
          <w:p w14:paraId="67F17AD6">
            <w:pPr>
              <w:jc w:val="center"/>
              <w:rPr>
                <w:rFonts w:ascii="宋体" w:hAnsi="宋体" w:eastAsia="宋体" w:cs="Times New Roman"/>
                <w:color w:val="auto"/>
              </w:rPr>
            </w:pPr>
            <w:r>
              <w:rPr>
                <w:rFonts w:ascii="宋体" w:hAnsi="宋体" w:eastAsia="宋体" w:cs="Times New Roman"/>
                <w:color w:val="auto"/>
              </w:rPr>
              <w:t>46.93</w:t>
            </w:r>
          </w:p>
        </w:tc>
        <w:tc>
          <w:tcPr>
            <w:tcW w:w="548" w:type="pct"/>
            <w:shd w:val="clear" w:color="auto" w:fill="auto"/>
            <w:vAlign w:val="center"/>
          </w:tcPr>
          <w:p w14:paraId="36024167">
            <w:pPr>
              <w:jc w:val="center"/>
              <w:rPr>
                <w:rFonts w:ascii="宋体" w:hAnsi="宋体" w:eastAsia="宋体" w:cs="Times New Roman"/>
                <w:color w:val="auto"/>
              </w:rPr>
            </w:pPr>
            <w:r>
              <w:rPr>
                <w:rFonts w:ascii="宋体" w:hAnsi="宋体" w:eastAsia="宋体" w:cs="Times New Roman"/>
                <w:color w:val="auto"/>
              </w:rPr>
              <w:t>49.13</w:t>
            </w:r>
          </w:p>
        </w:tc>
        <w:tc>
          <w:tcPr>
            <w:tcW w:w="470" w:type="pct"/>
            <w:shd w:val="clear" w:color="auto" w:fill="auto"/>
            <w:vAlign w:val="center"/>
          </w:tcPr>
          <w:p w14:paraId="0F93E835">
            <w:pPr>
              <w:jc w:val="center"/>
              <w:rPr>
                <w:rFonts w:ascii="宋体" w:hAnsi="宋体" w:eastAsia="宋体" w:cs="Times New Roman"/>
                <w:color w:val="auto"/>
              </w:rPr>
            </w:pPr>
            <w:r>
              <w:rPr>
                <w:rFonts w:ascii="宋体" w:hAnsi="宋体" w:eastAsia="宋体" w:cs="Times New Roman"/>
                <w:color w:val="auto"/>
              </w:rPr>
              <w:t>46.65</w:t>
            </w:r>
          </w:p>
        </w:tc>
        <w:tc>
          <w:tcPr>
            <w:tcW w:w="468" w:type="pct"/>
            <w:shd w:val="clear" w:color="auto" w:fill="auto"/>
            <w:vAlign w:val="center"/>
          </w:tcPr>
          <w:p w14:paraId="38400049">
            <w:pPr>
              <w:jc w:val="center"/>
              <w:rPr>
                <w:rFonts w:ascii="宋体" w:hAnsi="宋体" w:eastAsia="宋体" w:cs="Times New Roman"/>
                <w:color w:val="auto"/>
              </w:rPr>
            </w:pPr>
            <w:r>
              <w:rPr>
                <w:rFonts w:ascii="宋体" w:hAnsi="宋体" w:eastAsia="宋体" w:cs="Times New Roman"/>
                <w:color w:val="auto"/>
              </w:rPr>
              <w:t>48.89</w:t>
            </w:r>
          </w:p>
        </w:tc>
        <w:tc>
          <w:tcPr>
            <w:tcW w:w="470" w:type="pct"/>
            <w:shd w:val="clear" w:color="auto" w:fill="auto"/>
            <w:vAlign w:val="center"/>
          </w:tcPr>
          <w:p w14:paraId="0A57D1DB">
            <w:pPr>
              <w:jc w:val="center"/>
              <w:rPr>
                <w:rFonts w:ascii="宋体" w:hAnsi="宋体" w:eastAsia="宋体" w:cs="Times New Roman"/>
                <w:color w:val="auto"/>
              </w:rPr>
            </w:pPr>
            <w:r>
              <w:rPr>
                <w:rFonts w:ascii="宋体" w:hAnsi="宋体" w:eastAsia="宋体" w:cs="Times New Roman"/>
                <w:color w:val="auto"/>
              </w:rPr>
              <w:t>46.93</w:t>
            </w:r>
          </w:p>
        </w:tc>
        <w:tc>
          <w:tcPr>
            <w:tcW w:w="466" w:type="pct"/>
            <w:shd w:val="clear" w:color="auto" w:fill="auto"/>
            <w:vAlign w:val="center"/>
          </w:tcPr>
          <w:p w14:paraId="661A7029">
            <w:pPr>
              <w:jc w:val="center"/>
              <w:rPr>
                <w:rFonts w:ascii="宋体" w:hAnsi="宋体" w:eastAsia="宋体" w:cs="Times New Roman"/>
                <w:color w:val="auto"/>
              </w:rPr>
            </w:pPr>
            <w:r>
              <w:rPr>
                <w:rFonts w:ascii="宋体" w:hAnsi="宋体" w:eastAsia="宋体" w:cs="Times New Roman"/>
                <w:color w:val="auto"/>
              </w:rPr>
              <w:t>49.13</w:t>
            </w:r>
          </w:p>
        </w:tc>
      </w:tr>
    </w:tbl>
    <w:p w14:paraId="0A86CE81">
      <w:pPr>
        <w:spacing w:line="440" w:lineRule="exact"/>
        <w:ind w:firstLine="420" w:firstLineChars="200"/>
        <w:rPr>
          <w:rFonts w:ascii="宋体" w:hAnsi="宋体" w:eastAsia="宋体" w:cs="Times New Roman"/>
          <w:color w:val="auto"/>
        </w:rPr>
      </w:pPr>
      <w:r>
        <w:rPr>
          <w:rFonts w:ascii="宋体" w:hAnsi="宋体" w:eastAsia="宋体" w:cs="Times New Roman"/>
          <w:color w:val="auto"/>
        </w:rPr>
        <w:t>表5.4-11</w:t>
      </w:r>
      <w:r>
        <w:rPr>
          <w:rFonts w:ascii="宋体" w:hAnsi="宋体" w:eastAsia="宋体" w:cs="Times New Roman"/>
          <w:color w:val="auto"/>
          <w:kern w:val="21"/>
          <w:szCs w:val="22"/>
          <w:lang w:bidi="zh-CN"/>
        </w:rPr>
        <w:t xml:space="preserve"> </w:t>
      </w:r>
      <w:r>
        <w:rPr>
          <w:rFonts w:ascii="宋体" w:hAnsi="宋体" w:eastAsia="宋体" w:cs="Times New Roman"/>
          <w:color w:val="auto"/>
        </w:rPr>
        <w:t>声环境保护目标噪声预测结果与达标分析表</w:t>
      </w:r>
      <w:r>
        <w:rPr>
          <w:rFonts w:ascii="宋体" w:hAnsi="宋体" w:eastAsia="宋体" w:cs="Times New Roman"/>
          <w:color w:val="auto"/>
          <w:kern w:val="21"/>
          <w:szCs w:val="22"/>
          <w:lang w:bidi="zh-CN"/>
        </w:rPr>
        <w:t xml:space="preserve"> </w:t>
      </w:r>
      <w:r>
        <w:rPr>
          <w:rFonts w:ascii="宋体" w:hAnsi="宋体" w:eastAsia="宋体" w:cs="Times New Roman"/>
          <w:color w:val="auto"/>
        </w:rPr>
        <w:t>单位：dB(A)</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638"/>
        <w:gridCol w:w="638"/>
        <w:gridCol w:w="638"/>
        <w:gridCol w:w="638"/>
        <w:gridCol w:w="498"/>
        <w:gridCol w:w="539"/>
        <w:gridCol w:w="741"/>
        <w:gridCol w:w="742"/>
        <w:gridCol w:w="668"/>
        <w:gridCol w:w="742"/>
        <w:gridCol w:w="556"/>
        <w:gridCol w:w="636"/>
        <w:gridCol w:w="483"/>
        <w:gridCol w:w="502"/>
      </w:tblGrid>
      <w:tr w14:paraId="1DF2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restart"/>
            <w:vAlign w:val="center"/>
          </w:tcPr>
          <w:p w14:paraId="70ACCE4D">
            <w:pPr>
              <w:spacing w:line="360" w:lineRule="exact"/>
              <w:jc w:val="center"/>
              <w:rPr>
                <w:rFonts w:ascii="宋体" w:hAnsi="宋体" w:eastAsia="宋体" w:cs="Times New Roman"/>
                <w:color w:val="auto"/>
              </w:rPr>
            </w:pPr>
            <w:r>
              <w:rPr>
                <w:rFonts w:ascii="宋体" w:hAnsi="宋体" w:eastAsia="宋体" w:cs="Times New Roman"/>
                <w:color w:val="auto"/>
              </w:rPr>
              <w:t>声环境保护目标名称</w:t>
            </w:r>
          </w:p>
        </w:tc>
        <w:tc>
          <w:tcPr>
            <w:tcW w:w="686" w:type="pct"/>
            <w:gridSpan w:val="2"/>
            <w:vAlign w:val="center"/>
          </w:tcPr>
          <w:p w14:paraId="30735CF4">
            <w:pPr>
              <w:spacing w:line="360" w:lineRule="exact"/>
              <w:jc w:val="center"/>
              <w:rPr>
                <w:rFonts w:ascii="宋体" w:hAnsi="宋体" w:eastAsia="宋体" w:cs="Times New Roman"/>
                <w:color w:val="auto"/>
              </w:rPr>
            </w:pPr>
            <w:r>
              <w:rPr>
                <w:rFonts w:ascii="宋体" w:hAnsi="宋体" w:eastAsia="宋体" w:cs="Times New Roman"/>
                <w:color w:val="auto"/>
              </w:rPr>
              <w:t>噪声背景值</w:t>
            </w:r>
          </w:p>
        </w:tc>
        <w:tc>
          <w:tcPr>
            <w:tcW w:w="686" w:type="pct"/>
            <w:gridSpan w:val="2"/>
            <w:vAlign w:val="center"/>
          </w:tcPr>
          <w:p w14:paraId="54C1D594">
            <w:pPr>
              <w:spacing w:line="360" w:lineRule="exact"/>
              <w:jc w:val="center"/>
              <w:rPr>
                <w:rFonts w:ascii="宋体" w:hAnsi="宋体" w:eastAsia="宋体" w:cs="Times New Roman"/>
                <w:color w:val="auto"/>
              </w:rPr>
            </w:pPr>
            <w:r>
              <w:rPr>
                <w:rFonts w:ascii="宋体" w:hAnsi="宋体" w:eastAsia="宋体" w:cs="Times New Roman"/>
                <w:color w:val="auto"/>
              </w:rPr>
              <w:t>噪声现状值</w:t>
            </w:r>
          </w:p>
        </w:tc>
        <w:tc>
          <w:tcPr>
            <w:tcW w:w="558" w:type="pct"/>
            <w:gridSpan w:val="2"/>
            <w:vAlign w:val="center"/>
          </w:tcPr>
          <w:p w14:paraId="2B2B7FE9">
            <w:pPr>
              <w:spacing w:line="360" w:lineRule="exact"/>
              <w:jc w:val="center"/>
              <w:rPr>
                <w:rFonts w:ascii="宋体" w:hAnsi="宋体" w:eastAsia="宋体" w:cs="Times New Roman"/>
                <w:color w:val="auto"/>
              </w:rPr>
            </w:pPr>
            <w:r>
              <w:rPr>
                <w:rFonts w:ascii="宋体" w:hAnsi="宋体" w:eastAsia="宋体" w:cs="Times New Roman"/>
                <w:color w:val="auto"/>
              </w:rPr>
              <w:t>噪声标准</w:t>
            </w:r>
          </w:p>
        </w:tc>
        <w:tc>
          <w:tcPr>
            <w:tcW w:w="797" w:type="pct"/>
            <w:gridSpan w:val="2"/>
            <w:vAlign w:val="center"/>
          </w:tcPr>
          <w:p w14:paraId="3ED6CBC3">
            <w:pPr>
              <w:spacing w:line="360" w:lineRule="exact"/>
              <w:jc w:val="center"/>
              <w:rPr>
                <w:rFonts w:ascii="宋体" w:hAnsi="宋体" w:eastAsia="宋体" w:cs="Times New Roman"/>
                <w:color w:val="auto"/>
              </w:rPr>
            </w:pPr>
            <w:r>
              <w:rPr>
                <w:rFonts w:ascii="宋体" w:hAnsi="宋体" w:eastAsia="宋体" w:cs="Times New Roman"/>
                <w:color w:val="auto"/>
              </w:rPr>
              <w:t>噪声贡献值</w:t>
            </w:r>
          </w:p>
        </w:tc>
        <w:tc>
          <w:tcPr>
            <w:tcW w:w="758" w:type="pct"/>
            <w:gridSpan w:val="2"/>
            <w:vAlign w:val="center"/>
          </w:tcPr>
          <w:p w14:paraId="5153C192">
            <w:pPr>
              <w:spacing w:line="360" w:lineRule="exact"/>
              <w:jc w:val="center"/>
              <w:rPr>
                <w:rFonts w:ascii="宋体" w:hAnsi="宋体" w:eastAsia="宋体" w:cs="Times New Roman"/>
                <w:color w:val="auto"/>
              </w:rPr>
            </w:pPr>
            <w:r>
              <w:rPr>
                <w:rFonts w:ascii="宋体" w:hAnsi="宋体" w:eastAsia="宋体" w:cs="Times New Roman"/>
                <w:color w:val="auto"/>
              </w:rPr>
              <w:t>噪声预测值</w:t>
            </w:r>
          </w:p>
        </w:tc>
        <w:tc>
          <w:tcPr>
            <w:tcW w:w="641" w:type="pct"/>
            <w:gridSpan w:val="2"/>
            <w:vAlign w:val="center"/>
          </w:tcPr>
          <w:p w14:paraId="1535CDB1">
            <w:pPr>
              <w:spacing w:line="360" w:lineRule="exact"/>
              <w:jc w:val="center"/>
              <w:rPr>
                <w:rFonts w:ascii="宋体" w:hAnsi="宋体" w:eastAsia="宋体" w:cs="Times New Roman"/>
                <w:color w:val="auto"/>
              </w:rPr>
            </w:pPr>
            <w:r>
              <w:rPr>
                <w:rFonts w:ascii="宋体" w:hAnsi="宋体" w:eastAsia="宋体" w:cs="Times New Roman"/>
                <w:color w:val="auto"/>
              </w:rPr>
              <w:t>较现状增量</w:t>
            </w:r>
          </w:p>
        </w:tc>
        <w:tc>
          <w:tcPr>
            <w:tcW w:w="530" w:type="pct"/>
            <w:gridSpan w:val="2"/>
            <w:vAlign w:val="center"/>
          </w:tcPr>
          <w:p w14:paraId="4C20B5FF">
            <w:pPr>
              <w:spacing w:line="360" w:lineRule="exact"/>
              <w:jc w:val="center"/>
              <w:rPr>
                <w:rFonts w:ascii="宋体" w:hAnsi="宋体" w:eastAsia="宋体" w:cs="Times New Roman"/>
                <w:color w:val="auto"/>
              </w:rPr>
            </w:pPr>
            <w:r>
              <w:rPr>
                <w:rFonts w:ascii="宋体" w:hAnsi="宋体" w:eastAsia="宋体" w:cs="Times New Roman"/>
                <w:color w:val="auto"/>
              </w:rPr>
              <w:t>超标和达标情况</w:t>
            </w:r>
          </w:p>
        </w:tc>
      </w:tr>
      <w:tr w14:paraId="296E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Merge w:val="continue"/>
            <w:vAlign w:val="center"/>
          </w:tcPr>
          <w:p w14:paraId="0ACA9F6C">
            <w:pPr>
              <w:spacing w:line="360" w:lineRule="exact"/>
              <w:jc w:val="center"/>
              <w:rPr>
                <w:rFonts w:ascii="宋体" w:hAnsi="宋体" w:eastAsia="宋体" w:cs="Times New Roman"/>
                <w:color w:val="auto"/>
              </w:rPr>
            </w:pPr>
          </w:p>
        </w:tc>
        <w:tc>
          <w:tcPr>
            <w:tcW w:w="343" w:type="pct"/>
            <w:vAlign w:val="center"/>
          </w:tcPr>
          <w:p w14:paraId="1A52AA35">
            <w:pPr>
              <w:spacing w:line="360" w:lineRule="exact"/>
              <w:jc w:val="center"/>
              <w:rPr>
                <w:rFonts w:ascii="宋体" w:hAnsi="宋体" w:eastAsia="宋体" w:cs="Times New Roman"/>
                <w:color w:val="auto"/>
              </w:rPr>
            </w:pPr>
            <w:r>
              <w:rPr>
                <w:rFonts w:ascii="宋体" w:hAnsi="宋体" w:eastAsia="宋体" w:cs="Times New Roman"/>
                <w:color w:val="auto"/>
              </w:rPr>
              <w:t>昼间</w:t>
            </w:r>
          </w:p>
        </w:tc>
        <w:tc>
          <w:tcPr>
            <w:tcW w:w="343" w:type="pct"/>
            <w:vAlign w:val="center"/>
          </w:tcPr>
          <w:p w14:paraId="70588107">
            <w:pPr>
              <w:spacing w:line="360" w:lineRule="exact"/>
              <w:jc w:val="center"/>
              <w:rPr>
                <w:rFonts w:ascii="宋体" w:hAnsi="宋体" w:eastAsia="宋体" w:cs="Times New Roman"/>
                <w:color w:val="auto"/>
              </w:rPr>
            </w:pPr>
            <w:r>
              <w:rPr>
                <w:rFonts w:ascii="宋体" w:hAnsi="宋体" w:eastAsia="宋体" w:cs="Times New Roman"/>
                <w:color w:val="auto"/>
              </w:rPr>
              <w:t>夜间</w:t>
            </w:r>
          </w:p>
        </w:tc>
        <w:tc>
          <w:tcPr>
            <w:tcW w:w="343" w:type="pct"/>
            <w:vAlign w:val="center"/>
          </w:tcPr>
          <w:p w14:paraId="0E5AD837">
            <w:pPr>
              <w:spacing w:line="360" w:lineRule="exact"/>
              <w:jc w:val="center"/>
              <w:rPr>
                <w:rFonts w:ascii="宋体" w:hAnsi="宋体" w:eastAsia="宋体" w:cs="Times New Roman"/>
                <w:color w:val="auto"/>
              </w:rPr>
            </w:pPr>
            <w:r>
              <w:rPr>
                <w:rFonts w:ascii="宋体" w:hAnsi="宋体" w:eastAsia="宋体" w:cs="Times New Roman"/>
                <w:color w:val="auto"/>
              </w:rPr>
              <w:t>昼间</w:t>
            </w:r>
          </w:p>
        </w:tc>
        <w:tc>
          <w:tcPr>
            <w:tcW w:w="343" w:type="pct"/>
            <w:vAlign w:val="center"/>
          </w:tcPr>
          <w:p w14:paraId="4E257465">
            <w:pPr>
              <w:spacing w:line="360" w:lineRule="exact"/>
              <w:jc w:val="center"/>
              <w:rPr>
                <w:rFonts w:ascii="宋体" w:hAnsi="宋体" w:eastAsia="宋体" w:cs="Times New Roman"/>
                <w:color w:val="auto"/>
              </w:rPr>
            </w:pPr>
            <w:r>
              <w:rPr>
                <w:rFonts w:ascii="宋体" w:hAnsi="宋体" w:eastAsia="宋体" w:cs="Times New Roman"/>
                <w:color w:val="auto"/>
              </w:rPr>
              <w:t>夜间</w:t>
            </w:r>
          </w:p>
        </w:tc>
        <w:tc>
          <w:tcPr>
            <w:tcW w:w="268" w:type="pct"/>
            <w:vAlign w:val="center"/>
          </w:tcPr>
          <w:p w14:paraId="0DEF2C4C">
            <w:pPr>
              <w:spacing w:line="360" w:lineRule="exact"/>
              <w:jc w:val="center"/>
              <w:rPr>
                <w:rFonts w:ascii="宋体" w:hAnsi="宋体" w:eastAsia="宋体" w:cs="Times New Roman"/>
                <w:color w:val="auto"/>
              </w:rPr>
            </w:pPr>
            <w:r>
              <w:rPr>
                <w:rFonts w:ascii="宋体" w:hAnsi="宋体" w:eastAsia="宋体" w:cs="Times New Roman"/>
                <w:color w:val="auto"/>
              </w:rPr>
              <w:t>昼间</w:t>
            </w:r>
          </w:p>
        </w:tc>
        <w:tc>
          <w:tcPr>
            <w:tcW w:w="289" w:type="pct"/>
            <w:vAlign w:val="center"/>
          </w:tcPr>
          <w:p w14:paraId="2B831EC7">
            <w:pPr>
              <w:spacing w:line="360" w:lineRule="exact"/>
              <w:jc w:val="center"/>
              <w:rPr>
                <w:rFonts w:ascii="宋体" w:hAnsi="宋体" w:eastAsia="宋体" w:cs="Times New Roman"/>
                <w:color w:val="auto"/>
              </w:rPr>
            </w:pPr>
            <w:r>
              <w:rPr>
                <w:rFonts w:ascii="宋体" w:hAnsi="宋体" w:eastAsia="宋体" w:cs="Times New Roman"/>
                <w:color w:val="auto"/>
              </w:rPr>
              <w:t>夜间</w:t>
            </w:r>
          </w:p>
        </w:tc>
        <w:tc>
          <w:tcPr>
            <w:tcW w:w="398" w:type="pct"/>
            <w:vAlign w:val="center"/>
          </w:tcPr>
          <w:p w14:paraId="6040707D">
            <w:pPr>
              <w:spacing w:line="360" w:lineRule="exact"/>
              <w:jc w:val="center"/>
              <w:rPr>
                <w:rFonts w:ascii="宋体" w:hAnsi="宋体" w:eastAsia="宋体" w:cs="Times New Roman"/>
                <w:color w:val="auto"/>
              </w:rPr>
            </w:pPr>
            <w:r>
              <w:rPr>
                <w:rFonts w:ascii="宋体" w:hAnsi="宋体" w:eastAsia="宋体" w:cs="Times New Roman"/>
                <w:color w:val="auto"/>
              </w:rPr>
              <w:t>昼间</w:t>
            </w:r>
          </w:p>
        </w:tc>
        <w:tc>
          <w:tcPr>
            <w:tcW w:w="398" w:type="pct"/>
            <w:vAlign w:val="center"/>
          </w:tcPr>
          <w:p w14:paraId="23284E18">
            <w:pPr>
              <w:spacing w:line="360" w:lineRule="exact"/>
              <w:jc w:val="center"/>
              <w:rPr>
                <w:rFonts w:ascii="宋体" w:hAnsi="宋体" w:eastAsia="宋体" w:cs="Times New Roman"/>
                <w:color w:val="auto"/>
              </w:rPr>
            </w:pPr>
            <w:r>
              <w:rPr>
                <w:rFonts w:ascii="宋体" w:hAnsi="宋体" w:eastAsia="宋体" w:cs="Times New Roman"/>
                <w:color w:val="auto"/>
              </w:rPr>
              <w:t>夜间</w:t>
            </w:r>
          </w:p>
        </w:tc>
        <w:tc>
          <w:tcPr>
            <w:tcW w:w="359" w:type="pct"/>
            <w:vAlign w:val="center"/>
          </w:tcPr>
          <w:p w14:paraId="5C48AAA9">
            <w:pPr>
              <w:spacing w:line="360" w:lineRule="exact"/>
              <w:jc w:val="center"/>
              <w:rPr>
                <w:rFonts w:ascii="宋体" w:hAnsi="宋体" w:eastAsia="宋体" w:cs="Times New Roman"/>
                <w:color w:val="auto"/>
              </w:rPr>
            </w:pPr>
            <w:r>
              <w:rPr>
                <w:rFonts w:ascii="宋体" w:hAnsi="宋体" w:eastAsia="宋体" w:cs="Times New Roman"/>
                <w:color w:val="auto"/>
              </w:rPr>
              <w:t>昼间</w:t>
            </w:r>
          </w:p>
        </w:tc>
        <w:tc>
          <w:tcPr>
            <w:tcW w:w="398" w:type="pct"/>
            <w:vAlign w:val="center"/>
          </w:tcPr>
          <w:p w14:paraId="6AC7FB38">
            <w:pPr>
              <w:spacing w:line="360" w:lineRule="exact"/>
              <w:jc w:val="center"/>
              <w:rPr>
                <w:rFonts w:ascii="宋体" w:hAnsi="宋体" w:eastAsia="宋体" w:cs="Times New Roman"/>
                <w:color w:val="auto"/>
              </w:rPr>
            </w:pPr>
            <w:r>
              <w:rPr>
                <w:rFonts w:ascii="宋体" w:hAnsi="宋体" w:eastAsia="宋体" w:cs="Times New Roman"/>
                <w:color w:val="auto"/>
              </w:rPr>
              <w:t>夜间</w:t>
            </w:r>
          </w:p>
        </w:tc>
        <w:tc>
          <w:tcPr>
            <w:tcW w:w="299" w:type="pct"/>
            <w:vAlign w:val="center"/>
          </w:tcPr>
          <w:p w14:paraId="14FD8DC8">
            <w:pPr>
              <w:spacing w:line="360" w:lineRule="exact"/>
              <w:jc w:val="center"/>
              <w:rPr>
                <w:rFonts w:ascii="宋体" w:hAnsi="宋体" w:eastAsia="宋体" w:cs="Times New Roman"/>
                <w:color w:val="auto"/>
              </w:rPr>
            </w:pPr>
            <w:r>
              <w:rPr>
                <w:rFonts w:ascii="宋体" w:hAnsi="宋体" w:eastAsia="宋体" w:cs="Times New Roman"/>
                <w:color w:val="auto"/>
              </w:rPr>
              <w:t>昼间</w:t>
            </w:r>
          </w:p>
        </w:tc>
        <w:tc>
          <w:tcPr>
            <w:tcW w:w="342" w:type="pct"/>
            <w:vAlign w:val="center"/>
          </w:tcPr>
          <w:p w14:paraId="5E34DDA3">
            <w:pPr>
              <w:spacing w:line="360" w:lineRule="exact"/>
              <w:jc w:val="center"/>
              <w:rPr>
                <w:rFonts w:ascii="宋体" w:hAnsi="宋体" w:eastAsia="宋体" w:cs="Times New Roman"/>
                <w:color w:val="auto"/>
              </w:rPr>
            </w:pPr>
            <w:r>
              <w:rPr>
                <w:rFonts w:ascii="宋体" w:hAnsi="宋体" w:eastAsia="宋体" w:cs="Times New Roman"/>
                <w:color w:val="auto"/>
              </w:rPr>
              <w:t>夜间</w:t>
            </w:r>
          </w:p>
        </w:tc>
        <w:tc>
          <w:tcPr>
            <w:tcW w:w="260" w:type="pct"/>
            <w:vAlign w:val="center"/>
          </w:tcPr>
          <w:p w14:paraId="2D27A7F5">
            <w:pPr>
              <w:spacing w:line="360" w:lineRule="exact"/>
              <w:jc w:val="center"/>
              <w:rPr>
                <w:rFonts w:ascii="宋体" w:hAnsi="宋体" w:eastAsia="宋体" w:cs="Times New Roman"/>
                <w:color w:val="auto"/>
              </w:rPr>
            </w:pPr>
            <w:r>
              <w:rPr>
                <w:rFonts w:ascii="宋体" w:hAnsi="宋体" w:eastAsia="宋体" w:cs="Times New Roman"/>
                <w:color w:val="auto"/>
              </w:rPr>
              <w:t>昼间</w:t>
            </w:r>
          </w:p>
        </w:tc>
        <w:tc>
          <w:tcPr>
            <w:tcW w:w="270" w:type="pct"/>
            <w:vAlign w:val="center"/>
          </w:tcPr>
          <w:p w14:paraId="65633180">
            <w:pPr>
              <w:spacing w:line="360" w:lineRule="exact"/>
              <w:jc w:val="center"/>
              <w:rPr>
                <w:rFonts w:ascii="宋体" w:hAnsi="宋体" w:eastAsia="宋体" w:cs="Times New Roman"/>
                <w:color w:val="auto"/>
              </w:rPr>
            </w:pPr>
            <w:r>
              <w:rPr>
                <w:rFonts w:ascii="宋体" w:hAnsi="宋体" w:eastAsia="宋体" w:cs="Times New Roman"/>
                <w:color w:val="auto"/>
              </w:rPr>
              <w:t>夜间</w:t>
            </w:r>
          </w:p>
        </w:tc>
      </w:tr>
      <w:tr w14:paraId="1A4F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8" w:type="pct"/>
            <w:vAlign w:val="center"/>
          </w:tcPr>
          <w:p w14:paraId="201FEC8F">
            <w:pPr>
              <w:spacing w:line="360" w:lineRule="exact"/>
              <w:jc w:val="center"/>
              <w:rPr>
                <w:rFonts w:ascii="宋体" w:hAnsi="宋体" w:eastAsia="宋体" w:cs="Times New Roman"/>
                <w:color w:val="auto"/>
              </w:rPr>
            </w:pPr>
            <w:r>
              <w:rPr>
                <w:rFonts w:ascii="宋体" w:hAnsi="宋体" w:eastAsia="宋体" w:cs="Times New Roman"/>
                <w:color w:val="auto"/>
              </w:rPr>
              <w:t>后欧力马屯</w:t>
            </w:r>
          </w:p>
        </w:tc>
        <w:tc>
          <w:tcPr>
            <w:tcW w:w="343" w:type="pct"/>
            <w:vAlign w:val="center"/>
          </w:tcPr>
          <w:p w14:paraId="03C2EAD7">
            <w:pPr>
              <w:spacing w:line="360" w:lineRule="exact"/>
              <w:jc w:val="center"/>
              <w:rPr>
                <w:rFonts w:ascii="宋体" w:hAnsi="宋体" w:eastAsia="宋体" w:cs="Times New Roman"/>
                <w:color w:val="auto"/>
              </w:rPr>
            </w:pPr>
            <w:r>
              <w:rPr>
                <w:rFonts w:ascii="宋体" w:hAnsi="宋体" w:eastAsia="宋体" w:cs="Times New Roman"/>
                <w:color w:val="auto"/>
              </w:rPr>
              <w:t>48.5</w:t>
            </w:r>
          </w:p>
        </w:tc>
        <w:tc>
          <w:tcPr>
            <w:tcW w:w="343" w:type="pct"/>
            <w:vAlign w:val="center"/>
          </w:tcPr>
          <w:p w14:paraId="67B7F91E">
            <w:pPr>
              <w:spacing w:line="360" w:lineRule="exact"/>
              <w:jc w:val="center"/>
              <w:rPr>
                <w:rFonts w:ascii="宋体" w:hAnsi="宋体" w:eastAsia="宋体" w:cs="Times New Roman"/>
                <w:color w:val="auto"/>
              </w:rPr>
            </w:pPr>
            <w:r>
              <w:rPr>
                <w:rFonts w:ascii="宋体" w:hAnsi="宋体" w:eastAsia="宋体" w:cs="Times New Roman"/>
                <w:color w:val="auto"/>
              </w:rPr>
              <w:t>44.1</w:t>
            </w:r>
          </w:p>
        </w:tc>
        <w:tc>
          <w:tcPr>
            <w:tcW w:w="343" w:type="pct"/>
            <w:vAlign w:val="center"/>
          </w:tcPr>
          <w:p w14:paraId="17DCEAE3">
            <w:pPr>
              <w:spacing w:line="360" w:lineRule="exact"/>
              <w:jc w:val="center"/>
              <w:rPr>
                <w:rFonts w:ascii="宋体" w:hAnsi="宋体" w:eastAsia="宋体" w:cs="Times New Roman"/>
                <w:color w:val="auto"/>
              </w:rPr>
            </w:pPr>
            <w:r>
              <w:rPr>
                <w:rFonts w:ascii="宋体" w:hAnsi="宋体" w:eastAsia="宋体" w:cs="Times New Roman"/>
                <w:color w:val="auto"/>
              </w:rPr>
              <w:t>48.5</w:t>
            </w:r>
          </w:p>
        </w:tc>
        <w:tc>
          <w:tcPr>
            <w:tcW w:w="343" w:type="pct"/>
            <w:vAlign w:val="center"/>
          </w:tcPr>
          <w:p w14:paraId="112BCB07">
            <w:pPr>
              <w:spacing w:line="360" w:lineRule="exact"/>
              <w:jc w:val="center"/>
              <w:rPr>
                <w:rFonts w:ascii="宋体" w:hAnsi="宋体" w:eastAsia="宋体" w:cs="Times New Roman"/>
                <w:color w:val="auto"/>
              </w:rPr>
            </w:pPr>
            <w:r>
              <w:rPr>
                <w:rFonts w:ascii="宋体" w:hAnsi="宋体" w:eastAsia="宋体" w:cs="Times New Roman"/>
                <w:color w:val="auto"/>
              </w:rPr>
              <w:t>44.1</w:t>
            </w:r>
          </w:p>
        </w:tc>
        <w:tc>
          <w:tcPr>
            <w:tcW w:w="268" w:type="pct"/>
            <w:vAlign w:val="center"/>
          </w:tcPr>
          <w:p w14:paraId="581886BC">
            <w:pPr>
              <w:spacing w:line="360" w:lineRule="exact"/>
              <w:jc w:val="center"/>
              <w:rPr>
                <w:rFonts w:ascii="宋体" w:hAnsi="宋体" w:eastAsia="宋体" w:cs="Times New Roman"/>
                <w:color w:val="auto"/>
              </w:rPr>
            </w:pPr>
            <w:r>
              <w:rPr>
                <w:rFonts w:ascii="宋体" w:hAnsi="宋体" w:eastAsia="宋体" w:cs="Times New Roman"/>
                <w:color w:val="auto"/>
              </w:rPr>
              <w:t>55</w:t>
            </w:r>
          </w:p>
        </w:tc>
        <w:tc>
          <w:tcPr>
            <w:tcW w:w="289" w:type="pct"/>
            <w:vAlign w:val="center"/>
          </w:tcPr>
          <w:p w14:paraId="3FF5C72B">
            <w:pPr>
              <w:spacing w:line="360" w:lineRule="exact"/>
              <w:jc w:val="center"/>
              <w:rPr>
                <w:rFonts w:ascii="宋体" w:hAnsi="宋体" w:eastAsia="宋体" w:cs="Times New Roman"/>
                <w:color w:val="auto"/>
              </w:rPr>
            </w:pPr>
            <w:r>
              <w:rPr>
                <w:rFonts w:ascii="宋体" w:hAnsi="宋体" w:eastAsia="宋体" w:cs="Times New Roman"/>
                <w:color w:val="auto"/>
              </w:rPr>
              <w:t>45</w:t>
            </w:r>
          </w:p>
        </w:tc>
        <w:tc>
          <w:tcPr>
            <w:tcW w:w="398" w:type="pct"/>
            <w:vAlign w:val="center"/>
          </w:tcPr>
          <w:p w14:paraId="52E69389">
            <w:pPr>
              <w:spacing w:line="360" w:lineRule="exact"/>
              <w:jc w:val="center"/>
              <w:rPr>
                <w:rFonts w:ascii="宋体" w:hAnsi="宋体" w:eastAsia="宋体" w:cs="Times New Roman"/>
                <w:color w:val="auto"/>
              </w:rPr>
            </w:pPr>
            <w:r>
              <w:rPr>
                <w:rFonts w:ascii="宋体" w:hAnsi="宋体" w:eastAsia="宋体" w:cs="Times New Roman"/>
                <w:color w:val="auto"/>
              </w:rPr>
              <w:t>19.01</w:t>
            </w:r>
          </w:p>
        </w:tc>
        <w:tc>
          <w:tcPr>
            <w:tcW w:w="398" w:type="pct"/>
            <w:vAlign w:val="center"/>
          </w:tcPr>
          <w:p w14:paraId="72B6E394">
            <w:pPr>
              <w:spacing w:line="360" w:lineRule="exact"/>
              <w:jc w:val="center"/>
              <w:rPr>
                <w:rFonts w:ascii="宋体" w:hAnsi="宋体" w:eastAsia="宋体" w:cs="Times New Roman"/>
                <w:color w:val="auto"/>
              </w:rPr>
            </w:pPr>
            <w:r>
              <w:rPr>
                <w:rFonts w:ascii="宋体" w:hAnsi="宋体" w:eastAsia="宋体" w:cs="Times New Roman"/>
                <w:color w:val="auto"/>
              </w:rPr>
              <w:t>19.01</w:t>
            </w:r>
          </w:p>
        </w:tc>
        <w:tc>
          <w:tcPr>
            <w:tcW w:w="359" w:type="pct"/>
            <w:vAlign w:val="center"/>
          </w:tcPr>
          <w:p w14:paraId="6D45ABC9">
            <w:pPr>
              <w:spacing w:line="360" w:lineRule="exact"/>
              <w:jc w:val="center"/>
              <w:rPr>
                <w:rFonts w:ascii="宋体" w:hAnsi="宋体" w:eastAsia="宋体" w:cs="Times New Roman"/>
                <w:color w:val="auto"/>
              </w:rPr>
            </w:pPr>
            <w:r>
              <w:rPr>
                <w:rFonts w:ascii="宋体" w:hAnsi="宋体" w:eastAsia="宋体" w:cs="Times New Roman"/>
                <w:color w:val="auto"/>
              </w:rPr>
              <w:t>48.5</w:t>
            </w:r>
          </w:p>
        </w:tc>
        <w:tc>
          <w:tcPr>
            <w:tcW w:w="398" w:type="pct"/>
            <w:vAlign w:val="center"/>
          </w:tcPr>
          <w:p w14:paraId="24DC2426">
            <w:pPr>
              <w:spacing w:line="360" w:lineRule="exact"/>
              <w:jc w:val="center"/>
              <w:rPr>
                <w:rFonts w:ascii="宋体" w:hAnsi="宋体" w:eastAsia="宋体" w:cs="Times New Roman"/>
                <w:color w:val="auto"/>
              </w:rPr>
            </w:pPr>
            <w:r>
              <w:rPr>
                <w:rFonts w:ascii="宋体" w:hAnsi="宋体" w:eastAsia="宋体" w:cs="Times New Roman"/>
                <w:color w:val="auto"/>
              </w:rPr>
              <w:t>44.11</w:t>
            </w:r>
          </w:p>
        </w:tc>
        <w:tc>
          <w:tcPr>
            <w:tcW w:w="299" w:type="pct"/>
            <w:vAlign w:val="center"/>
          </w:tcPr>
          <w:p w14:paraId="2C638F76">
            <w:pPr>
              <w:spacing w:line="360" w:lineRule="exact"/>
              <w:jc w:val="center"/>
              <w:rPr>
                <w:rFonts w:ascii="宋体" w:hAnsi="宋体" w:eastAsia="宋体" w:cs="Times New Roman"/>
                <w:color w:val="auto"/>
              </w:rPr>
            </w:pPr>
            <w:r>
              <w:rPr>
                <w:rFonts w:ascii="宋体" w:hAnsi="宋体" w:eastAsia="宋体" w:cs="Times New Roman"/>
                <w:color w:val="auto"/>
              </w:rPr>
              <w:t>0</w:t>
            </w:r>
          </w:p>
        </w:tc>
        <w:tc>
          <w:tcPr>
            <w:tcW w:w="342" w:type="pct"/>
            <w:vAlign w:val="center"/>
          </w:tcPr>
          <w:p w14:paraId="02836A8D">
            <w:pPr>
              <w:spacing w:line="360" w:lineRule="exact"/>
              <w:jc w:val="center"/>
              <w:rPr>
                <w:rFonts w:ascii="宋体" w:hAnsi="宋体" w:eastAsia="宋体" w:cs="Times New Roman"/>
                <w:color w:val="auto"/>
              </w:rPr>
            </w:pPr>
            <w:r>
              <w:rPr>
                <w:rFonts w:ascii="宋体" w:hAnsi="宋体" w:eastAsia="宋体" w:cs="Times New Roman"/>
                <w:color w:val="auto"/>
              </w:rPr>
              <w:t>0.01</w:t>
            </w:r>
          </w:p>
        </w:tc>
        <w:tc>
          <w:tcPr>
            <w:tcW w:w="260" w:type="pct"/>
            <w:vAlign w:val="center"/>
          </w:tcPr>
          <w:p w14:paraId="069B5E0C">
            <w:pPr>
              <w:spacing w:line="360" w:lineRule="exact"/>
              <w:jc w:val="center"/>
              <w:rPr>
                <w:rFonts w:ascii="宋体" w:hAnsi="宋体" w:eastAsia="宋体" w:cs="Times New Roman"/>
                <w:color w:val="auto"/>
              </w:rPr>
            </w:pPr>
            <w:r>
              <w:rPr>
                <w:rFonts w:ascii="宋体" w:hAnsi="宋体" w:eastAsia="宋体" w:cs="Times New Roman"/>
                <w:color w:val="auto"/>
              </w:rPr>
              <w:t>达标</w:t>
            </w:r>
          </w:p>
        </w:tc>
        <w:tc>
          <w:tcPr>
            <w:tcW w:w="270" w:type="pct"/>
            <w:vAlign w:val="center"/>
          </w:tcPr>
          <w:p w14:paraId="11739608">
            <w:pPr>
              <w:spacing w:line="360" w:lineRule="exact"/>
              <w:jc w:val="center"/>
              <w:rPr>
                <w:rFonts w:ascii="宋体" w:hAnsi="宋体" w:eastAsia="宋体" w:cs="Times New Roman"/>
                <w:color w:val="auto"/>
              </w:rPr>
            </w:pPr>
            <w:r>
              <w:rPr>
                <w:rFonts w:ascii="宋体" w:hAnsi="宋体" w:eastAsia="宋体" w:cs="Times New Roman"/>
                <w:color w:val="auto"/>
              </w:rPr>
              <w:t>达标</w:t>
            </w:r>
          </w:p>
        </w:tc>
      </w:tr>
    </w:tbl>
    <w:p w14:paraId="5FF81F10">
      <w:pPr>
        <w:jc w:val="center"/>
        <w:rPr>
          <w:rFonts w:ascii="宋体" w:hAnsi="宋体" w:eastAsia="宋体"/>
          <w:color w:val="auto"/>
          <w:sz w:val="24"/>
        </w:rPr>
      </w:pPr>
    </w:p>
    <w:p w14:paraId="4CCC8593">
      <w:pPr>
        <w:jc w:val="center"/>
        <w:rPr>
          <w:rFonts w:ascii="宋体" w:hAnsi="宋体" w:eastAsia="宋体"/>
          <w:color w:val="auto"/>
          <w:sz w:val="24"/>
        </w:rPr>
      </w:pPr>
      <w:r>
        <w:rPr>
          <w:rFonts w:ascii="宋体" w:hAnsi="宋体" w:eastAsia="宋体"/>
          <w:color w:val="auto"/>
        </w:rPr>
        <w:drawing>
          <wp:inline distT="0" distB="0" distL="114300" distR="114300">
            <wp:extent cx="5755005" cy="4034155"/>
            <wp:effectExtent l="0" t="0" r="17145" b="4445"/>
            <wp:docPr id="1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3"/>
                    <pic:cNvPicPr>
                      <a:picLocks noChangeAspect="1"/>
                    </pic:cNvPicPr>
                  </pic:nvPicPr>
                  <pic:blipFill>
                    <a:blip r:embed="rId135"/>
                    <a:stretch>
                      <a:fillRect/>
                    </a:stretch>
                  </pic:blipFill>
                  <pic:spPr>
                    <a:xfrm>
                      <a:off x="0" y="0"/>
                      <a:ext cx="5755005" cy="4034155"/>
                    </a:xfrm>
                    <a:prstGeom prst="rect">
                      <a:avLst/>
                    </a:prstGeom>
                    <a:noFill/>
                    <a:ln>
                      <a:noFill/>
                    </a:ln>
                  </pic:spPr>
                </pic:pic>
              </a:graphicData>
            </a:graphic>
          </wp:inline>
        </w:drawing>
      </w:r>
    </w:p>
    <w:p w14:paraId="5D2D2D4B">
      <w:pPr>
        <w:spacing w:line="440" w:lineRule="exact"/>
        <w:jc w:val="center"/>
        <w:rPr>
          <w:rFonts w:ascii="宋体" w:hAnsi="宋体" w:eastAsia="宋体" w:cs="Times New Roman"/>
          <w:color w:val="auto"/>
          <w:szCs w:val="20"/>
        </w:rPr>
      </w:pPr>
      <w:r>
        <w:rPr>
          <w:rFonts w:ascii="宋体" w:hAnsi="宋体" w:eastAsia="宋体" w:cs="Times New Roman"/>
          <w:color w:val="auto"/>
          <w:szCs w:val="20"/>
        </w:rPr>
        <w:t>图5.4-3</w:t>
      </w:r>
      <w:r>
        <w:rPr>
          <w:rFonts w:hint="eastAsia" w:ascii="宋体" w:hAnsi="宋体" w:eastAsia="宋体" w:cs="Times New Roman"/>
          <w:color w:val="auto"/>
          <w:szCs w:val="20"/>
        </w:rPr>
        <w:t xml:space="preserve"> </w:t>
      </w:r>
      <w:r>
        <w:rPr>
          <w:rFonts w:ascii="宋体" w:hAnsi="宋体" w:eastAsia="宋体" w:cs="Times New Roman"/>
          <w:color w:val="auto"/>
          <w:szCs w:val="20"/>
        </w:rPr>
        <w:t xml:space="preserve"> </w:t>
      </w:r>
      <w:r>
        <w:rPr>
          <w:rFonts w:hint="eastAsia" w:ascii="宋体" w:hAnsi="宋体" w:eastAsia="宋体" w:cs="Times New Roman"/>
          <w:color w:val="auto"/>
          <w:szCs w:val="20"/>
        </w:rPr>
        <w:t>3</w:t>
      </w:r>
      <w:r>
        <w:rPr>
          <w:rFonts w:ascii="宋体" w:hAnsi="宋体" w:eastAsia="宋体" w:cs="Times New Roman"/>
          <w:color w:val="auto"/>
          <w:szCs w:val="20"/>
        </w:rPr>
        <w:t>号平台井场运营期噪声预测图</w:t>
      </w:r>
    </w:p>
    <w:p w14:paraId="6EBCF96D">
      <w:pPr>
        <w:rPr>
          <w:rFonts w:ascii="宋体" w:hAnsi="宋体" w:eastAsia="宋体"/>
          <w:color w:val="auto"/>
        </w:rPr>
      </w:pPr>
    </w:p>
    <w:p w14:paraId="62B9BEF6">
      <w:pPr>
        <w:spacing w:line="440" w:lineRule="exact"/>
        <w:ind w:firstLine="480" w:firstLineChars="200"/>
        <w:rPr>
          <w:rFonts w:ascii="宋体" w:hAnsi="宋体" w:eastAsia="宋体"/>
          <w:color w:val="auto"/>
          <w:sz w:val="24"/>
        </w:rPr>
      </w:pPr>
      <w:r>
        <w:rPr>
          <w:rFonts w:ascii="宋体" w:hAnsi="宋体" w:eastAsia="宋体"/>
          <w:color w:val="auto"/>
          <w:sz w:val="24"/>
          <w:highlight w:val="yellow"/>
        </w:rPr>
        <w:t>由预测结果可知，</w:t>
      </w:r>
      <w:r>
        <w:rPr>
          <w:rFonts w:hint="eastAsia" w:ascii="宋体" w:hAnsi="宋体" w:eastAsia="宋体"/>
          <w:color w:val="auto"/>
          <w:sz w:val="24"/>
          <w:highlight w:val="yellow"/>
        </w:rPr>
        <w:t>3</w:t>
      </w:r>
      <w:r>
        <w:rPr>
          <w:rFonts w:ascii="宋体" w:hAnsi="宋体" w:eastAsia="宋体"/>
          <w:color w:val="auto"/>
          <w:sz w:val="24"/>
          <w:highlight w:val="yellow"/>
        </w:rPr>
        <w:t>号平台井场厂界噪声贡献值46.65～49.13dB（A），厂界噪声满足《工业企业厂界环境噪声排放标准》（GB12348-2008）中 2 类标准的要求，由预测结果可知，</w:t>
      </w:r>
      <w:r>
        <w:rPr>
          <w:rFonts w:hint="eastAsia" w:ascii="宋体" w:hAnsi="宋体" w:eastAsia="宋体"/>
          <w:color w:val="auto"/>
          <w:sz w:val="24"/>
          <w:highlight w:val="yellow"/>
        </w:rPr>
        <w:t>3</w:t>
      </w:r>
      <w:r>
        <w:rPr>
          <w:rFonts w:ascii="宋体" w:hAnsi="宋体" w:eastAsia="宋体"/>
          <w:color w:val="auto"/>
          <w:sz w:val="24"/>
          <w:highlight w:val="yellow"/>
        </w:rPr>
        <w:t>号平台井场运行噪声对声环境敏感点后欧力马屯声环境现状基本无影响，项目运行对周边声环境影响较小，不会发生噪声扰民问</w:t>
      </w:r>
      <w:r>
        <w:rPr>
          <w:rFonts w:ascii="宋体" w:hAnsi="宋体" w:eastAsia="宋体"/>
          <w:color w:val="auto"/>
          <w:sz w:val="24"/>
        </w:rPr>
        <w:t>题。</w:t>
      </w:r>
    </w:p>
    <w:p w14:paraId="0ADFC0A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修井作业声环境影响分析</w:t>
      </w:r>
    </w:p>
    <w:p w14:paraId="44EEA5FA">
      <w:pPr>
        <w:spacing w:line="440" w:lineRule="exact"/>
        <w:ind w:firstLine="480" w:firstLineChars="200"/>
        <w:rPr>
          <w:rFonts w:ascii="宋体" w:hAnsi="宋体" w:eastAsia="宋体"/>
          <w:color w:val="auto"/>
          <w:sz w:val="24"/>
        </w:rPr>
      </w:pPr>
      <w:r>
        <w:rPr>
          <w:rFonts w:hint="eastAsia" w:ascii="宋体" w:hAnsi="宋体" w:eastAsia="宋体"/>
          <w:color w:val="auto"/>
          <w:sz w:val="24"/>
        </w:rPr>
        <w:t>根据资料调研结果，</w:t>
      </w:r>
      <w:r>
        <w:rPr>
          <w:rFonts w:ascii="宋体" w:hAnsi="宋体" w:eastAsia="宋体"/>
          <w:color w:val="auto"/>
          <w:sz w:val="24"/>
        </w:rPr>
        <w:t>不同作业类型在不同距离下的</w:t>
      </w:r>
      <w:r>
        <w:rPr>
          <w:rFonts w:hint="eastAsia" w:ascii="宋体" w:hAnsi="宋体" w:eastAsia="宋体"/>
          <w:color w:val="auto"/>
          <w:sz w:val="24"/>
        </w:rPr>
        <w:t>井下作业</w:t>
      </w:r>
      <w:r>
        <w:rPr>
          <w:rFonts w:ascii="宋体" w:hAnsi="宋体" w:eastAsia="宋体"/>
          <w:color w:val="auto"/>
          <w:sz w:val="24"/>
        </w:rPr>
        <w:t>噪声情况见</w:t>
      </w:r>
      <w:r>
        <w:rPr>
          <w:rFonts w:hint="eastAsia" w:ascii="宋体" w:hAnsi="宋体" w:eastAsia="宋体"/>
          <w:color w:val="auto"/>
          <w:sz w:val="24"/>
        </w:rPr>
        <w:t>下表。</w:t>
      </w:r>
    </w:p>
    <w:p w14:paraId="7859A177">
      <w:pPr>
        <w:pStyle w:val="276"/>
        <w:widowControl w:val="0"/>
        <w:spacing w:line="440" w:lineRule="exact"/>
        <w:ind w:firstLine="0" w:firstLineChars="0"/>
        <w:jc w:val="center"/>
        <w:rPr>
          <w:color w:val="auto"/>
          <w:kern w:val="2"/>
        </w:rPr>
      </w:pPr>
    </w:p>
    <w:p w14:paraId="12624376">
      <w:pPr>
        <w:pStyle w:val="276"/>
        <w:widowControl w:val="0"/>
        <w:spacing w:line="440" w:lineRule="exact"/>
        <w:ind w:firstLine="0" w:firstLineChars="0"/>
        <w:jc w:val="center"/>
        <w:rPr>
          <w:color w:val="auto"/>
          <w:kern w:val="2"/>
        </w:rPr>
      </w:pPr>
      <w:r>
        <w:rPr>
          <w:color w:val="auto"/>
          <w:kern w:val="2"/>
        </w:rPr>
        <w:t>表</w:t>
      </w:r>
      <w:r>
        <w:rPr>
          <w:rFonts w:hint="eastAsia"/>
          <w:color w:val="auto"/>
          <w:kern w:val="2"/>
        </w:rPr>
        <w:t xml:space="preserve"> </w:t>
      </w:r>
      <w:r>
        <w:rPr>
          <w:color w:val="auto"/>
          <w:kern w:val="2"/>
        </w:rPr>
        <w:t>5.4-12 各井下作业工况下不同距离处的噪声值</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467"/>
        <w:gridCol w:w="2740"/>
        <w:gridCol w:w="1358"/>
        <w:gridCol w:w="2951"/>
      </w:tblGrid>
      <w:tr w14:paraId="1F83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5" w:type="pct"/>
            <w:shd w:val="clear" w:color="auto" w:fill="auto"/>
            <w:vAlign w:val="center"/>
          </w:tcPr>
          <w:p w14:paraId="5EC2BEF6">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工况</w:t>
            </w:r>
          </w:p>
        </w:tc>
        <w:tc>
          <w:tcPr>
            <w:tcW w:w="790" w:type="pct"/>
            <w:shd w:val="clear" w:color="auto" w:fill="auto"/>
            <w:vAlign w:val="center"/>
          </w:tcPr>
          <w:p w14:paraId="7024CCF0">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距离（m）</w:t>
            </w:r>
          </w:p>
        </w:tc>
        <w:tc>
          <w:tcPr>
            <w:tcW w:w="1475" w:type="pct"/>
            <w:shd w:val="clear" w:color="auto" w:fill="auto"/>
            <w:vAlign w:val="center"/>
          </w:tcPr>
          <w:p w14:paraId="4ED710C4">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噪声等效声级（dB（A））</w:t>
            </w:r>
          </w:p>
        </w:tc>
        <w:tc>
          <w:tcPr>
            <w:tcW w:w="731" w:type="pct"/>
            <w:shd w:val="clear" w:color="auto" w:fill="auto"/>
            <w:vAlign w:val="center"/>
          </w:tcPr>
          <w:p w14:paraId="2BAB1987">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距离（m）</w:t>
            </w:r>
          </w:p>
        </w:tc>
        <w:tc>
          <w:tcPr>
            <w:tcW w:w="1589" w:type="pct"/>
            <w:shd w:val="clear" w:color="auto" w:fill="auto"/>
            <w:vAlign w:val="center"/>
          </w:tcPr>
          <w:p w14:paraId="5DFF2037">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噪声等效声级（dB</w:t>
            </w:r>
            <w:r>
              <w:rPr>
                <w:rFonts w:hint="eastAsia" w:ascii="宋体" w:hAnsi="宋体" w:eastAsia="宋体" w:cs="Times New Roman"/>
                <w:color w:val="auto"/>
              </w:rPr>
              <w:t>（</w:t>
            </w:r>
            <w:r>
              <w:rPr>
                <w:rFonts w:ascii="宋体" w:hAnsi="宋体" w:eastAsia="宋体" w:cs="Times New Roman"/>
                <w:color w:val="auto"/>
              </w:rPr>
              <w:t>A</w:t>
            </w:r>
            <w:r>
              <w:rPr>
                <w:rFonts w:hint="eastAsia" w:ascii="宋体" w:hAnsi="宋体" w:eastAsia="宋体" w:cs="Times New Roman"/>
                <w:color w:val="auto"/>
              </w:rPr>
              <w:t>）</w:t>
            </w:r>
            <w:r>
              <w:rPr>
                <w:rFonts w:ascii="宋体" w:hAnsi="宋体" w:eastAsia="宋体" w:cs="Times New Roman"/>
                <w:color w:val="auto"/>
              </w:rPr>
              <w:t>）</w:t>
            </w:r>
          </w:p>
        </w:tc>
      </w:tr>
      <w:tr w14:paraId="7A72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shd w:val="clear" w:color="auto" w:fill="auto"/>
            <w:vAlign w:val="center"/>
          </w:tcPr>
          <w:p w14:paraId="1D3AED6D">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小修</w:t>
            </w:r>
          </w:p>
        </w:tc>
        <w:tc>
          <w:tcPr>
            <w:tcW w:w="790" w:type="pct"/>
            <w:shd w:val="clear" w:color="auto" w:fill="auto"/>
            <w:vAlign w:val="center"/>
          </w:tcPr>
          <w:p w14:paraId="78B332DB">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72～82</w:t>
            </w:r>
          </w:p>
        </w:tc>
        <w:tc>
          <w:tcPr>
            <w:tcW w:w="1475" w:type="pct"/>
            <w:shd w:val="clear" w:color="auto" w:fill="auto"/>
            <w:vAlign w:val="center"/>
          </w:tcPr>
          <w:p w14:paraId="0DB2E79C">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60</w:t>
            </w:r>
          </w:p>
        </w:tc>
        <w:tc>
          <w:tcPr>
            <w:tcW w:w="731" w:type="pct"/>
            <w:shd w:val="clear" w:color="auto" w:fill="auto"/>
            <w:vAlign w:val="center"/>
          </w:tcPr>
          <w:p w14:paraId="236BFC74">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140～150</w:t>
            </w:r>
          </w:p>
        </w:tc>
        <w:tc>
          <w:tcPr>
            <w:tcW w:w="1589" w:type="pct"/>
            <w:shd w:val="clear" w:color="auto" w:fill="auto"/>
            <w:vAlign w:val="center"/>
          </w:tcPr>
          <w:p w14:paraId="00C0AB23">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50</w:t>
            </w:r>
          </w:p>
        </w:tc>
      </w:tr>
      <w:tr w14:paraId="3225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shd w:val="clear" w:color="auto" w:fill="auto"/>
            <w:vAlign w:val="center"/>
          </w:tcPr>
          <w:p w14:paraId="0435A00C">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大修</w:t>
            </w:r>
          </w:p>
        </w:tc>
        <w:tc>
          <w:tcPr>
            <w:tcW w:w="790" w:type="pct"/>
            <w:shd w:val="clear" w:color="auto" w:fill="auto"/>
            <w:vAlign w:val="center"/>
          </w:tcPr>
          <w:p w14:paraId="1849A8FB">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87～97</w:t>
            </w:r>
          </w:p>
        </w:tc>
        <w:tc>
          <w:tcPr>
            <w:tcW w:w="1475" w:type="pct"/>
            <w:shd w:val="clear" w:color="auto" w:fill="auto"/>
            <w:vAlign w:val="center"/>
          </w:tcPr>
          <w:p w14:paraId="5CE456A3">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60</w:t>
            </w:r>
          </w:p>
        </w:tc>
        <w:tc>
          <w:tcPr>
            <w:tcW w:w="731" w:type="pct"/>
            <w:shd w:val="clear" w:color="auto" w:fill="auto"/>
            <w:vAlign w:val="center"/>
          </w:tcPr>
          <w:p w14:paraId="3EDC808F">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160～170</w:t>
            </w:r>
          </w:p>
        </w:tc>
        <w:tc>
          <w:tcPr>
            <w:tcW w:w="1589" w:type="pct"/>
            <w:shd w:val="clear" w:color="auto" w:fill="auto"/>
            <w:vAlign w:val="center"/>
          </w:tcPr>
          <w:p w14:paraId="2C3CC385">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50</w:t>
            </w:r>
          </w:p>
        </w:tc>
      </w:tr>
    </w:tbl>
    <w:p w14:paraId="6515F8B5">
      <w:pPr>
        <w:spacing w:line="440" w:lineRule="exact"/>
        <w:ind w:firstLine="480" w:firstLineChars="200"/>
        <w:rPr>
          <w:rFonts w:ascii="宋体" w:hAnsi="宋体" w:eastAsia="宋体"/>
          <w:color w:val="auto"/>
          <w:sz w:val="24"/>
        </w:rPr>
      </w:pPr>
      <w:r>
        <w:rPr>
          <w:rFonts w:ascii="宋体" w:hAnsi="宋体" w:eastAsia="宋体"/>
          <w:color w:val="auto"/>
          <w:sz w:val="24"/>
        </w:rPr>
        <w:t>由</w:t>
      </w:r>
      <w:r>
        <w:rPr>
          <w:rFonts w:hint="eastAsia" w:ascii="宋体" w:hAnsi="宋体" w:eastAsia="宋体"/>
          <w:color w:val="auto"/>
          <w:sz w:val="24"/>
        </w:rPr>
        <w:t>上表</w:t>
      </w:r>
      <w:r>
        <w:rPr>
          <w:rFonts w:ascii="宋体" w:hAnsi="宋体" w:eastAsia="宋体"/>
          <w:color w:val="auto"/>
          <w:sz w:val="24"/>
        </w:rPr>
        <w:t>可知，小修作业主要噪声源为通井机，一般距离井口72m～82m，噪声降低至60dB（A）；距离井口140m～150m，噪声降低至50dB（A）。大修作业主要噪声源为修井机，距离井口87m～97m，噪声降低至60dB（A）；距离井口160m～170m，噪声降低至50dB（A）。</w:t>
      </w:r>
    </w:p>
    <w:p w14:paraId="16F316FE">
      <w:pPr>
        <w:spacing w:line="440" w:lineRule="exact"/>
        <w:ind w:firstLine="480" w:firstLineChars="200"/>
        <w:rPr>
          <w:rFonts w:ascii="宋体" w:hAnsi="宋体" w:eastAsia="宋体"/>
          <w:color w:val="auto"/>
          <w:sz w:val="24"/>
        </w:rPr>
      </w:pPr>
      <w:r>
        <w:rPr>
          <w:rFonts w:ascii="宋体" w:hAnsi="宋体" w:eastAsia="宋体"/>
          <w:color w:val="auto"/>
          <w:sz w:val="24"/>
        </w:rPr>
        <w:t>本项目</w:t>
      </w:r>
      <w:r>
        <w:rPr>
          <w:rFonts w:hint="eastAsia" w:ascii="宋体" w:hAnsi="宋体" w:eastAsia="宋体"/>
          <w:color w:val="auto"/>
          <w:sz w:val="24"/>
        </w:rPr>
        <w:t>井场周围</w:t>
      </w:r>
      <w:r>
        <w:rPr>
          <w:rFonts w:ascii="宋体" w:hAnsi="宋体" w:eastAsia="宋体"/>
          <w:color w:val="auto"/>
          <w:sz w:val="24"/>
        </w:rPr>
        <w:t>2</w:t>
      </w:r>
      <w:r>
        <w:rPr>
          <w:rFonts w:hint="eastAsia" w:ascii="宋体" w:hAnsi="宋体" w:eastAsia="宋体"/>
          <w:color w:val="auto"/>
          <w:sz w:val="24"/>
        </w:rPr>
        <w:t>00m范围内存在居住点，建议采取以下措施：</w:t>
      </w:r>
    </w:p>
    <w:p w14:paraId="06C5BC95">
      <w:pPr>
        <w:spacing w:line="440" w:lineRule="exact"/>
        <w:ind w:firstLine="480" w:firstLineChars="200"/>
        <w:rPr>
          <w:rFonts w:ascii="宋体" w:hAnsi="宋体" w:eastAsia="宋体"/>
          <w:color w:val="auto"/>
          <w:sz w:val="24"/>
        </w:rPr>
      </w:pPr>
      <w:r>
        <w:rPr>
          <w:rFonts w:hint="eastAsia" w:ascii="宋体" w:hAnsi="宋体" w:eastAsia="宋体"/>
          <w:color w:val="auto"/>
          <w:sz w:val="24"/>
        </w:rPr>
        <w:t>（1）井下作业期间噪声主要来自通井机、修井机的轰鸣声，此噪声的大小与井内管柱的负荷有直接关系，现场施工要求司钻根据井内管柱负荷变化，调整合适的设备档位，以达到在同等负荷下，噪声最小。</w:t>
      </w:r>
    </w:p>
    <w:p w14:paraId="6AE05D58">
      <w:pPr>
        <w:spacing w:line="440" w:lineRule="exact"/>
        <w:ind w:firstLine="480" w:firstLineChars="200"/>
        <w:rPr>
          <w:rFonts w:ascii="宋体" w:hAnsi="宋体" w:eastAsia="宋体"/>
          <w:color w:val="auto"/>
          <w:sz w:val="24"/>
        </w:rPr>
      </w:pPr>
      <w:r>
        <w:rPr>
          <w:rFonts w:hint="eastAsia" w:ascii="宋体" w:hAnsi="宋体" w:eastAsia="宋体"/>
          <w:color w:val="auto"/>
          <w:sz w:val="24"/>
        </w:rPr>
        <w:t>（2）在条件允许情况下，建议采取网电修井机，作业期间井场四周设置隔声围挡措施。</w:t>
      </w:r>
    </w:p>
    <w:p w14:paraId="3C69E22B">
      <w:pPr>
        <w:spacing w:line="440" w:lineRule="exact"/>
        <w:ind w:firstLine="480" w:firstLineChars="200"/>
        <w:rPr>
          <w:rFonts w:ascii="宋体" w:hAnsi="宋体" w:eastAsia="宋体"/>
          <w:color w:val="auto"/>
          <w:sz w:val="24"/>
        </w:rPr>
      </w:pPr>
      <w:r>
        <w:rPr>
          <w:rFonts w:hint="eastAsia" w:ascii="宋体" w:hAnsi="宋体" w:eastAsia="宋体"/>
          <w:color w:val="auto"/>
          <w:sz w:val="24"/>
        </w:rPr>
        <w:t>（3）加大设备的维护保养，在设备下铺设减振基础，减少振动噪声。</w:t>
      </w:r>
    </w:p>
    <w:p w14:paraId="4516665C">
      <w:pPr>
        <w:spacing w:line="440" w:lineRule="exact"/>
        <w:ind w:firstLine="480" w:firstLineChars="200"/>
        <w:rPr>
          <w:rFonts w:ascii="宋体" w:hAnsi="宋体" w:eastAsia="宋体"/>
          <w:color w:val="auto"/>
          <w:sz w:val="24"/>
        </w:rPr>
      </w:pPr>
      <w:r>
        <w:rPr>
          <w:rFonts w:hint="eastAsia" w:ascii="宋体" w:hAnsi="宋体" w:eastAsia="宋体"/>
          <w:color w:val="auto"/>
          <w:sz w:val="24"/>
        </w:rPr>
        <w:t>井下</w:t>
      </w:r>
      <w:r>
        <w:rPr>
          <w:rFonts w:ascii="宋体" w:hAnsi="宋体" w:eastAsia="宋体"/>
          <w:color w:val="auto"/>
          <w:sz w:val="24"/>
        </w:rPr>
        <w:t>作业施工时间是</w:t>
      </w:r>
      <w:r>
        <w:rPr>
          <w:rFonts w:hint="eastAsia" w:ascii="宋体" w:hAnsi="宋体" w:eastAsia="宋体"/>
          <w:color w:val="auto"/>
          <w:sz w:val="24"/>
        </w:rPr>
        <w:t>短暂</w:t>
      </w:r>
      <w:r>
        <w:rPr>
          <w:rFonts w:ascii="宋体" w:hAnsi="宋体" w:eastAsia="宋体"/>
          <w:color w:val="auto"/>
          <w:sz w:val="24"/>
        </w:rPr>
        <w:t>的，</w:t>
      </w:r>
      <w:r>
        <w:rPr>
          <w:rFonts w:hint="eastAsia" w:ascii="宋体" w:hAnsi="宋体" w:eastAsia="宋体"/>
          <w:color w:val="auto"/>
          <w:sz w:val="24"/>
        </w:rPr>
        <w:t>在井下</w:t>
      </w:r>
      <w:r>
        <w:rPr>
          <w:rFonts w:ascii="宋体" w:hAnsi="宋体" w:eastAsia="宋体"/>
          <w:color w:val="auto"/>
          <w:sz w:val="24"/>
        </w:rPr>
        <w:t>作业</w:t>
      </w:r>
      <w:r>
        <w:rPr>
          <w:rFonts w:hint="eastAsia" w:ascii="宋体" w:hAnsi="宋体" w:eastAsia="宋体"/>
          <w:color w:val="auto"/>
          <w:sz w:val="24"/>
        </w:rPr>
        <w:t>结束</w:t>
      </w:r>
      <w:r>
        <w:rPr>
          <w:rFonts w:ascii="宋体" w:hAnsi="宋体" w:eastAsia="宋体"/>
          <w:color w:val="auto"/>
          <w:sz w:val="24"/>
        </w:rPr>
        <w:t>后这种不利影响将消失</w:t>
      </w:r>
      <w:r>
        <w:rPr>
          <w:rFonts w:hint="eastAsia" w:ascii="宋体" w:hAnsi="宋体" w:eastAsia="宋体"/>
          <w:color w:val="auto"/>
          <w:sz w:val="24"/>
        </w:rPr>
        <w:t>，因此本项目</w:t>
      </w:r>
      <w:r>
        <w:rPr>
          <w:rFonts w:ascii="宋体" w:hAnsi="宋体" w:eastAsia="宋体"/>
          <w:color w:val="auto"/>
          <w:sz w:val="24"/>
        </w:rPr>
        <w:t>在井下作业时对</w:t>
      </w:r>
      <w:r>
        <w:rPr>
          <w:rFonts w:hint="eastAsia" w:ascii="宋体" w:hAnsi="宋体" w:eastAsia="宋体"/>
          <w:color w:val="auto"/>
          <w:sz w:val="24"/>
        </w:rPr>
        <w:t>井场周边</w:t>
      </w:r>
      <w:r>
        <w:rPr>
          <w:rFonts w:ascii="宋体" w:hAnsi="宋体" w:eastAsia="宋体"/>
          <w:color w:val="auto"/>
          <w:sz w:val="24"/>
        </w:rPr>
        <w:t>声环境</w:t>
      </w:r>
      <w:r>
        <w:rPr>
          <w:rFonts w:hint="eastAsia" w:ascii="宋体" w:hAnsi="宋体" w:eastAsia="宋体"/>
          <w:color w:val="auto"/>
          <w:sz w:val="24"/>
        </w:rPr>
        <w:t>敏感</w:t>
      </w:r>
      <w:r>
        <w:rPr>
          <w:rFonts w:ascii="宋体" w:hAnsi="宋体" w:eastAsia="宋体"/>
          <w:color w:val="auto"/>
          <w:sz w:val="24"/>
        </w:rPr>
        <w:t>目标</w:t>
      </w:r>
      <w:r>
        <w:rPr>
          <w:rFonts w:hint="eastAsia" w:ascii="宋体" w:hAnsi="宋体" w:eastAsia="宋体"/>
          <w:color w:val="auto"/>
          <w:sz w:val="24"/>
        </w:rPr>
        <w:t>较小。</w:t>
      </w:r>
    </w:p>
    <w:p w14:paraId="0761AFFE">
      <w:pPr>
        <w:pStyle w:val="6"/>
        <w:rPr>
          <w:color w:val="auto"/>
        </w:rPr>
      </w:pPr>
      <w:r>
        <w:rPr>
          <w:color w:val="auto"/>
        </w:rPr>
        <w:t>退役期</w:t>
      </w:r>
    </w:p>
    <w:p w14:paraId="49A94B36">
      <w:pPr>
        <w:pStyle w:val="276"/>
        <w:widowControl w:val="0"/>
        <w:ind w:firstLine="480"/>
        <w:jc w:val="both"/>
        <w:rPr>
          <w:color w:val="auto"/>
          <w:kern w:val="2"/>
        </w:rPr>
      </w:pPr>
      <w:r>
        <w:rPr>
          <w:color w:val="auto"/>
          <w:kern w:val="2"/>
        </w:rPr>
        <w:t>本项目退役期在拆除地面设备、封井时施工机械及运输车辆会产生噪声。退役期施工机械噪声衰减结果见表5.4-</w:t>
      </w:r>
      <w:r>
        <w:rPr>
          <w:rFonts w:hint="eastAsia"/>
          <w:color w:val="auto"/>
          <w:kern w:val="2"/>
        </w:rPr>
        <w:t>12</w:t>
      </w:r>
      <w:r>
        <w:rPr>
          <w:color w:val="auto"/>
          <w:kern w:val="2"/>
        </w:rPr>
        <w:t>。</w:t>
      </w:r>
    </w:p>
    <w:p w14:paraId="7EB72956">
      <w:pPr>
        <w:pStyle w:val="276"/>
        <w:widowControl w:val="0"/>
        <w:spacing w:line="440" w:lineRule="exact"/>
        <w:ind w:firstLine="0" w:firstLineChars="0"/>
        <w:jc w:val="center"/>
        <w:rPr>
          <w:color w:val="auto"/>
          <w:kern w:val="2"/>
        </w:rPr>
      </w:pPr>
      <w:r>
        <w:rPr>
          <w:color w:val="auto"/>
          <w:kern w:val="2"/>
        </w:rPr>
        <w:t>表5.4-</w:t>
      </w:r>
      <w:r>
        <w:rPr>
          <w:rFonts w:hint="eastAsia"/>
          <w:color w:val="auto"/>
          <w:kern w:val="2"/>
        </w:rPr>
        <w:t>12</w:t>
      </w:r>
      <w:r>
        <w:rPr>
          <w:color w:val="auto"/>
          <w:kern w:val="2"/>
        </w:rPr>
        <w:t xml:space="preserve"> 退役期施工机械噪声统计表 单位：dB(A)</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57"/>
        <w:gridCol w:w="1174"/>
        <w:gridCol w:w="1016"/>
        <w:gridCol w:w="1163"/>
        <w:gridCol w:w="1161"/>
        <w:gridCol w:w="1161"/>
        <w:gridCol w:w="1155"/>
      </w:tblGrid>
      <w:tr w14:paraId="20BCB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23" w:type="pct"/>
            <w:vMerge w:val="restart"/>
            <w:shd w:val="clear" w:color="auto" w:fill="auto"/>
            <w:vAlign w:val="center"/>
          </w:tcPr>
          <w:p w14:paraId="53B9B676">
            <w:pPr>
              <w:pStyle w:val="169"/>
              <w:rPr>
                <w:rFonts w:ascii="宋体" w:hAnsi="宋体"/>
                <w:color w:val="auto"/>
                <w:sz w:val="21"/>
              </w:rPr>
            </w:pPr>
            <w:r>
              <w:rPr>
                <w:rFonts w:ascii="宋体" w:hAnsi="宋体"/>
                <w:color w:val="auto"/>
                <w:sz w:val="21"/>
              </w:rPr>
              <w:t>机械名称</w:t>
            </w:r>
          </w:p>
        </w:tc>
        <w:tc>
          <w:tcPr>
            <w:tcW w:w="3677" w:type="pct"/>
            <w:gridSpan w:val="6"/>
            <w:shd w:val="clear" w:color="auto" w:fill="auto"/>
            <w:vAlign w:val="center"/>
          </w:tcPr>
          <w:p w14:paraId="1699AE34">
            <w:pPr>
              <w:pStyle w:val="169"/>
              <w:rPr>
                <w:rFonts w:ascii="宋体" w:hAnsi="宋体"/>
                <w:color w:val="auto"/>
                <w:sz w:val="21"/>
              </w:rPr>
            </w:pPr>
            <w:r>
              <w:rPr>
                <w:rFonts w:ascii="宋体" w:hAnsi="宋体"/>
                <w:color w:val="auto"/>
                <w:sz w:val="21"/>
              </w:rPr>
              <w:t>离施工点距离不同处的噪声值</w:t>
            </w:r>
          </w:p>
        </w:tc>
      </w:tr>
      <w:tr w14:paraId="65655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23" w:type="pct"/>
            <w:vMerge w:val="continue"/>
            <w:shd w:val="clear" w:color="auto" w:fill="auto"/>
            <w:vAlign w:val="center"/>
          </w:tcPr>
          <w:p w14:paraId="02186F0F">
            <w:pPr>
              <w:pStyle w:val="169"/>
              <w:rPr>
                <w:rFonts w:ascii="宋体" w:hAnsi="宋体"/>
                <w:color w:val="auto"/>
                <w:sz w:val="21"/>
              </w:rPr>
            </w:pPr>
          </w:p>
        </w:tc>
        <w:tc>
          <w:tcPr>
            <w:tcW w:w="632" w:type="pct"/>
            <w:shd w:val="clear" w:color="auto" w:fill="auto"/>
            <w:vAlign w:val="center"/>
          </w:tcPr>
          <w:p w14:paraId="7E693969">
            <w:pPr>
              <w:pStyle w:val="169"/>
              <w:rPr>
                <w:rFonts w:ascii="宋体" w:hAnsi="宋体"/>
                <w:color w:val="auto"/>
                <w:sz w:val="21"/>
              </w:rPr>
            </w:pPr>
            <w:r>
              <w:rPr>
                <w:rFonts w:ascii="宋体" w:hAnsi="宋体"/>
                <w:color w:val="auto"/>
                <w:sz w:val="21"/>
              </w:rPr>
              <w:t>10m</w:t>
            </w:r>
          </w:p>
        </w:tc>
        <w:tc>
          <w:tcPr>
            <w:tcW w:w="547" w:type="pct"/>
            <w:shd w:val="clear" w:color="auto" w:fill="auto"/>
            <w:vAlign w:val="center"/>
          </w:tcPr>
          <w:p w14:paraId="25CC5C5F">
            <w:pPr>
              <w:pStyle w:val="169"/>
              <w:rPr>
                <w:rFonts w:ascii="宋体" w:hAnsi="宋体"/>
                <w:color w:val="auto"/>
                <w:sz w:val="21"/>
              </w:rPr>
            </w:pPr>
            <w:r>
              <w:rPr>
                <w:rFonts w:ascii="宋体" w:hAnsi="宋体"/>
                <w:color w:val="auto"/>
                <w:sz w:val="21"/>
              </w:rPr>
              <w:t>20m</w:t>
            </w:r>
          </w:p>
        </w:tc>
        <w:tc>
          <w:tcPr>
            <w:tcW w:w="626" w:type="pct"/>
            <w:shd w:val="clear" w:color="auto" w:fill="auto"/>
            <w:vAlign w:val="center"/>
          </w:tcPr>
          <w:p w14:paraId="2C007038">
            <w:pPr>
              <w:pStyle w:val="169"/>
              <w:rPr>
                <w:rFonts w:ascii="宋体" w:hAnsi="宋体"/>
                <w:color w:val="auto"/>
                <w:sz w:val="21"/>
              </w:rPr>
            </w:pPr>
            <w:r>
              <w:rPr>
                <w:rFonts w:ascii="宋体" w:hAnsi="宋体"/>
                <w:color w:val="auto"/>
                <w:sz w:val="21"/>
              </w:rPr>
              <w:t>50 m</w:t>
            </w:r>
          </w:p>
        </w:tc>
        <w:tc>
          <w:tcPr>
            <w:tcW w:w="625" w:type="pct"/>
            <w:shd w:val="clear" w:color="auto" w:fill="auto"/>
            <w:vAlign w:val="center"/>
          </w:tcPr>
          <w:p w14:paraId="27DDE7AA">
            <w:pPr>
              <w:pStyle w:val="169"/>
              <w:rPr>
                <w:rFonts w:ascii="宋体" w:hAnsi="宋体"/>
                <w:color w:val="auto"/>
                <w:sz w:val="21"/>
              </w:rPr>
            </w:pPr>
            <w:r>
              <w:rPr>
                <w:rFonts w:ascii="宋体" w:hAnsi="宋体"/>
                <w:color w:val="auto"/>
                <w:sz w:val="21"/>
              </w:rPr>
              <w:t>100 m</w:t>
            </w:r>
          </w:p>
        </w:tc>
        <w:tc>
          <w:tcPr>
            <w:tcW w:w="625" w:type="pct"/>
            <w:shd w:val="clear" w:color="auto" w:fill="auto"/>
            <w:vAlign w:val="center"/>
          </w:tcPr>
          <w:p w14:paraId="070D3E00">
            <w:pPr>
              <w:pStyle w:val="169"/>
              <w:rPr>
                <w:rFonts w:ascii="宋体" w:hAnsi="宋体"/>
                <w:color w:val="auto"/>
                <w:sz w:val="21"/>
              </w:rPr>
            </w:pPr>
            <w:r>
              <w:rPr>
                <w:rFonts w:ascii="宋体" w:hAnsi="宋体"/>
                <w:color w:val="auto"/>
                <w:sz w:val="21"/>
              </w:rPr>
              <w:t>200 m</w:t>
            </w:r>
          </w:p>
        </w:tc>
        <w:tc>
          <w:tcPr>
            <w:tcW w:w="622" w:type="pct"/>
            <w:shd w:val="clear" w:color="auto" w:fill="auto"/>
            <w:vAlign w:val="center"/>
          </w:tcPr>
          <w:p w14:paraId="2210464A">
            <w:pPr>
              <w:pStyle w:val="169"/>
              <w:rPr>
                <w:rFonts w:ascii="宋体" w:hAnsi="宋体"/>
                <w:color w:val="auto"/>
                <w:sz w:val="21"/>
              </w:rPr>
            </w:pPr>
            <w:r>
              <w:rPr>
                <w:rFonts w:ascii="宋体" w:hAnsi="宋体"/>
                <w:color w:val="auto"/>
                <w:sz w:val="21"/>
              </w:rPr>
              <w:t>300 m</w:t>
            </w:r>
          </w:p>
        </w:tc>
      </w:tr>
      <w:tr w14:paraId="72C18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23" w:type="pct"/>
            <w:shd w:val="clear" w:color="auto" w:fill="auto"/>
            <w:vAlign w:val="center"/>
          </w:tcPr>
          <w:p w14:paraId="7C0F7AF7">
            <w:pPr>
              <w:jc w:val="center"/>
              <w:rPr>
                <w:rFonts w:ascii="宋体" w:hAnsi="宋体" w:eastAsia="宋体" w:cs="Times New Roman"/>
                <w:snapToGrid w:val="0"/>
                <w:color w:val="auto"/>
              </w:rPr>
            </w:pPr>
            <w:r>
              <w:rPr>
                <w:rFonts w:ascii="宋体" w:hAnsi="宋体" w:eastAsia="宋体" w:cs="Times New Roman"/>
                <w:snapToGrid w:val="0"/>
                <w:color w:val="auto"/>
              </w:rPr>
              <w:t>挖掘机</w:t>
            </w:r>
          </w:p>
        </w:tc>
        <w:tc>
          <w:tcPr>
            <w:tcW w:w="632" w:type="pct"/>
            <w:shd w:val="clear" w:color="auto" w:fill="auto"/>
            <w:vAlign w:val="center"/>
          </w:tcPr>
          <w:p w14:paraId="78ED3DA7">
            <w:pPr>
              <w:pStyle w:val="1278"/>
              <w:spacing w:line="240" w:lineRule="auto"/>
              <w:jc w:val="center"/>
              <w:rPr>
                <w:rFonts w:ascii="宋体" w:hAnsi="宋体"/>
                <w:color w:val="auto"/>
                <w:sz w:val="21"/>
                <w:szCs w:val="21"/>
              </w:rPr>
            </w:pPr>
            <w:r>
              <w:rPr>
                <w:rFonts w:ascii="宋体" w:hAnsi="宋体"/>
                <w:color w:val="auto"/>
                <w:sz w:val="21"/>
                <w:szCs w:val="21"/>
              </w:rPr>
              <w:t>76</w:t>
            </w:r>
          </w:p>
        </w:tc>
        <w:tc>
          <w:tcPr>
            <w:tcW w:w="547" w:type="pct"/>
            <w:shd w:val="clear" w:color="auto" w:fill="auto"/>
            <w:vAlign w:val="center"/>
          </w:tcPr>
          <w:p w14:paraId="40632D79">
            <w:pPr>
              <w:pStyle w:val="169"/>
              <w:rPr>
                <w:rFonts w:ascii="宋体" w:hAnsi="宋体"/>
                <w:color w:val="auto"/>
                <w:sz w:val="21"/>
              </w:rPr>
            </w:pPr>
            <w:r>
              <w:rPr>
                <w:rFonts w:ascii="宋体" w:hAnsi="宋体"/>
                <w:color w:val="auto"/>
                <w:sz w:val="21"/>
              </w:rPr>
              <w:t>66.5</w:t>
            </w:r>
          </w:p>
        </w:tc>
        <w:tc>
          <w:tcPr>
            <w:tcW w:w="626" w:type="pct"/>
            <w:shd w:val="clear" w:color="auto" w:fill="auto"/>
            <w:vAlign w:val="center"/>
          </w:tcPr>
          <w:p w14:paraId="37D453E6">
            <w:pPr>
              <w:pStyle w:val="169"/>
              <w:rPr>
                <w:rFonts w:ascii="宋体" w:hAnsi="宋体"/>
                <w:color w:val="auto"/>
                <w:sz w:val="21"/>
              </w:rPr>
            </w:pPr>
            <w:r>
              <w:rPr>
                <w:rFonts w:ascii="宋体" w:hAnsi="宋体"/>
                <w:color w:val="auto"/>
                <w:sz w:val="21"/>
              </w:rPr>
              <w:t>56.9</w:t>
            </w:r>
          </w:p>
        </w:tc>
        <w:tc>
          <w:tcPr>
            <w:tcW w:w="625" w:type="pct"/>
            <w:shd w:val="clear" w:color="auto" w:fill="auto"/>
            <w:vAlign w:val="center"/>
          </w:tcPr>
          <w:p w14:paraId="67A36955">
            <w:pPr>
              <w:pStyle w:val="169"/>
              <w:rPr>
                <w:rFonts w:ascii="宋体" w:hAnsi="宋体"/>
                <w:color w:val="auto"/>
                <w:sz w:val="21"/>
              </w:rPr>
            </w:pPr>
            <w:r>
              <w:rPr>
                <w:rFonts w:ascii="宋体" w:hAnsi="宋体"/>
                <w:color w:val="auto"/>
                <w:sz w:val="21"/>
              </w:rPr>
              <w:t>50.4</w:t>
            </w:r>
          </w:p>
        </w:tc>
        <w:tc>
          <w:tcPr>
            <w:tcW w:w="625" w:type="pct"/>
            <w:shd w:val="clear" w:color="auto" w:fill="auto"/>
            <w:vAlign w:val="center"/>
          </w:tcPr>
          <w:p w14:paraId="030CC65D">
            <w:pPr>
              <w:pStyle w:val="169"/>
              <w:rPr>
                <w:rFonts w:ascii="宋体" w:hAnsi="宋体"/>
                <w:color w:val="auto"/>
                <w:sz w:val="21"/>
              </w:rPr>
            </w:pPr>
            <w:r>
              <w:rPr>
                <w:rFonts w:ascii="宋体" w:hAnsi="宋体"/>
                <w:color w:val="auto"/>
                <w:sz w:val="21"/>
              </w:rPr>
              <w:t>44.2</w:t>
            </w:r>
          </w:p>
        </w:tc>
        <w:tc>
          <w:tcPr>
            <w:tcW w:w="622" w:type="pct"/>
            <w:shd w:val="clear" w:color="auto" w:fill="auto"/>
            <w:vAlign w:val="center"/>
          </w:tcPr>
          <w:p w14:paraId="1C228127">
            <w:pPr>
              <w:pStyle w:val="169"/>
              <w:rPr>
                <w:rFonts w:ascii="宋体" w:hAnsi="宋体"/>
                <w:color w:val="auto"/>
                <w:sz w:val="21"/>
              </w:rPr>
            </w:pPr>
            <w:r>
              <w:rPr>
                <w:rFonts w:ascii="宋体" w:hAnsi="宋体"/>
                <w:color w:val="auto"/>
                <w:sz w:val="21"/>
              </w:rPr>
              <w:t>40.6</w:t>
            </w:r>
          </w:p>
        </w:tc>
      </w:tr>
      <w:tr w14:paraId="664A1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23" w:type="pct"/>
            <w:shd w:val="clear" w:color="auto" w:fill="auto"/>
            <w:vAlign w:val="center"/>
          </w:tcPr>
          <w:p w14:paraId="051139FE">
            <w:pPr>
              <w:jc w:val="center"/>
              <w:rPr>
                <w:rFonts w:ascii="宋体" w:hAnsi="宋体" w:eastAsia="宋体" w:cs="Times New Roman"/>
                <w:snapToGrid w:val="0"/>
                <w:color w:val="auto"/>
              </w:rPr>
            </w:pPr>
            <w:r>
              <w:rPr>
                <w:rFonts w:ascii="宋体" w:hAnsi="宋体" w:eastAsia="宋体" w:cs="Times New Roman"/>
                <w:snapToGrid w:val="0"/>
                <w:color w:val="auto"/>
              </w:rPr>
              <w:t>推土机</w:t>
            </w:r>
          </w:p>
        </w:tc>
        <w:tc>
          <w:tcPr>
            <w:tcW w:w="632" w:type="pct"/>
            <w:shd w:val="clear" w:color="auto" w:fill="auto"/>
            <w:vAlign w:val="center"/>
          </w:tcPr>
          <w:p w14:paraId="00EA86B1">
            <w:pPr>
              <w:pStyle w:val="1278"/>
              <w:spacing w:line="240" w:lineRule="auto"/>
              <w:jc w:val="center"/>
              <w:rPr>
                <w:rFonts w:ascii="宋体" w:hAnsi="宋体"/>
                <w:color w:val="auto"/>
                <w:sz w:val="21"/>
                <w:szCs w:val="21"/>
              </w:rPr>
            </w:pPr>
            <w:r>
              <w:rPr>
                <w:rFonts w:ascii="宋体" w:hAnsi="宋体"/>
                <w:color w:val="auto"/>
                <w:sz w:val="21"/>
                <w:szCs w:val="21"/>
              </w:rPr>
              <w:t>74</w:t>
            </w:r>
          </w:p>
        </w:tc>
        <w:tc>
          <w:tcPr>
            <w:tcW w:w="547" w:type="pct"/>
            <w:shd w:val="clear" w:color="auto" w:fill="auto"/>
            <w:vAlign w:val="center"/>
          </w:tcPr>
          <w:p w14:paraId="403DD75E">
            <w:pPr>
              <w:pStyle w:val="169"/>
              <w:rPr>
                <w:rFonts w:ascii="宋体" w:hAnsi="宋体"/>
                <w:color w:val="auto"/>
                <w:sz w:val="21"/>
              </w:rPr>
            </w:pPr>
            <w:r>
              <w:rPr>
                <w:rFonts w:ascii="宋体" w:hAnsi="宋体"/>
                <w:color w:val="auto"/>
                <w:sz w:val="21"/>
              </w:rPr>
              <w:t>64.5</w:t>
            </w:r>
          </w:p>
        </w:tc>
        <w:tc>
          <w:tcPr>
            <w:tcW w:w="626" w:type="pct"/>
            <w:shd w:val="clear" w:color="auto" w:fill="auto"/>
            <w:vAlign w:val="center"/>
          </w:tcPr>
          <w:p w14:paraId="1F7C0B4A">
            <w:pPr>
              <w:pStyle w:val="169"/>
              <w:rPr>
                <w:rFonts w:ascii="宋体" w:hAnsi="宋体"/>
                <w:color w:val="auto"/>
                <w:sz w:val="21"/>
              </w:rPr>
            </w:pPr>
            <w:r>
              <w:rPr>
                <w:rFonts w:ascii="宋体" w:hAnsi="宋体"/>
                <w:color w:val="auto"/>
                <w:sz w:val="21"/>
              </w:rPr>
              <w:t>55</w:t>
            </w:r>
          </w:p>
        </w:tc>
        <w:tc>
          <w:tcPr>
            <w:tcW w:w="625" w:type="pct"/>
            <w:shd w:val="clear" w:color="auto" w:fill="auto"/>
            <w:vAlign w:val="center"/>
          </w:tcPr>
          <w:p w14:paraId="74C9E887">
            <w:pPr>
              <w:pStyle w:val="169"/>
              <w:rPr>
                <w:rFonts w:ascii="宋体" w:hAnsi="宋体"/>
                <w:color w:val="auto"/>
                <w:sz w:val="21"/>
              </w:rPr>
            </w:pPr>
            <w:r>
              <w:rPr>
                <w:rFonts w:ascii="宋体" w:hAnsi="宋体"/>
                <w:color w:val="auto"/>
                <w:sz w:val="21"/>
              </w:rPr>
              <w:t>48.4</w:t>
            </w:r>
          </w:p>
        </w:tc>
        <w:tc>
          <w:tcPr>
            <w:tcW w:w="625" w:type="pct"/>
            <w:shd w:val="clear" w:color="auto" w:fill="auto"/>
            <w:vAlign w:val="center"/>
          </w:tcPr>
          <w:p w14:paraId="00EA6A4C">
            <w:pPr>
              <w:pStyle w:val="169"/>
              <w:rPr>
                <w:rFonts w:ascii="宋体" w:hAnsi="宋体"/>
                <w:color w:val="auto"/>
                <w:sz w:val="21"/>
              </w:rPr>
            </w:pPr>
            <w:r>
              <w:rPr>
                <w:rFonts w:ascii="宋体" w:hAnsi="宋体"/>
                <w:color w:val="auto"/>
                <w:sz w:val="21"/>
              </w:rPr>
              <w:t>42.2</w:t>
            </w:r>
          </w:p>
        </w:tc>
        <w:tc>
          <w:tcPr>
            <w:tcW w:w="622" w:type="pct"/>
            <w:shd w:val="clear" w:color="auto" w:fill="auto"/>
            <w:vAlign w:val="center"/>
          </w:tcPr>
          <w:p w14:paraId="3BFCA4C6">
            <w:pPr>
              <w:pStyle w:val="169"/>
              <w:rPr>
                <w:rFonts w:ascii="宋体" w:hAnsi="宋体"/>
                <w:color w:val="auto"/>
                <w:sz w:val="21"/>
              </w:rPr>
            </w:pPr>
            <w:r>
              <w:rPr>
                <w:rFonts w:ascii="宋体" w:hAnsi="宋体"/>
                <w:color w:val="auto"/>
                <w:sz w:val="21"/>
              </w:rPr>
              <w:t>38.6</w:t>
            </w:r>
          </w:p>
        </w:tc>
      </w:tr>
      <w:tr w14:paraId="77676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23" w:type="pct"/>
            <w:shd w:val="clear" w:color="auto" w:fill="auto"/>
            <w:vAlign w:val="center"/>
          </w:tcPr>
          <w:p w14:paraId="44808F8E">
            <w:pPr>
              <w:jc w:val="center"/>
              <w:rPr>
                <w:rFonts w:ascii="宋体" w:hAnsi="宋体" w:eastAsia="宋体" w:cs="Times New Roman"/>
                <w:snapToGrid w:val="0"/>
                <w:color w:val="auto"/>
              </w:rPr>
            </w:pPr>
            <w:r>
              <w:rPr>
                <w:rFonts w:ascii="宋体" w:hAnsi="宋体" w:eastAsia="宋体" w:cs="Times New Roman"/>
                <w:snapToGrid w:val="0"/>
                <w:color w:val="auto"/>
              </w:rPr>
              <w:t>吊装机</w:t>
            </w:r>
          </w:p>
        </w:tc>
        <w:tc>
          <w:tcPr>
            <w:tcW w:w="632" w:type="pct"/>
            <w:shd w:val="clear" w:color="auto" w:fill="auto"/>
            <w:vAlign w:val="center"/>
          </w:tcPr>
          <w:p w14:paraId="131014E1">
            <w:pPr>
              <w:pStyle w:val="1278"/>
              <w:spacing w:line="240" w:lineRule="auto"/>
              <w:jc w:val="center"/>
              <w:rPr>
                <w:rFonts w:ascii="宋体" w:hAnsi="宋体"/>
                <w:color w:val="auto"/>
                <w:sz w:val="21"/>
                <w:szCs w:val="21"/>
              </w:rPr>
            </w:pPr>
            <w:r>
              <w:rPr>
                <w:rFonts w:ascii="宋体" w:hAnsi="宋体"/>
                <w:color w:val="auto"/>
                <w:sz w:val="21"/>
                <w:szCs w:val="21"/>
              </w:rPr>
              <w:t>67</w:t>
            </w:r>
          </w:p>
        </w:tc>
        <w:tc>
          <w:tcPr>
            <w:tcW w:w="547" w:type="pct"/>
            <w:shd w:val="clear" w:color="auto" w:fill="auto"/>
            <w:vAlign w:val="center"/>
          </w:tcPr>
          <w:p w14:paraId="6AFDAA7E">
            <w:pPr>
              <w:pStyle w:val="169"/>
              <w:rPr>
                <w:rFonts w:ascii="宋体" w:hAnsi="宋体"/>
                <w:color w:val="auto"/>
                <w:sz w:val="21"/>
              </w:rPr>
            </w:pPr>
            <w:r>
              <w:rPr>
                <w:rFonts w:ascii="宋体" w:hAnsi="宋体"/>
                <w:color w:val="auto"/>
                <w:sz w:val="21"/>
              </w:rPr>
              <w:t>57.5</w:t>
            </w:r>
          </w:p>
        </w:tc>
        <w:tc>
          <w:tcPr>
            <w:tcW w:w="626" w:type="pct"/>
            <w:shd w:val="clear" w:color="auto" w:fill="auto"/>
            <w:vAlign w:val="center"/>
          </w:tcPr>
          <w:p w14:paraId="20828ACD">
            <w:pPr>
              <w:pStyle w:val="169"/>
              <w:rPr>
                <w:rFonts w:ascii="宋体" w:hAnsi="宋体"/>
                <w:color w:val="auto"/>
                <w:sz w:val="21"/>
              </w:rPr>
            </w:pPr>
            <w:r>
              <w:rPr>
                <w:rFonts w:ascii="宋体" w:hAnsi="宋体"/>
                <w:color w:val="auto"/>
                <w:sz w:val="21"/>
              </w:rPr>
              <w:t>48</w:t>
            </w:r>
          </w:p>
        </w:tc>
        <w:tc>
          <w:tcPr>
            <w:tcW w:w="625" w:type="pct"/>
            <w:shd w:val="clear" w:color="auto" w:fill="auto"/>
            <w:vAlign w:val="center"/>
          </w:tcPr>
          <w:p w14:paraId="4B13AB05">
            <w:pPr>
              <w:pStyle w:val="169"/>
              <w:rPr>
                <w:rFonts w:ascii="宋体" w:hAnsi="宋体"/>
                <w:color w:val="auto"/>
                <w:sz w:val="21"/>
              </w:rPr>
            </w:pPr>
            <w:r>
              <w:rPr>
                <w:rFonts w:ascii="宋体" w:hAnsi="宋体"/>
                <w:color w:val="auto"/>
                <w:sz w:val="21"/>
              </w:rPr>
              <w:t>41.4</w:t>
            </w:r>
          </w:p>
        </w:tc>
        <w:tc>
          <w:tcPr>
            <w:tcW w:w="625" w:type="pct"/>
            <w:shd w:val="clear" w:color="auto" w:fill="auto"/>
            <w:vAlign w:val="center"/>
          </w:tcPr>
          <w:p w14:paraId="4C94C2C5">
            <w:pPr>
              <w:pStyle w:val="169"/>
              <w:rPr>
                <w:rFonts w:ascii="宋体" w:hAnsi="宋体"/>
                <w:color w:val="auto"/>
                <w:sz w:val="21"/>
              </w:rPr>
            </w:pPr>
            <w:r>
              <w:rPr>
                <w:rFonts w:ascii="宋体" w:hAnsi="宋体"/>
                <w:color w:val="auto"/>
                <w:sz w:val="21"/>
              </w:rPr>
              <w:t>35.2</w:t>
            </w:r>
          </w:p>
        </w:tc>
        <w:tc>
          <w:tcPr>
            <w:tcW w:w="622" w:type="pct"/>
            <w:shd w:val="clear" w:color="auto" w:fill="auto"/>
            <w:vAlign w:val="center"/>
          </w:tcPr>
          <w:p w14:paraId="0200E540">
            <w:pPr>
              <w:pStyle w:val="169"/>
              <w:rPr>
                <w:rFonts w:ascii="宋体" w:hAnsi="宋体"/>
                <w:color w:val="auto"/>
                <w:sz w:val="21"/>
              </w:rPr>
            </w:pPr>
            <w:r>
              <w:rPr>
                <w:rFonts w:ascii="宋体" w:hAnsi="宋体"/>
                <w:color w:val="auto"/>
                <w:sz w:val="21"/>
              </w:rPr>
              <w:t>31.6</w:t>
            </w:r>
          </w:p>
        </w:tc>
      </w:tr>
      <w:tr w14:paraId="4F2DB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23" w:type="pct"/>
            <w:shd w:val="clear" w:color="auto" w:fill="auto"/>
            <w:vAlign w:val="center"/>
          </w:tcPr>
          <w:p w14:paraId="550E6242">
            <w:pPr>
              <w:jc w:val="center"/>
              <w:rPr>
                <w:rFonts w:ascii="宋体" w:hAnsi="宋体" w:eastAsia="宋体" w:cs="Times New Roman"/>
                <w:color w:val="auto"/>
              </w:rPr>
            </w:pPr>
            <w:r>
              <w:rPr>
                <w:rFonts w:ascii="宋体" w:hAnsi="宋体" w:eastAsia="宋体" w:cs="Times New Roman"/>
                <w:color w:val="auto"/>
              </w:rPr>
              <w:t>运输车辆</w:t>
            </w:r>
          </w:p>
        </w:tc>
        <w:tc>
          <w:tcPr>
            <w:tcW w:w="632" w:type="pct"/>
            <w:shd w:val="clear" w:color="auto" w:fill="auto"/>
            <w:vAlign w:val="center"/>
          </w:tcPr>
          <w:p w14:paraId="23DC51AC">
            <w:pPr>
              <w:pStyle w:val="1278"/>
              <w:spacing w:line="240" w:lineRule="auto"/>
              <w:jc w:val="center"/>
              <w:rPr>
                <w:rFonts w:ascii="宋体" w:hAnsi="宋体"/>
                <w:color w:val="auto"/>
                <w:sz w:val="21"/>
                <w:szCs w:val="21"/>
              </w:rPr>
            </w:pPr>
            <w:r>
              <w:rPr>
                <w:rFonts w:ascii="宋体" w:hAnsi="宋体"/>
                <w:color w:val="auto"/>
                <w:sz w:val="21"/>
                <w:szCs w:val="21"/>
              </w:rPr>
              <w:t>76</w:t>
            </w:r>
          </w:p>
        </w:tc>
        <w:tc>
          <w:tcPr>
            <w:tcW w:w="547" w:type="pct"/>
            <w:shd w:val="clear" w:color="auto" w:fill="auto"/>
            <w:vAlign w:val="center"/>
          </w:tcPr>
          <w:p w14:paraId="56360934">
            <w:pPr>
              <w:pStyle w:val="169"/>
              <w:rPr>
                <w:rFonts w:ascii="宋体" w:hAnsi="宋体"/>
                <w:color w:val="auto"/>
                <w:sz w:val="21"/>
              </w:rPr>
            </w:pPr>
            <w:r>
              <w:rPr>
                <w:rFonts w:ascii="宋体" w:hAnsi="宋体"/>
                <w:color w:val="auto"/>
                <w:sz w:val="21"/>
              </w:rPr>
              <w:t>66.5</w:t>
            </w:r>
          </w:p>
        </w:tc>
        <w:tc>
          <w:tcPr>
            <w:tcW w:w="626" w:type="pct"/>
            <w:shd w:val="clear" w:color="auto" w:fill="auto"/>
            <w:vAlign w:val="center"/>
          </w:tcPr>
          <w:p w14:paraId="720BE1EF">
            <w:pPr>
              <w:pStyle w:val="169"/>
              <w:rPr>
                <w:rFonts w:ascii="宋体" w:hAnsi="宋体"/>
                <w:color w:val="auto"/>
                <w:sz w:val="21"/>
              </w:rPr>
            </w:pPr>
            <w:r>
              <w:rPr>
                <w:rFonts w:ascii="宋体" w:hAnsi="宋体"/>
                <w:color w:val="auto"/>
                <w:sz w:val="21"/>
              </w:rPr>
              <w:t>56.9</w:t>
            </w:r>
          </w:p>
        </w:tc>
        <w:tc>
          <w:tcPr>
            <w:tcW w:w="625" w:type="pct"/>
            <w:shd w:val="clear" w:color="auto" w:fill="auto"/>
            <w:vAlign w:val="center"/>
          </w:tcPr>
          <w:p w14:paraId="4CE78A0E">
            <w:pPr>
              <w:pStyle w:val="169"/>
              <w:rPr>
                <w:rFonts w:ascii="宋体" w:hAnsi="宋体"/>
                <w:color w:val="auto"/>
                <w:sz w:val="21"/>
              </w:rPr>
            </w:pPr>
            <w:r>
              <w:rPr>
                <w:rFonts w:ascii="宋体" w:hAnsi="宋体"/>
                <w:color w:val="auto"/>
                <w:sz w:val="21"/>
              </w:rPr>
              <w:t>50.4</w:t>
            </w:r>
          </w:p>
        </w:tc>
        <w:tc>
          <w:tcPr>
            <w:tcW w:w="625" w:type="pct"/>
            <w:shd w:val="clear" w:color="auto" w:fill="auto"/>
            <w:vAlign w:val="center"/>
          </w:tcPr>
          <w:p w14:paraId="69A81B37">
            <w:pPr>
              <w:pStyle w:val="169"/>
              <w:rPr>
                <w:rFonts w:ascii="宋体" w:hAnsi="宋体"/>
                <w:color w:val="auto"/>
                <w:sz w:val="21"/>
              </w:rPr>
            </w:pPr>
            <w:r>
              <w:rPr>
                <w:rFonts w:ascii="宋体" w:hAnsi="宋体"/>
                <w:color w:val="auto"/>
                <w:sz w:val="21"/>
              </w:rPr>
              <w:t>44.2</w:t>
            </w:r>
          </w:p>
        </w:tc>
        <w:tc>
          <w:tcPr>
            <w:tcW w:w="622" w:type="pct"/>
            <w:shd w:val="clear" w:color="auto" w:fill="auto"/>
            <w:vAlign w:val="center"/>
          </w:tcPr>
          <w:p w14:paraId="71290EE7">
            <w:pPr>
              <w:pStyle w:val="169"/>
              <w:rPr>
                <w:rFonts w:ascii="宋体" w:hAnsi="宋体"/>
                <w:color w:val="auto"/>
                <w:sz w:val="21"/>
              </w:rPr>
            </w:pPr>
            <w:r>
              <w:rPr>
                <w:rFonts w:ascii="宋体" w:hAnsi="宋体"/>
                <w:color w:val="auto"/>
                <w:sz w:val="21"/>
              </w:rPr>
              <w:t>40.6</w:t>
            </w:r>
          </w:p>
        </w:tc>
      </w:tr>
    </w:tbl>
    <w:p w14:paraId="27301D57">
      <w:pPr>
        <w:pStyle w:val="276"/>
        <w:widowControl w:val="0"/>
        <w:ind w:firstLine="480"/>
        <w:jc w:val="both"/>
        <w:rPr>
          <w:color w:val="auto"/>
          <w:kern w:val="2"/>
        </w:rPr>
      </w:pPr>
      <w:r>
        <w:rPr>
          <w:color w:val="auto"/>
          <w:kern w:val="2"/>
        </w:rPr>
        <w:t>本项目退役期仅在昼间施工，由上表可以看出，主要施工机械在20m以外均能够满足《建筑施工场界环境噪声排放标准》（GB12523-2011）中昼间限值不超过70dB（A）的要求。根据现场调查，距离本项目施工场地最近敏感目标为源1011</w:t>
      </w:r>
      <w:r>
        <w:rPr>
          <w:rFonts w:hint="eastAsia"/>
          <w:color w:val="auto"/>
          <w:kern w:val="2"/>
        </w:rPr>
        <w:t>西140</w:t>
      </w:r>
      <w:r>
        <w:rPr>
          <w:color w:val="auto"/>
          <w:kern w:val="2"/>
        </w:rPr>
        <w:t>m的</w:t>
      </w:r>
      <w:r>
        <w:rPr>
          <w:rFonts w:hint="eastAsia"/>
          <w:color w:val="auto"/>
          <w:kern w:val="2"/>
        </w:rPr>
        <w:t>刘兽医</w:t>
      </w:r>
      <w:r>
        <w:rPr>
          <w:color w:val="auto"/>
          <w:kern w:val="2"/>
        </w:rPr>
        <w:t>屯，项目退役期井场封井产生噪声对其影响较小，且噪声对环境的影响是暂时性的，随着施工结束，其影响也随之消失</w:t>
      </w:r>
      <w:r>
        <w:rPr>
          <w:rFonts w:hint="eastAsia"/>
          <w:color w:val="auto"/>
          <w:kern w:val="2"/>
        </w:rPr>
        <w:t>，对周围环境影响不大</w:t>
      </w:r>
      <w:r>
        <w:rPr>
          <w:color w:val="auto"/>
          <w:kern w:val="2"/>
        </w:rPr>
        <w:t>。</w:t>
      </w:r>
    </w:p>
    <w:p w14:paraId="7BE24A0D">
      <w:pPr>
        <w:pStyle w:val="6"/>
        <w:rPr>
          <w:color w:val="auto"/>
        </w:rPr>
      </w:pPr>
      <w:r>
        <w:rPr>
          <w:rFonts w:hint="eastAsia"/>
          <w:color w:val="auto"/>
        </w:rPr>
        <w:t>声环境影响评价结论</w:t>
      </w:r>
    </w:p>
    <w:p w14:paraId="333FBE73">
      <w:pPr>
        <w:pStyle w:val="276"/>
        <w:widowControl w:val="0"/>
        <w:ind w:firstLine="480"/>
        <w:jc w:val="both"/>
        <w:rPr>
          <w:color w:val="auto"/>
        </w:rPr>
      </w:pPr>
      <w:r>
        <w:rPr>
          <w:rFonts w:hint="eastAsia"/>
          <w:color w:val="auto"/>
        </w:rPr>
        <w:t>根据噪声预测结果，在采取本项目提出的声环境保护措施后，施工期压裂作业井场厂界噪声不满足《建筑施工场界环境噪声排放标准》（GB 12523-2011）中的标准要求；运营期井场厂界噪声满足《工业企业厂界环境噪声排放标准》（GB 12348-2008）</w:t>
      </w:r>
      <w:r>
        <w:rPr>
          <w:color w:val="auto"/>
        </w:rPr>
        <w:t>2</w:t>
      </w:r>
      <w:r>
        <w:rPr>
          <w:rFonts w:hint="eastAsia"/>
          <w:color w:val="auto"/>
        </w:rPr>
        <w:t>类区排放限值要求，不会对周围声环境造成明显的不利影响。</w:t>
      </w:r>
    </w:p>
    <w:p w14:paraId="2F7A00A5">
      <w:pPr>
        <w:pStyle w:val="276"/>
        <w:widowControl w:val="0"/>
        <w:ind w:firstLine="480"/>
        <w:jc w:val="both"/>
        <w:rPr>
          <w:color w:val="auto"/>
        </w:rPr>
      </w:pPr>
      <w:r>
        <w:rPr>
          <w:rFonts w:hint="eastAsia"/>
          <w:color w:val="auto"/>
        </w:rPr>
        <w:t>综上，结合项目选址、平面布置、声源的排放强度与排放方式、噪声污染控制措施等方面综合进行评价，本项目对声环境影响较小。</w:t>
      </w:r>
    </w:p>
    <w:p w14:paraId="76777CA0">
      <w:pPr>
        <w:pStyle w:val="5"/>
        <w:rPr>
          <w:bCs w:val="0"/>
          <w:color w:val="auto"/>
        </w:rPr>
      </w:pPr>
      <w:bookmarkStart w:id="1388" w:name="_Toc212033036"/>
      <w:bookmarkStart w:id="1389" w:name="_Toc7641"/>
      <w:bookmarkStart w:id="1390" w:name="_Toc65426005"/>
      <w:r>
        <w:rPr>
          <w:bCs w:val="0"/>
          <w:color w:val="auto"/>
        </w:rPr>
        <w:t>固体废物环境影响分析</w:t>
      </w:r>
      <w:bookmarkEnd w:id="1388"/>
      <w:bookmarkEnd w:id="1389"/>
      <w:bookmarkEnd w:id="1390"/>
    </w:p>
    <w:p w14:paraId="60F4F94A">
      <w:pPr>
        <w:pStyle w:val="6"/>
        <w:rPr>
          <w:color w:val="auto"/>
        </w:rPr>
      </w:pPr>
      <w:bookmarkStart w:id="1391" w:name="_Toc70050245"/>
      <w:bookmarkStart w:id="1392" w:name="_Toc78816523"/>
      <w:bookmarkStart w:id="1393" w:name="_Toc143099641"/>
      <w:bookmarkStart w:id="1394" w:name="_Toc77067720"/>
      <w:bookmarkStart w:id="1395" w:name="_Toc76976308"/>
      <w:bookmarkStart w:id="1396" w:name="_Toc126863454"/>
      <w:bookmarkStart w:id="1397" w:name="_Toc80971440"/>
      <w:bookmarkStart w:id="1398" w:name="_Toc80588318"/>
      <w:bookmarkStart w:id="1399" w:name="_Toc67860196"/>
      <w:bookmarkStart w:id="1400" w:name="_Toc86141998"/>
      <w:bookmarkStart w:id="1401" w:name="_Toc84929295"/>
      <w:bookmarkStart w:id="1402" w:name="_Toc85640823"/>
      <w:bookmarkStart w:id="1403" w:name="_Toc83209540"/>
      <w:bookmarkStart w:id="1404" w:name="_Toc127192403"/>
      <w:bookmarkStart w:id="1405" w:name="_Toc131167354"/>
      <w:r>
        <w:rPr>
          <w:color w:val="auto"/>
        </w:rPr>
        <w:t>施工期</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310C6CC4">
      <w:pPr>
        <w:spacing w:line="440" w:lineRule="exact"/>
        <w:ind w:firstLine="480" w:firstLineChars="200"/>
        <w:rPr>
          <w:rFonts w:ascii="宋体" w:hAnsi="宋体" w:eastAsia="宋体"/>
          <w:color w:val="auto"/>
          <w:sz w:val="24"/>
        </w:rPr>
      </w:pPr>
      <w:r>
        <w:rPr>
          <w:rFonts w:ascii="宋体" w:hAnsi="宋体" w:eastAsia="宋体"/>
          <w:color w:val="auto"/>
          <w:sz w:val="24"/>
        </w:rPr>
        <w:t>施工过程中产生的固体废物主要为废钻井液、钻井岩屑、废射孔液、膨润土等废包袋、含油废防渗布、施工废料、生活垃圾、落地油等。</w:t>
      </w:r>
    </w:p>
    <w:p w14:paraId="44B56FB9">
      <w:pPr>
        <w:spacing w:line="440" w:lineRule="exact"/>
        <w:ind w:firstLine="480" w:firstLineChars="200"/>
        <w:rPr>
          <w:rFonts w:ascii="宋体" w:hAnsi="宋体" w:eastAsia="宋体"/>
          <w:color w:val="auto"/>
          <w:sz w:val="24"/>
        </w:rPr>
      </w:pPr>
      <w:r>
        <w:rPr>
          <w:rFonts w:ascii="宋体" w:hAnsi="宋体" w:eastAsia="宋体"/>
          <w:color w:val="auto"/>
          <w:sz w:val="24"/>
        </w:rPr>
        <w:t>（1）一般工业固体废物</w:t>
      </w:r>
    </w:p>
    <w:p w14:paraId="7F8BE1D9">
      <w:pPr>
        <w:spacing w:line="440" w:lineRule="exact"/>
        <w:ind w:firstLine="480" w:firstLineChars="200"/>
        <w:rPr>
          <w:rFonts w:ascii="宋体" w:hAnsi="宋体" w:eastAsia="宋体"/>
          <w:color w:val="auto"/>
          <w:sz w:val="24"/>
        </w:rPr>
      </w:pPr>
      <w:r>
        <w:rPr>
          <w:rFonts w:ascii="宋体" w:hAnsi="宋体" w:eastAsia="宋体"/>
          <w:color w:val="auto"/>
          <w:sz w:val="24"/>
        </w:rPr>
        <w:t>1</w:t>
      </w:r>
      <w:r>
        <w:rPr>
          <w:rFonts w:hint="eastAsia" w:ascii="宋体" w:hAnsi="宋体" w:eastAsia="宋体"/>
          <w:color w:val="auto"/>
          <w:sz w:val="24"/>
        </w:rPr>
        <w:t>）</w:t>
      </w:r>
      <w:r>
        <w:rPr>
          <w:rFonts w:ascii="宋体" w:hAnsi="宋体" w:eastAsia="宋体"/>
          <w:color w:val="auto"/>
          <w:sz w:val="24"/>
        </w:rPr>
        <w:t>水基废钻井液和水基钻井岩屑</w:t>
      </w:r>
    </w:p>
    <w:p w14:paraId="34643346">
      <w:pPr>
        <w:spacing w:line="440" w:lineRule="exact"/>
        <w:ind w:firstLine="480" w:firstLineChars="200"/>
        <w:rPr>
          <w:rFonts w:ascii="宋体" w:hAnsi="宋体" w:eastAsia="宋体"/>
          <w:color w:val="auto"/>
          <w:sz w:val="24"/>
        </w:rPr>
      </w:pPr>
      <w:r>
        <w:rPr>
          <w:rFonts w:ascii="宋体" w:hAnsi="宋体" w:eastAsia="宋体"/>
          <w:color w:val="auto"/>
          <w:sz w:val="24"/>
        </w:rPr>
        <w:t>根据《大庆油田开发建设对环境影响研究》课题研究成果，废弃泥浆如果不处理，长期以自然状态积存于井场，对土壤中有机物含量影响不大，但会对土壤理化性质如pH、总碱度、总盐产生一定影响。本项目在钻井过程中在每口井场设置一座100m</w:t>
      </w:r>
      <w:r>
        <w:rPr>
          <w:rFonts w:ascii="宋体" w:hAnsi="宋体" w:eastAsia="宋体"/>
          <w:color w:val="auto"/>
          <w:sz w:val="24"/>
          <w:vertAlign w:val="superscript"/>
        </w:rPr>
        <w:t>3</w:t>
      </w:r>
      <w:r>
        <w:rPr>
          <w:rFonts w:ascii="宋体" w:hAnsi="宋体" w:eastAsia="宋体"/>
          <w:color w:val="auto"/>
          <w:sz w:val="24"/>
        </w:rPr>
        <w:t>水基钢制泥浆槽，水基废钻井液与水基钻井废水、水基钻井岩屑、不含油废射孔液等废弃物暂存于井场水基钢制泥浆槽中形成水基废弃泥浆，钻井期水基废物最大产生量为1</w:t>
      </w:r>
      <w:r>
        <w:rPr>
          <w:rFonts w:hint="eastAsia" w:ascii="宋体" w:hAnsi="宋体" w:eastAsia="宋体"/>
          <w:color w:val="auto"/>
          <w:sz w:val="24"/>
        </w:rPr>
        <w:t>22.05</w:t>
      </w:r>
      <w:r>
        <w:rPr>
          <w:rFonts w:ascii="宋体" w:hAnsi="宋体" w:eastAsia="宋体"/>
          <w:color w:val="auto"/>
          <w:sz w:val="24"/>
        </w:rPr>
        <w:t>m</w:t>
      </w:r>
      <w:r>
        <w:rPr>
          <w:rFonts w:ascii="宋体" w:hAnsi="宋体" w:eastAsia="宋体"/>
          <w:color w:val="auto"/>
          <w:sz w:val="24"/>
          <w:vertAlign w:val="superscript"/>
        </w:rPr>
        <w:t>3</w:t>
      </w:r>
      <w:r>
        <w:rPr>
          <w:rFonts w:ascii="宋体" w:hAnsi="宋体" w:eastAsia="宋体"/>
          <w:color w:val="auto"/>
          <w:sz w:val="24"/>
        </w:rPr>
        <w:t>/d，井场设置的水基钢制泥浆槽有效容积100m</w:t>
      </w:r>
      <w:r>
        <w:rPr>
          <w:rFonts w:ascii="宋体" w:hAnsi="宋体" w:eastAsia="宋体"/>
          <w:color w:val="auto"/>
          <w:sz w:val="24"/>
          <w:vertAlign w:val="superscript"/>
        </w:rPr>
        <w:t>3</w:t>
      </w:r>
      <w:r>
        <w:rPr>
          <w:rFonts w:ascii="宋体" w:hAnsi="宋体" w:eastAsia="宋体"/>
          <w:color w:val="auto"/>
          <w:sz w:val="24"/>
        </w:rPr>
        <w:t>，能够满足0.5天暂存要求，拉运频2次/d，由罐车拉运至大庆油田昆仑集团有限公司环保分公司处理，处理后的压滤水定期由罐车拉运至朝二联含油污水处理站处理达标后回注油层，处理后的泥饼外售给大庆钻探工程公司钻井二公司综合利用垫井场或铺路，对环境影响较小。</w:t>
      </w:r>
    </w:p>
    <w:p w14:paraId="030FDE93">
      <w:pPr>
        <w:spacing w:line="440" w:lineRule="exact"/>
        <w:ind w:firstLine="480" w:firstLineChars="200"/>
        <w:rPr>
          <w:rFonts w:ascii="宋体" w:hAnsi="宋体" w:eastAsia="宋体"/>
          <w:color w:val="auto"/>
          <w:sz w:val="24"/>
        </w:rPr>
      </w:pPr>
      <w:r>
        <w:rPr>
          <w:rFonts w:ascii="宋体" w:hAnsi="宋体" w:eastAsia="宋体"/>
          <w:color w:val="auto"/>
          <w:sz w:val="24"/>
        </w:rPr>
        <w:t>2</w:t>
      </w:r>
      <w:r>
        <w:rPr>
          <w:rFonts w:hint="eastAsia" w:ascii="宋体" w:hAnsi="宋体" w:eastAsia="宋体"/>
          <w:color w:val="auto"/>
          <w:sz w:val="24"/>
        </w:rPr>
        <w:t>）</w:t>
      </w:r>
      <w:r>
        <w:rPr>
          <w:rFonts w:ascii="宋体" w:hAnsi="宋体" w:eastAsia="宋体"/>
          <w:color w:val="auto"/>
          <w:sz w:val="24"/>
        </w:rPr>
        <w:t>施工废料及膨润土、纯碱、重晶石粉废包装袋</w:t>
      </w:r>
    </w:p>
    <w:p w14:paraId="12DA4E39">
      <w:pPr>
        <w:spacing w:line="440" w:lineRule="exact"/>
        <w:ind w:firstLine="480" w:firstLineChars="200"/>
        <w:rPr>
          <w:rFonts w:ascii="宋体" w:hAnsi="宋体" w:eastAsia="宋体"/>
          <w:color w:val="auto"/>
          <w:sz w:val="24"/>
        </w:rPr>
      </w:pPr>
      <w:r>
        <w:rPr>
          <w:rFonts w:ascii="宋体" w:hAnsi="宋体" w:eastAsia="宋体"/>
          <w:color w:val="auto"/>
          <w:sz w:val="24"/>
        </w:rPr>
        <w:t>本项目施工废料主要为管线焊接施工中产生废焊条和管道防腐施工过程中产生的废防腐材料。由施工单位统一收集后拉运至第八采油厂工业固废填埋场处理，膨润土、纯碱、重晶石粉废包装袋由施工单位统一收集后拉运至第八采油厂工业固废填埋场处理，对周围环境影响较小。</w:t>
      </w:r>
    </w:p>
    <w:p w14:paraId="5BF7A99D">
      <w:pPr>
        <w:spacing w:line="440" w:lineRule="exact"/>
        <w:ind w:firstLine="480" w:firstLineChars="200"/>
        <w:rPr>
          <w:rFonts w:ascii="宋体" w:hAnsi="宋体" w:eastAsia="宋体"/>
          <w:color w:val="auto"/>
          <w:sz w:val="24"/>
        </w:rPr>
      </w:pPr>
      <w:r>
        <w:rPr>
          <w:rFonts w:ascii="宋体" w:hAnsi="宋体" w:eastAsia="宋体"/>
          <w:color w:val="auto"/>
          <w:sz w:val="24"/>
        </w:rPr>
        <w:t>3</w:t>
      </w:r>
      <w:r>
        <w:rPr>
          <w:rFonts w:hint="eastAsia" w:ascii="宋体" w:hAnsi="宋体" w:eastAsia="宋体"/>
          <w:color w:val="auto"/>
          <w:sz w:val="24"/>
        </w:rPr>
        <w:t>）</w:t>
      </w:r>
      <w:r>
        <w:rPr>
          <w:rFonts w:ascii="宋体" w:hAnsi="宋体" w:eastAsia="宋体"/>
          <w:color w:val="auto"/>
          <w:sz w:val="24"/>
        </w:rPr>
        <w:t>封井建筑垃圾</w:t>
      </w:r>
    </w:p>
    <w:p w14:paraId="4732D2C3">
      <w:pPr>
        <w:spacing w:line="440" w:lineRule="exact"/>
        <w:ind w:firstLine="480" w:firstLineChars="200"/>
        <w:rPr>
          <w:rFonts w:ascii="宋体" w:hAnsi="宋体" w:eastAsia="宋体"/>
          <w:color w:val="auto"/>
          <w:sz w:val="24"/>
        </w:rPr>
      </w:pPr>
      <w:r>
        <w:rPr>
          <w:rFonts w:ascii="宋体" w:hAnsi="宋体" w:eastAsia="宋体"/>
          <w:color w:val="auto"/>
          <w:sz w:val="24"/>
        </w:rPr>
        <w:t>勘探井封井建筑垃圾统一收集，委托清运至市政部门指定的建筑垃圾调配场处置。</w:t>
      </w:r>
    </w:p>
    <w:p w14:paraId="03CC5DCF">
      <w:pPr>
        <w:spacing w:line="440" w:lineRule="exact"/>
        <w:ind w:firstLine="480" w:firstLineChars="200"/>
        <w:rPr>
          <w:rFonts w:ascii="宋体" w:hAnsi="宋体" w:eastAsia="宋体"/>
          <w:color w:val="auto"/>
          <w:sz w:val="24"/>
        </w:rPr>
      </w:pPr>
      <w:r>
        <w:rPr>
          <w:rFonts w:ascii="宋体" w:hAnsi="宋体" w:eastAsia="宋体"/>
          <w:color w:val="auto"/>
          <w:sz w:val="24"/>
        </w:rPr>
        <w:t>（2）危险废物</w:t>
      </w:r>
    </w:p>
    <w:p w14:paraId="52376EF1">
      <w:pPr>
        <w:spacing w:line="440" w:lineRule="exact"/>
        <w:ind w:firstLine="480" w:firstLineChars="200"/>
        <w:rPr>
          <w:rFonts w:ascii="宋体" w:hAnsi="宋体" w:eastAsia="宋体"/>
          <w:color w:val="auto"/>
          <w:sz w:val="24"/>
        </w:rPr>
      </w:pPr>
      <w:r>
        <w:rPr>
          <w:rFonts w:ascii="宋体" w:hAnsi="宋体" w:eastAsia="宋体"/>
          <w:color w:val="auto"/>
          <w:sz w:val="24"/>
        </w:rPr>
        <w:t>施工期产生的危险废物包括油基废钻井液、油基钻井岩屑、含油废射孔液和含油废防渗布。</w:t>
      </w:r>
    </w:p>
    <w:p w14:paraId="33A7FBDA">
      <w:pPr>
        <w:spacing w:line="440" w:lineRule="exact"/>
        <w:ind w:firstLine="480" w:firstLineChars="200"/>
        <w:rPr>
          <w:rFonts w:ascii="宋体" w:hAnsi="宋体" w:eastAsia="宋体"/>
          <w:color w:val="auto"/>
          <w:sz w:val="24"/>
        </w:rPr>
      </w:pPr>
      <w:r>
        <w:rPr>
          <w:rFonts w:ascii="宋体" w:hAnsi="宋体" w:eastAsia="宋体"/>
          <w:color w:val="auto"/>
          <w:sz w:val="24"/>
        </w:rPr>
        <w:t>1</w:t>
      </w:r>
      <w:r>
        <w:rPr>
          <w:rFonts w:hint="eastAsia" w:ascii="宋体" w:hAnsi="宋体" w:eastAsia="宋体"/>
          <w:color w:val="auto"/>
          <w:sz w:val="24"/>
        </w:rPr>
        <w:t>）</w:t>
      </w:r>
      <w:r>
        <w:rPr>
          <w:rFonts w:ascii="宋体" w:hAnsi="宋体" w:eastAsia="宋体"/>
          <w:color w:val="auto"/>
          <w:sz w:val="24"/>
        </w:rPr>
        <w:t>油基废钻井液、油基钻井岩屑和含油废射孔液</w:t>
      </w:r>
    </w:p>
    <w:p w14:paraId="4E75AE0A">
      <w:pPr>
        <w:spacing w:line="440" w:lineRule="exact"/>
        <w:ind w:firstLine="480" w:firstLineChars="200"/>
        <w:rPr>
          <w:rFonts w:ascii="宋体" w:hAnsi="宋体" w:eastAsia="宋体"/>
          <w:color w:val="auto"/>
          <w:sz w:val="24"/>
        </w:rPr>
      </w:pPr>
      <w:r>
        <w:rPr>
          <w:rFonts w:ascii="宋体" w:hAnsi="宋体" w:eastAsia="宋体"/>
          <w:color w:val="auto"/>
          <w:sz w:val="24"/>
        </w:rPr>
        <w:t>根据《国家危险废物名录（2025年版）》（2025年1月1日），油基废钻井液、油基钻井岩屑和含油废射孔液废物类别为HW08废矿物油与含矿物油废物，废物代码071-002-08。油基废钻井液、油基钻井岩屑和含油废射孔液排入井场设置的油基钢制泥浆槽，委托有危废处理资质的黑龙江迈景环保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对环境影响较小。</w:t>
      </w:r>
    </w:p>
    <w:p w14:paraId="13A2994A">
      <w:pPr>
        <w:spacing w:line="440" w:lineRule="exact"/>
        <w:ind w:firstLine="480" w:firstLineChars="200"/>
        <w:rPr>
          <w:rFonts w:ascii="宋体" w:hAnsi="宋体" w:eastAsia="宋体"/>
          <w:color w:val="auto"/>
          <w:sz w:val="24"/>
        </w:rPr>
      </w:pPr>
      <w:r>
        <w:rPr>
          <w:rFonts w:ascii="宋体" w:hAnsi="宋体" w:eastAsia="宋体"/>
          <w:color w:val="auto"/>
          <w:sz w:val="24"/>
        </w:rPr>
        <w:t>2</w:t>
      </w:r>
      <w:r>
        <w:rPr>
          <w:rFonts w:hint="eastAsia" w:ascii="宋体" w:hAnsi="宋体" w:eastAsia="宋体"/>
          <w:color w:val="auto"/>
          <w:sz w:val="24"/>
        </w:rPr>
        <w:t>）</w:t>
      </w:r>
      <w:r>
        <w:rPr>
          <w:rFonts w:ascii="宋体" w:hAnsi="宋体" w:eastAsia="宋体"/>
          <w:color w:val="auto"/>
          <w:sz w:val="24"/>
        </w:rPr>
        <w:t>含油废防渗布</w:t>
      </w:r>
    </w:p>
    <w:p w14:paraId="5FDF75B0">
      <w:pPr>
        <w:spacing w:line="440" w:lineRule="exact"/>
        <w:ind w:firstLine="480" w:firstLineChars="200"/>
        <w:rPr>
          <w:rFonts w:ascii="宋体" w:hAnsi="宋体" w:eastAsia="宋体"/>
          <w:color w:val="auto"/>
          <w:sz w:val="24"/>
        </w:rPr>
      </w:pPr>
      <w:r>
        <w:rPr>
          <w:rFonts w:ascii="宋体" w:hAnsi="宋体" w:eastAsia="宋体"/>
          <w:color w:val="auto"/>
          <w:sz w:val="24"/>
        </w:rPr>
        <w:t>根据《国家危险废物名录（2025年版）》（2025年1月1日），含油防渗布属于HW08废矿物油与含矿物油废物，危险废物代码为900-249-08。含油废防渗布集中收集暂存于第十采油厂综合固废储存库，定期委托有资质单位处理，不排入外环境，对环境影响较小。</w:t>
      </w:r>
    </w:p>
    <w:p w14:paraId="1AB2B78F">
      <w:pPr>
        <w:spacing w:line="440" w:lineRule="exact"/>
        <w:ind w:firstLine="480" w:firstLineChars="200"/>
        <w:rPr>
          <w:rFonts w:ascii="宋体" w:hAnsi="宋体" w:eastAsia="宋体"/>
          <w:color w:val="auto"/>
          <w:sz w:val="24"/>
        </w:rPr>
      </w:pPr>
      <w:r>
        <w:rPr>
          <w:rFonts w:ascii="宋体" w:hAnsi="宋体" w:eastAsia="宋体"/>
          <w:color w:val="auto"/>
          <w:sz w:val="24"/>
        </w:rPr>
        <w:t>3</w:t>
      </w:r>
      <w:r>
        <w:rPr>
          <w:rFonts w:hint="eastAsia" w:ascii="宋体" w:hAnsi="宋体" w:eastAsia="宋体"/>
          <w:color w:val="auto"/>
          <w:sz w:val="24"/>
        </w:rPr>
        <w:t>）</w:t>
      </w:r>
      <w:r>
        <w:rPr>
          <w:rFonts w:ascii="宋体" w:hAnsi="宋体" w:eastAsia="宋体"/>
          <w:color w:val="auto"/>
          <w:sz w:val="24"/>
        </w:rPr>
        <w:t>生活垃圾</w:t>
      </w:r>
    </w:p>
    <w:p w14:paraId="55389B86">
      <w:pPr>
        <w:spacing w:line="440" w:lineRule="exact"/>
        <w:ind w:firstLine="480" w:firstLineChars="200"/>
        <w:rPr>
          <w:rFonts w:ascii="宋体" w:hAnsi="宋体" w:eastAsia="宋体"/>
          <w:color w:val="auto"/>
          <w:sz w:val="24"/>
        </w:rPr>
      </w:pPr>
      <w:r>
        <w:rPr>
          <w:rFonts w:ascii="宋体" w:hAnsi="宋体" w:eastAsia="宋体"/>
          <w:color w:val="auto"/>
          <w:sz w:val="24"/>
        </w:rPr>
        <w:t>生活垃圾统一收集拉运至肇源县利民城市垃圾处理有限公司处理。</w:t>
      </w:r>
    </w:p>
    <w:p w14:paraId="77B354D1">
      <w:pPr>
        <w:spacing w:line="440" w:lineRule="exact"/>
        <w:ind w:firstLine="480" w:firstLineChars="200"/>
        <w:rPr>
          <w:rFonts w:ascii="宋体" w:hAnsi="宋体" w:eastAsia="宋体"/>
          <w:color w:val="auto"/>
          <w:sz w:val="24"/>
        </w:rPr>
      </w:pPr>
      <w:r>
        <w:rPr>
          <w:rFonts w:ascii="宋体" w:hAnsi="宋体" w:eastAsia="宋体"/>
          <w:color w:val="auto"/>
          <w:sz w:val="24"/>
        </w:rPr>
        <w:t>4</w:t>
      </w:r>
      <w:r>
        <w:rPr>
          <w:rFonts w:hint="eastAsia" w:ascii="宋体" w:hAnsi="宋体" w:eastAsia="宋体"/>
          <w:color w:val="auto"/>
          <w:sz w:val="24"/>
        </w:rPr>
        <w:t>）</w:t>
      </w:r>
      <w:r>
        <w:rPr>
          <w:rFonts w:ascii="宋体" w:hAnsi="宋体" w:eastAsia="宋体"/>
          <w:color w:val="auto"/>
          <w:sz w:val="24"/>
        </w:rPr>
        <w:t>落地油</w:t>
      </w:r>
    </w:p>
    <w:p w14:paraId="35C9E0C5">
      <w:pPr>
        <w:spacing w:line="440" w:lineRule="exact"/>
        <w:ind w:firstLine="480" w:firstLineChars="200"/>
        <w:rPr>
          <w:rFonts w:ascii="宋体" w:hAnsi="宋体" w:eastAsia="宋体"/>
          <w:color w:val="auto"/>
          <w:sz w:val="24"/>
        </w:rPr>
      </w:pPr>
      <w:r>
        <w:rPr>
          <w:rFonts w:ascii="宋体" w:hAnsi="宋体" w:eastAsia="宋体"/>
          <w:color w:val="auto"/>
          <w:sz w:val="24"/>
        </w:rPr>
        <w:t>根据《国家危险废物名录（2025年版）》（2025年1月1日），勘探井试油产生的落地油属于HW08 废矿物油与含矿物油废物，危废代码为071-001-08石油开采和联合站贮存产生的油泥和油脚。落地油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p w14:paraId="1CC0AF60">
      <w:pPr>
        <w:spacing w:line="440" w:lineRule="exact"/>
        <w:ind w:firstLine="480" w:firstLineChars="200"/>
        <w:rPr>
          <w:rFonts w:ascii="宋体" w:hAnsi="宋体" w:eastAsia="宋体"/>
          <w:color w:val="auto"/>
          <w:sz w:val="24"/>
        </w:rPr>
      </w:pPr>
      <w:r>
        <w:rPr>
          <w:rFonts w:ascii="宋体" w:hAnsi="宋体" w:eastAsia="宋体"/>
          <w:color w:val="auto"/>
          <w:sz w:val="24"/>
        </w:rPr>
        <w:t>综上所述，施工期产生的固体废物均得到分类收集，妥善、有效处置，不会对周围环境产生不良影响。</w:t>
      </w:r>
    </w:p>
    <w:p w14:paraId="2714A621">
      <w:pPr>
        <w:pStyle w:val="6"/>
        <w:rPr>
          <w:color w:val="auto"/>
        </w:rPr>
      </w:pPr>
      <w:r>
        <w:rPr>
          <w:rFonts w:hint="eastAsia"/>
          <w:color w:val="auto"/>
        </w:rPr>
        <w:t>运营期</w:t>
      </w:r>
    </w:p>
    <w:p w14:paraId="5E3618ED">
      <w:pPr>
        <w:spacing w:line="440" w:lineRule="exact"/>
        <w:ind w:firstLine="480" w:firstLineChars="200"/>
        <w:rPr>
          <w:rFonts w:ascii="宋体" w:hAnsi="宋体" w:eastAsia="宋体"/>
          <w:color w:val="auto"/>
          <w:sz w:val="24"/>
        </w:rPr>
      </w:pPr>
      <w:r>
        <w:rPr>
          <w:rFonts w:ascii="宋体" w:hAnsi="宋体" w:eastAsia="宋体"/>
          <w:color w:val="auto"/>
          <w:sz w:val="24"/>
        </w:rPr>
        <w:t>本项目运营期产生的固体废物主要是作业过程中产生的含油污泥、落地油、含油废防渗布。</w:t>
      </w:r>
    </w:p>
    <w:p w14:paraId="5C672D3D">
      <w:pPr>
        <w:spacing w:line="440" w:lineRule="exact"/>
        <w:ind w:firstLine="480" w:firstLineChars="200"/>
        <w:rPr>
          <w:rFonts w:ascii="宋体" w:hAnsi="宋体" w:eastAsia="宋体"/>
          <w:color w:val="auto"/>
          <w:sz w:val="24"/>
        </w:rPr>
      </w:pPr>
      <w:r>
        <w:rPr>
          <w:rFonts w:ascii="宋体" w:hAnsi="宋体" w:eastAsia="宋体"/>
          <w:color w:val="auto"/>
          <w:sz w:val="24"/>
        </w:rPr>
        <w:t>（1）含油污泥、落地油</w:t>
      </w:r>
    </w:p>
    <w:p w14:paraId="7D3F61A3">
      <w:pPr>
        <w:spacing w:line="440" w:lineRule="exact"/>
        <w:ind w:firstLine="480" w:firstLineChars="200"/>
        <w:rPr>
          <w:rFonts w:ascii="宋体" w:hAnsi="宋体" w:eastAsia="宋体"/>
          <w:color w:val="auto"/>
          <w:sz w:val="24"/>
        </w:rPr>
      </w:pPr>
      <w:r>
        <w:rPr>
          <w:rFonts w:ascii="宋体" w:hAnsi="宋体" w:eastAsia="宋体"/>
          <w:color w:val="auto"/>
          <w:sz w:val="24"/>
        </w:rPr>
        <w:t>含油污泥、落地油含有石油类等有害成份，含油污泥、落地油的主要成份是水、砂和石油类。根据《国家危险废物名录（2025年版）》（2025年1月1日）及《危险废物环境管理指南 陆上石油天然气开采》</w:t>
      </w:r>
      <w:r>
        <w:rPr>
          <w:rFonts w:hint="eastAsia" w:ascii="宋体" w:hAnsi="宋体" w:eastAsia="宋体"/>
          <w:color w:val="auto"/>
          <w:sz w:val="24"/>
        </w:rPr>
        <w:t>（</w:t>
      </w:r>
      <w:r>
        <w:rPr>
          <w:rFonts w:ascii="宋体" w:hAnsi="宋体" w:eastAsia="宋体"/>
          <w:color w:val="auto"/>
          <w:sz w:val="24"/>
        </w:rPr>
        <w:t>生态环境部公告2021年第74号</w:t>
      </w:r>
      <w:r>
        <w:rPr>
          <w:rFonts w:hint="eastAsia" w:ascii="宋体" w:hAnsi="宋体" w:eastAsia="宋体"/>
          <w:color w:val="auto"/>
          <w:sz w:val="24"/>
        </w:rPr>
        <w:t>）</w:t>
      </w:r>
      <w:r>
        <w:rPr>
          <w:rFonts w:ascii="宋体" w:hAnsi="宋体" w:eastAsia="宋体"/>
          <w:color w:val="auto"/>
          <w:sz w:val="24"/>
        </w:rPr>
        <w:t>，均属于危险废物，废物类别均为HW08 废矿物油与含矿物油废物，含油污泥、落地油危废代码为071-001-08石油开采和联合站贮存产生的油泥和油脚。含油污泥、落地油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落地油及含油污泥均由施工人员回收至罐车内，罐车采用密闭的专用罐车，拉运过程中按照指定的拉运路线、尽量避开村屯等敏感点进行运输，同时罐车上配备铁锹等应急工具。</w:t>
      </w:r>
    </w:p>
    <w:p w14:paraId="03919A50">
      <w:pPr>
        <w:spacing w:line="440" w:lineRule="exact"/>
        <w:ind w:firstLine="480" w:firstLineChars="200"/>
        <w:rPr>
          <w:rFonts w:ascii="宋体" w:hAnsi="宋体" w:eastAsia="宋体"/>
          <w:color w:val="auto"/>
          <w:sz w:val="24"/>
        </w:rPr>
      </w:pPr>
      <w:r>
        <w:rPr>
          <w:rFonts w:ascii="宋体" w:hAnsi="宋体" w:eastAsia="宋体"/>
          <w:color w:val="auto"/>
          <w:sz w:val="24"/>
        </w:rPr>
        <w:t>项目</w:t>
      </w:r>
      <w:r>
        <w:rPr>
          <w:rFonts w:hint="eastAsia" w:ascii="宋体" w:hAnsi="宋体" w:eastAsia="宋体"/>
          <w:color w:val="auto"/>
          <w:sz w:val="24"/>
        </w:rPr>
        <w:t>运营期</w:t>
      </w:r>
      <w:r>
        <w:rPr>
          <w:rFonts w:ascii="宋体" w:hAnsi="宋体" w:eastAsia="宋体"/>
          <w:color w:val="auto"/>
          <w:sz w:val="24"/>
        </w:rPr>
        <w:t>含油污泥和落地油只要采取合理的废物回收、处置方案，对环境影响较小。</w:t>
      </w:r>
    </w:p>
    <w:p w14:paraId="03D9985A">
      <w:pPr>
        <w:spacing w:line="440" w:lineRule="exact"/>
        <w:ind w:firstLine="480" w:firstLineChars="200"/>
        <w:rPr>
          <w:rFonts w:ascii="宋体" w:hAnsi="宋体" w:eastAsia="宋体"/>
          <w:color w:val="auto"/>
          <w:sz w:val="24"/>
        </w:rPr>
      </w:pPr>
      <w:r>
        <w:rPr>
          <w:rFonts w:ascii="宋体" w:hAnsi="宋体" w:eastAsia="宋体"/>
          <w:color w:val="auto"/>
          <w:sz w:val="24"/>
        </w:rPr>
        <w:t>（2）含油废防渗布</w:t>
      </w:r>
    </w:p>
    <w:p w14:paraId="4DB66B64">
      <w:pPr>
        <w:spacing w:line="440" w:lineRule="exact"/>
        <w:ind w:firstLine="480" w:firstLineChars="200"/>
        <w:rPr>
          <w:rFonts w:ascii="宋体" w:hAnsi="宋体" w:eastAsia="宋体"/>
          <w:color w:val="auto"/>
          <w:sz w:val="24"/>
        </w:rPr>
      </w:pPr>
      <w:r>
        <w:rPr>
          <w:rFonts w:ascii="宋体" w:hAnsi="宋体" w:eastAsia="宋体"/>
          <w:color w:val="auto"/>
          <w:sz w:val="24"/>
        </w:rPr>
        <w:t>井场作业过程中铺设防渗布，工程作业期间产生的落地油滴落到防渗布上，会产生含油废防渗布，根据《国家危险废物名录（2025年版）》（2025年1月1日），含油防渗布属于HW08类危险废物，危险废物代码为900-249-08，由建设单位收集后暂存于第十采油厂综合固废储存库，定期委托有资质单位处理。</w:t>
      </w:r>
    </w:p>
    <w:p w14:paraId="6A42CC18">
      <w:pPr>
        <w:pStyle w:val="166"/>
        <w:numPr>
          <w:ilvl w:val="0"/>
          <w:numId w:val="17"/>
        </w:numPr>
        <w:spacing w:line="440" w:lineRule="exact"/>
        <w:ind w:firstLineChars="0"/>
        <w:rPr>
          <w:rFonts w:eastAsia="宋体"/>
          <w:color w:val="auto"/>
        </w:rPr>
      </w:pPr>
      <w:r>
        <w:rPr>
          <w:rFonts w:hint="eastAsia" w:eastAsia="宋体"/>
          <w:color w:val="auto"/>
        </w:rPr>
        <w:t>危险废物环境影响分析</w:t>
      </w:r>
    </w:p>
    <w:p w14:paraId="52ABE812">
      <w:pPr>
        <w:spacing w:line="440" w:lineRule="exact"/>
        <w:ind w:firstLine="480" w:firstLineChars="200"/>
        <w:rPr>
          <w:rFonts w:ascii="宋体" w:hAnsi="宋体" w:eastAsia="宋体"/>
          <w:color w:val="auto"/>
          <w:sz w:val="24"/>
        </w:rPr>
      </w:pPr>
      <w:r>
        <w:rPr>
          <w:rFonts w:hint="eastAsia" w:ascii="宋体" w:hAnsi="宋体" w:eastAsia="宋体"/>
          <w:color w:val="auto"/>
          <w:sz w:val="24"/>
        </w:rPr>
        <w:t>按照《建设项目危险废物环境影响评价指南》（环保部公告〔</w:t>
      </w:r>
      <w:r>
        <w:rPr>
          <w:rFonts w:ascii="宋体" w:hAnsi="宋体" w:eastAsia="宋体"/>
          <w:color w:val="auto"/>
          <w:sz w:val="24"/>
        </w:rPr>
        <w:t>2017〕43号），从危险废物的产生、收集、贮存、运输、利用和处置等全过程，分析建设项目产生的危险废物可能造成的环境影响。</w:t>
      </w:r>
    </w:p>
    <w:p w14:paraId="56351D2D">
      <w:pPr>
        <w:spacing w:line="440" w:lineRule="exact"/>
        <w:ind w:firstLine="480" w:firstLineChars="200"/>
        <w:rPr>
          <w:rFonts w:ascii="宋体" w:hAnsi="宋体" w:eastAsia="宋体"/>
          <w:color w:val="auto"/>
          <w:sz w:val="24"/>
        </w:rPr>
      </w:pPr>
      <w:r>
        <w:rPr>
          <w:rFonts w:hint="eastAsia" w:ascii="宋体" w:hAnsi="宋体" w:eastAsia="宋体"/>
          <w:color w:val="auto"/>
          <w:sz w:val="24"/>
        </w:rPr>
        <w:t>1）</w:t>
      </w:r>
      <w:r>
        <w:rPr>
          <w:rFonts w:ascii="宋体" w:hAnsi="宋体" w:eastAsia="宋体"/>
          <w:color w:val="auto"/>
          <w:sz w:val="24"/>
        </w:rPr>
        <w:t>危险废物的收集、贮存、运输要求</w:t>
      </w:r>
    </w:p>
    <w:p w14:paraId="4EAD3B7C">
      <w:pPr>
        <w:spacing w:line="440" w:lineRule="exact"/>
        <w:ind w:firstLine="480" w:firstLineChars="200"/>
        <w:rPr>
          <w:rFonts w:ascii="宋体" w:hAnsi="宋体" w:eastAsia="宋体"/>
          <w:color w:val="auto"/>
          <w:sz w:val="24"/>
        </w:rPr>
      </w:pPr>
      <w:r>
        <w:rPr>
          <w:rFonts w:hint="eastAsia" w:ascii="宋体" w:hAnsi="宋体" w:eastAsia="宋体"/>
          <w:color w:val="auto"/>
          <w:sz w:val="24"/>
        </w:rPr>
        <w:t>根据《建设项目危险废物环境影响评价指南》（环保部公告〔</w:t>
      </w:r>
      <w:r>
        <w:rPr>
          <w:rFonts w:ascii="宋体" w:hAnsi="宋体" w:eastAsia="宋体"/>
          <w:color w:val="auto"/>
          <w:sz w:val="24"/>
        </w:rPr>
        <w:t>2017〕43号）、《危险废物环境管理指南 陆上石油天然气开采》</w:t>
      </w:r>
      <w:r>
        <w:rPr>
          <w:rFonts w:hint="eastAsia" w:ascii="宋体" w:hAnsi="宋体" w:eastAsia="宋体"/>
          <w:color w:val="auto"/>
          <w:sz w:val="24"/>
        </w:rPr>
        <w:t>生态环境部公告</w:t>
      </w:r>
      <w:r>
        <w:rPr>
          <w:rFonts w:ascii="宋体" w:hAnsi="宋体" w:eastAsia="宋体"/>
          <w:color w:val="auto"/>
          <w:sz w:val="24"/>
        </w:rPr>
        <w:t>2021年第74号</w:t>
      </w:r>
      <w:r>
        <w:rPr>
          <w:rFonts w:hint="eastAsia" w:ascii="宋体" w:hAnsi="宋体" w:eastAsia="宋体"/>
          <w:color w:val="auto"/>
          <w:sz w:val="24"/>
        </w:rPr>
        <w:t>）、</w:t>
      </w:r>
      <w:r>
        <w:rPr>
          <w:rFonts w:ascii="宋体" w:hAnsi="宋体" w:eastAsia="宋体"/>
          <w:color w:val="auto"/>
          <w:sz w:val="24"/>
        </w:rPr>
        <w:t>《危险废物收集、贮存、运输技术规范》（HJ 2025-2012）、《危险废物转移管理办法》（生态环境部、公安部、交通运输 2021年部令第23号）等文件中相关规定，危险废物收集、贮存、运输的一般要求：</w:t>
      </w:r>
    </w:p>
    <w:p w14:paraId="66CFF2B7">
      <w:pPr>
        <w:spacing w:line="440" w:lineRule="exact"/>
        <w:ind w:firstLine="480" w:firstLineChars="200"/>
        <w:rPr>
          <w:rFonts w:ascii="宋体" w:hAnsi="宋体" w:eastAsia="宋体"/>
          <w:color w:val="auto"/>
          <w:sz w:val="24"/>
        </w:rPr>
      </w:pPr>
      <w:r>
        <w:rPr>
          <w:rFonts w:ascii="宋体" w:hAnsi="宋体" w:eastAsia="宋体"/>
          <w:color w:val="auto"/>
          <w:sz w:val="24"/>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p>
    <w:p w14:paraId="529F3B2F">
      <w:pPr>
        <w:spacing w:line="440" w:lineRule="exact"/>
        <w:ind w:firstLine="480" w:firstLineChars="200"/>
        <w:rPr>
          <w:rFonts w:ascii="宋体" w:hAnsi="宋体" w:eastAsia="宋体"/>
          <w:color w:val="auto"/>
          <w:sz w:val="24"/>
        </w:rPr>
      </w:pPr>
      <w:r>
        <w:rPr>
          <w:rFonts w:ascii="宋体" w:hAnsi="宋体" w:eastAsia="宋体"/>
          <w:color w:val="auto"/>
          <w:sz w:val="24"/>
        </w:rPr>
        <w:t>危险废物转移过程应按《危险废物转移管理办法》（生态环境部、公安部、交通运输 2021年部令第23号）执行。</w:t>
      </w:r>
    </w:p>
    <w:p w14:paraId="41AE58B5">
      <w:pPr>
        <w:spacing w:line="440" w:lineRule="exact"/>
        <w:ind w:firstLine="480" w:firstLineChars="200"/>
        <w:rPr>
          <w:rFonts w:ascii="宋体" w:hAnsi="宋体" w:eastAsia="宋体"/>
          <w:color w:val="auto"/>
          <w:sz w:val="24"/>
        </w:rPr>
      </w:pPr>
      <w:r>
        <w:rPr>
          <w:rFonts w:ascii="宋体" w:hAnsi="宋体" w:eastAsia="宋体"/>
          <w:color w:val="auto"/>
          <w:sz w:val="24"/>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p w14:paraId="588E0167">
      <w:pPr>
        <w:spacing w:line="440" w:lineRule="exact"/>
        <w:ind w:firstLine="480" w:firstLineChars="200"/>
        <w:rPr>
          <w:rFonts w:ascii="宋体" w:hAnsi="宋体" w:eastAsia="宋体"/>
          <w:color w:val="auto"/>
          <w:sz w:val="24"/>
        </w:rPr>
      </w:pPr>
      <w:r>
        <w:rPr>
          <w:rFonts w:ascii="宋体" w:hAnsi="宋体" w:eastAsia="宋体"/>
          <w:color w:val="auto"/>
          <w:sz w:val="24"/>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p>
    <w:p w14:paraId="5AD8AA9A">
      <w:pPr>
        <w:spacing w:line="440" w:lineRule="exact"/>
        <w:ind w:firstLine="480" w:firstLineChars="200"/>
        <w:rPr>
          <w:rFonts w:ascii="宋体" w:hAnsi="宋体" w:eastAsia="宋体"/>
          <w:color w:val="auto"/>
          <w:sz w:val="24"/>
        </w:rPr>
      </w:pPr>
      <w:r>
        <w:rPr>
          <w:rFonts w:ascii="宋体" w:hAnsi="宋体" w:eastAsia="宋体"/>
          <w:color w:val="auto"/>
          <w:sz w:val="24"/>
        </w:rPr>
        <w:t>危险废物收集、贮存、运输时应按危险特性对危险废物进行分类、包装并设置</w:t>
      </w:r>
      <w:r>
        <w:rPr>
          <w:rFonts w:hint="eastAsia" w:ascii="宋体" w:hAnsi="宋体" w:eastAsia="宋体"/>
          <w:color w:val="auto"/>
          <w:sz w:val="24"/>
        </w:rPr>
        <w:t>相应</w:t>
      </w:r>
      <w:r>
        <w:rPr>
          <w:rFonts w:ascii="宋体" w:hAnsi="宋体" w:eastAsia="宋体"/>
          <w:color w:val="auto"/>
          <w:sz w:val="24"/>
        </w:rPr>
        <w:t>的标志及标签。</w:t>
      </w:r>
    </w:p>
    <w:p w14:paraId="4515BC26">
      <w:pPr>
        <w:spacing w:line="440" w:lineRule="exact"/>
        <w:ind w:firstLine="480" w:firstLineChars="200"/>
        <w:rPr>
          <w:rFonts w:ascii="宋体" w:hAnsi="宋体" w:eastAsia="宋体"/>
          <w:color w:val="auto"/>
        </w:rPr>
      </w:pPr>
      <w:r>
        <w:rPr>
          <w:rFonts w:hint="eastAsia" w:ascii="宋体" w:hAnsi="宋体" w:eastAsia="宋体"/>
          <w:color w:val="auto"/>
          <w:sz w:val="24"/>
        </w:rPr>
        <w:t>2）</w:t>
      </w:r>
      <w:r>
        <w:rPr>
          <w:rFonts w:ascii="宋体" w:hAnsi="宋体" w:eastAsia="宋体"/>
          <w:color w:val="auto"/>
          <w:sz w:val="24"/>
        </w:rPr>
        <w:t>危险废物收集及储存分析</w:t>
      </w:r>
    </w:p>
    <w:p w14:paraId="6DDFCE5A">
      <w:pPr>
        <w:spacing w:line="440" w:lineRule="exact"/>
        <w:ind w:firstLine="480" w:firstLineChars="200"/>
        <w:rPr>
          <w:rFonts w:ascii="宋体" w:hAnsi="宋体" w:eastAsia="宋体"/>
          <w:color w:val="auto"/>
          <w:sz w:val="24"/>
        </w:rPr>
      </w:pPr>
      <w:r>
        <w:rPr>
          <w:rFonts w:ascii="宋体" w:hAnsi="宋体" w:eastAsia="宋体"/>
          <w:color w:val="auto"/>
          <w:sz w:val="24"/>
        </w:rPr>
        <w:t>本项目施工期产生的油基废钻井液、油基钻井岩屑、含油废射孔液废物类别为HW08废矿物油与含矿物油废物，废物代码为071-002-08；施工期含油废防渗布废物类别为HW08废矿物油与含矿物油废物，废物代码为900-249-08；施工期落地油废物类别为 HW08废矿物油与含矿物油废物，废物代码均为071-001-08。</w:t>
      </w:r>
      <w:r>
        <w:rPr>
          <w:rFonts w:hint="eastAsia" w:ascii="宋体" w:hAnsi="宋体" w:eastAsia="宋体"/>
          <w:color w:val="auto"/>
          <w:sz w:val="24"/>
        </w:rPr>
        <w:t>运营期</w:t>
      </w:r>
      <w:r>
        <w:rPr>
          <w:rFonts w:ascii="宋体" w:hAnsi="宋体" w:eastAsia="宋体"/>
          <w:color w:val="auto"/>
          <w:sz w:val="24"/>
        </w:rPr>
        <w:t>产生含油污泥、落地油，废物类别为 HW08废矿物油与含矿物油废物，废物代码均为071-001-08；运营期含油废防渗布废物类别为HW08废矿物油与含矿物油废物，废物代码为900-249-08。</w:t>
      </w:r>
    </w:p>
    <w:p w14:paraId="3DFC36A6">
      <w:pPr>
        <w:spacing w:line="440" w:lineRule="exact"/>
        <w:ind w:firstLine="480" w:firstLineChars="200"/>
        <w:rPr>
          <w:rFonts w:ascii="宋体" w:hAnsi="宋体" w:eastAsia="宋体"/>
          <w:color w:val="auto"/>
          <w:sz w:val="24"/>
        </w:rPr>
      </w:pPr>
      <w:r>
        <w:rPr>
          <w:rFonts w:ascii="宋体" w:hAnsi="宋体" w:eastAsia="宋体"/>
          <w:color w:val="auto"/>
          <w:sz w:val="24"/>
        </w:rPr>
        <w:t>本项目</w:t>
      </w:r>
      <w:r>
        <w:rPr>
          <w:rFonts w:hint="eastAsia" w:ascii="宋体" w:hAnsi="宋体" w:eastAsia="宋体"/>
          <w:color w:val="auto"/>
          <w:sz w:val="24"/>
        </w:rPr>
        <w:t>运营期</w:t>
      </w:r>
      <w:r>
        <w:rPr>
          <w:rFonts w:ascii="宋体" w:hAnsi="宋体" w:eastAsia="宋体"/>
          <w:color w:val="auto"/>
          <w:sz w:val="24"/>
        </w:rPr>
        <w:t>产生的含油污泥和落地油</w:t>
      </w:r>
      <w:r>
        <w:rPr>
          <w:rFonts w:hint="eastAsia" w:ascii="宋体" w:hAnsi="宋体" w:eastAsia="宋体"/>
          <w:color w:val="auto"/>
          <w:sz w:val="24"/>
        </w:rPr>
        <w:t>随产随清</w:t>
      </w:r>
      <w:r>
        <w:rPr>
          <w:rFonts w:ascii="宋体" w:hAnsi="宋体" w:eastAsia="宋体"/>
          <w:color w:val="auto"/>
          <w:sz w:val="24"/>
        </w:rPr>
        <w:t>，不在井场暂存，含油废防渗布由有资质的单位按照《危险废物收集、贮存、运输技术规范》（HJ 2025-2012）要求进行运输管理。</w:t>
      </w:r>
    </w:p>
    <w:p w14:paraId="0FC96423">
      <w:pPr>
        <w:spacing w:line="440" w:lineRule="exact"/>
        <w:ind w:firstLine="480" w:firstLineChars="200"/>
        <w:rPr>
          <w:rFonts w:ascii="宋体" w:hAnsi="宋体" w:eastAsia="宋体"/>
          <w:color w:val="auto"/>
          <w:sz w:val="24"/>
        </w:rPr>
      </w:pPr>
      <w:r>
        <w:rPr>
          <w:rFonts w:hint="eastAsia" w:ascii="宋体" w:hAnsi="宋体" w:eastAsia="宋体"/>
          <w:color w:val="auto"/>
          <w:sz w:val="24"/>
        </w:rPr>
        <w:t>3）</w:t>
      </w:r>
      <w:r>
        <w:rPr>
          <w:rFonts w:ascii="宋体" w:hAnsi="宋体" w:eastAsia="宋体"/>
          <w:color w:val="auto"/>
          <w:sz w:val="24"/>
        </w:rPr>
        <w:t>危险废物转运</w:t>
      </w:r>
    </w:p>
    <w:p w14:paraId="3C13406C">
      <w:pPr>
        <w:spacing w:line="440" w:lineRule="exact"/>
        <w:ind w:firstLine="480" w:firstLineChars="200"/>
        <w:rPr>
          <w:rFonts w:ascii="宋体" w:hAnsi="宋体" w:eastAsia="宋体"/>
          <w:color w:val="auto"/>
          <w:sz w:val="24"/>
        </w:rPr>
      </w:pPr>
      <w:r>
        <w:rPr>
          <w:rFonts w:ascii="宋体" w:hAnsi="宋体" w:eastAsia="宋体"/>
          <w:color w:val="auto"/>
          <w:sz w:val="24"/>
        </w:rPr>
        <w:t>危险废物转移过程中应按《危险废物转移管理办法》（生态环境部、公安部、交通运输 2021年部令第23号）执行。</w:t>
      </w:r>
    </w:p>
    <w:p w14:paraId="499B416E">
      <w:pPr>
        <w:spacing w:line="440" w:lineRule="exact"/>
        <w:ind w:firstLine="480" w:firstLineChars="200"/>
        <w:rPr>
          <w:rFonts w:ascii="宋体" w:hAnsi="宋体" w:eastAsia="宋体"/>
          <w:color w:val="auto"/>
          <w:sz w:val="24"/>
        </w:rPr>
      </w:pPr>
      <w:r>
        <w:rPr>
          <w:rFonts w:ascii="宋体" w:hAnsi="宋体" w:eastAsia="宋体"/>
          <w:color w:val="auto"/>
          <w:sz w:val="24"/>
        </w:rPr>
        <w:t>本项目危险废物转运将严格执行危险废物转移制度。危险废物在运输工程中严格控制运输车辆密闭性，避免“跑、冒、滴、漏”情况发生。危险废物的运输由资质单位按照《危险废物收集、贮存、运输技术规范》（HJ 2025-2012）要求进行运输管理，危险废物的转移过程应按照《危险废物转移管理办法》（生态环境部、公安部、交通运输 2021年部令第23号）执行。在运输过程中，尽量选择硬质路面的路线进行运输，同时要在厂区内的运输路线上经常洒水降尘，减少扬尘污染；运输过程中要避开居住区等敏感区，合理安排运输时间，避免夜间运输，减少噪声污染；同时尽量挑选较好的天气进行运输，避免在雨雪大风等天气条件下运输。</w:t>
      </w:r>
    </w:p>
    <w:p w14:paraId="6429FCC3">
      <w:pPr>
        <w:spacing w:line="440" w:lineRule="exact"/>
        <w:ind w:firstLine="480" w:firstLineChars="200"/>
        <w:rPr>
          <w:rFonts w:ascii="宋体" w:hAnsi="宋体" w:eastAsia="宋体"/>
          <w:color w:val="auto"/>
          <w:sz w:val="24"/>
        </w:rPr>
      </w:pPr>
      <w:r>
        <w:rPr>
          <w:rFonts w:ascii="宋体" w:hAnsi="宋体" w:eastAsia="宋体"/>
          <w:color w:val="auto"/>
          <w:sz w:val="24"/>
        </w:rPr>
        <w:t>一旦运输过程发生意外事故，运输单位及相关部门应根据风险程度采取如下措施：</w:t>
      </w:r>
    </w:p>
    <w:p w14:paraId="39D2C2F2">
      <w:pPr>
        <w:spacing w:line="440" w:lineRule="exact"/>
        <w:ind w:firstLine="480" w:firstLineChars="200"/>
        <w:rPr>
          <w:rFonts w:ascii="宋体" w:hAnsi="宋体" w:eastAsia="宋体"/>
          <w:color w:val="auto"/>
          <w:sz w:val="24"/>
        </w:rPr>
      </w:pPr>
      <w:r>
        <w:rPr>
          <w:rFonts w:hint="eastAsia" w:ascii="宋体" w:hAnsi="宋体" w:eastAsia="宋体"/>
          <w:color w:val="auto"/>
          <w:sz w:val="24"/>
        </w:rPr>
        <w:t>①</w:t>
      </w:r>
      <w:r>
        <w:rPr>
          <w:rFonts w:ascii="宋体" w:hAnsi="宋体" w:eastAsia="宋体"/>
          <w:color w:val="auto"/>
          <w:sz w:val="24"/>
        </w:rPr>
        <w:t>设立事故警戒线，启动应急预案，并按《突发环境事件信息报告办法》（2011 年 5 月 1 日起施行）要求进行报告；</w:t>
      </w:r>
    </w:p>
    <w:p w14:paraId="658D8C49">
      <w:pPr>
        <w:spacing w:line="440" w:lineRule="exact"/>
        <w:ind w:firstLine="480" w:firstLineChars="200"/>
        <w:rPr>
          <w:rFonts w:ascii="宋体" w:hAnsi="宋体" w:eastAsia="宋体"/>
          <w:color w:val="auto"/>
          <w:sz w:val="24"/>
        </w:rPr>
      </w:pPr>
      <w:r>
        <w:rPr>
          <w:rFonts w:hint="eastAsia" w:ascii="宋体" w:hAnsi="宋体" w:eastAsia="宋体"/>
          <w:color w:val="auto"/>
          <w:sz w:val="24"/>
        </w:rPr>
        <w:t>②</w:t>
      </w:r>
      <w:r>
        <w:rPr>
          <w:rFonts w:ascii="宋体" w:hAnsi="宋体" w:eastAsia="宋体"/>
          <w:color w:val="auto"/>
          <w:sz w:val="24"/>
        </w:rPr>
        <w:t>应立即疏散人群，并请求环境保护、消防、医疗、公安等相关部门支援；</w:t>
      </w:r>
    </w:p>
    <w:p w14:paraId="024BCC93">
      <w:pPr>
        <w:spacing w:line="440" w:lineRule="exact"/>
        <w:ind w:firstLine="480" w:firstLineChars="200"/>
        <w:rPr>
          <w:rFonts w:ascii="宋体" w:hAnsi="宋体" w:eastAsia="宋体"/>
          <w:color w:val="auto"/>
          <w:sz w:val="24"/>
        </w:rPr>
      </w:pPr>
      <w:r>
        <w:rPr>
          <w:rFonts w:hint="eastAsia" w:ascii="宋体" w:hAnsi="宋体" w:eastAsia="宋体"/>
          <w:color w:val="auto"/>
          <w:sz w:val="24"/>
        </w:rPr>
        <w:t>③</w:t>
      </w:r>
      <w:r>
        <w:rPr>
          <w:rFonts w:ascii="宋体" w:hAnsi="宋体" w:eastAsia="宋体"/>
          <w:color w:val="auto"/>
          <w:sz w:val="24"/>
        </w:rPr>
        <w:t>对事故现场受到污染的土壤和水体等环境介质应进行相的清理和作复；</w:t>
      </w:r>
    </w:p>
    <w:p w14:paraId="30F3E724">
      <w:pPr>
        <w:spacing w:line="440" w:lineRule="exact"/>
        <w:ind w:firstLine="480" w:firstLineChars="200"/>
        <w:rPr>
          <w:rFonts w:ascii="宋体" w:hAnsi="宋体" w:eastAsia="宋体"/>
          <w:color w:val="auto"/>
          <w:sz w:val="24"/>
        </w:rPr>
      </w:pPr>
      <w:r>
        <w:rPr>
          <w:rFonts w:hint="eastAsia" w:ascii="宋体" w:hAnsi="宋体" w:eastAsia="宋体"/>
          <w:color w:val="auto"/>
          <w:sz w:val="24"/>
        </w:rPr>
        <w:t>④</w:t>
      </w:r>
      <w:r>
        <w:rPr>
          <w:rFonts w:ascii="宋体" w:hAnsi="宋体" w:eastAsia="宋体"/>
          <w:color w:val="auto"/>
          <w:sz w:val="24"/>
        </w:rPr>
        <w:t>清理过程中产生的所有废物均应按危险废物进行管理和处置；</w:t>
      </w:r>
    </w:p>
    <w:p w14:paraId="17F70B5A">
      <w:pPr>
        <w:spacing w:line="440" w:lineRule="exact"/>
        <w:ind w:firstLine="480" w:firstLineChars="200"/>
        <w:rPr>
          <w:rFonts w:ascii="宋体" w:hAnsi="宋体" w:eastAsia="宋体"/>
          <w:color w:val="auto"/>
          <w:sz w:val="24"/>
        </w:rPr>
      </w:pPr>
      <w:r>
        <w:rPr>
          <w:rFonts w:hint="eastAsia" w:ascii="宋体" w:hAnsi="宋体" w:eastAsia="宋体"/>
          <w:color w:val="auto"/>
          <w:sz w:val="24"/>
        </w:rPr>
        <w:t>⑤</w:t>
      </w:r>
      <w:r>
        <w:rPr>
          <w:rFonts w:ascii="宋体" w:hAnsi="宋体" w:eastAsia="宋体"/>
          <w:color w:val="auto"/>
          <w:sz w:val="24"/>
        </w:rPr>
        <w:t>进入现场清理和包装危险废物的人员应受过专业培训，并佩戴相应的防护工具。</w:t>
      </w:r>
    </w:p>
    <w:p w14:paraId="7B7B39CF">
      <w:pPr>
        <w:spacing w:line="440" w:lineRule="exact"/>
        <w:ind w:firstLine="480" w:firstLineChars="200"/>
        <w:rPr>
          <w:rFonts w:ascii="宋体" w:hAnsi="宋体" w:eastAsia="宋体"/>
          <w:color w:val="auto"/>
          <w:sz w:val="24"/>
        </w:rPr>
      </w:pPr>
      <w:r>
        <w:rPr>
          <w:rFonts w:ascii="宋体" w:hAnsi="宋体" w:eastAsia="宋体"/>
          <w:color w:val="auto"/>
          <w:sz w:val="24"/>
        </w:rPr>
        <w:t>采取本环评提出的预防及治理措施后，危险废物转运对周围环境影响较小。</w:t>
      </w:r>
    </w:p>
    <w:p w14:paraId="4165AA4B">
      <w:pPr>
        <w:spacing w:line="440" w:lineRule="exact"/>
        <w:ind w:firstLine="480" w:firstLineChars="200"/>
        <w:rPr>
          <w:rFonts w:ascii="宋体" w:hAnsi="宋体" w:eastAsia="宋体"/>
          <w:color w:val="auto"/>
          <w:sz w:val="24"/>
        </w:rPr>
      </w:pPr>
      <w:r>
        <w:rPr>
          <w:rFonts w:hint="eastAsia" w:ascii="宋体" w:hAnsi="宋体" w:eastAsia="宋体"/>
          <w:color w:val="auto"/>
          <w:sz w:val="24"/>
        </w:rPr>
        <w:t>4）</w:t>
      </w:r>
      <w:r>
        <w:rPr>
          <w:rFonts w:ascii="宋体" w:hAnsi="宋体" w:eastAsia="宋体"/>
          <w:color w:val="auto"/>
          <w:sz w:val="24"/>
        </w:rPr>
        <w:t>危险废物处置</w:t>
      </w:r>
    </w:p>
    <w:p w14:paraId="7442CEE4">
      <w:pPr>
        <w:spacing w:line="440" w:lineRule="exact"/>
        <w:ind w:firstLine="480" w:firstLineChars="200"/>
        <w:rPr>
          <w:rFonts w:ascii="宋体" w:hAnsi="宋体" w:eastAsia="宋体"/>
          <w:color w:val="auto"/>
          <w:sz w:val="24"/>
        </w:rPr>
      </w:pPr>
      <w:r>
        <w:rPr>
          <w:rFonts w:ascii="宋体" w:hAnsi="宋体" w:eastAsia="宋体"/>
          <w:color w:val="auto"/>
          <w:sz w:val="24"/>
        </w:rPr>
        <w:t>本项目产生的含油污泥和落地油由罐车拉运至朝一联含油污泥处理站减量化处理后，再委托大庆博昕晶化科技有限公司处理满足《油田含油污泥处置与利用污染控制要求》（DB23/T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含油废防渗布收集后暂存于第十采油厂综合固废储存库，定期委托有资质单位处理。</w:t>
      </w:r>
    </w:p>
    <w:p w14:paraId="42080441">
      <w:pPr>
        <w:spacing w:line="440" w:lineRule="exact"/>
        <w:ind w:firstLine="480" w:firstLineChars="200"/>
        <w:rPr>
          <w:rFonts w:ascii="宋体" w:hAnsi="宋体" w:eastAsia="宋体"/>
          <w:color w:val="auto"/>
          <w:sz w:val="24"/>
        </w:rPr>
      </w:pPr>
      <w:r>
        <w:rPr>
          <w:rFonts w:ascii="宋体" w:hAnsi="宋体" w:eastAsia="宋体"/>
          <w:color w:val="auto"/>
          <w:sz w:val="24"/>
        </w:rPr>
        <w:t>根据《建设项目危险废物环境影响评价指南》（环境保护部公告 2017 年第43 号）相关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p>
    <w:p w14:paraId="4897FC2B">
      <w:pPr>
        <w:spacing w:line="440" w:lineRule="exact"/>
        <w:ind w:firstLine="480" w:firstLineChars="200"/>
        <w:rPr>
          <w:rFonts w:ascii="宋体" w:hAnsi="宋体" w:eastAsia="宋体"/>
          <w:color w:val="auto"/>
          <w:sz w:val="24"/>
        </w:rPr>
      </w:pPr>
      <w:r>
        <w:rPr>
          <w:rFonts w:ascii="宋体" w:hAnsi="宋体" w:eastAsia="宋体"/>
          <w:color w:val="auto"/>
          <w:sz w:val="24"/>
        </w:rPr>
        <w:t>本项目建设单位尚未签订含油废防渗布的委托处置协议。根据黑龙江省核发的危险废物处理资质单位名单，有能力处理该危险废物的企业有大庆圣德雷特化工有限公司和大庆市云泰石化产品有限公司，详细情况如下：</w:t>
      </w:r>
    </w:p>
    <w:p w14:paraId="09B1CD33">
      <w:pPr>
        <w:spacing w:line="440" w:lineRule="exact"/>
        <w:ind w:firstLine="480" w:firstLineChars="200"/>
        <w:rPr>
          <w:rFonts w:ascii="宋体" w:hAnsi="宋体" w:eastAsia="宋体"/>
          <w:color w:val="auto"/>
          <w:sz w:val="24"/>
        </w:rPr>
      </w:pPr>
      <w:r>
        <w:rPr>
          <w:rFonts w:ascii="宋体" w:hAnsi="宋体" w:eastAsia="宋体"/>
          <w:color w:val="auto"/>
          <w:sz w:val="24"/>
        </w:rPr>
        <w:t>大庆圣德雷特化工有限公司经营范围包括HW08-废矿物油与含矿物油废物（071-001-08、071-002-08、072-001-08、251-001-08、251-002-08、251-003-08、251-004-08、251-005-08、251-006-08、251-010-08、251-011-08、251-012-08、900-199-08、900-200-08、900-201-08、900-204-08、900-210-08、900-212-08、900-213-08、900-214-08、900-215-08、900-216-08、900-217-08、900-218-08、900-219-08、900-220-08、900-221-08、900-222-08、900-249-08），HW08类核准经营规模50000t/a，HW49 类25万只/年。</w:t>
      </w:r>
    </w:p>
    <w:p w14:paraId="0519CD43">
      <w:pPr>
        <w:spacing w:line="440" w:lineRule="exact"/>
        <w:ind w:firstLine="480" w:firstLineChars="200"/>
        <w:rPr>
          <w:rFonts w:ascii="宋体" w:hAnsi="宋体" w:eastAsia="宋体"/>
          <w:color w:val="auto"/>
          <w:sz w:val="24"/>
        </w:rPr>
      </w:pPr>
      <w:r>
        <w:rPr>
          <w:rFonts w:ascii="宋体" w:hAnsi="宋体" w:eastAsia="宋体"/>
          <w:color w:val="auto"/>
          <w:sz w:val="24"/>
        </w:rPr>
        <w:t>大庆市云泰石化产品有限公司经营范围包括HW08 废矿物油与含矿物油废物（071-001-08、071-002-08、072-001-08、251-001-08、251-002-08、251-003-08、251-004-08、251-005-08、251-006-08、251-010-08、900-199-08、900-200-08、900-210-08、900-214-08、900-221-08、900-222-08、900-249-08）；HW49 其他废物，HW08（80000t/a），HW49（20000t/a）。</w:t>
      </w:r>
    </w:p>
    <w:p w14:paraId="49E42B80">
      <w:pPr>
        <w:spacing w:line="440" w:lineRule="exact"/>
        <w:ind w:firstLine="480" w:firstLineChars="200"/>
        <w:rPr>
          <w:rFonts w:ascii="宋体" w:hAnsi="宋体" w:eastAsia="宋体"/>
          <w:color w:val="auto"/>
          <w:sz w:val="24"/>
        </w:rPr>
      </w:pPr>
      <w:r>
        <w:rPr>
          <w:rFonts w:ascii="宋体" w:hAnsi="宋体" w:eastAsia="宋体"/>
          <w:color w:val="auto"/>
          <w:sz w:val="24"/>
        </w:rPr>
        <w:t>大庆圣德雷特化工有限公司、大庆市云泰石化产品有限公司有资质处理本项目产生的含油废防渗布，且处理能力均能够满足本项目处理需求。</w:t>
      </w:r>
    </w:p>
    <w:p w14:paraId="5165B520">
      <w:pPr>
        <w:spacing w:line="440" w:lineRule="exact"/>
        <w:ind w:firstLine="480" w:firstLineChars="200"/>
        <w:rPr>
          <w:rFonts w:ascii="宋体" w:hAnsi="宋体" w:eastAsia="宋体"/>
          <w:color w:val="auto"/>
          <w:sz w:val="24"/>
        </w:rPr>
      </w:pPr>
      <w:r>
        <w:rPr>
          <w:rFonts w:ascii="宋体" w:hAnsi="宋体" w:eastAsia="宋体"/>
          <w:color w:val="auto"/>
          <w:sz w:val="24"/>
        </w:rPr>
        <w:t>采取以上措施后，本项目产生的固体废物均得到有效处置，不会对周围环境产生不良影响。</w:t>
      </w:r>
    </w:p>
    <w:p w14:paraId="45E26E7B">
      <w:pPr>
        <w:pStyle w:val="6"/>
        <w:rPr>
          <w:color w:val="auto"/>
        </w:rPr>
      </w:pPr>
      <w:bookmarkStart w:id="1406" w:name="_Toc143099643"/>
      <w:bookmarkStart w:id="1407" w:name="_Toc70050247"/>
      <w:bookmarkStart w:id="1408" w:name="_Toc76976310"/>
      <w:bookmarkStart w:id="1409" w:name="_Toc77067722"/>
      <w:bookmarkStart w:id="1410" w:name="_Toc80971442"/>
      <w:bookmarkStart w:id="1411" w:name="_Toc131167356"/>
      <w:bookmarkStart w:id="1412" w:name="_Toc83209542"/>
      <w:bookmarkStart w:id="1413" w:name="_Toc127192405"/>
      <w:bookmarkStart w:id="1414" w:name="_Toc126863456"/>
      <w:bookmarkStart w:id="1415" w:name="_Toc85640825"/>
      <w:bookmarkStart w:id="1416" w:name="_Toc78816525"/>
      <w:bookmarkStart w:id="1417" w:name="_Toc86142000"/>
      <w:bookmarkStart w:id="1418" w:name="_Toc84929297"/>
      <w:bookmarkStart w:id="1419" w:name="_Toc67860198"/>
      <w:bookmarkStart w:id="1420" w:name="_Toc80588320"/>
      <w:r>
        <w:rPr>
          <w:color w:val="auto"/>
        </w:rPr>
        <w:t>退役期</w:t>
      </w:r>
    </w:p>
    <w:p w14:paraId="1AB54711">
      <w:pPr>
        <w:spacing w:line="440" w:lineRule="exact"/>
        <w:ind w:firstLine="480" w:firstLineChars="200"/>
        <w:rPr>
          <w:rFonts w:ascii="宋体" w:hAnsi="宋体" w:eastAsia="宋体"/>
          <w:color w:val="auto"/>
          <w:sz w:val="24"/>
        </w:rPr>
      </w:pPr>
      <w:r>
        <w:rPr>
          <w:rFonts w:ascii="宋体" w:hAnsi="宋体" w:eastAsia="宋体"/>
          <w:color w:val="auto"/>
          <w:sz w:val="24"/>
        </w:rPr>
        <w:t>退役期产生的固体废物主要为废旧设备、封井建筑垃圾、生活垃圾。</w:t>
      </w:r>
    </w:p>
    <w:p w14:paraId="37741D9C">
      <w:pPr>
        <w:spacing w:line="440" w:lineRule="exact"/>
        <w:ind w:firstLine="480" w:firstLineChars="200"/>
        <w:rPr>
          <w:rFonts w:ascii="宋体" w:hAnsi="宋体" w:eastAsia="宋体"/>
          <w:color w:val="auto"/>
          <w:sz w:val="24"/>
        </w:rPr>
      </w:pPr>
      <w:r>
        <w:rPr>
          <w:rFonts w:ascii="宋体" w:hAnsi="宋体" w:eastAsia="宋体"/>
          <w:color w:val="auto"/>
          <w:sz w:val="24"/>
        </w:rPr>
        <w:t>本项目退役管线两端封堵后直埋处理，退役期拆除的废旧设备全部回收至第十采油厂物资库。封井建筑垃圾统一收集后拉运至建筑垃圾调配场处置。生活垃圾统一收集拉运至肇源县利民城市垃圾处理有限公司处理。</w:t>
      </w:r>
    </w:p>
    <w:p w14:paraId="7CA0B99E">
      <w:pPr>
        <w:spacing w:line="440" w:lineRule="exact"/>
        <w:ind w:firstLine="480" w:firstLineChars="200"/>
        <w:rPr>
          <w:rFonts w:ascii="宋体" w:hAnsi="宋体" w:eastAsia="宋体"/>
          <w:color w:val="auto"/>
          <w:sz w:val="24"/>
        </w:rPr>
      </w:pPr>
      <w:r>
        <w:rPr>
          <w:rFonts w:ascii="宋体" w:hAnsi="宋体" w:eastAsia="宋体"/>
          <w:color w:val="auto"/>
          <w:sz w:val="24"/>
        </w:rPr>
        <w:t>通过采取以上措施，退役期产生的固体废物均得到有效处置，不会对周围环境产生不良影响。</w:t>
      </w:r>
    </w:p>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14:paraId="3CFDDB55">
      <w:pPr>
        <w:pStyle w:val="6"/>
        <w:rPr>
          <w:color w:val="auto"/>
        </w:rPr>
      </w:pPr>
      <w:r>
        <w:rPr>
          <w:color w:val="auto"/>
        </w:rPr>
        <w:t>固体废物环境影响评价结论</w:t>
      </w:r>
    </w:p>
    <w:p w14:paraId="71D42C4F">
      <w:pPr>
        <w:spacing w:line="440" w:lineRule="exact"/>
        <w:ind w:firstLine="480" w:firstLineChars="200"/>
        <w:rPr>
          <w:rFonts w:ascii="宋体" w:hAnsi="宋体" w:eastAsia="宋体"/>
          <w:color w:val="auto"/>
          <w:sz w:val="24"/>
        </w:rPr>
      </w:pPr>
      <w:r>
        <w:rPr>
          <w:rFonts w:ascii="宋体" w:hAnsi="宋体" w:eastAsia="宋体"/>
          <w:color w:val="auto"/>
          <w:sz w:val="24"/>
        </w:rPr>
        <w:t>由上述分析可知，本项目对施工期、</w:t>
      </w:r>
      <w:r>
        <w:rPr>
          <w:rFonts w:hint="eastAsia" w:ascii="宋体" w:hAnsi="宋体" w:eastAsia="宋体"/>
          <w:color w:val="auto"/>
          <w:sz w:val="24"/>
        </w:rPr>
        <w:t>运营期</w:t>
      </w:r>
      <w:r>
        <w:rPr>
          <w:rFonts w:ascii="宋体" w:hAnsi="宋体" w:eastAsia="宋体"/>
          <w:color w:val="auto"/>
          <w:sz w:val="24"/>
        </w:rPr>
        <w:t>、退役期产生的各类固体废弃物均进行了合理的处置，能够实现固废的减量化、资源化和无害化，对环境影响较小。</w:t>
      </w:r>
    </w:p>
    <w:p w14:paraId="73B4CA22">
      <w:pPr>
        <w:pStyle w:val="5"/>
        <w:rPr>
          <w:bCs w:val="0"/>
          <w:color w:val="auto"/>
        </w:rPr>
      </w:pPr>
      <w:bookmarkStart w:id="1421" w:name="_Toc22594"/>
      <w:bookmarkStart w:id="1422" w:name="_Toc65426009"/>
      <w:bookmarkStart w:id="1423" w:name="_Toc212033037"/>
      <w:bookmarkStart w:id="1424" w:name="_Toc32451"/>
      <w:bookmarkStart w:id="1425" w:name="_Toc65426006"/>
      <w:r>
        <w:rPr>
          <w:bCs w:val="0"/>
          <w:color w:val="auto"/>
        </w:rPr>
        <w:t>土壤环境影响预测与评价</w:t>
      </w:r>
      <w:bookmarkEnd w:id="1421"/>
      <w:bookmarkEnd w:id="1422"/>
      <w:bookmarkEnd w:id="1423"/>
    </w:p>
    <w:p w14:paraId="79BB68DE">
      <w:pPr>
        <w:pStyle w:val="6"/>
        <w:rPr>
          <w:color w:val="auto"/>
        </w:rPr>
      </w:pPr>
      <w:r>
        <w:rPr>
          <w:rFonts w:hint="eastAsia"/>
          <w:color w:val="auto"/>
        </w:rPr>
        <w:t>土壤环境影响识别</w:t>
      </w:r>
    </w:p>
    <w:p w14:paraId="25B309D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土壤环境影响类型与影响途径</w:t>
      </w:r>
    </w:p>
    <w:p w14:paraId="608DDE1D">
      <w:pPr>
        <w:spacing w:line="440" w:lineRule="exact"/>
        <w:ind w:firstLine="480" w:firstLineChars="200"/>
        <w:rPr>
          <w:rFonts w:ascii="宋体" w:hAnsi="宋体" w:eastAsia="宋体"/>
          <w:color w:val="auto"/>
          <w:sz w:val="24"/>
        </w:rPr>
      </w:pPr>
      <w:r>
        <w:rPr>
          <w:rFonts w:hint="eastAsia" w:ascii="宋体" w:hAnsi="宋体" w:eastAsia="宋体"/>
          <w:color w:val="auto"/>
          <w:sz w:val="24"/>
        </w:rPr>
        <w:t>（1）土壤环境影响类型</w:t>
      </w:r>
    </w:p>
    <w:p w14:paraId="3D8EEA48">
      <w:pPr>
        <w:spacing w:line="440" w:lineRule="exact"/>
        <w:ind w:firstLine="480" w:firstLineChars="200"/>
        <w:rPr>
          <w:rFonts w:ascii="宋体" w:hAnsi="宋体" w:eastAsia="宋体"/>
          <w:color w:val="auto"/>
          <w:sz w:val="24"/>
        </w:rPr>
      </w:pPr>
      <w:r>
        <w:rPr>
          <w:rFonts w:hint="eastAsia" w:ascii="宋体" w:hAnsi="宋体" w:eastAsia="宋体"/>
          <w:color w:val="auto"/>
          <w:sz w:val="24"/>
        </w:rPr>
        <w:t>根据《环境影响评价技术导则 土壤环境（试行）》（HJ</w:t>
      </w:r>
      <w:r>
        <w:rPr>
          <w:rFonts w:ascii="宋体" w:hAnsi="宋体" w:eastAsia="宋体"/>
          <w:color w:val="auto"/>
          <w:sz w:val="24"/>
        </w:rPr>
        <w:t xml:space="preserve"> 964-2018</w:t>
      </w:r>
      <w:r>
        <w:rPr>
          <w:rFonts w:hint="eastAsia" w:ascii="宋体" w:hAnsi="宋体" w:eastAsia="宋体"/>
          <w:color w:val="auto"/>
          <w:sz w:val="24"/>
        </w:rPr>
        <w:t>），本项目土壤环境影响类型为污染影响型。</w:t>
      </w:r>
    </w:p>
    <w:p w14:paraId="2EBEADA4">
      <w:pPr>
        <w:spacing w:line="440" w:lineRule="exact"/>
        <w:ind w:firstLine="480" w:firstLineChars="200"/>
        <w:rPr>
          <w:rFonts w:ascii="宋体" w:hAnsi="宋体" w:eastAsia="宋体"/>
          <w:color w:val="auto"/>
          <w:sz w:val="24"/>
        </w:rPr>
      </w:pPr>
      <w:r>
        <w:rPr>
          <w:rFonts w:hint="eastAsia" w:ascii="宋体" w:hAnsi="宋体" w:eastAsia="宋体"/>
          <w:color w:val="auto"/>
          <w:sz w:val="24"/>
        </w:rPr>
        <w:t>（2）土壤环境影响途径</w:t>
      </w:r>
    </w:p>
    <w:p w14:paraId="64182C1E">
      <w:pPr>
        <w:spacing w:line="440" w:lineRule="exact"/>
        <w:ind w:firstLine="480" w:firstLineChars="200"/>
        <w:rPr>
          <w:rFonts w:ascii="宋体" w:hAnsi="宋体" w:eastAsia="宋体"/>
          <w:color w:val="auto"/>
          <w:sz w:val="24"/>
        </w:rPr>
      </w:pPr>
      <w:r>
        <w:rPr>
          <w:rFonts w:hint="eastAsia" w:ascii="宋体" w:hAnsi="宋体" w:eastAsia="宋体"/>
          <w:color w:val="auto"/>
          <w:sz w:val="24"/>
        </w:rPr>
        <w:t>根据工程组成，可分为施工期、运营期、退役期三个阶段对土壤的环境影响。</w:t>
      </w:r>
    </w:p>
    <w:p w14:paraId="0E6155F1">
      <w:pPr>
        <w:spacing w:line="440" w:lineRule="exact"/>
        <w:ind w:firstLine="480" w:firstLineChars="200"/>
        <w:rPr>
          <w:rFonts w:ascii="宋体" w:hAnsi="宋体" w:eastAsia="宋体"/>
          <w:color w:val="auto"/>
          <w:sz w:val="24"/>
        </w:rPr>
      </w:pPr>
      <w:r>
        <w:rPr>
          <w:rFonts w:hint="eastAsia" w:ascii="宋体" w:hAnsi="宋体" w:eastAsia="宋体"/>
          <w:color w:val="auto"/>
          <w:sz w:val="24"/>
        </w:rPr>
        <w:t>施工期环境影响识别主要针对施工过程施工机械开挖、碾压、施工人员踩踏、废水及固体废物在临时储存及处理过程中对土壤环境产生的影响等。</w:t>
      </w:r>
    </w:p>
    <w:p w14:paraId="472AA643">
      <w:pPr>
        <w:spacing w:line="440" w:lineRule="exact"/>
        <w:ind w:firstLine="480" w:firstLineChars="200"/>
        <w:rPr>
          <w:rFonts w:ascii="宋体" w:hAnsi="宋体" w:eastAsia="宋体"/>
          <w:color w:val="auto"/>
          <w:sz w:val="24"/>
        </w:rPr>
      </w:pPr>
      <w:r>
        <w:rPr>
          <w:rFonts w:hint="eastAsia" w:ascii="宋体" w:hAnsi="宋体" w:eastAsia="宋体"/>
          <w:color w:val="auto"/>
          <w:sz w:val="24"/>
        </w:rPr>
        <w:t>运营期环境影响识别主要针对井下作业、油气集输等过程中对土壤环境产生的影响等。</w:t>
      </w:r>
    </w:p>
    <w:p w14:paraId="4A393C85">
      <w:pPr>
        <w:spacing w:line="440" w:lineRule="exact"/>
        <w:ind w:firstLine="480" w:firstLineChars="200"/>
        <w:rPr>
          <w:rFonts w:ascii="宋体" w:hAnsi="宋体" w:eastAsia="宋体"/>
          <w:color w:val="auto"/>
          <w:sz w:val="24"/>
        </w:rPr>
      </w:pPr>
      <w:r>
        <w:rPr>
          <w:rFonts w:hint="eastAsia" w:ascii="宋体" w:hAnsi="宋体" w:eastAsia="宋体"/>
          <w:color w:val="auto"/>
          <w:sz w:val="24"/>
        </w:rPr>
        <w:t>退役期环境影响识别主要针对采油设备拆除过程对土壤环境产生的影响等。</w:t>
      </w:r>
    </w:p>
    <w:p w14:paraId="10D38E8A">
      <w:pPr>
        <w:spacing w:line="440" w:lineRule="exact"/>
        <w:ind w:firstLine="480" w:firstLineChars="200"/>
        <w:rPr>
          <w:rFonts w:ascii="宋体" w:hAnsi="宋体" w:eastAsia="宋体"/>
          <w:color w:val="auto"/>
          <w:sz w:val="24"/>
        </w:rPr>
      </w:pPr>
      <w:r>
        <w:rPr>
          <w:rFonts w:hint="eastAsia" w:ascii="宋体" w:hAnsi="宋体" w:eastAsia="宋体"/>
          <w:color w:val="auto"/>
          <w:sz w:val="24"/>
        </w:rPr>
        <w:t>本项目土壤环境影响类型与影响途径识别情况见下表。</w:t>
      </w:r>
    </w:p>
    <w:p w14:paraId="1F0FFDE8">
      <w:pPr>
        <w:pStyle w:val="276"/>
        <w:widowControl w:val="0"/>
        <w:spacing w:line="440" w:lineRule="exact"/>
        <w:ind w:firstLine="0" w:firstLineChars="0"/>
        <w:jc w:val="center"/>
        <w:rPr>
          <w:color w:val="auto"/>
          <w:kern w:val="21"/>
          <w:lang w:val="zh-CN" w:bidi="zh-CN"/>
        </w:rPr>
      </w:pPr>
      <w:r>
        <w:rPr>
          <w:color w:val="auto"/>
          <w:kern w:val="21"/>
          <w:lang w:val="zh-CN" w:bidi="zh-CN"/>
        </w:rPr>
        <w:t xml:space="preserve">表 5.6-1 </w:t>
      </w:r>
      <w:r>
        <w:rPr>
          <w:rFonts w:hint="eastAsia"/>
          <w:color w:val="auto"/>
          <w:kern w:val="21"/>
          <w:lang w:val="zh-CN" w:bidi="zh-CN"/>
        </w:rPr>
        <w:t>项目土壤环境影响类型与影响途径识别表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9"/>
        <w:gridCol w:w="2017"/>
        <w:gridCol w:w="2017"/>
        <w:gridCol w:w="2017"/>
        <w:gridCol w:w="1217"/>
      </w:tblGrid>
      <w:tr w14:paraId="658D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pct"/>
            <w:vMerge w:val="restart"/>
            <w:shd w:val="clear" w:color="auto" w:fill="auto"/>
            <w:vAlign w:val="center"/>
          </w:tcPr>
          <w:p w14:paraId="438C627B">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阶段</w:t>
            </w:r>
          </w:p>
        </w:tc>
        <w:tc>
          <w:tcPr>
            <w:tcW w:w="3913" w:type="pct"/>
            <w:gridSpan w:val="4"/>
            <w:shd w:val="clear" w:color="auto" w:fill="auto"/>
            <w:vAlign w:val="center"/>
          </w:tcPr>
          <w:p w14:paraId="7BAAE12C">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污染影响型</w:t>
            </w:r>
          </w:p>
        </w:tc>
      </w:tr>
      <w:tr w14:paraId="36CC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pct"/>
            <w:vMerge w:val="continue"/>
            <w:shd w:val="clear" w:color="auto" w:fill="auto"/>
            <w:vAlign w:val="center"/>
          </w:tcPr>
          <w:p w14:paraId="7743E40D">
            <w:pPr>
              <w:adjustRightInd w:val="0"/>
              <w:snapToGrid w:val="0"/>
              <w:jc w:val="center"/>
              <w:textAlignment w:val="center"/>
              <w:rPr>
                <w:rFonts w:ascii="宋体" w:hAnsi="宋体" w:eastAsia="宋体"/>
                <w:color w:val="auto"/>
              </w:rPr>
            </w:pPr>
          </w:p>
        </w:tc>
        <w:tc>
          <w:tcPr>
            <w:tcW w:w="1086" w:type="pct"/>
            <w:shd w:val="clear" w:color="auto" w:fill="auto"/>
            <w:vAlign w:val="center"/>
          </w:tcPr>
          <w:p w14:paraId="0290B492">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大气沉降</w:t>
            </w:r>
          </w:p>
        </w:tc>
        <w:tc>
          <w:tcPr>
            <w:tcW w:w="1086" w:type="pct"/>
            <w:shd w:val="clear" w:color="auto" w:fill="auto"/>
            <w:vAlign w:val="center"/>
          </w:tcPr>
          <w:p w14:paraId="046C039C">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地面漫流</w:t>
            </w:r>
          </w:p>
        </w:tc>
        <w:tc>
          <w:tcPr>
            <w:tcW w:w="1086" w:type="pct"/>
            <w:shd w:val="clear" w:color="auto" w:fill="auto"/>
            <w:vAlign w:val="center"/>
          </w:tcPr>
          <w:p w14:paraId="3ED31E7D">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垂直入渗</w:t>
            </w:r>
          </w:p>
        </w:tc>
        <w:tc>
          <w:tcPr>
            <w:tcW w:w="655" w:type="pct"/>
            <w:shd w:val="clear" w:color="auto" w:fill="auto"/>
            <w:vAlign w:val="center"/>
          </w:tcPr>
          <w:p w14:paraId="44456F54">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其他</w:t>
            </w:r>
          </w:p>
        </w:tc>
      </w:tr>
      <w:tr w14:paraId="3E65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pct"/>
            <w:shd w:val="clear" w:color="auto" w:fill="auto"/>
            <w:vAlign w:val="center"/>
          </w:tcPr>
          <w:p w14:paraId="659AEC52">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施工期</w:t>
            </w:r>
          </w:p>
        </w:tc>
        <w:tc>
          <w:tcPr>
            <w:tcW w:w="1086" w:type="pct"/>
            <w:shd w:val="clear" w:color="auto" w:fill="auto"/>
            <w:vAlign w:val="center"/>
          </w:tcPr>
          <w:p w14:paraId="0368E1E1">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c>
          <w:tcPr>
            <w:tcW w:w="1086" w:type="pct"/>
            <w:shd w:val="clear" w:color="auto" w:fill="auto"/>
            <w:vAlign w:val="center"/>
          </w:tcPr>
          <w:p w14:paraId="69AE3147">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c>
          <w:tcPr>
            <w:tcW w:w="1086" w:type="pct"/>
            <w:shd w:val="clear" w:color="auto" w:fill="auto"/>
            <w:vAlign w:val="center"/>
          </w:tcPr>
          <w:p w14:paraId="5AA56801">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c>
          <w:tcPr>
            <w:tcW w:w="655" w:type="pct"/>
            <w:shd w:val="clear" w:color="auto" w:fill="auto"/>
            <w:vAlign w:val="center"/>
          </w:tcPr>
          <w:p w14:paraId="1693C7D5">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r>
      <w:tr w14:paraId="4589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pct"/>
            <w:shd w:val="clear" w:color="auto" w:fill="auto"/>
            <w:vAlign w:val="center"/>
          </w:tcPr>
          <w:p w14:paraId="6617103F">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运营期</w:t>
            </w:r>
          </w:p>
        </w:tc>
        <w:tc>
          <w:tcPr>
            <w:tcW w:w="1086" w:type="pct"/>
            <w:shd w:val="clear" w:color="auto" w:fill="auto"/>
            <w:vAlign w:val="center"/>
          </w:tcPr>
          <w:p w14:paraId="1DD7339B">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c>
          <w:tcPr>
            <w:tcW w:w="1086" w:type="pct"/>
            <w:shd w:val="clear" w:color="auto" w:fill="auto"/>
            <w:vAlign w:val="center"/>
          </w:tcPr>
          <w:p w14:paraId="63E3784E">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c>
          <w:tcPr>
            <w:tcW w:w="1086" w:type="pct"/>
            <w:shd w:val="clear" w:color="auto" w:fill="auto"/>
            <w:vAlign w:val="center"/>
          </w:tcPr>
          <w:p w14:paraId="288B2E9D">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c>
          <w:tcPr>
            <w:tcW w:w="655" w:type="pct"/>
            <w:shd w:val="clear" w:color="auto" w:fill="auto"/>
            <w:vAlign w:val="center"/>
          </w:tcPr>
          <w:p w14:paraId="7E88148C">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r>
      <w:tr w14:paraId="3BA9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7" w:type="pct"/>
            <w:shd w:val="clear" w:color="auto" w:fill="auto"/>
            <w:vAlign w:val="center"/>
          </w:tcPr>
          <w:p w14:paraId="3E2B1037">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退役期</w:t>
            </w:r>
          </w:p>
        </w:tc>
        <w:tc>
          <w:tcPr>
            <w:tcW w:w="1086" w:type="pct"/>
            <w:shd w:val="clear" w:color="auto" w:fill="auto"/>
            <w:vAlign w:val="center"/>
          </w:tcPr>
          <w:p w14:paraId="1519D790">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c>
          <w:tcPr>
            <w:tcW w:w="1086" w:type="pct"/>
            <w:shd w:val="clear" w:color="auto" w:fill="auto"/>
            <w:vAlign w:val="center"/>
          </w:tcPr>
          <w:p w14:paraId="1B6F7107">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c>
          <w:tcPr>
            <w:tcW w:w="1086" w:type="pct"/>
            <w:shd w:val="clear" w:color="auto" w:fill="auto"/>
            <w:vAlign w:val="center"/>
          </w:tcPr>
          <w:p w14:paraId="1D4FD87C">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c>
          <w:tcPr>
            <w:tcW w:w="655" w:type="pct"/>
            <w:shd w:val="clear" w:color="auto" w:fill="auto"/>
            <w:vAlign w:val="center"/>
          </w:tcPr>
          <w:p w14:paraId="1B30D6B4">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w:t>
            </w:r>
          </w:p>
        </w:tc>
      </w:tr>
    </w:tbl>
    <w:p w14:paraId="70A313B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土壤环境影响源与影响因子</w:t>
      </w:r>
    </w:p>
    <w:p w14:paraId="3B386A3D">
      <w:pPr>
        <w:spacing w:line="440" w:lineRule="exact"/>
        <w:ind w:firstLine="480" w:firstLineChars="200"/>
        <w:rPr>
          <w:rFonts w:ascii="宋体" w:hAnsi="宋体" w:eastAsia="宋体"/>
          <w:color w:val="auto"/>
          <w:sz w:val="24"/>
        </w:rPr>
      </w:pPr>
      <w:r>
        <w:rPr>
          <w:rFonts w:hint="eastAsia" w:ascii="宋体" w:hAnsi="宋体" w:eastAsia="宋体"/>
          <w:color w:val="auto"/>
          <w:sz w:val="24"/>
        </w:rPr>
        <w:t>本项目土壤环境影响途径主要为垂直入渗型，土壤环境影响源与影响因子识别情况见</w:t>
      </w:r>
      <w:r>
        <w:rPr>
          <w:rFonts w:hint="eastAsia" w:ascii="宋体" w:hAnsi="宋体" w:eastAsia="宋体"/>
          <w:color w:val="auto"/>
          <w:sz w:val="24"/>
        </w:rPr>
        <w:fldChar w:fldCharType="begin"/>
      </w:r>
      <w:r>
        <w:rPr>
          <w:rFonts w:hint="eastAsia" w:ascii="宋体" w:hAnsi="宋体" w:eastAsia="宋体"/>
          <w:color w:val="auto"/>
          <w:sz w:val="24"/>
        </w:rPr>
        <w:instrText xml:space="preserve"> REF _Ref181815415 \h  \* MERGEFORMAT </w:instrText>
      </w:r>
      <w:r>
        <w:rPr>
          <w:rFonts w:hint="eastAsia" w:ascii="宋体" w:hAnsi="宋体" w:eastAsia="宋体"/>
          <w:color w:val="auto"/>
          <w:sz w:val="24"/>
        </w:rPr>
        <w:fldChar w:fldCharType="separate"/>
      </w:r>
      <w:r>
        <w:rPr>
          <w:rFonts w:hint="eastAsia" w:ascii="宋体" w:hAnsi="宋体" w:eastAsia="宋体"/>
          <w:b/>
          <w:bCs/>
          <w:color w:val="auto"/>
          <w:sz w:val="24"/>
        </w:rPr>
        <w:t>错误!未找到引用源。</w:t>
      </w:r>
      <w:r>
        <w:rPr>
          <w:rFonts w:hint="eastAsia" w:ascii="宋体" w:hAnsi="宋体" w:eastAsia="宋体"/>
          <w:color w:val="auto"/>
          <w:sz w:val="24"/>
        </w:rPr>
        <w:fldChar w:fldCharType="end"/>
      </w:r>
      <w:r>
        <w:rPr>
          <w:rFonts w:hint="eastAsia" w:ascii="宋体" w:hAnsi="宋体" w:eastAsia="宋体"/>
          <w:color w:val="auto"/>
          <w:sz w:val="24"/>
        </w:rPr>
        <w:t>。</w:t>
      </w:r>
    </w:p>
    <w:p w14:paraId="7E506B51">
      <w:pPr>
        <w:pStyle w:val="276"/>
        <w:widowControl w:val="0"/>
        <w:spacing w:line="440" w:lineRule="exact"/>
        <w:ind w:firstLine="0" w:firstLineChars="0"/>
        <w:jc w:val="center"/>
        <w:rPr>
          <w:color w:val="auto"/>
          <w:kern w:val="21"/>
          <w:lang w:val="zh-CN" w:bidi="zh-CN"/>
        </w:rPr>
      </w:pPr>
      <w:r>
        <w:rPr>
          <w:rFonts w:hint="eastAsia"/>
          <w:color w:val="auto"/>
          <w:kern w:val="21"/>
          <w:lang w:val="zh-CN" w:bidi="zh-CN"/>
        </w:rPr>
        <w:t xml:space="preserve">表 </w:t>
      </w:r>
      <w:r>
        <w:rPr>
          <w:color w:val="auto"/>
          <w:kern w:val="21"/>
          <w:lang w:val="zh-CN" w:bidi="zh-CN"/>
        </w:rPr>
        <w:t>5.6</w:t>
      </w:r>
      <w:r>
        <w:rPr>
          <w:color w:val="auto"/>
          <w:kern w:val="21"/>
          <w:lang w:val="zh-CN" w:bidi="zh-CN"/>
        </w:rPr>
        <w:noBreakHyphen/>
      </w:r>
      <w:r>
        <w:rPr>
          <w:color w:val="auto"/>
          <w:kern w:val="21"/>
          <w:lang w:val="zh-CN" w:bidi="zh-CN"/>
        </w:rPr>
        <w:fldChar w:fldCharType="begin"/>
      </w:r>
      <w:r>
        <w:rPr>
          <w:color w:val="auto"/>
          <w:kern w:val="21"/>
          <w:lang w:val="zh-CN" w:bidi="zh-CN"/>
        </w:rPr>
        <w:instrText xml:space="preserve"> STYLEREF 2 \s </w:instrText>
      </w:r>
      <w:r>
        <w:rPr>
          <w:color w:val="auto"/>
          <w:kern w:val="21"/>
          <w:lang w:val="zh-CN" w:bidi="zh-CN"/>
        </w:rPr>
        <w:fldChar w:fldCharType="separate"/>
      </w:r>
      <w:r>
        <w:rPr>
          <w:color w:val="auto"/>
          <w:kern w:val="21"/>
          <w:lang w:val="zh-CN" w:bidi="zh-CN"/>
        </w:rPr>
        <w:t>5.6</w:t>
      </w:r>
      <w:r>
        <w:rPr>
          <w:color w:val="auto"/>
          <w:kern w:val="21"/>
          <w:lang w:val="zh-CN" w:bidi="zh-CN"/>
        </w:rPr>
        <w:fldChar w:fldCharType="end"/>
      </w:r>
      <w:r>
        <w:rPr>
          <w:color w:val="auto"/>
          <w:kern w:val="21"/>
          <w:lang w:val="zh-CN" w:bidi="zh-CN"/>
        </w:rPr>
        <w:noBreakHyphen/>
      </w:r>
      <w:r>
        <w:rPr>
          <w:color w:val="auto"/>
          <w:kern w:val="21"/>
          <w:lang w:val="zh-CN" w:bidi="zh-CN"/>
        </w:rPr>
        <w:fldChar w:fldCharType="begin"/>
      </w:r>
      <w:r>
        <w:rPr>
          <w:color w:val="auto"/>
          <w:kern w:val="21"/>
          <w:lang w:val="zh-CN" w:bidi="zh-CN"/>
        </w:rPr>
        <w:instrText xml:space="preserve"> SEQ 表 \* ARABIC \s 2 </w:instrText>
      </w:r>
      <w:r>
        <w:rPr>
          <w:color w:val="auto"/>
          <w:kern w:val="21"/>
          <w:lang w:val="zh-CN" w:bidi="zh-CN"/>
        </w:rPr>
        <w:fldChar w:fldCharType="separate"/>
      </w:r>
      <w:r>
        <w:rPr>
          <w:color w:val="auto"/>
          <w:kern w:val="21"/>
          <w:lang w:val="zh-CN" w:bidi="zh-CN"/>
        </w:rPr>
        <w:t>1</w:t>
      </w:r>
      <w:r>
        <w:rPr>
          <w:color w:val="auto"/>
          <w:kern w:val="21"/>
          <w:lang w:val="zh-CN" w:bidi="zh-CN"/>
        </w:rPr>
        <w:fldChar w:fldCharType="end"/>
      </w:r>
      <w:r>
        <w:rPr>
          <w:rFonts w:hint="eastAsia"/>
          <w:color w:val="auto"/>
          <w:kern w:val="21"/>
          <w:lang w:val="zh-CN" w:bidi="zh-CN"/>
        </w:rPr>
        <w:t>土壤环境影响源与影响因子识别表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252"/>
        <w:gridCol w:w="2528"/>
        <w:gridCol w:w="780"/>
        <w:gridCol w:w="1161"/>
        <w:gridCol w:w="934"/>
        <w:gridCol w:w="934"/>
        <w:gridCol w:w="924"/>
      </w:tblGrid>
      <w:tr w14:paraId="0FA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5" w:type="pct"/>
            <w:shd w:val="clear" w:color="auto" w:fill="auto"/>
            <w:vAlign w:val="center"/>
          </w:tcPr>
          <w:p w14:paraId="6E31F55D">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阶段</w:t>
            </w:r>
          </w:p>
        </w:tc>
        <w:tc>
          <w:tcPr>
            <w:tcW w:w="682" w:type="pct"/>
            <w:shd w:val="clear" w:color="auto" w:fill="auto"/>
            <w:vAlign w:val="center"/>
          </w:tcPr>
          <w:p w14:paraId="0D9EE334">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污染源</w:t>
            </w:r>
          </w:p>
        </w:tc>
        <w:tc>
          <w:tcPr>
            <w:tcW w:w="1369" w:type="pct"/>
            <w:shd w:val="clear" w:color="auto" w:fill="auto"/>
            <w:vAlign w:val="center"/>
          </w:tcPr>
          <w:p w14:paraId="237F0374">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工艺流程/节点</w:t>
            </w:r>
          </w:p>
        </w:tc>
        <w:tc>
          <w:tcPr>
            <w:tcW w:w="428" w:type="pct"/>
            <w:shd w:val="clear" w:color="auto" w:fill="auto"/>
            <w:vAlign w:val="center"/>
          </w:tcPr>
          <w:p w14:paraId="5AB45081">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污染途径</w:t>
            </w:r>
          </w:p>
        </w:tc>
        <w:tc>
          <w:tcPr>
            <w:tcW w:w="569" w:type="pct"/>
            <w:shd w:val="clear" w:color="auto" w:fill="auto"/>
            <w:vAlign w:val="center"/>
          </w:tcPr>
          <w:p w14:paraId="52815D1F">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污染物种类</w:t>
            </w:r>
          </w:p>
        </w:tc>
        <w:tc>
          <w:tcPr>
            <w:tcW w:w="511" w:type="pct"/>
            <w:shd w:val="clear" w:color="auto" w:fill="auto"/>
            <w:vAlign w:val="center"/>
          </w:tcPr>
          <w:p w14:paraId="47DE5C8E">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污染介质</w:t>
            </w:r>
          </w:p>
        </w:tc>
        <w:tc>
          <w:tcPr>
            <w:tcW w:w="511" w:type="pct"/>
            <w:shd w:val="clear" w:color="auto" w:fill="auto"/>
            <w:vAlign w:val="center"/>
          </w:tcPr>
          <w:p w14:paraId="38919BD0">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可能污染区域</w:t>
            </w:r>
          </w:p>
        </w:tc>
        <w:tc>
          <w:tcPr>
            <w:tcW w:w="505" w:type="pct"/>
            <w:shd w:val="clear" w:color="auto" w:fill="auto"/>
            <w:vAlign w:val="center"/>
          </w:tcPr>
          <w:p w14:paraId="45134770">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备注</w:t>
            </w:r>
          </w:p>
        </w:tc>
      </w:tr>
      <w:tr w14:paraId="5BF0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shd w:val="clear" w:color="auto" w:fill="auto"/>
            <w:vAlign w:val="center"/>
          </w:tcPr>
          <w:p w14:paraId="4D954DA9">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施工期</w:t>
            </w:r>
          </w:p>
        </w:tc>
        <w:tc>
          <w:tcPr>
            <w:tcW w:w="682" w:type="pct"/>
            <w:shd w:val="clear" w:color="auto" w:fill="auto"/>
            <w:vAlign w:val="center"/>
          </w:tcPr>
          <w:p w14:paraId="73D12688">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压裂废液罐</w:t>
            </w:r>
          </w:p>
        </w:tc>
        <w:tc>
          <w:tcPr>
            <w:tcW w:w="1369" w:type="pct"/>
            <w:shd w:val="clear" w:color="auto" w:fill="auto"/>
            <w:vAlign w:val="center"/>
          </w:tcPr>
          <w:p w14:paraId="39C01CF4">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压裂废液罐破裂造成压裂返排液</w:t>
            </w:r>
            <w:r>
              <w:rPr>
                <w:rFonts w:ascii="宋体" w:hAnsi="宋体" w:eastAsia="宋体" w:cs="Times New Roman"/>
                <w:color w:val="auto"/>
              </w:rPr>
              <w:t>渗漏</w:t>
            </w:r>
            <w:r>
              <w:rPr>
                <w:rFonts w:hint="eastAsia" w:ascii="宋体" w:hAnsi="宋体" w:eastAsia="宋体" w:cs="Times New Roman"/>
                <w:color w:val="auto"/>
              </w:rPr>
              <w:t>污染土壤环境</w:t>
            </w:r>
          </w:p>
        </w:tc>
        <w:tc>
          <w:tcPr>
            <w:tcW w:w="428" w:type="pct"/>
            <w:shd w:val="clear" w:color="auto" w:fill="auto"/>
            <w:vAlign w:val="center"/>
          </w:tcPr>
          <w:p w14:paraId="1A2385B3">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垂直入渗</w:t>
            </w:r>
          </w:p>
        </w:tc>
        <w:tc>
          <w:tcPr>
            <w:tcW w:w="569" w:type="pct"/>
            <w:shd w:val="clear" w:color="auto" w:fill="auto"/>
            <w:vAlign w:val="center"/>
          </w:tcPr>
          <w:p w14:paraId="5FCCDB53">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S</w:t>
            </w:r>
            <w:r>
              <w:rPr>
                <w:rFonts w:ascii="宋体" w:hAnsi="宋体" w:eastAsia="宋体" w:cs="Times New Roman"/>
                <w:color w:val="auto"/>
              </w:rPr>
              <w:t>S</w:t>
            </w:r>
            <w:r>
              <w:rPr>
                <w:rFonts w:hint="eastAsia" w:ascii="宋体" w:hAnsi="宋体" w:eastAsia="宋体" w:cs="Times New Roman"/>
                <w:color w:val="auto"/>
              </w:rPr>
              <w:t>等</w:t>
            </w:r>
          </w:p>
        </w:tc>
        <w:tc>
          <w:tcPr>
            <w:tcW w:w="511" w:type="pct"/>
            <w:shd w:val="clear" w:color="auto" w:fill="auto"/>
            <w:vAlign w:val="center"/>
          </w:tcPr>
          <w:p w14:paraId="5106DAF0">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表层土壤、深层土壤</w:t>
            </w:r>
          </w:p>
        </w:tc>
        <w:tc>
          <w:tcPr>
            <w:tcW w:w="511" w:type="pct"/>
            <w:shd w:val="clear" w:color="auto" w:fill="auto"/>
            <w:vAlign w:val="center"/>
          </w:tcPr>
          <w:p w14:paraId="0F0A1696">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井场及其周围区域</w:t>
            </w:r>
          </w:p>
        </w:tc>
        <w:tc>
          <w:tcPr>
            <w:tcW w:w="505" w:type="pct"/>
            <w:shd w:val="clear" w:color="auto" w:fill="auto"/>
            <w:vAlign w:val="center"/>
          </w:tcPr>
          <w:p w14:paraId="11113377">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事故情况下</w:t>
            </w:r>
          </w:p>
        </w:tc>
      </w:tr>
      <w:tr w14:paraId="5CB9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14:paraId="234F87A9">
            <w:pPr>
              <w:adjustRightInd w:val="0"/>
              <w:snapToGrid w:val="0"/>
              <w:jc w:val="center"/>
              <w:textAlignment w:val="center"/>
              <w:rPr>
                <w:rFonts w:ascii="宋体" w:hAnsi="宋体" w:eastAsia="宋体" w:cs="Times New Roman"/>
                <w:color w:val="auto"/>
              </w:rPr>
            </w:pPr>
          </w:p>
        </w:tc>
        <w:tc>
          <w:tcPr>
            <w:tcW w:w="682" w:type="pct"/>
            <w:shd w:val="clear" w:color="auto" w:fill="auto"/>
            <w:vAlign w:val="center"/>
          </w:tcPr>
          <w:p w14:paraId="3D142BB9">
            <w:pPr>
              <w:adjustRightInd w:val="0"/>
              <w:snapToGrid w:val="0"/>
              <w:jc w:val="center"/>
              <w:textAlignment w:val="center"/>
              <w:rPr>
                <w:rFonts w:ascii="宋体" w:hAnsi="宋体" w:eastAsia="宋体" w:cs="Times New Roman"/>
                <w:color w:val="auto"/>
              </w:rPr>
            </w:pPr>
            <w:r>
              <w:rPr>
                <w:rFonts w:hint="eastAsia" w:ascii="宋体" w:hAnsi="宋体" w:eastAsia="宋体"/>
                <w:color w:val="auto"/>
                <w:lang w:eastAsia="en-US"/>
              </w:rPr>
              <w:t>柴油罐</w:t>
            </w:r>
          </w:p>
        </w:tc>
        <w:tc>
          <w:tcPr>
            <w:tcW w:w="1369" w:type="pct"/>
            <w:shd w:val="clear" w:color="auto" w:fill="auto"/>
            <w:vAlign w:val="center"/>
          </w:tcPr>
          <w:p w14:paraId="49DE1D11">
            <w:pPr>
              <w:adjustRightInd w:val="0"/>
              <w:snapToGrid w:val="0"/>
              <w:jc w:val="center"/>
              <w:textAlignment w:val="center"/>
              <w:rPr>
                <w:rFonts w:ascii="宋体" w:hAnsi="宋体" w:eastAsia="宋体" w:cs="Times New Roman"/>
                <w:color w:val="auto"/>
              </w:rPr>
            </w:pPr>
            <w:r>
              <w:rPr>
                <w:rFonts w:hint="eastAsia" w:ascii="宋体" w:hAnsi="宋体" w:eastAsia="宋体"/>
                <w:color w:val="auto"/>
              </w:rPr>
              <w:t>柴油罐破裂造成油类</w:t>
            </w:r>
            <w:r>
              <w:rPr>
                <w:rFonts w:ascii="宋体" w:hAnsi="宋体" w:eastAsia="宋体"/>
                <w:color w:val="auto"/>
              </w:rPr>
              <w:t>连续渗漏</w:t>
            </w:r>
            <w:r>
              <w:rPr>
                <w:rFonts w:hint="eastAsia" w:ascii="宋体" w:hAnsi="宋体" w:eastAsia="宋体"/>
                <w:color w:val="auto"/>
              </w:rPr>
              <w:t>污染土壤环境</w:t>
            </w:r>
          </w:p>
        </w:tc>
        <w:tc>
          <w:tcPr>
            <w:tcW w:w="428" w:type="pct"/>
            <w:shd w:val="clear" w:color="auto" w:fill="auto"/>
            <w:vAlign w:val="center"/>
          </w:tcPr>
          <w:p w14:paraId="690DEC3E">
            <w:pPr>
              <w:adjustRightInd w:val="0"/>
              <w:snapToGrid w:val="0"/>
              <w:jc w:val="center"/>
              <w:textAlignment w:val="center"/>
              <w:rPr>
                <w:rFonts w:ascii="宋体" w:hAnsi="宋体" w:eastAsia="宋体" w:cs="Times New Roman"/>
                <w:color w:val="auto"/>
              </w:rPr>
            </w:pPr>
            <w:r>
              <w:rPr>
                <w:rFonts w:hint="eastAsia" w:ascii="宋体" w:hAnsi="宋体" w:eastAsia="宋体"/>
                <w:color w:val="auto"/>
              </w:rPr>
              <w:t>垂直入渗</w:t>
            </w:r>
          </w:p>
        </w:tc>
        <w:tc>
          <w:tcPr>
            <w:tcW w:w="569" w:type="pct"/>
            <w:shd w:val="clear" w:color="auto" w:fill="auto"/>
            <w:vAlign w:val="center"/>
          </w:tcPr>
          <w:p w14:paraId="562CE2E9">
            <w:pPr>
              <w:adjustRightInd w:val="0"/>
              <w:snapToGrid w:val="0"/>
              <w:jc w:val="center"/>
              <w:textAlignment w:val="center"/>
              <w:rPr>
                <w:rFonts w:ascii="宋体" w:hAnsi="宋体" w:eastAsia="宋体" w:cs="Times New Roman"/>
                <w:color w:val="auto"/>
              </w:rPr>
            </w:pPr>
            <w:r>
              <w:rPr>
                <w:rFonts w:hint="eastAsia" w:ascii="宋体" w:hAnsi="宋体" w:eastAsia="宋体"/>
                <w:color w:val="auto"/>
              </w:rPr>
              <w:t>石油烃（</w:t>
            </w:r>
            <w:r>
              <w:rPr>
                <w:rFonts w:hint="eastAsia" w:ascii="宋体" w:hAnsi="宋体" w:eastAsia="宋体" w:cs="Calibri"/>
                <w:color w:val="auto"/>
              </w:rPr>
              <w:t>C</w:t>
            </w:r>
            <w:r>
              <w:rPr>
                <w:rFonts w:hint="eastAsia" w:ascii="宋体" w:hAnsi="宋体" w:eastAsia="宋体" w:cs="Calibri"/>
                <w:color w:val="auto"/>
                <w:vertAlign w:val="subscript"/>
              </w:rPr>
              <w:t>10</w:t>
            </w:r>
            <w:r>
              <w:rPr>
                <w:rFonts w:hint="eastAsia" w:ascii="宋体" w:hAnsi="宋体" w:eastAsia="宋体"/>
                <w:color w:val="auto"/>
              </w:rPr>
              <w:t>～</w:t>
            </w:r>
            <w:r>
              <w:rPr>
                <w:rFonts w:hint="eastAsia" w:ascii="宋体" w:hAnsi="宋体" w:eastAsia="宋体" w:cs="Calibri"/>
                <w:color w:val="auto"/>
              </w:rPr>
              <w:t>C</w:t>
            </w:r>
            <w:r>
              <w:rPr>
                <w:rFonts w:hint="eastAsia" w:ascii="宋体" w:hAnsi="宋体" w:eastAsia="宋体" w:cs="Calibri"/>
                <w:color w:val="auto"/>
                <w:vertAlign w:val="subscript"/>
              </w:rPr>
              <w:t>40</w:t>
            </w:r>
            <w:r>
              <w:rPr>
                <w:rFonts w:hint="eastAsia" w:ascii="宋体" w:hAnsi="宋体" w:eastAsia="宋体"/>
                <w:color w:val="auto"/>
              </w:rPr>
              <w:t>）</w:t>
            </w:r>
          </w:p>
        </w:tc>
        <w:tc>
          <w:tcPr>
            <w:tcW w:w="511" w:type="pct"/>
            <w:shd w:val="clear" w:color="auto" w:fill="auto"/>
            <w:vAlign w:val="center"/>
          </w:tcPr>
          <w:p w14:paraId="1309DD10">
            <w:pPr>
              <w:adjustRightInd w:val="0"/>
              <w:snapToGrid w:val="0"/>
              <w:jc w:val="center"/>
              <w:textAlignment w:val="center"/>
              <w:rPr>
                <w:rFonts w:ascii="宋体" w:hAnsi="宋体" w:eastAsia="宋体" w:cs="Times New Roman"/>
                <w:color w:val="auto"/>
              </w:rPr>
            </w:pPr>
            <w:r>
              <w:rPr>
                <w:rFonts w:hint="eastAsia" w:ascii="宋体" w:hAnsi="宋体" w:eastAsia="宋体"/>
                <w:color w:val="auto"/>
              </w:rPr>
              <w:t>表层土壤、深层土壤</w:t>
            </w:r>
          </w:p>
        </w:tc>
        <w:tc>
          <w:tcPr>
            <w:tcW w:w="511" w:type="pct"/>
            <w:shd w:val="clear" w:color="auto" w:fill="auto"/>
            <w:vAlign w:val="center"/>
          </w:tcPr>
          <w:p w14:paraId="7C726F2C">
            <w:pPr>
              <w:adjustRightInd w:val="0"/>
              <w:snapToGrid w:val="0"/>
              <w:jc w:val="center"/>
              <w:textAlignment w:val="center"/>
              <w:rPr>
                <w:rFonts w:ascii="宋体" w:hAnsi="宋体" w:eastAsia="宋体" w:cs="Times New Roman"/>
                <w:color w:val="auto"/>
              </w:rPr>
            </w:pPr>
            <w:r>
              <w:rPr>
                <w:rFonts w:hint="eastAsia" w:ascii="宋体" w:hAnsi="宋体" w:eastAsia="宋体"/>
                <w:color w:val="auto"/>
              </w:rPr>
              <w:t>井场及其周围区域</w:t>
            </w:r>
          </w:p>
        </w:tc>
        <w:tc>
          <w:tcPr>
            <w:tcW w:w="505" w:type="pct"/>
            <w:shd w:val="clear" w:color="auto" w:fill="auto"/>
            <w:vAlign w:val="center"/>
          </w:tcPr>
          <w:p w14:paraId="4D1FEC4F">
            <w:pPr>
              <w:adjustRightInd w:val="0"/>
              <w:snapToGrid w:val="0"/>
              <w:jc w:val="center"/>
              <w:textAlignment w:val="center"/>
              <w:rPr>
                <w:rFonts w:ascii="宋体" w:hAnsi="宋体" w:eastAsia="宋体" w:cs="Times New Roman"/>
                <w:color w:val="auto"/>
              </w:rPr>
            </w:pPr>
            <w:r>
              <w:rPr>
                <w:rFonts w:hint="eastAsia" w:ascii="宋体" w:hAnsi="宋体" w:eastAsia="宋体"/>
                <w:color w:val="auto"/>
              </w:rPr>
              <w:t>事故情况下</w:t>
            </w:r>
          </w:p>
        </w:tc>
      </w:tr>
      <w:tr w14:paraId="5333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shd w:val="clear" w:color="auto" w:fill="auto"/>
            <w:vAlign w:val="center"/>
          </w:tcPr>
          <w:p w14:paraId="537C99A9">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运营期</w:t>
            </w:r>
          </w:p>
        </w:tc>
        <w:tc>
          <w:tcPr>
            <w:tcW w:w="682" w:type="pct"/>
            <w:shd w:val="clear" w:color="auto" w:fill="auto"/>
            <w:vAlign w:val="center"/>
          </w:tcPr>
          <w:p w14:paraId="6E1FDA5C">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集油管线</w:t>
            </w:r>
          </w:p>
        </w:tc>
        <w:tc>
          <w:tcPr>
            <w:tcW w:w="1369" w:type="pct"/>
            <w:shd w:val="clear" w:color="auto" w:fill="auto"/>
            <w:vAlign w:val="center"/>
          </w:tcPr>
          <w:p w14:paraId="5708DFD3">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非正常工况下，</w:t>
            </w:r>
            <w:r>
              <w:rPr>
                <w:rFonts w:hint="eastAsia" w:ascii="宋体" w:hAnsi="宋体" w:eastAsia="宋体" w:cs="Times New Roman"/>
                <w:color w:val="auto"/>
              </w:rPr>
              <w:t>集油管线泄漏导致采出液</w:t>
            </w:r>
            <w:r>
              <w:rPr>
                <w:rFonts w:ascii="宋体" w:hAnsi="宋体" w:eastAsia="宋体" w:cs="Times New Roman"/>
                <w:color w:val="auto"/>
              </w:rPr>
              <w:t>连续</w:t>
            </w:r>
            <w:r>
              <w:rPr>
                <w:rFonts w:hint="eastAsia" w:ascii="宋体" w:hAnsi="宋体" w:eastAsia="宋体" w:cs="Times New Roman"/>
                <w:color w:val="auto"/>
              </w:rPr>
              <w:t>渗漏污染土壤</w:t>
            </w:r>
          </w:p>
        </w:tc>
        <w:tc>
          <w:tcPr>
            <w:tcW w:w="428" w:type="pct"/>
            <w:shd w:val="clear" w:color="auto" w:fill="auto"/>
            <w:vAlign w:val="center"/>
          </w:tcPr>
          <w:p w14:paraId="0A7F8AC8">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垂直入渗</w:t>
            </w:r>
          </w:p>
        </w:tc>
        <w:tc>
          <w:tcPr>
            <w:tcW w:w="569" w:type="pct"/>
            <w:shd w:val="clear" w:color="auto" w:fill="auto"/>
            <w:vAlign w:val="center"/>
          </w:tcPr>
          <w:p w14:paraId="59FBC810">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石油烃（C</w:t>
            </w:r>
            <w:r>
              <w:rPr>
                <w:rFonts w:hint="eastAsia" w:ascii="宋体" w:hAnsi="宋体" w:eastAsia="宋体" w:cs="Times New Roman"/>
                <w:color w:val="auto"/>
                <w:vertAlign w:val="subscript"/>
              </w:rPr>
              <w:t>10</w:t>
            </w:r>
            <w:r>
              <w:rPr>
                <w:rFonts w:hint="eastAsia" w:ascii="宋体" w:hAnsi="宋体" w:eastAsia="宋体" w:cs="Times New Roman"/>
                <w:color w:val="auto"/>
              </w:rPr>
              <w:t>-C</w:t>
            </w:r>
            <w:r>
              <w:rPr>
                <w:rFonts w:hint="eastAsia" w:ascii="宋体" w:hAnsi="宋体" w:eastAsia="宋体" w:cs="Times New Roman"/>
                <w:color w:val="auto"/>
                <w:vertAlign w:val="subscript"/>
              </w:rPr>
              <w:t>40</w:t>
            </w:r>
            <w:r>
              <w:rPr>
                <w:rFonts w:hint="eastAsia" w:ascii="宋体" w:hAnsi="宋体" w:eastAsia="宋体" w:cs="Times New Roman"/>
                <w:color w:val="auto"/>
              </w:rPr>
              <w:t>）</w:t>
            </w:r>
          </w:p>
        </w:tc>
        <w:tc>
          <w:tcPr>
            <w:tcW w:w="511" w:type="pct"/>
            <w:shd w:val="clear" w:color="auto" w:fill="auto"/>
            <w:vAlign w:val="center"/>
          </w:tcPr>
          <w:p w14:paraId="2B36EA80">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表层土壤、深层土壤</w:t>
            </w:r>
          </w:p>
        </w:tc>
        <w:tc>
          <w:tcPr>
            <w:tcW w:w="511" w:type="pct"/>
            <w:shd w:val="clear" w:color="auto" w:fill="auto"/>
            <w:vAlign w:val="center"/>
          </w:tcPr>
          <w:p w14:paraId="74CEFE6C">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井场及其周围区域</w:t>
            </w:r>
          </w:p>
        </w:tc>
        <w:tc>
          <w:tcPr>
            <w:tcW w:w="505" w:type="pct"/>
            <w:shd w:val="clear" w:color="auto" w:fill="auto"/>
            <w:vAlign w:val="center"/>
          </w:tcPr>
          <w:p w14:paraId="440371D7">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事故情况下</w:t>
            </w:r>
          </w:p>
        </w:tc>
      </w:tr>
      <w:tr w14:paraId="1A57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14:paraId="6B9E76EE">
            <w:pPr>
              <w:adjustRightInd w:val="0"/>
              <w:snapToGrid w:val="0"/>
              <w:jc w:val="center"/>
              <w:textAlignment w:val="center"/>
              <w:rPr>
                <w:rFonts w:ascii="宋体" w:hAnsi="宋体" w:eastAsia="宋体" w:cs="Times New Roman"/>
                <w:color w:val="auto"/>
              </w:rPr>
            </w:pPr>
          </w:p>
        </w:tc>
        <w:tc>
          <w:tcPr>
            <w:tcW w:w="682" w:type="pct"/>
            <w:shd w:val="clear" w:color="auto" w:fill="auto"/>
            <w:vAlign w:val="center"/>
          </w:tcPr>
          <w:p w14:paraId="394566F2">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井场</w:t>
            </w:r>
          </w:p>
        </w:tc>
        <w:tc>
          <w:tcPr>
            <w:tcW w:w="1369" w:type="pct"/>
            <w:shd w:val="clear" w:color="auto" w:fill="auto"/>
            <w:vAlign w:val="center"/>
          </w:tcPr>
          <w:p w14:paraId="368B2DB4">
            <w:pPr>
              <w:adjustRightInd w:val="0"/>
              <w:snapToGrid w:val="0"/>
              <w:jc w:val="center"/>
              <w:textAlignment w:val="center"/>
              <w:rPr>
                <w:rFonts w:ascii="宋体" w:hAnsi="宋体" w:eastAsia="宋体" w:cs="Times New Roman"/>
                <w:color w:val="auto"/>
              </w:rPr>
            </w:pPr>
            <w:r>
              <w:rPr>
                <w:rFonts w:ascii="宋体" w:hAnsi="宋体" w:eastAsia="宋体" w:cs="Times New Roman"/>
                <w:color w:val="auto"/>
              </w:rPr>
              <w:t>非正常工况下，</w:t>
            </w:r>
            <w:r>
              <w:rPr>
                <w:rFonts w:hint="eastAsia" w:ascii="宋体" w:hAnsi="宋体" w:eastAsia="宋体" w:cs="Times New Roman"/>
                <w:color w:val="auto"/>
              </w:rPr>
              <w:t>井下作业期间设废沾油防渗材料破裂导致落地油污染土壤或落地油随雨水间断入渗污染土壤</w:t>
            </w:r>
          </w:p>
        </w:tc>
        <w:tc>
          <w:tcPr>
            <w:tcW w:w="428" w:type="pct"/>
            <w:shd w:val="clear" w:color="auto" w:fill="auto"/>
            <w:vAlign w:val="center"/>
          </w:tcPr>
          <w:p w14:paraId="1465196D">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垂直入渗</w:t>
            </w:r>
          </w:p>
        </w:tc>
        <w:tc>
          <w:tcPr>
            <w:tcW w:w="569" w:type="pct"/>
            <w:shd w:val="clear" w:color="auto" w:fill="auto"/>
            <w:vAlign w:val="center"/>
          </w:tcPr>
          <w:p w14:paraId="058D2592">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石油烃（C</w:t>
            </w:r>
            <w:r>
              <w:rPr>
                <w:rFonts w:hint="eastAsia" w:ascii="宋体" w:hAnsi="宋体" w:eastAsia="宋体" w:cs="Times New Roman"/>
                <w:color w:val="auto"/>
                <w:vertAlign w:val="subscript"/>
              </w:rPr>
              <w:t>10</w:t>
            </w:r>
            <w:r>
              <w:rPr>
                <w:rFonts w:hint="eastAsia" w:ascii="宋体" w:hAnsi="宋体" w:eastAsia="宋体" w:cs="Times New Roman"/>
                <w:color w:val="auto"/>
              </w:rPr>
              <w:t>-C</w:t>
            </w:r>
            <w:r>
              <w:rPr>
                <w:rFonts w:hint="eastAsia" w:ascii="宋体" w:hAnsi="宋体" w:eastAsia="宋体" w:cs="Times New Roman"/>
                <w:color w:val="auto"/>
                <w:vertAlign w:val="subscript"/>
              </w:rPr>
              <w:t>40</w:t>
            </w:r>
            <w:r>
              <w:rPr>
                <w:rFonts w:hint="eastAsia" w:ascii="宋体" w:hAnsi="宋体" w:eastAsia="宋体" w:cs="Times New Roman"/>
                <w:color w:val="auto"/>
              </w:rPr>
              <w:t>）</w:t>
            </w:r>
          </w:p>
        </w:tc>
        <w:tc>
          <w:tcPr>
            <w:tcW w:w="511" w:type="pct"/>
            <w:shd w:val="clear" w:color="auto" w:fill="auto"/>
            <w:vAlign w:val="center"/>
          </w:tcPr>
          <w:p w14:paraId="12E703A5">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表层土壤、深层土壤</w:t>
            </w:r>
          </w:p>
        </w:tc>
        <w:tc>
          <w:tcPr>
            <w:tcW w:w="511" w:type="pct"/>
            <w:shd w:val="clear" w:color="auto" w:fill="auto"/>
            <w:vAlign w:val="center"/>
          </w:tcPr>
          <w:p w14:paraId="43838DDC">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井场及其周围区域</w:t>
            </w:r>
          </w:p>
        </w:tc>
        <w:tc>
          <w:tcPr>
            <w:tcW w:w="505" w:type="pct"/>
            <w:shd w:val="clear" w:color="auto" w:fill="auto"/>
            <w:vAlign w:val="center"/>
          </w:tcPr>
          <w:p w14:paraId="28E5FE40">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事故情况下</w:t>
            </w:r>
          </w:p>
        </w:tc>
      </w:tr>
      <w:tr w14:paraId="357D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shd w:val="clear" w:color="auto" w:fill="auto"/>
            <w:vAlign w:val="center"/>
          </w:tcPr>
          <w:p w14:paraId="2EF2E33D">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退役期</w:t>
            </w:r>
          </w:p>
        </w:tc>
        <w:tc>
          <w:tcPr>
            <w:tcW w:w="682" w:type="pct"/>
            <w:shd w:val="clear" w:color="auto" w:fill="auto"/>
            <w:vAlign w:val="center"/>
          </w:tcPr>
          <w:p w14:paraId="3704778C">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采油设备</w:t>
            </w:r>
          </w:p>
        </w:tc>
        <w:tc>
          <w:tcPr>
            <w:tcW w:w="1369" w:type="pct"/>
            <w:shd w:val="clear" w:color="auto" w:fill="auto"/>
            <w:vAlign w:val="center"/>
          </w:tcPr>
          <w:p w14:paraId="416B0E46">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设备拆除过程可能产生落地油随雨水间断入渗污染土壤</w:t>
            </w:r>
          </w:p>
        </w:tc>
        <w:tc>
          <w:tcPr>
            <w:tcW w:w="428" w:type="pct"/>
            <w:shd w:val="clear" w:color="auto" w:fill="auto"/>
            <w:vAlign w:val="center"/>
          </w:tcPr>
          <w:p w14:paraId="430F7A28">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垂直入渗</w:t>
            </w:r>
          </w:p>
        </w:tc>
        <w:tc>
          <w:tcPr>
            <w:tcW w:w="569" w:type="pct"/>
            <w:shd w:val="clear" w:color="auto" w:fill="auto"/>
            <w:vAlign w:val="center"/>
          </w:tcPr>
          <w:p w14:paraId="43CE2B7F">
            <w:pPr>
              <w:adjustRightInd w:val="0"/>
              <w:snapToGrid w:val="0"/>
              <w:jc w:val="center"/>
              <w:textAlignment w:val="center"/>
              <w:rPr>
                <w:rFonts w:ascii="宋体" w:hAnsi="宋体" w:eastAsia="宋体"/>
                <w:color w:val="auto"/>
              </w:rPr>
            </w:pPr>
            <w:r>
              <w:rPr>
                <w:rFonts w:hint="eastAsia" w:ascii="宋体" w:hAnsi="宋体" w:eastAsia="宋体" w:cs="Times New Roman"/>
                <w:color w:val="auto"/>
              </w:rPr>
              <w:t>石油烃（C</w:t>
            </w:r>
            <w:r>
              <w:rPr>
                <w:rFonts w:hint="eastAsia" w:ascii="宋体" w:hAnsi="宋体" w:eastAsia="宋体" w:cs="Times New Roman"/>
                <w:color w:val="auto"/>
                <w:vertAlign w:val="subscript"/>
              </w:rPr>
              <w:t>10</w:t>
            </w:r>
            <w:r>
              <w:rPr>
                <w:rFonts w:hint="eastAsia" w:ascii="宋体" w:hAnsi="宋体" w:eastAsia="宋体" w:cs="Times New Roman"/>
                <w:color w:val="auto"/>
              </w:rPr>
              <w:t>-C</w:t>
            </w:r>
            <w:r>
              <w:rPr>
                <w:rFonts w:hint="eastAsia" w:ascii="宋体" w:hAnsi="宋体" w:eastAsia="宋体" w:cs="Times New Roman"/>
                <w:color w:val="auto"/>
                <w:vertAlign w:val="subscript"/>
              </w:rPr>
              <w:t>40</w:t>
            </w:r>
            <w:r>
              <w:rPr>
                <w:rFonts w:hint="eastAsia" w:ascii="宋体" w:hAnsi="宋体" w:eastAsia="宋体" w:cs="Times New Roman"/>
                <w:color w:val="auto"/>
              </w:rPr>
              <w:t>）</w:t>
            </w:r>
          </w:p>
        </w:tc>
        <w:tc>
          <w:tcPr>
            <w:tcW w:w="511" w:type="pct"/>
            <w:shd w:val="clear" w:color="auto" w:fill="auto"/>
            <w:vAlign w:val="center"/>
          </w:tcPr>
          <w:p w14:paraId="57676E3E">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表层土壤、深层土壤</w:t>
            </w:r>
          </w:p>
        </w:tc>
        <w:tc>
          <w:tcPr>
            <w:tcW w:w="511" w:type="pct"/>
            <w:shd w:val="clear" w:color="auto" w:fill="auto"/>
            <w:vAlign w:val="center"/>
          </w:tcPr>
          <w:p w14:paraId="35FD28D3">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井场及其周围区域</w:t>
            </w:r>
          </w:p>
        </w:tc>
        <w:tc>
          <w:tcPr>
            <w:tcW w:w="505" w:type="pct"/>
            <w:shd w:val="clear" w:color="auto" w:fill="auto"/>
            <w:vAlign w:val="center"/>
          </w:tcPr>
          <w:p w14:paraId="4C13FA7F">
            <w:pPr>
              <w:adjustRightInd w:val="0"/>
              <w:snapToGrid w:val="0"/>
              <w:jc w:val="center"/>
              <w:textAlignment w:val="center"/>
              <w:rPr>
                <w:rFonts w:ascii="宋体" w:hAnsi="宋体" w:eastAsia="宋体" w:cs="Times New Roman"/>
                <w:color w:val="auto"/>
              </w:rPr>
            </w:pPr>
            <w:r>
              <w:rPr>
                <w:rFonts w:hint="eastAsia" w:ascii="宋体" w:hAnsi="宋体" w:eastAsia="宋体" w:cs="Times New Roman"/>
                <w:color w:val="auto"/>
              </w:rPr>
              <w:t>事故情况下</w:t>
            </w:r>
          </w:p>
        </w:tc>
      </w:tr>
    </w:tbl>
    <w:p w14:paraId="33E6DE8D">
      <w:pPr>
        <w:pStyle w:val="6"/>
        <w:rPr>
          <w:color w:val="auto"/>
        </w:rPr>
      </w:pPr>
      <w:bookmarkStart w:id="1426" w:name="_Toc127192421"/>
      <w:bookmarkStart w:id="1427" w:name="_Toc83209561"/>
      <w:bookmarkStart w:id="1428" w:name="_Toc126863472"/>
      <w:bookmarkStart w:id="1429" w:name="_Toc76976330"/>
      <w:bookmarkStart w:id="1430" w:name="_Toc85640840"/>
      <w:bookmarkStart w:id="1431" w:name="_Toc84929316"/>
      <w:bookmarkStart w:id="1432" w:name="_Toc77067742"/>
      <w:bookmarkStart w:id="1433" w:name="_Toc80588339"/>
      <w:bookmarkStart w:id="1434" w:name="_Toc86142015"/>
      <w:bookmarkStart w:id="1435" w:name="_Toc78816544"/>
      <w:bookmarkStart w:id="1436" w:name="_Toc80971461"/>
      <w:bookmarkStart w:id="1437" w:name="_Toc143099660"/>
      <w:bookmarkStart w:id="1438" w:name="_Toc131167373"/>
      <w:bookmarkStart w:id="1439" w:name="_Toc67860220"/>
      <w:r>
        <w:rPr>
          <w:color w:val="auto"/>
        </w:rPr>
        <w:t>施工期土壤环境影响分析</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3AF49DD7">
      <w:pPr>
        <w:pStyle w:val="276"/>
        <w:widowControl w:val="0"/>
        <w:ind w:firstLine="480"/>
        <w:jc w:val="both"/>
        <w:rPr>
          <w:color w:val="auto"/>
          <w:lang w:bidi="zh-CN"/>
        </w:rPr>
      </w:pPr>
      <w:r>
        <w:rPr>
          <w:rFonts w:hint="eastAsia"/>
          <w:color w:val="auto"/>
        </w:rPr>
        <w:t>（</w:t>
      </w:r>
      <w:r>
        <w:rPr>
          <w:color w:val="auto"/>
          <w:lang w:bidi="zh-CN"/>
        </w:rPr>
        <w:t>1）土壤理化性质影响</w:t>
      </w:r>
    </w:p>
    <w:p w14:paraId="55581A0B">
      <w:pPr>
        <w:pStyle w:val="276"/>
        <w:widowControl w:val="0"/>
        <w:ind w:firstLine="480"/>
        <w:jc w:val="both"/>
        <w:rPr>
          <w:color w:val="auto"/>
          <w:lang w:bidi="zh-CN"/>
        </w:rPr>
      </w:pPr>
      <w:r>
        <w:rPr>
          <w:rFonts w:hint="eastAsia"/>
          <w:color w:val="auto"/>
          <w:lang w:bidi="zh-CN"/>
        </w:rPr>
        <w:t>施工期对土壤理化性质的影响主要是施工期的土石方开挖、施工机械设备碾压等活动，可扰乱土壤表层、破坏土壤结构，这种扰乱和破坏，除了开挖处受到直接的破坏外，挖出土方的堆放将直接占压开挖处附近的土地，破坏土壤表层及其结构。由于表层的团粒结构是经过较长的历史时期形成的，一旦遭到破坏，短期内难以恢复，在生境恶劣的环境下尤其困难。因此，在整个施工过程中，该工程对土壤表层的影响较大。</w:t>
      </w:r>
    </w:p>
    <w:p w14:paraId="2FEC0924">
      <w:pPr>
        <w:pStyle w:val="276"/>
        <w:widowControl w:val="0"/>
        <w:ind w:firstLine="480"/>
        <w:jc w:val="both"/>
        <w:rPr>
          <w:color w:val="auto"/>
          <w:lang w:bidi="zh-CN"/>
        </w:rPr>
      </w:pPr>
      <w:r>
        <w:rPr>
          <w:rFonts w:hint="eastAsia"/>
          <w:color w:val="auto"/>
        </w:rPr>
        <w:t>（</w:t>
      </w:r>
      <w:r>
        <w:rPr>
          <w:color w:val="auto"/>
          <w:lang w:bidi="zh-CN"/>
        </w:rPr>
        <w:t>2）土壤肥力影响</w:t>
      </w:r>
    </w:p>
    <w:p w14:paraId="0D276832">
      <w:pPr>
        <w:pStyle w:val="276"/>
        <w:widowControl w:val="0"/>
        <w:ind w:firstLine="480"/>
        <w:jc w:val="both"/>
        <w:rPr>
          <w:color w:val="auto"/>
          <w:lang w:bidi="zh-CN"/>
        </w:rPr>
      </w:pPr>
      <w:r>
        <w:rPr>
          <w:rFonts w:hint="eastAsia"/>
          <w:color w:val="auto"/>
          <w:lang w:bidi="zh-CN"/>
        </w:rPr>
        <w:t>土地平整的开挖与回填中，将有可能扰动甚至打乱原有土体构型，使土壤养分含量及肥力状况受到影响。根据相关资料，开挖与回填对土壤养分的影响相当明显，即使实行分层堆放、分层回填措施，土壤表土的有机质也将下降</w:t>
      </w:r>
      <w:r>
        <w:rPr>
          <w:color w:val="auto"/>
          <w:lang w:bidi="zh-CN"/>
        </w:rPr>
        <w:t>43%，黏粒含量减少60%～80%，磷下降40%，钾下降43%。但这种影响一般持续2～3年，随时间推移逐渐消失，土壤的肥力将逐渐恢复。</w:t>
      </w:r>
    </w:p>
    <w:p w14:paraId="3BD50FE5">
      <w:pPr>
        <w:pStyle w:val="276"/>
        <w:widowControl w:val="0"/>
        <w:ind w:firstLine="480"/>
        <w:jc w:val="both"/>
        <w:rPr>
          <w:color w:val="auto"/>
          <w:lang w:bidi="zh-CN"/>
        </w:rPr>
      </w:pPr>
      <w:r>
        <w:rPr>
          <w:rFonts w:hint="eastAsia"/>
          <w:color w:val="auto"/>
        </w:rPr>
        <w:t>（</w:t>
      </w:r>
      <w:r>
        <w:rPr>
          <w:color w:val="auto"/>
          <w:lang w:bidi="zh-CN"/>
        </w:rPr>
        <w:t>3）土壤环境质量影响</w:t>
      </w:r>
    </w:p>
    <w:p w14:paraId="77CF93D6">
      <w:pPr>
        <w:pStyle w:val="276"/>
        <w:widowControl w:val="0"/>
        <w:ind w:firstLine="480"/>
        <w:jc w:val="both"/>
        <w:rPr>
          <w:color w:val="auto"/>
          <w:lang w:bidi="zh-CN"/>
        </w:rPr>
      </w:pPr>
      <w:r>
        <w:rPr>
          <w:color w:val="auto"/>
          <w:lang w:bidi="zh-CN"/>
        </w:rPr>
        <w:t>1）钻井过程对土壤环境影响</w:t>
      </w:r>
    </w:p>
    <w:p w14:paraId="71677C2A">
      <w:pPr>
        <w:pStyle w:val="276"/>
        <w:widowControl w:val="0"/>
        <w:ind w:firstLine="480"/>
        <w:jc w:val="both"/>
        <w:rPr>
          <w:color w:val="auto"/>
          <w:lang w:bidi="zh-CN"/>
        </w:rPr>
      </w:pPr>
      <w:r>
        <w:rPr>
          <w:rFonts w:hint="eastAsia"/>
          <w:color w:val="auto"/>
          <w:lang w:bidi="zh-CN"/>
        </w:rPr>
        <w:t>钻井过程会产生废弃泥浆，其主要成分为重晶石、膨润土等，若不集中收集并进行妥善处理，进入土壤后可能会污染土壤表层，影响土壤理化性质，降低土壤肥力等，甚至可能会影响当地的地下水环境。因此，施工时必须对固体废弃物进行统一回收和处置。</w:t>
      </w:r>
    </w:p>
    <w:p w14:paraId="2A13482D">
      <w:pPr>
        <w:pStyle w:val="276"/>
        <w:widowControl w:val="0"/>
        <w:ind w:firstLine="480"/>
        <w:jc w:val="both"/>
        <w:rPr>
          <w:color w:val="auto"/>
          <w:lang w:bidi="zh-CN"/>
        </w:rPr>
      </w:pPr>
      <w:r>
        <w:rPr>
          <w:rFonts w:hint="eastAsia"/>
          <w:color w:val="auto"/>
          <w:lang w:bidi="zh-CN"/>
        </w:rPr>
        <w:t>本项目</w:t>
      </w:r>
      <w:r>
        <w:rPr>
          <w:color w:val="auto"/>
          <w:lang w:bidi="zh-CN"/>
        </w:rPr>
        <w:t>钻井工程全程泥浆不落地，废弃泥浆直接进入井场水基钢制泥浆槽，废弃油基泥浆进入井场油基钢制泥浆槽，废弃泥浆均由罐车外运处置，从而阻隔泥浆与建设用地土壤直接接触。在采取了上述措施后，井场废钻井泥浆不会对土壤环境产生影响。</w:t>
      </w:r>
    </w:p>
    <w:p w14:paraId="40C4B5FF">
      <w:pPr>
        <w:pStyle w:val="276"/>
        <w:widowControl w:val="0"/>
        <w:ind w:firstLine="480"/>
        <w:jc w:val="both"/>
        <w:rPr>
          <w:color w:val="auto"/>
          <w:lang w:bidi="zh-CN"/>
        </w:rPr>
      </w:pPr>
      <w:r>
        <w:rPr>
          <w:color w:val="auto"/>
          <w:lang w:bidi="zh-CN"/>
        </w:rPr>
        <w:t>2）施工期废弃物对</w:t>
      </w:r>
      <w:r>
        <w:rPr>
          <w:color w:val="auto"/>
        </w:rPr>
        <w:t>土壤环境质量</w:t>
      </w:r>
      <w:r>
        <w:rPr>
          <w:color w:val="auto"/>
          <w:lang w:bidi="zh-CN"/>
        </w:rPr>
        <w:t>影响</w:t>
      </w:r>
    </w:p>
    <w:p w14:paraId="5586D4B2">
      <w:pPr>
        <w:pStyle w:val="276"/>
        <w:widowControl w:val="0"/>
        <w:ind w:firstLine="480"/>
        <w:jc w:val="both"/>
        <w:rPr>
          <w:color w:val="auto"/>
          <w:lang w:bidi="zh-CN"/>
        </w:rPr>
      </w:pPr>
      <w:r>
        <w:rPr>
          <w:rFonts w:hint="eastAsia"/>
          <w:color w:val="auto"/>
          <w:lang w:bidi="zh-CN"/>
        </w:rPr>
        <w:t>施工期对</w:t>
      </w:r>
      <w:r>
        <w:rPr>
          <w:rFonts w:hint="eastAsia"/>
          <w:color w:val="auto"/>
        </w:rPr>
        <w:t>土壤环境质量</w:t>
      </w:r>
      <w:r>
        <w:rPr>
          <w:rFonts w:hint="eastAsia"/>
          <w:color w:val="auto"/>
          <w:lang w:bidi="zh-CN"/>
        </w:rPr>
        <w:t>的影响主要是施工期间的固体废物堆存及施工设备漏油等，造成污染物进入土壤环境。</w:t>
      </w:r>
    </w:p>
    <w:p w14:paraId="309AA16F">
      <w:pPr>
        <w:pStyle w:val="276"/>
        <w:widowControl w:val="0"/>
        <w:ind w:firstLine="480"/>
        <w:jc w:val="both"/>
        <w:rPr>
          <w:color w:val="auto"/>
          <w:lang w:bidi="zh-CN"/>
        </w:rPr>
      </w:pPr>
      <w:r>
        <w:rPr>
          <w:rFonts w:hint="eastAsia"/>
          <w:color w:val="auto"/>
          <w:lang w:bidi="zh-CN"/>
        </w:rPr>
        <w:t>施工过程固体废物可能含有难以生物降解的物质，如不妥善管理，回填入土，将影响土壤质量，因此，施工时必须对固体废物进行严格管理，统一回收和专门处理，不得随意抛撒。正常情况下，施工中不应有施工机械的含油污水产生，但在机械的维修过程中可能产生污油。因此，在机械维修时，应把产生的污油收集，集中处理，避免污染环境；平时使用中要注意施工机械的</w:t>
      </w:r>
      <w:r>
        <w:rPr>
          <w:rFonts w:hint="eastAsia"/>
          <w:color w:val="auto"/>
        </w:rPr>
        <w:t>维护</w:t>
      </w:r>
      <w:r>
        <w:rPr>
          <w:rFonts w:hint="eastAsia"/>
          <w:color w:val="auto"/>
          <w:lang w:bidi="zh-CN"/>
        </w:rPr>
        <w:t>，防止漏油事故的发生。</w:t>
      </w:r>
    </w:p>
    <w:p w14:paraId="372FE0F6">
      <w:pPr>
        <w:pStyle w:val="276"/>
        <w:widowControl w:val="0"/>
        <w:ind w:firstLine="480"/>
        <w:jc w:val="both"/>
        <w:rPr>
          <w:color w:val="auto"/>
          <w:lang w:bidi="zh-CN"/>
        </w:rPr>
      </w:pPr>
      <w:r>
        <w:rPr>
          <w:rFonts w:hint="eastAsia"/>
          <w:color w:val="auto"/>
          <w:lang w:bidi="zh-CN"/>
        </w:rPr>
        <w:t>采取上述措施后，施工期废弃物基本不会对项目区土壤环境造成影响。</w:t>
      </w:r>
    </w:p>
    <w:p w14:paraId="42D61BB4">
      <w:pPr>
        <w:pStyle w:val="6"/>
        <w:rPr>
          <w:color w:val="auto"/>
        </w:rPr>
      </w:pPr>
      <w:bookmarkStart w:id="1440" w:name="_Toc80588340"/>
      <w:bookmarkStart w:id="1441" w:name="_Toc77067743"/>
      <w:bookmarkStart w:id="1442" w:name="_Toc85640841"/>
      <w:bookmarkStart w:id="1443" w:name="_Toc84929317"/>
      <w:bookmarkStart w:id="1444" w:name="_Toc143099661"/>
      <w:bookmarkStart w:id="1445" w:name="_Toc86142016"/>
      <w:bookmarkStart w:id="1446" w:name="_Toc80971462"/>
      <w:bookmarkStart w:id="1447" w:name="_Toc127192422"/>
      <w:bookmarkStart w:id="1448" w:name="_Toc76976331"/>
      <w:bookmarkStart w:id="1449" w:name="_Toc131167374"/>
      <w:bookmarkStart w:id="1450" w:name="_Toc83209562"/>
      <w:bookmarkStart w:id="1451" w:name="_Toc78816545"/>
      <w:bookmarkStart w:id="1452" w:name="_Toc126863473"/>
      <w:r>
        <w:rPr>
          <w:color w:val="auto"/>
        </w:rPr>
        <w:t>运营期土壤环境影响预测与分析</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2AF1962B">
      <w:pPr>
        <w:pStyle w:val="276"/>
        <w:widowControl w:val="0"/>
        <w:ind w:firstLine="480"/>
        <w:jc w:val="both"/>
        <w:rPr>
          <w:color w:val="auto"/>
        </w:rPr>
      </w:pPr>
      <w:r>
        <w:rPr>
          <w:rFonts w:hint="eastAsia"/>
          <w:color w:val="auto"/>
        </w:rPr>
        <w:t>根据《环境</w:t>
      </w:r>
      <w:r>
        <w:rPr>
          <w:color w:val="auto"/>
        </w:rPr>
        <w:t>影响评价技术导则</w:t>
      </w:r>
      <w:r>
        <w:rPr>
          <w:rFonts w:hint="eastAsia"/>
          <w:color w:val="auto"/>
        </w:rPr>
        <w:t>土壤环境</w:t>
      </w:r>
      <w:r>
        <w:rPr>
          <w:color w:val="auto"/>
        </w:rPr>
        <w:t>（</w:t>
      </w:r>
      <w:r>
        <w:rPr>
          <w:rFonts w:hint="eastAsia"/>
          <w:color w:val="auto"/>
        </w:rPr>
        <w:t>试行</w:t>
      </w:r>
      <w:r>
        <w:rPr>
          <w:color w:val="auto"/>
        </w:rPr>
        <w:t>）</w:t>
      </w:r>
      <w:r>
        <w:rPr>
          <w:rFonts w:hint="eastAsia"/>
          <w:color w:val="auto"/>
        </w:rPr>
        <w:t>》（HJ964-2018）中8</w:t>
      </w:r>
      <w:r>
        <w:rPr>
          <w:color w:val="auto"/>
        </w:rPr>
        <w:t>.7.3</w:t>
      </w:r>
      <w:r>
        <w:rPr>
          <w:rFonts w:hint="eastAsia"/>
          <w:color w:val="auto"/>
        </w:rPr>
        <w:t>污染影响型建设项目，评价工作等级为一级、二级的，预测方法可参考附录E或进行类比分析。本项目土壤污染影响型评价工作等级为一级，本次主要从实际现状监测角度、文献资料调研角度以及参考附录E对土壤环境影响预测等三个方面分析运营期对土壤环境影响。</w:t>
      </w:r>
    </w:p>
    <w:p w14:paraId="111AB7EE">
      <w:pPr>
        <w:pStyle w:val="276"/>
        <w:widowControl w:val="0"/>
        <w:ind w:firstLine="480"/>
        <w:jc w:val="both"/>
        <w:rPr>
          <w:color w:val="auto"/>
        </w:rPr>
      </w:pPr>
      <w:r>
        <w:rPr>
          <w:rFonts w:hint="eastAsia"/>
          <w:color w:val="auto"/>
        </w:rPr>
        <w:t>（1）实际现状监测结果</w:t>
      </w:r>
    </w:p>
    <w:p w14:paraId="490EE3CD">
      <w:pPr>
        <w:pStyle w:val="276"/>
        <w:widowControl w:val="0"/>
        <w:ind w:firstLine="468"/>
        <w:jc w:val="both"/>
        <w:rPr>
          <w:color w:val="auto"/>
          <w:spacing w:val="-3"/>
        </w:rPr>
      </w:pPr>
      <w:r>
        <w:rPr>
          <w:rFonts w:hint="eastAsia"/>
          <w:color w:val="auto"/>
          <w:spacing w:val="-3"/>
        </w:rPr>
        <w:t>根据</w:t>
      </w:r>
      <w:r>
        <w:rPr>
          <w:rFonts w:hint="eastAsia"/>
          <w:color w:val="auto"/>
        </w:rPr>
        <w:t>《肇源油田源</w:t>
      </w:r>
      <w:r>
        <w:rPr>
          <w:color w:val="auto"/>
        </w:rPr>
        <w:t>212区块扶余油层2022年产能建设工程竣工环境保护验收调查报告》</w:t>
      </w:r>
      <w:r>
        <w:rPr>
          <w:color w:val="auto"/>
          <w:spacing w:val="-3"/>
        </w:rPr>
        <w:t>（2025年）中对1#平台占地范围内、外的土壤监测结果，监测报告编号：BSJC-250422-0951，监测单位：博思百睿检测评价技术服务有限公司，监测时间2025年4月26日，根据监测结果，井场永久占地内土壤满足《土壤环境质量 建设用地土壤污染风险管控标准（试行）》（GB36600-2018）中第二类用地筛选值标准，占地外农用地土壤满足《土壤环境质量 农用地土壤污染风险管控标准（试行）》（GB15618-2018）基本项目筛</w:t>
      </w:r>
      <w:r>
        <w:rPr>
          <w:rFonts w:hint="eastAsia"/>
          <w:color w:val="auto"/>
          <w:spacing w:val="-3"/>
        </w:rPr>
        <w:t>选值标准，现有工程在运行阶段未对区域土壤产生明显影响。</w:t>
      </w:r>
    </w:p>
    <w:p w14:paraId="5B460E1B">
      <w:pPr>
        <w:pStyle w:val="276"/>
        <w:widowControl w:val="0"/>
        <w:ind w:firstLine="480"/>
        <w:jc w:val="both"/>
        <w:rPr>
          <w:color w:val="auto"/>
        </w:rPr>
      </w:pPr>
      <w:r>
        <w:rPr>
          <w:rFonts w:hint="eastAsia"/>
          <w:color w:val="auto"/>
        </w:rPr>
        <w:t>（2）文献</w:t>
      </w:r>
      <w:r>
        <w:rPr>
          <w:color w:val="auto"/>
        </w:rPr>
        <w:t>资料调研</w:t>
      </w:r>
      <w:r>
        <w:rPr>
          <w:rFonts w:hint="eastAsia"/>
          <w:color w:val="auto"/>
        </w:rPr>
        <w:t>结果</w:t>
      </w:r>
    </w:p>
    <w:p w14:paraId="29980B76">
      <w:pPr>
        <w:pStyle w:val="276"/>
        <w:widowControl w:val="0"/>
        <w:ind w:firstLine="480"/>
        <w:jc w:val="both"/>
        <w:rPr>
          <w:color w:val="auto"/>
        </w:rPr>
      </w:pPr>
      <w:r>
        <w:rPr>
          <w:rFonts w:hint="eastAsia"/>
          <w:color w:val="auto"/>
        </w:rPr>
        <w:t>参考《某油田采油区土壤污染及土壤环境质量评价》（《环境工程》，2015年02期）对石油类污染物在土壤中的迁移规律</w:t>
      </w:r>
      <w:r>
        <w:rPr>
          <w:color w:val="auto"/>
        </w:rPr>
        <w:t>研究成果</w:t>
      </w:r>
      <w:r>
        <w:rPr>
          <w:rFonts w:hint="eastAsia"/>
          <w:color w:val="auto"/>
        </w:rPr>
        <w:t>，石油类有机污染物主要在表层土壤中聚集，平均9</w:t>
      </w:r>
      <w:r>
        <w:rPr>
          <w:color w:val="auto"/>
        </w:rPr>
        <w:t>0</w:t>
      </w:r>
      <w:r>
        <w:rPr>
          <w:rFonts w:hint="eastAsia"/>
          <w:color w:val="auto"/>
        </w:rPr>
        <w:t>%以上的石油残留在2</w:t>
      </w:r>
      <w:r>
        <w:rPr>
          <w:color w:val="auto"/>
        </w:rPr>
        <w:t>0cm</w:t>
      </w:r>
      <w:r>
        <w:rPr>
          <w:rFonts w:hint="eastAsia"/>
          <w:color w:val="auto"/>
        </w:rPr>
        <w:t>以上的土层内。土壤中重金属元素较难发生迁移，因此，当重金属输入土壤后，总是停留在表土或亚表土，很小迁入土壤底层，这一现象称为土壤是否受到重金属污染的一种鉴定特征。</w:t>
      </w:r>
    </w:p>
    <w:p w14:paraId="48FC65B0">
      <w:pPr>
        <w:pStyle w:val="276"/>
        <w:widowControl w:val="0"/>
        <w:ind w:firstLine="480"/>
        <w:jc w:val="both"/>
        <w:rPr>
          <w:color w:val="auto"/>
        </w:rPr>
      </w:pPr>
      <w:r>
        <w:rPr>
          <w:rFonts w:hint="eastAsia"/>
          <w:color w:val="auto"/>
        </w:rPr>
        <w:t>参考《石油类污染物在陇东黄土塬区土壤中迁移的模拟试验研究》（《环境科学学报》，2012年02期）的</w:t>
      </w:r>
      <w:r>
        <w:rPr>
          <w:color w:val="auto"/>
        </w:rPr>
        <w:t>研究成果，</w:t>
      </w:r>
      <w:r>
        <w:rPr>
          <w:rFonts w:hint="eastAsia"/>
          <w:color w:val="auto"/>
        </w:rPr>
        <w:t>研究区石油污染物主要集中在表层（</w:t>
      </w:r>
      <w:r>
        <w:rPr>
          <w:color w:val="auto"/>
        </w:rPr>
        <w:t>30cm</w:t>
      </w:r>
      <w:r>
        <w:rPr>
          <w:rFonts w:hint="eastAsia"/>
          <w:color w:val="auto"/>
        </w:rPr>
        <w:t>以内）土壤，且随着深度增加，有机物含量迅速降低，黄土对石油类污染物有很强的截留能力，在0～10cm的表层其截流率可达80%以上。另外，随着深度的增加污染物各组分含量迅速降低，饱和烃、芳烃、非烃组分在100cm土柱中的迁移变化趋势一致，即：表层0～5cm处最高，次表层5～20cm之间迅速下降，20～85cm之间缓慢下降，85cm以下几乎接近于零，各组分在土壤中迁移呈负指数方程式下降趋势。</w:t>
      </w:r>
    </w:p>
    <w:p w14:paraId="15D5F725">
      <w:pPr>
        <w:pStyle w:val="276"/>
        <w:widowControl w:val="0"/>
        <w:ind w:firstLine="480"/>
        <w:jc w:val="both"/>
        <w:rPr>
          <w:color w:val="auto"/>
        </w:rPr>
      </w:pPr>
      <w:r>
        <w:rPr>
          <w:rFonts w:hint="eastAsia"/>
          <w:color w:val="auto"/>
        </w:rPr>
        <w:t>参考《石油类污染物在土壤中的迁移渗透规律》（《石油大学学报（自然科学版）》，20</w:t>
      </w:r>
      <w:r>
        <w:rPr>
          <w:color w:val="auto"/>
        </w:rPr>
        <w:t>00</w:t>
      </w:r>
      <w:r>
        <w:rPr>
          <w:rFonts w:hint="eastAsia"/>
          <w:color w:val="auto"/>
        </w:rPr>
        <w:t>年0</w:t>
      </w:r>
      <w:r>
        <w:rPr>
          <w:color w:val="auto"/>
        </w:rPr>
        <w:t>3</w:t>
      </w:r>
      <w:r>
        <w:rPr>
          <w:rFonts w:hint="eastAsia"/>
          <w:color w:val="auto"/>
        </w:rPr>
        <w:t>期）的</w:t>
      </w:r>
      <w:r>
        <w:rPr>
          <w:color w:val="auto"/>
        </w:rPr>
        <w:t>研究成果</w:t>
      </w:r>
      <w:r>
        <w:rPr>
          <w:rFonts w:hint="eastAsia"/>
          <w:color w:val="auto"/>
        </w:rPr>
        <w:t>，在历时100d污水浇柱之后，未见石油类物质有明显的迁移渗透。从石油类物质的沿程浓度分布看，石油类物质主要集中在0～25cm的土壤表层，从沿程截留分布看，黏土层的截留率在70%～90%，砂土层为20%～50%。</w:t>
      </w:r>
    </w:p>
    <w:p w14:paraId="4C76F0A0">
      <w:pPr>
        <w:pStyle w:val="276"/>
        <w:widowControl w:val="0"/>
        <w:ind w:firstLine="480"/>
        <w:jc w:val="both"/>
        <w:rPr>
          <w:color w:val="auto"/>
        </w:rPr>
      </w:pPr>
      <w:r>
        <w:rPr>
          <w:rFonts w:hint="eastAsia"/>
          <w:color w:val="auto"/>
        </w:rPr>
        <w:t>综上，对文献资料调研结果可知：发生泄漏后，石油烃（</w:t>
      </w:r>
      <w:r>
        <w:rPr>
          <w:rFonts w:hint="eastAsia" w:cs="Calibri"/>
          <w:color w:val="auto"/>
          <w:sz w:val="21"/>
        </w:rPr>
        <w:t>C</w:t>
      </w:r>
      <w:r>
        <w:rPr>
          <w:rFonts w:hint="eastAsia" w:cs="Calibri"/>
          <w:color w:val="auto"/>
          <w:sz w:val="21"/>
          <w:vertAlign w:val="subscript"/>
        </w:rPr>
        <w:t>10</w:t>
      </w:r>
      <w:r>
        <w:rPr>
          <w:rFonts w:hint="eastAsia"/>
          <w:color w:val="auto"/>
        </w:rPr>
        <w:t>～</w:t>
      </w:r>
      <w:r>
        <w:rPr>
          <w:rFonts w:hint="eastAsia" w:cs="Calibri"/>
          <w:color w:val="auto"/>
          <w:sz w:val="21"/>
        </w:rPr>
        <w:t>C</w:t>
      </w:r>
      <w:r>
        <w:rPr>
          <w:rFonts w:hint="eastAsia" w:cs="Calibri"/>
          <w:color w:val="auto"/>
          <w:sz w:val="21"/>
          <w:vertAlign w:val="subscript"/>
        </w:rPr>
        <w:t>40</w:t>
      </w:r>
      <w:r>
        <w:rPr>
          <w:rFonts w:hint="eastAsia"/>
          <w:color w:val="auto"/>
        </w:rPr>
        <w:t>）最先污染表层土壤，主要积聚</w:t>
      </w:r>
      <w:r>
        <w:rPr>
          <w:color w:val="auto"/>
        </w:rPr>
        <w:t>在</w:t>
      </w:r>
      <w:r>
        <w:rPr>
          <w:rFonts w:hint="eastAsia"/>
          <w:color w:val="auto"/>
        </w:rPr>
        <w:t>土壤表层</w:t>
      </w:r>
      <w:r>
        <w:rPr>
          <w:color w:val="auto"/>
        </w:rPr>
        <w:t>30cm</w:t>
      </w:r>
      <w:r>
        <w:rPr>
          <w:rFonts w:hint="eastAsia"/>
          <w:color w:val="auto"/>
        </w:rPr>
        <w:t>以内</w:t>
      </w:r>
      <w:r>
        <w:rPr>
          <w:color w:val="auto"/>
        </w:rPr>
        <w:t>，</w:t>
      </w:r>
      <w:r>
        <w:rPr>
          <w:rFonts w:hint="eastAsia"/>
          <w:color w:val="auto"/>
        </w:rPr>
        <w:t>一般很难</w:t>
      </w:r>
      <w:r>
        <w:rPr>
          <w:color w:val="auto"/>
        </w:rPr>
        <w:t>渗</w:t>
      </w:r>
      <w:r>
        <w:rPr>
          <w:rFonts w:hint="eastAsia"/>
          <w:color w:val="auto"/>
        </w:rPr>
        <w:t>入</w:t>
      </w:r>
      <w:r>
        <w:rPr>
          <w:color w:val="auto"/>
        </w:rPr>
        <w:t>到</w:t>
      </w:r>
      <w:r>
        <w:rPr>
          <w:rFonts w:hint="eastAsia"/>
          <w:color w:val="auto"/>
        </w:rPr>
        <w:t>2</w:t>
      </w:r>
      <w:r>
        <w:rPr>
          <w:color w:val="auto"/>
        </w:rPr>
        <w:t>m</w:t>
      </w:r>
      <w:r>
        <w:rPr>
          <w:rFonts w:hint="eastAsia"/>
          <w:color w:val="auto"/>
        </w:rPr>
        <w:t>以下。另外，泄漏出来</w:t>
      </w:r>
      <w:r>
        <w:rPr>
          <w:color w:val="auto"/>
        </w:rPr>
        <w:t>的</w:t>
      </w:r>
      <w:r>
        <w:rPr>
          <w:rFonts w:hint="eastAsia"/>
          <w:color w:val="auto"/>
        </w:rPr>
        <w:t>石油烃（</w:t>
      </w:r>
      <w:r>
        <w:rPr>
          <w:rFonts w:hint="eastAsia" w:cs="Calibri"/>
          <w:color w:val="auto"/>
          <w:sz w:val="21"/>
        </w:rPr>
        <w:t>C</w:t>
      </w:r>
      <w:r>
        <w:rPr>
          <w:rFonts w:hint="eastAsia" w:cs="Calibri"/>
          <w:color w:val="auto"/>
          <w:sz w:val="21"/>
          <w:vertAlign w:val="subscript"/>
        </w:rPr>
        <w:t>10</w:t>
      </w:r>
      <w:r>
        <w:rPr>
          <w:rFonts w:hint="eastAsia"/>
          <w:color w:val="auto"/>
        </w:rPr>
        <w:t>～</w:t>
      </w:r>
      <w:r>
        <w:rPr>
          <w:rFonts w:hint="eastAsia" w:cs="Calibri"/>
          <w:color w:val="auto"/>
          <w:sz w:val="21"/>
        </w:rPr>
        <w:t>C</w:t>
      </w:r>
      <w:r>
        <w:rPr>
          <w:rFonts w:hint="eastAsia" w:cs="Calibri"/>
          <w:color w:val="auto"/>
          <w:sz w:val="21"/>
          <w:vertAlign w:val="subscript"/>
        </w:rPr>
        <w:t>40</w:t>
      </w:r>
      <w:r>
        <w:rPr>
          <w:rFonts w:hint="eastAsia"/>
          <w:color w:val="auto"/>
        </w:rPr>
        <w:t>）在表土会</w:t>
      </w:r>
      <w:r>
        <w:rPr>
          <w:color w:val="auto"/>
        </w:rPr>
        <w:t>蒸发</w:t>
      </w:r>
      <w:r>
        <w:rPr>
          <w:rFonts w:hint="eastAsia"/>
          <w:color w:val="auto"/>
        </w:rPr>
        <w:t>，</w:t>
      </w:r>
      <w:r>
        <w:rPr>
          <w:color w:val="auto"/>
        </w:rPr>
        <w:t>其</w:t>
      </w:r>
      <w:r>
        <w:rPr>
          <w:rFonts w:hint="eastAsia"/>
          <w:color w:val="auto"/>
        </w:rPr>
        <w:t>蒸发量与时间呈负指数相关，随着</w:t>
      </w:r>
      <w:r>
        <w:rPr>
          <w:color w:val="auto"/>
        </w:rPr>
        <w:t>时间推移</w:t>
      </w:r>
      <w:r>
        <w:rPr>
          <w:rFonts w:hint="eastAsia"/>
          <w:color w:val="auto"/>
        </w:rPr>
        <w:t>，其在土壤表面多呈黏稠状，甚至</w:t>
      </w:r>
      <w:r>
        <w:rPr>
          <w:color w:val="auto"/>
        </w:rPr>
        <w:t>在地表结</w:t>
      </w:r>
      <w:r>
        <w:rPr>
          <w:rFonts w:hint="eastAsia"/>
          <w:color w:val="auto"/>
        </w:rPr>
        <w:t>成</w:t>
      </w:r>
      <w:r>
        <w:rPr>
          <w:color w:val="auto"/>
        </w:rPr>
        <w:t>油饼</w:t>
      </w:r>
      <w:r>
        <w:rPr>
          <w:rFonts w:hint="eastAsia"/>
          <w:color w:val="auto"/>
        </w:rPr>
        <w:t>，</w:t>
      </w:r>
      <w:r>
        <w:rPr>
          <w:color w:val="auto"/>
        </w:rPr>
        <w:t>集中收集后</w:t>
      </w:r>
      <w:r>
        <w:rPr>
          <w:rFonts w:hint="eastAsia"/>
          <w:color w:val="auto"/>
        </w:rPr>
        <w:t>委托有危废处理资质单位进行处理。但落地油积存于表层会影响表层土壤通透性，影响土壤养分的释放，降低土壤动物及微生物的活性，使土壤的综合肥力下降，最终影响植物根系的呼吸作用和吸收作用。</w:t>
      </w:r>
    </w:p>
    <w:p w14:paraId="09FA0E15">
      <w:pPr>
        <w:pStyle w:val="276"/>
        <w:widowControl w:val="0"/>
        <w:ind w:firstLine="480"/>
        <w:jc w:val="both"/>
        <w:rPr>
          <w:color w:val="auto"/>
        </w:rPr>
      </w:pPr>
      <w:r>
        <w:rPr>
          <w:rFonts w:hint="eastAsia"/>
          <w:color w:val="auto"/>
        </w:rPr>
        <w:t>（3）土壤环境影响预测</w:t>
      </w:r>
    </w:p>
    <w:p w14:paraId="58FAFAF1">
      <w:pPr>
        <w:pStyle w:val="276"/>
        <w:widowControl w:val="0"/>
        <w:ind w:firstLine="480"/>
        <w:jc w:val="both"/>
        <w:rPr>
          <w:color w:val="auto"/>
        </w:rPr>
      </w:pPr>
      <w:r>
        <w:rPr>
          <w:rFonts w:hint="eastAsia"/>
          <w:color w:val="auto"/>
        </w:rPr>
        <w:t>本次重点预测集油管道泄漏对土壤环境影响。</w:t>
      </w:r>
    </w:p>
    <w:p w14:paraId="2F79DC0C">
      <w:pPr>
        <w:pStyle w:val="276"/>
        <w:widowControl w:val="0"/>
        <w:ind w:firstLine="480"/>
        <w:jc w:val="both"/>
        <w:rPr>
          <w:color w:val="auto"/>
        </w:rPr>
      </w:pPr>
      <w:r>
        <w:rPr>
          <w:rFonts w:hint="eastAsia"/>
          <w:color w:val="auto"/>
        </w:rPr>
        <w:t>1）预测评价区</w:t>
      </w:r>
    </w:p>
    <w:p w14:paraId="70FB92CC">
      <w:pPr>
        <w:pStyle w:val="276"/>
        <w:widowControl w:val="0"/>
        <w:ind w:firstLine="480"/>
        <w:jc w:val="both"/>
        <w:rPr>
          <w:color w:val="auto"/>
        </w:rPr>
      </w:pPr>
      <w:r>
        <w:rPr>
          <w:rFonts w:hint="eastAsia"/>
          <w:color w:val="auto"/>
        </w:rPr>
        <w:t>与现状调查评价区一致。</w:t>
      </w:r>
    </w:p>
    <w:p w14:paraId="7E3B7F29">
      <w:pPr>
        <w:pStyle w:val="276"/>
        <w:widowControl w:val="0"/>
        <w:ind w:firstLine="480"/>
        <w:jc w:val="both"/>
        <w:rPr>
          <w:color w:val="auto"/>
        </w:rPr>
      </w:pPr>
      <w:r>
        <w:rPr>
          <w:rFonts w:hint="eastAsia"/>
          <w:color w:val="auto"/>
        </w:rPr>
        <w:t>2）预测评价时段</w:t>
      </w:r>
    </w:p>
    <w:p w14:paraId="4B8A4D31">
      <w:pPr>
        <w:pStyle w:val="276"/>
        <w:widowControl w:val="0"/>
        <w:ind w:firstLine="480"/>
        <w:jc w:val="both"/>
        <w:rPr>
          <w:color w:val="auto"/>
        </w:rPr>
      </w:pPr>
      <w:r>
        <w:rPr>
          <w:rFonts w:hint="eastAsia"/>
          <w:color w:val="auto"/>
        </w:rPr>
        <w:t>重点预测时段为运营期。</w:t>
      </w:r>
    </w:p>
    <w:p w14:paraId="13C0300A">
      <w:pPr>
        <w:pStyle w:val="276"/>
        <w:widowControl w:val="0"/>
        <w:ind w:firstLine="480"/>
        <w:jc w:val="both"/>
        <w:rPr>
          <w:color w:val="auto"/>
        </w:rPr>
      </w:pPr>
      <w:r>
        <w:rPr>
          <w:rFonts w:hint="eastAsia"/>
          <w:color w:val="auto"/>
        </w:rPr>
        <w:t>3）情景设定</w:t>
      </w:r>
    </w:p>
    <w:p w14:paraId="4EFF9DF0">
      <w:pPr>
        <w:pStyle w:val="276"/>
        <w:widowControl w:val="0"/>
        <w:ind w:firstLine="480"/>
        <w:jc w:val="both"/>
        <w:rPr>
          <w:color w:val="auto"/>
        </w:rPr>
      </w:pPr>
      <w:r>
        <w:rPr>
          <w:rFonts w:hint="eastAsia"/>
          <w:color w:val="auto"/>
        </w:rPr>
        <w:t>①正常工况</w:t>
      </w:r>
    </w:p>
    <w:p w14:paraId="3F5AE3C4">
      <w:pPr>
        <w:pStyle w:val="276"/>
        <w:widowControl w:val="0"/>
        <w:ind w:firstLine="480"/>
        <w:jc w:val="both"/>
        <w:rPr>
          <w:color w:val="auto"/>
        </w:rPr>
      </w:pPr>
      <w:r>
        <w:rPr>
          <w:rFonts w:hint="eastAsia"/>
          <w:color w:val="auto"/>
        </w:rPr>
        <w:t>正常工况下，井下作业过程等可视场所若发生渗漏，可立即采取措施，根据建设单位多年运行经验，使用船型围堰的情况下，井下作业落地油回收率可达</w:t>
      </w:r>
      <w:r>
        <w:rPr>
          <w:color w:val="auto"/>
        </w:rPr>
        <w:t>100%</w:t>
      </w:r>
      <w:r>
        <w:rPr>
          <w:rFonts w:hint="eastAsia"/>
          <w:color w:val="auto"/>
        </w:rPr>
        <w:t>。</w:t>
      </w:r>
    </w:p>
    <w:p w14:paraId="1CE0BF68">
      <w:pPr>
        <w:pStyle w:val="276"/>
        <w:widowControl w:val="0"/>
        <w:ind w:firstLine="480"/>
        <w:jc w:val="both"/>
        <w:rPr>
          <w:color w:val="auto"/>
        </w:rPr>
      </w:pPr>
      <w:r>
        <w:rPr>
          <w:rFonts w:hint="eastAsia"/>
          <w:color w:val="auto"/>
        </w:rPr>
        <w:t>②非正常工况</w:t>
      </w:r>
    </w:p>
    <w:p w14:paraId="751BAD27">
      <w:pPr>
        <w:pStyle w:val="276"/>
        <w:widowControl w:val="0"/>
        <w:ind w:firstLine="480"/>
        <w:jc w:val="both"/>
        <w:rPr>
          <w:color w:val="auto"/>
        </w:rPr>
      </w:pPr>
      <w:r>
        <w:rPr>
          <w:rFonts w:hint="eastAsia"/>
          <w:color w:val="auto"/>
        </w:rPr>
        <w:t>在实际生产过程中，井场内有实时视频监控，加之现场有值班人员巡视，发现若出现严重泄漏时会及时采取关停措施，关停时间一般不超过</w:t>
      </w:r>
      <w:r>
        <w:rPr>
          <w:color w:val="auto"/>
        </w:rPr>
        <w:t>30min</w:t>
      </w:r>
      <w:r>
        <w:rPr>
          <w:rFonts w:hint="eastAsia"/>
          <w:color w:val="auto"/>
        </w:rPr>
        <w:t>，污染土壤及时清运的情况下，污染物通常不会继续下渗，造成进一步污染。本次土壤污染预测情景主要针对非正常工况，因拟建管线全部为井场内单井集油管线（井口至多功能罐），长度相同，本次评价选取其中任意一条</w:t>
      </w:r>
      <w:r>
        <w:rPr>
          <w:color w:val="auto"/>
        </w:rPr>
        <w:t>集油管线</w:t>
      </w:r>
      <w:r>
        <w:rPr>
          <w:rFonts w:hint="eastAsia"/>
          <w:color w:val="auto"/>
        </w:rPr>
        <w:t>进行预测，情景设定为集油管线开裂或因腐蚀磨损等发生小孔泄漏，难以发现，导致采出液长期渗漏污染土壤。</w:t>
      </w:r>
    </w:p>
    <w:p w14:paraId="41CEB019">
      <w:pPr>
        <w:pStyle w:val="276"/>
        <w:widowControl w:val="0"/>
        <w:ind w:firstLine="480"/>
        <w:jc w:val="both"/>
        <w:rPr>
          <w:color w:val="auto"/>
        </w:rPr>
      </w:pPr>
      <w:r>
        <w:rPr>
          <w:color w:val="auto"/>
        </w:rPr>
        <w:t>4</w:t>
      </w:r>
      <w:r>
        <w:rPr>
          <w:rFonts w:hint="eastAsia"/>
          <w:color w:val="auto"/>
        </w:rPr>
        <w:t>）预测因子</w:t>
      </w:r>
    </w:p>
    <w:p w14:paraId="31467D88">
      <w:pPr>
        <w:pStyle w:val="276"/>
        <w:widowControl w:val="0"/>
        <w:ind w:firstLine="480"/>
        <w:jc w:val="both"/>
        <w:rPr>
          <w:color w:val="auto"/>
        </w:rPr>
      </w:pPr>
      <w:r>
        <w:rPr>
          <w:rFonts w:hint="eastAsia"/>
          <w:color w:val="auto"/>
        </w:rPr>
        <w:t>选择特征因子石油类进行影响预测。</w:t>
      </w:r>
    </w:p>
    <w:p w14:paraId="784AAB10">
      <w:pPr>
        <w:pStyle w:val="276"/>
        <w:widowControl w:val="0"/>
        <w:ind w:firstLine="480"/>
        <w:jc w:val="both"/>
        <w:rPr>
          <w:color w:val="auto"/>
        </w:rPr>
      </w:pPr>
      <w:r>
        <w:rPr>
          <w:color w:val="auto"/>
        </w:rPr>
        <w:t>5</w:t>
      </w:r>
      <w:r>
        <w:rPr>
          <w:rFonts w:hint="eastAsia"/>
          <w:color w:val="auto"/>
        </w:rPr>
        <w:t>）预测方法</w:t>
      </w:r>
    </w:p>
    <w:p w14:paraId="63916ACA">
      <w:pPr>
        <w:pStyle w:val="276"/>
        <w:widowControl w:val="0"/>
        <w:ind w:firstLine="480"/>
        <w:jc w:val="both"/>
        <w:rPr>
          <w:color w:val="auto"/>
        </w:rPr>
      </w:pPr>
      <w:r>
        <w:rPr>
          <w:rFonts w:hint="eastAsia"/>
          <w:color w:val="auto"/>
        </w:rPr>
        <w:t>集油管道穿孔泄漏后，采出液首先在土壤中发生垂直和侧向迁移。经资料调研可知，污染物在土壤中的运移和分布都受到多种因素的控制，如污染物本身的物理化学性质、土壤性质、土壤含水率等。且迁移转化过程十分复杂，存在包括吸附、沉淀、生物吸收、化学与生物降解等作用，本次预测评价本着风险最大化原则，在模拟污染物扩散时不考虑吸附、化学反应等降解作用，仅考虑典型污染物在对流、弥散作用下的扩散过程及规律。</w:t>
      </w:r>
    </w:p>
    <w:p w14:paraId="5CBAA976">
      <w:pPr>
        <w:pStyle w:val="276"/>
        <w:widowControl w:val="0"/>
        <w:ind w:firstLine="480"/>
        <w:jc w:val="both"/>
        <w:rPr>
          <w:color w:val="auto"/>
        </w:rPr>
      </w:pPr>
      <w:r>
        <w:rPr>
          <w:rFonts w:hint="eastAsia"/>
          <w:color w:val="auto"/>
        </w:rPr>
        <w:t>一般认为，水在土壤中的运移符合活塞流模式，由于评价区土壤层包气带岩性单一，污染物的弥散、吸附和降解作用所产生的侧向迁移距离远远小于垂向迁移距离。因此，忽略侧向运移，重点预测污染物在土壤中垂向向下迁移情况，可概化为一维垂向数值模型。</w:t>
      </w:r>
    </w:p>
    <w:p w14:paraId="00040B28">
      <w:pPr>
        <w:pStyle w:val="276"/>
        <w:widowControl w:val="0"/>
        <w:ind w:firstLine="480"/>
        <w:jc w:val="both"/>
        <w:rPr>
          <w:color w:val="auto"/>
        </w:rPr>
      </w:pPr>
      <w:r>
        <w:rPr>
          <w:rFonts w:hint="eastAsia"/>
          <w:color w:val="auto"/>
        </w:rPr>
        <w:t>本次评价选用《环境影响评价技术导则土壤环境（试行）》（</w:t>
      </w:r>
      <w:r>
        <w:rPr>
          <w:color w:val="auto"/>
        </w:rPr>
        <w:t>HJ964-2018</w:t>
      </w:r>
      <w:r>
        <w:rPr>
          <w:rFonts w:hint="eastAsia"/>
          <w:color w:val="auto"/>
        </w:rPr>
        <w:t>）中附录</w:t>
      </w:r>
      <w:r>
        <w:rPr>
          <w:color w:val="auto"/>
        </w:rPr>
        <w:t>E</w:t>
      </w:r>
      <w:r>
        <w:rPr>
          <w:rFonts w:hint="eastAsia"/>
          <w:color w:val="auto"/>
        </w:rPr>
        <w:t>中</w:t>
      </w:r>
      <w:r>
        <w:rPr>
          <w:color w:val="auto"/>
        </w:rPr>
        <w:t>E.2.1</w:t>
      </w:r>
      <w:r>
        <w:rPr>
          <w:rFonts w:hint="eastAsia"/>
          <w:color w:val="auto"/>
        </w:rPr>
        <w:t>推荐的预测方法，该方法适用于污染物以点源形式垂直进入土壤环境的影响预测，重点预测污染物可能影响的深度。</w:t>
      </w:r>
    </w:p>
    <w:p w14:paraId="362CB79A">
      <w:pPr>
        <w:pStyle w:val="276"/>
        <w:widowControl w:val="0"/>
        <w:ind w:firstLine="480"/>
        <w:jc w:val="both"/>
        <w:rPr>
          <w:color w:val="auto"/>
        </w:rPr>
      </w:pPr>
      <w:r>
        <w:rPr>
          <w:rFonts w:hint="eastAsia"/>
          <w:color w:val="auto"/>
        </w:rPr>
        <w:t>①水流运行基本方程</w:t>
      </w:r>
    </w:p>
    <w:p w14:paraId="6C8C6004">
      <w:pPr>
        <w:pStyle w:val="276"/>
        <w:widowControl w:val="0"/>
        <w:ind w:firstLine="480"/>
        <w:jc w:val="both"/>
        <w:rPr>
          <w:color w:val="auto"/>
        </w:rPr>
      </w:pPr>
      <w:r>
        <w:rPr>
          <w:rFonts w:hint="eastAsia"/>
          <w:color w:val="auto"/>
        </w:rPr>
        <w:t>土壤水流运动的控制方程为一维垂向饱和－非饱和土壤水中水分运动方程（Richards方程），即</w:t>
      </w:r>
    </w:p>
    <w:p w14:paraId="604C75AF">
      <w:pPr>
        <w:adjustRightInd w:val="0"/>
        <w:snapToGrid w:val="0"/>
        <w:spacing w:line="331" w:lineRule="auto"/>
        <w:jc w:val="center"/>
        <w:rPr>
          <w:rFonts w:ascii="宋体" w:hAnsi="宋体" w:eastAsia="宋体"/>
          <w:color w:val="auto"/>
        </w:rPr>
      </w:pPr>
      <w:r>
        <w:rPr>
          <w:rFonts w:ascii="宋体" w:hAnsi="宋体" w:eastAsia="宋体"/>
          <w:color w:val="auto"/>
        </w:rPr>
        <w:object>
          <v:shape id="_x0000_i1026" o:spt="75" alt="" type="#_x0000_t75" style="height:28.5pt;width:108.75pt;" o:ole="t" filled="f" o:preferrelative="t" stroked="f" coordsize="21600,21600">
            <v:path/>
            <v:fill on="f" focussize="0,0"/>
            <v:stroke on="f"/>
            <v:imagedata r:id="rId137" o:title=""/>
            <o:lock v:ext="edit" aspectratio="t"/>
            <w10:wrap type="none"/>
            <w10:anchorlock/>
          </v:shape>
          <o:OLEObject Type="Embed" ProgID="Equation.DSMT4" ShapeID="_x0000_i1026" DrawAspect="Content" ObjectID="_1468075726" r:id="rId136">
            <o:LockedField>false</o:LockedField>
          </o:OLEObject>
        </w:object>
      </w:r>
      <w:r>
        <w:rPr>
          <w:rFonts w:ascii="宋体" w:hAnsi="宋体" w:eastAsia="宋体"/>
          <w:color w:val="auto"/>
        </w:rPr>
        <w:t>-S</w:t>
      </w:r>
    </w:p>
    <w:p w14:paraId="704B9AB4">
      <w:pPr>
        <w:adjustRightInd w:val="0"/>
        <w:snapToGrid w:val="0"/>
        <w:spacing w:line="331" w:lineRule="auto"/>
        <w:ind w:firstLine="420" w:firstLineChars="200"/>
        <w:rPr>
          <w:rFonts w:ascii="宋体" w:hAnsi="宋体" w:eastAsia="宋体"/>
          <w:color w:val="auto"/>
        </w:rPr>
      </w:pPr>
      <w:r>
        <w:rPr>
          <w:rFonts w:hint="eastAsia" w:ascii="宋体" w:hAnsi="宋体" w:eastAsia="宋体"/>
          <w:color w:val="auto"/>
        </w:rPr>
        <w:t>式中：</w:t>
      </w:r>
      <w:r>
        <w:rPr>
          <w:rFonts w:ascii="宋体" w:hAnsi="宋体" w:eastAsia="宋体"/>
          <w:color w:val="auto"/>
          <w:position w:val="-6"/>
        </w:rPr>
        <w:object>
          <v:shape id="_x0000_i1027" o:spt="75" alt="" type="#_x0000_t75" style="height:14.25pt;width:14.25pt;" o:ole="t" filled="f" o:preferrelative="t" stroked="f" coordsize="21600,21600">
            <v:path/>
            <v:fill on="f" focussize="0,0"/>
            <v:stroke on="f"/>
            <v:imagedata r:id="rId139" o:title=""/>
            <o:lock v:ext="edit" aspectratio="t"/>
            <w10:wrap type="none"/>
            <w10:anchorlock/>
          </v:shape>
          <o:OLEObject Type="Embed" ProgID="Equation.DSMT4" ShapeID="_x0000_i1027" DrawAspect="Content" ObjectID="_1468075727" r:id="rId138">
            <o:LockedField>false</o:LockedField>
          </o:OLEObject>
        </w:object>
      </w:r>
      <w:r>
        <w:rPr>
          <w:rFonts w:hint="eastAsia" w:ascii="宋体" w:hAnsi="宋体" w:eastAsia="宋体"/>
          <w:color w:val="auto"/>
        </w:rPr>
        <w:t>——土壤体积含水率（%）</w:t>
      </w:r>
      <w:r>
        <w:rPr>
          <w:rFonts w:ascii="宋体" w:hAnsi="宋体" w:eastAsia="宋体"/>
          <w:color w:val="auto"/>
        </w:rPr>
        <w:t>；</w:t>
      </w:r>
    </w:p>
    <w:p w14:paraId="1F7AED52">
      <w:pPr>
        <w:adjustRightInd w:val="0"/>
        <w:snapToGrid w:val="0"/>
        <w:spacing w:line="331" w:lineRule="auto"/>
        <w:ind w:firstLine="1050" w:firstLineChars="500"/>
        <w:rPr>
          <w:rFonts w:ascii="宋体" w:hAnsi="宋体" w:eastAsia="宋体"/>
          <w:color w:val="auto"/>
        </w:rPr>
      </w:pPr>
      <w:r>
        <w:rPr>
          <w:rFonts w:ascii="宋体" w:hAnsi="宋体" w:eastAsia="宋体"/>
          <w:color w:val="auto"/>
        </w:rPr>
        <w:t>h</w:t>
      </w:r>
      <w:r>
        <w:rPr>
          <w:rFonts w:hint="eastAsia" w:ascii="宋体" w:hAnsi="宋体" w:eastAsia="宋体"/>
          <w:color w:val="auto"/>
        </w:rPr>
        <w:t>——压力水头</w:t>
      </w:r>
      <w:r>
        <w:rPr>
          <w:rFonts w:ascii="宋体" w:hAnsi="宋体" w:eastAsia="宋体"/>
          <w:color w:val="auto"/>
        </w:rPr>
        <w:t>[L]</w:t>
      </w:r>
      <w:r>
        <w:rPr>
          <w:rFonts w:hint="eastAsia" w:ascii="宋体" w:hAnsi="宋体" w:eastAsia="宋体"/>
          <w:color w:val="auto"/>
        </w:rPr>
        <w:t>，饱和带大于零，非饱和带小于零；</w:t>
      </w:r>
    </w:p>
    <w:p w14:paraId="49EF1511">
      <w:pPr>
        <w:adjustRightInd w:val="0"/>
        <w:snapToGrid w:val="0"/>
        <w:spacing w:line="331" w:lineRule="auto"/>
        <w:ind w:firstLine="1050" w:firstLineChars="500"/>
        <w:rPr>
          <w:rFonts w:ascii="宋体" w:hAnsi="宋体" w:eastAsia="宋体"/>
          <w:color w:val="auto"/>
        </w:rPr>
      </w:pPr>
      <w:r>
        <w:rPr>
          <w:rFonts w:ascii="宋体" w:hAnsi="宋体" w:eastAsia="宋体"/>
          <w:color w:val="auto"/>
        </w:rPr>
        <w:t>K</w:t>
      </w:r>
      <w:r>
        <w:rPr>
          <w:rFonts w:hint="eastAsia" w:ascii="宋体" w:hAnsi="宋体" w:eastAsia="宋体"/>
          <w:color w:val="auto"/>
        </w:rPr>
        <w:t>——非饱和渗透系数（cm</w:t>
      </w:r>
      <w:r>
        <w:rPr>
          <w:rFonts w:ascii="宋体" w:hAnsi="宋体" w:eastAsia="宋体"/>
          <w:color w:val="auto"/>
        </w:rPr>
        <w:t>/</w:t>
      </w:r>
      <w:r>
        <w:rPr>
          <w:rFonts w:hint="eastAsia" w:ascii="宋体" w:hAnsi="宋体" w:eastAsia="宋体"/>
          <w:color w:val="auto"/>
        </w:rPr>
        <w:t>h）；</w:t>
      </w:r>
    </w:p>
    <w:p w14:paraId="74080271">
      <w:pPr>
        <w:adjustRightInd w:val="0"/>
        <w:snapToGrid w:val="0"/>
        <w:spacing w:line="331" w:lineRule="auto"/>
        <w:ind w:firstLine="1050" w:firstLineChars="500"/>
        <w:rPr>
          <w:rFonts w:ascii="宋体" w:hAnsi="宋体" w:eastAsia="宋体"/>
          <w:color w:val="auto"/>
        </w:rPr>
      </w:pPr>
      <w:r>
        <w:rPr>
          <w:rFonts w:ascii="宋体" w:hAnsi="宋体" w:eastAsia="宋体"/>
          <w:color w:val="auto"/>
        </w:rPr>
        <w:t>T</w:t>
      </w:r>
      <w:r>
        <w:rPr>
          <w:rFonts w:hint="eastAsia" w:ascii="宋体" w:hAnsi="宋体" w:eastAsia="宋体"/>
          <w:color w:val="auto"/>
        </w:rPr>
        <w:t>——时间变量（1</w:t>
      </w:r>
      <w:r>
        <w:rPr>
          <w:rFonts w:ascii="宋体" w:hAnsi="宋体" w:eastAsia="宋体"/>
          <w:color w:val="auto"/>
        </w:rPr>
        <w:t>/</w:t>
      </w:r>
      <w:r>
        <w:rPr>
          <w:rFonts w:hint="eastAsia" w:ascii="宋体" w:hAnsi="宋体" w:eastAsia="宋体"/>
          <w:color w:val="auto"/>
        </w:rPr>
        <w:t>h）；</w:t>
      </w:r>
    </w:p>
    <w:p w14:paraId="72529E03">
      <w:pPr>
        <w:adjustRightInd w:val="0"/>
        <w:snapToGrid w:val="0"/>
        <w:spacing w:line="331" w:lineRule="auto"/>
        <w:ind w:firstLine="1050" w:firstLineChars="500"/>
        <w:rPr>
          <w:rFonts w:ascii="宋体" w:hAnsi="宋体" w:eastAsia="宋体"/>
          <w:color w:val="auto"/>
        </w:rPr>
      </w:pPr>
      <w:r>
        <w:rPr>
          <w:rFonts w:ascii="宋体" w:hAnsi="宋体" w:eastAsia="宋体"/>
          <w:color w:val="auto"/>
        </w:rPr>
        <w:t>Z</w:t>
      </w:r>
      <w:r>
        <w:rPr>
          <w:rFonts w:hint="eastAsia" w:ascii="宋体" w:hAnsi="宋体" w:eastAsia="宋体"/>
          <w:color w:val="auto"/>
        </w:rPr>
        <w:t>——空间变量（cm），地表为原点，向上为正。</w:t>
      </w:r>
    </w:p>
    <w:p w14:paraId="6684C7C2">
      <w:pPr>
        <w:pStyle w:val="276"/>
        <w:widowControl w:val="0"/>
        <w:ind w:firstLine="480"/>
        <w:jc w:val="both"/>
        <w:rPr>
          <w:color w:val="auto"/>
        </w:rPr>
      </w:pPr>
      <w:r>
        <w:rPr>
          <w:rFonts w:hint="eastAsia"/>
          <w:color w:val="auto"/>
        </w:rPr>
        <w:t>②土壤水分运移模型</w:t>
      </w:r>
    </w:p>
    <w:p w14:paraId="0EF04242">
      <w:pPr>
        <w:pStyle w:val="276"/>
        <w:widowControl w:val="0"/>
        <w:ind w:firstLine="480"/>
        <w:jc w:val="both"/>
        <w:rPr>
          <w:color w:val="auto"/>
        </w:rPr>
      </w:pPr>
      <w:r>
        <w:rPr>
          <w:rFonts w:hint="eastAsia"/>
          <w:color w:val="auto"/>
        </w:rPr>
        <w:t>土壤水分运移模型可用来描述水分在土壤中的运移过程。</w:t>
      </w:r>
      <w:r>
        <w:rPr>
          <w:color w:val="auto"/>
        </w:rPr>
        <w:t>HYDRUS-1D</w:t>
      </w:r>
      <w:r>
        <w:rPr>
          <w:rFonts w:hint="eastAsia"/>
          <w:color w:val="auto"/>
        </w:rPr>
        <w:t>软件水流模型中包括单孔介质模型、双孔隙</w:t>
      </w:r>
      <w:r>
        <w:rPr>
          <w:color w:val="auto"/>
        </w:rPr>
        <w:t>/</w:t>
      </w:r>
      <w:r>
        <w:rPr>
          <w:rFonts w:hint="eastAsia"/>
          <w:color w:val="auto"/>
        </w:rPr>
        <w:t>双渗透介质模型等多种土壤水分运移模型。本文模拟时采用</w:t>
      </w:r>
      <w:r>
        <w:rPr>
          <w:color w:val="auto"/>
        </w:rPr>
        <w:t>VanGenuchten-Malen</w:t>
      </w:r>
      <w:r>
        <w:rPr>
          <w:rFonts w:hint="eastAsia"/>
          <w:color w:val="auto"/>
        </w:rPr>
        <w:t>提出的土壤水力模型来进行模拟预测，且在模拟中不考虑水流滞后的现象。</w:t>
      </w:r>
    </w:p>
    <w:p w14:paraId="322A9D38">
      <w:pPr>
        <w:adjustRightInd w:val="0"/>
        <w:snapToGrid w:val="0"/>
        <w:spacing w:line="331" w:lineRule="auto"/>
        <w:jc w:val="center"/>
        <w:rPr>
          <w:rFonts w:ascii="宋体" w:hAnsi="宋体" w:eastAsia="宋体"/>
          <w:color w:val="auto"/>
        </w:rPr>
      </w:pPr>
      <w:r>
        <w:rPr>
          <w:rFonts w:ascii="宋体" w:hAnsi="宋体" w:eastAsia="宋体"/>
          <w:color w:val="auto"/>
        </w:rPr>
        <w:drawing>
          <wp:inline distT="0" distB="0" distL="0" distR="0">
            <wp:extent cx="2817495" cy="848360"/>
            <wp:effectExtent l="0" t="0" r="1905" b="8890"/>
            <wp:docPr id="1352728164" name="图片 135272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64" name="图片 1352728164"/>
                    <pic:cNvPicPr>
                      <a:picLocks noChangeAspect="1" noChangeArrowheads="1"/>
                    </pic:cNvPicPr>
                  </pic:nvPicPr>
                  <pic:blipFill>
                    <a:blip r:embed="rId140"/>
                    <a:srcRect/>
                    <a:stretch>
                      <a:fillRect/>
                    </a:stretch>
                  </pic:blipFill>
                  <pic:spPr>
                    <a:xfrm>
                      <a:off x="0" y="0"/>
                      <a:ext cx="2817495" cy="848360"/>
                    </a:xfrm>
                    <a:prstGeom prst="rect">
                      <a:avLst/>
                    </a:prstGeom>
                    <a:noFill/>
                    <a:ln>
                      <a:noFill/>
                    </a:ln>
                  </pic:spPr>
                </pic:pic>
              </a:graphicData>
            </a:graphic>
          </wp:inline>
        </w:drawing>
      </w:r>
    </w:p>
    <w:p w14:paraId="27DE2C83">
      <w:pPr>
        <w:adjustRightInd w:val="0"/>
        <w:snapToGrid w:val="0"/>
        <w:spacing w:line="331" w:lineRule="auto"/>
        <w:jc w:val="center"/>
        <w:rPr>
          <w:rFonts w:ascii="宋体" w:hAnsi="宋体" w:eastAsia="宋体"/>
          <w:color w:val="auto"/>
        </w:rPr>
      </w:pPr>
      <w:r>
        <w:rPr>
          <w:rFonts w:ascii="宋体" w:hAnsi="宋体" w:eastAsia="宋体"/>
          <w:color w:val="auto"/>
        </w:rPr>
        <w:drawing>
          <wp:inline distT="0" distB="0" distL="0" distR="0">
            <wp:extent cx="3583305" cy="765810"/>
            <wp:effectExtent l="0" t="0" r="17145" b="15240"/>
            <wp:docPr id="1352728165" name="图片 135272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28165" name="图片 1352728165"/>
                    <pic:cNvPicPr>
                      <a:picLocks noChangeAspect="1" noChangeArrowheads="1"/>
                    </pic:cNvPicPr>
                  </pic:nvPicPr>
                  <pic:blipFill>
                    <a:blip r:embed="rId141"/>
                    <a:srcRect/>
                    <a:stretch>
                      <a:fillRect/>
                    </a:stretch>
                  </pic:blipFill>
                  <pic:spPr>
                    <a:xfrm>
                      <a:off x="0" y="0"/>
                      <a:ext cx="3583305" cy="765810"/>
                    </a:xfrm>
                    <a:prstGeom prst="rect">
                      <a:avLst/>
                    </a:prstGeom>
                    <a:noFill/>
                    <a:ln>
                      <a:noFill/>
                    </a:ln>
                  </pic:spPr>
                </pic:pic>
              </a:graphicData>
            </a:graphic>
          </wp:inline>
        </w:drawing>
      </w:r>
    </w:p>
    <w:p w14:paraId="115E55CA">
      <w:pPr>
        <w:pStyle w:val="276"/>
        <w:widowControl w:val="0"/>
        <w:ind w:firstLine="480"/>
        <w:jc w:val="both"/>
        <w:rPr>
          <w:color w:val="auto"/>
        </w:rPr>
      </w:pPr>
      <w:r>
        <w:rPr>
          <w:rFonts w:hint="eastAsia"/>
          <w:color w:val="auto"/>
        </w:rPr>
        <w:t>式中：θ</w:t>
      </w:r>
      <w:r>
        <w:rPr>
          <w:color w:val="auto"/>
        </w:rPr>
        <w:t>r</w:t>
      </w:r>
      <w:r>
        <w:rPr>
          <w:rFonts w:hint="eastAsia"/>
          <w:color w:val="auto"/>
        </w:rPr>
        <w:t>——土壤残余含水率；</w:t>
      </w:r>
    </w:p>
    <w:p w14:paraId="6B0DE2B3">
      <w:pPr>
        <w:pStyle w:val="276"/>
        <w:widowControl w:val="0"/>
        <w:ind w:firstLine="480"/>
        <w:jc w:val="both"/>
        <w:rPr>
          <w:color w:val="auto"/>
        </w:rPr>
      </w:pPr>
      <w:r>
        <w:rPr>
          <w:rFonts w:hint="eastAsia"/>
          <w:color w:val="auto"/>
        </w:rPr>
        <w:t>θ</w:t>
      </w:r>
      <w:r>
        <w:rPr>
          <w:color w:val="auto"/>
        </w:rPr>
        <w:t>s</w:t>
      </w:r>
      <w:r>
        <w:rPr>
          <w:rFonts w:hint="eastAsia"/>
          <w:color w:val="auto"/>
        </w:rPr>
        <w:t>——土壤饱和含水率；</w:t>
      </w:r>
    </w:p>
    <w:p w14:paraId="0EBECF56">
      <w:pPr>
        <w:pStyle w:val="276"/>
        <w:widowControl w:val="0"/>
        <w:ind w:firstLine="480"/>
        <w:jc w:val="both"/>
        <w:rPr>
          <w:color w:val="auto"/>
        </w:rPr>
      </w:pPr>
      <w:r>
        <w:rPr>
          <w:color w:val="auto"/>
        </w:rPr>
        <w:t>Se</w:t>
      </w:r>
      <w:r>
        <w:rPr>
          <w:rFonts w:hint="eastAsia"/>
          <w:color w:val="auto"/>
        </w:rPr>
        <w:t>——有效饱和度；</w:t>
      </w:r>
    </w:p>
    <w:p w14:paraId="4924D5B5">
      <w:pPr>
        <w:pStyle w:val="276"/>
        <w:widowControl w:val="0"/>
        <w:ind w:firstLine="480"/>
        <w:jc w:val="both"/>
        <w:rPr>
          <w:color w:val="auto"/>
        </w:rPr>
      </w:pPr>
      <w:r>
        <w:rPr>
          <w:rFonts w:hint="eastAsia"/>
          <w:color w:val="auto"/>
        </w:rPr>
        <w:t>ɑ——</w:t>
      </w:r>
      <w:r>
        <w:rPr>
          <w:color w:val="auto"/>
        </w:rPr>
        <w:t>土壤水力特征经验参数；</w:t>
      </w:r>
    </w:p>
    <w:p w14:paraId="252754D3">
      <w:pPr>
        <w:pStyle w:val="276"/>
        <w:widowControl w:val="0"/>
        <w:ind w:firstLine="480"/>
        <w:jc w:val="both"/>
        <w:rPr>
          <w:color w:val="auto"/>
        </w:rPr>
      </w:pPr>
      <w:r>
        <w:rPr>
          <w:color w:val="auto"/>
        </w:rPr>
        <w:t>n</w:t>
      </w:r>
      <w:r>
        <w:rPr>
          <w:rFonts w:hint="eastAsia"/>
          <w:color w:val="auto"/>
        </w:rPr>
        <w:t>——土壤孔隙大小分配指数；</w:t>
      </w:r>
    </w:p>
    <w:p w14:paraId="70EDF4D9">
      <w:pPr>
        <w:pStyle w:val="276"/>
        <w:widowControl w:val="0"/>
        <w:ind w:firstLine="480"/>
        <w:jc w:val="both"/>
        <w:rPr>
          <w:color w:val="auto"/>
        </w:rPr>
      </w:pPr>
      <w:r>
        <w:rPr>
          <w:color w:val="auto"/>
        </w:rPr>
        <w:t>Ks</w:t>
      </w:r>
      <w:r>
        <w:rPr>
          <w:rFonts w:hint="eastAsia"/>
          <w:color w:val="auto"/>
        </w:rPr>
        <w:t>——饱和水力传导系数；</w:t>
      </w:r>
    </w:p>
    <w:p w14:paraId="73D70CA2">
      <w:pPr>
        <w:pStyle w:val="276"/>
        <w:widowControl w:val="0"/>
        <w:ind w:firstLine="480"/>
        <w:jc w:val="both"/>
        <w:rPr>
          <w:color w:val="auto"/>
        </w:rPr>
      </w:pPr>
      <w:r>
        <w:rPr>
          <w:color w:val="auto"/>
        </w:rPr>
        <w:t>l</w:t>
      </w:r>
      <w:r>
        <w:rPr>
          <w:rFonts w:hint="eastAsia"/>
          <w:color w:val="auto"/>
        </w:rPr>
        <w:t>——土壤孔隙连通性参数</w:t>
      </w:r>
      <w:r>
        <w:rPr>
          <w:color w:val="auto"/>
        </w:rPr>
        <w:t>，</w:t>
      </w:r>
      <w:r>
        <w:rPr>
          <w:rFonts w:hint="eastAsia"/>
          <w:color w:val="auto"/>
        </w:rPr>
        <w:t>通常取</w:t>
      </w:r>
      <w:r>
        <w:rPr>
          <w:color w:val="auto"/>
        </w:rPr>
        <w:t>0.5</w:t>
      </w:r>
      <w:r>
        <w:rPr>
          <w:rFonts w:hint="eastAsia"/>
          <w:color w:val="auto"/>
        </w:rPr>
        <w:t>。</w:t>
      </w:r>
    </w:p>
    <w:p w14:paraId="1C0CA0F5">
      <w:pPr>
        <w:pStyle w:val="276"/>
        <w:widowControl w:val="0"/>
        <w:ind w:firstLine="480"/>
        <w:jc w:val="both"/>
        <w:rPr>
          <w:color w:val="auto"/>
        </w:rPr>
      </w:pPr>
      <w:r>
        <w:rPr>
          <w:rFonts w:hint="eastAsia"/>
          <w:color w:val="auto"/>
        </w:rPr>
        <w:t>③土壤溶质运移模型</w:t>
      </w:r>
    </w:p>
    <w:p w14:paraId="2B87A575">
      <w:pPr>
        <w:pStyle w:val="276"/>
        <w:widowControl w:val="0"/>
        <w:ind w:firstLine="480"/>
        <w:jc w:val="both"/>
        <w:rPr>
          <w:color w:val="auto"/>
        </w:rPr>
      </w:pPr>
      <w:r>
        <w:rPr>
          <w:rFonts w:hint="eastAsia"/>
          <w:color w:val="auto"/>
        </w:rPr>
        <w:t>a、一维非饱和溶质垂向运移控制方程：</w:t>
      </w:r>
    </w:p>
    <w:p w14:paraId="0DE333CD">
      <w:pPr>
        <w:adjustRightInd w:val="0"/>
        <w:snapToGrid w:val="0"/>
        <w:spacing w:line="331" w:lineRule="auto"/>
        <w:rPr>
          <w:rFonts w:ascii="宋体" w:hAnsi="宋体" w:eastAsia="宋体"/>
          <w:color w:val="auto"/>
        </w:rPr>
      </w:pPr>
      <m:oMathPara>
        <m:oMathParaPr>
          <m:jc m:val="center"/>
        </m:oMathParaPr>
        <m:oMath>
          <m:f>
            <m:fPr>
              <m:ctrlPr>
                <w:rPr>
                  <w:rFonts w:ascii="Cambria Math" w:hAnsi="Cambria Math" w:eastAsia="宋体"/>
                  <w:color w:val="auto"/>
                </w:rPr>
              </m:ctrlPr>
            </m:fPr>
            <m:num>
              <m:r>
                <m:rPr/>
                <w:rPr>
                  <w:rFonts w:ascii="Cambria Math" w:hAnsi="Cambria Math" w:eastAsia="宋体"/>
                  <w:color w:val="auto"/>
                </w:rPr>
                <m:t>∂</m:t>
              </m:r>
              <m:r>
                <m:rPr>
                  <m:sty m:val="p"/>
                </m:rPr>
                <w:rPr>
                  <w:rFonts w:hint="eastAsia" w:ascii="Cambria Math" w:hAnsi="Cambria Math" w:eastAsia="宋体"/>
                  <w:color w:val="auto"/>
                </w:rPr>
                <m:t>（</m:t>
              </m:r>
              <m:r>
                <m:rPr/>
                <w:rPr>
                  <w:rFonts w:ascii="Cambria Math" w:hAnsi="Cambria Math" w:eastAsia="宋体"/>
                  <w:color w:val="auto"/>
                </w:rPr>
                <m:t>θc</m:t>
              </m:r>
              <m:r>
                <m:rPr>
                  <m:sty m:val="p"/>
                </m:rPr>
                <w:rPr>
                  <w:rFonts w:hint="eastAsia" w:ascii="Cambria Math" w:hAnsi="Cambria Math" w:eastAsia="宋体"/>
                  <w:color w:val="auto"/>
                </w:rPr>
                <m:t>）</m:t>
              </m:r>
              <m:ctrlPr>
                <w:rPr>
                  <w:rFonts w:ascii="Cambria Math" w:hAnsi="Cambria Math" w:eastAsia="宋体"/>
                  <w:color w:val="auto"/>
                </w:rPr>
              </m:ctrlPr>
            </m:num>
            <m:den>
              <m:r>
                <m:rPr/>
                <w:rPr>
                  <w:rFonts w:ascii="Cambria Math" w:hAnsi="Cambria Math" w:eastAsia="宋体"/>
                  <w:color w:val="auto"/>
                </w:rPr>
                <m:t>∂t</m:t>
              </m:r>
              <m:ctrlPr>
                <w:rPr>
                  <w:rFonts w:ascii="Cambria Math" w:hAnsi="Cambria Math" w:eastAsia="宋体"/>
                  <w:color w:val="auto"/>
                </w:rPr>
              </m:ctrlPr>
            </m:den>
          </m:f>
          <m:r>
            <m:rPr>
              <m:sty m:val="p"/>
            </m:rPr>
            <w:rPr>
              <w:rFonts w:ascii="Cambria Math" w:hAnsi="Cambria Math" w:eastAsia="宋体"/>
              <w:color w:val="auto"/>
            </w:rPr>
            <m:t>=</m:t>
          </m:r>
          <m:f>
            <m:fPr>
              <m:ctrlPr>
                <w:rPr>
                  <w:rFonts w:ascii="Cambria Math" w:hAnsi="Cambria Math" w:eastAsia="宋体"/>
                  <w:color w:val="auto"/>
                </w:rPr>
              </m:ctrlPr>
            </m:fPr>
            <m:num>
              <m:r>
                <m:rPr/>
                <w:rPr>
                  <w:rFonts w:ascii="Cambria Math" w:hAnsi="Cambria Math" w:eastAsia="宋体"/>
                  <w:color w:val="auto"/>
                </w:rPr>
                <m:t>∂</m:t>
              </m:r>
              <m:ctrlPr>
                <w:rPr>
                  <w:rFonts w:ascii="Cambria Math" w:hAnsi="Cambria Math" w:eastAsia="宋体"/>
                  <w:color w:val="auto"/>
                </w:rPr>
              </m:ctrlPr>
            </m:num>
            <m:den>
              <m:r>
                <m:rPr/>
                <w:rPr>
                  <w:rFonts w:ascii="Cambria Math" w:hAnsi="Cambria Math" w:eastAsia="宋体"/>
                  <w:color w:val="auto"/>
                </w:rPr>
                <m:t>∂z</m:t>
              </m:r>
              <m:ctrlPr>
                <w:rPr>
                  <w:rFonts w:ascii="Cambria Math" w:hAnsi="Cambria Math" w:eastAsia="宋体"/>
                  <w:color w:val="auto"/>
                </w:rPr>
              </m:ctrlPr>
            </m:den>
          </m:f>
          <m:d>
            <m:dPr>
              <m:ctrlPr>
                <w:rPr>
                  <w:rFonts w:ascii="Cambria Math" w:hAnsi="Cambria Math" w:eastAsia="宋体"/>
                  <w:color w:val="auto"/>
                </w:rPr>
              </m:ctrlPr>
            </m:dPr>
            <m:e>
              <m:r>
                <m:rPr/>
                <w:rPr>
                  <w:rFonts w:ascii="Cambria Math" w:hAnsi="Cambria Math" w:eastAsia="宋体"/>
                  <w:color w:val="auto"/>
                </w:rPr>
                <m:t>θD</m:t>
              </m:r>
              <m:f>
                <m:fPr>
                  <m:ctrlPr>
                    <w:rPr>
                      <w:rFonts w:ascii="Cambria Math" w:hAnsi="Cambria Math" w:eastAsia="宋体"/>
                      <w:color w:val="auto"/>
                    </w:rPr>
                  </m:ctrlPr>
                </m:fPr>
                <m:num>
                  <m:r>
                    <m:rPr/>
                    <w:rPr>
                      <w:rFonts w:ascii="Cambria Math" w:hAnsi="Cambria Math" w:eastAsia="宋体"/>
                      <w:color w:val="auto"/>
                    </w:rPr>
                    <m:t>∂c</m:t>
                  </m:r>
                  <m:ctrlPr>
                    <w:rPr>
                      <w:rFonts w:ascii="Cambria Math" w:hAnsi="Cambria Math" w:eastAsia="宋体"/>
                      <w:color w:val="auto"/>
                    </w:rPr>
                  </m:ctrlPr>
                </m:num>
                <m:den>
                  <m:r>
                    <m:rPr/>
                    <w:rPr>
                      <w:rFonts w:ascii="Cambria Math" w:hAnsi="Cambria Math" w:eastAsia="宋体"/>
                      <w:color w:val="auto"/>
                    </w:rPr>
                    <m:t>∂z</m:t>
                  </m:r>
                  <m:ctrlPr>
                    <w:rPr>
                      <w:rFonts w:ascii="Cambria Math" w:hAnsi="Cambria Math" w:eastAsia="宋体"/>
                      <w:color w:val="auto"/>
                    </w:rPr>
                  </m:ctrlPr>
                </m:den>
              </m:f>
              <m:ctrlPr>
                <w:rPr>
                  <w:rFonts w:ascii="Cambria Math" w:hAnsi="Cambria Math" w:eastAsia="宋体"/>
                  <w:color w:val="auto"/>
                </w:rPr>
              </m:ctrlPr>
            </m:e>
          </m:d>
          <m:r>
            <m:rPr>
              <m:sty m:val="p"/>
            </m:rPr>
            <w:rPr>
              <w:rFonts w:hint="eastAsia" w:ascii="Cambria Math" w:hAnsi="Cambria Math" w:eastAsia="微软雅黑" w:cs="微软雅黑"/>
              <w:color w:val="auto"/>
            </w:rPr>
            <m:t>−</m:t>
          </m:r>
          <m:f>
            <m:fPr>
              <m:ctrlPr>
                <w:rPr>
                  <w:rFonts w:ascii="Cambria Math" w:hAnsi="Cambria Math" w:eastAsia="宋体"/>
                  <w:color w:val="auto"/>
                </w:rPr>
              </m:ctrlPr>
            </m:fPr>
            <m:num>
              <m:r>
                <m:rPr/>
                <w:rPr>
                  <w:rFonts w:ascii="Cambria Math" w:hAnsi="Cambria Math" w:eastAsia="宋体"/>
                  <w:color w:val="auto"/>
                </w:rPr>
                <m:t>∂</m:t>
              </m:r>
              <m:ctrlPr>
                <w:rPr>
                  <w:rFonts w:ascii="Cambria Math" w:hAnsi="Cambria Math" w:eastAsia="宋体"/>
                  <w:color w:val="auto"/>
                </w:rPr>
              </m:ctrlPr>
            </m:num>
            <m:den>
              <m:r>
                <m:rPr/>
                <w:rPr>
                  <w:rFonts w:ascii="Cambria Math" w:hAnsi="Cambria Math" w:eastAsia="宋体"/>
                  <w:color w:val="auto"/>
                </w:rPr>
                <m:t>∂z</m:t>
              </m:r>
              <m:ctrlPr>
                <w:rPr>
                  <w:rFonts w:ascii="Cambria Math" w:hAnsi="Cambria Math" w:eastAsia="宋体"/>
                  <w:color w:val="auto"/>
                </w:rPr>
              </m:ctrlPr>
            </m:den>
          </m:f>
          <m:d>
            <m:dPr>
              <m:ctrlPr>
                <w:rPr>
                  <w:rFonts w:ascii="Cambria Math" w:hAnsi="Cambria Math" w:eastAsia="宋体"/>
                  <w:color w:val="auto"/>
                </w:rPr>
              </m:ctrlPr>
            </m:dPr>
            <m:e>
              <m:r>
                <m:rPr/>
                <w:rPr>
                  <w:rFonts w:ascii="Cambria Math" w:hAnsi="Cambria Math" w:eastAsia="宋体"/>
                  <w:color w:val="auto"/>
                </w:rPr>
                <m:t>qc</m:t>
              </m:r>
              <m:ctrlPr>
                <w:rPr>
                  <w:rFonts w:ascii="Cambria Math" w:hAnsi="Cambria Math" w:eastAsia="宋体"/>
                  <w:color w:val="auto"/>
                </w:rPr>
              </m:ctrlPr>
            </m:e>
          </m:d>
        </m:oMath>
      </m:oMathPara>
    </w:p>
    <w:p w14:paraId="6046FF16">
      <w:pPr>
        <w:pStyle w:val="276"/>
        <w:widowControl w:val="0"/>
        <w:ind w:firstLine="480"/>
        <w:jc w:val="both"/>
        <w:rPr>
          <w:color w:val="auto"/>
        </w:rPr>
      </w:pPr>
      <w:r>
        <w:rPr>
          <w:rFonts w:hint="eastAsia"/>
          <w:color w:val="auto"/>
        </w:rPr>
        <w:t>式中：c--污染物介质中的浓度，mg/L；</w:t>
      </w:r>
    </w:p>
    <w:p w14:paraId="1EB4D100">
      <w:pPr>
        <w:pStyle w:val="276"/>
        <w:widowControl w:val="0"/>
        <w:ind w:firstLine="480"/>
        <w:jc w:val="both"/>
        <w:rPr>
          <w:color w:val="auto"/>
        </w:rPr>
      </w:pPr>
      <w:r>
        <w:rPr>
          <w:rFonts w:hint="eastAsia"/>
          <w:color w:val="auto"/>
        </w:rPr>
        <w:t>D--弥散系数，m</w:t>
      </w:r>
      <w:r>
        <w:rPr>
          <w:rFonts w:hint="eastAsia"/>
          <w:color w:val="auto"/>
          <w:vertAlign w:val="superscript"/>
        </w:rPr>
        <w:t>2</w:t>
      </w:r>
      <w:r>
        <w:rPr>
          <w:rFonts w:hint="eastAsia"/>
          <w:color w:val="auto"/>
        </w:rPr>
        <w:t>/d；</w:t>
      </w:r>
    </w:p>
    <w:p w14:paraId="19C2B6F5">
      <w:pPr>
        <w:pStyle w:val="276"/>
        <w:widowControl w:val="0"/>
        <w:ind w:firstLine="480"/>
        <w:jc w:val="both"/>
        <w:rPr>
          <w:color w:val="auto"/>
        </w:rPr>
      </w:pPr>
      <w:r>
        <w:rPr>
          <w:rFonts w:hint="eastAsia"/>
          <w:color w:val="auto"/>
        </w:rPr>
        <w:t>q--渗透速度，m/d；</w:t>
      </w:r>
    </w:p>
    <w:p w14:paraId="5DF19331">
      <w:pPr>
        <w:pStyle w:val="276"/>
        <w:widowControl w:val="0"/>
        <w:ind w:firstLine="480"/>
        <w:jc w:val="both"/>
        <w:rPr>
          <w:color w:val="auto"/>
        </w:rPr>
      </w:pPr>
      <w:r>
        <w:rPr>
          <w:rFonts w:hint="eastAsia"/>
          <w:color w:val="auto"/>
        </w:rPr>
        <w:t>z--沿z轴的距离，m；</w:t>
      </w:r>
    </w:p>
    <w:p w14:paraId="17A8B5DD">
      <w:pPr>
        <w:pStyle w:val="276"/>
        <w:widowControl w:val="0"/>
        <w:ind w:firstLine="480"/>
        <w:jc w:val="both"/>
        <w:rPr>
          <w:color w:val="auto"/>
        </w:rPr>
      </w:pPr>
      <w:r>
        <w:rPr>
          <w:rFonts w:hint="eastAsia"/>
          <w:color w:val="auto"/>
        </w:rPr>
        <w:t>t--时间变量，d；</w:t>
      </w:r>
    </w:p>
    <w:p w14:paraId="3E55AAD0">
      <w:pPr>
        <w:pStyle w:val="276"/>
        <w:widowControl w:val="0"/>
        <w:ind w:firstLine="480"/>
        <w:jc w:val="both"/>
        <w:rPr>
          <w:color w:val="auto"/>
        </w:rPr>
      </w:pPr>
      <w:r>
        <w:rPr>
          <w:rFonts w:hint="eastAsia"/>
          <w:color w:val="auto"/>
        </w:rPr>
        <w:t>θ--土壤含水率，%。</w:t>
      </w:r>
    </w:p>
    <w:p w14:paraId="7786CAFF">
      <w:pPr>
        <w:pStyle w:val="276"/>
        <w:widowControl w:val="0"/>
        <w:ind w:firstLine="480"/>
        <w:jc w:val="both"/>
        <w:rPr>
          <w:color w:val="auto"/>
        </w:rPr>
      </w:pPr>
      <w:r>
        <w:rPr>
          <w:rFonts w:hint="eastAsia"/>
          <w:color w:val="auto"/>
        </w:rPr>
        <w:t>b、初始条件</w:t>
      </w:r>
    </w:p>
    <w:p w14:paraId="092685E3">
      <w:pPr>
        <w:adjustRightInd w:val="0"/>
        <w:snapToGrid w:val="0"/>
        <w:spacing w:line="331" w:lineRule="auto"/>
        <w:rPr>
          <w:rFonts w:ascii="宋体" w:hAnsi="宋体" w:eastAsia="宋体"/>
          <w:color w:val="auto"/>
        </w:rPr>
      </w:pPr>
      <m:oMathPara>
        <m:oMath>
          <m:r>
            <m:rPr>
              <m:sty m:val="p"/>
            </m:rPr>
            <w:rPr>
              <w:rFonts w:ascii="Cambria Math" w:hAnsi="Cambria Math" w:eastAsia="宋体"/>
              <w:color w:val="auto"/>
            </w:rPr>
            <m:t>c</m:t>
          </m:r>
          <m:d>
            <m:dPr>
              <m:ctrlPr>
                <w:rPr>
                  <w:rFonts w:ascii="Cambria Math" w:hAnsi="Cambria Math" w:eastAsia="宋体"/>
                  <w:color w:val="auto"/>
                </w:rPr>
              </m:ctrlPr>
            </m:dPr>
            <m:e>
              <m:r>
                <m:rPr/>
                <w:rPr>
                  <w:rFonts w:ascii="Cambria Math" w:hAnsi="Cambria Math" w:eastAsia="宋体"/>
                  <w:color w:val="auto"/>
                </w:rPr>
                <m:t>z</m:t>
              </m:r>
              <m:r>
                <m:rPr>
                  <m:sty m:val="p"/>
                </m:rPr>
                <w:rPr>
                  <w:rFonts w:ascii="Cambria Math" w:hAnsi="Cambria Math" w:eastAsia="宋体"/>
                  <w:color w:val="auto"/>
                </w:rPr>
                <m:t>，</m:t>
              </m:r>
              <m:r>
                <m:rPr/>
                <w:rPr>
                  <w:rFonts w:ascii="Cambria Math" w:hAnsi="Cambria Math" w:eastAsia="宋体"/>
                  <w:color w:val="auto"/>
                </w:rPr>
                <m:t>t</m:t>
              </m:r>
              <m:ctrlPr>
                <w:rPr>
                  <w:rFonts w:ascii="Cambria Math" w:hAnsi="Cambria Math" w:eastAsia="宋体"/>
                  <w:color w:val="auto"/>
                </w:rPr>
              </m:ctrlPr>
            </m:e>
          </m:d>
          <m:r>
            <m:rPr>
              <m:sty m:val="p"/>
            </m:rPr>
            <w:rPr>
              <w:rFonts w:ascii="Cambria Math" w:hAnsi="Cambria Math" w:eastAsia="宋体"/>
              <w:color w:val="auto"/>
            </w:rPr>
            <m:t>=0</m:t>
          </m:r>
          <m:r>
            <m:rPr/>
            <w:rPr>
              <w:rFonts w:ascii="Cambria Math" w:hAnsi="Cambria Math" w:eastAsia="宋体"/>
              <w:color w:val="auto"/>
            </w:rPr>
            <m:t>t</m:t>
          </m:r>
          <m:r>
            <m:rPr>
              <m:sty m:val="p"/>
            </m:rPr>
            <w:rPr>
              <w:rFonts w:ascii="Cambria Math" w:hAnsi="Cambria Math" w:eastAsia="宋体"/>
              <w:color w:val="auto"/>
            </w:rPr>
            <m:t>=0</m:t>
          </m:r>
          <m:r>
            <m:rPr>
              <m:sty m:val="p"/>
            </m:rPr>
            <w:rPr>
              <w:rFonts w:hint="eastAsia" w:ascii="Cambria Math" w:hAnsi="Cambria Math" w:eastAsia="宋体"/>
              <w:color w:val="auto"/>
            </w:rPr>
            <m:t>，</m:t>
          </m:r>
          <m:r>
            <m:rPr/>
            <w:rPr>
              <w:rFonts w:ascii="Cambria Math" w:hAnsi="Cambria Math" w:eastAsia="宋体"/>
              <w:color w:val="auto"/>
            </w:rPr>
            <m:t>L</m:t>
          </m:r>
          <m:r>
            <m:rPr>
              <m:sty m:val="p"/>
            </m:rPr>
            <w:rPr>
              <w:rFonts w:ascii="Cambria Math" w:hAnsi="Cambria Math" w:eastAsia="宋体"/>
              <w:color w:val="auto"/>
            </w:rPr>
            <m:t>≤</m:t>
          </m:r>
          <m:r>
            <m:rPr/>
            <w:rPr>
              <w:rFonts w:ascii="Cambria Math" w:hAnsi="Cambria Math" w:eastAsia="宋体"/>
              <w:color w:val="auto"/>
            </w:rPr>
            <m:t>z</m:t>
          </m:r>
          <m:r>
            <m:rPr>
              <m:sty m:val="p"/>
            </m:rPr>
            <w:rPr>
              <w:rFonts w:ascii="Cambria Math" w:hAnsi="Cambria Math" w:eastAsia="宋体"/>
              <w:color w:val="auto"/>
            </w:rPr>
            <m:t>&lt;0</m:t>
          </m:r>
        </m:oMath>
      </m:oMathPara>
    </w:p>
    <w:p w14:paraId="25EB02A6">
      <w:pPr>
        <w:pStyle w:val="276"/>
        <w:widowControl w:val="0"/>
        <w:ind w:firstLine="480"/>
        <w:jc w:val="both"/>
        <w:rPr>
          <w:color w:val="auto"/>
        </w:rPr>
      </w:pPr>
      <w:r>
        <w:rPr>
          <w:rFonts w:hint="eastAsia"/>
          <w:color w:val="auto"/>
        </w:rPr>
        <w:t>c、边界条件</w:t>
      </w:r>
    </w:p>
    <w:p w14:paraId="43D16216">
      <w:pPr>
        <w:pStyle w:val="276"/>
        <w:widowControl w:val="0"/>
        <w:ind w:firstLine="480"/>
        <w:jc w:val="both"/>
        <w:rPr>
          <w:color w:val="auto"/>
        </w:rPr>
      </w:pPr>
      <w:r>
        <w:rPr>
          <w:rFonts w:hint="eastAsia"/>
          <w:color w:val="auto"/>
        </w:rPr>
        <w:t>第一类Dirichelet边界条件：</w:t>
      </w:r>
    </w:p>
    <w:p w14:paraId="52ACC048">
      <w:pPr>
        <w:adjustRightInd w:val="0"/>
        <w:snapToGrid w:val="0"/>
        <w:spacing w:line="331" w:lineRule="auto"/>
        <w:ind w:firstLine="420" w:firstLineChars="200"/>
        <w:rPr>
          <w:rFonts w:ascii="宋体" w:hAnsi="宋体" w:eastAsia="宋体"/>
          <w:color w:val="auto"/>
        </w:rPr>
      </w:pPr>
      <w:r>
        <w:rPr>
          <w:rFonts w:hint="eastAsia" w:ascii="宋体" w:hAnsi="宋体" w:eastAsia="宋体"/>
          <w:color w:val="auto"/>
        </w:rPr>
        <w:t>连续点源：</w:t>
      </w:r>
      <m:oMath>
        <m:r>
          <m:rPr>
            <m:sty m:val="p"/>
          </m:rPr>
          <w:rPr>
            <w:rFonts w:ascii="Cambria Math" w:hAnsi="Cambria Math" w:eastAsia="宋体"/>
            <w:color w:val="auto"/>
          </w:rPr>
          <m:t>c</m:t>
        </m:r>
        <m:d>
          <m:dPr>
            <m:ctrlPr>
              <w:rPr>
                <w:rFonts w:ascii="Cambria Math" w:hAnsi="Cambria Math" w:eastAsia="宋体"/>
                <w:color w:val="auto"/>
              </w:rPr>
            </m:ctrlPr>
          </m:dPr>
          <m:e>
            <m:r>
              <m:rPr/>
              <w:rPr>
                <w:rFonts w:ascii="Cambria Math" w:hAnsi="Cambria Math" w:eastAsia="宋体"/>
                <w:color w:val="auto"/>
              </w:rPr>
              <m:t>z</m:t>
            </m:r>
            <m:r>
              <m:rPr>
                <m:sty m:val="p"/>
              </m:rPr>
              <w:rPr>
                <w:rFonts w:ascii="Cambria Math" w:hAnsi="Cambria Math" w:eastAsia="宋体"/>
                <w:color w:val="auto"/>
              </w:rPr>
              <m:t>，</m:t>
            </m:r>
            <m:r>
              <m:rPr/>
              <w:rPr>
                <w:rFonts w:ascii="Cambria Math" w:hAnsi="Cambria Math" w:eastAsia="宋体"/>
                <w:color w:val="auto"/>
              </w:rPr>
              <m:t>t</m:t>
            </m:r>
            <m:ctrlPr>
              <w:rPr>
                <w:rFonts w:ascii="Cambria Math" w:hAnsi="Cambria Math" w:eastAsia="宋体"/>
                <w:color w:val="auto"/>
              </w:rPr>
            </m:ctrlPr>
          </m:e>
        </m:d>
        <m:r>
          <m:rPr>
            <m:sty m:val="p"/>
          </m:rPr>
          <w:rPr>
            <w:rFonts w:ascii="Cambria Math" w:hAnsi="Cambria Math" w:eastAsia="宋体"/>
            <w:color w:val="auto"/>
          </w:rPr>
          <m:t>=</m:t>
        </m:r>
        <m:sSub>
          <m:sSubPr>
            <m:ctrlPr>
              <w:rPr>
                <w:rFonts w:ascii="Cambria Math" w:hAnsi="Cambria Math" w:eastAsia="宋体"/>
                <w:color w:val="auto"/>
              </w:rPr>
            </m:ctrlPr>
          </m:sSubPr>
          <m:e>
            <m:r>
              <m:rPr/>
              <w:rPr>
                <w:rFonts w:ascii="Cambria Math" w:hAnsi="Cambria Math" w:eastAsia="宋体"/>
                <w:color w:val="auto"/>
              </w:rPr>
              <m:t>c</m:t>
            </m:r>
            <m:ctrlPr>
              <w:rPr>
                <w:rFonts w:ascii="Cambria Math" w:hAnsi="Cambria Math" w:eastAsia="宋体"/>
                <w:color w:val="auto"/>
              </w:rPr>
            </m:ctrlPr>
          </m:e>
          <m:sub>
            <m:r>
              <m:rPr>
                <m:sty m:val="p"/>
              </m:rPr>
              <w:rPr>
                <w:rFonts w:ascii="Cambria Math" w:hAnsi="Cambria Math" w:eastAsia="宋体"/>
                <w:color w:val="auto"/>
              </w:rPr>
              <m:t>0</m:t>
            </m:r>
            <m:ctrlPr>
              <w:rPr>
                <w:rFonts w:ascii="Cambria Math" w:hAnsi="Cambria Math" w:eastAsia="宋体"/>
                <w:color w:val="auto"/>
              </w:rPr>
            </m:ctrlPr>
          </m:sub>
        </m:sSub>
        <m:r>
          <m:rPr/>
          <w:rPr>
            <w:rFonts w:ascii="Cambria Math" w:hAnsi="Cambria Math" w:eastAsia="宋体"/>
            <w:color w:val="auto"/>
          </w:rPr>
          <m:t>t</m:t>
        </m:r>
        <m:r>
          <m:rPr>
            <m:sty m:val="p"/>
          </m:rPr>
          <w:rPr>
            <w:rFonts w:ascii="Cambria Math" w:hAnsi="Cambria Math" w:eastAsia="宋体"/>
            <w:color w:val="auto"/>
          </w:rPr>
          <m:t>&gt;0</m:t>
        </m:r>
        <m:r>
          <m:rPr>
            <m:sty m:val="p"/>
          </m:rPr>
          <w:rPr>
            <w:rFonts w:hint="eastAsia" w:ascii="Cambria Math" w:hAnsi="Cambria Math" w:eastAsia="宋体"/>
            <w:color w:val="auto"/>
          </w:rPr>
          <m:t>，</m:t>
        </m:r>
        <m:r>
          <m:rPr/>
          <w:rPr>
            <w:rFonts w:ascii="Cambria Math" w:hAnsi="Cambria Math" w:eastAsia="宋体"/>
            <w:color w:val="auto"/>
          </w:rPr>
          <m:t>z</m:t>
        </m:r>
        <m:r>
          <m:rPr>
            <m:sty m:val="p"/>
          </m:rPr>
          <w:rPr>
            <w:rFonts w:ascii="Cambria Math" w:hAnsi="Cambria Math" w:eastAsia="宋体"/>
            <w:color w:val="auto"/>
          </w:rPr>
          <m:t>=0</m:t>
        </m:r>
      </m:oMath>
    </w:p>
    <w:p w14:paraId="48595F46">
      <w:pPr>
        <w:pStyle w:val="276"/>
        <w:widowControl w:val="0"/>
        <w:ind w:firstLine="480"/>
        <w:jc w:val="both"/>
        <w:rPr>
          <w:color w:val="auto"/>
        </w:rPr>
      </w:pPr>
      <w:r>
        <w:rPr>
          <w:rFonts w:hint="eastAsia"/>
          <w:color w:val="auto"/>
        </w:rPr>
        <w:t>非连续点源</w:t>
      </w:r>
      <m:oMath>
        <m:r>
          <m:rPr>
            <m:sty m:val="p"/>
          </m:rPr>
          <w:rPr>
            <w:rFonts w:ascii="Cambria Math" w:hAnsi="Cambria Math"/>
            <w:color w:val="auto"/>
          </w:rPr>
          <m:t>c</m:t>
        </m:r>
        <m:d>
          <m:dPr>
            <m:ctrlPr>
              <w:rPr>
                <w:rFonts w:ascii="Cambria Math" w:hAnsi="Cambria Math"/>
                <w:color w:val="auto"/>
              </w:rPr>
            </m:ctrlPr>
          </m:dPr>
          <m:e>
            <m:r>
              <m:rPr/>
              <w:rPr>
                <w:rFonts w:ascii="Cambria Math" w:hAnsi="Cambria Math"/>
                <w:color w:val="auto"/>
              </w:rPr>
              <m:t>z</m:t>
            </m:r>
            <m:r>
              <m:rPr>
                <m:sty m:val="p"/>
              </m:rPr>
              <w:rPr>
                <w:rFonts w:ascii="Cambria Math" w:hAnsi="Cambria Math"/>
                <w:color w:val="auto"/>
              </w:rPr>
              <m:t>，</m:t>
            </m:r>
            <m:r>
              <m:rPr/>
              <w:rPr>
                <w:rFonts w:ascii="Cambria Math" w:hAnsi="Cambria Math"/>
                <w:color w:val="auto"/>
              </w:rPr>
              <m:t>t</m:t>
            </m:r>
            <m:ctrlPr>
              <w:rPr>
                <w:rFonts w:ascii="Cambria Math" w:hAnsi="Cambria Math"/>
                <w:color w:val="auto"/>
              </w:rPr>
            </m:ctrlPr>
          </m:e>
        </m:d>
        <m:r>
          <m:rPr>
            <m:sty m:val="p"/>
          </m:rPr>
          <w:rPr>
            <w:rFonts w:ascii="Cambria Math" w:hAnsi="Cambria Math"/>
            <w:color w:val="auto"/>
          </w:rPr>
          <m:t>=</m:t>
        </m:r>
        <m:d>
          <m:dPr>
            <m:begChr m:val="{"/>
            <m:endChr m:val=""/>
            <m:ctrlPr>
              <w:rPr>
                <w:rFonts w:ascii="Cambria Math" w:hAnsi="Cambria Math"/>
                <w:color w:val="auto"/>
              </w:rPr>
            </m:ctrlPr>
          </m:dPr>
          <m:e>
            <m:eqArr>
              <m:eqArrPr>
                <m:ctrlPr>
                  <w:rPr>
                    <w:rFonts w:ascii="Cambria Math" w:hAnsi="Cambria Math"/>
                    <w:color w:val="auto"/>
                  </w:rPr>
                </m:ctrlPr>
              </m:eqArrPr>
              <m:e>
                <m:sSub>
                  <m:sSubPr>
                    <m:ctrlPr>
                      <w:rPr>
                        <w:rFonts w:ascii="Cambria Math" w:hAnsi="Cambria Math"/>
                        <w:color w:val="auto"/>
                      </w:rPr>
                    </m:ctrlPr>
                  </m:sSubPr>
                  <m:e>
                    <m:r>
                      <m:rPr/>
                      <w:rPr>
                        <w:rFonts w:ascii="Cambria Math" w:hAnsi="Cambria Math"/>
                        <w:color w:val="auto"/>
                      </w:rPr>
                      <m:t>c</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r>
                  <m:rPr>
                    <m:sty m:val="p"/>
                  </m:rPr>
                  <w:rPr>
                    <w:rFonts w:ascii="Cambria Math" w:hAnsi="Cambria Math"/>
                    <w:color w:val="auto"/>
                  </w:rPr>
                  <m:t>，&amp;0&lt;</m:t>
                </m:r>
                <m:r>
                  <m:rPr/>
                  <w:rPr>
                    <w:rFonts w:ascii="Cambria Math" w:hAnsi="Cambria Math"/>
                    <w:color w:val="auto"/>
                  </w:rPr>
                  <m:t>t</m:t>
                </m:r>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t</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ctrlPr>
                  <w:rPr>
                    <w:rFonts w:ascii="Cambria Math" w:hAnsi="Cambria Math"/>
                    <w:color w:val="auto"/>
                  </w:rPr>
                </m:ctrlPr>
              </m:e>
              <m:e>
                <m:r>
                  <m:rPr>
                    <m:sty m:val="p"/>
                  </m:rPr>
                  <w:rPr>
                    <w:rFonts w:ascii="Cambria Math" w:hAnsi="Cambria Math"/>
                    <w:color w:val="auto"/>
                  </w:rPr>
                  <m:t>0，&amp;</m:t>
                </m:r>
                <m:r>
                  <m:rPr/>
                  <w:rPr>
                    <w:rFonts w:ascii="Cambria Math" w:hAnsi="Cambria Math"/>
                    <w:color w:val="auto"/>
                  </w:rPr>
                  <m:t>t</m:t>
                </m:r>
                <m:r>
                  <m:rPr>
                    <m:sty m:val="p"/>
                  </m:rPr>
                  <w:rPr>
                    <w:rFonts w:ascii="Cambria Math" w:hAnsi="Cambria Math"/>
                    <w:color w:val="auto"/>
                  </w:rPr>
                  <m:t>&gt;</m:t>
                </m:r>
                <m:sSub>
                  <m:sSubPr>
                    <m:ctrlPr>
                      <w:rPr>
                        <w:rFonts w:ascii="Cambria Math" w:hAnsi="Cambria Math"/>
                        <w:color w:val="auto"/>
                      </w:rPr>
                    </m:ctrlPr>
                  </m:sSubPr>
                  <m:e>
                    <m:r>
                      <m:rPr/>
                      <w:rPr>
                        <w:rFonts w:ascii="Cambria Math" w:hAnsi="Cambria Math"/>
                        <w:color w:val="auto"/>
                      </w:rPr>
                      <m:t>t</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ctrlPr>
                  <w:rPr>
                    <w:rFonts w:ascii="Cambria Math" w:hAnsi="Cambria Math"/>
                    <w:color w:val="auto"/>
                  </w:rPr>
                </m:ctrlPr>
              </m:e>
            </m:eqArr>
            <m:ctrlPr>
              <w:rPr>
                <w:rFonts w:ascii="Cambria Math" w:hAnsi="Cambria Math"/>
                <w:color w:val="auto"/>
              </w:rPr>
            </m:ctrlPr>
          </m:e>
        </m:d>
      </m:oMath>
    </w:p>
    <w:p w14:paraId="27A8E775">
      <w:pPr>
        <w:pStyle w:val="276"/>
        <w:widowControl w:val="0"/>
        <w:ind w:firstLine="480"/>
        <w:jc w:val="both"/>
        <w:rPr>
          <w:color w:val="auto"/>
        </w:rPr>
      </w:pPr>
      <w:r>
        <w:rPr>
          <w:rFonts w:hint="eastAsia"/>
          <w:color w:val="auto"/>
        </w:rPr>
        <w:t>第二类Neumann零梯度边界条件：</w:t>
      </w:r>
    </w:p>
    <w:p w14:paraId="15C443FB">
      <w:pPr>
        <w:adjustRightInd w:val="0"/>
        <w:snapToGrid w:val="0"/>
        <w:spacing w:line="331" w:lineRule="auto"/>
        <w:rPr>
          <w:rFonts w:ascii="宋体" w:hAnsi="宋体" w:eastAsia="宋体"/>
          <w:color w:val="auto"/>
        </w:rPr>
      </w:pPr>
      <m:oMathPara>
        <m:oMath>
          <m:r>
            <m:rPr>
              <m:sty m:val="p"/>
            </m:rPr>
            <w:rPr>
              <w:rFonts w:hint="eastAsia" w:ascii="Cambria Math" w:hAnsi="Cambria Math" w:eastAsia="微软雅黑" w:cs="微软雅黑"/>
              <w:color w:val="auto"/>
            </w:rPr>
            <m:t>−</m:t>
          </m:r>
          <m:r>
            <m:rPr/>
            <w:rPr>
              <w:rFonts w:ascii="Cambria Math" w:hAnsi="Cambria Math" w:eastAsia="宋体"/>
              <w:color w:val="auto"/>
            </w:rPr>
            <m:t>θD</m:t>
          </m:r>
          <m:f>
            <m:fPr>
              <m:ctrlPr>
                <w:rPr>
                  <w:rFonts w:ascii="Cambria Math" w:hAnsi="Cambria Math" w:eastAsia="宋体"/>
                  <w:color w:val="auto"/>
                </w:rPr>
              </m:ctrlPr>
            </m:fPr>
            <m:num>
              <m:r>
                <m:rPr/>
                <w:rPr>
                  <w:rFonts w:ascii="Cambria Math" w:hAnsi="Cambria Math" w:eastAsia="宋体"/>
                  <w:color w:val="auto"/>
                </w:rPr>
                <m:t>∂c</m:t>
              </m:r>
              <m:ctrlPr>
                <w:rPr>
                  <w:rFonts w:ascii="Cambria Math" w:hAnsi="Cambria Math" w:eastAsia="宋体"/>
                  <w:color w:val="auto"/>
                </w:rPr>
              </m:ctrlPr>
            </m:num>
            <m:den>
              <m:r>
                <m:rPr/>
                <w:rPr>
                  <w:rFonts w:ascii="Cambria Math" w:hAnsi="Cambria Math" w:eastAsia="宋体"/>
                  <w:color w:val="auto"/>
                </w:rPr>
                <m:t>∂z</m:t>
              </m:r>
              <m:ctrlPr>
                <w:rPr>
                  <w:rFonts w:ascii="Cambria Math" w:hAnsi="Cambria Math" w:eastAsia="宋体"/>
                  <w:color w:val="auto"/>
                </w:rPr>
              </m:ctrlPr>
            </m:den>
          </m:f>
          <m:r>
            <m:rPr>
              <m:sty m:val="p"/>
            </m:rPr>
            <w:rPr>
              <w:rFonts w:ascii="Cambria Math" w:hAnsi="Cambria Math" w:eastAsia="宋体"/>
              <w:color w:val="auto"/>
            </w:rPr>
            <m:t>=0</m:t>
          </m:r>
          <m:r>
            <m:rPr/>
            <w:rPr>
              <w:rFonts w:ascii="Cambria Math" w:hAnsi="Cambria Math" w:eastAsia="宋体"/>
              <w:color w:val="auto"/>
            </w:rPr>
            <m:t>t</m:t>
          </m:r>
          <m:r>
            <m:rPr>
              <m:sty m:val="p"/>
            </m:rPr>
            <w:rPr>
              <w:rFonts w:ascii="Cambria Math" w:hAnsi="Cambria Math" w:eastAsia="宋体"/>
              <w:color w:val="auto"/>
            </w:rPr>
            <m:t>&gt;0</m:t>
          </m:r>
          <m:r>
            <m:rPr>
              <m:sty m:val="p"/>
            </m:rPr>
            <w:rPr>
              <w:rFonts w:hint="eastAsia" w:ascii="Cambria Math" w:hAnsi="Cambria Math" w:eastAsia="宋体"/>
              <w:color w:val="auto"/>
            </w:rPr>
            <m:t>，</m:t>
          </m:r>
          <m:r>
            <m:rPr/>
            <w:rPr>
              <w:rFonts w:ascii="Cambria Math" w:hAnsi="Cambria Math" w:eastAsia="宋体"/>
              <w:color w:val="auto"/>
            </w:rPr>
            <m:t>z</m:t>
          </m:r>
          <m:r>
            <m:rPr>
              <m:sty m:val="p"/>
            </m:rPr>
            <w:rPr>
              <w:rFonts w:ascii="Cambria Math" w:hAnsi="Cambria Math" w:eastAsia="宋体"/>
              <w:color w:val="auto"/>
            </w:rPr>
            <m:t>=</m:t>
          </m:r>
          <m:r>
            <m:rPr/>
            <w:rPr>
              <w:rFonts w:ascii="Cambria Math" w:hAnsi="Cambria Math" w:eastAsia="宋体"/>
              <w:color w:val="auto"/>
            </w:rPr>
            <m:t>L</m:t>
          </m:r>
        </m:oMath>
      </m:oMathPara>
    </w:p>
    <w:p w14:paraId="2570AACF">
      <w:pPr>
        <w:pStyle w:val="276"/>
        <w:widowControl w:val="0"/>
        <w:ind w:firstLine="480"/>
        <w:jc w:val="both"/>
        <w:rPr>
          <w:color w:val="auto"/>
        </w:rPr>
      </w:pPr>
      <w:r>
        <w:rPr>
          <w:rFonts w:hint="eastAsia"/>
          <w:color w:val="auto"/>
        </w:rPr>
        <w:t>④</w:t>
      </w:r>
      <w:r>
        <w:rPr>
          <w:color w:val="auto"/>
        </w:rPr>
        <w:t>软件</w:t>
      </w:r>
      <w:r>
        <w:rPr>
          <w:rFonts w:hint="eastAsia"/>
          <w:color w:val="auto"/>
        </w:rPr>
        <w:t>选用及简介</w:t>
      </w:r>
    </w:p>
    <w:p w14:paraId="6E558AA2">
      <w:pPr>
        <w:pStyle w:val="276"/>
        <w:widowControl w:val="0"/>
        <w:ind w:firstLine="480"/>
        <w:jc w:val="both"/>
        <w:rPr>
          <w:color w:val="auto"/>
        </w:rPr>
      </w:pPr>
      <w:r>
        <w:rPr>
          <w:rFonts w:hint="eastAsia"/>
          <w:color w:val="auto"/>
        </w:rPr>
        <w:t>本次土壤数值模拟选用HYDRUS-1D软件。HYDRUS软件由美国国家盐土改良中心（USSalinitylaboratory）、美国农业部、农业研究会联合开发，于1991年研制成功的HYDRUS模型是一套用于模拟变饱和多孔介质中水分、能量、溶质运移的数值模型。经改进与完善，目前已得到广泛认可与应用，能够较好地模拟水分、溶质与能量在土壤中的分布，时空变化，运移规律，分析人们普遍关注的农田灌溉、田间施肥、环境污染等实际问题。</w:t>
      </w:r>
    </w:p>
    <w:p w14:paraId="62B454F9">
      <w:pPr>
        <w:pStyle w:val="276"/>
        <w:widowControl w:val="0"/>
        <w:ind w:firstLine="480"/>
        <w:jc w:val="both"/>
        <w:rPr>
          <w:color w:val="auto"/>
        </w:rPr>
      </w:pPr>
      <w:r>
        <w:rPr>
          <w:rFonts w:hint="eastAsia"/>
          <w:color w:val="auto"/>
        </w:rPr>
        <w:t>⑤模型构建</w:t>
      </w:r>
    </w:p>
    <w:p w14:paraId="3B2CB27E">
      <w:pPr>
        <w:pStyle w:val="276"/>
        <w:widowControl w:val="0"/>
        <w:ind w:firstLine="480"/>
        <w:jc w:val="both"/>
        <w:rPr>
          <w:color w:val="auto"/>
        </w:rPr>
      </w:pPr>
      <w:r>
        <w:rPr>
          <w:rFonts w:hint="eastAsia"/>
          <w:color w:val="auto"/>
        </w:rPr>
        <w:t>包气带污染物运移模型为：集油管线出现泄漏对特征污染物石油类在包气带中的运移进行模拟。</w:t>
      </w:r>
    </w:p>
    <w:p w14:paraId="3CC8640A">
      <w:pPr>
        <w:pStyle w:val="276"/>
        <w:widowControl w:val="0"/>
        <w:ind w:firstLine="480"/>
        <w:jc w:val="both"/>
        <w:rPr>
          <w:color w:val="auto"/>
        </w:rPr>
      </w:pPr>
      <w:r>
        <w:rPr>
          <w:color w:val="auto"/>
        </w:rPr>
        <w:t>根据资料调研结果，本项目模型选择自地表向下3m范围内进行模拟，土壤质地以壤土为主。模拟厚度设置为3m，模型剖分按10cm间隔，共301个节点。在模型中设置6个观测点位，编号N1～N6，分别位于-0.5m、-1.0m、-1.5m、-2.0m、-2.5m、-3.0m深处。</w:t>
      </w:r>
    </w:p>
    <w:p w14:paraId="6EB2AC6C">
      <w:pPr>
        <w:pStyle w:val="4"/>
        <w:ind w:firstLine="480"/>
        <w:rPr>
          <w:color w:val="auto"/>
        </w:rPr>
      </w:pPr>
      <w:r>
        <w:rPr>
          <w:rFonts w:hint="eastAsia"/>
          <w:color w:val="auto"/>
        </w:rPr>
        <w:t>本次设定模型运行时间为</w:t>
      </w:r>
      <w:r>
        <w:rPr>
          <w:color w:val="auto"/>
        </w:rPr>
        <w:t>10</w:t>
      </w:r>
      <w:r>
        <w:rPr>
          <w:rFonts w:hint="eastAsia"/>
          <w:color w:val="auto"/>
        </w:rPr>
        <w:t>00d，本次共设置了</w:t>
      </w:r>
      <w:r>
        <w:rPr>
          <w:color w:val="auto"/>
        </w:rPr>
        <w:t>7</w:t>
      </w:r>
      <w:r>
        <w:rPr>
          <w:rFonts w:hint="eastAsia"/>
          <w:color w:val="auto"/>
        </w:rPr>
        <w:t>个输出时间点，分别为</w:t>
      </w:r>
      <w:r>
        <w:rPr>
          <w:rFonts w:cs="Times New Roman"/>
          <w:color w:val="auto"/>
        </w:rPr>
        <w:t>10d</w:t>
      </w:r>
      <w:r>
        <w:rPr>
          <w:rFonts w:hint="eastAsia" w:cs="Times New Roman"/>
          <w:color w:val="auto"/>
        </w:rPr>
        <w:t>、</w:t>
      </w:r>
      <w:r>
        <w:rPr>
          <w:rFonts w:cs="Times New Roman"/>
          <w:color w:val="auto"/>
        </w:rPr>
        <w:t>100d</w:t>
      </w:r>
      <w:r>
        <w:rPr>
          <w:rFonts w:hint="eastAsia" w:cs="Times New Roman"/>
          <w:color w:val="auto"/>
        </w:rPr>
        <w:t>、2</w:t>
      </w:r>
      <w:r>
        <w:rPr>
          <w:rFonts w:cs="Times New Roman"/>
          <w:color w:val="auto"/>
        </w:rPr>
        <w:t>00d</w:t>
      </w:r>
      <w:r>
        <w:rPr>
          <w:rFonts w:hint="eastAsia" w:cs="Times New Roman"/>
          <w:color w:val="auto"/>
        </w:rPr>
        <w:t>、3</w:t>
      </w:r>
      <w:r>
        <w:rPr>
          <w:rFonts w:cs="Times New Roman"/>
          <w:color w:val="auto"/>
        </w:rPr>
        <w:t>00d</w:t>
      </w:r>
      <w:r>
        <w:rPr>
          <w:rFonts w:hint="eastAsia" w:cs="Times New Roman"/>
          <w:color w:val="auto"/>
        </w:rPr>
        <w:t>、</w:t>
      </w:r>
      <w:r>
        <w:rPr>
          <w:rFonts w:cs="Times New Roman"/>
          <w:color w:val="auto"/>
        </w:rPr>
        <w:t>500d</w:t>
      </w:r>
      <w:r>
        <w:rPr>
          <w:rFonts w:hint="eastAsia" w:cs="Times New Roman"/>
          <w:color w:val="auto"/>
        </w:rPr>
        <w:t>、</w:t>
      </w:r>
      <w:r>
        <w:rPr>
          <w:rFonts w:cs="Times New Roman"/>
          <w:color w:val="auto"/>
        </w:rPr>
        <w:t>800d</w:t>
      </w:r>
      <w:r>
        <w:rPr>
          <w:rFonts w:hint="eastAsia" w:cs="Times New Roman"/>
          <w:color w:val="auto"/>
        </w:rPr>
        <w:t>、</w:t>
      </w:r>
      <w:r>
        <w:rPr>
          <w:rFonts w:cs="Times New Roman"/>
          <w:color w:val="auto"/>
        </w:rPr>
        <w:t>1000d</w:t>
      </w:r>
      <w:r>
        <w:rPr>
          <w:color w:val="auto"/>
        </w:rPr>
        <w:t>。</w:t>
      </w:r>
    </w:p>
    <w:p w14:paraId="578D8E70">
      <w:pPr>
        <w:adjustRightInd w:val="0"/>
        <w:snapToGrid w:val="0"/>
        <w:jc w:val="center"/>
        <w:textAlignment w:val="center"/>
        <w:rPr>
          <w:rFonts w:ascii="宋体" w:hAnsi="宋体" w:eastAsia="宋体"/>
          <w:color w:val="auto"/>
        </w:rPr>
      </w:pPr>
      <w:r>
        <w:rPr>
          <w:rFonts w:ascii="宋体" w:hAnsi="宋体" w:eastAsia="宋体"/>
          <w:color w:val="auto"/>
        </w:rPr>
        <w:drawing>
          <wp:inline distT="0" distB="0" distL="0" distR="0">
            <wp:extent cx="2253615" cy="3829050"/>
            <wp:effectExtent l="9525" t="9525" r="22860" b="9525"/>
            <wp:docPr id="1856" name="图片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图片 1856"/>
                    <pic:cNvPicPr>
                      <a:picLocks noChangeAspect="1"/>
                    </pic:cNvPicPr>
                  </pic:nvPicPr>
                  <pic:blipFill>
                    <a:blip r:embed="rId142"/>
                    <a:stretch>
                      <a:fillRect/>
                    </a:stretch>
                  </pic:blipFill>
                  <pic:spPr>
                    <a:xfrm>
                      <a:off x="0" y="0"/>
                      <a:ext cx="2253615" cy="3829050"/>
                    </a:xfrm>
                    <a:prstGeom prst="rect">
                      <a:avLst/>
                    </a:prstGeom>
                    <a:ln w="0" cmpd="sng">
                      <a:solidFill>
                        <a:sysClr val="windowText" lastClr="000000"/>
                      </a:solidFill>
                      <a:prstDash val="solid"/>
                    </a:ln>
                  </pic:spPr>
                </pic:pic>
              </a:graphicData>
            </a:graphic>
          </wp:inline>
        </w:drawing>
      </w:r>
      <w:r>
        <w:rPr>
          <w:rFonts w:ascii="宋体" w:hAnsi="宋体" w:eastAsia="宋体"/>
          <w:color w:val="auto"/>
        </w:rPr>
        <w:drawing>
          <wp:inline distT="0" distB="0" distL="0" distR="0">
            <wp:extent cx="1143000" cy="3888740"/>
            <wp:effectExtent l="0" t="0" r="0" b="16510"/>
            <wp:docPr id="1857" name="图片 1857" descr="C:\Users\DELL\AppData\Local\Temp\企业微信截图_16227755458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图片 1857" descr="C:\Users\DELL\AppData\Local\Temp\企业微信截图_16227755458073.png"/>
                    <pic:cNvPicPr>
                      <a:picLocks noChangeAspect="1" noChangeArrowheads="1"/>
                    </pic:cNvPicPr>
                  </pic:nvPicPr>
                  <pic:blipFill>
                    <a:blip r:embed="rId143"/>
                    <a:srcRect/>
                    <a:stretch>
                      <a:fillRect/>
                    </a:stretch>
                  </pic:blipFill>
                  <pic:spPr>
                    <a:xfrm>
                      <a:off x="0" y="0"/>
                      <a:ext cx="1143000" cy="3888740"/>
                    </a:xfrm>
                    <a:prstGeom prst="rect">
                      <a:avLst/>
                    </a:prstGeom>
                    <a:noFill/>
                    <a:ln>
                      <a:noFill/>
                    </a:ln>
                  </pic:spPr>
                </pic:pic>
              </a:graphicData>
            </a:graphic>
          </wp:inline>
        </w:drawing>
      </w:r>
    </w:p>
    <w:p w14:paraId="6C9E4B68">
      <w:pPr>
        <w:spacing w:before="163"/>
        <w:jc w:val="center"/>
        <w:rPr>
          <w:rFonts w:ascii="宋体" w:hAnsi="宋体" w:eastAsia="宋体"/>
          <w:color w:val="auto"/>
        </w:rPr>
      </w:pPr>
      <w:r>
        <w:rPr>
          <w:rFonts w:hint="eastAsia" w:ascii="宋体" w:hAnsi="宋体" w:eastAsia="宋体"/>
          <w:color w:val="auto"/>
        </w:rPr>
        <w:t>图</w:t>
      </w:r>
      <w:r>
        <w:rPr>
          <w:rFonts w:ascii="宋体" w:hAnsi="宋体" w:eastAsia="宋体"/>
          <w:color w:val="auto"/>
        </w:rPr>
        <w:fldChar w:fldCharType="begin"/>
      </w:r>
      <w:r>
        <w:rPr>
          <w:rFonts w:ascii="宋体" w:hAnsi="宋体" w:eastAsia="宋体"/>
          <w:color w:val="auto"/>
        </w:rPr>
        <w:instrText xml:space="preserve"> </w:instrText>
      </w:r>
      <w:r>
        <w:rPr>
          <w:rFonts w:hint="eastAsia" w:ascii="宋体" w:hAnsi="宋体" w:eastAsia="宋体"/>
          <w:color w:val="auto"/>
        </w:rPr>
        <w:instrText xml:space="preserve">STYLEREF 2 \s</w:instrText>
      </w:r>
      <w:r>
        <w:rPr>
          <w:rFonts w:ascii="宋体" w:hAnsi="宋体" w:eastAsia="宋体"/>
          <w:color w:val="auto"/>
        </w:rPr>
        <w:instrText xml:space="preserve"> </w:instrText>
      </w:r>
      <w:r>
        <w:rPr>
          <w:rFonts w:ascii="宋体" w:hAnsi="宋体" w:eastAsia="宋体"/>
          <w:color w:val="auto"/>
        </w:rPr>
        <w:fldChar w:fldCharType="separate"/>
      </w:r>
      <w:r>
        <w:rPr>
          <w:rFonts w:ascii="宋体" w:hAnsi="宋体" w:eastAsia="宋体"/>
          <w:color w:val="auto"/>
        </w:rPr>
        <w:t>5.6</w:t>
      </w:r>
      <w:r>
        <w:rPr>
          <w:rFonts w:ascii="宋体" w:hAnsi="宋体" w:eastAsia="宋体"/>
          <w:color w:val="auto"/>
        </w:rPr>
        <w:fldChar w:fldCharType="end"/>
      </w:r>
      <w:r>
        <w:rPr>
          <w:rFonts w:ascii="宋体" w:hAnsi="宋体" w:eastAsia="宋体"/>
          <w:color w:val="auto"/>
        </w:rPr>
        <w:noBreakHyphen/>
      </w:r>
      <w:r>
        <w:rPr>
          <w:rFonts w:ascii="宋体" w:hAnsi="宋体" w:eastAsia="宋体"/>
          <w:color w:val="auto"/>
        </w:rPr>
        <w:fldChar w:fldCharType="begin"/>
      </w:r>
      <w:r>
        <w:rPr>
          <w:rFonts w:ascii="宋体" w:hAnsi="宋体" w:eastAsia="宋体"/>
          <w:color w:val="auto"/>
        </w:rPr>
        <w:instrText xml:space="preserve"> </w:instrText>
      </w:r>
      <w:r>
        <w:rPr>
          <w:rFonts w:hint="eastAsia" w:ascii="宋体" w:hAnsi="宋体" w:eastAsia="宋体"/>
          <w:color w:val="auto"/>
        </w:rPr>
        <w:instrText xml:space="preserve">SEQ 图 \* ARABIC \s 2</w:instrText>
      </w:r>
      <w:r>
        <w:rPr>
          <w:rFonts w:ascii="宋体" w:hAnsi="宋体" w:eastAsia="宋体"/>
          <w:color w:val="auto"/>
        </w:rPr>
        <w:instrText xml:space="preserve"> </w:instrText>
      </w:r>
      <w:r>
        <w:rPr>
          <w:rFonts w:ascii="宋体" w:hAnsi="宋体" w:eastAsia="宋体"/>
          <w:color w:val="auto"/>
        </w:rPr>
        <w:fldChar w:fldCharType="separate"/>
      </w:r>
      <w:r>
        <w:rPr>
          <w:rFonts w:ascii="宋体" w:hAnsi="宋体" w:eastAsia="宋体"/>
          <w:color w:val="auto"/>
        </w:rPr>
        <w:t>1</w:t>
      </w:r>
      <w:r>
        <w:rPr>
          <w:rFonts w:ascii="宋体" w:hAnsi="宋体" w:eastAsia="宋体"/>
          <w:color w:val="auto"/>
        </w:rPr>
        <w:fldChar w:fldCharType="end"/>
      </w:r>
      <w:r>
        <w:rPr>
          <w:rFonts w:hint="eastAsia" w:ascii="宋体" w:hAnsi="宋体" w:eastAsia="宋体"/>
          <w:color w:val="auto"/>
        </w:rPr>
        <w:t>模型结构图</w:t>
      </w:r>
    </w:p>
    <w:p w14:paraId="0FBFC421">
      <w:pPr>
        <w:adjustRightInd w:val="0"/>
        <w:snapToGrid w:val="0"/>
        <w:spacing w:line="331" w:lineRule="auto"/>
        <w:ind w:firstLine="420" w:firstLineChars="200"/>
        <w:rPr>
          <w:rFonts w:ascii="宋体" w:hAnsi="宋体" w:eastAsia="宋体"/>
          <w:color w:val="auto"/>
        </w:rPr>
      </w:pPr>
    </w:p>
    <w:p w14:paraId="4AD3D677">
      <w:pPr>
        <w:pStyle w:val="276"/>
        <w:widowControl w:val="0"/>
        <w:ind w:firstLine="480"/>
        <w:jc w:val="both"/>
        <w:rPr>
          <w:color w:val="auto"/>
        </w:rPr>
      </w:pPr>
      <w:r>
        <w:rPr>
          <w:rFonts w:hint="eastAsia"/>
          <w:color w:val="auto"/>
        </w:rPr>
        <w:t>6）泄漏源强及参数选取</w:t>
      </w:r>
    </w:p>
    <w:p w14:paraId="3BD78113">
      <w:pPr>
        <w:pStyle w:val="276"/>
        <w:widowControl w:val="0"/>
        <w:ind w:firstLine="480"/>
        <w:jc w:val="both"/>
        <w:rPr>
          <w:color w:val="auto"/>
        </w:rPr>
      </w:pPr>
      <w:r>
        <w:rPr>
          <w:rFonts w:hint="eastAsia"/>
          <w:color w:val="auto"/>
        </w:rPr>
        <w:t>①参数选取</w:t>
      </w:r>
    </w:p>
    <w:p w14:paraId="557F9AAE">
      <w:pPr>
        <w:pStyle w:val="276"/>
        <w:widowControl w:val="0"/>
        <w:ind w:firstLine="480"/>
        <w:jc w:val="both"/>
        <w:rPr>
          <w:color w:val="auto"/>
        </w:rPr>
      </w:pPr>
      <w:r>
        <w:rPr>
          <w:rFonts w:hint="eastAsia"/>
          <w:color w:val="auto"/>
        </w:rPr>
        <w:t>本项目所在地土壤质地主要为壤土，土壤水力参数见</w:t>
      </w:r>
      <w:r>
        <w:rPr>
          <w:color w:val="auto"/>
        </w:rPr>
        <w:fldChar w:fldCharType="begin"/>
      </w:r>
      <w:r>
        <w:rPr>
          <w:color w:val="auto"/>
        </w:rPr>
        <w:instrText xml:space="preserve"> </w:instrText>
      </w:r>
      <w:r>
        <w:rPr>
          <w:rFonts w:hint="eastAsia"/>
          <w:color w:val="auto"/>
        </w:rPr>
        <w:instrText xml:space="preserve">REF _Ref192174134 \h</w:instrText>
      </w:r>
      <w:r>
        <w:rPr>
          <w:color w:val="auto"/>
        </w:rPr>
        <w:instrText xml:space="preserve">  \* MERGEFORMAT </w:instrText>
      </w:r>
      <w:r>
        <w:rPr>
          <w:color w:val="auto"/>
        </w:rPr>
        <w:fldChar w:fldCharType="separate"/>
      </w:r>
      <w:r>
        <w:rPr>
          <w:color w:val="auto"/>
        </w:rPr>
        <w:t>表5.6</w:t>
      </w:r>
      <w:r>
        <w:rPr>
          <w:color w:val="auto"/>
        </w:rPr>
        <w:noBreakHyphen/>
      </w:r>
      <w:r>
        <w:rPr>
          <w:color w:val="auto"/>
        </w:rPr>
        <w:t>2</w:t>
      </w:r>
      <w:r>
        <w:rPr>
          <w:color w:val="auto"/>
        </w:rPr>
        <w:fldChar w:fldCharType="end"/>
      </w:r>
      <w:r>
        <w:rPr>
          <w:rFonts w:hint="eastAsia"/>
          <w:color w:val="auto"/>
        </w:rPr>
        <w:t>，土壤溶质运移参数见</w:t>
      </w:r>
      <w:r>
        <w:rPr>
          <w:color w:val="auto"/>
        </w:rPr>
        <w:fldChar w:fldCharType="begin"/>
      </w:r>
      <w:r>
        <w:rPr>
          <w:color w:val="auto"/>
        </w:rPr>
        <w:instrText xml:space="preserve"> </w:instrText>
      </w:r>
      <w:r>
        <w:rPr>
          <w:rFonts w:hint="eastAsia"/>
          <w:color w:val="auto"/>
        </w:rPr>
        <w:instrText xml:space="preserve">REF _Ref37768176 \h</w:instrText>
      </w:r>
      <w:r>
        <w:rPr>
          <w:color w:val="auto"/>
        </w:rPr>
        <w:instrText xml:space="preserve">  \* MERGEFORMAT </w:instrText>
      </w:r>
      <w:r>
        <w:rPr>
          <w:color w:val="auto"/>
        </w:rPr>
        <w:fldChar w:fldCharType="separate"/>
      </w:r>
      <w:r>
        <w:rPr>
          <w:rFonts w:hint="eastAsia"/>
          <w:b/>
          <w:bCs/>
          <w:color w:val="auto"/>
        </w:rPr>
        <w:t>错误!未找到引用源。</w:t>
      </w:r>
      <w:r>
        <w:rPr>
          <w:color w:val="auto"/>
        </w:rPr>
        <w:fldChar w:fldCharType="end"/>
      </w:r>
      <w:r>
        <w:rPr>
          <w:rFonts w:hint="eastAsia"/>
          <w:color w:val="auto"/>
        </w:rPr>
        <w:t>。</w:t>
      </w:r>
    </w:p>
    <w:p w14:paraId="1B5DEAD1">
      <w:pPr>
        <w:spacing w:before="163"/>
        <w:jc w:val="center"/>
        <w:rPr>
          <w:rFonts w:ascii="宋体" w:hAnsi="宋体" w:eastAsia="宋体" w:cs="Times New Roman"/>
          <w:color w:val="auto"/>
        </w:rPr>
      </w:pPr>
      <w:bookmarkStart w:id="1453" w:name="_Ref192174134"/>
      <w:r>
        <w:rPr>
          <w:rFonts w:ascii="宋体" w:hAnsi="宋体" w:eastAsia="宋体"/>
          <w:color w:val="auto"/>
        </w:rPr>
        <w:t>表</w:t>
      </w:r>
      <w:r>
        <w:rPr>
          <w:rFonts w:ascii="宋体" w:hAnsi="宋体" w:eastAsia="宋体"/>
          <w:color w:val="auto"/>
        </w:rPr>
        <w:fldChar w:fldCharType="begin"/>
      </w:r>
      <w:r>
        <w:rPr>
          <w:rFonts w:ascii="宋体" w:hAnsi="宋体" w:eastAsia="宋体"/>
          <w:color w:val="auto"/>
        </w:rPr>
        <w:instrText xml:space="preserve"> STYLEREF 2 \s </w:instrText>
      </w:r>
      <w:r>
        <w:rPr>
          <w:rFonts w:ascii="宋体" w:hAnsi="宋体" w:eastAsia="宋体"/>
          <w:color w:val="auto"/>
        </w:rPr>
        <w:fldChar w:fldCharType="separate"/>
      </w:r>
      <w:r>
        <w:rPr>
          <w:rFonts w:ascii="宋体" w:hAnsi="宋体" w:eastAsia="宋体"/>
          <w:color w:val="auto"/>
        </w:rPr>
        <w:t>5.6</w:t>
      </w:r>
      <w:r>
        <w:rPr>
          <w:rFonts w:ascii="宋体" w:hAnsi="宋体" w:eastAsia="宋体"/>
          <w:color w:val="auto"/>
        </w:rPr>
        <w:fldChar w:fldCharType="end"/>
      </w:r>
      <w:r>
        <w:rPr>
          <w:rFonts w:ascii="宋体" w:hAnsi="宋体" w:eastAsia="宋体"/>
          <w:color w:val="auto"/>
        </w:rPr>
        <w:noBreakHyphen/>
      </w:r>
      <w:r>
        <w:rPr>
          <w:rFonts w:ascii="宋体" w:hAnsi="宋体" w:eastAsia="宋体"/>
          <w:color w:val="auto"/>
        </w:rPr>
        <w:fldChar w:fldCharType="begin"/>
      </w:r>
      <w:r>
        <w:rPr>
          <w:rFonts w:ascii="宋体" w:hAnsi="宋体" w:eastAsia="宋体"/>
          <w:color w:val="auto"/>
        </w:rPr>
        <w:instrText xml:space="preserve"> SEQ 表 \* ARABIC \s 2 </w:instrText>
      </w:r>
      <w:r>
        <w:rPr>
          <w:rFonts w:ascii="宋体" w:hAnsi="宋体" w:eastAsia="宋体"/>
          <w:color w:val="auto"/>
        </w:rPr>
        <w:fldChar w:fldCharType="separate"/>
      </w:r>
      <w:r>
        <w:rPr>
          <w:rFonts w:ascii="宋体" w:hAnsi="宋体" w:eastAsia="宋体"/>
          <w:color w:val="auto"/>
        </w:rPr>
        <w:t>2</w:t>
      </w:r>
      <w:r>
        <w:rPr>
          <w:rFonts w:ascii="宋体" w:hAnsi="宋体" w:eastAsia="宋体"/>
          <w:color w:val="auto"/>
        </w:rPr>
        <w:fldChar w:fldCharType="end"/>
      </w:r>
      <w:bookmarkEnd w:id="1453"/>
      <w:r>
        <w:rPr>
          <w:rFonts w:hint="eastAsia" w:ascii="宋体" w:hAnsi="宋体" w:eastAsia="宋体"/>
          <w:color w:val="auto"/>
        </w:rPr>
        <w:t>土壤水力参数表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5"/>
        <w:gridCol w:w="1135"/>
        <w:gridCol w:w="1133"/>
        <w:gridCol w:w="1133"/>
        <w:gridCol w:w="1133"/>
        <w:gridCol w:w="988"/>
        <w:gridCol w:w="1286"/>
        <w:gridCol w:w="1138"/>
      </w:tblGrid>
      <w:tr w14:paraId="4EA7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5" w:type="pct"/>
            <w:shd w:val="clear" w:color="auto" w:fill="auto"/>
            <w:vAlign w:val="center"/>
          </w:tcPr>
          <w:p w14:paraId="7D061316">
            <w:pPr>
              <w:jc w:val="center"/>
              <w:rPr>
                <w:rFonts w:ascii="宋体" w:hAnsi="宋体" w:eastAsia="宋体"/>
                <w:color w:val="auto"/>
              </w:rPr>
            </w:pPr>
            <w:r>
              <w:rPr>
                <w:rFonts w:ascii="宋体" w:hAnsi="宋体" w:eastAsia="宋体"/>
                <w:color w:val="auto"/>
              </w:rPr>
              <w:t>土壤层次（cm）</w:t>
            </w:r>
          </w:p>
        </w:tc>
        <w:tc>
          <w:tcPr>
            <w:tcW w:w="625" w:type="pct"/>
            <w:shd w:val="clear" w:color="auto" w:fill="auto"/>
            <w:vAlign w:val="center"/>
          </w:tcPr>
          <w:p w14:paraId="6D1737EA">
            <w:pPr>
              <w:jc w:val="center"/>
              <w:rPr>
                <w:rFonts w:ascii="宋体" w:hAnsi="宋体" w:eastAsia="宋体"/>
                <w:color w:val="auto"/>
              </w:rPr>
            </w:pPr>
            <w:r>
              <w:rPr>
                <w:rFonts w:ascii="宋体" w:hAnsi="宋体" w:eastAsia="宋体"/>
                <w:color w:val="auto"/>
              </w:rPr>
              <w:t>土壤质地</w:t>
            </w:r>
          </w:p>
        </w:tc>
        <w:tc>
          <w:tcPr>
            <w:tcW w:w="624" w:type="pct"/>
            <w:shd w:val="clear" w:color="auto" w:fill="auto"/>
            <w:vAlign w:val="center"/>
          </w:tcPr>
          <w:p w14:paraId="2EC8EED7">
            <w:pPr>
              <w:jc w:val="center"/>
              <w:rPr>
                <w:rFonts w:ascii="宋体" w:hAnsi="宋体" w:eastAsia="宋体"/>
                <w:color w:val="auto"/>
              </w:rPr>
            </w:pPr>
            <w:r>
              <w:rPr>
                <w:rFonts w:ascii="宋体" w:hAnsi="宋体" w:eastAsia="宋体"/>
                <w:color w:val="auto"/>
              </w:rPr>
              <w:t>残余含水率θr</w:t>
            </w:r>
          </w:p>
        </w:tc>
        <w:tc>
          <w:tcPr>
            <w:tcW w:w="624" w:type="pct"/>
            <w:shd w:val="clear" w:color="auto" w:fill="auto"/>
            <w:vAlign w:val="center"/>
          </w:tcPr>
          <w:p w14:paraId="6D7F780F">
            <w:pPr>
              <w:jc w:val="center"/>
              <w:rPr>
                <w:rFonts w:ascii="宋体" w:hAnsi="宋体" w:eastAsia="宋体"/>
                <w:color w:val="auto"/>
              </w:rPr>
            </w:pPr>
            <w:r>
              <w:rPr>
                <w:rFonts w:ascii="宋体" w:hAnsi="宋体" w:eastAsia="宋体"/>
                <w:color w:val="auto"/>
              </w:rPr>
              <w:t>饱和含水率θs</w:t>
            </w:r>
          </w:p>
        </w:tc>
        <w:tc>
          <w:tcPr>
            <w:tcW w:w="624" w:type="pct"/>
            <w:shd w:val="clear" w:color="auto" w:fill="auto"/>
            <w:vAlign w:val="center"/>
          </w:tcPr>
          <w:p w14:paraId="4E2DBC01">
            <w:pPr>
              <w:jc w:val="center"/>
              <w:rPr>
                <w:rFonts w:ascii="宋体" w:hAnsi="宋体" w:eastAsia="宋体"/>
                <w:color w:val="auto"/>
              </w:rPr>
            </w:pPr>
            <w:r>
              <w:rPr>
                <w:rFonts w:ascii="宋体" w:hAnsi="宋体" w:eastAsia="宋体"/>
                <w:color w:val="auto"/>
              </w:rPr>
              <w:t>α（cm-1）</w:t>
            </w:r>
          </w:p>
        </w:tc>
        <w:tc>
          <w:tcPr>
            <w:tcW w:w="544" w:type="pct"/>
            <w:shd w:val="clear" w:color="auto" w:fill="auto"/>
            <w:vAlign w:val="center"/>
          </w:tcPr>
          <w:p w14:paraId="4B924336">
            <w:pPr>
              <w:jc w:val="center"/>
              <w:rPr>
                <w:rFonts w:ascii="宋体" w:hAnsi="宋体" w:eastAsia="宋体"/>
                <w:color w:val="auto"/>
              </w:rPr>
            </w:pPr>
            <w:r>
              <w:rPr>
                <w:rFonts w:ascii="宋体" w:hAnsi="宋体" w:eastAsia="宋体"/>
                <w:color w:val="auto"/>
              </w:rPr>
              <w:t>n</w:t>
            </w:r>
          </w:p>
        </w:tc>
        <w:tc>
          <w:tcPr>
            <w:tcW w:w="708" w:type="pct"/>
            <w:shd w:val="clear" w:color="auto" w:fill="auto"/>
            <w:vAlign w:val="center"/>
          </w:tcPr>
          <w:p w14:paraId="45294815">
            <w:pPr>
              <w:jc w:val="center"/>
              <w:rPr>
                <w:rFonts w:ascii="宋体" w:hAnsi="宋体" w:eastAsia="宋体"/>
                <w:color w:val="auto"/>
              </w:rPr>
            </w:pPr>
            <w:r>
              <w:rPr>
                <w:rFonts w:ascii="宋体" w:hAnsi="宋体" w:eastAsia="宋体"/>
                <w:color w:val="auto"/>
              </w:rPr>
              <w:t>饱和导水率Ks（cm/d）</w:t>
            </w:r>
          </w:p>
        </w:tc>
        <w:tc>
          <w:tcPr>
            <w:tcW w:w="626" w:type="pct"/>
            <w:shd w:val="clear" w:color="auto" w:fill="auto"/>
            <w:vAlign w:val="center"/>
          </w:tcPr>
          <w:p w14:paraId="5BBF22D2">
            <w:pPr>
              <w:jc w:val="center"/>
              <w:rPr>
                <w:rFonts w:ascii="宋体" w:hAnsi="宋体" w:eastAsia="宋体"/>
                <w:color w:val="auto"/>
              </w:rPr>
            </w:pPr>
            <w:r>
              <w:rPr>
                <w:rFonts w:ascii="宋体" w:hAnsi="宋体" w:eastAsia="宋体"/>
                <w:color w:val="auto"/>
              </w:rPr>
              <w:t>经验参数l</w:t>
            </w:r>
          </w:p>
        </w:tc>
      </w:tr>
      <w:tr w14:paraId="2C9E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5" w:type="pct"/>
            <w:shd w:val="clear" w:color="auto" w:fill="auto"/>
            <w:vAlign w:val="center"/>
          </w:tcPr>
          <w:p w14:paraId="14887CE0">
            <w:pPr>
              <w:jc w:val="center"/>
              <w:rPr>
                <w:rFonts w:ascii="宋体" w:hAnsi="宋体" w:eastAsia="宋体"/>
                <w:color w:val="auto"/>
              </w:rPr>
            </w:pPr>
            <w:r>
              <w:rPr>
                <w:rFonts w:ascii="宋体" w:hAnsi="宋体" w:eastAsia="宋体"/>
                <w:color w:val="auto"/>
              </w:rPr>
              <w:t>0～50</w:t>
            </w:r>
          </w:p>
        </w:tc>
        <w:tc>
          <w:tcPr>
            <w:tcW w:w="625" w:type="pct"/>
            <w:shd w:val="clear" w:color="auto" w:fill="auto"/>
            <w:vAlign w:val="center"/>
          </w:tcPr>
          <w:p w14:paraId="532B545F">
            <w:pPr>
              <w:jc w:val="center"/>
              <w:rPr>
                <w:rFonts w:ascii="宋体" w:hAnsi="宋体" w:eastAsia="宋体"/>
                <w:color w:val="auto"/>
              </w:rPr>
            </w:pPr>
            <w:r>
              <w:rPr>
                <w:rFonts w:ascii="宋体" w:hAnsi="宋体" w:eastAsia="宋体"/>
                <w:color w:val="auto"/>
              </w:rPr>
              <w:t>壤土</w:t>
            </w:r>
          </w:p>
        </w:tc>
        <w:tc>
          <w:tcPr>
            <w:tcW w:w="624" w:type="pct"/>
            <w:shd w:val="clear" w:color="auto" w:fill="auto"/>
            <w:vAlign w:val="center"/>
          </w:tcPr>
          <w:p w14:paraId="4050A6CA">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.0768</w:t>
            </w:r>
          </w:p>
        </w:tc>
        <w:tc>
          <w:tcPr>
            <w:tcW w:w="624" w:type="pct"/>
            <w:shd w:val="clear" w:color="auto" w:fill="auto"/>
            <w:vAlign w:val="center"/>
          </w:tcPr>
          <w:p w14:paraId="711B6AE5">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.4119</w:t>
            </w:r>
          </w:p>
        </w:tc>
        <w:tc>
          <w:tcPr>
            <w:tcW w:w="624" w:type="pct"/>
            <w:shd w:val="clear" w:color="auto" w:fill="auto"/>
            <w:vAlign w:val="center"/>
          </w:tcPr>
          <w:p w14:paraId="43E0D963">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.0103</w:t>
            </w:r>
          </w:p>
        </w:tc>
        <w:tc>
          <w:tcPr>
            <w:tcW w:w="544" w:type="pct"/>
            <w:shd w:val="clear" w:color="auto" w:fill="auto"/>
            <w:vAlign w:val="center"/>
          </w:tcPr>
          <w:p w14:paraId="24009118">
            <w:pPr>
              <w:jc w:val="center"/>
              <w:rPr>
                <w:rFonts w:ascii="宋体" w:hAnsi="宋体" w:eastAsia="宋体"/>
                <w:color w:val="auto"/>
              </w:rPr>
            </w:pPr>
            <w:r>
              <w:rPr>
                <w:rFonts w:hint="eastAsia" w:ascii="宋体" w:hAnsi="宋体" w:eastAsia="宋体"/>
                <w:color w:val="auto"/>
              </w:rPr>
              <w:t>1</w:t>
            </w:r>
            <w:r>
              <w:rPr>
                <w:rFonts w:ascii="宋体" w:hAnsi="宋体" w:eastAsia="宋体"/>
                <w:color w:val="auto"/>
              </w:rPr>
              <w:t>.461</w:t>
            </w:r>
          </w:p>
        </w:tc>
        <w:tc>
          <w:tcPr>
            <w:tcW w:w="708" w:type="pct"/>
            <w:shd w:val="clear" w:color="auto" w:fill="auto"/>
            <w:vAlign w:val="center"/>
          </w:tcPr>
          <w:p w14:paraId="44CB0F4C">
            <w:pPr>
              <w:jc w:val="center"/>
              <w:rPr>
                <w:rFonts w:ascii="宋体" w:hAnsi="宋体" w:eastAsia="宋体"/>
                <w:color w:val="auto"/>
              </w:rPr>
            </w:pPr>
            <w:r>
              <w:rPr>
                <w:rFonts w:hint="eastAsia" w:ascii="宋体" w:hAnsi="宋体" w:eastAsia="宋体"/>
                <w:color w:val="auto"/>
              </w:rPr>
              <w:t>6</w:t>
            </w:r>
            <w:r>
              <w:rPr>
                <w:rFonts w:ascii="宋体" w:hAnsi="宋体" w:eastAsia="宋体"/>
                <w:color w:val="auto"/>
              </w:rPr>
              <w:t>.47</w:t>
            </w:r>
          </w:p>
        </w:tc>
        <w:tc>
          <w:tcPr>
            <w:tcW w:w="626" w:type="pct"/>
            <w:shd w:val="clear" w:color="auto" w:fill="auto"/>
            <w:vAlign w:val="center"/>
          </w:tcPr>
          <w:p w14:paraId="3D16BEAF">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.5</w:t>
            </w:r>
          </w:p>
        </w:tc>
      </w:tr>
      <w:tr w14:paraId="091F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5" w:type="pct"/>
            <w:shd w:val="clear" w:color="auto" w:fill="auto"/>
            <w:vAlign w:val="center"/>
          </w:tcPr>
          <w:p w14:paraId="49F99564">
            <w:pPr>
              <w:jc w:val="center"/>
              <w:rPr>
                <w:rFonts w:ascii="宋体" w:hAnsi="宋体" w:eastAsia="宋体"/>
                <w:color w:val="auto"/>
              </w:rPr>
            </w:pPr>
            <w:r>
              <w:rPr>
                <w:rFonts w:ascii="宋体" w:hAnsi="宋体" w:eastAsia="宋体"/>
                <w:color w:val="auto"/>
              </w:rPr>
              <w:t>50～150</w:t>
            </w:r>
          </w:p>
        </w:tc>
        <w:tc>
          <w:tcPr>
            <w:tcW w:w="625" w:type="pct"/>
            <w:shd w:val="clear" w:color="auto" w:fill="auto"/>
            <w:vAlign w:val="center"/>
          </w:tcPr>
          <w:p w14:paraId="06E50C60">
            <w:pPr>
              <w:jc w:val="center"/>
              <w:rPr>
                <w:rFonts w:ascii="宋体" w:hAnsi="宋体" w:eastAsia="宋体"/>
                <w:color w:val="auto"/>
              </w:rPr>
            </w:pPr>
            <w:r>
              <w:rPr>
                <w:rFonts w:ascii="宋体" w:hAnsi="宋体" w:eastAsia="宋体"/>
                <w:color w:val="auto"/>
              </w:rPr>
              <w:t>壤土</w:t>
            </w:r>
          </w:p>
        </w:tc>
        <w:tc>
          <w:tcPr>
            <w:tcW w:w="624" w:type="pct"/>
            <w:shd w:val="clear" w:color="auto" w:fill="auto"/>
            <w:vAlign w:val="center"/>
          </w:tcPr>
          <w:p w14:paraId="1C1879B2">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.0788</w:t>
            </w:r>
          </w:p>
        </w:tc>
        <w:tc>
          <w:tcPr>
            <w:tcW w:w="624" w:type="pct"/>
            <w:shd w:val="clear" w:color="auto" w:fill="auto"/>
            <w:vAlign w:val="center"/>
          </w:tcPr>
          <w:p w14:paraId="72016BB1">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.4269</w:t>
            </w:r>
          </w:p>
        </w:tc>
        <w:tc>
          <w:tcPr>
            <w:tcW w:w="624" w:type="pct"/>
            <w:shd w:val="clear" w:color="auto" w:fill="auto"/>
            <w:vAlign w:val="center"/>
          </w:tcPr>
          <w:p w14:paraId="3B8D50D3">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.01</w:t>
            </w:r>
          </w:p>
        </w:tc>
        <w:tc>
          <w:tcPr>
            <w:tcW w:w="544" w:type="pct"/>
            <w:shd w:val="clear" w:color="auto" w:fill="auto"/>
            <w:vAlign w:val="center"/>
          </w:tcPr>
          <w:p w14:paraId="37627B4E">
            <w:pPr>
              <w:jc w:val="center"/>
              <w:rPr>
                <w:rFonts w:ascii="宋体" w:hAnsi="宋体" w:eastAsia="宋体"/>
                <w:color w:val="auto"/>
              </w:rPr>
            </w:pPr>
            <w:r>
              <w:rPr>
                <w:rFonts w:hint="eastAsia" w:ascii="宋体" w:hAnsi="宋体" w:eastAsia="宋体"/>
                <w:color w:val="auto"/>
              </w:rPr>
              <w:t>1</w:t>
            </w:r>
            <w:r>
              <w:rPr>
                <w:rFonts w:ascii="宋体" w:hAnsi="宋体" w:eastAsia="宋体"/>
                <w:color w:val="auto"/>
              </w:rPr>
              <w:t>.481</w:t>
            </w:r>
          </w:p>
        </w:tc>
        <w:tc>
          <w:tcPr>
            <w:tcW w:w="708" w:type="pct"/>
            <w:shd w:val="clear" w:color="auto" w:fill="auto"/>
            <w:vAlign w:val="center"/>
          </w:tcPr>
          <w:p w14:paraId="58213235">
            <w:pPr>
              <w:jc w:val="center"/>
              <w:rPr>
                <w:rFonts w:ascii="宋体" w:hAnsi="宋体" w:eastAsia="宋体"/>
                <w:color w:val="auto"/>
              </w:rPr>
            </w:pPr>
            <w:r>
              <w:rPr>
                <w:rFonts w:hint="eastAsia" w:ascii="宋体" w:hAnsi="宋体" w:eastAsia="宋体"/>
                <w:color w:val="auto"/>
              </w:rPr>
              <w:t>8</w:t>
            </w:r>
            <w:r>
              <w:rPr>
                <w:rFonts w:ascii="宋体" w:hAnsi="宋体" w:eastAsia="宋体"/>
                <w:color w:val="auto"/>
              </w:rPr>
              <w:t>.79</w:t>
            </w:r>
          </w:p>
        </w:tc>
        <w:tc>
          <w:tcPr>
            <w:tcW w:w="626" w:type="pct"/>
            <w:shd w:val="clear" w:color="auto" w:fill="auto"/>
            <w:vAlign w:val="center"/>
          </w:tcPr>
          <w:p w14:paraId="0C8FF10D">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.5</w:t>
            </w:r>
          </w:p>
        </w:tc>
      </w:tr>
      <w:tr w14:paraId="5B26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5" w:type="pct"/>
            <w:shd w:val="clear" w:color="auto" w:fill="auto"/>
            <w:vAlign w:val="center"/>
          </w:tcPr>
          <w:p w14:paraId="0CDC5EA0">
            <w:pPr>
              <w:jc w:val="center"/>
              <w:rPr>
                <w:rFonts w:ascii="宋体" w:hAnsi="宋体" w:eastAsia="宋体"/>
                <w:color w:val="auto"/>
              </w:rPr>
            </w:pPr>
            <w:r>
              <w:rPr>
                <w:rFonts w:ascii="宋体" w:hAnsi="宋体" w:eastAsia="宋体"/>
                <w:color w:val="auto"/>
              </w:rPr>
              <w:t>150～300</w:t>
            </w:r>
          </w:p>
        </w:tc>
        <w:tc>
          <w:tcPr>
            <w:tcW w:w="625" w:type="pct"/>
            <w:shd w:val="clear" w:color="auto" w:fill="auto"/>
            <w:vAlign w:val="center"/>
          </w:tcPr>
          <w:p w14:paraId="7D26DA1E">
            <w:pPr>
              <w:jc w:val="center"/>
              <w:rPr>
                <w:rFonts w:ascii="宋体" w:hAnsi="宋体" w:eastAsia="宋体"/>
                <w:color w:val="auto"/>
              </w:rPr>
            </w:pPr>
            <w:r>
              <w:rPr>
                <w:rFonts w:ascii="宋体" w:hAnsi="宋体" w:eastAsia="宋体"/>
                <w:color w:val="auto"/>
              </w:rPr>
              <w:t>壤土</w:t>
            </w:r>
          </w:p>
        </w:tc>
        <w:tc>
          <w:tcPr>
            <w:tcW w:w="624" w:type="pct"/>
            <w:shd w:val="clear" w:color="auto" w:fill="auto"/>
            <w:vAlign w:val="center"/>
          </w:tcPr>
          <w:p w14:paraId="568AA15D">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.0789</w:t>
            </w:r>
          </w:p>
        </w:tc>
        <w:tc>
          <w:tcPr>
            <w:tcW w:w="624" w:type="pct"/>
            <w:shd w:val="clear" w:color="auto" w:fill="auto"/>
            <w:vAlign w:val="center"/>
          </w:tcPr>
          <w:p w14:paraId="1F5D5F5A">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.4277</w:t>
            </w:r>
          </w:p>
        </w:tc>
        <w:tc>
          <w:tcPr>
            <w:tcW w:w="624" w:type="pct"/>
            <w:shd w:val="clear" w:color="auto" w:fill="auto"/>
            <w:vAlign w:val="center"/>
          </w:tcPr>
          <w:p w14:paraId="5C1FCF1E">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.01</w:t>
            </w:r>
          </w:p>
        </w:tc>
        <w:tc>
          <w:tcPr>
            <w:tcW w:w="544" w:type="pct"/>
            <w:shd w:val="clear" w:color="auto" w:fill="auto"/>
            <w:vAlign w:val="center"/>
          </w:tcPr>
          <w:p w14:paraId="4B59A06B">
            <w:pPr>
              <w:jc w:val="center"/>
              <w:rPr>
                <w:rFonts w:ascii="宋体" w:hAnsi="宋体" w:eastAsia="宋体"/>
                <w:color w:val="auto"/>
              </w:rPr>
            </w:pPr>
            <w:r>
              <w:rPr>
                <w:rFonts w:hint="eastAsia" w:ascii="宋体" w:hAnsi="宋体" w:eastAsia="宋体"/>
                <w:color w:val="auto"/>
              </w:rPr>
              <w:t>1</w:t>
            </w:r>
            <w:r>
              <w:rPr>
                <w:rFonts w:ascii="宋体" w:hAnsi="宋体" w:eastAsia="宋体"/>
                <w:color w:val="auto"/>
              </w:rPr>
              <w:t>.480</w:t>
            </w:r>
          </w:p>
        </w:tc>
        <w:tc>
          <w:tcPr>
            <w:tcW w:w="708" w:type="pct"/>
            <w:shd w:val="clear" w:color="auto" w:fill="auto"/>
            <w:vAlign w:val="center"/>
          </w:tcPr>
          <w:p w14:paraId="486BFFA3">
            <w:pPr>
              <w:jc w:val="center"/>
              <w:rPr>
                <w:rFonts w:ascii="宋体" w:hAnsi="宋体" w:eastAsia="宋体"/>
                <w:color w:val="auto"/>
              </w:rPr>
            </w:pPr>
            <w:r>
              <w:rPr>
                <w:rFonts w:hint="eastAsia" w:ascii="宋体" w:hAnsi="宋体" w:eastAsia="宋体"/>
                <w:color w:val="auto"/>
              </w:rPr>
              <w:t>8</w:t>
            </w:r>
            <w:r>
              <w:rPr>
                <w:rFonts w:ascii="宋体" w:hAnsi="宋体" w:eastAsia="宋体"/>
                <w:color w:val="auto"/>
              </w:rPr>
              <w:t>.93</w:t>
            </w:r>
          </w:p>
        </w:tc>
        <w:tc>
          <w:tcPr>
            <w:tcW w:w="626" w:type="pct"/>
            <w:shd w:val="clear" w:color="auto" w:fill="auto"/>
            <w:vAlign w:val="center"/>
          </w:tcPr>
          <w:p w14:paraId="723AF717">
            <w:pPr>
              <w:jc w:val="center"/>
              <w:rPr>
                <w:rFonts w:ascii="宋体" w:hAnsi="宋体" w:eastAsia="宋体"/>
                <w:color w:val="auto"/>
              </w:rPr>
            </w:pPr>
            <w:r>
              <w:rPr>
                <w:rFonts w:hint="eastAsia" w:ascii="宋体" w:hAnsi="宋体" w:eastAsia="宋体"/>
                <w:color w:val="auto"/>
              </w:rPr>
              <w:t>0</w:t>
            </w:r>
            <w:r>
              <w:rPr>
                <w:rFonts w:ascii="宋体" w:hAnsi="宋体" w:eastAsia="宋体"/>
                <w:color w:val="auto"/>
              </w:rPr>
              <w:t>.5</w:t>
            </w:r>
          </w:p>
        </w:tc>
      </w:tr>
    </w:tbl>
    <w:p w14:paraId="5F30A0D7">
      <w:pPr>
        <w:adjustRightInd w:val="0"/>
        <w:snapToGrid w:val="0"/>
        <w:rPr>
          <w:rFonts w:ascii="宋体" w:hAnsi="宋体" w:eastAsia="宋体"/>
          <w:color w:val="auto"/>
          <w:sz w:val="18"/>
          <w:szCs w:val="18"/>
        </w:rPr>
      </w:pPr>
      <w:r>
        <w:rPr>
          <w:rFonts w:hint="eastAsia" w:ascii="宋体" w:hAnsi="宋体" w:eastAsia="宋体"/>
          <w:color w:val="auto"/>
          <w:sz w:val="18"/>
          <w:szCs w:val="18"/>
        </w:rPr>
        <w:t>注：表中参数采用本次实际土壤理化特性调查数据以及各种土壤质地中砂、粗粉砂、黏土比例以及实际各层土壤密度等，根据软件自带公式进行计算得到。</w:t>
      </w:r>
    </w:p>
    <w:p w14:paraId="67974127">
      <w:pPr>
        <w:adjustRightInd w:val="0"/>
        <w:snapToGrid w:val="0"/>
        <w:spacing w:before="163" w:beforeLines="50"/>
        <w:jc w:val="center"/>
        <w:rPr>
          <w:rFonts w:ascii="宋体" w:hAnsi="宋体" w:eastAsia="宋体"/>
          <w:color w:val="auto"/>
          <w:szCs w:val="20"/>
        </w:rPr>
      </w:pPr>
      <w:r>
        <w:rPr>
          <w:rFonts w:hint="eastAsia" w:ascii="宋体" w:hAnsi="宋体" w:eastAsia="宋体"/>
          <w:color w:val="auto"/>
          <w:szCs w:val="20"/>
        </w:rPr>
        <w:t>表</w:t>
      </w:r>
      <w:r>
        <w:rPr>
          <w:rFonts w:ascii="宋体" w:hAnsi="宋体" w:eastAsia="宋体"/>
          <w:color w:val="auto"/>
          <w:szCs w:val="20"/>
        </w:rPr>
        <w:fldChar w:fldCharType="begin"/>
      </w:r>
      <w:r>
        <w:rPr>
          <w:rFonts w:ascii="宋体" w:hAnsi="宋体" w:eastAsia="宋体"/>
          <w:color w:val="auto"/>
          <w:szCs w:val="20"/>
        </w:rPr>
        <w:instrText xml:space="preserve"> </w:instrText>
      </w:r>
      <w:r>
        <w:rPr>
          <w:rFonts w:hint="eastAsia" w:ascii="宋体" w:hAnsi="宋体" w:eastAsia="宋体"/>
          <w:color w:val="auto"/>
          <w:szCs w:val="20"/>
        </w:rPr>
        <w:instrText xml:space="preserve">STYLEREF 2 \s</w:instrText>
      </w:r>
      <w:r>
        <w:rPr>
          <w:rFonts w:ascii="宋体" w:hAnsi="宋体" w:eastAsia="宋体"/>
          <w:color w:val="auto"/>
          <w:szCs w:val="20"/>
        </w:rPr>
        <w:instrText xml:space="preserve"> </w:instrText>
      </w:r>
      <w:r>
        <w:rPr>
          <w:rFonts w:ascii="宋体" w:hAnsi="宋体" w:eastAsia="宋体"/>
          <w:color w:val="auto"/>
          <w:szCs w:val="20"/>
        </w:rPr>
        <w:fldChar w:fldCharType="separate"/>
      </w:r>
      <w:r>
        <w:rPr>
          <w:rFonts w:ascii="宋体" w:hAnsi="宋体" w:eastAsia="宋体"/>
          <w:color w:val="auto"/>
          <w:szCs w:val="20"/>
        </w:rPr>
        <w:t>5.6</w:t>
      </w:r>
      <w:r>
        <w:rPr>
          <w:rFonts w:ascii="宋体" w:hAnsi="宋体" w:eastAsia="宋体"/>
          <w:color w:val="auto"/>
          <w:szCs w:val="20"/>
        </w:rPr>
        <w:fldChar w:fldCharType="end"/>
      </w:r>
      <w:r>
        <w:rPr>
          <w:rFonts w:ascii="宋体" w:hAnsi="宋体" w:eastAsia="宋体"/>
          <w:color w:val="auto"/>
          <w:szCs w:val="20"/>
        </w:rPr>
        <w:noBreakHyphen/>
      </w:r>
      <w:r>
        <w:rPr>
          <w:rFonts w:ascii="宋体" w:hAnsi="宋体" w:eastAsia="宋体"/>
          <w:color w:val="auto"/>
          <w:szCs w:val="20"/>
        </w:rPr>
        <w:fldChar w:fldCharType="begin"/>
      </w:r>
      <w:r>
        <w:rPr>
          <w:rFonts w:ascii="宋体" w:hAnsi="宋体" w:eastAsia="宋体"/>
          <w:color w:val="auto"/>
          <w:szCs w:val="20"/>
        </w:rPr>
        <w:instrText xml:space="preserve"> </w:instrText>
      </w:r>
      <w:r>
        <w:rPr>
          <w:rFonts w:hint="eastAsia" w:ascii="宋体" w:hAnsi="宋体" w:eastAsia="宋体"/>
          <w:color w:val="auto"/>
          <w:szCs w:val="20"/>
        </w:rPr>
        <w:instrText xml:space="preserve">SEQ 表 \* ARABIC \s 2</w:instrText>
      </w:r>
      <w:r>
        <w:rPr>
          <w:rFonts w:ascii="宋体" w:hAnsi="宋体" w:eastAsia="宋体"/>
          <w:color w:val="auto"/>
          <w:szCs w:val="20"/>
        </w:rPr>
        <w:instrText xml:space="preserve"> </w:instrText>
      </w:r>
      <w:r>
        <w:rPr>
          <w:rFonts w:ascii="宋体" w:hAnsi="宋体" w:eastAsia="宋体"/>
          <w:color w:val="auto"/>
          <w:szCs w:val="20"/>
        </w:rPr>
        <w:fldChar w:fldCharType="separate"/>
      </w:r>
      <w:r>
        <w:rPr>
          <w:rFonts w:ascii="宋体" w:hAnsi="宋体" w:eastAsia="宋体"/>
          <w:color w:val="auto"/>
          <w:szCs w:val="20"/>
        </w:rPr>
        <w:t>3</w:t>
      </w:r>
      <w:r>
        <w:rPr>
          <w:rFonts w:ascii="宋体" w:hAnsi="宋体" w:eastAsia="宋体"/>
          <w:color w:val="auto"/>
          <w:szCs w:val="20"/>
        </w:rPr>
        <w:fldChar w:fldCharType="end"/>
      </w:r>
      <w:r>
        <w:rPr>
          <w:rFonts w:hint="eastAsia" w:ascii="宋体" w:hAnsi="宋体" w:eastAsia="宋体"/>
          <w:color w:val="auto"/>
          <w:szCs w:val="20"/>
        </w:rPr>
        <w:t>土壤溶质运移参数表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1"/>
        <w:gridCol w:w="2870"/>
        <w:gridCol w:w="3546"/>
      </w:tblGrid>
      <w:tr w14:paraId="30A7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pct"/>
            <w:shd w:val="clear" w:color="auto" w:fill="auto"/>
            <w:vAlign w:val="center"/>
          </w:tcPr>
          <w:p w14:paraId="30AB6856">
            <w:pPr>
              <w:jc w:val="center"/>
              <w:rPr>
                <w:rFonts w:ascii="宋体" w:hAnsi="宋体" w:eastAsia="宋体"/>
                <w:color w:val="auto"/>
              </w:rPr>
            </w:pPr>
            <w:r>
              <w:rPr>
                <w:rFonts w:ascii="宋体" w:hAnsi="宋体" w:eastAsia="宋体"/>
                <w:color w:val="auto"/>
              </w:rPr>
              <w:t>土壤层次（cm）</w:t>
            </w:r>
          </w:p>
        </w:tc>
        <w:tc>
          <w:tcPr>
            <w:tcW w:w="1545" w:type="pct"/>
            <w:shd w:val="clear" w:color="auto" w:fill="auto"/>
            <w:vAlign w:val="center"/>
          </w:tcPr>
          <w:p w14:paraId="3ACE65B0">
            <w:pPr>
              <w:jc w:val="center"/>
              <w:rPr>
                <w:rFonts w:ascii="宋体" w:hAnsi="宋体" w:eastAsia="宋体"/>
                <w:color w:val="auto"/>
              </w:rPr>
            </w:pPr>
            <w:r>
              <w:rPr>
                <w:rFonts w:ascii="宋体" w:hAnsi="宋体" w:eastAsia="宋体"/>
                <w:color w:val="auto"/>
              </w:rPr>
              <w:t>土壤质地</w:t>
            </w:r>
          </w:p>
        </w:tc>
        <w:tc>
          <w:tcPr>
            <w:tcW w:w="1909" w:type="pct"/>
            <w:shd w:val="clear" w:color="auto" w:fill="auto"/>
            <w:vAlign w:val="center"/>
          </w:tcPr>
          <w:p w14:paraId="1B1FDE7E">
            <w:pPr>
              <w:jc w:val="center"/>
              <w:rPr>
                <w:rFonts w:ascii="宋体" w:hAnsi="宋体" w:eastAsia="宋体"/>
                <w:color w:val="auto"/>
              </w:rPr>
            </w:pPr>
            <w:r>
              <w:rPr>
                <w:rFonts w:ascii="宋体" w:hAnsi="宋体" w:eastAsia="宋体"/>
                <w:color w:val="auto"/>
              </w:rPr>
              <w:t>土壤密度（kg/m</w:t>
            </w:r>
            <w:r>
              <w:rPr>
                <w:rFonts w:ascii="宋体" w:hAnsi="宋体" w:eastAsia="宋体"/>
                <w:color w:val="auto"/>
                <w:vertAlign w:val="superscript"/>
              </w:rPr>
              <w:t>3</w:t>
            </w:r>
            <w:r>
              <w:rPr>
                <w:rFonts w:ascii="宋体" w:hAnsi="宋体" w:eastAsia="宋体"/>
                <w:color w:val="auto"/>
              </w:rPr>
              <w:t>）</w:t>
            </w:r>
          </w:p>
        </w:tc>
      </w:tr>
      <w:tr w14:paraId="2311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pct"/>
            <w:shd w:val="clear" w:color="auto" w:fill="auto"/>
            <w:vAlign w:val="center"/>
          </w:tcPr>
          <w:p w14:paraId="1A95F80E">
            <w:pPr>
              <w:jc w:val="center"/>
              <w:rPr>
                <w:rFonts w:ascii="宋体" w:hAnsi="宋体" w:eastAsia="宋体"/>
                <w:color w:val="auto"/>
              </w:rPr>
            </w:pPr>
            <w:r>
              <w:rPr>
                <w:rFonts w:ascii="宋体" w:hAnsi="宋体" w:eastAsia="宋体"/>
                <w:color w:val="auto"/>
              </w:rPr>
              <w:t>0～50</w:t>
            </w:r>
          </w:p>
        </w:tc>
        <w:tc>
          <w:tcPr>
            <w:tcW w:w="1545" w:type="pct"/>
            <w:shd w:val="clear" w:color="auto" w:fill="auto"/>
            <w:vAlign w:val="center"/>
          </w:tcPr>
          <w:p w14:paraId="0659E83D">
            <w:pPr>
              <w:jc w:val="center"/>
              <w:rPr>
                <w:rFonts w:ascii="宋体" w:hAnsi="宋体" w:eastAsia="宋体"/>
                <w:color w:val="auto"/>
              </w:rPr>
            </w:pPr>
            <w:r>
              <w:rPr>
                <w:rFonts w:ascii="宋体" w:hAnsi="宋体" w:eastAsia="宋体"/>
                <w:color w:val="auto"/>
              </w:rPr>
              <w:t>壤土</w:t>
            </w:r>
          </w:p>
        </w:tc>
        <w:tc>
          <w:tcPr>
            <w:tcW w:w="1909" w:type="pct"/>
            <w:shd w:val="clear" w:color="auto" w:fill="auto"/>
            <w:vAlign w:val="center"/>
          </w:tcPr>
          <w:p w14:paraId="422F13A6">
            <w:pPr>
              <w:jc w:val="center"/>
              <w:rPr>
                <w:rFonts w:ascii="宋体" w:hAnsi="宋体" w:eastAsia="宋体"/>
                <w:color w:val="auto"/>
              </w:rPr>
            </w:pPr>
            <w:r>
              <w:rPr>
                <w:rFonts w:ascii="宋体" w:hAnsi="宋体" w:eastAsia="宋体"/>
                <w:color w:val="auto"/>
              </w:rPr>
              <w:t>1.48</w:t>
            </w:r>
          </w:p>
        </w:tc>
      </w:tr>
      <w:tr w14:paraId="6218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pct"/>
            <w:shd w:val="clear" w:color="auto" w:fill="auto"/>
            <w:vAlign w:val="center"/>
          </w:tcPr>
          <w:p w14:paraId="74CA8C58">
            <w:pPr>
              <w:jc w:val="center"/>
              <w:rPr>
                <w:rFonts w:ascii="宋体" w:hAnsi="宋体" w:eastAsia="宋体"/>
                <w:color w:val="auto"/>
              </w:rPr>
            </w:pPr>
            <w:r>
              <w:rPr>
                <w:rFonts w:ascii="宋体" w:hAnsi="宋体" w:eastAsia="宋体"/>
                <w:color w:val="auto"/>
              </w:rPr>
              <w:t>50～150</w:t>
            </w:r>
          </w:p>
        </w:tc>
        <w:tc>
          <w:tcPr>
            <w:tcW w:w="1545" w:type="pct"/>
            <w:shd w:val="clear" w:color="auto" w:fill="auto"/>
            <w:vAlign w:val="center"/>
          </w:tcPr>
          <w:p w14:paraId="19771158">
            <w:pPr>
              <w:jc w:val="center"/>
              <w:rPr>
                <w:rFonts w:ascii="宋体" w:hAnsi="宋体" w:eastAsia="宋体"/>
                <w:color w:val="auto"/>
              </w:rPr>
            </w:pPr>
            <w:r>
              <w:rPr>
                <w:rFonts w:ascii="宋体" w:hAnsi="宋体" w:eastAsia="宋体"/>
                <w:color w:val="auto"/>
              </w:rPr>
              <w:t>壤土</w:t>
            </w:r>
          </w:p>
        </w:tc>
        <w:tc>
          <w:tcPr>
            <w:tcW w:w="1909" w:type="pct"/>
            <w:shd w:val="clear" w:color="auto" w:fill="auto"/>
            <w:vAlign w:val="center"/>
          </w:tcPr>
          <w:p w14:paraId="07E11CBD">
            <w:pPr>
              <w:jc w:val="center"/>
              <w:rPr>
                <w:rFonts w:ascii="宋体" w:hAnsi="宋体" w:eastAsia="宋体"/>
                <w:color w:val="auto"/>
              </w:rPr>
            </w:pPr>
            <w:r>
              <w:rPr>
                <w:rFonts w:ascii="宋体" w:hAnsi="宋体" w:eastAsia="宋体"/>
                <w:color w:val="auto"/>
              </w:rPr>
              <w:t>1.42</w:t>
            </w:r>
          </w:p>
        </w:tc>
      </w:tr>
      <w:tr w14:paraId="71CA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6" w:type="pct"/>
            <w:shd w:val="clear" w:color="auto" w:fill="auto"/>
            <w:vAlign w:val="center"/>
          </w:tcPr>
          <w:p w14:paraId="52D87673">
            <w:pPr>
              <w:jc w:val="center"/>
              <w:rPr>
                <w:rFonts w:ascii="宋体" w:hAnsi="宋体" w:eastAsia="宋体"/>
                <w:color w:val="auto"/>
              </w:rPr>
            </w:pPr>
            <w:r>
              <w:rPr>
                <w:rFonts w:ascii="宋体" w:hAnsi="宋体" w:eastAsia="宋体"/>
                <w:color w:val="auto"/>
              </w:rPr>
              <w:t>150～300</w:t>
            </w:r>
          </w:p>
        </w:tc>
        <w:tc>
          <w:tcPr>
            <w:tcW w:w="1545" w:type="pct"/>
            <w:shd w:val="clear" w:color="auto" w:fill="auto"/>
            <w:vAlign w:val="center"/>
          </w:tcPr>
          <w:p w14:paraId="5544FF14">
            <w:pPr>
              <w:jc w:val="center"/>
              <w:rPr>
                <w:rFonts w:ascii="宋体" w:hAnsi="宋体" w:eastAsia="宋体"/>
                <w:color w:val="auto"/>
              </w:rPr>
            </w:pPr>
            <w:r>
              <w:rPr>
                <w:rFonts w:ascii="宋体" w:hAnsi="宋体" w:eastAsia="宋体"/>
                <w:color w:val="auto"/>
              </w:rPr>
              <w:t>壤土</w:t>
            </w:r>
          </w:p>
        </w:tc>
        <w:tc>
          <w:tcPr>
            <w:tcW w:w="1909" w:type="pct"/>
            <w:shd w:val="clear" w:color="auto" w:fill="auto"/>
            <w:vAlign w:val="center"/>
          </w:tcPr>
          <w:p w14:paraId="52FA9248">
            <w:pPr>
              <w:jc w:val="center"/>
              <w:rPr>
                <w:rFonts w:ascii="宋体" w:hAnsi="宋体" w:eastAsia="宋体"/>
                <w:color w:val="auto"/>
              </w:rPr>
            </w:pPr>
            <w:r>
              <w:rPr>
                <w:rFonts w:ascii="宋体" w:hAnsi="宋体" w:eastAsia="宋体"/>
                <w:color w:val="auto"/>
              </w:rPr>
              <w:t>1.47</w:t>
            </w:r>
          </w:p>
        </w:tc>
      </w:tr>
    </w:tbl>
    <w:p w14:paraId="0AAF5CB7">
      <w:pPr>
        <w:adjustRightInd w:val="0"/>
        <w:snapToGrid w:val="0"/>
        <w:spacing w:line="331" w:lineRule="auto"/>
        <w:ind w:firstLine="360" w:firstLineChars="200"/>
        <w:rPr>
          <w:rFonts w:ascii="宋体" w:hAnsi="宋体" w:eastAsia="宋体"/>
          <w:color w:val="auto"/>
          <w:sz w:val="18"/>
          <w:szCs w:val="18"/>
        </w:rPr>
      </w:pPr>
      <w:r>
        <w:rPr>
          <w:rFonts w:hint="eastAsia" w:ascii="宋体" w:hAnsi="宋体" w:eastAsia="宋体"/>
          <w:color w:val="auto"/>
          <w:sz w:val="18"/>
          <w:szCs w:val="18"/>
        </w:rPr>
        <w:t>备注：土壤质地及密度取自本项目土壤理化特征调查结果。</w:t>
      </w:r>
    </w:p>
    <w:p w14:paraId="04847C3A">
      <w:pPr>
        <w:adjustRightInd w:val="0"/>
        <w:snapToGrid w:val="0"/>
        <w:spacing w:line="331" w:lineRule="auto"/>
        <w:ind w:firstLine="420" w:firstLineChars="200"/>
        <w:rPr>
          <w:rFonts w:ascii="宋体" w:hAnsi="宋体" w:eastAsia="宋体"/>
          <w:color w:val="auto"/>
        </w:rPr>
      </w:pPr>
    </w:p>
    <w:p w14:paraId="699E62D5">
      <w:pPr>
        <w:pStyle w:val="276"/>
        <w:widowControl w:val="0"/>
        <w:ind w:firstLine="480"/>
        <w:jc w:val="both"/>
        <w:rPr>
          <w:color w:val="auto"/>
        </w:rPr>
      </w:pPr>
      <w:r>
        <w:rPr>
          <w:rFonts w:hint="eastAsia"/>
          <w:color w:val="auto"/>
        </w:rPr>
        <w:t>②泄漏源强</w:t>
      </w:r>
    </w:p>
    <w:p w14:paraId="7C427432">
      <w:pPr>
        <w:pStyle w:val="276"/>
        <w:widowControl w:val="0"/>
        <w:ind w:firstLine="480"/>
        <w:jc w:val="both"/>
        <w:rPr>
          <w:color w:val="auto"/>
        </w:rPr>
      </w:pPr>
      <w:r>
        <w:rPr>
          <w:rFonts w:hint="eastAsia"/>
          <w:color w:val="auto"/>
        </w:rPr>
        <w:t>A</w:t>
      </w:r>
      <w:r>
        <w:rPr>
          <w:color w:val="auto"/>
        </w:rPr>
        <w:t>.</w:t>
      </w:r>
      <w:r>
        <w:rPr>
          <w:rFonts w:hint="eastAsia"/>
          <w:color w:val="auto"/>
        </w:rPr>
        <w:t>泄漏量</w:t>
      </w:r>
    </w:p>
    <w:p w14:paraId="1C7094CF">
      <w:pPr>
        <w:pStyle w:val="276"/>
        <w:widowControl w:val="0"/>
        <w:ind w:firstLine="480"/>
        <w:jc w:val="both"/>
        <w:rPr>
          <w:color w:val="auto"/>
        </w:rPr>
      </w:pPr>
      <w:r>
        <w:rPr>
          <w:rFonts w:hint="eastAsia"/>
          <w:color w:val="auto"/>
        </w:rPr>
        <w:t>非正常工况条件下，假设油井集油管道存在细小裂缝，有长期微量的跑冒滴漏而未被察觉且防渗措施失效时，石油类进入土壤对其造成污染。根据河口采油厂多年统计数据，同时考虑油田现有污染防治水平、事故应急措施及管理水平等因素，预测考虑破损产生的长期连续泄漏情景，泄漏源强以管线输送油量的0.1%计。本次选取</w:t>
      </w:r>
      <w:r>
        <w:rPr>
          <w:color w:val="auto"/>
        </w:rPr>
        <w:t>3号平台</w:t>
      </w:r>
      <w:r>
        <w:rPr>
          <w:rFonts w:hint="eastAsia"/>
          <w:color w:val="auto"/>
        </w:rPr>
        <w:t>井场集油支线开裂或破损造成采出液泄漏，该井场采出液最大输送量为</w:t>
      </w:r>
      <w:r>
        <w:rPr>
          <w:color w:val="auto"/>
        </w:rPr>
        <w:t>19.4t</w:t>
      </w:r>
      <w:r>
        <w:rPr>
          <w:rFonts w:hint="eastAsia"/>
          <w:color w:val="auto"/>
        </w:rPr>
        <w:t>/d，集油管线规格为</w:t>
      </w:r>
      <w:r>
        <w:rPr>
          <w:color w:val="auto"/>
          <w:szCs w:val="20"/>
        </w:rPr>
        <w:t>φ60×3.5</w:t>
      </w:r>
      <w:r>
        <w:rPr>
          <w:rFonts w:hint="eastAsia"/>
          <w:color w:val="auto"/>
        </w:rPr>
        <w:t>mm。参考《</w:t>
      </w:r>
      <w:bookmarkStart w:id="1454" w:name="OLE_LINK68"/>
      <w:r>
        <w:rPr>
          <w:rFonts w:hint="eastAsia"/>
          <w:color w:val="auto"/>
        </w:rPr>
        <w:t>建设项目环境风险评价技术导则》（HJ169-2018）</w:t>
      </w:r>
      <w:bookmarkEnd w:id="1454"/>
      <w:r>
        <w:rPr>
          <w:rFonts w:hint="eastAsia"/>
          <w:color w:val="auto"/>
        </w:rPr>
        <w:t>中附录E“泄漏频率的推荐值”，内径≤</w:t>
      </w:r>
      <w:r>
        <w:rPr>
          <w:color w:val="auto"/>
        </w:rPr>
        <w:t>75</w:t>
      </w:r>
      <w:r>
        <w:rPr>
          <w:rFonts w:hint="eastAsia"/>
          <w:color w:val="auto"/>
        </w:rPr>
        <w:t>mm管线泄漏孔径为10%孔径，设定拟建项目管线破损泄漏孔径取值为</w:t>
      </w:r>
      <w:r>
        <w:rPr>
          <w:color w:val="auto"/>
        </w:rPr>
        <w:t>6</w:t>
      </w:r>
      <w:r>
        <w:rPr>
          <w:rFonts w:hint="eastAsia"/>
          <w:color w:val="auto"/>
        </w:rPr>
        <w:t>mm。</w:t>
      </w:r>
    </w:p>
    <w:p w14:paraId="26097961">
      <w:pPr>
        <w:pStyle w:val="276"/>
        <w:widowControl w:val="0"/>
        <w:ind w:firstLine="480"/>
        <w:jc w:val="both"/>
        <w:rPr>
          <w:color w:val="auto"/>
        </w:rPr>
      </w:pPr>
      <w:r>
        <w:rPr>
          <w:rFonts w:hint="eastAsia"/>
          <w:color w:val="auto"/>
        </w:rPr>
        <w:t>本次假设油井集油管道存在细小裂缝，有长期微量的跑冒滴漏而未被察觉且防渗措施失效时，石油类长期泄漏对土壤造成污染，这种长期泄漏对周围环境影响较大。泄漏源强以管线输送油量的0.1%计，则原油泄漏量为</w:t>
      </w:r>
      <w:r>
        <w:rPr>
          <w:color w:val="auto"/>
        </w:rPr>
        <w:t>19.4</w:t>
      </w:r>
      <w:r>
        <w:rPr>
          <w:rFonts w:hint="eastAsia"/>
          <w:color w:val="auto"/>
        </w:rPr>
        <w:t>×</w:t>
      </w:r>
      <w:r>
        <w:rPr>
          <w:color w:val="auto"/>
        </w:rPr>
        <w:t>0.1%</w:t>
      </w:r>
      <w:r>
        <w:rPr>
          <w:rFonts w:hint="eastAsia"/>
          <w:color w:val="auto"/>
        </w:rPr>
        <w:t>×</w:t>
      </w:r>
      <w:r>
        <w:rPr>
          <w:color w:val="auto"/>
        </w:rPr>
        <w:t>1000</w:t>
      </w:r>
      <w:r>
        <w:rPr>
          <w:rFonts w:hint="eastAsia"/>
          <w:color w:val="auto"/>
        </w:rPr>
        <w:t>=</w:t>
      </w:r>
      <w:r>
        <w:rPr>
          <w:color w:val="auto"/>
        </w:rPr>
        <w:t>19.4</w:t>
      </w:r>
      <w:r>
        <w:rPr>
          <w:rFonts w:hint="eastAsia"/>
          <w:color w:val="auto"/>
        </w:rPr>
        <w:t>kg/</w:t>
      </w:r>
      <w:r>
        <w:rPr>
          <w:color w:val="auto"/>
        </w:rPr>
        <w:t>d</w:t>
      </w:r>
      <w:r>
        <w:rPr>
          <w:rFonts w:hint="eastAsia"/>
          <w:color w:val="auto"/>
        </w:rPr>
        <w:t>。原油密度为8</w:t>
      </w:r>
      <w:r>
        <w:rPr>
          <w:color w:val="auto"/>
        </w:rPr>
        <w:t>70kg/m</w:t>
      </w:r>
      <w:r>
        <w:rPr>
          <w:color w:val="auto"/>
          <w:vertAlign w:val="superscript"/>
        </w:rPr>
        <w:t>3</w:t>
      </w:r>
      <w:r>
        <w:rPr>
          <w:rFonts w:hint="eastAsia"/>
          <w:color w:val="auto"/>
        </w:rPr>
        <w:t>，则原油泄漏体积为</w:t>
      </w:r>
      <w:r>
        <w:rPr>
          <w:color w:val="auto"/>
        </w:rPr>
        <w:t>0.022m</w:t>
      </w:r>
      <w:r>
        <w:rPr>
          <w:color w:val="auto"/>
          <w:vertAlign w:val="superscript"/>
        </w:rPr>
        <w:t>3</w:t>
      </w:r>
      <w:r>
        <w:rPr>
          <w:rFonts w:hint="eastAsia"/>
          <w:color w:val="auto"/>
        </w:rPr>
        <w:t>。</w:t>
      </w:r>
    </w:p>
    <w:p w14:paraId="54825035">
      <w:pPr>
        <w:pStyle w:val="276"/>
        <w:widowControl w:val="0"/>
        <w:ind w:firstLine="480"/>
        <w:jc w:val="both"/>
        <w:rPr>
          <w:color w:val="auto"/>
        </w:rPr>
      </w:pPr>
      <w:r>
        <w:rPr>
          <w:rFonts w:hint="eastAsia"/>
          <w:color w:val="auto"/>
        </w:rPr>
        <w:t>B</w:t>
      </w:r>
      <w:r>
        <w:rPr>
          <w:color w:val="auto"/>
        </w:rPr>
        <w:t>.</w:t>
      </w:r>
      <w:r>
        <w:rPr>
          <w:rFonts w:hint="eastAsia"/>
          <w:color w:val="auto"/>
        </w:rPr>
        <w:t>污染面积</w:t>
      </w:r>
    </w:p>
    <w:p w14:paraId="264BF685">
      <w:pPr>
        <w:adjustRightInd w:val="0"/>
        <w:snapToGrid w:val="0"/>
        <w:spacing w:line="331" w:lineRule="auto"/>
        <w:ind w:firstLine="420" w:firstLineChars="200"/>
        <w:rPr>
          <w:rFonts w:ascii="宋体" w:hAnsi="宋体" w:eastAsia="宋体"/>
          <w:color w:val="auto"/>
        </w:rPr>
      </w:pPr>
      <w:r>
        <w:rPr>
          <w:rFonts w:ascii="宋体" w:hAnsi="宋体" w:eastAsia="宋体"/>
          <w:color w:val="auto"/>
        </w:rPr>
        <w:drawing>
          <wp:inline distT="0" distB="0" distL="0" distR="0">
            <wp:extent cx="4629150" cy="1254760"/>
            <wp:effectExtent l="0" t="0" r="0" b="2540"/>
            <wp:docPr id="2022585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85168" name="图片 1"/>
                    <pic:cNvPicPr>
                      <a:picLocks noChangeAspect="1"/>
                    </pic:cNvPicPr>
                  </pic:nvPicPr>
                  <pic:blipFill>
                    <a:blip r:embed="rId144"/>
                    <a:stretch>
                      <a:fillRect/>
                    </a:stretch>
                  </pic:blipFill>
                  <pic:spPr>
                    <a:xfrm>
                      <a:off x="0" y="0"/>
                      <a:ext cx="4637860" cy="1254760"/>
                    </a:xfrm>
                    <a:prstGeom prst="rect">
                      <a:avLst/>
                    </a:prstGeom>
                  </pic:spPr>
                </pic:pic>
              </a:graphicData>
            </a:graphic>
          </wp:inline>
        </w:drawing>
      </w:r>
    </w:p>
    <w:p w14:paraId="4B3D0A0F">
      <w:pPr>
        <w:pStyle w:val="276"/>
        <w:widowControl w:val="0"/>
        <w:ind w:firstLine="480"/>
        <w:jc w:val="both"/>
        <w:rPr>
          <w:color w:val="auto"/>
        </w:rPr>
      </w:pPr>
      <w:r>
        <w:rPr>
          <w:rFonts w:hint="eastAsia"/>
          <w:color w:val="auto"/>
        </w:rPr>
        <w:t>则S</w:t>
      </w:r>
      <w:r>
        <w:rPr>
          <w:color w:val="auto"/>
        </w:rPr>
        <w:t>=53.5</w:t>
      </w:r>
      <w:r>
        <w:rPr>
          <w:rFonts w:hint="eastAsia"/>
          <w:color w:val="auto"/>
        </w:rPr>
        <w:t>×</w:t>
      </w:r>
      <w:r>
        <w:rPr>
          <w:color w:val="auto"/>
        </w:rPr>
        <w:t>1.2</w:t>
      </w:r>
      <w:r>
        <w:rPr>
          <w:rFonts w:hint="eastAsia"/>
          <w:color w:val="auto"/>
        </w:rPr>
        <w:t>×0</w:t>
      </w:r>
      <w:r>
        <w:rPr>
          <w:color w:val="auto"/>
        </w:rPr>
        <w:t>.022^0.89=2.14m</w:t>
      </w:r>
      <w:r>
        <w:rPr>
          <w:color w:val="auto"/>
          <w:vertAlign w:val="superscript"/>
        </w:rPr>
        <w:t>2</w:t>
      </w:r>
      <w:r>
        <w:rPr>
          <w:rFonts w:hint="eastAsia"/>
          <w:color w:val="auto"/>
        </w:rPr>
        <w:t>。</w:t>
      </w:r>
    </w:p>
    <w:p w14:paraId="7FB7AEB2">
      <w:pPr>
        <w:pStyle w:val="276"/>
        <w:widowControl w:val="0"/>
        <w:ind w:firstLine="480"/>
        <w:jc w:val="both"/>
        <w:rPr>
          <w:color w:val="auto"/>
        </w:rPr>
      </w:pPr>
      <w:r>
        <w:rPr>
          <w:rFonts w:hint="eastAsia"/>
          <w:color w:val="auto"/>
        </w:rPr>
        <w:t>则污染物渗漏源强为V</w:t>
      </w:r>
      <w:r>
        <w:rPr>
          <w:color w:val="auto"/>
        </w:rPr>
        <w:t>/S=</w:t>
      </w:r>
      <w:r>
        <w:rPr>
          <w:rFonts w:hint="eastAsia"/>
          <w:color w:val="auto"/>
        </w:rPr>
        <w:t>（</w:t>
      </w:r>
      <w:r>
        <w:rPr>
          <w:color w:val="auto"/>
        </w:rPr>
        <w:t>0.022</w:t>
      </w:r>
      <w:r>
        <w:rPr>
          <w:rFonts w:hint="eastAsia"/>
          <w:color w:val="auto"/>
        </w:rPr>
        <w:t>/</w:t>
      </w:r>
      <w:r>
        <w:rPr>
          <w:color w:val="auto"/>
        </w:rPr>
        <w:t>2.14</w:t>
      </w:r>
      <w:r>
        <w:rPr>
          <w:rFonts w:hint="eastAsia"/>
          <w:color w:val="auto"/>
        </w:rPr>
        <w:t>）×</w:t>
      </w:r>
      <w:r>
        <w:rPr>
          <w:color w:val="auto"/>
        </w:rPr>
        <w:t>100=1.02</w:t>
      </w:r>
      <w:r>
        <w:rPr>
          <w:rFonts w:hint="eastAsia"/>
          <w:color w:val="auto"/>
        </w:rPr>
        <w:t>cm/d。</w:t>
      </w:r>
    </w:p>
    <w:p w14:paraId="44B5ED48">
      <w:pPr>
        <w:pStyle w:val="276"/>
        <w:widowControl w:val="0"/>
        <w:ind w:firstLine="480"/>
        <w:jc w:val="both"/>
        <w:rPr>
          <w:color w:val="auto"/>
        </w:rPr>
      </w:pPr>
      <w:r>
        <w:rPr>
          <w:color w:val="auto"/>
        </w:rPr>
        <w:t>C</w:t>
      </w:r>
      <w:r>
        <w:rPr>
          <w:rFonts w:hint="eastAsia"/>
          <w:color w:val="auto"/>
        </w:rPr>
        <w:t>、污染物浓度</w:t>
      </w:r>
    </w:p>
    <w:p w14:paraId="125CBE7F">
      <w:pPr>
        <w:pStyle w:val="276"/>
        <w:widowControl w:val="0"/>
        <w:ind w:firstLine="480"/>
        <w:jc w:val="both"/>
        <w:rPr>
          <w:color w:val="auto"/>
        </w:rPr>
      </w:pPr>
      <w:r>
        <w:rPr>
          <w:rFonts w:hint="eastAsia"/>
          <w:color w:val="auto"/>
        </w:rPr>
        <w:t>石油类污染物进入土壤后，一部分随着地表径流污染地表水；一部分在重力作用下随着土壤中水分向潜水面垂直迁移，主要经过三个阶段：通过包气带的渗漏、由包气带进一步向饱水带扩散以及进入饱水带中污染地下水。</w:t>
      </w:r>
    </w:p>
    <w:p w14:paraId="0B04D1BA">
      <w:pPr>
        <w:pStyle w:val="276"/>
        <w:widowControl w:val="0"/>
        <w:ind w:firstLine="480"/>
        <w:jc w:val="both"/>
        <w:rPr>
          <w:color w:val="auto"/>
        </w:rPr>
      </w:pPr>
      <w:r>
        <w:rPr>
          <w:rFonts w:hint="eastAsia"/>
          <w:color w:val="auto"/>
        </w:rPr>
        <w:t>石油密度比水轻，难溶于水，可与水形成乳状液。根据相关研究表明，碳氢化合物在水中的溶解度随分子量的增大而降低，分子量较小的石油产品，如商业汽油，其溶解性达到20～80mg/L。本次集油管线输送介质为采出液，粘度大，考虑到石油烃（</w:t>
      </w:r>
      <w:r>
        <w:rPr>
          <w:rFonts w:hint="eastAsia" w:cs="Calibri"/>
          <w:color w:val="auto"/>
          <w:sz w:val="21"/>
        </w:rPr>
        <w:t>C</w:t>
      </w:r>
      <w:r>
        <w:rPr>
          <w:rFonts w:hint="eastAsia" w:cs="Calibri"/>
          <w:color w:val="auto"/>
          <w:sz w:val="21"/>
          <w:vertAlign w:val="subscript"/>
        </w:rPr>
        <w:t>10</w:t>
      </w:r>
      <w:r>
        <w:rPr>
          <w:rFonts w:hint="eastAsia"/>
          <w:color w:val="auto"/>
        </w:rPr>
        <w:t>～</w:t>
      </w:r>
      <w:r>
        <w:rPr>
          <w:rFonts w:hint="eastAsia" w:cs="Calibri"/>
          <w:color w:val="auto"/>
          <w:sz w:val="21"/>
        </w:rPr>
        <w:t>C</w:t>
      </w:r>
      <w:r>
        <w:rPr>
          <w:rFonts w:hint="eastAsia" w:cs="Calibri"/>
          <w:color w:val="auto"/>
          <w:sz w:val="21"/>
          <w:vertAlign w:val="subscript"/>
        </w:rPr>
        <w:t>40</w:t>
      </w:r>
      <w:r>
        <w:rPr>
          <w:rFonts w:hint="eastAsia"/>
          <w:color w:val="auto"/>
        </w:rPr>
        <w:t>）只有变为可溶态才会随水迁移扩散，在本次工作中按照危害最大化取值，参考《采油废水治理工程技术规范》（HJ2041-2014）表1采油废水中石油类最大浓度200mg/L。</w:t>
      </w:r>
    </w:p>
    <w:p w14:paraId="52EE79E7">
      <w:pPr>
        <w:pStyle w:val="276"/>
        <w:widowControl w:val="0"/>
        <w:ind w:firstLine="480"/>
        <w:jc w:val="both"/>
        <w:rPr>
          <w:color w:val="auto"/>
        </w:rPr>
      </w:pPr>
      <w:r>
        <w:rPr>
          <w:rFonts w:hint="eastAsia"/>
          <w:color w:val="auto"/>
        </w:rPr>
        <w:t>7）边界条件</w:t>
      </w:r>
    </w:p>
    <w:p w14:paraId="21C768A3">
      <w:pPr>
        <w:pStyle w:val="276"/>
        <w:widowControl w:val="0"/>
        <w:ind w:firstLine="480"/>
        <w:jc w:val="both"/>
        <w:rPr>
          <w:color w:val="auto"/>
        </w:rPr>
      </w:pPr>
      <w:r>
        <w:rPr>
          <w:rFonts w:hint="eastAsia"/>
          <w:color w:val="auto"/>
        </w:rPr>
        <w:t>对于边界条件概化方法，综述如下：</w:t>
      </w:r>
    </w:p>
    <w:p w14:paraId="7A060742">
      <w:pPr>
        <w:pStyle w:val="276"/>
        <w:widowControl w:val="0"/>
        <w:ind w:firstLine="480"/>
        <w:jc w:val="both"/>
        <w:rPr>
          <w:color w:val="auto"/>
        </w:rPr>
      </w:pPr>
      <w:r>
        <w:rPr>
          <w:rFonts w:hint="eastAsia"/>
          <w:color w:val="auto"/>
        </w:rPr>
        <w:t>水流模型</w:t>
      </w:r>
    </w:p>
    <w:p w14:paraId="54516B35">
      <w:pPr>
        <w:pStyle w:val="276"/>
        <w:widowControl w:val="0"/>
        <w:ind w:firstLine="480"/>
        <w:jc w:val="both"/>
        <w:rPr>
          <w:color w:val="auto"/>
        </w:rPr>
      </w:pPr>
      <w:r>
        <w:rPr>
          <w:rFonts w:hint="eastAsia"/>
          <w:color w:val="auto"/>
        </w:rPr>
        <w:t>上边界为定通量边界，单位时间渗漏通量为</w:t>
      </w:r>
      <w:r>
        <w:rPr>
          <w:color w:val="auto"/>
        </w:rPr>
        <w:t>1.02cm/d</w:t>
      </w:r>
      <w:r>
        <w:rPr>
          <w:rFonts w:hint="eastAsia"/>
          <w:color w:val="auto"/>
        </w:rPr>
        <w:t>，下边界为潜水含水层自由水面，选为自由排水边界。</w:t>
      </w:r>
    </w:p>
    <w:p w14:paraId="528AB063">
      <w:pPr>
        <w:pStyle w:val="276"/>
        <w:widowControl w:val="0"/>
        <w:ind w:firstLine="480"/>
        <w:jc w:val="both"/>
        <w:rPr>
          <w:color w:val="auto"/>
        </w:rPr>
      </w:pPr>
      <w:r>
        <w:rPr>
          <w:rFonts w:hint="eastAsia"/>
          <w:color w:val="auto"/>
        </w:rPr>
        <w:t>②溶质运移模型</w:t>
      </w:r>
    </w:p>
    <w:p w14:paraId="2D9DA187">
      <w:pPr>
        <w:pStyle w:val="276"/>
        <w:widowControl w:val="0"/>
        <w:ind w:firstLine="480"/>
        <w:jc w:val="both"/>
        <w:rPr>
          <w:color w:val="auto"/>
        </w:rPr>
      </w:pPr>
      <w:r>
        <w:rPr>
          <w:rFonts w:hint="eastAsia"/>
          <w:color w:val="auto"/>
        </w:rPr>
        <w:t>模型运移模型上边界概化为污染物变量，选择浓度通量边界；下边界为自由排泄，零浓度梯度边界。</w:t>
      </w:r>
    </w:p>
    <w:p w14:paraId="134A9089">
      <w:pPr>
        <w:pStyle w:val="276"/>
        <w:widowControl w:val="0"/>
        <w:ind w:firstLine="480"/>
        <w:jc w:val="both"/>
        <w:rPr>
          <w:color w:val="auto"/>
        </w:rPr>
      </w:pPr>
      <w:r>
        <w:rPr>
          <w:color w:val="auto"/>
        </w:rPr>
        <w:t>8</w:t>
      </w:r>
      <w:r>
        <w:rPr>
          <w:rFonts w:hint="eastAsia"/>
          <w:color w:val="auto"/>
        </w:rPr>
        <w:t>）预测结果</w:t>
      </w:r>
    </w:p>
    <w:p w14:paraId="2E979F1A">
      <w:pPr>
        <w:pStyle w:val="276"/>
        <w:widowControl w:val="0"/>
        <w:ind w:firstLine="480"/>
        <w:jc w:val="both"/>
        <w:rPr>
          <w:color w:val="auto"/>
        </w:rPr>
      </w:pPr>
      <w:r>
        <w:rPr>
          <w:rFonts w:hint="eastAsia"/>
          <w:color w:val="auto"/>
        </w:rPr>
        <w:t>本次模型中未考虑污染物自身降解、滞留等作用。石油类在观测点的浓度随时间变化见</w:t>
      </w:r>
      <w:r>
        <w:rPr>
          <w:color w:val="auto"/>
        </w:rPr>
        <w:fldChar w:fldCharType="begin"/>
      </w:r>
      <w:r>
        <w:rPr>
          <w:color w:val="auto"/>
        </w:rPr>
        <w:instrText xml:space="preserve"> </w:instrText>
      </w:r>
      <w:r>
        <w:rPr>
          <w:rFonts w:hint="eastAsia"/>
          <w:color w:val="auto"/>
        </w:rPr>
        <w:instrText xml:space="preserve">REF _Ref37768951 \h</w:instrText>
      </w:r>
      <w:r>
        <w:rPr>
          <w:color w:val="auto"/>
        </w:rPr>
        <w:instrText xml:space="preserve">  \* MERGEFORMAT </w:instrText>
      </w:r>
      <w:r>
        <w:rPr>
          <w:color w:val="auto"/>
        </w:rPr>
        <w:fldChar w:fldCharType="separate"/>
      </w:r>
      <w:r>
        <w:rPr>
          <w:rFonts w:hint="eastAsia"/>
          <w:b/>
          <w:bCs/>
          <w:color w:val="auto"/>
        </w:rPr>
        <w:t>错误!未找到引用源。</w:t>
      </w:r>
      <w:r>
        <w:rPr>
          <w:color w:val="auto"/>
        </w:rPr>
        <w:fldChar w:fldCharType="end"/>
      </w:r>
      <w:r>
        <w:rPr>
          <w:rFonts w:hint="eastAsia"/>
          <w:color w:val="auto"/>
        </w:rPr>
        <w:t>，不同时刻石油类浓度</w:t>
      </w:r>
      <w:r>
        <w:rPr>
          <w:color w:val="auto"/>
        </w:rPr>
        <w:t>-</w:t>
      </w:r>
      <w:r>
        <w:rPr>
          <w:rFonts w:hint="eastAsia"/>
          <w:color w:val="auto"/>
        </w:rPr>
        <w:t>剖面深度变化曲线见</w:t>
      </w:r>
      <w:r>
        <w:rPr>
          <w:color w:val="auto"/>
        </w:rPr>
        <w:fldChar w:fldCharType="begin"/>
      </w:r>
      <w:r>
        <w:rPr>
          <w:color w:val="auto"/>
        </w:rPr>
        <w:instrText xml:space="preserve"> </w:instrText>
      </w:r>
      <w:r>
        <w:rPr>
          <w:rFonts w:hint="eastAsia"/>
          <w:color w:val="auto"/>
        </w:rPr>
        <w:instrText xml:space="preserve">REF _Ref37768956 \h</w:instrText>
      </w:r>
      <w:r>
        <w:rPr>
          <w:color w:val="auto"/>
        </w:rPr>
        <w:instrText xml:space="preserve">  \* MERGEFORMAT </w:instrText>
      </w:r>
      <w:r>
        <w:rPr>
          <w:color w:val="auto"/>
        </w:rPr>
        <w:fldChar w:fldCharType="separate"/>
      </w:r>
      <w:r>
        <w:rPr>
          <w:rFonts w:hint="eastAsia"/>
          <w:b/>
          <w:bCs/>
          <w:color w:val="auto"/>
        </w:rPr>
        <w:t>错误!未找到引用源。</w:t>
      </w:r>
      <w:r>
        <w:rPr>
          <w:color w:val="auto"/>
        </w:rPr>
        <w:fldChar w:fldCharType="end"/>
      </w:r>
      <w:r>
        <w:rPr>
          <w:rFonts w:hint="eastAsia"/>
          <w:color w:val="auto"/>
        </w:rPr>
        <w:t>。</w:t>
      </w:r>
    </w:p>
    <w:p w14:paraId="09BF7F4A">
      <w:pPr>
        <w:adjustRightInd w:val="0"/>
        <w:snapToGrid w:val="0"/>
        <w:spacing w:line="331" w:lineRule="auto"/>
        <w:ind w:firstLine="420" w:firstLineChars="200"/>
        <w:jc w:val="center"/>
        <w:rPr>
          <w:rFonts w:ascii="宋体" w:hAnsi="宋体" w:eastAsia="宋体"/>
          <w:color w:val="auto"/>
        </w:rPr>
      </w:pPr>
      <w:r>
        <w:rPr>
          <w:rFonts w:ascii="宋体" w:hAnsi="宋体" w:eastAsia="宋体"/>
          <w:color w:val="auto"/>
        </w:rPr>
        <w:drawing>
          <wp:inline distT="0" distB="0" distL="0" distR="0">
            <wp:extent cx="3467100" cy="2362200"/>
            <wp:effectExtent l="0" t="0" r="0" b="0"/>
            <wp:docPr id="1858" name="图片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图片 1858"/>
                    <pic:cNvPicPr>
                      <a:picLocks noChangeAspect="1"/>
                    </pic:cNvPicPr>
                  </pic:nvPicPr>
                  <pic:blipFill>
                    <a:blip r:embed="rId145"/>
                    <a:stretch>
                      <a:fillRect/>
                    </a:stretch>
                  </pic:blipFill>
                  <pic:spPr>
                    <a:xfrm>
                      <a:off x="0" y="0"/>
                      <a:ext cx="3467100" cy="2362200"/>
                    </a:xfrm>
                    <a:prstGeom prst="rect">
                      <a:avLst/>
                    </a:prstGeom>
                  </pic:spPr>
                </pic:pic>
              </a:graphicData>
            </a:graphic>
          </wp:inline>
        </w:drawing>
      </w:r>
    </w:p>
    <w:p w14:paraId="1283015E">
      <w:pPr>
        <w:spacing w:before="163"/>
        <w:jc w:val="center"/>
        <w:rPr>
          <w:rFonts w:ascii="宋体" w:hAnsi="宋体" w:eastAsia="宋体"/>
          <w:color w:val="auto"/>
        </w:rPr>
      </w:pPr>
      <w:r>
        <w:rPr>
          <w:rFonts w:ascii="宋体" w:hAnsi="宋体" w:eastAsia="宋体"/>
          <w:color w:val="auto"/>
        </w:rPr>
        <w:t>图</w:t>
      </w:r>
      <w:r>
        <w:rPr>
          <w:rFonts w:ascii="宋体" w:hAnsi="宋体" w:eastAsia="宋体"/>
          <w:color w:val="auto"/>
        </w:rPr>
        <w:fldChar w:fldCharType="begin"/>
      </w:r>
      <w:r>
        <w:rPr>
          <w:rFonts w:ascii="宋体" w:hAnsi="宋体" w:eastAsia="宋体"/>
          <w:color w:val="auto"/>
        </w:rPr>
        <w:instrText xml:space="preserve"> STYLEREF 2 \s </w:instrText>
      </w:r>
      <w:r>
        <w:rPr>
          <w:rFonts w:ascii="宋体" w:hAnsi="宋体" w:eastAsia="宋体"/>
          <w:color w:val="auto"/>
        </w:rPr>
        <w:fldChar w:fldCharType="separate"/>
      </w:r>
      <w:r>
        <w:rPr>
          <w:rFonts w:ascii="宋体" w:hAnsi="宋体" w:eastAsia="宋体"/>
          <w:color w:val="auto"/>
        </w:rPr>
        <w:t>5.6</w:t>
      </w:r>
      <w:r>
        <w:rPr>
          <w:rFonts w:ascii="宋体" w:hAnsi="宋体" w:eastAsia="宋体"/>
          <w:color w:val="auto"/>
        </w:rPr>
        <w:fldChar w:fldCharType="end"/>
      </w:r>
      <w:r>
        <w:rPr>
          <w:rFonts w:ascii="宋体" w:hAnsi="宋体" w:eastAsia="宋体"/>
          <w:color w:val="auto"/>
        </w:rPr>
        <w:noBreakHyphen/>
      </w:r>
      <w:r>
        <w:rPr>
          <w:rFonts w:ascii="宋体" w:hAnsi="宋体" w:eastAsia="宋体"/>
          <w:color w:val="auto"/>
        </w:rPr>
        <w:fldChar w:fldCharType="begin"/>
      </w:r>
      <w:r>
        <w:rPr>
          <w:rFonts w:ascii="宋体" w:hAnsi="宋体" w:eastAsia="宋体"/>
          <w:color w:val="auto"/>
        </w:rPr>
        <w:instrText xml:space="preserve"> SEQ 图 \* ARABIC \s 2 </w:instrText>
      </w:r>
      <w:r>
        <w:rPr>
          <w:rFonts w:ascii="宋体" w:hAnsi="宋体" w:eastAsia="宋体"/>
          <w:color w:val="auto"/>
        </w:rPr>
        <w:fldChar w:fldCharType="separate"/>
      </w:r>
      <w:r>
        <w:rPr>
          <w:rFonts w:ascii="宋体" w:hAnsi="宋体" w:eastAsia="宋体"/>
          <w:color w:val="auto"/>
        </w:rPr>
        <w:t>2</w:t>
      </w:r>
      <w:r>
        <w:rPr>
          <w:rFonts w:ascii="宋体" w:hAnsi="宋体" w:eastAsia="宋体"/>
          <w:color w:val="auto"/>
        </w:rPr>
        <w:fldChar w:fldCharType="end"/>
      </w:r>
      <w:r>
        <w:rPr>
          <w:rFonts w:hint="eastAsia" w:ascii="宋体" w:hAnsi="宋体" w:eastAsia="宋体"/>
          <w:color w:val="auto"/>
        </w:rPr>
        <w:t>不同观测点处石油类浓度</w:t>
      </w:r>
      <w:r>
        <w:rPr>
          <w:rFonts w:ascii="宋体" w:hAnsi="宋体" w:eastAsia="宋体"/>
          <w:color w:val="auto"/>
        </w:rPr>
        <w:t>-</w:t>
      </w:r>
      <w:r>
        <w:rPr>
          <w:rFonts w:hint="eastAsia" w:ascii="宋体" w:hAnsi="宋体" w:eastAsia="宋体"/>
          <w:color w:val="auto"/>
        </w:rPr>
        <w:t>时间变化曲线图</w:t>
      </w:r>
    </w:p>
    <w:p w14:paraId="46D83190">
      <w:pPr>
        <w:adjustRightInd w:val="0"/>
        <w:snapToGrid w:val="0"/>
        <w:spacing w:line="331" w:lineRule="auto"/>
        <w:ind w:firstLine="420" w:firstLineChars="200"/>
        <w:jc w:val="center"/>
        <w:rPr>
          <w:rFonts w:ascii="宋体" w:hAnsi="宋体" w:eastAsia="宋体"/>
          <w:color w:val="auto"/>
        </w:rPr>
      </w:pPr>
      <w:r>
        <w:rPr>
          <w:rFonts w:ascii="宋体" w:hAnsi="宋体" w:eastAsia="宋体"/>
          <w:color w:val="auto"/>
        </w:rPr>
        <w:drawing>
          <wp:inline distT="0" distB="0" distL="0" distR="0">
            <wp:extent cx="3343275" cy="2409825"/>
            <wp:effectExtent l="0" t="0" r="9525" b="9525"/>
            <wp:docPr id="1860" name="图片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图片 1860"/>
                    <pic:cNvPicPr>
                      <a:picLocks noChangeAspect="1"/>
                    </pic:cNvPicPr>
                  </pic:nvPicPr>
                  <pic:blipFill>
                    <a:blip r:embed="rId146"/>
                    <a:stretch>
                      <a:fillRect/>
                    </a:stretch>
                  </pic:blipFill>
                  <pic:spPr>
                    <a:xfrm>
                      <a:off x="0" y="0"/>
                      <a:ext cx="3343275" cy="2409825"/>
                    </a:xfrm>
                    <a:prstGeom prst="rect">
                      <a:avLst/>
                    </a:prstGeom>
                  </pic:spPr>
                </pic:pic>
              </a:graphicData>
            </a:graphic>
          </wp:inline>
        </w:drawing>
      </w:r>
    </w:p>
    <w:p w14:paraId="6EF246EA">
      <w:pPr>
        <w:spacing w:before="163"/>
        <w:jc w:val="center"/>
        <w:rPr>
          <w:rFonts w:ascii="宋体" w:hAnsi="宋体" w:eastAsia="宋体"/>
          <w:color w:val="auto"/>
        </w:rPr>
      </w:pPr>
      <w:r>
        <w:rPr>
          <w:rFonts w:ascii="宋体" w:hAnsi="宋体" w:eastAsia="宋体"/>
          <w:color w:val="auto"/>
        </w:rPr>
        <w:t>图</w:t>
      </w:r>
      <w:r>
        <w:rPr>
          <w:rFonts w:ascii="宋体" w:hAnsi="宋体" w:eastAsia="宋体"/>
          <w:color w:val="auto"/>
        </w:rPr>
        <w:fldChar w:fldCharType="begin"/>
      </w:r>
      <w:r>
        <w:rPr>
          <w:rFonts w:ascii="宋体" w:hAnsi="宋体" w:eastAsia="宋体"/>
          <w:color w:val="auto"/>
        </w:rPr>
        <w:instrText xml:space="preserve"> STYLEREF 2 \s </w:instrText>
      </w:r>
      <w:r>
        <w:rPr>
          <w:rFonts w:ascii="宋体" w:hAnsi="宋体" w:eastAsia="宋体"/>
          <w:color w:val="auto"/>
        </w:rPr>
        <w:fldChar w:fldCharType="separate"/>
      </w:r>
      <w:r>
        <w:rPr>
          <w:rFonts w:ascii="宋体" w:hAnsi="宋体" w:eastAsia="宋体"/>
          <w:color w:val="auto"/>
        </w:rPr>
        <w:t>5.6</w:t>
      </w:r>
      <w:r>
        <w:rPr>
          <w:rFonts w:ascii="宋体" w:hAnsi="宋体" w:eastAsia="宋体"/>
          <w:color w:val="auto"/>
        </w:rPr>
        <w:fldChar w:fldCharType="end"/>
      </w:r>
      <w:r>
        <w:rPr>
          <w:rFonts w:ascii="宋体" w:hAnsi="宋体" w:eastAsia="宋体"/>
          <w:color w:val="auto"/>
        </w:rPr>
        <w:noBreakHyphen/>
      </w:r>
      <w:r>
        <w:rPr>
          <w:rFonts w:ascii="宋体" w:hAnsi="宋体" w:eastAsia="宋体"/>
          <w:color w:val="auto"/>
        </w:rPr>
        <w:fldChar w:fldCharType="begin"/>
      </w:r>
      <w:r>
        <w:rPr>
          <w:rFonts w:ascii="宋体" w:hAnsi="宋体" w:eastAsia="宋体"/>
          <w:color w:val="auto"/>
        </w:rPr>
        <w:instrText xml:space="preserve"> SEQ 图 \* ARABIC \s 2 </w:instrText>
      </w:r>
      <w:r>
        <w:rPr>
          <w:rFonts w:ascii="宋体" w:hAnsi="宋体" w:eastAsia="宋体"/>
          <w:color w:val="auto"/>
        </w:rPr>
        <w:fldChar w:fldCharType="separate"/>
      </w:r>
      <w:r>
        <w:rPr>
          <w:rFonts w:ascii="宋体" w:hAnsi="宋体" w:eastAsia="宋体"/>
          <w:color w:val="auto"/>
        </w:rPr>
        <w:t>3</w:t>
      </w:r>
      <w:r>
        <w:rPr>
          <w:rFonts w:ascii="宋体" w:hAnsi="宋体" w:eastAsia="宋体"/>
          <w:color w:val="auto"/>
        </w:rPr>
        <w:fldChar w:fldCharType="end"/>
      </w:r>
      <w:r>
        <w:rPr>
          <w:rFonts w:hint="eastAsia" w:ascii="宋体" w:hAnsi="宋体" w:eastAsia="宋体"/>
          <w:color w:val="auto"/>
        </w:rPr>
        <w:t>不同时刻石油类浓度</w:t>
      </w:r>
      <w:r>
        <w:rPr>
          <w:rFonts w:ascii="宋体" w:hAnsi="宋体" w:eastAsia="宋体"/>
          <w:color w:val="auto"/>
        </w:rPr>
        <w:t>-</w:t>
      </w:r>
      <w:r>
        <w:rPr>
          <w:rFonts w:hint="eastAsia" w:ascii="宋体" w:hAnsi="宋体" w:eastAsia="宋体"/>
          <w:color w:val="auto"/>
        </w:rPr>
        <w:t>剖面深度变化曲线图</w:t>
      </w:r>
    </w:p>
    <w:p w14:paraId="5F976489">
      <w:pPr>
        <w:adjustRightInd w:val="0"/>
        <w:snapToGrid w:val="0"/>
        <w:spacing w:line="331" w:lineRule="auto"/>
        <w:ind w:firstLine="420" w:firstLineChars="200"/>
        <w:jc w:val="center"/>
        <w:rPr>
          <w:rFonts w:ascii="宋体" w:hAnsi="宋体" w:eastAsia="宋体"/>
          <w:color w:val="auto"/>
        </w:rPr>
      </w:pPr>
    </w:p>
    <w:p w14:paraId="4DF8BA67">
      <w:pPr>
        <w:pStyle w:val="276"/>
        <w:widowControl w:val="0"/>
        <w:ind w:firstLine="468"/>
        <w:jc w:val="both"/>
        <w:rPr>
          <w:color w:val="auto"/>
        </w:rPr>
      </w:pPr>
      <w:r>
        <w:rPr>
          <w:color w:val="auto"/>
          <w:spacing w:val="-3"/>
        </w:rPr>
        <w:t>由</w:t>
      </w:r>
      <w:r>
        <w:rPr>
          <w:rFonts w:hint="eastAsia"/>
          <w:color w:val="auto"/>
          <w:spacing w:val="-3"/>
        </w:rPr>
        <w:t>预测结果</w:t>
      </w:r>
      <w:r>
        <w:rPr>
          <w:color w:val="auto"/>
          <w:spacing w:val="-3"/>
        </w:rPr>
        <w:t>可知，</w:t>
      </w:r>
      <w:r>
        <w:rPr>
          <w:rFonts w:hint="eastAsia"/>
          <w:color w:val="auto"/>
          <w:spacing w:val="-3"/>
        </w:rPr>
        <w:t>发生泄漏后，</w:t>
      </w:r>
      <w:r>
        <w:rPr>
          <w:rFonts w:hint="eastAsia"/>
          <w:color w:val="auto"/>
        </w:rPr>
        <w:t>发生泄漏后，最先污染表层土壤，时间越久，污染物向土壤下方运移越深，泄漏发生后短期内对表层土壤环境影响严重，本项目所在区域地下水埋深较浅，即事故状态下，石油类先后会污染土壤及地下水，预测结果表明污染物迁移过程中对土壤影响较大</w:t>
      </w:r>
      <w:r>
        <w:rPr>
          <w:rFonts w:hint="eastAsia"/>
          <w:color w:val="auto"/>
          <w:spacing w:val="-3"/>
        </w:rPr>
        <w:t>。</w:t>
      </w:r>
    </w:p>
    <w:p w14:paraId="5A13EB11">
      <w:pPr>
        <w:pStyle w:val="276"/>
        <w:widowControl w:val="0"/>
        <w:ind w:firstLine="468"/>
        <w:jc w:val="both"/>
        <w:rPr>
          <w:color w:val="auto"/>
          <w:spacing w:val="-3"/>
        </w:rPr>
      </w:pPr>
      <w:r>
        <w:rPr>
          <w:rFonts w:hint="eastAsia"/>
          <w:color w:val="auto"/>
          <w:spacing w:val="-3"/>
        </w:rPr>
        <w:t>根据第十采油厂多年运行经验，一般输油管线泄漏反应时间在3</w:t>
      </w:r>
      <w:r>
        <w:rPr>
          <w:color w:val="auto"/>
          <w:spacing w:val="-3"/>
        </w:rPr>
        <w:t>0min</w:t>
      </w:r>
      <w:r>
        <w:rPr>
          <w:rFonts w:hint="eastAsia"/>
          <w:color w:val="auto"/>
          <w:spacing w:val="-3"/>
        </w:rPr>
        <w:t>。采出液</w:t>
      </w:r>
      <w:r>
        <w:rPr>
          <w:color w:val="auto"/>
          <w:spacing w:val="-3"/>
        </w:rPr>
        <w:t>泄漏事故发生时，生产单位会按照应急预案及时关闭生产管线，采取现场污染物治理措施，将事故产生的</w:t>
      </w:r>
      <w:r>
        <w:rPr>
          <w:rFonts w:hint="eastAsia"/>
          <w:color w:val="auto"/>
          <w:spacing w:val="-3"/>
        </w:rPr>
        <w:t>危险废物委托具备危废处理资质单位进行处置，此类事故原油泄漏量较小，很少形成大面积的污染</w:t>
      </w:r>
      <w:r>
        <w:rPr>
          <w:color w:val="auto"/>
          <w:spacing w:val="-3"/>
        </w:rPr>
        <w:t>。</w:t>
      </w:r>
    </w:p>
    <w:p w14:paraId="492DC95C">
      <w:pPr>
        <w:pStyle w:val="6"/>
        <w:rPr>
          <w:color w:val="auto"/>
        </w:rPr>
      </w:pPr>
      <w:r>
        <w:rPr>
          <w:rFonts w:hint="eastAsia"/>
          <w:color w:val="auto"/>
        </w:rPr>
        <w:t>退役期土壤</w:t>
      </w:r>
      <w:r>
        <w:rPr>
          <w:color w:val="auto"/>
        </w:rPr>
        <w:t>环境影响</w:t>
      </w:r>
      <w:r>
        <w:rPr>
          <w:rFonts w:hint="eastAsia"/>
          <w:color w:val="auto"/>
        </w:rPr>
        <w:t>分析</w:t>
      </w:r>
    </w:p>
    <w:p w14:paraId="7C92B49F">
      <w:pPr>
        <w:pStyle w:val="276"/>
        <w:widowControl w:val="0"/>
        <w:ind w:firstLine="480"/>
        <w:jc w:val="both"/>
        <w:rPr>
          <w:color w:val="auto"/>
        </w:rPr>
      </w:pPr>
      <w:r>
        <w:rPr>
          <w:rFonts w:hint="eastAsia"/>
          <w:color w:val="auto"/>
        </w:rPr>
        <w:t>退役期，采油设备拆除过程或封井过程可能产生落地油，若不及时回收，可能随雨水入渗污染土壤。</w:t>
      </w:r>
      <w:r>
        <w:rPr>
          <w:color w:val="auto"/>
        </w:rPr>
        <w:t>地面设施拆除、井场清理等工作过程中</w:t>
      </w:r>
      <w:r>
        <w:rPr>
          <w:rFonts w:hint="eastAsia"/>
          <w:color w:val="auto"/>
        </w:rPr>
        <w:t>会产生落地油、废沾油防渗布、清管废渣等</w:t>
      </w:r>
      <w:r>
        <w:rPr>
          <w:color w:val="auto"/>
        </w:rPr>
        <w:t>，</w:t>
      </w:r>
      <w:r>
        <w:rPr>
          <w:rFonts w:hint="eastAsia"/>
          <w:color w:val="auto"/>
        </w:rPr>
        <w:t>直接由具备危险废物处理资质的单位拉运处理，同时对井场永久</w:t>
      </w:r>
      <w:r>
        <w:rPr>
          <w:color w:val="auto"/>
        </w:rPr>
        <w:t>占地</w:t>
      </w:r>
      <w:r>
        <w:rPr>
          <w:rFonts w:hint="eastAsia"/>
          <w:color w:val="auto"/>
        </w:rPr>
        <w:t>进行土地复垦及</w:t>
      </w:r>
      <w:r>
        <w:rPr>
          <w:color w:val="auto"/>
        </w:rPr>
        <w:t>植被恢复</w:t>
      </w:r>
      <w:r>
        <w:rPr>
          <w:rFonts w:hint="eastAsia"/>
          <w:color w:val="auto"/>
        </w:rPr>
        <w:t>。因此，退役期施工活动对土壤环境在可接受范围内。</w:t>
      </w:r>
    </w:p>
    <w:bookmarkEnd w:id="1439"/>
    <w:p w14:paraId="23282EAD">
      <w:pPr>
        <w:pStyle w:val="6"/>
        <w:rPr>
          <w:color w:val="auto"/>
        </w:rPr>
      </w:pPr>
      <w:bookmarkStart w:id="1455" w:name="_Toc80971463"/>
      <w:bookmarkStart w:id="1456" w:name="_Toc127192423"/>
      <w:bookmarkStart w:id="1457" w:name="_Toc80588341"/>
      <w:bookmarkStart w:id="1458" w:name="_Toc78816546"/>
      <w:bookmarkStart w:id="1459" w:name="_Toc67860224"/>
      <w:bookmarkStart w:id="1460" w:name="_Toc131167375"/>
      <w:bookmarkStart w:id="1461" w:name="_Toc143099662"/>
      <w:bookmarkStart w:id="1462" w:name="_Toc84929318"/>
      <w:bookmarkStart w:id="1463" w:name="_Toc70050271"/>
      <w:bookmarkStart w:id="1464" w:name="_Toc77067744"/>
      <w:bookmarkStart w:id="1465" w:name="_Toc85640842"/>
      <w:bookmarkStart w:id="1466" w:name="_Toc83209563"/>
      <w:bookmarkStart w:id="1467" w:name="_Toc86142017"/>
      <w:bookmarkStart w:id="1468" w:name="_Toc126863474"/>
      <w:bookmarkStart w:id="1469" w:name="_Toc76976333"/>
      <w:r>
        <w:rPr>
          <w:color w:val="auto"/>
        </w:rPr>
        <w:t>评价结论</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57936083">
      <w:pPr>
        <w:pStyle w:val="276"/>
        <w:widowControl w:val="0"/>
        <w:ind w:firstLine="480"/>
        <w:jc w:val="both"/>
        <w:rPr>
          <w:color w:val="auto"/>
          <w:kern w:val="21"/>
          <w:lang w:bidi="zh-CN"/>
        </w:rPr>
      </w:pPr>
      <w:r>
        <w:rPr>
          <w:rFonts w:hint="eastAsia"/>
          <w:color w:val="auto"/>
          <w:kern w:val="21"/>
          <w:lang w:bidi="zh-CN"/>
        </w:rPr>
        <w:t>通过分析，本项目正常运行状态下基本不会对土壤造成污染；非正常工况下，污染物随时间推移不断下渗，因此，本次评价针对各类污染物均提出对应的污染治理措施，可确保污染物达标排放及防止渗漏发生，从源头上控制项目对区域土壤环境的污染源强，确保项目对区域土壤环境的影响处于可接受水平。</w:t>
      </w:r>
    </w:p>
    <w:p w14:paraId="4BEA6E3C">
      <w:pPr>
        <w:pStyle w:val="276"/>
        <w:widowControl w:val="0"/>
        <w:ind w:firstLine="480"/>
        <w:jc w:val="both"/>
        <w:rPr>
          <w:color w:val="auto"/>
          <w:kern w:val="21"/>
        </w:rPr>
        <w:sectPr>
          <w:headerReference r:id="rId10" w:type="default"/>
          <w:pgSz w:w="11907" w:h="16840"/>
          <w:pgMar w:top="1418" w:right="1418" w:bottom="1418" w:left="1418" w:header="851" w:footer="425" w:gutter="0"/>
          <w:cols w:space="720" w:num="1"/>
          <w:docGrid w:type="lines" w:linePitch="326" w:charSpace="0"/>
        </w:sectPr>
      </w:pPr>
      <w:r>
        <w:rPr>
          <w:rFonts w:hint="eastAsia"/>
          <w:color w:val="auto"/>
          <w:kern w:val="21"/>
          <w:lang w:bidi="zh-CN"/>
        </w:rPr>
        <w:t>建设单位在严格落实本报告提出的污染防治措施及土壤环境跟踪监测计划的前提下，项目对区域土壤环境影响是可接受的。从土壤环境影响的角度，项目建设是可行的</w:t>
      </w:r>
      <w:r>
        <w:rPr>
          <w:color w:val="auto"/>
          <w:kern w:val="21"/>
        </w:rPr>
        <w:t>。</w:t>
      </w:r>
    </w:p>
    <w:bookmarkEnd w:id="1424"/>
    <w:bookmarkEnd w:id="1425"/>
    <w:p w14:paraId="7B93DC2B">
      <w:pPr>
        <w:pStyle w:val="5"/>
        <w:rPr>
          <w:bCs w:val="0"/>
          <w:color w:val="auto"/>
        </w:rPr>
      </w:pPr>
      <w:bookmarkStart w:id="1470" w:name="_Toc212033038"/>
      <w:r>
        <w:rPr>
          <w:rFonts w:hint="eastAsia"/>
          <w:bCs w:val="0"/>
          <w:color w:val="auto"/>
        </w:rPr>
        <w:t>生态环境影响评价</w:t>
      </w:r>
      <w:bookmarkEnd w:id="1470"/>
    </w:p>
    <w:p w14:paraId="6E873B3A">
      <w:pPr>
        <w:pStyle w:val="6"/>
        <w:rPr>
          <w:color w:val="auto"/>
        </w:rPr>
      </w:pPr>
      <w:r>
        <w:rPr>
          <w:rFonts w:hint="eastAsia"/>
          <w:color w:val="auto"/>
        </w:rPr>
        <w:t>施工期生态</w:t>
      </w:r>
      <w:r>
        <w:rPr>
          <w:color w:val="auto"/>
        </w:rPr>
        <w:t>环境影响评价</w:t>
      </w:r>
    </w:p>
    <w:p w14:paraId="54F8079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对生态系统</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4A4939CD">
      <w:pPr>
        <w:pStyle w:val="276"/>
        <w:widowControl w:val="0"/>
        <w:ind w:firstLine="480"/>
        <w:jc w:val="both"/>
        <w:rPr>
          <w:color w:val="auto"/>
        </w:rPr>
      </w:pPr>
      <w:r>
        <w:rPr>
          <w:rFonts w:hint="eastAsia"/>
          <w:color w:val="auto"/>
        </w:rPr>
        <w:t>1）对生态系统结构和功能影响分析</w:t>
      </w:r>
    </w:p>
    <w:p w14:paraId="763B3B8C">
      <w:pPr>
        <w:pStyle w:val="276"/>
        <w:widowControl w:val="0"/>
        <w:ind w:firstLine="480"/>
        <w:jc w:val="both"/>
        <w:rPr>
          <w:color w:val="auto"/>
        </w:rPr>
      </w:pPr>
      <w:r>
        <w:rPr>
          <w:rFonts w:hint="eastAsia"/>
          <w:color w:val="auto"/>
        </w:rPr>
        <w:t>（1）对生态系统结构影响分析</w:t>
      </w:r>
    </w:p>
    <w:p w14:paraId="59684E0A">
      <w:pPr>
        <w:pStyle w:val="276"/>
        <w:widowControl w:val="0"/>
        <w:ind w:firstLine="480"/>
        <w:jc w:val="both"/>
        <w:rPr>
          <w:color w:val="auto"/>
        </w:rPr>
      </w:pPr>
      <w:r>
        <w:rPr>
          <w:rFonts w:hint="eastAsia"/>
          <w:color w:val="auto"/>
        </w:rPr>
        <w:t>根据遥感解译结果，项目建设前和建设期（施工期）评价区各类生态系统面积变化情况详见下表。</w:t>
      </w:r>
    </w:p>
    <w:p w14:paraId="1186A9EE">
      <w:pPr>
        <w:spacing w:before="163"/>
        <w:jc w:val="center"/>
        <w:rPr>
          <w:rFonts w:ascii="宋体" w:hAnsi="宋体" w:eastAsia="宋体"/>
          <w:color w:val="auto"/>
        </w:rPr>
      </w:pPr>
      <w:r>
        <w:rPr>
          <w:rFonts w:hint="eastAsia" w:ascii="宋体" w:hAnsi="宋体" w:eastAsia="宋体"/>
          <w:color w:val="auto"/>
        </w:rPr>
        <w:t xml:space="preserve">表 </w:t>
      </w:r>
      <w:r>
        <w:rPr>
          <w:rFonts w:ascii="宋体" w:hAnsi="宋体" w:eastAsia="宋体"/>
          <w:color w:val="auto"/>
        </w:rPr>
        <w:fldChar w:fldCharType="begin"/>
      </w:r>
      <w:r>
        <w:rPr>
          <w:rFonts w:ascii="宋体" w:hAnsi="宋体" w:eastAsia="宋体"/>
          <w:color w:val="auto"/>
        </w:rPr>
        <w:instrText xml:space="preserve"> </w:instrText>
      </w:r>
      <w:r>
        <w:rPr>
          <w:rFonts w:hint="eastAsia" w:ascii="宋体" w:hAnsi="宋体" w:eastAsia="宋体"/>
          <w:color w:val="auto"/>
        </w:rPr>
        <w:instrText xml:space="preserve">STYLEREF 2 \s</w:instrText>
      </w:r>
      <w:r>
        <w:rPr>
          <w:rFonts w:ascii="宋体" w:hAnsi="宋体" w:eastAsia="宋体"/>
          <w:color w:val="auto"/>
        </w:rPr>
        <w:instrText xml:space="preserve"> </w:instrText>
      </w:r>
      <w:r>
        <w:rPr>
          <w:rFonts w:ascii="宋体" w:hAnsi="宋体" w:eastAsia="宋体"/>
          <w:color w:val="auto"/>
        </w:rPr>
        <w:fldChar w:fldCharType="separate"/>
      </w:r>
      <w:r>
        <w:rPr>
          <w:rFonts w:ascii="宋体" w:hAnsi="宋体" w:eastAsia="宋体"/>
          <w:color w:val="auto"/>
        </w:rPr>
        <w:t>5.7</w:t>
      </w:r>
      <w:r>
        <w:rPr>
          <w:rFonts w:ascii="宋体" w:hAnsi="宋体" w:eastAsia="宋体"/>
          <w:color w:val="auto"/>
        </w:rPr>
        <w:fldChar w:fldCharType="end"/>
      </w:r>
      <w:r>
        <w:rPr>
          <w:rFonts w:ascii="宋体" w:hAnsi="宋体" w:eastAsia="宋体"/>
          <w:color w:val="auto"/>
        </w:rPr>
        <w:noBreakHyphen/>
      </w:r>
      <w:r>
        <w:rPr>
          <w:rFonts w:ascii="宋体" w:hAnsi="宋体" w:eastAsia="宋体"/>
          <w:color w:val="auto"/>
        </w:rPr>
        <w:fldChar w:fldCharType="begin"/>
      </w:r>
      <w:r>
        <w:rPr>
          <w:rFonts w:ascii="宋体" w:hAnsi="宋体" w:eastAsia="宋体"/>
          <w:color w:val="auto"/>
        </w:rPr>
        <w:instrText xml:space="preserve"> </w:instrText>
      </w:r>
      <w:r>
        <w:rPr>
          <w:rFonts w:hint="eastAsia" w:ascii="宋体" w:hAnsi="宋体" w:eastAsia="宋体"/>
          <w:color w:val="auto"/>
        </w:rPr>
        <w:instrText xml:space="preserve">SEQ 表 \* ARABIC \s 2</w:instrText>
      </w:r>
      <w:r>
        <w:rPr>
          <w:rFonts w:ascii="宋体" w:hAnsi="宋体" w:eastAsia="宋体"/>
          <w:color w:val="auto"/>
        </w:rPr>
        <w:instrText xml:space="preserve"> </w:instrText>
      </w:r>
      <w:r>
        <w:rPr>
          <w:rFonts w:ascii="宋体" w:hAnsi="宋体" w:eastAsia="宋体"/>
          <w:color w:val="auto"/>
        </w:rPr>
        <w:fldChar w:fldCharType="separate"/>
      </w:r>
      <w:r>
        <w:rPr>
          <w:rFonts w:ascii="宋体" w:hAnsi="宋体" w:eastAsia="宋体"/>
          <w:color w:val="auto"/>
        </w:rPr>
        <w:t>1</w:t>
      </w:r>
      <w:r>
        <w:rPr>
          <w:rFonts w:ascii="宋体" w:hAnsi="宋体" w:eastAsia="宋体"/>
          <w:color w:val="auto"/>
        </w:rPr>
        <w:fldChar w:fldCharType="end"/>
      </w:r>
      <w:r>
        <w:rPr>
          <w:rFonts w:hint="eastAsia" w:ascii="宋体" w:hAnsi="宋体" w:eastAsia="宋体"/>
          <w:color w:val="auto"/>
        </w:rPr>
        <w:t>项目建设前后评价区生态系统面积变化情况表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105"/>
        <w:gridCol w:w="1168"/>
        <w:gridCol w:w="1170"/>
        <w:gridCol w:w="1168"/>
        <w:gridCol w:w="1170"/>
        <w:gridCol w:w="1169"/>
        <w:gridCol w:w="1169"/>
      </w:tblGrid>
      <w:tr w14:paraId="1201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4" w:type="pct"/>
            <w:gridSpan w:val="2"/>
            <w:vMerge w:val="restart"/>
            <w:shd w:val="clear" w:color="auto" w:fill="auto"/>
            <w:vAlign w:val="center"/>
          </w:tcPr>
          <w:p w14:paraId="1F75576D">
            <w:pPr>
              <w:widowControl/>
              <w:jc w:val="center"/>
              <w:rPr>
                <w:rFonts w:ascii="宋体" w:hAnsi="宋体" w:eastAsia="宋体" w:cs="宋体"/>
                <w:color w:val="auto"/>
                <w:kern w:val="0"/>
              </w:rPr>
            </w:pPr>
            <w:r>
              <w:rPr>
                <w:rFonts w:hint="eastAsia" w:ascii="宋体" w:hAnsi="宋体" w:eastAsia="宋体" w:cs="宋体"/>
                <w:color w:val="auto"/>
                <w:kern w:val="0"/>
              </w:rPr>
              <w:t>生态系统类型</w:t>
            </w:r>
          </w:p>
        </w:tc>
        <w:tc>
          <w:tcPr>
            <w:tcW w:w="1259" w:type="pct"/>
            <w:gridSpan w:val="2"/>
            <w:shd w:val="clear" w:color="auto" w:fill="auto"/>
            <w:noWrap/>
            <w:vAlign w:val="center"/>
          </w:tcPr>
          <w:p w14:paraId="73A7A079">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建设前</w:t>
            </w:r>
          </w:p>
        </w:tc>
        <w:tc>
          <w:tcPr>
            <w:tcW w:w="1259" w:type="pct"/>
            <w:gridSpan w:val="2"/>
            <w:shd w:val="clear" w:color="auto" w:fill="auto"/>
            <w:vAlign w:val="center"/>
          </w:tcPr>
          <w:p w14:paraId="00C444C9">
            <w:pPr>
              <w:widowControl/>
              <w:jc w:val="center"/>
              <w:rPr>
                <w:rFonts w:hint="eastAsia" w:ascii="宋体" w:hAnsi="宋体" w:eastAsia="宋体" w:cs="宋体"/>
                <w:color w:val="auto"/>
                <w:kern w:val="0"/>
              </w:rPr>
            </w:pPr>
            <w:r>
              <w:rPr>
                <w:rFonts w:hint="eastAsia" w:ascii="宋体" w:hAnsi="宋体" w:eastAsia="宋体" w:cs="宋体"/>
                <w:color w:val="auto"/>
                <w:kern w:val="0"/>
              </w:rPr>
              <w:t>施工期</w:t>
            </w:r>
          </w:p>
        </w:tc>
        <w:tc>
          <w:tcPr>
            <w:tcW w:w="1259" w:type="pct"/>
            <w:gridSpan w:val="2"/>
            <w:shd w:val="clear" w:color="auto" w:fill="auto"/>
            <w:vAlign w:val="center"/>
          </w:tcPr>
          <w:p w14:paraId="048F8C32">
            <w:pPr>
              <w:widowControl/>
              <w:jc w:val="center"/>
              <w:rPr>
                <w:rFonts w:hint="eastAsia" w:ascii="宋体" w:hAnsi="宋体" w:eastAsia="宋体" w:cs="宋体"/>
                <w:color w:val="auto"/>
                <w:kern w:val="0"/>
              </w:rPr>
            </w:pPr>
            <w:r>
              <w:rPr>
                <w:rFonts w:hint="eastAsia" w:ascii="宋体" w:hAnsi="宋体" w:eastAsia="宋体" w:cs="宋体"/>
                <w:color w:val="auto"/>
                <w:kern w:val="0"/>
              </w:rPr>
              <w:t>生态系统面积变化</w:t>
            </w:r>
          </w:p>
        </w:tc>
      </w:tr>
      <w:tr w14:paraId="68B0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4" w:type="pct"/>
            <w:gridSpan w:val="2"/>
            <w:vMerge w:val="continue"/>
            <w:shd w:val="clear" w:color="auto" w:fill="auto"/>
            <w:vAlign w:val="center"/>
          </w:tcPr>
          <w:p w14:paraId="717964C6">
            <w:pPr>
              <w:widowControl/>
              <w:jc w:val="center"/>
              <w:rPr>
                <w:rFonts w:ascii="宋体" w:hAnsi="宋体" w:eastAsia="宋体" w:cs="宋体"/>
                <w:color w:val="auto"/>
                <w:kern w:val="0"/>
              </w:rPr>
            </w:pPr>
          </w:p>
        </w:tc>
        <w:tc>
          <w:tcPr>
            <w:tcW w:w="629" w:type="pct"/>
            <w:vMerge w:val="restart"/>
            <w:shd w:val="clear" w:color="auto" w:fill="auto"/>
            <w:vAlign w:val="center"/>
          </w:tcPr>
          <w:p w14:paraId="591BF1A7">
            <w:pPr>
              <w:widowControl/>
              <w:jc w:val="center"/>
              <w:rPr>
                <w:rFonts w:hint="eastAsia" w:ascii="宋体" w:hAnsi="宋体" w:eastAsia="宋体" w:cs="宋体"/>
                <w:color w:val="auto"/>
                <w:kern w:val="0"/>
              </w:rPr>
            </w:pPr>
            <w:r>
              <w:rPr>
                <w:rFonts w:hint="eastAsia" w:ascii="宋体" w:hAnsi="宋体" w:eastAsia="宋体" w:cs="宋体"/>
                <w:color w:val="auto"/>
                <w:kern w:val="0"/>
              </w:rPr>
              <w:t>面积（hm</w:t>
            </w:r>
            <w:r>
              <w:rPr>
                <w:rFonts w:hint="eastAsia" w:ascii="宋体" w:hAnsi="宋体" w:eastAsia="宋体" w:cs="宋体"/>
                <w:color w:val="auto"/>
                <w:kern w:val="0"/>
                <w:vertAlign w:val="superscript"/>
              </w:rPr>
              <w:t>2</w:t>
            </w:r>
            <w:r>
              <w:rPr>
                <w:rFonts w:hint="eastAsia" w:ascii="宋体" w:hAnsi="宋体" w:eastAsia="宋体" w:cs="宋体"/>
                <w:color w:val="auto"/>
                <w:kern w:val="0"/>
              </w:rPr>
              <w:t>）</w:t>
            </w:r>
          </w:p>
        </w:tc>
        <w:tc>
          <w:tcPr>
            <w:tcW w:w="629" w:type="pct"/>
            <w:vMerge w:val="restart"/>
            <w:shd w:val="clear" w:color="auto" w:fill="auto"/>
            <w:vAlign w:val="center"/>
          </w:tcPr>
          <w:p w14:paraId="20126B1D">
            <w:pPr>
              <w:widowControl/>
              <w:jc w:val="center"/>
              <w:rPr>
                <w:rFonts w:hint="eastAsia" w:ascii="宋体" w:hAnsi="宋体" w:eastAsia="宋体" w:cs="宋体"/>
                <w:color w:val="auto"/>
                <w:kern w:val="0"/>
              </w:rPr>
            </w:pPr>
            <w:r>
              <w:rPr>
                <w:rFonts w:hint="eastAsia" w:ascii="宋体" w:hAnsi="宋体" w:eastAsia="宋体" w:cs="宋体"/>
                <w:color w:val="auto"/>
                <w:kern w:val="0"/>
              </w:rPr>
              <w:t>比例（%）</w:t>
            </w:r>
          </w:p>
        </w:tc>
        <w:tc>
          <w:tcPr>
            <w:tcW w:w="629" w:type="pct"/>
            <w:vMerge w:val="restart"/>
            <w:shd w:val="clear" w:color="auto" w:fill="auto"/>
            <w:vAlign w:val="center"/>
          </w:tcPr>
          <w:p w14:paraId="7DA3EA09">
            <w:pPr>
              <w:widowControl/>
              <w:jc w:val="center"/>
              <w:rPr>
                <w:rFonts w:hint="eastAsia" w:ascii="宋体" w:hAnsi="宋体" w:eastAsia="宋体" w:cs="宋体"/>
                <w:color w:val="auto"/>
                <w:kern w:val="0"/>
              </w:rPr>
            </w:pPr>
            <w:r>
              <w:rPr>
                <w:rFonts w:hint="eastAsia" w:ascii="宋体" w:hAnsi="宋体" w:eastAsia="宋体" w:cs="宋体"/>
                <w:color w:val="auto"/>
                <w:kern w:val="0"/>
              </w:rPr>
              <w:t>面积（hm</w:t>
            </w:r>
            <w:r>
              <w:rPr>
                <w:rFonts w:hint="eastAsia" w:ascii="宋体" w:hAnsi="宋体" w:eastAsia="宋体" w:cs="宋体"/>
                <w:color w:val="auto"/>
                <w:kern w:val="0"/>
                <w:vertAlign w:val="superscript"/>
              </w:rPr>
              <w:t>2</w:t>
            </w:r>
            <w:r>
              <w:rPr>
                <w:rFonts w:hint="eastAsia" w:ascii="宋体" w:hAnsi="宋体" w:eastAsia="宋体" w:cs="宋体"/>
                <w:color w:val="auto"/>
                <w:kern w:val="0"/>
              </w:rPr>
              <w:t>）</w:t>
            </w:r>
          </w:p>
        </w:tc>
        <w:tc>
          <w:tcPr>
            <w:tcW w:w="629" w:type="pct"/>
            <w:vMerge w:val="restart"/>
            <w:shd w:val="clear" w:color="auto" w:fill="auto"/>
            <w:vAlign w:val="center"/>
          </w:tcPr>
          <w:p w14:paraId="14564572">
            <w:pPr>
              <w:widowControl/>
              <w:jc w:val="center"/>
              <w:rPr>
                <w:rFonts w:hint="eastAsia" w:ascii="宋体" w:hAnsi="宋体" w:eastAsia="宋体" w:cs="宋体"/>
                <w:color w:val="auto"/>
                <w:kern w:val="0"/>
              </w:rPr>
            </w:pPr>
            <w:r>
              <w:rPr>
                <w:rFonts w:hint="eastAsia" w:ascii="宋体" w:hAnsi="宋体" w:eastAsia="宋体" w:cs="宋体"/>
                <w:color w:val="auto"/>
                <w:kern w:val="0"/>
              </w:rPr>
              <w:t>比例（%）</w:t>
            </w:r>
          </w:p>
        </w:tc>
        <w:tc>
          <w:tcPr>
            <w:tcW w:w="629" w:type="pct"/>
            <w:vMerge w:val="restart"/>
            <w:shd w:val="clear" w:color="auto" w:fill="auto"/>
            <w:vAlign w:val="center"/>
          </w:tcPr>
          <w:p w14:paraId="4CB2E8BA">
            <w:pPr>
              <w:widowControl/>
              <w:jc w:val="center"/>
              <w:rPr>
                <w:rFonts w:hint="eastAsia" w:ascii="宋体" w:hAnsi="宋体" w:eastAsia="宋体" w:cs="宋体"/>
                <w:color w:val="auto"/>
                <w:kern w:val="0"/>
              </w:rPr>
            </w:pPr>
            <w:r>
              <w:rPr>
                <w:rFonts w:hint="eastAsia" w:ascii="宋体" w:hAnsi="宋体" w:eastAsia="宋体" w:cs="宋体"/>
                <w:color w:val="auto"/>
                <w:kern w:val="0"/>
              </w:rPr>
              <w:t>面积（hm</w:t>
            </w:r>
            <w:r>
              <w:rPr>
                <w:rFonts w:hint="eastAsia" w:ascii="宋体" w:hAnsi="宋体" w:eastAsia="宋体" w:cs="宋体"/>
                <w:color w:val="auto"/>
                <w:kern w:val="0"/>
                <w:vertAlign w:val="superscript"/>
              </w:rPr>
              <w:t>2</w:t>
            </w:r>
            <w:r>
              <w:rPr>
                <w:rFonts w:hint="eastAsia" w:ascii="宋体" w:hAnsi="宋体" w:eastAsia="宋体" w:cs="宋体"/>
                <w:color w:val="auto"/>
                <w:kern w:val="0"/>
              </w:rPr>
              <w:t>）</w:t>
            </w:r>
          </w:p>
        </w:tc>
        <w:tc>
          <w:tcPr>
            <w:tcW w:w="629" w:type="pct"/>
            <w:vMerge w:val="restart"/>
            <w:shd w:val="clear" w:color="auto" w:fill="auto"/>
            <w:vAlign w:val="center"/>
          </w:tcPr>
          <w:p w14:paraId="0696F7E6">
            <w:pPr>
              <w:widowControl/>
              <w:jc w:val="center"/>
              <w:rPr>
                <w:rFonts w:hint="eastAsia" w:ascii="宋体" w:hAnsi="宋体" w:eastAsia="宋体" w:cs="宋体"/>
                <w:color w:val="auto"/>
                <w:kern w:val="0"/>
              </w:rPr>
            </w:pPr>
            <w:r>
              <w:rPr>
                <w:rFonts w:hint="eastAsia" w:ascii="宋体" w:hAnsi="宋体" w:eastAsia="宋体" w:cs="宋体"/>
                <w:color w:val="auto"/>
                <w:kern w:val="0"/>
              </w:rPr>
              <w:t>比例（%）</w:t>
            </w:r>
          </w:p>
        </w:tc>
      </w:tr>
      <w:tr w14:paraId="59C8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shd w:val="clear" w:color="auto" w:fill="auto"/>
            <w:vAlign w:val="center"/>
          </w:tcPr>
          <w:p w14:paraId="63D7A533">
            <w:pPr>
              <w:widowControl/>
              <w:jc w:val="center"/>
              <w:rPr>
                <w:rFonts w:hint="eastAsia" w:ascii="宋体" w:hAnsi="宋体" w:eastAsia="宋体" w:cs="宋体"/>
                <w:color w:val="auto"/>
                <w:kern w:val="0"/>
              </w:rPr>
            </w:pPr>
            <w:r>
              <w:rPr>
                <w:rFonts w:hint="eastAsia" w:ascii="宋体" w:hAnsi="宋体" w:eastAsia="宋体" w:cs="宋体"/>
                <w:color w:val="auto"/>
                <w:kern w:val="0"/>
              </w:rPr>
              <w:t>Ⅰ级分类</w:t>
            </w:r>
          </w:p>
        </w:tc>
        <w:tc>
          <w:tcPr>
            <w:tcW w:w="594" w:type="pct"/>
            <w:shd w:val="clear" w:color="auto" w:fill="auto"/>
            <w:vAlign w:val="center"/>
          </w:tcPr>
          <w:p w14:paraId="62E980E6">
            <w:pPr>
              <w:widowControl/>
              <w:jc w:val="center"/>
              <w:rPr>
                <w:rFonts w:hint="eastAsia" w:ascii="宋体" w:hAnsi="宋体" w:eastAsia="宋体" w:cs="宋体"/>
                <w:color w:val="auto"/>
                <w:kern w:val="0"/>
              </w:rPr>
            </w:pPr>
            <w:r>
              <w:rPr>
                <w:rFonts w:hint="eastAsia" w:ascii="宋体" w:hAnsi="宋体" w:eastAsia="宋体" w:cs="宋体"/>
                <w:color w:val="auto"/>
                <w:kern w:val="0"/>
              </w:rPr>
              <w:t>Ⅱ级分类</w:t>
            </w:r>
          </w:p>
        </w:tc>
        <w:tc>
          <w:tcPr>
            <w:tcW w:w="629" w:type="pct"/>
            <w:vMerge w:val="continue"/>
            <w:shd w:val="clear" w:color="auto" w:fill="auto"/>
            <w:vAlign w:val="center"/>
          </w:tcPr>
          <w:p w14:paraId="3302DC8F">
            <w:pPr>
              <w:widowControl/>
              <w:jc w:val="center"/>
              <w:rPr>
                <w:rFonts w:ascii="宋体" w:hAnsi="宋体" w:eastAsia="宋体" w:cs="宋体"/>
                <w:color w:val="auto"/>
                <w:kern w:val="0"/>
              </w:rPr>
            </w:pPr>
          </w:p>
        </w:tc>
        <w:tc>
          <w:tcPr>
            <w:tcW w:w="629" w:type="pct"/>
            <w:vMerge w:val="continue"/>
            <w:shd w:val="clear" w:color="auto" w:fill="auto"/>
            <w:vAlign w:val="center"/>
          </w:tcPr>
          <w:p w14:paraId="0FD42E19">
            <w:pPr>
              <w:widowControl/>
              <w:jc w:val="center"/>
              <w:rPr>
                <w:rFonts w:ascii="宋体" w:hAnsi="宋体" w:eastAsia="宋体" w:cs="宋体"/>
                <w:color w:val="auto"/>
                <w:kern w:val="0"/>
              </w:rPr>
            </w:pPr>
          </w:p>
        </w:tc>
        <w:tc>
          <w:tcPr>
            <w:tcW w:w="629" w:type="pct"/>
            <w:vMerge w:val="continue"/>
            <w:shd w:val="clear" w:color="auto" w:fill="auto"/>
            <w:vAlign w:val="center"/>
          </w:tcPr>
          <w:p w14:paraId="59F927E2">
            <w:pPr>
              <w:widowControl/>
              <w:jc w:val="center"/>
              <w:rPr>
                <w:rFonts w:ascii="宋体" w:hAnsi="宋体" w:eastAsia="宋体" w:cs="宋体"/>
                <w:color w:val="auto"/>
                <w:kern w:val="0"/>
              </w:rPr>
            </w:pPr>
          </w:p>
        </w:tc>
        <w:tc>
          <w:tcPr>
            <w:tcW w:w="629" w:type="pct"/>
            <w:vMerge w:val="continue"/>
            <w:shd w:val="clear" w:color="auto" w:fill="auto"/>
            <w:vAlign w:val="center"/>
          </w:tcPr>
          <w:p w14:paraId="467BE8C9">
            <w:pPr>
              <w:widowControl/>
              <w:jc w:val="center"/>
              <w:rPr>
                <w:rFonts w:ascii="宋体" w:hAnsi="宋体" w:eastAsia="宋体" w:cs="宋体"/>
                <w:color w:val="auto"/>
                <w:kern w:val="0"/>
              </w:rPr>
            </w:pPr>
          </w:p>
        </w:tc>
        <w:tc>
          <w:tcPr>
            <w:tcW w:w="629" w:type="pct"/>
            <w:vMerge w:val="continue"/>
            <w:shd w:val="clear" w:color="auto" w:fill="auto"/>
            <w:vAlign w:val="center"/>
          </w:tcPr>
          <w:p w14:paraId="1A9E3F23">
            <w:pPr>
              <w:widowControl/>
              <w:jc w:val="center"/>
              <w:rPr>
                <w:rFonts w:ascii="宋体" w:hAnsi="宋体" w:eastAsia="宋体" w:cs="宋体"/>
                <w:color w:val="auto"/>
                <w:kern w:val="0"/>
              </w:rPr>
            </w:pPr>
          </w:p>
        </w:tc>
        <w:tc>
          <w:tcPr>
            <w:tcW w:w="629" w:type="pct"/>
            <w:vMerge w:val="continue"/>
            <w:shd w:val="clear" w:color="auto" w:fill="auto"/>
            <w:vAlign w:val="center"/>
          </w:tcPr>
          <w:p w14:paraId="43E8EC91">
            <w:pPr>
              <w:widowControl/>
              <w:jc w:val="center"/>
              <w:rPr>
                <w:rFonts w:ascii="宋体" w:hAnsi="宋体" w:eastAsia="宋体" w:cs="宋体"/>
                <w:color w:val="auto"/>
                <w:kern w:val="0"/>
              </w:rPr>
            </w:pPr>
          </w:p>
        </w:tc>
      </w:tr>
      <w:tr w14:paraId="1C2C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shd w:val="clear" w:color="auto" w:fill="auto"/>
            <w:vAlign w:val="center"/>
          </w:tcPr>
          <w:p w14:paraId="77692B3B">
            <w:pPr>
              <w:widowControl/>
              <w:jc w:val="center"/>
              <w:rPr>
                <w:rFonts w:hint="eastAsia" w:ascii="宋体" w:hAnsi="宋体" w:eastAsia="宋体" w:cs="宋体"/>
                <w:color w:val="auto"/>
                <w:kern w:val="0"/>
              </w:rPr>
            </w:pPr>
            <w:r>
              <w:rPr>
                <w:rFonts w:hint="eastAsia" w:ascii="宋体" w:hAnsi="宋体" w:eastAsia="宋体" w:cs="宋体"/>
                <w:color w:val="auto"/>
                <w:kern w:val="0"/>
              </w:rPr>
              <w:t>森林生态系统</w:t>
            </w:r>
          </w:p>
        </w:tc>
        <w:tc>
          <w:tcPr>
            <w:tcW w:w="594" w:type="pct"/>
            <w:shd w:val="clear" w:color="auto" w:fill="auto"/>
            <w:vAlign w:val="center"/>
          </w:tcPr>
          <w:p w14:paraId="18AC6CD3">
            <w:pPr>
              <w:widowControl/>
              <w:jc w:val="center"/>
              <w:rPr>
                <w:rFonts w:hint="eastAsia" w:ascii="宋体" w:hAnsi="宋体" w:eastAsia="宋体" w:cs="宋体"/>
                <w:color w:val="auto"/>
                <w:kern w:val="0"/>
              </w:rPr>
            </w:pPr>
            <w:r>
              <w:rPr>
                <w:rFonts w:hint="eastAsia" w:ascii="宋体" w:hAnsi="宋体" w:eastAsia="宋体" w:cs="宋体"/>
                <w:color w:val="auto"/>
                <w:kern w:val="0"/>
              </w:rPr>
              <w:t>阔叶林</w:t>
            </w:r>
          </w:p>
        </w:tc>
        <w:tc>
          <w:tcPr>
            <w:tcW w:w="629" w:type="pct"/>
            <w:shd w:val="clear" w:color="auto" w:fill="auto"/>
            <w:vAlign w:val="center"/>
          </w:tcPr>
          <w:p w14:paraId="29D78DD4">
            <w:pPr>
              <w:widowControl/>
              <w:jc w:val="center"/>
              <w:rPr>
                <w:rFonts w:hint="eastAsia" w:ascii="宋体" w:hAnsi="宋体" w:eastAsia="宋体" w:cs="宋体"/>
                <w:color w:val="auto"/>
                <w:kern w:val="0"/>
              </w:rPr>
            </w:pPr>
            <w:r>
              <w:rPr>
                <w:rFonts w:hint="eastAsia" w:ascii="宋体" w:hAnsi="宋体" w:eastAsia="宋体" w:cs="宋体"/>
                <w:color w:val="auto"/>
                <w:kern w:val="0"/>
              </w:rPr>
              <w:t>4.65</w:t>
            </w:r>
          </w:p>
        </w:tc>
        <w:tc>
          <w:tcPr>
            <w:tcW w:w="629" w:type="pct"/>
            <w:shd w:val="clear" w:color="auto" w:fill="auto"/>
            <w:vAlign w:val="center"/>
          </w:tcPr>
          <w:p w14:paraId="4D68DA2D">
            <w:pPr>
              <w:widowControl/>
              <w:jc w:val="center"/>
              <w:rPr>
                <w:rFonts w:hint="eastAsia" w:ascii="宋体" w:hAnsi="宋体" w:eastAsia="宋体" w:cs="宋体"/>
                <w:color w:val="auto"/>
                <w:kern w:val="0"/>
              </w:rPr>
            </w:pPr>
            <w:r>
              <w:rPr>
                <w:rFonts w:hint="eastAsia" w:ascii="宋体" w:hAnsi="宋体" w:eastAsia="宋体" w:cs="宋体"/>
                <w:color w:val="auto"/>
                <w:kern w:val="0"/>
              </w:rPr>
              <w:t>3.07</w:t>
            </w:r>
          </w:p>
        </w:tc>
        <w:tc>
          <w:tcPr>
            <w:tcW w:w="629" w:type="pct"/>
            <w:shd w:val="clear" w:color="auto" w:fill="auto"/>
            <w:noWrap/>
            <w:vAlign w:val="center"/>
          </w:tcPr>
          <w:p w14:paraId="4A86DA39">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4.65</w:t>
            </w:r>
          </w:p>
        </w:tc>
        <w:tc>
          <w:tcPr>
            <w:tcW w:w="629" w:type="pct"/>
            <w:shd w:val="clear" w:color="auto" w:fill="auto"/>
            <w:noWrap/>
            <w:vAlign w:val="center"/>
          </w:tcPr>
          <w:p w14:paraId="326E896F">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3.07</w:t>
            </w:r>
          </w:p>
        </w:tc>
        <w:tc>
          <w:tcPr>
            <w:tcW w:w="629" w:type="pct"/>
            <w:shd w:val="clear" w:color="auto" w:fill="auto"/>
            <w:noWrap/>
            <w:vAlign w:val="center"/>
          </w:tcPr>
          <w:p w14:paraId="559B412A">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0</w:t>
            </w:r>
          </w:p>
        </w:tc>
        <w:tc>
          <w:tcPr>
            <w:tcW w:w="629" w:type="pct"/>
            <w:shd w:val="clear" w:color="auto" w:fill="auto"/>
            <w:noWrap/>
            <w:vAlign w:val="center"/>
          </w:tcPr>
          <w:p w14:paraId="401FB9EE">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0</w:t>
            </w:r>
          </w:p>
        </w:tc>
      </w:tr>
      <w:tr w14:paraId="3A43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shd w:val="clear" w:color="auto" w:fill="auto"/>
            <w:vAlign w:val="center"/>
          </w:tcPr>
          <w:p w14:paraId="7ABC516B">
            <w:pPr>
              <w:widowControl/>
              <w:jc w:val="center"/>
              <w:rPr>
                <w:rFonts w:hint="eastAsia" w:ascii="宋体" w:hAnsi="宋体" w:eastAsia="宋体" w:cs="宋体"/>
                <w:color w:val="auto"/>
                <w:kern w:val="0"/>
              </w:rPr>
            </w:pPr>
            <w:r>
              <w:rPr>
                <w:rFonts w:hint="eastAsia" w:ascii="宋体" w:hAnsi="宋体" w:eastAsia="宋体" w:cs="宋体"/>
                <w:color w:val="auto"/>
                <w:kern w:val="0"/>
              </w:rPr>
              <w:t>草地生态系统</w:t>
            </w:r>
          </w:p>
        </w:tc>
        <w:tc>
          <w:tcPr>
            <w:tcW w:w="594" w:type="pct"/>
            <w:shd w:val="clear" w:color="auto" w:fill="auto"/>
            <w:vAlign w:val="center"/>
          </w:tcPr>
          <w:p w14:paraId="258C67FD">
            <w:pPr>
              <w:widowControl/>
              <w:jc w:val="center"/>
              <w:rPr>
                <w:rFonts w:hint="eastAsia" w:ascii="宋体" w:hAnsi="宋体" w:eastAsia="宋体" w:cs="宋体"/>
                <w:color w:val="auto"/>
                <w:kern w:val="0"/>
              </w:rPr>
            </w:pPr>
            <w:r>
              <w:rPr>
                <w:rFonts w:hint="eastAsia" w:ascii="宋体" w:hAnsi="宋体" w:eastAsia="宋体" w:cs="宋体"/>
                <w:color w:val="auto"/>
                <w:kern w:val="0"/>
              </w:rPr>
              <w:t>草丛</w:t>
            </w:r>
          </w:p>
        </w:tc>
        <w:tc>
          <w:tcPr>
            <w:tcW w:w="629" w:type="pct"/>
            <w:shd w:val="clear" w:color="auto" w:fill="auto"/>
            <w:vAlign w:val="center"/>
          </w:tcPr>
          <w:p w14:paraId="167E20F7">
            <w:pPr>
              <w:widowControl/>
              <w:jc w:val="center"/>
              <w:rPr>
                <w:rFonts w:hint="eastAsia" w:ascii="宋体" w:hAnsi="宋体" w:eastAsia="宋体" w:cs="宋体"/>
                <w:color w:val="auto"/>
                <w:kern w:val="0"/>
              </w:rPr>
            </w:pPr>
            <w:r>
              <w:rPr>
                <w:rFonts w:hint="eastAsia" w:ascii="宋体" w:hAnsi="宋体" w:eastAsia="宋体" w:cs="宋体"/>
                <w:color w:val="auto"/>
                <w:kern w:val="0"/>
              </w:rPr>
              <w:t>12.28</w:t>
            </w:r>
          </w:p>
        </w:tc>
        <w:tc>
          <w:tcPr>
            <w:tcW w:w="629" w:type="pct"/>
            <w:shd w:val="clear" w:color="auto" w:fill="auto"/>
            <w:vAlign w:val="center"/>
          </w:tcPr>
          <w:p w14:paraId="7FC36537">
            <w:pPr>
              <w:widowControl/>
              <w:jc w:val="center"/>
              <w:rPr>
                <w:rFonts w:hint="eastAsia" w:ascii="宋体" w:hAnsi="宋体" w:eastAsia="宋体" w:cs="宋体"/>
                <w:color w:val="auto"/>
                <w:kern w:val="0"/>
              </w:rPr>
            </w:pPr>
            <w:r>
              <w:rPr>
                <w:rFonts w:hint="eastAsia" w:ascii="宋体" w:hAnsi="宋体" w:eastAsia="宋体" w:cs="宋体"/>
                <w:color w:val="auto"/>
                <w:kern w:val="0"/>
              </w:rPr>
              <w:t>8.12</w:t>
            </w:r>
          </w:p>
        </w:tc>
        <w:tc>
          <w:tcPr>
            <w:tcW w:w="629" w:type="pct"/>
            <w:shd w:val="clear" w:color="auto" w:fill="auto"/>
            <w:noWrap/>
            <w:vAlign w:val="center"/>
          </w:tcPr>
          <w:p w14:paraId="060EE5BF">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8.729</w:t>
            </w:r>
          </w:p>
        </w:tc>
        <w:tc>
          <w:tcPr>
            <w:tcW w:w="629" w:type="pct"/>
            <w:shd w:val="clear" w:color="auto" w:fill="auto"/>
            <w:noWrap/>
            <w:vAlign w:val="center"/>
          </w:tcPr>
          <w:p w14:paraId="0490801F">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5.77</w:t>
            </w:r>
          </w:p>
        </w:tc>
        <w:tc>
          <w:tcPr>
            <w:tcW w:w="629" w:type="pct"/>
            <w:shd w:val="clear" w:color="auto" w:fill="auto"/>
            <w:noWrap/>
            <w:vAlign w:val="center"/>
          </w:tcPr>
          <w:p w14:paraId="368FCD6D">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-3.551</w:t>
            </w:r>
          </w:p>
        </w:tc>
        <w:tc>
          <w:tcPr>
            <w:tcW w:w="629" w:type="pct"/>
            <w:shd w:val="clear" w:color="auto" w:fill="auto"/>
            <w:noWrap/>
            <w:vAlign w:val="center"/>
          </w:tcPr>
          <w:p w14:paraId="45C88FDC">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-2.35</w:t>
            </w:r>
          </w:p>
        </w:tc>
      </w:tr>
      <w:tr w14:paraId="4FD4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shd w:val="clear" w:color="auto" w:fill="auto"/>
            <w:vAlign w:val="center"/>
          </w:tcPr>
          <w:p w14:paraId="5613D0AC">
            <w:pPr>
              <w:widowControl/>
              <w:jc w:val="center"/>
              <w:rPr>
                <w:rFonts w:hint="eastAsia" w:ascii="宋体" w:hAnsi="宋体" w:eastAsia="宋体" w:cs="宋体"/>
                <w:color w:val="auto"/>
                <w:kern w:val="0"/>
              </w:rPr>
            </w:pPr>
            <w:r>
              <w:rPr>
                <w:rFonts w:hint="eastAsia" w:ascii="宋体" w:hAnsi="宋体" w:eastAsia="宋体" w:cs="宋体"/>
                <w:color w:val="auto"/>
                <w:kern w:val="0"/>
              </w:rPr>
              <w:t>湿地生态系统</w:t>
            </w:r>
          </w:p>
        </w:tc>
        <w:tc>
          <w:tcPr>
            <w:tcW w:w="594" w:type="pct"/>
            <w:shd w:val="clear" w:color="auto" w:fill="auto"/>
            <w:vAlign w:val="center"/>
          </w:tcPr>
          <w:p w14:paraId="51394348">
            <w:pPr>
              <w:widowControl/>
              <w:jc w:val="center"/>
              <w:rPr>
                <w:rFonts w:hint="eastAsia" w:ascii="宋体" w:hAnsi="宋体" w:eastAsia="宋体" w:cs="宋体"/>
                <w:color w:val="auto"/>
                <w:kern w:val="0"/>
              </w:rPr>
            </w:pPr>
            <w:r>
              <w:rPr>
                <w:rFonts w:hint="eastAsia" w:ascii="宋体" w:hAnsi="宋体" w:eastAsia="宋体" w:cs="宋体"/>
                <w:color w:val="auto"/>
                <w:kern w:val="0"/>
              </w:rPr>
              <w:t>河流</w:t>
            </w:r>
          </w:p>
        </w:tc>
        <w:tc>
          <w:tcPr>
            <w:tcW w:w="629" w:type="pct"/>
            <w:shd w:val="clear" w:color="auto" w:fill="auto"/>
            <w:vAlign w:val="center"/>
          </w:tcPr>
          <w:p w14:paraId="1CD6F11B">
            <w:pPr>
              <w:widowControl/>
              <w:jc w:val="center"/>
              <w:rPr>
                <w:rFonts w:hint="eastAsia" w:ascii="宋体" w:hAnsi="宋体" w:eastAsia="宋体" w:cs="宋体"/>
                <w:color w:val="auto"/>
                <w:kern w:val="0"/>
              </w:rPr>
            </w:pPr>
            <w:r>
              <w:rPr>
                <w:rFonts w:hint="eastAsia" w:ascii="宋体" w:hAnsi="宋体" w:eastAsia="宋体" w:cs="宋体"/>
                <w:color w:val="auto"/>
                <w:kern w:val="0"/>
              </w:rPr>
              <w:t>2.12</w:t>
            </w:r>
          </w:p>
        </w:tc>
        <w:tc>
          <w:tcPr>
            <w:tcW w:w="629" w:type="pct"/>
            <w:shd w:val="clear" w:color="auto" w:fill="auto"/>
            <w:vAlign w:val="center"/>
          </w:tcPr>
          <w:p w14:paraId="7CEC6B60">
            <w:pPr>
              <w:widowControl/>
              <w:jc w:val="center"/>
              <w:rPr>
                <w:rFonts w:hint="eastAsia" w:ascii="宋体" w:hAnsi="宋体" w:eastAsia="宋体" w:cs="宋体"/>
                <w:color w:val="auto"/>
                <w:kern w:val="0"/>
              </w:rPr>
            </w:pPr>
            <w:r>
              <w:rPr>
                <w:rFonts w:hint="eastAsia" w:ascii="宋体" w:hAnsi="宋体" w:eastAsia="宋体" w:cs="宋体"/>
                <w:color w:val="auto"/>
                <w:kern w:val="0"/>
              </w:rPr>
              <w:t>1.4</w:t>
            </w:r>
          </w:p>
        </w:tc>
        <w:tc>
          <w:tcPr>
            <w:tcW w:w="629" w:type="pct"/>
            <w:shd w:val="clear" w:color="auto" w:fill="auto"/>
            <w:noWrap/>
            <w:vAlign w:val="center"/>
          </w:tcPr>
          <w:p w14:paraId="14E04886">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2.12</w:t>
            </w:r>
          </w:p>
        </w:tc>
        <w:tc>
          <w:tcPr>
            <w:tcW w:w="629" w:type="pct"/>
            <w:shd w:val="clear" w:color="auto" w:fill="auto"/>
            <w:noWrap/>
            <w:vAlign w:val="center"/>
          </w:tcPr>
          <w:p w14:paraId="7B4AFFE3">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1.4</w:t>
            </w:r>
          </w:p>
        </w:tc>
        <w:tc>
          <w:tcPr>
            <w:tcW w:w="629" w:type="pct"/>
            <w:shd w:val="clear" w:color="auto" w:fill="auto"/>
            <w:noWrap/>
            <w:vAlign w:val="center"/>
          </w:tcPr>
          <w:p w14:paraId="0747A50C">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0</w:t>
            </w:r>
          </w:p>
        </w:tc>
        <w:tc>
          <w:tcPr>
            <w:tcW w:w="629" w:type="pct"/>
            <w:shd w:val="clear" w:color="auto" w:fill="auto"/>
            <w:noWrap/>
            <w:vAlign w:val="center"/>
          </w:tcPr>
          <w:p w14:paraId="62938151">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0</w:t>
            </w:r>
          </w:p>
        </w:tc>
      </w:tr>
      <w:tr w14:paraId="6868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shd w:val="clear" w:color="auto" w:fill="auto"/>
            <w:vAlign w:val="center"/>
          </w:tcPr>
          <w:p w14:paraId="381322D8">
            <w:pPr>
              <w:widowControl/>
              <w:jc w:val="center"/>
              <w:rPr>
                <w:rFonts w:hint="eastAsia" w:ascii="宋体" w:hAnsi="宋体" w:eastAsia="宋体" w:cs="宋体"/>
                <w:color w:val="auto"/>
                <w:kern w:val="0"/>
              </w:rPr>
            </w:pPr>
            <w:r>
              <w:rPr>
                <w:rFonts w:hint="eastAsia" w:ascii="宋体" w:hAnsi="宋体" w:eastAsia="宋体" w:cs="宋体"/>
                <w:color w:val="auto"/>
                <w:kern w:val="0"/>
              </w:rPr>
              <w:t>农田生态系统</w:t>
            </w:r>
          </w:p>
        </w:tc>
        <w:tc>
          <w:tcPr>
            <w:tcW w:w="594" w:type="pct"/>
            <w:shd w:val="clear" w:color="auto" w:fill="auto"/>
            <w:vAlign w:val="center"/>
          </w:tcPr>
          <w:p w14:paraId="512C8C63">
            <w:pPr>
              <w:widowControl/>
              <w:jc w:val="center"/>
              <w:rPr>
                <w:rFonts w:hint="eastAsia" w:ascii="宋体" w:hAnsi="宋体" w:eastAsia="宋体" w:cs="宋体"/>
                <w:color w:val="auto"/>
                <w:kern w:val="0"/>
              </w:rPr>
            </w:pPr>
            <w:r>
              <w:rPr>
                <w:rFonts w:hint="eastAsia" w:ascii="宋体" w:hAnsi="宋体" w:eastAsia="宋体" w:cs="宋体"/>
                <w:color w:val="auto"/>
                <w:kern w:val="0"/>
              </w:rPr>
              <w:t>耕地</w:t>
            </w:r>
          </w:p>
        </w:tc>
        <w:tc>
          <w:tcPr>
            <w:tcW w:w="629" w:type="pct"/>
            <w:shd w:val="clear" w:color="auto" w:fill="auto"/>
            <w:vAlign w:val="center"/>
          </w:tcPr>
          <w:p w14:paraId="35129C97">
            <w:pPr>
              <w:widowControl/>
              <w:jc w:val="center"/>
              <w:rPr>
                <w:rFonts w:hint="eastAsia" w:ascii="宋体" w:hAnsi="宋体" w:eastAsia="宋体" w:cs="宋体"/>
                <w:color w:val="auto"/>
                <w:kern w:val="0"/>
              </w:rPr>
            </w:pPr>
            <w:r>
              <w:rPr>
                <w:rFonts w:hint="eastAsia" w:ascii="宋体" w:hAnsi="宋体" w:eastAsia="宋体" w:cs="宋体"/>
                <w:color w:val="auto"/>
                <w:kern w:val="0"/>
              </w:rPr>
              <w:t>129.57</w:t>
            </w:r>
          </w:p>
        </w:tc>
        <w:tc>
          <w:tcPr>
            <w:tcW w:w="629" w:type="pct"/>
            <w:shd w:val="clear" w:color="auto" w:fill="auto"/>
            <w:vAlign w:val="center"/>
          </w:tcPr>
          <w:p w14:paraId="260E128A">
            <w:pPr>
              <w:widowControl/>
              <w:jc w:val="center"/>
              <w:rPr>
                <w:rFonts w:hint="eastAsia" w:ascii="宋体" w:hAnsi="宋体" w:eastAsia="宋体" w:cs="宋体"/>
                <w:color w:val="auto"/>
                <w:kern w:val="0"/>
              </w:rPr>
            </w:pPr>
            <w:r>
              <w:rPr>
                <w:rFonts w:hint="eastAsia" w:ascii="宋体" w:hAnsi="宋体" w:eastAsia="宋体" w:cs="宋体"/>
                <w:color w:val="auto"/>
                <w:kern w:val="0"/>
              </w:rPr>
              <w:t>85.64</w:t>
            </w:r>
          </w:p>
        </w:tc>
        <w:tc>
          <w:tcPr>
            <w:tcW w:w="629" w:type="pct"/>
            <w:shd w:val="clear" w:color="auto" w:fill="auto"/>
            <w:noWrap/>
            <w:vAlign w:val="center"/>
          </w:tcPr>
          <w:p w14:paraId="04EA0F21">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125.407</w:t>
            </w:r>
          </w:p>
        </w:tc>
        <w:tc>
          <w:tcPr>
            <w:tcW w:w="629" w:type="pct"/>
            <w:shd w:val="clear" w:color="auto" w:fill="auto"/>
            <w:noWrap/>
            <w:vAlign w:val="center"/>
          </w:tcPr>
          <w:p w14:paraId="2253140C">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82.89</w:t>
            </w:r>
          </w:p>
        </w:tc>
        <w:tc>
          <w:tcPr>
            <w:tcW w:w="629" w:type="pct"/>
            <w:shd w:val="clear" w:color="auto" w:fill="auto"/>
            <w:noWrap/>
            <w:vAlign w:val="center"/>
          </w:tcPr>
          <w:p w14:paraId="6834C688">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-4.163</w:t>
            </w:r>
          </w:p>
        </w:tc>
        <w:tc>
          <w:tcPr>
            <w:tcW w:w="629" w:type="pct"/>
            <w:shd w:val="clear" w:color="auto" w:fill="auto"/>
            <w:noWrap/>
            <w:vAlign w:val="center"/>
          </w:tcPr>
          <w:p w14:paraId="4BB135C2">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-2.75</w:t>
            </w:r>
          </w:p>
        </w:tc>
      </w:tr>
      <w:tr w14:paraId="6653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vMerge w:val="restart"/>
            <w:shd w:val="clear" w:color="auto" w:fill="auto"/>
            <w:vAlign w:val="center"/>
          </w:tcPr>
          <w:p w14:paraId="00518615">
            <w:pPr>
              <w:widowControl/>
              <w:jc w:val="center"/>
              <w:rPr>
                <w:rFonts w:hint="eastAsia" w:ascii="宋体" w:hAnsi="宋体" w:eastAsia="宋体" w:cs="宋体"/>
                <w:color w:val="auto"/>
                <w:kern w:val="0"/>
              </w:rPr>
            </w:pPr>
            <w:r>
              <w:rPr>
                <w:rFonts w:hint="eastAsia" w:ascii="宋体" w:hAnsi="宋体" w:eastAsia="宋体" w:cs="宋体"/>
                <w:color w:val="auto"/>
                <w:kern w:val="0"/>
              </w:rPr>
              <w:t>城镇生态系统</w:t>
            </w:r>
          </w:p>
        </w:tc>
        <w:tc>
          <w:tcPr>
            <w:tcW w:w="594" w:type="pct"/>
            <w:shd w:val="clear" w:color="auto" w:fill="auto"/>
            <w:vAlign w:val="center"/>
          </w:tcPr>
          <w:p w14:paraId="529193B1">
            <w:pPr>
              <w:widowControl/>
              <w:jc w:val="center"/>
              <w:rPr>
                <w:rFonts w:hint="eastAsia" w:ascii="宋体" w:hAnsi="宋体" w:eastAsia="宋体" w:cs="宋体"/>
                <w:color w:val="auto"/>
                <w:kern w:val="0"/>
              </w:rPr>
            </w:pPr>
            <w:r>
              <w:rPr>
                <w:rFonts w:hint="eastAsia" w:ascii="宋体" w:hAnsi="宋体" w:eastAsia="宋体" w:cs="宋体"/>
                <w:color w:val="auto"/>
                <w:kern w:val="0"/>
              </w:rPr>
              <w:t>居住地</w:t>
            </w:r>
          </w:p>
        </w:tc>
        <w:tc>
          <w:tcPr>
            <w:tcW w:w="629" w:type="pct"/>
            <w:shd w:val="clear" w:color="auto" w:fill="auto"/>
            <w:vAlign w:val="center"/>
          </w:tcPr>
          <w:p w14:paraId="35DBD2C2">
            <w:pPr>
              <w:widowControl/>
              <w:jc w:val="center"/>
              <w:rPr>
                <w:rFonts w:hint="eastAsia" w:ascii="宋体" w:hAnsi="宋体" w:eastAsia="宋体" w:cs="宋体"/>
                <w:color w:val="auto"/>
                <w:kern w:val="0"/>
              </w:rPr>
            </w:pPr>
            <w:r>
              <w:rPr>
                <w:rFonts w:hint="eastAsia" w:ascii="宋体" w:hAnsi="宋体" w:eastAsia="宋体" w:cs="宋体"/>
                <w:color w:val="auto"/>
                <w:kern w:val="0"/>
              </w:rPr>
              <w:t>1.68</w:t>
            </w:r>
          </w:p>
        </w:tc>
        <w:tc>
          <w:tcPr>
            <w:tcW w:w="629" w:type="pct"/>
            <w:shd w:val="clear" w:color="auto" w:fill="auto"/>
            <w:vAlign w:val="center"/>
          </w:tcPr>
          <w:p w14:paraId="4D311C17">
            <w:pPr>
              <w:widowControl/>
              <w:jc w:val="center"/>
              <w:rPr>
                <w:rFonts w:hint="eastAsia" w:ascii="宋体" w:hAnsi="宋体" w:eastAsia="宋体" w:cs="宋体"/>
                <w:color w:val="auto"/>
                <w:kern w:val="0"/>
              </w:rPr>
            </w:pPr>
            <w:r>
              <w:rPr>
                <w:rFonts w:hint="eastAsia" w:ascii="宋体" w:hAnsi="宋体" w:eastAsia="宋体" w:cs="宋体"/>
                <w:color w:val="auto"/>
                <w:kern w:val="0"/>
              </w:rPr>
              <w:t>1.11</w:t>
            </w:r>
          </w:p>
        </w:tc>
        <w:tc>
          <w:tcPr>
            <w:tcW w:w="629" w:type="pct"/>
            <w:shd w:val="clear" w:color="auto" w:fill="auto"/>
            <w:noWrap/>
            <w:vAlign w:val="center"/>
          </w:tcPr>
          <w:p w14:paraId="700F805C">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1.68</w:t>
            </w:r>
          </w:p>
        </w:tc>
        <w:tc>
          <w:tcPr>
            <w:tcW w:w="629" w:type="pct"/>
            <w:shd w:val="clear" w:color="auto" w:fill="auto"/>
            <w:noWrap/>
            <w:vAlign w:val="center"/>
          </w:tcPr>
          <w:p w14:paraId="1DBC39BE">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1.11</w:t>
            </w:r>
          </w:p>
        </w:tc>
        <w:tc>
          <w:tcPr>
            <w:tcW w:w="629" w:type="pct"/>
            <w:shd w:val="clear" w:color="auto" w:fill="auto"/>
            <w:noWrap/>
            <w:vAlign w:val="center"/>
          </w:tcPr>
          <w:p w14:paraId="58FFEC4A">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0</w:t>
            </w:r>
          </w:p>
        </w:tc>
        <w:tc>
          <w:tcPr>
            <w:tcW w:w="629" w:type="pct"/>
            <w:shd w:val="clear" w:color="auto" w:fill="auto"/>
            <w:noWrap/>
            <w:vAlign w:val="center"/>
          </w:tcPr>
          <w:p w14:paraId="6D18AA8C">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0</w:t>
            </w:r>
          </w:p>
        </w:tc>
      </w:tr>
      <w:tr w14:paraId="7C19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9" w:type="pct"/>
            <w:vMerge w:val="continue"/>
            <w:shd w:val="clear" w:color="auto" w:fill="auto"/>
            <w:vAlign w:val="center"/>
          </w:tcPr>
          <w:p w14:paraId="32C5C060">
            <w:pPr>
              <w:widowControl/>
              <w:jc w:val="center"/>
              <w:rPr>
                <w:rFonts w:ascii="宋体" w:hAnsi="宋体" w:eastAsia="宋体" w:cs="宋体"/>
                <w:color w:val="auto"/>
                <w:kern w:val="0"/>
              </w:rPr>
            </w:pPr>
          </w:p>
        </w:tc>
        <w:tc>
          <w:tcPr>
            <w:tcW w:w="594" w:type="pct"/>
            <w:shd w:val="clear" w:color="auto" w:fill="auto"/>
            <w:vAlign w:val="center"/>
          </w:tcPr>
          <w:p w14:paraId="6771ED34">
            <w:pPr>
              <w:widowControl/>
              <w:jc w:val="center"/>
              <w:rPr>
                <w:rFonts w:hint="eastAsia" w:ascii="宋体" w:hAnsi="宋体" w:eastAsia="宋体" w:cs="宋体"/>
                <w:color w:val="auto"/>
                <w:kern w:val="0"/>
              </w:rPr>
            </w:pPr>
            <w:r>
              <w:rPr>
                <w:rFonts w:hint="eastAsia" w:ascii="宋体" w:hAnsi="宋体" w:eastAsia="宋体" w:cs="宋体"/>
                <w:color w:val="auto"/>
                <w:kern w:val="0"/>
              </w:rPr>
              <w:t>工矿交通</w:t>
            </w:r>
          </w:p>
        </w:tc>
        <w:tc>
          <w:tcPr>
            <w:tcW w:w="629" w:type="pct"/>
            <w:shd w:val="clear" w:color="auto" w:fill="auto"/>
            <w:vAlign w:val="center"/>
          </w:tcPr>
          <w:p w14:paraId="18A5C4ED">
            <w:pPr>
              <w:widowControl/>
              <w:jc w:val="center"/>
              <w:rPr>
                <w:rFonts w:hint="eastAsia" w:ascii="宋体" w:hAnsi="宋体" w:eastAsia="宋体" w:cs="宋体"/>
                <w:color w:val="auto"/>
                <w:kern w:val="0"/>
              </w:rPr>
            </w:pPr>
            <w:r>
              <w:rPr>
                <w:rFonts w:hint="eastAsia" w:ascii="宋体" w:hAnsi="宋体" w:eastAsia="宋体" w:cs="宋体"/>
                <w:color w:val="auto"/>
                <w:kern w:val="0"/>
              </w:rPr>
              <w:t>1</w:t>
            </w:r>
          </w:p>
        </w:tc>
        <w:tc>
          <w:tcPr>
            <w:tcW w:w="629" w:type="pct"/>
            <w:shd w:val="clear" w:color="auto" w:fill="auto"/>
            <w:vAlign w:val="center"/>
          </w:tcPr>
          <w:p w14:paraId="2A807431">
            <w:pPr>
              <w:widowControl/>
              <w:jc w:val="center"/>
              <w:rPr>
                <w:rFonts w:hint="eastAsia" w:ascii="宋体" w:hAnsi="宋体" w:eastAsia="宋体" w:cs="宋体"/>
                <w:color w:val="auto"/>
                <w:kern w:val="0"/>
              </w:rPr>
            </w:pPr>
            <w:r>
              <w:rPr>
                <w:rFonts w:hint="eastAsia" w:ascii="宋体" w:hAnsi="宋体" w:eastAsia="宋体" w:cs="宋体"/>
                <w:color w:val="auto"/>
                <w:kern w:val="0"/>
              </w:rPr>
              <w:t>0.66</w:t>
            </w:r>
          </w:p>
        </w:tc>
        <w:tc>
          <w:tcPr>
            <w:tcW w:w="629" w:type="pct"/>
            <w:shd w:val="clear" w:color="auto" w:fill="auto"/>
            <w:noWrap/>
            <w:vAlign w:val="center"/>
          </w:tcPr>
          <w:p w14:paraId="1CF64934">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8.714</w:t>
            </w:r>
          </w:p>
        </w:tc>
        <w:tc>
          <w:tcPr>
            <w:tcW w:w="629" w:type="pct"/>
            <w:shd w:val="clear" w:color="auto" w:fill="auto"/>
            <w:noWrap/>
            <w:vAlign w:val="center"/>
          </w:tcPr>
          <w:p w14:paraId="2F631BB8">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5.76</w:t>
            </w:r>
          </w:p>
        </w:tc>
        <w:tc>
          <w:tcPr>
            <w:tcW w:w="629" w:type="pct"/>
            <w:shd w:val="clear" w:color="auto" w:fill="auto"/>
            <w:noWrap/>
            <w:vAlign w:val="center"/>
          </w:tcPr>
          <w:p w14:paraId="082B34CB">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7.714</w:t>
            </w:r>
          </w:p>
        </w:tc>
        <w:tc>
          <w:tcPr>
            <w:tcW w:w="629" w:type="pct"/>
            <w:shd w:val="clear" w:color="auto" w:fill="auto"/>
            <w:noWrap/>
            <w:vAlign w:val="center"/>
          </w:tcPr>
          <w:p w14:paraId="7C950624">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5.1</w:t>
            </w:r>
          </w:p>
        </w:tc>
      </w:tr>
      <w:tr w14:paraId="4104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24" w:type="pct"/>
            <w:gridSpan w:val="2"/>
            <w:shd w:val="clear" w:color="auto" w:fill="auto"/>
            <w:vAlign w:val="center"/>
          </w:tcPr>
          <w:p w14:paraId="7B764B6F">
            <w:pPr>
              <w:widowControl/>
              <w:jc w:val="center"/>
              <w:rPr>
                <w:rFonts w:hint="eastAsia" w:ascii="宋体" w:hAnsi="宋体" w:eastAsia="宋体" w:cs="宋体"/>
                <w:color w:val="auto"/>
                <w:kern w:val="0"/>
              </w:rPr>
            </w:pPr>
            <w:r>
              <w:rPr>
                <w:rFonts w:hint="eastAsia" w:ascii="宋体" w:hAnsi="宋体" w:eastAsia="宋体" w:cs="宋体"/>
                <w:color w:val="auto"/>
                <w:kern w:val="0"/>
              </w:rPr>
              <w:t>合计</w:t>
            </w:r>
          </w:p>
        </w:tc>
        <w:tc>
          <w:tcPr>
            <w:tcW w:w="629" w:type="pct"/>
            <w:shd w:val="clear" w:color="auto" w:fill="auto"/>
            <w:vAlign w:val="center"/>
          </w:tcPr>
          <w:p w14:paraId="0438EB92">
            <w:pPr>
              <w:widowControl/>
              <w:jc w:val="center"/>
              <w:rPr>
                <w:rFonts w:hint="eastAsia" w:ascii="宋体" w:hAnsi="宋体" w:eastAsia="宋体" w:cs="宋体"/>
                <w:color w:val="auto"/>
                <w:kern w:val="0"/>
              </w:rPr>
            </w:pPr>
            <w:r>
              <w:rPr>
                <w:rFonts w:hint="eastAsia" w:ascii="宋体" w:hAnsi="宋体" w:eastAsia="宋体" w:cs="宋体"/>
                <w:color w:val="auto"/>
                <w:kern w:val="0"/>
              </w:rPr>
              <w:t>151.3</w:t>
            </w:r>
          </w:p>
        </w:tc>
        <w:tc>
          <w:tcPr>
            <w:tcW w:w="629" w:type="pct"/>
            <w:shd w:val="clear" w:color="auto" w:fill="auto"/>
            <w:vAlign w:val="center"/>
          </w:tcPr>
          <w:p w14:paraId="16B1F877">
            <w:pPr>
              <w:widowControl/>
              <w:jc w:val="center"/>
              <w:rPr>
                <w:rFonts w:hint="eastAsia" w:ascii="宋体" w:hAnsi="宋体" w:eastAsia="宋体" w:cs="宋体"/>
                <w:color w:val="auto"/>
                <w:kern w:val="0"/>
              </w:rPr>
            </w:pPr>
            <w:r>
              <w:rPr>
                <w:rFonts w:hint="eastAsia" w:ascii="宋体" w:hAnsi="宋体" w:eastAsia="宋体" w:cs="宋体"/>
                <w:color w:val="auto"/>
                <w:kern w:val="0"/>
              </w:rPr>
              <w:t>100</w:t>
            </w:r>
          </w:p>
        </w:tc>
        <w:tc>
          <w:tcPr>
            <w:tcW w:w="629" w:type="pct"/>
            <w:shd w:val="clear" w:color="auto" w:fill="auto"/>
            <w:noWrap/>
            <w:vAlign w:val="center"/>
          </w:tcPr>
          <w:p w14:paraId="44959817">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151.3</w:t>
            </w:r>
          </w:p>
        </w:tc>
        <w:tc>
          <w:tcPr>
            <w:tcW w:w="629" w:type="pct"/>
            <w:shd w:val="clear" w:color="auto" w:fill="auto"/>
            <w:noWrap/>
            <w:vAlign w:val="center"/>
          </w:tcPr>
          <w:p w14:paraId="39F8804D">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100</w:t>
            </w:r>
          </w:p>
        </w:tc>
        <w:tc>
          <w:tcPr>
            <w:tcW w:w="629" w:type="pct"/>
            <w:shd w:val="clear" w:color="auto" w:fill="auto"/>
            <w:noWrap/>
            <w:vAlign w:val="center"/>
          </w:tcPr>
          <w:p w14:paraId="0D5ECA90">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0</w:t>
            </w:r>
          </w:p>
        </w:tc>
        <w:tc>
          <w:tcPr>
            <w:tcW w:w="629" w:type="pct"/>
            <w:shd w:val="clear" w:color="auto" w:fill="auto"/>
            <w:noWrap/>
            <w:vAlign w:val="center"/>
          </w:tcPr>
          <w:p w14:paraId="088DBFD2">
            <w:pPr>
              <w:widowControl/>
              <w:jc w:val="center"/>
              <w:rPr>
                <w:rFonts w:hint="eastAsia" w:ascii="宋体" w:hAnsi="宋体" w:eastAsia="宋体" w:cs="宋体"/>
                <w:color w:val="auto"/>
                <w:kern w:val="0"/>
                <w:szCs w:val="22"/>
              </w:rPr>
            </w:pPr>
            <w:r>
              <w:rPr>
                <w:rFonts w:hint="eastAsia" w:ascii="宋体" w:hAnsi="宋体" w:eastAsia="宋体" w:cs="宋体"/>
                <w:color w:val="auto"/>
                <w:kern w:val="0"/>
                <w:szCs w:val="22"/>
              </w:rPr>
              <w:t>0</w:t>
            </w:r>
          </w:p>
        </w:tc>
      </w:tr>
    </w:tbl>
    <w:p w14:paraId="27EF5382">
      <w:pPr>
        <w:pStyle w:val="276"/>
        <w:widowControl w:val="0"/>
        <w:ind w:firstLine="480"/>
        <w:jc w:val="both"/>
        <w:rPr>
          <w:color w:val="auto"/>
        </w:rPr>
      </w:pPr>
    </w:p>
    <w:p w14:paraId="1792DCD6">
      <w:pPr>
        <w:pStyle w:val="276"/>
        <w:widowControl w:val="0"/>
        <w:ind w:firstLine="480"/>
        <w:jc w:val="both"/>
        <w:rPr>
          <w:color w:val="auto"/>
        </w:rPr>
      </w:pPr>
      <w:r>
        <w:rPr>
          <w:rFonts w:hint="eastAsia"/>
          <w:color w:val="auto"/>
        </w:rPr>
        <w:t>由上表可知，项目施工前和施工期，评价区内景观结构发生了变化，其中受施工期影响面积最大的为城镇生态系统，面积增加</w:t>
      </w:r>
      <w:r>
        <w:rPr>
          <w:color w:val="auto"/>
        </w:rPr>
        <w:t>7.714hm</w:t>
      </w:r>
      <w:r>
        <w:rPr>
          <w:color w:val="auto"/>
          <w:vertAlign w:val="superscript"/>
        </w:rPr>
        <w:t>2</w:t>
      </w:r>
      <w:r>
        <w:rPr>
          <w:rFonts w:hint="eastAsia"/>
          <w:color w:val="auto"/>
        </w:rPr>
        <w:t>，增加5</w:t>
      </w:r>
      <w:r>
        <w:rPr>
          <w:color w:val="auto"/>
        </w:rPr>
        <w:t>.1%</w:t>
      </w:r>
      <w:r>
        <w:rPr>
          <w:rFonts w:hint="eastAsia"/>
          <w:color w:val="auto"/>
        </w:rPr>
        <w:t>；其次为农田生态系统，面积减少</w:t>
      </w:r>
      <w:r>
        <w:rPr>
          <w:color w:val="auto"/>
        </w:rPr>
        <w:t>4.163hm</w:t>
      </w:r>
      <w:r>
        <w:rPr>
          <w:color w:val="auto"/>
          <w:vertAlign w:val="superscript"/>
        </w:rPr>
        <w:t>2</w:t>
      </w:r>
      <w:r>
        <w:rPr>
          <w:rFonts w:hint="eastAsia"/>
          <w:color w:val="auto"/>
        </w:rPr>
        <w:t>，减少</w:t>
      </w:r>
      <w:r>
        <w:rPr>
          <w:color w:val="auto"/>
        </w:rPr>
        <w:t>2.75%</w:t>
      </w:r>
      <w:r>
        <w:rPr>
          <w:rFonts w:hint="eastAsia"/>
          <w:color w:val="auto"/>
        </w:rPr>
        <w:t>；但城镇生态系统相对评价区连片的草地生态系统少很多，不会造成地理隔离，不具备动态控制能力，对生态调控作用很小，尚不会对生态环境起决定作用。</w:t>
      </w:r>
    </w:p>
    <w:p w14:paraId="782EABBF">
      <w:pPr>
        <w:pStyle w:val="276"/>
        <w:widowControl w:val="0"/>
        <w:ind w:firstLine="480"/>
        <w:jc w:val="both"/>
        <w:rPr>
          <w:color w:val="auto"/>
        </w:rPr>
      </w:pPr>
      <w:r>
        <w:rPr>
          <w:rFonts w:hint="eastAsia"/>
          <w:color w:val="auto"/>
        </w:rPr>
        <w:t>由遥感解译结果可知，评价区景观基质为农田景观。工程建设期农田景观占评价区总面积的比例仍然维持在较高水平，可见油田设施建设虽使评价区自然体系的景观质量呈下降趋势，但没有根本上改变评价区的生态体系质量和以农田景观为主的景观结构。这说明景观拼块中人工异质性的增加不会对评价区产生较大干扰能力。另外，工程施工结束后，临时占地区植被将得以恢复，工程建设对评价区各类生态系统的影响将逐步减小和恢复，对生态系统结构影响较小。</w:t>
      </w:r>
    </w:p>
    <w:p w14:paraId="317FAC75">
      <w:pPr>
        <w:pStyle w:val="276"/>
        <w:widowControl w:val="0"/>
        <w:ind w:firstLine="480"/>
        <w:jc w:val="both"/>
        <w:rPr>
          <w:color w:val="auto"/>
        </w:rPr>
      </w:pPr>
      <w:r>
        <w:rPr>
          <w:rFonts w:hint="eastAsia"/>
          <w:color w:val="auto"/>
        </w:rPr>
        <w:t>（2）对生态系统功能影响分析</w:t>
      </w:r>
    </w:p>
    <w:p w14:paraId="0A07D7E7">
      <w:pPr>
        <w:pStyle w:val="276"/>
        <w:widowControl w:val="0"/>
        <w:ind w:firstLine="480"/>
        <w:jc w:val="both"/>
        <w:rPr>
          <w:color w:val="auto"/>
        </w:rPr>
      </w:pPr>
      <w:r>
        <w:rPr>
          <w:rFonts w:hint="eastAsia"/>
          <w:color w:val="auto"/>
        </w:rPr>
        <w:t>本项目不占用湿地，</w:t>
      </w:r>
      <w:r>
        <w:rPr>
          <w:color w:val="auto"/>
        </w:rPr>
        <w:t>根据</w:t>
      </w:r>
      <w:r>
        <w:rPr>
          <w:rFonts w:hint="eastAsia"/>
          <w:color w:val="auto"/>
        </w:rPr>
        <w:t>上表</w:t>
      </w:r>
      <w:r>
        <w:rPr>
          <w:color w:val="auto"/>
        </w:rPr>
        <w:t>数据，</w:t>
      </w:r>
      <w:r>
        <w:rPr>
          <w:rFonts w:hint="eastAsia"/>
          <w:color w:val="auto"/>
        </w:rPr>
        <w:t>项目施工前和施工期相比较，评价区</w:t>
      </w:r>
      <w:r>
        <w:rPr>
          <w:color w:val="auto"/>
        </w:rPr>
        <w:t>湿地</w:t>
      </w:r>
      <w:r>
        <w:rPr>
          <w:rFonts w:hint="eastAsia"/>
          <w:color w:val="auto"/>
        </w:rPr>
        <w:t>生态系统</w:t>
      </w:r>
      <w:r>
        <w:rPr>
          <w:color w:val="auto"/>
        </w:rPr>
        <w:t>面积</w:t>
      </w:r>
      <w:r>
        <w:rPr>
          <w:rFonts w:hint="eastAsia"/>
          <w:color w:val="auto"/>
        </w:rPr>
        <w:t>不变</w:t>
      </w:r>
      <w:r>
        <w:rPr>
          <w:color w:val="auto"/>
        </w:rPr>
        <w:t>，</w:t>
      </w:r>
      <w:r>
        <w:rPr>
          <w:rFonts w:hint="eastAsia"/>
          <w:color w:val="auto"/>
        </w:rPr>
        <w:t>因此，工程建设不</w:t>
      </w:r>
      <w:r>
        <w:rPr>
          <w:color w:val="auto"/>
        </w:rPr>
        <w:t>会影响湿地</w:t>
      </w:r>
      <w:r>
        <w:rPr>
          <w:rFonts w:hint="eastAsia"/>
          <w:color w:val="auto"/>
        </w:rPr>
        <w:t>生态系统</w:t>
      </w:r>
      <w:r>
        <w:rPr>
          <w:color w:val="auto"/>
        </w:rPr>
        <w:t>的气候调节、水质净化</w:t>
      </w:r>
      <w:r>
        <w:rPr>
          <w:rFonts w:hint="eastAsia"/>
          <w:color w:val="auto"/>
        </w:rPr>
        <w:t>、补给地下水</w:t>
      </w:r>
      <w:r>
        <w:rPr>
          <w:color w:val="auto"/>
        </w:rPr>
        <w:t>等功能</w:t>
      </w:r>
      <w:r>
        <w:rPr>
          <w:rFonts w:hint="eastAsia"/>
          <w:color w:val="auto"/>
        </w:rPr>
        <w:t>，也不会影响其</w:t>
      </w:r>
      <w:r>
        <w:rPr>
          <w:color w:val="auto"/>
        </w:rPr>
        <w:t>抵御区域自然灾害和环境污染风险的能力</w:t>
      </w:r>
      <w:r>
        <w:rPr>
          <w:rFonts w:hint="eastAsia"/>
          <w:color w:val="auto"/>
        </w:rPr>
        <w:t>。</w:t>
      </w:r>
    </w:p>
    <w:p w14:paraId="69F272C3">
      <w:pPr>
        <w:pStyle w:val="276"/>
        <w:widowControl w:val="0"/>
        <w:ind w:firstLine="480"/>
        <w:jc w:val="both"/>
        <w:rPr>
          <w:color w:val="auto"/>
        </w:rPr>
      </w:pPr>
      <w:r>
        <w:rPr>
          <w:rFonts w:hint="eastAsia"/>
          <w:color w:val="auto"/>
        </w:rPr>
        <w:t>2）</w:t>
      </w:r>
      <w:r>
        <w:rPr>
          <w:color w:val="auto"/>
        </w:rPr>
        <w:t>对生态系统</w:t>
      </w:r>
      <w:r>
        <w:rPr>
          <w:rFonts w:hint="eastAsia"/>
          <w:color w:val="auto"/>
        </w:rPr>
        <w:t>完整性</w:t>
      </w:r>
      <w:r>
        <w:rPr>
          <w:color w:val="auto"/>
        </w:rPr>
        <w:t>的影响</w:t>
      </w:r>
    </w:p>
    <w:p w14:paraId="15298560">
      <w:pPr>
        <w:pStyle w:val="276"/>
        <w:widowControl w:val="0"/>
        <w:ind w:firstLine="480"/>
        <w:jc w:val="both"/>
        <w:rPr>
          <w:color w:val="auto"/>
        </w:rPr>
      </w:pPr>
      <w:r>
        <w:rPr>
          <w:rFonts w:hint="eastAsia"/>
          <w:color w:val="auto"/>
        </w:rPr>
        <w:t>本项目为油田开发产能项目，在已开发的区块内进行点状更新，临时占地施工结束后及时进行植被恢复，不会改变周围的植物群落，且永久占地面积较小，对植被覆盖度变化影响较小。</w:t>
      </w:r>
    </w:p>
    <w:p w14:paraId="74EE61E1">
      <w:pPr>
        <w:pStyle w:val="276"/>
        <w:widowControl w:val="0"/>
        <w:ind w:firstLine="480"/>
        <w:jc w:val="both"/>
        <w:rPr>
          <w:color w:val="auto"/>
        </w:rPr>
      </w:pPr>
      <w:r>
        <w:rPr>
          <w:rFonts w:hint="eastAsia"/>
          <w:color w:val="auto"/>
        </w:rPr>
        <w:t>本项目施工结束后，及时恢复被破坏的地表形态，平整作业现场，改善土壤及植被恢复条件。对于本项目占用的临时占地，在施工结束后及时进行植被恢复，包括施工前表土剥离后的土地恢复及播撒草籽等恢复措施；恢复采取自然恢复与人工恢复相结合的方式进行。其中管沟开挖上方、井场建设等施工活动将使地表植被全部被破坏，自然恢复较困难，因此需采取人工撒播草籽的方式进行恢复，施工后或次年适宜季节（一般5、6月份）完成。植被盖度恢复至与四周相同，对草地生态系统完整性影响较小。</w:t>
      </w:r>
    </w:p>
    <w:p w14:paraId="782DE2CE">
      <w:pPr>
        <w:pStyle w:val="276"/>
        <w:widowControl w:val="0"/>
        <w:ind w:firstLine="480"/>
        <w:jc w:val="both"/>
        <w:rPr>
          <w:color w:val="auto"/>
        </w:rPr>
      </w:pPr>
      <w:r>
        <w:rPr>
          <w:rFonts w:hint="eastAsia"/>
          <w:color w:val="auto"/>
        </w:rPr>
        <w:t>3）对生态功能影响分析</w:t>
      </w:r>
    </w:p>
    <w:p w14:paraId="56019180">
      <w:pPr>
        <w:pStyle w:val="276"/>
        <w:widowControl w:val="0"/>
        <w:ind w:firstLine="480"/>
        <w:jc w:val="both"/>
        <w:rPr>
          <w:color w:val="auto"/>
        </w:rPr>
      </w:pPr>
      <w:r>
        <w:rPr>
          <w:rFonts w:hint="eastAsia"/>
          <w:color w:val="auto"/>
        </w:rPr>
        <w:t>本次施工期需临时占用耕地、草地，施工时将清除占地范围内陆域植被，经现场踏勘，工程沿线全部为农田、草地，区域植物都是广布种，无稀有种。因此，工程在施工对陆域植物的影响只引起数量的减少，不会造成物种的灭绝。施工结束后及时对临时占用植被进行恢复，对区域生态功能影响可接受。</w:t>
      </w:r>
    </w:p>
    <w:p w14:paraId="1537C50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对土地利用</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178D6140">
      <w:pPr>
        <w:pStyle w:val="276"/>
        <w:widowControl w:val="0"/>
        <w:ind w:firstLine="480"/>
        <w:jc w:val="both"/>
        <w:rPr>
          <w:color w:val="auto"/>
        </w:rPr>
      </w:pPr>
      <w:r>
        <w:rPr>
          <w:rFonts w:hint="eastAsia"/>
          <w:color w:val="auto"/>
        </w:rPr>
        <w:t>本项目施工期占地面积</w:t>
      </w:r>
      <w:r>
        <w:rPr>
          <w:color w:val="auto"/>
        </w:rPr>
        <w:t>77140</w:t>
      </w:r>
      <w:r>
        <w:rPr>
          <w:rFonts w:hint="eastAsia"/>
          <w:color w:val="auto"/>
        </w:rPr>
        <w:t>m</w:t>
      </w:r>
      <w:r>
        <w:rPr>
          <w:rFonts w:hint="eastAsia"/>
          <w:color w:val="auto"/>
          <w:vertAlign w:val="superscript"/>
        </w:rPr>
        <w:t>2</w:t>
      </w:r>
      <w:r>
        <w:rPr>
          <w:rFonts w:hint="eastAsia"/>
          <w:color w:val="auto"/>
        </w:rPr>
        <w:t>，占地类型为农田、草地。根据遥感解译结果，项目建设前和建设期（施工期）评价区土地利用类型面积变化情况详见下表。</w:t>
      </w:r>
    </w:p>
    <w:p w14:paraId="6FF633DB">
      <w:pPr>
        <w:spacing w:before="163"/>
        <w:jc w:val="center"/>
        <w:rPr>
          <w:rFonts w:ascii="宋体" w:hAnsi="宋体" w:eastAsia="宋体"/>
          <w:color w:val="auto"/>
        </w:rPr>
      </w:pPr>
      <w:r>
        <w:rPr>
          <w:rFonts w:hint="eastAsia" w:ascii="宋体" w:hAnsi="宋体" w:eastAsia="宋体"/>
          <w:color w:val="auto"/>
        </w:rPr>
        <w:t xml:space="preserve">表 </w:t>
      </w:r>
      <w:r>
        <w:rPr>
          <w:rFonts w:ascii="宋体" w:hAnsi="宋体" w:eastAsia="宋体"/>
          <w:color w:val="auto"/>
        </w:rPr>
        <w:fldChar w:fldCharType="begin"/>
      </w:r>
      <w:r>
        <w:rPr>
          <w:rFonts w:ascii="宋体" w:hAnsi="宋体" w:eastAsia="宋体"/>
          <w:color w:val="auto"/>
        </w:rPr>
        <w:instrText xml:space="preserve"> </w:instrText>
      </w:r>
      <w:r>
        <w:rPr>
          <w:rFonts w:hint="eastAsia" w:ascii="宋体" w:hAnsi="宋体" w:eastAsia="宋体"/>
          <w:color w:val="auto"/>
        </w:rPr>
        <w:instrText xml:space="preserve">STYLEREF 2 \s</w:instrText>
      </w:r>
      <w:r>
        <w:rPr>
          <w:rFonts w:ascii="宋体" w:hAnsi="宋体" w:eastAsia="宋体"/>
          <w:color w:val="auto"/>
        </w:rPr>
        <w:instrText xml:space="preserve"> </w:instrText>
      </w:r>
      <w:r>
        <w:rPr>
          <w:rFonts w:ascii="宋体" w:hAnsi="宋体" w:eastAsia="宋体"/>
          <w:color w:val="auto"/>
        </w:rPr>
        <w:fldChar w:fldCharType="separate"/>
      </w:r>
      <w:r>
        <w:rPr>
          <w:rFonts w:ascii="宋体" w:hAnsi="宋体" w:eastAsia="宋体"/>
          <w:color w:val="auto"/>
        </w:rPr>
        <w:t>5.7</w:t>
      </w:r>
      <w:r>
        <w:rPr>
          <w:rFonts w:ascii="宋体" w:hAnsi="宋体" w:eastAsia="宋体"/>
          <w:color w:val="auto"/>
        </w:rPr>
        <w:fldChar w:fldCharType="end"/>
      </w:r>
      <w:r>
        <w:rPr>
          <w:rFonts w:ascii="宋体" w:hAnsi="宋体" w:eastAsia="宋体"/>
          <w:color w:val="auto"/>
        </w:rPr>
        <w:noBreakHyphen/>
      </w:r>
      <w:r>
        <w:rPr>
          <w:rFonts w:ascii="宋体" w:hAnsi="宋体" w:eastAsia="宋体"/>
          <w:color w:val="auto"/>
        </w:rPr>
        <w:fldChar w:fldCharType="begin"/>
      </w:r>
      <w:r>
        <w:rPr>
          <w:rFonts w:ascii="宋体" w:hAnsi="宋体" w:eastAsia="宋体"/>
          <w:color w:val="auto"/>
        </w:rPr>
        <w:instrText xml:space="preserve"> </w:instrText>
      </w:r>
      <w:r>
        <w:rPr>
          <w:rFonts w:hint="eastAsia" w:ascii="宋体" w:hAnsi="宋体" w:eastAsia="宋体"/>
          <w:color w:val="auto"/>
        </w:rPr>
        <w:instrText xml:space="preserve">SEQ 表 \* ARABIC \s 2</w:instrText>
      </w:r>
      <w:r>
        <w:rPr>
          <w:rFonts w:ascii="宋体" w:hAnsi="宋体" w:eastAsia="宋体"/>
          <w:color w:val="auto"/>
        </w:rPr>
        <w:instrText xml:space="preserve"> </w:instrText>
      </w:r>
      <w:r>
        <w:rPr>
          <w:rFonts w:ascii="宋体" w:hAnsi="宋体" w:eastAsia="宋体"/>
          <w:color w:val="auto"/>
        </w:rPr>
        <w:fldChar w:fldCharType="separate"/>
      </w:r>
      <w:r>
        <w:rPr>
          <w:rFonts w:ascii="宋体" w:hAnsi="宋体" w:eastAsia="宋体"/>
          <w:color w:val="auto"/>
        </w:rPr>
        <w:t>2</w:t>
      </w:r>
      <w:r>
        <w:rPr>
          <w:rFonts w:ascii="宋体" w:hAnsi="宋体" w:eastAsia="宋体"/>
          <w:color w:val="auto"/>
        </w:rPr>
        <w:fldChar w:fldCharType="end"/>
      </w:r>
      <w:r>
        <w:rPr>
          <w:rFonts w:hint="eastAsia" w:ascii="宋体" w:hAnsi="宋体" w:eastAsia="宋体"/>
          <w:color w:val="auto"/>
        </w:rPr>
        <w:t>项目建设前后评价区土地利用类型面积变化情况表</w:t>
      </w: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668"/>
        <w:gridCol w:w="1386"/>
        <w:gridCol w:w="1063"/>
        <w:gridCol w:w="619"/>
        <w:gridCol w:w="1063"/>
        <w:gridCol w:w="942"/>
        <w:gridCol w:w="1064"/>
        <w:gridCol w:w="943"/>
      </w:tblGrid>
      <w:tr w14:paraId="59E7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vMerge w:val="restart"/>
            <w:shd w:val="clear" w:color="auto" w:fill="auto"/>
            <w:noWrap/>
            <w:vAlign w:val="center"/>
          </w:tcPr>
          <w:p w14:paraId="52F443FE">
            <w:pPr>
              <w:spacing w:before="163"/>
              <w:jc w:val="center"/>
              <w:rPr>
                <w:rFonts w:hint="eastAsia" w:ascii="宋体" w:hAnsi="宋体" w:eastAsia="宋体"/>
                <w:color w:val="auto"/>
              </w:rPr>
            </w:pPr>
            <w:r>
              <w:rPr>
                <w:rFonts w:hint="eastAsia" w:ascii="宋体" w:hAnsi="宋体" w:eastAsia="宋体"/>
                <w:color w:val="auto"/>
              </w:rPr>
              <w:t>序号</w:t>
            </w:r>
          </w:p>
        </w:tc>
        <w:tc>
          <w:tcPr>
            <w:tcW w:w="1640" w:type="pct"/>
            <w:gridSpan w:val="2"/>
            <w:vMerge w:val="restart"/>
            <w:shd w:val="clear" w:color="auto" w:fill="auto"/>
            <w:noWrap/>
            <w:vAlign w:val="center"/>
          </w:tcPr>
          <w:p w14:paraId="5AC62958">
            <w:pPr>
              <w:spacing w:before="163"/>
              <w:jc w:val="center"/>
              <w:rPr>
                <w:rFonts w:hint="eastAsia" w:ascii="宋体" w:hAnsi="宋体" w:eastAsia="宋体"/>
                <w:color w:val="auto"/>
              </w:rPr>
            </w:pPr>
            <w:r>
              <w:rPr>
                <w:rFonts w:hint="eastAsia" w:ascii="宋体" w:hAnsi="宋体" w:eastAsia="宋体"/>
                <w:color w:val="auto"/>
              </w:rPr>
              <w:t>土地利用类型</w:t>
            </w:r>
          </w:p>
          <w:p w14:paraId="0331FD2E">
            <w:pPr>
              <w:spacing w:before="163"/>
              <w:jc w:val="center"/>
              <w:rPr>
                <w:rFonts w:hint="eastAsia" w:ascii="宋体" w:hAnsi="宋体" w:eastAsia="宋体"/>
                <w:color w:val="auto"/>
              </w:rPr>
            </w:pPr>
          </w:p>
        </w:tc>
        <w:tc>
          <w:tcPr>
            <w:tcW w:w="908" w:type="pct"/>
            <w:gridSpan w:val="2"/>
            <w:shd w:val="clear" w:color="auto" w:fill="auto"/>
            <w:noWrap/>
            <w:vAlign w:val="center"/>
          </w:tcPr>
          <w:p w14:paraId="073DDAF1">
            <w:pPr>
              <w:spacing w:before="163"/>
              <w:jc w:val="center"/>
              <w:rPr>
                <w:rFonts w:hint="eastAsia" w:ascii="宋体" w:hAnsi="宋体" w:eastAsia="宋体"/>
                <w:color w:val="auto"/>
              </w:rPr>
            </w:pPr>
            <w:r>
              <w:rPr>
                <w:rFonts w:hint="eastAsia" w:ascii="宋体" w:hAnsi="宋体" w:eastAsia="宋体"/>
                <w:color w:val="auto"/>
              </w:rPr>
              <w:t>建设前</w:t>
            </w:r>
          </w:p>
        </w:tc>
        <w:tc>
          <w:tcPr>
            <w:tcW w:w="1080" w:type="pct"/>
            <w:gridSpan w:val="2"/>
            <w:shd w:val="clear" w:color="auto" w:fill="auto"/>
            <w:noWrap/>
            <w:vAlign w:val="center"/>
          </w:tcPr>
          <w:p w14:paraId="3BFE41F2">
            <w:pPr>
              <w:spacing w:before="163"/>
              <w:jc w:val="center"/>
              <w:rPr>
                <w:rFonts w:hint="eastAsia" w:ascii="宋体" w:hAnsi="宋体" w:eastAsia="宋体"/>
                <w:color w:val="auto"/>
              </w:rPr>
            </w:pPr>
            <w:r>
              <w:rPr>
                <w:rFonts w:hint="eastAsia" w:ascii="宋体" w:hAnsi="宋体" w:eastAsia="宋体"/>
                <w:color w:val="auto"/>
              </w:rPr>
              <w:t>施工期</w:t>
            </w:r>
          </w:p>
        </w:tc>
        <w:tc>
          <w:tcPr>
            <w:tcW w:w="1080" w:type="pct"/>
            <w:gridSpan w:val="2"/>
            <w:shd w:val="clear" w:color="auto" w:fill="auto"/>
            <w:noWrap/>
            <w:vAlign w:val="center"/>
          </w:tcPr>
          <w:p w14:paraId="15D650D3">
            <w:pPr>
              <w:spacing w:before="163"/>
              <w:jc w:val="center"/>
              <w:rPr>
                <w:rFonts w:hint="eastAsia" w:ascii="宋体" w:hAnsi="宋体" w:eastAsia="宋体"/>
                <w:color w:val="auto"/>
              </w:rPr>
            </w:pPr>
            <w:r>
              <w:rPr>
                <w:rFonts w:hint="eastAsia" w:ascii="宋体" w:hAnsi="宋体" w:eastAsia="宋体"/>
                <w:color w:val="auto"/>
              </w:rPr>
              <w:t>生态系统面积变化</w:t>
            </w:r>
          </w:p>
        </w:tc>
      </w:tr>
      <w:tr w14:paraId="1A44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vMerge w:val="continue"/>
            <w:shd w:val="clear" w:color="auto" w:fill="auto"/>
            <w:noWrap/>
            <w:vAlign w:val="center"/>
          </w:tcPr>
          <w:p w14:paraId="1BCC27C0">
            <w:pPr>
              <w:spacing w:before="163"/>
              <w:jc w:val="center"/>
              <w:rPr>
                <w:rFonts w:hint="eastAsia" w:ascii="宋体" w:hAnsi="宋体" w:eastAsia="宋体"/>
                <w:color w:val="auto"/>
              </w:rPr>
            </w:pPr>
          </w:p>
        </w:tc>
        <w:tc>
          <w:tcPr>
            <w:tcW w:w="1640" w:type="pct"/>
            <w:gridSpan w:val="2"/>
            <w:vMerge w:val="continue"/>
            <w:shd w:val="clear" w:color="auto" w:fill="auto"/>
            <w:noWrap/>
            <w:vAlign w:val="center"/>
          </w:tcPr>
          <w:p w14:paraId="484E7E6E">
            <w:pPr>
              <w:spacing w:before="163"/>
              <w:jc w:val="center"/>
              <w:rPr>
                <w:rFonts w:hint="eastAsia" w:ascii="宋体" w:hAnsi="宋体" w:eastAsia="宋体"/>
                <w:color w:val="auto"/>
              </w:rPr>
            </w:pPr>
          </w:p>
        </w:tc>
        <w:tc>
          <w:tcPr>
            <w:tcW w:w="573" w:type="pct"/>
            <w:vMerge w:val="restart"/>
            <w:shd w:val="clear" w:color="auto" w:fill="auto"/>
            <w:noWrap/>
            <w:vAlign w:val="center"/>
          </w:tcPr>
          <w:p w14:paraId="065513DD">
            <w:pPr>
              <w:spacing w:before="163"/>
              <w:jc w:val="center"/>
              <w:rPr>
                <w:rFonts w:hint="eastAsia" w:ascii="宋体" w:hAnsi="宋体" w:eastAsia="宋体"/>
                <w:color w:val="auto"/>
              </w:rPr>
            </w:pPr>
            <w:r>
              <w:rPr>
                <w:rFonts w:hint="eastAsia" w:ascii="宋体" w:hAnsi="宋体" w:eastAsia="宋体"/>
                <w:color w:val="auto"/>
              </w:rPr>
              <w:t>面积（hm</w:t>
            </w:r>
            <w:r>
              <w:rPr>
                <w:rFonts w:hint="eastAsia" w:ascii="宋体" w:hAnsi="宋体" w:eastAsia="宋体"/>
                <w:color w:val="auto"/>
                <w:vertAlign w:val="superscript"/>
              </w:rPr>
              <w:t>2</w:t>
            </w:r>
            <w:r>
              <w:rPr>
                <w:rFonts w:hint="eastAsia" w:ascii="宋体" w:hAnsi="宋体" w:eastAsia="宋体"/>
                <w:color w:val="auto"/>
              </w:rPr>
              <w:t>）</w:t>
            </w:r>
          </w:p>
        </w:tc>
        <w:tc>
          <w:tcPr>
            <w:tcW w:w="335" w:type="pct"/>
            <w:vMerge w:val="restart"/>
            <w:shd w:val="clear" w:color="auto" w:fill="auto"/>
            <w:noWrap/>
            <w:vAlign w:val="center"/>
          </w:tcPr>
          <w:p w14:paraId="08E7BDDC">
            <w:pPr>
              <w:spacing w:before="163"/>
              <w:jc w:val="center"/>
              <w:rPr>
                <w:rFonts w:hint="eastAsia" w:ascii="宋体" w:hAnsi="宋体" w:eastAsia="宋体"/>
                <w:color w:val="auto"/>
              </w:rPr>
            </w:pPr>
            <w:r>
              <w:rPr>
                <w:rFonts w:hint="eastAsia" w:ascii="宋体" w:hAnsi="宋体" w:eastAsia="宋体"/>
                <w:color w:val="auto"/>
              </w:rPr>
              <w:t>比例</w:t>
            </w:r>
          </w:p>
        </w:tc>
        <w:tc>
          <w:tcPr>
            <w:tcW w:w="573" w:type="pct"/>
            <w:vMerge w:val="restart"/>
            <w:shd w:val="clear" w:color="auto" w:fill="auto"/>
            <w:noWrap/>
            <w:vAlign w:val="center"/>
          </w:tcPr>
          <w:p w14:paraId="3D6B59B8">
            <w:pPr>
              <w:spacing w:before="163"/>
              <w:jc w:val="center"/>
              <w:rPr>
                <w:rFonts w:hint="eastAsia" w:ascii="宋体" w:hAnsi="宋体" w:eastAsia="宋体"/>
                <w:color w:val="auto"/>
              </w:rPr>
            </w:pPr>
            <w:r>
              <w:rPr>
                <w:rFonts w:hint="eastAsia" w:ascii="宋体" w:hAnsi="宋体" w:eastAsia="宋体"/>
                <w:color w:val="auto"/>
              </w:rPr>
              <w:t>面积（hm</w:t>
            </w:r>
            <w:r>
              <w:rPr>
                <w:rFonts w:hint="eastAsia" w:ascii="宋体" w:hAnsi="宋体" w:eastAsia="宋体"/>
                <w:color w:val="auto"/>
                <w:vertAlign w:val="superscript"/>
              </w:rPr>
              <w:t>2</w:t>
            </w:r>
            <w:r>
              <w:rPr>
                <w:rFonts w:hint="eastAsia" w:ascii="宋体" w:hAnsi="宋体" w:eastAsia="宋体"/>
                <w:color w:val="auto"/>
              </w:rPr>
              <w:t>）</w:t>
            </w:r>
          </w:p>
        </w:tc>
        <w:tc>
          <w:tcPr>
            <w:tcW w:w="507" w:type="pct"/>
            <w:vMerge w:val="restart"/>
            <w:shd w:val="clear" w:color="auto" w:fill="auto"/>
            <w:noWrap/>
            <w:vAlign w:val="center"/>
          </w:tcPr>
          <w:p w14:paraId="5A5DB58B">
            <w:pPr>
              <w:spacing w:before="163"/>
              <w:jc w:val="center"/>
              <w:rPr>
                <w:rFonts w:hint="eastAsia" w:ascii="宋体" w:hAnsi="宋体" w:eastAsia="宋体"/>
                <w:color w:val="auto"/>
              </w:rPr>
            </w:pPr>
            <w:r>
              <w:rPr>
                <w:rFonts w:hint="eastAsia" w:ascii="宋体" w:hAnsi="宋体" w:eastAsia="宋体"/>
                <w:color w:val="auto"/>
              </w:rPr>
              <w:t>比例（%）</w:t>
            </w:r>
          </w:p>
        </w:tc>
        <w:tc>
          <w:tcPr>
            <w:tcW w:w="573" w:type="pct"/>
            <w:vMerge w:val="restart"/>
            <w:shd w:val="clear" w:color="auto" w:fill="auto"/>
            <w:noWrap/>
            <w:vAlign w:val="center"/>
          </w:tcPr>
          <w:p w14:paraId="580A7D32">
            <w:pPr>
              <w:spacing w:before="163"/>
              <w:jc w:val="center"/>
              <w:rPr>
                <w:rFonts w:hint="eastAsia" w:ascii="宋体" w:hAnsi="宋体" w:eastAsia="宋体"/>
                <w:color w:val="auto"/>
              </w:rPr>
            </w:pPr>
            <w:r>
              <w:rPr>
                <w:rFonts w:hint="eastAsia" w:ascii="宋体" w:hAnsi="宋体" w:eastAsia="宋体"/>
                <w:color w:val="auto"/>
              </w:rPr>
              <w:t>面积（hm</w:t>
            </w:r>
            <w:r>
              <w:rPr>
                <w:rFonts w:hint="eastAsia" w:ascii="宋体" w:hAnsi="宋体" w:eastAsia="宋体"/>
                <w:color w:val="auto"/>
                <w:vertAlign w:val="superscript"/>
              </w:rPr>
              <w:t>2</w:t>
            </w:r>
            <w:r>
              <w:rPr>
                <w:rFonts w:hint="eastAsia" w:ascii="宋体" w:hAnsi="宋体" w:eastAsia="宋体"/>
                <w:color w:val="auto"/>
              </w:rPr>
              <w:t>）</w:t>
            </w:r>
          </w:p>
        </w:tc>
        <w:tc>
          <w:tcPr>
            <w:tcW w:w="507" w:type="pct"/>
            <w:vMerge w:val="restart"/>
            <w:shd w:val="clear" w:color="auto" w:fill="auto"/>
            <w:noWrap/>
            <w:vAlign w:val="center"/>
          </w:tcPr>
          <w:p w14:paraId="2571CFFE">
            <w:pPr>
              <w:spacing w:before="163"/>
              <w:jc w:val="center"/>
              <w:rPr>
                <w:rFonts w:hint="eastAsia" w:ascii="宋体" w:hAnsi="宋体" w:eastAsia="宋体"/>
                <w:color w:val="auto"/>
              </w:rPr>
            </w:pPr>
            <w:r>
              <w:rPr>
                <w:rFonts w:hint="eastAsia" w:ascii="宋体" w:hAnsi="宋体" w:eastAsia="宋体"/>
                <w:color w:val="auto"/>
              </w:rPr>
              <w:t>比例（%）</w:t>
            </w:r>
          </w:p>
        </w:tc>
      </w:tr>
      <w:tr w14:paraId="63FA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vMerge w:val="continue"/>
            <w:shd w:val="clear" w:color="auto" w:fill="auto"/>
            <w:noWrap/>
            <w:vAlign w:val="center"/>
          </w:tcPr>
          <w:p w14:paraId="63648DCA">
            <w:pPr>
              <w:spacing w:before="163"/>
              <w:jc w:val="center"/>
              <w:rPr>
                <w:rFonts w:hint="eastAsia" w:ascii="宋体" w:hAnsi="宋体" w:eastAsia="宋体"/>
                <w:color w:val="auto"/>
              </w:rPr>
            </w:pPr>
          </w:p>
        </w:tc>
        <w:tc>
          <w:tcPr>
            <w:tcW w:w="566" w:type="pct"/>
            <w:shd w:val="clear" w:color="auto" w:fill="auto"/>
            <w:noWrap/>
            <w:vAlign w:val="center"/>
          </w:tcPr>
          <w:p w14:paraId="23A0712D">
            <w:pPr>
              <w:spacing w:before="163"/>
              <w:jc w:val="center"/>
              <w:rPr>
                <w:rFonts w:hint="eastAsia" w:ascii="宋体" w:hAnsi="宋体" w:eastAsia="宋体"/>
                <w:color w:val="auto"/>
              </w:rPr>
            </w:pPr>
            <w:r>
              <w:rPr>
                <w:rFonts w:hint="eastAsia" w:ascii="宋体" w:hAnsi="宋体" w:eastAsia="宋体"/>
                <w:color w:val="auto"/>
              </w:rPr>
              <w:t>一级分类</w:t>
            </w:r>
          </w:p>
        </w:tc>
        <w:tc>
          <w:tcPr>
            <w:tcW w:w="1074" w:type="pct"/>
            <w:shd w:val="clear" w:color="auto" w:fill="auto"/>
            <w:noWrap/>
            <w:vAlign w:val="center"/>
          </w:tcPr>
          <w:p w14:paraId="5D228950">
            <w:pPr>
              <w:spacing w:before="163"/>
              <w:jc w:val="center"/>
              <w:rPr>
                <w:rFonts w:hint="eastAsia" w:ascii="宋体" w:hAnsi="宋体" w:eastAsia="宋体"/>
                <w:color w:val="auto"/>
              </w:rPr>
            </w:pPr>
            <w:r>
              <w:rPr>
                <w:rFonts w:hint="eastAsia" w:ascii="宋体" w:hAnsi="宋体" w:eastAsia="宋体"/>
                <w:color w:val="auto"/>
              </w:rPr>
              <w:t>二级分类</w:t>
            </w:r>
          </w:p>
        </w:tc>
        <w:tc>
          <w:tcPr>
            <w:tcW w:w="573" w:type="pct"/>
            <w:vMerge w:val="continue"/>
            <w:shd w:val="clear" w:color="auto" w:fill="auto"/>
            <w:noWrap/>
            <w:vAlign w:val="center"/>
          </w:tcPr>
          <w:p w14:paraId="10FAA439">
            <w:pPr>
              <w:spacing w:before="163"/>
              <w:jc w:val="center"/>
              <w:rPr>
                <w:rFonts w:hint="eastAsia" w:ascii="宋体" w:hAnsi="宋体" w:eastAsia="宋体"/>
                <w:color w:val="auto"/>
              </w:rPr>
            </w:pPr>
          </w:p>
        </w:tc>
        <w:tc>
          <w:tcPr>
            <w:tcW w:w="335" w:type="pct"/>
            <w:vMerge w:val="continue"/>
            <w:shd w:val="clear" w:color="auto" w:fill="auto"/>
            <w:noWrap/>
            <w:vAlign w:val="center"/>
          </w:tcPr>
          <w:p w14:paraId="7A7AD03B">
            <w:pPr>
              <w:spacing w:before="163"/>
              <w:jc w:val="center"/>
              <w:rPr>
                <w:rFonts w:hint="eastAsia" w:ascii="宋体" w:hAnsi="宋体" w:eastAsia="宋体"/>
                <w:color w:val="auto"/>
              </w:rPr>
            </w:pPr>
          </w:p>
        </w:tc>
        <w:tc>
          <w:tcPr>
            <w:tcW w:w="573" w:type="pct"/>
            <w:vMerge w:val="continue"/>
            <w:shd w:val="clear" w:color="auto" w:fill="auto"/>
            <w:noWrap/>
            <w:vAlign w:val="center"/>
          </w:tcPr>
          <w:p w14:paraId="54936A1C">
            <w:pPr>
              <w:spacing w:before="163"/>
              <w:jc w:val="center"/>
              <w:rPr>
                <w:rFonts w:hint="eastAsia" w:ascii="宋体" w:hAnsi="宋体" w:eastAsia="宋体"/>
                <w:color w:val="auto"/>
              </w:rPr>
            </w:pPr>
          </w:p>
        </w:tc>
        <w:tc>
          <w:tcPr>
            <w:tcW w:w="507" w:type="pct"/>
            <w:vMerge w:val="continue"/>
            <w:shd w:val="clear" w:color="auto" w:fill="auto"/>
            <w:noWrap/>
            <w:vAlign w:val="center"/>
          </w:tcPr>
          <w:p w14:paraId="365A859F">
            <w:pPr>
              <w:spacing w:before="163"/>
              <w:jc w:val="center"/>
              <w:rPr>
                <w:rFonts w:hint="eastAsia" w:ascii="宋体" w:hAnsi="宋体" w:eastAsia="宋体"/>
                <w:color w:val="auto"/>
              </w:rPr>
            </w:pPr>
          </w:p>
        </w:tc>
        <w:tc>
          <w:tcPr>
            <w:tcW w:w="573" w:type="pct"/>
            <w:vMerge w:val="continue"/>
            <w:shd w:val="clear" w:color="auto" w:fill="auto"/>
            <w:noWrap/>
            <w:vAlign w:val="center"/>
          </w:tcPr>
          <w:p w14:paraId="49C4E93F">
            <w:pPr>
              <w:spacing w:before="163"/>
              <w:jc w:val="center"/>
              <w:rPr>
                <w:rFonts w:hint="eastAsia" w:ascii="宋体" w:hAnsi="宋体" w:eastAsia="宋体"/>
                <w:color w:val="auto"/>
              </w:rPr>
            </w:pPr>
          </w:p>
        </w:tc>
        <w:tc>
          <w:tcPr>
            <w:tcW w:w="507" w:type="pct"/>
            <w:vMerge w:val="continue"/>
            <w:shd w:val="clear" w:color="auto" w:fill="auto"/>
            <w:noWrap/>
            <w:vAlign w:val="center"/>
          </w:tcPr>
          <w:p w14:paraId="2234F07A">
            <w:pPr>
              <w:spacing w:before="163"/>
              <w:jc w:val="center"/>
              <w:rPr>
                <w:rFonts w:hint="eastAsia" w:ascii="宋体" w:hAnsi="宋体" w:eastAsia="宋体"/>
                <w:color w:val="auto"/>
              </w:rPr>
            </w:pPr>
          </w:p>
        </w:tc>
      </w:tr>
      <w:tr w14:paraId="7BEC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12E73AD3">
            <w:pPr>
              <w:spacing w:before="163"/>
              <w:jc w:val="center"/>
              <w:rPr>
                <w:rFonts w:hint="eastAsia" w:ascii="宋体" w:hAnsi="宋体" w:eastAsia="宋体"/>
                <w:color w:val="auto"/>
              </w:rPr>
            </w:pPr>
            <w:r>
              <w:rPr>
                <w:rFonts w:hint="eastAsia" w:ascii="宋体" w:hAnsi="宋体" w:eastAsia="宋体"/>
                <w:color w:val="auto"/>
              </w:rPr>
              <w:t>1</w:t>
            </w:r>
          </w:p>
        </w:tc>
        <w:tc>
          <w:tcPr>
            <w:tcW w:w="566" w:type="pct"/>
            <w:vMerge w:val="restart"/>
            <w:shd w:val="clear" w:color="auto" w:fill="auto"/>
            <w:noWrap/>
            <w:vAlign w:val="center"/>
          </w:tcPr>
          <w:p w14:paraId="4BC85C43">
            <w:pPr>
              <w:spacing w:before="163"/>
              <w:jc w:val="center"/>
              <w:rPr>
                <w:rFonts w:hint="eastAsia" w:ascii="宋体" w:hAnsi="宋体" w:eastAsia="宋体"/>
                <w:color w:val="auto"/>
              </w:rPr>
            </w:pPr>
            <w:r>
              <w:rPr>
                <w:rFonts w:hint="eastAsia" w:ascii="宋体" w:hAnsi="宋体" w:eastAsia="宋体"/>
                <w:color w:val="auto"/>
              </w:rPr>
              <w:t>耕地</w:t>
            </w:r>
          </w:p>
        </w:tc>
        <w:tc>
          <w:tcPr>
            <w:tcW w:w="1074" w:type="pct"/>
            <w:shd w:val="clear" w:color="auto" w:fill="auto"/>
            <w:noWrap/>
            <w:vAlign w:val="center"/>
          </w:tcPr>
          <w:p w14:paraId="6088453D">
            <w:pPr>
              <w:spacing w:before="163"/>
              <w:jc w:val="center"/>
              <w:rPr>
                <w:rFonts w:hint="eastAsia" w:ascii="宋体" w:hAnsi="宋体" w:eastAsia="宋体"/>
                <w:color w:val="auto"/>
              </w:rPr>
            </w:pPr>
            <w:r>
              <w:rPr>
                <w:rFonts w:hint="eastAsia" w:ascii="宋体" w:hAnsi="宋体" w:eastAsia="宋体"/>
                <w:color w:val="auto"/>
              </w:rPr>
              <w:t>0103旱地</w:t>
            </w:r>
          </w:p>
        </w:tc>
        <w:tc>
          <w:tcPr>
            <w:tcW w:w="573" w:type="pct"/>
            <w:shd w:val="clear" w:color="auto" w:fill="auto"/>
            <w:noWrap/>
            <w:vAlign w:val="center"/>
          </w:tcPr>
          <w:p w14:paraId="66D51943">
            <w:pPr>
              <w:spacing w:before="163"/>
              <w:jc w:val="center"/>
              <w:rPr>
                <w:rFonts w:hint="eastAsia" w:ascii="宋体" w:hAnsi="宋体" w:eastAsia="宋体"/>
                <w:color w:val="auto"/>
              </w:rPr>
            </w:pPr>
            <w:r>
              <w:rPr>
                <w:rFonts w:hint="eastAsia" w:ascii="宋体" w:hAnsi="宋体" w:eastAsia="宋体"/>
                <w:color w:val="auto"/>
              </w:rPr>
              <w:t>116.28</w:t>
            </w:r>
          </w:p>
        </w:tc>
        <w:tc>
          <w:tcPr>
            <w:tcW w:w="335" w:type="pct"/>
            <w:shd w:val="clear" w:color="auto" w:fill="auto"/>
            <w:noWrap/>
            <w:vAlign w:val="center"/>
          </w:tcPr>
          <w:p w14:paraId="183712F5">
            <w:pPr>
              <w:spacing w:before="163"/>
              <w:jc w:val="center"/>
              <w:rPr>
                <w:rFonts w:hint="eastAsia" w:ascii="宋体" w:hAnsi="宋体" w:eastAsia="宋体"/>
                <w:color w:val="auto"/>
              </w:rPr>
            </w:pPr>
            <w:r>
              <w:rPr>
                <w:rFonts w:hint="eastAsia" w:ascii="宋体" w:hAnsi="宋体" w:eastAsia="宋体"/>
                <w:color w:val="auto"/>
              </w:rPr>
              <w:t>76.85</w:t>
            </w:r>
          </w:p>
        </w:tc>
        <w:tc>
          <w:tcPr>
            <w:tcW w:w="573" w:type="pct"/>
            <w:shd w:val="clear" w:color="auto" w:fill="auto"/>
            <w:noWrap/>
            <w:vAlign w:val="center"/>
          </w:tcPr>
          <w:p w14:paraId="13DEFEE6">
            <w:pPr>
              <w:spacing w:before="163"/>
              <w:jc w:val="center"/>
              <w:rPr>
                <w:rFonts w:hint="eastAsia" w:ascii="宋体" w:hAnsi="宋体" w:eastAsia="宋体"/>
                <w:color w:val="auto"/>
              </w:rPr>
            </w:pPr>
            <w:r>
              <w:rPr>
                <w:rFonts w:hint="eastAsia" w:ascii="宋体" w:hAnsi="宋体" w:eastAsia="宋体"/>
                <w:color w:val="auto"/>
              </w:rPr>
              <w:t>112.117</w:t>
            </w:r>
          </w:p>
        </w:tc>
        <w:tc>
          <w:tcPr>
            <w:tcW w:w="507" w:type="pct"/>
            <w:shd w:val="clear" w:color="auto" w:fill="auto"/>
            <w:noWrap/>
            <w:vAlign w:val="center"/>
          </w:tcPr>
          <w:p w14:paraId="6CE57260">
            <w:pPr>
              <w:spacing w:before="163"/>
              <w:jc w:val="center"/>
              <w:rPr>
                <w:rFonts w:hint="eastAsia" w:ascii="宋体" w:hAnsi="宋体" w:eastAsia="宋体"/>
                <w:color w:val="auto"/>
              </w:rPr>
            </w:pPr>
            <w:r>
              <w:rPr>
                <w:rFonts w:hint="eastAsia" w:ascii="宋体" w:hAnsi="宋体" w:eastAsia="宋体"/>
                <w:color w:val="auto"/>
              </w:rPr>
              <w:t>74.1</w:t>
            </w:r>
          </w:p>
        </w:tc>
        <w:tc>
          <w:tcPr>
            <w:tcW w:w="573" w:type="pct"/>
            <w:shd w:val="clear" w:color="auto" w:fill="auto"/>
            <w:noWrap/>
            <w:vAlign w:val="center"/>
          </w:tcPr>
          <w:p w14:paraId="3961CF40">
            <w:pPr>
              <w:spacing w:before="163"/>
              <w:jc w:val="center"/>
              <w:rPr>
                <w:rFonts w:hint="eastAsia" w:ascii="宋体" w:hAnsi="宋体" w:eastAsia="宋体"/>
                <w:color w:val="auto"/>
              </w:rPr>
            </w:pPr>
            <w:r>
              <w:rPr>
                <w:rFonts w:hint="eastAsia" w:ascii="宋体" w:hAnsi="宋体" w:eastAsia="宋体"/>
                <w:color w:val="auto"/>
              </w:rPr>
              <w:t>-4.163</w:t>
            </w:r>
          </w:p>
        </w:tc>
        <w:tc>
          <w:tcPr>
            <w:tcW w:w="507" w:type="pct"/>
            <w:shd w:val="clear" w:color="auto" w:fill="auto"/>
            <w:noWrap/>
            <w:vAlign w:val="center"/>
          </w:tcPr>
          <w:p w14:paraId="7858A62F">
            <w:pPr>
              <w:spacing w:before="163"/>
              <w:jc w:val="center"/>
              <w:rPr>
                <w:rFonts w:hint="eastAsia" w:ascii="宋体" w:hAnsi="宋体" w:eastAsia="宋体"/>
                <w:color w:val="auto"/>
              </w:rPr>
            </w:pPr>
            <w:r>
              <w:rPr>
                <w:rFonts w:hint="eastAsia" w:ascii="宋体" w:hAnsi="宋体" w:eastAsia="宋体"/>
                <w:color w:val="auto"/>
              </w:rPr>
              <w:t>-2.75</w:t>
            </w:r>
          </w:p>
        </w:tc>
      </w:tr>
      <w:tr w14:paraId="3885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346EF306">
            <w:pPr>
              <w:spacing w:before="163"/>
              <w:jc w:val="center"/>
              <w:rPr>
                <w:rFonts w:hint="eastAsia" w:ascii="宋体" w:hAnsi="宋体" w:eastAsia="宋体"/>
                <w:color w:val="auto"/>
              </w:rPr>
            </w:pPr>
            <w:r>
              <w:rPr>
                <w:rFonts w:hint="eastAsia" w:ascii="宋体" w:hAnsi="宋体" w:eastAsia="宋体"/>
                <w:color w:val="auto"/>
              </w:rPr>
              <w:t>2</w:t>
            </w:r>
          </w:p>
        </w:tc>
        <w:tc>
          <w:tcPr>
            <w:tcW w:w="566" w:type="pct"/>
            <w:vMerge w:val="continue"/>
            <w:shd w:val="clear" w:color="auto" w:fill="auto"/>
            <w:noWrap/>
            <w:vAlign w:val="center"/>
          </w:tcPr>
          <w:p w14:paraId="1F6DED8C">
            <w:pPr>
              <w:spacing w:before="163"/>
              <w:jc w:val="center"/>
              <w:rPr>
                <w:rFonts w:hint="eastAsia" w:ascii="宋体" w:hAnsi="宋体" w:eastAsia="宋体"/>
                <w:color w:val="auto"/>
              </w:rPr>
            </w:pPr>
          </w:p>
        </w:tc>
        <w:tc>
          <w:tcPr>
            <w:tcW w:w="1074" w:type="pct"/>
            <w:shd w:val="clear" w:color="auto" w:fill="auto"/>
            <w:noWrap/>
            <w:vAlign w:val="center"/>
          </w:tcPr>
          <w:p w14:paraId="573EC875">
            <w:pPr>
              <w:spacing w:before="163"/>
              <w:jc w:val="center"/>
              <w:rPr>
                <w:rFonts w:hint="eastAsia" w:ascii="宋体" w:hAnsi="宋体" w:eastAsia="宋体"/>
                <w:color w:val="auto"/>
              </w:rPr>
            </w:pPr>
            <w:r>
              <w:rPr>
                <w:rFonts w:hint="eastAsia" w:ascii="宋体" w:hAnsi="宋体" w:eastAsia="宋体"/>
                <w:color w:val="auto"/>
              </w:rPr>
              <w:t>0101水田</w:t>
            </w:r>
          </w:p>
        </w:tc>
        <w:tc>
          <w:tcPr>
            <w:tcW w:w="573" w:type="pct"/>
            <w:shd w:val="clear" w:color="auto" w:fill="auto"/>
            <w:noWrap/>
            <w:vAlign w:val="center"/>
          </w:tcPr>
          <w:p w14:paraId="1E9D1DFA">
            <w:pPr>
              <w:spacing w:before="163"/>
              <w:jc w:val="center"/>
              <w:rPr>
                <w:rFonts w:hint="eastAsia" w:ascii="宋体" w:hAnsi="宋体" w:eastAsia="宋体"/>
                <w:color w:val="auto"/>
              </w:rPr>
            </w:pPr>
            <w:r>
              <w:rPr>
                <w:rFonts w:hint="eastAsia" w:ascii="宋体" w:hAnsi="宋体" w:eastAsia="宋体"/>
                <w:color w:val="auto"/>
              </w:rPr>
              <w:t>13.29</w:t>
            </w:r>
          </w:p>
        </w:tc>
        <w:tc>
          <w:tcPr>
            <w:tcW w:w="335" w:type="pct"/>
            <w:shd w:val="clear" w:color="auto" w:fill="auto"/>
            <w:noWrap/>
            <w:vAlign w:val="center"/>
          </w:tcPr>
          <w:p w14:paraId="0C93C1C3">
            <w:pPr>
              <w:spacing w:before="163"/>
              <w:jc w:val="center"/>
              <w:rPr>
                <w:rFonts w:hint="eastAsia" w:ascii="宋体" w:hAnsi="宋体" w:eastAsia="宋体"/>
                <w:color w:val="auto"/>
              </w:rPr>
            </w:pPr>
            <w:r>
              <w:rPr>
                <w:rFonts w:hint="eastAsia" w:ascii="宋体" w:hAnsi="宋体" w:eastAsia="宋体"/>
                <w:color w:val="auto"/>
              </w:rPr>
              <w:t>8.78</w:t>
            </w:r>
          </w:p>
        </w:tc>
        <w:tc>
          <w:tcPr>
            <w:tcW w:w="573" w:type="pct"/>
            <w:shd w:val="clear" w:color="auto" w:fill="auto"/>
            <w:noWrap/>
            <w:vAlign w:val="center"/>
          </w:tcPr>
          <w:p w14:paraId="1B7D0353">
            <w:pPr>
              <w:spacing w:before="163"/>
              <w:jc w:val="center"/>
              <w:rPr>
                <w:rFonts w:hint="eastAsia" w:ascii="宋体" w:hAnsi="宋体" w:eastAsia="宋体"/>
                <w:color w:val="auto"/>
              </w:rPr>
            </w:pPr>
            <w:r>
              <w:rPr>
                <w:rFonts w:hint="eastAsia" w:ascii="宋体" w:hAnsi="宋体" w:eastAsia="宋体"/>
                <w:color w:val="auto"/>
              </w:rPr>
              <w:t>13.29</w:t>
            </w:r>
          </w:p>
        </w:tc>
        <w:tc>
          <w:tcPr>
            <w:tcW w:w="507" w:type="pct"/>
            <w:shd w:val="clear" w:color="auto" w:fill="auto"/>
            <w:noWrap/>
            <w:vAlign w:val="center"/>
          </w:tcPr>
          <w:p w14:paraId="25F54472">
            <w:pPr>
              <w:spacing w:before="163"/>
              <w:jc w:val="center"/>
              <w:rPr>
                <w:rFonts w:hint="eastAsia" w:ascii="宋体" w:hAnsi="宋体" w:eastAsia="宋体"/>
                <w:color w:val="auto"/>
              </w:rPr>
            </w:pPr>
            <w:r>
              <w:rPr>
                <w:rFonts w:hint="eastAsia" w:ascii="宋体" w:hAnsi="宋体" w:eastAsia="宋体"/>
                <w:color w:val="auto"/>
              </w:rPr>
              <w:t>8.78</w:t>
            </w:r>
          </w:p>
        </w:tc>
        <w:tc>
          <w:tcPr>
            <w:tcW w:w="573" w:type="pct"/>
            <w:shd w:val="clear" w:color="auto" w:fill="auto"/>
            <w:noWrap/>
            <w:vAlign w:val="center"/>
          </w:tcPr>
          <w:p w14:paraId="4D4F9338">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00CFA1F7">
            <w:pPr>
              <w:spacing w:before="163"/>
              <w:jc w:val="center"/>
              <w:rPr>
                <w:rFonts w:hint="eastAsia" w:ascii="宋体" w:hAnsi="宋体" w:eastAsia="宋体"/>
                <w:color w:val="auto"/>
              </w:rPr>
            </w:pPr>
            <w:r>
              <w:rPr>
                <w:rFonts w:hint="eastAsia" w:ascii="宋体" w:hAnsi="宋体" w:eastAsia="宋体"/>
                <w:color w:val="auto"/>
              </w:rPr>
              <w:t>0</w:t>
            </w:r>
          </w:p>
        </w:tc>
      </w:tr>
      <w:tr w14:paraId="05B2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690E287A">
            <w:pPr>
              <w:spacing w:before="163"/>
              <w:jc w:val="center"/>
              <w:rPr>
                <w:rFonts w:hint="eastAsia" w:ascii="宋体" w:hAnsi="宋体" w:eastAsia="宋体"/>
                <w:color w:val="auto"/>
              </w:rPr>
            </w:pPr>
            <w:r>
              <w:rPr>
                <w:rFonts w:hint="eastAsia" w:ascii="宋体" w:hAnsi="宋体" w:eastAsia="宋体"/>
                <w:color w:val="auto"/>
              </w:rPr>
              <w:t>3</w:t>
            </w:r>
          </w:p>
        </w:tc>
        <w:tc>
          <w:tcPr>
            <w:tcW w:w="566" w:type="pct"/>
            <w:vMerge w:val="restart"/>
            <w:shd w:val="clear" w:color="auto" w:fill="auto"/>
            <w:noWrap/>
            <w:vAlign w:val="center"/>
          </w:tcPr>
          <w:p w14:paraId="5F33C043">
            <w:pPr>
              <w:spacing w:before="163"/>
              <w:jc w:val="center"/>
              <w:rPr>
                <w:rFonts w:hint="eastAsia" w:ascii="宋体" w:hAnsi="宋体" w:eastAsia="宋体"/>
                <w:color w:val="auto"/>
              </w:rPr>
            </w:pPr>
            <w:r>
              <w:rPr>
                <w:rFonts w:hint="eastAsia" w:ascii="宋体" w:hAnsi="宋体" w:eastAsia="宋体"/>
                <w:color w:val="auto"/>
              </w:rPr>
              <w:t>林地</w:t>
            </w:r>
          </w:p>
        </w:tc>
        <w:tc>
          <w:tcPr>
            <w:tcW w:w="1074" w:type="pct"/>
            <w:shd w:val="clear" w:color="auto" w:fill="auto"/>
            <w:noWrap/>
            <w:vAlign w:val="center"/>
          </w:tcPr>
          <w:p w14:paraId="5F63B26A">
            <w:pPr>
              <w:spacing w:before="163"/>
              <w:jc w:val="center"/>
              <w:rPr>
                <w:rFonts w:hint="eastAsia" w:ascii="宋体" w:hAnsi="宋体" w:eastAsia="宋体"/>
                <w:color w:val="auto"/>
              </w:rPr>
            </w:pPr>
            <w:r>
              <w:rPr>
                <w:rFonts w:hint="eastAsia" w:ascii="宋体" w:hAnsi="宋体" w:eastAsia="宋体"/>
                <w:color w:val="auto"/>
              </w:rPr>
              <w:t>0301乔木林地</w:t>
            </w:r>
          </w:p>
        </w:tc>
        <w:tc>
          <w:tcPr>
            <w:tcW w:w="573" w:type="pct"/>
            <w:shd w:val="clear" w:color="auto" w:fill="auto"/>
            <w:noWrap/>
            <w:vAlign w:val="center"/>
          </w:tcPr>
          <w:p w14:paraId="0EC071D0">
            <w:pPr>
              <w:spacing w:before="163"/>
              <w:jc w:val="center"/>
              <w:rPr>
                <w:rFonts w:hint="eastAsia" w:ascii="宋体" w:hAnsi="宋体" w:eastAsia="宋体"/>
                <w:color w:val="auto"/>
              </w:rPr>
            </w:pPr>
            <w:r>
              <w:rPr>
                <w:rFonts w:hint="eastAsia" w:ascii="宋体" w:hAnsi="宋体" w:eastAsia="宋体"/>
                <w:color w:val="auto"/>
              </w:rPr>
              <w:t>4.35</w:t>
            </w:r>
          </w:p>
        </w:tc>
        <w:tc>
          <w:tcPr>
            <w:tcW w:w="335" w:type="pct"/>
            <w:shd w:val="clear" w:color="auto" w:fill="auto"/>
            <w:noWrap/>
            <w:vAlign w:val="center"/>
          </w:tcPr>
          <w:p w14:paraId="07DB0239">
            <w:pPr>
              <w:spacing w:before="163"/>
              <w:jc w:val="center"/>
              <w:rPr>
                <w:rFonts w:hint="eastAsia" w:ascii="宋体" w:hAnsi="宋体" w:eastAsia="宋体"/>
                <w:color w:val="auto"/>
              </w:rPr>
            </w:pPr>
            <w:r>
              <w:rPr>
                <w:rFonts w:hint="eastAsia" w:ascii="宋体" w:hAnsi="宋体" w:eastAsia="宋体"/>
                <w:color w:val="auto"/>
              </w:rPr>
              <w:t>2.88</w:t>
            </w:r>
          </w:p>
        </w:tc>
        <w:tc>
          <w:tcPr>
            <w:tcW w:w="573" w:type="pct"/>
            <w:shd w:val="clear" w:color="auto" w:fill="auto"/>
            <w:noWrap/>
            <w:vAlign w:val="center"/>
          </w:tcPr>
          <w:p w14:paraId="77F0E705">
            <w:pPr>
              <w:spacing w:before="163"/>
              <w:jc w:val="center"/>
              <w:rPr>
                <w:rFonts w:hint="eastAsia" w:ascii="宋体" w:hAnsi="宋体" w:eastAsia="宋体"/>
                <w:color w:val="auto"/>
              </w:rPr>
            </w:pPr>
            <w:r>
              <w:rPr>
                <w:rFonts w:hint="eastAsia" w:ascii="宋体" w:hAnsi="宋体" w:eastAsia="宋体"/>
                <w:color w:val="auto"/>
              </w:rPr>
              <w:t>4.35</w:t>
            </w:r>
          </w:p>
        </w:tc>
        <w:tc>
          <w:tcPr>
            <w:tcW w:w="507" w:type="pct"/>
            <w:shd w:val="clear" w:color="auto" w:fill="auto"/>
            <w:noWrap/>
            <w:vAlign w:val="center"/>
          </w:tcPr>
          <w:p w14:paraId="6FDBB25C">
            <w:pPr>
              <w:spacing w:before="163"/>
              <w:jc w:val="center"/>
              <w:rPr>
                <w:rFonts w:hint="eastAsia" w:ascii="宋体" w:hAnsi="宋体" w:eastAsia="宋体"/>
                <w:color w:val="auto"/>
              </w:rPr>
            </w:pPr>
            <w:r>
              <w:rPr>
                <w:rFonts w:hint="eastAsia" w:ascii="宋体" w:hAnsi="宋体" w:eastAsia="宋体"/>
                <w:color w:val="auto"/>
              </w:rPr>
              <w:t>2.88</w:t>
            </w:r>
          </w:p>
        </w:tc>
        <w:tc>
          <w:tcPr>
            <w:tcW w:w="573" w:type="pct"/>
            <w:shd w:val="clear" w:color="auto" w:fill="auto"/>
            <w:noWrap/>
            <w:vAlign w:val="center"/>
          </w:tcPr>
          <w:p w14:paraId="5A5663E3">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3F42EE08">
            <w:pPr>
              <w:spacing w:before="163"/>
              <w:jc w:val="center"/>
              <w:rPr>
                <w:rFonts w:hint="eastAsia" w:ascii="宋体" w:hAnsi="宋体" w:eastAsia="宋体"/>
                <w:color w:val="auto"/>
              </w:rPr>
            </w:pPr>
            <w:r>
              <w:rPr>
                <w:rFonts w:hint="eastAsia" w:ascii="宋体" w:hAnsi="宋体" w:eastAsia="宋体"/>
                <w:color w:val="auto"/>
              </w:rPr>
              <w:t>0</w:t>
            </w:r>
          </w:p>
        </w:tc>
      </w:tr>
      <w:tr w14:paraId="4B9A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2ABF1D09">
            <w:pPr>
              <w:spacing w:before="163"/>
              <w:jc w:val="center"/>
              <w:rPr>
                <w:rFonts w:hint="eastAsia" w:ascii="宋体" w:hAnsi="宋体" w:eastAsia="宋体"/>
                <w:color w:val="auto"/>
              </w:rPr>
            </w:pPr>
            <w:r>
              <w:rPr>
                <w:rFonts w:hint="eastAsia" w:ascii="宋体" w:hAnsi="宋体" w:eastAsia="宋体"/>
                <w:color w:val="auto"/>
              </w:rPr>
              <w:t>4</w:t>
            </w:r>
          </w:p>
        </w:tc>
        <w:tc>
          <w:tcPr>
            <w:tcW w:w="566" w:type="pct"/>
            <w:vMerge w:val="continue"/>
            <w:shd w:val="clear" w:color="auto" w:fill="auto"/>
            <w:noWrap/>
            <w:vAlign w:val="center"/>
          </w:tcPr>
          <w:p w14:paraId="00C9B90A">
            <w:pPr>
              <w:spacing w:before="163"/>
              <w:jc w:val="center"/>
              <w:rPr>
                <w:rFonts w:hint="eastAsia" w:ascii="宋体" w:hAnsi="宋体" w:eastAsia="宋体"/>
                <w:color w:val="auto"/>
              </w:rPr>
            </w:pPr>
          </w:p>
        </w:tc>
        <w:tc>
          <w:tcPr>
            <w:tcW w:w="1074" w:type="pct"/>
            <w:shd w:val="clear" w:color="auto" w:fill="auto"/>
            <w:noWrap/>
            <w:vAlign w:val="center"/>
          </w:tcPr>
          <w:p w14:paraId="55CC7525">
            <w:pPr>
              <w:spacing w:before="163"/>
              <w:jc w:val="center"/>
              <w:rPr>
                <w:rFonts w:hint="eastAsia" w:ascii="宋体" w:hAnsi="宋体" w:eastAsia="宋体"/>
                <w:color w:val="auto"/>
              </w:rPr>
            </w:pPr>
            <w:r>
              <w:rPr>
                <w:rFonts w:hint="eastAsia" w:ascii="宋体" w:hAnsi="宋体" w:eastAsia="宋体"/>
                <w:color w:val="auto"/>
              </w:rPr>
              <w:t>0307其他林地</w:t>
            </w:r>
          </w:p>
        </w:tc>
        <w:tc>
          <w:tcPr>
            <w:tcW w:w="573" w:type="pct"/>
            <w:shd w:val="clear" w:color="auto" w:fill="auto"/>
            <w:noWrap/>
            <w:vAlign w:val="center"/>
          </w:tcPr>
          <w:p w14:paraId="1FB6F558">
            <w:pPr>
              <w:spacing w:before="163"/>
              <w:jc w:val="center"/>
              <w:rPr>
                <w:rFonts w:hint="eastAsia" w:ascii="宋体" w:hAnsi="宋体" w:eastAsia="宋体"/>
                <w:color w:val="auto"/>
              </w:rPr>
            </w:pPr>
            <w:r>
              <w:rPr>
                <w:rFonts w:hint="eastAsia" w:ascii="宋体" w:hAnsi="宋体" w:eastAsia="宋体"/>
                <w:color w:val="auto"/>
              </w:rPr>
              <w:t>0.3</w:t>
            </w:r>
          </w:p>
        </w:tc>
        <w:tc>
          <w:tcPr>
            <w:tcW w:w="335" w:type="pct"/>
            <w:shd w:val="clear" w:color="auto" w:fill="auto"/>
            <w:noWrap/>
            <w:vAlign w:val="center"/>
          </w:tcPr>
          <w:p w14:paraId="48EEFB4C">
            <w:pPr>
              <w:spacing w:before="163"/>
              <w:jc w:val="center"/>
              <w:rPr>
                <w:rFonts w:hint="eastAsia" w:ascii="宋体" w:hAnsi="宋体" w:eastAsia="宋体"/>
                <w:color w:val="auto"/>
              </w:rPr>
            </w:pPr>
            <w:r>
              <w:rPr>
                <w:rFonts w:hint="eastAsia" w:ascii="宋体" w:hAnsi="宋体" w:eastAsia="宋体"/>
                <w:color w:val="auto"/>
              </w:rPr>
              <w:t>0.2</w:t>
            </w:r>
          </w:p>
        </w:tc>
        <w:tc>
          <w:tcPr>
            <w:tcW w:w="573" w:type="pct"/>
            <w:shd w:val="clear" w:color="auto" w:fill="auto"/>
            <w:noWrap/>
            <w:vAlign w:val="center"/>
          </w:tcPr>
          <w:p w14:paraId="132B73A5">
            <w:pPr>
              <w:spacing w:before="163"/>
              <w:jc w:val="center"/>
              <w:rPr>
                <w:rFonts w:hint="eastAsia" w:ascii="宋体" w:hAnsi="宋体" w:eastAsia="宋体"/>
                <w:color w:val="auto"/>
              </w:rPr>
            </w:pPr>
            <w:r>
              <w:rPr>
                <w:rFonts w:hint="eastAsia" w:ascii="宋体" w:hAnsi="宋体" w:eastAsia="宋体"/>
                <w:color w:val="auto"/>
              </w:rPr>
              <w:t>0.3</w:t>
            </w:r>
          </w:p>
        </w:tc>
        <w:tc>
          <w:tcPr>
            <w:tcW w:w="507" w:type="pct"/>
            <w:shd w:val="clear" w:color="auto" w:fill="auto"/>
            <w:noWrap/>
            <w:vAlign w:val="center"/>
          </w:tcPr>
          <w:p w14:paraId="05003D0A">
            <w:pPr>
              <w:spacing w:before="163"/>
              <w:jc w:val="center"/>
              <w:rPr>
                <w:rFonts w:hint="eastAsia" w:ascii="宋体" w:hAnsi="宋体" w:eastAsia="宋体"/>
                <w:color w:val="auto"/>
              </w:rPr>
            </w:pPr>
            <w:r>
              <w:rPr>
                <w:rFonts w:hint="eastAsia" w:ascii="宋体" w:hAnsi="宋体" w:eastAsia="宋体"/>
                <w:color w:val="auto"/>
              </w:rPr>
              <w:t>0.2</w:t>
            </w:r>
          </w:p>
        </w:tc>
        <w:tc>
          <w:tcPr>
            <w:tcW w:w="573" w:type="pct"/>
            <w:shd w:val="clear" w:color="auto" w:fill="auto"/>
            <w:noWrap/>
            <w:vAlign w:val="center"/>
          </w:tcPr>
          <w:p w14:paraId="75324FAB">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26274550">
            <w:pPr>
              <w:spacing w:before="163"/>
              <w:jc w:val="center"/>
              <w:rPr>
                <w:rFonts w:hint="eastAsia" w:ascii="宋体" w:hAnsi="宋体" w:eastAsia="宋体"/>
                <w:color w:val="auto"/>
              </w:rPr>
            </w:pPr>
            <w:r>
              <w:rPr>
                <w:rFonts w:hint="eastAsia" w:ascii="宋体" w:hAnsi="宋体" w:eastAsia="宋体"/>
                <w:color w:val="auto"/>
              </w:rPr>
              <w:t>0</w:t>
            </w:r>
          </w:p>
        </w:tc>
      </w:tr>
      <w:tr w14:paraId="2500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0FB6E67E">
            <w:pPr>
              <w:spacing w:before="163"/>
              <w:jc w:val="center"/>
              <w:rPr>
                <w:rFonts w:hint="eastAsia" w:ascii="宋体" w:hAnsi="宋体" w:eastAsia="宋体"/>
                <w:color w:val="auto"/>
              </w:rPr>
            </w:pPr>
            <w:r>
              <w:rPr>
                <w:rFonts w:hint="eastAsia" w:ascii="宋体" w:hAnsi="宋体" w:eastAsia="宋体"/>
                <w:color w:val="auto"/>
              </w:rPr>
              <w:t>5</w:t>
            </w:r>
          </w:p>
        </w:tc>
        <w:tc>
          <w:tcPr>
            <w:tcW w:w="566" w:type="pct"/>
            <w:shd w:val="clear" w:color="auto" w:fill="auto"/>
            <w:noWrap/>
            <w:vAlign w:val="center"/>
          </w:tcPr>
          <w:p w14:paraId="76B51E4D">
            <w:pPr>
              <w:spacing w:before="163"/>
              <w:jc w:val="center"/>
              <w:rPr>
                <w:rFonts w:hint="eastAsia" w:ascii="宋体" w:hAnsi="宋体" w:eastAsia="宋体"/>
                <w:color w:val="auto"/>
              </w:rPr>
            </w:pPr>
            <w:r>
              <w:rPr>
                <w:rFonts w:hint="eastAsia" w:ascii="宋体" w:hAnsi="宋体" w:eastAsia="宋体"/>
                <w:color w:val="auto"/>
              </w:rPr>
              <w:t>草地</w:t>
            </w:r>
          </w:p>
        </w:tc>
        <w:tc>
          <w:tcPr>
            <w:tcW w:w="1074" w:type="pct"/>
            <w:shd w:val="clear" w:color="auto" w:fill="auto"/>
            <w:noWrap/>
            <w:vAlign w:val="center"/>
          </w:tcPr>
          <w:p w14:paraId="1D586876">
            <w:pPr>
              <w:spacing w:before="163"/>
              <w:jc w:val="center"/>
              <w:rPr>
                <w:rFonts w:hint="eastAsia" w:ascii="宋体" w:hAnsi="宋体" w:eastAsia="宋体"/>
                <w:color w:val="auto"/>
              </w:rPr>
            </w:pPr>
            <w:r>
              <w:rPr>
                <w:rFonts w:hint="eastAsia" w:ascii="宋体" w:hAnsi="宋体" w:eastAsia="宋体"/>
                <w:color w:val="auto"/>
              </w:rPr>
              <w:t>0404其他草地</w:t>
            </w:r>
          </w:p>
        </w:tc>
        <w:tc>
          <w:tcPr>
            <w:tcW w:w="573" w:type="pct"/>
            <w:shd w:val="clear" w:color="auto" w:fill="auto"/>
            <w:noWrap/>
            <w:vAlign w:val="center"/>
          </w:tcPr>
          <w:p w14:paraId="63AC2D57">
            <w:pPr>
              <w:spacing w:before="163"/>
              <w:jc w:val="center"/>
              <w:rPr>
                <w:rFonts w:hint="eastAsia" w:ascii="宋体" w:hAnsi="宋体" w:eastAsia="宋体"/>
                <w:color w:val="auto"/>
              </w:rPr>
            </w:pPr>
            <w:r>
              <w:rPr>
                <w:rFonts w:hint="eastAsia" w:ascii="宋体" w:hAnsi="宋体" w:eastAsia="宋体"/>
                <w:color w:val="auto"/>
              </w:rPr>
              <w:t>12.28</w:t>
            </w:r>
          </w:p>
        </w:tc>
        <w:tc>
          <w:tcPr>
            <w:tcW w:w="335" w:type="pct"/>
            <w:shd w:val="clear" w:color="auto" w:fill="auto"/>
            <w:noWrap/>
            <w:vAlign w:val="center"/>
          </w:tcPr>
          <w:p w14:paraId="5F543E77">
            <w:pPr>
              <w:spacing w:before="163"/>
              <w:jc w:val="center"/>
              <w:rPr>
                <w:rFonts w:hint="eastAsia" w:ascii="宋体" w:hAnsi="宋体" w:eastAsia="宋体"/>
                <w:color w:val="auto"/>
              </w:rPr>
            </w:pPr>
            <w:r>
              <w:rPr>
                <w:rFonts w:hint="eastAsia" w:ascii="宋体" w:hAnsi="宋体" w:eastAsia="宋体"/>
                <w:color w:val="auto"/>
              </w:rPr>
              <w:t>8.12</w:t>
            </w:r>
          </w:p>
        </w:tc>
        <w:tc>
          <w:tcPr>
            <w:tcW w:w="573" w:type="pct"/>
            <w:shd w:val="clear" w:color="auto" w:fill="auto"/>
            <w:noWrap/>
            <w:vAlign w:val="center"/>
          </w:tcPr>
          <w:p w14:paraId="3DED4F98">
            <w:pPr>
              <w:spacing w:before="163"/>
              <w:jc w:val="center"/>
              <w:rPr>
                <w:rFonts w:hint="eastAsia" w:ascii="宋体" w:hAnsi="宋体" w:eastAsia="宋体"/>
                <w:color w:val="auto"/>
              </w:rPr>
            </w:pPr>
            <w:r>
              <w:rPr>
                <w:rFonts w:hint="eastAsia" w:ascii="宋体" w:hAnsi="宋体" w:eastAsia="宋体"/>
                <w:color w:val="auto"/>
              </w:rPr>
              <w:t>8.729</w:t>
            </w:r>
          </w:p>
        </w:tc>
        <w:tc>
          <w:tcPr>
            <w:tcW w:w="507" w:type="pct"/>
            <w:shd w:val="clear" w:color="auto" w:fill="auto"/>
            <w:noWrap/>
            <w:vAlign w:val="center"/>
          </w:tcPr>
          <w:p w14:paraId="5413576E">
            <w:pPr>
              <w:spacing w:before="163"/>
              <w:jc w:val="center"/>
              <w:rPr>
                <w:rFonts w:hint="eastAsia" w:ascii="宋体" w:hAnsi="宋体" w:eastAsia="宋体"/>
                <w:color w:val="auto"/>
              </w:rPr>
            </w:pPr>
            <w:r>
              <w:rPr>
                <w:rFonts w:hint="eastAsia" w:ascii="宋体" w:hAnsi="宋体" w:eastAsia="宋体"/>
                <w:color w:val="auto"/>
              </w:rPr>
              <w:t>5.77</w:t>
            </w:r>
          </w:p>
        </w:tc>
        <w:tc>
          <w:tcPr>
            <w:tcW w:w="573" w:type="pct"/>
            <w:shd w:val="clear" w:color="auto" w:fill="auto"/>
            <w:noWrap/>
            <w:vAlign w:val="center"/>
          </w:tcPr>
          <w:p w14:paraId="050DEF4E">
            <w:pPr>
              <w:spacing w:before="163"/>
              <w:jc w:val="center"/>
              <w:rPr>
                <w:rFonts w:hint="eastAsia" w:ascii="宋体" w:hAnsi="宋体" w:eastAsia="宋体"/>
                <w:color w:val="auto"/>
              </w:rPr>
            </w:pPr>
            <w:r>
              <w:rPr>
                <w:rFonts w:hint="eastAsia" w:ascii="宋体" w:hAnsi="宋体" w:eastAsia="宋体"/>
                <w:color w:val="auto"/>
              </w:rPr>
              <w:t>-3.551</w:t>
            </w:r>
          </w:p>
        </w:tc>
        <w:tc>
          <w:tcPr>
            <w:tcW w:w="507" w:type="pct"/>
            <w:shd w:val="clear" w:color="auto" w:fill="auto"/>
            <w:noWrap/>
            <w:vAlign w:val="center"/>
          </w:tcPr>
          <w:p w14:paraId="02A23CBC">
            <w:pPr>
              <w:spacing w:before="163"/>
              <w:jc w:val="center"/>
              <w:rPr>
                <w:rFonts w:hint="eastAsia" w:ascii="宋体" w:hAnsi="宋体" w:eastAsia="宋体"/>
                <w:color w:val="auto"/>
              </w:rPr>
            </w:pPr>
            <w:r>
              <w:rPr>
                <w:rFonts w:hint="eastAsia" w:ascii="宋体" w:hAnsi="宋体" w:eastAsia="宋体"/>
                <w:color w:val="auto"/>
              </w:rPr>
              <w:t>-2.35</w:t>
            </w:r>
          </w:p>
        </w:tc>
      </w:tr>
      <w:tr w14:paraId="123F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2693D38E">
            <w:pPr>
              <w:spacing w:before="163"/>
              <w:jc w:val="center"/>
              <w:rPr>
                <w:rFonts w:hint="eastAsia" w:ascii="宋体" w:hAnsi="宋体" w:eastAsia="宋体"/>
                <w:color w:val="auto"/>
              </w:rPr>
            </w:pPr>
            <w:r>
              <w:rPr>
                <w:rFonts w:hint="eastAsia" w:ascii="宋体" w:hAnsi="宋体" w:eastAsia="宋体"/>
                <w:color w:val="auto"/>
              </w:rPr>
              <w:t>6</w:t>
            </w:r>
          </w:p>
        </w:tc>
        <w:tc>
          <w:tcPr>
            <w:tcW w:w="566" w:type="pct"/>
            <w:vMerge w:val="restart"/>
            <w:shd w:val="clear" w:color="auto" w:fill="auto"/>
            <w:noWrap/>
            <w:vAlign w:val="center"/>
          </w:tcPr>
          <w:p w14:paraId="1027A4B0">
            <w:pPr>
              <w:spacing w:before="163"/>
              <w:jc w:val="center"/>
              <w:rPr>
                <w:rFonts w:hint="eastAsia" w:ascii="宋体" w:hAnsi="宋体" w:eastAsia="宋体"/>
                <w:color w:val="auto"/>
              </w:rPr>
            </w:pPr>
            <w:r>
              <w:rPr>
                <w:rFonts w:hint="eastAsia" w:ascii="宋体" w:hAnsi="宋体" w:eastAsia="宋体"/>
                <w:color w:val="auto"/>
              </w:rPr>
              <w:t>工矿仓储用地</w:t>
            </w:r>
          </w:p>
        </w:tc>
        <w:tc>
          <w:tcPr>
            <w:tcW w:w="1074" w:type="pct"/>
            <w:shd w:val="clear" w:color="auto" w:fill="auto"/>
            <w:noWrap/>
            <w:vAlign w:val="center"/>
          </w:tcPr>
          <w:p w14:paraId="5BE5ACF5">
            <w:pPr>
              <w:spacing w:before="163"/>
              <w:jc w:val="center"/>
              <w:rPr>
                <w:rFonts w:hint="eastAsia" w:ascii="宋体" w:hAnsi="宋体" w:eastAsia="宋体"/>
                <w:color w:val="auto"/>
              </w:rPr>
            </w:pPr>
            <w:r>
              <w:rPr>
                <w:rFonts w:hint="eastAsia" w:ascii="宋体" w:hAnsi="宋体" w:eastAsia="宋体"/>
                <w:color w:val="auto"/>
              </w:rPr>
              <w:t>0601工业用地</w:t>
            </w:r>
          </w:p>
        </w:tc>
        <w:tc>
          <w:tcPr>
            <w:tcW w:w="573" w:type="pct"/>
            <w:shd w:val="clear" w:color="auto" w:fill="auto"/>
            <w:noWrap/>
            <w:vAlign w:val="center"/>
          </w:tcPr>
          <w:p w14:paraId="1529159D">
            <w:pPr>
              <w:spacing w:before="163"/>
              <w:jc w:val="center"/>
              <w:rPr>
                <w:rFonts w:hint="eastAsia" w:ascii="宋体" w:hAnsi="宋体" w:eastAsia="宋体"/>
                <w:color w:val="auto"/>
              </w:rPr>
            </w:pPr>
            <w:r>
              <w:rPr>
                <w:rFonts w:hint="eastAsia" w:ascii="宋体" w:hAnsi="宋体" w:eastAsia="宋体"/>
                <w:color w:val="auto"/>
              </w:rPr>
              <w:t>0.12</w:t>
            </w:r>
          </w:p>
        </w:tc>
        <w:tc>
          <w:tcPr>
            <w:tcW w:w="335" w:type="pct"/>
            <w:shd w:val="clear" w:color="auto" w:fill="auto"/>
            <w:noWrap/>
            <w:vAlign w:val="center"/>
          </w:tcPr>
          <w:p w14:paraId="642EDD02">
            <w:pPr>
              <w:spacing w:before="163"/>
              <w:jc w:val="center"/>
              <w:rPr>
                <w:rFonts w:hint="eastAsia" w:ascii="宋体" w:hAnsi="宋体" w:eastAsia="宋体"/>
                <w:color w:val="auto"/>
              </w:rPr>
            </w:pPr>
            <w:r>
              <w:rPr>
                <w:rFonts w:hint="eastAsia" w:ascii="宋体" w:hAnsi="宋体" w:eastAsia="宋体"/>
                <w:color w:val="auto"/>
              </w:rPr>
              <w:t>0.08</w:t>
            </w:r>
          </w:p>
        </w:tc>
        <w:tc>
          <w:tcPr>
            <w:tcW w:w="573" w:type="pct"/>
            <w:shd w:val="clear" w:color="auto" w:fill="auto"/>
            <w:noWrap/>
            <w:vAlign w:val="center"/>
          </w:tcPr>
          <w:p w14:paraId="74E17FAC">
            <w:pPr>
              <w:spacing w:before="163"/>
              <w:jc w:val="center"/>
              <w:rPr>
                <w:rFonts w:hint="eastAsia" w:ascii="宋体" w:hAnsi="宋体" w:eastAsia="宋体"/>
                <w:color w:val="auto"/>
              </w:rPr>
            </w:pPr>
            <w:r>
              <w:rPr>
                <w:rFonts w:hint="eastAsia" w:ascii="宋体" w:hAnsi="宋体" w:eastAsia="宋体"/>
                <w:color w:val="auto"/>
              </w:rPr>
              <w:t>0.12</w:t>
            </w:r>
          </w:p>
        </w:tc>
        <w:tc>
          <w:tcPr>
            <w:tcW w:w="507" w:type="pct"/>
            <w:shd w:val="clear" w:color="auto" w:fill="auto"/>
            <w:noWrap/>
            <w:vAlign w:val="center"/>
          </w:tcPr>
          <w:p w14:paraId="09EBE38C">
            <w:pPr>
              <w:spacing w:before="163"/>
              <w:jc w:val="center"/>
              <w:rPr>
                <w:rFonts w:hint="eastAsia" w:ascii="宋体" w:hAnsi="宋体" w:eastAsia="宋体"/>
                <w:color w:val="auto"/>
              </w:rPr>
            </w:pPr>
            <w:r>
              <w:rPr>
                <w:rFonts w:hint="eastAsia" w:ascii="宋体" w:hAnsi="宋体" w:eastAsia="宋体"/>
                <w:color w:val="auto"/>
              </w:rPr>
              <w:t>0.08</w:t>
            </w:r>
          </w:p>
        </w:tc>
        <w:tc>
          <w:tcPr>
            <w:tcW w:w="573" w:type="pct"/>
            <w:shd w:val="clear" w:color="auto" w:fill="auto"/>
            <w:noWrap/>
            <w:vAlign w:val="center"/>
          </w:tcPr>
          <w:p w14:paraId="3985214A">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435AECE6">
            <w:pPr>
              <w:spacing w:before="163"/>
              <w:jc w:val="center"/>
              <w:rPr>
                <w:rFonts w:hint="eastAsia" w:ascii="宋体" w:hAnsi="宋体" w:eastAsia="宋体"/>
                <w:color w:val="auto"/>
              </w:rPr>
            </w:pPr>
            <w:r>
              <w:rPr>
                <w:rFonts w:hint="eastAsia" w:ascii="宋体" w:hAnsi="宋体" w:eastAsia="宋体"/>
                <w:color w:val="auto"/>
              </w:rPr>
              <w:t>0</w:t>
            </w:r>
          </w:p>
        </w:tc>
      </w:tr>
      <w:tr w14:paraId="5CC6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16BB3B55">
            <w:pPr>
              <w:spacing w:before="163"/>
              <w:jc w:val="center"/>
              <w:rPr>
                <w:rFonts w:hint="eastAsia" w:ascii="宋体" w:hAnsi="宋体" w:eastAsia="宋体"/>
                <w:color w:val="auto"/>
              </w:rPr>
            </w:pPr>
            <w:r>
              <w:rPr>
                <w:rFonts w:hint="eastAsia" w:ascii="宋体" w:hAnsi="宋体" w:eastAsia="宋体"/>
                <w:color w:val="auto"/>
              </w:rPr>
              <w:t>7</w:t>
            </w:r>
          </w:p>
        </w:tc>
        <w:tc>
          <w:tcPr>
            <w:tcW w:w="566" w:type="pct"/>
            <w:vMerge w:val="continue"/>
            <w:shd w:val="clear" w:color="auto" w:fill="auto"/>
            <w:noWrap/>
            <w:vAlign w:val="center"/>
          </w:tcPr>
          <w:p w14:paraId="27DFF5FC">
            <w:pPr>
              <w:spacing w:before="163"/>
              <w:jc w:val="center"/>
              <w:rPr>
                <w:rFonts w:hint="eastAsia" w:ascii="宋体" w:hAnsi="宋体" w:eastAsia="宋体"/>
                <w:color w:val="auto"/>
              </w:rPr>
            </w:pPr>
          </w:p>
        </w:tc>
        <w:tc>
          <w:tcPr>
            <w:tcW w:w="1074" w:type="pct"/>
            <w:shd w:val="clear" w:color="auto" w:fill="auto"/>
            <w:noWrap/>
            <w:vAlign w:val="center"/>
          </w:tcPr>
          <w:p w14:paraId="55EC90AC">
            <w:pPr>
              <w:spacing w:before="163"/>
              <w:jc w:val="center"/>
              <w:rPr>
                <w:rFonts w:hint="eastAsia" w:ascii="宋体" w:hAnsi="宋体" w:eastAsia="宋体"/>
                <w:color w:val="auto"/>
              </w:rPr>
            </w:pPr>
            <w:r>
              <w:rPr>
                <w:rFonts w:hint="eastAsia" w:ascii="宋体" w:hAnsi="宋体" w:eastAsia="宋体"/>
                <w:color w:val="auto"/>
              </w:rPr>
              <w:t>0602采矿用地</w:t>
            </w:r>
          </w:p>
        </w:tc>
        <w:tc>
          <w:tcPr>
            <w:tcW w:w="573" w:type="pct"/>
            <w:shd w:val="clear" w:color="auto" w:fill="auto"/>
            <w:noWrap/>
            <w:vAlign w:val="center"/>
          </w:tcPr>
          <w:p w14:paraId="6F77054D">
            <w:pPr>
              <w:spacing w:before="163"/>
              <w:jc w:val="center"/>
              <w:rPr>
                <w:rFonts w:hint="eastAsia" w:ascii="宋体" w:hAnsi="宋体" w:eastAsia="宋体"/>
                <w:color w:val="auto"/>
              </w:rPr>
            </w:pPr>
            <w:r>
              <w:rPr>
                <w:rFonts w:hint="eastAsia" w:ascii="宋体" w:hAnsi="宋体" w:eastAsia="宋体"/>
                <w:color w:val="auto"/>
              </w:rPr>
              <w:t>0.18</w:t>
            </w:r>
          </w:p>
        </w:tc>
        <w:tc>
          <w:tcPr>
            <w:tcW w:w="335" w:type="pct"/>
            <w:shd w:val="clear" w:color="auto" w:fill="auto"/>
            <w:noWrap/>
            <w:vAlign w:val="center"/>
          </w:tcPr>
          <w:p w14:paraId="44134D9D">
            <w:pPr>
              <w:spacing w:before="163"/>
              <w:jc w:val="center"/>
              <w:rPr>
                <w:rFonts w:hint="eastAsia" w:ascii="宋体" w:hAnsi="宋体" w:eastAsia="宋体"/>
                <w:color w:val="auto"/>
              </w:rPr>
            </w:pPr>
            <w:r>
              <w:rPr>
                <w:rFonts w:hint="eastAsia" w:ascii="宋体" w:hAnsi="宋体" w:eastAsia="宋体"/>
                <w:color w:val="auto"/>
              </w:rPr>
              <w:t>0.12</w:t>
            </w:r>
          </w:p>
        </w:tc>
        <w:tc>
          <w:tcPr>
            <w:tcW w:w="573" w:type="pct"/>
            <w:shd w:val="clear" w:color="auto" w:fill="auto"/>
            <w:noWrap/>
            <w:vAlign w:val="center"/>
          </w:tcPr>
          <w:p w14:paraId="33955694">
            <w:pPr>
              <w:spacing w:before="163"/>
              <w:jc w:val="center"/>
              <w:rPr>
                <w:rFonts w:hint="eastAsia" w:ascii="宋体" w:hAnsi="宋体" w:eastAsia="宋体"/>
                <w:color w:val="auto"/>
              </w:rPr>
            </w:pPr>
            <w:r>
              <w:rPr>
                <w:rFonts w:hint="eastAsia" w:ascii="宋体" w:hAnsi="宋体" w:eastAsia="宋体"/>
                <w:color w:val="auto"/>
              </w:rPr>
              <w:t>7.894</w:t>
            </w:r>
          </w:p>
        </w:tc>
        <w:tc>
          <w:tcPr>
            <w:tcW w:w="507" w:type="pct"/>
            <w:shd w:val="clear" w:color="auto" w:fill="auto"/>
            <w:noWrap/>
            <w:vAlign w:val="center"/>
          </w:tcPr>
          <w:p w14:paraId="03273DBE">
            <w:pPr>
              <w:spacing w:before="163"/>
              <w:jc w:val="center"/>
              <w:rPr>
                <w:rFonts w:hint="eastAsia" w:ascii="宋体" w:hAnsi="宋体" w:eastAsia="宋体"/>
                <w:color w:val="auto"/>
              </w:rPr>
            </w:pPr>
            <w:r>
              <w:rPr>
                <w:rFonts w:hint="eastAsia" w:ascii="宋体" w:hAnsi="宋体" w:eastAsia="宋体"/>
                <w:color w:val="auto"/>
              </w:rPr>
              <w:t>5.22</w:t>
            </w:r>
          </w:p>
        </w:tc>
        <w:tc>
          <w:tcPr>
            <w:tcW w:w="573" w:type="pct"/>
            <w:shd w:val="clear" w:color="auto" w:fill="auto"/>
            <w:noWrap/>
            <w:vAlign w:val="center"/>
          </w:tcPr>
          <w:p w14:paraId="13784A90">
            <w:pPr>
              <w:spacing w:before="163"/>
              <w:jc w:val="center"/>
              <w:rPr>
                <w:rFonts w:hint="eastAsia" w:ascii="宋体" w:hAnsi="宋体" w:eastAsia="宋体"/>
                <w:color w:val="auto"/>
              </w:rPr>
            </w:pPr>
            <w:r>
              <w:rPr>
                <w:rFonts w:hint="eastAsia" w:ascii="宋体" w:hAnsi="宋体" w:eastAsia="宋体"/>
                <w:color w:val="auto"/>
              </w:rPr>
              <w:t>7.714</w:t>
            </w:r>
          </w:p>
        </w:tc>
        <w:tc>
          <w:tcPr>
            <w:tcW w:w="507" w:type="pct"/>
            <w:shd w:val="clear" w:color="auto" w:fill="auto"/>
            <w:noWrap/>
            <w:vAlign w:val="center"/>
          </w:tcPr>
          <w:p w14:paraId="08D1340F">
            <w:pPr>
              <w:spacing w:before="163"/>
              <w:jc w:val="center"/>
              <w:rPr>
                <w:rFonts w:hint="eastAsia" w:ascii="宋体" w:hAnsi="宋体" w:eastAsia="宋体"/>
                <w:color w:val="auto"/>
              </w:rPr>
            </w:pPr>
            <w:r>
              <w:rPr>
                <w:rFonts w:hint="eastAsia" w:ascii="宋体" w:hAnsi="宋体" w:eastAsia="宋体"/>
                <w:color w:val="auto"/>
              </w:rPr>
              <w:t>5.1</w:t>
            </w:r>
          </w:p>
        </w:tc>
      </w:tr>
      <w:tr w14:paraId="78D3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54BFA1CB">
            <w:pPr>
              <w:spacing w:before="163"/>
              <w:jc w:val="center"/>
              <w:rPr>
                <w:rFonts w:hint="eastAsia" w:ascii="宋体" w:hAnsi="宋体" w:eastAsia="宋体"/>
                <w:color w:val="auto"/>
              </w:rPr>
            </w:pPr>
            <w:r>
              <w:rPr>
                <w:rFonts w:hint="eastAsia" w:ascii="宋体" w:hAnsi="宋体" w:eastAsia="宋体"/>
                <w:color w:val="auto"/>
              </w:rPr>
              <w:t>8</w:t>
            </w:r>
          </w:p>
        </w:tc>
        <w:tc>
          <w:tcPr>
            <w:tcW w:w="566" w:type="pct"/>
            <w:shd w:val="clear" w:color="auto" w:fill="auto"/>
            <w:noWrap/>
            <w:vAlign w:val="center"/>
          </w:tcPr>
          <w:p w14:paraId="56AEC4C2">
            <w:pPr>
              <w:spacing w:before="163"/>
              <w:jc w:val="center"/>
              <w:rPr>
                <w:rFonts w:hint="eastAsia" w:ascii="宋体" w:hAnsi="宋体" w:eastAsia="宋体"/>
                <w:color w:val="auto"/>
              </w:rPr>
            </w:pPr>
            <w:r>
              <w:rPr>
                <w:rFonts w:hint="eastAsia" w:ascii="宋体" w:hAnsi="宋体" w:eastAsia="宋体"/>
                <w:color w:val="auto"/>
              </w:rPr>
              <w:t>住宅用地</w:t>
            </w:r>
          </w:p>
        </w:tc>
        <w:tc>
          <w:tcPr>
            <w:tcW w:w="1074" w:type="pct"/>
            <w:shd w:val="clear" w:color="auto" w:fill="auto"/>
            <w:noWrap/>
            <w:vAlign w:val="center"/>
          </w:tcPr>
          <w:p w14:paraId="09BF226B">
            <w:pPr>
              <w:spacing w:before="163"/>
              <w:jc w:val="center"/>
              <w:rPr>
                <w:rFonts w:hint="eastAsia" w:ascii="宋体" w:hAnsi="宋体" w:eastAsia="宋体"/>
                <w:color w:val="auto"/>
              </w:rPr>
            </w:pPr>
            <w:r>
              <w:rPr>
                <w:rFonts w:hint="eastAsia" w:ascii="宋体" w:hAnsi="宋体" w:eastAsia="宋体"/>
                <w:color w:val="auto"/>
              </w:rPr>
              <w:t>0702农村宅基地</w:t>
            </w:r>
          </w:p>
        </w:tc>
        <w:tc>
          <w:tcPr>
            <w:tcW w:w="573" w:type="pct"/>
            <w:shd w:val="clear" w:color="auto" w:fill="auto"/>
            <w:noWrap/>
            <w:vAlign w:val="center"/>
          </w:tcPr>
          <w:p w14:paraId="0498117B">
            <w:pPr>
              <w:spacing w:before="163"/>
              <w:jc w:val="center"/>
              <w:rPr>
                <w:rFonts w:hint="eastAsia" w:ascii="宋体" w:hAnsi="宋体" w:eastAsia="宋体"/>
                <w:color w:val="auto"/>
              </w:rPr>
            </w:pPr>
            <w:r>
              <w:rPr>
                <w:rFonts w:hint="eastAsia" w:ascii="宋体" w:hAnsi="宋体" w:eastAsia="宋体"/>
                <w:color w:val="auto"/>
              </w:rPr>
              <w:t>1.43</w:t>
            </w:r>
          </w:p>
        </w:tc>
        <w:tc>
          <w:tcPr>
            <w:tcW w:w="335" w:type="pct"/>
            <w:shd w:val="clear" w:color="auto" w:fill="auto"/>
            <w:noWrap/>
            <w:vAlign w:val="center"/>
          </w:tcPr>
          <w:p w14:paraId="58E34E69">
            <w:pPr>
              <w:spacing w:before="163"/>
              <w:jc w:val="center"/>
              <w:rPr>
                <w:rFonts w:hint="eastAsia" w:ascii="宋体" w:hAnsi="宋体" w:eastAsia="宋体"/>
                <w:color w:val="auto"/>
              </w:rPr>
            </w:pPr>
            <w:r>
              <w:rPr>
                <w:rFonts w:hint="eastAsia" w:ascii="宋体" w:hAnsi="宋体" w:eastAsia="宋体"/>
                <w:color w:val="auto"/>
              </w:rPr>
              <w:t>0.95</w:t>
            </w:r>
          </w:p>
        </w:tc>
        <w:tc>
          <w:tcPr>
            <w:tcW w:w="573" w:type="pct"/>
            <w:shd w:val="clear" w:color="auto" w:fill="auto"/>
            <w:noWrap/>
            <w:vAlign w:val="center"/>
          </w:tcPr>
          <w:p w14:paraId="2343EADD">
            <w:pPr>
              <w:spacing w:before="163"/>
              <w:jc w:val="center"/>
              <w:rPr>
                <w:rFonts w:hint="eastAsia" w:ascii="宋体" w:hAnsi="宋体" w:eastAsia="宋体"/>
                <w:color w:val="auto"/>
              </w:rPr>
            </w:pPr>
            <w:r>
              <w:rPr>
                <w:rFonts w:hint="eastAsia" w:ascii="宋体" w:hAnsi="宋体" w:eastAsia="宋体"/>
                <w:color w:val="auto"/>
              </w:rPr>
              <w:t>1.43</w:t>
            </w:r>
          </w:p>
        </w:tc>
        <w:tc>
          <w:tcPr>
            <w:tcW w:w="507" w:type="pct"/>
            <w:shd w:val="clear" w:color="auto" w:fill="auto"/>
            <w:noWrap/>
            <w:vAlign w:val="center"/>
          </w:tcPr>
          <w:p w14:paraId="7F95D628">
            <w:pPr>
              <w:spacing w:before="163"/>
              <w:jc w:val="center"/>
              <w:rPr>
                <w:rFonts w:hint="eastAsia" w:ascii="宋体" w:hAnsi="宋体" w:eastAsia="宋体"/>
                <w:color w:val="auto"/>
              </w:rPr>
            </w:pPr>
            <w:r>
              <w:rPr>
                <w:rFonts w:hint="eastAsia" w:ascii="宋体" w:hAnsi="宋体" w:eastAsia="宋体"/>
                <w:color w:val="auto"/>
              </w:rPr>
              <w:t>0.95</w:t>
            </w:r>
          </w:p>
        </w:tc>
        <w:tc>
          <w:tcPr>
            <w:tcW w:w="573" w:type="pct"/>
            <w:shd w:val="clear" w:color="auto" w:fill="auto"/>
            <w:noWrap/>
            <w:vAlign w:val="center"/>
          </w:tcPr>
          <w:p w14:paraId="3245AD60">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361904A2">
            <w:pPr>
              <w:spacing w:before="163"/>
              <w:jc w:val="center"/>
              <w:rPr>
                <w:rFonts w:hint="eastAsia" w:ascii="宋体" w:hAnsi="宋体" w:eastAsia="宋体"/>
                <w:color w:val="auto"/>
              </w:rPr>
            </w:pPr>
            <w:r>
              <w:rPr>
                <w:rFonts w:hint="eastAsia" w:ascii="宋体" w:hAnsi="宋体" w:eastAsia="宋体"/>
                <w:color w:val="auto"/>
              </w:rPr>
              <w:t>0</w:t>
            </w:r>
          </w:p>
        </w:tc>
      </w:tr>
      <w:tr w14:paraId="02A1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6461657C">
            <w:pPr>
              <w:spacing w:before="163"/>
              <w:jc w:val="center"/>
              <w:rPr>
                <w:rFonts w:hint="eastAsia" w:ascii="宋体" w:hAnsi="宋体" w:eastAsia="宋体"/>
                <w:color w:val="auto"/>
              </w:rPr>
            </w:pPr>
            <w:r>
              <w:rPr>
                <w:rFonts w:hint="eastAsia" w:ascii="宋体" w:hAnsi="宋体" w:eastAsia="宋体"/>
                <w:color w:val="auto"/>
              </w:rPr>
              <w:t>9</w:t>
            </w:r>
          </w:p>
        </w:tc>
        <w:tc>
          <w:tcPr>
            <w:tcW w:w="566" w:type="pct"/>
            <w:vMerge w:val="restart"/>
            <w:shd w:val="clear" w:color="auto" w:fill="auto"/>
            <w:noWrap/>
            <w:vAlign w:val="center"/>
          </w:tcPr>
          <w:p w14:paraId="077F3206">
            <w:pPr>
              <w:spacing w:before="163"/>
              <w:jc w:val="center"/>
              <w:rPr>
                <w:rFonts w:hint="eastAsia" w:ascii="宋体" w:hAnsi="宋体" w:eastAsia="宋体"/>
                <w:color w:val="auto"/>
              </w:rPr>
            </w:pPr>
            <w:r>
              <w:rPr>
                <w:rFonts w:hint="eastAsia" w:ascii="宋体" w:hAnsi="宋体" w:eastAsia="宋体"/>
                <w:color w:val="auto"/>
              </w:rPr>
              <w:t>交通运输用地</w:t>
            </w:r>
          </w:p>
        </w:tc>
        <w:tc>
          <w:tcPr>
            <w:tcW w:w="1074" w:type="pct"/>
            <w:shd w:val="clear" w:color="auto" w:fill="auto"/>
            <w:noWrap/>
            <w:vAlign w:val="center"/>
          </w:tcPr>
          <w:p w14:paraId="35AEB9D7">
            <w:pPr>
              <w:spacing w:before="163"/>
              <w:jc w:val="center"/>
              <w:rPr>
                <w:rFonts w:hint="eastAsia" w:ascii="宋体" w:hAnsi="宋体" w:eastAsia="宋体"/>
                <w:color w:val="auto"/>
              </w:rPr>
            </w:pPr>
            <w:r>
              <w:rPr>
                <w:rFonts w:hint="eastAsia" w:ascii="宋体" w:hAnsi="宋体" w:eastAsia="宋体"/>
                <w:color w:val="auto"/>
              </w:rPr>
              <w:t>1006农村道路</w:t>
            </w:r>
          </w:p>
        </w:tc>
        <w:tc>
          <w:tcPr>
            <w:tcW w:w="573" w:type="pct"/>
            <w:shd w:val="clear" w:color="auto" w:fill="auto"/>
            <w:noWrap/>
            <w:vAlign w:val="center"/>
          </w:tcPr>
          <w:p w14:paraId="0B1C46A6">
            <w:pPr>
              <w:spacing w:before="163"/>
              <w:jc w:val="center"/>
              <w:rPr>
                <w:rFonts w:hint="eastAsia" w:ascii="宋体" w:hAnsi="宋体" w:eastAsia="宋体"/>
                <w:color w:val="auto"/>
              </w:rPr>
            </w:pPr>
            <w:r>
              <w:rPr>
                <w:rFonts w:hint="eastAsia" w:ascii="宋体" w:hAnsi="宋体" w:eastAsia="宋体"/>
                <w:color w:val="auto"/>
              </w:rPr>
              <w:t>0.42</w:t>
            </w:r>
          </w:p>
        </w:tc>
        <w:tc>
          <w:tcPr>
            <w:tcW w:w="335" w:type="pct"/>
            <w:shd w:val="clear" w:color="auto" w:fill="auto"/>
            <w:noWrap/>
            <w:vAlign w:val="center"/>
          </w:tcPr>
          <w:p w14:paraId="56CF041A">
            <w:pPr>
              <w:spacing w:before="163"/>
              <w:jc w:val="center"/>
              <w:rPr>
                <w:rFonts w:hint="eastAsia" w:ascii="宋体" w:hAnsi="宋体" w:eastAsia="宋体"/>
                <w:color w:val="auto"/>
              </w:rPr>
            </w:pPr>
            <w:r>
              <w:rPr>
                <w:rFonts w:hint="eastAsia" w:ascii="宋体" w:hAnsi="宋体" w:eastAsia="宋体"/>
                <w:color w:val="auto"/>
              </w:rPr>
              <w:t>0.28</w:t>
            </w:r>
          </w:p>
        </w:tc>
        <w:tc>
          <w:tcPr>
            <w:tcW w:w="573" w:type="pct"/>
            <w:shd w:val="clear" w:color="auto" w:fill="auto"/>
            <w:noWrap/>
            <w:vAlign w:val="center"/>
          </w:tcPr>
          <w:p w14:paraId="5EDD4351">
            <w:pPr>
              <w:spacing w:before="163"/>
              <w:jc w:val="center"/>
              <w:rPr>
                <w:rFonts w:hint="eastAsia" w:ascii="宋体" w:hAnsi="宋体" w:eastAsia="宋体"/>
                <w:color w:val="auto"/>
              </w:rPr>
            </w:pPr>
            <w:r>
              <w:rPr>
                <w:rFonts w:hint="eastAsia" w:ascii="宋体" w:hAnsi="宋体" w:eastAsia="宋体"/>
                <w:color w:val="auto"/>
              </w:rPr>
              <w:t>0.42</w:t>
            </w:r>
          </w:p>
        </w:tc>
        <w:tc>
          <w:tcPr>
            <w:tcW w:w="507" w:type="pct"/>
            <w:shd w:val="clear" w:color="auto" w:fill="auto"/>
            <w:noWrap/>
            <w:vAlign w:val="center"/>
          </w:tcPr>
          <w:p w14:paraId="696C6D83">
            <w:pPr>
              <w:spacing w:before="163"/>
              <w:jc w:val="center"/>
              <w:rPr>
                <w:rFonts w:hint="eastAsia" w:ascii="宋体" w:hAnsi="宋体" w:eastAsia="宋体"/>
                <w:color w:val="auto"/>
              </w:rPr>
            </w:pPr>
            <w:r>
              <w:rPr>
                <w:rFonts w:hint="eastAsia" w:ascii="宋体" w:hAnsi="宋体" w:eastAsia="宋体"/>
                <w:color w:val="auto"/>
              </w:rPr>
              <w:t>0.28</w:t>
            </w:r>
          </w:p>
        </w:tc>
        <w:tc>
          <w:tcPr>
            <w:tcW w:w="573" w:type="pct"/>
            <w:shd w:val="clear" w:color="auto" w:fill="auto"/>
            <w:noWrap/>
            <w:vAlign w:val="center"/>
          </w:tcPr>
          <w:p w14:paraId="7FB23ACA">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73864F6A">
            <w:pPr>
              <w:spacing w:before="163"/>
              <w:jc w:val="center"/>
              <w:rPr>
                <w:rFonts w:hint="eastAsia" w:ascii="宋体" w:hAnsi="宋体" w:eastAsia="宋体"/>
                <w:color w:val="auto"/>
              </w:rPr>
            </w:pPr>
            <w:r>
              <w:rPr>
                <w:rFonts w:hint="eastAsia" w:ascii="宋体" w:hAnsi="宋体" w:eastAsia="宋体"/>
                <w:color w:val="auto"/>
              </w:rPr>
              <w:t>0</w:t>
            </w:r>
          </w:p>
        </w:tc>
      </w:tr>
      <w:tr w14:paraId="3BCC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0BEDB962">
            <w:pPr>
              <w:spacing w:before="163"/>
              <w:jc w:val="center"/>
              <w:rPr>
                <w:rFonts w:hint="eastAsia" w:ascii="宋体" w:hAnsi="宋体" w:eastAsia="宋体"/>
                <w:color w:val="auto"/>
              </w:rPr>
            </w:pPr>
            <w:r>
              <w:rPr>
                <w:rFonts w:hint="eastAsia" w:ascii="宋体" w:hAnsi="宋体" w:eastAsia="宋体"/>
                <w:color w:val="auto"/>
              </w:rPr>
              <w:t>10</w:t>
            </w:r>
          </w:p>
        </w:tc>
        <w:tc>
          <w:tcPr>
            <w:tcW w:w="566" w:type="pct"/>
            <w:vMerge w:val="continue"/>
            <w:shd w:val="clear" w:color="auto" w:fill="auto"/>
            <w:noWrap/>
            <w:vAlign w:val="center"/>
          </w:tcPr>
          <w:p w14:paraId="39EDAF15">
            <w:pPr>
              <w:spacing w:before="163"/>
              <w:jc w:val="center"/>
              <w:rPr>
                <w:rFonts w:hint="eastAsia" w:ascii="宋体" w:hAnsi="宋体" w:eastAsia="宋体"/>
                <w:color w:val="auto"/>
              </w:rPr>
            </w:pPr>
          </w:p>
        </w:tc>
        <w:tc>
          <w:tcPr>
            <w:tcW w:w="1074" w:type="pct"/>
            <w:shd w:val="clear" w:color="auto" w:fill="auto"/>
            <w:noWrap/>
            <w:vAlign w:val="center"/>
          </w:tcPr>
          <w:p w14:paraId="6E62983A">
            <w:pPr>
              <w:spacing w:before="163"/>
              <w:jc w:val="center"/>
              <w:rPr>
                <w:rFonts w:hint="eastAsia" w:ascii="宋体" w:hAnsi="宋体" w:eastAsia="宋体"/>
                <w:color w:val="auto"/>
              </w:rPr>
            </w:pPr>
            <w:r>
              <w:rPr>
                <w:rFonts w:hint="eastAsia" w:ascii="宋体" w:hAnsi="宋体" w:eastAsia="宋体"/>
                <w:color w:val="auto"/>
              </w:rPr>
              <w:t>1003公路用地</w:t>
            </w:r>
          </w:p>
        </w:tc>
        <w:tc>
          <w:tcPr>
            <w:tcW w:w="573" w:type="pct"/>
            <w:shd w:val="clear" w:color="auto" w:fill="auto"/>
            <w:noWrap/>
            <w:vAlign w:val="center"/>
          </w:tcPr>
          <w:p w14:paraId="5776D14B">
            <w:pPr>
              <w:spacing w:before="163"/>
              <w:jc w:val="center"/>
              <w:rPr>
                <w:rFonts w:hint="eastAsia" w:ascii="宋体" w:hAnsi="宋体" w:eastAsia="宋体"/>
                <w:color w:val="auto"/>
              </w:rPr>
            </w:pPr>
            <w:r>
              <w:rPr>
                <w:rFonts w:hint="eastAsia" w:ascii="宋体" w:hAnsi="宋体" w:eastAsia="宋体"/>
                <w:color w:val="auto"/>
              </w:rPr>
              <w:t>0.28</w:t>
            </w:r>
          </w:p>
        </w:tc>
        <w:tc>
          <w:tcPr>
            <w:tcW w:w="335" w:type="pct"/>
            <w:shd w:val="clear" w:color="auto" w:fill="auto"/>
            <w:noWrap/>
            <w:vAlign w:val="center"/>
          </w:tcPr>
          <w:p w14:paraId="04481D91">
            <w:pPr>
              <w:spacing w:before="163"/>
              <w:jc w:val="center"/>
              <w:rPr>
                <w:rFonts w:hint="eastAsia" w:ascii="宋体" w:hAnsi="宋体" w:eastAsia="宋体"/>
                <w:color w:val="auto"/>
              </w:rPr>
            </w:pPr>
            <w:r>
              <w:rPr>
                <w:rFonts w:hint="eastAsia" w:ascii="宋体" w:hAnsi="宋体" w:eastAsia="宋体"/>
                <w:color w:val="auto"/>
              </w:rPr>
              <w:t>0.19</w:t>
            </w:r>
          </w:p>
        </w:tc>
        <w:tc>
          <w:tcPr>
            <w:tcW w:w="573" w:type="pct"/>
            <w:shd w:val="clear" w:color="auto" w:fill="auto"/>
            <w:noWrap/>
            <w:vAlign w:val="center"/>
          </w:tcPr>
          <w:p w14:paraId="5DA2E5B1">
            <w:pPr>
              <w:spacing w:before="163"/>
              <w:jc w:val="center"/>
              <w:rPr>
                <w:rFonts w:hint="eastAsia" w:ascii="宋体" w:hAnsi="宋体" w:eastAsia="宋体"/>
                <w:color w:val="auto"/>
              </w:rPr>
            </w:pPr>
            <w:r>
              <w:rPr>
                <w:rFonts w:hint="eastAsia" w:ascii="宋体" w:hAnsi="宋体" w:eastAsia="宋体"/>
                <w:color w:val="auto"/>
              </w:rPr>
              <w:t>0.28</w:t>
            </w:r>
          </w:p>
        </w:tc>
        <w:tc>
          <w:tcPr>
            <w:tcW w:w="507" w:type="pct"/>
            <w:shd w:val="clear" w:color="auto" w:fill="auto"/>
            <w:noWrap/>
            <w:vAlign w:val="center"/>
          </w:tcPr>
          <w:p w14:paraId="4D52A2F9">
            <w:pPr>
              <w:spacing w:before="163"/>
              <w:jc w:val="center"/>
              <w:rPr>
                <w:rFonts w:hint="eastAsia" w:ascii="宋体" w:hAnsi="宋体" w:eastAsia="宋体"/>
                <w:color w:val="auto"/>
              </w:rPr>
            </w:pPr>
            <w:r>
              <w:rPr>
                <w:rFonts w:hint="eastAsia" w:ascii="宋体" w:hAnsi="宋体" w:eastAsia="宋体"/>
                <w:color w:val="auto"/>
              </w:rPr>
              <w:t>0.19</w:t>
            </w:r>
          </w:p>
        </w:tc>
        <w:tc>
          <w:tcPr>
            <w:tcW w:w="573" w:type="pct"/>
            <w:shd w:val="clear" w:color="auto" w:fill="auto"/>
            <w:noWrap/>
            <w:vAlign w:val="center"/>
          </w:tcPr>
          <w:p w14:paraId="764304F8">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0422881F">
            <w:pPr>
              <w:spacing w:before="163"/>
              <w:jc w:val="center"/>
              <w:rPr>
                <w:rFonts w:hint="eastAsia" w:ascii="宋体" w:hAnsi="宋体" w:eastAsia="宋体"/>
                <w:color w:val="auto"/>
              </w:rPr>
            </w:pPr>
            <w:r>
              <w:rPr>
                <w:rFonts w:hint="eastAsia" w:ascii="宋体" w:hAnsi="宋体" w:eastAsia="宋体"/>
                <w:color w:val="auto"/>
              </w:rPr>
              <w:t>0</w:t>
            </w:r>
          </w:p>
        </w:tc>
      </w:tr>
      <w:tr w14:paraId="237E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392D62C8">
            <w:pPr>
              <w:spacing w:before="163"/>
              <w:jc w:val="center"/>
              <w:rPr>
                <w:rFonts w:hint="eastAsia" w:ascii="宋体" w:hAnsi="宋体" w:eastAsia="宋体"/>
                <w:color w:val="auto"/>
              </w:rPr>
            </w:pPr>
            <w:r>
              <w:rPr>
                <w:rFonts w:hint="eastAsia" w:ascii="宋体" w:hAnsi="宋体" w:eastAsia="宋体"/>
                <w:color w:val="auto"/>
              </w:rPr>
              <w:t>11</w:t>
            </w:r>
          </w:p>
        </w:tc>
        <w:tc>
          <w:tcPr>
            <w:tcW w:w="566" w:type="pct"/>
            <w:vMerge w:val="restart"/>
            <w:shd w:val="clear" w:color="auto" w:fill="auto"/>
            <w:noWrap/>
            <w:vAlign w:val="center"/>
          </w:tcPr>
          <w:p w14:paraId="1D3360F5">
            <w:pPr>
              <w:spacing w:before="163"/>
              <w:jc w:val="center"/>
              <w:rPr>
                <w:rFonts w:hint="eastAsia" w:ascii="宋体" w:hAnsi="宋体" w:eastAsia="宋体"/>
                <w:color w:val="auto"/>
              </w:rPr>
            </w:pPr>
            <w:r>
              <w:rPr>
                <w:rFonts w:hint="eastAsia" w:ascii="宋体" w:hAnsi="宋体" w:eastAsia="宋体"/>
                <w:color w:val="auto"/>
              </w:rPr>
              <w:t>水域及水利设施用地</w:t>
            </w:r>
          </w:p>
        </w:tc>
        <w:tc>
          <w:tcPr>
            <w:tcW w:w="1074" w:type="pct"/>
            <w:shd w:val="clear" w:color="auto" w:fill="auto"/>
            <w:noWrap/>
            <w:vAlign w:val="center"/>
          </w:tcPr>
          <w:p w14:paraId="571B69B9">
            <w:pPr>
              <w:spacing w:before="163"/>
              <w:jc w:val="center"/>
              <w:rPr>
                <w:rFonts w:hint="eastAsia" w:ascii="宋体" w:hAnsi="宋体" w:eastAsia="宋体"/>
                <w:color w:val="auto"/>
              </w:rPr>
            </w:pPr>
            <w:r>
              <w:rPr>
                <w:rFonts w:hint="eastAsia" w:ascii="宋体" w:hAnsi="宋体" w:eastAsia="宋体"/>
                <w:color w:val="auto"/>
              </w:rPr>
              <w:t>1104坑塘水面</w:t>
            </w:r>
          </w:p>
        </w:tc>
        <w:tc>
          <w:tcPr>
            <w:tcW w:w="573" w:type="pct"/>
            <w:shd w:val="clear" w:color="auto" w:fill="auto"/>
            <w:noWrap/>
            <w:vAlign w:val="center"/>
          </w:tcPr>
          <w:p w14:paraId="51B3CC6D">
            <w:pPr>
              <w:spacing w:before="163"/>
              <w:jc w:val="center"/>
              <w:rPr>
                <w:rFonts w:hint="eastAsia" w:ascii="宋体" w:hAnsi="宋体" w:eastAsia="宋体"/>
                <w:color w:val="auto"/>
              </w:rPr>
            </w:pPr>
            <w:r>
              <w:rPr>
                <w:rFonts w:hint="eastAsia" w:ascii="宋体" w:hAnsi="宋体" w:eastAsia="宋体"/>
                <w:color w:val="auto"/>
              </w:rPr>
              <w:t>0.18</w:t>
            </w:r>
          </w:p>
        </w:tc>
        <w:tc>
          <w:tcPr>
            <w:tcW w:w="335" w:type="pct"/>
            <w:shd w:val="clear" w:color="auto" w:fill="auto"/>
            <w:noWrap/>
            <w:vAlign w:val="center"/>
          </w:tcPr>
          <w:p w14:paraId="79B652DA">
            <w:pPr>
              <w:spacing w:before="163"/>
              <w:jc w:val="center"/>
              <w:rPr>
                <w:rFonts w:hint="eastAsia" w:ascii="宋体" w:hAnsi="宋体" w:eastAsia="宋体"/>
                <w:color w:val="auto"/>
              </w:rPr>
            </w:pPr>
            <w:r>
              <w:rPr>
                <w:rFonts w:hint="eastAsia" w:ascii="宋体" w:hAnsi="宋体" w:eastAsia="宋体"/>
                <w:color w:val="auto"/>
              </w:rPr>
              <w:t>0.12</w:t>
            </w:r>
          </w:p>
        </w:tc>
        <w:tc>
          <w:tcPr>
            <w:tcW w:w="573" w:type="pct"/>
            <w:shd w:val="clear" w:color="auto" w:fill="auto"/>
            <w:noWrap/>
            <w:vAlign w:val="center"/>
          </w:tcPr>
          <w:p w14:paraId="62956C8E">
            <w:pPr>
              <w:spacing w:before="163"/>
              <w:jc w:val="center"/>
              <w:rPr>
                <w:rFonts w:hint="eastAsia" w:ascii="宋体" w:hAnsi="宋体" w:eastAsia="宋体"/>
                <w:color w:val="auto"/>
              </w:rPr>
            </w:pPr>
            <w:r>
              <w:rPr>
                <w:rFonts w:hint="eastAsia" w:ascii="宋体" w:hAnsi="宋体" w:eastAsia="宋体"/>
                <w:color w:val="auto"/>
              </w:rPr>
              <w:t>0.18</w:t>
            </w:r>
          </w:p>
        </w:tc>
        <w:tc>
          <w:tcPr>
            <w:tcW w:w="507" w:type="pct"/>
            <w:shd w:val="clear" w:color="auto" w:fill="auto"/>
            <w:noWrap/>
            <w:vAlign w:val="center"/>
          </w:tcPr>
          <w:p w14:paraId="19726B11">
            <w:pPr>
              <w:spacing w:before="163"/>
              <w:jc w:val="center"/>
              <w:rPr>
                <w:rFonts w:hint="eastAsia" w:ascii="宋体" w:hAnsi="宋体" w:eastAsia="宋体"/>
                <w:color w:val="auto"/>
              </w:rPr>
            </w:pPr>
            <w:r>
              <w:rPr>
                <w:rFonts w:hint="eastAsia" w:ascii="宋体" w:hAnsi="宋体" w:eastAsia="宋体"/>
                <w:color w:val="auto"/>
              </w:rPr>
              <w:t>0.12</w:t>
            </w:r>
          </w:p>
        </w:tc>
        <w:tc>
          <w:tcPr>
            <w:tcW w:w="573" w:type="pct"/>
            <w:shd w:val="clear" w:color="auto" w:fill="auto"/>
            <w:noWrap/>
            <w:vAlign w:val="center"/>
          </w:tcPr>
          <w:p w14:paraId="558218BB">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7AFBA88E">
            <w:pPr>
              <w:spacing w:before="163"/>
              <w:jc w:val="center"/>
              <w:rPr>
                <w:rFonts w:hint="eastAsia" w:ascii="宋体" w:hAnsi="宋体" w:eastAsia="宋体"/>
                <w:color w:val="auto"/>
              </w:rPr>
            </w:pPr>
            <w:r>
              <w:rPr>
                <w:rFonts w:hint="eastAsia" w:ascii="宋体" w:hAnsi="宋体" w:eastAsia="宋体"/>
                <w:color w:val="auto"/>
              </w:rPr>
              <w:t>0</w:t>
            </w:r>
          </w:p>
        </w:tc>
      </w:tr>
      <w:tr w14:paraId="22C0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3CC28CFE">
            <w:pPr>
              <w:spacing w:before="163"/>
              <w:jc w:val="center"/>
              <w:rPr>
                <w:rFonts w:hint="eastAsia" w:ascii="宋体" w:hAnsi="宋体" w:eastAsia="宋体"/>
                <w:color w:val="auto"/>
              </w:rPr>
            </w:pPr>
            <w:r>
              <w:rPr>
                <w:rFonts w:hint="eastAsia" w:ascii="宋体" w:hAnsi="宋体" w:eastAsia="宋体"/>
                <w:color w:val="auto"/>
              </w:rPr>
              <w:t>12</w:t>
            </w:r>
          </w:p>
        </w:tc>
        <w:tc>
          <w:tcPr>
            <w:tcW w:w="566" w:type="pct"/>
            <w:vMerge w:val="continue"/>
            <w:shd w:val="clear" w:color="auto" w:fill="auto"/>
            <w:noWrap/>
            <w:vAlign w:val="center"/>
          </w:tcPr>
          <w:p w14:paraId="0EA7CFA2">
            <w:pPr>
              <w:spacing w:before="163"/>
              <w:jc w:val="center"/>
              <w:rPr>
                <w:rFonts w:hint="eastAsia" w:ascii="宋体" w:hAnsi="宋体" w:eastAsia="宋体"/>
                <w:color w:val="auto"/>
              </w:rPr>
            </w:pPr>
          </w:p>
        </w:tc>
        <w:tc>
          <w:tcPr>
            <w:tcW w:w="1074" w:type="pct"/>
            <w:shd w:val="clear" w:color="auto" w:fill="auto"/>
            <w:noWrap/>
            <w:vAlign w:val="center"/>
          </w:tcPr>
          <w:p w14:paraId="56D527C8">
            <w:pPr>
              <w:spacing w:before="163"/>
              <w:jc w:val="center"/>
              <w:rPr>
                <w:rFonts w:hint="eastAsia" w:ascii="宋体" w:hAnsi="宋体" w:eastAsia="宋体"/>
                <w:color w:val="auto"/>
              </w:rPr>
            </w:pPr>
            <w:r>
              <w:rPr>
                <w:rFonts w:hint="eastAsia" w:ascii="宋体" w:hAnsi="宋体" w:eastAsia="宋体"/>
                <w:color w:val="auto"/>
              </w:rPr>
              <w:t>1107沟渠</w:t>
            </w:r>
          </w:p>
        </w:tc>
        <w:tc>
          <w:tcPr>
            <w:tcW w:w="573" w:type="pct"/>
            <w:shd w:val="clear" w:color="auto" w:fill="auto"/>
            <w:noWrap/>
            <w:vAlign w:val="center"/>
          </w:tcPr>
          <w:p w14:paraId="4A640AC2">
            <w:pPr>
              <w:spacing w:before="163"/>
              <w:jc w:val="center"/>
              <w:rPr>
                <w:rFonts w:hint="eastAsia" w:ascii="宋体" w:hAnsi="宋体" w:eastAsia="宋体"/>
                <w:color w:val="auto"/>
              </w:rPr>
            </w:pPr>
            <w:r>
              <w:rPr>
                <w:rFonts w:hint="eastAsia" w:ascii="宋体" w:hAnsi="宋体" w:eastAsia="宋体"/>
                <w:color w:val="auto"/>
              </w:rPr>
              <w:t>1.94</w:t>
            </w:r>
          </w:p>
        </w:tc>
        <w:tc>
          <w:tcPr>
            <w:tcW w:w="335" w:type="pct"/>
            <w:shd w:val="clear" w:color="auto" w:fill="auto"/>
            <w:noWrap/>
            <w:vAlign w:val="center"/>
          </w:tcPr>
          <w:p w14:paraId="7AFD8BEA">
            <w:pPr>
              <w:spacing w:before="163"/>
              <w:jc w:val="center"/>
              <w:rPr>
                <w:rFonts w:hint="eastAsia" w:ascii="宋体" w:hAnsi="宋体" w:eastAsia="宋体"/>
                <w:color w:val="auto"/>
              </w:rPr>
            </w:pPr>
            <w:r>
              <w:rPr>
                <w:rFonts w:hint="eastAsia" w:ascii="宋体" w:hAnsi="宋体" w:eastAsia="宋体"/>
                <w:color w:val="auto"/>
              </w:rPr>
              <w:t>1.28</w:t>
            </w:r>
          </w:p>
        </w:tc>
        <w:tc>
          <w:tcPr>
            <w:tcW w:w="573" w:type="pct"/>
            <w:shd w:val="clear" w:color="auto" w:fill="auto"/>
            <w:noWrap/>
            <w:vAlign w:val="center"/>
          </w:tcPr>
          <w:p w14:paraId="6BED8F3C">
            <w:pPr>
              <w:spacing w:before="163"/>
              <w:jc w:val="center"/>
              <w:rPr>
                <w:rFonts w:hint="eastAsia" w:ascii="宋体" w:hAnsi="宋体" w:eastAsia="宋体"/>
                <w:color w:val="auto"/>
              </w:rPr>
            </w:pPr>
            <w:r>
              <w:rPr>
                <w:rFonts w:hint="eastAsia" w:ascii="宋体" w:hAnsi="宋体" w:eastAsia="宋体"/>
                <w:color w:val="auto"/>
              </w:rPr>
              <w:t>1.94</w:t>
            </w:r>
          </w:p>
        </w:tc>
        <w:tc>
          <w:tcPr>
            <w:tcW w:w="507" w:type="pct"/>
            <w:shd w:val="clear" w:color="auto" w:fill="auto"/>
            <w:noWrap/>
            <w:vAlign w:val="center"/>
          </w:tcPr>
          <w:p w14:paraId="139CDB20">
            <w:pPr>
              <w:spacing w:before="163"/>
              <w:jc w:val="center"/>
              <w:rPr>
                <w:rFonts w:hint="eastAsia" w:ascii="宋体" w:hAnsi="宋体" w:eastAsia="宋体"/>
                <w:color w:val="auto"/>
              </w:rPr>
            </w:pPr>
            <w:r>
              <w:rPr>
                <w:rFonts w:hint="eastAsia" w:ascii="宋体" w:hAnsi="宋体" w:eastAsia="宋体"/>
                <w:color w:val="auto"/>
              </w:rPr>
              <w:t>1.28</w:t>
            </w:r>
          </w:p>
        </w:tc>
        <w:tc>
          <w:tcPr>
            <w:tcW w:w="573" w:type="pct"/>
            <w:shd w:val="clear" w:color="auto" w:fill="auto"/>
            <w:noWrap/>
            <w:vAlign w:val="center"/>
          </w:tcPr>
          <w:p w14:paraId="038F0484">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20ACDDAC">
            <w:pPr>
              <w:spacing w:before="163"/>
              <w:jc w:val="center"/>
              <w:rPr>
                <w:rFonts w:hint="eastAsia" w:ascii="宋体" w:hAnsi="宋体" w:eastAsia="宋体"/>
                <w:color w:val="auto"/>
              </w:rPr>
            </w:pPr>
            <w:r>
              <w:rPr>
                <w:rFonts w:hint="eastAsia" w:ascii="宋体" w:hAnsi="宋体" w:eastAsia="宋体"/>
                <w:color w:val="auto"/>
              </w:rPr>
              <w:t>0</w:t>
            </w:r>
          </w:p>
        </w:tc>
      </w:tr>
      <w:tr w14:paraId="17F0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2" w:type="pct"/>
            <w:shd w:val="clear" w:color="auto" w:fill="auto"/>
            <w:noWrap/>
            <w:vAlign w:val="center"/>
          </w:tcPr>
          <w:p w14:paraId="5C42B827">
            <w:pPr>
              <w:spacing w:before="163"/>
              <w:jc w:val="center"/>
              <w:rPr>
                <w:rFonts w:hint="eastAsia" w:ascii="宋体" w:hAnsi="宋体" w:eastAsia="宋体"/>
                <w:color w:val="auto"/>
              </w:rPr>
            </w:pPr>
            <w:r>
              <w:rPr>
                <w:rFonts w:hint="eastAsia" w:ascii="宋体" w:hAnsi="宋体" w:eastAsia="宋体"/>
                <w:color w:val="auto"/>
              </w:rPr>
              <w:t>　1</w:t>
            </w:r>
            <w:r>
              <w:rPr>
                <w:rFonts w:ascii="宋体" w:hAnsi="宋体" w:eastAsia="宋体"/>
                <w:color w:val="auto"/>
              </w:rPr>
              <w:t>3</w:t>
            </w:r>
          </w:p>
        </w:tc>
        <w:tc>
          <w:tcPr>
            <w:tcW w:w="566" w:type="pct"/>
            <w:shd w:val="clear" w:color="auto" w:fill="auto"/>
            <w:noWrap/>
            <w:vAlign w:val="center"/>
          </w:tcPr>
          <w:p w14:paraId="069F98B2">
            <w:pPr>
              <w:spacing w:before="163"/>
              <w:jc w:val="center"/>
              <w:rPr>
                <w:rFonts w:hint="eastAsia" w:ascii="宋体" w:hAnsi="宋体" w:eastAsia="宋体"/>
                <w:color w:val="auto"/>
              </w:rPr>
            </w:pPr>
            <w:r>
              <w:rPr>
                <w:rFonts w:hint="eastAsia" w:ascii="宋体" w:hAnsi="宋体" w:eastAsia="宋体"/>
                <w:color w:val="auto"/>
              </w:rPr>
              <w:t>其他土地</w:t>
            </w:r>
          </w:p>
        </w:tc>
        <w:tc>
          <w:tcPr>
            <w:tcW w:w="1074" w:type="pct"/>
            <w:shd w:val="clear" w:color="auto" w:fill="auto"/>
            <w:noWrap/>
            <w:vAlign w:val="center"/>
          </w:tcPr>
          <w:p w14:paraId="33B1A70D">
            <w:pPr>
              <w:spacing w:before="163"/>
              <w:jc w:val="center"/>
              <w:rPr>
                <w:rFonts w:hint="eastAsia" w:ascii="宋体" w:hAnsi="宋体" w:eastAsia="宋体"/>
                <w:color w:val="auto"/>
              </w:rPr>
            </w:pPr>
            <w:r>
              <w:rPr>
                <w:rFonts w:hint="eastAsia" w:ascii="宋体" w:hAnsi="宋体" w:eastAsia="宋体"/>
                <w:color w:val="auto"/>
              </w:rPr>
              <w:t>1202设施农用地</w:t>
            </w:r>
          </w:p>
        </w:tc>
        <w:tc>
          <w:tcPr>
            <w:tcW w:w="573" w:type="pct"/>
            <w:shd w:val="clear" w:color="auto" w:fill="auto"/>
            <w:noWrap/>
            <w:vAlign w:val="center"/>
          </w:tcPr>
          <w:p w14:paraId="41627504">
            <w:pPr>
              <w:spacing w:before="163"/>
              <w:jc w:val="center"/>
              <w:rPr>
                <w:rFonts w:hint="eastAsia" w:ascii="宋体" w:hAnsi="宋体" w:eastAsia="宋体"/>
                <w:color w:val="auto"/>
              </w:rPr>
            </w:pPr>
            <w:r>
              <w:rPr>
                <w:rFonts w:hint="eastAsia" w:ascii="宋体" w:hAnsi="宋体" w:eastAsia="宋体"/>
                <w:color w:val="auto"/>
              </w:rPr>
              <w:t>0.25</w:t>
            </w:r>
          </w:p>
        </w:tc>
        <w:tc>
          <w:tcPr>
            <w:tcW w:w="335" w:type="pct"/>
            <w:shd w:val="clear" w:color="auto" w:fill="auto"/>
            <w:noWrap/>
            <w:vAlign w:val="center"/>
          </w:tcPr>
          <w:p w14:paraId="792FE561">
            <w:pPr>
              <w:spacing w:before="163"/>
              <w:jc w:val="center"/>
              <w:rPr>
                <w:rFonts w:hint="eastAsia" w:ascii="宋体" w:hAnsi="宋体" w:eastAsia="宋体"/>
                <w:color w:val="auto"/>
              </w:rPr>
            </w:pPr>
            <w:r>
              <w:rPr>
                <w:rFonts w:hint="eastAsia" w:ascii="宋体" w:hAnsi="宋体" w:eastAsia="宋体"/>
                <w:color w:val="auto"/>
              </w:rPr>
              <w:t>0.17</w:t>
            </w:r>
          </w:p>
        </w:tc>
        <w:tc>
          <w:tcPr>
            <w:tcW w:w="573" w:type="pct"/>
            <w:shd w:val="clear" w:color="auto" w:fill="auto"/>
            <w:noWrap/>
            <w:vAlign w:val="center"/>
          </w:tcPr>
          <w:p w14:paraId="3D7FACA7">
            <w:pPr>
              <w:spacing w:before="163"/>
              <w:jc w:val="center"/>
              <w:rPr>
                <w:rFonts w:hint="eastAsia" w:ascii="宋体" w:hAnsi="宋体" w:eastAsia="宋体"/>
                <w:color w:val="auto"/>
              </w:rPr>
            </w:pPr>
            <w:r>
              <w:rPr>
                <w:rFonts w:hint="eastAsia" w:ascii="宋体" w:hAnsi="宋体" w:eastAsia="宋体"/>
                <w:color w:val="auto"/>
              </w:rPr>
              <w:t>0.25</w:t>
            </w:r>
          </w:p>
        </w:tc>
        <w:tc>
          <w:tcPr>
            <w:tcW w:w="507" w:type="pct"/>
            <w:shd w:val="clear" w:color="auto" w:fill="auto"/>
            <w:noWrap/>
            <w:vAlign w:val="center"/>
          </w:tcPr>
          <w:p w14:paraId="660F6A97">
            <w:pPr>
              <w:spacing w:before="163"/>
              <w:jc w:val="center"/>
              <w:rPr>
                <w:rFonts w:hint="eastAsia" w:ascii="宋体" w:hAnsi="宋体" w:eastAsia="宋体"/>
                <w:color w:val="auto"/>
              </w:rPr>
            </w:pPr>
            <w:r>
              <w:rPr>
                <w:rFonts w:hint="eastAsia" w:ascii="宋体" w:hAnsi="宋体" w:eastAsia="宋体"/>
                <w:color w:val="auto"/>
              </w:rPr>
              <w:t>0.17</w:t>
            </w:r>
          </w:p>
        </w:tc>
        <w:tc>
          <w:tcPr>
            <w:tcW w:w="573" w:type="pct"/>
            <w:shd w:val="clear" w:color="auto" w:fill="auto"/>
            <w:noWrap/>
            <w:vAlign w:val="center"/>
          </w:tcPr>
          <w:p w14:paraId="78792095">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59E3EC63">
            <w:pPr>
              <w:spacing w:before="163"/>
              <w:jc w:val="center"/>
              <w:rPr>
                <w:rFonts w:hint="eastAsia" w:ascii="宋体" w:hAnsi="宋体" w:eastAsia="宋体"/>
                <w:color w:val="auto"/>
              </w:rPr>
            </w:pPr>
            <w:r>
              <w:rPr>
                <w:rFonts w:hint="eastAsia" w:ascii="宋体" w:hAnsi="宋体" w:eastAsia="宋体"/>
                <w:color w:val="auto"/>
              </w:rPr>
              <w:t>0</w:t>
            </w:r>
          </w:p>
        </w:tc>
      </w:tr>
      <w:tr w14:paraId="33AD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32" w:type="pct"/>
            <w:gridSpan w:val="3"/>
            <w:shd w:val="clear" w:color="auto" w:fill="auto"/>
            <w:noWrap/>
            <w:vAlign w:val="center"/>
          </w:tcPr>
          <w:p w14:paraId="7A7220BF">
            <w:pPr>
              <w:spacing w:before="163"/>
              <w:jc w:val="center"/>
              <w:rPr>
                <w:rFonts w:ascii="宋体" w:hAnsi="宋体" w:eastAsia="宋体"/>
                <w:color w:val="auto"/>
              </w:rPr>
            </w:pPr>
            <w:r>
              <w:rPr>
                <w:rFonts w:hint="eastAsia" w:ascii="宋体" w:hAnsi="宋体" w:eastAsia="宋体"/>
                <w:color w:val="auto"/>
              </w:rPr>
              <w:t>合计</w:t>
            </w:r>
          </w:p>
          <w:p w14:paraId="2C901E2F">
            <w:pPr>
              <w:spacing w:before="163"/>
              <w:jc w:val="center"/>
              <w:rPr>
                <w:rFonts w:hint="eastAsia" w:ascii="宋体" w:hAnsi="宋体" w:eastAsia="宋体"/>
                <w:color w:val="auto"/>
              </w:rPr>
            </w:pPr>
          </w:p>
        </w:tc>
        <w:tc>
          <w:tcPr>
            <w:tcW w:w="573" w:type="pct"/>
            <w:shd w:val="clear" w:color="auto" w:fill="auto"/>
            <w:noWrap/>
            <w:vAlign w:val="center"/>
          </w:tcPr>
          <w:p w14:paraId="2FE2C27C">
            <w:pPr>
              <w:spacing w:before="163"/>
              <w:jc w:val="center"/>
              <w:rPr>
                <w:rFonts w:hint="eastAsia" w:ascii="宋体" w:hAnsi="宋体" w:eastAsia="宋体"/>
                <w:color w:val="auto"/>
              </w:rPr>
            </w:pPr>
            <w:r>
              <w:rPr>
                <w:rFonts w:hint="eastAsia" w:ascii="宋体" w:hAnsi="宋体" w:eastAsia="宋体"/>
                <w:color w:val="auto"/>
              </w:rPr>
              <w:t>151.3</w:t>
            </w:r>
          </w:p>
        </w:tc>
        <w:tc>
          <w:tcPr>
            <w:tcW w:w="335" w:type="pct"/>
            <w:shd w:val="clear" w:color="auto" w:fill="auto"/>
            <w:noWrap/>
            <w:vAlign w:val="center"/>
          </w:tcPr>
          <w:p w14:paraId="294BE33B">
            <w:pPr>
              <w:spacing w:before="163"/>
              <w:jc w:val="center"/>
              <w:rPr>
                <w:rFonts w:hint="eastAsia" w:ascii="宋体" w:hAnsi="宋体" w:eastAsia="宋体"/>
                <w:color w:val="auto"/>
              </w:rPr>
            </w:pPr>
            <w:r>
              <w:rPr>
                <w:rFonts w:hint="eastAsia" w:ascii="宋体" w:hAnsi="宋体" w:eastAsia="宋体"/>
                <w:color w:val="auto"/>
              </w:rPr>
              <w:t>100</w:t>
            </w:r>
          </w:p>
        </w:tc>
        <w:tc>
          <w:tcPr>
            <w:tcW w:w="573" w:type="pct"/>
            <w:shd w:val="clear" w:color="auto" w:fill="auto"/>
            <w:noWrap/>
            <w:vAlign w:val="center"/>
          </w:tcPr>
          <w:p w14:paraId="5F5917E6">
            <w:pPr>
              <w:spacing w:before="163"/>
              <w:jc w:val="center"/>
              <w:rPr>
                <w:rFonts w:hint="eastAsia" w:ascii="宋体" w:hAnsi="宋体" w:eastAsia="宋体"/>
                <w:color w:val="auto"/>
              </w:rPr>
            </w:pPr>
            <w:r>
              <w:rPr>
                <w:rFonts w:hint="eastAsia" w:ascii="宋体" w:hAnsi="宋体" w:eastAsia="宋体"/>
                <w:color w:val="auto"/>
              </w:rPr>
              <w:t>151.3</w:t>
            </w:r>
          </w:p>
        </w:tc>
        <w:tc>
          <w:tcPr>
            <w:tcW w:w="507" w:type="pct"/>
            <w:shd w:val="clear" w:color="auto" w:fill="auto"/>
            <w:noWrap/>
            <w:vAlign w:val="center"/>
          </w:tcPr>
          <w:p w14:paraId="77F6C35B">
            <w:pPr>
              <w:spacing w:before="163"/>
              <w:jc w:val="center"/>
              <w:rPr>
                <w:rFonts w:hint="eastAsia" w:ascii="宋体" w:hAnsi="宋体" w:eastAsia="宋体"/>
                <w:color w:val="auto"/>
              </w:rPr>
            </w:pPr>
            <w:r>
              <w:rPr>
                <w:rFonts w:hint="eastAsia" w:ascii="宋体" w:hAnsi="宋体" w:eastAsia="宋体"/>
                <w:color w:val="auto"/>
              </w:rPr>
              <w:t>100</w:t>
            </w:r>
          </w:p>
        </w:tc>
        <w:tc>
          <w:tcPr>
            <w:tcW w:w="573" w:type="pct"/>
            <w:shd w:val="clear" w:color="auto" w:fill="auto"/>
            <w:noWrap/>
            <w:vAlign w:val="center"/>
          </w:tcPr>
          <w:p w14:paraId="50B178B0">
            <w:pPr>
              <w:spacing w:before="163"/>
              <w:jc w:val="center"/>
              <w:rPr>
                <w:rFonts w:hint="eastAsia" w:ascii="宋体" w:hAnsi="宋体" w:eastAsia="宋体"/>
                <w:color w:val="auto"/>
              </w:rPr>
            </w:pPr>
            <w:r>
              <w:rPr>
                <w:rFonts w:hint="eastAsia" w:ascii="宋体" w:hAnsi="宋体" w:eastAsia="宋体"/>
                <w:color w:val="auto"/>
              </w:rPr>
              <w:t>0</w:t>
            </w:r>
          </w:p>
        </w:tc>
        <w:tc>
          <w:tcPr>
            <w:tcW w:w="507" w:type="pct"/>
            <w:shd w:val="clear" w:color="auto" w:fill="auto"/>
            <w:noWrap/>
            <w:vAlign w:val="center"/>
          </w:tcPr>
          <w:p w14:paraId="436FD0E1">
            <w:pPr>
              <w:spacing w:before="163"/>
              <w:jc w:val="center"/>
              <w:rPr>
                <w:rFonts w:hint="eastAsia" w:ascii="宋体" w:hAnsi="宋体" w:eastAsia="宋体"/>
                <w:color w:val="auto"/>
              </w:rPr>
            </w:pPr>
            <w:r>
              <w:rPr>
                <w:rFonts w:hint="eastAsia" w:ascii="宋体" w:hAnsi="宋体" w:eastAsia="宋体"/>
                <w:color w:val="auto"/>
              </w:rPr>
              <w:t>0</w:t>
            </w:r>
          </w:p>
        </w:tc>
      </w:tr>
    </w:tbl>
    <w:p w14:paraId="6E9EC5B9">
      <w:pPr>
        <w:spacing w:before="163"/>
        <w:jc w:val="center"/>
        <w:rPr>
          <w:color w:val="auto"/>
        </w:rPr>
      </w:pPr>
    </w:p>
    <w:p w14:paraId="672A0A97">
      <w:pPr>
        <w:pStyle w:val="276"/>
        <w:widowControl w:val="0"/>
        <w:ind w:firstLine="480"/>
        <w:jc w:val="both"/>
        <w:rPr>
          <w:color w:val="auto"/>
        </w:rPr>
      </w:pPr>
      <w:r>
        <w:rPr>
          <w:rFonts w:hint="eastAsia"/>
          <w:color w:val="auto"/>
        </w:rPr>
        <w:t>本项目临时占地面积为</w:t>
      </w:r>
      <w:r>
        <w:rPr>
          <w:color w:val="auto"/>
        </w:rPr>
        <w:t>4.46</w:t>
      </w:r>
      <w:r>
        <w:rPr>
          <w:rFonts w:hint="eastAsia"/>
          <w:color w:val="auto"/>
        </w:rPr>
        <w:t>hm</w:t>
      </w:r>
      <w:r>
        <w:rPr>
          <w:rFonts w:hint="eastAsia"/>
          <w:color w:val="auto"/>
          <w:vertAlign w:val="superscript"/>
        </w:rPr>
        <w:t>2</w:t>
      </w:r>
      <w:r>
        <w:rPr>
          <w:rFonts w:hint="eastAsia"/>
          <w:color w:val="auto"/>
        </w:rPr>
        <w:t>，占评价区总面积比例为</w:t>
      </w:r>
      <w:r>
        <w:rPr>
          <w:color w:val="auto"/>
        </w:rPr>
        <w:t>2.95</w:t>
      </w:r>
      <w:r>
        <w:rPr>
          <w:rFonts w:hint="eastAsia"/>
          <w:color w:val="auto"/>
        </w:rPr>
        <w:t>%，临时占地在施工结束后应进行复垦工作，进行必要的土壤抚育，可使用有机肥，恢复草地的生产力。总之，在短期内，临时占地将影响沿线土地的利用状况，施工结束后，随着生态补偿或生态恢复措施的实施，其影响将逐渐减小或消失。</w:t>
      </w:r>
    </w:p>
    <w:p w14:paraId="52E543F5">
      <w:pPr>
        <w:pStyle w:val="276"/>
        <w:widowControl w:val="0"/>
        <w:ind w:firstLine="480"/>
        <w:jc w:val="both"/>
        <w:rPr>
          <w:color w:val="auto"/>
        </w:rPr>
      </w:pPr>
      <w:r>
        <w:rPr>
          <w:rFonts w:hint="eastAsia"/>
          <w:color w:val="auto"/>
        </w:rPr>
        <w:t>永久占地面积为</w:t>
      </w:r>
      <w:r>
        <w:rPr>
          <w:color w:val="auto"/>
        </w:rPr>
        <w:t>3.254</w:t>
      </w:r>
      <w:r>
        <w:rPr>
          <w:rFonts w:hint="eastAsia"/>
          <w:color w:val="auto"/>
        </w:rPr>
        <w:t>hm</w:t>
      </w:r>
      <w:r>
        <w:rPr>
          <w:rFonts w:hint="eastAsia"/>
          <w:color w:val="auto"/>
          <w:vertAlign w:val="superscript"/>
        </w:rPr>
        <w:t>2</w:t>
      </w:r>
      <w:r>
        <w:rPr>
          <w:rFonts w:hint="eastAsia"/>
          <w:color w:val="auto"/>
        </w:rPr>
        <w:t>，占评价区总面积比例为</w:t>
      </w:r>
      <w:r>
        <w:rPr>
          <w:color w:val="auto"/>
        </w:rPr>
        <w:t>2.15</w:t>
      </w:r>
      <w:r>
        <w:rPr>
          <w:rFonts w:hint="eastAsia"/>
          <w:color w:val="auto"/>
        </w:rPr>
        <w:t>%，永久占地导致农田无法恢复，但评价区仍然以农田类型为主（占评价区总面积比例为</w:t>
      </w:r>
      <w:r>
        <w:rPr>
          <w:color w:val="auto"/>
        </w:rPr>
        <w:t>82.88</w:t>
      </w:r>
      <w:r>
        <w:rPr>
          <w:rFonts w:hint="eastAsia"/>
          <w:color w:val="auto"/>
        </w:rPr>
        <w:t>%），因此，对区域土地利用格局的影响较小。</w:t>
      </w:r>
    </w:p>
    <w:p w14:paraId="406CE692">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对植被</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2CD63D57">
      <w:pPr>
        <w:pStyle w:val="276"/>
        <w:widowControl w:val="0"/>
        <w:ind w:firstLine="480"/>
        <w:jc w:val="both"/>
        <w:rPr>
          <w:color w:val="auto"/>
        </w:rPr>
      </w:pPr>
      <w:r>
        <w:rPr>
          <w:rFonts w:hint="eastAsia"/>
          <w:color w:val="auto"/>
        </w:rPr>
        <w:t>1）施工活动对植被影响分析</w:t>
      </w:r>
    </w:p>
    <w:p w14:paraId="2C652F60">
      <w:pPr>
        <w:pStyle w:val="276"/>
        <w:widowControl w:val="0"/>
        <w:ind w:firstLine="480"/>
        <w:jc w:val="both"/>
        <w:rPr>
          <w:color w:val="auto"/>
        </w:rPr>
      </w:pPr>
      <w:r>
        <w:rPr>
          <w:rFonts w:hint="eastAsia"/>
          <w:color w:val="auto"/>
        </w:rPr>
        <w:t xml:space="preserve">施工过程运输车辆产生的扬尘、施工过程洒落的石灰和水泥，会对周围植物的生长带来直接的影响。这些尘土降落到植物的叶面上，会堵塞毛孔，影响植物的光合作用，从而使之生长减缓甚至死去。石灰和水泥若被雨水冲刷渗入地下，会导致土壤板结，影响植物根系对水分和矿物质的吸收。另外，原材料的堆放、车辆漏油，会污染土壤，从而间接影响植物的生长。虽然随着施工的结束不再产生扬尘，情况会有所好转，但是这些影响并不会随施工的结束而得到解决，它们的影响将持续较长一段时间。因此施工过程中在湿地公园段禁止堆放原材料以及废弃料，对于运输车辆，必须规定固定的路线，将影响减小到最少范围。 </w:t>
      </w:r>
    </w:p>
    <w:p w14:paraId="40D730C5">
      <w:pPr>
        <w:pStyle w:val="276"/>
        <w:widowControl w:val="0"/>
        <w:ind w:firstLine="480"/>
        <w:jc w:val="both"/>
        <w:rPr>
          <w:color w:val="auto"/>
        </w:rPr>
      </w:pPr>
      <w:r>
        <w:rPr>
          <w:rFonts w:hint="eastAsia"/>
          <w:color w:val="auto"/>
        </w:rPr>
        <w:t>施工完成之后可采取措施进行植被生态重建和恢复。根据现场调查显示，临时占地均为旱地，原则上按原用地类型进行恢复。</w:t>
      </w:r>
    </w:p>
    <w:p w14:paraId="1A76C691">
      <w:pPr>
        <w:pStyle w:val="276"/>
        <w:widowControl w:val="0"/>
        <w:ind w:firstLine="480"/>
        <w:jc w:val="both"/>
        <w:rPr>
          <w:color w:val="auto"/>
        </w:rPr>
      </w:pPr>
      <w:r>
        <w:rPr>
          <w:rFonts w:hint="eastAsia"/>
          <w:color w:val="auto"/>
        </w:rPr>
        <w:t>2）对植被群落影响分析</w:t>
      </w:r>
    </w:p>
    <w:p w14:paraId="61EAB2DB">
      <w:pPr>
        <w:pStyle w:val="276"/>
        <w:widowControl w:val="0"/>
        <w:ind w:firstLine="480"/>
        <w:jc w:val="both"/>
        <w:rPr>
          <w:color w:val="auto"/>
        </w:rPr>
      </w:pPr>
      <w:r>
        <w:rPr>
          <w:color w:val="auto"/>
        </w:rPr>
        <w:t>拟建井场、拉油点和管线施工区域植被基本以耕地和草地为主，永久占地和临时用地都会导致生物量损失。占地范围内生物量计算如下：</w:t>
      </w:r>
    </w:p>
    <w:p w14:paraId="03DC625D">
      <w:pPr>
        <w:autoSpaceDE w:val="0"/>
        <w:autoSpaceDN w:val="0"/>
        <w:adjustRightInd w:val="0"/>
        <w:spacing w:line="440" w:lineRule="exact"/>
        <w:jc w:val="center"/>
        <w:rPr>
          <w:rFonts w:ascii="宋体" w:hAnsi="宋体" w:eastAsia="宋体" w:cs="Times New Roman"/>
          <w:color w:val="auto"/>
        </w:rPr>
      </w:pPr>
      <w:r>
        <w:rPr>
          <w:rFonts w:ascii="宋体" w:hAnsi="宋体" w:eastAsia="宋体" w:cs="Times New Roman"/>
          <w:color w:val="auto"/>
        </w:rPr>
        <w:t>Y=S</w:t>
      </w:r>
      <w:r>
        <w:rPr>
          <w:rFonts w:ascii="宋体" w:hAnsi="宋体" w:eastAsia="宋体" w:cs="Times New Roman"/>
          <w:color w:val="auto"/>
          <w:vertAlign w:val="subscript"/>
        </w:rPr>
        <w:t>i</w:t>
      </w:r>
      <w:r>
        <w:rPr>
          <w:rFonts w:ascii="宋体" w:hAnsi="宋体" w:eastAsia="宋体" w:cs="Times New Roman"/>
          <w:color w:val="auto"/>
        </w:rPr>
        <w:t>·W</w:t>
      </w:r>
      <w:r>
        <w:rPr>
          <w:rFonts w:ascii="宋体" w:hAnsi="宋体" w:eastAsia="宋体" w:cs="Times New Roman"/>
          <w:color w:val="auto"/>
          <w:vertAlign w:val="subscript"/>
        </w:rPr>
        <w:t>i</w:t>
      </w:r>
    </w:p>
    <w:p w14:paraId="38B6455B">
      <w:pPr>
        <w:pStyle w:val="276"/>
        <w:widowControl w:val="0"/>
        <w:ind w:firstLine="480"/>
        <w:jc w:val="both"/>
        <w:rPr>
          <w:color w:val="auto"/>
        </w:rPr>
      </w:pPr>
      <w:r>
        <w:rPr>
          <w:color w:val="auto"/>
        </w:rPr>
        <w:t>式中，Y—生物量损失，t；</w:t>
      </w:r>
    </w:p>
    <w:p w14:paraId="438F770B">
      <w:pPr>
        <w:pStyle w:val="276"/>
        <w:widowControl w:val="0"/>
        <w:ind w:firstLine="480"/>
        <w:jc w:val="both"/>
        <w:rPr>
          <w:color w:val="auto"/>
        </w:rPr>
      </w:pPr>
      <w:r>
        <w:rPr>
          <w:color w:val="auto"/>
        </w:rPr>
        <w:t>S</w:t>
      </w:r>
      <w:r>
        <w:rPr>
          <w:color w:val="auto"/>
          <w:vertAlign w:val="subscript"/>
        </w:rPr>
        <w:t>i</w:t>
      </w:r>
      <w:r>
        <w:rPr>
          <w:color w:val="auto"/>
        </w:rPr>
        <w:t>—占地面积，hm</w:t>
      </w:r>
      <w:r>
        <w:rPr>
          <w:color w:val="auto"/>
          <w:vertAlign w:val="superscript"/>
        </w:rPr>
        <w:t>2</w:t>
      </w:r>
      <w:r>
        <w:rPr>
          <w:color w:val="auto"/>
        </w:rPr>
        <w:t>；</w:t>
      </w:r>
    </w:p>
    <w:p w14:paraId="71D6C9AB">
      <w:pPr>
        <w:pStyle w:val="276"/>
        <w:widowControl w:val="0"/>
        <w:ind w:firstLine="480"/>
        <w:jc w:val="both"/>
        <w:rPr>
          <w:color w:val="auto"/>
        </w:rPr>
      </w:pPr>
      <w:r>
        <w:rPr>
          <w:color w:val="auto"/>
        </w:rPr>
        <w:t>W</w:t>
      </w:r>
      <w:r>
        <w:rPr>
          <w:color w:val="auto"/>
          <w:vertAlign w:val="subscript"/>
        </w:rPr>
        <w:t>i</w:t>
      </w:r>
      <w:r>
        <w:rPr>
          <w:color w:val="auto"/>
        </w:rPr>
        <w:t>—单位面积生物量，t/hm</w:t>
      </w:r>
      <w:r>
        <w:rPr>
          <w:color w:val="auto"/>
          <w:vertAlign w:val="superscript"/>
        </w:rPr>
        <w:t>2</w:t>
      </w:r>
      <w:r>
        <w:rPr>
          <w:color w:val="auto"/>
        </w:rPr>
        <w:t>。</w:t>
      </w:r>
    </w:p>
    <w:p w14:paraId="58039BCE">
      <w:pPr>
        <w:pStyle w:val="276"/>
        <w:widowControl w:val="0"/>
        <w:ind w:firstLine="480"/>
        <w:jc w:val="both"/>
        <w:rPr>
          <w:color w:val="auto"/>
        </w:rPr>
      </w:pPr>
      <w:r>
        <w:rPr>
          <w:color w:val="auto"/>
        </w:rPr>
        <w:t>本项目永久占地面积</w:t>
      </w:r>
      <w:r>
        <w:rPr>
          <w:rFonts w:hint="eastAsia"/>
          <w:color w:val="auto"/>
        </w:rPr>
        <w:t>3.254</w:t>
      </w:r>
      <w:r>
        <w:rPr>
          <w:color w:val="auto"/>
        </w:rPr>
        <w:t>hm</w:t>
      </w:r>
      <w:r>
        <w:rPr>
          <w:color w:val="auto"/>
          <w:vertAlign w:val="superscript"/>
        </w:rPr>
        <w:t>2</w:t>
      </w:r>
      <w:r>
        <w:rPr>
          <w:color w:val="auto"/>
        </w:rPr>
        <w:t>，临时占地面积</w:t>
      </w:r>
      <w:r>
        <w:rPr>
          <w:rFonts w:hint="eastAsia"/>
          <w:color w:val="auto"/>
        </w:rPr>
        <w:t>4.46</w:t>
      </w:r>
      <w:r>
        <w:rPr>
          <w:color w:val="auto"/>
        </w:rPr>
        <w:t>hm</w:t>
      </w:r>
      <w:r>
        <w:rPr>
          <w:color w:val="auto"/>
          <w:vertAlign w:val="superscript"/>
        </w:rPr>
        <w:t>2</w:t>
      </w:r>
      <w:r>
        <w:rPr>
          <w:color w:val="auto"/>
        </w:rPr>
        <w:t>，总生物损失量为</w:t>
      </w:r>
      <w:r>
        <w:rPr>
          <w:rFonts w:hint="eastAsia"/>
          <w:color w:val="auto"/>
        </w:rPr>
        <w:t>115.71t</w:t>
      </w:r>
      <w:r>
        <w:rPr>
          <w:color w:val="auto"/>
        </w:rPr>
        <w:t>，具体占地类型及生物量详见表5.1-3。</w:t>
      </w:r>
    </w:p>
    <w:p w14:paraId="1D7D2340">
      <w:pPr>
        <w:autoSpaceDE w:val="0"/>
        <w:autoSpaceDN w:val="0"/>
        <w:adjustRightInd w:val="0"/>
        <w:spacing w:line="440" w:lineRule="exact"/>
        <w:ind w:firstLine="420" w:firstLineChars="200"/>
        <w:jc w:val="center"/>
        <w:rPr>
          <w:rFonts w:ascii="宋体" w:hAnsi="宋体" w:eastAsia="宋体" w:cs="Times New Roman"/>
          <w:color w:val="auto"/>
        </w:rPr>
      </w:pPr>
      <w:r>
        <w:rPr>
          <w:rFonts w:ascii="宋体" w:hAnsi="宋体" w:eastAsia="宋体" w:cs="Times New Roman"/>
          <w:color w:val="auto"/>
        </w:rPr>
        <w:t>表5.1-3 占地范围内植被生物量计算表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432"/>
        <w:gridCol w:w="1547"/>
        <w:gridCol w:w="1549"/>
        <w:gridCol w:w="1549"/>
        <w:gridCol w:w="1548"/>
      </w:tblGrid>
      <w:tr w14:paraId="69FA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Merge w:val="restart"/>
            <w:shd w:val="clear" w:color="auto" w:fill="auto"/>
            <w:vAlign w:val="center"/>
          </w:tcPr>
          <w:p w14:paraId="64BE19ED">
            <w:pPr>
              <w:adjustRightInd w:val="0"/>
              <w:snapToGrid w:val="0"/>
              <w:jc w:val="center"/>
              <w:rPr>
                <w:rFonts w:ascii="宋体" w:hAnsi="宋体" w:eastAsia="宋体" w:cs="Times New Roman"/>
                <w:color w:val="auto"/>
              </w:rPr>
            </w:pPr>
            <w:r>
              <w:rPr>
                <w:rFonts w:ascii="宋体" w:hAnsi="宋体" w:eastAsia="宋体" w:cs="Times New Roman"/>
                <w:color w:val="auto"/>
              </w:rPr>
              <w:t>类型</w:t>
            </w:r>
          </w:p>
        </w:tc>
        <w:tc>
          <w:tcPr>
            <w:tcW w:w="1604" w:type="pct"/>
            <w:gridSpan w:val="2"/>
            <w:shd w:val="clear" w:color="auto" w:fill="auto"/>
            <w:vAlign w:val="center"/>
          </w:tcPr>
          <w:p w14:paraId="6BF58478">
            <w:pPr>
              <w:adjustRightInd w:val="0"/>
              <w:snapToGrid w:val="0"/>
              <w:jc w:val="center"/>
              <w:rPr>
                <w:rFonts w:ascii="宋体" w:hAnsi="宋体" w:eastAsia="宋体" w:cs="Times New Roman"/>
                <w:color w:val="auto"/>
              </w:rPr>
            </w:pPr>
            <w:r>
              <w:rPr>
                <w:rFonts w:ascii="宋体" w:hAnsi="宋体" w:eastAsia="宋体" w:cs="Times New Roman"/>
                <w:color w:val="auto"/>
              </w:rPr>
              <w:t>面积（hm</w:t>
            </w:r>
            <w:r>
              <w:rPr>
                <w:rFonts w:ascii="宋体" w:hAnsi="宋体" w:eastAsia="宋体" w:cs="Times New Roman"/>
                <w:color w:val="auto"/>
                <w:vertAlign w:val="superscript"/>
              </w:rPr>
              <w:t>2</w:t>
            </w:r>
            <w:r>
              <w:rPr>
                <w:rFonts w:ascii="宋体" w:hAnsi="宋体" w:eastAsia="宋体" w:cs="Times New Roman"/>
                <w:color w:val="auto"/>
              </w:rPr>
              <w:t>）</w:t>
            </w:r>
          </w:p>
        </w:tc>
        <w:tc>
          <w:tcPr>
            <w:tcW w:w="834" w:type="pct"/>
            <w:vMerge w:val="restart"/>
            <w:shd w:val="clear" w:color="auto" w:fill="auto"/>
            <w:vAlign w:val="center"/>
          </w:tcPr>
          <w:p w14:paraId="44E7D499">
            <w:pPr>
              <w:adjustRightInd w:val="0"/>
              <w:snapToGrid w:val="0"/>
              <w:jc w:val="center"/>
              <w:rPr>
                <w:rFonts w:ascii="宋体" w:hAnsi="宋体" w:eastAsia="宋体" w:cs="Times New Roman"/>
                <w:color w:val="auto"/>
              </w:rPr>
            </w:pPr>
            <w:r>
              <w:rPr>
                <w:rFonts w:ascii="宋体" w:hAnsi="宋体" w:eastAsia="宋体" w:cs="Times New Roman"/>
                <w:color w:val="auto"/>
              </w:rPr>
              <w:t>单位面积生物量（t/hm</w:t>
            </w:r>
            <w:r>
              <w:rPr>
                <w:rFonts w:ascii="宋体" w:hAnsi="宋体" w:eastAsia="宋体" w:cs="Times New Roman"/>
                <w:color w:val="auto"/>
                <w:vertAlign w:val="superscript"/>
              </w:rPr>
              <w:t>2</w:t>
            </w:r>
            <w:r>
              <w:rPr>
                <w:rFonts w:ascii="宋体" w:hAnsi="宋体" w:eastAsia="宋体" w:cs="Times New Roman"/>
                <w:color w:val="auto"/>
              </w:rPr>
              <w:t>）</w:t>
            </w:r>
          </w:p>
        </w:tc>
        <w:tc>
          <w:tcPr>
            <w:tcW w:w="834" w:type="pct"/>
            <w:vMerge w:val="restart"/>
            <w:shd w:val="clear" w:color="auto" w:fill="auto"/>
            <w:vAlign w:val="center"/>
          </w:tcPr>
          <w:p w14:paraId="0CD3C5BB">
            <w:pPr>
              <w:adjustRightInd w:val="0"/>
              <w:snapToGrid w:val="0"/>
              <w:jc w:val="center"/>
              <w:rPr>
                <w:rFonts w:ascii="宋体" w:hAnsi="宋体" w:eastAsia="宋体" w:cs="Times New Roman"/>
                <w:color w:val="auto"/>
              </w:rPr>
            </w:pPr>
            <w:r>
              <w:rPr>
                <w:rFonts w:ascii="宋体" w:hAnsi="宋体" w:eastAsia="宋体" w:cs="Times New Roman"/>
                <w:color w:val="auto"/>
              </w:rPr>
              <w:t>生物量（t）</w:t>
            </w:r>
          </w:p>
        </w:tc>
        <w:tc>
          <w:tcPr>
            <w:tcW w:w="833" w:type="pct"/>
            <w:vMerge w:val="restart"/>
            <w:shd w:val="clear" w:color="auto" w:fill="auto"/>
            <w:vAlign w:val="center"/>
          </w:tcPr>
          <w:p w14:paraId="335549BC">
            <w:pPr>
              <w:adjustRightInd w:val="0"/>
              <w:snapToGrid w:val="0"/>
              <w:jc w:val="center"/>
              <w:rPr>
                <w:rFonts w:ascii="宋体" w:hAnsi="宋体" w:eastAsia="宋体" w:cs="Times New Roman"/>
                <w:color w:val="auto"/>
              </w:rPr>
            </w:pPr>
            <w:r>
              <w:rPr>
                <w:rFonts w:ascii="宋体" w:hAnsi="宋体" w:eastAsia="宋体" w:cs="Times New Roman"/>
                <w:color w:val="auto"/>
              </w:rPr>
              <w:t>占总生物量的比例</w:t>
            </w:r>
          </w:p>
        </w:tc>
      </w:tr>
      <w:tr w14:paraId="55FA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vMerge w:val="continue"/>
            <w:shd w:val="clear" w:color="auto" w:fill="auto"/>
            <w:vAlign w:val="center"/>
          </w:tcPr>
          <w:p w14:paraId="4C98C54C">
            <w:pPr>
              <w:adjustRightInd w:val="0"/>
              <w:snapToGrid w:val="0"/>
              <w:jc w:val="center"/>
              <w:rPr>
                <w:rFonts w:ascii="宋体" w:hAnsi="宋体" w:eastAsia="宋体" w:cs="Times New Roman"/>
                <w:color w:val="auto"/>
              </w:rPr>
            </w:pPr>
          </w:p>
        </w:tc>
        <w:tc>
          <w:tcPr>
            <w:tcW w:w="771" w:type="pct"/>
            <w:shd w:val="clear" w:color="auto" w:fill="auto"/>
            <w:vAlign w:val="center"/>
          </w:tcPr>
          <w:p w14:paraId="1BD5E5D4">
            <w:pPr>
              <w:adjustRightInd w:val="0"/>
              <w:snapToGrid w:val="0"/>
              <w:jc w:val="center"/>
              <w:rPr>
                <w:rFonts w:ascii="宋体" w:hAnsi="宋体" w:eastAsia="宋体" w:cs="Times New Roman"/>
                <w:color w:val="auto"/>
              </w:rPr>
            </w:pPr>
            <w:r>
              <w:rPr>
                <w:rFonts w:ascii="宋体" w:hAnsi="宋体" w:eastAsia="宋体" w:cs="Times New Roman"/>
                <w:color w:val="auto"/>
              </w:rPr>
              <w:t>永久占地</w:t>
            </w:r>
          </w:p>
        </w:tc>
        <w:tc>
          <w:tcPr>
            <w:tcW w:w="833" w:type="pct"/>
            <w:shd w:val="clear" w:color="auto" w:fill="auto"/>
            <w:vAlign w:val="center"/>
          </w:tcPr>
          <w:p w14:paraId="77DEBB19">
            <w:pPr>
              <w:adjustRightInd w:val="0"/>
              <w:snapToGrid w:val="0"/>
              <w:jc w:val="center"/>
              <w:rPr>
                <w:rFonts w:ascii="宋体" w:hAnsi="宋体" w:eastAsia="宋体" w:cs="Times New Roman"/>
                <w:color w:val="auto"/>
              </w:rPr>
            </w:pPr>
            <w:r>
              <w:rPr>
                <w:rFonts w:ascii="宋体" w:hAnsi="宋体" w:eastAsia="宋体" w:cs="Times New Roman"/>
                <w:color w:val="auto"/>
              </w:rPr>
              <w:t>临时占地</w:t>
            </w:r>
          </w:p>
        </w:tc>
        <w:tc>
          <w:tcPr>
            <w:tcW w:w="834" w:type="pct"/>
            <w:vMerge w:val="continue"/>
            <w:shd w:val="clear" w:color="auto" w:fill="auto"/>
            <w:vAlign w:val="center"/>
          </w:tcPr>
          <w:p w14:paraId="36BC9A0E">
            <w:pPr>
              <w:adjustRightInd w:val="0"/>
              <w:snapToGrid w:val="0"/>
              <w:jc w:val="center"/>
              <w:rPr>
                <w:rFonts w:ascii="宋体" w:hAnsi="宋体" w:eastAsia="宋体" w:cs="Times New Roman"/>
                <w:color w:val="auto"/>
              </w:rPr>
            </w:pPr>
          </w:p>
        </w:tc>
        <w:tc>
          <w:tcPr>
            <w:tcW w:w="834" w:type="pct"/>
            <w:vMerge w:val="continue"/>
            <w:shd w:val="clear" w:color="auto" w:fill="auto"/>
            <w:vAlign w:val="center"/>
          </w:tcPr>
          <w:p w14:paraId="7C6EDB2E">
            <w:pPr>
              <w:adjustRightInd w:val="0"/>
              <w:snapToGrid w:val="0"/>
              <w:jc w:val="center"/>
              <w:rPr>
                <w:rFonts w:ascii="宋体" w:hAnsi="宋体" w:eastAsia="宋体" w:cs="Times New Roman"/>
                <w:color w:val="auto"/>
              </w:rPr>
            </w:pPr>
          </w:p>
        </w:tc>
        <w:tc>
          <w:tcPr>
            <w:tcW w:w="833" w:type="pct"/>
            <w:vMerge w:val="continue"/>
            <w:shd w:val="clear" w:color="auto" w:fill="auto"/>
            <w:vAlign w:val="center"/>
          </w:tcPr>
          <w:p w14:paraId="43DB7A95">
            <w:pPr>
              <w:adjustRightInd w:val="0"/>
              <w:snapToGrid w:val="0"/>
              <w:jc w:val="center"/>
              <w:rPr>
                <w:rFonts w:ascii="宋体" w:hAnsi="宋体" w:eastAsia="宋体" w:cs="Times New Roman"/>
                <w:color w:val="auto"/>
              </w:rPr>
            </w:pPr>
          </w:p>
        </w:tc>
      </w:tr>
      <w:tr w14:paraId="62F4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shd w:val="clear" w:color="auto" w:fill="auto"/>
            <w:vAlign w:val="center"/>
          </w:tcPr>
          <w:p w14:paraId="05C721E0">
            <w:pPr>
              <w:adjustRightInd w:val="0"/>
              <w:jc w:val="center"/>
              <w:textAlignment w:val="center"/>
              <w:rPr>
                <w:rFonts w:ascii="宋体" w:hAnsi="宋体" w:eastAsia="宋体" w:cs="Times New Roman"/>
                <w:color w:val="auto"/>
              </w:rPr>
            </w:pPr>
            <w:r>
              <w:rPr>
                <w:rFonts w:ascii="宋体" w:hAnsi="宋体" w:eastAsia="宋体" w:cs="Times New Roman"/>
                <w:color w:val="auto"/>
              </w:rPr>
              <w:t>耕地</w:t>
            </w:r>
          </w:p>
        </w:tc>
        <w:tc>
          <w:tcPr>
            <w:tcW w:w="771" w:type="pct"/>
            <w:shd w:val="clear" w:color="auto" w:fill="auto"/>
            <w:vAlign w:val="center"/>
          </w:tcPr>
          <w:p w14:paraId="436B3137">
            <w:pPr>
              <w:jc w:val="center"/>
              <w:textAlignment w:val="center"/>
              <w:rPr>
                <w:rFonts w:ascii="宋体" w:hAnsi="宋体" w:eastAsia="宋体" w:cs="Times New Roman"/>
                <w:color w:val="auto"/>
              </w:rPr>
            </w:pPr>
            <w:r>
              <w:rPr>
                <w:rFonts w:hint="eastAsia" w:ascii="宋体" w:hAnsi="宋体" w:eastAsia="宋体" w:cs="Times New Roman"/>
                <w:color w:val="auto"/>
              </w:rPr>
              <w:t>1.463</w:t>
            </w:r>
          </w:p>
        </w:tc>
        <w:tc>
          <w:tcPr>
            <w:tcW w:w="833" w:type="pct"/>
            <w:shd w:val="clear" w:color="auto" w:fill="auto"/>
            <w:vAlign w:val="center"/>
          </w:tcPr>
          <w:p w14:paraId="024BF695">
            <w:pPr>
              <w:jc w:val="center"/>
              <w:textAlignment w:val="center"/>
              <w:rPr>
                <w:rFonts w:ascii="宋体" w:hAnsi="宋体" w:eastAsia="宋体" w:cs="Times New Roman"/>
                <w:color w:val="auto"/>
              </w:rPr>
            </w:pPr>
            <w:r>
              <w:rPr>
                <w:rFonts w:hint="eastAsia" w:ascii="宋体" w:hAnsi="宋体" w:eastAsia="宋体" w:cs="Times New Roman"/>
                <w:color w:val="auto"/>
              </w:rPr>
              <w:t>2.7</w:t>
            </w:r>
          </w:p>
        </w:tc>
        <w:tc>
          <w:tcPr>
            <w:tcW w:w="834" w:type="pct"/>
            <w:shd w:val="clear" w:color="auto" w:fill="auto"/>
            <w:vAlign w:val="center"/>
          </w:tcPr>
          <w:p w14:paraId="373F5F50">
            <w:pPr>
              <w:jc w:val="center"/>
              <w:textAlignment w:val="center"/>
              <w:rPr>
                <w:rFonts w:ascii="宋体" w:hAnsi="宋体" w:eastAsia="宋体" w:cs="Times New Roman"/>
                <w:color w:val="auto"/>
              </w:rPr>
            </w:pPr>
            <w:r>
              <w:rPr>
                <w:rFonts w:ascii="宋体" w:hAnsi="宋体" w:eastAsia="宋体" w:cs="Times New Roman"/>
                <w:color w:val="auto"/>
              </w:rPr>
              <w:t>25.5</w:t>
            </w:r>
          </w:p>
        </w:tc>
        <w:tc>
          <w:tcPr>
            <w:tcW w:w="834" w:type="pct"/>
            <w:shd w:val="clear" w:color="auto" w:fill="auto"/>
            <w:vAlign w:val="center"/>
          </w:tcPr>
          <w:p w14:paraId="153847D9">
            <w:pPr>
              <w:jc w:val="center"/>
              <w:textAlignment w:val="center"/>
              <w:rPr>
                <w:rFonts w:ascii="宋体" w:hAnsi="宋体" w:eastAsia="宋体" w:cs="Times New Roman"/>
                <w:color w:val="auto"/>
              </w:rPr>
            </w:pPr>
            <w:r>
              <w:rPr>
                <w:rFonts w:hint="eastAsia" w:ascii="宋体" w:hAnsi="宋体" w:eastAsia="宋体" w:cs="Times New Roman"/>
                <w:color w:val="auto"/>
              </w:rPr>
              <w:t>106.16</w:t>
            </w:r>
          </w:p>
        </w:tc>
        <w:tc>
          <w:tcPr>
            <w:tcW w:w="833" w:type="pct"/>
            <w:shd w:val="clear" w:color="auto" w:fill="auto"/>
            <w:vAlign w:val="center"/>
          </w:tcPr>
          <w:p w14:paraId="2B291AC3">
            <w:pPr>
              <w:jc w:val="center"/>
              <w:textAlignment w:val="center"/>
              <w:rPr>
                <w:rFonts w:ascii="宋体" w:hAnsi="宋体" w:eastAsia="宋体" w:cs="Times New Roman"/>
                <w:color w:val="auto"/>
              </w:rPr>
            </w:pPr>
            <w:r>
              <w:rPr>
                <w:rFonts w:ascii="宋体" w:hAnsi="宋体" w:eastAsia="宋体" w:cs="Times New Roman"/>
                <w:color w:val="auto"/>
                <w:lang w:bidi="ar"/>
              </w:rPr>
              <w:t>9</w:t>
            </w:r>
            <w:r>
              <w:rPr>
                <w:rFonts w:hint="eastAsia" w:ascii="宋体" w:hAnsi="宋体" w:eastAsia="宋体" w:cs="Times New Roman"/>
                <w:color w:val="auto"/>
                <w:lang w:bidi="ar"/>
              </w:rPr>
              <w:t>1.75</w:t>
            </w:r>
            <w:r>
              <w:rPr>
                <w:rFonts w:ascii="宋体" w:hAnsi="宋体" w:eastAsia="宋体" w:cs="Times New Roman"/>
                <w:color w:val="auto"/>
                <w:lang w:bidi="ar"/>
              </w:rPr>
              <w:t>%</w:t>
            </w:r>
          </w:p>
        </w:tc>
      </w:tr>
      <w:tr w14:paraId="1CF2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shd w:val="clear" w:color="auto" w:fill="auto"/>
            <w:vAlign w:val="center"/>
          </w:tcPr>
          <w:p w14:paraId="5781F0AD">
            <w:pPr>
              <w:adjustRightInd w:val="0"/>
              <w:jc w:val="center"/>
              <w:textAlignment w:val="center"/>
              <w:rPr>
                <w:rFonts w:ascii="宋体" w:hAnsi="宋体" w:eastAsia="宋体" w:cs="Times New Roman"/>
                <w:color w:val="auto"/>
              </w:rPr>
            </w:pPr>
            <w:r>
              <w:rPr>
                <w:rFonts w:ascii="宋体" w:hAnsi="宋体" w:eastAsia="宋体" w:cs="Times New Roman"/>
                <w:color w:val="auto"/>
              </w:rPr>
              <w:t>草地</w:t>
            </w:r>
          </w:p>
        </w:tc>
        <w:tc>
          <w:tcPr>
            <w:tcW w:w="771" w:type="pct"/>
            <w:shd w:val="clear" w:color="auto" w:fill="auto"/>
            <w:vAlign w:val="center"/>
          </w:tcPr>
          <w:p w14:paraId="2EFB139C">
            <w:pPr>
              <w:jc w:val="center"/>
              <w:textAlignment w:val="center"/>
              <w:rPr>
                <w:rFonts w:ascii="宋体" w:hAnsi="宋体" w:eastAsia="宋体" w:cs="Times New Roman"/>
                <w:color w:val="auto"/>
              </w:rPr>
            </w:pPr>
            <w:r>
              <w:rPr>
                <w:rFonts w:hint="eastAsia" w:ascii="宋体" w:hAnsi="宋体" w:eastAsia="宋体" w:cs="Times New Roman"/>
                <w:color w:val="auto"/>
              </w:rPr>
              <w:t>1.791</w:t>
            </w:r>
          </w:p>
        </w:tc>
        <w:tc>
          <w:tcPr>
            <w:tcW w:w="833" w:type="pct"/>
            <w:shd w:val="clear" w:color="auto" w:fill="auto"/>
            <w:vAlign w:val="center"/>
          </w:tcPr>
          <w:p w14:paraId="712C1DB0">
            <w:pPr>
              <w:jc w:val="center"/>
              <w:textAlignment w:val="center"/>
              <w:rPr>
                <w:rFonts w:ascii="宋体" w:hAnsi="宋体" w:eastAsia="宋体" w:cs="Times New Roman"/>
                <w:color w:val="auto"/>
              </w:rPr>
            </w:pPr>
            <w:r>
              <w:rPr>
                <w:rFonts w:hint="eastAsia" w:ascii="宋体" w:hAnsi="宋体" w:eastAsia="宋体" w:cs="Times New Roman"/>
                <w:color w:val="auto"/>
              </w:rPr>
              <w:t>1.76</w:t>
            </w:r>
          </w:p>
        </w:tc>
        <w:tc>
          <w:tcPr>
            <w:tcW w:w="834" w:type="pct"/>
            <w:shd w:val="clear" w:color="auto" w:fill="auto"/>
            <w:vAlign w:val="center"/>
          </w:tcPr>
          <w:p w14:paraId="447BD6DB">
            <w:pPr>
              <w:jc w:val="center"/>
              <w:textAlignment w:val="center"/>
              <w:rPr>
                <w:rFonts w:ascii="宋体" w:hAnsi="宋体" w:eastAsia="宋体" w:cs="Times New Roman"/>
                <w:color w:val="auto"/>
              </w:rPr>
            </w:pPr>
            <w:r>
              <w:rPr>
                <w:rFonts w:ascii="宋体" w:hAnsi="宋体" w:eastAsia="宋体" w:cs="Times New Roman"/>
                <w:color w:val="auto"/>
              </w:rPr>
              <w:t>2.69</w:t>
            </w:r>
          </w:p>
        </w:tc>
        <w:tc>
          <w:tcPr>
            <w:tcW w:w="834" w:type="pct"/>
            <w:shd w:val="clear" w:color="auto" w:fill="auto"/>
            <w:vAlign w:val="center"/>
          </w:tcPr>
          <w:p w14:paraId="5DEE7B61">
            <w:pPr>
              <w:jc w:val="center"/>
              <w:textAlignment w:val="center"/>
              <w:rPr>
                <w:rFonts w:ascii="宋体" w:hAnsi="宋体" w:eastAsia="宋体" w:cs="Times New Roman"/>
                <w:color w:val="auto"/>
              </w:rPr>
            </w:pPr>
            <w:r>
              <w:rPr>
                <w:rFonts w:hint="eastAsia" w:ascii="宋体" w:hAnsi="宋体" w:eastAsia="宋体" w:cs="Times New Roman"/>
                <w:color w:val="auto"/>
              </w:rPr>
              <w:t>9.55</w:t>
            </w:r>
          </w:p>
        </w:tc>
        <w:tc>
          <w:tcPr>
            <w:tcW w:w="833" w:type="pct"/>
            <w:shd w:val="clear" w:color="auto" w:fill="auto"/>
            <w:vAlign w:val="center"/>
          </w:tcPr>
          <w:p w14:paraId="210020B1">
            <w:pPr>
              <w:jc w:val="center"/>
              <w:textAlignment w:val="center"/>
              <w:rPr>
                <w:rFonts w:ascii="宋体" w:hAnsi="宋体" w:eastAsia="宋体" w:cs="Times New Roman"/>
                <w:color w:val="auto"/>
              </w:rPr>
            </w:pPr>
            <w:r>
              <w:rPr>
                <w:rFonts w:hint="eastAsia" w:ascii="宋体" w:hAnsi="宋体" w:eastAsia="宋体" w:cs="Times New Roman"/>
                <w:color w:val="auto"/>
                <w:lang w:bidi="ar"/>
              </w:rPr>
              <w:t>8.25</w:t>
            </w:r>
            <w:r>
              <w:rPr>
                <w:rFonts w:ascii="宋体" w:hAnsi="宋体" w:eastAsia="宋体" w:cs="Times New Roman"/>
                <w:color w:val="auto"/>
                <w:lang w:bidi="ar"/>
              </w:rPr>
              <w:t>%</w:t>
            </w:r>
          </w:p>
        </w:tc>
      </w:tr>
      <w:tr w14:paraId="020E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5" w:type="pct"/>
            <w:shd w:val="clear" w:color="auto" w:fill="auto"/>
            <w:vAlign w:val="center"/>
          </w:tcPr>
          <w:p w14:paraId="2CCA2B42">
            <w:pPr>
              <w:adjustRightInd w:val="0"/>
              <w:jc w:val="center"/>
              <w:textAlignment w:val="center"/>
              <w:rPr>
                <w:rFonts w:ascii="宋体" w:hAnsi="宋体" w:eastAsia="宋体" w:cs="Times New Roman"/>
                <w:color w:val="auto"/>
              </w:rPr>
            </w:pPr>
            <w:r>
              <w:rPr>
                <w:rFonts w:ascii="宋体" w:hAnsi="宋体" w:eastAsia="宋体" w:cs="Times New Roman"/>
                <w:color w:val="auto"/>
                <w:lang w:bidi="ar"/>
              </w:rPr>
              <w:t>合计</w:t>
            </w:r>
          </w:p>
        </w:tc>
        <w:tc>
          <w:tcPr>
            <w:tcW w:w="771" w:type="pct"/>
            <w:shd w:val="clear" w:color="auto" w:fill="auto"/>
            <w:vAlign w:val="center"/>
          </w:tcPr>
          <w:p w14:paraId="62EA4D87">
            <w:pPr>
              <w:jc w:val="center"/>
              <w:textAlignment w:val="center"/>
              <w:rPr>
                <w:rFonts w:ascii="宋体" w:hAnsi="宋体" w:eastAsia="宋体" w:cs="Times New Roman"/>
                <w:color w:val="auto"/>
              </w:rPr>
            </w:pPr>
            <w:r>
              <w:rPr>
                <w:rFonts w:hint="eastAsia" w:ascii="宋体" w:hAnsi="宋体" w:eastAsia="宋体" w:cs="Times New Roman"/>
                <w:color w:val="auto"/>
              </w:rPr>
              <w:t>3.254</w:t>
            </w:r>
          </w:p>
        </w:tc>
        <w:tc>
          <w:tcPr>
            <w:tcW w:w="833" w:type="pct"/>
            <w:shd w:val="clear" w:color="auto" w:fill="auto"/>
            <w:vAlign w:val="center"/>
          </w:tcPr>
          <w:p w14:paraId="51AD29FB">
            <w:pPr>
              <w:jc w:val="center"/>
              <w:textAlignment w:val="center"/>
              <w:rPr>
                <w:rFonts w:ascii="宋体" w:hAnsi="宋体" w:eastAsia="宋体" w:cs="Times New Roman"/>
                <w:color w:val="auto"/>
              </w:rPr>
            </w:pPr>
            <w:r>
              <w:rPr>
                <w:rFonts w:hint="eastAsia" w:ascii="宋体" w:hAnsi="宋体" w:eastAsia="宋体" w:cs="Times New Roman"/>
                <w:color w:val="auto"/>
              </w:rPr>
              <w:t>4.46</w:t>
            </w:r>
          </w:p>
        </w:tc>
        <w:tc>
          <w:tcPr>
            <w:tcW w:w="834" w:type="pct"/>
            <w:shd w:val="clear" w:color="auto" w:fill="auto"/>
            <w:vAlign w:val="center"/>
          </w:tcPr>
          <w:p w14:paraId="7B305846">
            <w:pPr>
              <w:jc w:val="center"/>
              <w:rPr>
                <w:rFonts w:ascii="宋体" w:hAnsi="宋体" w:eastAsia="宋体" w:cs="Times New Roman"/>
                <w:color w:val="auto"/>
              </w:rPr>
            </w:pPr>
            <w:r>
              <w:rPr>
                <w:rFonts w:ascii="宋体" w:hAnsi="宋体" w:eastAsia="宋体" w:cs="Times New Roman"/>
                <w:color w:val="auto"/>
              </w:rPr>
              <w:t>/</w:t>
            </w:r>
          </w:p>
        </w:tc>
        <w:tc>
          <w:tcPr>
            <w:tcW w:w="834" w:type="pct"/>
            <w:shd w:val="clear" w:color="auto" w:fill="auto"/>
            <w:vAlign w:val="center"/>
          </w:tcPr>
          <w:p w14:paraId="08B76A52">
            <w:pPr>
              <w:jc w:val="center"/>
              <w:textAlignment w:val="center"/>
              <w:rPr>
                <w:rFonts w:ascii="宋体" w:hAnsi="宋体" w:eastAsia="宋体" w:cs="Times New Roman"/>
                <w:color w:val="auto"/>
              </w:rPr>
            </w:pPr>
            <w:r>
              <w:rPr>
                <w:rFonts w:hint="eastAsia" w:ascii="宋体" w:hAnsi="宋体" w:eastAsia="宋体" w:cs="Times New Roman"/>
                <w:color w:val="auto"/>
              </w:rPr>
              <w:t>115.71</w:t>
            </w:r>
          </w:p>
        </w:tc>
        <w:tc>
          <w:tcPr>
            <w:tcW w:w="833" w:type="pct"/>
            <w:shd w:val="clear" w:color="auto" w:fill="auto"/>
            <w:vAlign w:val="center"/>
          </w:tcPr>
          <w:p w14:paraId="7F768D0C">
            <w:pPr>
              <w:jc w:val="center"/>
              <w:textAlignment w:val="center"/>
              <w:rPr>
                <w:rFonts w:ascii="宋体" w:hAnsi="宋体" w:eastAsia="宋体" w:cs="Times New Roman"/>
                <w:color w:val="auto"/>
              </w:rPr>
            </w:pPr>
            <w:r>
              <w:rPr>
                <w:rFonts w:ascii="宋体" w:hAnsi="宋体" w:eastAsia="宋体" w:cs="Times New Roman"/>
                <w:color w:val="auto"/>
                <w:lang w:bidi="ar"/>
              </w:rPr>
              <w:t>100.00%</w:t>
            </w:r>
          </w:p>
        </w:tc>
      </w:tr>
    </w:tbl>
    <w:p w14:paraId="5C18B69D">
      <w:pPr>
        <w:pStyle w:val="276"/>
        <w:widowControl w:val="0"/>
        <w:ind w:firstLine="480"/>
        <w:jc w:val="both"/>
        <w:rPr>
          <w:color w:val="auto"/>
        </w:rPr>
      </w:pPr>
    </w:p>
    <w:p w14:paraId="2333BC3A">
      <w:pPr>
        <w:pStyle w:val="276"/>
        <w:widowControl w:val="0"/>
        <w:ind w:firstLine="480"/>
        <w:jc w:val="both"/>
        <w:rPr>
          <w:color w:val="auto"/>
        </w:rPr>
      </w:pPr>
      <w:r>
        <w:rPr>
          <w:rFonts w:hint="eastAsia"/>
          <w:color w:val="auto"/>
        </w:rPr>
        <w:t>3）不同工程类型对植被影响分析</w:t>
      </w:r>
    </w:p>
    <w:p w14:paraId="12C8C4B4">
      <w:pPr>
        <w:pStyle w:val="276"/>
        <w:widowControl w:val="0"/>
        <w:ind w:firstLine="480"/>
        <w:jc w:val="both"/>
        <w:rPr>
          <w:color w:val="auto"/>
        </w:rPr>
      </w:pPr>
      <w:r>
        <w:rPr>
          <w:rFonts w:hint="eastAsia"/>
          <w:color w:val="auto"/>
        </w:rPr>
        <w:t>（1）井场工程对植被影响分析</w:t>
      </w:r>
    </w:p>
    <w:p w14:paraId="40378BC3">
      <w:pPr>
        <w:pStyle w:val="4"/>
        <w:ind w:firstLine="480"/>
        <w:rPr>
          <w:color w:val="auto"/>
        </w:rPr>
      </w:pPr>
      <w:r>
        <w:rPr>
          <w:rFonts w:hint="eastAsia"/>
          <w:color w:val="auto"/>
        </w:rPr>
        <w:t>井场工程对植被的影响主要为钻前工程的土地平整、钻机安置、施工机械碾压、施工人员及车辆踩踏等施工活动对植被的破坏。土地平整将清除井场内全部植被，最直接的影响就是造成植物死亡，地表裸露，将造成评价区植被生物量和生产力下降。同时，施工尘土附着在植物叶片表面，影响植物的光合作用，尤其是会对植物幼苗生理特性产生影响。另外，施工人员踩踏和施工机械设备碾压也会对植被的生长产生不利影响。</w:t>
      </w:r>
    </w:p>
    <w:p w14:paraId="3B2EF9BE">
      <w:pPr>
        <w:pStyle w:val="276"/>
        <w:widowControl w:val="0"/>
        <w:ind w:firstLine="480"/>
        <w:jc w:val="both"/>
        <w:rPr>
          <w:color w:val="auto"/>
        </w:rPr>
      </w:pPr>
      <w:r>
        <w:rPr>
          <w:rFonts w:hint="eastAsia"/>
          <w:color w:val="auto"/>
        </w:rPr>
        <w:t>井场占地占评价区总面积的比例较小，对植被影响的特征是形成建设用地斑块，而对植物群落的演替基本没有影响。施工结束采取植物恢复措施后，生物量在2年～3年后可全部恢复。本项目占用植被类型主要为农田和草地，其中农田以水稻、玉米为主，草地以羊草、狗尾草等为主，不占用国家级及黑龙江省级重点保护植物。施工结束后，临时占地植被可及时恢复，因此，井场工程对评价区植被的影响在可接受范围内。</w:t>
      </w:r>
    </w:p>
    <w:p w14:paraId="416A8472">
      <w:pPr>
        <w:pStyle w:val="276"/>
        <w:widowControl w:val="0"/>
        <w:ind w:firstLine="480"/>
        <w:jc w:val="both"/>
        <w:rPr>
          <w:color w:val="auto"/>
        </w:rPr>
      </w:pPr>
      <w:r>
        <w:rPr>
          <w:rFonts w:hint="eastAsia"/>
          <w:color w:val="auto"/>
        </w:rPr>
        <w:t>（</w:t>
      </w:r>
      <w:r>
        <w:rPr>
          <w:color w:val="auto"/>
        </w:rPr>
        <w:t>2</w:t>
      </w:r>
      <w:r>
        <w:rPr>
          <w:rFonts w:hint="eastAsia"/>
          <w:color w:val="auto"/>
        </w:rPr>
        <w:t>）道路工程对植被影响分析</w:t>
      </w:r>
    </w:p>
    <w:p w14:paraId="2E67EF78">
      <w:pPr>
        <w:pStyle w:val="276"/>
        <w:widowControl w:val="0"/>
        <w:ind w:firstLine="480"/>
        <w:jc w:val="both"/>
        <w:rPr>
          <w:color w:val="auto"/>
        </w:rPr>
      </w:pPr>
      <w:r>
        <w:rPr>
          <w:rFonts w:hint="eastAsia"/>
          <w:color w:val="auto"/>
        </w:rPr>
        <w:t>本项目道路建设新增永久占地面积</w:t>
      </w:r>
      <w:r>
        <w:rPr>
          <w:color w:val="auto"/>
        </w:rPr>
        <w:t>4800</w:t>
      </w:r>
      <w:r>
        <w:rPr>
          <w:rFonts w:hint="eastAsia"/>
          <w:color w:val="auto"/>
        </w:rPr>
        <w:t>m</w:t>
      </w:r>
      <w:r>
        <w:rPr>
          <w:rFonts w:hint="eastAsia"/>
          <w:color w:val="auto"/>
          <w:vertAlign w:val="superscript"/>
        </w:rPr>
        <w:t>2</w:t>
      </w:r>
      <w:r>
        <w:rPr>
          <w:rFonts w:hint="eastAsia"/>
          <w:color w:val="auto"/>
        </w:rPr>
        <w:t>。永久占地将会改变土地利用结构，造成生物量永久损失。由于永久占地面积较小，同时对道路边坡进行植被恢复，因此道路建设对植被造成的影响较小。</w:t>
      </w:r>
    </w:p>
    <w:p w14:paraId="645A9134">
      <w:pPr>
        <w:pStyle w:val="276"/>
        <w:widowControl w:val="0"/>
        <w:ind w:firstLine="480"/>
        <w:jc w:val="both"/>
        <w:rPr>
          <w:color w:val="auto"/>
        </w:rPr>
      </w:pPr>
      <w:r>
        <w:rPr>
          <w:rFonts w:hint="eastAsia"/>
          <w:color w:val="auto"/>
        </w:rPr>
        <w:t>类比已开发区块内的油井井场周围植被恢复情况，井场周围的植被情况与未进行井场建设的区域无明显区别。因此，项目对区域的植被影响很小。</w:t>
      </w:r>
    </w:p>
    <w:p w14:paraId="01816417">
      <w:pPr>
        <w:pStyle w:val="276"/>
        <w:widowControl w:val="0"/>
        <w:ind w:firstLine="480"/>
        <w:jc w:val="both"/>
        <w:rPr>
          <w:color w:val="auto"/>
        </w:rPr>
      </w:pPr>
      <w:r>
        <w:rPr>
          <w:rFonts w:hint="eastAsia"/>
          <w:color w:val="auto"/>
        </w:rPr>
        <w:t>在不同的地形或土壤条件下，本项目井场建设的大部分临时占地植被自然恢复速度及效果有所不同。经过多年恢复，已经很难看出井场施工的痕迹，井场周围已恢复原有植被，因此，项目施工对区域植被影响在可接受范围内。</w:t>
      </w:r>
    </w:p>
    <w:p w14:paraId="1C97F358">
      <w:pPr>
        <w:rPr>
          <w:color w:val="auto"/>
        </w:rPr>
      </w:pPr>
    </w:p>
    <w:p w14:paraId="36D7D6C2">
      <w:pPr>
        <w:pStyle w:val="7"/>
        <w:rPr>
          <w:color w:val="auto"/>
        </w:rPr>
      </w:pPr>
      <w:r>
        <w:rPr>
          <w:rFonts w:hint="eastAsia"/>
          <w:color w:val="auto"/>
        </w:rPr>
        <w:t>对农田生态系统</w:t>
      </w:r>
      <w:r>
        <w:rPr>
          <w:color w:val="auto"/>
        </w:rPr>
        <w:t>影响</w:t>
      </w:r>
      <w:r>
        <w:rPr>
          <w:rFonts w:hint="eastAsia"/>
          <w:color w:val="auto"/>
        </w:rPr>
        <w:t>分析</w:t>
      </w:r>
    </w:p>
    <w:p w14:paraId="1156B47E">
      <w:pPr>
        <w:pStyle w:val="276"/>
        <w:widowControl w:val="0"/>
        <w:ind w:firstLine="480"/>
        <w:jc w:val="both"/>
        <w:rPr>
          <w:color w:val="auto"/>
        </w:rPr>
      </w:pPr>
      <w:r>
        <w:rPr>
          <w:rFonts w:hint="eastAsia"/>
          <w:color w:val="auto"/>
        </w:rPr>
        <w:t>（1）对农作物产量的影响</w:t>
      </w:r>
    </w:p>
    <w:p w14:paraId="4656ED8F">
      <w:pPr>
        <w:pStyle w:val="276"/>
        <w:widowControl w:val="0"/>
        <w:ind w:firstLine="480"/>
        <w:jc w:val="both"/>
        <w:rPr>
          <w:color w:val="auto"/>
        </w:rPr>
      </w:pPr>
      <w:r>
        <w:rPr>
          <w:rFonts w:hint="eastAsia"/>
          <w:color w:val="auto"/>
        </w:rPr>
        <w:t>本项目占用少部分耕地，主要种植农作物为水稻、玉米等。施工结束后，临时占地恢复到原有生产力期间的短期损失，为暂时损失。工程结束后，临时占地通过场地清理、土地复垦等措施，可以逐步恢复其原有农业种植功能。因此，施工期占用耕地不会影响评价区农田生态系统结构和功能。</w:t>
      </w:r>
    </w:p>
    <w:p w14:paraId="0FE4721A">
      <w:pPr>
        <w:pStyle w:val="276"/>
        <w:widowControl w:val="0"/>
        <w:ind w:firstLine="480"/>
        <w:jc w:val="both"/>
        <w:rPr>
          <w:color w:val="auto"/>
        </w:rPr>
      </w:pPr>
      <w:r>
        <w:rPr>
          <w:rFonts w:hint="eastAsia"/>
          <w:color w:val="auto"/>
        </w:rPr>
        <w:t>井场工程施工期一般为1个月～3个月，单季损失采用以下公式计算：</w:t>
      </w:r>
    </w:p>
    <w:p w14:paraId="49F9F92E">
      <w:pPr>
        <w:pStyle w:val="276"/>
        <w:widowControl w:val="0"/>
        <w:ind w:firstLine="480"/>
        <w:jc w:val="both"/>
        <w:rPr>
          <w:color w:val="auto"/>
          <w:vertAlign w:val="subscript"/>
        </w:rPr>
      </w:pPr>
      <w:r>
        <w:rPr>
          <w:rFonts w:hint="eastAsia"/>
          <w:color w:val="auto"/>
        </w:rPr>
        <w:t>Y</w:t>
      </w:r>
      <w:r>
        <w:rPr>
          <w:color w:val="auto"/>
          <w:vertAlign w:val="subscript"/>
        </w:rPr>
        <w:t>1</w:t>
      </w:r>
      <w:r>
        <w:rPr>
          <w:color w:val="auto"/>
        </w:rPr>
        <w:t>=A</w:t>
      </w:r>
      <w:r>
        <w:rPr>
          <w:color w:val="auto"/>
          <w:vertAlign w:val="subscript"/>
        </w:rPr>
        <w:t>1</w:t>
      </w:r>
      <w:r>
        <w:rPr>
          <w:color w:val="auto"/>
        </w:rPr>
        <w:t>W</w:t>
      </w:r>
      <w:r>
        <w:rPr>
          <w:color w:val="auto"/>
          <w:vertAlign w:val="subscript"/>
        </w:rPr>
        <w:t>1</w:t>
      </w:r>
    </w:p>
    <w:p w14:paraId="15D93A39">
      <w:pPr>
        <w:pStyle w:val="276"/>
        <w:widowControl w:val="0"/>
        <w:ind w:firstLine="480"/>
        <w:jc w:val="both"/>
        <w:rPr>
          <w:color w:val="auto"/>
        </w:rPr>
      </w:pPr>
      <w:r>
        <w:rPr>
          <w:rFonts w:hint="eastAsia"/>
          <w:color w:val="auto"/>
        </w:rPr>
        <w:t>式中</w:t>
      </w:r>
      <w:r>
        <w:rPr>
          <w:color w:val="auto"/>
        </w:rPr>
        <w:t>：</w:t>
      </w:r>
      <w:r>
        <w:rPr>
          <w:rFonts w:hint="eastAsia"/>
          <w:color w:val="auto"/>
        </w:rPr>
        <w:t>Y</w:t>
      </w:r>
      <w:r>
        <w:rPr>
          <w:color w:val="auto"/>
          <w:vertAlign w:val="subscript"/>
        </w:rPr>
        <w:t>1</w:t>
      </w:r>
      <w:r>
        <w:rPr>
          <w:color w:val="auto"/>
        </w:rPr>
        <w:t>——某一农作物损失量</w:t>
      </w:r>
      <w:r>
        <w:rPr>
          <w:rFonts w:hint="eastAsia"/>
          <w:color w:val="auto"/>
        </w:rPr>
        <w:t>（</w:t>
      </w:r>
      <w:r>
        <w:rPr>
          <w:color w:val="auto"/>
        </w:rPr>
        <w:t>kg</w:t>
      </w:r>
      <w:r>
        <w:rPr>
          <w:rFonts w:hint="eastAsia"/>
          <w:color w:val="auto"/>
        </w:rPr>
        <w:t>）；</w:t>
      </w:r>
    </w:p>
    <w:p w14:paraId="499B4E62">
      <w:pPr>
        <w:pStyle w:val="276"/>
        <w:widowControl w:val="0"/>
        <w:ind w:firstLine="480"/>
        <w:jc w:val="both"/>
        <w:rPr>
          <w:color w:val="auto"/>
        </w:rPr>
      </w:pPr>
      <w:r>
        <w:rPr>
          <w:color w:val="auto"/>
        </w:rPr>
        <w:t>A</w:t>
      </w:r>
      <w:r>
        <w:rPr>
          <w:color w:val="auto"/>
          <w:vertAlign w:val="subscript"/>
        </w:rPr>
        <w:t>1</w:t>
      </w:r>
      <w:r>
        <w:rPr>
          <w:color w:val="auto"/>
        </w:rPr>
        <w:t>——</w:t>
      </w:r>
      <w:r>
        <w:rPr>
          <w:rFonts w:hint="eastAsia"/>
          <w:color w:val="auto"/>
        </w:rPr>
        <w:t>某</w:t>
      </w:r>
      <w:r>
        <w:rPr>
          <w:color w:val="auto"/>
        </w:rPr>
        <w:t>一农作物农田施工占地面积</w:t>
      </w:r>
      <w:r>
        <w:rPr>
          <w:rFonts w:hint="eastAsia"/>
          <w:color w:val="auto"/>
        </w:rPr>
        <w:t>（</w:t>
      </w:r>
      <w:r>
        <w:rPr>
          <w:color w:val="auto"/>
        </w:rPr>
        <w:t>hm</w:t>
      </w:r>
      <w:r>
        <w:rPr>
          <w:color w:val="auto"/>
          <w:vertAlign w:val="superscript"/>
        </w:rPr>
        <w:t>2</w:t>
      </w:r>
      <w:r>
        <w:rPr>
          <w:rFonts w:hint="eastAsia"/>
          <w:color w:val="auto"/>
        </w:rPr>
        <w:t>）；</w:t>
      </w:r>
    </w:p>
    <w:p w14:paraId="661AEFD9">
      <w:pPr>
        <w:pStyle w:val="276"/>
        <w:widowControl w:val="0"/>
        <w:ind w:firstLine="480"/>
        <w:jc w:val="both"/>
        <w:rPr>
          <w:color w:val="auto"/>
        </w:rPr>
      </w:pPr>
      <w:r>
        <w:rPr>
          <w:color w:val="auto"/>
        </w:rPr>
        <w:t>W</w:t>
      </w:r>
      <w:r>
        <w:rPr>
          <w:color w:val="auto"/>
          <w:vertAlign w:val="subscript"/>
        </w:rPr>
        <w:t>1</w:t>
      </w:r>
      <w:r>
        <w:rPr>
          <w:color w:val="auto"/>
        </w:rPr>
        <w:t>——</w:t>
      </w:r>
      <w:r>
        <w:rPr>
          <w:rFonts w:hint="eastAsia"/>
          <w:color w:val="auto"/>
        </w:rPr>
        <w:t>某</w:t>
      </w:r>
      <w:r>
        <w:rPr>
          <w:color w:val="auto"/>
        </w:rPr>
        <w:t>一农作物单位面积</w:t>
      </w:r>
      <w:r>
        <w:rPr>
          <w:rFonts w:hint="eastAsia"/>
          <w:color w:val="auto"/>
        </w:rPr>
        <w:t>（</w:t>
      </w:r>
      <w:r>
        <w:rPr>
          <w:color w:val="auto"/>
        </w:rPr>
        <w:t>kg/hm</w:t>
      </w:r>
      <w:r>
        <w:rPr>
          <w:color w:val="auto"/>
          <w:vertAlign w:val="superscript"/>
        </w:rPr>
        <w:t>2</w:t>
      </w:r>
      <w:r>
        <w:rPr>
          <w:rFonts w:hint="eastAsia"/>
          <w:color w:val="auto"/>
        </w:rPr>
        <w:t>）的</w:t>
      </w:r>
      <w:r>
        <w:rPr>
          <w:color w:val="auto"/>
        </w:rPr>
        <w:t>产量。</w:t>
      </w:r>
    </w:p>
    <w:p w14:paraId="32704767">
      <w:pPr>
        <w:pStyle w:val="276"/>
        <w:widowControl w:val="0"/>
        <w:ind w:firstLine="480"/>
        <w:jc w:val="both"/>
        <w:rPr>
          <w:color w:val="auto"/>
        </w:rPr>
      </w:pPr>
      <w:r>
        <w:rPr>
          <w:rFonts w:hint="eastAsia"/>
          <w:color w:val="auto"/>
        </w:rPr>
        <w:t>临时占地在施工结束后第二年便可恢复种植，但恢复能力约2季～3季，对农业生产造成一定的经济损失，这部分临时性损失计算模式如下：</w:t>
      </w:r>
    </w:p>
    <w:p w14:paraId="186FFFA8">
      <w:pPr>
        <w:pStyle w:val="276"/>
        <w:widowControl w:val="0"/>
        <w:ind w:firstLine="480"/>
        <w:jc w:val="both"/>
        <w:rPr>
          <w:color w:val="auto"/>
        </w:rPr>
      </w:pPr>
      <w:r>
        <w:rPr>
          <w:rFonts w:hint="eastAsia"/>
          <w:color w:val="auto"/>
        </w:rPr>
        <w:t>Y</w:t>
      </w:r>
      <w:r>
        <w:rPr>
          <w:color w:val="auto"/>
          <w:vertAlign w:val="subscript"/>
        </w:rPr>
        <w:t>2</w:t>
      </w:r>
      <w:r>
        <w:rPr>
          <w:color w:val="auto"/>
        </w:rPr>
        <w:t>=A</w:t>
      </w:r>
      <w:r>
        <w:rPr>
          <w:color w:val="auto"/>
          <w:vertAlign w:val="subscript"/>
        </w:rPr>
        <w:t>2</w:t>
      </w:r>
      <w:r>
        <w:rPr>
          <w:color w:val="auto"/>
        </w:rPr>
        <w:t>×（n+1）×（W</w:t>
      </w:r>
      <w:r>
        <w:rPr>
          <w:color w:val="auto"/>
          <w:vertAlign w:val="subscript"/>
        </w:rPr>
        <w:t>1</w:t>
      </w:r>
      <w:r>
        <w:rPr>
          <w:color w:val="auto"/>
        </w:rPr>
        <w:t>-W</w:t>
      </w:r>
      <w:r>
        <w:rPr>
          <w:color w:val="auto"/>
          <w:vertAlign w:val="subscript"/>
        </w:rPr>
        <w:t>2</w:t>
      </w:r>
      <w:r>
        <w:rPr>
          <w:color w:val="auto"/>
        </w:rPr>
        <w:t>）</w:t>
      </w:r>
    </w:p>
    <w:p w14:paraId="1BAF7D37">
      <w:pPr>
        <w:pStyle w:val="276"/>
        <w:widowControl w:val="0"/>
        <w:ind w:firstLine="480"/>
        <w:jc w:val="both"/>
        <w:rPr>
          <w:color w:val="auto"/>
        </w:rPr>
      </w:pPr>
      <w:r>
        <w:rPr>
          <w:rFonts w:hint="eastAsia"/>
          <w:color w:val="auto"/>
        </w:rPr>
        <w:t>式中</w:t>
      </w:r>
      <w:r>
        <w:rPr>
          <w:color w:val="auto"/>
        </w:rPr>
        <w:t>：</w:t>
      </w:r>
      <w:r>
        <w:rPr>
          <w:rFonts w:hint="eastAsia"/>
          <w:color w:val="auto"/>
        </w:rPr>
        <w:t>Y</w:t>
      </w:r>
      <w:r>
        <w:rPr>
          <w:color w:val="auto"/>
          <w:vertAlign w:val="subscript"/>
        </w:rPr>
        <w:t>2</w:t>
      </w:r>
      <w:r>
        <w:rPr>
          <w:color w:val="auto"/>
        </w:rPr>
        <w:t>——</w:t>
      </w:r>
      <w:r>
        <w:rPr>
          <w:rFonts w:hint="eastAsia"/>
          <w:color w:val="auto"/>
        </w:rPr>
        <w:t>本项目</w:t>
      </w:r>
      <w:r>
        <w:rPr>
          <w:color w:val="auto"/>
        </w:rPr>
        <w:t>对农业造成的临时性损失，kg；</w:t>
      </w:r>
    </w:p>
    <w:p w14:paraId="36636EC3">
      <w:pPr>
        <w:pStyle w:val="276"/>
        <w:widowControl w:val="0"/>
        <w:ind w:firstLine="480"/>
        <w:jc w:val="both"/>
        <w:rPr>
          <w:color w:val="auto"/>
        </w:rPr>
      </w:pPr>
      <w:r>
        <w:rPr>
          <w:color w:val="auto"/>
        </w:rPr>
        <w:t>A</w:t>
      </w:r>
      <w:r>
        <w:rPr>
          <w:color w:val="auto"/>
          <w:vertAlign w:val="subscript"/>
        </w:rPr>
        <w:t>2</w:t>
      </w:r>
      <w:r>
        <w:rPr>
          <w:color w:val="auto"/>
        </w:rPr>
        <w:t>——</w:t>
      </w:r>
      <w:r>
        <w:rPr>
          <w:rFonts w:hint="eastAsia"/>
          <w:color w:val="auto"/>
        </w:rPr>
        <w:t>本项目</w:t>
      </w:r>
      <w:r>
        <w:rPr>
          <w:color w:val="auto"/>
        </w:rPr>
        <w:t>临时性占地面积，hm</w:t>
      </w:r>
      <w:r>
        <w:rPr>
          <w:color w:val="auto"/>
          <w:vertAlign w:val="superscript"/>
        </w:rPr>
        <w:t>2</w:t>
      </w:r>
      <w:r>
        <w:rPr>
          <w:rFonts w:hint="eastAsia"/>
          <w:color w:val="auto"/>
        </w:rPr>
        <w:t>；</w:t>
      </w:r>
    </w:p>
    <w:p w14:paraId="1F9D0921">
      <w:pPr>
        <w:pStyle w:val="276"/>
        <w:widowControl w:val="0"/>
        <w:ind w:firstLine="480"/>
        <w:jc w:val="both"/>
        <w:rPr>
          <w:color w:val="auto"/>
        </w:rPr>
      </w:pPr>
      <w:r>
        <w:rPr>
          <w:color w:val="auto"/>
        </w:rPr>
        <w:t>W</w:t>
      </w:r>
      <w:r>
        <w:rPr>
          <w:color w:val="auto"/>
          <w:vertAlign w:val="subscript"/>
        </w:rPr>
        <w:t>1</w:t>
      </w:r>
      <w:r>
        <w:rPr>
          <w:color w:val="auto"/>
        </w:rPr>
        <w:t>——</w:t>
      </w:r>
      <w:r>
        <w:rPr>
          <w:rFonts w:hint="eastAsia"/>
          <w:color w:val="auto"/>
        </w:rPr>
        <w:t>施工</w:t>
      </w:r>
      <w:r>
        <w:rPr>
          <w:color w:val="auto"/>
        </w:rPr>
        <w:t>前耕地粮食的</w:t>
      </w:r>
      <w:r>
        <w:rPr>
          <w:rFonts w:hint="eastAsia"/>
          <w:color w:val="auto"/>
        </w:rPr>
        <w:t>单</w:t>
      </w:r>
      <w:r>
        <w:rPr>
          <w:color w:val="auto"/>
        </w:rPr>
        <w:t>产量，kg/hm</w:t>
      </w:r>
      <w:r>
        <w:rPr>
          <w:color w:val="auto"/>
          <w:vertAlign w:val="superscript"/>
        </w:rPr>
        <w:t>2</w:t>
      </w:r>
      <w:r>
        <w:rPr>
          <w:rFonts w:hint="eastAsia"/>
          <w:color w:val="auto"/>
        </w:rPr>
        <w:t>；</w:t>
      </w:r>
    </w:p>
    <w:p w14:paraId="66740C1B">
      <w:pPr>
        <w:pStyle w:val="276"/>
        <w:widowControl w:val="0"/>
        <w:ind w:firstLine="480"/>
        <w:jc w:val="both"/>
        <w:rPr>
          <w:color w:val="auto"/>
        </w:rPr>
      </w:pPr>
      <w:r>
        <w:rPr>
          <w:color w:val="auto"/>
        </w:rPr>
        <w:t>W</w:t>
      </w:r>
      <w:r>
        <w:rPr>
          <w:color w:val="auto"/>
          <w:vertAlign w:val="subscript"/>
        </w:rPr>
        <w:t>2</w:t>
      </w:r>
      <w:r>
        <w:rPr>
          <w:color w:val="auto"/>
        </w:rPr>
        <w:t>——</w:t>
      </w:r>
      <w:r>
        <w:rPr>
          <w:rFonts w:hint="eastAsia"/>
          <w:color w:val="auto"/>
        </w:rPr>
        <w:t>施工后</w:t>
      </w:r>
      <w:r>
        <w:rPr>
          <w:color w:val="auto"/>
        </w:rPr>
        <w:t>耕地粮食的</w:t>
      </w:r>
      <w:r>
        <w:rPr>
          <w:rFonts w:hint="eastAsia"/>
          <w:color w:val="auto"/>
        </w:rPr>
        <w:t>单</w:t>
      </w:r>
      <w:r>
        <w:rPr>
          <w:color w:val="auto"/>
        </w:rPr>
        <w:t>产量，</w:t>
      </w:r>
      <w:r>
        <w:rPr>
          <w:rFonts w:hint="eastAsia"/>
          <w:color w:val="auto"/>
        </w:rPr>
        <w:t>按</w:t>
      </w:r>
      <w:r>
        <w:rPr>
          <w:color w:val="auto"/>
        </w:rPr>
        <w:t>施工前</w:t>
      </w:r>
      <w:r>
        <w:rPr>
          <w:rFonts w:hint="eastAsia"/>
          <w:color w:val="auto"/>
        </w:rPr>
        <w:t>50</w:t>
      </w:r>
      <w:r>
        <w:rPr>
          <w:color w:val="auto"/>
        </w:rPr>
        <w:t>%计，kg/hm</w:t>
      </w:r>
      <w:r>
        <w:rPr>
          <w:color w:val="auto"/>
          <w:vertAlign w:val="superscript"/>
        </w:rPr>
        <w:t>2</w:t>
      </w:r>
      <w:r>
        <w:rPr>
          <w:rFonts w:hint="eastAsia"/>
          <w:color w:val="auto"/>
        </w:rPr>
        <w:t>；</w:t>
      </w:r>
    </w:p>
    <w:p w14:paraId="0D014ED7">
      <w:pPr>
        <w:pStyle w:val="276"/>
        <w:widowControl w:val="0"/>
        <w:ind w:firstLine="480"/>
        <w:jc w:val="both"/>
        <w:rPr>
          <w:color w:val="auto"/>
        </w:rPr>
      </w:pPr>
      <w:r>
        <w:rPr>
          <w:rFonts w:hint="eastAsia"/>
          <w:color w:val="auto"/>
        </w:rPr>
        <w:t>n</w:t>
      </w:r>
      <w:r>
        <w:rPr>
          <w:color w:val="auto"/>
        </w:rPr>
        <w:t>——</w:t>
      </w:r>
      <w:r>
        <w:rPr>
          <w:rFonts w:hint="eastAsia"/>
          <w:color w:val="auto"/>
        </w:rPr>
        <w:t>耕地</w:t>
      </w:r>
      <w:r>
        <w:rPr>
          <w:color w:val="auto"/>
        </w:rPr>
        <w:t>粮食产量恢复至施工前状态所</w:t>
      </w:r>
      <w:r>
        <w:rPr>
          <w:rFonts w:hint="eastAsia"/>
          <w:color w:val="auto"/>
        </w:rPr>
        <w:t>需</w:t>
      </w:r>
      <w:r>
        <w:rPr>
          <w:color w:val="auto"/>
        </w:rPr>
        <w:t>时间</w:t>
      </w:r>
      <w:r>
        <w:rPr>
          <w:rFonts w:hint="eastAsia"/>
          <w:color w:val="auto"/>
        </w:rPr>
        <w:t>（季）。</w:t>
      </w:r>
    </w:p>
    <w:p w14:paraId="063A3838">
      <w:pPr>
        <w:pStyle w:val="276"/>
        <w:widowControl w:val="0"/>
        <w:ind w:firstLine="480"/>
        <w:jc w:val="both"/>
        <w:rPr>
          <w:color w:val="auto"/>
        </w:rPr>
      </w:pPr>
      <w:r>
        <w:rPr>
          <w:rFonts w:hint="eastAsia"/>
          <w:color w:val="auto"/>
        </w:rPr>
        <w:t>1）临时占地</w:t>
      </w:r>
      <w:r>
        <w:rPr>
          <w:color w:val="auto"/>
        </w:rPr>
        <w:t>农业损失</w:t>
      </w:r>
    </w:p>
    <w:p w14:paraId="028B72F8">
      <w:pPr>
        <w:adjustRightInd w:val="0"/>
        <w:snapToGrid w:val="0"/>
        <w:spacing w:line="331" w:lineRule="auto"/>
        <w:ind w:firstLine="480" w:firstLineChars="200"/>
        <w:rPr>
          <w:rStyle w:val="101"/>
          <w:color w:val="auto"/>
        </w:rPr>
      </w:pPr>
      <w:r>
        <w:rPr>
          <w:rFonts w:hint="eastAsia" w:ascii="宋体" w:hAnsi="宋体" w:eastAsia="宋体" w:cs="Times New Roman"/>
          <w:color w:val="auto"/>
          <w:kern w:val="0"/>
          <w:sz w:val="24"/>
          <w:szCs w:val="24"/>
        </w:rPr>
        <w:t>钻井与地面</w:t>
      </w:r>
      <w:r>
        <w:rPr>
          <w:rFonts w:hint="eastAsia" w:cs="Times New Roman"/>
          <w:color w:val="auto"/>
          <w:kern w:val="0"/>
        </w:rPr>
        <w:t>施</w:t>
      </w:r>
      <w:r>
        <w:rPr>
          <w:rStyle w:val="101"/>
          <w:rFonts w:hint="eastAsia"/>
          <w:color w:val="auto"/>
        </w:rPr>
        <w:t>工会临时</w:t>
      </w:r>
      <w:r>
        <w:rPr>
          <w:rFonts w:hint="eastAsia" w:cs="Times New Roman"/>
          <w:color w:val="auto"/>
          <w:kern w:val="0"/>
        </w:rPr>
        <w:t>占用</w:t>
      </w:r>
      <w:r>
        <w:rPr>
          <w:rStyle w:val="101"/>
          <w:rFonts w:hint="eastAsia"/>
          <w:color w:val="auto"/>
        </w:rPr>
        <w:t>耕地，当季无法种植作物，将耽误全年收成。项目建成投产后暂时影响区内的农田可以恢复种植，但土层翻动使肥力下降。</w:t>
      </w:r>
    </w:p>
    <w:p w14:paraId="3AC65788">
      <w:pPr>
        <w:pStyle w:val="166"/>
        <w:widowControl w:val="0"/>
        <w:numPr>
          <w:ilvl w:val="2"/>
          <w:numId w:val="18"/>
        </w:numPr>
        <w:tabs>
          <w:tab w:val="left" w:pos="377"/>
        </w:tabs>
        <w:adjustRightInd w:val="0"/>
        <w:snapToGrid w:val="0"/>
        <w:spacing w:line="331" w:lineRule="auto"/>
        <w:ind w:firstLineChars="0"/>
        <w:jc w:val="both"/>
        <w:rPr>
          <w:rStyle w:val="101"/>
          <w:color w:val="auto"/>
        </w:rPr>
      </w:pPr>
      <w:r>
        <w:rPr>
          <w:rStyle w:val="101"/>
          <w:rFonts w:hint="eastAsia"/>
          <w:color w:val="auto"/>
        </w:rPr>
        <w:t>施工期</w:t>
      </w:r>
      <w:r>
        <w:rPr>
          <w:rStyle w:val="101"/>
          <w:color w:val="auto"/>
        </w:rPr>
        <w:t>临时占地农业损失</w:t>
      </w:r>
    </w:p>
    <w:p w14:paraId="6618C22A">
      <w:pPr>
        <w:adjustRightInd w:val="0"/>
        <w:snapToGrid w:val="0"/>
        <w:spacing w:line="331" w:lineRule="auto"/>
        <w:ind w:firstLine="480" w:firstLineChars="200"/>
        <w:rPr>
          <w:color w:val="auto"/>
        </w:rPr>
      </w:pPr>
      <w:r>
        <w:rPr>
          <w:rStyle w:val="101"/>
          <w:rFonts w:hint="eastAsia"/>
          <w:color w:val="auto"/>
        </w:rPr>
        <w:t>本次以项目所在区域主要种植的农作物计算农业损失。本项目以施工对粮食产量的影响作为评价标准，计算农业生产损失情况见下表。由下表可知，施工期临时占地将可能造成的农业损失量为</w:t>
      </w:r>
      <w:r>
        <w:rPr>
          <w:rStyle w:val="101"/>
          <w:color w:val="auto"/>
        </w:rPr>
        <w:t>20.10</w:t>
      </w:r>
      <w:r>
        <w:rPr>
          <w:rStyle w:val="101"/>
          <w:rFonts w:hint="eastAsia"/>
          <w:color w:val="auto"/>
        </w:rPr>
        <w:t>t</w:t>
      </w:r>
      <w:r>
        <w:rPr>
          <w:rFonts w:hint="eastAsia"/>
          <w:color w:val="auto"/>
        </w:rPr>
        <w:t>。</w:t>
      </w:r>
    </w:p>
    <w:p w14:paraId="5EDDBA38">
      <w:pPr>
        <w:pStyle w:val="22"/>
        <w:spacing w:before="163"/>
        <w:rPr>
          <w:color w:val="auto"/>
        </w:rPr>
      </w:pPr>
      <w:bookmarkStart w:id="1471" w:name="_Ref65170586"/>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5.7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3</w:t>
      </w:r>
      <w:r>
        <w:rPr>
          <w:color w:val="auto"/>
        </w:rPr>
        <w:fldChar w:fldCharType="end"/>
      </w:r>
      <w:bookmarkEnd w:id="1471"/>
      <w:r>
        <w:rPr>
          <w:rFonts w:hint="eastAsia"/>
          <w:color w:val="auto"/>
        </w:rPr>
        <w:t>施工期</w:t>
      </w:r>
      <w:r>
        <w:rPr>
          <w:color w:val="auto"/>
        </w:rPr>
        <w:t>临时占地农业损失统计表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3124"/>
        <w:gridCol w:w="3394"/>
      </w:tblGrid>
      <w:tr w14:paraId="3C3D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1" w:type="pct"/>
            <w:shd w:val="clear" w:color="auto" w:fill="auto"/>
            <w:vAlign w:val="center"/>
          </w:tcPr>
          <w:p w14:paraId="7B3DE4EF">
            <w:pPr>
              <w:jc w:val="center"/>
              <w:rPr>
                <w:rFonts w:ascii="宋体" w:hAnsi="宋体" w:eastAsia="宋体" w:cs="Arial"/>
                <w:color w:val="auto"/>
              </w:rPr>
            </w:pPr>
            <w:r>
              <w:rPr>
                <w:rFonts w:hint="eastAsia" w:ascii="宋体" w:hAnsi="宋体" w:eastAsia="宋体" w:cs="Arial"/>
                <w:color w:val="auto"/>
              </w:rPr>
              <w:t>土地类型</w:t>
            </w:r>
          </w:p>
        </w:tc>
        <w:tc>
          <w:tcPr>
            <w:tcW w:w="1682" w:type="pct"/>
            <w:shd w:val="clear" w:color="auto" w:fill="auto"/>
            <w:vAlign w:val="center"/>
          </w:tcPr>
          <w:p w14:paraId="1084A8ED">
            <w:pPr>
              <w:jc w:val="center"/>
              <w:rPr>
                <w:rFonts w:ascii="宋体" w:hAnsi="宋体" w:eastAsia="宋体" w:cs="Arial"/>
                <w:color w:val="auto"/>
              </w:rPr>
            </w:pPr>
            <w:r>
              <w:rPr>
                <w:rFonts w:hint="eastAsia" w:ascii="宋体" w:hAnsi="宋体" w:eastAsia="宋体" w:cs="Arial"/>
                <w:color w:val="auto"/>
              </w:rPr>
              <w:t>面积（hm</w:t>
            </w:r>
            <w:r>
              <w:rPr>
                <w:rFonts w:hint="eastAsia" w:ascii="宋体" w:hAnsi="宋体" w:eastAsia="宋体" w:cs="Arial"/>
                <w:color w:val="auto"/>
                <w:vertAlign w:val="superscript"/>
              </w:rPr>
              <w:t>2</w:t>
            </w:r>
            <w:r>
              <w:rPr>
                <w:rFonts w:hint="eastAsia" w:ascii="宋体" w:hAnsi="宋体" w:eastAsia="宋体" w:cs="Arial"/>
                <w:color w:val="auto"/>
              </w:rPr>
              <w:t>）</w:t>
            </w:r>
          </w:p>
        </w:tc>
        <w:tc>
          <w:tcPr>
            <w:tcW w:w="1828" w:type="pct"/>
            <w:shd w:val="clear" w:color="auto" w:fill="auto"/>
            <w:vAlign w:val="center"/>
          </w:tcPr>
          <w:p w14:paraId="6559AC8E">
            <w:pPr>
              <w:jc w:val="center"/>
              <w:rPr>
                <w:rFonts w:ascii="宋体" w:hAnsi="宋体" w:eastAsia="宋体" w:cs="Arial"/>
                <w:color w:val="auto"/>
              </w:rPr>
            </w:pPr>
            <w:r>
              <w:rPr>
                <w:rFonts w:hint="eastAsia" w:ascii="宋体" w:hAnsi="宋体" w:eastAsia="宋体" w:cs="Arial"/>
                <w:color w:val="auto"/>
              </w:rPr>
              <w:t>损失量（t）</w:t>
            </w:r>
          </w:p>
        </w:tc>
      </w:tr>
      <w:tr w14:paraId="3311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1" w:type="pct"/>
            <w:shd w:val="clear" w:color="auto" w:fill="auto"/>
            <w:vAlign w:val="center"/>
          </w:tcPr>
          <w:p w14:paraId="235CE9CE">
            <w:pPr>
              <w:jc w:val="center"/>
              <w:rPr>
                <w:rFonts w:ascii="宋体" w:hAnsi="宋体" w:eastAsia="宋体" w:cs="Arial"/>
                <w:color w:val="auto"/>
              </w:rPr>
            </w:pPr>
            <w:r>
              <w:rPr>
                <w:rFonts w:hint="eastAsia" w:ascii="宋体" w:hAnsi="宋体" w:eastAsia="宋体" w:cs="Arial"/>
                <w:color w:val="auto"/>
              </w:rPr>
              <w:t>耕地</w:t>
            </w:r>
          </w:p>
        </w:tc>
        <w:tc>
          <w:tcPr>
            <w:tcW w:w="1682" w:type="pct"/>
            <w:shd w:val="clear" w:color="auto" w:fill="auto"/>
            <w:vAlign w:val="center"/>
          </w:tcPr>
          <w:p w14:paraId="3E824EFD">
            <w:pPr>
              <w:jc w:val="center"/>
              <w:rPr>
                <w:rFonts w:ascii="宋体" w:hAnsi="宋体" w:eastAsia="宋体" w:cs="Arial"/>
                <w:color w:val="auto"/>
              </w:rPr>
            </w:pPr>
            <w:r>
              <w:rPr>
                <w:rFonts w:ascii="宋体" w:hAnsi="宋体" w:eastAsia="宋体" w:cs="Arial"/>
                <w:color w:val="auto"/>
              </w:rPr>
              <w:t>3.29</w:t>
            </w:r>
          </w:p>
        </w:tc>
        <w:tc>
          <w:tcPr>
            <w:tcW w:w="1828" w:type="pct"/>
            <w:shd w:val="clear" w:color="auto" w:fill="auto"/>
            <w:vAlign w:val="center"/>
          </w:tcPr>
          <w:p w14:paraId="0082C024">
            <w:pPr>
              <w:jc w:val="center"/>
              <w:rPr>
                <w:rFonts w:ascii="宋体" w:hAnsi="宋体" w:eastAsia="宋体" w:cs="Arial"/>
                <w:color w:val="auto"/>
              </w:rPr>
            </w:pPr>
            <w:r>
              <w:rPr>
                <w:rFonts w:ascii="宋体" w:hAnsi="宋体" w:eastAsia="宋体" w:cs="Arial"/>
                <w:color w:val="auto"/>
              </w:rPr>
              <w:t>18.98</w:t>
            </w:r>
          </w:p>
        </w:tc>
      </w:tr>
    </w:tbl>
    <w:p w14:paraId="4D6E7F9D">
      <w:pPr>
        <w:adjustRightInd w:val="0"/>
        <w:snapToGrid w:val="0"/>
        <w:spacing w:line="331" w:lineRule="auto"/>
        <w:ind w:firstLine="420" w:firstLineChars="200"/>
        <w:rPr>
          <w:color w:val="auto"/>
        </w:rPr>
      </w:pPr>
    </w:p>
    <w:p w14:paraId="23228C02">
      <w:pPr>
        <w:pStyle w:val="276"/>
        <w:widowControl w:val="0"/>
        <w:ind w:firstLine="480"/>
        <w:jc w:val="both"/>
        <w:rPr>
          <w:color w:val="auto"/>
        </w:rPr>
      </w:pPr>
      <w:r>
        <w:rPr>
          <w:rFonts w:hint="eastAsia"/>
          <w:color w:val="auto"/>
        </w:rPr>
        <w:t>②恢复期临时占地农业损失</w:t>
      </w:r>
    </w:p>
    <w:p w14:paraId="7F61DBF9">
      <w:pPr>
        <w:pStyle w:val="276"/>
        <w:widowControl w:val="0"/>
        <w:ind w:firstLine="480"/>
        <w:jc w:val="both"/>
        <w:rPr>
          <w:color w:val="auto"/>
        </w:rPr>
      </w:pPr>
      <w:r>
        <w:rPr>
          <w:rFonts w:hint="eastAsia"/>
          <w:color w:val="auto"/>
        </w:rPr>
        <w:t>施工结束后及时对临时占地进行土地复垦，第二年便可恢复种植，但耕地生产力的恢复期一般为2年，第3年可完全恢复产量，对农业生产造成一定的经济损失。施工临时占地恢复期第一年的作物产量以正常作物产量的50%计算（损失50%），恢复期第二年以正常作物产量的75%（损失25%），恢复期临时占地的农作物损失量见下表。</w:t>
      </w:r>
    </w:p>
    <w:p w14:paraId="6840E8F3">
      <w:pPr>
        <w:pStyle w:val="22"/>
        <w:spacing w:before="163"/>
        <w:rPr>
          <w:color w:val="auto"/>
        </w:rPr>
      </w:pPr>
      <w:bookmarkStart w:id="1472" w:name="_Ref55459518"/>
      <w:r>
        <w:rPr>
          <w:color w:val="auto"/>
        </w:rPr>
        <w:t>表</w:t>
      </w:r>
      <w:r>
        <w:rPr>
          <w:color w:val="auto"/>
        </w:rPr>
        <w:fldChar w:fldCharType="begin"/>
      </w:r>
      <w:r>
        <w:rPr>
          <w:color w:val="auto"/>
        </w:rPr>
        <w:instrText xml:space="preserve"> STYLEREF 2 \s </w:instrText>
      </w:r>
      <w:r>
        <w:rPr>
          <w:color w:val="auto"/>
        </w:rPr>
        <w:fldChar w:fldCharType="separate"/>
      </w:r>
      <w:r>
        <w:rPr>
          <w:color w:val="auto"/>
        </w:rPr>
        <w:t>5.7</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4</w:t>
      </w:r>
      <w:r>
        <w:rPr>
          <w:color w:val="auto"/>
        </w:rPr>
        <w:fldChar w:fldCharType="end"/>
      </w:r>
      <w:bookmarkEnd w:id="1472"/>
      <w:r>
        <w:rPr>
          <w:rFonts w:hint="eastAsia"/>
          <w:color w:val="auto"/>
        </w:rPr>
        <w:t>恢复期</w:t>
      </w:r>
      <w:r>
        <w:rPr>
          <w:color w:val="auto"/>
        </w:rPr>
        <w:t>临时占地农作物损失量统计表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345"/>
        <w:gridCol w:w="1465"/>
        <w:gridCol w:w="1350"/>
        <w:gridCol w:w="1213"/>
        <w:gridCol w:w="1298"/>
        <w:gridCol w:w="1323"/>
      </w:tblGrid>
      <w:tr w14:paraId="0C5E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shd w:val="clear" w:color="auto" w:fill="auto"/>
            <w:noWrap/>
            <w:vAlign w:val="center"/>
          </w:tcPr>
          <w:p w14:paraId="1D35981B">
            <w:pPr>
              <w:jc w:val="center"/>
              <w:rPr>
                <w:rFonts w:ascii="宋体" w:hAnsi="宋体" w:eastAsia="宋体" w:cs="Arial"/>
                <w:color w:val="auto"/>
              </w:rPr>
            </w:pPr>
            <w:r>
              <w:rPr>
                <w:rFonts w:hint="eastAsia" w:ascii="宋体" w:hAnsi="宋体" w:eastAsia="宋体" w:cs="Arial"/>
                <w:color w:val="auto"/>
              </w:rPr>
              <w:t>作物种类</w:t>
            </w:r>
          </w:p>
        </w:tc>
        <w:tc>
          <w:tcPr>
            <w:tcW w:w="724" w:type="pct"/>
            <w:shd w:val="clear" w:color="auto" w:fill="auto"/>
            <w:vAlign w:val="center"/>
          </w:tcPr>
          <w:p w14:paraId="2C1917E1">
            <w:pPr>
              <w:jc w:val="center"/>
              <w:rPr>
                <w:rFonts w:ascii="宋体" w:hAnsi="宋体" w:eastAsia="宋体" w:cs="Arial"/>
                <w:color w:val="auto"/>
              </w:rPr>
            </w:pPr>
            <w:r>
              <w:rPr>
                <w:rFonts w:hint="eastAsia" w:ascii="宋体" w:hAnsi="宋体" w:eastAsia="宋体" w:cs="Arial"/>
                <w:color w:val="auto"/>
              </w:rPr>
              <w:t>面积（hm</w:t>
            </w:r>
            <w:r>
              <w:rPr>
                <w:rFonts w:hint="eastAsia" w:ascii="宋体" w:hAnsi="宋体" w:eastAsia="宋体" w:cs="Arial"/>
                <w:color w:val="auto"/>
                <w:vertAlign w:val="superscript"/>
              </w:rPr>
              <w:t>2</w:t>
            </w:r>
            <w:r>
              <w:rPr>
                <w:rFonts w:hint="eastAsia" w:ascii="宋体" w:hAnsi="宋体" w:eastAsia="宋体" w:cs="Arial"/>
                <w:color w:val="auto"/>
              </w:rPr>
              <w:t>）</w:t>
            </w:r>
          </w:p>
        </w:tc>
        <w:tc>
          <w:tcPr>
            <w:tcW w:w="789" w:type="pct"/>
            <w:shd w:val="clear" w:color="auto" w:fill="auto"/>
            <w:vAlign w:val="center"/>
          </w:tcPr>
          <w:p w14:paraId="59B5E4EF">
            <w:pPr>
              <w:jc w:val="center"/>
              <w:rPr>
                <w:rFonts w:ascii="宋体" w:hAnsi="宋体" w:eastAsia="宋体" w:cs="Arial"/>
                <w:color w:val="auto"/>
              </w:rPr>
            </w:pPr>
            <w:r>
              <w:rPr>
                <w:rFonts w:hint="eastAsia" w:ascii="宋体" w:hAnsi="宋体" w:eastAsia="宋体" w:cs="Arial"/>
                <w:color w:val="auto"/>
              </w:rPr>
              <w:t>产量（t/hm</w:t>
            </w:r>
            <w:r>
              <w:rPr>
                <w:rFonts w:hint="eastAsia" w:ascii="宋体" w:hAnsi="宋体" w:eastAsia="宋体" w:cs="Arial"/>
                <w:color w:val="auto"/>
                <w:vertAlign w:val="superscript"/>
              </w:rPr>
              <w:t>2</w:t>
            </w:r>
            <w:r>
              <w:rPr>
                <w:rFonts w:hint="eastAsia" w:ascii="宋体" w:hAnsi="宋体" w:eastAsia="宋体" w:cs="Arial"/>
                <w:color w:val="auto"/>
              </w:rPr>
              <w:t>）</w:t>
            </w:r>
          </w:p>
        </w:tc>
        <w:tc>
          <w:tcPr>
            <w:tcW w:w="727" w:type="pct"/>
            <w:shd w:val="clear" w:color="auto" w:fill="auto"/>
            <w:vAlign w:val="center"/>
          </w:tcPr>
          <w:p w14:paraId="321C88A1">
            <w:pPr>
              <w:jc w:val="center"/>
              <w:rPr>
                <w:rFonts w:ascii="宋体" w:hAnsi="宋体" w:eastAsia="宋体" w:cs="Arial"/>
                <w:color w:val="auto"/>
              </w:rPr>
            </w:pPr>
            <w:r>
              <w:rPr>
                <w:rFonts w:hint="eastAsia" w:ascii="宋体" w:hAnsi="宋体" w:eastAsia="宋体" w:cs="Arial"/>
                <w:color w:val="auto"/>
              </w:rPr>
              <w:t>正常年一年的产量（t/a）</w:t>
            </w:r>
          </w:p>
        </w:tc>
        <w:tc>
          <w:tcPr>
            <w:tcW w:w="653" w:type="pct"/>
            <w:shd w:val="clear" w:color="auto" w:fill="auto"/>
            <w:vAlign w:val="center"/>
          </w:tcPr>
          <w:p w14:paraId="0BB2603C">
            <w:pPr>
              <w:jc w:val="center"/>
              <w:rPr>
                <w:rFonts w:ascii="宋体" w:hAnsi="宋体" w:eastAsia="宋体" w:cs="Arial"/>
                <w:color w:val="auto"/>
              </w:rPr>
            </w:pPr>
            <w:r>
              <w:rPr>
                <w:rFonts w:hint="eastAsia" w:ascii="宋体" w:hAnsi="宋体" w:eastAsia="宋体" w:cs="Arial"/>
                <w:color w:val="auto"/>
              </w:rPr>
              <w:t>第一年农作物产量损失（t）</w:t>
            </w:r>
          </w:p>
        </w:tc>
        <w:tc>
          <w:tcPr>
            <w:tcW w:w="699" w:type="pct"/>
            <w:shd w:val="clear" w:color="auto" w:fill="auto"/>
            <w:vAlign w:val="center"/>
          </w:tcPr>
          <w:p w14:paraId="552285CF">
            <w:pPr>
              <w:jc w:val="center"/>
              <w:rPr>
                <w:rFonts w:ascii="宋体" w:hAnsi="宋体" w:eastAsia="宋体" w:cs="Arial"/>
                <w:color w:val="auto"/>
              </w:rPr>
            </w:pPr>
            <w:r>
              <w:rPr>
                <w:rFonts w:hint="eastAsia" w:ascii="宋体" w:hAnsi="宋体" w:eastAsia="宋体" w:cs="Arial"/>
                <w:color w:val="auto"/>
              </w:rPr>
              <w:t>第二年农作物产量损失（t）</w:t>
            </w:r>
          </w:p>
        </w:tc>
        <w:tc>
          <w:tcPr>
            <w:tcW w:w="712" w:type="pct"/>
            <w:shd w:val="clear" w:color="auto" w:fill="auto"/>
            <w:vAlign w:val="center"/>
          </w:tcPr>
          <w:p w14:paraId="28742FE4">
            <w:pPr>
              <w:jc w:val="center"/>
              <w:rPr>
                <w:rFonts w:ascii="宋体" w:hAnsi="宋体" w:eastAsia="宋体" w:cs="Arial"/>
                <w:color w:val="auto"/>
              </w:rPr>
            </w:pPr>
            <w:r>
              <w:rPr>
                <w:rFonts w:hint="eastAsia" w:ascii="宋体" w:hAnsi="宋体" w:eastAsia="宋体" w:cs="Arial"/>
                <w:color w:val="auto"/>
              </w:rPr>
              <w:t>恢复期农作物产量损失（t）</w:t>
            </w:r>
          </w:p>
        </w:tc>
      </w:tr>
      <w:tr w14:paraId="7C39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shd w:val="clear" w:color="auto" w:fill="auto"/>
            <w:noWrap/>
            <w:vAlign w:val="center"/>
          </w:tcPr>
          <w:p w14:paraId="0D6ED2F3">
            <w:pPr>
              <w:jc w:val="center"/>
              <w:rPr>
                <w:rFonts w:ascii="宋体" w:hAnsi="宋体" w:eastAsia="宋体" w:cs="Arial"/>
                <w:color w:val="auto"/>
              </w:rPr>
            </w:pPr>
            <w:r>
              <w:rPr>
                <w:rFonts w:hint="eastAsia" w:ascii="宋体" w:hAnsi="宋体" w:eastAsia="宋体" w:cs="Arial"/>
                <w:color w:val="auto"/>
              </w:rPr>
              <w:t>水稻</w:t>
            </w:r>
          </w:p>
        </w:tc>
        <w:tc>
          <w:tcPr>
            <w:tcW w:w="724" w:type="pct"/>
            <w:shd w:val="clear" w:color="auto" w:fill="auto"/>
            <w:vAlign w:val="center"/>
          </w:tcPr>
          <w:p w14:paraId="6F9F5B63">
            <w:pPr>
              <w:jc w:val="center"/>
              <w:rPr>
                <w:rFonts w:ascii="宋体" w:hAnsi="宋体" w:eastAsia="宋体" w:cs="Arial"/>
                <w:color w:val="auto"/>
              </w:rPr>
            </w:pPr>
            <w:r>
              <w:rPr>
                <w:rFonts w:hint="eastAsia" w:ascii="宋体" w:hAnsi="宋体" w:eastAsia="宋体" w:cs="Arial"/>
                <w:color w:val="auto"/>
              </w:rPr>
              <w:t>1</w:t>
            </w:r>
            <w:r>
              <w:rPr>
                <w:rFonts w:ascii="宋体" w:hAnsi="宋体" w:eastAsia="宋体" w:cs="Arial"/>
                <w:color w:val="auto"/>
              </w:rPr>
              <w:t>.1</w:t>
            </w:r>
          </w:p>
        </w:tc>
        <w:tc>
          <w:tcPr>
            <w:tcW w:w="789" w:type="pct"/>
            <w:shd w:val="clear" w:color="auto" w:fill="auto"/>
            <w:vAlign w:val="center"/>
          </w:tcPr>
          <w:p w14:paraId="4F81DE20">
            <w:pPr>
              <w:jc w:val="center"/>
              <w:rPr>
                <w:rFonts w:ascii="宋体" w:hAnsi="宋体" w:eastAsia="宋体" w:cs="Arial"/>
                <w:color w:val="auto"/>
              </w:rPr>
            </w:pPr>
            <w:r>
              <w:rPr>
                <w:rFonts w:ascii="宋体" w:hAnsi="宋体" w:eastAsia="宋体" w:cs="Arial"/>
                <w:color w:val="auto"/>
              </w:rPr>
              <w:t>4.25</w:t>
            </w:r>
          </w:p>
        </w:tc>
        <w:tc>
          <w:tcPr>
            <w:tcW w:w="727" w:type="pct"/>
            <w:shd w:val="clear" w:color="auto" w:fill="auto"/>
            <w:vAlign w:val="center"/>
          </w:tcPr>
          <w:p w14:paraId="44334086">
            <w:pPr>
              <w:jc w:val="center"/>
              <w:rPr>
                <w:rFonts w:ascii="宋体" w:hAnsi="宋体" w:eastAsia="宋体" w:cs="Arial"/>
                <w:color w:val="auto"/>
              </w:rPr>
            </w:pPr>
            <w:r>
              <w:rPr>
                <w:rFonts w:hint="eastAsia" w:ascii="宋体" w:hAnsi="宋体" w:eastAsia="宋体"/>
                <w:color w:val="auto"/>
                <w:szCs w:val="22"/>
              </w:rPr>
              <w:t>4.68</w:t>
            </w:r>
          </w:p>
        </w:tc>
        <w:tc>
          <w:tcPr>
            <w:tcW w:w="653" w:type="pct"/>
            <w:shd w:val="clear" w:color="auto" w:fill="auto"/>
            <w:vAlign w:val="center"/>
          </w:tcPr>
          <w:p w14:paraId="7D3F38C8">
            <w:pPr>
              <w:jc w:val="center"/>
              <w:rPr>
                <w:rFonts w:ascii="宋体" w:hAnsi="宋体" w:eastAsia="宋体" w:cs="Arial"/>
                <w:color w:val="auto"/>
              </w:rPr>
            </w:pPr>
            <w:r>
              <w:rPr>
                <w:rFonts w:hint="eastAsia" w:ascii="宋体" w:hAnsi="宋体" w:eastAsia="宋体"/>
                <w:color w:val="auto"/>
                <w:szCs w:val="22"/>
              </w:rPr>
              <w:t>2.34</w:t>
            </w:r>
          </w:p>
        </w:tc>
        <w:tc>
          <w:tcPr>
            <w:tcW w:w="699" w:type="pct"/>
            <w:shd w:val="clear" w:color="auto" w:fill="auto"/>
            <w:vAlign w:val="center"/>
          </w:tcPr>
          <w:p w14:paraId="7D724444">
            <w:pPr>
              <w:jc w:val="center"/>
              <w:rPr>
                <w:rFonts w:ascii="宋体" w:hAnsi="宋体" w:eastAsia="宋体" w:cs="Arial"/>
                <w:color w:val="auto"/>
              </w:rPr>
            </w:pPr>
            <w:r>
              <w:rPr>
                <w:rFonts w:hint="eastAsia" w:ascii="宋体" w:hAnsi="宋体" w:eastAsia="宋体"/>
                <w:color w:val="auto"/>
                <w:szCs w:val="22"/>
              </w:rPr>
              <w:t>1.17</w:t>
            </w:r>
          </w:p>
        </w:tc>
        <w:tc>
          <w:tcPr>
            <w:tcW w:w="712" w:type="pct"/>
            <w:shd w:val="clear" w:color="auto" w:fill="auto"/>
            <w:vAlign w:val="center"/>
          </w:tcPr>
          <w:p w14:paraId="23B1EF66">
            <w:pPr>
              <w:jc w:val="center"/>
              <w:rPr>
                <w:rFonts w:ascii="宋体" w:hAnsi="宋体" w:eastAsia="宋体" w:cs="Arial"/>
                <w:color w:val="auto"/>
              </w:rPr>
            </w:pPr>
            <w:r>
              <w:rPr>
                <w:rFonts w:hint="eastAsia" w:ascii="宋体" w:hAnsi="宋体" w:eastAsia="宋体" w:cs="Arial"/>
                <w:color w:val="auto"/>
              </w:rPr>
              <w:t>3</w:t>
            </w:r>
            <w:r>
              <w:rPr>
                <w:rFonts w:ascii="宋体" w:hAnsi="宋体" w:eastAsia="宋体" w:cs="Arial"/>
                <w:color w:val="auto"/>
              </w:rPr>
              <w:t>.51</w:t>
            </w:r>
          </w:p>
        </w:tc>
      </w:tr>
      <w:tr w14:paraId="1297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6" w:type="pct"/>
            <w:shd w:val="clear" w:color="auto" w:fill="auto"/>
            <w:noWrap/>
            <w:vAlign w:val="center"/>
          </w:tcPr>
          <w:p w14:paraId="521D5798">
            <w:pPr>
              <w:jc w:val="center"/>
              <w:rPr>
                <w:rFonts w:ascii="宋体" w:hAnsi="宋体" w:eastAsia="宋体" w:cs="Arial"/>
                <w:color w:val="auto"/>
              </w:rPr>
            </w:pPr>
            <w:r>
              <w:rPr>
                <w:rFonts w:hint="eastAsia" w:ascii="宋体" w:hAnsi="宋体" w:eastAsia="宋体" w:cs="Arial"/>
                <w:color w:val="auto"/>
              </w:rPr>
              <w:t>玉米</w:t>
            </w:r>
          </w:p>
        </w:tc>
        <w:tc>
          <w:tcPr>
            <w:tcW w:w="724" w:type="pct"/>
            <w:shd w:val="clear" w:color="auto" w:fill="auto"/>
            <w:vAlign w:val="center"/>
          </w:tcPr>
          <w:p w14:paraId="4AB63A8F">
            <w:pPr>
              <w:jc w:val="center"/>
              <w:rPr>
                <w:rFonts w:ascii="宋体" w:hAnsi="宋体" w:eastAsia="宋体" w:cs="Arial"/>
                <w:color w:val="auto"/>
              </w:rPr>
            </w:pPr>
            <w:r>
              <w:rPr>
                <w:rFonts w:hint="eastAsia" w:ascii="宋体" w:hAnsi="宋体" w:eastAsia="宋体" w:cs="Arial"/>
                <w:color w:val="auto"/>
              </w:rPr>
              <w:t>1</w:t>
            </w:r>
            <w:r>
              <w:rPr>
                <w:rFonts w:ascii="宋体" w:hAnsi="宋体" w:eastAsia="宋体" w:cs="Arial"/>
                <w:color w:val="auto"/>
              </w:rPr>
              <w:t>.6</w:t>
            </w:r>
          </w:p>
        </w:tc>
        <w:tc>
          <w:tcPr>
            <w:tcW w:w="789" w:type="pct"/>
            <w:shd w:val="clear" w:color="auto" w:fill="auto"/>
            <w:vAlign w:val="center"/>
          </w:tcPr>
          <w:p w14:paraId="4BF15FB5">
            <w:pPr>
              <w:jc w:val="center"/>
              <w:rPr>
                <w:rFonts w:ascii="宋体" w:hAnsi="宋体" w:eastAsia="宋体" w:cs="Arial"/>
                <w:color w:val="auto"/>
              </w:rPr>
            </w:pPr>
            <w:r>
              <w:rPr>
                <w:rFonts w:ascii="宋体" w:hAnsi="宋体" w:eastAsia="宋体" w:cs="Arial"/>
                <w:color w:val="auto"/>
              </w:rPr>
              <w:t>8.94</w:t>
            </w:r>
          </w:p>
        </w:tc>
        <w:tc>
          <w:tcPr>
            <w:tcW w:w="727" w:type="pct"/>
            <w:shd w:val="clear" w:color="auto" w:fill="auto"/>
            <w:vAlign w:val="center"/>
          </w:tcPr>
          <w:p w14:paraId="05F181D7">
            <w:pPr>
              <w:jc w:val="center"/>
              <w:rPr>
                <w:rFonts w:ascii="宋体" w:hAnsi="宋体" w:eastAsia="宋体" w:cs="Arial"/>
                <w:color w:val="auto"/>
              </w:rPr>
            </w:pPr>
            <w:r>
              <w:rPr>
                <w:rFonts w:hint="eastAsia" w:ascii="宋体" w:hAnsi="宋体" w:eastAsia="宋体"/>
                <w:color w:val="auto"/>
                <w:szCs w:val="22"/>
              </w:rPr>
              <w:t>14.3</w:t>
            </w:r>
          </w:p>
        </w:tc>
        <w:tc>
          <w:tcPr>
            <w:tcW w:w="653" w:type="pct"/>
            <w:shd w:val="clear" w:color="auto" w:fill="auto"/>
            <w:vAlign w:val="center"/>
          </w:tcPr>
          <w:p w14:paraId="1D0EDBD7">
            <w:pPr>
              <w:jc w:val="center"/>
              <w:rPr>
                <w:rFonts w:ascii="宋体" w:hAnsi="宋体" w:eastAsia="宋体" w:cs="Arial"/>
                <w:color w:val="auto"/>
              </w:rPr>
            </w:pPr>
            <w:r>
              <w:rPr>
                <w:rFonts w:hint="eastAsia" w:ascii="宋体" w:hAnsi="宋体" w:eastAsia="宋体"/>
                <w:color w:val="auto"/>
                <w:szCs w:val="22"/>
              </w:rPr>
              <w:t>7.15</w:t>
            </w:r>
          </w:p>
        </w:tc>
        <w:tc>
          <w:tcPr>
            <w:tcW w:w="699" w:type="pct"/>
            <w:shd w:val="clear" w:color="auto" w:fill="auto"/>
            <w:vAlign w:val="center"/>
          </w:tcPr>
          <w:p w14:paraId="5E148C90">
            <w:pPr>
              <w:jc w:val="center"/>
              <w:rPr>
                <w:rFonts w:ascii="宋体" w:hAnsi="宋体" w:eastAsia="宋体" w:cs="Arial"/>
                <w:color w:val="auto"/>
              </w:rPr>
            </w:pPr>
            <w:r>
              <w:rPr>
                <w:rFonts w:hint="eastAsia" w:ascii="宋体" w:hAnsi="宋体" w:eastAsia="宋体"/>
                <w:color w:val="auto"/>
                <w:szCs w:val="22"/>
              </w:rPr>
              <w:t>3.5</w:t>
            </w:r>
            <w:r>
              <w:rPr>
                <w:rFonts w:ascii="宋体" w:hAnsi="宋体" w:eastAsia="宋体"/>
                <w:color w:val="auto"/>
                <w:szCs w:val="22"/>
              </w:rPr>
              <w:t>8</w:t>
            </w:r>
          </w:p>
        </w:tc>
        <w:tc>
          <w:tcPr>
            <w:tcW w:w="712" w:type="pct"/>
            <w:shd w:val="clear" w:color="auto" w:fill="auto"/>
            <w:vAlign w:val="center"/>
          </w:tcPr>
          <w:p w14:paraId="556158C3">
            <w:pPr>
              <w:jc w:val="center"/>
              <w:rPr>
                <w:rFonts w:ascii="宋体" w:hAnsi="宋体" w:eastAsia="宋体" w:cs="Arial"/>
                <w:color w:val="auto"/>
              </w:rPr>
            </w:pPr>
            <w:r>
              <w:rPr>
                <w:rFonts w:hint="eastAsia" w:ascii="宋体" w:hAnsi="宋体" w:eastAsia="宋体" w:cs="Arial"/>
                <w:color w:val="auto"/>
              </w:rPr>
              <w:t>1</w:t>
            </w:r>
            <w:r>
              <w:rPr>
                <w:rFonts w:ascii="宋体" w:hAnsi="宋体" w:eastAsia="宋体" w:cs="Arial"/>
                <w:color w:val="auto"/>
              </w:rPr>
              <w:t>0.73</w:t>
            </w:r>
          </w:p>
        </w:tc>
      </w:tr>
      <w:tr w14:paraId="4CB5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0" w:type="pct"/>
            <w:gridSpan w:val="2"/>
            <w:shd w:val="clear" w:color="auto" w:fill="auto"/>
            <w:noWrap/>
            <w:vAlign w:val="center"/>
          </w:tcPr>
          <w:p w14:paraId="48B2392D">
            <w:pPr>
              <w:jc w:val="center"/>
              <w:rPr>
                <w:rFonts w:ascii="宋体" w:hAnsi="宋体" w:eastAsia="宋体" w:cs="Arial"/>
                <w:color w:val="auto"/>
              </w:rPr>
            </w:pPr>
            <w:r>
              <w:rPr>
                <w:rFonts w:hint="eastAsia" w:ascii="宋体" w:hAnsi="宋体" w:eastAsia="宋体" w:cs="Arial"/>
                <w:color w:val="auto"/>
              </w:rPr>
              <w:t>合计</w:t>
            </w:r>
          </w:p>
        </w:tc>
        <w:tc>
          <w:tcPr>
            <w:tcW w:w="789" w:type="pct"/>
            <w:shd w:val="clear" w:color="auto" w:fill="auto"/>
            <w:vAlign w:val="center"/>
          </w:tcPr>
          <w:p w14:paraId="78483DE6">
            <w:pPr>
              <w:jc w:val="center"/>
              <w:rPr>
                <w:rFonts w:ascii="宋体" w:hAnsi="宋体" w:eastAsia="宋体" w:cs="Arial"/>
                <w:color w:val="auto"/>
              </w:rPr>
            </w:pPr>
            <w:r>
              <w:rPr>
                <w:rFonts w:hint="eastAsia" w:ascii="宋体" w:hAnsi="宋体" w:eastAsia="宋体" w:cs="Arial"/>
                <w:color w:val="auto"/>
              </w:rPr>
              <w:t>——</w:t>
            </w:r>
          </w:p>
        </w:tc>
        <w:tc>
          <w:tcPr>
            <w:tcW w:w="727" w:type="pct"/>
            <w:shd w:val="clear" w:color="auto" w:fill="auto"/>
            <w:vAlign w:val="center"/>
          </w:tcPr>
          <w:p w14:paraId="067B967F">
            <w:pPr>
              <w:jc w:val="center"/>
              <w:rPr>
                <w:rFonts w:ascii="宋体" w:hAnsi="宋体" w:eastAsia="宋体" w:cs="Arial"/>
                <w:color w:val="auto"/>
              </w:rPr>
            </w:pPr>
            <w:r>
              <w:rPr>
                <w:rFonts w:hint="eastAsia" w:ascii="宋体" w:hAnsi="宋体" w:eastAsia="宋体"/>
                <w:color w:val="auto"/>
                <w:szCs w:val="22"/>
              </w:rPr>
              <w:t>18.98</w:t>
            </w:r>
          </w:p>
        </w:tc>
        <w:tc>
          <w:tcPr>
            <w:tcW w:w="653" w:type="pct"/>
            <w:shd w:val="clear" w:color="auto" w:fill="auto"/>
            <w:vAlign w:val="center"/>
          </w:tcPr>
          <w:p w14:paraId="4E493604">
            <w:pPr>
              <w:jc w:val="center"/>
              <w:rPr>
                <w:rFonts w:ascii="宋体" w:hAnsi="宋体" w:eastAsia="宋体" w:cs="Arial"/>
                <w:color w:val="auto"/>
              </w:rPr>
            </w:pPr>
            <w:r>
              <w:rPr>
                <w:rFonts w:hint="eastAsia" w:ascii="宋体" w:hAnsi="宋体" w:eastAsia="宋体"/>
                <w:color w:val="auto"/>
                <w:szCs w:val="22"/>
              </w:rPr>
              <w:t>9.49</w:t>
            </w:r>
          </w:p>
        </w:tc>
        <w:tc>
          <w:tcPr>
            <w:tcW w:w="699" w:type="pct"/>
            <w:shd w:val="clear" w:color="auto" w:fill="auto"/>
            <w:vAlign w:val="center"/>
          </w:tcPr>
          <w:p w14:paraId="69AA13EA">
            <w:pPr>
              <w:jc w:val="center"/>
              <w:rPr>
                <w:rFonts w:ascii="宋体" w:hAnsi="宋体" w:eastAsia="宋体" w:cs="Arial"/>
                <w:color w:val="auto"/>
              </w:rPr>
            </w:pPr>
            <w:r>
              <w:rPr>
                <w:rFonts w:hint="eastAsia" w:ascii="宋体" w:hAnsi="宋体" w:eastAsia="宋体"/>
                <w:color w:val="auto"/>
                <w:szCs w:val="22"/>
              </w:rPr>
              <w:t>4.75</w:t>
            </w:r>
          </w:p>
        </w:tc>
        <w:tc>
          <w:tcPr>
            <w:tcW w:w="712" w:type="pct"/>
            <w:shd w:val="clear" w:color="auto" w:fill="auto"/>
            <w:vAlign w:val="center"/>
          </w:tcPr>
          <w:p w14:paraId="3CCAD764">
            <w:pPr>
              <w:jc w:val="center"/>
              <w:rPr>
                <w:rFonts w:ascii="宋体" w:hAnsi="宋体" w:eastAsia="宋体" w:cs="Arial"/>
                <w:color w:val="auto"/>
              </w:rPr>
            </w:pPr>
            <w:r>
              <w:rPr>
                <w:rFonts w:hint="eastAsia" w:ascii="宋体" w:hAnsi="宋体" w:eastAsia="宋体"/>
                <w:color w:val="auto"/>
                <w:szCs w:val="22"/>
              </w:rPr>
              <w:t>14.24</w:t>
            </w:r>
          </w:p>
        </w:tc>
      </w:tr>
    </w:tbl>
    <w:p w14:paraId="0FFF0BD9">
      <w:pPr>
        <w:ind w:firstLine="480"/>
        <w:rPr>
          <w:color w:val="auto"/>
        </w:rPr>
      </w:pPr>
    </w:p>
    <w:p w14:paraId="46763150">
      <w:pPr>
        <w:pStyle w:val="4"/>
        <w:ind w:firstLine="480"/>
        <w:rPr>
          <w:color w:val="auto"/>
        </w:rPr>
      </w:pPr>
      <w:r>
        <w:rPr>
          <w:rFonts w:hint="eastAsia"/>
          <w:color w:val="auto"/>
        </w:rPr>
        <w:t>由上表可知，临时占地一年农作物正常产量为</w:t>
      </w:r>
      <w:r>
        <w:rPr>
          <w:color w:val="auto"/>
        </w:rPr>
        <w:t>18.98</w:t>
      </w:r>
      <w:r>
        <w:rPr>
          <w:rFonts w:hint="eastAsia"/>
          <w:color w:val="auto"/>
        </w:rPr>
        <w:t>t，临时占地在恢复期造成农作物损失量约</w:t>
      </w:r>
      <w:r>
        <w:rPr>
          <w:color w:val="auto"/>
        </w:rPr>
        <w:t>14.24</w:t>
      </w:r>
      <w:r>
        <w:rPr>
          <w:rFonts w:hint="eastAsia"/>
          <w:color w:val="auto"/>
        </w:rPr>
        <w:t>t。临时占地导致当季无法种植农作物，而且将破坏施工地面已有的农作物，这些都将造成一定的经济损失。因此，环评建议建设单位合理安排工期，尽量避开农作物生长期，减少对农田生态系统的不利影响。</w:t>
      </w:r>
    </w:p>
    <w:p w14:paraId="3F4EADB8">
      <w:pPr>
        <w:pStyle w:val="4"/>
        <w:ind w:firstLine="480"/>
        <w:rPr>
          <w:rFonts w:cs="Times New Roman"/>
          <w:color w:val="auto"/>
        </w:rPr>
      </w:pPr>
      <w:r>
        <w:rPr>
          <w:rFonts w:cs="Times New Roman"/>
          <w:color w:val="auto"/>
        </w:rPr>
        <w:t>2</w:t>
      </w:r>
      <w:r>
        <w:rPr>
          <w:rFonts w:hint="eastAsia" w:cs="Times New Roman"/>
          <w:color w:val="auto"/>
        </w:rPr>
        <w:t>）对农业</w:t>
      </w:r>
      <w:r>
        <w:rPr>
          <w:rFonts w:cs="Times New Roman"/>
          <w:color w:val="auto"/>
        </w:rPr>
        <w:t>生产</w:t>
      </w:r>
      <w:r>
        <w:rPr>
          <w:rFonts w:hint="eastAsia" w:cs="Times New Roman"/>
          <w:color w:val="auto"/>
        </w:rPr>
        <w:t>的影响</w:t>
      </w:r>
    </w:p>
    <w:p w14:paraId="486B35A6">
      <w:pPr>
        <w:pStyle w:val="4"/>
        <w:ind w:firstLine="480"/>
        <w:rPr>
          <w:rFonts w:cs="Times New Roman"/>
          <w:color w:val="auto"/>
        </w:rPr>
      </w:pPr>
      <w:r>
        <w:rPr>
          <w:rFonts w:hint="eastAsia" w:cs="Times New Roman"/>
          <w:color w:val="auto"/>
        </w:rPr>
        <w:t>施工期</w:t>
      </w:r>
      <w:r>
        <w:rPr>
          <w:rFonts w:cs="Times New Roman"/>
          <w:color w:val="auto"/>
        </w:rPr>
        <w:t>对农业</w:t>
      </w:r>
      <w:r>
        <w:rPr>
          <w:rFonts w:hint="eastAsia" w:cs="Times New Roman"/>
          <w:color w:val="auto"/>
        </w:rPr>
        <w:t>生产</w:t>
      </w:r>
      <w:r>
        <w:rPr>
          <w:rFonts w:cs="Times New Roman"/>
          <w:color w:val="auto"/>
        </w:rPr>
        <w:t>的影响主要是占用耕地，</w:t>
      </w:r>
      <w:r>
        <w:rPr>
          <w:rFonts w:hint="eastAsia" w:cs="Times New Roman"/>
          <w:color w:val="auto"/>
        </w:rPr>
        <w:t>破坏</w:t>
      </w:r>
      <w:r>
        <w:rPr>
          <w:rFonts w:cs="Times New Roman"/>
          <w:color w:val="auto"/>
        </w:rPr>
        <w:t>农作物</w:t>
      </w:r>
      <w:r>
        <w:rPr>
          <w:rFonts w:hint="eastAsia" w:cs="Times New Roman"/>
          <w:color w:val="auto"/>
        </w:rPr>
        <w:t>，导致</w:t>
      </w:r>
      <w:r>
        <w:rPr>
          <w:rFonts w:cs="Times New Roman"/>
          <w:color w:val="auto"/>
        </w:rPr>
        <w:t>农作物无法正常生长</w:t>
      </w:r>
      <w:r>
        <w:rPr>
          <w:rFonts w:hint="eastAsia" w:cs="Times New Roman"/>
          <w:color w:val="auto"/>
        </w:rPr>
        <w:t>。</w:t>
      </w:r>
      <w:r>
        <w:rPr>
          <w:rFonts w:cs="Times New Roman"/>
          <w:color w:val="auto"/>
        </w:rPr>
        <w:t>因此</w:t>
      </w:r>
      <w:r>
        <w:rPr>
          <w:rFonts w:hint="eastAsia" w:cs="Times New Roman"/>
          <w:color w:val="auto"/>
        </w:rPr>
        <w:t>，</w:t>
      </w:r>
      <w:r>
        <w:rPr>
          <w:rFonts w:cs="Times New Roman"/>
          <w:color w:val="auto"/>
        </w:rPr>
        <w:t>施工期井场尽量</w:t>
      </w:r>
      <w:r>
        <w:rPr>
          <w:rFonts w:hint="eastAsia" w:cs="Times New Roman"/>
          <w:color w:val="auto"/>
        </w:rPr>
        <w:t>少</w:t>
      </w:r>
      <w:r>
        <w:rPr>
          <w:rFonts w:cs="Times New Roman"/>
          <w:color w:val="auto"/>
        </w:rPr>
        <w:t>占耕地，</w:t>
      </w:r>
      <w:r>
        <w:rPr>
          <w:rFonts w:hint="eastAsia" w:cs="Times New Roman"/>
          <w:color w:val="auto"/>
        </w:rPr>
        <w:t>减少对</w:t>
      </w:r>
      <w:r>
        <w:rPr>
          <w:rFonts w:cs="Times New Roman"/>
          <w:color w:val="auto"/>
        </w:rPr>
        <w:t>农业生产的影响</w:t>
      </w:r>
      <w:r>
        <w:rPr>
          <w:rFonts w:hint="eastAsia" w:cs="Times New Roman"/>
          <w:color w:val="auto"/>
        </w:rPr>
        <w:t>。</w:t>
      </w:r>
    </w:p>
    <w:p w14:paraId="53F5F7EC">
      <w:pPr>
        <w:pStyle w:val="276"/>
        <w:widowControl w:val="0"/>
        <w:ind w:firstLine="480"/>
        <w:jc w:val="both"/>
        <w:rPr>
          <w:color w:val="auto"/>
        </w:rPr>
      </w:pPr>
      <w:r>
        <w:rPr>
          <w:rFonts w:hint="eastAsia"/>
          <w:color w:val="auto"/>
        </w:rPr>
        <w:t>井场</w:t>
      </w:r>
      <w:r>
        <w:rPr>
          <w:color w:val="auto"/>
        </w:rPr>
        <w:t>内</w:t>
      </w:r>
      <w:r>
        <w:rPr>
          <w:rFonts w:hint="eastAsia"/>
          <w:color w:val="auto"/>
        </w:rPr>
        <w:t>钻井废弃泥浆、钻井岩屑存在进入</w:t>
      </w:r>
      <w:r>
        <w:rPr>
          <w:color w:val="auto"/>
        </w:rPr>
        <w:t>土壤</w:t>
      </w:r>
      <w:r>
        <w:rPr>
          <w:rFonts w:hint="eastAsia"/>
          <w:color w:val="auto"/>
        </w:rPr>
        <w:t>的</w:t>
      </w:r>
      <w:r>
        <w:rPr>
          <w:color w:val="auto"/>
        </w:rPr>
        <w:t>可能性，污染物经雨水淋溶流入</w:t>
      </w:r>
      <w:r>
        <w:rPr>
          <w:rFonts w:hint="eastAsia"/>
          <w:color w:val="auto"/>
        </w:rPr>
        <w:t>农田，从而</w:t>
      </w:r>
      <w:r>
        <w:rPr>
          <w:color w:val="auto"/>
        </w:rPr>
        <w:t>污染土壤</w:t>
      </w:r>
      <w:r>
        <w:rPr>
          <w:rFonts w:hint="eastAsia"/>
          <w:color w:val="auto"/>
        </w:rPr>
        <w:t>，导致</w:t>
      </w:r>
      <w:r>
        <w:rPr>
          <w:color w:val="auto"/>
        </w:rPr>
        <w:t>农田土壤结构</w:t>
      </w:r>
      <w:r>
        <w:rPr>
          <w:rFonts w:hint="eastAsia"/>
          <w:color w:val="auto"/>
        </w:rPr>
        <w:t>变化</w:t>
      </w:r>
      <w:r>
        <w:rPr>
          <w:color w:val="auto"/>
        </w:rPr>
        <w:t>，降低土壤肥力而影响农作物生长发育，导致减产。</w:t>
      </w:r>
      <w:r>
        <w:rPr>
          <w:rFonts w:hint="eastAsia"/>
          <w:color w:val="auto"/>
        </w:rPr>
        <w:t>本项目施工期对钻井废弃泥浆、钻井岩屑采用泥浆不落地处理工艺，且井场四周设排水沟，废弃泥浆外流的可能性较小，故在正常情况下井场内废弃泥浆、钻井废弃物不会对井场外农业生产造成影响，不会影响当地农业生产结构。</w:t>
      </w:r>
    </w:p>
    <w:p w14:paraId="1E34F1AD">
      <w:pPr>
        <w:pStyle w:val="276"/>
        <w:widowControl w:val="0"/>
        <w:ind w:firstLine="480"/>
        <w:jc w:val="both"/>
        <w:rPr>
          <w:color w:val="auto"/>
        </w:rPr>
      </w:pPr>
      <w:r>
        <w:rPr>
          <w:rFonts w:hint="eastAsia"/>
          <w:color w:val="auto"/>
        </w:rPr>
        <w:t>井场永久占地面积占</w:t>
      </w:r>
      <w:r>
        <w:rPr>
          <w:color w:val="auto"/>
        </w:rPr>
        <w:t>评价区</w:t>
      </w:r>
      <w:r>
        <w:rPr>
          <w:rFonts w:hint="eastAsia"/>
          <w:color w:val="auto"/>
        </w:rPr>
        <w:t>总面积</w:t>
      </w:r>
      <w:r>
        <w:rPr>
          <w:color w:val="auto"/>
        </w:rPr>
        <w:t>的比例较小，</w:t>
      </w:r>
      <w:r>
        <w:rPr>
          <w:rFonts w:hint="eastAsia"/>
          <w:color w:val="auto"/>
        </w:rPr>
        <w:t>对农田生态景观格局影响可以接受。钻井井场</w:t>
      </w:r>
      <w:r>
        <w:rPr>
          <w:color w:val="auto"/>
        </w:rPr>
        <w:t>临时</w:t>
      </w:r>
      <w:r>
        <w:rPr>
          <w:rFonts w:hint="eastAsia"/>
          <w:color w:val="auto"/>
        </w:rPr>
        <w:t>占地将耕地转变为建设用地，对农田景观产生的影响属于短期不利影响，施工结束后即可进行土地复垦，土壤经过</w:t>
      </w:r>
      <w:r>
        <w:rPr>
          <w:color w:val="auto"/>
        </w:rPr>
        <w:t>1</w:t>
      </w:r>
      <w:r>
        <w:rPr>
          <w:rFonts w:hint="eastAsia"/>
          <w:color w:val="auto"/>
        </w:rPr>
        <w:t>年～</w:t>
      </w:r>
      <w:r>
        <w:rPr>
          <w:color w:val="auto"/>
        </w:rPr>
        <w:t>2</w:t>
      </w:r>
      <w:r>
        <w:rPr>
          <w:rFonts w:hint="eastAsia"/>
          <w:color w:val="auto"/>
        </w:rPr>
        <w:t>年的恢复期，农作物产量可恢复到施工前的水平，对评价区农业生产的影响</w:t>
      </w:r>
      <w:r>
        <w:rPr>
          <w:color w:val="auto"/>
        </w:rPr>
        <w:t>在可接受</w:t>
      </w:r>
      <w:r>
        <w:rPr>
          <w:rFonts w:hint="eastAsia"/>
          <w:color w:val="auto"/>
        </w:rPr>
        <w:t>范围</w:t>
      </w:r>
      <w:r>
        <w:rPr>
          <w:color w:val="auto"/>
        </w:rPr>
        <w:t>内</w:t>
      </w:r>
      <w:r>
        <w:rPr>
          <w:rFonts w:hint="eastAsia"/>
          <w:color w:val="auto"/>
        </w:rPr>
        <w:t>。</w:t>
      </w:r>
    </w:p>
    <w:p w14:paraId="5BE984E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对动物</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289D1EEA">
      <w:pPr>
        <w:pStyle w:val="276"/>
        <w:widowControl w:val="0"/>
        <w:ind w:firstLine="480"/>
        <w:jc w:val="both"/>
        <w:rPr>
          <w:color w:val="auto"/>
        </w:rPr>
      </w:pPr>
      <w:r>
        <w:rPr>
          <w:rFonts w:hint="eastAsia"/>
          <w:color w:val="auto"/>
        </w:rPr>
        <w:t>1）对陆生生物影响分析</w:t>
      </w:r>
    </w:p>
    <w:p w14:paraId="2EB7B965">
      <w:pPr>
        <w:pStyle w:val="276"/>
        <w:widowControl w:val="0"/>
        <w:ind w:firstLine="480"/>
        <w:jc w:val="both"/>
        <w:rPr>
          <w:color w:val="auto"/>
        </w:rPr>
      </w:pPr>
      <w:r>
        <w:rPr>
          <w:color w:val="auto"/>
        </w:rPr>
        <w:t>施工期对动物的影响方式主要包括井场</w:t>
      </w:r>
      <w:r>
        <w:rPr>
          <w:rFonts w:hint="eastAsia"/>
          <w:color w:val="auto"/>
        </w:rPr>
        <w:t>建设</w:t>
      </w:r>
      <w:r>
        <w:rPr>
          <w:color w:val="auto"/>
        </w:rPr>
        <w:t>迫使动物远离原有生境，各种车辆和机械噪声对野生动物的惊扰</w:t>
      </w:r>
      <w:r>
        <w:rPr>
          <w:rFonts w:hint="eastAsia"/>
          <w:color w:val="auto"/>
        </w:rPr>
        <w:t>，这种影响是短暂的。</w:t>
      </w:r>
      <w:r>
        <w:rPr>
          <w:color w:val="auto"/>
        </w:rPr>
        <w:t>根据类比调查</w:t>
      </w:r>
      <w:r>
        <w:rPr>
          <w:rFonts w:hint="eastAsia"/>
          <w:color w:val="auto"/>
        </w:rPr>
        <w:t>，井场</w:t>
      </w:r>
      <w:r>
        <w:rPr>
          <w:color w:val="auto"/>
        </w:rPr>
        <w:t>噪声影响</w:t>
      </w:r>
      <w:r>
        <w:rPr>
          <w:rFonts w:hint="eastAsia"/>
          <w:color w:val="auto"/>
        </w:rPr>
        <w:t>范围为</w:t>
      </w:r>
      <w:r>
        <w:rPr>
          <w:color w:val="auto"/>
        </w:rPr>
        <w:t>距井场边界</w:t>
      </w:r>
      <w:r>
        <w:rPr>
          <w:rFonts w:hint="eastAsia"/>
          <w:color w:val="auto"/>
        </w:rPr>
        <w:t>5</w:t>
      </w:r>
      <w:r>
        <w:rPr>
          <w:color w:val="auto"/>
        </w:rPr>
        <w:t>00m</w:t>
      </w:r>
      <w:r>
        <w:rPr>
          <w:rFonts w:hint="eastAsia"/>
          <w:color w:val="auto"/>
        </w:rPr>
        <w:t>以内</w:t>
      </w:r>
      <w:r>
        <w:rPr>
          <w:color w:val="auto"/>
        </w:rPr>
        <w:t>，</w:t>
      </w:r>
      <w:r>
        <w:rPr>
          <w:rFonts w:hint="eastAsia"/>
          <w:color w:val="auto"/>
        </w:rPr>
        <w:t>即施工过程可能</w:t>
      </w:r>
      <w:r>
        <w:rPr>
          <w:color w:val="auto"/>
        </w:rPr>
        <w:t>对井场周围</w:t>
      </w:r>
      <w:r>
        <w:rPr>
          <w:rFonts w:hint="eastAsia"/>
          <w:color w:val="auto"/>
        </w:rPr>
        <w:t>5</w:t>
      </w:r>
      <w:r>
        <w:rPr>
          <w:color w:val="auto"/>
        </w:rPr>
        <w:t>00m</w:t>
      </w:r>
      <w:r>
        <w:rPr>
          <w:rFonts w:hint="eastAsia"/>
          <w:color w:val="auto"/>
        </w:rPr>
        <w:t>范围</w:t>
      </w:r>
      <w:r>
        <w:rPr>
          <w:color w:val="auto"/>
        </w:rPr>
        <w:t>内的野生动物造成</w:t>
      </w:r>
      <w:r>
        <w:rPr>
          <w:rFonts w:hint="eastAsia"/>
          <w:color w:val="auto"/>
        </w:rPr>
        <w:t>惊吓</w:t>
      </w:r>
      <w:r>
        <w:rPr>
          <w:color w:val="auto"/>
        </w:rPr>
        <w:t>和干扰，影响范围很小</w:t>
      </w:r>
      <w:r>
        <w:rPr>
          <w:rFonts w:hint="eastAsia"/>
          <w:color w:val="auto"/>
        </w:rPr>
        <w:t>，受工程影响的动物数量较少。</w:t>
      </w:r>
    </w:p>
    <w:p w14:paraId="59502EFB">
      <w:pPr>
        <w:pStyle w:val="276"/>
        <w:widowControl w:val="0"/>
        <w:ind w:firstLine="480"/>
        <w:jc w:val="both"/>
        <w:rPr>
          <w:color w:val="auto"/>
        </w:rPr>
      </w:pPr>
      <w:r>
        <w:rPr>
          <w:rFonts w:hint="eastAsia"/>
          <w:color w:val="auto"/>
        </w:rPr>
        <w:t>井场工程及道路工程建设对陆生动物的影响首先体现在施工期间割</w:t>
      </w:r>
      <w:r>
        <w:rPr>
          <w:color w:val="auto"/>
        </w:rPr>
        <w:t>断了部分陆生动物的活动区域、迁移途径、栖息区域、觅食范围等，从而对动物的生存产生一定的影响。</w:t>
      </w:r>
    </w:p>
    <w:p w14:paraId="74274479">
      <w:pPr>
        <w:pStyle w:val="276"/>
        <w:widowControl w:val="0"/>
        <w:ind w:firstLine="480"/>
        <w:jc w:val="both"/>
        <w:rPr>
          <w:color w:val="auto"/>
        </w:rPr>
      </w:pPr>
      <w:r>
        <w:rPr>
          <w:rFonts w:hint="eastAsia"/>
          <w:color w:val="auto"/>
        </w:rPr>
        <w:t>根据现场踏勘和走访调查，项目评价区</w:t>
      </w:r>
      <w:r>
        <w:rPr>
          <w:color w:val="auto"/>
        </w:rPr>
        <w:t>无大型野生动物</w:t>
      </w:r>
      <w:r>
        <w:rPr>
          <w:rFonts w:hint="eastAsia"/>
          <w:color w:val="auto"/>
        </w:rPr>
        <w:t>，不是国家重点保护野生动物的集中栖息地和繁殖地，区内野生动物仅为一些常见种类，例如蒙古兔、草原鼢鼠等，</w:t>
      </w:r>
      <w:r>
        <w:rPr>
          <w:color w:val="auto"/>
        </w:rPr>
        <w:t>均为北方常见</w:t>
      </w:r>
      <w:r>
        <w:rPr>
          <w:rFonts w:hint="eastAsia"/>
          <w:color w:val="auto"/>
        </w:rPr>
        <w:t>种类。另外</w:t>
      </w:r>
      <w:r>
        <w:rPr>
          <w:color w:val="auto"/>
        </w:rPr>
        <w:t>，施工人员活动、施工机械、车辆的噪声对野生动物的短暂惊吓和干扰</w:t>
      </w:r>
      <w:r>
        <w:rPr>
          <w:rFonts w:hint="eastAsia"/>
          <w:color w:val="auto"/>
        </w:rPr>
        <w:t>，</w:t>
      </w:r>
      <w:r>
        <w:rPr>
          <w:color w:val="auto"/>
        </w:rPr>
        <w:t>影响动物的正常活动，若管理不善，将会出现施工人员对沿线附近野生动物的狩猎，则对野生动物资源影响较大，这将迫使动物离开管道沿线附近区域。</w:t>
      </w:r>
    </w:p>
    <w:p w14:paraId="217AC860">
      <w:pPr>
        <w:pStyle w:val="276"/>
        <w:widowControl w:val="0"/>
        <w:ind w:firstLine="480"/>
        <w:jc w:val="both"/>
        <w:rPr>
          <w:color w:val="auto"/>
        </w:rPr>
      </w:pPr>
      <w:r>
        <w:rPr>
          <w:rFonts w:hint="eastAsia"/>
          <w:color w:val="auto"/>
        </w:rPr>
        <w:t>施工结束后，临时占地通过修复，植被将逐渐恢复到原来的状态，生活在其中的动物可逐渐恢复到施工之前的状态。因此，施工期对区域的环境影响不大，不会改变区域内动物区系组成及其种类组成</w:t>
      </w:r>
      <w:r>
        <w:rPr>
          <w:color w:val="auto"/>
        </w:rPr>
        <w:t>。</w:t>
      </w:r>
    </w:p>
    <w:p w14:paraId="7E65CC6F">
      <w:pPr>
        <w:pStyle w:val="276"/>
        <w:widowControl w:val="0"/>
        <w:ind w:firstLine="480"/>
        <w:jc w:val="both"/>
        <w:rPr>
          <w:color w:val="auto"/>
        </w:rPr>
      </w:pPr>
      <w:r>
        <w:rPr>
          <w:color w:val="auto"/>
        </w:rPr>
        <w:t>2）对鸟类的影响</w:t>
      </w:r>
      <w:r>
        <w:rPr>
          <w:rFonts w:hint="eastAsia"/>
          <w:color w:val="auto"/>
        </w:rPr>
        <w:t>分析</w:t>
      </w:r>
    </w:p>
    <w:p w14:paraId="2260BC0E">
      <w:pPr>
        <w:pStyle w:val="276"/>
        <w:widowControl w:val="0"/>
        <w:ind w:firstLine="480"/>
        <w:jc w:val="both"/>
        <w:rPr>
          <w:color w:val="auto"/>
        </w:rPr>
      </w:pPr>
      <w:r>
        <w:rPr>
          <w:rFonts w:hint="eastAsia"/>
          <w:color w:val="auto"/>
        </w:rPr>
        <w:t>施工期间，</w:t>
      </w:r>
      <w:r>
        <w:rPr>
          <w:color w:val="auto"/>
        </w:rPr>
        <w:t>本项目大部分</w:t>
      </w:r>
      <w:r>
        <w:rPr>
          <w:rFonts w:hint="eastAsia"/>
          <w:color w:val="auto"/>
        </w:rPr>
        <w:t>地段</w:t>
      </w:r>
      <w:r>
        <w:rPr>
          <w:color w:val="auto"/>
        </w:rPr>
        <w:t>采用大开挖施工方式，人为活动的增加</w:t>
      </w:r>
      <w:r>
        <w:rPr>
          <w:rFonts w:hint="eastAsia"/>
          <w:color w:val="auto"/>
        </w:rPr>
        <w:t>、</w:t>
      </w:r>
      <w:r>
        <w:rPr>
          <w:color w:val="auto"/>
        </w:rPr>
        <w:t>管沟开挖敷设、施工便道的铺设，施工机械噪声会惊吓、干扰，尤其对林地段的鸟类如雀形目类产生干扰；管线经过农业区段，该区域鸟类较多，活动范围广泛，所栖息的环境多种多样，它们的食物也丰富多彩，动物尸体、小动物、昆虫、植物枝叶、种子、果实等都是它们的食物。</w:t>
      </w:r>
      <w:r>
        <w:rPr>
          <w:rFonts w:hint="eastAsia"/>
          <w:color w:val="auto"/>
        </w:rPr>
        <w:t>因此工程对附近区域的这些鸟类可能产生一定影响，但由于附近农田区和林地分布广泛，这些鸟类很容易找到类似生境，鸟类将通过迁移和飞翔来避免工程施工对其栖息和觅食的影响。</w:t>
      </w:r>
    </w:p>
    <w:p w14:paraId="741B3721">
      <w:pPr>
        <w:spacing w:before="163"/>
        <w:jc w:val="center"/>
        <w:rPr>
          <w:rFonts w:ascii="宋体" w:hAnsi="宋体" w:eastAsia="宋体"/>
          <w:color w:val="auto"/>
        </w:rPr>
      </w:pPr>
      <w:r>
        <w:rPr>
          <w:rFonts w:hint="eastAsia" w:ascii="宋体" w:hAnsi="宋体" w:eastAsia="宋体"/>
          <w:color w:val="auto"/>
        </w:rPr>
        <w:t xml:space="preserve">表 </w:t>
      </w:r>
      <w:r>
        <w:rPr>
          <w:rFonts w:ascii="宋体" w:hAnsi="宋体" w:eastAsia="宋体"/>
          <w:color w:val="auto"/>
        </w:rPr>
        <w:fldChar w:fldCharType="begin"/>
      </w:r>
      <w:r>
        <w:rPr>
          <w:rFonts w:ascii="宋体" w:hAnsi="宋体" w:eastAsia="宋体"/>
          <w:color w:val="auto"/>
        </w:rPr>
        <w:instrText xml:space="preserve"> </w:instrText>
      </w:r>
      <w:r>
        <w:rPr>
          <w:rFonts w:hint="eastAsia" w:ascii="宋体" w:hAnsi="宋体" w:eastAsia="宋体"/>
          <w:color w:val="auto"/>
        </w:rPr>
        <w:instrText xml:space="preserve">STYLEREF 2 \s</w:instrText>
      </w:r>
      <w:r>
        <w:rPr>
          <w:rFonts w:ascii="宋体" w:hAnsi="宋体" w:eastAsia="宋体"/>
          <w:color w:val="auto"/>
        </w:rPr>
        <w:instrText xml:space="preserve"> </w:instrText>
      </w:r>
      <w:r>
        <w:rPr>
          <w:rFonts w:ascii="宋体" w:hAnsi="宋体" w:eastAsia="宋体"/>
          <w:color w:val="auto"/>
        </w:rPr>
        <w:fldChar w:fldCharType="separate"/>
      </w:r>
      <w:r>
        <w:rPr>
          <w:rFonts w:ascii="宋体" w:hAnsi="宋体" w:eastAsia="宋体"/>
          <w:color w:val="auto"/>
        </w:rPr>
        <w:t>5.7</w:t>
      </w:r>
      <w:r>
        <w:rPr>
          <w:rFonts w:ascii="宋体" w:hAnsi="宋体" w:eastAsia="宋体"/>
          <w:color w:val="auto"/>
        </w:rPr>
        <w:fldChar w:fldCharType="end"/>
      </w:r>
      <w:r>
        <w:rPr>
          <w:rFonts w:ascii="宋体" w:hAnsi="宋体" w:eastAsia="宋体"/>
          <w:color w:val="auto"/>
        </w:rPr>
        <w:noBreakHyphen/>
      </w:r>
      <w:r>
        <w:rPr>
          <w:rFonts w:ascii="宋体" w:hAnsi="宋体" w:eastAsia="宋体"/>
          <w:color w:val="auto"/>
        </w:rPr>
        <w:fldChar w:fldCharType="begin"/>
      </w:r>
      <w:r>
        <w:rPr>
          <w:rFonts w:ascii="宋体" w:hAnsi="宋体" w:eastAsia="宋体"/>
          <w:color w:val="auto"/>
        </w:rPr>
        <w:instrText xml:space="preserve"> </w:instrText>
      </w:r>
      <w:r>
        <w:rPr>
          <w:rFonts w:hint="eastAsia" w:ascii="宋体" w:hAnsi="宋体" w:eastAsia="宋体"/>
          <w:color w:val="auto"/>
        </w:rPr>
        <w:instrText xml:space="preserve">SEQ 表 \* ARABIC \s 2</w:instrText>
      </w:r>
      <w:r>
        <w:rPr>
          <w:rFonts w:ascii="宋体" w:hAnsi="宋体" w:eastAsia="宋体"/>
          <w:color w:val="auto"/>
        </w:rPr>
        <w:instrText xml:space="preserve"> </w:instrText>
      </w:r>
      <w:r>
        <w:rPr>
          <w:rFonts w:ascii="宋体" w:hAnsi="宋体" w:eastAsia="宋体"/>
          <w:color w:val="auto"/>
        </w:rPr>
        <w:fldChar w:fldCharType="separate"/>
      </w:r>
      <w:r>
        <w:rPr>
          <w:rFonts w:ascii="宋体" w:hAnsi="宋体" w:eastAsia="宋体"/>
          <w:color w:val="auto"/>
        </w:rPr>
        <w:t>5</w:t>
      </w:r>
      <w:r>
        <w:rPr>
          <w:rFonts w:ascii="宋体" w:hAnsi="宋体" w:eastAsia="宋体"/>
          <w:color w:val="auto"/>
        </w:rPr>
        <w:fldChar w:fldCharType="end"/>
      </w:r>
      <w:r>
        <w:rPr>
          <w:rFonts w:ascii="宋体" w:hAnsi="宋体" w:eastAsia="宋体"/>
          <w:color w:val="auto"/>
        </w:rPr>
        <w:t>施工噪声对鸟类影响方式表</w:t>
      </w:r>
    </w:p>
    <w:p w14:paraId="531EE938">
      <w:pPr>
        <w:kinsoku w:val="0"/>
        <w:autoSpaceDE w:val="0"/>
        <w:autoSpaceDN w:val="0"/>
        <w:adjustRightInd w:val="0"/>
        <w:snapToGrid w:val="0"/>
        <w:spacing w:line="20" w:lineRule="exact"/>
        <w:textAlignment w:val="baseline"/>
        <w:rPr>
          <w:rFonts w:ascii="宋体" w:hAnsi="宋体" w:eastAsia="宋体" w:cs="Arial"/>
          <w:snapToGrid w:val="0"/>
          <w:color w:val="auto"/>
        </w:rPr>
      </w:pPr>
    </w:p>
    <w:tbl>
      <w:tblPr>
        <w:tblStyle w:val="81"/>
        <w:tblW w:w="5000"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000000" w:sz="2" w:space="0"/>
        </w:tblBorders>
        <w:tblLayout w:type="autofit"/>
        <w:tblCellMar>
          <w:top w:w="0" w:type="dxa"/>
          <w:left w:w="108" w:type="dxa"/>
          <w:bottom w:w="0" w:type="dxa"/>
          <w:right w:w="108" w:type="dxa"/>
        </w:tblCellMar>
      </w:tblPr>
      <w:tblGrid>
        <w:gridCol w:w="1204"/>
        <w:gridCol w:w="6640"/>
        <w:gridCol w:w="1443"/>
      </w:tblGrid>
      <w:tr w14:paraId="6BEEB48C">
        <w:tblPrEx>
          <w:tblBorders>
            <w:top w:val="single" w:color="000000" w:sz="2" w:space="0"/>
            <w:left w:val="single" w:color="000000" w:sz="2" w:space="0"/>
            <w:bottom w:val="single" w:color="000000" w:sz="2" w:space="0"/>
            <w:right w:val="single" w:color="000000" w:sz="2" w:space="0"/>
            <w:insideH w:val="single" w:color="auto" w:sz="4" w:space="0"/>
            <w:insideV w:val="single" w:color="000000" w:sz="2" w:space="0"/>
          </w:tblBorders>
          <w:tblCellMar>
            <w:top w:w="0" w:type="dxa"/>
            <w:left w:w="108" w:type="dxa"/>
            <w:bottom w:w="0" w:type="dxa"/>
            <w:right w:w="108" w:type="dxa"/>
          </w:tblCellMar>
        </w:tblPrEx>
        <w:trPr>
          <w:trHeight w:val="340" w:hRule="atLeast"/>
          <w:jc w:val="center"/>
        </w:trPr>
        <w:tc>
          <w:tcPr>
            <w:tcW w:w="648" w:type="pct"/>
            <w:shd w:val="clear" w:color="auto" w:fill="auto"/>
            <w:vAlign w:val="center"/>
          </w:tcPr>
          <w:p w14:paraId="63E5E97A">
            <w:pPr>
              <w:jc w:val="center"/>
              <w:rPr>
                <w:rFonts w:ascii="宋体" w:hAnsi="宋体" w:eastAsia="宋体"/>
                <w:color w:val="auto"/>
              </w:rPr>
            </w:pPr>
            <w:r>
              <w:rPr>
                <w:rFonts w:ascii="宋体" w:hAnsi="宋体" w:eastAsia="宋体"/>
                <w:color w:val="auto"/>
              </w:rPr>
              <w:t>影响方式</w:t>
            </w:r>
          </w:p>
        </w:tc>
        <w:tc>
          <w:tcPr>
            <w:tcW w:w="3575" w:type="pct"/>
            <w:shd w:val="clear" w:color="auto" w:fill="auto"/>
            <w:vAlign w:val="center"/>
          </w:tcPr>
          <w:p w14:paraId="063AC8E3">
            <w:pPr>
              <w:jc w:val="center"/>
              <w:rPr>
                <w:rFonts w:ascii="宋体" w:hAnsi="宋体" w:eastAsia="宋体"/>
                <w:color w:val="auto"/>
              </w:rPr>
            </w:pPr>
            <w:r>
              <w:rPr>
                <w:rFonts w:ascii="宋体" w:hAnsi="宋体" w:eastAsia="宋体"/>
                <w:color w:val="auto"/>
              </w:rPr>
              <w:t>影响区域</w:t>
            </w:r>
          </w:p>
        </w:tc>
        <w:tc>
          <w:tcPr>
            <w:tcW w:w="777" w:type="pct"/>
            <w:shd w:val="clear" w:color="auto" w:fill="auto"/>
            <w:vAlign w:val="center"/>
          </w:tcPr>
          <w:p w14:paraId="18395E98">
            <w:pPr>
              <w:jc w:val="center"/>
              <w:rPr>
                <w:rFonts w:ascii="宋体" w:hAnsi="宋体" w:eastAsia="宋体"/>
                <w:color w:val="auto"/>
              </w:rPr>
            </w:pPr>
            <w:r>
              <w:rPr>
                <w:rFonts w:ascii="宋体" w:hAnsi="宋体" w:eastAsia="宋体"/>
                <w:color w:val="auto"/>
              </w:rPr>
              <w:t>影响性质</w:t>
            </w:r>
          </w:p>
        </w:tc>
      </w:tr>
      <w:tr w14:paraId="2AD278B2">
        <w:tblPrEx>
          <w:tblBorders>
            <w:top w:val="single" w:color="000000" w:sz="2" w:space="0"/>
            <w:left w:val="single" w:color="000000" w:sz="2" w:space="0"/>
            <w:bottom w:val="single" w:color="000000" w:sz="2" w:space="0"/>
            <w:right w:val="single" w:color="000000" w:sz="2" w:space="0"/>
            <w:insideH w:val="single" w:color="auto" w:sz="4" w:space="0"/>
            <w:insideV w:val="single" w:color="000000" w:sz="2" w:space="0"/>
          </w:tblBorders>
          <w:tblCellMar>
            <w:top w:w="0" w:type="dxa"/>
            <w:left w:w="108" w:type="dxa"/>
            <w:bottom w:w="0" w:type="dxa"/>
            <w:right w:w="108" w:type="dxa"/>
          </w:tblCellMar>
        </w:tblPrEx>
        <w:trPr>
          <w:trHeight w:val="340" w:hRule="atLeast"/>
          <w:jc w:val="center"/>
        </w:trPr>
        <w:tc>
          <w:tcPr>
            <w:tcW w:w="648" w:type="pct"/>
            <w:vMerge w:val="restart"/>
            <w:shd w:val="clear" w:color="auto" w:fill="auto"/>
            <w:vAlign w:val="center"/>
          </w:tcPr>
          <w:p w14:paraId="3F915C11">
            <w:pPr>
              <w:jc w:val="center"/>
              <w:rPr>
                <w:rFonts w:ascii="宋体" w:hAnsi="宋体" w:eastAsia="宋体"/>
                <w:color w:val="auto"/>
              </w:rPr>
            </w:pPr>
            <w:r>
              <w:rPr>
                <w:rFonts w:ascii="宋体" w:hAnsi="宋体" w:eastAsia="宋体"/>
                <w:color w:val="auto"/>
              </w:rPr>
              <w:t>施工噪声</w:t>
            </w:r>
          </w:p>
        </w:tc>
        <w:tc>
          <w:tcPr>
            <w:tcW w:w="3575" w:type="pct"/>
            <w:shd w:val="clear" w:color="auto" w:fill="auto"/>
            <w:vAlign w:val="center"/>
          </w:tcPr>
          <w:p w14:paraId="4685BFBB">
            <w:pPr>
              <w:jc w:val="center"/>
              <w:rPr>
                <w:rFonts w:ascii="宋体" w:hAnsi="宋体" w:eastAsia="宋体"/>
                <w:color w:val="auto"/>
              </w:rPr>
            </w:pPr>
            <w:r>
              <w:rPr>
                <w:rFonts w:hint="eastAsia" w:ascii="宋体" w:hAnsi="宋体" w:eastAsia="宋体"/>
                <w:color w:val="auto"/>
              </w:rPr>
              <w:t>当</w:t>
            </w:r>
            <w:r>
              <w:rPr>
                <w:rFonts w:ascii="宋体" w:hAnsi="宋体" w:eastAsia="宋体"/>
                <w:color w:val="auto"/>
              </w:rPr>
              <w:t>施工机械噪声源强</w:t>
            </w:r>
            <w:r>
              <w:rPr>
                <w:rFonts w:hint="eastAsia" w:ascii="宋体" w:hAnsi="宋体" w:eastAsia="宋体"/>
                <w:color w:val="auto"/>
              </w:rPr>
              <w:t>在</w:t>
            </w:r>
            <w:r>
              <w:rPr>
                <w:rFonts w:ascii="宋体" w:hAnsi="宋体" w:eastAsia="宋体"/>
                <w:color w:val="auto"/>
              </w:rPr>
              <w:t>100dB左右。研究表明，小于50dB的噪声对鸟类的正常活动无明显影响，据此推算，工程噪声影响范围为施工区 300m 以内区域，300m以外区域，鸟类受施工噪声影响很小。</w:t>
            </w:r>
          </w:p>
        </w:tc>
        <w:tc>
          <w:tcPr>
            <w:tcW w:w="777" w:type="pct"/>
            <w:shd w:val="clear" w:color="auto" w:fill="auto"/>
            <w:vAlign w:val="center"/>
          </w:tcPr>
          <w:p w14:paraId="141954AF">
            <w:pPr>
              <w:jc w:val="center"/>
              <w:rPr>
                <w:rFonts w:ascii="宋体" w:hAnsi="宋体" w:eastAsia="宋体"/>
                <w:color w:val="auto"/>
              </w:rPr>
            </w:pPr>
            <w:r>
              <w:rPr>
                <w:rFonts w:ascii="宋体" w:hAnsi="宋体" w:eastAsia="宋体"/>
                <w:color w:val="auto"/>
              </w:rPr>
              <w:t>短期的、可恢复、无法避免的</w:t>
            </w:r>
          </w:p>
        </w:tc>
      </w:tr>
      <w:tr w14:paraId="45D4A4F3">
        <w:tblPrEx>
          <w:tblBorders>
            <w:top w:val="single" w:color="000000" w:sz="2" w:space="0"/>
            <w:left w:val="single" w:color="000000" w:sz="2" w:space="0"/>
            <w:bottom w:val="single" w:color="000000" w:sz="2" w:space="0"/>
            <w:right w:val="single" w:color="000000" w:sz="2" w:space="0"/>
            <w:insideH w:val="single" w:color="auto" w:sz="4" w:space="0"/>
            <w:insideV w:val="single" w:color="000000" w:sz="2" w:space="0"/>
          </w:tblBorders>
          <w:tblCellMar>
            <w:top w:w="0" w:type="dxa"/>
            <w:left w:w="108" w:type="dxa"/>
            <w:bottom w:w="0" w:type="dxa"/>
            <w:right w:w="108" w:type="dxa"/>
          </w:tblCellMar>
        </w:tblPrEx>
        <w:trPr>
          <w:trHeight w:val="340" w:hRule="atLeast"/>
          <w:jc w:val="center"/>
        </w:trPr>
        <w:tc>
          <w:tcPr>
            <w:tcW w:w="648" w:type="pct"/>
            <w:vMerge w:val="continue"/>
            <w:shd w:val="clear" w:color="auto" w:fill="auto"/>
            <w:vAlign w:val="center"/>
          </w:tcPr>
          <w:p w14:paraId="676D0434">
            <w:pPr>
              <w:jc w:val="center"/>
              <w:rPr>
                <w:rFonts w:ascii="宋体" w:hAnsi="宋体" w:eastAsia="宋体"/>
                <w:color w:val="auto"/>
              </w:rPr>
            </w:pPr>
          </w:p>
        </w:tc>
        <w:tc>
          <w:tcPr>
            <w:tcW w:w="3575" w:type="pct"/>
            <w:shd w:val="clear" w:color="auto" w:fill="auto"/>
            <w:vAlign w:val="center"/>
          </w:tcPr>
          <w:p w14:paraId="5C4719ED">
            <w:pPr>
              <w:jc w:val="center"/>
              <w:rPr>
                <w:rFonts w:ascii="宋体" w:hAnsi="宋体" w:eastAsia="宋体"/>
                <w:color w:val="auto"/>
              </w:rPr>
            </w:pPr>
            <w:r>
              <w:rPr>
                <w:rFonts w:ascii="宋体" w:hAnsi="宋体" w:eastAsia="宋体"/>
                <w:color w:val="auto"/>
              </w:rPr>
              <w:t>研究表明，鸟类栖息地噪声平均 24h 噪声不能超过65dB（Leq24h），超过这个阈值则对鸟类有明显影响，此范围为施工区外 52m 以内区域。</w:t>
            </w:r>
          </w:p>
        </w:tc>
        <w:tc>
          <w:tcPr>
            <w:tcW w:w="777" w:type="pct"/>
            <w:vMerge w:val="restart"/>
            <w:shd w:val="clear" w:color="auto" w:fill="auto"/>
            <w:vAlign w:val="center"/>
          </w:tcPr>
          <w:p w14:paraId="2EBA8D8A">
            <w:pPr>
              <w:jc w:val="center"/>
              <w:rPr>
                <w:rFonts w:ascii="宋体" w:hAnsi="宋体" w:eastAsia="宋体"/>
                <w:color w:val="auto"/>
              </w:rPr>
            </w:pPr>
            <w:r>
              <w:rPr>
                <w:rFonts w:ascii="宋体" w:hAnsi="宋体" w:eastAsia="宋体"/>
                <w:color w:val="auto"/>
              </w:rPr>
              <w:t>短期的、可恢复、无法避免的</w:t>
            </w:r>
          </w:p>
        </w:tc>
      </w:tr>
      <w:tr w14:paraId="014F6522">
        <w:tblPrEx>
          <w:tblBorders>
            <w:top w:val="single" w:color="000000" w:sz="2" w:space="0"/>
            <w:left w:val="single" w:color="000000" w:sz="2" w:space="0"/>
            <w:bottom w:val="single" w:color="000000" w:sz="2" w:space="0"/>
            <w:right w:val="single" w:color="000000" w:sz="2" w:space="0"/>
            <w:insideH w:val="single" w:color="auto" w:sz="4" w:space="0"/>
            <w:insideV w:val="single" w:color="000000" w:sz="2" w:space="0"/>
          </w:tblBorders>
          <w:tblCellMar>
            <w:top w:w="0" w:type="dxa"/>
            <w:left w:w="108" w:type="dxa"/>
            <w:bottom w:w="0" w:type="dxa"/>
            <w:right w:w="108" w:type="dxa"/>
          </w:tblCellMar>
        </w:tblPrEx>
        <w:trPr>
          <w:trHeight w:val="340" w:hRule="atLeast"/>
          <w:jc w:val="center"/>
        </w:trPr>
        <w:tc>
          <w:tcPr>
            <w:tcW w:w="648" w:type="pct"/>
            <w:vMerge w:val="continue"/>
            <w:shd w:val="clear" w:color="auto" w:fill="auto"/>
            <w:vAlign w:val="center"/>
          </w:tcPr>
          <w:p w14:paraId="09C8D280">
            <w:pPr>
              <w:kinsoku w:val="0"/>
              <w:autoSpaceDE w:val="0"/>
              <w:autoSpaceDN w:val="0"/>
              <w:adjustRightInd w:val="0"/>
              <w:snapToGrid w:val="0"/>
              <w:ind w:firstLine="420"/>
              <w:jc w:val="center"/>
              <w:textAlignment w:val="baseline"/>
              <w:rPr>
                <w:rFonts w:ascii="宋体" w:hAnsi="宋体" w:eastAsia="宋体"/>
                <w:color w:val="auto"/>
              </w:rPr>
            </w:pPr>
          </w:p>
        </w:tc>
        <w:tc>
          <w:tcPr>
            <w:tcW w:w="3575" w:type="pct"/>
            <w:shd w:val="clear" w:color="auto" w:fill="auto"/>
            <w:vAlign w:val="center"/>
          </w:tcPr>
          <w:p w14:paraId="78403244">
            <w:pPr>
              <w:jc w:val="center"/>
              <w:rPr>
                <w:rFonts w:ascii="宋体" w:hAnsi="宋体" w:eastAsia="宋体"/>
                <w:color w:val="auto"/>
              </w:rPr>
            </w:pPr>
            <w:r>
              <w:rPr>
                <w:rFonts w:ascii="宋体" w:hAnsi="宋体" w:eastAsia="宋体"/>
                <w:color w:val="auto"/>
              </w:rPr>
              <w:t>研究表明，一般鸟类耐受的最大噪声不超过 87dB（Lmax），超过该值鸟类会立刻逃离。此范围为工程区外5.5m以内区域。</w:t>
            </w:r>
          </w:p>
        </w:tc>
        <w:tc>
          <w:tcPr>
            <w:tcW w:w="777" w:type="pct"/>
            <w:vMerge w:val="continue"/>
            <w:shd w:val="clear" w:color="auto" w:fill="auto"/>
            <w:vAlign w:val="center"/>
          </w:tcPr>
          <w:p w14:paraId="51D55CA1">
            <w:pPr>
              <w:kinsoku w:val="0"/>
              <w:autoSpaceDE w:val="0"/>
              <w:autoSpaceDN w:val="0"/>
              <w:adjustRightInd w:val="0"/>
              <w:snapToGrid w:val="0"/>
              <w:ind w:firstLine="420"/>
              <w:jc w:val="center"/>
              <w:textAlignment w:val="baseline"/>
              <w:rPr>
                <w:rFonts w:ascii="宋体" w:hAnsi="宋体" w:eastAsia="宋体"/>
                <w:color w:val="auto"/>
              </w:rPr>
            </w:pPr>
          </w:p>
        </w:tc>
      </w:tr>
    </w:tbl>
    <w:p w14:paraId="5DE77841">
      <w:pPr>
        <w:adjustRightInd w:val="0"/>
        <w:snapToGrid w:val="0"/>
        <w:spacing w:line="331" w:lineRule="auto"/>
        <w:ind w:firstLine="420" w:firstLineChars="200"/>
        <w:rPr>
          <w:rFonts w:ascii="宋体" w:hAnsi="宋体" w:eastAsia="宋体"/>
          <w:color w:val="auto"/>
        </w:rPr>
      </w:pPr>
    </w:p>
    <w:p w14:paraId="7722E375">
      <w:pPr>
        <w:pStyle w:val="276"/>
        <w:widowControl w:val="0"/>
        <w:ind w:firstLine="480"/>
        <w:jc w:val="both"/>
        <w:rPr>
          <w:color w:val="auto"/>
        </w:rPr>
      </w:pPr>
      <w:r>
        <w:rPr>
          <w:color w:val="auto"/>
        </w:rPr>
        <w:t>由上表可知，施工区300m以内区域生活的鸟类均会受到噪声的干扰，其中52～300m区域，鸟类会受到明显影响。</w:t>
      </w:r>
      <w:r>
        <w:rPr>
          <w:rFonts w:hint="eastAsia"/>
          <w:color w:val="auto"/>
        </w:rPr>
        <w:t>本项目在现有井场及设施周边施工，不直接占用鸟类栖息地，施工期尽可能避开蒙古百灵繁殖期，在施工场地设置警示牌，提醒施工人员保护野生动物。另外，由于鸟类具有飞翔能力，工程对其影响不属于伤害性，工程施工结束后鸟类会逐渐返回原栖息地，不会导致鸟类种类显著减少。</w:t>
      </w:r>
    </w:p>
    <w:p w14:paraId="107CFB97">
      <w:pPr>
        <w:pStyle w:val="276"/>
        <w:widowControl w:val="0"/>
        <w:ind w:firstLine="480"/>
        <w:jc w:val="both"/>
        <w:rPr>
          <w:color w:val="auto"/>
        </w:rPr>
      </w:pPr>
      <w:r>
        <w:rPr>
          <w:rFonts w:hint="eastAsia"/>
          <w:color w:val="auto"/>
        </w:rPr>
        <w:t>综上，工程对</w:t>
      </w:r>
      <w:r>
        <w:rPr>
          <w:color w:val="auto"/>
        </w:rPr>
        <w:t>鸟类</w:t>
      </w:r>
      <w:r>
        <w:rPr>
          <w:rFonts w:hint="eastAsia"/>
          <w:color w:val="auto"/>
        </w:rPr>
        <w:t>种群数量、生境质量</w:t>
      </w:r>
      <w:r>
        <w:rPr>
          <w:color w:val="auto"/>
        </w:rPr>
        <w:t>的影响是短期的，可恢复。</w:t>
      </w:r>
    </w:p>
    <w:p w14:paraId="25CC7B8A">
      <w:pPr>
        <w:pStyle w:val="276"/>
        <w:widowControl w:val="0"/>
        <w:ind w:firstLine="480"/>
        <w:jc w:val="both"/>
        <w:rPr>
          <w:color w:val="auto"/>
        </w:rPr>
      </w:pPr>
      <w:r>
        <w:rPr>
          <w:rFonts w:hint="eastAsia"/>
          <w:color w:val="auto"/>
        </w:rPr>
        <w:t>3）对生物多样性的影响</w:t>
      </w:r>
    </w:p>
    <w:p w14:paraId="30AC3300">
      <w:pPr>
        <w:pStyle w:val="276"/>
        <w:widowControl w:val="0"/>
        <w:ind w:firstLine="480"/>
        <w:jc w:val="both"/>
        <w:rPr>
          <w:color w:val="auto"/>
        </w:rPr>
      </w:pPr>
      <w:r>
        <w:rPr>
          <w:rFonts w:hint="eastAsia"/>
          <w:color w:val="auto"/>
        </w:rPr>
        <w:t>本项目所在区域属于传统油田开发区域，长期受人为干扰和开发影响，生物多样性相对较低，区内动物均为一些常见种类，且项目永久占地面积较小，项目建设不会造成生物的生境丧失、退化及破碎化等，不会造成生态系统退化以及生物多样性的下降，项目建设对生物多样性的影响不明显。</w:t>
      </w:r>
    </w:p>
    <w:p w14:paraId="592D66F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对土壤</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3DD49F2C">
      <w:pPr>
        <w:pStyle w:val="276"/>
        <w:widowControl w:val="0"/>
        <w:ind w:firstLine="480"/>
        <w:jc w:val="both"/>
        <w:rPr>
          <w:color w:val="auto"/>
        </w:rPr>
      </w:pPr>
      <w:r>
        <w:rPr>
          <w:rFonts w:hint="eastAsia"/>
          <w:color w:val="auto"/>
        </w:rPr>
        <w:t>1）土壤理化性质影响</w:t>
      </w:r>
    </w:p>
    <w:p w14:paraId="20EB3BB8">
      <w:pPr>
        <w:pStyle w:val="276"/>
        <w:widowControl w:val="0"/>
        <w:ind w:firstLine="480"/>
        <w:jc w:val="both"/>
        <w:rPr>
          <w:color w:val="auto"/>
        </w:rPr>
      </w:pPr>
      <w:r>
        <w:rPr>
          <w:rFonts w:hint="eastAsia"/>
          <w:color w:val="auto"/>
        </w:rPr>
        <w:t>施工过程中，土石方开挖、堆放、回填及材料堆放、人工踩踏、机械设备碾压等活动将对土壤理化性质产生影响，如扰乱土壤表层、破坏土壤结构，这种扰乱和破坏，除了开挖处受到直接的破坏外，挖出土方的堆放将直接占压开挖处附近的土地，破坏土壤表层及其结构。由于表层的团粒结构是经过较长的历史时期形成的，一旦遭到破坏，短期内难以恢复，在生境恶劣的环境下尤其困难。因此，在整个施工过程中，该工程对土壤表层的影响较严重。</w:t>
      </w:r>
    </w:p>
    <w:p w14:paraId="7B5EC86C">
      <w:pPr>
        <w:pStyle w:val="276"/>
        <w:widowControl w:val="0"/>
        <w:ind w:firstLine="480"/>
        <w:jc w:val="both"/>
        <w:rPr>
          <w:color w:val="auto"/>
        </w:rPr>
      </w:pPr>
      <w:r>
        <w:rPr>
          <w:rFonts w:hint="eastAsia"/>
          <w:color w:val="auto"/>
        </w:rPr>
        <w:t>工程土方的开挖与回填，使原土壤层次混合，原土体构型破坏。土体构型被破坏，将明显的改变土体中物质和能量的转移和传递规律，使表层通气透水性变差，亚表层保水、保肥性能降低，从而造成对植物的生长、发育及其产量影响。同时</w:t>
      </w:r>
      <w:r>
        <w:rPr>
          <w:color w:val="auto"/>
        </w:rPr>
        <w:t>由于管线埋入，挖出的土方回填后需要保护地面与原地面高度一致，必须用</w:t>
      </w:r>
      <w:r>
        <w:rPr>
          <w:rFonts w:hint="eastAsia"/>
          <w:color w:val="auto"/>
        </w:rPr>
        <w:t>机械</w:t>
      </w:r>
      <w:r>
        <w:rPr>
          <w:color w:val="auto"/>
        </w:rPr>
        <w:t>碾压夯实，这些都将直接影响土壤的结构和孔隙状况，导致土壤结构体特别是良性结构体的破坏和土壤透气孔隙的减少。</w:t>
      </w:r>
      <w:r>
        <w:rPr>
          <w:rFonts w:hint="eastAsia"/>
          <w:color w:val="auto"/>
        </w:rPr>
        <w:t>另外</w:t>
      </w:r>
      <w:r>
        <w:rPr>
          <w:color w:val="auto"/>
        </w:rPr>
        <w:t>由于作业采用大型机械，加上施工中</w:t>
      </w:r>
      <w:r>
        <w:rPr>
          <w:rFonts w:hint="eastAsia"/>
          <w:color w:val="auto"/>
        </w:rPr>
        <w:t>不规范</w:t>
      </w:r>
      <w:r>
        <w:rPr>
          <w:color w:val="auto"/>
        </w:rPr>
        <w:t>作业，一般将</w:t>
      </w:r>
      <w:r>
        <w:rPr>
          <w:rFonts w:hint="eastAsia"/>
          <w:color w:val="auto"/>
        </w:rPr>
        <w:t>弃土</w:t>
      </w:r>
      <w:r>
        <w:rPr>
          <w:color w:val="auto"/>
        </w:rPr>
        <w:t>和表土相混合，造成土壤</w:t>
      </w:r>
      <w:r>
        <w:rPr>
          <w:rFonts w:hint="eastAsia"/>
          <w:color w:val="auto"/>
        </w:rPr>
        <w:t>质量下降</w:t>
      </w:r>
      <w:r>
        <w:rPr>
          <w:color w:val="auto"/>
        </w:rPr>
        <w:t>。</w:t>
      </w:r>
    </w:p>
    <w:p w14:paraId="7E3BDB7B">
      <w:pPr>
        <w:pStyle w:val="276"/>
        <w:widowControl w:val="0"/>
        <w:ind w:firstLine="480"/>
        <w:jc w:val="both"/>
        <w:rPr>
          <w:color w:val="auto"/>
        </w:rPr>
      </w:pPr>
      <w:r>
        <w:rPr>
          <w:rFonts w:hint="eastAsia"/>
          <w:color w:val="auto"/>
        </w:rPr>
        <w:t>2）土壤污染影响</w:t>
      </w:r>
    </w:p>
    <w:p w14:paraId="595FEE73">
      <w:pPr>
        <w:pStyle w:val="276"/>
        <w:widowControl w:val="0"/>
        <w:ind w:firstLine="480"/>
        <w:jc w:val="both"/>
        <w:rPr>
          <w:color w:val="auto"/>
        </w:rPr>
      </w:pPr>
      <w:r>
        <w:rPr>
          <w:rFonts w:hint="eastAsia"/>
          <w:color w:val="auto"/>
        </w:rPr>
        <w:t>施工过程中将产生生活垃圾、焊渣等固体废物，这些固体废物可能含有难以生物降解的物质，如不妥善管理，回填入土，将影响土壤质量。</w:t>
      </w:r>
      <w:r>
        <w:rPr>
          <w:color w:val="auto"/>
        </w:rPr>
        <w:t>因此，施工时必须对固体废物</w:t>
      </w:r>
      <w:r>
        <w:rPr>
          <w:rFonts w:hint="eastAsia"/>
          <w:color w:val="auto"/>
        </w:rPr>
        <w:t>进行</w:t>
      </w:r>
      <w:r>
        <w:rPr>
          <w:color w:val="auto"/>
        </w:rPr>
        <w:t>严格管理，统一回收和专门处理，不得随意抛撒。</w:t>
      </w:r>
      <w:r>
        <w:rPr>
          <w:rFonts w:hint="eastAsia"/>
          <w:color w:val="auto"/>
        </w:rPr>
        <w:t>因此，</w:t>
      </w:r>
      <w:r>
        <w:rPr>
          <w:color w:val="auto"/>
        </w:rPr>
        <w:t>项目产生的</w:t>
      </w:r>
      <w:r>
        <w:rPr>
          <w:rFonts w:hint="eastAsia"/>
          <w:color w:val="auto"/>
        </w:rPr>
        <w:t>施工废物</w:t>
      </w:r>
      <w:r>
        <w:rPr>
          <w:color w:val="auto"/>
        </w:rPr>
        <w:t>对土壤</w:t>
      </w:r>
      <w:r>
        <w:rPr>
          <w:rFonts w:hint="eastAsia"/>
          <w:color w:val="auto"/>
        </w:rPr>
        <w:t>环境</w:t>
      </w:r>
      <w:r>
        <w:rPr>
          <w:color w:val="auto"/>
        </w:rPr>
        <w:t>质量影响较小</w:t>
      </w:r>
      <w:r>
        <w:rPr>
          <w:rFonts w:hint="eastAsia"/>
          <w:color w:val="auto"/>
        </w:rPr>
        <w:t>。</w:t>
      </w:r>
    </w:p>
    <w:p w14:paraId="504B99D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对水土流失</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7F5A257F">
      <w:pPr>
        <w:pStyle w:val="276"/>
        <w:widowControl w:val="0"/>
        <w:ind w:firstLine="480"/>
        <w:jc w:val="both"/>
        <w:rPr>
          <w:color w:val="auto"/>
        </w:rPr>
      </w:pPr>
      <w:r>
        <w:rPr>
          <w:rFonts w:hint="eastAsia"/>
          <w:color w:val="auto"/>
        </w:rPr>
        <w:t>本项目井场、道路等施工时车辆对土壤的碾压，将扰动地表、破坏植被、增大地表裸露面积，使土壤变得疏松，破坏原有水土保持稳定状态，引起一定程度的水土流失。另外，工程施工破坏植被，新地貌失去植物根系的固土作用，雨水直接冲刷疏松、裸露的地表土，易造成水土流失；施工过程中，开挖回填后产生的弃渣松散堆积，结构疏松，胶结力差，抗侵蚀能力极低，遇暴雨产生径流，加大水土流失。</w:t>
      </w:r>
    </w:p>
    <w:p w14:paraId="405D6928">
      <w:pPr>
        <w:pStyle w:val="276"/>
        <w:widowControl w:val="0"/>
        <w:ind w:firstLine="480"/>
        <w:jc w:val="both"/>
        <w:rPr>
          <w:color w:val="auto"/>
        </w:rPr>
      </w:pPr>
      <w:r>
        <w:rPr>
          <w:rFonts w:hint="eastAsia"/>
          <w:color w:val="auto"/>
        </w:rPr>
        <w:t>本项目施工过程中严格控制油田内各井场和管线的作业面积，严格控制和管理车辆及重型机械的运行范围，避免开辟新路。管沟挖、填方作业应尽量做到互补平衡，施工结束后及时回填平整压实，及时进行植被恢复等，在采取以上措施后，可最大程度减少水土流失。</w:t>
      </w:r>
    </w:p>
    <w:p w14:paraId="3955139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对湿地的影响分析</w:t>
      </w:r>
    </w:p>
    <w:p w14:paraId="0FDDF528">
      <w:pPr>
        <w:pStyle w:val="276"/>
        <w:widowControl w:val="0"/>
        <w:ind w:firstLine="480"/>
        <w:jc w:val="both"/>
        <w:rPr>
          <w:color w:val="auto"/>
        </w:rPr>
      </w:pPr>
      <w:r>
        <w:rPr>
          <w:color w:val="auto"/>
        </w:rPr>
        <w:t>本项目临时占地和永久占地不占用湿地，但是施工噪声、人员活动等会干扰湿地内的野生动物，如两栖类等的正常生活和繁殖。一些敏感物种可能会因无法适应施工干扰而迁移，导致局部地区野生动物数量减少。同时，施工对湿地植被和水域环境的破坏，也直接摧毁了许多野生动物的栖息地，使它们的生存空间受到挤压。施工过程中产生的废水，如泥浆水、设备冲洗水等，若未经有效收集</w:t>
      </w:r>
      <w:r>
        <w:rPr>
          <w:rFonts w:hint="eastAsia"/>
          <w:color w:val="auto"/>
        </w:rPr>
        <w:t>泄漏</w:t>
      </w:r>
      <w:r>
        <w:rPr>
          <w:color w:val="auto"/>
        </w:rPr>
        <w:t>至周边水渠，可能会含有大量的悬浮物、石油类物质和化学药剂等污染物，进入湿地水体后会导致水质恶化，影响湿地生态系统的功能。此外，施工材料的泄漏、机械油污的滴漏等也可能对湿地水质造成污染。</w:t>
      </w:r>
    </w:p>
    <w:p w14:paraId="5A97EC4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对防沙治沙</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4162AE06">
      <w:pPr>
        <w:pStyle w:val="276"/>
        <w:ind w:firstLine="480"/>
        <w:rPr>
          <w:rFonts w:hint="eastAsia"/>
          <w:color w:val="auto"/>
        </w:rPr>
      </w:pPr>
      <w:r>
        <w:rPr>
          <w:rFonts w:hint="eastAsia"/>
          <w:color w:val="auto"/>
        </w:rPr>
        <w:t>根据黑龙江省防沙治沙工作领导小组《关于印发&lt;关于贯彻落实《沙化土地封禁保护修复制度方案》的实施意见&gt;的通知》，肇源县属于沙化土地所在县（区）。</w:t>
      </w:r>
    </w:p>
    <w:p w14:paraId="01BAF1FA">
      <w:pPr>
        <w:pStyle w:val="276"/>
        <w:ind w:firstLine="480"/>
        <w:rPr>
          <w:rFonts w:hint="eastAsia"/>
          <w:color w:val="auto"/>
        </w:rPr>
      </w:pPr>
      <w:r>
        <w:rPr>
          <w:rFonts w:hint="eastAsia"/>
          <w:color w:val="auto"/>
        </w:rPr>
        <w:t>根据现场勘查，本项目开发区域沙化土壤分布较少，主要地类为土壤性能良好的耕地，区域内沙化土地所占的比重较小，为减轻植被破坏和农田生态系统受工程影响可能导致的沙化现象，防患于未然，建设单位应采取以下措施进行控制：</w:t>
      </w:r>
    </w:p>
    <w:p w14:paraId="7BE1B678">
      <w:pPr>
        <w:pStyle w:val="276"/>
        <w:ind w:firstLine="480"/>
        <w:rPr>
          <w:rFonts w:hint="eastAsia"/>
          <w:color w:val="auto"/>
        </w:rPr>
      </w:pPr>
      <w:r>
        <w:rPr>
          <w:rFonts w:hint="eastAsia"/>
          <w:color w:val="auto"/>
        </w:rPr>
        <w:t>（1）施工结束后及时有效地对占地区域土地进行平整，利于农作物复耕生产。</w:t>
      </w:r>
    </w:p>
    <w:p w14:paraId="1D2211B5">
      <w:pPr>
        <w:pStyle w:val="276"/>
        <w:ind w:firstLine="480"/>
        <w:rPr>
          <w:rFonts w:hint="eastAsia"/>
          <w:color w:val="auto"/>
        </w:rPr>
      </w:pPr>
      <w:r>
        <w:rPr>
          <w:rFonts w:hint="eastAsia"/>
          <w:color w:val="auto"/>
        </w:rPr>
        <w:t>（2）施工尽量缩小占地面积，划定施工活动范围，严格控制和管理车辆及重型机械的运行范围，所有车辆采用“一”字型作业法，避免并行开辟新路，以减少风蚀沙化活动的范围。</w:t>
      </w:r>
    </w:p>
    <w:p w14:paraId="3F0E1DC0">
      <w:pPr>
        <w:pStyle w:val="276"/>
        <w:ind w:firstLine="480"/>
        <w:rPr>
          <w:rFonts w:hint="eastAsia"/>
          <w:color w:val="auto"/>
        </w:rPr>
      </w:pPr>
      <w:r>
        <w:rPr>
          <w:rFonts w:hint="eastAsia"/>
          <w:color w:val="auto"/>
        </w:rPr>
        <w:t>（3）施工作业避免在大风天施工。</w:t>
      </w:r>
    </w:p>
    <w:p w14:paraId="1B983627">
      <w:pPr>
        <w:pStyle w:val="276"/>
        <w:ind w:firstLine="480"/>
        <w:rPr>
          <w:rFonts w:hint="eastAsia"/>
          <w:color w:val="auto"/>
        </w:rPr>
      </w:pPr>
      <w:r>
        <w:rPr>
          <w:rFonts w:hint="eastAsia"/>
          <w:color w:val="auto"/>
        </w:rPr>
        <w:t>（4）路基边坡采取种草措施护坡固土，维护路基稳定和道路安全运行。</w:t>
      </w:r>
    </w:p>
    <w:p w14:paraId="3962431F">
      <w:pPr>
        <w:pStyle w:val="276"/>
        <w:ind w:firstLine="480"/>
        <w:rPr>
          <w:rFonts w:hint="eastAsia"/>
          <w:color w:val="auto"/>
        </w:rPr>
      </w:pPr>
      <w:r>
        <w:rPr>
          <w:rFonts w:hint="eastAsia"/>
          <w:color w:val="auto"/>
        </w:rPr>
        <w:t>（5）做好施工期开挖土方临时堆存的水土保持措施，确保土方水土流失得到有效控制。对开挖井场造成植被破坏或地表裸露的，必须采取有效的修复措施，所有生态措施应在井场投运半年内完成。</w:t>
      </w:r>
    </w:p>
    <w:p w14:paraId="5C291F4D">
      <w:pPr>
        <w:pStyle w:val="276"/>
        <w:widowControl w:val="0"/>
        <w:ind w:firstLine="480"/>
        <w:jc w:val="both"/>
        <w:rPr>
          <w:color w:val="auto"/>
        </w:rPr>
      </w:pPr>
      <w:r>
        <w:rPr>
          <w:rFonts w:hint="eastAsia"/>
          <w:color w:val="auto"/>
        </w:rPr>
        <w:t>通过以上措施，可有效防止土地沙化。</w:t>
      </w:r>
    </w:p>
    <w:p w14:paraId="0415273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对区域水土流失环境影响分析</w:t>
      </w:r>
    </w:p>
    <w:p w14:paraId="3A8D2EDC">
      <w:pPr>
        <w:pStyle w:val="276"/>
        <w:widowControl w:val="0"/>
        <w:ind w:firstLine="480"/>
        <w:jc w:val="both"/>
        <w:rPr>
          <w:color w:val="auto"/>
        </w:rPr>
      </w:pPr>
      <w:r>
        <w:rPr>
          <w:color w:val="auto"/>
        </w:rPr>
        <w:t>本项目由于井场、管线等施工时车辆对土壤的碾压，人员对土壤的践踏，将改变原地表地貌状况，扰动原地貌，改变原地貌的状况和性质。施工过程中，开挖回填后土壤结构疏松，胶结力差，抗侵蚀能力极低，遇大风天气易造成水土流失。为了更好的保持水土，建议采取以下水土流失防治措施。</w:t>
      </w:r>
    </w:p>
    <w:p w14:paraId="554B8044">
      <w:pPr>
        <w:pStyle w:val="276"/>
        <w:widowControl w:val="0"/>
        <w:ind w:firstLine="480"/>
        <w:jc w:val="both"/>
        <w:rPr>
          <w:color w:val="auto"/>
          <w:szCs w:val="28"/>
        </w:rPr>
      </w:pPr>
      <w:r>
        <w:rPr>
          <w:rFonts w:hint="eastAsia"/>
          <w:color w:val="auto"/>
          <w:szCs w:val="28"/>
        </w:rPr>
        <w:t>（1）</w:t>
      </w:r>
      <w:r>
        <w:rPr>
          <w:color w:val="auto"/>
          <w:szCs w:val="28"/>
        </w:rPr>
        <w:t>严格控制井场和管线的作业面积，严格</w:t>
      </w:r>
      <w:r>
        <w:rPr>
          <w:color w:val="auto"/>
        </w:rPr>
        <w:t>控制</w:t>
      </w:r>
      <w:r>
        <w:rPr>
          <w:color w:val="auto"/>
          <w:szCs w:val="28"/>
        </w:rPr>
        <w:t>和管理车辆及重型机械的运行范围。</w:t>
      </w:r>
    </w:p>
    <w:p w14:paraId="4C84A272">
      <w:pPr>
        <w:spacing w:line="440" w:lineRule="exact"/>
        <w:ind w:firstLine="480" w:firstLineChars="200"/>
        <w:rPr>
          <w:rFonts w:ascii="宋体" w:hAnsi="宋体" w:eastAsia="宋体"/>
          <w:color w:val="auto"/>
          <w:sz w:val="24"/>
        </w:rPr>
      </w:pPr>
      <w:r>
        <w:rPr>
          <w:rFonts w:hint="eastAsia" w:ascii="宋体" w:hAnsi="宋体" w:eastAsia="宋体"/>
          <w:color w:val="auto"/>
          <w:sz w:val="24"/>
        </w:rPr>
        <w:t>（2）</w:t>
      </w:r>
      <w:r>
        <w:rPr>
          <w:rFonts w:ascii="宋体" w:hAnsi="宋体" w:eastAsia="宋体"/>
          <w:color w:val="auto"/>
          <w:sz w:val="24"/>
        </w:rPr>
        <w:t>在油田道路通过农田水驱路段，设置钢筋砼板涵，以保证道路两侧水流的畅通。</w:t>
      </w:r>
    </w:p>
    <w:p w14:paraId="1758BEEA">
      <w:pPr>
        <w:spacing w:line="440" w:lineRule="exact"/>
        <w:ind w:firstLine="480" w:firstLineChars="200"/>
        <w:rPr>
          <w:rFonts w:ascii="宋体" w:hAnsi="宋体" w:eastAsia="宋体"/>
          <w:color w:val="auto"/>
          <w:sz w:val="24"/>
        </w:rPr>
      </w:pPr>
      <w:r>
        <w:rPr>
          <w:rFonts w:hint="eastAsia" w:ascii="宋体" w:hAnsi="宋体" w:eastAsia="宋体"/>
          <w:color w:val="auto"/>
          <w:sz w:val="24"/>
        </w:rPr>
        <w:t>（3）</w:t>
      </w:r>
      <w:r>
        <w:rPr>
          <w:rFonts w:ascii="宋体" w:hAnsi="宋体" w:eastAsia="宋体"/>
          <w:color w:val="auto"/>
          <w:sz w:val="24"/>
        </w:rPr>
        <w:t>管道工程施工时，应划定施工活动范围，严格控制车辆及重型机械的运行范围，避免加行开辟新路。管沟挖、填方作业应尽量做到互补平衡，以免造成弃土方堆积和过多借土，增加新的水土流失。管沟回填应按层回填，以利于施工带土壤和植被的尽早恢复。回填后应予以平整、压实，以免发生水土流失。</w:t>
      </w:r>
    </w:p>
    <w:p w14:paraId="42A0E622">
      <w:pPr>
        <w:pStyle w:val="276"/>
        <w:widowControl w:val="0"/>
        <w:ind w:firstLine="480"/>
        <w:jc w:val="both"/>
        <w:rPr>
          <w:color w:val="auto"/>
        </w:rPr>
      </w:pPr>
      <w:r>
        <w:rPr>
          <w:rFonts w:hint="eastAsia"/>
          <w:color w:val="auto"/>
        </w:rPr>
        <w:t>（4）</w:t>
      </w:r>
      <w:r>
        <w:rPr>
          <w:color w:val="auto"/>
        </w:rPr>
        <w:t>井场、拉油点和道路垫高后，在稻田地一侧做混凝土砼板护边坡，防止运营期稻田内水流浸泡影响。</w:t>
      </w:r>
    </w:p>
    <w:p w14:paraId="31A97900">
      <w:pPr>
        <w:pStyle w:val="276"/>
        <w:widowControl w:val="0"/>
        <w:ind w:firstLine="480"/>
        <w:jc w:val="both"/>
        <w:rPr>
          <w:color w:val="auto"/>
        </w:rPr>
      </w:pPr>
      <w:r>
        <w:rPr>
          <w:rFonts w:hint="eastAsia"/>
          <w:color w:val="auto"/>
        </w:rPr>
        <w:t>（5）</w:t>
      </w:r>
      <w:r>
        <w:rPr>
          <w:color w:val="auto"/>
        </w:rPr>
        <w:t>严禁在大风、大雨天气下施工，特别是管沟开挖、管道回填作业等。提醒施工作业人员，减少人员随意践踏造成的水土流失。严禁开发建设施工材料乱堆乱放，划定适宜的堆料场，防止破坏范围的扩大，增加裸地面积而新增的水土流失。</w:t>
      </w:r>
    </w:p>
    <w:p w14:paraId="34A1B349">
      <w:pPr>
        <w:pStyle w:val="6"/>
        <w:rPr>
          <w:color w:val="auto"/>
        </w:rPr>
      </w:pPr>
      <w:r>
        <w:rPr>
          <w:rFonts w:hint="eastAsia"/>
          <w:color w:val="auto"/>
        </w:rPr>
        <w:t>运营期生态</w:t>
      </w:r>
      <w:r>
        <w:rPr>
          <w:color w:val="auto"/>
        </w:rPr>
        <w:t>环境影响</w:t>
      </w:r>
      <w:r>
        <w:rPr>
          <w:rFonts w:hint="eastAsia"/>
          <w:color w:val="auto"/>
        </w:rPr>
        <w:t>分析</w:t>
      </w:r>
    </w:p>
    <w:p w14:paraId="3A67D34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对生态系统影响分析</w:t>
      </w:r>
    </w:p>
    <w:p w14:paraId="3C2244BB">
      <w:pPr>
        <w:pStyle w:val="276"/>
        <w:widowControl w:val="0"/>
        <w:ind w:firstLine="480"/>
        <w:jc w:val="both"/>
        <w:rPr>
          <w:color w:val="auto"/>
        </w:rPr>
      </w:pPr>
      <w:r>
        <w:rPr>
          <w:rFonts w:hint="eastAsia"/>
          <w:color w:val="auto"/>
        </w:rPr>
        <w:t>运营期主要工程内容为巡井及井下作业，一般情况仅在永久占地范围内作业。此时临时占地已恢复原有土地利用状况。</w:t>
      </w:r>
    </w:p>
    <w:p w14:paraId="09B39B45">
      <w:pPr>
        <w:pStyle w:val="276"/>
        <w:widowControl w:val="0"/>
        <w:ind w:firstLine="480"/>
        <w:jc w:val="both"/>
        <w:rPr>
          <w:color w:val="auto"/>
        </w:rPr>
      </w:pPr>
      <w:r>
        <w:rPr>
          <w:rFonts w:hint="eastAsia"/>
          <w:color w:val="auto"/>
        </w:rPr>
        <w:t>由遥感解译结果可知，评价区景观基质为草地景观，运营期农田景观占评价区总面积的比例仍然维持在较高水平，可见油田设施建设虽使评价区自然体系的景观质量呈下降趋势，但没有根本上改变评价区的生态体系质量和以农田景观为主的景观结构。这说明景观拼块中人工异质性的增加不会对评价区产生较大干扰能力。因此，工程建设对评价区生态系统结构影响较小。</w:t>
      </w:r>
    </w:p>
    <w:p w14:paraId="4A5857A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对生态功能</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3A281E67">
      <w:pPr>
        <w:pStyle w:val="276"/>
        <w:widowControl w:val="0"/>
        <w:ind w:firstLine="480"/>
        <w:jc w:val="both"/>
        <w:rPr>
          <w:color w:val="auto"/>
        </w:rPr>
      </w:pPr>
      <w:r>
        <w:rPr>
          <w:rFonts w:hint="eastAsia"/>
          <w:color w:val="auto"/>
        </w:rPr>
        <w:t>本项目占用土地类型主要为草地、农田。土地的占用势必导致草地资源的减少。但由于工程建设占地面积相对整个评价区面积而言所占比例较小，且所占草地内植被种类均为本地常见种，工程建设完毕后，通过在区域内的植被恢复工程，可减少对草地影响。因此，工程建成后基本不会改变区域土地利用结构。</w:t>
      </w:r>
    </w:p>
    <w:p w14:paraId="302322BF">
      <w:pPr>
        <w:pStyle w:val="276"/>
        <w:widowControl w:val="0"/>
        <w:ind w:firstLine="480"/>
        <w:jc w:val="both"/>
        <w:rPr>
          <w:color w:val="auto"/>
        </w:rPr>
      </w:pPr>
      <w:r>
        <w:rPr>
          <w:rFonts w:hint="eastAsia"/>
          <w:color w:val="auto"/>
        </w:rPr>
        <w:t>运营期正常工况下油井不会停止运行，仅在非正常工况下井下作业会产生污染物。井下作业各类污染物均得到有效处置，不外排，且井下作业时间是短暂，随施工结束影响也随之消失。</w:t>
      </w:r>
    </w:p>
    <w:p w14:paraId="37A74DF4">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对植被</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7B64F2F4">
      <w:pPr>
        <w:pStyle w:val="276"/>
        <w:widowControl w:val="0"/>
        <w:ind w:firstLine="480"/>
        <w:jc w:val="both"/>
        <w:rPr>
          <w:color w:val="auto"/>
        </w:rPr>
      </w:pPr>
      <w:r>
        <w:rPr>
          <w:rFonts w:hint="eastAsia"/>
          <w:color w:val="auto"/>
        </w:rPr>
        <w:t>运营期井场正常运行不会对井场外周围植被产生影响，但在修井作业过程中，若落地油回收不及时，可能洒落地面，影响植被生长。因此，井下作业带罐作业，地面铺设防渗布，落地油回收率达到1</w:t>
      </w:r>
      <w:r>
        <w:rPr>
          <w:color w:val="auto"/>
        </w:rPr>
        <w:t>00</w:t>
      </w:r>
      <w:r>
        <w:rPr>
          <w:rFonts w:hint="eastAsia"/>
          <w:color w:val="auto"/>
        </w:rPr>
        <w:t>%，减少落地油污染土壤途径。通过采取以上措施后，运营期修井作业不会对周围土壤和植被造成显著影响。</w:t>
      </w:r>
    </w:p>
    <w:p w14:paraId="64317D9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对动物</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59AC8E74">
      <w:pPr>
        <w:pStyle w:val="276"/>
        <w:widowControl w:val="0"/>
        <w:ind w:firstLine="480"/>
        <w:jc w:val="both"/>
        <w:rPr>
          <w:color w:val="auto"/>
        </w:rPr>
      </w:pPr>
      <w:r>
        <w:rPr>
          <w:rFonts w:hint="eastAsia"/>
          <w:color w:val="auto"/>
        </w:rPr>
        <w:t>与施工期相比，运营期对野生动植物的影响较小，主要是抽油机运行噪声和修井作业噪声可能对鸟类产生影响。</w:t>
      </w:r>
    </w:p>
    <w:p w14:paraId="4BE1EE9A">
      <w:pPr>
        <w:pStyle w:val="276"/>
        <w:widowControl w:val="0"/>
        <w:ind w:firstLine="480"/>
        <w:jc w:val="both"/>
        <w:rPr>
          <w:color w:val="auto"/>
        </w:rPr>
      </w:pPr>
      <w:r>
        <w:rPr>
          <w:rFonts w:hint="eastAsia"/>
          <w:color w:val="auto"/>
        </w:rPr>
        <w:t>1）抽油机运行噪声影响</w:t>
      </w:r>
    </w:p>
    <w:p w14:paraId="358B6A74">
      <w:pPr>
        <w:pStyle w:val="276"/>
        <w:widowControl w:val="0"/>
        <w:ind w:firstLine="480"/>
        <w:jc w:val="both"/>
        <w:rPr>
          <w:color w:val="auto"/>
        </w:rPr>
      </w:pPr>
      <w:r>
        <w:rPr>
          <w:rFonts w:hint="eastAsia"/>
          <w:color w:val="auto"/>
        </w:rPr>
        <w:t>抽油机运行噪声，属低频稳态噪声，与压裂施工噪声相比明显下降，一般在65dB（A）左右，经距离衰减后，在50m处噪声已降至31dB（A）。研究表明，小于50dB（A）的噪声对鸟类的正常活动无明显影响，据此推算，工程噪声影响范围为井场周围50m以内区域，50m以外区域，鸟类的正常活动无明显影响。本项目所在区域分布的鸟类均为一般种类，鸟类飞翔能力强，因此运营期对鸟类影响较小。</w:t>
      </w:r>
    </w:p>
    <w:p w14:paraId="407FBC2F">
      <w:pPr>
        <w:pStyle w:val="276"/>
        <w:widowControl w:val="0"/>
        <w:ind w:firstLine="480"/>
        <w:jc w:val="both"/>
        <w:rPr>
          <w:color w:val="auto"/>
        </w:rPr>
      </w:pPr>
      <w:r>
        <w:rPr>
          <w:rFonts w:hint="eastAsia"/>
          <w:color w:val="auto"/>
        </w:rPr>
        <w:t>2）井下作业施工机械噪声影响</w:t>
      </w:r>
    </w:p>
    <w:p w14:paraId="7F631AF5">
      <w:pPr>
        <w:pStyle w:val="276"/>
        <w:widowControl w:val="0"/>
        <w:ind w:firstLine="480"/>
        <w:jc w:val="both"/>
        <w:rPr>
          <w:color w:val="auto"/>
        </w:rPr>
      </w:pPr>
      <w:r>
        <w:rPr>
          <w:rFonts w:hint="eastAsia"/>
          <w:color w:val="auto"/>
        </w:rPr>
        <w:t>运营期井下作业机械噪声周期较短，声源具有不确定性和不稳定性，在施工时对周围环境的影响是可以接受的。</w:t>
      </w:r>
    </w:p>
    <w:p w14:paraId="180E1893">
      <w:pPr>
        <w:pStyle w:val="276"/>
        <w:widowControl w:val="0"/>
        <w:ind w:firstLine="480"/>
        <w:jc w:val="both"/>
        <w:rPr>
          <w:color w:val="auto"/>
        </w:rPr>
      </w:pPr>
      <w:r>
        <w:rPr>
          <w:rFonts w:hint="eastAsia"/>
          <w:color w:val="auto"/>
        </w:rPr>
        <w:t>根据调研，野生动物在环境噪声提高时，首先会因警惕行为而驻足倾听，而后随环境噪声增至60dB（A）时出现避让奔逃的现象，至距离噪声源60m以上时停止奔逃，但群体仍处于躁动状态直至平静。本项目井下作业施工机械噪声是暂时的，只在短时期对局部环境造成影响，待施工结束后这种影响也随之消失，不会对野生动物造成伤害。因此，本项目修井机械噪声对野生动物造成的影响在可接受范围内。</w:t>
      </w:r>
    </w:p>
    <w:p w14:paraId="6FD184B5">
      <w:pPr>
        <w:pStyle w:val="276"/>
        <w:widowControl w:val="0"/>
        <w:ind w:firstLine="480"/>
        <w:jc w:val="both"/>
        <w:rPr>
          <w:color w:val="auto"/>
        </w:rPr>
      </w:pPr>
      <w:r>
        <w:rPr>
          <w:rFonts w:hint="eastAsia"/>
          <w:color w:val="auto"/>
        </w:rPr>
        <w:t>3）对鸟类多样性影响分析</w:t>
      </w:r>
    </w:p>
    <w:p w14:paraId="53DD14A1">
      <w:pPr>
        <w:pStyle w:val="276"/>
        <w:widowControl w:val="0"/>
        <w:ind w:firstLine="480"/>
        <w:jc w:val="both"/>
        <w:rPr>
          <w:color w:val="auto"/>
        </w:rPr>
      </w:pPr>
      <w:r>
        <w:rPr>
          <w:rFonts w:hint="eastAsia"/>
          <w:color w:val="auto"/>
        </w:rPr>
        <w:t>油田建设出现了许多新的人工景观（井场、电杆及电缆线等）。但</w:t>
      </w:r>
      <w:r>
        <w:rPr>
          <w:color w:val="auto"/>
        </w:rPr>
        <w:t>油田开发内各种人工景观密度是比较低的，不会对区内鸟类的栖息环境造成严重影响。</w:t>
      </w:r>
      <w:r>
        <w:rPr>
          <w:rFonts w:hint="eastAsia"/>
          <w:color w:val="auto"/>
        </w:rPr>
        <w:t>另外，根据现状调查，本项目所在区域以农田耕作为主，工程区域鸟类均为常见种，抽油机运行和修井作业对鸟类的干扰不属于伤害性影响，不会因本项目实施而导致种群消失或灭绝，也不会导致鸟类生境类型、分布范围、种群结构、区系组成发生变化。</w:t>
      </w:r>
    </w:p>
    <w:p w14:paraId="636D4E8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对土壤</w:t>
      </w:r>
      <w:r>
        <w:rPr>
          <w:rFonts w:ascii="宋体" w:hAnsi="宋体" w:eastAsia="宋体" w:cs="Times New Roman"/>
          <w:b/>
          <w:bCs/>
          <w:color w:val="auto"/>
          <w:szCs w:val="28"/>
        </w:rPr>
        <w:t>影响</w:t>
      </w:r>
      <w:r>
        <w:rPr>
          <w:rFonts w:hint="eastAsia" w:ascii="宋体" w:hAnsi="宋体" w:eastAsia="宋体" w:cs="Times New Roman"/>
          <w:b/>
          <w:bCs/>
          <w:color w:val="auto"/>
          <w:szCs w:val="28"/>
        </w:rPr>
        <w:t>分析</w:t>
      </w:r>
    </w:p>
    <w:p w14:paraId="7369D240">
      <w:pPr>
        <w:pStyle w:val="276"/>
        <w:widowControl w:val="0"/>
        <w:ind w:firstLine="480"/>
        <w:jc w:val="both"/>
        <w:rPr>
          <w:color w:val="auto"/>
        </w:rPr>
      </w:pPr>
      <w:r>
        <w:rPr>
          <w:rFonts w:hint="eastAsia"/>
          <w:color w:val="auto"/>
        </w:rPr>
        <w:t>运营期，油气开采很少在大面积范围内造成污染，主要是在油井修井过程附近形成局部污染，如修井过程可能产生落地油和井下作业废水，如回收不及时可能对土壤环境产生一定影响。</w:t>
      </w:r>
    </w:p>
    <w:p w14:paraId="3DB3D936">
      <w:pPr>
        <w:pStyle w:val="276"/>
        <w:widowControl w:val="0"/>
        <w:ind w:firstLine="480"/>
        <w:jc w:val="both"/>
        <w:rPr>
          <w:color w:val="auto"/>
        </w:rPr>
      </w:pPr>
      <w:r>
        <w:rPr>
          <w:rFonts w:hint="eastAsia"/>
          <w:color w:val="auto"/>
        </w:rPr>
        <w:t>本项目井下作业废水、</w:t>
      </w:r>
      <w:r>
        <w:rPr>
          <w:color w:val="auto"/>
        </w:rPr>
        <w:t>洗井污水</w:t>
      </w:r>
      <w:r>
        <w:rPr>
          <w:rFonts w:hint="eastAsia"/>
          <w:color w:val="auto"/>
        </w:rPr>
        <w:t>等依托朝二联合站含油污水处理站处理达标后回注地层用于油田注水开发，不外排；运营期应加强修井过程的管理，文明作业，提高修井效率，减少修井次数，在采取以上环保措施后，运营期井场工程不会对井场周围土壤造成显著影响。</w:t>
      </w:r>
    </w:p>
    <w:p w14:paraId="0703BD45">
      <w:pPr>
        <w:rPr>
          <w:color w:val="auto"/>
        </w:rPr>
      </w:pPr>
    </w:p>
    <w:p w14:paraId="26CD9DA7">
      <w:pPr>
        <w:rPr>
          <w:rFonts w:hint="eastAsia"/>
          <w:color w:val="auto"/>
        </w:rPr>
      </w:pPr>
    </w:p>
    <w:p w14:paraId="37A0BF1D">
      <w:pPr>
        <w:pStyle w:val="6"/>
        <w:rPr>
          <w:color w:val="auto"/>
        </w:rPr>
      </w:pPr>
      <w:r>
        <w:rPr>
          <w:rFonts w:hint="eastAsia"/>
          <w:color w:val="auto"/>
        </w:rPr>
        <w:t>退役期生态</w:t>
      </w:r>
      <w:r>
        <w:rPr>
          <w:color w:val="auto"/>
        </w:rPr>
        <w:t>环境影响评价</w:t>
      </w:r>
    </w:p>
    <w:p w14:paraId="2CD094DA">
      <w:pPr>
        <w:pStyle w:val="276"/>
        <w:widowControl w:val="0"/>
        <w:ind w:firstLine="480"/>
        <w:jc w:val="both"/>
        <w:rPr>
          <w:color w:val="auto"/>
        </w:rPr>
      </w:pPr>
      <w:r>
        <w:rPr>
          <w:rFonts w:hint="eastAsia"/>
          <w:color w:val="auto"/>
        </w:rPr>
        <w:t>退役期</w:t>
      </w:r>
      <w:r>
        <w:rPr>
          <w:color w:val="auto"/>
        </w:rPr>
        <w:t>，</w:t>
      </w:r>
      <w:r>
        <w:rPr>
          <w:rFonts w:hint="eastAsia"/>
          <w:color w:val="auto"/>
        </w:rPr>
        <w:t>油井停采后将进行一系列清理工作，包括地面设施拆除、封井、井场清理等，将会产生少量扬尘和固体废物。</w:t>
      </w:r>
      <w:r>
        <w:rPr>
          <w:color w:val="auto"/>
        </w:rPr>
        <w:t>若不采取有效的生态保护措施，管线中残存的少量原油有可能对管线沿线的土壤和地下潜水造成污染，对当地的生态环境产生不利影响。</w:t>
      </w:r>
      <w:r>
        <w:rPr>
          <w:rFonts w:hint="eastAsia"/>
          <w:color w:val="auto"/>
        </w:rPr>
        <w:t>因此。退役施工操作中应注意采取降尘措施，同时，将产生的固体废物集中处置。退役期施工主要在工程周边，不会形成大的扰动，对植物物种组成、群落结构等影响较小。</w:t>
      </w:r>
    </w:p>
    <w:p w14:paraId="58EB3673">
      <w:pPr>
        <w:pStyle w:val="276"/>
        <w:widowControl w:val="0"/>
        <w:ind w:firstLine="480"/>
        <w:jc w:val="both"/>
        <w:rPr>
          <w:color w:val="auto"/>
        </w:rPr>
      </w:pPr>
      <w:r>
        <w:rPr>
          <w:rFonts w:hint="eastAsia"/>
          <w:color w:val="auto"/>
        </w:rPr>
        <w:t>另外，</w:t>
      </w:r>
      <w:r>
        <w:rPr>
          <w:color w:val="auto"/>
        </w:rPr>
        <w:t>地面设施拆除、井场清理等工作中会产生废弃管线</w:t>
      </w:r>
      <w:r>
        <w:rPr>
          <w:rFonts w:hint="eastAsia"/>
          <w:color w:val="auto"/>
        </w:rPr>
        <w:t>及井口设备</w:t>
      </w:r>
      <w:r>
        <w:rPr>
          <w:color w:val="auto"/>
        </w:rPr>
        <w:t>，应集中清理收集</w:t>
      </w:r>
      <w:r>
        <w:rPr>
          <w:rFonts w:hint="eastAsia"/>
          <w:color w:val="auto"/>
        </w:rPr>
        <w:t>，</w:t>
      </w:r>
      <w:r>
        <w:rPr>
          <w:color w:val="auto"/>
        </w:rPr>
        <w:t>按照资产报废程序由</w:t>
      </w:r>
      <w:r>
        <w:rPr>
          <w:rFonts w:hint="eastAsia"/>
          <w:color w:val="auto"/>
        </w:rPr>
        <w:t>大庆油田资产库</w:t>
      </w:r>
      <w:r>
        <w:rPr>
          <w:color w:val="auto"/>
        </w:rPr>
        <w:t>统一处理，</w:t>
      </w:r>
      <w:r>
        <w:rPr>
          <w:rFonts w:hint="eastAsia"/>
          <w:color w:val="auto"/>
        </w:rPr>
        <w:t>能回收的尽量回收，</w:t>
      </w:r>
      <w:r>
        <w:rPr>
          <w:color w:val="auto"/>
        </w:rPr>
        <w:t>其余不能回收的外运至市政部门指定地点，由环卫部门处置</w:t>
      </w:r>
      <w:r>
        <w:rPr>
          <w:rFonts w:hint="eastAsia"/>
          <w:color w:val="auto"/>
        </w:rPr>
        <w:t>。</w:t>
      </w:r>
      <w:r>
        <w:rPr>
          <w:color w:val="auto"/>
        </w:rPr>
        <w:t>地面设施拆除、井场清理等工作过程中</w:t>
      </w:r>
      <w:r>
        <w:rPr>
          <w:rFonts w:hint="eastAsia"/>
          <w:color w:val="auto"/>
        </w:rPr>
        <w:t>会产生落地油、废沾油防渗布等危险废物，委托具备危险废物处理资质的单位拉运处理。井场永久</w:t>
      </w:r>
      <w:r>
        <w:rPr>
          <w:color w:val="auto"/>
        </w:rPr>
        <w:t>占地</w:t>
      </w:r>
      <w:r>
        <w:rPr>
          <w:rFonts w:hint="eastAsia"/>
          <w:color w:val="auto"/>
        </w:rPr>
        <w:t>通过</w:t>
      </w:r>
      <w:r>
        <w:rPr>
          <w:color w:val="auto"/>
        </w:rPr>
        <w:t>采取植被恢复措施后，使项目区内人工景观比例下降，</w:t>
      </w:r>
      <w:r>
        <w:rPr>
          <w:rFonts w:hint="eastAsia"/>
          <w:color w:val="auto"/>
        </w:rPr>
        <w:t>植被恢复</w:t>
      </w:r>
      <w:r>
        <w:rPr>
          <w:color w:val="auto"/>
        </w:rPr>
        <w:t>有助于增加区域</w:t>
      </w:r>
      <w:r>
        <w:rPr>
          <w:rFonts w:hint="eastAsia"/>
          <w:color w:val="auto"/>
        </w:rPr>
        <w:t>绿化</w:t>
      </w:r>
      <w:r>
        <w:rPr>
          <w:color w:val="auto"/>
        </w:rPr>
        <w:t>面积</w:t>
      </w:r>
      <w:r>
        <w:rPr>
          <w:rFonts w:hint="eastAsia"/>
          <w:color w:val="auto"/>
        </w:rPr>
        <w:t>，</w:t>
      </w:r>
      <w:r>
        <w:rPr>
          <w:color w:val="auto"/>
        </w:rPr>
        <w:t>改善区域</w:t>
      </w:r>
      <w:r>
        <w:rPr>
          <w:rFonts w:hint="eastAsia"/>
          <w:color w:val="auto"/>
        </w:rPr>
        <w:t>生态</w:t>
      </w:r>
      <w:r>
        <w:rPr>
          <w:color w:val="auto"/>
        </w:rPr>
        <w:t>环境</w:t>
      </w:r>
      <w:r>
        <w:rPr>
          <w:rFonts w:hint="eastAsia"/>
          <w:color w:val="auto"/>
        </w:rPr>
        <w:t>质量，尤其是随着项目区植被恢复，一定程度上使评价区生物量、生产力等均会随之增加。</w:t>
      </w:r>
    </w:p>
    <w:p w14:paraId="5294D003">
      <w:pPr>
        <w:pStyle w:val="6"/>
        <w:rPr>
          <w:color w:val="auto"/>
        </w:rPr>
      </w:pPr>
      <w:r>
        <w:rPr>
          <w:rFonts w:hint="eastAsia"/>
          <w:color w:val="auto"/>
        </w:rPr>
        <w:t>小结</w:t>
      </w:r>
    </w:p>
    <w:p w14:paraId="31FCF50F">
      <w:pPr>
        <w:pStyle w:val="276"/>
        <w:widowControl w:val="0"/>
        <w:ind w:firstLine="480"/>
        <w:jc w:val="both"/>
        <w:rPr>
          <w:color w:val="auto"/>
        </w:rPr>
      </w:pPr>
      <w:r>
        <w:rPr>
          <w:rFonts w:hint="eastAsia"/>
          <w:color w:val="auto"/>
        </w:rPr>
        <w:t>施工期对生态环境的影响表现为破坏植被、破坏土壤环境等，施工对其破坏仅为短期的损毁，随着施工期的结束而消失。施工污染物处理处置去向明确，废水、固体废物均不外排，因此，工程建设对生态保护红线区影响较小。</w:t>
      </w:r>
    </w:p>
    <w:p w14:paraId="5051FE7D">
      <w:pPr>
        <w:pStyle w:val="276"/>
        <w:widowControl w:val="0"/>
        <w:ind w:firstLine="480"/>
        <w:jc w:val="both"/>
        <w:rPr>
          <w:color w:val="auto"/>
        </w:rPr>
      </w:pPr>
      <w:r>
        <w:rPr>
          <w:color w:val="auto"/>
        </w:rPr>
        <w:t>综上所述，</w:t>
      </w:r>
      <w:r>
        <w:rPr>
          <w:rFonts w:hint="eastAsia"/>
          <w:color w:val="auto"/>
        </w:rPr>
        <w:t>施工期</w:t>
      </w:r>
      <w:r>
        <w:rPr>
          <w:color w:val="auto"/>
        </w:rPr>
        <w:t>、运营期</w:t>
      </w:r>
      <w:r>
        <w:rPr>
          <w:rFonts w:hint="eastAsia"/>
          <w:color w:val="auto"/>
        </w:rPr>
        <w:t>、退役期</w:t>
      </w:r>
      <w:r>
        <w:rPr>
          <w:color w:val="auto"/>
        </w:rPr>
        <w:t>将对周围生态环境产生一定影响，在采取有效的控制和处理措施后，项目对周围生态环境影响在可接受</w:t>
      </w:r>
      <w:r>
        <w:rPr>
          <w:rFonts w:hint="eastAsia"/>
          <w:color w:val="auto"/>
        </w:rPr>
        <w:t>范围</w:t>
      </w:r>
      <w:r>
        <w:rPr>
          <w:color w:val="auto"/>
        </w:rPr>
        <w:t>内</w:t>
      </w:r>
      <w:r>
        <w:rPr>
          <w:rFonts w:hint="eastAsia"/>
          <w:color w:val="auto"/>
        </w:rPr>
        <w:t>。</w:t>
      </w:r>
    </w:p>
    <w:p w14:paraId="749CEA88">
      <w:pPr>
        <w:pStyle w:val="2"/>
        <w:rPr>
          <w:rFonts w:ascii="宋体" w:hAnsi="宋体"/>
          <w:color w:val="auto"/>
        </w:rPr>
      </w:pPr>
    </w:p>
    <w:p w14:paraId="42DE5D8A">
      <w:pPr>
        <w:pStyle w:val="2"/>
        <w:rPr>
          <w:rFonts w:ascii="宋体" w:hAnsi="宋体"/>
          <w:color w:val="auto"/>
        </w:rPr>
      </w:pPr>
    </w:p>
    <w:p w14:paraId="67B753F8">
      <w:pPr>
        <w:pStyle w:val="2"/>
        <w:rPr>
          <w:rFonts w:ascii="宋体" w:hAnsi="宋体"/>
          <w:color w:val="auto"/>
        </w:rPr>
      </w:pPr>
    </w:p>
    <w:p w14:paraId="7F1D2CF4">
      <w:pPr>
        <w:pStyle w:val="2"/>
        <w:rPr>
          <w:rFonts w:ascii="宋体" w:hAnsi="宋体"/>
          <w:color w:val="auto"/>
        </w:rPr>
      </w:pPr>
    </w:p>
    <w:p w14:paraId="1D528102">
      <w:pPr>
        <w:pStyle w:val="2"/>
        <w:rPr>
          <w:rFonts w:ascii="宋体" w:hAnsi="宋体"/>
          <w:color w:val="auto"/>
        </w:rPr>
      </w:pPr>
    </w:p>
    <w:p w14:paraId="012BE0A7">
      <w:pPr>
        <w:pStyle w:val="2"/>
        <w:rPr>
          <w:rFonts w:ascii="宋体" w:hAnsi="宋体"/>
          <w:color w:val="auto"/>
        </w:rPr>
      </w:pPr>
    </w:p>
    <w:p w14:paraId="0B561F9E">
      <w:pPr>
        <w:pStyle w:val="2"/>
        <w:rPr>
          <w:rFonts w:ascii="宋体" w:hAnsi="宋体"/>
          <w:color w:val="auto"/>
        </w:rPr>
      </w:pPr>
    </w:p>
    <w:p w14:paraId="0207A5AE">
      <w:pPr>
        <w:pStyle w:val="2"/>
        <w:rPr>
          <w:rFonts w:ascii="宋体" w:hAnsi="宋体"/>
          <w:color w:val="auto"/>
        </w:rPr>
      </w:pPr>
    </w:p>
    <w:p w14:paraId="7A6BA271">
      <w:pPr>
        <w:pStyle w:val="2"/>
        <w:rPr>
          <w:rFonts w:ascii="宋体" w:hAnsi="宋体"/>
          <w:color w:val="auto"/>
        </w:rPr>
      </w:pPr>
    </w:p>
    <w:p w14:paraId="0E43C147">
      <w:pPr>
        <w:pStyle w:val="2"/>
        <w:rPr>
          <w:rFonts w:ascii="宋体" w:hAnsi="宋体"/>
          <w:color w:val="auto"/>
        </w:rPr>
      </w:pPr>
    </w:p>
    <w:p w14:paraId="585A8919">
      <w:pPr>
        <w:pStyle w:val="2"/>
        <w:rPr>
          <w:rFonts w:ascii="宋体" w:hAnsi="宋体"/>
          <w:color w:val="auto"/>
        </w:rPr>
      </w:pPr>
    </w:p>
    <w:p w14:paraId="244A68CA">
      <w:pPr>
        <w:spacing w:line="440" w:lineRule="exact"/>
        <w:ind w:firstLine="480" w:firstLineChars="200"/>
        <w:rPr>
          <w:rFonts w:ascii="宋体" w:hAnsi="宋体" w:eastAsia="宋体"/>
          <w:color w:val="auto"/>
          <w:sz w:val="24"/>
        </w:rPr>
      </w:pPr>
      <w:r>
        <w:rPr>
          <w:rFonts w:ascii="宋体" w:hAnsi="宋体" w:eastAsia="宋体"/>
          <w:color w:val="auto"/>
          <w:sz w:val="24"/>
        </w:rPr>
        <w:t>本项目开发区域无重要物种分布，同时，本项目评价区不是国家重点保护野生动物的集中栖息地和繁殖地，区内野生动物仅为一些常见种类。工程井场建设、管沟开挖、管道敷设、覆土回填等建设会对周围生态环境造成影响较小。</w:t>
      </w:r>
    </w:p>
    <w:p w14:paraId="535198F1">
      <w:pPr>
        <w:pStyle w:val="5"/>
        <w:rPr>
          <w:bCs w:val="0"/>
          <w:color w:val="auto"/>
        </w:rPr>
      </w:pPr>
      <w:bookmarkStart w:id="1473" w:name="_Toc212033039"/>
      <w:bookmarkStart w:id="1474" w:name="_Toc65426007"/>
      <w:bookmarkStart w:id="1475" w:name="_Toc14837"/>
      <w:r>
        <w:rPr>
          <w:bCs w:val="0"/>
          <w:color w:val="auto"/>
        </w:rPr>
        <w:t>环境风险分析</w:t>
      </w:r>
      <w:bookmarkEnd w:id="1473"/>
      <w:bookmarkEnd w:id="1474"/>
      <w:bookmarkEnd w:id="1475"/>
      <w:bookmarkStart w:id="1476" w:name="_Toc127192416"/>
      <w:bookmarkStart w:id="1477" w:name="_Toc80588330"/>
      <w:bookmarkStart w:id="1478" w:name="_Toc77067732"/>
      <w:bookmarkStart w:id="1479" w:name="_Toc83209552"/>
      <w:bookmarkStart w:id="1480" w:name="_Toc67860210"/>
      <w:bookmarkStart w:id="1481" w:name="_Toc70050260"/>
      <w:bookmarkStart w:id="1482" w:name="_Toc126863467"/>
      <w:bookmarkStart w:id="1483" w:name="_Toc84929307"/>
      <w:bookmarkStart w:id="1484" w:name="_Toc131167368"/>
      <w:bookmarkStart w:id="1485" w:name="_Toc85640835"/>
      <w:bookmarkStart w:id="1486" w:name="_Toc143099655"/>
      <w:bookmarkStart w:id="1487" w:name="_Toc78816535"/>
      <w:bookmarkStart w:id="1488" w:name="_Toc76976320"/>
      <w:bookmarkStart w:id="1489" w:name="_Toc86142010"/>
      <w:bookmarkStart w:id="1490" w:name="_Toc80971452"/>
    </w:p>
    <w:p w14:paraId="7C652F89">
      <w:pPr>
        <w:pStyle w:val="6"/>
        <w:rPr>
          <w:color w:val="auto"/>
        </w:rPr>
      </w:pPr>
      <w:r>
        <w:rPr>
          <w:color w:val="auto"/>
        </w:rPr>
        <w:t>现有工程环境风险回顾性评价</w:t>
      </w:r>
    </w:p>
    <w:p w14:paraId="50DDA0BE">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现有工程潜在危险因素</w:t>
      </w:r>
    </w:p>
    <w:p w14:paraId="616C6A2B">
      <w:pPr>
        <w:spacing w:line="440" w:lineRule="exact"/>
        <w:ind w:firstLine="480" w:firstLineChars="200"/>
        <w:rPr>
          <w:rFonts w:ascii="宋体" w:hAnsi="宋体" w:eastAsia="宋体"/>
          <w:color w:val="auto"/>
          <w:sz w:val="24"/>
        </w:rPr>
      </w:pPr>
      <w:r>
        <w:rPr>
          <w:rFonts w:hint="eastAsia" w:ascii="宋体" w:hAnsi="宋体" w:eastAsia="宋体"/>
          <w:color w:val="auto"/>
          <w:sz w:val="24"/>
        </w:rPr>
        <w:t>（1）危险</w:t>
      </w:r>
      <w:r>
        <w:rPr>
          <w:rFonts w:ascii="宋体" w:hAnsi="宋体" w:eastAsia="宋体"/>
          <w:color w:val="auto"/>
          <w:sz w:val="24"/>
        </w:rPr>
        <w:t>物质</w:t>
      </w:r>
    </w:p>
    <w:p w14:paraId="1731E8F6">
      <w:pPr>
        <w:spacing w:line="440" w:lineRule="exact"/>
        <w:ind w:firstLine="480" w:firstLineChars="200"/>
        <w:rPr>
          <w:rFonts w:ascii="宋体" w:hAnsi="宋体" w:eastAsia="宋体"/>
          <w:color w:val="auto"/>
          <w:sz w:val="24"/>
        </w:rPr>
      </w:pPr>
      <w:r>
        <w:rPr>
          <w:rFonts w:hint="eastAsia" w:ascii="宋体" w:hAnsi="宋体" w:eastAsia="宋体"/>
          <w:color w:val="auto"/>
          <w:sz w:val="24"/>
        </w:rPr>
        <w:t>现有工程涉及的危险化学品为企业涉及到易燃、易爆、有毒的危险化学品</w:t>
      </w:r>
      <w:r>
        <w:rPr>
          <w:rFonts w:ascii="宋体" w:hAnsi="宋体" w:eastAsia="宋体"/>
          <w:color w:val="auto"/>
          <w:sz w:val="24"/>
        </w:rPr>
        <w:t>主要为原油</w:t>
      </w:r>
      <w:r>
        <w:rPr>
          <w:rFonts w:hint="eastAsia" w:ascii="宋体" w:hAnsi="宋体" w:eastAsia="宋体"/>
          <w:color w:val="auto"/>
          <w:sz w:val="24"/>
        </w:rPr>
        <w:t>、伴生气</w:t>
      </w:r>
      <w:r>
        <w:rPr>
          <w:rFonts w:ascii="宋体" w:hAnsi="宋体" w:eastAsia="宋体"/>
          <w:color w:val="auto"/>
          <w:sz w:val="24"/>
        </w:rPr>
        <w:t>。</w:t>
      </w:r>
    </w:p>
    <w:p w14:paraId="70C2EA13">
      <w:pPr>
        <w:spacing w:line="440" w:lineRule="exact"/>
        <w:ind w:firstLine="480" w:firstLineChars="200"/>
        <w:rPr>
          <w:rFonts w:ascii="宋体" w:hAnsi="宋体" w:eastAsia="宋体"/>
          <w:color w:val="auto"/>
          <w:sz w:val="24"/>
        </w:rPr>
      </w:pPr>
      <w:r>
        <w:rPr>
          <w:rFonts w:hint="eastAsia" w:ascii="宋体" w:hAnsi="宋体" w:eastAsia="宋体"/>
          <w:color w:val="auto"/>
          <w:sz w:val="24"/>
        </w:rPr>
        <w:t>（2）危险</w:t>
      </w:r>
      <w:r>
        <w:rPr>
          <w:rFonts w:ascii="宋体" w:hAnsi="宋体" w:eastAsia="宋体"/>
          <w:color w:val="auto"/>
          <w:sz w:val="24"/>
        </w:rPr>
        <w:t>生产设施</w:t>
      </w:r>
    </w:p>
    <w:p w14:paraId="009ACA66">
      <w:pPr>
        <w:spacing w:line="440" w:lineRule="exact"/>
        <w:ind w:firstLine="480" w:firstLineChars="200"/>
        <w:rPr>
          <w:rFonts w:ascii="宋体" w:hAnsi="宋体" w:eastAsia="宋体"/>
          <w:color w:val="auto"/>
          <w:sz w:val="24"/>
        </w:rPr>
      </w:pPr>
      <w:r>
        <w:rPr>
          <w:rFonts w:hint="eastAsia" w:ascii="宋体" w:hAnsi="宋体" w:eastAsia="宋体"/>
          <w:color w:val="auto"/>
          <w:sz w:val="24"/>
        </w:rPr>
        <w:t>源2</w:t>
      </w:r>
      <w:r>
        <w:rPr>
          <w:rFonts w:ascii="宋体" w:hAnsi="宋体" w:eastAsia="宋体"/>
          <w:color w:val="auto"/>
          <w:sz w:val="24"/>
        </w:rPr>
        <w:t>12</w:t>
      </w:r>
      <w:r>
        <w:rPr>
          <w:rFonts w:hint="eastAsia" w:ascii="宋体" w:hAnsi="宋体" w:eastAsia="宋体"/>
          <w:color w:val="auto"/>
          <w:sz w:val="24"/>
        </w:rPr>
        <w:t>区块区块危险生产设施主要为油井、集油管线、井场储油罐，其主要危险特征为火灾、爆炸、物料泄漏。</w:t>
      </w:r>
    </w:p>
    <w:p w14:paraId="4D536952">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现有工程主要风险类型</w:t>
      </w:r>
    </w:p>
    <w:p w14:paraId="13FC4676">
      <w:pPr>
        <w:spacing w:line="440" w:lineRule="exact"/>
        <w:ind w:firstLine="480" w:firstLineChars="200"/>
        <w:rPr>
          <w:rFonts w:ascii="宋体" w:hAnsi="宋体" w:eastAsia="宋体"/>
          <w:color w:val="auto"/>
        </w:rPr>
      </w:pPr>
      <w:r>
        <w:rPr>
          <w:rFonts w:hint="eastAsia" w:ascii="宋体" w:hAnsi="宋体" w:eastAsia="宋体"/>
          <w:color w:val="auto"/>
          <w:sz w:val="24"/>
        </w:rPr>
        <w:t>现有工程风险类型包括火灾、爆炸和泄漏。</w:t>
      </w:r>
    </w:p>
    <w:p w14:paraId="5027C96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现有工程主要风险防范措施</w:t>
      </w:r>
    </w:p>
    <w:p w14:paraId="21653DAC">
      <w:pPr>
        <w:spacing w:line="440" w:lineRule="exact"/>
        <w:ind w:firstLine="480" w:firstLineChars="200"/>
        <w:rPr>
          <w:rFonts w:ascii="宋体" w:hAnsi="宋体" w:eastAsia="宋体"/>
          <w:color w:val="auto"/>
          <w:sz w:val="24"/>
        </w:rPr>
      </w:pPr>
      <w:r>
        <w:rPr>
          <w:rFonts w:hint="eastAsia" w:ascii="宋体" w:hAnsi="宋体" w:eastAsia="宋体"/>
          <w:color w:val="auto"/>
          <w:sz w:val="24"/>
        </w:rPr>
        <w:t>（1）井场</w:t>
      </w:r>
    </w:p>
    <w:p w14:paraId="43FBA223">
      <w:pPr>
        <w:spacing w:line="440" w:lineRule="exact"/>
        <w:ind w:firstLine="480" w:firstLineChars="200"/>
        <w:rPr>
          <w:rFonts w:ascii="宋体" w:hAnsi="宋体" w:eastAsia="宋体"/>
          <w:color w:val="auto"/>
          <w:sz w:val="24"/>
        </w:rPr>
      </w:pPr>
      <w:r>
        <w:rPr>
          <w:rFonts w:hint="eastAsia" w:ascii="宋体" w:hAnsi="宋体" w:eastAsia="宋体"/>
          <w:color w:val="auto"/>
          <w:sz w:val="24"/>
        </w:rPr>
        <w:t>1）</w:t>
      </w:r>
      <w:r>
        <w:rPr>
          <w:rFonts w:ascii="宋体" w:hAnsi="宋体" w:eastAsia="宋体"/>
          <w:color w:val="auto"/>
          <w:sz w:val="24"/>
        </w:rPr>
        <w:t>井场布置符合相关规范要求。</w:t>
      </w:r>
    </w:p>
    <w:p w14:paraId="2787EA77">
      <w:pPr>
        <w:spacing w:line="440" w:lineRule="exact"/>
        <w:ind w:firstLine="480" w:firstLineChars="200"/>
        <w:rPr>
          <w:rFonts w:ascii="宋体" w:hAnsi="宋体" w:eastAsia="宋体"/>
          <w:color w:val="auto"/>
          <w:sz w:val="24"/>
        </w:rPr>
      </w:pPr>
      <w:r>
        <w:rPr>
          <w:rFonts w:hint="eastAsia" w:ascii="宋体" w:hAnsi="宋体" w:eastAsia="宋体"/>
          <w:color w:val="auto"/>
          <w:sz w:val="24"/>
        </w:rPr>
        <w:t>2）</w:t>
      </w:r>
      <w:r>
        <w:rPr>
          <w:rFonts w:ascii="宋体" w:hAnsi="宋体" w:eastAsia="宋体"/>
          <w:color w:val="auto"/>
          <w:sz w:val="24"/>
        </w:rPr>
        <w:t>井场设有远程视频监控系统，一旦泄漏、火灾均可及时发现。</w:t>
      </w:r>
    </w:p>
    <w:p w14:paraId="243A913A">
      <w:pPr>
        <w:spacing w:line="440" w:lineRule="exact"/>
        <w:ind w:firstLine="480" w:firstLineChars="200"/>
        <w:rPr>
          <w:rFonts w:ascii="宋体" w:hAnsi="宋体" w:eastAsia="宋体"/>
          <w:color w:val="auto"/>
          <w:sz w:val="24"/>
        </w:rPr>
      </w:pPr>
      <w:r>
        <w:rPr>
          <w:rFonts w:hint="eastAsia" w:ascii="宋体" w:hAnsi="宋体" w:eastAsia="宋体"/>
          <w:color w:val="auto"/>
          <w:sz w:val="24"/>
        </w:rPr>
        <w:t>3）</w:t>
      </w:r>
      <w:r>
        <w:rPr>
          <w:rFonts w:ascii="宋体" w:hAnsi="宋体" w:eastAsia="宋体"/>
          <w:color w:val="auto"/>
          <w:sz w:val="24"/>
        </w:rPr>
        <w:t>多功能罐安装距离井口直线距离符合规范要求，罐体周围10m内保持清洁，无油污、杂草等可燃物。</w:t>
      </w:r>
    </w:p>
    <w:p w14:paraId="75E2282C">
      <w:pPr>
        <w:spacing w:line="440" w:lineRule="exact"/>
        <w:ind w:firstLine="480" w:firstLineChars="200"/>
        <w:rPr>
          <w:rFonts w:ascii="宋体" w:hAnsi="宋体" w:eastAsia="宋体"/>
          <w:color w:val="auto"/>
          <w:sz w:val="24"/>
        </w:rPr>
      </w:pPr>
      <w:r>
        <w:rPr>
          <w:rFonts w:ascii="宋体" w:hAnsi="宋体" w:eastAsia="宋体"/>
          <w:color w:val="auto"/>
          <w:sz w:val="24"/>
        </w:rPr>
        <w:t>每个多功能罐出厂都配有产品合格证。</w:t>
      </w:r>
    </w:p>
    <w:p w14:paraId="002C127B">
      <w:pPr>
        <w:spacing w:line="440" w:lineRule="exact"/>
        <w:ind w:firstLine="480" w:firstLineChars="200"/>
        <w:rPr>
          <w:rFonts w:ascii="宋体" w:hAnsi="宋体" w:eastAsia="宋体"/>
          <w:color w:val="auto"/>
          <w:sz w:val="24"/>
        </w:rPr>
      </w:pPr>
      <w:r>
        <w:rPr>
          <w:rFonts w:hint="eastAsia" w:ascii="宋体" w:hAnsi="宋体" w:eastAsia="宋体"/>
          <w:color w:val="auto"/>
          <w:sz w:val="24"/>
        </w:rPr>
        <w:t>4）</w:t>
      </w:r>
      <w:r>
        <w:rPr>
          <w:rFonts w:ascii="宋体" w:hAnsi="宋体" w:eastAsia="宋体"/>
          <w:color w:val="auto"/>
          <w:sz w:val="24"/>
        </w:rPr>
        <w:t>公司制定了多功能罐拉油操作规程，多功能罐安装、投产、使用均严格按照规程操作。</w:t>
      </w:r>
    </w:p>
    <w:p w14:paraId="35CD9AC7">
      <w:pPr>
        <w:spacing w:line="440" w:lineRule="exact"/>
        <w:ind w:firstLine="480" w:firstLineChars="200"/>
        <w:rPr>
          <w:rFonts w:ascii="宋体" w:hAnsi="宋体" w:eastAsia="宋体"/>
          <w:color w:val="auto"/>
          <w:sz w:val="24"/>
        </w:rPr>
      </w:pPr>
      <w:r>
        <w:rPr>
          <w:rFonts w:hint="eastAsia" w:ascii="宋体" w:hAnsi="宋体" w:eastAsia="宋体"/>
          <w:color w:val="auto"/>
          <w:sz w:val="24"/>
        </w:rPr>
        <w:t>5）</w:t>
      </w:r>
      <w:r>
        <w:rPr>
          <w:rFonts w:ascii="宋体" w:hAnsi="宋体" w:eastAsia="宋体"/>
          <w:color w:val="auto"/>
          <w:sz w:val="24"/>
        </w:rPr>
        <w:t>废弃井封井按照《废弃井封井处置规范》（Q/SH 0653-2015）的规定选择合适的封井方法进行封井处理。</w:t>
      </w:r>
    </w:p>
    <w:p w14:paraId="2BB79093">
      <w:pPr>
        <w:spacing w:line="440" w:lineRule="exact"/>
        <w:ind w:firstLine="480" w:firstLineChars="200"/>
        <w:rPr>
          <w:rFonts w:ascii="宋体" w:hAnsi="宋体" w:eastAsia="宋体"/>
          <w:color w:val="auto"/>
          <w:sz w:val="24"/>
        </w:rPr>
      </w:pPr>
      <w:r>
        <w:rPr>
          <w:rFonts w:hint="eastAsia" w:ascii="宋体" w:hAnsi="宋体" w:eastAsia="宋体"/>
          <w:color w:val="auto"/>
          <w:sz w:val="24"/>
        </w:rPr>
        <w:t>（2）集油管线泄漏应急处置</w:t>
      </w:r>
    </w:p>
    <w:p w14:paraId="3C3215D1">
      <w:pPr>
        <w:spacing w:line="440" w:lineRule="exact"/>
        <w:ind w:firstLine="480" w:firstLineChars="200"/>
        <w:rPr>
          <w:rFonts w:ascii="宋体" w:hAnsi="宋体" w:eastAsia="宋体"/>
          <w:color w:val="auto"/>
          <w:sz w:val="24"/>
        </w:rPr>
      </w:pPr>
      <w:r>
        <w:rPr>
          <w:rFonts w:hint="eastAsia" w:ascii="宋体" w:hAnsi="宋体" w:eastAsia="宋体"/>
          <w:color w:val="auto"/>
          <w:sz w:val="24"/>
        </w:rPr>
        <w:t>1）根据事故级别启动应急预案。</w:t>
      </w:r>
    </w:p>
    <w:p w14:paraId="687BD887">
      <w:pPr>
        <w:spacing w:line="440" w:lineRule="exact"/>
        <w:ind w:firstLine="480" w:firstLineChars="200"/>
        <w:rPr>
          <w:rFonts w:ascii="宋体" w:hAnsi="宋体" w:eastAsia="宋体"/>
          <w:color w:val="auto"/>
          <w:sz w:val="24"/>
        </w:rPr>
      </w:pPr>
      <w:r>
        <w:rPr>
          <w:rFonts w:hint="eastAsia" w:ascii="宋体" w:hAnsi="宋体" w:eastAsia="宋体"/>
          <w:color w:val="auto"/>
          <w:sz w:val="24"/>
        </w:rPr>
        <w:t>2）切断泄漏管线两端阀门，现场指挥部根据管线泄漏情况迅速制定抢修方案，并立即组织抢修。</w:t>
      </w:r>
    </w:p>
    <w:p w14:paraId="722E9891">
      <w:pPr>
        <w:spacing w:line="440" w:lineRule="exact"/>
        <w:ind w:firstLine="480" w:firstLineChars="200"/>
        <w:rPr>
          <w:rFonts w:ascii="宋体" w:hAnsi="宋体" w:eastAsia="宋体"/>
          <w:color w:val="auto"/>
          <w:sz w:val="24"/>
        </w:rPr>
      </w:pPr>
      <w:r>
        <w:rPr>
          <w:rFonts w:hint="eastAsia" w:ascii="宋体" w:hAnsi="宋体" w:eastAsia="宋体"/>
          <w:color w:val="auto"/>
          <w:sz w:val="24"/>
        </w:rPr>
        <w:t>3）监测有害气体浓度，根据现场风向，加强现场人员的个人防护，疏散现场及周边无关人员。</w:t>
      </w:r>
    </w:p>
    <w:p w14:paraId="009FF79A">
      <w:pPr>
        <w:spacing w:line="440" w:lineRule="exact"/>
        <w:ind w:firstLine="480" w:firstLineChars="200"/>
        <w:rPr>
          <w:rFonts w:ascii="宋体" w:hAnsi="宋体" w:eastAsia="宋体"/>
          <w:color w:val="auto"/>
          <w:sz w:val="24"/>
        </w:rPr>
      </w:pPr>
      <w:r>
        <w:rPr>
          <w:rFonts w:hint="eastAsia" w:ascii="宋体" w:hAnsi="宋体" w:eastAsia="宋体"/>
          <w:color w:val="auto"/>
          <w:sz w:val="24"/>
        </w:rPr>
        <w:t>（3）油罐车装卸、运输途中泄漏现场处置措施</w:t>
      </w:r>
    </w:p>
    <w:p w14:paraId="13EA8B6A">
      <w:pPr>
        <w:spacing w:line="440" w:lineRule="exact"/>
        <w:ind w:firstLine="480" w:firstLineChars="200"/>
        <w:rPr>
          <w:rFonts w:ascii="宋体" w:hAnsi="宋体" w:eastAsia="宋体"/>
          <w:color w:val="auto"/>
          <w:sz w:val="24"/>
        </w:rPr>
      </w:pPr>
      <w:bookmarkStart w:id="1491" w:name="_Hlk126134958"/>
      <w:r>
        <w:rPr>
          <w:rFonts w:hint="eastAsia" w:ascii="宋体" w:hAnsi="宋体" w:eastAsia="宋体"/>
          <w:color w:val="auto"/>
          <w:sz w:val="24"/>
        </w:rPr>
        <w:t>1）</w:t>
      </w:r>
      <w:r>
        <w:rPr>
          <w:rFonts w:ascii="宋体" w:hAnsi="宋体" w:eastAsia="宋体"/>
          <w:color w:val="auto"/>
          <w:sz w:val="24"/>
        </w:rPr>
        <w:t>拉油点储罐安装前进行严格的质量检验，检验合格后方可进行施工安装；</w:t>
      </w:r>
    </w:p>
    <w:p w14:paraId="27F32B64">
      <w:pPr>
        <w:spacing w:line="440" w:lineRule="exact"/>
        <w:ind w:firstLine="480" w:firstLineChars="200"/>
        <w:rPr>
          <w:rFonts w:ascii="宋体" w:hAnsi="宋体" w:eastAsia="宋体"/>
          <w:color w:val="auto"/>
          <w:sz w:val="24"/>
        </w:rPr>
      </w:pPr>
      <w:r>
        <w:rPr>
          <w:rFonts w:hint="eastAsia" w:ascii="宋体" w:hAnsi="宋体" w:eastAsia="宋体"/>
          <w:color w:val="auto"/>
          <w:sz w:val="24"/>
        </w:rPr>
        <w:t>2）</w:t>
      </w:r>
      <w:r>
        <w:rPr>
          <w:rFonts w:ascii="宋体" w:hAnsi="宋体" w:eastAsia="宋体"/>
          <w:color w:val="auto"/>
          <w:sz w:val="24"/>
        </w:rPr>
        <w:t>拉油点储罐为地上撬装密闭罐体，罐体下方铺设1.5mm厚防渗土工布（渗透</w:t>
      </w:r>
      <w:r>
        <w:rPr>
          <w:rFonts w:hint="eastAsia" w:ascii="宋体" w:hAnsi="宋体" w:eastAsia="宋体"/>
          <w:color w:val="auto"/>
          <w:sz w:val="24"/>
        </w:rPr>
        <w:t>系数为</w:t>
      </w:r>
      <w:r>
        <w:rPr>
          <w:rFonts w:ascii="宋体" w:hAnsi="宋体" w:eastAsia="宋体"/>
          <w:color w:val="auto"/>
          <w:sz w:val="24"/>
        </w:rPr>
        <w:t>1.0×10</w:t>
      </w:r>
      <w:r>
        <w:rPr>
          <w:rFonts w:ascii="宋体" w:hAnsi="宋体" w:eastAsia="宋体"/>
          <w:color w:val="auto"/>
          <w:sz w:val="24"/>
          <w:vertAlign w:val="superscript"/>
        </w:rPr>
        <w:t>-13</w:t>
      </w:r>
      <w:r>
        <w:rPr>
          <w:rFonts w:ascii="宋体" w:hAnsi="宋体" w:eastAsia="宋体"/>
          <w:color w:val="auto"/>
          <w:sz w:val="24"/>
        </w:rPr>
        <w:t>cm/s），防渗布四周设置0.2m高围堰，防止因装卸车过程原油散落，原</w:t>
      </w:r>
      <w:r>
        <w:rPr>
          <w:rFonts w:hint="eastAsia" w:ascii="宋体" w:hAnsi="宋体" w:eastAsia="宋体"/>
          <w:color w:val="auto"/>
          <w:sz w:val="24"/>
        </w:rPr>
        <w:t>油经地表径流流入周围水体，同时防止原油污染土壤进一步污染地下水。</w:t>
      </w:r>
    </w:p>
    <w:p w14:paraId="36D45E0D">
      <w:pPr>
        <w:spacing w:line="440" w:lineRule="exact"/>
        <w:ind w:firstLine="480" w:firstLineChars="200"/>
        <w:rPr>
          <w:rFonts w:ascii="宋体" w:hAnsi="宋体" w:eastAsia="宋体"/>
          <w:color w:val="auto"/>
          <w:sz w:val="24"/>
        </w:rPr>
      </w:pPr>
      <w:r>
        <w:rPr>
          <w:rFonts w:hint="eastAsia" w:ascii="宋体" w:hAnsi="宋体" w:eastAsia="宋体"/>
          <w:color w:val="auto"/>
          <w:sz w:val="24"/>
        </w:rPr>
        <w:t>3）</w:t>
      </w:r>
      <w:r>
        <w:rPr>
          <w:rFonts w:ascii="宋体" w:hAnsi="宋体" w:eastAsia="宋体"/>
          <w:color w:val="auto"/>
          <w:sz w:val="24"/>
        </w:rPr>
        <w:t>原油拉运时，根据制定的安全运输计划和运输路线执行，不得随意更改，尽</w:t>
      </w:r>
      <w:r>
        <w:rPr>
          <w:rFonts w:hint="eastAsia" w:ascii="宋体" w:hAnsi="宋体" w:eastAsia="宋体"/>
          <w:color w:val="auto"/>
          <w:sz w:val="24"/>
        </w:rPr>
        <w:t>量避人口密集区等环境敏感区，限定车速，恶劣天气要注意行车安全，防止交通事故发生。</w:t>
      </w:r>
    </w:p>
    <w:p w14:paraId="0C28FC32">
      <w:pPr>
        <w:spacing w:line="440" w:lineRule="exact"/>
        <w:ind w:firstLine="480" w:firstLineChars="200"/>
        <w:rPr>
          <w:rFonts w:ascii="宋体" w:hAnsi="宋体" w:eastAsia="宋体"/>
          <w:color w:val="auto"/>
          <w:sz w:val="24"/>
        </w:rPr>
      </w:pPr>
      <w:r>
        <w:rPr>
          <w:rFonts w:hint="eastAsia" w:ascii="宋体" w:hAnsi="宋体" w:eastAsia="宋体"/>
          <w:color w:val="auto"/>
          <w:sz w:val="24"/>
        </w:rPr>
        <w:t>4）</w:t>
      </w:r>
      <w:r>
        <w:rPr>
          <w:rFonts w:ascii="宋体" w:hAnsi="宋体" w:eastAsia="宋体"/>
          <w:color w:val="auto"/>
          <w:sz w:val="24"/>
        </w:rPr>
        <w:t>建立应急响应机构，配备快捷的交通通讯工具，以便对泄漏事故及时作出反</w:t>
      </w:r>
      <w:r>
        <w:rPr>
          <w:rFonts w:hint="eastAsia" w:ascii="宋体" w:hAnsi="宋体" w:eastAsia="宋体"/>
          <w:color w:val="auto"/>
          <w:sz w:val="24"/>
        </w:rPr>
        <w:t>应和处理。</w:t>
      </w:r>
    </w:p>
    <w:p w14:paraId="1B5FAF55">
      <w:pPr>
        <w:spacing w:line="440" w:lineRule="exact"/>
        <w:ind w:firstLine="480" w:firstLineChars="200"/>
        <w:rPr>
          <w:rFonts w:ascii="宋体" w:hAnsi="宋体" w:eastAsia="宋体"/>
          <w:color w:val="auto"/>
          <w:sz w:val="24"/>
        </w:rPr>
      </w:pPr>
      <w:r>
        <w:rPr>
          <w:rFonts w:hint="eastAsia" w:ascii="宋体" w:hAnsi="宋体" w:eastAsia="宋体"/>
          <w:color w:val="auto"/>
          <w:sz w:val="24"/>
        </w:rPr>
        <w:t>5）</w:t>
      </w:r>
      <w:r>
        <w:rPr>
          <w:rFonts w:ascii="宋体" w:hAnsi="宋体" w:eastAsia="宋体"/>
          <w:color w:val="auto"/>
          <w:sz w:val="24"/>
        </w:rPr>
        <w:t>安排人员对拉油点储罐进行巡检，一旦发生拉油点储罐原油泄漏事故，及时</w:t>
      </w:r>
      <w:r>
        <w:rPr>
          <w:rFonts w:hint="eastAsia" w:ascii="宋体" w:hAnsi="宋体" w:eastAsia="宋体"/>
          <w:color w:val="auto"/>
          <w:sz w:val="24"/>
        </w:rPr>
        <w:t>加高现有围堰，将泄漏原油控制在储罐下方围堰内，将围堰内洒落的落地油回收至朝一联含油污泥处理站。</w:t>
      </w:r>
    </w:p>
    <w:p w14:paraId="40D606F4">
      <w:pPr>
        <w:spacing w:line="440" w:lineRule="exact"/>
        <w:ind w:firstLine="480" w:firstLineChars="200"/>
        <w:rPr>
          <w:rFonts w:ascii="宋体" w:hAnsi="宋体" w:eastAsia="宋体"/>
          <w:color w:val="auto"/>
          <w:sz w:val="24"/>
        </w:rPr>
      </w:pPr>
      <w:r>
        <w:rPr>
          <w:rFonts w:hint="eastAsia" w:ascii="宋体" w:hAnsi="宋体" w:eastAsia="宋体"/>
          <w:color w:val="auto"/>
          <w:sz w:val="24"/>
        </w:rPr>
        <w:t>6）</w:t>
      </w:r>
      <w:r>
        <w:rPr>
          <w:rFonts w:ascii="宋体" w:hAnsi="宋体" w:eastAsia="宋体"/>
          <w:color w:val="auto"/>
          <w:sz w:val="24"/>
        </w:rPr>
        <w:t>拉油点储罐发生火灾爆炸事故后，产生的事故消防水可通过泵抽送至罐车，</w:t>
      </w:r>
      <w:r>
        <w:rPr>
          <w:rFonts w:hint="eastAsia" w:ascii="宋体" w:hAnsi="宋体" w:eastAsia="宋体"/>
          <w:color w:val="auto"/>
          <w:sz w:val="24"/>
        </w:rPr>
        <w:t>由罐车拉运至朝一联含油污泥处理站新建的事故池，进行后续处理。</w:t>
      </w:r>
    </w:p>
    <w:p w14:paraId="6DD58585">
      <w:pPr>
        <w:spacing w:line="440" w:lineRule="exact"/>
        <w:ind w:firstLine="480" w:firstLineChars="200"/>
        <w:rPr>
          <w:rFonts w:ascii="宋体" w:hAnsi="宋体" w:eastAsia="宋体"/>
          <w:color w:val="auto"/>
        </w:rPr>
      </w:pPr>
      <w:r>
        <w:rPr>
          <w:rFonts w:hint="eastAsia" w:ascii="宋体" w:hAnsi="宋体" w:eastAsia="宋体"/>
          <w:color w:val="auto"/>
          <w:sz w:val="24"/>
        </w:rPr>
        <w:t>油罐车装卸、运输途中泄漏现场处置措施见下表。</w:t>
      </w:r>
    </w:p>
    <w:bookmarkEnd w:id="1491"/>
    <w:p w14:paraId="33703913">
      <w:pPr>
        <w:pStyle w:val="276"/>
        <w:widowControl w:val="0"/>
        <w:spacing w:line="440" w:lineRule="exact"/>
        <w:ind w:firstLine="0" w:firstLineChars="0"/>
        <w:jc w:val="center"/>
        <w:rPr>
          <w:color w:val="auto"/>
          <w:kern w:val="2"/>
        </w:rPr>
      </w:pPr>
      <w:r>
        <w:rPr>
          <w:color w:val="auto"/>
          <w:kern w:val="2"/>
        </w:rPr>
        <w:t>表5.8</w:t>
      </w:r>
      <w:r>
        <w:rPr>
          <w:color w:val="auto"/>
          <w:kern w:val="2"/>
        </w:rPr>
        <w:noBreakHyphen/>
      </w:r>
      <w:r>
        <w:rPr>
          <w:color w:val="auto"/>
          <w:kern w:val="2"/>
        </w:rPr>
        <w:t>1</w:t>
      </w:r>
      <w:r>
        <w:rPr>
          <w:rFonts w:hint="eastAsia"/>
          <w:color w:val="auto"/>
          <w:kern w:val="2"/>
        </w:rPr>
        <w:t>油罐车装卸、运输途中泄漏现场应急处置措施</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1"/>
        <w:gridCol w:w="1545"/>
        <w:gridCol w:w="1796"/>
        <w:gridCol w:w="5275"/>
      </w:tblGrid>
      <w:tr w14:paraId="1098C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361" w:type="pct"/>
            <w:shd w:val="clear" w:color="auto" w:fill="auto"/>
            <w:noWrap/>
            <w:vAlign w:val="center"/>
          </w:tcPr>
          <w:p w14:paraId="734A6E2F">
            <w:pPr>
              <w:adjustRightInd w:val="0"/>
              <w:snapToGrid w:val="0"/>
              <w:jc w:val="center"/>
              <w:rPr>
                <w:rFonts w:ascii="宋体" w:hAnsi="宋体" w:eastAsia="宋体"/>
                <w:color w:val="auto"/>
              </w:rPr>
            </w:pPr>
            <w:r>
              <w:rPr>
                <w:rFonts w:hint="eastAsia" w:ascii="宋体" w:hAnsi="宋体" w:eastAsia="宋体"/>
                <w:color w:val="auto"/>
              </w:rPr>
              <w:t>序号</w:t>
            </w:r>
          </w:p>
        </w:tc>
        <w:tc>
          <w:tcPr>
            <w:tcW w:w="832" w:type="pct"/>
            <w:shd w:val="clear" w:color="auto" w:fill="auto"/>
            <w:noWrap/>
            <w:vAlign w:val="center"/>
          </w:tcPr>
          <w:p w14:paraId="0971EA94">
            <w:pPr>
              <w:adjustRightInd w:val="0"/>
              <w:snapToGrid w:val="0"/>
              <w:jc w:val="center"/>
              <w:rPr>
                <w:rFonts w:ascii="宋体" w:hAnsi="宋体" w:eastAsia="宋体"/>
                <w:color w:val="auto"/>
              </w:rPr>
            </w:pPr>
            <w:r>
              <w:rPr>
                <w:rFonts w:hint="eastAsia" w:ascii="宋体" w:hAnsi="宋体" w:eastAsia="宋体"/>
                <w:color w:val="auto"/>
              </w:rPr>
              <w:t>事故类型</w:t>
            </w:r>
          </w:p>
        </w:tc>
        <w:tc>
          <w:tcPr>
            <w:tcW w:w="967" w:type="pct"/>
            <w:shd w:val="clear" w:color="auto" w:fill="auto"/>
            <w:vAlign w:val="center"/>
          </w:tcPr>
          <w:p w14:paraId="7240D9A6">
            <w:pPr>
              <w:adjustRightInd w:val="0"/>
              <w:snapToGrid w:val="0"/>
              <w:jc w:val="center"/>
              <w:rPr>
                <w:rFonts w:ascii="宋体" w:hAnsi="宋体" w:eastAsia="宋体"/>
                <w:color w:val="auto"/>
              </w:rPr>
            </w:pPr>
            <w:r>
              <w:rPr>
                <w:rFonts w:hint="eastAsia" w:ascii="宋体" w:hAnsi="宋体" w:eastAsia="宋体"/>
                <w:color w:val="auto"/>
              </w:rPr>
              <w:t>执行小组</w:t>
            </w:r>
          </w:p>
        </w:tc>
        <w:tc>
          <w:tcPr>
            <w:tcW w:w="2840" w:type="pct"/>
            <w:shd w:val="clear" w:color="auto" w:fill="auto"/>
            <w:vAlign w:val="center"/>
          </w:tcPr>
          <w:p w14:paraId="3CEAA3C0">
            <w:pPr>
              <w:adjustRightInd w:val="0"/>
              <w:snapToGrid w:val="0"/>
              <w:jc w:val="center"/>
              <w:rPr>
                <w:rFonts w:ascii="宋体" w:hAnsi="宋体" w:eastAsia="宋体"/>
                <w:color w:val="auto"/>
              </w:rPr>
            </w:pPr>
            <w:r>
              <w:rPr>
                <w:rFonts w:hint="eastAsia" w:ascii="宋体" w:hAnsi="宋体" w:eastAsia="宋体"/>
                <w:color w:val="auto"/>
              </w:rPr>
              <w:t>处置措施</w:t>
            </w:r>
          </w:p>
        </w:tc>
      </w:tr>
      <w:tr w14:paraId="55590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shd w:val="clear" w:color="auto" w:fill="auto"/>
            <w:noWrap/>
            <w:vAlign w:val="center"/>
          </w:tcPr>
          <w:p w14:paraId="50F1C199">
            <w:pPr>
              <w:adjustRightInd w:val="0"/>
              <w:snapToGrid w:val="0"/>
              <w:jc w:val="center"/>
              <w:rPr>
                <w:rFonts w:ascii="宋体" w:hAnsi="宋体" w:eastAsia="宋体"/>
                <w:color w:val="auto"/>
              </w:rPr>
            </w:pPr>
            <w:r>
              <w:rPr>
                <w:rFonts w:hint="eastAsia" w:ascii="宋体" w:hAnsi="宋体" w:eastAsia="宋体"/>
                <w:color w:val="auto"/>
              </w:rPr>
              <w:t>1</w:t>
            </w:r>
          </w:p>
        </w:tc>
        <w:tc>
          <w:tcPr>
            <w:tcW w:w="832" w:type="pct"/>
            <w:shd w:val="clear" w:color="auto" w:fill="auto"/>
            <w:vAlign w:val="center"/>
          </w:tcPr>
          <w:p w14:paraId="659CEADD">
            <w:pPr>
              <w:adjustRightInd w:val="0"/>
              <w:snapToGrid w:val="0"/>
              <w:jc w:val="center"/>
              <w:rPr>
                <w:rFonts w:ascii="宋体" w:hAnsi="宋体" w:eastAsia="宋体"/>
                <w:color w:val="auto"/>
              </w:rPr>
            </w:pPr>
            <w:r>
              <w:rPr>
                <w:rFonts w:hint="eastAsia" w:ascii="宋体" w:hAnsi="宋体" w:eastAsia="宋体"/>
                <w:color w:val="auto"/>
              </w:rPr>
              <w:t>发生少量原油泄漏时</w:t>
            </w:r>
          </w:p>
        </w:tc>
        <w:tc>
          <w:tcPr>
            <w:tcW w:w="967" w:type="pct"/>
            <w:shd w:val="clear" w:color="auto" w:fill="auto"/>
            <w:vAlign w:val="center"/>
          </w:tcPr>
          <w:p w14:paraId="4FEB09C9">
            <w:pPr>
              <w:adjustRightInd w:val="0"/>
              <w:snapToGrid w:val="0"/>
              <w:jc w:val="center"/>
              <w:rPr>
                <w:rFonts w:ascii="宋体" w:hAnsi="宋体" w:eastAsia="宋体"/>
                <w:color w:val="auto"/>
              </w:rPr>
            </w:pPr>
            <w:r>
              <w:rPr>
                <w:rFonts w:hint="eastAsia" w:ascii="宋体" w:hAnsi="宋体" w:eastAsia="宋体"/>
                <w:color w:val="auto"/>
              </w:rPr>
              <w:t>司机</w:t>
            </w:r>
          </w:p>
        </w:tc>
        <w:tc>
          <w:tcPr>
            <w:tcW w:w="2840" w:type="pct"/>
            <w:shd w:val="clear" w:color="auto" w:fill="auto"/>
            <w:vAlign w:val="center"/>
          </w:tcPr>
          <w:p w14:paraId="06E33446">
            <w:pPr>
              <w:adjustRightInd w:val="0"/>
              <w:snapToGrid w:val="0"/>
              <w:jc w:val="center"/>
              <w:rPr>
                <w:rFonts w:ascii="宋体" w:hAnsi="宋体" w:eastAsia="宋体"/>
                <w:color w:val="auto"/>
              </w:rPr>
            </w:pPr>
            <w:r>
              <w:rPr>
                <w:rFonts w:hint="eastAsia" w:ascii="宋体" w:hAnsi="宋体" w:eastAsia="宋体"/>
                <w:color w:val="auto"/>
              </w:rPr>
              <w:t>发现少量原油泄漏应立即停车熄火，车辆周围严禁火种，并设法消除漏点；无法控制泄漏时，应立即向公司应急救援领导小组报告</w:t>
            </w:r>
          </w:p>
        </w:tc>
      </w:tr>
      <w:tr w14:paraId="6332B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vMerge w:val="restart"/>
            <w:shd w:val="clear" w:color="auto" w:fill="auto"/>
            <w:noWrap/>
            <w:vAlign w:val="center"/>
          </w:tcPr>
          <w:p w14:paraId="52DA989A">
            <w:pPr>
              <w:adjustRightInd w:val="0"/>
              <w:snapToGrid w:val="0"/>
              <w:jc w:val="center"/>
              <w:rPr>
                <w:rFonts w:ascii="宋体" w:hAnsi="宋体" w:eastAsia="宋体"/>
                <w:color w:val="auto"/>
              </w:rPr>
            </w:pPr>
            <w:r>
              <w:rPr>
                <w:rFonts w:hint="eastAsia" w:ascii="宋体" w:hAnsi="宋体" w:eastAsia="宋体"/>
                <w:color w:val="auto"/>
              </w:rPr>
              <w:t>2</w:t>
            </w:r>
          </w:p>
        </w:tc>
        <w:tc>
          <w:tcPr>
            <w:tcW w:w="832" w:type="pct"/>
            <w:vMerge w:val="restart"/>
            <w:shd w:val="clear" w:color="auto" w:fill="auto"/>
            <w:vAlign w:val="center"/>
          </w:tcPr>
          <w:p w14:paraId="271D36F2">
            <w:pPr>
              <w:adjustRightInd w:val="0"/>
              <w:snapToGrid w:val="0"/>
              <w:jc w:val="center"/>
              <w:rPr>
                <w:rFonts w:ascii="宋体" w:hAnsi="宋体" w:eastAsia="宋体"/>
                <w:color w:val="auto"/>
              </w:rPr>
            </w:pPr>
            <w:r>
              <w:rPr>
                <w:rFonts w:hint="eastAsia" w:ascii="宋体" w:hAnsi="宋体" w:eastAsia="宋体"/>
                <w:color w:val="auto"/>
              </w:rPr>
              <w:t>发生大量原油泄漏时</w:t>
            </w:r>
          </w:p>
        </w:tc>
        <w:tc>
          <w:tcPr>
            <w:tcW w:w="967" w:type="pct"/>
            <w:shd w:val="clear" w:color="auto" w:fill="auto"/>
            <w:vAlign w:val="center"/>
          </w:tcPr>
          <w:p w14:paraId="26D1A414">
            <w:pPr>
              <w:adjustRightInd w:val="0"/>
              <w:snapToGrid w:val="0"/>
              <w:jc w:val="center"/>
              <w:rPr>
                <w:rFonts w:ascii="宋体" w:hAnsi="宋体" w:eastAsia="宋体"/>
                <w:color w:val="auto"/>
              </w:rPr>
            </w:pPr>
            <w:r>
              <w:rPr>
                <w:rFonts w:hint="eastAsia" w:ascii="宋体" w:hAnsi="宋体" w:eastAsia="宋体"/>
                <w:color w:val="auto"/>
              </w:rPr>
              <w:t>司机</w:t>
            </w:r>
          </w:p>
        </w:tc>
        <w:tc>
          <w:tcPr>
            <w:tcW w:w="2840" w:type="pct"/>
            <w:shd w:val="clear" w:color="auto" w:fill="auto"/>
            <w:vAlign w:val="center"/>
          </w:tcPr>
          <w:p w14:paraId="539055A7">
            <w:pPr>
              <w:adjustRightInd w:val="0"/>
              <w:snapToGrid w:val="0"/>
              <w:jc w:val="center"/>
              <w:rPr>
                <w:rFonts w:ascii="宋体" w:hAnsi="宋体" w:eastAsia="宋体"/>
                <w:color w:val="auto"/>
              </w:rPr>
            </w:pPr>
            <w:r>
              <w:rPr>
                <w:rFonts w:hint="eastAsia" w:ascii="宋体" w:hAnsi="宋体" w:eastAsia="宋体"/>
                <w:color w:val="auto"/>
              </w:rPr>
              <w:t>立即停车熄火，迅速撤离人员至安全区；立即报警</w:t>
            </w:r>
          </w:p>
        </w:tc>
      </w:tr>
      <w:tr w14:paraId="6441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vMerge w:val="continue"/>
            <w:shd w:val="clear" w:color="auto" w:fill="auto"/>
            <w:vAlign w:val="center"/>
          </w:tcPr>
          <w:p w14:paraId="2CD4AE4C">
            <w:pPr>
              <w:adjustRightInd w:val="0"/>
              <w:snapToGrid w:val="0"/>
              <w:jc w:val="center"/>
              <w:rPr>
                <w:rFonts w:ascii="宋体" w:hAnsi="宋体" w:eastAsia="宋体"/>
                <w:color w:val="auto"/>
              </w:rPr>
            </w:pPr>
          </w:p>
        </w:tc>
        <w:tc>
          <w:tcPr>
            <w:tcW w:w="832" w:type="pct"/>
            <w:vMerge w:val="continue"/>
            <w:shd w:val="clear" w:color="auto" w:fill="auto"/>
            <w:vAlign w:val="center"/>
          </w:tcPr>
          <w:p w14:paraId="762F65A9">
            <w:pPr>
              <w:adjustRightInd w:val="0"/>
              <w:snapToGrid w:val="0"/>
              <w:jc w:val="center"/>
              <w:rPr>
                <w:rFonts w:ascii="宋体" w:hAnsi="宋体" w:eastAsia="宋体"/>
                <w:color w:val="auto"/>
              </w:rPr>
            </w:pPr>
          </w:p>
        </w:tc>
        <w:tc>
          <w:tcPr>
            <w:tcW w:w="967" w:type="pct"/>
            <w:shd w:val="clear" w:color="auto" w:fill="auto"/>
            <w:vAlign w:val="center"/>
          </w:tcPr>
          <w:p w14:paraId="135BEC40">
            <w:pPr>
              <w:adjustRightInd w:val="0"/>
              <w:snapToGrid w:val="0"/>
              <w:jc w:val="center"/>
              <w:rPr>
                <w:rFonts w:ascii="宋体" w:hAnsi="宋体" w:eastAsia="宋体"/>
                <w:color w:val="auto"/>
              </w:rPr>
            </w:pPr>
            <w:r>
              <w:rPr>
                <w:rFonts w:hint="eastAsia" w:ascii="宋体" w:hAnsi="宋体" w:eastAsia="宋体"/>
                <w:color w:val="auto"/>
              </w:rPr>
              <w:t>应急救援中心</w:t>
            </w:r>
          </w:p>
        </w:tc>
        <w:tc>
          <w:tcPr>
            <w:tcW w:w="2840" w:type="pct"/>
            <w:shd w:val="clear" w:color="auto" w:fill="auto"/>
            <w:vAlign w:val="center"/>
          </w:tcPr>
          <w:p w14:paraId="4882FD6F">
            <w:pPr>
              <w:adjustRightInd w:val="0"/>
              <w:snapToGrid w:val="0"/>
              <w:jc w:val="center"/>
              <w:rPr>
                <w:rFonts w:ascii="宋体" w:hAnsi="宋体" w:eastAsia="宋体"/>
                <w:color w:val="auto"/>
              </w:rPr>
            </w:pPr>
            <w:r>
              <w:rPr>
                <w:rFonts w:hint="eastAsia" w:ascii="宋体" w:hAnsi="宋体" w:eastAsia="宋体"/>
                <w:color w:val="auto"/>
              </w:rPr>
              <w:t>接报后，将立即启动应急救援程序进行救援</w:t>
            </w:r>
          </w:p>
        </w:tc>
      </w:tr>
      <w:tr w14:paraId="4EAAB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vMerge w:val="continue"/>
            <w:shd w:val="clear" w:color="auto" w:fill="auto"/>
            <w:vAlign w:val="center"/>
          </w:tcPr>
          <w:p w14:paraId="3D56DC79">
            <w:pPr>
              <w:adjustRightInd w:val="0"/>
              <w:snapToGrid w:val="0"/>
              <w:jc w:val="center"/>
              <w:rPr>
                <w:rFonts w:ascii="宋体" w:hAnsi="宋体" w:eastAsia="宋体"/>
                <w:color w:val="auto"/>
              </w:rPr>
            </w:pPr>
          </w:p>
        </w:tc>
        <w:tc>
          <w:tcPr>
            <w:tcW w:w="832" w:type="pct"/>
            <w:vMerge w:val="continue"/>
            <w:shd w:val="clear" w:color="auto" w:fill="auto"/>
            <w:vAlign w:val="center"/>
          </w:tcPr>
          <w:p w14:paraId="4854D417">
            <w:pPr>
              <w:adjustRightInd w:val="0"/>
              <w:snapToGrid w:val="0"/>
              <w:jc w:val="center"/>
              <w:rPr>
                <w:rFonts w:ascii="宋体" w:hAnsi="宋体" w:eastAsia="宋体"/>
                <w:color w:val="auto"/>
              </w:rPr>
            </w:pPr>
          </w:p>
        </w:tc>
        <w:tc>
          <w:tcPr>
            <w:tcW w:w="967" w:type="pct"/>
            <w:shd w:val="clear" w:color="auto" w:fill="auto"/>
            <w:vAlign w:val="center"/>
          </w:tcPr>
          <w:p w14:paraId="795950CA">
            <w:pPr>
              <w:adjustRightInd w:val="0"/>
              <w:snapToGrid w:val="0"/>
              <w:jc w:val="center"/>
              <w:rPr>
                <w:rFonts w:ascii="宋体" w:hAnsi="宋体" w:eastAsia="宋体"/>
                <w:color w:val="auto"/>
              </w:rPr>
            </w:pPr>
            <w:r>
              <w:rPr>
                <w:rFonts w:hint="eastAsia" w:ascii="宋体" w:hAnsi="宋体" w:eastAsia="宋体"/>
                <w:color w:val="auto"/>
              </w:rPr>
              <w:t>警戒疏散组</w:t>
            </w:r>
          </w:p>
        </w:tc>
        <w:tc>
          <w:tcPr>
            <w:tcW w:w="2840" w:type="pct"/>
            <w:shd w:val="clear" w:color="auto" w:fill="auto"/>
            <w:vAlign w:val="center"/>
          </w:tcPr>
          <w:p w14:paraId="727D5ECC">
            <w:pPr>
              <w:adjustRightInd w:val="0"/>
              <w:snapToGrid w:val="0"/>
              <w:jc w:val="center"/>
              <w:rPr>
                <w:rFonts w:ascii="宋体" w:hAnsi="宋体" w:eastAsia="宋体"/>
                <w:color w:val="auto"/>
              </w:rPr>
            </w:pPr>
            <w:r>
              <w:rPr>
                <w:rFonts w:hint="eastAsia" w:ascii="宋体" w:hAnsi="宋体" w:eastAsia="宋体"/>
                <w:color w:val="auto"/>
              </w:rPr>
              <w:t>隔离泄漏区，设立警戒线</w:t>
            </w:r>
          </w:p>
        </w:tc>
      </w:tr>
      <w:tr w14:paraId="68EE0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vMerge w:val="continue"/>
            <w:shd w:val="clear" w:color="auto" w:fill="auto"/>
            <w:vAlign w:val="center"/>
          </w:tcPr>
          <w:p w14:paraId="07311E05">
            <w:pPr>
              <w:adjustRightInd w:val="0"/>
              <w:snapToGrid w:val="0"/>
              <w:jc w:val="center"/>
              <w:rPr>
                <w:rFonts w:ascii="宋体" w:hAnsi="宋体" w:eastAsia="宋体"/>
                <w:color w:val="auto"/>
              </w:rPr>
            </w:pPr>
          </w:p>
        </w:tc>
        <w:tc>
          <w:tcPr>
            <w:tcW w:w="832" w:type="pct"/>
            <w:vMerge w:val="continue"/>
            <w:shd w:val="clear" w:color="auto" w:fill="auto"/>
            <w:vAlign w:val="center"/>
          </w:tcPr>
          <w:p w14:paraId="02595420">
            <w:pPr>
              <w:adjustRightInd w:val="0"/>
              <w:snapToGrid w:val="0"/>
              <w:jc w:val="center"/>
              <w:rPr>
                <w:rFonts w:ascii="宋体" w:hAnsi="宋体" w:eastAsia="宋体"/>
                <w:color w:val="auto"/>
              </w:rPr>
            </w:pPr>
          </w:p>
        </w:tc>
        <w:tc>
          <w:tcPr>
            <w:tcW w:w="967" w:type="pct"/>
            <w:shd w:val="clear" w:color="auto" w:fill="auto"/>
            <w:vAlign w:val="center"/>
          </w:tcPr>
          <w:p w14:paraId="37FD0CD8">
            <w:pPr>
              <w:adjustRightInd w:val="0"/>
              <w:snapToGrid w:val="0"/>
              <w:jc w:val="center"/>
              <w:rPr>
                <w:rFonts w:ascii="宋体" w:hAnsi="宋体" w:eastAsia="宋体"/>
                <w:color w:val="auto"/>
              </w:rPr>
            </w:pPr>
            <w:r>
              <w:rPr>
                <w:rFonts w:hint="eastAsia" w:ascii="宋体" w:hAnsi="宋体" w:eastAsia="宋体"/>
                <w:color w:val="auto"/>
              </w:rPr>
              <w:t>现场处置组</w:t>
            </w:r>
          </w:p>
        </w:tc>
        <w:tc>
          <w:tcPr>
            <w:tcW w:w="2840" w:type="pct"/>
            <w:shd w:val="clear" w:color="auto" w:fill="auto"/>
            <w:vAlign w:val="center"/>
          </w:tcPr>
          <w:p w14:paraId="01E27D50">
            <w:pPr>
              <w:adjustRightInd w:val="0"/>
              <w:snapToGrid w:val="0"/>
              <w:jc w:val="center"/>
              <w:rPr>
                <w:rFonts w:ascii="宋体" w:hAnsi="宋体" w:eastAsia="宋体"/>
                <w:color w:val="auto"/>
              </w:rPr>
            </w:pPr>
            <w:r>
              <w:rPr>
                <w:rFonts w:hint="eastAsia" w:ascii="宋体" w:hAnsi="宋体" w:eastAsia="宋体"/>
                <w:color w:val="auto"/>
              </w:rPr>
              <w:t>尽可能切断泄漏源；构筑围堤；如发生火警，应设法切断火源</w:t>
            </w:r>
          </w:p>
        </w:tc>
      </w:tr>
      <w:tr w14:paraId="21C2A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vMerge w:val="continue"/>
            <w:shd w:val="clear" w:color="auto" w:fill="auto"/>
            <w:vAlign w:val="center"/>
          </w:tcPr>
          <w:p w14:paraId="0F2BCDC5">
            <w:pPr>
              <w:adjustRightInd w:val="0"/>
              <w:snapToGrid w:val="0"/>
              <w:jc w:val="center"/>
              <w:rPr>
                <w:rFonts w:ascii="宋体" w:hAnsi="宋体" w:eastAsia="宋体"/>
                <w:color w:val="auto"/>
              </w:rPr>
            </w:pPr>
          </w:p>
        </w:tc>
        <w:tc>
          <w:tcPr>
            <w:tcW w:w="832" w:type="pct"/>
            <w:vMerge w:val="continue"/>
            <w:shd w:val="clear" w:color="auto" w:fill="auto"/>
            <w:vAlign w:val="center"/>
          </w:tcPr>
          <w:p w14:paraId="1E81BE55">
            <w:pPr>
              <w:adjustRightInd w:val="0"/>
              <w:snapToGrid w:val="0"/>
              <w:jc w:val="center"/>
              <w:rPr>
                <w:rFonts w:ascii="宋体" w:hAnsi="宋体" w:eastAsia="宋体"/>
                <w:color w:val="auto"/>
              </w:rPr>
            </w:pPr>
          </w:p>
        </w:tc>
        <w:tc>
          <w:tcPr>
            <w:tcW w:w="967" w:type="pct"/>
            <w:shd w:val="clear" w:color="auto" w:fill="auto"/>
            <w:vAlign w:val="center"/>
          </w:tcPr>
          <w:p w14:paraId="726F8C75">
            <w:pPr>
              <w:adjustRightInd w:val="0"/>
              <w:snapToGrid w:val="0"/>
              <w:jc w:val="center"/>
              <w:rPr>
                <w:rFonts w:ascii="宋体" w:hAnsi="宋体" w:eastAsia="宋体"/>
                <w:color w:val="auto"/>
              </w:rPr>
            </w:pPr>
            <w:r>
              <w:rPr>
                <w:rFonts w:hint="eastAsia" w:ascii="宋体" w:hAnsi="宋体" w:eastAsia="宋体"/>
                <w:color w:val="auto"/>
              </w:rPr>
              <w:t>医疗救护组</w:t>
            </w:r>
          </w:p>
        </w:tc>
        <w:tc>
          <w:tcPr>
            <w:tcW w:w="2840" w:type="pct"/>
            <w:shd w:val="clear" w:color="auto" w:fill="auto"/>
            <w:vAlign w:val="center"/>
          </w:tcPr>
          <w:p w14:paraId="3C6C4C94">
            <w:pPr>
              <w:adjustRightInd w:val="0"/>
              <w:snapToGrid w:val="0"/>
              <w:jc w:val="center"/>
              <w:rPr>
                <w:rFonts w:ascii="宋体" w:hAnsi="宋体" w:eastAsia="宋体"/>
                <w:color w:val="auto"/>
              </w:rPr>
            </w:pPr>
            <w:r>
              <w:rPr>
                <w:rFonts w:hint="eastAsia" w:ascii="宋体" w:hAnsi="宋体" w:eastAsia="宋体"/>
                <w:color w:val="auto"/>
              </w:rPr>
              <w:t>负责抢救伤员</w:t>
            </w:r>
          </w:p>
        </w:tc>
      </w:tr>
      <w:tr w14:paraId="2A973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vMerge w:val="restart"/>
            <w:shd w:val="clear" w:color="auto" w:fill="auto"/>
            <w:noWrap/>
            <w:vAlign w:val="center"/>
          </w:tcPr>
          <w:p w14:paraId="44C5EF10">
            <w:pPr>
              <w:adjustRightInd w:val="0"/>
              <w:snapToGrid w:val="0"/>
              <w:jc w:val="center"/>
              <w:rPr>
                <w:rFonts w:ascii="宋体" w:hAnsi="宋体" w:eastAsia="宋体"/>
                <w:color w:val="auto"/>
              </w:rPr>
            </w:pPr>
            <w:r>
              <w:rPr>
                <w:rFonts w:hint="eastAsia" w:ascii="宋体" w:hAnsi="宋体" w:eastAsia="宋体"/>
                <w:color w:val="auto"/>
              </w:rPr>
              <w:t>3</w:t>
            </w:r>
          </w:p>
        </w:tc>
        <w:tc>
          <w:tcPr>
            <w:tcW w:w="832" w:type="pct"/>
            <w:vMerge w:val="restart"/>
            <w:shd w:val="clear" w:color="auto" w:fill="auto"/>
            <w:vAlign w:val="center"/>
          </w:tcPr>
          <w:p w14:paraId="787123BB">
            <w:pPr>
              <w:adjustRightInd w:val="0"/>
              <w:snapToGrid w:val="0"/>
              <w:jc w:val="center"/>
              <w:rPr>
                <w:rFonts w:ascii="宋体" w:hAnsi="宋体" w:eastAsia="宋体"/>
                <w:color w:val="auto"/>
              </w:rPr>
            </w:pPr>
            <w:r>
              <w:rPr>
                <w:rFonts w:hint="eastAsia" w:ascii="宋体" w:hAnsi="宋体" w:eastAsia="宋体"/>
                <w:color w:val="auto"/>
              </w:rPr>
              <w:t>泄漏至河流、水渠时</w:t>
            </w:r>
          </w:p>
        </w:tc>
        <w:tc>
          <w:tcPr>
            <w:tcW w:w="967" w:type="pct"/>
            <w:shd w:val="clear" w:color="auto" w:fill="auto"/>
            <w:vAlign w:val="center"/>
          </w:tcPr>
          <w:p w14:paraId="2774C4DB">
            <w:pPr>
              <w:adjustRightInd w:val="0"/>
              <w:snapToGrid w:val="0"/>
              <w:jc w:val="center"/>
              <w:rPr>
                <w:rFonts w:ascii="宋体" w:hAnsi="宋体" w:eastAsia="宋体"/>
                <w:color w:val="auto"/>
              </w:rPr>
            </w:pPr>
            <w:r>
              <w:rPr>
                <w:rFonts w:hint="eastAsia" w:ascii="宋体" w:hAnsi="宋体" w:eastAsia="宋体"/>
                <w:color w:val="auto"/>
              </w:rPr>
              <w:t>司机</w:t>
            </w:r>
          </w:p>
        </w:tc>
        <w:tc>
          <w:tcPr>
            <w:tcW w:w="2840" w:type="pct"/>
            <w:shd w:val="clear" w:color="auto" w:fill="auto"/>
            <w:vAlign w:val="center"/>
          </w:tcPr>
          <w:p w14:paraId="45B0CC37">
            <w:pPr>
              <w:adjustRightInd w:val="0"/>
              <w:snapToGrid w:val="0"/>
              <w:jc w:val="center"/>
              <w:rPr>
                <w:rFonts w:ascii="宋体" w:hAnsi="宋体" w:eastAsia="宋体"/>
                <w:color w:val="auto"/>
              </w:rPr>
            </w:pPr>
            <w:r>
              <w:rPr>
                <w:rFonts w:hint="eastAsia" w:ascii="宋体" w:hAnsi="宋体" w:eastAsia="宋体"/>
                <w:color w:val="auto"/>
              </w:rPr>
              <w:t>发现少量原油泄漏应立即停车熄火，车辆周围严禁火种，并设法消除漏点；无法控制泄漏时，应立即向公司应急救援领导小组报告</w:t>
            </w:r>
          </w:p>
        </w:tc>
      </w:tr>
      <w:tr w14:paraId="72DC7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vMerge w:val="continue"/>
            <w:shd w:val="clear" w:color="auto" w:fill="auto"/>
            <w:vAlign w:val="center"/>
          </w:tcPr>
          <w:p w14:paraId="07525DF4">
            <w:pPr>
              <w:adjustRightInd w:val="0"/>
              <w:snapToGrid w:val="0"/>
              <w:jc w:val="center"/>
              <w:rPr>
                <w:rFonts w:ascii="宋体" w:hAnsi="宋体" w:eastAsia="宋体"/>
                <w:color w:val="auto"/>
              </w:rPr>
            </w:pPr>
          </w:p>
        </w:tc>
        <w:tc>
          <w:tcPr>
            <w:tcW w:w="832" w:type="pct"/>
            <w:vMerge w:val="continue"/>
            <w:shd w:val="clear" w:color="auto" w:fill="auto"/>
            <w:vAlign w:val="center"/>
          </w:tcPr>
          <w:p w14:paraId="7DEB14AE">
            <w:pPr>
              <w:adjustRightInd w:val="0"/>
              <w:snapToGrid w:val="0"/>
              <w:jc w:val="center"/>
              <w:rPr>
                <w:rFonts w:ascii="宋体" w:hAnsi="宋体" w:eastAsia="宋体"/>
                <w:color w:val="auto"/>
              </w:rPr>
            </w:pPr>
          </w:p>
        </w:tc>
        <w:tc>
          <w:tcPr>
            <w:tcW w:w="967" w:type="pct"/>
            <w:shd w:val="clear" w:color="auto" w:fill="auto"/>
            <w:vAlign w:val="center"/>
          </w:tcPr>
          <w:p w14:paraId="3E855C82">
            <w:pPr>
              <w:adjustRightInd w:val="0"/>
              <w:snapToGrid w:val="0"/>
              <w:jc w:val="center"/>
              <w:rPr>
                <w:rFonts w:ascii="宋体" w:hAnsi="宋体" w:eastAsia="宋体"/>
                <w:color w:val="auto"/>
              </w:rPr>
            </w:pPr>
            <w:r>
              <w:rPr>
                <w:rFonts w:hint="eastAsia" w:ascii="宋体" w:hAnsi="宋体" w:eastAsia="宋体"/>
                <w:color w:val="auto"/>
              </w:rPr>
              <w:t>现场应急指挥部</w:t>
            </w:r>
          </w:p>
        </w:tc>
        <w:tc>
          <w:tcPr>
            <w:tcW w:w="2840" w:type="pct"/>
            <w:shd w:val="clear" w:color="auto" w:fill="auto"/>
            <w:vAlign w:val="center"/>
          </w:tcPr>
          <w:p w14:paraId="1D3AC676">
            <w:pPr>
              <w:adjustRightInd w:val="0"/>
              <w:snapToGrid w:val="0"/>
              <w:jc w:val="center"/>
              <w:rPr>
                <w:rFonts w:ascii="宋体" w:hAnsi="宋体" w:eastAsia="宋体"/>
                <w:color w:val="auto"/>
              </w:rPr>
            </w:pPr>
            <w:r>
              <w:rPr>
                <w:rFonts w:hint="eastAsia" w:ascii="宋体" w:hAnsi="宋体" w:eastAsia="宋体"/>
                <w:color w:val="auto"/>
              </w:rPr>
              <w:t>制定控制污染扩散措施；负责处理工农关系，并组织力量清理污染物</w:t>
            </w:r>
          </w:p>
        </w:tc>
      </w:tr>
      <w:tr w14:paraId="3E650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vMerge w:val="continue"/>
            <w:shd w:val="clear" w:color="auto" w:fill="auto"/>
            <w:vAlign w:val="center"/>
          </w:tcPr>
          <w:p w14:paraId="0DFC785A">
            <w:pPr>
              <w:adjustRightInd w:val="0"/>
              <w:snapToGrid w:val="0"/>
              <w:jc w:val="center"/>
              <w:rPr>
                <w:rFonts w:ascii="宋体" w:hAnsi="宋体" w:eastAsia="宋体"/>
                <w:color w:val="auto"/>
              </w:rPr>
            </w:pPr>
          </w:p>
        </w:tc>
        <w:tc>
          <w:tcPr>
            <w:tcW w:w="832" w:type="pct"/>
            <w:vMerge w:val="continue"/>
            <w:shd w:val="clear" w:color="auto" w:fill="auto"/>
            <w:vAlign w:val="center"/>
          </w:tcPr>
          <w:p w14:paraId="29A1D79C">
            <w:pPr>
              <w:adjustRightInd w:val="0"/>
              <w:snapToGrid w:val="0"/>
              <w:jc w:val="center"/>
              <w:rPr>
                <w:rFonts w:ascii="宋体" w:hAnsi="宋体" w:eastAsia="宋体"/>
                <w:color w:val="auto"/>
              </w:rPr>
            </w:pPr>
          </w:p>
        </w:tc>
        <w:tc>
          <w:tcPr>
            <w:tcW w:w="967" w:type="pct"/>
            <w:shd w:val="clear" w:color="auto" w:fill="auto"/>
            <w:vAlign w:val="center"/>
          </w:tcPr>
          <w:p w14:paraId="40D93704">
            <w:pPr>
              <w:adjustRightInd w:val="0"/>
              <w:snapToGrid w:val="0"/>
              <w:jc w:val="center"/>
              <w:rPr>
                <w:rFonts w:ascii="宋体" w:hAnsi="宋体" w:eastAsia="宋体"/>
                <w:color w:val="auto"/>
              </w:rPr>
            </w:pPr>
            <w:r>
              <w:rPr>
                <w:rFonts w:hint="eastAsia" w:ascii="宋体" w:hAnsi="宋体" w:eastAsia="宋体"/>
                <w:color w:val="auto"/>
              </w:rPr>
              <w:t>现场处置组</w:t>
            </w:r>
          </w:p>
        </w:tc>
        <w:tc>
          <w:tcPr>
            <w:tcW w:w="2840" w:type="pct"/>
            <w:shd w:val="clear" w:color="auto" w:fill="auto"/>
            <w:vAlign w:val="center"/>
          </w:tcPr>
          <w:p w14:paraId="682068E5">
            <w:pPr>
              <w:adjustRightInd w:val="0"/>
              <w:snapToGrid w:val="0"/>
              <w:jc w:val="center"/>
              <w:rPr>
                <w:rFonts w:ascii="宋体" w:hAnsi="宋体" w:eastAsia="宋体"/>
                <w:color w:val="auto"/>
              </w:rPr>
            </w:pPr>
            <w:r>
              <w:rPr>
                <w:rFonts w:hint="eastAsia" w:ascii="宋体" w:hAnsi="宋体" w:eastAsia="宋体"/>
                <w:color w:val="auto"/>
              </w:rPr>
              <w:t>立即组织切断泄漏源，负责对泄漏原油进行封堵、隔离</w:t>
            </w:r>
          </w:p>
        </w:tc>
      </w:tr>
    </w:tbl>
    <w:p w14:paraId="45DFBCA2">
      <w:pPr>
        <w:spacing w:line="440" w:lineRule="exact"/>
        <w:ind w:firstLine="480" w:firstLineChars="200"/>
        <w:rPr>
          <w:rFonts w:ascii="宋体" w:hAnsi="宋体" w:eastAsia="宋体"/>
          <w:color w:val="auto"/>
          <w:sz w:val="24"/>
        </w:rPr>
      </w:pPr>
      <w:r>
        <w:rPr>
          <w:rFonts w:hint="eastAsia" w:ascii="宋体" w:hAnsi="宋体" w:eastAsia="宋体"/>
          <w:color w:val="auto"/>
          <w:sz w:val="24"/>
        </w:rPr>
        <w:t>（4）</w:t>
      </w:r>
      <w:r>
        <w:rPr>
          <w:rFonts w:ascii="宋体" w:hAnsi="宋体" w:eastAsia="宋体"/>
          <w:color w:val="auto"/>
          <w:sz w:val="24"/>
        </w:rPr>
        <w:t>油气泄漏事故风险防控措施</w:t>
      </w:r>
    </w:p>
    <w:p w14:paraId="33546C78">
      <w:pPr>
        <w:spacing w:line="440" w:lineRule="exact"/>
        <w:ind w:firstLine="480" w:firstLineChars="200"/>
        <w:rPr>
          <w:rFonts w:ascii="宋体" w:hAnsi="宋体" w:eastAsia="宋体"/>
          <w:color w:val="auto"/>
          <w:sz w:val="24"/>
        </w:rPr>
      </w:pPr>
      <w:r>
        <w:rPr>
          <w:rFonts w:hint="eastAsia" w:ascii="宋体" w:hAnsi="宋体" w:eastAsia="宋体"/>
          <w:color w:val="auto"/>
          <w:sz w:val="24"/>
        </w:rPr>
        <w:t>1）</w:t>
      </w:r>
      <w:r>
        <w:rPr>
          <w:rFonts w:ascii="宋体" w:hAnsi="宋体" w:eastAsia="宋体"/>
          <w:color w:val="auto"/>
          <w:sz w:val="24"/>
        </w:rPr>
        <w:t>风险源监控措施</w:t>
      </w:r>
    </w:p>
    <w:p w14:paraId="48D1F45C">
      <w:pPr>
        <w:spacing w:line="440" w:lineRule="exact"/>
        <w:ind w:firstLine="480" w:firstLineChars="200"/>
        <w:rPr>
          <w:rFonts w:ascii="宋体" w:hAnsi="宋体" w:eastAsia="宋体"/>
          <w:color w:val="auto"/>
          <w:sz w:val="24"/>
        </w:rPr>
      </w:pPr>
      <w:r>
        <w:rPr>
          <w:rFonts w:hint="eastAsia" w:ascii="宋体" w:hAnsi="宋体" w:eastAsia="宋体"/>
          <w:color w:val="auto"/>
          <w:sz w:val="24"/>
        </w:rPr>
        <w:t>第十采油厂通过加强制度建设、远程信息监控、井场设施管理、井场巡护、员工培训等措施预防突发环境事件的发生，基层单位落实设施巡护承包制度，负责辖区内环境污染源的监控管理，定期开展环境风险识别，制定有效措施，确保突发环境事件得到有效控制。</w:t>
      </w:r>
    </w:p>
    <w:p w14:paraId="3998532D">
      <w:pPr>
        <w:spacing w:line="440" w:lineRule="exact"/>
        <w:ind w:firstLine="480" w:firstLineChars="200"/>
        <w:rPr>
          <w:rFonts w:ascii="宋体" w:hAnsi="宋体" w:eastAsia="宋体"/>
          <w:color w:val="auto"/>
          <w:sz w:val="24"/>
        </w:rPr>
      </w:pPr>
      <w:r>
        <w:rPr>
          <w:rFonts w:hint="eastAsia" w:ascii="宋体" w:hAnsi="宋体" w:eastAsia="宋体"/>
          <w:color w:val="auto"/>
          <w:sz w:val="24"/>
        </w:rPr>
        <w:t>第十采油厂定期组织开展对井场多功能罐、设备、管线的检测、评估工作，进行完整性评价，做到早发现、早报告、早处置。</w:t>
      </w:r>
    </w:p>
    <w:p w14:paraId="23BBB273">
      <w:pPr>
        <w:spacing w:line="440" w:lineRule="exact"/>
        <w:ind w:firstLine="480" w:firstLineChars="200"/>
        <w:rPr>
          <w:rFonts w:ascii="宋体" w:hAnsi="宋体" w:eastAsia="宋体"/>
          <w:color w:val="auto"/>
          <w:sz w:val="24"/>
        </w:rPr>
      </w:pPr>
      <w:r>
        <w:rPr>
          <w:rFonts w:hint="eastAsia" w:ascii="宋体" w:hAnsi="宋体" w:eastAsia="宋体"/>
          <w:color w:val="auto"/>
          <w:sz w:val="24"/>
        </w:rPr>
        <w:t>2）</w:t>
      </w:r>
      <w:r>
        <w:rPr>
          <w:rFonts w:ascii="宋体" w:hAnsi="宋体" w:eastAsia="宋体"/>
          <w:color w:val="auto"/>
          <w:sz w:val="24"/>
        </w:rPr>
        <w:t>应急处置</w:t>
      </w:r>
    </w:p>
    <w:p w14:paraId="72B9BC18">
      <w:pPr>
        <w:spacing w:line="440" w:lineRule="exact"/>
        <w:ind w:firstLine="480" w:firstLineChars="200"/>
        <w:rPr>
          <w:rFonts w:ascii="宋体" w:hAnsi="宋体" w:eastAsia="宋体"/>
          <w:color w:val="auto"/>
          <w:sz w:val="24"/>
        </w:rPr>
      </w:pPr>
      <w:r>
        <w:rPr>
          <w:rFonts w:hint="eastAsia" w:ascii="宋体" w:hAnsi="宋体" w:eastAsia="宋体"/>
          <w:color w:val="auto"/>
          <w:sz w:val="24"/>
        </w:rPr>
        <w:t>①</w:t>
      </w:r>
      <w:r>
        <w:rPr>
          <w:rFonts w:ascii="宋体" w:hAnsi="宋体" w:eastAsia="宋体"/>
          <w:color w:val="auto"/>
          <w:sz w:val="24"/>
        </w:rPr>
        <w:t>围堤堵截：筑堤堵截泄漏液体或者引流到安全地点。</w:t>
      </w:r>
    </w:p>
    <w:p w14:paraId="5A71C826">
      <w:pPr>
        <w:spacing w:line="440" w:lineRule="exact"/>
        <w:ind w:firstLine="480" w:firstLineChars="200"/>
        <w:rPr>
          <w:rFonts w:ascii="宋体" w:hAnsi="宋体" w:eastAsia="宋体"/>
          <w:color w:val="auto"/>
          <w:sz w:val="24"/>
        </w:rPr>
      </w:pPr>
      <w:r>
        <w:rPr>
          <w:rFonts w:hint="eastAsia" w:ascii="宋体" w:hAnsi="宋体" w:eastAsia="宋体"/>
          <w:color w:val="auto"/>
          <w:sz w:val="24"/>
        </w:rPr>
        <w:t>②</w:t>
      </w:r>
      <w:r>
        <w:rPr>
          <w:rFonts w:ascii="宋体" w:hAnsi="宋体" w:eastAsia="宋体"/>
          <w:color w:val="auto"/>
          <w:sz w:val="24"/>
        </w:rPr>
        <w:t>收集：当泄漏量小时，用吸油毡等吸附材料吸收；当泄漏量较大时，用防爆型机泵将泄漏出的物料抽入容器内或槽车内，拉运至联合站。</w:t>
      </w:r>
    </w:p>
    <w:p w14:paraId="5A183524">
      <w:pPr>
        <w:spacing w:line="440" w:lineRule="exact"/>
        <w:ind w:firstLine="480" w:firstLineChars="200"/>
        <w:rPr>
          <w:rFonts w:ascii="宋体" w:hAnsi="宋体" w:eastAsia="宋体"/>
          <w:color w:val="auto"/>
          <w:sz w:val="24"/>
        </w:rPr>
      </w:pPr>
      <w:r>
        <w:rPr>
          <w:rFonts w:hint="eastAsia" w:ascii="宋体" w:hAnsi="宋体" w:eastAsia="宋体"/>
          <w:color w:val="auto"/>
          <w:sz w:val="24"/>
        </w:rPr>
        <w:t>③</w:t>
      </w:r>
      <w:r>
        <w:rPr>
          <w:rFonts w:ascii="宋体" w:hAnsi="宋体" w:eastAsia="宋体"/>
          <w:color w:val="auto"/>
          <w:sz w:val="24"/>
        </w:rPr>
        <w:t>被泄漏原油污染的土壤委托危险废物处置单位无害化处置。</w:t>
      </w:r>
    </w:p>
    <w:p w14:paraId="6DBB9006">
      <w:pPr>
        <w:spacing w:line="440" w:lineRule="exact"/>
        <w:ind w:firstLine="480" w:firstLineChars="200"/>
        <w:rPr>
          <w:rFonts w:ascii="宋体" w:hAnsi="宋体" w:eastAsia="宋体"/>
          <w:color w:val="auto"/>
          <w:sz w:val="24"/>
        </w:rPr>
      </w:pPr>
      <w:r>
        <w:rPr>
          <w:rFonts w:hint="eastAsia" w:ascii="宋体" w:hAnsi="宋体" w:eastAsia="宋体"/>
          <w:color w:val="auto"/>
          <w:sz w:val="24"/>
        </w:rPr>
        <w:t>综上所述，第十采油厂采取的风险防范措施是有效的。</w:t>
      </w:r>
    </w:p>
    <w:p w14:paraId="4F91303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现有工程应急预案备案情况</w:t>
      </w:r>
    </w:p>
    <w:p w14:paraId="0FF469F5">
      <w:pPr>
        <w:spacing w:line="440" w:lineRule="exact"/>
        <w:ind w:firstLine="480" w:firstLineChars="200"/>
        <w:rPr>
          <w:rFonts w:ascii="宋体" w:hAnsi="宋体" w:eastAsia="宋体"/>
          <w:color w:val="auto"/>
          <w:sz w:val="24"/>
        </w:rPr>
      </w:pPr>
      <w:r>
        <w:rPr>
          <w:rFonts w:hint="eastAsia" w:ascii="宋体" w:hAnsi="宋体" w:eastAsia="宋体"/>
          <w:color w:val="auto"/>
          <w:sz w:val="24"/>
        </w:rPr>
        <w:t>大庆油田有限责任公司第十采油厂已编制发布突发环境事件应急预案，该预案已于</w:t>
      </w:r>
      <w:r>
        <w:rPr>
          <w:rFonts w:ascii="宋体" w:hAnsi="宋体" w:eastAsia="宋体"/>
          <w:color w:val="auto"/>
          <w:sz w:val="24"/>
        </w:rPr>
        <w:t>2023年6月15日在大庆市肇州生态环境局备案，备案编号230621-2023-012-L，依托 场站均设置《环境保护应急预案》、《集输系统突发事故专项应急预案》等专项应急 预案，各项应急预案针对不同的事故采取相应的措施，合理有效。</w:t>
      </w:r>
    </w:p>
    <w:p w14:paraId="2E918EA8">
      <w:pPr>
        <w:spacing w:line="440" w:lineRule="exact"/>
        <w:ind w:firstLine="480" w:firstLineChars="200"/>
        <w:rPr>
          <w:rFonts w:ascii="宋体" w:hAnsi="宋体" w:eastAsia="宋体"/>
          <w:color w:val="auto"/>
          <w:sz w:val="24"/>
        </w:rPr>
      </w:pPr>
      <w:r>
        <w:rPr>
          <w:rFonts w:hint="eastAsia" w:ascii="宋体" w:hAnsi="宋体" w:eastAsia="宋体"/>
          <w:color w:val="auto"/>
          <w:sz w:val="24"/>
        </w:rPr>
        <w:t>大庆油田有限责任公司第十采油厂定期组织应急预案演练，企业有较好的突发环境事件应急能力，近几年企业未发生重大突发环境污染事件。另外，在站场设备处设置安全警示标志，配备应急物资、消防器材等，并在明显处公示逃生路线图，配备可燃气体报警仪应急监测设施。根据《突发环境事件应急监测技术规范》（HJ</w:t>
      </w:r>
      <w:r>
        <w:rPr>
          <w:rFonts w:ascii="宋体" w:hAnsi="宋体" w:eastAsia="宋体"/>
          <w:color w:val="auto"/>
          <w:sz w:val="24"/>
        </w:rPr>
        <w:t xml:space="preserve"> </w:t>
      </w:r>
      <w:r>
        <w:rPr>
          <w:rFonts w:hint="eastAsia" w:ascii="宋体" w:hAnsi="宋体" w:eastAsia="宋体"/>
          <w:color w:val="auto"/>
          <w:sz w:val="24"/>
        </w:rPr>
        <w:t>589-2021），大庆油田有限责任公司第十采油厂现有工程应急设施、应急预案、应急物资配备情况符合《突发环境事件应急监测技术规范》（HJ</w:t>
      </w:r>
      <w:r>
        <w:rPr>
          <w:rFonts w:ascii="宋体" w:hAnsi="宋体" w:eastAsia="宋体"/>
          <w:color w:val="auto"/>
          <w:sz w:val="24"/>
        </w:rPr>
        <w:t xml:space="preserve"> </w:t>
      </w:r>
      <w:r>
        <w:rPr>
          <w:rFonts w:hint="eastAsia" w:ascii="宋体" w:hAnsi="宋体" w:eastAsia="宋体"/>
          <w:color w:val="auto"/>
          <w:sz w:val="24"/>
        </w:rPr>
        <w:t>589-2021）相关要求。</w:t>
      </w:r>
    </w:p>
    <w:p w14:paraId="211A94C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现有工程应急物资</w:t>
      </w:r>
    </w:p>
    <w:p w14:paraId="13CA76A7">
      <w:pPr>
        <w:spacing w:line="440" w:lineRule="exact"/>
        <w:ind w:firstLine="480" w:firstLineChars="200"/>
        <w:rPr>
          <w:rFonts w:ascii="宋体" w:hAnsi="宋体" w:eastAsia="宋体"/>
          <w:color w:val="auto"/>
          <w:sz w:val="24"/>
        </w:rPr>
      </w:pPr>
      <w:r>
        <w:rPr>
          <w:rFonts w:ascii="宋体" w:hAnsi="宋体" w:eastAsia="宋体"/>
          <w:color w:val="auto"/>
          <w:sz w:val="24"/>
        </w:rPr>
        <w:t>应急救援物资</w:t>
      </w:r>
      <w:r>
        <w:rPr>
          <w:rFonts w:hint="eastAsia" w:ascii="宋体" w:hAnsi="宋体" w:eastAsia="宋体"/>
          <w:color w:val="auto"/>
          <w:sz w:val="24"/>
        </w:rPr>
        <w:t>见表5.8</w:t>
      </w:r>
      <w:r>
        <w:rPr>
          <w:rFonts w:ascii="宋体" w:hAnsi="宋体" w:eastAsia="宋体"/>
          <w:color w:val="auto"/>
          <w:sz w:val="24"/>
        </w:rPr>
        <w:t>-2</w:t>
      </w:r>
      <w:r>
        <w:rPr>
          <w:rFonts w:hint="eastAsia" w:ascii="宋体" w:hAnsi="宋体" w:eastAsia="宋体"/>
          <w:color w:val="auto"/>
          <w:sz w:val="24"/>
        </w:rPr>
        <w:t>。</w:t>
      </w:r>
    </w:p>
    <w:p w14:paraId="5936AEC5">
      <w:pPr>
        <w:pStyle w:val="276"/>
        <w:widowControl w:val="0"/>
        <w:spacing w:line="440" w:lineRule="exact"/>
        <w:ind w:firstLine="0" w:firstLineChars="0"/>
        <w:jc w:val="center"/>
        <w:rPr>
          <w:color w:val="auto"/>
          <w:kern w:val="2"/>
        </w:rPr>
      </w:pPr>
      <w:r>
        <w:rPr>
          <w:color w:val="auto"/>
          <w:kern w:val="2"/>
        </w:rPr>
        <w:t>表5.8</w:t>
      </w:r>
      <w:r>
        <w:rPr>
          <w:color w:val="auto"/>
          <w:kern w:val="2"/>
        </w:rPr>
        <w:noBreakHyphen/>
      </w:r>
      <w:r>
        <w:rPr>
          <w:color w:val="auto"/>
          <w:kern w:val="2"/>
        </w:rPr>
        <w:t>2</w:t>
      </w:r>
      <w:r>
        <w:rPr>
          <w:rFonts w:hint="eastAsia"/>
          <w:color w:val="auto"/>
          <w:kern w:val="2"/>
        </w:rPr>
        <w:t>应急设施、设备、器材</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1"/>
        <w:gridCol w:w="1545"/>
        <w:gridCol w:w="5045"/>
        <w:gridCol w:w="2026"/>
      </w:tblGrid>
      <w:tr w14:paraId="436AE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361" w:type="pct"/>
            <w:shd w:val="clear" w:color="auto" w:fill="auto"/>
            <w:noWrap/>
            <w:vAlign w:val="center"/>
          </w:tcPr>
          <w:p w14:paraId="21DBAE0F">
            <w:pPr>
              <w:adjustRightInd w:val="0"/>
              <w:snapToGrid w:val="0"/>
              <w:jc w:val="center"/>
              <w:rPr>
                <w:rFonts w:ascii="宋体" w:hAnsi="宋体" w:eastAsia="宋体"/>
                <w:color w:val="auto"/>
              </w:rPr>
            </w:pPr>
            <w:r>
              <w:rPr>
                <w:rFonts w:hint="eastAsia" w:ascii="宋体" w:hAnsi="宋体" w:eastAsia="宋体"/>
                <w:color w:val="auto"/>
              </w:rPr>
              <w:t>序号</w:t>
            </w:r>
          </w:p>
        </w:tc>
        <w:tc>
          <w:tcPr>
            <w:tcW w:w="832" w:type="pct"/>
            <w:shd w:val="clear" w:color="auto" w:fill="auto"/>
            <w:noWrap/>
            <w:vAlign w:val="center"/>
          </w:tcPr>
          <w:p w14:paraId="03B13DE9">
            <w:pPr>
              <w:adjustRightInd w:val="0"/>
              <w:snapToGrid w:val="0"/>
              <w:jc w:val="center"/>
              <w:rPr>
                <w:rFonts w:ascii="宋体" w:hAnsi="宋体" w:eastAsia="宋体"/>
                <w:color w:val="auto"/>
              </w:rPr>
            </w:pPr>
            <w:r>
              <w:rPr>
                <w:rFonts w:hint="eastAsia" w:ascii="宋体" w:hAnsi="宋体" w:eastAsia="宋体"/>
                <w:color w:val="auto"/>
              </w:rPr>
              <w:t>工艺环节</w:t>
            </w:r>
          </w:p>
        </w:tc>
        <w:tc>
          <w:tcPr>
            <w:tcW w:w="2716" w:type="pct"/>
            <w:shd w:val="clear" w:color="auto" w:fill="auto"/>
            <w:vAlign w:val="center"/>
          </w:tcPr>
          <w:p w14:paraId="41A0B98F">
            <w:pPr>
              <w:adjustRightInd w:val="0"/>
              <w:snapToGrid w:val="0"/>
              <w:jc w:val="center"/>
              <w:rPr>
                <w:rFonts w:ascii="宋体" w:hAnsi="宋体" w:eastAsia="宋体"/>
                <w:color w:val="auto"/>
              </w:rPr>
            </w:pPr>
            <w:r>
              <w:rPr>
                <w:rFonts w:hint="eastAsia" w:ascii="宋体" w:hAnsi="宋体" w:eastAsia="宋体"/>
                <w:color w:val="auto"/>
              </w:rPr>
              <w:t>应急设施、设备、器材</w:t>
            </w:r>
          </w:p>
        </w:tc>
        <w:tc>
          <w:tcPr>
            <w:tcW w:w="1091" w:type="pct"/>
            <w:shd w:val="clear" w:color="auto" w:fill="auto"/>
            <w:vAlign w:val="center"/>
          </w:tcPr>
          <w:p w14:paraId="4DFB7957">
            <w:pPr>
              <w:adjustRightInd w:val="0"/>
              <w:snapToGrid w:val="0"/>
              <w:jc w:val="center"/>
              <w:rPr>
                <w:rFonts w:ascii="宋体" w:hAnsi="宋体" w:eastAsia="宋体"/>
                <w:color w:val="auto"/>
              </w:rPr>
            </w:pPr>
            <w:r>
              <w:rPr>
                <w:rFonts w:hint="eastAsia" w:ascii="宋体" w:hAnsi="宋体" w:eastAsia="宋体"/>
                <w:color w:val="auto"/>
              </w:rPr>
              <w:t>针对事故</w:t>
            </w:r>
          </w:p>
        </w:tc>
      </w:tr>
      <w:tr w14:paraId="2A8AA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shd w:val="clear" w:color="auto" w:fill="auto"/>
            <w:noWrap/>
            <w:vAlign w:val="center"/>
          </w:tcPr>
          <w:p w14:paraId="7779A280">
            <w:pPr>
              <w:adjustRightInd w:val="0"/>
              <w:snapToGrid w:val="0"/>
              <w:jc w:val="center"/>
              <w:rPr>
                <w:rFonts w:ascii="宋体" w:hAnsi="宋体" w:eastAsia="宋体"/>
                <w:color w:val="auto"/>
              </w:rPr>
            </w:pPr>
            <w:r>
              <w:rPr>
                <w:rFonts w:hint="eastAsia" w:ascii="宋体" w:hAnsi="宋体" w:eastAsia="宋体"/>
                <w:color w:val="auto"/>
              </w:rPr>
              <w:t>1</w:t>
            </w:r>
          </w:p>
        </w:tc>
        <w:tc>
          <w:tcPr>
            <w:tcW w:w="832" w:type="pct"/>
            <w:shd w:val="clear" w:color="auto" w:fill="auto"/>
            <w:vAlign w:val="center"/>
          </w:tcPr>
          <w:p w14:paraId="105C1239">
            <w:pPr>
              <w:adjustRightInd w:val="0"/>
              <w:snapToGrid w:val="0"/>
              <w:jc w:val="center"/>
              <w:rPr>
                <w:rFonts w:ascii="宋体" w:hAnsi="宋体" w:eastAsia="宋体"/>
                <w:color w:val="auto"/>
              </w:rPr>
            </w:pPr>
            <w:r>
              <w:rPr>
                <w:rFonts w:ascii="宋体" w:hAnsi="宋体" w:eastAsia="宋体"/>
                <w:color w:val="auto"/>
              </w:rPr>
              <w:t>井下作业</w:t>
            </w:r>
          </w:p>
        </w:tc>
        <w:tc>
          <w:tcPr>
            <w:tcW w:w="2716" w:type="pct"/>
            <w:shd w:val="clear" w:color="auto" w:fill="auto"/>
            <w:vAlign w:val="center"/>
          </w:tcPr>
          <w:p w14:paraId="3733C2CA">
            <w:pPr>
              <w:adjustRightInd w:val="0"/>
              <w:snapToGrid w:val="0"/>
              <w:jc w:val="center"/>
              <w:rPr>
                <w:rFonts w:ascii="宋体" w:hAnsi="宋体" w:eastAsia="宋体"/>
                <w:color w:val="auto"/>
              </w:rPr>
            </w:pPr>
            <w:r>
              <w:rPr>
                <w:rFonts w:ascii="宋体" w:hAnsi="宋体" w:eastAsia="宋体"/>
                <w:color w:val="auto"/>
              </w:rPr>
              <w:t>胶皮闸门、安全卡瓦、杆自封器、简易井口控制器、自封封井器、半封 封井器\全封封井器、作业废水进站装置、井口溢流油水控制器、储油罐 (罐车）、灭火器、铁锹、镐、完井液、泥浆。</w:t>
            </w:r>
          </w:p>
        </w:tc>
        <w:tc>
          <w:tcPr>
            <w:tcW w:w="1091" w:type="pct"/>
            <w:shd w:val="clear" w:color="auto" w:fill="auto"/>
            <w:vAlign w:val="center"/>
          </w:tcPr>
          <w:p w14:paraId="57C48E0E">
            <w:pPr>
              <w:adjustRightInd w:val="0"/>
              <w:snapToGrid w:val="0"/>
              <w:jc w:val="center"/>
              <w:rPr>
                <w:rFonts w:ascii="宋体" w:hAnsi="宋体" w:eastAsia="宋体"/>
                <w:color w:val="auto"/>
              </w:rPr>
            </w:pPr>
            <w:r>
              <w:rPr>
                <w:rFonts w:ascii="宋体" w:hAnsi="宋体" w:eastAsia="宋体"/>
                <w:color w:val="auto"/>
              </w:rPr>
              <w:t>钻井和井下作业事故</w:t>
            </w:r>
          </w:p>
        </w:tc>
      </w:tr>
      <w:tr w14:paraId="5E0D7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shd w:val="clear" w:color="auto" w:fill="auto"/>
            <w:noWrap/>
            <w:vAlign w:val="center"/>
          </w:tcPr>
          <w:p w14:paraId="23DB4DEC">
            <w:pPr>
              <w:adjustRightInd w:val="0"/>
              <w:snapToGrid w:val="0"/>
              <w:jc w:val="center"/>
              <w:rPr>
                <w:rFonts w:ascii="宋体" w:hAnsi="宋体" w:eastAsia="宋体"/>
                <w:color w:val="auto"/>
              </w:rPr>
            </w:pPr>
            <w:r>
              <w:rPr>
                <w:rFonts w:hint="eastAsia" w:ascii="宋体" w:hAnsi="宋体" w:eastAsia="宋体"/>
                <w:color w:val="auto"/>
              </w:rPr>
              <w:t>2</w:t>
            </w:r>
          </w:p>
        </w:tc>
        <w:tc>
          <w:tcPr>
            <w:tcW w:w="832" w:type="pct"/>
            <w:shd w:val="clear" w:color="auto" w:fill="auto"/>
            <w:vAlign w:val="center"/>
          </w:tcPr>
          <w:p w14:paraId="2F491381">
            <w:pPr>
              <w:adjustRightInd w:val="0"/>
              <w:snapToGrid w:val="0"/>
              <w:jc w:val="center"/>
              <w:rPr>
                <w:rFonts w:ascii="宋体" w:hAnsi="宋体" w:eastAsia="宋体"/>
                <w:color w:val="auto"/>
              </w:rPr>
            </w:pPr>
            <w:r>
              <w:rPr>
                <w:rFonts w:hint="eastAsia" w:ascii="宋体" w:hAnsi="宋体" w:eastAsia="宋体"/>
                <w:color w:val="auto"/>
              </w:rPr>
              <w:t>集输</w:t>
            </w:r>
          </w:p>
        </w:tc>
        <w:tc>
          <w:tcPr>
            <w:tcW w:w="2716" w:type="pct"/>
            <w:shd w:val="clear" w:color="auto" w:fill="auto"/>
            <w:vAlign w:val="center"/>
          </w:tcPr>
          <w:p w14:paraId="217DFB41">
            <w:pPr>
              <w:adjustRightInd w:val="0"/>
              <w:snapToGrid w:val="0"/>
              <w:jc w:val="center"/>
              <w:rPr>
                <w:rFonts w:ascii="宋体" w:hAnsi="宋体" w:eastAsia="宋体"/>
                <w:color w:val="auto"/>
              </w:rPr>
            </w:pPr>
            <w:r>
              <w:rPr>
                <w:rFonts w:ascii="宋体" w:hAnsi="宋体" w:eastAsia="宋体"/>
                <w:color w:val="auto"/>
              </w:rPr>
              <w:t>抽油罐车、电焊车、吊车、推土机、水罐车、防爆工具、防毒面具、防 火帽、清油器、撇油器、毛毡、擦布、收油桶、消防斧、铁锹、防渗 布、回收水池、灭火机、便携式收油罐。</w:t>
            </w:r>
          </w:p>
        </w:tc>
        <w:tc>
          <w:tcPr>
            <w:tcW w:w="1091" w:type="pct"/>
            <w:shd w:val="clear" w:color="auto" w:fill="auto"/>
            <w:vAlign w:val="center"/>
          </w:tcPr>
          <w:p w14:paraId="791CB9B6">
            <w:pPr>
              <w:adjustRightInd w:val="0"/>
              <w:snapToGrid w:val="0"/>
              <w:jc w:val="center"/>
              <w:rPr>
                <w:rFonts w:ascii="宋体" w:hAnsi="宋体" w:eastAsia="宋体"/>
                <w:color w:val="auto"/>
              </w:rPr>
            </w:pPr>
            <w:r>
              <w:rPr>
                <w:rFonts w:hint="eastAsia" w:ascii="宋体" w:hAnsi="宋体" w:eastAsia="宋体"/>
                <w:color w:val="auto"/>
              </w:rPr>
              <w:t>场站事故</w:t>
            </w:r>
          </w:p>
        </w:tc>
      </w:tr>
      <w:tr w14:paraId="2F5FE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1" w:type="pct"/>
            <w:shd w:val="clear" w:color="auto" w:fill="auto"/>
            <w:noWrap/>
            <w:vAlign w:val="center"/>
          </w:tcPr>
          <w:p w14:paraId="45B9B08A">
            <w:pPr>
              <w:adjustRightInd w:val="0"/>
              <w:snapToGrid w:val="0"/>
              <w:jc w:val="center"/>
              <w:rPr>
                <w:rFonts w:ascii="宋体" w:hAnsi="宋体" w:eastAsia="宋体"/>
                <w:color w:val="auto"/>
              </w:rPr>
            </w:pPr>
            <w:r>
              <w:rPr>
                <w:rFonts w:hint="eastAsia" w:ascii="宋体" w:hAnsi="宋体" w:eastAsia="宋体"/>
                <w:color w:val="auto"/>
              </w:rPr>
              <w:t>3</w:t>
            </w:r>
          </w:p>
        </w:tc>
        <w:tc>
          <w:tcPr>
            <w:tcW w:w="832" w:type="pct"/>
            <w:shd w:val="clear" w:color="auto" w:fill="auto"/>
            <w:vAlign w:val="center"/>
          </w:tcPr>
          <w:p w14:paraId="7FB67964">
            <w:pPr>
              <w:adjustRightInd w:val="0"/>
              <w:snapToGrid w:val="0"/>
              <w:jc w:val="center"/>
              <w:rPr>
                <w:rFonts w:ascii="宋体" w:hAnsi="宋体" w:eastAsia="宋体"/>
                <w:color w:val="auto"/>
              </w:rPr>
            </w:pPr>
            <w:r>
              <w:rPr>
                <w:rFonts w:hint="eastAsia" w:ascii="宋体" w:hAnsi="宋体" w:eastAsia="宋体"/>
                <w:color w:val="auto"/>
              </w:rPr>
              <w:t>采油</w:t>
            </w:r>
          </w:p>
        </w:tc>
        <w:tc>
          <w:tcPr>
            <w:tcW w:w="2716" w:type="pct"/>
            <w:shd w:val="clear" w:color="auto" w:fill="auto"/>
            <w:vAlign w:val="center"/>
          </w:tcPr>
          <w:p w14:paraId="165BFAAD">
            <w:pPr>
              <w:adjustRightInd w:val="0"/>
              <w:snapToGrid w:val="0"/>
              <w:jc w:val="center"/>
              <w:rPr>
                <w:rFonts w:ascii="宋体" w:hAnsi="宋体" w:eastAsia="宋体"/>
                <w:color w:val="auto"/>
              </w:rPr>
            </w:pPr>
            <w:r>
              <w:rPr>
                <w:rFonts w:ascii="宋体" w:hAnsi="宋体" w:eastAsia="宋体"/>
                <w:color w:val="auto"/>
              </w:rPr>
              <w:t>抽油罐车、电焊车、吊车、推土机、水罐车、防爆工具、防毒面具、防 火帽、清油器、撇油器、毛毡、擦布、收油桶、消防斧、铁锹、回收水 池、灭火机、收油桶、应急灯、呼吸器、潜水泵、报警器</w:t>
            </w:r>
          </w:p>
        </w:tc>
        <w:tc>
          <w:tcPr>
            <w:tcW w:w="1091" w:type="pct"/>
            <w:shd w:val="clear" w:color="auto" w:fill="auto"/>
            <w:vAlign w:val="center"/>
          </w:tcPr>
          <w:p w14:paraId="61AC7060">
            <w:pPr>
              <w:adjustRightInd w:val="0"/>
              <w:snapToGrid w:val="0"/>
              <w:jc w:val="center"/>
              <w:rPr>
                <w:rFonts w:ascii="宋体" w:hAnsi="宋体" w:eastAsia="宋体"/>
                <w:color w:val="auto"/>
              </w:rPr>
            </w:pPr>
            <w:r>
              <w:rPr>
                <w:rFonts w:hint="eastAsia" w:ascii="宋体" w:hAnsi="宋体" w:eastAsia="宋体"/>
                <w:color w:val="auto"/>
              </w:rPr>
              <w:t>管道泄漏</w:t>
            </w:r>
          </w:p>
        </w:tc>
      </w:tr>
    </w:tbl>
    <w:p w14:paraId="0E67D5E3">
      <w:pPr>
        <w:pStyle w:val="6"/>
        <w:rPr>
          <w:color w:val="auto"/>
        </w:rPr>
      </w:pPr>
      <w:r>
        <w:rPr>
          <w:color w:val="auto"/>
        </w:rPr>
        <w:t>风险调查</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408529F3">
      <w:pPr>
        <w:spacing w:line="440" w:lineRule="exact"/>
        <w:ind w:firstLine="480" w:firstLineChars="200"/>
        <w:rPr>
          <w:rFonts w:ascii="宋体" w:hAnsi="宋体" w:eastAsia="宋体"/>
          <w:color w:val="auto"/>
          <w:sz w:val="24"/>
        </w:rPr>
      </w:pPr>
      <w:r>
        <w:rPr>
          <w:rFonts w:ascii="宋体" w:hAnsi="宋体" w:eastAsia="宋体"/>
          <w:color w:val="auto"/>
          <w:sz w:val="24"/>
        </w:rPr>
        <w:t>本项目施工期涉及的主要危险物质是井场柴油罐，</w:t>
      </w:r>
      <w:r>
        <w:rPr>
          <w:rFonts w:hint="eastAsia" w:ascii="宋体" w:hAnsi="宋体" w:eastAsia="宋体"/>
          <w:color w:val="auto"/>
          <w:sz w:val="24"/>
        </w:rPr>
        <w:t>运营期</w:t>
      </w:r>
      <w:r>
        <w:rPr>
          <w:rFonts w:ascii="宋体" w:hAnsi="宋体" w:eastAsia="宋体"/>
          <w:color w:val="auto"/>
          <w:sz w:val="24"/>
        </w:rPr>
        <w:t>涉及的主要危险物质是石油开采过程中井场、拉油点及集输管线内的原油和伴生气，具有易燃、易爆的性质。物料的危险性分析如下：</w:t>
      </w:r>
    </w:p>
    <w:p w14:paraId="4FA729DD">
      <w:pPr>
        <w:spacing w:line="440" w:lineRule="exact"/>
        <w:ind w:firstLine="480" w:firstLineChars="200"/>
        <w:rPr>
          <w:rFonts w:ascii="宋体" w:hAnsi="宋体" w:eastAsia="宋体"/>
          <w:color w:val="auto"/>
          <w:sz w:val="24"/>
        </w:rPr>
      </w:pPr>
      <w:r>
        <w:rPr>
          <w:rFonts w:ascii="宋体" w:hAnsi="宋体" w:eastAsia="宋体"/>
          <w:color w:val="auto"/>
          <w:sz w:val="24"/>
        </w:rPr>
        <w:t>（1）柴油</w:t>
      </w:r>
    </w:p>
    <w:p w14:paraId="5AFDF447">
      <w:pPr>
        <w:spacing w:line="440" w:lineRule="exact"/>
        <w:ind w:firstLine="480" w:firstLineChars="200"/>
        <w:rPr>
          <w:rFonts w:ascii="宋体" w:hAnsi="宋体" w:eastAsia="宋体"/>
          <w:color w:val="auto"/>
          <w:sz w:val="24"/>
        </w:rPr>
      </w:pPr>
      <w:r>
        <w:rPr>
          <w:rFonts w:ascii="宋体" w:hAnsi="宋体" w:eastAsia="宋体"/>
          <w:color w:val="auto"/>
          <w:sz w:val="24"/>
        </w:rPr>
        <w:t>柴油属易燃易爆物品，火灾危险性为乙类，遇明火、高热或与氧化剂接触，有引起燃烧爆炸的危险；若遇高热，容器内压增大，有开裂和爆炸的危险。柴油理化性质等见表5.8-3。</w:t>
      </w:r>
    </w:p>
    <w:p w14:paraId="5B911E55">
      <w:pPr>
        <w:pStyle w:val="276"/>
        <w:widowControl w:val="0"/>
        <w:spacing w:line="440" w:lineRule="exact"/>
        <w:ind w:firstLine="0" w:firstLineChars="0"/>
        <w:jc w:val="center"/>
        <w:rPr>
          <w:color w:val="auto"/>
          <w:kern w:val="2"/>
        </w:rPr>
      </w:pPr>
      <w:r>
        <w:rPr>
          <w:color w:val="auto"/>
          <w:kern w:val="2"/>
        </w:rPr>
        <w:t>表5.8-3 柴油理化性质、燃烧爆炸特性和毒理性质一览表</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3"/>
        <w:gridCol w:w="2164"/>
        <w:gridCol w:w="1876"/>
        <w:gridCol w:w="4094"/>
      </w:tblGrid>
      <w:tr w14:paraId="57F3E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restart"/>
            <w:shd w:val="clear" w:color="auto" w:fill="auto"/>
            <w:vAlign w:val="center"/>
          </w:tcPr>
          <w:p w14:paraId="69459B36">
            <w:pPr>
              <w:jc w:val="center"/>
              <w:rPr>
                <w:rFonts w:ascii="宋体" w:hAnsi="宋体" w:eastAsia="宋体" w:cs="Times New Roman"/>
                <w:color w:val="auto"/>
              </w:rPr>
            </w:pPr>
            <w:r>
              <w:rPr>
                <w:rFonts w:ascii="宋体" w:hAnsi="宋体" w:eastAsia="宋体" w:cs="Times New Roman"/>
                <w:color w:val="auto"/>
              </w:rPr>
              <w:t>标识</w:t>
            </w:r>
          </w:p>
        </w:tc>
        <w:tc>
          <w:tcPr>
            <w:tcW w:w="2175" w:type="pct"/>
            <w:gridSpan w:val="2"/>
            <w:shd w:val="clear" w:color="auto" w:fill="auto"/>
            <w:vAlign w:val="center"/>
          </w:tcPr>
          <w:p w14:paraId="2E605BE2">
            <w:pPr>
              <w:jc w:val="center"/>
              <w:rPr>
                <w:rFonts w:ascii="宋体" w:hAnsi="宋体" w:eastAsia="宋体" w:cs="Times New Roman"/>
                <w:color w:val="auto"/>
              </w:rPr>
            </w:pPr>
            <w:r>
              <w:rPr>
                <w:rFonts w:ascii="宋体" w:hAnsi="宋体" w:eastAsia="宋体" w:cs="Times New Roman"/>
                <w:color w:val="auto"/>
              </w:rPr>
              <w:t>中文名：柴油</w:t>
            </w:r>
          </w:p>
        </w:tc>
        <w:tc>
          <w:tcPr>
            <w:tcW w:w="2204" w:type="pct"/>
            <w:shd w:val="clear" w:color="auto" w:fill="auto"/>
            <w:vAlign w:val="center"/>
          </w:tcPr>
          <w:p w14:paraId="41B1AAD8">
            <w:pPr>
              <w:autoSpaceDE w:val="0"/>
              <w:autoSpaceDN w:val="0"/>
              <w:adjustRightInd w:val="0"/>
              <w:snapToGrid w:val="0"/>
              <w:jc w:val="center"/>
              <w:rPr>
                <w:rFonts w:ascii="宋体" w:hAnsi="宋体" w:eastAsia="宋体" w:cs="Times New Roman"/>
                <w:color w:val="auto"/>
              </w:rPr>
            </w:pPr>
            <w:r>
              <w:rPr>
                <w:rFonts w:ascii="宋体" w:hAnsi="宋体" w:eastAsia="宋体" w:cs="Times New Roman"/>
                <w:color w:val="auto"/>
              </w:rPr>
              <w:t>英文名：diesel oil</w:t>
            </w:r>
          </w:p>
        </w:tc>
      </w:tr>
      <w:tr w14:paraId="180C1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43F39019">
            <w:pPr>
              <w:jc w:val="center"/>
              <w:rPr>
                <w:rFonts w:ascii="宋体" w:hAnsi="宋体" w:eastAsia="宋体" w:cs="Times New Roman"/>
                <w:color w:val="auto"/>
              </w:rPr>
            </w:pPr>
          </w:p>
        </w:tc>
        <w:tc>
          <w:tcPr>
            <w:tcW w:w="2175" w:type="pct"/>
            <w:gridSpan w:val="2"/>
            <w:shd w:val="clear" w:color="auto" w:fill="auto"/>
            <w:vAlign w:val="center"/>
          </w:tcPr>
          <w:p w14:paraId="71EBEA44">
            <w:pPr>
              <w:jc w:val="center"/>
              <w:rPr>
                <w:rFonts w:ascii="宋体" w:hAnsi="宋体" w:eastAsia="宋体" w:cs="Times New Roman"/>
                <w:color w:val="auto"/>
              </w:rPr>
            </w:pPr>
            <w:r>
              <w:rPr>
                <w:rFonts w:ascii="宋体" w:hAnsi="宋体" w:eastAsia="宋体" w:cs="Times New Roman"/>
                <w:color w:val="auto"/>
              </w:rPr>
              <w:t>分子式：-</w:t>
            </w:r>
          </w:p>
        </w:tc>
        <w:tc>
          <w:tcPr>
            <w:tcW w:w="2204" w:type="pct"/>
            <w:shd w:val="clear" w:color="auto" w:fill="auto"/>
            <w:vAlign w:val="center"/>
          </w:tcPr>
          <w:p w14:paraId="02873515">
            <w:pPr>
              <w:jc w:val="center"/>
              <w:rPr>
                <w:rFonts w:ascii="宋体" w:hAnsi="宋体" w:eastAsia="宋体" w:cs="Times New Roman"/>
                <w:color w:val="auto"/>
              </w:rPr>
            </w:pPr>
            <w:r>
              <w:rPr>
                <w:rFonts w:ascii="宋体" w:hAnsi="宋体" w:eastAsia="宋体" w:cs="Times New Roman"/>
                <w:color w:val="auto"/>
              </w:rPr>
              <w:t>分子量：-</w:t>
            </w:r>
          </w:p>
        </w:tc>
      </w:tr>
      <w:tr w14:paraId="7CC97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23A2CBDD">
            <w:pPr>
              <w:jc w:val="center"/>
              <w:rPr>
                <w:rFonts w:ascii="宋体" w:hAnsi="宋体" w:eastAsia="宋体" w:cs="Times New Roman"/>
                <w:color w:val="auto"/>
              </w:rPr>
            </w:pPr>
          </w:p>
        </w:tc>
        <w:tc>
          <w:tcPr>
            <w:tcW w:w="1165" w:type="pct"/>
            <w:shd w:val="clear" w:color="auto" w:fill="auto"/>
            <w:vAlign w:val="center"/>
          </w:tcPr>
          <w:p w14:paraId="3773A704">
            <w:pPr>
              <w:jc w:val="center"/>
              <w:rPr>
                <w:rFonts w:ascii="宋体" w:hAnsi="宋体" w:eastAsia="宋体" w:cs="Times New Roman"/>
                <w:color w:val="auto"/>
              </w:rPr>
            </w:pPr>
            <w:r>
              <w:rPr>
                <w:rFonts w:ascii="宋体" w:hAnsi="宋体" w:eastAsia="宋体" w:cs="Times New Roman"/>
                <w:color w:val="auto"/>
              </w:rPr>
              <w:t>危规号：32501</w:t>
            </w:r>
          </w:p>
        </w:tc>
        <w:tc>
          <w:tcPr>
            <w:tcW w:w="1010" w:type="pct"/>
            <w:shd w:val="clear" w:color="auto" w:fill="auto"/>
            <w:vAlign w:val="center"/>
          </w:tcPr>
          <w:p w14:paraId="6ADB141A">
            <w:pPr>
              <w:jc w:val="center"/>
              <w:rPr>
                <w:rFonts w:ascii="宋体" w:hAnsi="宋体" w:eastAsia="宋体" w:cs="Times New Roman"/>
                <w:color w:val="auto"/>
              </w:rPr>
            </w:pPr>
            <w:r>
              <w:rPr>
                <w:rFonts w:ascii="宋体" w:hAnsi="宋体" w:eastAsia="宋体" w:cs="Times New Roman"/>
                <w:color w:val="auto"/>
              </w:rPr>
              <w:t>UN编号：1202</w:t>
            </w:r>
          </w:p>
        </w:tc>
        <w:tc>
          <w:tcPr>
            <w:tcW w:w="2204" w:type="pct"/>
            <w:shd w:val="clear" w:color="auto" w:fill="auto"/>
            <w:vAlign w:val="center"/>
          </w:tcPr>
          <w:p w14:paraId="719F0681">
            <w:pPr>
              <w:jc w:val="center"/>
              <w:rPr>
                <w:rFonts w:ascii="宋体" w:hAnsi="宋体" w:eastAsia="宋体" w:cs="Times New Roman"/>
                <w:color w:val="auto"/>
              </w:rPr>
            </w:pPr>
            <w:r>
              <w:rPr>
                <w:rFonts w:ascii="宋体" w:hAnsi="宋体" w:eastAsia="宋体" w:cs="Times New Roman"/>
                <w:color w:val="auto"/>
              </w:rPr>
              <w:t>CAS号：-</w:t>
            </w:r>
          </w:p>
        </w:tc>
      </w:tr>
      <w:tr w14:paraId="409B4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restart"/>
            <w:shd w:val="clear" w:color="auto" w:fill="auto"/>
            <w:vAlign w:val="center"/>
          </w:tcPr>
          <w:p w14:paraId="576B8F4E">
            <w:pPr>
              <w:jc w:val="center"/>
              <w:rPr>
                <w:rFonts w:ascii="宋体" w:hAnsi="宋体" w:eastAsia="宋体" w:cs="Times New Roman"/>
                <w:color w:val="auto"/>
              </w:rPr>
            </w:pPr>
            <w:r>
              <w:rPr>
                <w:rFonts w:ascii="宋体" w:hAnsi="宋体" w:eastAsia="宋体" w:cs="Times New Roman"/>
                <w:color w:val="auto"/>
              </w:rPr>
              <w:t>理化特性</w:t>
            </w:r>
          </w:p>
        </w:tc>
        <w:tc>
          <w:tcPr>
            <w:tcW w:w="2175" w:type="pct"/>
            <w:gridSpan w:val="2"/>
            <w:shd w:val="clear" w:color="auto" w:fill="auto"/>
            <w:vAlign w:val="center"/>
          </w:tcPr>
          <w:p w14:paraId="54658079">
            <w:pPr>
              <w:jc w:val="center"/>
              <w:rPr>
                <w:rFonts w:ascii="宋体" w:hAnsi="宋体" w:eastAsia="宋体" w:cs="Times New Roman"/>
                <w:color w:val="auto"/>
              </w:rPr>
            </w:pPr>
            <w:r>
              <w:rPr>
                <w:rFonts w:ascii="宋体" w:hAnsi="宋体" w:eastAsia="宋体" w:cs="Times New Roman"/>
                <w:color w:val="auto"/>
              </w:rPr>
              <w:t>外观及性状：有色透明挥发、易燃液体</w:t>
            </w:r>
          </w:p>
        </w:tc>
        <w:tc>
          <w:tcPr>
            <w:tcW w:w="2204" w:type="pct"/>
            <w:shd w:val="clear" w:color="auto" w:fill="auto"/>
            <w:vAlign w:val="center"/>
          </w:tcPr>
          <w:p w14:paraId="54FE7354">
            <w:pPr>
              <w:jc w:val="center"/>
              <w:rPr>
                <w:rFonts w:ascii="宋体" w:hAnsi="宋体" w:eastAsia="宋体" w:cs="Times New Roman"/>
                <w:color w:val="auto"/>
              </w:rPr>
            </w:pPr>
            <w:r>
              <w:rPr>
                <w:rFonts w:ascii="宋体" w:hAnsi="宋体" w:eastAsia="宋体" w:cs="Times New Roman"/>
                <w:color w:val="auto"/>
              </w:rPr>
              <w:t>溶解性：不溶于水，溶于醇等溶剂。</w:t>
            </w:r>
          </w:p>
        </w:tc>
      </w:tr>
      <w:tr w14:paraId="6B62D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1F289E67">
            <w:pPr>
              <w:jc w:val="center"/>
              <w:rPr>
                <w:rFonts w:ascii="宋体" w:hAnsi="宋体" w:eastAsia="宋体" w:cs="Times New Roman"/>
                <w:color w:val="auto"/>
              </w:rPr>
            </w:pPr>
          </w:p>
        </w:tc>
        <w:tc>
          <w:tcPr>
            <w:tcW w:w="2175" w:type="pct"/>
            <w:gridSpan w:val="2"/>
            <w:shd w:val="clear" w:color="auto" w:fill="auto"/>
            <w:vAlign w:val="center"/>
          </w:tcPr>
          <w:p w14:paraId="74519FAB">
            <w:pPr>
              <w:jc w:val="center"/>
              <w:rPr>
                <w:rFonts w:ascii="宋体" w:hAnsi="宋体" w:eastAsia="宋体" w:cs="Times New Roman"/>
                <w:color w:val="auto"/>
              </w:rPr>
            </w:pPr>
            <w:r>
              <w:rPr>
                <w:rFonts w:ascii="宋体" w:hAnsi="宋体" w:eastAsia="宋体" w:cs="Times New Roman"/>
                <w:color w:val="auto"/>
              </w:rPr>
              <w:t>熔点（℃）：-18</w:t>
            </w:r>
          </w:p>
        </w:tc>
        <w:tc>
          <w:tcPr>
            <w:tcW w:w="2204" w:type="pct"/>
            <w:shd w:val="clear" w:color="auto" w:fill="auto"/>
            <w:vAlign w:val="center"/>
          </w:tcPr>
          <w:p w14:paraId="7A67638C">
            <w:pPr>
              <w:jc w:val="center"/>
              <w:rPr>
                <w:rFonts w:ascii="宋体" w:hAnsi="宋体" w:eastAsia="宋体" w:cs="Times New Roman"/>
                <w:color w:val="auto"/>
              </w:rPr>
            </w:pPr>
            <w:r>
              <w:rPr>
                <w:rFonts w:ascii="宋体" w:hAnsi="宋体" w:eastAsia="宋体" w:cs="Times New Roman"/>
                <w:color w:val="auto"/>
              </w:rPr>
              <w:t>沸点（℃）：282～338</w:t>
            </w:r>
          </w:p>
        </w:tc>
      </w:tr>
      <w:tr w14:paraId="09750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4A1BCD88">
            <w:pPr>
              <w:jc w:val="center"/>
              <w:rPr>
                <w:rFonts w:ascii="宋体" w:hAnsi="宋体" w:eastAsia="宋体" w:cs="Times New Roman"/>
                <w:color w:val="auto"/>
              </w:rPr>
            </w:pPr>
          </w:p>
        </w:tc>
        <w:tc>
          <w:tcPr>
            <w:tcW w:w="2175" w:type="pct"/>
            <w:gridSpan w:val="2"/>
            <w:shd w:val="clear" w:color="auto" w:fill="auto"/>
            <w:vAlign w:val="center"/>
          </w:tcPr>
          <w:p w14:paraId="27A8A88F">
            <w:pPr>
              <w:jc w:val="center"/>
              <w:rPr>
                <w:rFonts w:ascii="宋体" w:hAnsi="宋体" w:eastAsia="宋体" w:cs="Times New Roman"/>
                <w:color w:val="auto"/>
              </w:rPr>
            </w:pPr>
            <w:r>
              <w:rPr>
                <w:rFonts w:ascii="宋体" w:hAnsi="宋体" w:eastAsia="宋体" w:cs="Times New Roman"/>
                <w:color w:val="auto"/>
              </w:rPr>
              <w:t>相对密度（水=1）：0.70～0.75</w:t>
            </w:r>
          </w:p>
        </w:tc>
        <w:tc>
          <w:tcPr>
            <w:tcW w:w="2204" w:type="pct"/>
            <w:shd w:val="clear" w:color="auto" w:fill="auto"/>
            <w:vAlign w:val="center"/>
          </w:tcPr>
          <w:p w14:paraId="0C573ABD">
            <w:pPr>
              <w:jc w:val="center"/>
              <w:rPr>
                <w:rFonts w:ascii="宋体" w:hAnsi="宋体" w:eastAsia="宋体" w:cs="Times New Roman"/>
                <w:color w:val="auto"/>
              </w:rPr>
            </w:pPr>
            <w:r>
              <w:rPr>
                <w:rFonts w:ascii="宋体" w:hAnsi="宋体" w:eastAsia="宋体" w:cs="Times New Roman"/>
                <w:color w:val="auto"/>
              </w:rPr>
              <w:t>相对密度（空气=1）：1.59～4</w:t>
            </w:r>
          </w:p>
        </w:tc>
      </w:tr>
      <w:tr w14:paraId="75D5B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restart"/>
            <w:shd w:val="clear" w:color="auto" w:fill="auto"/>
            <w:vAlign w:val="center"/>
          </w:tcPr>
          <w:p w14:paraId="6AB61932">
            <w:pPr>
              <w:jc w:val="center"/>
              <w:rPr>
                <w:rFonts w:ascii="宋体" w:hAnsi="宋体" w:eastAsia="宋体" w:cs="Times New Roman"/>
                <w:color w:val="auto"/>
              </w:rPr>
            </w:pPr>
            <w:r>
              <w:rPr>
                <w:rFonts w:ascii="宋体" w:hAnsi="宋体" w:eastAsia="宋体" w:cs="Times New Roman"/>
                <w:color w:val="auto"/>
              </w:rPr>
              <w:t>理化特性</w:t>
            </w:r>
          </w:p>
        </w:tc>
        <w:tc>
          <w:tcPr>
            <w:tcW w:w="2175" w:type="pct"/>
            <w:gridSpan w:val="2"/>
            <w:shd w:val="clear" w:color="auto" w:fill="auto"/>
            <w:vAlign w:val="center"/>
          </w:tcPr>
          <w:p w14:paraId="66F19191">
            <w:pPr>
              <w:jc w:val="center"/>
              <w:rPr>
                <w:rFonts w:ascii="宋体" w:hAnsi="宋体" w:eastAsia="宋体" w:cs="Times New Roman"/>
                <w:color w:val="auto"/>
              </w:rPr>
            </w:pPr>
            <w:r>
              <w:rPr>
                <w:rFonts w:ascii="宋体" w:hAnsi="宋体" w:eastAsia="宋体" w:cs="Times New Roman"/>
                <w:color w:val="auto"/>
              </w:rPr>
              <w:t>饱和蒸气压（kPa）：无资料</w:t>
            </w:r>
          </w:p>
        </w:tc>
        <w:tc>
          <w:tcPr>
            <w:tcW w:w="2204" w:type="pct"/>
            <w:shd w:val="clear" w:color="auto" w:fill="auto"/>
            <w:vAlign w:val="center"/>
          </w:tcPr>
          <w:p w14:paraId="5C6A51EC">
            <w:pPr>
              <w:jc w:val="center"/>
              <w:rPr>
                <w:rFonts w:ascii="宋体" w:hAnsi="宋体" w:eastAsia="宋体" w:cs="Times New Roman"/>
                <w:color w:val="auto"/>
              </w:rPr>
            </w:pPr>
            <w:r>
              <w:rPr>
                <w:rFonts w:ascii="宋体" w:hAnsi="宋体" w:eastAsia="宋体" w:cs="Times New Roman"/>
                <w:color w:val="auto"/>
              </w:rPr>
              <w:t>禁忌物：强氧化剂</w:t>
            </w:r>
          </w:p>
        </w:tc>
      </w:tr>
      <w:tr w14:paraId="6F0AC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23590792">
            <w:pPr>
              <w:jc w:val="center"/>
              <w:rPr>
                <w:rFonts w:ascii="宋体" w:hAnsi="宋体" w:eastAsia="宋体" w:cs="Times New Roman"/>
                <w:color w:val="auto"/>
              </w:rPr>
            </w:pPr>
          </w:p>
        </w:tc>
        <w:tc>
          <w:tcPr>
            <w:tcW w:w="2175" w:type="pct"/>
            <w:gridSpan w:val="2"/>
            <w:shd w:val="clear" w:color="auto" w:fill="auto"/>
            <w:vAlign w:val="center"/>
          </w:tcPr>
          <w:p w14:paraId="29843F96">
            <w:pPr>
              <w:jc w:val="center"/>
              <w:rPr>
                <w:rFonts w:ascii="宋体" w:hAnsi="宋体" w:eastAsia="宋体" w:cs="Times New Roman"/>
                <w:color w:val="auto"/>
              </w:rPr>
            </w:pPr>
            <w:r>
              <w:rPr>
                <w:rFonts w:ascii="宋体" w:hAnsi="宋体" w:eastAsia="宋体" w:cs="Times New Roman"/>
                <w:color w:val="auto"/>
              </w:rPr>
              <w:t>临界压力（MPa）：无资料</w:t>
            </w:r>
          </w:p>
        </w:tc>
        <w:tc>
          <w:tcPr>
            <w:tcW w:w="2204" w:type="pct"/>
            <w:shd w:val="clear" w:color="auto" w:fill="auto"/>
            <w:vAlign w:val="center"/>
          </w:tcPr>
          <w:p w14:paraId="51882546">
            <w:pPr>
              <w:jc w:val="center"/>
              <w:rPr>
                <w:rFonts w:ascii="宋体" w:hAnsi="宋体" w:eastAsia="宋体" w:cs="Times New Roman"/>
                <w:color w:val="auto"/>
              </w:rPr>
            </w:pPr>
            <w:r>
              <w:rPr>
                <w:rFonts w:ascii="宋体" w:hAnsi="宋体" w:eastAsia="宋体" w:cs="Times New Roman"/>
                <w:color w:val="auto"/>
              </w:rPr>
              <w:t>临界温度（℃）：无资料</w:t>
            </w:r>
          </w:p>
        </w:tc>
      </w:tr>
      <w:tr w14:paraId="699A9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0BC30FF7">
            <w:pPr>
              <w:jc w:val="center"/>
              <w:rPr>
                <w:rFonts w:ascii="宋体" w:hAnsi="宋体" w:eastAsia="宋体" w:cs="Times New Roman"/>
                <w:color w:val="auto"/>
              </w:rPr>
            </w:pPr>
          </w:p>
        </w:tc>
        <w:tc>
          <w:tcPr>
            <w:tcW w:w="2175" w:type="pct"/>
            <w:gridSpan w:val="2"/>
            <w:shd w:val="clear" w:color="auto" w:fill="auto"/>
            <w:vAlign w:val="center"/>
          </w:tcPr>
          <w:p w14:paraId="55483765">
            <w:pPr>
              <w:jc w:val="center"/>
              <w:rPr>
                <w:rFonts w:ascii="宋体" w:hAnsi="宋体" w:eastAsia="宋体" w:cs="Times New Roman"/>
                <w:color w:val="auto"/>
              </w:rPr>
            </w:pPr>
            <w:r>
              <w:rPr>
                <w:rFonts w:ascii="宋体" w:hAnsi="宋体" w:eastAsia="宋体" w:cs="Times New Roman"/>
                <w:color w:val="auto"/>
              </w:rPr>
              <w:t>稳定性：常温常压下稳定</w:t>
            </w:r>
          </w:p>
        </w:tc>
        <w:tc>
          <w:tcPr>
            <w:tcW w:w="2204" w:type="pct"/>
            <w:shd w:val="clear" w:color="auto" w:fill="auto"/>
            <w:vAlign w:val="center"/>
          </w:tcPr>
          <w:p w14:paraId="4E81EE2A">
            <w:pPr>
              <w:jc w:val="center"/>
              <w:rPr>
                <w:rFonts w:ascii="宋体" w:hAnsi="宋体" w:eastAsia="宋体" w:cs="Times New Roman"/>
                <w:color w:val="auto"/>
              </w:rPr>
            </w:pPr>
            <w:r>
              <w:rPr>
                <w:rFonts w:ascii="宋体" w:hAnsi="宋体" w:eastAsia="宋体" w:cs="Times New Roman"/>
                <w:color w:val="auto"/>
              </w:rPr>
              <w:t>聚合危害：不聚合</w:t>
            </w:r>
          </w:p>
        </w:tc>
      </w:tr>
      <w:tr w14:paraId="69FA3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restart"/>
            <w:shd w:val="clear" w:color="auto" w:fill="auto"/>
            <w:vAlign w:val="center"/>
          </w:tcPr>
          <w:p w14:paraId="6BB59A52">
            <w:pPr>
              <w:jc w:val="center"/>
              <w:rPr>
                <w:rFonts w:ascii="宋体" w:hAnsi="宋体" w:eastAsia="宋体" w:cs="Times New Roman"/>
                <w:color w:val="auto"/>
              </w:rPr>
            </w:pPr>
            <w:r>
              <w:rPr>
                <w:rFonts w:ascii="宋体" w:hAnsi="宋体" w:eastAsia="宋体" w:cs="Times New Roman"/>
                <w:color w:val="auto"/>
              </w:rPr>
              <w:t>危险特性</w:t>
            </w:r>
          </w:p>
        </w:tc>
        <w:tc>
          <w:tcPr>
            <w:tcW w:w="2175" w:type="pct"/>
            <w:gridSpan w:val="2"/>
            <w:shd w:val="clear" w:color="auto" w:fill="auto"/>
            <w:vAlign w:val="center"/>
          </w:tcPr>
          <w:p w14:paraId="30EE27E9">
            <w:pPr>
              <w:jc w:val="center"/>
              <w:rPr>
                <w:rFonts w:ascii="宋体" w:hAnsi="宋体" w:eastAsia="宋体" w:cs="Times New Roman"/>
                <w:color w:val="auto"/>
              </w:rPr>
            </w:pPr>
            <w:r>
              <w:rPr>
                <w:rFonts w:ascii="宋体" w:hAnsi="宋体" w:eastAsia="宋体" w:cs="Times New Roman"/>
                <w:color w:val="auto"/>
              </w:rPr>
              <w:t>危险性类别：易燃液体类别3</w:t>
            </w:r>
          </w:p>
        </w:tc>
        <w:tc>
          <w:tcPr>
            <w:tcW w:w="2204" w:type="pct"/>
            <w:shd w:val="clear" w:color="auto" w:fill="auto"/>
            <w:vAlign w:val="center"/>
          </w:tcPr>
          <w:p w14:paraId="3B7DF3AE">
            <w:pPr>
              <w:jc w:val="center"/>
              <w:rPr>
                <w:rFonts w:ascii="宋体" w:hAnsi="宋体" w:eastAsia="宋体" w:cs="Times New Roman"/>
                <w:color w:val="auto"/>
              </w:rPr>
            </w:pPr>
            <w:r>
              <w:rPr>
                <w:rFonts w:ascii="宋体" w:hAnsi="宋体" w:eastAsia="宋体" w:cs="Times New Roman"/>
                <w:color w:val="auto"/>
              </w:rPr>
              <w:t>燃烧性：易燃液体，</w:t>
            </w:r>
          </w:p>
        </w:tc>
      </w:tr>
      <w:tr w14:paraId="05785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3E6F4B1C">
            <w:pPr>
              <w:jc w:val="center"/>
              <w:rPr>
                <w:rFonts w:ascii="宋体" w:hAnsi="宋体" w:eastAsia="宋体" w:cs="Times New Roman"/>
                <w:color w:val="auto"/>
              </w:rPr>
            </w:pPr>
          </w:p>
        </w:tc>
        <w:tc>
          <w:tcPr>
            <w:tcW w:w="2175" w:type="pct"/>
            <w:gridSpan w:val="2"/>
            <w:shd w:val="clear" w:color="auto" w:fill="auto"/>
            <w:vAlign w:val="center"/>
          </w:tcPr>
          <w:p w14:paraId="4EA15460">
            <w:pPr>
              <w:jc w:val="center"/>
              <w:rPr>
                <w:rFonts w:ascii="宋体" w:hAnsi="宋体" w:eastAsia="宋体" w:cs="Times New Roman"/>
                <w:color w:val="auto"/>
              </w:rPr>
            </w:pPr>
            <w:r>
              <w:rPr>
                <w:rFonts w:ascii="宋体" w:hAnsi="宋体" w:eastAsia="宋体" w:cs="Times New Roman"/>
                <w:color w:val="auto"/>
              </w:rPr>
              <w:t>引燃温度（℃）：257</w:t>
            </w:r>
          </w:p>
        </w:tc>
        <w:tc>
          <w:tcPr>
            <w:tcW w:w="2204" w:type="pct"/>
            <w:shd w:val="clear" w:color="auto" w:fill="auto"/>
            <w:vAlign w:val="center"/>
          </w:tcPr>
          <w:p w14:paraId="1E2ED399">
            <w:pPr>
              <w:jc w:val="center"/>
              <w:rPr>
                <w:rFonts w:ascii="宋体" w:hAnsi="宋体" w:eastAsia="宋体" w:cs="Times New Roman"/>
                <w:color w:val="auto"/>
              </w:rPr>
            </w:pPr>
            <w:r>
              <w:rPr>
                <w:rFonts w:ascii="宋体" w:hAnsi="宋体" w:eastAsia="宋体" w:cs="Times New Roman"/>
                <w:color w:val="auto"/>
              </w:rPr>
              <w:t>闪点（℃）：38</w:t>
            </w:r>
          </w:p>
        </w:tc>
      </w:tr>
      <w:tr w14:paraId="5C369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75AA3400">
            <w:pPr>
              <w:jc w:val="center"/>
              <w:rPr>
                <w:rFonts w:ascii="宋体" w:hAnsi="宋体" w:eastAsia="宋体" w:cs="Times New Roman"/>
                <w:color w:val="auto"/>
              </w:rPr>
            </w:pPr>
          </w:p>
        </w:tc>
        <w:tc>
          <w:tcPr>
            <w:tcW w:w="2175" w:type="pct"/>
            <w:gridSpan w:val="2"/>
            <w:shd w:val="clear" w:color="auto" w:fill="auto"/>
            <w:vAlign w:val="center"/>
          </w:tcPr>
          <w:p w14:paraId="1D99EA46">
            <w:pPr>
              <w:jc w:val="center"/>
              <w:rPr>
                <w:rFonts w:ascii="宋体" w:hAnsi="宋体" w:eastAsia="宋体" w:cs="Times New Roman"/>
                <w:color w:val="auto"/>
              </w:rPr>
            </w:pPr>
            <w:r>
              <w:rPr>
                <w:rFonts w:ascii="宋体" w:hAnsi="宋体" w:eastAsia="宋体" w:cs="Times New Roman"/>
                <w:color w:val="auto"/>
              </w:rPr>
              <w:t>爆炸上限（v%）：6.5</w:t>
            </w:r>
          </w:p>
        </w:tc>
        <w:tc>
          <w:tcPr>
            <w:tcW w:w="2204" w:type="pct"/>
            <w:shd w:val="clear" w:color="auto" w:fill="auto"/>
            <w:vAlign w:val="center"/>
          </w:tcPr>
          <w:p w14:paraId="34BD4617">
            <w:pPr>
              <w:jc w:val="center"/>
              <w:rPr>
                <w:rFonts w:ascii="宋体" w:hAnsi="宋体" w:eastAsia="宋体" w:cs="Times New Roman"/>
                <w:color w:val="auto"/>
              </w:rPr>
            </w:pPr>
            <w:r>
              <w:rPr>
                <w:rFonts w:ascii="宋体" w:hAnsi="宋体" w:eastAsia="宋体" w:cs="Times New Roman"/>
                <w:color w:val="auto"/>
              </w:rPr>
              <w:t>爆炸下限（v%）：0.6</w:t>
            </w:r>
          </w:p>
        </w:tc>
      </w:tr>
      <w:tr w14:paraId="09D95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3678B10A">
            <w:pPr>
              <w:jc w:val="center"/>
              <w:rPr>
                <w:rFonts w:ascii="宋体" w:hAnsi="宋体" w:eastAsia="宋体" w:cs="Times New Roman"/>
                <w:color w:val="auto"/>
              </w:rPr>
            </w:pPr>
          </w:p>
        </w:tc>
        <w:tc>
          <w:tcPr>
            <w:tcW w:w="2175" w:type="pct"/>
            <w:gridSpan w:val="2"/>
            <w:shd w:val="clear" w:color="auto" w:fill="auto"/>
            <w:vAlign w:val="center"/>
          </w:tcPr>
          <w:p w14:paraId="4F2CAE0A">
            <w:pPr>
              <w:jc w:val="center"/>
              <w:rPr>
                <w:rFonts w:ascii="宋体" w:hAnsi="宋体" w:eastAsia="宋体" w:cs="Times New Roman"/>
                <w:color w:val="auto"/>
              </w:rPr>
            </w:pPr>
            <w:r>
              <w:rPr>
                <w:rFonts w:ascii="宋体" w:hAnsi="宋体" w:eastAsia="宋体" w:cs="Times New Roman"/>
                <w:color w:val="auto"/>
              </w:rPr>
              <w:t>燃烧热（kJ/L）：30000～46000</w:t>
            </w:r>
          </w:p>
        </w:tc>
        <w:tc>
          <w:tcPr>
            <w:tcW w:w="2204" w:type="pct"/>
            <w:shd w:val="clear" w:color="auto" w:fill="auto"/>
            <w:vAlign w:val="center"/>
          </w:tcPr>
          <w:p w14:paraId="001D9492">
            <w:pPr>
              <w:jc w:val="center"/>
              <w:rPr>
                <w:rFonts w:ascii="宋体" w:hAnsi="宋体" w:eastAsia="宋体" w:cs="Times New Roman"/>
                <w:color w:val="auto"/>
              </w:rPr>
            </w:pPr>
            <w:r>
              <w:rPr>
                <w:rFonts w:ascii="宋体" w:hAnsi="宋体" w:eastAsia="宋体" w:cs="Times New Roman"/>
                <w:color w:val="auto"/>
              </w:rPr>
              <w:t>火灾危险类别：乙B</w:t>
            </w:r>
          </w:p>
        </w:tc>
      </w:tr>
      <w:tr w14:paraId="65B0D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72F1A871">
            <w:pPr>
              <w:jc w:val="center"/>
              <w:rPr>
                <w:rFonts w:ascii="宋体" w:hAnsi="宋体" w:eastAsia="宋体" w:cs="Times New Roman"/>
                <w:color w:val="auto"/>
              </w:rPr>
            </w:pPr>
          </w:p>
        </w:tc>
        <w:tc>
          <w:tcPr>
            <w:tcW w:w="4379" w:type="pct"/>
            <w:gridSpan w:val="3"/>
            <w:shd w:val="clear" w:color="auto" w:fill="auto"/>
            <w:vAlign w:val="center"/>
          </w:tcPr>
          <w:p w14:paraId="3BD7ED21">
            <w:pPr>
              <w:jc w:val="center"/>
              <w:rPr>
                <w:rFonts w:ascii="宋体" w:hAnsi="宋体" w:eastAsia="宋体" w:cs="Times New Roman"/>
                <w:color w:val="auto"/>
              </w:rPr>
            </w:pPr>
            <w:r>
              <w:rPr>
                <w:rFonts w:ascii="宋体" w:hAnsi="宋体" w:eastAsia="宋体" w:cs="Times New Roman"/>
                <w:color w:val="auto"/>
              </w:rPr>
              <w:t>燃烧（分解）产物：CO、CO</w:t>
            </w:r>
            <w:r>
              <w:rPr>
                <w:rFonts w:ascii="宋体" w:hAnsi="宋体" w:eastAsia="宋体" w:cs="Times New Roman"/>
                <w:color w:val="auto"/>
                <w:vertAlign w:val="subscript"/>
              </w:rPr>
              <w:t>2</w:t>
            </w:r>
            <w:r>
              <w:rPr>
                <w:rFonts w:ascii="宋体" w:hAnsi="宋体" w:eastAsia="宋体" w:cs="Times New Roman"/>
                <w:color w:val="auto"/>
              </w:rPr>
              <w:t>、水</w:t>
            </w:r>
          </w:p>
        </w:tc>
      </w:tr>
      <w:tr w14:paraId="3676A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4D89B339">
            <w:pPr>
              <w:jc w:val="center"/>
              <w:rPr>
                <w:rFonts w:ascii="宋体" w:hAnsi="宋体" w:eastAsia="宋体" w:cs="Times New Roman"/>
                <w:color w:val="auto"/>
              </w:rPr>
            </w:pPr>
          </w:p>
        </w:tc>
        <w:tc>
          <w:tcPr>
            <w:tcW w:w="4379" w:type="pct"/>
            <w:gridSpan w:val="3"/>
            <w:shd w:val="clear" w:color="auto" w:fill="auto"/>
            <w:vAlign w:val="center"/>
          </w:tcPr>
          <w:p w14:paraId="36AD6E8B">
            <w:pPr>
              <w:jc w:val="center"/>
              <w:rPr>
                <w:rFonts w:ascii="宋体" w:hAnsi="宋体" w:eastAsia="宋体" w:cs="Times New Roman"/>
                <w:color w:val="auto"/>
              </w:rPr>
            </w:pPr>
            <w:r>
              <w:rPr>
                <w:rFonts w:ascii="宋体" w:hAnsi="宋体" w:eastAsia="宋体" w:cs="Times New Roman"/>
                <w:color w:val="auto"/>
              </w:rPr>
              <w:t>危险特性：蒸气与空气可形成爆炸性混合物，遇明火、高热能引起燃烧爆炸。与氧化剂可发生反应。流速过快，容易产生和积聚静电。其蒸气比空气重，能在较低处扩散到相当远的地方，遇火源会着火回燃。若遇高热，有容器开裂和爆炸的危险。</w:t>
            </w:r>
          </w:p>
        </w:tc>
      </w:tr>
      <w:tr w14:paraId="6AD01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00D8E56D">
            <w:pPr>
              <w:jc w:val="center"/>
              <w:rPr>
                <w:rFonts w:ascii="宋体" w:hAnsi="宋体" w:eastAsia="宋体" w:cs="Times New Roman"/>
                <w:color w:val="auto"/>
              </w:rPr>
            </w:pPr>
          </w:p>
        </w:tc>
        <w:tc>
          <w:tcPr>
            <w:tcW w:w="4379" w:type="pct"/>
            <w:gridSpan w:val="3"/>
            <w:shd w:val="clear" w:color="auto" w:fill="auto"/>
            <w:vAlign w:val="center"/>
          </w:tcPr>
          <w:p w14:paraId="1BE63D73">
            <w:pPr>
              <w:jc w:val="center"/>
              <w:rPr>
                <w:rFonts w:ascii="宋体" w:hAnsi="宋体" w:eastAsia="宋体" w:cs="Times New Roman"/>
                <w:color w:val="auto"/>
              </w:rPr>
            </w:pPr>
            <w:r>
              <w:rPr>
                <w:rFonts w:ascii="宋体" w:hAnsi="宋体" w:eastAsia="宋体" w:cs="Times New Roman"/>
                <w:color w:val="auto"/>
              </w:rPr>
              <w:t>灭火方法：尽可能将容器从火场移至空旷处。喷水保持火场容器冷却，直至灭火结束。处在火场中的容器若已变色或从安全泄压装置中产生声音，必须马上撤离。</w:t>
            </w:r>
          </w:p>
        </w:tc>
      </w:tr>
      <w:tr w14:paraId="66072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4C05D55F">
            <w:pPr>
              <w:jc w:val="center"/>
              <w:rPr>
                <w:rFonts w:ascii="宋体" w:hAnsi="宋体" w:eastAsia="宋体" w:cs="Times New Roman"/>
                <w:color w:val="auto"/>
              </w:rPr>
            </w:pPr>
          </w:p>
        </w:tc>
        <w:tc>
          <w:tcPr>
            <w:tcW w:w="4379" w:type="pct"/>
            <w:gridSpan w:val="3"/>
            <w:shd w:val="clear" w:color="auto" w:fill="auto"/>
            <w:vAlign w:val="center"/>
          </w:tcPr>
          <w:p w14:paraId="16D78B49">
            <w:pPr>
              <w:jc w:val="center"/>
              <w:rPr>
                <w:rFonts w:ascii="宋体" w:hAnsi="宋体" w:eastAsia="宋体" w:cs="Times New Roman"/>
                <w:color w:val="auto"/>
              </w:rPr>
            </w:pPr>
            <w:r>
              <w:rPr>
                <w:rFonts w:ascii="宋体" w:hAnsi="宋体" w:eastAsia="宋体" w:cs="Times New Roman"/>
                <w:color w:val="auto"/>
              </w:rPr>
              <w:t>灭火剂：雾状水、泡沫、干粉、二氧化碳、砂土。</w:t>
            </w:r>
          </w:p>
        </w:tc>
      </w:tr>
      <w:tr w14:paraId="71E91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restart"/>
            <w:shd w:val="clear" w:color="auto" w:fill="auto"/>
            <w:vAlign w:val="center"/>
          </w:tcPr>
          <w:p w14:paraId="3B6EBB74">
            <w:pPr>
              <w:jc w:val="center"/>
              <w:rPr>
                <w:rFonts w:ascii="宋体" w:hAnsi="宋体" w:eastAsia="宋体" w:cs="Times New Roman"/>
                <w:color w:val="auto"/>
              </w:rPr>
            </w:pPr>
            <w:r>
              <w:rPr>
                <w:rFonts w:ascii="宋体" w:hAnsi="宋体" w:eastAsia="宋体" w:cs="Times New Roman"/>
                <w:color w:val="auto"/>
              </w:rPr>
              <w:t>毒理性质</w:t>
            </w:r>
          </w:p>
        </w:tc>
        <w:tc>
          <w:tcPr>
            <w:tcW w:w="2175" w:type="pct"/>
            <w:gridSpan w:val="2"/>
            <w:shd w:val="clear" w:color="auto" w:fill="auto"/>
            <w:vAlign w:val="center"/>
          </w:tcPr>
          <w:p w14:paraId="221A364C">
            <w:pPr>
              <w:jc w:val="center"/>
              <w:rPr>
                <w:rFonts w:ascii="宋体" w:hAnsi="宋体" w:eastAsia="宋体" w:cs="Times New Roman"/>
                <w:color w:val="auto"/>
              </w:rPr>
            </w:pPr>
            <w:r>
              <w:rPr>
                <w:rFonts w:ascii="宋体" w:hAnsi="宋体" w:eastAsia="宋体" w:cs="Times New Roman"/>
                <w:color w:val="auto"/>
              </w:rPr>
              <w:t>LC</w:t>
            </w:r>
            <w:r>
              <w:rPr>
                <w:rFonts w:ascii="宋体" w:hAnsi="宋体" w:eastAsia="宋体" w:cs="Times New Roman"/>
                <w:color w:val="auto"/>
                <w:vertAlign w:val="subscript"/>
              </w:rPr>
              <w:t>50</w:t>
            </w:r>
            <w:r>
              <w:rPr>
                <w:rFonts w:ascii="宋体" w:hAnsi="宋体" w:eastAsia="宋体" w:cs="Times New Roman"/>
                <w:color w:val="auto"/>
              </w:rPr>
              <w:t>：＞5000mg/m</w:t>
            </w:r>
            <w:r>
              <w:rPr>
                <w:rFonts w:ascii="宋体" w:hAnsi="宋体" w:eastAsia="宋体" w:cs="Times New Roman"/>
                <w:color w:val="auto"/>
                <w:vertAlign w:val="superscript"/>
              </w:rPr>
              <w:t>3</w:t>
            </w:r>
            <w:r>
              <w:rPr>
                <w:rFonts w:ascii="宋体" w:hAnsi="宋体" w:eastAsia="宋体" w:cs="Times New Roman"/>
                <w:color w:val="auto"/>
              </w:rPr>
              <w:t>/4h</w:t>
            </w:r>
          </w:p>
        </w:tc>
        <w:tc>
          <w:tcPr>
            <w:tcW w:w="2204" w:type="pct"/>
            <w:shd w:val="clear" w:color="auto" w:fill="auto"/>
            <w:vAlign w:val="center"/>
          </w:tcPr>
          <w:p w14:paraId="62A1BD53">
            <w:pPr>
              <w:jc w:val="center"/>
              <w:rPr>
                <w:rFonts w:ascii="宋体" w:hAnsi="宋体" w:eastAsia="宋体" w:cs="Times New Roman"/>
                <w:color w:val="auto"/>
              </w:rPr>
            </w:pPr>
            <w:r>
              <w:rPr>
                <w:rFonts w:ascii="宋体" w:hAnsi="宋体" w:eastAsia="宋体" w:cs="Times New Roman"/>
                <w:color w:val="auto"/>
              </w:rPr>
              <w:t>LD</w:t>
            </w:r>
            <w:r>
              <w:rPr>
                <w:rFonts w:ascii="宋体" w:hAnsi="宋体" w:eastAsia="宋体" w:cs="Times New Roman"/>
                <w:color w:val="auto"/>
                <w:vertAlign w:val="subscript"/>
              </w:rPr>
              <w:t>50</w:t>
            </w:r>
            <w:r>
              <w:rPr>
                <w:rFonts w:ascii="宋体" w:hAnsi="宋体" w:eastAsia="宋体" w:cs="Times New Roman"/>
                <w:color w:val="auto"/>
              </w:rPr>
              <w:t>：7500mg/kg（大鼠经口）</w:t>
            </w:r>
          </w:p>
        </w:tc>
      </w:tr>
      <w:tr w14:paraId="4D146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15287920">
            <w:pPr>
              <w:jc w:val="center"/>
              <w:rPr>
                <w:rFonts w:ascii="宋体" w:hAnsi="宋体" w:eastAsia="宋体" w:cs="Times New Roman"/>
                <w:color w:val="auto"/>
              </w:rPr>
            </w:pPr>
          </w:p>
        </w:tc>
        <w:tc>
          <w:tcPr>
            <w:tcW w:w="4379" w:type="pct"/>
            <w:gridSpan w:val="3"/>
            <w:shd w:val="clear" w:color="auto" w:fill="auto"/>
            <w:vAlign w:val="center"/>
          </w:tcPr>
          <w:p w14:paraId="4CBB6B69">
            <w:pPr>
              <w:jc w:val="center"/>
              <w:rPr>
                <w:rFonts w:ascii="宋体" w:hAnsi="宋体" w:eastAsia="宋体" w:cs="Times New Roman"/>
                <w:color w:val="auto"/>
              </w:rPr>
            </w:pPr>
            <w:r>
              <w:rPr>
                <w:rFonts w:ascii="宋体" w:hAnsi="宋体" w:eastAsia="宋体" w:cs="Times New Roman"/>
                <w:color w:val="auto"/>
              </w:rPr>
              <w:t>环境危害：对环境有危害。对大气可造成污染。</w:t>
            </w:r>
          </w:p>
        </w:tc>
      </w:tr>
      <w:tr w14:paraId="3072F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restart"/>
            <w:shd w:val="clear" w:color="auto" w:fill="auto"/>
            <w:vAlign w:val="center"/>
          </w:tcPr>
          <w:p w14:paraId="2337EBF9">
            <w:pPr>
              <w:jc w:val="center"/>
              <w:rPr>
                <w:rFonts w:ascii="宋体" w:hAnsi="宋体" w:eastAsia="宋体" w:cs="Times New Roman"/>
                <w:color w:val="auto"/>
              </w:rPr>
            </w:pPr>
            <w:r>
              <w:rPr>
                <w:rFonts w:ascii="宋体" w:hAnsi="宋体" w:eastAsia="宋体" w:cs="Times New Roman"/>
                <w:color w:val="auto"/>
              </w:rPr>
              <w:t>健康危害</w:t>
            </w:r>
          </w:p>
        </w:tc>
        <w:tc>
          <w:tcPr>
            <w:tcW w:w="4379" w:type="pct"/>
            <w:gridSpan w:val="3"/>
            <w:shd w:val="clear" w:color="auto" w:fill="auto"/>
            <w:vAlign w:val="center"/>
          </w:tcPr>
          <w:p w14:paraId="33647897">
            <w:pPr>
              <w:jc w:val="center"/>
              <w:rPr>
                <w:rFonts w:ascii="宋体" w:hAnsi="宋体" w:eastAsia="宋体" w:cs="Times New Roman"/>
                <w:color w:val="auto"/>
              </w:rPr>
            </w:pPr>
            <w:r>
              <w:rPr>
                <w:rFonts w:ascii="宋体" w:hAnsi="宋体" w:eastAsia="宋体" w:cs="Times New Roman"/>
                <w:color w:val="auto"/>
              </w:rPr>
              <w:t>侵入途径：吸入、食入、皮肤吸收</w:t>
            </w:r>
          </w:p>
        </w:tc>
      </w:tr>
      <w:tr w14:paraId="320A5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vMerge w:val="continue"/>
            <w:shd w:val="clear" w:color="auto" w:fill="auto"/>
            <w:vAlign w:val="center"/>
          </w:tcPr>
          <w:p w14:paraId="457F37EE">
            <w:pPr>
              <w:jc w:val="center"/>
              <w:rPr>
                <w:rFonts w:ascii="宋体" w:hAnsi="宋体" w:eastAsia="宋体" w:cs="Times New Roman"/>
                <w:color w:val="auto"/>
              </w:rPr>
            </w:pPr>
          </w:p>
        </w:tc>
        <w:tc>
          <w:tcPr>
            <w:tcW w:w="4379" w:type="pct"/>
            <w:gridSpan w:val="3"/>
            <w:shd w:val="clear" w:color="auto" w:fill="auto"/>
            <w:vAlign w:val="center"/>
          </w:tcPr>
          <w:p w14:paraId="3C916CDE">
            <w:pPr>
              <w:jc w:val="center"/>
              <w:rPr>
                <w:rFonts w:ascii="宋体" w:hAnsi="宋体" w:eastAsia="宋体" w:cs="Times New Roman"/>
                <w:color w:val="auto"/>
              </w:rPr>
            </w:pPr>
            <w:r>
              <w:rPr>
                <w:rFonts w:ascii="宋体" w:hAnsi="宋体" w:eastAsia="宋体" w:cs="Times New Roman"/>
                <w:color w:val="auto"/>
              </w:rPr>
              <w:t>健康危害：吸入该物质可能会引起对健康有害的影响或呼吸道不适。意外食入本品可能对个体健康有害。通过割伤、擦伤或病变处进入血液，可能产生全身损伤的有害作用。眼睛直接接触本品可导致暂时不适。</w:t>
            </w:r>
          </w:p>
        </w:tc>
      </w:tr>
      <w:tr w14:paraId="12983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shd w:val="clear" w:color="auto" w:fill="auto"/>
            <w:vAlign w:val="center"/>
          </w:tcPr>
          <w:p w14:paraId="52D6983A">
            <w:pPr>
              <w:jc w:val="center"/>
              <w:rPr>
                <w:rFonts w:ascii="宋体" w:hAnsi="宋体" w:eastAsia="宋体" w:cs="Times New Roman"/>
                <w:color w:val="auto"/>
              </w:rPr>
            </w:pPr>
            <w:r>
              <w:rPr>
                <w:rFonts w:ascii="宋体" w:hAnsi="宋体" w:eastAsia="宋体" w:cs="Times New Roman"/>
                <w:color w:val="auto"/>
              </w:rPr>
              <w:t>急救</w:t>
            </w:r>
          </w:p>
        </w:tc>
        <w:tc>
          <w:tcPr>
            <w:tcW w:w="4379" w:type="pct"/>
            <w:gridSpan w:val="3"/>
            <w:shd w:val="clear" w:color="auto" w:fill="auto"/>
            <w:vAlign w:val="center"/>
          </w:tcPr>
          <w:p w14:paraId="0D9ACE3A">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皮肤接触：立即脱去污染的衣物。用大量肥皂水和清水冲洗皮肤。如有不适，就医。 </w:t>
            </w:r>
          </w:p>
          <w:p w14:paraId="06E642CB">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眼睛接触：用大量水彻底冲洗至少15分钟。如有不适，就医。 </w:t>
            </w:r>
          </w:p>
          <w:p w14:paraId="4A9D104E">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 xml:space="preserve">吸入：立即将患者移到新鲜空气处，保持呼吸畅通。如果呼吸困难，给予吸氧。如食入或吸入，不得进行口对口人工呼吸。如呼吸停止。立即进行心肺复苏术。就医。 </w:t>
            </w:r>
          </w:p>
          <w:p w14:paraId="068760C6">
            <w:pPr>
              <w:jc w:val="center"/>
              <w:rPr>
                <w:rFonts w:ascii="宋体" w:hAnsi="宋体" w:eastAsia="宋体" w:cs="Times New Roman"/>
                <w:color w:val="auto"/>
              </w:rPr>
            </w:pPr>
            <w:r>
              <w:rPr>
                <w:rFonts w:ascii="宋体" w:hAnsi="宋体" w:eastAsia="宋体" w:cs="Times New Roman"/>
                <w:color w:val="auto"/>
              </w:rPr>
              <w:t>食入：禁止催吐，切勿给失去知觉者从嘴里喂食任何东西。立即呼叫医生或中毒控制中心。</w:t>
            </w:r>
          </w:p>
        </w:tc>
      </w:tr>
      <w:tr w14:paraId="4CD27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shd w:val="clear" w:color="auto" w:fill="auto"/>
            <w:vAlign w:val="center"/>
          </w:tcPr>
          <w:p w14:paraId="7474F995">
            <w:pPr>
              <w:jc w:val="center"/>
              <w:rPr>
                <w:rFonts w:ascii="宋体" w:hAnsi="宋体" w:eastAsia="宋体" w:cs="Times New Roman"/>
                <w:color w:val="auto"/>
              </w:rPr>
            </w:pPr>
            <w:r>
              <w:rPr>
                <w:rFonts w:ascii="宋体" w:hAnsi="宋体" w:eastAsia="宋体" w:cs="Times New Roman"/>
                <w:color w:val="auto"/>
              </w:rPr>
              <w:t>泄漏处理</w:t>
            </w:r>
          </w:p>
        </w:tc>
        <w:tc>
          <w:tcPr>
            <w:tcW w:w="4379" w:type="pct"/>
            <w:gridSpan w:val="3"/>
            <w:shd w:val="clear" w:color="auto" w:fill="auto"/>
            <w:vAlign w:val="center"/>
          </w:tcPr>
          <w:p w14:paraId="4697B853">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人员防护措施：避免吸入蒸气、接触皮肤和眼睛。谨防蒸气积累达到可爆炸的浓度。应急人员戴正压自给式呼吸器，穿防毒、防静电服，戴化学防渗透手套。清除所有点火源。迅速将人员撤离到安全区域，远离泄漏区域并处于上风方向。</w:t>
            </w:r>
          </w:p>
          <w:p w14:paraId="458710E8">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环境保护措施：在确保安全的情况下，采取措施防止进一步的泄漏或溢出。避免排放到周围环境中。</w:t>
            </w:r>
          </w:p>
          <w:p w14:paraId="69A07C6E">
            <w:pPr>
              <w:autoSpaceDE w:val="0"/>
              <w:autoSpaceDN w:val="0"/>
              <w:adjustRightInd w:val="0"/>
              <w:jc w:val="center"/>
              <w:rPr>
                <w:rFonts w:ascii="宋体" w:hAnsi="宋体" w:eastAsia="宋体" w:cs="Times New Roman"/>
                <w:color w:val="auto"/>
                <w:szCs w:val="20"/>
              </w:rPr>
            </w:pPr>
            <w:r>
              <w:rPr>
                <w:rFonts w:ascii="宋体" w:hAnsi="宋体" w:eastAsia="宋体" w:cs="Times New Roman"/>
                <w:color w:val="auto"/>
              </w:rPr>
              <w:t>泄漏物收容、清除方法及处置材料：少量泄漏时，可采用干砂或惰性吸附材料吸收泄漏物，大量泄漏时需筑堤控制。附着物或收集物应存放在合适的密闭容器中，并根据相关法律法规废弃处置。</w:t>
            </w:r>
          </w:p>
        </w:tc>
      </w:tr>
      <w:tr w14:paraId="15FD5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1" w:type="pct"/>
            <w:shd w:val="clear" w:color="auto" w:fill="auto"/>
            <w:vAlign w:val="center"/>
          </w:tcPr>
          <w:p w14:paraId="40C1E755">
            <w:pPr>
              <w:jc w:val="center"/>
              <w:rPr>
                <w:rFonts w:ascii="宋体" w:hAnsi="宋体" w:eastAsia="宋体" w:cs="Times New Roman"/>
                <w:color w:val="auto"/>
              </w:rPr>
            </w:pPr>
            <w:r>
              <w:rPr>
                <w:rFonts w:ascii="宋体" w:hAnsi="宋体" w:eastAsia="宋体" w:cs="Times New Roman"/>
                <w:color w:val="auto"/>
              </w:rPr>
              <w:t>储运</w:t>
            </w:r>
          </w:p>
        </w:tc>
        <w:tc>
          <w:tcPr>
            <w:tcW w:w="4379" w:type="pct"/>
            <w:gridSpan w:val="3"/>
            <w:shd w:val="clear" w:color="auto" w:fill="auto"/>
            <w:vAlign w:val="center"/>
          </w:tcPr>
          <w:p w14:paraId="69D470EF">
            <w:pPr>
              <w:autoSpaceDE w:val="0"/>
              <w:autoSpaceDN w:val="0"/>
              <w:adjustRightInd w:val="0"/>
              <w:jc w:val="center"/>
              <w:rPr>
                <w:rFonts w:ascii="宋体" w:hAnsi="宋体" w:eastAsia="宋体" w:cs="Times New Roman"/>
                <w:color w:val="auto"/>
              </w:rPr>
            </w:pPr>
            <w:r>
              <w:rPr>
                <w:rFonts w:ascii="宋体" w:hAnsi="宋体" w:eastAsia="宋体" w:cs="Times New Roman"/>
                <w:color w:val="auto"/>
              </w:rPr>
              <w:t>装运车辆排气管必须配备阻火装置，禁止使用易产生火花的机械设备和工具装卸。运输途中应防曝晒、雨淋，防高温。运输时所用的槽（罐）车应有接地链，槽内可设孔隔板以减少震荡产生静电。</w:t>
            </w:r>
          </w:p>
        </w:tc>
      </w:tr>
    </w:tbl>
    <w:p w14:paraId="341E96D6">
      <w:pPr>
        <w:spacing w:line="440" w:lineRule="exact"/>
        <w:ind w:firstLine="480" w:firstLineChars="200"/>
        <w:rPr>
          <w:rFonts w:ascii="宋体" w:hAnsi="宋体" w:eastAsia="宋体"/>
          <w:color w:val="auto"/>
          <w:sz w:val="24"/>
        </w:rPr>
      </w:pPr>
      <w:r>
        <w:rPr>
          <w:rFonts w:ascii="宋体" w:hAnsi="宋体" w:eastAsia="宋体"/>
          <w:color w:val="auto"/>
          <w:sz w:val="24"/>
        </w:rPr>
        <w:t>（2）原油</w:t>
      </w:r>
    </w:p>
    <w:p w14:paraId="148D56C7">
      <w:pPr>
        <w:spacing w:line="440" w:lineRule="exact"/>
        <w:ind w:firstLine="480" w:firstLineChars="200"/>
        <w:rPr>
          <w:rFonts w:ascii="宋体" w:hAnsi="宋体" w:eastAsia="宋体"/>
          <w:color w:val="auto"/>
          <w:sz w:val="24"/>
        </w:rPr>
      </w:pPr>
      <w:r>
        <w:rPr>
          <w:rFonts w:ascii="宋体" w:hAnsi="宋体" w:eastAsia="宋体"/>
          <w:color w:val="auto"/>
          <w:sz w:val="24"/>
        </w:rPr>
        <w:t>原油闪点小于28℃，属甲B类易燃、易爆物。原油闪点范围较宽，凝固点较高，其蒸气与空气形成爆炸混合物，遇明火、高热能引起燃烧爆炸，与氧化剂能发生强烈反应，遇高热可分解出有毒烟雾。</w:t>
      </w:r>
    </w:p>
    <w:p w14:paraId="0D46CB44">
      <w:pPr>
        <w:pStyle w:val="276"/>
        <w:widowControl w:val="0"/>
        <w:spacing w:line="440" w:lineRule="exact"/>
        <w:ind w:firstLine="0" w:firstLineChars="0"/>
        <w:jc w:val="center"/>
        <w:rPr>
          <w:color w:val="auto"/>
        </w:rPr>
      </w:pPr>
      <w:r>
        <w:rPr>
          <w:color w:val="auto"/>
        </w:rPr>
        <w:t>表5.8-4 原油安全技术说明书</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2"/>
        <w:gridCol w:w="1761"/>
        <w:gridCol w:w="2912"/>
        <w:gridCol w:w="1083"/>
        <w:gridCol w:w="2729"/>
      </w:tblGrid>
      <w:tr w14:paraId="6AC54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Merge w:val="restart"/>
            <w:shd w:val="clear" w:color="auto" w:fill="auto"/>
            <w:vAlign w:val="center"/>
          </w:tcPr>
          <w:p w14:paraId="6FF0A14E">
            <w:pPr>
              <w:jc w:val="center"/>
              <w:rPr>
                <w:rFonts w:ascii="宋体" w:hAnsi="宋体" w:eastAsia="宋体" w:cs="Times New Roman"/>
                <w:color w:val="auto"/>
              </w:rPr>
            </w:pPr>
            <w:r>
              <w:rPr>
                <w:rFonts w:ascii="宋体" w:hAnsi="宋体" w:eastAsia="宋体" w:cs="Times New Roman"/>
                <w:color w:val="auto"/>
              </w:rPr>
              <w:t>理化</w:t>
            </w:r>
          </w:p>
          <w:p w14:paraId="7D69109D">
            <w:pPr>
              <w:jc w:val="center"/>
              <w:rPr>
                <w:rFonts w:ascii="宋体" w:hAnsi="宋体" w:eastAsia="宋体" w:cs="Times New Roman"/>
                <w:color w:val="auto"/>
              </w:rPr>
            </w:pPr>
            <w:r>
              <w:rPr>
                <w:rFonts w:ascii="宋体" w:hAnsi="宋体" w:eastAsia="宋体" w:cs="Times New Roman"/>
                <w:color w:val="auto"/>
              </w:rPr>
              <w:t>常数</w:t>
            </w:r>
          </w:p>
        </w:tc>
        <w:tc>
          <w:tcPr>
            <w:tcW w:w="948" w:type="pct"/>
            <w:shd w:val="clear" w:color="auto" w:fill="auto"/>
            <w:vAlign w:val="center"/>
          </w:tcPr>
          <w:p w14:paraId="42AF4ACD">
            <w:pPr>
              <w:pStyle w:val="285"/>
              <w:jc w:val="center"/>
              <w:rPr>
                <w:rFonts w:cs="Times New Roman"/>
                <w:snapToGrid w:val="0"/>
                <w:color w:val="auto"/>
                <w:sz w:val="21"/>
                <w:szCs w:val="21"/>
              </w:rPr>
            </w:pPr>
            <w:r>
              <w:rPr>
                <w:rFonts w:cs="Times New Roman"/>
                <w:color w:val="auto"/>
                <w:sz w:val="21"/>
                <w:szCs w:val="21"/>
              </w:rPr>
              <w:t>序号</w:t>
            </w:r>
          </w:p>
        </w:tc>
        <w:tc>
          <w:tcPr>
            <w:tcW w:w="3620" w:type="pct"/>
            <w:gridSpan w:val="3"/>
            <w:shd w:val="clear" w:color="auto" w:fill="auto"/>
            <w:vAlign w:val="center"/>
          </w:tcPr>
          <w:p w14:paraId="59D56660">
            <w:pPr>
              <w:jc w:val="center"/>
              <w:rPr>
                <w:rFonts w:ascii="宋体" w:hAnsi="宋体" w:eastAsia="宋体" w:cs="Times New Roman"/>
                <w:color w:val="auto"/>
              </w:rPr>
            </w:pPr>
            <w:r>
              <w:rPr>
                <w:rFonts w:ascii="宋体" w:hAnsi="宋体" w:eastAsia="宋体" w:cs="Times New Roman"/>
                <w:color w:val="auto"/>
              </w:rPr>
              <w:t>1967</w:t>
            </w:r>
          </w:p>
        </w:tc>
      </w:tr>
      <w:tr w14:paraId="7BBD3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Merge w:val="continue"/>
            <w:shd w:val="clear" w:color="auto" w:fill="auto"/>
            <w:vAlign w:val="center"/>
          </w:tcPr>
          <w:p w14:paraId="2DD30006">
            <w:pPr>
              <w:jc w:val="center"/>
              <w:rPr>
                <w:rFonts w:ascii="宋体" w:hAnsi="宋体" w:eastAsia="宋体" w:cs="Times New Roman"/>
                <w:color w:val="auto"/>
              </w:rPr>
            </w:pPr>
          </w:p>
        </w:tc>
        <w:tc>
          <w:tcPr>
            <w:tcW w:w="948" w:type="pct"/>
            <w:shd w:val="clear" w:color="auto" w:fill="auto"/>
            <w:vAlign w:val="center"/>
          </w:tcPr>
          <w:p w14:paraId="12B4BB87">
            <w:pPr>
              <w:pStyle w:val="285"/>
              <w:jc w:val="center"/>
              <w:rPr>
                <w:rFonts w:cs="Times New Roman"/>
                <w:color w:val="auto"/>
                <w:sz w:val="21"/>
                <w:szCs w:val="21"/>
              </w:rPr>
            </w:pPr>
            <w:r>
              <w:rPr>
                <w:rFonts w:cs="Times New Roman"/>
                <w:color w:val="auto"/>
                <w:sz w:val="21"/>
                <w:szCs w:val="21"/>
              </w:rPr>
              <w:t>CAS号</w:t>
            </w:r>
          </w:p>
        </w:tc>
        <w:tc>
          <w:tcPr>
            <w:tcW w:w="3620" w:type="pct"/>
            <w:gridSpan w:val="3"/>
            <w:shd w:val="clear" w:color="auto" w:fill="auto"/>
            <w:vAlign w:val="center"/>
          </w:tcPr>
          <w:p w14:paraId="3A8AD940">
            <w:pPr>
              <w:jc w:val="center"/>
              <w:rPr>
                <w:rFonts w:ascii="宋体" w:hAnsi="宋体" w:eastAsia="宋体" w:cs="Times New Roman"/>
                <w:color w:val="auto"/>
              </w:rPr>
            </w:pPr>
            <w:r>
              <w:rPr>
                <w:rFonts w:ascii="宋体" w:hAnsi="宋体" w:eastAsia="宋体" w:cs="Times New Roman"/>
                <w:color w:val="auto"/>
              </w:rPr>
              <w:t>/</w:t>
            </w:r>
          </w:p>
        </w:tc>
      </w:tr>
      <w:tr w14:paraId="4139C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Merge w:val="continue"/>
            <w:shd w:val="clear" w:color="auto" w:fill="auto"/>
            <w:vAlign w:val="center"/>
          </w:tcPr>
          <w:p w14:paraId="23F51789">
            <w:pPr>
              <w:jc w:val="center"/>
              <w:rPr>
                <w:rFonts w:ascii="宋体" w:hAnsi="宋体" w:eastAsia="宋体" w:cs="Times New Roman"/>
                <w:color w:val="auto"/>
              </w:rPr>
            </w:pPr>
          </w:p>
        </w:tc>
        <w:tc>
          <w:tcPr>
            <w:tcW w:w="948" w:type="pct"/>
            <w:shd w:val="clear" w:color="auto" w:fill="auto"/>
            <w:vAlign w:val="center"/>
          </w:tcPr>
          <w:p w14:paraId="0C949BA5">
            <w:pPr>
              <w:jc w:val="center"/>
              <w:rPr>
                <w:rFonts w:ascii="宋体" w:hAnsi="宋体" w:eastAsia="宋体" w:cs="Times New Roman"/>
                <w:color w:val="auto"/>
              </w:rPr>
            </w:pPr>
            <w:r>
              <w:rPr>
                <w:rFonts w:ascii="宋体" w:hAnsi="宋体" w:eastAsia="宋体" w:cs="Times New Roman"/>
                <w:color w:val="auto"/>
              </w:rPr>
              <w:t>中文名称</w:t>
            </w:r>
          </w:p>
        </w:tc>
        <w:tc>
          <w:tcPr>
            <w:tcW w:w="3620" w:type="pct"/>
            <w:gridSpan w:val="3"/>
            <w:shd w:val="clear" w:color="auto" w:fill="auto"/>
            <w:vAlign w:val="center"/>
          </w:tcPr>
          <w:p w14:paraId="3C23B73F">
            <w:pPr>
              <w:jc w:val="center"/>
              <w:rPr>
                <w:rFonts w:ascii="宋体" w:hAnsi="宋体" w:eastAsia="宋体" w:cs="Times New Roman"/>
                <w:color w:val="auto"/>
              </w:rPr>
            </w:pPr>
            <w:r>
              <w:rPr>
                <w:rFonts w:ascii="宋体" w:hAnsi="宋体" w:eastAsia="宋体" w:cs="Times New Roman"/>
                <w:color w:val="auto"/>
              </w:rPr>
              <w:t>原油</w:t>
            </w:r>
          </w:p>
        </w:tc>
      </w:tr>
      <w:tr w14:paraId="00F9E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Merge w:val="continue"/>
            <w:shd w:val="clear" w:color="auto" w:fill="auto"/>
            <w:vAlign w:val="center"/>
          </w:tcPr>
          <w:p w14:paraId="61D8F16E">
            <w:pPr>
              <w:jc w:val="center"/>
              <w:rPr>
                <w:rFonts w:ascii="宋体" w:hAnsi="宋体" w:eastAsia="宋体" w:cs="Times New Roman"/>
                <w:color w:val="auto"/>
              </w:rPr>
            </w:pPr>
          </w:p>
        </w:tc>
        <w:tc>
          <w:tcPr>
            <w:tcW w:w="948" w:type="pct"/>
            <w:shd w:val="clear" w:color="auto" w:fill="auto"/>
            <w:vAlign w:val="center"/>
          </w:tcPr>
          <w:p w14:paraId="5AB2E3B3">
            <w:pPr>
              <w:jc w:val="center"/>
              <w:rPr>
                <w:rFonts w:ascii="宋体" w:hAnsi="宋体" w:eastAsia="宋体" w:cs="Times New Roman"/>
                <w:color w:val="auto"/>
              </w:rPr>
            </w:pPr>
            <w:r>
              <w:rPr>
                <w:rFonts w:ascii="宋体" w:hAnsi="宋体" w:eastAsia="宋体" w:cs="Times New Roman"/>
                <w:color w:val="auto"/>
              </w:rPr>
              <w:t>英文名称</w:t>
            </w:r>
          </w:p>
        </w:tc>
        <w:tc>
          <w:tcPr>
            <w:tcW w:w="3620" w:type="pct"/>
            <w:gridSpan w:val="3"/>
            <w:shd w:val="clear" w:color="auto" w:fill="auto"/>
            <w:vAlign w:val="center"/>
          </w:tcPr>
          <w:p w14:paraId="1BD62298">
            <w:pPr>
              <w:jc w:val="center"/>
              <w:rPr>
                <w:rFonts w:ascii="宋体" w:hAnsi="宋体" w:eastAsia="宋体" w:cs="Times New Roman"/>
                <w:color w:val="auto"/>
              </w:rPr>
            </w:pPr>
            <w:r>
              <w:rPr>
                <w:rFonts w:ascii="宋体" w:hAnsi="宋体" w:eastAsia="宋体" w:cs="Times New Roman"/>
                <w:color w:val="auto"/>
              </w:rPr>
              <w:t>CrudeoU；Petrolemn</w:t>
            </w:r>
          </w:p>
        </w:tc>
      </w:tr>
      <w:tr w14:paraId="56C4F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Merge w:val="continue"/>
            <w:shd w:val="clear" w:color="auto" w:fill="auto"/>
            <w:vAlign w:val="center"/>
          </w:tcPr>
          <w:p w14:paraId="0F66940A">
            <w:pPr>
              <w:jc w:val="center"/>
              <w:rPr>
                <w:rFonts w:ascii="宋体" w:hAnsi="宋体" w:eastAsia="宋体" w:cs="Times New Roman"/>
                <w:color w:val="auto"/>
              </w:rPr>
            </w:pPr>
          </w:p>
        </w:tc>
        <w:tc>
          <w:tcPr>
            <w:tcW w:w="948" w:type="pct"/>
            <w:shd w:val="clear" w:color="auto" w:fill="auto"/>
            <w:vAlign w:val="center"/>
          </w:tcPr>
          <w:p w14:paraId="6D4A0B7D">
            <w:pPr>
              <w:jc w:val="center"/>
              <w:rPr>
                <w:rFonts w:ascii="宋体" w:hAnsi="宋体" w:eastAsia="宋体" w:cs="Times New Roman"/>
                <w:color w:val="auto"/>
              </w:rPr>
            </w:pPr>
            <w:r>
              <w:rPr>
                <w:rFonts w:ascii="宋体" w:hAnsi="宋体" w:eastAsia="宋体" w:cs="Times New Roman"/>
                <w:color w:val="auto"/>
              </w:rPr>
              <w:t>别名</w:t>
            </w:r>
          </w:p>
        </w:tc>
        <w:tc>
          <w:tcPr>
            <w:tcW w:w="3620" w:type="pct"/>
            <w:gridSpan w:val="3"/>
            <w:shd w:val="clear" w:color="auto" w:fill="auto"/>
            <w:vAlign w:val="center"/>
          </w:tcPr>
          <w:p w14:paraId="4CA7A72B">
            <w:pPr>
              <w:jc w:val="center"/>
              <w:rPr>
                <w:rFonts w:ascii="宋体" w:hAnsi="宋体" w:eastAsia="宋体"/>
                <w:snapToGrid w:val="0"/>
                <w:color w:val="auto"/>
                <w:kern w:val="0"/>
              </w:rPr>
            </w:pPr>
            <w:r>
              <w:rPr>
                <w:rFonts w:ascii="宋体" w:hAnsi="宋体" w:eastAsia="宋体"/>
                <w:color w:val="auto"/>
                <w:kern w:val="0"/>
              </w:rPr>
              <w:t>石油</w:t>
            </w:r>
          </w:p>
        </w:tc>
      </w:tr>
      <w:tr w14:paraId="550C9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Merge w:val="continue"/>
            <w:shd w:val="clear" w:color="auto" w:fill="auto"/>
            <w:vAlign w:val="center"/>
          </w:tcPr>
          <w:p w14:paraId="5E101473">
            <w:pPr>
              <w:jc w:val="center"/>
              <w:rPr>
                <w:rFonts w:ascii="宋体" w:hAnsi="宋体" w:eastAsia="宋体" w:cs="Times New Roman"/>
                <w:color w:val="auto"/>
              </w:rPr>
            </w:pPr>
          </w:p>
        </w:tc>
        <w:tc>
          <w:tcPr>
            <w:tcW w:w="948" w:type="pct"/>
            <w:shd w:val="clear" w:color="auto" w:fill="auto"/>
            <w:vAlign w:val="center"/>
          </w:tcPr>
          <w:p w14:paraId="29ED70FF">
            <w:pPr>
              <w:pStyle w:val="2376"/>
              <w:spacing w:line="240" w:lineRule="auto"/>
              <w:ind w:firstLine="377"/>
              <w:jc w:val="center"/>
              <w:rPr>
                <w:rFonts w:ascii="宋体" w:hAnsi="宋体" w:eastAsia="宋体"/>
                <w:color w:val="auto"/>
                <w:kern w:val="0"/>
                <w:sz w:val="21"/>
                <w:szCs w:val="21"/>
              </w:rPr>
            </w:pPr>
            <w:r>
              <w:rPr>
                <w:rFonts w:ascii="宋体" w:hAnsi="宋体" w:eastAsia="宋体"/>
                <w:color w:val="auto"/>
                <w:kern w:val="0"/>
                <w:sz w:val="21"/>
                <w:szCs w:val="21"/>
              </w:rPr>
              <w:t>外观与性状</w:t>
            </w:r>
          </w:p>
        </w:tc>
        <w:tc>
          <w:tcPr>
            <w:tcW w:w="3620" w:type="pct"/>
            <w:gridSpan w:val="3"/>
            <w:shd w:val="clear" w:color="auto" w:fill="auto"/>
            <w:vAlign w:val="center"/>
          </w:tcPr>
          <w:p w14:paraId="1514ABB9">
            <w:pPr>
              <w:jc w:val="center"/>
              <w:rPr>
                <w:rFonts w:ascii="宋体" w:hAnsi="宋体" w:eastAsia="宋体" w:cs="Times New Roman"/>
                <w:color w:val="auto"/>
              </w:rPr>
            </w:pPr>
            <w:r>
              <w:rPr>
                <w:rFonts w:ascii="宋体" w:hAnsi="宋体" w:eastAsia="宋体" w:cs="Times New Roman"/>
                <w:color w:val="auto"/>
              </w:rPr>
              <w:t>黑色的可燃性黏稠液体</w:t>
            </w:r>
          </w:p>
        </w:tc>
      </w:tr>
      <w:tr w14:paraId="15315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Merge w:val="continue"/>
            <w:shd w:val="clear" w:color="auto" w:fill="auto"/>
            <w:vAlign w:val="center"/>
          </w:tcPr>
          <w:p w14:paraId="600F2AF3">
            <w:pPr>
              <w:jc w:val="center"/>
              <w:rPr>
                <w:rFonts w:ascii="宋体" w:hAnsi="宋体" w:eastAsia="宋体" w:cs="Times New Roman"/>
                <w:color w:val="auto"/>
              </w:rPr>
            </w:pPr>
          </w:p>
        </w:tc>
        <w:tc>
          <w:tcPr>
            <w:tcW w:w="948" w:type="pct"/>
            <w:shd w:val="clear" w:color="auto" w:fill="auto"/>
            <w:vAlign w:val="center"/>
          </w:tcPr>
          <w:p w14:paraId="40EF85D1">
            <w:pPr>
              <w:jc w:val="center"/>
              <w:rPr>
                <w:rFonts w:ascii="宋体" w:hAnsi="宋体" w:eastAsia="宋体" w:cs="Times New Roman"/>
                <w:color w:val="auto"/>
              </w:rPr>
            </w:pPr>
            <w:r>
              <w:rPr>
                <w:rFonts w:ascii="宋体" w:hAnsi="宋体" w:eastAsia="宋体" w:cs="Times New Roman"/>
                <w:color w:val="auto"/>
              </w:rPr>
              <w:t>闪点</w:t>
            </w:r>
          </w:p>
        </w:tc>
        <w:tc>
          <w:tcPr>
            <w:tcW w:w="3620" w:type="pct"/>
            <w:gridSpan w:val="3"/>
            <w:shd w:val="clear" w:color="auto" w:fill="auto"/>
            <w:vAlign w:val="center"/>
          </w:tcPr>
          <w:p w14:paraId="3FED7F17">
            <w:pPr>
              <w:jc w:val="center"/>
              <w:rPr>
                <w:rFonts w:ascii="宋体" w:hAnsi="宋体" w:eastAsia="宋体" w:cs="Times New Roman"/>
                <w:color w:val="auto"/>
              </w:rPr>
            </w:pPr>
            <w:r>
              <w:rPr>
                <w:rFonts w:ascii="宋体" w:hAnsi="宋体" w:eastAsia="宋体" w:cs="Times New Roman"/>
                <w:color w:val="auto"/>
              </w:rPr>
              <w:t>&lt;28℃</w:t>
            </w:r>
          </w:p>
        </w:tc>
      </w:tr>
      <w:tr w14:paraId="3ED1D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Merge w:val="continue"/>
            <w:shd w:val="clear" w:color="auto" w:fill="auto"/>
            <w:vAlign w:val="center"/>
          </w:tcPr>
          <w:p w14:paraId="212B0961">
            <w:pPr>
              <w:jc w:val="center"/>
              <w:rPr>
                <w:rFonts w:ascii="宋体" w:hAnsi="宋体" w:eastAsia="宋体" w:cs="Times New Roman"/>
                <w:color w:val="auto"/>
              </w:rPr>
            </w:pPr>
          </w:p>
        </w:tc>
        <w:tc>
          <w:tcPr>
            <w:tcW w:w="948" w:type="pct"/>
            <w:shd w:val="clear" w:color="auto" w:fill="auto"/>
            <w:vAlign w:val="center"/>
          </w:tcPr>
          <w:p w14:paraId="0B1381B8">
            <w:pPr>
              <w:jc w:val="center"/>
              <w:rPr>
                <w:rFonts w:ascii="宋体" w:hAnsi="宋体" w:eastAsia="宋体" w:cs="Times New Roman"/>
                <w:color w:val="auto"/>
              </w:rPr>
            </w:pPr>
            <w:r>
              <w:rPr>
                <w:rFonts w:ascii="宋体" w:hAnsi="宋体" w:eastAsia="宋体" w:cs="Times New Roman"/>
                <w:color w:val="auto"/>
              </w:rPr>
              <w:t>凝固点</w:t>
            </w:r>
          </w:p>
        </w:tc>
        <w:tc>
          <w:tcPr>
            <w:tcW w:w="1568" w:type="pct"/>
            <w:shd w:val="clear" w:color="auto" w:fill="auto"/>
            <w:vAlign w:val="center"/>
          </w:tcPr>
          <w:p w14:paraId="06641B28">
            <w:pPr>
              <w:jc w:val="center"/>
              <w:rPr>
                <w:rFonts w:ascii="宋体" w:hAnsi="宋体" w:eastAsia="宋体" w:cs="Times New Roman"/>
                <w:color w:val="auto"/>
              </w:rPr>
            </w:pPr>
            <w:r>
              <w:rPr>
                <w:rFonts w:ascii="宋体" w:hAnsi="宋体" w:eastAsia="宋体" w:cs="Times New Roman"/>
                <w:color w:val="auto"/>
              </w:rPr>
              <w:t>18.3～19℃</w:t>
            </w:r>
          </w:p>
        </w:tc>
        <w:tc>
          <w:tcPr>
            <w:tcW w:w="583" w:type="pct"/>
            <w:shd w:val="clear" w:color="auto" w:fill="auto"/>
            <w:vAlign w:val="center"/>
          </w:tcPr>
          <w:p w14:paraId="4972808F">
            <w:pPr>
              <w:pStyle w:val="2376"/>
              <w:spacing w:line="240" w:lineRule="auto"/>
              <w:ind w:firstLine="377"/>
              <w:jc w:val="center"/>
              <w:rPr>
                <w:rFonts w:ascii="宋体" w:hAnsi="宋体" w:eastAsia="宋体"/>
                <w:color w:val="auto"/>
                <w:kern w:val="0"/>
                <w:sz w:val="21"/>
                <w:szCs w:val="21"/>
              </w:rPr>
            </w:pPr>
            <w:r>
              <w:rPr>
                <w:rFonts w:ascii="宋体" w:hAnsi="宋体" w:eastAsia="宋体"/>
                <w:color w:val="auto"/>
                <w:kern w:val="0"/>
                <w:sz w:val="21"/>
                <w:szCs w:val="21"/>
              </w:rPr>
              <w:t>溶解性</w:t>
            </w:r>
          </w:p>
        </w:tc>
        <w:tc>
          <w:tcPr>
            <w:tcW w:w="1469" w:type="pct"/>
            <w:shd w:val="clear" w:color="auto" w:fill="auto"/>
            <w:vAlign w:val="center"/>
          </w:tcPr>
          <w:p w14:paraId="48BABC2D">
            <w:pPr>
              <w:jc w:val="center"/>
              <w:rPr>
                <w:rFonts w:ascii="宋体" w:hAnsi="宋体" w:eastAsia="宋体" w:cs="Times New Roman"/>
                <w:color w:val="auto"/>
              </w:rPr>
            </w:pPr>
            <w:r>
              <w:rPr>
                <w:rFonts w:ascii="宋体" w:hAnsi="宋体" w:eastAsia="宋体" w:cs="Times New Roman"/>
                <w:color w:val="auto"/>
              </w:rPr>
              <w:t>不溶于水，溶于苯、乙醚、三氯甲烷、四氯化碳等有机溶剂。</w:t>
            </w:r>
          </w:p>
        </w:tc>
      </w:tr>
      <w:tr w14:paraId="416F1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Merge w:val="continue"/>
            <w:shd w:val="clear" w:color="auto" w:fill="auto"/>
            <w:vAlign w:val="center"/>
          </w:tcPr>
          <w:p w14:paraId="130F6F6D">
            <w:pPr>
              <w:jc w:val="center"/>
              <w:rPr>
                <w:rFonts w:ascii="宋体" w:hAnsi="宋体" w:eastAsia="宋体" w:cs="Times New Roman"/>
                <w:color w:val="auto"/>
              </w:rPr>
            </w:pPr>
          </w:p>
        </w:tc>
        <w:tc>
          <w:tcPr>
            <w:tcW w:w="948" w:type="pct"/>
            <w:shd w:val="clear" w:color="auto" w:fill="auto"/>
            <w:vAlign w:val="center"/>
          </w:tcPr>
          <w:p w14:paraId="5232631E">
            <w:pPr>
              <w:jc w:val="center"/>
              <w:rPr>
                <w:rFonts w:ascii="宋体" w:hAnsi="宋体" w:eastAsia="宋体" w:cs="Times New Roman"/>
                <w:color w:val="auto"/>
              </w:rPr>
            </w:pPr>
            <w:r>
              <w:rPr>
                <w:rFonts w:ascii="宋体" w:hAnsi="宋体" w:eastAsia="宋体" w:cs="Times New Roman"/>
                <w:color w:val="auto"/>
              </w:rPr>
              <w:t>密度</w:t>
            </w:r>
          </w:p>
        </w:tc>
        <w:tc>
          <w:tcPr>
            <w:tcW w:w="1568" w:type="pct"/>
            <w:shd w:val="clear" w:color="auto" w:fill="auto"/>
            <w:vAlign w:val="center"/>
          </w:tcPr>
          <w:p w14:paraId="72114A6A">
            <w:pPr>
              <w:jc w:val="center"/>
              <w:rPr>
                <w:rFonts w:ascii="宋体" w:hAnsi="宋体" w:eastAsia="宋体" w:cs="Times New Roman"/>
                <w:color w:val="auto"/>
              </w:rPr>
            </w:pPr>
            <w:r>
              <w:rPr>
                <w:rFonts w:ascii="宋体" w:hAnsi="宋体" w:eastAsia="宋体" w:cs="Times New Roman"/>
                <w:color w:val="auto"/>
              </w:rPr>
              <w:t>相对密度（水=1）0.84～0.86</w:t>
            </w:r>
          </w:p>
        </w:tc>
        <w:tc>
          <w:tcPr>
            <w:tcW w:w="583" w:type="pct"/>
            <w:shd w:val="clear" w:color="auto" w:fill="auto"/>
            <w:vAlign w:val="center"/>
          </w:tcPr>
          <w:p w14:paraId="1C60C084">
            <w:pPr>
              <w:jc w:val="center"/>
              <w:rPr>
                <w:rFonts w:ascii="宋体" w:hAnsi="宋体" w:eastAsia="宋体" w:cs="Times New Roman"/>
                <w:color w:val="auto"/>
              </w:rPr>
            </w:pPr>
            <w:r>
              <w:rPr>
                <w:rFonts w:ascii="宋体" w:hAnsi="宋体" w:eastAsia="宋体" w:cs="Times New Roman"/>
                <w:color w:val="auto"/>
              </w:rPr>
              <w:t>稳定性</w:t>
            </w:r>
          </w:p>
        </w:tc>
        <w:tc>
          <w:tcPr>
            <w:tcW w:w="1469" w:type="pct"/>
            <w:shd w:val="clear" w:color="auto" w:fill="auto"/>
            <w:vAlign w:val="center"/>
          </w:tcPr>
          <w:p w14:paraId="46C6531B">
            <w:pPr>
              <w:jc w:val="center"/>
              <w:rPr>
                <w:rFonts w:ascii="宋体" w:hAnsi="宋体" w:eastAsia="宋体" w:cs="Times New Roman"/>
                <w:color w:val="auto"/>
              </w:rPr>
            </w:pPr>
            <w:r>
              <w:rPr>
                <w:rFonts w:ascii="宋体" w:hAnsi="宋体" w:eastAsia="宋体" w:cs="Times New Roman"/>
                <w:color w:val="auto"/>
              </w:rPr>
              <w:t>稳定</w:t>
            </w:r>
          </w:p>
        </w:tc>
      </w:tr>
      <w:tr w14:paraId="50E37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vMerge w:val="continue"/>
            <w:shd w:val="clear" w:color="auto" w:fill="auto"/>
            <w:vAlign w:val="center"/>
          </w:tcPr>
          <w:p w14:paraId="5D5621B0">
            <w:pPr>
              <w:jc w:val="center"/>
              <w:rPr>
                <w:rFonts w:ascii="宋体" w:hAnsi="宋体" w:eastAsia="宋体" w:cs="Times New Roman"/>
                <w:color w:val="auto"/>
              </w:rPr>
            </w:pPr>
          </w:p>
        </w:tc>
        <w:tc>
          <w:tcPr>
            <w:tcW w:w="948" w:type="pct"/>
            <w:shd w:val="clear" w:color="auto" w:fill="auto"/>
            <w:vAlign w:val="center"/>
          </w:tcPr>
          <w:p w14:paraId="4C5754D3">
            <w:pPr>
              <w:jc w:val="center"/>
              <w:rPr>
                <w:rFonts w:ascii="宋体" w:hAnsi="宋体" w:eastAsia="宋体" w:cs="Times New Roman"/>
                <w:color w:val="auto"/>
              </w:rPr>
            </w:pPr>
            <w:r>
              <w:rPr>
                <w:rFonts w:ascii="宋体" w:hAnsi="宋体" w:eastAsia="宋体" w:cs="Times New Roman"/>
                <w:color w:val="auto"/>
              </w:rPr>
              <w:t>爆炸极限</w:t>
            </w:r>
          </w:p>
        </w:tc>
        <w:tc>
          <w:tcPr>
            <w:tcW w:w="1568" w:type="pct"/>
            <w:shd w:val="clear" w:color="auto" w:fill="auto"/>
            <w:vAlign w:val="center"/>
          </w:tcPr>
          <w:p w14:paraId="4D5DEE1B">
            <w:pPr>
              <w:jc w:val="center"/>
              <w:rPr>
                <w:rFonts w:ascii="宋体" w:hAnsi="宋体" w:eastAsia="宋体" w:cs="Times New Roman"/>
                <w:color w:val="auto"/>
              </w:rPr>
            </w:pPr>
            <w:r>
              <w:rPr>
                <w:rFonts w:ascii="宋体" w:hAnsi="宋体" w:eastAsia="宋体" w:cs="Times New Roman"/>
                <w:color w:val="auto"/>
              </w:rPr>
              <w:t>1.1％～8.7％（体积）</w:t>
            </w:r>
          </w:p>
        </w:tc>
        <w:tc>
          <w:tcPr>
            <w:tcW w:w="583" w:type="pct"/>
            <w:shd w:val="clear" w:color="auto" w:fill="auto"/>
            <w:vAlign w:val="center"/>
          </w:tcPr>
          <w:p w14:paraId="27845847">
            <w:pPr>
              <w:jc w:val="center"/>
              <w:rPr>
                <w:rFonts w:ascii="宋体" w:hAnsi="宋体" w:eastAsia="宋体" w:cs="Times New Roman"/>
                <w:color w:val="auto"/>
              </w:rPr>
            </w:pPr>
            <w:r>
              <w:rPr>
                <w:rFonts w:ascii="宋体" w:hAnsi="宋体" w:eastAsia="宋体" w:cs="Times New Roman"/>
                <w:color w:val="auto"/>
              </w:rPr>
              <w:t>自燃温度</w:t>
            </w:r>
          </w:p>
        </w:tc>
        <w:tc>
          <w:tcPr>
            <w:tcW w:w="1469" w:type="pct"/>
            <w:shd w:val="clear" w:color="auto" w:fill="auto"/>
            <w:vAlign w:val="center"/>
          </w:tcPr>
          <w:p w14:paraId="1B3B66CC">
            <w:pPr>
              <w:jc w:val="center"/>
              <w:rPr>
                <w:rFonts w:ascii="宋体" w:hAnsi="宋体" w:eastAsia="宋体" w:cs="Times New Roman"/>
                <w:color w:val="auto"/>
              </w:rPr>
            </w:pPr>
            <w:r>
              <w:rPr>
                <w:rFonts w:ascii="宋体" w:hAnsi="宋体" w:eastAsia="宋体" w:cs="Times New Roman"/>
                <w:color w:val="auto"/>
              </w:rPr>
              <w:t>280℃～380℃</w:t>
            </w:r>
          </w:p>
        </w:tc>
      </w:tr>
      <w:tr w14:paraId="54CF1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40C49CB8">
            <w:pPr>
              <w:jc w:val="center"/>
              <w:rPr>
                <w:rFonts w:ascii="宋体" w:hAnsi="宋体" w:eastAsia="宋体" w:cs="Times New Roman"/>
                <w:color w:val="auto"/>
              </w:rPr>
            </w:pPr>
            <w:r>
              <w:rPr>
                <w:rFonts w:ascii="宋体" w:hAnsi="宋体" w:eastAsia="宋体" w:cs="Times New Roman"/>
                <w:color w:val="auto"/>
              </w:rPr>
              <w:t>主要</w:t>
            </w:r>
          </w:p>
          <w:p w14:paraId="51BD0F9E">
            <w:pPr>
              <w:jc w:val="center"/>
              <w:rPr>
                <w:rFonts w:ascii="宋体" w:hAnsi="宋体" w:eastAsia="宋体" w:cs="Times New Roman"/>
                <w:color w:val="auto"/>
              </w:rPr>
            </w:pPr>
            <w:r>
              <w:rPr>
                <w:rFonts w:ascii="宋体" w:hAnsi="宋体" w:eastAsia="宋体" w:cs="Times New Roman"/>
                <w:color w:val="auto"/>
              </w:rPr>
              <w:t>用途</w:t>
            </w:r>
          </w:p>
        </w:tc>
        <w:tc>
          <w:tcPr>
            <w:tcW w:w="4568" w:type="pct"/>
            <w:gridSpan w:val="4"/>
            <w:shd w:val="clear" w:color="auto" w:fill="auto"/>
            <w:vAlign w:val="center"/>
          </w:tcPr>
          <w:p w14:paraId="5D0CF2E5">
            <w:pPr>
              <w:jc w:val="center"/>
              <w:rPr>
                <w:rFonts w:ascii="宋体" w:hAnsi="宋体" w:eastAsia="宋体" w:cs="Times New Roman"/>
                <w:color w:val="auto"/>
              </w:rPr>
            </w:pPr>
            <w:r>
              <w:rPr>
                <w:rFonts w:ascii="宋体" w:hAnsi="宋体" w:eastAsia="宋体" w:cs="Times New Roman"/>
                <w:color w:val="auto"/>
              </w:rPr>
              <w:t>主要用于生产汽油、航空煤油、柴油等发动机燃料以及液化气、石脑油、润滑油、石蜡、沥青、石油焦等，通过其馏分的高温热解，还用于生产乙烯、丙烯、丁烯等基本有机化工原料。</w:t>
            </w:r>
          </w:p>
        </w:tc>
      </w:tr>
      <w:tr w14:paraId="6574C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2752867C">
            <w:pPr>
              <w:jc w:val="center"/>
              <w:rPr>
                <w:rFonts w:ascii="宋体" w:hAnsi="宋体" w:eastAsia="宋体" w:cs="Times New Roman"/>
                <w:color w:val="auto"/>
              </w:rPr>
            </w:pPr>
            <w:r>
              <w:rPr>
                <w:rFonts w:ascii="宋体" w:hAnsi="宋体" w:eastAsia="宋体" w:cs="Times New Roman"/>
                <w:color w:val="auto"/>
              </w:rPr>
              <w:t>危险</w:t>
            </w:r>
          </w:p>
          <w:p w14:paraId="23FE12EC">
            <w:pPr>
              <w:jc w:val="center"/>
              <w:rPr>
                <w:rFonts w:ascii="宋体" w:hAnsi="宋体" w:eastAsia="宋体" w:cs="Times New Roman"/>
                <w:color w:val="auto"/>
              </w:rPr>
            </w:pPr>
            <w:r>
              <w:rPr>
                <w:rFonts w:ascii="宋体" w:hAnsi="宋体" w:eastAsia="宋体" w:cs="Times New Roman"/>
                <w:color w:val="auto"/>
              </w:rPr>
              <w:t>特性</w:t>
            </w:r>
          </w:p>
        </w:tc>
        <w:tc>
          <w:tcPr>
            <w:tcW w:w="4568" w:type="pct"/>
            <w:gridSpan w:val="4"/>
            <w:shd w:val="clear" w:color="auto" w:fill="auto"/>
            <w:vAlign w:val="center"/>
          </w:tcPr>
          <w:p w14:paraId="6528B356">
            <w:pPr>
              <w:jc w:val="center"/>
              <w:rPr>
                <w:rFonts w:ascii="宋体" w:hAnsi="宋体" w:eastAsia="宋体"/>
                <w:color w:val="auto"/>
                <w:kern w:val="0"/>
              </w:rPr>
            </w:pPr>
            <w:r>
              <w:rPr>
                <w:rFonts w:ascii="宋体" w:hAnsi="宋体" w:eastAsia="宋体"/>
                <w:color w:val="auto"/>
              </w:rPr>
              <w:t>易燃，蒸气与空气能形成爆炸性混合物，遇明火、高热能引起燃烧爆炸。与硝酸、浓硫酸、高锰酸钾、重铬酸盐等强氧化剂接触会剧烈反应，甚至发生燃烧爆炸。</w:t>
            </w:r>
          </w:p>
        </w:tc>
      </w:tr>
      <w:tr w14:paraId="58E21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4D287911">
            <w:pPr>
              <w:jc w:val="center"/>
              <w:rPr>
                <w:rFonts w:ascii="宋体" w:hAnsi="宋体" w:eastAsia="宋体" w:cs="Times New Roman"/>
                <w:color w:val="auto"/>
              </w:rPr>
            </w:pPr>
            <w:r>
              <w:rPr>
                <w:rFonts w:ascii="宋体" w:hAnsi="宋体" w:eastAsia="宋体" w:cs="Times New Roman"/>
                <w:color w:val="auto"/>
              </w:rPr>
              <w:t>健康</w:t>
            </w:r>
          </w:p>
          <w:p w14:paraId="24B954F3">
            <w:pPr>
              <w:jc w:val="center"/>
              <w:rPr>
                <w:rFonts w:ascii="宋体" w:hAnsi="宋体" w:eastAsia="宋体" w:cs="Times New Roman"/>
                <w:color w:val="auto"/>
              </w:rPr>
            </w:pPr>
            <w:r>
              <w:rPr>
                <w:rFonts w:ascii="宋体" w:hAnsi="宋体" w:eastAsia="宋体" w:cs="Times New Roman"/>
                <w:color w:val="auto"/>
              </w:rPr>
              <w:t>危害</w:t>
            </w:r>
          </w:p>
        </w:tc>
        <w:tc>
          <w:tcPr>
            <w:tcW w:w="4568" w:type="pct"/>
            <w:gridSpan w:val="4"/>
            <w:shd w:val="clear" w:color="auto" w:fill="auto"/>
            <w:vAlign w:val="center"/>
          </w:tcPr>
          <w:p w14:paraId="74FCA499">
            <w:pPr>
              <w:jc w:val="center"/>
              <w:rPr>
                <w:rFonts w:ascii="宋体" w:hAnsi="宋体" w:eastAsia="宋体" w:cs="Times New Roman"/>
                <w:color w:val="auto"/>
              </w:rPr>
            </w:pPr>
            <w:r>
              <w:rPr>
                <w:rFonts w:ascii="宋体" w:hAnsi="宋体" w:eastAsia="宋体" w:cs="Times New Roman"/>
                <w:color w:val="auto"/>
              </w:rPr>
              <w:t>毒性：IV（轻度危害），属低毒类。</w:t>
            </w:r>
          </w:p>
          <w:p w14:paraId="1B4375E0">
            <w:pPr>
              <w:jc w:val="center"/>
              <w:rPr>
                <w:rFonts w:ascii="宋体" w:hAnsi="宋体" w:eastAsia="宋体" w:cs="Times New Roman"/>
                <w:color w:val="auto"/>
              </w:rPr>
            </w:pPr>
            <w:r>
              <w:rPr>
                <w:rFonts w:ascii="宋体" w:hAnsi="宋体" w:eastAsia="宋体" w:cs="Times New Roman"/>
                <w:color w:val="auto"/>
              </w:rPr>
              <w:t>侵入途径：吸入、食入、经皮吸收。</w:t>
            </w:r>
          </w:p>
          <w:p w14:paraId="060DC242">
            <w:pPr>
              <w:jc w:val="center"/>
              <w:rPr>
                <w:rFonts w:ascii="宋体" w:hAnsi="宋体" w:eastAsia="宋体" w:cs="Times New Roman"/>
                <w:color w:val="auto"/>
              </w:rPr>
            </w:pPr>
            <w:r>
              <w:rPr>
                <w:rFonts w:ascii="宋体" w:hAnsi="宋体" w:eastAsia="宋体" w:cs="Times New Roman"/>
                <w:color w:val="auto"/>
              </w:rPr>
              <w:t>健康危害：未见原油引起急慢性中毒的报道。原油在分馏、裂解和深加工过程中的产品和中间产品表现出不同的毒性。长期接触可引起皮肤损害。</w:t>
            </w:r>
          </w:p>
        </w:tc>
      </w:tr>
      <w:tr w14:paraId="76452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7428FC48">
            <w:pPr>
              <w:jc w:val="center"/>
              <w:rPr>
                <w:rFonts w:ascii="宋体" w:hAnsi="宋体" w:eastAsia="宋体"/>
                <w:color w:val="auto"/>
                <w:kern w:val="0"/>
              </w:rPr>
            </w:pPr>
            <w:r>
              <w:rPr>
                <w:rFonts w:ascii="宋体" w:hAnsi="宋体" w:eastAsia="宋体"/>
                <w:color w:val="auto"/>
                <w:kern w:val="0"/>
              </w:rPr>
              <w:t>泄漏</w:t>
            </w:r>
            <w:r>
              <w:rPr>
                <w:rFonts w:ascii="宋体" w:hAnsi="宋体" w:eastAsia="宋体" w:cs="Times New Roman"/>
                <w:color w:val="auto"/>
              </w:rPr>
              <w:t>应急</w:t>
            </w:r>
            <w:r>
              <w:rPr>
                <w:rFonts w:ascii="宋体" w:hAnsi="宋体" w:eastAsia="宋体"/>
                <w:color w:val="auto"/>
                <w:kern w:val="0"/>
              </w:rPr>
              <w:t>处理</w:t>
            </w:r>
          </w:p>
        </w:tc>
        <w:tc>
          <w:tcPr>
            <w:tcW w:w="4568" w:type="pct"/>
            <w:gridSpan w:val="4"/>
            <w:shd w:val="clear" w:color="auto" w:fill="auto"/>
            <w:vAlign w:val="center"/>
          </w:tcPr>
          <w:p w14:paraId="63635F20">
            <w:pPr>
              <w:jc w:val="center"/>
              <w:rPr>
                <w:rFonts w:ascii="宋体" w:hAnsi="宋体" w:eastAsia="宋体" w:cs="Times New Roman"/>
                <w:color w:val="auto"/>
              </w:rPr>
            </w:pPr>
            <w:r>
              <w:rPr>
                <w:rFonts w:ascii="宋体" w:hAnsi="宋体" w:eastAsia="宋体" w:cs="Times New Roman"/>
                <w:color w:val="auto"/>
              </w:rPr>
              <w:t>根据液体流动和蒸气扩散的影响区域划定警戒区，无关人员从侧风、上风向撤离至安全区。消除所有点火源。应急人员应佩戴正压式空气呼吸机，穿防火服，使用防爆等级达到要求的通讯工具。采取关闭阀门或堵漏等措施切断泄漏源。如果槽车或储罐发生泄漏，可通过倒罐转移尚未泄漏的液体。构筑围堤或挖坑收容泄漏物，防止流入河流、下水道、排洪沟等地方。收容的泄漏液用防爆泵转移至槽车或专用收集器内。用砂土吸收残液。</w:t>
            </w:r>
          </w:p>
        </w:tc>
      </w:tr>
      <w:tr w14:paraId="558FE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5667AC51">
            <w:pPr>
              <w:jc w:val="center"/>
              <w:rPr>
                <w:rFonts w:ascii="宋体" w:hAnsi="宋体" w:eastAsia="宋体" w:cs="Times New Roman"/>
                <w:color w:val="auto"/>
              </w:rPr>
            </w:pPr>
            <w:r>
              <w:rPr>
                <w:rFonts w:ascii="宋体" w:hAnsi="宋体" w:eastAsia="宋体" w:cs="Times New Roman"/>
                <w:color w:val="auto"/>
              </w:rPr>
              <w:t>防护</w:t>
            </w:r>
          </w:p>
          <w:p w14:paraId="624A7345">
            <w:pPr>
              <w:jc w:val="center"/>
              <w:rPr>
                <w:rFonts w:ascii="宋体" w:hAnsi="宋体" w:eastAsia="宋体" w:cs="Times New Roman"/>
                <w:color w:val="auto"/>
              </w:rPr>
            </w:pPr>
            <w:r>
              <w:rPr>
                <w:rFonts w:ascii="宋体" w:hAnsi="宋体" w:eastAsia="宋体" w:cs="Times New Roman"/>
                <w:color w:val="auto"/>
              </w:rPr>
              <w:t>措施</w:t>
            </w:r>
          </w:p>
        </w:tc>
        <w:tc>
          <w:tcPr>
            <w:tcW w:w="4568" w:type="pct"/>
            <w:gridSpan w:val="4"/>
            <w:shd w:val="clear" w:color="auto" w:fill="auto"/>
            <w:vAlign w:val="center"/>
          </w:tcPr>
          <w:p w14:paraId="5D3501B8">
            <w:pPr>
              <w:jc w:val="center"/>
              <w:rPr>
                <w:rFonts w:ascii="宋体" w:hAnsi="宋体" w:eastAsia="宋体" w:cs="Times New Roman"/>
                <w:color w:val="auto"/>
              </w:rPr>
            </w:pPr>
            <w:r>
              <w:rPr>
                <w:rFonts w:ascii="宋体" w:hAnsi="宋体" w:eastAsia="宋体" w:cs="Times New Roman"/>
                <w:color w:val="auto"/>
              </w:rPr>
              <w:t>工程控制：生产过程密闭，全面通风。呼吸系统防护：空气中浓度超标时，佩戴正压式空气呼吸机。眼睛防护：必要时，戴化学安全防护眼镜。身体防护：穿防静电工作服。手防护：戴橡胶手套。其它：工作现场严禁吸烟。避免长期反复接触。</w:t>
            </w:r>
          </w:p>
        </w:tc>
      </w:tr>
      <w:tr w14:paraId="01781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0B91A9B6">
            <w:pPr>
              <w:jc w:val="center"/>
              <w:rPr>
                <w:rFonts w:ascii="宋体" w:hAnsi="宋体" w:eastAsia="宋体" w:cs="Times New Roman"/>
                <w:color w:val="auto"/>
              </w:rPr>
            </w:pPr>
            <w:r>
              <w:rPr>
                <w:rFonts w:ascii="宋体" w:hAnsi="宋体" w:eastAsia="宋体" w:cs="Times New Roman"/>
                <w:color w:val="auto"/>
              </w:rPr>
              <w:t>急救</w:t>
            </w:r>
          </w:p>
          <w:p w14:paraId="6E285DB1">
            <w:pPr>
              <w:jc w:val="center"/>
              <w:rPr>
                <w:rFonts w:ascii="宋体" w:hAnsi="宋体" w:eastAsia="宋体" w:cs="Times New Roman"/>
                <w:color w:val="auto"/>
              </w:rPr>
            </w:pPr>
            <w:r>
              <w:rPr>
                <w:rFonts w:ascii="宋体" w:hAnsi="宋体" w:eastAsia="宋体" w:cs="Times New Roman"/>
                <w:color w:val="auto"/>
              </w:rPr>
              <w:t>措施</w:t>
            </w:r>
          </w:p>
        </w:tc>
        <w:tc>
          <w:tcPr>
            <w:tcW w:w="4568" w:type="pct"/>
            <w:gridSpan w:val="4"/>
            <w:shd w:val="clear" w:color="auto" w:fill="auto"/>
            <w:vAlign w:val="center"/>
          </w:tcPr>
          <w:p w14:paraId="1D9F4072">
            <w:pPr>
              <w:jc w:val="center"/>
              <w:rPr>
                <w:rFonts w:ascii="宋体" w:hAnsi="宋体" w:eastAsia="宋体" w:cs="Times New Roman"/>
                <w:color w:val="auto"/>
              </w:rPr>
            </w:pPr>
            <w:r>
              <w:rPr>
                <w:rFonts w:ascii="宋体" w:hAnsi="宋体" w:eastAsia="宋体" w:cs="Times New Roman"/>
                <w:color w:val="auto"/>
              </w:rPr>
              <w:t>皮肤接触：脱去污染的衣着，用肥皂水及清水彻底冲洗。眼睛接触：立即提起眼睑，用流动清水冲洗。吸入：迅速脱离现场至空气新鲜处。注意保暖，呼吸困难时给输氧。呼吸停止时，立即进行人工呼吸。就医。食入：误服者给充分漱口、饮水，就医。</w:t>
            </w:r>
          </w:p>
        </w:tc>
      </w:tr>
      <w:tr w14:paraId="4D235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2" w:type="pct"/>
            <w:shd w:val="clear" w:color="auto" w:fill="auto"/>
            <w:vAlign w:val="center"/>
          </w:tcPr>
          <w:p w14:paraId="7697D1E0">
            <w:pPr>
              <w:jc w:val="center"/>
              <w:rPr>
                <w:rFonts w:ascii="宋体" w:hAnsi="宋体" w:eastAsia="宋体"/>
                <w:color w:val="auto"/>
                <w:kern w:val="0"/>
              </w:rPr>
            </w:pPr>
            <w:r>
              <w:rPr>
                <w:rFonts w:ascii="宋体" w:hAnsi="宋体" w:eastAsia="宋体"/>
                <w:color w:val="auto"/>
                <w:kern w:val="0"/>
              </w:rPr>
              <w:t>灭火</w:t>
            </w:r>
          </w:p>
          <w:p w14:paraId="395B6C26">
            <w:pPr>
              <w:jc w:val="center"/>
              <w:rPr>
                <w:rFonts w:ascii="宋体" w:hAnsi="宋体" w:eastAsia="宋体"/>
                <w:color w:val="auto"/>
                <w:kern w:val="0"/>
              </w:rPr>
            </w:pPr>
            <w:r>
              <w:rPr>
                <w:rFonts w:ascii="宋体" w:hAnsi="宋体" w:eastAsia="宋体"/>
                <w:color w:val="auto"/>
                <w:kern w:val="0"/>
              </w:rPr>
              <w:t>方法</w:t>
            </w:r>
          </w:p>
        </w:tc>
        <w:tc>
          <w:tcPr>
            <w:tcW w:w="4568" w:type="pct"/>
            <w:gridSpan w:val="4"/>
            <w:shd w:val="clear" w:color="auto" w:fill="auto"/>
            <w:vAlign w:val="center"/>
          </w:tcPr>
          <w:p w14:paraId="0350B0DF">
            <w:pPr>
              <w:jc w:val="center"/>
              <w:rPr>
                <w:rFonts w:ascii="宋体" w:hAnsi="宋体" w:eastAsia="宋体" w:cs="Times New Roman"/>
                <w:color w:val="auto"/>
              </w:rPr>
            </w:pPr>
            <w:r>
              <w:rPr>
                <w:rFonts w:ascii="宋体" w:hAnsi="宋体" w:eastAsia="宋体" w:cs="Times New Roman"/>
                <w:color w:val="auto"/>
              </w:rPr>
              <w:t>消防人员须穿全身防火防毒服，佩戴空气呼吸器，在上风向灭火。喷水冷却燃烧罐和临近罐，直至灭火结束。处在火场中若发生异常变化或发出异常声音，须马上撤离。</w:t>
            </w:r>
          </w:p>
          <w:p w14:paraId="499DFDEE">
            <w:pPr>
              <w:jc w:val="center"/>
              <w:rPr>
                <w:rFonts w:ascii="宋体" w:hAnsi="宋体" w:eastAsia="宋体" w:cs="Times New Roman"/>
                <w:color w:val="auto"/>
              </w:rPr>
            </w:pPr>
            <w:r>
              <w:rPr>
                <w:rFonts w:ascii="宋体" w:hAnsi="宋体" w:eastAsia="宋体" w:cs="Times New Roman"/>
                <w:color w:val="auto"/>
              </w:rPr>
              <w:t>灭火剂：泡沫、干粉、砂土、二氧化碳。</w:t>
            </w:r>
          </w:p>
        </w:tc>
      </w:tr>
    </w:tbl>
    <w:p w14:paraId="6119E32F">
      <w:pPr>
        <w:spacing w:line="440" w:lineRule="exact"/>
        <w:ind w:firstLine="480" w:firstLineChars="200"/>
        <w:rPr>
          <w:rFonts w:ascii="宋体" w:hAnsi="宋体" w:eastAsia="宋体"/>
          <w:color w:val="auto"/>
          <w:sz w:val="24"/>
        </w:rPr>
      </w:pPr>
      <w:r>
        <w:rPr>
          <w:rFonts w:ascii="宋体" w:hAnsi="宋体" w:eastAsia="宋体"/>
          <w:color w:val="auto"/>
          <w:sz w:val="24"/>
        </w:rPr>
        <w:t>（3）伴生气（天然气）</w:t>
      </w:r>
    </w:p>
    <w:p w14:paraId="392D6787">
      <w:pPr>
        <w:spacing w:line="440" w:lineRule="exact"/>
        <w:ind w:firstLine="480" w:firstLineChars="200"/>
        <w:rPr>
          <w:rFonts w:ascii="宋体" w:hAnsi="宋体" w:eastAsia="宋体"/>
          <w:color w:val="auto"/>
          <w:sz w:val="24"/>
        </w:rPr>
      </w:pPr>
      <w:r>
        <w:rPr>
          <w:rFonts w:ascii="宋体" w:hAnsi="宋体" w:eastAsia="宋体"/>
          <w:color w:val="auto"/>
          <w:sz w:val="24"/>
        </w:rPr>
        <w:t>天然气属甲B类易燃易爆气体，含有大量的低分子烷烃混合物，其与空气混合形成爆炸性混合物遇明火极易燃烧爆炸。如果出现泄漏，易与空气形成爆炸性混合物，而且能顺风飘动，形成着火爆炸和蔓延扩散的重要条件，遇明火回燃。天然气主要成分为甲烷，甲烷对人基本无毒，但浓度过高时，使空气中氧含量明显降低，使人窒息。当空气中甲烷达25%～30%时，可引起头痛、头晕、乏力、注意力不集中、呼吸和心跳加速、共济失调，若不及时脱离，可致窒息死亡。</w:t>
      </w:r>
    </w:p>
    <w:p w14:paraId="1DE97DA3">
      <w:pPr>
        <w:pStyle w:val="276"/>
        <w:widowControl w:val="0"/>
        <w:spacing w:line="440" w:lineRule="exact"/>
        <w:ind w:firstLine="0" w:firstLineChars="0"/>
        <w:jc w:val="center"/>
        <w:rPr>
          <w:color w:val="auto"/>
        </w:rPr>
      </w:pPr>
      <w:r>
        <w:rPr>
          <w:color w:val="auto"/>
        </w:rPr>
        <w:t>表5.8-5 天然气安全技术说明书</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7"/>
        <w:gridCol w:w="2734"/>
        <w:gridCol w:w="2729"/>
        <w:gridCol w:w="2667"/>
      </w:tblGrid>
      <w:tr w14:paraId="73F9E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5" w:type="pct"/>
            <w:gridSpan w:val="2"/>
            <w:shd w:val="clear" w:color="auto" w:fill="auto"/>
            <w:vAlign w:val="center"/>
          </w:tcPr>
          <w:p w14:paraId="218596A8">
            <w:pPr>
              <w:jc w:val="center"/>
              <w:rPr>
                <w:rFonts w:ascii="宋体" w:hAnsi="宋体" w:eastAsia="宋体"/>
                <w:color w:val="auto"/>
                <w:kern w:val="0"/>
              </w:rPr>
            </w:pPr>
            <w:r>
              <w:rPr>
                <w:rFonts w:ascii="宋体" w:hAnsi="宋体" w:eastAsia="宋体"/>
                <w:color w:val="auto"/>
                <w:kern w:val="0"/>
              </w:rPr>
              <w:t xml:space="preserve">CAS号 </w:t>
            </w:r>
          </w:p>
        </w:tc>
        <w:tc>
          <w:tcPr>
            <w:tcW w:w="2905" w:type="pct"/>
            <w:gridSpan w:val="2"/>
            <w:shd w:val="clear" w:color="auto" w:fill="auto"/>
            <w:vAlign w:val="center"/>
          </w:tcPr>
          <w:p w14:paraId="1CF1669A">
            <w:pPr>
              <w:jc w:val="center"/>
              <w:rPr>
                <w:rFonts w:ascii="宋体" w:hAnsi="宋体" w:eastAsia="宋体"/>
                <w:color w:val="auto"/>
                <w:kern w:val="0"/>
              </w:rPr>
            </w:pPr>
            <w:r>
              <w:rPr>
                <w:rFonts w:ascii="宋体" w:hAnsi="宋体" w:eastAsia="宋体"/>
                <w:color w:val="auto"/>
                <w:kern w:val="0"/>
              </w:rPr>
              <w:t xml:space="preserve">74-82-8 </w:t>
            </w:r>
          </w:p>
        </w:tc>
      </w:tr>
      <w:tr w14:paraId="6B868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5" w:type="pct"/>
            <w:gridSpan w:val="2"/>
            <w:shd w:val="clear" w:color="auto" w:fill="auto"/>
            <w:vAlign w:val="center"/>
          </w:tcPr>
          <w:p w14:paraId="54D06723">
            <w:pPr>
              <w:jc w:val="center"/>
              <w:rPr>
                <w:rFonts w:ascii="宋体" w:hAnsi="宋体" w:eastAsia="宋体"/>
                <w:color w:val="auto"/>
                <w:kern w:val="0"/>
              </w:rPr>
            </w:pPr>
            <w:r>
              <w:rPr>
                <w:rFonts w:ascii="宋体" w:hAnsi="宋体" w:eastAsia="宋体"/>
                <w:color w:val="auto"/>
                <w:kern w:val="0"/>
              </w:rPr>
              <w:t xml:space="preserve">中文名称 </w:t>
            </w:r>
          </w:p>
        </w:tc>
        <w:tc>
          <w:tcPr>
            <w:tcW w:w="2905" w:type="pct"/>
            <w:gridSpan w:val="2"/>
            <w:shd w:val="clear" w:color="auto" w:fill="auto"/>
            <w:vAlign w:val="center"/>
          </w:tcPr>
          <w:p w14:paraId="5A117A1D">
            <w:pPr>
              <w:jc w:val="center"/>
              <w:rPr>
                <w:rFonts w:ascii="宋体" w:hAnsi="宋体" w:eastAsia="宋体"/>
                <w:color w:val="auto"/>
                <w:kern w:val="0"/>
              </w:rPr>
            </w:pPr>
            <w:r>
              <w:rPr>
                <w:rFonts w:ascii="宋体" w:hAnsi="宋体" w:eastAsia="宋体"/>
                <w:color w:val="auto"/>
                <w:kern w:val="0"/>
              </w:rPr>
              <w:t xml:space="preserve">天然气 </w:t>
            </w:r>
          </w:p>
        </w:tc>
      </w:tr>
      <w:tr w14:paraId="2247F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21FE8F25">
            <w:pPr>
              <w:jc w:val="center"/>
              <w:rPr>
                <w:rFonts w:ascii="宋体" w:hAnsi="宋体" w:eastAsia="宋体"/>
                <w:color w:val="auto"/>
                <w:kern w:val="0"/>
              </w:rPr>
            </w:pPr>
            <w:r>
              <w:rPr>
                <w:rFonts w:ascii="宋体" w:hAnsi="宋体" w:eastAsia="宋体"/>
                <w:color w:val="auto"/>
                <w:kern w:val="0"/>
              </w:rPr>
              <w:t xml:space="preserve">分子式 </w:t>
            </w:r>
          </w:p>
        </w:tc>
        <w:tc>
          <w:tcPr>
            <w:tcW w:w="1472" w:type="pct"/>
            <w:shd w:val="clear" w:color="auto" w:fill="auto"/>
            <w:vAlign w:val="center"/>
          </w:tcPr>
          <w:p w14:paraId="3DC643E7">
            <w:pPr>
              <w:jc w:val="center"/>
              <w:rPr>
                <w:rFonts w:ascii="宋体" w:hAnsi="宋体" w:eastAsia="宋体"/>
                <w:color w:val="auto"/>
                <w:kern w:val="0"/>
              </w:rPr>
            </w:pPr>
            <w:r>
              <w:rPr>
                <w:rFonts w:ascii="宋体" w:hAnsi="宋体" w:eastAsia="宋体"/>
                <w:color w:val="auto"/>
                <w:kern w:val="0"/>
              </w:rPr>
              <w:t>CH</w:t>
            </w:r>
            <w:r>
              <w:rPr>
                <w:rFonts w:ascii="宋体" w:hAnsi="宋体" w:eastAsia="宋体"/>
                <w:color w:val="auto"/>
                <w:kern w:val="0"/>
                <w:vertAlign w:val="subscript"/>
              </w:rPr>
              <w:t>4</w:t>
            </w:r>
            <w:r>
              <w:rPr>
                <w:rFonts w:ascii="宋体" w:hAnsi="宋体" w:eastAsia="宋体"/>
                <w:color w:val="auto"/>
                <w:kern w:val="0"/>
              </w:rPr>
              <w:t xml:space="preserve"> </w:t>
            </w:r>
          </w:p>
        </w:tc>
        <w:tc>
          <w:tcPr>
            <w:tcW w:w="1469" w:type="pct"/>
            <w:shd w:val="clear" w:color="auto" w:fill="auto"/>
            <w:vAlign w:val="center"/>
          </w:tcPr>
          <w:p w14:paraId="7A27B700">
            <w:pPr>
              <w:jc w:val="center"/>
              <w:rPr>
                <w:rFonts w:ascii="宋体" w:hAnsi="宋体" w:eastAsia="宋体"/>
                <w:color w:val="auto"/>
                <w:kern w:val="0"/>
              </w:rPr>
            </w:pPr>
            <w:r>
              <w:rPr>
                <w:rFonts w:ascii="宋体" w:hAnsi="宋体" w:eastAsia="宋体"/>
                <w:color w:val="auto"/>
                <w:kern w:val="0"/>
              </w:rPr>
              <w:t xml:space="preserve">外观与性状 </w:t>
            </w:r>
          </w:p>
        </w:tc>
        <w:tc>
          <w:tcPr>
            <w:tcW w:w="1436" w:type="pct"/>
            <w:shd w:val="clear" w:color="auto" w:fill="auto"/>
            <w:vAlign w:val="center"/>
          </w:tcPr>
          <w:p w14:paraId="60A48325">
            <w:pPr>
              <w:jc w:val="center"/>
              <w:rPr>
                <w:rFonts w:ascii="宋体" w:hAnsi="宋体" w:eastAsia="宋体"/>
                <w:color w:val="auto"/>
                <w:kern w:val="0"/>
              </w:rPr>
            </w:pPr>
            <w:r>
              <w:rPr>
                <w:rFonts w:ascii="宋体" w:hAnsi="宋体" w:eastAsia="宋体"/>
                <w:color w:val="auto"/>
                <w:kern w:val="0"/>
              </w:rPr>
              <w:t xml:space="preserve">无色无臭气体。 </w:t>
            </w:r>
          </w:p>
        </w:tc>
      </w:tr>
      <w:tr w14:paraId="70FF2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3EE564FC">
            <w:pPr>
              <w:jc w:val="center"/>
              <w:rPr>
                <w:rFonts w:ascii="宋体" w:hAnsi="宋体" w:eastAsia="宋体"/>
                <w:color w:val="auto"/>
                <w:kern w:val="0"/>
              </w:rPr>
            </w:pPr>
            <w:r>
              <w:rPr>
                <w:rFonts w:ascii="宋体" w:hAnsi="宋体" w:eastAsia="宋体"/>
                <w:color w:val="auto"/>
                <w:kern w:val="0"/>
              </w:rPr>
              <w:t xml:space="preserve">分子量 </w:t>
            </w:r>
          </w:p>
        </w:tc>
        <w:tc>
          <w:tcPr>
            <w:tcW w:w="1472" w:type="pct"/>
            <w:shd w:val="clear" w:color="auto" w:fill="auto"/>
            <w:vAlign w:val="center"/>
          </w:tcPr>
          <w:p w14:paraId="015FE301">
            <w:pPr>
              <w:jc w:val="center"/>
              <w:rPr>
                <w:rFonts w:ascii="宋体" w:hAnsi="宋体" w:eastAsia="宋体"/>
                <w:color w:val="auto"/>
                <w:kern w:val="0"/>
              </w:rPr>
            </w:pPr>
            <w:r>
              <w:rPr>
                <w:rFonts w:ascii="宋体" w:hAnsi="宋体" w:eastAsia="宋体"/>
                <w:color w:val="auto"/>
                <w:kern w:val="0"/>
              </w:rPr>
              <w:t xml:space="preserve">16.04 </w:t>
            </w:r>
          </w:p>
        </w:tc>
        <w:tc>
          <w:tcPr>
            <w:tcW w:w="1469" w:type="pct"/>
            <w:shd w:val="clear" w:color="auto" w:fill="auto"/>
            <w:vAlign w:val="center"/>
          </w:tcPr>
          <w:p w14:paraId="56944D77">
            <w:pPr>
              <w:jc w:val="center"/>
              <w:rPr>
                <w:rFonts w:ascii="宋体" w:hAnsi="宋体" w:eastAsia="宋体"/>
                <w:color w:val="auto"/>
                <w:kern w:val="0"/>
              </w:rPr>
            </w:pPr>
            <w:r>
              <w:rPr>
                <w:rFonts w:ascii="宋体" w:hAnsi="宋体" w:eastAsia="宋体"/>
                <w:color w:val="auto"/>
                <w:kern w:val="0"/>
              </w:rPr>
              <w:t xml:space="preserve">蒸汽压 </w:t>
            </w:r>
          </w:p>
        </w:tc>
        <w:tc>
          <w:tcPr>
            <w:tcW w:w="1436" w:type="pct"/>
            <w:shd w:val="clear" w:color="auto" w:fill="auto"/>
            <w:vAlign w:val="center"/>
          </w:tcPr>
          <w:p w14:paraId="126CBF9A">
            <w:pPr>
              <w:jc w:val="center"/>
              <w:rPr>
                <w:rFonts w:ascii="宋体" w:hAnsi="宋体" w:eastAsia="宋体"/>
                <w:color w:val="auto"/>
                <w:kern w:val="0"/>
              </w:rPr>
            </w:pPr>
            <w:r>
              <w:rPr>
                <w:rFonts w:ascii="宋体" w:hAnsi="宋体" w:eastAsia="宋体"/>
                <w:color w:val="auto"/>
                <w:kern w:val="0"/>
              </w:rPr>
              <w:t xml:space="preserve">53.32kPa/-168.8℃ </w:t>
            </w:r>
          </w:p>
        </w:tc>
      </w:tr>
      <w:tr w14:paraId="26E9B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08BD7AE4">
            <w:pPr>
              <w:jc w:val="center"/>
              <w:rPr>
                <w:rFonts w:ascii="宋体" w:hAnsi="宋体" w:eastAsia="宋体"/>
                <w:color w:val="auto"/>
                <w:kern w:val="0"/>
              </w:rPr>
            </w:pPr>
            <w:r>
              <w:rPr>
                <w:rFonts w:ascii="宋体" w:hAnsi="宋体" w:eastAsia="宋体"/>
                <w:color w:val="auto"/>
                <w:kern w:val="0"/>
              </w:rPr>
              <w:t xml:space="preserve">沸点 </w:t>
            </w:r>
          </w:p>
        </w:tc>
        <w:tc>
          <w:tcPr>
            <w:tcW w:w="1472" w:type="pct"/>
            <w:shd w:val="clear" w:color="auto" w:fill="auto"/>
            <w:vAlign w:val="center"/>
          </w:tcPr>
          <w:p w14:paraId="68203CE4">
            <w:pPr>
              <w:jc w:val="center"/>
              <w:rPr>
                <w:rFonts w:ascii="宋体" w:hAnsi="宋体" w:eastAsia="宋体"/>
                <w:color w:val="auto"/>
                <w:kern w:val="0"/>
              </w:rPr>
            </w:pPr>
            <w:r>
              <w:rPr>
                <w:rFonts w:ascii="宋体" w:hAnsi="宋体" w:eastAsia="宋体"/>
                <w:color w:val="auto"/>
                <w:kern w:val="0"/>
              </w:rPr>
              <w:t xml:space="preserve">-161.5℃ </w:t>
            </w:r>
          </w:p>
        </w:tc>
        <w:tc>
          <w:tcPr>
            <w:tcW w:w="1469" w:type="pct"/>
            <w:shd w:val="clear" w:color="auto" w:fill="auto"/>
            <w:vAlign w:val="center"/>
          </w:tcPr>
          <w:p w14:paraId="37CCDC48">
            <w:pPr>
              <w:jc w:val="center"/>
              <w:rPr>
                <w:rFonts w:ascii="宋体" w:hAnsi="宋体" w:eastAsia="宋体"/>
                <w:color w:val="auto"/>
                <w:kern w:val="0"/>
              </w:rPr>
            </w:pPr>
            <w:r>
              <w:rPr>
                <w:rFonts w:ascii="宋体" w:hAnsi="宋体" w:eastAsia="宋体"/>
                <w:color w:val="auto"/>
                <w:kern w:val="0"/>
              </w:rPr>
              <w:t xml:space="preserve">闪点 </w:t>
            </w:r>
          </w:p>
        </w:tc>
        <w:tc>
          <w:tcPr>
            <w:tcW w:w="1436" w:type="pct"/>
            <w:shd w:val="clear" w:color="auto" w:fill="auto"/>
            <w:vAlign w:val="center"/>
          </w:tcPr>
          <w:p w14:paraId="492B8DBF">
            <w:pPr>
              <w:jc w:val="center"/>
              <w:rPr>
                <w:rFonts w:ascii="宋体" w:hAnsi="宋体" w:eastAsia="宋体"/>
                <w:color w:val="auto"/>
                <w:kern w:val="0"/>
              </w:rPr>
            </w:pPr>
            <w:r>
              <w:rPr>
                <w:rFonts w:ascii="宋体" w:hAnsi="宋体" w:eastAsia="宋体"/>
                <w:color w:val="auto"/>
                <w:kern w:val="0"/>
              </w:rPr>
              <w:t xml:space="preserve">-188℃ </w:t>
            </w:r>
          </w:p>
        </w:tc>
      </w:tr>
      <w:tr w14:paraId="29AC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7058765E">
            <w:pPr>
              <w:jc w:val="center"/>
              <w:rPr>
                <w:rFonts w:ascii="宋体" w:hAnsi="宋体" w:eastAsia="宋体"/>
                <w:color w:val="auto"/>
                <w:kern w:val="0"/>
              </w:rPr>
            </w:pPr>
            <w:r>
              <w:rPr>
                <w:rFonts w:ascii="宋体" w:hAnsi="宋体" w:eastAsia="宋体"/>
                <w:color w:val="auto"/>
                <w:kern w:val="0"/>
              </w:rPr>
              <w:t xml:space="preserve">熔点 </w:t>
            </w:r>
          </w:p>
        </w:tc>
        <w:tc>
          <w:tcPr>
            <w:tcW w:w="1472" w:type="pct"/>
            <w:shd w:val="clear" w:color="auto" w:fill="auto"/>
            <w:vAlign w:val="center"/>
          </w:tcPr>
          <w:p w14:paraId="0CC1DD80">
            <w:pPr>
              <w:jc w:val="center"/>
              <w:rPr>
                <w:rFonts w:ascii="宋体" w:hAnsi="宋体" w:eastAsia="宋体"/>
                <w:color w:val="auto"/>
                <w:kern w:val="0"/>
              </w:rPr>
            </w:pPr>
            <w:r>
              <w:rPr>
                <w:rFonts w:ascii="宋体" w:hAnsi="宋体" w:eastAsia="宋体"/>
                <w:color w:val="auto"/>
                <w:kern w:val="0"/>
              </w:rPr>
              <w:t xml:space="preserve">-182.5℃ </w:t>
            </w:r>
          </w:p>
        </w:tc>
        <w:tc>
          <w:tcPr>
            <w:tcW w:w="1469" w:type="pct"/>
            <w:shd w:val="clear" w:color="auto" w:fill="auto"/>
            <w:vAlign w:val="center"/>
          </w:tcPr>
          <w:p w14:paraId="045B39F7">
            <w:pPr>
              <w:jc w:val="center"/>
              <w:rPr>
                <w:rFonts w:ascii="宋体" w:hAnsi="宋体" w:eastAsia="宋体"/>
                <w:color w:val="auto"/>
                <w:kern w:val="0"/>
              </w:rPr>
            </w:pPr>
            <w:r>
              <w:rPr>
                <w:rFonts w:ascii="宋体" w:hAnsi="宋体" w:eastAsia="宋体"/>
                <w:color w:val="auto"/>
                <w:kern w:val="0"/>
              </w:rPr>
              <w:t xml:space="preserve">溶解性 </w:t>
            </w:r>
          </w:p>
        </w:tc>
        <w:tc>
          <w:tcPr>
            <w:tcW w:w="1436" w:type="pct"/>
            <w:shd w:val="clear" w:color="auto" w:fill="auto"/>
            <w:vAlign w:val="center"/>
          </w:tcPr>
          <w:p w14:paraId="3ACB70A1">
            <w:pPr>
              <w:jc w:val="center"/>
              <w:rPr>
                <w:rFonts w:ascii="宋体" w:hAnsi="宋体" w:eastAsia="宋体"/>
                <w:color w:val="auto"/>
                <w:kern w:val="0"/>
              </w:rPr>
            </w:pPr>
            <w:r>
              <w:rPr>
                <w:rFonts w:ascii="宋体" w:hAnsi="宋体" w:eastAsia="宋体"/>
                <w:color w:val="auto"/>
                <w:kern w:val="0"/>
              </w:rPr>
              <w:t xml:space="preserve">微溶于水，溶于醇、乙醚。 </w:t>
            </w:r>
          </w:p>
        </w:tc>
      </w:tr>
      <w:tr w14:paraId="02ECF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5D350B09">
            <w:pPr>
              <w:jc w:val="center"/>
              <w:rPr>
                <w:rFonts w:ascii="宋体" w:hAnsi="宋体" w:eastAsia="宋体"/>
                <w:color w:val="auto"/>
                <w:kern w:val="0"/>
              </w:rPr>
            </w:pPr>
            <w:r>
              <w:rPr>
                <w:rFonts w:ascii="宋体" w:hAnsi="宋体" w:eastAsia="宋体"/>
                <w:color w:val="auto"/>
                <w:kern w:val="0"/>
              </w:rPr>
              <w:t xml:space="preserve">密度 </w:t>
            </w:r>
          </w:p>
        </w:tc>
        <w:tc>
          <w:tcPr>
            <w:tcW w:w="1472" w:type="pct"/>
            <w:shd w:val="clear" w:color="auto" w:fill="auto"/>
            <w:vAlign w:val="center"/>
          </w:tcPr>
          <w:p w14:paraId="56F53C99">
            <w:pPr>
              <w:jc w:val="center"/>
              <w:rPr>
                <w:rFonts w:ascii="宋体" w:hAnsi="宋体" w:eastAsia="宋体"/>
                <w:color w:val="auto"/>
                <w:kern w:val="0"/>
              </w:rPr>
            </w:pPr>
            <w:r>
              <w:rPr>
                <w:rFonts w:ascii="宋体" w:hAnsi="宋体" w:eastAsia="宋体"/>
                <w:color w:val="auto"/>
                <w:kern w:val="0"/>
              </w:rPr>
              <w:t xml:space="preserve">相对密度（空气=1）0.55 </w:t>
            </w:r>
          </w:p>
        </w:tc>
        <w:tc>
          <w:tcPr>
            <w:tcW w:w="1469" w:type="pct"/>
            <w:shd w:val="clear" w:color="auto" w:fill="auto"/>
            <w:vAlign w:val="center"/>
          </w:tcPr>
          <w:p w14:paraId="19229BBE">
            <w:pPr>
              <w:jc w:val="center"/>
              <w:rPr>
                <w:rFonts w:ascii="宋体" w:hAnsi="宋体" w:eastAsia="宋体"/>
                <w:color w:val="auto"/>
                <w:kern w:val="0"/>
              </w:rPr>
            </w:pPr>
            <w:r>
              <w:rPr>
                <w:rFonts w:ascii="宋体" w:hAnsi="宋体" w:eastAsia="宋体"/>
                <w:color w:val="auto"/>
                <w:kern w:val="0"/>
              </w:rPr>
              <w:t xml:space="preserve">稳定性 </w:t>
            </w:r>
          </w:p>
        </w:tc>
        <w:tc>
          <w:tcPr>
            <w:tcW w:w="1436" w:type="pct"/>
            <w:shd w:val="clear" w:color="auto" w:fill="auto"/>
            <w:vAlign w:val="center"/>
          </w:tcPr>
          <w:p w14:paraId="5FBD798D">
            <w:pPr>
              <w:jc w:val="center"/>
              <w:rPr>
                <w:rFonts w:ascii="宋体" w:hAnsi="宋体" w:eastAsia="宋体"/>
                <w:color w:val="auto"/>
                <w:kern w:val="0"/>
              </w:rPr>
            </w:pPr>
            <w:r>
              <w:rPr>
                <w:rFonts w:ascii="宋体" w:hAnsi="宋体" w:eastAsia="宋体"/>
                <w:color w:val="auto"/>
                <w:kern w:val="0"/>
              </w:rPr>
              <w:t xml:space="preserve">稳定 </w:t>
            </w:r>
          </w:p>
        </w:tc>
      </w:tr>
      <w:tr w14:paraId="61819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57214337">
            <w:pPr>
              <w:jc w:val="center"/>
              <w:rPr>
                <w:rFonts w:ascii="宋体" w:hAnsi="宋体" w:eastAsia="宋体"/>
                <w:color w:val="auto"/>
                <w:kern w:val="0"/>
              </w:rPr>
            </w:pPr>
            <w:r>
              <w:rPr>
                <w:rFonts w:ascii="宋体" w:hAnsi="宋体" w:eastAsia="宋体"/>
                <w:color w:val="auto"/>
                <w:kern w:val="0"/>
              </w:rPr>
              <w:t xml:space="preserve">爆炸极限 </w:t>
            </w:r>
          </w:p>
        </w:tc>
        <w:tc>
          <w:tcPr>
            <w:tcW w:w="1472" w:type="pct"/>
            <w:shd w:val="clear" w:color="auto" w:fill="auto"/>
            <w:vAlign w:val="center"/>
          </w:tcPr>
          <w:p w14:paraId="321C7FD5">
            <w:pPr>
              <w:jc w:val="center"/>
              <w:rPr>
                <w:rFonts w:ascii="宋体" w:hAnsi="宋体" w:eastAsia="宋体"/>
                <w:color w:val="auto"/>
                <w:kern w:val="0"/>
              </w:rPr>
            </w:pPr>
            <w:r>
              <w:rPr>
                <w:rFonts w:ascii="宋体" w:hAnsi="宋体" w:eastAsia="宋体"/>
                <w:color w:val="auto"/>
                <w:kern w:val="0"/>
              </w:rPr>
              <w:t xml:space="preserve">空气中5.3～15％（体积） </w:t>
            </w:r>
          </w:p>
        </w:tc>
        <w:tc>
          <w:tcPr>
            <w:tcW w:w="1469" w:type="pct"/>
            <w:shd w:val="clear" w:color="auto" w:fill="auto"/>
            <w:vAlign w:val="center"/>
          </w:tcPr>
          <w:p w14:paraId="0A60D99C">
            <w:pPr>
              <w:jc w:val="center"/>
              <w:rPr>
                <w:rFonts w:ascii="宋体" w:hAnsi="宋体" w:eastAsia="宋体"/>
                <w:color w:val="auto"/>
                <w:kern w:val="0"/>
              </w:rPr>
            </w:pPr>
            <w:r>
              <w:rPr>
                <w:rFonts w:ascii="宋体" w:hAnsi="宋体" w:eastAsia="宋体"/>
                <w:color w:val="auto"/>
                <w:kern w:val="0"/>
              </w:rPr>
              <w:t xml:space="preserve">自燃温度 </w:t>
            </w:r>
          </w:p>
        </w:tc>
        <w:tc>
          <w:tcPr>
            <w:tcW w:w="1436" w:type="pct"/>
            <w:shd w:val="clear" w:color="auto" w:fill="auto"/>
            <w:vAlign w:val="center"/>
          </w:tcPr>
          <w:p w14:paraId="4088F73C">
            <w:pPr>
              <w:jc w:val="center"/>
              <w:rPr>
                <w:rFonts w:ascii="宋体" w:hAnsi="宋体" w:eastAsia="宋体"/>
                <w:color w:val="auto"/>
                <w:kern w:val="0"/>
              </w:rPr>
            </w:pPr>
            <w:r>
              <w:rPr>
                <w:rFonts w:ascii="宋体" w:hAnsi="宋体" w:eastAsia="宋体"/>
                <w:color w:val="auto"/>
                <w:kern w:val="0"/>
              </w:rPr>
              <w:t xml:space="preserve">538℃ </w:t>
            </w:r>
          </w:p>
        </w:tc>
      </w:tr>
      <w:tr w14:paraId="0BC71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42846D28">
            <w:pPr>
              <w:jc w:val="center"/>
              <w:rPr>
                <w:rFonts w:ascii="宋体" w:hAnsi="宋体" w:eastAsia="宋体"/>
                <w:color w:val="auto"/>
                <w:kern w:val="0"/>
              </w:rPr>
            </w:pPr>
            <w:r>
              <w:rPr>
                <w:rFonts w:ascii="宋体" w:hAnsi="宋体" w:eastAsia="宋体"/>
                <w:color w:val="auto"/>
                <w:kern w:val="0"/>
              </w:rPr>
              <w:t>主要用途</w:t>
            </w:r>
          </w:p>
        </w:tc>
        <w:tc>
          <w:tcPr>
            <w:tcW w:w="4377" w:type="pct"/>
            <w:gridSpan w:val="3"/>
            <w:shd w:val="clear" w:color="auto" w:fill="auto"/>
            <w:vAlign w:val="center"/>
          </w:tcPr>
          <w:p w14:paraId="6D5C5F76">
            <w:pPr>
              <w:jc w:val="center"/>
              <w:rPr>
                <w:rFonts w:ascii="宋体" w:hAnsi="宋体" w:eastAsia="宋体"/>
                <w:color w:val="auto"/>
                <w:kern w:val="0"/>
              </w:rPr>
            </w:pPr>
            <w:r>
              <w:rPr>
                <w:rFonts w:ascii="宋体" w:hAnsi="宋体" w:eastAsia="宋体"/>
                <w:color w:val="auto"/>
                <w:kern w:val="0"/>
              </w:rPr>
              <w:t xml:space="preserve">用作燃料和用于炭黑、氢、乙炔、甲醛等的制造。 </w:t>
            </w:r>
          </w:p>
        </w:tc>
      </w:tr>
      <w:tr w14:paraId="0B20A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7040D7AB">
            <w:pPr>
              <w:jc w:val="center"/>
              <w:rPr>
                <w:rFonts w:ascii="宋体" w:hAnsi="宋体" w:eastAsia="宋体"/>
                <w:color w:val="auto"/>
                <w:kern w:val="0"/>
              </w:rPr>
            </w:pPr>
            <w:r>
              <w:rPr>
                <w:rFonts w:ascii="宋体" w:hAnsi="宋体" w:eastAsia="宋体"/>
                <w:color w:val="auto"/>
                <w:kern w:val="0"/>
              </w:rPr>
              <w:t>危险特性</w:t>
            </w:r>
          </w:p>
        </w:tc>
        <w:tc>
          <w:tcPr>
            <w:tcW w:w="4377" w:type="pct"/>
            <w:gridSpan w:val="3"/>
            <w:shd w:val="clear" w:color="auto" w:fill="auto"/>
            <w:vAlign w:val="center"/>
          </w:tcPr>
          <w:p w14:paraId="029EA9DF">
            <w:pPr>
              <w:jc w:val="center"/>
              <w:rPr>
                <w:rFonts w:ascii="宋体" w:hAnsi="宋体" w:eastAsia="宋体"/>
                <w:color w:val="auto"/>
                <w:kern w:val="0"/>
              </w:rPr>
            </w:pPr>
            <w:r>
              <w:rPr>
                <w:rFonts w:ascii="宋体" w:hAnsi="宋体" w:eastAsia="宋体"/>
                <w:color w:val="auto"/>
                <w:kern w:val="0"/>
              </w:rPr>
              <w:t xml:space="preserve">危险性类别：第2.1类易燃气体 </w:t>
            </w:r>
          </w:p>
          <w:p w14:paraId="1BE76F1C">
            <w:pPr>
              <w:jc w:val="center"/>
              <w:rPr>
                <w:rFonts w:ascii="宋体" w:hAnsi="宋体" w:eastAsia="宋体"/>
                <w:color w:val="auto"/>
                <w:kern w:val="0"/>
              </w:rPr>
            </w:pPr>
            <w:r>
              <w:rPr>
                <w:rFonts w:ascii="宋体" w:hAnsi="宋体" w:eastAsia="宋体"/>
                <w:color w:val="auto"/>
                <w:kern w:val="0"/>
              </w:rPr>
              <w:t xml:space="preserve">燃烧与爆炸特性：易燃，与空气混合能形成爆炸性混合物，遇热源和明火有燃烧爆炸的危险。与五氧化溴、氯气、次氯酸、三氟化氮、液氧、二氟化氧及其它强氧化剂接触剧烈反应。 </w:t>
            </w:r>
          </w:p>
          <w:p w14:paraId="189E4744">
            <w:pPr>
              <w:jc w:val="center"/>
              <w:rPr>
                <w:rFonts w:ascii="宋体" w:hAnsi="宋体" w:eastAsia="宋体"/>
                <w:color w:val="auto"/>
                <w:kern w:val="0"/>
              </w:rPr>
            </w:pPr>
            <w:r>
              <w:rPr>
                <w:rFonts w:ascii="宋体" w:hAnsi="宋体" w:eastAsia="宋体"/>
                <w:color w:val="auto"/>
                <w:kern w:val="0"/>
              </w:rPr>
              <w:t xml:space="preserve">燃烧（分解）产物：一氧化碳、二氧化碳。 </w:t>
            </w:r>
          </w:p>
        </w:tc>
      </w:tr>
      <w:tr w14:paraId="19114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7ED0B62F">
            <w:pPr>
              <w:jc w:val="center"/>
              <w:rPr>
                <w:rFonts w:ascii="宋体" w:hAnsi="宋体" w:eastAsia="宋体"/>
                <w:color w:val="auto"/>
                <w:kern w:val="0"/>
              </w:rPr>
            </w:pPr>
            <w:r>
              <w:rPr>
                <w:rFonts w:ascii="宋体" w:hAnsi="宋体" w:eastAsia="宋体"/>
                <w:color w:val="auto"/>
                <w:kern w:val="0"/>
              </w:rPr>
              <w:t>健康危害</w:t>
            </w:r>
          </w:p>
        </w:tc>
        <w:tc>
          <w:tcPr>
            <w:tcW w:w="4377" w:type="pct"/>
            <w:gridSpan w:val="3"/>
            <w:shd w:val="clear" w:color="auto" w:fill="auto"/>
            <w:vAlign w:val="center"/>
          </w:tcPr>
          <w:p w14:paraId="27EA1AD1">
            <w:pPr>
              <w:jc w:val="center"/>
              <w:rPr>
                <w:rFonts w:ascii="宋体" w:hAnsi="宋体" w:eastAsia="宋体"/>
                <w:color w:val="auto"/>
                <w:kern w:val="0"/>
              </w:rPr>
            </w:pPr>
            <w:r>
              <w:rPr>
                <w:rFonts w:ascii="宋体" w:hAnsi="宋体" w:eastAsia="宋体"/>
                <w:color w:val="auto"/>
                <w:kern w:val="0"/>
              </w:rPr>
              <w:t xml:space="preserve">侵入途径：吸入 </w:t>
            </w:r>
          </w:p>
          <w:p w14:paraId="5B139393">
            <w:pPr>
              <w:jc w:val="center"/>
              <w:rPr>
                <w:rFonts w:ascii="宋体" w:hAnsi="宋体" w:eastAsia="宋体"/>
                <w:color w:val="auto"/>
                <w:kern w:val="0"/>
              </w:rPr>
            </w:pPr>
            <w:r>
              <w:rPr>
                <w:rFonts w:ascii="宋体" w:hAnsi="宋体" w:eastAsia="宋体"/>
                <w:color w:val="auto"/>
                <w:kern w:val="0"/>
              </w:rPr>
              <w:t xml:space="preserve">健康危害：甲烷对人基本无毒，但浓度过高时，使空气中氧含量明显降低，使人窒息。当空气中甲烷达25%～30%时，可引起头痛、头晕、乏力、注意力不集中、呼吸和心跳加速、共济失调。若不及时脱离，可致窒息死亡。皮肤接触液化本品，可致冻伤。 </w:t>
            </w:r>
          </w:p>
        </w:tc>
      </w:tr>
      <w:tr w14:paraId="54DF8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4788DEA2">
            <w:pPr>
              <w:jc w:val="center"/>
              <w:rPr>
                <w:rFonts w:ascii="宋体" w:hAnsi="宋体" w:eastAsia="宋体"/>
                <w:color w:val="auto"/>
                <w:kern w:val="0"/>
              </w:rPr>
            </w:pPr>
            <w:r>
              <w:rPr>
                <w:rFonts w:ascii="宋体" w:hAnsi="宋体" w:eastAsia="宋体"/>
                <w:color w:val="auto"/>
                <w:kern w:val="0"/>
              </w:rPr>
              <w:t>泄漏应急处理</w:t>
            </w:r>
          </w:p>
        </w:tc>
        <w:tc>
          <w:tcPr>
            <w:tcW w:w="4377" w:type="pct"/>
            <w:gridSpan w:val="3"/>
            <w:shd w:val="clear" w:color="auto" w:fill="auto"/>
            <w:vAlign w:val="center"/>
          </w:tcPr>
          <w:p w14:paraId="68D1D4DA">
            <w:pPr>
              <w:jc w:val="center"/>
              <w:rPr>
                <w:rFonts w:ascii="宋体" w:hAnsi="宋体" w:eastAsia="宋体"/>
                <w:color w:val="auto"/>
                <w:kern w:val="0"/>
              </w:rPr>
            </w:pPr>
            <w:r>
              <w:rPr>
                <w:rFonts w:ascii="宋体" w:hAnsi="宋体" w:eastAsia="宋体"/>
                <w:color w:val="auto"/>
                <w:kern w:val="0"/>
              </w:rPr>
              <w:t xml:space="preserve">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 </w:t>
            </w:r>
          </w:p>
        </w:tc>
      </w:tr>
      <w:tr w14:paraId="45E7B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1F45682F">
            <w:pPr>
              <w:jc w:val="center"/>
              <w:rPr>
                <w:rFonts w:ascii="宋体" w:hAnsi="宋体" w:eastAsia="宋体"/>
                <w:color w:val="auto"/>
                <w:kern w:val="0"/>
              </w:rPr>
            </w:pPr>
            <w:r>
              <w:rPr>
                <w:rFonts w:ascii="宋体" w:hAnsi="宋体" w:eastAsia="宋体"/>
                <w:color w:val="auto"/>
                <w:kern w:val="0"/>
              </w:rPr>
              <w:t>防护措施</w:t>
            </w:r>
          </w:p>
        </w:tc>
        <w:tc>
          <w:tcPr>
            <w:tcW w:w="4377" w:type="pct"/>
            <w:gridSpan w:val="3"/>
            <w:shd w:val="clear" w:color="auto" w:fill="auto"/>
            <w:vAlign w:val="center"/>
          </w:tcPr>
          <w:p w14:paraId="44BA9B61">
            <w:pPr>
              <w:jc w:val="center"/>
              <w:rPr>
                <w:rFonts w:ascii="宋体" w:hAnsi="宋体" w:eastAsia="宋体"/>
                <w:color w:val="auto"/>
                <w:kern w:val="0"/>
              </w:rPr>
            </w:pPr>
            <w:r>
              <w:rPr>
                <w:rFonts w:ascii="宋体" w:hAnsi="宋体" w:eastAsia="宋体"/>
                <w:color w:val="auto"/>
                <w:kern w:val="0"/>
              </w:rPr>
              <w:t xml:space="preserve">呼吸系统防护：一般不需要特殊防护，但建议特殊情况下，佩戴自吸过滤式防毒面具（半面罩）。眼睛防护：一般不需要特别防护，高浓度接触时可戴安全防护眼镜。身体防护：穿防静电工作服。手防护：戴一般作业防护手套。其它：工作现场严禁吸烟。避免长期反复接触。进入罐、限制性空间或其它高浓度区作业，须有人监护。 </w:t>
            </w:r>
          </w:p>
        </w:tc>
      </w:tr>
      <w:tr w14:paraId="4B88C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6648482F">
            <w:pPr>
              <w:jc w:val="center"/>
              <w:rPr>
                <w:rFonts w:ascii="宋体" w:hAnsi="宋体" w:eastAsia="宋体"/>
                <w:color w:val="auto"/>
                <w:kern w:val="0"/>
              </w:rPr>
            </w:pPr>
            <w:r>
              <w:rPr>
                <w:rFonts w:ascii="宋体" w:hAnsi="宋体" w:eastAsia="宋体"/>
                <w:color w:val="auto"/>
                <w:kern w:val="0"/>
              </w:rPr>
              <w:t>急救措施</w:t>
            </w:r>
          </w:p>
        </w:tc>
        <w:tc>
          <w:tcPr>
            <w:tcW w:w="4377" w:type="pct"/>
            <w:gridSpan w:val="3"/>
            <w:shd w:val="clear" w:color="auto" w:fill="auto"/>
            <w:vAlign w:val="center"/>
          </w:tcPr>
          <w:p w14:paraId="7E061CB8">
            <w:pPr>
              <w:jc w:val="center"/>
              <w:rPr>
                <w:rFonts w:ascii="宋体" w:hAnsi="宋体" w:eastAsia="宋体"/>
                <w:color w:val="auto"/>
                <w:kern w:val="0"/>
              </w:rPr>
            </w:pPr>
            <w:r>
              <w:rPr>
                <w:rFonts w:ascii="宋体" w:hAnsi="宋体" w:eastAsia="宋体"/>
                <w:color w:val="auto"/>
                <w:kern w:val="0"/>
              </w:rPr>
              <w:t xml:space="preserve">皮肤接触：若有冻伤，就医治疗。吸入：迅速脱离现场至空气新鲜处。保持呼吸道通畅。如呼吸困难，给输氧。如呼吸停止，立即进行人工呼吸，就医。 </w:t>
            </w:r>
          </w:p>
        </w:tc>
      </w:tr>
      <w:tr w14:paraId="5B133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58BCB99B">
            <w:pPr>
              <w:jc w:val="center"/>
              <w:rPr>
                <w:rFonts w:ascii="宋体" w:hAnsi="宋体" w:eastAsia="宋体"/>
                <w:color w:val="auto"/>
                <w:kern w:val="0"/>
              </w:rPr>
            </w:pPr>
            <w:r>
              <w:rPr>
                <w:rFonts w:ascii="宋体" w:hAnsi="宋体" w:eastAsia="宋体"/>
                <w:color w:val="auto"/>
                <w:kern w:val="0"/>
              </w:rPr>
              <w:t>灭火方法</w:t>
            </w:r>
          </w:p>
        </w:tc>
        <w:tc>
          <w:tcPr>
            <w:tcW w:w="4377" w:type="pct"/>
            <w:gridSpan w:val="3"/>
            <w:shd w:val="clear" w:color="auto" w:fill="auto"/>
            <w:vAlign w:val="center"/>
          </w:tcPr>
          <w:p w14:paraId="5B2946D3">
            <w:pPr>
              <w:jc w:val="center"/>
              <w:rPr>
                <w:rFonts w:ascii="宋体" w:hAnsi="宋体" w:eastAsia="宋体"/>
                <w:color w:val="auto"/>
                <w:kern w:val="0"/>
              </w:rPr>
            </w:pPr>
            <w:r>
              <w:rPr>
                <w:rFonts w:ascii="宋体" w:hAnsi="宋体" w:eastAsia="宋体"/>
                <w:color w:val="auto"/>
                <w:kern w:val="0"/>
              </w:rPr>
              <w:t xml:space="preserve">切断气源。若不能立即切断气源，则不允许熄灭正在燃烧的气体。喷水冷却容器，可能的话将容器从火场移至空旷处。 </w:t>
            </w:r>
          </w:p>
          <w:p w14:paraId="598EEC7C">
            <w:pPr>
              <w:jc w:val="center"/>
              <w:rPr>
                <w:rFonts w:ascii="宋体" w:hAnsi="宋体" w:eastAsia="宋体"/>
                <w:color w:val="auto"/>
                <w:kern w:val="0"/>
              </w:rPr>
            </w:pPr>
            <w:r>
              <w:rPr>
                <w:rFonts w:ascii="宋体" w:hAnsi="宋体" w:eastAsia="宋体"/>
                <w:color w:val="auto"/>
                <w:kern w:val="0"/>
              </w:rPr>
              <w:t xml:space="preserve">灭火剂：雾状水、泡沫、二氧化碳、干粉。 </w:t>
            </w:r>
          </w:p>
        </w:tc>
      </w:tr>
    </w:tbl>
    <w:p w14:paraId="0B35A30F">
      <w:pPr>
        <w:pStyle w:val="6"/>
        <w:rPr>
          <w:color w:val="auto"/>
        </w:rPr>
      </w:pPr>
      <w:bookmarkStart w:id="1492" w:name="_Toc67860211"/>
      <w:bookmarkStart w:id="1493" w:name="_Toc127192417"/>
      <w:bookmarkStart w:id="1494" w:name="_Toc78816536"/>
      <w:bookmarkStart w:id="1495" w:name="_Toc143099656"/>
      <w:bookmarkStart w:id="1496" w:name="_Toc84929308"/>
      <w:bookmarkStart w:id="1497" w:name="_Toc80588331"/>
      <w:bookmarkStart w:id="1498" w:name="_Toc77067733"/>
      <w:bookmarkStart w:id="1499" w:name="_Toc131167369"/>
      <w:bookmarkStart w:id="1500" w:name="_Toc86142011"/>
      <w:bookmarkStart w:id="1501" w:name="_Toc76976321"/>
      <w:bookmarkStart w:id="1502" w:name="_Toc85640836"/>
      <w:bookmarkStart w:id="1503" w:name="_Toc126863468"/>
      <w:bookmarkStart w:id="1504" w:name="_Toc80971453"/>
      <w:bookmarkStart w:id="1505" w:name="_Toc70050261"/>
      <w:bookmarkStart w:id="1506" w:name="_Toc83209553"/>
      <w:r>
        <w:rPr>
          <w:color w:val="auto"/>
        </w:rPr>
        <w:t>风险识别</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23BD3C4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物质危险性识别</w:t>
      </w:r>
    </w:p>
    <w:p w14:paraId="2DBE7B16">
      <w:pPr>
        <w:pStyle w:val="276"/>
        <w:widowControl w:val="0"/>
        <w:ind w:firstLine="480"/>
        <w:jc w:val="both"/>
        <w:rPr>
          <w:color w:val="auto"/>
          <w:kern w:val="2"/>
        </w:rPr>
      </w:pPr>
      <w:r>
        <w:rPr>
          <w:color w:val="auto"/>
          <w:kern w:val="2"/>
        </w:rPr>
        <w:t>本项目施工期涉及的危险物质主要是井场柴油罐，</w:t>
      </w:r>
      <w:r>
        <w:rPr>
          <w:rFonts w:hint="eastAsia"/>
          <w:color w:val="auto"/>
          <w:kern w:val="2"/>
        </w:rPr>
        <w:t>运营期</w:t>
      </w:r>
      <w:r>
        <w:rPr>
          <w:color w:val="auto"/>
          <w:kern w:val="2"/>
        </w:rPr>
        <w:t>涉及的主要危险物质是石油开采过程中井场、拉油点及集输管线内的原油和伴生气，具有易燃、易爆的性质，火灾及爆炸还会产生爆炸伴生物一氧化碳等。</w:t>
      </w:r>
    </w:p>
    <w:p w14:paraId="7F84C82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生产系统危险性识别</w:t>
      </w:r>
    </w:p>
    <w:p w14:paraId="23FFF6E9">
      <w:pPr>
        <w:pStyle w:val="276"/>
        <w:widowControl w:val="0"/>
        <w:ind w:firstLine="480"/>
        <w:jc w:val="both"/>
        <w:rPr>
          <w:color w:val="auto"/>
          <w:kern w:val="2"/>
        </w:rPr>
      </w:pPr>
      <w:r>
        <w:rPr>
          <w:color w:val="auto"/>
          <w:kern w:val="2"/>
        </w:rPr>
        <w:t>根据本项目的油藏情况及后期运行工艺、管理水平及自然灾害等因素，本项目的环境风险主要来自施工期钻井过程中井喷、套管破损、井漏以及柴油储罐泄漏；运营期的井下作业过程、采油过程和拉油点储罐集输过程等工艺环节。</w:t>
      </w:r>
    </w:p>
    <w:p w14:paraId="2DB001AB">
      <w:pPr>
        <w:pStyle w:val="276"/>
        <w:widowControl w:val="0"/>
        <w:ind w:firstLine="480"/>
        <w:jc w:val="both"/>
        <w:rPr>
          <w:color w:val="auto"/>
          <w:kern w:val="2"/>
        </w:rPr>
      </w:pPr>
      <w:r>
        <w:rPr>
          <w:color w:val="auto"/>
          <w:kern w:val="2"/>
        </w:rPr>
        <w:t>大庆油田自开发初期至今已有百年的历史，已完钻的探井和生产井近万口，根据调查了解，井喷事故多在油田开发初期探井钻探过程中发生，主要原因是对地下情况了解掌握较少，并内蓄积压力过大而操作人员疏于观测所致，若在钻井过程中，随时注意参数变化，采取相应处理措施，是可以避免部分井喷事故发生的，因此井喷的概率极低。原油泄漏一般在油田运行中后期发生，一些输油管线在内外腐蚀作用下，易穿孔，在不同地貌环境下，所产生不同程度的环境影响。</w:t>
      </w:r>
    </w:p>
    <w:p w14:paraId="543CB95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危险物质向环境转移的途径识别</w:t>
      </w:r>
    </w:p>
    <w:p w14:paraId="38A00020">
      <w:pPr>
        <w:pStyle w:val="276"/>
        <w:widowControl w:val="0"/>
        <w:ind w:firstLine="480"/>
        <w:jc w:val="both"/>
        <w:rPr>
          <w:color w:val="auto"/>
          <w:kern w:val="2"/>
        </w:rPr>
      </w:pPr>
      <w:r>
        <w:rPr>
          <w:color w:val="auto"/>
          <w:kern w:val="2"/>
        </w:rPr>
        <w:t>（1）井喷</w:t>
      </w:r>
    </w:p>
    <w:p w14:paraId="6D318F35">
      <w:pPr>
        <w:pStyle w:val="276"/>
        <w:widowControl w:val="0"/>
        <w:ind w:firstLine="480"/>
        <w:jc w:val="both"/>
        <w:rPr>
          <w:color w:val="auto"/>
          <w:kern w:val="2"/>
        </w:rPr>
      </w:pPr>
      <w:r>
        <w:rPr>
          <w:color w:val="auto"/>
          <w:kern w:val="2"/>
        </w:rPr>
        <w:t>钻井作业是通过地面钻机等设备带动钻杆、钻头，破碎地层岩石，使井不断加深，直至目的层。当钻井作业进入含气层后，存在发生井喷事故的可能性。另外，完井和井下作业过程中也有发生井喷的可能性。井喷时大量的</w:t>
      </w:r>
      <w:r>
        <w:rPr>
          <w:color w:val="auto"/>
        </w:rPr>
        <w:t>油气</w:t>
      </w:r>
      <w:r>
        <w:rPr>
          <w:color w:val="auto"/>
          <w:kern w:val="2"/>
        </w:rPr>
        <w:t>从井口喷出，喷出的油气流可高达数十米，喷出气体几万到几十万方，原油数百以至上千吨，并且井喷发生时，当天然气在空气中的浓度达到 5%～16%时，遇火可形成爆炸，而在爆炸浓度范围以外，则极易发生火灾，无论是火灾还是爆炸均会造成灾难性的后果。在钻井过程中由于操作者直接责任而引起的井控措施不当、违反操作规程、井控措施故障是造成井喷失控事故的主要因素。通常井喷可能由以下因素引起：</w:t>
      </w:r>
    </w:p>
    <w:p w14:paraId="214FDE50">
      <w:pPr>
        <w:pStyle w:val="276"/>
        <w:widowControl w:val="0"/>
        <w:ind w:firstLine="480"/>
        <w:jc w:val="both"/>
        <w:rPr>
          <w:color w:val="auto"/>
          <w:kern w:val="2"/>
        </w:rPr>
      </w:pPr>
      <w:r>
        <w:rPr>
          <w:rFonts w:hint="eastAsia"/>
          <w:color w:val="auto"/>
          <w:kern w:val="2"/>
        </w:rPr>
        <w:t>1）</w:t>
      </w:r>
      <w:r>
        <w:rPr>
          <w:color w:val="auto"/>
          <w:kern w:val="2"/>
        </w:rPr>
        <w:t>进入地层，钻井泥浆的密度偏低，使泥浆液柱压力达不到抑制地层压力的要求，或泥浆密度不够。</w:t>
      </w:r>
    </w:p>
    <w:p w14:paraId="101078DC">
      <w:pPr>
        <w:pStyle w:val="276"/>
        <w:widowControl w:val="0"/>
        <w:ind w:firstLine="480"/>
        <w:jc w:val="both"/>
        <w:rPr>
          <w:color w:val="auto"/>
          <w:kern w:val="2"/>
        </w:rPr>
      </w:pPr>
      <w:r>
        <w:rPr>
          <w:rFonts w:hint="eastAsia"/>
          <w:color w:val="auto"/>
          <w:kern w:val="2"/>
        </w:rPr>
        <w:t>2）</w:t>
      </w:r>
      <w:r>
        <w:rPr>
          <w:color w:val="auto"/>
          <w:kern w:val="2"/>
        </w:rPr>
        <w:t>起下钻后未及时灌满井筒内的泥浆，或</w:t>
      </w:r>
      <w:r>
        <w:rPr>
          <w:color w:val="auto"/>
        </w:rPr>
        <w:t>起钻</w:t>
      </w:r>
      <w:r>
        <w:rPr>
          <w:color w:val="auto"/>
          <w:kern w:val="2"/>
        </w:rPr>
        <w:t>速度过快抽喷。</w:t>
      </w:r>
    </w:p>
    <w:p w14:paraId="62F94292">
      <w:pPr>
        <w:pStyle w:val="164"/>
        <w:numPr>
          <w:ilvl w:val="0"/>
          <w:numId w:val="19"/>
        </w:numPr>
        <w:spacing w:line="440" w:lineRule="exact"/>
        <w:jc w:val="both"/>
        <w:rPr>
          <w:rFonts w:ascii="宋体" w:hAnsi="宋体" w:eastAsia="宋体" w:cs="Times New Roman"/>
          <w:color w:val="auto"/>
        </w:rPr>
      </w:pPr>
      <w:r>
        <w:rPr>
          <w:rFonts w:ascii="宋体" w:hAnsi="宋体" w:eastAsia="宋体" w:cs="Times New Roman"/>
          <w:color w:val="auto"/>
        </w:rPr>
        <w:t>对地质情况掌握不够，地质差异认识不足，地层实际压力比预计值大。</w:t>
      </w:r>
    </w:p>
    <w:p w14:paraId="0F7BD327">
      <w:pPr>
        <w:pStyle w:val="164"/>
        <w:numPr>
          <w:ilvl w:val="0"/>
          <w:numId w:val="19"/>
        </w:numPr>
        <w:spacing w:line="440" w:lineRule="exact"/>
        <w:jc w:val="both"/>
        <w:rPr>
          <w:rFonts w:ascii="宋体" w:hAnsi="宋体" w:eastAsia="宋体" w:cs="Times New Roman"/>
          <w:color w:val="auto"/>
        </w:rPr>
      </w:pPr>
      <w:r>
        <w:rPr>
          <w:rFonts w:ascii="宋体" w:hAnsi="宋体" w:eastAsia="宋体" w:cs="Times New Roman"/>
          <w:color w:val="auto"/>
        </w:rPr>
        <w:t>井口未安装防喷器或防喷器的安装不符合要求。</w:t>
      </w:r>
    </w:p>
    <w:p w14:paraId="1C60392A">
      <w:pPr>
        <w:pStyle w:val="164"/>
        <w:numPr>
          <w:ilvl w:val="0"/>
          <w:numId w:val="19"/>
        </w:numPr>
        <w:spacing w:line="440" w:lineRule="exact"/>
        <w:jc w:val="both"/>
        <w:rPr>
          <w:rFonts w:ascii="宋体" w:hAnsi="宋体" w:eastAsia="宋体" w:cs="Times New Roman"/>
          <w:color w:val="auto"/>
        </w:rPr>
      </w:pPr>
      <w:r>
        <w:rPr>
          <w:rFonts w:ascii="宋体" w:hAnsi="宋体" w:eastAsia="宋体" w:cs="Times New Roman"/>
          <w:color w:val="auto"/>
        </w:rPr>
        <w:t>施工组织不严密，违章逾越程序。</w:t>
      </w:r>
    </w:p>
    <w:p w14:paraId="327DCA5D">
      <w:pPr>
        <w:pStyle w:val="276"/>
        <w:widowControl w:val="0"/>
        <w:ind w:firstLine="480"/>
        <w:jc w:val="both"/>
        <w:rPr>
          <w:color w:val="auto"/>
          <w:kern w:val="2"/>
        </w:rPr>
      </w:pPr>
      <w:r>
        <w:rPr>
          <w:rFonts w:hint="eastAsia"/>
          <w:color w:val="auto"/>
          <w:kern w:val="2"/>
        </w:rPr>
        <w:t>3）</w:t>
      </w:r>
      <w:r>
        <w:rPr>
          <w:color w:val="auto"/>
          <w:kern w:val="2"/>
        </w:rPr>
        <w:t>作业人员素质差，缺乏应急能力。</w:t>
      </w:r>
    </w:p>
    <w:p w14:paraId="1EC91DEA">
      <w:pPr>
        <w:pStyle w:val="276"/>
        <w:widowControl w:val="0"/>
        <w:ind w:firstLine="480"/>
        <w:jc w:val="both"/>
        <w:rPr>
          <w:color w:val="auto"/>
          <w:kern w:val="2"/>
        </w:rPr>
      </w:pPr>
      <w:r>
        <w:rPr>
          <w:color w:val="auto"/>
          <w:kern w:val="2"/>
        </w:rPr>
        <w:t>（2）套管破损</w:t>
      </w:r>
    </w:p>
    <w:p w14:paraId="248D6277">
      <w:pPr>
        <w:pStyle w:val="276"/>
        <w:widowControl w:val="0"/>
        <w:ind w:firstLine="480"/>
        <w:jc w:val="both"/>
        <w:rPr>
          <w:color w:val="auto"/>
          <w:kern w:val="2"/>
        </w:rPr>
      </w:pPr>
      <w:r>
        <w:rPr>
          <w:color w:val="auto"/>
          <w:kern w:val="2"/>
        </w:rPr>
        <w:t>在</w:t>
      </w:r>
      <w:r>
        <w:rPr>
          <w:rFonts w:hint="eastAsia"/>
          <w:color w:val="auto"/>
          <w:kern w:val="2"/>
        </w:rPr>
        <w:t>采</w:t>
      </w:r>
      <w:r>
        <w:rPr>
          <w:color w:val="auto"/>
          <w:kern w:val="2"/>
        </w:rPr>
        <w:t>油过程中，由于腐蚀、固井质量差、地层错动等原因可能导致套管断裂或破损，使原油泄漏窜入地下水层造成污染。大庆</w:t>
      </w:r>
      <w:r>
        <w:rPr>
          <w:color w:val="auto"/>
        </w:rPr>
        <w:t>油田</w:t>
      </w:r>
      <w:r>
        <w:rPr>
          <w:color w:val="auto"/>
          <w:kern w:val="2"/>
        </w:rPr>
        <w:t>套损统计表明，98%以上的套管断裂发生在700m以下，表层套管基本没有断裂发生，且套管破损机率一般为1/1 万至1/5万，而因套损污染地下水的最大概率约为1/200万。资料显示，美国同类井套损后因外保护层失效而导致油水泄漏的概率约1/400万到1/100万。</w:t>
      </w:r>
    </w:p>
    <w:p w14:paraId="5F073B82">
      <w:pPr>
        <w:pStyle w:val="276"/>
        <w:widowControl w:val="0"/>
        <w:ind w:firstLine="480"/>
        <w:jc w:val="both"/>
        <w:rPr>
          <w:color w:val="auto"/>
          <w:kern w:val="2"/>
        </w:rPr>
      </w:pPr>
      <w:r>
        <w:rPr>
          <w:color w:val="auto"/>
          <w:kern w:val="2"/>
        </w:rPr>
        <w:t>（3）火灾、爆炸</w:t>
      </w:r>
    </w:p>
    <w:p w14:paraId="3382C09F">
      <w:pPr>
        <w:pStyle w:val="276"/>
        <w:widowControl w:val="0"/>
        <w:ind w:firstLine="480"/>
        <w:jc w:val="both"/>
        <w:rPr>
          <w:color w:val="auto"/>
          <w:kern w:val="2"/>
        </w:rPr>
      </w:pPr>
      <w:r>
        <w:rPr>
          <w:color w:val="auto"/>
          <w:kern w:val="2"/>
        </w:rPr>
        <w:t>油田开发运行过程中发生火灾爆炸的原因很多，主要包括：1）组织不严密，管理不善，违章作业导致大量的油气泄漏遇明火爆炸燃烧；2）设备缺陷主要包括因选材错误而引起的设备、管线的腐蚀、侵蚀等引发火灾、爆炸；3）设备安装时考虑不周不细，施工时施工质量差，不符合设计要求和施工验收规范，从而导致投产后发生事故；4）控制生产装置的仪表仪器失灵，造成设备操作失控，引发油气泄漏，形成火灾等。上述各类生产事故在发生火灾及爆炸安全生产危害的同时，对区域内环境也将产生严重的污染。</w:t>
      </w:r>
    </w:p>
    <w:p w14:paraId="3A2457CC">
      <w:pPr>
        <w:pStyle w:val="276"/>
        <w:widowControl w:val="0"/>
        <w:ind w:firstLine="480"/>
        <w:jc w:val="both"/>
        <w:rPr>
          <w:color w:val="auto"/>
          <w:kern w:val="2"/>
        </w:rPr>
      </w:pPr>
      <w:r>
        <w:rPr>
          <w:color w:val="auto"/>
          <w:kern w:val="2"/>
        </w:rPr>
        <w:t>（4）中毒</w:t>
      </w:r>
    </w:p>
    <w:p w14:paraId="1F490441">
      <w:pPr>
        <w:pStyle w:val="276"/>
        <w:widowControl w:val="0"/>
        <w:ind w:firstLine="480"/>
        <w:jc w:val="both"/>
        <w:rPr>
          <w:color w:val="auto"/>
          <w:kern w:val="2"/>
        </w:rPr>
      </w:pPr>
      <w:r>
        <w:rPr>
          <w:color w:val="auto"/>
          <w:kern w:val="2"/>
        </w:rPr>
        <w:t>本项目涉及的天然气毒性较低，其中天然气主要成分烃类物质毒性较低，但如果浓度过高将使人昏迷、窒息，一般在封闭或通风不良的</w:t>
      </w:r>
      <w:r>
        <w:rPr>
          <w:color w:val="auto"/>
        </w:rPr>
        <w:t>作业</w:t>
      </w:r>
      <w:r>
        <w:rPr>
          <w:color w:val="auto"/>
          <w:kern w:val="2"/>
        </w:rPr>
        <w:t>场所积聚后可能产生此类事故。阀组渗漏，管道腐蚀穿孔、超压泄漏，天然气系统安全控制装置失灵将在局部空间弥漫高浓度天然气，人员接触后将会有头晕、恶心、呼吸困难等症状，严重时将发生中毒窒息。</w:t>
      </w:r>
    </w:p>
    <w:p w14:paraId="4F34EE9B">
      <w:pPr>
        <w:pStyle w:val="276"/>
        <w:widowControl w:val="0"/>
        <w:ind w:firstLine="480"/>
        <w:jc w:val="both"/>
        <w:rPr>
          <w:color w:val="auto"/>
          <w:kern w:val="2"/>
        </w:rPr>
      </w:pPr>
      <w:r>
        <w:rPr>
          <w:color w:val="auto"/>
          <w:kern w:val="2"/>
        </w:rPr>
        <w:t>（5）物料泄漏</w:t>
      </w:r>
    </w:p>
    <w:p w14:paraId="3CB2849A">
      <w:pPr>
        <w:pStyle w:val="276"/>
        <w:widowControl w:val="0"/>
        <w:ind w:firstLine="480"/>
        <w:jc w:val="both"/>
        <w:rPr>
          <w:color w:val="auto"/>
          <w:kern w:val="2"/>
        </w:rPr>
      </w:pPr>
      <w:r>
        <w:rPr>
          <w:color w:val="auto"/>
          <w:kern w:val="2"/>
        </w:rPr>
        <w:t>正常情况下，柴油在储罐中密闭贮存，不具备发生火灾爆炸的条件。但是由于储罐的阀门、法兰连接处泄漏，操作失误等情况下，导致大量柴油释放，在空气中形成爆炸性气体，一旦遇有点火源即可引发火灾、爆炸事故。本项目在生产运行过程中由于拉油点储罐和集油管线等设备破损、腐蚀穿孔、接头密闭不严、操作失误，发生泄漏，对环境造成染。</w:t>
      </w:r>
    </w:p>
    <w:p w14:paraId="2795EF0C">
      <w:pPr>
        <w:pStyle w:val="276"/>
        <w:widowControl w:val="0"/>
        <w:ind w:firstLine="480"/>
        <w:jc w:val="both"/>
        <w:rPr>
          <w:color w:val="auto"/>
          <w:kern w:val="2"/>
        </w:rPr>
      </w:pPr>
      <w:r>
        <w:rPr>
          <w:color w:val="auto"/>
          <w:kern w:val="2"/>
        </w:rPr>
        <w:t>发生泄漏事故的人为因素：</w:t>
      </w:r>
    </w:p>
    <w:p w14:paraId="3E0076CD">
      <w:pPr>
        <w:pStyle w:val="164"/>
        <w:numPr>
          <w:ilvl w:val="0"/>
          <w:numId w:val="20"/>
        </w:numPr>
        <w:spacing w:line="440" w:lineRule="exact"/>
        <w:jc w:val="both"/>
        <w:rPr>
          <w:rFonts w:ascii="宋体" w:hAnsi="宋体" w:eastAsia="宋体" w:cs="Times New Roman"/>
          <w:color w:val="auto"/>
        </w:rPr>
      </w:pPr>
      <w:r>
        <w:rPr>
          <w:rFonts w:ascii="宋体" w:hAnsi="宋体" w:eastAsia="宋体" w:cs="Times New Roman"/>
          <w:color w:val="auto"/>
        </w:rPr>
        <w:t>管道焊接不严，检测有误，造成泄漏；</w:t>
      </w:r>
    </w:p>
    <w:p w14:paraId="32DA6F57">
      <w:pPr>
        <w:pStyle w:val="164"/>
        <w:numPr>
          <w:ilvl w:val="0"/>
          <w:numId w:val="20"/>
        </w:numPr>
        <w:spacing w:line="440" w:lineRule="exact"/>
        <w:jc w:val="both"/>
        <w:rPr>
          <w:rFonts w:ascii="宋体" w:hAnsi="宋体" w:eastAsia="宋体" w:cs="Times New Roman"/>
          <w:color w:val="auto"/>
        </w:rPr>
      </w:pPr>
      <w:r>
        <w:rPr>
          <w:rFonts w:ascii="宋体" w:hAnsi="宋体" w:eastAsia="宋体" w:cs="Times New Roman"/>
          <w:color w:val="auto"/>
        </w:rPr>
        <w:t>管道防腐涂层质量差，造成管道腐蚀；</w:t>
      </w:r>
    </w:p>
    <w:p w14:paraId="00EE206B">
      <w:pPr>
        <w:pStyle w:val="164"/>
        <w:numPr>
          <w:ilvl w:val="0"/>
          <w:numId w:val="20"/>
        </w:numPr>
        <w:spacing w:line="440" w:lineRule="exact"/>
        <w:jc w:val="both"/>
        <w:rPr>
          <w:rFonts w:ascii="宋体" w:hAnsi="宋体" w:eastAsia="宋体" w:cs="Times New Roman"/>
          <w:color w:val="auto"/>
        </w:rPr>
      </w:pPr>
      <w:r>
        <w:rPr>
          <w:rFonts w:ascii="宋体" w:hAnsi="宋体" w:eastAsia="宋体" w:cs="Times New Roman"/>
          <w:color w:val="auto"/>
        </w:rPr>
        <w:t>管材或连接缺陷，造成管道断裂，油气泄漏；</w:t>
      </w:r>
    </w:p>
    <w:p w14:paraId="4A5E6B1B">
      <w:pPr>
        <w:pStyle w:val="164"/>
        <w:numPr>
          <w:ilvl w:val="0"/>
          <w:numId w:val="20"/>
        </w:numPr>
        <w:spacing w:line="440" w:lineRule="exact"/>
        <w:jc w:val="both"/>
        <w:rPr>
          <w:rFonts w:ascii="宋体" w:hAnsi="宋体" w:eastAsia="宋体" w:cs="Times New Roman"/>
          <w:color w:val="auto"/>
        </w:rPr>
      </w:pPr>
      <w:r>
        <w:rPr>
          <w:rFonts w:ascii="宋体" w:hAnsi="宋体" w:eastAsia="宋体" w:cs="Times New Roman"/>
          <w:color w:val="auto"/>
        </w:rPr>
        <w:t>操作失误引发的憋压等造成的风险事故；</w:t>
      </w:r>
    </w:p>
    <w:p w14:paraId="233FDA88">
      <w:pPr>
        <w:pStyle w:val="164"/>
        <w:numPr>
          <w:ilvl w:val="0"/>
          <w:numId w:val="20"/>
        </w:numPr>
        <w:spacing w:line="440" w:lineRule="exact"/>
        <w:jc w:val="both"/>
        <w:rPr>
          <w:rFonts w:ascii="宋体" w:hAnsi="宋体" w:eastAsia="宋体" w:cs="Times New Roman"/>
          <w:color w:val="auto"/>
        </w:rPr>
      </w:pPr>
      <w:r>
        <w:rPr>
          <w:rFonts w:ascii="宋体" w:hAnsi="宋体" w:eastAsia="宋体" w:cs="Times New Roman"/>
          <w:color w:val="auto"/>
        </w:rPr>
        <w:t>设备故障、机械失灵、老化造成的泄漏；</w:t>
      </w:r>
    </w:p>
    <w:p w14:paraId="63AF4BAD">
      <w:pPr>
        <w:pStyle w:val="276"/>
        <w:widowControl w:val="0"/>
        <w:ind w:firstLine="480"/>
        <w:jc w:val="both"/>
        <w:rPr>
          <w:color w:val="auto"/>
          <w:kern w:val="2"/>
        </w:rPr>
      </w:pPr>
      <w:r>
        <w:rPr>
          <w:rFonts w:hint="eastAsia"/>
          <w:color w:val="auto"/>
          <w:kern w:val="2"/>
        </w:rPr>
        <w:t>1）</w:t>
      </w:r>
      <w:r>
        <w:rPr>
          <w:color w:val="auto"/>
          <w:kern w:val="2"/>
        </w:rPr>
        <w:t>动力故障引发的事故，如停电造成的阀门无法关闭、通讯线路中断无法传递控制指令等导致事故发生；</w:t>
      </w:r>
    </w:p>
    <w:p w14:paraId="56F7157F">
      <w:pPr>
        <w:pStyle w:val="276"/>
        <w:widowControl w:val="0"/>
        <w:ind w:firstLine="480"/>
        <w:jc w:val="both"/>
        <w:rPr>
          <w:color w:val="auto"/>
          <w:kern w:val="2"/>
        </w:rPr>
      </w:pPr>
      <w:r>
        <w:rPr>
          <w:rFonts w:hint="eastAsia"/>
          <w:color w:val="auto"/>
          <w:kern w:val="2"/>
        </w:rPr>
        <w:t>2）</w:t>
      </w:r>
      <w:r>
        <w:rPr>
          <w:color w:val="auto"/>
          <w:kern w:val="2"/>
        </w:rPr>
        <w:t>在管道近旁或上方进行其它生产活动时的挖掘，造成管道破裂；</w:t>
      </w:r>
    </w:p>
    <w:p w14:paraId="60008752">
      <w:pPr>
        <w:pStyle w:val="276"/>
        <w:widowControl w:val="0"/>
        <w:ind w:firstLine="480"/>
        <w:jc w:val="both"/>
        <w:rPr>
          <w:color w:val="auto"/>
          <w:kern w:val="2"/>
        </w:rPr>
      </w:pPr>
      <w:r>
        <w:rPr>
          <w:rFonts w:hint="eastAsia"/>
          <w:color w:val="auto"/>
          <w:kern w:val="2"/>
        </w:rPr>
        <w:t>3）</w:t>
      </w:r>
      <w:r>
        <w:rPr>
          <w:color w:val="auto"/>
          <w:kern w:val="2"/>
        </w:rPr>
        <w:t>其它选线不当或设计有</w:t>
      </w:r>
      <w:r>
        <w:rPr>
          <w:color w:val="auto"/>
        </w:rPr>
        <w:t>误导</w:t>
      </w:r>
      <w:r>
        <w:rPr>
          <w:color w:val="auto"/>
          <w:kern w:val="2"/>
        </w:rPr>
        <w:t>致的事故风险。</w:t>
      </w:r>
    </w:p>
    <w:p w14:paraId="0F543AFF">
      <w:pPr>
        <w:pStyle w:val="276"/>
        <w:widowControl w:val="0"/>
        <w:ind w:firstLine="480"/>
        <w:jc w:val="both"/>
        <w:rPr>
          <w:color w:val="auto"/>
          <w:kern w:val="2"/>
        </w:rPr>
      </w:pPr>
      <w:r>
        <w:rPr>
          <w:color w:val="auto"/>
          <w:kern w:val="2"/>
        </w:rPr>
        <w:t>自然风险因素是由于自然环境条件恶劣，如土壤盐渍化造成管道腐蚀等威胁管道安全。根据油田的运行经验，一般在油田</w:t>
      </w:r>
      <w:r>
        <w:rPr>
          <w:color w:val="auto"/>
        </w:rPr>
        <w:t>开发</w:t>
      </w:r>
      <w:r>
        <w:rPr>
          <w:color w:val="auto"/>
          <w:kern w:val="2"/>
        </w:rPr>
        <w:t>7</w:t>
      </w:r>
      <w:r>
        <w:rPr>
          <w:rFonts w:hint="eastAsia"/>
          <w:color w:val="auto"/>
          <w:kern w:val="2"/>
        </w:rPr>
        <w:t>～</w:t>
      </w:r>
      <w:r>
        <w:rPr>
          <w:color w:val="auto"/>
          <w:kern w:val="2"/>
        </w:rPr>
        <w:t>8年后低洼地区的油井管道可能发生腐蚀穿孔事故，而导致原油泄漏到环境中。</w:t>
      </w:r>
    </w:p>
    <w:p w14:paraId="2D67F2D3">
      <w:pPr>
        <w:pStyle w:val="276"/>
        <w:widowControl w:val="0"/>
        <w:ind w:firstLine="480"/>
        <w:jc w:val="both"/>
        <w:rPr>
          <w:color w:val="auto"/>
          <w:kern w:val="2"/>
        </w:rPr>
      </w:pPr>
      <w:r>
        <w:rPr>
          <w:color w:val="auto"/>
          <w:kern w:val="2"/>
        </w:rPr>
        <w:t>结合本项目工程内容分析，本项目施工期间对集输管线和拉油点储罐进行严格的检测，因此，不会产生大规模的油气泄漏事故。管道断裂、储罐</w:t>
      </w:r>
      <w:r>
        <w:rPr>
          <w:color w:val="auto"/>
        </w:rPr>
        <w:t>气阀</w:t>
      </w:r>
      <w:r>
        <w:rPr>
          <w:color w:val="auto"/>
          <w:kern w:val="2"/>
        </w:rPr>
        <w:t>漏气等事故，通常是通过监控系统及巡回检查对此加以控制。</w:t>
      </w:r>
    </w:p>
    <w:p w14:paraId="07DB463F">
      <w:pPr>
        <w:pStyle w:val="276"/>
        <w:widowControl w:val="0"/>
        <w:ind w:firstLine="480"/>
        <w:jc w:val="both"/>
        <w:rPr>
          <w:color w:val="auto"/>
          <w:kern w:val="2"/>
        </w:rPr>
      </w:pPr>
      <w:r>
        <w:rPr>
          <w:color w:val="auto"/>
          <w:kern w:val="2"/>
        </w:rPr>
        <w:t>本项目主要作业场所、生产设备设施环境风险识别见表5.8-6。</w:t>
      </w:r>
    </w:p>
    <w:p w14:paraId="02229E35">
      <w:pPr>
        <w:pStyle w:val="276"/>
        <w:widowControl w:val="0"/>
        <w:spacing w:line="440" w:lineRule="exact"/>
        <w:ind w:firstLine="0" w:firstLineChars="0"/>
        <w:jc w:val="center"/>
        <w:rPr>
          <w:color w:val="auto"/>
        </w:rPr>
      </w:pPr>
      <w:r>
        <w:rPr>
          <w:color w:val="auto"/>
        </w:rPr>
        <w:t>表5.8-6 工程环境风险识别表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888"/>
        <w:gridCol w:w="1395"/>
        <w:gridCol w:w="1192"/>
        <w:gridCol w:w="3486"/>
        <w:gridCol w:w="1440"/>
      </w:tblGrid>
      <w:tr w14:paraId="6F4E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7" w:type="pct"/>
            <w:shd w:val="clear" w:color="auto" w:fill="auto"/>
            <w:vAlign w:val="center"/>
          </w:tcPr>
          <w:p w14:paraId="051BF707">
            <w:pPr>
              <w:jc w:val="center"/>
              <w:rPr>
                <w:rFonts w:ascii="宋体" w:hAnsi="宋体" w:eastAsia="宋体"/>
                <w:color w:val="auto"/>
                <w:kern w:val="0"/>
              </w:rPr>
            </w:pPr>
            <w:r>
              <w:rPr>
                <w:rFonts w:hint="eastAsia" w:ascii="宋体" w:hAnsi="宋体" w:eastAsia="宋体"/>
                <w:color w:val="auto"/>
                <w:kern w:val="0"/>
              </w:rPr>
              <w:t>影响时段</w:t>
            </w:r>
          </w:p>
        </w:tc>
        <w:tc>
          <w:tcPr>
            <w:tcW w:w="478" w:type="pct"/>
            <w:shd w:val="clear" w:color="auto" w:fill="auto"/>
            <w:vAlign w:val="center"/>
          </w:tcPr>
          <w:p w14:paraId="1CE07B9F">
            <w:pPr>
              <w:jc w:val="center"/>
              <w:rPr>
                <w:rFonts w:ascii="宋体" w:hAnsi="宋体" w:eastAsia="宋体"/>
                <w:color w:val="auto"/>
                <w:kern w:val="0"/>
              </w:rPr>
            </w:pPr>
            <w:r>
              <w:rPr>
                <w:rFonts w:ascii="宋体" w:hAnsi="宋体" w:eastAsia="宋体"/>
                <w:color w:val="auto"/>
                <w:kern w:val="0"/>
              </w:rPr>
              <w:t>事故</w:t>
            </w:r>
          </w:p>
          <w:p w14:paraId="6AF35672">
            <w:pPr>
              <w:jc w:val="center"/>
              <w:rPr>
                <w:rFonts w:ascii="宋体" w:hAnsi="宋体" w:eastAsia="宋体"/>
                <w:color w:val="auto"/>
                <w:kern w:val="0"/>
              </w:rPr>
            </w:pPr>
            <w:r>
              <w:rPr>
                <w:rFonts w:ascii="宋体" w:hAnsi="宋体" w:eastAsia="宋体"/>
                <w:color w:val="auto"/>
                <w:kern w:val="0"/>
              </w:rPr>
              <w:t>类型</w:t>
            </w:r>
          </w:p>
        </w:tc>
        <w:tc>
          <w:tcPr>
            <w:tcW w:w="751" w:type="pct"/>
            <w:shd w:val="clear" w:color="auto" w:fill="auto"/>
            <w:vAlign w:val="center"/>
          </w:tcPr>
          <w:p w14:paraId="14484040">
            <w:pPr>
              <w:jc w:val="center"/>
              <w:rPr>
                <w:rFonts w:ascii="宋体" w:hAnsi="宋体" w:eastAsia="宋体"/>
                <w:color w:val="auto"/>
                <w:kern w:val="0"/>
              </w:rPr>
            </w:pPr>
            <w:r>
              <w:rPr>
                <w:rFonts w:hint="eastAsia" w:ascii="宋体" w:hAnsi="宋体" w:eastAsia="宋体"/>
                <w:color w:val="auto"/>
                <w:kern w:val="0"/>
              </w:rPr>
              <w:t>来源</w:t>
            </w:r>
          </w:p>
        </w:tc>
        <w:tc>
          <w:tcPr>
            <w:tcW w:w="642" w:type="pct"/>
            <w:shd w:val="clear" w:color="auto" w:fill="auto"/>
            <w:vAlign w:val="center"/>
          </w:tcPr>
          <w:p w14:paraId="32D5979D">
            <w:pPr>
              <w:jc w:val="center"/>
              <w:rPr>
                <w:rFonts w:ascii="宋体" w:hAnsi="宋体" w:eastAsia="宋体"/>
                <w:color w:val="auto"/>
                <w:kern w:val="0"/>
              </w:rPr>
            </w:pPr>
            <w:r>
              <w:rPr>
                <w:rFonts w:hint="eastAsia" w:ascii="宋体" w:hAnsi="宋体" w:eastAsia="宋体"/>
                <w:color w:val="auto"/>
                <w:kern w:val="0"/>
              </w:rPr>
              <w:t>危险物质</w:t>
            </w:r>
          </w:p>
        </w:tc>
        <w:tc>
          <w:tcPr>
            <w:tcW w:w="1877" w:type="pct"/>
            <w:shd w:val="clear" w:color="auto" w:fill="auto"/>
            <w:vAlign w:val="center"/>
          </w:tcPr>
          <w:p w14:paraId="47263CFF">
            <w:pPr>
              <w:jc w:val="center"/>
              <w:rPr>
                <w:rFonts w:ascii="宋体" w:hAnsi="宋体" w:eastAsia="宋体"/>
                <w:color w:val="auto"/>
                <w:kern w:val="0"/>
              </w:rPr>
            </w:pPr>
            <w:r>
              <w:rPr>
                <w:rFonts w:hint="eastAsia" w:ascii="宋体" w:hAnsi="宋体" w:eastAsia="宋体"/>
                <w:color w:val="auto"/>
                <w:kern w:val="0"/>
              </w:rPr>
              <w:t>影响环境的途径</w:t>
            </w:r>
          </w:p>
        </w:tc>
        <w:tc>
          <w:tcPr>
            <w:tcW w:w="775" w:type="pct"/>
            <w:shd w:val="clear" w:color="auto" w:fill="auto"/>
            <w:vAlign w:val="center"/>
          </w:tcPr>
          <w:p w14:paraId="20FEF01C">
            <w:pPr>
              <w:jc w:val="center"/>
              <w:rPr>
                <w:rFonts w:ascii="宋体" w:hAnsi="宋体" w:eastAsia="宋体"/>
                <w:color w:val="auto"/>
                <w:kern w:val="0"/>
              </w:rPr>
            </w:pPr>
            <w:r>
              <w:rPr>
                <w:rFonts w:hint="eastAsia" w:ascii="宋体" w:hAnsi="宋体" w:eastAsia="宋体"/>
                <w:color w:val="auto"/>
                <w:kern w:val="0"/>
              </w:rPr>
              <w:t>可能影响环境</w:t>
            </w:r>
          </w:p>
        </w:tc>
      </w:tr>
      <w:tr w14:paraId="5880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pct"/>
            <w:shd w:val="clear" w:color="auto" w:fill="auto"/>
            <w:vAlign w:val="center"/>
          </w:tcPr>
          <w:p w14:paraId="23CC1A05">
            <w:pPr>
              <w:jc w:val="center"/>
              <w:rPr>
                <w:rFonts w:ascii="宋体" w:hAnsi="宋体" w:eastAsia="宋体"/>
                <w:color w:val="auto"/>
                <w:kern w:val="0"/>
              </w:rPr>
            </w:pPr>
            <w:r>
              <w:rPr>
                <w:rFonts w:hint="eastAsia" w:ascii="宋体" w:hAnsi="宋体" w:eastAsia="宋体"/>
                <w:color w:val="auto"/>
                <w:kern w:val="0"/>
              </w:rPr>
              <w:t>施工期</w:t>
            </w:r>
          </w:p>
        </w:tc>
        <w:tc>
          <w:tcPr>
            <w:tcW w:w="478" w:type="pct"/>
            <w:shd w:val="clear" w:color="auto" w:fill="auto"/>
            <w:vAlign w:val="center"/>
          </w:tcPr>
          <w:p w14:paraId="680EEF2E">
            <w:pPr>
              <w:jc w:val="center"/>
              <w:rPr>
                <w:rFonts w:ascii="宋体" w:hAnsi="宋体" w:eastAsia="宋体"/>
                <w:color w:val="auto"/>
                <w:kern w:val="0"/>
              </w:rPr>
            </w:pPr>
            <w:r>
              <w:rPr>
                <w:rFonts w:hint="eastAsia" w:ascii="宋体" w:hAnsi="宋体" w:eastAsia="宋体"/>
                <w:color w:val="auto"/>
                <w:kern w:val="0"/>
              </w:rPr>
              <w:t>井喷</w:t>
            </w:r>
          </w:p>
        </w:tc>
        <w:tc>
          <w:tcPr>
            <w:tcW w:w="751" w:type="pct"/>
            <w:shd w:val="clear" w:color="auto" w:fill="auto"/>
            <w:vAlign w:val="center"/>
          </w:tcPr>
          <w:p w14:paraId="1FFAAED9">
            <w:pPr>
              <w:jc w:val="center"/>
              <w:rPr>
                <w:rFonts w:ascii="宋体" w:hAnsi="宋体" w:eastAsia="宋体"/>
                <w:color w:val="auto"/>
                <w:kern w:val="0"/>
              </w:rPr>
            </w:pPr>
            <w:r>
              <w:rPr>
                <w:rFonts w:hint="eastAsia" w:ascii="宋体" w:hAnsi="宋体" w:eastAsia="宋体"/>
                <w:color w:val="auto"/>
                <w:kern w:val="0"/>
              </w:rPr>
              <w:t>井口</w:t>
            </w:r>
          </w:p>
        </w:tc>
        <w:tc>
          <w:tcPr>
            <w:tcW w:w="642" w:type="pct"/>
            <w:shd w:val="clear" w:color="auto" w:fill="auto"/>
            <w:vAlign w:val="center"/>
          </w:tcPr>
          <w:p w14:paraId="6F128D53">
            <w:pPr>
              <w:jc w:val="center"/>
              <w:rPr>
                <w:rFonts w:ascii="宋体" w:hAnsi="宋体" w:eastAsia="宋体"/>
                <w:color w:val="auto"/>
                <w:kern w:val="0"/>
              </w:rPr>
            </w:pPr>
            <w:r>
              <w:rPr>
                <w:rFonts w:hint="eastAsia" w:ascii="宋体" w:hAnsi="宋体" w:eastAsia="宋体"/>
                <w:color w:val="auto"/>
                <w:kern w:val="0"/>
              </w:rPr>
              <w:t>原油、伴生气、钻井废水等</w:t>
            </w:r>
          </w:p>
        </w:tc>
        <w:tc>
          <w:tcPr>
            <w:tcW w:w="1877" w:type="pct"/>
            <w:shd w:val="clear" w:color="auto" w:fill="auto"/>
            <w:vAlign w:val="center"/>
          </w:tcPr>
          <w:p w14:paraId="35C4A8D5">
            <w:pPr>
              <w:jc w:val="center"/>
              <w:rPr>
                <w:rFonts w:ascii="宋体" w:hAnsi="宋体" w:eastAsia="宋体"/>
                <w:color w:val="auto"/>
                <w:kern w:val="0"/>
              </w:rPr>
            </w:pPr>
            <w:r>
              <w:rPr>
                <w:rFonts w:hint="eastAsia" w:ascii="宋体" w:hAnsi="宋体" w:eastAsia="宋体"/>
                <w:color w:val="auto"/>
                <w:kern w:val="0"/>
              </w:rPr>
              <w:t>①原油泄漏进入地表环境，</w:t>
            </w:r>
            <w:r>
              <w:rPr>
                <w:rFonts w:ascii="宋体" w:hAnsi="宋体" w:eastAsia="宋体"/>
                <w:color w:val="auto"/>
                <w:kern w:val="0"/>
              </w:rPr>
              <w:t>阻塞土壤孔隙，使土壤板结，通透性变差，不利于植物生长</w:t>
            </w:r>
            <w:r>
              <w:rPr>
                <w:rFonts w:hint="eastAsia" w:ascii="宋体" w:hAnsi="宋体" w:eastAsia="宋体"/>
                <w:color w:val="auto"/>
                <w:kern w:val="0"/>
              </w:rPr>
              <w:t>；</w:t>
            </w:r>
          </w:p>
          <w:p w14:paraId="548DBAA3">
            <w:pPr>
              <w:jc w:val="center"/>
              <w:rPr>
                <w:rFonts w:ascii="宋体" w:hAnsi="宋体" w:eastAsia="宋体"/>
                <w:color w:val="auto"/>
                <w:kern w:val="0"/>
              </w:rPr>
            </w:pPr>
            <w:r>
              <w:rPr>
                <w:rFonts w:hint="eastAsia" w:ascii="宋体" w:hAnsi="宋体" w:eastAsia="宋体"/>
                <w:color w:val="auto"/>
                <w:kern w:val="0"/>
              </w:rPr>
              <w:t>②伴生气遇明火发生火灾或爆炸，</w:t>
            </w:r>
            <w:r>
              <w:rPr>
                <w:rFonts w:ascii="宋体" w:hAnsi="宋体" w:eastAsia="宋体"/>
                <w:color w:val="auto"/>
                <w:kern w:val="0"/>
              </w:rPr>
              <w:t>污染大气</w:t>
            </w:r>
            <w:r>
              <w:rPr>
                <w:rFonts w:hint="eastAsia" w:ascii="宋体" w:hAnsi="宋体" w:eastAsia="宋体"/>
                <w:color w:val="auto"/>
                <w:kern w:val="0"/>
              </w:rPr>
              <w:t>，同时</w:t>
            </w:r>
            <w:r>
              <w:rPr>
                <w:rFonts w:ascii="宋体" w:hAnsi="宋体" w:eastAsia="宋体"/>
                <w:color w:val="auto"/>
                <w:kern w:val="0"/>
              </w:rPr>
              <w:t>破坏</w:t>
            </w:r>
            <w:r>
              <w:rPr>
                <w:rFonts w:hint="eastAsia" w:ascii="宋体" w:hAnsi="宋体" w:eastAsia="宋体"/>
                <w:color w:val="auto"/>
                <w:kern w:val="0"/>
              </w:rPr>
              <w:t>周围地表</w:t>
            </w:r>
            <w:r>
              <w:rPr>
                <w:rFonts w:ascii="宋体" w:hAnsi="宋体" w:eastAsia="宋体"/>
                <w:color w:val="auto"/>
                <w:kern w:val="0"/>
              </w:rPr>
              <w:t>植被</w:t>
            </w:r>
            <w:r>
              <w:rPr>
                <w:rFonts w:hint="eastAsia" w:ascii="宋体" w:hAnsi="宋体" w:eastAsia="宋体"/>
                <w:color w:val="auto"/>
                <w:kern w:val="0"/>
              </w:rPr>
              <w:t>；</w:t>
            </w:r>
          </w:p>
          <w:p w14:paraId="5C3DCF16">
            <w:pPr>
              <w:jc w:val="center"/>
              <w:rPr>
                <w:rFonts w:ascii="宋体" w:hAnsi="宋体" w:eastAsia="宋体"/>
                <w:color w:val="auto"/>
                <w:kern w:val="0"/>
              </w:rPr>
            </w:pPr>
            <w:r>
              <w:rPr>
                <w:rFonts w:hint="eastAsia" w:ascii="宋体" w:hAnsi="宋体" w:eastAsia="宋体"/>
                <w:color w:val="auto"/>
                <w:kern w:val="0"/>
              </w:rPr>
              <w:t>③井下作业废水泄漏污染土壤、周围植被等</w:t>
            </w:r>
          </w:p>
        </w:tc>
        <w:tc>
          <w:tcPr>
            <w:tcW w:w="775" w:type="pct"/>
            <w:shd w:val="clear" w:color="auto" w:fill="auto"/>
            <w:vAlign w:val="center"/>
          </w:tcPr>
          <w:p w14:paraId="4A3E70F5">
            <w:pPr>
              <w:jc w:val="center"/>
              <w:rPr>
                <w:rFonts w:ascii="宋体" w:hAnsi="宋体" w:eastAsia="宋体"/>
                <w:color w:val="auto"/>
                <w:kern w:val="0"/>
              </w:rPr>
            </w:pPr>
            <w:r>
              <w:rPr>
                <w:rFonts w:ascii="宋体" w:hAnsi="宋体" w:eastAsia="宋体"/>
                <w:color w:val="auto"/>
                <w:kern w:val="0"/>
              </w:rPr>
              <w:t>空气、地下水、地表水、土壤</w:t>
            </w:r>
          </w:p>
        </w:tc>
      </w:tr>
      <w:tr w14:paraId="4E95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pct"/>
            <w:vMerge w:val="restart"/>
            <w:shd w:val="clear" w:color="auto" w:fill="auto"/>
            <w:vAlign w:val="center"/>
          </w:tcPr>
          <w:p w14:paraId="4CD9BDE8">
            <w:pPr>
              <w:jc w:val="center"/>
              <w:rPr>
                <w:rFonts w:ascii="宋体" w:hAnsi="宋体" w:eastAsia="宋体"/>
                <w:color w:val="auto"/>
                <w:kern w:val="0"/>
              </w:rPr>
            </w:pPr>
            <w:r>
              <w:rPr>
                <w:rFonts w:hint="eastAsia" w:ascii="宋体" w:hAnsi="宋体" w:eastAsia="宋体"/>
                <w:color w:val="auto"/>
                <w:kern w:val="0"/>
              </w:rPr>
              <w:t>运营期</w:t>
            </w:r>
          </w:p>
        </w:tc>
        <w:tc>
          <w:tcPr>
            <w:tcW w:w="478" w:type="pct"/>
            <w:shd w:val="clear" w:color="auto" w:fill="auto"/>
            <w:vAlign w:val="center"/>
          </w:tcPr>
          <w:p w14:paraId="5857410D">
            <w:pPr>
              <w:jc w:val="center"/>
              <w:rPr>
                <w:rFonts w:ascii="宋体" w:hAnsi="宋体" w:eastAsia="宋体"/>
                <w:color w:val="auto"/>
                <w:kern w:val="0"/>
              </w:rPr>
            </w:pPr>
            <w:r>
              <w:rPr>
                <w:rFonts w:hint="eastAsia" w:ascii="宋体" w:hAnsi="宋体" w:eastAsia="宋体"/>
                <w:color w:val="auto"/>
                <w:kern w:val="0"/>
              </w:rPr>
              <w:t>泄漏</w:t>
            </w:r>
          </w:p>
        </w:tc>
        <w:tc>
          <w:tcPr>
            <w:tcW w:w="751" w:type="pct"/>
            <w:shd w:val="clear" w:color="auto" w:fill="auto"/>
            <w:vAlign w:val="center"/>
          </w:tcPr>
          <w:p w14:paraId="26676C69">
            <w:pPr>
              <w:jc w:val="center"/>
              <w:rPr>
                <w:rFonts w:ascii="宋体" w:hAnsi="宋体" w:eastAsia="宋体"/>
                <w:color w:val="auto"/>
                <w:kern w:val="0"/>
              </w:rPr>
            </w:pPr>
            <w:r>
              <w:rPr>
                <w:rFonts w:hint="eastAsia" w:ascii="宋体" w:hAnsi="宋体" w:eastAsia="宋体"/>
                <w:color w:val="auto"/>
                <w:kern w:val="0"/>
              </w:rPr>
              <w:t>集油管线</w:t>
            </w:r>
          </w:p>
        </w:tc>
        <w:tc>
          <w:tcPr>
            <w:tcW w:w="642" w:type="pct"/>
            <w:shd w:val="clear" w:color="auto" w:fill="auto"/>
            <w:vAlign w:val="center"/>
          </w:tcPr>
          <w:p w14:paraId="68B6C611">
            <w:pPr>
              <w:jc w:val="center"/>
              <w:rPr>
                <w:rFonts w:ascii="宋体" w:hAnsi="宋体" w:eastAsia="宋体"/>
                <w:color w:val="auto"/>
                <w:kern w:val="0"/>
              </w:rPr>
            </w:pPr>
            <w:r>
              <w:rPr>
                <w:rFonts w:hint="eastAsia" w:ascii="宋体" w:hAnsi="宋体" w:eastAsia="宋体"/>
                <w:color w:val="auto"/>
                <w:kern w:val="0"/>
              </w:rPr>
              <w:t>原油</w:t>
            </w:r>
          </w:p>
        </w:tc>
        <w:tc>
          <w:tcPr>
            <w:tcW w:w="1877" w:type="pct"/>
            <w:shd w:val="clear" w:color="auto" w:fill="auto"/>
            <w:vAlign w:val="center"/>
          </w:tcPr>
          <w:p w14:paraId="46D976C8">
            <w:pPr>
              <w:jc w:val="center"/>
              <w:rPr>
                <w:rFonts w:ascii="宋体" w:hAnsi="宋体" w:eastAsia="宋体"/>
                <w:color w:val="auto"/>
                <w:kern w:val="0"/>
              </w:rPr>
            </w:pPr>
            <w:r>
              <w:rPr>
                <w:rFonts w:hint="eastAsia" w:ascii="宋体" w:hAnsi="宋体" w:eastAsia="宋体"/>
                <w:color w:val="auto"/>
                <w:kern w:val="0"/>
              </w:rPr>
              <w:t>①原油泄漏进入地表环境，</w:t>
            </w:r>
            <w:r>
              <w:rPr>
                <w:rFonts w:ascii="宋体" w:hAnsi="宋体" w:eastAsia="宋体"/>
                <w:color w:val="auto"/>
                <w:kern w:val="0"/>
              </w:rPr>
              <w:t>阻塞土壤孔隙，使土壤板结，通透性变差，不利于植物生长</w:t>
            </w:r>
            <w:r>
              <w:rPr>
                <w:rFonts w:hint="eastAsia" w:ascii="宋体" w:hAnsi="宋体" w:eastAsia="宋体"/>
                <w:color w:val="auto"/>
                <w:kern w:val="0"/>
              </w:rPr>
              <w:t>；</w:t>
            </w:r>
          </w:p>
          <w:p w14:paraId="1FAEB31F">
            <w:pPr>
              <w:jc w:val="center"/>
              <w:rPr>
                <w:rFonts w:ascii="宋体" w:hAnsi="宋体" w:eastAsia="宋体"/>
                <w:color w:val="auto"/>
                <w:kern w:val="0"/>
              </w:rPr>
            </w:pPr>
            <w:r>
              <w:rPr>
                <w:rFonts w:hint="eastAsia" w:ascii="宋体" w:hAnsi="宋体" w:eastAsia="宋体"/>
                <w:color w:val="auto"/>
                <w:kern w:val="0"/>
              </w:rPr>
              <w:t>②</w:t>
            </w:r>
            <w:r>
              <w:rPr>
                <w:rFonts w:ascii="宋体" w:hAnsi="宋体" w:eastAsia="宋体"/>
                <w:color w:val="auto"/>
                <w:kern w:val="0"/>
              </w:rPr>
              <w:t>原油</w:t>
            </w:r>
            <w:r>
              <w:rPr>
                <w:rFonts w:hint="eastAsia" w:ascii="宋体" w:hAnsi="宋体" w:eastAsia="宋体"/>
                <w:color w:val="auto"/>
                <w:kern w:val="0"/>
              </w:rPr>
              <w:t>泄漏进入</w:t>
            </w:r>
            <w:r>
              <w:rPr>
                <w:rFonts w:ascii="宋体" w:hAnsi="宋体" w:eastAsia="宋体"/>
                <w:color w:val="auto"/>
                <w:kern w:val="0"/>
              </w:rPr>
              <w:t>地表水体，形成油膜，</w:t>
            </w:r>
            <w:r>
              <w:rPr>
                <w:rFonts w:hint="eastAsia" w:ascii="宋体" w:hAnsi="宋体" w:eastAsia="宋体"/>
                <w:color w:val="auto"/>
                <w:kern w:val="0"/>
              </w:rPr>
              <w:t>降低水体溶解氧浓度</w:t>
            </w:r>
            <w:r>
              <w:rPr>
                <w:rFonts w:ascii="宋体" w:hAnsi="宋体" w:eastAsia="宋体"/>
                <w:color w:val="auto"/>
                <w:kern w:val="0"/>
              </w:rPr>
              <w:t>，使水质变差</w:t>
            </w:r>
          </w:p>
          <w:p w14:paraId="0C1A6549">
            <w:pPr>
              <w:jc w:val="center"/>
              <w:rPr>
                <w:rFonts w:ascii="宋体" w:hAnsi="宋体" w:eastAsia="宋体"/>
                <w:color w:val="auto"/>
                <w:kern w:val="0"/>
              </w:rPr>
            </w:pPr>
            <w:r>
              <w:rPr>
                <w:rFonts w:hint="eastAsia" w:ascii="宋体" w:hAnsi="宋体" w:eastAsia="宋体"/>
                <w:color w:val="auto"/>
                <w:kern w:val="0"/>
              </w:rPr>
              <w:t xml:space="preserve">③泄漏后聚积地面，通过地面渗透进入地下含水层，影响地下水质 </w:t>
            </w:r>
          </w:p>
        </w:tc>
        <w:tc>
          <w:tcPr>
            <w:tcW w:w="775" w:type="pct"/>
            <w:shd w:val="clear" w:color="auto" w:fill="auto"/>
            <w:vAlign w:val="center"/>
          </w:tcPr>
          <w:p w14:paraId="6BAC5DC2">
            <w:pPr>
              <w:jc w:val="center"/>
              <w:rPr>
                <w:rFonts w:ascii="宋体" w:hAnsi="宋体" w:eastAsia="宋体"/>
                <w:color w:val="auto"/>
                <w:kern w:val="0"/>
              </w:rPr>
            </w:pPr>
            <w:r>
              <w:rPr>
                <w:rFonts w:ascii="宋体" w:hAnsi="宋体" w:eastAsia="宋体"/>
                <w:color w:val="auto"/>
                <w:kern w:val="0"/>
              </w:rPr>
              <w:t>空气、地下水、地表水、土壤</w:t>
            </w:r>
          </w:p>
        </w:tc>
      </w:tr>
      <w:tr w14:paraId="1854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pct"/>
            <w:vMerge w:val="continue"/>
            <w:shd w:val="clear" w:color="auto" w:fill="auto"/>
            <w:vAlign w:val="center"/>
          </w:tcPr>
          <w:p w14:paraId="6652F15F">
            <w:pPr>
              <w:jc w:val="center"/>
              <w:rPr>
                <w:rFonts w:ascii="宋体" w:hAnsi="宋体" w:eastAsia="宋体"/>
                <w:color w:val="auto"/>
                <w:kern w:val="0"/>
              </w:rPr>
            </w:pPr>
          </w:p>
        </w:tc>
        <w:tc>
          <w:tcPr>
            <w:tcW w:w="478" w:type="pct"/>
            <w:shd w:val="clear" w:color="auto" w:fill="auto"/>
            <w:vAlign w:val="center"/>
          </w:tcPr>
          <w:p w14:paraId="1702A42E">
            <w:pPr>
              <w:jc w:val="center"/>
              <w:rPr>
                <w:rFonts w:ascii="宋体" w:hAnsi="宋体" w:eastAsia="宋体"/>
                <w:color w:val="auto"/>
                <w:kern w:val="0"/>
              </w:rPr>
            </w:pPr>
            <w:r>
              <w:rPr>
                <w:rFonts w:hint="eastAsia" w:ascii="宋体" w:hAnsi="宋体" w:eastAsia="宋体"/>
                <w:color w:val="auto"/>
                <w:kern w:val="0"/>
              </w:rPr>
              <w:t>火灾爆炸</w:t>
            </w:r>
          </w:p>
        </w:tc>
        <w:tc>
          <w:tcPr>
            <w:tcW w:w="751" w:type="pct"/>
            <w:shd w:val="clear" w:color="auto" w:fill="auto"/>
            <w:vAlign w:val="center"/>
          </w:tcPr>
          <w:p w14:paraId="5B6123F1">
            <w:pPr>
              <w:jc w:val="center"/>
              <w:rPr>
                <w:rFonts w:ascii="宋体" w:hAnsi="宋体" w:eastAsia="宋体"/>
                <w:color w:val="auto"/>
                <w:kern w:val="0"/>
              </w:rPr>
            </w:pPr>
            <w:r>
              <w:rPr>
                <w:rFonts w:hint="eastAsia" w:ascii="宋体" w:hAnsi="宋体" w:eastAsia="宋体"/>
                <w:color w:val="auto"/>
                <w:kern w:val="0"/>
              </w:rPr>
              <w:t>集油管线</w:t>
            </w:r>
          </w:p>
        </w:tc>
        <w:tc>
          <w:tcPr>
            <w:tcW w:w="642" w:type="pct"/>
            <w:shd w:val="clear" w:color="auto" w:fill="auto"/>
            <w:vAlign w:val="center"/>
          </w:tcPr>
          <w:p w14:paraId="38ACCD56">
            <w:pPr>
              <w:jc w:val="center"/>
              <w:rPr>
                <w:rFonts w:ascii="宋体" w:hAnsi="宋体" w:eastAsia="宋体"/>
                <w:color w:val="auto"/>
                <w:kern w:val="0"/>
              </w:rPr>
            </w:pPr>
            <w:r>
              <w:rPr>
                <w:rFonts w:hint="eastAsia" w:ascii="宋体" w:hAnsi="宋体" w:eastAsia="宋体"/>
                <w:color w:val="auto"/>
                <w:kern w:val="0"/>
              </w:rPr>
              <w:t>伴生气及次生污染物C</w:t>
            </w:r>
            <w:r>
              <w:rPr>
                <w:rFonts w:ascii="宋体" w:hAnsi="宋体" w:eastAsia="宋体"/>
                <w:color w:val="auto"/>
                <w:kern w:val="0"/>
              </w:rPr>
              <w:t>O</w:t>
            </w:r>
            <w:r>
              <w:rPr>
                <w:rFonts w:hint="eastAsia" w:ascii="宋体" w:hAnsi="宋体" w:eastAsia="宋体"/>
                <w:color w:val="auto"/>
                <w:kern w:val="0"/>
              </w:rPr>
              <w:t>、二氧化硫、氮氧化物等</w:t>
            </w:r>
          </w:p>
        </w:tc>
        <w:tc>
          <w:tcPr>
            <w:tcW w:w="1877" w:type="pct"/>
            <w:shd w:val="clear" w:color="auto" w:fill="auto"/>
            <w:vAlign w:val="center"/>
          </w:tcPr>
          <w:p w14:paraId="584E2E96">
            <w:pPr>
              <w:jc w:val="center"/>
              <w:rPr>
                <w:rFonts w:ascii="宋体" w:hAnsi="宋体" w:eastAsia="宋体"/>
                <w:color w:val="auto"/>
                <w:kern w:val="0"/>
              </w:rPr>
            </w:pPr>
            <w:r>
              <w:rPr>
                <w:rFonts w:hint="eastAsia" w:ascii="宋体" w:hAnsi="宋体" w:eastAsia="宋体"/>
                <w:color w:val="auto"/>
                <w:kern w:val="0"/>
              </w:rPr>
              <w:t>产生的</w:t>
            </w:r>
            <w:r>
              <w:rPr>
                <w:rFonts w:ascii="宋体" w:hAnsi="宋体" w:eastAsia="宋体"/>
                <w:color w:val="auto"/>
                <w:kern w:val="0"/>
              </w:rPr>
              <w:t>有害气体</w:t>
            </w:r>
            <w:r>
              <w:rPr>
                <w:rFonts w:hint="eastAsia" w:ascii="宋体" w:hAnsi="宋体" w:eastAsia="宋体"/>
                <w:color w:val="auto"/>
                <w:kern w:val="0"/>
              </w:rPr>
              <w:t>如伴生气等，遇明火发生火灾或爆炸，</w:t>
            </w:r>
            <w:r>
              <w:rPr>
                <w:rFonts w:ascii="宋体" w:hAnsi="宋体" w:eastAsia="宋体"/>
                <w:color w:val="auto"/>
                <w:kern w:val="0"/>
              </w:rPr>
              <w:t>污染大气</w:t>
            </w:r>
            <w:r>
              <w:rPr>
                <w:rFonts w:hint="eastAsia" w:ascii="宋体" w:hAnsi="宋体" w:eastAsia="宋体"/>
                <w:color w:val="auto"/>
                <w:kern w:val="0"/>
              </w:rPr>
              <w:t>，同时</w:t>
            </w:r>
            <w:r>
              <w:rPr>
                <w:rFonts w:ascii="宋体" w:hAnsi="宋体" w:eastAsia="宋体"/>
                <w:color w:val="auto"/>
                <w:kern w:val="0"/>
              </w:rPr>
              <w:t>破坏</w:t>
            </w:r>
            <w:r>
              <w:rPr>
                <w:rFonts w:hint="eastAsia" w:ascii="宋体" w:hAnsi="宋体" w:eastAsia="宋体"/>
                <w:color w:val="auto"/>
                <w:kern w:val="0"/>
              </w:rPr>
              <w:t>周围地表</w:t>
            </w:r>
            <w:r>
              <w:rPr>
                <w:rFonts w:ascii="宋体" w:hAnsi="宋体" w:eastAsia="宋体"/>
                <w:color w:val="auto"/>
                <w:kern w:val="0"/>
              </w:rPr>
              <w:t>植被</w:t>
            </w:r>
          </w:p>
        </w:tc>
        <w:tc>
          <w:tcPr>
            <w:tcW w:w="775" w:type="pct"/>
            <w:shd w:val="clear" w:color="auto" w:fill="auto"/>
            <w:vAlign w:val="center"/>
          </w:tcPr>
          <w:p w14:paraId="4A5E223C">
            <w:pPr>
              <w:jc w:val="center"/>
              <w:rPr>
                <w:rFonts w:ascii="宋体" w:hAnsi="宋体" w:eastAsia="宋体"/>
                <w:color w:val="auto"/>
                <w:kern w:val="0"/>
              </w:rPr>
            </w:pPr>
            <w:r>
              <w:rPr>
                <w:rFonts w:ascii="宋体" w:hAnsi="宋体" w:eastAsia="宋体"/>
                <w:color w:val="auto"/>
                <w:kern w:val="0"/>
              </w:rPr>
              <w:t>空气、土壤</w:t>
            </w:r>
            <w:r>
              <w:rPr>
                <w:rFonts w:hint="eastAsia" w:ascii="宋体" w:hAnsi="宋体" w:eastAsia="宋体"/>
                <w:color w:val="auto"/>
                <w:kern w:val="0"/>
              </w:rPr>
              <w:t>、生态</w:t>
            </w:r>
          </w:p>
        </w:tc>
      </w:tr>
      <w:tr w14:paraId="5A8C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pct"/>
            <w:vMerge w:val="continue"/>
            <w:shd w:val="clear" w:color="auto" w:fill="auto"/>
            <w:vAlign w:val="center"/>
          </w:tcPr>
          <w:p w14:paraId="6F745DBB">
            <w:pPr>
              <w:jc w:val="center"/>
              <w:rPr>
                <w:rFonts w:ascii="宋体" w:hAnsi="宋体" w:eastAsia="宋体"/>
                <w:color w:val="auto"/>
                <w:kern w:val="0"/>
              </w:rPr>
            </w:pPr>
          </w:p>
        </w:tc>
        <w:tc>
          <w:tcPr>
            <w:tcW w:w="478" w:type="pct"/>
            <w:shd w:val="clear" w:color="auto" w:fill="auto"/>
            <w:vAlign w:val="center"/>
          </w:tcPr>
          <w:p w14:paraId="5E3CC7F1">
            <w:pPr>
              <w:jc w:val="center"/>
              <w:rPr>
                <w:rFonts w:ascii="宋体" w:hAnsi="宋体" w:eastAsia="宋体"/>
                <w:color w:val="auto"/>
                <w:kern w:val="0"/>
              </w:rPr>
            </w:pPr>
            <w:r>
              <w:rPr>
                <w:rFonts w:hint="eastAsia" w:ascii="宋体" w:hAnsi="宋体" w:eastAsia="宋体"/>
                <w:color w:val="auto"/>
                <w:kern w:val="0"/>
              </w:rPr>
              <w:t>井下作业泄漏</w:t>
            </w:r>
          </w:p>
        </w:tc>
        <w:tc>
          <w:tcPr>
            <w:tcW w:w="751" w:type="pct"/>
            <w:shd w:val="clear" w:color="auto" w:fill="auto"/>
            <w:vAlign w:val="center"/>
          </w:tcPr>
          <w:p w14:paraId="5CCF4FE0">
            <w:pPr>
              <w:jc w:val="center"/>
              <w:rPr>
                <w:rFonts w:ascii="宋体" w:hAnsi="宋体" w:eastAsia="宋体"/>
                <w:color w:val="auto"/>
                <w:kern w:val="0"/>
              </w:rPr>
            </w:pPr>
            <w:r>
              <w:rPr>
                <w:rFonts w:hint="eastAsia" w:ascii="宋体" w:hAnsi="宋体" w:eastAsia="宋体"/>
                <w:color w:val="auto"/>
                <w:kern w:val="0"/>
              </w:rPr>
              <w:t>油井作业</w:t>
            </w:r>
          </w:p>
        </w:tc>
        <w:tc>
          <w:tcPr>
            <w:tcW w:w="642" w:type="pct"/>
            <w:shd w:val="clear" w:color="auto" w:fill="auto"/>
            <w:vAlign w:val="center"/>
          </w:tcPr>
          <w:p w14:paraId="183830B9">
            <w:pPr>
              <w:jc w:val="center"/>
              <w:rPr>
                <w:rFonts w:ascii="宋体" w:hAnsi="宋体" w:eastAsia="宋体"/>
                <w:color w:val="auto"/>
                <w:kern w:val="0"/>
              </w:rPr>
            </w:pPr>
            <w:r>
              <w:rPr>
                <w:rFonts w:hint="eastAsia" w:ascii="宋体" w:hAnsi="宋体" w:eastAsia="宋体"/>
                <w:color w:val="auto"/>
                <w:kern w:val="0"/>
              </w:rPr>
              <w:t>原油、伴生气、作业废水等</w:t>
            </w:r>
          </w:p>
        </w:tc>
        <w:tc>
          <w:tcPr>
            <w:tcW w:w="1877" w:type="pct"/>
            <w:shd w:val="clear" w:color="auto" w:fill="auto"/>
            <w:vAlign w:val="center"/>
          </w:tcPr>
          <w:p w14:paraId="3EB1F5B6">
            <w:pPr>
              <w:jc w:val="center"/>
              <w:rPr>
                <w:rFonts w:ascii="宋体" w:hAnsi="宋体" w:eastAsia="宋体"/>
                <w:color w:val="auto"/>
                <w:kern w:val="0"/>
              </w:rPr>
            </w:pPr>
            <w:r>
              <w:rPr>
                <w:rFonts w:hint="eastAsia" w:ascii="宋体" w:hAnsi="宋体" w:eastAsia="宋体"/>
                <w:color w:val="auto"/>
                <w:kern w:val="0"/>
              </w:rPr>
              <w:t>①原油泄漏进入地表环境，</w:t>
            </w:r>
            <w:r>
              <w:rPr>
                <w:rFonts w:ascii="宋体" w:hAnsi="宋体" w:eastAsia="宋体"/>
                <w:color w:val="auto"/>
                <w:kern w:val="0"/>
              </w:rPr>
              <w:t>阻塞土壤孔隙，使土壤板结，通透性变差，不利于植物生长</w:t>
            </w:r>
            <w:r>
              <w:rPr>
                <w:rFonts w:hint="eastAsia" w:ascii="宋体" w:hAnsi="宋体" w:eastAsia="宋体"/>
                <w:color w:val="auto"/>
                <w:kern w:val="0"/>
              </w:rPr>
              <w:t>；</w:t>
            </w:r>
          </w:p>
          <w:p w14:paraId="4C2C0C0D">
            <w:pPr>
              <w:jc w:val="center"/>
              <w:rPr>
                <w:rFonts w:ascii="宋体" w:hAnsi="宋体" w:eastAsia="宋体"/>
                <w:color w:val="auto"/>
                <w:kern w:val="0"/>
              </w:rPr>
            </w:pPr>
            <w:r>
              <w:rPr>
                <w:rFonts w:hint="eastAsia" w:ascii="宋体" w:hAnsi="宋体" w:eastAsia="宋体"/>
                <w:color w:val="auto"/>
                <w:kern w:val="0"/>
              </w:rPr>
              <w:t>②伴生气遇明火发生火灾或爆炸，</w:t>
            </w:r>
            <w:r>
              <w:rPr>
                <w:rFonts w:ascii="宋体" w:hAnsi="宋体" w:eastAsia="宋体"/>
                <w:color w:val="auto"/>
                <w:kern w:val="0"/>
              </w:rPr>
              <w:t>污染大气</w:t>
            </w:r>
            <w:r>
              <w:rPr>
                <w:rFonts w:hint="eastAsia" w:ascii="宋体" w:hAnsi="宋体" w:eastAsia="宋体"/>
                <w:color w:val="auto"/>
                <w:kern w:val="0"/>
              </w:rPr>
              <w:t>，同时</w:t>
            </w:r>
            <w:r>
              <w:rPr>
                <w:rFonts w:ascii="宋体" w:hAnsi="宋体" w:eastAsia="宋体"/>
                <w:color w:val="auto"/>
                <w:kern w:val="0"/>
              </w:rPr>
              <w:t>破坏</w:t>
            </w:r>
            <w:r>
              <w:rPr>
                <w:rFonts w:hint="eastAsia" w:ascii="宋体" w:hAnsi="宋体" w:eastAsia="宋体"/>
                <w:color w:val="auto"/>
                <w:kern w:val="0"/>
              </w:rPr>
              <w:t>周围地表</w:t>
            </w:r>
            <w:r>
              <w:rPr>
                <w:rFonts w:ascii="宋体" w:hAnsi="宋体" w:eastAsia="宋体"/>
                <w:color w:val="auto"/>
                <w:kern w:val="0"/>
              </w:rPr>
              <w:t>植被</w:t>
            </w:r>
            <w:r>
              <w:rPr>
                <w:rFonts w:hint="eastAsia" w:ascii="宋体" w:hAnsi="宋体" w:eastAsia="宋体"/>
                <w:color w:val="auto"/>
                <w:kern w:val="0"/>
              </w:rPr>
              <w:t>；</w:t>
            </w:r>
          </w:p>
          <w:p w14:paraId="50D72CC2">
            <w:pPr>
              <w:jc w:val="center"/>
              <w:rPr>
                <w:rFonts w:ascii="宋体" w:hAnsi="宋体" w:eastAsia="宋体"/>
                <w:color w:val="auto"/>
                <w:kern w:val="0"/>
              </w:rPr>
            </w:pPr>
            <w:r>
              <w:rPr>
                <w:rFonts w:hint="eastAsia" w:ascii="宋体" w:hAnsi="宋体" w:eastAsia="宋体"/>
                <w:color w:val="auto"/>
                <w:kern w:val="0"/>
              </w:rPr>
              <w:t>③井下作业废水泄漏污染土壤、周围植被等</w:t>
            </w:r>
          </w:p>
        </w:tc>
        <w:tc>
          <w:tcPr>
            <w:tcW w:w="775" w:type="pct"/>
            <w:shd w:val="clear" w:color="auto" w:fill="auto"/>
            <w:vAlign w:val="center"/>
          </w:tcPr>
          <w:p w14:paraId="69DCE6BD">
            <w:pPr>
              <w:jc w:val="center"/>
              <w:rPr>
                <w:rFonts w:ascii="宋体" w:hAnsi="宋体" w:eastAsia="宋体"/>
                <w:color w:val="auto"/>
                <w:kern w:val="0"/>
              </w:rPr>
            </w:pPr>
            <w:r>
              <w:rPr>
                <w:rFonts w:ascii="宋体" w:hAnsi="宋体" w:eastAsia="宋体"/>
                <w:color w:val="auto"/>
                <w:kern w:val="0"/>
              </w:rPr>
              <w:t>空气、地下水、地表水、土壤</w:t>
            </w:r>
          </w:p>
        </w:tc>
      </w:tr>
      <w:tr w14:paraId="001F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7" w:type="pct"/>
            <w:vMerge w:val="continue"/>
            <w:shd w:val="clear" w:color="auto" w:fill="auto"/>
            <w:vAlign w:val="center"/>
          </w:tcPr>
          <w:p w14:paraId="697311C4">
            <w:pPr>
              <w:jc w:val="center"/>
              <w:rPr>
                <w:rFonts w:ascii="宋体" w:hAnsi="宋体" w:eastAsia="宋体"/>
                <w:color w:val="auto"/>
                <w:kern w:val="0"/>
              </w:rPr>
            </w:pPr>
          </w:p>
        </w:tc>
        <w:tc>
          <w:tcPr>
            <w:tcW w:w="478" w:type="pct"/>
            <w:shd w:val="clear" w:color="auto" w:fill="auto"/>
            <w:vAlign w:val="center"/>
          </w:tcPr>
          <w:p w14:paraId="7E7D78EC">
            <w:pPr>
              <w:jc w:val="center"/>
              <w:rPr>
                <w:rFonts w:ascii="宋体" w:hAnsi="宋体" w:eastAsia="宋体"/>
                <w:color w:val="auto"/>
                <w:kern w:val="0"/>
              </w:rPr>
            </w:pPr>
            <w:r>
              <w:rPr>
                <w:rFonts w:hint="eastAsia" w:ascii="宋体" w:hAnsi="宋体" w:eastAsia="宋体"/>
                <w:color w:val="auto"/>
                <w:kern w:val="0"/>
              </w:rPr>
              <w:t>油井套损</w:t>
            </w:r>
          </w:p>
        </w:tc>
        <w:tc>
          <w:tcPr>
            <w:tcW w:w="751" w:type="pct"/>
            <w:shd w:val="clear" w:color="auto" w:fill="auto"/>
            <w:vAlign w:val="center"/>
          </w:tcPr>
          <w:p w14:paraId="2E94E514">
            <w:pPr>
              <w:jc w:val="center"/>
              <w:rPr>
                <w:rFonts w:ascii="宋体" w:hAnsi="宋体" w:eastAsia="宋体"/>
                <w:color w:val="auto"/>
                <w:kern w:val="0"/>
              </w:rPr>
            </w:pPr>
            <w:r>
              <w:rPr>
                <w:rFonts w:ascii="宋体" w:hAnsi="宋体" w:eastAsia="宋体"/>
                <w:color w:val="auto"/>
                <w:kern w:val="0"/>
              </w:rPr>
              <w:t>采油井</w:t>
            </w:r>
          </w:p>
        </w:tc>
        <w:tc>
          <w:tcPr>
            <w:tcW w:w="642" w:type="pct"/>
            <w:shd w:val="clear" w:color="auto" w:fill="auto"/>
            <w:vAlign w:val="center"/>
          </w:tcPr>
          <w:p w14:paraId="2125071C">
            <w:pPr>
              <w:jc w:val="center"/>
              <w:rPr>
                <w:rFonts w:ascii="宋体" w:hAnsi="宋体" w:eastAsia="宋体"/>
                <w:color w:val="auto"/>
                <w:kern w:val="0"/>
              </w:rPr>
            </w:pPr>
            <w:r>
              <w:rPr>
                <w:rFonts w:hint="eastAsia" w:ascii="宋体" w:hAnsi="宋体" w:eastAsia="宋体"/>
                <w:color w:val="auto"/>
                <w:kern w:val="0"/>
              </w:rPr>
              <w:t>原油</w:t>
            </w:r>
          </w:p>
        </w:tc>
        <w:tc>
          <w:tcPr>
            <w:tcW w:w="1877" w:type="pct"/>
            <w:shd w:val="clear" w:color="auto" w:fill="auto"/>
            <w:vAlign w:val="center"/>
          </w:tcPr>
          <w:p w14:paraId="248E84A8">
            <w:pPr>
              <w:jc w:val="center"/>
              <w:rPr>
                <w:rFonts w:ascii="宋体" w:hAnsi="宋体" w:eastAsia="宋体"/>
                <w:color w:val="auto"/>
                <w:kern w:val="0"/>
              </w:rPr>
            </w:pPr>
            <w:r>
              <w:rPr>
                <w:rFonts w:hint="eastAsia" w:ascii="宋体" w:hAnsi="宋体" w:eastAsia="宋体"/>
                <w:color w:val="auto"/>
                <w:kern w:val="0"/>
              </w:rPr>
              <w:t>油井套损，原油、含油污水泄漏进入含水层，污染地下水</w:t>
            </w:r>
          </w:p>
        </w:tc>
        <w:tc>
          <w:tcPr>
            <w:tcW w:w="775" w:type="pct"/>
            <w:shd w:val="clear" w:color="auto" w:fill="auto"/>
            <w:vAlign w:val="center"/>
          </w:tcPr>
          <w:p w14:paraId="0A83DF73">
            <w:pPr>
              <w:jc w:val="center"/>
              <w:rPr>
                <w:rFonts w:ascii="宋体" w:hAnsi="宋体" w:eastAsia="宋体"/>
                <w:color w:val="auto"/>
                <w:kern w:val="0"/>
              </w:rPr>
            </w:pPr>
            <w:r>
              <w:rPr>
                <w:rFonts w:hint="eastAsia" w:ascii="宋体" w:hAnsi="宋体" w:eastAsia="宋体"/>
                <w:color w:val="auto"/>
                <w:kern w:val="0"/>
              </w:rPr>
              <w:t>地下水</w:t>
            </w:r>
          </w:p>
        </w:tc>
      </w:tr>
    </w:tbl>
    <w:p w14:paraId="6660C4FB">
      <w:pPr>
        <w:pStyle w:val="79"/>
        <w:ind w:firstLine="240"/>
        <w:rPr>
          <w:rFonts w:ascii="宋体" w:hAnsi="宋体"/>
          <w:color w:val="auto"/>
        </w:rPr>
      </w:pPr>
    </w:p>
    <w:p w14:paraId="2971AFBF">
      <w:pPr>
        <w:pStyle w:val="6"/>
        <w:rPr>
          <w:color w:val="auto"/>
        </w:rPr>
      </w:pPr>
      <w:bookmarkStart w:id="1507" w:name="_Toc76976322"/>
      <w:bookmarkStart w:id="1508" w:name="_Toc80971454"/>
      <w:bookmarkStart w:id="1509" w:name="_Toc85640837"/>
      <w:bookmarkStart w:id="1510" w:name="_Toc67860212"/>
      <w:bookmarkStart w:id="1511" w:name="_Toc77067734"/>
      <w:bookmarkStart w:id="1512" w:name="_Toc80588332"/>
      <w:bookmarkStart w:id="1513" w:name="_Toc127192418"/>
      <w:bookmarkStart w:id="1514" w:name="_Toc78816537"/>
      <w:bookmarkStart w:id="1515" w:name="_Toc126863469"/>
      <w:bookmarkStart w:id="1516" w:name="_Toc143099657"/>
      <w:bookmarkStart w:id="1517" w:name="_Toc83209554"/>
      <w:bookmarkStart w:id="1518" w:name="_Toc131167370"/>
      <w:bookmarkStart w:id="1519" w:name="_Toc70050262"/>
      <w:bookmarkStart w:id="1520" w:name="_Toc84929309"/>
      <w:bookmarkStart w:id="1521" w:name="_Toc86142012"/>
      <w:r>
        <w:rPr>
          <w:color w:val="auto"/>
        </w:rPr>
        <w:t>环境风险分析</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096FFD1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事故状态下对大气环境影响</w:t>
      </w:r>
    </w:p>
    <w:p w14:paraId="284D38DE">
      <w:pPr>
        <w:spacing w:line="440" w:lineRule="exact"/>
        <w:ind w:firstLine="480" w:firstLineChars="200"/>
        <w:rPr>
          <w:rFonts w:ascii="宋体" w:hAnsi="宋体" w:eastAsia="宋体"/>
          <w:color w:val="auto"/>
          <w:sz w:val="24"/>
        </w:rPr>
      </w:pPr>
      <w:r>
        <w:rPr>
          <w:rFonts w:ascii="宋体" w:hAnsi="宋体" w:eastAsia="宋体"/>
          <w:color w:val="auto"/>
          <w:sz w:val="24"/>
        </w:rPr>
        <w:t>一般钻井时发生井喷事故较多，而钻生产井时则较少。该项目在钻井时采用了防喷措施，如加自封、半封、全封等封井器，因此发生井喷的概率很小。</w:t>
      </w:r>
    </w:p>
    <w:p w14:paraId="358B6A80">
      <w:pPr>
        <w:spacing w:line="440" w:lineRule="exact"/>
        <w:ind w:firstLine="480" w:firstLineChars="200"/>
        <w:rPr>
          <w:rFonts w:ascii="宋体" w:hAnsi="宋体" w:eastAsia="宋体"/>
          <w:color w:val="auto"/>
          <w:sz w:val="24"/>
        </w:rPr>
      </w:pPr>
      <w:r>
        <w:rPr>
          <w:rFonts w:ascii="宋体" w:hAnsi="宋体" w:eastAsia="宋体"/>
          <w:color w:val="auto"/>
          <w:sz w:val="24"/>
        </w:rPr>
        <w:t>集油管道及拉油点储罐</w:t>
      </w:r>
      <w:r>
        <w:rPr>
          <w:rFonts w:hint="eastAsia" w:ascii="宋体" w:hAnsi="宋体" w:eastAsia="宋体"/>
          <w:color w:val="auto"/>
          <w:sz w:val="24"/>
        </w:rPr>
        <w:t>集油管线泄漏事故发生时，伴生气（烃组分等）逐渐挥发进入大气，会对事故现场空气环境产生影响，局部大气中烃类浓度可能高出正常情况的数倍或更多，但不会超过井喷时因伴生气排放对大气的影响强度，更不会导致大气环境的明显恶化。</w:t>
      </w:r>
    </w:p>
    <w:p w14:paraId="40817FC6">
      <w:pPr>
        <w:spacing w:line="440" w:lineRule="exact"/>
        <w:ind w:firstLine="480" w:firstLineChars="200"/>
        <w:rPr>
          <w:rFonts w:ascii="宋体" w:hAnsi="宋体" w:eastAsia="宋体"/>
          <w:color w:val="auto"/>
          <w:sz w:val="24"/>
        </w:rPr>
      </w:pPr>
      <w:r>
        <w:rPr>
          <w:rFonts w:ascii="宋体" w:hAnsi="宋体" w:eastAsia="宋体"/>
          <w:color w:val="auto"/>
          <w:sz w:val="24"/>
        </w:rPr>
        <w:t>一般来说，</w:t>
      </w:r>
      <w:r>
        <w:rPr>
          <w:rFonts w:hint="eastAsia" w:ascii="宋体" w:hAnsi="宋体" w:eastAsia="宋体"/>
          <w:color w:val="auto"/>
          <w:sz w:val="24"/>
        </w:rPr>
        <w:t>输油管线泄漏</w:t>
      </w:r>
      <w:r>
        <w:rPr>
          <w:rFonts w:ascii="宋体" w:hAnsi="宋体" w:eastAsia="宋体"/>
          <w:color w:val="auto"/>
          <w:sz w:val="24"/>
        </w:rPr>
        <w:t>风险事故的触发因素多为设备（包括管线、阀门或其它设施）腐蚀、材质缺陷或操作失误等，</w:t>
      </w:r>
      <w:r>
        <w:rPr>
          <w:rFonts w:hint="eastAsia" w:ascii="宋体" w:hAnsi="宋体" w:eastAsia="宋体"/>
          <w:color w:val="auto"/>
          <w:sz w:val="24"/>
        </w:rPr>
        <w:t>烃类</w:t>
      </w:r>
      <w:r>
        <w:rPr>
          <w:rFonts w:ascii="宋体" w:hAnsi="宋体" w:eastAsia="宋体"/>
          <w:color w:val="auto"/>
          <w:sz w:val="24"/>
        </w:rPr>
        <w:t>泄漏至空气中，对周围大气环境造成污染；对于可能引发火灾、爆炸事故的危险物质CH</w:t>
      </w:r>
      <w:r>
        <w:rPr>
          <w:rFonts w:ascii="宋体" w:hAnsi="宋体" w:eastAsia="宋体"/>
          <w:color w:val="auto"/>
          <w:sz w:val="24"/>
          <w:vertAlign w:val="subscript"/>
        </w:rPr>
        <w:t>4</w:t>
      </w:r>
      <w:r>
        <w:rPr>
          <w:rFonts w:ascii="宋体" w:hAnsi="宋体" w:eastAsia="宋体"/>
          <w:color w:val="auto"/>
          <w:sz w:val="24"/>
        </w:rPr>
        <w:t>，还需要考虑到伴生/次生污染物如CO</w:t>
      </w:r>
      <w:r>
        <w:rPr>
          <w:rFonts w:hint="eastAsia" w:ascii="宋体" w:hAnsi="宋体" w:eastAsia="宋体"/>
          <w:color w:val="auto"/>
          <w:sz w:val="24"/>
        </w:rPr>
        <w:t>、</w:t>
      </w:r>
      <w:r>
        <w:rPr>
          <w:rFonts w:ascii="宋体" w:hAnsi="宋体" w:eastAsia="宋体"/>
          <w:color w:val="auto"/>
          <w:sz w:val="24"/>
        </w:rPr>
        <w:t>SO</w:t>
      </w:r>
      <w:r>
        <w:rPr>
          <w:rFonts w:ascii="宋体" w:hAnsi="宋体" w:eastAsia="宋体"/>
          <w:color w:val="auto"/>
          <w:sz w:val="24"/>
          <w:vertAlign w:val="subscript"/>
        </w:rPr>
        <w:t>2</w:t>
      </w:r>
      <w:r>
        <w:rPr>
          <w:rFonts w:hint="eastAsia" w:ascii="宋体" w:hAnsi="宋体" w:eastAsia="宋体"/>
          <w:color w:val="auto"/>
          <w:sz w:val="24"/>
        </w:rPr>
        <w:t>及氮氧化物</w:t>
      </w:r>
      <w:r>
        <w:rPr>
          <w:rFonts w:ascii="宋体" w:hAnsi="宋体" w:eastAsia="宋体"/>
          <w:color w:val="auto"/>
          <w:sz w:val="24"/>
        </w:rPr>
        <w:t>的排放引发的环境影响。</w:t>
      </w:r>
      <w:r>
        <w:rPr>
          <w:rFonts w:hint="eastAsia" w:ascii="宋体" w:hAnsi="宋体" w:eastAsia="宋体"/>
          <w:color w:val="auto"/>
          <w:sz w:val="24"/>
        </w:rPr>
        <w:t>另外，在火灾事故处理过程中，扑灭火灾产生的消防废水以及携带的少量油品泄漏产生的挥发性烃类物质。次生污染物若不能得到及时有效的收集和处置将会对周围环境再次造成不同程度的污染。</w:t>
      </w:r>
    </w:p>
    <w:p w14:paraId="430FAF83">
      <w:pPr>
        <w:spacing w:line="440" w:lineRule="exact"/>
        <w:ind w:firstLine="480" w:firstLineChars="200"/>
        <w:rPr>
          <w:rFonts w:ascii="宋体" w:hAnsi="宋体" w:eastAsia="宋体"/>
          <w:color w:val="auto"/>
          <w:sz w:val="24"/>
        </w:rPr>
      </w:pPr>
      <w:r>
        <w:rPr>
          <w:rFonts w:hint="eastAsia" w:ascii="宋体" w:hAnsi="宋体" w:eastAsia="宋体"/>
          <w:color w:val="auto"/>
          <w:sz w:val="24"/>
        </w:rPr>
        <w:t>通过资料调研可知，集油管线发生泄漏引起火灾的主要原因有两点。一是发现泄漏事故进行泄漏点巡查的时候，挖掘机作业引起着火。这种情况下，火灾范围在挖掘的坑内。二是在不法分子打孔盗油时，打孔机摩擦产生火灾，这种情况下喷射距离虽然可达</w:t>
      </w:r>
      <w:r>
        <w:rPr>
          <w:rFonts w:ascii="宋体" w:hAnsi="宋体" w:eastAsia="宋体"/>
          <w:color w:val="auto"/>
          <w:sz w:val="24"/>
        </w:rPr>
        <w:t>300</w:t>
      </w:r>
      <w:r>
        <w:rPr>
          <w:rFonts w:hint="eastAsia" w:ascii="宋体" w:hAnsi="宋体" w:eastAsia="宋体"/>
          <w:color w:val="auto"/>
          <w:sz w:val="24"/>
        </w:rPr>
        <w:t>m，但是火灾面积较小，不会达到</w:t>
      </w:r>
      <w:r>
        <w:rPr>
          <w:rFonts w:ascii="宋体" w:hAnsi="宋体" w:eastAsia="宋体"/>
          <w:color w:val="auto"/>
          <w:sz w:val="24"/>
        </w:rPr>
        <w:t>300</w:t>
      </w:r>
      <w:r>
        <w:rPr>
          <w:rFonts w:hint="eastAsia" w:ascii="宋体" w:hAnsi="宋体" w:eastAsia="宋体"/>
          <w:color w:val="auto"/>
          <w:sz w:val="24"/>
        </w:rPr>
        <w:t>m远。若无明火，则不产生火灾，将挥发污染环境。</w:t>
      </w:r>
    </w:p>
    <w:p w14:paraId="4BCD1399">
      <w:pPr>
        <w:spacing w:line="440" w:lineRule="exact"/>
        <w:ind w:firstLine="480" w:firstLineChars="200"/>
        <w:rPr>
          <w:rFonts w:ascii="宋体" w:hAnsi="宋体" w:eastAsia="宋体"/>
          <w:color w:val="auto"/>
          <w:sz w:val="24"/>
        </w:rPr>
      </w:pPr>
      <w:r>
        <w:rPr>
          <w:rFonts w:hint="eastAsia" w:ascii="宋体" w:hAnsi="宋体" w:eastAsia="宋体"/>
          <w:color w:val="auto"/>
          <w:sz w:val="24"/>
        </w:rPr>
        <w:t>环评建议实际操作</w:t>
      </w:r>
      <w:r>
        <w:rPr>
          <w:rFonts w:ascii="宋体" w:hAnsi="宋体" w:eastAsia="宋体"/>
          <w:color w:val="auto"/>
          <w:sz w:val="24"/>
        </w:rPr>
        <w:t>应严格执行《中华人民共和国石油天然气管道保护法》</w:t>
      </w:r>
      <w:r>
        <w:rPr>
          <w:rFonts w:hint="eastAsia" w:ascii="宋体" w:hAnsi="宋体" w:eastAsia="宋体"/>
          <w:color w:val="auto"/>
          <w:sz w:val="24"/>
        </w:rPr>
        <w:t>（主席令[2010]第30号）</w:t>
      </w:r>
      <w:r>
        <w:rPr>
          <w:rFonts w:ascii="宋体" w:hAnsi="宋体" w:eastAsia="宋体"/>
          <w:color w:val="auto"/>
          <w:sz w:val="24"/>
        </w:rPr>
        <w:t>、《石油天然气安全规程》（AQ2012-2007）等安全和运行管理要求。</w:t>
      </w:r>
      <w:r>
        <w:rPr>
          <w:rFonts w:hint="eastAsia" w:ascii="宋体" w:hAnsi="宋体" w:eastAsia="宋体"/>
          <w:color w:val="auto"/>
          <w:sz w:val="24"/>
        </w:rPr>
        <w:t>管线</w:t>
      </w:r>
      <w:r>
        <w:rPr>
          <w:rFonts w:ascii="宋体" w:hAnsi="宋体" w:eastAsia="宋体"/>
          <w:color w:val="auto"/>
          <w:sz w:val="24"/>
        </w:rPr>
        <w:t>试运行后，应进行一次智能检测，并与基础资料进行对比，以便发现</w:t>
      </w:r>
      <w:r>
        <w:rPr>
          <w:rFonts w:hint="eastAsia" w:ascii="宋体" w:hAnsi="宋体" w:eastAsia="宋体"/>
          <w:color w:val="auto"/>
          <w:sz w:val="24"/>
        </w:rPr>
        <w:t>管线</w:t>
      </w:r>
      <w:r>
        <w:rPr>
          <w:rFonts w:ascii="宋体" w:hAnsi="宋体" w:eastAsia="宋体"/>
          <w:color w:val="auto"/>
          <w:sz w:val="24"/>
        </w:rPr>
        <w:t>施工缺陷和制造缺陷，以后定期开展检测工作。根据沿线情况定期对</w:t>
      </w:r>
      <w:r>
        <w:rPr>
          <w:rFonts w:hint="eastAsia" w:ascii="宋体" w:hAnsi="宋体" w:eastAsia="宋体"/>
          <w:color w:val="auto"/>
          <w:sz w:val="24"/>
        </w:rPr>
        <w:t>管线</w:t>
      </w:r>
      <w:r>
        <w:rPr>
          <w:rFonts w:ascii="宋体" w:hAnsi="宋体" w:eastAsia="宋体"/>
          <w:color w:val="auto"/>
          <w:sz w:val="24"/>
        </w:rPr>
        <w:t>进行巡线检查</w:t>
      </w:r>
      <w:r>
        <w:rPr>
          <w:rFonts w:hint="eastAsia" w:ascii="宋体" w:hAnsi="宋体" w:eastAsia="宋体"/>
          <w:color w:val="auto"/>
          <w:sz w:val="24"/>
        </w:rPr>
        <w:t>，</w:t>
      </w:r>
      <w:r>
        <w:rPr>
          <w:rFonts w:ascii="宋体" w:hAnsi="宋体" w:eastAsia="宋体"/>
          <w:color w:val="auto"/>
          <w:sz w:val="24"/>
        </w:rPr>
        <w:t>在雨季、汛期或其它灾害发生时应加密巡查。对管线周围的居民</w:t>
      </w:r>
      <w:r>
        <w:rPr>
          <w:rFonts w:hint="eastAsia" w:ascii="宋体" w:hAnsi="宋体" w:eastAsia="宋体"/>
          <w:color w:val="auto"/>
          <w:sz w:val="24"/>
        </w:rPr>
        <w:t>、企业等做好</w:t>
      </w:r>
      <w:r>
        <w:rPr>
          <w:rFonts w:ascii="宋体" w:hAnsi="宋体" w:eastAsia="宋体"/>
          <w:color w:val="auto"/>
          <w:sz w:val="24"/>
        </w:rPr>
        <w:t>事故应急宣传，以保证一旦发生</w:t>
      </w:r>
      <w:r>
        <w:rPr>
          <w:rFonts w:hint="eastAsia" w:ascii="宋体" w:hAnsi="宋体" w:eastAsia="宋体"/>
          <w:color w:val="auto"/>
          <w:sz w:val="24"/>
        </w:rPr>
        <w:t>管线</w:t>
      </w:r>
      <w:r>
        <w:rPr>
          <w:rFonts w:ascii="宋体" w:hAnsi="宋体" w:eastAsia="宋体"/>
          <w:color w:val="auto"/>
          <w:sz w:val="24"/>
        </w:rPr>
        <w:t>泄漏事故时，可能受影响的居民</w:t>
      </w:r>
      <w:r>
        <w:rPr>
          <w:rFonts w:hint="eastAsia" w:ascii="宋体" w:hAnsi="宋体" w:eastAsia="宋体"/>
          <w:color w:val="auto"/>
          <w:sz w:val="24"/>
        </w:rPr>
        <w:t>、企业等</w:t>
      </w:r>
      <w:r>
        <w:rPr>
          <w:rFonts w:ascii="宋体" w:hAnsi="宋体" w:eastAsia="宋体"/>
          <w:color w:val="auto"/>
          <w:sz w:val="24"/>
        </w:rPr>
        <w:t>能作出正确反应。</w:t>
      </w:r>
      <w:r>
        <w:rPr>
          <w:rFonts w:hint="eastAsia" w:ascii="宋体" w:hAnsi="宋体" w:eastAsia="宋体"/>
          <w:color w:val="auto"/>
          <w:sz w:val="24"/>
        </w:rPr>
        <w:t>同时管线</w:t>
      </w:r>
      <w:r>
        <w:rPr>
          <w:rFonts w:ascii="宋体" w:hAnsi="宋体" w:eastAsia="宋体"/>
          <w:color w:val="auto"/>
          <w:sz w:val="24"/>
        </w:rPr>
        <w:t>沿线应保持各种线路标志清晰，巡线员按照相关规定定期巡线，发现危及</w:t>
      </w:r>
      <w:r>
        <w:rPr>
          <w:rFonts w:hint="eastAsia" w:ascii="宋体" w:hAnsi="宋体" w:eastAsia="宋体"/>
          <w:color w:val="auto"/>
          <w:sz w:val="24"/>
        </w:rPr>
        <w:t>管线</w:t>
      </w:r>
      <w:r>
        <w:rPr>
          <w:rFonts w:ascii="宋体" w:hAnsi="宋体" w:eastAsia="宋体"/>
          <w:color w:val="auto"/>
          <w:sz w:val="24"/>
        </w:rPr>
        <w:t>安全的情况及时处理和汇报。</w:t>
      </w:r>
    </w:p>
    <w:p w14:paraId="1575BAB6">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事故状态下对地表水环境影响</w:t>
      </w:r>
    </w:p>
    <w:p w14:paraId="6088A1B2">
      <w:pPr>
        <w:pStyle w:val="276"/>
        <w:widowControl w:val="0"/>
        <w:ind w:firstLine="480"/>
        <w:jc w:val="both"/>
        <w:rPr>
          <w:color w:val="auto"/>
        </w:rPr>
      </w:pPr>
      <w:r>
        <w:rPr>
          <w:rFonts w:hint="eastAsia"/>
          <w:color w:val="auto"/>
        </w:rPr>
        <w:t>（</w:t>
      </w:r>
      <w:r>
        <w:rPr>
          <w:color w:val="auto"/>
        </w:rPr>
        <w:t>1）本项目事故状态下对地表水污染途径主要是油水的事故泄漏。泄漏污油污水在雨季期间可能随地表径流流向周边农田。施工期柴油储罐泄漏可以通过设置的围堰进行收集，拉油点储罐为地上设施，</w:t>
      </w:r>
      <w:r>
        <w:rPr>
          <w:rFonts w:hint="eastAsia"/>
          <w:color w:val="auto"/>
        </w:rPr>
        <w:t>泄漏</w:t>
      </w:r>
      <w:r>
        <w:rPr>
          <w:color w:val="auto"/>
        </w:rPr>
        <w:t>可统计监控系统和人员巡查及时发现处理，集输管道事故泄漏可以通过仪表监控或巡检及时发现事故，及时关闭管道阀门或筑堤限制事故影响范围，然后彻底清理周边粘滞原油和被油水污染的泥沙、杂草等含油废弃物，同时展开对事故管段或设备的抢修。只要溢出事故按相应的环境风险事故预案严格控制并彻底清理溢出的石油类污染物，泄漏事故不会对地表水体造成污染影响。</w:t>
      </w:r>
    </w:p>
    <w:p w14:paraId="74B011BD">
      <w:pPr>
        <w:pStyle w:val="276"/>
        <w:widowControl w:val="0"/>
        <w:ind w:firstLine="480"/>
        <w:jc w:val="both"/>
        <w:rPr>
          <w:color w:val="auto"/>
        </w:rPr>
      </w:pPr>
      <w:r>
        <w:rPr>
          <w:rFonts w:hint="eastAsia"/>
          <w:color w:val="auto"/>
        </w:rPr>
        <w:t>（</w:t>
      </w:r>
      <w:r>
        <w:rPr>
          <w:color w:val="auto"/>
          <w:kern w:val="21"/>
        </w:rPr>
        <w:t>2）</w:t>
      </w:r>
      <w:r>
        <w:rPr>
          <w:color w:val="auto"/>
        </w:rPr>
        <w:t>当井场拉油点储罐发生油水泄漏时应首先关闭相关阀门，倒罐或安排罐车转移罐内产液，及时在泄漏点周围修筑0.2m高临时围堤，控制油水扩散范围，保护周围稻田地；当发生管线</w:t>
      </w:r>
      <w:r>
        <w:rPr>
          <w:rFonts w:hint="eastAsia"/>
          <w:color w:val="auto"/>
        </w:rPr>
        <w:t>泄漏</w:t>
      </w:r>
      <w:r>
        <w:rPr>
          <w:color w:val="auto"/>
        </w:rPr>
        <w:t>油品流入井场周边灌溉水渠后，应采取筑坝方式进行拦截。夏季灌溉水渠有水时，在管道泄漏初始，专用抢险物资到来之前，应以草垛（玉米秸秆）为原料构筑草垛坝进行拦截，草垛坝坝体宽度不宜小于2.0米，坝体要紧密结实，以树桩等坚固的构筑物为支撑进行筑坝。冬季水渠干涸时修筑实体坝，在迎水面设置塑料布防止油品渗透，在集油坑和导油沟内应敷设防渗布，采取以上措施后，可及时消除泄漏污染，降低事故对周边稻田地影响。</w:t>
      </w:r>
    </w:p>
    <w:p w14:paraId="21A564F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事故状态下对地下水环境影响</w:t>
      </w:r>
    </w:p>
    <w:p w14:paraId="611F2162">
      <w:pPr>
        <w:spacing w:line="440" w:lineRule="exact"/>
        <w:ind w:firstLine="480" w:firstLineChars="200"/>
        <w:rPr>
          <w:rFonts w:ascii="宋体" w:hAnsi="宋体" w:eastAsia="宋体"/>
          <w:color w:val="auto"/>
          <w:sz w:val="24"/>
        </w:rPr>
      </w:pPr>
      <w:r>
        <w:rPr>
          <w:rFonts w:ascii="宋体" w:hAnsi="宋体" w:eastAsia="宋体"/>
          <w:color w:val="auto"/>
          <w:sz w:val="24"/>
        </w:rPr>
        <w:t>（1）地面设施泄漏对地下水的影响</w:t>
      </w:r>
    </w:p>
    <w:p w14:paraId="02509BA6">
      <w:pPr>
        <w:spacing w:line="440" w:lineRule="exact"/>
        <w:ind w:firstLine="480" w:firstLineChars="200"/>
        <w:rPr>
          <w:rFonts w:ascii="宋体" w:hAnsi="宋体" w:eastAsia="宋体"/>
          <w:color w:val="auto"/>
          <w:sz w:val="24"/>
        </w:rPr>
      </w:pPr>
      <w:r>
        <w:rPr>
          <w:rFonts w:ascii="宋体" w:hAnsi="宋体" w:eastAsia="宋体"/>
          <w:color w:val="auto"/>
          <w:sz w:val="24"/>
        </w:rPr>
        <w:t>本项目事故状态下对地下水污染途径主要是油水的事故泄漏。原油、含油污水就可能会渗透到含水层中，造成地下水环境污染。资料研究结果表明：石油类污染物在一般土壤中绝大部分集中在泄漏层以下0～10cm及10～30cm 范围，一般下渗深度在80cm以内，一般很难下渗2m以下，存在对潜水含水层造成影响的可能，但影响范围有限，一般在几百米范围。而承压含水层一般都有隔水顶板，与潜水层相互隔离，其透水性很差，因此对承压水层产生影响的可能性很小。</w:t>
      </w:r>
    </w:p>
    <w:p w14:paraId="696FEA1F">
      <w:pPr>
        <w:spacing w:line="440" w:lineRule="exact"/>
        <w:ind w:firstLine="480" w:firstLineChars="200"/>
        <w:rPr>
          <w:rFonts w:ascii="宋体" w:hAnsi="宋体" w:eastAsia="宋体"/>
          <w:color w:val="auto"/>
          <w:sz w:val="24"/>
        </w:rPr>
      </w:pPr>
      <w:r>
        <w:rPr>
          <w:rFonts w:ascii="宋体" w:hAnsi="宋体" w:eastAsia="宋体"/>
          <w:color w:val="auto"/>
          <w:sz w:val="24"/>
        </w:rPr>
        <w:t>（2）套损对地下水的影响</w:t>
      </w:r>
    </w:p>
    <w:p w14:paraId="057597A9">
      <w:pPr>
        <w:spacing w:line="440" w:lineRule="exact"/>
        <w:ind w:firstLine="480" w:firstLineChars="200"/>
        <w:rPr>
          <w:rFonts w:ascii="宋体" w:hAnsi="宋体" w:eastAsia="宋体"/>
          <w:color w:val="auto"/>
          <w:sz w:val="24"/>
        </w:rPr>
      </w:pPr>
      <w:r>
        <w:rPr>
          <w:rFonts w:ascii="宋体" w:hAnsi="宋体" w:eastAsia="宋体"/>
          <w:color w:val="auto"/>
          <w:sz w:val="24"/>
        </w:rPr>
        <w:t>为保证钻井期间不对地下水造成污染，本项目在钻井过程中使用双层套管（由表层套管、油层套管组成）。在采油过程中，由于腐蚀、固井质量差、地层错动等原因可能导致套管断裂或破损，使原油泄漏窜入地下水层造成污染。大庆油田套损统计表明，98%以上的套管断裂发生在700m以下，表层套管基本没有断裂发生，且套管破损机率一般为1/1 万至1/5万，而因套损污染地下水的最大概率约为1/200万。资料显示，美国同类井套损后因外保护层失效而导致油水泄漏的概率约1/400万到1/100万。</w:t>
      </w:r>
    </w:p>
    <w:p w14:paraId="0B47E432">
      <w:pPr>
        <w:spacing w:line="440" w:lineRule="exact"/>
        <w:ind w:firstLine="480" w:firstLineChars="200"/>
        <w:rPr>
          <w:rFonts w:ascii="宋体" w:hAnsi="宋体" w:eastAsia="宋体"/>
          <w:color w:val="auto"/>
          <w:sz w:val="24"/>
        </w:rPr>
      </w:pPr>
      <w:r>
        <w:rPr>
          <w:rFonts w:ascii="宋体" w:hAnsi="宋体" w:eastAsia="宋体"/>
          <w:color w:val="auto"/>
          <w:sz w:val="24"/>
        </w:rPr>
        <w:t>因此，套管损坏虽然对地下水存在潜在污染隐患，但发生几率极小。只要防护得当，一般不会形成套损，即使套损，能发生油水泄漏污染地下水的概率也很小。</w:t>
      </w:r>
    </w:p>
    <w:p w14:paraId="600A15AC">
      <w:pPr>
        <w:spacing w:line="440" w:lineRule="exact"/>
        <w:ind w:firstLine="480" w:firstLineChars="200"/>
        <w:rPr>
          <w:rFonts w:ascii="宋体" w:hAnsi="宋体" w:eastAsia="宋体"/>
          <w:color w:val="auto"/>
          <w:sz w:val="24"/>
        </w:rPr>
      </w:pPr>
      <w:r>
        <w:rPr>
          <w:rFonts w:ascii="宋体" w:hAnsi="宋体" w:eastAsia="宋体"/>
          <w:color w:val="auto"/>
          <w:sz w:val="24"/>
        </w:rPr>
        <w:t>（3）井漏对地下水环境的影响</w:t>
      </w:r>
    </w:p>
    <w:p w14:paraId="7DEE5A92">
      <w:pPr>
        <w:spacing w:line="440" w:lineRule="exact"/>
        <w:ind w:firstLine="480" w:firstLineChars="200"/>
        <w:rPr>
          <w:rFonts w:ascii="宋体" w:hAnsi="宋体" w:eastAsia="宋体"/>
          <w:color w:val="auto"/>
          <w:sz w:val="24"/>
        </w:rPr>
      </w:pPr>
      <w:r>
        <w:rPr>
          <w:rFonts w:ascii="宋体" w:hAnsi="宋体" w:eastAsia="宋体"/>
          <w:color w:val="auto"/>
          <w:sz w:val="24"/>
        </w:rPr>
        <w:t>井漏是钻井过程中遇到复杂地层，钻井泥浆（水基钻井泥浆及油基钻井泥浆）漏入地层孔隙、裂缝等空间的现象。若漏失地层与含水层之间存在较多的断裂或裂隙，漏失的钻井泥浆就有可能顺着岩层断裂、裂隙进入地下水，造成地下水污染。</w:t>
      </w:r>
    </w:p>
    <w:p w14:paraId="3C15933E">
      <w:pPr>
        <w:spacing w:line="440" w:lineRule="exact"/>
        <w:ind w:firstLine="480" w:firstLineChars="200"/>
        <w:rPr>
          <w:rFonts w:ascii="宋体" w:hAnsi="宋体" w:eastAsia="宋体"/>
          <w:color w:val="auto"/>
          <w:sz w:val="24"/>
        </w:rPr>
      </w:pPr>
      <w:r>
        <w:rPr>
          <w:rFonts w:ascii="宋体" w:hAnsi="宋体" w:eastAsia="宋体"/>
          <w:color w:val="auto"/>
          <w:sz w:val="24"/>
        </w:rPr>
        <w:t>本项目钻井一开采用水基钻井泥浆，井段为0-501m，钻井二开采用油基钻井泥浆，井段为501m至井深。水基钻井泥浆中有害成分为盐类、化学添加剂，高分子有机化合物经生物降解后产生的低分子有机化合物和碱性物质，油基钻井泥浆中有害成分为油类物质，有害成分进入含水层会对地下水造成污染。</w:t>
      </w:r>
    </w:p>
    <w:p w14:paraId="22BE8346">
      <w:pPr>
        <w:spacing w:line="440" w:lineRule="exact"/>
        <w:ind w:firstLine="480" w:firstLineChars="200"/>
        <w:rPr>
          <w:rFonts w:ascii="宋体" w:hAnsi="宋体" w:eastAsia="宋体"/>
          <w:color w:val="auto"/>
          <w:sz w:val="24"/>
        </w:rPr>
      </w:pPr>
      <w:r>
        <w:rPr>
          <w:rFonts w:ascii="宋体" w:hAnsi="宋体" w:eastAsia="宋体"/>
          <w:color w:val="auto"/>
          <w:sz w:val="24"/>
        </w:rPr>
        <w:t>本项目表层套管下至潜水含水层以下，在套管的保护下能有效地保护浅层地下水；每开钻井结束后通过固井作业封隔地层与套管之间的环形空间，也可降低污染物进入地层的风险；在钻井过程对泥浆进行实时监测，一旦有漏失发生，立即采取堵漏措施。施工区块集中储备随钻堵漏剂 10～20t，以备井漏发生时应急使用，堵漏剂由多种天然植物、腐植酸盐、羧甲基纤维素等多种高份子化合物复配而成，属于清洁、无毒、对人体无害、无环境污染的种类。因此，事故状态下泥浆泄漏对地下水环境影响较小。</w:t>
      </w:r>
    </w:p>
    <w:p w14:paraId="01BECE6E">
      <w:pPr>
        <w:spacing w:line="440" w:lineRule="exact"/>
        <w:ind w:firstLine="480" w:firstLineChars="200"/>
        <w:rPr>
          <w:rFonts w:ascii="宋体" w:hAnsi="宋体" w:eastAsia="宋体"/>
          <w:color w:val="auto"/>
          <w:sz w:val="24"/>
        </w:rPr>
      </w:pPr>
      <w:r>
        <w:rPr>
          <w:rFonts w:ascii="宋体" w:hAnsi="宋体" w:eastAsia="宋体"/>
          <w:color w:val="auto"/>
          <w:sz w:val="24"/>
        </w:rPr>
        <w:t>（4）柴油罐泄漏对地下水的影响</w:t>
      </w:r>
    </w:p>
    <w:p w14:paraId="1001F5B4">
      <w:pPr>
        <w:spacing w:line="440" w:lineRule="exact"/>
        <w:ind w:firstLine="480" w:firstLineChars="200"/>
        <w:rPr>
          <w:rFonts w:ascii="宋体" w:hAnsi="宋体" w:eastAsia="宋体"/>
          <w:color w:val="auto"/>
          <w:sz w:val="24"/>
        </w:rPr>
      </w:pPr>
      <w:r>
        <w:rPr>
          <w:rFonts w:ascii="宋体" w:hAnsi="宋体" w:eastAsia="宋体"/>
          <w:color w:val="auto"/>
          <w:sz w:val="24"/>
        </w:rPr>
        <w:t>钻井井场设柴油储罐2座，柴油储存量为50.1t。储油罐的泄漏对地下水的污染较为严重，地下水一旦遭到成品油的污染，将使地下水产生严重异味无法使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本项目柴油储存采用卧式罐，罐体架设在两个承台基础之上，如果发生泄漏，很容易发现并能够及时回收处理；而且罐区进行了防渗处理，并设置了围堰，即使发生泄漏，油品将由于防渗层的保护作用，积聚在围堰内，不会对地下水环境产生影响。</w:t>
      </w:r>
    </w:p>
    <w:p w14:paraId="363BC685">
      <w:pPr>
        <w:spacing w:line="440" w:lineRule="exact"/>
        <w:ind w:firstLine="480" w:firstLineChars="200"/>
        <w:rPr>
          <w:rFonts w:ascii="宋体" w:hAnsi="宋体" w:eastAsia="宋体"/>
          <w:color w:val="auto"/>
          <w:sz w:val="24"/>
        </w:rPr>
      </w:pPr>
      <w:r>
        <w:rPr>
          <w:rFonts w:ascii="宋体" w:hAnsi="宋体" w:eastAsia="宋体"/>
          <w:color w:val="auto"/>
          <w:sz w:val="24"/>
        </w:rPr>
        <w:t>（5）拉油点储罐</w:t>
      </w:r>
      <w:r>
        <w:rPr>
          <w:rFonts w:hint="eastAsia" w:ascii="宋体" w:hAnsi="宋体" w:eastAsia="宋体"/>
          <w:color w:val="auto"/>
          <w:sz w:val="24"/>
        </w:rPr>
        <w:t>泄漏</w:t>
      </w:r>
      <w:r>
        <w:rPr>
          <w:rFonts w:ascii="宋体" w:hAnsi="宋体" w:eastAsia="宋体"/>
          <w:color w:val="auto"/>
          <w:sz w:val="24"/>
        </w:rPr>
        <w:t>对地下水的影响</w:t>
      </w:r>
    </w:p>
    <w:p w14:paraId="2E3BBBC7">
      <w:pPr>
        <w:spacing w:line="440" w:lineRule="exact"/>
        <w:ind w:firstLine="480" w:firstLineChars="200"/>
        <w:rPr>
          <w:rFonts w:ascii="宋体" w:hAnsi="宋体" w:eastAsia="宋体"/>
          <w:color w:val="auto"/>
          <w:sz w:val="24"/>
        </w:rPr>
      </w:pPr>
      <w:r>
        <w:rPr>
          <w:rFonts w:ascii="宋体" w:hAnsi="宋体" w:eastAsia="宋体"/>
          <w:color w:val="auto"/>
          <w:sz w:val="24"/>
        </w:rPr>
        <w:t>新建拉油点多功能储罐采用数字化建设，储罐生产信息上传至第八作业区控制中心，拉油点配视频监控和无线传输系统，监控摄像机具备实时拍照功能（1张/10分钟），拍摄照片通过无线网卡上传至大庆油田有限责任公司DMZ区域，安全检测后返回采油十厂调度中心，实时监控储罐运行状态，发现异常可及时启动应急处置措施。小队人员每天按时巡检，拉油点储罐均为地上罐，罐体架设在两个承台基础之上，如果发生泄漏，很容易发现并能够及时回收处理，不会对地下水环境产生影响。</w:t>
      </w:r>
    </w:p>
    <w:p w14:paraId="449F8481">
      <w:pPr>
        <w:pStyle w:val="276"/>
        <w:widowControl w:val="0"/>
        <w:ind w:firstLine="480"/>
        <w:jc w:val="both"/>
        <w:rPr>
          <w:color w:val="auto"/>
        </w:rPr>
      </w:pPr>
      <w:r>
        <w:rPr>
          <w:color w:val="auto"/>
        </w:rPr>
        <w:t>（6）试油产液</w:t>
      </w:r>
      <w:r>
        <w:rPr>
          <w:rFonts w:hint="eastAsia"/>
          <w:color w:val="auto"/>
        </w:rPr>
        <w:t>泄漏</w:t>
      </w:r>
      <w:r>
        <w:rPr>
          <w:color w:val="auto"/>
        </w:rPr>
        <w:t>对地下水的影响</w:t>
      </w:r>
    </w:p>
    <w:p w14:paraId="36AB2015">
      <w:pPr>
        <w:pStyle w:val="276"/>
        <w:widowControl w:val="0"/>
        <w:ind w:firstLine="480"/>
        <w:jc w:val="both"/>
        <w:rPr>
          <w:color w:val="auto"/>
        </w:rPr>
      </w:pPr>
      <w:r>
        <w:rPr>
          <w:color w:val="auto"/>
        </w:rPr>
        <w:t>试油产液采用抽汲方法采出后不落地，直接进入罐车，作业全过程铺设防渗布，拉油罐车密闭运输，正常情况下不会对井场土壤及地下水造成影响，发生</w:t>
      </w:r>
      <w:r>
        <w:rPr>
          <w:rFonts w:hint="eastAsia"/>
          <w:color w:val="auto"/>
        </w:rPr>
        <w:t>泄漏</w:t>
      </w:r>
      <w:r>
        <w:rPr>
          <w:color w:val="auto"/>
        </w:rPr>
        <w:t>事故可能性很小。</w:t>
      </w:r>
    </w:p>
    <w:p w14:paraId="5DFA8996">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对土壤环境的影响</w:t>
      </w:r>
    </w:p>
    <w:p w14:paraId="6F7D3607">
      <w:pPr>
        <w:pStyle w:val="276"/>
        <w:widowControl w:val="0"/>
        <w:ind w:firstLine="480"/>
        <w:jc w:val="both"/>
        <w:rPr>
          <w:color w:val="auto"/>
        </w:rPr>
      </w:pPr>
      <w:r>
        <w:rPr>
          <w:rFonts w:hint="eastAsia"/>
          <w:color w:val="auto"/>
        </w:rPr>
        <w:t>原油泄漏渗入土壤孔隙，会降低土壤的通透性，抑制土壤中酶活性，使土壤生物减少。一般而言，原油集中于土壤表层0～30cm的范围内，使得根系分布于此深度的植物不能生长。</w:t>
      </w:r>
    </w:p>
    <w:p w14:paraId="318E9205">
      <w:pPr>
        <w:pStyle w:val="276"/>
        <w:widowControl w:val="0"/>
        <w:ind w:firstLine="480"/>
        <w:jc w:val="both"/>
        <w:rPr>
          <w:color w:val="auto"/>
        </w:rPr>
      </w:pPr>
      <w:r>
        <w:rPr>
          <w:rFonts w:hint="eastAsia"/>
          <w:color w:val="auto"/>
        </w:rPr>
        <w:t>石油烃（C</w:t>
      </w:r>
      <w:r>
        <w:rPr>
          <w:rFonts w:hint="eastAsia"/>
          <w:color w:val="auto"/>
          <w:vertAlign w:val="subscript"/>
        </w:rPr>
        <w:t>10</w:t>
      </w:r>
      <w:r>
        <w:rPr>
          <w:rFonts w:hint="eastAsia"/>
          <w:color w:val="auto"/>
        </w:rPr>
        <w:t>-C</w:t>
      </w:r>
      <w:r>
        <w:rPr>
          <w:rFonts w:hint="eastAsia"/>
          <w:color w:val="auto"/>
          <w:vertAlign w:val="subscript"/>
        </w:rPr>
        <w:t>40</w:t>
      </w:r>
      <w:r>
        <w:rPr>
          <w:rFonts w:hint="eastAsia"/>
          <w:color w:val="auto"/>
        </w:rPr>
        <w:t>）对土壤的污染，可使土地肥力下降，改变土壤的理化性质，影响局部区域土壤正常的结构和功能。事故性原油的大规模泄漏可影响草地的生态环境，危害植物生长。其危害最显著的表现为植物，原油黏附于枝叶，阻止植物进行光合作用，可使植物枯萎死亡；在土壤中粘附于植物根系，可阻止植物吸收水分和矿物质而死亡。</w:t>
      </w:r>
    </w:p>
    <w:p w14:paraId="45849DD0">
      <w:pPr>
        <w:pStyle w:val="276"/>
        <w:widowControl w:val="0"/>
        <w:ind w:firstLine="480"/>
        <w:jc w:val="both"/>
        <w:rPr>
          <w:color w:val="auto"/>
        </w:rPr>
      </w:pPr>
      <w:r>
        <w:rPr>
          <w:rFonts w:hint="eastAsia"/>
          <w:color w:val="auto"/>
        </w:rPr>
        <w:t>发生井喷后，会有大量原油和伴生气从井口敞喷进入环境当中，伴生气初始喷射会携带大量的泥浆和岩屑落在周围地表，对周围土壤及地下水产生影响。井喷事故发生后，油田会启动事故应急预案，散落于地表的原油和泥浆岩屑等污染物，会被及时收集，并转运处理。发生井喷立即控制井口，导流放喷，通过放空火炬进行燃烧放空，最大限度降低对周围环境的影响。</w:t>
      </w:r>
    </w:p>
    <w:p w14:paraId="0BA6FFC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对生态环境的影响</w:t>
      </w:r>
    </w:p>
    <w:p w14:paraId="20AFD050">
      <w:pPr>
        <w:pStyle w:val="276"/>
        <w:widowControl w:val="0"/>
        <w:ind w:firstLine="480"/>
        <w:jc w:val="both"/>
        <w:rPr>
          <w:color w:val="auto"/>
        </w:rPr>
      </w:pPr>
      <w:r>
        <w:rPr>
          <w:color w:val="auto"/>
        </w:rPr>
        <w:t>原油及含油污水泄漏可影响农田的生态环境，减少农作物产量。其危害最显著的表现为原油黏附于植被枝叶，阻止植物进行光合作用，可使植物枯萎死亡；在土壤中粘附于植物根系，可阻止植物吸收水分和矿物质而死亡。所以，原油泄漏可直接影响受污染农作物当季产量。本项目定期对拉油点和集油管线进行巡线，发现泄漏及时处理，清理溢出的原油或含油污水，并将污染土壤清理并拉运至含油污泥站处理，清理结束后及时平整并恢复地表植被，泄漏事故对周边生态环境影响较小。</w:t>
      </w:r>
    </w:p>
    <w:p w14:paraId="13D73E12">
      <w:pPr>
        <w:pStyle w:val="6"/>
        <w:rPr>
          <w:color w:val="auto"/>
        </w:rPr>
      </w:pPr>
      <w:bookmarkStart w:id="1522" w:name="_Toc83209571"/>
      <w:bookmarkStart w:id="1523" w:name="_Toc80588349"/>
      <w:bookmarkStart w:id="1524" w:name="_Toc77067752"/>
      <w:bookmarkStart w:id="1525" w:name="_Toc67860232"/>
      <w:bookmarkStart w:id="1526" w:name="_Toc84929326"/>
      <w:bookmarkStart w:id="1527" w:name="_Toc78816554"/>
      <w:bookmarkStart w:id="1528" w:name="_Toc76976341"/>
      <w:bookmarkStart w:id="1529" w:name="_Toc80971471"/>
      <w:bookmarkStart w:id="1530" w:name="_Toc70050279"/>
      <w:bookmarkStart w:id="1531" w:name="_Toc126863482"/>
      <w:bookmarkStart w:id="1532" w:name="_Toc131167383"/>
      <w:bookmarkStart w:id="1533" w:name="_Toc86142025"/>
      <w:bookmarkStart w:id="1534" w:name="_Toc85640850"/>
      <w:bookmarkStart w:id="1535" w:name="_Toc143099670"/>
      <w:bookmarkStart w:id="1536" w:name="_Toc127192431"/>
      <w:bookmarkStart w:id="1537" w:name="_Toc80971455"/>
      <w:bookmarkStart w:id="1538" w:name="_Toc78816538"/>
      <w:bookmarkStart w:id="1539" w:name="_Toc143099658"/>
      <w:bookmarkStart w:id="1540" w:name="_Toc80588333"/>
      <w:bookmarkStart w:id="1541" w:name="_Toc85640838"/>
      <w:bookmarkStart w:id="1542" w:name="_Toc127192419"/>
      <w:bookmarkStart w:id="1543" w:name="_Toc83209555"/>
      <w:bookmarkStart w:id="1544" w:name="_Toc86142013"/>
      <w:bookmarkStart w:id="1545" w:name="_Toc126863470"/>
      <w:bookmarkStart w:id="1546" w:name="_Toc84929310"/>
      <w:bookmarkStart w:id="1547" w:name="_Toc131167371"/>
      <w:r>
        <w:rPr>
          <w:color w:val="auto"/>
        </w:rPr>
        <w:t>环境风险防范措施</w:t>
      </w:r>
      <w:bookmarkEnd w:id="1522"/>
      <w:bookmarkEnd w:id="1523"/>
      <w:bookmarkEnd w:id="1524"/>
      <w:bookmarkEnd w:id="1525"/>
      <w:bookmarkEnd w:id="1526"/>
      <w:bookmarkEnd w:id="1527"/>
      <w:bookmarkEnd w:id="1528"/>
      <w:bookmarkEnd w:id="1529"/>
      <w:bookmarkEnd w:id="1530"/>
      <w:r>
        <w:rPr>
          <w:color w:val="auto"/>
        </w:rPr>
        <w:t>及应急要求</w:t>
      </w:r>
      <w:bookmarkEnd w:id="1531"/>
      <w:bookmarkEnd w:id="1532"/>
      <w:bookmarkEnd w:id="1533"/>
      <w:bookmarkEnd w:id="1534"/>
      <w:bookmarkEnd w:id="1535"/>
      <w:bookmarkEnd w:id="1536"/>
    </w:p>
    <w:p w14:paraId="4374E41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施工期环境风险防范措施</w:t>
      </w:r>
    </w:p>
    <w:p w14:paraId="765E74D5">
      <w:pPr>
        <w:spacing w:line="440" w:lineRule="exact"/>
        <w:ind w:firstLine="480" w:firstLineChars="200"/>
        <w:rPr>
          <w:rFonts w:ascii="宋体" w:hAnsi="宋体" w:eastAsia="宋体"/>
          <w:color w:val="auto"/>
          <w:sz w:val="24"/>
        </w:rPr>
      </w:pPr>
      <w:r>
        <w:rPr>
          <w:rFonts w:ascii="宋体" w:hAnsi="宋体" w:eastAsia="宋体"/>
          <w:color w:val="auto"/>
          <w:sz w:val="24"/>
        </w:rPr>
        <w:t>（1）突发井喷事故风险防范措施</w:t>
      </w:r>
    </w:p>
    <w:p w14:paraId="20B4F79B">
      <w:pPr>
        <w:spacing w:line="440" w:lineRule="exact"/>
        <w:ind w:firstLine="480" w:firstLineChars="200"/>
        <w:rPr>
          <w:rFonts w:ascii="宋体" w:hAnsi="宋体" w:eastAsia="宋体"/>
          <w:color w:val="auto"/>
          <w:sz w:val="24"/>
        </w:rPr>
      </w:pPr>
      <w:r>
        <w:rPr>
          <w:rFonts w:ascii="宋体" w:hAnsi="宋体" w:eastAsia="宋体"/>
          <w:color w:val="auto"/>
          <w:sz w:val="24"/>
        </w:rPr>
        <w:t>1）钻井时安装防喷器，防止井喷事故发生。</w:t>
      </w:r>
    </w:p>
    <w:p w14:paraId="598BC242">
      <w:pPr>
        <w:spacing w:line="440" w:lineRule="exact"/>
        <w:ind w:firstLine="480" w:firstLineChars="200"/>
        <w:rPr>
          <w:rFonts w:ascii="宋体" w:hAnsi="宋体" w:eastAsia="宋体"/>
          <w:color w:val="auto"/>
          <w:sz w:val="24"/>
        </w:rPr>
      </w:pPr>
      <w:r>
        <w:rPr>
          <w:rFonts w:ascii="宋体" w:hAnsi="宋体" w:eastAsia="宋体"/>
          <w:color w:val="auto"/>
          <w:sz w:val="24"/>
        </w:rPr>
        <w:t>2）钻井过程中钻井队要认真做好地层孔隙压力监测，绘制四条曲线，包括预测地层孔隙压力曲线、监测地层孔隙压力曲线、设计钻井液密度曲线、实际钻井液密度曲线，并贴于井场值班房墙上。</w:t>
      </w:r>
    </w:p>
    <w:p w14:paraId="61A84CB8">
      <w:pPr>
        <w:spacing w:line="440" w:lineRule="exact"/>
        <w:ind w:firstLine="480" w:firstLineChars="200"/>
        <w:rPr>
          <w:rFonts w:ascii="宋体" w:hAnsi="宋体" w:eastAsia="宋体"/>
          <w:color w:val="auto"/>
          <w:sz w:val="24"/>
        </w:rPr>
      </w:pPr>
      <w:r>
        <w:rPr>
          <w:rFonts w:ascii="宋体" w:hAnsi="宋体" w:eastAsia="宋体"/>
          <w:color w:val="auto"/>
          <w:sz w:val="24"/>
        </w:rPr>
        <w:t>3）施工方在施工过程中因地质情况或施工条件出现较大变化时，应及时对钻井作业进行风险识别和评价，制定出安全技术保障措施，并提出修改设计的请求，按程序审批后方可实施。</w:t>
      </w:r>
    </w:p>
    <w:p w14:paraId="10941A85">
      <w:pPr>
        <w:spacing w:line="440" w:lineRule="exact"/>
        <w:ind w:firstLine="480" w:firstLineChars="200"/>
        <w:rPr>
          <w:rFonts w:ascii="宋体" w:hAnsi="宋体" w:eastAsia="宋体"/>
          <w:color w:val="auto"/>
          <w:sz w:val="24"/>
        </w:rPr>
      </w:pPr>
      <w:r>
        <w:rPr>
          <w:rFonts w:ascii="宋体" w:hAnsi="宋体" w:eastAsia="宋体"/>
          <w:color w:val="auto"/>
          <w:sz w:val="24"/>
        </w:rPr>
        <w:t>4）井控设备的维护和使用严格按照《大庆油田钻井井控实施细则》中的4.2 和5.2的要求执行。</w:t>
      </w:r>
    </w:p>
    <w:p w14:paraId="1CCA1478">
      <w:pPr>
        <w:spacing w:line="440" w:lineRule="exact"/>
        <w:ind w:firstLine="480" w:firstLineChars="200"/>
        <w:rPr>
          <w:rFonts w:ascii="宋体" w:hAnsi="宋体" w:eastAsia="宋体"/>
          <w:color w:val="auto"/>
          <w:sz w:val="24"/>
        </w:rPr>
      </w:pPr>
      <w:r>
        <w:rPr>
          <w:rFonts w:ascii="宋体" w:hAnsi="宋体" w:eastAsia="宋体"/>
          <w:color w:val="auto"/>
          <w:sz w:val="24"/>
        </w:rPr>
        <w:t>5）从一次开钻开始，干部必须24h值班，负责包括井控工作在内的所有钻井施工管理。值班干部要佩戴明显标志，填写值班记录（包含在交接班记录内）。</w:t>
      </w:r>
    </w:p>
    <w:p w14:paraId="0F800342">
      <w:pPr>
        <w:spacing w:line="440" w:lineRule="exact"/>
        <w:ind w:firstLine="480" w:firstLineChars="200"/>
        <w:rPr>
          <w:rFonts w:ascii="宋体" w:hAnsi="宋体" w:eastAsia="宋体"/>
          <w:color w:val="auto"/>
          <w:sz w:val="24"/>
        </w:rPr>
      </w:pPr>
      <w:r>
        <w:rPr>
          <w:rFonts w:ascii="宋体" w:hAnsi="宋体" w:eastAsia="宋体"/>
          <w:color w:val="auto"/>
          <w:sz w:val="24"/>
        </w:rPr>
        <w:t>6）严格执行钻开油气层前的准备和检查验收制度，在进入油气层前50m～100m，按照下部钻井的设计最高钻井液密度值，对裸眼地层进行承压能力检验。</w:t>
      </w:r>
    </w:p>
    <w:p w14:paraId="3D09AF47">
      <w:pPr>
        <w:spacing w:line="440" w:lineRule="exact"/>
        <w:ind w:firstLine="480" w:firstLineChars="200"/>
        <w:rPr>
          <w:rFonts w:ascii="宋体" w:hAnsi="宋体" w:eastAsia="宋体"/>
          <w:color w:val="auto"/>
          <w:sz w:val="24"/>
        </w:rPr>
      </w:pPr>
      <w:r>
        <w:rPr>
          <w:rFonts w:ascii="宋体" w:hAnsi="宋体" w:eastAsia="宋体"/>
          <w:color w:val="auto"/>
          <w:sz w:val="24"/>
        </w:rPr>
        <w:t>7）最大允许关井套压值为防喷器额定工作压力、地层破裂压力决定的允许关井套压值、套管抗内压强度的 80%，三者中的最小值。</w:t>
      </w:r>
    </w:p>
    <w:p w14:paraId="37960864">
      <w:pPr>
        <w:spacing w:line="440" w:lineRule="exact"/>
        <w:ind w:firstLine="480" w:firstLineChars="200"/>
        <w:rPr>
          <w:rFonts w:ascii="宋体" w:hAnsi="宋体" w:eastAsia="宋体"/>
          <w:color w:val="auto"/>
          <w:sz w:val="24"/>
        </w:rPr>
      </w:pPr>
      <w:r>
        <w:rPr>
          <w:rFonts w:ascii="宋体" w:hAnsi="宋体" w:eastAsia="宋体"/>
          <w:color w:val="auto"/>
          <w:sz w:val="24"/>
        </w:rPr>
        <w:t>8）钻井液性能符合钻井设计要求，特别是钻井液密度必须在设计范围内。起钻前充分循环井内钻井液，使其性能稳定，进出口密度差不超过0.02g/cm</w:t>
      </w:r>
      <w:r>
        <w:rPr>
          <w:rFonts w:ascii="宋体" w:hAnsi="宋体" w:eastAsia="宋体"/>
          <w:color w:val="auto"/>
          <w:sz w:val="24"/>
          <w:vertAlign w:val="superscript"/>
        </w:rPr>
        <w:t>3</w:t>
      </w:r>
      <w:r>
        <w:rPr>
          <w:rFonts w:ascii="宋体" w:hAnsi="宋体" w:eastAsia="宋体"/>
          <w:color w:val="auto"/>
          <w:sz w:val="24"/>
        </w:rPr>
        <w:t>。</w:t>
      </w:r>
    </w:p>
    <w:p w14:paraId="11CCB6C1">
      <w:pPr>
        <w:spacing w:line="440" w:lineRule="exact"/>
        <w:ind w:firstLine="480" w:firstLineChars="200"/>
        <w:rPr>
          <w:rFonts w:ascii="宋体" w:hAnsi="宋体" w:eastAsia="宋体"/>
          <w:color w:val="auto"/>
          <w:sz w:val="24"/>
        </w:rPr>
      </w:pPr>
      <w:r>
        <w:rPr>
          <w:rFonts w:ascii="宋体" w:hAnsi="宋体" w:eastAsia="宋体"/>
          <w:color w:val="auto"/>
          <w:sz w:val="24"/>
        </w:rPr>
        <w:t>9）钻进时司钻注意观察泵压、钻速等变化，发现异常立即停止钻进，循环钻井液观察后效。</w:t>
      </w:r>
    </w:p>
    <w:p w14:paraId="758BB618">
      <w:pPr>
        <w:spacing w:line="440" w:lineRule="exact"/>
        <w:ind w:firstLine="480" w:firstLineChars="200"/>
        <w:rPr>
          <w:rFonts w:ascii="宋体" w:hAnsi="宋体" w:eastAsia="宋体"/>
          <w:color w:val="auto"/>
          <w:sz w:val="24"/>
        </w:rPr>
      </w:pPr>
      <w:r>
        <w:rPr>
          <w:rFonts w:ascii="宋体" w:hAnsi="宋体" w:eastAsia="宋体"/>
          <w:color w:val="auto"/>
          <w:sz w:val="24"/>
        </w:rPr>
        <w:t>10）起钻过程中，要严格控制起钻速度，钻头在油气层中和油气层顶部以上300m 井段内起钻用Ⅰ挡或起钻速度不超过0.5m/s，预防抽吸引起井喷。起钻中严格按规定及时向井内灌满钻井液，并作好记录、校核，及时发现异常情况；起钻完应及时下钻，检修设备时必须保持井内有一定数量的钻具，并观察出口管钻井液返出情况。严禁在空井情况下进行设备检修。</w:t>
      </w:r>
    </w:p>
    <w:p w14:paraId="0BD5A877">
      <w:pPr>
        <w:spacing w:line="440" w:lineRule="exact"/>
        <w:ind w:firstLine="480" w:firstLineChars="200"/>
        <w:rPr>
          <w:rFonts w:ascii="宋体" w:hAnsi="宋体" w:eastAsia="宋体"/>
          <w:color w:val="auto"/>
          <w:sz w:val="24"/>
        </w:rPr>
      </w:pPr>
      <w:r>
        <w:rPr>
          <w:rFonts w:ascii="宋体" w:hAnsi="宋体" w:eastAsia="宋体"/>
          <w:color w:val="auto"/>
          <w:sz w:val="24"/>
        </w:rPr>
        <w:t>11）空井作业时间（如电测、井壁取心等）原则上不能超过24h，或根据坐岗观察和钻井工程设计要求的空井时间，否则必须下钻通井。</w:t>
      </w:r>
    </w:p>
    <w:p w14:paraId="1EAC8685">
      <w:pPr>
        <w:spacing w:line="440" w:lineRule="exact"/>
        <w:ind w:firstLine="480" w:firstLineChars="200"/>
        <w:rPr>
          <w:rFonts w:ascii="宋体" w:hAnsi="宋体" w:eastAsia="宋体"/>
          <w:color w:val="auto"/>
          <w:sz w:val="24"/>
        </w:rPr>
      </w:pPr>
      <w:r>
        <w:rPr>
          <w:rFonts w:ascii="宋体" w:hAnsi="宋体" w:eastAsia="宋体"/>
          <w:color w:val="auto"/>
          <w:sz w:val="24"/>
        </w:rPr>
        <w:t>12）钻开油气层后，每次起钻前钻井液密度达到设计上限，都要进行一次250m～350m的短起下钻，计算气体上窜速度，循环钻井液观察后效，正常后才可起钻。</w:t>
      </w:r>
    </w:p>
    <w:p w14:paraId="5BB15303">
      <w:pPr>
        <w:spacing w:line="440" w:lineRule="exact"/>
        <w:ind w:firstLine="480" w:firstLineChars="200"/>
        <w:rPr>
          <w:rFonts w:ascii="宋体" w:hAnsi="宋体" w:eastAsia="宋体"/>
          <w:color w:val="auto"/>
          <w:sz w:val="24"/>
        </w:rPr>
      </w:pPr>
      <w:r>
        <w:rPr>
          <w:rFonts w:ascii="宋体" w:hAnsi="宋体" w:eastAsia="宋体"/>
          <w:color w:val="auto"/>
          <w:sz w:val="24"/>
        </w:rPr>
        <w:t>13）钻进中发生井漏应将钻具提离井底、方钻杆提出转盘，以便关井观察。采取定时、定量反灌钻井液措施，保持井内液柱压力与地层压力平衡，防止发生溢流，其后采取相应措施处理井漏。</w:t>
      </w:r>
    </w:p>
    <w:p w14:paraId="3CCA8ADC">
      <w:pPr>
        <w:spacing w:line="440" w:lineRule="exact"/>
        <w:ind w:firstLine="480" w:firstLineChars="200"/>
        <w:rPr>
          <w:rFonts w:ascii="宋体" w:hAnsi="宋体" w:eastAsia="宋体"/>
          <w:color w:val="auto"/>
          <w:sz w:val="24"/>
        </w:rPr>
      </w:pPr>
      <w:r>
        <w:rPr>
          <w:rFonts w:ascii="宋体" w:hAnsi="宋体" w:eastAsia="宋体"/>
          <w:color w:val="auto"/>
          <w:sz w:val="24"/>
        </w:rPr>
        <w:t>14）需调整钻井液密度时，应确保井筒液柱压力不小于裸眼段中的最高地层孔隙压力。</w:t>
      </w:r>
    </w:p>
    <w:p w14:paraId="413DDB8F">
      <w:pPr>
        <w:spacing w:line="440" w:lineRule="exact"/>
        <w:ind w:firstLine="480" w:firstLineChars="200"/>
        <w:rPr>
          <w:rFonts w:ascii="宋体" w:hAnsi="宋体" w:eastAsia="宋体"/>
          <w:color w:val="auto"/>
          <w:sz w:val="24"/>
        </w:rPr>
      </w:pPr>
      <w:r>
        <w:rPr>
          <w:rFonts w:ascii="宋体" w:hAnsi="宋体" w:eastAsia="宋体"/>
          <w:color w:val="auto"/>
          <w:sz w:val="24"/>
        </w:rPr>
        <w:t>15）完井下套管建立循环前，必须在套管内灌满钻井液。</w:t>
      </w:r>
    </w:p>
    <w:p w14:paraId="7D1CDB48">
      <w:pPr>
        <w:spacing w:line="440" w:lineRule="exact"/>
        <w:ind w:firstLine="480" w:firstLineChars="200"/>
        <w:rPr>
          <w:rFonts w:ascii="宋体" w:hAnsi="宋体" w:eastAsia="宋体"/>
          <w:color w:val="auto"/>
          <w:sz w:val="24"/>
        </w:rPr>
      </w:pPr>
      <w:r>
        <w:rPr>
          <w:rFonts w:ascii="宋体" w:hAnsi="宋体" w:eastAsia="宋体"/>
          <w:color w:val="auto"/>
          <w:sz w:val="24"/>
        </w:rPr>
        <w:t>16）固井作业时不得拆除防喷器，应配套微变径闸板、换与套管直径相匹配的闸板或在钻台配备套管螺纹和防喷钻杆相匹配的接头。固井全过程保证井内压力平衡，尤其防止水泥浆候凝期间因失重造成井内压力平衡的破坏，甚至井喷。</w:t>
      </w:r>
    </w:p>
    <w:p w14:paraId="57154D4B">
      <w:pPr>
        <w:spacing w:line="440" w:lineRule="exact"/>
        <w:ind w:firstLine="480" w:firstLineChars="200"/>
        <w:rPr>
          <w:rFonts w:ascii="宋体" w:hAnsi="宋体" w:eastAsia="宋体"/>
          <w:color w:val="auto"/>
          <w:sz w:val="24"/>
        </w:rPr>
      </w:pPr>
      <w:r>
        <w:rPr>
          <w:rFonts w:ascii="宋体" w:hAnsi="宋体" w:eastAsia="宋体"/>
          <w:color w:val="auto"/>
          <w:sz w:val="24"/>
        </w:rPr>
        <w:t>17）中途测试和先期完成井，在进行作业以前观察一个作业期时间；起、下钻杆或油管应在井口装置符合安装、试压要求的前提下进行。</w:t>
      </w:r>
    </w:p>
    <w:p w14:paraId="67432510">
      <w:pPr>
        <w:spacing w:line="440" w:lineRule="exact"/>
        <w:ind w:firstLine="480" w:firstLineChars="200"/>
        <w:rPr>
          <w:rFonts w:ascii="宋体" w:hAnsi="宋体" w:eastAsia="宋体"/>
          <w:color w:val="auto"/>
          <w:sz w:val="24"/>
        </w:rPr>
      </w:pPr>
      <w:r>
        <w:rPr>
          <w:rFonts w:ascii="宋体" w:hAnsi="宋体" w:eastAsia="宋体"/>
          <w:color w:val="auto"/>
          <w:sz w:val="24"/>
        </w:rPr>
        <w:t>18）发现溢流后，严格按照《大庆油田钻井井控实施细则》溢流的控制及压井作业中的要求执行。</w:t>
      </w:r>
    </w:p>
    <w:p w14:paraId="15F1C975">
      <w:pPr>
        <w:spacing w:line="440" w:lineRule="exact"/>
        <w:ind w:firstLine="480" w:firstLineChars="200"/>
        <w:rPr>
          <w:rFonts w:ascii="宋体" w:hAnsi="宋体" w:eastAsia="宋体"/>
          <w:color w:val="auto"/>
          <w:sz w:val="24"/>
        </w:rPr>
      </w:pPr>
      <w:r>
        <w:rPr>
          <w:rFonts w:ascii="宋体" w:hAnsi="宋体" w:eastAsia="宋体"/>
          <w:color w:val="auto"/>
          <w:sz w:val="24"/>
        </w:rPr>
        <w:t>19）认真做好井控记录，严格执行井控九项管理制度，按《大庆油田井控技术管理实施细则》执行。</w:t>
      </w:r>
    </w:p>
    <w:p w14:paraId="77CA3D88">
      <w:pPr>
        <w:spacing w:line="440" w:lineRule="exact"/>
        <w:ind w:firstLine="480" w:firstLineChars="200"/>
        <w:rPr>
          <w:rFonts w:ascii="宋体" w:hAnsi="宋体" w:eastAsia="宋体"/>
          <w:color w:val="auto"/>
          <w:sz w:val="24"/>
        </w:rPr>
      </w:pPr>
      <w:r>
        <w:rPr>
          <w:rFonts w:ascii="宋体" w:hAnsi="宋体" w:eastAsia="宋体"/>
          <w:color w:val="auto"/>
          <w:sz w:val="24"/>
        </w:rPr>
        <w:t>（2）套损风险防范措施</w:t>
      </w:r>
    </w:p>
    <w:p w14:paraId="24A774CE">
      <w:pPr>
        <w:spacing w:line="440" w:lineRule="exact"/>
        <w:ind w:firstLine="480" w:firstLineChars="200"/>
        <w:rPr>
          <w:rFonts w:ascii="宋体" w:hAnsi="宋体" w:eastAsia="宋体"/>
          <w:color w:val="auto"/>
          <w:sz w:val="24"/>
        </w:rPr>
      </w:pPr>
      <w:r>
        <w:rPr>
          <w:rFonts w:ascii="宋体" w:hAnsi="宋体" w:eastAsia="宋体"/>
          <w:color w:val="auto"/>
          <w:sz w:val="24"/>
        </w:rPr>
        <w:t>1）检查套管质量</w:t>
      </w:r>
    </w:p>
    <w:p w14:paraId="4738D9FA">
      <w:pPr>
        <w:spacing w:line="440" w:lineRule="exact"/>
        <w:ind w:firstLine="480" w:firstLineChars="200"/>
        <w:rPr>
          <w:rFonts w:ascii="宋体" w:hAnsi="宋体" w:eastAsia="宋体"/>
          <w:color w:val="auto"/>
          <w:sz w:val="24"/>
        </w:rPr>
      </w:pPr>
      <w:r>
        <w:rPr>
          <w:rFonts w:hint="eastAsia" w:ascii="宋体" w:hAnsi="宋体" w:eastAsia="宋体" w:cs="宋体"/>
          <w:color w:val="auto"/>
          <w:sz w:val="24"/>
          <w:lang w:eastAsia="ja-JP"/>
        </w:rPr>
        <w:t>①</w:t>
      </w:r>
      <w:r>
        <w:rPr>
          <w:rFonts w:ascii="宋体" w:hAnsi="宋体" w:eastAsia="宋体"/>
          <w:color w:val="auto"/>
          <w:sz w:val="24"/>
        </w:rPr>
        <w:t>套管下井的质量检查。</w:t>
      </w:r>
    </w:p>
    <w:p w14:paraId="6B0F2F2C">
      <w:pPr>
        <w:spacing w:line="440" w:lineRule="exact"/>
        <w:ind w:firstLine="480" w:firstLineChars="200"/>
        <w:rPr>
          <w:rFonts w:ascii="宋体" w:hAnsi="宋体" w:eastAsia="宋体"/>
          <w:color w:val="auto"/>
          <w:sz w:val="24"/>
        </w:rPr>
      </w:pPr>
      <w:r>
        <w:rPr>
          <w:rFonts w:ascii="宋体" w:hAnsi="宋体" w:eastAsia="宋体"/>
          <w:color w:val="auto"/>
          <w:sz w:val="24"/>
        </w:rPr>
        <w:t>一是检查套管钢级、壁厚等是否符合下井的设计规范与要求（设计中应对各种应力、强度校核作严格计算）。二是加强对下井前套管的探伤检查，要用多种检测方法检查套管壁厚薄程度、弯曲程度、圆度、丝扣密封情况和破裂等质量问题，严禁不合格套管下井。</w:t>
      </w:r>
    </w:p>
    <w:p w14:paraId="4091A5A4">
      <w:pPr>
        <w:spacing w:line="440" w:lineRule="exact"/>
        <w:ind w:firstLine="480" w:firstLineChars="200"/>
        <w:rPr>
          <w:rFonts w:ascii="宋体" w:hAnsi="宋体" w:eastAsia="宋体"/>
          <w:color w:val="auto"/>
          <w:sz w:val="24"/>
        </w:rPr>
      </w:pPr>
      <w:r>
        <w:rPr>
          <w:rFonts w:hint="eastAsia" w:ascii="宋体" w:hAnsi="宋体" w:eastAsia="宋体" w:cs="宋体"/>
          <w:color w:val="auto"/>
          <w:sz w:val="24"/>
        </w:rPr>
        <w:t>②</w:t>
      </w:r>
      <w:r>
        <w:rPr>
          <w:rFonts w:ascii="宋体" w:hAnsi="宋体" w:eastAsia="宋体"/>
          <w:color w:val="auto"/>
          <w:sz w:val="24"/>
        </w:rPr>
        <w:t>确定厚壁套管下入井段，根据地应力集中点、膨胀泥岩深度。断层深度和油层部位等确定厚壁套管下入井段。</w:t>
      </w:r>
    </w:p>
    <w:p w14:paraId="2E8C6BC1">
      <w:pPr>
        <w:spacing w:line="440" w:lineRule="exact"/>
        <w:ind w:firstLine="480" w:firstLineChars="200"/>
        <w:rPr>
          <w:rFonts w:ascii="宋体" w:hAnsi="宋体" w:eastAsia="宋体"/>
          <w:color w:val="auto"/>
          <w:sz w:val="24"/>
        </w:rPr>
      </w:pPr>
      <w:r>
        <w:rPr>
          <w:rFonts w:ascii="宋体" w:hAnsi="宋体" w:eastAsia="宋体"/>
          <w:color w:val="auto"/>
          <w:sz w:val="24"/>
        </w:rPr>
        <w:t>2）地质影响因素预测</w:t>
      </w:r>
    </w:p>
    <w:p w14:paraId="5C0EA986">
      <w:pPr>
        <w:spacing w:line="440" w:lineRule="exact"/>
        <w:ind w:firstLine="480" w:firstLineChars="200"/>
        <w:rPr>
          <w:rFonts w:ascii="宋体" w:hAnsi="宋体" w:eastAsia="宋体"/>
          <w:color w:val="auto"/>
          <w:sz w:val="24"/>
        </w:rPr>
      </w:pPr>
      <w:r>
        <w:rPr>
          <w:rFonts w:ascii="宋体" w:hAnsi="宋体" w:eastAsia="宋体"/>
          <w:color w:val="auto"/>
          <w:sz w:val="24"/>
        </w:rPr>
        <w:t>根据钻井、钻井地质（岩心，岩屑、层位变化等）、测井资料和地层对比等预测影响损坏套管的地质因素。</w:t>
      </w:r>
    </w:p>
    <w:p w14:paraId="398A4E6D">
      <w:pPr>
        <w:spacing w:line="440" w:lineRule="exact"/>
        <w:ind w:firstLine="480" w:firstLineChars="200"/>
        <w:rPr>
          <w:rFonts w:ascii="宋体" w:hAnsi="宋体" w:eastAsia="宋体"/>
          <w:color w:val="auto"/>
          <w:sz w:val="24"/>
        </w:rPr>
      </w:pPr>
      <w:r>
        <w:rPr>
          <w:rFonts w:hint="eastAsia" w:ascii="宋体" w:hAnsi="宋体" w:eastAsia="宋体" w:cs="宋体"/>
          <w:color w:val="auto"/>
          <w:sz w:val="24"/>
          <w:lang w:eastAsia="ja-JP"/>
        </w:rPr>
        <w:t>①</w:t>
      </w:r>
      <w:r>
        <w:rPr>
          <w:rFonts w:ascii="宋体" w:hAnsi="宋体" w:eastAsia="宋体"/>
          <w:color w:val="auto"/>
          <w:sz w:val="24"/>
        </w:rPr>
        <w:t>预测断层性质（正、逆断层）、分布、深度、产状（走向、倾向和倾角），为气田开发方案布井提供资料和依据。</w:t>
      </w:r>
    </w:p>
    <w:p w14:paraId="09EF6FC9">
      <w:pPr>
        <w:spacing w:line="440" w:lineRule="exact"/>
        <w:ind w:firstLine="480" w:firstLineChars="200"/>
        <w:rPr>
          <w:rFonts w:ascii="宋体" w:hAnsi="宋体" w:eastAsia="宋体"/>
          <w:color w:val="auto"/>
          <w:sz w:val="24"/>
        </w:rPr>
      </w:pPr>
      <w:r>
        <w:rPr>
          <w:rFonts w:hint="eastAsia" w:ascii="宋体" w:hAnsi="宋体" w:eastAsia="宋体" w:cs="宋体"/>
          <w:color w:val="auto"/>
          <w:sz w:val="24"/>
        </w:rPr>
        <w:t>②</w:t>
      </w:r>
      <w:r>
        <w:rPr>
          <w:rFonts w:ascii="宋体" w:hAnsi="宋体" w:eastAsia="宋体"/>
          <w:color w:val="auto"/>
          <w:sz w:val="24"/>
        </w:rPr>
        <w:t>预测膨胀泥岩厚度、分布层位、深度和范围。</w:t>
      </w:r>
    </w:p>
    <w:p w14:paraId="41A030BC">
      <w:pPr>
        <w:spacing w:line="440" w:lineRule="exact"/>
        <w:ind w:firstLine="480" w:firstLineChars="200"/>
        <w:rPr>
          <w:rFonts w:ascii="宋体" w:hAnsi="宋体" w:eastAsia="宋体"/>
          <w:color w:val="auto"/>
          <w:sz w:val="24"/>
        </w:rPr>
      </w:pPr>
      <w:r>
        <w:rPr>
          <w:rFonts w:hint="eastAsia" w:ascii="宋体" w:hAnsi="宋体" w:eastAsia="宋体" w:cs="宋体"/>
          <w:color w:val="auto"/>
          <w:sz w:val="24"/>
          <w:lang w:eastAsia="ja-JP"/>
        </w:rPr>
        <w:t>③</w:t>
      </w:r>
      <w:r>
        <w:rPr>
          <w:rFonts w:ascii="宋体" w:hAnsi="宋体" w:eastAsia="宋体"/>
          <w:color w:val="auto"/>
          <w:sz w:val="24"/>
        </w:rPr>
        <w:t>预测浅层水深度、层位。分布范围和水化学特征等，为套管内外壁防腐提供资料。</w:t>
      </w:r>
    </w:p>
    <w:p w14:paraId="397A7769">
      <w:pPr>
        <w:spacing w:line="440" w:lineRule="exact"/>
        <w:ind w:firstLine="480" w:firstLineChars="200"/>
        <w:rPr>
          <w:rFonts w:ascii="宋体" w:hAnsi="宋体" w:eastAsia="宋体"/>
          <w:color w:val="auto"/>
          <w:sz w:val="24"/>
        </w:rPr>
      </w:pPr>
      <w:r>
        <w:rPr>
          <w:rFonts w:hint="eastAsia" w:ascii="宋体" w:hAnsi="宋体" w:eastAsia="宋体" w:cs="宋体"/>
          <w:color w:val="auto"/>
          <w:sz w:val="24"/>
        </w:rPr>
        <w:t>④</w:t>
      </w:r>
      <w:r>
        <w:rPr>
          <w:rFonts w:ascii="宋体" w:hAnsi="宋体" w:eastAsia="宋体"/>
          <w:color w:val="auto"/>
          <w:sz w:val="24"/>
        </w:rPr>
        <w:t>预测气层疏松程度、出砂程度等。</w:t>
      </w:r>
    </w:p>
    <w:p w14:paraId="2A43CC31">
      <w:pPr>
        <w:spacing w:line="440" w:lineRule="exact"/>
        <w:ind w:firstLine="480" w:firstLineChars="200"/>
        <w:rPr>
          <w:rFonts w:ascii="宋体" w:hAnsi="宋体" w:eastAsia="宋体"/>
          <w:color w:val="auto"/>
          <w:sz w:val="24"/>
        </w:rPr>
      </w:pPr>
      <w:r>
        <w:rPr>
          <w:rFonts w:hint="eastAsia" w:ascii="宋体" w:hAnsi="宋体" w:eastAsia="宋体" w:cs="宋体"/>
          <w:color w:val="auto"/>
          <w:sz w:val="24"/>
          <w:lang w:eastAsia="ja-JP"/>
        </w:rPr>
        <w:t>⑤</w:t>
      </w:r>
      <w:r>
        <w:rPr>
          <w:rFonts w:ascii="宋体" w:hAnsi="宋体" w:eastAsia="宋体"/>
          <w:color w:val="auto"/>
          <w:sz w:val="24"/>
        </w:rPr>
        <w:t>预测透镜砂体厚度、分布范围和层位，为注气和采气提供资料。</w:t>
      </w:r>
    </w:p>
    <w:p w14:paraId="05FD2D80">
      <w:pPr>
        <w:spacing w:line="440" w:lineRule="exact"/>
        <w:ind w:firstLine="480" w:firstLineChars="200"/>
        <w:rPr>
          <w:rFonts w:ascii="宋体" w:hAnsi="宋体" w:eastAsia="宋体"/>
          <w:color w:val="auto"/>
          <w:sz w:val="24"/>
        </w:rPr>
      </w:pPr>
      <w:r>
        <w:rPr>
          <w:rFonts w:ascii="宋体" w:hAnsi="宋体" w:eastAsia="宋体"/>
          <w:color w:val="auto"/>
          <w:sz w:val="24"/>
        </w:rPr>
        <w:t>3）工程技术预防措施</w:t>
      </w:r>
    </w:p>
    <w:p w14:paraId="5CC735BB">
      <w:pPr>
        <w:spacing w:line="440" w:lineRule="exact"/>
        <w:ind w:firstLine="480" w:firstLineChars="200"/>
        <w:rPr>
          <w:rFonts w:ascii="宋体" w:hAnsi="宋体" w:eastAsia="宋体"/>
          <w:color w:val="auto"/>
          <w:sz w:val="24"/>
        </w:rPr>
      </w:pPr>
      <w:r>
        <w:rPr>
          <w:rFonts w:hint="eastAsia" w:ascii="宋体" w:hAnsi="宋体" w:eastAsia="宋体" w:cs="宋体"/>
          <w:color w:val="auto"/>
          <w:sz w:val="24"/>
          <w:lang w:eastAsia="ja-JP"/>
        </w:rPr>
        <w:t>①</w:t>
      </w:r>
      <w:r>
        <w:rPr>
          <w:rFonts w:ascii="宋体" w:hAnsi="宋体" w:eastAsia="宋体"/>
          <w:color w:val="auto"/>
          <w:sz w:val="24"/>
        </w:rPr>
        <w:t>对开发方式与工艺的要求。</w:t>
      </w:r>
    </w:p>
    <w:p w14:paraId="6165238B">
      <w:pPr>
        <w:spacing w:line="440" w:lineRule="exact"/>
        <w:ind w:firstLine="480" w:firstLineChars="200"/>
        <w:rPr>
          <w:rFonts w:ascii="宋体" w:hAnsi="宋体" w:eastAsia="宋体"/>
          <w:color w:val="auto"/>
          <w:sz w:val="24"/>
        </w:rPr>
      </w:pPr>
      <w:r>
        <w:rPr>
          <w:rFonts w:ascii="宋体" w:hAnsi="宋体" w:eastAsia="宋体"/>
          <w:color w:val="auto"/>
          <w:sz w:val="24"/>
        </w:rPr>
        <w:t>A.为防止地应力集中，尤其在断层附近，应采取恰当的布井方式，以适应地下应力分布情况。</w:t>
      </w:r>
    </w:p>
    <w:p w14:paraId="001178D2">
      <w:pPr>
        <w:spacing w:line="440" w:lineRule="exact"/>
        <w:ind w:firstLine="480" w:firstLineChars="200"/>
        <w:rPr>
          <w:rFonts w:ascii="宋体" w:hAnsi="宋体" w:eastAsia="宋体"/>
          <w:color w:val="auto"/>
          <w:sz w:val="24"/>
        </w:rPr>
      </w:pPr>
      <w:r>
        <w:rPr>
          <w:rFonts w:ascii="宋体" w:hAnsi="宋体" w:eastAsia="宋体"/>
          <w:color w:val="auto"/>
          <w:sz w:val="24"/>
        </w:rPr>
        <w:t>B.在套管易损坏地区的井，应考虑下技术套管，技术套管下至断裂层下部固井后再下生产套管。</w:t>
      </w:r>
    </w:p>
    <w:p w14:paraId="3954C44A">
      <w:pPr>
        <w:spacing w:line="440" w:lineRule="exact"/>
        <w:ind w:firstLine="480" w:firstLineChars="200"/>
        <w:rPr>
          <w:rFonts w:ascii="宋体" w:hAnsi="宋体" w:eastAsia="宋体"/>
          <w:color w:val="auto"/>
          <w:sz w:val="24"/>
        </w:rPr>
      </w:pPr>
      <w:r>
        <w:rPr>
          <w:rFonts w:ascii="宋体" w:hAnsi="宋体" w:eastAsia="宋体"/>
          <w:color w:val="auto"/>
          <w:sz w:val="24"/>
        </w:rPr>
        <w:t>C.在可能的情况下，应分层开采，以利于克服层间应力异常和减少井下作业次数，防止套管损坏。</w:t>
      </w:r>
    </w:p>
    <w:p w14:paraId="03FB26FA">
      <w:pPr>
        <w:spacing w:line="440" w:lineRule="exact"/>
        <w:ind w:firstLine="480" w:firstLineChars="200"/>
        <w:rPr>
          <w:rFonts w:ascii="宋体" w:hAnsi="宋体" w:eastAsia="宋体"/>
          <w:color w:val="auto"/>
          <w:sz w:val="24"/>
        </w:rPr>
      </w:pPr>
      <w:r>
        <w:rPr>
          <w:rFonts w:hint="eastAsia" w:ascii="宋体" w:hAnsi="宋体" w:eastAsia="宋体" w:cs="宋体"/>
          <w:color w:val="auto"/>
          <w:sz w:val="24"/>
          <w:lang w:eastAsia="ja-JP"/>
        </w:rPr>
        <w:t>②</w:t>
      </w:r>
      <w:r>
        <w:rPr>
          <w:rFonts w:ascii="宋体" w:hAnsi="宋体" w:eastAsia="宋体"/>
          <w:color w:val="auto"/>
          <w:sz w:val="24"/>
        </w:rPr>
        <w:t>下套管和固井质量的要求。</w:t>
      </w:r>
    </w:p>
    <w:p w14:paraId="5512E8A3">
      <w:pPr>
        <w:spacing w:line="440" w:lineRule="exact"/>
        <w:ind w:firstLine="480" w:firstLineChars="200"/>
        <w:rPr>
          <w:rFonts w:ascii="宋体" w:hAnsi="宋体" w:eastAsia="宋体"/>
          <w:color w:val="auto"/>
          <w:sz w:val="24"/>
        </w:rPr>
      </w:pPr>
      <w:r>
        <w:rPr>
          <w:rFonts w:ascii="宋体" w:hAnsi="宋体" w:eastAsia="宋体"/>
          <w:color w:val="auto"/>
          <w:sz w:val="24"/>
        </w:rPr>
        <w:t>A.为防止浅层水腐蚀套管及浅层高塑性泥岩层蠕变，在浅层套管内外壁进行防腐，同时可下表层套管封隔浅层。</w:t>
      </w:r>
    </w:p>
    <w:p w14:paraId="5173884F">
      <w:pPr>
        <w:spacing w:line="440" w:lineRule="exact"/>
        <w:ind w:firstLine="480" w:firstLineChars="200"/>
        <w:rPr>
          <w:rFonts w:ascii="宋体" w:hAnsi="宋体" w:eastAsia="宋体"/>
          <w:color w:val="auto"/>
          <w:sz w:val="24"/>
        </w:rPr>
      </w:pPr>
      <w:r>
        <w:rPr>
          <w:rFonts w:ascii="宋体" w:hAnsi="宋体" w:eastAsia="宋体"/>
          <w:color w:val="auto"/>
          <w:sz w:val="24"/>
        </w:rPr>
        <w:t>B.为保证套管接箍丝扣和密封脂质量及上扣的扭矩值，对井下的套管要定期紧扣。</w:t>
      </w:r>
    </w:p>
    <w:p w14:paraId="58412965">
      <w:pPr>
        <w:spacing w:line="440" w:lineRule="exact"/>
        <w:ind w:firstLine="480" w:firstLineChars="200"/>
        <w:rPr>
          <w:rFonts w:ascii="宋体" w:hAnsi="宋体" w:eastAsia="宋体"/>
          <w:color w:val="auto"/>
          <w:sz w:val="24"/>
        </w:rPr>
      </w:pPr>
      <w:r>
        <w:rPr>
          <w:rFonts w:ascii="宋体" w:hAnsi="宋体" w:eastAsia="宋体"/>
          <w:color w:val="auto"/>
          <w:sz w:val="24"/>
        </w:rPr>
        <w:t>C.为减少套管损坏，固井时水泥浆应返至地面，进行全程固井。</w:t>
      </w:r>
    </w:p>
    <w:p w14:paraId="56DDFAB5">
      <w:pPr>
        <w:spacing w:line="440" w:lineRule="exact"/>
        <w:ind w:firstLine="480" w:firstLineChars="200"/>
        <w:rPr>
          <w:rFonts w:ascii="宋体" w:hAnsi="宋体" w:eastAsia="宋体"/>
          <w:color w:val="auto"/>
          <w:sz w:val="24"/>
        </w:rPr>
      </w:pPr>
      <w:r>
        <w:rPr>
          <w:rFonts w:ascii="宋体" w:hAnsi="宋体" w:eastAsia="宋体"/>
          <w:color w:val="auto"/>
          <w:sz w:val="24"/>
        </w:rPr>
        <w:t>（3）防火、防爆、防泄漏措施</w:t>
      </w:r>
    </w:p>
    <w:p w14:paraId="1CE7C4A1">
      <w:pPr>
        <w:spacing w:line="440" w:lineRule="exact"/>
        <w:ind w:firstLine="480" w:firstLineChars="200"/>
        <w:rPr>
          <w:rFonts w:ascii="宋体" w:hAnsi="宋体" w:eastAsia="宋体"/>
          <w:color w:val="auto"/>
          <w:sz w:val="24"/>
        </w:rPr>
      </w:pPr>
      <w:r>
        <w:rPr>
          <w:rFonts w:ascii="宋体" w:hAnsi="宋体" w:eastAsia="宋体"/>
          <w:color w:val="auto"/>
          <w:sz w:val="24"/>
        </w:rPr>
        <w:t>1）井场钻井设备的布局要考虑防火的安全要求。值班房、发电房、配电柜距井口不小于30m。</w:t>
      </w:r>
    </w:p>
    <w:p w14:paraId="026F03EC">
      <w:pPr>
        <w:spacing w:line="440" w:lineRule="exact"/>
        <w:ind w:firstLine="480" w:firstLineChars="200"/>
        <w:rPr>
          <w:rFonts w:ascii="宋体" w:hAnsi="宋体" w:eastAsia="宋体"/>
          <w:color w:val="auto"/>
          <w:sz w:val="24"/>
        </w:rPr>
      </w:pPr>
      <w:r>
        <w:rPr>
          <w:rFonts w:ascii="宋体" w:hAnsi="宋体" w:eastAsia="宋体"/>
          <w:color w:val="auto"/>
          <w:sz w:val="24"/>
        </w:rPr>
        <w:t>2）距井口 30m 以内及钻井液循环系统的电气设备、照明设备、开关、输电线路及接线方法应符合防火防爆安全规定。</w:t>
      </w:r>
    </w:p>
    <w:p w14:paraId="77F62762">
      <w:pPr>
        <w:spacing w:line="440" w:lineRule="exact"/>
        <w:ind w:firstLine="480" w:firstLineChars="200"/>
        <w:rPr>
          <w:rFonts w:ascii="宋体" w:hAnsi="宋体" w:eastAsia="宋体"/>
          <w:color w:val="auto"/>
          <w:sz w:val="24"/>
        </w:rPr>
      </w:pPr>
      <w:r>
        <w:rPr>
          <w:rFonts w:ascii="宋体" w:hAnsi="宋体" w:eastAsia="宋体"/>
          <w:color w:val="auto"/>
          <w:sz w:val="24"/>
        </w:rPr>
        <w:t>3）钻台下面和井口周围严禁堆放杂物和易燃品，机泵房下无积油。</w:t>
      </w:r>
    </w:p>
    <w:p w14:paraId="3951D2B7">
      <w:pPr>
        <w:spacing w:line="440" w:lineRule="exact"/>
        <w:ind w:firstLine="480" w:firstLineChars="200"/>
        <w:rPr>
          <w:rFonts w:ascii="宋体" w:hAnsi="宋体" w:eastAsia="宋体"/>
          <w:color w:val="auto"/>
          <w:sz w:val="24"/>
        </w:rPr>
      </w:pPr>
      <w:r>
        <w:rPr>
          <w:rFonts w:ascii="宋体" w:hAnsi="宋体" w:eastAsia="宋体"/>
          <w:color w:val="auto"/>
          <w:sz w:val="24"/>
        </w:rPr>
        <w:t>4）井场内严禁吸烟和动用明火，应有明显的防火标志。若需动火，应执行相关的安全规定。</w:t>
      </w:r>
    </w:p>
    <w:p w14:paraId="130D877B">
      <w:pPr>
        <w:spacing w:line="440" w:lineRule="exact"/>
        <w:ind w:firstLine="480" w:firstLineChars="200"/>
        <w:rPr>
          <w:rFonts w:ascii="宋体" w:hAnsi="宋体" w:eastAsia="宋体"/>
          <w:color w:val="auto"/>
          <w:sz w:val="24"/>
        </w:rPr>
      </w:pPr>
      <w:r>
        <w:rPr>
          <w:rFonts w:ascii="宋体" w:hAnsi="宋体" w:eastAsia="宋体"/>
          <w:color w:val="auto"/>
          <w:sz w:val="24"/>
        </w:rPr>
        <w:t>5）在井架上、井场盛行风入口处、钻台等地应至少设置2个风向标，一旦发生紧急情况，作业人员可向上风方向设定的2个紧急集合点疏散。</w:t>
      </w:r>
    </w:p>
    <w:p w14:paraId="09133ABA">
      <w:pPr>
        <w:spacing w:line="440" w:lineRule="exact"/>
        <w:ind w:firstLine="480" w:firstLineChars="200"/>
        <w:rPr>
          <w:rFonts w:ascii="宋体" w:hAnsi="宋体" w:eastAsia="宋体"/>
          <w:color w:val="auto"/>
          <w:sz w:val="24"/>
        </w:rPr>
      </w:pPr>
      <w:r>
        <w:rPr>
          <w:rFonts w:ascii="宋体" w:hAnsi="宋体" w:eastAsia="宋体"/>
          <w:color w:val="auto"/>
          <w:sz w:val="24"/>
        </w:rPr>
        <w:t>6）在钻台上下、振动筛、循环罐等气体易聚积的场所，应安装防爆排风扇以驱散工作场所弥漫的有毒有害、可燃气体。</w:t>
      </w:r>
    </w:p>
    <w:p w14:paraId="41C09829">
      <w:pPr>
        <w:spacing w:line="440" w:lineRule="exact"/>
        <w:ind w:firstLine="480" w:firstLineChars="200"/>
        <w:rPr>
          <w:rFonts w:ascii="宋体" w:hAnsi="宋体" w:eastAsia="宋体"/>
          <w:color w:val="auto"/>
          <w:sz w:val="24"/>
        </w:rPr>
      </w:pPr>
      <w:r>
        <w:rPr>
          <w:rFonts w:ascii="宋体" w:hAnsi="宋体" w:eastAsia="宋体"/>
          <w:color w:val="auto"/>
          <w:sz w:val="24"/>
        </w:rPr>
        <w:t>7）柴油罐区地面铺设防渗布，设置围堰。</w:t>
      </w:r>
    </w:p>
    <w:p w14:paraId="149A2547">
      <w:pPr>
        <w:spacing w:line="440" w:lineRule="exact"/>
        <w:ind w:firstLine="480" w:firstLineChars="200"/>
        <w:rPr>
          <w:rFonts w:ascii="宋体" w:hAnsi="宋体" w:eastAsia="宋体"/>
          <w:color w:val="auto"/>
          <w:sz w:val="24"/>
        </w:rPr>
      </w:pPr>
      <w:r>
        <w:rPr>
          <w:rFonts w:ascii="宋体" w:hAnsi="宋体" w:eastAsia="宋体"/>
          <w:color w:val="auto"/>
          <w:sz w:val="24"/>
        </w:rPr>
        <w:t>8）确保应急工具和设备齐备完好，以便在发生泄漏事故时对产生的污油污水进行及时回收和处理。</w:t>
      </w:r>
    </w:p>
    <w:p w14:paraId="7894DA19">
      <w:pPr>
        <w:spacing w:line="440" w:lineRule="exact"/>
        <w:ind w:firstLine="480" w:firstLineChars="200"/>
        <w:rPr>
          <w:rFonts w:ascii="宋体" w:hAnsi="宋体" w:eastAsia="宋体"/>
          <w:color w:val="auto"/>
          <w:sz w:val="24"/>
        </w:rPr>
      </w:pPr>
      <w:r>
        <w:rPr>
          <w:rFonts w:ascii="宋体" w:hAnsi="宋体" w:eastAsia="宋体"/>
          <w:color w:val="auto"/>
          <w:sz w:val="24"/>
        </w:rPr>
        <w:t>9）一旦发生井喷事故，要及时上报上级主管部门，并有消防车、救护车、医护人员和技术安全人员在井场值班。</w:t>
      </w:r>
    </w:p>
    <w:p w14:paraId="017FF1F6">
      <w:pPr>
        <w:spacing w:line="440" w:lineRule="exact"/>
        <w:ind w:firstLine="480" w:firstLineChars="200"/>
        <w:rPr>
          <w:rFonts w:ascii="宋体" w:hAnsi="宋体" w:eastAsia="宋体"/>
          <w:color w:val="auto"/>
          <w:sz w:val="24"/>
        </w:rPr>
      </w:pPr>
      <w:r>
        <w:rPr>
          <w:rFonts w:ascii="宋体" w:hAnsi="宋体" w:eastAsia="宋体"/>
          <w:color w:val="auto"/>
          <w:sz w:val="24"/>
        </w:rPr>
        <w:t>10）对油田设施采用新技术，提高油田设施的抗蚀防腐能力，如推广抗腐蚀的非金属管线的应用，从而减少由于设施因素引发油水泄漏事故的几率。</w:t>
      </w:r>
    </w:p>
    <w:p w14:paraId="24722E08">
      <w:pPr>
        <w:spacing w:line="440" w:lineRule="exact"/>
        <w:ind w:firstLine="480" w:firstLineChars="200"/>
        <w:rPr>
          <w:rFonts w:ascii="宋体" w:hAnsi="宋体" w:eastAsia="宋体"/>
          <w:color w:val="auto"/>
          <w:sz w:val="24"/>
        </w:rPr>
      </w:pPr>
      <w:r>
        <w:rPr>
          <w:rFonts w:ascii="宋体" w:hAnsi="宋体" w:eastAsia="宋体"/>
          <w:color w:val="auto"/>
          <w:sz w:val="24"/>
        </w:rPr>
        <w:t>11）原油、天然气为易燃易爆物质。为了防止设备、管道爆破泄漏，严格遵循有关设计规范进行规划设计，严格要求设备、材料的质量和工程的施工质量，保证工艺过程的密闭性，避免事故的发生。</w:t>
      </w:r>
    </w:p>
    <w:p w14:paraId="4B5C9D35">
      <w:pPr>
        <w:spacing w:line="440" w:lineRule="exact"/>
        <w:ind w:firstLine="480" w:firstLineChars="200"/>
        <w:rPr>
          <w:rFonts w:ascii="宋体" w:hAnsi="宋体" w:eastAsia="宋体"/>
          <w:color w:val="auto"/>
          <w:sz w:val="24"/>
        </w:rPr>
      </w:pPr>
      <w:r>
        <w:rPr>
          <w:rFonts w:ascii="宋体" w:hAnsi="宋体" w:eastAsia="宋体"/>
          <w:color w:val="auto"/>
          <w:sz w:val="24"/>
        </w:rPr>
        <w:t>12）爆炸危险区域内所用的电气设备、自控仪表设备均采用防爆型，并符合相应的防爆等级。</w:t>
      </w:r>
    </w:p>
    <w:p w14:paraId="3B07D75A">
      <w:pPr>
        <w:spacing w:line="440" w:lineRule="exact"/>
        <w:ind w:firstLine="480" w:firstLineChars="200"/>
        <w:rPr>
          <w:rFonts w:ascii="宋体" w:hAnsi="宋体" w:eastAsia="宋体"/>
          <w:color w:val="auto"/>
          <w:sz w:val="24"/>
        </w:rPr>
      </w:pPr>
      <w:r>
        <w:rPr>
          <w:rFonts w:ascii="宋体" w:hAnsi="宋体" w:eastAsia="宋体"/>
          <w:color w:val="auto"/>
          <w:sz w:val="24"/>
        </w:rPr>
        <w:t>13）严格执行各项安全生产制度，在油气泄漏场所严禁静电和携带火种。</w:t>
      </w:r>
    </w:p>
    <w:p w14:paraId="36DD78CE">
      <w:pPr>
        <w:spacing w:line="440" w:lineRule="exact"/>
        <w:ind w:firstLine="480" w:firstLineChars="200"/>
        <w:rPr>
          <w:rFonts w:ascii="宋体" w:hAnsi="宋体" w:eastAsia="宋体"/>
          <w:color w:val="auto"/>
          <w:sz w:val="24"/>
        </w:rPr>
      </w:pPr>
      <w:r>
        <w:rPr>
          <w:rFonts w:ascii="宋体" w:hAnsi="宋体" w:eastAsia="宋体"/>
          <w:color w:val="auto"/>
          <w:sz w:val="24"/>
        </w:rPr>
        <w:t>（4）井下作业事故风险防范措施</w:t>
      </w:r>
    </w:p>
    <w:p w14:paraId="697039E5">
      <w:pPr>
        <w:spacing w:line="440" w:lineRule="exact"/>
        <w:ind w:firstLine="480" w:firstLineChars="200"/>
        <w:rPr>
          <w:rFonts w:ascii="宋体" w:hAnsi="宋体" w:eastAsia="宋体"/>
          <w:color w:val="auto"/>
          <w:sz w:val="24"/>
        </w:rPr>
      </w:pPr>
      <w:r>
        <w:rPr>
          <w:rFonts w:ascii="宋体" w:hAnsi="宋体" w:eastAsia="宋体"/>
          <w:color w:val="auto"/>
          <w:sz w:val="24"/>
        </w:rPr>
        <w:t>1）为预防作业时井喷，对于地层压力较高的油井作业，在作业前应先调节注采比，降低井底压力后再进行作业；</w:t>
      </w:r>
    </w:p>
    <w:p w14:paraId="1169F5D6">
      <w:pPr>
        <w:spacing w:line="440" w:lineRule="exact"/>
        <w:ind w:firstLine="480" w:firstLineChars="200"/>
        <w:rPr>
          <w:rFonts w:ascii="宋体" w:hAnsi="宋体" w:eastAsia="宋体"/>
          <w:color w:val="auto"/>
          <w:sz w:val="24"/>
        </w:rPr>
      </w:pPr>
      <w:r>
        <w:rPr>
          <w:rFonts w:ascii="宋体" w:hAnsi="宋体" w:eastAsia="宋体"/>
          <w:color w:val="auto"/>
          <w:sz w:val="24"/>
        </w:rPr>
        <w:t>2）施工准备过程要在管、杆桥下设污油收集设施；拆卸井口采油树后，要安装简易控制器，并将井口溢流油水控制器、作业废水进站装置与井口连接，完好后，通电调试；</w:t>
      </w:r>
    </w:p>
    <w:p w14:paraId="2908DEF2">
      <w:pPr>
        <w:spacing w:line="440" w:lineRule="exact"/>
        <w:ind w:firstLine="480" w:firstLineChars="200"/>
        <w:rPr>
          <w:rFonts w:ascii="宋体" w:hAnsi="宋体" w:eastAsia="宋体"/>
          <w:color w:val="auto"/>
          <w:sz w:val="24"/>
        </w:rPr>
      </w:pPr>
      <w:r>
        <w:rPr>
          <w:rFonts w:ascii="宋体" w:hAnsi="宋体" w:eastAsia="宋体"/>
          <w:color w:val="auto"/>
          <w:sz w:val="24"/>
        </w:rPr>
        <w:t>3）作业前要打开生产阀门、套管放空阀门，观察溢流量大小。如果溢流量较大，采取清水或泥浆进行压井；起下抽油杆、管柱过程要注意井口变化，井口溢流较小时，将污水排入污水回收装置，溢流较大时，立即停止操作，迅速关闭封井器；采取清水或泥浆压井；</w:t>
      </w:r>
    </w:p>
    <w:p w14:paraId="545DB956">
      <w:pPr>
        <w:spacing w:line="440" w:lineRule="exact"/>
        <w:ind w:firstLine="480" w:firstLineChars="200"/>
        <w:rPr>
          <w:rFonts w:ascii="宋体" w:hAnsi="宋体" w:eastAsia="宋体"/>
          <w:color w:val="auto"/>
          <w:sz w:val="24"/>
        </w:rPr>
      </w:pPr>
      <w:r>
        <w:rPr>
          <w:rFonts w:ascii="宋体" w:hAnsi="宋体" w:eastAsia="宋体"/>
          <w:color w:val="auto"/>
          <w:sz w:val="24"/>
        </w:rPr>
        <w:t>4）打开套管闸门，启动作业废水进站装置和油水收集器，使废水废液由套管排出经作业废水进站装置回站；</w:t>
      </w:r>
    </w:p>
    <w:p w14:paraId="2A9C06C3">
      <w:pPr>
        <w:spacing w:line="440" w:lineRule="exact"/>
        <w:ind w:firstLine="480" w:firstLineChars="200"/>
        <w:rPr>
          <w:rFonts w:ascii="宋体" w:hAnsi="宋体" w:eastAsia="宋体"/>
          <w:color w:val="auto"/>
          <w:sz w:val="24"/>
        </w:rPr>
      </w:pPr>
      <w:r>
        <w:rPr>
          <w:rFonts w:ascii="宋体" w:hAnsi="宋体" w:eastAsia="宋体"/>
          <w:color w:val="auto"/>
          <w:sz w:val="24"/>
        </w:rPr>
        <w:t>5）在压井、冲沙、刮蜡、验串、套铣施工有溢流时，必须下单流阀，套管出口接到作业废水进站装置；</w:t>
      </w:r>
    </w:p>
    <w:p w14:paraId="3EBC3D9B">
      <w:pPr>
        <w:spacing w:line="440" w:lineRule="exact"/>
        <w:ind w:firstLine="480" w:firstLineChars="200"/>
        <w:rPr>
          <w:rFonts w:ascii="宋体" w:hAnsi="宋体" w:eastAsia="宋体"/>
          <w:color w:val="auto"/>
          <w:sz w:val="24"/>
        </w:rPr>
      </w:pPr>
      <w:r>
        <w:rPr>
          <w:rFonts w:ascii="宋体" w:hAnsi="宋体" w:eastAsia="宋体"/>
          <w:color w:val="auto"/>
          <w:sz w:val="24"/>
        </w:rPr>
        <w:t>6）压井、冲沙、刮蜡、验串、套铣前，必须认真检查水龙带有无破皮、断丝、油壬丝扣完好状态，水泥车井口管线试打压 4.0 Mpa 检验密封性；作业时随时注意进出口排量压力，防止井喷，观察拉力计悬重变化，防止沙堵蹩泵。遇阻憋压时，要立即将管柱上提，防止管线爆裂。</w:t>
      </w:r>
    </w:p>
    <w:p w14:paraId="56944A2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营期环境风险防范措施</w:t>
      </w:r>
    </w:p>
    <w:p w14:paraId="11EED5FA">
      <w:pPr>
        <w:spacing w:line="440" w:lineRule="exact"/>
        <w:ind w:firstLine="480" w:firstLineChars="200"/>
        <w:rPr>
          <w:rFonts w:ascii="宋体" w:hAnsi="宋体" w:eastAsia="宋体"/>
          <w:color w:val="auto"/>
          <w:sz w:val="24"/>
        </w:rPr>
      </w:pPr>
      <w:r>
        <w:rPr>
          <w:rFonts w:ascii="宋体" w:hAnsi="宋体" w:eastAsia="宋体"/>
          <w:color w:val="auto"/>
          <w:sz w:val="24"/>
        </w:rPr>
        <w:t>（1）集输系统事故风险防范措施</w:t>
      </w:r>
    </w:p>
    <w:p w14:paraId="129396B0">
      <w:pPr>
        <w:spacing w:line="440" w:lineRule="exact"/>
        <w:ind w:firstLine="480" w:firstLineChars="200"/>
        <w:rPr>
          <w:rFonts w:ascii="宋体" w:hAnsi="宋体" w:eastAsia="宋体"/>
          <w:color w:val="auto"/>
          <w:sz w:val="24"/>
        </w:rPr>
      </w:pPr>
      <w:r>
        <w:rPr>
          <w:rFonts w:ascii="宋体" w:hAnsi="宋体" w:eastAsia="宋体"/>
          <w:color w:val="auto"/>
          <w:sz w:val="24"/>
        </w:rPr>
        <w:t>1）严格挑选施工队伍，施工单位应持有劳动行政部门颁发的压力管道安装许可证，以确保管道施工质量，同时对工程中使用的设备及附件应严格进行施工安装前的质量检验，检验合格后方可进行施工安装。</w:t>
      </w:r>
    </w:p>
    <w:p w14:paraId="4308A0A0">
      <w:pPr>
        <w:spacing w:line="440" w:lineRule="exact"/>
        <w:ind w:firstLine="480" w:firstLineChars="200"/>
        <w:rPr>
          <w:rFonts w:ascii="宋体" w:hAnsi="宋体" w:eastAsia="宋体"/>
          <w:color w:val="auto"/>
          <w:sz w:val="24"/>
        </w:rPr>
      </w:pPr>
      <w:r>
        <w:rPr>
          <w:rFonts w:ascii="宋体" w:hAnsi="宋体" w:eastAsia="宋体"/>
          <w:color w:val="auto"/>
          <w:sz w:val="24"/>
        </w:rPr>
        <w:t>2）新建集中拉油点采用数字化建设，配套视频监控和无线传输系统，监控摄像机具备实时拍照功能（1张/10分钟），拍摄照片通过无线网卡上传至大庆油田有限责任公司DMZ区域，安全检测后返回采油十厂调度中心，实时监控拉油点储罐运行状态，发现异常可及时启动应急处置措施。小队每日巡检，及时发现阀门</w:t>
      </w:r>
      <w:r>
        <w:rPr>
          <w:rFonts w:hint="eastAsia" w:ascii="宋体" w:hAnsi="宋体" w:eastAsia="宋体"/>
          <w:color w:val="auto"/>
          <w:sz w:val="24"/>
        </w:rPr>
        <w:t>泄漏</w:t>
      </w:r>
      <w:r>
        <w:rPr>
          <w:rFonts w:ascii="宋体" w:hAnsi="宋体" w:eastAsia="宋体"/>
          <w:color w:val="auto"/>
          <w:sz w:val="24"/>
        </w:rPr>
        <w:t>等问题并及时采取处置措施。</w:t>
      </w:r>
    </w:p>
    <w:p w14:paraId="3D06E6ED">
      <w:pPr>
        <w:spacing w:line="440" w:lineRule="exact"/>
        <w:ind w:firstLine="480" w:firstLineChars="200"/>
        <w:rPr>
          <w:rFonts w:ascii="宋体" w:hAnsi="宋体" w:eastAsia="宋体"/>
          <w:color w:val="auto"/>
          <w:sz w:val="24"/>
        </w:rPr>
      </w:pPr>
      <w:r>
        <w:rPr>
          <w:rFonts w:ascii="宋体" w:hAnsi="宋体" w:eastAsia="宋体"/>
          <w:color w:val="auto"/>
          <w:sz w:val="24"/>
        </w:rPr>
        <w:t>3）定时对油井、拉油点储罐和管线进行巡查，及时发现管线、阀门、设备渗漏、穿孔问题。拉油点储罐配备</w:t>
      </w:r>
      <w:r>
        <w:rPr>
          <w:rFonts w:hint="eastAsia" w:ascii="宋体" w:hAnsi="宋体" w:eastAsia="宋体"/>
          <w:color w:val="auto"/>
          <w:sz w:val="24"/>
        </w:rPr>
        <w:t>泄漏</w:t>
      </w:r>
      <w:r>
        <w:rPr>
          <w:rFonts w:ascii="宋体" w:hAnsi="宋体" w:eastAsia="宋体"/>
          <w:color w:val="auto"/>
          <w:sz w:val="24"/>
        </w:rPr>
        <w:t>检测和预警系统，接入控制中心；储罐罐体标识安全警示牌，以提醒人员注意安全风险和执行正确的操作规程。操作规程应准确明确，包括处理泄漏和紧急情况的指导，以便事故发生时能够迅速、有效地采取措施。为了保持储油罐的良好状态和功能，必须定期进行检查和维护工作，包括检查防腐层、泄漏传感器和防火设施等。</w:t>
      </w:r>
    </w:p>
    <w:p w14:paraId="4CD5F2E8">
      <w:pPr>
        <w:spacing w:line="440" w:lineRule="exact"/>
        <w:ind w:firstLine="480" w:firstLineChars="200"/>
        <w:rPr>
          <w:rFonts w:ascii="宋体" w:hAnsi="宋体" w:eastAsia="宋体"/>
          <w:color w:val="auto"/>
          <w:sz w:val="24"/>
        </w:rPr>
      </w:pPr>
      <w:r>
        <w:rPr>
          <w:rFonts w:ascii="宋体" w:hAnsi="宋体" w:eastAsia="宋体"/>
          <w:color w:val="auto"/>
          <w:sz w:val="24"/>
        </w:rPr>
        <w:t>4）加强应急预警和紧急切断等措施，加强自动控制系统的管理和控制，严格控制压力平衡。定期对管线进行检查，对壁厚低于规定要求的管段应及时更换，消除爆管的隐患；定期对集输管线上的安全保护设施，如截断阀、安全阀等进行检查，在管道破裂时能够及时截断上下游管段，以减少事故时油气的释放量，使危害影响范围减小到最低程度。</w:t>
      </w:r>
    </w:p>
    <w:p w14:paraId="46D47BD5">
      <w:pPr>
        <w:spacing w:line="440" w:lineRule="exact"/>
        <w:ind w:firstLine="480" w:firstLineChars="200"/>
        <w:rPr>
          <w:rFonts w:ascii="宋体" w:hAnsi="宋体" w:eastAsia="宋体"/>
          <w:color w:val="auto"/>
          <w:sz w:val="24"/>
        </w:rPr>
      </w:pPr>
      <w:r>
        <w:rPr>
          <w:rFonts w:ascii="宋体" w:hAnsi="宋体" w:eastAsia="宋体"/>
          <w:color w:val="auto"/>
          <w:sz w:val="24"/>
        </w:rPr>
        <w:t>5）在进行油井井下作业时，严格按照要求使用污油污水回收装置、油管清洗污水回收装置及罐车对作业污水进行回收，防止作业产生的污油污水进入周围环境。同时限制作业范围，严格控制在井场占地范围内，作业范围全部铺垫防渗布，并在井场作业区边缘修筑0.2m高临时玻璃钢围堰，将作业过程中可能产生的污油污水全部控制在作业区域内，完工后，将井场平整清理干净，不得遗留油污。</w:t>
      </w:r>
    </w:p>
    <w:p w14:paraId="609F7424">
      <w:pPr>
        <w:spacing w:line="440" w:lineRule="exact"/>
        <w:ind w:firstLine="480" w:firstLineChars="200"/>
        <w:rPr>
          <w:rFonts w:ascii="宋体" w:hAnsi="宋体" w:eastAsia="宋体"/>
          <w:color w:val="auto"/>
          <w:sz w:val="24"/>
        </w:rPr>
      </w:pPr>
      <w:r>
        <w:rPr>
          <w:rFonts w:ascii="宋体" w:hAnsi="宋体" w:eastAsia="宋体"/>
          <w:color w:val="auto"/>
          <w:sz w:val="24"/>
        </w:rPr>
        <w:t>6）生产时密切关注系统压力变化，一旦系统压力有大的降低，要及时报告，找到管线泄漏点，及时处理，避免污水大量泄漏。</w:t>
      </w:r>
    </w:p>
    <w:p w14:paraId="60377A25">
      <w:pPr>
        <w:spacing w:line="440" w:lineRule="exact"/>
        <w:ind w:firstLine="480" w:firstLineChars="200"/>
        <w:rPr>
          <w:rFonts w:ascii="宋体" w:hAnsi="宋体" w:eastAsia="宋体"/>
          <w:color w:val="auto"/>
          <w:sz w:val="24"/>
        </w:rPr>
      </w:pPr>
      <w:r>
        <w:rPr>
          <w:rFonts w:ascii="宋体" w:hAnsi="宋体" w:eastAsia="宋体"/>
          <w:color w:val="auto"/>
          <w:sz w:val="24"/>
        </w:rPr>
        <w:t>7）当井场储罐发生油水泄漏时应首先关闭相关阀门，倒罐或安排罐车转移罐内产液，及时在泄漏点周围修筑0.2m高临时围堤，井场</w:t>
      </w:r>
      <w:r>
        <w:rPr>
          <w:rFonts w:hint="eastAsia" w:ascii="宋体" w:hAnsi="宋体" w:eastAsia="宋体"/>
          <w:color w:val="auto"/>
          <w:sz w:val="24"/>
        </w:rPr>
        <w:t>泄漏</w:t>
      </w:r>
      <w:r>
        <w:rPr>
          <w:rFonts w:ascii="宋体" w:hAnsi="宋体" w:eastAsia="宋体"/>
          <w:color w:val="auto"/>
          <w:sz w:val="24"/>
        </w:rPr>
        <w:t>时在井场四周修筑0.2m高临时围堤，控制油水扩散范围，保护周围农田或草地；同时明确泄漏可能导致的后果，泄漏危急周围环境的可能性，隔离泄漏区，周围设警告标志。</w:t>
      </w:r>
    </w:p>
    <w:p w14:paraId="4B55BAF4">
      <w:pPr>
        <w:pStyle w:val="276"/>
        <w:widowControl w:val="0"/>
        <w:ind w:firstLine="480"/>
        <w:jc w:val="both"/>
        <w:rPr>
          <w:color w:val="auto"/>
        </w:rPr>
      </w:pPr>
      <w:r>
        <w:rPr>
          <w:color w:val="auto"/>
        </w:rPr>
        <w:t>8）确保第十采油厂第八作业区物资库的围油栏、铁锹、吸油毡、消油剂等应急工具和设备齐备完好，以便在发生泄漏事故时对产生的污油污水进行及时回收和处理，避免对周围地表水、地下水、土壤等环境产生污染。</w:t>
      </w:r>
    </w:p>
    <w:p w14:paraId="32F1F07E">
      <w:pPr>
        <w:pStyle w:val="276"/>
        <w:widowControl w:val="0"/>
        <w:ind w:firstLine="480"/>
        <w:jc w:val="both"/>
        <w:rPr>
          <w:color w:val="auto"/>
        </w:rPr>
      </w:pPr>
      <w:r>
        <w:rPr>
          <w:color w:val="auto"/>
        </w:rPr>
        <w:t>9）当发生管线</w:t>
      </w:r>
      <w:r>
        <w:rPr>
          <w:rFonts w:hint="eastAsia"/>
          <w:color w:val="auto"/>
        </w:rPr>
        <w:t>泄漏</w:t>
      </w:r>
      <w:r>
        <w:rPr>
          <w:color w:val="auto"/>
        </w:rPr>
        <w:t>油品流入井场周边灌溉水渠后，应采取筑坝方式进行拦截。夏季灌溉水渠有水时，在管道泄漏初始，专用抢险物资到来之前，应以草垛（玉米秸秆）为原料构筑草垛坝进行拦截，草垛坝坝体宽度不宜小于2.0米，坝体要紧密结实，以树桩等坚固的构筑物为支撑进行筑坝。冬季水渠干涸时修筑实体坝，在迎水面设置塑料布防止油品渗透，在集油坑和导油沟内应敷设防渗布。</w:t>
      </w:r>
    </w:p>
    <w:p w14:paraId="06A3E10D">
      <w:pPr>
        <w:pStyle w:val="276"/>
        <w:widowControl w:val="0"/>
        <w:ind w:firstLine="480"/>
        <w:jc w:val="both"/>
        <w:rPr>
          <w:color w:val="auto"/>
        </w:rPr>
      </w:pPr>
      <w:r>
        <w:rPr>
          <w:color w:val="auto"/>
        </w:rPr>
        <w:t>10）将被泄漏原油污染的土壤清理后由罐车拉运至朝一联含油污泥处理站减量化处理后，再委托大庆博昕晶化科技有限公司处理满足《油田含油污泥处置与利用污染控制要求》（DB23/T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p w14:paraId="57FD69F1">
      <w:pPr>
        <w:pStyle w:val="276"/>
        <w:widowControl w:val="0"/>
        <w:ind w:firstLine="480"/>
        <w:jc w:val="both"/>
        <w:rPr>
          <w:color w:val="auto"/>
        </w:rPr>
      </w:pPr>
      <w:r>
        <w:rPr>
          <w:color w:val="auto"/>
        </w:rPr>
        <w:t>11）当发生油田伴生气泄漏应划出警戒线，告知围观群众危险性，劝之不要动用火源，防止火灾及爆炸事故发生；同时根据泄漏情况有组织性的疏散周围相关人员。</w:t>
      </w:r>
    </w:p>
    <w:p w14:paraId="2FD62190">
      <w:pPr>
        <w:pStyle w:val="276"/>
        <w:widowControl w:val="0"/>
        <w:ind w:firstLine="480"/>
        <w:jc w:val="both"/>
        <w:rPr>
          <w:color w:val="auto"/>
        </w:rPr>
      </w:pPr>
      <w:r>
        <w:rPr>
          <w:color w:val="auto"/>
        </w:rPr>
        <w:t>12）建立应急响应机构，配备快捷的交通通讯工具，以便对泄漏事故及时作出反应和处理。</w:t>
      </w:r>
    </w:p>
    <w:p w14:paraId="44D25114">
      <w:pPr>
        <w:pStyle w:val="276"/>
        <w:widowControl w:val="0"/>
        <w:ind w:firstLine="480"/>
        <w:jc w:val="both"/>
        <w:rPr>
          <w:color w:val="auto"/>
        </w:rPr>
      </w:pPr>
      <w:r>
        <w:rPr>
          <w:color w:val="auto"/>
        </w:rPr>
        <w:t>13）对油田设施采用新技术，提高油田设施的抗蚀防腐能力，从而减少由于设施因素引发油水泄漏事故的几率。</w:t>
      </w:r>
    </w:p>
    <w:p w14:paraId="537D35D8">
      <w:pPr>
        <w:spacing w:line="440" w:lineRule="exact"/>
        <w:ind w:firstLine="480" w:firstLineChars="200"/>
        <w:rPr>
          <w:rFonts w:ascii="宋体" w:hAnsi="宋体" w:eastAsia="宋体"/>
          <w:color w:val="auto"/>
          <w:sz w:val="24"/>
        </w:rPr>
      </w:pPr>
      <w:r>
        <w:rPr>
          <w:rFonts w:ascii="宋体" w:hAnsi="宋体" w:eastAsia="宋体"/>
          <w:color w:val="auto"/>
          <w:sz w:val="24"/>
        </w:rPr>
        <w:t>14）制定定期巡查制度，发现异常及时处理和报告。</w:t>
      </w:r>
    </w:p>
    <w:p w14:paraId="0587878C">
      <w:pPr>
        <w:pStyle w:val="276"/>
        <w:widowControl w:val="0"/>
        <w:ind w:firstLine="480"/>
        <w:jc w:val="both"/>
        <w:rPr>
          <w:color w:val="auto"/>
        </w:rPr>
      </w:pPr>
      <w:r>
        <w:rPr>
          <w:color w:val="auto"/>
        </w:rPr>
        <w:t>15）建立应急响应机构，配备快捷的交通通讯工具，以便对泄漏事故及时作出反应和处理。</w:t>
      </w:r>
    </w:p>
    <w:p w14:paraId="3B67C4CD">
      <w:pPr>
        <w:spacing w:line="440" w:lineRule="exact"/>
        <w:ind w:firstLine="480" w:firstLineChars="200"/>
        <w:rPr>
          <w:rFonts w:ascii="宋体" w:hAnsi="宋体" w:eastAsia="宋体"/>
          <w:color w:val="auto"/>
          <w:sz w:val="24"/>
        </w:rPr>
      </w:pPr>
      <w:r>
        <w:rPr>
          <w:rFonts w:ascii="宋体" w:hAnsi="宋体" w:eastAsia="宋体"/>
          <w:color w:val="auto"/>
          <w:sz w:val="24"/>
        </w:rPr>
        <w:t>（2）拉油点储罐风险防范措施</w:t>
      </w:r>
    </w:p>
    <w:p w14:paraId="16F5B621">
      <w:pPr>
        <w:spacing w:line="440" w:lineRule="exact"/>
        <w:ind w:firstLine="480" w:firstLineChars="200"/>
        <w:rPr>
          <w:rFonts w:ascii="宋体" w:hAnsi="宋体" w:eastAsia="宋体"/>
          <w:color w:val="auto"/>
          <w:sz w:val="24"/>
        </w:rPr>
      </w:pPr>
      <w:r>
        <w:rPr>
          <w:rFonts w:ascii="宋体" w:hAnsi="宋体" w:eastAsia="宋体"/>
          <w:color w:val="auto"/>
          <w:sz w:val="24"/>
        </w:rPr>
        <w:t>1）在工艺上，安装了较为先进的自控系统能有效预防火灾、爆炸和泄漏的发生。预防火灾和泄漏具体措施是：罐体设有液位显示、高低液位报警及联锁关闭燃烧器的功能，当液位高于2200mm时，触发高液位报警功能，管理人员远端采取措施防止液位继续升高；当液位低于900mm 时，触发低液位报警功能，自动联锁关闭燃烧器，防止干烧。</w:t>
      </w:r>
    </w:p>
    <w:p w14:paraId="6B58D8AB">
      <w:pPr>
        <w:spacing w:line="440" w:lineRule="exact"/>
        <w:ind w:firstLine="480" w:firstLineChars="200"/>
        <w:rPr>
          <w:rFonts w:ascii="宋体" w:hAnsi="宋体" w:eastAsia="宋体"/>
          <w:color w:val="auto"/>
          <w:sz w:val="24"/>
        </w:rPr>
      </w:pPr>
      <w:r>
        <w:rPr>
          <w:rFonts w:ascii="宋体" w:hAnsi="宋体" w:eastAsia="宋体"/>
          <w:color w:val="auto"/>
          <w:sz w:val="24"/>
        </w:rPr>
        <w:t>2）在设计上，参考《石油天然气工程设计防火规范》（GB50183），因罐体属卧式油罐，容量较小，在拉油点罐区周边临时设置20cm高玻璃钢围堰，可保证泄漏风险发生后收集物料。</w:t>
      </w:r>
    </w:p>
    <w:p w14:paraId="4A7CF94E">
      <w:pPr>
        <w:spacing w:line="440" w:lineRule="exact"/>
        <w:ind w:firstLine="480" w:firstLineChars="200"/>
        <w:rPr>
          <w:rFonts w:ascii="宋体" w:hAnsi="宋体" w:eastAsia="宋体"/>
          <w:color w:val="auto"/>
          <w:sz w:val="24"/>
        </w:rPr>
      </w:pPr>
      <w:r>
        <w:rPr>
          <w:rFonts w:ascii="宋体" w:hAnsi="宋体" w:eastAsia="宋体"/>
          <w:color w:val="auto"/>
          <w:sz w:val="24"/>
        </w:rPr>
        <w:t>3）在管理上，拉油点采取无人值守、定时巡查模式，拉油点安装视频监控，多功能储罐采用数字化建设，配备温度、压力及液位等各类传感器接入作业区中控系统，实时监控拉油点储罐运行状况。定期检测探伤，现场配备足量的风险应急处置设施，编制相关应急预案，能在较短时间发现泄漏并开展应急工作。</w:t>
      </w:r>
    </w:p>
    <w:p w14:paraId="3774EF71">
      <w:pPr>
        <w:spacing w:line="440" w:lineRule="exact"/>
        <w:ind w:firstLine="480" w:firstLineChars="200"/>
        <w:rPr>
          <w:rFonts w:ascii="宋体" w:hAnsi="宋体" w:eastAsia="宋体"/>
          <w:color w:val="auto"/>
          <w:sz w:val="24"/>
        </w:rPr>
      </w:pPr>
      <w:r>
        <w:rPr>
          <w:rFonts w:ascii="宋体" w:hAnsi="宋体" w:eastAsia="宋体"/>
          <w:color w:val="auto"/>
          <w:sz w:val="24"/>
        </w:rPr>
        <w:t>4）拉油点储罐区做重点防渗，罐区占地内铺设2mm厚防渗布进行防渗，渗透系数为1.0×10</w:t>
      </w:r>
      <w:r>
        <w:rPr>
          <w:rFonts w:ascii="宋体" w:hAnsi="宋体" w:eastAsia="宋体"/>
          <w:color w:val="auto"/>
          <w:sz w:val="24"/>
          <w:vertAlign w:val="superscript"/>
        </w:rPr>
        <w:t>-10</w:t>
      </w:r>
      <w:r>
        <w:rPr>
          <w:rFonts w:ascii="宋体" w:hAnsi="宋体" w:eastAsia="宋体"/>
          <w:color w:val="auto"/>
          <w:sz w:val="24"/>
        </w:rPr>
        <w:t>cm/s。</w:t>
      </w:r>
    </w:p>
    <w:p w14:paraId="1C128E2E">
      <w:pPr>
        <w:spacing w:line="440" w:lineRule="exact"/>
        <w:ind w:firstLine="480" w:firstLineChars="200"/>
        <w:rPr>
          <w:rFonts w:ascii="宋体" w:hAnsi="宋体" w:eastAsia="宋体"/>
          <w:color w:val="auto"/>
          <w:sz w:val="24"/>
        </w:rPr>
      </w:pPr>
      <w:r>
        <w:rPr>
          <w:rFonts w:ascii="宋体" w:hAnsi="宋体" w:eastAsia="宋体"/>
          <w:color w:val="auto"/>
          <w:sz w:val="24"/>
        </w:rPr>
        <w:t>（3）依托场站事故风险防范措施</w:t>
      </w:r>
    </w:p>
    <w:p w14:paraId="0EE5432B">
      <w:pPr>
        <w:spacing w:line="440" w:lineRule="exact"/>
        <w:ind w:firstLine="480" w:firstLineChars="200"/>
        <w:rPr>
          <w:rFonts w:ascii="宋体" w:hAnsi="宋体" w:eastAsia="宋体"/>
          <w:color w:val="auto"/>
          <w:sz w:val="24"/>
        </w:rPr>
      </w:pPr>
      <w:r>
        <w:rPr>
          <w:rFonts w:ascii="宋体" w:hAnsi="宋体" w:eastAsia="宋体"/>
          <w:color w:val="auto"/>
          <w:sz w:val="24"/>
        </w:rPr>
        <w:t>1）建议对地层压力进行监控，合理安排注采比，预防套损事故的发生；</w:t>
      </w:r>
    </w:p>
    <w:p w14:paraId="0C4E94E7">
      <w:pPr>
        <w:spacing w:line="440" w:lineRule="exact"/>
        <w:ind w:firstLine="480" w:firstLineChars="200"/>
        <w:rPr>
          <w:rFonts w:ascii="宋体" w:hAnsi="宋体" w:eastAsia="宋体"/>
          <w:color w:val="auto"/>
          <w:sz w:val="24"/>
        </w:rPr>
      </w:pPr>
      <w:r>
        <w:rPr>
          <w:rFonts w:ascii="宋体" w:hAnsi="宋体" w:eastAsia="宋体"/>
          <w:color w:val="auto"/>
          <w:sz w:val="24"/>
        </w:rPr>
        <w:t>2）站内定时巡检，及时发现并处理容器、罐体、管线和阀门的泄漏、穿孔问题，避免出现大量油水泄漏；</w:t>
      </w:r>
    </w:p>
    <w:p w14:paraId="3DB311F3">
      <w:pPr>
        <w:spacing w:line="440" w:lineRule="exact"/>
        <w:ind w:firstLine="480" w:firstLineChars="200"/>
        <w:rPr>
          <w:rFonts w:ascii="宋体" w:hAnsi="宋体" w:eastAsia="宋体"/>
          <w:color w:val="auto"/>
          <w:sz w:val="24"/>
        </w:rPr>
      </w:pPr>
      <w:r>
        <w:rPr>
          <w:rFonts w:ascii="宋体" w:hAnsi="宋体" w:eastAsia="宋体"/>
          <w:color w:val="auto"/>
          <w:sz w:val="24"/>
        </w:rPr>
        <w:t>3）平稳操作，避免系统压力超高放空；</w:t>
      </w:r>
    </w:p>
    <w:p w14:paraId="19C45B51">
      <w:pPr>
        <w:spacing w:line="440" w:lineRule="exact"/>
        <w:ind w:firstLine="480" w:firstLineChars="200"/>
        <w:rPr>
          <w:rFonts w:ascii="宋体" w:hAnsi="宋体" w:eastAsia="宋体"/>
          <w:color w:val="auto"/>
          <w:sz w:val="24"/>
        </w:rPr>
      </w:pPr>
      <w:r>
        <w:rPr>
          <w:rFonts w:ascii="宋体" w:hAnsi="宋体" w:eastAsia="宋体"/>
          <w:color w:val="auto"/>
          <w:sz w:val="24"/>
        </w:rPr>
        <w:t>4）定期维护保养容器、设备和站内管线。</w:t>
      </w:r>
    </w:p>
    <w:p w14:paraId="1CEFE335">
      <w:pPr>
        <w:spacing w:line="440" w:lineRule="exact"/>
        <w:ind w:firstLine="480" w:firstLineChars="200"/>
        <w:rPr>
          <w:rFonts w:ascii="宋体" w:hAnsi="宋体" w:eastAsia="宋体"/>
          <w:color w:val="auto"/>
          <w:sz w:val="24"/>
        </w:rPr>
      </w:pPr>
      <w:r>
        <w:rPr>
          <w:rFonts w:ascii="宋体" w:hAnsi="宋体" w:eastAsia="宋体"/>
          <w:color w:val="auto"/>
          <w:sz w:val="24"/>
        </w:rPr>
        <w:t>5）加强场站管理，建立并严格执行安全生产责任制度，科学监控设备运行，消除故障隐患。</w:t>
      </w:r>
    </w:p>
    <w:p w14:paraId="39EC253F">
      <w:pPr>
        <w:spacing w:line="440" w:lineRule="exact"/>
        <w:ind w:firstLine="480" w:firstLineChars="200"/>
        <w:rPr>
          <w:rFonts w:ascii="宋体" w:hAnsi="宋体" w:eastAsia="宋体"/>
          <w:color w:val="auto"/>
          <w:sz w:val="24"/>
        </w:rPr>
      </w:pPr>
      <w:r>
        <w:rPr>
          <w:rFonts w:ascii="宋体" w:hAnsi="宋体" w:eastAsia="宋体"/>
          <w:color w:val="auto"/>
          <w:sz w:val="24"/>
        </w:rPr>
        <w:t>6）各依托场站均设置了事故排污池，可在事故状态下暂存装置内残余的原油或含油污水。</w:t>
      </w:r>
    </w:p>
    <w:p w14:paraId="335DB62F">
      <w:pPr>
        <w:spacing w:line="440" w:lineRule="exact"/>
        <w:ind w:firstLine="480" w:firstLineChars="200"/>
        <w:rPr>
          <w:rFonts w:ascii="宋体" w:hAnsi="宋体" w:eastAsia="宋体"/>
          <w:color w:val="auto"/>
          <w:sz w:val="24"/>
        </w:rPr>
      </w:pPr>
      <w:r>
        <w:rPr>
          <w:rFonts w:ascii="宋体" w:hAnsi="宋体" w:eastAsia="宋体"/>
          <w:color w:val="auto"/>
          <w:sz w:val="24"/>
        </w:rPr>
        <w:t>（4）泄漏、火灾、爆炸风险防范措施</w:t>
      </w:r>
    </w:p>
    <w:p w14:paraId="2D22E9D0">
      <w:pPr>
        <w:spacing w:line="440" w:lineRule="exact"/>
        <w:ind w:firstLine="480" w:firstLineChars="200"/>
        <w:rPr>
          <w:rFonts w:ascii="宋体" w:hAnsi="宋体" w:eastAsia="宋体"/>
          <w:color w:val="auto"/>
          <w:sz w:val="24"/>
        </w:rPr>
      </w:pPr>
      <w:r>
        <w:rPr>
          <w:rFonts w:ascii="宋体" w:hAnsi="宋体" w:eastAsia="宋体"/>
          <w:color w:val="auto"/>
          <w:sz w:val="24"/>
        </w:rPr>
        <w:t>1）为防止系统憋压或误操作造成密闭设备的超压破坏或爆炸，所有压力容器及油罐均设有安全阀、呼吸阀等泄压设施。场站可燃气体设备的安全阀出口泄放管应接至火炬系统或其它安全泄放设施；</w:t>
      </w:r>
    </w:p>
    <w:p w14:paraId="2F70A801">
      <w:pPr>
        <w:spacing w:line="440" w:lineRule="exact"/>
        <w:ind w:firstLine="480" w:firstLineChars="200"/>
        <w:rPr>
          <w:rFonts w:ascii="宋体" w:hAnsi="宋体" w:eastAsia="宋体"/>
          <w:color w:val="auto"/>
          <w:sz w:val="24"/>
        </w:rPr>
      </w:pPr>
      <w:r>
        <w:rPr>
          <w:rFonts w:ascii="宋体" w:hAnsi="宋体" w:eastAsia="宋体"/>
          <w:color w:val="auto"/>
          <w:sz w:val="24"/>
        </w:rPr>
        <w:t>2）场站的油罐均设计防雷、防静电接地装置；对生产场所超过安全电压的电气设备均采取保护接零或接地措施；</w:t>
      </w:r>
    </w:p>
    <w:p w14:paraId="0FEA073B">
      <w:pPr>
        <w:spacing w:line="440" w:lineRule="exact"/>
        <w:ind w:firstLine="480" w:firstLineChars="200"/>
        <w:rPr>
          <w:rFonts w:ascii="宋体" w:hAnsi="宋体" w:eastAsia="宋体"/>
          <w:color w:val="auto"/>
          <w:sz w:val="24"/>
        </w:rPr>
      </w:pPr>
      <w:r>
        <w:rPr>
          <w:rFonts w:ascii="宋体" w:hAnsi="宋体" w:eastAsia="宋体"/>
          <w:color w:val="auto"/>
          <w:sz w:val="24"/>
        </w:rPr>
        <w:t>3）场站内的防雷接地设施及报警装置必须定期校检，保证安全设施可靠有效。</w:t>
      </w:r>
    </w:p>
    <w:p w14:paraId="2024263F">
      <w:pPr>
        <w:spacing w:line="440" w:lineRule="exact"/>
        <w:ind w:firstLine="480" w:firstLineChars="200"/>
        <w:rPr>
          <w:rFonts w:ascii="宋体" w:hAnsi="宋体" w:eastAsia="宋体"/>
          <w:color w:val="auto"/>
          <w:sz w:val="24"/>
        </w:rPr>
      </w:pPr>
      <w:r>
        <w:rPr>
          <w:rFonts w:ascii="宋体" w:hAnsi="宋体" w:eastAsia="宋体"/>
          <w:color w:val="auto"/>
          <w:sz w:val="24"/>
        </w:rPr>
        <w:t xml:space="preserve">4）新建井场柱上变压器属于湿式变压器，首先选取符合标准的正规变压器设备，电力维护单位定期检查密封件、焊缝、阀门等关键部位，发现渗漏及时处理。发生变压器漏油风险时，对微小渗漏点使用耐油密封胶（如环氧树脂胶）临时封堵。在变压器底部加装集油槽或导油管，将渗漏油引导至专用容器，避免污染土壤。收集的废变压器油属于危险废物，由电力运维单位收集贮存委托有资质单位处置。  </w:t>
      </w:r>
    </w:p>
    <w:p w14:paraId="25DC0120">
      <w:pPr>
        <w:spacing w:line="440" w:lineRule="exact"/>
        <w:ind w:firstLine="480" w:firstLineChars="200"/>
        <w:rPr>
          <w:rFonts w:ascii="宋体" w:hAnsi="宋体" w:eastAsia="宋体"/>
          <w:color w:val="auto"/>
          <w:sz w:val="24"/>
        </w:rPr>
      </w:pPr>
      <w:r>
        <w:rPr>
          <w:rFonts w:ascii="宋体" w:hAnsi="宋体" w:eastAsia="宋体"/>
          <w:color w:val="auto"/>
          <w:sz w:val="24"/>
        </w:rPr>
        <w:t>（5）运输过程风险防范措施</w:t>
      </w:r>
    </w:p>
    <w:p w14:paraId="0423F1FC">
      <w:pPr>
        <w:spacing w:line="440" w:lineRule="exact"/>
        <w:ind w:firstLine="480" w:firstLineChars="200"/>
        <w:rPr>
          <w:rFonts w:ascii="宋体" w:hAnsi="宋体" w:eastAsia="宋体"/>
          <w:color w:val="auto"/>
          <w:sz w:val="24"/>
        </w:rPr>
      </w:pPr>
      <w:r>
        <w:rPr>
          <w:rFonts w:ascii="宋体" w:hAnsi="宋体" w:eastAsia="宋体"/>
          <w:color w:val="auto"/>
          <w:sz w:val="24"/>
        </w:rPr>
        <w:t>1）项目物料的运输委托有资质、记录良好的运输单位作为物料运输的承运单位。对承运单位的车辆、人员、防护措施等进行全方位的考察，以确保承运单位具备安全运输物料的能力。</w:t>
      </w:r>
    </w:p>
    <w:p w14:paraId="7206FD5A">
      <w:pPr>
        <w:spacing w:line="440" w:lineRule="exact"/>
        <w:ind w:firstLine="480" w:firstLineChars="200"/>
        <w:rPr>
          <w:rFonts w:ascii="宋体" w:hAnsi="宋体" w:eastAsia="宋体"/>
          <w:color w:val="auto"/>
          <w:sz w:val="24"/>
        </w:rPr>
      </w:pPr>
      <w:r>
        <w:rPr>
          <w:rFonts w:ascii="宋体" w:hAnsi="宋体" w:eastAsia="宋体"/>
          <w:color w:val="auto"/>
          <w:sz w:val="24"/>
        </w:rPr>
        <w:t>2）确定合理的运输路线，运输过程中应远离村庄、学校、医院等敏感保护目标，运输路线无法避开村屯时，应减速慢行，尽量避开运输高峰期和居民休息时间段。</w:t>
      </w:r>
    </w:p>
    <w:p w14:paraId="1132575D">
      <w:pPr>
        <w:spacing w:line="440" w:lineRule="exact"/>
        <w:ind w:firstLine="480" w:firstLineChars="200"/>
        <w:rPr>
          <w:rFonts w:ascii="宋体" w:hAnsi="宋体" w:eastAsia="宋体"/>
          <w:color w:val="auto"/>
          <w:sz w:val="24"/>
        </w:rPr>
      </w:pPr>
      <w:r>
        <w:rPr>
          <w:rFonts w:ascii="宋体" w:hAnsi="宋体" w:eastAsia="宋体"/>
          <w:color w:val="auto"/>
          <w:sz w:val="24"/>
        </w:rPr>
        <w:t>3）油井产液运输过程按照指定路线拉运，同时车内配备铁锨等应急物资。对拉油车辆配备必要的收油工具，一旦在行驶过程中发生原油泄漏，立即停车，对泄漏的原油用木粉及时清理带走，如发现恶性事故，要及时报告，及时处理，减轻危害。</w:t>
      </w:r>
    </w:p>
    <w:p w14:paraId="534E5364">
      <w:pPr>
        <w:spacing w:line="440" w:lineRule="exact"/>
        <w:ind w:firstLine="480" w:firstLineChars="200"/>
        <w:rPr>
          <w:rFonts w:ascii="宋体" w:hAnsi="宋体" w:eastAsia="宋体"/>
          <w:color w:val="auto"/>
          <w:sz w:val="24"/>
        </w:rPr>
      </w:pPr>
      <w:r>
        <w:rPr>
          <w:rFonts w:ascii="宋体" w:hAnsi="宋体" w:eastAsia="宋体"/>
          <w:color w:val="auto"/>
          <w:sz w:val="24"/>
        </w:rPr>
        <w:t>4）选择带有密闭油罐的油罐车。平时加强检修，保持油罐上盖和胶皮管法门的密闭性。原油装车后要求司机盖好上面的盖子，拧紧阀门。每个罐车配一个小筒，以备一旦出现泄漏后可以接油。</w:t>
      </w:r>
    </w:p>
    <w:p w14:paraId="7EE1FD8A">
      <w:pPr>
        <w:spacing w:line="440" w:lineRule="exact"/>
        <w:ind w:firstLine="480" w:firstLineChars="200"/>
        <w:rPr>
          <w:rFonts w:ascii="宋体" w:hAnsi="宋体" w:eastAsia="宋体"/>
          <w:color w:val="auto"/>
          <w:sz w:val="24"/>
        </w:rPr>
      </w:pPr>
      <w:r>
        <w:rPr>
          <w:rFonts w:ascii="宋体" w:hAnsi="宋体" w:eastAsia="宋体"/>
          <w:color w:val="auto"/>
          <w:sz w:val="24"/>
        </w:rPr>
        <w:t>5）朝</w:t>
      </w:r>
      <w:r>
        <w:rPr>
          <w:rFonts w:hint="eastAsia" w:ascii="宋体" w:hAnsi="宋体" w:eastAsia="宋体"/>
          <w:color w:val="auto"/>
          <w:sz w:val="24"/>
        </w:rPr>
        <w:t>二</w:t>
      </w:r>
      <w:r>
        <w:rPr>
          <w:rFonts w:ascii="宋体" w:hAnsi="宋体" w:eastAsia="宋体"/>
          <w:color w:val="auto"/>
          <w:sz w:val="24"/>
        </w:rPr>
        <w:t>联卸油点卸车平台已采取防渗措施，与卸油口连接处放置接油槽，防止原油落地。</w:t>
      </w:r>
    </w:p>
    <w:p w14:paraId="3EC88BA6">
      <w:pPr>
        <w:spacing w:line="440" w:lineRule="exact"/>
        <w:ind w:firstLine="480" w:firstLineChars="200"/>
        <w:rPr>
          <w:rFonts w:ascii="宋体" w:hAnsi="宋体" w:eastAsia="宋体"/>
          <w:color w:val="auto"/>
          <w:sz w:val="24"/>
        </w:rPr>
      </w:pPr>
      <w:r>
        <w:rPr>
          <w:rFonts w:ascii="宋体" w:hAnsi="宋体" w:eastAsia="宋体"/>
          <w:color w:val="auto"/>
          <w:sz w:val="24"/>
        </w:rPr>
        <w:t>6）罐车拉运过程实行风险控制，严格交接制度，确保拉运到指定地点。</w:t>
      </w:r>
    </w:p>
    <w:p w14:paraId="2EA2242A">
      <w:pPr>
        <w:spacing w:line="440" w:lineRule="exact"/>
        <w:ind w:firstLine="480" w:firstLineChars="200"/>
        <w:rPr>
          <w:rFonts w:ascii="宋体" w:hAnsi="宋体" w:eastAsia="宋体"/>
          <w:color w:val="auto"/>
          <w:sz w:val="24"/>
        </w:rPr>
      </w:pPr>
      <w:r>
        <w:rPr>
          <w:rFonts w:ascii="宋体" w:hAnsi="宋体" w:eastAsia="宋体"/>
          <w:color w:val="auto"/>
          <w:sz w:val="24"/>
        </w:rPr>
        <w:t>7）拉油罐车限制车速，尽量避开敏感点运输，恶劣天气要注意行车安全，防止交通事故发生。</w:t>
      </w:r>
    </w:p>
    <w:p w14:paraId="1D523654">
      <w:pPr>
        <w:spacing w:line="440" w:lineRule="exact"/>
        <w:ind w:firstLine="480" w:firstLineChars="200"/>
        <w:rPr>
          <w:rFonts w:ascii="宋体" w:hAnsi="宋体" w:eastAsia="宋体"/>
          <w:color w:val="auto"/>
          <w:sz w:val="24"/>
        </w:rPr>
      </w:pPr>
      <w:r>
        <w:rPr>
          <w:rFonts w:hint="eastAsia" w:ascii="宋体" w:hAnsi="宋体" w:eastAsia="宋体"/>
          <w:color w:val="auto"/>
          <w:sz w:val="24"/>
        </w:rPr>
        <w:t>（6）</w:t>
      </w:r>
      <w:r>
        <w:rPr>
          <w:rFonts w:ascii="宋体" w:hAnsi="宋体" w:eastAsia="宋体"/>
          <w:color w:val="auto"/>
          <w:sz w:val="24"/>
        </w:rPr>
        <w:t>井下作业风险防范措施</w:t>
      </w:r>
    </w:p>
    <w:p w14:paraId="75FAEA89">
      <w:pPr>
        <w:spacing w:line="440" w:lineRule="exact"/>
        <w:ind w:firstLine="480" w:firstLineChars="200"/>
        <w:rPr>
          <w:rFonts w:ascii="宋体" w:hAnsi="宋体" w:eastAsia="宋体"/>
          <w:color w:val="auto"/>
          <w:sz w:val="24"/>
        </w:rPr>
      </w:pPr>
      <w:r>
        <w:rPr>
          <w:rFonts w:ascii="宋体" w:hAnsi="宋体" w:eastAsia="宋体"/>
          <w:color w:val="auto"/>
          <w:sz w:val="24"/>
        </w:rPr>
        <w:t>1）为预防作业时井喷，对于地层压力较高的油井作业，在作业前先调节注采比，降低井底压力后再进行作业。</w:t>
      </w:r>
    </w:p>
    <w:p w14:paraId="3604888D">
      <w:pPr>
        <w:spacing w:line="440" w:lineRule="exact"/>
        <w:ind w:firstLine="480" w:firstLineChars="200"/>
        <w:rPr>
          <w:rFonts w:ascii="宋体" w:hAnsi="宋体" w:eastAsia="宋体"/>
          <w:color w:val="auto"/>
          <w:sz w:val="24"/>
        </w:rPr>
      </w:pPr>
      <w:r>
        <w:rPr>
          <w:rFonts w:ascii="宋体" w:hAnsi="宋体" w:eastAsia="宋体"/>
          <w:color w:val="auto"/>
          <w:sz w:val="24"/>
        </w:rPr>
        <w:t>2）施工准备过程要在管、杆桥下铺垫高强度防渗布，防渗布四周围出10cm高围堰；拆卸井口采油树后，要安装简易控制器，并将井口溢流油水控制器、作业废水收集装置，安装完好后，通电调试。</w:t>
      </w:r>
    </w:p>
    <w:p w14:paraId="66F74996">
      <w:pPr>
        <w:spacing w:line="440" w:lineRule="exact"/>
        <w:ind w:firstLine="480" w:firstLineChars="200"/>
        <w:rPr>
          <w:rFonts w:ascii="宋体" w:hAnsi="宋体" w:eastAsia="宋体"/>
          <w:color w:val="auto"/>
          <w:sz w:val="24"/>
        </w:rPr>
      </w:pPr>
      <w:r>
        <w:rPr>
          <w:rFonts w:ascii="宋体" w:hAnsi="宋体" w:eastAsia="宋体"/>
          <w:color w:val="auto"/>
          <w:sz w:val="24"/>
        </w:rPr>
        <w:t>3）作业前要打开生产阀门、套管放空阀门，观察溢流量大小。如果溢流量较大，采取清水或泥浆进行压井；起下抽油杆、管柱过程要注意井口变化，井口溢流较小时，将污水排入污水回收装置，溢流较大时，立即停止操作，迅速关闭封井器，采取清水或泥浆压井。</w:t>
      </w:r>
    </w:p>
    <w:p w14:paraId="37CEDA75">
      <w:pPr>
        <w:spacing w:line="440" w:lineRule="exact"/>
        <w:ind w:firstLine="480" w:firstLineChars="200"/>
        <w:rPr>
          <w:rFonts w:ascii="宋体" w:hAnsi="宋体" w:eastAsia="宋体"/>
          <w:color w:val="auto"/>
          <w:sz w:val="24"/>
        </w:rPr>
      </w:pPr>
      <w:r>
        <w:rPr>
          <w:rFonts w:ascii="宋体" w:hAnsi="宋体" w:eastAsia="宋体"/>
          <w:color w:val="auto"/>
          <w:sz w:val="24"/>
        </w:rPr>
        <w:t>4）打开套管闸门，启动作业废水收集装置和油水收集器，使废水废液由套管排出，经收集后处理。</w:t>
      </w:r>
    </w:p>
    <w:p w14:paraId="159F819D">
      <w:pPr>
        <w:spacing w:line="440" w:lineRule="exact"/>
        <w:ind w:firstLine="480" w:firstLineChars="200"/>
        <w:rPr>
          <w:rFonts w:ascii="宋体" w:hAnsi="宋体" w:eastAsia="宋体"/>
          <w:color w:val="auto"/>
          <w:sz w:val="24"/>
        </w:rPr>
      </w:pPr>
      <w:r>
        <w:rPr>
          <w:rFonts w:ascii="宋体" w:hAnsi="宋体" w:eastAsia="宋体"/>
          <w:color w:val="auto"/>
          <w:sz w:val="24"/>
        </w:rPr>
        <w:t>5）在井下作业施工有溢流时，必须下单流阀，套管出口接到废水回收装置。</w:t>
      </w:r>
    </w:p>
    <w:p w14:paraId="233C25F9">
      <w:pPr>
        <w:spacing w:line="440" w:lineRule="exact"/>
        <w:ind w:firstLine="480" w:firstLineChars="200"/>
        <w:rPr>
          <w:rFonts w:ascii="宋体" w:hAnsi="宋体" w:eastAsia="宋体"/>
          <w:color w:val="auto"/>
          <w:sz w:val="24"/>
        </w:rPr>
      </w:pPr>
      <w:r>
        <w:rPr>
          <w:rFonts w:ascii="宋体" w:hAnsi="宋体" w:eastAsia="宋体"/>
          <w:color w:val="auto"/>
          <w:sz w:val="24"/>
        </w:rPr>
        <w:t>6）井下作业时随时注意进出口排量压力，防止井喷，观察拉力计悬重变化，防止沙堵蹩泵。遇阻憋压时，要立即将管柱上提，防止管线爆裂。</w:t>
      </w:r>
    </w:p>
    <w:p w14:paraId="5589954D">
      <w:pPr>
        <w:spacing w:line="440" w:lineRule="exact"/>
        <w:ind w:firstLine="480" w:firstLineChars="200"/>
        <w:rPr>
          <w:rFonts w:ascii="宋体" w:hAnsi="宋体" w:eastAsia="宋体"/>
          <w:color w:val="auto"/>
          <w:sz w:val="24"/>
        </w:rPr>
      </w:pPr>
      <w:r>
        <w:rPr>
          <w:rFonts w:hint="eastAsia" w:ascii="宋体" w:hAnsi="宋体" w:eastAsia="宋体"/>
          <w:color w:val="auto"/>
          <w:sz w:val="24"/>
        </w:rPr>
        <w:t>（7）</w:t>
      </w:r>
      <w:r>
        <w:rPr>
          <w:rFonts w:ascii="宋体" w:hAnsi="宋体" w:eastAsia="宋体"/>
          <w:color w:val="auto"/>
          <w:sz w:val="24"/>
        </w:rPr>
        <w:t>窜层污染事故的防范措施</w:t>
      </w:r>
    </w:p>
    <w:p w14:paraId="1A318EA1">
      <w:pPr>
        <w:spacing w:line="440" w:lineRule="exact"/>
        <w:ind w:firstLine="480" w:firstLineChars="200"/>
        <w:rPr>
          <w:rFonts w:ascii="宋体" w:hAnsi="宋体" w:eastAsia="宋体"/>
          <w:color w:val="auto"/>
          <w:sz w:val="24"/>
        </w:rPr>
      </w:pPr>
      <w:r>
        <w:rPr>
          <w:rFonts w:ascii="宋体" w:hAnsi="宋体" w:eastAsia="宋体"/>
          <w:color w:val="auto"/>
          <w:sz w:val="24"/>
        </w:rPr>
        <w:t>1）采用双层套管，表层套管完全封闭各含水层，固井水泥均上返地面，这样，在各含水层与井筒间形成双层套管、单层水泥环的保护措施，将事故风险降低到最低。</w:t>
      </w:r>
    </w:p>
    <w:p w14:paraId="7A39804A">
      <w:pPr>
        <w:spacing w:line="440" w:lineRule="exact"/>
        <w:ind w:firstLine="480" w:firstLineChars="200"/>
        <w:rPr>
          <w:rFonts w:ascii="宋体" w:hAnsi="宋体" w:eastAsia="宋体"/>
          <w:color w:val="auto"/>
          <w:sz w:val="24"/>
        </w:rPr>
      </w:pPr>
      <w:r>
        <w:rPr>
          <w:rFonts w:ascii="宋体" w:hAnsi="宋体" w:eastAsia="宋体"/>
          <w:color w:val="auto"/>
          <w:sz w:val="24"/>
        </w:rPr>
        <w:t>2）利用已有的或者新开发的水井，对各层地下水分别设置监测井位，定期对油田开发区各地下水层监测井采样分析，每半年采样一次，分析项目为石油类、挥发酚等特征指标，根据监测指标的变化趋势，对可能产生的隐蔽污染，做到及时发现，尽早处理。</w:t>
      </w:r>
    </w:p>
    <w:p w14:paraId="0AFB93DE">
      <w:pPr>
        <w:spacing w:line="440" w:lineRule="exact"/>
        <w:ind w:firstLine="480" w:firstLineChars="200"/>
        <w:rPr>
          <w:rFonts w:ascii="宋体" w:hAnsi="宋体" w:eastAsia="宋体"/>
          <w:color w:val="auto"/>
          <w:sz w:val="24"/>
        </w:rPr>
      </w:pPr>
      <w:r>
        <w:rPr>
          <w:rFonts w:ascii="宋体" w:hAnsi="宋体" w:eastAsia="宋体"/>
          <w:color w:val="auto"/>
          <w:sz w:val="24"/>
        </w:rPr>
        <w:t>3）及时展开隐蔽污染源调查，查明隐蔽污染源之所在，采取果断措施，截断隐蔽污染源的扩散途径。</w:t>
      </w:r>
    </w:p>
    <w:p w14:paraId="70645E39">
      <w:pPr>
        <w:spacing w:line="440" w:lineRule="exact"/>
        <w:ind w:firstLine="480" w:firstLineChars="200"/>
        <w:rPr>
          <w:rFonts w:ascii="宋体" w:hAnsi="宋体" w:eastAsia="宋体"/>
          <w:color w:val="auto"/>
          <w:sz w:val="24"/>
        </w:rPr>
      </w:pPr>
      <w:r>
        <w:rPr>
          <w:rFonts w:ascii="宋体" w:hAnsi="宋体" w:eastAsia="宋体"/>
          <w:color w:val="auto"/>
          <w:sz w:val="24"/>
        </w:rPr>
        <w:t>（8）危险废物收集、贮存、运输过程风险防范措施</w:t>
      </w:r>
    </w:p>
    <w:p w14:paraId="557FA1D9">
      <w:pPr>
        <w:spacing w:line="440" w:lineRule="exact"/>
        <w:ind w:firstLine="480" w:firstLineChars="200"/>
        <w:rPr>
          <w:rFonts w:ascii="宋体" w:hAnsi="宋体" w:eastAsia="宋体"/>
          <w:color w:val="auto"/>
          <w:sz w:val="24"/>
        </w:rPr>
      </w:pPr>
      <w:r>
        <w:rPr>
          <w:rFonts w:ascii="宋体" w:hAnsi="宋体" w:eastAsia="宋体"/>
          <w:color w:val="auto"/>
          <w:sz w:val="24"/>
        </w:rPr>
        <w:t>根据《建设项目危险废物环境影响评价指南》本项目涉及的危险物质必须按照《危险废物收集</w:t>
      </w:r>
      <w:r>
        <w:rPr>
          <w:rFonts w:hint="eastAsia" w:ascii="宋体" w:hAnsi="宋体" w:eastAsia="宋体"/>
          <w:color w:val="auto"/>
          <w:sz w:val="24"/>
        </w:rPr>
        <w:t xml:space="preserve"> </w:t>
      </w:r>
      <w:r>
        <w:rPr>
          <w:rFonts w:ascii="宋体" w:hAnsi="宋体" w:eastAsia="宋体"/>
          <w:color w:val="auto"/>
          <w:sz w:val="24"/>
        </w:rPr>
        <w:t>贮存</w:t>
      </w:r>
      <w:r>
        <w:rPr>
          <w:rFonts w:hint="eastAsia" w:ascii="宋体" w:hAnsi="宋体" w:eastAsia="宋体"/>
          <w:color w:val="auto"/>
          <w:sz w:val="24"/>
        </w:rPr>
        <w:t xml:space="preserve"> </w:t>
      </w:r>
      <w:r>
        <w:rPr>
          <w:rFonts w:ascii="宋体" w:hAnsi="宋体" w:eastAsia="宋体"/>
          <w:color w:val="auto"/>
          <w:sz w:val="24"/>
        </w:rPr>
        <w:t>运输技术规范》（HJ 2025-2012）的要求处理处置。</w:t>
      </w:r>
    </w:p>
    <w:p w14:paraId="1C70E677">
      <w:pPr>
        <w:spacing w:line="440" w:lineRule="exact"/>
        <w:ind w:firstLine="480" w:firstLineChars="200"/>
        <w:rPr>
          <w:rFonts w:ascii="宋体" w:hAnsi="宋体" w:eastAsia="宋体"/>
          <w:color w:val="auto"/>
          <w:sz w:val="24"/>
        </w:rPr>
      </w:pPr>
      <w:r>
        <w:rPr>
          <w:rFonts w:ascii="宋体" w:hAnsi="宋体" w:eastAsia="宋体"/>
          <w:color w:val="auto"/>
          <w:sz w:val="24"/>
        </w:rPr>
        <w:t>1）从事危险废物收集贮存运输的单位在进行生产活动时应按照有关规定建立相应的规章制度和污染防治措施，包括危险废物分析管理制度、安全管理制度、污染防治措施等。并建立健全规章制度及操作流程，确保全过程安全可靠。</w:t>
      </w:r>
    </w:p>
    <w:p w14:paraId="32461489">
      <w:pPr>
        <w:spacing w:line="440" w:lineRule="exact"/>
        <w:ind w:firstLine="480" w:firstLineChars="200"/>
        <w:rPr>
          <w:rFonts w:ascii="宋体" w:hAnsi="宋体" w:eastAsia="宋体"/>
          <w:color w:val="auto"/>
          <w:sz w:val="24"/>
        </w:rPr>
      </w:pPr>
      <w:r>
        <w:rPr>
          <w:rFonts w:ascii="宋体" w:hAnsi="宋体" w:eastAsia="宋体"/>
          <w:color w:val="auto"/>
          <w:sz w:val="24"/>
        </w:rPr>
        <w:t>2）危险废物转移过程中应按《危险废物转移管理办法》执行，单位应编制应急预案。</w:t>
      </w:r>
    </w:p>
    <w:p w14:paraId="458E932D">
      <w:pPr>
        <w:spacing w:line="440" w:lineRule="exact"/>
        <w:ind w:firstLine="480" w:firstLineChars="200"/>
        <w:rPr>
          <w:rFonts w:ascii="宋体" w:hAnsi="宋体" w:eastAsia="宋体"/>
          <w:color w:val="auto"/>
          <w:sz w:val="24"/>
        </w:rPr>
      </w:pPr>
      <w:r>
        <w:rPr>
          <w:rFonts w:ascii="宋体" w:hAnsi="宋体" w:eastAsia="宋体"/>
          <w:color w:val="auto"/>
          <w:sz w:val="24"/>
        </w:rPr>
        <w:t>3）运输的车辆必须是专用车或经有关部门批准使用符合安全规定的运载工具，并符合相关要求；运输车辆、设备及管道进行定期的维护和检查，防患于未然，保持槽车和良好的工作状态，保证接地正常。</w:t>
      </w:r>
    </w:p>
    <w:p w14:paraId="09B10329">
      <w:pPr>
        <w:spacing w:line="440" w:lineRule="exact"/>
        <w:ind w:firstLine="480" w:firstLineChars="200"/>
        <w:rPr>
          <w:rFonts w:ascii="宋体" w:hAnsi="宋体" w:eastAsia="宋体"/>
          <w:color w:val="auto"/>
          <w:sz w:val="24"/>
        </w:rPr>
      </w:pPr>
      <w:r>
        <w:rPr>
          <w:rFonts w:ascii="宋体" w:hAnsi="宋体" w:eastAsia="宋体"/>
          <w:color w:val="auto"/>
          <w:sz w:val="24"/>
        </w:rPr>
        <w:t>4）担任储运人员必须经过上岗培训，经定期考核通过后方能持证上岗。工作人员应熟悉事故应急设备的使用和维护，了解应急手册应急处理流程，一旦发生意外，在采取应急处理的同时，迅速报告公安、交通部门和环保等有关部门，必要时疏散群众，防止事态进一步扩大和恶化。</w:t>
      </w:r>
    </w:p>
    <w:p w14:paraId="66D2FF41">
      <w:pPr>
        <w:spacing w:line="440" w:lineRule="exact"/>
        <w:ind w:firstLine="480" w:firstLineChars="200"/>
        <w:rPr>
          <w:rFonts w:ascii="宋体" w:hAnsi="宋体" w:eastAsia="宋体"/>
          <w:color w:val="auto"/>
          <w:sz w:val="24"/>
        </w:rPr>
      </w:pPr>
      <w:r>
        <w:rPr>
          <w:rFonts w:ascii="宋体" w:hAnsi="宋体" w:eastAsia="宋体"/>
          <w:color w:val="auto"/>
          <w:sz w:val="24"/>
        </w:rPr>
        <w:t>5）运输、储存原料、溶剂、产品危险化学品所用的槽车、容器、设备必须符合《压力容器安全技术监察规程》的安全管理规定，企业对压力容器管理执行国家有关压力容器的规定。设备区设计应按照</w:t>
      </w:r>
      <w:r>
        <w:rPr>
          <w:rFonts w:ascii="宋体" w:hAnsi="宋体" w:eastAsia="宋体"/>
          <w:color w:val="auto"/>
          <w:sz w:val="24"/>
          <w:lang w:bidi="zh-CN"/>
        </w:rPr>
        <w:t>《石油化工企业设计防火标准</w:t>
      </w:r>
      <w:r>
        <w:rPr>
          <w:rFonts w:hint="eastAsia" w:ascii="宋体" w:hAnsi="宋体" w:eastAsia="宋体"/>
          <w:color w:val="auto"/>
          <w:sz w:val="24"/>
          <w:lang w:bidi="zh-CN"/>
        </w:rPr>
        <w:t>（2</w:t>
      </w:r>
      <w:r>
        <w:rPr>
          <w:rFonts w:ascii="宋体" w:hAnsi="宋体" w:eastAsia="宋体"/>
          <w:color w:val="auto"/>
          <w:sz w:val="24"/>
          <w:lang w:bidi="zh-CN"/>
        </w:rPr>
        <w:t>018</w:t>
      </w:r>
      <w:r>
        <w:rPr>
          <w:rFonts w:hint="eastAsia" w:ascii="宋体" w:hAnsi="宋体" w:eastAsia="宋体"/>
          <w:color w:val="auto"/>
          <w:sz w:val="24"/>
          <w:lang w:bidi="zh-CN"/>
        </w:rPr>
        <w:t>年版）</w:t>
      </w:r>
      <w:r>
        <w:rPr>
          <w:rFonts w:ascii="宋体" w:hAnsi="宋体" w:eastAsia="宋体"/>
          <w:color w:val="auto"/>
          <w:sz w:val="24"/>
          <w:lang w:bidi="zh-CN"/>
        </w:rPr>
        <w:t>》（GB50160-2008）要求</w:t>
      </w:r>
      <w:r>
        <w:rPr>
          <w:rFonts w:ascii="宋体" w:hAnsi="宋体" w:eastAsia="宋体"/>
          <w:color w:val="auto"/>
          <w:sz w:val="24"/>
        </w:rPr>
        <w:t>进行必要的围堰、防火设计、修复。</w:t>
      </w:r>
    </w:p>
    <w:p w14:paraId="479745C4">
      <w:pPr>
        <w:spacing w:line="440" w:lineRule="exact"/>
        <w:ind w:firstLine="480" w:firstLineChars="200"/>
        <w:rPr>
          <w:rFonts w:ascii="宋体" w:hAnsi="宋体" w:eastAsia="宋体"/>
          <w:color w:val="auto"/>
          <w:sz w:val="24"/>
        </w:rPr>
      </w:pPr>
      <w:r>
        <w:rPr>
          <w:rFonts w:ascii="宋体" w:hAnsi="宋体" w:eastAsia="宋体"/>
          <w:color w:val="auto"/>
          <w:sz w:val="24"/>
        </w:rPr>
        <w:t>针对上述风险情况，本项目建设单位已经针对可能发生的风险事故提出相应风险防范措施，企业结合所处区域的自然条件、环境状况、地理位置等特点，制定了较完善的事故风险应急预案，本项目如发生风险事故，可按已建立的事故风险应急预案执行。</w:t>
      </w:r>
    </w:p>
    <w:p w14:paraId="115C524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退役期</w:t>
      </w:r>
      <w:r>
        <w:rPr>
          <w:rFonts w:hint="eastAsia" w:ascii="宋体" w:hAnsi="宋体" w:eastAsia="宋体" w:cs="Times New Roman"/>
          <w:b/>
          <w:bCs/>
          <w:color w:val="auto"/>
          <w:szCs w:val="28"/>
        </w:rPr>
        <w:t>环境风险防范措施</w:t>
      </w:r>
    </w:p>
    <w:p w14:paraId="1DCD8B72">
      <w:pPr>
        <w:spacing w:line="440" w:lineRule="exact"/>
        <w:ind w:firstLine="480" w:firstLineChars="200"/>
        <w:rPr>
          <w:rFonts w:ascii="宋体" w:hAnsi="宋体" w:eastAsia="宋体"/>
          <w:color w:val="auto"/>
          <w:sz w:val="24"/>
        </w:rPr>
      </w:pPr>
      <w:r>
        <w:rPr>
          <w:rFonts w:hint="eastAsia" w:ascii="宋体" w:hAnsi="宋体" w:eastAsia="宋体"/>
          <w:color w:val="auto"/>
          <w:sz w:val="24"/>
        </w:rPr>
        <w:t>油田服务期满后，闭井时的污染防治措施主要是生态恢复工作，主要防治措施如下：</w:t>
      </w:r>
    </w:p>
    <w:p w14:paraId="716B4E7B">
      <w:pPr>
        <w:spacing w:line="440" w:lineRule="exact"/>
        <w:ind w:firstLine="480" w:firstLineChars="200"/>
        <w:rPr>
          <w:rFonts w:ascii="宋体" w:hAnsi="宋体" w:eastAsia="宋体"/>
          <w:color w:val="auto"/>
          <w:sz w:val="24"/>
        </w:rPr>
      </w:pPr>
      <w:r>
        <w:rPr>
          <w:rFonts w:hint="eastAsia" w:ascii="宋体" w:hAnsi="宋体" w:eastAsia="宋体"/>
          <w:color w:val="auto"/>
          <w:sz w:val="24"/>
        </w:rPr>
        <w:t>（</w:t>
      </w:r>
      <w:r>
        <w:rPr>
          <w:rFonts w:ascii="宋体" w:hAnsi="宋体" w:eastAsia="宋体"/>
          <w:color w:val="auto"/>
          <w:sz w:val="24"/>
        </w:rPr>
        <w:t>1）各种机动车辆应固定路线，禁止随意开路，践踏和破坏植被，应把破坏和影响严格控制在征地范围之内。</w:t>
      </w:r>
    </w:p>
    <w:p w14:paraId="3CAEBC1F">
      <w:pPr>
        <w:spacing w:line="440" w:lineRule="exact"/>
        <w:ind w:firstLine="480" w:firstLineChars="200"/>
        <w:rPr>
          <w:rFonts w:ascii="宋体" w:hAnsi="宋体" w:eastAsia="宋体"/>
          <w:color w:val="auto"/>
          <w:sz w:val="24"/>
        </w:rPr>
      </w:pPr>
      <w:r>
        <w:rPr>
          <w:rFonts w:hint="eastAsia" w:ascii="宋体" w:hAnsi="宋体" w:eastAsia="宋体"/>
          <w:color w:val="auto"/>
          <w:sz w:val="24"/>
        </w:rPr>
        <w:t>（</w:t>
      </w:r>
      <w:r>
        <w:rPr>
          <w:rFonts w:ascii="宋体" w:hAnsi="宋体" w:eastAsia="宋体"/>
          <w:color w:val="auto"/>
          <w:sz w:val="24"/>
        </w:rPr>
        <w:t>2）闭井后要拆除井架、井台、拔出井管，并对井场土地进行平整，清除地面上残留的污染物如落地油等。</w:t>
      </w:r>
    </w:p>
    <w:p w14:paraId="1673B96C">
      <w:pPr>
        <w:spacing w:line="440" w:lineRule="exact"/>
        <w:ind w:firstLine="480" w:firstLineChars="200"/>
        <w:rPr>
          <w:rFonts w:ascii="宋体" w:hAnsi="宋体" w:eastAsia="宋体"/>
          <w:color w:val="auto"/>
          <w:sz w:val="24"/>
        </w:rPr>
      </w:pPr>
      <w:r>
        <w:rPr>
          <w:rFonts w:hint="eastAsia" w:ascii="宋体" w:hAnsi="宋体" w:eastAsia="宋体"/>
          <w:color w:val="auto"/>
          <w:sz w:val="24"/>
        </w:rPr>
        <w:t>根据《废弃井封井回填技术指南（试行）》中废弃矿井封井回填处理要求，可采用井盖封堵、分段回填和全井筒回填。通过咨询企业，项目采用分段回填方式，分段回填方式指针对井筒渗漏点进行回填后再进行井盖封堵，分段回填应根据井筒地质剖面，在井壁合适位置构筑钢筋混凝土栓塞，在栓塞之上针对渗漏点进行止水封堵，止水后压实封闭。</w:t>
      </w:r>
    </w:p>
    <w:p w14:paraId="709D14A3">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事故应急救援预案</w:t>
      </w:r>
    </w:p>
    <w:p w14:paraId="552D9817">
      <w:pPr>
        <w:spacing w:line="440" w:lineRule="exact"/>
        <w:ind w:firstLine="480" w:firstLineChars="200"/>
        <w:rPr>
          <w:rFonts w:ascii="宋体" w:hAnsi="宋体" w:eastAsia="宋体"/>
          <w:color w:val="auto"/>
          <w:sz w:val="24"/>
        </w:rPr>
      </w:pPr>
      <w:r>
        <w:rPr>
          <w:rFonts w:ascii="宋体" w:hAnsi="宋体" w:eastAsia="宋体"/>
          <w:color w:val="auto"/>
          <w:sz w:val="24"/>
        </w:rPr>
        <w:t>大庆油田公司突发事件应急管理归口部门为公司生产运行部门，为及时应对突发事件，快速调动应急资源，以消防支队为依托，组建了国家级专业应急救援队伍1支，以及作业井喷应急救援队伍、原油泄漏应急救援队伍、天然气泄漏应急救援队伍、电力系统故障应急救援队伍、水上溢油应急救援队伍、医疗卫生救援队伍7个油田公司级应急救援队伍，在各二级单位建设综合应急救援队伍，基本形成了覆盖油田生产各专业的应急救援队伍体系。</w:t>
      </w:r>
    </w:p>
    <w:p w14:paraId="51309354">
      <w:pPr>
        <w:spacing w:line="440" w:lineRule="exact"/>
        <w:ind w:firstLine="480" w:firstLineChars="200"/>
        <w:rPr>
          <w:rFonts w:ascii="宋体" w:hAnsi="宋体" w:eastAsia="宋体"/>
          <w:color w:val="auto"/>
          <w:sz w:val="24"/>
        </w:rPr>
      </w:pPr>
      <w:r>
        <w:rPr>
          <w:rFonts w:ascii="宋体" w:hAnsi="宋体" w:eastAsia="宋体"/>
          <w:color w:val="auto"/>
          <w:sz w:val="24"/>
        </w:rPr>
        <w:t>根据突发环境事件级别确定上报部门及应急队伍响应级别。从发现环境事件后要上报突发环境事件初报，初判发生Ⅲ级突发环境事件时，由三级单位负责应对工作，具体为现场人员、三级单位应急救援队伍或区域消防队进行应对；初判发Ⅱ级突发环境事件时，由二级单位负责应对工作，具体为二级单位综合应急救援队伍和区域消防队进行应对，必要时向油田公司求援，调集油田公司级应急救援队伍；初判发生I级突发环境事件时，30分钟内向突发环境事件应急办公室初报，启动油田公司突发事件应急响应程序，启动油田公司级专业工作组、综合工作组、专业应急救援队伍。</w:t>
      </w:r>
    </w:p>
    <w:p w14:paraId="4F90E9B6">
      <w:pPr>
        <w:spacing w:line="440" w:lineRule="exact"/>
        <w:ind w:firstLine="480" w:firstLineChars="200"/>
        <w:rPr>
          <w:rFonts w:ascii="宋体" w:hAnsi="宋体" w:eastAsia="宋体"/>
          <w:color w:val="auto"/>
          <w:sz w:val="24"/>
        </w:rPr>
      </w:pPr>
      <w:r>
        <w:rPr>
          <w:rFonts w:ascii="宋体" w:hAnsi="宋体" w:eastAsia="宋体"/>
          <w:color w:val="auto"/>
          <w:sz w:val="24"/>
        </w:rPr>
        <w:t>建设单位目前拥有的应急预案内容较为完善，已有应急预案能够满足建设项目的要求。本项目为新建工程，目前第十采油厂已建立较完善的应急预案体系，综合性预案为《第十采油厂突发事件总体应急预案》，还针对不同的事故分别编制了《第十采油厂环境突发事件专项应急预案》、《第十采油厂井喷突发事件专项应急预案》、《第十采油厂生产场所突发</w:t>
      </w:r>
      <w:r>
        <w:rPr>
          <w:rFonts w:hint="eastAsia" w:ascii="宋体" w:hAnsi="宋体" w:eastAsia="宋体"/>
          <w:color w:val="auto"/>
          <w:sz w:val="24"/>
        </w:rPr>
        <w:t>泄漏</w:t>
      </w:r>
      <w:r>
        <w:rPr>
          <w:rFonts w:ascii="宋体" w:hAnsi="宋体" w:eastAsia="宋体"/>
          <w:color w:val="auto"/>
          <w:sz w:val="24"/>
        </w:rPr>
        <w:t>、火灾、爆炸事件专项应急预案》、《第十采油厂长输管道突发事件专项应急预案》、《第十采油厂自然灾害专项应急预案》等专项应急预案，《第十采油厂环境突发事件专项应急预案》于2023年6月15日在大庆市肇州生态环境局进行了备案，备案编号为 230621-2023-012-L。其中总体预案适用于本公司范围内发生的、造成或可能造成人员伤亡、环境污染、停产和较大社会影响等突发事件的应对工作，主要包括应急组织机构及职责明确、监测与预警、应急处置与应急响应、恢复与重建、应急保障与培训、督查与奖惩等内容，重点明确各分项预案所述事件类型及事件各级应急组织机构框架内容，起到总体掌控、督查的作用；《第十采油厂环境突发事件专项应急预案》中不仅包含了原油泄漏污染、污水泄漏污染、给排水系统泄漏污染、天然气泄漏污染和施工时发生井喷造成污油、污水排放污染等事故的分类、应急响应等内容，而且明确了环境突发事件应急储备物资清单、应急联络单等重要内容。《第十采油厂环境突发事件专项应急预案》进行了组织机构及职责明确、预防与预警设置、应急响应与应急处置、应急保障内容确定以及大庆油田有限责任公司第十采油厂突发事故的联络信息公布，预案内容针对性较强，组织结构框架合理。</w:t>
      </w:r>
    </w:p>
    <w:p w14:paraId="0562D00D">
      <w:pPr>
        <w:spacing w:line="440" w:lineRule="exact"/>
        <w:ind w:firstLine="480" w:firstLineChars="200"/>
        <w:rPr>
          <w:rFonts w:ascii="宋体" w:hAnsi="宋体" w:eastAsia="宋体"/>
          <w:color w:val="auto"/>
          <w:sz w:val="24"/>
        </w:rPr>
      </w:pPr>
      <w:r>
        <w:rPr>
          <w:rFonts w:ascii="宋体" w:hAnsi="宋体" w:eastAsia="宋体"/>
          <w:color w:val="auto"/>
          <w:sz w:val="24"/>
        </w:rPr>
        <w:t>总体上看，第十采油厂应急预案涵盖了环境突发事件、井喷、油气泄漏、输油系统突发事件等事故情况，依托合理，现有应急预案依托可行。根据《企业事业单位突发环境事件应急预案备案管理办法（试行）》〔2015〕4 号），环境应急预案每3年至少修订一次，因此建设单位应及时对环境应急预案进行修订，且建议建设单位加强对应急预案的定期风险应急演练及员工培训。</w:t>
      </w:r>
    </w:p>
    <w:p w14:paraId="3AD42989">
      <w:pPr>
        <w:spacing w:line="440" w:lineRule="exact"/>
        <w:ind w:firstLine="480" w:firstLineChars="200"/>
        <w:rPr>
          <w:rFonts w:ascii="宋体" w:hAnsi="宋体" w:eastAsia="宋体"/>
          <w:color w:val="auto"/>
          <w:sz w:val="24"/>
        </w:rPr>
      </w:pPr>
      <w:r>
        <w:rPr>
          <w:rFonts w:ascii="宋体" w:hAnsi="宋体" w:eastAsia="宋体"/>
          <w:color w:val="auto"/>
          <w:sz w:val="24"/>
        </w:rPr>
        <w:t>通过分析，工程在发生事故状态下可依托已经制定了相关应急预案及相关应急资源。不需对本项目提出新的应急预案，发生风险事故时按已建立的事故风险应急预案执行，在执行应急预案的同时，要加强区域应急联动体系，定期进行地企联动应急演练，提高突发事件的应急处理能力。</w:t>
      </w:r>
    </w:p>
    <w:p w14:paraId="784A4A0D">
      <w:pPr>
        <w:spacing w:line="440" w:lineRule="exact"/>
        <w:ind w:firstLine="480" w:firstLineChars="200"/>
        <w:rPr>
          <w:rFonts w:ascii="宋体" w:hAnsi="宋体" w:eastAsia="宋体"/>
          <w:color w:val="auto"/>
          <w:sz w:val="24"/>
        </w:rPr>
      </w:pPr>
      <w:r>
        <w:rPr>
          <w:rFonts w:ascii="宋体" w:hAnsi="宋体" w:eastAsia="宋体"/>
          <w:color w:val="auto"/>
          <w:sz w:val="24"/>
        </w:rPr>
        <w:t>（1）确定危害和风险</w:t>
      </w:r>
    </w:p>
    <w:p w14:paraId="5507DA65">
      <w:pPr>
        <w:spacing w:line="440" w:lineRule="exact"/>
        <w:ind w:firstLine="480" w:firstLineChars="200"/>
        <w:rPr>
          <w:rFonts w:ascii="宋体" w:hAnsi="宋体" w:eastAsia="宋体"/>
          <w:color w:val="auto"/>
          <w:sz w:val="24"/>
        </w:rPr>
      </w:pPr>
      <w:r>
        <w:rPr>
          <w:rFonts w:ascii="宋体" w:hAnsi="宋体" w:eastAsia="宋体"/>
          <w:color w:val="auto"/>
          <w:sz w:val="24"/>
        </w:rPr>
        <w:t>本项目潜在的环境风险事故是泄漏、火灾和爆炸。</w:t>
      </w:r>
    </w:p>
    <w:p w14:paraId="29523055">
      <w:pPr>
        <w:spacing w:line="440" w:lineRule="exact"/>
        <w:ind w:firstLine="480" w:firstLineChars="200"/>
        <w:rPr>
          <w:rFonts w:ascii="宋体" w:hAnsi="宋体" w:eastAsia="宋体"/>
          <w:color w:val="auto"/>
          <w:sz w:val="24"/>
        </w:rPr>
      </w:pPr>
      <w:r>
        <w:rPr>
          <w:rFonts w:ascii="宋体" w:hAnsi="宋体" w:eastAsia="宋体"/>
          <w:color w:val="auto"/>
          <w:sz w:val="24"/>
        </w:rPr>
        <w:t>通过正确地判别和评价本项目潜在的环境风险事故，制定相应的应急措施，可将风险和影响降到合理实际并尽可能低的水平，最大程度地保护人、环境和财产不受或少受影响。</w:t>
      </w:r>
    </w:p>
    <w:p w14:paraId="5114E5F9">
      <w:pPr>
        <w:spacing w:line="440" w:lineRule="exact"/>
        <w:ind w:firstLine="480" w:firstLineChars="200"/>
        <w:rPr>
          <w:rFonts w:ascii="宋体" w:hAnsi="宋体" w:eastAsia="宋体"/>
          <w:color w:val="auto"/>
          <w:sz w:val="24"/>
        </w:rPr>
      </w:pPr>
      <w:r>
        <w:rPr>
          <w:rFonts w:ascii="宋体" w:hAnsi="宋体" w:eastAsia="宋体"/>
          <w:color w:val="auto"/>
          <w:sz w:val="24"/>
        </w:rPr>
        <w:t>（2）应急预案基本内容</w:t>
      </w:r>
    </w:p>
    <w:p w14:paraId="29C76B08">
      <w:pPr>
        <w:spacing w:line="440" w:lineRule="exact"/>
        <w:ind w:firstLine="480" w:firstLineChars="200"/>
        <w:rPr>
          <w:rFonts w:ascii="宋体" w:hAnsi="宋体" w:eastAsia="宋体"/>
          <w:color w:val="auto"/>
          <w:sz w:val="24"/>
        </w:rPr>
      </w:pPr>
      <w:r>
        <w:rPr>
          <w:rFonts w:ascii="宋体" w:hAnsi="宋体" w:eastAsia="宋体"/>
          <w:color w:val="auto"/>
          <w:sz w:val="24"/>
        </w:rPr>
        <w:t>针对本项目可能发生的风险事故，制定相应的应急预案，以处理突发事故，降低风险，并与当地政府应急预案衔接，报当地政府备案。本项目可以纳入第十采油厂油田原有应急体系内，不需对本项目提出新的应急预案，发生风险事故时按已建立的事故风险应急预案执行，在执行应急预案的同时，要加强区域应急联动体系，发生事故必要时可直接向邻近企业、单位和政府部门、消防队、环保局、安全生产监督管理局和市政府报告，申请求援并要求周围企业单位启动应急计划。</w:t>
      </w:r>
    </w:p>
    <w:p w14:paraId="6261E91F">
      <w:pPr>
        <w:spacing w:line="440" w:lineRule="exact"/>
        <w:ind w:firstLine="480" w:firstLineChars="200"/>
        <w:rPr>
          <w:rFonts w:ascii="宋体" w:hAnsi="宋体" w:eastAsia="宋体"/>
          <w:color w:val="auto"/>
          <w:sz w:val="24"/>
        </w:rPr>
      </w:pPr>
      <w:r>
        <w:rPr>
          <w:rFonts w:ascii="宋体" w:hAnsi="宋体" w:eastAsia="宋体"/>
          <w:color w:val="auto"/>
          <w:sz w:val="24"/>
        </w:rPr>
        <w:t>该应急预案需补充内容如下：</w:t>
      </w:r>
    </w:p>
    <w:p w14:paraId="61393495">
      <w:pPr>
        <w:spacing w:line="440" w:lineRule="exact"/>
        <w:ind w:firstLine="480" w:firstLineChars="200"/>
        <w:rPr>
          <w:rFonts w:ascii="宋体" w:hAnsi="宋体" w:eastAsia="宋体"/>
          <w:color w:val="auto"/>
          <w:sz w:val="24"/>
        </w:rPr>
      </w:pPr>
      <w:r>
        <w:rPr>
          <w:rFonts w:ascii="宋体" w:hAnsi="宋体" w:eastAsia="宋体"/>
          <w:color w:val="auto"/>
          <w:sz w:val="24"/>
        </w:rPr>
        <w:t>1）依托大庆油田公司监测机构建立事故应急监测机制，及时进行事故环境影响监测。</w:t>
      </w:r>
    </w:p>
    <w:p w14:paraId="6AA32EAA">
      <w:pPr>
        <w:spacing w:line="440" w:lineRule="exact"/>
        <w:ind w:firstLine="480" w:firstLineChars="200"/>
        <w:rPr>
          <w:rFonts w:ascii="宋体" w:hAnsi="宋体" w:eastAsia="宋体"/>
          <w:color w:val="auto"/>
          <w:sz w:val="24"/>
        </w:rPr>
      </w:pPr>
      <w:r>
        <w:rPr>
          <w:rFonts w:ascii="宋体" w:hAnsi="宋体" w:eastAsia="宋体"/>
          <w:color w:val="auto"/>
          <w:sz w:val="24"/>
        </w:rPr>
        <w:t>2）环境监测内容</w:t>
      </w:r>
    </w:p>
    <w:p w14:paraId="1142173D">
      <w:pPr>
        <w:spacing w:line="440" w:lineRule="exact"/>
        <w:ind w:firstLine="480" w:firstLineChars="200"/>
        <w:rPr>
          <w:rFonts w:ascii="宋体" w:hAnsi="宋体" w:eastAsia="宋体"/>
          <w:color w:val="auto"/>
          <w:sz w:val="24"/>
        </w:rPr>
      </w:pPr>
      <w:r>
        <w:rPr>
          <w:rFonts w:ascii="宋体" w:hAnsi="宋体" w:eastAsia="宋体"/>
          <w:color w:val="auto"/>
          <w:sz w:val="24"/>
        </w:rPr>
        <w:t>本项目发生污染事故时，对环境的影响主要是对生态（包括土壤、植被）和大气环境的影响，应急监测主要是这几方面的内容。</w:t>
      </w:r>
    </w:p>
    <w:p w14:paraId="2F822CB8">
      <w:pPr>
        <w:spacing w:line="440" w:lineRule="exact"/>
        <w:ind w:firstLine="480" w:firstLineChars="200"/>
        <w:rPr>
          <w:rFonts w:ascii="宋体" w:hAnsi="宋体" w:eastAsia="宋体"/>
          <w:color w:val="auto"/>
          <w:sz w:val="24"/>
        </w:rPr>
      </w:pPr>
      <w:r>
        <w:rPr>
          <w:rFonts w:hint="eastAsia" w:ascii="宋体" w:hAnsi="宋体" w:eastAsia="宋体" w:cs="宋体"/>
          <w:color w:val="auto"/>
          <w:sz w:val="24"/>
        </w:rPr>
        <w:t>①</w:t>
      </w:r>
      <w:r>
        <w:rPr>
          <w:rFonts w:ascii="宋体" w:hAnsi="宋体" w:eastAsia="宋体"/>
          <w:color w:val="auto"/>
          <w:sz w:val="24"/>
        </w:rPr>
        <w:t>生态方面：对事故现场及周围区域的植物、土壤进行危害监测，并在事故后不定期的对生态环境的恢复状况进行监测。</w:t>
      </w:r>
    </w:p>
    <w:p w14:paraId="2FFA531B">
      <w:pPr>
        <w:spacing w:line="440" w:lineRule="exact"/>
        <w:ind w:firstLine="480" w:firstLineChars="200"/>
        <w:rPr>
          <w:rFonts w:ascii="宋体" w:hAnsi="宋体" w:eastAsia="宋体"/>
          <w:color w:val="auto"/>
          <w:sz w:val="24"/>
        </w:rPr>
      </w:pPr>
      <w:r>
        <w:rPr>
          <w:rFonts w:hint="eastAsia" w:ascii="宋体" w:hAnsi="宋体" w:eastAsia="宋体" w:cs="宋体"/>
          <w:color w:val="auto"/>
          <w:sz w:val="24"/>
        </w:rPr>
        <w:t>②</w:t>
      </w:r>
      <w:r>
        <w:rPr>
          <w:rFonts w:ascii="宋体" w:hAnsi="宋体" w:eastAsia="宋体"/>
          <w:color w:val="auto"/>
          <w:sz w:val="24"/>
        </w:rPr>
        <w:t>大气环境：应对事故全过程（发生时，控制时和事故后）进行监测，特别应对事故发生地附近的敏感区域进行大气监测，重点监测伴生/次生CO等污染物。</w:t>
      </w:r>
    </w:p>
    <w:p w14:paraId="3152F87E">
      <w:pPr>
        <w:spacing w:line="440" w:lineRule="exact"/>
        <w:ind w:firstLine="480" w:firstLineChars="200"/>
        <w:rPr>
          <w:rFonts w:ascii="宋体" w:hAnsi="宋体" w:eastAsia="宋体"/>
          <w:color w:val="auto"/>
          <w:sz w:val="24"/>
        </w:rPr>
      </w:pPr>
      <w:r>
        <w:rPr>
          <w:rFonts w:hint="eastAsia" w:ascii="宋体" w:hAnsi="宋体" w:eastAsia="宋体" w:cs="宋体"/>
          <w:color w:val="auto"/>
          <w:sz w:val="24"/>
        </w:rPr>
        <w:t>③</w:t>
      </w:r>
      <w:r>
        <w:rPr>
          <w:rFonts w:ascii="宋体" w:hAnsi="宋体" w:eastAsia="宋体"/>
          <w:color w:val="auto"/>
          <w:sz w:val="24"/>
        </w:rPr>
        <w:t>水环境：应对事故全过程（发生时，控制时和事故后）所影响的地表水环境和地下水环境进行监测。</w:t>
      </w:r>
    </w:p>
    <w:p w14:paraId="5713D0C4">
      <w:pPr>
        <w:pStyle w:val="276"/>
        <w:widowControl w:val="0"/>
        <w:ind w:firstLine="480"/>
        <w:jc w:val="both"/>
        <w:rPr>
          <w:color w:val="auto"/>
        </w:rPr>
      </w:pPr>
      <w:r>
        <w:rPr>
          <w:rFonts w:hint="eastAsia" w:cs="宋体"/>
          <w:color w:val="auto"/>
        </w:rPr>
        <w:t>④</w:t>
      </w:r>
      <w:r>
        <w:rPr>
          <w:color w:val="auto"/>
        </w:rPr>
        <w:t>土壤环境：应对事故全过程（发生时，控制时和事故后）进行监测，特别应对事故发生地附近的敏感区域进行土壤监测。</w:t>
      </w:r>
    </w:p>
    <w:p w14:paraId="2E3CC49F">
      <w:pPr>
        <w:pStyle w:val="276"/>
        <w:widowControl w:val="0"/>
        <w:ind w:firstLine="480"/>
        <w:jc w:val="both"/>
        <w:rPr>
          <w:color w:val="auto"/>
        </w:rPr>
      </w:pPr>
      <w:r>
        <w:rPr>
          <w:rFonts w:hint="eastAsia" w:cs="宋体"/>
          <w:color w:val="auto"/>
        </w:rPr>
        <w:t>⑤</w:t>
      </w:r>
      <w:r>
        <w:rPr>
          <w:color w:val="auto"/>
        </w:rPr>
        <w:t>负责单位要根据监测结果编制事故污染报告，确定事故影响范围，为制定治理措施提供依据。</w:t>
      </w:r>
    </w:p>
    <w:p w14:paraId="6C4FE44C">
      <w:pPr>
        <w:pStyle w:val="276"/>
        <w:widowControl w:val="0"/>
        <w:ind w:firstLine="480"/>
        <w:jc w:val="both"/>
        <w:rPr>
          <w:color w:val="auto"/>
          <w:kern w:val="2"/>
        </w:rPr>
      </w:pPr>
      <w:r>
        <w:rPr>
          <w:color w:val="auto"/>
          <w:kern w:val="2"/>
        </w:rPr>
        <w:t>（3）应急预案有效性分析</w:t>
      </w:r>
    </w:p>
    <w:p w14:paraId="4FF61DF6">
      <w:pPr>
        <w:pStyle w:val="276"/>
        <w:widowControl w:val="0"/>
        <w:ind w:firstLine="480"/>
        <w:jc w:val="both"/>
        <w:rPr>
          <w:color w:val="auto"/>
          <w:kern w:val="2"/>
        </w:rPr>
      </w:pPr>
      <w:r>
        <w:rPr>
          <w:color w:val="auto"/>
          <w:kern w:val="2"/>
        </w:rPr>
        <w:t>大庆油田有限责任公司第十采油厂编制了</w:t>
      </w:r>
      <w:r>
        <w:rPr>
          <w:color w:val="auto"/>
        </w:rPr>
        <w:t>《第十采油厂环境突发事件专项应急预案》</w:t>
      </w:r>
      <w:r>
        <w:rPr>
          <w:color w:val="auto"/>
          <w:kern w:val="2"/>
        </w:rPr>
        <w:t>，该应急预案主要针对项目运营过程中可能突发的各种环境风险事故等制定了详细的安全应急救援预案。预案中包含了应急救援任务和目标、原则、组织机构、应急救援职责、突发事件信息报送及处置、应急响应和处置、应急措施以及应急救援值班电话和联络电话，充分保证了项目运营期发生的风险事故得到及时救援和处理。降低了环境风险的危害。</w:t>
      </w:r>
    </w:p>
    <w:p w14:paraId="2FE84501">
      <w:pPr>
        <w:pStyle w:val="276"/>
        <w:widowControl w:val="0"/>
        <w:ind w:firstLine="480"/>
        <w:jc w:val="both"/>
        <w:rPr>
          <w:color w:val="auto"/>
          <w:kern w:val="2"/>
          <w:sz w:val="21"/>
          <w:szCs w:val="21"/>
        </w:rPr>
      </w:pPr>
      <w:r>
        <w:rPr>
          <w:color w:val="auto"/>
          <w:kern w:val="2"/>
        </w:rPr>
        <w:t>应急预案制定完毕后，大庆油田有限责任公司第十采油厂各作业区平均每月开展一次应急预案的宣传教育及应急演练，保证每一个工作人员都熟悉预案的内容，熟练应急措施，检查预案的有效性和符合性，对存在的不足及时修正。</w:t>
      </w:r>
    </w:p>
    <w:p w14:paraId="7CABFAA5">
      <w:pPr>
        <w:pStyle w:val="276"/>
        <w:widowControl w:val="0"/>
        <w:ind w:firstLine="480"/>
        <w:jc w:val="both"/>
        <w:rPr>
          <w:color w:val="auto"/>
          <w:kern w:val="2"/>
        </w:rPr>
      </w:pPr>
      <w:r>
        <w:rPr>
          <w:color w:val="auto"/>
          <w:kern w:val="2"/>
        </w:rPr>
        <w:t>（4）应急状态地企联动</w:t>
      </w:r>
    </w:p>
    <w:p w14:paraId="6CBB907D">
      <w:pPr>
        <w:pStyle w:val="276"/>
        <w:widowControl w:val="0"/>
        <w:ind w:firstLine="480"/>
        <w:jc w:val="both"/>
        <w:rPr>
          <w:color w:val="auto"/>
          <w:kern w:val="2"/>
        </w:rPr>
      </w:pPr>
      <w:r>
        <w:rPr>
          <w:color w:val="auto"/>
          <w:kern w:val="2"/>
        </w:rPr>
        <w:t>大庆油田有限责任公司第十采油厂已在大庆油田有限责任公司备案登记，由大庆油田有限责任公司向市政府有关部门及集团公司申请备案。大庆油田有限责任公司第十采油厂已备案登记《第十采油厂环境突发事件专项应急预案》、《第十采油厂井喷突发事件专项应急预案》、《第十采油厂生产场所突发</w:t>
      </w:r>
      <w:r>
        <w:rPr>
          <w:rFonts w:hint="eastAsia"/>
          <w:color w:val="auto"/>
          <w:kern w:val="2"/>
        </w:rPr>
        <w:t>泄漏</w:t>
      </w:r>
      <w:r>
        <w:rPr>
          <w:color w:val="auto"/>
          <w:kern w:val="2"/>
        </w:rPr>
        <w:t>、火灾、爆炸事件专项应急预案》、《 第十采油厂长输管道突发事件专项应急预案》、《第十采油厂自然灾害专项应急预案》等专项应急预，发生事故时，多个应急预案联动响应。同时，企业环保部门与地方社会力量保持应急状态联动，事故发生后，消防部门、医疗部门、生态环境部门及公安部门启动相应紧急预案，保障事故控制及事故救援得到有效迅捷地处理，详见下表</w:t>
      </w:r>
      <w:r>
        <w:rPr>
          <w:rFonts w:hint="eastAsia"/>
          <w:color w:val="auto"/>
          <w:kern w:val="2"/>
        </w:rPr>
        <w:t>5</w:t>
      </w:r>
      <w:r>
        <w:rPr>
          <w:color w:val="auto"/>
          <w:kern w:val="2"/>
        </w:rPr>
        <w:t>.8-7。</w:t>
      </w:r>
    </w:p>
    <w:p w14:paraId="72A2F1AF">
      <w:pPr>
        <w:pStyle w:val="276"/>
        <w:widowControl w:val="0"/>
        <w:spacing w:line="440" w:lineRule="exact"/>
        <w:ind w:firstLine="0" w:firstLineChars="0"/>
        <w:jc w:val="center"/>
        <w:rPr>
          <w:color w:val="auto"/>
          <w:kern w:val="2"/>
        </w:rPr>
      </w:pPr>
      <w:r>
        <w:rPr>
          <w:color w:val="auto"/>
          <w:kern w:val="2"/>
        </w:rPr>
        <w:t>表5.8-7 地企联动各部门联系方式</w:t>
      </w:r>
    </w:p>
    <w:tbl>
      <w:tblPr>
        <w:tblStyle w:val="81"/>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4550"/>
        <w:gridCol w:w="3396"/>
      </w:tblGrid>
      <w:tr w14:paraId="476F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701EC487">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序号</w:t>
            </w:r>
          </w:p>
        </w:tc>
        <w:tc>
          <w:tcPr>
            <w:tcW w:w="4550" w:type="dxa"/>
            <w:tcBorders>
              <w:top w:val="single" w:color="auto" w:sz="4" w:space="0"/>
              <w:bottom w:val="single" w:color="auto" w:sz="4" w:space="0"/>
            </w:tcBorders>
            <w:vAlign w:val="center"/>
          </w:tcPr>
          <w:p w14:paraId="676655EB">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单位</w:t>
            </w:r>
          </w:p>
        </w:tc>
        <w:tc>
          <w:tcPr>
            <w:tcW w:w="3396" w:type="dxa"/>
            <w:tcBorders>
              <w:top w:val="single" w:color="auto" w:sz="4" w:space="0"/>
              <w:bottom w:val="single" w:color="auto" w:sz="4" w:space="0"/>
              <w:right w:val="single" w:color="auto" w:sz="4" w:space="0"/>
            </w:tcBorders>
            <w:vAlign w:val="center"/>
          </w:tcPr>
          <w:p w14:paraId="5BFB0158">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电话</w:t>
            </w:r>
          </w:p>
        </w:tc>
      </w:tr>
      <w:tr w14:paraId="45F2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1A882530">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1</w:t>
            </w:r>
          </w:p>
        </w:tc>
        <w:tc>
          <w:tcPr>
            <w:tcW w:w="4550" w:type="dxa"/>
            <w:tcBorders>
              <w:top w:val="single" w:color="auto" w:sz="4" w:space="0"/>
              <w:bottom w:val="single" w:color="auto" w:sz="4" w:space="0"/>
            </w:tcBorders>
            <w:vAlign w:val="center"/>
          </w:tcPr>
          <w:p w14:paraId="74076F9C">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火警</w:t>
            </w:r>
          </w:p>
        </w:tc>
        <w:tc>
          <w:tcPr>
            <w:tcW w:w="3396" w:type="dxa"/>
            <w:tcBorders>
              <w:top w:val="single" w:color="auto" w:sz="4" w:space="0"/>
              <w:bottom w:val="single" w:color="auto" w:sz="4" w:space="0"/>
              <w:right w:val="single" w:color="auto" w:sz="4" w:space="0"/>
            </w:tcBorders>
            <w:vAlign w:val="center"/>
          </w:tcPr>
          <w:p w14:paraId="5C51B752">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119</w:t>
            </w:r>
          </w:p>
        </w:tc>
      </w:tr>
      <w:tr w14:paraId="0058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08910E98">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2</w:t>
            </w:r>
          </w:p>
        </w:tc>
        <w:tc>
          <w:tcPr>
            <w:tcW w:w="4550" w:type="dxa"/>
            <w:tcBorders>
              <w:top w:val="single" w:color="auto" w:sz="4" w:space="0"/>
              <w:bottom w:val="single" w:color="auto" w:sz="4" w:space="0"/>
            </w:tcBorders>
            <w:vAlign w:val="center"/>
          </w:tcPr>
          <w:p w14:paraId="3FE99232">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医疗急救</w:t>
            </w:r>
          </w:p>
        </w:tc>
        <w:tc>
          <w:tcPr>
            <w:tcW w:w="3396" w:type="dxa"/>
            <w:tcBorders>
              <w:top w:val="single" w:color="auto" w:sz="4" w:space="0"/>
              <w:bottom w:val="single" w:color="auto" w:sz="4" w:space="0"/>
              <w:right w:val="single" w:color="auto" w:sz="4" w:space="0"/>
            </w:tcBorders>
            <w:vAlign w:val="center"/>
          </w:tcPr>
          <w:p w14:paraId="7E9A4BBF">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120</w:t>
            </w:r>
          </w:p>
        </w:tc>
      </w:tr>
      <w:tr w14:paraId="56C0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6B746334">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3</w:t>
            </w:r>
          </w:p>
        </w:tc>
        <w:tc>
          <w:tcPr>
            <w:tcW w:w="4550" w:type="dxa"/>
            <w:tcBorders>
              <w:top w:val="single" w:color="auto" w:sz="4" w:space="0"/>
              <w:bottom w:val="single" w:color="auto" w:sz="4" w:space="0"/>
            </w:tcBorders>
            <w:vAlign w:val="center"/>
          </w:tcPr>
          <w:p w14:paraId="6B0EC145">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大庆市人民政府</w:t>
            </w:r>
          </w:p>
        </w:tc>
        <w:tc>
          <w:tcPr>
            <w:tcW w:w="3396" w:type="dxa"/>
            <w:tcBorders>
              <w:top w:val="single" w:color="auto" w:sz="4" w:space="0"/>
              <w:bottom w:val="single" w:color="auto" w:sz="4" w:space="0"/>
              <w:right w:val="single" w:color="auto" w:sz="4" w:space="0"/>
            </w:tcBorders>
            <w:vAlign w:val="center"/>
          </w:tcPr>
          <w:p w14:paraId="30195433">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0459-4609222/6373055</w:t>
            </w:r>
          </w:p>
        </w:tc>
      </w:tr>
      <w:tr w14:paraId="1DDE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1F6C9EB8">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4</w:t>
            </w:r>
          </w:p>
        </w:tc>
        <w:tc>
          <w:tcPr>
            <w:tcW w:w="4550" w:type="dxa"/>
            <w:tcBorders>
              <w:top w:val="single" w:color="auto" w:sz="4" w:space="0"/>
              <w:bottom w:val="single" w:color="auto" w:sz="4" w:space="0"/>
            </w:tcBorders>
            <w:vAlign w:val="center"/>
          </w:tcPr>
          <w:p w14:paraId="2511BC0E">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大庆市生态环境局</w:t>
            </w:r>
          </w:p>
        </w:tc>
        <w:tc>
          <w:tcPr>
            <w:tcW w:w="3396" w:type="dxa"/>
            <w:tcBorders>
              <w:top w:val="single" w:color="auto" w:sz="4" w:space="0"/>
              <w:bottom w:val="single" w:color="auto" w:sz="4" w:space="0"/>
              <w:right w:val="single" w:color="auto" w:sz="4" w:space="0"/>
            </w:tcBorders>
            <w:vAlign w:val="center"/>
          </w:tcPr>
          <w:p w14:paraId="34683C4E">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0459-4623818</w:t>
            </w:r>
          </w:p>
        </w:tc>
      </w:tr>
      <w:tr w14:paraId="7C31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725573C8">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5</w:t>
            </w:r>
          </w:p>
        </w:tc>
        <w:tc>
          <w:tcPr>
            <w:tcW w:w="4550" w:type="dxa"/>
            <w:tcBorders>
              <w:top w:val="single" w:color="auto" w:sz="4" w:space="0"/>
              <w:bottom w:val="single" w:color="auto" w:sz="4" w:space="0"/>
            </w:tcBorders>
            <w:vAlign w:val="center"/>
          </w:tcPr>
          <w:p w14:paraId="5347A722">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大庆市公安局</w:t>
            </w:r>
          </w:p>
        </w:tc>
        <w:tc>
          <w:tcPr>
            <w:tcW w:w="3396" w:type="dxa"/>
            <w:tcBorders>
              <w:top w:val="single" w:color="auto" w:sz="4" w:space="0"/>
              <w:bottom w:val="single" w:color="auto" w:sz="4" w:space="0"/>
              <w:right w:val="single" w:color="auto" w:sz="4" w:space="0"/>
            </w:tcBorders>
            <w:vAlign w:val="center"/>
          </w:tcPr>
          <w:p w14:paraId="7EE39758">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110</w:t>
            </w:r>
          </w:p>
        </w:tc>
      </w:tr>
      <w:tr w14:paraId="24F0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24B2E1E0">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6</w:t>
            </w:r>
          </w:p>
        </w:tc>
        <w:tc>
          <w:tcPr>
            <w:tcW w:w="4550" w:type="dxa"/>
            <w:tcBorders>
              <w:top w:val="single" w:color="auto" w:sz="4" w:space="0"/>
              <w:bottom w:val="single" w:color="auto" w:sz="4" w:space="0"/>
            </w:tcBorders>
            <w:vAlign w:val="center"/>
          </w:tcPr>
          <w:p w14:paraId="7D9025D0">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大庆市安监局</w:t>
            </w:r>
          </w:p>
        </w:tc>
        <w:tc>
          <w:tcPr>
            <w:tcW w:w="3396" w:type="dxa"/>
            <w:tcBorders>
              <w:top w:val="single" w:color="auto" w:sz="4" w:space="0"/>
              <w:bottom w:val="single" w:color="auto" w:sz="4" w:space="0"/>
              <w:right w:val="single" w:color="auto" w:sz="4" w:space="0"/>
            </w:tcBorders>
            <w:vAlign w:val="center"/>
          </w:tcPr>
          <w:p w14:paraId="1E079BCB">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0459-6367656</w:t>
            </w:r>
          </w:p>
        </w:tc>
      </w:tr>
      <w:tr w14:paraId="72D0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3939B5EE">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7</w:t>
            </w:r>
          </w:p>
        </w:tc>
        <w:tc>
          <w:tcPr>
            <w:tcW w:w="4550" w:type="dxa"/>
            <w:tcBorders>
              <w:top w:val="single" w:color="auto" w:sz="4" w:space="0"/>
              <w:bottom w:val="single" w:color="auto" w:sz="4" w:space="0"/>
            </w:tcBorders>
            <w:vAlign w:val="center"/>
          </w:tcPr>
          <w:p w14:paraId="76052C92">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大庆市城市管理局</w:t>
            </w:r>
          </w:p>
        </w:tc>
        <w:tc>
          <w:tcPr>
            <w:tcW w:w="3396" w:type="dxa"/>
            <w:tcBorders>
              <w:top w:val="single" w:color="auto" w:sz="4" w:space="0"/>
              <w:bottom w:val="single" w:color="auto" w:sz="4" w:space="0"/>
              <w:right w:val="single" w:color="auto" w:sz="4" w:space="0"/>
            </w:tcBorders>
            <w:vAlign w:val="center"/>
          </w:tcPr>
          <w:p w14:paraId="3F8BD753">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0459-4688501</w:t>
            </w:r>
          </w:p>
        </w:tc>
      </w:tr>
      <w:tr w14:paraId="0B73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3C835B31">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8</w:t>
            </w:r>
          </w:p>
        </w:tc>
        <w:tc>
          <w:tcPr>
            <w:tcW w:w="4550" w:type="dxa"/>
            <w:tcBorders>
              <w:top w:val="single" w:color="auto" w:sz="4" w:space="0"/>
              <w:bottom w:val="single" w:color="auto" w:sz="4" w:space="0"/>
            </w:tcBorders>
            <w:vAlign w:val="center"/>
          </w:tcPr>
          <w:p w14:paraId="164E3DF2">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大庆市安全生产委员会办公室</w:t>
            </w:r>
          </w:p>
        </w:tc>
        <w:tc>
          <w:tcPr>
            <w:tcW w:w="3396" w:type="dxa"/>
            <w:tcBorders>
              <w:top w:val="single" w:color="auto" w:sz="4" w:space="0"/>
              <w:bottom w:val="single" w:color="auto" w:sz="4" w:space="0"/>
              <w:right w:val="single" w:color="auto" w:sz="4" w:space="0"/>
            </w:tcBorders>
            <w:vAlign w:val="center"/>
          </w:tcPr>
          <w:p w14:paraId="52AB29E8">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0459-4600048</w:t>
            </w:r>
          </w:p>
        </w:tc>
      </w:tr>
      <w:tr w14:paraId="6445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68A55780">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9</w:t>
            </w:r>
          </w:p>
        </w:tc>
        <w:tc>
          <w:tcPr>
            <w:tcW w:w="4550" w:type="dxa"/>
            <w:tcBorders>
              <w:top w:val="single" w:color="auto" w:sz="4" w:space="0"/>
              <w:bottom w:val="single" w:color="auto" w:sz="4" w:space="0"/>
            </w:tcBorders>
            <w:vAlign w:val="center"/>
          </w:tcPr>
          <w:p w14:paraId="2A1AC74E">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大庆油田总医院</w:t>
            </w:r>
          </w:p>
        </w:tc>
        <w:tc>
          <w:tcPr>
            <w:tcW w:w="3396" w:type="dxa"/>
            <w:tcBorders>
              <w:top w:val="single" w:color="auto" w:sz="4" w:space="0"/>
              <w:bottom w:val="single" w:color="auto" w:sz="4" w:space="0"/>
              <w:right w:val="single" w:color="auto" w:sz="4" w:space="0"/>
            </w:tcBorders>
            <w:vAlign w:val="center"/>
          </w:tcPr>
          <w:p w14:paraId="605CD433">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0459-5886408</w:t>
            </w:r>
          </w:p>
        </w:tc>
      </w:tr>
      <w:tr w14:paraId="643E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5C19C5A0">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10</w:t>
            </w:r>
          </w:p>
        </w:tc>
        <w:tc>
          <w:tcPr>
            <w:tcW w:w="4550" w:type="dxa"/>
            <w:tcBorders>
              <w:top w:val="single" w:color="auto" w:sz="4" w:space="0"/>
              <w:bottom w:val="single" w:color="auto" w:sz="4" w:space="0"/>
            </w:tcBorders>
            <w:vAlign w:val="center"/>
          </w:tcPr>
          <w:p w14:paraId="63BF7AD7">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大庆市第二医院</w:t>
            </w:r>
          </w:p>
        </w:tc>
        <w:tc>
          <w:tcPr>
            <w:tcW w:w="3396" w:type="dxa"/>
            <w:tcBorders>
              <w:top w:val="single" w:color="auto" w:sz="4" w:space="0"/>
              <w:bottom w:val="single" w:color="auto" w:sz="4" w:space="0"/>
              <w:right w:val="single" w:color="auto" w:sz="4" w:space="0"/>
            </w:tcBorders>
            <w:vAlign w:val="center"/>
          </w:tcPr>
          <w:p w14:paraId="43D883A4">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0459-5202621</w:t>
            </w:r>
          </w:p>
        </w:tc>
      </w:tr>
      <w:tr w14:paraId="178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5E6BA7A1">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11</w:t>
            </w:r>
          </w:p>
        </w:tc>
        <w:tc>
          <w:tcPr>
            <w:tcW w:w="4550" w:type="dxa"/>
            <w:tcBorders>
              <w:top w:val="single" w:color="auto" w:sz="4" w:space="0"/>
              <w:bottom w:val="single" w:color="auto" w:sz="4" w:space="0"/>
            </w:tcBorders>
            <w:vAlign w:val="center"/>
          </w:tcPr>
          <w:p w14:paraId="630AC518">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大庆市气象台值班室</w:t>
            </w:r>
          </w:p>
        </w:tc>
        <w:tc>
          <w:tcPr>
            <w:tcW w:w="3396" w:type="dxa"/>
            <w:tcBorders>
              <w:top w:val="single" w:color="auto" w:sz="4" w:space="0"/>
              <w:bottom w:val="single" w:color="auto" w:sz="4" w:space="0"/>
              <w:right w:val="single" w:color="auto" w:sz="4" w:space="0"/>
            </w:tcBorders>
            <w:vAlign w:val="center"/>
          </w:tcPr>
          <w:p w14:paraId="2F38225B">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0459-8151615/8151030</w:t>
            </w:r>
          </w:p>
        </w:tc>
      </w:tr>
      <w:tr w14:paraId="2D33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412CEC37">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12</w:t>
            </w:r>
          </w:p>
        </w:tc>
        <w:tc>
          <w:tcPr>
            <w:tcW w:w="4550" w:type="dxa"/>
            <w:tcBorders>
              <w:top w:val="single" w:color="auto" w:sz="4" w:space="0"/>
              <w:bottom w:val="single" w:color="auto" w:sz="4" w:space="0"/>
            </w:tcBorders>
            <w:vAlign w:val="center"/>
          </w:tcPr>
          <w:p w14:paraId="736EC8BA">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大庆油田有限责任公司第十采油厂环保部</w:t>
            </w:r>
          </w:p>
        </w:tc>
        <w:tc>
          <w:tcPr>
            <w:tcW w:w="3396" w:type="dxa"/>
            <w:tcBorders>
              <w:top w:val="single" w:color="auto" w:sz="4" w:space="0"/>
              <w:bottom w:val="single" w:color="auto" w:sz="4" w:space="0"/>
              <w:right w:val="single" w:color="auto" w:sz="4" w:space="0"/>
            </w:tcBorders>
            <w:vAlign w:val="center"/>
          </w:tcPr>
          <w:p w14:paraId="7C178419">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0459-4392296</w:t>
            </w:r>
          </w:p>
        </w:tc>
      </w:tr>
      <w:tr w14:paraId="4A69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32D0D082">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13</w:t>
            </w:r>
          </w:p>
        </w:tc>
        <w:tc>
          <w:tcPr>
            <w:tcW w:w="4550" w:type="dxa"/>
            <w:tcBorders>
              <w:top w:val="single" w:color="auto" w:sz="4" w:space="0"/>
              <w:bottom w:val="single" w:color="auto" w:sz="4" w:space="0"/>
            </w:tcBorders>
            <w:vAlign w:val="center"/>
          </w:tcPr>
          <w:p w14:paraId="0FDBEC30">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肇州县应急管理局</w:t>
            </w:r>
          </w:p>
        </w:tc>
        <w:tc>
          <w:tcPr>
            <w:tcW w:w="3396" w:type="dxa"/>
            <w:tcBorders>
              <w:top w:val="single" w:color="auto" w:sz="4" w:space="0"/>
              <w:bottom w:val="single" w:color="auto" w:sz="4" w:space="0"/>
              <w:right w:val="single" w:color="auto" w:sz="4" w:space="0"/>
            </w:tcBorders>
            <w:vAlign w:val="center"/>
          </w:tcPr>
          <w:p w14:paraId="0300A291">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0459-8511212</w:t>
            </w:r>
          </w:p>
        </w:tc>
      </w:tr>
      <w:tr w14:paraId="5B63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tcBorders>
            <w:vAlign w:val="center"/>
          </w:tcPr>
          <w:p w14:paraId="42C2C033">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14</w:t>
            </w:r>
          </w:p>
        </w:tc>
        <w:tc>
          <w:tcPr>
            <w:tcW w:w="4550" w:type="dxa"/>
            <w:tcBorders>
              <w:top w:val="single" w:color="auto" w:sz="4" w:space="0"/>
              <w:bottom w:val="single" w:color="auto" w:sz="4" w:space="0"/>
            </w:tcBorders>
            <w:vAlign w:val="center"/>
          </w:tcPr>
          <w:p w14:paraId="44542BA2">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肇州县生态环境局</w:t>
            </w:r>
          </w:p>
        </w:tc>
        <w:tc>
          <w:tcPr>
            <w:tcW w:w="3396" w:type="dxa"/>
            <w:tcBorders>
              <w:top w:val="single" w:color="auto" w:sz="4" w:space="0"/>
              <w:bottom w:val="single" w:color="auto" w:sz="4" w:space="0"/>
              <w:right w:val="single" w:color="auto" w:sz="4" w:space="0"/>
            </w:tcBorders>
            <w:vAlign w:val="center"/>
          </w:tcPr>
          <w:p w14:paraId="6C1ACE26">
            <w:pPr>
              <w:autoSpaceDE w:val="0"/>
              <w:autoSpaceDN w:val="0"/>
              <w:spacing w:line="320" w:lineRule="exact"/>
              <w:jc w:val="center"/>
              <w:rPr>
                <w:rFonts w:ascii="宋体" w:hAnsi="宋体" w:eastAsia="宋体" w:cs="Times New Roman"/>
                <w:color w:val="auto"/>
                <w:szCs w:val="20"/>
              </w:rPr>
            </w:pPr>
            <w:r>
              <w:rPr>
                <w:rFonts w:ascii="宋体" w:hAnsi="宋体" w:eastAsia="宋体" w:cs="Times New Roman"/>
                <w:color w:val="auto"/>
                <w:szCs w:val="20"/>
              </w:rPr>
              <w:t>0459-8523628</w:t>
            </w:r>
          </w:p>
        </w:tc>
      </w:tr>
    </w:tbl>
    <w:p w14:paraId="137F90D3">
      <w:pPr>
        <w:spacing w:line="440" w:lineRule="exact"/>
        <w:ind w:firstLine="480" w:firstLineChars="200"/>
        <w:rPr>
          <w:rFonts w:ascii="宋体" w:hAnsi="宋体" w:eastAsia="宋体"/>
          <w:color w:val="auto"/>
          <w:sz w:val="24"/>
        </w:rPr>
      </w:pPr>
      <w:r>
        <w:rPr>
          <w:rFonts w:ascii="宋体" w:hAnsi="宋体" w:eastAsia="宋体"/>
          <w:color w:val="auto"/>
          <w:sz w:val="24"/>
        </w:rPr>
        <w:t>由前述分析可知以上提出的各项环境保护措施是切实有效的，同时工程对油田生产全过程采取环境保护管理措施和技术措施，有效的预防和减缓本次产能建设可能带来的不良环境影响。</w:t>
      </w:r>
    </w:p>
    <w:p w14:paraId="1FE3991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应急物资</w:t>
      </w:r>
    </w:p>
    <w:p w14:paraId="7973CD4E">
      <w:pPr>
        <w:spacing w:line="440" w:lineRule="exact"/>
        <w:ind w:firstLine="480" w:firstLineChars="200"/>
        <w:rPr>
          <w:rFonts w:ascii="宋体" w:hAnsi="宋体" w:eastAsia="宋体"/>
          <w:color w:val="auto"/>
          <w:sz w:val="24"/>
        </w:rPr>
      </w:pPr>
      <w:r>
        <w:rPr>
          <w:rFonts w:hint="eastAsia" w:ascii="宋体" w:hAnsi="宋体" w:eastAsia="宋体"/>
          <w:color w:val="auto"/>
          <w:sz w:val="24"/>
        </w:rPr>
        <w:t>当本项目发生突发环境事件时其应急物资依托全公司应急物资储备，根据需求就近进行调拨。本项目应急物资依托现有应急物资，应急物资具体情况见</w:t>
      </w:r>
      <w:r>
        <w:rPr>
          <w:rFonts w:ascii="宋体" w:hAnsi="宋体" w:eastAsia="宋体"/>
          <w:color w:val="auto"/>
          <w:sz w:val="24"/>
        </w:rPr>
        <w:t>5.8.1现有工程应急物资，本节不在重复介绍。依托现有工程应急物资可行性如下：</w:t>
      </w:r>
    </w:p>
    <w:p w14:paraId="6A982903">
      <w:pPr>
        <w:spacing w:line="440" w:lineRule="exact"/>
        <w:ind w:firstLine="480" w:firstLineChars="200"/>
        <w:rPr>
          <w:rFonts w:ascii="宋体" w:hAnsi="宋体" w:eastAsia="宋体"/>
          <w:color w:val="auto"/>
          <w:sz w:val="24"/>
        </w:rPr>
      </w:pPr>
      <w:r>
        <w:rPr>
          <w:rFonts w:ascii="宋体" w:hAnsi="宋体" w:eastAsia="宋体"/>
          <w:color w:val="auto"/>
          <w:sz w:val="24"/>
        </w:rPr>
        <w:t>1）应急物资与装备充足，基层队配备便携式可燃气体检测仪，能够进行部分简单的大气应急监测；危害程度较大的突发环境事件发生时仍需委托外部检测单位进行监测。</w:t>
      </w:r>
    </w:p>
    <w:p w14:paraId="6A6A45B5">
      <w:pPr>
        <w:spacing w:line="440" w:lineRule="exact"/>
        <w:ind w:firstLine="480" w:firstLineChars="200"/>
        <w:rPr>
          <w:rFonts w:ascii="宋体" w:hAnsi="宋体" w:eastAsia="宋体"/>
          <w:color w:val="auto"/>
          <w:sz w:val="24"/>
        </w:rPr>
      </w:pPr>
      <w:r>
        <w:rPr>
          <w:rFonts w:ascii="宋体" w:hAnsi="宋体" w:eastAsia="宋体"/>
          <w:color w:val="auto"/>
          <w:sz w:val="24"/>
        </w:rPr>
        <w:t>2）建立了完善应急通信系统，确保应急指挥中心与基层单位及事件现场的网络系统、通信畅通。</w:t>
      </w:r>
    </w:p>
    <w:p w14:paraId="0A0126FF">
      <w:pPr>
        <w:spacing w:line="440" w:lineRule="exact"/>
        <w:ind w:firstLine="480" w:firstLineChars="200"/>
        <w:rPr>
          <w:rFonts w:ascii="宋体" w:hAnsi="宋体" w:eastAsia="宋体"/>
          <w:color w:val="auto"/>
          <w:sz w:val="24"/>
        </w:rPr>
      </w:pPr>
      <w:r>
        <w:rPr>
          <w:rFonts w:ascii="宋体" w:hAnsi="宋体" w:eastAsia="宋体"/>
          <w:color w:val="auto"/>
          <w:sz w:val="24"/>
        </w:rPr>
        <w:t>3）从内部经验丰富的专业技术人员中挑选人员组成应急小组，确保在启动预警前、事件发生后能迅速到位，为指挥决策提供服务。</w:t>
      </w:r>
    </w:p>
    <w:p w14:paraId="6941A9E0">
      <w:pPr>
        <w:spacing w:line="440" w:lineRule="exact"/>
        <w:ind w:firstLine="480" w:firstLineChars="200"/>
        <w:rPr>
          <w:rFonts w:ascii="宋体" w:hAnsi="宋体" w:eastAsia="宋体"/>
          <w:color w:val="auto"/>
          <w:sz w:val="24"/>
        </w:rPr>
      </w:pPr>
      <w:r>
        <w:rPr>
          <w:rFonts w:ascii="宋体" w:hAnsi="宋体" w:eastAsia="宋体"/>
          <w:color w:val="auto"/>
          <w:sz w:val="24"/>
        </w:rPr>
        <w:t>4）应急物资主要存放在生产区域内各站场、应急库房，所有应急物资均按相关有效期要求使用并及时更换。目前所有应急物资均处于有效期内。</w:t>
      </w:r>
    </w:p>
    <w:p w14:paraId="171EDAC8">
      <w:pPr>
        <w:spacing w:line="440" w:lineRule="exact"/>
        <w:ind w:firstLine="480" w:firstLineChars="200"/>
        <w:rPr>
          <w:rFonts w:ascii="宋体" w:hAnsi="宋体" w:eastAsia="宋体"/>
          <w:color w:val="auto"/>
          <w:sz w:val="24"/>
        </w:rPr>
      </w:pPr>
      <w:r>
        <w:rPr>
          <w:rFonts w:hint="eastAsia" w:ascii="宋体" w:hAnsi="宋体" w:eastAsia="宋体"/>
          <w:color w:val="auto"/>
          <w:sz w:val="24"/>
        </w:rPr>
        <w:t>综上，本项目依托现有应急物资是可行的。</w:t>
      </w:r>
    </w:p>
    <w:p w14:paraId="15BBED6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应急监测</w:t>
      </w:r>
    </w:p>
    <w:p w14:paraId="658FF5A4">
      <w:pPr>
        <w:spacing w:line="440" w:lineRule="exact"/>
        <w:ind w:firstLine="480" w:firstLineChars="200"/>
        <w:rPr>
          <w:rFonts w:ascii="宋体" w:hAnsi="宋体" w:eastAsia="宋体"/>
          <w:color w:val="auto"/>
          <w:sz w:val="24"/>
        </w:rPr>
      </w:pPr>
      <w:r>
        <w:rPr>
          <w:rFonts w:ascii="宋体" w:hAnsi="宋体" w:eastAsia="宋体"/>
          <w:color w:val="auto"/>
          <w:sz w:val="24"/>
        </w:rPr>
        <w:t>1）应急监测措施</w:t>
      </w:r>
    </w:p>
    <w:p w14:paraId="5ECF7143">
      <w:pPr>
        <w:spacing w:line="440" w:lineRule="exact"/>
        <w:ind w:firstLine="480" w:firstLineChars="200"/>
        <w:rPr>
          <w:rFonts w:ascii="宋体" w:hAnsi="宋体" w:eastAsia="宋体"/>
          <w:color w:val="auto"/>
          <w:sz w:val="24"/>
        </w:rPr>
      </w:pPr>
      <w:r>
        <w:rPr>
          <w:rFonts w:hint="eastAsia" w:ascii="宋体" w:hAnsi="宋体" w:eastAsia="宋体"/>
          <w:color w:val="auto"/>
          <w:sz w:val="24"/>
        </w:rPr>
        <w:t>（</w:t>
      </w:r>
      <w:r>
        <w:rPr>
          <w:rFonts w:ascii="宋体" w:hAnsi="宋体" w:eastAsia="宋体"/>
          <w:color w:val="auto"/>
          <w:sz w:val="24"/>
        </w:rPr>
        <w:t>1）环保监测站接到环保事故信息后，根据接报的情况判断可能的污染物质，进行应急准备，并立即组织有关人员，分别进行现场的监测采样和实验室的准备工作。</w:t>
      </w:r>
    </w:p>
    <w:p w14:paraId="57390BA1">
      <w:pPr>
        <w:spacing w:line="440" w:lineRule="exact"/>
        <w:ind w:firstLine="480" w:firstLineChars="200"/>
        <w:rPr>
          <w:rFonts w:ascii="宋体" w:hAnsi="宋体" w:eastAsia="宋体"/>
          <w:color w:val="auto"/>
          <w:sz w:val="24"/>
        </w:rPr>
      </w:pPr>
      <w:r>
        <w:rPr>
          <w:rFonts w:hint="eastAsia" w:ascii="宋体" w:hAnsi="宋体" w:eastAsia="宋体"/>
          <w:color w:val="auto"/>
          <w:sz w:val="24"/>
        </w:rPr>
        <w:t>①人员及采样容器准备。技术人员一名、实验室人员一名、采样人员两名，采样容器要备足。</w:t>
      </w:r>
    </w:p>
    <w:p w14:paraId="427FF5BB">
      <w:pPr>
        <w:spacing w:line="440" w:lineRule="exact"/>
        <w:ind w:firstLine="480" w:firstLineChars="200"/>
        <w:rPr>
          <w:rFonts w:ascii="宋体" w:hAnsi="宋体" w:eastAsia="宋体"/>
          <w:color w:val="auto"/>
          <w:sz w:val="24"/>
        </w:rPr>
      </w:pPr>
      <w:r>
        <w:rPr>
          <w:rFonts w:hint="eastAsia" w:ascii="宋体" w:hAnsi="宋体" w:eastAsia="宋体"/>
          <w:color w:val="auto"/>
          <w:sz w:val="24"/>
        </w:rPr>
        <w:t>②化验室分析人员取样后，应快速、准确的完成样品的分析，出具数据和保存，并保留样品。</w:t>
      </w:r>
    </w:p>
    <w:p w14:paraId="4202E365">
      <w:pPr>
        <w:spacing w:line="440" w:lineRule="exact"/>
        <w:ind w:firstLine="480" w:firstLineChars="200"/>
        <w:rPr>
          <w:rFonts w:ascii="宋体" w:hAnsi="宋体" w:eastAsia="宋体"/>
          <w:color w:val="auto"/>
          <w:sz w:val="24"/>
        </w:rPr>
      </w:pPr>
      <w:r>
        <w:rPr>
          <w:rFonts w:hint="eastAsia" w:ascii="宋体" w:hAnsi="宋体" w:eastAsia="宋体"/>
          <w:color w:val="auto"/>
          <w:sz w:val="24"/>
        </w:rPr>
        <w:t>（</w:t>
      </w:r>
      <w:r>
        <w:rPr>
          <w:rFonts w:ascii="宋体" w:hAnsi="宋体" w:eastAsia="宋体"/>
          <w:color w:val="auto"/>
          <w:sz w:val="24"/>
        </w:rPr>
        <w:t>2）化验室在接到环境事故信息后，必须在最短时间内到达目的地采样，一般不超过30min。</w:t>
      </w:r>
    </w:p>
    <w:p w14:paraId="03DA7914">
      <w:pPr>
        <w:spacing w:line="440" w:lineRule="exact"/>
        <w:ind w:firstLine="480" w:firstLineChars="200"/>
        <w:rPr>
          <w:rFonts w:ascii="宋体" w:hAnsi="宋体" w:eastAsia="宋体"/>
          <w:color w:val="auto"/>
          <w:sz w:val="24"/>
        </w:rPr>
      </w:pPr>
      <w:r>
        <w:rPr>
          <w:rFonts w:hint="eastAsia" w:ascii="宋体" w:hAnsi="宋体" w:eastAsia="宋体"/>
          <w:color w:val="auto"/>
          <w:sz w:val="24"/>
        </w:rPr>
        <w:t>（</w:t>
      </w:r>
      <w:r>
        <w:rPr>
          <w:rFonts w:ascii="宋体" w:hAnsi="宋体" w:eastAsia="宋体"/>
          <w:color w:val="auto"/>
          <w:sz w:val="24"/>
        </w:rPr>
        <w:t>3）当对某种污染物缺少监测手段时，安全环保科负责对外请求支援的联系与协调。</w:t>
      </w:r>
    </w:p>
    <w:p w14:paraId="6F63B081">
      <w:pPr>
        <w:spacing w:line="440" w:lineRule="exact"/>
        <w:ind w:firstLine="480" w:firstLineChars="200"/>
        <w:rPr>
          <w:rFonts w:ascii="宋体" w:hAnsi="宋体" w:eastAsia="宋体"/>
          <w:color w:val="auto"/>
          <w:sz w:val="24"/>
        </w:rPr>
      </w:pPr>
      <w:r>
        <w:rPr>
          <w:rFonts w:hint="eastAsia" w:ascii="宋体" w:hAnsi="宋体" w:eastAsia="宋体"/>
          <w:color w:val="auto"/>
          <w:sz w:val="24"/>
        </w:rPr>
        <w:t>（</w:t>
      </w:r>
      <w:r>
        <w:rPr>
          <w:rFonts w:ascii="宋体" w:hAnsi="宋体" w:eastAsia="宋体"/>
          <w:color w:val="auto"/>
          <w:sz w:val="24"/>
        </w:rPr>
        <w:t>4）监测数据可用电话或书面的形式以最快速度上报应急指挥中心。</w:t>
      </w:r>
    </w:p>
    <w:p w14:paraId="5E774690">
      <w:pPr>
        <w:spacing w:line="440" w:lineRule="exact"/>
        <w:ind w:firstLine="480" w:firstLineChars="200"/>
        <w:rPr>
          <w:rFonts w:ascii="宋体" w:hAnsi="宋体" w:eastAsia="宋体"/>
          <w:color w:val="auto"/>
          <w:sz w:val="24"/>
        </w:rPr>
      </w:pPr>
      <w:r>
        <w:rPr>
          <w:rFonts w:hint="eastAsia" w:ascii="宋体" w:hAnsi="宋体" w:eastAsia="宋体"/>
          <w:color w:val="auto"/>
          <w:sz w:val="24"/>
        </w:rPr>
        <w:t>（</w:t>
      </w:r>
      <w:r>
        <w:rPr>
          <w:rFonts w:ascii="宋体" w:hAnsi="宋体" w:eastAsia="宋体"/>
          <w:color w:val="auto"/>
          <w:sz w:val="24"/>
        </w:rPr>
        <w:t>5）应急监测应做到当事故发生直到事故最终处理终结的全过程监测，其监测频次以满足较少损失和事故处理以及事故发生后的生产恢复的需求。</w:t>
      </w:r>
    </w:p>
    <w:p w14:paraId="20DAEC57">
      <w:pPr>
        <w:spacing w:line="440" w:lineRule="exact"/>
        <w:ind w:firstLine="480" w:firstLineChars="200"/>
        <w:rPr>
          <w:rFonts w:ascii="宋体" w:hAnsi="宋体" w:eastAsia="宋体"/>
          <w:color w:val="auto"/>
          <w:sz w:val="24"/>
        </w:rPr>
      </w:pPr>
      <w:r>
        <w:rPr>
          <w:rFonts w:ascii="宋体" w:hAnsi="宋体" w:eastAsia="宋体"/>
          <w:color w:val="auto"/>
          <w:sz w:val="24"/>
        </w:rPr>
        <w:t>2）应急监测布点原则</w:t>
      </w:r>
    </w:p>
    <w:p w14:paraId="09A979E9">
      <w:pPr>
        <w:spacing w:line="440" w:lineRule="exact"/>
        <w:ind w:firstLine="480" w:firstLineChars="200"/>
        <w:rPr>
          <w:rFonts w:ascii="宋体" w:hAnsi="宋体" w:eastAsia="宋体"/>
          <w:color w:val="auto"/>
          <w:sz w:val="24"/>
        </w:rPr>
      </w:pPr>
      <w:r>
        <w:rPr>
          <w:rFonts w:hint="eastAsia" w:ascii="宋体" w:hAnsi="宋体" w:eastAsia="宋体"/>
          <w:color w:val="auto"/>
          <w:sz w:val="24"/>
        </w:rPr>
        <w:t>根据《突发环境事件应急监测技术规范》（</w:t>
      </w:r>
      <w:r>
        <w:rPr>
          <w:rFonts w:ascii="宋体" w:hAnsi="宋体" w:eastAsia="宋体"/>
          <w:color w:val="auto"/>
          <w:sz w:val="24"/>
        </w:rPr>
        <w:t>HJ 589-2021）中6.2.1布点原则，采样断面（点）的设置一般以突发环境事件发生地及可能受影响的环境区域为主，同时应注重人群和生活环境、事件发生地周围重要生态环境保护目标及环境敏感点，重点关注对饮用水水源地、人群活动区域的空气、农田土壤、自然保护区、风景名胜区及其他需要特殊保护的区域的影响，合理设置监测断面（点），判断污染团（带）位置、反映污染变化趋势、了解应急处置效果。</w:t>
      </w:r>
    </w:p>
    <w:p w14:paraId="45B68AE1">
      <w:pPr>
        <w:spacing w:line="440" w:lineRule="exact"/>
        <w:ind w:firstLine="480" w:firstLineChars="200"/>
        <w:rPr>
          <w:rFonts w:ascii="宋体" w:hAnsi="宋体" w:eastAsia="宋体"/>
          <w:color w:val="auto"/>
          <w:sz w:val="24"/>
        </w:rPr>
      </w:pPr>
      <w:r>
        <w:rPr>
          <w:rFonts w:hint="eastAsia" w:ascii="宋体" w:hAnsi="宋体" w:eastAsia="宋体"/>
          <w:color w:val="auto"/>
          <w:sz w:val="24"/>
        </w:rPr>
        <w:t>应根据突发环境事件应急处置情况动态及时更新调整布设点位。对被突发环境事件所污染的地表水、大气、土壤和地下水应设置对照断面（点）、控制断面（点），对地表水和地下水还应设置削减断面（点），布点要确保能够获取足够的有代表性的信息，同时应考虑采样的安全性和可行性。对突发环境事件固定污染源和移动污染源的应急监测，应根据现场的具体情况布设采样断面（点）。</w:t>
      </w:r>
    </w:p>
    <w:p w14:paraId="06FAAC2A">
      <w:pPr>
        <w:spacing w:line="440" w:lineRule="exact"/>
        <w:ind w:firstLine="480" w:firstLineChars="200"/>
        <w:rPr>
          <w:rFonts w:ascii="宋体" w:hAnsi="宋体" w:eastAsia="宋体"/>
          <w:color w:val="auto"/>
          <w:sz w:val="24"/>
        </w:rPr>
      </w:pPr>
      <w:r>
        <w:rPr>
          <w:rFonts w:ascii="宋体" w:hAnsi="宋体" w:eastAsia="宋体"/>
          <w:color w:val="auto"/>
          <w:sz w:val="24"/>
        </w:rPr>
        <w:t>3）应急监测方案</w:t>
      </w:r>
    </w:p>
    <w:p w14:paraId="59AB733D">
      <w:pPr>
        <w:spacing w:line="440" w:lineRule="exact"/>
        <w:ind w:firstLine="480" w:firstLineChars="200"/>
        <w:rPr>
          <w:rFonts w:ascii="宋体" w:hAnsi="宋体" w:eastAsia="宋体"/>
          <w:color w:val="auto"/>
          <w:sz w:val="24"/>
        </w:rPr>
      </w:pPr>
      <w:r>
        <w:rPr>
          <w:rFonts w:hint="eastAsia" w:ascii="宋体" w:hAnsi="宋体" w:eastAsia="宋体"/>
          <w:color w:val="auto"/>
          <w:sz w:val="24"/>
        </w:rPr>
        <w:t>本项目环境风险应急监测方案详见下表。</w:t>
      </w:r>
    </w:p>
    <w:p w14:paraId="2170DCE7">
      <w:pPr>
        <w:pStyle w:val="276"/>
        <w:widowControl w:val="0"/>
        <w:spacing w:line="440" w:lineRule="exact"/>
        <w:ind w:firstLine="0" w:firstLineChars="0"/>
        <w:jc w:val="center"/>
        <w:rPr>
          <w:color w:val="auto"/>
          <w:kern w:val="2"/>
        </w:rPr>
      </w:pPr>
      <w:r>
        <w:rPr>
          <w:rFonts w:hint="eastAsia"/>
          <w:color w:val="auto"/>
          <w:kern w:val="2"/>
        </w:rPr>
        <w:t xml:space="preserve">表 </w:t>
      </w:r>
      <w:r>
        <w:rPr>
          <w:color w:val="auto"/>
          <w:kern w:val="2"/>
        </w:rPr>
        <w:t>5.8</w:t>
      </w:r>
      <w:r>
        <w:rPr>
          <w:color w:val="auto"/>
          <w:kern w:val="2"/>
        </w:rPr>
        <w:noBreakHyphen/>
      </w:r>
      <w:r>
        <w:rPr>
          <w:color w:val="auto"/>
          <w:kern w:val="2"/>
        </w:rPr>
        <w:fldChar w:fldCharType="begin"/>
      </w:r>
      <w:r>
        <w:rPr>
          <w:color w:val="auto"/>
          <w:kern w:val="2"/>
        </w:rPr>
        <w:instrText xml:space="preserve"> STYLEREF 2 \s </w:instrText>
      </w:r>
      <w:r>
        <w:rPr>
          <w:color w:val="auto"/>
          <w:kern w:val="2"/>
        </w:rPr>
        <w:fldChar w:fldCharType="separate"/>
      </w:r>
      <w:r>
        <w:rPr>
          <w:color w:val="auto"/>
          <w:kern w:val="2"/>
        </w:rPr>
        <w:t>5.8</w:t>
      </w:r>
      <w:r>
        <w:rPr>
          <w:color w:val="auto"/>
          <w:kern w:val="2"/>
        </w:rPr>
        <w:fldChar w:fldCharType="end"/>
      </w:r>
      <w:r>
        <w:rPr>
          <w:color w:val="auto"/>
          <w:kern w:val="2"/>
        </w:rPr>
        <w:noBreakHyphen/>
      </w:r>
      <w:r>
        <w:rPr>
          <w:color w:val="auto"/>
          <w:kern w:val="2"/>
        </w:rPr>
        <w:fldChar w:fldCharType="begin"/>
      </w:r>
      <w:r>
        <w:rPr>
          <w:color w:val="auto"/>
          <w:kern w:val="2"/>
        </w:rPr>
        <w:instrText xml:space="preserve"> SEQ 表 \* ARABIC \s 2 </w:instrText>
      </w:r>
      <w:r>
        <w:rPr>
          <w:color w:val="auto"/>
          <w:kern w:val="2"/>
        </w:rPr>
        <w:fldChar w:fldCharType="separate"/>
      </w:r>
      <w:r>
        <w:rPr>
          <w:color w:val="auto"/>
          <w:kern w:val="2"/>
        </w:rPr>
        <w:t>1</w:t>
      </w:r>
      <w:r>
        <w:rPr>
          <w:color w:val="auto"/>
          <w:kern w:val="2"/>
        </w:rPr>
        <w:fldChar w:fldCharType="end"/>
      </w:r>
      <w:r>
        <w:rPr>
          <w:rFonts w:hint="eastAsia"/>
          <w:color w:val="auto"/>
          <w:kern w:val="2"/>
        </w:rPr>
        <w:t xml:space="preserve">  风险事故情况下环境应急监测方案一览表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514"/>
        <w:gridCol w:w="763"/>
        <w:gridCol w:w="1477"/>
        <w:gridCol w:w="1103"/>
        <w:gridCol w:w="1776"/>
        <w:gridCol w:w="2381"/>
        <w:gridCol w:w="812"/>
      </w:tblGrid>
      <w:tr w14:paraId="2FAC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48" w:type="pct"/>
            <w:shd w:val="clear" w:color="auto" w:fill="auto"/>
            <w:vAlign w:val="center"/>
          </w:tcPr>
          <w:p w14:paraId="01D7596C">
            <w:pPr>
              <w:jc w:val="center"/>
              <w:textAlignment w:val="center"/>
              <w:rPr>
                <w:rFonts w:ascii="宋体" w:hAnsi="宋体" w:eastAsia="宋体" w:cs="Times New Roman"/>
                <w:color w:val="auto"/>
              </w:rPr>
            </w:pPr>
            <w:r>
              <w:rPr>
                <w:rFonts w:hint="eastAsia" w:ascii="宋体" w:hAnsi="宋体" w:eastAsia="宋体" w:cs="Times New Roman"/>
                <w:color w:val="auto"/>
              </w:rPr>
              <w:t>时间</w:t>
            </w:r>
          </w:p>
        </w:tc>
        <w:tc>
          <w:tcPr>
            <w:tcW w:w="277" w:type="pct"/>
            <w:shd w:val="clear" w:color="auto" w:fill="auto"/>
            <w:vAlign w:val="center"/>
          </w:tcPr>
          <w:p w14:paraId="3D8E2CFF">
            <w:pPr>
              <w:jc w:val="center"/>
              <w:textAlignment w:val="center"/>
              <w:rPr>
                <w:rFonts w:ascii="宋体" w:hAnsi="宋体" w:eastAsia="宋体" w:cs="Times New Roman"/>
                <w:color w:val="auto"/>
              </w:rPr>
            </w:pPr>
            <w:r>
              <w:rPr>
                <w:rFonts w:hint="eastAsia" w:ascii="宋体" w:hAnsi="宋体" w:eastAsia="宋体" w:cs="Times New Roman"/>
                <w:color w:val="auto"/>
              </w:rPr>
              <w:t>监测</w:t>
            </w:r>
          </w:p>
          <w:p w14:paraId="1261054A">
            <w:pPr>
              <w:jc w:val="center"/>
              <w:textAlignment w:val="center"/>
              <w:rPr>
                <w:rFonts w:ascii="宋体" w:hAnsi="宋体" w:eastAsia="宋体" w:cs="Times New Roman"/>
                <w:color w:val="auto"/>
              </w:rPr>
            </w:pPr>
            <w:r>
              <w:rPr>
                <w:rFonts w:hint="eastAsia" w:ascii="宋体" w:hAnsi="宋体" w:eastAsia="宋体" w:cs="Times New Roman"/>
                <w:color w:val="auto"/>
              </w:rPr>
              <w:t>要素</w:t>
            </w:r>
          </w:p>
        </w:tc>
        <w:tc>
          <w:tcPr>
            <w:tcW w:w="1206" w:type="pct"/>
            <w:gridSpan w:val="2"/>
            <w:shd w:val="clear" w:color="auto" w:fill="auto"/>
            <w:vAlign w:val="center"/>
          </w:tcPr>
          <w:p w14:paraId="2F149969">
            <w:pPr>
              <w:jc w:val="center"/>
              <w:textAlignment w:val="center"/>
              <w:rPr>
                <w:rFonts w:ascii="宋体" w:hAnsi="宋体" w:eastAsia="宋体" w:cs="Times New Roman"/>
                <w:color w:val="auto"/>
              </w:rPr>
            </w:pPr>
            <w:r>
              <w:rPr>
                <w:rFonts w:hint="eastAsia" w:ascii="宋体" w:hAnsi="宋体" w:eastAsia="宋体" w:cs="Times New Roman"/>
                <w:color w:val="auto"/>
              </w:rPr>
              <w:t>监测点位</w:t>
            </w:r>
          </w:p>
        </w:tc>
        <w:tc>
          <w:tcPr>
            <w:tcW w:w="594" w:type="pct"/>
            <w:shd w:val="clear" w:color="auto" w:fill="auto"/>
            <w:vAlign w:val="center"/>
          </w:tcPr>
          <w:p w14:paraId="444E2D75">
            <w:pPr>
              <w:jc w:val="center"/>
              <w:textAlignment w:val="center"/>
              <w:rPr>
                <w:rFonts w:ascii="宋体" w:hAnsi="宋体" w:eastAsia="宋体" w:cs="Times New Roman"/>
                <w:color w:val="auto"/>
              </w:rPr>
            </w:pPr>
            <w:r>
              <w:rPr>
                <w:rFonts w:hint="eastAsia" w:ascii="宋体" w:hAnsi="宋体" w:eastAsia="宋体" w:cs="Times New Roman"/>
                <w:color w:val="auto"/>
              </w:rPr>
              <w:t>监测项目</w:t>
            </w:r>
          </w:p>
        </w:tc>
        <w:tc>
          <w:tcPr>
            <w:tcW w:w="956" w:type="pct"/>
            <w:shd w:val="clear" w:color="auto" w:fill="auto"/>
            <w:vAlign w:val="center"/>
          </w:tcPr>
          <w:p w14:paraId="0632B2F4">
            <w:pPr>
              <w:jc w:val="center"/>
              <w:textAlignment w:val="center"/>
              <w:rPr>
                <w:rFonts w:ascii="宋体" w:hAnsi="宋体" w:eastAsia="宋体" w:cs="Times New Roman"/>
                <w:color w:val="auto"/>
              </w:rPr>
            </w:pPr>
            <w:r>
              <w:rPr>
                <w:rFonts w:hint="eastAsia" w:ascii="宋体" w:hAnsi="宋体" w:eastAsia="宋体" w:cs="Times New Roman"/>
                <w:color w:val="auto"/>
              </w:rPr>
              <w:t>应急监测频次</w:t>
            </w:r>
          </w:p>
        </w:tc>
        <w:tc>
          <w:tcPr>
            <w:tcW w:w="1282" w:type="pct"/>
            <w:shd w:val="clear" w:color="auto" w:fill="auto"/>
            <w:vAlign w:val="center"/>
          </w:tcPr>
          <w:p w14:paraId="6207FF20">
            <w:pPr>
              <w:jc w:val="center"/>
              <w:textAlignment w:val="center"/>
              <w:rPr>
                <w:rFonts w:ascii="宋体" w:hAnsi="宋体" w:eastAsia="宋体" w:cs="Times New Roman"/>
                <w:color w:val="auto"/>
              </w:rPr>
            </w:pPr>
            <w:r>
              <w:rPr>
                <w:rFonts w:hint="eastAsia" w:ascii="宋体" w:hAnsi="宋体" w:eastAsia="宋体" w:cs="Times New Roman"/>
                <w:color w:val="auto"/>
              </w:rPr>
              <w:t>执行标准</w:t>
            </w:r>
          </w:p>
        </w:tc>
        <w:tc>
          <w:tcPr>
            <w:tcW w:w="437" w:type="pct"/>
            <w:shd w:val="clear" w:color="auto" w:fill="auto"/>
            <w:vAlign w:val="center"/>
          </w:tcPr>
          <w:p w14:paraId="67D34936">
            <w:pPr>
              <w:jc w:val="center"/>
              <w:textAlignment w:val="center"/>
              <w:rPr>
                <w:rFonts w:ascii="宋体" w:hAnsi="宋体" w:eastAsia="宋体" w:cs="Times New Roman"/>
                <w:color w:val="auto"/>
              </w:rPr>
            </w:pPr>
            <w:r>
              <w:rPr>
                <w:rFonts w:hint="eastAsia" w:ascii="宋体" w:hAnsi="宋体" w:eastAsia="宋体" w:cs="Times New Roman"/>
                <w:color w:val="auto"/>
              </w:rPr>
              <w:t>监测方式</w:t>
            </w:r>
          </w:p>
        </w:tc>
      </w:tr>
      <w:tr w14:paraId="72B0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restart"/>
            <w:shd w:val="clear" w:color="auto" w:fill="auto"/>
            <w:vAlign w:val="center"/>
          </w:tcPr>
          <w:p w14:paraId="09C17038">
            <w:pPr>
              <w:jc w:val="center"/>
              <w:textAlignment w:val="center"/>
              <w:rPr>
                <w:rFonts w:ascii="宋体" w:hAnsi="宋体" w:eastAsia="宋体" w:cs="Times New Roman"/>
                <w:color w:val="auto"/>
              </w:rPr>
            </w:pPr>
            <w:r>
              <w:rPr>
                <w:rFonts w:hint="eastAsia" w:ascii="宋体" w:hAnsi="宋体" w:eastAsia="宋体" w:cs="Times New Roman"/>
                <w:color w:val="auto"/>
              </w:rPr>
              <w:t>环</w:t>
            </w:r>
          </w:p>
          <w:p w14:paraId="5CFABFF3">
            <w:pPr>
              <w:jc w:val="center"/>
              <w:textAlignment w:val="center"/>
              <w:rPr>
                <w:rFonts w:ascii="宋体" w:hAnsi="宋体" w:eastAsia="宋体" w:cs="Times New Roman"/>
                <w:color w:val="auto"/>
              </w:rPr>
            </w:pPr>
            <w:r>
              <w:rPr>
                <w:rFonts w:hint="eastAsia" w:ascii="宋体" w:hAnsi="宋体" w:eastAsia="宋体" w:cs="Times New Roman"/>
                <w:color w:val="auto"/>
              </w:rPr>
              <w:t>境</w:t>
            </w:r>
          </w:p>
          <w:p w14:paraId="1AA2C28B">
            <w:pPr>
              <w:jc w:val="center"/>
              <w:textAlignment w:val="center"/>
              <w:rPr>
                <w:rFonts w:ascii="宋体" w:hAnsi="宋体" w:eastAsia="宋体" w:cs="Times New Roman"/>
                <w:color w:val="auto"/>
              </w:rPr>
            </w:pPr>
            <w:r>
              <w:rPr>
                <w:rFonts w:hint="eastAsia" w:ascii="宋体" w:hAnsi="宋体" w:eastAsia="宋体" w:cs="Times New Roman"/>
                <w:color w:val="auto"/>
              </w:rPr>
              <w:t>风</w:t>
            </w:r>
          </w:p>
          <w:p w14:paraId="710E0C3C">
            <w:pPr>
              <w:jc w:val="center"/>
              <w:textAlignment w:val="center"/>
              <w:rPr>
                <w:rFonts w:ascii="宋体" w:hAnsi="宋体" w:eastAsia="宋体" w:cs="Times New Roman"/>
                <w:color w:val="auto"/>
              </w:rPr>
            </w:pPr>
            <w:r>
              <w:rPr>
                <w:rFonts w:hint="eastAsia" w:ascii="宋体" w:hAnsi="宋体" w:eastAsia="宋体" w:cs="Times New Roman"/>
                <w:color w:val="auto"/>
              </w:rPr>
              <w:t>险</w:t>
            </w:r>
          </w:p>
          <w:p w14:paraId="42F84D69">
            <w:pPr>
              <w:jc w:val="center"/>
              <w:textAlignment w:val="center"/>
              <w:rPr>
                <w:rFonts w:ascii="宋体" w:hAnsi="宋体" w:eastAsia="宋体" w:cs="Times New Roman"/>
                <w:color w:val="auto"/>
              </w:rPr>
            </w:pPr>
            <w:r>
              <w:rPr>
                <w:rFonts w:hint="eastAsia" w:ascii="宋体" w:hAnsi="宋体" w:eastAsia="宋体" w:cs="Times New Roman"/>
                <w:color w:val="auto"/>
              </w:rPr>
              <w:t>事</w:t>
            </w:r>
          </w:p>
          <w:p w14:paraId="4ABE9979">
            <w:pPr>
              <w:jc w:val="center"/>
              <w:textAlignment w:val="center"/>
              <w:rPr>
                <w:rFonts w:ascii="宋体" w:hAnsi="宋体" w:eastAsia="宋体" w:cs="Times New Roman"/>
                <w:color w:val="auto"/>
              </w:rPr>
            </w:pPr>
            <w:r>
              <w:rPr>
                <w:rFonts w:hint="eastAsia" w:ascii="宋体" w:hAnsi="宋体" w:eastAsia="宋体" w:cs="Times New Roman"/>
                <w:color w:val="auto"/>
              </w:rPr>
              <w:t>故</w:t>
            </w:r>
          </w:p>
        </w:tc>
        <w:tc>
          <w:tcPr>
            <w:tcW w:w="277" w:type="pct"/>
            <w:vMerge w:val="restart"/>
            <w:shd w:val="clear" w:color="auto" w:fill="auto"/>
            <w:vAlign w:val="center"/>
          </w:tcPr>
          <w:p w14:paraId="0D12991E">
            <w:pPr>
              <w:jc w:val="center"/>
              <w:textAlignment w:val="center"/>
              <w:rPr>
                <w:rFonts w:ascii="宋体" w:hAnsi="宋体" w:eastAsia="宋体" w:cs="Times New Roman"/>
                <w:color w:val="auto"/>
              </w:rPr>
            </w:pPr>
            <w:r>
              <w:rPr>
                <w:rFonts w:hint="eastAsia" w:ascii="宋体" w:hAnsi="宋体" w:eastAsia="宋体" w:cs="Times New Roman"/>
                <w:color w:val="auto"/>
              </w:rPr>
              <w:t>大气</w:t>
            </w:r>
          </w:p>
          <w:p w14:paraId="1D88C56E">
            <w:pPr>
              <w:jc w:val="center"/>
              <w:textAlignment w:val="center"/>
              <w:rPr>
                <w:rFonts w:ascii="宋体" w:hAnsi="宋体" w:eastAsia="宋体" w:cs="Times New Roman"/>
                <w:color w:val="auto"/>
              </w:rPr>
            </w:pPr>
            <w:r>
              <w:rPr>
                <w:rFonts w:hint="eastAsia" w:ascii="宋体" w:hAnsi="宋体" w:eastAsia="宋体" w:cs="Times New Roman"/>
                <w:color w:val="auto"/>
              </w:rPr>
              <w:t>环境</w:t>
            </w:r>
          </w:p>
        </w:tc>
        <w:tc>
          <w:tcPr>
            <w:tcW w:w="411" w:type="pct"/>
            <w:shd w:val="clear" w:color="auto" w:fill="auto"/>
            <w:vAlign w:val="center"/>
          </w:tcPr>
          <w:p w14:paraId="230AC2E9">
            <w:pPr>
              <w:jc w:val="center"/>
              <w:textAlignment w:val="center"/>
              <w:rPr>
                <w:rFonts w:ascii="宋体" w:hAnsi="宋体" w:eastAsia="宋体" w:cs="Times New Roman"/>
                <w:color w:val="auto"/>
              </w:rPr>
            </w:pPr>
            <w:r>
              <w:rPr>
                <w:rFonts w:hint="eastAsia" w:ascii="宋体" w:hAnsi="宋体" w:eastAsia="宋体" w:cs="Times New Roman"/>
                <w:color w:val="auto"/>
              </w:rPr>
              <w:t>对照断面</w:t>
            </w:r>
          </w:p>
        </w:tc>
        <w:tc>
          <w:tcPr>
            <w:tcW w:w="795" w:type="pct"/>
            <w:shd w:val="clear" w:color="auto" w:fill="auto"/>
            <w:vAlign w:val="center"/>
          </w:tcPr>
          <w:p w14:paraId="6EE43617">
            <w:pPr>
              <w:jc w:val="center"/>
              <w:textAlignment w:val="center"/>
              <w:rPr>
                <w:rFonts w:ascii="宋体" w:hAnsi="宋体" w:eastAsia="宋体" w:cs="Times New Roman"/>
                <w:color w:val="auto"/>
              </w:rPr>
            </w:pPr>
            <w:r>
              <w:rPr>
                <w:rFonts w:hint="eastAsia" w:ascii="宋体" w:hAnsi="宋体" w:eastAsia="宋体" w:cs="Times New Roman"/>
                <w:color w:val="auto"/>
              </w:rPr>
              <w:t>事故地点上风向</w:t>
            </w:r>
          </w:p>
        </w:tc>
        <w:tc>
          <w:tcPr>
            <w:tcW w:w="594" w:type="pct"/>
            <w:vMerge w:val="restart"/>
            <w:shd w:val="clear" w:color="auto" w:fill="auto"/>
            <w:vAlign w:val="center"/>
          </w:tcPr>
          <w:p w14:paraId="43FBFB34">
            <w:pPr>
              <w:jc w:val="center"/>
              <w:textAlignment w:val="center"/>
              <w:rPr>
                <w:rFonts w:ascii="宋体" w:hAnsi="宋体" w:eastAsia="宋体" w:cs="Times New Roman"/>
                <w:color w:val="auto"/>
              </w:rPr>
            </w:pPr>
            <w:r>
              <w:rPr>
                <w:rFonts w:ascii="宋体" w:hAnsi="宋体" w:eastAsia="宋体" w:cs="Times New Roman"/>
                <w:color w:val="auto"/>
              </w:rPr>
              <w:t>非甲烷总烃、一氧化碳、二氧化硫、二氧化氮</w:t>
            </w:r>
          </w:p>
        </w:tc>
        <w:tc>
          <w:tcPr>
            <w:tcW w:w="956" w:type="pct"/>
            <w:shd w:val="clear" w:color="auto" w:fill="auto"/>
            <w:vAlign w:val="center"/>
          </w:tcPr>
          <w:p w14:paraId="34E0D4A1">
            <w:pPr>
              <w:jc w:val="center"/>
              <w:textAlignment w:val="center"/>
              <w:rPr>
                <w:rFonts w:ascii="宋体" w:hAnsi="宋体" w:eastAsia="宋体" w:cs="Times New Roman"/>
                <w:color w:val="auto"/>
              </w:rPr>
            </w:pPr>
            <w:r>
              <w:rPr>
                <w:rFonts w:ascii="宋体" w:hAnsi="宋体" w:eastAsia="宋体" w:cs="Times New Roman"/>
                <w:color w:val="auto"/>
              </w:rPr>
              <w:t>1次/天（应急期间），以平行双样数据为准</w:t>
            </w:r>
          </w:p>
        </w:tc>
        <w:tc>
          <w:tcPr>
            <w:tcW w:w="1282" w:type="pct"/>
            <w:vMerge w:val="restart"/>
            <w:shd w:val="clear" w:color="auto" w:fill="auto"/>
            <w:vAlign w:val="center"/>
          </w:tcPr>
          <w:p w14:paraId="3049FD0E">
            <w:pPr>
              <w:jc w:val="center"/>
              <w:textAlignment w:val="center"/>
              <w:rPr>
                <w:rFonts w:ascii="宋体" w:hAnsi="宋体" w:eastAsia="宋体" w:cs="Times New Roman"/>
                <w:color w:val="auto"/>
              </w:rPr>
            </w:pPr>
            <w:r>
              <w:rPr>
                <w:rFonts w:ascii="宋体" w:hAnsi="宋体" w:eastAsia="宋体" w:cs="Times New Roman"/>
                <w:color w:val="auto"/>
              </w:rPr>
              <w:t>一氧化碳、二氧化硫、二氧化氮</w:t>
            </w:r>
            <w:r>
              <w:rPr>
                <w:rFonts w:hint="eastAsia" w:ascii="宋体" w:hAnsi="宋体" w:eastAsia="宋体" w:cs="Times New Roman"/>
                <w:color w:val="auto"/>
              </w:rPr>
              <w:t>执行《环境空气质量标准》（GB 3095-2012）及其修改单（生态环境部公告 2018年第29号）二级标准要求，非甲烷总烃执行《大气污染物综合排放标准详解》（国家环境保护局科技标准司制定）中推荐值（2.0mg/m</w:t>
            </w:r>
            <w:r>
              <w:rPr>
                <w:rFonts w:hint="eastAsia" w:ascii="宋体" w:hAnsi="宋体" w:eastAsia="宋体" w:cs="Times New Roman"/>
                <w:color w:val="auto"/>
                <w:vertAlign w:val="superscript"/>
              </w:rPr>
              <w:t>3</w:t>
            </w:r>
            <w:r>
              <w:rPr>
                <w:rFonts w:hint="eastAsia" w:ascii="宋体" w:hAnsi="宋体" w:eastAsia="宋体" w:cs="Times New Roman"/>
                <w:color w:val="auto"/>
              </w:rPr>
              <w:t>）</w:t>
            </w:r>
          </w:p>
        </w:tc>
        <w:tc>
          <w:tcPr>
            <w:tcW w:w="437" w:type="pct"/>
            <w:vMerge w:val="restart"/>
            <w:shd w:val="clear" w:color="auto" w:fill="auto"/>
            <w:vAlign w:val="center"/>
          </w:tcPr>
          <w:p w14:paraId="217DD063">
            <w:pPr>
              <w:jc w:val="center"/>
              <w:textAlignment w:val="center"/>
              <w:rPr>
                <w:rFonts w:ascii="宋体" w:hAnsi="宋体" w:eastAsia="宋体" w:cs="Times New Roman"/>
                <w:color w:val="auto"/>
              </w:rPr>
            </w:pPr>
            <w:r>
              <w:rPr>
                <w:rFonts w:hint="eastAsia" w:ascii="宋体" w:hAnsi="宋体" w:eastAsia="宋体" w:cs="Times New Roman"/>
                <w:color w:val="auto"/>
              </w:rPr>
              <w:t>自行监测或委托检测</w:t>
            </w:r>
          </w:p>
        </w:tc>
      </w:tr>
      <w:tr w14:paraId="41FD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continue"/>
            <w:shd w:val="clear" w:color="auto" w:fill="auto"/>
            <w:vAlign w:val="center"/>
          </w:tcPr>
          <w:p w14:paraId="6D7B7FCB">
            <w:pPr>
              <w:jc w:val="center"/>
              <w:textAlignment w:val="center"/>
              <w:rPr>
                <w:rFonts w:ascii="宋体" w:hAnsi="宋体" w:eastAsia="宋体" w:cs="Times New Roman"/>
                <w:color w:val="auto"/>
              </w:rPr>
            </w:pPr>
          </w:p>
        </w:tc>
        <w:tc>
          <w:tcPr>
            <w:tcW w:w="277" w:type="pct"/>
            <w:vMerge w:val="continue"/>
            <w:shd w:val="clear" w:color="auto" w:fill="auto"/>
            <w:vAlign w:val="center"/>
          </w:tcPr>
          <w:p w14:paraId="35E27014">
            <w:pPr>
              <w:jc w:val="center"/>
              <w:textAlignment w:val="center"/>
              <w:rPr>
                <w:rFonts w:ascii="宋体" w:hAnsi="宋体" w:eastAsia="宋体" w:cs="Times New Roman"/>
                <w:color w:val="auto"/>
              </w:rPr>
            </w:pPr>
          </w:p>
        </w:tc>
        <w:tc>
          <w:tcPr>
            <w:tcW w:w="411" w:type="pct"/>
            <w:shd w:val="clear" w:color="auto" w:fill="auto"/>
            <w:vAlign w:val="center"/>
          </w:tcPr>
          <w:p w14:paraId="4AF2874E">
            <w:pPr>
              <w:jc w:val="center"/>
              <w:textAlignment w:val="center"/>
              <w:rPr>
                <w:rFonts w:ascii="宋体" w:hAnsi="宋体" w:eastAsia="宋体" w:cs="Times New Roman"/>
                <w:color w:val="auto"/>
              </w:rPr>
            </w:pPr>
            <w:r>
              <w:rPr>
                <w:rFonts w:hint="eastAsia" w:ascii="宋体" w:hAnsi="宋体" w:eastAsia="宋体" w:cs="Times New Roman"/>
                <w:color w:val="auto"/>
              </w:rPr>
              <w:t>控制断面</w:t>
            </w:r>
          </w:p>
        </w:tc>
        <w:tc>
          <w:tcPr>
            <w:tcW w:w="795" w:type="pct"/>
            <w:shd w:val="clear" w:color="auto" w:fill="auto"/>
            <w:vAlign w:val="center"/>
          </w:tcPr>
          <w:p w14:paraId="553DA595">
            <w:pPr>
              <w:jc w:val="center"/>
              <w:textAlignment w:val="center"/>
              <w:rPr>
                <w:rFonts w:ascii="宋体" w:hAnsi="宋体" w:eastAsia="宋体" w:cs="Times New Roman"/>
                <w:color w:val="auto"/>
              </w:rPr>
            </w:pPr>
            <w:r>
              <w:rPr>
                <w:rFonts w:hint="eastAsia" w:ascii="宋体" w:hAnsi="宋体" w:eastAsia="宋体" w:cs="Times New Roman"/>
                <w:color w:val="auto"/>
              </w:rPr>
              <w:t>下风向距离较近的敏感点</w:t>
            </w:r>
          </w:p>
        </w:tc>
        <w:tc>
          <w:tcPr>
            <w:tcW w:w="594" w:type="pct"/>
            <w:vMerge w:val="continue"/>
            <w:shd w:val="clear" w:color="auto" w:fill="auto"/>
            <w:vAlign w:val="center"/>
          </w:tcPr>
          <w:p w14:paraId="390634B3">
            <w:pPr>
              <w:jc w:val="center"/>
              <w:textAlignment w:val="center"/>
              <w:rPr>
                <w:rFonts w:ascii="宋体" w:hAnsi="宋体" w:eastAsia="宋体" w:cs="Times New Roman"/>
                <w:color w:val="auto"/>
              </w:rPr>
            </w:pPr>
          </w:p>
        </w:tc>
        <w:tc>
          <w:tcPr>
            <w:tcW w:w="956" w:type="pct"/>
            <w:shd w:val="clear" w:color="auto" w:fill="auto"/>
            <w:vAlign w:val="center"/>
          </w:tcPr>
          <w:p w14:paraId="3E207C43">
            <w:pPr>
              <w:jc w:val="center"/>
              <w:textAlignment w:val="center"/>
              <w:rPr>
                <w:rFonts w:ascii="宋体" w:hAnsi="宋体" w:eastAsia="宋体" w:cs="Times New Roman"/>
                <w:color w:val="auto"/>
              </w:rPr>
            </w:pPr>
            <w:r>
              <w:rPr>
                <w:rFonts w:ascii="宋体" w:hAnsi="宋体" w:eastAsia="宋体" w:cs="Times New Roman"/>
                <w:color w:val="auto"/>
              </w:rPr>
              <w:t>初始加密（3次/天）监测，随污染物浓度下降逐渐降低频次</w:t>
            </w:r>
          </w:p>
        </w:tc>
        <w:tc>
          <w:tcPr>
            <w:tcW w:w="1282" w:type="pct"/>
            <w:vMerge w:val="continue"/>
            <w:shd w:val="clear" w:color="auto" w:fill="auto"/>
            <w:vAlign w:val="center"/>
          </w:tcPr>
          <w:p w14:paraId="7F4BE9E2">
            <w:pPr>
              <w:jc w:val="center"/>
              <w:textAlignment w:val="center"/>
              <w:rPr>
                <w:rFonts w:ascii="宋体" w:hAnsi="宋体" w:eastAsia="宋体" w:cs="Times New Roman"/>
                <w:color w:val="auto"/>
              </w:rPr>
            </w:pPr>
          </w:p>
        </w:tc>
        <w:tc>
          <w:tcPr>
            <w:tcW w:w="437" w:type="pct"/>
            <w:vMerge w:val="continue"/>
            <w:shd w:val="clear" w:color="auto" w:fill="auto"/>
            <w:vAlign w:val="center"/>
          </w:tcPr>
          <w:p w14:paraId="1E587140">
            <w:pPr>
              <w:jc w:val="center"/>
              <w:textAlignment w:val="center"/>
              <w:rPr>
                <w:rFonts w:ascii="宋体" w:hAnsi="宋体" w:eastAsia="宋体" w:cs="Times New Roman"/>
                <w:color w:val="auto"/>
              </w:rPr>
            </w:pPr>
          </w:p>
        </w:tc>
      </w:tr>
      <w:tr w14:paraId="6C44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continue"/>
            <w:shd w:val="clear" w:color="auto" w:fill="auto"/>
            <w:vAlign w:val="center"/>
          </w:tcPr>
          <w:p w14:paraId="2F324B35">
            <w:pPr>
              <w:jc w:val="center"/>
              <w:textAlignment w:val="center"/>
              <w:rPr>
                <w:rFonts w:ascii="宋体" w:hAnsi="宋体" w:eastAsia="宋体" w:cs="Times New Roman"/>
                <w:color w:val="auto"/>
              </w:rPr>
            </w:pPr>
          </w:p>
        </w:tc>
        <w:tc>
          <w:tcPr>
            <w:tcW w:w="277" w:type="pct"/>
            <w:vMerge w:val="restart"/>
            <w:shd w:val="clear" w:color="auto" w:fill="auto"/>
            <w:vAlign w:val="center"/>
          </w:tcPr>
          <w:p w14:paraId="377C0F0A">
            <w:pPr>
              <w:jc w:val="center"/>
              <w:textAlignment w:val="center"/>
              <w:rPr>
                <w:rFonts w:ascii="宋体" w:hAnsi="宋体" w:eastAsia="宋体" w:cs="Times New Roman"/>
                <w:color w:val="auto"/>
              </w:rPr>
            </w:pPr>
            <w:r>
              <w:rPr>
                <w:rFonts w:hint="eastAsia" w:ascii="宋体" w:hAnsi="宋体" w:eastAsia="宋体" w:cs="Times New Roman"/>
                <w:color w:val="auto"/>
              </w:rPr>
              <w:t>地下水环境</w:t>
            </w:r>
          </w:p>
        </w:tc>
        <w:tc>
          <w:tcPr>
            <w:tcW w:w="411" w:type="pct"/>
            <w:shd w:val="clear" w:color="auto" w:fill="auto"/>
            <w:vAlign w:val="center"/>
          </w:tcPr>
          <w:p w14:paraId="2D59C3DB">
            <w:pPr>
              <w:jc w:val="center"/>
              <w:textAlignment w:val="center"/>
              <w:rPr>
                <w:rFonts w:ascii="宋体" w:hAnsi="宋体" w:eastAsia="宋体" w:cs="Times New Roman"/>
                <w:color w:val="auto"/>
              </w:rPr>
            </w:pPr>
            <w:r>
              <w:rPr>
                <w:rFonts w:hint="eastAsia" w:ascii="宋体" w:hAnsi="宋体" w:eastAsia="宋体" w:cs="Times New Roman"/>
                <w:color w:val="auto"/>
              </w:rPr>
              <w:t>对照断面</w:t>
            </w:r>
          </w:p>
        </w:tc>
        <w:tc>
          <w:tcPr>
            <w:tcW w:w="795" w:type="pct"/>
            <w:shd w:val="clear" w:color="auto" w:fill="auto"/>
            <w:vAlign w:val="center"/>
          </w:tcPr>
          <w:p w14:paraId="67BB7E80">
            <w:pPr>
              <w:jc w:val="center"/>
              <w:textAlignment w:val="center"/>
              <w:rPr>
                <w:rFonts w:ascii="宋体" w:hAnsi="宋体" w:eastAsia="宋体" w:cs="Times New Roman"/>
                <w:color w:val="auto"/>
              </w:rPr>
            </w:pPr>
            <w:r>
              <w:rPr>
                <w:rFonts w:hint="eastAsia" w:ascii="宋体" w:hAnsi="宋体" w:eastAsia="宋体" w:cs="Times New Roman"/>
                <w:color w:val="auto"/>
              </w:rPr>
              <w:t>上游</w:t>
            </w:r>
          </w:p>
        </w:tc>
        <w:tc>
          <w:tcPr>
            <w:tcW w:w="594" w:type="pct"/>
            <w:vMerge w:val="restart"/>
            <w:shd w:val="clear" w:color="auto" w:fill="auto"/>
            <w:vAlign w:val="center"/>
          </w:tcPr>
          <w:p w14:paraId="1EF0DB74">
            <w:pPr>
              <w:jc w:val="center"/>
              <w:textAlignment w:val="center"/>
              <w:rPr>
                <w:rFonts w:ascii="宋体" w:hAnsi="宋体" w:eastAsia="宋体" w:cs="Times New Roman"/>
                <w:color w:val="auto"/>
              </w:rPr>
            </w:pPr>
            <w:r>
              <w:rPr>
                <w:rFonts w:ascii="宋体" w:hAnsi="宋体" w:eastAsia="宋体" w:cs="Times New Roman"/>
                <w:color w:val="auto"/>
              </w:rPr>
              <w:t>pH值、耗氧量、石油类、硫化物、挥发性酚类、氨氮、溶解性总固体、总硬度</w:t>
            </w:r>
          </w:p>
        </w:tc>
        <w:tc>
          <w:tcPr>
            <w:tcW w:w="956" w:type="pct"/>
            <w:shd w:val="clear" w:color="auto" w:fill="auto"/>
            <w:vAlign w:val="center"/>
          </w:tcPr>
          <w:p w14:paraId="191FBAA6">
            <w:pPr>
              <w:jc w:val="center"/>
              <w:textAlignment w:val="center"/>
              <w:rPr>
                <w:rFonts w:ascii="宋体" w:hAnsi="宋体" w:eastAsia="宋体" w:cs="Times New Roman"/>
                <w:color w:val="auto"/>
              </w:rPr>
            </w:pPr>
            <w:r>
              <w:rPr>
                <w:rFonts w:ascii="宋体" w:hAnsi="宋体" w:eastAsia="宋体" w:cs="Times New Roman"/>
                <w:color w:val="auto"/>
              </w:rPr>
              <w:t>1次/天（应急期间），以平行双样数据为准</w:t>
            </w:r>
          </w:p>
        </w:tc>
        <w:tc>
          <w:tcPr>
            <w:tcW w:w="1282" w:type="pct"/>
            <w:vMerge w:val="restart"/>
            <w:shd w:val="clear" w:color="auto" w:fill="auto"/>
            <w:vAlign w:val="center"/>
          </w:tcPr>
          <w:p w14:paraId="71482D0C">
            <w:pPr>
              <w:jc w:val="center"/>
              <w:textAlignment w:val="center"/>
              <w:rPr>
                <w:rFonts w:ascii="宋体" w:hAnsi="宋体" w:eastAsia="宋体" w:cs="Times New Roman"/>
                <w:color w:val="auto"/>
              </w:rPr>
            </w:pPr>
            <w:r>
              <w:rPr>
                <w:rFonts w:hint="eastAsia" w:ascii="宋体" w:hAnsi="宋体" w:eastAsia="宋体" w:cs="Times New Roman"/>
                <w:color w:val="auto"/>
              </w:rPr>
              <w:t>石油类参照执行《地表水环境质量标准》（GB 3838-2002），其他指标执行《地下水质量标准》（GB/T 14848-2017）</w:t>
            </w:r>
          </w:p>
        </w:tc>
        <w:tc>
          <w:tcPr>
            <w:tcW w:w="437" w:type="pct"/>
            <w:vMerge w:val="continue"/>
            <w:shd w:val="clear" w:color="auto" w:fill="auto"/>
            <w:vAlign w:val="center"/>
          </w:tcPr>
          <w:p w14:paraId="78F50EC8">
            <w:pPr>
              <w:jc w:val="center"/>
              <w:textAlignment w:val="center"/>
              <w:rPr>
                <w:rFonts w:ascii="宋体" w:hAnsi="宋体" w:eastAsia="宋体" w:cs="Times New Roman"/>
                <w:color w:val="auto"/>
              </w:rPr>
            </w:pPr>
          </w:p>
        </w:tc>
      </w:tr>
      <w:tr w14:paraId="7B0B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continue"/>
            <w:shd w:val="clear" w:color="auto" w:fill="auto"/>
            <w:vAlign w:val="center"/>
          </w:tcPr>
          <w:p w14:paraId="2DDF7C1F">
            <w:pPr>
              <w:jc w:val="center"/>
              <w:textAlignment w:val="center"/>
              <w:rPr>
                <w:rFonts w:ascii="宋体" w:hAnsi="宋体" w:eastAsia="宋体" w:cs="Times New Roman"/>
                <w:color w:val="auto"/>
              </w:rPr>
            </w:pPr>
          </w:p>
        </w:tc>
        <w:tc>
          <w:tcPr>
            <w:tcW w:w="277" w:type="pct"/>
            <w:vMerge w:val="continue"/>
            <w:shd w:val="clear" w:color="auto" w:fill="auto"/>
            <w:vAlign w:val="center"/>
          </w:tcPr>
          <w:p w14:paraId="71A9839B">
            <w:pPr>
              <w:jc w:val="center"/>
              <w:textAlignment w:val="center"/>
              <w:rPr>
                <w:rFonts w:ascii="宋体" w:hAnsi="宋体" w:eastAsia="宋体" w:cs="Times New Roman"/>
                <w:color w:val="auto"/>
              </w:rPr>
            </w:pPr>
          </w:p>
        </w:tc>
        <w:tc>
          <w:tcPr>
            <w:tcW w:w="411" w:type="pct"/>
            <w:shd w:val="clear" w:color="auto" w:fill="auto"/>
            <w:vAlign w:val="center"/>
          </w:tcPr>
          <w:p w14:paraId="0F2AC30E">
            <w:pPr>
              <w:jc w:val="center"/>
              <w:textAlignment w:val="center"/>
              <w:rPr>
                <w:rFonts w:ascii="宋体" w:hAnsi="宋体" w:eastAsia="宋体" w:cs="Times New Roman"/>
                <w:color w:val="auto"/>
              </w:rPr>
            </w:pPr>
            <w:r>
              <w:rPr>
                <w:rFonts w:hint="eastAsia" w:ascii="宋体" w:hAnsi="宋体" w:eastAsia="宋体" w:cs="Times New Roman"/>
                <w:color w:val="auto"/>
              </w:rPr>
              <w:t>控制断面</w:t>
            </w:r>
          </w:p>
        </w:tc>
        <w:tc>
          <w:tcPr>
            <w:tcW w:w="795" w:type="pct"/>
            <w:shd w:val="clear" w:color="auto" w:fill="auto"/>
            <w:vAlign w:val="center"/>
          </w:tcPr>
          <w:p w14:paraId="7689995E">
            <w:pPr>
              <w:jc w:val="center"/>
              <w:textAlignment w:val="center"/>
              <w:rPr>
                <w:rFonts w:ascii="宋体" w:hAnsi="宋体" w:eastAsia="宋体" w:cs="Times New Roman"/>
                <w:color w:val="auto"/>
              </w:rPr>
            </w:pPr>
            <w:r>
              <w:rPr>
                <w:rFonts w:hint="eastAsia" w:ascii="宋体" w:hAnsi="宋体" w:eastAsia="宋体" w:cs="Times New Roman"/>
                <w:color w:val="auto"/>
              </w:rPr>
              <w:t>沿线水井</w:t>
            </w:r>
          </w:p>
        </w:tc>
        <w:tc>
          <w:tcPr>
            <w:tcW w:w="594" w:type="pct"/>
            <w:vMerge w:val="continue"/>
            <w:shd w:val="clear" w:color="auto" w:fill="auto"/>
            <w:vAlign w:val="center"/>
          </w:tcPr>
          <w:p w14:paraId="17CDAE93">
            <w:pPr>
              <w:jc w:val="center"/>
              <w:textAlignment w:val="center"/>
              <w:rPr>
                <w:rFonts w:ascii="宋体" w:hAnsi="宋体" w:eastAsia="宋体" w:cs="Times New Roman"/>
                <w:color w:val="auto"/>
              </w:rPr>
            </w:pPr>
          </w:p>
        </w:tc>
        <w:tc>
          <w:tcPr>
            <w:tcW w:w="956" w:type="pct"/>
            <w:shd w:val="clear" w:color="auto" w:fill="auto"/>
            <w:vAlign w:val="center"/>
          </w:tcPr>
          <w:p w14:paraId="48AF07F5">
            <w:pPr>
              <w:jc w:val="center"/>
              <w:textAlignment w:val="center"/>
              <w:rPr>
                <w:rFonts w:ascii="宋体" w:hAnsi="宋体" w:eastAsia="宋体" w:cs="Times New Roman"/>
                <w:color w:val="auto"/>
              </w:rPr>
            </w:pPr>
            <w:r>
              <w:rPr>
                <w:rFonts w:ascii="宋体" w:hAnsi="宋体" w:eastAsia="宋体" w:cs="Times New Roman"/>
                <w:color w:val="auto"/>
              </w:rPr>
              <w:t>初始1-2次/天，第3天后1次/周直至应急结束</w:t>
            </w:r>
          </w:p>
        </w:tc>
        <w:tc>
          <w:tcPr>
            <w:tcW w:w="1282" w:type="pct"/>
            <w:vMerge w:val="continue"/>
            <w:shd w:val="clear" w:color="auto" w:fill="auto"/>
            <w:vAlign w:val="center"/>
          </w:tcPr>
          <w:p w14:paraId="7DD11193">
            <w:pPr>
              <w:jc w:val="center"/>
              <w:textAlignment w:val="center"/>
              <w:rPr>
                <w:rFonts w:ascii="宋体" w:hAnsi="宋体" w:eastAsia="宋体" w:cs="Times New Roman"/>
                <w:color w:val="auto"/>
              </w:rPr>
            </w:pPr>
          </w:p>
        </w:tc>
        <w:tc>
          <w:tcPr>
            <w:tcW w:w="437" w:type="pct"/>
            <w:vMerge w:val="continue"/>
            <w:shd w:val="clear" w:color="auto" w:fill="auto"/>
            <w:vAlign w:val="center"/>
          </w:tcPr>
          <w:p w14:paraId="589C30DB">
            <w:pPr>
              <w:jc w:val="center"/>
              <w:textAlignment w:val="center"/>
              <w:rPr>
                <w:rFonts w:ascii="宋体" w:hAnsi="宋体" w:eastAsia="宋体" w:cs="Times New Roman"/>
                <w:color w:val="auto"/>
              </w:rPr>
            </w:pPr>
          </w:p>
        </w:tc>
      </w:tr>
      <w:tr w14:paraId="07D6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continue"/>
            <w:shd w:val="clear" w:color="auto" w:fill="auto"/>
            <w:vAlign w:val="center"/>
          </w:tcPr>
          <w:p w14:paraId="78377AE8">
            <w:pPr>
              <w:jc w:val="center"/>
              <w:textAlignment w:val="center"/>
              <w:rPr>
                <w:rFonts w:ascii="宋体" w:hAnsi="宋体" w:eastAsia="宋体" w:cs="Times New Roman"/>
                <w:color w:val="auto"/>
              </w:rPr>
            </w:pPr>
          </w:p>
        </w:tc>
        <w:tc>
          <w:tcPr>
            <w:tcW w:w="277" w:type="pct"/>
            <w:vMerge w:val="continue"/>
            <w:shd w:val="clear" w:color="auto" w:fill="auto"/>
            <w:vAlign w:val="center"/>
          </w:tcPr>
          <w:p w14:paraId="03731A62">
            <w:pPr>
              <w:jc w:val="center"/>
              <w:textAlignment w:val="center"/>
              <w:rPr>
                <w:rFonts w:ascii="宋体" w:hAnsi="宋体" w:eastAsia="宋体" w:cs="Times New Roman"/>
                <w:color w:val="auto"/>
              </w:rPr>
            </w:pPr>
          </w:p>
        </w:tc>
        <w:tc>
          <w:tcPr>
            <w:tcW w:w="411" w:type="pct"/>
            <w:shd w:val="clear" w:color="auto" w:fill="auto"/>
            <w:vAlign w:val="center"/>
          </w:tcPr>
          <w:p w14:paraId="71C7DE11">
            <w:pPr>
              <w:jc w:val="center"/>
              <w:textAlignment w:val="center"/>
              <w:rPr>
                <w:rFonts w:ascii="宋体" w:hAnsi="宋体" w:eastAsia="宋体" w:cs="Times New Roman"/>
                <w:color w:val="auto"/>
              </w:rPr>
            </w:pPr>
            <w:r>
              <w:rPr>
                <w:rFonts w:hint="eastAsia" w:ascii="宋体" w:hAnsi="宋体" w:eastAsia="宋体" w:cs="Times New Roman"/>
                <w:color w:val="auto"/>
              </w:rPr>
              <w:t>削减断面</w:t>
            </w:r>
          </w:p>
        </w:tc>
        <w:tc>
          <w:tcPr>
            <w:tcW w:w="795" w:type="pct"/>
            <w:shd w:val="clear" w:color="auto" w:fill="auto"/>
            <w:vAlign w:val="center"/>
          </w:tcPr>
          <w:p w14:paraId="1B9F226C">
            <w:pPr>
              <w:jc w:val="center"/>
              <w:textAlignment w:val="center"/>
              <w:rPr>
                <w:rFonts w:ascii="宋体" w:hAnsi="宋体" w:eastAsia="宋体" w:cs="Times New Roman"/>
                <w:color w:val="auto"/>
              </w:rPr>
            </w:pPr>
            <w:r>
              <w:rPr>
                <w:rFonts w:hint="eastAsia" w:ascii="宋体" w:hAnsi="宋体" w:eastAsia="宋体" w:cs="Times New Roman"/>
                <w:color w:val="auto"/>
              </w:rPr>
              <w:t>下游水井</w:t>
            </w:r>
          </w:p>
        </w:tc>
        <w:tc>
          <w:tcPr>
            <w:tcW w:w="594" w:type="pct"/>
            <w:vMerge w:val="continue"/>
            <w:shd w:val="clear" w:color="auto" w:fill="auto"/>
            <w:vAlign w:val="center"/>
          </w:tcPr>
          <w:p w14:paraId="42F8409B">
            <w:pPr>
              <w:jc w:val="center"/>
              <w:textAlignment w:val="center"/>
              <w:rPr>
                <w:rFonts w:ascii="宋体" w:hAnsi="宋体" w:eastAsia="宋体" w:cs="Times New Roman"/>
                <w:color w:val="auto"/>
              </w:rPr>
            </w:pPr>
          </w:p>
        </w:tc>
        <w:tc>
          <w:tcPr>
            <w:tcW w:w="956" w:type="pct"/>
            <w:shd w:val="clear" w:color="auto" w:fill="auto"/>
            <w:vAlign w:val="center"/>
          </w:tcPr>
          <w:p w14:paraId="48D35D10">
            <w:pPr>
              <w:jc w:val="center"/>
              <w:textAlignment w:val="center"/>
              <w:rPr>
                <w:rFonts w:ascii="宋体" w:hAnsi="宋体" w:eastAsia="宋体" w:cs="Times New Roman"/>
                <w:color w:val="auto"/>
              </w:rPr>
            </w:pPr>
            <w:r>
              <w:rPr>
                <w:rFonts w:ascii="宋体" w:hAnsi="宋体" w:eastAsia="宋体" w:cs="Times New Roman"/>
                <w:color w:val="auto"/>
              </w:rPr>
              <w:t>初始1-2次/天，第3天后1次/周直至应急结束</w:t>
            </w:r>
          </w:p>
        </w:tc>
        <w:tc>
          <w:tcPr>
            <w:tcW w:w="1282" w:type="pct"/>
            <w:vMerge w:val="continue"/>
            <w:shd w:val="clear" w:color="auto" w:fill="auto"/>
            <w:vAlign w:val="center"/>
          </w:tcPr>
          <w:p w14:paraId="6FA61816">
            <w:pPr>
              <w:jc w:val="center"/>
              <w:textAlignment w:val="center"/>
              <w:rPr>
                <w:rFonts w:ascii="宋体" w:hAnsi="宋体" w:eastAsia="宋体" w:cs="Times New Roman"/>
                <w:color w:val="auto"/>
              </w:rPr>
            </w:pPr>
          </w:p>
        </w:tc>
        <w:tc>
          <w:tcPr>
            <w:tcW w:w="437" w:type="pct"/>
            <w:vMerge w:val="continue"/>
            <w:shd w:val="clear" w:color="auto" w:fill="auto"/>
            <w:vAlign w:val="center"/>
          </w:tcPr>
          <w:p w14:paraId="51F6E5B3">
            <w:pPr>
              <w:jc w:val="center"/>
              <w:textAlignment w:val="center"/>
              <w:rPr>
                <w:rFonts w:ascii="宋体" w:hAnsi="宋体" w:eastAsia="宋体" w:cs="Times New Roman"/>
                <w:color w:val="auto"/>
              </w:rPr>
            </w:pPr>
          </w:p>
        </w:tc>
      </w:tr>
      <w:tr w14:paraId="6FBC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continue"/>
            <w:shd w:val="clear" w:color="auto" w:fill="auto"/>
            <w:vAlign w:val="center"/>
          </w:tcPr>
          <w:p w14:paraId="583B68A1">
            <w:pPr>
              <w:jc w:val="center"/>
              <w:textAlignment w:val="center"/>
              <w:rPr>
                <w:rFonts w:ascii="宋体" w:hAnsi="宋体" w:eastAsia="宋体" w:cs="Times New Roman"/>
                <w:color w:val="auto"/>
              </w:rPr>
            </w:pPr>
          </w:p>
        </w:tc>
        <w:tc>
          <w:tcPr>
            <w:tcW w:w="277" w:type="pct"/>
            <w:vMerge w:val="restart"/>
            <w:shd w:val="clear" w:color="auto" w:fill="auto"/>
            <w:vAlign w:val="center"/>
          </w:tcPr>
          <w:p w14:paraId="7A29DE0C">
            <w:pPr>
              <w:jc w:val="center"/>
              <w:textAlignment w:val="center"/>
              <w:rPr>
                <w:rFonts w:ascii="宋体" w:hAnsi="宋体" w:eastAsia="宋体" w:cs="Times New Roman"/>
                <w:color w:val="auto"/>
              </w:rPr>
            </w:pPr>
            <w:r>
              <w:rPr>
                <w:rFonts w:hint="eastAsia" w:ascii="宋体" w:hAnsi="宋体" w:eastAsia="宋体" w:cs="Times New Roman"/>
                <w:color w:val="auto"/>
              </w:rPr>
              <w:t>土壤环境</w:t>
            </w:r>
          </w:p>
        </w:tc>
        <w:tc>
          <w:tcPr>
            <w:tcW w:w="411" w:type="pct"/>
            <w:shd w:val="clear" w:color="auto" w:fill="auto"/>
            <w:vAlign w:val="center"/>
          </w:tcPr>
          <w:p w14:paraId="33387257">
            <w:pPr>
              <w:jc w:val="center"/>
              <w:textAlignment w:val="center"/>
              <w:rPr>
                <w:rFonts w:ascii="宋体" w:hAnsi="宋体" w:eastAsia="宋体" w:cs="Times New Roman"/>
                <w:color w:val="auto"/>
              </w:rPr>
            </w:pPr>
            <w:r>
              <w:rPr>
                <w:rFonts w:hint="eastAsia" w:ascii="宋体" w:hAnsi="宋体" w:eastAsia="宋体" w:cs="Times New Roman"/>
                <w:color w:val="auto"/>
              </w:rPr>
              <w:t>对照断面</w:t>
            </w:r>
          </w:p>
        </w:tc>
        <w:tc>
          <w:tcPr>
            <w:tcW w:w="795" w:type="pct"/>
            <w:shd w:val="clear" w:color="auto" w:fill="auto"/>
            <w:vAlign w:val="center"/>
          </w:tcPr>
          <w:p w14:paraId="17873060">
            <w:pPr>
              <w:jc w:val="center"/>
              <w:textAlignment w:val="center"/>
              <w:rPr>
                <w:rFonts w:ascii="宋体" w:hAnsi="宋体" w:eastAsia="宋体" w:cs="Times New Roman"/>
                <w:color w:val="auto"/>
              </w:rPr>
            </w:pPr>
            <w:r>
              <w:rPr>
                <w:rFonts w:hint="eastAsia" w:ascii="宋体" w:hAnsi="宋体" w:eastAsia="宋体" w:cs="Times New Roman"/>
                <w:color w:val="auto"/>
              </w:rPr>
              <w:t>污染区附近农田处土壤</w:t>
            </w:r>
          </w:p>
        </w:tc>
        <w:tc>
          <w:tcPr>
            <w:tcW w:w="594" w:type="pct"/>
            <w:shd w:val="clear" w:color="auto" w:fill="auto"/>
            <w:vAlign w:val="center"/>
          </w:tcPr>
          <w:p w14:paraId="38579244">
            <w:pPr>
              <w:jc w:val="center"/>
              <w:textAlignment w:val="center"/>
              <w:rPr>
                <w:rFonts w:ascii="宋体" w:hAnsi="宋体" w:eastAsia="宋体" w:cs="Times New Roman"/>
                <w:color w:val="auto"/>
              </w:rPr>
            </w:pPr>
            <w:r>
              <w:rPr>
                <w:rFonts w:hint="eastAsia" w:ascii="宋体" w:hAnsi="宋体" w:eastAsia="宋体" w:cs="Times New Roman"/>
                <w:color w:val="auto"/>
              </w:rPr>
              <w:t>石油烃类</w:t>
            </w:r>
          </w:p>
        </w:tc>
        <w:tc>
          <w:tcPr>
            <w:tcW w:w="956" w:type="pct"/>
            <w:shd w:val="clear" w:color="auto" w:fill="auto"/>
            <w:vAlign w:val="center"/>
          </w:tcPr>
          <w:p w14:paraId="129307CF">
            <w:pPr>
              <w:jc w:val="center"/>
              <w:textAlignment w:val="center"/>
              <w:rPr>
                <w:rFonts w:ascii="宋体" w:hAnsi="宋体" w:eastAsia="宋体" w:cs="Times New Roman"/>
                <w:color w:val="auto"/>
              </w:rPr>
            </w:pPr>
            <w:r>
              <w:rPr>
                <w:rFonts w:hint="eastAsia" w:ascii="宋体" w:hAnsi="宋体" w:eastAsia="宋体" w:cs="Times New Roman"/>
                <w:color w:val="auto"/>
              </w:rPr>
              <w:t>1次/天（应急期间），以平行双样数据为准</w:t>
            </w:r>
          </w:p>
        </w:tc>
        <w:tc>
          <w:tcPr>
            <w:tcW w:w="1282" w:type="pct"/>
            <w:vMerge w:val="restart"/>
            <w:shd w:val="clear" w:color="auto" w:fill="auto"/>
            <w:vAlign w:val="center"/>
          </w:tcPr>
          <w:p w14:paraId="2D9F4028">
            <w:pPr>
              <w:jc w:val="center"/>
              <w:textAlignment w:val="center"/>
              <w:rPr>
                <w:rFonts w:ascii="宋体" w:hAnsi="宋体" w:eastAsia="宋体" w:cs="Times New Roman"/>
                <w:color w:val="auto"/>
              </w:rPr>
            </w:pPr>
            <w:r>
              <w:rPr>
                <w:rFonts w:hint="eastAsia" w:ascii="宋体" w:hAnsi="宋体" w:eastAsia="宋体" w:cs="Times New Roman"/>
                <w:color w:val="auto"/>
              </w:rPr>
              <w:t>石油烃（C</w:t>
            </w:r>
            <w:r>
              <w:rPr>
                <w:rFonts w:hint="eastAsia" w:ascii="宋体" w:hAnsi="宋体" w:eastAsia="宋体" w:cs="Times New Roman"/>
                <w:color w:val="auto"/>
                <w:vertAlign w:val="subscript"/>
              </w:rPr>
              <w:t>10</w:t>
            </w:r>
            <w:r>
              <w:rPr>
                <w:rFonts w:hint="eastAsia" w:ascii="宋体" w:hAnsi="宋体" w:eastAsia="宋体" w:cs="Times New Roman"/>
                <w:color w:val="auto"/>
              </w:rPr>
              <w:t>-C</w:t>
            </w:r>
            <w:r>
              <w:rPr>
                <w:rFonts w:hint="eastAsia" w:ascii="宋体" w:hAnsi="宋体" w:eastAsia="宋体" w:cs="Times New Roman"/>
                <w:color w:val="auto"/>
                <w:vertAlign w:val="subscript"/>
              </w:rPr>
              <w:t>40</w:t>
            </w:r>
            <w:r>
              <w:rPr>
                <w:rFonts w:hint="eastAsia" w:ascii="宋体" w:hAnsi="宋体" w:eastAsia="宋体" w:cs="Times New Roman"/>
                <w:color w:val="auto"/>
              </w:rPr>
              <w:t>）执行《土壤环境质量 建设用地土壤污染风险管控标准（试行）》（GB 36600-2018）中～筛选值要求；</w:t>
            </w:r>
          </w:p>
          <w:p w14:paraId="516CFB99">
            <w:pPr>
              <w:jc w:val="center"/>
              <w:textAlignment w:val="center"/>
              <w:rPr>
                <w:rFonts w:ascii="宋体" w:hAnsi="宋体" w:eastAsia="宋体" w:cs="Times New Roman"/>
                <w:color w:val="auto"/>
              </w:rPr>
            </w:pPr>
            <w:r>
              <w:rPr>
                <w:rFonts w:hint="eastAsia" w:ascii="宋体" w:hAnsi="宋体" w:eastAsia="宋体" w:cs="Times New Roman"/>
                <w:color w:val="auto"/>
              </w:rPr>
              <w:t>农用地参考《土壤环境质量 建设用地土壤污染风险管控标准（试行）》（GB 36600-2018）中筛选值要求</w:t>
            </w:r>
          </w:p>
        </w:tc>
        <w:tc>
          <w:tcPr>
            <w:tcW w:w="437" w:type="pct"/>
            <w:vMerge w:val="continue"/>
            <w:shd w:val="clear" w:color="auto" w:fill="auto"/>
            <w:vAlign w:val="center"/>
          </w:tcPr>
          <w:p w14:paraId="5CFCF7D8">
            <w:pPr>
              <w:jc w:val="center"/>
              <w:textAlignment w:val="center"/>
              <w:rPr>
                <w:rFonts w:ascii="宋体" w:hAnsi="宋体" w:eastAsia="宋体" w:cs="Times New Roman"/>
                <w:color w:val="auto"/>
              </w:rPr>
            </w:pPr>
          </w:p>
        </w:tc>
      </w:tr>
      <w:tr w14:paraId="2DA3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8" w:type="pct"/>
            <w:vMerge w:val="continue"/>
            <w:shd w:val="clear" w:color="auto" w:fill="auto"/>
            <w:vAlign w:val="center"/>
          </w:tcPr>
          <w:p w14:paraId="402D9F98">
            <w:pPr>
              <w:jc w:val="center"/>
              <w:textAlignment w:val="center"/>
              <w:rPr>
                <w:rFonts w:ascii="宋体" w:hAnsi="宋体" w:eastAsia="宋体" w:cs="Times New Roman"/>
                <w:color w:val="auto"/>
              </w:rPr>
            </w:pPr>
          </w:p>
        </w:tc>
        <w:tc>
          <w:tcPr>
            <w:tcW w:w="277" w:type="pct"/>
            <w:vMerge w:val="continue"/>
            <w:shd w:val="clear" w:color="auto" w:fill="auto"/>
            <w:vAlign w:val="center"/>
          </w:tcPr>
          <w:p w14:paraId="31505F90">
            <w:pPr>
              <w:jc w:val="center"/>
              <w:textAlignment w:val="center"/>
              <w:rPr>
                <w:rFonts w:ascii="宋体" w:hAnsi="宋体" w:eastAsia="宋体" w:cs="Times New Roman"/>
                <w:color w:val="auto"/>
              </w:rPr>
            </w:pPr>
          </w:p>
        </w:tc>
        <w:tc>
          <w:tcPr>
            <w:tcW w:w="411" w:type="pct"/>
            <w:shd w:val="clear" w:color="auto" w:fill="auto"/>
            <w:vAlign w:val="center"/>
          </w:tcPr>
          <w:p w14:paraId="736EECE1">
            <w:pPr>
              <w:jc w:val="center"/>
              <w:textAlignment w:val="center"/>
              <w:rPr>
                <w:rFonts w:ascii="宋体" w:hAnsi="宋体" w:eastAsia="宋体" w:cs="Times New Roman"/>
                <w:color w:val="auto"/>
              </w:rPr>
            </w:pPr>
            <w:r>
              <w:rPr>
                <w:rFonts w:hint="eastAsia" w:ascii="宋体" w:hAnsi="宋体" w:eastAsia="宋体" w:cs="Times New Roman"/>
                <w:color w:val="auto"/>
              </w:rPr>
              <w:t>控制断面</w:t>
            </w:r>
          </w:p>
        </w:tc>
        <w:tc>
          <w:tcPr>
            <w:tcW w:w="795" w:type="pct"/>
            <w:shd w:val="clear" w:color="auto" w:fill="auto"/>
            <w:vAlign w:val="center"/>
          </w:tcPr>
          <w:p w14:paraId="01825E37">
            <w:pPr>
              <w:jc w:val="center"/>
              <w:textAlignment w:val="center"/>
              <w:rPr>
                <w:rFonts w:ascii="宋体" w:hAnsi="宋体" w:eastAsia="宋体" w:cs="Times New Roman"/>
                <w:color w:val="auto"/>
              </w:rPr>
            </w:pPr>
            <w:r>
              <w:rPr>
                <w:rFonts w:hint="eastAsia" w:ascii="宋体" w:hAnsi="宋体" w:eastAsia="宋体" w:cs="Times New Roman"/>
                <w:color w:val="auto"/>
              </w:rPr>
              <w:t>受污染处土壤</w:t>
            </w:r>
          </w:p>
        </w:tc>
        <w:tc>
          <w:tcPr>
            <w:tcW w:w="594" w:type="pct"/>
            <w:shd w:val="clear" w:color="auto" w:fill="auto"/>
            <w:vAlign w:val="center"/>
          </w:tcPr>
          <w:p w14:paraId="01651BCE">
            <w:pPr>
              <w:jc w:val="center"/>
              <w:textAlignment w:val="center"/>
              <w:rPr>
                <w:rFonts w:ascii="宋体" w:hAnsi="宋体" w:eastAsia="宋体" w:cs="Times New Roman"/>
                <w:color w:val="auto"/>
              </w:rPr>
            </w:pPr>
            <w:r>
              <w:rPr>
                <w:rFonts w:hint="eastAsia" w:ascii="宋体" w:hAnsi="宋体" w:eastAsia="宋体" w:cs="Times New Roman"/>
                <w:color w:val="auto"/>
              </w:rPr>
              <w:t>石油烃类</w:t>
            </w:r>
          </w:p>
        </w:tc>
        <w:tc>
          <w:tcPr>
            <w:tcW w:w="956" w:type="pct"/>
            <w:shd w:val="clear" w:color="auto" w:fill="auto"/>
            <w:vAlign w:val="center"/>
          </w:tcPr>
          <w:p w14:paraId="1EE86DAE">
            <w:pPr>
              <w:jc w:val="center"/>
              <w:textAlignment w:val="center"/>
              <w:rPr>
                <w:rFonts w:ascii="宋体" w:hAnsi="宋体" w:eastAsia="宋体" w:cs="Times New Roman"/>
                <w:color w:val="auto"/>
              </w:rPr>
            </w:pPr>
            <w:r>
              <w:rPr>
                <w:rFonts w:ascii="宋体" w:hAnsi="宋体" w:eastAsia="宋体" w:cs="Times New Roman"/>
                <w:color w:val="auto"/>
              </w:rPr>
              <w:t>初始1-2次/天（应急期间），视处置情况逐渐降低频次</w:t>
            </w:r>
          </w:p>
        </w:tc>
        <w:tc>
          <w:tcPr>
            <w:tcW w:w="1282" w:type="pct"/>
            <w:vMerge w:val="continue"/>
            <w:shd w:val="clear" w:color="auto" w:fill="auto"/>
            <w:vAlign w:val="center"/>
          </w:tcPr>
          <w:p w14:paraId="55C461E5">
            <w:pPr>
              <w:jc w:val="center"/>
              <w:textAlignment w:val="center"/>
              <w:rPr>
                <w:rFonts w:ascii="宋体" w:hAnsi="宋体" w:eastAsia="宋体" w:cs="Times New Roman"/>
                <w:color w:val="auto"/>
              </w:rPr>
            </w:pPr>
          </w:p>
        </w:tc>
        <w:tc>
          <w:tcPr>
            <w:tcW w:w="437" w:type="pct"/>
            <w:vMerge w:val="continue"/>
            <w:shd w:val="clear" w:color="auto" w:fill="auto"/>
            <w:vAlign w:val="center"/>
          </w:tcPr>
          <w:p w14:paraId="69EC69CA">
            <w:pPr>
              <w:jc w:val="center"/>
              <w:textAlignment w:val="center"/>
              <w:rPr>
                <w:rFonts w:ascii="宋体" w:hAnsi="宋体" w:eastAsia="宋体" w:cs="Times New Roman"/>
                <w:color w:val="auto"/>
              </w:rPr>
            </w:pPr>
          </w:p>
        </w:tc>
      </w:tr>
    </w:tbl>
    <w:p w14:paraId="6EB04B85">
      <w:pPr>
        <w:adjustRightInd w:val="0"/>
        <w:snapToGrid w:val="0"/>
        <w:ind w:firstLine="360" w:firstLineChars="200"/>
        <w:rPr>
          <w:rFonts w:ascii="宋体" w:hAnsi="宋体" w:eastAsia="宋体" w:cs="Times New Roman"/>
          <w:color w:val="auto"/>
          <w:sz w:val="18"/>
          <w:szCs w:val="18"/>
        </w:rPr>
      </w:pPr>
      <w:r>
        <w:rPr>
          <w:rFonts w:hint="eastAsia" w:ascii="宋体" w:hAnsi="宋体" w:eastAsia="宋体" w:cs="Times New Roman"/>
          <w:color w:val="auto"/>
          <w:sz w:val="18"/>
          <w:szCs w:val="18"/>
        </w:rPr>
        <w:t>注：监测频次主要根据现场污染状况确定。事件刚发生时，监测频次可适当增加，待摸清污染变化规律后，可适当减少监测频次。</w:t>
      </w:r>
    </w:p>
    <w:p w14:paraId="7C4E1577">
      <w:pPr>
        <w:pStyle w:val="6"/>
        <w:rPr>
          <w:color w:val="auto"/>
        </w:rPr>
      </w:pPr>
      <w:r>
        <w:rPr>
          <w:color w:val="auto"/>
        </w:rPr>
        <w:t>环境风险评价结论</w:t>
      </w:r>
      <w:bookmarkEnd w:id="1537"/>
      <w:bookmarkEnd w:id="1538"/>
      <w:bookmarkEnd w:id="1539"/>
      <w:bookmarkEnd w:id="1540"/>
      <w:bookmarkEnd w:id="1541"/>
      <w:bookmarkEnd w:id="1542"/>
      <w:bookmarkEnd w:id="1543"/>
      <w:bookmarkEnd w:id="1544"/>
      <w:bookmarkEnd w:id="1545"/>
      <w:bookmarkEnd w:id="1546"/>
      <w:bookmarkEnd w:id="1547"/>
    </w:p>
    <w:p w14:paraId="5A9A62A7">
      <w:pPr>
        <w:spacing w:line="440" w:lineRule="exact"/>
        <w:ind w:firstLine="480" w:firstLineChars="200"/>
        <w:rPr>
          <w:rFonts w:ascii="宋体" w:hAnsi="宋体" w:eastAsia="宋体"/>
          <w:color w:val="auto"/>
          <w:sz w:val="24"/>
        </w:rPr>
      </w:pPr>
      <w:r>
        <w:rPr>
          <w:rFonts w:ascii="宋体" w:hAnsi="宋体" w:eastAsia="宋体"/>
          <w:color w:val="auto"/>
          <w:sz w:val="24"/>
        </w:rPr>
        <w:t>通过对本项目产能建设工程的环境风险分析可知，本项目的主要环境风险是泄漏、火灾和爆炸，对区域内的地下水环境、地表水环境、土壤环境和空气环境有潜在危害性。在工程采取一系列风险防范措施、应急措施和建立环境风险防控体系后，火灾爆炸等事故影响可控，可以降低事故的发生率和事故情况下对周围环境的影响。但建设单位应加强员工的环保教育和培训，完善项目的事故应急预案，增加事故应急监测及事故评估等规定内容并定期演习，避免重大污染事故的发生。</w:t>
      </w:r>
    </w:p>
    <w:p w14:paraId="6FC77436">
      <w:pPr>
        <w:pStyle w:val="276"/>
        <w:widowControl w:val="0"/>
        <w:spacing w:line="440" w:lineRule="exact"/>
        <w:ind w:firstLine="0" w:firstLineChars="0"/>
        <w:jc w:val="center"/>
        <w:rPr>
          <w:color w:val="auto"/>
        </w:rPr>
      </w:pPr>
      <w:r>
        <w:rPr>
          <w:color w:val="auto"/>
        </w:rPr>
        <w:t>表5.8-8 建设项目环境风险简单分析内容表</w:t>
      </w:r>
    </w:p>
    <w:tbl>
      <w:tblPr>
        <w:tblStyle w:val="8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777"/>
        <w:gridCol w:w="1053"/>
        <w:gridCol w:w="2444"/>
        <w:gridCol w:w="1201"/>
        <w:gridCol w:w="1435"/>
        <w:gridCol w:w="1151"/>
      </w:tblGrid>
      <w:tr w14:paraId="58E99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777" w:type="dxa"/>
            <w:vAlign w:val="center"/>
          </w:tcPr>
          <w:p w14:paraId="51C229C3">
            <w:pPr>
              <w:kinsoku w:val="0"/>
              <w:overflowPunct w:val="0"/>
              <w:spacing w:line="360" w:lineRule="exact"/>
              <w:jc w:val="center"/>
              <w:rPr>
                <w:rFonts w:ascii="宋体" w:hAnsi="宋体" w:cs="Times New Roman"/>
                <w:color w:val="auto"/>
              </w:rPr>
            </w:pPr>
            <w:r>
              <w:rPr>
                <w:rFonts w:ascii="宋体" w:hAnsi="宋体" w:cs="Times New Roman"/>
                <w:color w:val="auto"/>
              </w:rPr>
              <w:t>建设项目名称</w:t>
            </w:r>
          </w:p>
        </w:tc>
        <w:tc>
          <w:tcPr>
            <w:tcW w:w="7284" w:type="dxa"/>
            <w:gridSpan w:val="5"/>
            <w:vAlign w:val="center"/>
          </w:tcPr>
          <w:p w14:paraId="20C8F848">
            <w:pPr>
              <w:spacing w:line="360" w:lineRule="exact"/>
              <w:jc w:val="center"/>
              <w:rPr>
                <w:rFonts w:ascii="宋体" w:hAnsi="宋体" w:eastAsia="宋体" w:cs="Times New Roman"/>
                <w:color w:val="auto"/>
              </w:rPr>
            </w:pPr>
            <w:r>
              <w:rPr>
                <w:rFonts w:ascii="宋体" w:hAnsi="宋体" w:eastAsia="宋体" w:cs="Times New Roman"/>
                <w:color w:val="auto"/>
              </w:rPr>
              <w:t>肇源油田源212区块扶余油层水平井提产试验产能建设地面工程项目</w:t>
            </w:r>
          </w:p>
        </w:tc>
      </w:tr>
      <w:tr w14:paraId="0DCE8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777" w:type="dxa"/>
            <w:vAlign w:val="center"/>
          </w:tcPr>
          <w:p w14:paraId="157FC99F">
            <w:pPr>
              <w:kinsoku w:val="0"/>
              <w:overflowPunct w:val="0"/>
              <w:spacing w:line="360" w:lineRule="exact"/>
              <w:jc w:val="center"/>
              <w:rPr>
                <w:rFonts w:ascii="宋体" w:hAnsi="宋体" w:cs="Times New Roman"/>
                <w:color w:val="auto"/>
              </w:rPr>
            </w:pPr>
            <w:r>
              <w:rPr>
                <w:rFonts w:ascii="宋体" w:hAnsi="宋体" w:cs="Times New Roman"/>
                <w:color w:val="auto"/>
              </w:rPr>
              <w:t>建设地点</w:t>
            </w:r>
          </w:p>
        </w:tc>
        <w:tc>
          <w:tcPr>
            <w:tcW w:w="1053" w:type="dxa"/>
            <w:vAlign w:val="center"/>
          </w:tcPr>
          <w:p w14:paraId="6266839E">
            <w:pPr>
              <w:tabs>
                <w:tab w:val="left" w:pos="449"/>
              </w:tabs>
              <w:kinsoku w:val="0"/>
              <w:overflowPunct w:val="0"/>
              <w:spacing w:line="360" w:lineRule="exact"/>
              <w:jc w:val="center"/>
              <w:rPr>
                <w:rFonts w:ascii="宋体" w:hAnsi="宋体" w:cs="Times New Roman"/>
                <w:color w:val="auto"/>
              </w:rPr>
            </w:pPr>
            <w:r>
              <w:rPr>
                <w:rFonts w:ascii="宋体" w:hAnsi="宋体" w:cs="Times New Roman"/>
                <w:color w:val="auto"/>
              </w:rPr>
              <w:t>黑龙江省</w:t>
            </w:r>
          </w:p>
        </w:tc>
        <w:tc>
          <w:tcPr>
            <w:tcW w:w="2444" w:type="dxa"/>
            <w:vAlign w:val="center"/>
          </w:tcPr>
          <w:p w14:paraId="11D440B5">
            <w:pPr>
              <w:tabs>
                <w:tab w:val="left" w:pos="657"/>
              </w:tabs>
              <w:kinsoku w:val="0"/>
              <w:overflowPunct w:val="0"/>
              <w:spacing w:line="360" w:lineRule="exact"/>
              <w:jc w:val="center"/>
              <w:rPr>
                <w:rFonts w:ascii="宋体" w:hAnsi="宋体" w:cs="Times New Roman"/>
                <w:color w:val="auto"/>
              </w:rPr>
            </w:pPr>
            <w:r>
              <w:rPr>
                <w:rFonts w:ascii="宋体" w:hAnsi="宋体" w:cs="Times New Roman"/>
                <w:color w:val="auto"/>
              </w:rPr>
              <w:t>大庆市</w:t>
            </w:r>
          </w:p>
        </w:tc>
        <w:tc>
          <w:tcPr>
            <w:tcW w:w="1201" w:type="dxa"/>
            <w:vAlign w:val="center"/>
          </w:tcPr>
          <w:p w14:paraId="16C32058">
            <w:pPr>
              <w:tabs>
                <w:tab w:val="left" w:pos="449"/>
              </w:tabs>
              <w:kinsoku w:val="0"/>
              <w:overflowPunct w:val="0"/>
              <w:spacing w:line="360" w:lineRule="exact"/>
              <w:jc w:val="center"/>
              <w:rPr>
                <w:rFonts w:ascii="宋体" w:hAnsi="宋体" w:cs="Times New Roman"/>
                <w:color w:val="auto"/>
              </w:rPr>
            </w:pPr>
            <w:r>
              <w:rPr>
                <w:rFonts w:ascii="宋体" w:hAnsi="宋体" w:cs="Times New Roman"/>
                <w:color w:val="auto"/>
              </w:rPr>
              <w:t>肇源县</w:t>
            </w:r>
          </w:p>
        </w:tc>
        <w:tc>
          <w:tcPr>
            <w:tcW w:w="1435" w:type="dxa"/>
            <w:vAlign w:val="center"/>
          </w:tcPr>
          <w:p w14:paraId="56BC9979">
            <w:pPr>
              <w:tabs>
                <w:tab w:val="left" w:pos="632"/>
              </w:tabs>
              <w:kinsoku w:val="0"/>
              <w:overflowPunct w:val="0"/>
              <w:spacing w:line="360" w:lineRule="exact"/>
              <w:jc w:val="center"/>
              <w:rPr>
                <w:rFonts w:ascii="宋体" w:hAnsi="宋体" w:cs="Times New Roman"/>
                <w:color w:val="auto"/>
              </w:rPr>
            </w:pPr>
            <w:r>
              <w:rPr>
                <w:rFonts w:ascii="宋体" w:hAnsi="宋体" w:cs="Times New Roman"/>
                <w:color w:val="auto"/>
              </w:rPr>
              <w:t>肇源镇、和平乡</w:t>
            </w:r>
          </w:p>
        </w:tc>
        <w:tc>
          <w:tcPr>
            <w:tcW w:w="1151" w:type="dxa"/>
            <w:vAlign w:val="center"/>
          </w:tcPr>
          <w:p w14:paraId="1C589811">
            <w:pPr>
              <w:tabs>
                <w:tab w:val="left" w:pos="647"/>
              </w:tabs>
              <w:kinsoku w:val="0"/>
              <w:overflowPunct w:val="0"/>
              <w:spacing w:line="360" w:lineRule="exact"/>
              <w:rPr>
                <w:rFonts w:ascii="宋体" w:hAnsi="宋体" w:cs="Times New Roman"/>
                <w:color w:val="auto"/>
              </w:rPr>
            </w:pPr>
            <w:r>
              <w:rPr>
                <w:rFonts w:ascii="宋体" w:hAnsi="宋体" w:cs="Times New Roman"/>
                <w:color w:val="auto"/>
              </w:rPr>
              <w:t>（）园区</w:t>
            </w:r>
          </w:p>
        </w:tc>
      </w:tr>
      <w:tr w14:paraId="04D38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777" w:type="dxa"/>
            <w:vAlign w:val="center"/>
          </w:tcPr>
          <w:p w14:paraId="4726F871">
            <w:pPr>
              <w:kinsoku w:val="0"/>
              <w:overflowPunct w:val="0"/>
              <w:spacing w:line="360" w:lineRule="exact"/>
              <w:jc w:val="center"/>
              <w:rPr>
                <w:rFonts w:ascii="宋体" w:hAnsi="宋体" w:cs="Times New Roman"/>
                <w:color w:val="auto"/>
              </w:rPr>
            </w:pPr>
            <w:r>
              <w:rPr>
                <w:rFonts w:ascii="宋体" w:hAnsi="宋体" w:cs="Times New Roman"/>
                <w:color w:val="auto"/>
              </w:rPr>
              <w:t>地理坐标</w:t>
            </w:r>
          </w:p>
        </w:tc>
        <w:tc>
          <w:tcPr>
            <w:tcW w:w="1053" w:type="dxa"/>
            <w:vAlign w:val="center"/>
          </w:tcPr>
          <w:p w14:paraId="3D15D341">
            <w:pPr>
              <w:kinsoku w:val="0"/>
              <w:overflowPunct w:val="0"/>
              <w:spacing w:line="360" w:lineRule="exact"/>
              <w:jc w:val="center"/>
              <w:rPr>
                <w:rFonts w:ascii="宋体" w:hAnsi="宋体" w:cs="Times New Roman"/>
                <w:color w:val="auto"/>
              </w:rPr>
            </w:pPr>
            <w:r>
              <w:rPr>
                <w:rFonts w:ascii="宋体" w:hAnsi="宋体" w:cs="Times New Roman"/>
                <w:color w:val="auto"/>
              </w:rPr>
              <w:t>经度</w:t>
            </w:r>
          </w:p>
        </w:tc>
        <w:tc>
          <w:tcPr>
            <w:tcW w:w="2444" w:type="dxa"/>
            <w:vAlign w:val="center"/>
          </w:tcPr>
          <w:p w14:paraId="0956340A">
            <w:pPr>
              <w:kinsoku w:val="0"/>
              <w:overflowPunct w:val="0"/>
              <w:spacing w:line="360" w:lineRule="exact"/>
              <w:jc w:val="center"/>
              <w:rPr>
                <w:rFonts w:ascii="宋体" w:hAnsi="宋体" w:cs="Times New Roman"/>
                <w:color w:val="auto"/>
              </w:rPr>
            </w:pPr>
            <w:r>
              <w:rPr>
                <w:rFonts w:ascii="宋体" w:hAnsi="宋体" w:cs="Times New Roman"/>
                <w:color w:val="auto"/>
              </w:rPr>
              <w:t>125°2′43.709″～125°10′23.518″</w:t>
            </w:r>
          </w:p>
        </w:tc>
        <w:tc>
          <w:tcPr>
            <w:tcW w:w="1201" w:type="dxa"/>
            <w:vAlign w:val="center"/>
          </w:tcPr>
          <w:p w14:paraId="4B172BCA">
            <w:pPr>
              <w:kinsoku w:val="0"/>
              <w:overflowPunct w:val="0"/>
              <w:spacing w:line="360" w:lineRule="exact"/>
              <w:jc w:val="center"/>
              <w:rPr>
                <w:rFonts w:ascii="宋体" w:hAnsi="宋体" w:cs="Times New Roman"/>
                <w:color w:val="auto"/>
              </w:rPr>
            </w:pPr>
            <w:r>
              <w:rPr>
                <w:rFonts w:ascii="宋体" w:hAnsi="宋体" w:cs="Times New Roman"/>
                <w:color w:val="auto"/>
              </w:rPr>
              <w:t>纬度</w:t>
            </w:r>
          </w:p>
        </w:tc>
        <w:tc>
          <w:tcPr>
            <w:tcW w:w="2586" w:type="dxa"/>
            <w:gridSpan w:val="2"/>
            <w:vAlign w:val="center"/>
          </w:tcPr>
          <w:p w14:paraId="52F7BB26">
            <w:pPr>
              <w:kinsoku w:val="0"/>
              <w:overflowPunct w:val="0"/>
              <w:spacing w:line="360" w:lineRule="exact"/>
              <w:jc w:val="center"/>
              <w:rPr>
                <w:rFonts w:ascii="宋体" w:hAnsi="宋体" w:cs="Times New Roman"/>
                <w:color w:val="auto"/>
              </w:rPr>
            </w:pPr>
            <w:r>
              <w:rPr>
                <w:rFonts w:ascii="宋体" w:hAnsi="宋体" w:cs="Times New Roman"/>
                <w:color w:val="auto"/>
              </w:rPr>
              <w:t>45°30′44.347″～45°34′10.248″</w:t>
            </w:r>
          </w:p>
        </w:tc>
      </w:tr>
      <w:tr w14:paraId="35FD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777" w:type="dxa"/>
            <w:vAlign w:val="center"/>
          </w:tcPr>
          <w:p w14:paraId="4209071C">
            <w:pPr>
              <w:kinsoku w:val="0"/>
              <w:overflowPunct w:val="0"/>
              <w:spacing w:line="360" w:lineRule="exact"/>
              <w:jc w:val="center"/>
              <w:rPr>
                <w:rFonts w:ascii="宋体" w:hAnsi="宋体" w:cs="Times New Roman"/>
                <w:color w:val="auto"/>
              </w:rPr>
            </w:pPr>
            <w:r>
              <w:rPr>
                <w:rFonts w:ascii="宋体" w:hAnsi="宋体" w:cs="Times New Roman"/>
                <w:color w:val="auto"/>
              </w:rPr>
              <w:t>主要危险物质及分布</w:t>
            </w:r>
          </w:p>
        </w:tc>
        <w:tc>
          <w:tcPr>
            <w:tcW w:w="7284" w:type="dxa"/>
            <w:gridSpan w:val="5"/>
            <w:vAlign w:val="center"/>
          </w:tcPr>
          <w:p w14:paraId="6F62A266">
            <w:pPr>
              <w:spacing w:line="360" w:lineRule="exact"/>
              <w:jc w:val="center"/>
              <w:rPr>
                <w:rFonts w:ascii="宋体" w:hAnsi="宋体" w:eastAsia="宋体" w:cs="Times New Roman"/>
                <w:color w:val="auto"/>
              </w:rPr>
            </w:pPr>
            <w:r>
              <w:rPr>
                <w:rFonts w:ascii="宋体" w:hAnsi="宋体" w:eastAsia="宋体" w:cs="Times New Roman"/>
                <w:color w:val="auto"/>
              </w:rPr>
              <w:t>原油、天然气：井场、拉油点、集输管道、依托场站等；柴油：施工井场</w:t>
            </w:r>
          </w:p>
        </w:tc>
      </w:tr>
      <w:tr w14:paraId="74D33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777" w:type="dxa"/>
            <w:vAlign w:val="center"/>
          </w:tcPr>
          <w:p w14:paraId="47C634C3">
            <w:pPr>
              <w:kinsoku w:val="0"/>
              <w:overflowPunct w:val="0"/>
              <w:spacing w:line="360" w:lineRule="exact"/>
              <w:jc w:val="center"/>
              <w:rPr>
                <w:rFonts w:ascii="宋体" w:hAnsi="宋体" w:cs="Times New Roman"/>
                <w:color w:val="auto"/>
              </w:rPr>
            </w:pPr>
            <w:r>
              <w:rPr>
                <w:rFonts w:ascii="宋体" w:hAnsi="宋体" w:cs="Times New Roman"/>
                <w:color w:val="auto"/>
              </w:rPr>
              <w:t>环境影响途径及危害后果（大气、地表水、地下水等）</w:t>
            </w:r>
          </w:p>
        </w:tc>
        <w:tc>
          <w:tcPr>
            <w:tcW w:w="7284" w:type="dxa"/>
            <w:gridSpan w:val="5"/>
            <w:vAlign w:val="center"/>
          </w:tcPr>
          <w:p w14:paraId="19E2E539">
            <w:pPr>
              <w:kinsoku w:val="0"/>
              <w:overflowPunct w:val="0"/>
              <w:spacing w:line="360" w:lineRule="exact"/>
              <w:rPr>
                <w:rFonts w:ascii="宋体" w:hAnsi="宋体" w:cs="Times New Roman"/>
                <w:color w:val="auto"/>
              </w:rPr>
            </w:pPr>
            <w:r>
              <w:rPr>
                <w:rFonts w:ascii="宋体" w:hAnsi="宋体" w:cs="Times New Roman"/>
                <w:color w:val="auto"/>
              </w:rPr>
              <w:t>大气环境：柴油、天然气或原油泄漏事故会直接对大气环境带来影响。事故时天然气或原油泄漏将导致局部大气中总烃浓度可比正常情况高出数倍甚至数十倍，对大气环境造成短时的严重污染。</w:t>
            </w:r>
          </w:p>
          <w:p w14:paraId="30808104">
            <w:pPr>
              <w:kinsoku w:val="0"/>
              <w:overflowPunct w:val="0"/>
              <w:spacing w:line="360" w:lineRule="exact"/>
              <w:rPr>
                <w:rFonts w:ascii="宋体" w:hAnsi="宋体" w:cs="Times New Roman"/>
                <w:color w:val="auto"/>
              </w:rPr>
            </w:pPr>
            <w:r>
              <w:rPr>
                <w:rFonts w:ascii="宋体" w:hAnsi="宋体" w:cs="Times New Roman"/>
                <w:color w:val="auto"/>
              </w:rPr>
              <w:t>地表水环境：如果事故状态下一旦发生井喷时，原油外泄，一旦大量原油进入地表水体将会污染地表水体，柴油储罐泄漏收集不及时也会污染地表水体。</w:t>
            </w:r>
          </w:p>
          <w:p w14:paraId="4CE250F7">
            <w:pPr>
              <w:kinsoku w:val="0"/>
              <w:overflowPunct w:val="0"/>
              <w:spacing w:line="360" w:lineRule="exact"/>
              <w:rPr>
                <w:rFonts w:ascii="宋体" w:hAnsi="宋体" w:cs="Times New Roman"/>
                <w:color w:val="auto"/>
              </w:rPr>
            </w:pPr>
            <w:r>
              <w:rPr>
                <w:rFonts w:ascii="宋体" w:hAnsi="宋体" w:cs="Times New Roman"/>
                <w:color w:val="auto"/>
              </w:rPr>
              <w:t>地下水环境：本项目事故状态下对地下水污染途径主要是集油管线、储罐设备事故泄漏、施工井场柴油储罐的泄漏。柴油、原油、含油污水就可能会渗透到含水层中，造成地下水环境污染。在采油过程中，由于腐蚀、固井质量差、地层错动等原因可能导致套管断裂或破损，使原油泄漏窜入地下水层造成污染。</w:t>
            </w:r>
          </w:p>
          <w:p w14:paraId="2148FDC2">
            <w:pPr>
              <w:kinsoku w:val="0"/>
              <w:overflowPunct w:val="0"/>
              <w:spacing w:line="360" w:lineRule="exact"/>
              <w:rPr>
                <w:rFonts w:ascii="宋体" w:hAnsi="宋体" w:cs="Times New Roman"/>
                <w:color w:val="auto"/>
              </w:rPr>
            </w:pPr>
            <w:r>
              <w:rPr>
                <w:rFonts w:ascii="宋体" w:hAnsi="宋体" w:cs="Times New Roman"/>
                <w:color w:val="auto"/>
              </w:rPr>
              <w:t>土壤环境：原油及含油污水泄漏渗入土壤孔隙，会降低土壤的通透性，抑制土壤中酶活性，使土壤生物减少。</w:t>
            </w:r>
          </w:p>
          <w:p w14:paraId="083BAFC8">
            <w:pPr>
              <w:kinsoku w:val="0"/>
              <w:overflowPunct w:val="0"/>
              <w:spacing w:line="360" w:lineRule="exact"/>
              <w:rPr>
                <w:rFonts w:ascii="宋体" w:hAnsi="宋体" w:cs="Times New Roman"/>
                <w:color w:val="auto"/>
              </w:rPr>
            </w:pPr>
            <w:r>
              <w:rPr>
                <w:rFonts w:ascii="宋体" w:hAnsi="宋体" w:cs="Times New Roman"/>
                <w:color w:val="auto"/>
              </w:rPr>
              <w:t>生态环境：原油及含油污水泄漏可影响农田和草地的生态环境，减少农作物产量，危害植物生长。</w:t>
            </w:r>
          </w:p>
        </w:tc>
      </w:tr>
      <w:tr w14:paraId="3E553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777" w:type="dxa"/>
            <w:vAlign w:val="center"/>
          </w:tcPr>
          <w:p w14:paraId="65ED9B3F">
            <w:pPr>
              <w:kinsoku w:val="0"/>
              <w:overflowPunct w:val="0"/>
              <w:spacing w:line="360" w:lineRule="exact"/>
              <w:jc w:val="center"/>
              <w:rPr>
                <w:rFonts w:ascii="宋体" w:hAnsi="宋体" w:cs="Times New Roman"/>
                <w:color w:val="auto"/>
              </w:rPr>
            </w:pPr>
            <w:r>
              <w:rPr>
                <w:rFonts w:ascii="宋体" w:hAnsi="宋体" w:cs="Times New Roman"/>
                <w:color w:val="auto"/>
              </w:rPr>
              <w:t>风险防范措施要求</w:t>
            </w:r>
          </w:p>
        </w:tc>
        <w:tc>
          <w:tcPr>
            <w:tcW w:w="7284" w:type="dxa"/>
            <w:gridSpan w:val="5"/>
            <w:vAlign w:val="center"/>
          </w:tcPr>
          <w:p w14:paraId="6769B898">
            <w:pPr>
              <w:spacing w:line="360" w:lineRule="exact"/>
              <w:rPr>
                <w:rFonts w:ascii="宋体" w:hAnsi="宋体" w:eastAsia="宋体" w:cs="Times New Roman"/>
                <w:snapToGrid w:val="0"/>
                <w:color w:val="auto"/>
              </w:rPr>
            </w:pPr>
            <w:r>
              <w:rPr>
                <w:rFonts w:ascii="宋体" w:hAnsi="宋体" w:eastAsia="宋体" w:cs="Times New Roman"/>
                <w:snapToGrid w:val="0"/>
                <w:color w:val="auto"/>
              </w:rPr>
              <w:t>施工井场柴油储罐泄漏的防治措施；</w:t>
            </w:r>
          </w:p>
          <w:p w14:paraId="5DDB90F5">
            <w:pPr>
              <w:spacing w:line="360" w:lineRule="exact"/>
              <w:rPr>
                <w:rFonts w:ascii="宋体" w:hAnsi="宋体" w:eastAsia="宋体" w:cs="Times New Roman"/>
                <w:snapToGrid w:val="0"/>
                <w:color w:val="auto"/>
              </w:rPr>
            </w:pPr>
            <w:r>
              <w:rPr>
                <w:rFonts w:ascii="宋体" w:hAnsi="宋体" w:eastAsia="宋体" w:cs="Times New Roman"/>
                <w:snapToGrid w:val="0"/>
                <w:color w:val="auto"/>
              </w:rPr>
              <w:t>本项目柴油储存采用卧式罐，罐体架设在两个承台基础之上，如果发生泄漏，很容易发现并能够及时回收处理；而且罐区进行了防渗处理，并设置了围堰，即使发生泄漏，油品将由于防渗层的保护作用，积聚在围堰内，对环境的影响较小。</w:t>
            </w:r>
          </w:p>
          <w:p w14:paraId="4B54FCDE">
            <w:pPr>
              <w:spacing w:line="360" w:lineRule="exact"/>
              <w:rPr>
                <w:rFonts w:ascii="宋体" w:hAnsi="宋体" w:eastAsia="宋体" w:cs="Times New Roman"/>
                <w:snapToGrid w:val="0"/>
                <w:color w:val="auto"/>
              </w:rPr>
            </w:pPr>
            <w:r>
              <w:rPr>
                <w:rFonts w:ascii="宋体" w:hAnsi="宋体" w:eastAsia="宋体" w:cs="Times New Roman"/>
                <w:snapToGrid w:val="0"/>
                <w:color w:val="auto"/>
              </w:rPr>
              <w:t>拉油点储罐、管线泄漏的主要预防和处理措施：</w:t>
            </w:r>
          </w:p>
          <w:p w14:paraId="16759FC7">
            <w:pPr>
              <w:spacing w:line="360" w:lineRule="exact"/>
              <w:rPr>
                <w:rFonts w:ascii="宋体" w:hAnsi="宋体" w:eastAsia="宋体" w:cs="Times New Roman"/>
                <w:snapToGrid w:val="0"/>
                <w:color w:val="auto"/>
              </w:rPr>
            </w:pPr>
            <w:r>
              <w:rPr>
                <w:rFonts w:ascii="宋体" w:hAnsi="宋体" w:eastAsia="宋体" w:cs="Times New Roman"/>
                <w:snapToGrid w:val="0"/>
                <w:color w:val="auto"/>
              </w:rPr>
              <w:t>（1）对油田设施采用新技术，提高油田设施的抗蚀防腐能力，如采取耐腐蚀管线进行铺设。从而减少由于设施因素引发油水泄漏事故的几率；</w:t>
            </w:r>
          </w:p>
          <w:p w14:paraId="397F4194">
            <w:pPr>
              <w:spacing w:line="360" w:lineRule="exact"/>
              <w:rPr>
                <w:rFonts w:ascii="宋体" w:hAnsi="宋体" w:eastAsia="宋体" w:cs="Times New Roman"/>
                <w:snapToGrid w:val="0"/>
                <w:color w:val="auto"/>
              </w:rPr>
            </w:pPr>
            <w:r>
              <w:rPr>
                <w:rFonts w:ascii="宋体" w:hAnsi="宋体" w:eastAsia="宋体" w:cs="Times New Roman"/>
                <w:snapToGrid w:val="0"/>
                <w:color w:val="auto"/>
              </w:rPr>
              <w:t>（2）加强应急预警和紧急切断等措施，加强自动控制系统的管理和控制，严格控制压力平衡。定期对管线进行检查，对壁厚低于规定要求的管段应及时更换，消除爆管的隐患；定期对集输管线上的安全保护设施，如截断阀、安全阀、放空系统等进行检查，使管道在超压时能够得到安全处理，在管道破裂时能够及时截断上下游管段，以减少事故时油气的释放量，使危害影响范围减小到最低程度。当管线发生泄漏时应及时修筑围堤，控制油水的扩散范围，保护周围生态环境；同时明确泄漏可能导致的后果，泄漏危急周围环境的可能性，隔离泄漏区，周围设警告标志；</w:t>
            </w:r>
          </w:p>
          <w:p w14:paraId="62038BA7">
            <w:pPr>
              <w:spacing w:line="360" w:lineRule="exact"/>
              <w:rPr>
                <w:rFonts w:ascii="宋体" w:hAnsi="宋体" w:eastAsia="宋体" w:cs="Times New Roman"/>
                <w:snapToGrid w:val="0"/>
                <w:color w:val="auto"/>
              </w:rPr>
            </w:pPr>
            <w:r>
              <w:rPr>
                <w:rFonts w:ascii="宋体" w:hAnsi="宋体" w:eastAsia="宋体" w:cs="Times New Roman"/>
                <w:snapToGrid w:val="0"/>
                <w:color w:val="auto"/>
              </w:rPr>
              <w:t>井下作业事故风险防范措施</w:t>
            </w:r>
          </w:p>
          <w:p w14:paraId="3D116B0C">
            <w:pPr>
              <w:spacing w:line="360" w:lineRule="exact"/>
              <w:rPr>
                <w:rFonts w:ascii="宋体" w:hAnsi="宋体" w:eastAsia="宋体" w:cs="Times New Roman"/>
                <w:snapToGrid w:val="0"/>
                <w:color w:val="auto"/>
              </w:rPr>
            </w:pPr>
            <w:r>
              <w:rPr>
                <w:rFonts w:ascii="宋体" w:hAnsi="宋体" w:eastAsia="宋体" w:cs="Times New Roman"/>
                <w:snapToGrid w:val="0"/>
                <w:color w:val="auto"/>
              </w:rPr>
              <w:t>（1）为预防作业时井喷，对于地层压力较高的油水作业，在作业前应先调节注采比，降低井底压力后再进行作业。</w:t>
            </w:r>
          </w:p>
          <w:p w14:paraId="60447BFB">
            <w:pPr>
              <w:spacing w:line="360" w:lineRule="exact"/>
              <w:rPr>
                <w:rFonts w:ascii="宋体" w:hAnsi="宋体" w:eastAsia="宋体" w:cs="Times New Roman"/>
                <w:snapToGrid w:val="0"/>
                <w:color w:val="auto"/>
              </w:rPr>
            </w:pPr>
            <w:r>
              <w:rPr>
                <w:rFonts w:ascii="宋体" w:hAnsi="宋体" w:eastAsia="宋体" w:cs="Times New Roman"/>
                <w:snapToGrid w:val="0"/>
                <w:color w:val="auto"/>
              </w:rPr>
              <w:t>（2）施工准备过程要在管、杆桥下设污油收集设施；拆卸井口采油树后，要安装简易控制器，并将井口溢流油水控制器、作业废水进站装置与井口连接，完好后，通电调试。</w:t>
            </w:r>
          </w:p>
        </w:tc>
      </w:tr>
      <w:tr w14:paraId="73442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061" w:type="dxa"/>
            <w:gridSpan w:val="6"/>
            <w:vAlign w:val="center"/>
          </w:tcPr>
          <w:p w14:paraId="662FE85D">
            <w:pPr>
              <w:kinsoku w:val="0"/>
              <w:overflowPunct w:val="0"/>
              <w:spacing w:line="360" w:lineRule="exact"/>
              <w:rPr>
                <w:rFonts w:ascii="宋体" w:hAnsi="宋体" w:cs="Times New Roman"/>
                <w:color w:val="auto"/>
              </w:rPr>
            </w:pPr>
            <w:r>
              <w:rPr>
                <w:rFonts w:ascii="宋体" w:hAnsi="宋体" w:cs="Times New Roman"/>
                <w:color w:val="auto"/>
              </w:rPr>
              <w:t>填表说明：</w:t>
            </w:r>
          </w:p>
          <w:p w14:paraId="56F224A8">
            <w:pPr>
              <w:spacing w:line="360" w:lineRule="exact"/>
              <w:rPr>
                <w:rFonts w:ascii="宋体" w:hAnsi="宋体" w:eastAsia="宋体" w:cs="Times New Roman"/>
                <w:color w:val="auto"/>
              </w:rPr>
            </w:pPr>
            <w:r>
              <w:rPr>
                <w:rFonts w:ascii="宋体" w:hAnsi="宋体" w:eastAsia="宋体" w:cs="Times New Roman"/>
                <w:color w:val="auto"/>
              </w:rPr>
              <w:t>项目相关信息：施工期井场柴油最大存储量为50.1t，试油产液油罐最大储油量13.05t，天然气0.021t。运营期拉油点储罐和管道内最大储油量104.423t，天然气0.165。</w:t>
            </w:r>
          </w:p>
          <w:p w14:paraId="227517F3">
            <w:pPr>
              <w:kinsoku w:val="0"/>
              <w:overflowPunct w:val="0"/>
              <w:spacing w:line="360" w:lineRule="exact"/>
              <w:rPr>
                <w:rFonts w:ascii="宋体" w:hAnsi="宋体" w:cs="Times New Roman"/>
                <w:color w:val="auto"/>
              </w:rPr>
            </w:pPr>
            <w:r>
              <w:rPr>
                <w:rFonts w:ascii="宋体" w:hAnsi="宋体" w:cs="Times New Roman"/>
                <w:color w:val="auto"/>
              </w:rPr>
              <w:t>本项目危险物质数量与临界量的比值施工期Q=0.0271＜1，运营期Q=0.0575＜1，环境风险潜势为Ⅰ，风险评价等级为简单分析。</w:t>
            </w:r>
          </w:p>
          <w:p w14:paraId="012493BB">
            <w:pPr>
              <w:kinsoku w:val="0"/>
              <w:overflowPunct w:val="0"/>
              <w:spacing w:line="360" w:lineRule="exact"/>
              <w:rPr>
                <w:rFonts w:ascii="宋体" w:hAnsi="宋体" w:cs="Times New Roman"/>
                <w:color w:val="auto"/>
              </w:rPr>
            </w:pPr>
            <w:r>
              <w:rPr>
                <w:rFonts w:ascii="宋体" w:hAnsi="宋体" w:cs="Times New Roman"/>
                <w:color w:val="auto"/>
              </w:rPr>
              <w:t>本项目的主要环境风险是油气水泄漏和火灾爆炸，对区域内的大气环境、地下水环境、地表水环境和土壤植被等危害性不大。在工程采取一系列风险防范措施和应急措施后，可以控制和降低工程发生事故情况下对周围环境的影响。但建设单位应加强员工的环保教育和培训，避免污染事故的发生。</w:t>
            </w:r>
          </w:p>
        </w:tc>
      </w:tr>
      <w:bookmarkEnd w:id="1264"/>
      <w:bookmarkEnd w:id="1265"/>
      <w:bookmarkEnd w:id="1289"/>
    </w:tbl>
    <w:p w14:paraId="18A1C20D">
      <w:pPr>
        <w:spacing w:line="440" w:lineRule="exact"/>
        <w:ind w:firstLine="600" w:firstLineChars="200"/>
        <w:rPr>
          <w:rFonts w:ascii="宋体" w:hAnsi="宋体" w:eastAsia="宋体"/>
          <w:snapToGrid w:val="0"/>
          <w:color w:val="auto"/>
          <w:sz w:val="30"/>
          <w:szCs w:val="30"/>
        </w:rPr>
        <w:sectPr>
          <w:headerReference r:id="rId11" w:type="default"/>
          <w:pgSz w:w="11907" w:h="16840"/>
          <w:pgMar w:top="1418" w:right="1418" w:bottom="1418" w:left="1418" w:header="851" w:footer="425" w:gutter="0"/>
          <w:cols w:space="720" w:num="1"/>
          <w:docGrid w:type="lines" w:linePitch="326" w:charSpace="0"/>
        </w:sectPr>
      </w:pPr>
      <w:bookmarkStart w:id="1548" w:name="_Toc4255"/>
      <w:r>
        <w:rPr>
          <w:rFonts w:ascii="宋体" w:hAnsi="宋体" w:eastAsia="宋体"/>
          <w:snapToGrid w:val="0"/>
          <w:color w:val="auto"/>
          <w:sz w:val="30"/>
          <w:szCs w:val="30"/>
        </w:rPr>
        <w:t xml:space="preserve"> </w:t>
      </w:r>
    </w:p>
    <w:p w14:paraId="109E33FC">
      <w:pPr>
        <w:pStyle w:val="3"/>
        <w:rPr>
          <w:rFonts w:ascii="宋体" w:hAnsi="宋体" w:eastAsia="宋体"/>
          <w:bCs/>
          <w:color w:val="auto"/>
        </w:rPr>
      </w:pPr>
      <w:bookmarkStart w:id="1549" w:name="_Toc212033040"/>
      <w:r>
        <w:rPr>
          <w:rFonts w:ascii="宋体" w:hAnsi="宋体" w:eastAsia="宋体"/>
          <w:bCs/>
          <w:color w:val="auto"/>
        </w:rPr>
        <w:t>环境保护措施及其可行性论证</w:t>
      </w:r>
      <w:bookmarkEnd w:id="1548"/>
      <w:bookmarkEnd w:id="1549"/>
    </w:p>
    <w:p w14:paraId="203CF40F">
      <w:pPr>
        <w:pStyle w:val="5"/>
        <w:rPr>
          <w:bCs w:val="0"/>
          <w:color w:val="auto"/>
        </w:rPr>
      </w:pPr>
      <w:bookmarkStart w:id="1550" w:name="_Toc65426011"/>
      <w:bookmarkStart w:id="1551" w:name="_Toc212033041"/>
      <w:bookmarkStart w:id="1552" w:name="_Toc196215813"/>
      <w:bookmarkStart w:id="1553" w:name="_Toc25836"/>
      <w:bookmarkStart w:id="1554" w:name="_Toc57976736"/>
      <w:bookmarkStart w:id="1555" w:name="_Toc225741623"/>
      <w:bookmarkStart w:id="1556" w:name="_Toc203113621"/>
      <w:bookmarkStart w:id="1557" w:name="_Toc57203314"/>
      <w:bookmarkStart w:id="1558" w:name="_Toc4419"/>
      <w:bookmarkStart w:id="1559" w:name="_Toc200162815"/>
      <w:bookmarkStart w:id="1560" w:name="_Toc502736516"/>
      <w:bookmarkStart w:id="1561" w:name="_Toc200952546"/>
      <w:bookmarkStart w:id="1562" w:name="_Toc83525150"/>
      <w:bookmarkStart w:id="1563" w:name="_Toc200162118"/>
      <w:bookmarkStart w:id="1564" w:name="_Toc203373354"/>
      <w:bookmarkStart w:id="1565" w:name="_Toc201330164"/>
      <w:bookmarkStart w:id="1566" w:name="_Toc204572393"/>
      <w:bookmarkStart w:id="1567" w:name="_Toc98920169"/>
      <w:bookmarkStart w:id="1568" w:name="_Toc17898242"/>
      <w:bookmarkStart w:id="1569" w:name="_Toc57707984"/>
      <w:r>
        <w:rPr>
          <w:bCs w:val="0"/>
          <w:color w:val="auto"/>
        </w:rPr>
        <w:t>污染防治措施</w:t>
      </w:r>
      <w:bookmarkEnd w:id="1550"/>
      <w:bookmarkEnd w:id="1551"/>
      <w:bookmarkEnd w:id="1552"/>
      <w:bookmarkEnd w:id="1553"/>
    </w:p>
    <w:p w14:paraId="5D6BAF0D">
      <w:pPr>
        <w:pStyle w:val="6"/>
        <w:rPr>
          <w:color w:val="auto"/>
        </w:rPr>
      </w:pPr>
      <w:bookmarkStart w:id="1570" w:name="_Toc196215814"/>
      <w:bookmarkStart w:id="1571" w:name="_Toc85640845"/>
      <w:bookmarkStart w:id="1572" w:name="_Toc131167378"/>
      <w:bookmarkStart w:id="1573" w:name="_Toc70050274"/>
      <w:bookmarkStart w:id="1574" w:name="_Toc80588344"/>
      <w:bookmarkStart w:id="1575" w:name="_Toc77067747"/>
      <w:bookmarkStart w:id="1576" w:name="_Toc80971466"/>
      <w:bookmarkStart w:id="1577" w:name="_Toc127192426"/>
      <w:bookmarkStart w:id="1578" w:name="_Toc86142020"/>
      <w:bookmarkStart w:id="1579" w:name="_Toc143099665"/>
      <w:bookmarkStart w:id="1580" w:name="_Toc126863477"/>
      <w:bookmarkStart w:id="1581" w:name="_Toc67860227"/>
      <w:bookmarkStart w:id="1582" w:name="_Toc84929321"/>
      <w:bookmarkStart w:id="1583" w:name="_Toc83209566"/>
      <w:bookmarkStart w:id="1584" w:name="_Toc76976336"/>
      <w:bookmarkStart w:id="1585" w:name="_Toc78816549"/>
      <w:r>
        <w:rPr>
          <w:color w:val="auto"/>
        </w:rPr>
        <w:t>大气污染防治措施</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07276A2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施工期</w:t>
      </w:r>
    </w:p>
    <w:p w14:paraId="0E1F36C1">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本项目钻井及地面工程的工程量较小，施工期的环境空气影响主要来源自钻井施工柴油机烟气、机械尾气和施工活动引起的扬尘。</w:t>
      </w:r>
    </w:p>
    <w:p w14:paraId="5E843785">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（1）柴油机烟气及机械尾气</w:t>
      </w:r>
    </w:p>
    <w:p w14:paraId="1152C602">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w:t>
      </w:r>
      <w:r>
        <w:rPr>
          <w:rFonts w:hint="eastAsia" w:ascii="宋体" w:hAnsi="宋体" w:eastAsia="宋体"/>
          <w:color w:val="auto"/>
          <w:sz w:val="24"/>
          <w:szCs w:val="24"/>
        </w:rPr>
        <w:t>）</w:t>
      </w:r>
      <w:r>
        <w:rPr>
          <w:rFonts w:ascii="宋体" w:hAnsi="宋体" w:eastAsia="宋体"/>
          <w:color w:val="auto"/>
          <w:sz w:val="24"/>
          <w:szCs w:val="24"/>
        </w:rPr>
        <w:t>采用节能环保型柴油动力设备，减少污染物排放对环境空气的影响，柴油发电机烟气排放满足《非道路移动机械用柴油机排气污染物排放限值及测量方法》（中国第三、四阶段）（GB20891-2014）及2020修改单中第三阶段标准限值及《非道路移动柴油机械排气烟度限值及测量方法》（GB 36886-2018）表1中Ⅱ类限值要求；</w:t>
      </w:r>
    </w:p>
    <w:p w14:paraId="2F82E24A">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lang w:eastAsia="ja-JP"/>
        </w:rPr>
        <w:t>2</w:t>
      </w:r>
      <w:r>
        <w:rPr>
          <w:rFonts w:hint="eastAsia" w:ascii="宋体" w:hAnsi="宋体" w:eastAsia="宋体"/>
          <w:color w:val="auto"/>
          <w:sz w:val="24"/>
          <w:szCs w:val="24"/>
        </w:rPr>
        <w:t>）</w:t>
      </w:r>
      <w:r>
        <w:rPr>
          <w:rFonts w:ascii="宋体" w:hAnsi="宋体" w:eastAsia="宋体"/>
          <w:color w:val="auto"/>
          <w:sz w:val="24"/>
          <w:szCs w:val="24"/>
        </w:rPr>
        <w:t>钻井发电机和钻井柴油机采用符合《普通柴油》（GB252-2015）的柴油；</w:t>
      </w:r>
    </w:p>
    <w:p w14:paraId="4B300720">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lang w:eastAsia="ja-JP"/>
        </w:rPr>
        <w:t>3</w:t>
      </w:r>
      <w:r>
        <w:rPr>
          <w:rFonts w:hint="eastAsia" w:ascii="宋体" w:hAnsi="宋体" w:eastAsia="宋体"/>
          <w:color w:val="auto"/>
          <w:sz w:val="24"/>
          <w:szCs w:val="24"/>
        </w:rPr>
        <w:t>）</w:t>
      </w:r>
      <w:r>
        <w:rPr>
          <w:rFonts w:ascii="宋体" w:hAnsi="宋体" w:eastAsia="宋体"/>
          <w:color w:val="auto"/>
          <w:sz w:val="24"/>
          <w:szCs w:val="24"/>
        </w:rPr>
        <w:t>加强对机械设备的维护、保养，减少不必要的运转时间，以控制尾气的排放；</w:t>
      </w:r>
    </w:p>
    <w:p w14:paraId="0C8E3317">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w:t>
      </w:r>
      <w:r>
        <w:rPr>
          <w:rFonts w:hint="eastAsia" w:ascii="宋体" w:hAnsi="宋体" w:eastAsia="宋体"/>
          <w:color w:val="auto"/>
          <w:sz w:val="24"/>
          <w:szCs w:val="24"/>
        </w:rPr>
        <w:t>）</w:t>
      </w:r>
      <w:r>
        <w:rPr>
          <w:rFonts w:ascii="宋体" w:hAnsi="宋体" w:eastAsia="宋体"/>
          <w:color w:val="auto"/>
          <w:sz w:val="24"/>
          <w:szCs w:val="24"/>
        </w:rPr>
        <w:t>严禁在施工现场焚烧任何废弃物和可能产生有毒有害气体、烟尘和臭气的物质。</w:t>
      </w:r>
    </w:p>
    <w:p w14:paraId="464AB260">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（2）施工扬尘污染防治措施</w:t>
      </w:r>
    </w:p>
    <w:p w14:paraId="3AA9EF7B">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w:t>
      </w:r>
      <w:r>
        <w:rPr>
          <w:rFonts w:hint="eastAsia" w:ascii="宋体" w:hAnsi="宋体" w:eastAsia="宋体"/>
          <w:color w:val="auto"/>
          <w:sz w:val="24"/>
          <w:szCs w:val="24"/>
        </w:rPr>
        <w:t>）</w:t>
      </w:r>
      <w:r>
        <w:rPr>
          <w:rFonts w:ascii="宋体" w:hAnsi="宋体" w:eastAsia="宋体"/>
          <w:color w:val="auto"/>
          <w:sz w:val="24"/>
          <w:szCs w:val="24"/>
        </w:rPr>
        <w:t>为防止因交通运输量的增加而导致的扬尘污染，应在施工初期合理规划道路运输路线，尽量利用现有公路网络。</w:t>
      </w:r>
    </w:p>
    <w:p w14:paraId="24551D06">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w:t>
      </w:r>
      <w:r>
        <w:rPr>
          <w:rFonts w:hint="eastAsia" w:ascii="宋体" w:hAnsi="宋体" w:eastAsia="宋体"/>
          <w:color w:val="auto"/>
          <w:sz w:val="24"/>
          <w:szCs w:val="24"/>
        </w:rPr>
        <w:t>）</w:t>
      </w:r>
      <w:r>
        <w:rPr>
          <w:rFonts w:ascii="宋体" w:hAnsi="宋体" w:eastAsia="宋体"/>
          <w:color w:val="auto"/>
          <w:sz w:val="24"/>
          <w:szCs w:val="24"/>
        </w:rPr>
        <w:t>运输道路、施工场地干燥时洒水抑尘，定期清扫散落在施工场地的泥土，应实行湿法吸扫，严禁干扫和吹扫，以减少扬尘对周边土壤和植被的影响。</w:t>
      </w:r>
    </w:p>
    <w:p w14:paraId="704732C3">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3</w:t>
      </w:r>
      <w:r>
        <w:rPr>
          <w:rFonts w:hint="eastAsia" w:ascii="宋体" w:hAnsi="宋体" w:eastAsia="宋体"/>
          <w:color w:val="auto"/>
          <w:sz w:val="24"/>
          <w:szCs w:val="24"/>
        </w:rPr>
        <w:t>）</w:t>
      </w:r>
      <w:r>
        <w:rPr>
          <w:rFonts w:ascii="宋体" w:hAnsi="宋体" w:eastAsia="宋体"/>
          <w:color w:val="auto"/>
          <w:sz w:val="24"/>
          <w:szCs w:val="24"/>
        </w:rPr>
        <w:t>运料车辆在运输时，车辆应当采取苫布遮盖措施，严禁敞开式、半敞开式运输，不得装载过满，以防洒落在地，形成二次扬尘。</w:t>
      </w:r>
    </w:p>
    <w:p w14:paraId="76735CE5">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w:t>
      </w:r>
      <w:r>
        <w:rPr>
          <w:rFonts w:hint="eastAsia" w:ascii="宋体" w:hAnsi="宋体" w:eastAsia="宋体"/>
          <w:color w:val="auto"/>
          <w:sz w:val="24"/>
          <w:szCs w:val="24"/>
        </w:rPr>
        <w:t>）</w:t>
      </w:r>
      <w:r>
        <w:rPr>
          <w:rFonts w:ascii="宋体" w:hAnsi="宋体" w:eastAsia="宋体"/>
          <w:color w:val="auto"/>
          <w:sz w:val="24"/>
          <w:szCs w:val="24"/>
        </w:rPr>
        <w:t>土方开挖应采取遮盖、围挡、洒水等防尘措施。临时弃土集中堆放在背风侧，临时堆放土堆应采取覆盖、洒水等防尘措施；缩短土方裸露时间，且不宜堆积过久、过高，堆放过程中应在顶部加盖篷布；对易产生扬尘污染的建筑材料堆应覆盖到位。</w:t>
      </w:r>
    </w:p>
    <w:p w14:paraId="42BFB959">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5</w:t>
      </w:r>
      <w:r>
        <w:rPr>
          <w:rFonts w:hint="eastAsia" w:ascii="宋体" w:hAnsi="宋体" w:eastAsia="宋体"/>
          <w:color w:val="auto"/>
          <w:sz w:val="24"/>
          <w:szCs w:val="24"/>
        </w:rPr>
        <w:t>）</w:t>
      </w:r>
      <w:r>
        <w:rPr>
          <w:rFonts w:ascii="宋体" w:hAnsi="宋体" w:eastAsia="宋体"/>
          <w:color w:val="auto"/>
          <w:sz w:val="24"/>
          <w:szCs w:val="24"/>
        </w:rPr>
        <w:t>管线尽可能沿道路走向设计，以避免施工活动对土地和地表植被的扰动；最大限度控制施工作业带宽度，避免因施工开挖加剧土地沙漠化和水土流失，同时在施工过程中定期洒水抑尘，防止施工扬尘量大对环境造成污染。</w:t>
      </w:r>
    </w:p>
    <w:p w14:paraId="5036646C">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6</w:t>
      </w:r>
      <w:r>
        <w:rPr>
          <w:rFonts w:hint="eastAsia" w:ascii="宋体" w:hAnsi="宋体" w:eastAsia="宋体"/>
          <w:color w:val="auto"/>
          <w:sz w:val="24"/>
          <w:szCs w:val="24"/>
        </w:rPr>
        <w:t>）</w:t>
      </w:r>
      <w:r>
        <w:rPr>
          <w:rFonts w:ascii="宋体" w:hAnsi="宋体" w:eastAsia="宋体"/>
          <w:color w:val="auto"/>
          <w:sz w:val="24"/>
          <w:szCs w:val="24"/>
        </w:rPr>
        <w:t>合理规划施工进度，及时开挖，及时回填，防止弃土风化失水而起沙起尘；遇大风天气应停止土方工程施工作业。</w:t>
      </w:r>
    </w:p>
    <w:p w14:paraId="51B75BF3">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7</w:t>
      </w:r>
      <w:r>
        <w:rPr>
          <w:rFonts w:hint="eastAsia" w:ascii="宋体" w:hAnsi="宋体" w:eastAsia="宋体"/>
          <w:color w:val="auto"/>
          <w:sz w:val="24"/>
          <w:szCs w:val="24"/>
        </w:rPr>
        <w:t>）</w:t>
      </w:r>
      <w:r>
        <w:rPr>
          <w:rFonts w:ascii="宋体" w:hAnsi="宋体" w:eastAsia="宋体"/>
          <w:color w:val="auto"/>
          <w:sz w:val="24"/>
          <w:szCs w:val="24"/>
        </w:rPr>
        <w:t>施工结束后，应及时进行施工场地的清理，清除积土、堆物。</w:t>
      </w:r>
    </w:p>
    <w:p w14:paraId="024F5585">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（3）焊接烟尘</w:t>
      </w:r>
    </w:p>
    <w:p w14:paraId="3890736F">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项目管道焊接主要方式为电焊，由于项目焊接点较少，产生的焊接烟尘量较小，且项目位于室外，空气扩散条件较好，对大气环境影响较小。</w:t>
      </w:r>
    </w:p>
    <w:p w14:paraId="18A931EF">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（4）试油伴生气</w:t>
      </w:r>
    </w:p>
    <w:p w14:paraId="2DED68AE">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勘探井试油阶段产生的少量伴生气采用试油设备配套放喷管设施点火燃烧，放喷管高为8m（配套防回火与自动点火装置），设置于井口50m以外，且距离发电房等易产生明火的位置20m以上。</w:t>
      </w:r>
    </w:p>
    <w:p w14:paraId="07D5A04C">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施工期采取的上述技术方案是施工过程中常见的扬尘和大气污染防治措施，采取以上大气污染防治措施后，能够确保施工场界颗粒物浓度满足《大气污染物综合排放标准》（GB16297-1996）中表2无组织排放监控浓度限值要求；井场厂界产生的非甲烷总烃能够满足《陆上石油天然气开采工业大气污染物排放标准》（GB39728-2020）中5.9企业边界污染物控制要求限值。不会对大气环境产生较大影响，施工期大气污染防治措施可行。</w:t>
      </w:r>
    </w:p>
    <w:p w14:paraId="2973493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运营期</w:t>
      </w:r>
    </w:p>
    <w:p w14:paraId="46CCB95E">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本项目运营期的大气污染主要来自运营过程中产液集输，新建拉油点储罐加热炉燃烧烟气及依托场站处理过程无组织挥发的烃类气体、依托场站加热装置燃烧烟气。</w:t>
      </w:r>
    </w:p>
    <w:p w14:paraId="36F024B0">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（1）挥发性有机物污染防治措施</w:t>
      </w:r>
    </w:p>
    <w:p w14:paraId="35BC501A">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w:t>
      </w:r>
      <w:r>
        <w:rPr>
          <w:rFonts w:hint="eastAsia" w:ascii="宋体" w:hAnsi="宋体" w:eastAsia="宋体"/>
          <w:color w:val="auto"/>
          <w:sz w:val="24"/>
          <w:szCs w:val="24"/>
        </w:rPr>
        <w:t>）</w:t>
      </w:r>
      <w:r>
        <w:rPr>
          <w:rFonts w:ascii="宋体" w:hAnsi="宋体" w:eastAsia="宋体"/>
          <w:color w:val="auto"/>
          <w:sz w:val="24"/>
          <w:szCs w:val="24"/>
        </w:rPr>
        <w:t>采用合理工艺，选用优质材料，管道及设备在设计时充分考虑抗震，保证正常生产无泄漏；</w:t>
      </w:r>
    </w:p>
    <w:p w14:paraId="1459B8F5">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w:t>
      </w:r>
      <w:r>
        <w:rPr>
          <w:rFonts w:hint="eastAsia" w:ascii="宋体" w:hAnsi="宋体" w:eastAsia="宋体"/>
          <w:color w:val="auto"/>
          <w:sz w:val="24"/>
          <w:szCs w:val="24"/>
        </w:rPr>
        <w:t>）</w:t>
      </w:r>
      <w:r>
        <w:rPr>
          <w:rFonts w:ascii="宋体" w:hAnsi="宋体" w:eastAsia="宋体"/>
          <w:color w:val="auto"/>
          <w:sz w:val="24"/>
          <w:szCs w:val="24"/>
        </w:rPr>
        <w:t>井口安装密封垫，拉油点储罐阀门、法兰等安装密封垫片，集输管线采用密闭管道，最大限度降低烃类气体的挥发；</w:t>
      </w:r>
    </w:p>
    <w:p w14:paraId="51195BBB">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3</w:t>
      </w:r>
      <w:r>
        <w:rPr>
          <w:rFonts w:hint="eastAsia" w:ascii="宋体" w:hAnsi="宋体" w:eastAsia="宋体"/>
          <w:color w:val="auto"/>
          <w:sz w:val="24"/>
          <w:szCs w:val="24"/>
        </w:rPr>
        <w:t>）</w:t>
      </w:r>
      <w:r>
        <w:rPr>
          <w:rFonts w:ascii="宋体" w:hAnsi="宋体" w:eastAsia="宋体"/>
          <w:color w:val="auto"/>
          <w:sz w:val="24"/>
          <w:szCs w:val="24"/>
        </w:rPr>
        <w:t>本项目油井产液产生的伴生气用于拉油点多功能储罐加热炉自耗，不放空，减少烃类气体挥发；</w:t>
      </w:r>
    </w:p>
    <w:p w14:paraId="54E0EEC6">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w:t>
      </w:r>
      <w:r>
        <w:rPr>
          <w:rFonts w:hint="eastAsia" w:ascii="宋体" w:hAnsi="宋体" w:eastAsia="宋体"/>
          <w:color w:val="auto"/>
          <w:sz w:val="24"/>
          <w:szCs w:val="24"/>
        </w:rPr>
        <w:t>）</w:t>
      </w:r>
      <w:r>
        <w:rPr>
          <w:rFonts w:ascii="宋体" w:hAnsi="宋体" w:eastAsia="宋体"/>
          <w:color w:val="auto"/>
          <w:sz w:val="24"/>
          <w:szCs w:val="24"/>
        </w:rPr>
        <w:t>挥发性有机液体装载应采用底部装载或顶部浸没式装载方式；采用顶部浸没式装载的，出料管口距离罐（槽）底部高度应小于200mm。</w:t>
      </w:r>
    </w:p>
    <w:p w14:paraId="5434F39A">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5</w:t>
      </w:r>
      <w:r>
        <w:rPr>
          <w:rFonts w:hint="eastAsia" w:ascii="宋体" w:hAnsi="宋体" w:eastAsia="宋体"/>
          <w:color w:val="auto"/>
          <w:sz w:val="24"/>
          <w:szCs w:val="24"/>
        </w:rPr>
        <w:t>）</w:t>
      </w:r>
      <w:r>
        <w:rPr>
          <w:rFonts w:ascii="宋体" w:hAnsi="宋体" w:eastAsia="宋体"/>
          <w:color w:val="auto"/>
          <w:sz w:val="24"/>
          <w:szCs w:val="24"/>
        </w:rPr>
        <w:t>加强依托场站运行管理，提高油气分离效率，减少油罐呼吸口的轻烃挥发；</w:t>
      </w:r>
    </w:p>
    <w:p w14:paraId="0E723457">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6</w:t>
      </w:r>
      <w:r>
        <w:rPr>
          <w:rFonts w:hint="eastAsia" w:ascii="宋体" w:hAnsi="宋体" w:eastAsia="宋体"/>
          <w:color w:val="auto"/>
          <w:sz w:val="24"/>
          <w:szCs w:val="24"/>
        </w:rPr>
        <w:t>）</w:t>
      </w:r>
      <w:r>
        <w:rPr>
          <w:rFonts w:ascii="宋体" w:hAnsi="宋体" w:eastAsia="宋体"/>
          <w:color w:val="auto"/>
          <w:sz w:val="24"/>
          <w:szCs w:val="24"/>
        </w:rPr>
        <w:t>加强井下作业管理，提高落地油回收率，减少烃类气体挥发；</w:t>
      </w:r>
    </w:p>
    <w:p w14:paraId="4E4E9577">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7</w:t>
      </w:r>
      <w:r>
        <w:rPr>
          <w:rFonts w:hint="eastAsia" w:ascii="宋体" w:hAnsi="宋体" w:eastAsia="宋体"/>
          <w:color w:val="auto"/>
          <w:sz w:val="24"/>
          <w:szCs w:val="24"/>
        </w:rPr>
        <w:t>）</w:t>
      </w:r>
      <w:r>
        <w:rPr>
          <w:rFonts w:ascii="宋体" w:hAnsi="宋体" w:eastAsia="宋体"/>
          <w:color w:val="auto"/>
          <w:sz w:val="24"/>
          <w:szCs w:val="24"/>
        </w:rPr>
        <w:t>精细化管理，减少“跑、冒、滴、漏”现象，加强设备设施的日常管理，严格执行操作规程；</w:t>
      </w:r>
    </w:p>
    <w:p w14:paraId="37C8E859">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8</w:t>
      </w:r>
      <w:r>
        <w:rPr>
          <w:rFonts w:hint="eastAsia" w:ascii="宋体" w:hAnsi="宋体" w:eastAsia="宋体"/>
          <w:color w:val="auto"/>
          <w:sz w:val="24"/>
          <w:szCs w:val="24"/>
        </w:rPr>
        <w:t>）</w:t>
      </w:r>
      <w:r>
        <w:rPr>
          <w:rFonts w:ascii="宋体" w:hAnsi="宋体" w:eastAsia="宋体"/>
          <w:color w:val="auto"/>
          <w:sz w:val="24"/>
          <w:szCs w:val="24"/>
        </w:rPr>
        <w:t>定期对拉油点储罐设备和集输管道进行维修保养，保证油气处理设施的平稳运行，控制烃类气体的无组织挥发，确保井场、拉油点及依托场站排放的非甲烷总烃满足《陆上石油天然气开采工业大气污染物排放标准》（GB39728-2020）5.9中规定要求，依托场站排放的非甲烷总烃厂区内满足《挥发性有机物无组织排放控制标准》（GB 37822-2019）附录A 中VOCs 无组织排放限值要求。拉油点加热装置（窑炉）无组织排放烟（粉）尘最高允许排放浓度执行《工业炉窑大气污染物排放标准》（GB9078-1996）表3规定。</w:t>
      </w:r>
    </w:p>
    <w:p w14:paraId="31866A4F">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（2）加热装置燃烧烟气</w:t>
      </w:r>
    </w:p>
    <w:p w14:paraId="0CA93996">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本项目拉油点储罐加热炉和依托场站加热装置燃料均采用清洁能源天然气，并采用低氮燃烧器，拉油点储罐加热炉产生的烟气经15m高烟囱高空排放，能够达到《工业炉窑大气污染物排放标准》（GB9078-1996）表2中的二级标准限值要求（烟（粉）尘≤200mg/m</w:t>
      </w:r>
      <w:r>
        <w:rPr>
          <w:rFonts w:ascii="宋体" w:hAnsi="宋体" w:eastAsia="宋体"/>
          <w:color w:val="auto"/>
          <w:sz w:val="24"/>
          <w:szCs w:val="24"/>
          <w:vertAlign w:val="superscript"/>
        </w:rPr>
        <w:t>3</w:t>
      </w:r>
      <w:r>
        <w:rPr>
          <w:rFonts w:ascii="宋体" w:hAnsi="宋体" w:eastAsia="宋体"/>
          <w:color w:val="auto"/>
          <w:sz w:val="24"/>
          <w:szCs w:val="24"/>
        </w:rPr>
        <w:t>、烟气黑度≤1）。依托场站加热装置产生的烟气经8m以上烟囱高空排放，满足</w:t>
      </w:r>
      <w:r>
        <w:rPr>
          <w:rFonts w:ascii="宋体" w:hAnsi="宋体" w:eastAsia="宋体"/>
          <w:color w:val="auto"/>
          <w:sz w:val="24"/>
        </w:rPr>
        <w:t>《锅炉大气污染物排放标准》（GB13271-2014）表2中新建燃气锅炉标准限值要求</w:t>
      </w:r>
      <w:r>
        <w:rPr>
          <w:rFonts w:ascii="宋体" w:hAnsi="宋体" w:eastAsia="宋体"/>
          <w:color w:val="auto"/>
          <w:sz w:val="24"/>
          <w:szCs w:val="24"/>
        </w:rPr>
        <w:t>。</w:t>
      </w:r>
    </w:p>
    <w:p w14:paraId="5312DDA6">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以上措施可从源头降低废气产生，技术可行，通过采取以上措施，可以将项目建设对大气环境的影响减小到最小程度，使其对周围大气环境的影响大大降低，保持在环境可接受的范围之内。</w:t>
      </w:r>
    </w:p>
    <w:p w14:paraId="15CDFEF3">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（3）拉油罐车运输废气</w:t>
      </w:r>
    </w:p>
    <w:p w14:paraId="1ABA7B5C">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拉油车辆使用符合标准要求汽油等燃料，罐车储油罐密闭，行驶至村屯路段减速慢行，减少因车速过快造成扬尘污染。</w:t>
      </w:r>
    </w:p>
    <w:p w14:paraId="7F1B2C0B">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（4）温室气体管控措施</w:t>
      </w:r>
    </w:p>
    <w:p w14:paraId="5075A7F8">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w:t>
      </w:r>
      <w:r>
        <w:rPr>
          <w:rFonts w:hint="eastAsia" w:ascii="宋体" w:hAnsi="宋体" w:eastAsia="宋体"/>
          <w:color w:val="auto"/>
          <w:sz w:val="24"/>
          <w:szCs w:val="24"/>
        </w:rPr>
        <w:t>）</w:t>
      </w:r>
      <w:r>
        <w:rPr>
          <w:rFonts w:ascii="宋体" w:hAnsi="宋体" w:eastAsia="宋体"/>
          <w:color w:val="auto"/>
          <w:sz w:val="24"/>
          <w:szCs w:val="24"/>
        </w:rPr>
        <w:t>井口装置安装密封垫，原油集输采用密闭管道集输流程，拉油点储罐伴生气全部由加热炉自耗，不放空，最大限度减少温室气体的逸散；</w:t>
      </w:r>
    </w:p>
    <w:p w14:paraId="4CB9A63E">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w:t>
      </w:r>
      <w:r>
        <w:rPr>
          <w:rFonts w:hint="eastAsia" w:ascii="宋体" w:hAnsi="宋体" w:eastAsia="宋体"/>
          <w:color w:val="auto"/>
          <w:sz w:val="24"/>
          <w:szCs w:val="24"/>
        </w:rPr>
        <w:t>）</w:t>
      </w:r>
      <w:r>
        <w:rPr>
          <w:rFonts w:ascii="宋体" w:hAnsi="宋体" w:eastAsia="宋体"/>
          <w:color w:val="auto"/>
          <w:sz w:val="24"/>
          <w:szCs w:val="24"/>
        </w:rPr>
        <w:t>加强对设备和管道的检查和维护，定期检查拉油点储罐，保证均无孔洞和裂隙，采样口等均处于密闭状态，控制依托场站各部位温室气体的逸散；</w:t>
      </w:r>
    </w:p>
    <w:p w14:paraId="092B6780">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3</w:t>
      </w:r>
      <w:r>
        <w:rPr>
          <w:rFonts w:hint="eastAsia" w:ascii="宋体" w:hAnsi="宋体" w:eastAsia="宋体"/>
          <w:color w:val="auto"/>
          <w:sz w:val="24"/>
          <w:szCs w:val="24"/>
        </w:rPr>
        <w:t>）</w:t>
      </w:r>
      <w:r>
        <w:rPr>
          <w:rFonts w:ascii="宋体" w:hAnsi="宋体" w:eastAsia="宋体"/>
          <w:color w:val="auto"/>
          <w:sz w:val="24"/>
          <w:szCs w:val="24"/>
        </w:rPr>
        <w:t>依托场站加热装置采用清洁燃料天然气，并采用低氮燃烧器，减少化石燃料燃烧CO</w:t>
      </w:r>
      <w:r>
        <w:rPr>
          <w:rFonts w:ascii="宋体" w:hAnsi="宋体" w:eastAsia="宋体"/>
          <w:color w:val="auto"/>
          <w:sz w:val="24"/>
          <w:szCs w:val="24"/>
          <w:vertAlign w:val="subscript"/>
        </w:rPr>
        <w:t>2</w:t>
      </w:r>
      <w:r>
        <w:rPr>
          <w:rFonts w:ascii="宋体" w:hAnsi="宋体" w:eastAsia="宋体"/>
          <w:color w:val="auto"/>
          <w:sz w:val="24"/>
          <w:szCs w:val="24"/>
        </w:rPr>
        <w:t>排放；</w:t>
      </w:r>
    </w:p>
    <w:p w14:paraId="612E5E35">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w:t>
      </w:r>
      <w:r>
        <w:rPr>
          <w:rFonts w:hint="eastAsia" w:ascii="宋体" w:hAnsi="宋体" w:eastAsia="宋体"/>
          <w:color w:val="auto"/>
          <w:sz w:val="24"/>
          <w:szCs w:val="24"/>
        </w:rPr>
        <w:t>）</w:t>
      </w:r>
      <w:r>
        <w:rPr>
          <w:rFonts w:ascii="宋体" w:hAnsi="宋体" w:eastAsia="宋体"/>
          <w:color w:val="auto"/>
          <w:sz w:val="24"/>
          <w:szCs w:val="24"/>
        </w:rPr>
        <w:t>油田开发实行连续生产，杜绝大功率设备频繁启动，减少设备启停对用电的影响；</w:t>
      </w:r>
    </w:p>
    <w:p w14:paraId="4AE106BF">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5</w:t>
      </w:r>
      <w:r>
        <w:rPr>
          <w:rFonts w:hint="eastAsia" w:ascii="宋体" w:hAnsi="宋体" w:eastAsia="宋体"/>
          <w:color w:val="auto"/>
          <w:sz w:val="24"/>
          <w:szCs w:val="24"/>
        </w:rPr>
        <w:t>）</w:t>
      </w:r>
      <w:r>
        <w:rPr>
          <w:rFonts w:ascii="宋体" w:hAnsi="宋体" w:eastAsia="宋体"/>
          <w:color w:val="auto"/>
          <w:sz w:val="24"/>
          <w:szCs w:val="24"/>
        </w:rPr>
        <w:t>增加依托厂区绿化面积，扩大生态修复范围，通过植树造林和森林碳汇建设，采取多方面碳中和举措；</w:t>
      </w:r>
    </w:p>
    <w:p w14:paraId="35CCB204">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6</w:t>
      </w:r>
      <w:r>
        <w:rPr>
          <w:rFonts w:hint="eastAsia" w:ascii="宋体" w:hAnsi="宋体" w:eastAsia="宋体"/>
          <w:color w:val="auto"/>
          <w:sz w:val="24"/>
          <w:szCs w:val="24"/>
        </w:rPr>
        <w:t>）</w:t>
      </w:r>
      <w:r>
        <w:rPr>
          <w:rFonts w:ascii="宋体" w:hAnsi="宋体" w:eastAsia="宋体"/>
          <w:color w:val="auto"/>
          <w:sz w:val="24"/>
          <w:szCs w:val="24"/>
        </w:rPr>
        <w:t>建立健全的能源利用和消费统计制度和管理制度。</w:t>
      </w:r>
    </w:p>
    <w:p w14:paraId="08D61B1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1586" w:name="_Toc196215815"/>
      <w:bookmarkStart w:id="1587" w:name="_Toc70050275"/>
      <w:bookmarkStart w:id="1588" w:name="_Toc67860228"/>
      <w:bookmarkStart w:id="1589" w:name="_Toc77067748"/>
      <w:bookmarkStart w:id="1590" w:name="_Toc83209567"/>
      <w:bookmarkStart w:id="1591" w:name="_Toc76976337"/>
      <w:bookmarkStart w:id="1592" w:name="_Toc80971467"/>
      <w:bookmarkStart w:id="1593" w:name="_Toc127192427"/>
      <w:bookmarkStart w:id="1594" w:name="_Toc143099666"/>
      <w:bookmarkStart w:id="1595" w:name="_Toc78816550"/>
      <w:bookmarkStart w:id="1596" w:name="_Toc85640846"/>
      <w:bookmarkStart w:id="1597" w:name="_Toc80588345"/>
      <w:bookmarkStart w:id="1598" w:name="_Toc126863478"/>
      <w:bookmarkStart w:id="1599" w:name="_Toc131167379"/>
      <w:bookmarkStart w:id="1600" w:name="_Toc86142021"/>
      <w:bookmarkStart w:id="1601" w:name="_Toc84929322"/>
      <w:r>
        <w:rPr>
          <w:rFonts w:ascii="宋体" w:hAnsi="宋体" w:eastAsia="宋体" w:cs="Times New Roman"/>
          <w:b/>
          <w:bCs/>
          <w:color w:val="auto"/>
          <w:szCs w:val="28"/>
        </w:rPr>
        <w:t>退役期</w:t>
      </w:r>
    </w:p>
    <w:p w14:paraId="18DB3BAC">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（1）机械尾气</w:t>
      </w:r>
    </w:p>
    <w:p w14:paraId="2D8CECEF">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加强对机械设备的维护、保养，减少不必要的运转时间，采取高标号燃油以控制尾气的排放；</w:t>
      </w:r>
    </w:p>
    <w:p w14:paraId="126A5030">
      <w:pPr>
        <w:tabs>
          <w:tab w:val="left" w:pos="4127"/>
        </w:tabs>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（2）施工扬尘污染防治措施</w:t>
      </w:r>
      <w:r>
        <w:rPr>
          <w:rFonts w:ascii="宋体" w:hAnsi="宋体" w:eastAsia="宋体"/>
          <w:color w:val="auto"/>
          <w:sz w:val="24"/>
          <w:szCs w:val="24"/>
        </w:rPr>
        <w:tab/>
      </w:r>
    </w:p>
    <w:p w14:paraId="1393003B">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w:t>
      </w:r>
      <w:r>
        <w:rPr>
          <w:rFonts w:hint="eastAsia" w:ascii="宋体" w:hAnsi="宋体" w:eastAsia="宋体"/>
          <w:color w:val="auto"/>
          <w:sz w:val="24"/>
          <w:szCs w:val="24"/>
        </w:rPr>
        <w:t>）</w:t>
      </w:r>
      <w:r>
        <w:rPr>
          <w:rFonts w:ascii="宋体" w:hAnsi="宋体" w:eastAsia="宋体"/>
          <w:color w:val="auto"/>
          <w:sz w:val="24"/>
          <w:szCs w:val="24"/>
        </w:rPr>
        <w:t>材料运输过程中，进行材料遮盖，防止材料洒落、风刮起的粉尘；</w:t>
      </w:r>
    </w:p>
    <w:p w14:paraId="097C9328">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w:t>
      </w:r>
      <w:r>
        <w:rPr>
          <w:rFonts w:hint="eastAsia" w:ascii="宋体" w:hAnsi="宋体" w:eastAsia="宋体"/>
          <w:color w:val="auto"/>
          <w:sz w:val="24"/>
          <w:szCs w:val="24"/>
        </w:rPr>
        <w:t>）</w:t>
      </w:r>
      <w:r>
        <w:rPr>
          <w:rFonts w:ascii="宋体" w:hAnsi="宋体" w:eastAsia="宋体"/>
          <w:color w:val="auto"/>
          <w:sz w:val="24"/>
          <w:szCs w:val="24"/>
        </w:rPr>
        <w:t>运输车辆进入居民区附近施工场地应低速行驶或限速行驶，减少扬尘产生；</w:t>
      </w:r>
    </w:p>
    <w:p w14:paraId="0B261018">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3</w:t>
      </w:r>
      <w:r>
        <w:rPr>
          <w:rFonts w:hint="eastAsia" w:ascii="宋体" w:hAnsi="宋体" w:eastAsia="宋体"/>
          <w:color w:val="auto"/>
          <w:sz w:val="24"/>
          <w:szCs w:val="24"/>
        </w:rPr>
        <w:t>）</w:t>
      </w:r>
      <w:r>
        <w:rPr>
          <w:rFonts w:ascii="宋体" w:hAnsi="宋体" w:eastAsia="宋体"/>
          <w:color w:val="auto"/>
          <w:sz w:val="24"/>
          <w:szCs w:val="24"/>
        </w:rPr>
        <w:t>在施工过程中，施工场地应定时适量洒水，并在大风天加大洒水量及洒水次数，使作业面保持一定的湿度。</w:t>
      </w:r>
    </w:p>
    <w:p w14:paraId="4E4422CA">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w:t>
      </w:r>
      <w:r>
        <w:rPr>
          <w:rFonts w:hint="eastAsia" w:ascii="宋体" w:hAnsi="宋体" w:eastAsia="宋体"/>
          <w:color w:val="auto"/>
          <w:sz w:val="24"/>
          <w:szCs w:val="24"/>
        </w:rPr>
        <w:t>）</w:t>
      </w:r>
      <w:r>
        <w:rPr>
          <w:rFonts w:ascii="宋体" w:hAnsi="宋体" w:eastAsia="宋体"/>
          <w:color w:val="auto"/>
          <w:sz w:val="24"/>
          <w:szCs w:val="24"/>
        </w:rPr>
        <w:t>施工结束后，应及时进行施工场地的清理，清除积土、堆物。</w:t>
      </w:r>
    </w:p>
    <w:p w14:paraId="26F77075">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采取以上大气污染防治措施后，能够确保施工场界颗粒物浓度满足《大气污染物综合排放标准》（GB16297-1996）中表2无组织排放监控浓度限值要求，不会对大气环境产生较大影响，施工期大气污染防治措施可行。</w:t>
      </w:r>
    </w:p>
    <w:bookmarkEnd w:id="1586"/>
    <w:bookmarkEnd w:id="1587"/>
    <w:bookmarkEnd w:id="1588"/>
    <w:p w14:paraId="7DA20082">
      <w:pPr>
        <w:pStyle w:val="6"/>
        <w:rPr>
          <w:color w:val="auto"/>
        </w:rPr>
      </w:pPr>
      <w:r>
        <w:rPr>
          <w:color w:val="auto"/>
        </w:rPr>
        <w:t>水污染防治措施及其可行性论证</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4AFA6A6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施工期废水处理措施及地表水保护措施</w:t>
      </w:r>
    </w:p>
    <w:p w14:paraId="03D179F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（1）施工期废水处理措施及其可行性论证</w:t>
      </w:r>
    </w:p>
    <w:p w14:paraId="1641C71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w:t>
      </w:r>
    </w:p>
    <w:p w14:paraId="747E76B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管线试压废水由罐车拉运至朝二联含油污水处理站处理满足《大庆油田地面工程建设设计规定》（Q/SYDQ0639-2015）及《碎屑岩油藏注水水质指标技术要求及分析方法》（SY/T5329-2022）限值要求后回注油层，不外排。</w:t>
      </w:r>
    </w:p>
    <w:p w14:paraId="329D5CB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压裂返排液由罐车拉运至朝一联压裂返排液无害化处理站处理后，管输进入朝一联含油污水处理站处理，处理后的出水满足《大庆油田地面工程建设设计规定》（Q/SYDQ0639-2015）及《碎屑岩油藏注水水质指标技术要求及分析方法》（SY/T5329-2022）限值要求后回注油层。</w:t>
      </w:r>
    </w:p>
    <w:p w14:paraId="59FBAE1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水基钻井废水排入井场水基钢制泥浆槽中，及时拉运至大庆油田昆仑集团有限公司环保分公司处理，处理后的压滤水定期由罐车拉运至朝二联含油污水处理站处理满足《大庆油田地面工程建设设计规定》（Q/SYDQ0639-2015）及《碎屑岩油藏注水水质指标技术要求及分析方法》（SY/T5329-2022）限值要求后回注油层。</w:t>
      </w:r>
    </w:p>
    <w:p w14:paraId="275212E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5</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油基钻井废水排入井场设置的油基钢制泥浆槽中，委托</w:t>
      </w:r>
      <w:r>
        <w:rPr>
          <w:rFonts w:ascii="宋体" w:hAnsi="宋体" w:eastAsia="宋体" w:cs="Times New Roman"/>
          <w:color w:val="auto"/>
          <w:sz w:val="24"/>
          <w:szCs w:val="24"/>
        </w:rPr>
        <w:t>黑龙江迈景环保科技有限公司</w:t>
      </w:r>
      <w:r>
        <w:rPr>
          <w:rFonts w:ascii="宋体" w:hAnsi="宋体" w:eastAsia="宋体" w:cs="Times New Roman"/>
          <w:color w:val="auto"/>
          <w:kern w:val="21"/>
          <w:sz w:val="24"/>
          <w:szCs w:val="24"/>
        </w:rPr>
        <w:t>处理，处理后的污水进入污水罐储存，定期拉运至朝二联含油污水处理站处理满足《大庆油田地面工程建设设计规定》（Q/SYDQ0639-2015）及《碎屑岩油藏注水水质指标技术要求及分析方法》（SY/T5329-2022）限值要求后回注油层。</w:t>
      </w:r>
    </w:p>
    <w:p w14:paraId="12ACE9E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6</w:t>
      </w:r>
      <w:r>
        <w:rPr>
          <w:rFonts w:hint="eastAsia" w:ascii="宋体" w:hAnsi="宋体" w:eastAsia="宋体" w:cs="Times New Roman"/>
          <w:color w:val="auto"/>
          <w:kern w:val="21"/>
          <w:sz w:val="24"/>
          <w:szCs w:val="24"/>
        </w:rPr>
        <w:t>）</w:t>
      </w:r>
      <w:r>
        <w:rPr>
          <w:rFonts w:ascii="宋体" w:hAnsi="宋体" w:eastAsia="宋体" w:cs="Times New Roman"/>
          <w:color w:val="auto"/>
          <w:sz w:val="24"/>
          <w:szCs w:val="24"/>
        </w:rPr>
        <w:t>试油产液通过罐车拉运至朝二联卸油点后，进入朝二联转油脱水站处理系统，朝二联转油脱水站处理后含水油外输至朝二联含油污水处理站处理达到《大庆油田地面工程建设设计规定》（Q/SYDQ0639-2015）及《碎屑岩油藏注水水质指标技术要求及分析方法》（SY/T5329-2022）限值要求后用于回注油层注水驱油。</w:t>
      </w:r>
    </w:p>
    <w:p w14:paraId="0E95708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（2）施工期地表水保护措施</w:t>
      </w:r>
    </w:p>
    <w:p w14:paraId="1609997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合理规划：施工单位严格按照有关规定安排施工作业；合理进行施工组织和场地布置；对施工运输合理规划、布局，利用既有道路，运输车辆按指定路线运行；施工运输车辆加盖棚布，防止运输材料洒落，产生扬尘，影响区域内环境。</w:t>
      </w:r>
    </w:p>
    <w:p w14:paraId="09516890">
      <w:pPr>
        <w:spacing w:line="440" w:lineRule="exact"/>
        <w:ind w:firstLine="473"/>
        <w:rPr>
          <w:rFonts w:ascii="宋体" w:hAnsi="宋体" w:eastAsia="宋体" w:cs="Times New Roman"/>
          <w:color w:val="auto"/>
          <w:kern w:val="21"/>
          <w:sz w:val="24"/>
          <w:szCs w:val="24"/>
        </w:rPr>
      </w:pPr>
      <w:r>
        <w:rPr>
          <w:rFonts w:ascii="宋体" w:hAnsi="宋体" w:eastAsia="宋体" w:cs="Times New Roman"/>
          <w:color w:val="auto"/>
          <w:kern w:val="21"/>
          <w:sz w:val="24"/>
          <w:szCs w:val="24"/>
        </w:rPr>
        <w:t>2</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施工期间各类固体废物应及时清运，施工期间严禁将污水及固体废物直接排放至周围地表水体中。</w:t>
      </w:r>
    </w:p>
    <w:p w14:paraId="1325193B">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为避免井场对周边稻田地产生影响，对井场和拉油点进行填筑，平均填高0.3m，井场和拉油点边坡采用水泥混凝土预制块、干砌块石护砌。</w:t>
      </w:r>
    </w:p>
    <w:p w14:paraId="1145B9C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施工期在井场占地内柴油罐等重点区域修建0.2m高临时围堰，确保施工期井场污染物不会进入周边水渠。</w:t>
      </w:r>
    </w:p>
    <w:p w14:paraId="3AF432B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5</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合理选择施工季节，遇到降雨天气做好井场污油污水收集工作，避免废水随地表径流进入周边地表水体造成污染影响。</w:t>
      </w:r>
    </w:p>
    <w:p w14:paraId="4549D41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6</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确保第十采油厂应急物资库的围油栏、铁锹、吸油毡、消油剂等应急工具和设备齐备完好，以便在发生泄漏事故时对产生的污油污水进行及时回收和处理，避免对周围环境产生污染。</w:t>
      </w:r>
    </w:p>
    <w:p w14:paraId="3C5A791B">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7</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宣传教育：施工单位应加强对施工人员爱护环境防止地表水体破坏的宣传教育活动，在施工过程中，应做到井然有序的实施组织设计，做到文明施工。</w:t>
      </w:r>
    </w:p>
    <w:p w14:paraId="75E4D93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通过采取以上措施，施工期能够有效防止各类污染物进入附近地表水体造成污染事故，减少对周边水环境的影响。</w:t>
      </w:r>
    </w:p>
    <w:p w14:paraId="676E466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运营期废水处理措施及地表水保护措施</w:t>
      </w:r>
    </w:p>
    <w:p w14:paraId="0C90EB5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（1）运营期废水处理措施及其可行性论证</w:t>
      </w:r>
    </w:p>
    <w:p w14:paraId="2EA21CDD">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运营期废水处理措施</w:t>
      </w:r>
    </w:p>
    <w:p w14:paraId="1C3A081A">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sz w:val="24"/>
          <w:szCs w:val="24"/>
        </w:rPr>
        <w:t>运营期油井产液收集到新建拉油点储罐内，定期由罐车拉运至朝二联卸油点，进入朝二联转油防水站</w:t>
      </w:r>
      <w:r>
        <w:rPr>
          <w:rFonts w:ascii="宋体" w:hAnsi="宋体" w:eastAsia="宋体" w:cs="Times New Roman"/>
          <w:color w:val="auto"/>
          <w:kern w:val="21"/>
          <w:sz w:val="24"/>
          <w:szCs w:val="24"/>
        </w:rPr>
        <w:t>处理，</w:t>
      </w:r>
      <w:r>
        <w:rPr>
          <w:rFonts w:ascii="宋体" w:hAnsi="宋体" w:eastAsia="宋体" w:cs="Times New Roman"/>
          <w:color w:val="auto"/>
          <w:sz w:val="24"/>
          <w:szCs w:val="24"/>
        </w:rPr>
        <w:t>分离的含油污水最终管输进入朝二联含油污水处理站处理</w:t>
      </w:r>
      <w:r>
        <w:rPr>
          <w:rFonts w:ascii="宋体" w:hAnsi="宋体" w:eastAsia="宋体" w:cs="Times New Roman"/>
          <w:color w:val="auto"/>
          <w:kern w:val="21"/>
          <w:sz w:val="24"/>
          <w:szCs w:val="24"/>
        </w:rPr>
        <w:t>，作业污水和洗井污水由罐车拉运至朝二联含油污水处理站处理达标后回注油层，不外排。</w:t>
      </w:r>
    </w:p>
    <w:p w14:paraId="7955A1A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处理工艺可行性分析</w:t>
      </w:r>
    </w:p>
    <w:p w14:paraId="6527D6E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本项目依托朝二联含油污水处理站，</w:t>
      </w:r>
      <w:r>
        <w:rPr>
          <w:rFonts w:ascii="宋体" w:hAnsi="宋体" w:eastAsia="宋体" w:cs="Times New Roman"/>
          <w:color w:val="auto"/>
          <w:kern w:val="21"/>
          <w:sz w:val="24"/>
          <w:szCs w:val="24"/>
          <w:lang w:val="de-DE"/>
        </w:rPr>
        <w:t>站内</w:t>
      </w:r>
      <w:r>
        <w:rPr>
          <w:rFonts w:ascii="宋体" w:hAnsi="宋体" w:eastAsia="宋体" w:cs="Times New Roman"/>
          <w:color w:val="auto"/>
          <w:sz w:val="24"/>
          <w:szCs w:val="24"/>
          <w:lang w:val="de-DE"/>
        </w:rPr>
        <w:t>采用</w:t>
      </w:r>
      <w:r>
        <w:rPr>
          <w:rFonts w:ascii="宋体" w:hAnsi="宋体" w:eastAsia="宋体" w:cs="Times New Roman"/>
          <w:color w:val="auto"/>
          <w:sz w:val="24"/>
          <w:szCs w:val="24"/>
        </w:rPr>
        <w:t>“原水→沉降罐→气浮除油→轴向动态反冲洗过滤罐→连续反冲洗过滤罐→膜过滤” 工艺流程</w:t>
      </w:r>
      <w:r>
        <w:rPr>
          <w:rFonts w:ascii="宋体" w:hAnsi="宋体" w:eastAsia="宋体" w:cs="Times New Roman"/>
          <w:color w:val="auto"/>
          <w:kern w:val="21"/>
          <w:sz w:val="24"/>
          <w:szCs w:val="24"/>
          <w:lang w:val="de-DE"/>
        </w:rPr>
        <w:t>，</w:t>
      </w:r>
      <w:r>
        <w:rPr>
          <w:rFonts w:ascii="宋体" w:hAnsi="宋体" w:eastAsia="宋体" w:cs="Times New Roman"/>
          <w:color w:val="auto"/>
          <w:sz w:val="24"/>
          <w:szCs w:val="24"/>
          <w:lang w:val="de-DE"/>
        </w:rPr>
        <w:t>污水站</w:t>
      </w:r>
      <w:r>
        <w:rPr>
          <w:rFonts w:ascii="宋体" w:hAnsi="宋体" w:eastAsia="宋体" w:cs="Times New Roman"/>
          <w:color w:val="auto"/>
          <w:kern w:val="21"/>
          <w:sz w:val="24"/>
          <w:szCs w:val="24"/>
          <w:lang w:val="de-DE"/>
        </w:rPr>
        <w:t>设计出水水质指标均为</w:t>
      </w:r>
      <w:r>
        <w:rPr>
          <w:rFonts w:ascii="宋体" w:hAnsi="宋体" w:eastAsia="宋体" w:cs="Times New Roman"/>
          <w:color w:val="auto"/>
          <w:kern w:val="21"/>
          <w:sz w:val="24"/>
          <w:szCs w:val="24"/>
        </w:rPr>
        <w:t>含油量≤5mg/L、悬浮固体含量≤1mg/L。</w:t>
      </w:r>
    </w:p>
    <w:p w14:paraId="446BC477">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处理工艺达标可行性分析</w:t>
      </w:r>
    </w:p>
    <w:p w14:paraId="755CE8B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朝二联含油污水处理站设计出水指标为含油量≤5mg/L、悬浮固体含量≤1mg/L。本次委托大庆中环评价检测有限公司于</w:t>
      </w:r>
      <w:r>
        <w:rPr>
          <w:rFonts w:ascii="宋体" w:hAnsi="宋体" w:eastAsia="宋体" w:cs="Times New Roman"/>
          <w:color w:val="auto"/>
          <w:sz w:val="24"/>
          <w:szCs w:val="24"/>
        </w:rPr>
        <w:t>2025年8月17日-18日对</w:t>
      </w:r>
      <w:r>
        <w:rPr>
          <w:rFonts w:ascii="宋体" w:hAnsi="宋体" w:eastAsia="宋体" w:cs="Times New Roman"/>
          <w:color w:val="auto"/>
          <w:sz w:val="24"/>
          <w:szCs w:val="22"/>
        </w:rPr>
        <w:t>朝二联含油污水处理站</w:t>
      </w:r>
      <w:r>
        <w:rPr>
          <w:rFonts w:ascii="宋体" w:hAnsi="宋体" w:eastAsia="宋体" w:cs="Times New Roman"/>
          <w:color w:val="auto"/>
          <w:kern w:val="21"/>
          <w:sz w:val="24"/>
          <w:szCs w:val="24"/>
        </w:rPr>
        <w:t>出水水质进行监测，处理后水质满足《大庆油田地面工程建设设计规定》（Q/SYDQ0639-2015）及《碎屑岩油藏注水水质指标技术要求及分析方法》（SY/T5329-2022）限值要求，工艺可行。</w:t>
      </w:r>
    </w:p>
    <w:p w14:paraId="0857918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处理规模的可行性分析</w:t>
      </w:r>
    </w:p>
    <w:p w14:paraId="227625E2">
      <w:pPr>
        <w:spacing w:line="440" w:lineRule="exact"/>
        <w:ind w:firstLine="480" w:firstLineChars="200"/>
        <w:rPr>
          <w:rFonts w:ascii="宋体" w:hAnsi="宋体" w:eastAsia="宋体" w:cs="Times New Roman"/>
          <w:color w:val="auto"/>
          <w:sz w:val="24"/>
          <w:szCs w:val="24"/>
          <w:lang w:val="de-DE"/>
        </w:rPr>
      </w:pPr>
      <w:r>
        <w:rPr>
          <w:rFonts w:ascii="宋体" w:hAnsi="宋体" w:eastAsia="宋体" w:cs="Times New Roman"/>
          <w:color w:val="auto"/>
          <w:sz w:val="24"/>
          <w:szCs w:val="24"/>
        </w:rPr>
        <w:t>朝二联含油污水处理站</w:t>
      </w:r>
      <w:r>
        <w:rPr>
          <w:rFonts w:ascii="宋体" w:hAnsi="宋体" w:eastAsia="宋体" w:cs="Times New Roman"/>
          <w:color w:val="auto"/>
          <w:sz w:val="24"/>
          <w:szCs w:val="24"/>
          <w:lang w:val="de-DE"/>
        </w:rPr>
        <w:t>设计污水处理量为</w:t>
      </w:r>
      <w:r>
        <w:rPr>
          <w:rFonts w:ascii="宋体" w:hAnsi="宋体" w:eastAsia="宋体" w:cs="Times New Roman"/>
          <w:color w:val="auto"/>
          <w:sz w:val="24"/>
          <w:szCs w:val="24"/>
        </w:rPr>
        <w:t>2000m</w:t>
      </w:r>
      <w:r>
        <w:rPr>
          <w:rFonts w:ascii="宋体" w:hAnsi="宋体" w:eastAsia="宋体" w:cs="Times New Roman"/>
          <w:color w:val="auto"/>
          <w:sz w:val="24"/>
          <w:szCs w:val="24"/>
          <w:vertAlign w:val="superscript"/>
        </w:rPr>
        <w:t>3</w:t>
      </w:r>
      <w:r>
        <w:rPr>
          <w:rFonts w:ascii="宋体" w:hAnsi="宋体" w:eastAsia="宋体" w:cs="Times New Roman"/>
          <w:color w:val="auto"/>
          <w:sz w:val="24"/>
          <w:szCs w:val="24"/>
        </w:rPr>
        <w:t>/d，</w:t>
      </w:r>
      <w:r>
        <w:rPr>
          <w:rFonts w:ascii="宋体" w:hAnsi="宋体" w:eastAsia="宋体" w:cs="Times New Roman"/>
          <w:color w:val="auto"/>
          <w:sz w:val="24"/>
          <w:szCs w:val="24"/>
          <w:lang w:val="de-DE"/>
        </w:rPr>
        <w:t>目前实际污水处理量为</w:t>
      </w:r>
      <w:r>
        <w:rPr>
          <w:rFonts w:ascii="宋体" w:hAnsi="宋体" w:eastAsia="宋体" w:cs="Times New Roman"/>
          <w:color w:val="auto"/>
          <w:sz w:val="24"/>
          <w:szCs w:val="24"/>
        </w:rPr>
        <w:t>1218</w:t>
      </w:r>
      <w:r>
        <w:rPr>
          <w:rFonts w:ascii="宋体" w:hAnsi="宋体" w:eastAsia="宋体" w:cs="Times New Roman"/>
          <w:color w:val="auto"/>
          <w:sz w:val="24"/>
          <w:szCs w:val="24"/>
          <w:lang w:val="de-DE"/>
        </w:rPr>
        <w:t>m</w:t>
      </w:r>
      <w:r>
        <w:rPr>
          <w:rFonts w:ascii="宋体" w:hAnsi="宋体" w:eastAsia="宋体" w:cs="Times New Roman"/>
          <w:color w:val="auto"/>
          <w:sz w:val="24"/>
          <w:szCs w:val="24"/>
          <w:vertAlign w:val="superscript"/>
          <w:lang w:val="de-DE"/>
        </w:rPr>
        <w:t>3</w:t>
      </w:r>
      <w:r>
        <w:rPr>
          <w:rFonts w:ascii="宋体" w:hAnsi="宋体" w:eastAsia="宋体" w:cs="Times New Roman"/>
          <w:color w:val="auto"/>
          <w:sz w:val="24"/>
          <w:szCs w:val="24"/>
          <w:lang w:val="de-DE"/>
        </w:rPr>
        <w:t>/d，本项目</w:t>
      </w:r>
      <w:r>
        <w:rPr>
          <w:rFonts w:hint="eastAsia" w:ascii="宋体" w:hAnsi="宋体" w:eastAsia="宋体" w:cs="Times New Roman"/>
          <w:color w:val="auto"/>
          <w:sz w:val="24"/>
          <w:szCs w:val="24"/>
        </w:rPr>
        <w:t>4</w:t>
      </w:r>
      <w:r>
        <w:rPr>
          <w:rFonts w:ascii="宋体" w:hAnsi="宋体" w:eastAsia="宋体" w:cs="Times New Roman"/>
          <w:color w:val="auto"/>
          <w:sz w:val="24"/>
          <w:szCs w:val="24"/>
          <w:lang w:val="de-DE"/>
        </w:rPr>
        <w:t>口</w:t>
      </w:r>
      <w:r>
        <w:rPr>
          <w:rFonts w:ascii="宋体" w:hAnsi="宋体" w:eastAsia="宋体" w:cs="Times New Roman"/>
          <w:color w:val="auto"/>
          <w:sz w:val="24"/>
          <w:szCs w:val="24"/>
        </w:rPr>
        <w:t>油井投产初期最大采出水量</w:t>
      </w:r>
      <w:r>
        <w:rPr>
          <w:rFonts w:ascii="宋体" w:hAnsi="宋体" w:eastAsia="宋体" w:cs="Times New Roman"/>
          <w:color w:val="auto"/>
          <w:sz w:val="24"/>
          <w:szCs w:val="24"/>
          <w:lang w:val="de-DE"/>
        </w:rPr>
        <w:t>为</w:t>
      </w:r>
      <w:r>
        <w:rPr>
          <w:rFonts w:hint="eastAsia" w:ascii="宋体" w:hAnsi="宋体" w:eastAsia="宋体" w:cs="Times New Roman"/>
          <w:color w:val="auto"/>
          <w:sz w:val="24"/>
          <w:szCs w:val="24"/>
        </w:rPr>
        <w:t>72</w:t>
      </w:r>
      <w:r>
        <w:rPr>
          <w:rFonts w:ascii="宋体" w:hAnsi="宋体" w:eastAsia="宋体" w:cs="Times New Roman"/>
          <w:color w:val="auto"/>
          <w:sz w:val="24"/>
          <w:szCs w:val="24"/>
          <w:lang w:val="de-DE"/>
        </w:rPr>
        <w:t>t/d，新增本项目采出水后处理量为</w:t>
      </w:r>
      <w:r>
        <w:rPr>
          <w:rFonts w:hint="eastAsia" w:ascii="宋体" w:hAnsi="宋体" w:eastAsia="宋体" w:cs="Times New Roman"/>
          <w:color w:val="auto"/>
          <w:sz w:val="24"/>
          <w:szCs w:val="24"/>
        </w:rPr>
        <w:t>1290</w:t>
      </w:r>
      <w:r>
        <w:rPr>
          <w:rFonts w:ascii="宋体" w:hAnsi="宋体" w:eastAsia="宋体" w:cs="Times New Roman"/>
          <w:color w:val="auto"/>
          <w:sz w:val="24"/>
          <w:szCs w:val="24"/>
          <w:lang w:val="de-DE"/>
        </w:rPr>
        <w:t>m</w:t>
      </w:r>
      <w:r>
        <w:rPr>
          <w:rFonts w:ascii="宋体" w:hAnsi="宋体" w:eastAsia="宋体" w:cs="Times New Roman"/>
          <w:color w:val="auto"/>
          <w:sz w:val="24"/>
          <w:szCs w:val="24"/>
          <w:vertAlign w:val="superscript"/>
          <w:lang w:val="de-DE"/>
        </w:rPr>
        <w:t>3</w:t>
      </w:r>
      <w:r>
        <w:rPr>
          <w:rFonts w:ascii="宋体" w:hAnsi="宋体" w:eastAsia="宋体" w:cs="Times New Roman"/>
          <w:color w:val="auto"/>
          <w:sz w:val="24"/>
          <w:szCs w:val="24"/>
          <w:lang w:val="de-DE"/>
        </w:rPr>
        <w:t>/d，负荷率为</w:t>
      </w:r>
      <w:r>
        <w:rPr>
          <w:rFonts w:hint="eastAsia" w:ascii="宋体" w:hAnsi="宋体" w:eastAsia="宋体" w:cs="Times New Roman"/>
          <w:color w:val="auto"/>
          <w:sz w:val="24"/>
          <w:szCs w:val="24"/>
        </w:rPr>
        <w:t>64.5</w:t>
      </w:r>
      <w:r>
        <w:rPr>
          <w:rFonts w:ascii="宋体" w:hAnsi="宋体" w:eastAsia="宋体" w:cs="Times New Roman"/>
          <w:color w:val="auto"/>
          <w:sz w:val="24"/>
          <w:szCs w:val="24"/>
          <w:lang w:val="de-DE"/>
        </w:rPr>
        <w:t>%，</w:t>
      </w:r>
      <w:r>
        <w:rPr>
          <w:rFonts w:ascii="宋体" w:hAnsi="宋体" w:eastAsia="宋体" w:cs="Times New Roman"/>
          <w:color w:val="auto"/>
          <w:kern w:val="21"/>
          <w:sz w:val="24"/>
          <w:szCs w:val="24"/>
        </w:rPr>
        <w:t>因此，从规模上本项目依托可行。</w:t>
      </w:r>
    </w:p>
    <w:p w14:paraId="29981A0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施工期及运营期拉运污水集中接收场站要建设监控装置，并接入市生态环境局监控平台，污水拉运过程要建立台账，并接受视频监管，视频要求本地保留3个月以上。采取以上措施后，本项目运营期废水均不外排，对环境影响较小。</w:t>
      </w:r>
    </w:p>
    <w:p w14:paraId="4B2B70F5">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（2）运营期地表水保护措施</w:t>
      </w:r>
    </w:p>
    <w:p w14:paraId="5C994EDA">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在油田生产建设及运营过程中，必须加强管理，同时确保各项污染控制措施及事故应急措施能够切实落实，运营期还应做到如下要求：</w:t>
      </w:r>
    </w:p>
    <w:p w14:paraId="0072F7F6">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为避免油田开发过程中污染物随地表径流进入地表水体，在生产过程中严格管理，杜绝含油污水及污油的随意排放；生产过程中修井及其它井下作业通过安装防喷器、卸油器、作业污水回收装置、井口溢流控制器等井口及井下装置，可有效回收作业过程中污油污水，防止井喷、泄漏等事故的发生，减少含油污泥的产生量，一旦发生原油落地，全部及时回收；</w:t>
      </w:r>
    </w:p>
    <w:p w14:paraId="559F4805">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本项目油井井场新建电伴热</w:t>
      </w:r>
      <w:r>
        <w:rPr>
          <w:rFonts w:ascii="宋体" w:hAnsi="宋体" w:eastAsia="宋体" w:cs="Times New Roman"/>
          <w:color w:val="auto"/>
          <w:sz w:val="24"/>
          <w:szCs w:val="24"/>
        </w:rPr>
        <w:t>集油管线采用无缝钢管，内缠聚乙烯胶带硬质聚氨酯塑料夹克保温管，</w:t>
      </w:r>
      <w:r>
        <w:rPr>
          <w:rFonts w:ascii="宋体" w:hAnsi="宋体" w:eastAsia="宋体" w:cs="Times New Roman"/>
          <w:color w:val="auto"/>
          <w:kern w:val="21"/>
          <w:sz w:val="24"/>
          <w:szCs w:val="24"/>
        </w:rPr>
        <w:t>管道设计壁厚的腐蚀余量为2mm或采用管道内防腐。埋地保温管道外防腐采用沥青防腐胶带特加强级，带宽不小于150mm，防腐层厚度不小于3.2mm。定期对集输管线防腐及腐蚀情况定期检测，及时维修或更新，</w:t>
      </w:r>
      <w:r>
        <w:rPr>
          <w:rFonts w:ascii="宋体" w:hAnsi="宋体" w:eastAsia="宋体" w:cs="Times New Roman"/>
          <w:color w:val="auto"/>
          <w:sz w:val="24"/>
          <w:szCs w:val="24"/>
        </w:rPr>
        <w:t>能有效防止管线泄漏，同时定期对管线检查、维修，确保各部分的使用性能；</w:t>
      </w:r>
      <w:r>
        <w:rPr>
          <w:rFonts w:ascii="宋体" w:hAnsi="宋体" w:eastAsia="宋体" w:cs="Times New Roman"/>
          <w:color w:val="auto"/>
          <w:kern w:val="21"/>
          <w:sz w:val="24"/>
          <w:szCs w:val="24"/>
        </w:rPr>
        <w:t xml:space="preserve"> </w:t>
      </w:r>
    </w:p>
    <w:p w14:paraId="5A9AD5BC">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在进行油井井下作业时，严格按照要求使用污油污水回收装置、油管清洗污水回收装置及罐车对作业污水进行回收，防止作业产生的污油污水进入周围环境。同时限制作业范围，严格控制在井场占地范围内，作业范围全部铺垫防渗布，并在作业区边缘修筑0.2m高临时玻璃钢围堰，将作业过程中可能产生的污油污水全部控制在作业区域内，完工后，将井场平整清理干净，不得遗留油污；</w:t>
      </w:r>
    </w:p>
    <w:p w14:paraId="0106848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洗井期间，热洗车洗井废水直接接入污水罐车回收，拉运至朝二联含油污水处理站处理。洗井严格控制在井场占地范围内，洗井作业范围全部铺垫防渗布，并在作业区边缘修筑0.2m高临时玻璃钢围堰，将洗井过程中可能产生的污水全部控制在作业区域内，完工后，将井场平整清理干净，不得遗留油污；</w:t>
      </w:r>
    </w:p>
    <w:p w14:paraId="721648B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5</w:t>
      </w:r>
      <w:r>
        <w:rPr>
          <w:rFonts w:hint="eastAsia" w:ascii="宋体" w:hAnsi="宋体" w:eastAsia="宋体" w:cs="Times New Roman"/>
          <w:color w:val="auto"/>
          <w:kern w:val="21"/>
          <w:sz w:val="24"/>
          <w:szCs w:val="24"/>
        </w:rPr>
        <w:t>）</w:t>
      </w:r>
      <w:r>
        <w:rPr>
          <w:rFonts w:ascii="宋体" w:hAnsi="宋体" w:eastAsia="宋体" w:cs="Times New Roman"/>
          <w:color w:val="auto"/>
          <w:sz w:val="24"/>
          <w:szCs w:val="24"/>
        </w:rPr>
        <w:t>定期巡检，每天有专职人员对油井、拉油点及管线进行检查，巡检次数至少为1次/d，雨季等特殊天气增加巡检次数，若管线泄漏应及时关闭切断阀，同时确保应急工具和设备齐备完好，准备围油栏、吸油毡、消油剂、接油桶等应急物资，以便在发生泄漏事故时对产生的污油污水进行及时回收和处理，避免对周围地表水环境产生大面积污染。</w:t>
      </w:r>
    </w:p>
    <w:p w14:paraId="5BEF837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6</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本项目低洼地集油管线沿路敷设，距灌溉渠和低洼池塘较近，</w:t>
      </w:r>
      <w:r>
        <w:rPr>
          <w:rFonts w:ascii="宋体" w:hAnsi="宋体" w:eastAsia="宋体" w:cs="Times New Roman"/>
          <w:color w:val="auto"/>
          <w:sz w:val="24"/>
          <w:szCs w:val="24"/>
        </w:rPr>
        <w:t>当发生管线</w:t>
      </w:r>
      <w:r>
        <w:rPr>
          <w:rFonts w:hint="eastAsia" w:ascii="宋体" w:hAnsi="宋体" w:eastAsia="宋体" w:cs="Times New Roman"/>
          <w:color w:val="auto"/>
          <w:sz w:val="24"/>
          <w:szCs w:val="24"/>
        </w:rPr>
        <w:t>泄漏</w:t>
      </w:r>
      <w:r>
        <w:rPr>
          <w:rFonts w:ascii="宋体" w:hAnsi="宋体" w:eastAsia="宋体" w:cs="Times New Roman"/>
          <w:color w:val="auto"/>
          <w:sz w:val="24"/>
          <w:szCs w:val="24"/>
        </w:rPr>
        <w:t>油品流入井场周边灌溉水渠后，应采取筑坝方式进行拦截。夏季灌溉水渠有水时，在管道泄漏初始，专用抢险物资到来之前，应以草垛（玉米秸秆）为原料构筑草垛坝进行拦截，草垛坝坝体宽度不宜小于2.0米，坝体要紧密结实，以树桩等坚固的构筑物为支撑进行筑坝。冬季水渠干涸时修筑实体坝，在迎水面设置塑料布防止油品渗透，在集油坑和导油沟内应敷设防渗布。</w:t>
      </w:r>
      <w:r>
        <w:rPr>
          <w:rFonts w:ascii="宋体" w:hAnsi="宋体" w:eastAsia="宋体" w:cs="Times New Roman"/>
          <w:color w:val="auto"/>
          <w:kern w:val="21"/>
          <w:sz w:val="24"/>
          <w:szCs w:val="24"/>
        </w:rPr>
        <w:t>熟练掌握收油设备、机具和物资的属性，并与现场实际有机结合，将泄漏油品及其所污染的水、固体杂质等收纳至安全的地方。</w:t>
      </w:r>
    </w:p>
    <w:p w14:paraId="0E94726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在正常生产情况下，项目开发建设采取较为完善的环境保护措施，措施技术可行，对周围环境不会产生不良影响。</w:t>
      </w:r>
    </w:p>
    <w:p w14:paraId="6FF4EBD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退役期废水处理措施及地表水保护措施</w:t>
      </w:r>
    </w:p>
    <w:p w14:paraId="2209B4C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（1）退役期废水处理措施及其可行性论证</w:t>
      </w:r>
    </w:p>
    <w:p w14:paraId="696956B6">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施工人员</w:t>
      </w:r>
      <w:r>
        <w:rPr>
          <w:rFonts w:ascii="宋体" w:hAnsi="宋体" w:eastAsia="宋体" w:cs="Times New Roman"/>
          <w:color w:val="auto"/>
          <w:sz w:val="24"/>
          <w:szCs w:val="24"/>
        </w:rPr>
        <w:t>生活污水排入临时防渗旱厕，施工结束后拉运至第十采油厂厂区污水泵房，经地下管网输至第十采油厂厂区生活污水处理站处理达标后排入牛毛沟</w:t>
      </w:r>
      <w:r>
        <w:rPr>
          <w:rFonts w:ascii="宋体" w:hAnsi="宋体" w:eastAsia="宋体" w:cs="Times New Roman"/>
          <w:color w:val="auto"/>
          <w:kern w:val="21"/>
          <w:sz w:val="24"/>
          <w:szCs w:val="24"/>
        </w:rPr>
        <w:t>；</w:t>
      </w:r>
    </w:p>
    <w:p w14:paraId="0930803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退役期管线内介质均由压缩空气吹扫至拉油点储罐，后续由罐车拉运至朝</w:t>
      </w:r>
      <w:r>
        <w:rPr>
          <w:rFonts w:hint="eastAsia" w:ascii="宋体" w:hAnsi="宋体" w:eastAsia="宋体" w:cs="Times New Roman"/>
          <w:color w:val="auto"/>
          <w:kern w:val="21"/>
          <w:sz w:val="24"/>
          <w:szCs w:val="24"/>
        </w:rPr>
        <w:t>二</w:t>
      </w:r>
      <w:r>
        <w:rPr>
          <w:rFonts w:ascii="宋体" w:hAnsi="宋体" w:eastAsia="宋体" w:cs="Times New Roman"/>
          <w:color w:val="auto"/>
          <w:kern w:val="21"/>
          <w:sz w:val="24"/>
          <w:szCs w:val="24"/>
        </w:rPr>
        <w:t>联卸油点进集输系统处理，不外排。</w:t>
      </w:r>
    </w:p>
    <w:p w14:paraId="24B2F69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（2）退役期地表水保护措施</w:t>
      </w:r>
    </w:p>
    <w:p w14:paraId="00AA3B46">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合理规划：施工单位严格按照有关规定安排施工作业；合理进行施工组织和场地布置；对施工运输合理规划、布局，利用既有道路，运输车辆按指定路线运行；运输车辆加盖棚布，防止运输材料洒落，产生扬尘，影响区域内环境。</w:t>
      </w:r>
    </w:p>
    <w:p w14:paraId="1DB0A60D">
      <w:pPr>
        <w:spacing w:line="440" w:lineRule="exact"/>
        <w:ind w:firstLine="473"/>
        <w:rPr>
          <w:rFonts w:ascii="宋体" w:hAnsi="宋体" w:eastAsia="宋体" w:cs="Times New Roman"/>
          <w:color w:val="auto"/>
          <w:kern w:val="21"/>
          <w:sz w:val="24"/>
          <w:szCs w:val="24"/>
        </w:rPr>
      </w:pPr>
      <w:r>
        <w:rPr>
          <w:rFonts w:ascii="宋体" w:hAnsi="宋体" w:eastAsia="宋体" w:cs="Times New Roman"/>
          <w:color w:val="auto"/>
          <w:kern w:val="21"/>
          <w:sz w:val="24"/>
          <w:szCs w:val="24"/>
        </w:rPr>
        <w:t>2</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退役期间各类固体废物应及时清运，施工期间严禁将生活污水直接排放。</w:t>
      </w:r>
    </w:p>
    <w:p w14:paraId="1CDF0E5A">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宣传教育：施工单位应加强对施工人员爱护环境防止地表水体破坏的宣传教育活动，在施工过程中，应做到井然有序的实施组织设计，做到文明施工。</w:t>
      </w:r>
    </w:p>
    <w:p w14:paraId="34365891">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通过采取以上措施，退役期能够有效防止各类污染物进入附近地表水体造成污染事故，减少对周边水环境的影响。</w:t>
      </w:r>
    </w:p>
    <w:p w14:paraId="23F087E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地下水污染防治措施</w:t>
      </w:r>
    </w:p>
    <w:p w14:paraId="5D9AAD9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（1）源头控制措施</w:t>
      </w:r>
    </w:p>
    <w:p w14:paraId="1201E43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施工期加强对钻井泥浆的回收处理工作，消除对地下水的污染隐患；</w:t>
      </w:r>
    </w:p>
    <w:p w14:paraId="6D9DD5AB">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压裂优先选用无毒、低毒的环境友好型压裂液。</w:t>
      </w:r>
    </w:p>
    <w:p w14:paraId="5B1AF555">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 xml:space="preserve">本项目井场、集输管道等选址选线均不涉及集中式饮用水源保护区、集中式饮用水源的补给区、径流区。 </w:t>
      </w:r>
    </w:p>
    <w:p w14:paraId="3442B39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将使用双层套管技术纳入清洁生产，使表层套管和油层套管固井水泥浆必须返至井口，保证固井质量，确保安全封闭此深度内的潜水层和承压水层；</w:t>
      </w:r>
    </w:p>
    <w:p w14:paraId="7DF08F67">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5</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定期对油井套管情况进行检测，发现异常情况及时处理，防止污染地下水；</w:t>
      </w:r>
    </w:p>
    <w:p w14:paraId="10BA63AC">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6</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油井的设计、建造、改造应按照 SY/T 6596 的要求保证其完整性。油气井</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间应参照GB/T 17745 要求进行井筒完整性管理，定期开展井筒完整性检查。</w:t>
      </w:r>
    </w:p>
    <w:p w14:paraId="598E7DB2">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7</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油田生产过程中严格管理，坚决杜绝含油污水及污油的随意排放，井下作业产生的原油等污染物及时回收，不遗落地面，一旦发生原油落地事故，及时回收并确保回收率达到100%；</w:t>
      </w:r>
    </w:p>
    <w:p w14:paraId="4A79090E">
      <w:pPr>
        <w:spacing w:line="440" w:lineRule="exact"/>
        <w:ind w:firstLine="473"/>
        <w:rPr>
          <w:rFonts w:ascii="宋体" w:hAnsi="宋体" w:eastAsia="宋体" w:cs="Times New Roman"/>
          <w:color w:val="auto"/>
          <w:kern w:val="21"/>
          <w:sz w:val="24"/>
          <w:szCs w:val="24"/>
        </w:rPr>
      </w:pPr>
      <w:r>
        <w:rPr>
          <w:rFonts w:ascii="宋体" w:hAnsi="宋体" w:eastAsia="宋体" w:cs="Times New Roman"/>
          <w:color w:val="auto"/>
          <w:kern w:val="21"/>
          <w:sz w:val="24"/>
          <w:szCs w:val="24"/>
        </w:rPr>
        <w:t>8</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管线的连接方式采用焊接，在施焊前进行检查；</w:t>
      </w:r>
    </w:p>
    <w:p w14:paraId="205D2D7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9</w:t>
      </w:r>
      <w:r>
        <w:rPr>
          <w:rFonts w:hint="eastAsia" w:ascii="宋体" w:hAnsi="宋体" w:eastAsia="宋体" w:cs="Times New Roman"/>
          <w:color w:val="auto"/>
          <w:kern w:val="21"/>
          <w:sz w:val="24"/>
          <w:szCs w:val="24"/>
        </w:rPr>
        <w:t>）</w:t>
      </w:r>
      <w:r>
        <w:rPr>
          <w:rFonts w:ascii="宋体" w:hAnsi="宋体" w:eastAsia="宋体" w:cs="Times New Roman"/>
          <w:color w:val="auto"/>
          <w:kern w:val="21"/>
          <w:sz w:val="24"/>
          <w:szCs w:val="24"/>
        </w:rPr>
        <w:t>管道采用防腐无缝钢管，管道设计壁厚的腐蚀余量为2mm或采用管道内防腐。埋地保温管道外防腐采用沥青防腐胶带特加强级，带宽不小于150mm，防腐层厚度不小于3.2mm。泄漏事故具有隐蔽性和灾难性，要加强监控，定期对集输管线防腐及腐蚀情况定期检测，及时维修或更新，防止泄漏事故的发生。</w:t>
      </w:r>
    </w:p>
    <w:p w14:paraId="31A4E2E0">
      <w:pPr>
        <w:pStyle w:val="164"/>
        <w:spacing w:line="440" w:lineRule="exact"/>
        <w:ind w:firstLine="480" w:firstLineChars="200"/>
        <w:jc w:val="both"/>
        <w:rPr>
          <w:rFonts w:cs="Times New Roman" w:asciiTheme="minorEastAsia" w:hAnsiTheme="minorEastAsia"/>
          <w:color w:val="auto"/>
          <w:kern w:val="21"/>
          <w:sz w:val="24"/>
          <w:szCs w:val="24"/>
        </w:rPr>
      </w:pPr>
      <w:r>
        <w:rPr>
          <w:rFonts w:cs="Times New Roman" w:asciiTheme="minorEastAsia" w:hAnsiTheme="minorEastAsia"/>
          <w:color w:val="auto"/>
          <w:kern w:val="21"/>
          <w:sz w:val="24"/>
          <w:szCs w:val="24"/>
        </w:rPr>
        <w:t>⑩管道补口采用配套的补口带，补口层与原防腐层搭接宽度应不小于100mm。</w:t>
      </w:r>
    </w:p>
    <w:p w14:paraId="1DA08644">
      <w:pPr>
        <w:spacing w:line="440" w:lineRule="exact"/>
        <w:ind w:firstLine="480" w:firstLineChars="200"/>
        <w:rPr>
          <w:rFonts w:cs="Times New Roman" w:asciiTheme="minorEastAsia" w:hAnsiTheme="minorEastAsia"/>
          <w:color w:val="auto"/>
          <w:kern w:val="21"/>
          <w:sz w:val="24"/>
          <w:szCs w:val="24"/>
        </w:rPr>
      </w:pPr>
      <w:r>
        <w:rPr>
          <w:rFonts w:hint="eastAsia" w:cs="Times New Roman" w:asciiTheme="minorEastAsia" w:hAnsiTheme="minorEastAsia"/>
          <w:color w:val="auto"/>
          <w:kern w:val="21"/>
          <w:sz w:val="24"/>
          <w:szCs w:val="24"/>
        </w:rPr>
        <w:t>1</w:t>
      </w:r>
      <w:r>
        <w:rPr>
          <w:rFonts w:cs="Times New Roman" w:asciiTheme="minorEastAsia" w:hAnsiTheme="minorEastAsia"/>
          <w:color w:val="auto"/>
          <w:kern w:val="21"/>
          <w:sz w:val="24"/>
          <w:szCs w:val="24"/>
        </w:rPr>
        <w:t>0</w:t>
      </w:r>
      <w:r>
        <w:rPr>
          <w:rFonts w:hint="eastAsia" w:cs="Times New Roman" w:asciiTheme="minorEastAsia" w:hAnsiTheme="minorEastAsia"/>
          <w:color w:val="auto"/>
          <w:kern w:val="21"/>
          <w:sz w:val="24"/>
          <w:szCs w:val="24"/>
        </w:rPr>
        <w:t>）运营期</w:t>
      </w:r>
      <w:r>
        <w:rPr>
          <w:rFonts w:cs="Times New Roman" w:asciiTheme="minorEastAsia" w:hAnsiTheme="minorEastAsia"/>
          <w:color w:val="auto"/>
          <w:kern w:val="21"/>
          <w:sz w:val="24"/>
          <w:szCs w:val="24"/>
        </w:rPr>
        <w:t>定期检查、维修项目所有管道、机泵等，确保各部分的使用性能。尤其在雨季更要认真检查，清除隐患。</w:t>
      </w:r>
    </w:p>
    <w:p w14:paraId="324B9ED8">
      <w:pPr>
        <w:spacing w:line="440" w:lineRule="exact"/>
        <w:ind w:firstLine="480" w:firstLineChars="200"/>
        <w:rPr>
          <w:rFonts w:cs="Times New Roman" w:asciiTheme="minorEastAsia" w:hAnsiTheme="minorEastAsia"/>
          <w:color w:val="auto"/>
          <w:kern w:val="21"/>
          <w:sz w:val="24"/>
          <w:szCs w:val="24"/>
        </w:rPr>
      </w:pPr>
      <w:r>
        <w:rPr>
          <w:rFonts w:cs="Cambria Math" w:asciiTheme="minorEastAsia" w:hAnsiTheme="minorEastAsia"/>
          <w:color w:val="auto"/>
          <w:kern w:val="21"/>
          <w:sz w:val="24"/>
          <w:szCs w:val="24"/>
        </w:rPr>
        <w:t>11</w:t>
      </w:r>
      <w:r>
        <w:rPr>
          <w:rFonts w:hint="eastAsia" w:cs="Cambria Math" w:asciiTheme="minorEastAsia" w:hAnsiTheme="minorEastAsia"/>
          <w:color w:val="auto"/>
          <w:kern w:val="21"/>
          <w:sz w:val="24"/>
          <w:szCs w:val="24"/>
        </w:rPr>
        <w:t>）</w:t>
      </w:r>
      <w:r>
        <w:rPr>
          <w:rFonts w:cs="Times New Roman" w:asciiTheme="minorEastAsia" w:hAnsiTheme="minorEastAsia"/>
          <w:color w:val="auto"/>
          <w:kern w:val="21"/>
          <w:sz w:val="24"/>
          <w:szCs w:val="24"/>
        </w:rPr>
        <w:t>油井作业范围限制在油井永久占地范围内，防止作业过程中跑、冒、滴、漏产生的油水污染环境。</w:t>
      </w:r>
    </w:p>
    <w:p w14:paraId="1A198A88">
      <w:pPr>
        <w:spacing w:line="440" w:lineRule="exact"/>
        <w:ind w:firstLine="480" w:firstLineChars="200"/>
        <w:rPr>
          <w:rFonts w:cs="Times New Roman" w:asciiTheme="minorEastAsia" w:hAnsiTheme="minorEastAsia"/>
          <w:color w:val="auto"/>
          <w:kern w:val="21"/>
          <w:sz w:val="24"/>
          <w:szCs w:val="24"/>
        </w:rPr>
      </w:pPr>
      <w:r>
        <w:rPr>
          <w:rFonts w:cs="Cambria Math" w:asciiTheme="minorEastAsia" w:hAnsiTheme="minorEastAsia"/>
          <w:color w:val="auto"/>
          <w:kern w:val="21"/>
          <w:sz w:val="24"/>
          <w:szCs w:val="24"/>
        </w:rPr>
        <w:t>12</w:t>
      </w:r>
      <w:r>
        <w:rPr>
          <w:rFonts w:hint="eastAsia" w:cs="Cambria Math" w:asciiTheme="minorEastAsia" w:hAnsiTheme="minorEastAsia"/>
          <w:color w:val="auto"/>
          <w:kern w:val="21"/>
          <w:sz w:val="24"/>
          <w:szCs w:val="24"/>
        </w:rPr>
        <w:t>）</w:t>
      </w:r>
      <w:r>
        <w:rPr>
          <w:rFonts w:cs="Times New Roman" w:asciiTheme="minorEastAsia" w:hAnsiTheme="minorEastAsia"/>
          <w:color w:val="auto"/>
          <w:kern w:val="21"/>
          <w:sz w:val="24"/>
          <w:szCs w:val="24"/>
        </w:rPr>
        <w:t>巡检过程一旦发现管道泄漏，应立即采取应急措施，关闭机泵，清理泄漏的原油、含油污水。</w:t>
      </w:r>
    </w:p>
    <w:p w14:paraId="60E43083">
      <w:pPr>
        <w:spacing w:line="440" w:lineRule="exact"/>
        <w:ind w:firstLine="480" w:firstLineChars="200"/>
        <w:rPr>
          <w:rFonts w:cs="Times New Roman" w:asciiTheme="minorEastAsia" w:hAnsiTheme="minorEastAsia"/>
          <w:color w:val="auto"/>
          <w:kern w:val="21"/>
          <w:sz w:val="24"/>
          <w:szCs w:val="24"/>
        </w:rPr>
      </w:pPr>
      <w:r>
        <w:rPr>
          <w:rFonts w:cs="Cambria Math" w:asciiTheme="minorEastAsia" w:hAnsiTheme="minorEastAsia"/>
          <w:color w:val="auto"/>
          <w:kern w:val="21"/>
          <w:sz w:val="24"/>
          <w:szCs w:val="24"/>
        </w:rPr>
        <w:t>13</w:t>
      </w:r>
      <w:r>
        <w:rPr>
          <w:rFonts w:hint="eastAsia" w:cs="Cambria Math" w:asciiTheme="minorEastAsia" w:hAnsiTheme="minorEastAsia"/>
          <w:color w:val="auto"/>
          <w:kern w:val="21"/>
          <w:sz w:val="24"/>
          <w:szCs w:val="24"/>
        </w:rPr>
        <w:t>）</w:t>
      </w:r>
      <w:r>
        <w:rPr>
          <w:rFonts w:cs="Times New Roman" w:asciiTheme="minorEastAsia" w:hAnsiTheme="minorEastAsia"/>
          <w:color w:val="auto"/>
          <w:kern w:val="21"/>
          <w:sz w:val="24"/>
          <w:szCs w:val="24"/>
        </w:rPr>
        <w:t>定期开展套管腐蚀和水泥环状况检测，检测周期不超过3年。</w:t>
      </w:r>
    </w:p>
    <w:p w14:paraId="2D25F8C4">
      <w:pPr>
        <w:spacing w:line="440" w:lineRule="exact"/>
        <w:ind w:firstLine="480" w:firstLineChars="200"/>
        <w:rPr>
          <w:rFonts w:ascii="宋体" w:hAnsi="宋体" w:eastAsia="宋体" w:cs="Times New Roman"/>
          <w:color w:val="auto"/>
          <w:kern w:val="21"/>
          <w:sz w:val="24"/>
          <w:szCs w:val="24"/>
        </w:rPr>
      </w:pPr>
      <w:r>
        <w:rPr>
          <w:rFonts w:cs="Cambria Math" w:asciiTheme="minorEastAsia" w:hAnsiTheme="minorEastAsia"/>
          <w:color w:val="auto"/>
          <w:kern w:val="21"/>
          <w:sz w:val="24"/>
          <w:szCs w:val="24"/>
        </w:rPr>
        <w:t>14</w:t>
      </w:r>
      <w:r>
        <w:rPr>
          <w:rFonts w:hint="eastAsia" w:cs="Cambria Math" w:asciiTheme="minorEastAsia" w:hAnsiTheme="minorEastAsia"/>
          <w:color w:val="auto"/>
          <w:kern w:val="21"/>
          <w:sz w:val="24"/>
          <w:szCs w:val="24"/>
        </w:rPr>
        <w:t>）</w:t>
      </w:r>
      <w:r>
        <w:rPr>
          <w:rFonts w:cs="Times New Roman" w:asciiTheme="minorEastAsia" w:hAnsiTheme="minorEastAsia"/>
          <w:color w:val="auto"/>
          <w:kern w:val="21"/>
          <w:sz w:val="24"/>
          <w:szCs w:val="24"/>
        </w:rPr>
        <w:t>废</w:t>
      </w:r>
      <w:r>
        <w:rPr>
          <w:rFonts w:ascii="宋体" w:hAnsi="宋体" w:eastAsia="宋体" w:cs="Times New Roman"/>
          <w:color w:val="auto"/>
          <w:kern w:val="21"/>
          <w:sz w:val="24"/>
          <w:szCs w:val="24"/>
        </w:rPr>
        <w:t>弃物等拉运车辆须在转运过程做好转运台账，严格执行废弃物转运签认和交接清单制度；运输前规划运输路线，转运过程中应严格按照规定的路线运输到相应的目的地；运输过程中应尽量避开环境敏感区；对拉运过程进行严格监督管理，运输车辆、装卸工具必须符合安全环保要求，装卸和运输废弃物过程中不得溢出和渗漏，严禁半途倾倒、排放或向第三方转移废弃物。</w:t>
      </w:r>
    </w:p>
    <w:p w14:paraId="24C5559D">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（2）分区防渗措施</w:t>
      </w:r>
    </w:p>
    <w:p w14:paraId="41723CC7">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项目分区防渗具体见表6.1-1，施工期钻井井场分区防渗图见附图17-2，压裂施工分区防渗图见附图17-1，运营期分区防渗图见图附图16-1和附图16-2。</w:t>
      </w:r>
    </w:p>
    <w:p w14:paraId="569288D7">
      <w:pPr>
        <w:pStyle w:val="276"/>
        <w:widowControl w:val="0"/>
        <w:spacing w:line="440" w:lineRule="exact"/>
        <w:ind w:firstLine="0" w:firstLineChars="0"/>
        <w:jc w:val="center"/>
        <w:rPr>
          <w:color w:val="auto"/>
        </w:rPr>
      </w:pPr>
      <w:r>
        <w:rPr>
          <w:color w:val="auto"/>
          <w:kern w:val="21"/>
        </w:rPr>
        <w:t>表6.1-1</w:t>
      </w:r>
      <w:r>
        <w:rPr>
          <w:color w:val="auto"/>
        </w:rPr>
        <w:t xml:space="preserve"> 项目污染防渗区划分</w:t>
      </w:r>
    </w:p>
    <w:tbl>
      <w:tblPr>
        <w:tblStyle w:val="81"/>
        <w:tblW w:w="90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850"/>
        <w:gridCol w:w="1698"/>
        <w:gridCol w:w="2408"/>
        <w:gridCol w:w="3537"/>
      </w:tblGrid>
      <w:tr w14:paraId="5A7F8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8" w:type="dxa"/>
            <w:vAlign w:val="center"/>
          </w:tcPr>
          <w:p w14:paraId="4E98852F">
            <w:pPr>
              <w:snapToGrid w:val="0"/>
              <w:spacing w:line="360" w:lineRule="exact"/>
              <w:jc w:val="center"/>
              <w:rPr>
                <w:rFonts w:ascii="宋体" w:hAnsi="宋体" w:eastAsia="宋体" w:cs="Times New Roman"/>
                <w:color w:val="auto"/>
              </w:rPr>
            </w:pPr>
            <w:r>
              <w:rPr>
                <w:rFonts w:ascii="宋体" w:hAnsi="宋体" w:eastAsia="宋体" w:cs="Times New Roman"/>
                <w:color w:val="auto"/>
              </w:rPr>
              <w:t>项目</w:t>
            </w:r>
          </w:p>
        </w:tc>
        <w:tc>
          <w:tcPr>
            <w:tcW w:w="850" w:type="dxa"/>
            <w:vAlign w:val="center"/>
          </w:tcPr>
          <w:p w14:paraId="4C3A3730">
            <w:pPr>
              <w:snapToGrid w:val="0"/>
              <w:spacing w:line="360" w:lineRule="exact"/>
              <w:jc w:val="center"/>
              <w:rPr>
                <w:rFonts w:ascii="宋体" w:hAnsi="宋体" w:eastAsia="宋体" w:cs="Times New Roman"/>
                <w:color w:val="auto"/>
              </w:rPr>
            </w:pPr>
            <w:r>
              <w:rPr>
                <w:rFonts w:ascii="宋体" w:hAnsi="宋体" w:eastAsia="宋体" w:cs="Times New Roman"/>
                <w:color w:val="auto"/>
              </w:rPr>
              <w:t>类别</w:t>
            </w:r>
          </w:p>
        </w:tc>
        <w:tc>
          <w:tcPr>
            <w:tcW w:w="1698" w:type="dxa"/>
            <w:vAlign w:val="center"/>
          </w:tcPr>
          <w:p w14:paraId="7064017A">
            <w:pPr>
              <w:snapToGrid w:val="0"/>
              <w:spacing w:line="360" w:lineRule="exact"/>
              <w:jc w:val="center"/>
              <w:rPr>
                <w:rFonts w:ascii="宋体" w:hAnsi="宋体" w:eastAsia="宋体" w:cs="Times New Roman"/>
                <w:color w:val="auto"/>
              </w:rPr>
            </w:pPr>
            <w:r>
              <w:rPr>
                <w:rFonts w:ascii="宋体" w:hAnsi="宋体" w:eastAsia="宋体" w:cs="Times New Roman"/>
                <w:color w:val="auto"/>
              </w:rPr>
              <w:t>项目涉及区域</w:t>
            </w:r>
          </w:p>
        </w:tc>
        <w:tc>
          <w:tcPr>
            <w:tcW w:w="2408" w:type="dxa"/>
            <w:vAlign w:val="center"/>
          </w:tcPr>
          <w:p w14:paraId="4799ABBE">
            <w:pPr>
              <w:snapToGrid w:val="0"/>
              <w:spacing w:line="360" w:lineRule="exact"/>
              <w:jc w:val="center"/>
              <w:rPr>
                <w:rFonts w:ascii="宋体" w:hAnsi="宋体" w:eastAsia="宋体" w:cs="Times New Roman"/>
                <w:color w:val="auto"/>
              </w:rPr>
            </w:pPr>
            <w:r>
              <w:rPr>
                <w:rFonts w:ascii="宋体" w:hAnsi="宋体" w:eastAsia="宋体" w:cs="Times New Roman"/>
                <w:color w:val="auto"/>
              </w:rPr>
              <w:t>防渗措施</w:t>
            </w:r>
          </w:p>
        </w:tc>
        <w:tc>
          <w:tcPr>
            <w:tcW w:w="3537" w:type="dxa"/>
            <w:vAlign w:val="center"/>
          </w:tcPr>
          <w:p w14:paraId="6D5E6CC4">
            <w:pPr>
              <w:snapToGrid w:val="0"/>
              <w:spacing w:line="360" w:lineRule="exact"/>
              <w:jc w:val="center"/>
              <w:rPr>
                <w:rFonts w:ascii="宋体" w:hAnsi="宋体" w:eastAsia="宋体" w:cs="Times New Roman"/>
                <w:color w:val="auto"/>
              </w:rPr>
            </w:pPr>
            <w:r>
              <w:rPr>
                <w:rFonts w:ascii="宋体" w:hAnsi="宋体" w:eastAsia="宋体" w:cs="Times New Roman"/>
                <w:color w:val="auto"/>
              </w:rPr>
              <w:t>防渗要求</w:t>
            </w:r>
          </w:p>
        </w:tc>
      </w:tr>
      <w:tr w14:paraId="6BF54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8" w:type="dxa"/>
            <w:vMerge w:val="restart"/>
            <w:vAlign w:val="center"/>
          </w:tcPr>
          <w:p w14:paraId="693AFBFA">
            <w:pPr>
              <w:snapToGrid w:val="0"/>
              <w:spacing w:line="360" w:lineRule="exact"/>
              <w:jc w:val="center"/>
              <w:rPr>
                <w:rFonts w:ascii="宋体" w:hAnsi="宋体" w:eastAsia="宋体" w:cs="Times New Roman"/>
                <w:color w:val="auto"/>
              </w:rPr>
            </w:pPr>
            <w:r>
              <w:rPr>
                <w:rFonts w:ascii="宋体" w:hAnsi="宋体" w:eastAsia="宋体" w:cs="Times New Roman"/>
                <w:color w:val="auto"/>
              </w:rPr>
              <w:t>施工期</w:t>
            </w:r>
          </w:p>
        </w:tc>
        <w:tc>
          <w:tcPr>
            <w:tcW w:w="850" w:type="dxa"/>
            <w:vMerge w:val="restart"/>
            <w:vAlign w:val="center"/>
          </w:tcPr>
          <w:p w14:paraId="16E18EDF">
            <w:pPr>
              <w:snapToGrid w:val="0"/>
              <w:spacing w:line="360" w:lineRule="exact"/>
              <w:jc w:val="center"/>
              <w:rPr>
                <w:rFonts w:ascii="宋体" w:hAnsi="宋体" w:eastAsia="宋体" w:cs="Times New Roman"/>
                <w:color w:val="auto"/>
              </w:rPr>
            </w:pPr>
            <w:r>
              <w:rPr>
                <w:rFonts w:ascii="宋体" w:hAnsi="宋体" w:eastAsia="宋体" w:cs="Times New Roman"/>
                <w:color w:val="auto"/>
              </w:rPr>
              <w:t>重点防渗区</w:t>
            </w:r>
          </w:p>
        </w:tc>
        <w:tc>
          <w:tcPr>
            <w:tcW w:w="1698" w:type="dxa"/>
            <w:vAlign w:val="center"/>
          </w:tcPr>
          <w:p w14:paraId="6632CDD0">
            <w:pPr>
              <w:snapToGrid w:val="0"/>
              <w:spacing w:line="360" w:lineRule="exact"/>
              <w:jc w:val="center"/>
              <w:rPr>
                <w:rFonts w:ascii="宋体" w:hAnsi="宋体" w:eastAsia="宋体" w:cs="Times New Roman"/>
                <w:color w:val="auto"/>
              </w:rPr>
            </w:pPr>
            <w:r>
              <w:rPr>
                <w:rFonts w:ascii="宋体" w:hAnsi="宋体" w:eastAsia="宋体" w:cs="Times New Roman"/>
                <w:color w:val="auto"/>
              </w:rPr>
              <w:t>柴油罐区、泥浆循环罐、钻井液材料房、发电机房、水基钢制泥浆槽、油基钢制泥浆槽、钻台</w:t>
            </w:r>
          </w:p>
        </w:tc>
        <w:tc>
          <w:tcPr>
            <w:tcW w:w="2408" w:type="dxa"/>
            <w:vMerge w:val="restart"/>
            <w:vAlign w:val="center"/>
          </w:tcPr>
          <w:p w14:paraId="460E855F">
            <w:pPr>
              <w:adjustRightInd w:val="0"/>
              <w:snapToGrid w:val="0"/>
              <w:rPr>
                <w:rFonts w:ascii="宋体" w:hAnsi="宋体" w:eastAsia="宋体" w:cs="Times New Roman"/>
                <w:color w:val="auto"/>
              </w:rPr>
            </w:pPr>
            <w:r>
              <w:rPr>
                <w:rFonts w:ascii="宋体" w:hAnsi="宋体" w:eastAsia="宋体" w:cs="Times New Roman"/>
                <w:color w:val="auto"/>
              </w:rPr>
              <w:t>采用地面碾压平整并铺设2mm厚防渗布进行防渗，渗透系数为1.0×10</w:t>
            </w:r>
            <w:r>
              <w:rPr>
                <w:rFonts w:ascii="宋体" w:hAnsi="宋体" w:eastAsia="宋体" w:cs="Times New Roman"/>
                <w:color w:val="auto"/>
                <w:vertAlign w:val="superscript"/>
              </w:rPr>
              <w:t>-10</w:t>
            </w:r>
            <w:r>
              <w:rPr>
                <w:rFonts w:ascii="宋体" w:hAnsi="宋体" w:eastAsia="宋体" w:cs="Times New Roman"/>
                <w:color w:val="auto"/>
              </w:rPr>
              <w:t>cm/s</w:t>
            </w:r>
          </w:p>
        </w:tc>
        <w:tc>
          <w:tcPr>
            <w:tcW w:w="3537" w:type="dxa"/>
            <w:vMerge w:val="restart"/>
            <w:vAlign w:val="center"/>
          </w:tcPr>
          <w:p w14:paraId="361F5B10">
            <w:pPr>
              <w:adjustRightInd w:val="0"/>
              <w:snapToGrid w:val="0"/>
              <w:rPr>
                <w:rFonts w:ascii="宋体" w:hAnsi="宋体" w:eastAsia="宋体" w:cs="Times New Roman"/>
                <w:color w:val="auto"/>
              </w:rPr>
            </w:pPr>
            <w:r>
              <w:rPr>
                <w:rFonts w:ascii="宋体" w:hAnsi="宋体" w:eastAsia="宋体" w:cs="Times New Roman"/>
                <w:color w:val="auto"/>
              </w:rPr>
              <w:t>满足《环境影响评价技术导则 地下水环境》（HJ610-2016）中关于重点防渗区等效黏土防渗层Mb≥6.0m，K≤1×10</w:t>
            </w:r>
            <w:r>
              <w:rPr>
                <w:rFonts w:ascii="宋体" w:hAnsi="宋体" w:eastAsia="宋体" w:cs="Times New Roman"/>
                <w:color w:val="auto"/>
                <w:vertAlign w:val="superscript"/>
              </w:rPr>
              <w:t>-7</w:t>
            </w:r>
            <w:r>
              <w:rPr>
                <w:rFonts w:ascii="宋体" w:hAnsi="宋体" w:eastAsia="宋体" w:cs="Times New Roman"/>
                <w:color w:val="auto"/>
              </w:rPr>
              <w:t>cm/s防渗技术要求</w:t>
            </w:r>
          </w:p>
        </w:tc>
      </w:tr>
      <w:tr w14:paraId="02FE7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8" w:type="dxa"/>
            <w:vMerge w:val="continue"/>
            <w:vAlign w:val="center"/>
          </w:tcPr>
          <w:p w14:paraId="3CD44E78">
            <w:pPr>
              <w:snapToGrid w:val="0"/>
              <w:spacing w:line="360" w:lineRule="exact"/>
              <w:jc w:val="center"/>
              <w:rPr>
                <w:rFonts w:ascii="宋体" w:hAnsi="宋体" w:eastAsia="宋体" w:cs="Times New Roman"/>
                <w:color w:val="auto"/>
              </w:rPr>
            </w:pPr>
          </w:p>
        </w:tc>
        <w:tc>
          <w:tcPr>
            <w:tcW w:w="850" w:type="dxa"/>
            <w:vMerge w:val="continue"/>
            <w:vAlign w:val="center"/>
          </w:tcPr>
          <w:p w14:paraId="37D32F2E">
            <w:pPr>
              <w:snapToGrid w:val="0"/>
              <w:spacing w:line="360" w:lineRule="exact"/>
              <w:jc w:val="center"/>
              <w:rPr>
                <w:rFonts w:ascii="宋体" w:hAnsi="宋体" w:eastAsia="宋体" w:cs="Times New Roman"/>
                <w:color w:val="auto"/>
              </w:rPr>
            </w:pPr>
          </w:p>
        </w:tc>
        <w:tc>
          <w:tcPr>
            <w:tcW w:w="1698" w:type="dxa"/>
            <w:vAlign w:val="center"/>
          </w:tcPr>
          <w:p w14:paraId="3BC5CC88">
            <w:pPr>
              <w:snapToGrid w:val="0"/>
              <w:spacing w:line="360" w:lineRule="exact"/>
              <w:jc w:val="center"/>
              <w:rPr>
                <w:rFonts w:ascii="宋体" w:hAnsi="宋体" w:eastAsia="宋体" w:cs="Times New Roman"/>
                <w:color w:val="auto"/>
              </w:rPr>
            </w:pPr>
            <w:r>
              <w:rPr>
                <w:rFonts w:ascii="宋体" w:hAnsi="宋体" w:eastAsia="宋体" w:cs="Times New Roman"/>
                <w:color w:val="auto"/>
              </w:rPr>
              <w:t>施工期压裂车作业区域</w:t>
            </w:r>
          </w:p>
        </w:tc>
        <w:tc>
          <w:tcPr>
            <w:tcW w:w="2408" w:type="dxa"/>
            <w:vMerge w:val="continue"/>
            <w:vAlign w:val="center"/>
          </w:tcPr>
          <w:p w14:paraId="2E444890">
            <w:pPr>
              <w:adjustRightInd w:val="0"/>
              <w:snapToGrid w:val="0"/>
              <w:rPr>
                <w:rFonts w:ascii="宋体" w:hAnsi="宋体" w:eastAsia="宋体" w:cs="Times New Roman"/>
                <w:color w:val="auto"/>
              </w:rPr>
            </w:pPr>
          </w:p>
        </w:tc>
        <w:tc>
          <w:tcPr>
            <w:tcW w:w="3537" w:type="dxa"/>
            <w:vMerge w:val="continue"/>
            <w:vAlign w:val="center"/>
          </w:tcPr>
          <w:p w14:paraId="0CA076E9">
            <w:pPr>
              <w:adjustRightInd w:val="0"/>
              <w:snapToGrid w:val="0"/>
              <w:rPr>
                <w:rFonts w:ascii="宋体" w:hAnsi="宋体" w:eastAsia="宋体" w:cs="Times New Roman"/>
                <w:color w:val="auto"/>
              </w:rPr>
            </w:pPr>
          </w:p>
        </w:tc>
      </w:tr>
      <w:tr w14:paraId="73EE0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8" w:type="dxa"/>
            <w:vMerge w:val="continue"/>
            <w:vAlign w:val="center"/>
          </w:tcPr>
          <w:p w14:paraId="782BC016">
            <w:pPr>
              <w:snapToGrid w:val="0"/>
              <w:spacing w:line="360" w:lineRule="exact"/>
              <w:jc w:val="center"/>
              <w:rPr>
                <w:rFonts w:ascii="宋体" w:hAnsi="宋体" w:eastAsia="宋体" w:cs="Times New Roman"/>
                <w:color w:val="auto"/>
              </w:rPr>
            </w:pPr>
          </w:p>
        </w:tc>
        <w:tc>
          <w:tcPr>
            <w:tcW w:w="850" w:type="dxa"/>
            <w:vAlign w:val="center"/>
          </w:tcPr>
          <w:p w14:paraId="4174FDD0">
            <w:pPr>
              <w:snapToGrid w:val="0"/>
              <w:spacing w:line="360" w:lineRule="exact"/>
              <w:jc w:val="center"/>
              <w:rPr>
                <w:rFonts w:ascii="宋体" w:hAnsi="宋体" w:eastAsia="宋体" w:cs="Times New Roman"/>
                <w:color w:val="auto"/>
              </w:rPr>
            </w:pPr>
            <w:r>
              <w:rPr>
                <w:rFonts w:ascii="宋体" w:hAnsi="宋体" w:eastAsia="宋体" w:cs="Times New Roman"/>
                <w:color w:val="auto"/>
              </w:rPr>
              <w:t>一般防渗区</w:t>
            </w:r>
          </w:p>
        </w:tc>
        <w:tc>
          <w:tcPr>
            <w:tcW w:w="1698" w:type="dxa"/>
            <w:vAlign w:val="center"/>
          </w:tcPr>
          <w:p w14:paraId="4039DBAB">
            <w:pPr>
              <w:snapToGrid w:val="0"/>
              <w:spacing w:line="360" w:lineRule="exact"/>
              <w:rPr>
                <w:rFonts w:ascii="宋体" w:hAnsi="宋体" w:eastAsia="宋体" w:cs="Times New Roman"/>
                <w:color w:val="auto"/>
              </w:rPr>
            </w:pPr>
            <w:r>
              <w:rPr>
                <w:rFonts w:ascii="宋体" w:hAnsi="宋体" w:eastAsia="宋体" w:cs="Times New Roman"/>
                <w:color w:val="auto"/>
              </w:rPr>
              <w:t>其他材料房、机械修理房、临时防渗旱厕</w:t>
            </w:r>
          </w:p>
        </w:tc>
        <w:tc>
          <w:tcPr>
            <w:tcW w:w="2408" w:type="dxa"/>
            <w:vAlign w:val="center"/>
          </w:tcPr>
          <w:p w14:paraId="06AD176D">
            <w:pPr>
              <w:adjustRightInd w:val="0"/>
              <w:snapToGrid w:val="0"/>
              <w:rPr>
                <w:rFonts w:ascii="宋体" w:hAnsi="宋体" w:eastAsia="宋体" w:cs="Times New Roman"/>
                <w:color w:val="auto"/>
              </w:rPr>
            </w:pPr>
            <w:r>
              <w:rPr>
                <w:rFonts w:ascii="宋体" w:hAnsi="宋体" w:eastAsia="宋体" w:cs="Times New Roman"/>
                <w:color w:val="auto"/>
              </w:rPr>
              <w:t>采用1.5mm厚防渗布进行防渗，渗透系数为1.0×10</w:t>
            </w:r>
            <w:r>
              <w:rPr>
                <w:rFonts w:ascii="宋体" w:hAnsi="宋体" w:eastAsia="宋体" w:cs="Times New Roman"/>
                <w:color w:val="auto"/>
                <w:vertAlign w:val="superscript"/>
              </w:rPr>
              <w:t>-7</w:t>
            </w:r>
            <w:r>
              <w:rPr>
                <w:rFonts w:ascii="宋体" w:hAnsi="宋体" w:eastAsia="宋体" w:cs="Times New Roman"/>
                <w:color w:val="auto"/>
              </w:rPr>
              <w:t>cm/s</w:t>
            </w:r>
          </w:p>
        </w:tc>
        <w:tc>
          <w:tcPr>
            <w:tcW w:w="3537" w:type="dxa"/>
            <w:vAlign w:val="center"/>
          </w:tcPr>
          <w:p w14:paraId="39685E14">
            <w:pPr>
              <w:adjustRightInd w:val="0"/>
              <w:snapToGrid w:val="0"/>
              <w:rPr>
                <w:rFonts w:ascii="宋体" w:hAnsi="宋体" w:eastAsia="宋体" w:cs="Times New Roman"/>
                <w:color w:val="auto"/>
              </w:rPr>
            </w:pPr>
            <w:r>
              <w:rPr>
                <w:rFonts w:ascii="宋体" w:hAnsi="宋体" w:eastAsia="宋体" w:cs="Times New Roman"/>
                <w:color w:val="auto"/>
              </w:rPr>
              <w:t>满足《环境影响评价技术导则 地下水环境》（HJ610-2016）中关于一般防渗区等效黏土防渗层Mb≥1.5m，K≤1×10</w:t>
            </w:r>
            <w:r>
              <w:rPr>
                <w:rFonts w:ascii="宋体" w:hAnsi="宋体" w:eastAsia="宋体" w:cs="Times New Roman"/>
                <w:color w:val="auto"/>
                <w:vertAlign w:val="superscript"/>
              </w:rPr>
              <w:t>-7</w:t>
            </w:r>
            <w:r>
              <w:rPr>
                <w:rFonts w:ascii="宋体" w:hAnsi="宋体" w:eastAsia="宋体" w:cs="Times New Roman"/>
                <w:color w:val="auto"/>
              </w:rPr>
              <w:t>cm/s防渗技术要求</w:t>
            </w:r>
          </w:p>
        </w:tc>
      </w:tr>
      <w:tr w14:paraId="6C9D0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8" w:type="dxa"/>
            <w:vMerge w:val="continue"/>
            <w:vAlign w:val="center"/>
          </w:tcPr>
          <w:p w14:paraId="0DD90F8B">
            <w:pPr>
              <w:snapToGrid w:val="0"/>
              <w:spacing w:line="360" w:lineRule="exact"/>
              <w:jc w:val="center"/>
              <w:rPr>
                <w:rFonts w:ascii="宋体" w:hAnsi="宋体" w:eastAsia="宋体" w:cs="Times New Roman"/>
                <w:color w:val="auto"/>
              </w:rPr>
            </w:pPr>
          </w:p>
        </w:tc>
        <w:tc>
          <w:tcPr>
            <w:tcW w:w="850" w:type="dxa"/>
            <w:vAlign w:val="center"/>
          </w:tcPr>
          <w:p w14:paraId="5B35F7D3">
            <w:pPr>
              <w:snapToGrid w:val="0"/>
              <w:spacing w:line="360" w:lineRule="exact"/>
              <w:jc w:val="center"/>
              <w:rPr>
                <w:rFonts w:ascii="宋体" w:hAnsi="宋体" w:eastAsia="宋体" w:cs="Times New Roman"/>
                <w:color w:val="auto"/>
              </w:rPr>
            </w:pPr>
            <w:r>
              <w:rPr>
                <w:rFonts w:ascii="宋体" w:hAnsi="宋体" w:eastAsia="宋体" w:cs="Times New Roman"/>
                <w:color w:val="auto"/>
              </w:rPr>
              <w:t>简单防渗区</w:t>
            </w:r>
          </w:p>
        </w:tc>
        <w:tc>
          <w:tcPr>
            <w:tcW w:w="1698" w:type="dxa"/>
            <w:vAlign w:val="center"/>
          </w:tcPr>
          <w:p w14:paraId="40713990">
            <w:pPr>
              <w:snapToGrid w:val="0"/>
              <w:spacing w:line="360" w:lineRule="exact"/>
              <w:rPr>
                <w:rFonts w:ascii="宋体" w:hAnsi="宋体" w:eastAsia="宋体" w:cs="Times New Roman"/>
                <w:color w:val="auto"/>
              </w:rPr>
            </w:pPr>
            <w:bookmarkStart w:id="1602" w:name="_Hlk80769969"/>
            <w:r>
              <w:rPr>
                <w:rFonts w:ascii="宋体" w:hAnsi="宋体" w:eastAsia="宋体" w:cs="Times New Roman"/>
                <w:color w:val="auto"/>
              </w:rPr>
              <w:t>压裂施工混砂车和储砂区、施工井场其他区域</w:t>
            </w:r>
            <w:bookmarkEnd w:id="1602"/>
          </w:p>
        </w:tc>
        <w:tc>
          <w:tcPr>
            <w:tcW w:w="2408" w:type="dxa"/>
            <w:vAlign w:val="center"/>
          </w:tcPr>
          <w:p w14:paraId="52BA0FF8">
            <w:pPr>
              <w:adjustRightInd w:val="0"/>
              <w:snapToGrid w:val="0"/>
              <w:rPr>
                <w:rFonts w:ascii="宋体" w:hAnsi="宋体" w:eastAsia="宋体" w:cs="Times New Roman"/>
                <w:color w:val="auto"/>
              </w:rPr>
            </w:pPr>
            <w:r>
              <w:rPr>
                <w:rFonts w:ascii="宋体" w:hAnsi="宋体" w:eastAsia="宋体" w:cs="Times New Roman"/>
                <w:color w:val="auto"/>
              </w:rPr>
              <w:t>采用地面碾压平整</w:t>
            </w:r>
          </w:p>
        </w:tc>
        <w:tc>
          <w:tcPr>
            <w:tcW w:w="3537" w:type="dxa"/>
            <w:vAlign w:val="center"/>
          </w:tcPr>
          <w:p w14:paraId="470381F2">
            <w:pPr>
              <w:adjustRightInd w:val="0"/>
              <w:snapToGrid w:val="0"/>
              <w:rPr>
                <w:rFonts w:ascii="宋体" w:hAnsi="宋体" w:eastAsia="宋体" w:cs="Times New Roman"/>
                <w:color w:val="auto"/>
              </w:rPr>
            </w:pPr>
            <w:r>
              <w:rPr>
                <w:rFonts w:ascii="宋体" w:hAnsi="宋体" w:eastAsia="宋体" w:cs="Times New Roman"/>
                <w:color w:val="auto"/>
              </w:rPr>
              <w:t>满足《环境影响评价技术导则 地下水环境》（HJ610-2016）中关于简单防渗区一般地面硬化防渗技术要求</w:t>
            </w:r>
          </w:p>
        </w:tc>
      </w:tr>
      <w:tr w14:paraId="176CF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8" w:type="dxa"/>
            <w:vMerge w:val="restart"/>
            <w:vAlign w:val="center"/>
          </w:tcPr>
          <w:p w14:paraId="601B2F74">
            <w:pPr>
              <w:snapToGrid w:val="0"/>
              <w:spacing w:line="360" w:lineRule="exact"/>
              <w:jc w:val="center"/>
              <w:rPr>
                <w:rFonts w:ascii="宋体" w:hAnsi="宋体" w:eastAsia="宋体" w:cs="Times New Roman"/>
                <w:color w:val="auto"/>
              </w:rPr>
            </w:pPr>
            <w:r>
              <w:rPr>
                <w:rFonts w:ascii="宋体" w:hAnsi="宋体" w:eastAsia="宋体" w:cs="Times New Roman"/>
                <w:color w:val="auto"/>
              </w:rPr>
              <w:t>运营期</w:t>
            </w:r>
          </w:p>
        </w:tc>
        <w:tc>
          <w:tcPr>
            <w:tcW w:w="850" w:type="dxa"/>
            <w:vMerge w:val="restart"/>
            <w:vAlign w:val="center"/>
          </w:tcPr>
          <w:p w14:paraId="0DF85414">
            <w:pPr>
              <w:snapToGrid w:val="0"/>
              <w:spacing w:line="360" w:lineRule="exact"/>
              <w:jc w:val="center"/>
              <w:rPr>
                <w:rFonts w:ascii="宋体" w:hAnsi="宋体" w:eastAsia="宋体" w:cs="Times New Roman"/>
                <w:color w:val="auto"/>
              </w:rPr>
            </w:pPr>
            <w:r>
              <w:rPr>
                <w:rFonts w:ascii="宋体" w:hAnsi="宋体" w:eastAsia="宋体" w:cs="Times New Roman"/>
                <w:color w:val="auto"/>
              </w:rPr>
              <w:t>重点防渗区</w:t>
            </w:r>
          </w:p>
        </w:tc>
        <w:tc>
          <w:tcPr>
            <w:tcW w:w="1698" w:type="dxa"/>
            <w:vAlign w:val="center"/>
          </w:tcPr>
          <w:p w14:paraId="0ABE3C11">
            <w:pPr>
              <w:snapToGrid w:val="0"/>
              <w:spacing w:line="360" w:lineRule="exact"/>
              <w:jc w:val="center"/>
              <w:rPr>
                <w:rFonts w:ascii="宋体" w:hAnsi="宋体" w:eastAsia="宋体" w:cs="Times New Roman"/>
                <w:color w:val="auto"/>
              </w:rPr>
            </w:pPr>
            <w:r>
              <w:rPr>
                <w:rFonts w:ascii="宋体" w:hAnsi="宋体" w:eastAsia="宋体" w:cs="Times New Roman"/>
                <w:color w:val="auto"/>
              </w:rPr>
              <w:t>集油管道</w:t>
            </w:r>
          </w:p>
        </w:tc>
        <w:tc>
          <w:tcPr>
            <w:tcW w:w="2408" w:type="dxa"/>
            <w:vAlign w:val="center"/>
          </w:tcPr>
          <w:p w14:paraId="3F12FF83">
            <w:pPr>
              <w:adjustRightInd w:val="0"/>
              <w:snapToGrid w:val="0"/>
              <w:rPr>
                <w:rFonts w:ascii="宋体" w:hAnsi="宋体" w:eastAsia="宋体" w:cs="Times New Roman"/>
                <w:color w:val="auto"/>
              </w:rPr>
            </w:pPr>
            <w:r>
              <w:rPr>
                <w:rFonts w:ascii="宋体" w:hAnsi="宋体" w:eastAsia="宋体" w:cs="Times New Roman"/>
                <w:color w:val="auto"/>
              </w:rPr>
              <w:t>管道采用防腐无缝钢管、管道的连接方式采用焊接，管道设计壁厚的腐蚀余量为2mm或采用管道内防腐，管道的外防腐等级采用特加强级</w:t>
            </w:r>
          </w:p>
        </w:tc>
        <w:tc>
          <w:tcPr>
            <w:tcW w:w="3537" w:type="dxa"/>
            <w:vMerge w:val="restart"/>
            <w:vAlign w:val="center"/>
          </w:tcPr>
          <w:p w14:paraId="56E12C4A">
            <w:pPr>
              <w:adjustRightInd w:val="0"/>
              <w:snapToGrid w:val="0"/>
              <w:rPr>
                <w:rFonts w:ascii="宋体" w:hAnsi="宋体" w:eastAsia="宋体" w:cs="Times New Roman"/>
                <w:color w:val="auto"/>
              </w:rPr>
            </w:pPr>
            <w:r>
              <w:rPr>
                <w:rFonts w:ascii="宋体" w:hAnsi="宋体" w:eastAsia="宋体" w:cs="Times New Roman"/>
                <w:color w:val="auto"/>
              </w:rPr>
              <w:t>满足《环境影响评价技术导则 地下水环境》（HJ610-2016）中关于重点防渗区等效黏土防渗层Mb≥6.0m，K≤1×10</w:t>
            </w:r>
            <w:r>
              <w:rPr>
                <w:rFonts w:ascii="宋体" w:hAnsi="宋体" w:eastAsia="宋体" w:cs="Times New Roman"/>
                <w:color w:val="auto"/>
                <w:vertAlign w:val="superscript"/>
              </w:rPr>
              <w:t>-7</w:t>
            </w:r>
            <w:r>
              <w:rPr>
                <w:rFonts w:ascii="宋体" w:hAnsi="宋体" w:eastAsia="宋体" w:cs="Times New Roman"/>
                <w:color w:val="auto"/>
              </w:rPr>
              <w:t>cm/s防渗技术要求</w:t>
            </w:r>
          </w:p>
        </w:tc>
      </w:tr>
      <w:tr w14:paraId="061F9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8" w:type="dxa"/>
            <w:vMerge w:val="continue"/>
            <w:vAlign w:val="center"/>
          </w:tcPr>
          <w:p w14:paraId="4B012D03">
            <w:pPr>
              <w:snapToGrid w:val="0"/>
              <w:spacing w:line="360" w:lineRule="exact"/>
              <w:jc w:val="center"/>
              <w:rPr>
                <w:rFonts w:ascii="宋体" w:hAnsi="宋体" w:eastAsia="宋体" w:cs="Times New Roman"/>
                <w:color w:val="auto"/>
              </w:rPr>
            </w:pPr>
          </w:p>
        </w:tc>
        <w:tc>
          <w:tcPr>
            <w:tcW w:w="850" w:type="dxa"/>
            <w:vMerge w:val="continue"/>
            <w:vAlign w:val="center"/>
          </w:tcPr>
          <w:p w14:paraId="0728B944">
            <w:pPr>
              <w:snapToGrid w:val="0"/>
              <w:spacing w:line="360" w:lineRule="exact"/>
              <w:jc w:val="center"/>
              <w:rPr>
                <w:rFonts w:ascii="宋体" w:hAnsi="宋体" w:eastAsia="宋体" w:cs="Times New Roman"/>
                <w:color w:val="auto"/>
              </w:rPr>
            </w:pPr>
          </w:p>
        </w:tc>
        <w:tc>
          <w:tcPr>
            <w:tcW w:w="1698" w:type="dxa"/>
            <w:vAlign w:val="center"/>
          </w:tcPr>
          <w:p w14:paraId="40580BC4">
            <w:pPr>
              <w:snapToGrid w:val="0"/>
              <w:spacing w:line="360" w:lineRule="exact"/>
              <w:jc w:val="center"/>
              <w:rPr>
                <w:rFonts w:ascii="宋体" w:hAnsi="宋体" w:eastAsia="宋体" w:cs="Times New Roman"/>
                <w:color w:val="auto"/>
              </w:rPr>
            </w:pPr>
            <w:r>
              <w:rPr>
                <w:rFonts w:ascii="宋体" w:hAnsi="宋体" w:eastAsia="宋体" w:cs="Times New Roman"/>
                <w:color w:val="auto"/>
              </w:rPr>
              <w:t>井场作业区</w:t>
            </w:r>
          </w:p>
        </w:tc>
        <w:tc>
          <w:tcPr>
            <w:tcW w:w="2408" w:type="dxa"/>
            <w:vAlign w:val="center"/>
          </w:tcPr>
          <w:p w14:paraId="0CC84289">
            <w:pPr>
              <w:adjustRightInd w:val="0"/>
              <w:snapToGrid w:val="0"/>
              <w:rPr>
                <w:rFonts w:ascii="宋体" w:hAnsi="宋体" w:eastAsia="宋体" w:cs="Times New Roman"/>
                <w:color w:val="auto"/>
              </w:rPr>
            </w:pPr>
            <w:r>
              <w:rPr>
                <w:rFonts w:ascii="宋体" w:hAnsi="宋体" w:eastAsia="宋体" w:cs="Times New Roman"/>
                <w:color w:val="auto"/>
              </w:rPr>
              <w:t>井场作业区永久占地内铺设2mm厚防渗布进行防渗，渗透系数为1.0×10</w:t>
            </w:r>
            <w:r>
              <w:rPr>
                <w:rFonts w:ascii="宋体" w:hAnsi="宋体" w:eastAsia="宋体" w:cs="Times New Roman"/>
                <w:color w:val="auto"/>
                <w:vertAlign w:val="superscript"/>
              </w:rPr>
              <w:t>-10</w:t>
            </w:r>
            <w:r>
              <w:rPr>
                <w:rFonts w:ascii="宋体" w:hAnsi="宋体" w:eastAsia="宋体" w:cs="Times New Roman"/>
                <w:color w:val="auto"/>
              </w:rPr>
              <w:t>cm/s</w:t>
            </w:r>
          </w:p>
        </w:tc>
        <w:tc>
          <w:tcPr>
            <w:tcW w:w="3537" w:type="dxa"/>
            <w:vMerge w:val="continue"/>
            <w:vAlign w:val="center"/>
          </w:tcPr>
          <w:p w14:paraId="79AD3D8F">
            <w:pPr>
              <w:adjustRightInd w:val="0"/>
              <w:snapToGrid w:val="0"/>
              <w:rPr>
                <w:rFonts w:ascii="宋体" w:hAnsi="宋体" w:eastAsia="宋体" w:cs="Times New Roman"/>
                <w:color w:val="auto"/>
              </w:rPr>
            </w:pPr>
          </w:p>
        </w:tc>
      </w:tr>
      <w:tr w14:paraId="53463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8" w:type="dxa"/>
            <w:vMerge w:val="continue"/>
            <w:vAlign w:val="center"/>
          </w:tcPr>
          <w:p w14:paraId="04ABC848">
            <w:pPr>
              <w:snapToGrid w:val="0"/>
              <w:spacing w:line="360" w:lineRule="exact"/>
              <w:jc w:val="center"/>
              <w:rPr>
                <w:rFonts w:ascii="宋体" w:hAnsi="宋体" w:eastAsia="宋体" w:cs="Times New Roman"/>
                <w:color w:val="auto"/>
              </w:rPr>
            </w:pPr>
          </w:p>
        </w:tc>
        <w:tc>
          <w:tcPr>
            <w:tcW w:w="850" w:type="dxa"/>
            <w:vMerge w:val="continue"/>
            <w:vAlign w:val="center"/>
          </w:tcPr>
          <w:p w14:paraId="4D2F2435">
            <w:pPr>
              <w:snapToGrid w:val="0"/>
              <w:spacing w:line="360" w:lineRule="exact"/>
              <w:jc w:val="center"/>
              <w:rPr>
                <w:rFonts w:ascii="宋体" w:hAnsi="宋体" w:eastAsia="宋体" w:cs="Times New Roman"/>
                <w:color w:val="auto"/>
              </w:rPr>
            </w:pPr>
          </w:p>
        </w:tc>
        <w:tc>
          <w:tcPr>
            <w:tcW w:w="1698" w:type="dxa"/>
            <w:vAlign w:val="center"/>
          </w:tcPr>
          <w:p w14:paraId="248CEBFC">
            <w:pPr>
              <w:snapToGrid w:val="0"/>
              <w:spacing w:line="360" w:lineRule="exact"/>
              <w:jc w:val="center"/>
              <w:rPr>
                <w:rFonts w:ascii="宋体" w:hAnsi="宋体" w:eastAsia="宋体" w:cs="Times New Roman"/>
                <w:color w:val="auto"/>
              </w:rPr>
            </w:pPr>
            <w:r>
              <w:rPr>
                <w:rFonts w:ascii="宋体" w:hAnsi="宋体" w:eastAsia="宋体" w:cs="Times New Roman"/>
                <w:color w:val="auto"/>
              </w:rPr>
              <w:t>拉油点储罐区</w:t>
            </w:r>
          </w:p>
        </w:tc>
        <w:tc>
          <w:tcPr>
            <w:tcW w:w="2408" w:type="dxa"/>
            <w:vAlign w:val="center"/>
          </w:tcPr>
          <w:p w14:paraId="4D45D725">
            <w:pPr>
              <w:adjustRightInd w:val="0"/>
              <w:snapToGrid w:val="0"/>
              <w:rPr>
                <w:rFonts w:ascii="宋体" w:hAnsi="宋体" w:eastAsia="宋体" w:cs="Times New Roman"/>
                <w:color w:val="auto"/>
              </w:rPr>
            </w:pPr>
            <w:bookmarkStart w:id="1603" w:name="OLE_LINK9"/>
            <w:r>
              <w:rPr>
                <w:rFonts w:ascii="宋体" w:hAnsi="宋体" w:eastAsia="宋体" w:cs="Times New Roman"/>
                <w:color w:val="auto"/>
              </w:rPr>
              <w:t>储罐区占地内铺设2mm厚防渗布进行防渗，渗透系数为1.0×10</w:t>
            </w:r>
            <w:r>
              <w:rPr>
                <w:rFonts w:ascii="宋体" w:hAnsi="宋体" w:eastAsia="宋体" w:cs="Times New Roman"/>
                <w:color w:val="auto"/>
                <w:vertAlign w:val="superscript"/>
              </w:rPr>
              <w:t>-10</w:t>
            </w:r>
            <w:r>
              <w:rPr>
                <w:rFonts w:ascii="宋体" w:hAnsi="宋体" w:eastAsia="宋体" w:cs="Times New Roman"/>
                <w:color w:val="auto"/>
              </w:rPr>
              <w:t>cm/s</w:t>
            </w:r>
            <w:bookmarkEnd w:id="1603"/>
          </w:p>
        </w:tc>
        <w:tc>
          <w:tcPr>
            <w:tcW w:w="3537" w:type="dxa"/>
            <w:vMerge w:val="continue"/>
            <w:vAlign w:val="center"/>
          </w:tcPr>
          <w:p w14:paraId="0B5B93EA">
            <w:pPr>
              <w:adjustRightInd w:val="0"/>
              <w:snapToGrid w:val="0"/>
              <w:rPr>
                <w:rFonts w:ascii="宋体" w:hAnsi="宋体" w:eastAsia="宋体" w:cs="Times New Roman"/>
                <w:color w:val="auto"/>
              </w:rPr>
            </w:pPr>
          </w:p>
        </w:tc>
      </w:tr>
      <w:tr w14:paraId="0312E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8" w:type="dxa"/>
            <w:vMerge w:val="continue"/>
            <w:vAlign w:val="center"/>
          </w:tcPr>
          <w:p w14:paraId="4829CCC2">
            <w:pPr>
              <w:snapToGrid w:val="0"/>
              <w:spacing w:line="360" w:lineRule="exact"/>
              <w:jc w:val="center"/>
              <w:rPr>
                <w:rFonts w:ascii="宋体" w:hAnsi="宋体" w:eastAsia="宋体" w:cs="Times New Roman"/>
                <w:color w:val="auto"/>
              </w:rPr>
            </w:pPr>
          </w:p>
        </w:tc>
        <w:tc>
          <w:tcPr>
            <w:tcW w:w="850" w:type="dxa"/>
            <w:vAlign w:val="center"/>
          </w:tcPr>
          <w:p w14:paraId="06A11223">
            <w:pPr>
              <w:snapToGrid w:val="0"/>
              <w:spacing w:line="360" w:lineRule="exact"/>
              <w:jc w:val="center"/>
              <w:rPr>
                <w:rFonts w:ascii="宋体" w:hAnsi="宋体" w:eastAsia="宋体" w:cs="Times New Roman"/>
                <w:color w:val="auto"/>
              </w:rPr>
            </w:pPr>
            <w:r>
              <w:rPr>
                <w:rFonts w:ascii="宋体" w:hAnsi="宋体" w:eastAsia="宋体" w:cs="Times New Roman"/>
                <w:color w:val="auto"/>
              </w:rPr>
              <w:t>简单防渗区</w:t>
            </w:r>
          </w:p>
        </w:tc>
        <w:tc>
          <w:tcPr>
            <w:tcW w:w="1698" w:type="dxa"/>
            <w:vAlign w:val="center"/>
          </w:tcPr>
          <w:p w14:paraId="6C416C27">
            <w:pPr>
              <w:snapToGrid w:val="0"/>
              <w:spacing w:line="360" w:lineRule="exact"/>
              <w:jc w:val="center"/>
              <w:rPr>
                <w:rFonts w:ascii="宋体" w:hAnsi="宋体" w:eastAsia="宋体" w:cs="Times New Roman"/>
                <w:color w:val="auto"/>
              </w:rPr>
            </w:pPr>
            <w:r>
              <w:rPr>
                <w:rFonts w:ascii="宋体" w:hAnsi="宋体" w:eastAsia="宋体" w:cs="Times New Roman"/>
                <w:color w:val="auto"/>
              </w:rPr>
              <w:t>井场永久占地内</w:t>
            </w:r>
          </w:p>
        </w:tc>
        <w:tc>
          <w:tcPr>
            <w:tcW w:w="2408" w:type="dxa"/>
            <w:vAlign w:val="center"/>
          </w:tcPr>
          <w:p w14:paraId="24DF1126">
            <w:pPr>
              <w:adjustRightInd w:val="0"/>
              <w:snapToGrid w:val="0"/>
              <w:rPr>
                <w:rFonts w:ascii="宋体" w:hAnsi="宋体" w:eastAsia="宋体" w:cs="Times New Roman"/>
                <w:color w:val="auto"/>
              </w:rPr>
            </w:pPr>
            <w:r>
              <w:rPr>
                <w:rFonts w:ascii="宋体" w:hAnsi="宋体" w:eastAsia="宋体" w:cs="Times New Roman"/>
                <w:color w:val="auto"/>
              </w:rPr>
              <w:t>采用地面夯实碾压平整进行防渗</w:t>
            </w:r>
          </w:p>
        </w:tc>
        <w:tc>
          <w:tcPr>
            <w:tcW w:w="3537" w:type="dxa"/>
            <w:vAlign w:val="center"/>
          </w:tcPr>
          <w:p w14:paraId="1CA1B7BF">
            <w:pPr>
              <w:adjustRightInd w:val="0"/>
              <w:snapToGrid w:val="0"/>
              <w:rPr>
                <w:rFonts w:ascii="宋体" w:hAnsi="宋体" w:eastAsia="宋体" w:cs="Times New Roman"/>
                <w:color w:val="auto"/>
              </w:rPr>
            </w:pPr>
            <w:r>
              <w:rPr>
                <w:rFonts w:ascii="宋体" w:hAnsi="宋体" w:eastAsia="宋体" w:cs="Times New Roman"/>
                <w:color w:val="auto"/>
              </w:rPr>
              <w:t>满足一般地面硬化防渗技术要求</w:t>
            </w:r>
          </w:p>
        </w:tc>
      </w:tr>
    </w:tbl>
    <w:p w14:paraId="06EE60B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（3）地下水环境跟踪监测</w:t>
      </w:r>
    </w:p>
    <w:p w14:paraId="0201FC65">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定期对地下水环境进行监测，监测委托具有资质的单位进行，结合《排污单位自行监测技术指南 陆上石油天然气开采工业》（HJ1248-2022）、《工业企业土壤和地下水自行监测技术指南（试行）》（HJ 1209-2021）制定本项目</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监测计划，同时在当地对监测结果进行信息公开，每年公开一次，随时监测地下水的变化，及时发现和解决问题；如发生重大污染事故且已对地下水造成污染，应进行信息公开，并与政府相关部门进行联动，聘请专家进行讨论，制定减轻地下水污染程度及控制地下水污染范围的措施，防止地下水污染加剧。</w:t>
      </w:r>
    </w:p>
    <w:p w14:paraId="213C6EF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项目区域潜水流向为从东北向西南，根据项目油井分布和周边地下水井分布情况，</w:t>
      </w:r>
      <w:r>
        <w:rPr>
          <w:rFonts w:hint="eastAsia" w:ascii="宋体" w:hAnsi="宋体" w:eastAsia="宋体" w:cs="Times New Roman"/>
          <w:color w:val="auto"/>
          <w:kern w:val="21"/>
          <w:sz w:val="24"/>
          <w:szCs w:val="24"/>
        </w:rPr>
        <w:t>共布设7个地下水</w:t>
      </w:r>
      <w:r>
        <w:rPr>
          <w:rFonts w:ascii="宋体" w:hAnsi="宋体" w:eastAsia="宋体" w:cs="Times New Roman"/>
          <w:color w:val="auto"/>
          <w:kern w:val="21"/>
          <w:sz w:val="24"/>
          <w:szCs w:val="24"/>
        </w:rPr>
        <w:t>跟踪监测点，定期对地下水进行跟踪监测，具体设置情况见表6.1-2。地下水跟踪监测布点图附图5-2。</w:t>
      </w:r>
    </w:p>
    <w:p w14:paraId="267A0B33">
      <w:pPr>
        <w:pStyle w:val="276"/>
        <w:widowControl w:val="0"/>
        <w:spacing w:line="440" w:lineRule="exact"/>
        <w:ind w:firstLine="0" w:firstLineChars="0"/>
        <w:jc w:val="center"/>
        <w:rPr>
          <w:color w:val="auto"/>
          <w:kern w:val="21"/>
          <w:szCs w:val="20"/>
        </w:rPr>
      </w:pPr>
      <w:r>
        <w:rPr>
          <w:color w:val="auto"/>
          <w:kern w:val="21"/>
        </w:rPr>
        <w:t>表6.1-2</w:t>
      </w:r>
      <w:r>
        <w:rPr>
          <w:color w:val="auto"/>
          <w:kern w:val="21"/>
          <w:szCs w:val="20"/>
        </w:rPr>
        <w:t xml:space="preserve"> 地下水环境监测计划表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4"/>
        <w:gridCol w:w="834"/>
        <w:gridCol w:w="1269"/>
        <w:gridCol w:w="1581"/>
        <w:gridCol w:w="1413"/>
        <w:gridCol w:w="687"/>
        <w:gridCol w:w="689"/>
        <w:gridCol w:w="680"/>
      </w:tblGrid>
      <w:tr w14:paraId="293E0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0" w:type="pct"/>
            <w:shd w:val="clear" w:color="auto" w:fill="auto"/>
            <w:vAlign w:val="center"/>
          </w:tcPr>
          <w:p w14:paraId="330C64B7">
            <w:pPr>
              <w:jc w:val="center"/>
              <w:rPr>
                <w:rFonts w:asciiTheme="minorEastAsia" w:hAnsiTheme="minorEastAsia"/>
                <w:color w:val="auto"/>
              </w:rPr>
            </w:pPr>
            <w:r>
              <w:rPr>
                <w:rFonts w:asciiTheme="minorEastAsia" w:hAnsiTheme="minorEastAsia"/>
                <w:color w:val="auto"/>
              </w:rPr>
              <w:t>点位</w:t>
            </w:r>
          </w:p>
        </w:tc>
        <w:tc>
          <w:tcPr>
            <w:tcW w:w="470" w:type="pct"/>
            <w:shd w:val="clear" w:color="auto" w:fill="auto"/>
            <w:vAlign w:val="center"/>
          </w:tcPr>
          <w:p w14:paraId="7D809B5D">
            <w:pPr>
              <w:jc w:val="center"/>
              <w:rPr>
                <w:rFonts w:asciiTheme="minorEastAsia" w:hAnsiTheme="minorEastAsia"/>
                <w:color w:val="auto"/>
              </w:rPr>
            </w:pPr>
            <w:r>
              <w:rPr>
                <w:rFonts w:asciiTheme="minorEastAsia" w:hAnsiTheme="minorEastAsia"/>
                <w:color w:val="auto"/>
              </w:rPr>
              <w:t>功能</w:t>
            </w:r>
          </w:p>
        </w:tc>
        <w:tc>
          <w:tcPr>
            <w:tcW w:w="704" w:type="pct"/>
            <w:shd w:val="clear" w:color="auto" w:fill="auto"/>
            <w:vAlign w:val="center"/>
          </w:tcPr>
          <w:p w14:paraId="49D54BA6">
            <w:pPr>
              <w:jc w:val="center"/>
              <w:rPr>
                <w:rFonts w:asciiTheme="minorEastAsia" w:hAnsiTheme="minorEastAsia"/>
                <w:color w:val="auto"/>
              </w:rPr>
            </w:pPr>
            <w:r>
              <w:rPr>
                <w:rFonts w:asciiTheme="minorEastAsia" w:hAnsiTheme="minorEastAsia"/>
                <w:color w:val="auto"/>
              </w:rPr>
              <w:t>监测因子</w:t>
            </w:r>
          </w:p>
        </w:tc>
        <w:tc>
          <w:tcPr>
            <w:tcW w:w="704" w:type="pct"/>
            <w:shd w:val="clear" w:color="auto" w:fill="auto"/>
            <w:vAlign w:val="center"/>
          </w:tcPr>
          <w:p w14:paraId="16C40BBB">
            <w:pPr>
              <w:jc w:val="center"/>
              <w:rPr>
                <w:rFonts w:asciiTheme="minorEastAsia" w:hAnsiTheme="minorEastAsia"/>
                <w:color w:val="auto"/>
              </w:rPr>
            </w:pPr>
            <w:r>
              <w:rPr>
                <w:rFonts w:asciiTheme="minorEastAsia" w:hAnsiTheme="minorEastAsia"/>
                <w:color w:val="auto"/>
              </w:rPr>
              <w:t>坐标</w:t>
            </w:r>
            <w:r>
              <w:rPr>
                <w:rFonts w:hint="eastAsia" w:asciiTheme="minorEastAsia" w:hAnsiTheme="minorEastAsia"/>
                <w:color w:val="auto"/>
              </w:rPr>
              <w:t>/°</w:t>
            </w:r>
          </w:p>
        </w:tc>
        <w:tc>
          <w:tcPr>
            <w:tcW w:w="782" w:type="pct"/>
            <w:shd w:val="clear" w:color="auto" w:fill="auto"/>
            <w:vAlign w:val="center"/>
          </w:tcPr>
          <w:p w14:paraId="7A02B20A">
            <w:pPr>
              <w:jc w:val="center"/>
              <w:rPr>
                <w:rFonts w:asciiTheme="minorEastAsia" w:hAnsiTheme="minorEastAsia"/>
                <w:color w:val="auto"/>
              </w:rPr>
            </w:pPr>
            <w:r>
              <w:rPr>
                <w:rFonts w:asciiTheme="minorEastAsia" w:hAnsiTheme="minorEastAsia"/>
                <w:color w:val="auto"/>
              </w:rPr>
              <w:t>位置</w:t>
            </w:r>
          </w:p>
        </w:tc>
        <w:tc>
          <w:tcPr>
            <w:tcW w:w="391" w:type="pct"/>
            <w:shd w:val="clear" w:color="auto" w:fill="auto"/>
            <w:vAlign w:val="center"/>
          </w:tcPr>
          <w:p w14:paraId="547510CF">
            <w:pPr>
              <w:jc w:val="center"/>
              <w:rPr>
                <w:rFonts w:asciiTheme="minorEastAsia" w:hAnsiTheme="minorEastAsia"/>
                <w:color w:val="auto"/>
              </w:rPr>
            </w:pPr>
            <w:r>
              <w:rPr>
                <w:rFonts w:asciiTheme="minorEastAsia" w:hAnsiTheme="minorEastAsia"/>
                <w:color w:val="auto"/>
              </w:rPr>
              <w:t>井深</w:t>
            </w:r>
          </w:p>
        </w:tc>
        <w:tc>
          <w:tcPr>
            <w:tcW w:w="392" w:type="pct"/>
            <w:shd w:val="clear" w:color="auto" w:fill="auto"/>
            <w:vAlign w:val="center"/>
          </w:tcPr>
          <w:p w14:paraId="2A12B3AF">
            <w:pPr>
              <w:jc w:val="center"/>
              <w:rPr>
                <w:rFonts w:asciiTheme="minorEastAsia" w:hAnsiTheme="minorEastAsia"/>
                <w:color w:val="auto"/>
              </w:rPr>
            </w:pPr>
            <w:r>
              <w:rPr>
                <w:rFonts w:asciiTheme="minorEastAsia" w:hAnsiTheme="minorEastAsia"/>
                <w:color w:val="auto"/>
              </w:rPr>
              <w:t>监测层位</w:t>
            </w:r>
          </w:p>
        </w:tc>
        <w:tc>
          <w:tcPr>
            <w:tcW w:w="387" w:type="pct"/>
            <w:shd w:val="clear" w:color="auto" w:fill="auto"/>
            <w:vAlign w:val="center"/>
          </w:tcPr>
          <w:p w14:paraId="2A841C4A">
            <w:pPr>
              <w:jc w:val="center"/>
              <w:rPr>
                <w:rFonts w:asciiTheme="minorEastAsia" w:hAnsiTheme="minorEastAsia"/>
                <w:color w:val="auto"/>
              </w:rPr>
            </w:pPr>
            <w:r>
              <w:rPr>
                <w:rFonts w:asciiTheme="minorEastAsia" w:hAnsiTheme="minorEastAsia"/>
                <w:color w:val="auto"/>
              </w:rPr>
              <w:t>监测频次</w:t>
            </w:r>
          </w:p>
        </w:tc>
      </w:tr>
      <w:tr w14:paraId="7AD86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0" w:type="pct"/>
            <w:shd w:val="clear" w:color="auto" w:fill="auto"/>
            <w:vAlign w:val="center"/>
          </w:tcPr>
          <w:p w14:paraId="4B03E35E">
            <w:pPr>
              <w:jc w:val="center"/>
              <w:rPr>
                <w:rFonts w:asciiTheme="minorEastAsia" w:hAnsiTheme="minorEastAsia"/>
                <w:color w:val="auto"/>
              </w:rPr>
            </w:pPr>
            <w:r>
              <w:rPr>
                <w:rFonts w:asciiTheme="minorEastAsia" w:hAnsiTheme="minorEastAsia"/>
                <w:color w:val="auto"/>
              </w:rPr>
              <w:t>上游王家粉坊屯水</w:t>
            </w:r>
            <w:r>
              <w:rPr>
                <w:rFonts w:hint="eastAsia" w:asciiTheme="minorEastAsia" w:hAnsiTheme="minorEastAsia"/>
                <w:color w:val="auto"/>
              </w:rPr>
              <w:t>井</w:t>
            </w:r>
          </w:p>
        </w:tc>
        <w:tc>
          <w:tcPr>
            <w:tcW w:w="470" w:type="pct"/>
            <w:shd w:val="clear" w:color="auto" w:fill="auto"/>
            <w:vAlign w:val="center"/>
          </w:tcPr>
          <w:p w14:paraId="6F3664BD">
            <w:pPr>
              <w:jc w:val="center"/>
              <w:rPr>
                <w:rFonts w:asciiTheme="minorEastAsia" w:hAnsiTheme="minorEastAsia"/>
                <w:color w:val="auto"/>
              </w:rPr>
            </w:pPr>
            <w:r>
              <w:rPr>
                <w:rFonts w:asciiTheme="minorEastAsia" w:hAnsiTheme="minorEastAsia"/>
                <w:color w:val="auto"/>
              </w:rPr>
              <w:t>背景监测点</w:t>
            </w:r>
          </w:p>
        </w:tc>
        <w:tc>
          <w:tcPr>
            <w:tcW w:w="704" w:type="pct"/>
            <w:vMerge w:val="restart"/>
            <w:shd w:val="clear" w:color="auto" w:fill="auto"/>
            <w:vAlign w:val="center"/>
          </w:tcPr>
          <w:p w14:paraId="14C38D77">
            <w:pPr>
              <w:jc w:val="center"/>
              <w:rPr>
                <w:rFonts w:asciiTheme="minorEastAsia" w:hAnsiTheme="minorEastAsia"/>
                <w:color w:val="auto"/>
              </w:rPr>
            </w:pPr>
            <w:r>
              <w:rPr>
                <w:rFonts w:asciiTheme="minorEastAsia" w:hAnsiTheme="minorEastAsia"/>
                <w:color w:val="auto"/>
              </w:rPr>
              <w:t>pH、石油类、石油烃（C</w:t>
            </w:r>
            <w:r>
              <w:rPr>
                <w:rFonts w:asciiTheme="minorEastAsia" w:hAnsiTheme="minorEastAsia"/>
                <w:color w:val="auto"/>
                <w:vertAlign w:val="subscript"/>
              </w:rPr>
              <w:t>6</w:t>
            </w:r>
            <w:r>
              <w:rPr>
                <w:rFonts w:asciiTheme="minorEastAsia" w:hAnsiTheme="minorEastAsia"/>
                <w:color w:val="auto"/>
              </w:rPr>
              <w:t>～C</w:t>
            </w:r>
            <w:r>
              <w:rPr>
                <w:rFonts w:asciiTheme="minorEastAsia" w:hAnsiTheme="minorEastAsia"/>
                <w:color w:val="auto"/>
                <w:vertAlign w:val="subscript"/>
              </w:rPr>
              <w:t>9</w:t>
            </w:r>
            <w:r>
              <w:rPr>
                <w:rFonts w:asciiTheme="minorEastAsia" w:hAnsiTheme="minorEastAsia"/>
                <w:color w:val="auto"/>
              </w:rPr>
              <w:t>）、石油烃（C</w:t>
            </w:r>
            <w:r>
              <w:rPr>
                <w:rFonts w:asciiTheme="minorEastAsia" w:hAnsiTheme="minorEastAsia"/>
                <w:color w:val="auto"/>
                <w:vertAlign w:val="subscript"/>
              </w:rPr>
              <w:t>10</w:t>
            </w:r>
            <w:r>
              <w:rPr>
                <w:rFonts w:asciiTheme="minorEastAsia" w:hAnsiTheme="minorEastAsia"/>
                <w:color w:val="auto"/>
              </w:rPr>
              <w:t>～C</w:t>
            </w:r>
            <w:r>
              <w:rPr>
                <w:rFonts w:asciiTheme="minorEastAsia" w:hAnsiTheme="minorEastAsia"/>
                <w:color w:val="auto"/>
                <w:vertAlign w:val="subscript"/>
              </w:rPr>
              <w:t>40</w:t>
            </w:r>
            <w:r>
              <w:rPr>
                <w:rFonts w:asciiTheme="minorEastAsia" w:hAnsiTheme="minorEastAsia"/>
                <w:color w:val="auto"/>
              </w:rPr>
              <w:t>）、砷、六价铬、挥发酚、氨氮、耗氧量</w:t>
            </w:r>
          </w:p>
        </w:tc>
        <w:tc>
          <w:tcPr>
            <w:tcW w:w="704" w:type="pct"/>
            <w:shd w:val="clear" w:color="auto" w:fill="auto"/>
            <w:vAlign w:val="center"/>
          </w:tcPr>
          <w:p w14:paraId="2D16C9CD">
            <w:pPr>
              <w:jc w:val="center"/>
              <w:rPr>
                <w:rFonts w:asciiTheme="minorEastAsia" w:hAnsiTheme="minorEastAsia"/>
                <w:color w:val="auto"/>
              </w:rPr>
            </w:pPr>
            <w:r>
              <w:rPr>
                <w:rFonts w:asciiTheme="minorEastAsia" w:hAnsiTheme="minorEastAsia"/>
                <w:color w:val="auto"/>
              </w:rPr>
              <w:t>125.16401，45.57877</w:t>
            </w:r>
          </w:p>
        </w:tc>
        <w:tc>
          <w:tcPr>
            <w:tcW w:w="782" w:type="pct"/>
            <w:shd w:val="clear" w:color="auto" w:fill="auto"/>
            <w:vAlign w:val="center"/>
          </w:tcPr>
          <w:p w14:paraId="5E488075">
            <w:pPr>
              <w:jc w:val="center"/>
              <w:rPr>
                <w:rFonts w:asciiTheme="minorEastAsia" w:hAnsiTheme="minorEastAsia"/>
                <w:color w:val="auto"/>
              </w:rPr>
            </w:pPr>
            <w:r>
              <w:rPr>
                <w:rFonts w:hint="eastAsia" w:asciiTheme="minorEastAsia" w:hAnsiTheme="minorEastAsia"/>
                <w:color w:val="auto"/>
              </w:rPr>
              <w:t>源212</w:t>
            </w:r>
            <w:r>
              <w:rPr>
                <w:rFonts w:asciiTheme="minorEastAsia" w:hAnsiTheme="minorEastAsia"/>
                <w:color w:val="auto"/>
              </w:rPr>
              <w:t>扶平</w:t>
            </w:r>
            <w:r>
              <w:rPr>
                <w:rFonts w:hint="eastAsia" w:asciiTheme="minorEastAsia" w:hAnsiTheme="minorEastAsia"/>
                <w:color w:val="auto"/>
              </w:rPr>
              <w:t>4</w:t>
            </w:r>
            <w:r>
              <w:rPr>
                <w:rFonts w:asciiTheme="minorEastAsia" w:hAnsiTheme="minorEastAsia"/>
                <w:color w:val="auto"/>
              </w:rPr>
              <w:t>井场北</w:t>
            </w:r>
            <w:r>
              <w:rPr>
                <w:rFonts w:hint="eastAsia" w:asciiTheme="minorEastAsia" w:hAnsiTheme="minorEastAsia"/>
                <w:color w:val="auto"/>
              </w:rPr>
              <w:t>1300</w:t>
            </w:r>
            <w:r>
              <w:rPr>
                <w:rFonts w:asciiTheme="minorEastAsia" w:hAnsiTheme="minorEastAsia"/>
                <w:color w:val="auto"/>
              </w:rPr>
              <w:t>m</w:t>
            </w:r>
          </w:p>
        </w:tc>
        <w:tc>
          <w:tcPr>
            <w:tcW w:w="391" w:type="pct"/>
            <w:shd w:val="clear" w:color="auto" w:fill="auto"/>
            <w:vAlign w:val="center"/>
          </w:tcPr>
          <w:p w14:paraId="1E74F12E">
            <w:pPr>
              <w:jc w:val="center"/>
              <w:rPr>
                <w:rFonts w:asciiTheme="minorEastAsia" w:hAnsiTheme="minorEastAsia"/>
                <w:color w:val="auto"/>
              </w:rPr>
            </w:pPr>
            <w:r>
              <w:rPr>
                <w:rFonts w:asciiTheme="minorEastAsia" w:hAnsiTheme="minorEastAsia"/>
                <w:color w:val="auto"/>
              </w:rPr>
              <w:t>1</w:t>
            </w:r>
            <w:r>
              <w:rPr>
                <w:rFonts w:hint="eastAsia" w:asciiTheme="minorEastAsia" w:hAnsiTheme="minorEastAsia"/>
                <w:color w:val="auto"/>
              </w:rPr>
              <w:t>5</w:t>
            </w:r>
            <w:r>
              <w:rPr>
                <w:rFonts w:asciiTheme="minorEastAsia" w:hAnsiTheme="minorEastAsia"/>
                <w:color w:val="auto"/>
              </w:rPr>
              <w:t>m</w:t>
            </w:r>
          </w:p>
        </w:tc>
        <w:tc>
          <w:tcPr>
            <w:tcW w:w="392" w:type="pct"/>
            <w:shd w:val="clear" w:color="auto" w:fill="auto"/>
            <w:vAlign w:val="center"/>
          </w:tcPr>
          <w:p w14:paraId="0755420A">
            <w:pPr>
              <w:jc w:val="center"/>
              <w:rPr>
                <w:rFonts w:asciiTheme="minorEastAsia" w:hAnsiTheme="minorEastAsia"/>
                <w:color w:val="auto"/>
              </w:rPr>
            </w:pPr>
            <w:r>
              <w:rPr>
                <w:rFonts w:asciiTheme="minorEastAsia" w:hAnsiTheme="minorEastAsia"/>
                <w:color w:val="auto"/>
              </w:rPr>
              <w:t>潜水</w:t>
            </w:r>
          </w:p>
        </w:tc>
        <w:tc>
          <w:tcPr>
            <w:tcW w:w="387" w:type="pct"/>
            <w:vMerge w:val="restart"/>
            <w:shd w:val="clear" w:color="auto" w:fill="auto"/>
            <w:vAlign w:val="center"/>
          </w:tcPr>
          <w:p w14:paraId="6CD32251">
            <w:pPr>
              <w:jc w:val="center"/>
              <w:rPr>
                <w:rFonts w:asciiTheme="minorEastAsia" w:hAnsiTheme="minorEastAsia"/>
                <w:color w:val="auto"/>
              </w:rPr>
            </w:pPr>
            <w:r>
              <w:rPr>
                <w:rFonts w:asciiTheme="minorEastAsia" w:hAnsiTheme="minorEastAsia"/>
                <w:color w:val="auto"/>
              </w:rPr>
              <w:t>1次/半年</w:t>
            </w:r>
          </w:p>
        </w:tc>
      </w:tr>
      <w:tr w14:paraId="1CE03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0" w:type="pct"/>
            <w:shd w:val="clear" w:color="auto" w:fill="auto"/>
            <w:vAlign w:val="center"/>
          </w:tcPr>
          <w:p w14:paraId="5C3913C0">
            <w:pPr>
              <w:jc w:val="center"/>
              <w:rPr>
                <w:rFonts w:asciiTheme="minorEastAsia" w:hAnsiTheme="minorEastAsia"/>
                <w:color w:val="auto"/>
              </w:rPr>
            </w:pPr>
            <w:r>
              <w:rPr>
                <w:rFonts w:asciiTheme="minorEastAsia" w:hAnsiTheme="minorEastAsia"/>
                <w:color w:val="auto"/>
              </w:rPr>
              <w:t>区域内后欧力马水井</w:t>
            </w:r>
          </w:p>
        </w:tc>
        <w:tc>
          <w:tcPr>
            <w:tcW w:w="470" w:type="pct"/>
            <w:shd w:val="clear" w:color="auto" w:fill="auto"/>
            <w:vAlign w:val="center"/>
          </w:tcPr>
          <w:p w14:paraId="14B79FC5">
            <w:pPr>
              <w:jc w:val="center"/>
              <w:rPr>
                <w:rFonts w:asciiTheme="minorEastAsia" w:hAnsiTheme="minorEastAsia"/>
                <w:color w:val="auto"/>
              </w:rPr>
            </w:pPr>
            <w:r>
              <w:rPr>
                <w:rFonts w:asciiTheme="minorEastAsia" w:hAnsiTheme="minorEastAsia"/>
                <w:color w:val="auto"/>
              </w:rPr>
              <w:t>跟踪监测点</w:t>
            </w:r>
          </w:p>
        </w:tc>
        <w:tc>
          <w:tcPr>
            <w:tcW w:w="704" w:type="pct"/>
            <w:vMerge w:val="continue"/>
            <w:shd w:val="clear" w:color="auto" w:fill="auto"/>
            <w:vAlign w:val="center"/>
          </w:tcPr>
          <w:p w14:paraId="6378F512">
            <w:pPr>
              <w:jc w:val="center"/>
              <w:rPr>
                <w:rFonts w:asciiTheme="minorEastAsia" w:hAnsiTheme="minorEastAsia"/>
                <w:color w:val="auto"/>
              </w:rPr>
            </w:pPr>
          </w:p>
        </w:tc>
        <w:tc>
          <w:tcPr>
            <w:tcW w:w="704" w:type="pct"/>
            <w:shd w:val="clear" w:color="auto" w:fill="auto"/>
            <w:vAlign w:val="center"/>
          </w:tcPr>
          <w:p w14:paraId="325EAFB2">
            <w:pPr>
              <w:jc w:val="center"/>
              <w:rPr>
                <w:rFonts w:asciiTheme="minorEastAsia" w:hAnsiTheme="minorEastAsia"/>
                <w:color w:val="auto"/>
              </w:rPr>
            </w:pPr>
            <w:r>
              <w:rPr>
                <w:rFonts w:asciiTheme="minorEastAsia" w:hAnsiTheme="minorEastAsia"/>
                <w:color w:val="auto"/>
              </w:rPr>
              <w:t>125.17085，45.56812</w:t>
            </w:r>
          </w:p>
        </w:tc>
        <w:tc>
          <w:tcPr>
            <w:tcW w:w="782" w:type="pct"/>
            <w:shd w:val="clear" w:color="auto" w:fill="auto"/>
            <w:vAlign w:val="center"/>
          </w:tcPr>
          <w:p w14:paraId="758718AD">
            <w:pPr>
              <w:jc w:val="center"/>
              <w:rPr>
                <w:rFonts w:asciiTheme="minorEastAsia" w:hAnsiTheme="minorEastAsia"/>
                <w:color w:val="auto"/>
              </w:rPr>
            </w:pPr>
            <w:r>
              <w:rPr>
                <w:rFonts w:hint="eastAsia" w:asciiTheme="minorEastAsia" w:hAnsiTheme="minorEastAsia"/>
                <w:color w:val="auto"/>
              </w:rPr>
              <w:t>3</w:t>
            </w:r>
            <w:r>
              <w:rPr>
                <w:rFonts w:asciiTheme="minorEastAsia" w:hAnsiTheme="minorEastAsia"/>
                <w:color w:val="auto"/>
              </w:rPr>
              <w:t>号平台井场</w:t>
            </w:r>
            <w:r>
              <w:rPr>
                <w:rFonts w:hint="eastAsia" w:asciiTheme="minorEastAsia" w:hAnsiTheme="minorEastAsia"/>
                <w:color w:val="auto"/>
              </w:rPr>
              <w:t>西</w:t>
            </w:r>
            <w:r>
              <w:rPr>
                <w:rFonts w:asciiTheme="minorEastAsia" w:hAnsiTheme="minorEastAsia"/>
                <w:color w:val="auto"/>
              </w:rPr>
              <w:t>侧</w:t>
            </w:r>
            <w:r>
              <w:rPr>
                <w:rFonts w:hint="eastAsia" w:asciiTheme="minorEastAsia" w:hAnsiTheme="minorEastAsia"/>
                <w:color w:val="auto"/>
              </w:rPr>
              <w:t>380</w:t>
            </w:r>
            <w:r>
              <w:rPr>
                <w:rFonts w:asciiTheme="minorEastAsia" w:hAnsiTheme="minorEastAsia"/>
                <w:color w:val="auto"/>
              </w:rPr>
              <w:t>m</w:t>
            </w:r>
          </w:p>
        </w:tc>
        <w:tc>
          <w:tcPr>
            <w:tcW w:w="391" w:type="pct"/>
            <w:shd w:val="clear" w:color="auto" w:fill="auto"/>
            <w:vAlign w:val="center"/>
          </w:tcPr>
          <w:p w14:paraId="5ACA9CF5">
            <w:pPr>
              <w:jc w:val="center"/>
              <w:rPr>
                <w:rFonts w:asciiTheme="minorEastAsia" w:hAnsiTheme="minorEastAsia"/>
                <w:color w:val="auto"/>
              </w:rPr>
            </w:pPr>
            <w:r>
              <w:rPr>
                <w:rFonts w:asciiTheme="minorEastAsia" w:hAnsiTheme="minorEastAsia"/>
                <w:color w:val="auto"/>
              </w:rPr>
              <w:t>15m</w:t>
            </w:r>
          </w:p>
        </w:tc>
        <w:tc>
          <w:tcPr>
            <w:tcW w:w="392" w:type="pct"/>
            <w:shd w:val="clear" w:color="auto" w:fill="auto"/>
            <w:vAlign w:val="center"/>
          </w:tcPr>
          <w:p w14:paraId="29F44370">
            <w:pPr>
              <w:jc w:val="center"/>
              <w:rPr>
                <w:rFonts w:asciiTheme="minorEastAsia" w:hAnsiTheme="minorEastAsia"/>
                <w:color w:val="auto"/>
              </w:rPr>
            </w:pPr>
            <w:r>
              <w:rPr>
                <w:rFonts w:asciiTheme="minorEastAsia" w:hAnsiTheme="minorEastAsia"/>
                <w:color w:val="auto"/>
              </w:rPr>
              <w:t>潜水</w:t>
            </w:r>
          </w:p>
        </w:tc>
        <w:tc>
          <w:tcPr>
            <w:tcW w:w="387" w:type="pct"/>
            <w:vMerge w:val="continue"/>
            <w:shd w:val="clear" w:color="auto" w:fill="auto"/>
            <w:vAlign w:val="center"/>
          </w:tcPr>
          <w:p w14:paraId="1ACBF0C3">
            <w:pPr>
              <w:jc w:val="center"/>
              <w:rPr>
                <w:rFonts w:asciiTheme="minorEastAsia" w:hAnsiTheme="minorEastAsia"/>
                <w:color w:val="auto"/>
              </w:rPr>
            </w:pPr>
          </w:p>
        </w:tc>
      </w:tr>
      <w:tr w14:paraId="251E8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0" w:type="pct"/>
            <w:shd w:val="clear" w:color="auto" w:fill="auto"/>
            <w:vAlign w:val="center"/>
          </w:tcPr>
          <w:p w14:paraId="5FBEBDA9">
            <w:pPr>
              <w:jc w:val="center"/>
              <w:rPr>
                <w:rFonts w:asciiTheme="minorEastAsia" w:hAnsiTheme="minorEastAsia"/>
                <w:color w:val="auto"/>
              </w:rPr>
            </w:pPr>
            <w:r>
              <w:rPr>
                <w:rFonts w:asciiTheme="minorEastAsia" w:hAnsiTheme="minorEastAsia"/>
                <w:color w:val="auto"/>
              </w:rPr>
              <w:t>区域下游王家园子屯水井</w:t>
            </w:r>
          </w:p>
        </w:tc>
        <w:tc>
          <w:tcPr>
            <w:tcW w:w="470" w:type="pct"/>
            <w:shd w:val="clear" w:color="auto" w:fill="auto"/>
            <w:vAlign w:val="center"/>
          </w:tcPr>
          <w:p w14:paraId="337EEB84">
            <w:pPr>
              <w:jc w:val="center"/>
              <w:rPr>
                <w:rFonts w:asciiTheme="minorEastAsia" w:hAnsiTheme="minorEastAsia"/>
                <w:color w:val="auto"/>
              </w:rPr>
            </w:pPr>
            <w:r>
              <w:rPr>
                <w:rFonts w:asciiTheme="minorEastAsia" w:hAnsiTheme="minorEastAsia"/>
                <w:color w:val="auto"/>
              </w:rPr>
              <w:t>跟踪监测点</w:t>
            </w:r>
          </w:p>
        </w:tc>
        <w:tc>
          <w:tcPr>
            <w:tcW w:w="704" w:type="pct"/>
            <w:vMerge w:val="continue"/>
            <w:shd w:val="clear" w:color="auto" w:fill="auto"/>
            <w:vAlign w:val="center"/>
          </w:tcPr>
          <w:p w14:paraId="271DE8BE">
            <w:pPr>
              <w:jc w:val="center"/>
              <w:rPr>
                <w:rFonts w:asciiTheme="minorEastAsia" w:hAnsiTheme="minorEastAsia"/>
                <w:color w:val="auto"/>
              </w:rPr>
            </w:pPr>
          </w:p>
        </w:tc>
        <w:tc>
          <w:tcPr>
            <w:tcW w:w="704" w:type="pct"/>
            <w:shd w:val="clear" w:color="auto" w:fill="auto"/>
            <w:vAlign w:val="center"/>
          </w:tcPr>
          <w:p w14:paraId="417686EF">
            <w:pPr>
              <w:jc w:val="center"/>
              <w:rPr>
                <w:rFonts w:asciiTheme="minorEastAsia" w:hAnsiTheme="minorEastAsia"/>
                <w:color w:val="auto"/>
              </w:rPr>
            </w:pPr>
            <w:r>
              <w:rPr>
                <w:rFonts w:asciiTheme="minorEastAsia" w:hAnsiTheme="minorEastAsia"/>
                <w:color w:val="auto"/>
              </w:rPr>
              <w:t>125.16117，45.55675</w:t>
            </w:r>
          </w:p>
        </w:tc>
        <w:tc>
          <w:tcPr>
            <w:tcW w:w="782" w:type="pct"/>
            <w:shd w:val="clear" w:color="auto" w:fill="auto"/>
            <w:vAlign w:val="center"/>
          </w:tcPr>
          <w:p w14:paraId="7B23445B">
            <w:pPr>
              <w:jc w:val="center"/>
              <w:rPr>
                <w:rFonts w:asciiTheme="minorEastAsia" w:hAnsiTheme="minorEastAsia"/>
                <w:color w:val="auto"/>
                <w:kern w:val="21"/>
              </w:rPr>
            </w:pPr>
            <w:r>
              <w:rPr>
                <w:rFonts w:asciiTheme="minorEastAsia" w:hAnsiTheme="minorEastAsia"/>
                <w:color w:val="auto"/>
              </w:rPr>
              <w:t>3号平台井场</w:t>
            </w:r>
            <w:r>
              <w:rPr>
                <w:rFonts w:hint="eastAsia" w:asciiTheme="minorEastAsia" w:hAnsiTheme="minorEastAsia"/>
                <w:color w:val="auto"/>
              </w:rPr>
              <w:t>西南</w:t>
            </w:r>
            <w:r>
              <w:rPr>
                <w:rFonts w:asciiTheme="minorEastAsia" w:hAnsiTheme="minorEastAsia"/>
                <w:color w:val="auto"/>
              </w:rPr>
              <w:t>侧11</w:t>
            </w:r>
            <w:r>
              <w:rPr>
                <w:rFonts w:hint="eastAsia" w:asciiTheme="minorEastAsia" w:hAnsiTheme="minorEastAsia"/>
                <w:color w:val="auto"/>
              </w:rPr>
              <w:t>0</w:t>
            </w:r>
            <w:r>
              <w:rPr>
                <w:rFonts w:asciiTheme="minorEastAsia" w:hAnsiTheme="minorEastAsia"/>
                <w:color w:val="auto"/>
              </w:rPr>
              <w:t>0m</w:t>
            </w:r>
          </w:p>
        </w:tc>
        <w:tc>
          <w:tcPr>
            <w:tcW w:w="391" w:type="pct"/>
            <w:shd w:val="clear" w:color="auto" w:fill="auto"/>
            <w:vAlign w:val="center"/>
          </w:tcPr>
          <w:p w14:paraId="1302467B">
            <w:pPr>
              <w:jc w:val="center"/>
              <w:rPr>
                <w:rFonts w:asciiTheme="minorEastAsia" w:hAnsiTheme="minorEastAsia"/>
                <w:color w:val="auto"/>
              </w:rPr>
            </w:pPr>
            <w:r>
              <w:rPr>
                <w:rFonts w:asciiTheme="minorEastAsia" w:hAnsiTheme="minorEastAsia"/>
                <w:color w:val="auto"/>
              </w:rPr>
              <w:t>1</w:t>
            </w:r>
            <w:r>
              <w:rPr>
                <w:rFonts w:hint="eastAsia" w:asciiTheme="minorEastAsia" w:hAnsiTheme="minorEastAsia"/>
                <w:color w:val="auto"/>
              </w:rPr>
              <w:t>5</w:t>
            </w:r>
            <w:r>
              <w:rPr>
                <w:rFonts w:asciiTheme="minorEastAsia" w:hAnsiTheme="minorEastAsia"/>
                <w:color w:val="auto"/>
              </w:rPr>
              <w:t>m</w:t>
            </w:r>
          </w:p>
        </w:tc>
        <w:tc>
          <w:tcPr>
            <w:tcW w:w="392" w:type="pct"/>
            <w:shd w:val="clear" w:color="auto" w:fill="auto"/>
            <w:vAlign w:val="center"/>
          </w:tcPr>
          <w:p w14:paraId="5956940E">
            <w:pPr>
              <w:jc w:val="center"/>
              <w:rPr>
                <w:rFonts w:asciiTheme="minorEastAsia" w:hAnsiTheme="minorEastAsia"/>
                <w:color w:val="auto"/>
              </w:rPr>
            </w:pPr>
            <w:r>
              <w:rPr>
                <w:rFonts w:asciiTheme="minorEastAsia" w:hAnsiTheme="minorEastAsia"/>
                <w:color w:val="auto"/>
              </w:rPr>
              <w:t>潜水</w:t>
            </w:r>
          </w:p>
        </w:tc>
        <w:tc>
          <w:tcPr>
            <w:tcW w:w="387" w:type="pct"/>
            <w:vMerge w:val="continue"/>
            <w:shd w:val="clear" w:color="auto" w:fill="auto"/>
            <w:vAlign w:val="center"/>
          </w:tcPr>
          <w:p w14:paraId="697ABFD7">
            <w:pPr>
              <w:jc w:val="center"/>
              <w:rPr>
                <w:rFonts w:asciiTheme="minorEastAsia" w:hAnsiTheme="minorEastAsia"/>
                <w:color w:val="auto"/>
              </w:rPr>
            </w:pPr>
          </w:p>
        </w:tc>
      </w:tr>
      <w:tr w14:paraId="5C31A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0" w:type="pct"/>
            <w:shd w:val="clear" w:color="auto" w:fill="auto"/>
            <w:vAlign w:val="center"/>
          </w:tcPr>
          <w:p w14:paraId="1EC95EF2">
            <w:pPr>
              <w:jc w:val="center"/>
              <w:rPr>
                <w:rFonts w:asciiTheme="minorEastAsia" w:hAnsiTheme="minorEastAsia"/>
                <w:color w:val="auto"/>
              </w:rPr>
            </w:pPr>
            <w:bookmarkStart w:id="1604" w:name="_Toc143099667"/>
            <w:bookmarkStart w:id="1605" w:name="_Toc85640847"/>
            <w:bookmarkStart w:id="1606" w:name="_Toc131167380"/>
            <w:bookmarkStart w:id="1607" w:name="_Toc86142022"/>
            <w:bookmarkStart w:id="1608" w:name="_Toc67860229"/>
            <w:bookmarkStart w:id="1609" w:name="_Toc83209568"/>
            <w:bookmarkStart w:id="1610" w:name="_Toc127192428"/>
            <w:bookmarkStart w:id="1611" w:name="_Toc80971468"/>
            <w:bookmarkStart w:id="1612" w:name="_Toc77067749"/>
            <w:bookmarkStart w:id="1613" w:name="_Toc80588346"/>
            <w:bookmarkStart w:id="1614" w:name="_Toc78816551"/>
            <w:bookmarkStart w:id="1615" w:name="_Toc76976338"/>
            <w:bookmarkStart w:id="1616" w:name="_Toc70050276"/>
            <w:bookmarkStart w:id="1617" w:name="_Toc126863479"/>
            <w:bookmarkStart w:id="1618" w:name="_Toc84929323"/>
            <w:r>
              <w:rPr>
                <w:rFonts w:asciiTheme="minorEastAsia" w:hAnsiTheme="minorEastAsia"/>
                <w:color w:val="auto"/>
              </w:rPr>
              <w:t>区域下游王家园子屯水井</w:t>
            </w:r>
          </w:p>
        </w:tc>
        <w:tc>
          <w:tcPr>
            <w:tcW w:w="470" w:type="pct"/>
            <w:shd w:val="clear" w:color="auto" w:fill="auto"/>
            <w:vAlign w:val="center"/>
          </w:tcPr>
          <w:p w14:paraId="2E4C3E5C">
            <w:pPr>
              <w:jc w:val="center"/>
              <w:rPr>
                <w:rFonts w:asciiTheme="minorEastAsia" w:hAnsiTheme="minorEastAsia"/>
                <w:color w:val="auto"/>
              </w:rPr>
            </w:pPr>
            <w:r>
              <w:rPr>
                <w:rFonts w:asciiTheme="minorEastAsia" w:hAnsiTheme="minorEastAsia"/>
                <w:color w:val="auto"/>
              </w:rPr>
              <w:t>跟踪监测点</w:t>
            </w:r>
          </w:p>
        </w:tc>
        <w:tc>
          <w:tcPr>
            <w:tcW w:w="704" w:type="pct"/>
            <w:vMerge w:val="continue"/>
            <w:shd w:val="clear" w:color="auto" w:fill="auto"/>
            <w:vAlign w:val="center"/>
          </w:tcPr>
          <w:p w14:paraId="3E011E19">
            <w:pPr>
              <w:jc w:val="center"/>
              <w:rPr>
                <w:rFonts w:asciiTheme="minorEastAsia" w:hAnsiTheme="minorEastAsia"/>
                <w:color w:val="auto"/>
              </w:rPr>
            </w:pPr>
          </w:p>
        </w:tc>
        <w:tc>
          <w:tcPr>
            <w:tcW w:w="704" w:type="pct"/>
            <w:shd w:val="clear" w:color="auto" w:fill="auto"/>
            <w:vAlign w:val="center"/>
          </w:tcPr>
          <w:p w14:paraId="4BEC7448">
            <w:pPr>
              <w:jc w:val="center"/>
              <w:rPr>
                <w:rFonts w:asciiTheme="minorEastAsia" w:hAnsiTheme="minorEastAsia"/>
                <w:color w:val="auto"/>
              </w:rPr>
            </w:pPr>
            <w:r>
              <w:rPr>
                <w:rFonts w:asciiTheme="minorEastAsia" w:hAnsiTheme="minorEastAsia"/>
                <w:color w:val="auto"/>
              </w:rPr>
              <w:t>125.16466，45.55678</w:t>
            </w:r>
          </w:p>
        </w:tc>
        <w:tc>
          <w:tcPr>
            <w:tcW w:w="782" w:type="pct"/>
            <w:shd w:val="clear" w:color="auto" w:fill="auto"/>
            <w:vAlign w:val="center"/>
          </w:tcPr>
          <w:p w14:paraId="4935C7C5">
            <w:pPr>
              <w:jc w:val="center"/>
              <w:rPr>
                <w:rFonts w:asciiTheme="minorEastAsia" w:hAnsiTheme="minorEastAsia"/>
                <w:color w:val="auto"/>
              </w:rPr>
            </w:pPr>
            <w:r>
              <w:rPr>
                <w:rFonts w:asciiTheme="minorEastAsia" w:hAnsiTheme="minorEastAsia"/>
                <w:color w:val="auto"/>
              </w:rPr>
              <w:t>3号平台井场</w:t>
            </w:r>
            <w:r>
              <w:rPr>
                <w:rFonts w:hint="eastAsia" w:asciiTheme="minorEastAsia" w:hAnsiTheme="minorEastAsia"/>
                <w:color w:val="auto"/>
              </w:rPr>
              <w:t>西南</w:t>
            </w:r>
            <w:r>
              <w:rPr>
                <w:rFonts w:asciiTheme="minorEastAsia" w:hAnsiTheme="minorEastAsia"/>
                <w:color w:val="auto"/>
              </w:rPr>
              <w:t>侧1</w:t>
            </w:r>
            <w:r>
              <w:rPr>
                <w:rFonts w:hint="eastAsia" w:asciiTheme="minorEastAsia" w:hAnsiTheme="minorEastAsia"/>
                <w:color w:val="auto"/>
              </w:rPr>
              <w:t>50</w:t>
            </w:r>
            <w:r>
              <w:rPr>
                <w:rFonts w:asciiTheme="minorEastAsia" w:hAnsiTheme="minorEastAsia"/>
                <w:color w:val="auto"/>
              </w:rPr>
              <w:t>0m</w:t>
            </w:r>
          </w:p>
        </w:tc>
        <w:tc>
          <w:tcPr>
            <w:tcW w:w="391" w:type="pct"/>
            <w:shd w:val="clear" w:color="auto" w:fill="auto"/>
            <w:vAlign w:val="center"/>
          </w:tcPr>
          <w:p w14:paraId="2F3DB3B3">
            <w:pPr>
              <w:jc w:val="center"/>
              <w:rPr>
                <w:rFonts w:asciiTheme="minorEastAsia" w:hAnsiTheme="minorEastAsia"/>
                <w:color w:val="auto"/>
              </w:rPr>
            </w:pPr>
            <w:r>
              <w:rPr>
                <w:rFonts w:asciiTheme="minorEastAsia" w:hAnsiTheme="minorEastAsia"/>
                <w:color w:val="auto"/>
              </w:rPr>
              <w:t>65m</w:t>
            </w:r>
          </w:p>
        </w:tc>
        <w:tc>
          <w:tcPr>
            <w:tcW w:w="392" w:type="pct"/>
            <w:shd w:val="clear" w:color="auto" w:fill="auto"/>
            <w:vAlign w:val="center"/>
          </w:tcPr>
          <w:p w14:paraId="6D23996A">
            <w:pPr>
              <w:jc w:val="center"/>
              <w:rPr>
                <w:rFonts w:asciiTheme="minorEastAsia" w:hAnsiTheme="minorEastAsia"/>
                <w:color w:val="auto"/>
              </w:rPr>
            </w:pPr>
            <w:r>
              <w:rPr>
                <w:rFonts w:asciiTheme="minorEastAsia" w:hAnsiTheme="minorEastAsia"/>
                <w:color w:val="auto"/>
              </w:rPr>
              <w:t>承压水</w:t>
            </w:r>
          </w:p>
        </w:tc>
        <w:tc>
          <w:tcPr>
            <w:tcW w:w="387" w:type="pct"/>
            <w:vMerge w:val="continue"/>
            <w:shd w:val="clear" w:color="auto" w:fill="auto"/>
            <w:vAlign w:val="center"/>
          </w:tcPr>
          <w:p w14:paraId="09C16AFA">
            <w:pPr>
              <w:jc w:val="center"/>
              <w:rPr>
                <w:rFonts w:asciiTheme="minorEastAsia" w:hAnsiTheme="minorEastAsia"/>
                <w:color w:val="auto"/>
              </w:rPr>
            </w:pPr>
          </w:p>
        </w:tc>
      </w:tr>
      <w:tr w14:paraId="5714A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0" w:type="pct"/>
            <w:shd w:val="clear" w:color="auto" w:fill="auto"/>
            <w:vAlign w:val="center"/>
          </w:tcPr>
          <w:p w14:paraId="7827773A">
            <w:pPr>
              <w:jc w:val="center"/>
              <w:rPr>
                <w:rFonts w:asciiTheme="minorEastAsia" w:hAnsiTheme="minorEastAsia"/>
                <w:color w:val="auto"/>
              </w:rPr>
            </w:pPr>
            <w:r>
              <w:rPr>
                <w:rFonts w:asciiTheme="minorEastAsia" w:hAnsiTheme="minorEastAsia"/>
                <w:color w:val="auto"/>
              </w:rPr>
              <w:t>区域上游大姚屯水井</w:t>
            </w:r>
          </w:p>
        </w:tc>
        <w:tc>
          <w:tcPr>
            <w:tcW w:w="470" w:type="pct"/>
            <w:shd w:val="clear" w:color="auto" w:fill="auto"/>
            <w:vAlign w:val="center"/>
          </w:tcPr>
          <w:p w14:paraId="1D15E994">
            <w:pPr>
              <w:jc w:val="center"/>
              <w:rPr>
                <w:rFonts w:asciiTheme="minorEastAsia" w:hAnsiTheme="minorEastAsia"/>
                <w:color w:val="auto"/>
              </w:rPr>
            </w:pPr>
            <w:r>
              <w:rPr>
                <w:rFonts w:asciiTheme="minorEastAsia" w:hAnsiTheme="minorEastAsia"/>
                <w:color w:val="auto"/>
              </w:rPr>
              <w:t>背景监测点</w:t>
            </w:r>
          </w:p>
        </w:tc>
        <w:tc>
          <w:tcPr>
            <w:tcW w:w="704" w:type="pct"/>
            <w:vMerge w:val="continue"/>
            <w:shd w:val="clear" w:color="auto" w:fill="auto"/>
            <w:vAlign w:val="center"/>
          </w:tcPr>
          <w:p w14:paraId="6CAE8FD4">
            <w:pPr>
              <w:jc w:val="center"/>
              <w:rPr>
                <w:rFonts w:asciiTheme="minorEastAsia" w:hAnsiTheme="minorEastAsia"/>
                <w:color w:val="auto"/>
              </w:rPr>
            </w:pPr>
          </w:p>
        </w:tc>
        <w:tc>
          <w:tcPr>
            <w:tcW w:w="704" w:type="pct"/>
            <w:shd w:val="clear" w:color="auto" w:fill="auto"/>
            <w:vAlign w:val="center"/>
          </w:tcPr>
          <w:p w14:paraId="7FD0B9A3">
            <w:pPr>
              <w:jc w:val="center"/>
              <w:rPr>
                <w:rFonts w:asciiTheme="minorEastAsia" w:hAnsiTheme="minorEastAsia"/>
                <w:color w:val="auto"/>
              </w:rPr>
            </w:pPr>
            <w:r>
              <w:rPr>
                <w:rFonts w:asciiTheme="minorEastAsia" w:hAnsiTheme="minorEastAsia"/>
                <w:color w:val="auto"/>
              </w:rPr>
              <w:t>（125.05032，45.51338</w:t>
            </w:r>
          </w:p>
        </w:tc>
        <w:tc>
          <w:tcPr>
            <w:tcW w:w="782" w:type="pct"/>
            <w:shd w:val="clear" w:color="auto" w:fill="auto"/>
            <w:vAlign w:val="center"/>
          </w:tcPr>
          <w:p w14:paraId="056EABB6">
            <w:pPr>
              <w:jc w:val="center"/>
              <w:rPr>
                <w:rFonts w:asciiTheme="minorEastAsia" w:hAnsiTheme="minorEastAsia"/>
                <w:color w:val="auto"/>
              </w:rPr>
            </w:pPr>
            <w:r>
              <w:rPr>
                <w:rFonts w:hint="eastAsia" w:asciiTheme="minorEastAsia" w:hAnsiTheme="minorEastAsia"/>
                <w:color w:val="auto"/>
              </w:rPr>
              <w:t>源1011东北340m</w:t>
            </w:r>
          </w:p>
        </w:tc>
        <w:tc>
          <w:tcPr>
            <w:tcW w:w="391" w:type="pct"/>
            <w:shd w:val="clear" w:color="auto" w:fill="auto"/>
            <w:vAlign w:val="center"/>
          </w:tcPr>
          <w:p w14:paraId="01BE2496">
            <w:pPr>
              <w:jc w:val="center"/>
              <w:rPr>
                <w:rFonts w:cs="Times New Roman" w:asciiTheme="minorEastAsia" w:hAnsiTheme="minorEastAsia"/>
                <w:color w:val="auto"/>
              </w:rPr>
            </w:pPr>
            <w:r>
              <w:rPr>
                <w:rFonts w:cs="Times New Roman" w:asciiTheme="minorEastAsia" w:hAnsiTheme="minorEastAsia"/>
                <w:color w:val="auto"/>
              </w:rPr>
              <w:t>1</w:t>
            </w:r>
            <w:r>
              <w:rPr>
                <w:rFonts w:hint="eastAsia" w:cs="Times New Roman" w:asciiTheme="minorEastAsia" w:hAnsiTheme="minorEastAsia"/>
                <w:color w:val="auto"/>
              </w:rPr>
              <w:t>5</w:t>
            </w:r>
            <w:r>
              <w:rPr>
                <w:rFonts w:cs="Times New Roman" w:asciiTheme="minorEastAsia" w:hAnsiTheme="minorEastAsia"/>
                <w:color w:val="auto"/>
              </w:rPr>
              <w:t>m</w:t>
            </w:r>
          </w:p>
        </w:tc>
        <w:tc>
          <w:tcPr>
            <w:tcW w:w="392" w:type="pct"/>
            <w:shd w:val="clear" w:color="auto" w:fill="auto"/>
            <w:vAlign w:val="center"/>
          </w:tcPr>
          <w:p w14:paraId="768E3C32">
            <w:pPr>
              <w:jc w:val="center"/>
              <w:rPr>
                <w:rFonts w:cs="Times New Roman" w:asciiTheme="minorEastAsia" w:hAnsiTheme="minorEastAsia"/>
                <w:color w:val="auto"/>
              </w:rPr>
            </w:pPr>
            <w:r>
              <w:rPr>
                <w:rFonts w:cs="Times New Roman" w:asciiTheme="minorEastAsia" w:hAnsiTheme="minorEastAsia"/>
                <w:color w:val="auto"/>
              </w:rPr>
              <w:t>潜水</w:t>
            </w:r>
          </w:p>
        </w:tc>
        <w:tc>
          <w:tcPr>
            <w:tcW w:w="387" w:type="pct"/>
            <w:vMerge w:val="continue"/>
            <w:shd w:val="clear" w:color="auto" w:fill="auto"/>
            <w:vAlign w:val="center"/>
          </w:tcPr>
          <w:p w14:paraId="49A842BA">
            <w:pPr>
              <w:jc w:val="center"/>
              <w:rPr>
                <w:rFonts w:asciiTheme="minorEastAsia" w:hAnsiTheme="minorEastAsia"/>
                <w:color w:val="auto"/>
              </w:rPr>
            </w:pPr>
          </w:p>
        </w:tc>
      </w:tr>
      <w:tr w14:paraId="7B782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0" w:type="pct"/>
            <w:shd w:val="clear" w:color="auto" w:fill="auto"/>
            <w:vAlign w:val="center"/>
          </w:tcPr>
          <w:p w14:paraId="4F649E21">
            <w:pPr>
              <w:jc w:val="center"/>
              <w:rPr>
                <w:rFonts w:asciiTheme="minorEastAsia" w:hAnsiTheme="minorEastAsia"/>
                <w:color w:val="auto"/>
              </w:rPr>
            </w:pPr>
            <w:r>
              <w:rPr>
                <w:rFonts w:asciiTheme="minorEastAsia" w:hAnsiTheme="minorEastAsia"/>
                <w:color w:val="auto"/>
              </w:rPr>
              <w:t>区域下游刘兽医屯水井</w:t>
            </w:r>
          </w:p>
        </w:tc>
        <w:tc>
          <w:tcPr>
            <w:tcW w:w="470" w:type="pct"/>
            <w:shd w:val="clear" w:color="auto" w:fill="auto"/>
            <w:vAlign w:val="center"/>
          </w:tcPr>
          <w:p w14:paraId="62132730">
            <w:pPr>
              <w:jc w:val="center"/>
              <w:rPr>
                <w:rFonts w:asciiTheme="minorEastAsia" w:hAnsiTheme="minorEastAsia"/>
                <w:color w:val="auto"/>
              </w:rPr>
            </w:pPr>
            <w:r>
              <w:rPr>
                <w:rFonts w:asciiTheme="minorEastAsia" w:hAnsiTheme="minorEastAsia"/>
                <w:color w:val="auto"/>
              </w:rPr>
              <w:t>跟踪监测点</w:t>
            </w:r>
          </w:p>
        </w:tc>
        <w:tc>
          <w:tcPr>
            <w:tcW w:w="704" w:type="pct"/>
            <w:vMerge w:val="continue"/>
            <w:shd w:val="clear" w:color="auto" w:fill="auto"/>
            <w:vAlign w:val="center"/>
          </w:tcPr>
          <w:p w14:paraId="13D3360E">
            <w:pPr>
              <w:jc w:val="center"/>
              <w:rPr>
                <w:rFonts w:asciiTheme="minorEastAsia" w:hAnsiTheme="minorEastAsia"/>
                <w:color w:val="auto"/>
              </w:rPr>
            </w:pPr>
          </w:p>
        </w:tc>
        <w:tc>
          <w:tcPr>
            <w:tcW w:w="704" w:type="pct"/>
            <w:shd w:val="clear" w:color="auto" w:fill="auto"/>
            <w:vAlign w:val="center"/>
          </w:tcPr>
          <w:p w14:paraId="28CD73DB">
            <w:pPr>
              <w:jc w:val="center"/>
              <w:rPr>
                <w:rFonts w:asciiTheme="minorEastAsia" w:hAnsiTheme="minorEastAsia"/>
                <w:color w:val="auto"/>
              </w:rPr>
            </w:pPr>
            <w:r>
              <w:rPr>
                <w:rFonts w:asciiTheme="minorEastAsia" w:hAnsiTheme="minorEastAsia"/>
                <w:color w:val="auto"/>
              </w:rPr>
              <w:t>125.04329，45.51033</w:t>
            </w:r>
          </w:p>
        </w:tc>
        <w:tc>
          <w:tcPr>
            <w:tcW w:w="782" w:type="pct"/>
            <w:shd w:val="clear" w:color="auto" w:fill="auto"/>
            <w:vAlign w:val="center"/>
          </w:tcPr>
          <w:p w14:paraId="6CE257F2">
            <w:pPr>
              <w:jc w:val="center"/>
              <w:rPr>
                <w:rFonts w:asciiTheme="minorEastAsia" w:hAnsiTheme="minorEastAsia"/>
                <w:color w:val="auto"/>
              </w:rPr>
            </w:pPr>
            <w:r>
              <w:rPr>
                <w:rFonts w:hint="eastAsia" w:asciiTheme="minorEastAsia" w:hAnsiTheme="minorEastAsia"/>
                <w:color w:val="auto"/>
              </w:rPr>
              <w:t>源1011西南250m</w:t>
            </w:r>
          </w:p>
        </w:tc>
        <w:tc>
          <w:tcPr>
            <w:tcW w:w="391" w:type="pct"/>
            <w:shd w:val="clear" w:color="auto" w:fill="auto"/>
            <w:vAlign w:val="center"/>
          </w:tcPr>
          <w:p w14:paraId="4254D261">
            <w:pPr>
              <w:jc w:val="center"/>
              <w:rPr>
                <w:rFonts w:cs="Times New Roman" w:asciiTheme="minorEastAsia" w:hAnsiTheme="minorEastAsia"/>
                <w:color w:val="auto"/>
              </w:rPr>
            </w:pPr>
            <w:r>
              <w:rPr>
                <w:rFonts w:cs="Times New Roman" w:asciiTheme="minorEastAsia" w:hAnsiTheme="minorEastAsia"/>
                <w:color w:val="auto"/>
              </w:rPr>
              <w:t>1</w:t>
            </w:r>
            <w:r>
              <w:rPr>
                <w:rFonts w:hint="eastAsia" w:cs="Times New Roman" w:asciiTheme="minorEastAsia" w:hAnsiTheme="minorEastAsia"/>
                <w:color w:val="auto"/>
              </w:rPr>
              <w:t>5</w:t>
            </w:r>
            <w:r>
              <w:rPr>
                <w:rFonts w:cs="Times New Roman" w:asciiTheme="minorEastAsia" w:hAnsiTheme="minorEastAsia"/>
                <w:color w:val="auto"/>
              </w:rPr>
              <w:t>m</w:t>
            </w:r>
          </w:p>
        </w:tc>
        <w:tc>
          <w:tcPr>
            <w:tcW w:w="392" w:type="pct"/>
            <w:shd w:val="clear" w:color="auto" w:fill="auto"/>
            <w:vAlign w:val="center"/>
          </w:tcPr>
          <w:p w14:paraId="4B17A9A1">
            <w:pPr>
              <w:jc w:val="center"/>
              <w:rPr>
                <w:rFonts w:cs="Times New Roman" w:asciiTheme="minorEastAsia" w:hAnsiTheme="minorEastAsia"/>
                <w:color w:val="auto"/>
              </w:rPr>
            </w:pPr>
            <w:r>
              <w:rPr>
                <w:rFonts w:cs="Times New Roman" w:asciiTheme="minorEastAsia" w:hAnsiTheme="minorEastAsia"/>
                <w:color w:val="auto"/>
              </w:rPr>
              <w:t>潜水</w:t>
            </w:r>
          </w:p>
        </w:tc>
        <w:tc>
          <w:tcPr>
            <w:tcW w:w="387" w:type="pct"/>
            <w:vMerge w:val="continue"/>
            <w:shd w:val="clear" w:color="auto" w:fill="auto"/>
            <w:vAlign w:val="center"/>
          </w:tcPr>
          <w:p w14:paraId="65D36FE2">
            <w:pPr>
              <w:jc w:val="center"/>
              <w:rPr>
                <w:rFonts w:asciiTheme="minorEastAsia" w:hAnsiTheme="minorEastAsia"/>
                <w:color w:val="auto"/>
              </w:rPr>
            </w:pPr>
          </w:p>
        </w:tc>
      </w:tr>
      <w:tr w14:paraId="5DC62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0" w:type="pct"/>
            <w:shd w:val="clear" w:color="auto" w:fill="auto"/>
            <w:vAlign w:val="center"/>
          </w:tcPr>
          <w:p w14:paraId="4CA0D3AA">
            <w:pPr>
              <w:jc w:val="center"/>
              <w:rPr>
                <w:rFonts w:asciiTheme="minorEastAsia" w:hAnsiTheme="minorEastAsia"/>
                <w:color w:val="auto"/>
              </w:rPr>
            </w:pPr>
            <w:r>
              <w:rPr>
                <w:rFonts w:asciiTheme="minorEastAsia" w:hAnsiTheme="minorEastAsia"/>
                <w:color w:val="auto"/>
              </w:rPr>
              <w:t>区域下游刘兽医屯水井</w:t>
            </w:r>
          </w:p>
        </w:tc>
        <w:tc>
          <w:tcPr>
            <w:tcW w:w="470" w:type="pct"/>
            <w:shd w:val="clear" w:color="auto" w:fill="auto"/>
            <w:vAlign w:val="center"/>
          </w:tcPr>
          <w:p w14:paraId="50E4F534">
            <w:pPr>
              <w:jc w:val="center"/>
              <w:rPr>
                <w:rFonts w:asciiTheme="minorEastAsia" w:hAnsiTheme="minorEastAsia"/>
                <w:color w:val="auto"/>
              </w:rPr>
            </w:pPr>
            <w:r>
              <w:rPr>
                <w:rFonts w:asciiTheme="minorEastAsia" w:hAnsiTheme="minorEastAsia"/>
                <w:color w:val="auto"/>
              </w:rPr>
              <w:t>跟踪监测点</w:t>
            </w:r>
          </w:p>
        </w:tc>
        <w:tc>
          <w:tcPr>
            <w:tcW w:w="704" w:type="pct"/>
            <w:vMerge w:val="continue"/>
            <w:shd w:val="clear" w:color="auto" w:fill="auto"/>
            <w:vAlign w:val="center"/>
          </w:tcPr>
          <w:p w14:paraId="7A9F9A90">
            <w:pPr>
              <w:jc w:val="center"/>
              <w:rPr>
                <w:rFonts w:asciiTheme="minorEastAsia" w:hAnsiTheme="minorEastAsia"/>
                <w:color w:val="auto"/>
              </w:rPr>
            </w:pPr>
          </w:p>
        </w:tc>
        <w:tc>
          <w:tcPr>
            <w:tcW w:w="704" w:type="pct"/>
            <w:shd w:val="clear" w:color="auto" w:fill="auto"/>
            <w:vAlign w:val="center"/>
          </w:tcPr>
          <w:p w14:paraId="57F97BE0">
            <w:pPr>
              <w:jc w:val="center"/>
              <w:rPr>
                <w:rFonts w:asciiTheme="minorEastAsia" w:hAnsiTheme="minorEastAsia"/>
                <w:color w:val="auto"/>
              </w:rPr>
            </w:pPr>
            <w:r>
              <w:rPr>
                <w:rFonts w:asciiTheme="minorEastAsia" w:hAnsiTheme="minorEastAsia"/>
                <w:color w:val="auto"/>
              </w:rPr>
              <w:t>125.04209，45.50913</w:t>
            </w:r>
          </w:p>
        </w:tc>
        <w:tc>
          <w:tcPr>
            <w:tcW w:w="782" w:type="pct"/>
            <w:shd w:val="clear" w:color="auto" w:fill="auto"/>
            <w:vAlign w:val="center"/>
          </w:tcPr>
          <w:p w14:paraId="19121A11">
            <w:pPr>
              <w:jc w:val="center"/>
              <w:rPr>
                <w:rFonts w:asciiTheme="minorEastAsia" w:hAnsiTheme="minorEastAsia"/>
                <w:color w:val="auto"/>
              </w:rPr>
            </w:pPr>
            <w:r>
              <w:rPr>
                <w:rFonts w:hint="eastAsia" w:asciiTheme="minorEastAsia" w:hAnsiTheme="minorEastAsia"/>
                <w:color w:val="auto"/>
              </w:rPr>
              <w:t>源1011西南390m</w:t>
            </w:r>
          </w:p>
        </w:tc>
        <w:tc>
          <w:tcPr>
            <w:tcW w:w="391" w:type="pct"/>
            <w:shd w:val="clear" w:color="auto" w:fill="auto"/>
            <w:vAlign w:val="center"/>
          </w:tcPr>
          <w:p w14:paraId="667EC1E9">
            <w:pPr>
              <w:jc w:val="center"/>
              <w:rPr>
                <w:rFonts w:asciiTheme="minorEastAsia" w:hAnsiTheme="minorEastAsia"/>
                <w:color w:val="auto"/>
              </w:rPr>
            </w:pPr>
            <w:r>
              <w:rPr>
                <w:rFonts w:asciiTheme="minorEastAsia" w:hAnsiTheme="minorEastAsia"/>
                <w:color w:val="auto"/>
              </w:rPr>
              <w:t>65m</w:t>
            </w:r>
          </w:p>
        </w:tc>
        <w:tc>
          <w:tcPr>
            <w:tcW w:w="392" w:type="pct"/>
            <w:shd w:val="clear" w:color="auto" w:fill="auto"/>
            <w:vAlign w:val="center"/>
          </w:tcPr>
          <w:p w14:paraId="27E1E947">
            <w:pPr>
              <w:jc w:val="center"/>
              <w:rPr>
                <w:rFonts w:asciiTheme="minorEastAsia" w:hAnsiTheme="minorEastAsia"/>
                <w:color w:val="auto"/>
              </w:rPr>
            </w:pPr>
            <w:r>
              <w:rPr>
                <w:rFonts w:asciiTheme="minorEastAsia" w:hAnsiTheme="minorEastAsia"/>
                <w:color w:val="auto"/>
              </w:rPr>
              <w:t>承压水</w:t>
            </w:r>
          </w:p>
        </w:tc>
        <w:tc>
          <w:tcPr>
            <w:tcW w:w="387" w:type="pct"/>
            <w:vMerge w:val="continue"/>
            <w:shd w:val="clear" w:color="auto" w:fill="auto"/>
            <w:vAlign w:val="center"/>
          </w:tcPr>
          <w:p w14:paraId="20BF1645">
            <w:pPr>
              <w:jc w:val="center"/>
              <w:rPr>
                <w:rFonts w:asciiTheme="minorEastAsia" w:hAnsiTheme="minorEastAsia"/>
                <w:color w:val="auto"/>
              </w:rPr>
            </w:pPr>
          </w:p>
        </w:tc>
      </w:tr>
    </w:tbl>
    <w:p w14:paraId="15F4181D">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（4）退役期地下水污染防治措施</w:t>
      </w:r>
    </w:p>
    <w:p w14:paraId="504DC74F">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退役期主要污染源是设备拆除、井场清理产生的扬尘和固体废物等，主要污染防治措施如下：</w:t>
      </w:r>
    </w:p>
    <w:p w14:paraId="52E3F312">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1）对关闭的油井实施安全封堵。</w:t>
      </w:r>
    </w:p>
    <w:p w14:paraId="0DF0DD6C">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2）油井退役阶段，应按照《陆上石油天然气生产环境保护推荐作法》（SY/T 6628）、《废弃井及长停井处置指南》（SY/T 6646）和《废弃井封井回填技术指南（试行）》的相关要求进行封井，在井内适当层段注入水泥塞，以防止井筒内形成流体串通通道，保护含水层免受地层流体或地表水窜入的污染。</w:t>
      </w:r>
    </w:p>
    <w:p w14:paraId="6C6B309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3）对退役的油井进行地下水跟踪监测，跟踪监测井依托第十采油厂现有区域跟踪监测井。</w:t>
      </w:r>
    </w:p>
    <w:p w14:paraId="67338E61">
      <w:pPr>
        <w:pStyle w:val="6"/>
        <w:rPr>
          <w:color w:val="auto"/>
        </w:rPr>
      </w:pPr>
      <w:r>
        <w:rPr>
          <w:color w:val="auto"/>
        </w:rPr>
        <w:t>噪声污染控制措施</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3FEA1FBE">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施工期</w:t>
      </w:r>
    </w:p>
    <w:p w14:paraId="13D08335">
      <w:pPr>
        <w:spacing w:line="440" w:lineRule="exact"/>
        <w:ind w:firstLine="480" w:firstLineChars="200"/>
        <w:rPr>
          <w:rFonts w:ascii="宋体" w:hAnsi="宋体" w:eastAsia="宋体" w:cs="Times New Roman"/>
          <w:color w:val="auto"/>
          <w:kern w:val="21"/>
          <w:sz w:val="24"/>
          <w:szCs w:val="24"/>
        </w:rPr>
      </w:pPr>
      <w:bookmarkStart w:id="1619" w:name="_Hlk80771632"/>
      <w:r>
        <w:rPr>
          <w:rFonts w:ascii="宋体" w:hAnsi="宋体" w:eastAsia="宋体" w:cs="Times New Roman"/>
          <w:color w:val="auto"/>
          <w:kern w:val="21"/>
          <w:sz w:val="24"/>
          <w:szCs w:val="24"/>
        </w:rPr>
        <w:t>（1）合理安排施工时间，尽量避免大量高噪声设备同时施工。</w:t>
      </w:r>
    </w:p>
    <w:p w14:paraId="4146512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（2）合理布置施工现场，尽量将高噪声机械布置远离环境敏感点一侧，同时，避免在同一地点安排较多的动力机械。</w:t>
      </w:r>
    </w:p>
    <w:p w14:paraId="41A4619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（3）降低设备噪声。选用低噪声设备，平时注意设备维护和保养，避免设备不正常运行产生的高噪声。</w:t>
      </w:r>
    </w:p>
    <w:p w14:paraId="5A41CE6D">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（4）运输车辆选择避开居民点路线，尽量不鸣笛。</w:t>
      </w:r>
    </w:p>
    <w:p w14:paraId="2999183F">
      <w:pPr>
        <w:spacing w:line="440" w:lineRule="exact"/>
        <w:ind w:firstLine="480" w:firstLineChars="200"/>
        <w:rPr>
          <w:rFonts w:ascii="宋体" w:hAnsi="宋体" w:eastAsia="宋体" w:cs="Times New Roman"/>
          <w:color w:val="auto"/>
          <w:kern w:val="21"/>
          <w:sz w:val="24"/>
          <w:szCs w:val="24"/>
          <w:lang w:bidi="zh-CN"/>
        </w:rPr>
      </w:pPr>
      <w:r>
        <w:rPr>
          <w:rFonts w:ascii="宋体" w:hAnsi="宋体" w:eastAsia="宋体" w:cs="Times New Roman"/>
          <w:color w:val="auto"/>
          <w:kern w:val="21"/>
          <w:sz w:val="24"/>
          <w:szCs w:val="24"/>
          <w:lang w:bidi="zh-CN"/>
        </w:rPr>
        <w:t>（</w:t>
      </w:r>
      <w:r>
        <w:rPr>
          <w:rFonts w:ascii="宋体" w:hAnsi="宋体" w:eastAsia="宋体" w:cs="Times New Roman"/>
          <w:color w:val="auto"/>
          <w:kern w:val="21"/>
          <w:sz w:val="24"/>
          <w:szCs w:val="24"/>
        </w:rPr>
        <w:t>5</w:t>
      </w:r>
      <w:r>
        <w:rPr>
          <w:rFonts w:ascii="宋体" w:hAnsi="宋体" w:eastAsia="宋体" w:cs="Times New Roman"/>
          <w:color w:val="auto"/>
          <w:kern w:val="21"/>
          <w:sz w:val="24"/>
          <w:szCs w:val="24"/>
          <w:lang w:bidi="zh-CN"/>
        </w:rPr>
        <w:t>）加强对施工人员的培训及责任教育，做好施工机械和运输车辆的调度和交通疏导工作，运输车辆选择避开居民区的路线，限制车速，禁止鸣笛，降低交通噪声；</w:t>
      </w:r>
    </w:p>
    <w:p w14:paraId="7143EAE5">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（6）本项目施工期较近的敏感目标为</w:t>
      </w:r>
      <w:r>
        <w:rPr>
          <w:rFonts w:ascii="宋体" w:hAnsi="宋体" w:eastAsia="宋体" w:cs="Times New Roman"/>
          <w:color w:val="auto"/>
          <w:sz w:val="24"/>
          <w:szCs w:val="36"/>
        </w:rPr>
        <w:t>源1011西侧140m的刘兽医屯</w:t>
      </w:r>
      <w:r>
        <w:rPr>
          <w:rFonts w:ascii="宋体" w:hAnsi="宋体" w:eastAsia="宋体" w:cs="Times New Roman"/>
          <w:color w:val="auto"/>
          <w:kern w:val="21"/>
          <w:sz w:val="24"/>
          <w:szCs w:val="24"/>
        </w:rPr>
        <w:t>，施工期主要是新建集油管线和通井路，在管线施工阶段靠近村屯一段采取人工开挖，降低对村屯声环境的影响。</w:t>
      </w:r>
    </w:p>
    <w:p w14:paraId="5597545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通过采取上述措施，能够确保施工场界噪声满足《建筑施工场界环境噪声排放标准》（GB 12523-2011）要求，且不会对施工场地周边敏感点产生较大影响，施工期噪声治理措施可行。</w:t>
      </w:r>
    </w:p>
    <w:bookmarkEnd w:id="1619"/>
    <w:p w14:paraId="298C79A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运营期</w:t>
      </w:r>
    </w:p>
    <w:p w14:paraId="0D24F8C2">
      <w:pPr>
        <w:spacing w:line="440" w:lineRule="exact"/>
        <w:ind w:firstLine="480" w:firstLineChars="200"/>
        <w:rPr>
          <w:rFonts w:ascii="宋体" w:hAnsi="宋体" w:eastAsia="宋体" w:cs="Times New Roman"/>
          <w:color w:val="auto"/>
          <w:kern w:val="21"/>
          <w:sz w:val="24"/>
          <w:szCs w:val="24"/>
        </w:rPr>
      </w:pPr>
      <w:bookmarkStart w:id="1620" w:name="_Hlk80771741"/>
      <w:r>
        <w:rPr>
          <w:rFonts w:ascii="宋体" w:hAnsi="宋体" w:eastAsia="宋体" w:cs="Times New Roman"/>
          <w:color w:val="auto"/>
          <w:kern w:val="21"/>
          <w:sz w:val="24"/>
          <w:szCs w:val="24"/>
        </w:rPr>
        <w:t>（1）井场和拉油点噪声控制措施</w:t>
      </w:r>
    </w:p>
    <w:p w14:paraId="5E67D735">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1）抽油机电机、拉油点储罐加热炉等发声设备尽可能选用低噪声设备；</w:t>
      </w:r>
    </w:p>
    <w:p w14:paraId="50B7F6F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2）对噪声值较高的设备，根据其产生噪声的特性，采用相应的减振、隔声等降噪措施；</w:t>
      </w:r>
    </w:p>
    <w:p w14:paraId="3C89BB4B">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3）注意对井场和拉油点设备的维护保养，保证设备保持在最佳运行状态，降低噪声源强度。</w:t>
      </w:r>
    </w:p>
    <w:p w14:paraId="0AE2FF1F">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4）本项目井场距保护目标最近的为</w:t>
      </w:r>
      <w:r>
        <w:rPr>
          <w:rFonts w:ascii="宋体" w:hAnsi="宋体" w:eastAsia="宋体" w:cs="Times New Roman"/>
          <w:color w:val="auto"/>
          <w:sz w:val="24"/>
          <w:szCs w:val="36"/>
        </w:rPr>
        <w:t>源1011西侧140m的刘兽医屯</w:t>
      </w:r>
      <w:r>
        <w:rPr>
          <w:rFonts w:ascii="宋体" w:hAnsi="宋体" w:eastAsia="宋体" w:cs="Times New Roman"/>
          <w:color w:val="auto"/>
          <w:kern w:val="21"/>
          <w:sz w:val="24"/>
          <w:szCs w:val="24"/>
        </w:rPr>
        <w:t>，加强对井场抽油机设备和拉油点储罐的维护保养，保证设备保持在最佳运行状态，降低噪声源强度。</w:t>
      </w:r>
    </w:p>
    <w:p w14:paraId="4161F7B1">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根据预测分析，在采取减振、隔声等降噪措施后通，运营期井场和拉油点</w:t>
      </w:r>
      <w:r>
        <w:rPr>
          <w:rFonts w:ascii="宋体" w:hAnsi="宋体" w:eastAsia="宋体" w:cs="Times New Roman"/>
          <w:color w:val="auto"/>
          <w:sz w:val="24"/>
          <w:szCs w:val="24"/>
        </w:rPr>
        <w:t>厂界噪声满足《工业企业厂界环境噪声排放标准》（GB12348-2008）中 2 类标准的要求</w:t>
      </w:r>
      <w:r>
        <w:rPr>
          <w:rFonts w:ascii="宋体" w:hAnsi="宋体" w:eastAsia="宋体" w:cs="Times New Roman"/>
          <w:color w:val="auto"/>
          <w:kern w:val="21"/>
          <w:sz w:val="24"/>
          <w:szCs w:val="24"/>
        </w:rPr>
        <w:t>，不会对周围声环境产生较大影响，</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噪声治理措施可行。</w:t>
      </w:r>
    </w:p>
    <w:p w14:paraId="66681A5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（2）拉油罐车噪声控制措施</w:t>
      </w:r>
    </w:p>
    <w:p w14:paraId="42C6672C">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1）选用低噪声运输罐车，使用符合国六或更高排放标准的低噪声发动机，安装高效消声器，降低发动机和排气系统噪声。运输单位定期加强车辆维护保养，保证运输车辆处于最佳运行状态。</w:t>
      </w:r>
    </w:p>
    <w:p w14:paraId="5070E357">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2）夜间禁止进行拉油活动，避开居民休息时段。拉油罐车在村屯路段减速慢行，控制车速降至40 km/h以下，降低轮胎噪声和发动机负荷声。禁止急加速、急刹车，减少瞬时高噪声。</w:t>
      </w:r>
    </w:p>
    <w:p w14:paraId="15CE711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3）严格按设定拉油路线活动，后期道路路网发生变化时，确保选用途经最少敏感点的拉油路线。</w:t>
      </w:r>
    </w:p>
    <w:p w14:paraId="2BD4B20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通过采取以上噪声控制措施，可有效降低拉油罐车对沿途村屯的噪声影响，减小对村屯居民日常生活的影响，拉油罐车噪声治理措施可行。</w:t>
      </w:r>
    </w:p>
    <w:bookmarkEnd w:id="1620"/>
    <w:p w14:paraId="19BEA55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1621" w:name="_Toc85640848"/>
      <w:bookmarkStart w:id="1622" w:name="_Toc67860230"/>
      <w:bookmarkStart w:id="1623" w:name="_Toc126863480"/>
      <w:bookmarkStart w:id="1624" w:name="_Toc196215817"/>
      <w:bookmarkStart w:id="1625" w:name="_Toc127192429"/>
      <w:bookmarkStart w:id="1626" w:name="_Toc83209569"/>
      <w:bookmarkStart w:id="1627" w:name="_Toc131167381"/>
      <w:bookmarkStart w:id="1628" w:name="_Toc80588347"/>
      <w:bookmarkStart w:id="1629" w:name="_Toc77067750"/>
      <w:bookmarkStart w:id="1630" w:name="_Toc86142023"/>
      <w:bookmarkStart w:id="1631" w:name="_Toc70050277"/>
      <w:bookmarkStart w:id="1632" w:name="_Toc84929324"/>
      <w:bookmarkStart w:id="1633" w:name="_Toc80971469"/>
      <w:bookmarkStart w:id="1634" w:name="_Toc143099668"/>
      <w:bookmarkStart w:id="1635" w:name="_Toc78816552"/>
      <w:bookmarkStart w:id="1636" w:name="_Toc76976339"/>
      <w:r>
        <w:rPr>
          <w:rFonts w:ascii="宋体" w:hAnsi="宋体" w:eastAsia="宋体" w:cs="Times New Roman"/>
          <w:b/>
          <w:bCs/>
          <w:color w:val="auto"/>
          <w:szCs w:val="28"/>
        </w:rPr>
        <w:t>退役期</w:t>
      </w:r>
    </w:p>
    <w:p w14:paraId="41DAAD1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退役期噪声源主要是拆除井场抽油机和拉油点储罐等设备产生的噪声。</w:t>
      </w:r>
    </w:p>
    <w:p w14:paraId="7D2E153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退役期施工时应加强施工管理工作，合理安排施工进度，避免大量高噪声设备同时施工；选用低噪声设备；运输车辆选择避开居民区的路线。</w:t>
      </w:r>
    </w:p>
    <w:p w14:paraId="6BF0564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通过采取上述措施，能够确保退役期施工场界噪声满足《建筑施工场界环境噪声排放标准》（GB12523-2011）要求，且不会对施工场地周边敏感点产生较大影响，退役期噪声治理措施可行。</w:t>
      </w:r>
    </w:p>
    <w:p w14:paraId="7E2B2C05">
      <w:pPr>
        <w:pStyle w:val="6"/>
        <w:rPr>
          <w:color w:val="auto"/>
        </w:rPr>
      </w:pPr>
      <w:r>
        <w:rPr>
          <w:color w:val="auto"/>
        </w:rPr>
        <w:t>固体废弃物控制措施</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5944C59C">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施工期</w:t>
      </w:r>
    </w:p>
    <w:p w14:paraId="3E5DCD03">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（1）水基废钻井液和水基钻井岩屑排入井场水基钢制泥浆槽中</w:t>
      </w:r>
      <w:r>
        <w:rPr>
          <w:rFonts w:ascii="宋体" w:hAnsi="宋体" w:eastAsia="宋体" w:cs="Times New Roman"/>
          <w:color w:val="auto"/>
          <w:sz w:val="24"/>
          <w:szCs w:val="22"/>
        </w:rPr>
        <w:t>，及时拉运至大庆油田昆仑集团有限公司环保分公司处理，处理后的压滤水定期由罐车拉运至朝一联含油污水处理站</w:t>
      </w:r>
      <w:r>
        <w:rPr>
          <w:rFonts w:ascii="宋体" w:hAnsi="宋体" w:eastAsia="宋体" w:cs="Times New Roman"/>
          <w:color w:val="auto"/>
          <w:sz w:val="24"/>
          <w:szCs w:val="24"/>
        </w:rPr>
        <w:t>处理满足《大庆油田地面工程建设设计规定》（Q/SYDQ0639-2015）及《碎屑岩油藏注水水质指标技术要求及分析方法》（SY/T5329-2022）限值要求后回注油层，处理后的泥饼外售给大庆钻探工程公司钻井二公司综合利用垫井场或铺路</w:t>
      </w:r>
      <w:r>
        <w:rPr>
          <w:rFonts w:ascii="宋体" w:hAnsi="宋体" w:eastAsia="宋体" w:cs="Times New Roman"/>
          <w:color w:val="auto"/>
          <w:sz w:val="24"/>
          <w:szCs w:val="22"/>
        </w:rPr>
        <w:t>。</w:t>
      </w:r>
    </w:p>
    <w:p w14:paraId="2F8EAFAD">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（2）油基废钻井液、油基钻井岩屑和含油废射孔液排入井场设置的油基钢制泥浆槽，委托有危废处理资质的黑龙江迈景环保科技有限公司处理满足《油田含油污泥处置与利用污染控制要求》（DB23/T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p w14:paraId="0FF6538C">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3）本项目施工废料主要为焊接施工中产生废焊条和管道防腐施工过程中产生的废防腐材料，由施工单位统一收集后拉运至第八采油厂工业固废填埋场处理，膨润土、纯碱、重晶石粉废包装袋由施工单位统一收集后拉运至第八采油厂工业固废填埋场处理。</w:t>
      </w:r>
    </w:p>
    <w:p w14:paraId="77EFD136">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（4）含油废防渗布集中收集暂存于第十采油厂综合固废储存库，定期委托有资质单位处理。</w:t>
      </w:r>
    </w:p>
    <w:p w14:paraId="4639FD07">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（5）生活垃圾统一收集拉运至肇源县利民城市垃圾处理有限公司处理。</w:t>
      </w:r>
    </w:p>
    <w:p w14:paraId="39ACCB7D">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施工产生的生活垃圾等固体废物在固定地点集中存放，防止因暴雨、大风等冲入外环境，并及时清运，做到工完、料净、场地清。通过采取上述措施，本项目施工期产生的固体废物均能按照“资源化、减量化、无害化”原则，合理安全处置。</w:t>
      </w:r>
    </w:p>
    <w:p w14:paraId="35073B00">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运营期</w:t>
      </w:r>
    </w:p>
    <w:p w14:paraId="716F3881">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本项目产生的落地油及清淤油泥（砂）属于危险废物，危险废物类别为HW08废矿物油与含矿物油废物，代码为071-001-08，由罐车拉运至朝一联含油污泥处理站减量化处理后，再委托大庆博昕晶化科技有限公司处理满足《油田含油污泥处置与利用污染控制要求》（DB23/T 3104-2022）表1中的限值要求后，</w:t>
      </w:r>
      <w:bookmarkStart w:id="1637" w:name="_Hlk80772178"/>
      <w:r>
        <w:rPr>
          <w:rFonts w:ascii="宋体" w:hAnsi="宋体" w:eastAsia="宋体" w:cs="Times New Roman"/>
          <w:color w:val="auto"/>
          <w:kern w:val="21"/>
          <w:sz w:val="24"/>
          <w:szCs w:val="24"/>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落地油及含油污泥均由施工人员回收至罐车内，罐车采用密闭的专用罐车，拉运过程中按照指定的拉运路线、尽量避开村屯等敏感点进行运输，同时罐车上配备铁锹等应急工具。</w:t>
      </w:r>
    </w:p>
    <w:p w14:paraId="52D78DF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（2）运营期油井作业产生的含油废防渗布属于危险废物，危险废物类别为HW08废矿物油与含矿物油废物，废物代码为900-249-08，经收集后暂存于第十采油厂综合固废储存库，定期委托有资质单位处理。该储存库</w:t>
      </w:r>
      <w:r>
        <w:rPr>
          <w:rFonts w:ascii="宋体" w:hAnsi="宋体" w:eastAsia="宋体" w:cs="Times New Roman"/>
          <w:color w:val="auto"/>
          <w:sz w:val="24"/>
          <w:szCs w:val="24"/>
        </w:rPr>
        <w:t>存储量为500t，现实际储存量为10t，本项目含油废防渗布产生量0.</w:t>
      </w:r>
      <w:r>
        <w:rPr>
          <w:rFonts w:hint="eastAsia" w:ascii="宋体" w:hAnsi="宋体" w:eastAsia="宋体" w:cs="Times New Roman"/>
          <w:color w:val="auto"/>
          <w:sz w:val="24"/>
          <w:szCs w:val="24"/>
        </w:rPr>
        <w:t>07</w:t>
      </w:r>
      <w:r>
        <w:rPr>
          <w:rFonts w:ascii="宋体" w:hAnsi="宋体" w:eastAsia="宋体" w:cs="Times New Roman"/>
          <w:color w:val="auto"/>
          <w:sz w:val="24"/>
          <w:szCs w:val="24"/>
        </w:rPr>
        <w:t>t/a，</w:t>
      </w:r>
      <w:r>
        <w:rPr>
          <w:rFonts w:ascii="宋体" w:hAnsi="宋体" w:eastAsia="宋体" w:cs="Times New Roman"/>
          <w:color w:val="auto"/>
          <w:kern w:val="21"/>
          <w:sz w:val="24"/>
          <w:szCs w:val="24"/>
        </w:rPr>
        <w:t>存储能力均满足需求，依托可行。</w:t>
      </w:r>
    </w:p>
    <w:p w14:paraId="326E4C85">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（3）在井场作业现场管理中，严格落实作业前后环保交接制度，作业队伍必须严格遵守相应的无污染作业准则，确保无污染作业率达到100%。</w:t>
      </w:r>
    </w:p>
    <w:bookmarkEnd w:id="1637"/>
    <w:p w14:paraId="4C7A539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（4）本项目产生的危险废物及时进行收集运输工作，严格执行《危险废物转移管理办法》。在收集过程中确保危险废物不遗撒、泄漏。</w:t>
      </w:r>
    </w:p>
    <w:p w14:paraId="0BE5E0C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bookmarkStart w:id="1638" w:name="_Toc80971470"/>
      <w:bookmarkStart w:id="1639" w:name="_Toc77067751"/>
      <w:bookmarkStart w:id="1640" w:name="_Toc143099669"/>
      <w:bookmarkStart w:id="1641" w:name="_Toc67860231"/>
      <w:bookmarkStart w:id="1642" w:name="_Toc126863481"/>
      <w:bookmarkStart w:id="1643" w:name="_Toc85640849"/>
      <w:bookmarkStart w:id="1644" w:name="_Toc83209570"/>
      <w:bookmarkStart w:id="1645" w:name="_Toc131167382"/>
      <w:bookmarkStart w:id="1646" w:name="_Toc86142024"/>
      <w:bookmarkStart w:id="1647" w:name="_Toc76976340"/>
      <w:bookmarkStart w:id="1648" w:name="_Toc70050278"/>
      <w:bookmarkStart w:id="1649" w:name="_Toc127192430"/>
      <w:bookmarkStart w:id="1650" w:name="_Toc84929325"/>
      <w:bookmarkStart w:id="1651" w:name="_Toc80588348"/>
      <w:bookmarkStart w:id="1652" w:name="_Toc78816553"/>
      <w:r>
        <w:rPr>
          <w:rFonts w:ascii="宋体" w:hAnsi="宋体" w:eastAsia="宋体" w:cs="Times New Roman"/>
          <w:b/>
          <w:bCs/>
          <w:color w:val="auto"/>
          <w:szCs w:val="28"/>
        </w:rPr>
        <w:t>退役期</w:t>
      </w:r>
    </w:p>
    <w:p w14:paraId="0CED4E72">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（1）退役期拆除的废旧设备全部回收至第十采油厂物资库；</w:t>
      </w:r>
    </w:p>
    <w:p w14:paraId="06E73393">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（2）生活垃圾统一收集拉运至肇源县利民城市垃圾处理有限公司处理，执行《城市生活垃圾管理办法》（中华人民共和国建设部令第157号令）；</w:t>
      </w:r>
    </w:p>
    <w:p w14:paraId="6EB23EC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sz w:val="24"/>
          <w:szCs w:val="24"/>
        </w:rPr>
        <w:t>（3）封井建筑垃圾统一收集后拉运至建筑垃圾调配场处置。</w:t>
      </w:r>
    </w:p>
    <w:p w14:paraId="47204BB6">
      <w:pPr>
        <w:pStyle w:val="6"/>
        <w:rPr>
          <w:color w:val="auto"/>
        </w:rPr>
      </w:pPr>
      <w:r>
        <w:rPr>
          <w:color w:val="auto"/>
        </w:rPr>
        <w:t>生态保护措施</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14:paraId="3D056E1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施工期</w:t>
      </w:r>
    </w:p>
    <w:p w14:paraId="145D548E">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（1）钻井施工应编制施工预案，科学安排作业，新钻井位于1座平台和4座单井井场，最大限度减少钻机搬迁等对植被的碾压和破坏；</w:t>
      </w:r>
    </w:p>
    <w:p w14:paraId="5B818A26">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（2）充分利用现有道路，尽量不再开辟新的临时进井通道；</w:t>
      </w:r>
    </w:p>
    <w:p w14:paraId="139DC759">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（3）施工机械不在道路、井场以外的地方行驶和作业，规范行车路线及施工人员行为，严禁随意践踏、碾压施工区范围外的植被，不准乱挖、乱采植物；</w:t>
      </w:r>
    </w:p>
    <w:p w14:paraId="26F55842">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（4）井场布置必须遵守《大庆油田开发建设用地标准》规定，严格控制施工作业面积，以减少地表植被破坏；</w:t>
      </w:r>
    </w:p>
    <w:p w14:paraId="2D4794EC">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（5）为避免施工期对植被的影响，对易产生扬尘的场所必要时加以遮挡，以减轻对植物的影响；</w:t>
      </w:r>
    </w:p>
    <w:p w14:paraId="2E28FD60">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（6）加强井场管理及设备养护，井场铺设防渗布，防止原油、含油污水以及各种废液的跑冒滴漏，如发生跑冒滴漏，及时处理；</w:t>
      </w:r>
    </w:p>
    <w:p w14:paraId="758D04F8">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（7）规范施工人员行为，严禁随意践踏、碾压施工区范围之外的植被；</w:t>
      </w:r>
    </w:p>
    <w:p w14:paraId="3E0487AB">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8）恢复土地生产能力，提高土壤肥力。施工过程中尽量保护土地资源，不打乱土层。本项目在施工过程中针对临时占地，应剥离占地内0.3m的表土，采用分层开挖，分层堆放，暂存于占地内的表土剥离临时堆放区，并采取苫布遮盖等措施防止水土流失，定期采取洒水抑尘措施，剥离的表土在施工结束后分层回填，及时恢复地表植被，并采取补植、补播等措施，保证土壤肥力和植被覆盖度；</w:t>
      </w:r>
    </w:p>
    <w:p w14:paraId="4ED58269">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9）施工结束后施工营地进行搬迁，料场做到工完、料净、场地清。井场临时防渗旱厕进行清理卫生填埋，按照先填心、底土，后平覆表土，柴油罐区的防渗材料及围堰与柴油罐一同拆除，临时占地平整并恢复；施工时所产生的生活污水、生活垃圾等废弃物，严禁随意倾倒；</w:t>
      </w:r>
    </w:p>
    <w:p w14:paraId="6FF8E76F">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（10）埋设管线时，根据管径的大小做到尽量窄控，采取平埋方式（不起土坝）进行，以便尽快恢复植被；</w:t>
      </w:r>
    </w:p>
    <w:p w14:paraId="3AD37FBE">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（11）恢复被破坏的地表形态，平整作业现场，改善土壤及植被恢复条件；</w:t>
      </w:r>
    </w:p>
    <w:p w14:paraId="5ED85D96">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（12）本项目永久占用的耕地，针对永久占地按“占一补一”原则及相关规定缴纳土地补偿费，专款用于占地补偿，按规定补划永久基本农田；</w:t>
      </w:r>
    </w:p>
    <w:p w14:paraId="2D8B1ADC">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（13）管道施工尽量缩小占地面积，应划定施工活动范围，严格控制和管理车辆及重型机械的运行范围，所有车辆采用“一”字型作业法，走同一车辙，避免加行开辟新路；</w:t>
      </w:r>
    </w:p>
    <w:p w14:paraId="4C923BD1">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（14）管沟挖、填方作业应作到互补平衡；</w:t>
      </w:r>
    </w:p>
    <w:p w14:paraId="210DAF39">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（15）管沟回填应按层回填，以利施工带土壤和植被的尽早恢复。</w:t>
      </w:r>
      <w:bookmarkStart w:id="1653" w:name="_Hlk80786075"/>
      <w:r>
        <w:rPr>
          <w:rFonts w:ascii="宋体" w:hAnsi="宋体" w:eastAsia="宋体"/>
          <w:color w:val="auto"/>
          <w:sz w:val="24"/>
          <w:szCs w:val="24"/>
        </w:rPr>
        <w:t>回填后应予以平整、压实，以免发生水土流失</w:t>
      </w:r>
      <w:bookmarkEnd w:id="1653"/>
      <w:r>
        <w:rPr>
          <w:rFonts w:ascii="宋体" w:hAnsi="宋体" w:eastAsia="宋体"/>
          <w:color w:val="auto"/>
          <w:sz w:val="24"/>
          <w:szCs w:val="24"/>
        </w:rPr>
        <w:t>；</w:t>
      </w:r>
    </w:p>
    <w:p w14:paraId="2507DF92">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（16）管道建设工程结束后，回填开挖的管沟，路基采取护坡、养护措施，进行表土回覆、场地清理平整并恢复植被；</w:t>
      </w:r>
    </w:p>
    <w:p w14:paraId="3A18B0EB">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（17）对废水、固体废物进行严格管理，统一处理或回收，不得随意抛撒，防止污染土壤。</w:t>
      </w:r>
    </w:p>
    <w:p w14:paraId="6047E8C8">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本项目应在施工完毕后进行生态影响减缓及恢复措施，具体见表6.1-3。典型生态保护措施平面布置示意图见附图18。</w:t>
      </w:r>
    </w:p>
    <w:p w14:paraId="41BA3073">
      <w:pPr>
        <w:pStyle w:val="276"/>
        <w:widowControl w:val="0"/>
        <w:spacing w:line="440" w:lineRule="exact"/>
        <w:ind w:firstLine="0" w:firstLineChars="0"/>
        <w:jc w:val="center"/>
        <w:rPr>
          <w:color w:val="auto"/>
        </w:rPr>
      </w:pPr>
      <w:r>
        <w:rPr>
          <w:color w:val="auto"/>
        </w:rPr>
        <w:t>表6.1-3 生态影响减缓及恢复措施</w:t>
      </w:r>
    </w:p>
    <w:tbl>
      <w:tblPr>
        <w:tblStyle w:val="8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614"/>
        <w:gridCol w:w="1229"/>
        <w:gridCol w:w="1270"/>
        <w:gridCol w:w="3377"/>
        <w:gridCol w:w="1239"/>
        <w:gridCol w:w="1332"/>
      </w:tblGrid>
      <w:tr w14:paraId="2BD27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614" w:type="dxa"/>
            <w:vAlign w:val="center"/>
          </w:tcPr>
          <w:p w14:paraId="1EE185EB">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1229" w:type="dxa"/>
            <w:vAlign w:val="center"/>
          </w:tcPr>
          <w:p w14:paraId="4CDB4F8D">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项目</w:t>
            </w:r>
          </w:p>
        </w:tc>
        <w:tc>
          <w:tcPr>
            <w:tcW w:w="1270" w:type="dxa"/>
            <w:vAlign w:val="center"/>
          </w:tcPr>
          <w:p w14:paraId="1487C37F">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占地类型</w:t>
            </w:r>
          </w:p>
        </w:tc>
        <w:tc>
          <w:tcPr>
            <w:tcW w:w="3377" w:type="dxa"/>
            <w:vAlign w:val="center"/>
          </w:tcPr>
          <w:p w14:paraId="3763887F">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恢复措施</w:t>
            </w:r>
          </w:p>
        </w:tc>
        <w:tc>
          <w:tcPr>
            <w:tcW w:w="1239" w:type="dxa"/>
            <w:vAlign w:val="center"/>
          </w:tcPr>
          <w:p w14:paraId="0078542C">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实施时间</w:t>
            </w:r>
          </w:p>
        </w:tc>
        <w:tc>
          <w:tcPr>
            <w:tcW w:w="1332" w:type="dxa"/>
            <w:vAlign w:val="center"/>
          </w:tcPr>
          <w:p w14:paraId="2341BBE8">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实施单位</w:t>
            </w:r>
          </w:p>
        </w:tc>
      </w:tr>
      <w:tr w14:paraId="1B4ED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614" w:type="dxa"/>
            <w:vAlign w:val="center"/>
          </w:tcPr>
          <w:p w14:paraId="43EAA490">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1229" w:type="dxa"/>
            <w:vAlign w:val="center"/>
          </w:tcPr>
          <w:p w14:paraId="1BB7F022">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永久占地</w:t>
            </w:r>
          </w:p>
        </w:tc>
        <w:tc>
          <w:tcPr>
            <w:tcW w:w="1270" w:type="dxa"/>
            <w:vAlign w:val="center"/>
          </w:tcPr>
          <w:p w14:paraId="7A8412FA">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耕地、草地</w:t>
            </w:r>
          </w:p>
        </w:tc>
        <w:tc>
          <w:tcPr>
            <w:tcW w:w="3377" w:type="dxa"/>
            <w:vAlign w:val="center"/>
          </w:tcPr>
          <w:p w14:paraId="37D8FDBA">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按照当地相关规定缴纳补偿费用，补偿永久占地</w:t>
            </w:r>
            <w:r>
              <w:rPr>
                <w:rFonts w:hint="eastAsia" w:ascii="宋体" w:hAnsi="宋体" w:eastAsia="宋体" w:cs="Times New Roman"/>
                <w:snapToGrid w:val="0"/>
                <w:color w:val="auto"/>
              </w:rPr>
              <w:t>3.254</w:t>
            </w:r>
            <w:r>
              <w:rPr>
                <w:rFonts w:ascii="宋体" w:hAnsi="宋体" w:eastAsia="宋体" w:cs="Times New Roman"/>
                <w:snapToGrid w:val="0"/>
                <w:color w:val="auto"/>
              </w:rPr>
              <w:t>hm</w:t>
            </w:r>
            <w:r>
              <w:rPr>
                <w:rFonts w:ascii="宋体" w:hAnsi="宋体" w:eastAsia="宋体" w:cs="Times New Roman"/>
                <w:snapToGrid w:val="0"/>
                <w:color w:val="auto"/>
                <w:vertAlign w:val="superscript"/>
              </w:rPr>
              <w:t>2</w:t>
            </w:r>
            <w:r>
              <w:rPr>
                <w:rFonts w:ascii="宋体" w:hAnsi="宋体" w:eastAsia="宋体" w:cs="Times New Roman"/>
                <w:snapToGrid w:val="0"/>
                <w:color w:val="auto"/>
              </w:rPr>
              <w:t>。</w:t>
            </w:r>
          </w:p>
        </w:tc>
        <w:tc>
          <w:tcPr>
            <w:tcW w:w="1239" w:type="dxa"/>
            <w:vMerge w:val="restart"/>
            <w:vAlign w:val="center"/>
          </w:tcPr>
          <w:p w14:paraId="1A8A9A9F">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施工完毕后</w:t>
            </w:r>
          </w:p>
          <w:p w14:paraId="525A7544">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1年内</w:t>
            </w:r>
          </w:p>
        </w:tc>
        <w:tc>
          <w:tcPr>
            <w:tcW w:w="1332" w:type="dxa"/>
            <w:vMerge w:val="restart"/>
            <w:vAlign w:val="center"/>
          </w:tcPr>
          <w:p w14:paraId="735191AF">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大庆油田有限责任公司第十采油厂</w:t>
            </w:r>
          </w:p>
        </w:tc>
      </w:tr>
      <w:tr w14:paraId="6825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614" w:type="dxa"/>
            <w:vAlign w:val="center"/>
          </w:tcPr>
          <w:p w14:paraId="3B23A70C">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1229" w:type="dxa"/>
            <w:vAlign w:val="center"/>
          </w:tcPr>
          <w:p w14:paraId="61CC3DF1">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临时占地</w:t>
            </w:r>
          </w:p>
        </w:tc>
        <w:tc>
          <w:tcPr>
            <w:tcW w:w="1270" w:type="dxa"/>
            <w:vAlign w:val="center"/>
          </w:tcPr>
          <w:p w14:paraId="7371246F">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耕地、草地</w:t>
            </w:r>
          </w:p>
        </w:tc>
        <w:tc>
          <w:tcPr>
            <w:tcW w:w="3377" w:type="dxa"/>
            <w:vAlign w:val="center"/>
          </w:tcPr>
          <w:p w14:paraId="568FA704">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恢复临时占地</w:t>
            </w:r>
            <w:r>
              <w:rPr>
                <w:rFonts w:hint="eastAsia" w:ascii="宋体" w:hAnsi="宋体" w:eastAsia="宋体" w:cs="Times New Roman"/>
                <w:snapToGrid w:val="0"/>
                <w:color w:val="auto"/>
              </w:rPr>
              <w:t>4.46</w:t>
            </w:r>
            <w:r>
              <w:rPr>
                <w:rFonts w:ascii="宋体" w:hAnsi="宋体" w:eastAsia="宋体" w:cs="Times New Roman"/>
                <w:snapToGrid w:val="0"/>
                <w:color w:val="auto"/>
              </w:rPr>
              <w:t>hm</w:t>
            </w:r>
            <w:r>
              <w:rPr>
                <w:rFonts w:ascii="宋体" w:hAnsi="宋体" w:eastAsia="宋体" w:cs="Times New Roman"/>
                <w:snapToGrid w:val="0"/>
                <w:color w:val="auto"/>
                <w:vertAlign w:val="superscript"/>
              </w:rPr>
              <w:t>2</w:t>
            </w:r>
            <w:r>
              <w:rPr>
                <w:rFonts w:ascii="宋体" w:hAnsi="宋体" w:eastAsia="宋体" w:cs="Times New Roman"/>
                <w:snapToGrid w:val="0"/>
                <w:color w:val="auto"/>
              </w:rPr>
              <w:t>，分层开挖，分层回填，及时恢复地表植被，并采取补播等措施，保证土壤肥力</w:t>
            </w:r>
          </w:p>
        </w:tc>
        <w:tc>
          <w:tcPr>
            <w:tcW w:w="1239" w:type="dxa"/>
            <w:vMerge w:val="continue"/>
            <w:vAlign w:val="center"/>
          </w:tcPr>
          <w:p w14:paraId="6007257C">
            <w:pPr>
              <w:adjustRightInd w:val="0"/>
              <w:snapToGrid w:val="0"/>
              <w:spacing w:line="360" w:lineRule="exact"/>
              <w:jc w:val="center"/>
              <w:rPr>
                <w:rFonts w:ascii="宋体" w:hAnsi="宋体" w:eastAsia="宋体" w:cs="Times New Roman"/>
                <w:snapToGrid w:val="0"/>
                <w:color w:val="auto"/>
              </w:rPr>
            </w:pPr>
          </w:p>
        </w:tc>
        <w:tc>
          <w:tcPr>
            <w:tcW w:w="1332" w:type="dxa"/>
            <w:vMerge w:val="continue"/>
            <w:vAlign w:val="center"/>
          </w:tcPr>
          <w:p w14:paraId="0D35E882">
            <w:pPr>
              <w:adjustRightInd w:val="0"/>
              <w:snapToGrid w:val="0"/>
              <w:spacing w:line="360" w:lineRule="exact"/>
              <w:jc w:val="center"/>
              <w:rPr>
                <w:rFonts w:ascii="宋体" w:hAnsi="宋体" w:eastAsia="宋体" w:cs="Times New Roman"/>
                <w:snapToGrid w:val="0"/>
                <w:color w:val="auto"/>
              </w:rPr>
            </w:pPr>
          </w:p>
        </w:tc>
      </w:tr>
    </w:tbl>
    <w:p w14:paraId="7E6A7E87">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hint="eastAsia" w:ascii="宋体" w:hAnsi="宋体" w:eastAsia="宋体" w:cs="Times New Roman"/>
          <w:b/>
          <w:bCs/>
          <w:color w:val="auto"/>
          <w:szCs w:val="28"/>
        </w:rPr>
        <w:t>运营期</w:t>
      </w:r>
    </w:p>
    <w:p w14:paraId="5684FA5A">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本项目由于井场、道路、管线等施工时车辆对土壤的碾压，人员对土壤的践踏，将改变原地表地貌状况，扰动原地貌，改变原地貌的状况和性质。工程施工破坏植被，新地貌失去植物根系的固土作用，雨水直接冲刷疏松、裸露的地表土，易造成水土流失；施工过程中，开挖回填后产生的弃渣松散堆积，结构疏松，胶结力差，抗侵蚀能力极低，遇暴雨产生径流，加大水土流失。运营期建议采取以下生态保护措施：</w:t>
      </w:r>
    </w:p>
    <w:p w14:paraId="46852B88">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严格控制油井作业占地，普通井下作业不新征临时占地；施工结束后及时有效地对占地区域土地进行平整，并压实，利于植被自然恢复。井场临时占地主要为设备放置地，在设备放置时尽量不破坏原有地貌，施工结束后及时对现场进行清理，对破坏的土地进行平整并压实，利于植被自然恢复。</w:t>
      </w:r>
    </w:p>
    <w:p w14:paraId="7DE3DC44">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（2）油井作业过程中缩小影响范围，提高工程施工效率，减少工程在空间上、时间上对生态环境的影响。</w:t>
      </w:r>
    </w:p>
    <w:p w14:paraId="29861112">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3）油井作业要划定施工活动范围，严格控制和管理车辆及重型机械的运行范围，所有车辆采用“一”字型作业法，避免并行开辟新路，以减少风蚀沙化活动的范围。油井作业结束后，应针对作业过程中的不同破坏类型，恢复被破坏的地表形态，降低工程对周围生态环境的影响。</w:t>
      </w:r>
    </w:p>
    <w:p w14:paraId="17499677">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（4）油井作业避免在大风天施工。作业时在井场周围堆筑临时围堰，防止作业时产生的油水进入周围环境。</w:t>
      </w:r>
    </w:p>
    <w:p w14:paraId="7D1E0C2C">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（5）油井作业时严格执行环保措施，控制污染物的外排量，保证“工完料净场地清”，作业后无落地油遗留井场。</w:t>
      </w:r>
    </w:p>
    <w:p w14:paraId="04C5F5FD">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（6）回收落地油时，减少土壤的剥离量。加强管理，减少落地油在清理和运输过程跑冒滴漏的量，污泥回收后做无害化处理，处理后油水回收。</w:t>
      </w:r>
    </w:p>
    <w:p w14:paraId="397AA415">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（7）运营期拉油和作业车辆应在已修建的道路上行驶，不得随意行驶。</w:t>
      </w:r>
    </w:p>
    <w:p w14:paraId="30F583CF">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本项目通过采取上述生态保护措施，能够确保本项目对区域生态环境的破坏得到有效控制，不会对区域生态环境产生较大影响，生态保护措施可行。</w:t>
      </w:r>
    </w:p>
    <w:p w14:paraId="55CE6F4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退役期生态恢复与重建措施</w:t>
      </w:r>
    </w:p>
    <w:p w14:paraId="6B907AF1">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油田退役期，根据当地条件，占地全部复耕，对生态环境进行恢复和重建，评价建议分区采取生态恢复与重建措施。</w:t>
      </w:r>
    </w:p>
    <w:p w14:paraId="20C96291">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（1）井场生态恢复与重建措施</w:t>
      </w:r>
    </w:p>
    <w:p w14:paraId="68D7279F">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w:t>
      </w:r>
      <w:r>
        <w:rPr>
          <w:rFonts w:hint="eastAsia" w:ascii="宋体" w:hAnsi="宋体" w:eastAsia="宋体"/>
          <w:color w:val="auto"/>
          <w:sz w:val="24"/>
          <w:szCs w:val="24"/>
        </w:rPr>
        <w:t>）</w:t>
      </w:r>
      <w:r>
        <w:rPr>
          <w:rFonts w:ascii="宋体" w:hAnsi="宋体" w:eastAsia="宋体"/>
          <w:color w:val="auto"/>
          <w:sz w:val="24"/>
          <w:szCs w:val="24"/>
        </w:rPr>
        <w:t>退役期油井退役或报废后，应当在6个月内将打开的油气层和井口封闭；井场应拆除采油设备、封好井口，挖松固化地面，并对井场土地进行平整、翻松，同步实施井场复垦还田措施。</w:t>
      </w:r>
    </w:p>
    <w:p w14:paraId="2117DB86">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w:t>
      </w:r>
      <w:r>
        <w:rPr>
          <w:rFonts w:hint="eastAsia" w:ascii="宋体" w:hAnsi="宋体" w:eastAsia="宋体"/>
          <w:color w:val="auto"/>
          <w:sz w:val="24"/>
          <w:szCs w:val="24"/>
        </w:rPr>
        <w:t>）</w:t>
      </w:r>
      <w:r>
        <w:rPr>
          <w:rFonts w:ascii="宋体" w:hAnsi="宋体" w:eastAsia="宋体"/>
          <w:color w:val="auto"/>
          <w:sz w:val="24"/>
          <w:szCs w:val="24"/>
        </w:rPr>
        <w:t>保留各类绿化、防洪工程、生态保护设施，使油田开发区生态环境功能不变生态环境质量不低于目前现状。</w:t>
      </w:r>
    </w:p>
    <w:p w14:paraId="2B4D7893">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（2）道路及管线生态恢复与重建措施</w:t>
      </w:r>
    </w:p>
    <w:p w14:paraId="56177186">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w:t>
      </w:r>
      <w:r>
        <w:rPr>
          <w:rFonts w:hint="eastAsia" w:ascii="宋体" w:hAnsi="宋体" w:eastAsia="宋体"/>
          <w:color w:val="auto"/>
          <w:sz w:val="24"/>
          <w:szCs w:val="24"/>
        </w:rPr>
        <w:t>）</w:t>
      </w:r>
      <w:r>
        <w:rPr>
          <w:rFonts w:ascii="宋体" w:hAnsi="宋体" w:eastAsia="宋体"/>
          <w:color w:val="auto"/>
          <w:sz w:val="24"/>
          <w:szCs w:val="24"/>
        </w:rPr>
        <w:t>为避免退役管线开挖对生态环境的影响，管线退役阶段不进行开挖，采取管线两段灌注水泥封堵直埋处理。</w:t>
      </w:r>
    </w:p>
    <w:p w14:paraId="5C6AFE84">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w:t>
      </w:r>
      <w:r>
        <w:rPr>
          <w:rFonts w:hint="eastAsia" w:ascii="宋体" w:hAnsi="宋体" w:eastAsia="宋体"/>
          <w:color w:val="auto"/>
          <w:sz w:val="24"/>
          <w:szCs w:val="24"/>
        </w:rPr>
        <w:t>）</w:t>
      </w:r>
      <w:r>
        <w:rPr>
          <w:rFonts w:ascii="宋体" w:hAnsi="宋体" w:eastAsia="宋体"/>
          <w:color w:val="auto"/>
          <w:sz w:val="24"/>
          <w:szCs w:val="24"/>
        </w:rPr>
        <w:t>对井场通井路的永久占地要进行生态恢复，采取土地平整、翻松，及时复耕。</w:t>
      </w:r>
    </w:p>
    <w:p w14:paraId="0FB2E9D2">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综上所述，项目退役期在采取生态恢复与重建措施后，可有效地将生态环境的影响降到最低程度。</w:t>
      </w:r>
    </w:p>
    <w:p w14:paraId="5DC0C4E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黑土地保护措施</w:t>
      </w:r>
    </w:p>
    <w:p w14:paraId="474F954F">
      <w:pPr>
        <w:spacing w:line="440" w:lineRule="exact"/>
        <w:ind w:firstLine="480" w:firstLineChars="200"/>
        <w:rPr>
          <w:rFonts w:ascii="宋体" w:hAnsi="宋体" w:eastAsia="宋体" w:cs="Times New Roman"/>
          <w:color w:val="auto"/>
          <w:sz w:val="24"/>
          <w:szCs w:val="36"/>
        </w:rPr>
      </w:pPr>
      <w:r>
        <w:rPr>
          <w:rFonts w:ascii="宋体" w:hAnsi="宋体" w:eastAsia="宋体" w:cs="Times New Roman"/>
          <w:color w:val="auto"/>
          <w:sz w:val="24"/>
          <w:szCs w:val="36"/>
        </w:rPr>
        <w:t>本项目新增占地类型包括耕地，属于黑土地。根据《黑龙江省“十四五”黑土地保护规划》及</w:t>
      </w:r>
      <w:r>
        <w:rPr>
          <w:rFonts w:ascii="宋体" w:hAnsi="宋体" w:eastAsia="宋体" w:cs="Times New Roman"/>
          <w:snapToGrid w:val="0"/>
          <w:color w:val="auto"/>
          <w:sz w:val="24"/>
          <w:szCs w:val="24"/>
        </w:rPr>
        <w:t>《黑龙江省黑土地保护工程实施方案（2021-2025 年）》</w:t>
      </w:r>
      <w:r>
        <w:rPr>
          <w:rFonts w:ascii="宋体" w:hAnsi="宋体" w:eastAsia="宋体" w:cs="Times New Roman"/>
          <w:color w:val="auto"/>
          <w:sz w:val="24"/>
          <w:szCs w:val="36"/>
        </w:rPr>
        <w:t>中要求，本项目采取以下措施。</w:t>
      </w:r>
    </w:p>
    <w:p w14:paraId="531FD00A">
      <w:pPr>
        <w:spacing w:line="440" w:lineRule="exact"/>
        <w:ind w:firstLine="480" w:firstLineChars="200"/>
        <w:rPr>
          <w:rFonts w:ascii="宋体" w:hAnsi="宋体" w:eastAsia="宋体" w:cs="Times New Roman"/>
          <w:color w:val="auto"/>
          <w:sz w:val="24"/>
          <w:szCs w:val="36"/>
        </w:rPr>
      </w:pPr>
      <w:r>
        <w:rPr>
          <w:rFonts w:ascii="宋体" w:hAnsi="宋体" w:eastAsia="宋体" w:cs="Times New Roman"/>
          <w:color w:val="auto"/>
          <w:sz w:val="24"/>
          <w:szCs w:val="36"/>
        </w:rPr>
        <w:t>（1）本项目新建井场严格遵守《石油天然气工程项目用地控制指标》（</w:t>
      </w:r>
      <w:r>
        <w:rPr>
          <w:rFonts w:hint="eastAsia" w:ascii="宋体" w:hAnsi="宋体" w:eastAsia="宋体" w:cs="Times New Roman"/>
          <w:color w:val="auto"/>
          <w:sz w:val="24"/>
          <w:szCs w:val="36"/>
        </w:rPr>
        <w:t>建标</w:t>
      </w:r>
      <w:r>
        <w:rPr>
          <w:rFonts w:ascii="宋体" w:hAnsi="宋体" w:eastAsia="宋体" w:cs="Times New Roman"/>
          <w:color w:val="auto"/>
          <w:sz w:val="24"/>
          <w:szCs w:val="36"/>
        </w:rPr>
        <w:t>[2016]14号）要求，新钻井位于</w:t>
      </w:r>
      <w:r>
        <w:rPr>
          <w:rFonts w:hint="eastAsia" w:ascii="宋体" w:hAnsi="宋体" w:eastAsia="宋体" w:cs="Times New Roman"/>
          <w:color w:val="auto"/>
          <w:sz w:val="24"/>
          <w:szCs w:val="36"/>
        </w:rPr>
        <w:t>1</w:t>
      </w:r>
      <w:r>
        <w:rPr>
          <w:rFonts w:ascii="宋体" w:hAnsi="宋体" w:eastAsia="宋体" w:cs="Times New Roman"/>
          <w:color w:val="auto"/>
          <w:sz w:val="24"/>
          <w:szCs w:val="36"/>
        </w:rPr>
        <w:t>座平台和</w:t>
      </w:r>
      <w:r>
        <w:rPr>
          <w:rFonts w:hint="eastAsia" w:ascii="宋体" w:hAnsi="宋体" w:eastAsia="宋体" w:cs="Times New Roman"/>
          <w:color w:val="auto"/>
          <w:sz w:val="24"/>
          <w:szCs w:val="36"/>
        </w:rPr>
        <w:t>4</w:t>
      </w:r>
      <w:r>
        <w:rPr>
          <w:rFonts w:ascii="宋体" w:hAnsi="宋体" w:eastAsia="宋体" w:cs="Times New Roman"/>
          <w:color w:val="auto"/>
          <w:sz w:val="24"/>
          <w:szCs w:val="36"/>
        </w:rPr>
        <w:t>座单井井场，尽可能减少占地。</w:t>
      </w:r>
    </w:p>
    <w:p w14:paraId="067CEF65">
      <w:pPr>
        <w:spacing w:line="440" w:lineRule="exact"/>
        <w:ind w:firstLine="480" w:firstLineChars="200"/>
        <w:rPr>
          <w:rFonts w:ascii="宋体" w:hAnsi="宋体" w:eastAsia="宋体" w:cs="Times New Roman"/>
          <w:color w:val="auto"/>
          <w:sz w:val="24"/>
          <w:szCs w:val="36"/>
        </w:rPr>
      </w:pPr>
      <w:r>
        <w:rPr>
          <w:rFonts w:ascii="宋体" w:hAnsi="宋体" w:eastAsia="宋体" w:cs="Times New Roman"/>
          <w:color w:val="auto"/>
          <w:sz w:val="24"/>
          <w:szCs w:val="36"/>
        </w:rPr>
        <w:t>（2）本项目施工过程中，需遵守《大庆油（气）田建设工程用地规范》规定，严格控制施工作业面积，加强施工管理，尽量减少占地面积，并规范行车路线及施工人员行为，严禁随意践踏、碾压施工区范围外的黑土地，不准乱挖、乱采野生植物，确保不影响周边黑土地。</w:t>
      </w:r>
    </w:p>
    <w:p w14:paraId="01F8AE6B">
      <w:pPr>
        <w:spacing w:line="440" w:lineRule="exact"/>
        <w:ind w:firstLine="480" w:firstLineChars="200"/>
        <w:rPr>
          <w:rFonts w:ascii="宋体" w:hAnsi="宋体" w:eastAsia="宋体" w:cs="Times New Roman"/>
          <w:color w:val="auto"/>
          <w:sz w:val="24"/>
          <w:szCs w:val="36"/>
        </w:rPr>
      </w:pPr>
      <w:r>
        <w:rPr>
          <w:rFonts w:ascii="宋体" w:hAnsi="宋体" w:eastAsia="宋体" w:cs="Times New Roman"/>
          <w:color w:val="auto"/>
          <w:sz w:val="24"/>
          <w:szCs w:val="36"/>
        </w:rPr>
        <w:t>（3）本项目在施工前编制表土剥离方案，施工过程中针对永久和临时占地，应剥离占地内0.3m的表土，采用分层开挖，分层堆放，暂存于占地内的表土剥离临时堆放区，并采取苫布遮盖等措施防止水土流失，并定期采取洒水抑尘措施，在施工结束后分层回填，并及时恢复地表植被。</w:t>
      </w:r>
      <w:r>
        <w:rPr>
          <w:rFonts w:ascii="宋体" w:hAnsi="宋体" w:eastAsia="宋体" w:cs="Times New Roman"/>
          <w:color w:val="auto"/>
          <w:sz w:val="24"/>
          <w:szCs w:val="24"/>
        </w:rPr>
        <w:t>永久占地剥离表土用于当地高标准农田建设。</w:t>
      </w:r>
    </w:p>
    <w:p w14:paraId="3C47DF3E">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水土流失保护措施</w:t>
      </w:r>
    </w:p>
    <w:p w14:paraId="2C4C12FC">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（1）工程防治措施</w:t>
      </w:r>
    </w:p>
    <w:p w14:paraId="7D8126A2">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1）井场</w:t>
      </w:r>
    </w:p>
    <w:p w14:paraId="5EB413EE">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井场予以平整、压实，以免发生水土流失。对于建设开挖、回填土石方要合理填埋、堆放、利用，并采取适当的压实平整措施。地面建设产生的弃方不得随处堆放，应合理利用。</w:t>
      </w:r>
    </w:p>
    <w:p w14:paraId="3D6D6DB3">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2）道路</w:t>
      </w:r>
    </w:p>
    <w:p w14:paraId="2A163682">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施工期利用征用的水泥路和已有便道行车，避免造成新的裸露地表；执行“无捷径”原则，规范车辆行驶路线，不在道路、井场以外的地方行驶和作业，禁止碾压和破坏地表植被。在灌溉水渠的路段，征用水泥路已设置了钢筋砼板涵，以保证道路两侧水渠的畅通。生产期及时作好道路涵洞的疏通、维修工作，保证各类设施的泄洪能力。</w:t>
      </w:r>
    </w:p>
    <w:p w14:paraId="3135E1D5">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3）管线</w:t>
      </w:r>
    </w:p>
    <w:p w14:paraId="7B258297">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管道工程施工时，要特别注意保护原始地表与天然植被，应划定施工活动范围，严格控制和管理车辆及重型机械的运行范围，所有车辆采用“一”字型作业法，走同一车辙，避免加行开辟新路。管沟挖、填方作业应尽量做到互补平衡，以免造成弃土方堆积和过多借土，增加新的水土流失。管沟回填应按层回填，以利于施工带土壤和植被的尽早恢复。回填后应予以平整、压实，以免发生水土流失。</w:t>
      </w:r>
    </w:p>
    <w:p w14:paraId="690FCF5E">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4）生物防治措施</w:t>
      </w:r>
    </w:p>
    <w:p w14:paraId="1E933460">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本项目水土保持生物措施主要根据油田地面植被情况，做好原有植被恢复工作和人工绿化工作，最大程度的降低因本项目施工建设和生产运行而新增的水土流失量，尽量改善当地的生态环境。</w:t>
      </w:r>
    </w:p>
    <w:p w14:paraId="104CF795">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（2）管理措施</w:t>
      </w:r>
    </w:p>
    <w:p w14:paraId="73C2C526">
      <w:pPr>
        <w:spacing w:line="440" w:lineRule="exact"/>
        <w:ind w:firstLine="480" w:firstLineChars="200"/>
        <w:rPr>
          <w:rFonts w:ascii="宋体" w:hAnsi="宋体" w:eastAsia="宋体"/>
          <w:color w:val="auto"/>
          <w:sz w:val="24"/>
        </w:rPr>
      </w:pPr>
      <w:r>
        <w:rPr>
          <w:rFonts w:ascii="宋体" w:hAnsi="宋体" w:eastAsia="宋体"/>
          <w:color w:val="auto"/>
          <w:sz w:val="24"/>
        </w:rPr>
        <w:t>因地制宜选择施工季节，</w:t>
      </w:r>
      <w:r>
        <w:rPr>
          <w:rFonts w:hint="eastAsia" w:ascii="宋体" w:hAnsi="宋体" w:eastAsia="宋体"/>
          <w:color w:val="auto"/>
          <w:sz w:val="24"/>
        </w:rPr>
        <w:t>尽量避开植被生长季节、农作物耕种季节，减少损失，同时避开大风及强降水季节。施工期间应划定施工活动范围，严格控制和管理运输车辆、重型机械设备作业范围，以及施工人员的活动范围，由专人负责管理，减少施工作业对周围土壤和植被的破坏范围和程度。</w:t>
      </w:r>
    </w:p>
    <w:p w14:paraId="12124196">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严禁在大风天气下运输及装卸施工散料等。在便道出入口，树立保护耕地的警示牌，以提醒施工作业人员，减少人员随意践踏造成的水土流失。严禁开发建设施工材料乱堆乱放，划定适宜的堆料场，以防对植物破坏范围的扩大，增加裸地面积而新增的水土流失。</w:t>
      </w:r>
    </w:p>
    <w:p w14:paraId="616AD7D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一般湿地保护措施</w:t>
      </w:r>
    </w:p>
    <w:p w14:paraId="5AE7C785">
      <w:pPr>
        <w:autoSpaceDE w:val="0"/>
        <w:autoSpaceDN w:val="0"/>
        <w:spacing w:line="440" w:lineRule="exact"/>
        <w:ind w:firstLine="480"/>
        <w:rPr>
          <w:rFonts w:ascii="宋体" w:hAnsi="宋体" w:eastAsia="宋体" w:cs="Times New Roman"/>
          <w:color w:val="auto"/>
          <w:sz w:val="24"/>
          <w:szCs w:val="24"/>
          <w:lang w:bidi="zh-CN"/>
        </w:rPr>
      </w:pPr>
      <w:r>
        <w:rPr>
          <w:rFonts w:ascii="宋体" w:hAnsi="宋体" w:eastAsia="宋体" w:cs="Times New Roman"/>
          <w:color w:val="auto"/>
          <w:sz w:val="24"/>
          <w:szCs w:val="24"/>
          <w:lang w:bidi="zh-CN"/>
        </w:rPr>
        <w:t>根据《黑龙江省湿地保护条例》，“任何单位和个人不得擅自征用、占用湿地或者改变湿地用途。确需征用、占用国际重要湿地、国家级湿地自然保护区、国家湿地公园或者改变其湿地用途的，应当报国家林业行政主管部门批准：征用、占用或者改变其他湿地用途的，应当经省林业行政主管部门审核同意后依法办理相关手续。” 本项目永久占地和临时占地工程均不涉及评价范围内的一般湿地，对湿地影响主要是施工期和运营期的间接影响。在施工过程中严控所有施工活动全部在临时占地范围内进行，禁止碾压占地外土地，材料运输车辆尽量绕避湿地区域；施工场地废水和固废全部按要求集中收集后拉运处置，钻井场地柴油罐区等重点位置安装临时围堰，杜绝事故情况下污染物排放；运营期油井井场和拉油点噪声能够满足厂界达标排放要求，不会对湿地动物产生影响，拉油车辆在井场区域控制车速，禁止鸣笛，油井作业废水全部由罐车收集拉运至朝二联含油污水处理站，处理达标后回注。经采取以上措施，本项目施工期和运营期对湿地生态系统的影响可以接受。</w:t>
      </w:r>
    </w:p>
    <w:p w14:paraId="08DE26C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防沙治沙保护措施</w:t>
      </w:r>
    </w:p>
    <w:p w14:paraId="4D82D552">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经调查，本项目开发区域沙化土壤分布较少，主要地类为土壤性能良好的耕地，区域内沙化土地所占的比重较小，为减轻农田生态系统和草地生态系统受工程影响可能导致的沙化现象，防患于未然，建设单位应采取以下措施进行控制：</w:t>
      </w:r>
    </w:p>
    <w:p w14:paraId="2F3E7EA3">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（1）做好施工期开挖土方临时堆存的水土保持措施，确保土方水土流失得到有效控制。对开挖井场造成植被破坏或地表裸露的，必须采取有效的修复措施，所有生态措施应在井场投运半年内完成。</w:t>
      </w:r>
    </w:p>
    <w:p w14:paraId="0B8CF082">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管道采用沟埋敷设，施工结束后及时有效地对占地区域土地进行平整，并压实。井场临时占地主要为设备放置地，在设备放置时尽量不破坏原有地貌，施工结束后及时对现场进行清理，对破坏的土地进行平整并压实，利于植被自然恢复。</w:t>
      </w:r>
    </w:p>
    <w:p w14:paraId="38F37508">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（3）在施工活动结束后，要立即对施工现场进行回填平整，形成新的合适坡度，并尽可能覆土压实，基本程序是回填、平整、覆土、压实。</w:t>
      </w:r>
    </w:p>
    <w:p w14:paraId="6EDD8A85">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（4）施工时要特别注意保护原始地表与天然植被，划定施工活动范围，严格控制和管理车辆及重型机械的运行范围，所有车辆采用“一”字型作业法，避免并行开辟新路，以减少风蚀沙化活动的范围。</w:t>
      </w:r>
    </w:p>
    <w:p w14:paraId="44180F9F">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（5）施工作业避免在大风天施工。</w:t>
      </w:r>
    </w:p>
    <w:p w14:paraId="6A1C119D">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（6）路基边坡采取水泥板护坡固土，维护路基稳定和道路安全运行。</w:t>
      </w:r>
    </w:p>
    <w:p w14:paraId="51DC9F7B">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植被恢复措施及补偿措施</w:t>
      </w:r>
    </w:p>
    <w:p w14:paraId="17DF1DA8">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建设单位在施工过程中，应严格执行《中华人民共和国土地管理法》、《石油天然气工程项目用地控制指标》的相关规定，切实采取有效的保护措施，对生态环境进行正确的保护，并进行补偿和恢复。</w:t>
      </w:r>
    </w:p>
    <w:p w14:paraId="6581860D">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（1）植被占用补偿</w:t>
      </w:r>
    </w:p>
    <w:p w14:paraId="3500A0A0">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按照国家“水土保持法”要求，凡是占用和破坏植被的单位或个人均应向水土保持主管部门缴纳一定的水土保持费用。国家为了加大水土保持工作力度，对水土保持费不断进行了调整，建设单位应按标准向水土保持主管部门缴纳水保费用。</w:t>
      </w:r>
    </w:p>
    <w:p w14:paraId="741EF649">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（2）植被恢复措施</w:t>
      </w:r>
    </w:p>
    <w:p w14:paraId="62DB3864">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施工结束后，及时恢复被破坏的地表形态。对4.46hm</w:t>
      </w:r>
      <w:r>
        <w:rPr>
          <w:rFonts w:ascii="宋体" w:hAnsi="宋体" w:eastAsia="宋体"/>
          <w:color w:val="auto"/>
          <w:sz w:val="24"/>
          <w:szCs w:val="24"/>
          <w:vertAlign w:val="superscript"/>
        </w:rPr>
        <w:t>2</w:t>
      </w:r>
      <w:r>
        <w:rPr>
          <w:rFonts w:ascii="宋体" w:hAnsi="宋体" w:eastAsia="宋体"/>
          <w:color w:val="auto"/>
          <w:sz w:val="24"/>
          <w:szCs w:val="24"/>
        </w:rPr>
        <w:t>临时占地进行表土留存，施工结束后进行回填，临时占用的耕地由农民自行复垦，确保恢复等质等量面积的耕地，对临时占用草地进行植被恢复。</w:t>
      </w:r>
    </w:p>
    <w:p w14:paraId="0F0F477F">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通过采取上述生态保护措施，能够确保本项目对区域生态的破坏得到有效控制，不会对区域生态产生较大影响，生态保护措施可行。</w:t>
      </w:r>
    </w:p>
    <w:p w14:paraId="58368D94">
      <w:pPr>
        <w:pStyle w:val="6"/>
        <w:rPr>
          <w:color w:val="auto"/>
        </w:rPr>
      </w:pPr>
      <w:bookmarkStart w:id="1654" w:name="_Toc127192432"/>
      <w:bookmarkStart w:id="1655" w:name="_Toc126863483"/>
      <w:bookmarkStart w:id="1656" w:name="_Toc78816555"/>
      <w:bookmarkStart w:id="1657" w:name="_Toc80971472"/>
      <w:bookmarkStart w:id="1658" w:name="_Toc83209572"/>
      <w:bookmarkStart w:id="1659" w:name="_Toc77067753"/>
      <w:bookmarkStart w:id="1660" w:name="_Toc80588350"/>
      <w:bookmarkStart w:id="1661" w:name="_Toc86142026"/>
      <w:bookmarkStart w:id="1662" w:name="_Toc70050280"/>
      <w:bookmarkStart w:id="1663" w:name="_Toc131167384"/>
      <w:bookmarkStart w:id="1664" w:name="_Toc85640851"/>
      <w:bookmarkStart w:id="1665" w:name="_Toc76976342"/>
      <w:bookmarkStart w:id="1666" w:name="_Toc143099671"/>
      <w:bookmarkStart w:id="1667" w:name="_Toc84929327"/>
      <w:bookmarkStart w:id="1668" w:name="_Toc67860233"/>
      <w:r>
        <w:rPr>
          <w:color w:val="auto"/>
        </w:rPr>
        <w:t>土壤保护措施</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3FE25AAE">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施工期土壤污染防治措施</w:t>
      </w:r>
    </w:p>
    <w:p w14:paraId="69BD9EF9">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（1）加强施工过程的环境管理，控制和消除土壤污染源。严禁随意倾倒污水、随意堆放固体废物，防止因“三废”处理不合理或处置措施不当对土壤造成污染。</w:t>
      </w:r>
    </w:p>
    <w:p w14:paraId="2A88A787">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（2）井场布置必须遵守《大庆油田开发建设用地标准》规定，严格控制施工作业面积，以减少地表植被和土壤的破坏。</w:t>
      </w:r>
    </w:p>
    <w:p w14:paraId="578F9D30">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（3）充分利用现有道路，征用农田水泥路和红砖路，尽量不再开辟新的临时通道。</w:t>
      </w:r>
    </w:p>
    <w:p w14:paraId="3B8E2EA7">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4）对于临时占地，在对土壤进行开挖施工时要采取措施降低土壤风蚀，减少水土流失：对土壤要分层开挖、分别堆放，按原土层回填（先填心土，后覆盖表土）平埋方式（不起土坝）进行，以便其尽快恢复耕种。</w:t>
      </w:r>
    </w:p>
    <w:p w14:paraId="58A08BF1">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（5）加强管理，杜绝钻井泥浆跑冒滴漏，施工井场采取分区防渗措施，杜绝污染物泄漏对土壤造成影响；</w:t>
      </w:r>
    </w:p>
    <w:p w14:paraId="22257D23">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（6）加强管理，提高职工的环境保护意识，规范施工人员行为，严禁随意践踏、碾压施工区范围之外的植被。</w:t>
      </w:r>
    </w:p>
    <w:p w14:paraId="133E605D">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运营期土壤污染防治措施</w:t>
      </w:r>
    </w:p>
    <w:p w14:paraId="5B038F8C">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针对工程可能发生的土壤污染，按照“源头控制、末端防治、污染监控、应急响应”相结合的原则，从污染物的产生、入渗、扩散、应急响应全阶段进行控制</w:t>
      </w:r>
      <w:r>
        <w:rPr>
          <w:rFonts w:ascii="宋体" w:hAnsi="宋体" w:eastAsia="宋体" w:cs="Times New Roman"/>
          <w:color w:val="auto"/>
          <w:sz w:val="24"/>
          <w:szCs w:val="24"/>
          <w:lang w:bidi="zh-CN"/>
        </w:rPr>
        <w:t>。</w:t>
      </w:r>
    </w:p>
    <w:p w14:paraId="32A6DDCE">
      <w:pPr>
        <w:spacing w:line="440" w:lineRule="exact"/>
        <w:ind w:firstLine="480" w:firstLineChars="200"/>
        <w:rPr>
          <w:rFonts w:ascii="宋体" w:hAnsi="宋体" w:eastAsia="宋体"/>
          <w:color w:val="auto"/>
          <w:kern w:val="0"/>
          <w:sz w:val="24"/>
          <w:szCs w:val="32"/>
          <w:lang w:bidi="zh-CN"/>
        </w:rPr>
      </w:pPr>
      <w:r>
        <w:rPr>
          <w:rFonts w:ascii="宋体" w:hAnsi="宋体" w:eastAsia="宋体"/>
          <w:color w:val="auto"/>
          <w:kern w:val="0"/>
          <w:sz w:val="24"/>
          <w:szCs w:val="32"/>
          <w:lang w:bidi="zh-CN"/>
        </w:rPr>
        <w:t>（1）源头控制措施</w:t>
      </w:r>
    </w:p>
    <w:p w14:paraId="4697E98C">
      <w:pPr>
        <w:spacing w:line="440" w:lineRule="exact"/>
        <w:ind w:firstLine="480" w:firstLineChars="200"/>
        <w:rPr>
          <w:rFonts w:ascii="宋体" w:hAnsi="宋体" w:eastAsia="宋体"/>
          <w:color w:val="auto"/>
          <w:kern w:val="0"/>
          <w:sz w:val="24"/>
          <w:szCs w:val="32"/>
          <w:lang w:bidi="zh-CN"/>
        </w:rPr>
      </w:pPr>
      <w:r>
        <w:rPr>
          <w:rFonts w:ascii="宋体" w:hAnsi="宋体" w:eastAsia="宋体"/>
          <w:color w:val="auto"/>
          <w:kern w:val="0"/>
          <w:sz w:val="24"/>
          <w:szCs w:val="32"/>
          <w:lang w:bidi="zh-CN"/>
        </w:rPr>
        <w:t>井场控制措施。油田开发过程中，井下作业应配备泄油器、刮油器等，作业污水要求全部进罐，</w:t>
      </w:r>
      <w:r>
        <w:rPr>
          <w:rFonts w:ascii="宋体" w:hAnsi="宋体" w:eastAsia="宋体"/>
          <w:color w:val="auto"/>
          <w:kern w:val="21"/>
          <w:sz w:val="24"/>
          <w:szCs w:val="24"/>
        </w:rPr>
        <w:t>由罐车拉运至朝二联含油污水处理站处理达标后回注油层，不外排；</w:t>
      </w:r>
      <w:r>
        <w:rPr>
          <w:rFonts w:ascii="宋体" w:hAnsi="宋体" w:eastAsia="宋体"/>
          <w:color w:val="auto"/>
          <w:kern w:val="0"/>
          <w:sz w:val="24"/>
          <w:szCs w:val="32"/>
          <w:lang w:bidi="zh-CN"/>
        </w:rPr>
        <w:t>按照“铺设作业、带罐上岗”的作业模式，及时回收落地油，由罐车拉运至朝一联含油污泥处理站减量化处理后，再委托大庆博昕晶化科技有限公司处理满足《油田含油污泥处置与利用污染控制要求》（DB23/T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落地原油回收率应达到100%。</w:t>
      </w:r>
    </w:p>
    <w:p w14:paraId="4CE78529">
      <w:pPr>
        <w:spacing w:line="440" w:lineRule="exact"/>
        <w:ind w:firstLine="480" w:firstLineChars="200"/>
        <w:rPr>
          <w:rFonts w:ascii="宋体" w:hAnsi="宋体" w:eastAsia="宋体"/>
          <w:color w:val="auto"/>
          <w:kern w:val="0"/>
          <w:sz w:val="24"/>
          <w:szCs w:val="32"/>
          <w:lang w:bidi="zh-CN"/>
        </w:rPr>
      </w:pPr>
      <w:bookmarkStart w:id="1669" w:name="_Hlk80788134"/>
      <w:r>
        <w:rPr>
          <w:rFonts w:ascii="宋体" w:hAnsi="宋体" w:eastAsia="宋体"/>
          <w:color w:val="auto"/>
          <w:kern w:val="0"/>
          <w:sz w:val="24"/>
          <w:szCs w:val="32"/>
          <w:lang w:bidi="zh-CN"/>
        </w:rPr>
        <w:t>管线控制措施。在管线的路由选择中，应尽量沿道路进行铺设，同时还采用管线保温措施；管道应按要求设置截断阀与报警系统和监控系统。</w:t>
      </w:r>
    </w:p>
    <w:bookmarkEnd w:id="1669"/>
    <w:p w14:paraId="68EC65E9">
      <w:pPr>
        <w:spacing w:line="440" w:lineRule="exact"/>
        <w:ind w:firstLine="480" w:firstLineChars="200"/>
        <w:rPr>
          <w:rFonts w:ascii="宋体" w:hAnsi="宋体" w:eastAsia="宋体"/>
          <w:color w:val="auto"/>
          <w:kern w:val="0"/>
          <w:sz w:val="24"/>
          <w:szCs w:val="32"/>
          <w:lang w:bidi="zh-CN"/>
        </w:rPr>
      </w:pPr>
      <w:r>
        <w:rPr>
          <w:rFonts w:ascii="宋体" w:hAnsi="宋体" w:eastAsia="宋体"/>
          <w:color w:val="auto"/>
          <w:kern w:val="0"/>
          <w:sz w:val="24"/>
          <w:szCs w:val="32"/>
          <w:lang w:bidi="zh-CN"/>
        </w:rPr>
        <w:t>拉油点控制措施。</w:t>
      </w:r>
      <w:bookmarkStart w:id="1670" w:name="_Hlk80788122"/>
      <w:r>
        <w:rPr>
          <w:rFonts w:ascii="宋体" w:hAnsi="宋体" w:eastAsia="宋体"/>
          <w:color w:val="auto"/>
          <w:kern w:val="0"/>
          <w:sz w:val="24"/>
          <w:szCs w:val="32"/>
          <w:lang w:bidi="zh-CN"/>
        </w:rPr>
        <w:t>在拉油点储罐等产液储存装置采取液位监测等措施，防止和降低污染物跑、冒、滴、漏，将污染物泄漏的环境风险事故降到最低程度。</w:t>
      </w:r>
    </w:p>
    <w:bookmarkEnd w:id="1670"/>
    <w:p w14:paraId="500E8AB0">
      <w:pPr>
        <w:spacing w:line="440" w:lineRule="exact"/>
        <w:ind w:firstLine="480" w:firstLineChars="200"/>
        <w:rPr>
          <w:rFonts w:ascii="宋体" w:hAnsi="宋体" w:eastAsia="宋体"/>
          <w:color w:val="auto"/>
          <w:kern w:val="0"/>
          <w:sz w:val="24"/>
          <w:szCs w:val="32"/>
          <w:lang w:bidi="zh-CN"/>
        </w:rPr>
      </w:pPr>
      <w:r>
        <w:rPr>
          <w:rFonts w:ascii="宋体" w:hAnsi="宋体" w:eastAsia="宋体"/>
          <w:color w:val="auto"/>
          <w:kern w:val="0"/>
          <w:sz w:val="24"/>
          <w:szCs w:val="32"/>
          <w:lang w:bidi="zh-CN"/>
        </w:rPr>
        <w:t>（2）过程控制措施</w:t>
      </w:r>
    </w:p>
    <w:p w14:paraId="58EB631E">
      <w:pPr>
        <w:tabs>
          <w:tab w:val="left" w:pos="1300"/>
        </w:tabs>
        <w:spacing w:line="440" w:lineRule="exact"/>
        <w:ind w:firstLine="480" w:firstLineChars="200"/>
        <w:rPr>
          <w:rFonts w:ascii="宋体" w:hAnsi="宋体" w:eastAsia="宋体" w:cs="Times New Roman"/>
          <w:color w:val="auto"/>
          <w:sz w:val="24"/>
          <w:szCs w:val="24"/>
        </w:rPr>
      </w:pPr>
      <w:bookmarkStart w:id="1671" w:name="_Hlk80788286"/>
      <w:r>
        <w:rPr>
          <w:rFonts w:ascii="宋体" w:hAnsi="宋体" w:eastAsia="宋体" w:cs="Times New Roman"/>
          <w:color w:val="auto"/>
          <w:sz w:val="24"/>
          <w:szCs w:val="24"/>
          <w:lang w:bidi="zh-CN"/>
        </w:rPr>
        <w:t>对集输管线定期进行检测，防止腐蚀穿孔引起油水泄漏污染环境，</w:t>
      </w:r>
      <w:bookmarkEnd w:id="1671"/>
      <w:r>
        <w:rPr>
          <w:rFonts w:ascii="宋体" w:hAnsi="宋体" w:eastAsia="宋体" w:cs="Times New Roman"/>
          <w:color w:val="auto"/>
          <w:sz w:val="24"/>
          <w:szCs w:val="24"/>
          <w:lang w:bidi="zh-CN"/>
        </w:rPr>
        <w:t>同时对位于土壤腐蚀性较强的低洼地带，采用玻璃钢外防腐钢制管道，以延长埋地管道使用寿命；井场和拉油点永久占地采用地面夯实碾压平整处理。同时企业在管理方面严加管理，并采取相应的防渗措施可有效防止管线和站场贮存设施发生含油污水及原油泄漏事故造成对区域土壤环境的污染。</w:t>
      </w:r>
    </w:p>
    <w:p w14:paraId="5946664A">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（3）末端控制措施</w:t>
      </w:r>
    </w:p>
    <w:p w14:paraId="7CCF1067">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主要包括井场和拉油点污染区地面的防渗措施和泄漏、渗漏污染物收集措施，即在污染区地面进行防渗处理，防止洒落地面的污染物渗入地下，并把滞留在地面的污染物收集起来集中处理；末端控制采取分区防渗原则。</w:t>
      </w:r>
    </w:p>
    <w:p w14:paraId="2EB5325C">
      <w:pPr>
        <w:spacing w:line="440" w:lineRule="exact"/>
        <w:ind w:firstLine="480" w:firstLineChars="200"/>
        <w:rPr>
          <w:rFonts w:ascii="宋体" w:hAnsi="宋体" w:eastAsia="宋体"/>
          <w:color w:val="auto"/>
          <w:kern w:val="0"/>
          <w:sz w:val="24"/>
          <w:szCs w:val="32"/>
          <w:lang w:bidi="zh-CN"/>
        </w:rPr>
      </w:pPr>
      <w:r>
        <w:rPr>
          <w:rFonts w:ascii="宋体" w:hAnsi="宋体" w:eastAsia="宋体"/>
          <w:color w:val="auto"/>
          <w:kern w:val="0"/>
          <w:sz w:val="24"/>
          <w:szCs w:val="32"/>
          <w:lang w:bidi="zh-CN"/>
        </w:rPr>
        <w:t>（4）应急响应措施</w:t>
      </w:r>
    </w:p>
    <w:p w14:paraId="7859BF79">
      <w:pPr>
        <w:spacing w:line="440" w:lineRule="exact"/>
        <w:ind w:firstLine="480" w:firstLineChars="200"/>
        <w:rPr>
          <w:rFonts w:ascii="宋体" w:hAnsi="宋体" w:eastAsia="宋体"/>
          <w:color w:val="auto"/>
          <w:kern w:val="0"/>
          <w:sz w:val="24"/>
          <w:szCs w:val="32"/>
          <w:lang w:bidi="zh-CN"/>
        </w:rPr>
      </w:pPr>
      <w:r>
        <w:rPr>
          <w:rFonts w:ascii="宋体" w:hAnsi="宋体" w:eastAsia="宋体"/>
          <w:color w:val="auto"/>
          <w:kern w:val="0"/>
          <w:sz w:val="24"/>
          <w:szCs w:val="32"/>
          <w:lang w:bidi="zh-CN"/>
        </w:rPr>
        <w:t>包括一旦发现土壤污染事故，立即采取应急措施控制土壤、地下水污染，并使污染得到治理。</w:t>
      </w:r>
    </w:p>
    <w:p w14:paraId="26136CCF">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（5）污染监控体系</w:t>
      </w:r>
    </w:p>
    <w:p w14:paraId="524211BF">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为了及时了解项目场区及周边土壤环境质量状况和土壤中污染物的动态变化，根据《环境影响评价技术导则土壤环境（试行）》（HJ964-2018）、《排污单位自行监测技术指南 陆上石油天然气开采工业》（HJ1248-2022）的相关要求，本项目拟制定土壤环境跟踪监测措施，包括制定跟踪监测计划，科学、合理地设置土壤监测点位，建立完善的跟踪监测制度，配备必要的取样设备，以便及时发现并有效控制。</w:t>
      </w:r>
    </w:p>
    <w:p w14:paraId="4BAFB057">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根据土壤环境影响分析结果，定期对重点影响区及土壤环境敏感点附近土壤环境进行监测，监测委托具有资质的单位进行，监测报告应存档，同时对监测结果进行信息公开。根据项目分布情况、现状监测布点情况和土壤类型分布情况，布置土壤监测点位2个。跟踪监测计划见表6.1-5，土壤跟踪监测布点图见附图2</w:t>
      </w:r>
      <w:r>
        <w:rPr>
          <w:rFonts w:hint="eastAsia" w:ascii="宋体" w:hAnsi="宋体" w:eastAsia="宋体" w:cs="Times New Roman"/>
          <w:color w:val="auto"/>
          <w:sz w:val="24"/>
          <w:szCs w:val="24"/>
        </w:rPr>
        <w:t>2</w:t>
      </w:r>
      <w:r>
        <w:rPr>
          <w:rFonts w:ascii="宋体" w:hAnsi="宋体" w:eastAsia="宋体" w:cs="Times New Roman"/>
          <w:color w:val="auto"/>
          <w:sz w:val="24"/>
          <w:szCs w:val="24"/>
        </w:rPr>
        <w:t>。</w:t>
      </w:r>
    </w:p>
    <w:p w14:paraId="2E0CDF49">
      <w:pPr>
        <w:pStyle w:val="276"/>
        <w:widowControl w:val="0"/>
        <w:spacing w:line="440" w:lineRule="exact"/>
        <w:ind w:firstLine="0" w:firstLineChars="0"/>
        <w:jc w:val="center"/>
        <w:rPr>
          <w:color w:val="auto"/>
          <w:kern w:val="21"/>
        </w:rPr>
      </w:pPr>
    </w:p>
    <w:p w14:paraId="3EDEB9A7">
      <w:pPr>
        <w:pStyle w:val="276"/>
        <w:widowControl w:val="0"/>
        <w:spacing w:line="440" w:lineRule="exact"/>
        <w:ind w:firstLine="0" w:firstLineChars="0"/>
        <w:jc w:val="center"/>
        <w:rPr>
          <w:color w:val="auto"/>
          <w:kern w:val="21"/>
        </w:rPr>
      </w:pPr>
      <w:r>
        <w:rPr>
          <w:color w:val="auto"/>
          <w:kern w:val="21"/>
        </w:rPr>
        <w:t xml:space="preserve">表6.1-5 </w:t>
      </w:r>
      <w:r>
        <w:rPr>
          <w:color w:val="auto"/>
          <w:kern w:val="2"/>
        </w:rPr>
        <w:t>土壤环境</w:t>
      </w:r>
      <w:r>
        <w:rPr>
          <w:color w:val="auto"/>
          <w:kern w:val="21"/>
        </w:rPr>
        <w:t>跟踪监测计划表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Layout w:type="autofit"/>
        <w:tblCellMar>
          <w:top w:w="0" w:type="dxa"/>
          <w:left w:w="108" w:type="dxa"/>
          <w:bottom w:w="0" w:type="dxa"/>
          <w:right w:w="108" w:type="dxa"/>
        </w:tblCellMar>
      </w:tblPr>
      <w:tblGrid>
        <w:gridCol w:w="635"/>
        <w:gridCol w:w="1804"/>
        <w:gridCol w:w="1371"/>
        <w:gridCol w:w="1586"/>
        <w:gridCol w:w="1150"/>
        <w:gridCol w:w="2741"/>
      </w:tblGrid>
      <w:tr w14:paraId="0917B234">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349" w:type="pct"/>
            <w:shd w:val="clear" w:color="auto" w:fill="auto"/>
            <w:vAlign w:val="center"/>
          </w:tcPr>
          <w:p w14:paraId="0185161C">
            <w:pPr>
              <w:jc w:val="center"/>
              <w:rPr>
                <w:rFonts w:ascii="宋体" w:hAnsi="宋体" w:eastAsia="宋体" w:cs="Times New Roman"/>
                <w:color w:val="auto"/>
              </w:rPr>
            </w:pPr>
            <w:r>
              <w:rPr>
                <w:rFonts w:ascii="宋体" w:hAnsi="宋体" w:eastAsia="宋体" w:cs="Times New Roman"/>
                <w:color w:val="auto"/>
              </w:rPr>
              <w:t>点位</w:t>
            </w:r>
          </w:p>
        </w:tc>
        <w:tc>
          <w:tcPr>
            <w:tcW w:w="978" w:type="pct"/>
            <w:shd w:val="clear" w:color="auto" w:fill="auto"/>
            <w:vAlign w:val="center"/>
          </w:tcPr>
          <w:p w14:paraId="69ADECDD">
            <w:pPr>
              <w:jc w:val="center"/>
              <w:rPr>
                <w:rFonts w:ascii="宋体" w:hAnsi="宋体" w:eastAsia="宋体" w:cs="Times New Roman"/>
                <w:color w:val="auto"/>
              </w:rPr>
            </w:pPr>
            <w:r>
              <w:rPr>
                <w:rFonts w:ascii="宋体" w:hAnsi="宋体" w:eastAsia="宋体" w:cs="Times New Roman"/>
                <w:color w:val="auto"/>
              </w:rPr>
              <w:t>位置</w:t>
            </w:r>
          </w:p>
        </w:tc>
        <w:tc>
          <w:tcPr>
            <w:tcW w:w="704" w:type="pct"/>
            <w:shd w:val="clear" w:color="auto" w:fill="auto"/>
            <w:vAlign w:val="center"/>
          </w:tcPr>
          <w:p w14:paraId="5064B912">
            <w:pPr>
              <w:jc w:val="center"/>
              <w:rPr>
                <w:rFonts w:ascii="宋体" w:hAnsi="宋体" w:eastAsia="宋体" w:cs="Times New Roman"/>
                <w:color w:val="auto"/>
              </w:rPr>
            </w:pPr>
            <w:r>
              <w:rPr>
                <w:rFonts w:ascii="宋体" w:hAnsi="宋体" w:eastAsia="宋体" w:cs="Times New Roman"/>
                <w:color w:val="auto"/>
              </w:rPr>
              <w:t>坐标</w:t>
            </w:r>
            <w:r>
              <w:rPr>
                <w:rStyle w:val="116"/>
                <w:rFonts w:hint="eastAsia" w:ascii="宋体" w:hAnsi="宋体" w:eastAsia="宋体" w:cs="Times New Roman"/>
                <w:color w:val="auto"/>
              </w:rPr>
              <w:t>/°</w:t>
            </w:r>
          </w:p>
        </w:tc>
        <w:tc>
          <w:tcPr>
            <w:tcW w:w="861" w:type="pct"/>
            <w:shd w:val="clear" w:color="auto" w:fill="auto"/>
            <w:vAlign w:val="center"/>
          </w:tcPr>
          <w:p w14:paraId="431CC43A">
            <w:pPr>
              <w:jc w:val="center"/>
              <w:rPr>
                <w:rFonts w:ascii="宋体" w:hAnsi="宋体" w:eastAsia="宋体" w:cs="Times New Roman"/>
                <w:color w:val="auto"/>
              </w:rPr>
            </w:pPr>
            <w:r>
              <w:rPr>
                <w:rFonts w:ascii="宋体" w:hAnsi="宋体" w:eastAsia="宋体" w:cs="Times New Roman"/>
                <w:color w:val="auto"/>
              </w:rPr>
              <w:t>监测因子</w:t>
            </w:r>
          </w:p>
        </w:tc>
        <w:tc>
          <w:tcPr>
            <w:tcW w:w="626" w:type="pct"/>
            <w:shd w:val="clear" w:color="auto" w:fill="auto"/>
            <w:vAlign w:val="center"/>
          </w:tcPr>
          <w:p w14:paraId="41A0B2FF">
            <w:pPr>
              <w:jc w:val="center"/>
              <w:rPr>
                <w:rFonts w:ascii="宋体" w:hAnsi="宋体" w:eastAsia="宋体" w:cs="Times New Roman"/>
                <w:color w:val="auto"/>
              </w:rPr>
            </w:pPr>
            <w:r>
              <w:rPr>
                <w:rFonts w:ascii="宋体" w:hAnsi="宋体" w:eastAsia="宋体" w:cs="Times New Roman"/>
                <w:color w:val="auto"/>
              </w:rPr>
              <w:t>监测频次</w:t>
            </w:r>
          </w:p>
        </w:tc>
        <w:tc>
          <w:tcPr>
            <w:tcW w:w="1482" w:type="pct"/>
            <w:shd w:val="clear" w:color="auto" w:fill="auto"/>
            <w:vAlign w:val="center"/>
          </w:tcPr>
          <w:p w14:paraId="4CFFB6E1">
            <w:pPr>
              <w:jc w:val="center"/>
              <w:rPr>
                <w:rFonts w:ascii="宋体" w:hAnsi="宋体" w:eastAsia="宋体" w:cs="Times New Roman"/>
                <w:color w:val="auto"/>
              </w:rPr>
            </w:pPr>
            <w:r>
              <w:rPr>
                <w:rFonts w:ascii="宋体" w:hAnsi="宋体" w:eastAsia="宋体" w:cs="Times New Roman"/>
                <w:color w:val="auto"/>
              </w:rPr>
              <w:t>执行标准</w:t>
            </w:r>
          </w:p>
        </w:tc>
      </w:tr>
      <w:tr w14:paraId="2C813522">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349" w:type="pct"/>
            <w:shd w:val="clear" w:color="auto" w:fill="auto"/>
            <w:vAlign w:val="center"/>
          </w:tcPr>
          <w:p w14:paraId="6D1C2DE9">
            <w:pPr>
              <w:jc w:val="center"/>
              <w:rPr>
                <w:rFonts w:ascii="宋体" w:hAnsi="宋体" w:eastAsia="宋体" w:cs="Times New Roman"/>
                <w:color w:val="auto"/>
              </w:rPr>
            </w:pPr>
            <w:r>
              <w:rPr>
                <w:rFonts w:ascii="宋体" w:hAnsi="宋体" w:eastAsia="宋体" w:cs="Times New Roman"/>
                <w:color w:val="auto"/>
              </w:rPr>
              <w:t>1</w:t>
            </w:r>
          </w:p>
        </w:tc>
        <w:tc>
          <w:tcPr>
            <w:tcW w:w="978" w:type="pct"/>
            <w:shd w:val="clear" w:color="auto" w:fill="auto"/>
            <w:vAlign w:val="center"/>
          </w:tcPr>
          <w:p w14:paraId="6D1A263F">
            <w:pPr>
              <w:jc w:val="center"/>
              <w:rPr>
                <w:rFonts w:ascii="宋体" w:hAnsi="宋体" w:eastAsia="宋体" w:cs="Times New Roman"/>
                <w:color w:val="auto"/>
              </w:rPr>
            </w:pPr>
            <w:r>
              <w:rPr>
                <w:rFonts w:hint="eastAsia" w:ascii="宋体" w:hAnsi="宋体" w:eastAsia="宋体" w:cs="Times New Roman"/>
                <w:color w:val="auto"/>
              </w:rPr>
              <w:t>3#平台</w:t>
            </w:r>
            <w:r>
              <w:rPr>
                <w:rFonts w:ascii="宋体" w:hAnsi="宋体" w:eastAsia="宋体" w:cs="Times New Roman"/>
                <w:color w:val="auto"/>
              </w:rPr>
              <w:t>井场</w:t>
            </w:r>
          </w:p>
        </w:tc>
        <w:tc>
          <w:tcPr>
            <w:tcW w:w="704" w:type="pct"/>
            <w:shd w:val="clear" w:color="auto" w:fill="auto"/>
            <w:vAlign w:val="center"/>
          </w:tcPr>
          <w:p w14:paraId="1F3A4097">
            <w:pPr>
              <w:jc w:val="center"/>
              <w:rPr>
                <w:rFonts w:ascii="宋体" w:hAnsi="宋体" w:eastAsia="宋体" w:cs="Times New Roman"/>
                <w:color w:val="auto"/>
              </w:rPr>
            </w:pPr>
            <w:r>
              <w:rPr>
                <w:rFonts w:ascii="宋体" w:hAnsi="宋体" w:eastAsia="宋体" w:cs="Times New Roman"/>
                <w:color w:val="auto"/>
              </w:rPr>
              <w:t>125.17320</w:t>
            </w:r>
            <w:r>
              <w:rPr>
                <w:rFonts w:hint="eastAsia" w:ascii="宋体" w:hAnsi="宋体" w:eastAsia="宋体" w:cs="Times New Roman"/>
                <w:color w:val="auto"/>
              </w:rPr>
              <w:t>，</w:t>
            </w:r>
            <w:r>
              <w:rPr>
                <w:rFonts w:ascii="宋体" w:hAnsi="宋体" w:eastAsia="宋体" w:cs="Times New Roman"/>
                <w:color w:val="auto"/>
              </w:rPr>
              <w:t>45.56457</w:t>
            </w:r>
          </w:p>
        </w:tc>
        <w:tc>
          <w:tcPr>
            <w:tcW w:w="861" w:type="pct"/>
            <w:vMerge w:val="restart"/>
            <w:shd w:val="clear" w:color="auto" w:fill="auto"/>
            <w:vAlign w:val="center"/>
          </w:tcPr>
          <w:p w14:paraId="18CCA485">
            <w:pPr>
              <w:jc w:val="center"/>
              <w:rPr>
                <w:rFonts w:ascii="宋体" w:hAnsi="宋体" w:eastAsia="宋体" w:cs="Times New Roman"/>
                <w:color w:val="auto"/>
              </w:rPr>
            </w:pPr>
            <w:r>
              <w:rPr>
                <w:rFonts w:ascii="宋体" w:hAnsi="宋体" w:eastAsia="宋体" w:cs="Times New Roman"/>
                <w:color w:val="auto"/>
              </w:rPr>
              <w:t>pH、石油类、石油烃（C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）、砷、六价铬</w:t>
            </w:r>
          </w:p>
        </w:tc>
        <w:tc>
          <w:tcPr>
            <w:tcW w:w="626" w:type="pct"/>
            <w:vMerge w:val="restart"/>
            <w:shd w:val="clear" w:color="auto" w:fill="auto"/>
            <w:vAlign w:val="center"/>
          </w:tcPr>
          <w:p w14:paraId="7DD0369D">
            <w:pPr>
              <w:jc w:val="center"/>
              <w:rPr>
                <w:rFonts w:ascii="宋体" w:hAnsi="宋体" w:eastAsia="宋体" w:cs="Times New Roman"/>
                <w:color w:val="auto"/>
              </w:rPr>
            </w:pPr>
            <w:r>
              <w:rPr>
                <w:rFonts w:ascii="宋体" w:hAnsi="宋体" w:eastAsia="宋体" w:cs="Times New Roman"/>
                <w:color w:val="auto"/>
              </w:rPr>
              <w:t>1次/年</w:t>
            </w:r>
          </w:p>
        </w:tc>
        <w:tc>
          <w:tcPr>
            <w:tcW w:w="1482" w:type="pct"/>
            <w:vMerge w:val="restart"/>
            <w:shd w:val="clear" w:color="auto" w:fill="auto"/>
            <w:vAlign w:val="center"/>
          </w:tcPr>
          <w:p w14:paraId="37CC1CFF">
            <w:pPr>
              <w:jc w:val="center"/>
              <w:rPr>
                <w:rFonts w:ascii="宋体" w:hAnsi="宋体" w:eastAsia="宋体" w:cs="Times New Roman"/>
                <w:color w:val="auto"/>
              </w:rPr>
            </w:pPr>
            <w:r>
              <w:rPr>
                <w:rFonts w:ascii="宋体" w:hAnsi="宋体" w:eastAsia="宋体" w:cs="Times New Roman"/>
                <w:color w:val="auto"/>
              </w:rPr>
              <w:t>《土壤环境质量 建设用地土壤污染风险管控标准（试行）》（GB36600-2018）表2（其他项目）中第二类用地石油烃筛选值，《土壤环境质量 农用地土壤污染风险管控标准（试行）》（GB 15618-2018）中的筛选值</w:t>
            </w:r>
          </w:p>
        </w:tc>
      </w:tr>
      <w:tr w14:paraId="65672869">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349" w:type="pct"/>
            <w:shd w:val="clear" w:color="auto" w:fill="auto"/>
            <w:vAlign w:val="center"/>
          </w:tcPr>
          <w:p w14:paraId="73E032AA">
            <w:pPr>
              <w:jc w:val="center"/>
              <w:rPr>
                <w:rFonts w:ascii="宋体" w:hAnsi="宋体" w:eastAsia="宋体" w:cs="Times New Roman"/>
                <w:color w:val="auto"/>
              </w:rPr>
            </w:pPr>
            <w:r>
              <w:rPr>
                <w:rFonts w:ascii="宋体" w:hAnsi="宋体" w:eastAsia="宋体" w:cs="Times New Roman"/>
                <w:color w:val="auto"/>
              </w:rPr>
              <w:t>2</w:t>
            </w:r>
          </w:p>
        </w:tc>
        <w:tc>
          <w:tcPr>
            <w:tcW w:w="978" w:type="pct"/>
            <w:shd w:val="clear" w:color="auto" w:fill="auto"/>
            <w:vAlign w:val="center"/>
          </w:tcPr>
          <w:p w14:paraId="7B049160">
            <w:pPr>
              <w:jc w:val="center"/>
              <w:rPr>
                <w:rFonts w:ascii="宋体" w:hAnsi="宋体" w:eastAsia="宋体" w:cs="Times New Roman"/>
                <w:color w:val="auto"/>
              </w:rPr>
            </w:pPr>
            <w:r>
              <w:rPr>
                <w:rFonts w:hint="eastAsia" w:ascii="宋体" w:hAnsi="宋体" w:eastAsia="宋体" w:cs="Times New Roman"/>
                <w:color w:val="auto"/>
                <w:kern w:val="21"/>
              </w:rPr>
              <w:t>源1011井场</w:t>
            </w:r>
          </w:p>
        </w:tc>
        <w:tc>
          <w:tcPr>
            <w:tcW w:w="704" w:type="pct"/>
            <w:shd w:val="clear" w:color="auto" w:fill="auto"/>
            <w:vAlign w:val="center"/>
          </w:tcPr>
          <w:p w14:paraId="794A062F">
            <w:pPr>
              <w:jc w:val="center"/>
              <w:rPr>
                <w:rFonts w:ascii="宋体" w:hAnsi="宋体" w:eastAsia="宋体" w:cs="Times New Roman"/>
                <w:color w:val="auto"/>
              </w:rPr>
            </w:pPr>
            <w:r>
              <w:rPr>
                <w:rFonts w:ascii="宋体" w:hAnsi="宋体" w:eastAsia="宋体" w:cs="Times New Roman"/>
                <w:color w:val="auto"/>
              </w:rPr>
              <w:t>125.14518</w:t>
            </w:r>
            <w:r>
              <w:rPr>
                <w:rFonts w:hint="eastAsia" w:ascii="宋体" w:hAnsi="宋体" w:eastAsia="宋体" w:cs="Times New Roman"/>
                <w:color w:val="auto"/>
              </w:rPr>
              <w:t>，</w:t>
            </w:r>
            <w:r>
              <w:rPr>
                <w:rFonts w:ascii="宋体" w:hAnsi="宋体" w:eastAsia="宋体" w:cs="Times New Roman"/>
                <w:color w:val="auto"/>
              </w:rPr>
              <w:t>45.53281</w:t>
            </w:r>
          </w:p>
        </w:tc>
        <w:tc>
          <w:tcPr>
            <w:tcW w:w="861" w:type="pct"/>
            <w:vMerge w:val="continue"/>
            <w:shd w:val="clear" w:color="auto" w:fill="auto"/>
            <w:vAlign w:val="center"/>
          </w:tcPr>
          <w:p w14:paraId="27DC3216">
            <w:pPr>
              <w:jc w:val="center"/>
              <w:rPr>
                <w:rFonts w:ascii="宋体" w:hAnsi="宋体" w:eastAsia="宋体" w:cs="Times New Roman"/>
                <w:color w:val="auto"/>
              </w:rPr>
            </w:pPr>
          </w:p>
        </w:tc>
        <w:tc>
          <w:tcPr>
            <w:tcW w:w="626" w:type="pct"/>
            <w:vMerge w:val="continue"/>
            <w:shd w:val="clear" w:color="auto" w:fill="auto"/>
            <w:vAlign w:val="center"/>
          </w:tcPr>
          <w:p w14:paraId="457A36F4">
            <w:pPr>
              <w:jc w:val="center"/>
              <w:rPr>
                <w:rFonts w:ascii="宋体" w:hAnsi="宋体" w:eastAsia="宋体" w:cs="Times New Roman"/>
                <w:color w:val="auto"/>
              </w:rPr>
            </w:pPr>
          </w:p>
        </w:tc>
        <w:tc>
          <w:tcPr>
            <w:tcW w:w="1482" w:type="pct"/>
            <w:vMerge w:val="continue"/>
            <w:shd w:val="clear" w:color="auto" w:fill="auto"/>
            <w:vAlign w:val="center"/>
          </w:tcPr>
          <w:p w14:paraId="7C9B1AFC">
            <w:pPr>
              <w:jc w:val="center"/>
              <w:rPr>
                <w:rFonts w:ascii="宋体" w:hAnsi="宋体" w:eastAsia="宋体" w:cs="Times New Roman"/>
                <w:color w:val="auto"/>
              </w:rPr>
            </w:pPr>
          </w:p>
        </w:tc>
      </w:tr>
      <w:tr w14:paraId="6F2F39DE">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349" w:type="pct"/>
            <w:shd w:val="clear" w:color="auto" w:fill="auto"/>
            <w:vAlign w:val="center"/>
          </w:tcPr>
          <w:p w14:paraId="41862F84">
            <w:pPr>
              <w:jc w:val="center"/>
              <w:rPr>
                <w:rFonts w:ascii="宋体" w:hAnsi="宋体" w:eastAsia="宋体" w:cs="Times New Roman"/>
                <w:color w:val="auto"/>
              </w:rPr>
            </w:pPr>
            <w:r>
              <w:rPr>
                <w:rFonts w:ascii="宋体" w:hAnsi="宋体" w:eastAsia="宋体" w:cs="Times New Roman"/>
                <w:color w:val="auto"/>
              </w:rPr>
              <w:t>3</w:t>
            </w:r>
          </w:p>
        </w:tc>
        <w:tc>
          <w:tcPr>
            <w:tcW w:w="978" w:type="pct"/>
            <w:shd w:val="clear" w:color="auto" w:fill="auto"/>
            <w:vAlign w:val="center"/>
          </w:tcPr>
          <w:p w14:paraId="53D9BFF5">
            <w:pPr>
              <w:jc w:val="center"/>
              <w:rPr>
                <w:rFonts w:ascii="宋体" w:hAnsi="宋体" w:eastAsia="宋体" w:cs="Times New Roman"/>
                <w:color w:val="auto"/>
              </w:rPr>
            </w:pPr>
            <w:r>
              <w:rPr>
                <w:rFonts w:hint="eastAsia" w:ascii="宋体" w:hAnsi="宋体" w:eastAsia="宋体" w:cs="Times New Roman"/>
                <w:color w:val="auto"/>
                <w:kern w:val="21"/>
              </w:rPr>
              <w:t>源斜2401井场</w:t>
            </w:r>
          </w:p>
        </w:tc>
        <w:tc>
          <w:tcPr>
            <w:tcW w:w="704" w:type="pct"/>
            <w:shd w:val="clear" w:color="auto" w:fill="auto"/>
            <w:vAlign w:val="center"/>
          </w:tcPr>
          <w:p w14:paraId="63A5EE26">
            <w:pPr>
              <w:jc w:val="center"/>
              <w:rPr>
                <w:rFonts w:ascii="宋体" w:hAnsi="宋体" w:eastAsia="宋体" w:cs="Times New Roman"/>
                <w:color w:val="auto"/>
              </w:rPr>
            </w:pPr>
            <w:r>
              <w:rPr>
                <w:rFonts w:ascii="宋体" w:hAnsi="宋体" w:eastAsia="宋体" w:cs="Times New Roman"/>
                <w:color w:val="auto"/>
              </w:rPr>
              <w:t>125.04556</w:t>
            </w:r>
            <w:r>
              <w:rPr>
                <w:rFonts w:hint="eastAsia" w:ascii="宋体" w:hAnsi="宋体" w:eastAsia="宋体" w:cs="Times New Roman"/>
                <w:color w:val="auto"/>
              </w:rPr>
              <w:t>，</w:t>
            </w:r>
            <w:r>
              <w:rPr>
                <w:rFonts w:ascii="宋体" w:hAnsi="宋体" w:eastAsia="宋体" w:cs="Times New Roman"/>
                <w:color w:val="auto"/>
              </w:rPr>
              <w:t>45.51226</w:t>
            </w:r>
          </w:p>
        </w:tc>
        <w:tc>
          <w:tcPr>
            <w:tcW w:w="861" w:type="pct"/>
            <w:vMerge w:val="continue"/>
            <w:shd w:val="clear" w:color="auto" w:fill="auto"/>
            <w:vAlign w:val="center"/>
          </w:tcPr>
          <w:p w14:paraId="6FAE00F7">
            <w:pPr>
              <w:jc w:val="center"/>
              <w:rPr>
                <w:rFonts w:ascii="宋体" w:hAnsi="宋体" w:eastAsia="宋体" w:cs="Times New Roman"/>
                <w:color w:val="auto"/>
              </w:rPr>
            </w:pPr>
          </w:p>
        </w:tc>
        <w:tc>
          <w:tcPr>
            <w:tcW w:w="626" w:type="pct"/>
            <w:vMerge w:val="continue"/>
            <w:shd w:val="clear" w:color="auto" w:fill="auto"/>
            <w:vAlign w:val="center"/>
          </w:tcPr>
          <w:p w14:paraId="016809C8">
            <w:pPr>
              <w:jc w:val="center"/>
              <w:rPr>
                <w:rFonts w:ascii="宋体" w:hAnsi="宋体" w:eastAsia="宋体" w:cs="Times New Roman"/>
                <w:color w:val="auto"/>
              </w:rPr>
            </w:pPr>
          </w:p>
        </w:tc>
        <w:tc>
          <w:tcPr>
            <w:tcW w:w="1482" w:type="pct"/>
            <w:vMerge w:val="continue"/>
            <w:shd w:val="clear" w:color="auto" w:fill="auto"/>
            <w:vAlign w:val="center"/>
          </w:tcPr>
          <w:p w14:paraId="0F4BEF7D">
            <w:pPr>
              <w:jc w:val="center"/>
              <w:rPr>
                <w:rFonts w:ascii="宋体" w:hAnsi="宋体" w:eastAsia="宋体" w:cs="Times New Roman"/>
                <w:color w:val="auto"/>
              </w:rPr>
            </w:pPr>
          </w:p>
        </w:tc>
      </w:tr>
    </w:tbl>
    <w:p w14:paraId="01CBEC7B">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上述监测结果应按照相关规定及时建立数据档案，并定期向社会公开监测信息。如发现异常或发生事故，需加密监测频次，确定影响源位置，分析影响结果，并及时采取应急措施。</w:t>
      </w:r>
    </w:p>
    <w:p w14:paraId="073BD91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退役期土壤环境保护措施</w:t>
      </w:r>
    </w:p>
    <w:p w14:paraId="1E03255E">
      <w:pPr>
        <w:tabs>
          <w:tab w:val="left" w:pos="1300"/>
        </w:tabs>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井场退役期应按照《污染地块土壤环境管理办法（试行)》的有关规定，开展土壤环境调查及风险评估，并按照相关管理规定对污染地块采取治理与修复措施。通过采取以上污染控制措施，可保证闭井后项目用地土壤满足相关标准要求，处置措施可行。</w:t>
      </w:r>
    </w:p>
    <w:p w14:paraId="79BD367E">
      <w:pPr>
        <w:pStyle w:val="5"/>
        <w:rPr>
          <w:bCs w:val="0"/>
          <w:color w:val="auto"/>
        </w:rPr>
      </w:pPr>
      <w:bookmarkStart w:id="1672" w:name="_Toc177403567"/>
      <w:bookmarkStart w:id="1673" w:name="_Toc189535439"/>
      <w:bookmarkStart w:id="1674" w:name="_Toc171516729"/>
      <w:bookmarkStart w:id="1675" w:name="_Toc65426013"/>
      <w:bookmarkStart w:id="1676" w:name="_Toc2633"/>
      <w:bookmarkStart w:id="1677" w:name="_Toc196215821"/>
      <w:bookmarkStart w:id="1678" w:name="_Toc165880681"/>
      <w:bookmarkStart w:id="1679" w:name="_Toc166294316"/>
      <w:bookmarkStart w:id="1680" w:name="_Toc161658254"/>
      <w:r>
        <w:rPr>
          <w:bCs w:val="0"/>
          <w:color w:val="auto"/>
        </w:rPr>
        <w:t xml:space="preserve"> </w:t>
      </w:r>
      <w:bookmarkStart w:id="1681" w:name="_Toc212033042"/>
      <w:r>
        <w:rPr>
          <w:bCs w:val="0"/>
          <w:color w:val="auto"/>
        </w:rPr>
        <w:t>“三同时</w:t>
      </w:r>
      <w:bookmarkEnd w:id="1672"/>
      <w:bookmarkEnd w:id="1673"/>
      <w:bookmarkEnd w:id="1674"/>
      <w:r>
        <w:rPr>
          <w:bCs w:val="0"/>
          <w:color w:val="auto"/>
        </w:rPr>
        <w:t>”项目一览表</w:t>
      </w:r>
      <w:bookmarkEnd w:id="1675"/>
      <w:bookmarkEnd w:id="1676"/>
      <w:bookmarkEnd w:id="1677"/>
      <w:bookmarkEnd w:id="1681"/>
    </w:p>
    <w:p w14:paraId="6AE068EF">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为进一步落实本项目工程设计和环境影响评价提出的各项环保措施，确保环保工程发挥真正作用，本评价列出“三同时”项目表和竣工验收监测与调查的相关要求，具体内容见表6.2-1、表6.2-2。</w:t>
      </w:r>
    </w:p>
    <w:p w14:paraId="3E26834C">
      <w:pPr>
        <w:pStyle w:val="276"/>
        <w:widowControl w:val="0"/>
        <w:spacing w:line="440" w:lineRule="exact"/>
        <w:ind w:firstLine="0" w:firstLineChars="0"/>
        <w:jc w:val="center"/>
        <w:rPr>
          <w:color w:val="auto"/>
          <w:kern w:val="21"/>
        </w:rPr>
      </w:pPr>
      <w:r>
        <w:rPr>
          <w:color w:val="auto"/>
          <w:kern w:val="21"/>
        </w:rPr>
        <w:t xml:space="preserve">表6.2-1  </w:t>
      </w:r>
      <w:r>
        <w:rPr>
          <w:color w:val="auto"/>
          <w:kern w:val="2"/>
        </w:rPr>
        <w:t>“三同时”</w:t>
      </w:r>
      <w:r>
        <w:rPr>
          <w:color w:val="auto"/>
          <w:kern w:val="21"/>
        </w:rPr>
        <w:t>项目一览表</w:t>
      </w:r>
    </w:p>
    <w:tbl>
      <w:tblPr>
        <w:tblStyle w:val="8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
        <w:gridCol w:w="497"/>
        <w:gridCol w:w="1049"/>
        <w:gridCol w:w="4190"/>
        <w:gridCol w:w="2829"/>
      </w:tblGrid>
      <w:tr w14:paraId="32E16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2" w:type="dxa"/>
            <w:gridSpan w:val="3"/>
            <w:vAlign w:val="center"/>
          </w:tcPr>
          <w:p w14:paraId="6687D8CB">
            <w:pPr>
              <w:snapToGrid w:val="0"/>
              <w:spacing w:line="360" w:lineRule="exact"/>
              <w:jc w:val="center"/>
              <w:rPr>
                <w:rFonts w:ascii="宋体" w:hAnsi="宋体" w:eastAsia="宋体" w:cs="Times New Roman"/>
                <w:color w:val="auto"/>
              </w:rPr>
            </w:pPr>
            <w:r>
              <w:rPr>
                <w:rFonts w:ascii="宋体" w:hAnsi="宋体" w:eastAsia="宋体" w:cs="Times New Roman"/>
                <w:color w:val="auto"/>
              </w:rPr>
              <w:t>防治内容</w:t>
            </w:r>
          </w:p>
        </w:tc>
        <w:tc>
          <w:tcPr>
            <w:tcW w:w="4190" w:type="dxa"/>
            <w:vAlign w:val="center"/>
          </w:tcPr>
          <w:p w14:paraId="0494C9F4">
            <w:pPr>
              <w:snapToGrid w:val="0"/>
              <w:spacing w:line="360" w:lineRule="exact"/>
              <w:jc w:val="center"/>
              <w:rPr>
                <w:rFonts w:ascii="宋体" w:hAnsi="宋体" w:eastAsia="宋体" w:cs="Times New Roman"/>
                <w:color w:val="auto"/>
              </w:rPr>
            </w:pPr>
            <w:r>
              <w:rPr>
                <w:rFonts w:ascii="宋体" w:hAnsi="宋体" w:eastAsia="宋体" w:cs="Times New Roman"/>
                <w:color w:val="auto"/>
              </w:rPr>
              <w:t>环保措施</w:t>
            </w:r>
          </w:p>
        </w:tc>
        <w:tc>
          <w:tcPr>
            <w:tcW w:w="2829" w:type="dxa"/>
            <w:vAlign w:val="center"/>
          </w:tcPr>
          <w:p w14:paraId="5B143FD3">
            <w:pPr>
              <w:snapToGrid w:val="0"/>
              <w:spacing w:line="360" w:lineRule="exact"/>
              <w:jc w:val="center"/>
              <w:rPr>
                <w:rFonts w:ascii="宋体" w:hAnsi="宋体" w:eastAsia="宋体" w:cs="Times New Roman"/>
                <w:color w:val="auto"/>
              </w:rPr>
            </w:pPr>
            <w:r>
              <w:rPr>
                <w:rFonts w:ascii="宋体" w:hAnsi="宋体" w:eastAsia="宋体" w:cs="Times New Roman"/>
                <w:color w:val="auto"/>
              </w:rPr>
              <w:t>验收标准</w:t>
            </w:r>
          </w:p>
        </w:tc>
      </w:tr>
      <w:tr w14:paraId="16986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restart"/>
            <w:vAlign w:val="center"/>
          </w:tcPr>
          <w:p w14:paraId="0C03D0FD">
            <w:pPr>
              <w:snapToGrid w:val="0"/>
              <w:spacing w:line="360" w:lineRule="exact"/>
              <w:jc w:val="center"/>
              <w:rPr>
                <w:rFonts w:ascii="宋体" w:hAnsi="宋体" w:eastAsia="宋体" w:cs="Times New Roman"/>
                <w:color w:val="auto"/>
              </w:rPr>
            </w:pPr>
            <w:r>
              <w:rPr>
                <w:rFonts w:ascii="宋体" w:hAnsi="宋体" w:eastAsia="宋体" w:cs="Times New Roman"/>
                <w:color w:val="auto"/>
              </w:rPr>
              <w:t>废气</w:t>
            </w:r>
          </w:p>
        </w:tc>
        <w:tc>
          <w:tcPr>
            <w:tcW w:w="497" w:type="dxa"/>
            <w:vMerge w:val="restart"/>
            <w:vAlign w:val="center"/>
          </w:tcPr>
          <w:p w14:paraId="0975400C">
            <w:pPr>
              <w:snapToGrid w:val="0"/>
              <w:spacing w:line="360" w:lineRule="exact"/>
              <w:jc w:val="center"/>
              <w:rPr>
                <w:rFonts w:ascii="宋体" w:hAnsi="宋体" w:eastAsia="宋体" w:cs="Times New Roman"/>
                <w:color w:val="auto"/>
              </w:rPr>
            </w:pPr>
            <w:r>
              <w:rPr>
                <w:rFonts w:ascii="宋体" w:hAnsi="宋体" w:eastAsia="宋体" w:cs="Times New Roman"/>
                <w:color w:val="auto"/>
              </w:rPr>
              <w:t>施工期</w:t>
            </w:r>
          </w:p>
        </w:tc>
        <w:tc>
          <w:tcPr>
            <w:tcW w:w="1049" w:type="dxa"/>
            <w:vAlign w:val="center"/>
          </w:tcPr>
          <w:p w14:paraId="7226C06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施工期扬尘</w:t>
            </w:r>
          </w:p>
        </w:tc>
        <w:tc>
          <w:tcPr>
            <w:tcW w:w="4190" w:type="dxa"/>
            <w:vAlign w:val="center"/>
          </w:tcPr>
          <w:p w14:paraId="53B1456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及时洒水、临时土方等加盖苫布等遮盖物</w:t>
            </w:r>
          </w:p>
        </w:tc>
        <w:tc>
          <w:tcPr>
            <w:tcW w:w="2829" w:type="dxa"/>
            <w:vMerge w:val="restart"/>
            <w:vAlign w:val="center"/>
          </w:tcPr>
          <w:p w14:paraId="52BF792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施工场界执行《大气污染物综合排放标准》（GB16297-1996）表2中无组织排放监控浓度限值</w:t>
            </w:r>
          </w:p>
        </w:tc>
      </w:tr>
      <w:tr w14:paraId="66A0C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continue"/>
            <w:vAlign w:val="center"/>
          </w:tcPr>
          <w:p w14:paraId="70799524">
            <w:pPr>
              <w:snapToGrid w:val="0"/>
              <w:spacing w:line="360" w:lineRule="exact"/>
              <w:jc w:val="center"/>
              <w:rPr>
                <w:rFonts w:ascii="宋体" w:hAnsi="宋体" w:eastAsia="宋体" w:cs="Times New Roman"/>
                <w:color w:val="auto"/>
              </w:rPr>
            </w:pPr>
          </w:p>
        </w:tc>
        <w:tc>
          <w:tcPr>
            <w:tcW w:w="497" w:type="dxa"/>
            <w:vMerge w:val="continue"/>
            <w:vAlign w:val="center"/>
          </w:tcPr>
          <w:p w14:paraId="035B6DC8">
            <w:pPr>
              <w:snapToGrid w:val="0"/>
              <w:spacing w:line="360" w:lineRule="exact"/>
              <w:jc w:val="center"/>
              <w:rPr>
                <w:rFonts w:ascii="宋体" w:hAnsi="宋体" w:eastAsia="宋体" w:cs="Times New Roman"/>
                <w:color w:val="auto"/>
              </w:rPr>
            </w:pPr>
          </w:p>
        </w:tc>
        <w:tc>
          <w:tcPr>
            <w:tcW w:w="1049" w:type="dxa"/>
            <w:vAlign w:val="center"/>
          </w:tcPr>
          <w:p w14:paraId="658F541E">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焊接烟尘</w:t>
            </w:r>
          </w:p>
        </w:tc>
        <w:tc>
          <w:tcPr>
            <w:tcW w:w="4190" w:type="dxa"/>
            <w:vAlign w:val="center"/>
          </w:tcPr>
          <w:p w14:paraId="469AE12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由于项目焊接点较少，产生的焊接烟尘量较小，且项目位于室外，空气扩散条件较好</w:t>
            </w:r>
          </w:p>
        </w:tc>
        <w:tc>
          <w:tcPr>
            <w:tcW w:w="2829" w:type="dxa"/>
            <w:vMerge w:val="continue"/>
            <w:vAlign w:val="center"/>
          </w:tcPr>
          <w:p w14:paraId="3EBCA8B4">
            <w:pPr>
              <w:adjustRightInd w:val="0"/>
              <w:snapToGrid w:val="0"/>
              <w:spacing w:line="360" w:lineRule="exact"/>
              <w:jc w:val="center"/>
              <w:rPr>
                <w:rFonts w:ascii="宋体" w:hAnsi="宋体" w:eastAsia="宋体" w:cs="Times New Roman"/>
                <w:color w:val="auto"/>
              </w:rPr>
            </w:pPr>
          </w:p>
        </w:tc>
      </w:tr>
      <w:tr w14:paraId="3DCD0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continue"/>
            <w:vAlign w:val="center"/>
          </w:tcPr>
          <w:p w14:paraId="4204AF41">
            <w:pPr>
              <w:snapToGrid w:val="0"/>
              <w:spacing w:line="360" w:lineRule="exact"/>
              <w:jc w:val="center"/>
              <w:rPr>
                <w:rFonts w:ascii="宋体" w:hAnsi="宋体" w:eastAsia="宋体" w:cs="Times New Roman"/>
                <w:color w:val="auto"/>
              </w:rPr>
            </w:pPr>
          </w:p>
        </w:tc>
        <w:tc>
          <w:tcPr>
            <w:tcW w:w="497" w:type="dxa"/>
            <w:vMerge w:val="continue"/>
            <w:vAlign w:val="center"/>
          </w:tcPr>
          <w:p w14:paraId="48C432C5">
            <w:pPr>
              <w:snapToGrid w:val="0"/>
              <w:spacing w:line="360" w:lineRule="exact"/>
              <w:jc w:val="center"/>
              <w:rPr>
                <w:rFonts w:ascii="宋体" w:hAnsi="宋体" w:eastAsia="宋体" w:cs="Times New Roman"/>
                <w:color w:val="auto"/>
              </w:rPr>
            </w:pPr>
          </w:p>
        </w:tc>
        <w:tc>
          <w:tcPr>
            <w:tcW w:w="1049" w:type="dxa"/>
            <w:vAlign w:val="center"/>
          </w:tcPr>
          <w:p w14:paraId="29DC877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柴油机燃烧烟气</w:t>
            </w:r>
          </w:p>
        </w:tc>
        <w:tc>
          <w:tcPr>
            <w:tcW w:w="4190" w:type="dxa"/>
            <w:vAlign w:val="center"/>
          </w:tcPr>
          <w:p w14:paraId="0C456FD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使用产品质量达标的低标号柴油，采用节能环保型柴油动力设备，调节好柴油机运行工况</w:t>
            </w:r>
          </w:p>
        </w:tc>
        <w:tc>
          <w:tcPr>
            <w:tcW w:w="2829" w:type="dxa"/>
            <w:vAlign w:val="center"/>
          </w:tcPr>
          <w:p w14:paraId="5EDF765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柴油燃烧烟气执行《非道路移动机械用柴油机排气污染物排放限值及测量方法》（中国第三、四阶段）（GB20891-2014）及2020修改单中第三阶段标准限值及《非道路移动柴油机械排气烟度限值及测量方法》（GB 36886-2018）表1中Ⅱ类限值要求</w:t>
            </w:r>
          </w:p>
        </w:tc>
      </w:tr>
      <w:tr w14:paraId="09886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jc w:val="center"/>
        </w:trPr>
        <w:tc>
          <w:tcPr>
            <w:tcW w:w="496" w:type="dxa"/>
            <w:vMerge w:val="continue"/>
            <w:vAlign w:val="center"/>
          </w:tcPr>
          <w:p w14:paraId="7D537502">
            <w:pPr>
              <w:snapToGrid w:val="0"/>
              <w:spacing w:line="360" w:lineRule="exact"/>
              <w:jc w:val="center"/>
              <w:rPr>
                <w:rFonts w:ascii="宋体" w:hAnsi="宋体" w:eastAsia="宋体" w:cs="Times New Roman"/>
                <w:color w:val="auto"/>
              </w:rPr>
            </w:pPr>
          </w:p>
        </w:tc>
        <w:tc>
          <w:tcPr>
            <w:tcW w:w="497" w:type="dxa"/>
            <w:vMerge w:val="restart"/>
            <w:vAlign w:val="center"/>
          </w:tcPr>
          <w:p w14:paraId="05BCBEB9">
            <w:pPr>
              <w:snapToGrid w:val="0"/>
              <w:spacing w:line="360" w:lineRule="exact"/>
              <w:jc w:val="center"/>
              <w:rPr>
                <w:rFonts w:ascii="宋体" w:hAnsi="宋体" w:eastAsia="宋体" w:cs="Times New Roman"/>
                <w:color w:val="auto"/>
              </w:rPr>
            </w:pPr>
            <w:r>
              <w:rPr>
                <w:rFonts w:ascii="宋体" w:hAnsi="宋体" w:eastAsia="宋体" w:cs="Times New Roman"/>
                <w:color w:val="auto"/>
              </w:rPr>
              <w:t>运营期</w:t>
            </w:r>
          </w:p>
        </w:tc>
        <w:tc>
          <w:tcPr>
            <w:tcW w:w="1049" w:type="dxa"/>
            <w:vAlign w:val="center"/>
          </w:tcPr>
          <w:p w14:paraId="34ED6F6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采油井场、拉油点非甲烷总烃</w:t>
            </w:r>
          </w:p>
        </w:tc>
        <w:tc>
          <w:tcPr>
            <w:tcW w:w="4190" w:type="dxa"/>
            <w:vMerge w:val="restart"/>
            <w:vAlign w:val="center"/>
          </w:tcPr>
          <w:p w14:paraId="13D6FAF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井口安装密封垫，拉油点储罐阀门、法兰等安装密封垫片，管线和拉油点储罐均采取密闭性良好的阀门等，确保密闭集输，加强对设备和管道的检查和维护</w:t>
            </w:r>
          </w:p>
        </w:tc>
        <w:tc>
          <w:tcPr>
            <w:tcW w:w="2829" w:type="dxa"/>
            <w:vMerge w:val="restart"/>
            <w:vAlign w:val="center"/>
          </w:tcPr>
          <w:p w14:paraId="39659816">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井场、拉油点及依托场站厂界执行《陆上石油天然气开采工业大气污染物排放标准》（GB39728-2020）5.9中规定要求；依托场站厂区内非甲烷总烃满足《挥发性有机物无组织排放控制标准》（GB 37822-2019）附录A 中VOCs 无组织排放限值要求</w:t>
            </w:r>
          </w:p>
        </w:tc>
      </w:tr>
      <w:tr w14:paraId="40251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continue"/>
            <w:vAlign w:val="center"/>
          </w:tcPr>
          <w:p w14:paraId="510E5455">
            <w:pPr>
              <w:snapToGrid w:val="0"/>
              <w:spacing w:line="360" w:lineRule="exact"/>
              <w:jc w:val="center"/>
              <w:rPr>
                <w:rFonts w:ascii="宋体" w:hAnsi="宋体" w:eastAsia="宋体" w:cs="Times New Roman"/>
                <w:color w:val="auto"/>
              </w:rPr>
            </w:pPr>
          </w:p>
        </w:tc>
        <w:tc>
          <w:tcPr>
            <w:tcW w:w="497" w:type="dxa"/>
            <w:vMerge w:val="continue"/>
            <w:vAlign w:val="center"/>
          </w:tcPr>
          <w:p w14:paraId="2DC62522">
            <w:pPr>
              <w:snapToGrid w:val="0"/>
              <w:spacing w:line="360" w:lineRule="exact"/>
              <w:jc w:val="center"/>
              <w:rPr>
                <w:rFonts w:ascii="宋体" w:hAnsi="宋体" w:eastAsia="宋体" w:cs="Times New Roman"/>
                <w:color w:val="auto"/>
              </w:rPr>
            </w:pPr>
          </w:p>
        </w:tc>
        <w:tc>
          <w:tcPr>
            <w:tcW w:w="1049" w:type="dxa"/>
            <w:vAlign w:val="center"/>
          </w:tcPr>
          <w:p w14:paraId="258B648B">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场站非甲烷总烃</w:t>
            </w:r>
          </w:p>
        </w:tc>
        <w:tc>
          <w:tcPr>
            <w:tcW w:w="4190" w:type="dxa"/>
            <w:vMerge w:val="continue"/>
            <w:vAlign w:val="center"/>
          </w:tcPr>
          <w:p w14:paraId="6F9CDE24">
            <w:pPr>
              <w:adjustRightInd w:val="0"/>
              <w:snapToGrid w:val="0"/>
              <w:spacing w:line="360" w:lineRule="exact"/>
              <w:jc w:val="center"/>
              <w:rPr>
                <w:rFonts w:ascii="宋体" w:hAnsi="宋体" w:eastAsia="宋体" w:cs="Times New Roman"/>
                <w:color w:val="auto"/>
              </w:rPr>
            </w:pPr>
          </w:p>
        </w:tc>
        <w:tc>
          <w:tcPr>
            <w:tcW w:w="2829" w:type="dxa"/>
            <w:vMerge w:val="continue"/>
            <w:vAlign w:val="center"/>
          </w:tcPr>
          <w:p w14:paraId="70030D60">
            <w:pPr>
              <w:adjustRightInd w:val="0"/>
              <w:snapToGrid w:val="0"/>
              <w:spacing w:line="360" w:lineRule="exact"/>
              <w:jc w:val="center"/>
              <w:rPr>
                <w:rFonts w:ascii="宋体" w:hAnsi="宋体" w:eastAsia="宋体" w:cs="Times New Roman"/>
                <w:color w:val="auto"/>
              </w:rPr>
            </w:pPr>
          </w:p>
        </w:tc>
      </w:tr>
      <w:tr w14:paraId="1FDD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continue"/>
            <w:vAlign w:val="center"/>
          </w:tcPr>
          <w:p w14:paraId="69FB0549">
            <w:pPr>
              <w:snapToGrid w:val="0"/>
              <w:spacing w:line="360" w:lineRule="exact"/>
              <w:jc w:val="center"/>
              <w:rPr>
                <w:rFonts w:ascii="宋体" w:hAnsi="宋体" w:eastAsia="宋体" w:cs="Times New Roman"/>
                <w:color w:val="auto"/>
              </w:rPr>
            </w:pPr>
          </w:p>
        </w:tc>
        <w:tc>
          <w:tcPr>
            <w:tcW w:w="497" w:type="dxa"/>
            <w:vMerge w:val="continue"/>
            <w:vAlign w:val="center"/>
          </w:tcPr>
          <w:p w14:paraId="5E06C372">
            <w:pPr>
              <w:snapToGrid w:val="0"/>
              <w:spacing w:line="360" w:lineRule="exact"/>
              <w:jc w:val="center"/>
              <w:rPr>
                <w:rFonts w:ascii="宋体" w:hAnsi="宋体" w:eastAsia="宋体" w:cs="Times New Roman"/>
                <w:color w:val="auto"/>
              </w:rPr>
            </w:pPr>
          </w:p>
        </w:tc>
        <w:tc>
          <w:tcPr>
            <w:tcW w:w="1049" w:type="dxa"/>
            <w:vAlign w:val="center"/>
          </w:tcPr>
          <w:p w14:paraId="4484C4E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加热炉燃烧烟气</w:t>
            </w:r>
          </w:p>
        </w:tc>
        <w:tc>
          <w:tcPr>
            <w:tcW w:w="4190" w:type="dxa"/>
            <w:vAlign w:val="center"/>
          </w:tcPr>
          <w:p w14:paraId="3482BF9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拉油点储罐加热炉采用清洁能源天然气为燃料，并采用了低氮燃烧器，烟气经15m排气筒排放</w:t>
            </w:r>
          </w:p>
        </w:tc>
        <w:tc>
          <w:tcPr>
            <w:tcW w:w="2829" w:type="dxa"/>
            <w:vAlign w:val="center"/>
          </w:tcPr>
          <w:p w14:paraId="16FDC0E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燃烧烟气执行《工业炉窑大气污染物排放标准》（GB9078-1996）表2中的二级标准限值；无组织排放烟（粉）尘最高允许排放浓度执行《工业炉窑大气污染物排放标准》（GB9078-1996）表3规定</w:t>
            </w:r>
          </w:p>
        </w:tc>
      </w:tr>
      <w:tr w14:paraId="1006C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restart"/>
            <w:vAlign w:val="center"/>
          </w:tcPr>
          <w:p w14:paraId="05CF2C20">
            <w:pPr>
              <w:snapToGrid w:val="0"/>
              <w:spacing w:line="360" w:lineRule="exact"/>
              <w:jc w:val="center"/>
              <w:rPr>
                <w:rFonts w:ascii="宋体" w:hAnsi="宋体" w:eastAsia="宋体" w:cs="Times New Roman"/>
                <w:color w:val="auto"/>
              </w:rPr>
            </w:pPr>
            <w:r>
              <w:rPr>
                <w:rFonts w:ascii="宋体" w:hAnsi="宋体" w:eastAsia="宋体" w:cs="Times New Roman"/>
                <w:color w:val="auto"/>
              </w:rPr>
              <w:t>废水</w:t>
            </w:r>
          </w:p>
        </w:tc>
        <w:tc>
          <w:tcPr>
            <w:tcW w:w="497" w:type="dxa"/>
            <w:vMerge w:val="restart"/>
            <w:vAlign w:val="center"/>
          </w:tcPr>
          <w:p w14:paraId="77DC86DD">
            <w:pPr>
              <w:snapToGrid w:val="0"/>
              <w:spacing w:line="360" w:lineRule="exact"/>
              <w:jc w:val="center"/>
              <w:rPr>
                <w:rFonts w:ascii="宋体" w:hAnsi="宋体" w:eastAsia="宋体" w:cs="Times New Roman"/>
                <w:color w:val="auto"/>
              </w:rPr>
            </w:pPr>
            <w:r>
              <w:rPr>
                <w:rFonts w:ascii="宋体" w:hAnsi="宋体" w:eastAsia="宋体" w:cs="Times New Roman"/>
                <w:color w:val="auto"/>
              </w:rPr>
              <w:t>施工期</w:t>
            </w:r>
          </w:p>
        </w:tc>
        <w:tc>
          <w:tcPr>
            <w:tcW w:w="1049" w:type="dxa"/>
            <w:vAlign w:val="center"/>
          </w:tcPr>
          <w:p w14:paraId="622EB1D0">
            <w:pPr>
              <w:snapToGrid w:val="0"/>
              <w:spacing w:line="360" w:lineRule="exact"/>
              <w:jc w:val="center"/>
              <w:rPr>
                <w:rFonts w:ascii="宋体" w:hAnsi="宋体" w:eastAsia="宋体" w:cs="Times New Roman"/>
                <w:color w:val="auto"/>
              </w:rPr>
            </w:pPr>
            <w:r>
              <w:rPr>
                <w:rFonts w:ascii="宋体" w:hAnsi="宋体" w:eastAsia="宋体" w:cs="Times New Roman"/>
                <w:color w:val="auto"/>
              </w:rPr>
              <w:t>水基钻井废水</w:t>
            </w:r>
          </w:p>
        </w:tc>
        <w:tc>
          <w:tcPr>
            <w:tcW w:w="4190" w:type="dxa"/>
            <w:vAlign w:val="center"/>
          </w:tcPr>
          <w:p w14:paraId="34685733">
            <w:pPr>
              <w:snapToGrid w:val="0"/>
              <w:spacing w:line="360" w:lineRule="exact"/>
              <w:jc w:val="center"/>
              <w:rPr>
                <w:rFonts w:ascii="宋体" w:hAnsi="宋体" w:eastAsia="宋体" w:cs="Times New Roman"/>
                <w:color w:val="auto"/>
              </w:rPr>
            </w:pPr>
            <w:r>
              <w:rPr>
                <w:rFonts w:ascii="宋体" w:hAnsi="宋体" w:eastAsia="宋体" w:cs="Times New Roman"/>
                <w:color w:val="auto"/>
              </w:rPr>
              <w:t>排入井场水基钢制泥浆槽中，及时拉运至大庆油田昆仑集团有限公司环保分公司处理，处理后的压滤水定期由罐车拉运至朝一联含油污水处理站处理达标后回注油层</w:t>
            </w:r>
          </w:p>
        </w:tc>
        <w:tc>
          <w:tcPr>
            <w:tcW w:w="2829" w:type="dxa"/>
            <w:vAlign w:val="center"/>
          </w:tcPr>
          <w:p w14:paraId="21E602D1">
            <w:pPr>
              <w:snapToGrid w:val="0"/>
              <w:spacing w:line="360" w:lineRule="exact"/>
              <w:jc w:val="center"/>
              <w:rPr>
                <w:rFonts w:ascii="宋体" w:hAnsi="宋体" w:eastAsia="宋体" w:cs="Times New Roman"/>
                <w:color w:val="auto"/>
              </w:rPr>
            </w:pPr>
            <w:r>
              <w:rPr>
                <w:rFonts w:ascii="宋体" w:hAnsi="宋体" w:eastAsia="宋体" w:cs="Times New Roman"/>
                <w:color w:val="auto"/>
              </w:rPr>
              <w:t>不外排</w:t>
            </w:r>
          </w:p>
        </w:tc>
      </w:tr>
      <w:tr w14:paraId="22824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continue"/>
            <w:vAlign w:val="center"/>
          </w:tcPr>
          <w:p w14:paraId="6E905C96">
            <w:pPr>
              <w:snapToGrid w:val="0"/>
              <w:spacing w:line="360" w:lineRule="exact"/>
              <w:jc w:val="center"/>
              <w:rPr>
                <w:rFonts w:ascii="宋体" w:hAnsi="宋体" w:eastAsia="宋体" w:cs="Times New Roman"/>
                <w:color w:val="auto"/>
              </w:rPr>
            </w:pPr>
          </w:p>
        </w:tc>
        <w:tc>
          <w:tcPr>
            <w:tcW w:w="497" w:type="dxa"/>
            <w:vMerge w:val="continue"/>
            <w:vAlign w:val="center"/>
          </w:tcPr>
          <w:p w14:paraId="333CDD68">
            <w:pPr>
              <w:snapToGrid w:val="0"/>
              <w:spacing w:line="360" w:lineRule="exact"/>
              <w:jc w:val="center"/>
              <w:rPr>
                <w:rFonts w:ascii="宋体" w:hAnsi="宋体" w:eastAsia="宋体" w:cs="Times New Roman"/>
                <w:color w:val="auto"/>
              </w:rPr>
            </w:pPr>
          </w:p>
        </w:tc>
        <w:tc>
          <w:tcPr>
            <w:tcW w:w="1049" w:type="dxa"/>
            <w:vAlign w:val="center"/>
          </w:tcPr>
          <w:p w14:paraId="41069C73">
            <w:pPr>
              <w:snapToGrid w:val="0"/>
              <w:spacing w:line="360" w:lineRule="exact"/>
              <w:jc w:val="center"/>
              <w:rPr>
                <w:rFonts w:ascii="宋体" w:hAnsi="宋体" w:eastAsia="宋体" w:cs="Times New Roman"/>
                <w:color w:val="auto"/>
              </w:rPr>
            </w:pPr>
            <w:r>
              <w:rPr>
                <w:rFonts w:ascii="宋体" w:hAnsi="宋体" w:eastAsia="宋体" w:cs="Times New Roman"/>
                <w:color w:val="auto"/>
              </w:rPr>
              <w:t>油基钻井废水</w:t>
            </w:r>
          </w:p>
        </w:tc>
        <w:tc>
          <w:tcPr>
            <w:tcW w:w="4190" w:type="dxa"/>
            <w:vAlign w:val="center"/>
          </w:tcPr>
          <w:p w14:paraId="35ACAE10">
            <w:pPr>
              <w:snapToGrid w:val="0"/>
              <w:spacing w:line="360" w:lineRule="exact"/>
              <w:jc w:val="center"/>
              <w:rPr>
                <w:rFonts w:ascii="宋体" w:hAnsi="宋体" w:eastAsia="宋体" w:cs="Times New Roman"/>
                <w:color w:val="auto"/>
              </w:rPr>
            </w:pPr>
            <w:r>
              <w:rPr>
                <w:rFonts w:ascii="宋体" w:hAnsi="宋体" w:eastAsia="宋体" w:cs="Times New Roman"/>
                <w:color w:val="auto"/>
              </w:rPr>
              <w:t>排入井场设置的油基钢制泥浆槽中，委托黑龙江迈景环保科技有限公司处理，处理后的污水进入污水罐储存，定期拉运至朝二联含油污水处理站处理满足《大庆油田地面工程建设设计规定》（Q/SYDQ0639-2015）及《碎屑岩油藏注水水质指标技术要求及分析方法》（SY/T5329-2022）限值要求后回注油层</w:t>
            </w:r>
          </w:p>
        </w:tc>
        <w:tc>
          <w:tcPr>
            <w:tcW w:w="2829" w:type="dxa"/>
            <w:vAlign w:val="center"/>
          </w:tcPr>
          <w:p w14:paraId="3C9E5DD3">
            <w:pPr>
              <w:snapToGrid w:val="0"/>
              <w:spacing w:line="360" w:lineRule="exact"/>
              <w:jc w:val="center"/>
              <w:rPr>
                <w:rFonts w:ascii="宋体" w:hAnsi="宋体" w:eastAsia="宋体" w:cs="Times New Roman"/>
                <w:color w:val="auto"/>
              </w:rPr>
            </w:pPr>
            <w:r>
              <w:rPr>
                <w:rFonts w:ascii="宋体" w:hAnsi="宋体" w:eastAsia="宋体" w:cs="Times New Roman"/>
                <w:color w:val="auto"/>
              </w:rPr>
              <w:t>不外排</w:t>
            </w:r>
          </w:p>
        </w:tc>
      </w:tr>
      <w:tr w14:paraId="14DE2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continue"/>
            <w:vAlign w:val="center"/>
          </w:tcPr>
          <w:p w14:paraId="7A3CAEC3">
            <w:pPr>
              <w:snapToGrid w:val="0"/>
              <w:spacing w:line="360" w:lineRule="exact"/>
              <w:jc w:val="center"/>
              <w:rPr>
                <w:rFonts w:ascii="宋体" w:hAnsi="宋体" w:eastAsia="宋体" w:cs="Times New Roman"/>
                <w:color w:val="auto"/>
              </w:rPr>
            </w:pPr>
          </w:p>
        </w:tc>
        <w:tc>
          <w:tcPr>
            <w:tcW w:w="497" w:type="dxa"/>
            <w:vMerge w:val="continue"/>
            <w:vAlign w:val="center"/>
          </w:tcPr>
          <w:p w14:paraId="05095F63">
            <w:pPr>
              <w:snapToGrid w:val="0"/>
              <w:spacing w:line="360" w:lineRule="exact"/>
              <w:jc w:val="center"/>
              <w:rPr>
                <w:rFonts w:ascii="宋体" w:hAnsi="宋体" w:eastAsia="宋体" w:cs="Times New Roman"/>
                <w:color w:val="auto"/>
              </w:rPr>
            </w:pPr>
          </w:p>
        </w:tc>
        <w:tc>
          <w:tcPr>
            <w:tcW w:w="1049" w:type="dxa"/>
            <w:vAlign w:val="center"/>
          </w:tcPr>
          <w:p w14:paraId="539D05D9">
            <w:pPr>
              <w:snapToGrid w:val="0"/>
              <w:spacing w:line="360" w:lineRule="exact"/>
              <w:jc w:val="center"/>
              <w:rPr>
                <w:rFonts w:ascii="宋体" w:hAnsi="宋体" w:eastAsia="宋体" w:cs="Times New Roman"/>
                <w:color w:val="auto"/>
              </w:rPr>
            </w:pPr>
            <w:r>
              <w:rPr>
                <w:rFonts w:ascii="宋体" w:hAnsi="宋体" w:eastAsia="宋体" w:cs="Times New Roman"/>
                <w:color w:val="auto"/>
              </w:rPr>
              <w:t>施工人员生活污水</w:t>
            </w:r>
          </w:p>
        </w:tc>
        <w:tc>
          <w:tcPr>
            <w:tcW w:w="4190" w:type="dxa"/>
            <w:vAlign w:val="center"/>
          </w:tcPr>
          <w:p w14:paraId="49F6281A">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w:t>
            </w:r>
          </w:p>
        </w:tc>
        <w:tc>
          <w:tcPr>
            <w:tcW w:w="2829" w:type="dxa"/>
            <w:vAlign w:val="center"/>
          </w:tcPr>
          <w:p w14:paraId="036D5839">
            <w:pPr>
              <w:snapToGrid w:val="0"/>
              <w:spacing w:line="360" w:lineRule="exact"/>
              <w:jc w:val="center"/>
              <w:rPr>
                <w:rFonts w:ascii="宋体" w:hAnsi="宋体" w:eastAsia="宋体" w:cs="Times New Roman"/>
                <w:color w:val="auto"/>
              </w:rPr>
            </w:pPr>
            <w:r>
              <w:rPr>
                <w:rFonts w:ascii="宋体" w:hAnsi="宋体" w:eastAsia="宋体" w:cs="Times New Roman"/>
                <w:color w:val="auto"/>
              </w:rPr>
              <w:t>不外排</w:t>
            </w:r>
          </w:p>
        </w:tc>
      </w:tr>
      <w:tr w14:paraId="743D3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continue"/>
            <w:vAlign w:val="center"/>
          </w:tcPr>
          <w:p w14:paraId="2AE2E57B">
            <w:pPr>
              <w:snapToGrid w:val="0"/>
              <w:spacing w:line="360" w:lineRule="exact"/>
              <w:jc w:val="center"/>
              <w:rPr>
                <w:rFonts w:ascii="宋体" w:hAnsi="宋体" w:eastAsia="宋体" w:cs="Times New Roman"/>
                <w:color w:val="auto"/>
              </w:rPr>
            </w:pPr>
          </w:p>
        </w:tc>
        <w:tc>
          <w:tcPr>
            <w:tcW w:w="497" w:type="dxa"/>
            <w:vMerge w:val="continue"/>
            <w:vAlign w:val="center"/>
          </w:tcPr>
          <w:p w14:paraId="5D8A75DA">
            <w:pPr>
              <w:snapToGrid w:val="0"/>
              <w:spacing w:line="360" w:lineRule="exact"/>
              <w:jc w:val="center"/>
              <w:rPr>
                <w:rFonts w:ascii="宋体" w:hAnsi="宋体" w:eastAsia="宋体" w:cs="Times New Roman"/>
                <w:color w:val="auto"/>
              </w:rPr>
            </w:pPr>
          </w:p>
        </w:tc>
        <w:tc>
          <w:tcPr>
            <w:tcW w:w="1049" w:type="dxa"/>
            <w:vAlign w:val="center"/>
          </w:tcPr>
          <w:p w14:paraId="23D801B1">
            <w:pPr>
              <w:snapToGrid w:val="0"/>
              <w:spacing w:line="360" w:lineRule="exact"/>
              <w:jc w:val="center"/>
              <w:rPr>
                <w:rFonts w:ascii="宋体" w:hAnsi="宋体" w:eastAsia="宋体" w:cs="Times New Roman"/>
                <w:color w:val="auto"/>
              </w:rPr>
            </w:pPr>
            <w:r>
              <w:rPr>
                <w:rFonts w:ascii="宋体" w:hAnsi="宋体" w:eastAsia="宋体" w:cs="Times New Roman"/>
                <w:color w:val="auto"/>
              </w:rPr>
              <w:t>管线试压废水</w:t>
            </w:r>
          </w:p>
        </w:tc>
        <w:tc>
          <w:tcPr>
            <w:tcW w:w="4190" w:type="dxa"/>
            <w:vAlign w:val="center"/>
          </w:tcPr>
          <w:p w14:paraId="30C5A072">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由罐车拉运至朝二联含油污水处理站处理满足《大庆油田地面工程建设设计规定》（Q/SYDQ0639-2015）及《碎屑岩油藏注水水质指标技术要求及分析方法》（SY/T5329-2022）限值要求后回注油层</w:t>
            </w:r>
          </w:p>
        </w:tc>
        <w:tc>
          <w:tcPr>
            <w:tcW w:w="2829" w:type="dxa"/>
            <w:vAlign w:val="center"/>
          </w:tcPr>
          <w:p w14:paraId="28A8F149">
            <w:pPr>
              <w:snapToGrid w:val="0"/>
              <w:spacing w:line="360" w:lineRule="exact"/>
              <w:jc w:val="center"/>
              <w:rPr>
                <w:rFonts w:ascii="宋体" w:hAnsi="宋体" w:eastAsia="宋体" w:cs="Times New Roman"/>
                <w:color w:val="auto"/>
              </w:rPr>
            </w:pPr>
            <w:r>
              <w:rPr>
                <w:rFonts w:ascii="宋体" w:hAnsi="宋体" w:eastAsia="宋体" w:cs="Times New Roman"/>
                <w:color w:val="auto"/>
              </w:rPr>
              <w:t>不外排</w:t>
            </w:r>
          </w:p>
        </w:tc>
      </w:tr>
      <w:tr w14:paraId="26727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continue"/>
            <w:vAlign w:val="center"/>
          </w:tcPr>
          <w:p w14:paraId="6B4E0FA4">
            <w:pPr>
              <w:snapToGrid w:val="0"/>
              <w:spacing w:line="360" w:lineRule="exact"/>
              <w:jc w:val="center"/>
              <w:rPr>
                <w:rFonts w:ascii="宋体" w:hAnsi="宋体" w:eastAsia="宋体" w:cs="Times New Roman"/>
                <w:color w:val="auto"/>
              </w:rPr>
            </w:pPr>
          </w:p>
        </w:tc>
        <w:tc>
          <w:tcPr>
            <w:tcW w:w="497" w:type="dxa"/>
            <w:vMerge w:val="continue"/>
            <w:vAlign w:val="center"/>
          </w:tcPr>
          <w:p w14:paraId="2CBAFED7">
            <w:pPr>
              <w:snapToGrid w:val="0"/>
              <w:spacing w:line="360" w:lineRule="exact"/>
              <w:jc w:val="center"/>
              <w:rPr>
                <w:rFonts w:ascii="宋体" w:hAnsi="宋体" w:eastAsia="宋体" w:cs="Times New Roman"/>
                <w:color w:val="auto"/>
              </w:rPr>
            </w:pPr>
          </w:p>
        </w:tc>
        <w:tc>
          <w:tcPr>
            <w:tcW w:w="1049" w:type="dxa"/>
            <w:vAlign w:val="center"/>
          </w:tcPr>
          <w:p w14:paraId="1CCF461D">
            <w:pPr>
              <w:snapToGrid w:val="0"/>
              <w:spacing w:line="360" w:lineRule="exact"/>
              <w:jc w:val="center"/>
              <w:rPr>
                <w:rFonts w:ascii="宋体" w:hAnsi="宋体" w:eastAsia="宋体" w:cs="Times New Roman"/>
                <w:color w:val="auto"/>
              </w:rPr>
            </w:pPr>
            <w:r>
              <w:rPr>
                <w:rFonts w:ascii="宋体" w:hAnsi="宋体" w:eastAsia="宋体" w:cs="Times New Roman"/>
                <w:color w:val="auto"/>
              </w:rPr>
              <w:t>压裂返排液</w:t>
            </w:r>
          </w:p>
        </w:tc>
        <w:tc>
          <w:tcPr>
            <w:tcW w:w="4190" w:type="dxa"/>
            <w:vAlign w:val="center"/>
          </w:tcPr>
          <w:p w14:paraId="56C18F5D">
            <w:pPr>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由罐车拉运至朝一联压裂返排液无害化处理站处理，处置后污水管输进入朝一联含油污水处理站</w:t>
            </w:r>
          </w:p>
        </w:tc>
        <w:tc>
          <w:tcPr>
            <w:tcW w:w="2829" w:type="dxa"/>
            <w:vAlign w:val="center"/>
          </w:tcPr>
          <w:p w14:paraId="5AA5D1E7">
            <w:pPr>
              <w:snapToGrid w:val="0"/>
              <w:spacing w:line="360" w:lineRule="exact"/>
              <w:jc w:val="center"/>
              <w:rPr>
                <w:rFonts w:ascii="宋体" w:hAnsi="宋体" w:eastAsia="宋体" w:cs="Times New Roman"/>
                <w:color w:val="auto"/>
              </w:rPr>
            </w:pPr>
            <w:r>
              <w:rPr>
                <w:rFonts w:ascii="宋体" w:hAnsi="宋体" w:eastAsia="宋体" w:cs="Times New Roman"/>
                <w:color w:val="auto"/>
              </w:rPr>
              <w:t>不外排</w:t>
            </w:r>
          </w:p>
        </w:tc>
      </w:tr>
      <w:tr w14:paraId="2421D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jc w:val="center"/>
        </w:trPr>
        <w:tc>
          <w:tcPr>
            <w:tcW w:w="496" w:type="dxa"/>
            <w:vMerge w:val="continue"/>
            <w:vAlign w:val="center"/>
          </w:tcPr>
          <w:p w14:paraId="0FB53F73">
            <w:pPr>
              <w:snapToGrid w:val="0"/>
              <w:spacing w:line="360" w:lineRule="exact"/>
              <w:jc w:val="center"/>
              <w:rPr>
                <w:rFonts w:ascii="宋体" w:hAnsi="宋体" w:eastAsia="宋体" w:cs="Times New Roman"/>
                <w:color w:val="auto"/>
              </w:rPr>
            </w:pPr>
          </w:p>
        </w:tc>
        <w:tc>
          <w:tcPr>
            <w:tcW w:w="497" w:type="dxa"/>
            <w:vMerge w:val="restart"/>
            <w:vAlign w:val="center"/>
          </w:tcPr>
          <w:p w14:paraId="374FE450">
            <w:pPr>
              <w:snapToGrid w:val="0"/>
              <w:spacing w:line="360" w:lineRule="exact"/>
              <w:jc w:val="center"/>
              <w:rPr>
                <w:rFonts w:ascii="宋体" w:hAnsi="宋体" w:eastAsia="宋体" w:cs="Times New Roman"/>
                <w:color w:val="auto"/>
              </w:rPr>
            </w:pPr>
            <w:r>
              <w:rPr>
                <w:rFonts w:ascii="宋体" w:hAnsi="宋体" w:eastAsia="宋体" w:cs="Times New Roman"/>
                <w:color w:val="auto"/>
              </w:rPr>
              <w:t>运营期</w:t>
            </w:r>
          </w:p>
        </w:tc>
        <w:tc>
          <w:tcPr>
            <w:tcW w:w="1049" w:type="dxa"/>
            <w:vAlign w:val="center"/>
          </w:tcPr>
          <w:p w14:paraId="0EF69A1F">
            <w:pPr>
              <w:snapToGrid w:val="0"/>
              <w:spacing w:line="360" w:lineRule="exact"/>
              <w:jc w:val="center"/>
              <w:rPr>
                <w:rFonts w:ascii="宋体" w:hAnsi="宋体" w:eastAsia="宋体" w:cs="Times New Roman"/>
                <w:color w:val="auto"/>
              </w:rPr>
            </w:pPr>
            <w:r>
              <w:rPr>
                <w:rFonts w:ascii="宋体" w:hAnsi="宋体" w:eastAsia="宋体" w:cs="Times New Roman"/>
                <w:color w:val="auto"/>
              </w:rPr>
              <w:t>作业污水</w:t>
            </w:r>
          </w:p>
        </w:tc>
        <w:tc>
          <w:tcPr>
            <w:tcW w:w="4190" w:type="dxa"/>
            <w:vAlign w:val="center"/>
          </w:tcPr>
          <w:p w14:paraId="25834E90">
            <w:pPr>
              <w:snapToGrid w:val="0"/>
              <w:spacing w:line="360" w:lineRule="exact"/>
              <w:jc w:val="center"/>
              <w:rPr>
                <w:rFonts w:ascii="宋体" w:hAnsi="宋体" w:eastAsia="宋体" w:cs="Times New Roman"/>
                <w:color w:val="auto"/>
              </w:rPr>
            </w:pPr>
            <w:r>
              <w:rPr>
                <w:rFonts w:ascii="宋体" w:hAnsi="宋体" w:eastAsia="宋体" w:cs="Times New Roman"/>
                <w:color w:val="auto"/>
              </w:rPr>
              <w:t>由罐车拉运至朝二联含油污水处理站处理达标后回注油层</w:t>
            </w:r>
          </w:p>
        </w:tc>
        <w:tc>
          <w:tcPr>
            <w:tcW w:w="2829" w:type="dxa"/>
            <w:vMerge w:val="restart"/>
            <w:vAlign w:val="center"/>
          </w:tcPr>
          <w:p w14:paraId="39699FBD">
            <w:pPr>
              <w:snapToGrid w:val="0"/>
              <w:spacing w:line="360" w:lineRule="exact"/>
              <w:jc w:val="center"/>
              <w:rPr>
                <w:rFonts w:ascii="宋体" w:hAnsi="宋体" w:eastAsia="宋体" w:cs="Times New Roman"/>
                <w:color w:val="auto"/>
              </w:rPr>
            </w:pPr>
            <w:r>
              <w:rPr>
                <w:rFonts w:ascii="宋体" w:hAnsi="宋体" w:eastAsia="宋体" w:cs="Times New Roman"/>
                <w:color w:val="auto"/>
              </w:rPr>
              <w:t>执行《大庆油田地面工程建设设计规定》（Q/SYDQ0639-2015）及《碎屑岩油藏注水水质指标技术要求及分析方法》（SY/T5329-2022）限值要求</w:t>
            </w:r>
          </w:p>
        </w:tc>
      </w:tr>
      <w:tr w14:paraId="05E30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atLeast"/>
          <w:jc w:val="center"/>
        </w:trPr>
        <w:tc>
          <w:tcPr>
            <w:tcW w:w="496" w:type="dxa"/>
            <w:vMerge w:val="continue"/>
            <w:vAlign w:val="center"/>
          </w:tcPr>
          <w:p w14:paraId="421C53A2">
            <w:pPr>
              <w:snapToGrid w:val="0"/>
              <w:spacing w:line="360" w:lineRule="exact"/>
              <w:jc w:val="center"/>
              <w:rPr>
                <w:rFonts w:ascii="宋体" w:hAnsi="宋体" w:eastAsia="宋体" w:cs="Times New Roman"/>
                <w:color w:val="auto"/>
              </w:rPr>
            </w:pPr>
          </w:p>
        </w:tc>
        <w:tc>
          <w:tcPr>
            <w:tcW w:w="497" w:type="dxa"/>
            <w:vMerge w:val="continue"/>
            <w:vAlign w:val="center"/>
          </w:tcPr>
          <w:p w14:paraId="53C145D1">
            <w:pPr>
              <w:snapToGrid w:val="0"/>
              <w:spacing w:line="360" w:lineRule="exact"/>
              <w:jc w:val="center"/>
              <w:rPr>
                <w:rFonts w:ascii="宋体" w:hAnsi="宋体" w:eastAsia="宋体" w:cs="Times New Roman"/>
                <w:color w:val="auto"/>
              </w:rPr>
            </w:pPr>
          </w:p>
        </w:tc>
        <w:tc>
          <w:tcPr>
            <w:tcW w:w="1049" w:type="dxa"/>
            <w:vAlign w:val="center"/>
          </w:tcPr>
          <w:p w14:paraId="38A04635">
            <w:pPr>
              <w:snapToGrid w:val="0"/>
              <w:spacing w:line="360" w:lineRule="exact"/>
              <w:jc w:val="center"/>
              <w:rPr>
                <w:rFonts w:ascii="宋体" w:hAnsi="宋体" w:eastAsia="宋体" w:cs="Times New Roman"/>
                <w:color w:val="auto"/>
              </w:rPr>
            </w:pPr>
            <w:r>
              <w:rPr>
                <w:rFonts w:ascii="宋体" w:hAnsi="宋体" w:eastAsia="宋体" w:cs="Times New Roman"/>
                <w:color w:val="auto"/>
              </w:rPr>
              <w:t>洗井污水</w:t>
            </w:r>
          </w:p>
        </w:tc>
        <w:tc>
          <w:tcPr>
            <w:tcW w:w="4190" w:type="dxa"/>
            <w:vAlign w:val="center"/>
          </w:tcPr>
          <w:p w14:paraId="77B22C94">
            <w:pPr>
              <w:snapToGrid w:val="0"/>
              <w:spacing w:line="360" w:lineRule="exact"/>
              <w:jc w:val="center"/>
              <w:rPr>
                <w:rFonts w:ascii="宋体" w:hAnsi="宋体" w:eastAsia="宋体" w:cs="Times New Roman"/>
                <w:color w:val="auto"/>
              </w:rPr>
            </w:pPr>
            <w:r>
              <w:rPr>
                <w:rFonts w:ascii="宋体" w:hAnsi="宋体" w:eastAsia="宋体" w:cs="Times New Roman"/>
                <w:color w:val="auto"/>
              </w:rPr>
              <w:t>由罐车拉运至朝二联含油污水处理站处理达标后回注油层</w:t>
            </w:r>
          </w:p>
        </w:tc>
        <w:tc>
          <w:tcPr>
            <w:tcW w:w="2829" w:type="dxa"/>
            <w:vMerge w:val="continue"/>
            <w:vAlign w:val="center"/>
          </w:tcPr>
          <w:p w14:paraId="096514FE">
            <w:pPr>
              <w:snapToGrid w:val="0"/>
              <w:spacing w:line="360" w:lineRule="exact"/>
              <w:jc w:val="center"/>
              <w:rPr>
                <w:rFonts w:ascii="宋体" w:hAnsi="宋体" w:eastAsia="宋体" w:cs="Times New Roman"/>
                <w:color w:val="auto"/>
              </w:rPr>
            </w:pPr>
          </w:p>
        </w:tc>
      </w:tr>
      <w:tr w14:paraId="706C1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496" w:type="dxa"/>
            <w:vMerge w:val="continue"/>
            <w:vAlign w:val="center"/>
          </w:tcPr>
          <w:p w14:paraId="7145A713">
            <w:pPr>
              <w:snapToGrid w:val="0"/>
              <w:spacing w:line="360" w:lineRule="exact"/>
              <w:jc w:val="center"/>
              <w:rPr>
                <w:rFonts w:ascii="宋体" w:hAnsi="宋体" w:eastAsia="宋体" w:cs="Times New Roman"/>
                <w:color w:val="auto"/>
                <w:szCs w:val="20"/>
              </w:rPr>
            </w:pPr>
          </w:p>
        </w:tc>
        <w:tc>
          <w:tcPr>
            <w:tcW w:w="497" w:type="dxa"/>
            <w:vMerge w:val="continue"/>
            <w:vAlign w:val="center"/>
          </w:tcPr>
          <w:p w14:paraId="18277E90">
            <w:pPr>
              <w:snapToGrid w:val="0"/>
              <w:spacing w:line="360" w:lineRule="exact"/>
              <w:jc w:val="center"/>
              <w:rPr>
                <w:rFonts w:ascii="宋体" w:hAnsi="宋体" w:eastAsia="宋体" w:cs="Times New Roman"/>
                <w:color w:val="auto"/>
                <w:szCs w:val="20"/>
              </w:rPr>
            </w:pPr>
          </w:p>
        </w:tc>
        <w:tc>
          <w:tcPr>
            <w:tcW w:w="1049" w:type="dxa"/>
            <w:vAlign w:val="center"/>
          </w:tcPr>
          <w:p w14:paraId="3E2F1B20">
            <w:pPr>
              <w:snapToGrid w:val="0"/>
              <w:spacing w:line="360" w:lineRule="exact"/>
              <w:jc w:val="center"/>
              <w:rPr>
                <w:rFonts w:ascii="宋体" w:hAnsi="宋体" w:eastAsia="宋体" w:cs="Times New Roman"/>
                <w:color w:val="auto"/>
              </w:rPr>
            </w:pPr>
            <w:r>
              <w:rPr>
                <w:rFonts w:ascii="宋体" w:hAnsi="宋体" w:eastAsia="宋体" w:cs="Times New Roman"/>
                <w:color w:val="auto"/>
              </w:rPr>
              <w:t>油田采出水</w:t>
            </w:r>
          </w:p>
        </w:tc>
        <w:tc>
          <w:tcPr>
            <w:tcW w:w="4190" w:type="dxa"/>
            <w:vAlign w:val="center"/>
          </w:tcPr>
          <w:p w14:paraId="30307909">
            <w:pPr>
              <w:snapToGrid w:val="0"/>
              <w:spacing w:line="360" w:lineRule="exact"/>
              <w:jc w:val="center"/>
              <w:rPr>
                <w:rFonts w:ascii="宋体" w:hAnsi="宋体" w:eastAsia="宋体" w:cs="Times New Roman"/>
                <w:color w:val="auto"/>
              </w:rPr>
            </w:pPr>
            <w:r>
              <w:rPr>
                <w:rFonts w:ascii="宋体" w:hAnsi="宋体" w:eastAsia="宋体" w:cs="Times New Roman"/>
                <w:color w:val="auto"/>
              </w:rPr>
              <w:t>最终管输至朝二联含油污水处理站和朝一联含油污水处理站处理达标后回注油层</w:t>
            </w:r>
          </w:p>
        </w:tc>
        <w:tc>
          <w:tcPr>
            <w:tcW w:w="2829" w:type="dxa"/>
            <w:vMerge w:val="continue"/>
            <w:vAlign w:val="center"/>
          </w:tcPr>
          <w:p w14:paraId="4EA02303">
            <w:pPr>
              <w:snapToGrid w:val="0"/>
              <w:spacing w:line="360" w:lineRule="exact"/>
              <w:jc w:val="center"/>
              <w:rPr>
                <w:rFonts w:ascii="宋体" w:hAnsi="宋体" w:eastAsia="宋体" w:cs="Times New Roman"/>
                <w:color w:val="auto"/>
              </w:rPr>
            </w:pPr>
          </w:p>
        </w:tc>
      </w:tr>
      <w:tr w14:paraId="4B7DB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restart"/>
            <w:vAlign w:val="center"/>
          </w:tcPr>
          <w:p w14:paraId="7D60964A">
            <w:pPr>
              <w:snapToGrid w:val="0"/>
              <w:spacing w:line="360" w:lineRule="exact"/>
              <w:jc w:val="center"/>
              <w:rPr>
                <w:rFonts w:ascii="宋体" w:hAnsi="宋体" w:eastAsia="宋体" w:cs="Times New Roman"/>
                <w:color w:val="auto"/>
              </w:rPr>
            </w:pPr>
            <w:r>
              <w:rPr>
                <w:rFonts w:ascii="宋体" w:hAnsi="宋体" w:eastAsia="宋体" w:cs="Times New Roman"/>
                <w:color w:val="auto"/>
              </w:rPr>
              <w:t>噪声</w:t>
            </w:r>
          </w:p>
        </w:tc>
        <w:tc>
          <w:tcPr>
            <w:tcW w:w="497" w:type="dxa"/>
            <w:vAlign w:val="center"/>
          </w:tcPr>
          <w:p w14:paraId="7D72966E">
            <w:pPr>
              <w:snapToGrid w:val="0"/>
              <w:spacing w:line="360" w:lineRule="exact"/>
              <w:jc w:val="center"/>
              <w:rPr>
                <w:rFonts w:ascii="宋体" w:hAnsi="宋体" w:eastAsia="宋体" w:cs="Times New Roman"/>
                <w:color w:val="auto"/>
              </w:rPr>
            </w:pPr>
            <w:r>
              <w:rPr>
                <w:rFonts w:ascii="宋体" w:hAnsi="宋体" w:eastAsia="宋体" w:cs="Times New Roman"/>
                <w:color w:val="auto"/>
              </w:rPr>
              <w:t>施工期</w:t>
            </w:r>
          </w:p>
        </w:tc>
        <w:tc>
          <w:tcPr>
            <w:tcW w:w="1049" w:type="dxa"/>
            <w:vAlign w:val="center"/>
          </w:tcPr>
          <w:p w14:paraId="3001FC6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施工场地噪声</w:t>
            </w:r>
          </w:p>
        </w:tc>
        <w:tc>
          <w:tcPr>
            <w:tcW w:w="4190" w:type="dxa"/>
            <w:vAlign w:val="center"/>
          </w:tcPr>
          <w:p w14:paraId="573D2B2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合理安排施工时间，避免大量高噪声设备同时施工，选用低噪声设备，注意设备维护和保养，机泵等设备布置在室内，且采取基础减震等设施</w:t>
            </w:r>
          </w:p>
        </w:tc>
        <w:tc>
          <w:tcPr>
            <w:tcW w:w="2829" w:type="dxa"/>
            <w:vAlign w:val="center"/>
          </w:tcPr>
          <w:p w14:paraId="60AC4270">
            <w:pPr>
              <w:snapToGrid w:val="0"/>
              <w:spacing w:line="360" w:lineRule="exact"/>
              <w:jc w:val="center"/>
              <w:rPr>
                <w:rFonts w:ascii="宋体" w:hAnsi="宋体" w:eastAsia="宋体" w:cs="Times New Roman"/>
                <w:color w:val="auto"/>
              </w:rPr>
            </w:pPr>
            <w:r>
              <w:rPr>
                <w:rFonts w:ascii="宋体" w:hAnsi="宋体" w:eastAsia="宋体" w:cs="Times New Roman"/>
                <w:color w:val="auto"/>
              </w:rPr>
              <w:t>执行《建筑施工场界环境噪声排放标准》（GB12523-2011）中限值要求</w:t>
            </w:r>
          </w:p>
        </w:tc>
      </w:tr>
      <w:tr w14:paraId="510B4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continue"/>
            <w:vAlign w:val="center"/>
          </w:tcPr>
          <w:p w14:paraId="31FDFE43">
            <w:pPr>
              <w:snapToGrid w:val="0"/>
              <w:spacing w:line="360" w:lineRule="exact"/>
              <w:jc w:val="center"/>
              <w:rPr>
                <w:rFonts w:ascii="宋体" w:hAnsi="宋体" w:eastAsia="宋体" w:cs="Times New Roman"/>
                <w:color w:val="auto"/>
              </w:rPr>
            </w:pPr>
          </w:p>
        </w:tc>
        <w:tc>
          <w:tcPr>
            <w:tcW w:w="497" w:type="dxa"/>
            <w:vAlign w:val="center"/>
          </w:tcPr>
          <w:p w14:paraId="78101472">
            <w:pPr>
              <w:snapToGrid w:val="0"/>
              <w:spacing w:line="360" w:lineRule="exact"/>
              <w:jc w:val="center"/>
              <w:rPr>
                <w:rFonts w:ascii="宋体" w:hAnsi="宋体" w:eastAsia="宋体" w:cs="Times New Roman"/>
                <w:color w:val="auto"/>
              </w:rPr>
            </w:pPr>
            <w:r>
              <w:rPr>
                <w:rFonts w:ascii="宋体" w:hAnsi="宋体" w:eastAsia="宋体" w:cs="Times New Roman"/>
                <w:color w:val="auto"/>
              </w:rPr>
              <w:t>运营期</w:t>
            </w:r>
          </w:p>
        </w:tc>
        <w:tc>
          <w:tcPr>
            <w:tcW w:w="1049" w:type="dxa"/>
            <w:vAlign w:val="center"/>
          </w:tcPr>
          <w:p w14:paraId="1BED5DE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井场和拉油点噪声</w:t>
            </w:r>
          </w:p>
        </w:tc>
        <w:tc>
          <w:tcPr>
            <w:tcW w:w="4190" w:type="dxa"/>
            <w:vAlign w:val="center"/>
          </w:tcPr>
          <w:p w14:paraId="7C37ACB2">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低噪声设备、基础减振</w:t>
            </w:r>
          </w:p>
        </w:tc>
        <w:tc>
          <w:tcPr>
            <w:tcW w:w="2829" w:type="dxa"/>
            <w:vAlign w:val="center"/>
          </w:tcPr>
          <w:p w14:paraId="7EE923B1">
            <w:pPr>
              <w:snapToGrid w:val="0"/>
              <w:spacing w:line="360" w:lineRule="exact"/>
              <w:jc w:val="center"/>
              <w:rPr>
                <w:rFonts w:ascii="宋体" w:hAnsi="宋体" w:eastAsia="宋体" w:cs="Times New Roman"/>
                <w:color w:val="auto"/>
              </w:rPr>
            </w:pPr>
            <w:r>
              <w:rPr>
                <w:rFonts w:ascii="宋体" w:hAnsi="宋体" w:eastAsia="宋体" w:cs="Times New Roman"/>
                <w:color w:val="auto"/>
              </w:rPr>
              <w:t>《工业企业厂界环境噪声排放标准》（GB12348-2008）中2类标准限值：昼间≤60dB（A），夜间≤50dB（A）</w:t>
            </w:r>
          </w:p>
        </w:tc>
      </w:tr>
      <w:tr w14:paraId="37033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96" w:type="dxa"/>
            <w:vMerge w:val="restart"/>
            <w:vAlign w:val="center"/>
          </w:tcPr>
          <w:p w14:paraId="38BEBE8A">
            <w:pPr>
              <w:snapToGrid w:val="0"/>
              <w:spacing w:line="360" w:lineRule="exact"/>
              <w:jc w:val="center"/>
              <w:rPr>
                <w:rFonts w:ascii="宋体" w:hAnsi="宋体" w:eastAsia="宋体" w:cs="Times New Roman"/>
                <w:color w:val="auto"/>
              </w:rPr>
            </w:pPr>
            <w:r>
              <w:rPr>
                <w:rFonts w:ascii="宋体" w:hAnsi="宋体" w:eastAsia="宋体" w:cs="Times New Roman"/>
                <w:color w:val="auto"/>
              </w:rPr>
              <w:t>固废</w:t>
            </w:r>
          </w:p>
        </w:tc>
        <w:tc>
          <w:tcPr>
            <w:tcW w:w="497" w:type="dxa"/>
            <w:vMerge w:val="restart"/>
            <w:vAlign w:val="center"/>
          </w:tcPr>
          <w:p w14:paraId="08A08D9A">
            <w:pPr>
              <w:snapToGrid w:val="0"/>
              <w:spacing w:line="360" w:lineRule="exact"/>
              <w:jc w:val="center"/>
              <w:rPr>
                <w:rFonts w:ascii="宋体" w:hAnsi="宋体" w:eastAsia="宋体" w:cs="Times New Roman"/>
                <w:color w:val="auto"/>
              </w:rPr>
            </w:pPr>
            <w:r>
              <w:rPr>
                <w:rFonts w:ascii="宋体" w:hAnsi="宋体" w:eastAsia="宋体" w:cs="Times New Roman"/>
                <w:color w:val="auto"/>
              </w:rPr>
              <w:t>施工期</w:t>
            </w:r>
          </w:p>
        </w:tc>
        <w:tc>
          <w:tcPr>
            <w:tcW w:w="1049" w:type="dxa"/>
            <w:vAlign w:val="center"/>
          </w:tcPr>
          <w:p w14:paraId="1264FBC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水基废钻井液、水基钻井岩屑</w:t>
            </w:r>
          </w:p>
        </w:tc>
        <w:tc>
          <w:tcPr>
            <w:tcW w:w="4190" w:type="dxa"/>
            <w:vAlign w:val="center"/>
          </w:tcPr>
          <w:p w14:paraId="471BC8ED">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排入井场水基钢制泥浆槽中，及时拉运至大庆油田昆仑集团有限公司环保分公司处理，处理后的压滤水定期由罐车拉运至朝一联含油污水处理站处理满足《大庆油田地面工程建设设计规定》（Q/SYDQ0639-2015）及《碎屑岩油藏注水水质指标技术要求及分析方法》（SY/T5329-2022）限值要求后回注油层，处理后的泥饼外售给大庆钻探工程公司钻井二公司综合利用垫井场或铺路</w:t>
            </w:r>
          </w:p>
        </w:tc>
        <w:tc>
          <w:tcPr>
            <w:tcW w:w="2829" w:type="dxa"/>
            <w:vAlign w:val="center"/>
          </w:tcPr>
          <w:p w14:paraId="0FF7F87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合理处置</w:t>
            </w:r>
          </w:p>
        </w:tc>
      </w:tr>
      <w:tr w14:paraId="54182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96" w:type="dxa"/>
            <w:vMerge w:val="continue"/>
            <w:vAlign w:val="center"/>
          </w:tcPr>
          <w:p w14:paraId="1080F1FF">
            <w:pPr>
              <w:snapToGrid w:val="0"/>
              <w:spacing w:line="360" w:lineRule="exact"/>
              <w:jc w:val="center"/>
              <w:rPr>
                <w:rFonts w:ascii="宋体" w:hAnsi="宋体" w:eastAsia="宋体" w:cs="Times New Roman"/>
                <w:color w:val="auto"/>
              </w:rPr>
            </w:pPr>
          </w:p>
        </w:tc>
        <w:tc>
          <w:tcPr>
            <w:tcW w:w="497" w:type="dxa"/>
            <w:vMerge w:val="continue"/>
            <w:vAlign w:val="center"/>
          </w:tcPr>
          <w:p w14:paraId="3DD074CA">
            <w:pPr>
              <w:snapToGrid w:val="0"/>
              <w:spacing w:line="360" w:lineRule="exact"/>
              <w:jc w:val="center"/>
              <w:rPr>
                <w:rFonts w:ascii="宋体" w:hAnsi="宋体" w:eastAsia="宋体" w:cs="Times New Roman"/>
                <w:color w:val="auto"/>
              </w:rPr>
            </w:pPr>
          </w:p>
        </w:tc>
        <w:tc>
          <w:tcPr>
            <w:tcW w:w="1049" w:type="dxa"/>
            <w:vAlign w:val="center"/>
          </w:tcPr>
          <w:p w14:paraId="011D493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油基废钻井液、油基钻井岩屑和含油废射孔液</w:t>
            </w:r>
          </w:p>
        </w:tc>
        <w:tc>
          <w:tcPr>
            <w:tcW w:w="4190" w:type="dxa"/>
            <w:vAlign w:val="center"/>
          </w:tcPr>
          <w:p w14:paraId="5B8EA90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排入井场设置的油基钢制泥浆槽，委托有危废处理资质的黑龙江迈景环保科技有限公司处理满足《油田含油污泥处置与利用污染控制要求》（DB23/T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c>
          <w:tcPr>
            <w:tcW w:w="2829" w:type="dxa"/>
            <w:vAlign w:val="center"/>
          </w:tcPr>
          <w:p w14:paraId="0AF780E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100%处置</w:t>
            </w:r>
          </w:p>
        </w:tc>
      </w:tr>
      <w:tr w14:paraId="5C9BB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96" w:type="dxa"/>
            <w:vMerge w:val="continue"/>
            <w:vAlign w:val="center"/>
          </w:tcPr>
          <w:p w14:paraId="3EDF38F7">
            <w:pPr>
              <w:snapToGrid w:val="0"/>
              <w:spacing w:line="360" w:lineRule="exact"/>
              <w:jc w:val="center"/>
              <w:rPr>
                <w:rFonts w:ascii="宋体" w:hAnsi="宋体" w:eastAsia="宋体" w:cs="Times New Roman"/>
                <w:color w:val="auto"/>
              </w:rPr>
            </w:pPr>
          </w:p>
        </w:tc>
        <w:tc>
          <w:tcPr>
            <w:tcW w:w="497" w:type="dxa"/>
            <w:vMerge w:val="continue"/>
            <w:vAlign w:val="center"/>
          </w:tcPr>
          <w:p w14:paraId="14993E90">
            <w:pPr>
              <w:snapToGrid w:val="0"/>
              <w:spacing w:line="360" w:lineRule="exact"/>
              <w:jc w:val="center"/>
              <w:rPr>
                <w:rFonts w:ascii="宋体" w:hAnsi="宋体" w:eastAsia="宋体" w:cs="Times New Roman"/>
                <w:color w:val="auto"/>
              </w:rPr>
            </w:pPr>
          </w:p>
        </w:tc>
        <w:tc>
          <w:tcPr>
            <w:tcW w:w="1049" w:type="dxa"/>
            <w:vAlign w:val="center"/>
          </w:tcPr>
          <w:p w14:paraId="5601E431">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施工废料、膨润土等废包装袋</w:t>
            </w:r>
          </w:p>
        </w:tc>
        <w:tc>
          <w:tcPr>
            <w:tcW w:w="4190" w:type="dxa"/>
            <w:vAlign w:val="center"/>
          </w:tcPr>
          <w:p w14:paraId="219C096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经收集后拉运至第八采油厂工业固废填埋场处理</w:t>
            </w:r>
          </w:p>
        </w:tc>
        <w:tc>
          <w:tcPr>
            <w:tcW w:w="2829" w:type="dxa"/>
            <w:vAlign w:val="center"/>
          </w:tcPr>
          <w:p w14:paraId="7A20EFC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执行《一般工业固体废物贮存和填埋污染控制标准》（GB 18599-2020）要求</w:t>
            </w:r>
          </w:p>
        </w:tc>
      </w:tr>
      <w:tr w14:paraId="127BD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96" w:type="dxa"/>
            <w:vMerge w:val="continue"/>
            <w:vAlign w:val="center"/>
          </w:tcPr>
          <w:p w14:paraId="5DB52204">
            <w:pPr>
              <w:snapToGrid w:val="0"/>
              <w:spacing w:line="360" w:lineRule="exact"/>
              <w:jc w:val="center"/>
              <w:rPr>
                <w:rFonts w:ascii="宋体" w:hAnsi="宋体" w:eastAsia="宋体" w:cs="Times New Roman"/>
                <w:color w:val="auto"/>
              </w:rPr>
            </w:pPr>
          </w:p>
        </w:tc>
        <w:tc>
          <w:tcPr>
            <w:tcW w:w="497" w:type="dxa"/>
            <w:vMerge w:val="continue"/>
            <w:vAlign w:val="center"/>
          </w:tcPr>
          <w:p w14:paraId="08E6D5EA">
            <w:pPr>
              <w:snapToGrid w:val="0"/>
              <w:spacing w:line="360" w:lineRule="exact"/>
              <w:jc w:val="center"/>
              <w:rPr>
                <w:rFonts w:ascii="宋体" w:hAnsi="宋体" w:eastAsia="宋体" w:cs="Times New Roman"/>
                <w:color w:val="auto"/>
              </w:rPr>
            </w:pPr>
          </w:p>
        </w:tc>
        <w:tc>
          <w:tcPr>
            <w:tcW w:w="1049" w:type="dxa"/>
            <w:vAlign w:val="center"/>
          </w:tcPr>
          <w:p w14:paraId="1AA9190C">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含油废防渗布</w:t>
            </w:r>
          </w:p>
        </w:tc>
        <w:tc>
          <w:tcPr>
            <w:tcW w:w="4190" w:type="dxa"/>
            <w:vAlign w:val="center"/>
          </w:tcPr>
          <w:p w14:paraId="6432AD2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集中收集暂存于第十采油厂综合固废储存库，定期委托有资质单位处理</w:t>
            </w:r>
          </w:p>
        </w:tc>
        <w:tc>
          <w:tcPr>
            <w:tcW w:w="2829" w:type="dxa"/>
            <w:vAlign w:val="center"/>
          </w:tcPr>
          <w:p w14:paraId="072ADD63">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执行《危险废物贮存污染控制标准》（GB18597-2023）中的相关规定，实行危险废物转移制度</w:t>
            </w:r>
          </w:p>
        </w:tc>
      </w:tr>
      <w:tr w14:paraId="35C4A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496" w:type="dxa"/>
            <w:vMerge w:val="continue"/>
            <w:vAlign w:val="center"/>
          </w:tcPr>
          <w:p w14:paraId="33B525AE">
            <w:pPr>
              <w:snapToGrid w:val="0"/>
              <w:spacing w:line="360" w:lineRule="exact"/>
              <w:jc w:val="center"/>
              <w:rPr>
                <w:rFonts w:ascii="宋体" w:hAnsi="宋体" w:eastAsia="宋体" w:cs="Times New Roman"/>
                <w:color w:val="auto"/>
              </w:rPr>
            </w:pPr>
          </w:p>
        </w:tc>
        <w:tc>
          <w:tcPr>
            <w:tcW w:w="497" w:type="dxa"/>
            <w:vMerge w:val="continue"/>
            <w:vAlign w:val="center"/>
          </w:tcPr>
          <w:p w14:paraId="47735655">
            <w:pPr>
              <w:snapToGrid w:val="0"/>
              <w:spacing w:line="360" w:lineRule="exact"/>
              <w:jc w:val="center"/>
              <w:rPr>
                <w:rFonts w:ascii="宋体" w:hAnsi="宋体" w:eastAsia="宋体" w:cs="Times New Roman"/>
                <w:color w:val="auto"/>
              </w:rPr>
            </w:pPr>
          </w:p>
        </w:tc>
        <w:tc>
          <w:tcPr>
            <w:tcW w:w="1049" w:type="dxa"/>
            <w:vAlign w:val="center"/>
          </w:tcPr>
          <w:p w14:paraId="2EC3D7B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生活垃圾</w:t>
            </w:r>
          </w:p>
        </w:tc>
        <w:tc>
          <w:tcPr>
            <w:tcW w:w="4190" w:type="dxa"/>
            <w:vAlign w:val="center"/>
          </w:tcPr>
          <w:p w14:paraId="2A376358">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lang w:bidi="ar"/>
              </w:rPr>
              <w:t>统一收集</w:t>
            </w:r>
            <w:r>
              <w:rPr>
                <w:rFonts w:ascii="宋体" w:hAnsi="宋体" w:eastAsia="宋体" w:cs="Times New Roman"/>
                <w:color w:val="auto"/>
                <w:kern w:val="21"/>
              </w:rPr>
              <w:t>拉运至肇源县利民城市垃圾处理有限公司处理</w:t>
            </w:r>
          </w:p>
        </w:tc>
        <w:tc>
          <w:tcPr>
            <w:tcW w:w="2829" w:type="dxa"/>
            <w:vAlign w:val="center"/>
          </w:tcPr>
          <w:p w14:paraId="29EAF4F9">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100%处置</w:t>
            </w:r>
          </w:p>
        </w:tc>
      </w:tr>
      <w:tr w14:paraId="0A4A6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496" w:type="dxa"/>
            <w:vMerge w:val="continue"/>
            <w:vAlign w:val="center"/>
          </w:tcPr>
          <w:p w14:paraId="54ECA7AD">
            <w:pPr>
              <w:snapToGrid w:val="0"/>
              <w:spacing w:line="360" w:lineRule="exact"/>
              <w:jc w:val="center"/>
              <w:rPr>
                <w:rFonts w:ascii="宋体" w:hAnsi="宋体" w:eastAsia="宋体" w:cs="Times New Roman"/>
                <w:color w:val="auto"/>
              </w:rPr>
            </w:pPr>
          </w:p>
        </w:tc>
        <w:tc>
          <w:tcPr>
            <w:tcW w:w="497" w:type="dxa"/>
            <w:vMerge w:val="continue"/>
            <w:vAlign w:val="center"/>
          </w:tcPr>
          <w:p w14:paraId="15E9779C">
            <w:pPr>
              <w:snapToGrid w:val="0"/>
              <w:spacing w:line="360" w:lineRule="exact"/>
              <w:jc w:val="center"/>
              <w:rPr>
                <w:rFonts w:ascii="宋体" w:hAnsi="宋体" w:eastAsia="宋体" w:cs="Times New Roman"/>
                <w:color w:val="auto"/>
              </w:rPr>
            </w:pPr>
          </w:p>
        </w:tc>
        <w:tc>
          <w:tcPr>
            <w:tcW w:w="1049" w:type="dxa"/>
            <w:vAlign w:val="center"/>
          </w:tcPr>
          <w:p w14:paraId="389E5465">
            <w:pPr>
              <w:adjustRightInd w:val="0"/>
              <w:snapToGrid w:val="0"/>
              <w:spacing w:line="360" w:lineRule="exact"/>
              <w:jc w:val="center"/>
              <w:rPr>
                <w:rFonts w:ascii="宋体" w:hAnsi="宋体" w:eastAsia="宋体" w:cs="Times New Roman"/>
                <w:color w:val="auto"/>
              </w:rPr>
            </w:pPr>
            <w:r>
              <w:rPr>
                <w:rFonts w:hint="eastAsia" w:ascii="宋体" w:hAnsi="宋体" w:eastAsia="宋体" w:cs="Times New Roman"/>
                <w:color w:val="auto"/>
              </w:rPr>
              <w:t>落地油</w:t>
            </w:r>
          </w:p>
        </w:tc>
        <w:tc>
          <w:tcPr>
            <w:tcW w:w="4190" w:type="dxa"/>
            <w:vAlign w:val="center"/>
          </w:tcPr>
          <w:p w14:paraId="2D186D6D">
            <w:pPr>
              <w:adjustRightInd w:val="0"/>
              <w:snapToGrid w:val="0"/>
              <w:spacing w:line="360" w:lineRule="exact"/>
              <w:jc w:val="center"/>
              <w:rPr>
                <w:rFonts w:ascii="宋体" w:hAnsi="宋体" w:eastAsia="宋体" w:cs="Times New Roman"/>
                <w:color w:val="auto"/>
                <w:lang w:bidi="ar"/>
              </w:rPr>
            </w:pPr>
            <w:r>
              <w:rPr>
                <w:rFonts w:ascii="宋体" w:hAnsi="宋体" w:eastAsia="宋体" w:cs="Times New Roman"/>
                <w:color w:val="auto"/>
              </w:rPr>
              <w:t>属于危险废物，集中收集，由罐车拉运至朝一联含油污泥处理站减量化处理后，再委托大庆博昕晶化科技有限公司处理达标后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rFonts w:ascii="宋体" w:hAnsi="宋体" w:eastAsia="宋体" w:cs="Times New Roman"/>
                <w:color w:val="auto"/>
              </w:rPr>
              <w:t xml:space="preserve"> </w:t>
            </w:r>
          </w:p>
        </w:tc>
        <w:tc>
          <w:tcPr>
            <w:tcW w:w="2829" w:type="dxa"/>
            <w:vAlign w:val="center"/>
          </w:tcPr>
          <w:p w14:paraId="1D2AB40F">
            <w:pPr>
              <w:snapToGrid w:val="0"/>
              <w:spacing w:line="360" w:lineRule="exact"/>
              <w:jc w:val="center"/>
              <w:rPr>
                <w:rFonts w:ascii="宋体" w:hAnsi="宋体" w:eastAsia="宋体" w:cs="Times New Roman"/>
                <w:color w:val="auto"/>
              </w:rPr>
            </w:pPr>
            <w:r>
              <w:rPr>
                <w:rFonts w:ascii="宋体" w:hAnsi="宋体" w:eastAsia="宋体" w:cs="Times New Roman"/>
                <w:color w:val="auto"/>
              </w:rPr>
              <w:t>执行《油田含油污泥处置与利用污染控制要求》（DB23/T 3104-2022）表1中的限值要求</w:t>
            </w:r>
          </w:p>
        </w:tc>
      </w:tr>
      <w:tr w14:paraId="59A57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96" w:type="dxa"/>
            <w:vMerge w:val="continue"/>
            <w:vAlign w:val="center"/>
          </w:tcPr>
          <w:p w14:paraId="63261A8D">
            <w:pPr>
              <w:snapToGrid w:val="0"/>
              <w:spacing w:line="360" w:lineRule="exact"/>
              <w:jc w:val="center"/>
              <w:rPr>
                <w:rFonts w:ascii="宋体" w:hAnsi="宋体" w:eastAsia="宋体" w:cs="Times New Roman"/>
                <w:color w:val="auto"/>
              </w:rPr>
            </w:pPr>
          </w:p>
        </w:tc>
        <w:tc>
          <w:tcPr>
            <w:tcW w:w="497" w:type="dxa"/>
            <w:vMerge w:val="restart"/>
            <w:vAlign w:val="center"/>
          </w:tcPr>
          <w:p w14:paraId="47D56EA3">
            <w:pPr>
              <w:snapToGrid w:val="0"/>
              <w:spacing w:line="360" w:lineRule="exact"/>
              <w:jc w:val="center"/>
              <w:rPr>
                <w:rFonts w:ascii="宋体" w:hAnsi="宋体" w:eastAsia="宋体" w:cs="Times New Roman"/>
                <w:color w:val="auto"/>
              </w:rPr>
            </w:pPr>
            <w:r>
              <w:rPr>
                <w:rFonts w:ascii="宋体" w:hAnsi="宋体" w:eastAsia="宋体" w:cs="Times New Roman"/>
                <w:color w:val="auto"/>
              </w:rPr>
              <w:t>运营期</w:t>
            </w:r>
          </w:p>
        </w:tc>
        <w:tc>
          <w:tcPr>
            <w:tcW w:w="1049" w:type="dxa"/>
            <w:vAlign w:val="center"/>
          </w:tcPr>
          <w:p w14:paraId="62022DC4">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含油防渗布</w:t>
            </w:r>
          </w:p>
        </w:tc>
        <w:tc>
          <w:tcPr>
            <w:tcW w:w="4190" w:type="dxa"/>
            <w:vAlign w:val="center"/>
          </w:tcPr>
          <w:p w14:paraId="08A2AE25">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由建设单位统一收集后暂存于第十采油厂综合固废储存库，定期委托有资质单位处理</w:t>
            </w:r>
          </w:p>
        </w:tc>
        <w:tc>
          <w:tcPr>
            <w:tcW w:w="2829" w:type="dxa"/>
            <w:vAlign w:val="center"/>
          </w:tcPr>
          <w:p w14:paraId="63FF712B">
            <w:pPr>
              <w:snapToGrid w:val="0"/>
              <w:spacing w:line="360" w:lineRule="exact"/>
              <w:jc w:val="center"/>
              <w:rPr>
                <w:rFonts w:ascii="宋体" w:hAnsi="宋体" w:eastAsia="宋体" w:cs="Times New Roman"/>
                <w:color w:val="auto"/>
              </w:rPr>
            </w:pPr>
            <w:r>
              <w:rPr>
                <w:rFonts w:ascii="宋体" w:hAnsi="宋体" w:eastAsia="宋体" w:cs="Times New Roman"/>
                <w:color w:val="auto"/>
              </w:rPr>
              <w:t>执行《危险废物贮存污染控制标准》（GB18597-2023）中的相关规定，实行危险废物转移制度</w:t>
            </w:r>
          </w:p>
        </w:tc>
      </w:tr>
      <w:tr w14:paraId="52698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 w:type="dxa"/>
            <w:vMerge w:val="continue"/>
            <w:vAlign w:val="center"/>
          </w:tcPr>
          <w:p w14:paraId="3B4D29DA">
            <w:pPr>
              <w:snapToGrid w:val="0"/>
              <w:spacing w:line="360" w:lineRule="exact"/>
              <w:jc w:val="center"/>
              <w:rPr>
                <w:rFonts w:ascii="宋体" w:hAnsi="宋体" w:eastAsia="宋体" w:cs="Times New Roman"/>
                <w:color w:val="auto"/>
              </w:rPr>
            </w:pPr>
          </w:p>
        </w:tc>
        <w:tc>
          <w:tcPr>
            <w:tcW w:w="497" w:type="dxa"/>
            <w:vMerge w:val="continue"/>
            <w:vAlign w:val="center"/>
          </w:tcPr>
          <w:p w14:paraId="1A4B720E">
            <w:pPr>
              <w:snapToGrid w:val="0"/>
              <w:spacing w:line="360" w:lineRule="exact"/>
              <w:jc w:val="center"/>
              <w:rPr>
                <w:rFonts w:ascii="宋体" w:hAnsi="宋体" w:eastAsia="宋体" w:cs="Times New Roman"/>
                <w:color w:val="auto"/>
              </w:rPr>
            </w:pPr>
          </w:p>
        </w:tc>
        <w:tc>
          <w:tcPr>
            <w:tcW w:w="1049" w:type="dxa"/>
            <w:vAlign w:val="center"/>
          </w:tcPr>
          <w:p w14:paraId="5B633F1A">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含油污泥、落地油</w:t>
            </w:r>
          </w:p>
        </w:tc>
        <w:tc>
          <w:tcPr>
            <w:tcW w:w="4190" w:type="dxa"/>
            <w:vAlign w:val="center"/>
          </w:tcPr>
          <w:p w14:paraId="0978B53F">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属于危险废物，集中收集，由罐车拉运至朝一联含油污泥处理站减量化处理后，再委托大庆博昕晶化科技有限公司处理达标后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r>
              <w:rPr>
                <w:rFonts w:ascii="宋体" w:hAnsi="宋体" w:eastAsia="宋体" w:cs="Times New Roman"/>
                <w:color w:val="auto"/>
              </w:rPr>
              <w:t xml:space="preserve"> </w:t>
            </w:r>
          </w:p>
        </w:tc>
        <w:tc>
          <w:tcPr>
            <w:tcW w:w="2829" w:type="dxa"/>
            <w:vAlign w:val="center"/>
          </w:tcPr>
          <w:p w14:paraId="76CDDB78">
            <w:pPr>
              <w:snapToGrid w:val="0"/>
              <w:spacing w:line="360" w:lineRule="exact"/>
              <w:jc w:val="center"/>
              <w:rPr>
                <w:rFonts w:ascii="宋体" w:hAnsi="宋体" w:eastAsia="宋体" w:cs="Times New Roman"/>
                <w:color w:val="auto"/>
              </w:rPr>
            </w:pPr>
            <w:r>
              <w:rPr>
                <w:rFonts w:ascii="宋体" w:hAnsi="宋体" w:eastAsia="宋体" w:cs="Times New Roman"/>
                <w:color w:val="auto"/>
              </w:rPr>
              <w:t>执行《油田含油污泥处置与利用污染控制要求》（DB23/T 3104-2022）表1中的限值要求</w:t>
            </w:r>
          </w:p>
        </w:tc>
      </w:tr>
      <w:tr w14:paraId="427DB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2" w:type="dxa"/>
            <w:gridSpan w:val="3"/>
            <w:vMerge w:val="restart"/>
            <w:vAlign w:val="center"/>
          </w:tcPr>
          <w:p w14:paraId="34E7B27A">
            <w:pPr>
              <w:snapToGrid w:val="0"/>
              <w:spacing w:line="360" w:lineRule="exact"/>
              <w:jc w:val="center"/>
              <w:rPr>
                <w:rFonts w:ascii="宋体" w:hAnsi="宋体" w:eastAsia="宋体" w:cs="Times New Roman"/>
                <w:color w:val="auto"/>
              </w:rPr>
            </w:pPr>
            <w:r>
              <w:rPr>
                <w:rFonts w:ascii="宋体" w:hAnsi="宋体" w:eastAsia="宋体" w:cs="Times New Roman"/>
                <w:color w:val="auto"/>
              </w:rPr>
              <w:t>生态恢复</w:t>
            </w:r>
          </w:p>
        </w:tc>
        <w:tc>
          <w:tcPr>
            <w:tcW w:w="4190" w:type="dxa"/>
            <w:vAlign w:val="center"/>
          </w:tcPr>
          <w:p w14:paraId="37B6C365">
            <w:pPr>
              <w:snapToGrid w:val="0"/>
              <w:spacing w:line="360" w:lineRule="exact"/>
              <w:jc w:val="center"/>
              <w:rPr>
                <w:rFonts w:ascii="宋体" w:hAnsi="宋体" w:eastAsia="宋体" w:cs="Times New Roman"/>
                <w:color w:val="auto"/>
              </w:rPr>
            </w:pPr>
            <w:r>
              <w:rPr>
                <w:rFonts w:ascii="宋体" w:hAnsi="宋体" w:eastAsia="宋体" w:cs="Times New Roman"/>
                <w:color w:val="auto"/>
              </w:rPr>
              <w:t>临时占地类型为耕地和草地，临时占地面积</w:t>
            </w:r>
            <w:r>
              <w:rPr>
                <w:rFonts w:hint="eastAsia" w:ascii="宋体" w:hAnsi="宋体" w:eastAsia="宋体" w:cs="Times New Roman"/>
                <w:color w:val="auto"/>
              </w:rPr>
              <w:t>4.46</w:t>
            </w:r>
            <w:r>
              <w:rPr>
                <w:rFonts w:ascii="宋体" w:hAnsi="宋体" w:eastAsia="宋体" w:cs="Times New Roman"/>
                <w:color w:val="auto"/>
              </w:rPr>
              <w:t>hm</w:t>
            </w:r>
            <w:r>
              <w:rPr>
                <w:rFonts w:ascii="宋体" w:hAnsi="宋体" w:eastAsia="宋体" w:cs="Times New Roman"/>
                <w:color w:val="auto"/>
                <w:vertAlign w:val="superscript"/>
              </w:rPr>
              <w:t>2</w:t>
            </w:r>
            <w:r>
              <w:rPr>
                <w:rFonts w:ascii="宋体" w:hAnsi="宋体" w:eastAsia="宋体" w:cs="Times New Roman"/>
                <w:color w:val="auto"/>
              </w:rPr>
              <w:t xml:space="preserve">，施工结束后及时清理施工现场，对临时占用的土地进行恢复、平整 </w:t>
            </w:r>
          </w:p>
        </w:tc>
        <w:tc>
          <w:tcPr>
            <w:tcW w:w="2829" w:type="dxa"/>
            <w:vAlign w:val="center"/>
          </w:tcPr>
          <w:p w14:paraId="7972C1B2">
            <w:pPr>
              <w:snapToGrid w:val="0"/>
              <w:spacing w:line="360" w:lineRule="exact"/>
              <w:jc w:val="center"/>
              <w:rPr>
                <w:rFonts w:ascii="宋体" w:hAnsi="宋体" w:eastAsia="宋体" w:cs="Times New Roman"/>
                <w:color w:val="auto"/>
              </w:rPr>
            </w:pPr>
            <w:r>
              <w:rPr>
                <w:rFonts w:ascii="宋体" w:hAnsi="宋体" w:eastAsia="宋体" w:cs="Times New Roman"/>
                <w:color w:val="auto"/>
              </w:rPr>
              <w:t>施工结束后地表平整，及时恢复地表形态、生态修复</w:t>
            </w:r>
          </w:p>
        </w:tc>
      </w:tr>
      <w:tr w14:paraId="1F653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2" w:type="dxa"/>
            <w:gridSpan w:val="3"/>
            <w:vMerge w:val="continue"/>
            <w:vAlign w:val="center"/>
          </w:tcPr>
          <w:p w14:paraId="6C2998AD">
            <w:pPr>
              <w:snapToGrid w:val="0"/>
              <w:spacing w:line="360" w:lineRule="exact"/>
              <w:jc w:val="center"/>
              <w:rPr>
                <w:rFonts w:ascii="宋体" w:hAnsi="宋体" w:eastAsia="宋体" w:cs="Times New Roman"/>
                <w:color w:val="auto"/>
              </w:rPr>
            </w:pPr>
          </w:p>
        </w:tc>
        <w:tc>
          <w:tcPr>
            <w:tcW w:w="4190" w:type="dxa"/>
            <w:vAlign w:val="center"/>
          </w:tcPr>
          <w:p w14:paraId="12D30D00">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rPr>
              <w:t>永久占地类型为耕地和草地，永久占地面积</w:t>
            </w:r>
            <w:r>
              <w:rPr>
                <w:rFonts w:hint="eastAsia" w:ascii="宋体" w:hAnsi="宋体" w:eastAsia="宋体" w:cs="Times New Roman"/>
                <w:color w:val="auto"/>
              </w:rPr>
              <w:t>3.254</w:t>
            </w:r>
            <w:r>
              <w:rPr>
                <w:rFonts w:ascii="宋体" w:hAnsi="宋体" w:eastAsia="宋体" w:cs="Times New Roman"/>
                <w:color w:val="auto"/>
              </w:rPr>
              <w:t>hm</w:t>
            </w:r>
            <w:r>
              <w:rPr>
                <w:rFonts w:ascii="宋体" w:hAnsi="宋体" w:eastAsia="宋体" w:cs="Times New Roman"/>
                <w:color w:val="auto"/>
                <w:vertAlign w:val="superscript"/>
              </w:rPr>
              <w:t>2</w:t>
            </w:r>
            <w:r>
              <w:rPr>
                <w:rFonts w:ascii="宋体" w:hAnsi="宋体" w:eastAsia="宋体" w:cs="Times New Roman"/>
                <w:color w:val="auto"/>
              </w:rPr>
              <w:t>，永久占地按照规定进行补偿，恢复等质等量耕地</w:t>
            </w:r>
          </w:p>
        </w:tc>
        <w:tc>
          <w:tcPr>
            <w:tcW w:w="2829" w:type="dxa"/>
            <w:vAlign w:val="center"/>
          </w:tcPr>
          <w:p w14:paraId="45A67F0F">
            <w:pPr>
              <w:snapToGrid w:val="0"/>
              <w:spacing w:line="360" w:lineRule="exact"/>
              <w:jc w:val="center"/>
              <w:rPr>
                <w:rFonts w:ascii="宋体" w:hAnsi="宋体" w:eastAsia="宋体" w:cs="Times New Roman"/>
                <w:color w:val="auto"/>
              </w:rPr>
            </w:pPr>
            <w:r>
              <w:rPr>
                <w:rFonts w:ascii="宋体" w:hAnsi="宋体" w:eastAsia="宋体" w:cs="Times New Roman"/>
                <w:color w:val="auto"/>
              </w:rPr>
              <w:t>按相关要求进行征地补偿，专款用于当地基本农田补划；占用草地按规定补偿</w:t>
            </w:r>
          </w:p>
        </w:tc>
      </w:tr>
      <w:tr w14:paraId="6814C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2" w:type="dxa"/>
            <w:gridSpan w:val="3"/>
            <w:vMerge w:val="restart"/>
            <w:vAlign w:val="center"/>
          </w:tcPr>
          <w:p w14:paraId="08D25F8D">
            <w:pPr>
              <w:snapToGrid w:val="0"/>
              <w:spacing w:line="360" w:lineRule="exact"/>
              <w:jc w:val="center"/>
              <w:rPr>
                <w:rFonts w:ascii="宋体" w:hAnsi="宋体" w:eastAsia="宋体" w:cs="Times New Roman"/>
                <w:color w:val="auto"/>
              </w:rPr>
            </w:pPr>
            <w:r>
              <w:rPr>
                <w:rFonts w:ascii="宋体" w:hAnsi="宋体" w:eastAsia="宋体" w:cs="Times New Roman"/>
                <w:color w:val="auto"/>
              </w:rPr>
              <w:t>地下水及土壤防护</w:t>
            </w:r>
          </w:p>
        </w:tc>
        <w:tc>
          <w:tcPr>
            <w:tcW w:w="4190" w:type="dxa"/>
            <w:vAlign w:val="center"/>
          </w:tcPr>
          <w:p w14:paraId="09A85C46">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施工期分区防渗：柴油罐区、泥浆循环罐、钻井液材料房、发电机房、水基钢制泥浆槽、油基钢制泥浆槽、钻台及压裂车作业区为重点防渗，采用地面碾压平整并铺设2mm厚防渗布进行防渗，渗透系数为1.0×10</w:t>
            </w:r>
            <w:r>
              <w:rPr>
                <w:rFonts w:ascii="宋体" w:hAnsi="宋体" w:eastAsia="宋体" w:cs="Times New Roman"/>
                <w:snapToGrid w:val="0"/>
                <w:color w:val="auto"/>
                <w:vertAlign w:val="superscript"/>
              </w:rPr>
              <w:t>-10</w:t>
            </w:r>
            <w:r>
              <w:rPr>
                <w:rFonts w:ascii="宋体" w:hAnsi="宋体" w:eastAsia="宋体" w:cs="Times New Roman"/>
                <w:snapToGrid w:val="0"/>
                <w:color w:val="auto"/>
              </w:rPr>
              <w:t>cm/s；其他材料房、机械修理房、临时防渗旱厕为一般防渗，采用1.5mm厚防渗布进行防渗，渗透系数为1.0×10</w:t>
            </w:r>
            <w:r>
              <w:rPr>
                <w:rFonts w:ascii="宋体" w:hAnsi="宋体" w:eastAsia="宋体" w:cs="Times New Roman"/>
                <w:snapToGrid w:val="0"/>
                <w:color w:val="auto"/>
                <w:vertAlign w:val="superscript"/>
              </w:rPr>
              <w:t>-7</w:t>
            </w:r>
            <w:r>
              <w:rPr>
                <w:rFonts w:ascii="宋体" w:hAnsi="宋体" w:eastAsia="宋体" w:cs="Times New Roman"/>
                <w:snapToGrid w:val="0"/>
                <w:color w:val="auto"/>
              </w:rPr>
              <w:t>cm/s；</w:t>
            </w:r>
            <w:r>
              <w:rPr>
                <w:rFonts w:ascii="宋体" w:hAnsi="宋体" w:eastAsia="宋体" w:cs="Times New Roman"/>
                <w:color w:val="auto"/>
              </w:rPr>
              <w:t>压裂施工混砂车和储砂区、</w:t>
            </w:r>
            <w:r>
              <w:rPr>
                <w:rFonts w:ascii="宋体" w:hAnsi="宋体" w:eastAsia="宋体" w:cs="Times New Roman"/>
                <w:snapToGrid w:val="0"/>
                <w:color w:val="auto"/>
              </w:rPr>
              <w:t>施工井场其他区域采用地面碾压平整。</w:t>
            </w:r>
          </w:p>
        </w:tc>
        <w:tc>
          <w:tcPr>
            <w:tcW w:w="2829" w:type="dxa"/>
            <w:vAlign w:val="center"/>
          </w:tcPr>
          <w:p w14:paraId="1AE897D0">
            <w:pPr>
              <w:snapToGrid w:val="0"/>
              <w:spacing w:line="360" w:lineRule="exact"/>
              <w:jc w:val="center"/>
              <w:rPr>
                <w:rFonts w:ascii="宋体" w:hAnsi="宋体" w:eastAsia="宋体" w:cs="Times New Roman"/>
                <w:color w:val="auto"/>
              </w:rPr>
            </w:pPr>
            <w:r>
              <w:rPr>
                <w:rFonts w:ascii="宋体" w:hAnsi="宋体" w:eastAsia="宋体" w:cs="Times New Roman"/>
                <w:color w:val="auto"/>
              </w:rPr>
              <w:t>执行《环境影响评价技术导则 地下水环境》（HJ610-2016）中关于分区防渗技术要求</w:t>
            </w:r>
          </w:p>
        </w:tc>
      </w:tr>
      <w:tr w14:paraId="6C75D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2" w:type="dxa"/>
            <w:gridSpan w:val="3"/>
            <w:vMerge w:val="continue"/>
            <w:vAlign w:val="center"/>
          </w:tcPr>
          <w:p w14:paraId="00B2E678">
            <w:pPr>
              <w:snapToGrid w:val="0"/>
              <w:spacing w:line="360" w:lineRule="exact"/>
              <w:jc w:val="center"/>
              <w:rPr>
                <w:rFonts w:ascii="宋体" w:hAnsi="宋体" w:eastAsia="宋体" w:cs="Times New Roman"/>
                <w:color w:val="auto"/>
              </w:rPr>
            </w:pPr>
          </w:p>
        </w:tc>
        <w:tc>
          <w:tcPr>
            <w:tcW w:w="4190" w:type="dxa"/>
            <w:vAlign w:val="center"/>
          </w:tcPr>
          <w:p w14:paraId="6A403E57">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运营期分区防渗：集油管道为重点防渗，管道采用防腐无缝钢管，管道的连接方式采用焊接，管道设计壁厚的腐蚀余量为2mm或采用管道内防腐，管道的外防腐等级采用特加强级；油井作业期间井场作业区和拉油点储罐区做重点防渗处理，作业区和储罐区铺设2mm厚防渗布进行防渗，渗透系数为1.0×10</w:t>
            </w:r>
            <w:r>
              <w:rPr>
                <w:rFonts w:ascii="宋体" w:hAnsi="宋体" w:eastAsia="宋体" w:cs="Times New Roman"/>
                <w:snapToGrid w:val="0"/>
                <w:color w:val="auto"/>
                <w:vertAlign w:val="superscript"/>
              </w:rPr>
              <w:t>-10</w:t>
            </w:r>
            <w:r>
              <w:rPr>
                <w:rFonts w:ascii="宋体" w:hAnsi="宋体" w:eastAsia="宋体" w:cs="Times New Roman"/>
                <w:snapToGrid w:val="0"/>
                <w:color w:val="auto"/>
              </w:rPr>
              <w:t>cm/s；井场永久占地内采用地面夯实碾压平整进行处理。</w:t>
            </w:r>
          </w:p>
        </w:tc>
        <w:tc>
          <w:tcPr>
            <w:tcW w:w="2829" w:type="dxa"/>
            <w:vAlign w:val="center"/>
          </w:tcPr>
          <w:p w14:paraId="3DA48B04">
            <w:pPr>
              <w:snapToGrid w:val="0"/>
              <w:spacing w:line="360" w:lineRule="exact"/>
              <w:jc w:val="center"/>
              <w:rPr>
                <w:rFonts w:ascii="宋体" w:hAnsi="宋体" w:eastAsia="宋体" w:cs="Times New Roman"/>
                <w:color w:val="auto"/>
              </w:rPr>
            </w:pPr>
            <w:r>
              <w:rPr>
                <w:rFonts w:ascii="宋体" w:hAnsi="宋体" w:eastAsia="宋体" w:cs="Times New Roman"/>
                <w:color w:val="auto"/>
              </w:rPr>
              <w:t>执行《环境影响评价技术导则 地下水环境》（HJ610-2016）中关于分区防渗技术要求</w:t>
            </w:r>
          </w:p>
        </w:tc>
      </w:tr>
      <w:tr w14:paraId="6E69D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2" w:type="dxa"/>
            <w:gridSpan w:val="3"/>
            <w:vMerge w:val="continue"/>
            <w:vAlign w:val="center"/>
          </w:tcPr>
          <w:p w14:paraId="00C39C9E">
            <w:pPr>
              <w:snapToGrid w:val="0"/>
              <w:spacing w:line="360" w:lineRule="exact"/>
              <w:jc w:val="center"/>
              <w:rPr>
                <w:rFonts w:ascii="宋体" w:hAnsi="宋体" w:eastAsia="宋体" w:cs="Times New Roman"/>
                <w:color w:val="auto"/>
              </w:rPr>
            </w:pPr>
          </w:p>
        </w:tc>
        <w:tc>
          <w:tcPr>
            <w:tcW w:w="4190" w:type="dxa"/>
            <w:vAlign w:val="center"/>
          </w:tcPr>
          <w:p w14:paraId="6B5BFF16">
            <w:pPr>
              <w:spacing w:line="340" w:lineRule="exact"/>
              <w:rPr>
                <w:rFonts w:ascii="宋体" w:hAnsi="宋体" w:eastAsia="宋体" w:cs="Times New Roman"/>
                <w:color w:val="auto"/>
              </w:rPr>
            </w:pPr>
            <w:r>
              <w:rPr>
                <w:rFonts w:ascii="宋体" w:hAnsi="宋体" w:eastAsia="宋体" w:cs="Times New Roman"/>
                <w:color w:val="auto"/>
              </w:rPr>
              <w:t>在4口基建井区域上游王家粉坊屯水井（125.16401，45.57877）布设1口潜水背景值监测水井，区域内后欧力马水井（坐标125.17085</w:t>
            </w:r>
            <w:r>
              <w:rPr>
                <w:rFonts w:hint="eastAsia" w:ascii="宋体" w:hAnsi="宋体" w:eastAsia="宋体" w:cs="Times New Roman"/>
                <w:color w:val="auto"/>
              </w:rPr>
              <w:t>°</w:t>
            </w:r>
            <w:r>
              <w:rPr>
                <w:rFonts w:ascii="宋体" w:hAnsi="宋体" w:eastAsia="宋体" w:cs="Times New Roman"/>
                <w:color w:val="auto"/>
              </w:rPr>
              <w:t>，45.56812</w:t>
            </w:r>
            <w:r>
              <w:rPr>
                <w:rFonts w:hint="eastAsia" w:ascii="宋体" w:hAnsi="宋体" w:eastAsia="宋体" w:cs="Times New Roman"/>
                <w:color w:val="auto"/>
              </w:rPr>
              <w:t>°</w:t>
            </w:r>
            <w:r>
              <w:rPr>
                <w:rFonts w:ascii="宋体" w:hAnsi="宋体" w:eastAsia="宋体" w:cs="Times New Roman"/>
                <w:color w:val="auto"/>
              </w:rPr>
              <w:t>）布设1口潜水跟踪监测水井，在区域下游王家园子屯水井布设1口潜水跟踪监测水井（125.16117</w:t>
            </w:r>
            <w:r>
              <w:rPr>
                <w:rFonts w:hint="eastAsia" w:ascii="宋体" w:hAnsi="宋体" w:eastAsia="宋体" w:cs="Times New Roman"/>
                <w:color w:val="auto"/>
              </w:rPr>
              <w:t>°</w:t>
            </w:r>
            <w:r>
              <w:rPr>
                <w:rFonts w:ascii="宋体" w:hAnsi="宋体" w:eastAsia="宋体" w:cs="Times New Roman"/>
                <w:color w:val="auto"/>
              </w:rPr>
              <w:t>，45.55675</w:t>
            </w:r>
            <w:r>
              <w:rPr>
                <w:rFonts w:hint="eastAsia" w:ascii="宋体" w:hAnsi="宋体" w:eastAsia="宋体" w:cs="Times New Roman"/>
                <w:color w:val="auto"/>
              </w:rPr>
              <w:t>°</w:t>
            </w:r>
            <w:r>
              <w:rPr>
                <w:rFonts w:ascii="宋体" w:hAnsi="宋体" w:eastAsia="宋体" w:cs="Times New Roman"/>
                <w:color w:val="auto"/>
              </w:rPr>
              <w:t>），1口承压水跟踪监测水井（125.16466</w:t>
            </w:r>
            <w:r>
              <w:rPr>
                <w:rFonts w:hint="eastAsia" w:ascii="宋体" w:hAnsi="宋体" w:eastAsia="宋体" w:cs="Times New Roman"/>
                <w:color w:val="auto"/>
              </w:rPr>
              <w:t>°</w:t>
            </w:r>
            <w:r>
              <w:rPr>
                <w:rFonts w:ascii="宋体" w:hAnsi="宋体" w:eastAsia="宋体" w:cs="Times New Roman"/>
                <w:color w:val="auto"/>
              </w:rPr>
              <w:t>，45.55678</w:t>
            </w:r>
            <w:r>
              <w:rPr>
                <w:rFonts w:hint="eastAsia" w:ascii="宋体" w:hAnsi="宋体" w:eastAsia="宋体" w:cs="Times New Roman"/>
                <w:color w:val="auto"/>
              </w:rPr>
              <w:t>°</w:t>
            </w:r>
            <w:r>
              <w:rPr>
                <w:rFonts w:ascii="宋体" w:hAnsi="宋体" w:eastAsia="宋体" w:cs="Times New Roman"/>
                <w:color w:val="auto"/>
              </w:rPr>
              <w:t>）；</w:t>
            </w:r>
          </w:p>
          <w:p w14:paraId="4355D6D8">
            <w:pPr>
              <w:pStyle w:val="79"/>
              <w:spacing w:after="0" w:line="340" w:lineRule="exact"/>
              <w:ind w:firstLine="0" w:firstLineChars="0"/>
              <w:rPr>
                <w:rFonts w:ascii="宋体" w:hAnsi="宋体"/>
                <w:color w:val="auto"/>
              </w:rPr>
            </w:pPr>
            <w:r>
              <w:rPr>
                <w:rFonts w:ascii="宋体" w:hAnsi="宋体"/>
                <w:color w:val="auto"/>
              </w:rPr>
              <w:t>在2口勘探井所在区块</w:t>
            </w:r>
            <w:r>
              <w:rPr>
                <w:rFonts w:ascii="宋体" w:hAnsi="宋体"/>
                <w:color w:val="auto"/>
                <w:sz w:val="21"/>
                <w:szCs w:val="21"/>
              </w:rPr>
              <w:t>区域上游大姚屯水井（125.05032</w:t>
            </w:r>
            <w:r>
              <w:rPr>
                <w:rFonts w:hint="eastAsia" w:ascii="宋体" w:hAnsi="宋体"/>
                <w:color w:val="auto"/>
                <w:sz w:val="21"/>
                <w:szCs w:val="21"/>
              </w:rPr>
              <w:t>°</w:t>
            </w:r>
            <w:r>
              <w:rPr>
                <w:rFonts w:ascii="宋体" w:hAnsi="宋体"/>
                <w:color w:val="auto"/>
                <w:sz w:val="21"/>
                <w:szCs w:val="21"/>
              </w:rPr>
              <w:t>，45.51338</w:t>
            </w:r>
            <w:r>
              <w:rPr>
                <w:rFonts w:hint="eastAsia" w:ascii="宋体" w:hAnsi="宋体"/>
                <w:color w:val="auto"/>
                <w:sz w:val="21"/>
                <w:szCs w:val="21"/>
              </w:rPr>
              <w:t>°</w:t>
            </w:r>
            <w:r>
              <w:rPr>
                <w:rFonts w:ascii="宋体" w:hAnsi="宋体"/>
                <w:color w:val="auto"/>
                <w:sz w:val="21"/>
                <w:szCs w:val="21"/>
              </w:rPr>
              <w:t>）布设1口潜水背景值监测水井，在区域下游刘兽医屯水井布设1口潜水跟踪监测水井（125.04329</w:t>
            </w:r>
            <w:r>
              <w:rPr>
                <w:rFonts w:hint="eastAsia" w:ascii="宋体" w:hAnsi="宋体"/>
                <w:color w:val="auto"/>
                <w:sz w:val="21"/>
                <w:szCs w:val="21"/>
              </w:rPr>
              <w:t>°</w:t>
            </w:r>
            <w:r>
              <w:rPr>
                <w:rFonts w:ascii="宋体" w:hAnsi="宋体"/>
                <w:color w:val="auto"/>
                <w:sz w:val="21"/>
                <w:szCs w:val="21"/>
              </w:rPr>
              <w:t>，45.51033</w:t>
            </w:r>
            <w:r>
              <w:rPr>
                <w:rFonts w:hint="eastAsia" w:ascii="宋体" w:hAnsi="宋体"/>
                <w:color w:val="auto"/>
                <w:sz w:val="21"/>
                <w:szCs w:val="21"/>
              </w:rPr>
              <w:t>°</w:t>
            </w:r>
            <w:r>
              <w:rPr>
                <w:rFonts w:ascii="宋体" w:hAnsi="宋体"/>
                <w:color w:val="auto"/>
                <w:sz w:val="21"/>
                <w:szCs w:val="21"/>
              </w:rPr>
              <w:t>），1口承压水跟踪监测水井（125.04209</w:t>
            </w:r>
            <w:r>
              <w:rPr>
                <w:rFonts w:hint="eastAsia" w:ascii="宋体" w:hAnsi="宋体"/>
                <w:color w:val="auto"/>
                <w:sz w:val="21"/>
                <w:szCs w:val="21"/>
              </w:rPr>
              <w:t>°</w:t>
            </w:r>
            <w:r>
              <w:rPr>
                <w:rFonts w:ascii="宋体" w:hAnsi="宋体"/>
                <w:color w:val="auto"/>
                <w:sz w:val="21"/>
                <w:szCs w:val="21"/>
              </w:rPr>
              <w:t>，45.50913</w:t>
            </w:r>
            <w:r>
              <w:rPr>
                <w:rFonts w:hint="eastAsia" w:ascii="宋体" w:hAnsi="宋体"/>
                <w:color w:val="auto"/>
                <w:sz w:val="21"/>
                <w:szCs w:val="21"/>
              </w:rPr>
              <w:t>°</w:t>
            </w:r>
            <w:r>
              <w:rPr>
                <w:rFonts w:ascii="宋体" w:hAnsi="宋体"/>
                <w:color w:val="auto"/>
                <w:sz w:val="21"/>
                <w:szCs w:val="21"/>
              </w:rPr>
              <w:t>）；</w:t>
            </w:r>
          </w:p>
          <w:p w14:paraId="4F1FF868">
            <w:pPr>
              <w:snapToGrid w:val="0"/>
              <w:spacing w:line="360" w:lineRule="exact"/>
              <w:jc w:val="center"/>
              <w:rPr>
                <w:rFonts w:ascii="宋体" w:hAnsi="宋体" w:eastAsia="宋体" w:cs="Times New Roman"/>
                <w:color w:val="auto"/>
              </w:rPr>
            </w:pPr>
            <w:r>
              <w:rPr>
                <w:rFonts w:ascii="宋体" w:hAnsi="宋体" w:eastAsia="宋体" w:cs="Times New Roman"/>
                <w:color w:val="auto"/>
              </w:rPr>
              <w:t>定期对地下水进行跟踪监测，监测因子为pH、石油类、石油烃（C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）、砷、六价铬、挥发酚、氨氮、耗氧量</w:t>
            </w:r>
          </w:p>
        </w:tc>
        <w:tc>
          <w:tcPr>
            <w:tcW w:w="2829" w:type="dxa"/>
            <w:vAlign w:val="center"/>
          </w:tcPr>
          <w:p w14:paraId="188982C1">
            <w:pPr>
              <w:snapToGrid w:val="0"/>
              <w:spacing w:line="360" w:lineRule="exact"/>
              <w:jc w:val="center"/>
              <w:rPr>
                <w:rFonts w:ascii="宋体" w:hAnsi="宋体" w:eastAsia="宋体" w:cs="Times New Roman"/>
                <w:color w:val="auto"/>
              </w:rPr>
            </w:pPr>
            <w:r>
              <w:rPr>
                <w:rFonts w:ascii="宋体" w:hAnsi="宋体" w:eastAsia="宋体" w:cs="Times New Roman"/>
                <w:color w:val="auto"/>
              </w:rPr>
              <w:t>执行《地下水质量标准》（GB/T14848-2017）III类标准，石油类执行《地表水环境质量标准》（GB3838-2002）表1中的II类标准限值要求</w:t>
            </w:r>
          </w:p>
        </w:tc>
      </w:tr>
      <w:tr w14:paraId="3F652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2" w:type="dxa"/>
            <w:gridSpan w:val="3"/>
            <w:vMerge w:val="continue"/>
            <w:vAlign w:val="center"/>
          </w:tcPr>
          <w:p w14:paraId="6DB088D1">
            <w:pPr>
              <w:snapToGrid w:val="0"/>
              <w:spacing w:line="360" w:lineRule="exact"/>
              <w:jc w:val="center"/>
              <w:rPr>
                <w:rFonts w:ascii="宋体" w:hAnsi="宋体" w:eastAsia="宋体" w:cs="Times New Roman"/>
                <w:color w:val="auto"/>
              </w:rPr>
            </w:pPr>
          </w:p>
        </w:tc>
        <w:tc>
          <w:tcPr>
            <w:tcW w:w="4190" w:type="dxa"/>
            <w:vAlign w:val="center"/>
          </w:tcPr>
          <w:p w14:paraId="287DBC87">
            <w:pPr>
              <w:adjustRightInd w:val="0"/>
              <w:snapToGrid w:val="0"/>
              <w:spacing w:line="360" w:lineRule="exact"/>
              <w:jc w:val="center"/>
              <w:rPr>
                <w:rFonts w:ascii="宋体" w:hAnsi="宋体" w:eastAsia="宋体" w:cs="Times New Roman"/>
                <w:color w:val="auto"/>
              </w:rPr>
            </w:pPr>
            <w:r>
              <w:rPr>
                <w:rFonts w:ascii="宋体" w:hAnsi="宋体" w:eastAsia="宋体" w:cs="Times New Roman"/>
                <w:color w:val="auto"/>
                <w:kern w:val="21"/>
              </w:rPr>
              <w:t>在</w:t>
            </w:r>
            <w:r>
              <w:rPr>
                <w:rFonts w:hint="eastAsia" w:ascii="宋体" w:hAnsi="宋体" w:eastAsia="宋体" w:cs="Times New Roman"/>
                <w:color w:val="auto"/>
              </w:rPr>
              <w:t>3#平台</w:t>
            </w:r>
            <w:r>
              <w:rPr>
                <w:rFonts w:ascii="宋体" w:hAnsi="宋体" w:eastAsia="宋体" w:cs="Times New Roman"/>
                <w:color w:val="auto"/>
              </w:rPr>
              <w:t>井场</w:t>
            </w:r>
            <w:r>
              <w:rPr>
                <w:rFonts w:ascii="宋体" w:hAnsi="宋体" w:eastAsia="宋体" w:cs="Times New Roman"/>
                <w:color w:val="auto"/>
                <w:kern w:val="21"/>
              </w:rPr>
              <w:t>、</w:t>
            </w:r>
            <w:r>
              <w:rPr>
                <w:rFonts w:hint="eastAsia" w:ascii="宋体" w:hAnsi="宋体" w:eastAsia="宋体" w:cs="Times New Roman"/>
                <w:color w:val="auto"/>
                <w:kern w:val="21"/>
              </w:rPr>
              <w:t>源1011井场</w:t>
            </w:r>
            <w:r>
              <w:rPr>
                <w:rFonts w:ascii="宋体" w:hAnsi="宋体" w:eastAsia="宋体" w:cs="Times New Roman"/>
                <w:color w:val="auto"/>
                <w:kern w:val="21"/>
              </w:rPr>
              <w:t>和</w:t>
            </w:r>
            <w:r>
              <w:rPr>
                <w:rFonts w:hint="eastAsia" w:ascii="宋体" w:hAnsi="宋体" w:eastAsia="宋体" w:cs="Times New Roman"/>
                <w:color w:val="auto"/>
                <w:kern w:val="21"/>
              </w:rPr>
              <w:t>源斜2401井场</w:t>
            </w:r>
            <w:r>
              <w:rPr>
                <w:rFonts w:ascii="宋体" w:hAnsi="宋体" w:eastAsia="宋体" w:cs="Times New Roman"/>
                <w:color w:val="auto"/>
                <w:kern w:val="21"/>
              </w:rPr>
              <w:t>共布设3个土壤跟踪监测点，定期对土壤进行跟踪监测，监测因子为pH、石油类、石油烃（C</w:t>
            </w:r>
            <w:r>
              <w:rPr>
                <w:rFonts w:ascii="宋体" w:hAnsi="宋体" w:eastAsia="宋体" w:cs="Times New Roman"/>
                <w:color w:val="auto"/>
                <w:kern w:val="21"/>
                <w:vertAlign w:val="subscript"/>
              </w:rPr>
              <w:t>6</w:t>
            </w:r>
            <w:r>
              <w:rPr>
                <w:rFonts w:ascii="宋体" w:hAnsi="宋体" w:eastAsia="宋体" w:cs="Times New Roman"/>
                <w:color w:val="auto"/>
                <w:kern w:val="21"/>
              </w:rPr>
              <w:t>～C</w:t>
            </w:r>
            <w:r>
              <w:rPr>
                <w:rFonts w:ascii="宋体" w:hAnsi="宋体" w:eastAsia="宋体" w:cs="Times New Roman"/>
                <w:color w:val="auto"/>
                <w:kern w:val="21"/>
                <w:vertAlign w:val="subscript"/>
              </w:rPr>
              <w:t>9</w:t>
            </w:r>
            <w:r>
              <w:rPr>
                <w:rFonts w:ascii="宋体" w:hAnsi="宋体" w:eastAsia="宋体" w:cs="Times New Roman"/>
                <w:color w:val="auto"/>
                <w:kern w:val="21"/>
              </w:rPr>
              <w:t>）、石油烃（C</w:t>
            </w:r>
            <w:r>
              <w:rPr>
                <w:rFonts w:ascii="宋体" w:hAnsi="宋体" w:eastAsia="宋体" w:cs="Times New Roman"/>
                <w:color w:val="auto"/>
                <w:kern w:val="21"/>
                <w:vertAlign w:val="subscript"/>
              </w:rPr>
              <w:t>10</w:t>
            </w:r>
            <w:r>
              <w:rPr>
                <w:rFonts w:ascii="宋体" w:hAnsi="宋体" w:eastAsia="宋体" w:cs="Times New Roman"/>
                <w:color w:val="auto"/>
                <w:kern w:val="21"/>
              </w:rPr>
              <w:t>～C</w:t>
            </w:r>
            <w:r>
              <w:rPr>
                <w:rFonts w:ascii="宋体" w:hAnsi="宋体" w:eastAsia="宋体" w:cs="Times New Roman"/>
                <w:color w:val="auto"/>
                <w:kern w:val="21"/>
                <w:vertAlign w:val="subscript"/>
              </w:rPr>
              <w:t>40</w:t>
            </w:r>
            <w:r>
              <w:rPr>
                <w:rFonts w:ascii="宋体" w:hAnsi="宋体" w:eastAsia="宋体" w:cs="Times New Roman"/>
                <w:color w:val="auto"/>
                <w:kern w:val="21"/>
              </w:rPr>
              <w:t>）、砷、六价铬，监测频次为1次/年。</w:t>
            </w:r>
          </w:p>
        </w:tc>
        <w:tc>
          <w:tcPr>
            <w:tcW w:w="2829" w:type="dxa"/>
            <w:vAlign w:val="center"/>
          </w:tcPr>
          <w:p w14:paraId="7AB65198">
            <w:pPr>
              <w:snapToGrid w:val="0"/>
              <w:spacing w:line="360" w:lineRule="exact"/>
              <w:jc w:val="center"/>
              <w:rPr>
                <w:rFonts w:ascii="宋体" w:hAnsi="宋体" w:eastAsia="宋体" w:cs="Times New Roman"/>
                <w:color w:val="auto"/>
              </w:rPr>
            </w:pPr>
            <w:r>
              <w:rPr>
                <w:rFonts w:ascii="宋体" w:hAnsi="宋体" w:eastAsia="宋体" w:cs="Times New Roman"/>
                <w:color w:val="auto"/>
              </w:rPr>
              <w:t>执行《土壤环境质量 建设用地土壤污染风险管控标准（试行）》（GB36600-2018）表2（其他项目）中第二类用地石油烃筛选值，《土壤环境质量 农用地土壤污染风险管控标准（试行）》（GB 15618-2018）中的筛选值</w:t>
            </w:r>
          </w:p>
        </w:tc>
      </w:tr>
      <w:tr w14:paraId="01D58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2" w:type="dxa"/>
            <w:gridSpan w:val="3"/>
            <w:vAlign w:val="center"/>
          </w:tcPr>
          <w:p w14:paraId="270F16C7">
            <w:pPr>
              <w:snapToGrid w:val="0"/>
              <w:spacing w:line="360" w:lineRule="exact"/>
              <w:jc w:val="center"/>
              <w:rPr>
                <w:rFonts w:ascii="宋体" w:hAnsi="宋体" w:eastAsia="宋体" w:cs="Times New Roman"/>
                <w:color w:val="auto"/>
              </w:rPr>
            </w:pPr>
            <w:r>
              <w:rPr>
                <w:rFonts w:ascii="宋体" w:hAnsi="宋体" w:eastAsia="宋体" w:cs="Times New Roman"/>
                <w:color w:val="auto"/>
              </w:rPr>
              <w:t>风险防控</w:t>
            </w:r>
          </w:p>
        </w:tc>
        <w:tc>
          <w:tcPr>
            <w:tcW w:w="7019" w:type="dxa"/>
            <w:gridSpan w:val="2"/>
            <w:vAlign w:val="center"/>
          </w:tcPr>
          <w:p w14:paraId="08E98665">
            <w:pPr>
              <w:snapToGrid w:val="0"/>
              <w:spacing w:line="360" w:lineRule="exact"/>
              <w:jc w:val="center"/>
              <w:rPr>
                <w:rFonts w:ascii="宋体" w:hAnsi="宋体" w:eastAsia="宋体" w:cs="Times New Roman"/>
                <w:color w:val="auto"/>
              </w:rPr>
            </w:pPr>
            <w:r>
              <w:rPr>
                <w:rFonts w:ascii="宋体" w:hAnsi="宋体" w:eastAsia="宋体" w:cs="Times New Roman"/>
                <w:color w:val="auto"/>
              </w:rPr>
              <w:t>运营期作业期间工作区域均铺设防渗布，防渗布边缘设置围堰；拉油点储罐周边设置玻璃钢永久围堰；车辆采用密闭罐车，配备收油工具，场站定期进行应急演练。</w:t>
            </w:r>
          </w:p>
        </w:tc>
      </w:tr>
      <w:tr w14:paraId="161AA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2" w:type="dxa"/>
            <w:gridSpan w:val="3"/>
            <w:vAlign w:val="center"/>
          </w:tcPr>
          <w:p w14:paraId="7810EDB8">
            <w:pPr>
              <w:snapToGrid w:val="0"/>
              <w:spacing w:line="360" w:lineRule="exact"/>
              <w:jc w:val="center"/>
              <w:rPr>
                <w:rFonts w:ascii="宋体" w:hAnsi="宋体" w:eastAsia="宋体" w:cs="Times New Roman"/>
                <w:color w:val="auto"/>
              </w:rPr>
            </w:pPr>
            <w:r>
              <w:rPr>
                <w:rFonts w:ascii="宋体" w:hAnsi="宋体" w:eastAsia="宋体" w:cs="Times New Roman"/>
                <w:color w:val="auto"/>
              </w:rPr>
              <w:t>水土流失</w:t>
            </w:r>
          </w:p>
        </w:tc>
        <w:tc>
          <w:tcPr>
            <w:tcW w:w="7019" w:type="dxa"/>
            <w:gridSpan w:val="2"/>
            <w:vAlign w:val="center"/>
          </w:tcPr>
          <w:p w14:paraId="3C7CAD8C">
            <w:pPr>
              <w:snapToGrid w:val="0"/>
              <w:spacing w:line="360" w:lineRule="exact"/>
              <w:jc w:val="center"/>
              <w:rPr>
                <w:rFonts w:ascii="宋体" w:hAnsi="宋体" w:eastAsia="宋体" w:cs="Times New Roman"/>
                <w:color w:val="auto"/>
              </w:rPr>
            </w:pPr>
            <w:r>
              <w:rPr>
                <w:rFonts w:ascii="宋体" w:hAnsi="宋体" w:eastAsia="宋体" w:cs="Times New Roman"/>
                <w:color w:val="auto"/>
              </w:rPr>
              <w:t>合理选择施工季节，井场施工控制作业面积，管线施工回填平整、压实</w:t>
            </w:r>
          </w:p>
        </w:tc>
      </w:tr>
      <w:tr w14:paraId="4BEA9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2" w:type="dxa"/>
            <w:gridSpan w:val="3"/>
            <w:vAlign w:val="center"/>
          </w:tcPr>
          <w:p w14:paraId="18A33C69">
            <w:pPr>
              <w:snapToGrid w:val="0"/>
              <w:spacing w:line="360" w:lineRule="exact"/>
              <w:jc w:val="center"/>
              <w:rPr>
                <w:rFonts w:ascii="宋体" w:hAnsi="宋体" w:eastAsia="宋体" w:cs="Times New Roman"/>
                <w:color w:val="auto"/>
              </w:rPr>
            </w:pPr>
            <w:r>
              <w:rPr>
                <w:rFonts w:ascii="宋体" w:hAnsi="宋体" w:eastAsia="宋体" w:cs="Times New Roman"/>
                <w:color w:val="auto"/>
              </w:rPr>
              <w:t>防沙治沙</w:t>
            </w:r>
          </w:p>
        </w:tc>
        <w:tc>
          <w:tcPr>
            <w:tcW w:w="7019" w:type="dxa"/>
            <w:gridSpan w:val="2"/>
            <w:vAlign w:val="center"/>
          </w:tcPr>
          <w:p w14:paraId="49513853">
            <w:pPr>
              <w:snapToGrid w:val="0"/>
              <w:spacing w:line="360" w:lineRule="exact"/>
              <w:jc w:val="center"/>
              <w:rPr>
                <w:rFonts w:ascii="宋体" w:hAnsi="宋体" w:eastAsia="宋体" w:cs="Times New Roman"/>
                <w:color w:val="auto"/>
              </w:rPr>
            </w:pPr>
            <w:r>
              <w:rPr>
                <w:rFonts w:ascii="宋体" w:hAnsi="宋体" w:eastAsia="宋体" w:cs="Times New Roman"/>
                <w:color w:val="auto"/>
              </w:rPr>
              <w:t>对占地区域土地进行平整，并压实；路基边坡采取水泥板护坡固土；做好施工期开挖土方临时堆存的水土保持措施；对临时占用的耕地进行平整恢复，完成复耕；对永久占地平整压实，路基边坡采取水泥板护坡固土</w:t>
            </w:r>
          </w:p>
        </w:tc>
      </w:tr>
    </w:tbl>
    <w:p w14:paraId="02278C87">
      <w:pPr>
        <w:pStyle w:val="276"/>
        <w:widowControl w:val="0"/>
        <w:spacing w:line="440" w:lineRule="exact"/>
        <w:ind w:firstLine="0" w:firstLineChars="0"/>
        <w:jc w:val="center"/>
        <w:rPr>
          <w:color w:val="auto"/>
          <w:kern w:val="21"/>
        </w:rPr>
      </w:pPr>
      <w:r>
        <w:rPr>
          <w:color w:val="auto"/>
          <w:kern w:val="21"/>
        </w:rPr>
        <w:t>表6.2-2 竣工</w:t>
      </w:r>
      <w:r>
        <w:rPr>
          <w:color w:val="auto"/>
          <w:kern w:val="2"/>
        </w:rPr>
        <w:t>验收</w:t>
      </w:r>
      <w:r>
        <w:rPr>
          <w:color w:val="auto"/>
          <w:kern w:val="21"/>
        </w:rPr>
        <w:t>监测与调查主要内容</w:t>
      </w:r>
    </w:p>
    <w:tbl>
      <w:tblPr>
        <w:tblStyle w:val="81"/>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2"/>
        <w:gridCol w:w="6089"/>
      </w:tblGrid>
      <w:tr w14:paraId="58D78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Align w:val="center"/>
          </w:tcPr>
          <w:p w14:paraId="4246D4C9">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项目</w:t>
            </w:r>
          </w:p>
        </w:tc>
        <w:tc>
          <w:tcPr>
            <w:tcW w:w="6089" w:type="dxa"/>
            <w:vAlign w:val="center"/>
          </w:tcPr>
          <w:p w14:paraId="325DF046">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内容</w:t>
            </w:r>
          </w:p>
        </w:tc>
      </w:tr>
      <w:tr w14:paraId="54431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restart"/>
            <w:vAlign w:val="center"/>
          </w:tcPr>
          <w:p w14:paraId="5EAF7C46">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环境保护管理检查</w:t>
            </w:r>
          </w:p>
        </w:tc>
        <w:tc>
          <w:tcPr>
            <w:tcW w:w="6089" w:type="dxa"/>
            <w:vAlign w:val="center"/>
          </w:tcPr>
          <w:p w14:paraId="0D3F6645">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项目各阶段环境保护法律、法规、规章制度的执行情况</w:t>
            </w:r>
          </w:p>
        </w:tc>
      </w:tr>
      <w:tr w14:paraId="7E46C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2D5EFAAD">
            <w:pPr>
              <w:adjustRightInd w:val="0"/>
              <w:snapToGrid w:val="0"/>
              <w:spacing w:line="360" w:lineRule="exact"/>
              <w:rPr>
                <w:rFonts w:ascii="宋体" w:hAnsi="宋体" w:eastAsia="宋体" w:cs="Times New Roman"/>
                <w:snapToGrid w:val="0"/>
                <w:color w:val="auto"/>
              </w:rPr>
            </w:pPr>
          </w:p>
        </w:tc>
        <w:tc>
          <w:tcPr>
            <w:tcW w:w="6089" w:type="dxa"/>
            <w:vAlign w:val="center"/>
          </w:tcPr>
          <w:p w14:paraId="2FC39C0F">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环境保护审批手续及环境保护档案资料</w:t>
            </w:r>
          </w:p>
        </w:tc>
      </w:tr>
      <w:tr w14:paraId="69BE6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7BD1FC23">
            <w:pPr>
              <w:adjustRightInd w:val="0"/>
              <w:snapToGrid w:val="0"/>
              <w:spacing w:line="360" w:lineRule="exact"/>
              <w:rPr>
                <w:rFonts w:ascii="宋体" w:hAnsi="宋体" w:eastAsia="宋体" w:cs="Times New Roman"/>
                <w:snapToGrid w:val="0"/>
                <w:color w:val="auto"/>
              </w:rPr>
            </w:pPr>
          </w:p>
        </w:tc>
        <w:tc>
          <w:tcPr>
            <w:tcW w:w="6089" w:type="dxa"/>
            <w:vAlign w:val="center"/>
          </w:tcPr>
          <w:p w14:paraId="41C2D050">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环保组织机构及规章管理制度</w:t>
            </w:r>
          </w:p>
        </w:tc>
      </w:tr>
      <w:tr w14:paraId="6B696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47BB0662">
            <w:pPr>
              <w:adjustRightInd w:val="0"/>
              <w:snapToGrid w:val="0"/>
              <w:spacing w:line="360" w:lineRule="exact"/>
              <w:rPr>
                <w:rFonts w:ascii="宋体" w:hAnsi="宋体" w:eastAsia="宋体" w:cs="Times New Roman"/>
                <w:snapToGrid w:val="0"/>
                <w:color w:val="auto"/>
              </w:rPr>
            </w:pPr>
          </w:p>
        </w:tc>
        <w:tc>
          <w:tcPr>
            <w:tcW w:w="6089" w:type="dxa"/>
            <w:vAlign w:val="center"/>
          </w:tcPr>
          <w:p w14:paraId="6CF0C2AD">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污水回收装置等环保设施建成及运行情况，生态恢复、占地补偿等措施的落实情况</w:t>
            </w:r>
          </w:p>
        </w:tc>
      </w:tr>
      <w:tr w14:paraId="0B899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45D40D32">
            <w:pPr>
              <w:adjustRightInd w:val="0"/>
              <w:snapToGrid w:val="0"/>
              <w:spacing w:line="360" w:lineRule="exact"/>
              <w:rPr>
                <w:rFonts w:ascii="宋体" w:hAnsi="宋体" w:eastAsia="宋体" w:cs="Times New Roman"/>
                <w:snapToGrid w:val="0"/>
                <w:color w:val="auto"/>
              </w:rPr>
            </w:pPr>
          </w:p>
        </w:tc>
        <w:tc>
          <w:tcPr>
            <w:tcW w:w="6089" w:type="dxa"/>
            <w:vAlign w:val="center"/>
          </w:tcPr>
          <w:p w14:paraId="730B174B">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本项目环评报告及其批复提出的环保措施落实情况及其效果</w:t>
            </w:r>
          </w:p>
        </w:tc>
      </w:tr>
      <w:tr w14:paraId="42281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38EC62A0">
            <w:pPr>
              <w:adjustRightInd w:val="0"/>
              <w:snapToGrid w:val="0"/>
              <w:spacing w:line="360" w:lineRule="exact"/>
              <w:rPr>
                <w:rFonts w:ascii="宋体" w:hAnsi="宋体" w:eastAsia="宋体" w:cs="Times New Roman"/>
                <w:snapToGrid w:val="0"/>
                <w:color w:val="auto"/>
              </w:rPr>
            </w:pPr>
          </w:p>
        </w:tc>
        <w:tc>
          <w:tcPr>
            <w:tcW w:w="6089" w:type="dxa"/>
            <w:vAlign w:val="center"/>
          </w:tcPr>
          <w:p w14:paraId="5F906964">
            <w:pPr>
              <w:adjustRightInd w:val="0"/>
              <w:snapToGrid w:val="0"/>
              <w:spacing w:line="360" w:lineRule="exact"/>
              <w:rPr>
                <w:rFonts w:ascii="宋体" w:hAnsi="宋体" w:eastAsia="宋体" w:cs="Times New Roman"/>
                <w:snapToGrid w:val="0"/>
                <w:color w:val="auto"/>
              </w:rPr>
            </w:pPr>
            <w:r>
              <w:rPr>
                <w:rFonts w:hint="eastAsia" w:ascii="宋体" w:hAnsi="宋体" w:eastAsia="宋体" w:cs="Times New Roman"/>
                <w:snapToGrid w:val="0"/>
                <w:color w:val="auto"/>
              </w:rPr>
              <w:t>运营期</w:t>
            </w:r>
            <w:r>
              <w:rPr>
                <w:rFonts w:ascii="宋体" w:hAnsi="宋体" w:eastAsia="宋体" w:cs="Times New Roman"/>
                <w:snapToGrid w:val="0"/>
                <w:color w:val="auto"/>
              </w:rPr>
              <w:t>环境保护监测计划实施情况</w:t>
            </w:r>
          </w:p>
        </w:tc>
      </w:tr>
      <w:tr w14:paraId="0F892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16EC037B">
            <w:pPr>
              <w:adjustRightInd w:val="0"/>
              <w:snapToGrid w:val="0"/>
              <w:spacing w:line="360" w:lineRule="exact"/>
              <w:rPr>
                <w:rFonts w:ascii="宋体" w:hAnsi="宋体" w:eastAsia="宋体" w:cs="Times New Roman"/>
                <w:snapToGrid w:val="0"/>
                <w:color w:val="auto"/>
              </w:rPr>
            </w:pPr>
          </w:p>
        </w:tc>
        <w:tc>
          <w:tcPr>
            <w:tcW w:w="6089" w:type="dxa"/>
            <w:vAlign w:val="center"/>
          </w:tcPr>
          <w:p w14:paraId="774E3D0D">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本项目事故风险的环保应急计划，包括物质配备、防范措施，应急处置等</w:t>
            </w:r>
          </w:p>
        </w:tc>
      </w:tr>
      <w:tr w14:paraId="47090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1B573588">
            <w:pPr>
              <w:adjustRightInd w:val="0"/>
              <w:snapToGrid w:val="0"/>
              <w:spacing w:line="360" w:lineRule="exact"/>
              <w:rPr>
                <w:rFonts w:ascii="宋体" w:hAnsi="宋体" w:eastAsia="宋体" w:cs="Times New Roman"/>
                <w:snapToGrid w:val="0"/>
                <w:color w:val="auto"/>
              </w:rPr>
            </w:pPr>
          </w:p>
        </w:tc>
        <w:tc>
          <w:tcPr>
            <w:tcW w:w="6089" w:type="dxa"/>
            <w:vAlign w:val="center"/>
          </w:tcPr>
          <w:p w14:paraId="7BAD6BAF">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施工期、</w:t>
            </w:r>
            <w:r>
              <w:rPr>
                <w:rFonts w:hint="eastAsia" w:ascii="宋体" w:hAnsi="宋体" w:eastAsia="宋体" w:cs="Times New Roman"/>
                <w:snapToGrid w:val="0"/>
                <w:color w:val="auto"/>
              </w:rPr>
              <w:t>运营期</w:t>
            </w:r>
            <w:r>
              <w:rPr>
                <w:rFonts w:ascii="宋体" w:hAnsi="宋体" w:eastAsia="宋体" w:cs="Times New Roman"/>
                <w:snapToGrid w:val="0"/>
                <w:color w:val="auto"/>
              </w:rPr>
              <w:t>扰民现象的调查</w:t>
            </w:r>
          </w:p>
        </w:tc>
      </w:tr>
      <w:tr w14:paraId="2AC09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40FD3394">
            <w:pPr>
              <w:adjustRightInd w:val="0"/>
              <w:snapToGrid w:val="0"/>
              <w:spacing w:line="360" w:lineRule="exact"/>
              <w:rPr>
                <w:rFonts w:ascii="宋体" w:hAnsi="宋体" w:eastAsia="宋体" w:cs="Times New Roman"/>
                <w:snapToGrid w:val="0"/>
                <w:color w:val="auto"/>
              </w:rPr>
            </w:pPr>
          </w:p>
        </w:tc>
        <w:tc>
          <w:tcPr>
            <w:tcW w:w="6089" w:type="dxa"/>
            <w:vAlign w:val="center"/>
          </w:tcPr>
          <w:p w14:paraId="4CB083E4">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固体废物种类、产生量、处理处置情况、综合利用情况</w:t>
            </w:r>
          </w:p>
        </w:tc>
      </w:tr>
      <w:tr w14:paraId="3AE0C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restart"/>
            <w:vAlign w:val="center"/>
          </w:tcPr>
          <w:p w14:paraId="390CCD35">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污染物达标排放监测</w:t>
            </w:r>
          </w:p>
        </w:tc>
        <w:tc>
          <w:tcPr>
            <w:tcW w:w="6089" w:type="dxa"/>
            <w:vAlign w:val="center"/>
          </w:tcPr>
          <w:p w14:paraId="3B294FA2">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无组织排放烃类气体监测，拉油点储罐加热炉烟气监测</w:t>
            </w:r>
          </w:p>
        </w:tc>
      </w:tr>
      <w:tr w14:paraId="532C1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5CC46EE1">
            <w:pPr>
              <w:adjustRightInd w:val="0"/>
              <w:snapToGrid w:val="0"/>
              <w:spacing w:line="360" w:lineRule="exact"/>
              <w:rPr>
                <w:rFonts w:ascii="宋体" w:hAnsi="宋体" w:eastAsia="宋体" w:cs="Times New Roman"/>
                <w:snapToGrid w:val="0"/>
                <w:color w:val="auto"/>
              </w:rPr>
            </w:pPr>
          </w:p>
        </w:tc>
        <w:tc>
          <w:tcPr>
            <w:tcW w:w="6089" w:type="dxa"/>
            <w:vAlign w:val="center"/>
          </w:tcPr>
          <w:p w14:paraId="76DE8F4B">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厂界噪声达标排放监测</w:t>
            </w:r>
          </w:p>
        </w:tc>
      </w:tr>
      <w:tr w14:paraId="6A0A9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5E65DEE3">
            <w:pPr>
              <w:adjustRightInd w:val="0"/>
              <w:snapToGrid w:val="0"/>
              <w:spacing w:line="360" w:lineRule="exact"/>
              <w:rPr>
                <w:rFonts w:ascii="宋体" w:hAnsi="宋体" w:eastAsia="宋体" w:cs="Times New Roman"/>
                <w:snapToGrid w:val="0"/>
                <w:color w:val="auto"/>
              </w:rPr>
            </w:pPr>
          </w:p>
        </w:tc>
        <w:tc>
          <w:tcPr>
            <w:tcW w:w="6089" w:type="dxa"/>
            <w:vAlign w:val="center"/>
          </w:tcPr>
          <w:p w14:paraId="0524A640">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事故时对大气，地下水、地表水、土壤等进行事故监测</w:t>
            </w:r>
          </w:p>
        </w:tc>
      </w:tr>
      <w:tr w14:paraId="3FBCC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Align w:val="center"/>
          </w:tcPr>
          <w:p w14:paraId="33F96496">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环境保护敏感点环境质量监测</w:t>
            </w:r>
          </w:p>
        </w:tc>
        <w:tc>
          <w:tcPr>
            <w:tcW w:w="6089" w:type="dxa"/>
            <w:vAlign w:val="center"/>
          </w:tcPr>
          <w:p w14:paraId="0194ACFB">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油田开发区域内的地下水以及生态环境质量</w:t>
            </w:r>
          </w:p>
        </w:tc>
      </w:tr>
      <w:tr w14:paraId="0437E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restart"/>
            <w:vAlign w:val="center"/>
          </w:tcPr>
          <w:p w14:paraId="494C1DD6">
            <w:pPr>
              <w:adjustRightInd w:val="0"/>
              <w:snapToGrid w:val="0"/>
              <w:spacing w:line="360" w:lineRule="exact"/>
              <w:jc w:val="center"/>
              <w:rPr>
                <w:rFonts w:ascii="宋体" w:hAnsi="宋体" w:eastAsia="宋体" w:cs="Times New Roman"/>
                <w:snapToGrid w:val="0"/>
                <w:color w:val="auto"/>
              </w:rPr>
            </w:pPr>
            <w:r>
              <w:rPr>
                <w:rFonts w:ascii="宋体" w:hAnsi="宋体" w:eastAsia="宋体" w:cs="Times New Roman"/>
                <w:snapToGrid w:val="0"/>
                <w:color w:val="auto"/>
              </w:rPr>
              <w:t>生态调查主要内容</w:t>
            </w:r>
          </w:p>
        </w:tc>
        <w:tc>
          <w:tcPr>
            <w:tcW w:w="6089" w:type="dxa"/>
            <w:vAlign w:val="center"/>
          </w:tcPr>
          <w:p w14:paraId="0821654D">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项目在施工、</w:t>
            </w:r>
            <w:r>
              <w:rPr>
                <w:rFonts w:hint="eastAsia" w:ascii="宋体" w:hAnsi="宋体" w:eastAsia="宋体" w:cs="Times New Roman"/>
                <w:snapToGrid w:val="0"/>
                <w:color w:val="auto"/>
              </w:rPr>
              <w:t>运营期</w:t>
            </w:r>
            <w:r>
              <w:rPr>
                <w:rFonts w:ascii="宋体" w:hAnsi="宋体" w:eastAsia="宋体" w:cs="Times New Roman"/>
                <w:snapToGrid w:val="0"/>
                <w:color w:val="auto"/>
              </w:rPr>
              <w:t>落实环境影响评价、工程设计文件以及各级环境保护行政主管部门批复文件中生态保护措施的情况</w:t>
            </w:r>
          </w:p>
        </w:tc>
      </w:tr>
      <w:tr w14:paraId="4680D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6F39B52A">
            <w:pPr>
              <w:adjustRightInd w:val="0"/>
              <w:snapToGrid w:val="0"/>
              <w:spacing w:line="360" w:lineRule="exact"/>
              <w:rPr>
                <w:rFonts w:ascii="宋体" w:hAnsi="宋体" w:eastAsia="宋体" w:cs="Times New Roman"/>
                <w:snapToGrid w:val="0"/>
                <w:color w:val="auto"/>
              </w:rPr>
            </w:pPr>
          </w:p>
        </w:tc>
        <w:tc>
          <w:tcPr>
            <w:tcW w:w="6089" w:type="dxa"/>
            <w:vAlign w:val="center"/>
          </w:tcPr>
          <w:p w14:paraId="13E80126">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 xml:space="preserve">落实管道采用沟埋敷设，施工结束后及时有效地对占地区域土地进行平整，并压实；施工时要特别注意保护原始地表与天然植被，划定施工活动范围，严格控制和管理车辆及重型机械的运行范围，所有车辆采用“一”字型作业法，避免并行开辟新路，以减少风蚀沙化活动的范围 </w:t>
            </w:r>
          </w:p>
        </w:tc>
      </w:tr>
      <w:tr w14:paraId="2EAAE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56BAFE08">
            <w:pPr>
              <w:adjustRightInd w:val="0"/>
              <w:snapToGrid w:val="0"/>
              <w:spacing w:line="360" w:lineRule="exact"/>
              <w:rPr>
                <w:rFonts w:ascii="宋体" w:hAnsi="宋体" w:eastAsia="宋体" w:cs="Times New Roman"/>
                <w:snapToGrid w:val="0"/>
                <w:color w:val="auto"/>
              </w:rPr>
            </w:pPr>
          </w:p>
        </w:tc>
        <w:tc>
          <w:tcPr>
            <w:tcW w:w="6089" w:type="dxa"/>
            <w:vAlign w:val="center"/>
          </w:tcPr>
          <w:p w14:paraId="5EB05B49">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平整及恢复</w:t>
            </w:r>
            <w:r>
              <w:rPr>
                <w:rFonts w:hint="eastAsia" w:ascii="宋体" w:hAnsi="宋体" w:eastAsia="宋体" w:cs="Times New Roman"/>
                <w:color w:val="auto"/>
                <w:lang w:bidi="ar"/>
              </w:rPr>
              <w:t>4.46</w:t>
            </w:r>
            <w:r>
              <w:rPr>
                <w:rFonts w:ascii="宋体" w:hAnsi="宋体" w:eastAsia="宋体" w:cs="Times New Roman"/>
                <w:color w:val="auto"/>
                <w:lang w:bidi="ar"/>
              </w:rPr>
              <w:t>hm</w:t>
            </w:r>
            <w:r>
              <w:rPr>
                <w:rFonts w:ascii="宋体" w:hAnsi="宋体" w:eastAsia="宋体" w:cs="Times New Roman"/>
                <w:snapToGrid w:val="0"/>
                <w:color w:val="auto"/>
                <w:vertAlign w:val="superscript"/>
              </w:rPr>
              <w:t>2</w:t>
            </w:r>
            <w:r>
              <w:rPr>
                <w:rFonts w:ascii="宋体" w:hAnsi="宋体" w:eastAsia="宋体" w:cs="Times New Roman"/>
                <w:snapToGrid w:val="0"/>
                <w:color w:val="auto"/>
              </w:rPr>
              <w:t>；补偿</w:t>
            </w:r>
            <w:r>
              <w:rPr>
                <w:rFonts w:hint="eastAsia" w:ascii="宋体" w:hAnsi="宋体" w:eastAsia="宋体" w:cs="Times New Roman"/>
                <w:color w:val="auto"/>
              </w:rPr>
              <w:t>3.254</w:t>
            </w:r>
            <w:r>
              <w:rPr>
                <w:rFonts w:ascii="宋体" w:hAnsi="宋体" w:eastAsia="宋体" w:cs="Times New Roman"/>
                <w:color w:val="auto"/>
              </w:rPr>
              <w:t>hm</w:t>
            </w:r>
            <w:r>
              <w:rPr>
                <w:rFonts w:ascii="宋体" w:hAnsi="宋体" w:eastAsia="宋体" w:cs="Times New Roman"/>
                <w:snapToGrid w:val="0"/>
                <w:color w:val="auto"/>
                <w:vertAlign w:val="superscript"/>
              </w:rPr>
              <w:t>2</w:t>
            </w:r>
          </w:p>
        </w:tc>
      </w:tr>
      <w:tr w14:paraId="72929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2" w:type="dxa"/>
            <w:vMerge w:val="continue"/>
            <w:vAlign w:val="center"/>
          </w:tcPr>
          <w:p w14:paraId="6E38AF5F">
            <w:pPr>
              <w:adjustRightInd w:val="0"/>
              <w:snapToGrid w:val="0"/>
              <w:spacing w:line="360" w:lineRule="exact"/>
              <w:rPr>
                <w:rFonts w:ascii="宋体" w:hAnsi="宋体" w:eastAsia="宋体" w:cs="Times New Roman"/>
                <w:snapToGrid w:val="0"/>
                <w:color w:val="auto"/>
              </w:rPr>
            </w:pPr>
          </w:p>
        </w:tc>
        <w:tc>
          <w:tcPr>
            <w:tcW w:w="6089" w:type="dxa"/>
            <w:vAlign w:val="center"/>
          </w:tcPr>
          <w:p w14:paraId="0FACC873">
            <w:pPr>
              <w:adjustRightInd w:val="0"/>
              <w:snapToGrid w:val="0"/>
              <w:spacing w:line="360" w:lineRule="exact"/>
              <w:rPr>
                <w:rFonts w:ascii="宋体" w:hAnsi="宋体" w:eastAsia="宋体" w:cs="Times New Roman"/>
                <w:snapToGrid w:val="0"/>
                <w:color w:val="auto"/>
              </w:rPr>
            </w:pPr>
            <w:r>
              <w:rPr>
                <w:rFonts w:ascii="宋体" w:hAnsi="宋体" w:eastAsia="宋体" w:cs="Times New Roman"/>
                <w:snapToGrid w:val="0"/>
                <w:color w:val="auto"/>
              </w:rPr>
              <w:t>针对环境破坏或潜在环境影响提出补救措施的落实情况</w:t>
            </w:r>
          </w:p>
        </w:tc>
      </w:t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678"/>
      <w:bookmarkEnd w:id="1679"/>
      <w:bookmarkEnd w:id="1680"/>
    </w:tbl>
    <w:p w14:paraId="7DBE5EE7">
      <w:pPr>
        <w:pStyle w:val="3"/>
        <w:numPr>
          <w:ilvl w:val="0"/>
          <w:numId w:val="15"/>
        </w:numPr>
        <w:spacing w:before="180" w:after="180" w:line="500" w:lineRule="exact"/>
        <w:ind w:left="0" w:firstLine="0"/>
        <w:rPr>
          <w:rFonts w:ascii="宋体" w:hAnsi="宋体" w:eastAsia="宋体"/>
          <w:b w:val="0"/>
          <w:snapToGrid w:val="0"/>
          <w:color w:val="auto"/>
          <w:szCs w:val="30"/>
        </w:rPr>
        <w:sectPr>
          <w:pgSz w:w="11907" w:h="16840"/>
          <w:pgMar w:top="1418" w:right="1418" w:bottom="1418" w:left="1418" w:header="851" w:footer="425" w:gutter="0"/>
          <w:cols w:space="720" w:num="1"/>
          <w:docGrid w:type="lines" w:linePitch="326" w:charSpace="0"/>
        </w:sectPr>
      </w:pPr>
      <w:bookmarkStart w:id="1682" w:name="_Toc480447677"/>
      <w:bookmarkStart w:id="1683" w:name="_Toc502736528"/>
    </w:p>
    <w:p w14:paraId="0B4BB271">
      <w:pPr>
        <w:pStyle w:val="3"/>
        <w:rPr>
          <w:rFonts w:ascii="宋体" w:hAnsi="宋体" w:eastAsia="宋体"/>
          <w:bCs/>
          <w:color w:val="auto"/>
        </w:rPr>
      </w:pPr>
      <w:bookmarkStart w:id="1684" w:name="_Toc212033043"/>
      <w:bookmarkStart w:id="1685" w:name="_Toc9236"/>
      <w:r>
        <w:rPr>
          <w:rFonts w:ascii="宋体" w:hAnsi="宋体" w:eastAsia="宋体"/>
          <w:bCs/>
          <w:color w:val="auto"/>
        </w:rPr>
        <w:t>环境影响经济损益分析</w:t>
      </w:r>
      <w:bookmarkEnd w:id="1682"/>
      <w:bookmarkEnd w:id="1683"/>
      <w:bookmarkEnd w:id="1684"/>
      <w:bookmarkEnd w:id="1685"/>
    </w:p>
    <w:p w14:paraId="72094987">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油田产能项目的开发建设，除对所在区域的经济发展起着促进作用外，也在一定程度上影响着项目拟建地区环境的变化。本评价将通过对拟建项目的经济和环境效益分析，对项目建设的合理性进行分析。</w:t>
      </w:r>
    </w:p>
    <w:p w14:paraId="6956ADE3">
      <w:pPr>
        <w:pStyle w:val="5"/>
        <w:rPr>
          <w:bCs w:val="0"/>
          <w:color w:val="auto"/>
        </w:rPr>
      </w:pPr>
      <w:bookmarkStart w:id="1686" w:name="_Toc212033044"/>
      <w:bookmarkStart w:id="1687" w:name="_Toc9979"/>
      <w:bookmarkStart w:id="1688" w:name="_Toc65426015"/>
      <w:bookmarkStart w:id="1689" w:name="_Toc196215844"/>
      <w:bookmarkStart w:id="1690" w:name="_Toc189535453"/>
      <w:r>
        <w:rPr>
          <w:bCs w:val="0"/>
          <w:color w:val="auto"/>
        </w:rPr>
        <w:t>环境损失费估算</w:t>
      </w:r>
      <w:bookmarkEnd w:id="1686"/>
      <w:bookmarkEnd w:id="1687"/>
      <w:bookmarkEnd w:id="1688"/>
      <w:bookmarkEnd w:id="1689"/>
      <w:bookmarkEnd w:id="1690"/>
    </w:p>
    <w:p w14:paraId="3D59C265">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油田开发过程中，由于井场、拉油点、管道铺设建设等，需要占用一定面积土地，而且由此产生的污染物对周围环境也会造成一定污染，因此引起的环境损失费往往很难直接用经济价值来计算，因此，我们仅用植被损失费和资源损失费来估算。</w:t>
      </w:r>
    </w:p>
    <w:p w14:paraId="378369DE">
      <w:pPr>
        <w:spacing w:line="440" w:lineRule="exact"/>
        <w:ind w:firstLine="480" w:firstLineChars="200"/>
        <w:rPr>
          <w:rFonts w:ascii="宋体" w:hAnsi="宋体" w:eastAsia="宋体" w:cs="Times New Roman"/>
          <w:color w:val="auto"/>
          <w:sz w:val="24"/>
          <w:szCs w:val="36"/>
        </w:rPr>
      </w:pPr>
      <w:r>
        <w:rPr>
          <w:rFonts w:ascii="宋体" w:hAnsi="宋体" w:eastAsia="宋体" w:cs="Times New Roman"/>
          <w:color w:val="auto"/>
          <w:sz w:val="24"/>
          <w:szCs w:val="24"/>
        </w:rPr>
        <w:t>本项目损失主要为草地和耕地的损失，耕地损失包括旱田和水稻田，本项目永久占用耕地</w:t>
      </w:r>
      <w:r>
        <w:rPr>
          <w:rFonts w:hint="eastAsia" w:ascii="宋体" w:hAnsi="宋体" w:eastAsia="宋体" w:cs="Times New Roman"/>
          <w:color w:val="auto"/>
          <w:sz w:val="24"/>
          <w:szCs w:val="24"/>
        </w:rPr>
        <w:t>1.463</w:t>
      </w:r>
      <w:r>
        <w:rPr>
          <w:rFonts w:ascii="宋体" w:hAnsi="宋体" w:eastAsia="宋体" w:cs="Times New Roman"/>
          <w:color w:val="auto"/>
          <w:sz w:val="24"/>
          <w:szCs w:val="24"/>
        </w:rPr>
        <w:t>hm</w:t>
      </w:r>
      <w:r>
        <w:rPr>
          <w:rFonts w:ascii="宋体" w:hAnsi="宋体" w:eastAsia="宋体" w:cs="Times New Roman"/>
          <w:color w:val="auto"/>
          <w:sz w:val="24"/>
          <w:szCs w:val="24"/>
          <w:vertAlign w:val="superscript"/>
        </w:rPr>
        <w:t>2</w:t>
      </w:r>
      <w:r>
        <w:rPr>
          <w:rFonts w:ascii="宋体" w:hAnsi="宋体" w:eastAsia="宋体" w:cs="Times New Roman"/>
          <w:color w:val="auto"/>
          <w:sz w:val="24"/>
          <w:szCs w:val="24"/>
        </w:rPr>
        <w:t>，永久占用草地</w:t>
      </w:r>
      <w:r>
        <w:rPr>
          <w:rFonts w:hint="eastAsia" w:ascii="宋体" w:hAnsi="宋体" w:eastAsia="宋体" w:cs="Times New Roman"/>
          <w:color w:val="auto"/>
          <w:sz w:val="24"/>
          <w:szCs w:val="24"/>
        </w:rPr>
        <w:t>1.791</w:t>
      </w:r>
      <w:r>
        <w:rPr>
          <w:rFonts w:ascii="宋体" w:hAnsi="宋体" w:eastAsia="宋体" w:cs="Times New Roman"/>
          <w:color w:val="auto"/>
          <w:sz w:val="24"/>
          <w:szCs w:val="24"/>
        </w:rPr>
        <w:t>hm</w:t>
      </w:r>
      <w:r>
        <w:rPr>
          <w:rFonts w:ascii="宋体" w:hAnsi="宋体" w:eastAsia="宋体" w:cs="Times New Roman"/>
          <w:color w:val="auto"/>
          <w:sz w:val="24"/>
          <w:szCs w:val="24"/>
          <w:vertAlign w:val="superscript"/>
        </w:rPr>
        <w:t>2</w:t>
      </w:r>
      <w:r>
        <w:rPr>
          <w:rFonts w:ascii="宋体" w:hAnsi="宋体" w:eastAsia="宋体" w:cs="Times New Roman"/>
          <w:color w:val="auto"/>
          <w:sz w:val="24"/>
          <w:szCs w:val="24"/>
        </w:rPr>
        <w:t>，临时占用耕地</w:t>
      </w:r>
      <w:r>
        <w:rPr>
          <w:rFonts w:hint="eastAsia" w:ascii="宋体" w:hAnsi="宋体" w:eastAsia="宋体" w:cs="Times New Roman"/>
          <w:color w:val="auto"/>
          <w:sz w:val="24"/>
          <w:szCs w:val="24"/>
        </w:rPr>
        <w:t>2.7</w:t>
      </w:r>
      <w:r>
        <w:rPr>
          <w:rFonts w:ascii="宋体" w:hAnsi="宋体" w:eastAsia="宋体" w:cs="Times New Roman"/>
          <w:color w:val="auto"/>
          <w:sz w:val="24"/>
          <w:szCs w:val="24"/>
        </w:rPr>
        <w:t>hm</w:t>
      </w:r>
      <w:r>
        <w:rPr>
          <w:rFonts w:ascii="宋体" w:hAnsi="宋体" w:eastAsia="宋体" w:cs="Times New Roman"/>
          <w:color w:val="auto"/>
          <w:sz w:val="24"/>
          <w:szCs w:val="24"/>
          <w:vertAlign w:val="superscript"/>
        </w:rPr>
        <w:t>2</w:t>
      </w:r>
      <w:r>
        <w:rPr>
          <w:rFonts w:ascii="宋体" w:hAnsi="宋体" w:eastAsia="宋体" w:cs="Times New Roman"/>
          <w:color w:val="auto"/>
          <w:sz w:val="24"/>
          <w:szCs w:val="24"/>
        </w:rPr>
        <w:t>，临时占用草地</w:t>
      </w:r>
      <w:r>
        <w:rPr>
          <w:rFonts w:hint="eastAsia" w:ascii="宋体" w:hAnsi="宋体" w:eastAsia="宋体" w:cs="Times New Roman"/>
          <w:color w:val="auto"/>
          <w:sz w:val="24"/>
          <w:szCs w:val="24"/>
        </w:rPr>
        <w:t>1.76</w:t>
      </w:r>
      <w:r>
        <w:rPr>
          <w:rFonts w:ascii="宋体" w:hAnsi="宋体" w:eastAsia="宋体" w:cs="Times New Roman"/>
          <w:color w:val="auto"/>
          <w:sz w:val="24"/>
          <w:szCs w:val="24"/>
        </w:rPr>
        <w:t>hm</w:t>
      </w:r>
      <w:r>
        <w:rPr>
          <w:rFonts w:ascii="宋体" w:hAnsi="宋体" w:eastAsia="宋体" w:cs="Times New Roman"/>
          <w:color w:val="auto"/>
          <w:sz w:val="24"/>
          <w:szCs w:val="24"/>
          <w:vertAlign w:val="superscript"/>
        </w:rPr>
        <w:t>2</w:t>
      </w:r>
      <w:r>
        <w:rPr>
          <w:rFonts w:ascii="宋体" w:hAnsi="宋体" w:eastAsia="宋体" w:cs="Times New Roman"/>
          <w:color w:val="auto"/>
          <w:sz w:val="24"/>
          <w:szCs w:val="24"/>
        </w:rPr>
        <w:t>。旱田农作物主要为玉米，草地为天然草。</w:t>
      </w:r>
    </w:p>
    <w:p w14:paraId="478146EF">
      <w:pPr>
        <w:spacing w:line="440" w:lineRule="exact"/>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根据《大庆市人民政府关于印发大庆市征地青苗补偿费标准的通知》（庆政规〔2021〕1号），大田作物的青苗补偿标准为2.10元/m</w:t>
      </w:r>
      <w:r>
        <w:rPr>
          <w:rFonts w:ascii="宋体" w:hAnsi="宋体" w:eastAsia="宋体" w:cs="Times New Roman"/>
          <w:color w:val="auto"/>
          <w:sz w:val="24"/>
          <w:szCs w:val="24"/>
          <w:vertAlign w:val="superscript"/>
        </w:rPr>
        <w:t>2</w:t>
      </w:r>
      <w:r>
        <w:rPr>
          <w:rFonts w:ascii="宋体" w:hAnsi="宋体" w:eastAsia="宋体" w:cs="Times New Roman"/>
          <w:color w:val="auto"/>
          <w:sz w:val="24"/>
          <w:szCs w:val="24"/>
        </w:rPr>
        <w:t>，天然草的补偿标准为0.37元/m</w:t>
      </w:r>
      <w:r>
        <w:rPr>
          <w:rFonts w:ascii="宋体" w:hAnsi="宋体" w:eastAsia="宋体" w:cs="Times New Roman"/>
          <w:color w:val="auto"/>
          <w:sz w:val="24"/>
          <w:szCs w:val="24"/>
          <w:vertAlign w:val="superscript"/>
        </w:rPr>
        <w:t>2</w:t>
      </w:r>
      <w:r>
        <w:rPr>
          <w:rFonts w:ascii="宋体" w:hAnsi="宋体" w:eastAsia="宋体" w:cs="Times New Roman"/>
          <w:color w:val="auto"/>
          <w:sz w:val="24"/>
          <w:szCs w:val="24"/>
        </w:rPr>
        <w:t>。永久占地生物量损失按照10年计算，施工期结束后对临时占地进行复垦，复垦地由于土壤自然结构的破坏造成的土壤板结、透气性差、肥力下降，可能对农作物的生产产生影响，这种影响预计2～3年可逐渐减弱，并且随着时间的推移最终使农作物恢复到原来的产量，农田在2～3年可恢复生产力，本项目临时占地生物量损失按照按3年计算，本项目永久及临时占地补偿情况见表7.1-1。</w:t>
      </w:r>
    </w:p>
    <w:p w14:paraId="458B1E22">
      <w:pPr>
        <w:pStyle w:val="276"/>
        <w:widowControl w:val="0"/>
        <w:spacing w:line="440" w:lineRule="exact"/>
        <w:ind w:firstLine="0" w:firstLineChars="0"/>
        <w:jc w:val="center"/>
        <w:rPr>
          <w:color w:val="auto"/>
          <w:szCs w:val="22"/>
        </w:rPr>
      </w:pPr>
      <w:r>
        <w:rPr>
          <w:color w:val="auto"/>
          <w:szCs w:val="22"/>
        </w:rPr>
        <w:t>表7.1-1 本项目占地生物量损失的农作物统计</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700"/>
        <w:gridCol w:w="646"/>
        <w:gridCol w:w="1226"/>
        <w:gridCol w:w="1347"/>
        <w:gridCol w:w="1222"/>
        <w:gridCol w:w="1462"/>
        <w:gridCol w:w="1462"/>
      </w:tblGrid>
      <w:tr w14:paraId="22F1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shd w:val="clear" w:color="auto" w:fill="auto"/>
            <w:vAlign w:val="center"/>
          </w:tcPr>
          <w:p w14:paraId="050FD9FE">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占地</w:t>
            </w:r>
          </w:p>
        </w:tc>
        <w:tc>
          <w:tcPr>
            <w:tcW w:w="725" w:type="pct"/>
            <w:gridSpan w:val="2"/>
            <w:shd w:val="clear" w:color="auto" w:fill="auto"/>
            <w:vAlign w:val="center"/>
          </w:tcPr>
          <w:p w14:paraId="4C2A9E5E">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占地类型</w:t>
            </w:r>
          </w:p>
        </w:tc>
        <w:tc>
          <w:tcPr>
            <w:tcW w:w="660" w:type="pct"/>
            <w:shd w:val="clear" w:color="auto" w:fill="auto"/>
            <w:vAlign w:val="center"/>
          </w:tcPr>
          <w:p w14:paraId="1A0A65BA">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占地面积（hm</w:t>
            </w:r>
            <w:r>
              <w:rPr>
                <w:rFonts w:ascii="宋体" w:hAnsi="宋体" w:eastAsia="宋体" w:cs="Times New Roman"/>
                <w:color w:val="auto"/>
                <w:vertAlign w:val="superscript"/>
                <w:lang w:val="zh-CN"/>
              </w:rPr>
              <w:t>2</w:t>
            </w:r>
            <w:r>
              <w:rPr>
                <w:rFonts w:ascii="宋体" w:hAnsi="宋体" w:eastAsia="宋体" w:cs="Times New Roman"/>
                <w:color w:val="auto"/>
                <w:lang w:val="zh-CN"/>
              </w:rPr>
              <w:t>）</w:t>
            </w:r>
          </w:p>
        </w:tc>
        <w:tc>
          <w:tcPr>
            <w:tcW w:w="725" w:type="pct"/>
            <w:shd w:val="clear" w:color="auto" w:fill="auto"/>
            <w:vAlign w:val="center"/>
          </w:tcPr>
          <w:p w14:paraId="1BED416D">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补偿标准（</w:t>
            </w:r>
            <w:r>
              <w:rPr>
                <w:rFonts w:ascii="宋体" w:hAnsi="宋体" w:eastAsia="宋体" w:cs="Times New Roman"/>
                <w:color w:val="auto"/>
              </w:rPr>
              <w:t>元/m</w:t>
            </w:r>
            <w:r>
              <w:rPr>
                <w:rFonts w:ascii="宋体" w:hAnsi="宋体" w:eastAsia="宋体" w:cs="Times New Roman"/>
                <w:color w:val="auto"/>
                <w:vertAlign w:val="superscript"/>
              </w:rPr>
              <w:t>2</w:t>
            </w:r>
            <w:r>
              <w:rPr>
                <w:rFonts w:ascii="宋体" w:hAnsi="宋体" w:eastAsia="宋体" w:cs="Times New Roman"/>
                <w:color w:val="auto"/>
                <w:lang w:val="zh-CN"/>
              </w:rPr>
              <w:t>）</w:t>
            </w:r>
          </w:p>
        </w:tc>
        <w:tc>
          <w:tcPr>
            <w:tcW w:w="658" w:type="pct"/>
            <w:shd w:val="clear" w:color="auto" w:fill="auto"/>
            <w:vAlign w:val="center"/>
          </w:tcPr>
          <w:p w14:paraId="77F3B68E">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生物量损失年限（年）</w:t>
            </w:r>
          </w:p>
        </w:tc>
        <w:tc>
          <w:tcPr>
            <w:tcW w:w="787" w:type="pct"/>
            <w:shd w:val="clear" w:color="auto" w:fill="auto"/>
            <w:vAlign w:val="center"/>
          </w:tcPr>
          <w:p w14:paraId="5BAF5C1F">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损失补偿费用（万元）</w:t>
            </w:r>
          </w:p>
        </w:tc>
        <w:tc>
          <w:tcPr>
            <w:tcW w:w="787" w:type="pct"/>
            <w:shd w:val="clear" w:color="auto" w:fill="auto"/>
            <w:vAlign w:val="center"/>
          </w:tcPr>
          <w:p w14:paraId="716DF8E3">
            <w:pPr>
              <w:adjustRightInd w:val="0"/>
              <w:snapToGrid w:val="0"/>
              <w:jc w:val="center"/>
              <w:rPr>
                <w:rFonts w:ascii="宋体" w:hAnsi="宋体" w:eastAsia="宋体" w:cs="Times New Roman"/>
                <w:color w:val="auto"/>
              </w:rPr>
            </w:pPr>
            <w:r>
              <w:rPr>
                <w:rFonts w:hint="eastAsia" w:ascii="宋体" w:hAnsi="宋体" w:eastAsia="宋体" w:cs="Times New Roman"/>
                <w:color w:val="auto"/>
              </w:rPr>
              <w:t>合计</w:t>
            </w:r>
            <w:r>
              <w:rPr>
                <w:rFonts w:ascii="宋体" w:hAnsi="宋体" w:eastAsia="宋体" w:cs="Times New Roman"/>
                <w:color w:val="auto"/>
                <w:lang w:val="zh-CN"/>
              </w:rPr>
              <w:t>（万元）</w:t>
            </w:r>
          </w:p>
        </w:tc>
      </w:tr>
      <w:tr w14:paraId="2080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shd w:val="clear" w:color="auto" w:fill="auto"/>
            <w:vAlign w:val="center"/>
          </w:tcPr>
          <w:p w14:paraId="38B67252">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永久占地</w:t>
            </w:r>
          </w:p>
        </w:tc>
        <w:tc>
          <w:tcPr>
            <w:tcW w:w="377" w:type="pct"/>
            <w:shd w:val="clear" w:color="auto" w:fill="auto"/>
            <w:vAlign w:val="center"/>
          </w:tcPr>
          <w:p w14:paraId="4A4C8828">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耕地</w:t>
            </w:r>
          </w:p>
        </w:tc>
        <w:tc>
          <w:tcPr>
            <w:tcW w:w="348" w:type="pct"/>
            <w:shd w:val="clear" w:color="auto" w:fill="auto"/>
            <w:vAlign w:val="center"/>
          </w:tcPr>
          <w:p w14:paraId="75105499">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旱田</w:t>
            </w:r>
          </w:p>
        </w:tc>
        <w:tc>
          <w:tcPr>
            <w:tcW w:w="660" w:type="pct"/>
            <w:shd w:val="clear" w:color="auto" w:fill="auto"/>
            <w:vAlign w:val="center"/>
          </w:tcPr>
          <w:p w14:paraId="0E8A6B45">
            <w:pPr>
              <w:adjustRightInd w:val="0"/>
              <w:snapToGrid w:val="0"/>
              <w:jc w:val="center"/>
              <w:rPr>
                <w:rFonts w:ascii="宋体" w:hAnsi="宋体" w:eastAsia="宋体" w:cs="Times New Roman"/>
                <w:color w:val="auto"/>
              </w:rPr>
            </w:pPr>
            <w:r>
              <w:rPr>
                <w:rFonts w:hint="eastAsia" w:ascii="宋体" w:hAnsi="宋体" w:eastAsia="宋体" w:cs="Times New Roman"/>
                <w:color w:val="auto"/>
              </w:rPr>
              <w:t>1.463</w:t>
            </w:r>
          </w:p>
        </w:tc>
        <w:tc>
          <w:tcPr>
            <w:tcW w:w="725" w:type="pct"/>
            <w:shd w:val="clear" w:color="auto" w:fill="auto"/>
            <w:vAlign w:val="center"/>
          </w:tcPr>
          <w:p w14:paraId="6F41E8F1">
            <w:pPr>
              <w:adjustRightInd w:val="0"/>
              <w:snapToGrid w:val="0"/>
              <w:jc w:val="center"/>
              <w:rPr>
                <w:rFonts w:ascii="宋体" w:hAnsi="宋体" w:eastAsia="宋体" w:cs="Times New Roman"/>
                <w:color w:val="auto"/>
              </w:rPr>
            </w:pPr>
            <w:r>
              <w:rPr>
                <w:rFonts w:ascii="宋体" w:hAnsi="宋体" w:eastAsia="宋体" w:cs="Times New Roman"/>
                <w:color w:val="auto"/>
              </w:rPr>
              <w:t>2.10</w:t>
            </w:r>
          </w:p>
        </w:tc>
        <w:tc>
          <w:tcPr>
            <w:tcW w:w="658" w:type="pct"/>
            <w:shd w:val="clear" w:color="auto" w:fill="auto"/>
            <w:vAlign w:val="center"/>
          </w:tcPr>
          <w:p w14:paraId="4E924C34">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10</w:t>
            </w:r>
          </w:p>
        </w:tc>
        <w:tc>
          <w:tcPr>
            <w:tcW w:w="787" w:type="pct"/>
            <w:shd w:val="clear" w:color="auto" w:fill="auto"/>
            <w:vAlign w:val="center"/>
          </w:tcPr>
          <w:p w14:paraId="5D823B09">
            <w:pPr>
              <w:adjustRightInd w:val="0"/>
              <w:snapToGrid w:val="0"/>
              <w:jc w:val="center"/>
              <w:rPr>
                <w:rFonts w:ascii="宋体" w:hAnsi="宋体" w:eastAsia="宋体" w:cs="Times New Roman"/>
                <w:color w:val="auto"/>
                <w:lang w:val="zh-CN"/>
              </w:rPr>
            </w:pPr>
            <w:r>
              <w:rPr>
                <w:rFonts w:hint="eastAsia" w:ascii="宋体" w:hAnsi="宋体" w:eastAsia="宋体" w:cs="Times New Roman"/>
                <w:color w:val="auto"/>
              </w:rPr>
              <w:t xml:space="preserve">30.72 </w:t>
            </w:r>
          </w:p>
        </w:tc>
        <w:tc>
          <w:tcPr>
            <w:tcW w:w="787" w:type="pct"/>
            <w:vMerge w:val="restart"/>
            <w:shd w:val="clear" w:color="auto" w:fill="auto"/>
            <w:vAlign w:val="center"/>
          </w:tcPr>
          <w:p w14:paraId="681FA16F">
            <w:pPr>
              <w:adjustRightInd w:val="0"/>
              <w:snapToGrid w:val="0"/>
              <w:jc w:val="center"/>
              <w:rPr>
                <w:rFonts w:ascii="宋体" w:hAnsi="宋体" w:eastAsia="宋体" w:cs="Times New Roman"/>
                <w:color w:val="auto"/>
              </w:rPr>
            </w:pPr>
            <w:r>
              <w:rPr>
                <w:rFonts w:hint="eastAsia" w:ascii="宋体" w:hAnsi="宋体" w:eastAsia="宋体" w:cs="Times New Roman"/>
                <w:color w:val="auto"/>
              </w:rPr>
              <w:t>37.35</w:t>
            </w:r>
          </w:p>
        </w:tc>
      </w:tr>
      <w:tr w14:paraId="534A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vAlign w:val="center"/>
          </w:tcPr>
          <w:p w14:paraId="0FC3C7D8">
            <w:pPr>
              <w:adjustRightInd w:val="0"/>
              <w:snapToGrid w:val="0"/>
              <w:jc w:val="center"/>
              <w:rPr>
                <w:rFonts w:ascii="宋体" w:hAnsi="宋体" w:eastAsia="宋体" w:cs="Times New Roman"/>
                <w:color w:val="auto"/>
                <w:lang w:val="zh-CN"/>
              </w:rPr>
            </w:pPr>
          </w:p>
        </w:tc>
        <w:tc>
          <w:tcPr>
            <w:tcW w:w="725" w:type="pct"/>
            <w:gridSpan w:val="2"/>
            <w:shd w:val="clear" w:color="auto" w:fill="auto"/>
            <w:vAlign w:val="center"/>
          </w:tcPr>
          <w:p w14:paraId="64D67452">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草地</w:t>
            </w:r>
          </w:p>
        </w:tc>
        <w:tc>
          <w:tcPr>
            <w:tcW w:w="660" w:type="pct"/>
            <w:shd w:val="clear" w:color="auto" w:fill="auto"/>
            <w:vAlign w:val="center"/>
          </w:tcPr>
          <w:p w14:paraId="1239593D">
            <w:pPr>
              <w:adjustRightInd w:val="0"/>
              <w:snapToGrid w:val="0"/>
              <w:jc w:val="center"/>
              <w:rPr>
                <w:rFonts w:ascii="宋体" w:hAnsi="宋体" w:eastAsia="宋体" w:cs="Times New Roman"/>
                <w:color w:val="auto"/>
              </w:rPr>
            </w:pPr>
            <w:r>
              <w:rPr>
                <w:rFonts w:hint="eastAsia" w:ascii="宋体" w:hAnsi="宋体" w:eastAsia="宋体" w:cs="Times New Roman"/>
                <w:color w:val="auto"/>
              </w:rPr>
              <w:t>1.791</w:t>
            </w:r>
          </w:p>
        </w:tc>
        <w:tc>
          <w:tcPr>
            <w:tcW w:w="725" w:type="pct"/>
            <w:shd w:val="clear" w:color="auto" w:fill="auto"/>
            <w:vAlign w:val="center"/>
          </w:tcPr>
          <w:p w14:paraId="3D213EC5">
            <w:pPr>
              <w:adjustRightInd w:val="0"/>
              <w:snapToGrid w:val="0"/>
              <w:jc w:val="center"/>
              <w:rPr>
                <w:rFonts w:ascii="宋体" w:hAnsi="宋体" w:eastAsia="宋体" w:cs="Times New Roman"/>
                <w:color w:val="auto"/>
              </w:rPr>
            </w:pPr>
            <w:r>
              <w:rPr>
                <w:rFonts w:ascii="宋体" w:hAnsi="宋体" w:eastAsia="宋体" w:cs="Times New Roman"/>
                <w:color w:val="auto"/>
              </w:rPr>
              <w:t>0.37</w:t>
            </w:r>
          </w:p>
        </w:tc>
        <w:tc>
          <w:tcPr>
            <w:tcW w:w="658" w:type="pct"/>
            <w:shd w:val="clear" w:color="auto" w:fill="auto"/>
            <w:vAlign w:val="center"/>
          </w:tcPr>
          <w:p w14:paraId="3F71DB97">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10</w:t>
            </w:r>
          </w:p>
        </w:tc>
        <w:tc>
          <w:tcPr>
            <w:tcW w:w="787" w:type="pct"/>
            <w:shd w:val="clear" w:color="auto" w:fill="auto"/>
            <w:vAlign w:val="center"/>
          </w:tcPr>
          <w:p w14:paraId="0E020966">
            <w:pPr>
              <w:adjustRightInd w:val="0"/>
              <w:snapToGrid w:val="0"/>
              <w:jc w:val="center"/>
              <w:rPr>
                <w:rFonts w:ascii="宋体" w:hAnsi="宋体" w:eastAsia="宋体" w:cs="Times New Roman"/>
                <w:color w:val="auto"/>
                <w:lang w:val="zh-CN"/>
              </w:rPr>
            </w:pPr>
            <w:r>
              <w:rPr>
                <w:rFonts w:hint="eastAsia" w:ascii="宋体" w:hAnsi="宋体" w:eastAsia="宋体" w:cs="Times New Roman"/>
                <w:color w:val="auto"/>
              </w:rPr>
              <w:t xml:space="preserve">6.63 </w:t>
            </w:r>
          </w:p>
        </w:tc>
        <w:tc>
          <w:tcPr>
            <w:tcW w:w="787" w:type="pct"/>
            <w:vMerge w:val="continue"/>
            <w:shd w:val="clear" w:color="auto" w:fill="auto"/>
            <w:vAlign w:val="center"/>
          </w:tcPr>
          <w:p w14:paraId="7F2F43DA">
            <w:pPr>
              <w:adjustRightInd w:val="0"/>
              <w:snapToGrid w:val="0"/>
              <w:jc w:val="center"/>
              <w:rPr>
                <w:rFonts w:ascii="宋体" w:hAnsi="宋体" w:eastAsia="宋体" w:cs="Times New Roman"/>
                <w:color w:val="auto"/>
              </w:rPr>
            </w:pPr>
          </w:p>
        </w:tc>
      </w:tr>
      <w:tr w14:paraId="5A8D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restart"/>
            <w:shd w:val="clear" w:color="auto" w:fill="auto"/>
            <w:vAlign w:val="center"/>
          </w:tcPr>
          <w:p w14:paraId="7C4F3B56">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临时占地</w:t>
            </w:r>
          </w:p>
        </w:tc>
        <w:tc>
          <w:tcPr>
            <w:tcW w:w="377" w:type="pct"/>
            <w:shd w:val="clear" w:color="auto" w:fill="auto"/>
            <w:vAlign w:val="center"/>
          </w:tcPr>
          <w:p w14:paraId="06A4596B">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耕地</w:t>
            </w:r>
          </w:p>
        </w:tc>
        <w:tc>
          <w:tcPr>
            <w:tcW w:w="348" w:type="pct"/>
            <w:shd w:val="clear" w:color="auto" w:fill="auto"/>
            <w:vAlign w:val="center"/>
          </w:tcPr>
          <w:p w14:paraId="6A07050E">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旱田</w:t>
            </w:r>
          </w:p>
        </w:tc>
        <w:tc>
          <w:tcPr>
            <w:tcW w:w="660" w:type="pct"/>
            <w:shd w:val="clear" w:color="auto" w:fill="auto"/>
            <w:vAlign w:val="center"/>
          </w:tcPr>
          <w:p w14:paraId="2A59EA37">
            <w:pPr>
              <w:adjustRightInd w:val="0"/>
              <w:snapToGrid w:val="0"/>
              <w:jc w:val="center"/>
              <w:rPr>
                <w:rFonts w:ascii="宋体" w:hAnsi="宋体" w:eastAsia="宋体" w:cs="Times New Roman"/>
                <w:color w:val="auto"/>
              </w:rPr>
            </w:pPr>
            <w:r>
              <w:rPr>
                <w:rFonts w:hint="eastAsia" w:ascii="宋体" w:hAnsi="宋体" w:eastAsia="宋体" w:cs="Times New Roman"/>
                <w:color w:val="auto"/>
                <w:lang w:bidi="ar"/>
              </w:rPr>
              <w:t>2.7</w:t>
            </w:r>
          </w:p>
        </w:tc>
        <w:tc>
          <w:tcPr>
            <w:tcW w:w="725" w:type="pct"/>
            <w:shd w:val="clear" w:color="auto" w:fill="auto"/>
            <w:vAlign w:val="center"/>
          </w:tcPr>
          <w:p w14:paraId="567B0AAF">
            <w:pPr>
              <w:adjustRightInd w:val="0"/>
              <w:snapToGrid w:val="0"/>
              <w:jc w:val="center"/>
              <w:rPr>
                <w:rFonts w:ascii="宋体" w:hAnsi="宋体" w:eastAsia="宋体" w:cs="Times New Roman"/>
                <w:color w:val="auto"/>
              </w:rPr>
            </w:pPr>
            <w:r>
              <w:rPr>
                <w:rFonts w:ascii="宋体" w:hAnsi="宋体" w:eastAsia="宋体" w:cs="Times New Roman"/>
                <w:color w:val="auto"/>
              </w:rPr>
              <w:t>2.10</w:t>
            </w:r>
          </w:p>
        </w:tc>
        <w:tc>
          <w:tcPr>
            <w:tcW w:w="658" w:type="pct"/>
            <w:shd w:val="clear" w:color="auto" w:fill="auto"/>
            <w:vAlign w:val="center"/>
          </w:tcPr>
          <w:p w14:paraId="4955B916">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3</w:t>
            </w:r>
          </w:p>
        </w:tc>
        <w:tc>
          <w:tcPr>
            <w:tcW w:w="787" w:type="pct"/>
            <w:shd w:val="clear" w:color="auto" w:fill="auto"/>
            <w:vAlign w:val="center"/>
          </w:tcPr>
          <w:p w14:paraId="78AA4ED7">
            <w:pPr>
              <w:adjustRightInd w:val="0"/>
              <w:snapToGrid w:val="0"/>
              <w:jc w:val="center"/>
              <w:rPr>
                <w:rFonts w:ascii="宋体" w:hAnsi="宋体" w:eastAsia="宋体" w:cs="Times New Roman"/>
                <w:color w:val="auto"/>
                <w:lang w:val="zh-CN"/>
              </w:rPr>
            </w:pPr>
            <w:r>
              <w:rPr>
                <w:rFonts w:hint="eastAsia" w:ascii="宋体" w:hAnsi="宋体" w:eastAsia="宋体" w:cs="Times New Roman"/>
                <w:color w:val="auto"/>
              </w:rPr>
              <w:t xml:space="preserve">17.01 </w:t>
            </w:r>
          </w:p>
        </w:tc>
        <w:tc>
          <w:tcPr>
            <w:tcW w:w="787" w:type="pct"/>
            <w:vMerge w:val="restart"/>
            <w:shd w:val="clear" w:color="auto" w:fill="auto"/>
            <w:vAlign w:val="center"/>
          </w:tcPr>
          <w:p w14:paraId="389F83BE">
            <w:pPr>
              <w:adjustRightInd w:val="0"/>
              <w:snapToGrid w:val="0"/>
              <w:jc w:val="center"/>
              <w:rPr>
                <w:rFonts w:ascii="宋体" w:hAnsi="宋体" w:eastAsia="宋体" w:cs="Times New Roman"/>
                <w:color w:val="auto"/>
              </w:rPr>
            </w:pPr>
            <w:r>
              <w:rPr>
                <w:rFonts w:hint="eastAsia" w:ascii="宋体" w:hAnsi="宋体" w:eastAsia="宋体" w:cs="Times New Roman"/>
                <w:color w:val="auto"/>
              </w:rPr>
              <w:t>18.96</w:t>
            </w:r>
          </w:p>
        </w:tc>
      </w:tr>
      <w:tr w14:paraId="4D61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pct"/>
            <w:vMerge w:val="continue"/>
            <w:shd w:val="clear" w:color="auto" w:fill="auto"/>
            <w:vAlign w:val="center"/>
          </w:tcPr>
          <w:p w14:paraId="125A0910">
            <w:pPr>
              <w:adjustRightInd w:val="0"/>
              <w:snapToGrid w:val="0"/>
              <w:jc w:val="center"/>
              <w:rPr>
                <w:rFonts w:ascii="宋体" w:hAnsi="宋体" w:eastAsia="宋体" w:cs="Times New Roman"/>
                <w:color w:val="auto"/>
                <w:lang w:val="zh-CN"/>
              </w:rPr>
            </w:pPr>
          </w:p>
        </w:tc>
        <w:tc>
          <w:tcPr>
            <w:tcW w:w="725" w:type="pct"/>
            <w:gridSpan w:val="2"/>
            <w:shd w:val="clear" w:color="auto" w:fill="auto"/>
            <w:vAlign w:val="center"/>
          </w:tcPr>
          <w:p w14:paraId="231A6256">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草地</w:t>
            </w:r>
          </w:p>
        </w:tc>
        <w:tc>
          <w:tcPr>
            <w:tcW w:w="660" w:type="pct"/>
            <w:shd w:val="clear" w:color="auto" w:fill="auto"/>
            <w:vAlign w:val="center"/>
          </w:tcPr>
          <w:p w14:paraId="463B4792">
            <w:pPr>
              <w:adjustRightInd w:val="0"/>
              <w:snapToGrid w:val="0"/>
              <w:jc w:val="center"/>
              <w:rPr>
                <w:rFonts w:ascii="宋体" w:hAnsi="宋体" w:eastAsia="宋体" w:cs="Times New Roman"/>
                <w:color w:val="auto"/>
              </w:rPr>
            </w:pPr>
            <w:r>
              <w:rPr>
                <w:rFonts w:hint="eastAsia" w:ascii="宋体" w:hAnsi="宋体" w:eastAsia="宋体" w:cs="Times New Roman"/>
                <w:color w:val="auto"/>
                <w:lang w:bidi="ar"/>
              </w:rPr>
              <w:t>1.76</w:t>
            </w:r>
          </w:p>
        </w:tc>
        <w:tc>
          <w:tcPr>
            <w:tcW w:w="725" w:type="pct"/>
            <w:shd w:val="clear" w:color="auto" w:fill="auto"/>
            <w:vAlign w:val="center"/>
          </w:tcPr>
          <w:p w14:paraId="6B358D12">
            <w:pPr>
              <w:adjustRightInd w:val="0"/>
              <w:snapToGrid w:val="0"/>
              <w:jc w:val="center"/>
              <w:rPr>
                <w:rFonts w:ascii="宋体" w:hAnsi="宋体" w:eastAsia="宋体" w:cs="Times New Roman"/>
                <w:color w:val="auto"/>
              </w:rPr>
            </w:pPr>
            <w:r>
              <w:rPr>
                <w:rFonts w:ascii="宋体" w:hAnsi="宋体" w:eastAsia="宋体" w:cs="Times New Roman"/>
                <w:color w:val="auto"/>
              </w:rPr>
              <w:t>0.37</w:t>
            </w:r>
          </w:p>
        </w:tc>
        <w:tc>
          <w:tcPr>
            <w:tcW w:w="658" w:type="pct"/>
            <w:shd w:val="clear" w:color="auto" w:fill="auto"/>
            <w:vAlign w:val="center"/>
          </w:tcPr>
          <w:p w14:paraId="0071CE00">
            <w:pPr>
              <w:adjustRightInd w:val="0"/>
              <w:snapToGrid w:val="0"/>
              <w:jc w:val="center"/>
              <w:rPr>
                <w:rFonts w:ascii="宋体" w:hAnsi="宋体" w:eastAsia="宋体" w:cs="Times New Roman"/>
                <w:color w:val="auto"/>
                <w:lang w:val="zh-CN"/>
              </w:rPr>
            </w:pPr>
            <w:r>
              <w:rPr>
                <w:rFonts w:ascii="宋体" w:hAnsi="宋体" w:eastAsia="宋体" w:cs="Times New Roman"/>
                <w:color w:val="auto"/>
                <w:lang w:val="zh-CN"/>
              </w:rPr>
              <w:t>3</w:t>
            </w:r>
          </w:p>
        </w:tc>
        <w:tc>
          <w:tcPr>
            <w:tcW w:w="787" w:type="pct"/>
            <w:shd w:val="clear" w:color="auto" w:fill="auto"/>
            <w:vAlign w:val="center"/>
          </w:tcPr>
          <w:p w14:paraId="28F87D30">
            <w:pPr>
              <w:adjustRightInd w:val="0"/>
              <w:snapToGrid w:val="0"/>
              <w:jc w:val="center"/>
              <w:rPr>
                <w:rFonts w:ascii="宋体" w:hAnsi="宋体" w:eastAsia="宋体" w:cs="Times New Roman"/>
                <w:color w:val="auto"/>
                <w:lang w:val="zh-CN"/>
              </w:rPr>
            </w:pPr>
            <w:r>
              <w:rPr>
                <w:rFonts w:hint="eastAsia" w:ascii="宋体" w:hAnsi="宋体" w:eastAsia="宋体" w:cs="Times New Roman"/>
                <w:color w:val="auto"/>
              </w:rPr>
              <w:t xml:space="preserve">1.95 </w:t>
            </w:r>
          </w:p>
        </w:tc>
        <w:tc>
          <w:tcPr>
            <w:tcW w:w="787" w:type="pct"/>
            <w:vMerge w:val="continue"/>
            <w:shd w:val="clear" w:color="auto" w:fill="auto"/>
            <w:vAlign w:val="center"/>
          </w:tcPr>
          <w:p w14:paraId="5FE77433">
            <w:pPr>
              <w:adjustRightInd w:val="0"/>
              <w:snapToGrid w:val="0"/>
              <w:jc w:val="center"/>
              <w:rPr>
                <w:rFonts w:ascii="宋体" w:hAnsi="宋体" w:eastAsia="宋体" w:cs="Times New Roman"/>
                <w:color w:val="auto"/>
              </w:rPr>
            </w:pPr>
          </w:p>
        </w:tc>
      </w:tr>
    </w:tbl>
    <w:p w14:paraId="3AD315EA">
      <w:pPr>
        <w:spacing w:line="440" w:lineRule="exact"/>
        <w:ind w:firstLine="480" w:firstLineChars="200"/>
        <w:rPr>
          <w:rFonts w:ascii="宋体" w:hAnsi="宋体" w:eastAsia="宋体"/>
          <w:color w:val="auto"/>
          <w:sz w:val="24"/>
          <w:szCs w:val="32"/>
        </w:rPr>
      </w:pPr>
      <w:r>
        <w:rPr>
          <w:rFonts w:ascii="宋体" w:hAnsi="宋体" w:eastAsia="宋体"/>
          <w:color w:val="auto"/>
          <w:sz w:val="24"/>
          <w:szCs w:val="32"/>
        </w:rPr>
        <w:t>由以上可知，本项目永久占地生物量损失费为</w:t>
      </w:r>
      <w:r>
        <w:rPr>
          <w:rFonts w:hint="eastAsia" w:ascii="宋体" w:hAnsi="宋体" w:eastAsia="宋体"/>
          <w:color w:val="auto"/>
          <w:sz w:val="24"/>
          <w:szCs w:val="32"/>
        </w:rPr>
        <w:t>37.35</w:t>
      </w:r>
      <w:r>
        <w:rPr>
          <w:rFonts w:ascii="宋体" w:hAnsi="宋体" w:eastAsia="宋体"/>
          <w:color w:val="auto"/>
          <w:sz w:val="24"/>
          <w:szCs w:val="32"/>
        </w:rPr>
        <w:t>万元，临时占地生物量损失费为</w:t>
      </w:r>
      <w:r>
        <w:rPr>
          <w:rFonts w:hint="eastAsia" w:ascii="宋体" w:hAnsi="宋体" w:eastAsia="宋体"/>
          <w:color w:val="auto"/>
          <w:sz w:val="24"/>
          <w:szCs w:val="32"/>
        </w:rPr>
        <w:t>18.96</w:t>
      </w:r>
      <w:r>
        <w:rPr>
          <w:rFonts w:ascii="宋体" w:hAnsi="宋体" w:eastAsia="宋体"/>
          <w:color w:val="auto"/>
          <w:sz w:val="24"/>
          <w:szCs w:val="32"/>
        </w:rPr>
        <w:t>万元，投产十年间生物量损失</w:t>
      </w:r>
      <w:r>
        <w:rPr>
          <w:rFonts w:hint="eastAsia" w:ascii="宋体" w:hAnsi="宋体" w:eastAsia="宋体"/>
          <w:color w:val="auto"/>
          <w:sz w:val="24"/>
          <w:szCs w:val="32"/>
        </w:rPr>
        <w:t>56.71</w:t>
      </w:r>
      <w:r>
        <w:rPr>
          <w:rFonts w:ascii="宋体" w:hAnsi="宋体" w:eastAsia="宋体"/>
          <w:color w:val="auto"/>
          <w:sz w:val="24"/>
          <w:szCs w:val="32"/>
        </w:rPr>
        <w:t>万元。</w:t>
      </w:r>
    </w:p>
    <w:p w14:paraId="4EFC96F0">
      <w:pPr>
        <w:pStyle w:val="5"/>
        <w:rPr>
          <w:bCs w:val="0"/>
          <w:color w:val="auto"/>
        </w:rPr>
      </w:pPr>
      <w:bookmarkStart w:id="1691" w:name="_Toc196215845"/>
      <w:bookmarkStart w:id="1692" w:name="_Toc65426016"/>
      <w:bookmarkStart w:id="1693" w:name="_Toc189535454"/>
      <w:bookmarkStart w:id="1694" w:name="_Toc212033045"/>
      <w:bookmarkStart w:id="1695" w:name="_Toc9119"/>
      <w:r>
        <w:rPr>
          <w:bCs w:val="0"/>
          <w:color w:val="auto"/>
        </w:rPr>
        <w:t>环保投资估算及环境效益分析</w:t>
      </w:r>
      <w:bookmarkEnd w:id="1691"/>
      <w:bookmarkEnd w:id="1692"/>
      <w:bookmarkEnd w:id="1693"/>
      <w:bookmarkEnd w:id="1694"/>
      <w:bookmarkEnd w:id="1695"/>
    </w:p>
    <w:p w14:paraId="4B37425D">
      <w:pPr>
        <w:pStyle w:val="6"/>
        <w:rPr>
          <w:color w:val="auto"/>
        </w:rPr>
      </w:pPr>
      <w:bookmarkStart w:id="1696" w:name="_Toc196215846"/>
      <w:bookmarkStart w:id="1697" w:name="_Toc80971478"/>
      <w:bookmarkStart w:id="1698" w:name="_Toc78816561"/>
      <w:bookmarkStart w:id="1699" w:name="_Toc67860239"/>
      <w:bookmarkStart w:id="1700" w:name="_Toc77067759"/>
      <w:bookmarkStart w:id="1701" w:name="_Toc76976348"/>
      <w:bookmarkStart w:id="1702" w:name="_Toc127192438"/>
      <w:bookmarkStart w:id="1703" w:name="_Toc80588356"/>
      <w:bookmarkStart w:id="1704" w:name="_Toc126863489"/>
      <w:bookmarkStart w:id="1705" w:name="_Toc131167390"/>
      <w:bookmarkStart w:id="1706" w:name="_Toc143099677"/>
      <w:bookmarkStart w:id="1707" w:name="_Toc84929333"/>
      <w:bookmarkStart w:id="1708" w:name="_Toc85640857"/>
      <w:bookmarkStart w:id="1709" w:name="_Toc83209578"/>
      <w:bookmarkStart w:id="1710" w:name="_Toc70050286"/>
      <w:bookmarkStart w:id="1711" w:name="_Toc86142032"/>
      <w:r>
        <w:rPr>
          <w:color w:val="auto"/>
        </w:rPr>
        <w:t>环保投资估算</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14:paraId="21F9C71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本项目总投资</w:t>
      </w:r>
      <w:r>
        <w:rPr>
          <w:rFonts w:hint="eastAsia" w:ascii="宋体" w:hAnsi="宋体" w:eastAsia="宋体" w:cs="Times New Roman"/>
          <w:color w:val="auto"/>
          <w:kern w:val="21"/>
          <w:sz w:val="24"/>
          <w:szCs w:val="24"/>
        </w:rPr>
        <w:t>13156</w:t>
      </w:r>
      <w:r>
        <w:rPr>
          <w:rFonts w:ascii="宋体" w:hAnsi="宋体" w:eastAsia="宋体" w:cs="Times New Roman"/>
          <w:color w:val="auto"/>
          <w:kern w:val="21"/>
          <w:sz w:val="24"/>
          <w:szCs w:val="24"/>
        </w:rPr>
        <w:t>万元，其中环保投资</w:t>
      </w:r>
      <w:r>
        <w:rPr>
          <w:rFonts w:hint="eastAsia" w:ascii="宋体" w:hAnsi="宋体" w:eastAsia="宋体" w:cs="Times New Roman"/>
          <w:color w:val="auto"/>
          <w:kern w:val="21"/>
          <w:sz w:val="24"/>
          <w:szCs w:val="24"/>
        </w:rPr>
        <w:t>87.82</w:t>
      </w:r>
      <w:r>
        <w:rPr>
          <w:rFonts w:ascii="宋体" w:hAnsi="宋体" w:eastAsia="宋体" w:cs="Times New Roman"/>
          <w:color w:val="auto"/>
          <w:kern w:val="21"/>
          <w:sz w:val="24"/>
          <w:szCs w:val="24"/>
        </w:rPr>
        <w:t>万元，环保投资占总投资的</w:t>
      </w:r>
      <w:r>
        <w:rPr>
          <w:rFonts w:hint="eastAsia" w:ascii="宋体" w:hAnsi="宋体" w:eastAsia="宋体" w:cs="Times New Roman"/>
          <w:color w:val="auto"/>
          <w:kern w:val="21"/>
          <w:sz w:val="24"/>
          <w:szCs w:val="24"/>
        </w:rPr>
        <w:t>0.67%</w:t>
      </w:r>
      <w:r>
        <w:rPr>
          <w:rFonts w:ascii="宋体" w:hAnsi="宋体" w:eastAsia="宋体" w:cs="Times New Roman"/>
          <w:color w:val="auto"/>
          <w:kern w:val="21"/>
          <w:sz w:val="24"/>
          <w:szCs w:val="24"/>
        </w:rPr>
        <w:t>，本项目环保投资详见表7.2-1。</w:t>
      </w:r>
    </w:p>
    <w:p w14:paraId="0656DCDA">
      <w:pPr>
        <w:pStyle w:val="276"/>
        <w:widowControl w:val="0"/>
        <w:spacing w:line="440" w:lineRule="exact"/>
        <w:ind w:firstLine="0" w:firstLineChars="0"/>
        <w:jc w:val="center"/>
        <w:rPr>
          <w:color w:val="auto"/>
          <w:kern w:val="21"/>
        </w:rPr>
      </w:pPr>
      <w:r>
        <w:rPr>
          <w:color w:val="auto"/>
          <w:kern w:val="21"/>
        </w:rPr>
        <w:t xml:space="preserve">表7.2-1 </w:t>
      </w:r>
      <w:r>
        <w:rPr>
          <w:color w:val="auto"/>
          <w:szCs w:val="22"/>
        </w:rPr>
        <w:t>环保</w:t>
      </w:r>
      <w:r>
        <w:rPr>
          <w:color w:val="auto"/>
          <w:kern w:val="21"/>
        </w:rPr>
        <w:t>投资统计</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5"/>
        <w:gridCol w:w="808"/>
        <w:gridCol w:w="3197"/>
        <w:gridCol w:w="3286"/>
        <w:gridCol w:w="1211"/>
      </w:tblGrid>
      <w:tr w14:paraId="2C068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8" w:type="pct"/>
            <w:gridSpan w:val="2"/>
            <w:shd w:val="clear" w:color="auto" w:fill="auto"/>
            <w:vAlign w:val="center"/>
          </w:tcPr>
          <w:p w14:paraId="4D634C78">
            <w:pPr>
              <w:snapToGrid w:val="0"/>
              <w:jc w:val="center"/>
              <w:rPr>
                <w:rFonts w:ascii="宋体" w:hAnsi="宋体" w:eastAsia="宋体" w:cs="Times New Roman"/>
                <w:snapToGrid w:val="0"/>
                <w:color w:val="auto"/>
              </w:rPr>
            </w:pPr>
            <w:r>
              <w:rPr>
                <w:rFonts w:ascii="宋体" w:hAnsi="宋体" w:eastAsia="宋体" w:cs="Times New Roman"/>
                <w:snapToGrid w:val="0"/>
                <w:color w:val="auto"/>
              </w:rPr>
              <w:t>环保工程名称</w:t>
            </w:r>
          </w:p>
        </w:tc>
        <w:tc>
          <w:tcPr>
            <w:tcW w:w="1721" w:type="pct"/>
            <w:shd w:val="clear" w:color="auto" w:fill="auto"/>
            <w:vAlign w:val="center"/>
          </w:tcPr>
          <w:p w14:paraId="7579770D">
            <w:pPr>
              <w:snapToGrid w:val="0"/>
              <w:jc w:val="center"/>
              <w:rPr>
                <w:rFonts w:ascii="宋体" w:hAnsi="宋体" w:eastAsia="宋体" w:cs="Times New Roman"/>
                <w:snapToGrid w:val="0"/>
                <w:color w:val="auto"/>
              </w:rPr>
            </w:pPr>
            <w:r>
              <w:rPr>
                <w:rFonts w:ascii="宋体" w:hAnsi="宋体" w:eastAsia="宋体" w:cs="Times New Roman"/>
                <w:snapToGrid w:val="0"/>
                <w:color w:val="auto"/>
              </w:rPr>
              <w:t>措施内容</w:t>
            </w:r>
          </w:p>
        </w:tc>
        <w:tc>
          <w:tcPr>
            <w:tcW w:w="1769" w:type="pct"/>
            <w:shd w:val="clear" w:color="auto" w:fill="auto"/>
            <w:vAlign w:val="center"/>
          </w:tcPr>
          <w:p w14:paraId="4FD9174C">
            <w:pPr>
              <w:snapToGrid w:val="0"/>
              <w:jc w:val="center"/>
              <w:rPr>
                <w:rFonts w:ascii="宋体" w:hAnsi="宋体" w:eastAsia="宋体" w:cs="Times New Roman"/>
                <w:snapToGrid w:val="0"/>
                <w:color w:val="auto"/>
              </w:rPr>
            </w:pPr>
            <w:r>
              <w:rPr>
                <w:rFonts w:ascii="宋体" w:hAnsi="宋体" w:eastAsia="宋体" w:cs="Times New Roman"/>
                <w:snapToGrid w:val="0"/>
                <w:color w:val="auto"/>
              </w:rPr>
              <w:t>工程量</w:t>
            </w:r>
          </w:p>
        </w:tc>
        <w:tc>
          <w:tcPr>
            <w:tcW w:w="652" w:type="pct"/>
            <w:shd w:val="clear" w:color="auto" w:fill="auto"/>
            <w:vAlign w:val="center"/>
          </w:tcPr>
          <w:p w14:paraId="565F95E6">
            <w:pPr>
              <w:snapToGrid w:val="0"/>
              <w:jc w:val="center"/>
              <w:rPr>
                <w:rFonts w:ascii="宋体" w:hAnsi="宋体" w:eastAsia="宋体" w:cs="Times New Roman"/>
                <w:snapToGrid w:val="0"/>
                <w:color w:val="auto"/>
              </w:rPr>
            </w:pPr>
            <w:r>
              <w:rPr>
                <w:rFonts w:ascii="宋体" w:hAnsi="宋体" w:eastAsia="宋体" w:cs="Times New Roman"/>
                <w:snapToGrid w:val="0"/>
                <w:color w:val="auto"/>
              </w:rPr>
              <w:t>环保投资（万元）</w:t>
            </w:r>
          </w:p>
        </w:tc>
      </w:tr>
      <w:tr w14:paraId="1C3E3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restart"/>
            <w:shd w:val="clear" w:color="auto" w:fill="auto"/>
            <w:vAlign w:val="center"/>
          </w:tcPr>
          <w:p w14:paraId="11E315E3">
            <w:pPr>
              <w:snapToGrid w:val="0"/>
              <w:jc w:val="center"/>
              <w:rPr>
                <w:rFonts w:ascii="宋体" w:hAnsi="宋体" w:eastAsia="宋体" w:cs="Times New Roman"/>
                <w:snapToGrid w:val="0"/>
                <w:color w:val="auto"/>
              </w:rPr>
            </w:pPr>
            <w:r>
              <w:rPr>
                <w:rFonts w:ascii="宋体" w:hAnsi="宋体" w:eastAsia="宋体" w:cs="Times New Roman"/>
                <w:snapToGrid w:val="0"/>
                <w:color w:val="auto"/>
              </w:rPr>
              <w:t>施工期</w:t>
            </w:r>
          </w:p>
        </w:tc>
        <w:tc>
          <w:tcPr>
            <w:tcW w:w="435" w:type="pct"/>
            <w:shd w:val="clear" w:color="auto" w:fill="auto"/>
            <w:vAlign w:val="center"/>
          </w:tcPr>
          <w:p w14:paraId="4FCB66F4">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废气</w:t>
            </w:r>
          </w:p>
        </w:tc>
        <w:tc>
          <w:tcPr>
            <w:tcW w:w="1721" w:type="pct"/>
            <w:shd w:val="clear" w:color="auto" w:fill="auto"/>
            <w:vAlign w:val="center"/>
          </w:tcPr>
          <w:p w14:paraId="49396F0A">
            <w:pPr>
              <w:snapToGrid w:val="0"/>
              <w:jc w:val="center"/>
              <w:rPr>
                <w:rFonts w:ascii="宋体" w:hAnsi="宋体" w:eastAsia="宋体"/>
                <w:snapToGrid w:val="0"/>
                <w:color w:val="auto"/>
                <w:kern w:val="28"/>
              </w:rPr>
            </w:pPr>
            <w:r>
              <w:rPr>
                <w:rFonts w:ascii="宋体" w:hAnsi="宋体" w:eastAsia="宋体"/>
                <w:color w:val="auto"/>
              </w:rPr>
              <w:t>施工场地洒水抑尘，临时土方等加盖苫布等遮盖物，施工运输车辆采取密闭措施或加盖防尘布</w:t>
            </w:r>
          </w:p>
        </w:tc>
        <w:tc>
          <w:tcPr>
            <w:tcW w:w="1769" w:type="pct"/>
            <w:shd w:val="clear" w:color="auto" w:fill="auto"/>
            <w:vAlign w:val="center"/>
          </w:tcPr>
          <w:p w14:paraId="3B65A8A7">
            <w:pPr>
              <w:jc w:val="center"/>
              <w:rPr>
                <w:rFonts w:ascii="宋体" w:hAnsi="宋体" w:eastAsia="宋体" w:cs="Times New Roman"/>
                <w:color w:val="auto"/>
              </w:rPr>
            </w:pPr>
            <w:r>
              <w:rPr>
                <w:rFonts w:ascii="宋体" w:hAnsi="宋体" w:eastAsia="宋体" w:cs="Times New Roman"/>
                <w:color w:val="auto"/>
              </w:rPr>
              <w:t>0.1万元/口井，共</w:t>
            </w:r>
            <w:r>
              <w:rPr>
                <w:rFonts w:hint="eastAsia" w:ascii="宋体" w:hAnsi="宋体" w:eastAsia="宋体" w:cs="Times New Roman"/>
                <w:color w:val="auto"/>
              </w:rPr>
              <w:t>6</w:t>
            </w:r>
            <w:r>
              <w:rPr>
                <w:rFonts w:ascii="宋体" w:hAnsi="宋体" w:eastAsia="宋体" w:cs="Times New Roman"/>
                <w:color w:val="auto"/>
              </w:rPr>
              <w:t>口井</w:t>
            </w:r>
          </w:p>
        </w:tc>
        <w:tc>
          <w:tcPr>
            <w:tcW w:w="652" w:type="pct"/>
            <w:shd w:val="clear" w:color="auto" w:fill="auto"/>
            <w:vAlign w:val="center"/>
          </w:tcPr>
          <w:p w14:paraId="4603D639">
            <w:pPr>
              <w:jc w:val="center"/>
              <w:rPr>
                <w:rFonts w:ascii="宋体" w:hAnsi="宋体" w:eastAsia="宋体" w:cs="Times New Roman"/>
                <w:snapToGrid w:val="0"/>
                <w:color w:val="auto"/>
                <w:kern w:val="28"/>
              </w:rPr>
            </w:pPr>
            <w:r>
              <w:rPr>
                <w:rFonts w:hint="eastAsia" w:ascii="宋体" w:hAnsi="宋体" w:eastAsia="宋体" w:cs="Times New Roman"/>
                <w:snapToGrid w:val="0"/>
                <w:color w:val="auto"/>
                <w:kern w:val="28"/>
              </w:rPr>
              <w:t>0.6</w:t>
            </w:r>
          </w:p>
        </w:tc>
      </w:tr>
      <w:tr w14:paraId="55118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196F27A0">
            <w:pPr>
              <w:snapToGrid w:val="0"/>
              <w:jc w:val="center"/>
              <w:rPr>
                <w:rFonts w:ascii="宋体" w:hAnsi="宋体" w:eastAsia="宋体" w:cs="Times New Roman"/>
                <w:snapToGrid w:val="0"/>
                <w:color w:val="auto"/>
              </w:rPr>
            </w:pPr>
          </w:p>
        </w:tc>
        <w:tc>
          <w:tcPr>
            <w:tcW w:w="435" w:type="pct"/>
            <w:vMerge w:val="restart"/>
            <w:shd w:val="clear" w:color="auto" w:fill="auto"/>
            <w:vAlign w:val="center"/>
          </w:tcPr>
          <w:p w14:paraId="584FE4AA">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废水</w:t>
            </w:r>
          </w:p>
        </w:tc>
        <w:tc>
          <w:tcPr>
            <w:tcW w:w="1721" w:type="pct"/>
            <w:shd w:val="clear" w:color="auto" w:fill="auto"/>
            <w:vAlign w:val="center"/>
          </w:tcPr>
          <w:p w14:paraId="0C0428CD">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压裂返排液由罐车拉运至朝一联压裂返排液无害化处理站处理后，管输进入朝一联含油污水处理站处理</w:t>
            </w:r>
          </w:p>
        </w:tc>
        <w:tc>
          <w:tcPr>
            <w:tcW w:w="1769" w:type="pct"/>
            <w:shd w:val="clear" w:color="auto" w:fill="auto"/>
            <w:vAlign w:val="center"/>
          </w:tcPr>
          <w:p w14:paraId="169DE830">
            <w:pPr>
              <w:adjustRightInd w:val="0"/>
              <w:snapToGrid w:val="0"/>
              <w:jc w:val="center"/>
              <w:rPr>
                <w:rFonts w:ascii="宋体" w:hAnsi="宋体" w:eastAsia="宋体" w:cs="Times New Roman"/>
                <w:color w:val="auto"/>
              </w:rPr>
            </w:pPr>
            <w:r>
              <w:rPr>
                <w:rFonts w:ascii="宋体" w:hAnsi="宋体" w:eastAsia="宋体" w:cs="Times New Roman"/>
                <w:color w:val="auto"/>
              </w:rPr>
              <w:t>0.005万元/m</w:t>
            </w:r>
            <w:r>
              <w:rPr>
                <w:rFonts w:ascii="宋体" w:hAnsi="宋体" w:eastAsia="宋体" w:cs="Times New Roman"/>
                <w:color w:val="auto"/>
                <w:vertAlign w:val="superscript"/>
              </w:rPr>
              <w:t>3</w:t>
            </w:r>
            <w:r>
              <w:rPr>
                <w:rFonts w:ascii="宋体" w:hAnsi="宋体" w:eastAsia="宋体" w:cs="Times New Roman"/>
                <w:color w:val="auto"/>
              </w:rPr>
              <w:t>，共计</w:t>
            </w:r>
            <w:r>
              <w:rPr>
                <w:rFonts w:hint="eastAsia" w:ascii="宋体" w:hAnsi="宋体" w:eastAsia="宋体" w:cs="Times New Roman"/>
                <w:color w:val="auto"/>
              </w:rPr>
              <w:t>420</w:t>
            </w:r>
            <w:r>
              <w:rPr>
                <w:rFonts w:ascii="宋体" w:hAnsi="宋体" w:eastAsia="宋体" w:cs="Times New Roman"/>
                <w:color w:val="auto"/>
              </w:rPr>
              <w:t>m</w:t>
            </w:r>
            <w:r>
              <w:rPr>
                <w:rFonts w:ascii="宋体" w:hAnsi="宋体" w:eastAsia="宋体" w:cs="Times New Roman"/>
                <w:color w:val="auto"/>
                <w:vertAlign w:val="superscript"/>
              </w:rPr>
              <w:t>3</w:t>
            </w:r>
          </w:p>
        </w:tc>
        <w:tc>
          <w:tcPr>
            <w:tcW w:w="652" w:type="pct"/>
            <w:shd w:val="clear" w:color="auto" w:fill="auto"/>
            <w:vAlign w:val="center"/>
          </w:tcPr>
          <w:p w14:paraId="42E13741">
            <w:pPr>
              <w:adjustRightInd w:val="0"/>
              <w:snapToGrid w:val="0"/>
              <w:jc w:val="center"/>
              <w:rPr>
                <w:rFonts w:ascii="宋体" w:hAnsi="宋体" w:eastAsia="宋体" w:cs="Times New Roman"/>
                <w:color w:val="auto"/>
              </w:rPr>
            </w:pPr>
            <w:r>
              <w:rPr>
                <w:rFonts w:hint="eastAsia" w:ascii="宋体" w:hAnsi="宋体" w:eastAsia="宋体" w:cs="Times New Roman"/>
                <w:color w:val="auto"/>
              </w:rPr>
              <w:t>2.1</w:t>
            </w:r>
          </w:p>
        </w:tc>
      </w:tr>
      <w:tr w14:paraId="38B84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1D54A784">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53AB2827">
            <w:pPr>
              <w:jc w:val="center"/>
              <w:rPr>
                <w:rFonts w:ascii="宋体" w:hAnsi="宋体" w:eastAsia="宋体" w:cs="Times New Roman"/>
                <w:snapToGrid w:val="0"/>
                <w:color w:val="auto"/>
                <w:kern w:val="28"/>
              </w:rPr>
            </w:pPr>
          </w:p>
        </w:tc>
        <w:tc>
          <w:tcPr>
            <w:tcW w:w="1721" w:type="pct"/>
            <w:shd w:val="clear" w:color="auto" w:fill="auto"/>
            <w:vAlign w:val="center"/>
          </w:tcPr>
          <w:p w14:paraId="683038A8">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试压废水由罐车拉运至朝二联含油污水处理站处理</w:t>
            </w:r>
          </w:p>
        </w:tc>
        <w:tc>
          <w:tcPr>
            <w:tcW w:w="1769" w:type="pct"/>
            <w:shd w:val="clear" w:color="auto" w:fill="auto"/>
            <w:vAlign w:val="center"/>
          </w:tcPr>
          <w:p w14:paraId="1CFA72BB">
            <w:pPr>
              <w:adjustRightInd w:val="0"/>
              <w:snapToGrid w:val="0"/>
              <w:jc w:val="center"/>
              <w:rPr>
                <w:rFonts w:ascii="宋体" w:hAnsi="宋体" w:eastAsia="宋体" w:cs="Times New Roman"/>
                <w:color w:val="auto"/>
              </w:rPr>
            </w:pPr>
            <w:r>
              <w:rPr>
                <w:rFonts w:ascii="宋体" w:hAnsi="宋体" w:eastAsia="宋体" w:cs="Times New Roman"/>
                <w:color w:val="auto"/>
              </w:rPr>
              <w:t>0.005万元/m</w:t>
            </w:r>
            <w:r>
              <w:rPr>
                <w:rFonts w:ascii="宋体" w:hAnsi="宋体" w:eastAsia="宋体" w:cs="Times New Roman"/>
                <w:color w:val="auto"/>
                <w:vertAlign w:val="superscript"/>
              </w:rPr>
              <w:t>3</w:t>
            </w:r>
            <w:r>
              <w:rPr>
                <w:rFonts w:ascii="宋体" w:hAnsi="宋体" w:eastAsia="宋体" w:cs="Times New Roman"/>
                <w:color w:val="auto"/>
              </w:rPr>
              <w:t>，共计</w:t>
            </w:r>
            <w:r>
              <w:rPr>
                <w:rFonts w:hint="eastAsia" w:ascii="宋体" w:hAnsi="宋体" w:eastAsia="宋体" w:cs="Times New Roman"/>
                <w:color w:val="auto"/>
              </w:rPr>
              <w:t>0.114</w:t>
            </w:r>
            <w:r>
              <w:rPr>
                <w:rFonts w:ascii="宋体" w:hAnsi="宋体" w:eastAsia="宋体" w:cs="Times New Roman"/>
                <w:color w:val="auto"/>
              </w:rPr>
              <w:t>m</w:t>
            </w:r>
            <w:r>
              <w:rPr>
                <w:rFonts w:ascii="宋体" w:hAnsi="宋体" w:eastAsia="宋体" w:cs="Times New Roman"/>
                <w:color w:val="auto"/>
                <w:vertAlign w:val="superscript"/>
              </w:rPr>
              <w:t>3</w:t>
            </w:r>
          </w:p>
        </w:tc>
        <w:tc>
          <w:tcPr>
            <w:tcW w:w="652" w:type="pct"/>
            <w:shd w:val="clear" w:color="auto" w:fill="auto"/>
            <w:vAlign w:val="center"/>
          </w:tcPr>
          <w:p w14:paraId="4F102069">
            <w:pPr>
              <w:adjustRightInd w:val="0"/>
              <w:snapToGrid w:val="0"/>
              <w:jc w:val="center"/>
              <w:rPr>
                <w:rFonts w:ascii="宋体" w:hAnsi="宋体" w:eastAsia="宋体" w:cs="Times New Roman"/>
                <w:color w:val="auto"/>
              </w:rPr>
            </w:pPr>
            <w:r>
              <w:rPr>
                <w:rFonts w:ascii="宋体" w:hAnsi="宋体" w:eastAsia="宋体" w:cs="Times New Roman"/>
                <w:color w:val="auto"/>
              </w:rPr>
              <w:t>0.</w:t>
            </w:r>
            <w:r>
              <w:rPr>
                <w:rFonts w:hint="eastAsia" w:ascii="宋体" w:hAnsi="宋体" w:eastAsia="宋体" w:cs="Times New Roman"/>
                <w:color w:val="auto"/>
              </w:rPr>
              <w:t>0006</w:t>
            </w:r>
          </w:p>
        </w:tc>
      </w:tr>
      <w:tr w14:paraId="1C3D7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10FB53B1">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14C66C8B">
            <w:pPr>
              <w:jc w:val="center"/>
              <w:rPr>
                <w:rFonts w:ascii="宋体" w:hAnsi="宋体" w:eastAsia="宋体" w:cs="Times New Roman"/>
                <w:snapToGrid w:val="0"/>
                <w:color w:val="auto"/>
                <w:kern w:val="28"/>
              </w:rPr>
            </w:pPr>
          </w:p>
        </w:tc>
        <w:tc>
          <w:tcPr>
            <w:tcW w:w="1721" w:type="pct"/>
            <w:shd w:val="clear" w:color="auto" w:fill="auto"/>
            <w:vAlign w:val="center"/>
          </w:tcPr>
          <w:p w14:paraId="1B3ECFAA">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钻井施工期生活污水排入施工营地设置的临时防渗旱厕内</w:t>
            </w:r>
          </w:p>
        </w:tc>
        <w:tc>
          <w:tcPr>
            <w:tcW w:w="1769" w:type="pct"/>
            <w:shd w:val="clear" w:color="auto" w:fill="auto"/>
            <w:vAlign w:val="center"/>
          </w:tcPr>
          <w:p w14:paraId="53B164F4">
            <w:pPr>
              <w:adjustRightInd w:val="0"/>
              <w:snapToGrid w:val="0"/>
              <w:jc w:val="center"/>
              <w:rPr>
                <w:rFonts w:ascii="宋体" w:hAnsi="宋体" w:eastAsia="宋体" w:cs="Times New Roman"/>
                <w:color w:val="auto"/>
              </w:rPr>
            </w:pPr>
            <w:r>
              <w:rPr>
                <w:rFonts w:ascii="宋体" w:hAnsi="宋体" w:eastAsia="宋体" w:cs="Times New Roman"/>
                <w:color w:val="auto"/>
              </w:rPr>
              <w:t>0.2</w:t>
            </w:r>
            <w:r>
              <w:rPr>
                <w:rFonts w:ascii="宋体" w:hAnsi="宋体" w:eastAsia="宋体" w:cs="Times New Roman"/>
                <w:snapToGrid w:val="0"/>
                <w:color w:val="auto"/>
                <w:kern w:val="28"/>
              </w:rPr>
              <w:t>万元/新钻井场，共新钻</w:t>
            </w:r>
            <w:r>
              <w:rPr>
                <w:rFonts w:hint="eastAsia" w:ascii="宋体" w:hAnsi="宋体" w:eastAsia="宋体" w:cs="Times New Roman"/>
                <w:snapToGrid w:val="0"/>
                <w:color w:val="auto"/>
                <w:kern w:val="28"/>
              </w:rPr>
              <w:t>6</w:t>
            </w:r>
            <w:r>
              <w:rPr>
                <w:rFonts w:ascii="宋体" w:hAnsi="宋体" w:eastAsia="宋体" w:cs="Times New Roman"/>
                <w:snapToGrid w:val="0"/>
                <w:color w:val="auto"/>
                <w:kern w:val="28"/>
              </w:rPr>
              <w:t>座井场</w:t>
            </w:r>
          </w:p>
        </w:tc>
        <w:tc>
          <w:tcPr>
            <w:tcW w:w="652" w:type="pct"/>
            <w:shd w:val="clear" w:color="auto" w:fill="auto"/>
            <w:vAlign w:val="center"/>
          </w:tcPr>
          <w:p w14:paraId="577AC752">
            <w:pPr>
              <w:adjustRightInd w:val="0"/>
              <w:snapToGrid w:val="0"/>
              <w:jc w:val="center"/>
              <w:rPr>
                <w:rFonts w:ascii="宋体" w:hAnsi="宋体" w:eastAsia="宋体" w:cs="Times New Roman"/>
                <w:color w:val="auto"/>
              </w:rPr>
            </w:pPr>
            <w:r>
              <w:rPr>
                <w:rFonts w:hint="eastAsia" w:ascii="宋体" w:hAnsi="宋体" w:eastAsia="宋体" w:cs="Times New Roman"/>
                <w:color w:val="auto"/>
              </w:rPr>
              <w:t>1.2</w:t>
            </w:r>
          </w:p>
        </w:tc>
      </w:tr>
      <w:tr w14:paraId="781C1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7D0EB98B">
            <w:pPr>
              <w:snapToGrid w:val="0"/>
              <w:jc w:val="center"/>
              <w:rPr>
                <w:rFonts w:ascii="宋体" w:hAnsi="宋体" w:eastAsia="宋体" w:cs="Times New Roman"/>
                <w:snapToGrid w:val="0"/>
                <w:color w:val="auto"/>
              </w:rPr>
            </w:pPr>
          </w:p>
        </w:tc>
        <w:tc>
          <w:tcPr>
            <w:tcW w:w="435" w:type="pct"/>
            <w:shd w:val="clear" w:color="auto" w:fill="auto"/>
            <w:vAlign w:val="center"/>
          </w:tcPr>
          <w:p w14:paraId="38F103EE">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噪声</w:t>
            </w:r>
          </w:p>
        </w:tc>
        <w:tc>
          <w:tcPr>
            <w:tcW w:w="1721" w:type="pct"/>
            <w:shd w:val="clear" w:color="auto" w:fill="auto"/>
            <w:vAlign w:val="center"/>
          </w:tcPr>
          <w:p w14:paraId="113093CF">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机泵等设备布置在室内，且采取基础减震等设施</w:t>
            </w:r>
          </w:p>
        </w:tc>
        <w:tc>
          <w:tcPr>
            <w:tcW w:w="1769" w:type="pct"/>
            <w:shd w:val="clear" w:color="auto" w:fill="auto"/>
            <w:vAlign w:val="center"/>
          </w:tcPr>
          <w:p w14:paraId="0FA33795">
            <w:pPr>
              <w:adjustRightInd w:val="0"/>
              <w:snapToGrid w:val="0"/>
              <w:jc w:val="center"/>
              <w:rPr>
                <w:rFonts w:ascii="宋体" w:hAnsi="宋体" w:eastAsia="宋体" w:cs="Times New Roman"/>
                <w:color w:val="auto"/>
              </w:rPr>
            </w:pPr>
            <w:r>
              <w:rPr>
                <w:rFonts w:ascii="宋体" w:hAnsi="宋体" w:eastAsia="宋体" w:cs="Times New Roman"/>
                <w:color w:val="auto"/>
              </w:rPr>
              <w:t>0.2万元/新钻井场，共新钻10座井场</w:t>
            </w:r>
          </w:p>
        </w:tc>
        <w:tc>
          <w:tcPr>
            <w:tcW w:w="652" w:type="pct"/>
            <w:shd w:val="clear" w:color="auto" w:fill="auto"/>
            <w:vAlign w:val="center"/>
          </w:tcPr>
          <w:p w14:paraId="0397F845">
            <w:pPr>
              <w:adjustRightInd w:val="0"/>
              <w:snapToGrid w:val="0"/>
              <w:jc w:val="center"/>
              <w:rPr>
                <w:rFonts w:ascii="宋体" w:hAnsi="宋体" w:eastAsia="宋体" w:cs="Times New Roman"/>
                <w:color w:val="auto"/>
              </w:rPr>
            </w:pPr>
            <w:r>
              <w:rPr>
                <w:rFonts w:ascii="宋体" w:hAnsi="宋体" w:eastAsia="宋体" w:cs="Times New Roman"/>
                <w:color w:val="auto"/>
              </w:rPr>
              <w:t>2.0</w:t>
            </w:r>
          </w:p>
        </w:tc>
      </w:tr>
      <w:tr w14:paraId="3EE3D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68CAF2A9">
            <w:pPr>
              <w:snapToGrid w:val="0"/>
              <w:jc w:val="center"/>
              <w:rPr>
                <w:rFonts w:ascii="宋体" w:hAnsi="宋体" w:eastAsia="宋体" w:cs="Times New Roman"/>
                <w:snapToGrid w:val="0"/>
                <w:color w:val="auto"/>
              </w:rPr>
            </w:pPr>
          </w:p>
        </w:tc>
        <w:tc>
          <w:tcPr>
            <w:tcW w:w="435" w:type="pct"/>
            <w:vMerge w:val="restart"/>
            <w:shd w:val="clear" w:color="auto" w:fill="auto"/>
            <w:vAlign w:val="center"/>
          </w:tcPr>
          <w:p w14:paraId="4CCC24B8">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固体废物</w:t>
            </w:r>
          </w:p>
        </w:tc>
        <w:tc>
          <w:tcPr>
            <w:tcW w:w="1721" w:type="pct"/>
            <w:shd w:val="clear" w:color="auto" w:fill="auto"/>
            <w:vAlign w:val="center"/>
          </w:tcPr>
          <w:p w14:paraId="4EA99331">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水基钻井废水、水基废钻井液和水基钻井岩屑拉运至大庆油田昆仑集团有限公司环保分公司处理</w:t>
            </w:r>
          </w:p>
        </w:tc>
        <w:tc>
          <w:tcPr>
            <w:tcW w:w="1769" w:type="pct"/>
            <w:shd w:val="clear" w:color="auto" w:fill="auto"/>
            <w:vAlign w:val="center"/>
          </w:tcPr>
          <w:p w14:paraId="5A808B4D">
            <w:pPr>
              <w:jc w:val="center"/>
              <w:rPr>
                <w:rFonts w:ascii="宋体" w:hAnsi="宋体" w:eastAsia="宋体" w:cs="Times New Roman"/>
                <w:color w:val="auto"/>
              </w:rPr>
            </w:pPr>
            <w:r>
              <w:rPr>
                <w:rFonts w:ascii="宋体" w:hAnsi="宋体" w:eastAsia="宋体" w:cs="Times New Roman"/>
                <w:color w:val="auto"/>
              </w:rPr>
              <w:t>0.005万元/m</w:t>
            </w:r>
            <w:r>
              <w:rPr>
                <w:rFonts w:ascii="宋体" w:hAnsi="宋体" w:eastAsia="宋体" w:cs="Times New Roman"/>
                <w:color w:val="auto"/>
                <w:vertAlign w:val="superscript"/>
              </w:rPr>
              <w:t>3</w:t>
            </w:r>
            <w:r>
              <w:rPr>
                <w:rFonts w:ascii="宋体" w:hAnsi="宋体" w:eastAsia="宋体" w:cs="Times New Roman"/>
                <w:color w:val="auto"/>
              </w:rPr>
              <w:t>，共计</w:t>
            </w:r>
            <w:r>
              <w:rPr>
                <w:rFonts w:hint="eastAsia" w:ascii="宋体" w:hAnsi="宋体" w:eastAsia="宋体" w:cs="Times New Roman"/>
                <w:color w:val="auto"/>
              </w:rPr>
              <w:t>1257.3</w:t>
            </w:r>
            <w:r>
              <w:rPr>
                <w:rFonts w:ascii="宋体" w:hAnsi="宋体" w:eastAsia="宋体" w:cs="Times New Roman"/>
                <w:color w:val="auto"/>
              </w:rPr>
              <w:t>m</w:t>
            </w:r>
            <w:r>
              <w:rPr>
                <w:rFonts w:ascii="宋体" w:hAnsi="宋体" w:eastAsia="宋体" w:cs="Times New Roman"/>
                <w:color w:val="auto"/>
                <w:vertAlign w:val="superscript"/>
              </w:rPr>
              <w:t>3</w:t>
            </w:r>
          </w:p>
        </w:tc>
        <w:tc>
          <w:tcPr>
            <w:tcW w:w="652" w:type="pct"/>
            <w:shd w:val="clear" w:color="auto" w:fill="auto"/>
            <w:vAlign w:val="center"/>
          </w:tcPr>
          <w:p w14:paraId="106CF446">
            <w:pPr>
              <w:jc w:val="center"/>
              <w:rPr>
                <w:rFonts w:ascii="宋体" w:hAnsi="宋体" w:eastAsia="宋体" w:cs="Times New Roman"/>
                <w:color w:val="auto"/>
              </w:rPr>
            </w:pPr>
            <w:r>
              <w:rPr>
                <w:rFonts w:hint="eastAsia" w:ascii="宋体" w:hAnsi="宋体" w:eastAsia="宋体" w:cs="Times New Roman"/>
                <w:color w:val="auto"/>
              </w:rPr>
              <w:t>6.29</w:t>
            </w:r>
          </w:p>
        </w:tc>
      </w:tr>
      <w:tr w14:paraId="56215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460C92B6">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6B6528E8">
            <w:pPr>
              <w:jc w:val="center"/>
              <w:rPr>
                <w:rFonts w:ascii="宋体" w:hAnsi="宋体" w:eastAsia="宋体" w:cs="Times New Roman"/>
                <w:snapToGrid w:val="0"/>
                <w:color w:val="auto"/>
                <w:kern w:val="28"/>
              </w:rPr>
            </w:pPr>
          </w:p>
        </w:tc>
        <w:tc>
          <w:tcPr>
            <w:tcW w:w="1721" w:type="pct"/>
            <w:shd w:val="clear" w:color="auto" w:fill="auto"/>
            <w:vAlign w:val="center"/>
          </w:tcPr>
          <w:p w14:paraId="22DF2F7D">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油基钻井废水、油基废钻井液、油基钻井岩屑和含油废射孔液排入井场设置的油基钢制泥浆槽中，委托黑龙江迈景环保科技有限公司处理</w:t>
            </w:r>
          </w:p>
        </w:tc>
        <w:tc>
          <w:tcPr>
            <w:tcW w:w="1769" w:type="pct"/>
            <w:shd w:val="clear" w:color="auto" w:fill="auto"/>
            <w:vAlign w:val="center"/>
          </w:tcPr>
          <w:p w14:paraId="672D94C4">
            <w:pPr>
              <w:jc w:val="center"/>
              <w:rPr>
                <w:rFonts w:ascii="宋体" w:hAnsi="宋体" w:eastAsia="宋体" w:cs="Times New Roman"/>
                <w:color w:val="auto"/>
              </w:rPr>
            </w:pPr>
            <w:r>
              <w:rPr>
                <w:rFonts w:ascii="宋体" w:hAnsi="宋体" w:eastAsia="宋体" w:cs="Times New Roman"/>
                <w:color w:val="auto"/>
              </w:rPr>
              <w:t>0.01万/m</w:t>
            </w:r>
            <w:r>
              <w:rPr>
                <w:rFonts w:ascii="宋体" w:hAnsi="宋体" w:eastAsia="宋体" w:cs="Times New Roman"/>
                <w:color w:val="auto"/>
                <w:vertAlign w:val="superscript"/>
              </w:rPr>
              <w:t>3</w:t>
            </w:r>
            <w:r>
              <w:rPr>
                <w:rFonts w:ascii="宋体" w:hAnsi="宋体" w:eastAsia="宋体" w:cs="Times New Roman"/>
                <w:color w:val="auto"/>
              </w:rPr>
              <w:t>，共计</w:t>
            </w:r>
            <w:r>
              <w:rPr>
                <w:rFonts w:hint="eastAsia" w:ascii="宋体" w:hAnsi="宋体" w:eastAsia="宋体" w:cs="Times New Roman"/>
                <w:color w:val="auto"/>
              </w:rPr>
              <w:t>624.4</w:t>
            </w:r>
            <w:r>
              <w:rPr>
                <w:rFonts w:ascii="宋体" w:hAnsi="宋体" w:eastAsia="宋体" w:cs="Times New Roman"/>
                <w:color w:val="auto"/>
              </w:rPr>
              <w:t>m</w:t>
            </w:r>
            <w:r>
              <w:rPr>
                <w:rFonts w:ascii="宋体" w:hAnsi="宋体" w:eastAsia="宋体" w:cs="Times New Roman"/>
                <w:color w:val="auto"/>
                <w:vertAlign w:val="superscript"/>
              </w:rPr>
              <w:t>3</w:t>
            </w:r>
          </w:p>
        </w:tc>
        <w:tc>
          <w:tcPr>
            <w:tcW w:w="652" w:type="pct"/>
            <w:shd w:val="clear" w:color="auto" w:fill="auto"/>
            <w:vAlign w:val="center"/>
          </w:tcPr>
          <w:p w14:paraId="5AB1128C">
            <w:pPr>
              <w:jc w:val="center"/>
              <w:rPr>
                <w:rFonts w:ascii="宋体" w:hAnsi="宋体" w:eastAsia="宋体" w:cs="Times New Roman"/>
                <w:color w:val="auto"/>
              </w:rPr>
            </w:pPr>
            <w:r>
              <w:rPr>
                <w:rFonts w:hint="eastAsia" w:ascii="宋体" w:hAnsi="宋体" w:eastAsia="宋体" w:cs="Times New Roman"/>
                <w:color w:val="auto"/>
              </w:rPr>
              <w:t>6.24</w:t>
            </w:r>
          </w:p>
        </w:tc>
      </w:tr>
      <w:tr w14:paraId="57A11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58C21021">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27F1AF03">
            <w:pPr>
              <w:jc w:val="center"/>
              <w:rPr>
                <w:rFonts w:ascii="宋体" w:hAnsi="宋体" w:eastAsia="宋体" w:cs="Times New Roman"/>
                <w:snapToGrid w:val="0"/>
                <w:color w:val="auto"/>
                <w:kern w:val="28"/>
              </w:rPr>
            </w:pPr>
          </w:p>
        </w:tc>
        <w:tc>
          <w:tcPr>
            <w:tcW w:w="1721" w:type="pct"/>
            <w:shd w:val="clear" w:color="auto" w:fill="auto"/>
            <w:vAlign w:val="center"/>
          </w:tcPr>
          <w:p w14:paraId="7DD3C494">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含油废防渗布集中收集暂存于第十采油厂综合固废储存库，定期委托有资质单位处理</w:t>
            </w:r>
          </w:p>
        </w:tc>
        <w:tc>
          <w:tcPr>
            <w:tcW w:w="1769" w:type="pct"/>
            <w:shd w:val="clear" w:color="auto" w:fill="auto"/>
            <w:vAlign w:val="center"/>
          </w:tcPr>
          <w:p w14:paraId="40294E56">
            <w:pPr>
              <w:jc w:val="center"/>
              <w:rPr>
                <w:rFonts w:ascii="宋体" w:hAnsi="宋体" w:eastAsia="宋体" w:cs="Times New Roman"/>
                <w:color w:val="auto"/>
              </w:rPr>
            </w:pPr>
            <w:r>
              <w:rPr>
                <w:rFonts w:ascii="宋体" w:hAnsi="宋体" w:eastAsia="宋体" w:cs="Times New Roman"/>
                <w:color w:val="auto"/>
              </w:rPr>
              <w:t>0.5万元/吨，共计</w:t>
            </w:r>
            <w:r>
              <w:rPr>
                <w:rFonts w:hint="eastAsia" w:ascii="宋体" w:hAnsi="宋体" w:eastAsia="宋体" w:cs="Times New Roman"/>
                <w:color w:val="auto"/>
              </w:rPr>
              <w:t>0.07</w:t>
            </w:r>
            <w:r>
              <w:rPr>
                <w:rFonts w:ascii="宋体" w:hAnsi="宋体" w:eastAsia="宋体" w:cs="Times New Roman"/>
                <w:color w:val="auto"/>
              </w:rPr>
              <w:t>t</w:t>
            </w:r>
          </w:p>
        </w:tc>
        <w:tc>
          <w:tcPr>
            <w:tcW w:w="652" w:type="pct"/>
            <w:shd w:val="clear" w:color="auto" w:fill="auto"/>
            <w:vAlign w:val="center"/>
          </w:tcPr>
          <w:p w14:paraId="0BAF1ABA">
            <w:pPr>
              <w:jc w:val="center"/>
              <w:rPr>
                <w:rFonts w:ascii="宋体" w:hAnsi="宋体" w:eastAsia="宋体" w:cs="Times New Roman"/>
                <w:color w:val="auto"/>
              </w:rPr>
            </w:pPr>
            <w:r>
              <w:rPr>
                <w:rFonts w:hint="eastAsia" w:ascii="宋体" w:hAnsi="宋体" w:eastAsia="宋体" w:cs="Times New Roman"/>
                <w:color w:val="auto"/>
              </w:rPr>
              <w:t>0.035</w:t>
            </w:r>
          </w:p>
        </w:tc>
      </w:tr>
      <w:tr w14:paraId="25EF1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591A3A35">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5E37F7B1">
            <w:pPr>
              <w:jc w:val="center"/>
              <w:rPr>
                <w:rFonts w:ascii="宋体" w:hAnsi="宋体" w:eastAsia="宋体" w:cs="Times New Roman"/>
                <w:snapToGrid w:val="0"/>
                <w:color w:val="auto"/>
                <w:kern w:val="28"/>
              </w:rPr>
            </w:pPr>
          </w:p>
        </w:tc>
        <w:tc>
          <w:tcPr>
            <w:tcW w:w="1721" w:type="pct"/>
            <w:shd w:val="clear" w:color="auto" w:fill="auto"/>
            <w:vAlign w:val="center"/>
          </w:tcPr>
          <w:p w14:paraId="2426257B">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膨润土、纯碱、重晶石粉废包装袋、施工废料</w:t>
            </w:r>
            <w:r>
              <w:rPr>
                <w:rFonts w:ascii="宋体" w:hAnsi="宋体" w:eastAsia="宋体" w:cs="Times New Roman"/>
                <w:color w:val="auto"/>
              </w:rPr>
              <w:t>拉运至第八采油厂工业固废填埋场处理</w:t>
            </w:r>
          </w:p>
        </w:tc>
        <w:tc>
          <w:tcPr>
            <w:tcW w:w="1769" w:type="pct"/>
            <w:shd w:val="clear" w:color="auto" w:fill="auto"/>
            <w:vAlign w:val="center"/>
          </w:tcPr>
          <w:p w14:paraId="6678B3E7">
            <w:pPr>
              <w:jc w:val="center"/>
              <w:rPr>
                <w:rFonts w:ascii="宋体" w:hAnsi="宋体" w:eastAsia="宋体" w:cs="Times New Roman"/>
                <w:color w:val="auto"/>
              </w:rPr>
            </w:pPr>
            <w:r>
              <w:rPr>
                <w:rFonts w:ascii="宋体" w:hAnsi="宋体" w:eastAsia="宋体" w:cs="Times New Roman"/>
                <w:color w:val="auto"/>
              </w:rPr>
              <w:t>0.1万元/吨，共计0.</w:t>
            </w:r>
            <w:r>
              <w:rPr>
                <w:rFonts w:hint="eastAsia" w:ascii="宋体" w:hAnsi="宋体" w:eastAsia="宋体" w:cs="Times New Roman"/>
                <w:color w:val="auto"/>
              </w:rPr>
              <w:t>1212</w:t>
            </w:r>
            <w:r>
              <w:rPr>
                <w:rFonts w:ascii="宋体" w:hAnsi="宋体" w:eastAsia="宋体" w:cs="Times New Roman"/>
                <w:color w:val="auto"/>
              </w:rPr>
              <w:t>t</w:t>
            </w:r>
          </w:p>
        </w:tc>
        <w:tc>
          <w:tcPr>
            <w:tcW w:w="652" w:type="pct"/>
            <w:shd w:val="clear" w:color="auto" w:fill="auto"/>
            <w:vAlign w:val="center"/>
          </w:tcPr>
          <w:p w14:paraId="3F9A850D">
            <w:pPr>
              <w:jc w:val="center"/>
              <w:rPr>
                <w:rFonts w:ascii="宋体" w:hAnsi="宋体" w:eastAsia="宋体" w:cs="Times New Roman"/>
                <w:color w:val="auto"/>
              </w:rPr>
            </w:pPr>
            <w:r>
              <w:rPr>
                <w:rFonts w:ascii="宋体" w:hAnsi="宋体" w:eastAsia="宋体" w:cs="Times New Roman"/>
                <w:color w:val="auto"/>
              </w:rPr>
              <w:t>0.0</w:t>
            </w:r>
            <w:r>
              <w:rPr>
                <w:rFonts w:hint="eastAsia" w:ascii="宋体" w:hAnsi="宋体" w:eastAsia="宋体" w:cs="Times New Roman"/>
                <w:color w:val="auto"/>
              </w:rPr>
              <w:t>1</w:t>
            </w:r>
          </w:p>
        </w:tc>
      </w:tr>
      <w:tr w14:paraId="41259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61900C02">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6E29966B">
            <w:pPr>
              <w:jc w:val="center"/>
              <w:rPr>
                <w:rFonts w:ascii="宋体" w:hAnsi="宋体" w:eastAsia="宋体" w:cs="Times New Roman"/>
                <w:snapToGrid w:val="0"/>
                <w:color w:val="auto"/>
                <w:kern w:val="28"/>
              </w:rPr>
            </w:pPr>
          </w:p>
        </w:tc>
        <w:tc>
          <w:tcPr>
            <w:tcW w:w="1721" w:type="pct"/>
            <w:shd w:val="clear" w:color="auto" w:fill="auto"/>
            <w:vAlign w:val="center"/>
          </w:tcPr>
          <w:p w14:paraId="4C7C8413">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生活垃圾统一收集</w:t>
            </w:r>
            <w:r>
              <w:rPr>
                <w:rFonts w:ascii="宋体" w:hAnsi="宋体" w:eastAsia="宋体" w:cs="Times New Roman"/>
                <w:color w:val="auto"/>
                <w:kern w:val="21"/>
              </w:rPr>
              <w:t>拉运至肇源县利民城市垃圾处理有限公司处理</w:t>
            </w:r>
          </w:p>
        </w:tc>
        <w:tc>
          <w:tcPr>
            <w:tcW w:w="1769" w:type="pct"/>
            <w:shd w:val="clear" w:color="auto" w:fill="auto"/>
            <w:vAlign w:val="center"/>
          </w:tcPr>
          <w:p w14:paraId="5FE3BAD2">
            <w:pPr>
              <w:jc w:val="center"/>
              <w:rPr>
                <w:rFonts w:ascii="宋体" w:hAnsi="宋体" w:eastAsia="宋体" w:cs="Times New Roman"/>
                <w:color w:val="auto"/>
              </w:rPr>
            </w:pPr>
            <w:r>
              <w:rPr>
                <w:rFonts w:ascii="宋体" w:hAnsi="宋体" w:eastAsia="宋体" w:cs="Times New Roman"/>
                <w:color w:val="auto"/>
              </w:rPr>
              <w:t>0.1万元/吨，共计</w:t>
            </w:r>
            <w:r>
              <w:rPr>
                <w:rFonts w:hint="eastAsia" w:ascii="宋体" w:hAnsi="宋体" w:eastAsia="宋体" w:cs="Times New Roman"/>
                <w:color w:val="auto"/>
              </w:rPr>
              <w:t>1.84</w:t>
            </w:r>
          </w:p>
        </w:tc>
        <w:tc>
          <w:tcPr>
            <w:tcW w:w="652" w:type="pct"/>
            <w:shd w:val="clear" w:color="auto" w:fill="auto"/>
            <w:vAlign w:val="center"/>
          </w:tcPr>
          <w:p w14:paraId="3E82F609">
            <w:pPr>
              <w:jc w:val="center"/>
              <w:rPr>
                <w:rFonts w:ascii="宋体" w:hAnsi="宋体" w:eastAsia="宋体" w:cs="Times New Roman"/>
                <w:color w:val="auto"/>
              </w:rPr>
            </w:pPr>
            <w:r>
              <w:rPr>
                <w:rFonts w:ascii="宋体" w:hAnsi="宋体" w:eastAsia="宋体" w:cs="Times New Roman"/>
                <w:color w:val="auto"/>
              </w:rPr>
              <w:t>0.</w:t>
            </w:r>
            <w:r>
              <w:rPr>
                <w:rFonts w:hint="eastAsia" w:ascii="宋体" w:hAnsi="宋体" w:eastAsia="宋体" w:cs="Times New Roman"/>
                <w:color w:val="auto"/>
              </w:rPr>
              <w:t>18</w:t>
            </w:r>
          </w:p>
        </w:tc>
      </w:tr>
      <w:tr w14:paraId="28C25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5A61E3A7">
            <w:pPr>
              <w:snapToGrid w:val="0"/>
              <w:jc w:val="center"/>
              <w:rPr>
                <w:rFonts w:ascii="宋体" w:hAnsi="宋体" w:eastAsia="宋体" w:cs="Times New Roman"/>
                <w:snapToGrid w:val="0"/>
                <w:color w:val="auto"/>
              </w:rPr>
            </w:pPr>
          </w:p>
        </w:tc>
        <w:tc>
          <w:tcPr>
            <w:tcW w:w="435" w:type="pct"/>
            <w:vMerge w:val="restart"/>
            <w:shd w:val="clear" w:color="auto" w:fill="auto"/>
            <w:vAlign w:val="center"/>
          </w:tcPr>
          <w:p w14:paraId="786758B4">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生态</w:t>
            </w:r>
          </w:p>
        </w:tc>
        <w:tc>
          <w:tcPr>
            <w:tcW w:w="1721" w:type="pct"/>
            <w:shd w:val="clear" w:color="auto" w:fill="auto"/>
            <w:vAlign w:val="center"/>
          </w:tcPr>
          <w:p w14:paraId="2FC2E5D5">
            <w:pPr>
              <w:jc w:val="center"/>
              <w:rPr>
                <w:rFonts w:ascii="宋体" w:hAnsi="宋体" w:eastAsia="宋体" w:cs="Times New Roman"/>
                <w:snapToGrid w:val="0"/>
                <w:color w:val="auto"/>
                <w:kern w:val="28"/>
              </w:rPr>
            </w:pPr>
            <w:r>
              <w:rPr>
                <w:rFonts w:ascii="宋体" w:hAnsi="宋体" w:eastAsia="宋体" w:cs="Times New Roman"/>
                <w:color w:val="auto"/>
              </w:rPr>
              <w:t>对于项目永久占地进行经济补偿，补偿面积</w:t>
            </w:r>
            <w:r>
              <w:rPr>
                <w:rFonts w:hint="eastAsia" w:ascii="宋体" w:hAnsi="宋体" w:eastAsia="宋体" w:cs="Times New Roman"/>
                <w:color w:val="auto"/>
              </w:rPr>
              <w:t>3.254</w:t>
            </w:r>
            <w:r>
              <w:rPr>
                <w:rFonts w:ascii="宋体" w:hAnsi="宋体" w:eastAsia="宋体" w:cs="Times New Roman"/>
                <w:color w:val="auto"/>
              </w:rPr>
              <w:t>hm</w:t>
            </w:r>
            <w:r>
              <w:rPr>
                <w:rFonts w:ascii="宋体" w:hAnsi="宋体" w:eastAsia="宋体" w:cs="Times New Roman"/>
                <w:color w:val="auto"/>
                <w:vertAlign w:val="superscript"/>
              </w:rPr>
              <w:t>2</w:t>
            </w:r>
          </w:p>
        </w:tc>
        <w:tc>
          <w:tcPr>
            <w:tcW w:w="1769" w:type="pct"/>
            <w:shd w:val="clear" w:color="auto" w:fill="auto"/>
            <w:vAlign w:val="center"/>
          </w:tcPr>
          <w:p w14:paraId="62F7DA58">
            <w:pPr>
              <w:jc w:val="center"/>
              <w:rPr>
                <w:rFonts w:ascii="宋体" w:hAnsi="宋体" w:eastAsia="宋体" w:cs="Times New Roman"/>
                <w:color w:val="auto"/>
              </w:rPr>
            </w:pPr>
            <w:r>
              <w:rPr>
                <w:rFonts w:ascii="宋体" w:hAnsi="宋体" w:eastAsia="宋体" w:cs="Times New Roman"/>
                <w:color w:val="auto"/>
              </w:rPr>
              <w:t>永久占地生物量损失补偿按10年计</w:t>
            </w:r>
          </w:p>
        </w:tc>
        <w:tc>
          <w:tcPr>
            <w:tcW w:w="652" w:type="pct"/>
            <w:shd w:val="clear" w:color="auto" w:fill="auto"/>
            <w:vAlign w:val="center"/>
          </w:tcPr>
          <w:p w14:paraId="59804420">
            <w:pPr>
              <w:jc w:val="center"/>
              <w:rPr>
                <w:rFonts w:ascii="宋体" w:hAnsi="宋体" w:eastAsia="宋体" w:cs="Times New Roman"/>
                <w:color w:val="auto"/>
              </w:rPr>
            </w:pPr>
            <w:r>
              <w:rPr>
                <w:rFonts w:hint="eastAsia" w:ascii="宋体" w:hAnsi="宋体" w:eastAsia="宋体" w:cs="Times New Roman"/>
                <w:color w:val="auto"/>
              </w:rPr>
              <w:t>37.35</w:t>
            </w:r>
          </w:p>
        </w:tc>
      </w:tr>
      <w:tr w14:paraId="5E38D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42A43F44">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321BE527">
            <w:pPr>
              <w:jc w:val="center"/>
              <w:rPr>
                <w:rFonts w:ascii="宋体" w:hAnsi="宋体" w:eastAsia="宋体" w:cs="Times New Roman"/>
                <w:snapToGrid w:val="0"/>
                <w:color w:val="auto"/>
                <w:kern w:val="28"/>
              </w:rPr>
            </w:pPr>
          </w:p>
        </w:tc>
        <w:tc>
          <w:tcPr>
            <w:tcW w:w="1721" w:type="pct"/>
            <w:shd w:val="clear" w:color="auto" w:fill="auto"/>
            <w:vAlign w:val="center"/>
          </w:tcPr>
          <w:p w14:paraId="7332CDA6">
            <w:pPr>
              <w:jc w:val="center"/>
              <w:rPr>
                <w:rFonts w:ascii="宋体" w:hAnsi="宋体" w:eastAsia="宋体" w:cs="Times New Roman"/>
                <w:snapToGrid w:val="0"/>
                <w:color w:val="auto"/>
                <w:kern w:val="28"/>
              </w:rPr>
            </w:pPr>
            <w:r>
              <w:rPr>
                <w:rFonts w:ascii="宋体" w:hAnsi="宋体" w:eastAsia="宋体" w:cs="Times New Roman"/>
                <w:color w:val="auto"/>
              </w:rPr>
              <w:t>对临时占用的土地进行恢复、平整，恢复临时占地</w:t>
            </w:r>
            <w:r>
              <w:rPr>
                <w:rFonts w:hint="eastAsia" w:ascii="宋体" w:hAnsi="宋体" w:eastAsia="宋体" w:cs="Times New Roman"/>
                <w:color w:val="auto"/>
              </w:rPr>
              <w:t>4.46</w:t>
            </w:r>
            <w:r>
              <w:rPr>
                <w:rFonts w:ascii="宋体" w:hAnsi="宋体" w:eastAsia="宋体" w:cs="Times New Roman"/>
                <w:color w:val="auto"/>
              </w:rPr>
              <w:t>hm</w:t>
            </w:r>
            <w:r>
              <w:rPr>
                <w:rFonts w:ascii="宋体" w:hAnsi="宋体" w:eastAsia="宋体" w:cs="Times New Roman"/>
                <w:color w:val="auto"/>
                <w:vertAlign w:val="superscript"/>
              </w:rPr>
              <w:t>2</w:t>
            </w:r>
          </w:p>
        </w:tc>
        <w:tc>
          <w:tcPr>
            <w:tcW w:w="1769" w:type="pct"/>
            <w:shd w:val="clear" w:color="auto" w:fill="auto"/>
            <w:vAlign w:val="center"/>
          </w:tcPr>
          <w:p w14:paraId="7F085A41">
            <w:pPr>
              <w:jc w:val="center"/>
              <w:rPr>
                <w:rFonts w:ascii="宋体" w:hAnsi="宋体" w:eastAsia="宋体" w:cs="Times New Roman"/>
                <w:color w:val="auto"/>
              </w:rPr>
            </w:pPr>
            <w:r>
              <w:rPr>
                <w:rFonts w:ascii="宋体" w:hAnsi="宋体" w:eastAsia="宋体" w:cs="Times New Roman"/>
                <w:color w:val="auto"/>
              </w:rPr>
              <w:t>临时占地生物量损失补偿按3年计</w:t>
            </w:r>
          </w:p>
        </w:tc>
        <w:tc>
          <w:tcPr>
            <w:tcW w:w="652" w:type="pct"/>
            <w:shd w:val="clear" w:color="auto" w:fill="auto"/>
            <w:vAlign w:val="center"/>
          </w:tcPr>
          <w:p w14:paraId="7E7B60AD">
            <w:pPr>
              <w:jc w:val="center"/>
              <w:rPr>
                <w:rFonts w:ascii="宋体" w:hAnsi="宋体" w:eastAsia="宋体" w:cs="Times New Roman"/>
                <w:color w:val="auto"/>
              </w:rPr>
            </w:pPr>
            <w:r>
              <w:rPr>
                <w:rFonts w:hint="eastAsia" w:ascii="宋体" w:hAnsi="宋体" w:eastAsia="宋体" w:cs="Times New Roman"/>
                <w:color w:val="auto"/>
              </w:rPr>
              <w:t>18.96</w:t>
            </w:r>
          </w:p>
        </w:tc>
      </w:tr>
      <w:tr w14:paraId="3C2E6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44AEF701">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0746B37D">
            <w:pPr>
              <w:jc w:val="center"/>
              <w:rPr>
                <w:rFonts w:ascii="宋体" w:hAnsi="宋体" w:eastAsia="宋体" w:cs="Times New Roman"/>
                <w:snapToGrid w:val="0"/>
                <w:color w:val="auto"/>
                <w:kern w:val="28"/>
              </w:rPr>
            </w:pPr>
          </w:p>
        </w:tc>
        <w:tc>
          <w:tcPr>
            <w:tcW w:w="1721" w:type="pct"/>
            <w:shd w:val="clear" w:color="auto" w:fill="auto"/>
            <w:vAlign w:val="center"/>
          </w:tcPr>
          <w:p w14:paraId="3E6078E2">
            <w:pPr>
              <w:jc w:val="center"/>
              <w:rPr>
                <w:rFonts w:ascii="宋体" w:hAnsi="宋体" w:eastAsia="宋体" w:cs="Times New Roman"/>
                <w:color w:val="auto"/>
              </w:rPr>
            </w:pPr>
            <w:r>
              <w:rPr>
                <w:rFonts w:ascii="宋体" w:hAnsi="宋体" w:eastAsia="宋体" w:cs="Times New Roman"/>
                <w:color w:val="auto"/>
              </w:rPr>
              <w:t>水土流失防护</w:t>
            </w:r>
          </w:p>
        </w:tc>
        <w:tc>
          <w:tcPr>
            <w:tcW w:w="1769" w:type="pct"/>
            <w:shd w:val="clear" w:color="auto" w:fill="auto"/>
            <w:vAlign w:val="center"/>
          </w:tcPr>
          <w:p w14:paraId="160A51F7">
            <w:pPr>
              <w:jc w:val="center"/>
              <w:rPr>
                <w:rFonts w:ascii="宋体" w:hAnsi="宋体" w:eastAsia="宋体" w:cs="Times New Roman"/>
                <w:color w:val="auto"/>
              </w:rPr>
            </w:pPr>
            <w:r>
              <w:rPr>
                <w:rFonts w:ascii="宋体" w:hAnsi="宋体" w:eastAsia="宋体" w:cs="Times New Roman"/>
                <w:color w:val="auto"/>
              </w:rPr>
              <w:t>0.1万元/口井</w:t>
            </w:r>
            <w:r>
              <w:rPr>
                <w:rFonts w:ascii="宋体" w:hAnsi="宋体" w:eastAsia="宋体" w:cs="Times New Roman"/>
                <w:snapToGrid w:val="0"/>
                <w:color w:val="auto"/>
                <w:kern w:val="28"/>
              </w:rPr>
              <w:t>，包括</w:t>
            </w:r>
            <w:r>
              <w:rPr>
                <w:rFonts w:hint="eastAsia" w:ascii="宋体" w:hAnsi="宋体" w:eastAsia="宋体" w:cs="Times New Roman"/>
                <w:snapToGrid w:val="0"/>
                <w:color w:val="auto"/>
                <w:kern w:val="28"/>
              </w:rPr>
              <w:t>6</w:t>
            </w:r>
            <w:r>
              <w:rPr>
                <w:rFonts w:ascii="宋体" w:hAnsi="宋体" w:eastAsia="宋体" w:cs="Times New Roman"/>
                <w:snapToGrid w:val="0"/>
                <w:color w:val="auto"/>
                <w:kern w:val="28"/>
              </w:rPr>
              <w:t>口油井</w:t>
            </w:r>
          </w:p>
        </w:tc>
        <w:tc>
          <w:tcPr>
            <w:tcW w:w="652" w:type="pct"/>
            <w:shd w:val="clear" w:color="auto" w:fill="auto"/>
            <w:vAlign w:val="center"/>
          </w:tcPr>
          <w:p w14:paraId="24F73EBC">
            <w:pPr>
              <w:jc w:val="center"/>
              <w:rPr>
                <w:rFonts w:ascii="宋体" w:hAnsi="宋体" w:eastAsia="宋体" w:cs="Times New Roman"/>
                <w:color w:val="auto"/>
              </w:rPr>
            </w:pPr>
            <w:r>
              <w:rPr>
                <w:rFonts w:hint="eastAsia" w:ascii="宋体" w:hAnsi="宋体" w:eastAsia="宋体" w:cs="Times New Roman"/>
                <w:color w:val="auto"/>
              </w:rPr>
              <w:t>0.6</w:t>
            </w:r>
          </w:p>
        </w:tc>
      </w:tr>
      <w:tr w14:paraId="098FA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5B8488C8">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0680406B">
            <w:pPr>
              <w:jc w:val="center"/>
              <w:rPr>
                <w:rFonts w:ascii="宋体" w:hAnsi="宋体" w:eastAsia="宋体" w:cs="Times New Roman"/>
                <w:snapToGrid w:val="0"/>
                <w:color w:val="auto"/>
                <w:kern w:val="28"/>
              </w:rPr>
            </w:pPr>
          </w:p>
        </w:tc>
        <w:tc>
          <w:tcPr>
            <w:tcW w:w="1721" w:type="pct"/>
            <w:shd w:val="clear" w:color="auto" w:fill="auto"/>
            <w:vAlign w:val="center"/>
          </w:tcPr>
          <w:p w14:paraId="01340199">
            <w:pPr>
              <w:jc w:val="center"/>
              <w:rPr>
                <w:rFonts w:ascii="宋体" w:hAnsi="宋体" w:eastAsia="宋体" w:cs="Times New Roman"/>
                <w:color w:val="auto"/>
              </w:rPr>
            </w:pPr>
            <w:r>
              <w:rPr>
                <w:rFonts w:ascii="宋体" w:hAnsi="宋体" w:eastAsia="宋体" w:cs="Times New Roman"/>
                <w:color w:val="auto"/>
              </w:rPr>
              <w:t>防沙治沙</w:t>
            </w:r>
          </w:p>
        </w:tc>
        <w:tc>
          <w:tcPr>
            <w:tcW w:w="1769" w:type="pct"/>
            <w:shd w:val="clear" w:color="auto" w:fill="auto"/>
            <w:vAlign w:val="center"/>
          </w:tcPr>
          <w:p w14:paraId="432DEAF4">
            <w:pPr>
              <w:jc w:val="center"/>
              <w:rPr>
                <w:rFonts w:ascii="宋体" w:hAnsi="宋体" w:eastAsia="宋体" w:cs="Times New Roman"/>
                <w:color w:val="auto"/>
              </w:rPr>
            </w:pPr>
            <w:r>
              <w:rPr>
                <w:rFonts w:ascii="宋体" w:hAnsi="宋体" w:eastAsia="宋体" w:cs="Times New Roman"/>
                <w:color w:val="auto"/>
              </w:rPr>
              <w:t>0.1万元/口井</w:t>
            </w:r>
            <w:r>
              <w:rPr>
                <w:rFonts w:ascii="宋体" w:hAnsi="宋体" w:eastAsia="宋体" w:cs="Times New Roman"/>
                <w:snapToGrid w:val="0"/>
                <w:color w:val="auto"/>
                <w:kern w:val="28"/>
              </w:rPr>
              <w:t>，包括</w:t>
            </w:r>
            <w:r>
              <w:rPr>
                <w:rFonts w:hint="eastAsia" w:ascii="宋体" w:hAnsi="宋体" w:eastAsia="宋体" w:cs="Times New Roman"/>
                <w:snapToGrid w:val="0"/>
                <w:color w:val="auto"/>
                <w:kern w:val="28"/>
              </w:rPr>
              <w:t>6</w:t>
            </w:r>
            <w:r>
              <w:rPr>
                <w:rFonts w:ascii="宋体" w:hAnsi="宋体" w:eastAsia="宋体" w:cs="Times New Roman"/>
                <w:snapToGrid w:val="0"/>
                <w:color w:val="auto"/>
                <w:kern w:val="28"/>
              </w:rPr>
              <w:t>口油井</w:t>
            </w:r>
          </w:p>
        </w:tc>
        <w:tc>
          <w:tcPr>
            <w:tcW w:w="652" w:type="pct"/>
            <w:shd w:val="clear" w:color="auto" w:fill="auto"/>
            <w:vAlign w:val="center"/>
          </w:tcPr>
          <w:p w14:paraId="539B5819">
            <w:pPr>
              <w:jc w:val="center"/>
              <w:rPr>
                <w:rFonts w:ascii="宋体" w:hAnsi="宋体" w:eastAsia="宋体" w:cs="Times New Roman"/>
                <w:color w:val="auto"/>
              </w:rPr>
            </w:pPr>
            <w:r>
              <w:rPr>
                <w:rFonts w:hint="eastAsia" w:ascii="宋体" w:hAnsi="宋体" w:eastAsia="宋体" w:cs="Times New Roman"/>
                <w:color w:val="auto"/>
              </w:rPr>
              <w:t>0.6</w:t>
            </w:r>
          </w:p>
        </w:tc>
      </w:tr>
      <w:tr w14:paraId="6B692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restart"/>
            <w:shd w:val="clear" w:color="auto" w:fill="auto"/>
            <w:vAlign w:val="center"/>
          </w:tcPr>
          <w:p w14:paraId="679FD266">
            <w:pPr>
              <w:snapToGrid w:val="0"/>
              <w:jc w:val="center"/>
              <w:rPr>
                <w:rFonts w:ascii="宋体" w:hAnsi="宋体" w:eastAsia="宋体" w:cs="Times New Roman"/>
                <w:snapToGrid w:val="0"/>
                <w:color w:val="auto"/>
              </w:rPr>
            </w:pPr>
            <w:r>
              <w:rPr>
                <w:rFonts w:ascii="宋体" w:hAnsi="宋体" w:eastAsia="宋体" w:cs="Times New Roman"/>
                <w:snapToGrid w:val="0"/>
                <w:color w:val="auto"/>
              </w:rPr>
              <w:t>运营期</w:t>
            </w:r>
          </w:p>
        </w:tc>
        <w:tc>
          <w:tcPr>
            <w:tcW w:w="435" w:type="pct"/>
            <w:shd w:val="clear" w:color="auto" w:fill="auto"/>
            <w:vAlign w:val="center"/>
          </w:tcPr>
          <w:p w14:paraId="7957841E">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废气</w:t>
            </w:r>
          </w:p>
        </w:tc>
        <w:tc>
          <w:tcPr>
            <w:tcW w:w="1721" w:type="pct"/>
            <w:shd w:val="clear" w:color="auto" w:fill="auto"/>
            <w:vAlign w:val="center"/>
          </w:tcPr>
          <w:p w14:paraId="2D7476C6">
            <w:pPr>
              <w:jc w:val="center"/>
              <w:rPr>
                <w:rFonts w:ascii="宋体" w:hAnsi="宋体" w:eastAsia="宋体" w:cs="Times New Roman"/>
                <w:color w:val="auto"/>
              </w:rPr>
            </w:pPr>
            <w:r>
              <w:rPr>
                <w:rFonts w:ascii="宋体" w:hAnsi="宋体" w:eastAsia="宋体" w:cs="Times New Roman"/>
                <w:color w:val="auto"/>
              </w:rPr>
              <w:t>多功能储罐安装低氮燃烧器，并设置符合要求的采样平台和采样孔</w:t>
            </w:r>
          </w:p>
        </w:tc>
        <w:tc>
          <w:tcPr>
            <w:tcW w:w="1769" w:type="pct"/>
            <w:shd w:val="clear" w:color="auto" w:fill="auto"/>
            <w:vAlign w:val="center"/>
          </w:tcPr>
          <w:p w14:paraId="67FD57C7">
            <w:pPr>
              <w:jc w:val="center"/>
              <w:rPr>
                <w:rFonts w:ascii="宋体" w:hAnsi="宋体" w:eastAsia="宋体" w:cs="Times New Roman"/>
                <w:color w:val="auto"/>
              </w:rPr>
            </w:pPr>
            <w:r>
              <w:rPr>
                <w:rFonts w:ascii="宋体" w:hAnsi="宋体" w:eastAsia="宋体" w:cs="Times New Roman"/>
                <w:color w:val="auto"/>
              </w:rPr>
              <w:t>0.25万元/台炉，共</w:t>
            </w:r>
            <w:r>
              <w:rPr>
                <w:rFonts w:hint="eastAsia" w:ascii="宋体" w:hAnsi="宋体" w:eastAsia="宋体" w:cs="Times New Roman"/>
                <w:color w:val="auto"/>
              </w:rPr>
              <w:t>4</w:t>
            </w:r>
            <w:r>
              <w:rPr>
                <w:rFonts w:ascii="宋体" w:hAnsi="宋体" w:eastAsia="宋体" w:cs="Times New Roman"/>
                <w:color w:val="auto"/>
              </w:rPr>
              <w:t>台储罐</w:t>
            </w:r>
          </w:p>
        </w:tc>
        <w:tc>
          <w:tcPr>
            <w:tcW w:w="652" w:type="pct"/>
            <w:shd w:val="clear" w:color="auto" w:fill="auto"/>
            <w:vAlign w:val="center"/>
          </w:tcPr>
          <w:p w14:paraId="7D1D62ED">
            <w:pPr>
              <w:jc w:val="center"/>
              <w:rPr>
                <w:rFonts w:ascii="宋体" w:hAnsi="宋体" w:eastAsia="宋体" w:cs="Times New Roman"/>
                <w:color w:val="auto"/>
              </w:rPr>
            </w:pPr>
            <w:r>
              <w:rPr>
                <w:rFonts w:hint="eastAsia" w:ascii="宋体" w:hAnsi="宋体" w:eastAsia="宋体" w:cs="Times New Roman"/>
                <w:color w:val="auto"/>
              </w:rPr>
              <w:t>1.0</w:t>
            </w:r>
          </w:p>
        </w:tc>
      </w:tr>
      <w:tr w14:paraId="40093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3BBEF615">
            <w:pPr>
              <w:snapToGrid w:val="0"/>
              <w:jc w:val="center"/>
              <w:rPr>
                <w:rFonts w:ascii="宋体" w:hAnsi="宋体" w:eastAsia="宋体" w:cs="Times New Roman"/>
                <w:snapToGrid w:val="0"/>
                <w:color w:val="auto"/>
              </w:rPr>
            </w:pPr>
          </w:p>
        </w:tc>
        <w:tc>
          <w:tcPr>
            <w:tcW w:w="435" w:type="pct"/>
            <w:shd w:val="clear" w:color="auto" w:fill="auto"/>
            <w:vAlign w:val="center"/>
          </w:tcPr>
          <w:p w14:paraId="27F34A70">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废水</w:t>
            </w:r>
          </w:p>
        </w:tc>
        <w:tc>
          <w:tcPr>
            <w:tcW w:w="1721" w:type="pct"/>
            <w:shd w:val="clear" w:color="auto" w:fill="auto"/>
            <w:vAlign w:val="center"/>
          </w:tcPr>
          <w:p w14:paraId="3B7B771D">
            <w:pPr>
              <w:jc w:val="center"/>
              <w:rPr>
                <w:rFonts w:ascii="宋体" w:hAnsi="宋体" w:eastAsia="宋体" w:cs="Times New Roman"/>
                <w:snapToGrid w:val="0"/>
                <w:color w:val="auto"/>
                <w:kern w:val="28"/>
              </w:rPr>
            </w:pPr>
            <w:r>
              <w:rPr>
                <w:rFonts w:ascii="宋体" w:hAnsi="宋体" w:eastAsia="宋体" w:cs="Times New Roman"/>
                <w:color w:val="auto"/>
              </w:rPr>
              <w:t>作业污水由罐车拉运至朝二联含油污水处理站处理</w:t>
            </w:r>
          </w:p>
        </w:tc>
        <w:tc>
          <w:tcPr>
            <w:tcW w:w="1769" w:type="pct"/>
            <w:shd w:val="clear" w:color="auto" w:fill="auto"/>
            <w:vAlign w:val="center"/>
          </w:tcPr>
          <w:p w14:paraId="0A9577DE">
            <w:pPr>
              <w:jc w:val="center"/>
              <w:rPr>
                <w:rFonts w:ascii="宋体" w:hAnsi="宋体" w:eastAsia="宋体" w:cs="Times New Roman"/>
                <w:color w:val="auto"/>
              </w:rPr>
            </w:pPr>
            <w:r>
              <w:rPr>
                <w:rFonts w:ascii="宋体" w:hAnsi="宋体" w:eastAsia="宋体" w:cs="Times New Roman"/>
                <w:color w:val="auto"/>
              </w:rPr>
              <w:t>0.005万元/m</w:t>
            </w:r>
            <w:r>
              <w:rPr>
                <w:rFonts w:ascii="宋体" w:hAnsi="宋体" w:eastAsia="宋体" w:cs="Times New Roman"/>
                <w:color w:val="auto"/>
                <w:vertAlign w:val="superscript"/>
              </w:rPr>
              <w:t>3</w:t>
            </w:r>
            <w:r>
              <w:rPr>
                <w:rFonts w:ascii="宋体" w:hAnsi="宋体" w:eastAsia="宋体" w:cs="Times New Roman"/>
                <w:color w:val="auto"/>
              </w:rPr>
              <w:t>，共计</w:t>
            </w:r>
            <w:r>
              <w:rPr>
                <w:rFonts w:hint="eastAsia" w:ascii="宋体" w:hAnsi="宋体" w:eastAsia="宋体" w:cs="Times New Roman"/>
                <w:color w:val="auto"/>
              </w:rPr>
              <w:t>10.64</w:t>
            </w:r>
            <w:r>
              <w:rPr>
                <w:rFonts w:ascii="宋体" w:hAnsi="宋体" w:eastAsia="宋体" w:cs="Times New Roman"/>
                <w:color w:val="auto"/>
              </w:rPr>
              <w:t>m</w:t>
            </w:r>
            <w:r>
              <w:rPr>
                <w:rFonts w:ascii="宋体" w:hAnsi="宋体" w:eastAsia="宋体" w:cs="Times New Roman"/>
                <w:color w:val="auto"/>
                <w:vertAlign w:val="superscript"/>
              </w:rPr>
              <w:t>3</w:t>
            </w:r>
            <w:r>
              <w:rPr>
                <w:rFonts w:ascii="宋体" w:hAnsi="宋体" w:eastAsia="宋体" w:cs="Times New Roman"/>
                <w:color w:val="auto"/>
              </w:rPr>
              <w:t>/a</w:t>
            </w:r>
          </w:p>
        </w:tc>
        <w:tc>
          <w:tcPr>
            <w:tcW w:w="652" w:type="pct"/>
            <w:shd w:val="clear" w:color="auto" w:fill="auto"/>
            <w:vAlign w:val="center"/>
          </w:tcPr>
          <w:p w14:paraId="23243B71">
            <w:pPr>
              <w:jc w:val="center"/>
              <w:rPr>
                <w:rFonts w:ascii="宋体" w:hAnsi="宋体" w:eastAsia="宋体" w:cs="Times New Roman"/>
                <w:color w:val="auto"/>
              </w:rPr>
            </w:pPr>
            <w:r>
              <w:rPr>
                <w:rFonts w:hint="eastAsia" w:ascii="宋体" w:hAnsi="宋体" w:eastAsia="宋体" w:cs="Times New Roman"/>
                <w:color w:val="auto"/>
              </w:rPr>
              <w:t>0.05</w:t>
            </w:r>
          </w:p>
        </w:tc>
      </w:tr>
      <w:tr w14:paraId="237B3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3C673ADD">
            <w:pPr>
              <w:snapToGrid w:val="0"/>
              <w:jc w:val="center"/>
              <w:rPr>
                <w:rFonts w:ascii="宋体" w:hAnsi="宋体" w:eastAsia="宋体" w:cs="Times New Roman"/>
                <w:snapToGrid w:val="0"/>
                <w:color w:val="auto"/>
              </w:rPr>
            </w:pPr>
          </w:p>
        </w:tc>
        <w:tc>
          <w:tcPr>
            <w:tcW w:w="435" w:type="pct"/>
            <w:shd w:val="clear" w:color="auto" w:fill="auto"/>
            <w:vAlign w:val="center"/>
          </w:tcPr>
          <w:p w14:paraId="5F4A01BB">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噪声</w:t>
            </w:r>
          </w:p>
        </w:tc>
        <w:tc>
          <w:tcPr>
            <w:tcW w:w="1721" w:type="pct"/>
            <w:shd w:val="clear" w:color="auto" w:fill="auto"/>
            <w:vAlign w:val="center"/>
          </w:tcPr>
          <w:p w14:paraId="35314DC8">
            <w:pPr>
              <w:jc w:val="center"/>
              <w:rPr>
                <w:rFonts w:ascii="宋体" w:hAnsi="宋体" w:eastAsia="宋体" w:cs="Times New Roman"/>
                <w:color w:val="auto"/>
              </w:rPr>
            </w:pPr>
            <w:r>
              <w:rPr>
                <w:rFonts w:ascii="宋体" w:hAnsi="宋体" w:eastAsia="宋体" w:cs="Times New Roman"/>
                <w:color w:val="auto"/>
              </w:rPr>
              <w:t>低噪声设备、基础减振</w:t>
            </w:r>
          </w:p>
        </w:tc>
        <w:tc>
          <w:tcPr>
            <w:tcW w:w="1769" w:type="pct"/>
            <w:shd w:val="clear" w:color="auto" w:fill="auto"/>
            <w:vAlign w:val="center"/>
          </w:tcPr>
          <w:p w14:paraId="3F81CC3F">
            <w:pPr>
              <w:jc w:val="center"/>
              <w:rPr>
                <w:rFonts w:ascii="宋体" w:hAnsi="宋体" w:eastAsia="宋体" w:cs="Times New Roman"/>
                <w:color w:val="auto"/>
              </w:rPr>
            </w:pPr>
            <w:r>
              <w:rPr>
                <w:rFonts w:ascii="宋体" w:hAnsi="宋体" w:eastAsia="宋体" w:cs="Times New Roman"/>
                <w:color w:val="auto"/>
              </w:rPr>
              <w:t>0.1万元/口井，包括</w:t>
            </w:r>
            <w:r>
              <w:rPr>
                <w:rFonts w:hint="eastAsia" w:ascii="宋体" w:hAnsi="宋体" w:eastAsia="宋体" w:cs="Times New Roman"/>
                <w:color w:val="auto"/>
              </w:rPr>
              <w:t>6</w:t>
            </w:r>
            <w:r>
              <w:rPr>
                <w:rFonts w:ascii="宋体" w:hAnsi="宋体" w:eastAsia="宋体" w:cs="Times New Roman"/>
                <w:color w:val="auto"/>
              </w:rPr>
              <w:t>口油井</w:t>
            </w:r>
          </w:p>
        </w:tc>
        <w:tc>
          <w:tcPr>
            <w:tcW w:w="652" w:type="pct"/>
            <w:shd w:val="clear" w:color="auto" w:fill="auto"/>
            <w:vAlign w:val="center"/>
          </w:tcPr>
          <w:p w14:paraId="71855783">
            <w:pPr>
              <w:jc w:val="center"/>
              <w:rPr>
                <w:rFonts w:ascii="宋体" w:hAnsi="宋体" w:eastAsia="宋体" w:cs="Times New Roman"/>
                <w:color w:val="auto"/>
              </w:rPr>
            </w:pPr>
            <w:r>
              <w:rPr>
                <w:rFonts w:hint="eastAsia" w:ascii="宋体" w:hAnsi="宋体" w:eastAsia="宋体" w:cs="Times New Roman"/>
                <w:color w:val="auto"/>
              </w:rPr>
              <w:t>0.6</w:t>
            </w:r>
          </w:p>
        </w:tc>
      </w:tr>
      <w:tr w14:paraId="3E8D2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49598F2F">
            <w:pPr>
              <w:snapToGrid w:val="0"/>
              <w:jc w:val="center"/>
              <w:rPr>
                <w:rFonts w:ascii="宋体" w:hAnsi="宋体" w:eastAsia="宋体" w:cs="Times New Roman"/>
                <w:snapToGrid w:val="0"/>
                <w:color w:val="auto"/>
              </w:rPr>
            </w:pPr>
          </w:p>
        </w:tc>
        <w:tc>
          <w:tcPr>
            <w:tcW w:w="435" w:type="pct"/>
            <w:vMerge w:val="restart"/>
            <w:shd w:val="clear" w:color="auto" w:fill="auto"/>
            <w:vAlign w:val="center"/>
          </w:tcPr>
          <w:p w14:paraId="0BD6D3F2">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固体废物</w:t>
            </w:r>
          </w:p>
        </w:tc>
        <w:tc>
          <w:tcPr>
            <w:tcW w:w="1721" w:type="pct"/>
            <w:shd w:val="clear" w:color="auto" w:fill="auto"/>
            <w:vAlign w:val="center"/>
          </w:tcPr>
          <w:p w14:paraId="4B8DA489">
            <w:pPr>
              <w:jc w:val="center"/>
              <w:rPr>
                <w:rFonts w:ascii="宋体" w:hAnsi="宋体" w:eastAsia="宋体" w:cs="Times New Roman"/>
                <w:snapToGrid w:val="0"/>
                <w:color w:val="auto"/>
                <w:kern w:val="28"/>
              </w:rPr>
            </w:pPr>
            <w:r>
              <w:rPr>
                <w:rFonts w:ascii="宋体" w:hAnsi="宋体" w:eastAsia="宋体" w:cs="Times New Roman"/>
                <w:color w:val="auto"/>
              </w:rPr>
              <w:t>含油污泥、落地油由罐车拉运至朝一联含油污泥处理站减量化处理后，再委托大庆博昕晶化科技有限公司处理</w:t>
            </w:r>
          </w:p>
        </w:tc>
        <w:tc>
          <w:tcPr>
            <w:tcW w:w="1769" w:type="pct"/>
            <w:shd w:val="clear" w:color="auto" w:fill="auto"/>
            <w:vAlign w:val="center"/>
          </w:tcPr>
          <w:p w14:paraId="13EDE966">
            <w:pPr>
              <w:jc w:val="center"/>
              <w:rPr>
                <w:rFonts w:ascii="宋体" w:hAnsi="宋体" w:eastAsia="宋体" w:cs="Times New Roman"/>
                <w:color w:val="auto"/>
              </w:rPr>
            </w:pPr>
            <w:r>
              <w:rPr>
                <w:rFonts w:ascii="宋体" w:hAnsi="宋体" w:eastAsia="宋体" w:cs="Times New Roman"/>
                <w:color w:val="auto"/>
              </w:rPr>
              <w:t>0.5万元/吨，共计</w:t>
            </w:r>
            <w:r>
              <w:rPr>
                <w:rFonts w:hint="eastAsia" w:ascii="宋体" w:hAnsi="宋体" w:eastAsia="宋体" w:cs="Times New Roman"/>
                <w:color w:val="auto"/>
              </w:rPr>
              <w:t>0.478</w:t>
            </w:r>
            <w:r>
              <w:rPr>
                <w:rFonts w:ascii="宋体" w:hAnsi="宋体" w:eastAsia="宋体" w:cs="Times New Roman"/>
                <w:color w:val="auto"/>
              </w:rPr>
              <w:t>t/a</w:t>
            </w:r>
          </w:p>
        </w:tc>
        <w:tc>
          <w:tcPr>
            <w:tcW w:w="652" w:type="pct"/>
            <w:shd w:val="clear" w:color="auto" w:fill="auto"/>
            <w:vAlign w:val="center"/>
          </w:tcPr>
          <w:p w14:paraId="291FA86D">
            <w:pPr>
              <w:jc w:val="center"/>
              <w:rPr>
                <w:rFonts w:ascii="宋体" w:hAnsi="宋体" w:eastAsia="宋体" w:cs="Times New Roman"/>
                <w:color w:val="auto"/>
              </w:rPr>
            </w:pPr>
            <w:r>
              <w:rPr>
                <w:rFonts w:hint="eastAsia" w:ascii="宋体" w:hAnsi="宋体" w:eastAsia="宋体" w:cs="Times New Roman"/>
                <w:color w:val="auto"/>
              </w:rPr>
              <w:t>0.239</w:t>
            </w:r>
          </w:p>
        </w:tc>
      </w:tr>
      <w:tr w14:paraId="02038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47B1D699">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0C8275EA">
            <w:pPr>
              <w:jc w:val="center"/>
              <w:rPr>
                <w:rFonts w:ascii="宋体" w:hAnsi="宋体" w:eastAsia="宋体" w:cs="Times New Roman"/>
                <w:snapToGrid w:val="0"/>
                <w:color w:val="auto"/>
                <w:kern w:val="28"/>
              </w:rPr>
            </w:pPr>
          </w:p>
        </w:tc>
        <w:tc>
          <w:tcPr>
            <w:tcW w:w="1721" w:type="pct"/>
            <w:shd w:val="clear" w:color="auto" w:fill="auto"/>
            <w:vAlign w:val="center"/>
          </w:tcPr>
          <w:p w14:paraId="03F24CAE">
            <w:pPr>
              <w:jc w:val="center"/>
              <w:rPr>
                <w:rFonts w:ascii="宋体" w:hAnsi="宋体" w:eastAsia="宋体" w:cs="Times New Roman"/>
                <w:snapToGrid w:val="0"/>
                <w:color w:val="auto"/>
                <w:kern w:val="28"/>
              </w:rPr>
            </w:pPr>
            <w:r>
              <w:rPr>
                <w:rFonts w:ascii="宋体" w:hAnsi="宋体" w:eastAsia="宋体" w:cs="Times New Roman"/>
                <w:color w:val="auto"/>
              </w:rPr>
              <w:t>含油防渗布由建设单位统一收集后暂存于第十采油厂综合固废储存库，定期委托有资质单位处理</w:t>
            </w:r>
          </w:p>
        </w:tc>
        <w:tc>
          <w:tcPr>
            <w:tcW w:w="1769" w:type="pct"/>
            <w:shd w:val="clear" w:color="auto" w:fill="auto"/>
            <w:vAlign w:val="center"/>
          </w:tcPr>
          <w:p w14:paraId="01746B4F">
            <w:pPr>
              <w:jc w:val="center"/>
              <w:rPr>
                <w:rFonts w:ascii="宋体" w:hAnsi="宋体" w:eastAsia="宋体" w:cs="Times New Roman"/>
                <w:color w:val="auto"/>
              </w:rPr>
            </w:pPr>
            <w:r>
              <w:rPr>
                <w:rFonts w:ascii="宋体" w:hAnsi="宋体" w:eastAsia="宋体" w:cs="Times New Roman"/>
                <w:color w:val="auto"/>
              </w:rPr>
              <w:t>0.5万元/吨，共计0.</w:t>
            </w:r>
            <w:r>
              <w:rPr>
                <w:rFonts w:hint="eastAsia" w:ascii="宋体" w:hAnsi="宋体" w:eastAsia="宋体" w:cs="Times New Roman"/>
                <w:color w:val="auto"/>
              </w:rPr>
              <w:t>07</w:t>
            </w:r>
            <w:r>
              <w:rPr>
                <w:rFonts w:ascii="宋体" w:hAnsi="宋体" w:eastAsia="宋体" w:cs="Times New Roman"/>
                <w:color w:val="auto"/>
              </w:rPr>
              <w:t>t/a</w:t>
            </w:r>
          </w:p>
        </w:tc>
        <w:tc>
          <w:tcPr>
            <w:tcW w:w="652" w:type="pct"/>
            <w:shd w:val="clear" w:color="auto" w:fill="auto"/>
            <w:vAlign w:val="center"/>
          </w:tcPr>
          <w:p w14:paraId="6A455CBC">
            <w:pPr>
              <w:jc w:val="center"/>
              <w:rPr>
                <w:rFonts w:ascii="宋体" w:hAnsi="宋体" w:eastAsia="宋体" w:cs="Times New Roman"/>
                <w:color w:val="auto"/>
              </w:rPr>
            </w:pPr>
            <w:r>
              <w:rPr>
                <w:rFonts w:ascii="宋体" w:hAnsi="宋体" w:eastAsia="宋体" w:cs="Times New Roman"/>
                <w:color w:val="auto"/>
              </w:rPr>
              <w:t>0.</w:t>
            </w:r>
            <w:r>
              <w:rPr>
                <w:rFonts w:hint="eastAsia" w:ascii="宋体" w:hAnsi="宋体" w:eastAsia="宋体" w:cs="Times New Roman"/>
                <w:color w:val="auto"/>
              </w:rPr>
              <w:t>0035</w:t>
            </w:r>
          </w:p>
        </w:tc>
      </w:tr>
      <w:tr w14:paraId="560EB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restart"/>
            <w:shd w:val="clear" w:color="auto" w:fill="auto"/>
            <w:vAlign w:val="center"/>
          </w:tcPr>
          <w:p w14:paraId="5CE4BBD2">
            <w:pPr>
              <w:snapToGrid w:val="0"/>
              <w:jc w:val="center"/>
              <w:rPr>
                <w:rFonts w:ascii="宋体" w:hAnsi="宋体" w:eastAsia="宋体" w:cs="Times New Roman"/>
                <w:snapToGrid w:val="0"/>
                <w:color w:val="auto"/>
              </w:rPr>
            </w:pPr>
            <w:r>
              <w:rPr>
                <w:rFonts w:ascii="宋体" w:hAnsi="宋体" w:eastAsia="宋体" w:cs="Times New Roman"/>
                <w:snapToGrid w:val="0"/>
                <w:color w:val="auto"/>
              </w:rPr>
              <w:t>退役期</w:t>
            </w:r>
          </w:p>
        </w:tc>
        <w:tc>
          <w:tcPr>
            <w:tcW w:w="435" w:type="pct"/>
            <w:shd w:val="clear" w:color="auto" w:fill="auto"/>
            <w:vAlign w:val="center"/>
          </w:tcPr>
          <w:p w14:paraId="4E063C09">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废气</w:t>
            </w:r>
          </w:p>
        </w:tc>
        <w:tc>
          <w:tcPr>
            <w:tcW w:w="1721" w:type="pct"/>
            <w:shd w:val="clear" w:color="auto" w:fill="auto"/>
            <w:vAlign w:val="center"/>
          </w:tcPr>
          <w:p w14:paraId="603A0075">
            <w:pPr>
              <w:jc w:val="center"/>
              <w:rPr>
                <w:rFonts w:ascii="宋体" w:hAnsi="宋体" w:eastAsia="宋体" w:cs="Times New Roman"/>
                <w:color w:val="auto"/>
              </w:rPr>
            </w:pPr>
            <w:r>
              <w:rPr>
                <w:rFonts w:ascii="宋体" w:hAnsi="宋体" w:eastAsia="宋体" w:cs="Times New Roman"/>
                <w:snapToGrid w:val="0"/>
                <w:color w:val="auto"/>
                <w:kern w:val="28"/>
              </w:rPr>
              <w:t>施工扬尘</w:t>
            </w:r>
            <w:r>
              <w:rPr>
                <w:rFonts w:ascii="宋体" w:hAnsi="宋体" w:eastAsia="宋体" w:cs="Times New Roman"/>
                <w:color w:val="auto"/>
              </w:rPr>
              <w:t>采取车辆密闭运输、洒水抑尘</w:t>
            </w:r>
          </w:p>
        </w:tc>
        <w:tc>
          <w:tcPr>
            <w:tcW w:w="1769" w:type="pct"/>
            <w:shd w:val="clear" w:color="auto" w:fill="auto"/>
            <w:vAlign w:val="center"/>
          </w:tcPr>
          <w:p w14:paraId="2C306484">
            <w:pPr>
              <w:jc w:val="center"/>
              <w:rPr>
                <w:rFonts w:ascii="宋体" w:hAnsi="宋体" w:eastAsia="宋体" w:cs="Times New Roman"/>
                <w:color w:val="auto"/>
              </w:rPr>
            </w:pPr>
            <w:r>
              <w:rPr>
                <w:rFonts w:ascii="宋体" w:hAnsi="宋体" w:eastAsia="宋体" w:cs="Times New Roman"/>
                <w:color w:val="auto"/>
              </w:rPr>
              <w:t>0.1万元/口井，共</w:t>
            </w:r>
            <w:r>
              <w:rPr>
                <w:rFonts w:hint="eastAsia" w:ascii="宋体" w:hAnsi="宋体" w:eastAsia="宋体" w:cs="Times New Roman"/>
                <w:color w:val="auto"/>
              </w:rPr>
              <w:t>6</w:t>
            </w:r>
            <w:r>
              <w:rPr>
                <w:rFonts w:ascii="宋体" w:hAnsi="宋体" w:eastAsia="宋体" w:cs="Times New Roman"/>
                <w:color w:val="auto"/>
              </w:rPr>
              <w:t>口油井</w:t>
            </w:r>
          </w:p>
        </w:tc>
        <w:tc>
          <w:tcPr>
            <w:tcW w:w="652" w:type="pct"/>
            <w:shd w:val="clear" w:color="auto" w:fill="auto"/>
            <w:vAlign w:val="center"/>
          </w:tcPr>
          <w:p w14:paraId="578CF7E4">
            <w:pPr>
              <w:jc w:val="center"/>
              <w:rPr>
                <w:rFonts w:ascii="宋体" w:hAnsi="宋体" w:eastAsia="宋体" w:cs="Times New Roman"/>
                <w:snapToGrid w:val="0"/>
                <w:color w:val="auto"/>
                <w:kern w:val="28"/>
              </w:rPr>
            </w:pPr>
            <w:r>
              <w:rPr>
                <w:rFonts w:hint="eastAsia" w:ascii="宋体" w:hAnsi="宋体" w:eastAsia="宋体" w:cs="Times New Roman"/>
                <w:snapToGrid w:val="0"/>
                <w:color w:val="auto"/>
                <w:kern w:val="28"/>
              </w:rPr>
              <w:t>0.6</w:t>
            </w:r>
          </w:p>
        </w:tc>
      </w:tr>
      <w:tr w14:paraId="2690E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0E20FD34">
            <w:pPr>
              <w:snapToGrid w:val="0"/>
              <w:jc w:val="center"/>
              <w:rPr>
                <w:rFonts w:ascii="宋体" w:hAnsi="宋体" w:eastAsia="宋体" w:cs="Times New Roman"/>
                <w:snapToGrid w:val="0"/>
                <w:color w:val="auto"/>
              </w:rPr>
            </w:pPr>
          </w:p>
        </w:tc>
        <w:tc>
          <w:tcPr>
            <w:tcW w:w="435" w:type="pct"/>
            <w:vMerge w:val="restart"/>
            <w:shd w:val="clear" w:color="auto" w:fill="auto"/>
            <w:vAlign w:val="center"/>
          </w:tcPr>
          <w:p w14:paraId="229E663F">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固体废物</w:t>
            </w:r>
          </w:p>
        </w:tc>
        <w:tc>
          <w:tcPr>
            <w:tcW w:w="1721" w:type="pct"/>
            <w:shd w:val="clear" w:color="auto" w:fill="auto"/>
            <w:vAlign w:val="center"/>
          </w:tcPr>
          <w:p w14:paraId="31C534C3">
            <w:pPr>
              <w:jc w:val="center"/>
              <w:rPr>
                <w:rFonts w:ascii="宋体" w:hAnsi="宋体" w:eastAsia="宋体" w:cs="Times New Roman"/>
                <w:color w:val="auto"/>
              </w:rPr>
            </w:pPr>
            <w:r>
              <w:rPr>
                <w:rFonts w:ascii="宋体" w:hAnsi="宋体" w:eastAsia="宋体" w:cs="Times New Roman"/>
                <w:color w:val="auto"/>
              </w:rPr>
              <w:t>封井建筑垃圾统一收集后拉运至建筑垃圾调配场处置</w:t>
            </w:r>
          </w:p>
        </w:tc>
        <w:tc>
          <w:tcPr>
            <w:tcW w:w="1769" w:type="pct"/>
            <w:shd w:val="clear" w:color="auto" w:fill="auto"/>
            <w:vAlign w:val="center"/>
          </w:tcPr>
          <w:p w14:paraId="7585E751">
            <w:pPr>
              <w:jc w:val="center"/>
              <w:rPr>
                <w:rFonts w:ascii="宋体" w:hAnsi="宋体" w:eastAsia="宋体" w:cs="Times New Roman"/>
                <w:color w:val="auto"/>
              </w:rPr>
            </w:pPr>
            <w:r>
              <w:rPr>
                <w:rFonts w:ascii="宋体" w:hAnsi="宋体" w:eastAsia="宋体" w:cs="Times New Roman"/>
                <w:color w:val="auto"/>
              </w:rPr>
              <w:t>0.1万元/吨，共计</w:t>
            </w:r>
            <w:r>
              <w:rPr>
                <w:rFonts w:hint="eastAsia" w:ascii="宋体" w:hAnsi="宋体" w:eastAsia="宋体" w:cs="Times New Roman"/>
                <w:color w:val="auto"/>
              </w:rPr>
              <w:t>0.4</w:t>
            </w:r>
            <w:r>
              <w:rPr>
                <w:rFonts w:ascii="宋体" w:hAnsi="宋体" w:eastAsia="宋体" w:cs="Times New Roman"/>
                <w:color w:val="auto"/>
              </w:rPr>
              <w:t>t</w:t>
            </w:r>
          </w:p>
        </w:tc>
        <w:tc>
          <w:tcPr>
            <w:tcW w:w="652" w:type="pct"/>
            <w:shd w:val="clear" w:color="auto" w:fill="auto"/>
            <w:vAlign w:val="center"/>
          </w:tcPr>
          <w:p w14:paraId="2D07FD65">
            <w:pPr>
              <w:jc w:val="center"/>
              <w:rPr>
                <w:rFonts w:ascii="宋体" w:hAnsi="宋体" w:eastAsia="宋体" w:cs="Times New Roman"/>
                <w:color w:val="auto"/>
              </w:rPr>
            </w:pPr>
            <w:r>
              <w:rPr>
                <w:rFonts w:ascii="宋体" w:hAnsi="宋体" w:eastAsia="宋体" w:cs="Times New Roman"/>
                <w:color w:val="auto"/>
              </w:rPr>
              <w:t>0.</w:t>
            </w:r>
            <w:r>
              <w:rPr>
                <w:rFonts w:hint="eastAsia" w:ascii="宋体" w:hAnsi="宋体" w:eastAsia="宋体" w:cs="Times New Roman"/>
                <w:color w:val="auto"/>
              </w:rPr>
              <w:t>04</w:t>
            </w:r>
          </w:p>
        </w:tc>
      </w:tr>
      <w:tr w14:paraId="2C9F5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shd w:val="clear" w:color="auto" w:fill="auto"/>
            <w:vAlign w:val="center"/>
          </w:tcPr>
          <w:p w14:paraId="1FD3A34E">
            <w:pPr>
              <w:snapToGrid w:val="0"/>
              <w:jc w:val="center"/>
              <w:rPr>
                <w:rFonts w:ascii="宋体" w:hAnsi="宋体" w:eastAsia="宋体" w:cs="Times New Roman"/>
                <w:snapToGrid w:val="0"/>
                <w:color w:val="auto"/>
              </w:rPr>
            </w:pPr>
          </w:p>
        </w:tc>
        <w:tc>
          <w:tcPr>
            <w:tcW w:w="435" w:type="pct"/>
            <w:vMerge w:val="continue"/>
            <w:shd w:val="clear" w:color="auto" w:fill="auto"/>
            <w:vAlign w:val="center"/>
          </w:tcPr>
          <w:p w14:paraId="152CA801">
            <w:pPr>
              <w:jc w:val="center"/>
              <w:rPr>
                <w:rFonts w:ascii="宋体" w:hAnsi="宋体" w:eastAsia="宋体" w:cs="Times New Roman"/>
                <w:snapToGrid w:val="0"/>
                <w:color w:val="auto"/>
                <w:kern w:val="28"/>
              </w:rPr>
            </w:pPr>
          </w:p>
        </w:tc>
        <w:tc>
          <w:tcPr>
            <w:tcW w:w="1721" w:type="pct"/>
            <w:shd w:val="clear" w:color="auto" w:fill="auto"/>
            <w:vAlign w:val="center"/>
          </w:tcPr>
          <w:p w14:paraId="6D35D878">
            <w:pPr>
              <w:jc w:val="center"/>
              <w:rPr>
                <w:rFonts w:ascii="宋体" w:hAnsi="宋体" w:eastAsia="宋体" w:cs="Times New Roman"/>
                <w:color w:val="auto"/>
              </w:rPr>
            </w:pPr>
            <w:r>
              <w:rPr>
                <w:rFonts w:ascii="宋体" w:hAnsi="宋体" w:eastAsia="宋体" w:cs="Times New Roman"/>
                <w:color w:val="auto"/>
              </w:rPr>
              <w:t>生活垃圾统一收集</w:t>
            </w:r>
            <w:r>
              <w:rPr>
                <w:rFonts w:ascii="宋体" w:hAnsi="宋体" w:eastAsia="宋体" w:cs="Times New Roman"/>
                <w:color w:val="auto"/>
                <w:kern w:val="21"/>
              </w:rPr>
              <w:t>拉运至肇源县利民城市垃圾处理有限公司处理</w:t>
            </w:r>
          </w:p>
        </w:tc>
        <w:tc>
          <w:tcPr>
            <w:tcW w:w="1769" w:type="pct"/>
            <w:shd w:val="clear" w:color="auto" w:fill="auto"/>
            <w:vAlign w:val="center"/>
          </w:tcPr>
          <w:p w14:paraId="45BE76F1">
            <w:pPr>
              <w:jc w:val="center"/>
              <w:rPr>
                <w:rFonts w:ascii="宋体" w:hAnsi="宋体" w:eastAsia="宋体" w:cs="Times New Roman"/>
                <w:color w:val="auto"/>
              </w:rPr>
            </w:pPr>
            <w:r>
              <w:rPr>
                <w:rFonts w:ascii="宋体" w:hAnsi="宋体" w:eastAsia="宋体" w:cs="Times New Roman"/>
                <w:color w:val="auto"/>
              </w:rPr>
              <w:t>0.1万元/吨，共计</w:t>
            </w:r>
            <w:r>
              <w:rPr>
                <w:rFonts w:hint="eastAsia" w:ascii="宋体" w:hAnsi="宋体" w:eastAsia="宋体" w:cs="Times New Roman"/>
                <w:color w:val="auto"/>
              </w:rPr>
              <w:t>1.84</w:t>
            </w:r>
            <w:r>
              <w:rPr>
                <w:rFonts w:ascii="宋体" w:hAnsi="宋体" w:eastAsia="宋体" w:cs="Times New Roman"/>
                <w:color w:val="auto"/>
              </w:rPr>
              <w:t>t</w:t>
            </w:r>
          </w:p>
        </w:tc>
        <w:tc>
          <w:tcPr>
            <w:tcW w:w="652" w:type="pct"/>
            <w:shd w:val="clear" w:color="auto" w:fill="auto"/>
            <w:vAlign w:val="center"/>
          </w:tcPr>
          <w:p w14:paraId="36E5E56D">
            <w:pPr>
              <w:jc w:val="center"/>
              <w:rPr>
                <w:rFonts w:ascii="宋体" w:hAnsi="宋体" w:eastAsia="宋体" w:cs="Times New Roman"/>
                <w:color w:val="auto"/>
              </w:rPr>
            </w:pPr>
            <w:r>
              <w:rPr>
                <w:rFonts w:ascii="宋体" w:hAnsi="宋体" w:eastAsia="宋体" w:cs="Times New Roman"/>
                <w:color w:val="auto"/>
              </w:rPr>
              <w:t>0.0</w:t>
            </w:r>
            <w:r>
              <w:rPr>
                <w:rFonts w:hint="eastAsia" w:ascii="宋体" w:hAnsi="宋体" w:eastAsia="宋体" w:cs="Times New Roman"/>
                <w:color w:val="auto"/>
              </w:rPr>
              <w:t>18</w:t>
            </w:r>
          </w:p>
        </w:tc>
      </w:tr>
      <w:tr w14:paraId="127F9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8" w:type="pct"/>
            <w:gridSpan w:val="2"/>
            <w:shd w:val="clear" w:color="auto" w:fill="auto"/>
            <w:vAlign w:val="center"/>
          </w:tcPr>
          <w:p w14:paraId="774C70FD">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风险防范</w:t>
            </w:r>
          </w:p>
        </w:tc>
        <w:tc>
          <w:tcPr>
            <w:tcW w:w="1721" w:type="pct"/>
            <w:shd w:val="clear" w:color="auto" w:fill="auto"/>
            <w:vAlign w:val="center"/>
          </w:tcPr>
          <w:p w14:paraId="4A9791F2">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配备围油栏、吸油毡、消油剂等应急物资，拉油点储罐和油井作业区域边缘设置玻璃钢围堰，定期进行应急演练等风险防范措施及应急措施</w:t>
            </w:r>
          </w:p>
        </w:tc>
        <w:tc>
          <w:tcPr>
            <w:tcW w:w="1769" w:type="pct"/>
            <w:shd w:val="clear" w:color="auto" w:fill="auto"/>
            <w:vAlign w:val="center"/>
          </w:tcPr>
          <w:p w14:paraId="33C6CA74">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配备1套</w:t>
            </w:r>
          </w:p>
        </w:tc>
        <w:tc>
          <w:tcPr>
            <w:tcW w:w="652" w:type="pct"/>
            <w:shd w:val="clear" w:color="auto" w:fill="auto"/>
            <w:vAlign w:val="center"/>
          </w:tcPr>
          <w:p w14:paraId="6C51A04D">
            <w:pPr>
              <w:jc w:val="center"/>
              <w:rPr>
                <w:rFonts w:ascii="宋体" w:hAnsi="宋体" w:eastAsia="宋体" w:cs="Times New Roman"/>
                <w:color w:val="auto"/>
              </w:rPr>
            </w:pPr>
            <w:r>
              <w:rPr>
                <w:rFonts w:ascii="宋体" w:hAnsi="宋体" w:eastAsia="宋体" w:cs="Times New Roman"/>
                <w:color w:val="auto"/>
              </w:rPr>
              <w:t>6</w:t>
            </w:r>
          </w:p>
        </w:tc>
      </w:tr>
      <w:tr w14:paraId="15B28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8" w:type="pct"/>
            <w:gridSpan w:val="2"/>
            <w:vMerge w:val="restart"/>
            <w:shd w:val="clear" w:color="auto" w:fill="auto"/>
            <w:vAlign w:val="center"/>
          </w:tcPr>
          <w:p w14:paraId="4357B8A2">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地下水及土壤防范措施</w:t>
            </w:r>
          </w:p>
        </w:tc>
        <w:tc>
          <w:tcPr>
            <w:tcW w:w="1721" w:type="pct"/>
            <w:shd w:val="clear" w:color="auto" w:fill="auto"/>
            <w:vAlign w:val="center"/>
          </w:tcPr>
          <w:p w14:paraId="1752FFA9">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施工期和运营期井场采取的分区防渗措施；井场作业区和拉油点罐区采取重点防渗措施</w:t>
            </w:r>
          </w:p>
        </w:tc>
        <w:tc>
          <w:tcPr>
            <w:tcW w:w="1769" w:type="pct"/>
            <w:shd w:val="clear" w:color="auto" w:fill="auto"/>
            <w:vAlign w:val="center"/>
          </w:tcPr>
          <w:p w14:paraId="6626C3F1">
            <w:pPr>
              <w:jc w:val="center"/>
              <w:rPr>
                <w:rFonts w:ascii="宋体" w:hAnsi="宋体" w:eastAsia="宋体" w:cs="Times New Roman"/>
                <w:snapToGrid w:val="0"/>
                <w:color w:val="auto"/>
                <w:kern w:val="28"/>
              </w:rPr>
            </w:pPr>
            <w:r>
              <w:rPr>
                <w:rFonts w:ascii="宋体" w:hAnsi="宋体" w:eastAsia="宋体" w:cs="Times New Roman"/>
                <w:color w:val="auto"/>
              </w:rPr>
              <w:t>0.2</w:t>
            </w:r>
            <w:r>
              <w:rPr>
                <w:rFonts w:ascii="宋体" w:hAnsi="宋体" w:eastAsia="宋体" w:cs="Times New Roman"/>
                <w:snapToGrid w:val="0"/>
                <w:color w:val="auto"/>
                <w:kern w:val="28"/>
              </w:rPr>
              <w:t>万元/场地，共</w:t>
            </w:r>
            <w:r>
              <w:rPr>
                <w:rFonts w:hint="eastAsia" w:ascii="宋体" w:hAnsi="宋体" w:eastAsia="宋体" w:cs="Times New Roman"/>
                <w:snapToGrid w:val="0"/>
                <w:color w:val="auto"/>
                <w:kern w:val="28"/>
              </w:rPr>
              <w:t>6</w:t>
            </w:r>
            <w:r>
              <w:rPr>
                <w:rFonts w:ascii="宋体" w:hAnsi="宋体" w:eastAsia="宋体" w:cs="Times New Roman"/>
                <w:snapToGrid w:val="0"/>
                <w:color w:val="auto"/>
                <w:kern w:val="28"/>
              </w:rPr>
              <w:t>座井场和</w:t>
            </w:r>
            <w:r>
              <w:rPr>
                <w:rFonts w:hint="eastAsia" w:ascii="宋体" w:hAnsi="宋体" w:eastAsia="宋体" w:cs="Times New Roman"/>
                <w:snapToGrid w:val="0"/>
                <w:color w:val="auto"/>
                <w:kern w:val="28"/>
              </w:rPr>
              <w:t>3</w:t>
            </w:r>
            <w:r>
              <w:rPr>
                <w:rFonts w:ascii="宋体" w:hAnsi="宋体" w:eastAsia="宋体" w:cs="Times New Roman"/>
                <w:snapToGrid w:val="0"/>
                <w:color w:val="auto"/>
                <w:kern w:val="28"/>
              </w:rPr>
              <w:t>座拉油点</w:t>
            </w:r>
          </w:p>
        </w:tc>
        <w:tc>
          <w:tcPr>
            <w:tcW w:w="652" w:type="pct"/>
            <w:shd w:val="clear" w:color="auto" w:fill="auto"/>
            <w:vAlign w:val="center"/>
          </w:tcPr>
          <w:p w14:paraId="7837F4AD">
            <w:pPr>
              <w:jc w:val="center"/>
              <w:rPr>
                <w:rFonts w:ascii="宋体" w:hAnsi="宋体" w:eastAsia="宋体" w:cs="Times New Roman"/>
                <w:color w:val="auto"/>
              </w:rPr>
            </w:pPr>
            <w:r>
              <w:rPr>
                <w:rFonts w:hint="eastAsia" w:ascii="宋体" w:hAnsi="宋体" w:eastAsia="宋体" w:cs="Times New Roman"/>
                <w:color w:val="auto"/>
              </w:rPr>
              <w:t>1</w:t>
            </w:r>
            <w:r>
              <w:rPr>
                <w:rFonts w:ascii="宋体" w:hAnsi="宋体" w:eastAsia="宋体" w:cs="Times New Roman"/>
                <w:color w:val="auto"/>
              </w:rPr>
              <w:t>.8</w:t>
            </w:r>
          </w:p>
        </w:tc>
      </w:tr>
      <w:tr w14:paraId="5FF7D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8" w:type="pct"/>
            <w:gridSpan w:val="2"/>
            <w:vMerge w:val="continue"/>
            <w:shd w:val="clear" w:color="auto" w:fill="auto"/>
            <w:vAlign w:val="center"/>
          </w:tcPr>
          <w:p w14:paraId="7C2ECB97">
            <w:pPr>
              <w:jc w:val="center"/>
              <w:rPr>
                <w:rFonts w:ascii="宋体" w:hAnsi="宋体" w:eastAsia="宋体" w:cs="Times New Roman"/>
                <w:snapToGrid w:val="0"/>
                <w:color w:val="auto"/>
                <w:kern w:val="28"/>
              </w:rPr>
            </w:pPr>
          </w:p>
        </w:tc>
        <w:tc>
          <w:tcPr>
            <w:tcW w:w="1721" w:type="pct"/>
            <w:shd w:val="clear" w:color="auto" w:fill="auto"/>
            <w:vAlign w:val="center"/>
          </w:tcPr>
          <w:p w14:paraId="2A455B0A">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依托周边已建水井设</w:t>
            </w:r>
            <w:r>
              <w:rPr>
                <w:rFonts w:hint="eastAsia" w:ascii="宋体" w:hAnsi="宋体" w:eastAsia="宋体" w:cs="Times New Roman"/>
                <w:snapToGrid w:val="0"/>
                <w:color w:val="auto"/>
                <w:kern w:val="28"/>
              </w:rPr>
              <w:t>7</w:t>
            </w:r>
            <w:r>
              <w:rPr>
                <w:rFonts w:ascii="宋体" w:hAnsi="宋体" w:eastAsia="宋体" w:cs="Times New Roman"/>
                <w:snapToGrid w:val="0"/>
                <w:color w:val="auto"/>
                <w:kern w:val="28"/>
              </w:rPr>
              <w:t>口跟踪监测井，定期跟踪监测地下水</w:t>
            </w:r>
          </w:p>
        </w:tc>
        <w:tc>
          <w:tcPr>
            <w:tcW w:w="1769" w:type="pct"/>
            <w:shd w:val="clear" w:color="auto" w:fill="auto"/>
            <w:vAlign w:val="center"/>
          </w:tcPr>
          <w:p w14:paraId="41C259C9">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0.1万元/点位，共</w:t>
            </w:r>
            <w:r>
              <w:rPr>
                <w:rFonts w:hint="eastAsia" w:ascii="宋体" w:hAnsi="宋体" w:eastAsia="宋体" w:cs="Times New Roman"/>
                <w:snapToGrid w:val="0"/>
                <w:color w:val="auto"/>
                <w:kern w:val="28"/>
              </w:rPr>
              <w:t>7</w:t>
            </w:r>
            <w:r>
              <w:rPr>
                <w:rFonts w:ascii="宋体" w:hAnsi="宋体" w:eastAsia="宋体" w:cs="Times New Roman"/>
                <w:snapToGrid w:val="0"/>
                <w:color w:val="auto"/>
                <w:kern w:val="28"/>
              </w:rPr>
              <w:t>个监测点位</w:t>
            </w:r>
          </w:p>
        </w:tc>
        <w:tc>
          <w:tcPr>
            <w:tcW w:w="652" w:type="pct"/>
            <w:shd w:val="clear" w:color="auto" w:fill="auto"/>
            <w:vAlign w:val="center"/>
          </w:tcPr>
          <w:p w14:paraId="57FB54FA">
            <w:pPr>
              <w:jc w:val="center"/>
              <w:rPr>
                <w:rFonts w:ascii="宋体" w:hAnsi="宋体" w:eastAsia="宋体" w:cs="Times New Roman"/>
                <w:color w:val="auto"/>
              </w:rPr>
            </w:pPr>
            <w:r>
              <w:rPr>
                <w:rFonts w:ascii="宋体" w:hAnsi="宋体" w:eastAsia="宋体" w:cs="Times New Roman"/>
                <w:color w:val="auto"/>
              </w:rPr>
              <w:t>0.</w:t>
            </w:r>
            <w:r>
              <w:rPr>
                <w:rFonts w:hint="eastAsia" w:ascii="宋体" w:hAnsi="宋体" w:eastAsia="宋体" w:cs="Times New Roman"/>
                <w:color w:val="auto"/>
              </w:rPr>
              <w:t>7</w:t>
            </w:r>
          </w:p>
        </w:tc>
      </w:tr>
      <w:tr w14:paraId="629FB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8" w:type="pct"/>
            <w:gridSpan w:val="2"/>
            <w:vMerge w:val="continue"/>
            <w:shd w:val="clear" w:color="auto" w:fill="auto"/>
            <w:vAlign w:val="center"/>
          </w:tcPr>
          <w:p w14:paraId="41E56639">
            <w:pPr>
              <w:jc w:val="center"/>
              <w:rPr>
                <w:rFonts w:ascii="宋体" w:hAnsi="宋体" w:eastAsia="宋体" w:cs="Times New Roman"/>
                <w:snapToGrid w:val="0"/>
                <w:color w:val="auto"/>
                <w:kern w:val="28"/>
              </w:rPr>
            </w:pPr>
          </w:p>
        </w:tc>
        <w:tc>
          <w:tcPr>
            <w:tcW w:w="1721" w:type="pct"/>
            <w:shd w:val="clear" w:color="auto" w:fill="auto"/>
            <w:vAlign w:val="center"/>
          </w:tcPr>
          <w:p w14:paraId="188F642A">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设3个土壤跟踪监测点，定期跟踪监测土壤</w:t>
            </w:r>
          </w:p>
        </w:tc>
        <w:tc>
          <w:tcPr>
            <w:tcW w:w="1769" w:type="pct"/>
            <w:shd w:val="clear" w:color="auto" w:fill="auto"/>
            <w:vAlign w:val="center"/>
          </w:tcPr>
          <w:p w14:paraId="50024F5C">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0.2万元/点位，共3个监测点位</w:t>
            </w:r>
          </w:p>
        </w:tc>
        <w:tc>
          <w:tcPr>
            <w:tcW w:w="652" w:type="pct"/>
            <w:shd w:val="clear" w:color="auto" w:fill="auto"/>
            <w:vAlign w:val="center"/>
          </w:tcPr>
          <w:p w14:paraId="03AB6DCB">
            <w:pPr>
              <w:jc w:val="center"/>
              <w:rPr>
                <w:rFonts w:ascii="宋体" w:hAnsi="宋体" w:eastAsia="宋体" w:cs="Times New Roman"/>
                <w:color w:val="auto"/>
              </w:rPr>
            </w:pPr>
            <w:r>
              <w:rPr>
                <w:rFonts w:ascii="宋体" w:hAnsi="宋体" w:eastAsia="宋体" w:cs="Times New Roman"/>
                <w:color w:val="auto"/>
              </w:rPr>
              <w:t>0.6</w:t>
            </w:r>
          </w:p>
        </w:tc>
      </w:tr>
      <w:tr w14:paraId="6212D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48" w:type="pct"/>
            <w:gridSpan w:val="4"/>
            <w:shd w:val="clear" w:color="auto" w:fill="auto"/>
            <w:vAlign w:val="center"/>
          </w:tcPr>
          <w:p w14:paraId="2365A026">
            <w:pPr>
              <w:jc w:val="center"/>
              <w:rPr>
                <w:rFonts w:ascii="宋体" w:hAnsi="宋体" w:eastAsia="宋体" w:cs="Times New Roman"/>
                <w:snapToGrid w:val="0"/>
                <w:color w:val="auto"/>
                <w:kern w:val="28"/>
              </w:rPr>
            </w:pPr>
            <w:r>
              <w:rPr>
                <w:rFonts w:ascii="宋体" w:hAnsi="宋体" w:eastAsia="宋体" w:cs="Times New Roman"/>
                <w:snapToGrid w:val="0"/>
                <w:color w:val="auto"/>
                <w:kern w:val="28"/>
              </w:rPr>
              <w:t>合计</w:t>
            </w:r>
          </w:p>
        </w:tc>
        <w:tc>
          <w:tcPr>
            <w:tcW w:w="652" w:type="pct"/>
            <w:shd w:val="clear" w:color="auto" w:fill="auto"/>
            <w:vAlign w:val="center"/>
          </w:tcPr>
          <w:p w14:paraId="0CBDA295">
            <w:pPr>
              <w:jc w:val="center"/>
              <w:rPr>
                <w:rFonts w:ascii="宋体" w:hAnsi="宋体" w:eastAsia="宋体" w:cs="Times New Roman"/>
                <w:color w:val="auto"/>
              </w:rPr>
            </w:pPr>
            <w:r>
              <w:rPr>
                <w:rFonts w:hint="eastAsia" w:ascii="宋体" w:hAnsi="宋体" w:eastAsia="宋体" w:cs="Times New Roman"/>
                <w:color w:val="auto"/>
              </w:rPr>
              <w:t>87.82</w:t>
            </w:r>
          </w:p>
        </w:tc>
      </w:tr>
    </w:tbl>
    <w:p w14:paraId="084C15A8">
      <w:pPr>
        <w:pStyle w:val="6"/>
        <w:rPr>
          <w:color w:val="auto"/>
        </w:rPr>
      </w:pPr>
      <w:bookmarkStart w:id="1712" w:name="_Toc78816562"/>
      <w:bookmarkStart w:id="1713" w:name="_Toc83209579"/>
      <w:bookmarkStart w:id="1714" w:name="_Toc84929334"/>
      <w:bookmarkStart w:id="1715" w:name="_Toc77067760"/>
      <w:bookmarkStart w:id="1716" w:name="_Toc80971479"/>
      <w:bookmarkStart w:id="1717" w:name="_Toc70050287"/>
      <w:bookmarkStart w:id="1718" w:name="_Toc143099678"/>
      <w:bookmarkStart w:id="1719" w:name="_Toc80588357"/>
      <w:bookmarkStart w:id="1720" w:name="_Toc126863490"/>
      <w:bookmarkStart w:id="1721" w:name="_Toc196215847"/>
      <w:bookmarkStart w:id="1722" w:name="_Toc131167391"/>
      <w:bookmarkStart w:id="1723" w:name="_Toc127192439"/>
      <w:bookmarkStart w:id="1724" w:name="_Toc76976349"/>
      <w:bookmarkStart w:id="1725" w:name="_Toc85640858"/>
      <w:bookmarkStart w:id="1726" w:name="_Toc67860240"/>
      <w:bookmarkStart w:id="1727" w:name="_Toc86142033"/>
      <w:r>
        <w:rPr>
          <w:color w:val="auto"/>
        </w:rPr>
        <w:t>环境效益简要分析</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14:paraId="69E7954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项目建设运营中排放的污染物采取了一系列治理措施，大大降低了排入环境中污染物的数量，将取得一定的环境效益。</w:t>
      </w:r>
    </w:p>
    <w:p w14:paraId="745707C1">
      <w:pPr>
        <w:pStyle w:val="5"/>
        <w:rPr>
          <w:bCs w:val="0"/>
          <w:color w:val="auto"/>
        </w:rPr>
      </w:pPr>
      <w:bookmarkStart w:id="1728" w:name="_Toc189535456"/>
      <w:bookmarkStart w:id="1729" w:name="_Toc65426017"/>
      <w:bookmarkStart w:id="1730" w:name="_Toc212033046"/>
      <w:bookmarkStart w:id="1731" w:name="_Toc31513"/>
      <w:bookmarkStart w:id="1732" w:name="_Toc196215849"/>
      <w:r>
        <w:rPr>
          <w:bCs w:val="0"/>
          <w:color w:val="auto"/>
        </w:rPr>
        <w:t>环境经济损益分析结论</w:t>
      </w:r>
      <w:bookmarkEnd w:id="1728"/>
      <w:bookmarkEnd w:id="1729"/>
      <w:bookmarkEnd w:id="1730"/>
      <w:bookmarkEnd w:id="1731"/>
      <w:bookmarkEnd w:id="1732"/>
    </w:p>
    <w:p w14:paraId="49D1691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p>
    <w:p w14:paraId="01B908C0">
      <w:pPr>
        <w:spacing w:line="500" w:lineRule="exact"/>
        <w:ind w:firstLine="420" w:firstLineChars="200"/>
        <w:rPr>
          <w:rFonts w:ascii="宋体" w:hAnsi="宋体" w:eastAsia="宋体" w:cs="Times New Roman"/>
          <w:color w:val="auto"/>
          <w:kern w:val="21"/>
        </w:rPr>
        <w:sectPr>
          <w:pgSz w:w="11907" w:h="16840"/>
          <w:pgMar w:top="1418" w:right="1418" w:bottom="1418" w:left="1418" w:header="851" w:footer="992" w:gutter="0"/>
          <w:cols w:space="720" w:num="1"/>
          <w:docGrid w:type="lines" w:linePitch="319" w:charSpace="0"/>
        </w:sectPr>
      </w:pPr>
    </w:p>
    <w:p w14:paraId="3291511E">
      <w:pPr>
        <w:pStyle w:val="3"/>
        <w:rPr>
          <w:rFonts w:ascii="宋体" w:hAnsi="宋体" w:eastAsia="宋体"/>
          <w:bCs/>
          <w:color w:val="auto"/>
        </w:rPr>
      </w:pPr>
      <w:bookmarkStart w:id="1733" w:name="_Toc75252815"/>
      <w:bookmarkStart w:id="1734" w:name="_Toc106447270"/>
      <w:bookmarkStart w:id="1735" w:name="_Toc72720550"/>
      <w:bookmarkStart w:id="1736" w:name="_Toc480447682"/>
      <w:bookmarkStart w:id="1737" w:name="_Toc118087455"/>
      <w:bookmarkStart w:id="1738" w:name="_Toc456590416"/>
      <w:bookmarkStart w:id="1739" w:name="_Toc106791234"/>
      <w:bookmarkStart w:id="1740" w:name="_Toc72747948"/>
      <w:bookmarkStart w:id="1741" w:name="_Toc13352"/>
      <w:bookmarkStart w:id="1742" w:name="_Toc74709503"/>
      <w:bookmarkStart w:id="1743" w:name="_Toc73100699"/>
      <w:bookmarkStart w:id="1744" w:name="_Toc107218493"/>
      <w:bookmarkStart w:id="1745" w:name="_Toc213077353"/>
      <w:bookmarkStart w:id="1746" w:name="_Toc502736541"/>
      <w:bookmarkStart w:id="1747" w:name="_Toc107209647"/>
      <w:bookmarkStart w:id="1748" w:name="_Toc110400384"/>
      <w:bookmarkStart w:id="1749" w:name="_Toc107052532"/>
      <w:bookmarkStart w:id="1750" w:name="_Toc212033047"/>
      <w:bookmarkStart w:id="1751" w:name="_Toc106415529"/>
      <w:bookmarkStart w:id="1752" w:name="_Toc74537701"/>
      <w:bookmarkStart w:id="1753" w:name="_Toc107037124"/>
      <w:bookmarkStart w:id="1754" w:name="_Toc106159387"/>
      <w:bookmarkStart w:id="1755" w:name="_Toc106172601"/>
      <w:bookmarkStart w:id="1756" w:name="_Toc106157196"/>
      <w:bookmarkStart w:id="1757" w:name="_Toc73161218"/>
      <w:bookmarkStart w:id="1758" w:name="_Toc107196364"/>
      <w:bookmarkStart w:id="1759" w:name="_Toc72748366"/>
      <w:bookmarkStart w:id="1760" w:name="_Toc106157355"/>
      <w:bookmarkStart w:id="1761" w:name="_Toc415146721"/>
      <w:bookmarkStart w:id="1762" w:name="_Toc371751594"/>
      <w:bookmarkStart w:id="1763" w:name="_Toc75075829"/>
      <w:bookmarkStart w:id="1764" w:name="_Toc75075767"/>
      <w:bookmarkStart w:id="1765" w:name="_Toc45678602"/>
      <w:r>
        <w:rPr>
          <w:rFonts w:ascii="宋体" w:hAnsi="宋体" w:eastAsia="宋体"/>
          <w:bCs/>
          <w:color w:val="auto"/>
        </w:rPr>
        <w:t>环境管理与监测计划</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0BE1BB8E">
      <w:pPr>
        <w:pStyle w:val="5"/>
        <w:rPr>
          <w:bCs w:val="0"/>
          <w:color w:val="auto"/>
        </w:rPr>
      </w:pPr>
      <w:bookmarkStart w:id="1766" w:name="_Toc196215829"/>
      <w:bookmarkStart w:id="1767" w:name="_Toc4980"/>
      <w:bookmarkStart w:id="1768" w:name="_Toc189535448"/>
      <w:bookmarkStart w:id="1769" w:name="_Toc212033048"/>
      <w:bookmarkStart w:id="1770" w:name="_Toc65426019"/>
      <w:bookmarkStart w:id="1771" w:name="_Toc502736542"/>
      <w:bookmarkStart w:id="1772" w:name="_Toc455043909"/>
      <w:bookmarkStart w:id="1773" w:name="_Toc456590417"/>
      <w:bookmarkStart w:id="1774" w:name="_Toc342462533"/>
      <w:bookmarkStart w:id="1775" w:name="_Toc480447683"/>
      <w:r>
        <w:rPr>
          <w:bCs w:val="0"/>
          <w:color w:val="auto"/>
        </w:rPr>
        <w:t>HSE管理体系的建立和运行</w:t>
      </w:r>
      <w:bookmarkEnd w:id="1766"/>
      <w:bookmarkEnd w:id="1767"/>
      <w:bookmarkEnd w:id="1768"/>
      <w:bookmarkEnd w:id="1769"/>
      <w:bookmarkEnd w:id="1770"/>
    </w:p>
    <w:p w14:paraId="6DE4DDEC">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本项目应依据《石油天然气工业健康、安全与环境管理体系》（SY/T6276-2014）的要求，在项目的建设期、运营期和退役期等3个阶段建立和实施HSE管理体系。建设期、运营期和退役期的HSE管理分别包括以下内容：</w:t>
      </w:r>
    </w:p>
    <w:p w14:paraId="00228E7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（1）建设期HSE管理主要包括良好的工程（高产、节水、节能）设计、安全、健康与环境保护设施的同时设计、同时施工和同时投入使用，安全、绿色施工等；</w:t>
      </w:r>
    </w:p>
    <w:p w14:paraId="48BF2126">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（2）运营期HSE管理主要包括：HSE组织机构的建立及职责的确定、文件的编写、风险的识别和管理、应急措施的建立、人员的培训、HSE管理体系的运行及保持、清洁生产等；</w:t>
      </w:r>
    </w:p>
    <w:p w14:paraId="67678D1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（3）退役期HSE管理主要考虑油区退役的安全与环境影响。</w:t>
      </w:r>
    </w:p>
    <w:p w14:paraId="0A9B9A5F">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油田开发建设对环境主要影响是建设期的各种施工作业活动和</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的风险事故。为最大限度地减轻油田生产对区域内空气环境、水环境及生态环境的影响，减少温室气体的排放，减少事故的发生，以确保油田安全运行，必须建立科学有效的环境管理体制，制定详细周密的环境保护管理计划。</w:t>
      </w:r>
    </w:p>
    <w:p w14:paraId="0E7DF626">
      <w:pPr>
        <w:pStyle w:val="6"/>
        <w:rPr>
          <w:color w:val="auto"/>
        </w:rPr>
      </w:pPr>
      <w:bookmarkStart w:id="1776" w:name="_Toc77144396"/>
      <w:bookmarkStart w:id="1777" w:name="_Toc85640862"/>
      <w:bookmarkStart w:id="1778" w:name="_Toc80971483"/>
      <w:bookmarkStart w:id="1779" w:name="_Toc126863494"/>
      <w:bookmarkStart w:id="1780" w:name="_Toc76976353"/>
      <w:bookmarkStart w:id="1781" w:name="_Toc78816566"/>
      <w:bookmarkStart w:id="1782" w:name="_Toc196215830"/>
      <w:bookmarkStart w:id="1783" w:name="_Toc80588361"/>
      <w:bookmarkStart w:id="1784" w:name="_Toc77067764"/>
      <w:bookmarkStart w:id="1785" w:name="_Toc83209583"/>
      <w:bookmarkStart w:id="1786" w:name="_Toc70050291"/>
      <w:bookmarkStart w:id="1787" w:name="_Toc143099682"/>
      <w:bookmarkStart w:id="1788" w:name="_Toc67860244"/>
      <w:bookmarkStart w:id="1789" w:name="_Toc77923972"/>
      <w:bookmarkStart w:id="1790" w:name="_Toc131167395"/>
      <w:bookmarkStart w:id="1791" w:name="_Toc86142037"/>
      <w:bookmarkStart w:id="1792" w:name="_Toc127192443"/>
      <w:bookmarkStart w:id="1793" w:name="_Toc78775239"/>
      <w:bookmarkStart w:id="1794" w:name="_Toc84929338"/>
      <w:r>
        <w:rPr>
          <w:color w:val="auto"/>
        </w:rPr>
        <w:t>组织结构</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1158B5CC">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环境管理工作由第十采油厂负责。由第十采油厂基建主管部门对油田建设环境保护工作进行全过程监控，对环境保护措施强制推行，控制施工阶段的环境污染和生态破坏。施工期除设置1名专职环保员外，还应根据现场实际情况，建立健全相应的二级HSE管理网络，在油田已有HSE指挥部的基础上，分别配备数名HSE现场监督人员。分别配备协调员，实行逐级负责制。</w:t>
      </w:r>
    </w:p>
    <w:p w14:paraId="13430A1C">
      <w:pPr>
        <w:pStyle w:val="6"/>
        <w:rPr>
          <w:color w:val="auto"/>
        </w:rPr>
      </w:pPr>
      <w:bookmarkStart w:id="1795" w:name="_Toc126863495"/>
      <w:bookmarkStart w:id="1796" w:name="_Toc143099683"/>
      <w:bookmarkStart w:id="1797" w:name="_Toc78775240"/>
      <w:bookmarkStart w:id="1798" w:name="_Toc77144397"/>
      <w:bookmarkStart w:id="1799" w:name="_Toc127192444"/>
      <w:bookmarkStart w:id="1800" w:name="_Toc196215831"/>
      <w:bookmarkStart w:id="1801" w:name="_Toc77923973"/>
      <w:bookmarkStart w:id="1802" w:name="_Toc85640863"/>
      <w:bookmarkStart w:id="1803" w:name="_Toc80588362"/>
      <w:bookmarkStart w:id="1804" w:name="_Toc76976354"/>
      <w:bookmarkStart w:id="1805" w:name="_Toc86142038"/>
      <w:bookmarkStart w:id="1806" w:name="_Toc83209584"/>
      <w:bookmarkStart w:id="1807" w:name="_Toc84929339"/>
      <w:bookmarkStart w:id="1808" w:name="_Toc78816567"/>
      <w:bookmarkStart w:id="1809" w:name="_Toc131167396"/>
      <w:bookmarkStart w:id="1810" w:name="_Toc77067765"/>
      <w:bookmarkStart w:id="1811" w:name="_Toc67860245"/>
      <w:bookmarkStart w:id="1812" w:name="_Toc80971484"/>
      <w:bookmarkStart w:id="1813" w:name="_Toc70050292"/>
      <w:r>
        <w:rPr>
          <w:color w:val="auto"/>
        </w:rPr>
        <w:t>规章制度</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0DE79417">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在项目</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环境管理除抓好日常站场各种环保设施的运行、维护等工作外，工作重点应针对油气集输生产和管理情况及油井作业过程管理、井场和场站管理、集输管线破裂后油水泄漏等事故的预防和处理上。为此，必须制定相应的事故预防措施、事故应急措施以及恢复补偿措施等。正常油气集输过程中的检查重点为油井及集输管道、场站。油井主要检查现场原油泄漏情况和油井环境维护状况，如抽油机有无泄漏及油井井场是否平整干净，有无落地油等。集输管道的监控内容为管道运营是否正常，是否有穿孔等潜在危害存在，以杜绝原油泄漏。井下作业工艺过程检查应包括井下作业中的设备器材的搬迁、工前准备、井下作业施工和完工的全过程。</w:t>
      </w:r>
    </w:p>
    <w:p w14:paraId="0828E78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油田环保工作必须严格执行国家、黑龙江省的环保法律法规，同时还应制定相应的环境管理规章制度，环保法规及油田内部的各种环境管理规章制度应下发到相应人员，并组织有关人员学习和贯彻执行，以确保环境管理工作的顺利进行。相关法规和规章制度详见表8.1-1。</w:t>
      </w:r>
    </w:p>
    <w:p w14:paraId="24464610">
      <w:pPr>
        <w:pStyle w:val="276"/>
        <w:widowControl w:val="0"/>
        <w:spacing w:line="440" w:lineRule="exact"/>
        <w:ind w:firstLine="0" w:firstLineChars="0"/>
        <w:jc w:val="center"/>
        <w:rPr>
          <w:color w:val="auto"/>
          <w:kern w:val="21"/>
        </w:rPr>
      </w:pPr>
      <w:r>
        <w:rPr>
          <w:color w:val="auto"/>
          <w:kern w:val="21"/>
        </w:rPr>
        <w:t>表8.1-1 环保</w:t>
      </w:r>
      <w:r>
        <w:rPr>
          <w:color w:val="auto"/>
          <w:szCs w:val="22"/>
        </w:rPr>
        <w:t>法规</w:t>
      </w:r>
      <w:r>
        <w:rPr>
          <w:color w:val="auto"/>
          <w:kern w:val="21"/>
        </w:rPr>
        <w:t>和规章制度一览表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3"/>
        <w:gridCol w:w="2175"/>
        <w:gridCol w:w="6428"/>
      </w:tblGrid>
      <w:tr w14:paraId="3658C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368" w:type="pct"/>
            <w:shd w:val="clear" w:color="auto" w:fill="auto"/>
            <w:tcMar>
              <w:top w:w="28" w:type="dxa"/>
              <w:bottom w:w="28" w:type="dxa"/>
            </w:tcMar>
            <w:vAlign w:val="center"/>
          </w:tcPr>
          <w:p w14:paraId="36FA9381">
            <w:pPr>
              <w:snapToGrid w:val="0"/>
              <w:jc w:val="center"/>
              <w:rPr>
                <w:rFonts w:ascii="宋体" w:hAnsi="宋体" w:eastAsia="宋体" w:cs="Times New Roman"/>
                <w:snapToGrid w:val="0"/>
                <w:color w:val="auto"/>
              </w:rPr>
            </w:pPr>
            <w:r>
              <w:rPr>
                <w:rFonts w:ascii="宋体" w:hAnsi="宋体" w:eastAsia="宋体" w:cs="Times New Roman"/>
                <w:snapToGrid w:val="0"/>
                <w:color w:val="auto"/>
              </w:rPr>
              <w:t>序号</w:t>
            </w:r>
          </w:p>
        </w:tc>
        <w:tc>
          <w:tcPr>
            <w:tcW w:w="1171" w:type="pct"/>
            <w:shd w:val="clear" w:color="auto" w:fill="auto"/>
            <w:tcMar>
              <w:top w:w="28" w:type="dxa"/>
              <w:bottom w:w="28" w:type="dxa"/>
            </w:tcMar>
            <w:vAlign w:val="center"/>
          </w:tcPr>
          <w:p w14:paraId="45F97E79">
            <w:pPr>
              <w:snapToGrid w:val="0"/>
              <w:jc w:val="center"/>
              <w:rPr>
                <w:rFonts w:ascii="宋体" w:hAnsi="宋体" w:eastAsia="宋体" w:cs="Times New Roman"/>
                <w:snapToGrid w:val="0"/>
                <w:color w:val="auto"/>
              </w:rPr>
            </w:pPr>
            <w:r>
              <w:rPr>
                <w:rFonts w:ascii="宋体" w:hAnsi="宋体" w:eastAsia="宋体" w:cs="Times New Roman"/>
                <w:snapToGrid w:val="0"/>
                <w:color w:val="auto"/>
              </w:rPr>
              <w:t>规章名称</w:t>
            </w:r>
          </w:p>
        </w:tc>
        <w:tc>
          <w:tcPr>
            <w:tcW w:w="3461" w:type="pct"/>
            <w:shd w:val="clear" w:color="auto" w:fill="auto"/>
            <w:tcMar>
              <w:top w:w="28" w:type="dxa"/>
              <w:bottom w:w="28" w:type="dxa"/>
            </w:tcMar>
            <w:vAlign w:val="center"/>
          </w:tcPr>
          <w:p w14:paraId="0F75D428">
            <w:pPr>
              <w:snapToGrid w:val="0"/>
              <w:jc w:val="center"/>
              <w:rPr>
                <w:rFonts w:ascii="宋体" w:hAnsi="宋体" w:eastAsia="宋体" w:cs="Times New Roman"/>
                <w:snapToGrid w:val="0"/>
                <w:color w:val="auto"/>
              </w:rPr>
            </w:pPr>
            <w:r>
              <w:rPr>
                <w:rFonts w:ascii="宋体" w:hAnsi="宋体" w:eastAsia="宋体" w:cs="Times New Roman"/>
                <w:snapToGrid w:val="0"/>
                <w:color w:val="auto"/>
              </w:rPr>
              <w:t>主要内容</w:t>
            </w:r>
          </w:p>
        </w:tc>
      </w:tr>
      <w:tr w14:paraId="76383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shd w:val="clear" w:color="auto" w:fill="auto"/>
            <w:tcMar>
              <w:top w:w="28" w:type="dxa"/>
              <w:bottom w:w="28" w:type="dxa"/>
            </w:tcMar>
            <w:vAlign w:val="center"/>
          </w:tcPr>
          <w:p w14:paraId="05F4A943">
            <w:pPr>
              <w:snapToGrid w:val="0"/>
              <w:jc w:val="center"/>
              <w:rPr>
                <w:rFonts w:ascii="宋体" w:hAnsi="宋体" w:eastAsia="宋体" w:cs="Times New Roman"/>
                <w:snapToGrid w:val="0"/>
                <w:color w:val="auto"/>
              </w:rPr>
            </w:pPr>
            <w:r>
              <w:rPr>
                <w:rFonts w:ascii="宋体" w:hAnsi="宋体" w:eastAsia="宋体" w:cs="Times New Roman"/>
                <w:snapToGrid w:val="0"/>
                <w:color w:val="auto"/>
              </w:rPr>
              <w:t>1</w:t>
            </w:r>
          </w:p>
        </w:tc>
        <w:tc>
          <w:tcPr>
            <w:tcW w:w="1171" w:type="pct"/>
            <w:shd w:val="clear" w:color="auto" w:fill="auto"/>
            <w:tcMar>
              <w:top w:w="28" w:type="dxa"/>
              <w:bottom w:w="28" w:type="dxa"/>
            </w:tcMar>
            <w:vAlign w:val="center"/>
          </w:tcPr>
          <w:p w14:paraId="160E2644">
            <w:pPr>
              <w:snapToGrid w:val="0"/>
              <w:jc w:val="center"/>
              <w:rPr>
                <w:rFonts w:ascii="宋体" w:hAnsi="宋体" w:eastAsia="宋体" w:cs="Times New Roman"/>
                <w:snapToGrid w:val="0"/>
                <w:color w:val="auto"/>
              </w:rPr>
            </w:pPr>
            <w:r>
              <w:rPr>
                <w:rFonts w:ascii="宋体" w:hAnsi="宋体" w:eastAsia="宋体" w:cs="Times New Roman"/>
                <w:snapToGrid w:val="0"/>
                <w:color w:val="auto"/>
              </w:rPr>
              <w:t>国家、省市级的相关环保法律法规</w:t>
            </w:r>
          </w:p>
        </w:tc>
        <w:tc>
          <w:tcPr>
            <w:tcW w:w="3461" w:type="pct"/>
            <w:shd w:val="clear" w:color="auto" w:fill="auto"/>
            <w:tcMar>
              <w:top w:w="28" w:type="dxa"/>
              <w:bottom w:w="28" w:type="dxa"/>
            </w:tcMar>
            <w:vAlign w:val="center"/>
          </w:tcPr>
          <w:p w14:paraId="37DEB7A6">
            <w:pPr>
              <w:snapToGrid w:val="0"/>
              <w:jc w:val="center"/>
              <w:rPr>
                <w:rFonts w:ascii="宋体" w:hAnsi="宋体" w:eastAsia="宋体" w:cs="Times New Roman"/>
                <w:snapToGrid w:val="0"/>
                <w:color w:val="auto"/>
              </w:rPr>
            </w:pPr>
            <w:r>
              <w:rPr>
                <w:rFonts w:ascii="宋体" w:hAnsi="宋体" w:eastAsia="宋体" w:cs="Times New Roman"/>
                <w:snapToGrid w:val="0"/>
                <w:color w:val="auto"/>
              </w:rPr>
              <w:t>国家、省市颁发的环境保护法律、法规。</w:t>
            </w:r>
          </w:p>
        </w:tc>
      </w:tr>
      <w:tr w14:paraId="6C5A9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shd w:val="clear" w:color="auto" w:fill="auto"/>
            <w:tcMar>
              <w:top w:w="28" w:type="dxa"/>
              <w:bottom w:w="28" w:type="dxa"/>
            </w:tcMar>
            <w:vAlign w:val="center"/>
          </w:tcPr>
          <w:p w14:paraId="65A09B02">
            <w:pPr>
              <w:snapToGrid w:val="0"/>
              <w:jc w:val="center"/>
              <w:rPr>
                <w:rFonts w:ascii="宋体" w:hAnsi="宋体" w:eastAsia="宋体" w:cs="Times New Roman"/>
                <w:snapToGrid w:val="0"/>
                <w:color w:val="auto"/>
              </w:rPr>
            </w:pPr>
            <w:r>
              <w:rPr>
                <w:rFonts w:ascii="宋体" w:hAnsi="宋体" w:eastAsia="宋体" w:cs="Times New Roman"/>
                <w:snapToGrid w:val="0"/>
                <w:color w:val="auto"/>
              </w:rPr>
              <w:t>2</w:t>
            </w:r>
          </w:p>
        </w:tc>
        <w:tc>
          <w:tcPr>
            <w:tcW w:w="1171" w:type="pct"/>
            <w:shd w:val="clear" w:color="auto" w:fill="auto"/>
            <w:tcMar>
              <w:top w:w="28" w:type="dxa"/>
              <w:bottom w:w="28" w:type="dxa"/>
            </w:tcMar>
            <w:vAlign w:val="center"/>
          </w:tcPr>
          <w:p w14:paraId="5D678573">
            <w:pPr>
              <w:snapToGrid w:val="0"/>
              <w:jc w:val="center"/>
              <w:rPr>
                <w:rFonts w:ascii="宋体" w:hAnsi="宋体" w:eastAsia="宋体" w:cs="Times New Roman"/>
                <w:snapToGrid w:val="0"/>
                <w:color w:val="auto"/>
              </w:rPr>
            </w:pPr>
            <w:r>
              <w:rPr>
                <w:rFonts w:ascii="宋体" w:hAnsi="宋体" w:eastAsia="宋体" w:cs="Times New Roman"/>
                <w:snapToGrid w:val="0"/>
                <w:color w:val="auto"/>
              </w:rPr>
              <w:t>油田公司制定的相关环保法律法规</w:t>
            </w:r>
          </w:p>
        </w:tc>
        <w:tc>
          <w:tcPr>
            <w:tcW w:w="3461" w:type="pct"/>
            <w:shd w:val="clear" w:color="auto" w:fill="auto"/>
            <w:tcMar>
              <w:top w:w="28" w:type="dxa"/>
              <w:bottom w:w="28" w:type="dxa"/>
            </w:tcMar>
            <w:vAlign w:val="center"/>
          </w:tcPr>
          <w:p w14:paraId="677771EE">
            <w:pPr>
              <w:snapToGrid w:val="0"/>
              <w:jc w:val="center"/>
              <w:rPr>
                <w:rFonts w:ascii="宋体" w:hAnsi="宋体" w:eastAsia="宋体" w:cs="Times New Roman"/>
                <w:snapToGrid w:val="0"/>
                <w:color w:val="auto"/>
              </w:rPr>
            </w:pPr>
            <w:r>
              <w:rPr>
                <w:rFonts w:ascii="宋体" w:hAnsi="宋体" w:eastAsia="宋体" w:cs="Times New Roman"/>
                <w:snapToGrid w:val="0"/>
                <w:color w:val="auto"/>
              </w:rPr>
              <w:t>油田公司的环境管理规定及环境管理规章制度（或环境保护条例及事故预案）。</w:t>
            </w:r>
          </w:p>
        </w:tc>
      </w:tr>
      <w:tr w14:paraId="67F77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shd w:val="clear" w:color="auto" w:fill="auto"/>
            <w:tcMar>
              <w:top w:w="28" w:type="dxa"/>
              <w:bottom w:w="28" w:type="dxa"/>
            </w:tcMar>
            <w:vAlign w:val="center"/>
          </w:tcPr>
          <w:p w14:paraId="6AC13A6B">
            <w:pPr>
              <w:snapToGrid w:val="0"/>
              <w:jc w:val="center"/>
              <w:rPr>
                <w:rFonts w:ascii="宋体" w:hAnsi="宋体" w:eastAsia="宋体" w:cs="Times New Roman"/>
                <w:snapToGrid w:val="0"/>
                <w:color w:val="auto"/>
              </w:rPr>
            </w:pPr>
            <w:r>
              <w:rPr>
                <w:rFonts w:ascii="宋体" w:hAnsi="宋体" w:eastAsia="宋体" w:cs="Times New Roman"/>
                <w:snapToGrid w:val="0"/>
                <w:color w:val="auto"/>
              </w:rPr>
              <w:t>3</w:t>
            </w:r>
          </w:p>
        </w:tc>
        <w:tc>
          <w:tcPr>
            <w:tcW w:w="1171" w:type="pct"/>
            <w:shd w:val="clear" w:color="auto" w:fill="auto"/>
            <w:tcMar>
              <w:top w:w="28" w:type="dxa"/>
              <w:bottom w:w="28" w:type="dxa"/>
            </w:tcMar>
            <w:vAlign w:val="center"/>
          </w:tcPr>
          <w:p w14:paraId="11EAFB4F">
            <w:pPr>
              <w:snapToGrid w:val="0"/>
              <w:jc w:val="center"/>
              <w:rPr>
                <w:rFonts w:ascii="宋体" w:hAnsi="宋体" w:eastAsia="宋体" w:cs="Times New Roman"/>
                <w:snapToGrid w:val="0"/>
                <w:color w:val="auto"/>
              </w:rPr>
            </w:pPr>
            <w:r>
              <w:rPr>
                <w:rFonts w:ascii="宋体" w:hAnsi="宋体" w:eastAsia="宋体" w:cs="Times New Roman"/>
                <w:snapToGrid w:val="0"/>
                <w:color w:val="auto"/>
              </w:rPr>
              <w:t>环保技术规程及标准</w:t>
            </w:r>
          </w:p>
        </w:tc>
        <w:tc>
          <w:tcPr>
            <w:tcW w:w="3461" w:type="pct"/>
            <w:shd w:val="clear" w:color="auto" w:fill="auto"/>
            <w:tcMar>
              <w:top w:w="28" w:type="dxa"/>
              <w:bottom w:w="28" w:type="dxa"/>
            </w:tcMar>
            <w:vAlign w:val="center"/>
          </w:tcPr>
          <w:p w14:paraId="7EB7B068">
            <w:pPr>
              <w:snapToGrid w:val="0"/>
              <w:jc w:val="center"/>
              <w:rPr>
                <w:rFonts w:ascii="宋体" w:hAnsi="宋体" w:eastAsia="宋体"/>
                <w:snapToGrid w:val="0"/>
                <w:color w:val="auto"/>
                <w:kern w:val="0"/>
              </w:rPr>
            </w:pPr>
            <w:r>
              <w:rPr>
                <w:rFonts w:ascii="宋体" w:hAnsi="宋体" w:eastAsia="宋体"/>
                <w:snapToGrid w:val="0"/>
                <w:color w:val="auto"/>
                <w:kern w:val="0"/>
              </w:rPr>
              <w:t>各级有关环境管理的技术规程、标准，主要包括：国家及省市颁布的相关污染物排放控制标准；油田公司及厂矿等各级单位制定的生产工艺、设备的环境技术管理规程，环境保护设备的操作规程等。</w:t>
            </w:r>
          </w:p>
        </w:tc>
      </w:tr>
      <w:tr w14:paraId="4F952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shd w:val="clear" w:color="auto" w:fill="auto"/>
            <w:tcMar>
              <w:top w:w="28" w:type="dxa"/>
              <w:bottom w:w="28" w:type="dxa"/>
            </w:tcMar>
            <w:vAlign w:val="center"/>
          </w:tcPr>
          <w:p w14:paraId="1B2FC513">
            <w:pPr>
              <w:snapToGrid w:val="0"/>
              <w:jc w:val="center"/>
              <w:rPr>
                <w:rFonts w:ascii="宋体" w:hAnsi="宋体" w:eastAsia="宋体" w:cs="Times New Roman"/>
                <w:snapToGrid w:val="0"/>
                <w:color w:val="auto"/>
              </w:rPr>
            </w:pPr>
            <w:r>
              <w:rPr>
                <w:rFonts w:ascii="宋体" w:hAnsi="宋体" w:eastAsia="宋体" w:cs="Times New Roman"/>
                <w:snapToGrid w:val="0"/>
                <w:color w:val="auto"/>
              </w:rPr>
              <w:t>4</w:t>
            </w:r>
          </w:p>
        </w:tc>
        <w:tc>
          <w:tcPr>
            <w:tcW w:w="1171" w:type="pct"/>
            <w:shd w:val="clear" w:color="auto" w:fill="auto"/>
            <w:tcMar>
              <w:top w:w="28" w:type="dxa"/>
              <w:bottom w:w="28" w:type="dxa"/>
            </w:tcMar>
            <w:vAlign w:val="center"/>
          </w:tcPr>
          <w:p w14:paraId="12A839A1">
            <w:pPr>
              <w:snapToGrid w:val="0"/>
              <w:jc w:val="center"/>
              <w:rPr>
                <w:rFonts w:ascii="宋体" w:hAnsi="宋体" w:eastAsia="宋体" w:cs="Times New Roman"/>
                <w:snapToGrid w:val="0"/>
                <w:color w:val="auto"/>
              </w:rPr>
            </w:pPr>
            <w:r>
              <w:rPr>
                <w:rFonts w:ascii="宋体" w:hAnsi="宋体" w:eastAsia="宋体" w:cs="Times New Roman"/>
                <w:snapToGrid w:val="0"/>
                <w:color w:val="auto"/>
              </w:rPr>
              <w:t>环境保护责任制</w:t>
            </w:r>
          </w:p>
        </w:tc>
        <w:tc>
          <w:tcPr>
            <w:tcW w:w="3461" w:type="pct"/>
            <w:shd w:val="clear" w:color="auto" w:fill="auto"/>
            <w:tcMar>
              <w:top w:w="28" w:type="dxa"/>
              <w:bottom w:w="28" w:type="dxa"/>
            </w:tcMar>
            <w:vAlign w:val="center"/>
          </w:tcPr>
          <w:p w14:paraId="5AB79327">
            <w:pPr>
              <w:snapToGrid w:val="0"/>
              <w:jc w:val="center"/>
              <w:rPr>
                <w:rFonts w:ascii="宋体" w:hAnsi="宋体" w:eastAsia="宋体" w:cs="Times New Roman"/>
                <w:snapToGrid w:val="0"/>
                <w:color w:val="auto"/>
              </w:rPr>
            </w:pPr>
            <w:r>
              <w:rPr>
                <w:rFonts w:ascii="宋体" w:hAnsi="宋体" w:eastAsia="宋体" w:cs="Times New Roman"/>
                <w:snapToGrid w:val="0"/>
                <w:color w:val="auto"/>
              </w:rPr>
              <w:t>公司各类人员环境保护工作范围，应负的责任以及相应的权力。</w:t>
            </w:r>
          </w:p>
        </w:tc>
      </w:tr>
      <w:tr w14:paraId="6710B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shd w:val="clear" w:color="auto" w:fill="auto"/>
            <w:tcMar>
              <w:top w:w="28" w:type="dxa"/>
              <w:bottom w:w="28" w:type="dxa"/>
            </w:tcMar>
            <w:vAlign w:val="center"/>
          </w:tcPr>
          <w:p w14:paraId="28BEB2F0">
            <w:pPr>
              <w:snapToGrid w:val="0"/>
              <w:jc w:val="center"/>
              <w:rPr>
                <w:rFonts w:ascii="宋体" w:hAnsi="宋体" w:eastAsia="宋体" w:cs="Times New Roman"/>
                <w:snapToGrid w:val="0"/>
                <w:color w:val="auto"/>
              </w:rPr>
            </w:pPr>
            <w:r>
              <w:rPr>
                <w:rFonts w:ascii="宋体" w:hAnsi="宋体" w:eastAsia="宋体" w:cs="Times New Roman"/>
                <w:snapToGrid w:val="0"/>
                <w:color w:val="auto"/>
              </w:rPr>
              <w:t>5</w:t>
            </w:r>
          </w:p>
        </w:tc>
        <w:tc>
          <w:tcPr>
            <w:tcW w:w="1171" w:type="pct"/>
            <w:shd w:val="clear" w:color="auto" w:fill="auto"/>
            <w:tcMar>
              <w:top w:w="28" w:type="dxa"/>
              <w:bottom w:w="28" w:type="dxa"/>
            </w:tcMar>
            <w:vAlign w:val="center"/>
          </w:tcPr>
          <w:p w14:paraId="36E37C00">
            <w:pPr>
              <w:snapToGrid w:val="0"/>
              <w:jc w:val="center"/>
              <w:rPr>
                <w:rFonts w:ascii="宋体" w:hAnsi="宋体" w:eastAsia="宋体" w:cs="Times New Roman"/>
                <w:snapToGrid w:val="0"/>
                <w:color w:val="auto"/>
              </w:rPr>
            </w:pPr>
            <w:r>
              <w:rPr>
                <w:rFonts w:ascii="宋体" w:hAnsi="宋体" w:eastAsia="宋体" w:cs="Times New Roman"/>
                <w:snapToGrid w:val="0"/>
                <w:color w:val="auto"/>
              </w:rPr>
              <w:t>三废管理制度</w:t>
            </w:r>
          </w:p>
        </w:tc>
        <w:tc>
          <w:tcPr>
            <w:tcW w:w="3461" w:type="pct"/>
            <w:shd w:val="clear" w:color="auto" w:fill="auto"/>
            <w:tcMar>
              <w:top w:w="28" w:type="dxa"/>
              <w:bottom w:w="28" w:type="dxa"/>
            </w:tcMar>
            <w:vAlign w:val="center"/>
          </w:tcPr>
          <w:p w14:paraId="5018EB88">
            <w:pPr>
              <w:snapToGrid w:val="0"/>
              <w:jc w:val="center"/>
              <w:rPr>
                <w:rFonts w:ascii="宋体" w:hAnsi="宋体" w:eastAsia="宋体" w:cs="Times New Roman"/>
                <w:snapToGrid w:val="0"/>
                <w:color w:val="auto"/>
              </w:rPr>
            </w:pPr>
            <w:r>
              <w:rPr>
                <w:rFonts w:ascii="宋体" w:hAnsi="宋体" w:eastAsia="宋体" w:cs="Times New Roman"/>
                <w:snapToGrid w:val="0"/>
                <w:color w:val="auto"/>
              </w:rPr>
              <w:t>包括油田开发建设期及生产</w:t>
            </w:r>
            <w:r>
              <w:rPr>
                <w:rFonts w:hint="eastAsia" w:ascii="宋体" w:hAnsi="宋体" w:eastAsia="宋体" w:cs="Times New Roman"/>
                <w:snapToGrid w:val="0"/>
                <w:color w:val="auto"/>
              </w:rPr>
              <w:t>运营期</w:t>
            </w:r>
            <w:r>
              <w:rPr>
                <w:rFonts w:ascii="宋体" w:hAnsi="宋体" w:eastAsia="宋体" w:cs="Times New Roman"/>
                <w:snapToGrid w:val="0"/>
                <w:color w:val="auto"/>
              </w:rPr>
              <w:t>废水、废气、废渣及噪声等方面的管理制度：在油田投入正常生产过程后，三废管理制度主要应包括油田正常运行过程中对含油污泥、含油污水及挥发烃的治理（回收及利用）等方面的管理制度。</w:t>
            </w:r>
          </w:p>
        </w:tc>
      </w:tr>
      <w:tr w14:paraId="1AB07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shd w:val="clear" w:color="auto" w:fill="auto"/>
            <w:tcMar>
              <w:top w:w="28" w:type="dxa"/>
              <w:bottom w:w="28" w:type="dxa"/>
            </w:tcMar>
            <w:vAlign w:val="center"/>
          </w:tcPr>
          <w:p w14:paraId="06612D60">
            <w:pPr>
              <w:snapToGrid w:val="0"/>
              <w:jc w:val="center"/>
              <w:rPr>
                <w:rFonts w:ascii="宋体" w:hAnsi="宋体" w:eastAsia="宋体" w:cs="Times New Roman"/>
                <w:snapToGrid w:val="0"/>
                <w:color w:val="auto"/>
              </w:rPr>
            </w:pPr>
            <w:r>
              <w:rPr>
                <w:rFonts w:ascii="宋体" w:hAnsi="宋体" w:eastAsia="宋体" w:cs="Times New Roman"/>
                <w:snapToGrid w:val="0"/>
                <w:color w:val="auto"/>
              </w:rPr>
              <w:t>6</w:t>
            </w:r>
          </w:p>
        </w:tc>
        <w:tc>
          <w:tcPr>
            <w:tcW w:w="1171" w:type="pct"/>
            <w:shd w:val="clear" w:color="auto" w:fill="auto"/>
            <w:tcMar>
              <w:top w:w="28" w:type="dxa"/>
              <w:bottom w:w="28" w:type="dxa"/>
            </w:tcMar>
            <w:vAlign w:val="center"/>
          </w:tcPr>
          <w:p w14:paraId="59168035">
            <w:pPr>
              <w:snapToGrid w:val="0"/>
              <w:jc w:val="center"/>
              <w:rPr>
                <w:rFonts w:ascii="宋体" w:hAnsi="宋体" w:eastAsia="宋体" w:cs="Times New Roman"/>
                <w:snapToGrid w:val="0"/>
                <w:color w:val="auto"/>
              </w:rPr>
            </w:pPr>
            <w:r>
              <w:rPr>
                <w:rFonts w:ascii="宋体" w:hAnsi="宋体" w:eastAsia="宋体" w:cs="Times New Roman"/>
                <w:snapToGrid w:val="0"/>
                <w:color w:val="auto"/>
              </w:rPr>
              <w:t>生态保护管理制度</w:t>
            </w:r>
          </w:p>
        </w:tc>
        <w:tc>
          <w:tcPr>
            <w:tcW w:w="3461" w:type="pct"/>
            <w:shd w:val="clear" w:color="auto" w:fill="auto"/>
            <w:tcMar>
              <w:top w:w="28" w:type="dxa"/>
              <w:bottom w:w="28" w:type="dxa"/>
            </w:tcMar>
            <w:vAlign w:val="center"/>
          </w:tcPr>
          <w:p w14:paraId="4F416445">
            <w:pPr>
              <w:snapToGrid w:val="0"/>
              <w:jc w:val="center"/>
              <w:rPr>
                <w:rFonts w:ascii="宋体" w:hAnsi="宋体" w:eastAsia="宋体"/>
                <w:snapToGrid w:val="0"/>
                <w:color w:val="auto"/>
                <w:kern w:val="0"/>
              </w:rPr>
            </w:pPr>
            <w:r>
              <w:rPr>
                <w:rFonts w:ascii="宋体" w:hAnsi="宋体" w:eastAsia="宋体"/>
                <w:snapToGrid w:val="0"/>
                <w:color w:val="auto"/>
                <w:kern w:val="0"/>
              </w:rPr>
              <w:t>主要包括油田建设期井场、道路和管道的建设过程对区域内生态环境产生的影响后所做出的恢复计划及生态补偿措施等；在油田进入正常生产</w:t>
            </w:r>
            <w:r>
              <w:rPr>
                <w:rFonts w:hint="eastAsia" w:ascii="宋体" w:hAnsi="宋体" w:eastAsia="宋体"/>
                <w:snapToGrid w:val="0"/>
                <w:color w:val="auto"/>
                <w:kern w:val="0"/>
              </w:rPr>
              <w:t>运营期</w:t>
            </w:r>
            <w:r>
              <w:rPr>
                <w:rFonts w:ascii="宋体" w:hAnsi="宋体" w:eastAsia="宋体"/>
                <w:snapToGrid w:val="0"/>
                <w:color w:val="auto"/>
                <w:kern w:val="0"/>
              </w:rPr>
              <w:t>后，生态保护制度主要包括油田生产过程中所进行的油井作业过程，同时包括在生产过程中对于一些突发事故可能对周围生态环境产生的影响而制定的生态恢复计划和补偿措施等内容。</w:t>
            </w:r>
          </w:p>
        </w:tc>
      </w:tr>
      <w:tr w14:paraId="587BE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shd w:val="clear" w:color="auto" w:fill="auto"/>
            <w:tcMar>
              <w:top w:w="28" w:type="dxa"/>
              <w:bottom w:w="28" w:type="dxa"/>
            </w:tcMar>
            <w:vAlign w:val="center"/>
          </w:tcPr>
          <w:p w14:paraId="7FDC35FA">
            <w:pPr>
              <w:snapToGrid w:val="0"/>
              <w:jc w:val="center"/>
              <w:rPr>
                <w:rFonts w:ascii="宋体" w:hAnsi="宋体" w:eastAsia="宋体" w:cs="Times New Roman"/>
                <w:snapToGrid w:val="0"/>
                <w:color w:val="auto"/>
              </w:rPr>
            </w:pPr>
            <w:r>
              <w:rPr>
                <w:rFonts w:ascii="宋体" w:hAnsi="宋体" w:eastAsia="宋体" w:cs="Times New Roman"/>
                <w:snapToGrid w:val="0"/>
                <w:color w:val="auto"/>
              </w:rPr>
              <w:t>7</w:t>
            </w:r>
          </w:p>
        </w:tc>
        <w:tc>
          <w:tcPr>
            <w:tcW w:w="1171" w:type="pct"/>
            <w:shd w:val="clear" w:color="auto" w:fill="auto"/>
            <w:tcMar>
              <w:top w:w="28" w:type="dxa"/>
              <w:bottom w:w="28" w:type="dxa"/>
            </w:tcMar>
            <w:vAlign w:val="center"/>
          </w:tcPr>
          <w:p w14:paraId="3E0FB733">
            <w:pPr>
              <w:snapToGrid w:val="0"/>
              <w:jc w:val="center"/>
              <w:rPr>
                <w:rFonts w:ascii="宋体" w:hAnsi="宋体" w:eastAsia="宋体" w:cs="Times New Roman"/>
                <w:snapToGrid w:val="0"/>
                <w:color w:val="auto"/>
              </w:rPr>
            </w:pPr>
            <w:r>
              <w:rPr>
                <w:rFonts w:ascii="宋体" w:hAnsi="宋体" w:eastAsia="宋体" w:cs="Times New Roman"/>
                <w:snapToGrid w:val="0"/>
                <w:color w:val="auto"/>
              </w:rPr>
              <w:t>事故管理预案</w:t>
            </w:r>
          </w:p>
        </w:tc>
        <w:tc>
          <w:tcPr>
            <w:tcW w:w="3461" w:type="pct"/>
            <w:shd w:val="clear" w:color="auto" w:fill="auto"/>
            <w:tcMar>
              <w:top w:w="28" w:type="dxa"/>
              <w:bottom w:w="28" w:type="dxa"/>
            </w:tcMar>
            <w:vAlign w:val="center"/>
          </w:tcPr>
          <w:p w14:paraId="7BF3F145">
            <w:pPr>
              <w:snapToGrid w:val="0"/>
              <w:jc w:val="center"/>
              <w:rPr>
                <w:rFonts w:ascii="宋体" w:hAnsi="宋体" w:eastAsia="宋体" w:cs="Times New Roman"/>
                <w:snapToGrid w:val="0"/>
                <w:color w:val="auto"/>
              </w:rPr>
            </w:pPr>
            <w:r>
              <w:rPr>
                <w:rFonts w:ascii="宋体" w:hAnsi="宋体" w:eastAsia="宋体" w:cs="Times New Roman"/>
                <w:snapToGrid w:val="0"/>
                <w:color w:val="auto"/>
              </w:rPr>
              <w:t>明确油田开发建设过程中的诸如油井作业、集油管道所可能存在的突发事故的预防管理措施。</w:t>
            </w:r>
          </w:p>
        </w:tc>
      </w:tr>
    </w:tbl>
    <w:p w14:paraId="24EB11A4">
      <w:pPr>
        <w:pStyle w:val="6"/>
        <w:rPr>
          <w:color w:val="auto"/>
        </w:rPr>
      </w:pPr>
      <w:bookmarkStart w:id="1814" w:name="_Toc77067766"/>
      <w:bookmarkStart w:id="1815" w:name="_Toc85640864"/>
      <w:bookmarkStart w:id="1816" w:name="_Toc84929340"/>
      <w:bookmarkStart w:id="1817" w:name="_Toc70050293"/>
      <w:bookmarkStart w:id="1818" w:name="_Toc67860246"/>
      <w:bookmarkStart w:id="1819" w:name="_Toc127192445"/>
      <w:bookmarkStart w:id="1820" w:name="_Toc83209585"/>
      <w:bookmarkStart w:id="1821" w:name="_Toc80588363"/>
      <w:bookmarkStart w:id="1822" w:name="_Toc80971485"/>
      <w:bookmarkStart w:id="1823" w:name="_Toc143099684"/>
      <w:bookmarkStart w:id="1824" w:name="_Toc78816568"/>
      <w:bookmarkStart w:id="1825" w:name="_Toc131167397"/>
      <w:bookmarkStart w:id="1826" w:name="_Toc86142039"/>
      <w:bookmarkStart w:id="1827" w:name="_Toc196215832"/>
      <w:bookmarkStart w:id="1828" w:name="_Toc76976355"/>
      <w:bookmarkStart w:id="1829" w:name="_Toc126863496"/>
      <w:bookmarkStart w:id="1830" w:name="_Toc78775241"/>
      <w:bookmarkStart w:id="1831" w:name="_Toc77923974"/>
      <w:bookmarkStart w:id="1832" w:name="_Toc77144398"/>
      <w:r>
        <w:rPr>
          <w:color w:val="auto"/>
        </w:rPr>
        <w:t>管理措施</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69107447">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（1）最高领导层将HSE管理放在与企业生产和经营管理同等重要的位置上；</w:t>
      </w:r>
    </w:p>
    <w:p w14:paraId="3749AE5F">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（2）公司员工时刻将HSE责任放在心中；</w:t>
      </w:r>
    </w:p>
    <w:p w14:paraId="20B33F8A">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（3）制定和落实一岗一责制；</w:t>
      </w:r>
    </w:p>
    <w:p w14:paraId="1799607C">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（4）加强生产技术及HSE教育和培训；</w:t>
      </w:r>
    </w:p>
    <w:p w14:paraId="7217363B">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（5）做好现场审核和整改；</w:t>
      </w:r>
    </w:p>
    <w:p w14:paraId="7F8876A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（6）奖优罚劣，持续改进HSE表现。</w:t>
      </w:r>
    </w:p>
    <w:p w14:paraId="324BEB45">
      <w:pPr>
        <w:pStyle w:val="5"/>
        <w:rPr>
          <w:bCs w:val="0"/>
          <w:color w:val="auto"/>
        </w:rPr>
      </w:pPr>
      <w:bookmarkStart w:id="1833" w:name="_Toc65426020"/>
      <w:bookmarkStart w:id="1834" w:name="_Toc15191"/>
      <w:bookmarkStart w:id="1835" w:name="_Toc196215833"/>
      <w:bookmarkStart w:id="1836" w:name="_Toc212033049"/>
      <w:bookmarkStart w:id="1837" w:name="_Toc189535449"/>
      <w:r>
        <w:rPr>
          <w:bCs w:val="0"/>
          <w:color w:val="auto"/>
        </w:rPr>
        <w:t>环境监控</w:t>
      </w:r>
      <w:bookmarkEnd w:id="1830"/>
      <w:bookmarkEnd w:id="1831"/>
      <w:bookmarkEnd w:id="1832"/>
      <w:bookmarkEnd w:id="1833"/>
      <w:bookmarkEnd w:id="1834"/>
      <w:bookmarkEnd w:id="1835"/>
      <w:bookmarkEnd w:id="1836"/>
      <w:bookmarkEnd w:id="1837"/>
    </w:p>
    <w:p w14:paraId="258D8C63">
      <w:pPr>
        <w:pStyle w:val="6"/>
        <w:rPr>
          <w:color w:val="auto"/>
        </w:rPr>
      </w:pPr>
      <w:bookmarkStart w:id="1838" w:name="_Toc196215834"/>
      <w:bookmarkStart w:id="1839" w:name="_Toc80588365"/>
      <w:bookmarkStart w:id="1840" w:name="_Toc78816570"/>
      <w:bookmarkStart w:id="1841" w:name="_Toc83209587"/>
      <w:bookmarkStart w:id="1842" w:name="_Toc143099686"/>
      <w:bookmarkStart w:id="1843" w:name="_Toc80971487"/>
      <w:bookmarkStart w:id="1844" w:name="_Toc126863498"/>
      <w:bookmarkStart w:id="1845" w:name="_Toc84929342"/>
      <w:bookmarkStart w:id="1846" w:name="_Toc67860248"/>
      <w:bookmarkStart w:id="1847" w:name="_Toc131167399"/>
      <w:bookmarkStart w:id="1848" w:name="_Toc70050295"/>
      <w:bookmarkStart w:id="1849" w:name="_Toc127192447"/>
      <w:bookmarkStart w:id="1850" w:name="_Toc77067768"/>
      <w:bookmarkStart w:id="1851" w:name="_Toc86142041"/>
      <w:bookmarkStart w:id="1852" w:name="_Toc76976357"/>
      <w:bookmarkStart w:id="1853" w:name="_Toc85640866"/>
      <w:r>
        <w:rPr>
          <w:color w:val="auto"/>
        </w:rPr>
        <w:t>环境监控实施计划</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424F6F0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由第十采油厂安全环保部对油田建设环境保护工作进行全过程监控，对环境保护措施强制推行，以加强设计和施工阶段的环境管理，控制施工阶段的环境污染和生态破坏；同时在日常生产管理过程中对相应的环境管理机构、人员及环境管理制度必须切实落实和执行。尤其在建设施工期，除设置油田专职环保员一名外，还应根据现场实际情况，建立健全相应的二级HSE管理网络，在油田已有HSE指挥部的基础上，分别配备数名HS现场监督人员。分别配备协调员，实行逐级负责制。</w:t>
      </w:r>
    </w:p>
    <w:p w14:paraId="7C63612A">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HSE机构在环境管理上的主要任务包括；负责制定本油田施工作业的环境管理方案，制定发生事故的应急计划，监督各项环保措施的落实及环保工程的检查和预验收，负责协调与地方环保、水利、土地等部门的关系以及负责有关环保文件、技术资料的收集建档等。</w:t>
      </w:r>
    </w:p>
    <w:p w14:paraId="0B93919B">
      <w:pPr>
        <w:pStyle w:val="6"/>
        <w:rPr>
          <w:color w:val="auto"/>
        </w:rPr>
      </w:pPr>
      <w:bookmarkStart w:id="1854" w:name="_Toc85640867"/>
      <w:bookmarkStart w:id="1855" w:name="_Toc77067769"/>
      <w:bookmarkStart w:id="1856" w:name="_Toc143099687"/>
      <w:bookmarkStart w:id="1857" w:name="_Toc80971488"/>
      <w:bookmarkStart w:id="1858" w:name="_Toc131167400"/>
      <w:bookmarkStart w:id="1859" w:name="_Toc70050296"/>
      <w:bookmarkStart w:id="1860" w:name="_Toc76976358"/>
      <w:bookmarkStart w:id="1861" w:name="_Toc126863499"/>
      <w:bookmarkStart w:id="1862" w:name="_Toc86142042"/>
      <w:bookmarkStart w:id="1863" w:name="_Toc196215835"/>
      <w:bookmarkStart w:id="1864" w:name="_Toc67860249"/>
      <w:bookmarkStart w:id="1865" w:name="_Toc78816571"/>
      <w:bookmarkStart w:id="1866" w:name="_Toc84929343"/>
      <w:bookmarkStart w:id="1867" w:name="_Toc80588366"/>
      <w:bookmarkStart w:id="1868" w:name="_Toc83209588"/>
      <w:bookmarkStart w:id="1869" w:name="_Toc127192448"/>
      <w:r>
        <w:rPr>
          <w:color w:val="auto"/>
        </w:rPr>
        <w:t>环境管理工作的重点</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14:paraId="374598D6">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工程投产运行后，油田环境管理工作由第十采油厂安全环保部负责，在油田生产</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环境管理除抓好日常站场各种环保设施的运行、维护等工作外，工作重点应针对油气集输生产和管理情况及油井作业过程管理、拉油点储罐、场站事故、集输管线破裂后油水泄漏等事故的预防和处理上。为此，必须制定相应的事故预防措施、事故应急措施以及恢复补偿措施等。正常油气集输过程中的检查重点为油井、拉油点及集输管道。油井主要检查现场原油泄漏情况和油井环境维护状况，如抽油机有无泄漏及油井井场是否平整干净，有无落地油等。拉油点主要检查储罐运行情况，储罐阀门、法兰等连接处有无渗漏情况等。集输管道的监控内容为管道运营是否正常，是否有穿孔等潜在危害存在，以杜绝原油泄漏。井下作业工艺过程检查应包括井下作业中的设备器材的搬迁、工前准备、井下作业施工和完工的全过程。</w:t>
      </w:r>
    </w:p>
    <w:p w14:paraId="0405260F">
      <w:pPr>
        <w:pStyle w:val="6"/>
        <w:rPr>
          <w:color w:val="auto"/>
        </w:rPr>
      </w:pPr>
      <w:bookmarkStart w:id="1870" w:name="_Toc70050297"/>
      <w:bookmarkStart w:id="1871" w:name="_Toc131167401"/>
      <w:bookmarkStart w:id="1872" w:name="_Toc127192449"/>
      <w:bookmarkStart w:id="1873" w:name="_Toc83209589"/>
      <w:bookmarkStart w:id="1874" w:name="_Toc80971489"/>
      <w:bookmarkStart w:id="1875" w:name="_Toc126863500"/>
      <w:bookmarkStart w:id="1876" w:name="_Toc77067770"/>
      <w:bookmarkStart w:id="1877" w:name="_Toc85640868"/>
      <w:bookmarkStart w:id="1878" w:name="_Toc143099688"/>
      <w:bookmarkStart w:id="1879" w:name="_Toc76976359"/>
      <w:bookmarkStart w:id="1880" w:name="_Toc196215836"/>
      <w:bookmarkStart w:id="1881" w:name="_Toc80588367"/>
      <w:bookmarkStart w:id="1882" w:name="_Toc67860250"/>
      <w:bookmarkStart w:id="1883" w:name="_Toc78816572"/>
      <w:bookmarkStart w:id="1884" w:name="_Toc84929344"/>
      <w:bookmarkStart w:id="1885" w:name="_Toc86142043"/>
      <w:r>
        <w:rPr>
          <w:color w:val="auto"/>
        </w:rPr>
        <w:t>环境管理人员的基本职责</w:t>
      </w:r>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14:paraId="5491B88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（1）协助有关生态环境部门进行环境保护设施的竣工验收工作；</w:t>
      </w:r>
    </w:p>
    <w:p w14:paraId="75612440">
      <w:pPr>
        <w:spacing w:line="440" w:lineRule="exact"/>
        <w:ind w:firstLine="480" w:firstLineChars="200"/>
        <w:rPr>
          <w:rFonts w:ascii="宋体" w:hAnsi="宋体" w:eastAsia="宋体" w:cs="Times New Roman"/>
          <w:color w:val="auto"/>
          <w:kern w:val="21"/>
          <w:sz w:val="24"/>
          <w:szCs w:val="24"/>
        </w:rPr>
      </w:pPr>
      <w:bookmarkStart w:id="1886" w:name="_Toc196215837"/>
      <w:bookmarkStart w:id="1887" w:name="_Toc196133916"/>
      <w:r>
        <w:rPr>
          <w:rFonts w:ascii="宋体" w:hAnsi="宋体" w:eastAsia="宋体" w:cs="Times New Roman"/>
          <w:color w:val="auto"/>
          <w:kern w:val="21"/>
          <w:sz w:val="24"/>
          <w:szCs w:val="24"/>
        </w:rPr>
        <w:t>（2）定期进行环保安全检查和召开有关会议；</w:t>
      </w:r>
      <w:bookmarkEnd w:id="1886"/>
      <w:bookmarkEnd w:id="1887"/>
    </w:p>
    <w:p w14:paraId="2AB8AC3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（3）对领导和职工特别是兼职环保人员进行环保安全方面的培训；</w:t>
      </w:r>
    </w:p>
    <w:p w14:paraId="09B3119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（4）制定各种可能发生事故的应急计划，定期进行演练；配备各种必要的维护、抢修器材和设备，保证在发生事故时能及时到位；</w:t>
      </w:r>
    </w:p>
    <w:p w14:paraId="35B6D1BB">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（5）主管环保的人员应参加生产调度和管理工作会议，针对生产运行中存在的环境问题，向公司领导和生产部门提出建议和技术处理措施。</w:t>
      </w:r>
    </w:p>
    <w:p w14:paraId="4198C0C9">
      <w:pPr>
        <w:pStyle w:val="6"/>
        <w:rPr>
          <w:color w:val="auto"/>
        </w:rPr>
      </w:pPr>
      <w:bookmarkStart w:id="1888" w:name="_Toc77067771"/>
      <w:bookmarkStart w:id="1889" w:name="_Toc143099689"/>
      <w:bookmarkStart w:id="1890" w:name="_Toc84929345"/>
      <w:bookmarkStart w:id="1891" w:name="_Toc78816573"/>
      <w:bookmarkStart w:id="1892" w:name="_Toc86142044"/>
      <w:bookmarkStart w:id="1893" w:name="_Toc196215838"/>
      <w:bookmarkStart w:id="1894" w:name="_Toc131167402"/>
      <w:bookmarkStart w:id="1895" w:name="_Toc70050298"/>
      <w:bookmarkStart w:id="1896" w:name="_Toc80971490"/>
      <w:bookmarkStart w:id="1897" w:name="_Toc85640869"/>
      <w:bookmarkStart w:id="1898" w:name="_Toc67860251"/>
      <w:bookmarkStart w:id="1899" w:name="_Toc83209590"/>
      <w:bookmarkStart w:id="1900" w:name="_Toc80588368"/>
      <w:bookmarkStart w:id="1901" w:name="_Toc76976360"/>
      <w:bookmarkStart w:id="1902" w:name="_Toc126863501"/>
      <w:bookmarkStart w:id="1903" w:name="_Toc127192450"/>
      <w:r>
        <w:rPr>
          <w:color w:val="auto"/>
        </w:rPr>
        <w:t>环境监控基本内容</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p>
    <w:p w14:paraId="1C28AE4C">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为了油田开发区域内环境的持续改进，对油田开发建设的各项活动进行全过程、全方位的监控。包括井场、拉油点建设及相应配套设施建设，以及油田正常生产情况下的相应作业施工建设等过程。油田运营期的环境监控主要是采油、井下作业和原油集输过程中的环境保护措施执行情况。日常监控主要由本站的环保员组织定期进行，由上级部门核查。核查采用检查现场、检查记录、与员工座谈等形式进行；检查和核查应形成记录。</w:t>
      </w:r>
    </w:p>
    <w:p w14:paraId="5FB353D4">
      <w:pPr>
        <w:pStyle w:val="6"/>
        <w:rPr>
          <w:color w:val="auto"/>
        </w:rPr>
      </w:pPr>
      <w:bookmarkStart w:id="1904" w:name="_Toc85640870"/>
      <w:bookmarkStart w:id="1905" w:name="_Toc84929346"/>
      <w:bookmarkStart w:id="1906" w:name="_Toc143099690"/>
      <w:bookmarkStart w:id="1907" w:name="_Toc131167403"/>
      <w:bookmarkStart w:id="1908" w:name="_Toc126863502"/>
      <w:bookmarkStart w:id="1909" w:name="_Toc80971491"/>
      <w:bookmarkStart w:id="1910" w:name="_Toc70050299"/>
      <w:bookmarkStart w:id="1911" w:name="_Toc83209591"/>
      <w:bookmarkStart w:id="1912" w:name="_Toc78816574"/>
      <w:bookmarkStart w:id="1913" w:name="_Toc80588369"/>
      <w:bookmarkStart w:id="1914" w:name="_Toc67860252"/>
      <w:bookmarkStart w:id="1915" w:name="_Toc127192451"/>
      <w:bookmarkStart w:id="1916" w:name="_Toc76976361"/>
      <w:bookmarkStart w:id="1917" w:name="_Toc77067772"/>
      <w:bookmarkStart w:id="1918" w:name="_Toc86142045"/>
      <w:r>
        <w:rPr>
          <w:color w:val="auto"/>
        </w:rPr>
        <w:t>本项目污染源排放清单</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7DA3CB05">
      <w:pPr>
        <w:spacing w:line="440" w:lineRule="exact"/>
        <w:ind w:firstLine="420" w:firstLineChars="200"/>
        <w:rPr>
          <w:rFonts w:ascii="宋体" w:hAnsi="宋体" w:eastAsia="宋体" w:cs="Times New Roman"/>
          <w:color w:val="auto"/>
          <w:kern w:val="21"/>
        </w:rPr>
      </w:pPr>
      <w:r>
        <w:rPr>
          <w:rFonts w:ascii="宋体" w:hAnsi="宋体" w:eastAsia="宋体" w:cs="Times New Roman"/>
          <w:color w:val="auto"/>
          <w:kern w:val="21"/>
        </w:rPr>
        <w:t>本项目施工期污染物排放清单见表8.2-1。</w:t>
      </w:r>
    </w:p>
    <w:p w14:paraId="0FB08B4F">
      <w:pPr>
        <w:pStyle w:val="276"/>
        <w:widowControl w:val="0"/>
        <w:spacing w:line="440" w:lineRule="exact"/>
        <w:ind w:firstLine="0" w:firstLineChars="0"/>
        <w:jc w:val="center"/>
        <w:rPr>
          <w:color w:val="auto"/>
          <w:kern w:val="21"/>
        </w:rPr>
      </w:pPr>
      <w:r>
        <w:rPr>
          <w:color w:val="auto"/>
          <w:kern w:val="21"/>
        </w:rPr>
        <w:t>8.2-1 施工期污染物排放清单</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Layout w:type="autofit"/>
        <w:tblCellMar>
          <w:top w:w="0" w:type="dxa"/>
          <w:left w:w="108" w:type="dxa"/>
          <w:bottom w:w="0" w:type="dxa"/>
          <w:right w:w="108" w:type="dxa"/>
        </w:tblCellMar>
      </w:tblPr>
      <w:tblGrid>
        <w:gridCol w:w="867"/>
        <w:gridCol w:w="1307"/>
        <w:gridCol w:w="912"/>
        <w:gridCol w:w="977"/>
        <w:gridCol w:w="3051"/>
        <w:gridCol w:w="2172"/>
      </w:tblGrid>
      <w:tr w14:paraId="71E808CF">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shd w:val="clear" w:color="auto" w:fill="auto"/>
            <w:vAlign w:val="center"/>
          </w:tcPr>
          <w:p w14:paraId="02DD1F5C">
            <w:pPr>
              <w:jc w:val="center"/>
              <w:rPr>
                <w:rFonts w:ascii="宋体" w:hAnsi="宋体" w:eastAsia="宋体" w:cs="Times New Roman"/>
                <w:color w:val="auto"/>
              </w:rPr>
            </w:pPr>
            <w:r>
              <w:rPr>
                <w:rFonts w:ascii="宋体" w:hAnsi="宋体" w:eastAsia="宋体" w:cs="Times New Roman"/>
                <w:color w:val="auto"/>
              </w:rPr>
              <w:t>污染物种类</w:t>
            </w:r>
          </w:p>
        </w:tc>
        <w:tc>
          <w:tcPr>
            <w:tcW w:w="704" w:type="pct"/>
            <w:shd w:val="clear" w:color="auto" w:fill="auto"/>
            <w:vAlign w:val="center"/>
          </w:tcPr>
          <w:p w14:paraId="7808AEBC">
            <w:pPr>
              <w:jc w:val="center"/>
              <w:rPr>
                <w:rFonts w:ascii="宋体" w:hAnsi="宋体" w:eastAsia="宋体" w:cs="Times New Roman"/>
                <w:color w:val="auto"/>
              </w:rPr>
            </w:pPr>
            <w:r>
              <w:rPr>
                <w:rFonts w:ascii="宋体" w:hAnsi="宋体" w:eastAsia="宋体" w:cs="Times New Roman"/>
                <w:color w:val="auto"/>
              </w:rPr>
              <w:t>污染物名称</w:t>
            </w:r>
          </w:p>
        </w:tc>
        <w:tc>
          <w:tcPr>
            <w:tcW w:w="491" w:type="pct"/>
            <w:shd w:val="clear" w:color="auto" w:fill="auto"/>
            <w:vAlign w:val="center"/>
          </w:tcPr>
          <w:p w14:paraId="002469D9">
            <w:pPr>
              <w:jc w:val="center"/>
              <w:rPr>
                <w:rFonts w:ascii="宋体" w:hAnsi="宋体" w:eastAsia="宋体" w:cs="Times New Roman"/>
                <w:color w:val="auto"/>
              </w:rPr>
            </w:pPr>
            <w:r>
              <w:rPr>
                <w:rFonts w:ascii="宋体" w:hAnsi="宋体" w:eastAsia="宋体" w:cs="Times New Roman"/>
                <w:color w:val="auto"/>
              </w:rPr>
              <w:t>主要污染因子</w:t>
            </w:r>
          </w:p>
        </w:tc>
        <w:tc>
          <w:tcPr>
            <w:tcW w:w="526" w:type="pct"/>
            <w:shd w:val="clear" w:color="auto" w:fill="auto"/>
            <w:vAlign w:val="center"/>
          </w:tcPr>
          <w:p w14:paraId="0FFD6481">
            <w:pPr>
              <w:jc w:val="center"/>
              <w:rPr>
                <w:rFonts w:ascii="宋体" w:hAnsi="宋体" w:eastAsia="宋体" w:cs="Times New Roman"/>
                <w:color w:val="auto"/>
              </w:rPr>
            </w:pPr>
            <w:r>
              <w:rPr>
                <w:rFonts w:ascii="宋体" w:hAnsi="宋体" w:eastAsia="宋体" w:cs="Times New Roman"/>
                <w:color w:val="auto"/>
              </w:rPr>
              <w:t>排放量</w:t>
            </w:r>
          </w:p>
        </w:tc>
        <w:tc>
          <w:tcPr>
            <w:tcW w:w="1643" w:type="pct"/>
            <w:shd w:val="clear" w:color="auto" w:fill="auto"/>
            <w:vAlign w:val="center"/>
          </w:tcPr>
          <w:p w14:paraId="070564F6">
            <w:pPr>
              <w:jc w:val="center"/>
              <w:rPr>
                <w:rFonts w:ascii="宋体" w:hAnsi="宋体" w:eastAsia="宋体" w:cs="Times New Roman"/>
                <w:color w:val="auto"/>
              </w:rPr>
            </w:pPr>
            <w:r>
              <w:rPr>
                <w:rFonts w:ascii="宋体" w:hAnsi="宋体" w:eastAsia="宋体" w:cs="Times New Roman"/>
                <w:color w:val="auto"/>
              </w:rPr>
              <w:t>控制措施及去向</w:t>
            </w:r>
          </w:p>
        </w:tc>
        <w:tc>
          <w:tcPr>
            <w:tcW w:w="1169" w:type="pct"/>
            <w:shd w:val="clear" w:color="auto" w:fill="auto"/>
            <w:vAlign w:val="center"/>
          </w:tcPr>
          <w:p w14:paraId="74FEE6C5">
            <w:pPr>
              <w:jc w:val="center"/>
              <w:rPr>
                <w:rFonts w:ascii="宋体" w:hAnsi="宋体" w:eastAsia="宋体" w:cs="Times New Roman"/>
                <w:color w:val="auto"/>
              </w:rPr>
            </w:pPr>
            <w:r>
              <w:rPr>
                <w:rFonts w:ascii="宋体" w:hAnsi="宋体" w:eastAsia="宋体" w:cs="Times New Roman"/>
                <w:color w:val="auto"/>
              </w:rPr>
              <w:t>排放管理要求</w:t>
            </w:r>
          </w:p>
        </w:tc>
      </w:tr>
      <w:tr w14:paraId="6BAB57E0">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restart"/>
            <w:shd w:val="clear" w:color="auto" w:fill="auto"/>
            <w:vAlign w:val="center"/>
          </w:tcPr>
          <w:p w14:paraId="6DA6D92B">
            <w:pPr>
              <w:jc w:val="center"/>
              <w:rPr>
                <w:rFonts w:ascii="宋体" w:hAnsi="宋体" w:eastAsia="宋体" w:cs="Times New Roman"/>
                <w:color w:val="auto"/>
              </w:rPr>
            </w:pPr>
            <w:r>
              <w:rPr>
                <w:rFonts w:ascii="宋体" w:hAnsi="宋体" w:eastAsia="宋体" w:cs="Times New Roman"/>
                <w:color w:val="auto"/>
              </w:rPr>
              <w:t>废气</w:t>
            </w:r>
          </w:p>
        </w:tc>
        <w:tc>
          <w:tcPr>
            <w:tcW w:w="704" w:type="pct"/>
            <w:shd w:val="clear" w:color="auto" w:fill="auto"/>
            <w:vAlign w:val="center"/>
          </w:tcPr>
          <w:p w14:paraId="34E63D15">
            <w:pPr>
              <w:jc w:val="center"/>
              <w:rPr>
                <w:rFonts w:ascii="宋体" w:hAnsi="宋体" w:eastAsia="宋体" w:cs="Times New Roman"/>
                <w:color w:val="auto"/>
              </w:rPr>
            </w:pPr>
            <w:r>
              <w:rPr>
                <w:rFonts w:ascii="宋体" w:hAnsi="宋体" w:eastAsia="宋体" w:cs="Times New Roman"/>
                <w:color w:val="auto"/>
              </w:rPr>
              <w:t>扬尘</w:t>
            </w:r>
          </w:p>
        </w:tc>
        <w:tc>
          <w:tcPr>
            <w:tcW w:w="491" w:type="pct"/>
            <w:shd w:val="clear" w:color="auto" w:fill="auto"/>
            <w:vAlign w:val="center"/>
          </w:tcPr>
          <w:p w14:paraId="7FC22F35">
            <w:pPr>
              <w:jc w:val="center"/>
              <w:rPr>
                <w:rFonts w:ascii="宋体" w:hAnsi="宋体" w:eastAsia="宋体" w:cs="Times New Roman"/>
                <w:color w:val="auto"/>
              </w:rPr>
            </w:pPr>
            <w:r>
              <w:rPr>
                <w:rFonts w:ascii="宋体" w:hAnsi="宋体" w:eastAsia="宋体" w:cs="Times New Roman"/>
                <w:color w:val="auto"/>
              </w:rPr>
              <w:t>颗粒物</w:t>
            </w:r>
          </w:p>
        </w:tc>
        <w:tc>
          <w:tcPr>
            <w:tcW w:w="526" w:type="pct"/>
            <w:shd w:val="clear" w:color="auto" w:fill="auto"/>
            <w:vAlign w:val="center"/>
          </w:tcPr>
          <w:p w14:paraId="579A09A0">
            <w:pPr>
              <w:jc w:val="center"/>
              <w:rPr>
                <w:rFonts w:ascii="宋体" w:hAnsi="宋体" w:eastAsia="宋体" w:cs="Times New Roman"/>
                <w:color w:val="auto"/>
              </w:rPr>
            </w:pPr>
            <w:r>
              <w:rPr>
                <w:rFonts w:hint="eastAsia" w:ascii="宋体" w:hAnsi="宋体" w:eastAsia="宋体" w:cs="Times New Roman"/>
                <w:color w:val="auto"/>
              </w:rPr>
              <w:t>5.72</w:t>
            </w:r>
            <w:r>
              <w:rPr>
                <w:rFonts w:ascii="宋体" w:hAnsi="宋体" w:eastAsia="宋体" w:cs="Times New Roman"/>
                <w:color w:val="auto"/>
              </w:rPr>
              <w:t>t</w:t>
            </w:r>
          </w:p>
        </w:tc>
        <w:tc>
          <w:tcPr>
            <w:tcW w:w="1643" w:type="pct"/>
            <w:shd w:val="clear" w:color="auto" w:fill="auto"/>
            <w:vAlign w:val="center"/>
          </w:tcPr>
          <w:p w14:paraId="4B702540">
            <w:pPr>
              <w:jc w:val="center"/>
              <w:rPr>
                <w:rFonts w:ascii="宋体" w:hAnsi="宋体" w:eastAsia="宋体" w:cs="Times New Roman"/>
                <w:color w:val="auto"/>
              </w:rPr>
            </w:pPr>
            <w:r>
              <w:rPr>
                <w:rFonts w:ascii="宋体" w:hAnsi="宋体" w:eastAsia="宋体" w:cs="Times New Roman"/>
                <w:color w:val="auto"/>
              </w:rPr>
              <w:t>对施工场地采取洒水抑尘，对易起尘的临时土方等加盖苫布，施工运输车辆采取密闭措施或加盖苫布，加强施工管理。</w:t>
            </w:r>
          </w:p>
        </w:tc>
        <w:tc>
          <w:tcPr>
            <w:tcW w:w="1169" w:type="pct"/>
            <w:vMerge w:val="restart"/>
            <w:shd w:val="clear" w:color="auto" w:fill="auto"/>
            <w:vAlign w:val="center"/>
          </w:tcPr>
          <w:p w14:paraId="2851F832">
            <w:pPr>
              <w:jc w:val="center"/>
              <w:rPr>
                <w:rFonts w:ascii="宋体" w:hAnsi="宋体" w:eastAsia="宋体" w:cs="Times New Roman"/>
                <w:color w:val="auto"/>
              </w:rPr>
            </w:pPr>
            <w:r>
              <w:rPr>
                <w:rFonts w:ascii="宋体" w:hAnsi="宋体" w:eastAsia="宋体" w:cs="Times New Roman"/>
                <w:color w:val="auto"/>
              </w:rPr>
              <w:t>执行</w:t>
            </w:r>
            <w:r>
              <w:rPr>
                <w:rFonts w:ascii="宋体" w:hAnsi="宋体" w:eastAsia="宋体" w:cs="Times New Roman"/>
                <w:snapToGrid w:val="0"/>
                <w:color w:val="auto"/>
              </w:rPr>
              <w:t>《大气污染物综合排放标准》（GB16297-1996）表2中无组织排放监控浓度限值要求</w:t>
            </w:r>
          </w:p>
        </w:tc>
      </w:tr>
      <w:tr w14:paraId="56592B3F">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275711AE">
            <w:pPr>
              <w:jc w:val="center"/>
              <w:rPr>
                <w:rFonts w:ascii="宋体" w:hAnsi="宋体" w:eastAsia="宋体" w:cs="Times New Roman"/>
                <w:color w:val="auto"/>
              </w:rPr>
            </w:pPr>
          </w:p>
        </w:tc>
        <w:tc>
          <w:tcPr>
            <w:tcW w:w="704" w:type="pct"/>
            <w:shd w:val="clear" w:color="auto" w:fill="auto"/>
            <w:vAlign w:val="center"/>
          </w:tcPr>
          <w:p w14:paraId="524E09DD">
            <w:pPr>
              <w:jc w:val="center"/>
              <w:rPr>
                <w:rFonts w:ascii="宋体" w:hAnsi="宋体" w:eastAsia="宋体" w:cs="Times New Roman"/>
                <w:color w:val="auto"/>
              </w:rPr>
            </w:pPr>
            <w:r>
              <w:rPr>
                <w:rFonts w:ascii="宋体" w:hAnsi="宋体" w:eastAsia="宋体" w:cs="Times New Roman"/>
                <w:color w:val="auto"/>
              </w:rPr>
              <w:t>焊接烟尘</w:t>
            </w:r>
          </w:p>
        </w:tc>
        <w:tc>
          <w:tcPr>
            <w:tcW w:w="491" w:type="pct"/>
            <w:shd w:val="clear" w:color="auto" w:fill="auto"/>
            <w:vAlign w:val="center"/>
          </w:tcPr>
          <w:p w14:paraId="16DD5255">
            <w:pPr>
              <w:jc w:val="center"/>
              <w:rPr>
                <w:rFonts w:ascii="宋体" w:hAnsi="宋体" w:eastAsia="宋体" w:cs="Times New Roman"/>
                <w:color w:val="auto"/>
              </w:rPr>
            </w:pPr>
            <w:r>
              <w:rPr>
                <w:rFonts w:ascii="宋体" w:hAnsi="宋体" w:eastAsia="宋体" w:cs="Times New Roman"/>
                <w:color w:val="auto"/>
              </w:rPr>
              <w:t>颗粒物</w:t>
            </w:r>
          </w:p>
        </w:tc>
        <w:tc>
          <w:tcPr>
            <w:tcW w:w="526" w:type="pct"/>
            <w:shd w:val="clear" w:color="auto" w:fill="auto"/>
            <w:vAlign w:val="center"/>
          </w:tcPr>
          <w:p w14:paraId="43AC41B3">
            <w:pPr>
              <w:jc w:val="center"/>
              <w:rPr>
                <w:rFonts w:ascii="宋体" w:hAnsi="宋体" w:eastAsia="宋体" w:cs="Times New Roman"/>
                <w:color w:val="auto"/>
              </w:rPr>
            </w:pPr>
            <w:r>
              <w:rPr>
                <w:rFonts w:ascii="宋体" w:hAnsi="宋体" w:eastAsia="宋体" w:cs="Times New Roman"/>
                <w:color w:val="auto"/>
              </w:rPr>
              <w:t>少量</w:t>
            </w:r>
          </w:p>
        </w:tc>
        <w:tc>
          <w:tcPr>
            <w:tcW w:w="1643" w:type="pct"/>
            <w:shd w:val="clear" w:color="auto" w:fill="auto"/>
            <w:vAlign w:val="center"/>
          </w:tcPr>
          <w:p w14:paraId="42613A0F">
            <w:pPr>
              <w:jc w:val="center"/>
              <w:rPr>
                <w:rFonts w:ascii="宋体" w:hAnsi="宋体" w:eastAsia="宋体" w:cs="Times New Roman"/>
                <w:color w:val="auto"/>
              </w:rPr>
            </w:pPr>
            <w:r>
              <w:rPr>
                <w:rFonts w:ascii="宋体" w:hAnsi="宋体" w:eastAsia="宋体" w:cs="Times New Roman"/>
                <w:color w:val="auto"/>
              </w:rPr>
              <w:t>由于项目焊接点较少，产生的焊接烟尘量较小，且项目位于室外，空气扩散条件较好</w:t>
            </w:r>
          </w:p>
        </w:tc>
        <w:tc>
          <w:tcPr>
            <w:tcW w:w="1169" w:type="pct"/>
            <w:vMerge w:val="continue"/>
            <w:shd w:val="clear" w:color="auto" w:fill="auto"/>
            <w:vAlign w:val="center"/>
          </w:tcPr>
          <w:p w14:paraId="26FD169C">
            <w:pPr>
              <w:jc w:val="center"/>
              <w:rPr>
                <w:rFonts w:ascii="宋体" w:hAnsi="宋体" w:eastAsia="宋体" w:cs="Times New Roman"/>
                <w:color w:val="auto"/>
              </w:rPr>
            </w:pPr>
          </w:p>
        </w:tc>
      </w:tr>
      <w:tr w14:paraId="51A7FE0A">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35DD0227">
            <w:pPr>
              <w:jc w:val="center"/>
              <w:rPr>
                <w:rFonts w:ascii="宋体" w:hAnsi="宋体" w:eastAsia="宋体" w:cs="Times New Roman"/>
                <w:color w:val="auto"/>
              </w:rPr>
            </w:pPr>
          </w:p>
        </w:tc>
        <w:tc>
          <w:tcPr>
            <w:tcW w:w="704" w:type="pct"/>
            <w:shd w:val="clear" w:color="auto" w:fill="auto"/>
            <w:vAlign w:val="center"/>
          </w:tcPr>
          <w:p w14:paraId="7AA86C14">
            <w:pPr>
              <w:jc w:val="center"/>
              <w:rPr>
                <w:rFonts w:ascii="宋体" w:hAnsi="宋体" w:eastAsia="宋体" w:cs="Times New Roman"/>
                <w:color w:val="auto"/>
              </w:rPr>
            </w:pPr>
            <w:r>
              <w:rPr>
                <w:rFonts w:ascii="宋体" w:hAnsi="宋体" w:eastAsia="宋体" w:cs="Times New Roman"/>
                <w:color w:val="auto"/>
              </w:rPr>
              <w:t>柴油机燃烧烟气</w:t>
            </w:r>
          </w:p>
        </w:tc>
        <w:tc>
          <w:tcPr>
            <w:tcW w:w="491" w:type="pct"/>
            <w:shd w:val="clear" w:color="auto" w:fill="auto"/>
            <w:vAlign w:val="center"/>
          </w:tcPr>
          <w:p w14:paraId="2A473A45">
            <w:pPr>
              <w:jc w:val="center"/>
              <w:rPr>
                <w:rFonts w:ascii="宋体" w:hAnsi="宋体" w:eastAsia="宋体" w:cs="Times New Roman"/>
                <w:color w:val="auto"/>
              </w:rPr>
            </w:pPr>
            <w:r>
              <w:rPr>
                <w:rFonts w:ascii="宋体" w:hAnsi="宋体" w:eastAsia="宋体" w:cs="Times New Roman"/>
                <w:color w:val="auto"/>
              </w:rPr>
              <w:t>颗粒物、SO</w:t>
            </w:r>
            <w:r>
              <w:rPr>
                <w:rFonts w:ascii="宋体" w:hAnsi="宋体" w:eastAsia="宋体" w:cs="Times New Roman"/>
                <w:color w:val="auto"/>
                <w:vertAlign w:val="subscript"/>
              </w:rPr>
              <w:t>2</w:t>
            </w:r>
            <w:r>
              <w:rPr>
                <w:rFonts w:ascii="宋体" w:hAnsi="宋体" w:eastAsia="宋体" w:cs="Times New Roman"/>
                <w:color w:val="auto"/>
              </w:rPr>
              <w:t>、NO</w:t>
            </w:r>
            <w:r>
              <w:rPr>
                <w:rFonts w:ascii="宋体" w:hAnsi="宋体" w:eastAsia="宋体" w:cs="Times New Roman"/>
                <w:color w:val="auto"/>
                <w:vertAlign w:val="subscript"/>
              </w:rPr>
              <w:t>x</w:t>
            </w:r>
            <w:r>
              <w:rPr>
                <w:rFonts w:ascii="宋体" w:hAnsi="宋体" w:eastAsia="宋体" w:cs="Times New Roman"/>
                <w:color w:val="auto"/>
              </w:rPr>
              <w:t>、HC 、CO</w:t>
            </w:r>
          </w:p>
        </w:tc>
        <w:tc>
          <w:tcPr>
            <w:tcW w:w="526" w:type="pct"/>
            <w:shd w:val="clear" w:color="auto" w:fill="auto"/>
            <w:vAlign w:val="center"/>
          </w:tcPr>
          <w:p w14:paraId="09933E6A">
            <w:pPr>
              <w:jc w:val="center"/>
              <w:rPr>
                <w:rFonts w:ascii="宋体" w:hAnsi="宋体" w:eastAsia="宋体" w:cs="Times New Roman"/>
                <w:color w:val="auto"/>
              </w:rPr>
            </w:pPr>
            <w:r>
              <w:rPr>
                <w:rFonts w:hint="eastAsia" w:ascii="宋体" w:hAnsi="宋体" w:eastAsia="宋体" w:cs="Times New Roman"/>
                <w:color w:val="auto"/>
              </w:rPr>
              <w:t>399.4</w:t>
            </w:r>
            <w:r>
              <w:rPr>
                <w:rFonts w:ascii="宋体" w:hAnsi="宋体" w:eastAsia="宋体" w:cs="Times New Roman"/>
                <w:color w:val="auto"/>
              </w:rPr>
              <w:t>万m</w:t>
            </w:r>
            <w:r>
              <w:rPr>
                <w:rFonts w:ascii="宋体" w:hAnsi="宋体" w:eastAsia="宋体" w:cs="Times New Roman"/>
                <w:color w:val="auto"/>
                <w:vertAlign w:val="superscript"/>
              </w:rPr>
              <w:t>3</w:t>
            </w:r>
          </w:p>
        </w:tc>
        <w:tc>
          <w:tcPr>
            <w:tcW w:w="1643" w:type="pct"/>
            <w:shd w:val="clear" w:color="auto" w:fill="auto"/>
            <w:vAlign w:val="center"/>
          </w:tcPr>
          <w:p w14:paraId="70CE17B6">
            <w:pPr>
              <w:jc w:val="center"/>
              <w:rPr>
                <w:rFonts w:ascii="宋体" w:hAnsi="宋体" w:eastAsia="宋体" w:cs="Times New Roman"/>
                <w:color w:val="auto"/>
              </w:rPr>
            </w:pPr>
            <w:r>
              <w:rPr>
                <w:rFonts w:ascii="宋体" w:hAnsi="宋体" w:eastAsia="宋体" w:cs="Times New Roman"/>
                <w:color w:val="auto"/>
              </w:rPr>
              <w:t>使用产品质量达标的低标号柴油，采用节能环保型柴油动力设备，调节好柴油机运行工况</w:t>
            </w:r>
          </w:p>
        </w:tc>
        <w:tc>
          <w:tcPr>
            <w:tcW w:w="1169" w:type="pct"/>
            <w:shd w:val="clear" w:color="auto" w:fill="auto"/>
            <w:vAlign w:val="center"/>
          </w:tcPr>
          <w:p w14:paraId="2D708B97">
            <w:pPr>
              <w:jc w:val="center"/>
              <w:rPr>
                <w:rFonts w:ascii="宋体" w:hAnsi="宋体" w:eastAsia="宋体" w:cs="Times New Roman"/>
                <w:color w:val="auto"/>
              </w:rPr>
            </w:pPr>
            <w:r>
              <w:rPr>
                <w:rFonts w:ascii="宋体" w:hAnsi="宋体" w:eastAsia="宋体" w:cs="Times New Roman"/>
                <w:color w:val="auto"/>
              </w:rPr>
              <w:t>柴油燃烧烟气执行《非道路移动机械用柴油机排气污染物排放限值及测量方法》（中国第三、四阶段）（GB20891-2014）及2020修改单中第三阶段标准限值及《非道路移动柴油机械排气烟度限值及测量方法》（GB 36886-2018）表1中Ⅱ类限值要求</w:t>
            </w:r>
          </w:p>
        </w:tc>
      </w:tr>
      <w:tr w14:paraId="3F52C48C">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restart"/>
            <w:shd w:val="clear" w:color="auto" w:fill="auto"/>
            <w:vAlign w:val="center"/>
          </w:tcPr>
          <w:p w14:paraId="34C9ABD6">
            <w:pPr>
              <w:jc w:val="center"/>
              <w:rPr>
                <w:rFonts w:ascii="宋体" w:hAnsi="宋体" w:eastAsia="宋体" w:cs="Times New Roman"/>
                <w:color w:val="auto"/>
              </w:rPr>
            </w:pPr>
            <w:r>
              <w:rPr>
                <w:rFonts w:ascii="宋体" w:hAnsi="宋体" w:eastAsia="宋体" w:cs="Times New Roman"/>
                <w:color w:val="auto"/>
              </w:rPr>
              <w:t>废水</w:t>
            </w:r>
          </w:p>
        </w:tc>
        <w:tc>
          <w:tcPr>
            <w:tcW w:w="704" w:type="pct"/>
            <w:shd w:val="clear" w:color="auto" w:fill="auto"/>
            <w:vAlign w:val="center"/>
          </w:tcPr>
          <w:p w14:paraId="37D2014A">
            <w:pPr>
              <w:jc w:val="center"/>
              <w:rPr>
                <w:rFonts w:ascii="宋体" w:hAnsi="宋体" w:eastAsia="宋体" w:cs="Times New Roman"/>
                <w:color w:val="auto"/>
              </w:rPr>
            </w:pPr>
            <w:r>
              <w:rPr>
                <w:rFonts w:ascii="宋体" w:hAnsi="宋体" w:eastAsia="宋体" w:cs="Times New Roman"/>
                <w:color w:val="auto"/>
              </w:rPr>
              <w:t>水基钻井废水</w:t>
            </w:r>
          </w:p>
        </w:tc>
        <w:tc>
          <w:tcPr>
            <w:tcW w:w="491" w:type="pct"/>
            <w:shd w:val="clear" w:color="auto" w:fill="auto"/>
            <w:vAlign w:val="center"/>
          </w:tcPr>
          <w:p w14:paraId="0E8857D7">
            <w:pPr>
              <w:jc w:val="center"/>
              <w:rPr>
                <w:rFonts w:ascii="宋体" w:hAnsi="宋体" w:eastAsia="宋体" w:cs="Times New Roman"/>
                <w:color w:val="auto"/>
              </w:rPr>
            </w:pPr>
            <w:r>
              <w:rPr>
                <w:rFonts w:ascii="宋体" w:hAnsi="宋体" w:eastAsia="宋体" w:cs="Times New Roman"/>
                <w:color w:val="auto"/>
              </w:rPr>
              <w:t>COD、SS</w:t>
            </w:r>
          </w:p>
        </w:tc>
        <w:tc>
          <w:tcPr>
            <w:tcW w:w="526" w:type="pct"/>
            <w:shd w:val="clear" w:color="auto" w:fill="auto"/>
            <w:vAlign w:val="center"/>
          </w:tcPr>
          <w:p w14:paraId="1F9E926C">
            <w:pPr>
              <w:jc w:val="center"/>
              <w:rPr>
                <w:rFonts w:ascii="宋体" w:hAnsi="宋体" w:eastAsia="宋体" w:cs="Times New Roman"/>
                <w:color w:val="auto"/>
              </w:rPr>
            </w:pPr>
            <w:r>
              <w:rPr>
                <w:rFonts w:hint="eastAsia" w:ascii="宋体" w:hAnsi="宋体" w:eastAsia="宋体" w:cs="Times New Roman"/>
                <w:color w:val="auto"/>
              </w:rPr>
              <w:t>111</w:t>
            </w:r>
            <w:r>
              <w:rPr>
                <w:rFonts w:ascii="宋体" w:hAnsi="宋体" w:eastAsia="宋体" w:cs="Times New Roman"/>
                <w:color w:val="auto"/>
              </w:rPr>
              <w:t>m</w:t>
            </w:r>
            <w:r>
              <w:rPr>
                <w:rFonts w:ascii="宋体" w:hAnsi="宋体" w:eastAsia="宋体" w:cs="Times New Roman"/>
                <w:color w:val="auto"/>
                <w:vertAlign w:val="superscript"/>
              </w:rPr>
              <w:t>3</w:t>
            </w:r>
          </w:p>
        </w:tc>
        <w:tc>
          <w:tcPr>
            <w:tcW w:w="1643" w:type="pct"/>
            <w:shd w:val="clear" w:color="auto" w:fill="auto"/>
            <w:vAlign w:val="center"/>
          </w:tcPr>
          <w:p w14:paraId="2163FF5F">
            <w:pPr>
              <w:jc w:val="center"/>
              <w:rPr>
                <w:rFonts w:ascii="宋体" w:hAnsi="宋体" w:eastAsia="宋体" w:cs="Times New Roman"/>
                <w:color w:val="auto"/>
              </w:rPr>
            </w:pPr>
            <w:r>
              <w:rPr>
                <w:rFonts w:ascii="宋体" w:hAnsi="宋体" w:eastAsia="宋体" w:cs="Times New Roman"/>
                <w:color w:val="auto"/>
              </w:rPr>
              <w:t>排入井场水基钢制泥浆槽中，及时拉运至大庆油田昆仑集团有限公司环保分公司处理，处理后的压滤水定期由罐车拉运至朝一联含油污水处理站处理达标后回注油层</w:t>
            </w:r>
          </w:p>
        </w:tc>
        <w:tc>
          <w:tcPr>
            <w:tcW w:w="1169" w:type="pct"/>
            <w:shd w:val="clear" w:color="auto" w:fill="auto"/>
            <w:vAlign w:val="center"/>
          </w:tcPr>
          <w:p w14:paraId="14489397">
            <w:pPr>
              <w:jc w:val="center"/>
              <w:rPr>
                <w:rFonts w:ascii="宋体" w:hAnsi="宋体" w:eastAsia="宋体" w:cs="Times New Roman"/>
                <w:color w:val="auto"/>
              </w:rPr>
            </w:pPr>
            <w:r>
              <w:rPr>
                <w:rFonts w:ascii="宋体" w:hAnsi="宋体" w:eastAsia="宋体" w:cs="Times New Roman"/>
                <w:color w:val="auto"/>
              </w:rPr>
              <w:t>不外排</w:t>
            </w:r>
          </w:p>
        </w:tc>
      </w:tr>
      <w:tr w14:paraId="6B90DBEB">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654B0DA4">
            <w:pPr>
              <w:jc w:val="center"/>
              <w:rPr>
                <w:rFonts w:ascii="宋体" w:hAnsi="宋体" w:eastAsia="宋体" w:cs="Times New Roman"/>
                <w:color w:val="auto"/>
              </w:rPr>
            </w:pPr>
          </w:p>
        </w:tc>
        <w:tc>
          <w:tcPr>
            <w:tcW w:w="704" w:type="pct"/>
            <w:shd w:val="clear" w:color="auto" w:fill="auto"/>
            <w:vAlign w:val="center"/>
          </w:tcPr>
          <w:p w14:paraId="0B57442B">
            <w:pPr>
              <w:jc w:val="center"/>
              <w:rPr>
                <w:rFonts w:ascii="宋体" w:hAnsi="宋体" w:eastAsia="宋体" w:cs="Times New Roman"/>
                <w:color w:val="auto"/>
              </w:rPr>
            </w:pPr>
            <w:r>
              <w:rPr>
                <w:rFonts w:ascii="宋体" w:hAnsi="宋体" w:eastAsia="宋体" w:cs="Times New Roman"/>
                <w:color w:val="auto"/>
              </w:rPr>
              <w:t>油基钻井废水</w:t>
            </w:r>
          </w:p>
        </w:tc>
        <w:tc>
          <w:tcPr>
            <w:tcW w:w="491" w:type="pct"/>
            <w:shd w:val="clear" w:color="auto" w:fill="auto"/>
            <w:vAlign w:val="center"/>
          </w:tcPr>
          <w:p w14:paraId="2DDED534">
            <w:pPr>
              <w:jc w:val="center"/>
              <w:rPr>
                <w:rFonts w:ascii="宋体" w:hAnsi="宋体" w:eastAsia="宋体" w:cs="Times New Roman"/>
                <w:color w:val="auto"/>
              </w:rPr>
            </w:pPr>
            <w:r>
              <w:rPr>
                <w:rFonts w:ascii="宋体" w:hAnsi="宋体" w:eastAsia="宋体" w:cs="Times New Roman"/>
                <w:color w:val="auto"/>
              </w:rPr>
              <w:t>COD、SS、石油类</w:t>
            </w:r>
          </w:p>
        </w:tc>
        <w:tc>
          <w:tcPr>
            <w:tcW w:w="526" w:type="pct"/>
            <w:shd w:val="clear" w:color="auto" w:fill="auto"/>
            <w:vAlign w:val="center"/>
          </w:tcPr>
          <w:p w14:paraId="58A5EC7A">
            <w:pPr>
              <w:jc w:val="center"/>
              <w:rPr>
                <w:rFonts w:ascii="宋体" w:hAnsi="宋体" w:eastAsia="宋体" w:cs="Times New Roman"/>
                <w:color w:val="auto"/>
              </w:rPr>
            </w:pPr>
            <w:r>
              <w:rPr>
                <w:rFonts w:hint="eastAsia" w:ascii="宋体" w:hAnsi="宋体" w:eastAsia="宋体" w:cs="Times New Roman"/>
                <w:color w:val="auto"/>
              </w:rPr>
              <w:t>205.2</w:t>
            </w:r>
            <w:r>
              <w:rPr>
                <w:rFonts w:ascii="宋体" w:hAnsi="宋体" w:eastAsia="宋体" w:cs="Times New Roman"/>
                <w:color w:val="auto"/>
              </w:rPr>
              <w:t>m</w:t>
            </w:r>
            <w:r>
              <w:rPr>
                <w:rFonts w:ascii="宋体" w:hAnsi="宋体" w:eastAsia="宋体" w:cs="Times New Roman"/>
                <w:color w:val="auto"/>
                <w:vertAlign w:val="superscript"/>
              </w:rPr>
              <w:t>3</w:t>
            </w:r>
          </w:p>
        </w:tc>
        <w:tc>
          <w:tcPr>
            <w:tcW w:w="1643" w:type="pct"/>
            <w:shd w:val="clear" w:color="auto" w:fill="auto"/>
            <w:vAlign w:val="center"/>
          </w:tcPr>
          <w:p w14:paraId="706DF430">
            <w:pPr>
              <w:jc w:val="center"/>
              <w:rPr>
                <w:rFonts w:ascii="宋体" w:hAnsi="宋体" w:eastAsia="宋体" w:cs="Times New Roman"/>
                <w:color w:val="auto"/>
              </w:rPr>
            </w:pPr>
            <w:r>
              <w:rPr>
                <w:rFonts w:ascii="宋体" w:hAnsi="宋体" w:eastAsia="宋体" w:cs="Times New Roman"/>
                <w:color w:val="auto"/>
              </w:rPr>
              <w:t>排入井场设置的油基钢制泥浆槽中，委托黑龙江迈景环保科技有限公司处理，处理后的污水进入污水罐储存，定期拉运至朝二联含油污水处理站处理满足《大庆油田地面工程建设设计规定》（Q/SYDQ0639-2015）及《碎屑岩油藏注水水质指标技术要求及分析方法》（SY/T5329-2022）限值要求后回注油层</w:t>
            </w:r>
          </w:p>
        </w:tc>
        <w:tc>
          <w:tcPr>
            <w:tcW w:w="1169" w:type="pct"/>
            <w:shd w:val="clear" w:color="auto" w:fill="auto"/>
            <w:vAlign w:val="center"/>
          </w:tcPr>
          <w:p w14:paraId="453DB68B">
            <w:pPr>
              <w:jc w:val="center"/>
              <w:rPr>
                <w:rFonts w:ascii="宋体" w:hAnsi="宋体" w:eastAsia="宋体" w:cs="Times New Roman"/>
                <w:color w:val="auto"/>
              </w:rPr>
            </w:pPr>
            <w:r>
              <w:rPr>
                <w:rFonts w:ascii="宋体" w:hAnsi="宋体" w:eastAsia="宋体" w:cs="Times New Roman"/>
                <w:color w:val="auto"/>
              </w:rPr>
              <w:t>不外排</w:t>
            </w:r>
          </w:p>
        </w:tc>
      </w:tr>
      <w:tr w14:paraId="610120AF">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2F51B604">
            <w:pPr>
              <w:jc w:val="center"/>
              <w:rPr>
                <w:rFonts w:ascii="宋体" w:hAnsi="宋体" w:eastAsia="宋体" w:cs="Times New Roman"/>
                <w:color w:val="auto"/>
              </w:rPr>
            </w:pPr>
          </w:p>
        </w:tc>
        <w:tc>
          <w:tcPr>
            <w:tcW w:w="704" w:type="pct"/>
            <w:shd w:val="clear" w:color="auto" w:fill="auto"/>
            <w:vAlign w:val="center"/>
          </w:tcPr>
          <w:p w14:paraId="6CC083CD">
            <w:pPr>
              <w:jc w:val="center"/>
              <w:rPr>
                <w:rFonts w:ascii="宋体" w:hAnsi="宋体" w:eastAsia="宋体" w:cs="Times New Roman"/>
                <w:color w:val="auto"/>
              </w:rPr>
            </w:pPr>
            <w:r>
              <w:rPr>
                <w:rFonts w:ascii="宋体" w:hAnsi="宋体" w:eastAsia="宋体" w:cs="Times New Roman"/>
                <w:color w:val="auto"/>
              </w:rPr>
              <w:t>生活污水</w:t>
            </w:r>
          </w:p>
        </w:tc>
        <w:tc>
          <w:tcPr>
            <w:tcW w:w="491" w:type="pct"/>
            <w:shd w:val="clear" w:color="auto" w:fill="auto"/>
            <w:vAlign w:val="center"/>
          </w:tcPr>
          <w:p w14:paraId="308D5333">
            <w:pPr>
              <w:jc w:val="center"/>
              <w:rPr>
                <w:rFonts w:ascii="宋体" w:hAnsi="宋体" w:eastAsia="宋体" w:cs="Times New Roman"/>
                <w:color w:val="auto"/>
              </w:rPr>
            </w:pPr>
            <w:r>
              <w:rPr>
                <w:rFonts w:ascii="宋体" w:hAnsi="宋体" w:eastAsia="宋体" w:cs="Times New Roman"/>
                <w:color w:val="auto"/>
              </w:rPr>
              <w:t>COD、NH</w:t>
            </w:r>
            <w:r>
              <w:rPr>
                <w:rFonts w:ascii="宋体" w:hAnsi="宋体" w:eastAsia="宋体" w:cs="Times New Roman"/>
                <w:color w:val="auto"/>
                <w:vertAlign w:val="subscript"/>
              </w:rPr>
              <w:t>3</w:t>
            </w:r>
            <w:r>
              <w:rPr>
                <w:rFonts w:ascii="宋体" w:hAnsi="宋体" w:eastAsia="宋体" w:cs="Times New Roman"/>
                <w:color w:val="auto"/>
              </w:rPr>
              <w:t>-N</w:t>
            </w:r>
          </w:p>
        </w:tc>
        <w:tc>
          <w:tcPr>
            <w:tcW w:w="526" w:type="pct"/>
            <w:shd w:val="clear" w:color="auto" w:fill="auto"/>
            <w:vAlign w:val="center"/>
          </w:tcPr>
          <w:p w14:paraId="38BD8B98">
            <w:pPr>
              <w:jc w:val="center"/>
              <w:rPr>
                <w:rFonts w:ascii="宋体" w:hAnsi="宋体" w:eastAsia="宋体" w:cs="Times New Roman"/>
                <w:color w:val="auto"/>
              </w:rPr>
            </w:pPr>
            <w:r>
              <w:rPr>
                <w:rFonts w:hint="eastAsia" w:ascii="宋体" w:hAnsi="宋体" w:eastAsia="宋体" w:cs="Times New Roman"/>
                <w:color w:val="auto"/>
              </w:rPr>
              <w:t>235.5</w:t>
            </w:r>
            <w:r>
              <w:rPr>
                <w:rFonts w:ascii="宋体" w:hAnsi="宋体" w:eastAsia="宋体" w:cs="Times New Roman"/>
                <w:color w:val="auto"/>
              </w:rPr>
              <w:t>m</w:t>
            </w:r>
            <w:r>
              <w:rPr>
                <w:rFonts w:ascii="宋体" w:hAnsi="宋体" w:eastAsia="宋体" w:cs="Times New Roman"/>
                <w:color w:val="auto"/>
                <w:vertAlign w:val="superscript"/>
              </w:rPr>
              <w:t>3</w:t>
            </w:r>
          </w:p>
        </w:tc>
        <w:tc>
          <w:tcPr>
            <w:tcW w:w="1643" w:type="pct"/>
            <w:shd w:val="clear" w:color="auto" w:fill="auto"/>
            <w:vAlign w:val="center"/>
          </w:tcPr>
          <w:p w14:paraId="5AA1054F">
            <w:pPr>
              <w:jc w:val="center"/>
              <w:rPr>
                <w:rFonts w:ascii="宋体" w:hAnsi="宋体" w:eastAsia="宋体" w:cs="Times New Roman"/>
                <w:color w:val="auto"/>
              </w:rPr>
            </w:pPr>
            <w:r>
              <w:rPr>
                <w:rFonts w:ascii="宋体" w:hAnsi="宋体" w:eastAsia="宋体" w:cs="Times New Roman"/>
                <w:color w:val="auto"/>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w:t>
            </w:r>
          </w:p>
        </w:tc>
        <w:tc>
          <w:tcPr>
            <w:tcW w:w="1169" w:type="pct"/>
            <w:shd w:val="clear" w:color="auto" w:fill="auto"/>
            <w:vAlign w:val="center"/>
          </w:tcPr>
          <w:p w14:paraId="6E557F4A">
            <w:pPr>
              <w:jc w:val="center"/>
              <w:rPr>
                <w:rFonts w:ascii="宋体" w:hAnsi="宋体" w:eastAsia="宋体" w:cs="Times New Roman"/>
                <w:color w:val="auto"/>
              </w:rPr>
            </w:pPr>
            <w:r>
              <w:rPr>
                <w:rFonts w:ascii="宋体" w:hAnsi="宋体" w:eastAsia="宋体" w:cs="Times New Roman"/>
                <w:color w:val="auto"/>
              </w:rPr>
              <w:t>不外排</w:t>
            </w:r>
          </w:p>
        </w:tc>
      </w:tr>
      <w:tr w14:paraId="4FB8EC87">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034FBB82">
            <w:pPr>
              <w:jc w:val="center"/>
              <w:rPr>
                <w:rFonts w:ascii="宋体" w:hAnsi="宋体" w:eastAsia="宋体" w:cs="Times New Roman"/>
                <w:color w:val="auto"/>
              </w:rPr>
            </w:pPr>
          </w:p>
        </w:tc>
        <w:tc>
          <w:tcPr>
            <w:tcW w:w="704" w:type="pct"/>
            <w:shd w:val="clear" w:color="auto" w:fill="auto"/>
            <w:vAlign w:val="center"/>
          </w:tcPr>
          <w:p w14:paraId="24D92D37">
            <w:pPr>
              <w:jc w:val="center"/>
              <w:rPr>
                <w:rFonts w:ascii="宋体" w:hAnsi="宋体" w:eastAsia="宋体" w:cs="Times New Roman"/>
                <w:color w:val="auto"/>
              </w:rPr>
            </w:pPr>
            <w:r>
              <w:rPr>
                <w:rFonts w:ascii="宋体" w:hAnsi="宋体" w:eastAsia="宋体" w:cs="Times New Roman"/>
                <w:color w:val="auto"/>
              </w:rPr>
              <w:t>管线试压废水</w:t>
            </w:r>
          </w:p>
        </w:tc>
        <w:tc>
          <w:tcPr>
            <w:tcW w:w="491" w:type="pct"/>
            <w:shd w:val="clear" w:color="auto" w:fill="auto"/>
            <w:vAlign w:val="center"/>
          </w:tcPr>
          <w:p w14:paraId="3AA8594C">
            <w:pPr>
              <w:jc w:val="center"/>
              <w:rPr>
                <w:rFonts w:ascii="宋体" w:hAnsi="宋体" w:eastAsia="宋体" w:cs="Times New Roman"/>
                <w:color w:val="auto"/>
              </w:rPr>
            </w:pPr>
            <w:r>
              <w:rPr>
                <w:rFonts w:ascii="宋体" w:hAnsi="宋体" w:eastAsia="宋体" w:cs="Times New Roman"/>
                <w:color w:val="auto"/>
              </w:rPr>
              <w:t>SS</w:t>
            </w:r>
          </w:p>
        </w:tc>
        <w:tc>
          <w:tcPr>
            <w:tcW w:w="526" w:type="pct"/>
            <w:shd w:val="clear" w:color="auto" w:fill="auto"/>
            <w:vAlign w:val="center"/>
          </w:tcPr>
          <w:p w14:paraId="67767992">
            <w:pPr>
              <w:jc w:val="center"/>
              <w:rPr>
                <w:rFonts w:ascii="宋体" w:hAnsi="宋体" w:eastAsia="宋体" w:cs="Times New Roman"/>
                <w:color w:val="auto"/>
              </w:rPr>
            </w:pPr>
            <w:r>
              <w:rPr>
                <w:rFonts w:hint="eastAsia" w:ascii="宋体" w:hAnsi="宋体" w:eastAsia="宋体" w:cs="Times New Roman"/>
                <w:color w:val="auto"/>
              </w:rPr>
              <w:t>0.114</w:t>
            </w:r>
            <w:r>
              <w:rPr>
                <w:rFonts w:ascii="宋体" w:hAnsi="宋体" w:eastAsia="宋体" w:cs="Times New Roman"/>
                <w:color w:val="auto"/>
              </w:rPr>
              <w:t>m</w:t>
            </w:r>
            <w:r>
              <w:rPr>
                <w:rFonts w:ascii="宋体" w:hAnsi="宋体" w:eastAsia="宋体" w:cs="Times New Roman"/>
                <w:color w:val="auto"/>
                <w:vertAlign w:val="superscript"/>
              </w:rPr>
              <w:t>3</w:t>
            </w:r>
          </w:p>
        </w:tc>
        <w:tc>
          <w:tcPr>
            <w:tcW w:w="1643" w:type="pct"/>
            <w:shd w:val="clear" w:color="auto" w:fill="auto"/>
            <w:vAlign w:val="center"/>
          </w:tcPr>
          <w:p w14:paraId="4722C263">
            <w:pPr>
              <w:jc w:val="center"/>
              <w:rPr>
                <w:rFonts w:ascii="宋体" w:hAnsi="宋体" w:eastAsia="宋体" w:cs="Times New Roman"/>
                <w:color w:val="auto"/>
              </w:rPr>
            </w:pPr>
            <w:r>
              <w:rPr>
                <w:rFonts w:ascii="宋体" w:hAnsi="宋体" w:eastAsia="宋体" w:cs="Times New Roman"/>
                <w:color w:val="auto"/>
              </w:rPr>
              <w:t>由罐车拉运至朝二联含油污水处理站处理满足《大庆油田地面工程建设设计规定》（Q/SYDQ0639-2015）及《碎屑岩油藏注水水质指标技术要求及分析方法》（SY/T5329-2022）限值要求后回注油层</w:t>
            </w:r>
          </w:p>
        </w:tc>
        <w:tc>
          <w:tcPr>
            <w:tcW w:w="1169" w:type="pct"/>
            <w:shd w:val="clear" w:color="auto" w:fill="auto"/>
            <w:vAlign w:val="center"/>
          </w:tcPr>
          <w:p w14:paraId="1B881C78">
            <w:pPr>
              <w:jc w:val="center"/>
              <w:rPr>
                <w:rFonts w:ascii="宋体" w:hAnsi="宋体" w:eastAsia="宋体" w:cs="Times New Roman"/>
                <w:color w:val="auto"/>
              </w:rPr>
            </w:pPr>
            <w:r>
              <w:rPr>
                <w:rFonts w:ascii="宋体" w:hAnsi="宋体" w:eastAsia="宋体" w:cs="Times New Roman"/>
                <w:color w:val="auto"/>
              </w:rPr>
              <w:t>不外排</w:t>
            </w:r>
          </w:p>
        </w:tc>
      </w:tr>
      <w:tr w14:paraId="2BF916F8">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0456D515">
            <w:pPr>
              <w:jc w:val="center"/>
              <w:rPr>
                <w:rFonts w:ascii="宋体" w:hAnsi="宋体" w:eastAsia="宋体" w:cs="Times New Roman"/>
                <w:color w:val="auto"/>
              </w:rPr>
            </w:pPr>
          </w:p>
        </w:tc>
        <w:tc>
          <w:tcPr>
            <w:tcW w:w="704" w:type="pct"/>
            <w:shd w:val="clear" w:color="auto" w:fill="auto"/>
            <w:vAlign w:val="center"/>
          </w:tcPr>
          <w:p w14:paraId="12393889">
            <w:pPr>
              <w:jc w:val="center"/>
              <w:rPr>
                <w:rFonts w:ascii="宋体" w:hAnsi="宋体" w:eastAsia="宋体" w:cs="Times New Roman"/>
                <w:color w:val="auto"/>
              </w:rPr>
            </w:pPr>
            <w:r>
              <w:rPr>
                <w:rFonts w:ascii="宋体" w:hAnsi="宋体" w:eastAsia="宋体" w:cs="Times New Roman"/>
                <w:color w:val="auto"/>
              </w:rPr>
              <w:t>压裂返排液</w:t>
            </w:r>
          </w:p>
        </w:tc>
        <w:tc>
          <w:tcPr>
            <w:tcW w:w="491" w:type="pct"/>
            <w:shd w:val="clear" w:color="auto" w:fill="auto"/>
            <w:vAlign w:val="center"/>
          </w:tcPr>
          <w:p w14:paraId="383A9232">
            <w:pPr>
              <w:jc w:val="center"/>
              <w:rPr>
                <w:rFonts w:ascii="宋体" w:hAnsi="宋体" w:eastAsia="宋体" w:cs="Times New Roman"/>
                <w:color w:val="auto"/>
              </w:rPr>
            </w:pPr>
            <w:r>
              <w:rPr>
                <w:rFonts w:ascii="宋体" w:hAnsi="宋体" w:eastAsia="宋体" w:cs="Times New Roman"/>
                <w:color w:val="auto"/>
              </w:rPr>
              <w:t>COD、SS</w:t>
            </w:r>
          </w:p>
        </w:tc>
        <w:tc>
          <w:tcPr>
            <w:tcW w:w="526" w:type="pct"/>
            <w:shd w:val="clear" w:color="auto" w:fill="auto"/>
            <w:vAlign w:val="center"/>
          </w:tcPr>
          <w:p w14:paraId="3A076B5F">
            <w:pPr>
              <w:jc w:val="center"/>
              <w:rPr>
                <w:rFonts w:ascii="宋体" w:hAnsi="宋体" w:eastAsia="宋体" w:cs="Times New Roman"/>
                <w:color w:val="auto"/>
              </w:rPr>
            </w:pPr>
            <w:r>
              <w:rPr>
                <w:rFonts w:hint="eastAsia" w:ascii="宋体" w:hAnsi="宋体" w:eastAsia="宋体" w:cs="Times New Roman"/>
                <w:color w:val="auto"/>
              </w:rPr>
              <w:t>420</w:t>
            </w:r>
            <w:r>
              <w:rPr>
                <w:rFonts w:ascii="宋体" w:hAnsi="宋体" w:eastAsia="宋体" w:cs="Times New Roman"/>
                <w:color w:val="auto"/>
              </w:rPr>
              <w:t>m</w:t>
            </w:r>
            <w:r>
              <w:rPr>
                <w:rFonts w:ascii="宋体" w:hAnsi="宋体" w:eastAsia="宋体" w:cs="Times New Roman"/>
                <w:color w:val="auto"/>
                <w:vertAlign w:val="superscript"/>
              </w:rPr>
              <w:t>3</w:t>
            </w:r>
          </w:p>
        </w:tc>
        <w:tc>
          <w:tcPr>
            <w:tcW w:w="1643" w:type="pct"/>
            <w:shd w:val="clear" w:color="auto" w:fill="auto"/>
            <w:vAlign w:val="center"/>
          </w:tcPr>
          <w:p w14:paraId="49AEE1DE">
            <w:pPr>
              <w:jc w:val="center"/>
              <w:rPr>
                <w:rFonts w:ascii="宋体" w:hAnsi="宋体" w:eastAsia="宋体" w:cs="Times New Roman"/>
                <w:color w:val="auto"/>
              </w:rPr>
            </w:pPr>
            <w:r>
              <w:rPr>
                <w:rFonts w:ascii="宋体" w:hAnsi="宋体" w:eastAsia="宋体" w:cs="Times New Roman"/>
                <w:color w:val="auto"/>
              </w:rPr>
              <w:t>由罐车拉运至朝一联压裂返排液无害化处理站处理，处置后污水管输进入朝一联含油污水处理站</w:t>
            </w:r>
          </w:p>
        </w:tc>
        <w:tc>
          <w:tcPr>
            <w:tcW w:w="1169" w:type="pct"/>
            <w:shd w:val="clear" w:color="auto" w:fill="auto"/>
            <w:vAlign w:val="center"/>
          </w:tcPr>
          <w:p w14:paraId="551BF0FE">
            <w:pPr>
              <w:jc w:val="center"/>
              <w:rPr>
                <w:rFonts w:ascii="宋体" w:hAnsi="宋体" w:eastAsia="宋体" w:cs="Times New Roman"/>
                <w:color w:val="auto"/>
              </w:rPr>
            </w:pPr>
            <w:r>
              <w:rPr>
                <w:rFonts w:ascii="宋体" w:hAnsi="宋体" w:eastAsia="宋体" w:cs="Times New Roman"/>
                <w:color w:val="auto"/>
              </w:rPr>
              <w:t>不外排</w:t>
            </w:r>
          </w:p>
        </w:tc>
      </w:tr>
      <w:tr w14:paraId="5B93F527">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restart"/>
            <w:shd w:val="clear" w:color="auto" w:fill="auto"/>
            <w:vAlign w:val="center"/>
          </w:tcPr>
          <w:p w14:paraId="0DF2E1A4">
            <w:pPr>
              <w:jc w:val="center"/>
              <w:rPr>
                <w:rFonts w:ascii="宋体" w:hAnsi="宋体" w:eastAsia="宋体" w:cs="Times New Roman"/>
                <w:color w:val="auto"/>
              </w:rPr>
            </w:pPr>
            <w:r>
              <w:rPr>
                <w:rFonts w:ascii="宋体" w:hAnsi="宋体" w:eastAsia="宋体" w:cs="Times New Roman"/>
                <w:color w:val="auto"/>
              </w:rPr>
              <w:t>固废</w:t>
            </w:r>
          </w:p>
          <w:p w14:paraId="39C7173C">
            <w:pPr>
              <w:jc w:val="center"/>
              <w:rPr>
                <w:rFonts w:ascii="宋体" w:hAnsi="宋体" w:eastAsia="宋体" w:cs="Times New Roman"/>
                <w:color w:val="auto"/>
              </w:rPr>
            </w:pPr>
          </w:p>
        </w:tc>
        <w:tc>
          <w:tcPr>
            <w:tcW w:w="704" w:type="pct"/>
            <w:shd w:val="clear" w:color="auto" w:fill="auto"/>
            <w:vAlign w:val="center"/>
          </w:tcPr>
          <w:p w14:paraId="25D33DA7">
            <w:pPr>
              <w:jc w:val="center"/>
              <w:rPr>
                <w:rFonts w:ascii="宋体" w:hAnsi="宋体" w:eastAsia="宋体" w:cs="Times New Roman"/>
                <w:color w:val="auto"/>
              </w:rPr>
            </w:pPr>
            <w:r>
              <w:rPr>
                <w:rFonts w:ascii="宋体" w:hAnsi="宋体" w:eastAsia="宋体" w:cs="Times New Roman"/>
                <w:color w:val="auto"/>
              </w:rPr>
              <w:t>水基废钻井液</w:t>
            </w:r>
          </w:p>
        </w:tc>
        <w:tc>
          <w:tcPr>
            <w:tcW w:w="491" w:type="pct"/>
            <w:shd w:val="clear" w:color="auto" w:fill="auto"/>
            <w:vAlign w:val="center"/>
          </w:tcPr>
          <w:p w14:paraId="33F0F5E0">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26" w:type="pct"/>
            <w:shd w:val="clear" w:color="auto" w:fill="auto"/>
            <w:vAlign w:val="center"/>
          </w:tcPr>
          <w:p w14:paraId="3E1573C8">
            <w:pPr>
              <w:jc w:val="center"/>
              <w:rPr>
                <w:rFonts w:ascii="宋体" w:hAnsi="宋体" w:eastAsia="宋体" w:cs="Times New Roman"/>
                <w:color w:val="auto"/>
              </w:rPr>
            </w:pPr>
            <w:r>
              <w:rPr>
                <w:rFonts w:hint="eastAsia" w:ascii="宋体" w:hAnsi="宋体" w:eastAsia="宋体" w:cs="Times New Roman"/>
                <w:color w:val="auto"/>
              </w:rPr>
              <w:t>926</w:t>
            </w:r>
            <w:r>
              <w:rPr>
                <w:rFonts w:ascii="宋体" w:hAnsi="宋体" w:eastAsia="宋体" w:cs="Times New Roman"/>
                <w:color w:val="auto"/>
              </w:rPr>
              <w:t>m</w:t>
            </w:r>
            <w:r>
              <w:rPr>
                <w:rFonts w:ascii="宋体" w:hAnsi="宋体" w:eastAsia="宋体" w:cs="Times New Roman"/>
                <w:color w:val="auto"/>
                <w:vertAlign w:val="superscript"/>
              </w:rPr>
              <w:t>3</w:t>
            </w:r>
            <w:r>
              <w:rPr>
                <w:rFonts w:ascii="宋体" w:hAnsi="宋体" w:eastAsia="宋体" w:cs="Times New Roman"/>
                <w:color w:val="auto"/>
              </w:rPr>
              <w:t xml:space="preserve"> </w:t>
            </w:r>
          </w:p>
        </w:tc>
        <w:tc>
          <w:tcPr>
            <w:tcW w:w="1643" w:type="pct"/>
            <w:vMerge w:val="restart"/>
            <w:shd w:val="clear" w:color="auto" w:fill="auto"/>
            <w:vAlign w:val="center"/>
          </w:tcPr>
          <w:p w14:paraId="58079E97">
            <w:pPr>
              <w:jc w:val="center"/>
              <w:rPr>
                <w:rFonts w:ascii="宋体" w:hAnsi="宋体" w:eastAsia="宋体" w:cs="Times New Roman"/>
                <w:color w:val="auto"/>
              </w:rPr>
            </w:pPr>
            <w:r>
              <w:rPr>
                <w:rFonts w:ascii="宋体" w:hAnsi="宋体" w:eastAsia="宋体" w:cs="Times New Roman"/>
                <w:color w:val="auto"/>
              </w:rPr>
              <w:t>排入井场水基钢制泥浆槽中，及时拉运至大庆油田昆仑集团有限公司环保分公司处理，处理后的压滤水定期由罐车拉运至朝一联含油污水处理站处理满足《大庆油田地面工程建设设计规定》（Q/SYDQ0639-2015）及《碎屑岩油藏注水水质指标技术要求及分析方法》（SY/T5329-2022）限值要求后回注油层，处理后的泥饼外售给大庆钻探工程公司钻井二公司综合利用垫井场或铺路</w:t>
            </w:r>
          </w:p>
        </w:tc>
        <w:tc>
          <w:tcPr>
            <w:tcW w:w="1169" w:type="pct"/>
            <w:vMerge w:val="restart"/>
            <w:shd w:val="clear" w:color="auto" w:fill="auto"/>
            <w:vAlign w:val="center"/>
          </w:tcPr>
          <w:p w14:paraId="375BE604">
            <w:pPr>
              <w:jc w:val="center"/>
              <w:rPr>
                <w:rFonts w:ascii="宋体" w:hAnsi="宋体" w:eastAsia="宋体" w:cs="Times New Roman"/>
                <w:snapToGrid w:val="0"/>
                <w:color w:val="auto"/>
              </w:rPr>
            </w:pPr>
            <w:r>
              <w:rPr>
                <w:rFonts w:ascii="宋体" w:hAnsi="宋体" w:eastAsia="宋体" w:cs="Times New Roman"/>
                <w:color w:val="auto"/>
              </w:rPr>
              <w:t>100%处置</w:t>
            </w:r>
          </w:p>
        </w:tc>
      </w:tr>
      <w:tr w14:paraId="320F0017">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5630C0DE">
            <w:pPr>
              <w:jc w:val="center"/>
              <w:rPr>
                <w:rFonts w:ascii="宋体" w:hAnsi="宋体" w:eastAsia="宋体" w:cs="Times New Roman"/>
                <w:color w:val="auto"/>
              </w:rPr>
            </w:pPr>
          </w:p>
        </w:tc>
        <w:tc>
          <w:tcPr>
            <w:tcW w:w="704" w:type="pct"/>
            <w:shd w:val="clear" w:color="auto" w:fill="auto"/>
            <w:vAlign w:val="center"/>
          </w:tcPr>
          <w:p w14:paraId="2763ED7A">
            <w:pPr>
              <w:jc w:val="center"/>
              <w:rPr>
                <w:rFonts w:ascii="宋体" w:hAnsi="宋体" w:eastAsia="宋体" w:cs="Times New Roman"/>
                <w:color w:val="auto"/>
              </w:rPr>
            </w:pPr>
            <w:r>
              <w:rPr>
                <w:rFonts w:ascii="宋体" w:hAnsi="宋体" w:eastAsia="宋体" w:cs="Times New Roman"/>
                <w:color w:val="auto"/>
              </w:rPr>
              <w:t>水基钻井岩屑</w:t>
            </w:r>
          </w:p>
        </w:tc>
        <w:tc>
          <w:tcPr>
            <w:tcW w:w="491" w:type="pct"/>
            <w:shd w:val="clear" w:color="auto" w:fill="auto"/>
            <w:vAlign w:val="center"/>
          </w:tcPr>
          <w:p w14:paraId="3F9A1938">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26" w:type="pct"/>
            <w:shd w:val="clear" w:color="auto" w:fill="auto"/>
            <w:vAlign w:val="center"/>
          </w:tcPr>
          <w:p w14:paraId="15C64027">
            <w:pPr>
              <w:jc w:val="center"/>
              <w:rPr>
                <w:rFonts w:ascii="宋体" w:hAnsi="宋体" w:eastAsia="宋体" w:cs="Times New Roman"/>
                <w:color w:val="auto"/>
              </w:rPr>
            </w:pPr>
            <w:r>
              <w:rPr>
                <w:rFonts w:hint="eastAsia" w:ascii="宋体" w:hAnsi="宋体" w:eastAsia="宋体" w:cs="Times New Roman"/>
                <w:color w:val="auto"/>
              </w:rPr>
              <w:t>140.3</w:t>
            </w:r>
            <w:r>
              <w:rPr>
                <w:rFonts w:ascii="宋体" w:hAnsi="宋体" w:eastAsia="宋体" w:cs="Times New Roman"/>
                <w:color w:val="auto"/>
              </w:rPr>
              <w:t>m</w:t>
            </w:r>
            <w:r>
              <w:rPr>
                <w:rFonts w:ascii="宋体" w:hAnsi="宋体" w:eastAsia="宋体" w:cs="Times New Roman"/>
                <w:color w:val="auto"/>
                <w:vertAlign w:val="superscript"/>
              </w:rPr>
              <w:t>3</w:t>
            </w:r>
          </w:p>
        </w:tc>
        <w:tc>
          <w:tcPr>
            <w:tcW w:w="1643" w:type="pct"/>
            <w:vMerge w:val="continue"/>
            <w:shd w:val="clear" w:color="auto" w:fill="auto"/>
            <w:vAlign w:val="center"/>
          </w:tcPr>
          <w:p w14:paraId="7197E498">
            <w:pPr>
              <w:jc w:val="center"/>
              <w:rPr>
                <w:rFonts w:ascii="宋体" w:hAnsi="宋体" w:eastAsia="宋体" w:cs="Times New Roman"/>
                <w:color w:val="auto"/>
                <w:lang w:bidi="ar"/>
              </w:rPr>
            </w:pPr>
          </w:p>
        </w:tc>
        <w:tc>
          <w:tcPr>
            <w:tcW w:w="1169" w:type="pct"/>
            <w:vMerge w:val="continue"/>
            <w:shd w:val="clear" w:color="auto" w:fill="auto"/>
            <w:vAlign w:val="center"/>
          </w:tcPr>
          <w:p w14:paraId="6B297F8C">
            <w:pPr>
              <w:jc w:val="center"/>
              <w:rPr>
                <w:rFonts w:ascii="宋体" w:hAnsi="宋体" w:eastAsia="宋体" w:cs="Times New Roman"/>
                <w:color w:val="auto"/>
              </w:rPr>
            </w:pPr>
          </w:p>
        </w:tc>
      </w:tr>
      <w:tr w14:paraId="6A0B23A1">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0483514B">
            <w:pPr>
              <w:jc w:val="center"/>
              <w:rPr>
                <w:rFonts w:ascii="宋体" w:hAnsi="宋体" w:eastAsia="宋体" w:cs="Times New Roman"/>
                <w:color w:val="auto"/>
              </w:rPr>
            </w:pPr>
          </w:p>
        </w:tc>
        <w:tc>
          <w:tcPr>
            <w:tcW w:w="704" w:type="pct"/>
            <w:shd w:val="clear" w:color="auto" w:fill="auto"/>
            <w:vAlign w:val="center"/>
          </w:tcPr>
          <w:p w14:paraId="3CD2630B">
            <w:pPr>
              <w:jc w:val="center"/>
              <w:rPr>
                <w:rFonts w:ascii="宋体" w:hAnsi="宋体" w:eastAsia="宋体" w:cs="Times New Roman"/>
                <w:color w:val="auto"/>
              </w:rPr>
            </w:pPr>
            <w:r>
              <w:rPr>
                <w:rFonts w:ascii="宋体" w:hAnsi="宋体" w:eastAsia="宋体" w:cs="Times New Roman"/>
                <w:color w:val="auto"/>
              </w:rPr>
              <w:t>不含油废射孔液</w:t>
            </w:r>
          </w:p>
        </w:tc>
        <w:tc>
          <w:tcPr>
            <w:tcW w:w="491" w:type="pct"/>
            <w:shd w:val="clear" w:color="auto" w:fill="auto"/>
            <w:vAlign w:val="center"/>
          </w:tcPr>
          <w:p w14:paraId="6E2E6AB2">
            <w:pPr>
              <w:jc w:val="center"/>
              <w:rPr>
                <w:rFonts w:ascii="宋体" w:hAnsi="宋体" w:eastAsia="宋体" w:cs="Times New Roman"/>
                <w:snapToGrid w:val="0"/>
                <w:color w:val="auto"/>
              </w:rPr>
            </w:pPr>
          </w:p>
        </w:tc>
        <w:tc>
          <w:tcPr>
            <w:tcW w:w="526" w:type="pct"/>
            <w:shd w:val="clear" w:color="auto" w:fill="auto"/>
            <w:vAlign w:val="center"/>
          </w:tcPr>
          <w:p w14:paraId="05C0165E">
            <w:pPr>
              <w:jc w:val="center"/>
              <w:rPr>
                <w:rFonts w:ascii="宋体" w:hAnsi="宋体" w:eastAsia="宋体" w:cs="Times New Roman"/>
                <w:color w:val="auto"/>
              </w:rPr>
            </w:pPr>
            <w:r>
              <w:rPr>
                <w:rFonts w:hint="eastAsia" w:ascii="宋体" w:hAnsi="宋体" w:eastAsia="宋体" w:cs="Times New Roman"/>
                <w:color w:val="auto"/>
              </w:rPr>
              <w:t>80m</w:t>
            </w:r>
            <w:r>
              <w:rPr>
                <w:rFonts w:hint="eastAsia" w:ascii="宋体" w:hAnsi="宋体" w:eastAsia="宋体" w:cs="Times New Roman"/>
                <w:color w:val="auto"/>
                <w:vertAlign w:val="superscript"/>
              </w:rPr>
              <w:t>3</w:t>
            </w:r>
          </w:p>
        </w:tc>
        <w:tc>
          <w:tcPr>
            <w:tcW w:w="1643" w:type="pct"/>
            <w:vMerge w:val="continue"/>
            <w:shd w:val="clear" w:color="auto" w:fill="auto"/>
            <w:vAlign w:val="center"/>
          </w:tcPr>
          <w:p w14:paraId="3526D69C">
            <w:pPr>
              <w:jc w:val="center"/>
              <w:rPr>
                <w:rFonts w:ascii="宋体" w:hAnsi="宋体" w:eastAsia="宋体" w:cs="Times New Roman"/>
                <w:color w:val="auto"/>
                <w:lang w:bidi="ar"/>
              </w:rPr>
            </w:pPr>
          </w:p>
        </w:tc>
        <w:tc>
          <w:tcPr>
            <w:tcW w:w="1169" w:type="pct"/>
            <w:vMerge w:val="continue"/>
            <w:shd w:val="clear" w:color="auto" w:fill="auto"/>
            <w:vAlign w:val="center"/>
          </w:tcPr>
          <w:p w14:paraId="2E03FCEF">
            <w:pPr>
              <w:jc w:val="center"/>
              <w:rPr>
                <w:rFonts w:ascii="宋体" w:hAnsi="宋体" w:eastAsia="宋体" w:cs="Times New Roman"/>
                <w:color w:val="auto"/>
              </w:rPr>
            </w:pPr>
          </w:p>
        </w:tc>
      </w:tr>
      <w:tr w14:paraId="0672F6C7">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4862CA47">
            <w:pPr>
              <w:jc w:val="center"/>
              <w:rPr>
                <w:rFonts w:ascii="宋体" w:hAnsi="宋体" w:eastAsia="宋体" w:cs="Times New Roman"/>
                <w:color w:val="auto"/>
              </w:rPr>
            </w:pPr>
          </w:p>
        </w:tc>
        <w:tc>
          <w:tcPr>
            <w:tcW w:w="704" w:type="pct"/>
            <w:shd w:val="clear" w:color="auto" w:fill="auto"/>
            <w:vAlign w:val="center"/>
          </w:tcPr>
          <w:p w14:paraId="10F6EA20">
            <w:pPr>
              <w:jc w:val="center"/>
              <w:rPr>
                <w:rFonts w:ascii="宋体" w:hAnsi="宋体" w:eastAsia="宋体" w:cs="Times New Roman"/>
                <w:color w:val="auto"/>
              </w:rPr>
            </w:pPr>
            <w:r>
              <w:rPr>
                <w:rFonts w:ascii="宋体" w:hAnsi="宋体" w:eastAsia="宋体" w:cs="Times New Roman"/>
                <w:color w:val="auto"/>
              </w:rPr>
              <w:t>油基废钻井液</w:t>
            </w:r>
          </w:p>
        </w:tc>
        <w:tc>
          <w:tcPr>
            <w:tcW w:w="491" w:type="pct"/>
            <w:shd w:val="clear" w:color="auto" w:fill="auto"/>
            <w:vAlign w:val="center"/>
          </w:tcPr>
          <w:p w14:paraId="6B80896A">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26" w:type="pct"/>
            <w:shd w:val="clear" w:color="auto" w:fill="auto"/>
            <w:vAlign w:val="center"/>
          </w:tcPr>
          <w:p w14:paraId="3D24A5C3">
            <w:pPr>
              <w:jc w:val="center"/>
              <w:rPr>
                <w:rFonts w:ascii="宋体" w:hAnsi="宋体" w:eastAsia="宋体" w:cs="Times New Roman"/>
                <w:color w:val="auto"/>
              </w:rPr>
            </w:pPr>
            <w:r>
              <w:rPr>
                <w:rFonts w:hint="eastAsia" w:ascii="宋体" w:hAnsi="宋体" w:eastAsia="宋体" w:cs="Times New Roman"/>
                <w:color w:val="auto"/>
              </w:rPr>
              <w:t>976</w:t>
            </w:r>
            <w:r>
              <w:rPr>
                <w:rFonts w:ascii="宋体" w:hAnsi="宋体" w:eastAsia="宋体" w:cs="Times New Roman"/>
                <w:color w:val="auto"/>
              </w:rPr>
              <w:t>m</w:t>
            </w:r>
            <w:r>
              <w:rPr>
                <w:rFonts w:ascii="宋体" w:hAnsi="宋体" w:eastAsia="宋体" w:cs="Times New Roman"/>
                <w:color w:val="auto"/>
                <w:vertAlign w:val="superscript"/>
              </w:rPr>
              <w:t>3</w:t>
            </w:r>
          </w:p>
        </w:tc>
        <w:tc>
          <w:tcPr>
            <w:tcW w:w="1643" w:type="pct"/>
            <w:vMerge w:val="restart"/>
            <w:shd w:val="clear" w:color="auto" w:fill="auto"/>
            <w:vAlign w:val="center"/>
          </w:tcPr>
          <w:p w14:paraId="41F8063A">
            <w:pPr>
              <w:jc w:val="center"/>
              <w:rPr>
                <w:rFonts w:ascii="宋体" w:hAnsi="宋体" w:eastAsia="宋体" w:cs="Times New Roman"/>
                <w:color w:val="auto"/>
                <w:lang w:bidi="ar"/>
              </w:rPr>
            </w:pPr>
            <w:r>
              <w:rPr>
                <w:rFonts w:ascii="宋体" w:hAnsi="宋体" w:eastAsia="宋体" w:cs="Times New Roman"/>
                <w:color w:val="auto"/>
                <w:lang w:bidi="ar"/>
              </w:rPr>
              <w:t>排入井场设置的油基钢制泥浆槽中，委托有危废处理资质的黑龙江迈景环保科技有限公司处理满足《油田含油污泥处置与利用污染控制要求》（DB23/T 3104-2022）表1中的限值要求后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c>
          <w:tcPr>
            <w:tcW w:w="1169" w:type="pct"/>
            <w:vMerge w:val="restart"/>
            <w:shd w:val="clear" w:color="auto" w:fill="auto"/>
            <w:vAlign w:val="center"/>
          </w:tcPr>
          <w:p w14:paraId="6313B77C">
            <w:pPr>
              <w:jc w:val="center"/>
              <w:rPr>
                <w:rFonts w:ascii="宋体" w:hAnsi="宋体" w:eastAsia="宋体" w:cs="Times New Roman"/>
                <w:color w:val="auto"/>
              </w:rPr>
            </w:pPr>
            <w:r>
              <w:rPr>
                <w:rFonts w:ascii="宋体" w:hAnsi="宋体" w:eastAsia="宋体" w:cs="Times New Roman"/>
                <w:color w:val="auto"/>
              </w:rPr>
              <w:t>100%处置</w:t>
            </w:r>
          </w:p>
        </w:tc>
      </w:tr>
      <w:tr w14:paraId="129298E1">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0371E4E6">
            <w:pPr>
              <w:jc w:val="center"/>
              <w:rPr>
                <w:rFonts w:ascii="宋体" w:hAnsi="宋体" w:eastAsia="宋体" w:cs="Times New Roman"/>
                <w:color w:val="auto"/>
              </w:rPr>
            </w:pPr>
          </w:p>
        </w:tc>
        <w:tc>
          <w:tcPr>
            <w:tcW w:w="704" w:type="pct"/>
            <w:shd w:val="clear" w:color="auto" w:fill="auto"/>
            <w:vAlign w:val="center"/>
          </w:tcPr>
          <w:p w14:paraId="4366EC4C">
            <w:pPr>
              <w:jc w:val="center"/>
              <w:rPr>
                <w:rFonts w:ascii="宋体" w:hAnsi="宋体" w:eastAsia="宋体" w:cs="Times New Roman"/>
                <w:color w:val="auto"/>
              </w:rPr>
            </w:pPr>
            <w:r>
              <w:rPr>
                <w:rFonts w:ascii="宋体" w:hAnsi="宋体" w:eastAsia="宋体" w:cs="Times New Roman"/>
                <w:color w:val="auto"/>
              </w:rPr>
              <w:t>油基钻井岩屑</w:t>
            </w:r>
          </w:p>
        </w:tc>
        <w:tc>
          <w:tcPr>
            <w:tcW w:w="491" w:type="pct"/>
            <w:shd w:val="clear" w:color="auto" w:fill="auto"/>
            <w:vAlign w:val="center"/>
          </w:tcPr>
          <w:p w14:paraId="5E8407E8">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26" w:type="pct"/>
            <w:shd w:val="clear" w:color="auto" w:fill="auto"/>
            <w:vAlign w:val="center"/>
          </w:tcPr>
          <w:p w14:paraId="0A30497E">
            <w:pPr>
              <w:jc w:val="center"/>
              <w:rPr>
                <w:rFonts w:ascii="宋体" w:hAnsi="宋体" w:eastAsia="宋体" w:cs="Times New Roman"/>
                <w:color w:val="auto"/>
              </w:rPr>
            </w:pPr>
            <w:r>
              <w:rPr>
                <w:rFonts w:hint="eastAsia" w:ascii="宋体" w:hAnsi="宋体" w:eastAsia="宋体" w:cs="Times New Roman"/>
                <w:color w:val="auto"/>
              </w:rPr>
              <w:t>259.2</w:t>
            </w:r>
            <w:r>
              <w:rPr>
                <w:rFonts w:ascii="宋体" w:hAnsi="宋体" w:eastAsia="宋体" w:cs="Times New Roman"/>
                <w:color w:val="auto"/>
              </w:rPr>
              <w:t>m</w:t>
            </w:r>
            <w:r>
              <w:rPr>
                <w:rFonts w:ascii="宋体" w:hAnsi="宋体" w:eastAsia="宋体" w:cs="Times New Roman"/>
                <w:color w:val="auto"/>
                <w:vertAlign w:val="superscript"/>
              </w:rPr>
              <w:t>3</w:t>
            </w:r>
          </w:p>
        </w:tc>
        <w:tc>
          <w:tcPr>
            <w:tcW w:w="1643" w:type="pct"/>
            <w:vMerge w:val="continue"/>
            <w:shd w:val="clear" w:color="auto" w:fill="auto"/>
            <w:vAlign w:val="center"/>
          </w:tcPr>
          <w:p w14:paraId="79802410">
            <w:pPr>
              <w:jc w:val="center"/>
              <w:rPr>
                <w:rFonts w:ascii="宋体" w:hAnsi="宋体" w:eastAsia="宋体" w:cs="Times New Roman"/>
                <w:color w:val="auto"/>
                <w:lang w:bidi="ar"/>
              </w:rPr>
            </w:pPr>
          </w:p>
        </w:tc>
        <w:tc>
          <w:tcPr>
            <w:tcW w:w="1169" w:type="pct"/>
            <w:vMerge w:val="continue"/>
            <w:shd w:val="clear" w:color="auto" w:fill="auto"/>
            <w:vAlign w:val="center"/>
          </w:tcPr>
          <w:p w14:paraId="43F469FB">
            <w:pPr>
              <w:jc w:val="center"/>
              <w:rPr>
                <w:rFonts w:ascii="宋体" w:hAnsi="宋体" w:eastAsia="宋体" w:cs="Times New Roman"/>
                <w:color w:val="auto"/>
              </w:rPr>
            </w:pPr>
          </w:p>
        </w:tc>
      </w:tr>
      <w:tr w14:paraId="468A7534">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1CFFA949">
            <w:pPr>
              <w:jc w:val="center"/>
              <w:rPr>
                <w:rFonts w:ascii="宋体" w:hAnsi="宋体" w:eastAsia="宋体" w:cs="Times New Roman"/>
                <w:color w:val="auto"/>
              </w:rPr>
            </w:pPr>
          </w:p>
        </w:tc>
        <w:tc>
          <w:tcPr>
            <w:tcW w:w="704" w:type="pct"/>
            <w:shd w:val="clear" w:color="auto" w:fill="auto"/>
            <w:vAlign w:val="center"/>
          </w:tcPr>
          <w:p w14:paraId="170E1C2E">
            <w:pPr>
              <w:jc w:val="center"/>
              <w:rPr>
                <w:rFonts w:ascii="宋体" w:hAnsi="宋体" w:eastAsia="宋体" w:cs="Times New Roman"/>
                <w:color w:val="auto"/>
              </w:rPr>
            </w:pPr>
            <w:r>
              <w:rPr>
                <w:rFonts w:ascii="宋体" w:hAnsi="宋体" w:eastAsia="宋体" w:cs="Times New Roman"/>
                <w:color w:val="auto"/>
              </w:rPr>
              <w:t>含油废射孔液</w:t>
            </w:r>
          </w:p>
        </w:tc>
        <w:tc>
          <w:tcPr>
            <w:tcW w:w="491" w:type="pct"/>
            <w:shd w:val="clear" w:color="auto" w:fill="auto"/>
            <w:vAlign w:val="center"/>
          </w:tcPr>
          <w:p w14:paraId="135BCF34">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26" w:type="pct"/>
            <w:shd w:val="clear" w:color="auto" w:fill="auto"/>
            <w:vAlign w:val="center"/>
          </w:tcPr>
          <w:p w14:paraId="4428C419">
            <w:pPr>
              <w:jc w:val="center"/>
              <w:rPr>
                <w:rFonts w:ascii="宋体" w:hAnsi="宋体" w:eastAsia="宋体" w:cs="Times New Roman"/>
                <w:color w:val="auto"/>
              </w:rPr>
            </w:pPr>
            <w:r>
              <w:rPr>
                <w:rFonts w:hint="eastAsia" w:ascii="宋体" w:hAnsi="宋体" w:eastAsia="宋体" w:cs="Times New Roman"/>
                <w:color w:val="auto"/>
              </w:rPr>
              <w:t>160</w:t>
            </w:r>
            <w:r>
              <w:rPr>
                <w:rFonts w:ascii="宋体" w:hAnsi="宋体" w:eastAsia="宋体" w:cs="Times New Roman"/>
                <w:color w:val="auto"/>
              </w:rPr>
              <w:t>m</w:t>
            </w:r>
            <w:r>
              <w:rPr>
                <w:rFonts w:ascii="宋体" w:hAnsi="宋体" w:eastAsia="宋体" w:cs="Times New Roman"/>
                <w:color w:val="auto"/>
                <w:vertAlign w:val="superscript"/>
              </w:rPr>
              <w:t>3</w:t>
            </w:r>
          </w:p>
        </w:tc>
        <w:tc>
          <w:tcPr>
            <w:tcW w:w="1643" w:type="pct"/>
            <w:vMerge w:val="continue"/>
            <w:shd w:val="clear" w:color="auto" w:fill="auto"/>
            <w:vAlign w:val="center"/>
          </w:tcPr>
          <w:p w14:paraId="6AF7D47D">
            <w:pPr>
              <w:jc w:val="center"/>
              <w:rPr>
                <w:rFonts w:ascii="宋体" w:hAnsi="宋体" w:eastAsia="宋体" w:cs="Times New Roman"/>
                <w:color w:val="auto"/>
                <w:lang w:bidi="ar"/>
              </w:rPr>
            </w:pPr>
          </w:p>
        </w:tc>
        <w:tc>
          <w:tcPr>
            <w:tcW w:w="1169" w:type="pct"/>
            <w:vMerge w:val="continue"/>
            <w:shd w:val="clear" w:color="auto" w:fill="auto"/>
            <w:vAlign w:val="center"/>
          </w:tcPr>
          <w:p w14:paraId="409F9E58">
            <w:pPr>
              <w:jc w:val="center"/>
              <w:rPr>
                <w:rFonts w:ascii="宋体" w:hAnsi="宋体" w:eastAsia="宋体" w:cs="Times New Roman"/>
                <w:color w:val="auto"/>
              </w:rPr>
            </w:pPr>
          </w:p>
        </w:tc>
      </w:tr>
      <w:tr w14:paraId="06B4DCDB">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48BF208F">
            <w:pPr>
              <w:jc w:val="center"/>
              <w:rPr>
                <w:rFonts w:ascii="宋体" w:hAnsi="宋体" w:eastAsia="宋体" w:cs="Times New Roman"/>
                <w:color w:val="auto"/>
              </w:rPr>
            </w:pPr>
          </w:p>
        </w:tc>
        <w:tc>
          <w:tcPr>
            <w:tcW w:w="704" w:type="pct"/>
            <w:shd w:val="clear" w:color="auto" w:fill="auto"/>
            <w:vAlign w:val="center"/>
          </w:tcPr>
          <w:p w14:paraId="6750F187">
            <w:pPr>
              <w:jc w:val="center"/>
              <w:rPr>
                <w:rFonts w:ascii="宋体" w:hAnsi="宋体" w:eastAsia="宋体" w:cs="Times New Roman"/>
                <w:color w:val="auto"/>
              </w:rPr>
            </w:pPr>
            <w:r>
              <w:rPr>
                <w:rFonts w:ascii="宋体" w:hAnsi="宋体" w:eastAsia="宋体" w:cs="Times New Roman"/>
                <w:color w:val="auto"/>
              </w:rPr>
              <w:t>膨润土、纯碱、重晶石粉废包装袋</w:t>
            </w:r>
          </w:p>
        </w:tc>
        <w:tc>
          <w:tcPr>
            <w:tcW w:w="491" w:type="pct"/>
            <w:shd w:val="clear" w:color="auto" w:fill="auto"/>
            <w:vAlign w:val="center"/>
          </w:tcPr>
          <w:p w14:paraId="274EB13E">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26" w:type="pct"/>
            <w:shd w:val="clear" w:color="auto" w:fill="auto"/>
            <w:vAlign w:val="center"/>
          </w:tcPr>
          <w:p w14:paraId="10F27244">
            <w:pPr>
              <w:jc w:val="center"/>
              <w:rPr>
                <w:rFonts w:ascii="宋体" w:hAnsi="宋体" w:eastAsia="宋体" w:cs="Times New Roman"/>
                <w:color w:val="auto"/>
              </w:rPr>
            </w:pPr>
            <w:r>
              <w:rPr>
                <w:rFonts w:ascii="宋体" w:hAnsi="宋体" w:eastAsia="宋体" w:cs="Times New Roman"/>
                <w:color w:val="auto"/>
              </w:rPr>
              <w:t>0.</w:t>
            </w:r>
            <w:r>
              <w:rPr>
                <w:rFonts w:hint="eastAsia" w:ascii="宋体" w:hAnsi="宋体" w:eastAsia="宋体" w:cs="Times New Roman"/>
                <w:color w:val="auto"/>
              </w:rPr>
              <w:t>02</w:t>
            </w:r>
            <w:r>
              <w:rPr>
                <w:rFonts w:ascii="宋体" w:hAnsi="宋体" w:eastAsia="宋体" w:cs="Times New Roman"/>
                <w:color w:val="auto"/>
              </w:rPr>
              <w:t>t</w:t>
            </w:r>
          </w:p>
        </w:tc>
        <w:tc>
          <w:tcPr>
            <w:tcW w:w="1643" w:type="pct"/>
            <w:vMerge w:val="restart"/>
            <w:shd w:val="clear" w:color="auto" w:fill="auto"/>
            <w:vAlign w:val="center"/>
          </w:tcPr>
          <w:p w14:paraId="40164CE8">
            <w:pPr>
              <w:jc w:val="center"/>
              <w:rPr>
                <w:rFonts w:ascii="宋体" w:hAnsi="宋体" w:eastAsia="宋体" w:cs="Times New Roman"/>
                <w:color w:val="auto"/>
                <w:lang w:bidi="ar"/>
              </w:rPr>
            </w:pPr>
            <w:r>
              <w:rPr>
                <w:rFonts w:ascii="宋体" w:hAnsi="宋体" w:eastAsia="宋体" w:cs="Times New Roman"/>
                <w:color w:val="auto"/>
                <w:lang w:bidi="ar"/>
              </w:rPr>
              <w:t>统一送第八采油厂工业固废填埋场处理</w:t>
            </w:r>
          </w:p>
        </w:tc>
        <w:tc>
          <w:tcPr>
            <w:tcW w:w="1169" w:type="pct"/>
            <w:vMerge w:val="restart"/>
            <w:shd w:val="clear" w:color="auto" w:fill="auto"/>
            <w:vAlign w:val="center"/>
          </w:tcPr>
          <w:p w14:paraId="32912E95">
            <w:pPr>
              <w:jc w:val="center"/>
              <w:rPr>
                <w:rFonts w:ascii="宋体" w:hAnsi="宋体" w:eastAsia="宋体" w:cs="Times New Roman"/>
                <w:color w:val="auto"/>
              </w:rPr>
            </w:pPr>
            <w:r>
              <w:rPr>
                <w:rFonts w:ascii="宋体" w:hAnsi="宋体" w:eastAsia="宋体" w:cs="Times New Roman"/>
                <w:color w:val="auto"/>
              </w:rPr>
              <w:t>100%处置</w:t>
            </w:r>
          </w:p>
        </w:tc>
      </w:tr>
      <w:tr w14:paraId="124F3D35">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63895F0D">
            <w:pPr>
              <w:jc w:val="center"/>
              <w:rPr>
                <w:rFonts w:ascii="宋体" w:hAnsi="宋体" w:eastAsia="宋体" w:cs="Times New Roman"/>
                <w:color w:val="auto"/>
              </w:rPr>
            </w:pPr>
          </w:p>
        </w:tc>
        <w:tc>
          <w:tcPr>
            <w:tcW w:w="704" w:type="pct"/>
            <w:shd w:val="clear" w:color="auto" w:fill="auto"/>
            <w:vAlign w:val="center"/>
          </w:tcPr>
          <w:p w14:paraId="281056FB">
            <w:pPr>
              <w:jc w:val="center"/>
              <w:rPr>
                <w:rFonts w:ascii="宋体" w:hAnsi="宋体" w:eastAsia="宋体" w:cs="Times New Roman"/>
                <w:color w:val="auto"/>
              </w:rPr>
            </w:pPr>
            <w:r>
              <w:rPr>
                <w:rFonts w:ascii="宋体" w:hAnsi="宋体" w:eastAsia="宋体" w:cs="Times New Roman"/>
                <w:color w:val="auto"/>
              </w:rPr>
              <w:t>施工废料</w:t>
            </w:r>
          </w:p>
        </w:tc>
        <w:tc>
          <w:tcPr>
            <w:tcW w:w="491" w:type="pct"/>
            <w:shd w:val="clear" w:color="auto" w:fill="auto"/>
            <w:vAlign w:val="center"/>
          </w:tcPr>
          <w:p w14:paraId="15E5AC2F">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26" w:type="pct"/>
            <w:shd w:val="clear" w:color="auto" w:fill="auto"/>
            <w:vAlign w:val="center"/>
          </w:tcPr>
          <w:p w14:paraId="270B481D">
            <w:pPr>
              <w:jc w:val="center"/>
              <w:rPr>
                <w:rFonts w:ascii="宋体" w:hAnsi="宋体" w:eastAsia="宋体" w:cs="Times New Roman"/>
                <w:color w:val="auto"/>
              </w:rPr>
            </w:pPr>
            <w:r>
              <w:rPr>
                <w:rFonts w:hint="eastAsia" w:ascii="宋体" w:hAnsi="宋体" w:eastAsia="宋体" w:cs="Times New Roman"/>
                <w:color w:val="auto"/>
              </w:rPr>
              <w:t>1.5kg</w:t>
            </w:r>
          </w:p>
        </w:tc>
        <w:tc>
          <w:tcPr>
            <w:tcW w:w="1643" w:type="pct"/>
            <w:vMerge w:val="continue"/>
            <w:shd w:val="clear" w:color="auto" w:fill="auto"/>
            <w:vAlign w:val="center"/>
          </w:tcPr>
          <w:p w14:paraId="76DA4D7C">
            <w:pPr>
              <w:jc w:val="center"/>
              <w:rPr>
                <w:rFonts w:ascii="宋体" w:hAnsi="宋体" w:eastAsia="宋体" w:cs="Times New Roman"/>
                <w:color w:val="auto"/>
                <w:lang w:bidi="ar"/>
              </w:rPr>
            </w:pPr>
          </w:p>
        </w:tc>
        <w:tc>
          <w:tcPr>
            <w:tcW w:w="1169" w:type="pct"/>
            <w:vMerge w:val="continue"/>
            <w:shd w:val="clear" w:color="auto" w:fill="auto"/>
            <w:vAlign w:val="center"/>
          </w:tcPr>
          <w:p w14:paraId="2FDB7CCB">
            <w:pPr>
              <w:jc w:val="center"/>
              <w:rPr>
                <w:rFonts w:ascii="宋体" w:hAnsi="宋体" w:eastAsia="宋体" w:cs="Times New Roman"/>
                <w:color w:val="auto"/>
              </w:rPr>
            </w:pPr>
          </w:p>
        </w:tc>
      </w:tr>
      <w:tr w14:paraId="5340B763">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04EBDC58">
            <w:pPr>
              <w:jc w:val="center"/>
              <w:rPr>
                <w:rFonts w:ascii="宋体" w:hAnsi="宋体" w:eastAsia="宋体" w:cs="Times New Roman"/>
                <w:color w:val="auto"/>
              </w:rPr>
            </w:pPr>
          </w:p>
        </w:tc>
        <w:tc>
          <w:tcPr>
            <w:tcW w:w="704" w:type="pct"/>
            <w:shd w:val="clear" w:color="auto" w:fill="auto"/>
            <w:vAlign w:val="center"/>
          </w:tcPr>
          <w:p w14:paraId="6770D763">
            <w:pPr>
              <w:jc w:val="center"/>
              <w:rPr>
                <w:rFonts w:ascii="宋体" w:hAnsi="宋体" w:eastAsia="宋体" w:cs="Times New Roman"/>
                <w:color w:val="auto"/>
              </w:rPr>
            </w:pPr>
            <w:r>
              <w:rPr>
                <w:rFonts w:ascii="宋体" w:hAnsi="宋体" w:eastAsia="宋体" w:cs="Times New Roman"/>
                <w:color w:val="auto"/>
              </w:rPr>
              <w:t>含油废防渗布</w:t>
            </w:r>
          </w:p>
        </w:tc>
        <w:tc>
          <w:tcPr>
            <w:tcW w:w="491" w:type="pct"/>
            <w:shd w:val="clear" w:color="auto" w:fill="auto"/>
            <w:vAlign w:val="center"/>
          </w:tcPr>
          <w:p w14:paraId="6F03CC60">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26" w:type="pct"/>
            <w:shd w:val="clear" w:color="auto" w:fill="auto"/>
            <w:vAlign w:val="center"/>
          </w:tcPr>
          <w:p w14:paraId="7FC46FCA">
            <w:pPr>
              <w:jc w:val="center"/>
              <w:rPr>
                <w:rFonts w:ascii="宋体" w:hAnsi="宋体" w:eastAsia="宋体" w:cs="Times New Roman"/>
                <w:color w:val="auto"/>
              </w:rPr>
            </w:pPr>
            <w:r>
              <w:rPr>
                <w:rFonts w:hint="eastAsia" w:ascii="宋体" w:hAnsi="宋体" w:eastAsia="宋体" w:cs="Times New Roman"/>
                <w:color w:val="auto"/>
              </w:rPr>
              <w:t>1.6</w:t>
            </w:r>
            <w:r>
              <w:rPr>
                <w:rFonts w:ascii="宋体" w:hAnsi="宋体" w:eastAsia="宋体" w:cs="Times New Roman"/>
                <w:color w:val="auto"/>
              </w:rPr>
              <w:t>t</w:t>
            </w:r>
          </w:p>
        </w:tc>
        <w:tc>
          <w:tcPr>
            <w:tcW w:w="1643" w:type="pct"/>
            <w:shd w:val="clear" w:color="auto" w:fill="auto"/>
            <w:vAlign w:val="center"/>
          </w:tcPr>
          <w:p w14:paraId="2E018E65">
            <w:pPr>
              <w:jc w:val="center"/>
              <w:rPr>
                <w:rFonts w:ascii="宋体" w:hAnsi="宋体" w:eastAsia="宋体" w:cs="Times New Roman"/>
                <w:color w:val="auto"/>
                <w:lang w:bidi="ar"/>
              </w:rPr>
            </w:pPr>
            <w:r>
              <w:rPr>
                <w:rFonts w:ascii="宋体" w:hAnsi="宋体" w:eastAsia="宋体" w:cs="Times New Roman"/>
                <w:color w:val="auto"/>
                <w:lang w:bidi="ar"/>
              </w:rPr>
              <w:t>集中收集暂存于第十采油厂综合固废储存库，定期委托有资质单位处理</w:t>
            </w:r>
          </w:p>
        </w:tc>
        <w:tc>
          <w:tcPr>
            <w:tcW w:w="1169" w:type="pct"/>
            <w:shd w:val="clear" w:color="auto" w:fill="auto"/>
            <w:vAlign w:val="center"/>
          </w:tcPr>
          <w:p w14:paraId="0CC095D5">
            <w:pPr>
              <w:jc w:val="center"/>
              <w:rPr>
                <w:rFonts w:ascii="宋体" w:hAnsi="宋体" w:eastAsia="宋体" w:cs="Times New Roman"/>
                <w:color w:val="auto"/>
              </w:rPr>
            </w:pPr>
            <w:r>
              <w:rPr>
                <w:rFonts w:ascii="宋体" w:hAnsi="宋体" w:eastAsia="宋体" w:cs="Times New Roman"/>
                <w:color w:val="auto"/>
              </w:rPr>
              <w:t>100%处置</w:t>
            </w:r>
          </w:p>
        </w:tc>
      </w:tr>
      <w:tr w14:paraId="6495FED7">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74C834D7">
            <w:pPr>
              <w:jc w:val="center"/>
              <w:rPr>
                <w:rFonts w:ascii="宋体" w:hAnsi="宋体" w:eastAsia="宋体" w:cs="Times New Roman"/>
                <w:color w:val="auto"/>
              </w:rPr>
            </w:pPr>
          </w:p>
        </w:tc>
        <w:tc>
          <w:tcPr>
            <w:tcW w:w="704" w:type="pct"/>
            <w:shd w:val="clear" w:color="auto" w:fill="auto"/>
            <w:vAlign w:val="center"/>
          </w:tcPr>
          <w:p w14:paraId="3FA0212E">
            <w:pPr>
              <w:jc w:val="center"/>
              <w:rPr>
                <w:rFonts w:ascii="宋体" w:hAnsi="宋体" w:eastAsia="宋体" w:cs="Times New Roman"/>
                <w:color w:val="auto"/>
              </w:rPr>
            </w:pPr>
            <w:r>
              <w:rPr>
                <w:rFonts w:ascii="宋体" w:hAnsi="宋体" w:eastAsia="宋体" w:cs="Times New Roman"/>
                <w:color w:val="auto"/>
              </w:rPr>
              <w:t>生活垃圾</w:t>
            </w:r>
          </w:p>
        </w:tc>
        <w:tc>
          <w:tcPr>
            <w:tcW w:w="491" w:type="pct"/>
            <w:shd w:val="clear" w:color="auto" w:fill="auto"/>
            <w:vAlign w:val="center"/>
          </w:tcPr>
          <w:p w14:paraId="7D25ABF6">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26" w:type="pct"/>
            <w:shd w:val="clear" w:color="auto" w:fill="auto"/>
            <w:vAlign w:val="center"/>
          </w:tcPr>
          <w:p w14:paraId="2942FCCC">
            <w:pPr>
              <w:jc w:val="center"/>
              <w:rPr>
                <w:rFonts w:ascii="宋体" w:hAnsi="宋体" w:eastAsia="宋体" w:cs="Times New Roman"/>
                <w:color w:val="auto"/>
              </w:rPr>
            </w:pPr>
            <w:r>
              <w:rPr>
                <w:rFonts w:hint="eastAsia" w:ascii="宋体" w:hAnsi="宋体" w:eastAsia="宋体" w:cs="Times New Roman"/>
                <w:color w:val="auto"/>
              </w:rPr>
              <w:t>1.84</w:t>
            </w:r>
            <w:r>
              <w:rPr>
                <w:rFonts w:ascii="宋体" w:hAnsi="宋体" w:eastAsia="宋体" w:cs="Times New Roman"/>
                <w:color w:val="auto"/>
              </w:rPr>
              <w:t>t</w:t>
            </w:r>
          </w:p>
        </w:tc>
        <w:tc>
          <w:tcPr>
            <w:tcW w:w="1643" w:type="pct"/>
            <w:shd w:val="clear" w:color="auto" w:fill="auto"/>
            <w:vAlign w:val="center"/>
          </w:tcPr>
          <w:p w14:paraId="09E8DE7A">
            <w:pPr>
              <w:jc w:val="center"/>
              <w:rPr>
                <w:rFonts w:ascii="宋体" w:hAnsi="宋体" w:eastAsia="宋体" w:cs="Times New Roman"/>
                <w:color w:val="auto"/>
                <w:lang w:bidi="ar"/>
              </w:rPr>
            </w:pPr>
            <w:r>
              <w:rPr>
                <w:rFonts w:ascii="宋体" w:hAnsi="宋体" w:eastAsia="宋体" w:cs="Times New Roman"/>
                <w:color w:val="auto"/>
              </w:rPr>
              <w:t>统一收集</w:t>
            </w:r>
            <w:r>
              <w:rPr>
                <w:rFonts w:ascii="宋体" w:hAnsi="宋体" w:eastAsia="宋体" w:cs="Times New Roman"/>
                <w:color w:val="auto"/>
                <w:kern w:val="21"/>
              </w:rPr>
              <w:t>拉运至肇源县利民城市垃圾处理有限公司处理</w:t>
            </w:r>
          </w:p>
        </w:tc>
        <w:tc>
          <w:tcPr>
            <w:tcW w:w="1169" w:type="pct"/>
            <w:shd w:val="clear" w:color="auto" w:fill="auto"/>
            <w:vAlign w:val="center"/>
          </w:tcPr>
          <w:p w14:paraId="45ABA2EC">
            <w:pPr>
              <w:jc w:val="center"/>
              <w:rPr>
                <w:rFonts w:ascii="宋体" w:hAnsi="宋体" w:eastAsia="宋体" w:cs="Times New Roman"/>
                <w:color w:val="auto"/>
              </w:rPr>
            </w:pPr>
            <w:r>
              <w:rPr>
                <w:rFonts w:ascii="宋体" w:hAnsi="宋体" w:eastAsia="宋体" w:cs="Times New Roman"/>
                <w:color w:val="auto"/>
              </w:rPr>
              <w:t>100%处置</w:t>
            </w:r>
          </w:p>
        </w:tc>
      </w:tr>
      <w:tr w14:paraId="70DD1CB0">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vMerge w:val="continue"/>
            <w:shd w:val="clear" w:color="auto" w:fill="auto"/>
            <w:vAlign w:val="center"/>
          </w:tcPr>
          <w:p w14:paraId="695E6667">
            <w:pPr>
              <w:jc w:val="center"/>
              <w:rPr>
                <w:rFonts w:ascii="宋体" w:hAnsi="宋体" w:eastAsia="宋体" w:cs="Times New Roman"/>
                <w:color w:val="auto"/>
              </w:rPr>
            </w:pPr>
          </w:p>
        </w:tc>
        <w:tc>
          <w:tcPr>
            <w:tcW w:w="704" w:type="pct"/>
            <w:shd w:val="clear" w:color="auto" w:fill="auto"/>
            <w:vAlign w:val="center"/>
          </w:tcPr>
          <w:p w14:paraId="658B77A0">
            <w:pPr>
              <w:jc w:val="center"/>
              <w:rPr>
                <w:rFonts w:ascii="宋体" w:hAnsi="宋体" w:eastAsia="宋体" w:cs="Times New Roman"/>
                <w:color w:val="auto"/>
              </w:rPr>
            </w:pPr>
            <w:r>
              <w:rPr>
                <w:rFonts w:hint="eastAsia" w:ascii="宋体" w:hAnsi="宋体" w:eastAsia="宋体" w:cs="Times New Roman"/>
                <w:color w:val="auto"/>
              </w:rPr>
              <w:t>落地油</w:t>
            </w:r>
          </w:p>
        </w:tc>
        <w:tc>
          <w:tcPr>
            <w:tcW w:w="491" w:type="pct"/>
            <w:shd w:val="clear" w:color="auto" w:fill="auto"/>
            <w:vAlign w:val="center"/>
          </w:tcPr>
          <w:p w14:paraId="327918C8">
            <w:pPr>
              <w:jc w:val="center"/>
              <w:rPr>
                <w:rFonts w:ascii="宋体" w:hAnsi="宋体" w:eastAsia="宋体" w:cs="Times New Roman"/>
                <w:snapToGrid w:val="0"/>
                <w:color w:val="auto"/>
              </w:rPr>
            </w:pPr>
            <w:r>
              <w:rPr>
                <w:rFonts w:ascii="宋体" w:hAnsi="宋体" w:eastAsia="宋体" w:cs="Times New Roman"/>
                <w:snapToGrid w:val="0"/>
                <w:color w:val="auto"/>
              </w:rPr>
              <w:t>/</w:t>
            </w:r>
          </w:p>
        </w:tc>
        <w:tc>
          <w:tcPr>
            <w:tcW w:w="526" w:type="pct"/>
            <w:shd w:val="clear" w:color="auto" w:fill="auto"/>
            <w:vAlign w:val="center"/>
          </w:tcPr>
          <w:p w14:paraId="6AB87A75">
            <w:pPr>
              <w:jc w:val="center"/>
              <w:rPr>
                <w:rFonts w:ascii="宋体" w:hAnsi="宋体" w:eastAsia="宋体" w:cs="Times New Roman"/>
                <w:color w:val="auto"/>
              </w:rPr>
            </w:pPr>
            <w:r>
              <w:rPr>
                <w:rFonts w:hint="eastAsia" w:ascii="宋体" w:hAnsi="宋体" w:eastAsia="宋体" w:cs="Times New Roman"/>
                <w:color w:val="auto"/>
              </w:rPr>
              <w:t>0.1t</w:t>
            </w:r>
          </w:p>
        </w:tc>
        <w:tc>
          <w:tcPr>
            <w:tcW w:w="1643" w:type="pct"/>
            <w:shd w:val="clear" w:color="auto" w:fill="auto"/>
            <w:vAlign w:val="center"/>
          </w:tcPr>
          <w:p w14:paraId="423ED77C">
            <w:pPr>
              <w:jc w:val="center"/>
              <w:rPr>
                <w:rFonts w:ascii="宋体" w:hAnsi="宋体" w:eastAsia="宋体" w:cs="Times New Roman"/>
                <w:color w:val="auto"/>
              </w:rPr>
            </w:pPr>
            <w:r>
              <w:rPr>
                <w:rFonts w:ascii="宋体" w:hAnsi="宋体" w:eastAsia="宋体" w:cs="Times New Roman"/>
                <w:color w:val="auto"/>
              </w:rPr>
              <w:t>勘探井试油产生的落地油由罐车拉运至朝一联含油污泥处理站减量化处理后，再委托大庆博昕晶化科技有限公司处理满足《油田含油污泥处置与利用污染控制要求》（DB23/T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w:t>
            </w:r>
            <w:r>
              <w:rPr>
                <w:rFonts w:ascii="宋体" w:hAnsi="宋体" w:eastAsia="宋体" w:cs="Times New Roman"/>
                <w:color w:val="auto"/>
                <w:kern w:val="21"/>
              </w:rPr>
              <w:t>；或者在油田作业区域外用于物流仓储用地、工业厂区道路与交通设施用地以及危险废物填埋场、固体废物填埋场封场等材料的活动</w:t>
            </w:r>
          </w:p>
        </w:tc>
        <w:tc>
          <w:tcPr>
            <w:tcW w:w="1169" w:type="pct"/>
            <w:shd w:val="clear" w:color="auto" w:fill="auto"/>
            <w:vAlign w:val="center"/>
          </w:tcPr>
          <w:p w14:paraId="7FDD88FC">
            <w:pPr>
              <w:jc w:val="center"/>
              <w:rPr>
                <w:rFonts w:ascii="宋体" w:hAnsi="宋体" w:eastAsia="宋体" w:cs="Times New Roman"/>
                <w:color w:val="auto"/>
              </w:rPr>
            </w:pPr>
            <w:r>
              <w:rPr>
                <w:rFonts w:ascii="宋体" w:hAnsi="宋体" w:eastAsia="宋体" w:cs="Times New Roman"/>
                <w:color w:val="auto"/>
              </w:rPr>
              <w:t>100%处置</w:t>
            </w:r>
          </w:p>
        </w:tc>
      </w:tr>
      <w:tr w14:paraId="5276D932">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jc w:val="center"/>
        </w:trPr>
        <w:tc>
          <w:tcPr>
            <w:tcW w:w="467" w:type="pct"/>
            <w:shd w:val="clear" w:color="auto" w:fill="auto"/>
            <w:vAlign w:val="center"/>
          </w:tcPr>
          <w:p w14:paraId="6DA27090">
            <w:pPr>
              <w:jc w:val="center"/>
              <w:rPr>
                <w:rFonts w:ascii="宋体" w:hAnsi="宋体" w:eastAsia="宋体" w:cs="Times New Roman"/>
                <w:color w:val="auto"/>
              </w:rPr>
            </w:pPr>
            <w:r>
              <w:rPr>
                <w:rFonts w:ascii="宋体" w:hAnsi="宋体" w:eastAsia="宋体" w:cs="Times New Roman"/>
                <w:color w:val="auto"/>
              </w:rPr>
              <w:t>噪声</w:t>
            </w:r>
          </w:p>
        </w:tc>
        <w:tc>
          <w:tcPr>
            <w:tcW w:w="704" w:type="pct"/>
            <w:shd w:val="clear" w:color="auto" w:fill="auto"/>
            <w:vAlign w:val="center"/>
          </w:tcPr>
          <w:p w14:paraId="0BC5426C">
            <w:pPr>
              <w:snapToGrid w:val="0"/>
              <w:jc w:val="center"/>
              <w:rPr>
                <w:rFonts w:ascii="宋体" w:hAnsi="宋体" w:eastAsia="宋体" w:cs="Times New Roman"/>
                <w:snapToGrid w:val="0"/>
                <w:color w:val="auto"/>
              </w:rPr>
            </w:pPr>
            <w:r>
              <w:rPr>
                <w:rFonts w:ascii="宋体" w:hAnsi="宋体" w:eastAsia="宋体" w:cs="Times New Roman"/>
                <w:color w:val="auto"/>
              </w:rPr>
              <w:t>机械噪声</w:t>
            </w:r>
          </w:p>
        </w:tc>
        <w:tc>
          <w:tcPr>
            <w:tcW w:w="491" w:type="pct"/>
            <w:shd w:val="clear" w:color="auto" w:fill="auto"/>
            <w:vAlign w:val="center"/>
          </w:tcPr>
          <w:p w14:paraId="2991D153">
            <w:pPr>
              <w:snapToGrid w:val="0"/>
              <w:jc w:val="center"/>
              <w:rPr>
                <w:rFonts w:ascii="宋体" w:hAnsi="宋体" w:eastAsia="宋体" w:cs="Times New Roman"/>
                <w:snapToGrid w:val="0"/>
                <w:color w:val="auto"/>
              </w:rPr>
            </w:pPr>
            <w:r>
              <w:rPr>
                <w:rFonts w:ascii="宋体" w:hAnsi="宋体" w:eastAsia="宋体" w:cs="Times New Roman"/>
                <w:color w:val="auto"/>
              </w:rPr>
              <w:t>噪声</w:t>
            </w:r>
          </w:p>
        </w:tc>
        <w:tc>
          <w:tcPr>
            <w:tcW w:w="526" w:type="pct"/>
            <w:shd w:val="clear" w:color="auto" w:fill="auto"/>
            <w:vAlign w:val="center"/>
          </w:tcPr>
          <w:p w14:paraId="5A181772">
            <w:pPr>
              <w:snapToGrid w:val="0"/>
              <w:jc w:val="center"/>
              <w:rPr>
                <w:rFonts w:ascii="宋体" w:hAnsi="宋体" w:eastAsia="宋体" w:cs="Times New Roman"/>
                <w:snapToGrid w:val="0"/>
                <w:color w:val="auto"/>
              </w:rPr>
            </w:pPr>
            <w:r>
              <w:rPr>
                <w:rFonts w:hint="eastAsia" w:ascii="宋体" w:hAnsi="宋体" w:eastAsia="宋体" w:cs="Times New Roman"/>
                <w:color w:val="auto"/>
              </w:rPr>
              <w:t>70</w:t>
            </w:r>
            <w:r>
              <w:rPr>
                <w:rFonts w:ascii="宋体" w:hAnsi="宋体" w:eastAsia="宋体" w:cs="Times New Roman"/>
                <w:color w:val="auto"/>
              </w:rPr>
              <w:t>～1</w:t>
            </w:r>
            <w:r>
              <w:rPr>
                <w:rFonts w:hint="eastAsia" w:ascii="宋体" w:hAnsi="宋体" w:eastAsia="宋体" w:cs="Times New Roman"/>
                <w:color w:val="auto"/>
              </w:rPr>
              <w:t>0</w:t>
            </w:r>
            <w:r>
              <w:rPr>
                <w:rFonts w:ascii="宋体" w:hAnsi="宋体" w:eastAsia="宋体" w:cs="Times New Roman"/>
                <w:color w:val="auto"/>
              </w:rPr>
              <w:t>0</w:t>
            </w:r>
            <w:r>
              <w:rPr>
                <w:rFonts w:ascii="宋体" w:hAnsi="宋体" w:eastAsia="宋体" w:cs="Times New Roman"/>
                <w:snapToGrid w:val="0"/>
                <w:color w:val="auto"/>
              </w:rPr>
              <w:t>dB（A）</w:t>
            </w:r>
          </w:p>
        </w:tc>
        <w:tc>
          <w:tcPr>
            <w:tcW w:w="1643" w:type="pct"/>
            <w:shd w:val="clear" w:color="auto" w:fill="auto"/>
            <w:vAlign w:val="center"/>
          </w:tcPr>
          <w:p w14:paraId="69485664">
            <w:pPr>
              <w:jc w:val="center"/>
              <w:rPr>
                <w:rFonts w:ascii="宋体" w:hAnsi="宋体" w:eastAsia="宋体" w:cs="Times New Roman"/>
                <w:snapToGrid w:val="0"/>
                <w:color w:val="auto"/>
              </w:rPr>
            </w:pPr>
            <w:r>
              <w:rPr>
                <w:rFonts w:ascii="宋体" w:hAnsi="宋体" w:eastAsia="宋体" w:cs="Times New Roman"/>
                <w:snapToGrid w:val="0"/>
                <w:color w:val="auto"/>
              </w:rPr>
              <w:t>选用低噪声设备，并采取基础减震等措施</w:t>
            </w:r>
          </w:p>
        </w:tc>
        <w:tc>
          <w:tcPr>
            <w:tcW w:w="1169" w:type="pct"/>
            <w:shd w:val="clear" w:color="auto" w:fill="auto"/>
            <w:vAlign w:val="center"/>
          </w:tcPr>
          <w:p w14:paraId="17271C56">
            <w:pPr>
              <w:jc w:val="center"/>
              <w:rPr>
                <w:rFonts w:ascii="宋体" w:hAnsi="宋体" w:eastAsia="宋体" w:cs="Times New Roman"/>
                <w:snapToGrid w:val="0"/>
                <w:color w:val="auto"/>
              </w:rPr>
            </w:pPr>
            <w:r>
              <w:rPr>
                <w:rFonts w:ascii="宋体" w:hAnsi="宋体" w:eastAsia="宋体" w:cs="Times New Roman"/>
                <w:color w:val="auto"/>
              </w:rPr>
              <w:t>执行《建筑施工场界环境噪声排放标准》（GB 12523-2011）要求</w:t>
            </w:r>
          </w:p>
        </w:tc>
      </w:tr>
    </w:tbl>
    <w:p w14:paraId="347737B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污染物排放清单见表8.2-2。</w:t>
      </w:r>
    </w:p>
    <w:p w14:paraId="5CA15E8A">
      <w:pPr>
        <w:pStyle w:val="276"/>
        <w:widowControl w:val="0"/>
        <w:spacing w:line="440" w:lineRule="exact"/>
        <w:ind w:firstLine="0" w:firstLineChars="0"/>
        <w:jc w:val="center"/>
        <w:rPr>
          <w:color w:val="auto"/>
          <w:kern w:val="21"/>
        </w:rPr>
      </w:pPr>
      <w:r>
        <w:rPr>
          <w:color w:val="auto"/>
          <w:kern w:val="21"/>
        </w:rPr>
        <w:t>表8.2-2 本项目</w:t>
      </w:r>
      <w:r>
        <w:rPr>
          <w:rFonts w:hint="eastAsia"/>
          <w:color w:val="auto"/>
          <w:kern w:val="21"/>
        </w:rPr>
        <w:t>运营期</w:t>
      </w:r>
      <w:r>
        <w:rPr>
          <w:color w:val="auto"/>
          <w:kern w:val="21"/>
        </w:rPr>
        <w:t>污染物排放清单</w:t>
      </w:r>
    </w:p>
    <w:tbl>
      <w:tblPr>
        <w:tblStyle w:val="81"/>
        <w:tblW w:w="5000" w:type="pct"/>
        <w:tblInd w:w="0" w:type="dxa"/>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Layout w:type="autofit"/>
        <w:tblCellMar>
          <w:top w:w="0" w:type="dxa"/>
          <w:left w:w="108" w:type="dxa"/>
          <w:bottom w:w="0" w:type="dxa"/>
          <w:right w:w="108" w:type="dxa"/>
        </w:tblCellMar>
      </w:tblPr>
      <w:tblGrid>
        <w:gridCol w:w="718"/>
        <w:gridCol w:w="1004"/>
        <w:gridCol w:w="1035"/>
        <w:gridCol w:w="1214"/>
        <w:gridCol w:w="2025"/>
        <w:gridCol w:w="3290"/>
      </w:tblGrid>
      <w:tr w14:paraId="61CCE78C">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trPr>
        <w:tc>
          <w:tcPr>
            <w:tcW w:w="387" w:type="pct"/>
            <w:shd w:val="clear" w:color="auto" w:fill="auto"/>
            <w:vAlign w:val="center"/>
          </w:tcPr>
          <w:p w14:paraId="35B4C606">
            <w:pPr>
              <w:jc w:val="center"/>
              <w:rPr>
                <w:rFonts w:ascii="宋体" w:hAnsi="宋体" w:eastAsia="宋体" w:cs="Times New Roman"/>
                <w:color w:val="auto"/>
              </w:rPr>
            </w:pPr>
            <w:r>
              <w:rPr>
                <w:rFonts w:ascii="宋体" w:hAnsi="宋体" w:eastAsia="宋体" w:cs="Times New Roman"/>
                <w:color w:val="auto"/>
              </w:rPr>
              <w:t>种类</w:t>
            </w:r>
          </w:p>
        </w:tc>
        <w:tc>
          <w:tcPr>
            <w:tcW w:w="541" w:type="pct"/>
            <w:shd w:val="clear" w:color="auto" w:fill="auto"/>
            <w:vAlign w:val="center"/>
          </w:tcPr>
          <w:p w14:paraId="731DB19D">
            <w:pPr>
              <w:jc w:val="center"/>
              <w:rPr>
                <w:rFonts w:ascii="宋体" w:hAnsi="宋体" w:eastAsia="宋体" w:cs="Times New Roman"/>
                <w:color w:val="auto"/>
              </w:rPr>
            </w:pPr>
            <w:r>
              <w:rPr>
                <w:rFonts w:ascii="宋体" w:hAnsi="宋体" w:eastAsia="宋体" w:cs="Times New Roman"/>
                <w:color w:val="auto"/>
              </w:rPr>
              <w:t>污染物名称</w:t>
            </w:r>
          </w:p>
        </w:tc>
        <w:tc>
          <w:tcPr>
            <w:tcW w:w="558" w:type="pct"/>
            <w:shd w:val="clear" w:color="auto" w:fill="auto"/>
            <w:vAlign w:val="center"/>
          </w:tcPr>
          <w:p w14:paraId="5533C148">
            <w:pPr>
              <w:jc w:val="center"/>
              <w:rPr>
                <w:rFonts w:ascii="宋体" w:hAnsi="宋体" w:eastAsia="宋体" w:cs="Times New Roman"/>
                <w:color w:val="auto"/>
              </w:rPr>
            </w:pPr>
            <w:r>
              <w:rPr>
                <w:rFonts w:ascii="宋体" w:hAnsi="宋体" w:eastAsia="宋体" w:cs="Times New Roman"/>
                <w:color w:val="auto"/>
                <w:kern w:val="21"/>
              </w:rPr>
              <w:t>主要污染因子</w:t>
            </w:r>
          </w:p>
        </w:tc>
        <w:tc>
          <w:tcPr>
            <w:tcW w:w="651" w:type="pct"/>
            <w:shd w:val="clear" w:color="auto" w:fill="auto"/>
            <w:vAlign w:val="center"/>
          </w:tcPr>
          <w:p w14:paraId="3D8ABAB4">
            <w:pPr>
              <w:jc w:val="center"/>
              <w:rPr>
                <w:rFonts w:ascii="宋体" w:hAnsi="宋体" w:eastAsia="宋体" w:cs="Times New Roman"/>
                <w:color w:val="auto"/>
              </w:rPr>
            </w:pPr>
            <w:r>
              <w:rPr>
                <w:rFonts w:ascii="宋体" w:hAnsi="宋体" w:eastAsia="宋体" w:cs="Times New Roman"/>
                <w:color w:val="auto"/>
              </w:rPr>
              <w:t>排放量</w:t>
            </w:r>
          </w:p>
        </w:tc>
        <w:tc>
          <w:tcPr>
            <w:tcW w:w="1091" w:type="pct"/>
            <w:shd w:val="clear" w:color="auto" w:fill="auto"/>
            <w:vAlign w:val="center"/>
          </w:tcPr>
          <w:p w14:paraId="0E29532D">
            <w:pPr>
              <w:snapToGrid w:val="0"/>
              <w:jc w:val="center"/>
              <w:rPr>
                <w:rFonts w:ascii="宋体" w:hAnsi="宋体" w:eastAsia="宋体" w:cs="Times New Roman"/>
                <w:color w:val="auto"/>
                <w:kern w:val="21"/>
              </w:rPr>
            </w:pPr>
            <w:r>
              <w:rPr>
                <w:rFonts w:ascii="宋体" w:hAnsi="宋体" w:eastAsia="宋体" w:cs="Times New Roman"/>
                <w:color w:val="auto"/>
                <w:kern w:val="21"/>
              </w:rPr>
              <w:t>控制措施及去向</w:t>
            </w:r>
          </w:p>
        </w:tc>
        <w:tc>
          <w:tcPr>
            <w:tcW w:w="1772" w:type="pct"/>
            <w:shd w:val="clear" w:color="auto" w:fill="auto"/>
            <w:vAlign w:val="center"/>
          </w:tcPr>
          <w:p w14:paraId="62689945">
            <w:pPr>
              <w:jc w:val="center"/>
              <w:rPr>
                <w:rFonts w:ascii="宋体" w:hAnsi="宋体" w:eastAsia="宋体" w:cs="Times New Roman"/>
                <w:color w:val="auto"/>
              </w:rPr>
            </w:pPr>
            <w:r>
              <w:rPr>
                <w:rFonts w:ascii="宋体" w:hAnsi="宋体" w:eastAsia="宋体" w:cs="Times New Roman"/>
                <w:color w:val="auto"/>
              </w:rPr>
              <w:t>排放管理要求</w:t>
            </w:r>
          </w:p>
        </w:tc>
      </w:tr>
      <w:tr w14:paraId="550AD7DD">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trPr>
        <w:tc>
          <w:tcPr>
            <w:tcW w:w="387" w:type="pct"/>
            <w:vMerge w:val="restart"/>
            <w:shd w:val="clear" w:color="auto" w:fill="auto"/>
            <w:vAlign w:val="center"/>
          </w:tcPr>
          <w:p w14:paraId="0CDBCCE4">
            <w:pPr>
              <w:jc w:val="center"/>
              <w:rPr>
                <w:rFonts w:ascii="宋体" w:hAnsi="宋体" w:eastAsia="宋体" w:cs="Times New Roman"/>
                <w:color w:val="auto"/>
              </w:rPr>
            </w:pPr>
            <w:r>
              <w:rPr>
                <w:rFonts w:ascii="宋体" w:hAnsi="宋体" w:eastAsia="宋体" w:cs="Times New Roman"/>
                <w:color w:val="auto"/>
              </w:rPr>
              <w:t>废气</w:t>
            </w:r>
          </w:p>
        </w:tc>
        <w:tc>
          <w:tcPr>
            <w:tcW w:w="541" w:type="pct"/>
            <w:shd w:val="clear" w:color="auto" w:fill="auto"/>
            <w:vAlign w:val="center"/>
          </w:tcPr>
          <w:p w14:paraId="674FF0F0">
            <w:pPr>
              <w:jc w:val="center"/>
              <w:rPr>
                <w:rFonts w:ascii="宋体" w:hAnsi="宋体" w:eastAsia="宋体" w:cs="Times New Roman"/>
                <w:color w:val="auto"/>
              </w:rPr>
            </w:pPr>
            <w:r>
              <w:rPr>
                <w:rFonts w:ascii="宋体" w:hAnsi="宋体" w:eastAsia="宋体" w:cs="Times New Roman"/>
                <w:color w:val="auto"/>
              </w:rPr>
              <w:t>烃类气体</w:t>
            </w:r>
          </w:p>
        </w:tc>
        <w:tc>
          <w:tcPr>
            <w:tcW w:w="558" w:type="pct"/>
            <w:shd w:val="clear" w:color="auto" w:fill="auto"/>
            <w:vAlign w:val="center"/>
          </w:tcPr>
          <w:p w14:paraId="00DB042D">
            <w:pPr>
              <w:jc w:val="center"/>
              <w:rPr>
                <w:rFonts w:ascii="宋体" w:hAnsi="宋体" w:eastAsia="宋体" w:cs="Times New Roman"/>
                <w:color w:val="auto"/>
              </w:rPr>
            </w:pPr>
            <w:r>
              <w:rPr>
                <w:rFonts w:ascii="宋体" w:hAnsi="宋体" w:eastAsia="宋体" w:cs="Times New Roman"/>
                <w:color w:val="auto"/>
              </w:rPr>
              <w:t>非甲烷总烃</w:t>
            </w:r>
          </w:p>
        </w:tc>
        <w:tc>
          <w:tcPr>
            <w:tcW w:w="651" w:type="pct"/>
            <w:shd w:val="clear" w:color="auto" w:fill="auto"/>
            <w:vAlign w:val="center"/>
          </w:tcPr>
          <w:p w14:paraId="6D3BF5C8">
            <w:pPr>
              <w:jc w:val="center"/>
              <w:rPr>
                <w:rFonts w:ascii="宋体" w:hAnsi="宋体" w:eastAsia="宋体" w:cs="Times New Roman"/>
                <w:color w:val="auto"/>
              </w:rPr>
            </w:pPr>
            <w:r>
              <w:rPr>
                <w:rFonts w:hint="eastAsia" w:ascii="宋体" w:hAnsi="宋体" w:eastAsia="宋体" w:cs="Times New Roman"/>
                <w:color w:val="auto"/>
              </w:rPr>
              <w:t>16.44</w:t>
            </w:r>
            <w:r>
              <w:rPr>
                <w:rFonts w:ascii="宋体" w:hAnsi="宋体" w:eastAsia="宋体" w:cs="Times New Roman"/>
                <w:color w:val="auto"/>
              </w:rPr>
              <w:t>t/a</w:t>
            </w:r>
          </w:p>
        </w:tc>
        <w:tc>
          <w:tcPr>
            <w:tcW w:w="1091" w:type="pct"/>
            <w:vMerge w:val="restart"/>
            <w:shd w:val="clear" w:color="auto" w:fill="auto"/>
            <w:vAlign w:val="center"/>
          </w:tcPr>
          <w:p w14:paraId="3050E5C8">
            <w:pPr>
              <w:jc w:val="center"/>
              <w:rPr>
                <w:rFonts w:ascii="宋体" w:hAnsi="宋体" w:eastAsia="宋体" w:cs="Times New Roman"/>
                <w:color w:val="auto"/>
              </w:rPr>
            </w:pPr>
            <w:r>
              <w:rPr>
                <w:rFonts w:ascii="宋体" w:hAnsi="宋体" w:eastAsia="宋体" w:cs="Times New Roman"/>
                <w:color w:val="auto"/>
              </w:rPr>
              <w:t>排入大气</w:t>
            </w:r>
          </w:p>
        </w:tc>
        <w:tc>
          <w:tcPr>
            <w:tcW w:w="1772" w:type="pct"/>
            <w:shd w:val="clear" w:color="auto" w:fill="auto"/>
            <w:vAlign w:val="center"/>
          </w:tcPr>
          <w:p w14:paraId="2A8BECDE">
            <w:pPr>
              <w:jc w:val="center"/>
              <w:rPr>
                <w:rFonts w:ascii="宋体" w:hAnsi="宋体" w:eastAsia="宋体" w:cs="Times New Roman"/>
                <w:color w:val="auto"/>
              </w:rPr>
            </w:pPr>
            <w:r>
              <w:rPr>
                <w:rFonts w:ascii="宋体" w:hAnsi="宋体" w:eastAsia="宋体" w:cs="Times New Roman"/>
                <w:snapToGrid w:val="0"/>
                <w:color w:val="auto"/>
              </w:rPr>
              <w:t>井场（含拉油点）及依托场站厂界执行</w:t>
            </w:r>
            <w:r>
              <w:rPr>
                <w:rFonts w:ascii="宋体" w:hAnsi="宋体" w:eastAsia="宋体" w:cs="Times New Roman"/>
                <w:color w:val="auto"/>
              </w:rPr>
              <w:t>《陆上石油天然气开采工业大气污染物排放标准》（GB39728-2020）5.9中规定要求，依托场站排放的非甲烷总烃厂区内满足《挥发性有机物无组织排放控制标准》（GB 37822-2019）附录A 中VOCs 无组织排放限值要求</w:t>
            </w:r>
          </w:p>
        </w:tc>
      </w:tr>
      <w:tr w14:paraId="1F2EC272">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trPr>
        <w:tc>
          <w:tcPr>
            <w:tcW w:w="387" w:type="pct"/>
            <w:vMerge w:val="continue"/>
            <w:shd w:val="clear" w:color="auto" w:fill="auto"/>
            <w:vAlign w:val="center"/>
          </w:tcPr>
          <w:p w14:paraId="1C08239C">
            <w:pPr>
              <w:jc w:val="center"/>
              <w:rPr>
                <w:rFonts w:ascii="宋体" w:hAnsi="宋体" w:eastAsia="宋体" w:cs="Times New Roman"/>
                <w:color w:val="auto"/>
              </w:rPr>
            </w:pPr>
          </w:p>
        </w:tc>
        <w:tc>
          <w:tcPr>
            <w:tcW w:w="541" w:type="pct"/>
            <w:shd w:val="clear" w:color="auto" w:fill="auto"/>
            <w:vAlign w:val="center"/>
          </w:tcPr>
          <w:p w14:paraId="7F4AE7D7">
            <w:pPr>
              <w:jc w:val="center"/>
              <w:rPr>
                <w:rFonts w:ascii="宋体" w:hAnsi="宋体" w:eastAsia="宋体" w:cs="Times New Roman"/>
                <w:color w:val="auto"/>
              </w:rPr>
            </w:pPr>
            <w:r>
              <w:rPr>
                <w:rFonts w:ascii="宋体" w:hAnsi="宋体" w:eastAsia="宋体" w:cs="Times New Roman"/>
                <w:color w:val="auto"/>
              </w:rPr>
              <w:t>加热炉烟气</w:t>
            </w:r>
          </w:p>
        </w:tc>
        <w:tc>
          <w:tcPr>
            <w:tcW w:w="558" w:type="pct"/>
            <w:shd w:val="clear" w:color="auto" w:fill="auto"/>
            <w:vAlign w:val="center"/>
          </w:tcPr>
          <w:p w14:paraId="77AD30F1">
            <w:pPr>
              <w:jc w:val="center"/>
              <w:rPr>
                <w:rFonts w:ascii="宋体" w:hAnsi="宋体" w:eastAsia="宋体" w:cs="Times New Roman"/>
                <w:color w:val="auto"/>
              </w:rPr>
            </w:pPr>
            <w:r>
              <w:rPr>
                <w:rFonts w:ascii="宋体" w:hAnsi="宋体" w:eastAsia="宋体" w:cs="Times New Roman"/>
                <w:color w:val="auto"/>
              </w:rPr>
              <w:t>SO</w:t>
            </w:r>
            <w:r>
              <w:rPr>
                <w:rFonts w:ascii="宋体" w:hAnsi="宋体" w:eastAsia="宋体" w:cs="Times New Roman"/>
                <w:color w:val="auto"/>
                <w:vertAlign w:val="subscript"/>
              </w:rPr>
              <w:t>2</w:t>
            </w:r>
            <w:r>
              <w:rPr>
                <w:rFonts w:ascii="宋体" w:hAnsi="宋体" w:eastAsia="宋体" w:cs="Times New Roman"/>
                <w:color w:val="auto"/>
              </w:rPr>
              <w:t>、NO</w:t>
            </w:r>
            <w:r>
              <w:rPr>
                <w:rFonts w:ascii="宋体" w:hAnsi="宋体" w:eastAsia="宋体" w:cs="Times New Roman"/>
                <w:color w:val="auto"/>
                <w:vertAlign w:val="subscript"/>
              </w:rPr>
              <w:t>x</w:t>
            </w:r>
            <w:r>
              <w:rPr>
                <w:rFonts w:ascii="宋体" w:hAnsi="宋体" w:eastAsia="宋体" w:cs="Times New Roman"/>
                <w:color w:val="auto"/>
              </w:rPr>
              <w:t>、颗粒物</w:t>
            </w:r>
          </w:p>
        </w:tc>
        <w:tc>
          <w:tcPr>
            <w:tcW w:w="651" w:type="pct"/>
            <w:shd w:val="clear" w:color="auto" w:fill="auto"/>
            <w:vAlign w:val="center"/>
          </w:tcPr>
          <w:p w14:paraId="4A3B87E9">
            <w:pPr>
              <w:jc w:val="center"/>
              <w:rPr>
                <w:rFonts w:ascii="宋体" w:hAnsi="宋体" w:eastAsia="宋体" w:cs="Times New Roman"/>
                <w:color w:val="auto"/>
              </w:rPr>
            </w:pPr>
            <w:r>
              <w:rPr>
                <w:rFonts w:hint="eastAsia" w:ascii="宋体" w:hAnsi="宋体" w:eastAsia="宋体" w:cs="Times New Roman"/>
                <w:color w:val="auto"/>
              </w:rPr>
              <w:t>162.23</w:t>
            </w:r>
            <w:r>
              <w:rPr>
                <w:rFonts w:ascii="宋体" w:hAnsi="宋体" w:eastAsia="宋体" w:cs="Times New Roman"/>
                <w:color w:val="auto"/>
              </w:rPr>
              <w:t>万m</w:t>
            </w:r>
            <w:r>
              <w:rPr>
                <w:rFonts w:ascii="宋体" w:hAnsi="宋体" w:eastAsia="宋体" w:cs="Times New Roman"/>
                <w:color w:val="auto"/>
                <w:vertAlign w:val="superscript"/>
              </w:rPr>
              <w:t>3</w:t>
            </w:r>
          </w:p>
        </w:tc>
        <w:tc>
          <w:tcPr>
            <w:tcW w:w="1091" w:type="pct"/>
            <w:vMerge w:val="continue"/>
            <w:shd w:val="clear" w:color="auto" w:fill="auto"/>
            <w:vAlign w:val="center"/>
          </w:tcPr>
          <w:p w14:paraId="68D9C0F2">
            <w:pPr>
              <w:jc w:val="center"/>
              <w:rPr>
                <w:rFonts w:ascii="宋体" w:hAnsi="宋体" w:eastAsia="宋体" w:cs="Times New Roman"/>
                <w:color w:val="auto"/>
              </w:rPr>
            </w:pPr>
          </w:p>
        </w:tc>
        <w:tc>
          <w:tcPr>
            <w:tcW w:w="1772" w:type="pct"/>
            <w:shd w:val="clear" w:color="auto" w:fill="auto"/>
            <w:vAlign w:val="center"/>
          </w:tcPr>
          <w:p w14:paraId="04CBF2D0">
            <w:pPr>
              <w:jc w:val="center"/>
              <w:rPr>
                <w:rFonts w:ascii="宋体" w:hAnsi="宋体" w:eastAsia="宋体" w:cs="Times New Roman"/>
                <w:snapToGrid w:val="0"/>
                <w:color w:val="auto"/>
              </w:rPr>
            </w:pPr>
            <w:r>
              <w:rPr>
                <w:rFonts w:ascii="宋体" w:hAnsi="宋体" w:eastAsia="宋体" w:cs="Times New Roman"/>
                <w:color w:val="auto"/>
              </w:rPr>
              <w:t>执行《工业炉窑大气污染物排放标准》（GB9078-1996）表2中的二级标准限值要求</w:t>
            </w:r>
          </w:p>
        </w:tc>
      </w:tr>
      <w:tr w14:paraId="2A6D4FFF">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trPr>
        <w:tc>
          <w:tcPr>
            <w:tcW w:w="387" w:type="pct"/>
            <w:vMerge w:val="restart"/>
            <w:shd w:val="clear" w:color="auto" w:fill="auto"/>
            <w:vAlign w:val="center"/>
          </w:tcPr>
          <w:p w14:paraId="5FE661AF">
            <w:pPr>
              <w:jc w:val="center"/>
              <w:rPr>
                <w:rFonts w:ascii="宋体" w:hAnsi="宋体" w:eastAsia="宋体" w:cs="Times New Roman"/>
                <w:color w:val="auto"/>
              </w:rPr>
            </w:pPr>
            <w:r>
              <w:rPr>
                <w:rFonts w:ascii="宋体" w:hAnsi="宋体" w:eastAsia="宋体" w:cs="Times New Roman"/>
                <w:color w:val="auto"/>
              </w:rPr>
              <w:t>废水</w:t>
            </w:r>
          </w:p>
        </w:tc>
        <w:tc>
          <w:tcPr>
            <w:tcW w:w="541" w:type="pct"/>
            <w:shd w:val="clear" w:color="auto" w:fill="auto"/>
            <w:vAlign w:val="center"/>
          </w:tcPr>
          <w:p w14:paraId="243E6159">
            <w:pPr>
              <w:jc w:val="center"/>
              <w:rPr>
                <w:rFonts w:ascii="宋体" w:hAnsi="宋体" w:eastAsia="宋体" w:cs="Times New Roman"/>
                <w:color w:val="auto"/>
              </w:rPr>
            </w:pPr>
            <w:r>
              <w:rPr>
                <w:rFonts w:ascii="宋体" w:hAnsi="宋体" w:eastAsia="宋体" w:cs="Times New Roman"/>
                <w:color w:val="auto"/>
              </w:rPr>
              <w:t>油田采出水</w:t>
            </w:r>
          </w:p>
        </w:tc>
        <w:tc>
          <w:tcPr>
            <w:tcW w:w="558" w:type="pct"/>
            <w:shd w:val="clear" w:color="auto" w:fill="auto"/>
            <w:vAlign w:val="center"/>
          </w:tcPr>
          <w:p w14:paraId="082966F5">
            <w:pPr>
              <w:jc w:val="center"/>
              <w:rPr>
                <w:rFonts w:ascii="宋体" w:hAnsi="宋体" w:eastAsia="宋体" w:cs="Times New Roman"/>
                <w:color w:val="auto"/>
              </w:rPr>
            </w:pPr>
            <w:r>
              <w:rPr>
                <w:rFonts w:ascii="宋体" w:hAnsi="宋体" w:eastAsia="宋体" w:cs="Times New Roman"/>
                <w:color w:val="auto"/>
              </w:rPr>
              <w:t>石油类</w:t>
            </w:r>
          </w:p>
        </w:tc>
        <w:tc>
          <w:tcPr>
            <w:tcW w:w="651" w:type="pct"/>
            <w:shd w:val="clear" w:color="auto" w:fill="auto"/>
            <w:vAlign w:val="center"/>
          </w:tcPr>
          <w:p w14:paraId="375F6D64">
            <w:pPr>
              <w:jc w:val="center"/>
              <w:rPr>
                <w:rFonts w:ascii="宋体" w:hAnsi="宋体" w:eastAsia="宋体" w:cs="Times New Roman"/>
                <w:color w:val="auto"/>
              </w:rPr>
            </w:pPr>
            <w:r>
              <w:rPr>
                <w:rFonts w:hint="eastAsia" w:ascii="宋体" w:hAnsi="宋体" w:eastAsia="宋体" w:cs="Times New Roman"/>
                <w:color w:val="auto"/>
              </w:rPr>
              <w:t>21700</w:t>
            </w:r>
            <w:r>
              <w:rPr>
                <w:rFonts w:ascii="宋体" w:hAnsi="宋体" w:eastAsia="宋体" w:cs="Times New Roman"/>
                <w:color w:val="auto"/>
              </w:rPr>
              <w:t>t/a</w:t>
            </w:r>
          </w:p>
        </w:tc>
        <w:tc>
          <w:tcPr>
            <w:tcW w:w="1091" w:type="pct"/>
            <w:shd w:val="clear" w:color="auto" w:fill="auto"/>
            <w:vAlign w:val="center"/>
          </w:tcPr>
          <w:p w14:paraId="62F46B7E">
            <w:pPr>
              <w:jc w:val="center"/>
              <w:rPr>
                <w:rFonts w:ascii="宋体" w:hAnsi="宋体" w:eastAsia="宋体" w:cs="Times New Roman"/>
                <w:color w:val="auto"/>
              </w:rPr>
            </w:pPr>
            <w:r>
              <w:rPr>
                <w:rFonts w:ascii="宋体" w:hAnsi="宋体" w:eastAsia="宋体" w:cs="Times New Roman"/>
                <w:color w:val="auto"/>
              </w:rPr>
              <w:t>管输至朝二联含油污水处理站处理达标后回注油层</w:t>
            </w:r>
          </w:p>
        </w:tc>
        <w:tc>
          <w:tcPr>
            <w:tcW w:w="1772" w:type="pct"/>
            <w:vMerge w:val="restart"/>
            <w:shd w:val="clear" w:color="auto" w:fill="auto"/>
            <w:vAlign w:val="center"/>
          </w:tcPr>
          <w:p w14:paraId="55CCBCA1">
            <w:pPr>
              <w:jc w:val="center"/>
              <w:rPr>
                <w:rFonts w:ascii="宋体" w:hAnsi="宋体" w:eastAsia="宋体" w:cs="Times New Roman"/>
                <w:color w:val="auto"/>
              </w:rPr>
            </w:pPr>
            <w:r>
              <w:rPr>
                <w:rFonts w:ascii="宋体" w:hAnsi="宋体" w:eastAsia="宋体" w:cs="Times New Roman"/>
                <w:color w:val="auto"/>
              </w:rPr>
              <w:t>处理后的废水满足《大庆油田地面工程建设设计规定》（Q/SYDQ0639-2015）及《碎屑岩油藏注水水质指标技术要求及分析方法》（SY/T5329-2022）限值要求后回注油层</w:t>
            </w:r>
          </w:p>
        </w:tc>
      </w:tr>
      <w:tr w14:paraId="278402BF">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trPr>
        <w:tc>
          <w:tcPr>
            <w:tcW w:w="387" w:type="pct"/>
            <w:vMerge w:val="continue"/>
            <w:shd w:val="clear" w:color="auto" w:fill="auto"/>
            <w:vAlign w:val="center"/>
          </w:tcPr>
          <w:p w14:paraId="3EA2A581">
            <w:pPr>
              <w:jc w:val="center"/>
              <w:rPr>
                <w:rFonts w:ascii="宋体" w:hAnsi="宋体" w:eastAsia="宋体" w:cs="Times New Roman"/>
                <w:color w:val="auto"/>
              </w:rPr>
            </w:pPr>
          </w:p>
        </w:tc>
        <w:tc>
          <w:tcPr>
            <w:tcW w:w="541" w:type="pct"/>
            <w:shd w:val="clear" w:color="auto" w:fill="auto"/>
            <w:vAlign w:val="center"/>
          </w:tcPr>
          <w:p w14:paraId="00B424BA">
            <w:pPr>
              <w:jc w:val="center"/>
              <w:rPr>
                <w:rFonts w:ascii="宋体" w:hAnsi="宋体" w:eastAsia="宋体" w:cs="Times New Roman"/>
                <w:color w:val="auto"/>
              </w:rPr>
            </w:pPr>
            <w:r>
              <w:rPr>
                <w:rFonts w:ascii="宋体" w:hAnsi="宋体" w:eastAsia="宋体" w:cs="Times New Roman"/>
                <w:color w:val="auto"/>
              </w:rPr>
              <w:t>作业污水</w:t>
            </w:r>
          </w:p>
        </w:tc>
        <w:tc>
          <w:tcPr>
            <w:tcW w:w="558" w:type="pct"/>
            <w:shd w:val="clear" w:color="auto" w:fill="auto"/>
            <w:vAlign w:val="center"/>
          </w:tcPr>
          <w:p w14:paraId="19F1A566">
            <w:pPr>
              <w:jc w:val="center"/>
              <w:rPr>
                <w:rFonts w:ascii="宋体" w:hAnsi="宋体" w:eastAsia="宋体" w:cs="Times New Roman"/>
                <w:color w:val="auto"/>
              </w:rPr>
            </w:pPr>
            <w:r>
              <w:rPr>
                <w:rFonts w:ascii="宋体" w:hAnsi="宋体" w:eastAsia="宋体" w:cs="Times New Roman"/>
                <w:color w:val="auto"/>
              </w:rPr>
              <w:t>石油类、悬浮物</w:t>
            </w:r>
          </w:p>
        </w:tc>
        <w:tc>
          <w:tcPr>
            <w:tcW w:w="651" w:type="pct"/>
            <w:shd w:val="clear" w:color="auto" w:fill="auto"/>
            <w:vAlign w:val="center"/>
          </w:tcPr>
          <w:p w14:paraId="66630BE0">
            <w:pPr>
              <w:jc w:val="center"/>
              <w:rPr>
                <w:rFonts w:ascii="宋体" w:hAnsi="宋体" w:eastAsia="宋体" w:cs="Times New Roman"/>
                <w:color w:val="auto"/>
              </w:rPr>
            </w:pPr>
            <w:r>
              <w:rPr>
                <w:rFonts w:hint="eastAsia" w:ascii="宋体" w:hAnsi="宋体" w:eastAsia="宋体" w:cs="Times New Roman"/>
                <w:color w:val="auto"/>
              </w:rPr>
              <w:t>10.64</w:t>
            </w:r>
            <w:r>
              <w:rPr>
                <w:rFonts w:ascii="宋体" w:hAnsi="宋体" w:eastAsia="宋体" w:cs="Times New Roman"/>
                <w:color w:val="auto"/>
              </w:rPr>
              <w:t>m</w:t>
            </w:r>
            <w:r>
              <w:rPr>
                <w:rFonts w:ascii="宋体" w:hAnsi="宋体" w:eastAsia="宋体" w:cs="Times New Roman"/>
                <w:color w:val="auto"/>
                <w:vertAlign w:val="superscript"/>
              </w:rPr>
              <w:t>3</w:t>
            </w:r>
            <w:r>
              <w:rPr>
                <w:rFonts w:ascii="宋体" w:hAnsi="宋体" w:eastAsia="宋体" w:cs="Times New Roman"/>
                <w:color w:val="auto"/>
              </w:rPr>
              <w:t>/a</w:t>
            </w:r>
          </w:p>
        </w:tc>
        <w:tc>
          <w:tcPr>
            <w:tcW w:w="1091" w:type="pct"/>
            <w:vMerge w:val="restart"/>
            <w:shd w:val="clear" w:color="auto" w:fill="auto"/>
            <w:vAlign w:val="center"/>
          </w:tcPr>
          <w:p w14:paraId="00CB8335">
            <w:pPr>
              <w:jc w:val="center"/>
              <w:rPr>
                <w:rFonts w:ascii="宋体" w:hAnsi="宋体" w:eastAsia="宋体" w:cs="Times New Roman"/>
                <w:color w:val="auto"/>
              </w:rPr>
            </w:pPr>
            <w:r>
              <w:rPr>
                <w:rFonts w:ascii="宋体" w:hAnsi="宋体" w:eastAsia="宋体" w:cs="Times New Roman"/>
                <w:color w:val="auto"/>
              </w:rPr>
              <w:t>由罐车回收拉运至朝二联含油污水处理站处理达标后回</w:t>
            </w:r>
          </w:p>
          <w:p w14:paraId="1A753690">
            <w:pPr>
              <w:jc w:val="center"/>
              <w:rPr>
                <w:rFonts w:ascii="宋体" w:hAnsi="宋体" w:eastAsia="宋体" w:cs="Times New Roman"/>
                <w:color w:val="auto"/>
              </w:rPr>
            </w:pPr>
            <w:r>
              <w:rPr>
                <w:rFonts w:ascii="宋体" w:hAnsi="宋体" w:eastAsia="宋体" w:cs="Times New Roman"/>
                <w:color w:val="auto"/>
              </w:rPr>
              <w:t>注油层</w:t>
            </w:r>
          </w:p>
        </w:tc>
        <w:tc>
          <w:tcPr>
            <w:tcW w:w="1772" w:type="pct"/>
            <w:vMerge w:val="continue"/>
            <w:shd w:val="clear" w:color="auto" w:fill="auto"/>
            <w:vAlign w:val="center"/>
          </w:tcPr>
          <w:p w14:paraId="1DBAEF88">
            <w:pPr>
              <w:jc w:val="center"/>
              <w:rPr>
                <w:rFonts w:ascii="宋体" w:hAnsi="宋体" w:eastAsia="宋体" w:cs="Times New Roman"/>
                <w:color w:val="auto"/>
              </w:rPr>
            </w:pPr>
          </w:p>
        </w:tc>
      </w:tr>
      <w:tr w14:paraId="15A164EF">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trPr>
        <w:tc>
          <w:tcPr>
            <w:tcW w:w="387" w:type="pct"/>
            <w:vMerge w:val="continue"/>
            <w:shd w:val="clear" w:color="auto" w:fill="auto"/>
            <w:vAlign w:val="center"/>
          </w:tcPr>
          <w:p w14:paraId="0E6A1C6A">
            <w:pPr>
              <w:jc w:val="center"/>
              <w:rPr>
                <w:rFonts w:ascii="宋体" w:hAnsi="宋体" w:eastAsia="宋体" w:cs="Times New Roman"/>
                <w:color w:val="auto"/>
              </w:rPr>
            </w:pPr>
          </w:p>
        </w:tc>
        <w:tc>
          <w:tcPr>
            <w:tcW w:w="541" w:type="pct"/>
            <w:shd w:val="clear" w:color="auto" w:fill="auto"/>
            <w:vAlign w:val="center"/>
          </w:tcPr>
          <w:p w14:paraId="17D0C120">
            <w:pPr>
              <w:jc w:val="center"/>
              <w:rPr>
                <w:rFonts w:ascii="宋体" w:hAnsi="宋体" w:eastAsia="宋体" w:cs="Times New Roman"/>
                <w:color w:val="auto"/>
              </w:rPr>
            </w:pPr>
            <w:r>
              <w:rPr>
                <w:rFonts w:ascii="宋体" w:hAnsi="宋体" w:eastAsia="宋体" w:cs="Times New Roman"/>
                <w:color w:val="auto"/>
              </w:rPr>
              <w:t>洗井污水</w:t>
            </w:r>
          </w:p>
        </w:tc>
        <w:tc>
          <w:tcPr>
            <w:tcW w:w="558" w:type="pct"/>
            <w:shd w:val="clear" w:color="auto" w:fill="auto"/>
            <w:vAlign w:val="center"/>
          </w:tcPr>
          <w:p w14:paraId="3E8DA3B5">
            <w:pPr>
              <w:jc w:val="center"/>
              <w:rPr>
                <w:rFonts w:ascii="宋体" w:hAnsi="宋体" w:eastAsia="宋体" w:cs="Times New Roman"/>
                <w:color w:val="auto"/>
              </w:rPr>
            </w:pPr>
            <w:r>
              <w:rPr>
                <w:rFonts w:ascii="宋体" w:hAnsi="宋体" w:eastAsia="宋体" w:cs="Times New Roman"/>
                <w:color w:val="auto"/>
              </w:rPr>
              <w:t>石油类、悬浮物</w:t>
            </w:r>
          </w:p>
        </w:tc>
        <w:tc>
          <w:tcPr>
            <w:tcW w:w="651" w:type="pct"/>
            <w:shd w:val="clear" w:color="auto" w:fill="auto"/>
            <w:vAlign w:val="center"/>
          </w:tcPr>
          <w:p w14:paraId="5ACE25FD">
            <w:pPr>
              <w:jc w:val="center"/>
              <w:rPr>
                <w:rFonts w:ascii="宋体" w:hAnsi="宋体" w:eastAsia="宋体" w:cs="Times New Roman"/>
                <w:color w:val="auto"/>
              </w:rPr>
            </w:pPr>
            <w:r>
              <w:rPr>
                <w:rFonts w:hint="eastAsia" w:ascii="宋体" w:hAnsi="宋体" w:eastAsia="宋体" w:cs="Times New Roman"/>
                <w:color w:val="auto"/>
              </w:rPr>
              <w:t>1155.9</w:t>
            </w:r>
            <w:r>
              <w:rPr>
                <w:rFonts w:ascii="宋体" w:hAnsi="宋体" w:eastAsia="宋体" w:cs="Times New Roman"/>
                <w:color w:val="auto"/>
              </w:rPr>
              <w:t>m</w:t>
            </w:r>
            <w:r>
              <w:rPr>
                <w:rFonts w:ascii="宋体" w:hAnsi="宋体" w:eastAsia="宋体" w:cs="Times New Roman"/>
                <w:color w:val="auto"/>
                <w:vertAlign w:val="superscript"/>
              </w:rPr>
              <w:t>3</w:t>
            </w:r>
            <w:r>
              <w:rPr>
                <w:rFonts w:ascii="宋体" w:hAnsi="宋体" w:eastAsia="宋体" w:cs="Times New Roman"/>
                <w:color w:val="auto"/>
              </w:rPr>
              <w:t>/a</w:t>
            </w:r>
          </w:p>
        </w:tc>
        <w:tc>
          <w:tcPr>
            <w:tcW w:w="1091" w:type="pct"/>
            <w:vMerge w:val="continue"/>
            <w:shd w:val="clear" w:color="auto" w:fill="auto"/>
            <w:vAlign w:val="center"/>
          </w:tcPr>
          <w:p w14:paraId="31944B27">
            <w:pPr>
              <w:jc w:val="center"/>
              <w:rPr>
                <w:rFonts w:ascii="宋体" w:hAnsi="宋体" w:eastAsia="宋体" w:cs="Times New Roman"/>
                <w:color w:val="auto"/>
              </w:rPr>
            </w:pPr>
          </w:p>
        </w:tc>
        <w:tc>
          <w:tcPr>
            <w:tcW w:w="1772" w:type="pct"/>
            <w:vMerge w:val="continue"/>
            <w:shd w:val="clear" w:color="auto" w:fill="auto"/>
            <w:vAlign w:val="center"/>
          </w:tcPr>
          <w:p w14:paraId="2113F4C1">
            <w:pPr>
              <w:jc w:val="center"/>
              <w:rPr>
                <w:rFonts w:ascii="宋体" w:hAnsi="宋体" w:eastAsia="宋体" w:cs="Times New Roman"/>
                <w:color w:val="auto"/>
              </w:rPr>
            </w:pPr>
          </w:p>
        </w:tc>
      </w:tr>
      <w:tr w14:paraId="6953E783">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trPr>
        <w:tc>
          <w:tcPr>
            <w:tcW w:w="387" w:type="pct"/>
            <w:vMerge w:val="restart"/>
            <w:shd w:val="clear" w:color="auto" w:fill="auto"/>
            <w:vAlign w:val="center"/>
          </w:tcPr>
          <w:p w14:paraId="6BA9EFFA">
            <w:pPr>
              <w:jc w:val="center"/>
              <w:rPr>
                <w:rFonts w:ascii="宋体" w:hAnsi="宋体" w:eastAsia="宋体" w:cs="Times New Roman"/>
                <w:color w:val="auto"/>
              </w:rPr>
            </w:pPr>
            <w:r>
              <w:rPr>
                <w:rFonts w:ascii="宋体" w:hAnsi="宋体" w:eastAsia="宋体" w:cs="Times New Roman"/>
                <w:color w:val="auto"/>
              </w:rPr>
              <w:t>固废</w:t>
            </w:r>
          </w:p>
        </w:tc>
        <w:tc>
          <w:tcPr>
            <w:tcW w:w="541" w:type="pct"/>
            <w:shd w:val="clear" w:color="auto" w:fill="auto"/>
            <w:vAlign w:val="center"/>
          </w:tcPr>
          <w:p w14:paraId="71682AC6">
            <w:pPr>
              <w:jc w:val="center"/>
              <w:rPr>
                <w:rFonts w:ascii="宋体" w:hAnsi="宋体" w:eastAsia="宋体" w:cs="Times New Roman"/>
                <w:color w:val="auto"/>
              </w:rPr>
            </w:pPr>
            <w:r>
              <w:rPr>
                <w:rFonts w:ascii="宋体" w:hAnsi="宋体" w:eastAsia="宋体" w:cs="Times New Roman"/>
                <w:color w:val="auto"/>
              </w:rPr>
              <w:t>含油污泥</w:t>
            </w:r>
          </w:p>
        </w:tc>
        <w:tc>
          <w:tcPr>
            <w:tcW w:w="558" w:type="pct"/>
            <w:shd w:val="clear" w:color="auto" w:fill="auto"/>
            <w:vAlign w:val="center"/>
          </w:tcPr>
          <w:p w14:paraId="443DEFEE">
            <w:pPr>
              <w:jc w:val="center"/>
              <w:rPr>
                <w:rFonts w:ascii="宋体" w:hAnsi="宋体" w:eastAsia="宋体" w:cs="Times New Roman"/>
                <w:color w:val="auto"/>
              </w:rPr>
            </w:pPr>
            <w:r>
              <w:rPr>
                <w:rFonts w:ascii="宋体" w:hAnsi="宋体" w:eastAsia="宋体" w:cs="Times New Roman"/>
                <w:color w:val="auto"/>
              </w:rPr>
              <w:t>石油类</w:t>
            </w:r>
          </w:p>
        </w:tc>
        <w:tc>
          <w:tcPr>
            <w:tcW w:w="651" w:type="pct"/>
            <w:shd w:val="clear" w:color="auto" w:fill="auto"/>
            <w:vAlign w:val="center"/>
          </w:tcPr>
          <w:p w14:paraId="172A5CFF">
            <w:pPr>
              <w:jc w:val="center"/>
              <w:rPr>
                <w:rFonts w:ascii="宋体" w:hAnsi="宋体" w:eastAsia="宋体" w:cs="Times New Roman"/>
                <w:color w:val="auto"/>
              </w:rPr>
            </w:pPr>
            <w:r>
              <w:rPr>
                <w:rFonts w:hint="eastAsia" w:ascii="宋体" w:hAnsi="宋体" w:eastAsia="宋体" w:cs="Times New Roman"/>
                <w:color w:val="auto"/>
              </w:rPr>
              <w:t>0.348</w:t>
            </w:r>
            <w:r>
              <w:rPr>
                <w:rFonts w:ascii="宋体" w:hAnsi="宋体" w:eastAsia="宋体" w:cs="Times New Roman"/>
                <w:color w:val="auto"/>
              </w:rPr>
              <w:t>t/a</w:t>
            </w:r>
          </w:p>
        </w:tc>
        <w:tc>
          <w:tcPr>
            <w:tcW w:w="1091" w:type="pct"/>
            <w:vMerge w:val="restart"/>
            <w:shd w:val="clear" w:color="auto" w:fill="auto"/>
            <w:vAlign w:val="center"/>
          </w:tcPr>
          <w:p w14:paraId="4F3E6CD1">
            <w:pPr>
              <w:jc w:val="center"/>
              <w:rPr>
                <w:rFonts w:ascii="宋体" w:hAnsi="宋体" w:eastAsia="宋体" w:cs="Times New Roman"/>
                <w:color w:val="auto"/>
              </w:rPr>
            </w:pPr>
            <w:r>
              <w:rPr>
                <w:rFonts w:ascii="宋体" w:hAnsi="宋体" w:eastAsia="宋体" w:cs="Times New Roman"/>
                <w:color w:val="auto"/>
              </w:rPr>
              <w:t>由罐车拉运至朝一联含油污泥处理站减量化处理后，再委托大庆博昕晶化科技有限公司处理达标后</w:t>
            </w:r>
            <w:r>
              <w:rPr>
                <w:rFonts w:ascii="宋体" w:hAnsi="宋体" w:eastAsia="宋体" w:cs="Times New Roman"/>
                <w:color w:val="auto"/>
                <w:kern w:val="21"/>
              </w:rPr>
              <w:t>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tc>
        <w:tc>
          <w:tcPr>
            <w:tcW w:w="1772" w:type="pct"/>
            <w:vMerge w:val="restart"/>
            <w:shd w:val="clear" w:color="auto" w:fill="auto"/>
            <w:vAlign w:val="center"/>
          </w:tcPr>
          <w:p w14:paraId="28E16106">
            <w:pPr>
              <w:jc w:val="center"/>
              <w:rPr>
                <w:rFonts w:ascii="宋体" w:hAnsi="宋体" w:eastAsia="宋体" w:cs="Times New Roman"/>
                <w:color w:val="auto"/>
              </w:rPr>
            </w:pPr>
            <w:r>
              <w:rPr>
                <w:rFonts w:ascii="宋体" w:hAnsi="宋体" w:eastAsia="宋体" w:cs="Times New Roman"/>
                <w:color w:val="auto"/>
              </w:rPr>
              <w:t>执行《油田含油污泥处置与利用污染控制要求》（DB23/T 3104-2022）表1中的限值要求</w:t>
            </w:r>
          </w:p>
        </w:tc>
      </w:tr>
      <w:tr w14:paraId="11D59CE3">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trPr>
        <w:tc>
          <w:tcPr>
            <w:tcW w:w="387" w:type="pct"/>
            <w:vMerge w:val="continue"/>
            <w:shd w:val="clear" w:color="auto" w:fill="auto"/>
            <w:vAlign w:val="center"/>
          </w:tcPr>
          <w:p w14:paraId="52E57F9B">
            <w:pPr>
              <w:jc w:val="center"/>
              <w:rPr>
                <w:rFonts w:ascii="宋体" w:hAnsi="宋体" w:eastAsia="宋体" w:cs="Times New Roman"/>
                <w:color w:val="auto"/>
              </w:rPr>
            </w:pPr>
          </w:p>
        </w:tc>
        <w:tc>
          <w:tcPr>
            <w:tcW w:w="541" w:type="pct"/>
            <w:shd w:val="clear" w:color="auto" w:fill="auto"/>
            <w:vAlign w:val="center"/>
          </w:tcPr>
          <w:p w14:paraId="495D302E">
            <w:pPr>
              <w:jc w:val="center"/>
              <w:rPr>
                <w:rFonts w:ascii="宋体" w:hAnsi="宋体" w:eastAsia="宋体" w:cs="Times New Roman"/>
                <w:color w:val="auto"/>
              </w:rPr>
            </w:pPr>
            <w:r>
              <w:rPr>
                <w:rFonts w:ascii="宋体" w:hAnsi="宋体" w:eastAsia="宋体" w:cs="Times New Roman"/>
                <w:color w:val="auto"/>
              </w:rPr>
              <w:t>落地油</w:t>
            </w:r>
          </w:p>
        </w:tc>
        <w:tc>
          <w:tcPr>
            <w:tcW w:w="558" w:type="pct"/>
            <w:shd w:val="clear" w:color="auto" w:fill="auto"/>
            <w:vAlign w:val="center"/>
          </w:tcPr>
          <w:p w14:paraId="170E2A82">
            <w:pPr>
              <w:jc w:val="center"/>
              <w:rPr>
                <w:rFonts w:ascii="宋体" w:hAnsi="宋体" w:eastAsia="宋体" w:cs="Times New Roman"/>
                <w:color w:val="auto"/>
              </w:rPr>
            </w:pPr>
            <w:r>
              <w:rPr>
                <w:rFonts w:ascii="宋体" w:hAnsi="宋体" w:eastAsia="宋体" w:cs="Times New Roman"/>
                <w:color w:val="auto"/>
              </w:rPr>
              <w:t>石油类</w:t>
            </w:r>
          </w:p>
        </w:tc>
        <w:tc>
          <w:tcPr>
            <w:tcW w:w="651" w:type="pct"/>
            <w:shd w:val="clear" w:color="auto" w:fill="auto"/>
            <w:vAlign w:val="center"/>
          </w:tcPr>
          <w:p w14:paraId="15816FE2">
            <w:pPr>
              <w:jc w:val="center"/>
              <w:rPr>
                <w:rFonts w:ascii="宋体" w:hAnsi="宋体" w:eastAsia="宋体" w:cs="Times New Roman"/>
                <w:color w:val="auto"/>
              </w:rPr>
            </w:pPr>
            <w:r>
              <w:rPr>
                <w:rFonts w:hint="eastAsia" w:ascii="宋体" w:hAnsi="宋体" w:eastAsia="宋体" w:cs="Times New Roman"/>
                <w:color w:val="auto"/>
              </w:rPr>
              <w:t>0.13</w:t>
            </w:r>
            <w:r>
              <w:rPr>
                <w:rFonts w:ascii="宋体" w:hAnsi="宋体" w:eastAsia="宋体" w:cs="Times New Roman"/>
                <w:color w:val="auto"/>
              </w:rPr>
              <w:t>t/a</w:t>
            </w:r>
          </w:p>
        </w:tc>
        <w:tc>
          <w:tcPr>
            <w:tcW w:w="1091" w:type="pct"/>
            <w:vMerge w:val="continue"/>
            <w:shd w:val="clear" w:color="auto" w:fill="auto"/>
            <w:vAlign w:val="center"/>
          </w:tcPr>
          <w:p w14:paraId="21ADDC7D">
            <w:pPr>
              <w:jc w:val="center"/>
              <w:rPr>
                <w:rFonts w:ascii="宋体" w:hAnsi="宋体" w:eastAsia="宋体" w:cs="Times New Roman"/>
                <w:color w:val="auto"/>
              </w:rPr>
            </w:pPr>
          </w:p>
        </w:tc>
        <w:tc>
          <w:tcPr>
            <w:tcW w:w="1772" w:type="pct"/>
            <w:vMerge w:val="continue"/>
            <w:shd w:val="clear" w:color="auto" w:fill="auto"/>
            <w:vAlign w:val="center"/>
          </w:tcPr>
          <w:p w14:paraId="25F06168">
            <w:pPr>
              <w:jc w:val="center"/>
              <w:rPr>
                <w:rFonts w:ascii="宋体" w:hAnsi="宋体" w:eastAsia="宋体" w:cs="Times New Roman"/>
                <w:color w:val="auto"/>
              </w:rPr>
            </w:pPr>
          </w:p>
        </w:tc>
      </w:tr>
      <w:tr w14:paraId="74608D98">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trPr>
        <w:tc>
          <w:tcPr>
            <w:tcW w:w="387" w:type="pct"/>
            <w:vMerge w:val="continue"/>
            <w:shd w:val="clear" w:color="auto" w:fill="auto"/>
            <w:vAlign w:val="center"/>
          </w:tcPr>
          <w:p w14:paraId="4AF07C97">
            <w:pPr>
              <w:jc w:val="center"/>
              <w:rPr>
                <w:rFonts w:ascii="宋体" w:hAnsi="宋体" w:eastAsia="宋体" w:cs="Times New Roman"/>
                <w:color w:val="auto"/>
              </w:rPr>
            </w:pPr>
          </w:p>
        </w:tc>
        <w:tc>
          <w:tcPr>
            <w:tcW w:w="541" w:type="pct"/>
            <w:shd w:val="clear" w:color="auto" w:fill="auto"/>
            <w:vAlign w:val="center"/>
          </w:tcPr>
          <w:p w14:paraId="06E89BAE">
            <w:pPr>
              <w:jc w:val="center"/>
              <w:rPr>
                <w:rFonts w:ascii="宋体" w:hAnsi="宋体" w:eastAsia="宋体" w:cs="Times New Roman"/>
                <w:color w:val="auto"/>
              </w:rPr>
            </w:pPr>
            <w:r>
              <w:rPr>
                <w:rFonts w:ascii="宋体" w:hAnsi="宋体" w:eastAsia="宋体" w:cs="Times New Roman"/>
                <w:color w:val="auto"/>
              </w:rPr>
              <w:t>含油废防渗布</w:t>
            </w:r>
          </w:p>
        </w:tc>
        <w:tc>
          <w:tcPr>
            <w:tcW w:w="558" w:type="pct"/>
            <w:shd w:val="clear" w:color="auto" w:fill="auto"/>
            <w:vAlign w:val="center"/>
          </w:tcPr>
          <w:p w14:paraId="24A90820">
            <w:pPr>
              <w:jc w:val="center"/>
              <w:rPr>
                <w:rFonts w:ascii="宋体" w:hAnsi="宋体" w:eastAsia="宋体" w:cs="Times New Roman"/>
                <w:color w:val="auto"/>
              </w:rPr>
            </w:pPr>
            <w:r>
              <w:rPr>
                <w:rFonts w:ascii="宋体" w:hAnsi="宋体" w:eastAsia="宋体" w:cs="Times New Roman"/>
                <w:color w:val="auto"/>
              </w:rPr>
              <w:t>石油类</w:t>
            </w:r>
          </w:p>
        </w:tc>
        <w:tc>
          <w:tcPr>
            <w:tcW w:w="651" w:type="pct"/>
            <w:shd w:val="clear" w:color="auto" w:fill="auto"/>
            <w:vAlign w:val="center"/>
          </w:tcPr>
          <w:p w14:paraId="03A98A05">
            <w:pPr>
              <w:jc w:val="center"/>
              <w:rPr>
                <w:rFonts w:ascii="宋体" w:hAnsi="宋体" w:eastAsia="宋体" w:cs="Times New Roman"/>
                <w:color w:val="auto"/>
              </w:rPr>
            </w:pPr>
            <w:r>
              <w:rPr>
                <w:rFonts w:ascii="宋体" w:hAnsi="宋体" w:eastAsia="宋体" w:cs="Times New Roman"/>
                <w:color w:val="auto"/>
              </w:rPr>
              <w:t>0.</w:t>
            </w:r>
            <w:r>
              <w:rPr>
                <w:rFonts w:hint="eastAsia" w:ascii="宋体" w:hAnsi="宋体" w:eastAsia="宋体" w:cs="Times New Roman"/>
                <w:color w:val="auto"/>
              </w:rPr>
              <w:t>07</w:t>
            </w:r>
            <w:r>
              <w:rPr>
                <w:rFonts w:ascii="宋体" w:hAnsi="宋体" w:eastAsia="宋体" w:cs="Times New Roman"/>
                <w:color w:val="auto"/>
              </w:rPr>
              <w:t>t/a</w:t>
            </w:r>
          </w:p>
        </w:tc>
        <w:tc>
          <w:tcPr>
            <w:tcW w:w="1091" w:type="pct"/>
            <w:shd w:val="clear" w:color="auto" w:fill="auto"/>
            <w:vAlign w:val="center"/>
          </w:tcPr>
          <w:p w14:paraId="1A20A5DB">
            <w:pPr>
              <w:jc w:val="center"/>
              <w:rPr>
                <w:rFonts w:ascii="宋体" w:hAnsi="宋体" w:eastAsia="宋体" w:cs="Times New Roman"/>
                <w:color w:val="auto"/>
              </w:rPr>
            </w:pPr>
            <w:r>
              <w:rPr>
                <w:rFonts w:ascii="宋体" w:hAnsi="宋体" w:eastAsia="宋体" w:cs="Times New Roman"/>
                <w:color w:val="auto"/>
              </w:rPr>
              <w:t>收集后暂存于第十采油厂综合固废储存库，定期委托有资质单位处理</w:t>
            </w:r>
          </w:p>
        </w:tc>
        <w:tc>
          <w:tcPr>
            <w:tcW w:w="1772" w:type="pct"/>
            <w:shd w:val="clear" w:color="auto" w:fill="auto"/>
            <w:vAlign w:val="center"/>
          </w:tcPr>
          <w:p w14:paraId="71877356">
            <w:pPr>
              <w:jc w:val="center"/>
              <w:rPr>
                <w:rFonts w:ascii="宋体" w:hAnsi="宋体" w:eastAsia="宋体" w:cs="Times New Roman"/>
                <w:color w:val="auto"/>
              </w:rPr>
            </w:pPr>
            <w:r>
              <w:rPr>
                <w:rFonts w:ascii="宋体" w:hAnsi="宋体" w:eastAsia="宋体" w:cs="Times New Roman"/>
                <w:color w:val="auto"/>
              </w:rPr>
              <w:t>100%处置</w:t>
            </w:r>
          </w:p>
        </w:tc>
      </w:tr>
      <w:tr w14:paraId="11740A95">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340" w:hRule="atLeast"/>
        </w:trPr>
        <w:tc>
          <w:tcPr>
            <w:tcW w:w="387" w:type="pct"/>
            <w:shd w:val="clear" w:color="auto" w:fill="auto"/>
            <w:vAlign w:val="center"/>
          </w:tcPr>
          <w:p w14:paraId="3724FB07">
            <w:pPr>
              <w:jc w:val="center"/>
              <w:rPr>
                <w:rFonts w:ascii="宋体" w:hAnsi="宋体" w:eastAsia="宋体" w:cs="Times New Roman"/>
                <w:color w:val="auto"/>
              </w:rPr>
            </w:pPr>
            <w:r>
              <w:rPr>
                <w:rFonts w:ascii="宋体" w:hAnsi="宋体" w:eastAsia="宋体" w:cs="Times New Roman"/>
                <w:color w:val="auto"/>
              </w:rPr>
              <w:t>噪声</w:t>
            </w:r>
          </w:p>
        </w:tc>
        <w:tc>
          <w:tcPr>
            <w:tcW w:w="541" w:type="pct"/>
            <w:shd w:val="clear" w:color="auto" w:fill="auto"/>
            <w:vAlign w:val="center"/>
          </w:tcPr>
          <w:p w14:paraId="20BF0A4B">
            <w:pPr>
              <w:jc w:val="center"/>
              <w:rPr>
                <w:rFonts w:ascii="宋体" w:hAnsi="宋体" w:eastAsia="宋体" w:cs="Times New Roman"/>
                <w:color w:val="auto"/>
              </w:rPr>
            </w:pPr>
            <w:r>
              <w:rPr>
                <w:rFonts w:ascii="宋体" w:hAnsi="宋体" w:eastAsia="宋体" w:cs="Times New Roman"/>
                <w:color w:val="auto"/>
              </w:rPr>
              <w:t>采油井、燃烧器</w:t>
            </w:r>
          </w:p>
        </w:tc>
        <w:tc>
          <w:tcPr>
            <w:tcW w:w="558" w:type="pct"/>
            <w:shd w:val="clear" w:color="auto" w:fill="auto"/>
            <w:vAlign w:val="center"/>
          </w:tcPr>
          <w:p w14:paraId="5BFAB56A">
            <w:pPr>
              <w:jc w:val="center"/>
              <w:rPr>
                <w:rFonts w:ascii="宋体" w:hAnsi="宋体" w:eastAsia="宋体" w:cs="Times New Roman"/>
                <w:color w:val="auto"/>
              </w:rPr>
            </w:pPr>
            <w:r>
              <w:rPr>
                <w:rFonts w:ascii="宋体" w:hAnsi="宋体" w:eastAsia="宋体" w:cs="Times New Roman"/>
                <w:color w:val="auto"/>
              </w:rPr>
              <w:t>噪声</w:t>
            </w:r>
          </w:p>
        </w:tc>
        <w:tc>
          <w:tcPr>
            <w:tcW w:w="651" w:type="pct"/>
            <w:shd w:val="clear" w:color="auto" w:fill="auto"/>
            <w:vAlign w:val="center"/>
          </w:tcPr>
          <w:p w14:paraId="3C0E7900">
            <w:pPr>
              <w:jc w:val="center"/>
              <w:rPr>
                <w:rFonts w:ascii="宋体" w:hAnsi="宋体" w:eastAsia="宋体" w:cs="Times New Roman"/>
                <w:color w:val="auto"/>
              </w:rPr>
            </w:pPr>
            <w:r>
              <w:rPr>
                <w:rFonts w:ascii="宋体" w:hAnsi="宋体" w:eastAsia="宋体" w:cs="Times New Roman"/>
                <w:color w:val="auto"/>
              </w:rPr>
              <w:t>65～</w:t>
            </w:r>
            <w:r>
              <w:rPr>
                <w:rFonts w:hint="eastAsia" w:ascii="宋体" w:hAnsi="宋体" w:eastAsia="宋体" w:cs="Times New Roman"/>
                <w:color w:val="auto"/>
              </w:rPr>
              <w:t>80</w:t>
            </w:r>
            <w:r>
              <w:rPr>
                <w:rFonts w:ascii="宋体" w:hAnsi="宋体" w:eastAsia="宋体" w:cs="Times New Roman"/>
                <w:color w:val="auto"/>
              </w:rPr>
              <w:t>dB(A)</w:t>
            </w:r>
          </w:p>
        </w:tc>
        <w:tc>
          <w:tcPr>
            <w:tcW w:w="1091" w:type="pct"/>
            <w:shd w:val="clear" w:color="auto" w:fill="auto"/>
            <w:vAlign w:val="center"/>
          </w:tcPr>
          <w:p w14:paraId="1244D882">
            <w:pPr>
              <w:jc w:val="center"/>
              <w:rPr>
                <w:rFonts w:ascii="宋体" w:hAnsi="宋体" w:eastAsia="宋体" w:cs="Times New Roman"/>
                <w:color w:val="auto"/>
              </w:rPr>
            </w:pPr>
            <w:r>
              <w:rPr>
                <w:rFonts w:ascii="宋体" w:hAnsi="宋体" w:eastAsia="宋体" w:cs="Times New Roman"/>
                <w:color w:val="auto"/>
              </w:rPr>
              <w:t>选用低噪声设备，基础减振，定期维护保养</w:t>
            </w:r>
          </w:p>
        </w:tc>
        <w:tc>
          <w:tcPr>
            <w:tcW w:w="1772" w:type="pct"/>
            <w:shd w:val="clear" w:color="auto" w:fill="auto"/>
            <w:vAlign w:val="center"/>
          </w:tcPr>
          <w:p w14:paraId="7632AF17">
            <w:pPr>
              <w:jc w:val="center"/>
              <w:rPr>
                <w:rFonts w:ascii="宋体" w:hAnsi="宋体" w:eastAsia="宋体" w:cs="Times New Roman"/>
                <w:color w:val="auto"/>
              </w:rPr>
            </w:pPr>
            <w:r>
              <w:rPr>
                <w:rFonts w:ascii="宋体" w:hAnsi="宋体" w:eastAsia="宋体" w:cs="Times New Roman"/>
                <w:color w:val="auto"/>
              </w:rPr>
              <w:t>执行《工业企业厂界环境噪声排放标准》（GB 12348-2008）中2类标准</w:t>
            </w:r>
          </w:p>
        </w:tc>
      </w:tr>
    </w:tbl>
    <w:p w14:paraId="2BC6A81C">
      <w:pPr>
        <w:pStyle w:val="6"/>
        <w:rPr>
          <w:color w:val="auto"/>
        </w:rPr>
      </w:pPr>
      <w:bookmarkStart w:id="1919" w:name="_Toc127192452"/>
      <w:bookmarkStart w:id="1920" w:name="_Toc526325558"/>
      <w:bookmarkStart w:id="1921" w:name="_Toc70050300"/>
      <w:bookmarkStart w:id="1922" w:name="_Toc80588370"/>
      <w:bookmarkStart w:id="1923" w:name="_Toc85640871"/>
      <w:bookmarkStart w:id="1924" w:name="_Toc126863503"/>
      <w:bookmarkStart w:id="1925" w:name="_Toc104859322"/>
      <w:bookmarkStart w:id="1926" w:name="_Toc84929347"/>
      <w:bookmarkStart w:id="1927" w:name="_Toc101086219"/>
      <w:bookmarkStart w:id="1928" w:name="_Toc80971492"/>
      <w:bookmarkStart w:id="1929" w:name="_Toc76976362"/>
      <w:bookmarkStart w:id="1930" w:name="_Toc67860253"/>
      <w:bookmarkStart w:id="1931" w:name="_Toc86142046"/>
      <w:bookmarkStart w:id="1932" w:name="_Toc68948026"/>
      <w:bookmarkStart w:id="1933" w:name="_Toc57708109"/>
      <w:bookmarkStart w:id="1934" w:name="_Toc88963662"/>
      <w:bookmarkStart w:id="1935" w:name="_Toc101085995"/>
      <w:bookmarkStart w:id="1936" w:name="_Toc78816575"/>
      <w:bookmarkStart w:id="1937" w:name="_Toc143099691"/>
      <w:bookmarkStart w:id="1938" w:name="_Toc83209592"/>
      <w:bookmarkStart w:id="1939" w:name="_Toc77067773"/>
      <w:bookmarkStart w:id="1940" w:name="_Toc131167404"/>
      <w:r>
        <w:rPr>
          <w:color w:val="auto"/>
        </w:rPr>
        <w:t>总量控制</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14:paraId="7F2BF390">
      <w:pPr>
        <w:spacing w:line="440" w:lineRule="exact"/>
        <w:ind w:firstLine="480" w:firstLineChars="200"/>
        <w:rPr>
          <w:rFonts w:ascii="宋体" w:hAnsi="宋体" w:eastAsia="宋体"/>
          <w:color w:val="auto"/>
          <w:sz w:val="24"/>
          <w:szCs w:val="24"/>
        </w:rPr>
      </w:pPr>
      <w:r>
        <w:rPr>
          <w:rFonts w:ascii="宋体" w:hAnsi="宋体" w:eastAsia="宋体"/>
          <w:color w:val="auto"/>
          <w:sz w:val="24"/>
          <w:szCs w:val="24"/>
        </w:rPr>
        <w:t>目前，第十采油厂已完成排污许可登记，已经包含本项目依托场站排放的加热炉废气污染物排放量。登记编号为91230607716675409L008X。本项目新建拉油点加热炉新增大气排放总量。本项目新增非甲烷烃排放量16.44t/a，建议按实际排放总量进行控制。</w:t>
      </w:r>
    </w:p>
    <w:p w14:paraId="542BE0C2">
      <w:pPr>
        <w:pStyle w:val="276"/>
        <w:widowControl w:val="0"/>
        <w:spacing w:line="440" w:lineRule="exact"/>
        <w:ind w:firstLine="0" w:firstLineChars="0"/>
        <w:jc w:val="center"/>
        <w:rPr>
          <w:color w:val="auto"/>
        </w:rPr>
      </w:pPr>
      <w:r>
        <w:rPr>
          <w:color w:val="auto"/>
        </w:rPr>
        <w:t>表8.2-3 本项目</w:t>
      </w:r>
      <w:r>
        <w:rPr>
          <w:color w:val="auto"/>
          <w:kern w:val="21"/>
        </w:rPr>
        <w:t>污染物</w:t>
      </w:r>
      <w:r>
        <w:rPr>
          <w:color w:val="auto"/>
        </w:rPr>
        <w:t>排放总量一览表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49"/>
        <w:gridCol w:w="3794"/>
        <w:gridCol w:w="3637"/>
      </w:tblGrid>
      <w:tr w14:paraId="633BD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8" w:type="pct"/>
            <w:shd w:val="clear" w:color="auto" w:fill="auto"/>
            <w:vAlign w:val="center"/>
          </w:tcPr>
          <w:p w14:paraId="325A5FA6">
            <w:pPr>
              <w:jc w:val="center"/>
              <w:rPr>
                <w:rFonts w:ascii="宋体" w:hAnsi="宋体" w:eastAsia="宋体"/>
                <w:color w:val="auto"/>
              </w:rPr>
            </w:pPr>
            <w:r>
              <w:rPr>
                <w:rFonts w:ascii="宋体" w:hAnsi="宋体" w:eastAsia="宋体"/>
                <w:color w:val="auto"/>
              </w:rPr>
              <w:t>序号</w:t>
            </w:r>
          </w:p>
        </w:tc>
        <w:tc>
          <w:tcPr>
            <w:tcW w:w="2089" w:type="pct"/>
            <w:shd w:val="clear" w:color="auto" w:fill="auto"/>
            <w:vAlign w:val="center"/>
          </w:tcPr>
          <w:p w14:paraId="50142FBB">
            <w:pPr>
              <w:jc w:val="center"/>
              <w:rPr>
                <w:rFonts w:ascii="宋体" w:hAnsi="宋体" w:eastAsia="宋体"/>
                <w:color w:val="auto"/>
              </w:rPr>
            </w:pPr>
            <w:r>
              <w:rPr>
                <w:rFonts w:ascii="宋体" w:hAnsi="宋体" w:eastAsia="宋体"/>
                <w:color w:val="auto"/>
              </w:rPr>
              <w:t>污染物</w:t>
            </w:r>
          </w:p>
        </w:tc>
        <w:tc>
          <w:tcPr>
            <w:tcW w:w="2002" w:type="pct"/>
            <w:shd w:val="clear" w:color="auto" w:fill="auto"/>
            <w:vAlign w:val="center"/>
          </w:tcPr>
          <w:p w14:paraId="3177FD44">
            <w:pPr>
              <w:jc w:val="center"/>
              <w:rPr>
                <w:rFonts w:ascii="宋体" w:hAnsi="宋体" w:eastAsia="宋体"/>
                <w:color w:val="auto"/>
              </w:rPr>
            </w:pPr>
            <w:r>
              <w:rPr>
                <w:rFonts w:ascii="宋体" w:hAnsi="宋体" w:eastAsia="宋体"/>
                <w:color w:val="auto"/>
              </w:rPr>
              <w:t>核定排放量（t/a）</w:t>
            </w:r>
          </w:p>
        </w:tc>
      </w:tr>
      <w:tr w14:paraId="2031B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8" w:type="pct"/>
            <w:shd w:val="clear" w:color="auto" w:fill="auto"/>
            <w:vAlign w:val="center"/>
          </w:tcPr>
          <w:p w14:paraId="097A4108">
            <w:pPr>
              <w:jc w:val="center"/>
              <w:rPr>
                <w:rFonts w:ascii="宋体" w:hAnsi="宋体" w:eastAsia="宋体"/>
                <w:color w:val="auto"/>
              </w:rPr>
            </w:pPr>
            <w:r>
              <w:rPr>
                <w:rFonts w:ascii="宋体" w:hAnsi="宋体" w:eastAsia="宋体"/>
                <w:color w:val="auto"/>
              </w:rPr>
              <w:t>1</w:t>
            </w:r>
          </w:p>
        </w:tc>
        <w:tc>
          <w:tcPr>
            <w:tcW w:w="2089" w:type="pct"/>
            <w:shd w:val="clear" w:color="auto" w:fill="auto"/>
            <w:vAlign w:val="center"/>
          </w:tcPr>
          <w:p w14:paraId="321D85DB">
            <w:pPr>
              <w:jc w:val="center"/>
              <w:rPr>
                <w:rFonts w:ascii="宋体" w:hAnsi="宋体" w:eastAsia="宋体"/>
                <w:color w:val="auto"/>
              </w:rPr>
            </w:pPr>
            <w:r>
              <w:rPr>
                <w:rFonts w:ascii="宋体" w:hAnsi="宋体" w:eastAsia="宋体"/>
                <w:color w:val="auto"/>
              </w:rPr>
              <w:t>NO</w:t>
            </w:r>
            <w:r>
              <w:rPr>
                <w:rFonts w:ascii="宋体" w:hAnsi="宋体" w:eastAsia="宋体"/>
                <w:color w:val="auto"/>
                <w:vertAlign w:val="subscript"/>
              </w:rPr>
              <w:t>x</w:t>
            </w:r>
          </w:p>
        </w:tc>
        <w:tc>
          <w:tcPr>
            <w:tcW w:w="2002" w:type="pct"/>
            <w:shd w:val="clear" w:color="auto" w:fill="auto"/>
            <w:vAlign w:val="center"/>
          </w:tcPr>
          <w:p w14:paraId="31A4F402">
            <w:pPr>
              <w:jc w:val="center"/>
              <w:rPr>
                <w:rFonts w:ascii="宋体" w:hAnsi="宋体" w:eastAsia="宋体"/>
                <w:color w:val="auto"/>
              </w:rPr>
            </w:pPr>
            <w:r>
              <w:rPr>
                <w:rFonts w:ascii="宋体" w:hAnsi="宋体" w:eastAsia="宋体"/>
                <w:color w:val="auto"/>
              </w:rPr>
              <w:t>0.108</w:t>
            </w:r>
          </w:p>
        </w:tc>
      </w:tr>
      <w:tr w14:paraId="430B4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8" w:type="pct"/>
            <w:shd w:val="clear" w:color="auto" w:fill="auto"/>
            <w:vAlign w:val="center"/>
          </w:tcPr>
          <w:p w14:paraId="2E01B335">
            <w:pPr>
              <w:jc w:val="center"/>
              <w:rPr>
                <w:rFonts w:ascii="宋体" w:hAnsi="宋体" w:eastAsia="宋体"/>
                <w:color w:val="auto"/>
              </w:rPr>
            </w:pPr>
            <w:r>
              <w:rPr>
                <w:rFonts w:ascii="宋体" w:hAnsi="宋体" w:eastAsia="宋体"/>
                <w:color w:val="auto"/>
              </w:rPr>
              <w:t>2</w:t>
            </w:r>
          </w:p>
        </w:tc>
        <w:tc>
          <w:tcPr>
            <w:tcW w:w="2089" w:type="pct"/>
            <w:shd w:val="clear" w:color="auto" w:fill="auto"/>
            <w:vAlign w:val="center"/>
          </w:tcPr>
          <w:p w14:paraId="1244C2E3">
            <w:pPr>
              <w:jc w:val="center"/>
              <w:rPr>
                <w:rFonts w:ascii="宋体" w:hAnsi="宋体" w:eastAsia="宋体"/>
                <w:color w:val="auto"/>
              </w:rPr>
            </w:pPr>
            <w:r>
              <w:rPr>
                <w:rFonts w:ascii="宋体" w:hAnsi="宋体" w:eastAsia="宋体"/>
                <w:color w:val="auto"/>
              </w:rPr>
              <w:t>VOCs</w:t>
            </w:r>
          </w:p>
        </w:tc>
        <w:tc>
          <w:tcPr>
            <w:tcW w:w="2002" w:type="pct"/>
            <w:shd w:val="clear" w:color="auto" w:fill="auto"/>
            <w:vAlign w:val="center"/>
          </w:tcPr>
          <w:p w14:paraId="72F52EA4">
            <w:pPr>
              <w:jc w:val="center"/>
              <w:rPr>
                <w:rFonts w:ascii="宋体" w:hAnsi="宋体" w:eastAsia="宋体"/>
                <w:color w:val="auto"/>
              </w:rPr>
            </w:pPr>
            <w:r>
              <w:rPr>
                <w:rFonts w:ascii="宋体" w:hAnsi="宋体" w:eastAsia="宋体"/>
                <w:color w:val="auto"/>
              </w:rPr>
              <w:t>16.44</w:t>
            </w:r>
          </w:p>
        </w:tc>
      </w:tr>
    </w:tbl>
    <w:p w14:paraId="21EC7D0F">
      <w:pPr>
        <w:pStyle w:val="6"/>
        <w:rPr>
          <w:color w:val="auto"/>
        </w:rPr>
      </w:pPr>
      <w:bookmarkStart w:id="1941" w:name="_Toc78816576"/>
      <w:bookmarkStart w:id="1942" w:name="_Toc70050301"/>
      <w:bookmarkStart w:id="1943" w:name="_Toc83209593"/>
      <w:bookmarkStart w:id="1944" w:name="_Toc86142047"/>
      <w:bookmarkStart w:id="1945" w:name="_Toc76976363"/>
      <w:bookmarkStart w:id="1946" w:name="_Toc67860254"/>
      <w:bookmarkStart w:id="1947" w:name="_Toc143099692"/>
      <w:bookmarkStart w:id="1948" w:name="_Toc127192453"/>
      <w:bookmarkStart w:id="1949" w:name="_Toc80588371"/>
      <w:bookmarkStart w:id="1950" w:name="_Toc126863504"/>
      <w:bookmarkStart w:id="1951" w:name="_Toc77067774"/>
      <w:bookmarkStart w:id="1952" w:name="_Toc80971493"/>
      <w:bookmarkStart w:id="1953" w:name="_Toc131167405"/>
      <w:bookmarkStart w:id="1954" w:name="_Toc84929348"/>
      <w:bookmarkStart w:id="1955" w:name="_Toc85640872"/>
      <w:bookmarkStart w:id="1956" w:name="_Toc196215839"/>
      <w:r>
        <w:rPr>
          <w:color w:val="auto"/>
        </w:rPr>
        <w:t>施工期环境管理</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08867421">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加强工程承包方管理</w:t>
      </w:r>
    </w:p>
    <w:p w14:paraId="2921DB0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要与具有相关资质的施工作业单位签定《工程服务安全生产合同》，执行HSE管理体系，对项目实施HSE立卷管理，并按其内容执行。针对工程的承包方，应加强环境管理，制定出严格的环保管理制度：</w:t>
      </w:r>
    </w:p>
    <w:p w14:paraId="12DB4DA5">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（1）在承包方的选择上应优先选择那些环保管理水平高、环保业绩好的单位；</w:t>
      </w:r>
    </w:p>
    <w:p w14:paraId="023E60BA">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（2）在承包合同中应明确有关环境保护条款，如环境保护目标，采取的水、气、声和生态保护措施等，将环保工作的好坏作为工程验收的标准之一；</w:t>
      </w:r>
    </w:p>
    <w:p w14:paraId="2E11726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（3）各分承包方应按照项目部的环境管理制度要求，建立相应的环境管理机构，明确环保管理人员，明确人员职责等；</w:t>
      </w:r>
    </w:p>
    <w:p w14:paraId="6E5D8632">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（4）各分承包方在施工之前，编制详细的“环境管理方案”，并连同施工计划一起呈报项目经理部以及有关的生态环境部门，批准后方可以开工。</w:t>
      </w:r>
    </w:p>
    <w:p w14:paraId="14F21B49">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注重人员培训</w:t>
      </w:r>
    </w:p>
    <w:p w14:paraId="270D8162">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施工作业之前必须对全体施工人员进行包括环保知识、意识和能力的培训。其中环保能力的培训主要包括：保护生态环境的规定；减少和收集、处理固体废物的方法；管理、存放及处理危险品的方法；国家及当地政府的环境保护法律、法规等。</w:t>
      </w:r>
    </w:p>
    <w:p w14:paraId="4C29597A">
      <w:pPr>
        <w:pStyle w:val="6"/>
        <w:rPr>
          <w:color w:val="auto"/>
        </w:rPr>
      </w:pPr>
      <w:bookmarkStart w:id="1957" w:name="_Toc76976364"/>
      <w:bookmarkStart w:id="1958" w:name="_Toc131167406"/>
      <w:bookmarkStart w:id="1959" w:name="_Toc80971494"/>
      <w:bookmarkStart w:id="1960" w:name="_Toc126863505"/>
      <w:bookmarkStart w:id="1961" w:name="_Toc85640873"/>
      <w:bookmarkStart w:id="1962" w:name="_Toc78816577"/>
      <w:bookmarkStart w:id="1963" w:name="_Toc70050302"/>
      <w:bookmarkStart w:id="1964" w:name="_Toc67860255"/>
      <w:bookmarkStart w:id="1965" w:name="_Toc196215840"/>
      <w:bookmarkStart w:id="1966" w:name="_Toc83209594"/>
      <w:bookmarkStart w:id="1967" w:name="_Toc86142048"/>
      <w:bookmarkStart w:id="1968" w:name="_Toc127192454"/>
      <w:bookmarkStart w:id="1969" w:name="_Toc80588372"/>
      <w:bookmarkStart w:id="1970" w:name="_Toc77067775"/>
      <w:bookmarkStart w:id="1971" w:name="_Toc143099693"/>
      <w:bookmarkStart w:id="1972" w:name="_Toc84929349"/>
      <w:r>
        <w:rPr>
          <w:color w:val="auto"/>
        </w:rPr>
        <w:t>运营期环境管理与监测计划</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14:paraId="695A8518">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运营期环境管理</w:t>
      </w:r>
    </w:p>
    <w:p w14:paraId="50B0D98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（1）进行环境监测，掌握污染现状；</w:t>
      </w:r>
    </w:p>
    <w:p w14:paraId="2B9550BB">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（2）定时定点监测周围环境，及时掌握环境状况的资料，促进环境管理的深入和污染治理的落实；</w:t>
      </w:r>
    </w:p>
    <w:p w14:paraId="1A46DD1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（3）落实环境管理制度；</w:t>
      </w:r>
    </w:p>
    <w:p w14:paraId="2B9D90C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（4）制定环保经济责任考核制度，提高各部门对环境保护的责任感；</w:t>
      </w:r>
    </w:p>
    <w:p w14:paraId="56C8FE8F">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（5）强化专业人员培训。</w:t>
      </w:r>
    </w:p>
    <w:p w14:paraId="77DA97FA">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运营期环境监测计划</w:t>
      </w:r>
    </w:p>
    <w:p w14:paraId="18053E7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本项目生产</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需要进行的环境监测任务委托取得相关资质的地方环境监测站进行。环境监测应按国家和地方的环保要求进行，应采用国家规定的标准监测方法，并应按照规定，定期向有关环境保护主管部门上报监测结果。</w:t>
      </w:r>
    </w:p>
    <w:p w14:paraId="1C3A43C2">
      <w:pPr>
        <w:spacing w:line="440" w:lineRule="exact"/>
        <w:ind w:firstLine="480" w:firstLineChars="200"/>
        <w:rPr>
          <w:rFonts w:ascii="宋体" w:hAnsi="宋体" w:eastAsia="宋体" w:cs="Times New Roman"/>
          <w:color w:val="auto"/>
          <w:kern w:val="21"/>
          <w:sz w:val="24"/>
          <w:szCs w:val="24"/>
        </w:rPr>
      </w:pP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根据《工业企业土壤和地下水自行监测技术指南（试行）》（HJ1209-2021）、《排污单位自行监测技术指南 陆上石油天然气开采工业》（HJ 1248-2022）及生态环境部门要求，结合油田</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环境污染的特点，主要针对油田污染物排放、油田开发区生态恢复情况、事故等，同时考虑已批复现有工程等制定监测计划，包括污染源监测计划、环境质量监测计划及生态调查方案，具体见下表：</w:t>
      </w:r>
    </w:p>
    <w:p w14:paraId="02462BDE">
      <w:pPr>
        <w:pStyle w:val="276"/>
        <w:widowControl w:val="0"/>
        <w:spacing w:line="440" w:lineRule="exact"/>
        <w:ind w:firstLine="0" w:firstLineChars="0"/>
        <w:jc w:val="center"/>
        <w:rPr>
          <w:color w:val="auto"/>
          <w:kern w:val="21"/>
        </w:rPr>
      </w:pPr>
      <w:r>
        <w:rPr>
          <w:color w:val="auto"/>
          <w:kern w:val="21"/>
        </w:rPr>
        <w:t>表8.2-4 工程</w:t>
      </w:r>
      <w:r>
        <w:rPr>
          <w:rFonts w:hint="eastAsia"/>
          <w:color w:val="auto"/>
          <w:kern w:val="21"/>
        </w:rPr>
        <w:t>运营期</w:t>
      </w:r>
      <w:r>
        <w:rPr>
          <w:color w:val="auto"/>
          <w:kern w:val="21"/>
        </w:rPr>
        <w:t>污染源监测计划表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Layout w:type="autofit"/>
        <w:tblCellMar>
          <w:top w:w="0" w:type="dxa"/>
          <w:left w:w="28" w:type="dxa"/>
          <w:bottom w:w="0" w:type="dxa"/>
          <w:right w:w="28" w:type="dxa"/>
        </w:tblCellMar>
      </w:tblPr>
      <w:tblGrid>
        <w:gridCol w:w="736"/>
        <w:gridCol w:w="1055"/>
        <w:gridCol w:w="3058"/>
        <w:gridCol w:w="2691"/>
        <w:gridCol w:w="1586"/>
      </w:tblGrid>
      <w:tr w14:paraId="55287CD7">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tblHeader/>
          <w:jc w:val="center"/>
        </w:trPr>
        <w:tc>
          <w:tcPr>
            <w:tcW w:w="403" w:type="pct"/>
            <w:shd w:val="clear" w:color="auto" w:fill="auto"/>
            <w:tcMar>
              <w:top w:w="28" w:type="dxa"/>
              <w:bottom w:w="28" w:type="dxa"/>
            </w:tcMar>
            <w:vAlign w:val="center"/>
          </w:tcPr>
          <w:p w14:paraId="590D9493">
            <w:pPr>
              <w:jc w:val="center"/>
              <w:rPr>
                <w:rFonts w:ascii="宋体" w:hAnsi="宋体" w:eastAsia="宋体" w:cs="Times New Roman"/>
                <w:color w:val="auto"/>
              </w:rPr>
            </w:pPr>
            <w:r>
              <w:rPr>
                <w:rFonts w:ascii="宋体" w:hAnsi="宋体" w:eastAsia="宋体" w:cs="Times New Roman"/>
                <w:color w:val="auto"/>
              </w:rPr>
              <w:t>序号</w:t>
            </w:r>
          </w:p>
        </w:tc>
        <w:tc>
          <w:tcPr>
            <w:tcW w:w="578" w:type="pct"/>
            <w:shd w:val="clear" w:color="auto" w:fill="auto"/>
            <w:tcMar>
              <w:top w:w="28" w:type="dxa"/>
              <w:bottom w:w="28" w:type="dxa"/>
            </w:tcMar>
            <w:vAlign w:val="center"/>
          </w:tcPr>
          <w:p w14:paraId="7909BCB1">
            <w:pPr>
              <w:jc w:val="center"/>
              <w:rPr>
                <w:rFonts w:ascii="宋体" w:hAnsi="宋体" w:eastAsia="宋体" w:cs="Times New Roman"/>
                <w:color w:val="auto"/>
              </w:rPr>
            </w:pPr>
            <w:r>
              <w:rPr>
                <w:rFonts w:ascii="宋体" w:hAnsi="宋体" w:eastAsia="宋体" w:cs="Times New Roman"/>
                <w:color w:val="auto"/>
              </w:rPr>
              <w:t>监测内容</w:t>
            </w:r>
          </w:p>
        </w:tc>
        <w:tc>
          <w:tcPr>
            <w:tcW w:w="1675" w:type="pct"/>
            <w:shd w:val="clear" w:color="auto" w:fill="auto"/>
            <w:tcMar>
              <w:top w:w="28" w:type="dxa"/>
              <w:bottom w:w="28" w:type="dxa"/>
            </w:tcMar>
            <w:vAlign w:val="center"/>
          </w:tcPr>
          <w:p w14:paraId="0598DBB9">
            <w:pPr>
              <w:jc w:val="center"/>
              <w:rPr>
                <w:rFonts w:ascii="宋体" w:hAnsi="宋体" w:eastAsia="宋体" w:cs="Times New Roman"/>
                <w:color w:val="auto"/>
              </w:rPr>
            </w:pPr>
            <w:r>
              <w:rPr>
                <w:rFonts w:ascii="宋体" w:hAnsi="宋体" w:eastAsia="宋体" w:cs="Times New Roman"/>
                <w:color w:val="auto"/>
              </w:rPr>
              <w:t>监测因子</w:t>
            </w:r>
          </w:p>
        </w:tc>
        <w:tc>
          <w:tcPr>
            <w:tcW w:w="1474" w:type="pct"/>
            <w:shd w:val="clear" w:color="auto" w:fill="auto"/>
            <w:tcMar>
              <w:top w:w="28" w:type="dxa"/>
              <w:bottom w:w="28" w:type="dxa"/>
            </w:tcMar>
            <w:vAlign w:val="center"/>
          </w:tcPr>
          <w:p w14:paraId="543200C7">
            <w:pPr>
              <w:jc w:val="center"/>
              <w:rPr>
                <w:rFonts w:ascii="宋体" w:hAnsi="宋体" w:eastAsia="宋体" w:cs="Times New Roman"/>
                <w:color w:val="auto"/>
              </w:rPr>
            </w:pPr>
            <w:r>
              <w:rPr>
                <w:rFonts w:ascii="宋体" w:hAnsi="宋体" w:eastAsia="宋体" w:cs="Times New Roman"/>
                <w:color w:val="auto"/>
              </w:rPr>
              <w:t>监测点位</w:t>
            </w:r>
          </w:p>
        </w:tc>
        <w:tc>
          <w:tcPr>
            <w:tcW w:w="869" w:type="pct"/>
            <w:shd w:val="clear" w:color="auto" w:fill="auto"/>
            <w:tcMar>
              <w:top w:w="28" w:type="dxa"/>
              <w:bottom w:w="28" w:type="dxa"/>
            </w:tcMar>
            <w:vAlign w:val="center"/>
          </w:tcPr>
          <w:p w14:paraId="1D54B174">
            <w:pPr>
              <w:jc w:val="center"/>
              <w:rPr>
                <w:rFonts w:ascii="宋体" w:hAnsi="宋体" w:eastAsia="宋体" w:cs="Times New Roman"/>
                <w:color w:val="auto"/>
              </w:rPr>
            </w:pPr>
            <w:r>
              <w:rPr>
                <w:rFonts w:ascii="宋体" w:hAnsi="宋体" w:eastAsia="宋体" w:cs="Times New Roman"/>
                <w:color w:val="auto"/>
              </w:rPr>
              <w:t>监测频次</w:t>
            </w:r>
          </w:p>
        </w:tc>
      </w:tr>
      <w:tr w14:paraId="13E69385">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403" w:type="pct"/>
            <w:shd w:val="clear" w:color="auto" w:fill="auto"/>
            <w:tcMar>
              <w:top w:w="28" w:type="dxa"/>
              <w:bottom w:w="28" w:type="dxa"/>
            </w:tcMar>
            <w:vAlign w:val="center"/>
          </w:tcPr>
          <w:p w14:paraId="0D4A2BCF">
            <w:pPr>
              <w:jc w:val="center"/>
              <w:rPr>
                <w:rFonts w:ascii="宋体" w:hAnsi="宋体" w:eastAsia="宋体" w:cs="Times New Roman"/>
                <w:color w:val="auto"/>
              </w:rPr>
            </w:pPr>
            <w:r>
              <w:rPr>
                <w:rFonts w:ascii="宋体" w:hAnsi="宋体" w:eastAsia="宋体" w:cs="Times New Roman"/>
                <w:color w:val="auto"/>
              </w:rPr>
              <w:t>1</w:t>
            </w:r>
          </w:p>
        </w:tc>
        <w:tc>
          <w:tcPr>
            <w:tcW w:w="578" w:type="pct"/>
            <w:shd w:val="clear" w:color="auto" w:fill="auto"/>
            <w:tcMar>
              <w:top w:w="28" w:type="dxa"/>
              <w:bottom w:w="28" w:type="dxa"/>
            </w:tcMar>
            <w:vAlign w:val="center"/>
          </w:tcPr>
          <w:p w14:paraId="717F66A8">
            <w:pPr>
              <w:jc w:val="center"/>
              <w:rPr>
                <w:rFonts w:ascii="宋体" w:hAnsi="宋体" w:eastAsia="宋体" w:cs="Times New Roman"/>
                <w:color w:val="auto"/>
              </w:rPr>
            </w:pPr>
            <w:r>
              <w:rPr>
                <w:rFonts w:ascii="宋体" w:hAnsi="宋体" w:eastAsia="宋体" w:cs="Times New Roman"/>
                <w:color w:val="auto"/>
              </w:rPr>
              <w:t>噪声</w:t>
            </w:r>
          </w:p>
        </w:tc>
        <w:tc>
          <w:tcPr>
            <w:tcW w:w="1675" w:type="pct"/>
            <w:shd w:val="clear" w:color="auto" w:fill="auto"/>
            <w:tcMar>
              <w:top w:w="28" w:type="dxa"/>
              <w:bottom w:w="28" w:type="dxa"/>
            </w:tcMar>
            <w:vAlign w:val="center"/>
          </w:tcPr>
          <w:p w14:paraId="3F923FA8">
            <w:pPr>
              <w:jc w:val="center"/>
              <w:rPr>
                <w:rFonts w:ascii="宋体" w:hAnsi="宋体" w:eastAsia="宋体" w:cs="Times New Roman"/>
                <w:color w:val="auto"/>
              </w:rPr>
            </w:pPr>
            <w:r>
              <w:rPr>
                <w:rFonts w:ascii="宋体" w:hAnsi="宋体" w:eastAsia="宋体" w:cs="Times New Roman"/>
                <w:color w:val="auto"/>
              </w:rPr>
              <w:t>连续等效A声级</w:t>
            </w:r>
          </w:p>
        </w:tc>
        <w:tc>
          <w:tcPr>
            <w:tcW w:w="1474" w:type="pct"/>
            <w:shd w:val="clear" w:color="auto" w:fill="auto"/>
            <w:tcMar>
              <w:top w:w="28" w:type="dxa"/>
              <w:bottom w:w="28" w:type="dxa"/>
            </w:tcMar>
            <w:vAlign w:val="center"/>
          </w:tcPr>
          <w:p w14:paraId="68A0D6FC">
            <w:pPr>
              <w:adjustRightInd w:val="0"/>
              <w:jc w:val="center"/>
              <w:rPr>
                <w:rFonts w:ascii="宋体" w:hAnsi="宋体" w:eastAsia="宋体" w:cs="Times New Roman"/>
                <w:color w:val="auto"/>
              </w:rPr>
            </w:pPr>
            <w:r>
              <w:rPr>
                <w:rFonts w:ascii="宋体" w:hAnsi="宋体" w:eastAsia="宋体" w:cs="Times New Roman"/>
                <w:color w:val="auto"/>
              </w:rPr>
              <w:t>3</w:t>
            </w:r>
            <w:r>
              <w:rPr>
                <w:rFonts w:hint="eastAsia" w:ascii="宋体" w:hAnsi="宋体" w:eastAsia="宋体" w:cs="Times New Roman"/>
                <w:color w:val="auto"/>
              </w:rPr>
              <w:t>#</w:t>
            </w:r>
            <w:r>
              <w:rPr>
                <w:rFonts w:ascii="宋体" w:hAnsi="宋体" w:eastAsia="宋体" w:cs="Times New Roman"/>
                <w:color w:val="auto"/>
              </w:rPr>
              <w:t>平台井场永久占地外1m</w:t>
            </w:r>
          </w:p>
        </w:tc>
        <w:tc>
          <w:tcPr>
            <w:tcW w:w="869" w:type="pct"/>
            <w:shd w:val="clear" w:color="auto" w:fill="auto"/>
            <w:tcMar>
              <w:top w:w="28" w:type="dxa"/>
              <w:bottom w:w="28" w:type="dxa"/>
            </w:tcMar>
            <w:vAlign w:val="center"/>
          </w:tcPr>
          <w:p w14:paraId="7D648245">
            <w:pPr>
              <w:jc w:val="center"/>
              <w:rPr>
                <w:rFonts w:ascii="宋体" w:hAnsi="宋体" w:eastAsia="宋体" w:cs="Times New Roman"/>
                <w:color w:val="auto"/>
              </w:rPr>
            </w:pPr>
            <w:r>
              <w:rPr>
                <w:rFonts w:ascii="宋体" w:hAnsi="宋体" w:eastAsia="宋体" w:cs="Times New Roman"/>
                <w:color w:val="auto"/>
              </w:rPr>
              <w:t>1次/季</w:t>
            </w:r>
          </w:p>
        </w:tc>
      </w:tr>
      <w:tr w14:paraId="1D0D0F87">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403" w:type="pct"/>
            <w:vMerge w:val="restart"/>
            <w:shd w:val="clear" w:color="auto" w:fill="auto"/>
            <w:tcMar>
              <w:top w:w="28" w:type="dxa"/>
              <w:bottom w:w="28" w:type="dxa"/>
            </w:tcMar>
            <w:vAlign w:val="center"/>
          </w:tcPr>
          <w:p w14:paraId="0FB611F0">
            <w:pPr>
              <w:jc w:val="center"/>
              <w:rPr>
                <w:rFonts w:ascii="宋体" w:hAnsi="宋体" w:eastAsia="宋体" w:cs="Times New Roman"/>
                <w:color w:val="auto"/>
              </w:rPr>
            </w:pPr>
            <w:r>
              <w:rPr>
                <w:rFonts w:ascii="宋体" w:hAnsi="宋体" w:eastAsia="宋体" w:cs="Times New Roman"/>
                <w:color w:val="auto"/>
              </w:rPr>
              <w:t>2</w:t>
            </w:r>
          </w:p>
        </w:tc>
        <w:tc>
          <w:tcPr>
            <w:tcW w:w="578" w:type="pct"/>
            <w:vMerge w:val="restart"/>
            <w:shd w:val="clear" w:color="auto" w:fill="auto"/>
            <w:tcMar>
              <w:top w:w="28" w:type="dxa"/>
              <w:bottom w:w="28" w:type="dxa"/>
            </w:tcMar>
            <w:vAlign w:val="center"/>
          </w:tcPr>
          <w:p w14:paraId="56DAD5A4">
            <w:pPr>
              <w:jc w:val="center"/>
              <w:rPr>
                <w:rFonts w:ascii="宋体" w:hAnsi="宋体" w:eastAsia="宋体" w:cs="Times New Roman"/>
                <w:color w:val="auto"/>
              </w:rPr>
            </w:pPr>
            <w:r>
              <w:rPr>
                <w:rFonts w:ascii="宋体" w:hAnsi="宋体" w:eastAsia="宋体" w:cs="Times New Roman"/>
                <w:color w:val="auto"/>
              </w:rPr>
              <w:t>废气</w:t>
            </w:r>
          </w:p>
        </w:tc>
        <w:tc>
          <w:tcPr>
            <w:tcW w:w="1675" w:type="pct"/>
            <w:shd w:val="clear" w:color="auto" w:fill="auto"/>
            <w:tcMar>
              <w:top w:w="28" w:type="dxa"/>
              <w:bottom w:w="28" w:type="dxa"/>
            </w:tcMar>
            <w:vAlign w:val="center"/>
          </w:tcPr>
          <w:p w14:paraId="2442C9EC">
            <w:pPr>
              <w:jc w:val="center"/>
              <w:rPr>
                <w:rFonts w:ascii="宋体" w:hAnsi="宋体" w:eastAsia="宋体" w:cs="Times New Roman"/>
                <w:color w:val="auto"/>
              </w:rPr>
            </w:pPr>
            <w:bookmarkStart w:id="1973" w:name="OLE_LINK7"/>
            <w:r>
              <w:rPr>
                <w:rFonts w:ascii="宋体" w:hAnsi="宋体" w:eastAsia="宋体" w:cs="Times New Roman"/>
                <w:color w:val="auto"/>
              </w:rPr>
              <w:t>颗粒物</w:t>
            </w:r>
            <w:bookmarkEnd w:id="1973"/>
            <w:r>
              <w:rPr>
                <w:rFonts w:ascii="宋体" w:hAnsi="宋体" w:eastAsia="宋体" w:cs="Times New Roman"/>
                <w:color w:val="auto"/>
              </w:rPr>
              <w:t>、</w:t>
            </w:r>
            <w:r>
              <w:rPr>
                <w:rFonts w:hint="eastAsia" w:ascii="宋体" w:hAnsi="宋体" w:eastAsia="宋体" w:cs="Times New Roman"/>
                <w:color w:val="auto"/>
              </w:rPr>
              <w:t>二氧化硫、氮氧化物</w:t>
            </w:r>
            <w:r>
              <w:rPr>
                <w:rFonts w:ascii="宋体" w:hAnsi="宋体" w:eastAsia="宋体" w:cs="Times New Roman"/>
                <w:color w:val="auto"/>
              </w:rPr>
              <w:t>烟气黑度</w:t>
            </w:r>
          </w:p>
        </w:tc>
        <w:tc>
          <w:tcPr>
            <w:tcW w:w="1474" w:type="pct"/>
            <w:shd w:val="clear" w:color="auto" w:fill="auto"/>
            <w:tcMar>
              <w:top w:w="28" w:type="dxa"/>
              <w:bottom w:w="28" w:type="dxa"/>
            </w:tcMar>
            <w:vAlign w:val="center"/>
          </w:tcPr>
          <w:p w14:paraId="3149384E">
            <w:pPr>
              <w:adjustRightInd w:val="0"/>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拉油点多功能储罐加热炉排气筒</w:t>
            </w:r>
          </w:p>
        </w:tc>
        <w:tc>
          <w:tcPr>
            <w:tcW w:w="869" w:type="pct"/>
            <w:shd w:val="clear" w:color="auto" w:fill="auto"/>
            <w:tcMar>
              <w:top w:w="28" w:type="dxa"/>
              <w:bottom w:w="28" w:type="dxa"/>
            </w:tcMar>
            <w:vAlign w:val="center"/>
          </w:tcPr>
          <w:p w14:paraId="6101CC72">
            <w:pPr>
              <w:jc w:val="center"/>
              <w:rPr>
                <w:rFonts w:ascii="宋体" w:hAnsi="宋体" w:eastAsia="宋体" w:cs="Times New Roman"/>
                <w:color w:val="auto"/>
              </w:rPr>
            </w:pPr>
            <w:r>
              <w:rPr>
                <w:rFonts w:ascii="宋体" w:hAnsi="宋体" w:eastAsia="宋体" w:cs="Times New Roman"/>
                <w:color w:val="auto"/>
              </w:rPr>
              <w:t>1次/年</w:t>
            </w:r>
          </w:p>
        </w:tc>
      </w:tr>
      <w:tr w14:paraId="15E8244A">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403" w:type="pct"/>
            <w:vMerge w:val="continue"/>
            <w:shd w:val="clear" w:color="auto" w:fill="auto"/>
            <w:tcMar>
              <w:top w:w="28" w:type="dxa"/>
              <w:bottom w:w="28" w:type="dxa"/>
            </w:tcMar>
            <w:vAlign w:val="center"/>
          </w:tcPr>
          <w:p w14:paraId="191966EB">
            <w:pPr>
              <w:jc w:val="center"/>
              <w:rPr>
                <w:rFonts w:ascii="宋体" w:hAnsi="宋体" w:eastAsia="宋体" w:cs="Times New Roman"/>
                <w:color w:val="auto"/>
              </w:rPr>
            </w:pPr>
          </w:p>
        </w:tc>
        <w:tc>
          <w:tcPr>
            <w:tcW w:w="578" w:type="pct"/>
            <w:vMerge w:val="continue"/>
            <w:shd w:val="clear" w:color="auto" w:fill="auto"/>
            <w:tcMar>
              <w:top w:w="28" w:type="dxa"/>
              <w:bottom w:w="28" w:type="dxa"/>
            </w:tcMar>
            <w:vAlign w:val="center"/>
          </w:tcPr>
          <w:p w14:paraId="7E8DF3AC">
            <w:pPr>
              <w:jc w:val="center"/>
              <w:rPr>
                <w:rFonts w:ascii="宋体" w:hAnsi="宋体" w:eastAsia="宋体" w:cs="Times New Roman"/>
                <w:color w:val="auto"/>
              </w:rPr>
            </w:pPr>
          </w:p>
        </w:tc>
        <w:tc>
          <w:tcPr>
            <w:tcW w:w="1675" w:type="pct"/>
            <w:shd w:val="clear" w:color="auto" w:fill="auto"/>
            <w:tcMar>
              <w:top w:w="28" w:type="dxa"/>
              <w:bottom w:w="28" w:type="dxa"/>
            </w:tcMar>
            <w:vAlign w:val="center"/>
          </w:tcPr>
          <w:p w14:paraId="26CA176E">
            <w:pPr>
              <w:jc w:val="center"/>
              <w:rPr>
                <w:rFonts w:ascii="宋体" w:hAnsi="宋体" w:eastAsia="宋体" w:cs="Times New Roman"/>
                <w:color w:val="auto"/>
              </w:rPr>
            </w:pPr>
            <w:r>
              <w:rPr>
                <w:rFonts w:ascii="宋体" w:hAnsi="宋体" w:eastAsia="宋体" w:cs="Times New Roman"/>
                <w:color w:val="auto"/>
              </w:rPr>
              <w:t>非甲烷总烃</w:t>
            </w:r>
          </w:p>
        </w:tc>
        <w:tc>
          <w:tcPr>
            <w:tcW w:w="1474" w:type="pct"/>
            <w:shd w:val="clear" w:color="auto" w:fill="auto"/>
            <w:tcMar>
              <w:top w:w="28" w:type="dxa"/>
              <w:bottom w:w="28" w:type="dxa"/>
            </w:tcMar>
            <w:vAlign w:val="center"/>
          </w:tcPr>
          <w:p w14:paraId="31F199E0">
            <w:pPr>
              <w:adjustRightInd w:val="0"/>
              <w:jc w:val="center"/>
              <w:rPr>
                <w:rFonts w:ascii="宋体" w:hAnsi="宋体" w:eastAsia="宋体" w:cs="Times New Roman"/>
                <w:color w:val="auto"/>
              </w:rPr>
            </w:pPr>
            <w:r>
              <w:rPr>
                <w:rFonts w:ascii="宋体" w:hAnsi="宋体" w:eastAsia="宋体" w:cs="Times New Roman"/>
                <w:color w:val="auto"/>
              </w:rPr>
              <w:t>3号平台井场厂界；依托油气处理站厂界、依托场站站内</w:t>
            </w:r>
          </w:p>
        </w:tc>
        <w:tc>
          <w:tcPr>
            <w:tcW w:w="869" w:type="pct"/>
            <w:shd w:val="clear" w:color="auto" w:fill="auto"/>
            <w:tcMar>
              <w:top w:w="28" w:type="dxa"/>
              <w:bottom w:w="28" w:type="dxa"/>
            </w:tcMar>
            <w:vAlign w:val="center"/>
          </w:tcPr>
          <w:p w14:paraId="1CA8E1B8">
            <w:pPr>
              <w:jc w:val="center"/>
              <w:rPr>
                <w:rFonts w:ascii="宋体" w:hAnsi="宋体" w:eastAsia="宋体" w:cs="Times New Roman"/>
                <w:color w:val="auto"/>
              </w:rPr>
            </w:pPr>
            <w:r>
              <w:rPr>
                <w:rFonts w:ascii="宋体" w:hAnsi="宋体" w:eastAsia="宋体" w:cs="Times New Roman"/>
                <w:color w:val="auto"/>
              </w:rPr>
              <w:t>1次/季</w:t>
            </w:r>
          </w:p>
        </w:tc>
      </w:tr>
      <w:tr w14:paraId="6F723F36">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403" w:type="pct"/>
            <w:shd w:val="clear" w:color="auto" w:fill="auto"/>
            <w:tcMar>
              <w:top w:w="28" w:type="dxa"/>
              <w:bottom w:w="28" w:type="dxa"/>
            </w:tcMar>
            <w:vAlign w:val="center"/>
          </w:tcPr>
          <w:p w14:paraId="05C4F990">
            <w:pPr>
              <w:jc w:val="center"/>
              <w:rPr>
                <w:rFonts w:ascii="宋体" w:hAnsi="宋体" w:eastAsia="宋体" w:cs="Times New Roman"/>
                <w:color w:val="auto"/>
              </w:rPr>
            </w:pPr>
            <w:r>
              <w:rPr>
                <w:rFonts w:ascii="宋体" w:hAnsi="宋体" w:eastAsia="宋体" w:cs="Times New Roman"/>
                <w:color w:val="auto"/>
              </w:rPr>
              <w:t>3</w:t>
            </w:r>
          </w:p>
        </w:tc>
        <w:tc>
          <w:tcPr>
            <w:tcW w:w="578" w:type="pct"/>
            <w:shd w:val="clear" w:color="auto" w:fill="auto"/>
            <w:tcMar>
              <w:top w:w="28" w:type="dxa"/>
              <w:bottom w:w="28" w:type="dxa"/>
            </w:tcMar>
            <w:vAlign w:val="center"/>
          </w:tcPr>
          <w:p w14:paraId="70A6B225">
            <w:pPr>
              <w:jc w:val="center"/>
              <w:rPr>
                <w:rFonts w:ascii="宋体" w:hAnsi="宋体" w:eastAsia="宋体" w:cs="Times New Roman"/>
                <w:color w:val="auto"/>
              </w:rPr>
            </w:pPr>
            <w:r>
              <w:rPr>
                <w:rFonts w:ascii="宋体" w:hAnsi="宋体" w:eastAsia="宋体" w:cs="Times New Roman"/>
                <w:color w:val="auto"/>
              </w:rPr>
              <w:t>事故监测</w:t>
            </w:r>
          </w:p>
        </w:tc>
        <w:tc>
          <w:tcPr>
            <w:tcW w:w="1675" w:type="pct"/>
            <w:shd w:val="clear" w:color="auto" w:fill="auto"/>
            <w:tcMar>
              <w:top w:w="28" w:type="dxa"/>
              <w:bottom w:w="28" w:type="dxa"/>
            </w:tcMar>
            <w:vAlign w:val="center"/>
          </w:tcPr>
          <w:p w14:paraId="460D356B">
            <w:pPr>
              <w:jc w:val="center"/>
              <w:rPr>
                <w:rFonts w:ascii="宋体" w:hAnsi="宋体" w:eastAsia="宋体" w:cs="Times New Roman"/>
                <w:color w:val="auto"/>
              </w:rPr>
            </w:pPr>
            <w:r>
              <w:rPr>
                <w:rFonts w:ascii="宋体" w:hAnsi="宋体" w:eastAsia="宋体" w:cs="Times New Roman"/>
                <w:color w:val="auto"/>
              </w:rPr>
              <w:t>空气：非甲烷总烃；土壤：石油烃；地下水：石油类；地表水：石油类</w:t>
            </w:r>
          </w:p>
        </w:tc>
        <w:tc>
          <w:tcPr>
            <w:tcW w:w="1474" w:type="pct"/>
            <w:shd w:val="clear" w:color="auto" w:fill="auto"/>
            <w:tcMar>
              <w:top w:w="28" w:type="dxa"/>
              <w:bottom w:w="28" w:type="dxa"/>
            </w:tcMar>
            <w:vAlign w:val="center"/>
          </w:tcPr>
          <w:p w14:paraId="03C72D01">
            <w:pPr>
              <w:adjustRightInd w:val="0"/>
              <w:jc w:val="center"/>
              <w:rPr>
                <w:rFonts w:ascii="宋体" w:hAnsi="宋体" w:eastAsia="宋体" w:cs="Times New Roman"/>
                <w:color w:val="auto"/>
              </w:rPr>
            </w:pPr>
            <w:r>
              <w:rPr>
                <w:rFonts w:ascii="宋体" w:hAnsi="宋体" w:eastAsia="宋体" w:cs="Times New Roman"/>
                <w:color w:val="auto"/>
              </w:rPr>
              <w:t>空气及土壤为事故地点；地表水及地下水为事故地点周围区域。</w:t>
            </w:r>
          </w:p>
        </w:tc>
        <w:tc>
          <w:tcPr>
            <w:tcW w:w="869" w:type="pct"/>
            <w:shd w:val="clear" w:color="auto" w:fill="auto"/>
            <w:tcMar>
              <w:top w:w="28" w:type="dxa"/>
              <w:bottom w:w="28" w:type="dxa"/>
            </w:tcMar>
            <w:vAlign w:val="center"/>
          </w:tcPr>
          <w:p w14:paraId="0B163EC2">
            <w:pPr>
              <w:jc w:val="center"/>
              <w:rPr>
                <w:rFonts w:ascii="宋体" w:hAnsi="宋体" w:eastAsia="宋体" w:cs="Times New Roman"/>
                <w:color w:val="auto"/>
              </w:rPr>
            </w:pPr>
            <w:r>
              <w:rPr>
                <w:rFonts w:ascii="宋体" w:hAnsi="宋体" w:eastAsia="宋体" w:cs="Times New Roman"/>
                <w:color w:val="auto"/>
              </w:rPr>
              <w:t>事故发生24小时内</w:t>
            </w:r>
          </w:p>
        </w:tc>
      </w:tr>
    </w:tbl>
    <w:p w14:paraId="0CEFF74D">
      <w:pPr>
        <w:pStyle w:val="276"/>
        <w:widowControl w:val="0"/>
        <w:spacing w:line="440" w:lineRule="exact"/>
        <w:ind w:firstLine="0" w:firstLineChars="0"/>
        <w:jc w:val="center"/>
        <w:rPr>
          <w:color w:val="auto"/>
          <w:kern w:val="21"/>
        </w:rPr>
      </w:pPr>
      <w:r>
        <w:rPr>
          <w:color w:val="auto"/>
          <w:kern w:val="21"/>
        </w:rPr>
        <w:t>表8.2-5 工程</w:t>
      </w:r>
      <w:r>
        <w:rPr>
          <w:rFonts w:hint="eastAsia"/>
          <w:color w:val="auto"/>
          <w:kern w:val="21"/>
        </w:rPr>
        <w:t>运营期</w:t>
      </w:r>
      <w:r>
        <w:rPr>
          <w:color w:val="auto"/>
          <w:kern w:val="21"/>
        </w:rPr>
        <w:t>环境质量监测计划表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Layout w:type="autofit"/>
        <w:tblCellMar>
          <w:top w:w="0" w:type="dxa"/>
          <w:left w:w="28" w:type="dxa"/>
          <w:bottom w:w="0" w:type="dxa"/>
          <w:right w:w="28" w:type="dxa"/>
        </w:tblCellMar>
      </w:tblPr>
      <w:tblGrid>
        <w:gridCol w:w="516"/>
        <w:gridCol w:w="751"/>
        <w:gridCol w:w="1597"/>
        <w:gridCol w:w="1957"/>
        <w:gridCol w:w="1421"/>
        <w:gridCol w:w="1966"/>
        <w:gridCol w:w="918"/>
      </w:tblGrid>
      <w:tr w14:paraId="33A251A6">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shd w:val="clear" w:color="auto" w:fill="auto"/>
            <w:tcMar>
              <w:top w:w="28" w:type="dxa"/>
              <w:bottom w:w="28" w:type="dxa"/>
            </w:tcMar>
            <w:vAlign w:val="center"/>
          </w:tcPr>
          <w:p w14:paraId="6CEF0209">
            <w:pPr>
              <w:jc w:val="center"/>
              <w:rPr>
                <w:rFonts w:ascii="宋体" w:hAnsi="宋体" w:eastAsia="宋体" w:cs="Times New Roman"/>
                <w:color w:val="auto"/>
              </w:rPr>
            </w:pPr>
            <w:r>
              <w:rPr>
                <w:rFonts w:ascii="宋体" w:hAnsi="宋体" w:eastAsia="宋体" w:cs="Times New Roman"/>
                <w:color w:val="auto"/>
              </w:rPr>
              <w:t>序号</w:t>
            </w:r>
          </w:p>
        </w:tc>
        <w:tc>
          <w:tcPr>
            <w:tcW w:w="435" w:type="pct"/>
            <w:shd w:val="clear" w:color="auto" w:fill="auto"/>
            <w:tcMar>
              <w:top w:w="28" w:type="dxa"/>
              <w:bottom w:w="28" w:type="dxa"/>
            </w:tcMar>
            <w:vAlign w:val="center"/>
          </w:tcPr>
          <w:p w14:paraId="282E14E6">
            <w:pPr>
              <w:jc w:val="center"/>
              <w:rPr>
                <w:rFonts w:ascii="宋体" w:hAnsi="宋体" w:eastAsia="宋体" w:cs="Times New Roman"/>
                <w:color w:val="auto"/>
              </w:rPr>
            </w:pPr>
            <w:r>
              <w:rPr>
                <w:rFonts w:ascii="宋体" w:hAnsi="宋体" w:eastAsia="宋体" w:cs="Times New Roman"/>
                <w:color w:val="auto"/>
              </w:rPr>
              <w:t>监测内容</w:t>
            </w:r>
          </w:p>
        </w:tc>
        <w:tc>
          <w:tcPr>
            <w:tcW w:w="898" w:type="pct"/>
            <w:shd w:val="clear" w:color="auto" w:fill="auto"/>
            <w:tcMar>
              <w:top w:w="28" w:type="dxa"/>
              <w:bottom w:w="28" w:type="dxa"/>
            </w:tcMar>
            <w:vAlign w:val="center"/>
          </w:tcPr>
          <w:p w14:paraId="0AE47853">
            <w:pPr>
              <w:jc w:val="center"/>
              <w:rPr>
                <w:rFonts w:ascii="宋体" w:hAnsi="宋体" w:eastAsia="宋体" w:cs="Times New Roman"/>
                <w:color w:val="auto"/>
              </w:rPr>
            </w:pPr>
            <w:r>
              <w:rPr>
                <w:rFonts w:ascii="宋体" w:hAnsi="宋体" w:eastAsia="宋体" w:cs="Times New Roman"/>
                <w:color w:val="auto"/>
              </w:rPr>
              <w:t>监测因子</w:t>
            </w:r>
          </w:p>
        </w:tc>
        <w:tc>
          <w:tcPr>
            <w:tcW w:w="1095" w:type="pct"/>
            <w:shd w:val="clear" w:color="auto" w:fill="auto"/>
            <w:tcMar>
              <w:top w:w="28" w:type="dxa"/>
              <w:bottom w:w="28" w:type="dxa"/>
            </w:tcMar>
            <w:vAlign w:val="center"/>
          </w:tcPr>
          <w:p w14:paraId="79E8C78A">
            <w:pPr>
              <w:jc w:val="center"/>
              <w:rPr>
                <w:rFonts w:ascii="宋体" w:hAnsi="宋体" w:eastAsia="宋体" w:cs="Times New Roman"/>
                <w:color w:val="auto"/>
              </w:rPr>
            </w:pPr>
            <w:r>
              <w:rPr>
                <w:rFonts w:ascii="宋体" w:hAnsi="宋体" w:eastAsia="宋体" w:cs="Times New Roman"/>
                <w:color w:val="auto"/>
              </w:rPr>
              <w:t>监测点位</w:t>
            </w:r>
          </w:p>
        </w:tc>
        <w:tc>
          <w:tcPr>
            <w:tcW w:w="640" w:type="pct"/>
            <w:shd w:val="clear" w:color="auto" w:fill="auto"/>
            <w:vAlign w:val="center"/>
          </w:tcPr>
          <w:p w14:paraId="723BEC98">
            <w:pPr>
              <w:jc w:val="center"/>
              <w:rPr>
                <w:rFonts w:ascii="宋体" w:hAnsi="宋体" w:eastAsia="宋体" w:cs="Times New Roman"/>
                <w:color w:val="auto"/>
              </w:rPr>
            </w:pPr>
            <w:r>
              <w:rPr>
                <w:rFonts w:ascii="宋体" w:hAnsi="宋体" w:eastAsia="宋体" w:cs="Times New Roman"/>
                <w:color w:val="auto"/>
              </w:rPr>
              <w:t>坐标</w:t>
            </w:r>
            <w:r>
              <w:rPr>
                <w:rFonts w:hint="eastAsia" w:ascii="宋体" w:hAnsi="宋体" w:eastAsia="宋体" w:cs="Times New Roman"/>
                <w:color w:val="auto"/>
              </w:rPr>
              <w:t>/°</w:t>
            </w:r>
          </w:p>
        </w:tc>
        <w:tc>
          <w:tcPr>
            <w:tcW w:w="1100" w:type="pct"/>
            <w:shd w:val="clear" w:color="auto" w:fill="auto"/>
            <w:vAlign w:val="center"/>
          </w:tcPr>
          <w:p w14:paraId="7FF07FF9">
            <w:pPr>
              <w:jc w:val="center"/>
              <w:rPr>
                <w:rFonts w:ascii="宋体" w:hAnsi="宋体" w:eastAsia="宋体" w:cs="Times New Roman"/>
                <w:color w:val="auto"/>
              </w:rPr>
            </w:pPr>
            <w:r>
              <w:rPr>
                <w:rFonts w:ascii="宋体" w:hAnsi="宋体" w:eastAsia="宋体" w:cs="Times New Roman"/>
                <w:color w:val="auto"/>
              </w:rPr>
              <w:t>与本项目的位置关系</w:t>
            </w:r>
          </w:p>
        </w:tc>
        <w:tc>
          <w:tcPr>
            <w:tcW w:w="526" w:type="pct"/>
            <w:shd w:val="clear" w:color="auto" w:fill="auto"/>
            <w:tcMar>
              <w:top w:w="28" w:type="dxa"/>
              <w:bottom w:w="28" w:type="dxa"/>
            </w:tcMar>
            <w:vAlign w:val="center"/>
          </w:tcPr>
          <w:p w14:paraId="486A5DEE">
            <w:pPr>
              <w:jc w:val="center"/>
              <w:rPr>
                <w:rFonts w:ascii="宋体" w:hAnsi="宋体" w:eastAsia="宋体" w:cs="Times New Roman"/>
                <w:color w:val="auto"/>
              </w:rPr>
            </w:pPr>
            <w:r>
              <w:rPr>
                <w:rFonts w:ascii="宋体" w:hAnsi="宋体" w:eastAsia="宋体" w:cs="Times New Roman"/>
                <w:color w:val="auto"/>
              </w:rPr>
              <w:t>监测频次</w:t>
            </w:r>
          </w:p>
        </w:tc>
      </w:tr>
      <w:tr w14:paraId="588DAD08">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shd w:val="clear" w:color="auto" w:fill="auto"/>
            <w:tcMar>
              <w:top w:w="28" w:type="dxa"/>
              <w:bottom w:w="28" w:type="dxa"/>
            </w:tcMar>
            <w:vAlign w:val="center"/>
          </w:tcPr>
          <w:p w14:paraId="75230D24">
            <w:pPr>
              <w:jc w:val="center"/>
              <w:rPr>
                <w:rFonts w:ascii="宋体" w:hAnsi="宋体" w:eastAsia="宋体" w:cs="Times New Roman"/>
                <w:color w:val="auto"/>
              </w:rPr>
            </w:pPr>
            <w:r>
              <w:rPr>
                <w:rFonts w:ascii="宋体" w:hAnsi="宋体" w:eastAsia="宋体" w:cs="Times New Roman"/>
                <w:color w:val="auto"/>
              </w:rPr>
              <w:t>1</w:t>
            </w:r>
          </w:p>
        </w:tc>
        <w:tc>
          <w:tcPr>
            <w:tcW w:w="435" w:type="pct"/>
            <w:shd w:val="clear" w:color="auto" w:fill="auto"/>
            <w:tcMar>
              <w:top w:w="28" w:type="dxa"/>
              <w:bottom w:w="28" w:type="dxa"/>
            </w:tcMar>
            <w:vAlign w:val="center"/>
          </w:tcPr>
          <w:p w14:paraId="5CBC14FD">
            <w:pPr>
              <w:jc w:val="center"/>
              <w:rPr>
                <w:rFonts w:ascii="宋体" w:hAnsi="宋体" w:eastAsia="宋体" w:cs="Times New Roman"/>
                <w:color w:val="auto"/>
              </w:rPr>
            </w:pPr>
            <w:r>
              <w:rPr>
                <w:rFonts w:ascii="宋体" w:hAnsi="宋体" w:eastAsia="宋体" w:cs="Times New Roman"/>
                <w:color w:val="auto"/>
              </w:rPr>
              <w:t>环境空气</w:t>
            </w:r>
          </w:p>
        </w:tc>
        <w:tc>
          <w:tcPr>
            <w:tcW w:w="898" w:type="pct"/>
            <w:shd w:val="clear" w:color="auto" w:fill="auto"/>
            <w:tcMar>
              <w:top w:w="28" w:type="dxa"/>
              <w:bottom w:w="28" w:type="dxa"/>
            </w:tcMar>
            <w:vAlign w:val="center"/>
          </w:tcPr>
          <w:p w14:paraId="367E11F1">
            <w:pPr>
              <w:jc w:val="center"/>
              <w:rPr>
                <w:rFonts w:ascii="宋体" w:hAnsi="宋体" w:eastAsia="宋体" w:cs="Times New Roman"/>
                <w:color w:val="auto"/>
              </w:rPr>
            </w:pPr>
            <w:r>
              <w:rPr>
                <w:rFonts w:ascii="宋体" w:hAnsi="宋体" w:eastAsia="宋体" w:cs="Times New Roman"/>
                <w:color w:val="auto"/>
              </w:rPr>
              <w:t>非甲烷总烃</w:t>
            </w:r>
          </w:p>
        </w:tc>
        <w:tc>
          <w:tcPr>
            <w:tcW w:w="1095" w:type="pct"/>
            <w:shd w:val="clear" w:color="auto" w:fill="auto"/>
            <w:tcMar>
              <w:top w:w="28" w:type="dxa"/>
              <w:bottom w:w="28" w:type="dxa"/>
            </w:tcMar>
            <w:vAlign w:val="center"/>
          </w:tcPr>
          <w:p w14:paraId="1D8310D6">
            <w:pPr>
              <w:jc w:val="center"/>
              <w:rPr>
                <w:rFonts w:ascii="宋体" w:hAnsi="宋体" w:eastAsia="宋体" w:cs="Times New Roman"/>
                <w:color w:val="auto"/>
              </w:rPr>
            </w:pPr>
            <w:r>
              <w:rPr>
                <w:rFonts w:hint="eastAsia" w:ascii="宋体" w:hAnsi="宋体" w:eastAsia="宋体" w:cs="Times New Roman"/>
                <w:color w:val="auto"/>
              </w:rPr>
              <w:t>3</w:t>
            </w:r>
            <w:r>
              <w:rPr>
                <w:rFonts w:ascii="宋体" w:hAnsi="宋体" w:eastAsia="宋体" w:cs="Times New Roman"/>
                <w:color w:val="auto"/>
              </w:rPr>
              <w:t>号平台厂界外</w:t>
            </w:r>
          </w:p>
        </w:tc>
        <w:tc>
          <w:tcPr>
            <w:tcW w:w="640" w:type="pct"/>
            <w:shd w:val="clear" w:color="auto" w:fill="auto"/>
            <w:vAlign w:val="center"/>
          </w:tcPr>
          <w:p w14:paraId="4829A3C1">
            <w:pPr>
              <w:jc w:val="center"/>
              <w:rPr>
                <w:rFonts w:ascii="宋体" w:hAnsi="宋体" w:eastAsia="宋体" w:cs="Times New Roman"/>
                <w:color w:val="auto"/>
              </w:rPr>
            </w:pPr>
            <w:r>
              <w:rPr>
                <w:rFonts w:ascii="宋体" w:hAnsi="宋体" w:eastAsia="宋体" w:cs="Times New Roman"/>
                <w:color w:val="auto"/>
                <w:kern w:val="21"/>
              </w:rPr>
              <w:t>125.17320</w:t>
            </w:r>
            <w:r>
              <w:rPr>
                <w:rFonts w:hint="eastAsia" w:ascii="宋体" w:hAnsi="宋体" w:eastAsia="宋体" w:cs="Times New Roman"/>
                <w:color w:val="auto"/>
                <w:kern w:val="21"/>
              </w:rPr>
              <w:t>，</w:t>
            </w:r>
            <w:r>
              <w:rPr>
                <w:rFonts w:ascii="宋体" w:hAnsi="宋体" w:eastAsia="宋体" w:cs="Times New Roman"/>
                <w:color w:val="auto"/>
                <w:kern w:val="21"/>
              </w:rPr>
              <w:t>45.56462</w:t>
            </w:r>
          </w:p>
        </w:tc>
        <w:tc>
          <w:tcPr>
            <w:tcW w:w="1100" w:type="pct"/>
            <w:shd w:val="clear" w:color="auto" w:fill="auto"/>
            <w:vAlign w:val="center"/>
          </w:tcPr>
          <w:p w14:paraId="007BFDEE">
            <w:pPr>
              <w:jc w:val="center"/>
              <w:rPr>
                <w:rFonts w:ascii="宋体" w:hAnsi="宋体" w:eastAsia="宋体" w:cs="Times New Roman"/>
                <w:color w:val="auto"/>
              </w:rPr>
            </w:pPr>
            <w:r>
              <w:rPr>
                <w:rFonts w:ascii="宋体" w:hAnsi="宋体" w:eastAsia="宋体" w:cs="Times New Roman"/>
                <w:color w:val="auto"/>
              </w:rPr>
              <w:t>/</w:t>
            </w:r>
          </w:p>
        </w:tc>
        <w:tc>
          <w:tcPr>
            <w:tcW w:w="526" w:type="pct"/>
            <w:shd w:val="clear" w:color="auto" w:fill="auto"/>
            <w:tcMar>
              <w:top w:w="28" w:type="dxa"/>
              <w:bottom w:w="28" w:type="dxa"/>
            </w:tcMar>
            <w:vAlign w:val="center"/>
          </w:tcPr>
          <w:p w14:paraId="2FC94CA2">
            <w:pPr>
              <w:jc w:val="center"/>
              <w:rPr>
                <w:rFonts w:ascii="宋体" w:hAnsi="宋体" w:eastAsia="宋体" w:cs="Times New Roman"/>
                <w:color w:val="auto"/>
              </w:rPr>
            </w:pPr>
            <w:r>
              <w:rPr>
                <w:rFonts w:ascii="宋体" w:hAnsi="宋体" w:eastAsia="宋体" w:cs="Times New Roman"/>
                <w:color w:val="auto"/>
              </w:rPr>
              <w:t>1次/年</w:t>
            </w:r>
          </w:p>
        </w:tc>
      </w:tr>
      <w:tr w14:paraId="5DF83437">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restart"/>
            <w:shd w:val="clear" w:color="auto" w:fill="auto"/>
            <w:tcMar>
              <w:top w:w="28" w:type="dxa"/>
              <w:bottom w:w="28" w:type="dxa"/>
            </w:tcMar>
            <w:vAlign w:val="center"/>
          </w:tcPr>
          <w:p w14:paraId="4E33EA81">
            <w:pPr>
              <w:jc w:val="center"/>
              <w:rPr>
                <w:rFonts w:ascii="宋体" w:hAnsi="宋体" w:eastAsia="宋体" w:cs="Times New Roman"/>
                <w:color w:val="auto"/>
              </w:rPr>
            </w:pPr>
            <w:r>
              <w:rPr>
                <w:rFonts w:ascii="宋体" w:hAnsi="宋体" w:eastAsia="宋体" w:cs="Times New Roman"/>
                <w:color w:val="auto"/>
              </w:rPr>
              <w:t>2</w:t>
            </w:r>
          </w:p>
        </w:tc>
        <w:tc>
          <w:tcPr>
            <w:tcW w:w="435" w:type="pct"/>
            <w:vMerge w:val="restart"/>
            <w:shd w:val="clear" w:color="auto" w:fill="auto"/>
            <w:tcMar>
              <w:top w:w="28" w:type="dxa"/>
              <w:bottom w:w="28" w:type="dxa"/>
            </w:tcMar>
            <w:vAlign w:val="center"/>
          </w:tcPr>
          <w:p w14:paraId="38B829E2">
            <w:pPr>
              <w:jc w:val="center"/>
              <w:rPr>
                <w:rFonts w:ascii="宋体" w:hAnsi="宋体" w:eastAsia="宋体" w:cs="Times New Roman"/>
                <w:color w:val="auto"/>
              </w:rPr>
            </w:pPr>
            <w:r>
              <w:rPr>
                <w:rFonts w:ascii="宋体" w:hAnsi="宋体" w:eastAsia="宋体" w:cs="Times New Roman"/>
                <w:color w:val="auto"/>
              </w:rPr>
              <w:t>地下水</w:t>
            </w:r>
          </w:p>
        </w:tc>
        <w:tc>
          <w:tcPr>
            <w:tcW w:w="898" w:type="pct"/>
            <w:vMerge w:val="restart"/>
            <w:shd w:val="clear" w:color="auto" w:fill="auto"/>
            <w:tcMar>
              <w:top w:w="28" w:type="dxa"/>
              <w:bottom w:w="28" w:type="dxa"/>
            </w:tcMar>
            <w:vAlign w:val="center"/>
          </w:tcPr>
          <w:p w14:paraId="0C2BA6D6">
            <w:pPr>
              <w:jc w:val="center"/>
              <w:rPr>
                <w:rFonts w:ascii="宋体" w:hAnsi="宋体" w:eastAsia="宋体" w:cs="Times New Roman"/>
                <w:color w:val="auto"/>
              </w:rPr>
            </w:pPr>
            <w:r>
              <w:rPr>
                <w:rFonts w:ascii="宋体" w:hAnsi="宋体" w:eastAsia="宋体" w:cs="Times New Roman"/>
                <w:color w:val="auto"/>
              </w:rPr>
              <w:t>pH、石油类、石油烃（C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）、砷、六价铬、挥发酚、氨氮、耗氧量</w:t>
            </w:r>
          </w:p>
        </w:tc>
        <w:tc>
          <w:tcPr>
            <w:tcW w:w="1095" w:type="pct"/>
            <w:shd w:val="clear" w:color="auto" w:fill="auto"/>
            <w:tcMar>
              <w:top w:w="28" w:type="dxa"/>
              <w:bottom w:w="28" w:type="dxa"/>
            </w:tcMar>
            <w:vAlign w:val="center"/>
          </w:tcPr>
          <w:p w14:paraId="01AC0A28">
            <w:pPr>
              <w:jc w:val="center"/>
              <w:rPr>
                <w:rFonts w:ascii="宋体" w:hAnsi="宋体" w:eastAsia="宋体"/>
                <w:color w:val="auto"/>
              </w:rPr>
            </w:pPr>
            <w:r>
              <w:rPr>
                <w:rFonts w:ascii="宋体" w:hAnsi="宋体" w:eastAsia="宋体"/>
                <w:color w:val="auto"/>
              </w:rPr>
              <w:t>上游王家粉坊屯水</w:t>
            </w:r>
          </w:p>
        </w:tc>
        <w:tc>
          <w:tcPr>
            <w:tcW w:w="640" w:type="pct"/>
            <w:shd w:val="clear" w:color="auto" w:fill="auto"/>
            <w:vAlign w:val="center"/>
          </w:tcPr>
          <w:p w14:paraId="400E4CAA">
            <w:pPr>
              <w:jc w:val="center"/>
              <w:rPr>
                <w:rFonts w:ascii="宋体" w:hAnsi="宋体" w:eastAsia="宋体"/>
                <w:color w:val="auto"/>
              </w:rPr>
            </w:pPr>
            <w:r>
              <w:rPr>
                <w:rFonts w:ascii="宋体" w:hAnsi="宋体" w:eastAsia="宋体"/>
                <w:color w:val="auto"/>
              </w:rPr>
              <w:t>125.16401，45.57877</w:t>
            </w:r>
          </w:p>
        </w:tc>
        <w:tc>
          <w:tcPr>
            <w:tcW w:w="1100" w:type="pct"/>
            <w:shd w:val="clear" w:color="auto" w:fill="auto"/>
            <w:vAlign w:val="center"/>
          </w:tcPr>
          <w:p w14:paraId="7F9FEF12">
            <w:pPr>
              <w:jc w:val="center"/>
              <w:rPr>
                <w:rFonts w:ascii="宋体" w:hAnsi="宋体" w:eastAsia="宋体"/>
                <w:color w:val="auto"/>
              </w:rPr>
            </w:pPr>
            <w:r>
              <w:rPr>
                <w:rFonts w:hint="eastAsia" w:ascii="宋体" w:hAnsi="宋体" w:eastAsia="宋体"/>
                <w:color w:val="auto"/>
              </w:rPr>
              <w:t>源212</w:t>
            </w:r>
            <w:r>
              <w:rPr>
                <w:rFonts w:ascii="宋体" w:hAnsi="宋体" w:eastAsia="宋体"/>
                <w:color w:val="auto"/>
              </w:rPr>
              <w:t>扶平</w:t>
            </w:r>
            <w:r>
              <w:rPr>
                <w:rFonts w:hint="eastAsia" w:ascii="宋体" w:hAnsi="宋体" w:eastAsia="宋体"/>
                <w:color w:val="auto"/>
              </w:rPr>
              <w:t>4</w:t>
            </w:r>
            <w:r>
              <w:rPr>
                <w:rFonts w:ascii="宋体" w:hAnsi="宋体" w:eastAsia="宋体"/>
                <w:color w:val="auto"/>
              </w:rPr>
              <w:t>井场北</w:t>
            </w:r>
            <w:r>
              <w:rPr>
                <w:rFonts w:hint="eastAsia" w:ascii="宋体" w:hAnsi="宋体" w:eastAsia="宋体"/>
                <w:color w:val="auto"/>
              </w:rPr>
              <w:t>1300</w:t>
            </w:r>
            <w:r>
              <w:rPr>
                <w:rFonts w:ascii="宋体" w:hAnsi="宋体" w:eastAsia="宋体"/>
                <w:color w:val="auto"/>
              </w:rPr>
              <w:t>m</w:t>
            </w:r>
          </w:p>
        </w:tc>
        <w:tc>
          <w:tcPr>
            <w:tcW w:w="526" w:type="pct"/>
            <w:vMerge w:val="restart"/>
            <w:shd w:val="clear" w:color="auto" w:fill="auto"/>
            <w:tcMar>
              <w:top w:w="28" w:type="dxa"/>
              <w:bottom w:w="28" w:type="dxa"/>
            </w:tcMar>
            <w:vAlign w:val="center"/>
          </w:tcPr>
          <w:p w14:paraId="35A38A2A">
            <w:pPr>
              <w:jc w:val="center"/>
              <w:rPr>
                <w:rFonts w:ascii="宋体" w:hAnsi="宋体" w:eastAsia="宋体" w:cs="Times New Roman"/>
                <w:color w:val="auto"/>
              </w:rPr>
            </w:pPr>
            <w:r>
              <w:rPr>
                <w:rFonts w:ascii="宋体" w:hAnsi="宋体" w:eastAsia="宋体" w:cs="Times New Roman"/>
                <w:color w:val="auto"/>
              </w:rPr>
              <w:t>1次/半年</w:t>
            </w:r>
          </w:p>
        </w:tc>
      </w:tr>
      <w:tr w14:paraId="22F831E1">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15F7FC59">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6598980E">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2A0E33FE">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7DED681E">
            <w:pPr>
              <w:jc w:val="center"/>
              <w:rPr>
                <w:rFonts w:ascii="宋体" w:hAnsi="宋体" w:eastAsia="宋体"/>
                <w:color w:val="auto"/>
              </w:rPr>
            </w:pPr>
            <w:r>
              <w:rPr>
                <w:rFonts w:ascii="宋体" w:hAnsi="宋体" w:eastAsia="宋体"/>
                <w:color w:val="auto"/>
              </w:rPr>
              <w:t>区域内后欧力马水井</w:t>
            </w:r>
          </w:p>
        </w:tc>
        <w:tc>
          <w:tcPr>
            <w:tcW w:w="640" w:type="pct"/>
            <w:shd w:val="clear" w:color="auto" w:fill="auto"/>
            <w:vAlign w:val="center"/>
          </w:tcPr>
          <w:p w14:paraId="17C046BB">
            <w:pPr>
              <w:jc w:val="center"/>
              <w:rPr>
                <w:rFonts w:ascii="宋体" w:hAnsi="宋体" w:eastAsia="宋体"/>
                <w:color w:val="auto"/>
              </w:rPr>
            </w:pPr>
            <w:r>
              <w:rPr>
                <w:rFonts w:ascii="宋体" w:hAnsi="宋体" w:eastAsia="宋体"/>
                <w:color w:val="auto"/>
              </w:rPr>
              <w:t>125.17085，45.56812</w:t>
            </w:r>
          </w:p>
        </w:tc>
        <w:tc>
          <w:tcPr>
            <w:tcW w:w="1100" w:type="pct"/>
            <w:shd w:val="clear" w:color="auto" w:fill="auto"/>
            <w:vAlign w:val="center"/>
          </w:tcPr>
          <w:p w14:paraId="466622EA">
            <w:pPr>
              <w:jc w:val="center"/>
              <w:rPr>
                <w:rFonts w:ascii="宋体" w:hAnsi="宋体" w:eastAsia="宋体"/>
                <w:color w:val="auto"/>
              </w:rPr>
            </w:pPr>
            <w:r>
              <w:rPr>
                <w:rFonts w:hint="eastAsia" w:ascii="宋体" w:hAnsi="宋体" w:eastAsia="宋体"/>
                <w:color w:val="auto"/>
              </w:rPr>
              <w:t>3</w:t>
            </w:r>
            <w:r>
              <w:rPr>
                <w:rFonts w:ascii="宋体" w:hAnsi="宋体" w:eastAsia="宋体"/>
                <w:color w:val="auto"/>
              </w:rPr>
              <w:t>号平台井场</w:t>
            </w:r>
            <w:r>
              <w:rPr>
                <w:rFonts w:hint="eastAsia" w:ascii="宋体" w:hAnsi="宋体" w:eastAsia="宋体"/>
                <w:color w:val="auto"/>
              </w:rPr>
              <w:t>西</w:t>
            </w:r>
            <w:r>
              <w:rPr>
                <w:rFonts w:ascii="宋体" w:hAnsi="宋体" w:eastAsia="宋体"/>
                <w:color w:val="auto"/>
              </w:rPr>
              <w:t>侧</w:t>
            </w:r>
            <w:r>
              <w:rPr>
                <w:rFonts w:hint="eastAsia" w:ascii="宋体" w:hAnsi="宋体" w:eastAsia="宋体"/>
                <w:color w:val="auto"/>
              </w:rPr>
              <w:t>380</w:t>
            </w:r>
            <w:r>
              <w:rPr>
                <w:rFonts w:ascii="宋体" w:hAnsi="宋体" w:eastAsia="宋体"/>
                <w:color w:val="auto"/>
              </w:rPr>
              <w:t>m</w:t>
            </w:r>
          </w:p>
        </w:tc>
        <w:tc>
          <w:tcPr>
            <w:tcW w:w="526" w:type="pct"/>
            <w:vMerge w:val="continue"/>
            <w:shd w:val="clear" w:color="auto" w:fill="auto"/>
            <w:tcMar>
              <w:top w:w="28" w:type="dxa"/>
              <w:bottom w:w="28" w:type="dxa"/>
            </w:tcMar>
            <w:vAlign w:val="center"/>
          </w:tcPr>
          <w:p w14:paraId="57564093">
            <w:pPr>
              <w:jc w:val="center"/>
              <w:rPr>
                <w:rFonts w:ascii="宋体" w:hAnsi="宋体" w:eastAsia="宋体" w:cs="Times New Roman"/>
                <w:color w:val="auto"/>
              </w:rPr>
            </w:pPr>
          </w:p>
        </w:tc>
      </w:tr>
      <w:tr w14:paraId="79414388">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269E3C7D">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1F834048">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0945DED4">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5882283B">
            <w:pPr>
              <w:jc w:val="center"/>
              <w:rPr>
                <w:rFonts w:ascii="宋体" w:hAnsi="宋体" w:eastAsia="宋体"/>
                <w:color w:val="auto"/>
              </w:rPr>
            </w:pPr>
            <w:r>
              <w:rPr>
                <w:rFonts w:ascii="宋体" w:hAnsi="宋体" w:eastAsia="宋体"/>
                <w:color w:val="auto"/>
              </w:rPr>
              <w:t>区域下游王家园子屯水井</w:t>
            </w:r>
          </w:p>
        </w:tc>
        <w:tc>
          <w:tcPr>
            <w:tcW w:w="640" w:type="pct"/>
            <w:shd w:val="clear" w:color="auto" w:fill="auto"/>
            <w:vAlign w:val="center"/>
          </w:tcPr>
          <w:p w14:paraId="144E48A3">
            <w:pPr>
              <w:jc w:val="center"/>
              <w:rPr>
                <w:rFonts w:ascii="宋体" w:hAnsi="宋体" w:eastAsia="宋体"/>
                <w:color w:val="auto"/>
              </w:rPr>
            </w:pPr>
            <w:r>
              <w:rPr>
                <w:rFonts w:ascii="宋体" w:hAnsi="宋体" w:eastAsia="宋体"/>
                <w:color w:val="auto"/>
              </w:rPr>
              <w:t>125.16117，45.55675</w:t>
            </w:r>
          </w:p>
        </w:tc>
        <w:tc>
          <w:tcPr>
            <w:tcW w:w="1100" w:type="pct"/>
            <w:shd w:val="clear" w:color="auto" w:fill="auto"/>
            <w:vAlign w:val="center"/>
          </w:tcPr>
          <w:p w14:paraId="1A454998">
            <w:pPr>
              <w:jc w:val="center"/>
              <w:rPr>
                <w:rFonts w:ascii="宋体" w:hAnsi="宋体" w:eastAsia="宋体"/>
                <w:color w:val="auto"/>
                <w:kern w:val="21"/>
              </w:rPr>
            </w:pPr>
            <w:r>
              <w:rPr>
                <w:rFonts w:ascii="宋体" w:hAnsi="宋体" w:eastAsia="宋体"/>
                <w:color w:val="auto"/>
              </w:rPr>
              <w:t>3号平台井场</w:t>
            </w:r>
            <w:r>
              <w:rPr>
                <w:rFonts w:hint="eastAsia" w:ascii="宋体" w:hAnsi="宋体" w:eastAsia="宋体"/>
                <w:color w:val="auto"/>
              </w:rPr>
              <w:t>西南</w:t>
            </w:r>
            <w:r>
              <w:rPr>
                <w:rFonts w:ascii="宋体" w:hAnsi="宋体" w:eastAsia="宋体"/>
                <w:color w:val="auto"/>
              </w:rPr>
              <w:t>侧11</w:t>
            </w:r>
            <w:r>
              <w:rPr>
                <w:rFonts w:hint="eastAsia" w:ascii="宋体" w:hAnsi="宋体" w:eastAsia="宋体"/>
                <w:color w:val="auto"/>
              </w:rPr>
              <w:t>0</w:t>
            </w:r>
            <w:r>
              <w:rPr>
                <w:rFonts w:ascii="宋体" w:hAnsi="宋体" w:eastAsia="宋体"/>
                <w:color w:val="auto"/>
              </w:rPr>
              <w:t>0m</w:t>
            </w:r>
          </w:p>
        </w:tc>
        <w:tc>
          <w:tcPr>
            <w:tcW w:w="526" w:type="pct"/>
            <w:vMerge w:val="continue"/>
            <w:shd w:val="clear" w:color="auto" w:fill="auto"/>
            <w:tcMar>
              <w:top w:w="28" w:type="dxa"/>
              <w:bottom w:w="28" w:type="dxa"/>
            </w:tcMar>
            <w:vAlign w:val="center"/>
          </w:tcPr>
          <w:p w14:paraId="6F24FE6B">
            <w:pPr>
              <w:jc w:val="center"/>
              <w:rPr>
                <w:rFonts w:ascii="宋体" w:hAnsi="宋体" w:eastAsia="宋体" w:cs="Times New Roman"/>
                <w:color w:val="auto"/>
              </w:rPr>
            </w:pPr>
          </w:p>
        </w:tc>
      </w:tr>
      <w:tr w14:paraId="33B2B796">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57C8B190">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4950D693">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3D44A982">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0E27AD7B">
            <w:pPr>
              <w:jc w:val="center"/>
              <w:rPr>
                <w:rFonts w:ascii="宋体" w:hAnsi="宋体" w:eastAsia="宋体"/>
                <w:color w:val="auto"/>
              </w:rPr>
            </w:pPr>
            <w:r>
              <w:rPr>
                <w:rFonts w:ascii="宋体" w:hAnsi="宋体" w:eastAsia="宋体"/>
                <w:color w:val="auto"/>
              </w:rPr>
              <w:t>区域下游王家园子屯水井</w:t>
            </w:r>
          </w:p>
        </w:tc>
        <w:tc>
          <w:tcPr>
            <w:tcW w:w="640" w:type="pct"/>
            <w:shd w:val="clear" w:color="auto" w:fill="auto"/>
            <w:vAlign w:val="center"/>
          </w:tcPr>
          <w:p w14:paraId="23370594">
            <w:pPr>
              <w:jc w:val="center"/>
              <w:rPr>
                <w:rFonts w:ascii="宋体" w:hAnsi="宋体" w:eastAsia="宋体"/>
                <w:color w:val="auto"/>
              </w:rPr>
            </w:pPr>
            <w:r>
              <w:rPr>
                <w:rFonts w:ascii="宋体" w:hAnsi="宋体" w:eastAsia="宋体"/>
                <w:color w:val="auto"/>
              </w:rPr>
              <w:t>125.16466，45.55678</w:t>
            </w:r>
          </w:p>
        </w:tc>
        <w:tc>
          <w:tcPr>
            <w:tcW w:w="1100" w:type="pct"/>
            <w:shd w:val="clear" w:color="auto" w:fill="auto"/>
            <w:vAlign w:val="center"/>
          </w:tcPr>
          <w:p w14:paraId="10DDB398">
            <w:pPr>
              <w:jc w:val="center"/>
              <w:rPr>
                <w:rFonts w:ascii="宋体" w:hAnsi="宋体" w:eastAsia="宋体"/>
                <w:color w:val="auto"/>
              </w:rPr>
            </w:pPr>
            <w:r>
              <w:rPr>
                <w:rFonts w:ascii="宋体" w:hAnsi="宋体" w:eastAsia="宋体"/>
                <w:color w:val="auto"/>
              </w:rPr>
              <w:t>3号平台井场</w:t>
            </w:r>
            <w:r>
              <w:rPr>
                <w:rFonts w:hint="eastAsia" w:ascii="宋体" w:hAnsi="宋体" w:eastAsia="宋体"/>
                <w:color w:val="auto"/>
              </w:rPr>
              <w:t>西南</w:t>
            </w:r>
            <w:r>
              <w:rPr>
                <w:rFonts w:ascii="宋体" w:hAnsi="宋体" w:eastAsia="宋体"/>
                <w:color w:val="auto"/>
              </w:rPr>
              <w:t>侧1</w:t>
            </w:r>
            <w:r>
              <w:rPr>
                <w:rFonts w:hint="eastAsia" w:ascii="宋体" w:hAnsi="宋体" w:eastAsia="宋体"/>
                <w:color w:val="auto"/>
              </w:rPr>
              <w:t>50</w:t>
            </w:r>
            <w:r>
              <w:rPr>
                <w:rFonts w:ascii="宋体" w:hAnsi="宋体" w:eastAsia="宋体"/>
                <w:color w:val="auto"/>
              </w:rPr>
              <w:t>0m</w:t>
            </w:r>
          </w:p>
        </w:tc>
        <w:tc>
          <w:tcPr>
            <w:tcW w:w="526" w:type="pct"/>
            <w:shd w:val="clear" w:color="auto" w:fill="auto"/>
            <w:tcMar>
              <w:top w:w="28" w:type="dxa"/>
              <w:bottom w:w="28" w:type="dxa"/>
            </w:tcMar>
            <w:vAlign w:val="center"/>
          </w:tcPr>
          <w:p w14:paraId="243F83DF">
            <w:pPr>
              <w:jc w:val="center"/>
              <w:rPr>
                <w:rFonts w:ascii="宋体" w:hAnsi="宋体" w:eastAsia="宋体" w:cs="Times New Roman"/>
                <w:color w:val="auto"/>
              </w:rPr>
            </w:pPr>
          </w:p>
        </w:tc>
      </w:tr>
      <w:tr w14:paraId="20316240">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6A39CA75">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4618E9F5">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44D434B8">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1BF75315">
            <w:pPr>
              <w:jc w:val="center"/>
              <w:rPr>
                <w:rFonts w:ascii="宋体" w:hAnsi="宋体" w:eastAsia="宋体"/>
                <w:color w:val="auto"/>
              </w:rPr>
            </w:pPr>
            <w:r>
              <w:rPr>
                <w:rFonts w:ascii="宋体" w:hAnsi="宋体" w:eastAsia="宋体"/>
                <w:color w:val="auto"/>
              </w:rPr>
              <w:t>区域上游大姚屯水井</w:t>
            </w:r>
          </w:p>
        </w:tc>
        <w:tc>
          <w:tcPr>
            <w:tcW w:w="640" w:type="pct"/>
            <w:shd w:val="clear" w:color="auto" w:fill="auto"/>
            <w:vAlign w:val="center"/>
          </w:tcPr>
          <w:p w14:paraId="7A3B171B">
            <w:pPr>
              <w:jc w:val="center"/>
              <w:rPr>
                <w:rFonts w:ascii="宋体" w:hAnsi="宋体" w:eastAsia="宋体"/>
                <w:color w:val="auto"/>
              </w:rPr>
            </w:pPr>
            <w:r>
              <w:rPr>
                <w:rFonts w:ascii="宋体" w:hAnsi="宋体" w:eastAsia="宋体"/>
                <w:color w:val="auto"/>
              </w:rPr>
              <w:t>（125.05032，45.51338</w:t>
            </w:r>
          </w:p>
        </w:tc>
        <w:tc>
          <w:tcPr>
            <w:tcW w:w="1100" w:type="pct"/>
            <w:shd w:val="clear" w:color="auto" w:fill="auto"/>
            <w:vAlign w:val="center"/>
          </w:tcPr>
          <w:p w14:paraId="47F255C7">
            <w:pPr>
              <w:jc w:val="center"/>
              <w:rPr>
                <w:rFonts w:ascii="宋体" w:hAnsi="宋体" w:eastAsia="宋体"/>
                <w:color w:val="auto"/>
              </w:rPr>
            </w:pPr>
            <w:r>
              <w:rPr>
                <w:rFonts w:hint="eastAsia" w:ascii="宋体" w:hAnsi="宋体" w:eastAsia="宋体"/>
                <w:color w:val="auto"/>
              </w:rPr>
              <w:t>源1011东北340m</w:t>
            </w:r>
          </w:p>
        </w:tc>
        <w:tc>
          <w:tcPr>
            <w:tcW w:w="526" w:type="pct"/>
            <w:shd w:val="clear" w:color="auto" w:fill="auto"/>
            <w:tcMar>
              <w:top w:w="28" w:type="dxa"/>
              <w:bottom w:w="28" w:type="dxa"/>
            </w:tcMar>
            <w:vAlign w:val="center"/>
          </w:tcPr>
          <w:p w14:paraId="36D18D95">
            <w:pPr>
              <w:jc w:val="center"/>
              <w:rPr>
                <w:rFonts w:ascii="宋体" w:hAnsi="宋体" w:eastAsia="宋体" w:cs="Times New Roman"/>
                <w:color w:val="auto"/>
              </w:rPr>
            </w:pPr>
          </w:p>
        </w:tc>
      </w:tr>
      <w:tr w14:paraId="31593922">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2192F1EA">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1D576E7C">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3E3641AC">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428226EC">
            <w:pPr>
              <w:jc w:val="center"/>
              <w:rPr>
                <w:rFonts w:ascii="宋体" w:hAnsi="宋体" w:eastAsia="宋体"/>
                <w:color w:val="auto"/>
              </w:rPr>
            </w:pPr>
            <w:r>
              <w:rPr>
                <w:rFonts w:ascii="宋体" w:hAnsi="宋体" w:eastAsia="宋体"/>
                <w:color w:val="auto"/>
              </w:rPr>
              <w:t>区域下游刘兽医屯水井</w:t>
            </w:r>
          </w:p>
        </w:tc>
        <w:tc>
          <w:tcPr>
            <w:tcW w:w="640" w:type="pct"/>
            <w:shd w:val="clear" w:color="auto" w:fill="auto"/>
            <w:vAlign w:val="center"/>
          </w:tcPr>
          <w:p w14:paraId="161BF17F">
            <w:pPr>
              <w:jc w:val="center"/>
              <w:rPr>
                <w:rFonts w:ascii="宋体" w:hAnsi="宋体" w:eastAsia="宋体"/>
                <w:color w:val="auto"/>
              </w:rPr>
            </w:pPr>
            <w:r>
              <w:rPr>
                <w:rFonts w:ascii="宋体" w:hAnsi="宋体" w:eastAsia="宋体"/>
                <w:color w:val="auto"/>
              </w:rPr>
              <w:t>125.04329，45.51033</w:t>
            </w:r>
          </w:p>
        </w:tc>
        <w:tc>
          <w:tcPr>
            <w:tcW w:w="1100" w:type="pct"/>
            <w:shd w:val="clear" w:color="auto" w:fill="auto"/>
            <w:vAlign w:val="center"/>
          </w:tcPr>
          <w:p w14:paraId="490C4CBC">
            <w:pPr>
              <w:jc w:val="center"/>
              <w:rPr>
                <w:rFonts w:ascii="宋体" w:hAnsi="宋体" w:eastAsia="宋体"/>
                <w:color w:val="auto"/>
              </w:rPr>
            </w:pPr>
            <w:r>
              <w:rPr>
                <w:rFonts w:hint="eastAsia" w:ascii="宋体" w:hAnsi="宋体" w:eastAsia="宋体"/>
                <w:color w:val="auto"/>
              </w:rPr>
              <w:t>源1011西南250m</w:t>
            </w:r>
          </w:p>
        </w:tc>
        <w:tc>
          <w:tcPr>
            <w:tcW w:w="526" w:type="pct"/>
            <w:shd w:val="clear" w:color="auto" w:fill="auto"/>
            <w:tcMar>
              <w:top w:w="28" w:type="dxa"/>
              <w:bottom w:w="28" w:type="dxa"/>
            </w:tcMar>
            <w:vAlign w:val="center"/>
          </w:tcPr>
          <w:p w14:paraId="77E89997">
            <w:pPr>
              <w:jc w:val="center"/>
              <w:rPr>
                <w:rFonts w:ascii="宋体" w:hAnsi="宋体" w:eastAsia="宋体" w:cs="Times New Roman"/>
                <w:color w:val="auto"/>
              </w:rPr>
            </w:pPr>
          </w:p>
        </w:tc>
      </w:tr>
      <w:tr w14:paraId="3FDA3992">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46F189D2">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3B41072B">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48BCDA35">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100BF813">
            <w:pPr>
              <w:jc w:val="center"/>
              <w:rPr>
                <w:rFonts w:ascii="宋体" w:hAnsi="宋体" w:eastAsia="宋体"/>
                <w:color w:val="auto"/>
              </w:rPr>
            </w:pPr>
            <w:r>
              <w:rPr>
                <w:rFonts w:ascii="宋体" w:hAnsi="宋体" w:eastAsia="宋体"/>
                <w:color w:val="auto"/>
              </w:rPr>
              <w:t>区域下游刘兽医屯水井</w:t>
            </w:r>
          </w:p>
        </w:tc>
        <w:tc>
          <w:tcPr>
            <w:tcW w:w="640" w:type="pct"/>
            <w:shd w:val="clear" w:color="auto" w:fill="auto"/>
            <w:vAlign w:val="center"/>
          </w:tcPr>
          <w:p w14:paraId="3638BC0E">
            <w:pPr>
              <w:jc w:val="center"/>
              <w:rPr>
                <w:rFonts w:ascii="宋体" w:hAnsi="宋体" w:eastAsia="宋体"/>
                <w:color w:val="auto"/>
              </w:rPr>
            </w:pPr>
            <w:r>
              <w:rPr>
                <w:rFonts w:ascii="宋体" w:hAnsi="宋体" w:eastAsia="宋体"/>
                <w:color w:val="auto"/>
              </w:rPr>
              <w:t>125.04209，45.50913</w:t>
            </w:r>
          </w:p>
        </w:tc>
        <w:tc>
          <w:tcPr>
            <w:tcW w:w="1100" w:type="pct"/>
            <w:shd w:val="clear" w:color="auto" w:fill="auto"/>
            <w:vAlign w:val="center"/>
          </w:tcPr>
          <w:p w14:paraId="3993460B">
            <w:pPr>
              <w:jc w:val="center"/>
              <w:rPr>
                <w:rFonts w:ascii="宋体" w:hAnsi="宋体" w:eastAsia="宋体"/>
                <w:color w:val="auto"/>
              </w:rPr>
            </w:pPr>
            <w:r>
              <w:rPr>
                <w:rFonts w:hint="eastAsia" w:ascii="宋体" w:hAnsi="宋体" w:eastAsia="宋体"/>
                <w:color w:val="auto"/>
              </w:rPr>
              <w:t>源1011西南390m</w:t>
            </w:r>
          </w:p>
        </w:tc>
        <w:tc>
          <w:tcPr>
            <w:tcW w:w="526" w:type="pct"/>
            <w:shd w:val="clear" w:color="auto" w:fill="auto"/>
            <w:tcMar>
              <w:top w:w="28" w:type="dxa"/>
              <w:bottom w:w="28" w:type="dxa"/>
            </w:tcMar>
            <w:vAlign w:val="center"/>
          </w:tcPr>
          <w:p w14:paraId="61F2EF7B">
            <w:pPr>
              <w:jc w:val="center"/>
              <w:rPr>
                <w:rFonts w:ascii="宋体" w:hAnsi="宋体" w:eastAsia="宋体" w:cs="Times New Roman"/>
                <w:color w:val="auto"/>
              </w:rPr>
            </w:pPr>
          </w:p>
        </w:tc>
      </w:tr>
      <w:tr w14:paraId="128918B4">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restart"/>
            <w:shd w:val="clear" w:color="auto" w:fill="auto"/>
            <w:tcMar>
              <w:top w:w="28" w:type="dxa"/>
              <w:bottom w:w="28" w:type="dxa"/>
            </w:tcMar>
            <w:vAlign w:val="center"/>
          </w:tcPr>
          <w:p w14:paraId="31DF617E">
            <w:pPr>
              <w:jc w:val="center"/>
              <w:rPr>
                <w:rFonts w:ascii="宋体" w:hAnsi="宋体" w:eastAsia="宋体" w:cs="Times New Roman"/>
                <w:color w:val="auto"/>
              </w:rPr>
            </w:pPr>
            <w:r>
              <w:rPr>
                <w:rFonts w:ascii="宋体" w:hAnsi="宋体" w:eastAsia="宋体" w:cs="Times New Roman"/>
                <w:color w:val="auto"/>
              </w:rPr>
              <w:t>3</w:t>
            </w:r>
          </w:p>
        </w:tc>
        <w:tc>
          <w:tcPr>
            <w:tcW w:w="435" w:type="pct"/>
            <w:vMerge w:val="restart"/>
            <w:shd w:val="clear" w:color="auto" w:fill="auto"/>
            <w:tcMar>
              <w:top w:w="28" w:type="dxa"/>
              <w:bottom w:w="28" w:type="dxa"/>
            </w:tcMar>
            <w:vAlign w:val="center"/>
          </w:tcPr>
          <w:p w14:paraId="61ABF53D">
            <w:pPr>
              <w:jc w:val="center"/>
              <w:rPr>
                <w:rFonts w:ascii="宋体" w:hAnsi="宋体" w:eastAsia="宋体" w:cs="Times New Roman"/>
                <w:color w:val="auto"/>
              </w:rPr>
            </w:pPr>
            <w:r>
              <w:rPr>
                <w:rFonts w:ascii="宋体" w:hAnsi="宋体" w:eastAsia="宋体" w:cs="Times New Roman"/>
                <w:color w:val="auto"/>
              </w:rPr>
              <w:t>土壤</w:t>
            </w:r>
          </w:p>
        </w:tc>
        <w:tc>
          <w:tcPr>
            <w:tcW w:w="898" w:type="pct"/>
            <w:vMerge w:val="restart"/>
            <w:shd w:val="clear" w:color="auto" w:fill="auto"/>
            <w:tcMar>
              <w:top w:w="28" w:type="dxa"/>
              <w:bottom w:w="28" w:type="dxa"/>
            </w:tcMar>
            <w:vAlign w:val="center"/>
          </w:tcPr>
          <w:p w14:paraId="1CEC1687">
            <w:pPr>
              <w:jc w:val="center"/>
              <w:rPr>
                <w:rFonts w:ascii="宋体" w:hAnsi="宋体" w:eastAsia="宋体" w:cs="Times New Roman"/>
                <w:color w:val="auto"/>
              </w:rPr>
            </w:pPr>
            <w:r>
              <w:rPr>
                <w:rFonts w:ascii="宋体" w:hAnsi="宋体" w:eastAsia="宋体" w:cs="Times New Roman"/>
                <w:color w:val="auto"/>
              </w:rPr>
              <w:t>pH、石油类、石油烃（C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）、砷、六价铬</w:t>
            </w:r>
          </w:p>
        </w:tc>
        <w:tc>
          <w:tcPr>
            <w:tcW w:w="1095" w:type="pct"/>
            <w:shd w:val="clear" w:color="auto" w:fill="auto"/>
            <w:tcMar>
              <w:top w:w="28" w:type="dxa"/>
              <w:bottom w:w="28" w:type="dxa"/>
            </w:tcMar>
            <w:vAlign w:val="center"/>
          </w:tcPr>
          <w:p w14:paraId="28290C11">
            <w:pPr>
              <w:jc w:val="center"/>
              <w:rPr>
                <w:rFonts w:ascii="宋体" w:hAnsi="宋体" w:eastAsia="宋体" w:cs="Times New Roman"/>
                <w:color w:val="auto"/>
              </w:rPr>
            </w:pPr>
            <w:r>
              <w:rPr>
                <w:rFonts w:hint="eastAsia" w:ascii="宋体" w:hAnsi="宋体" w:eastAsia="宋体" w:cs="Times New Roman"/>
                <w:color w:val="auto"/>
              </w:rPr>
              <w:t>3#平台</w:t>
            </w:r>
            <w:r>
              <w:rPr>
                <w:rFonts w:ascii="宋体" w:hAnsi="宋体" w:eastAsia="宋体" w:cs="Times New Roman"/>
                <w:color w:val="auto"/>
              </w:rPr>
              <w:t>井场</w:t>
            </w:r>
          </w:p>
        </w:tc>
        <w:tc>
          <w:tcPr>
            <w:tcW w:w="640" w:type="pct"/>
            <w:shd w:val="clear" w:color="auto" w:fill="auto"/>
            <w:vAlign w:val="center"/>
          </w:tcPr>
          <w:p w14:paraId="49C0A58B">
            <w:pPr>
              <w:jc w:val="center"/>
              <w:rPr>
                <w:rFonts w:ascii="宋体" w:hAnsi="宋体" w:eastAsia="宋体" w:cs="Times New Roman"/>
                <w:color w:val="auto"/>
              </w:rPr>
            </w:pPr>
            <w:r>
              <w:rPr>
                <w:rFonts w:ascii="宋体" w:hAnsi="宋体" w:eastAsia="宋体" w:cs="Times New Roman"/>
                <w:color w:val="auto"/>
              </w:rPr>
              <w:t>125.17320</w:t>
            </w:r>
            <w:r>
              <w:rPr>
                <w:rFonts w:hint="eastAsia" w:ascii="宋体" w:hAnsi="宋体" w:eastAsia="宋体" w:cs="Times New Roman"/>
                <w:color w:val="auto"/>
              </w:rPr>
              <w:t>，</w:t>
            </w:r>
            <w:r>
              <w:rPr>
                <w:rFonts w:ascii="宋体" w:hAnsi="宋体" w:eastAsia="宋体" w:cs="Times New Roman"/>
                <w:color w:val="auto"/>
              </w:rPr>
              <w:t>45.56457</w:t>
            </w:r>
          </w:p>
        </w:tc>
        <w:tc>
          <w:tcPr>
            <w:tcW w:w="1100" w:type="pct"/>
            <w:shd w:val="clear" w:color="auto" w:fill="auto"/>
            <w:vAlign w:val="center"/>
          </w:tcPr>
          <w:p w14:paraId="7E9B9644">
            <w:pPr>
              <w:jc w:val="center"/>
              <w:rPr>
                <w:rFonts w:ascii="宋体" w:hAnsi="宋体" w:eastAsia="宋体" w:cs="Times New Roman"/>
                <w:color w:val="auto"/>
              </w:rPr>
            </w:pPr>
            <w:r>
              <w:rPr>
                <w:rFonts w:ascii="宋体" w:hAnsi="宋体" w:eastAsia="宋体" w:cs="Times New Roman"/>
                <w:color w:val="auto"/>
              </w:rPr>
              <w:t>拟建井场</w:t>
            </w:r>
          </w:p>
        </w:tc>
        <w:tc>
          <w:tcPr>
            <w:tcW w:w="526" w:type="pct"/>
            <w:vMerge w:val="restart"/>
            <w:shd w:val="clear" w:color="auto" w:fill="auto"/>
            <w:tcMar>
              <w:top w:w="28" w:type="dxa"/>
              <w:bottom w:w="28" w:type="dxa"/>
            </w:tcMar>
            <w:vAlign w:val="center"/>
          </w:tcPr>
          <w:p w14:paraId="31E0A790">
            <w:pPr>
              <w:jc w:val="center"/>
              <w:rPr>
                <w:rFonts w:ascii="宋体" w:hAnsi="宋体" w:eastAsia="宋体" w:cs="Times New Roman"/>
                <w:color w:val="auto"/>
              </w:rPr>
            </w:pPr>
            <w:r>
              <w:rPr>
                <w:rFonts w:ascii="宋体" w:hAnsi="宋体" w:eastAsia="宋体" w:cs="Times New Roman"/>
                <w:color w:val="auto"/>
              </w:rPr>
              <w:t>1次/年</w:t>
            </w:r>
          </w:p>
        </w:tc>
      </w:tr>
      <w:tr w14:paraId="28DE322B">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30857F9E">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0C7D9C28">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49DC5025">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23FB7C53">
            <w:pPr>
              <w:jc w:val="center"/>
              <w:rPr>
                <w:rFonts w:ascii="宋体" w:hAnsi="宋体" w:eastAsia="宋体" w:cs="Times New Roman"/>
                <w:color w:val="auto"/>
              </w:rPr>
            </w:pPr>
            <w:r>
              <w:rPr>
                <w:rFonts w:hint="eastAsia" w:ascii="宋体" w:hAnsi="宋体" w:eastAsia="宋体" w:cs="Times New Roman"/>
                <w:color w:val="auto"/>
                <w:kern w:val="21"/>
              </w:rPr>
              <w:t>源1011井场</w:t>
            </w:r>
          </w:p>
        </w:tc>
        <w:tc>
          <w:tcPr>
            <w:tcW w:w="640" w:type="pct"/>
            <w:shd w:val="clear" w:color="auto" w:fill="auto"/>
            <w:vAlign w:val="center"/>
          </w:tcPr>
          <w:p w14:paraId="01DD50AD">
            <w:pPr>
              <w:jc w:val="center"/>
              <w:rPr>
                <w:rFonts w:ascii="宋体" w:hAnsi="宋体" w:eastAsia="宋体" w:cs="Times New Roman"/>
                <w:color w:val="auto"/>
              </w:rPr>
            </w:pPr>
            <w:r>
              <w:rPr>
                <w:rFonts w:ascii="宋体" w:hAnsi="宋体" w:eastAsia="宋体" w:cs="Times New Roman"/>
                <w:color w:val="auto"/>
              </w:rPr>
              <w:t>125.14518</w:t>
            </w:r>
            <w:r>
              <w:rPr>
                <w:rFonts w:hint="eastAsia" w:ascii="宋体" w:hAnsi="宋体" w:eastAsia="宋体" w:cs="Times New Roman"/>
                <w:color w:val="auto"/>
              </w:rPr>
              <w:t>，</w:t>
            </w:r>
            <w:r>
              <w:rPr>
                <w:rFonts w:ascii="宋体" w:hAnsi="宋体" w:eastAsia="宋体" w:cs="Times New Roman"/>
                <w:color w:val="auto"/>
              </w:rPr>
              <w:t>45.53281</w:t>
            </w:r>
          </w:p>
        </w:tc>
        <w:tc>
          <w:tcPr>
            <w:tcW w:w="1100" w:type="pct"/>
            <w:shd w:val="clear" w:color="auto" w:fill="auto"/>
            <w:vAlign w:val="center"/>
          </w:tcPr>
          <w:p w14:paraId="226CAC21">
            <w:pPr>
              <w:jc w:val="center"/>
              <w:rPr>
                <w:rFonts w:ascii="宋体" w:hAnsi="宋体" w:eastAsia="宋体" w:cs="Times New Roman"/>
                <w:color w:val="auto"/>
              </w:rPr>
            </w:pPr>
            <w:r>
              <w:rPr>
                <w:rFonts w:ascii="宋体" w:hAnsi="宋体" w:eastAsia="宋体" w:cs="Times New Roman"/>
                <w:color w:val="auto"/>
              </w:rPr>
              <w:t>拟建井场</w:t>
            </w:r>
          </w:p>
        </w:tc>
        <w:tc>
          <w:tcPr>
            <w:tcW w:w="526" w:type="pct"/>
            <w:vMerge w:val="continue"/>
            <w:shd w:val="clear" w:color="auto" w:fill="auto"/>
            <w:tcMar>
              <w:top w:w="28" w:type="dxa"/>
              <w:bottom w:w="28" w:type="dxa"/>
            </w:tcMar>
            <w:vAlign w:val="center"/>
          </w:tcPr>
          <w:p w14:paraId="3E143912">
            <w:pPr>
              <w:jc w:val="center"/>
              <w:rPr>
                <w:rFonts w:ascii="宋体" w:hAnsi="宋体" w:eastAsia="宋体" w:cs="Times New Roman"/>
                <w:color w:val="auto"/>
              </w:rPr>
            </w:pPr>
          </w:p>
        </w:tc>
      </w:tr>
      <w:tr w14:paraId="61D7075B">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6F377229">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3D23873B">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1707B17C">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1D30ADBA">
            <w:pPr>
              <w:jc w:val="center"/>
              <w:rPr>
                <w:rFonts w:ascii="宋体" w:hAnsi="宋体" w:eastAsia="宋体" w:cs="Times New Roman"/>
                <w:color w:val="auto"/>
              </w:rPr>
            </w:pPr>
            <w:r>
              <w:rPr>
                <w:rFonts w:hint="eastAsia" w:ascii="宋体" w:hAnsi="宋体" w:eastAsia="宋体" w:cs="Times New Roman"/>
                <w:color w:val="auto"/>
                <w:kern w:val="21"/>
              </w:rPr>
              <w:t>源斜2401井场</w:t>
            </w:r>
          </w:p>
        </w:tc>
        <w:tc>
          <w:tcPr>
            <w:tcW w:w="640" w:type="pct"/>
            <w:shd w:val="clear" w:color="auto" w:fill="auto"/>
            <w:vAlign w:val="center"/>
          </w:tcPr>
          <w:p w14:paraId="6F857D94">
            <w:pPr>
              <w:jc w:val="center"/>
              <w:rPr>
                <w:rFonts w:ascii="宋体" w:hAnsi="宋体" w:eastAsia="宋体" w:cs="Times New Roman"/>
                <w:color w:val="auto"/>
              </w:rPr>
            </w:pPr>
            <w:r>
              <w:rPr>
                <w:rFonts w:ascii="宋体" w:hAnsi="宋体" w:eastAsia="宋体" w:cs="Times New Roman"/>
                <w:color w:val="auto"/>
              </w:rPr>
              <w:t>125.04556</w:t>
            </w:r>
            <w:r>
              <w:rPr>
                <w:rFonts w:hint="eastAsia" w:ascii="宋体" w:hAnsi="宋体" w:eastAsia="宋体" w:cs="Times New Roman"/>
                <w:color w:val="auto"/>
              </w:rPr>
              <w:t>，</w:t>
            </w:r>
            <w:r>
              <w:rPr>
                <w:rFonts w:ascii="宋体" w:hAnsi="宋体" w:eastAsia="宋体" w:cs="Times New Roman"/>
                <w:color w:val="auto"/>
              </w:rPr>
              <w:t>45.51226</w:t>
            </w:r>
          </w:p>
        </w:tc>
        <w:tc>
          <w:tcPr>
            <w:tcW w:w="1100" w:type="pct"/>
            <w:shd w:val="clear" w:color="auto" w:fill="auto"/>
            <w:vAlign w:val="center"/>
          </w:tcPr>
          <w:p w14:paraId="6F2F7BC4">
            <w:pPr>
              <w:jc w:val="center"/>
              <w:rPr>
                <w:rFonts w:ascii="宋体" w:hAnsi="宋体" w:eastAsia="宋体" w:cs="Times New Roman"/>
                <w:color w:val="auto"/>
              </w:rPr>
            </w:pPr>
            <w:r>
              <w:rPr>
                <w:rFonts w:hint="eastAsia" w:ascii="宋体" w:hAnsi="宋体" w:eastAsia="宋体" w:cs="Times New Roman"/>
                <w:color w:val="auto"/>
              </w:rPr>
              <w:t>拟建井场</w:t>
            </w:r>
          </w:p>
        </w:tc>
        <w:tc>
          <w:tcPr>
            <w:tcW w:w="526" w:type="pct"/>
            <w:vMerge w:val="continue"/>
            <w:shd w:val="clear" w:color="auto" w:fill="auto"/>
            <w:tcMar>
              <w:top w:w="28" w:type="dxa"/>
              <w:bottom w:w="28" w:type="dxa"/>
            </w:tcMar>
            <w:vAlign w:val="center"/>
          </w:tcPr>
          <w:p w14:paraId="0BAC08B7">
            <w:pPr>
              <w:jc w:val="center"/>
              <w:rPr>
                <w:rFonts w:ascii="宋体" w:hAnsi="宋体" w:eastAsia="宋体" w:cs="Times New Roman"/>
                <w:color w:val="auto"/>
              </w:rPr>
            </w:pPr>
          </w:p>
        </w:tc>
      </w:tr>
    </w:tbl>
    <w:p w14:paraId="114214B7">
      <w:pPr>
        <w:pStyle w:val="276"/>
        <w:widowControl w:val="0"/>
        <w:spacing w:line="440" w:lineRule="exact"/>
        <w:ind w:firstLine="0" w:firstLineChars="0"/>
        <w:jc w:val="center"/>
        <w:rPr>
          <w:color w:val="auto"/>
          <w:kern w:val="21"/>
        </w:rPr>
      </w:pPr>
      <w:r>
        <w:rPr>
          <w:color w:val="auto"/>
          <w:kern w:val="21"/>
        </w:rPr>
        <w:t>表8.2-6 生态调查方案</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746"/>
        <w:gridCol w:w="1605"/>
        <w:gridCol w:w="2821"/>
        <w:gridCol w:w="1676"/>
        <w:gridCol w:w="2278"/>
      </w:tblGrid>
      <w:tr w14:paraId="1B0B0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9" w:type="pct"/>
            <w:shd w:val="clear" w:color="auto" w:fill="auto"/>
            <w:tcMar>
              <w:top w:w="28" w:type="dxa"/>
              <w:left w:w="28" w:type="dxa"/>
              <w:bottom w:w="28" w:type="dxa"/>
              <w:right w:w="28" w:type="dxa"/>
            </w:tcMar>
            <w:vAlign w:val="center"/>
          </w:tcPr>
          <w:p w14:paraId="2F215E1D">
            <w:pPr>
              <w:jc w:val="center"/>
              <w:rPr>
                <w:rFonts w:ascii="宋体" w:hAnsi="宋体" w:eastAsia="宋体" w:cs="Times New Roman"/>
                <w:color w:val="auto"/>
              </w:rPr>
            </w:pPr>
            <w:r>
              <w:rPr>
                <w:rFonts w:ascii="宋体" w:hAnsi="宋体" w:eastAsia="宋体" w:cs="Times New Roman"/>
                <w:color w:val="auto"/>
              </w:rPr>
              <w:t>序号</w:t>
            </w:r>
          </w:p>
        </w:tc>
        <w:tc>
          <w:tcPr>
            <w:tcW w:w="879" w:type="pct"/>
            <w:shd w:val="clear" w:color="auto" w:fill="auto"/>
            <w:tcMar>
              <w:top w:w="28" w:type="dxa"/>
              <w:left w:w="28" w:type="dxa"/>
              <w:bottom w:w="28" w:type="dxa"/>
              <w:right w:w="28" w:type="dxa"/>
            </w:tcMar>
            <w:vAlign w:val="center"/>
          </w:tcPr>
          <w:p w14:paraId="2E2449C4">
            <w:pPr>
              <w:jc w:val="center"/>
              <w:rPr>
                <w:rFonts w:ascii="宋体" w:hAnsi="宋体" w:eastAsia="宋体" w:cs="Times New Roman"/>
                <w:color w:val="auto"/>
              </w:rPr>
            </w:pPr>
            <w:r>
              <w:rPr>
                <w:rFonts w:ascii="宋体" w:hAnsi="宋体" w:eastAsia="宋体" w:cs="Times New Roman"/>
                <w:color w:val="auto"/>
              </w:rPr>
              <w:t>调查内容</w:t>
            </w:r>
          </w:p>
        </w:tc>
        <w:tc>
          <w:tcPr>
            <w:tcW w:w="1545" w:type="pct"/>
            <w:shd w:val="clear" w:color="auto" w:fill="auto"/>
            <w:tcMar>
              <w:top w:w="28" w:type="dxa"/>
              <w:left w:w="28" w:type="dxa"/>
              <w:bottom w:w="28" w:type="dxa"/>
              <w:right w:w="28" w:type="dxa"/>
            </w:tcMar>
            <w:vAlign w:val="center"/>
          </w:tcPr>
          <w:p w14:paraId="412EA5C4">
            <w:pPr>
              <w:jc w:val="center"/>
              <w:rPr>
                <w:rFonts w:ascii="宋体" w:hAnsi="宋体" w:eastAsia="宋体" w:cs="Times New Roman"/>
                <w:color w:val="auto"/>
              </w:rPr>
            </w:pPr>
            <w:r>
              <w:rPr>
                <w:rFonts w:ascii="宋体" w:hAnsi="宋体" w:eastAsia="宋体" w:cs="Times New Roman"/>
                <w:color w:val="auto"/>
              </w:rPr>
              <w:t>调查方法</w:t>
            </w:r>
          </w:p>
        </w:tc>
        <w:tc>
          <w:tcPr>
            <w:tcW w:w="918" w:type="pct"/>
            <w:shd w:val="clear" w:color="auto" w:fill="auto"/>
            <w:tcMar>
              <w:top w:w="28" w:type="dxa"/>
              <w:left w:w="28" w:type="dxa"/>
              <w:bottom w:w="28" w:type="dxa"/>
              <w:right w:w="28" w:type="dxa"/>
            </w:tcMar>
            <w:vAlign w:val="center"/>
          </w:tcPr>
          <w:p w14:paraId="359A2792">
            <w:pPr>
              <w:jc w:val="center"/>
              <w:rPr>
                <w:rFonts w:ascii="宋体" w:hAnsi="宋体" w:eastAsia="宋体" w:cs="Times New Roman"/>
                <w:color w:val="auto"/>
              </w:rPr>
            </w:pPr>
            <w:r>
              <w:rPr>
                <w:rFonts w:ascii="宋体" w:hAnsi="宋体" w:eastAsia="宋体" w:cs="Times New Roman"/>
                <w:color w:val="auto"/>
              </w:rPr>
              <w:t>点位</w:t>
            </w:r>
          </w:p>
        </w:tc>
        <w:tc>
          <w:tcPr>
            <w:tcW w:w="1248" w:type="pct"/>
            <w:shd w:val="clear" w:color="auto" w:fill="auto"/>
            <w:tcMar>
              <w:top w:w="28" w:type="dxa"/>
              <w:left w:w="28" w:type="dxa"/>
              <w:bottom w:w="28" w:type="dxa"/>
              <w:right w:w="28" w:type="dxa"/>
            </w:tcMar>
            <w:vAlign w:val="center"/>
          </w:tcPr>
          <w:p w14:paraId="75ECDDEF">
            <w:pPr>
              <w:jc w:val="center"/>
              <w:rPr>
                <w:rFonts w:ascii="宋体" w:hAnsi="宋体" w:eastAsia="宋体" w:cs="Times New Roman"/>
                <w:color w:val="auto"/>
              </w:rPr>
            </w:pPr>
            <w:r>
              <w:rPr>
                <w:rFonts w:ascii="宋体" w:hAnsi="宋体" w:eastAsia="宋体" w:cs="Times New Roman"/>
                <w:color w:val="auto"/>
              </w:rPr>
              <w:t>监测频次</w:t>
            </w:r>
          </w:p>
        </w:tc>
      </w:tr>
      <w:tr w14:paraId="0651D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9" w:type="pct"/>
            <w:shd w:val="clear" w:color="auto" w:fill="auto"/>
            <w:tcMar>
              <w:top w:w="28" w:type="dxa"/>
              <w:left w:w="28" w:type="dxa"/>
              <w:bottom w:w="28" w:type="dxa"/>
              <w:right w:w="28" w:type="dxa"/>
            </w:tcMar>
            <w:vAlign w:val="center"/>
          </w:tcPr>
          <w:p w14:paraId="11434F20">
            <w:pPr>
              <w:jc w:val="center"/>
              <w:rPr>
                <w:rFonts w:ascii="宋体" w:hAnsi="宋体" w:eastAsia="宋体" w:cs="Times New Roman"/>
                <w:color w:val="auto"/>
              </w:rPr>
            </w:pPr>
            <w:r>
              <w:rPr>
                <w:rFonts w:ascii="宋体" w:hAnsi="宋体" w:eastAsia="宋体" w:cs="Times New Roman"/>
                <w:color w:val="auto"/>
              </w:rPr>
              <w:t>1</w:t>
            </w:r>
          </w:p>
        </w:tc>
        <w:tc>
          <w:tcPr>
            <w:tcW w:w="879" w:type="pct"/>
            <w:shd w:val="clear" w:color="auto" w:fill="auto"/>
            <w:tcMar>
              <w:top w:w="28" w:type="dxa"/>
              <w:left w:w="28" w:type="dxa"/>
              <w:bottom w:w="28" w:type="dxa"/>
              <w:right w:w="28" w:type="dxa"/>
            </w:tcMar>
            <w:vAlign w:val="center"/>
          </w:tcPr>
          <w:p w14:paraId="5E3F4B80">
            <w:pPr>
              <w:jc w:val="center"/>
              <w:rPr>
                <w:rFonts w:ascii="宋体" w:hAnsi="宋体" w:eastAsia="宋体" w:cs="Times New Roman"/>
                <w:color w:val="auto"/>
              </w:rPr>
            </w:pPr>
            <w:r>
              <w:rPr>
                <w:rFonts w:ascii="宋体" w:hAnsi="宋体" w:eastAsia="宋体" w:cs="Times New Roman"/>
                <w:color w:val="auto"/>
              </w:rPr>
              <w:t>植被恢复情况</w:t>
            </w:r>
          </w:p>
        </w:tc>
        <w:tc>
          <w:tcPr>
            <w:tcW w:w="1545" w:type="pct"/>
            <w:shd w:val="clear" w:color="auto" w:fill="auto"/>
            <w:tcMar>
              <w:top w:w="28" w:type="dxa"/>
              <w:left w:w="28" w:type="dxa"/>
              <w:bottom w:w="28" w:type="dxa"/>
              <w:right w:w="28" w:type="dxa"/>
            </w:tcMar>
            <w:vAlign w:val="center"/>
          </w:tcPr>
          <w:p w14:paraId="3D405547">
            <w:pPr>
              <w:jc w:val="center"/>
              <w:rPr>
                <w:rFonts w:ascii="宋体" w:hAnsi="宋体" w:eastAsia="宋体" w:cs="Times New Roman"/>
                <w:color w:val="auto"/>
              </w:rPr>
            </w:pPr>
            <w:r>
              <w:rPr>
                <w:rFonts w:ascii="宋体" w:hAnsi="宋体" w:eastAsia="宋体" w:cs="Times New Roman"/>
                <w:color w:val="auto"/>
              </w:rPr>
              <w:t>样方调查</w:t>
            </w:r>
          </w:p>
        </w:tc>
        <w:tc>
          <w:tcPr>
            <w:tcW w:w="918" w:type="pct"/>
            <w:shd w:val="clear" w:color="auto" w:fill="auto"/>
            <w:tcMar>
              <w:top w:w="28" w:type="dxa"/>
              <w:left w:w="28" w:type="dxa"/>
              <w:bottom w:w="28" w:type="dxa"/>
              <w:right w:w="28" w:type="dxa"/>
            </w:tcMar>
            <w:vAlign w:val="center"/>
          </w:tcPr>
          <w:p w14:paraId="68144E38">
            <w:pPr>
              <w:snapToGrid w:val="0"/>
              <w:jc w:val="center"/>
              <w:rPr>
                <w:rFonts w:ascii="宋体" w:hAnsi="宋体" w:eastAsia="宋体" w:cs="Times New Roman"/>
                <w:color w:val="auto"/>
              </w:rPr>
            </w:pPr>
            <w:r>
              <w:rPr>
                <w:rFonts w:ascii="宋体" w:hAnsi="宋体" w:eastAsia="宋体" w:cs="Times New Roman"/>
                <w:color w:val="auto"/>
              </w:rPr>
              <w:t>临时占地内</w:t>
            </w:r>
          </w:p>
        </w:tc>
        <w:tc>
          <w:tcPr>
            <w:tcW w:w="1248" w:type="pct"/>
            <w:shd w:val="clear" w:color="auto" w:fill="auto"/>
            <w:tcMar>
              <w:top w:w="28" w:type="dxa"/>
              <w:left w:w="28" w:type="dxa"/>
              <w:bottom w:w="28" w:type="dxa"/>
              <w:right w:w="28" w:type="dxa"/>
            </w:tcMar>
            <w:vAlign w:val="center"/>
          </w:tcPr>
          <w:p w14:paraId="6E09BAD8">
            <w:pPr>
              <w:jc w:val="center"/>
              <w:rPr>
                <w:rFonts w:ascii="宋体" w:hAnsi="宋体" w:eastAsia="宋体" w:cs="Times New Roman"/>
                <w:color w:val="auto"/>
              </w:rPr>
            </w:pPr>
            <w:r>
              <w:rPr>
                <w:rFonts w:ascii="宋体" w:hAnsi="宋体" w:eastAsia="宋体" w:cs="Times New Roman"/>
                <w:color w:val="auto"/>
              </w:rPr>
              <w:t>1次/年，直至恢复至与周边地表植被相协调</w:t>
            </w:r>
          </w:p>
        </w:tc>
      </w:tr>
      <w:bookmarkEnd w:id="1761"/>
      <w:bookmarkEnd w:id="1762"/>
      <w:bookmarkEnd w:id="1763"/>
      <w:bookmarkEnd w:id="1764"/>
      <w:bookmarkEnd w:id="1765"/>
      <w:bookmarkEnd w:id="1771"/>
      <w:bookmarkEnd w:id="1772"/>
      <w:bookmarkEnd w:id="1773"/>
      <w:bookmarkEnd w:id="1774"/>
      <w:bookmarkEnd w:id="1775"/>
    </w:tbl>
    <w:p w14:paraId="223AC6FA">
      <w:pPr>
        <w:pStyle w:val="6"/>
        <w:rPr>
          <w:color w:val="auto"/>
        </w:rPr>
      </w:pPr>
      <w:bookmarkStart w:id="1974" w:name="_Toc141286423"/>
      <w:bookmarkStart w:id="1975" w:name="_Toc502736556"/>
      <w:bookmarkStart w:id="1976" w:name="_Toc480447686"/>
      <w:bookmarkStart w:id="1977" w:name="_Toc255202340"/>
      <w:bookmarkStart w:id="1978" w:name="_Toc277178465"/>
      <w:bookmarkStart w:id="1979" w:name="_Toc255202323"/>
      <w:bookmarkStart w:id="1980" w:name="_Toc277178450"/>
      <w:bookmarkStart w:id="1981" w:name="_Toc456590420"/>
      <w:bookmarkStart w:id="1982" w:name="_Toc346267817"/>
      <w:r>
        <w:rPr>
          <w:color w:val="auto"/>
        </w:rPr>
        <w:t>退役期环境管理与监测计划</w:t>
      </w:r>
    </w:p>
    <w:p w14:paraId="43F02A34">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退役期环境管理</w:t>
      </w:r>
    </w:p>
    <w:p w14:paraId="6F8FEE5F">
      <w:pPr>
        <w:spacing w:line="440" w:lineRule="exact"/>
        <w:ind w:firstLine="480" w:firstLineChars="200"/>
        <w:rPr>
          <w:rFonts w:ascii="宋体" w:hAnsi="宋体" w:eastAsia="宋体" w:cs="Times New Roman"/>
          <w:snapToGrid w:val="0"/>
          <w:color w:val="auto"/>
          <w:sz w:val="24"/>
          <w:szCs w:val="24"/>
        </w:rPr>
      </w:pPr>
      <w:r>
        <w:rPr>
          <w:rFonts w:ascii="宋体" w:hAnsi="宋体" w:eastAsia="宋体" w:cs="Times New Roman"/>
          <w:snapToGrid w:val="0"/>
          <w:color w:val="auto"/>
          <w:sz w:val="24"/>
          <w:szCs w:val="24"/>
        </w:rPr>
        <w:t>（1）进行环境监测，掌握污染现状；</w:t>
      </w:r>
    </w:p>
    <w:p w14:paraId="7FB89869">
      <w:pPr>
        <w:spacing w:line="440" w:lineRule="exact"/>
        <w:ind w:firstLine="480" w:firstLineChars="200"/>
        <w:rPr>
          <w:rFonts w:ascii="宋体" w:hAnsi="宋体" w:eastAsia="宋体" w:cs="Times New Roman"/>
          <w:snapToGrid w:val="0"/>
          <w:color w:val="auto"/>
          <w:sz w:val="24"/>
          <w:szCs w:val="24"/>
        </w:rPr>
      </w:pPr>
      <w:r>
        <w:rPr>
          <w:rFonts w:ascii="宋体" w:hAnsi="宋体" w:eastAsia="宋体" w:cs="Times New Roman"/>
          <w:snapToGrid w:val="0"/>
          <w:color w:val="auto"/>
          <w:sz w:val="24"/>
          <w:szCs w:val="24"/>
        </w:rPr>
        <w:t>（2）定时定点监测周围环境，及时掌握环境状况的资料，促进环境管理的深入和污染治理的落实；</w:t>
      </w:r>
    </w:p>
    <w:p w14:paraId="67BBF58B">
      <w:pPr>
        <w:spacing w:line="440" w:lineRule="exact"/>
        <w:ind w:firstLine="480" w:firstLineChars="200"/>
        <w:rPr>
          <w:rFonts w:ascii="宋体" w:hAnsi="宋体" w:eastAsia="宋体" w:cs="Times New Roman"/>
          <w:snapToGrid w:val="0"/>
          <w:color w:val="auto"/>
          <w:sz w:val="24"/>
          <w:szCs w:val="24"/>
        </w:rPr>
      </w:pPr>
      <w:r>
        <w:rPr>
          <w:rFonts w:ascii="宋体" w:hAnsi="宋体" w:eastAsia="宋体" w:cs="Times New Roman"/>
          <w:snapToGrid w:val="0"/>
          <w:color w:val="auto"/>
          <w:sz w:val="24"/>
          <w:szCs w:val="24"/>
        </w:rPr>
        <w:t>（3）落实环境管理制度；</w:t>
      </w:r>
    </w:p>
    <w:p w14:paraId="30C7CA03">
      <w:pPr>
        <w:spacing w:line="440" w:lineRule="exact"/>
        <w:ind w:firstLine="480" w:firstLineChars="200"/>
        <w:rPr>
          <w:rFonts w:ascii="宋体" w:hAnsi="宋体" w:eastAsia="宋体" w:cs="Times New Roman"/>
          <w:snapToGrid w:val="0"/>
          <w:color w:val="auto"/>
          <w:sz w:val="24"/>
          <w:szCs w:val="24"/>
        </w:rPr>
      </w:pPr>
      <w:r>
        <w:rPr>
          <w:rFonts w:ascii="宋体" w:hAnsi="宋体" w:eastAsia="宋体" w:cs="Times New Roman"/>
          <w:snapToGrid w:val="0"/>
          <w:color w:val="auto"/>
          <w:sz w:val="24"/>
          <w:szCs w:val="24"/>
        </w:rPr>
        <w:t>（4）检查环保措施可行性。</w:t>
      </w:r>
    </w:p>
    <w:p w14:paraId="7B9D99DF">
      <w:pPr>
        <w:keepNext/>
        <w:numPr>
          <w:ilvl w:val="3"/>
          <w:numId w:val="1"/>
        </w:numPr>
        <w:adjustRightInd w:val="0"/>
        <w:snapToGrid w:val="0"/>
        <w:spacing w:before="100" w:beforeAutospacing="1" w:line="360" w:lineRule="auto"/>
        <w:jc w:val="left"/>
        <w:outlineLvl w:val="3"/>
        <w:rPr>
          <w:rFonts w:ascii="宋体" w:hAnsi="宋体" w:eastAsia="宋体" w:cs="Times New Roman"/>
          <w:b/>
          <w:bCs/>
          <w:color w:val="auto"/>
          <w:szCs w:val="28"/>
        </w:rPr>
      </w:pPr>
      <w:r>
        <w:rPr>
          <w:rFonts w:ascii="宋体" w:hAnsi="宋体" w:eastAsia="宋体" w:cs="Times New Roman"/>
          <w:b/>
          <w:bCs/>
          <w:color w:val="auto"/>
          <w:szCs w:val="28"/>
        </w:rPr>
        <w:t>退役期环境监测计划</w:t>
      </w:r>
    </w:p>
    <w:p w14:paraId="6824F679">
      <w:pPr>
        <w:spacing w:line="440" w:lineRule="exact"/>
        <w:ind w:firstLine="480" w:firstLineChars="200"/>
        <w:rPr>
          <w:rFonts w:ascii="宋体" w:hAnsi="宋体" w:eastAsia="宋体" w:cs="Times New Roman"/>
          <w:snapToGrid w:val="0"/>
          <w:color w:val="auto"/>
          <w:sz w:val="24"/>
          <w:szCs w:val="24"/>
        </w:rPr>
      </w:pPr>
      <w:r>
        <w:rPr>
          <w:rFonts w:ascii="宋体" w:hAnsi="宋体" w:eastAsia="宋体" w:cs="Times New Roman"/>
          <w:snapToGrid w:val="0"/>
          <w:color w:val="auto"/>
          <w:sz w:val="24"/>
          <w:szCs w:val="24"/>
        </w:rPr>
        <w:t>本项目退役期需要进行的环境监测任务委托取得相关资质的地方环境监测站进行。环境监测应按国家和地方的环保要求进行，应采用国家规定的标准监测方法，并应按照规定，定期向有关环境保护主管部门上报监测结果。</w:t>
      </w:r>
    </w:p>
    <w:p w14:paraId="6D10608A">
      <w:pPr>
        <w:spacing w:line="440" w:lineRule="exact"/>
        <w:ind w:firstLine="480" w:firstLineChars="200"/>
        <w:rPr>
          <w:rFonts w:ascii="宋体" w:hAnsi="宋体" w:eastAsia="宋体" w:cs="Times New Roman"/>
          <w:snapToGrid w:val="0"/>
          <w:color w:val="auto"/>
          <w:sz w:val="24"/>
          <w:szCs w:val="24"/>
        </w:rPr>
      </w:pPr>
      <w:r>
        <w:rPr>
          <w:rFonts w:ascii="宋体" w:hAnsi="宋体" w:eastAsia="宋体" w:cs="Times New Roman"/>
          <w:snapToGrid w:val="0"/>
          <w:color w:val="auto"/>
          <w:sz w:val="24"/>
          <w:szCs w:val="24"/>
        </w:rPr>
        <w:t>根据《排污单位自行监测技术指南总则》（HJ819-2017）、《排污单位自行监测技术指南 陆上石油天然气开采工业》（HJ1248-2022）、《环境影响评价技术导则 陆地石油天然气开发建设项目》（HJ349-2023）中要求：重点对退役期的油气井井口周边地下水环境、油井井口周边土壤环境开展跟踪监测，具体见表 8.2-8。考虑油田为滚动开发，建议企业结合区块内后期计划项目的运营期及退役期跟踪监测计划统筹考虑。</w:t>
      </w:r>
    </w:p>
    <w:p w14:paraId="28546D25">
      <w:pPr>
        <w:pStyle w:val="276"/>
        <w:widowControl w:val="0"/>
        <w:spacing w:line="440" w:lineRule="exact"/>
        <w:ind w:firstLine="0" w:firstLineChars="0"/>
        <w:jc w:val="center"/>
        <w:rPr>
          <w:color w:val="auto"/>
          <w:kern w:val="21"/>
        </w:rPr>
      </w:pPr>
      <w:r>
        <w:rPr>
          <w:color w:val="auto"/>
          <w:kern w:val="21"/>
        </w:rPr>
        <w:t>表8.2-8 项目退役期监测计划表</w:t>
      </w:r>
    </w:p>
    <w:tbl>
      <w:tblPr>
        <w:tblStyle w:val="81"/>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Layout w:type="autofit"/>
        <w:tblCellMar>
          <w:top w:w="0" w:type="dxa"/>
          <w:left w:w="28" w:type="dxa"/>
          <w:bottom w:w="0" w:type="dxa"/>
          <w:right w:w="28" w:type="dxa"/>
        </w:tblCellMar>
      </w:tblPr>
      <w:tblGrid>
        <w:gridCol w:w="516"/>
        <w:gridCol w:w="751"/>
        <w:gridCol w:w="1597"/>
        <w:gridCol w:w="1957"/>
        <w:gridCol w:w="1421"/>
        <w:gridCol w:w="1966"/>
        <w:gridCol w:w="918"/>
      </w:tblGrid>
      <w:tr w14:paraId="67160770">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shd w:val="clear" w:color="auto" w:fill="auto"/>
            <w:tcMar>
              <w:top w:w="28" w:type="dxa"/>
              <w:bottom w:w="28" w:type="dxa"/>
            </w:tcMar>
            <w:vAlign w:val="center"/>
          </w:tcPr>
          <w:p w14:paraId="49EBE435">
            <w:pPr>
              <w:jc w:val="center"/>
              <w:rPr>
                <w:rFonts w:ascii="宋体" w:hAnsi="宋体" w:eastAsia="宋体" w:cs="Times New Roman"/>
                <w:color w:val="auto"/>
              </w:rPr>
            </w:pPr>
            <w:r>
              <w:rPr>
                <w:rFonts w:ascii="宋体" w:hAnsi="宋体" w:eastAsia="宋体" w:cs="Times New Roman"/>
                <w:color w:val="auto"/>
              </w:rPr>
              <w:t>序号</w:t>
            </w:r>
          </w:p>
        </w:tc>
        <w:tc>
          <w:tcPr>
            <w:tcW w:w="435" w:type="pct"/>
            <w:shd w:val="clear" w:color="auto" w:fill="auto"/>
            <w:tcMar>
              <w:top w:w="28" w:type="dxa"/>
              <w:bottom w:w="28" w:type="dxa"/>
            </w:tcMar>
            <w:vAlign w:val="center"/>
          </w:tcPr>
          <w:p w14:paraId="799E8ED5">
            <w:pPr>
              <w:jc w:val="center"/>
              <w:rPr>
                <w:rFonts w:ascii="宋体" w:hAnsi="宋体" w:eastAsia="宋体" w:cs="Times New Roman"/>
                <w:color w:val="auto"/>
              </w:rPr>
            </w:pPr>
            <w:r>
              <w:rPr>
                <w:rFonts w:ascii="宋体" w:hAnsi="宋体" w:eastAsia="宋体" w:cs="Times New Roman"/>
                <w:color w:val="auto"/>
              </w:rPr>
              <w:t>监测内容</w:t>
            </w:r>
          </w:p>
        </w:tc>
        <w:tc>
          <w:tcPr>
            <w:tcW w:w="898" w:type="pct"/>
            <w:shd w:val="clear" w:color="auto" w:fill="auto"/>
            <w:tcMar>
              <w:top w:w="28" w:type="dxa"/>
              <w:bottom w:w="28" w:type="dxa"/>
            </w:tcMar>
            <w:vAlign w:val="center"/>
          </w:tcPr>
          <w:p w14:paraId="52DA6974">
            <w:pPr>
              <w:jc w:val="center"/>
              <w:rPr>
                <w:rFonts w:ascii="宋体" w:hAnsi="宋体" w:eastAsia="宋体" w:cs="Times New Roman"/>
                <w:color w:val="auto"/>
              </w:rPr>
            </w:pPr>
            <w:r>
              <w:rPr>
                <w:rFonts w:ascii="宋体" w:hAnsi="宋体" w:eastAsia="宋体" w:cs="Times New Roman"/>
                <w:color w:val="auto"/>
              </w:rPr>
              <w:t>监测（检查）项目</w:t>
            </w:r>
          </w:p>
        </w:tc>
        <w:tc>
          <w:tcPr>
            <w:tcW w:w="1095" w:type="pct"/>
            <w:shd w:val="clear" w:color="auto" w:fill="auto"/>
            <w:tcMar>
              <w:top w:w="28" w:type="dxa"/>
              <w:bottom w:w="28" w:type="dxa"/>
            </w:tcMar>
            <w:vAlign w:val="center"/>
          </w:tcPr>
          <w:p w14:paraId="200C6C85">
            <w:pPr>
              <w:jc w:val="center"/>
              <w:rPr>
                <w:rFonts w:ascii="宋体" w:hAnsi="宋体" w:eastAsia="宋体" w:cs="Times New Roman"/>
                <w:color w:val="auto"/>
              </w:rPr>
            </w:pPr>
            <w:r>
              <w:rPr>
                <w:rFonts w:ascii="宋体" w:hAnsi="宋体" w:eastAsia="宋体" w:cs="Times New Roman"/>
                <w:color w:val="auto"/>
              </w:rPr>
              <w:t>监测点位</w:t>
            </w:r>
          </w:p>
        </w:tc>
        <w:tc>
          <w:tcPr>
            <w:tcW w:w="640" w:type="pct"/>
            <w:shd w:val="clear" w:color="auto" w:fill="auto"/>
            <w:vAlign w:val="center"/>
          </w:tcPr>
          <w:p w14:paraId="17ABFAF1">
            <w:pPr>
              <w:jc w:val="center"/>
              <w:rPr>
                <w:rFonts w:ascii="宋体" w:hAnsi="宋体" w:eastAsia="宋体" w:cs="Times New Roman"/>
                <w:color w:val="auto"/>
              </w:rPr>
            </w:pPr>
            <w:r>
              <w:rPr>
                <w:rFonts w:ascii="宋体" w:hAnsi="宋体" w:eastAsia="宋体" w:cs="Times New Roman"/>
                <w:color w:val="auto"/>
              </w:rPr>
              <w:t>坐标</w:t>
            </w:r>
            <w:r>
              <w:rPr>
                <w:rFonts w:hint="eastAsia" w:ascii="宋体" w:hAnsi="宋体" w:eastAsia="宋体" w:cs="Times New Roman"/>
                <w:color w:val="auto"/>
              </w:rPr>
              <w:t>/°</w:t>
            </w:r>
          </w:p>
        </w:tc>
        <w:tc>
          <w:tcPr>
            <w:tcW w:w="1100" w:type="pct"/>
            <w:shd w:val="clear" w:color="auto" w:fill="auto"/>
            <w:vAlign w:val="center"/>
          </w:tcPr>
          <w:p w14:paraId="3BC6B41C">
            <w:pPr>
              <w:jc w:val="center"/>
              <w:rPr>
                <w:rFonts w:ascii="宋体" w:hAnsi="宋体" w:eastAsia="宋体" w:cs="Times New Roman"/>
                <w:color w:val="auto"/>
              </w:rPr>
            </w:pPr>
            <w:r>
              <w:rPr>
                <w:rFonts w:ascii="宋体" w:hAnsi="宋体" w:eastAsia="宋体" w:cs="Times New Roman"/>
                <w:color w:val="auto"/>
              </w:rPr>
              <w:t>与本项目的位置关系</w:t>
            </w:r>
          </w:p>
        </w:tc>
        <w:tc>
          <w:tcPr>
            <w:tcW w:w="526" w:type="pct"/>
            <w:shd w:val="clear" w:color="auto" w:fill="auto"/>
            <w:tcMar>
              <w:top w:w="28" w:type="dxa"/>
              <w:bottom w:w="28" w:type="dxa"/>
            </w:tcMar>
            <w:vAlign w:val="center"/>
          </w:tcPr>
          <w:p w14:paraId="50F877BA">
            <w:pPr>
              <w:jc w:val="center"/>
              <w:rPr>
                <w:rFonts w:ascii="宋体" w:hAnsi="宋体" w:eastAsia="宋体" w:cs="Times New Roman"/>
                <w:color w:val="auto"/>
              </w:rPr>
            </w:pPr>
            <w:r>
              <w:rPr>
                <w:rFonts w:ascii="宋体" w:hAnsi="宋体" w:eastAsia="宋体" w:cs="Times New Roman"/>
                <w:color w:val="auto"/>
              </w:rPr>
              <w:t>监测频次</w:t>
            </w:r>
          </w:p>
        </w:tc>
      </w:tr>
      <w:tr w14:paraId="24BF131C">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restart"/>
            <w:shd w:val="clear" w:color="auto" w:fill="auto"/>
            <w:tcMar>
              <w:top w:w="28" w:type="dxa"/>
              <w:bottom w:w="28" w:type="dxa"/>
            </w:tcMar>
            <w:vAlign w:val="center"/>
          </w:tcPr>
          <w:p w14:paraId="532850F7">
            <w:pPr>
              <w:jc w:val="center"/>
              <w:rPr>
                <w:rFonts w:ascii="宋体" w:hAnsi="宋体" w:eastAsia="宋体" w:cs="Times New Roman"/>
                <w:color w:val="auto"/>
              </w:rPr>
            </w:pPr>
            <w:r>
              <w:rPr>
                <w:rFonts w:ascii="宋体" w:hAnsi="宋体" w:eastAsia="宋体" w:cs="Times New Roman"/>
                <w:color w:val="auto"/>
              </w:rPr>
              <w:t>1</w:t>
            </w:r>
          </w:p>
        </w:tc>
        <w:tc>
          <w:tcPr>
            <w:tcW w:w="435" w:type="pct"/>
            <w:vMerge w:val="restart"/>
            <w:shd w:val="clear" w:color="auto" w:fill="auto"/>
            <w:tcMar>
              <w:top w:w="28" w:type="dxa"/>
              <w:bottom w:w="28" w:type="dxa"/>
            </w:tcMar>
            <w:vAlign w:val="center"/>
          </w:tcPr>
          <w:p w14:paraId="4CB7088B">
            <w:pPr>
              <w:jc w:val="center"/>
              <w:rPr>
                <w:rFonts w:ascii="宋体" w:hAnsi="宋体" w:eastAsia="宋体" w:cs="Times New Roman"/>
                <w:color w:val="auto"/>
              </w:rPr>
            </w:pPr>
            <w:r>
              <w:rPr>
                <w:rFonts w:ascii="宋体" w:hAnsi="宋体" w:eastAsia="宋体" w:cs="Times New Roman"/>
                <w:color w:val="auto"/>
              </w:rPr>
              <w:t>地下水</w:t>
            </w:r>
          </w:p>
        </w:tc>
        <w:tc>
          <w:tcPr>
            <w:tcW w:w="898" w:type="pct"/>
            <w:vMerge w:val="restart"/>
            <w:shd w:val="clear" w:color="auto" w:fill="auto"/>
            <w:tcMar>
              <w:top w:w="28" w:type="dxa"/>
              <w:bottom w:w="28" w:type="dxa"/>
            </w:tcMar>
            <w:vAlign w:val="center"/>
          </w:tcPr>
          <w:p w14:paraId="24CF9D28">
            <w:pPr>
              <w:jc w:val="center"/>
              <w:rPr>
                <w:rFonts w:ascii="宋体" w:hAnsi="宋体" w:eastAsia="宋体" w:cs="Times New Roman"/>
                <w:color w:val="auto"/>
              </w:rPr>
            </w:pPr>
            <w:r>
              <w:rPr>
                <w:rFonts w:ascii="宋体" w:hAnsi="宋体" w:eastAsia="宋体" w:cs="Times New Roman"/>
                <w:color w:val="auto"/>
              </w:rPr>
              <w:t>pH、石油类、石油烃（C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）、砷、六价铬、挥发酚、氨氮、耗氧量</w:t>
            </w:r>
          </w:p>
        </w:tc>
        <w:tc>
          <w:tcPr>
            <w:tcW w:w="1095" w:type="pct"/>
            <w:shd w:val="clear" w:color="auto" w:fill="auto"/>
            <w:tcMar>
              <w:top w:w="28" w:type="dxa"/>
              <w:bottom w:w="28" w:type="dxa"/>
            </w:tcMar>
            <w:vAlign w:val="center"/>
          </w:tcPr>
          <w:p w14:paraId="4BCCC725">
            <w:pPr>
              <w:jc w:val="center"/>
              <w:rPr>
                <w:rFonts w:ascii="宋体" w:hAnsi="宋体" w:eastAsia="宋体"/>
                <w:color w:val="auto"/>
              </w:rPr>
            </w:pPr>
            <w:r>
              <w:rPr>
                <w:rFonts w:ascii="宋体" w:hAnsi="宋体" w:eastAsia="宋体"/>
                <w:color w:val="auto"/>
              </w:rPr>
              <w:t>上游王家粉坊屯水</w:t>
            </w:r>
          </w:p>
        </w:tc>
        <w:tc>
          <w:tcPr>
            <w:tcW w:w="640" w:type="pct"/>
            <w:shd w:val="clear" w:color="auto" w:fill="auto"/>
            <w:vAlign w:val="center"/>
          </w:tcPr>
          <w:p w14:paraId="0A00B874">
            <w:pPr>
              <w:jc w:val="center"/>
              <w:rPr>
                <w:rFonts w:ascii="宋体" w:hAnsi="宋体" w:eastAsia="宋体"/>
                <w:color w:val="auto"/>
              </w:rPr>
            </w:pPr>
            <w:r>
              <w:rPr>
                <w:rFonts w:ascii="宋体" w:hAnsi="宋体" w:eastAsia="宋体"/>
                <w:color w:val="auto"/>
              </w:rPr>
              <w:t>125.16401，45.57877</w:t>
            </w:r>
          </w:p>
        </w:tc>
        <w:tc>
          <w:tcPr>
            <w:tcW w:w="1100" w:type="pct"/>
            <w:shd w:val="clear" w:color="auto" w:fill="auto"/>
            <w:vAlign w:val="center"/>
          </w:tcPr>
          <w:p w14:paraId="58B0DDBB">
            <w:pPr>
              <w:jc w:val="center"/>
              <w:rPr>
                <w:rFonts w:ascii="宋体" w:hAnsi="宋体" w:eastAsia="宋体"/>
                <w:color w:val="auto"/>
              </w:rPr>
            </w:pPr>
            <w:r>
              <w:rPr>
                <w:rFonts w:hint="eastAsia" w:ascii="宋体" w:hAnsi="宋体" w:eastAsia="宋体"/>
                <w:color w:val="auto"/>
              </w:rPr>
              <w:t>源212</w:t>
            </w:r>
            <w:r>
              <w:rPr>
                <w:rFonts w:ascii="宋体" w:hAnsi="宋体" w:eastAsia="宋体"/>
                <w:color w:val="auto"/>
              </w:rPr>
              <w:t>扶平</w:t>
            </w:r>
            <w:r>
              <w:rPr>
                <w:rFonts w:hint="eastAsia" w:ascii="宋体" w:hAnsi="宋体" w:eastAsia="宋体"/>
                <w:color w:val="auto"/>
              </w:rPr>
              <w:t>4</w:t>
            </w:r>
            <w:r>
              <w:rPr>
                <w:rFonts w:ascii="宋体" w:hAnsi="宋体" w:eastAsia="宋体"/>
                <w:color w:val="auto"/>
              </w:rPr>
              <w:t>井场北</w:t>
            </w:r>
            <w:r>
              <w:rPr>
                <w:rFonts w:hint="eastAsia" w:ascii="宋体" w:hAnsi="宋体" w:eastAsia="宋体"/>
                <w:color w:val="auto"/>
              </w:rPr>
              <w:t>1300</w:t>
            </w:r>
            <w:r>
              <w:rPr>
                <w:rFonts w:ascii="宋体" w:hAnsi="宋体" w:eastAsia="宋体"/>
                <w:color w:val="auto"/>
              </w:rPr>
              <w:t>m</w:t>
            </w:r>
          </w:p>
        </w:tc>
        <w:tc>
          <w:tcPr>
            <w:tcW w:w="526" w:type="pct"/>
            <w:vMerge w:val="restart"/>
            <w:shd w:val="clear" w:color="auto" w:fill="auto"/>
            <w:tcMar>
              <w:top w:w="28" w:type="dxa"/>
              <w:bottom w:w="28" w:type="dxa"/>
            </w:tcMar>
            <w:vAlign w:val="center"/>
          </w:tcPr>
          <w:p w14:paraId="1437337E">
            <w:pPr>
              <w:jc w:val="center"/>
              <w:rPr>
                <w:rFonts w:ascii="宋体" w:hAnsi="宋体" w:eastAsia="宋体" w:cs="Times New Roman"/>
                <w:color w:val="auto"/>
              </w:rPr>
            </w:pPr>
            <w:r>
              <w:rPr>
                <w:rFonts w:ascii="宋体" w:hAnsi="宋体" w:eastAsia="宋体" w:cs="Times New Roman"/>
                <w:color w:val="auto"/>
              </w:rPr>
              <w:t>1次/半年</w:t>
            </w:r>
          </w:p>
        </w:tc>
      </w:tr>
      <w:tr w14:paraId="400C0557">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514CE4B3">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0DEE8477">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125C901E">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04117BEF">
            <w:pPr>
              <w:jc w:val="center"/>
              <w:rPr>
                <w:rFonts w:ascii="宋体" w:hAnsi="宋体" w:eastAsia="宋体"/>
                <w:color w:val="auto"/>
              </w:rPr>
            </w:pPr>
            <w:r>
              <w:rPr>
                <w:rFonts w:ascii="宋体" w:hAnsi="宋体" w:eastAsia="宋体"/>
                <w:color w:val="auto"/>
              </w:rPr>
              <w:t>区域内后欧力马水井</w:t>
            </w:r>
          </w:p>
        </w:tc>
        <w:tc>
          <w:tcPr>
            <w:tcW w:w="640" w:type="pct"/>
            <w:shd w:val="clear" w:color="auto" w:fill="auto"/>
            <w:vAlign w:val="center"/>
          </w:tcPr>
          <w:p w14:paraId="2DCC39AC">
            <w:pPr>
              <w:jc w:val="center"/>
              <w:rPr>
                <w:rFonts w:ascii="宋体" w:hAnsi="宋体" w:eastAsia="宋体"/>
                <w:color w:val="auto"/>
              </w:rPr>
            </w:pPr>
            <w:r>
              <w:rPr>
                <w:rFonts w:ascii="宋体" w:hAnsi="宋体" w:eastAsia="宋体"/>
                <w:color w:val="auto"/>
              </w:rPr>
              <w:t>125.17085，45.56812</w:t>
            </w:r>
          </w:p>
        </w:tc>
        <w:tc>
          <w:tcPr>
            <w:tcW w:w="1100" w:type="pct"/>
            <w:shd w:val="clear" w:color="auto" w:fill="auto"/>
            <w:vAlign w:val="center"/>
          </w:tcPr>
          <w:p w14:paraId="0ECD37A8">
            <w:pPr>
              <w:jc w:val="center"/>
              <w:rPr>
                <w:rFonts w:ascii="宋体" w:hAnsi="宋体" w:eastAsia="宋体"/>
                <w:color w:val="auto"/>
              </w:rPr>
            </w:pPr>
            <w:r>
              <w:rPr>
                <w:rFonts w:hint="eastAsia" w:ascii="宋体" w:hAnsi="宋体" w:eastAsia="宋体"/>
                <w:color w:val="auto"/>
              </w:rPr>
              <w:t>3</w:t>
            </w:r>
            <w:r>
              <w:rPr>
                <w:rFonts w:ascii="宋体" w:hAnsi="宋体" w:eastAsia="宋体"/>
                <w:color w:val="auto"/>
              </w:rPr>
              <w:t>号平台井场</w:t>
            </w:r>
            <w:r>
              <w:rPr>
                <w:rFonts w:hint="eastAsia" w:ascii="宋体" w:hAnsi="宋体" w:eastAsia="宋体"/>
                <w:color w:val="auto"/>
              </w:rPr>
              <w:t>西</w:t>
            </w:r>
            <w:r>
              <w:rPr>
                <w:rFonts w:ascii="宋体" w:hAnsi="宋体" w:eastAsia="宋体"/>
                <w:color w:val="auto"/>
              </w:rPr>
              <w:t>侧</w:t>
            </w:r>
            <w:r>
              <w:rPr>
                <w:rFonts w:hint="eastAsia" w:ascii="宋体" w:hAnsi="宋体" w:eastAsia="宋体"/>
                <w:color w:val="auto"/>
              </w:rPr>
              <w:t>380</w:t>
            </w:r>
            <w:r>
              <w:rPr>
                <w:rFonts w:ascii="宋体" w:hAnsi="宋体" w:eastAsia="宋体"/>
                <w:color w:val="auto"/>
              </w:rPr>
              <w:t>m</w:t>
            </w:r>
          </w:p>
        </w:tc>
        <w:tc>
          <w:tcPr>
            <w:tcW w:w="526" w:type="pct"/>
            <w:vMerge w:val="continue"/>
            <w:shd w:val="clear" w:color="auto" w:fill="auto"/>
            <w:tcMar>
              <w:top w:w="28" w:type="dxa"/>
              <w:bottom w:w="28" w:type="dxa"/>
            </w:tcMar>
            <w:vAlign w:val="center"/>
          </w:tcPr>
          <w:p w14:paraId="71DCD609">
            <w:pPr>
              <w:jc w:val="center"/>
              <w:rPr>
                <w:rFonts w:ascii="宋体" w:hAnsi="宋体" w:eastAsia="宋体" w:cs="Times New Roman"/>
                <w:color w:val="auto"/>
              </w:rPr>
            </w:pPr>
          </w:p>
        </w:tc>
      </w:tr>
      <w:tr w14:paraId="7CC3115E">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2835AE01">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2E611636">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5D9DD1C8">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0A85E064">
            <w:pPr>
              <w:jc w:val="center"/>
              <w:rPr>
                <w:rFonts w:ascii="宋体" w:hAnsi="宋体" w:eastAsia="宋体"/>
                <w:color w:val="auto"/>
              </w:rPr>
            </w:pPr>
            <w:r>
              <w:rPr>
                <w:rFonts w:ascii="宋体" w:hAnsi="宋体" w:eastAsia="宋体"/>
                <w:color w:val="auto"/>
              </w:rPr>
              <w:t>区域下游王家园子屯水井</w:t>
            </w:r>
          </w:p>
        </w:tc>
        <w:tc>
          <w:tcPr>
            <w:tcW w:w="640" w:type="pct"/>
            <w:shd w:val="clear" w:color="auto" w:fill="auto"/>
            <w:vAlign w:val="center"/>
          </w:tcPr>
          <w:p w14:paraId="4CFE2409">
            <w:pPr>
              <w:jc w:val="center"/>
              <w:rPr>
                <w:rFonts w:ascii="宋体" w:hAnsi="宋体" w:eastAsia="宋体"/>
                <w:color w:val="auto"/>
              </w:rPr>
            </w:pPr>
            <w:r>
              <w:rPr>
                <w:rFonts w:ascii="宋体" w:hAnsi="宋体" w:eastAsia="宋体"/>
                <w:color w:val="auto"/>
              </w:rPr>
              <w:t>125.16117，45.55675</w:t>
            </w:r>
          </w:p>
        </w:tc>
        <w:tc>
          <w:tcPr>
            <w:tcW w:w="1100" w:type="pct"/>
            <w:shd w:val="clear" w:color="auto" w:fill="auto"/>
            <w:vAlign w:val="center"/>
          </w:tcPr>
          <w:p w14:paraId="4CB94097">
            <w:pPr>
              <w:jc w:val="center"/>
              <w:rPr>
                <w:rFonts w:ascii="宋体" w:hAnsi="宋体" w:eastAsia="宋体"/>
                <w:color w:val="auto"/>
                <w:kern w:val="21"/>
              </w:rPr>
            </w:pPr>
            <w:r>
              <w:rPr>
                <w:rFonts w:ascii="宋体" w:hAnsi="宋体" w:eastAsia="宋体"/>
                <w:color w:val="auto"/>
              </w:rPr>
              <w:t>3号平台井场</w:t>
            </w:r>
            <w:r>
              <w:rPr>
                <w:rFonts w:hint="eastAsia" w:ascii="宋体" w:hAnsi="宋体" w:eastAsia="宋体"/>
                <w:color w:val="auto"/>
              </w:rPr>
              <w:t>西南</w:t>
            </w:r>
            <w:r>
              <w:rPr>
                <w:rFonts w:ascii="宋体" w:hAnsi="宋体" w:eastAsia="宋体"/>
                <w:color w:val="auto"/>
              </w:rPr>
              <w:t>侧11</w:t>
            </w:r>
            <w:r>
              <w:rPr>
                <w:rFonts w:hint="eastAsia" w:ascii="宋体" w:hAnsi="宋体" w:eastAsia="宋体"/>
                <w:color w:val="auto"/>
              </w:rPr>
              <w:t>0</w:t>
            </w:r>
            <w:r>
              <w:rPr>
                <w:rFonts w:ascii="宋体" w:hAnsi="宋体" w:eastAsia="宋体"/>
                <w:color w:val="auto"/>
              </w:rPr>
              <w:t>0m</w:t>
            </w:r>
          </w:p>
        </w:tc>
        <w:tc>
          <w:tcPr>
            <w:tcW w:w="526" w:type="pct"/>
            <w:vMerge w:val="continue"/>
            <w:shd w:val="clear" w:color="auto" w:fill="auto"/>
            <w:tcMar>
              <w:top w:w="28" w:type="dxa"/>
              <w:bottom w:w="28" w:type="dxa"/>
            </w:tcMar>
            <w:vAlign w:val="center"/>
          </w:tcPr>
          <w:p w14:paraId="79EFBA18">
            <w:pPr>
              <w:jc w:val="center"/>
              <w:rPr>
                <w:rFonts w:ascii="宋体" w:hAnsi="宋体" w:eastAsia="宋体" w:cs="Times New Roman"/>
                <w:color w:val="auto"/>
              </w:rPr>
            </w:pPr>
          </w:p>
        </w:tc>
      </w:tr>
      <w:tr w14:paraId="2E81E3F0">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627E3DA8">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20102F46">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27F250B8">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160F76D7">
            <w:pPr>
              <w:jc w:val="center"/>
              <w:rPr>
                <w:rFonts w:ascii="宋体" w:hAnsi="宋体" w:eastAsia="宋体"/>
                <w:color w:val="auto"/>
              </w:rPr>
            </w:pPr>
            <w:r>
              <w:rPr>
                <w:rFonts w:ascii="宋体" w:hAnsi="宋体" w:eastAsia="宋体"/>
                <w:color w:val="auto"/>
              </w:rPr>
              <w:t>区域下游王家园子屯水井</w:t>
            </w:r>
          </w:p>
        </w:tc>
        <w:tc>
          <w:tcPr>
            <w:tcW w:w="640" w:type="pct"/>
            <w:shd w:val="clear" w:color="auto" w:fill="auto"/>
            <w:vAlign w:val="center"/>
          </w:tcPr>
          <w:p w14:paraId="6A4EE155">
            <w:pPr>
              <w:jc w:val="center"/>
              <w:rPr>
                <w:rFonts w:ascii="宋体" w:hAnsi="宋体" w:eastAsia="宋体"/>
                <w:color w:val="auto"/>
              </w:rPr>
            </w:pPr>
            <w:r>
              <w:rPr>
                <w:rFonts w:ascii="宋体" w:hAnsi="宋体" w:eastAsia="宋体"/>
                <w:color w:val="auto"/>
              </w:rPr>
              <w:t>125.16466，45.55678</w:t>
            </w:r>
          </w:p>
        </w:tc>
        <w:tc>
          <w:tcPr>
            <w:tcW w:w="1100" w:type="pct"/>
            <w:shd w:val="clear" w:color="auto" w:fill="auto"/>
            <w:vAlign w:val="center"/>
          </w:tcPr>
          <w:p w14:paraId="6F2761CD">
            <w:pPr>
              <w:jc w:val="center"/>
              <w:rPr>
                <w:rFonts w:ascii="宋体" w:hAnsi="宋体" w:eastAsia="宋体"/>
                <w:color w:val="auto"/>
              </w:rPr>
            </w:pPr>
            <w:r>
              <w:rPr>
                <w:rFonts w:ascii="宋体" w:hAnsi="宋体" w:eastAsia="宋体"/>
                <w:color w:val="auto"/>
              </w:rPr>
              <w:t>3号平台井场</w:t>
            </w:r>
            <w:r>
              <w:rPr>
                <w:rFonts w:hint="eastAsia" w:ascii="宋体" w:hAnsi="宋体" w:eastAsia="宋体"/>
                <w:color w:val="auto"/>
              </w:rPr>
              <w:t>西南</w:t>
            </w:r>
            <w:r>
              <w:rPr>
                <w:rFonts w:ascii="宋体" w:hAnsi="宋体" w:eastAsia="宋体"/>
                <w:color w:val="auto"/>
              </w:rPr>
              <w:t>侧1</w:t>
            </w:r>
            <w:r>
              <w:rPr>
                <w:rFonts w:hint="eastAsia" w:ascii="宋体" w:hAnsi="宋体" w:eastAsia="宋体"/>
                <w:color w:val="auto"/>
              </w:rPr>
              <w:t>50</w:t>
            </w:r>
            <w:r>
              <w:rPr>
                <w:rFonts w:ascii="宋体" w:hAnsi="宋体" w:eastAsia="宋体"/>
                <w:color w:val="auto"/>
              </w:rPr>
              <w:t>0m</w:t>
            </w:r>
          </w:p>
        </w:tc>
        <w:tc>
          <w:tcPr>
            <w:tcW w:w="526" w:type="pct"/>
            <w:vMerge w:val="continue"/>
            <w:shd w:val="clear" w:color="auto" w:fill="auto"/>
            <w:tcMar>
              <w:top w:w="28" w:type="dxa"/>
              <w:bottom w:w="28" w:type="dxa"/>
            </w:tcMar>
            <w:vAlign w:val="center"/>
          </w:tcPr>
          <w:p w14:paraId="54DFF334">
            <w:pPr>
              <w:jc w:val="center"/>
              <w:rPr>
                <w:rFonts w:ascii="宋体" w:hAnsi="宋体" w:eastAsia="宋体" w:cs="Times New Roman"/>
                <w:color w:val="auto"/>
              </w:rPr>
            </w:pPr>
          </w:p>
        </w:tc>
      </w:tr>
      <w:tr w14:paraId="0337C243">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4812440E">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7FC9AD11">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77015929">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09C680FE">
            <w:pPr>
              <w:jc w:val="center"/>
              <w:rPr>
                <w:rFonts w:ascii="宋体" w:hAnsi="宋体" w:eastAsia="宋体"/>
                <w:color w:val="auto"/>
              </w:rPr>
            </w:pPr>
            <w:r>
              <w:rPr>
                <w:rFonts w:ascii="宋体" w:hAnsi="宋体" w:eastAsia="宋体"/>
                <w:color w:val="auto"/>
              </w:rPr>
              <w:t>区域上游大姚屯水井</w:t>
            </w:r>
          </w:p>
        </w:tc>
        <w:tc>
          <w:tcPr>
            <w:tcW w:w="640" w:type="pct"/>
            <w:shd w:val="clear" w:color="auto" w:fill="auto"/>
            <w:vAlign w:val="center"/>
          </w:tcPr>
          <w:p w14:paraId="1F4F56EF">
            <w:pPr>
              <w:jc w:val="center"/>
              <w:rPr>
                <w:rFonts w:ascii="宋体" w:hAnsi="宋体" w:eastAsia="宋体"/>
                <w:color w:val="auto"/>
              </w:rPr>
            </w:pPr>
            <w:r>
              <w:rPr>
                <w:rFonts w:ascii="宋体" w:hAnsi="宋体" w:eastAsia="宋体"/>
                <w:color w:val="auto"/>
              </w:rPr>
              <w:t>（125.05032，45.51338</w:t>
            </w:r>
          </w:p>
        </w:tc>
        <w:tc>
          <w:tcPr>
            <w:tcW w:w="1100" w:type="pct"/>
            <w:shd w:val="clear" w:color="auto" w:fill="auto"/>
            <w:vAlign w:val="center"/>
          </w:tcPr>
          <w:p w14:paraId="41C6CD51">
            <w:pPr>
              <w:jc w:val="center"/>
              <w:rPr>
                <w:rFonts w:ascii="宋体" w:hAnsi="宋体" w:eastAsia="宋体"/>
                <w:color w:val="auto"/>
              </w:rPr>
            </w:pPr>
            <w:r>
              <w:rPr>
                <w:rFonts w:hint="eastAsia" w:ascii="宋体" w:hAnsi="宋体" w:eastAsia="宋体"/>
                <w:color w:val="auto"/>
              </w:rPr>
              <w:t>源1011东北340</w:t>
            </w:r>
            <w:r>
              <w:rPr>
                <w:rFonts w:ascii="宋体" w:hAnsi="宋体" w:eastAsia="宋体"/>
                <w:color w:val="auto"/>
              </w:rPr>
              <w:t>m</w:t>
            </w:r>
          </w:p>
        </w:tc>
        <w:tc>
          <w:tcPr>
            <w:tcW w:w="526" w:type="pct"/>
            <w:vMerge w:val="continue"/>
            <w:shd w:val="clear" w:color="auto" w:fill="auto"/>
            <w:tcMar>
              <w:top w:w="28" w:type="dxa"/>
              <w:bottom w:w="28" w:type="dxa"/>
            </w:tcMar>
            <w:vAlign w:val="center"/>
          </w:tcPr>
          <w:p w14:paraId="02BF62A3">
            <w:pPr>
              <w:jc w:val="center"/>
              <w:rPr>
                <w:rFonts w:ascii="宋体" w:hAnsi="宋体" w:eastAsia="宋体" w:cs="Times New Roman"/>
                <w:color w:val="auto"/>
              </w:rPr>
            </w:pPr>
          </w:p>
        </w:tc>
      </w:tr>
      <w:tr w14:paraId="71DB8124">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0D243CEB">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4241ACCD">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6C8F17D8">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4892AC42">
            <w:pPr>
              <w:jc w:val="center"/>
              <w:rPr>
                <w:rFonts w:ascii="宋体" w:hAnsi="宋体" w:eastAsia="宋体"/>
                <w:color w:val="auto"/>
              </w:rPr>
            </w:pPr>
            <w:r>
              <w:rPr>
                <w:rFonts w:ascii="宋体" w:hAnsi="宋体" w:eastAsia="宋体"/>
                <w:color w:val="auto"/>
              </w:rPr>
              <w:t>区域下游刘兽医屯水井</w:t>
            </w:r>
          </w:p>
        </w:tc>
        <w:tc>
          <w:tcPr>
            <w:tcW w:w="640" w:type="pct"/>
            <w:shd w:val="clear" w:color="auto" w:fill="auto"/>
            <w:vAlign w:val="center"/>
          </w:tcPr>
          <w:p w14:paraId="3DE7444E">
            <w:pPr>
              <w:jc w:val="center"/>
              <w:rPr>
                <w:rFonts w:ascii="宋体" w:hAnsi="宋体" w:eastAsia="宋体"/>
                <w:color w:val="auto"/>
              </w:rPr>
            </w:pPr>
            <w:r>
              <w:rPr>
                <w:rFonts w:ascii="宋体" w:hAnsi="宋体" w:eastAsia="宋体"/>
                <w:color w:val="auto"/>
              </w:rPr>
              <w:t>125.04329，45.51033</w:t>
            </w:r>
          </w:p>
        </w:tc>
        <w:tc>
          <w:tcPr>
            <w:tcW w:w="1100" w:type="pct"/>
            <w:shd w:val="clear" w:color="auto" w:fill="auto"/>
            <w:vAlign w:val="center"/>
          </w:tcPr>
          <w:p w14:paraId="6C34467D">
            <w:pPr>
              <w:jc w:val="center"/>
              <w:rPr>
                <w:rFonts w:ascii="宋体" w:hAnsi="宋体" w:eastAsia="宋体"/>
                <w:color w:val="auto"/>
              </w:rPr>
            </w:pPr>
            <w:r>
              <w:rPr>
                <w:rFonts w:hint="eastAsia" w:ascii="宋体" w:hAnsi="宋体" w:eastAsia="宋体"/>
                <w:color w:val="auto"/>
              </w:rPr>
              <w:t>源1011西南250</w:t>
            </w:r>
            <w:r>
              <w:rPr>
                <w:rFonts w:ascii="宋体" w:hAnsi="宋体" w:eastAsia="宋体"/>
                <w:color w:val="auto"/>
              </w:rPr>
              <w:t>m</w:t>
            </w:r>
          </w:p>
        </w:tc>
        <w:tc>
          <w:tcPr>
            <w:tcW w:w="526" w:type="pct"/>
            <w:vMerge w:val="continue"/>
            <w:shd w:val="clear" w:color="auto" w:fill="auto"/>
            <w:tcMar>
              <w:top w:w="28" w:type="dxa"/>
              <w:bottom w:w="28" w:type="dxa"/>
            </w:tcMar>
            <w:vAlign w:val="center"/>
          </w:tcPr>
          <w:p w14:paraId="2C8127AA">
            <w:pPr>
              <w:jc w:val="center"/>
              <w:rPr>
                <w:rFonts w:ascii="宋体" w:hAnsi="宋体" w:eastAsia="宋体" w:cs="Times New Roman"/>
                <w:color w:val="auto"/>
              </w:rPr>
            </w:pPr>
          </w:p>
        </w:tc>
      </w:tr>
      <w:tr w14:paraId="05BA4FFB">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0CF640DC">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5E22F849">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7E9BE37B">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3D72D328">
            <w:pPr>
              <w:jc w:val="center"/>
              <w:rPr>
                <w:rFonts w:ascii="宋体" w:hAnsi="宋体" w:eastAsia="宋体"/>
                <w:color w:val="auto"/>
              </w:rPr>
            </w:pPr>
            <w:r>
              <w:rPr>
                <w:rFonts w:ascii="宋体" w:hAnsi="宋体" w:eastAsia="宋体"/>
                <w:color w:val="auto"/>
              </w:rPr>
              <w:t>区域下游刘兽医屯水井</w:t>
            </w:r>
          </w:p>
        </w:tc>
        <w:tc>
          <w:tcPr>
            <w:tcW w:w="640" w:type="pct"/>
            <w:shd w:val="clear" w:color="auto" w:fill="auto"/>
            <w:vAlign w:val="center"/>
          </w:tcPr>
          <w:p w14:paraId="791B678A">
            <w:pPr>
              <w:jc w:val="center"/>
              <w:rPr>
                <w:rFonts w:ascii="宋体" w:hAnsi="宋体" w:eastAsia="宋体"/>
                <w:color w:val="auto"/>
              </w:rPr>
            </w:pPr>
            <w:r>
              <w:rPr>
                <w:rFonts w:ascii="宋体" w:hAnsi="宋体" w:eastAsia="宋体"/>
                <w:color w:val="auto"/>
              </w:rPr>
              <w:t>125.04209，45.50913</w:t>
            </w:r>
          </w:p>
        </w:tc>
        <w:tc>
          <w:tcPr>
            <w:tcW w:w="1100" w:type="pct"/>
            <w:shd w:val="clear" w:color="auto" w:fill="auto"/>
            <w:vAlign w:val="center"/>
          </w:tcPr>
          <w:p w14:paraId="2B601A50">
            <w:pPr>
              <w:jc w:val="center"/>
              <w:rPr>
                <w:rFonts w:ascii="宋体" w:hAnsi="宋体" w:eastAsia="宋体"/>
                <w:color w:val="auto"/>
              </w:rPr>
            </w:pPr>
            <w:r>
              <w:rPr>
                <w:rFonts w:hint="eastAsia" w:ascii="宋体" w:hAnsi="宋体" w:eastAsia="宋体"/>
                <w:color w:val="auto"/>
              </w:rPr>
              <w:t>源1011西南390</w:t>
            </w:r>
            <w:r>
              <w:rPr>
                <w:rFonts w:ascii="宋体" w:hAnsi="宋体" w:eastAsia="宋体"/>
                <w:color w:val="auto"/>
              </w:rPr>
              <w:t>m</w:t>
            </w:r>
          </w:p>
        </w:tc>
        <w:tc>
          <w:tcPr>
            <w:tcW w:w="526" w:type="pct"/>
            <w:vMerge w:val="continue"/>
            <w:shd w:val="clear" w:color="auto" w:fill="auto"/>
            <w:tcMar>
              <w:top w:w="28" w:type="dxa"/>
              <w:bottom w:w="28" w:type="dxa"/>
            </w:tcMar>
            <w:vAlign w:val="center"/>
          </w:tcPr>
          <w:p w14:paraId="20DE283C">
            <w:pPr>
              <w:jc w:val="center"/>
              <w:rPr>
                <w:rFonts w:ascii="宋体" w:hAnsi="宋体" w:eastAsia="宋体" w:cs="Times New Roman"/>
                <w:color w:val="auto"/>
              </w:rPr>
            </w:pPr>
          </w:p>
        </w:tc>
      </w:tr>
      <w:tr w14:paraId="44F38157">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restart"/>
            <w:shd w:val="clear" w:color="auto" w:fill="auto"/>
            <w:tcMar>
              <w:top w:w="28" w:type="dxa"/>
              <w:bottom w:w="28" w:type="dxa"/>
            </w:tcMar>
            <w:vAlign w:val="center"/>
          </w:tcPr>
          <w:p w14:paraId="579AFCEA">
            <w:pPr>
              <w:jc w:val="center"/>
              <w:rPr>
                <w:rFonts w:ascii="宋体" w:hAnsi="宋体" w:eastAsia="宋体" w:cs="Times New Roman"/>
                <w:color w:val="auto"/>
              </w:rPr>
            </w:pPr>
            <w:r>
              <w:rPr>
                <w:rFonts w:ascii="宋体" w:hAnsi="宋体" w:eastAsia="宋体" w:cs="Times New Roman"/>
                <w:color w:val="auto"/>
              </w:rPr>
              <w:t>2</w:t>
            </w:r>
          </w:p>
        </w:tc>
        <w:tc>
          <w:tcPr>
            <w:tcW w:w="435" w:type="pct"/>
            <w:vMerge w:val="restart"/>
            <w:shd w:val="clear" w:color="auto" w:fill="auto"/>
            <w:tcMar>
              <w:top w:w="28" w:type="dxa"/>
              <w:bottom w:w="28" w:type="dxa"/>
            </w:tcMar>
            <w:vAlign w:val="center"/>
          </w:tcPr>
          <w:p w14:paraId="6FE587B4">
            <w:pPr>
              <w:jc w:val="center"/>
              <w:rPr>
                <w:rFonts w:ascii="宋体" w:hAnsi="宋体" w:eastAsia="宋体" w:cs="Times New Roman"/>
                <w:color w:val="auto"/>
              </w:rPr>
            </w:pPr>
            <w:r>
              <w:rPr>
                <w:rFonts w:ascii="宋体" w:hAnsi="宋体" w:eastAsia="宋体" w:cs="Times New Roman"/>
                <w:color w:val="auto"/>
              </w:rPr>
              <w:t>土壤</w:t>
            </w:r>
          </w:p>
        </w:tc>
        <w:tc>
          <w:tcPr>
            <w:tcW w:w="898" w:type="pct"/>
            <w:vMerge w:val="restart"/>
            <w:shd w:val="clear" w:color="auto" w:fill="auto"/>
            <w:tcMar>
              <w:top w:w="28" w:type="dxa"/>
              <w:bottom w:w="28" w:type="dxa"/>
            </w:tcMar>
            <w:vAlign w:val="center"/>
          </w:tcPr>
          <w:p w14:paraId="5393F768">
            <w:pPr>
              <w:jc w:val="center"/>
              <w:rPr>
                <w:rFonts w:ascii="宋体" w:hAnsi="宋体" w:eastAsia="宋体" w:cs="Times New Roman"/>
                <w:color w:val="auto"/>
              </w:rPr>
            </w:pPr>
            <w:r>
              <w:rPr>
                <w:rFonts w:ascii="宋体" w:hAnsi="宋体" w:eastAsia="宋体" w:cs="Times New Roman"/>
                <w:color w:val="auto"/>
              </w:rPr>
              <w:t>pH、石油类、石油烃（C</w:t>
            </w:r>
            <w:r>
              <w:rPr>
                <w:rFonts w:ascii="宋体" w:hAnsi="宋体" w:eastAsia="宋体" w:cs="Times New Roman"/>
                <w:color w:val="auto"/>
                <w:vertAlign w:val="subscript"/>
              </w:rPr>
              <w:t>6</w:t>
            </w:r>
            <w:r>
              <w:rPr>
                <w:rFonts w:ascii="宋体" w:hAnsi="宋体" w:eastAsia="宋体" w:cs="Times New Roman"/>
                <w:color w:val="auto"/>
              </w:rPr>
              <w:t>～C</w:t>
            </w:r>
            <w:r>
              <w:rPr>
                <w:rFonts w:ascii="宋体" w:hAnsi="宋体" w:eastAsia="宋体" w:cs="Times New Roman"/>
                <w:color w:val="auto"/>
                <w:vertAlign w:val="subscript"/>
              </w:rPr>
              <w:t>9</w:t>
            </w:r>
            <w:r>
              <w:rPr>
                <w:rFonts w:ascii="宋体" w:hAnsi="宋体" w:eastAsia="宋体" w:cs="Times New Roman"/>
                <w:color w:val="auto"/>
              </w:rPr>
              <w:t>）、石油烃（C</w:t>
            </w:r>
            <w:r>
              <w:rPr>
                <w:rFonts w:ascii="宋体" w:hAnsi="宋体" w:eastAsia="宋体" w:cs="Times New Roman"/>
                <w:color w:val="auto"/>
                <w:vertAlign w:val="subscript"/>
              </w:rPr>
              <w:t>10</w:t>
            </w:r>
            <w:r>
              <w:rPr>
                <w:rFonts w:ascii="宋体" w:hAnsi="宋体" w:eastAsia="宋体" w:cs="Times New Roman"/>
                <w:color w:val="auto"/>
              </w:rPr>
              <w:t>～C</w:t>
            </w:r>
            <w:r>
              <w:rPr>
                <w:rFonts w:ascii="宋体" w:hAnsi="宋体" w:eastAsia="宋体" w:cs="Times New Roman"/>
                <w:color w:val="auto"/>
                <w:vertAlign w:val="subscript"/>
              </w:rPr>
              <w:t>40</w:t>
            </w:r>
            <w:r>
              <w:rPr>
                <w:rFonts w:ascii="宋体" w:hAnsi="宋体" w:eastAsia="宋体" w:cs="Times New Roman"/>
                <w:color w:val="auto"/>
              </w:rPr>
              <w:t>）、砷、六价铬</w:t>
            </w:r>
          </w:p>
        </w:tc>
        <w:tc>
          <w:tcPr>
            <w:tcW w:w="1095" w:type="pct"/>
            <w:shd w:val="clear" w:color="auto" w:fill="auto"/>
            <w:tcMar>
              <w:top w:w="28" w:type="dxa"/>
              <w:bottom w:w="28" w:type="dxa"/>
            </w:tcMar>
            <w:vAlign w:val="center"/>
          </w:tcPr>
          <w:p w14:paraId="6E8723B9">
            <w:pPr>
              <w:jc w:val="center"/>
              <w:rPr>
                <w:rFonts w:ascii="宋体" w:hAnsi="宋体" w:eastAsia="宋体" w:cs="Times New Roman"/>
                <w:color w:val="auto"/>
              </w:rPr>
            </w:pPr>
            <w:r>
              <w:rPr>
                <w:rFonts w:hint="eastAsia" w:ascii="宋体" w:hAnsi="宋体" w:eastAsia="宋体" w:cs="Times New Roman"/>
                <w:color w:val="auto"/>
              </w:rPr>
              <w:t>3#平台</w:t>
            </w:r>
            <w:r>
              <w:rPr>
                <w:rFonts w:ascii="宋体" w:hAnsi="宋体" w:eastAsia="宋体" w:cs="Times New Roman"/>
                <w:color w:val="auto"/>
              </w:rPr>
              <w:t>井场</w:t>
            </w:r>
          </w:p>
        </w:tc>
        <w:tc>
          <w:tcPr>
            <w:tcW w:w="640" w:type="pct"/>
            <w:shd w:val="clear" w:color="auto" w:fill="auto"/>
            <w:vAlign w:val="center"/>
          </w:tcPr>
          <w:p w14:paraId="51727355">
            <w:pPr>
              <w:jc w:val="center"/>
              <w:rPr>
                <w:rFonts w:ascii="宋体" w:hAnsi="宋体" w:eastAsia="宋体" w:cs="Times New Roman"/>
                <w:color w:val="auto"/>
              </w:rPr>
            </w:pPr>
            <w:r>
              <w:rPr>
                <w:rFonts w:ascii="宋体" w:hAnsi="宋体" w:eastAsia="宋体" w:cs="Times New Roman"/>
                <w:color w:val="auto"/>
              </w:rPr>
              <w:t>125.17320</w:t>
            </w:r>
            <w:r>
              <w:rPr>
                <w:rFonts w:hint="eastAsia" w:ascii="宋体" w:hAnsi="宋体" w:eastAsia="宋体" w:cs="Times New Roman"/>
                <w:color w:val="auto"/>
              </w:rPr>
              <w:t>，</w:t>
            </w:r>
            <w:r>
              <w:rPr>
                <w:rFonts w:ascii="宋体" w:hAnsi="宋体" w:eastAsia="宋体" w:cs="Times New Roman"/>
                <w:color w:val="auto"/>
              </w:rPr>
              <w:t>45.56457</w:t>
            </w:r>
          </w:p>
        </w:tc>
        <w:tc>
          <w:tcPr>
            <w:tcW w:w="1100" w:type="pct"/>
            <w:shd w:val="clear" w:color="auto" w:fill="auto"/>
            <w:vAlign w:val="center"/>
          </w:tcPr>
          <w:p w14:paraId="2EBF58ED">
            <w:pPr>
              <w:jc w:val="center"/>
              <w:rPr>
                <w:rFonts w:ascii="宋体" w:hAnsi="宋体" w:eastAsia="宋体" w:cs="Times New Roman"/>
                <w:color w:val="auto"/>
              </w:rPr>
            </w:pPr>
            <w:r>
              <w:rPr>
                <w:rFonts w:ascii="宋体" w:hAnsi="宋体" w:eastAsia="宋体" w:cs="Times New Roman"/>
                <w:color w:val="auto"/>
              </w:rPr>
              <w:t>拟建井场</w:t>
            </w:r>
          </w:p>
        </w:tc>
        <w:tc>
          <w:tcPr>
            <w:tcW w:w="526" w:type="pct"/>
            <w:vMerge w:val="restart"/>
            <w:shd w:val="clear" w:color="auto" w:fill="auto"/>
            <w:tcMar>
              <w:top w:w="28" w:type="dxa"/>
              <w:bottom w:w="28" w:type="dxa"/>
            </w:tcMar>
            <w:vAlign w:val="center"/>
          </w:tcPr>
          <w:p w14:paraId="7DC335CA">
            <w:pPr>
              <w:jc w:val="center"/>
              <w:rPr>
                <w:rFonts w:ascii="宋体" w:hAnsi="宋体" w:eastAsia="宋体" w:cs="Times New Roman"/>
                <w:color w:val="auto"/>
              </w:rPr>
            </w:pPr>
            <w:r>
              <w:rPr>
                <w:rFonts w:ascii="宋体" w:hAnsi="宋体" w:eastAsia="宋体" w:cs="Times New Roman"/>
                <w:color w:val="auto"/>
              </w:rPr>
              <w:t>1次/年</w:t>
            </w:r>
          </w:p>
        </w:tc>
      </w:tr>
      <w:tr w14:paraId="647CF768">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4CB5C34B">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7411E22B">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6D1E8839">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475CF59B">
            <w:pPr>
              <w:jc w:val="center"/>
              <w:rPr>
                <w:rFonts w:ascii="宋体" w:hAnsi="宋体" w:eastAsia="宋体" w:cs="Times New Roman"/>
                <w:color w:val="auto"/>
              </w:rPr>
            </w:pPr>
            <w:r>
              <w:rPr>
                <w:rFonts w:hint="eastAsia" w:ascii="宋体" w:hAnsi="宋体" w:eastAsia="宋体" w:cs="Times New Roman"/>
                <w:color w:val="auto"/>
                <w:kern w:val="21"/>
              </w:rPr>
              <w:t>源1011井场</w:t>
            </w:r>
          </w:p>
        </w:tc>
        <w:tc>
          <w:tcPr>
            <w:tcW w:w="640" w:type="pct"/>
            <w:shd w:val="clear" w:color="auto" w:fill="auto"/>
            <w:vAlign w:val="center"/>
          </w:tcPr>
          <w:p w14:paraId="544721BC">
            <w:pPr>
              <w:jc w:val="center"/>
              <w:rPr>
                <w:rFonts w:ascii="宋体" w:hAnsi="宋体" w:eastAsia="宋体" w:cs="Times New Roman"/>
                <w:color w:val="auto"/>
              </w:rPr>
            </w:pPr>
            <w:r>
              <w:rPr>
                <w:rFonts w:ascii="宋体" w:hAnsi="宋体" w:eastAsia="宋体" w:cs="Times New Roman"/>
                <w:color w:val="auto"/>
              </w:rPr>
              <w:t>125.14518</w:t>
            </w:r>
            <w:r>
              <w:rPr>
                <w:rFonts w:hint="eastAsia" w:ascii="宋体" w:hAnsi="宋体" w:eastAsia="宋体" w:cs="Times New Roman"/>
                <w:color w:val="auto"/>
              </w:rPr>
              <w:t>，</w:t>
            </w:r>
            <w:r>
              <w:rPr>
                <w:rFonts w:ascii="宋体" w:hAnsi="宋体" w:eastAsia="宋体" w:cs="Times New Roman"/>
                <w:color w:val="auto"/>
              </w:rPr>
              <w:t>45.53281</w:t>
            </w:r>
          </w:p>
        </w:tc>
        <w:tc>
          <w:tcPr>
            <w:tcW w:w="1100" w:type="pct"/>
            <w:shd w:val="clear" w:color="auto" w:fill="auto"/>
            <w:vAlign w:val="center"/>
          </w:tcPr>
          <w:p w14:paraId="47E60EC0">
            <w:pPr>
              <w:jc w:val="center"/>
              <w:rPr>
                <w:rFonts w:ascii="宋体" w:hAnsi="宋体" w:eastAsia="宋体" w:cs="Times New Roman"/>
                <w:color w:val="auto"/>
              </w:rPr>
            </w:pPr>
            <w:r>
              <w:rPr>
                <w:rFonts w:ascii="宋体" w:hAnsi="宋体" w:eastAsia="宋体" w:cs="Times New Roman"/>
                <w:color w:val="auto"/>
              </w:rPr>
              <w:t>拟建井场</w:t>
            </w:r>
          </w:p>
        </w:tc>
        <w:tc>
          <w:tcPr>
            <w:tcW w:w="526" w:type="pct"/>
            <w:vMerge w:val="continue"/>
            <w:shd w:val="clear" w:color="auto" w:fill="auto"/>
            <w:tcMar>
              <w:top w:w="28" w:type="dxa"/>
              <w:bottom w:w="28" w:type="dxa"/>
            </w:tcMar>
            <w:vAlign w:val="center"/>
          </w:tcPr>
          <w:p w14:paraId="5FD0B357">
            <w:pPr>
              <w:jc w:val="center"/>
              <w:rPr>
                <w:rFonts w:ascii="宋体" w:hAnsi="宋体" w:eastAsia="宋体" w:cs="Times New Roman"/>
                <w:color w:val="auto"/>
              </w:rPr>
            </w:pPr>
          </w:p>
        </w:tc>
      </w:tr>
      <w:tr w14:paraId="4CD3B125">
        <w:tblPrEx>
          <w:tblBorders>
            <w:top w:val="single" w:color="000000" w:sz="4" w:space="0"/>
            <w:left w:val="single" w:color="000000" w:sz="4" w:space="0"/>
            <w:bottom w:val="single" w:color="000000"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0" w:hRule="atLeast"/>
          <w:jc w:val="center"/>
        </w:trPr>
        <w:tc>
          <w:tcPr>
            <w:tcW w:w="306" w:type="pct"/>
            <w:vMerge w:val="continue"/>
            <w:shd w:val="clear" w:color="auto" w:fill="auto"/>
            <w:tcMar>
              <w:top w:w="28" w:type="dxa"/>
              <w:bottom w:w="28" w:type="dxa"/>
            </w:tcMar>
            <w:vAlign w:val="center"/>
          </w:tcPr>
          <w:p w14:paraId="292C32B7">
            <w:pPr>
              <w:jc w:val="center"/>
              <w:rPr>
                <w:rFonts w:ascii="宋体" w:hAnsi="宋体" w:eastAsia="宋体" w:cs="Times New Roman"/>
                <w:color w:val="auto"/>
              </w:rPr>
            </w:pPr>
          </w:p>
        </w:tc>
        <w:tc>
          <w:tcPr>
            <w:tcW w:w="435" w:type="pct"/>
            <w:vMerge w:val="continue"/>
            <w:shd w:val="clear" w:color="auto" w:fill="auto"/>
            <w:tcMar>
              <w:top w:w="28" w:type="dxa"/>
              <w:bottom w:w="28" w:type="dxa"/>
            </w:tcMar>
            <w:vAlign w:val="center"/>
          </w:tcPr>
          <w:p w14:paraId="1FA25978">
            <w:pPr>
              <w:jc w:val="center"/>
              <w:rPr>
                <w:rFonts w:ascii="宋体" w:hAnsi="宋体" w:eastAsia="宋体" w:cs="Times New Roman"/>
                <w:color w:val="auto"/>
              </w:rPr>
            </w:pPr>
          </w:p>
        </w:tc>
        <w:tc>
          <w:tcPr>
            <w:tcW w:w="898" w:type="pct"/>
            <w:vMerge w:val="continue"/>
            <w:shd w:val="clear" w:color="auto" w:fill="auto"/>
            <w:tcMar>
              <w:top w:w="28" w:type="dxa"/>
              <w:bottom w:w="28" w:type="dxa"/>
            </w:tcMar>
            <w:vAlign w:val="center"/>
          </w:tcPr>
          <w:p w14:paraId="324F12E8">
            <w:pPr>
              <w:jc w:val="center"/>
              <w:rPr>
                <w:rFonts w:ascii="宋体" w:hAnsi="宋体" w:eastAsia="宋体" w:cs="Times New Roman"/>
                <w:color w:val="auto"/>
              </w:rPr>
            </w:pPr>
          </w:p>
        </w:tc>
        <w:tc>
          <w:tcPr>
            <w:tcW w:w="1095" w:type="pct"/>
            <w:shd w:val="clear" w:color="auto" w:fill="auto"/>
            <w:tcMar>
              <w:top w:w="28" w:type="dxa"/>
              <w:bottom w:w="28" w:type="dxa"/>
            </w:tcMar>
            <w:vAlign w:val="center"/>
          </w:tcPr>
          <w:p w14:paraId="1E951E9B">
            <w:pPr>
              <w:jc w:val="center"/>
              <w:rPr>
                <w:rFonts w:ascii="宋体" w:hAnsi="宋体" w:eastAsia="宋体" w:cs="Times New Roman"/>
                <w:color w:val="auto"/>
              </w:rPr>
            </w:pPr>
            <w:r>
              <w:rPr>
                <w:rFonts w:hint="eastAsia" w:ascii="宋体" w:hAnsi="宋体" w:eastAsia="宋体" w:cs="Times New Roman"/>
                <w:color w:val="auto"/>
                <w:kern w:val="21"/>
              </w:rPr>
              <w:t>源斜2401井场</w:t>
            </w:r>
          </w:p>
        </w:tc>
        <w:tc>
          <w:tcPr>
            <w:tcW w:w="640" w:type="pct"/>
            <w:shd w:val="clear" w:color="auto" w:fill="auto"/>
            <w:vAlign w:val="center"/>
          </w:tcPr>
          <w:p w14:paraId="59C3EF5B">
            <w:pPr>
              <w:jc w:val="center"/>
              <w:rPr>
                <w:rFonts w:ascii="宋体" w:hAnsi="宋体" w:eastAsia="宋体" w:cs="Times New Roman"/>
                <w:color w:val="auto"/>
              </w:rPr>
            </w:pPr>
            <w:r>
              <w:rPr>
                <w:rFonts w:ascii="宋体" w:hAnsi="宋体" w:eastAsia="宋体" w:cs="Times New Roman"/>
                <w:color w:val="auto"/>
              </w:rPr>
              <w:t>125.04556</w:t>
            </w:r>
            <w:r>
              <w:rPr>
                <w:rFonts w:hint="eastAsia" w:ascii="宋体" w:hAnsi="宋体" w:eastAsia="宋体" w:cs="Times New Roman"/>
                <w:color w:val="auto"/>
              </w:rPr>
              <w:t>，</w:t>
            </w:r>
            <w:r>
              <w:rPr>
                <w:rFonts w:ascii="宋体" w:hAnsi="宋体" w:eastAsia="宋体" w:cs="Times New Roman"/>
                <w:color w:val="auto"/>
              </w:rPr>
              <w:t>45.51226</w:t>
            </w:r>
          </w:p>
        </w:tc>
        <w:tc>
          <w:tcPr>
            <w:tcW w:w="1100" w:type="pct"/>
            <w:shd w:val="clear" w:color="auto" w:fill="auto"/>
            <w:vAlign w:val="center"/>
          </w:tcPr>
          <w:p w14:paraId="4CC26819">
            <w:pPr>
              <w:jc w:val="center"/>
              <w:rPr>
                <w:rFonts w:ascii="宋体" w:hAnsi="宋体" w:eastAsia="宋体" w:cs="Times New Roman"/>
                <w:color w:val="auto"/>
              </w:rPr>
            </w:pPr>
            <w:r>
              <w:rPr>
                <w:rFonts w:ascii="宋体" w:hAnsi="宋体" w:eastAsia="宋体" w:cs="Times New Roman"/>
                <w:color w:val="auto"/>
              </w:rPr>
              <w:t>拟建井场</w:t>
            </w:r>
          </w:p>
        </w:tc>
        <w:tc>
          <w:tcPr>
            <w:tcW w:w="526" w:type="pct"/>
            <w:vMerge w:val="continue"/>
            <w:shd w:val="clear" w:color="auto" w:fill="auto"/>
            <w:tcMar>
              <w:top w:w="28" w:type="dxa"/>
              <w:bottom w:w="28" w:type="dxa"/>
            </w:tcMar>
            <w:vAlign w:val="center"/>
          </w:tcPr>
          <w:p w14:paraId="59207274">
            <w:pPr>
              <w:jc w:val="center"/>
              <w:rPr>
                <w:rFonts w:ascii="宋体" w:hAnsi="宋体" w:eastAsia="宋体" w:cs="Times New Roman"/>
                <w:color w:val="auto"/>
              </w:rPr>
            </w:pPr>
          </w:p>
        </w:tc>
      </w:tr>
    </w:tbl>
    <w:p w14:paraId="703FAC95">
      <w:pPr>
        <w:pStyle w:val="6"/>
        <w:rPr>
          <w:color w:val="auto"/>
        </w:rPr>
      </w:pPr>
      <w:r>
        <w:rPr>
          <w:color w:val="auto"/>
        </w:rPr>
        <w:t>排污许可管理</w:t>
      </w:r>
    </w:p>
    <w:p w14:paraId="55CCCFA8">
      <w:pPr>
        <w:spacing w:line="440" w:lineRule="exact"/>
        <w:ind w:firstLine="480" w:firstLineChars="200"/>
        <w:rPr>
          <w:rFonts w:ascii="宋体" w:hAnsi="宋体" w:eastAsia="宋体" w:cs="Times New Roman"/>
          <w:snapToGrid w:val="0"/>
          <w:color w:val="auto"/>
          <w:sz w:val="24"/>
          <w:szCs w:val="24"/>
        </w:rPr>
      </w:pPr>
      <w:r>
        <w:rPr>
          <w:rFonts w:ascii="宋体" w:hAnsi="宋体" w:eastAsia="宋体" w:cs="Times New Roman"/>
          <w:snapToGrid w:val="0"/>
          <w:color w:val="auto"/>
          <w:sz w:val="24"/>
          <w:szCs w:val="24"/>
        </w:rPr>
        <w:t>依据《国务院办公厅关于印发&lt;控制污染物排放许可制度实施方案&gt;的通知》（国办发[2016]81 号）中相关要求，环境影响评价制度是建设项目的环境准入门槛，排污许可制是企业单位在生产营运期排污的法律依据，必须做好充分衔接，实现从污染预防到污染治理和排放控制的全过程监管。新建项目必须在发生实际排污行为之前申领排污许可证，不得无证或不按证排污，环境影响评价文件及批复中与污染物排放相关的主要内容应当纳入排污许可证。</w:t>
      </w:r>
    </w:p>
    <w:p w14:paraId="2D473FDE">
      <w:pPr>
        <w:spacing w:line="440" w:lineRule="exact"/>
        <w:ind w:firstLine="480" w:firstLineChars="200"/>
        <w:rPr>
          <w:rFonts w:ascii="宋体" w:hAnsi="宋体" w:eastAsia="宋体" w:cs="Times New Roman"/>
          <w:color w:val="auto"/>
          <w:kern w:val="21"/>
          <w:sz w:val="24"/>
          <w:szCs w:val="22"/>
        </w:rPr>
      </w:pPr>
      <w:r>
        <w:rPr>
          <w:rFonts w:ascii="宋体" w:hAnsi="宋体" w:eastAsia="宋体" w:cs="Times New Roman"/>
          <w:color w:val="auto"/>
          <w:kern w:val="21"/>
          <w:sz w:val="24"/>
          <w:szCs w:val="22"/>
        </w:rPr>
        <w:t>大庆油田有限责任公司第十采油厂已于2024年12月24日完成排污许可登记，登记编号为</w:t>
      </w:r>
      <w:r>
        <w:rPr>
          <w:rFonts w:ascii="宋体" w:hAnsi="宋体" w:eastAsia="宋体" w:cs="Times New Roman"/>
          <w:color w:val="auto"/>
          <w:sz w:val="24"/>
          <w:szCs w:val="24"/>
        </w:rPr>
        <w:t>91230607716675409L008X</w:t>
      </w:r>
      <w:r>
        <w:rPr>
          <w:rFonts w:ascii="宋体" w:hAnsi="宋体" w:eastAsia="宋体" w:cs="Times New Roman"/>
          <w:color w:val="auto"/>
          <w:kern w:val="21"/>
          <w:sz w:val="24"/>
          <w:szCs w:val="22"/>
        </w:rPr>
        <w:t>。有限期限为自2024年10月24日至2029年10月23日止。</w:t>
      </w:r>
    </w:p>
    <w:p w14:paraId="2169E757">
      <w:pPr>
        <w:spacing w:line="440" w:lineRule="exact"/>
        <w:ind w:firstLine="480" w:firstLineChars="200"/>
        <w:rPr>
          <w:rFonts w:ascii="宋体" w:hAnsi="宋体" w:eastAsia="宋体" w:cs="Times New Roman"/>
          <w:snapToGrid w:val="0"/>
          <w:color w:val="auto"/>
          <w:sz w:val="24"/>
          <w:szCs w:val="24"/>
        </w:rPr>
      </w:pPr>
      <w:r>
        <w:rPr>
          <w:rFonts w:ascii="宋体" w:hAnsi="宋体" w:eastAsia="宋体" w:cs="Times New Roman"/>
          <w:color w:val="auto"/>
          <w:kern w:val="21"/>
          <w:sz w:val="24"/>
          <w:szCs w:val="22"/>
        </w:rPr>
        <w:t>根据生态环境部部令第11号《固定污染源排污许可证分类管理名录（2019年版）》的有关规定，本项目均属于“三、石油和天然气开采业 07中的4石油开采 071”，相关要求为“涉及通用工序重点管理的实施重点管理，涉及通用工序简化管理的实施简化管理，其他实施登记管理”。</w:t>
      </w:r>
      <w:r>
        <w:rPr>
          <w:rFonts w:hint="eastAsia" w:ascii="宋体" w:hAnsi="宋体" w:eastAsia="宋体" w:cs="Times New Roman"/>
          <w:color w:val="auto"/>
          <w:kern w:val="21"/>
          <w:sz w:val="24"/>
          <w:szCs w:val="22"/>
        </w:rPr>
        <w:t>本项目不涉及新增通用工序，拉油点新建多功能储罐加热炉为0.5MW，不涉及“单台或者合计出力20吨/小时（14兆瓦）及以上的锅炉”，且第五采油厂未纳入重点排污单位名录，因此本项目实施登记管理，需在更新排污许可证时，在申请表中填写补充登记表</w:t>
      </w:r>
      <w:r>
        <w:rPr>
          <w:rFonts w:hint="eastAsia" w:ascii="宋体" w:hAnsi="宋体" w:eastAsia="宋体" w:cs="Times New Roman"/>
          <w:snapToGrid w:val="0"/>
          <w:color w:val="auto"/>
          <w:sz w:val="24"/>
          <w:szCs w:val="24"/>
        </w:rPr>
        <w:t>。</w:t>
      </w:r>
    </w:p>
    <w:bookmarkEnd w:id="1974"/>
    <w:p w14:paraId="76DCB737">
      <w:pPr>
        <w:pStyle w:val="5"/>
        <w:rPr>
          <w:bCs w:val="0"/>
          <w:color w:val="auto"/>
        </w:rPr>
      </w:pPr>
      <w:bookmarkStart w:id="1983" w:name="_Toc212033050"/>
      <w:bookmarkStart w:id="1984" w:name="_Toc706"/>
      <w:r>
        <w:rPr>
          <w:bCs w:val="0"/>
          <w:color w:val="auto"/>
        </w:rPr>
        <w:t>占地审批流程</w:t>
      </w:r>
      <w:bookmarkEnd w:id="1983"/>
      <w:bookmarkEnd w:id="1984"/>
    </w:p>
    <w:p w14:paraId="0C6DA52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本项目新增总占地面积为</w:t>
      </w:r>
      <w:r>
        <w:rPr>
          <w:rFonts w:hint="eastAsia" w:ascii="宋体" w:hAnsi="宋体" w:eastAsia="宋体" w:cs="Times New Roman"/>
          <w:color w:val="auto"/>
          <w:kern w:val="21"/>
          <w:sz w:val="24"/>
          <w:szCs w:val="24"/>
        </w:rPr>
        <w:t>7.714</w:t>
      </w:r>
      <w:r>
        <w:rPr>
          <w:rFonts w:ascii="宋体" w:hAnsi="宋体" w:eastAsia="宋体" w:cs="Times New Roman"/>
          <w:color w:val="auto"/>
          <w:kern w:val="21"/>
          <w:sz w:val="24"/>
          <w:szCs w:val="24"/>
        </w:rPr>
        <w:t>hm</w:t>
      </w:r>
      <w:r>
        <w:rPr>
          <w:rFonts w:ascii="宋体" w:hAnsi="宋体" w:eastAsia="宋体" w:cs="Times New Roman"/>
          <w:color w:val="auto"/>
          <w:kern w:val="21"/>
          <w:sz w:val="24"/>
          <w:szCs w:val="24"/>
          <w:vertAlign w:val="superscript"/>
        </w:rPr>
        <w:t>2</w:t>
      </w:r>
      <w:r>
        <w:rPr>
          <w:rFonts w:ascii="宋体" w:hAnsi="宋体" w:eastAsia="宋体" w:cs="Times New Roman"/>
          <w:color w:val="auto"/>
          <w:kern w:val="21"/>
          <w:sz w:val="24"/>
          <w:szCs w:val="24"/>
        </w:rPr>
        <w:t>，其中永久占地面积为</w:t>
      </w:r>
      <w:r>
        <w:rPr>
          <w:rFonts w:hint="eastAsia" w:ascii="宋体" w:hAnsi="宋体" w:eastAsia="宋体" w:cs="Times New Roman"/>
          <w:color w:val="auto"/>
          <w:kern w:val="21"/>
          <w:sz w:val="24"/>
          <w:szCs w:val="24"/>
        </w:rPr>
        <w:t>3.254</w:t>
      </w:r>
      <w:r>
        <w:rPr>
          <w:rFonts w:ascii="宋体" w:hAnsi="宋体" w:eastAsia="宋体" w:cs="Times New Roman"/>
          <w:color w:val="auto"/>
          <w:kern w:val="21"/>
          <w:sz w:val="24"/>
          <w:szCs w:val="24"/>
        </w:rPr>
        <w:t>hm</w:t>
      </w:r>
      <w:r>
        <w:rPr>
          <w:rFonts w:ascii="宋体" w:hAnsi="宋体" w:eastAsia="宋体" w:cs="Times New Roman"/>
          <w:color w:val="auto"/>
          <w:kern w:val="21"/>
          <w:sz w:val="24"/>
          <w:szCs w:val="24"/>
          <w:vertAlign w:val="superscript"/>
        </w:rPr>
        <w:t>2</w:t>
      </w:r>
      <w:r>
        <w:rPr>
          <w:rFonts w:ascii="宋体" w:hAnsi="宋体" w:eastAsia="宋体" w:cs="Times New Roman"/>
          <w:color w:val="auto"/>
          <w:kern w:val="21"/>
          <w:sz w:val="24"/>
          <w:szCs w:val="24"/>
        </w:rPr>
        <w:t>，临时占地面积为</w:t>
      </w:r>
      <w:r>
        <w:rPr>
          <w:rFonts w:hint="eastAsia" w:ascii="宋体" w:hAnsi="宋体" w:eastAsia="宋体" w:cs="Times New Roman"/>
          <w:color w:val="auto"/>
          <w:kern w:val="21"/>
          <w:sz w:val="24"/>
          <w:szCs w:val="24"/>
        </w:rPr>
        <w:t>4.46</w:t>
      </w:r>
      <w:r>
        <w:rPr>
          <w:rFonts w:ascii="宋体" w:hAnsi="宋体" w:eastAsia="宋体" w:cs="Times New Roman"/>
          <w:color w:val="auto"/>
          <w:kern w:val="21"/>
          <w:sz w:val="24"/>
          <w:szCs w:val="24"/>
        </w:rPr>
        <w:t>hm</w:t>
      </w:r>
      <w:r>
        <w:rPr>
          <w:rFonts w:ascii="宋体" w:hAnsi="宋体" w:eastAsia="宋体" w:cs="Times New Roman"/>
          <w:color w:val="auto"/>
          <w:kern w:val="21"/>
          <w:sz w:val="24"/>
          <w:szCs w:val="24"/>
          <w:vertAlign w:val="superscript"/>
        </w:rPr>
        <w:t>2</w:t>
      </w:r>
      <w:r>
        <w:rPr>
          <w:rFonts w:ascii="宋体" w:hAnsi="宋体" w:eastAsia="宋体" w:cs="Times New Roman"/>
          <w:color w:val="auto"/>
          <w:kern w:val="21"/>
          <w:sz w:val="24"/>
          <w:szCs w:val="24"/>
        </w:rPr>
        <w:t>，占地类型为耕地（永久基本农田和一般耕地）和草地（一般草地）。</w:t>
      </w:r>
    </w:p>
    <w:p w14:paraId="65669446">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建设单位在环境影响评价批复文件下发后应按文件要求申请临时用地批复。</w:t>
      </w:r>
    </w:p>
    <w:p w14:paraId="2B5334F8">
      <w:pPr>
        <w:spacing w:line="440" w:lineRule="exact"/>
        <w:ind w:firstLine="480" w:firstLineChars="200"/>
        <w:rPr>
          <w:rFonts w:ascii="宋体" w:hAnsi="宋体" w:eastAsia="宋体" w:cs="Times New Roman"/>
          <w:color w:val="auto"/>
          <w:kern w:val="21"/>
          <w:sz w:val="24"/>
          <w:szCs w:val="24"/>
        </w:rPr>
      </w:pPr>
      <w:r>
        <w:rPr>
          <w:rFonts w:hint="eastAsia" w:ascii="宋体" w:hAnsi="宋体" w:eastAsia="宋体" w:cs="Times New Roman"/>
          <w:color w:val="auto"/>
          <w:kern w:val="21"/>
          <w:sz w:val="24"/>
          <w:szCs w:val="24"/>
        </w:rPr>
        <w:t>（1）</w:t>
      </w:r>
      <w:r>
        <w:rPr>
          <w:rFonts w:ascii="宋体" w:hAnsi="宋体" w:eastAsia="宋体" w:cs="Times New Roman"/>
          <w:color w:val="auto"/>
          <w:kern w:val="21"/>
          <w:sz w:val="24"/>
          <w:szCs w:val="24"/>
        </w:rPr>
        <w:t>大庆油田有限责任公司第十采油厂监督管理中心土地组依据项目设计资料、投资计划等基础资料，核实项目用地范围、面积、类型，准备临时用地申请、平面布置图、占地现状图、临时使用土地合同、土地复垦方案等相关材料，提交给县区（</w:t>
      </w:r>
      <w:r>
        <w:rPr>
          <w:rFonts w:hint="eastAsia" w:ascii="宋体" w:hAnsi="宋体" w:eastAsia="宋体" w:cs="Times New Roman"/>
          <w:color w:val="auto"/>
          <w:kern w:val="21"/>
          <w:sz w:val="24"/>
          <w:szCs w:val="24"/>
        </w:rPr>
        <w:t>肇源</w:t>
      </w:r>
      <w:r>
        <w:rPr>
          <w:rFonts w:ascii="宋体" w:hAnsi="宋体" w:eastAsia="宋体" w:cs="Times New Roman"/>
          <w:color w:val="auto"/>
          <w:kern w:val="21"/>
          <w:sz w:val="24"/>
          <w:szCs w:val="24"/>
        </w:rPr>
        <w:t>县）自然资源部门。</w:t>
      </w:r>
    </w:p>
    <w:p w14:paraId="3223EB61">
      <w:pPr>
        <w:spacing w:line="440" w:lineRule="exact"/>
        <w:ind w:firstLine="480" w:firstLineChars="200"/>
        <w:rPr>
          <w:rFonts w:ascii="宋体" w:hAnsi="宋体" w:eastAsia="宋体" w:cs="Times New Roman"/>
          <w:color w:val="auto"/>
          <w:kern w:val="21"/>
          <w:sz w:val="24"/>
          <w:szCs w:val="24"/>
        </w:rPr>
      </w:pPr>
      <w:r>
        <w:rPr>
          <w:rFonts w:hint="eastAsia" w:ascii="宋体" w:hAnsi="宋体" w:eastAsia="宋体" w:cs="Times New Roman"/>
          <w:color w:val="auto"/>
          <w:kern w:val="21"/>
          <w:sz w:val="24"/>
          <w:szCs w:val="24"/>
        </w:rPr>
        <w:t>（2）</w:t>
      </w:r>
      <w:r>
        <w:rPr>
          <w:rFonts w:ascii="宋体" w:hAnsi="宋体" w:eastAsia="宋体" w:cs="Times New Roman"/>
          <w:color w:val="auto"/>
          <w:kern w:val="21"/>
          <w:sz w:val="24"/>
          <w:szCs w:val="24"/>
        </w:rPr>
        <w:t>县区（</w:t>
      </w:r>
      <w:r>
        <w:rPr>
          <w:rFonts w:hint="eastAsia" w:ascii="宋体" w:hAnsi="宋体" w:eastAsia="宋体" w:cs="Times New Roman"/>
          <w:color w:val="auto"/>
          <w:kern w:val="21"/>
          <w:sz w:val="24"/>
          <w:szCs w:val="24"/>
        </w:rPr>
        <w:t>肇源</w:t>
      </w:r>
      <w:r>
        <w:rPr>
          <w:rFonts w:ascii="宋体" w:hAnsi="宋体" w:eastAsia="宋体" w:cs="Times New Roman"/>
          <w:color w:val="auto"/>
          <w:kern w:val="21"/>
          <w:sz w:val="24"/>
          <w:szCs w:val="24"/>
        </w:rPr>
        <w:t>县）自然资源部门对资料进行初审。县区（</w:t>
      </w:r>
      <w:r>
        <w:rPr>
          <w:rFonts w:hint="eastAsia" w:ascii="宋体" w:hAnsi="宋体" w:eastAsia="宋体" w:cs="Times New Roman"/>
          <w:color w:val="auto"/>
          <w:kern w:val="21"/>
          <w:sz w:val="24"/>
          <w:szCs w:val="24"/>
        </w:rPr>
        <w:t>肇源</w:t>
      </w:r>
      <w:r>
        <w:rPr>
          <w:rFonts w:ascii="宋体" w:hAnsi="宋体" w:eastAsia="宋体" w:cs="Times New Roman"/>
          <w:color w:val="auto"/>
          <w:kern w:val="21"/>
          <w:sz w:val="24"/>
          <w:szCs w:val="24"/>
        </w:rPr>
        <w:t>县）自然资源部门组织对大庆油田有限责任公司第十采油厂监督管理中心土地组提交的临时用地申请资料进行初审，开展实地探勘核验，审查同意的出具审查意见。</w:t>
      </w:r>
    </w:p>
    <w:p w14:paraId="2709C78D">
      <w:pPr>
        <w:spacing w:line="440" w:lineRule="exact"/>
        <w:ind w:firstLine="480" w:firstLineChars="200"/>
        <w:rPr>
          <w:rFonts w:ascii="宋体" w:hAnsi="宋体" w:eastAsia="宋体" w:cs="Times New Roman"/>
          <w:color w:val="auto"/>
          <w:kern w:val="21"/>
          <w:sz w:val="24"/>
          <w:szCs w:val="24"/>
        </w:rPr>
      </w:pPr>
      <w:r>
        <w:rPr>
          <w:rFonts w:hint="eastAsia" w:ascii="宋体" w:hAnsi="宋体" w:eastAsia="宋体" w:cs="Times New Roman"/>
          <w:color w:val="auto"/>
          <w:kern w:val="21"/>
          <w:sz w:val="24"/>
          <w:szCs w:val="24"/>
        </w:rPr>
        <w:t>（3）</w:t>
      </w:r>
      <w:r>
        <w:rPr>
          <w:rFonts w:ascii="宋体" w:hAnsi="宋体" w:eastAsia="宋体" w:cs="Times New Roman"/>
          <w:color w:val="auto"/>
          <w:kern w:val="21"/>
          <w:sz w:val="24"/>
          <w:szCs w:val="24"/>
        </w:rPr>
        <w:t>大庆市自然资源局审批。大庆市自然资源局组织审查县、县区自然资源部门提交的大庆油田有限责任公司第十采油厂监督管理中心土地组临时用地申请是否已完成初审、是否符合相关要求，对满足要求的用地申请组织审批，下发临时用地批复文件。</w:t>
      </w:r>
    </w:p>
    <w:p w14:paraId="3D39217F">
      <w:pPr>
        <w:spacing w:line="440" w:lineRule="exact"/>
        <w:ind w:firstLine="480" w:firstLineChars="200"/>
        <w:rPr>
          <w:rFonts w:ascii="宋体" w:hAnsi="宋体" w:eastAsia="宋体" w:cs="Times New Roman"/>
          <w:color w:val="auto"/>
          <w:kern w:val="21"/>
          <w:sz w:val="24"/>
          <w:szCs w:val="24"/>
        </w:rPr>
      </w:pPr>
      <w:r>
        <w:rPr>
          <w:rFonts w:hint="eastAsia" w:ascii="宋体" w:hAnsi="宋体" w:eastAsia="宋体" w:cs="Times New Roman"/>
          <w:color w:val="auto"/>
          <w:kern w:val="21"/>
          <w:sz w:val="24"/>
          <w:szCs w:val="24"/>
        </w:rPr>
        <w:t>（4）</w:t>
      </w:r>
      <w:r>
        <w:rPr>
          <w:rFonts w:ascii="宋体" w:hAnsi="宋体" w:eastAsia="宋体" w:cs="Times New Roman"/>
          <w:color w:val="auto"/>
          <w:kern w:val="21"/>
          <w:sz w:val="24"/>
          <w:szCs w:val="24"/>
        </w:rPr>
        <w:t>大庆油田有限责任公司第十采油厂监督管理中心土地组根据批复文件，办理征地手续，组织进场施工。</w:t>
      </w:r>
    </w:p>
    <w:p w14:paraId="53C6E49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大庆油田有限责任公司第十采油厂监督管理中心土地组按照“先临时、后永久”的政策，井场、道路、管线临时用地结束后，办理永久用地审批。大庆油田有限责任公司第十采油厂监督管理中心土地组每年上报油田公司生态资源管理部，全油田全年组卷一次，经县自然资源局、县政府，市自然资源局、市政府，省自然资源厅、省政府，逐级上报自然资源部、国务院审批。</w:t>
      </w:r>
    </w:p>
    <w:p w14:paraId="103C84CC">
      <w:pPr>
        <w:spacing w:line="440" w:lineRule="exact"/>
        <w:ind w:firstLine="420" w:firstLineChars="200"/>
        <w:rPr>
          <w:rFonts w:ascii="宋体" w:hAnsi="宋体" w:eastAsia="宋体" w:cs="Times New Roman"/>
          <w:color w:val="auto"/>
          <w:kern w:val="21"/>
        </w:rPr>
      </w:pPr>
    </w:p>
    <w:p w14:paraId="7CBF36F6">
      <w:pPr>
        <w:rPr>
          <w:rFonts w:ascii="宋体" w:hAnsi="宋体" w:eastAsia="宋体" w:cs="Times New Roman"/>
          <w:color w:val="auto"/>
        </w:rPr>
        <w:sectPr>
          <w:footerReference r:id="rId12" w:type="default"/>
          <w:pgSz w:w="11906" w:h="16838"/>
          <w:pgMar w:top="1418" w:right="1418" w:bottom="1418" w:left="1418" w:header="851" w:footer="992" w:gutter="0"/>
          <w:cols w:space="720" w:num="1"/>
          <w:docGrid w:linePitch="312" w:charSpace="0"/>
        </w:sectPr>
      </w:pPr>
    </w:p>
    <w:bookmarkEnd w:id="1975"/>
    <w:bookmarkEnd w:id="1976"/>
    <w:bookmarkEnd w:id="1977"/>
    <w:bookmarkEnd w:id="1978"/>
    <w:p w14:paraId="4EAC65B1">
      <w:pPr>
        <w:pStyle w:val="3"/>
        <w:rPr>
          <w:rFonts w:ascii="宋体" w:hAnsi="宋体" w:eastAsia="宋体"/>
          <w:bCs/>
          <w:color w:val="auto"/>
        </w:rPr>
      </w:pPr>
      <w:bookmarkStart w:id="1985" w:name="_Toc212033051"/>
      <w:bookmarkStart w:id="1986" w:name="_Toc32246"/>
      <w:r>
        <w:rPr>
          <w:rFonts w:ascii="宋体" w:hAnsi="宋体" w:eastAsia="宋体"/>
          <w:bCs/>
          <w:color w:val="auto"/>
        </w:rPr>
        <w:t>环境影响评价结论</w:t>
      </w:r>
      <w:bookmarkEnd w:id="1985"/>
      <w:bookmarkEnd w:id="1986"/>
    </w:p>
    <w:p w14:paraId="46C6078D">
      <w:pPr>
        <w:pStyle w:val="5"/>
        <w:rPr>
          <w:bCs w:val="0"/>
          <w:color w:val="auto"/>
        </w:rPr>
      </w:pPr>
      <w:bookmarkStart w:id="1987" w:name="_Toc502736558"/>
      <w:bookmarkStart w:id="1988" w:name="_Toc24451"/>
      <w:bookmarkStart w:id="1989" w:name="_Toc212033052"/>
      <w:bookmarkStart w:id="1990" w:name="_Toc11247"/>
      <w:r>
        <w:rPr>
          <w:bCs w:val="0"/>
          <w:color w:val="auto"/>
        </w:rPr>
        <w:t>建设项目概况</w:t>
      </w:r>
      <w:bookmarkEnd w:id="1987"/>
      <w:bookmarkEnd w:id="1988"/>
      <w:bookmarkEnd w:id="1989"/>
      <w:bookmarkEnd w:id="1990"/>
    </w:p>
    <w:p w14:paraId="361C744E">
      <w:pPr>
        <w:spacing w:line="440" w:lineRule="exact"/>
        <w:ind w:firstLine="480" w:firstLineChars="200"/>
        <w:rPr>
          <w:rFonts w:ascii="宋体" w:hAnsi="宋体" w:eastAsia="宋体" w:cs="Times New Roman"/>
          <w:color w:val="auto"/>
          <w:sz w:val="24"/>
          <w:szCs w:val="24"/>
        </w:rPr>
      </w:pPr>
      <w:bookmarkStart w:id="1991" w:name="_Toc502736559"/>
      <w:r>
        <w:rPr>
          <w:rFonts w:ascii="宋体" w:hAnsi="宋体" w:eastAsia="宋体" w:cs="Times New Roman"/>
          <w:color w:val="auto"/>
          <w:sz w:val="24"/>
          <w:szCs w:val="24"/>
        </w:rPr>
        <w:t>大庆油田有限责任公司第十采油厂拟建的肇源油田源212区块扶余油层水平井提产试验产能建设地面工程项目，为新建工程，位于</w:t>
      </w:r>
      <w:r>
        <w:rPr>
          <w:rFonts w:ascii="宋体" w:hAnsi="宋体" w:eastAsia="宋体" w:cs="Times New Roman"/>
          <w:snapToGrid w:val="0"/>
          <w:color w:val="auto"/>
          <w:sz w:val="24"/>
          <w:szCs w:val="24"/>
        </w:rPr>
        <w:t>大庆市肇源县和平乡后欧力马屯西侧及东侧、四方山村北侧以及肇源镇刘兽医屯东侧</w:t>
      </w:r>
      <w:r>
        <w:rPr>
          <w:rFonts w:ascii="宋体" w:hAnsi="宋体" w:eastAsia="宋体" w:cs="Times New Roman"/>
          <w:color w:val="auto"/>
          <w:sz w:val="24"/>
          <w:szCs w:val="24"/>
        </w:rPr>
        <w:t>，地理坐标为125°2′43.709″～125°10′23.518″，北纬45°30′44.347″～45°34′10.248″。</w:t>
      </w:r>
    </w:p>
    <w:p w14:paraId="7CA6A422">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snapToGrid w:val="0"/>
          <w:color w:val="auto"/>
          <w:sz w:val="24"/>
          <w:szCs w:val="24"/>
        </w:rPr>
        <w:t>新钻井6口</w:t>
      </w:r>
      <w:r>
        <w:rPr>
          <w:rFonts w:ascii="宋体" w:hAnsi="宋体" w:eastAsia="宋体" w:cs="Times New Roman"/>
          <w:color w:val="auto"/>
          <w:sz w:val="24"/>
          <w:szCs w:val="24"/>
        </w:rPr>
        <w:t>，形成1座平台井场和4口单井井场</w:t>
      </w:r>
      <w:r>
        <w:rPr>
          <w:rFonts w:hint="eastAsia" w:ascii="宋体" w:hAnsi="宋体" w:eastAsia="宋体" w:cs="Times New Roman"/>
          <w:color w:val="auto"/>
          <w:sz w:val="24"/>
          <w:szCs w:val="24"/>
        </w:rPr>
        <w:t>（其中2口为勘探井）</w:t>
      </w:r>
      <w:r>
        <w:rPr>
          <w:rFonts w:ascii="宋体" w:hAnsi="宋体" w:eastAsia="宋体" w:cs="Times New Roman"/>
          <w:snapToGrid w:val="0"/>
          <w:color w:val="auto"/>
          <w:sz w:val="24"/>
          <w:szCs w:val="24"/>
        </w:rPr>
        <w:t>，采用射孔和压裂完井；基建油井4口，共形成丛式平台1座，独立井2口，新建3座拉油点，</w:t>
      </w:r>
      <w:r>
        <w:rPr>
          <w:rFonts w:ascii="宋体" w:hAnsi="宋体" w:eastAsia="宋体" w:cs="Times New Roman"/>
          <w:color w:val="auto"/>
          <w:sz w:val="24"/>
          <w:szCs w:val="24"/>
        </w:rPr>
        <w:t>配套新建井场集油管道0.06km</w:t>
      </w:r>
      <w:r>
        <w:rPr>
          <w:rFonts w:ascii="宋体" w:hAnsi="宋体" w:eastAsia="宋体" w:cs="Times New Roman"/>
          <w:snapToGrid w:val="0"/>
          <w:color w:val="auto"/>
          <w:sz w:val="24"/>
          <w:szCs w:val="24"/>
        </w:rPr>
        <w:t>；并配套建设供配电、道路等辅助工程，预计建成产能1.16×10</w:t>
      </w:r>
      <w:r>
        <w:rPr>
          <w:rFonts w:ascii="宋体" w:hAnsi="宋体" w:eastAsia="宋体" w:cs="Times New Roman"/>
          <w:snapToGrid w:val="0"/>
          <w:color w:val="auto"/>
          <w:sz w:val="24"/>
          <w:szCs w:val="24"/>
          <w:vertAlign w:val="superscript"/>
        </w:rPr>
        <w:t>4</w:t>
      </w:r>
      <w:r>
        <w:rPr>
          <w:rFonts w:ascii="宋体" w:hAnsi="宋体" w:eastAsia="宋体" w:cs="Times New Roman"/>
          <w:snapToGrid w:val="0"/>
          <w:color w:val="auto"/>
          <w:sz w:val="24"/>
          <w:szCs w:val="24"/>
        </w:rPr>
        <w:t>t/a</w:t>
      </w:r>
      <w:r>
        <w:rPr>
          <w:rFonts w:ascii="宋体" w:hAnsi="宋体" w:eastAsia="宋体" w:cs="Times New Roman"/>
          <w:color w:val="auto"/>
          <w:sz w:val="24"/>
          <w:szCs w:val="24"/>
        </w:rPr>
        <w:t>。本项目新增总占地面积为</w:t>
      </w:r>
      <w:r>
        <w:rPr>
          <w:rFonts w:hint="eastAsia" w:ascii="宋体" w:hAnsi="宋体" w:eastAsia="宋体" w:cs="Times New Roman"/>
          <w:color w:val="auto"/>
          <w:sz w:val="24"/>
          <w:szCs w:val="24"/>
        </w:rPr>
        <w:t>7.714</w:t>
      </w:r>
      <w:r>
        <w:rPr>
          <w:rFonts w:ascii="宋体" w:hAnsi="宋体" w:eastAsia="宋体" w:cs="Times New Roman"/>
          <w:color w:val="auto"/>
          <w:sz w:val="24"/>
          <w:szCs w:val="24"/>
        </w:rPr>
        <w:t>hm</w:t>
      </w:r>
      <w:r>
        <w:rPr>
          <w:rFonts w:ascii="宋体" w:hAnsi="宋体" w:eastAsia="宋体" w:cs="Times New Roman"/>
          <w:color w:val="auto"/>
          <w:sz w:val="24"/>
          <w:szCs w:val="24"/>
          <w:vertAlign w:val="superscript"/>
        </w:rPr>
        <w:t>2</w:t>
      </w:r>
      <w:r>
        <w:rPr>
          <w:rFonts w:ascii="宋体" w:hAnsi="宋体" w:eastAsia="宋体" w:cs="Times New Roman"/>
          <w:color w:val="auto"/>
          <w:sz w:val="24"/>
          <w:szCs w:val="24"/>
        </w:rPr>
        <w:t>，其中永久占地面积为</w:t>
      </w:r>
      <w:r>
        <w:rPr>
          <w:rFonts w:hint="eastAsia" w:ascii="宋体" w:hAnsi="宋体" w:eastAsia="宋体" w:cs="Times New Roman"/>
          <w:color w:val="auto"/>
          <w:sz w:val="24"/>
          <w:szCs w:val="24"/>
        </w:rPr>
        <w:t>3.254</w:t>
      </w:r>
      <w:r>
        <w:rPr>
          <w:rFonts w:ascii="宋体" w:hAnsi="宋体" w:eastAsia="宋体" w:cs="Times New Roman"/>
          <w:color w:val="auto"/>
          <w:sz w:val="24"/>
          <w:szCs w:val="24"/>
        </w:rPr>
        <w:t>hm</w:t>
      </w:r>
      <w:r>
        <w:rPr>
          <w:rFonts w:ascii="宋体" w:hAnsi="宋体" w:eastAsia="宋体" w:cs="Times New Roman"/>
          <w:color w:val="auto"/>
          <w:sz w:val="24"/>
          <w:szCs w:val="24"/>
          <w:vertAlign w:val="superscript"/>
        </w:rPr>
        <w:t>2</w:t>
      </w:r>
      <w:r>
        <w:rPr>
          <w:rFonts w:ascii="宋体" w:hAnsi="宋体" w:eastAsia="宋体" w:cs="Times New Roman"/>
          <w:color w:val="auto"/>
          <w:sz w:val="24"/>
          <w:szCs w:val="24"/>
        </w:rPr>
        <w:t>，临时占地面积为</w:t>
      </w:r>
      <w:r>
        <w:rPr>
          <w:rFonts w:hint="eastAsia" w:ascii="宋体" w:hAnsi="宋体" w:eastAsia="宋体" w:cs="Times New Roman"/>
          <w:color w:val="auto"/>
          <w:sz w:val="24"/>
          <w:szCs w:val="24"/>
        </w:rPr>
        <w:t>4.46</w:t>
      </w:r>
      <w:r>
        <w:rPr>
          <w:rFonts w:ascii="宋体" w:hAnsi="宋体" w:eastAsia="宋体" w:cs="Times New Roman"/>
          <w:color w:val="auto"/>
          <w:sz w:val="24"/>
          <w:szCs w:val="24"/>
        </w:rPr>
        <w:t>hm</w:t>
      </w:r>
      <w:r>
        <w:rPr>
          <w:rFonts w:ascii="宋体" w:hAnsi="宋体" w:eastAsia="宋体" w:cs="Times New Roman"/>
          <w:color w:val="auto"/>
          <w:sz w:val="24"/>
          <w:szCs w:val="24"/>
          <w:vertAlign w:val="superscript"/>
        </w:rPr>
        <w:t>2</w:t>
      </w:r>
      <w:r>
        <w:rPr>
          <w:rFonts w:ascii="宋体" w:hAnsi="宋体" w:eastAsia="宋体" w:cs="Times New Roman"/>
          <w:color w:val="auto"/>
          <w:sz w:val="24"/>
          <w:szCs w:val="24"/>
        </w:rPr>
        <w:t>，占地类型为耕地和草地。本项目总投资</w:t>
      </w:r>
      <w:r>
        <w:rPr>
          <w:rFonts w:hint="eastAsia" w:ascii="宋体" w:hAnsi="宋体" w:eastAsia="宋体" w:cs="Times New Roman"/>
          <w:color w:val="auto"/>
          <w:sz w:val="24"/>
          <w:szCs w:val="24"/>
        </w:rPr>
        <w:t>13156</w:t>
      </w:r>
      <w:r>
        <w:rPr>
          <w:rFonts w:ascii="宋体" w:hAnsi="宋体" w:eastAsia="宋体" w:cs="Times New Roman"/>
          <w:color w:val="auto"/>
          <w:sz w:val="24"/>
          <w:szCs w:val="24"/>
        </w:rPr>
        <w:t>万元</w:t>
      </w:r>
      <w:r>
        <w:rPr>
          <w:rFonts w:ascii="宋体" w:hAnsi="宋体" w:eastAsia="宋体" w:cs="Times New Roman"/>
          <w:color w:val="auto"/>
          <w:kern w:val="21"/>
          <w:sz w:val="24"/>
          <w:szCs w:val="24"/>
        </w:rPr>
        <w:t>，其中环保投资</w:t>
      </w:r>
      <w:r>
        <w:rPr>
          <w:rFonts w:hint="eastAsia" w:ascii="宋体" w:hAnsi="宋体" w:eastAsia="宋体" w:cs="Times New Roman"/>
          <w:color w:val="auto"/>
          <w:kern w:val="21"/>
          <w:sz w:val="24"/>
          <w:szCs w:val="24"/>
        </w:rPr>
        <w:t>87.82</w:t>
      </w:r>
      <w:r>
        <w:rPr>
          <w:rFonts w:ascii="宋体" w:hAnsi="宋体" w:eastAsia="宋体" w:cs="Times New Roman"/>
          <w:color w:val="auto"/>
          <w:kern w:val="21"/>
          <w:sz w:val="24"/>
          <w:szCs w:val="24"/>
        </w:rPr>
        <w:t>万元。</w:t>
      </w:r>
    </w:p>
    <w:bookmarkEnd w:id="1991"/>
    <w:p w14:paraId="1FF3975A">
      <w:pPr>
        <w:pStyle w:val="5"/>
        <w:rPr>
          <w:bCs w:val="0"/>
          <w:color w:val="auto"/>
        </w:rPr>
      </w:pPr>
      <w:bookmarkStart w:id="1992" w:name="_Toc12067"/>
      <w:bookmarkStart w:id="1993" w:name="_Toc502736560"/>
      <w:bookmarkStart w:id="1994" w:name="_Toc212033053"/>
      <w:bookmarkStart w:id="1995" w:name="_Toc18297"/>
      <w:r>
        <w:rPr>
          <w:bCs w:val="0"/>
          <w:color w:val="auto"/>
        </w:rPr>
        <w:t>环境质量现状评价结论</w:t>
      </w:r>
      <w:bookmarkEnd w:id="1992"/>
      <w:bookmarkEnd w:id="1993"/>
      <w:bookmarkEnd w:id="1994"/>
      <w:bookmarkEnd w:id="1995"/>
    </w:p>
    <w:p w14:paraId="5F0219DB">
      <w:pPr>
        <w:pStyle w:val="6"/>
        <w:rPr>
          <w:color w:val="auto"/>
        </w:rPr>
      </w:pPr>
      <w:bookmarkStart w:id="1996" w:name="_Toc126863511"/>
      <w:bookmarkStart w:id="1997" w:name="_Toc84929355"/>
      <w:bookmarkStart w:id="1998" w:name="_Toc78816583"/>
      <w:bookmarkStart w:id="1999" w:name="_Toc70050308"/>
      <w:bookmarkStart w:id="2000" w:name="_Toc131167412"/>
      <w:bookmarkStart w:id="2001" w:name="_Toc67860261"/>
      <w:bookmarkStart w:id="2002" w:name="_Toc127192460"/>
      <w:bookmarkStart w:id="2003" w:name="_Toc143099699"/>
      <w:bookmarkStart w:id="2004" w:name="_Toc76976370"/>
      <w:bookmarkStart w:id="2005" w:name="_Toc80588378"/>
      <w:bookmarkStart w:id="2006" w:name="_Toc77067781"/>
      <w:bookmarkStart w:id="2007" w:name="_Toc85640879"/>
      <w:bookmarkStart w:id="2008" w:name="_Toc80971500"/>
      <w:bookmarkStart w:id="2009" w:name="_Toc86142054"/>
      <w:bookmarkStart w:id="2010" w:name="_Toc83209600"/>
      <w:bookmarkStart w:id="2011" w:name="_Toc61597368"/>
      <w:r>
        <w:rPr>
          <w:color w:val="auto"/>
        </w:rPr>
        <w:t>大气环境质量现状评价结论</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14:paraId="6EA6CF4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根据空气质量自动监测站萨区政府监测点2024年全年的监测资料统计数据可知，项目所在区域属于达标区。均能满足《环境空气质量标准》（GB3095-2012）二级标准要求。特征污染物非甲烷总烃满足《大气污染物综合排放标准详解》中的2.0mg/m</w:t>
      </w:r>
      <w:r>
        <w:rPr>
          <w:rFonts w:ascii="宋体" w:hAnsi="宋体" w:eastAsia="宋体" w:cs="Times New Roman"/>
          <w:color w:val="auto"/>
          <w:kern w:val="21"/>
          <w:sz w:val="24"/>
          <w:szCs w:val="24"/>
          <w:vertAlign w:val="superscript"/>
        </w:rPr>
        <w:t>3</w:t>
      </w:r>
      <w:r>
        <w:rPr>
          <w:rFonts w:ascii="宋体" w:hAnsi="宋体" w:eastAsia="宋体" w:cs="Times New Roman"/>
          <w:color w:val="auto"/>
          <w:kern w:val="21"/>
          <w:sz w:val="24"/>
          <w:szCs w:val="24"/>
        </w:rPr>
        <w:t>标准要求，TSP满足《环境空气质量标准》（GB3095-2012）及其修改单中的二级标准，评价区域内大气环境质量较好。</w:t>
      </w:r>
    </w:p>
    <w:p w14:paraId="106BE0FE">
      <w:pPr>
        <w:pStyle w:val="6"/>
        <w:rPr>
          <w:color w:val="auto"/>
        </w:rPr>
      </w:pPr>
      <w:bookmarkStart w:id="2012" w:name="_Toc106810423"/>
      <w:bookmarkStart w:id="2013" w:name="_Toc86142055"/>
      <w:bookmarkStart w:id="2014" w:name="_Toc85640880"/>
      <w:bookmarkStart w:id="2015" w:name="_Toc76976371"/>
      <w:bookmarkStart w:id="2016" w:name="_Toc61597369"/>
      <w:bookmarkStart w:id="2017" w:name="_Toc77067782"/>
      <w:bookmarkStart w:id="2018" w:name="_Toc78816584"/>
      <w:bookmarkStart w:id="2019" w:name="_Toc143099700"/>
      <w:bookmarkStart w:id="2020" w:name="_Toc80971501"/>
      <w:bookmarkStart w:id="2021" w:name="_Toc67860262"/>
      <w:bookmarkStart w:id="2022" w:name="_Toc83209601"/>
      <w:bookmarkStart w:id="2023" w:name="_Toc80588379"/>
      <w:bookmarkStart w:id="2024" w:name="_Toc84929356"/>
      <w:bookmarkStart w:id="2025" w:name="_Toc103610995"/>
      <w:bookmarkStart w:id="2026" w:name="_Toc70050309"/>
      <w:bookmarkStart w:id="2027" w:name="_Toc100822236"/>
      <w:bookmarkStart w:id="2028" w:name="_Toc84929357"/>
      <w:bookmarkStart w:id="2029" w:name="_Toc131167413"/>
      <w:bookmarkStart w:id="2030" w:name="_Toc85640881"/>
      <w:bookmarkStart w:id="2031" w:name="_Toc78816585"/>
      <w:bookmarkStart w:id="2032" w:name="_Toc126863513"/>
      <w:bookmarkStart w:id="2033" w:name="_Toc67860263"/>
      <w:bookmarkStart w:id="2034" w:name="_Toc77067783"/>
      <w:bookmarkStart w:id="2035" w:name="_Toc86142056"/>
      <w:bookmarkStart w:id="2036" w:name="_Toc80588380"/>
      <w:bookmarkStart w:id="2037" w:name="_Toc127192462"/>
      <w:bookmarkStart w:id="2038" w:name="_Toc61597370"/>
      <w:bookmarkStart w:id="2039" w:name="_Toc80971502"/>
      <w:bookmarkStart w:id="2040" w:name="_Toc70050310"/>
      <w:bookmarkStart w:id="2041" w:name="_Toc83209602"/>
      <w:bookmarkStart w:id="2042" w:name="_Toc76976372"/>
      <w:r>
        <w:rPr>
          <w:color w:val="auto"/>
        </w:rPr>
        <w:t>地表水环境质量现状评价结论</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15A33B48">
      <w:pPr>
        <w:pStyle w:val="276"/>
        <w:widowControl w:val="0"/>
        <w:spacing w:line="440" w:lineRule="exact"/>
        <w:ind w:firstLine="480"/>
        <w:jc w:val="both"/>
        <w:rPr>
          <w:snapToGrid w:val="0"/>
          <w:color w:val="auto"/>
        </w:rPr>
      </w:pPr>
      <w:r>
        <w:rPr>
          <w:color w:val="auto"/>
          <w:szCs w:val="20"/>
        </w:rPr>
        <w:t>对项目周边</w:t>
      </w:r>
      <w:r>
        <w:rPr>
          <w:rFonts w:hint="eastAsia"/>
          <w:color w:val="auto"/>
          <w:szCs w:val="20"/>
        </w:rPr>
        <w:t>西大海</w:t>
      </w:r>
      <w:r>
        <w:rPr>
          <w:color w:val="auto"/>
          <w:szCs w:val="20"/>
        </w:rPr>
        <w:t>、中心东四支渠进行了现状监测，掌握了地表水环境质量现状数据</w:t>
      </w:r>
      <w:r>
        <w:rPr>
          <w:color w:val="auto"/>
        </w:rPr>
        <w:t>。</w:t>
      </w:r>
    </w:p>
    <w:p w14:paraId="3225E5D1">
      <w:pPr>
        <w:pStyle w:val="6"/>
        <w:rPr>
          <w:color w:val="auto"/>
        </w:rPr>
      </w:pPr>
      <w:bookmarkStart w:id="2043" w:name="_Toc143099701"/>
      <w:r>
        <w:rPr>
          <w:color w:val="auto"/>
        </w:rPr>
        <w:t>地下水环境质量现状评价结论</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14:paraId="72EE404A">
      <w:pPr>
        <w:pStyle w:val="283"/>
        <w:widowControl w:val="0"/>
        <w:spacing w:line="440" w:lineRule="exact"/>
        <w:ind w:firstLine="480"/>
        <w:jc w:val="both"/>
        <w:rPr>
          <w:rFonts w:cs="Times New Roman"/>
          <w:color w:val="auto"/>
          <w:sz w:val="24"/>
          <w:szCs w:val="24"/>
        </w:rPr>
      </w:pPr>
      <w:bookmarkStart w:id="2044" w:name="_Hlk530468669"/>
      <w:r>
        <w:rPr>
          <w:rFonts w:cs="Times New Roman"/>
          <w:color w:val="auto"/>
          <w:sz w:val="24"/>
          <w:szCs w:val="24"/>
        </w:rPr>
        <w:t>评价区域地下水潜水水质除锰外均满足《地下水质量标准》（GB/T 148488-2017）中的Ⅲ类标准要求，石油类满足《地表水环境质量标准》（GB 3838-2002）II类标准。其中锰因子水质监测浓度占标率偏高，主要是由于评价区域地层中富含锰矿物，还原条件下转化的Mn</w:t>
      </w:r>
      <w:r>
        <w:rPr>
          <w:rFonts w:cs="Times New Roman"/>
          <w:color w:val="auto"/>
          <w:sz w:val="24"/>
          <w:szCs w:val="24"/>
          <w:vertAlign w:val="superscript"/>
        </w:rPr>
        <w:t>2+</w:t>
      </w:r>
      <w:r>
        <w:rPr>
          <w:rFonts w:cs="Times New Roman"/>
          <w:color w:val="auto"/>
          <w:sz w:val="24"/>
          <w:szCs w:val="24"/>
        </w:rPr>
        <w:t>在CO</w:t>
      </w:r>
      <w:r>
        <w:rPr>
          <w:rFonts w:cs="Times New Roman"/>
          <w:color w:val="auto"/>
          <w:sz w:val="24"/>
          <w:szCs w:val="24"/>
          <w:vertAlign w:val="subscript"/>
        </w:rPr>
        <w:t>2</w:t>
      </w:r>
      <w:r>
        <w:rPr>
          <w:rFonts w:cs="Times New Roman"/>
          <w:color w:val="auto"/>
          <w:sz w:val="24"/>
          <w:szCs w:val="24"/>
        </w:rPr>
        <w:t>作用下溶入地下水中，形成锰浓度偏高的水文地质化学环境。评价区域承压水</w:t>
      </w:r>
      <w:r>
        <w:rPr>
          <w:rFonts w:cs="Times New Roman"/>
          <w:color w:val="auto"/>
          <w:kern w:val="21"/>
          <w:sz w:val="24"/>
          <w:szCs w:val="24"/>
        </w:rPr>
        <w:t>水质均满足《地下水质量标准》（GB/T 148488-2017）中的Ⅲ类标准要求，石油类满足《地表水环境质量标准》（GB 3838-2002）II类标准。</w:t>
      </w:r>
      <w:r>
        <w:rPr>
          <w:rFonts w:cs="Times New Roman"/>
          <w:color w:val="auto"/>
          <w:sz w:val="24"/>
          <w:szCs w:val="24"/>
        </w:rPr>
        <w:t>评价区域地下水化学类型主要为4-A型HCO</w:t>
      </w:r>
      <w:r>
        <w:rPr>
          <w:rFonts w:cs="Times New Roman"/>
          <w:color w:val="auto"/>
          <w:sz w:val="24"/>
          <w:szCs w:val="24"/>
          <w:vertAlign w:val="subscript"/>
        </w:rPr>
        <w:t>3</w:t>
      </w:r>
      <w:r>
        <w:rPr>
          <w:rFonts w:cs="Times New Roman"/>
          <w:color w:val="auto"/>
          <w:sz w:val="24"/>
          <w:szCs w:val="24"/>
        </w:rPr>
        <w:t>-</w:t>
      </w:r>
      <w:r>
        <w:rPr>
          <w:rFonts w:cs="Times New Roman"/>
          <w:color w:val="auto"/>
          <w:sz w:val="24"/>
          <w:szCs w:val="28"/>
        </w:rPr>
        <w:t xml:space="preserve"> </w:t>
      </w:r>
      <w:r>
        <w:rPr>
          <w:rFonts w:cs="Times New Roman"/>
          <w:color w:val="auto"/>
          <w:sz w:val="24"/>
          <w:szCs w:val="24"/>
        </w:rPr>
        <w:t>Na+Ca淡水及25-A型HCO</w:t>
      </w:r>
      <w:r>
        <w:rPr>
          <w:rFonts w:cs="Times New Roman"/>
          <w:color w:val="auto"/>
          <w:sz w:val="24"/>
          <w:szCs w:val="24"/>
          <w:vertAlign w:val="subscript"/>
        </w:rPr>
        <w:t>3</w:t>
      </w:r>
      <w:r>
        <w:rPr>
          <w:rFonts w:cs="Times New Roman"/>
          <w:color w:val="auto"/>
          <w:sz w:val="24"/>
          <w:szCs w:val="24"/>
        </w:rPr>
        <w:t>+Cl -Na+Ca淡水。</w:t>
      </w:r>
    </w:p>
    <w:bookmarkEnd w:id="2044"/>
    <w:p w14:paraId="39254E05">
      <w:pPr>
        <w:pStyle w:val="6"/>
        <w:rPr>
          <w:color w:val="auto"/>
        </w:rPr>
      </w:pPr>
      <w:bookmarkStart w:id="2045" w:name="_Toc86142057"/>
      <w:bookmarkStart w:id="2046" w:name="_Toc70050311"/>
      <w:bookmarkStart w:id="2047" w:name="_Toc143099702"/>
      <w:bookmarkStart w:id="2048" w:name="_Toc67860264"/>
      <w:bookmarkStart w:id="2049" w:name="_Toc61597371"/>
      <w:bookmarkStart w:id="2050" w:name="_Toc80971503"/>
      <w:bookmarkStart w:id="2051" w:name="_Toc76976373"/>
      <w:bookmarkStart w:id="2052" w:name="_Toc78816586"/>
      <w:bookmarkStart w:id="2053" w:name="_Toc85640882"/>
      <w:bookmarkStart w:id="2054" w:name="_Toc84929358"/>
      <w:bookmarkStart w:id="2055" w:name="_Toc83209603"/>
      <w:bookmarkStart w:id="2056" w:name="_Toc131167414"/>
      <w:bookmarkStart w:id="2057" w:name="_Toc127192463"/>
      <w:bookmarkStart w:id="2058" w:name="_Toc80588381"/>
      <w:bookmarkStart w:id="2059" w:name="_Toc126863514"/>
      <w:bookmarkStart w:id="2060" w:name="_Toc77067784"/>
      <w:r>
        <w:rPr>
          <w:color w:val="auto"/>
        </w:rPr>
        <w:t>声环境质量现状评价结论</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14:paraId="672EE876">
      <w:pPr>
        <w:pStyle w:val="276"/>
        <w:widowControl w:val="0"/>
        <w:spacing w:line="440" w:lineRule="exact"/>
        <w:ind w:firstLine="480"/>
        <w:jc w:val="both"/>
        <w:rPr>
          <w:snapToGrid w:val="0"/>
          <w:color w:val="auto"/>
        </w:rPr>
      </w:pPr>
      <w:r>
        <w:rPr>
          <w:snapToGrid w:val="0"/>
          <w:color w:val="auto"/>
        </w:rPr>
        <w:t>监测结果显示，</w:t>
      </w:r>
      <w:r>
        <w:rPr>
          <w:color w:val="auto"/>
          <w:kern w:val="21"/>
          <w:sz w:val="21"/>
          <w:szCs w:val="21"/>
        </w:rPr>
        <w:t>后欧力马屯</w:t>
      </w:r>
      <w:r>
        <w:rPr>
          <w:snapToGrid w:val="0"/>
          <w:color w:val="auto"/>
        </w:rPr>
        <w:t>、刘兽医屯声环境满足《声环境质量标准》（GB3096-2008）1类标准。</w:t>
      </w:r>
    </w:p>
    <w:p w14:paraId="0D98DE1F">
      <w:pPr>
        <w:pStyle w:val="6"/>
        <w:rPr>
          <w:color w:val="auto"/>
        </w:rPr>
      </w:pPr>
      <w:bookmarkStart w:id="2061" w:name="_Toc143099703"/>
      <w:bookmarkStart w:id="2062" w:name="_Toc85640883"/>
      <w:bookmarkStart w:id="2063" w:name="_Toc127192464"/>
      <w:bookmarkStart w:id="2064" w:name="_Toc83209604"/>
      <w:bookmarkStart w:id="2065" w:name="_Toc131167415"/>
      <w:bookmarkStart w:id="2066" w:name="_Toc80971504"/>
      <w:bookmarkStart w:id="2067" w:name="_Toc77067785"/>
      <w:bookmarkStart w:id="2068" w:name="_Toc70050312"/>
      <w:bookmarkStart w:id="2069" w:name="_Toc126863515"/>
      <w:bookmarkStart w:id="2070" w:name="_Toc86142058"/>
      <w:bookmarkStart w:id="2071" w:name="_Toc67860265"/>
      <w:bookmarkStart w:id="2072" w:name="_Toc78816587"/>
      <w:bookmarkStart w:id="2073" w:name="_Toc76976374"/>
      <w:bookmarkStart w:id="2074" w:name="_Toc84929359"/>
      <w:bookmarkStart w:id="2075" w:name="_Toc80588382"/>
      <w:bookmarkStart w:id="2076" w:name="_Toc61597372"/>
      <w:bookmarkStart w:id="2077" w:name="_Toc502736561"/>
      <w:bookmarkStart w:id="2078" w:name="_Toc182"/>
      <w:r>
        <w:rPr>
          <w:color w:val="auto"/>
        </w:rPr>
        <w:t>土壤现状评价结论</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3C8E0A47">
      <w:pPr>
        <w:pStyle w:val="283"/>
        <w:widowControl w:val="0"/>
        <w:spacing w:line="440" w:lineRule="exact"/>
        <w:ind w:firstLine="480"/>
        <w:jc w:val="both"/>
        <w:rPr>
          <w:rFonts w:cs="Times New Roman"/>
          <w:color w:val="auto"/>
          <w:sz w:val="24"/>
          <w:szCs w:val="24"/>
        </w:rPr>
      </w:pPr>
      <w:r>
        <w:rPr>
          <w:rFonts w:cs="Times New Roman"/>
          <w:color w:val="auto"/>
          <w:sz w:val="24"/>
          <w:szCs w:val="24"/>
        </w:rPr>
        <w:t>评价区域内土壤环境质量较好，没有出现超标情况。本项目永久占地内土壤及场站内土壤满足《土壤环境质量 建设用地土壤污染风险管控标准（试行）》（GB36600-2018）表1中建设用地土壤污染风险筛选值（基本项目）中第二类用地筛选值标准，以及表2（其他项目）中第二类用地筛选值标准；评价范围内村屯土壤满足《土壤环境质量 建设用地土壤污染风险管控标准（试行）》（GB36600-2018）中表1建设用地土壤污染风险筛选值（基本项目）中第一类用地筛选值标准，以及表2（其他项目）中第一类用地石油烃筛选值标准；评价范围内耕地土壤满足《土壤环境质量 农用地土壤污染风险管控标准（试行）》（GB15618-2018）表1农用地土壤风险筛选值（基本项目）中标准。</w:t>
      </w:r>
    </w:p>
    <w:bookmarkEnd w:id="2077"/>
    <w:bookmarkEnd w:id="2078"/>
    <w:p w14:paraId="302D166B">
      <w:pPr>
        <w:pStyle w:val="6"/>
        <w:rPr>
          <w:color w:val="auto"/>
        </w:rPr>
      </w:pPr>
      <w:bookmarkStart w:id="2079" w:name="_Toc83209605"/>
      <w:bookmarkStart w:id="2080" w:name="_Toc80971505"/>
      <w:bookmarkStart w:id="2081" w:name="_Toc70050313"/>
      <w:bookmarkStart w:id="2082" w:name="_Toc80588383"/>
      <w:bookmarkStart w:id="2083" w:name="_Toc77067786"/>
      <w:bookmarkStart w:id="2084" w:name="_Toc76976375"/>
      <w:bookmarkStart w:id="2085" w:name="_Toc84929360"/>
      <w:bookmarkStart w:id="2086" w:name="_Toc78816588"/>
      <w:bookmarkStart w:id="2087" w:name="_Toc127192465"/>
      <w:bookmarkStart w:id="2088" w:name="_Toc131167416"/>
      <w:bookmarkStart w:id="2089" w:name="_Toc126863516"/>
      <w:bookmarkStart w:id="2090" w:name="_Toc86142059"/>
      <w:bookmarkStart w:id="2091" w:name="_Toc67860266"/>
      <w:bookmarkStart w:id="2092" w:name="_Toc143099704"/>
      <w:bookmarkStart w:id="2093" w:name="_Toc85640884"/>
      <w:bookmarkStart w:id="2094" w:name="_Toc30879"/>
      <w:bookmarkStart w:id="2095" w:name="_Toc502736563"/>
      <w:r>
        <w:rPr>
          <w:color w:val="auto"/>
        </w:rPr>
        <w:t>生态环境现状评价结论</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4CC1CB6E">
      <w:pPr>
        <w:pStyle w:val="283"/>
        <w:widowControl w:val="0"/>
        <w:spacing w:line="440" w:lineRule="exact"/>
        <w:ind w:firstLine="480"/>
        <w:jc w:val="both"/>
        <w:rPr>
          <w:rFonts w:cs="Times New Roman"/>
          <w:color w:val="auto"/>
          <w:sz w:val="24"/>
          <w:szCs w:val="24"/>
        </w:rPr>
      </w:pPr>
      <w:r>
        <w:rPr>
          <w:rFonts w:cs="Times New Roman"/>
          <w:color w:val="auto"/>
          <w:sz w:val="24"/>
          <w:szCs w:val="24"/>
        </w:rPr>
        <w:t>本项目评价范围内生态系统类型主要为农田生态系统和草地生态系统。本项目评价范围内土地利用类型以耕地和草地为主，工程所在区域内主要土壤类型为草甸土，工程所在区域人类活动频繁，野生动物较少，区域生态环境总体质量较好。</w:t>
      </w:r>
    </w:p>
    <w:bookmarkEnd w:id="2094"/>
    <w:bookmarkEnd w:id="2095"/>
    <w:p w14:paraId="41A61C85">
      <w:pPr>
        <w:pStyle w:val="5"/>
        <w:rPr>
          <w:bCs w:val="0"/>
          <w:color w:val="auto"/>
        </w:rPr>
      </w:pPr>
      <w:bookmarkStart w:id="2096" w:name="_Toc212033054"/>
      <w:bookmarkStart w:id="2097" w:name="_Toc14312"/>
      <w:r>
        <w:rPr>
          <w:bCs w:val="0"/>
          <w:color w:val="auto"/>
        </w:rPr>
        <w:t>环境影响分析和污染防治措施可行性结论</w:t>
      </w:r>
      <w:bookmarkEnd w:id="2096"/>
      <w:bookmarkEnd w:id="2097"/>
    </w:p>
    <w:p w14:paraId="1CA0E0D4">
      <w:pPr>
        <w:pStyle w:val="6"/>
        <w:rPr>
          <w:color w:val="auto"/>
        </w:rPr>
      </w:pPr>
      <w:bookmarkStart w:id="2098" w:name="_Toc76976377"/>
      <w:bookmarkStart w:id="2099" w:name="_Toc67860268"/>
      <w:bookmarkStart w:id="2100" w:name="_Toc70050315"/>
      <w:bookmarkStart w:id="2101" w:name="_Toc86142061"/>
      <w:bookmarkStart w:id="2102" w:name="_Toc83209607"/>
      <w:bookmarkStart w:id="2103" w:name="_Toc131167418"/>
      <w:bookmarkStart w:id="2104" w:name="_Toc143099706"/>
      <w:bookmarkStart w:id="2105" w:name="_Toc85640886"/>
      <w:bookmarkStart w:id="2106" w:name="_Toc80588385"/>
      <w:bookmarkStart w:id="2107" w:name="_Toc126863518"/>
      <w:bookmarkStart w:id="2108" w:name="_Toc78816590"/>
      <w:bookmarkStart w:id="2109" w:name="_Toc80971507"/>
      <w:bookmarkStart w:id="2110" w:name="_Toc77067788"/>
      <w:bookmarkStart w:id="2111" w:name="_Toc61597374"/>
      <w:bookmarkStart w:id="2112" w:name="_Toc127192467"/>
      <w:bookmarkStart w:id="2113" w:name="_Toc84929362"/>
      <w:r>
        <w:rPr>
          <w:color w:val="auto"/>
        </w:rPr>
        <w:t>大气环境影响分析和污染防治措施可行性结论</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14:paraId="62DDD591">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施工期对施工场地采取洒水抑尘，对易起尘的临时土方等加盖苫布，施工运输车辆采取密闭措施或加盖苫布，加强施工管理，施工期界外扬尘满足《大气污染物综合排放标准》（GB16297-1996）中无组织排放监控浓度限值。施工期柴油发电机使用低标号柴油，调节好柴油机运行工况，柴油发电机烟气排放满足《非道路移动机械用柴油机排气污染物排放限值及测量方法》（中国第三、四阶段）（GB20891-2014）及2020修改单中第三阶段标准限值及《非道路移动柴油机械排气烟度限值及测量方法》（GB 36886-2018）表1中Ⅱ类限值要求。</w:t>
      </w:r>
    </w:p>
    <w:p w14:paraId="7357107C">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运营期依托场站内满足《挥发性有机物无组织排放控制标准》（GB37822-2019）排放限值，项目井场、拉油点、依托场站厂界外非甲烷总烃满足《陆上石油天然气开采工业大气污染物排放标准》（GB39728-2020）5.9中规定要求。</w:t>
      </w:r>
    </w:p>
    <w:p w14:paraId="6E206C11">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拉油点储罐加热炉（窑炉）采用清洁能源天然气，排放的烟（粉）尘和烟气黑度经15m高排气筒排放满足《工业炉窑大气污染物排放标准》（GB9078-1996）表2中的二级标准，依托场站加热炉产生的烟气经低氮燃烧器处理后通过各自配套建设的8m高烟囱排放，二氧化硫、氮氧化物、颗粒物的浓度能够满足《锅炉大气污染物排放标准》（GB13271-2014）表2中新建燃气锅炉标准值要求。拉油点储罐加热装置（窑炉）无组织排放烟（粉）尘最高允许排放浓度执行《工业炉窑大气污染物排放标准》（GB9078-1996）表3规定。</w:t>
      </w:r>
    </w:p>
    <w:p w14:paraId="6CDEAE4D">
      <w:pPr>
        <w:pStyle w:val="6"/>
        <w:rPr>
          <w:color w:val="auto"/>
        </w:rPr>
      </w:pPr>
      <w:bookmarkStart w:id="2114" w:name="_Toc78816591"/>
      <w:bookmarkStart w:id="2115" w:name="_Toc80588386"/>
      <w:bookmarkStart w:id="2116" w:name="_Toc61597375"/>
      <w:bookmarkStart w:id="2117" w:name="_Toc67860269"/>
      <w:bookmarkStart w:id="2118" w:name="_Toc70050316"/>
      <w:bookmarkStart w:id="2119" w:name="_Toc143099707"/>
      <w:bookmarkStart w:id="2120" w:name="_Toc127192468"/>
      <w:bookmarkStart w:id="2121" w:name="_Toc80971508"/>
      <w:bookmarkStart w:id="2122" w:name="_Toc84929363"/>
      <w:bookmarkStart w:id="2123" w:name="_Toc76976378"/>
      <w:bookmarkStart w:id="2124" w:name="_Toc77067789"/>
      <w:bookmarkStart w:id="2125" w:name="_Toc126863519"/>
      <w:bookmarkStart w:id="2126" w:name="_Toc83209608"/>
      <w:bookmarkStart w:id="2127" w:name="_Toc85640887"/>
      <w:bookmarkStart w:id="2128" w:name="_Toc131167419"/>
      <w:bookmarkStart w:id="2129" w:name="_Toc86142062"/>
      <w:r>
        <w:rPr>
          <w:color w:val="auto"/>
        </w:rPr>
        <w:t>水环境影响分析和污染防治措施可行性结论</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35D1AFF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施工期施工人员产生的生活污水排入施工营地设置的临时防渗旱厕内，定期拉运至第十采油厂厂区污水泵房，经地下管网输至第十采油厂厂区生活污水处理站处理达标后排入牛毛沟，施工结束后临时防渗旱厕进行卫生处理，场地进行平整。</w:t>
      </w:r>
    </w:p>
    <w:p w14:paraId="48596C07">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管线试压废水由罐车拉运至朝二联含油污水处理站处理满足《大庆油田地面工程建设设计规定》（Q/SYDQ0639-2015）及《碎屑岩油藏注水水质指标技术要求及分析方法》（SY/T5329-2022）限值要求后回注油层，不外排。</w:t>
      </w:r>
    </w:p>
    <w:p w14:paraId="299230B2">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压裂返排液由罐车拉运至朝一联压裂返排液无害化处理站处理后，管输进入朝一联含油污水处理站处理，处理后的出水满足《大庆油田地面工程建设设计规定》（Q/SYDQ0639-2015）及《碎屑岩油藏注水水质指标技术要求及分析方法》（SY/T5329-2022）限值要求后回注油层。</w:t>
      </w:r>
    </w:p>
    <w:p w14:paraId="6862E292">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水基钻井废水排入井场水基钢制泥浆槽中，及时拉运至大庆油田昆仑集团有限公司环保分公司处理，处理后的压滤水定期由罐车拉运至朝一联含油污水处理站处理满足《大庆油田地面工程建设设计规定》（Q/SYDQ0639-2015）及《碎屑岩油藏注水水质指标技术要求及分析方法》（SY/T5329-2022）限值要求后回注油层。</w:t>
      </w:r>
    </w:p>
    <w:p w14:paraId="349AE6F0">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油基钻井废水排入井场设置的油基钢制泥浆槽中，委托</w:t>
      </w:r>
      <w:r>
        <w:rPr>
          <w:rFonts w:ascii="宋体" w:hAnsi="宋体" w:eastAsia="宋体" w:cs="Times New Roman"/>
          <w:color w:val="auto"/>
          <w:sz w:val="24"/>
          <w:szCs w:val="24"/>
        </w:rPr>
        <w:t>黑龙江迈景环保科技有限公司</w:t>
      </w:r>
      <w:r>
        <w:rPr>
          <w:rFonts w:ascii="宋体" w:hAnsi="宋体" w:eastAsia="宋体" w:cs="Times New Roman"/>
          <w:color w:val="auto"/>
          <w:kern w:val="21"/>
          <w:sz w:val="24"/>
          <w:szCs w:val="24"/>
        </w:rPr>
        <w:t>处理，处理后的污水进入污水罐储存，定期拉运至朝二联含油污水处理站处理满足《大庆油田地面工程建设设计规定》（Q/SYDQ0639-2015）及《碎屑岩油藏注水水质指标技术要求及分析方法》（SY/T5329-2022）限值要求后回注油层。</w:t>
      </w:r>
    </w:p>
    <w:p w14:paraId="359A4E3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运营期油井采出液由罐车拉运至朝</w:t>
      </w:r>
      <w:r>
        <w:rPr>
          <w:rFonts w:hint="eastAsia" w:ascii="宋体" w:hAnsi="宋体" w:eastAsia="宋体" w:cs="Times New Roman"/>
          <w:color w:val="auto"/>
          <w:kern w:val="21"/>
          <w:sz w:val="24"/>
          <w:szCs w:val="24"/>
        </w:rPr>
        <w:t>二</w:t>
      </w:r>
      <w:r>
        <w:rPr>
          <w:rFonts w:ascii="宋体" w:hAnsi="宋体" w:eastAsia="宋体" w:cs="Times New Roman"/>
          <w:color w:val="auto"/>
          <w:kern w:val="21"/>
          <w:sz w:val="24"/>
          <w:szCs w:val="24"/>
        </w:rPr>
        <w:t>联卸油点，</w:t>
      </w:r>
      <w:r>
        <w:rPr>
          <w:rFonts w:hint="eastAsia" w:ascii="宋体" w:hAnsi="宋体" w:eastAsia="宋体" w:cs="Times New Roman"/>
          <w:color w:val="auto"/>
          <w:kern w:val="21"/>
          <w:sz w:val="24"/>
          <w:szCs w:val="24"/>
        </w:rPr>
        <w:t>管输至</w:t>
      </w:r>
      <w:r>
        <w:rPr>
          <w:rFonts w:ascii="宋体" w:hAnsi="宋体" w:eastAsia="宋体" w:cs="Times New Roman"/>
          <w:color w:val="auto"/>
          <w:sz w:val="24"/>
          <w:szCs w:val="24"/>
        </w:rPr>
        <w:t>朝</w:t>
      </w:r>
      <w:r>
        <w:rPr>
          <w:rFonts w:hint="eastAsia" w:ascii="宋体" w:hAnsi="宋体" w:eastAsia="宋体" w:cs="Times New Roman"/>
          <w:color w:val="auto"/>
          <w:sz w:val="24"/>
          <w:szCs w:val="24"/>
        </w:rPr>
        <w:t>二</w:t>
      </w:r>
      <w:r>
        <w:rPr>
          <w:rFonts w:ascii="宋体" w:hAnsi="宋体" w:eastAsia="宋体" w:cs="Times New Roman"/>
          <w:color w:val="auto"/>
          <w:sz w:val="24"/>
          <w:szCs w:val="24"/>
        </w:rPr>
        <w:t>联转油脱水站系统处理</w:t>
      </w:r>
      <w:r>
        <w:rPr>
          <w:rFonts w:ascii="宋体" w:hAnsi="宋体" w:eastAsia="宋体" w:cs="Times New Roman"/>
          <w:color w:val="auto"/>
          <w:kern w:val="21"/>
          <w:sz w:val="24"/>
          <w:szCs w:val="24"/>
        </w:rPr>
        <w:t>，分离出的含油污水最终管输至朝二联含油污水处理站处理。作业污水和洗井污水由罐车拉运至朝二联含油污水处理站处理达标后回注油层。</w:t>
      </w:r>
    </w:p>
    <w:p w14:paraId="7BB87E2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本项目产生的各类废水均进行了妥善处理，不排入地表水体，不会对地表水环境产生影响。</w:t>
      </w:r>
    </w:p>
    <w:p w14:paraId="6FCDACDC">
      <w:pPr>
        <w:pStyle w:val="6"/>
        <w:rPr>
          <w:color w:val="auto"/>
        </w:rPr>
      </w:pPr>
      <w:bookmarkStart w:id="2130" w:name="_Toc80588387"/>
      <w:bookmarkStart w:id="2131" w:name="_Toc70050317"/>
      <w:bookmarkStart w:id="2132" w:name="_Toc78816592"/>
      <w:bookmarkStart w:id="2133" w:name="_Toc85640888"/>
      <w:bookmarkStart w:id="2134" w:name="_Toc127192469"/>
      <w:bookmarkStart w:id="2135" w:name="_Toc86142063"/>
      <w:bookmarkStart w:id="2136" w:name="_Toc84929364"/>
      <w:bookmarkStart w:id="2137" w:name="_Toc131167420"/>
      <w:bookmarkStart w:id="2138" w:name="_Toc143099708"/>
      <w:bookmarkStart w:id="2139" w:name="_Toc80971509"/>
      <w:bookmarkStart w:id="2140" w:name="_Toc83209609"/>
      <w:bookmarkStart w:id="2141" w:name="_Toc76976379"/>
      <w:bookmarkStart w:id="2142" w:name="_Toc77067790"/>
      <w:bookmarkStart w:id="2143" w:name="_Toc67860270"/>
      <w:bookmarkStart w:id="2144" w:name="_Toc126863520"/>
      <w:r>
        <w:rPr>
          <w:color w:val="auto"/>
        </w:rPr>
        <w:t>地下水境影响分析和污染防治措施可行性结论</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406D616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本项目在正常且各项环境保护措施落实到位情况下对地下水环境影响较小，但在事故状态下可能对地下水环境造成影响，但在各项地下水污染防控措施及应急措施落实到位的情况下，对地下水环境影响较小。</w:t>
      </w:r>
    </w:p>
    <w:p w14:paraId="3F3E21B4">
      <w:pPr>
        <w:pStyle w:val="6"/>
        <w:rPr>
          <w:color w:val="auto"/>
        </w:rPr>
      </w:pPr>
      <w:bookmarkStart w:id="2145" w:name="_Toc143099709"/>
      <w:bookmarkStart w:id="2146" w:name="_Toc83209610"/>
      <w:bookmarkStart w:id="2147" w:name="_Toc78816593"/>
      <w:bookmarkStart w:id="2148" w:name="_Toc80971510"/>
      <w:bookmarkStart w:id="2149" w:name="_Toc67860271"/>
      <w:bookmarkStart w:id="2150" w:name="_Toc127192470"/>
      <w:bookmarkStart w:id="2151" w:name="_Toc76976380"/>
      <w:bookmarkStart w:id="2152" w:name="_Toc131167421"/>
      <w:bookmarkStart w:id="2153" w:name="_Toc61597376"/>
      <w:bookmarkStart w:id="2154" w:name="_Toc84929365"/>
      <w:bookmarkStart w:id="2155" w:name="_Toc126863521"/>
      <w:bookmarkStart w:id="2156" w:name="_Toc86142064"/>
      <w:bookmarkStart w:id="2157" w:name="_Toc85640889"/>
      <w:bookmarkStart w:id="2158" w:name="_Toc70050318"/>
      <w:bookmarkStart w:id="2159" w:name="_Toc77067791"/>
      <w:bookmarkStart w:id="2160" w:name="_Toc80588388"/>
      <w:r>
        <w:rPr>
          <w:color w:val="auto"/>
        </w:rPr>
        <w:t>声环境影响分析和污染防治措施可行性结论</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14:paraId="4D9FD134">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在采取选用低噪声设备，采用减振、隔声等降噪措施，注意对设备的维护保养适当的降噪措施后，本项目施工期场界噪声满足《建筑施工场界环境噪声排放标准》（GB12523-2011）要求，</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井场和拉油点厂界噪声满足《工业企业厂界环境噪声排放标准》（GB12348-2008）2类标准要求，对周围环境及环保目标影响很小。</w:t>
      </w:r>
    </w:p>
    <w:p w14:paraId="0729976E">
      <w:pPr>
        <w:pStyle w:val="6"/>
        <w:rPr>
          <w:color w:val="auto"/>
        </w:rPr>
      </w:pPr>
      <w:bookmarkStart w:id="2161" w:name="_Toc84929366"/>
      <w:bookmarkStart w:id="2162" w:name="_Toc61597377"/>
      <w:bookmarkStart w:id="2163" w:name="_Toc80971511"/>
      <w:bookmarkStart w:id="2164" w:name="_Toc70050319"/>
      <w:bookmarkStart w:id="2165" w:name="_Toc83209611"/>
      <w:bookmarkStart w:id="2166" w:name="_Toc76976381"/>
      <w:bookmarkStart w:id="2167" w:name="_Toc127192471"/>
      <w:bookmarkStart w:id="2168" w:name="_Toc85640890"/>
      <w:bookmarkStart w:id="2169" w:name="_Toc143099710"/>
      <w:bookmarkStart w:id="2170" w:name="_Toc78816594"/>
      <w:bookmarkStart w:id="2171" w:name="_Toc131167422"/>
      <w:bookmarkStart w:id="2172" w:name="_Toc80588389"/>
      <w:bookmarkStart w:id="2173" w:name="_Toc86142065"/>
      <w:bookmarkStart w:id="2174" w:name="_Toc67860272"/>
      <w:bookmarkStart w:id="2175" w:name="_Toc77067792"/>
      <w:bookmarkStart w:id="2176" w:name="_Toc126863522"/>
      <w:r>
        <w:rPr>
          <w:color w:val="auto"/>
        </w:rPr>
        <w:t>固体废物环境影响分析和污染防治措施可行性结论</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61A2FAC6">
      <w:pPr>
        <w:spacing w:line="440" w:lineRule="exact"/>
        <w:ind w:firstLine="480" w:firstLineChars="200"/>
        <w:rPr>
          <w:rFonts w:ascii="宋体" w:hAnsi="宋体" w:eastAsia="宋体" w:cs="Times New Roman"/>
          <w:color w:val="auto"/>
          <w:kern w:val="21"/>
          <w:sz w:val="24"/>
          <w:szCs w:val="24"/>
        </w:rPr>
      </w:pPr>
      <w:bookmarkStart w:id="2177" w:name="_Hlk530469360"/>
      <w:r>
        <w:rPr>
          <w:rFonts w:ascii="宋体" w:hAnsi="宋体" w:eastAsia="宋体" w:cs="Times New Roman"/>
          <w:color w:val="auto"/>
          <w:kern w:val="21"/>
          <w:sz w:val="24"/>
          <w:szCs w:val="24"/>
        </w:rPr>
        <w:t>本项目施工期水基废钻井液和水基钻井岩屑排入井场水基钢制泥浆槽中，及时拉运至大庆油田昆仑集团有限公司环保分公司处理，处理后的压滤水定期由罐车拉运至朝一联含油污水处理站处理满足《大庆油田地面工程建设设计规定》（Q/SYDQ0639-2015）及《碎屑岩油藏注水水质指标技术要求及分析方法》（SY/T5329-2022）限值要求后回注油层，处理后的泥饼外售给大庆钻探工程公司钻井二公司综合利用垫井场或铺路。</w:t>
      </w:r>
    </w:p>
    <w:p w14:paraId="447B7763">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油基废钻井液、油基钻井岩屑和含油废射孔液排入井场设置的油基钢制泥浆槽，委托有危废处理资质的</w:t>
      </w:r>
      <w:r>
        <w:rPr>
          <w:rFonts w:ascii="宋体" w:hAnsi="宋体" w:eastAsia="宋体" w:cs="Times New Roman"/>
          <w:color w:val="auto"/>
          <w:sz w:val="24"/>
          <w:szCs w:val="24"/>
        </w:rPr>
        <w:t>黑龙江迈景环保科技有限公司</w:t>
      </w:r>
      <w:r>
        <w:rPr>
          <w:rFonts w:ascii="宋体" w:hAnsi="宋体" w:eastAsia="宋体" w:cs="Times New Roman"/>
          <w:color w:val="auto"/>
          <w:kern w:val="21"/>
          <w:sz w:val="24"/>
          <w:szCs w:val="24"/>
        </w:rPr>
        <w:t>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w:t>
      </w:r>
    </w:p>
    <w:p w14:paraId="4F9FFBA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施工废料主要为焊接施工中产生废焊条和管道防腐施工过程中产生的废防腐材料。由施工单位统一收集后拉运至第八采油厂工业固废填埋场处理，膨润土、纯碱、重晶石粉废包装袋由施工单位统一收集后拉运至第八采油厂工业固废填埋场处理。</w:t>
      </w:r>
    </w:p>
    <w:p w14:paraId="47867569">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含油废防渗布集中收集暂存于第十采油厂综合固废储存库，定期委托有资质单位处理。</w:t>
      </w:r>
    </w:p>
    <w:p w14:paraId="0C531005">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生活垃圾统一收集拉运至肇源县利民城市垃圾处理有限公司处理。</w:t>
      </w:r>
    </w:p>
    <w:p w14:paraId="699A3F3E">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运营期产生的落地油及清淤油泥（砂）属于危险废物，由罐车拉运至朝一联含油污泥处理站减量化处理后，再委托大庆博昕晶化科技有限公司处理满足《油田含油污泥处置与利用污染控制要求》（DB23/T 3104-2022）表1中的限值要求后，在油田作业区域内用于通井路和井场建设、筑路和铺路、作业场地地面覆盖、围堰等材料的活动；或者在油田作业区域外用于物流仓储用地、工业厂区道路与交通设施用地以及危险废物填埋场、固体废物填埋场封场等材料的活动。运营期油井作业产生的含油废防渗布属于危险废物，经收集后暂存于第十采油厂综合固废储存库，定期委托有资质单位处理。</w:t>
      </w:r>
    </w:p>
    <w:p w14:paraId="5D792CE6">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本项目对施工期和</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产生的各类固体废弃物均进行了合理的处置，能够实现固废的减量化、资源化和无害化，对环境影响较小。</w:t>
      </w:r>
    </w:p>
    <w:bookmarkEnd w:id="2177"/>
    <w:p w14:paraId="0CBC6BAB">
      <w:pPr>
        <w:pStyle w:val="6"/>
        <w:rPr>
          <w:color w:val="auto"/>
        </w:rPr>
      </w:pPr>
      <w:bookmarkStart w:id="2178" w:name="_Toc78816595"/>
      <w:bookmarkStart w:id="2179" w:name="_Toc70050320"/>
      <w:bookmarkStart w:id="2180" w:name="_Toc143099711"/>
      <w:bookmarkStart w:id="2181" w:name="_Toc127192472"/>
      <w:bookmarkStart w:id="2182" w:name="_Toc85640891"/>
      <w:bookmarkStart w:id="2183" w:name="_Toc80971512"/>
      <w:bookmarkStart w:id="2184" w:name="_Toc83209612"/>
      <w:bookmarkStart w:id="2185" w:name="_Toc76976382"/>
      <w:bookmarkStart w:id="2186" w:name="_Toc80588390"/>
      <w:bookmarkStart w:id="2187" w:name="_Toc126863523"/>
      <w:bookmarkStart w:id="2188" w:name="_Toc84929367"/>
      <w:bookmarkStart w:id="2189" w:name="_Toc61597378"/>
      <w:bookmarkStart w:id="2190" w:name="_Toc131167423"/>
      <w:bookmarkStart w:id="2191" w:name="_Toc77067793"/>
      <w:bookmarkStart w:id="2192" w:name="_Toc86142066"/>
      <w:bookmarkStart w:id="2193" w:name="_Toc67860273"/>
      <w:bookmarkStart w:id="2194" w:name="_Toc12373"/>
      <w:bookmarkStart w:id="2195" w:name="_Toc502736564"/>
      <w:r>
        <w:rPr>
          <w:color w:val="auto"/>
        </w:rPr>
        <w:t>生态环境影响分析和生态保护减缓措施可行性结论</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337B391E">
      <w:pPr>
        <w:spacing w:line="440" w:lineRule="exact"/>
        <w:ind w:firstLine="480" w:firstLineChars="200"/>
        <w:rPr>
          <w:rFonts w:ascii="宋体" w:hAnsi="宋体" w:eastAsia="宋体" w:cs="Times New Roman"/>
          <w:color w:val="auto"/>
          <w:kern w:val="21"/>
          <w:sz w:val="24"/>
          <w:szCs w:val="24"/>
        </w:rPr>
      </w:pPr>
      <w:bookmarkStart w:id="2196" w:name="_Toc61597379"/>
      <w:r>
        <w:rPr>
          <w:rFonts w:ascii="宋体" w:hAnsi="宋体" w:eastAsia="宋体" w:cs="Times New Roman"/>
          <w:color w:val="auto"/>
          <w:kern w:val="21"/>
          <w:sz w:val="24"/>
          <w:szCs w:val="24"/>
        </w:rPr>
        <w:t>本项目的井场、拉油点、管道和道路建设对土地的侵占，对植被的破坏，将使油田开发区内的第一生产者的生物量有一定程度的下降。通过选择适当时机施工，并在建设过程中采取必要的生态保护措施，可最大程度减小该项目建设对生态环境的不利影响，使生态环境在尽可能短的时间内得到恢复。</w:t>
      </w:r>
    </w:p>
    <w:p w14:paraId="194AFE01">
      <w:pPr>
        <w:pStyle w:val="6"/>
        <w:rPr>
          <w:color w:val="auto"/>
        </w:rPr>
      </w:pPr>
      <w:bookmarkStart w:id="2197" w:name="_Toc83209613"/>
      <w:bookmarkStart w:id="2198" w:name="_Toc127192473"/>
      <w:bookmarkStart w:id="2199" w:name="_Toc85640892"/>
      <w:bookmarkStart w:id="2200" w:name="_Toc77067794"/>
      <w:bookmarkStart w:id="2201" w:name="_Toc78816596"/>
      <w:bookmarkStart w:id="2202" w:name="_Toc84929368"/>
      <w:bookmarkStart w:id="2203" w:name="_Toc143099712"/>
      <w:bookmarkStart w:id="2204" w:name="_Toc80971513"/>
      <w:bookmarkStart w:id="2205" w:name="_Toc76976383"/>
      <w:bookmarkStart w:id="2206" w:name="_Toc126863524"/>
      <w:bookmarkStart w:id="2207" w:name="_Toc67860274"/>
      <w:bookmarkStart w:id="2208" w:name="_Toc70050321"/>
      <w:bookmarkStart w:id="2209" w:name="_Toc80588391"/>
      <w:bookmarkStart w:id="2210" w:name="_Toc86142067"/>
      <w:bookmarkStart w:id="2211" w:name="_Toc131167424"/>
      <w:r>
        <w:rPr>
          <w:color w:val="auto"/>
        </w:rPr>
        <w:t>土壤环境影响分析和保护措施可行性结论</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6CFF387D">
      <w:pPr>
        <w:spacing w:line="440" w:lineRule="exact"/>
        <w:ind w:firstLine="480" w:firstLineChars="200"/>
        <w:rPr>
          <w:rFonts w:ascii="宋体" w:hAnsi="宋体" w:eastAsia="宋体" w:cs="Times New Roman"/>
          <w:color w:val="auto"/>
          <w:kern w:val="21"/>
          <w:sz w:val="24"/>
          <w:szCs w:val="24"/>
        </w:rPr>
      </w:pPr>
      <w:bookmarkStart w:id="2212" w:name="_Toc61597380"/>
      <w:r>
        <w:rPr>
          <w:rFonts w:ascii="宋体" w:hAnsi="宋体" w:eastAsia="宋体" w:cs="Times New Roman"/>
          <w:color w:val="auto"/>
          <w:kern w:val="21"/>
          <w:sz w:val="24"/>
          <w:szCs w:val="24"/>
        </w:rPr>
        <w:t>本项目所在地土壤环境现状较好，根据土壤环境影响分析结果，正常工况下本项目对土壤环境的影响较小，非正常工况如产生落地油等，可能会对土壤造成影响，但项目施工过程中均铺设防渗布，落地油不会沾染土壤，因此项目对土壤环境影响较小。</w:t>
      </w:r>
    </w:p>
    <w:p w14:paraId="1627023B">
      <w:pPr>
        <w:pStyle w:val="6"/>
        <w:rPr>
          <w:color w:val="auto"/>
        </w:rPr>
      </w:pPr>
      <w:bookmarkStart w:id="2213" w:name="_Toc84929369"/>
      <w:bookmarkStart w:id="2214" w:name="_Toc67860275"/>
      <w:bookmarkStart w:id="2215" w:name="_Toc76976384"/>
      <w:bookmarkStart w:id="2216" w:name="_Toc83209614"/>
      <w:bookmarkStart w:id="2217" w:name="_Toc126863525"/>
      <w:bookmarkStart w:id="2218" w:name="_Toc131167425"/>
      <w:bookmarkStart w:id="2219" w:name="_Toc86142068"/>
      <w:bookmarkStart w:id="2220" w:name="_Toc80971514"/>
      <w:bookmarkStart w:id="2221" w:name="_Toc77067795"/>
      <w:bookmarkStart w:id="2222" w:name="_Toc70050322"/>
      <w:bookmarkStart w:id="2223" w:name="_Toc127192474"/>
      <w:bookmarkStart w:id="2224" w:name="_Toc78816597"/>
      <w:bookmarkStart w:id="2225" w:name="_Toc143099713"/>
      <w:bookmarkStart w:id="2226" w:name="_Toc85640893"/>
      <w:bookmarkStart w:id="2227" w:name="_Toc80588392"/>
      <w:r>
        <w:rPr>
          <w:color w:val="auto"/>
        </w:rPr>
        <w:t>环境风险分析可行性结论</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14:paraId="718D5DC8">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通过对本项目产能建设工程的环境风险分析可知，本项目的主要环境风险是泄漏、火灾和爆炸，对区域内的地下水环境、地表水环境、土壤环境和空气环境有潜在危害性。在工程采取一系列风险防范措施、应急措施和建立环境风险防控体系后，火灾爆炸等事故影响可控，可以降低事故的发生率和事故情况下对周围环境的影响。但建设单位应加强员工的环保教育和培训，完善项目的事故应急预案，增加事故应急监测及事故评估等规定内容并定期演习，避免重大污染事故的发生。</w:t>
      </w:r>
    </w:p>
    <w:p w14:paraId="5753C561">
      <w:pPr>
        <w:pStyle w:val="5"/>
        <w:rPr>
          <w:bCs w:val="0"/>
          <w:color w:val="auto"/>
        </w:rPr>
      </w:pPr>
      <w:bookmarkStart w:id="2228" w:name="_Toc212033055"/>
      <w:bookmarkStart w:id="2229" w:name="_Toc17186"/>
      <w:r>
        <w:rPr>
          <w:bCs w:val="0"/>
          <w:color w:val="auto"/>
        </w:rPr>
        <w:t>公众意见采纳情况</w:t>
      </w:r>
      <w:bookmarkEnd w:id="2194"/>
      <w:bookmarkEnd w:id="2195"/>
      <w:bookmarkEnd w:id="2228"/>
      <w:bookmarkEnd w:id="2229"/>
    </w:p>
    <w:p w14:paraId="43C800AA">
      <w:pPr>
        <w:pStyle w:val="276"/>
        <w:widowControl w:val="0"/>
        <w:spacing w:line="440" w:lineRule="exact"/>
        <w:ind w:firstLine="480"/>
        <w:jc w:val="both"/>
        <w:rPr>
          <w:snapToGrid w:val="0"/>
          <w:color w:val="auto"/>
        </w:rPr>
      </w:pPr>
      <w:bookmarkStart w:id="2230" w:name="_Toc21860"/>
      <w:bookmarkStart w:id="2231" w:name="_Toc502736565"/>
      <w:r>
        <w:rPr>
          <w:snapToGrid w:val="0"/>
          <w:color w:val="auto"/>
        </w:rPr>
        <w:t>本项目首次环境影响评价信息公开之日为2025年8月8日（黑龙江环保技术服务网</w:t>
      </w:r>
      <w:r>
        <w:rPr>
          <w:color w:val="auto"/>
          <w:w w:val="99"/>
        </w:rPr>
        <w:t>http://www.hljhbjsfw.cn/NewsDetail.aspx?ID=834</w:t>
      </w:r>
      <w:r>
        <w:rPr>
          <w:snapToGrid w:val="0"/>
          <w:color w:val="auto"/>
        </w:rPr>
        <w:t>）。</w:t>
      </w:r>
    </w:p>
    <w:p w14:paraId="6ACE5F35">
      <w:pPr>
        <w:pStyle w:val="276"/>
        <w:widowControl w:val="0"/>
        <w:spacing w:line="440" w:lineRule="exact"/>
        <w:ind w:firstLine="480"/>
        <w:jc w:val="both"/>
        <w:rPr>
          <w:snapToGrid w:val="0"/>
          <w:color w:val="auto"/>
        </w:rPr>
      </w:pPr>
      <w:r>
        <w:rPr>
          <w:snapToGrid w:val="0"/>
          <w:color w:val="auto"/>
        </w:rPr>
        <w:t>征求意见稿公示日期为2025年9月17日～9月29日（黑龙江环保技术服务网</w:t>
      </w:r>
      <w:r>
        <w:rPr>
          <w:color w:val="auto"/>
          <w:w w:val="99"/>
        </w:rPr>
        <w:t>http://www.hljhbjsfw.cn/NewsDetail.aspx?ID=836</w:t>
      </w:r>
      <w:r>
        <w:rPr>
          <w:snapToGrid w:val="0"/>
          <w:color w:val="auto"/>
        </w:rPr>
        <w:t>）；</w:t>
      </w:r>
    </w:p>
    <w:p w14:paraId="0A277236">
      <w:pPr>
        <w:pStyle w:val="276"/>
        <w:widowControl w:val="0"/>
        <w:spacing w:line="440" w:lineRule="exact"/>
        <w:ind w:firstLine="480"/>
        <w:jc w:val="both"/>
        <w:rPr>
          <w:snapToGrid w:val="0"/>
          <w:color w:val="auto"/>
        </w:rPr>
      </w:pPr>
      <w:r>
        <w:rPr>
          <w:snapToGrid w:val="0"/>
          <w:color w:val="auto"/>
        </w:rPr>
        <w:t>报纸第一次公告日期为2025年9月25日（大庆油田报），报纸第二次公告日期为2025年9月28日（大庆油田报）；</w:t>
      </w:r>
    </w:p>
    <w:p w14:paraId="26554222">
      <w:pPr>
        <w:pStyle w:val="276"/>
        <w:widowControl w:val="0"/>
        <w:spacing w:line="440" w:lineRule="exact"/>
        <w:ind w:firstLine="480"/>
        <w:jc w:val="both"/>
        <w:rPr>
          <w:snapToGrid w:val="0"/>
          <w:color w:val="auto"/>
        </w:rPr>
      </w:pPr>
      <w:r>
        <w:rPr>
          <w:snapToGrid w:val="0"/>
          <w:color w:val="auto"/>
        </w:rPr>
        <w:t>现场张贴公示日期为2025年9月17日～9月29日，公示地点为评价范围内村屯。</w:t>
      </w:r>
    </w:p>
    <w:p w14:paraId="2FD6D4E4">
      <w:pPr>
        <w:pStyle w:val="276"/>
        <w:widowControl w:val="0"/>
        <w:spacing w:line="440" w:lineRule="exact"/>
        <w:ind w:firstLine="480"/>
        <w:jc w:val="both"/>
        <w:rPr>
          <w:snapToGrid w:val="0"/>
          <w:color w:val="auto"/>
        </w:rPr>
      </w:pPr>
      <w:r>
        <w:rPr>
          <w:snapToGrid w:val="0"/>
          <w:color w:val="auto"/>
        </w:rPr>
        <w:t>至信息公告的截止日期没有收到相关反馈信息。</w:t>
      </w:r>
    </w:p>
    <w:p w14:paraId="5FB1EDB1">
      <w:pPr>
        <w:pStyle w:val="276"/>
        <w:widowControl w:val="0"/>
        <w:spacing w:line="440" w:lineRule="exact"/>
        <w:ind w:firstLine="480"/>
        <w:jc w:val="both"/>
        <w:rPr>
          <w:snapToGrid w:val="0"/>
          <w:color w:val="auto"/>
        </w:rPr>
      </w:pPr>
      <w:r>
        <w:rPr>
          <w:snapToGrid w:val="0"/>
          <w:color w:val="auto"/>
        </w:rPr>
        <w:t>网络公示起到了应有的告知作用。在现场公示期间，对居民进行了必要的讲解和说明，让附近居民充分了解本项目的各项情况。选择了黑龙江环保技术服务网和《大庆油田报》进行公示，起到了网络和报纸传播较广，受众广泛的作用。在网上两次公示过程中、公示期间及问卷调查过程中没有接到任何人反映意见或建议的电话和邮件、传真等。</w:t>
      </w:r>
    </w:p>
    <w:p w14:paraId="47F8885A">
      <w:pPr>
        <w:pStyle w:val="276"/>
        <w:widowControl w:val="0"/>
        <w:spacing w:line="440" w:lineRule="exact"/>
        <w:ind w:firstLine="480"/>
        <w:jc w:val="both"/>
        <w:rPr>
          <w:snapToGrid w:val="0"/>
          <w:color w:val="auto"/>
        </w:rPr>
      </w:pPr>
      <w:r>
        <w:rPr>
          <w:snapToGrid w:val="0"/>
          <w:color w:val="auto"/>
        </w:rPr>
        <w:t>建设单位的公参调查结果表明，肇源油田源212区块扶余油层水平井提产试验产能建设地面工程项目的建设周围民众是支持的。建设单位认真执行环保“三同时”制度，加强环境管理，使环境的负效应降至最低。并对周围环境的影响减至最小程度，达到公众对项目建设的环境要求愿望。</w:t>
      </w:r>
    </w:p>
    <w:p w14:paraId="2493B180">
      <w:pPr>
        <w:pStyle w:val="5"/>
        <w:rPr>
          <w:bCs w:val="0"/>
          <w:color w:val="auto"/>
        </w:rPr>
      </w:pPr>
      <w:bookmarkStart w:id="2232" w:name="_Toc212033056"/>
      <w:bookmarkStart w:id="2233" w:name="_Toc23248"/>
      <w:r>
        <w:rPr>
          <w:bCs w:val="0"/>
          <w:color w:val="auto"/>
        </w:rPr>
        <w:t>环境经济损益分析结论</w:t>
      </w:r>
      <w:bookmarkEnd w:id="2230"/>
      <w:bookmarkEnd w:id="2231"/>
      <w:bookmarkEnd w:id="2232"/>
      <w:bookmarkEnd w:id="2233"/>
    </w:p>
    <w:p w14:paraId="510D35F1">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因此本项目的建设从环境经济损益的角度分析是可行的。</w:t>
      </w:r>
    </w:p>
    <w:p w14:paraId="02DB5278">
      <w:pPr>
        <w:pStyle w:val="5"/>
        <w:rPr>
          <w:bCs w:val="0"/>
          <w:color w:val="auto"/>
        </w:rPr>
      </w:pPr>
      <w:bookmarkStart w:id="2234" w:name="_Toc502736566"/>
      <w:bookmarkStart w:id="2235" w:name="_Toc21522"/>
      <w:bookmarkStart w:id="2236" w:name="_Toc15077"/>
      <w:bookmarkStart w:id="2237" w:name="_Toc212033057"/>
      <w:r>
        <w:rPr>
          <w:bCs w:val="0"/>
          <w:color w:val="auto"/>
        </w:rPr>
        <w:t>环境管理与监测</w:t>
      </w:r>
      <w:bookmarkEnd w:id="2234"/>
      <w:bookmarkEnd w:id="2235"/>
      <w:r>
        <w:rPr>
          <w:bCs w:val="0"/>
          <w:color w:val="auto"/>
        </w:rPr>
        <w:t>计划结论</w:t>
      </w:r>
      <w:bookmarkEnd w:id="2236"/>
      <w:bookmarkEnd w:id="2237"/>
    </w:p>
    <w:p w14:paraId="32F778FF">
      <w:pPr>
        <w:spacing w:line="440" w:lineRule="exact"/>
        <w:ind w:firstLine="480" w:firstLineChars="200"/>
        <w:rPr>
          <w:rFonts w:ascii="宋体" w:hAnsi="宋体" w:eastAsia="宋体" w:cs="Times New Roman"/>
          <w:color w:val="auto"/>
          <w:kern w:val="21"/>
          <w:sz w:val="24"/>
          <w:szCs w:val="24"/>
        </w:rPr>
      </w:pPr>
      <w:r>
        <w:rPr>
          <w:rFonts w:ascii="宋体" w:hAnsi="宋体" w:eastAsia="宋体" w:cs="Times New Roman"/>
          <w:color w:val="auto"/>
          <w:kern w:val="21"/>
          <w:sz w:val="24"/>
          <w:szCs w:val="24"/>
        </w:rPr>
        <w:t>工程投产运行后环境管理工作由第十采油厂安全环保部负责，在油田生产</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环境管理除抓好环保设施的运行、维护等工作外，工作重点应针对油气集输生产和管理情况及油井作业过程管理、拉油点事故、集输管线破裂后油水泄漏等事故的预防和处理上。施工期的环境监测可包括对作业场所的控制监测和事故发生后的影响监测。主要监测对象有土壤、植被、施工作业废气、废水和噪声等。</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根据《排污单位自行监测技术指南 陆上石油天然气开采工业》（HJ 1248-2022）和油田</w:t>
      </w:r>
      <w:r>
        <w:rPr>
          <w:rFonts w:hint="eastAsia" w:ascii="宋体" w:hAnsi="宋体" w:eastAsia="宋体" w:cs="Times New Roman"/>
          <w:color w:val="auto"/>
          <w:kern w:val="21"/>
          <w:sz w:val="24"/>
          <w:szCs w:val="24"/>
        </w:rPr>
        <w:t>运营期</w:t>
      </w:r>
      <w:r>
        <w:rPr>
          <w:rFonts w:ascii="宋体" w:hAnsi="宋体" w:eastAsia="宋体" w:cs="Times New Roman"/>
          <w:color w:val="auto"/>
          <w:kern w:val="21"/>
          <w:sz w:val="24"/>
          <w:szCs w:val="24"/>
        </w:rPr>
        <w:t>环境污染的特点，环境监测计划主要针对油田污染物排放、油田开发区生态恢复情况、事故而制定。</w:t>
      </w:r>
    </w:p>
    <w:p w14:paraId="5AE99957">
      <w:pPr>
        <w:pStyle w:val="5"/>
        <w:rPr>
          <w:bCs w:val="0"/>
          <w:color w:val="auto"/>
        </w:rPr>
      </w:pPr>
      <w:bookmarkStart w:id="2238" w:name="_Toc502736567"/>
      <w:bookmarkStart w:id="2239" w:name="_Toc27579"/>
      <w:bookmarkStart w:id="2240" w:name="_Toc212033058"/>
      <w:bookmarkStart w:id="2241" w:name="_Toc22314"/>
      <w:r>
        <w:rPr>
          <w:bCs w:val="0"/>
          <w:color w:val="auto"/>
        </w:rPr>
        <w:t>评价结论</w:t>
      </w:r>
      <w:bookmarkEnd w:id="2238"/>
      <w:bookmarkEnd w:id="2239"/>
      <w:bookmarkEnd w:id="2240"/>
      <w:bookmarkEnd w:id="2241"/>
    </w:p>
    <w:p w14:paraId="4EAC931E">
      <w:pPr>
        <w:spacing w:line="440" w:lineRule="exact"/>
        <w:ind w:firstLine="480" w:firstLineChars="200"/>
        <w:rPr>
          <w:rFonts w:ascii="宋体" w:hAnsi="宋体" w:eastAsia="宋体" w:cs="Times New Roman"/>
          <w:color w:val="auto"/>
          <w:kern w:val="21"/>
          <w:sz w:val="24"/>
          <w:szCs w:val="24"/>
        </w:rPr>
        <w:sectPr>
          <w:pgSz w:w="11906" w:h="16838"/>
          <w:pgMar w:top="1418" w:right="1418" w:bottom="1418" w:left="1418" w:header="851" w:footer="992" w:gutter="0"/>
          <w:cols w:space="720" w:num="1"/>
          <w:docGrid w:linePitch="312" w:charSpace="0"/>
        </w:sectPr>
      </w:pPr>
      <w:r>
        <w:rPr>
          <w:rFonts w:ascii="宋体" w:hAnsi="宋体" w:eastAsia="宋体" w:cs="Times New Roman"/>
          <w:color w:val="auto"/>
          <w:kern w:val="21"/>
          <w:sz w:val="24"/>
          <w:szCs w:val="24"/>
        </w:rPr>
        <w:t>综上所述，肇源油田源212区块扶余油层水平井提产试验产能建设地面工程项目符合国家产业政策和区域发展规划。油田正常生产情况下对环境的影响较小，工程施工及生产运行过程中可能出现的各类风险事故，在相应的污染防治措施、生态保护措施及事故应急措施得以切实有效实施的前提下，能够确保区域环境不受污染。公众参与调查结果表明，公众参与对该项目无反对意见。在确保落实好各项环保措施并保证其正常运行的前提下，从环境保护角度分析，本项目的建设可行。</w:t>
      </w:r>
      <w:bookmarkEnd w:id="1979"/>
      <w:bookmarkEnd w:id="1980"/>
      <w:bookmarkEnd w:id="1981"/>
      <w:bookmarkEnd w:id="1982"/>
      <w:bookmarkStart w:id="2242" w:name="_Toc18350"/>
      <w:bookmarkStart w:id="2243" w:name="_Toc13789"/>
      <w:bookmarkStart w:id="2244" w:name="_Toc6995250"/>
      <w:bookmarkStart w:id="2245" w:name="_Toc30449_WPSOffice_Level1"/>
      <w:bookmarkStart w:id="2246" w:name="_Toc15833341"/>
    </w:p>
    <w:p w14:paraId="4D94D10C">
      <w:pPr>
        <w:pStyle w:val="3"/>
        <w:rPr>
          <w:rFonts w:ascii="宋体" w:hAnsi="宋体" w:eastAsia="宋体"/>
          <w:bCs/>
          <w:color w:val="auto"/>
        </w:rPr>
      </w:pPr>
      <w:bookmarkStart w:id="2247" w:name="_Toc212033059"/>
      <w:bookmarkStart w:id="2248" w:name="_Toc21166"/>
      <w:r>
        <w:rPr>
          <w:rFonts w:ascii="宋体" w:hAnsi="宋体" w:eastAsia="宋体"/>
          <w:bCs/>
          <w:color w:val="auto"/>
        </w:rPr>
        <w:t>附表</w:t>
      </w:r>
      <w:bookmarkEnd w:id="2247"/>
      <w:bookmarkEnd w:id="2248"/>
    </w:p>
    <w:p w14:paraId="61248975">
      <w:pPr>
        <w:pStyle w:val="5"/>
        <w:rPr>
          <w:bCs w:val="0"/>
          <w:color w:val="auto"/>
        </w:rPr>
      </w:pPr>
      <w:bookmarkStart w:id="2249" w:name="_Toc11106"/>
      <w:bookmarkStart w:id="2250" w:name="_Toc212033060"/>
      <w:r>
        <w:rPr>
          <w:bCs w:val="0"/>
          <w:color w:val="auto"/>
        </w:rPr>
        <w:t>附表1：建设项目大气环境影响评价自查表</w:t>
      </w:r>
      <w:bookmarkEnd w:id="2242"/>
      <w:bookmarkEnd w:id="2243"/>
      <w:bookmarkEnd w:id="2244"/>
      <w:bookmarkEnd w:id="2245"/>
      <w:bookmarkEnd w:id="2246"/>
      <w:bookmarkEnd w:id="2249"/>
      <w:bookmarkEnd w:id="2250"/>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1487"/>
        <w:gridCol w:w="1081"/>
        <w:gridCol w:w="392"/>
        <w:gridCol w:w="193"/>
        <w:gridCol w:w="191"/>
        <w:gridCol w:w="182"/>
        <w:gridCol w:w="367"/>
        <w:gridCol w:w="445"/>
        <w:gridCol w:w="416"/>
        <w:gridCol w:w="145"/>
        <w:gridCol w:w="61"/>
        <w:gridCol w:w="547"/>
        <w:gridCol w:w="162"/>
        <w:gridCol w:w="72"/>
        <w:gridCol w:w="191"/>
        <w:gridCol w:w="225"/>
        <w:gridCol w:w="119"/>
        <w:gridCol w:w="606"/>
        <w:gridCol w:w="612"/>
      </w:tblGrid>
      <w:tr w14:paraId="592C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478" w:type="pct"/>
            <w:gridSpan w:val="2"/>
            <w:shd w:val="clear" w:color="auto" w:fill="auto"/>
            <w:vAlign w:val="center"/>
          </w:tcPr>
          <w:p w14:paraId="51BA2E03">
            <w:pPr>
              <w:jc w:val="center"/>
              <w:rPr>
                <w:rFonts w:ascii="宋体" w:hAnsi="宋体" w:eastAsia="宋体" w:cs="Times New Roman"/>
                <w:color w:val="auto"/>
                <w:kern w:val="21"/>
              </w:rPr>
            </w:pPr>
            <w:r>
              <w:rPr>
                <w:rFonts w:ascii="宋体" w:hAnsi="宋体" w:eastAsia="宋体" w:cs="Times New Roman"/>
                <w:color w:val="auto"/>
                <w:kern w:val="21"/>
              </w:rPr>
              <w:t>工作内容</w:t>
            </w:r>
          </w:p>
        </w:tc>
        <w:tc>
          <w:tcPr>
            <w:tcW w:w="3522" w:type="pct"/>
            <w:gridSpan w:val="18"/>
            <w:shd w:val="clear" w:color="auto" w:fill="auto"/>
            <w:vAlign w:val="center"/>
          </w:tcPr>
          <w:p w14:paraId="6E840121">
            <w:pPr>
              <w:jc w:val="center"/>
              <w:rPr>
                <w:rFonts w:ascii="宋体" w:hAnsi="宋体" w:eastAsia="宋体" w:cs="Times New Roman"/>
                <w:color w:val="auto"/>
                <w:kern w:val="21"/>
              </w:rPr>
            </w:pPr>
            <w:r>
              <w:rPr>
                <w:rFonts w:ascii="宋体" w:hAnsi="宋体" w:eastAsia="宋体" w:cs="Times New Roman"/>
                <w:color w:val="auto"/>
                <w:kern w:val="21"/>
              </w:rPr>
              <w:t>自查项目</w:t>
            </w:r>
          </w:p>
        </w:tc>
      </w:tr>
      <w:tr w14:paraId="4400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shd w:val="clear" w:color="auto" w:fill="auto"/>
            <w:vAlign w:val="center"/>
          </w:tcPr>
          <w:p w14:paraId="109CA285">
            <w:pPr>
              <w:jc w:val="center"/>
              <w:rPr>
                <w:rFonts w:ascii="宋体" w:hAnsi="宋体" w:eastAsia="宋体" w:cs="Times New Roman"/>
                <w:color w:val="auto"/>
                <w:kern w:val="21"/>
              </w:rPr>
            </w:pPr>
            <w:r>
              <w:rPr>
                <w:rFonts w:ascii="宋体" w:hAnsi="宋体" w:eastAsia="宋体" w:cs="Times New Roman"/>
                <w:color w:val="auto"/>
                <w:kern w:val="21"/>
              </w:rPr>
              <w:t>评价等级与范围</w:t>
            </w:r>
          </w:p>
        </w:tc>
        <w:tc>
          <w:tcPr>
            <w:tcW w:w="871" w:type="pct"/>
            <w:shd w:val="clear" w:color="auto" w:fill="auto"/>
            <w:vAlign w:val="center"/>
          </w:tcPr>
          <w:p w14:paraId="6413751F">
            <w:pPr>
              <w:jc w:val="center"/>
              <w:rPr>
                <w:rFonts w:ascii="宋体" w:hAnsi="宋体" w:eastAsia="宋体" w:cs="Times New Roman"/>
                <w:color w:val="auto"/>
                <w:kern w:val="21"/>
              </w:rPr>
            </w:pPr>
            <w:r>
              <w:rPr>
                <w:rFonts w:ascii="宋体" w:hAnsi="宋体" w:eastAsia="宋体" w:cs="Times New Roman"/>
                <w:color w:val="auto"/>
                <w:kern w:val="21"/>
              </w:rPr>
              <w:t>评价等级</w:t>
            </w:r>
          </w:p>
        </w:tc>
        <w:tc>
          <w:tcPr>
            <w:tcW w:w="1196" w:type="pct"/>
            <w:gridSpan w:val="5"/>
            <w:shd w:val="clear" w:color="auto" w:fill="auto"/>
            <w:vAlign w:val="center"/>
          </w:tcPr>
          <w:p w14:paraId="598117ED">
            <w:pPr>
              <w:jc w:val="center"/>
              <w:rPr>
                <w:rFonts w:ascii="宋体" w:hAnsi="宋体" w:eastAsia="宋体" w:cs="Times New Roman"/>
                <w:color w:val="auto"/>
                <w:kern w:val="21"/>
              </w:rPr>
            </w:pPr>
            <w:r>
              <w:rPr>
                <w:rFonts w:ascii="宋体" w:hAnsi="宋体" w:eastAsia="宋体" w:cs="Times New Roman"/>
                <w:color w:val="auto"/>
                <w:kern w:val="21"/>
              </w:rPr>
              <w:t>一级</w:t>
            </w:r>
            <w:r>
              <w:rPr>
                <w:rFonts w:ascii="宋体" w:hAnsi="宋体" w:eastAsia="宋体" w:cs="Times New Roman"/>
                <w:color w:val="auto"/>
                <w:kern w:val="21"/>
              </w:rPr>
              <w:sym w:font="Wingdings" w:char="00FE"/>
            </w:r>
          </w:p>
        </w:tc>
        <w:tc>
          <w:tcPr>
            <w:tcW w:w="1299" w:type="pct"/>
            <w:gridSpan w:val="8"/>
            <w:shd w:val="clear" w:color="auto" w:fill="auto"/>
            <w:vAlign w:val="center"/>
          </w:tcPr>
          <w:p w14:paraId="487FCDFE">
            <w:pPr>
              <w:jc w:val="center"/>
              <w:rPr>
                <w:rFonts w:ascii="宋体" w:hAnsi="宋体" w:eastAsia="宋体" w:cs="Times New Roman"/>
                <w:color w:val="auto"/>
                <w:kern w:val="21"/>
              </w:rPr>
            </w:pPr>
            <w:r>
              <w:rPr>
                <w:rFonts w:ascii="宋体" w:hAnsi="宋体" w:eastAsia="宋体" w:cs="Times New Roman"/>
                <w:color w:val="auto"/>
                <w:kern w:val="21"/>
              </w:rPr>
              <w:t>二级</w:t>
            </w:r>
            <w:r>
              <w:rPr>
                <w:rFonts w:ascii="宋体" w:hAnsi="宋体" w:eastAsia="宋体" w:cs="Times New Roman"/>
                <w:color w:val="auto"/>
                <w:kern w:val="21"/>
              </w:rPr>
              <w:sym w:font="Wingdings" w:char="00A8"/>
            </w:r>
          </w:p>
        </w:tc>
        <w:tc>
          <w:tcPr>
            <w:tcW w:w="1028" w:type="pct"/>
            <w:gridSpan w:val="5"/>
            <w:shd w:val="clear" w:color="auto" w:fill="auto"/>
            <w:vAlign w:val="center"/>
          </w:tcPr>
          <w:p w14:paraId="6A0E5C84">
            <w:pPr>
              <w:jc w:val="center"/>
              <w:rPr>
                <w:rFonts w:ascii="宋体" w:hAnsi="宋体" w:eastAsia="宋体" w:cs="Times New Roman"/>
                <w:color w:val="auto"/>
                <w:kern w:val="21"/>
              </w:rPr>
            </w:pPr>
            <w:r>
              <w:rPr>
                <w:rFonts w:ascii="宋体" w:hAnsi="宋体" w:eastAsia="宋体" w:cs="Times New Roman"/>
                <w:color w:val="auto"/>
                <w:kern w:val="21"/>
              </w:rPr>
              <w:t>三级</w:t>
            </w:r>
            <w:r>
              <w:rPr>
                <w:rFonts w:ascii="宋体" w:hAnsi="宋体" w:eastAsia="宋体" w:cs="Times New Roman"/>
                <w:color w:val="auto"/>
                <w:kern w:val="21"/>
              </w:rPr>
              <w:sym w:font="Wingdings" w:char="00A8"/>
            </w:r>
          </w:p>
        </w:tc>
      </w:tr>
      <w:tr w14:paraId="63D0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55BB6144">
            <w:pPr>
              <w:jc w:val="center"/>
              <w:rPr>
                <w:rFonts w:ascii="宋体" w:hAnsi="宋体" w:eastAsia="宋体" w:cs="Times New Roman"/>
                <w:color w:val="auto"/>
                <w:kern w:val="21"/>
              </w:rPr>
            </w:pPr>
          </w:p>
        </w:tc>
        <w:tc>
          <w:tcPr>
            <w:tcW w:w="871" w:type="pct"/>
            <w:shd w:val="clear" w:color="auto" w:fill="auto"/>
            <w:vAlign w:val="center"/>
          </w:tcPr>
          <w:p w14:paraId="108F4154">
            <w:pPr>
              <w:jc w:val="center"/>
              <w:rPr>
                <w:rFonts w:ascii="宋体" w:hAnsi="宋体" w:eastAsia="宋体" w:cs="Times New Roman"/>
                <w:color w:val="auto"/>
                <w:kern w:val="21"/>
              </w:rPr>
            </w:pPr>
            <w:r>
              <w:rPr>
                <w:rFonts w:ascii="宋体" w:hAnsi="宋体" w:eastAsia="宋体" w:cs="Times New Roman"/>
                <w:color w:val="auto"/>
                <w:kern w:val="21"/>
              </w:rPr>
              <w:t>评价范围</w:t>
            </w:r>
          </w:p>
        </w:tc>
        <w:tc>
          <w:tcPr>
            <w:tcW w:w="1196" w:type="pct"/>
            <w:gridSpan w:val="5"/>
            <w:shd w:val="clear" w:color="auto" w:fill="auto"/>
            <w:vAlign w:val="center"/>
          </w:tcPr>
          <w:p w14:paraId="62C9DBE6">
            <w:pPr>
              <w:jc w:val="center"/>
              <w:rPr>
                <w:rFonts w:ascii="宋体" w:hAnsi="宋体" w:eastAsia="宋体" w:cs="Times New Roman"/>
                <w:color w:val="auto"/>
                <w:kern w:val="21"/>
              </w:rPr>
            </w:pPr>
            <w:r>
              <w:rPr>
                <w:rFonts w:ascii="宋体" w:hAnsi="宋体" w:eastAsia="宋体" w:cs="Times New Roman"/>
                <w:color w:val="auto"/>
                <w:kern w:val="21"/>
              </w:rPr>
              <w:t>边长=50km</w:t>
            </w:r>
            <w:r>
              <w:rPr>
                <w:rFonts w:ascii="宋体" w:hAnsi="宋体" w:eastAsia="宋体" w:cs="Times New Roman"/>
                <w:color w:val="auto"/>
                <w:kern w:val="21"/>
              </w:rPr>
              <w:sym w:font="Wingdings" w:char="00A8"/>
            </w:r>
          </w:p>
        </w:tc>
        <w:tc>
          <w:tcPr>
            <w:tcW w:w="1299" w:type="pct"/>
            <w:gridSpan w:val="8"/>
            <w:shd w:val="clear" w:color="auto" w:fill="auto"/>
            <w:vAlign w:val="center"/>
          </w:tcPr>
          <w:p w14:paraId="75060315">
            <w:pPr>
              <w:jc w:val="center"/>
              <w:rPr>
                <w:rFonts w:ascii="宋体" w:hAnsi="宋体" w:eastAsia="宋体" w:cs="Times New Roman"/>
                <w:color w:val="auto"/>
                <w:kern w:val="21"/>
              </w:rPr>
            </w:pPr>
            <w:r>
              <w:rPr>
                <w:rFonts w:ascii="宋体" w:hAnsi="宋体" w:eastAsia="宋体" w:cs="Times New Roman"/>
                <w:color w:val="auto"/>
                <w:kern w:val="21"/>
              </w:rPr>
              <w:t>边长5～50km</w:t>
            </w:r>
            <w:r>
              <w:rPr>
                <w:rFonts w:ascii="宋体" w:hAnsi="宋体" w:eastAsia="宋体" w:cs="Times New Roman"/>
                <w:color w:val="auto"/>
                <w:kern w:val="21"/>
              </w:rPr>
              <w:sym w:font="Wingdings" w:char="00FE"/>
            </w:r>
          </w:p>
        </w:tc>
        <w:tc>
          <w:tcPr>
            <w:tcW w:w="1028" w:type="pct"/>
            <w:gridSpan w:val="5"/>
            <w:shd w:val="clear" w:color="auto" w:fill="auto"/>
            <w:vAlign w:val="center"/>
          </w:tcPr>
          <w:p w14:paraId="02B1387D">
            <w:pPr>
              <w:jc w:val="center"/>
              <w:rPr>
                <w:rFonts w:ascii="宋体" w:hAnsi="宋体" w:eastAsia="宋体" w:cs="Times New Roman"/>
                <w:color w:val="auto"/>
                <w:kern w:val="21"/>
              </w:rPr>
            </w:pPr>
            <w:r>
              <w:rPr>
                <w:rFonts w:ascii="宋体" w:hAnsi="宋体" w:eastAsia="宋体" w:cs="Times New Roman"/>
                <w:color w:val="auto"/>
                <w:kern w:val="21"/>
              </w:rPr>
              <w:t>边长&lt;5km</w:t>
            </w:r>
            <w:r>
              <w:rPr>
                <w:rFonts w:ascii="宋体" w:hAnsi="宋体" w:eastAsia="宋体" w:cs="Times New Roman"/>
                <w:color w:val="auto"/>
                <w:kern w:val="21"/>
              </w:rPr>
              <w:sym w:font="Wingdings" w:char="00A8"/>
            </w:r>
          </w:p>
        </w:tc>
      </w:tr>
      <w:tr w14:paraId="3829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shd w:val="clear" w:color="auto" w:fill="auto"/>
            <w:vAlign w:val="center"/>
          </w:tcPr>
          <w:p w14:paraId="5CE07353">
            <w:pPr>
              <w:jc w:val="center"/>
              <w:rPr>
                <w:rFonts w:ascii="宋体" w:hAnsi="宋体" w:eastAsia="宋体" w:cs="Times New Roman"/>
                <w:color w:val="auto"/>
                <w:kern w:val="21"/>
              </w:rPr>
            </w:pPr>
            <w:r>
              <w:rPr>
                <w:rFonts w:ascii="宋体" w:hAnsi="宋体" w:eastAsia="宋体" w:cs="Times New Roman"/>
                <w:color w:val="auto"/>
                <w:kern w:val="21"/>
              </w:rPr>
              <w:t>评价因子</w:t>
            </w:r>
          </w:p>
        </w:tc>
        <w:tc>
          <w:tcPr>
            <w:tcW w:w="871" w:type="pct"/>
            <w:shd w:val="clear" w:color="auto" w:fill="auto"/>
            <w:vAlign w:val="center"/>
          </w:tcPr>
          <w:p w14:paraId="29B528E5">
            <w:pPr>
              <w:jc w:val="center"/>
              <w:rPr>
                <w:rFonts w:ascii="宋体" w:hAnsi="宋体" w:eastAsia="宋体" w:cs="Times New Roman"/>
                <w:color w:val="auto"/>
                <w:kern w:val="21"/>
              </w:rPr>
            </w:pPr>
            <w:r>
              <w:rPr>
                <w:rFonts w:ascii="宋体" w:hAnsi="宋体" w:eastAsia="宋体" w:cs="Times New Roman"/>
                <w:color w:val="auto"/>
                <w:kern w:val="21"/>
              </w:rPr>
              <w:t>SO</w:t>
            </w:r>
            <w:r>
              <w:rPr>
                <w:rFonts w:ascii="宋体" w:hAnsi="宋体" w:eastAsia="宋体" w:cs="Times New Roman"/>
                <w:color w:val="auto"/>
                <w:kern w:val="21"/>
                <w:vertAlign w:val="subscript"/>
              </w:rPr>
              <w:t>2</w:t>
            </w:r>
            <w:r>
              <w:rPr>
                <w:rFonts w:ascii="宋体" w:hAnsi="宋体" w:eastAsia="宋体" w:cs="Times New Roman"/>
                <w:color w:val="auto"/>
                <w:kern w:val="21"/>
              </w:rPr>
              <w:t>+NO</w:t>
            </w:r>
            <w:r>
              <w:rPr>
                <w:rFonts w:ascii="宋体" w:hAnsi="宋体" w:eastAsia="宋体" w:cs="Times New Roman"/>
                <w:color w:val="auto"/>
                <w:kern w:val="21"/>
                <w:vertAlign w:val="subscript"/>
              </w:rPr>
              <w:t>X</w:t>
            </w:r>
            <w:r>
              <w:rPr>
                <w:rFonts w:ascii="宋体" w:hAnsi="宋体" w:eastAsia="宋体" w:cs="Times New Roman"/>
                <w:color w:val="auto"/>
                <w:kern w:val="21"/>
              </w:rPr>
              <w:t>排放</w:t>
            </w:r>
          </w:p>
        </w:tc>
        <w:tc>
          <w:tcPr>
            <w:tcW w:w="1196" w:type="pct"/>
            <w:gridSpan w:val="5"/>
            <w:shd w:val="clear" w:color="auto" w:fill="auto"/>
            <w:vAlign w:val="center"/>
          </w:tcPr>
          <w:p w14:paraId="25EEA8B1">
            <w:pPr>
              <w:jc w:val="center"/>
              <w:rPr>
                <w:rFonts w:ascii="宋体" w:hAnsi="宋体" w:eastAsia="宋体" w:cs="Times New Roman"/>
                <w:color w:val="auto"/>
                <w:kern w:val="21"/>
              </w:rPr>
            </w:pPr>
            <w:r>
              <w:rPr>
                <w:rFonts w:ascii="宋体" w:hAnsi="宋体" w:eastAsia="宋体" w:cs="Times New Roman"/>
                <w:color w:val="auto"/>
                <w:kern w:val="21"/>
              </w:rPr>
              <w:t>≧2000t/a</w:t>
            </w:r>
            <w:r>
              <w:rPr>
                <w:rFonts w:ascii="宋体" w:hAnsi="宋体" w:eastAsia="宋体" w:cs="Times New Roman"/>
                <w:color w:val="auto"/>
                <w:kern w:val="21"/>
              </w:rPr>
              <w:sym w:font="Wingdings" w:char="00A8"/>
            </w:r>
          </w:p>
        </w:tc>
        <w:tc>
          <w:tcPr>
            <w:tcW w:w="1299" w:type="pct"/>
            <w:gridSpan w:val="8"/>
            <w:shd w:val="clear" w:color="auto" w:fill="auto"/>
            <w:vAlign w:val="center"/>
          </w:tcPr>
          <w:p w14:paraId="4FCA5D6D">
            <w:pPr>
              <w:jc w:val="center"/>
              <w:rPr>
                <w:rFonts w:ascii="宋体" w:hAnsi="宋体" w:eastAsia="宋体" w:cs="Times New Roman"/>
                <w:color w:val="auto"/>
                <w:kern w:val="21"/>
              </w:rPr>
            </w:pPr>
            <w:r>
              <w:rPr>
                <w:rFonts w:ascii="宋体" w:hAnsi="宋体" w:eastAsia="宋体" w:cs="Times New Roman"/>
                <w:color w:val="auto"/>
                <w:kern w:val="21"/>
              </w:rPr>
              <w:t>500～2000t/a</w:t>
            </w:r>
            <w:r>
              <w:rPr>
                <w:rFonts w:ascii="宋体" w:hAnsi="宋体" w:eastAsia="宋体" w:cs="Times New Roman"/>
                <w:color w:val="auto"/>
                <w:kern w:val="21"/>
              </w:rPr>
              <w:sym w:font="Wingdings" w:char="00A8"/>
            </w:r>
          </w:p>
        </w:tc>
        <w:tc>
          <w:tcPr>
            <w:tcW w:w="1028" w:type="pct"/>
            <w:gridSpan w:val="5"/>
            <w:shd w:val="clear" w:color="auto" w:fill="auto"/>
            <w:vAlign w:val="center"/>
          </w:tcPr>
          <w:p w14:paraId="216EF13F">
            <w:pPr>
              <w:jc w:val="center"/>
              <w:rPr>
                <w:rFonts w:ascii="宋体" w:hAnsi="宋体" w:eastAsia="宋体" w:cs="Times New Roman"/>
                <w:color w:val="auto"/>
                <w:kern w:val="21"/>
              </w:rPr>
            </w:pPr>
            <w:r>
              <w:rPr>
                <w:rFonts w:ascii="宋体" w:hAnsi="宋体" w:eastAsia="宋体" w:cs="Times New Roman"/>
                <w:color w:val="auto"/>
                <w:kern w:val="21"/>
              </w:rPr>
              <w:t>&lt;500t/a</w:t>
            </w:r>
            <w:r>
              <w:rPr>
                <w:rFonts w:ascii="宋体" w:hAnsi="宋体" w:eastAsia="宋体" w:cs="Times New Roman"/>
                <w:color w:val="auto"/>
                <w:kern w:val="21"/>
              </w:rPr>
              <w:sym w:font="Wingdings" w:char="00FE"/>
            </w:r>
          </w:p>
        </w:tc>
      </w:tr>
      <w:tr w14:paraId="65DF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3488974F">
            <w:pPr>
              <w:jc w:val="center"/>
              <w:rPr>
                <w:rFonts w:ascii="宋体" w:hAnsi="宋体" w:eastAsia="宋体" w:cs="Times New Roman"/>
                <w:color w:val="auto"/>
                <w:kern w:val="21"/>
              </w:rPr>
            </w:pPr>
          </w:p>
        </w:tc>
        <w:tc>
          <w:tcPr>
            <w:tcW w:w="871" w:type="pct"/>
            <w:shd w:val="clear" w:color="auto" w:fill="auto"/>
            <w:vAlign w:val="center"/>
          </w:tcPr>
          <w:p w14:paraId="77218252">
            <w:pPr>
              <w:jc w:val="center"/>
              <w:rPr>
                <w:rFonts w:ascii="宋体" w:hAnsi="宋体" w:eastAsia="宋体" w:cs="Times New Roman"/>
                <w:color w:val="auto"/>
                <w:kern w:val="21"/>
              </w:rPr>
            </w:pPr>
            <w:r>
              <w:rPr>
                <w:rFonts w:ascii="宋体" w:hAnsi="宋体" w:eastAsia="宋体" w:cs="Times New Roman"/>
                <w:color w:val="auto"/>
                <w:kern w:val="21"/>
              </w:rPr>
              <w:t>评价因子</w:t>
            </w:r>
          </w:p>
        </w:tc>
        <w:tc>
          <w:tcPr>
            <w:tcW w:w="2494" w:type="pct"/>
            <w:gridSpan w:val="13"/>
            <w:shd w:val="clear" w:color="auto" w:fill="auto"/>
            <w:vAlign w:val="center"/>
          </w:tcPr>
          <w:p w14:paraId="5B916EB6">
            <w:pPr>
              <w:jc w:val="center"/>
              <w:rPr>
                <w:rFonts w:ascii="宋体" w:hAnsi="宋体" w:eastAsia="宋体" w:cs="Times New Roman"/>
                <w:color w:val="auto"/>
                <w:kern w:val="21"/>
              </w:rPr>
            </w:pPr>
            <w:r>
              <w:rPr>
                <w:rFonts w:ascii="宋体" w:hAnsi="宋体" w:eastAsia="宋体" w:cs="Times New Roman"/>
                <w:color w:val="auto"/>
                <w:kern w:val="21"/>
              </w:rPr>
              <w:t>基本污染物（PM</w:t>
            </w:r>
            <w:r>
              <w:rPr>
                <w:rFonts w:ascii="宋体" w:hAnsi="宋体" w:eastAsia="宋体" w:cs="Times New Roman"/>
                <w:color w:val="auto"/>
                <w:kern w:val="21"/>
                <w:vertAlign w:val="subscript"/>
              </w:rPr>
              <w:t>10</w:t>
            </w:r>
            <w:r>
              <w:rPr>
                <w:rFonts w:ascii="宋体" w:hAnsi="宋体" w:eastAsia="宋体" w:cs="Times New Roman"/>
                <w:color w:val="auto"/>
                <w:kern w:val="21"/>
              </w:rPr>
              <w:t>、NO</w:t>
            </w:r>
            <w:r>
              <w:rPr>
                <w:rFonts w:ascii="宋体" w:hAnsi="宋体" w:eastAsia="宋体" w:cs="Times New Roman"/>
                <w:color w:val="auto"/>
                <w:kern w:val="21"/>
                <w:vertAlign w:val="subscript"/>
              </w:rPr>
              <w:t>x</w:t>
            </w:r>
            <w:r>
              <w:rPr>
                <w:rFonts w:ascii="宋体" w:hAnsi="宋体" w:eastAsia="宋体" w:cs="Times New Roman"/>
                <w:color w:val="auto"/>
                <w:kern w:val="21"/>
              </w:rPr>
              <w:t>、SO</w:t>
            </w:r>
            <w:r>
              <w:rPr>
                <w:rFonts w:ascii="宋体" w:hAnsi="宋体" w:eastAsia="宋体" w:cs="Times New Roman"/>
                <w:color w:val="auto"/>
                <w:kern w:val="21"/>
                <w:vertAlign w:val="subscript"/>
              </w:rPr>
              <w:t>2、</w:t>
            </w:r>
            <w:r>
              <w:rPr>
                <w:rFonts w:ascii="宋体" w:hAnsi="宋体" w:eastAsia="宋体" w:cs="Times New Roman"/>
                <w:color w:val="auto"/>
                <w:kern w:val="21"/>
              </w:rPr>
              <w:t>PM</w:t>
            </w:r>
            <w:r>
              <w:rPr>
                <w:rFonts w:ascii="宋体" w:hAnsi="宋体" w:eastAsia="宋体" w:cs="Times New Roman"/>
                <w:color w:val="auto"/>
                <w:kern w:val="21"/>
                <w:vertAlign w:val="subscript"/>
              </w:rPr>
              <w:t>2.5</w:t>
            </w:r>
            <w:r>
              <w:rPr>
                <w:rFonts w:ascii="宋体" w:hAnsi="宋体" w:eastAsia="宋体" w:cs="Times New Roman"/>
                <w:color w:val="auto"/>
                <w:kern w:val="21"/>
              </w:rPr>
              <w:t>、CO、O</w:t>
            </w:r>
            <w:r>
              <w:rPr>
                <w:rFonts w:ascii="宋体" w:hAnsi="宋体" w:eastAsia="宋体" w:cs="Times New Roman"/>
                <w:color w:val="auto"/>
                <w:kern w:val="21"/>
                <w:vertAlign w:val="subscript"/>
              </w:rPr>
              <w:t>3</w:t>
            </w:r>
            <w:r>
              <w:rPr>
                <w:rFonts w:ascii="宋体" w:hAnsi="宋体" w:eastAsia="宋体" w:cs="Times New Roman"/>
                <w:color w:val="auto"/>
                <w:kern w:val="21"/>
              </w:rPr>
              <w:t>）</w:t>
            </w:r>
          </w:p>
          <w:p w14:paraId="75511DBF">
            <w:pPr>
              <w:jc w:val="center"/>
              <w:rPr>
                <w:rFonts w:ascii="宋体" w:hAnsi="宋体" w:eastAsia="宋体" w:cs="Times New Roman"/>
                <w:color w:val="auto"/>
                <w:kern w:val="21"/>
              </w:rPr>
            </w:pPr>
            <w:r>
              <w:rPr>
                <w:rFonts w:ascii="宋体" w:hAnsi="宋体" w:eastAsia="宋体" w:cs="Times New Roman"/>
                <w:color w:val="auto"/>
                <w:kern w:val="21"/>
              </w:rPr>
              <w:t>其他污染物（TSP、非甲烷总烃）</w:t>
            </w:r>
          </w:p>
        </w:tc>
        <w:tc>
          <w:tcPr>
            <w:tcW w:w="1028" w:type="pct"/>
            <w:gridSpan w:val="5"/>
            <w:shd w:val="clear" w:color="auto" w:fill="auto"/>
            <w:vAlign w:val="center"/>
          </w:tcPr>
          <w:p w14:paraId="43EF1C3A">
            <w:pPr>
              <w:jc w:val="center"/>
              <w:rPr>
                <w:rFonts w:ascii="宋体" w:hAnsi="宋体" w:eastAsia="宋体" w:cs="Times New Roman"/>
                <w:color w:val="auto"/>
                <w:kern w:val="21"/>
              </w:rPr>
            </w:pPr>
            <w:r>
              <w:rPr>
                <w:rFonts w:ascii="宋体" w:hAnsi="宋体" w:eastAsia="宋体" w:cs="Times New Roman"/>
                <w:color w:val="auto"/>
                <w:kern w:val="21"/>
              </w:rPr>
              <w:t>包括二次PM</w:t>
            </w:r>
            <w:r>
              <w:rPr>
                <w:rFonts w:ascii="宋体" w:hAnsi="宋体" w:eastAsia="宋体" w:cs="Times New Roman"/>
                <w:color w:val="auto"/>
                <w:kern w:val="21"/>
                <w:vertAlign w:val="subscript"/>
              </w:rPr>
              <w:t>2.5</w:t>
            </w:r>
            <w:r>
              <w:rPr>
                <w:rFonts w:ascii="宋体" w:hAnsi="宋体" w:eastAsia="宋体" w:cs="Times New Roman"/>
                <w:color w:val="auto"/>
                <w:kern w:val="21"/>
              </w:rPr>
              <w:sym w:font="Wingdings" w:char="00A8"/>
            </w:r>
          </w:p>
          <w:p w14:paraId="471AB004">
            <w:pPr>
              <w:jc w:val="center"/>
              <w:rPr>
                <w:rFonts w:ascii="宋体" w:hAnsi="宋体" w:eastAsia="宋体" w:cs="Times New Roman"/>
                <w:color w:val="auto"/>
                <w:kern w:val="21"/>
              </w:rPr>
            </w:pPr>
            <w:r>
              <w:rPr>
                <w:rFonts w:ascii="宋体" w:hAnsi="宋体" w:eastAsia="宋体" w:cs="Times New Roman"/>
                <w:color w:val="auto"/>
                <w:kern w:val="21"/>
              </w:rPr>
              <w:t>不包括二次PM</w:t>
            </w:r>
            <w:r>
              <w:rPr>
                <w:rFonts w:ascii="宋体" w:hAnsi="宋体" w:eastAsia="宋体" w:cs="Times New Roman"/>
                <w:color w:val="auto"/>
                <w:kern w:val="21"/>
                <w:vertAlign w:val="subscript"/>
              </w:rPr>
              <w:t>2.5</w:t>
            </w:r>
            <w:r>
              <w:rPr>
                <w:rFonts w:ascii="宋体" w:hAnsi="宋体" w:eastAsia="宋体" w:cs="Times New Roman"/>
                <w:color w:val="auto"/>
                <w:kern w:val="21"/>
              </w:rPr>
              <w:sym w:font="Wingdings" w:char="00FE"/>
            </w:r>
          </w:p>
        </w:tc>
      </w:tr>
      <w:tr w14:paraId="3CCA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shd w:val="clear" w:color="auto" w:fill="auto"/>
            <w:vAlign w:val="center"/>
          </w:tcPr>
          <w:p w14:paraId="466120E0">
            <w:pPr>
              <w:jc w:val="center"/>
              <w:rPr>
                <w:rFonts w:ascii="宋体" w:hAnsi="宋体" w:eastAsia="宋体" w:cs="Times New Roman"/>
                <w:color w:val="auto"/>
                <w:kern w:val="21"/>
              </w:rPr>
            </w:pPr>
            <w:r>
              <w:rPr>
                <w:rFonts w:ascii="宋体" w:hAnsi="宋体" w:eastAsia="宋体" w:cs="Times New Roman"/>
                <w:color w:val="auto"/>
                <w:kern w:val="21"/>
              </w:rPr>
              <w:t>评价标准</w:t>
            </w:r>
          </w:p>
        </w:tc>
        <w:tc>
          <w:tcPr>
            <w:tcW w:w="871" w:type="pct"/>
            <w:shd w:val="clear" w:color="auto" w:fill="auto"/>
            <w:vAlign w:val="center"/>
          </w:tcPr>
          <w:p w14:paraId="17370380">
            <w:pPr>
              <w:jc w:val="center"/>
              <w:rPr>
                <w:rFonts w:ascii="宋体" w:hAnsi="宋体" w:eastAsia="宋体" w:cs="Times New Roman"/>
                <w:color w:val="auto"/>
                <w:kern w:val="21"/>
              </w:rPr>
            </w:pPr>
            <w:r>
              <w:rPr>
                <w:rFonts w:ascii="宋体" w:hAnsi="宋体" w:eastAsia="宋体" w:cs="Times New Roman"/>
                <w:color w:val="auto"/>
                <w:kern w:val="21"/>
              </w:rPr>
              <w:t>评价标准</w:t>
            </w:r>
          </w:p>
        </w:tc>
        <w:tc>
          <w:tcPr>
            <w:tcW w:w="1196" w:type="pct"/>
            <w:gridSpan w:val="5"/>
            <w:shd w:val="clear" w:color="auto" w:fill="auto"/>
            <w:vAlign w:val="center"/>
          </w:tcPr>
          <w:p w14:paraId="348DFBF9">
            <w:pPr>
              <w:jc w:val="center"/>
              <w:rPr>
                <w:rFonts w:ascii="宋体" w:hAnsi="宋体" w:eastAsia="宋体" w:cs="Times New Roman"/>
                <w:color w:val="auto"/>
                <w:kern w:val="21"/>
              </w:rPr>
            </w:pPr>
            <w:r>
              <w:rPr>
                <w:rFonts w:ascii="宋体" w:hAnsi="宋体" w:eastAsia="宋体" w:cs="Times New Roman"/>
                <w:color w:val="auto"/>
                <w:kern w:val="21"/>
              </w:rPr>
              <w:t>国家标准</w:t>
            </w:r>
            <w:r>
              <w:rPr>
                <w:rFonts w:ascii="宋体" w:hAnsi="宋体" w:eastAsia="宋体" w:cs="Times New Roman"/>
                <w:color w:val="auto"/>
                <w:kern w:val="21"/>
              </w:rPr>
              <w:sym w:font="Wingdings" w:char="00FE"/>
            </w:r>
          </w:p>
        </w:tc>
        <w:tc>
          <w:tcPr>
            <w:tcW w:w="805" w:type="pct"/>
            <w:gridSpan w:val="4"/>
            <w:shd w:val="clear" w:color="auto" w:fill="auto"/>
            <w:vAlign w:val="center"/>
          </w:tcPr>
          <w:p w14:paraId="46085B52">
            <w:pPr>
              <w:jc w:val="center"/>
              <w:rPr>
                <w:rFonts w:ascii="宋体" w:hAnsi="宋体" w:eastAsia="宋体" w:cs="Times New Roman"/>
                <w:color w:val="auto"/>
                <w:kern w:val="21"/>
              </w:rPr>
            </w:pPr>
            <w:r>
              <w:rPr>
                <w:rFonts w:ascii="宋体" w:hAnsi="宋体" w:eastAsia="宋体" w:cs="Times New Roman"/>
                <w:color w:val="auto"/>
                <w:kern w:val="21"/>
              </w:rPr>
              <w:t>地方标准</w:t>
            </w:r>
            <w:r>
              <w:rPr>
                <w:rFonts w:ascii="宋体" w:hAnsi="宋体" w:eastAsia="宋体" w:cs="Times New Roman"/>
                <w:color w:val="auto"/>
                <w:kern w:val="21"/>
              </w:rPr>
              <w:sym w:font="Wingdings" w:char="00A8"/>
            </w:r>
          </w:p>
        </w:tc>
        <w:tc>
          <w:tcPr>
            <w:tcW w:w="808" w:type="pct"/>
            <w:gridSpan w:val="7"/>
            <w:shd w:val="clear" w:color="auto" w:fill="auto"/>
            <w:vAlign w:val="center"/>
          </w:tcPr>
          <w:p w14:paraId="49A426CA">
            <w:pPr>
              <w:jc w:val="center"/>
              <w:rPr>
                <w:rFonts w:ascii="宋体" w:hAnsi="宋体" w:eastAsia="宋体" w:cs="Times New Roman"/>
                <w:color w:val="auto"/>
                <w:kern w:val="21"/>
              </w:rPr>
            </w:pPr>
            <w:r>
              <w:rPr>
                <w:rFonts w:ascii="宋体" w:hAnsi="宋体" w:eastAsia="宋体" w:cs="Times New Roman"/>
                <w:color w:val="auto"/>
                <w:kern w:val="21"/>
              </w:rPr>
              <w:t>附录D</w:t>
            </w:r>
            <w:r>
              <w:rPr>
                <w:rFonts w:ascii="宋体" w:hAnsi="宋体" w:eastAsia="宋体" w:cs="Times New Roman"/>
                <w:color w:val="auto"/>
                <w:kern w:val="21"/>
              </w:rPr>
              <w:sym w:font="Wingdings" w:char="00A8"/>
            </w:r>
          </w:p>
        </w:tc>
        <w:tc>
          <w:tcPr>
            <w:tcW w:w="714" w:type="pct"/>
            <w:gridSpan w:val="2"/>
            <w:shd w:val="clear" w:color="auto" w:fill="auto"/>
            <w:vAlign w:val="center"/>
          </w:tcPr>
          <w:p w14:paraId="3970F098">
            <w:pPr>
              <w:jc w:val="center"/>
              <w:rPr>
                <w:rFonts w:ascii="宋体" w:hAnsi="宋体" w:eastAsia="宋体" w:cs="Times New Roman"/>
                <w:color w:val="auto"/>
                <w:kern w:val="21"/>
              </w:rPr>
            </w:pPr>
            <w:r>
              <w:rPr>
                <w:rFonts w:ascii="宋体" w:hAnsi="宋体" w:eastAsia="宋体" w:cs="Times New Roman"/>
                <w:color w:val="auto"/>
                <w:kern w:val="21"/>
              </w:rPr>
              <w:t>其他标准</w:t>
            </w:r>
            <w:r>
              <w:rPr>
                <w:rFonts w:ascii="宋体" w:hAnsi="宋体" w:eastAsia="宋体" w:cs="Times New Roman"/>
                <w:color w:val="auto"/>
                <w:kern w:val="21"/>
              </w:rPr>
              <w:sym w:font="Wingdings" w:char="00FE"/>
            </w:r>
          </w:p>
        </w:tc>
      </w:tr>
      <w:tr w14:paraId="58A9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shd w:val="clear" w:color="auto" w:fill="auto"/>
            <w:vAlign w:val="center"/>
          </w:tcPr>
          <w:p w14:paraId="4B8980B5">
            <w:pPr>
              <w:jc w:val="center"/>
              <w:rPr>
                <w:rFonts w:ascii="宋体" w:hAnsi="宋体" w:eastAsia="宋体" w:cs="Times New Roman"/>
                <w:color w:val="auto"/>
                <w:kern w:val="21"/>
              </w:rPr>
            </w:pPr>
            <w:r>
              <w:rPr>
                <w:rFonts w:ascii="宋体" w:hAnsi="宋体" w:eastAsia="宋体" w:cs="Times New Roman"/>
                <w:color w:val="auto"/>
                <w:kern w:val="21"/>
              </w:rPr>
              <w:t>现状评价</w:t>
            </w:r>
          </w:p>
        </w:tc>
        <w:tc>
          <w:tcPr>
            <w:tcW w:w="871" w:type="pct"/>
            <w:shd w:val="clear" w:color="auto" w:fill="auto"/>
            <w:vAlign w:val="center"/>
          </w:tcPr>
          <w:p w14:paraId="751B7ED6">
            <w:pPr>
              <w:jc w:val="center"/>
              <w:rPr>
                <w:rFonts w:ascii="宋体" w:hAnsi="宋体" w:eastAsia="宋体" w:cs="Times New Roman"/>
                <w:color w:val="auto"/>
                <w:kern w:val="21"/>
              </w:rPr>
            </w:pPr>
            <w:r>
              <w:rPr>
                <w:rFonts w:ascii="宋体" w:hAnsi="宋体" w:eastAsia="宋体" w:cs="Times New Roman"/>
                <w:color w:val="auto"/>
                <w:kern w:val="21"/>
              </w:rPr>
              <w:t>环境功能区</w:t>
            </w:r>
          </w:p>
        </w:tc>
        <w:tc>
          <w:tcPr>
            <w:tcW w:w="1196" w:type="pct"/>
            <w:gridSpan w:val="5"/>
            <w:shd w:val="clear" w:color="auto" w:fill="auto"/>
            <w:vAlign w:val="center"/>
          </w:tcPr>
          <w:p w14:paraId="3ADDC4D7">
            <w:pPr>
              <w:jc w:val="center"/>
              <w:rPr>
                <w:rFonts w:ascii="宋体" w:hAnsi="宋体" w:eastAsia="宋体" w:cs="Times New Roman"/>
                <w:color w:val="auto"/>
                <w:kern w:val="21"/>
              </w:rPr>
            </w:pPr>
            <w:r>
              <w:rPr>
                <w:rFonts w:ascii="宋体" w:hAnsi="宋体" w:eastAsia="宋体" w:cs="Times New Roman"/>
                <w:color w:val="auto"/>
                <w:kern w:val="21"/>
              </w:rPr>
              <w:t>一类区</w:t>
            </w:r>
            <w:r>
              <w:rPr>
                <w:rFonts w:ascii="宋体" w:hAnsi="宋体" w:eastAsia="宋体" w:cs="Times New Roman"/>
                <w:color w:val="auto"/>
                <w:kern w:val="21"/>
              </w:rPr>
              <w:sym w:font="Wingdings" w:char="00A8"/>
            </w:r>
          </w:p>
        </w:tc>
        <w:tc>
          <w:tcPr>
            <w:tcW w:w="1299" w:type="pct"/>
            <w:gridSpan w:val="8"/>
            <w:shd w:val="clear" w:color="auto" w:fill="auto"/>
            <w:vAlign w:val="center"/>
          </w:tcPr>
          <w:p w14:paraId="68D53190">
            <w:pPr>
              <w:jc w:val="center"/>
              <w:rPr>
                <w:rFonts w:ascii="宋体" w:hAnsi="宋体" w:eastAsia="宋体" w:cs="Times New Roman"/>
                <w:color w:val="auto"/>
                <w:kern w:val="21"/>
              </w:rPr>
            </w:pPr>
            <w:r>
              <w:rPr>
                <w:rFonts w:ascii="宋体" w:hAnsi="宋体" w:eastAsia="宋体" w:cs="Times New Roman"/>
                <w:color w:val="auto"/>
                <w:kern w:val="21"/>
              </w:rPr>
              <w:t>二类区</w:t>
            </w:r>
            <w:r>
              <w:rPr>
                <w:rFonts w:ascii="宋体" w:hAnsi="宋体" w:eastAsia="宋体" w:cs="Times New Roman"/>
                <w:color w:val="auto"/>
                <w:kern w:val="21"/>
              </w:rPr>
              <w:sym w:font="Wingdings" w:char="00FE"/>
            </w:r>
          </w:p>
        </w:tc>
        <w:tc>
          <w:tcPr>
            <w:tcW w:w="1028" w:type="pct"/>
            <w:gridSpan w:val="5"/>
            <w:shd w:val="clear" w:color="auto" w:fill="auto"/>
            <w:vAlign w:val="center"/>
          </w:tcPr>
          <w:p w14:paraId="55DB49C3">
            <w:pPr>
              <w:jc w:val="center"/>
              <w:rPr>
                <w:rFonts w:ascii="宋体" w:hAnsi="宋体" w:eastAsia="宋体" w:cs="Times New Roman"/>
                <w:color w:val="auto"/>
                <w:kern w:val="21"/>
              </w:rPr>
            </w:pPr>
            <w:r>
              <w:rPr>
                <w:rFonts w:ascii="宋体" w:hAnsi="宋体" w:eastAsia="宋体" w:cs="Times New Roman"/>
                <w:color w:val="auto"/>
                <w:kern w:val="21"/>
              </w:rPr>
              <w:t>一类区和二类区</w:t>
            </w:r>
            <w:r>
              <w:rPr>
                <w:rFonts w:ascii="宋体" w:hAnsi="宋体" w:eastAsia="宋体" w:cs="Times New Roman"/>
                <w:color w:val="auto"/>
                <w:kern w:val="21"/>
              </w:rPr>
              <w:sym w:font="Wingdings" w:char="00A8"/>
            </w:r>
          </w:p>
        </w:tc>
      </w:tr>
      <w:tr w14:paraId="1A2C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7E5D722C">
            <w:pPr>
              <w:jc w:val="center"/>
              <w:rPr>
                <w:rFonts w:ascii="宋体" w:hAnsi="宋体" w:eastAsia="宋体" w:cs="Times New Roman"/>
                <w:color w:val="auto"/>
                <w:kern w:val="21"/>
              </w:rPr>
            </w:pPr>
          </w:p>
        </w:tc>
        <w:tc>
          <w:tcPr>
            <w:tcW w:w="871" w:type="pct"/>
            <w:shd w:val="clear" w:color="auto" w:fill="auto"/>
            <w:vAlign w:val="center"/>
          </w:tcPr>
          <w:p w14:paraId="61F1F2E6">
            <w:pPr>
              <w:jc w:val="center"/>
              <w:rPr>
                <w:rFonts w:ascii="宋体" w:hAnsi="宋体" w:eastAsia="宋体" w:cs="Times New Roman"/>
                <w:color w:val="auto"/>
                <w:kern w:val="21"/>
              </w:rPr>
            </w:pPr>
            <w:r>
              <w:rPr>
                <w:rFonts w:ascii="宋体" w:hAnsi="宋体" w:eastAsia="宋体" w:cs="Times New Roman"/>
                <w:color w:val="auto"/>
                <w:kern w:val="21"/>
              </w:rPr>
              <w:t>评价基准年</w:t>
            </w:r>
          </w:p>
        </w:tc>
        <w:tc>
          <w:tcPr>
            <w:tcW w:w="3522" w:type="pct"/>
            <w:gridSpan w:val="18"/>
            <w:shd w:val="clear" w:color="auto" w:fill="auto"/>
            <w:vAlign w:val="center"/>
          </w:tcPr>
          <w:p w14:paraId="1A005792">
            <w:pPr>
              <w:jc w:val="center"/>
              <w:rPr>
                <w:rFonts w:ascii="宋体" w:hAnsi="宋体" w:eastAsia="宋体" w:cs="Times New Roman"/>
                <w:color w:val="auto"/>
                <w:kern w:val="21"/>
              </w:rPr>
            </w:pPr>
            <w:r>
              <w:rPr>
                <w:rFonts w:ascii="宋体" w:hAnsi="宋体" w:eastAsia="宋体" w:cs="Times New Roman"/>
                <w:color w:val="auto"/>
                <w:kern w:val="21"/>
              </w:rPr>
              <w:t>（202</w:t>
            </w:r>
            <w:r>
              <w:rPr>
                <w:rFonts w:hint="eastAsia" w:ascii="宋体" w:hAnsi="宋体" w:eastAsia="宋体" w:cs="Times New Roman"/>
                <w:color w:val="auto"/>
                <w:kern w:val="21"/>
              </w:rPr>
              <w:t>4</w:t>
            </w:r>
            <w:r>
              <w:rPr>
                <w:rFonts w:ascii="宋体" w:hAnsi="宋体" w:eastAsia="宋体" w:cs="Times New Roman"/>
                <w:color w:val="auto"/>
                <w:kern w:val="21"/>
              </w:rPr>
              <w:t>）年</w:t>
            </w:r>
          </w:p>
        </w:tc>
      </w:tr>
      <w:tr w14:paraId="23DE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2CA34711">
            <w:pPr>
              <w:jc w:val="center"/>
              <w:rPr>
                <w:rFonts w:ascii="宋体" w:hAnsi="宋体" w:eastAsia="宋体" w:cs="Times New Roman"/>
                <w:color w:val="auto"/>
                <w:kern w:val="21"/>
              </w:rPr>
            </w:pPr>
          </w:p>
        </w:tc>
        <w:tc>
          <w:tcPr>
            <w:tcW w:w="871" w:type="pct"/>
            <w:shd w:val="clear" w:color="auto" w:fill="auto"/>
            <w:vAlign w:val="center"/>
          </w:tcPr>
          <w:p w14:paraId="0EEA18D1">
            <w:pPr>
              <w:jc w:val="center"/>
              <w:rPr>
                <w:rFonts w:ascii="宋体" w:hAnsi="宋体" w:eastAsia="宋体" w:cs="Times New Roman"/>
                <w:color w:val="auto"/>
                <w:kern w:val="21"/>
              </w:rPr>
            </w:pPr>
            <w:r>
              <w:rPr>
                <w:rFonts w:ascii="宋体" w:hAnsi="宋体" w:eastAsia="宋体" w:cs="Times New Roman"/>
                <w:color w:val="auto"/>
                <w:kern w:val="21"/>
              </w:rPr>
              <w:t>环境空气质量</w:t>
            </w:r>
          </w:p>
          <w:p w14:paraId="45C6C1E6">
            <w:pPr>
              <w:jc w:val="center"/>
              <w:rPr>
                <w:rFonts w:ascii="宋体" w:hAnsi="宋体" w:eastAsia="宋体" w:cs="Times New Roman"/>
                <w:color w:val="auto"/>
                <w:kern w:val="21"/>
              </w:rPr>
            </w:pPr>
            <w:r>
              <w:rPr>
                <w:rFonts w:ascii="宋体" w:hAnsi="宋体" w:eastAsia="宋体" w:cs="Times New Roman"/>
                <w:color w:val="auto"/>
                <w:kern w:val="21"/>
              </w:rPr>
              <w:t>现状调查数据来源</w:t>
            </w:r>
          </w:p>
        </w:tc>
        <w:tc>
          <w:tcPr>
            <w:tcW w:w="1196" w:type="pct"/>
            <w:gridSpan w:val="5"/>
            <w:shd w:val="clear" w:color="auto" w:fill="auto"/>
            <w:vAlign w:val="center"/>
          </w:tcPr>
          <w:p w14:paraId="75096254">
            <w:pPr>
              <w:jc w:val="center"/>
              <w:rPr>
                <w:rFonts w:ascii="宋体" w:hAnsi="宋体" w:eastAsia="宋体" w:cs="Times New Roman"/>
                <w:color w:val="auto"/>
                <w:kern w:val="21"/>
              </w:rPr>
            </w:pPr>
            <w:r>
              <w:rPr>
                <w:rFonts w:ascii="宋体" w:hAnsi="宋体" w:eastAsia="宋体" w:cs="Times New Roman"/>
                <w:color w:val="auto"/>
                <w:kern w:val="21"/>
              </w:rPr>
              <w:t>长期例行监测数据</w:t>
            </w:r>
            <w:r>
              <w:rPr>
                <w:rFonts w:ascii="宋体" w:hAnsi="宋体" w:eastAsia="宋体" w:cs="Times New Roman"/>
                <w:color w:val="auto"/>
                <w:kern w:val="21"/>
              </w:rPr>
              <w:sym w:font="Wingdings" w:char="00A8"/>
            </w:r>
          </w:p>
        </w:tc>
        <w:tc>
          <w:tcPr>
            <w:tcW w:w="1299" w:type="pct"/>
            <w:gridSpan w:val="8"/>
            <w:shd w:val="clear" w:color="auto" w:fill="auto"/>
            <w:vAlign w:val="center"/>
          </w:tcPr>
          <w:p w14:paraId="040E1F30">
            <w:pPr>
              <w:jc w:val="center"/>
              <w:rPr>
                <w:rFonts w:ascii="宋体" w:hAnsi="宋体" w:eastAsia="宋体" w:cs="Times New Roman"/>
                <w:color w:val="auto"/>
                <w:kern w:val="21"/>
              </w:rPr>
            </w:pPr>
            <w:r>
              <w:rPr>
                <w:rFonts w:ascii="宋体" w:hAnsi="宋体" w:eastAsia="宋体" w:cs="Times New Roman"/>
                <w:color w:val="auto"/>
                <w:kern w:val="21"/>
              </w:rPr>
              <w:t>主管部门发布的数据</w:t>
            </w:r>
            <w:r>
              <w:rPr>
                <w:rFonts w:ascii="宋体" w:hAnsi="宋体" w:eastAsia="宋体" w:cs="Times New Roman"/>
                <w:color w:val="auto"/>
                <w:kern w:val="21"/>
              </w:rPr>
              <w:sym w:font="Wingdings" w:char="00FE"/>
            </w:r>
          </w:p>
        </w:tc>
        <w:tc>
          <w:tcPr>
            <w:tcW w:w="1028" w:type="pct"/>
            <w:gridSpan w:val="5"/>
            <w:shd w:val="clear" w:color="auto" w:fill="auto"/>
            <w:vAlign w:val="center"/>
          </w:tcPr>
          <w:p w14:paraId="2CCF32DB">
            <w:pPr>
              <w:jc w:val="center"/>
              <w:rPr>
                <w:rFonts w:ascii="宋体" w:hAnsi="宋体" w:eastAsia="宋体" w:cs="Times New Roman"/>
                <w:color w:val="auto"/>
                <w:kern w:val="21"/>
              </w:rPr>
            </w:pPr>
            <w:r>
              <w:rPr>
                <w:rFonts w:ascii="宋体" w:hAnsi="宋体" w:eastAsia="宋体" w:cs="Times New Roman"/>
                <w:color w:val="auto"/>
                <w:kern w:val="21"/>
              </w:rPr>
              <w:t>现状补充监测</w:t>
            </w:r>
            <w:r>
              <w:rPr>
                <w:rFonts w:ascii="宋体" w:hAnsi="宋体" w:eastAsia="宋体" w:cs="Times New Roman"/>
                <w:color w:val="auto"/>
                <w:kern w:val="21"/>
              </w:rPr>
              <w:sym w:font="Wingdings" w:char="00FE"/>
            </w:r>
          </w:p>
        </w:tc>
      </w:tr>
      <w:tr w14:paraId="42E3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32B109A3">
            <w:pPr>
              <w:jc w:val="center"/>
              <w:rPr>
                <w:rFonts w:ascii="宋体" w:hAnsi="宋体" w:eastAsia="宋体" w:cs="Times New Roman"/>
                <w:color w:val="auto"/>
                <w:kern w:val="21"/>
              </w:rPr>
            </w:pPr>
          </w:p>
        </w:tc>
        <w:tc>
          <w:tcPr>
            <w:tcW w:w="871" w:type="pct"/>
            <w:shd w:val="clear" w:color="auto" w:fill="auto"/>
            <w:vAlign w:val="center"/>
          </w:tcPr>
          <w:p w14:paraId="4CCB90C6">
            <w:pPr>
              <w:jc w:val="center"/>
              <w:rPr>
                <w:rFonts w:ascii="宋体" w:hAnsi="宋体" w:eastAsia="宋体" w:cs="Times New Roman"/>
                <w:color w:val="auto"/>
                <w:kern w:val="21"/>
              </w:rPr>
            </w:pPr>
            <w:r>
              <w:rPr>
                <w:rFonts w:ascii="宋体" w:hAnsi="宋体" w:eastAsia="宋体" w:cs="Times New Roman"/>
                <w:color w:val="auto"/>
                <w:kern w:val="21"/>
              </w:rPr>
              <w:t>现状评价</w:t>
            </w:r>
          </w:p>
        </w:tc>
        <w:tc>
          <w:tcPr>
            <w:tcW w:w="2036" w:type="pct"/>
            <w:gridSpan w:val="10"/>
            <w:shd w:val="clear" w:color="auto" w:fill="auto"/>
            <w:vAlign w:val="center"/>
          </w:tcPr>
          <w:p w14:paraId="387DDE9C">
            <w:pPr>
              <w:jc w:val="center"/>
              <w:rPr>
                <w:rFonts w:ascii="宋体" w:hAnsi="宋体" w:eastAsia="宋体" w:cs="Times New Roman"/>
                <w:color w:val="auto"/>
                <w:kern w:val="21"/>
              </w:rPr>
            </w:pPr>
            <w:r>
              <w:rPr>
                <w:rFonts w:ascii="宋体" w:hAnsi="宋体" w:eastAsia="宋体" w:cs="Times New Roman"/>
                <w:color w:val="auto"/>
                <w:kern w:val="21"/>
              </w:rPr>
              <w:t>达标区</w:t>
            </w:r>
            <w:r>
              <w:rPr>
                <w:rFonts w:ascii="宋体" w:hAnsi="宋体" w:eastAsia="宋体" w:cs="Times New Roman"/>
                <w:color w:val="auto"/>
                <w:kern w:val="21"/>
              </w:rPr>
              <w:sym w:font="Wingdings" w:char="00FE"/>
            </w:r>
          </w:p>
        </w:tc>
        <w:tc>
          <w:tcPr>
            <w:tcW w:w="1486" w:type="pct"/>
            <w:gridSpan w:val="8"/>
            <w:shd w:val="clear" w:color="auto" w:fill="auto"/>
            <w:vAlign w:val="center"/>
          </w:tcPr>
          <w:p w14:paraId="4FD1E8FA">
            <w:pPr>
              <w:jc w:val="center"/>
              <w:rPr>
                <w:rFonts w:ascii="宋体" w:hAnsi="宋体" w:eastAsia="宋体" w:cs="Times New Roman"/>
                <w:color w:val="auto"/>
                <w:kern w:val="21"/>
              </w:rPr>
            </w:pPr>
            <w:r>
              <w:rPr>
                <w:rFonts w:ascii="宋体" w:hAnsi="宋体" w:eastAsia="宋体" w:cs="Times New Roman"/>
                <w:color w:val="auto"/>
                <w:kern w:val="21"/>
              </w:rPr>
              <w:t>不达标区</w:t>
            </w:r>
            <w:r>
              <w:rPr>
                <w:rFonts w:ascii="宋体" w:hAnsi="宋体" w:eastAsia="宋体" w:cs="Times New Roman"/>
                <w:color w:val="auto"/>
                <w:kern w:val="21"/>
              </w:rPr>
              <w:sym w:font="Wingdings" w:char="00A8"/>
            </w:r>
          </w:p>
        </w:tc>
      </w:tr>
      <w:tr w14:paraId="0E72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shd w:val="clear" w:color="auto" w:fill="auto"/>
            <w:vAlign w:val="center"/>
          </w:tcPr>
          <w:p w14:paraId="32304860">
            <w:pPr>
              <w:jc w:val="center"/>
              <w:rPr>
                <w:rFonts w:ascii="宋体" w:hAnsi="宋体" w:eastAsia="宋体" w:cs="Times New Roman"/>
                <w:color w:val="auto"/>
                <w:kern w:val="21"/>
              </w:rPr>
            </w:pPr>
            <w:r>
              <w:rPr>
                <w:rFonts w:ascii="宋体" w:hAnsi="宋体" w:eastAsia="宋体" w:cs="Times New Roman"/>
                <w:color w:val="auto"/>
                <w:kern w:val="21"/>
              </w:rPr>
              <w:t>污染源</w:t>
            </w:r>
          </w:p>
          <w:p w14:paraId="01555D13">
            <w:pPr>
              <w:jc w:val="center"/>
              <w:rPr>
                <w:rFonts w:ascii="宋体" w:hAnsi="宋体" w:eastAsia="宋体" w:cs="Times New Roman"/>
                <w:color w:val="auto"/>
                <w:kern w:val="21"/>
              </w:rPr>
            </w:pPr>
            <w:r>
              <w:rPr>
                <w:rFonts w:ascii="宋体" w:hAnsi="宋体" w:eastAsia="宋体" w:cs="Times New Roman"/>
                <w:color w:val="auto"/>
                <w:kern w:val="21"/>
              </w:rPr>
              <w:t>调查</w:t>
            </w:r>
          </w:p>
        </w:tc>
        <w:tc>
          <w:tcPr>
            <w:tcW w:w="871" w:type="pct"/>
            <w:shd w:val="clear" w:color="auto" w:fill="auto"/>
            <w:vAlign w:val="center"/>
          </w:tcPr>
          <w:p w14:paraId="42E05F58">
            <w:pPr>
              <w:jc w:val="center"/>
              <w:rPr>
                <w:rFonts w:ascii="宋体" w:hAnsi="宋体" w:eastAsia="宋体" w:cs="Times New Roman"/>
                <w:color w:val="auto"/>
                <w:kern w:val="21"/>
              </w:rPr>
            </w:pPr>
            <w:r>
              <w:rPr>
                <w:rFonts w:ascii="宋体" w:hAnsi="宋体" w:eastAsia="宋体" w:cs="Times New Roman"/>
                <w:color w:val="auto"/>
                <w:kern w:val="21"/>
              </w:rPr>
              <w:t>调查内容</w:t>
            </w:r>
          </w:p>
        </w:tc>
        <w:tc>
          <w:tcPr>
            <w:tcW w:w="1411" w:type="pct"/>
            <w:gridSpan w:val="6"/>
            <w:shd w:val="clear" w:color="auto" w:fill="auto"/>
            <w:vAlign w:val="center"/>
          </w:tcPr>
          <w:p w14:paraId="34B68AB6">
            <w:pPr>
              <w:jc w:val="center"/>
              <w:rPr>
                <w:rFonts w:ascii="宋体" w:hAnsi="宋体" w:eastAsia="宋体" w:cs="Times New Roman"/>
                <w:color w:val="auto"/>
                <w:kern w:val="21"/>
              </w:rPr>
            </w:pPr>
            <w:r>
              <w:rPr>
                <w:rFonts w:ascii="宋体" w:hAnsi="宋体" w:eastAsia="宋体" w:cs="Times New Roman"/>
                <w:color w:val="auto"/>
                <w:kern w:val="21"/>
              </w:rPr>
              <w:t>建设项目正常排放源</w:t>
            </w:r>
            <w:r>
              <w:rPr>
                <w:rFonts w:ascii="宋体" w:hAnsi="宋体" w:eastAsia="宋体" w:cs="Times New Roman"/>
                <w:color w:val="auto"/>
                <w:kern w:val="21"/>
              </w:rPr>
              <w:sym w:font="Wingdings" w:char="00FE"/>
            </w:r>
          </w:p>
          <w:p w14:paraId="59F441F4">
            <w:pPr>
              <w:jc w:val="center"/>
              <w:rPr>
                <w:rFonts w:ascii="宋体" w:hAnsi="宋体" w:eastAsia="宋体" w:cs="Times New Roman"/>
                <w:color w:val="auto"/>
                <w:kern w:val="21"/>
              </w:rPr>
            </w:pPr>
            <w:r>
              <w:rPr>
                <w:rFonts w:ascii="宋体" w:hAnsi="宋体" w:eastAsia="宋体" w:cs="Times New Roman"/>
                <w:color w:val="auto"/>
                <w:kern w:val="21"/>
              </w:rPr>
              <w:t>建设项目非正常排放源</w:t>
            </w:r>
            <w:r>
              <w:rPr>
                <w:rFonts w:ascii="宋体" w:hAnsi="宋体" w:eastAsia="宋体" w:cs="Times New Roman"/>
                <w:color w:val="auto"/>
                <w:kern w:val="21"/>
              </w:rPr>
              <w:sym w:font="Wingdings" w:char="00FE"/>
            </w:r>
          </w:p>
          <w:p w14:paraId="0A9325AE">
            <w:pPr>
              <w:jc w:val="center"/>
              <w:rPr>
                <w:rFonts w:ascii="宋体" w:hAnsi="宋体" w:eastAsia="宋体" w:cs="Times New Roman"/>
                <w:color w:val="auto"/>
                <w:kern w:val="21"/>
              </w:rPr>
            </w:pPr>
            <w:r>
              <w:rPr>
                <w:rFonts w:ascii="宋体" w:hAnsi="宋体" w:eastAsia="宋体" w:cs="Times New Roman"/>
                <w:color w:val="auto"/>
                <w:kern w:val="21"/>
              </w:rPr>
              <w:t>现有污染源</w:t>
            </w:r>
            <w:r>
              <w:rPr>
                <w:rFonts w:ascii="宋体" w:hAnsi="宋体" w:eastAsia="宋体" w:cs="Times New Roman"/>
                <w:color w:val="auto"/>
                <w:kern w:val="21"/>
              </w:rPr>
              <w:sym w:font="Wingdings" w:char="00A8"/>
            </w:r>
          </w:p>
        </w:tc>
        <w:tc>
          <w:tcPr>
            <w:tcW w:w="626" w:type="pct"/>
            <w:gridSpan w:val="4"/>
            <w:shd w:val="clear" w:color="auto" w:fill="auto"/>
            <w:vAlign w:val="center"/>
          </w:tcPr>
          <w:p w14:paraId="4A19373D">
            <w:pPr>
              <w:jc w:val="center"/>
              <w:rPr>
                <w:rFonts w:ascii="宋体" w:hAnsi="宋体" w:eastAsia="宋体" w:cs="Times New Roman"/>
                <w:color w:val="auto"/>
                <w:kern w:val="21"/>
              </w:rPr>
            </w:pPr>
            <w:r>
              <w:rPr>
                <w:rFonts w:ascii="宋体" w:hAnsi="宋体" w:eastAsia="宋体" w:cs="Times New Roman"/>
                <w:color w:val="auto"/>
                <w:kern w:val="21"/>
              </w:rPr>
              <w:t>拟替代的污染源</w:t>
            </w:r>
            <w:r>
              <w:rPr>
                <w:rFonts w:ascii="宋体" w:hAnsi="宋体" w:eastAsia="宋体" w:cs="Times New Roman"/>
                <w:color w:val="auto"/>
                <w:kern w:val="21"/>
              </w:rPr>
              <w:sym w:font="Wingdings" w:char="00A8"/>
            </w:r>
          </w:p>
        </w:tc>
        <w:tc>
          <w:tcPr>
            <w:tcW w:w="772" w:type="pct"/>
            <w:gridSpan w:val="6"/>
            <w:shd w:val="clear" w:color="auto" w:fill="auto"/>
            <w:vAlign w:val="center"/>
          </w:tcPr>
          <w:p w14:paraId="4468ED63">
            <w:pPr>
              <w:jc w:val="center"/>
              <w:rPr>
                <w:rFonts w:ascii="宋体" w:hAnsi="宋体" w:eastAsia="宋体" w:cs="Times New Roman"/>
                <w:color w:val="auto"/>
                <w:kern w:val="21"/>
              </w:rPr>
            </w:pPr>
            <w:r>
              <w:rPr>
                <w:rFonts w:ascii="宋体" w:hAnsi="宋体" w:eastAsia="宋体" w:cs="Times New Roman"/>
                <w:color w:val="auto"/>
                <w:kern w:val="21"/>
              </w:rPr>
              <w:t>其他在建、拟建项目污染源</w:t>
            </w:r>
            <w:r>
              <w:rPr>
                <w:rFonts w:ascii="宋体" w:hAnsi="宋体" w:eastAsia="宋体" w:cs="Times New Roman"/>
                <w:color w:val="auto"/>
                <w:kern w:val="21"/>
              </w:rPr>
              <w:sym w:font="Wingdings" w:char="00A8"/>
            </w:r>
          </w:p>
        </w:tc>
        <w:tc>
          <w:tcPr>
            <w:tcW w:w="714" w:type="pct"/>
            <w:gridSpan w:val="2"/>
            <w:shd w:val="clear" w:color="auto" w:fill="auto"/>
            <w:vAlign w:val="center"/>
          </w:tcPr>
          <w:p w14:paraId="0867BAB9">
            <w:pPr>
              <w:jc w:val="center"/>
              <w:rPr>
                <w:rFonts w:ascii="宋体" w:hAnsi="宋体" w:eastAsia="宋体" w:cs="Times New Roman"/>
                <w:color w:val="auto"/>
                <w:kern w:val="21"/>
              </w:rPr>
            </w:pPr>
            <w:r>
              <w:rPr>
                <w:rFonts w:ascii="宋体" w:hAnsi="宋体" w:eastAsia="宋体" w:cs="Times New Roman"/>
                <w:color w:val="auto"/>
                <w:kern w:val="21"/>
              </w:rPr>
              <w:t>区域污染源</w:t>
            </w:r>
            <w:r>
              <w:rPr>
                <w:rFonts w:ascii="宋体" w:hAnsi="宋体" w:eastAsia="宋体" w:cs="Times New Roman"/>
                <w:color w:val="auto"/>
                <w:kern w:val="21"/>
              </w:rPr>
              <w:sym w:font="Wingdings" w:char="00FE"/>
            </w:r>
          </w:p>
        </w:tc>
      </w:tr>
      <w:tr w14:paraId="6B9F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shd w:val="clear" w:color="auto" w:fill="auto"/>
            <w:vAlign w:val="center"/>
          </w:tcPr>
          <w:p w14:paraId="6A8D892B">
            <w:pPr>
              <w:jc w:val="center"/>
              <w:rPr>
                <w:rFonts w:ascii="宋体" w:hAnsi="宋体" w:eastAsia="宋体" w:cs="Times New Roman"/>
                <w:color w:val="auto"/>
                <w:kern w:val="21"/>
              </w:rPr>
            </w:pPr>
            <w:r>
              <w:rPr>
                <w:rFonts w:ascii="宋体" w:hAnsi="宋体" w:eastAsia="宋体" w:cs="Times New Roman"/>
                <w:color w:val="auto"/>
                <w:kern w:val="21"/>
              </w:rPr>
              <w:t>大气环境影响预测与评价</w:t>
            </w:r>
          </w:p>
        </w:tc>
        <w:tc>
          <w:tcPr>
            <w:tcW w:w="871" w:type="pct"/>
            <w:shd w:val="clear" w:color="auto" w:fill="auto"/>
            <w:vAlign w:val="center"/>
          </w:tcPr>
          <w:p w14:paraId="52D43181">
            <w:pPr>
              <w:jc w:val="center"/>
              <w:rPr>
                <w:rFonts w:ascii="宋体" w:hAnsi="宋体" w:eastAsia="宋体" w:cs="Times New Roman"/>
                <w:color w:val="auto"/>
                <w:kern w:val="21"/>
              </w:rPr>
            </w:pPr>
            <w:r>
              <w:rPr>
                <w:rFonts w:ascii="宋体" w:hAnsi="宋体" w:eastAsia="宋体" w:cs="Times New Roman"/>
                <w:color w:val="auto"/>
                <w:kern w:val="21"/>
              </w:rPr>
              <w:t>预测模型</w:t>
            </w:r>
          </w:p>
        </w:tc>
        <w:tc>
          <w:tcPr>
            <w:tcW w:w="634" w:type="pct"/>
            <w:shd w:val="clear" w:color="auto" w:fill="auto"/>
            <w:vAlign w:val="center"/>
          </w:tcPr>
          <w:p w14:paraId="317BF782">
            <w:pPr>
              <w:jc w:val="center"/>
              <w:rPr>
                <w:rFonts w:ascii="宋体" w:hAnsi="宋体" w:eastAsia="宋体" w:cs="Times New Roman"/>
                <w:color w:val="auto"/>
                <w:kern w:val="21"/>
              </w:rPr>
            </w:pPr>
            <w:r>
              <w:rPr>
                <w:rFonts w:ascii="宋体" w:hAnsi="宋体" w:eastAsia="宋体" w:cs="Times New Roman"/>
                <w:color w:val="auto"/>
                <w:kern w:val="21"/>
              </w:rPr>
              <w:t>AERMOD</w:t>
            </w:r>
          </w:p>
          <w:p w14:paraId="7BD3014D">
            <w:pPr>
              <w:jc w:val="center"/>
              <w:rPr>
                <w:rFonts w:ascii="宋体" w:hAnsi="宋体" w:eastAsia="宋体" w:cs="Times New Roman"/>
                <w:color w:val="auto"/>
                <w:kern w:val="21"/>
              </w:rPr>
            </w:pPr>
            <w:r>
              <w:rPr>
                <w:rFonts w:ascii="宋体" w:hAnsi="宋体" w:eastAsia="宋体" w:cs="Times New Roman"/>
                <w:color w:val="auto"/>
                <w:kern w:val="21"/>
              </w:rPr>
              <w:sym w:font="Wingdings" w:char="00FE"/>
            </w:r>
          </w:p>
        </w:tc>
        <w:tc>
          <w:tcPr>
            <w:tcW w:w="455" w:type="pct"/>
            <w:gridSpan w:val="3"/>
            <w:shd w:val="clear" w:color="auto" w:fill="auto"/>
            <w:vAlign w:val="center"/>
          </w:tcPr>
          <w:p w14:paraId="68E5E753">
            <w:pPr>
              <w:jc w:val="center"/>
              <w:rPr>
                <w:rFonts w:ascii="宋体" w:hAnsi="宋体" w:eastAsia="宋体" w:cs="Times New Roman"/>
                <w:color w:val="auto"/>
                <w:kern w:val="21"/>
              </w:rPr>
            </w:pPr>
            <w:r>
              <w:rPr>
                <w:rFonts w:ascii="宋体" w:hAnsi="宋体" w:eastAsia="宋体" w:cs="Times New Roman"/>
                <w:color w:val="auto"/>
                <w:kern w:val="21"/>
              </w:rPr>
              <w:t>ADMS</w:t>
            </w:r>
          </w:p>
          <w:p w14:paraId="56E83AD6">
            <w:pPr>
              <w:jc w:val="center"/>
              <w:rPr>
                <w:rFonts w:ascii="宋体" w:hAnsi="宋体" w:eastAsia="宋体" w:cs="Times New Roman"/>
                <w:color w:val="auto"/>
                <w:kern w:val="21"/>
              </w:rPr>
            </w:pPr>
            <w:r>
              <w:rPr>
                <w:rFonts w:ascii="宋体" w:hAnsi="宋体" w:eastAsia="宋体" w:cs="Times New Roman"/>
                <w:color w:val="auto"/>
                <w:kern w:val="21"/>
              </w:rPr>
              <w:sym w:font="Wingdings" w:char="00A8"/>
            </w:r>
          </w:p>
        </w:tc>
        <w:tc>
          <w:tcPr>
            <w:tcW w:w="827" w:type="pct"/>
            <w:gridSpan w:val="4"/>
            <w:shd w:val="clear" w:color="auto" w:fill="auto"/>
            <w:vAlign w:val="center"/>
          </w:tcPr>
          <w:p w14:paraId="2625FBDC">
            <w:pPr>
              <w:jc w:val="center"/>
              <w:rPr>
                <w:rFonts w:ascii="宋体" w:hAnsi="宋体" w:eastAsia="宋体" w:cs="Times New Roman"/>
                <w:color w:val="auto"/>
                <w:kern w:val="21"/>
              </w:rPr>
            </w:pPr>
            <w:r>
              <w:rPr>
                <w:rFonts w:ascii="宋体" w:hAnsi="宋体" w:eastAsia="宋体" w:cs="Times New Roman"/>
                <w:color w:val="auto"/>
                <w:kern w:val="21"/>
              </w:rPr>
              <w:t>AUSTAL2000</w:t>
            </w:r>
          </w:p>
          <w:p w14:paraId="1A3BF1C7">
            <w:pPr>
              <w:jc w:val="center"/>
              <w:rPr>
                <w:rFonts w:ascii="宋体" w:hAnsi="宋体" w:eastAsia="宋体" w:cs="Times New Roman"/>
                <w:color w:val="auto"/>
                <w:kern w:val="21"/>
              </w:rPr>
            </w:pPr>
            <w:r>
              <w:rPr>
                <w:rFonts w:ascii="宋体" w:hAnsi="宋体" w:eastAsia="宋体" w:cs="Times New Roman"/>
                <w:color w:val="auto"/>
                <w:kern w:val="21"/>
              </w:rPr>
              <w:sym w:font="Wingdings" w:char="00A8"/>
            </w:r>
          </w:p>
        </w:tc>
        <w:tc>
          <w:tcPr>
            <w:tcW w:w="537" w:type="pct"/>
            <w:gridSpan w:val="4"/>
            <w:shd w:val="clear" w:color="auto" w:fill="auto"/>
            <w:vAlign w:val="center"/>
          </w:tcPr>
          <w:p w14:paraId="08B72461">
            <w:pPr>
              <w:jc w:val="center"/>
              <w:rPr>
                <w:rFonts w:ascii="宋体" w:hAnsi="宋体" w:eastAsia="宋体" w:cs="Times New Roman"/>
                <w:color w:val="auto"/>
                <w:kern w:val="21"/>
              </w:rPr>
            </w:pPr>
            <w:r>
              <w:rPr>
                <w:rFonts w:ascii="宋体" w:hAnsi="宋体" w:eastAsia="宋体" w:cs="Times New Roman"/>
                <w:color w:val="auto"/>
                <w:kern w:val="21"/>
              </w:rPr>
              <w:t>EDMS</w:t>
            </w:r>
          </w:p>
          <w:p w14:paraId="74FB62D8">
            <w:pPr>
              <w:jc w:val="center"/>
              <w:rPr>
                <w:rFonts w:ascii="宋体" w:hAnsi="宋体" w:eastAsia="宋体" w:cs="Times New Roman"/>
                <w:color w:val="auto"/>
                <w:kern w:val="21"/>
              </w:rPr>
            </w:pPr>
            <w:r>
              <w:rPr>
                <w:rFonts w:ascii="宋体" w:hAnsi="宋体" w:eastAsia="宋体" w:cs="Times New Roman"/>
                <w:color w:val="auto"/>
                <w:kern w:val="21"/>
              </w:rPr>
              <w:sym w:font="Wingdings" w:char="00A8"/>
            </w:r>
          </w:p>
        </w:tc>
        <w:tc>
          <w:tcPr>
            <w:tcW w:w="711" w:type="pct"/>
            <w:gridSpan w:val="5"/>
            <w:shd w:val="clear" w:color="auto" w:fill="auto"/>
            <w:vAlign w:val="center"/>
          </w:tcPr>
          <w:p w14:paraId="6B0BEEDA">
            <w:pPr>
              <w:jc w:val="center"/>
              <w:rPr>
                <w:rFonts w:ascii="宋体" w:hAnsi="宋体" w:eastAsia="宋体" w:cs="Times New Roman"/>
                <w:color w:val="auto"/>
                <w:kern w:val="21"/>
              </w:rPr>
            </w:pPr>
            <w:r>
              <w:rPr>
                <w:rFonts w:ascii="宋体" w:hAnsi="宋体" w:eastAsia="宋体" w:cs="Times New Roman"/>
                <w:color w:val="auto"/>
                <w:kern w:val="21"/>
              </w:rPr>
              <w:t>CALPUFF</w:t>
            </w:r>
          </w:p>
          <w:p w14:paraId="43D72119">
            <w:pPr>
              <w:jc w:val="center"/>
              <w:rPr>
                <w:rFonts w:ascii="宋体" w:hAnsi="宋体" w:eastAsia="宋体" w:cs="Times New Roman"/>
                <w:color w:val="auto"/>
                <w:kern w:val="21"/>
              </w:rPr>
            </w:pPr>
            <w:r>
              <w:rPr>
                <w:rFonts w:ascii="宋体" w:hAnsi="宋体" w:eastAsia="宋体" w:cs="Times New Roman"/>
                <w:color w:val="auto"/>
                <w:kern w:val="21"/>
              </w:rPr>
              <w:sym w:font="Wingdings" w:char="00A8"/>
            </w:r>
          </w:p>
        </w:tc>
        <w:tc>
          <w:tcPr>
            <w:tcW w:w="358" w:type="pct"/>
            <w:shd w:val="clear" w:color="auto" w:fill="auto"/>
            <w:vAlign w:val="center"/>
          </w:tcPr>
          <w:p w14:paraId="2F1D9852">
            <w:pPr>
              <w:jc w:val="center"/>
              <w:rPr>
                <w:rFonts w:ascii="宋体" w:hAnsi="宋体" w:eastAsia="宋体" w:cs="Times New Roman"/>
                <w:color w:val="auto"/>
                <w:kern w:val="21"/>
              </w:rPr>
            </w:pPr>
            <w:r>
              <w:rPr>
                <w:rFonts w:ascii="宋体" w:hAnsi="宋体" w:eastAsia="宋体" w:cs="Times New Roman"/>
                <w:color w:val="auto"/>
                <w:kern w:val="21"/>
              </w:rPr>
              <w:t>其他</w:t>
            </w:r>
          </w:p>
          <w:p w14:paraId="1D694C45">
            <w:pPr>
              <w:jc w:val="center"/>
              <w:rPr>
                <w:rFonts w:ascii="宋体" w:hAnsi="宋体" w:eastAsia="宋体" w:cs="Times New Roman"/>
                <w:color w:val="auto"/>
                <w:kern w:val="21"/>
              </w:rPr>
            </w:pPr>
            <w:r>
              <w:rPr>
                <w:rFonts w:ascii="宋体" w:hAnsi="宋体" w:eastAsia="宋体" w:cs="Times New Roman"/>
                <w:color w:val="auto"/>
                <w:kern w:val="21"/>
              </w:rPr>
              <w:sym w:font="Wingdings" w:char="00A8"/>
            </w:r>
          </w:p>
        </w:tc>
      </w:tr>
      <w:tr w14:paraId="44CD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69EF8FB2">
            <w:pPr>
              <w:jc w:val="center"/>
              <w:rPr>
                <w:rFonts w:ascii="宋体" w:hAnsi="宋体" w:eastAsia="宋体" w:cs="Times New Roman"/>
                <w:color w:val="auto"/>
                <w:kern w:val="21"/>
              </w:rPr>
            </w:pPr>
          </w:p>
        </w:tc>
        <w:tc>
          <w:tcPr>
            <w:tcW w:w="871" w:type="pct"/>
            <w:shd w:val="clear" w:color="auto" w:fill="auto"/>
            <w:vAlign w:val="center"/>
          </w:tcPr>
          <w:p w14:paraId="2668942E">
            <w:pPr>
              <w:jc w:val="center"/>
              <w:rPr>
                <w:rFonts w:ascii="宋体" w:hAnsi="宋体" w:eastAsia="宋体" w:cs="Times New Roman"/>
                <w:color w:val="auto"/>
                <w:kern w:val="21"/>
              </w:rPr>
            </w:pPr>
            <w:r>
              <w:rPr>
                <w:rFonts w:ascii="宋体" w:hAnsi="宋体" w:eastAsia="宋体" w:cs="Times New Roman"/>
                <w:color w:val="auto"/>
                <w:kern w:val="21"/>
              </w:rPr>
              <w:t>预测范围</w:t>
            </w:r>
          </w:p>
        </w:tc>
        <w:tc>
          <w:tcPr>
            <w:tcW w:w="1196" w:type="pct"/>
            <w:gridSpan w:val="5"/>
            <w:shd w:val="clear" w:color="auto" w:fill="auto"/>
            <w:vAlign w:val="center"/>
          </w:tcPr>
          <w:p w14:paraId="15096D80">
            <w:pPr>
              <w:jc w:val="center"/>
              <w:rPr>
                <w:rFonts w:ascii="宋体" w:hAnsi="宋体" w:eastAsia="宋体" w:cs="Times New Roman"/>
                <w:color w:val="auto"/>
                <w:kern w:val="21"/>
              </w:rPr>
            </w:pPr>
            <w:r>
              <w:rPr>
                <w:rFonts w:ascii="宋体" w:hAnsi="宋体" w:eastAsia="宋体" w:cs="Times New Roman"/>
                <w:color w:val="auto"/>
                <w:kern w:val="21"/>
              </w:rPr>
              <w:t>边长≧50km</w:t>
            </w:r>
            <w:r>
              <w:rPr>
                <w:rFonts w:ascii="宋体" w:hAnsi="宋体" w:eastAsia="宋体" w:cs="Times New Roman"/>
                <w:color w:val="auto"/>
                <w:kern w:val="21"/>
              </w:rPr>
              <w:sym w:font="Wingdings" w:char="00A8"/>
            </w:r>
          </w:p>
        </w:tc>
        <w:tc>
          <w:tcPr>
            <w:tcW w:w="1257" w:type="pct"/>
            <w:gridSpan w:val="7"/>
            <w:shd w:val="clear" w:color="auto" w:fill="auto"/>
            <w:vAlign w:val="center"/>
          </w:tcPr>
          <w:p w14:paraId="25BA713D">
            <w:pPr>
              <w:jc w:val="center"/>
              <w:rPr>
                <w:rFonts w:ascii="宋体" w:hAnsi="宋体" w:eastAsia="宋体" w:cs="Times New Roman"/>
                <w:color w:val="auto"/>
                <w:kern w:val="21"/>
              </w:rPr>
            </w:pPr>
            <w:r>
              <w:rPr>
                <w:rFonts w:ascii="宋体" w:hAnsi="宋体" w:eastAsia="宋体" w:cs="Times New Roman"/>
                <w:color w:val="auto"/>
                <w:kern w:val="21"/>
              </w:rPr>
              <w:t>边长5～50km</w:t>
            </w:r>
            <w:r>
              <w:rPr>
                <w:rFonts w:ascii="宋体" w:hAnsi="宋体" w:eastAsia="宋体" w:cs="Times New Roman"/>
                <w:color w:val="auto"/>
                <w:kern w:val="21"/>
              </w:rPr>
              <w:sym w:font="Wingdings" w:char="00FE"/>
            </w:r>
          </w:p>
        </w:tc>
        <w:tc>
          <w:tcPr>
            <w:tcW w:w="1069" w:type="pct"/>
            <w:gridSpan w:val="6"/>
            <w:shd w:val="clear" w:color="auto" w:fill="auto"/>
            <w:vAlign w:val="center"/>
          </w:tcPr>
          <w:p w14:paraId="7C96EB4D">
            <w:pPr>
              <w:jc w:val="center"/>
              <w:rPr>
                <w:rFonts w:ascii="宋体" w:hAnsi="宋体" w:eastAsia="宋体" w:cs="Times New Roman"/>
                <w:color w:val="auto"/>
                <w:kern w:val="21"/>
              </w:rPr>
            </w:pPr>
            <w:r>
              <w:rPr>
                <w:rFonts w:ascii="宋体" w:hAnsi="宋体" w:eastAsia="宋体" w:cs="Times New Roman"/>
                <w:color w:val="auto"/>
                <w:kern w:val="21"/>
              </w:rPr>
              <w:t>边长&lt;5km</w:t>
            </w:r>
            <w:r>
              <w:rPr>
                <w:rFonts w:ascii="宋体" w:hAnsi="宋体" w:eastAsia="宋体" w:cs="Times New Roman"/>
                <w:color w:val="auto"/>
                <w:kern w:val="21"/>
              </w:rPr>
              <w:sym w:font="Wingdings" w:char="00A8"/>
            </w:r>
          </w:p>
        </w:tc>
      </w:tr>
      <w:tr w14:paraId="7038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2A323833">
            <w:pPr>
              <w:jc w:val="center"/>
              <w:rPr>
                <w:rFonts w:ascii="宋体" w:hAnsi="宋体" w:eastAsia="宋体" w:cs="Times New Roman"/>
                <w:color w:val="auto"/>
                <w:kern w:val="21"/>
              </w:rPr>
            </w:pPr>
          </w:p>
        </w:tc>
        <w:tc>
          <w:tcPr>
            <w:tcW w:w="871" w:type="pct"/>
            <w:shd w:val="clear" w:color="auto" w:fill="auto"/>
            <w:vAlign w:val="center"/>
          </w:tcPr>
          <w:p w14:paraId="63A2CCB3">
            <w:pPr>
              <w:jc w:val="center"/>
              <w:rPr>
                <w:rFonts w:ascii="宋体" w:hAnsi="宋体" w:eastAsia="宋体" w:cs="Times New Roman"/>
                <w:color w:val="auto"/>
                <w:kern w:val="21"/>
              </w:rPr>
            </w:pPr>
            <w:r>
              <w:rPr>
                <w:rFonts w:ascii="宋体" w:hAnsi="宋体" w:eastAsia="宋体" w:cs="Times New Roman"/>
                <w:color w:val="auto"/>
                <w:kern w:val="21"/>
              </w:rPr>
              <w:t>预测因子</w:t>
            </w:r>
          </w:p>
        </w:tc>
        <w:tc>
          <w:tcPr>
            <w:tcW w:w="1671" w:type="pct"/>
            <w:gridSpan w:val="7"/>
            <w:shd w:val="clear" w:color="auto" w:fill="auto"/>
            <w:vAlign w:val="center"/>
          </w:tcPr>
          <w:p w14:paraId="7793D680">
            <w:pPr>
              <w:jc w:val="center"/>
              <w:rPr>
                <w:rFonts w:ascii="宋体" w:hAnsi="宋体" w:eastAsia="宋体" w:cs="Times New Roman"/>
                <w:color w:val="auto"/>
                <w:kern w:val="21"/>
              </w:rPr>
            </w:pPr>
            <w:r>
              <w:rPr>
                <w:rFonts w:ascii="宋体" w:hAnsi="宋体" w:eastAsia="宋体" w:cs="Times New Roman"/>
                <w:color w:val="auto"/>
                <w:kern w:val="21"/>
              </w:rPr>
              <w:t>预测因子（NMHC、PM</w:t>
            </w:r>
            <w:r>
              <w:rPr>
                <w:rFonts w:ascii="宋体" w:hAnsi="宋体" w:eastAsia="宋体" w:cs="Times New Roman"/>
                <w:color w:val="auto"/>
                <w:kern w:val="21"/>
                <w:vertAlign w:val="subscript"/>
              </w:rPr>
              <w:t>10</w:t>
            </w:r>
            <w:r>
              <w:rPr>
                <w:rFonts w:ascii="宋体" w:hAnsi="宋体" w:eastAsia="宋体" w:cs="Times New Roman"/>
                <w:color w:val="auto"/>
                <w:kern w:val="21"/>
              </w:rPr>
              <w:t>、NO</w:t>
            </w:r>
            <w:r>
              <w:rPr>
                <w:rFonts w:ascii="宋体" w:hAnsi="宋体" w:eastAsia="宋体" w:cs="Times New Roman"/>
                <w:color w:val="auto"/>
                <w:kern w:val="21"/>
                <w:vertAlign w:val="subscript"/>
              </w:rPr>
              <w:t>X</w:t>
            </w:r>
            <w:r>
              <w:rPr>
                <w:rFonts w:ascii="宋体" w:hAnsi="宋体" w:eastAsia="宋体" w:cs="Times New Roman"/>
                <w:color w:val="auto"/>
                <w:kern w:val="21"/>
              </w:rPr>
              <w:t>、SO</w:t>
            </w:r>
            <w:r>
              <w:rPr>
                <w:rFonts w:ascii="宋体" w:hAnsi="宋体" w:eastAsia="宋体" w:cs="Times New Roman"/>
                <w:color w:val="auto"/>
                <w:kern w:val="21"/>
                <w:vertAlign w:val="subscript"/>
              </w:rPr>
              <w:t>2、</w:t>
            </w:r>
            <w:r>
              <w:rPr>
                <w:rFonts w:ascii="宋体" w:hAnsi="宋体" w:eastAsia="宋体" w:cs="Times New Roman"/>
                <w:color w:val="auto"/>
                <w:kern w:val="21"/>
              </w:rPr>
              <w:t>）</w:t>
            </w:r>
          </w:p>
        </w:tc>
        <w:tc>
          <w:tcPr>
            <w:tcW w:w="1851" w:type="pct"/>
            <w:gridSpan w:val="11"/>
            <w:shd w:val="clear" w:color="auto" w:fill="auto"/>
            <w:vAlign w:val="center"/>
          </w:tcPr>
          <w:p w14:paraId="7D98E6C8">
            <w:pPr>
              <w:jc w:val="center"/>
              <w:rPr>
                <w:rFonts w:ascii="宋体" w:hAnsi="宋体" w:eastAsia="宋体" w:cs="Times New Roman"/>
                <w:color w:val="auto"/>
                <w:kern w:val="21"/>
              </w:rPr>
            </w:pPr>
            <w:r>
              <w:rPr>
                <w:rFonts w:ascii="宋体" w:hAnsi="宋体" w:eastAsia="宋体" w:cs="Times New Roman"/>
                <w:color w:val="auto"/>
                <w:kern w:val="21"/>
              </w:rPr>
              <w:t>包括二次PM</w:t>
            </w:r>
            <w:r>
              <w:rPr>
                <w:rFonts w:ascii="宋体" w:hAnsi="宋体" w:eastAsia="宋体" w:cs="Times New Roman"/>
                <w:color w:val="auto"/>
                <w:kern w:val="21"/>
                <w:vertAlign w:val="subscript"/>
              </w:rPr>
              <w:t>2.5</w:t>
            </w:r>
            <w:r>
              <w:rPr>
                <w:rFonts w:ascii="宋体" w:hAnsi="宋体" w:eastAsia="宋体" w:cs="Times New Roman"/>
                <w:color w:val="auto"/>
                <w:kern w:val="21"/>
              </w:rPr>
              <w:sym w:font="Wingdings" w:char="00A8"/>
            </w:r>
          </w:p>
          <w:p w14:paraId="6DDA7147">
            <w:pPr>
              <w:jc w:val="center"/>
              <w:rPr>
                <w:rFonts w:ascii="宋体" w:hAnsi="宋体" w:eastAsia="宋体" w:cs="Times New Roman"/>
                <w:color w:val="auto"/>
                <w:kern w:val="21"/>
              </w:rPr>
            </w:pPr>
            <w:r>
              <w:rPr>
                <w:rFonts w:ascii="宋体" w:hAnsi="宋体" w:eastAsia="宋体" w:cs="Times New Roman"/>
                <w:color w:val="auto"/>
                <w:kern w:val="21"/>
              </w:rPr>
              <w:t>不包括二次PM</w:t>
            </w:r>
            <w:r>
              <w:rPr>
                <w:rFonts w:ascii="宋体" w:hAnsi="宋体" w:eastAsia="宋体" w:cs="Times New Roman"/>
                <w:color w:val="auto"/>
                <w:kern w:val="21"/>
                <w:vertAlign w:val="subscript"/>
              </w:rPr>
              <w:t>2.5</w:t>
            </w:r>
            <w:r>
              <w:rPr>
                <w:rFonts w:ascii="宋体" w:hAnsi="宋体" w:eastAsia="宋体" w:cs="Times New Roman"/>
                <w:color w:val="auto"/>
                <w:kern w:val="21"/>
              </w:rPr>
              <w:sym w:font="Wingdings" w:char="00FE"/>
            </w:r>
          </w:p>
        </w:tc>
      </w:tr>
      <w:tr w14:paraId="2F04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46E89B0B">
            <w:pPr>
              <w:jc w:val="center"/>
              <w:rPr>
                <w:rFonts w:ascii="宋体" w:hAnsi="宋体" w:eastAsia="宋体" w:cs="Times New Roman"/>
                <w:color w:val="auto"/>
                <w:kern w:val="21"/>
              </w:rPr>
            </w:pPr>
          </w:p>
        </w:tc>
        <w:tc>
          <w:tcPr>
            <w:tcW w:w="871" w:type="pct"/>
            <w:shd w:val="clear" w:color="auto" w:fill="auto"/>
            <w:vAlign w:val="center"/>
          </w:tcPr>
          <w:p w14:paraId="6490CD56">
            <w:pPr>
              <w:jc w:val="center"/>
              <w:rPr>
                <w:rFonts w:ascii="宋体" w:hAnsi="宋体" w:eastAsia="宋体" w:cs="Times New Roman"/>
                <w:color w:val="auto"/>
                <w:kern w:val="21"/>
              </w:rPr>
            </w:pPr>
            <w:r>
              <w:rPr>
                <w:rFonts w:ascii="宋体" w:hAnsi="宋体" w:eastAsia="宋体" w:cs="Times New Roman"/>
                <w:color w:val="auto"/>
                <w:kern w:val="21"/>
              </w:rPr>
              <w:t>正常排放短期浓度贡献值</w:t>
            </w:r>
          </w:p>
        </w:tc>
        <w:tc>
          <w:tcPr>
            <w:tcW w:w="1671" w:type="pct"/>
            <w:gridSpan w:val="7"/>
            <w:shd w:val="clear" w:color="auto" w:fill="auto"/>
            <w:vAlign w:val="center"/>
          </w:tcPr>
          <w:p w14:paraId="22223C01">
            <w:pPr>
              <w:jc w:val="center"/>
              <w:rPr>
                <w:rFonts w:ascii="宋体" w:hAnsi="宋体" w:eastAsia="宋体" w:cs="Times New Roman"/>
                <w:color w:val="auto"/>
                <w:kern w:val="21"/>
              </w:rPr>
            </w:pPr>
            <w:r>
              <w:rPr>
                <w:rFonts w:ascii="宋体" w:hAnsi="宋体" w:eastAsia="宋体" w:cs="Times New Roman"/>
                <w:color w:val="auto"/>
                <w:kern w:val="21"/>
              </w:rPr>
              <w:t>C</w:t>
            </w:r>
            <w:r>
              <w:rPr>
                <w:rFonts w:ascii="宋体" w:hAnsi="宋体" w:eastAsia="宋体" w:cs="Times New Roman"/>
                <w:color w:val="auto"/>
                <w:kern w:val="21"/>
                <w:vertAlign w:val="subscript"/>
              </w:rPr>
              <w:t>建设项目</w:t>
            </w:r>
            <w:r>
              <w:rPr>
                <w:rFonts w:ascii="宋体" w:hAnsi="宋体" w:eastAsia="宋体" w:cs="Times New Roman"/>
                <w:color w:val="auto"/>
                <w:kern w:val="21"/>
              </w:rPr>
              <w:t>最大占标率≦100%</w:t>
            </w:r>
            <w:r>
              <w:rPr>
                <w:rFonts w:ascii="宋体" w:hAnsi="宋体" w:eastAsia="宋体" w:cs="Times New Roman"/>
                <w:color w:val="auto"/>
                <w:kern w:val="21"/>
              </w:rPr>
              <w:sym w:font="Wingdings" w:char="00FE"/>
            </w:r>
          </w:p>
        </w:tc>
        <w:tc>
          <w:tcPr>
            <w:tcW w:w="1851" w:type="pct"/>
            <w:gridSpan w:val="11"/>
            <w:shd w:val="clear" w:color="auto" w:fill="auto"/>
            <w:vAlign w:val="center"/>
          </w:tcPr>
          <w:p w14:paraId="1664AB16">
            <w:pPr>
              <w:jc w:val="center"/>
              <w:rPr>
                <w:rFonts w:ascii="宋体" w:hAnsi="宋体" w:eastAsia="宋体" w:cs="Times New Roman"/>
                <w:color w:val="auto"/>
                <w:kern w:val="21"/>
              </w:rPr>
            </w:pPr>
            <w:r>
              <w:rPr>
                <w:rFonts w:ascii="宋体" w:hAnsi="宋体" w:eastAsia="宋体" w:cs="Times New Roman"/>
                <w:color w:val="auto"/>
                <w:kern w:val="21"/>
              </w:rPr>
              <w:t>C</w:t>
            </w:r>
            <w:r>
              <w:rPr>
                <w:rFonts w:ascii="宋体" w:hAnsi="宋体" w:eastAsia="宋体" w:cs="Times New Roman"/>
                <w:color w:val="auto"/>
                <w:kern w:val="21"/>
                <w:vertAlign w:val="subscript"/>
              </w:rPr>
              <w:t>建设项目</w:t>
            </w:r>
            <w:r>
              <w:rPr>
                <w:rFonts w:ascii="宋体" w:hAnsi="宋体" w:eastAsia="宋体" w:cs="Times New Roman"/>
                <w:color w:val="auto"/>
                <w:kern w:val="21"/>
              </w:rPr>
              <w:t>最大占标率&gt;100%</w:t>
            </w:r>
            <w:r>
              <w:rPr>
                <w:rFonts w:ascii="宋体" w:hAnsi="宋体" w:eastAsia="宋体" w:cs="Times New Roman"/>
                <w:color w:val="auto"/>
                <w:kern w:val="21"/>
              </w:rPr>
              <w:sym w:font="Wingdings" w:char="00A8"/>
            </w:r>
          </w:p>
        </w:tc>
      </w:tr>
      <w:tr w14:paraId="2028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4EF47207">
            <w:pPr>
              <w:jc w:val="center"/>
              <w:rPr>
                <w:rFonts w:ascii="宋体" w:hAnsi="宋体" w:eastAsia="宋体" w:cs="Times New Roman"/>
                <w:color w:val="auto"/>
                <w:kern w:val="21"/>
              </w:rPr>
            </w:pPr>
          </w:p>
        </w:tc>
        <w:tc>
          <w:tcPr>
            <w:tcW w:w="871" w:type="pct"/>
            <w:vMerge w:val="restart"/>
            <w:shd w:val="clear" w:color="auto" w:fill="auto"/>
            <w:vAlign w:val="center"/>
          </w:tcPr>
          <w:p w14:paraId="12C75EFF">
            <w:pPr>
              <w:jc w:val="center"/>
              <w:rPr>
                <w:rFonts w:ascii="宋体" w:hAnsi="宋体" w:eastAsia="宋体" w:cs="Times New Roman"/>
                <w:color w:val="auto"/>
                <w:kern w:val="21"/>
              </w:rPr>
            </w:pPr>
            <w:r>
              <w:rPr>
                <w:rFonts w:ascii="宋体" w:hAnsi="宋体" w:eastAsia="宋体" w:cs="Times New Roman"/>
                <w:color w:val="auto"/>
                <w:kern w:val="21"/>
              </w:rPr>
              <w:t>正常排放年均浓度贡献值</w:t>
            </w:r>
          </w:p>
        </w:tc>
        <w:tc>
          <w:tcPr>
            <w:tcW w:w="977" w:type="pct"/>
            <w:gridSpan w:val="3"/>
            <w:shd w:val="clear" w:color="auto" w:fill="auto"/>
            <w:vAlign w:val="center"/>
          </w:tcPr>
          <w:p w14:paraId="0594180F">
            <w:pPr>
              <w:jc w:val="center"/>
              <w:rPr>
                <w:rFonts w:ascii="宋体" w:hAnsi="宋体" w:eastAsia="宋体" w:cs="Times New Roman"/>
                <w:color w:val="auto"/>
                <w:kern w:val="21"/>
              </w:rPr>
            </w:pPr>
            <w:r>
              <w:rPr>
                <w:rFonts w:ascii="宋体" w:hAnsi="宋体" w:eastAsia="宋体" w:cs="Times New Roman"/>
                <w:color w:val="auto"/>
                <w:kern w:val="21"/>
              </w:rPr>
              <w:t>一类区</w:t>
            </w:r>
          </w:p>
        </w:tc>
        <w:tc>
          <w:tcPr>
            <w:tcW w:w="1381" w:type="pct"/>
            <w:gridSpan w:val="8"/>
            <w:shd w:val="clear" w:color="auto" w:fill="auto"/>
            <w:vAlign w:val="center"/>
          </w:tcPr>
          <w:p w14:paraId="1D6BAC80">
            <w:pPr>
              <w:jc w:val="center"/>
              <w:rPr>
                <w:rFonts w:ascii="宋体" w:hAnsi="宋体" w:eastAsia="宋体" w:cs="Times New Roman"/>
                <w:color w:val="auto"/>
                <w:kern w:val="21"/>
              </w:rPr>
            </w:pPr>
            <w:r>
              <w:rPr>
                <w:rFonts w:ascii="宋体" w:hAnsi="宋体" w:eastAsia="宋体" w:cs="Times New Roman"/>
                <w:color w:val="auto"/>
                <w:kern w:val="21"/>
              </w:rPr>
              <w:t>C</w:t>
            </w:r>
            <w:r>
              <w:rPr>
                <w:rFonts w:ascii="宋体" w:hAnsi="宋体" w:eastAsia="宋体" w:cs="Times New Roman"/>
                <w:color w:val="auto"/>
                <w:kern w:val="21"/>
                <w:vertAlign w:val="subscript"/>
              </w:rPr>
              <w:t>建设项目</w:t>
            </w:r>
            <w:r>
              <w:rPr>
                <w:rFonts w:ascii="宋体" w:hAnsi="宋体" w:eastAsia="宋体" w:cs="Times New Roman"/>
                <w:color w:val="auto"/>
                <w:kern w:val="21"/>
              </w:rPr>
              <w:t>最大占标率≦10%</w:t>
            </w:r>
            <w:r>
              <w:rPr>
                <w:rFonts w:ascii="宋体" w:hAnsi="宋体" w:eastAsia="宋体" w:cs="Times New Roman"/>
                <w:color w:val="auto"/>
                <w:kern w:val="21"/>
              </w:rPr>
              <w:sym w:font="Wingdings" w:char="00A8"/>
            </w:r>
          </w:p>
        </w:tc>
        <w:tc>
          <w:tcPr>
            <w:tcW w:w="1164" w:type="pct"/>
            <w:gridSpan w:val="7"/>
            <w:shd w:val="clear" w:color="auto" w:fill="auto"/>
            <w:vAlign w:val="center"/>
          </w:tcPr>
          <w:p w14:paraId="46C5750E">
            <w:pPr>
              <w:jc w:val="center"/>
              <w:rPr>
                <w:rFonts w:ascii="宋体" w:hAnsi="宋体" w:eastAsia="宋体" w:cs="Times New Roman"/>
                <w:color w:val="auto"/>
                <w:kern w:val="21"/>
              </w:rPr>
            </w:pPr>
            <w:r>
              <w:rPr>
                <w:rFonts w:ascii="宋体" w:hAnsi="宋体" w:eastAsia="宋体" w:cs="Times New Roman"/>
                <w:color w:val="auto"/>
                <w:kern w:val="21"/>
              </w:rPr>
              <w:t>C</w:t>
            </w:r>
            <w:r>
              <w:rPr>
                <w:rFonts w:ascii="宋体" w:hAnsi="宋体" w:eastAsia="宋体" w:cs="Times New Roman"/>
                <w:color w:val="auto"/>
                <w:kern w:val="21"/>
                <w:vertAlign w:val="subscript"/>
              </w:rPr>
              <w:t>建设项目</w:t>
            </w:r>
            <w:r>
              <w:rPr>
                <w:rFonts w:ascii="宋体" w:hAnsi="宋体" w:eastAsia="宋体" w:cs="Times New Roman"/>
                <w:color w:val="auto"/>
                <w:kern w:val="21"/>
              </w:rPr>
              <w:t>最大占标率＞10%</w:t>
            </w:r>
            <w:r>
              <w:rPr>
                <w:rFonts w:ascii="宋体" w:hAnsi="宋体" w:eastAsia="宋体" w:cs="Times New Roman"/>
                <w:color w:val="auto"/>
                <w:kern w:val="21"/>
              </w:rPr>
              <w:sym w:font="Wingdings" w:char="00A8"/>
            </w:r>
          </w:p>
        </w:tc>
      </w:tr>
      <w:tr w14:paraId="6602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496A4E7D">
            <w:pPr>
              <w:jc w:val="center"/>
              <w:rPr>
                <w:rFonts w:ascii="宋体" w:hAnsi="宋体" w:eastAsia="宋体" w:cs="Times New Roman"/>
                <w:color w:val="auto"/>
                <w:kern w:val="21"/>
              </w:rPr>
            </w:pPr>
          </w:p>
        </w:tc>
        <w:tc>
          <w:tcPr>
            <w:tcW w:w="871" w:type="pct"/>
            <w:vMerge w:val="continue"/>
            <w:shd w:val="clear" w:color="auto" w:fill="auto"/>
            <w:vAlign w:val="center"/>
          </w:tcPr>
          <w:p w14:paraId="0E51DFF0">
            <w:pPr>
              <w:jc w:val="center"/>
              <w:rPr>
                <w:rFonts w:ascii="宋体" w:hAnsi="宋体" w:eastAsia="宋体" w:cs="Times New Roman"/>
                <w:color w:val="auto"/>
                <w:kern w:val="21"/>
              </w:rPr>
            </w:pPr>
          </w:p>
        </w:tc>
        <w:tc>
          <w:tcPr>
            <w:tcW w:w="977" w:type="pct"/>
            <w:gridSpan w:val="3"/>
            <w:shd w:val="clear" w:color="auto" w:fill="auto"/>
            <w:vAlign w:val="center"/>
          </w:tcPr>
          <w:p w14:paraId="7608BB72">
            <w:pPr>
              <w:jc w:val="center"/>
              <w:rPr>
                <w:rFonts w:ascii="宋体" w:hAnsi="宋体" w:eastAsia="宋体" w:cs="Times New Roman"/>
                <w:color w:val="auto"/>
                <w:kern w:val="21"/>
              </w:rPr>
            </w:pPr>
            <w:r>
              <w:rPr>
                <w:rFonts w:ascii="宋体" w:hAnsi="宋体" w:eastAsia="宋体" w:cs="Times New Roman"/>
                <w:color w:val="auto"/>
                <w:kern w:val="21"/>
              </w:rPr>
              <w:t>二类区</w:t>
            </w:r>
          </w:p>
        </w:tc>
        <w:tc>
          <w:tcPr>
            <w:tcW w:w="1381" w:type="pct"/>
            <w:gridSpan w:val="8"/>
            <w:shd w:val="clear" w:color="auto" w:fill="auto"/>
            <w:vAlign w:val="center"/>
          </w:tcPr>
          <w:p w14:paraId="480C0CA2">
            <w:pPr>
              <w:jc w:val="center"/>
              <w:rPr>
                <w:rFonts w:ascii="宋体" w:hAnsi="宋体" w:eastAsia="宋体" w:cs="Times New Roman"/>
                <w:color w:val="auto"/>
                <w:kern w:val="21"/>
              </w:rPr>
            </w:pPr>
            <w:r>
              <w:rPr>
                <w:rFonts w:ascii="宋体" w:hAnsi="宋体" w:eastAsia="宋体" w:cs="Times New Roman"/>
                <w:color w:val="auto"/>
                <w:kern w:val="21"/>
              </w:rPr>
              <w:t>C</w:t>
            </w:r>
            <w:r>
              <w:rPr>
                <w:rFonts w:ascii="宋体" w:hAnsi="宋体" w:eastAsia="宋体" w:cs="Times New Roman"/>
                <w:color w:val="auto"/>
                <w:kern w:val="21"/>
                <w:vertAlign w:val="subscript"/>
              </w:rPr>
              <w:t>建设项目</w:t>
            </w:r>
            <w:r>
              <w:rPr>
                <w:rFonts w:ascii="宋体" w:hAnsi="宋体" w:eastAsia="宋体" w:cs="Times New Roman"/>
                <w:color w:val="auto"/>
                <w:kern w:val="21"/>
              </w:rPr>
              <w:t>最大占标率≦30%</w:t>
            </w:r>
            <w:r>
              <w:rPr>
                <w:rFonts w:ascii="宋体" w:hAnsi="宋体" w:eastAsia="宋体" w:cs="Times New Roman"/>
                <w:color w:val="auto"/>
                <w:kern w:val="21"/>
              </w:rPr>
              <w:sym w:font="Wingdings" w:char="00FE"/>
            </w:r>
          </w:p>
        </w:tc>
        <w:tc>
          <w:tcPr>
            <w:tcW w:w="1164" w:type="pct"/>
            <w:gridSpan w:val="7"/>
            <w:shd w:val="clear" w:color="auto" w:fill="auto"/>
            <w:vAlign w:val="center"/>
          </w:tcPr>
          <w:p w14:paraId="114D8563">
            <w:pPr>
              <w:jc w:val="center"/>
              <w:rPr>
                <w:rFonts w:ascii="宋体" w:hAnsi="宋体" w:eastAsia="宋体" w:cs="Times New Roman"/>
                <w:color w:val="auto"/>
                <w:kern w:val="21"/>
              </w:rPr>
            </w:pPr>
            <w:r>
              <w:rPr>
                <w:rFonts w:ascii="宋体" w:hAnsi="宋体" w:eastAsia="宋体" w:cs="Times New Roman"/>
                <w:color w:val="auto"/>
                <w:kern w:val="21"/>
              </w:rPr>
              <w:t>C</w:t>
            </w:r>
            <w:r>
              <w:rPr>
                <w:rFonts w:ascii="宋体" w:hAnsi="宋体" w:eastAsia="宋体" w:cs="Times New Roman"/>
                <w:color w:val="auto"/>
                <w:kern w:val="21"/>
                <w:vertAlign w:val="subscript"/>
              </w:rPr>
              <w:t>建设项目</w:t>
            </w:r>
            <w:r>
              <w:rPr>
                <w:rFonts w:ascii="宋体" w:hAnsi="宋体" w:eastAsia="宋体" w:cs="Times New Roman"/>
                <w:color w:val="auto"/>
                <w:kern w:val="21"/>
              </w:rPr>
              <w:t>最大占标率＞30%</w:t>
            </w:r>
            <w:r>
              <w:rPr>
                <w:rFonts w:ascii="宋体" w:hAnsi="宋体" w:eastAsia="宋体" w:cs="Times New Roman"/>
                <w:color w:val="auto"/>
                <w:kern w:val="21"/>
              </w:rPr>
              <w:sym w:font="Wingdings" w:char="00A8"/>
            </w:r>
          </w:p>
        </w:tc>
      </w:tr>
      <w:tr w14:paraId="6366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15B11C2B">
            <w:pPr>
              <w:jc w:val="center"/>
              <w:rPr>
                <w:rFonts w:ascii="宋体" w:hAnsi="宋体" w:eastAsia="宋体" w:cs="Times New Roman"/>
                <w:color w:val="auto"/>
                <w:kern w:val="21"/>
              </w:rPr>
            </w:pPr>
          </w:p>
        </w:tc>
        <w:tc>
          <w:tcPr>
            <w:tcW w:w="871" w:type="pct"/>
            <w:shd w:val="clear" w:color="auto" w:fill="auto"/>
            <w:vAlign w:val="center"/>
          </w:tcPr>
          <w:p w14:paraId="46924A94">
            <w:pPr>
              <w:jc w:val="center"/>
              <w:rPr>
                <w:rFonts w:ascii="宋体" w:hAnsi="宋体" w:eastAsia="宋体" w:cs="Times New Roman"/>
                <w:color w:val="auto"/>
                <w:kern w:val="21"/>
              </w:rPr>
            </w:pPr>
            <w:r>
              <w:rPr>
                <w:rFonts w:ascii="宋体" w:hAnsi="宋体" w:eastAsia="宋体" w:cs="Times New Roman"/>
                <w:color w:val="auto"/>
                <w:kern w:val="21"/>
              </w:rPr>
              <w:t>非正常排放1h浓度贡献值</w:t>
            </w:r>
          </w:p>
        </w:tc>
        <w:tc>
          <w:tcPr>
            <w:tcW w:w="1196" w:type="pct"/>
            <w:gridSpan w:val="5"/>
            <w:shd w:val="clear" w:color="auto" w:fill="auto"/>
            <w:vAlign w:val="center"/>
          </w:tcPr>
          <w:p w14:paraId="7543E901">
            <w:pPr>
              <w:jc w:val="center"/>
              <w:rPr>
                <w:rFonts w:ascii="宋体" w:hAnsi="宋体" w:eastAsia="宋体" w:cs="Times New Roman"/>
                <w:color w:val="auto"/>
                <w:kern w:val="21"/>
              </w:rPr>
            </w:pPr>
            <w:r>
              <w:rPr>
                <w:rFonts w:ascii="宋体" w:hAnsi="宋体" w:eastAsia="宋体" w:cs="Times New Roman"/>
                <w:color w:val="auto"/>
                <w:kern w:val="21"/>
              </w:rPr>
              <w:t>非正常持续时长（1）h</w:t>
            </w:r>
          </w:p>
        </w:tc>
        <w:tc>
          <w:tcPr>
            <w:tcW w:w="1299" w:type="pct"/>
            <w:gridSpan w:val="8"/>
            <w:shd w:val="clear" w:color="auto" w:fill="auto"/>
            <w:vAlign w:val="center"/>
          </w:tcPr>
          <w:p w14:paraId="494EB204">
            <w:pPr>
              <w:jc w:val="center"/>
              <w:rPr>
                <w:rFonts w:ascii="宋体" w:hAnsi="宋体" w:eastAsia="宋体" w:cs="Times New Roman"/>
                <w:color w:val="auto"/>
                <w:kern w:val="21"/>
              </w:rPr>
            </w:pPr>
            <w:r>
              <w:rPr>
                <w:rFonts w:ascii="宋体" w:hAnsi="宋体" w:eastAsia="宋体" w:cs="Times New Roman"/>
                <w:color w:val="auto"/>
                <w:kern w:val="21"/>
              </w:rPr>
              <w:t>C非正常占标率≦100%</w:t>
            </w:r>
            <w:r>
              <w:rPr>
                <w:rFonts w:ascii="宋体" w:hAnsi="宋体" w:eastAsia="宋体" w:cs="Times New Roman"/>
                <w:color w:val="auto"/>
                <w:kern w:val="21"/>
              </w:rPr>
              <w:sym w:font="Wingdings" w:char="00FE"/>
            </w:r>
          </w:p>
        </w:tc>
        <w:tc>
          <w:tcPr>
            <w:tcW w:w="1028" w:type="pct"/>
            <w:gridSpan w:val="5"/>
            <w:shd w:val="clear" w:color="auto" w:fill="auto"/>
            <w:vAlign w:val="center"/>
          </w:tcPr>
          <w:p w14:paraId="6B101798">
            <w:pPr>
              <w:jc w:val="center"/>
              <w:rPr>
                <w:rFonts w:ascii="宋体" w:hAnsi="宋体" w:eastAsia="宋体" w:cs="Times New Roman"/>
                <w:color w:val="auto"/>
                <w:kern w:val="21"/>
              </w:rPr>
            </w:pPr>
            <w:r>
              <w:rPr>
                <w:rFonts w:ascii="宋体" w:hAnsi="宋体" w:eastAsia="宋体" w:cs="Times New Roman"/>
                <w:color w:val="auto"/>
                <w:kern w:val="21"/>
              </w:rPr>
              <w:t>C非正常占标率&gt;100%</w:t>
            </w:r>
            <w:r>
              <w:rPr>
                <w:rFonts w:ascii="宋体" w:hAnsi="宋体" w:eastAsia="宋体" w:cs="Times New Roman"/>
                <w:color w:val="auto"/>
                <w:kern w:val="21"/>
              </w:rPr>
              <w:sym w:font="Wingdings" w:char="00A8"/>
            </w:r>
          </w:p>
        </w:tc>
      </w:tr>
      <w:tr w14:paraId="3742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60297C38">
            <w:pPr>
              <w:jc w:val="center"/>
              <w:rPr>
                <w:rFonts w:ascii="宋体" w:hAnsi="宋体" w:eastAsia="宋体" w:cs="Times New Roman"/>
                <w:color w:val="auto"/>
                <w:kern w:val="21"/>
              </w:rPr>
            </w:pPr>
          </w:p>
        </w:tc>
        <w:tc>
          <w:tcPr>
            <w:tcW w:w="871" w:type="pct"/>
            <w:shd w:val="clear" w:color="auto" w:fill="auto"/>
            <w:vAlign w:val="center"/>
          </w:tcPr>
          <w:p w14:paraId="328F5666">
            <w:pPr>
              <w:jc w:val="center"/>
              <w:rPr>
                <w:rFonts w:ascii="宋体" w:hAnsi="宋体" w:eastAsia="宋体" w:cs="Times New Roman"/>
                <w:color w:val="auto"/>
                <w:kern w:val="21"/>
              </w:rPr>
            </w:pPr>
            <w:r>
              <w:rPr>
                <w:rFonts w:ascii="宋体" w:hAnsi="宋体" w:eastAsia="宋体" w:cs="Times New Roman"/>
                <w:color w:val="auto"/>
                <w:kern w:val="21"/>
              </w:rPr>
              <w:t>保证率日平均浓度和年评价浓度叠加值</w:t>
            </w:r>
          </w:p>
        </w:tc>
        <w:tc>
          <w:tcPr>
            <w:tcW w:w="1671" w:type="pct"/>
            <w:gridSpan w:val="7"/>
            <w:shd w:val="clear" w:color="auto" w:fill="auto"/>
            <w:vAlign w:val="center"/>
          </w:tcPr>
          <w:p w14:paraId="3FF249AB">
            <w:pPr>
              <w:jc w:val="center"/>
              <w:rPr>
                <w:rFonts w:ascii="宋体" w:hAnsi="宋体" w:eastAsia="宋体" w:cs="Times New Roman"/>
                <w:color w:val="auto"/>
                <w:kern w:val="21"/>
              </w:rPr>
            </w:pPr>
            <w:r>
              <w:rPr>
                <w:rFonts w:ascii="宋体" w:hAnsi="宋体" w:eastAsia="宋体" w:cs="Times New Roman"/>
                <w:color w:val="auto"/>
                <w:kern w:val="21"/>
              </w:rPr>
              <w:t>C叠加达标</w:t>
            </w:r>
            <w:r>
              <w:rPr>
                <w:rFonts w:ascii="宋体" w:hAnsi="宋体" w:eastAsia="宋体" w:cs="Times New Roman"/>
                <w:color w:val="auto"/>
                <w:kern w:val="21"/>
              </w:rPr>
              <w:sym w:font="Wingdings" w:char="00FE"/>
            </w:r>
          </w:p>
        </w:tc>
        <w:tc>
          <w:tcPr>
            <w:tcW w:w="1851" w:type="pct"/>
            <w:gridSpan w:val="11"/>
            <w:shd w:val="clear" w:color="auto" w:fill="auto"/>
            <w:vAlign w:val="center"/>
          </w:tcPr>
          <w:p w14:paraId="4D00EAF4">
            <w:pPr>
              <w:jc w:val="center"/>
              <w:rPr>
                <w:rFonts w:ascii="宋体" w:hAnsi="宋体" w:eastAsia="宋体" w:cs="Times New Roman"/>
                <w:color w:val="auto"/>
                <w:kern w:val="21"/>
              </w:rPr>
            </w:pPr>
            <w:r>
              <w:rPr>
                <w:rFonts w:ascii="宋体" w:hAnsi="宋体" w:eastAsia="宋体" w:cs="Times New Roman"/>
                <w:color w:val="auto"/>
                <w:kern w:val="21"/>
              </w:rPr>
              <w:t>C叠加不达标</w:t>
            </w:r>
            <w:r>
              <w:rPr>
                <w:rFonts w:ascii="宋体" w:hAnsi="宋体" w:eastAsia="宋体" w:cs="Times New Roman"/>
                <w:color w:val="auto"/>
                <w:kern w:val="21"/>
              </w:rPr>
              <w:sym w:font="Wingdings" w:char="00A8"/>
            </w:r>
          </w:p>
        </w:tc>
      </w:tr>
      <w:tr w14:paraId="1F3D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0BF1E938">
            <w:pPr>
              <w:jc w:val="center"/>
              <w:rPr>
                <w:rFonts w:ascii="宋体" w:hAnsi="宋体" w:eastAsia="宋体" w:cs="Times New Roman"/>
                <w:color w:val="auto"/>
                <w:kern w:val="21"/>
              </w:rPr>
            </w:pPr>
          </w:p>
        </w:tc>
        <w:tc>
          <w:tcPr>
            <w:tcW w:w="871" w:type="pct"/>
            <w:shd w:val="clear" w:color="auto" w:fill="auto"/>
            <w:vAlign w:val="center"/>
          </w:tcPr>
          <w:p w14:paraId="5A8CC044">
            <w:pPr>
              <w:jc w:val="center"/>
              <w:rPr>
                <w:rFonts w:ascii="宋体" w:hAnsi="宋体" w:eastAsia="宋体" w:cs="Times New Roman"/>
                <w:color w:val="auto"/>
                <w:kern w:val="21"/>
              </w:rPr>
            </w:pPr>
            <w:r>
              <w:rPr>
                <w:rFonts w:ascii="宋体" w:hAnsi="宋体" w:eastAsia="宋体" w:cs="Times New Roman"/>
                <w:color w:val="auto"/>
                <w:kern w:val="21"/>
              </w:rPr>
              <w:t>区域环境质量整体变化情况</w:t>
            </w:r>
          </w:p>
        </w:tc>
        <w:tc>
          <w:tcPr>
            <w:tcW w:w="1671" w:type="pct"/>
            <w:gridSpan w:val="7"/>
            <w:shd w:val="clear" w:color="auto" w:fill="auto"/>
            <w:vAlign w:val="center"/>
          </w:tcPr>
          <w:p w14:paraId="64B8D003">
            <w:pPr>
              <w:jc w:val="center"/>
              <w:rPr>
                <w:rFonts w:ascii="宋体" w:hAnsi="宋体" w:eastAsia="宋体" w:cs="Times New Roman"/>
                <w:color w:val="auto"/>
                <w:kern w:val="21"/>
              </w:rPr>
            </w:pPr>
            <w:r>
              <w:rPr>
                <w:rFonts w:ascii="宋体" w:hAnsi="宋体" w:eastAsia="宋体" w:cs="Times New Roman"/>
                <w:color w:val="auto"/>
                <w:kern w:val="21"/>
              </w:rPr>
              <w:t>k≦-20%</w:t>
            </w:r>
            <w:r>
              <w:rPr>
                <w:rFonts w:ascii="宋体" w:hAnsi="宋体" w:eastAsia="宋体" w:cs="Times New Roman"/>
                <w:color w:val="auto"/>
                <w:kern w:val="21"/>
              </w:rPr>
              <w:sym w:font="Wingdings" w:char="00A8"/>
            </w:r>
          </w:p>
        </w:tc>
        <w:tc>
          <w:tcPr>
            <w:tcW w:w="1851" w:type="pct"/>
            <w:gridSpan w:val="11"/>
            <w:shd w:val="clear" w:color="auto" w:fill="auto"/>
            <w:vAlign w:val="center"/>
          </w:tcPr>
          <w:p w14:paraId="2110DEBB">
            <w:pPr>
              <w:jc w:val="center"/>
              <w:rPr>
                <w:rFonts w:ascii="宋体" w:hAnsi="宋体" w:eastAsia="宋体" w:cs="Times New Roman"/>
                <w:color w:val="auto"/>
                <w:kern w:val="21"/>
              </w:rPr>
            </w:pPr>
            <w:r>
              <w:rPr>
                <w:rFonts w:ascii="宋体" w:hAnsi="宋体" w:eastAsia="宋体" w:cs="Times New Roman"/>
                <w:color w:val="auto"/>
                <w:kern w:val="21"/>
              </w:rPr>
              <w:t>K&gt;-20%</w:t>
            </w:r>
            <w:r>
              <w:rPr>
                <w:rFonts w:ascii="宋体" w:hAnsi="宋体" w:eastAsia="宋体" w:cs="Times New Roman"/>
                <w:color w:val="auto"/>
                <w:kern w:val="21"/>
              </w:rPr>
              <w:sym w:font="Wingdings" w:char="00A8"/>
            </w:r>
          </w:p>
        </w:tc>
      </w:tr>
      <w:tr w14:paraId="3A0E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shd w:val="clear" w:color="auto" w:fill="auto"/>
            <w:vAlign w:val="center"/>
          </w:tcPr>
          <w:p w14:paraId="1159A71F">
            <w:pPr>
              <w:jc w:val="center"/>
              <w:rPr>
                <w:rFonts w:ascii="宋体" w:hAnsi="宋体" w:eastAsia="宋体" w:cs="Times New Roman"/>
                <w:color w:val="auto"/>
                <w:kern w:val="21"/>
              </w:rPr>
            </w:pPr>
            <w:r>
              <w:rPr>
                <w:rFonts w:ascii="宋体" w:hAnsi="宋体" w:eastAsia="宋体" w:cs="Times New Roman"/>
                <w:color w:val="auto"/>
                <w:kern w:val="21"/>
              </w:rPr>
              <w:t>环境监测计划</w:t>
            </w:r>
          </w:p>
        </w:tc>
        <w:tc>
          <w:tcPr>
            <w:tcW w:w="871" w:type="pct"/>
            <w:shd w:val="clear" w:color="auto" w:fill="auto"/>
            <w:vAlign w:val="center"/>
          </w:tcPr>
          <w:p w14:paraId="376D011E">
            <w:pPr>
              <w:jc w:val="center"/>
              <w:rPr>
                <w:rFonts w:ascii="宋体" w:hAnsi="宋体" w:eastAsia="宋体" w:cs="Times New Roman"/>
                <w:color w:val="auto"/>
                <w:kern w:val="21"/>
              </w:rPr>
            </w:pPr>
            <w:r>
              <w:rPr>
                <w:rFonts w:ascii="宋体" w:hAnsi="宋体" w:eastAsia="宋体" w:cs="Times New Roman"/>
                <w:color w:val="auto"/>
                <w:kern w:val="21"/>
              </w:rPr>
              <w:t>污染源监测</w:t>
            </w:r>
          </w:p>
        </w:tc>
        <w:tc>
          <w:tcPr>
            <w:tcW w:w="1671" w:type="pct"/>
            <w:gridSpan w:val="7"/>
            <w:shd w:val="clear" w:color="auto" w:fill="auto"/>
            <w:vAlign w:val="center"/>
          </w:tcPr>
          <w:p w14:paraId="6BD09FDB">
            <w:pPr>
              <w:jc w:val="center"/>
              <w:rPr>
                <w:rFonts w:ascii="宋体" w:hAnsi="宋体" w:eastAsia="宋体" w:cs="Times New Roman"/>
                <w:color w:val="auto"/>
                <w:kern w:val="21"/>
              </w:rPr>
            </w:pPr>
            <w:r>
              <w:rPr>
                <w:rFonts w:ascii="宋体" w:hAnsi="宋体" w:eastAsia="宋体" w:cs="Times New Roman"/>
                <w:color w:val="auto"/>
                <w:kern w:val="21"/>
              </w:rPr>
              <w:t>监测因子：（非甲烷总烃、颗粒物、NO</w:t>
            </w:r>
            <w:r>
              <w:rPr>
                <w:rFonts w:ascii="宋体" w:hAnsi="宋体" w:eastAsia="宋体" w:cs="Times New Roman"/>
                <w:color w:val="auto"/>
                <w:kern w:val="21"/>
                <w:vertAlign w:val="subscript"/>
              </w:rPr>
              <w:t>X</w:t>
            </w:r>
            <w:r>
              <w:rPr>
                <w:rFonts w:ascii="宋体" w:hAnsi="宋体" w:eastAsia="宋体" w:cs="Times New Roman"/>
                <w:color w:val="auto"/>
                <w:kern w:val="21"/>
              </w:rPr>
              <w:t>、SO</w:t>
            </w:r>
            <w:r>
              <w:rPr>
                <w:rFonts w:ascii="宋体" w:hAnsi="宋体" w:eastAsia="宋体" w:cs="Times New Roman"/>
                <w:color w:val="auto"/>
                <w:kern w:val="21"/>
                <w:vertAlign w:val="subscript"/>
              </w:rPr>
              <w:t>2</w:t>
            </w:r>
            <w:r>
              <w:rPr>
                <w:rFonts w:ascii="宋体" w:hAnsi="宋体" w:eastAsia="宋体" w:cs="Times New Roman"/>
                <w:color w:val="auto"/>
                <w:kern w:val="21"/>
              </w:rPr>
              <w:t>）</w:t>
            </w:r>
          </w:p>
        </w:tc>
        <w:tc>
          <w:tcPr>
            <w:tcW w:w="1067" w:type="pct"/>
            <w:gridSpan w:val="8"/>
            <w:shd w:val="clear" w:color="auto" w:fill="auto"/>
            <w:vAlign w:val="center"/>
          </w:tcPr>
          <w:p w14:paraId="3D918B18">
            <w:pPr>
              <w:jc w:val="center"/>
              <w:rPr>
                <w:rFonts w:ascii="宋体" w:hAnsi="宋体" w:eastAsia="宋体" w:cs="Times New Roman"/>
                <w:color w:val="auto"/>
                <w:kern w:val="21"/>
              </w:rPr>
            </w:pPr>
            <w:r>
              <w:rPr>
                <w:rFonts w:ascii="宋体" w:hAnsi="宋体" w:eastAsia="宋体" w:cs="Times New Roman"/>
                <w:color w:val="auto"/>
                <w:kern w:val="21"/>
              </w:rPr>
              <w:t>有组织废气监测</w:t>
            </w:r>
            <w:r>
              <w:rPr>
                <w:rFonts w:ascii="宋体" w:hAnsi="宋体" w:eastAsia="宋体" w:cs="Times New Roman"/>
                <w:color w:val="auto"/>
                <w:kern w:val="21"/>
              </w:rPr>
              <w:sym w:font="Wingdings" w:char="00FE"/>
            </w:r>
          </w:p>
          <w:p w14:paraId="1391FF59">
            <w:pPr>
              <w:jc w:val="center"/>
              <w:rPr>
                <w:rFonts w:ascii="宋体" w:hAnsi="宋体" w:eastAsia="宋体" w:cs="Times New Roman"/>
                <w:color w:val="auto"/>
                <w:kern w:val="21"/>
              </w:rPr>
            </w:pPr>
            <w:r>
              <w:rPr>
                <w:rFonts w:ascii="宋体" w:hAnsi="宋体" w:eastAsia="宋体" w:cs="Times New Roman"/>
                <w:color w:val="auto"/>
                <w:kern w:val="21"/>
              </w:rPr>
              <w:t>无组织废气监测</w:t>
            </w:r>
            <w:r>
              <w:rPr>
                <w:rFonts w:ascii="宋体" w:hAnsi="宋体" w:eastAsia="宋体" w:cs="Times New Roman"/>
                <w:color w:val="auto"/>
                <w:kern w:val="21"/>
              </w:rPr>
              <w:sym w:font="Wingdings" w:char="00FE"/>
            </w:r>
          </w:p>
        </w:tc>
        <w:tc>
          <w:tcPr>
            <w:tcW w:w="784" w:type="pct"/>
            <w:gridSpan w:val="3"/>
            <w:shd w:val="clear" w:color="auto" w:fill="auto"/>
            <w:vAlign w:val="center"/>
          </w:tcPr>
          <w:p w14:paraId="62FDB4D3">
            <w:pPr>
              <w:jc w:val="center"/>
              <w:rPr>
                <w:rFonts w:ascii="宋体" w:hAnsi="宋体" w:eastAsia="宋体" w:cs="Times New Roman"/>
                <w:color w:val="auto"/>
                <w:kern w:val="21"/>
              </w:rPr>
            </w:pPr>
            <w:r>
              <w:rPr>
                <w:rFonts w:ascii="宋体" w:hAnsi="宋体" w:eastAsia="宋体" w:cs="Times New Roman"/>
                <w:color w:val="auto"/>
                <w:kern w:val="21"/>
              </w:rPr>
              <w:t>无监测</w:t>
            </w:r>
            <w:r>
              <w:rPr>
                <w:rFonts w:ascii="宋体" w:hAnsi="宋体" w:eastAsia="宋体" w:cs="Times New Roman"/>
                <w:color w:val="auto"/>
                <w:kern w:val="21"/>
              </w:rPr>
              <w:sym w:font="Wingdings" w:char="00A8"/>
            </w:r>
          </w:p>
        </w:tc>
      </w:tr>
      <w:tr w14:paraId="0BAD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687550B3">
            <w:pPr>
              <w:jc w:val="center"/>
              <w:rPr>
                <w:rFonts w:ascii="宋体" w:hAnsi="宋体" w:eastAsia="宋体" w:cs="Times New Roman"/>
                <w:color w:val="auto"/>
                <w:kern w:val="21"/>
              </w:rPr>
            </w:pPr>
          </w:p>
        </w:tc>
        <w:tc>
          <w:tcPr>
            <w:tcW w:w="871" w:type="pct"/>
            <w:shd w:val="clear" w:color="auto" w:fill="auto"/>
            <w:vAlign w:val="center"/>
          </w:tcPr>
          <w:p w14:paraId="77A5D956">
            <w:pPr>
              <w:jc w:val="center"/>
              <w:rPr>
                <w:rFonts w:ascii="宋体" w:hAnsi="宋体" w:eastAsia="宋体" w:cs="Times New Roman"/>
                <w:color w:val="auto"/>
                <w:kern w:val="21"/>
              </w:rPr>
            </w:pPr>
            <w:r>
              <w:rPr>
                <w:rFonts w:ascii="宋体" w:hAnsi="宋体" w:eastAsia="宋体" w:cs="Times New Roman"/>
                <w:color w:val="auto"/>
                <w:kern w:val="21"/>
              </w:rPr>
              <w:t>环境质量监测</w:t>
            </w:r>
          </w:p>
        </w:tc>
        <w:tc>
          <w:tcPr>
            <w:tcW w:w="1671" w:type="pct"/>
            <w:gridSpan w:val="7"/>
            <w:shd w:val="clear" w:color="auto" w:fill="auto"/>
            <w:vAlign w:val="center"/>
          </w:tcPr>
          <w:p w14:paraId="308FB12D">
            <w:pPr>
              <w:jc w:val="center"/>
              <w:rPr>
                <w:rFonts w:ascii="宋体" w:hAnsi="宋体" w:eastAsia="宋体" w:cs="Times New Roman"/>
                <w:color w:val="auto"/>
                <w:kern w:val="21"/>
              </w:rPr>
            </w:pPr>
            <w:r>
              <w:rPr>
                <w:rFonts w:ascii="宋体" w:hAnsi="宋体" w:eastAsia="宋体" w:cs="Times New Roman"/>
                <w:color w:val="auto"/>
                <w:kern w:val="21"/>
              </w:rPr>
              <w:t>监测因子：（非甲烷总烃）</w:t>
            </w:r>
          </w:p>
        </w:tc>
        <w:tc>
          <w:tcPr>
            <w:tcW w:w="1067" w:type="pct"/>
            <w:gridSpan w:val="8"/>
            <w:shd w:val="clear" w:color="auto" w:fill="auto"/>
            <w:vAlign w:val="center"/>
          </w:tcPr>
          <w:p w14:paraId="138CEBC9">
            <w:pPr>
              <w:jc w:val="center"/>
              <w:rPr>
                <w:rFonts w:ascii="宋体" w:hAnsi="宋体" w:eastAsia="宋体" w:cs="Times New Roman"/>
                <w:color w:val="auto"/>
                <w:kern w:val="21"/>
              </w:rPr>
            </w:pPr>
            <w:r>
              <w:rPr>
                <w:rFonts w:ascii="宋体" w:hAnsi="宋体" w:eastAsia="宋体" w:cs="Times New Roman"/>
                <w:color w:val="auto"/>
                <w:kern w:val="21"/>
              </w:rPr>
              <w:t>监测点位数（1）</w:t>
            </w:r>
          </w:p>
        </w:tc>
        <w:tc>
          <w:tcPr>
            <w:tcW w:w="784" w:type="pct"/>
            <w:gridSpan w:val="3"/>
            <w:shd w:val="clear" w:color="auto" w:fill="auto"/>
            <w:vAlign w:val="center"/>
          </w:tcPr>
          <w:p w14:paraId="203E28BB">
            <w:pPr>
              <w:jc w:val="center"/>
              <w:rPr>
                <w:rFonts w:ascii="宋体" w:hAnsi="宋体" w:eastAsia="宋体" w:cs="Times New Roman"/>
                <w:color w:val="auto"/>
                <w:kern w:val="21"/>
              </w:rPr>
            </w:pPr>
            <w:r>
              <w:rPr>
                <w:rFonts w:ascii="宋体" w:hAnsi="宋体" w:eastAsia="宋体" w:cs="Times New Roman"/>
                <w:color w:val="auto"/>
                <w:kern w:val="21"/>
              </w:rPr>
              <w:t>无监测</w:t>
            </w:r>
            <w:r>
              <w:rPr>
                <w:rFonts w:ascii="宋体" w:hAnsi="宋体" w:eastAsia="宋体" w:cs="Times New Roman"/>
                <w:color w:val="auto"/>
                <w:kern w:val="21"/>
              </w:rPr>
              <w:sym w:font="Wingdings" w:char="00A8"/>
            </w:r>
          </w:p>
        </w:tc>
      </w:tr>
      <w:tr w14:paraId="2FDE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shd w:val="clear" w:color="auto" w:fill="auto"/>
            <w:vAlign w:val="center"/>
          </w:tcPr>
          <w:p w14:paraId="13C6C762">
            <w:pPr>
              <w:jc w:val="center"/>
              <w:rPr>
                <w:rFonts w:ascii="宋体" w:hAnsi="宋体" w:eastAsia="宋体" w:cs="Times New Roman"/>
                <w:color w:val="auto"/>
                <w:kern w:val="21"/>
              </w:rPr>
            </w:pPr>
            <w:r>
              <w:rPr>
                <w:rFonts w:ascii="宋体" w:hAnsi="宋体" w:eastAsia="宋体" w:cs="Times New Roman"/>
                <w:color w:val="auto"/>
                <w:kern w:val="21"/>
              </w:rPr>
              <w:t>环评结论</w:t>
            </w:r>
          </w:p>
        </w:tc>
        <w:tc>
          <w:tcPr>
            <w:tcW w:w="871" w:type="pct"/>
            <w:shd w:val="clear" w:color="auto" w:fill="auto"/>
            <w:vAlign w:val="center"/>
          </w:tcPr>
          <w:p w14:paraId="4BDBC35B">
            <w:pPr>
              <w:jc w:val="center"/>
              <w:rPr>
                <w:rFonts w:ascii="宋体" w:hAnsi="宋体" w:eastAsia="宋体" w:cs="Times New Roman"/>
                <w:color w:val="auto"/>
                <w:kern w:val="21"/>
              </w:rPr>
            </w:pPr>
            <w:r>
              <w:rPr>
                <w:rFonts w:ascii="宋体" w:hAnsi="宋体" w:eastAsia="宋体" w:cs="Times New Roman"/>
                <w:color w:val="auto"/>
                <w:kern w:val="21"/>
              </w:rPr>
              <w:t>环境影响</w:t>
            </w:r>
          </w:p>
        </w:tc>
        <w:tc>
          <w:tcPr>
            <w:tcW w:w="3522" w:type="pct"/>
            <w:gridSpan w:val="18"/>
            <w:shd w:val="clear" w:color="auto" w:fill="auto"/>
            <w:vAlign w:val="center"/>
          </w:tcPr>
          <w:p w14:paraId="48E26235">
            <w:pPr>
              <w:jc w:val="center"/>
              <w:rPr>
                <w:rFonts w:ascii="宋体" w:hAnsi="宋体" w:eastAsia="宋体" w:cs="Times New Roman"/>
                <w:color w:val="auto"/>
                <w:kern w:val="21"/>
              </w:rPr>
            </w:pPr>
            <w:r>
              <w:rPr>
                <w:rFonts w:ascii="宋体" w:hAnsi="宋体" w:eastAsia="宋体" w:cs="Times New Roman"/>
                <w:color w:val="auto"/>
                <w:kern w:val="21"/>
              </w:rPr>
              <w:t>可以接受</w:t>
            </w:r>
            <w:r>
              <w:rPr>
                <w:rFonts w:ascii="宋体" w:hAnsi="宋体" w:eastAsia="宋体" w:cs="Times New Roman"/>
                <w:color w:val="auto"/>
                <w:kern w:val="21"/>
              </w:rPr>
              <w:sym w:font="Wingdings" w:char="00FE"/>
            </w:r>
            <w:r>
              <w:rPr>
                <w:rFonts w:ascii="宋体" w:hAnsi="宋体" w:eastAsia="宋体" w:cs="Times New Roman"/>
                <w:color w:val="auto"/>
                <w:kern w:val="21"/>
              </w:rPr>
              <w:t>不可以接受</w:t>
            </w:r>
            <w:r>
              <w:rPr>
                <w:rFonts w:ascii="宋体" w:hAnsi="宋体" w:eastAsia="宋体" w:cs="Times New Roman"/>
                <w:color w:val="auto"/>
                <w:kern w:val="21"/>
              </w:rPr>
              <w:sym w:font="Wingdings" w:char="00A8"/>
            </w:r>
          </w:p>
        </w:tc>
      </w:tr>
      <w:tr w14:paraId="7D20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049C3B95">
            <w:pPr>
              <w:jc w:val="center"/>
              <w:rPr>
                <w:rFonts w:ascii="宋体" w:hAnsi="宋体" w:eastAsia="宋体" w:cs="Times New Roman"/>
                <w:color w:val="auto"/>
                <w:kern w:val="21"/>
              </w:rPr>
            </w:pPr>
          </w:p>
        </w:tc>
        <w:tc>
          <w:tcPr>
            <w:tcW w:w="871" w:type="pct"/>
            <w:shd w:val="clear" w:color="auto" w:fill="auto"/>
            <w:vAlign w:val="center"/>
          </w:tcPr>
          <w:p w14:paraId="78A665D1">
            <w:pPr>
              <w:jc w:val="center"/>
              <w:rPr>
                <w:rFonts w:ascii="宋体" w:hAnsi="宋体" w:eastAsia="宋体" w:cs="Times New Roman"/>
                <w:color w:val="auto"/>
                <w:kern w:val="21"/>
              </w:rPr>
            </w:pPr>
            <w:r>
              <w:rPr>
                <w:rFonts w:ascii="宋体" w:hAnsi="宋体" w:eastAsia="宋体" w:cs="Times New Roman"/>
                <w:color w:val="auto"/>
                <w:kern w:val="21"/>
              </w:rPr>
              <w:t>大气防护距离</w:t>
            </w:r>
          </w:p>
        </w:tc>
        <w:tc>
          <w:tcPr>
            <w:tcW w:w="3522" w:type="pct"/>
            <w:gridSpan w:val="18"/>
            <w:shd w:val="clear" w:color="auto" w:fill="auto"/>
            <w:vAlign w:val="center"/>
          </w:tcPr>
          <w:p w14:paraId="229D06F4">
            <w:pPr>
              <w:jc w:val="center"/>
              <w:rPr>
                <w:rFonts w:ascii="宋体" w:hAnsi="宋体" w:eastAsia="宋体" w:cs="Times New Roman"/>
                <w:color w:val="auto"/>
                <w:kern w:val="21"/>
              </w:rPr>
            </w:pPr>
            <w:r>
              <w:rPr>
                <w:rFonts w:ascii="宋体" w:hAnsi="宋体" w:eastAsia="宋体" w:cs="Times New Roman"/>
                <w:color w:val="auto"/>
                <w:kern w:val="21"/>
              </w:rPr>
              <w:t>距（）厂界最远（）m</w:t>
            </w:r>
          </w:p>
        </w:tc>
      </w:tr>
      <w:tr w14:paraId="71C8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shd w:val="clear" w:color="auto" w:fill="auto"/>
            <w:vAlign w:val="center"/>
          </w:tcPr>
          <w:p w14:paraId="611736F3">
            <w:pPr>
              <w:jc w:val="center"/>
              <w:rPr>
                <w:rFonts w:ascii="宋体" w:hAnsi="宋体" w:eastAsia="宋体" w:cs="Times New Roman"/>
                <w:color w:val="auto"/>
                <w:kern w:val="21"/>
              </w:rPr>
            </w:pPr>
          </w:p>
        </w:tc>
        <w:tc>
          <w:tcPr>
            <w:tcW w:w="871" w:type="pct"/>
            <w:shd w:val="clear" w:color="auto" w:fill="auto"/>
            <w:vAlign w:val="center"/>
          </w:tcPr>
          <w:p w14:paraId="52A3E184">
            <w:pPr>
              <w:jc w:val="center"/>
              <w:rPr>
                <w:rFonts w:ascii="宋体" w:hAnsi="宋体" w:eastAsia="宋体" w:cs="Times New Roman"/>
                <w:color w:val="auto"/>
                <w:kern w:val="21"/>
              </w:rPr>
            </w:pPr>
            <w:r>
              <w:rPr>
                <w:rFonts w:ascii="宋体" w:hAnsi="宋体" w:eastAsia="宋体" w:cs="Times New Roman"/>
                <w:color w:val="auto"/>
                <w:kern w:val="21"/>
              </w:rPr>
              <w:t>污染源</w:t>
            </w:r>
          </w:p>
          <w:p w14:paraId="740F6B9A">
            <w:pPr>
              <w:jc w:val="center"/>
              <w:rPr>
                <w:rFonts w:ascii="宋体" w:hAnsi="宋体" w:eastAsia="宋体" w:cs="Times New Roman"/>
                <w:color w:val="auto"/>
                <w:kern w:val="21"/>
              </w:rPr>
            </w:pPr>
            <w:r>
              <w:rPr>
                <w:rFonts w:ascii="宋体" w:hAnsi="宋体" w:eastAsia="宋体" w:cs="Times New Roman"/>
                <w:color w:val="auto"/>
                <w:kern w:val="21"/>
              </w:rPr>
              <w:t>年排放量</w:t>
            </w:r>
          </w:p>
        </w:tc>
        <w:tc>
          <w:tcPr>
            <w:tcW w:w="864" w:type="pct"/>
            <w:gridSpan w:val="2"/>
            <w:shd w:val="clear" w:color="auto" w:fill="auto"/>
            <w:vAlign w:val="center"/>
          </w:tcPr>
          <w:p w14:paraId="0E9FED4E">
            <w:pPr>
              <w:jc w:val="center"/>
              <w:rPr>
                <w:rFonts w:ascii="宋体" w:hAnsi="宋体" w:eastAsia="宋体" w:cs="Times New Roman"/>
                <w:color w:val="auto"/>
                <w:kern w:val="21"/>
              </w:rPr>
            </w:pPr>
            <w:r>
              <w:rPr>
                <w:rFonts w:ascii="宋体" w:hAnsi="宋体" w:eastAsia="宋体" w:cs="Times New Roman"/>
                <w:color w:val="auto"/>
                <w:kern w:val="21"/>
              </w:rPr>
              <w:t>NO</w:t>
            </w:r>
            <w:r>
              <w:rPr>
                <w:rFonts w:ascii="宋体" w:hAnsi="宋体" w:eastAsia="宋体" w:cs="Times New Roman"/>
                <w:color w:val="auto"/>
                <w:kern w:val="21"/>
                <w:vertAlign w:val="subscript"/>
              </w:rPr>
              <w:t>x</w:t>
            </w:r>
            <w:r>
              <w:rPr>
                <w:rFonts w:ascii="宋体" w:hAnsi="宋体" w:eastAsia="宋体" w:cs="Times New Roman"/>
                <w:color w:val="auto"/>
                <w:kern w:val="21"/>
              </w:rPr>
              <w:t>：（</w:t>
            </w:r>
            <w:r>
              <w:rPr>
                <w:rFonts w:hint="eastAsia" w:ascii="宋体" w:hAnsi="宋体" w:eastAsia="宋体" w:cs="Times New Roman"/>
                <w:color w:val="auto"/>
              </w:rPr>
              <w:t>0.108</w:t>
            </w:r>
            <w:r>
              <w:rPr>
                <w:rFonts w:ascii="宋体" w:hAnsi="宋体" w:eastAsia="宋体" w:cs="Times New Roman"/>
                <w:color w:val="auto"/>
                <w:kern w:val="21"/>
              </w:rPr>
              <w:t>）t/a</w:t>
            </w:r>
          </w:p>
        </w:tc>
        <w:tc>
          <w:tcPr>
            <w:tcW w:w="808" w:type="pct"/>
            <w:gridSpan w:val="5"/>
            <w:shd w:val="clear" w:color="auto" w:fill="auto"/>
            <w:vAlign w:val="center"/>
          </w:tcPr>
          <w:p w14:paraId="285F94A4">
            <w:pPr>
              <w:jc w:val="center"/>
              <w:rPr>
                <w:rFonts w:ascii="宋体" w:hAnsi="宋体" w:eastAsia="宋体" w:cs="Times New Roman"/>
                <w:color w:val="auto"/>
                <w:kern w:val="21"/>
              </w:rPr>
            </w:pPr>
            <w:r>
              <w:rPr>
                <w:rFonts w:ascii="宋体" w:hAnsi="宋体" w:eastAsia="宋体" w:cs="Times New Roman"/>
                <w:color w:val="auto"/>
                <w:kern w:val="21"/>
              </w:rPr>
              <w:t>SO</w:t>
            </w:r>
            <w:r>
              <w:rPr>
                <w:rFonts w:ascii="宋体" w:hAnsi="宋体" w:eastAsia="宋体" w:cs="Times New Roman"/>
                <w:color w:val="auto"/>
                <w:kern w:val="21"/>
                <w:vertAlign w:val="subscript"/>
              </w:rPr>
              <w:t>2</w:t>
            </w:r>
            <w:r>
              <w:rPr>
                <w:rFonts w:ascii="宋体" w:hAnsi="宋体" w:eastAsia="宋体" w:cs="Times New Roman"/>
                <w:color w:val="auto"/>
                <w:kern w:val="21"/>
              </w:rPr>
              <w:t>：（</w:t>
            </w:r>
            <w:r>
              <w:rPr>
                <w:rFonts w:hint="eastAsia" w:ascii="宋体" w:hAnsi="宋体" w:eastAsia="宋体" w:cs="Times New Roman"/>
                <w:color w:val="auto"/>
              </w:rPr>
              <w:t>0.046</w:t>
            </w:r>
            <w:r>
              <w:rPr>
                <w:rFonts w:ascii="宋体" w:hAnsi="宋体" w:eastAsia="宋体" w:cs="Times New Roman"/>
                <w:color w:val="auto"/>
                <w:kern w:val="21"/>
              </w:rPr>
              <w:t>）t/a</w:t>
            </w:r>
          </w:p>
        </w:tc>
        <w:tc>
          <w:tcPr>
            <w:tcW w:w="935" w:type="pct"/>
            <w:gridSpan w:val="7"/>
            <w:shd w:val="clear" w:color="auto" w:fill="auto"/>
            <w:vAlign w:val="center"/>
          </w:tcPr>
          <w:p w14:paraId="75D6201B">
            <w:pPr>
              <w:jc w:val="center"/>
              <w:rPr>
                <w:rFonts w:ascii="宋体" w:hAnsi="宋体" w:eastAsia="宋体" w:cs="Times New Roman"/>
                <w:color w:val="auto"/>
                <w:kern w:val="21"/>
              </w:rPr>
            </w:pPr>
            <w:r>
              <w:rPr>
                <w:rFonts w:ascii="宋体" w:hAnsi="宋体" w:eastAsia="宋体" w:cs="Times New Roman"/>
                <w:color w:val="auto"/>
                <w:kern w:val="21"/>
              </w:rPr>
              <w:t>颗粒物：（</w:t>
            </w:r>
            <w:r>
              <w:rPr>
                <w:rFonts w:ascii="宋体" w:hAnsi="宋体" w:eastAsia="宋体" w:cs="Times New Roman"/>
                <w:color w:val="auto"/>
              </w:rPr>
              <w:t>0.</w:t>
            </w:r>
            <w:r>
              <w:rPr>
                <w:rFonts w:hint="eastAsia" w:ascii="宋体" w:hAnsi="宋体" w:eastAsia="宋体" w:cs="Times New Roman"/>
                <w:color w:val="auto"/>
              </w:rPr>
              <w:t>033</w:t>
            </w:r>
            <w:r>
              <w:rPr>
                <w:rFonts w:ascii="宋体" w:hAnsi="宋体" w:eastAsia="宋体" w:cs="Times New Roman"/>
                <w:color w:val="auto"/>
                <w:kern w:val="21"/>
              </w:rPr>
              <w:t>）t/a</w:t>
            </w:r>
          </w:p>
        </w:tc>
        <w:tc>
          <w:tcPr>
            <w:tcW w:w="916" w:type="pct"/>
            <w:gridSpan w:val="4"/>
            <w:shd w:val="clear" w:color="auto" w:fill="auto"/>
            <w:vAlign w:val="center"/>
          </w:tcPr>
          <w:p w14:paraId="329AA56B">
            <w:pPr>
              <w:jc w:val="center"/>
              <w:rPr>
                <w:rFonts w:ascii="宋体" w:hAnsi="宋体" w:eastAsia="宋体" w:cs="Times New Roman"/>
                <w:color w:val="auto"/>
                <w:kern w:val="21"/>
              </w:rPr>
            </w:pPr>
            <w:r>
              <w:rPr>
                <w:rFonts w:ascii="宋体" w:hAnsi="宋体" w:eastAsia="宋体" w:cs="Times New Roman"/>
                <w:color w:val="auto"/>
                <w:kern w:val="21"/>
              </w:rPr>
              <w:t>NMHC：（</w:t>
            </w:r>
            <w:r>
              <w:rPr>
                <w:rFonts w:hint="eastAsia" w:ascii="宋体" w:hAnsi="宋体" w:eastAsia="宋体" w:cs="Times New Roman"/>
                <w:color w:val="auto"/>
                <w:kern w:val="21"/>
              </w:rPr>
              <w:t>16.44</w:t>
            </w:r>
            <w:r>
              <w:rPr>
                <w:rFonts w:ascii="宋体" w:hAnsi="宋体" w:eastAsia="宋体" w:cs="Times New Roman"/>
                <w:color w:val="auto"/>
                <w:kern w:val="21"/>
              </w:rPr>
              <w:t>）t/a</w:t>
            </w:r>
          </w:p>
        </w:tc>
      </w:tr>
      <w:tr w14:paraId="6018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0"/>
            <w:shd w:val="clear" w:color="auto" w:fill="auto"/>
            <w:vAlign w:val="center"/>
          </w:tcPr>
          <w:p w14:paraId="3F4F4BB9">
            <w:pPr>
              <w:jc w:val="center"/>
              <w:rPr>
                <w:rFonts w:ascii="宋体" w:hAnsi="宋体" w:eastAsia="宋体" w:cs="Times New Roman"/>
                <w:color w:val="auto"/>
                <w:kern w:val="21"/>
              </w:rPr>
            </w:pPr>
            <w:r>
              <w:rPr>
                <w:rFonts w:ascii="宋体" w:hAnsi="宋体" w:eastAsia="宋体" w:cs="Times New Roman"/>
                <w:color w:val="auto"/>
                <w:kern w:val="21"/>
              </w:rPr>
              <w:t>注：“</w:t>
            </w:r>
            <w:r>
              <w:rPr>
                <w:rFonts w:ascii="宋体" w:hAnsi="宋体" w:eastAsia="宋体" w:cs="Times New Roman"/>
                <w:color w:val="auto"/>
                <w:kern w:val="21"/>
              </w:rPr>
              <w:sym w:font="Wingdings" w:char="00A8"/>
            </w:r>
            <w:r>
              <w:rPr>
                <w:rFonts w:ascii="宋体" w:hAnsi="宋体" w:eastAsia="宋体" w:cs="Times New Roman"/>
                <w:color w:val="auto"/>
                <w:kern w:val="21"/>
              </w:rPr>
              <w:t>“为勾选项，填“√”；“（）”为内容填写项</w:t>
            </w:r>
          </w:p>
        </w:tc>
      </w:tr>
    </w:tbl>
    <w:p w14:paraId="79E4E18E">
      <w:pPr>
        <w:spacing w:line="440" w:lineRule="exact"/>
        <w:ind w:firstLine="420" w:firstLineChars="200"/>
        <w:rPr>
          <w:color w:val="auto"/>
        </w:rPr>
        <w:sectPr>
          <w:pgSz w:w="11906" w:h="16838"/>
          <w:pgMar w:top="1440" w:right="1797" w:bottom="1304" w:left="1797" w:header="1021" w:footer="851" w:gutter="0"/>
          <w:cols w:space="425" w:num="1"/>
          <w:docGrid w:type="lines" w:linePitch="312" w:charSpace="0"/>
        </w:sectPr>
      </w:pPr>
      <w:bookmarkStart w:id="2251" w:name="_Toc15833342"/>
      <w:bookmarkStart w:id="2252" w:name="_Toc13942_WPSOffice_Level1"/>
      <w:bookmarkStart w:id="2253" w:name="_Toc6995251"/>
      <w:bookmarkStart w:id="2254" w:name="_Toc19146"/>
      <w:bookmarkStart w:id="2255" w:name="_Toc16217"/>
      <w:bookmarkStart w:id="2256" w:name="_Toc28243"/>
    </w:p>
    <w:p w14:paraId="79F0132A">
      <w:pPr>
        <w:pStyle w:val="5"/>
        <w:rPr>
          <w:bCs w:val="0"/>
          <w:color w:val="auto"/>
        </w:rPr>
      </w:pPr>
      <w:bookmarkStart w:id="2257" w:name="_Toc212033061"/>
      <w:r>
        <w:rPr>
          <w:bCs w:val="0"/>
          <w:color w:val="auto"/>
        </w:rPr>
        <w:t>附表2：建设项目环境风险评价自查表</w:t>
      </w:r>
      <w:bookmarkEnd w:id="2251"/>
      <w:bookmarkEnd w:id="2252"/>
      <w:bookmarkEnd w:id="2253"/>
      <w:bookmarkEnd w:id="2254"/>
      <w:bookmarkEnd w:id="2255"/>
      <w:bookmarkEnd w:id="2256"/>
      <w:bookmarkEnd w:id="2257"/>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139"/>
        <w:gridCol w:w="1011"/>
        <w:gridCol w:w="406"/>
        <w:gridCol w:w="595"/>
        <w:gridCol w:w="805"/>
        <w:gridCol w:w="1237"/>
        <w:gridCol w:w="626"/>
        <w:gridCol w:w="761"/>
        <w:gridCol w:w="1414"/>
      </w:tblGrid>
      <w:tr w14:paraId="686B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pct"/>
            <w:gridSpan w:val="2"/>
            <w:shd w:val="clear" w:color="auto" w:fill="auto"/>
            <w:vAlign w:val="center"/>
          </w:tcPr>
          <w:p w14:paraId="0A1C1A43">
            <w:pPr>
              <w:jc w:val="center"/>
              <w:rPr>
                <w:rFonts w:ascii="宋体" w:hAnsi="宋体" w:eastAsia="宋体" w:cs="Times New Roman"/>
                <w:color w:val="auto"/>
                <w:kern w:val="21"/>
              </w:rPr>
            </w:pPr>
            <w:r>
              <w:rPr>
                <w:rFonts w:ascii="宋体" w:hAnsi="宋体" w:eastAsia="宋体" w:cs="Times New Roman"/>
                <w:color w:val="auto"/>
                <w:kern w:val="21"/>
              </w:rPr>
              <w:t>工作内容</w:t>
            </w:r>
          </w:p>
        </w:tc>
        <w:tc>
          <w:tcPr>
            <w:tcW w:w="4019" w:type="pct"/>
            <w:gridSpan w:val="8"/>
            <w:shd w:val="clear" w:color="auto" w:fill="auto"/>
            <w:vAlign w:val="center"/>
          </w:tcPr>
          <w:p w14:paraId="7328344F">
            <w:pPr>
              <w:jc w:val="center"/>
              <w:rPr>
                <w:rFonts w:ascii="宋体" w:hAnsi="宋体" w:eastAsia="宋体" w:cs="Times New Roman"/>
                <w:color w:val="auto"/>
                <w:kern w:val="21"/>
              </w:rPr>
            </w:pPr>
            <w:r>
              <w:rPr>
                <w:rFonts w:ascii="宋体" w:hAnsi="宋体" w:eastAsia="宋体" w:cs="Times New Roman"/>
                <w:color w:val="auto"/>
                <w:kern w:val="21"/>
              </w:rPr>
              <w:t>完成情况</w:t>
            </w:r>
          </w:p>
        </w:tc>
      </w:tr>
      <w:tr w14:paraId="3D20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restart"/>
            <w:shd w:val="clear" w:color="auto" w:fill="auto"/>
            <w:vAlign w:val="center"/>
          </w:tcPr>
          <w:p w14:paraId="061F3691">
            <w:pPr>
              <w:jc w:val="center"/>
              <w:rPr>
                <w:rFonts w:ascii="宋体" w:hAnsi="宋体" w:eastAsia="宋体" w:cs="Times New Roman"/>
                <w:color w:val="auto"/>
                <w:kern w:val="21"/>
              </w:rPr>
            </w:pPr>
            <w:r>
              <w:rPr>
                <w:rFonts w:ascii="宋体" w:hAnsi="宋体" w:eastAsia="宋体" w:cs="Times New Roman"/>
                <w:color w:val="auto"/>
                <w:kern w:val="21"/>
              </w:rPr>
              <w:t>风险调查</w:t>
            </w:r>
          </w:p>
        </w:tc>
        <w:tc>
          <w:tcPr>
            <w:tcW w:w="668" w:type="pct"/>
            <w:vMerge w:val="restart"/>
            <w:shd w:val="clear" w:color="auto" w:fill="auto"/>
            <w:vAlign w:val="center"/>
          </w:tcPr>
          <w:p w14:paraId="767CFE96">
            <w:pPr>
              <w:jc w:val="center"/>
              <w:rPr>
                <w:rFonts w:ascii="宋体" w:hAnsi="宋体" w:eastAsia="宋体" w:cs="Times New Roman"/>
                <w:color w:val="auto"/>
                <w:kern w:val="21"/>
              </w:rPr>
            </w:pPr>
            <w:r>
              <w:rPr>
                <w:rFonts w:ascii="宋体" w:hAnsi="宋体" w:eastAsia="宋体" w:cs="Times New Roman"/>
                <w:color w:val="auto"/>
                <w:kern w:val="21"/>
              </w:rPr>
              <w:t>危险物质</w:t>
            </w:r>
          </w:p>
        </w:tc>
        <w:tc>
          <w:tcPr>
            <w:tcW w:w="593" w:type="pct"/>
            <w:shd w:val="clear" w:color="auto" w:fill="auto"/>
            <w:vAlign w:val="center"/>
          </w:tcPr>
          <w:p w14:paraId="343FBD40">
            <w:pPr>
              <w:jc w:val="center"/>
              <w:rPr>
                <w:rFonts w:ascii="宋体" w:hAnsi="宋体" w:eastAsia="宋体" w:cs="Times New Roman"/>
                <w:color w:val="auto"/>
                <w:kern w:val="21"/>
              </w:rPr>
            </w:pPr>
            <w:r>
              <w:rPr>
                <w:rFonts w:ascii="宋体" w:hAnsi="宋体" w:eastAsia="宋体" w:cs="Times New Roman"/>
                <w:color w:val="auto"/>
                <w:kern w:val="21"/>
              </w:rPr>
              <w:t>名称</w:t>
            </w:r>
          </w:p>
        </w:tc>
        <w:tc>
          <w:tcPr>
            <w:tcW w:w="1058" w:type="pct"/>
            <w:gridSpan w:val="3"/>
            <w:shd w:val="clear" w:color="auto" w:fill="auto"/>
            <w:vAlign w:val="center"/>
          </w:tcPr>
          <w:p w14:paraId="0C4C045D">
            <w:pPr>
              <w:jc w:val="center"/>
              <w:rPr>
                <w:rFonts w:ascii="宋体" w:hAnsi="宋体" w:eastAsia="宋体" w:cs="Times New Roman"/>
                <w:color w:val="auto"/>
                <w:kern w:val="21"/>
              </w:rPr>
            </w:pPr>
            <w:r>
              <w:rPr>
                <w:rFonts w:ascii="宋体" w:hAnsi="宋体" w:eastAsia="宋体" w:cs="Times New Roman"/>
                <w:color w:val="auto"/>
                <w:kern w:val="21"/>
              </w:rPr>
              <w:t>原油</w:t>
            </w:r>
          </w:p>
        </w:tc>
        <w:tc>
          <w:tcPr>
            <w:tcW w:w="725" w:type="pct"/>
            <w:shd w:val="clear" w:color="auto" w:fill="auto"/>
            <w:vAlign w:val="center"/>
          </w:tcPr>
          <w:p w14:paraId="5B501B88">
            <w:pPr>
              <w:jc w:val="center"/>
              <w:rPr>
                <w:rFonts w:ascii="宋体" w:hAnsi="宋体" w:eastAsia="宋体" w:cs="Times New Roman"/>
                <w:color w:val="auto"/>
                <w:kern w:val="21"/>
              </w:rPr>
            </w:pPr>
            <w:r>
              <w:rPr>
                <w:rFonts w:ascii="宋体" w:hAnsi="宋体" w:eastAsia="宋体" w:cs="Times New Roman"/>
                <w:color w:val="auto"/>
                <w:kern w:val="21"/>
              </w:rPr>
              <w:t>天然气</w:t>
            </w:r>
          </w:p>
        </w:tc>
        <w:tc>
          <w:tcPr>
            <w:tcW w:w="813" w:type="pct"/>
            <w:gridSpan w:val="2"/>
            <w:shd w:val="clear" w:color="auto" w:fill="auto"/>
            <w:vAlign w:val="center"/>
          </w:tcPr>
          <w:p w14:paraId="2B3D0FA4">
            <w:pPr>
              <w:jc w:val="center"/>
              <w:rPr>
                <w:rFonts w:ascii="宋体" w:hAnsi="宋体" w:eastAsia="宋体" w:cs="Times New Roman"/>
                <w:color w:val="auto"/>
                <w:kern w:val="21"/>
              </w:rPr>
            </w:pPr>
            <w:r>
              <w:rPr>
                <w:rFonts w:ascii="宋体" w:hAnsi="宋体" w:eastAsia="宋体" w:cs="Times New Roman"/>
                <w:color w:val="auto"/>
                <w:kern w:val="21"/>
              </w:rPr>
              <w:t>柴油</w:t>
            </w:r>
          </w:p>
        </w:tc>
        <w:tc>
          <w:tcPr>
            <w:tcW w:w="830" w:type="pct"/>
            <w:shd w:val="clear" w:color="auto" w:fill="auto"/>
            <w:vAlign w:val="center"/>
          </w:tcPr>
          <w:p w14:paraId="608DDB3F">
            <w:pPr>
              <w:jc w:val="center"/>
              <w:rPr>
                <w:rFonts w:ascii="宋体" w:hAnsi="宋体" w:eastAsia="宋体" w:cs="Times New Roman"/>
                <w:color w:val="auto"/>
                <w:kern w:val="21"/>
              </w:rPr>
            </w:pPr>
          </w:p>
        </w:tc>
      </w:tr>
      <w:tr w14:paraId="2E3F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31C3356E">
            <w:pPr>
              <w:jc w:val="center"/>
              <w:rPr>
                <w:rFonts w:ascii="宋体" w:hAnsi="宋体" w:eastAsia="宋体" w:cs="Times New Roman"/>
                <w:color w:val="auto"/>
                <w:kern w:val="21"/>
              </w:rPr>
            </w:pPr>
          </w:p>
        </w:tc>
        <w:tc>
          <w:tcPr>
            <w:tcW w:w="668" w:type="pct"/>
            <w:vMerge w:val="continue"/>
            <w:shd w:val="clear" w:color="auto" w:fill="auto"/>
            <w:vAlign w:val="center"/>
          </w:tcPr>
          <w:p w14:paraId="28E597B3">
            <w:pPr>
              <w:jc w:val="center"/>
              <w:rPr>
                <w:rFonts w:ascii="宋体" w:hAnsi="宋体" w:eastAsia="宋体" w:cs="Times New Roman"/>
                <w:color w:val="auto"/>
                <w:kern w:val="21"/>
              </w:rPr>
            </w:pPr>
          </w:p>
        </w:tc>
        <w:tc>
          <w:tcPr>
            <w:tcW w:w="593" w:type="pct"/>
            <w:shd w:val="clear" w:color="auto" w:fill="auto"/>
            <w:vAlign w:val="center"/>
          </w:tcPr>
          <w:p w14:paraId="0AF98699">
            <w:pPr>
              <w:jc w:val="center"/>
              <w:rPr>
                <w:rFonts w:ascii="宋体" w:hAnsi="宋体" w:eastAsia="宋体" w:cs="Times New Roman"/>
                <w:color w:val="auto"/>
                <w:kern w:val="21"/>
              </w:rPr>
            </w:pPr>
            <w:r>
              <w:rPr>
                <w:rFonts w:ascii="宋体" w:hAnsi="宋体" w:eastAsia="宋体" w:cs="Times New Roman"/>
                <w:color w:val="auto"/>
                <w:kern w:val="21"/>
              </w:rPr>
              <w:t>存在总量</w:t>
            </w:r>
          </w:p>
        </w:tc>
        <w:tc>
          <w:tcPr>
            <w:tcW w:w="1058" w:type="pct"/>
            <w:gridSpan w:val="3"/>
            <w:shd w:val="clear" w:color="auto" w:fill="auto"/>
            <w:vAlign w:val="center"/>
          </w:tcPr>
          <w:p w14:paraId="21AD4385">
            <w:pPr>
              <w:jc w:val="center"/>
              <w:rPr>
                <w:rFonts w:ascii="宋体" w:hAnsi="宋体" w:eastAsia="宋体" w:cs="Times New Roman"/>
                <w:color w:val="auto"/>
                <w:kern w:val="21"/>
              </w:rPr>
            </w:pPr>
            <w:r>
              <w:rPr>
                <w:rFonts w:hint="eastAsia" w:ascii="宋体" w:hAnsi="宋体" w:eastAsia="宋体" w:cs="Times New Roman"/>
                <w:color w:val="auto"/>
                <w:kern w:val="21"/>
              </w:rPr>
              <w:t>13.05</w:t>
            </w:r>
            <w:r>
              <w:rPr>
                <w:rFonts w:ascii="宋体" w:hAnsi="宋体" w:eastAsia="宋体" w:cs="Times New Roman"/>
                <w:color w:val="auto"/>
                <w:kern w:val="21"/>
              </w:rPr>
              <w:t>t</w:t>
            </w:r>
          </w:p>
        </w:tc>
        <w:tc>
          <w:tcPr>
            <w:tcW w:w="725" w:type="pct"/>
            <w:shd w:val="clear" w:color="auto" w:fill="auto"/>
            <w:vAlign w:val="center"/>
          </w:tcPr>
          <w:p w14:paraId="0F04180A">
            <w:pPr>
              <w:jc w:val="center"/>
              <w:rPr>
                <w:rFonts w:ascii="宋体" w:hAnsi="宋体" w:eastAsia="宋体" w:cs="Times New Roman"/>
                <w:color w:val="auto"/>
                <w:kern w:val="21"/>
              </w:rPr>
            </w:pPr>
            <w:r>
              <w:rPr>
                <w:rFonts w:ascii="宋体" w:hAnsi="宋体" w:eastAsia="宋体" w:cs="Times New Roman"/>
                <w:color w:val="auto"/>
                <w:kern w:val="21"/>
              </w:rPr>
              <w:t>0.</w:t>
            </w:r>
            <w:r>
              <w:rPr>
                <w:rFonts w:hint="eastAsia" w:ascii="宋体" w:hAnsi="宋体" w:eastAsia="宋体" w:cs="Times New Roman"/>
                <w:color w:val="auto"/>
                <w:kern w:val="21"/>
              </w:rPr>
              <w:t>021</w:t>
            </w:r>
            <w:r>
              <w:rPr>
                <w:rFonts w:ascii="宋体" w:hAnsi="宋体" w:eastAsia="宋体" w:cs="Times New Roman"/>
                <w:color w:val="auto"/>
                <w:kern w:val="21"/>
              </w:rPr>
              <w:t>t</w:t>
            </w:r>
          </w:p>
        </w:tc>
        <w:tc>
          <w:tcPr>
            <w:tcW w:w="813" w:type="pct"/>
            <w:gridSpan w:val="2"/>
            <w:shd w:val="clear" w:color="auto" w:fill="auto"/>
            <w:vAlign w:val="center"/>
          </w:tcPr>
          <w:p w14:paraId="2B1AFF7E">
            <w:pPr>
              <w:jc w:val="center"/>
              <w:rPr>
                <w:rFonts w:ascii="宋体" w:hAnsi="宋体" w:eastAsia="宋体" w:cs="Times New Roman"/>
                <w:color w:val="auto"/>
                <w:kern w:val="21"/>
              </w:rPr>
            </w:pPr>
            <w:r>
              <w:rPr>
                <w:rFonts w:ascii="宋体" w:hAnsi="宋体" w:eastAsia="宋体" w:cs="Times New Roman"/>
                <w:color w:val="auto"/>
                <w:kern w:val="21"/>
              </w:rPr>
              <w:t>50.1t</w:t>
            </w:r>
          </w:p>
        </w:tc>
        <w:tc>
          <w:tcPr>
            <w:tcW w:w="830" w:type="pct"/>
            <w:shd w:val="clear" w:color="auto" w:fill="auto"/>
            <w:vAlign w:val="center"/>
          </w:tcPr>
          <w:p w14:paraId="45C83FAB">
            <w:pPr>
              <w:jc w:val="center"/>
              <w:rPr>
                <w:rFonts w:ascii="宋体" w:hAnsi="宋体" w:eastAsia="宋体" w:cs="Times New Roman"/>
                <w:color w:val="auto"/>
                <w:kern w:val="21"/>
              </w:rPr>
            </w:pPr>
          </w:p>
        </w:tc>
      </w:tr>
      <w:tr w14:paraId="7A99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4E8AEA4D">
            <w:pPr>
              <w:jc w:val="center"/>
              <w:rPr>
                <w:rFonts w:ascii="宋体" w:hAnsi="宋体" w:eastAsia="宋体" w:cs="Times New Roman"/>
                <w:color w:val="auto"/>
                <w:kern w:val="21"/>
              </w:rPr>
            </w:pPr>
          </w:p>
        </w:tc>
        <w:tc>
          <w:tcPr>
            <w:tcW w:w="668" w:type="pct"/>
            <w:vMerge w:val="restart"/>
            <w:shd w:val="clear" w:color="auto" w:fill="auto"/>
            <w:vAlign w:val="center"/>
          </w:tcPr>
          <w:p w14:paraId="424B58ED">
            <w:pPr>
              <w:jc w:val="center"/>
              <w:rPr>
                <w:rFonts w:ascii="宋体" w:hAnsi="宋体" w:eastAsia="宋体" w:cs="Times New Roman"/>
                <w:color w:val="auto"/>
                <w:kern w:val="21"/>
              </w:rPr>
            </w:pPr>
            <w:r>
              <w:rPr>
                <w:rFonts w:ascii="宋体" w:hAnsi="宋体" w:eastAsia="宋体" w:cs="Times New Roman"/>
                <w:color w:val="auto"/>
                <w:kern w:val="21"/>
              </w:rPr>
              <w:t>环境</w:t>
            </w:r>
          </w:p>
          <w:p w14:paraId="5F9F447A">
            <w:pPr>
              <w:jc w:val="center"/>
              <w:rPr>
                <w:rFonts w:ascii="宋体" w:hAnsi="宋体" w:eastAsia="宋体" w:cs="Times New Roman"/>
                <w:color w:val="auto"/>
                <w:kern w:val="21"/>
              </w:rPr>
            </w:pPr>
            <w:r>
              <w:rPr>
                <w:rFonts w:ascii="宋体" w:hAnsi="宋体" w:eastAsia="宋体" w:cs="Times New Roman"/>
                <w:color w:val="auto"/>
                <w:kern w:val="21"/>
              </w:rPr>
              <w:t>敏感性</w:t>
            </w:r>
          </w:p>
        </w:tc>
        <w:tc>
          <w:tcPr>
            <w:tcW w:w="593" w:type="pct"/>
            <w:vMerge w:val="restart"/>
            <w:shd w:val="clear" w:color="auto" w:fill="auto"/>
            <w:vAlign w:val="center"/>
          </w:tcPr>
          <w:p w14:paraId="7C12E7FD">
            <w:pPr>
              <w:jc w:val="center"/>
              <w:rPr>
                <w:rFonts w:ascii="宋体" w:hAnsi="宋体" w:eastAsia="宋体" w:cs="Times New Roman"/>
                <w:color w:val="auto"/>
                <w:kern w:val="21"/>
              </w:rPr>
            </w:pPr>
            <w:r>
              <w:rPr>
                <w:rFonts w:ascii="宋体" w:hAnsi="宋体" w:eastAsia="宋体" w:cs="Times New Roman"/>
                <w:color w:val="auto"/>
                <w:kern w:val="21"/>
              </w:rPr>
              <w:t>大气</w:t>
            </w:r>
          </w:p>
        </w:tc>
        <w:tc>
          <w:tcPr>
            <w:tcW w:w="1783" w:type="pct"/>
            <w:gridSpan w:val="4"/>
            <w:shd w:val="clear" w:color="auto" w:fill="auto"/>
            <w:vAlign w:val="center"/>
          </w:tcPr>
          <w:p w14:paraId="7C5AD5C9">
            <w:pPr>
              <w:jc w:val="center"/>
              <w:rPr>
                <w:rFonts w:ascii="宋体" w:hAnsi="宋体" w:eastAsia="宋体" w:cs="Times New Roman"/>
                <w:color w:val="auto"/>
                <w:kern w:val="21"/>
              </w:rPr>
            </w:pPr>
            <w:r>
              <w:rPr>
                <w:rFonts w:ascii="宋体" w:hAnsi="宋体" w:eastAsia="宋体" w:cs="Times New Roman"/>
                <w:color w:val="auto"/>
                <w:kern w:val="21"/>
              </w:rPr>
              <w:t>500m范围内人口数</w:t>
            </w:r>
            <w:r>
              <w:rPr>
                <w:rFonts w:ascii="宋体" w:hAnsi="宋体" w:eastAsia="宋体" w:cs="Times New Roman"/>
                <w:color w:val="auto"/>
                <w:kern w:val="21"/>
                <w:u w:val="single"/>
              </w:rPr>
              <w:t xml:space="preserve">   </w:t>
            </w:r>
            <w:r>
              <w:rPr>
                <w:rFonts w:ascii="宋体" w:hAnsi="宋体" w:eastAsia="宋体" w:cs="Times New Roman"/>
                <w:color w:val="auto"/>
                <w:kern w:val="21"/>
              </w:rPr>
              <w:t>人</w:t>
            </w:r>
          </w:p>
        </w:tc>
        <w:tc>
          <w:tcPr>
            <w:tcW w:w="1643" w:type="pct"/>
            <w:gridSpan w:val="3"/>
            <w:shd w:val="clear" w:color="auto" w:fill="auto"/>
            <w:vAlign w:val="center"/>
          </w:tcPr>
          <w:p w14:paraId="43C86A0B">
            <w:pPr>
              <w:jc w:val="center"/>
              <w:rPr>
                <w:rFonts w:ascii="宋体" w:hAnsi="宋体" w:eastAsia="宋体" w:cs="Times New Roman"/>
                <w:color w:val="auto"/>
                <w:kern w:val="21"/>
              </w:rPr>
            </w:pPr>
            <w:r>
              <w:rPr>
                <w:rFonts w:ascii="宋体" w:hAnsi="宋体" w:eastAsia="宋体" w:cs="Times New Roman"/>
                <w:color w:val="auto"/>
                <w:kern w:val="21"/>
              </w:rPr>
              <w:t>5km范围内人口数</w:t>
            </w:r>
            <w:r>
              <w:rPr>
                <w:rFonts w:ascii="宋体" w:hAnsi="宋体" w:eastAsia="宋体" w:cs="Times New Roman"/>
                <w:color w:val="auto"/>
                <w:kern w:val="21"/>
                <w:u w:val="single"/>
              </w:rPr>
              <w:t xml:space="preserve">   </w:t>
            </w:r>
            <w:r>
              <w:rPr>
                <w:rFonts w:ascii="宋体" w:hAnsi="宋体" w:eastAsia="宋体" w:cs="Times New Roman"/>
                <w:color w:val="auto"/>
                <w:kern w:val="21"/>
              </w:rPr>
              <w:t>人</w:t>
            </w:r>
          </w:p>
        </w:tc>
      </w:tr>
      <w:tr w14:paraId="44AD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5B0ABEDC">
            <w:pPr>
              <w:jc w:val="center"/>
              <w:rPr>
                <w:rFonts w:ascii="宋体" w:hAnsi="宋体" w:eastAsia="宋体" w:cs="Times New Roman"/>
                <w:color w:val="auto"/>
                <w:kern w:val="21"/>
              </w:rPr>
            </w:pPr>
          </w:p>
        </w:tc>
        <w:tc>
          <w:tcPr>
            <w:tcW w:w="668" w:type="pct"/>
            <w:vMerge w:val="continue"/>
            <w:shd w:val="clear" w:color="auto" w:fill="auto"/>
            <w:vAlign w:val="center"/>
          </w:tcPr>
          <w:p w14:paraId="4648F2BC">
            <w:pPr>
              <w:jc w:val="center"/>
              <w:rPr>
                <w:rFonts w:ascii="宋体" w:hAnsi="宋体" w:eastAsia="宋体" w:cs="Times New Roman"/>
                <w:color w:val="auto"/>
                <w:kern w:val="21"/>
              </w:rPr>
            </w:pPr>
          </w:p>
        </w:tc>
        <w:tc>
          <w:tcPr>
            <w:tcW w:w="593" w:type="pct"/>
            <w:vMerge w:val="continue"/>
            <w:shd w:val="clear" w:color="auto" w:fill="auto"/>
            <w:vAlign w:val="center"/>
          </w:tcPr>
          <w:p w14:paraId="7794F6F4">
            <w:pPr>
              <w:jc w:val="center"/>
              <w:rPr>
                <w:rFonts w:ascii="宋体" w:hAnsi="宋体" w:eastAsia="宋体" w:cs="Times New Roman"/>
                <w:color w:val="auto"/>
                <w:kern w:val="21"/>
              </w:rPr>
            </w:pPr>
          </w:p>
        </w:tc>
        <w:tc>
          <w:tcPr>
            <w:tcW w:w="2596" w:type="pct"/>
            <w:gridSpan w:val="6"/>
            <w:shd w:val="clear" w:color="auto" w:fill="auto"/>
            <w:vAlign w:val="center"/>
          </w:tcPr>
          <w:p w14:paraId="28D2D49F">
            <w:pPr>
              <w:jc w:val="center"/>
              <w:rPr>
                <w:rFonts w:ascii="宋体" w:hAnsi="宋体" w:eastAsia="宋体" w:cs="Times New Roman"/>
                <w:color w:val="auto"/>
                <w:kern w:val="21"/>
              </w:rPr>
            </w:pPr>
            <w:r>
              <w:rPr>
                <w:rFonts w:ascii="宋体" w:hAnsi="宋体" w:eastAsia="宋体" w:cs="Times New Roman"/>
                <w:color w:val="auto"/>
                <w:kern w:val="21"/>
              </w:rPr>
              <w:t>每公里管段周边200m范围内人口数（最大）</w:t>
            </w:r>
          </w:p>
        </w:tc>
        <w:tc>
          <w:tcPr>
            <w:tcW w:w="830" w:type="pct"/>
            <w:shd w:val="clear" w:color="auto" w:fill="auto"/>
            <w:vAlign w:val="center"/>
          </w:tcPr>
          <w:p w14:paraId="3B33937B">
            <w:pPr>
              <w:jc w:val="center"/>
              <w:rPr>
                <w:rFonts w:ascii="宋体" w:hAnsi="宋体" w:eastAsia="宋体" w:cs="Times New Roman"/>
                <w:color w:val="auto"/>
                <w:kern w:val="21"/>
              </w:rPr>
            </w:pPr>
            <w:r>
              <w:rPr>
                <w:rFonts w:ascii="宋体" w:hAnsi="宋体" w:eastAsia="宋体" w:cs="Times New Roman"/>
                <w:color w:val="auto"/>
                <w:kern w:val="21"/>
                <w:u w:val="single"/>
              </w:rPr>
              <w:t xml:space="preserve">   </w:t>
            </w:r>
            <w:r>
              <w:rPr>
                <w:rFonts w:ascii="宋体" w:hAnsi="宋体" w:eastAsia="宋体" w:cs="Times New Roman"/>
                <w:color w:val="auto"/>
                <w:kern w:val="21"/>
              </w:rPr>
              <w:t>人</w:t>
            </w:r>
          </w:p>
        </w:tc>
      </w:tr>
      <w:tr w14:paraId="17C6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54DD68BE">
            <w:pPr>
              <w:jc w:val="center"/>
              <w:rPr>
                <w:rFonts w:ascii="宋体" w:hAnsi="宋体" w:eastAsia="宋体" w:cs="Times New Roman"/>
                <w:color w:val="auto"/>
                <w:kern w:val="21"/>
              </w:rPr>
            </w:pPr>
          </w:p>
        </w:tc>
        <w:tc>
          <w:tcPr>
            <w:tcW w:w="668" w:type="pct"/>
            <w:vMerge w:val="continue"/>
            <w:shd w:val="clear" w:color="auto" w:fill="auto"/>
            <w:vAlign w:val="center"/>
          </w:tcPr>
          <w:p w14:paraId="4D081218">
            <w:pPr>
              <w:jc w:val="center"/>
              <w:rPr>
                <w:rFonts w:ascii="宋体" w:hAnsi="宋体" w:eastAsia="宋体" w:cs="Times New Roman"/>
                <w:color w:val="auto"/>
                <w:kern w:val="21"/>
              </w:rPr>
            </w:pPr>
          </w:p>
        </w:tc>
        <w:tc>
          <w:tcPr>
            <w:tcW w:w="593" w:type="pct"/>
            <w:vMerge w:val="restart"/>
            <w:shd w:val="clear" w:color="auto" w:fill="auto"/>
            <w:vAlign w:val="center"/>
          </w:tcPr>
          <w:p w14:paraId="49AB1116">
            <w:pPr>
              <w:jc w:val="center"/>
              <w:rPr>
                <w:rFonts w:ascii="宋体" w:hAnsi="宋体" w:eastAsia="宋体" w:cs="Times New Roman"/>
                <w:color w:val="auto"/>
                <w:kern w:val="21"/>
              </w:rPr>
            </w:pPr>
            <w:r>
              <w:rPr>
                <w:rFonts w:ascii="宋体" w:hAnsi="宋体" w:eastAsia="宋体" w:cs="Times New Roman"/>
                <w:color w:val="auto"/>
                <w:kern w:val="21"/>
              </w:rPr>
              <w:t>地表水</w:t>
            </w:r>
          </w:p>
        </w:tc>
        <w:tc>
          <w:tcPr>
            <w:tcW w:w="1058" w:type="pct"/>
            <w:gridSpan w:val="3"/>
            <w:shd w:val="clear" w:color="auto" w:fill="auto"/>
            <w:vAlign w:val="center"/>
          </w:tcPr>
          <w:p w14:paraId="42BB6830">
            <w:pPr>
              <w:jc w:val="center"/>
              <w:rPr>
                <w:rFonts w:ascii="宋体" w:hAnsi="宋体" w:eastAsia="宋体" w:cs="Times New Roman"/>
                <w:color w:val="auto"/>
                <w:kern w:val="21"/>
              </w:rPr>
            </w:pPr>
            <w:r>
              <w:rPr>
                <w:rFonts w:ascii="宋体" w:hAnsi="宋体" w:eastAsia="宋体" w:cs="Times New Roman"/>
                <w:color w:val="auto"/>
                <w:kern w:val="21"/>
              </w:rPr>
              <w:t>地表水功能敏感性</w:t>
            </w:r>
          </w:p>
        </w:tc>
        <w:tc>
          <w:tcPr>
            <w:tcW w:w="725" w:type="pct"/>
            <w:shd w:val="clear" w:color="auto" w:fill="auto"/>
            <w:vAlign w:val="center"/>
          </w:tcPr>
          <w:p w14:paraId="2A98C232">
            <w:pPr>
              <w:jc w:val="center"/>
              <w:rPr>
                <w:rFonts w:ascii="宋体" w:hAnsi="宋体" w:eastAsia="宋体" w:cs="Times New Roman"/>
                <w:color w:val="auto"/>
                <w:kern w:val="21"/>
              </w:rPr>
            </w:pPr>
            <w:r>
              <w:rPr>
                <w:rFonts w:ascii="宋体" w:hAnsi="宋体" w:eastAsia="宋体" w:cs="Times New Roman"/>
                <w:color w:val="auto"/>
                <w:kern w:val="21"/>
              </w:rPr>
              <w:t>F1</w:t>
            </w:r>
            <w:r>
              <w:rPr>
                <w:rFonts w:ascii="宋体" w:hAnsi="宋体" w:eastAsia="宋体" w:cs="Times New Roman"/>
                <w:color w:val="auto"/>
                <w:kern w:val="21"/>
              </w:rPr>
              <w:sym w:font="Wingdings" w:char="00A8"/>
            </w:r>
          </w:p>
        </w:tc>
        <w:tc>
          <w:tcPr>
            <w:tcW w:w="813" w:type="pct"/>
            <w:gridSpan w:val="2"/>
            <w:shd w:val="clear" w:color="auto" w:fill="auto"/>
            <w:vAlign w:val="center"/>
          </w:tcPr>
          <w:p w14:paraId="415EB9F4">
            <w:pPr>
              <w:jc w:val="center"/>
              <w:rPr>
                <w:rFonts w:ascii="宋体" w:hAnsi="宋体" w:eastAsia="宋体" w:cs="Times New Roman"/>
                <w:color w:val="auto"/>
                <w:kern w:val="21"/>
              </w:rPr>
            </w:pPr>
            <w:r>
              <w:rPr>
                <w:rFonts w:ascii="宋体" w:hAnsi="宋体" w:eastAsia="宋体" w:cs="Times New Roman"/>
                <w:color w:val="auto"/>
                <w:kern w:val="21"/>
              </w:rPr>
              <w:t>F2</w:t>
            </w:r>
            <w:r>
              <w:rPr>
                <w:rFonts w:ascii="宋体" w:hAnsi="宋体" w:eastAsia="宋体" w:cs="Times New Roman"/>
                <w:color w:val="auto"/>
                <w:kern w:val="21"/>
              </w:rPr>
              <w:sym w:font="Wingdings" w:char="00A8"/>
            </w:r>
          </w:p>
        </w:tc>
        <w:tc>
          <w:tcPr>
            <w:tcW w:w="830" w:type="pct"/>
            <w:shd w:val="clear" w:color="auto" w:fill="auto"/>
            <w:vAlign w:val="center"/>
          </w:tcPr>
          <w:p w14:paraId="6A108B8C">
            <w:pPr>
              <w:jc w:val="center"/>
              <w:rPr>
                <w:rFonts w:ascii="宋体" w:hAnsi="宋体" w:eastAsia="宋体" w:cs="Times New Roman"/>
                <w:color w:val="auto"/>
                <w:kern w:val="21"/>
              </w:rPr>
            </w:pPr>
            <w:r>
              <w:rPr>
                <w:rFonts w:ascii="宋体" w:hAnsi="宋体" w:eastAsia="宋体" w:cs="Times New Roman"/>
                <w:color w:val="auto"/>
                <w:kern w:val="21"/>
              </w:rPr>
              <w:t>F3</w:t>
            </w:r>
            <w:r>
              <w:rPr>
                <w:rFonts w:ascii="宋体" w:hAnsi="宋体" w:eastAsia="宋体" w:cs="Times New Roman"/>
                <w:color w:val="auto"/>
                <w:kern w:val="21"/>
              </w:rPr>
              <w:sym w:font="Wingdings" w:char="00A8"/>
            </w:r>
          </w:p>
        </w:tc>
      </w:tr>
      <w:tr w14:paraId="6E13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313A8C88">
            <w:pPr>
              <w:jc w:val="center"/>
              <w:rPr>
                <w:rFonts w:ascii="宋体" w:hAnsi="宋体" w:eastAsia="宋体" w:cs="Times New Roman"/>
                <w:color w:val="auto"/>
                <w:kern w:val="21"/>
              </w:rPr>
            </w:pPr>
          </w:p>
        </w:tc>
        <w:tc>
          <w:tcPr>
            <w:tcW w:w="668" w:type="pct"/>
            <w:vMerge w:val="continue"/>
            <w:shd w:val="clear" w:color="auto" w:fill="auto"/>
            <w:vAlign w:val="center"/>
          </w:tcPr>
          <w:p w14:paraId="2E2E1B11">
            <w:pPr>
              <w:jc w:val="center"/>
              <w:rPr>
                <w:rFonts w:ascii="宋体" w:hAnsi="宋体" w:eastAsia="宋体" w:cs="Times New Roman"/>
                <w:color w:val="auto"/>
                <w:kern w:val="21"/>
              </w:rPr>
            </w:pPr>
          </w:p>
        </w:tc>
        <w:tc>
          <w:tcPr>
            <w:tcW w:w="593" w:type="pct"/>
            <w:vMerge w:val="continue"/>
            <w:shd w:val="clear" w:color="auto" w:fill="auto"/>
            <w:vAlign w:val="center"/>
          </w:tcPr>
          <w:p w14:paraId="39D136F7">
            <w:pPr>
              <w:jc w:val="center"/>
              <w:rPr>
                <w:rFonts w:ascii="宋体" w:hAnsi="宋体" w:eastAsia="宋体" w:cs="Times New Roman"/>
                <w:color w:val="auto"/>
                <w:kern w:val="21"/>
              </w:rPr>
            </w:pPr>
          </w:p>
        </w:tc>
        <w:tc>
          <w:tcPr>
            <w:tcW w:w="1058" w:type="pct"/>
            <w:gridSpan w:val="3"/>
            <w:shd w:val="clear" w:color="auto" w:fill="auto"/>
            <w:vAlign w:val="center"/>
          </w:tcPr>
          <w:p w14:paraId="2A3668C4">
            <w:pPr>
              <w:jc w:val="center"/>
              <w:rPr>
                <w:rFonts w:ascii="宋体" w:hAnsi="宋体" w:eastAsia="宋体" w:cs="Times New Roman"/>
                <w:color w:val="auto"/>
                <w:kern w:val="21"/>
              </w:rPr>
            </w:pPr>
            <w:r>
              <w:rPr>
                <w:rFonts w:ascii="宋体" w:hAnsi="宋体" w:eastAsia="宋体" w:cs="Times New Roman"/>
                <w:color w:val="auto"/>
                <w:kern w:val="21"/>
              </w:rPr>
              <w:t>环境敏感目标分级</w:t>
            </w:r>
          </w:p>
        </w:tc>
        <w:tc>
          <w:tcPr>
            <w:tcW w:w="725" w:type="pct"/>
            <w:shd w:val="clear" w:color="auto" w:fill="auto"/>
            <w:vAlign w:val="center"/>
          </w:tcPr>
          <w:p w14:paraId="045DE22D">
            <w:pPr>
              <w:jc w:val="center"/>
              <w:rPr>
                <w:rFonts w:ascii="宋体" w:hAnsi="宋体" w:eastAsia="宋体" w:cs="Times New Roman"/>
                <w:color w:val="auto"/>
                <w:kern w:val="21"/>
              </w:rPr>
            </w:pPr>
            <w:r>
              <w:rPr>
                <w:rFonts w:ascii="宋体" w:hAnsi="宋体" w:eastAsia="宋体" w:cs="Times New Roman"/>
                <w:color w:val="auto"/>
                <w:kern w:val="21"/>
              </w:rPr>
              <w:t>S1</w:t>
            </w:r>
            <w:r>
              <w:rPr>
                <w:rFonts w:ascii="宋体" w:hAnsi="宋体" w:eastAsia="宋体" w:cs="Times New Roman"/>
                <w:color w:val="auto"/>
                <w:kern w:val="21"/>
              </w:rPr>
              <w:sym w:font="Wingdings" w:char="00A8"/>
            </w:r>
          </w:p>
        </w:tc>
        <w:tc>
          <w:tcPr>
            <w:tcW w:w="813" w:type="pct"/>
            <w:gridSpan w:val="2"/>
            <w:shd w:val="clear" w:color="auto" w:fill="auto"/>
            <w:vAlign w:val="center"/>
          </w:tcPr>
          <w:p w14:paraId="20BA89F4">
            <w:pPr>
              <w:jc w:val="center"/>
              <w:rPr>
                <w:rFonts w:ascii="宋体" w:hAnsi="宋体" w:eastAsia="宋体" w:cs="Times New Roman"/>
                <w:color w:val="auto"/>
                <w:kern w:val="21"/>
              </w:rPr>
            </w:pPr>
            <w:r>
              <w:rPr>
                <w:rFonts w:ascii="宋体" w:hAnsi="宋体" w:eastAsia="宋体" w:cs="Times New Roman"/>
                <w:color w:val="auto"/>
                <w:kern w:val="21"/>
              </w:rPr>
              <w:t>S2</w:t>
            </w:r>
            <w:r>
              <w:rPr>
                <w:rFonts w:ascii="宋体" w:hAnsi="宋体" w:eastAsia="宋体" w:cs="Times New Roman"/>
                <w:color w:val="auto"/>
                <w:kern w:val="21"/>
              </w:rPr>
              <w:sym w:font="Wingdings" w:char="00A8"/>
            </w:r>
          </w:p>
        </w:tc>
        <w:tc>
          <w:tcPr>
            <w:tcW w:w="830" w:type="pct"/>
            <w:shd w:val="clear" w:color="auto" w:fill="auto"/>
            <w:vAlign w:val="center"/>
          </w:tcPr>
          <w:p w14:paraId="2F4B128F">
            <w:pPr>
              <w:jc w:val="center"/>
              <w:rPr>
                <w:rFonts w:ascii="宋体" w:hAnsi="宋体" w:eastAsia="宋体" w:cs="Times New Roman"/>
                <w:color w:val="auto"/>
                <w:kern w:val="21"/>
              </w:rPr>
            </w:pPr>
            <w:r>
              <w:rPr>
                <w:rFonts w:ascii="宋体" w:hAnsi="宋体" w:eastAsia="宋体" w:cs="Times New Roman"/>
                <w:color w:val="auto"/>
                <w:kern w:val="21"/>
              </w:rPr>
              <w:t>S3</w:t>
            </w:r>
            <w:r>
              <w:rPr>
                <w:rFonts w:ascii="宋体" w:hAnsi="宋体" w:eastAsia="宋体" w:cs="Times New Roman"/>
                <w:color w:val="auto"/>
                <w:kern w:val="21"/>
              </w:rPr>
              <w:sym w:font="Wingdings" w:char="00A8"/>
            </w:r>
          </w:p>
        </w:tc>
      </w:tr>
      <w:tr w14:paraId="6A7D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0783F9A8">
            <w:pPr>
              <w:jc w:val="center"/>
              <w:rPr>
                <w:rFonts w:ascii="宋体" w:hAnsi="宋体" w:eastAsia="宋体" w:cs="Times New Roman"/>
                <w:color w:val="auto"/>
                <w:kern w:val="21"/>
              </w:rPr>
            </w:pPr>
          </w:p>
        </w:tc>
        <w:tc>
          <w:tcPr>
            <w:tcW w:w="668" w:type="pct"/>
            <w:vMerge w:val="continue"/>
            <w:shd w:val="clear" w:color="auto" w:fill="auto"/>
            <w:vAlign w:val="center"/>
          </w:tcPr>
          <w:p w14:paraId="6D0D52CF">
            <w:pPr>
              <w:jc w:val="center"/>
              <w:rPr>
                <w:rFonts w:ascii="宋体" w:hAnsi="宋体" w:eastAsia="宋体" w:cs="Times New Roman"/>
                <w:color w:val="auto"/>
                <w:kern w:val="21"/>
              </w:rPr>
            </w:pPr>
          </w:p>
        </w:tc>
        <w:tc>
          <w:tcPr>
            <w:tcW w:w="593" w:type="pct"/>
            <w:vMerge w:val="restart"/>
            <w:shd w:val="clear" w:color="auto" w:fill="auto"/>
            <w:vAlign w:val="center"/>
          </w:tcPr>
          <w:p w14:paraId="332EB28E">
            <w:pPr>
              <w:jc w:val="center"/>
              <w:rPr>
                <w:rFonts w:ascii="宋体" w:hAnsi="宋体" w:eastAsia="宋体" w:cs="Times New Roman"/>
                <w:color w:val="auto"/>
                <w:kern w:val="21"/>
              </w:rPr>
            </w:pPr>
            <w:r>
              <w:rPr>
                <w:rFonts w:ascii="宋体" w:hAnsi="宋体" w:eastAsia="宋体" w:cs="Times New Roman"/>
                <w:color w:val="auto"/>
                <w:kern w:val="21"/>
              </w:rPr>
              <w:t>地下水</w:t>
            </w:r>
          </w:p>
        </w:tc>
        <w:tc>
          <w:tcPr>
            <w:tcW w:w="1058" w:type="pct"/>
            <w:gridSpan w:val="3"/>
            <w:shd w:val="clear" w:color="auto" w:fill="auto"/>
            <w:vAlign w:val="center"/>
          </w:tcPr>
          <w:p w14:paraId="2184C608">
            <w:pPr>
              <w:jc w:val="center"/>
              <w:rPr>
                <w:rFonts w:ascii="宋体" w:hAnsi="宋体" w:eastAsia="宋体" w:cs="Times New Roman"/>
                <w:color w:val="auto"/>
                <w:kern w:val="21"/>
              </w:rPr>
            </w:pPr>
            <w:r>
              <w:rPr>
                <w:rFonts w:ascii="宋体" w:hAnsi="宋体" w:eastAsia="宋体" w:cs="Times New Roman"/>
                <w:color w:val="auto"/>
                <w:kern w:val="21"/>
              </w:rPr>
              <w:t>地下水功能敏感性</w:t>
            </w:r>
          </w:p>
        </w:tc>
        <w:tc>
          <w:tcPr>
            <w:tcW w:w="725" w:type="pct"/>
            <w:shd w:val="clear" w:color="auto" w:fill="auto"/>
            <w:vAlign w:val="center"/>
          </w:tcPr>
          <w:p w14:paraId="7DADEF94">
            <w:pPr>
              <w:jc w:val="center"/>
              <w:rPr>
                <w:rFonts w:ascii="宋体" w:hAnsi="宋体" w:eastAsia="宋体" w:cs="Times New Roman"/>
                <w:color w:val="auto"/>
                <w:kern w:val="21"/>
              </w:rPr>
            </w:pPr>
            <w:r>
              <w:rPr>
                <w:rFonts w:ascii="宋体" w:hAnsi="宋体" w:eastAsia="宋体" w:cs="Times New Roman"/>
                <w:color w:val="auto"/>
                <w:kern w:val="21"/>
              </w:rPr>
              <w:t>G1</w:t>
            </w:r>
            <w:r>
              <w:rPr>
                <w:rFonts w:ascii="宋体" w:hAnsi="宋体" w:eastAsia="宋体" w:cs="Times New Roman"/>
                <w:color w:val="auto"/>
                <w:kern w:val="21"/>
              </w:rPr>
              <w:sym w:font="Wingdings" w:char="00A8"/>
            </w:r>
          </w:p>
        </w:tc>
        <w:tc>
          <w:tcPr>
            <w:tcW w:w="813" w:type="pct"/>
            <w:gridSpan w:val="2"/>
            <w:shd w:val="clear" w:color="auto" w:fill="auto"/>
            <w:vAlign w:val="center"/>
          </w:tcPr>
          <w:p w14:paraId="14CCF655">
            <w:pPr>
              <w:jc w:val="center"/>
              <w:rPr>
                <w:rFonts w:ascii="宋体" w:hAnsi="宋体" w:eastAsia="宋体" w:cs="Times New Roman"/>
                <w:color w:val="auto"/>
                <w:kern w:val="21"/>
              </w:rPr>
            </w:pPr>
            <w:r>
              <w:rPr>
                <w:rFonts w:ascii="宋体" w:hAnsi="宋体" w:eastAsia="宋体" w:cs="Times New Roman"/>
                <w:color w:val="auto"/>
                <w:kern w:val="21"/>
              </w:rPr>
              <w:t>G2</w:t>
            </w:r>
            <w:r>
              <w:rPr>
                <w:rFonts w:ascii="宋体" w:hAnsi="宋体" w:eastAsia="宋体" w:cs="Times New Roman"/>
                <w:color w:val="auto"/>
                <w:kern w:val="21"/>
              </w:rPr>
              <w:sym w:font="Wingdings" w:char="00A8"/>
            </w:r>
          </w:p>
        </w:tc>
        <w:tc>
          <w:tcPr>
            <w:tcW w:w="830" w:type="pct"/>
            <w:shd w:val="clear" w:color="auto" w:fill="auto"/>
            <w:vAlign w:val="center"/>
          </w:tcPr>
          <w:p w14:paraId="1612CE35">
            <w:pPr>
              <w:jc w:val="center"/>
              <w:rPr>
                <w:rFonts w:ascii="宋体" w:hAnsi="宋体" w:eastAsia="宋体" w:cs="Times New Roman"/>
                <w:color w:val="auto"/>
                <w:kern w:val="21"/>
              </w:rPr>
            </w:pPr>
            <w:r>
              <w:rPr>
                <w:rFonts w:ascii="宋体" w:hAnsi="宋体" w:eastAsia="宋体" w:cs="Times New Roman"/>
                <w:color w:val="auto"/>
                <w:kern w:val="21"/>
              </w:rPr>
              <w:t>G3</w:t>
            </w:r>
            <w:r>
              <w:rPr>
                <w:rFonts w:ascii="宋体" w:hAnsi="宋体" w:eastAsia="宋体" w:cs="Times New Roman"/>
                <w:color w:val="auto"/>
                <w:kern w:val="21"/>
              </w:rPr>
              <w:sym w:font="Wingdings" w:char="00A8"/>
            </w:r>
          </w:p>
        </w:tc>
      </w:tr>
      <w:tr w14:paraId="4E11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6D49ED8A">
            <w:pPr>
              <w:jc w:val="center"/>
              <w:rPr>
                <w:rFonts w:ascii="宋体" w:hAnsi="宋体" w:eastAsia="宋体" w:cs="Times New Roman"/>
                <w:color w:val="auto"/>
                <w:kern w:val="21"/>
              </w:rPr>
            </w:pPr>
          </w:p>
        </w:tc>
        <w:tc>
          <w:tcPr>
            <w:tcW w:w="668" w:type="pct"/>
            <w:vMerge w:val="continue"/>
            <w:shd w:val="clear" w:color="auto" w:fill="auto"/>
            <w:vAlign w:val="center"/>
          </w:tcPr>
          <w:p w14:paraId="482ABAF9">
            <w:pPr>
              <w:jc w:val="center"/>
              <w:rPr>
                <w:rFonts w:ascii="宋体" w:hAnsi="宋体" w:eastAsia="宋体" w:cs="Times New Roman"/>
                <w:color w:val="auto"/>
                <w:kern w:val="21"/>
              </w:rPr>
            </w:pPr>
          </w:p>
        </w:tc>
        <w:tc>
          <w:tcPr>
            <w:tcW w:w="593" w:type="pct"/>
            <w:vMerge w:val="continue"/>
            <w:shd w:val="clear" w:color="auto" w:fill="auto"/>
            <w:vAlign w:val="center"/>
          </w:tcPr>
          <w:p w14:paraId="2A53B568">
            <w:pPr>
              <w:jc w:val="center"/>
              <w:rPr>
                <w:rFonts w:ascii="宋体" w:hAnsi="宋体" w:eastAsia="宋体" w:cs="Times New Roman"/>
                <w:color w:val="auto"/>
                <w:kern w:val="21"/>
              </w:rPr>
            </w:pPr>
          </w:p>
        </w:tc>
        <w:tc>
          <w:tcPr>
            <w:tcW w:w="1058" w:type="pct"/>
            <w:gridSpan w:val="3"/>
            <w:shd w:val="clear" w:color="auto" w:fill="auto"/>
            <w:vAlign w:val="center"/>
          </w:tcPr>
          <w:p w14:paraId="68630D2D">
            <w:pPr>
              <w:jc w:val="center"/>
              <w:rPr>
                <w:rFonts w:ascii="宋体" w:hAnsi="宋体" w:eastAsia="宋体" w:cs="Times New Roman"/>
                <w:color w:val="auto"/>
                <w:kern w:val="21"/>
              </w:rPr>
            </w:pPr>
            <w:r>
              <w:rPr>
                <w:rFonts w:ascii="宋体" w:hAnsi="宋体" w:eastAsia="宋体" w:cs="Times New Roman"/>
                <w:color w:val="auto"/>
                <w:kern w:val="21"/>
              </w:rPr>
              <w:t>包气带防污性能</w:t>
            </w:r>
          </w:p>
        </w:tc>
        <w:tc>
          <w:tcPr>
            <w:tcW w:w="725" w:type="pct"/>
            <w:shd w:val="clear" w:color="auto" w:fill="auto"/>
            <w:vAlign w:val="center"/>
          </w:tcPr>
          <w:p w14:paraId="3AFD729B">
            <w:pPr>
              <w:jc w:val="center"/>
              <w:rPr>
                <w:rFonts w:ascii="宋体" w:hAnsi="宋体" w:eastAsia="宋体" w:cs="Times New Roman"/>
                <w:color w:val="auto"/>
                <w:kern w:val="21"/>
              </w:rPr>
            </w:pPr>
            <w:r>
              <w:rPr>
                <w:rFonts w:ascii="宋体" w:hAnsi="宋体" w:eastAsia="宋体" w:cs="Times New Roman"/>
                <w:color w:val="auto"/>
                <w:kern w:val="21"/>
              </w:rPr>
              <w:t>D1</w:t>
            </w:r>
            <w:r>
              <w:rPr>
                <w:rFonts w:ascii="宋体" w:hAnsi="宋体" w:eastAsia="宋体" w:cs="Times New Roman"/>
                <w:color w:val="auto"/>
                <w:kern w:val="21"/>
              </w:rPr>
              <w:sym w:font="Wingdings" w:char="00A8"/>
            </w:r>
          </w:p>
        </w:tc>
        <w:tc>
          <w:tcPr>
            <w:tcW w:w="813" w:type="pct"/>
            <w:gridSpan w:val="2"/>
            <w:shd w:val="clear" w:color="auto" w:fill="auto"/>
            <w:vAlign w:val="center"/>
          </w:tcPr>
          <w:p w14:paraId="2822766F">
            <w:pPr>
              <w:jc w:val="center"/>
              <w:rPr>
                <w:rFonts w:ascii="宋体" w:hAnsi="宋体" w:eastAsia="宋体" w:cs="Times New Roman"/>
                <w:color w:val="auto"/>
                <w:kern w:val="21"/>
              </w:rPr>
            </w:pPr>
            <w:r>
              <w:rPr>
                <w:rFonts w:ascii="宋体" w:hAnsi="宋体" w:eastAsia="宋体" w:cs="Times New Roman"/>
                <w:color w:val="auto"/>
                <w:kern w:val="21"/>
              </w:rPr>
              <w:t>D2</w:t>
            </w:r>
            <w:r>
              <w:rPr>
                <w:rFonts w:ascii="宋体" w:hAnsi="宋体" w:eastAsia="宋体" w:cs="Times New Roman"/>
                <w:color w:val="auto"/>
                <w:kern w:val="21"/>
              </w:rPr>
              <w:sym w:font="Wingdings" w:char="00A8"/>
            </w:r>
          </w:p>
        </w:tc>
        <w:tc>
          <w:tcPr>
            <w:tcW w:w="830" w:type="pct"/>
            <w:shd w:val="clear" w:color="auto" w:fill="auto"/>
            <w:vAlign w:val="center"/>
          </w:tcPr>
          <w:p w14:paraId="4D2636CC">
            <w:pPr>
              <w:jc w:val="center"/>
              <w:rPr>
                <w:rFonts w:ascii="宋体" w:hAnsi="宋体" w:eastAsia="宋体" w:cs="Times New Roman"/>
                <w:color w:val="auto"/>
                <w:kern w:val="21"/>
              </w:rPr>
            </w:pPr>
            <w:r>
              <w:rPr>
                <w:rFonts w:ascii="宋体" w:hAnsi="宋体" w:eastAsia="宋体" w:cs="Times New Roman"/>
                <w:color w:val="auto"/>
                <w:kern w:val="21"/>
              </w:rPr>
              <w:t>D3</w:t>
            </w:r>
            <w:r>
              <w:rPr>
                <w:rFonts w:ascii="宋体" w:hAnsi="宋体" w:eastAsia="宋体" w:cs="Times New Roman"/>
                <w:color w:val="auto"/>
                <w:kern w:val="21"/>
              </w:rPr>
              <w:sym w:font="Wingdings" w:char="00A8"/>
            </w:r>
          </w:p>
        </w:tc>
      </w:tr>
      <w:tr w14:paraId="1100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pct"/>
            <w:gridSpan w:val="2"/>
            <w:vMerge w:val="restart"/>
            <w:shd w:val="clear" w:color="auto" w:fill="auto"/>
            <w:vAlign w:val="center"/>
          </w:tcPr>
          <w:p w14:paraId="7F051D74">
            <w:pPr>
              <w:jc w:val="center"/>
              <w:rPr>
                <w:rFonts w:ascii="宋体" w:hAnsi="宋体" w:eastAsia="宋体" w:cs="Times New Roman"/>
                <w:color w:val="auto"/>
                <w:kern w:val="21"/>
              </w:rPr>
            </w:pPr>
            <w:r>
              <w:rPr>
                <w:rFonts w:ascii="宋体" w:hAnsi="宋体" w:eastAsia="宋体" w:cs="Times New Roman"/>
                <w:color w:val="auto"/>
                <w:kern w:val="21"/>
              </w:rPr>
              <w:t>物质及工艺系数危险性</w:t>
            </w:r>
          </w:p>
        </w:tc>
        <w:tc>
          <w:tcPr>
            <w:tcW w:w="593" w:type="pct"/>
            <w:shd w:val="clear" w:color="auto" w:fill="auto"/>
            <w:vAlign w:val="center"/>
          </w:tcPr>
          <w:p w14:paraId="0247EEB8">
            <w:pPr>
              <w:jc w:val="center"/>
              <w:rPr>
                <w:rFonts w:ascii="宋体" w:hAnsi="宋体" w:eastAsia="宋体" w:cs="Times New Roman"/>
                <w:color w:val="auto"/>
                <w:kern w:val="21"/>
              </w:rPr>
            </w:pPr>
            <w:r>
              <w:rPr>
                <w:rFonts w:ascii="宋体" w:hAnsi="宋体" w:eastAsia="宋体" w:cs="Times New Roman"/>
                <w:color w:val="auto"/>
                <w:kern w:val="21"/>
              </w:rPr>
              <w:t>Q值</w:t>
            </w:r>
          </w:p>
        </w:tc>
        <w:tc>
          <w:tcPr>
            <w:tcW w:w="1058" w:type="pct"/>
            <w:gridSpan w:val="3"/>
            <w:shd w:val="clear" w:color="auto" w:fill="auto"/>
            <w:vAlign w:val="center"/>
          </w:tcPr>
          <w:p w14:paraId="1C9DBAD3">
            <w:pPr>
              <w:jc w:val="center"/>
              <w:rPr>
                <w:rFonts w:ascii="宋体" w:hAnsi="宋体" w:eastAsia="宋体" w:cs="Times New Roman"/>
                <w:color w:val="auto"/>
                <w:kern w:val="21"/>
              </w:rPr>
            </w:pPr>
            <w:r>
              <w:rPr>
                <w:rFonts w:ascii="宋体" w:hAnsi="宋体" w:eastAsia="宋体" w:cs="Times New Roman"/>
                <w:color w:val="auto"/>
                <w:kern w:val="21"/>
              </w:rPr>
              <w:t>Q＜1</w:t>
            </w:r>
            <w:r>
              <w:rPr>
                <w:rFonts w:ascii="宋体" w:hAnsi="宋体" w:eastAsia="宋体" w:cs="Times New Roman"/>
                <w:color w:val="auto"/>
                <w:szCs w:val="18"/>
              </w:rPr>
              <w:sym w:font="Wingdings" w:char="00FE"/>
            </w:r>
          </w:p>
        </w:tc>
        <w:tc>
          <w:tcPr>
            <w:tcW w:w="725" w:type="pct"/>
            <w:shd w:val="clear" w:color="auto" w:fill="auto"/>
            <w:vAlign w:val="center"/>
          </w:tcPr>
          <w:p w14:paraId="6A14EA0C">
            <w:pPr>
              <w:jc w:val="center"/>
              <w:rPr>
                <w:rFonts w:ascii="宋体" w:hAnsi="宋体" w:eastAsia="宋体" w:cs="Times New Roman"/>
                <w:color w:val="auto"/>
                <w:kern w:val="21"/>
              </w:rPr>
            </w:pPr>
            <w:r>
              <w:rPr>
                <w:rFonts w:ascii="宋体" w:hAnsi="宋体" w:eastAsia="宋体" w:cs="Times New Roman"/>
                <w:color w:val="auto"/>
                <w:kern w:val="21"/>
              </w:rPr>
              <w:t>1≤Q＜10</w:t>
            </w:r>
            <w:r>
              <w:rPr>
                <w:rFonts w:ascii="宋体" w:hAnsi="宋体" w:eastAsia="宋体" w:cs="Times New Roman"/>
                <w:color w:val="auto"/>
                <w:kern w:val="21"/>
              </w:rPr>
              <w:sym w:font="Wingdings" w:char="00A8"/>
            </w:r>
          </w:p>
        </w:tc>
        <w:tc>
          <w:tcPr>
            <w:tcW w:w="813" w:type="pct"/>
            <w:gridSpan w:val="2"/>
            <w:shd w:val="clear" w:color="auto" w:fill="auto"/>
            <w:vAlign w:val="center"/>
          </w:tcPr>
          <w:p w14:paraId="3F63C472">
            <w:pPr>
              <w:jc w:val="center"/>
              <w:rPr>
                <w:rFonts w:ascii="宋体" w:hAnsi="宋体" w:eastAsia="宋体" w:cs="Times New Roman"/>
                <w:color w:val="auto"/>
                <w:kern w:val="21"/>
              </w:rPr>
            </w:pPr>
            <w:r>
              <w:rPr>
                <w:rFonts w:ascii="宋体" w:hAnsi="宋体" w:eastAsia="宋体" w:cs="Times New Roman"/>
                <w:color w:val="auto"/>
                <w:kern w:val="21"/>
              </w:rPr>
              <w:t>10≤Q＜100</w:t>
            </w:r>
            <w:r>
              <w:rPr>
                <w:rFonts w:ascii="宋体" w:hAnsi="宋体" w:eastAsia="宋体" w:cs="Times New Roman"/>
                <w:color w:val="auto"/>
                <w:kern w:val="21"/>
              </w:rPr>
              <w:sym w:font="Wingdings" w:char="00A8"/>
            </w:r>
          </w:p>
        </w:tc>
        <w:tc>
          <w:tcPr>
            <w:tcW w:w="830" w:type="pct"/>
            <w:shd w:val="clear" w:color="auto" w:fill="auto"/>
            <w:vAlign w:val="center"/>
          </w:tcPr>
          <w:p w14:paraId="71742D71">
            <w:pPr>
              <w:jc w:val="center"/>
              <w:rPr>
                <w:rFonts w:ascii="宋体" w:hAnsi="宋体" w:eastAsia="宋体" w:cs="Times New Roman"/>
                <w:color w:val="auto"/>
                <w:kern w:val="21"/>
              </w:rPr>
            </w:pPr>
            <w:r>
              <w:rPr>
                <w:rFonts w:ascii="宋体" w:hAnsi="宋体" w:eastAsia="宋体" w:cs="Times New Roman"/>
                <w:color w:val="auto"/>
                <w:kern w:val="21"/>
              </w:rPr>
              <w:t>Q＞100</w:t>
            </w:r>
            <w:r>
              <w:rPr>
                <w:rFonts w:ascii="宋体" w:hAnsi="宋体" w:eastAsia="宋体" w:cs="Times New Roman"/>
                <w:color w:val="auto"/>
                <w:kern w:val="21"/>
              </w:rPr>
              <w:sym w:font="Wingdings" w:char="00A8"/>
            </w:r>
          </w:p>
        </w:tc>
      </w:tr>
      <w:tr w14:paraId="4DF0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pct"/>
            <w:gridSpan w:val="2"/>
            <w:vMerge w:val="continue"/>
            <w:shd w:val="clear" w:color="auto" w:fill="auto"/>
            <w:vAlign w:val="center"/>
          </w:tcPr>
          <w:p w14:paraId="4FF27930">
            <w:pPr>
              <w:jc w:val="center"/>
              <w:rPr>
                <w:rFonts w:ascii="宋体" w:hAnsi="宋体" w:eastAsia="宋体" w:cs="Times New Roman"/>
                <w:color w:val="auto"/>
                <w:kern w:val="21"/>
              </w:rPr>
            </w:pPr>
          </w:p>
        </w:tc>
        <w:tc>
          <w:tcPr>
            <w:tcW w:w="593" w:type="pct"/>
            <w:shd w:val="clear" w:color="auto" w:fill="auto"/>
            <w:vAlign w:val="center"/>
          </w:tcPr>
          <w:p w14:paraId="24200F30">
            <w:pPr>
              <w:jc w:val="center"/>
              <w:rPr>
                <w:rFonts w:ascii="宋体" w:hAnsi="宋体" w:eastAsia="宋体" w:cs="Times New Roman"/>
                <w:color w:val="auto"/>
                <w:kern w:val="21"/>
              </w:rPr>
            </w:pPr>
            <w:r>
              <w:rPr>
                <w:rFonts w:ascii="宋体" w:hAnsi="宋体" w:eastAsia="宋体" w:cs="Times New Roman"/>
                <w:color w:val="auto"/>
                <w:kern w:val="21"/>
              </w:rPr>
              <w:t>M值</w:t>
            </w:r>
          </w:p>
        </w:tc>
        <w:tc>
          <w:tcPr>
            <w:tcW w:w="1058" w:type="pct"/>
            <w:gridSpan w:val="3"/>
            <w:shd w:val="clear" w:color="auto" w:fill="auto"/>
            <w:vAlign w:val="center"/>
          </w:tcPr>
          <w:p w14:paraId="7CF37BBA">
            <w:pPr>
              <w:jc w:val="center"/>
              <w:rPr>
                <w:rFonts w:ascii="宋体" w:hAnsi="宋体" w:eastAsia="宋体" w:cs="Times New Roman"/>
                <w:color w:val="auto"/>
                <w:kern w:val="21"/>
              </w:rPr>
            </w:pPr>
            <w:r>
              <w:rPr>
                <w:rFonts w:ascii="宋体" w:hAnsi="宋体" w:eastAsia="宋体" w:cs="Times New Roman"/>
                <w:color w:val="auto"/>
                <w:kern w:val="21"/>
              </w:rPr>
              <w:t>M1</w:t>
            </w:r>
            <w:r>
              <w:rPr>
                <w:rFonts w:ascii="宋体" w:hAnsi="宋体" w:eastAsia="宋体" w:cs="Times New Roman"/>
                <w:color w:val="auto"/>
                <w:kern w:val="21"/>
              </w:rPr>
              <w:sym w:font="Wingdings" w:char="00A8"/>
            </w:r>
          </w:p>
        </w:tc>
        <w:tc>
          <w:tcPr>
            <w:tcW w:w="725" w:type="pct"/>
            <w:shd w:val="clear" w:color="auto" w:fill="auto"/>
            <w:vAlign w:val="center"/>
          </w:tcPr>
          <w:p w14:paraId="23DE7FDD">
            <w:pPr>
              <w:jc w:val="center"/>
              <w:rPr>
                <w:rFonts w:ascii="宋体" w:hAnsi="宋体" w:eastAsia="宋体" w:cs="Times New Roman"/>
                <w:color w:val="auto"/>
                <w:kern w:val="21"/>
              </w:rPr>
            </w:pPr>
            <w:r>
              <w:rPr>
                <w:rFonts w:ascii="宋体" w:hAnsi="宋体" w:eastAsia="宋体" w:cs="Times New Roman"/>
                <w:color w:val="auto"/>
                <w:kern w:val="21"/>
              </w:rPr>
              <w:t>M2</w:t>
            </w:r>
            <w:r>
              <w:rPr>
                <w:rFonts w:ascii="宋体" w:hAnsi="宋体" w:eastAsia="宋体" w:cs="Times New Roman"/>
                <w:color w:val="auto"/>
                <w:kern w:val="21"/>
              </w:rPr>
              <w:sym w:font="Wingdings" w:char="00A8"/>
            </w:r>
          </w:p>
        </w:tc>
        <w:tc>
          <w:tcPr>
            <w:tcW w:w="813" w:type="pct"/>
            <w:gridSpan w:val="2"/>
            <w:shd w:val="clear" w:color="auto" w:fill="auto"/>
            <w:vAlign w:val="center"/>
          </w:tcPr>
          <w:p w14:paraId="29DC0D57">
            <w:pPr>
              <w:jc w:val="center"/>
              <w:rPr>
                <w:rFonts w:ascii="宋体" w:hAnsi="宋体" w:eastAsia="宋体" w:cs="Times New Roman"/>
                <w:color w:val="auto"/>
                <w:kern w:val="21"/>
              </w:rPr>
            </w:pPr>
            <w:r>
              <w:rPr>
                <w:rFonts w:ascii="宋体" w:hAnsi="宋体" w:eastAsia="宋体" w:cs="Times New Roman"/>
                <w:color w:val="auto"/>
                <w:kern w:val="21"/>
              </w:rPr>
              <w:t>M3</w:t>
            </w:r>
            <w:r>
              <w:rPr>
                <w:rFonts w:ascii="宋体" w:hAnsi="宋体" w:eastAsia="宋体" w:cs="Times New Roman"/>
                <w:color w:val="auto"/>
                <w:kern w:val="21"/>
              </w:rPr>
              <w:sym w:font="Wingdings" w:char="00A8"/>
            </w:r>
          </w:p>
        </w:tc>
        <w:tc>
          <w:tcPr>
            <w:tcW w:w="830" w:type="pct"/>
            <w:shd w:val="clear" w:color="auto" w:fill="auto"/>
            <w:vAlign w:val="center"/>
          </w:tcPr>
          <w:p w14:paraId="79F88417">
            <w:pPr>
              <w:jc w:val="center"/>
              <w:rPr>
                <w:rFonts w:ascii="宋体" w:hAnsi="宋体" w:eastAsia="宋体" w:cs="Times New Roman"/>
                <w:color w:val="auto"/>
                <w:kern w:val="21"/>
              </w:rPr>
            </w:pPr>
            <w:r>
              <w:rPr>
                <w:rFonts w:ascii="宋体" w:hAnsi="宋体" w:eastAsia="宋体" w:cs="Times New Roman"/>
                <w:color w:val="auto"/>
                <w:kern w:val="21"/>
              </w:rPr>
              <w:t>M4</w:t>
            </w:r>
            <w:r>
              <w:rPr>
                <w:rFonts w:ascii="宋体" w:hAnsi="宋体" w:eastAsia="宋体" w:cs="Times New Roman"/>
                <w:color w:val="auto"/>
                <w:kern w:val="21"/>
              </w:rPr>
              <w:sym w:font="Wingdings" w:char="00A8"/>
            </w:r>
          </w:p>
        </w:tc>
      </w:tr>
      <w:tr w14:paraId="262C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pct"/>
            <w:gridSpan w:val="2"/>
            <w:vMerge w:val="continue"/>
            <w:shd w:val="clear" w:color="auto" w:fill="auto"/>
            <w:vAlign w:val="center"/>
          </w:tcPr>
          <w:p w14:paraId="19311DFE">
            <w:pPr>
              <w:jc w:val="center"/>
              <w:rPr>
                <w:rFonts w:ascii="宋体" w:hAnsi="宋体" w:eastAsia="宋体" w:cs="Times New Roman"/>
                <w:color w:val="auto"/>
                <w:kern w:val="21"/>
              </w:rPr>
            </w:pPr>
          </w:p>
        </w:tc>
        <w:tc>
          <w:tcPr>
            <w:tcW w:w="593" w:type="pct"/>
            <w:shd w:val="clear" w:color="auto" w:fill="auto"/>
            <w:vAlign w:val="center"/>
          </w:tcPr>
          <w:p w14:paraId="0C5867CD">
            <w:pPr>
              <w:jc w:val="center"/>
              <w:rPr>
                <w:rFonts w:ascii="宋体" w:hAnsi="宋体" w:eastAsia="宋体" w:cs="Times New Roman"/>
                <w:color w:val="auto"/>
                <w:kern w:val="21"/>
              </w:rPr>
            </w:pPr>
            <w:r>
              <w:rPr>
                <w:rFonts w:ascii="宋体" w:hAnsi="宋体" w:eastAsia="宋体" w:cs="Times New Roman"/>
                <w:color w:val="auto"/>
                <w:kern w:val="21"/>
              </w:rPr>
              <w:t>P值</w:t>
            </w:r>
          </w:p>
        </w:tc>
        <w:tc>
          <w:tcPr>
            <w:tcW w:w="1058" w:type="pct"/>
            <w:gridSpan w:val="3"/>
            <w:shd w:val="clear" w:color="auto" w:fill="auto"/>
            <w:vAlign w:val="center"/>
          </w:tcPr>
          <w:p w14:paraId="3692E4BC">
            <w:pPr>
              <w:jc w:val="center"/>
              <w:rPr>
                <w:rFonts w:ascii="宋体" w:hAnsi="宋体" w:eastAsia="宋体" w:cs="Times New Roman"/>
                <w:color w:val="auto"/>
                <w:kern w:val="21"/>
              </w:rPr>
            </w:pPr>
            <w:r>
              <w:rPr>
                <w:rFonts w:ascii="宋体" w:hAnsi="宋体" w:eastAsia="宋体" w:cs="Times New Roman"/>
                <w:color w:val="auto"/>
                <w:kern w:val="21"/>
              </w:rPr>
              <w:t>P1</w:t>
            </w:r>
            <w:r>
              <w:rPr>
                <w:rFonts w:ascii="宋体" w:hAnsi="宋体" w:eastAsia="宋体" w:cs="Times New Roman"/>
                <w:color w:val="auto"/>
                <w:kern w:val="21"/>
              </w:rPr>
              <w:sym w:font="Wingdings" w:char="00A8"/>
            </w:r>
          </w:p>
        </w:tc>
        <w:tc>
          <w:tcPr>
            <w:tcW w:w="725" w:type="pct"/>
            <w:shd w:val="clear" w:color="auto" w:fill="auto"/>
            <w:vAlign w:val="center"/>
          </w:tcPr>
          <w:p w14:paraId="3C5DE227">
            <w:pPr>
              <w:jc w:val="center"/>
              <w:rPr>
                <w:rFonts w:ascii="宋体" w:hAnsi="宋体" w:eastAsia="宋体" w:cs="Times New Roman"/>
                <w:color w:val="auto"/>
                <w:kern w:val="21"/>
              </w:rPr>
            </w:pPr>
            <w:r>
              <w:rPr>
                <w:rFonts w:ascii="宋体" w:hAnsi="宋体" w:eastAsia="宋体" w:cs="Times New Roman"/>
                <w:color w:val="auto"/>
                <w:kern w:val="21"/>
              </w:rPr>
              <w:t>P2</w:t>
            </w:r>
            <w:r>
              <w:rPr>
                <w:rFonts w:ascii="宋体" w:hAnsi="宋体" w:eastAsia="宋体" w:cs="Times New Roman"/>
                <w:color w:val="auto"/>
                <w:kern w:val="21"/>
              </w:rPr>
              <w:sym w:font="Wingdings" w:char="00A8"/>
            </w:r>
          </w:p>
        </w:tc>
        <w:tc>
          <w:tcPr>
            <w:tcW w:w="813" w:type="pct"/>
            <w:gridSpan w:val="2"/>
            <w:shd w:val="clear" w:color="auto" w:fill="auto"/>
            <w:vAlign w:val="center"/>
          </w:tcPr>
          <w:p w14:paraId="78B9D48C">
            <w:pPr>
              <w:jc w:val="center"/>
              <w:rPr>
                <w:rFonts w:ascii="宋体" w:hAnsi="宋体" w:eastAsia="宋体" w:cs="Times New Roman"/>
                <w:color w:val="auto"/>
                <w:kern w:val="21"/>
              </w:rPr>
            </w:pPr>
            <w:r>
              <w:rPr>
                <w:rFonts w:ascii="宋体" w:hAnsi="宋体" w:eastAsia="宋体" w:cs="Times New Roman"/>
                <w:color w:val="auto"/>
                <w:kern w:val="21"/>
              </w:rPr>
              <w:t>P3</w:t>
            </w:r>
            <w:r>
              <w:rPr>
                <w:rFonts w:ascii="宋体" w:hAnsi="宋体" w:eastAsia="宋体" w:cs="Times New Roman"/>
                <w:color w:val="auto"/>
                <w:kern w:val="21"/>
              </w:rPr>
              <w:sym w:font="Wingdings" w:char="00A8"/>
            </w:r>
          </w:p>
        </w:tc>
        <w:tc>
          <w:tcPr>
            <w:tcW w:w="830" w:type="pct"/>
            <w:shd w:val="clear" w:color="auto" w:fill="auto"/>
            <w:vAlign w:val="center"/>
          </w:tcPr>
          <w:p w14:paraId="0C1BEBA9">
            <w:pPr>
              <w:jc w:val="center"/>
              <w:rPr>
                <w:rFonts w:ascii="宋体" w:hAnsi="宋体" w:eastAsia="宋体" w:cs="Times New Roman"/>
                <w:color w:val="auto"/>
                <w:kern w:val="21"/>
              </w:rPr>
            </w:pPr>
            <w:r>
              <w:rPr>
                <w:rFonts w:ascii="宋体" w:hAnsi="宋体" w:eastAsia="宋体" w:cs="Times New Roman"/>
                <w:color w:val="auto"/>
                <w:kern w:val="21"/>
              </w:rPr>
              <w:t>P4</w:t>
            </w:r>
            <w:r>
              <w:rPr>
                <w:rFonts w:ascii="宋体" w:hAnsi="宋体" w:eastAsia="宋体" w:cs="Times New Roman"/>
                <w:color w:val="auto"/>
                <w:kern w:val="21"/>
              </w:rPr>
              <w:sym w:font="Wingdings" w:char="00A8"/>
            </w:r>
          </w:p>
        </w:tc>
      </w:tr>
      <w:tr w14:paraId="0FB5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pct"/>
            <w:gridSpan w:val="2"/>
            <w:shd w:val="clear" w:color="auto" w:fill="auto"/>
            <w:vAlign w:val="center"/>
          </w:tcPr>
          <w:p w14:paraId="0ED17EC2">
            <w:pPr>
              <w:jc w:val="center"/>
              <w:rPr>
                <w:rFonts w:ascii="宋体" w:hAnsi="宋体" w:eastAsia="宋体" w:cs="Times New Roman"/>
                <w:color w:val="auto"/>
                <w:kern w:val="21"/>
              </w:rPr>
            </w:pPr>
            <w:r>
              <w:rPr>
                <w:rFonts w:ascii="宋体" w:hAnsi="宋体" w:eastAsia="宋体" w:cs="Times New Roman"/>
                <w:color w:val="auto"/>
                <w:kern w:val="21"/>
              </w:rPr>
              <w:t>环境风险潜势</w:t>
            </w:r>
          </w:p>
        </w:tc>
        <w:tc>
          <w:tcPr>
            <w:tcW w:w="831" w:type="pct"/>
            <w:gridSpan w:val="2"/>
            <w:shd w:val="clear" w:color="auto" w:fill="auto"/>
            <w:vAlign w:val="center"/>
          </w:tcPr>
          <w:p w14:paraId="15F89266">
            <w:pPr>
              <w:jc w:val="center"/>
              <w:rPr>
                <w:rFonts w:ascii="宋体" w:hAnsi="宋体" w:eastAsia="宋体" w:cs="Times New Roman"/>
                <w:color w:val="auto"/>
                <w:kern w:val="21"/>
              </w:rPr>
            </w:pPr>
            <w:r>
              <w:rPr>
                <w:rFonts w:ascii="宋体" w:hAnsi="宋体" w:eastAsia="宋体" w:cs="Times New Roman"/>
                <w:color w:val="auto"/>
                <w:kern w:val="21"/>
              </w:rPr>
              <w:t>Ⅳ+</w:t>
            </w:r>
            <w:r>
              <w:rPr>
                <w:rFonts w:ascii="宋体" w:hAnsi="宋体" w:eastAsia="宋体" w:cs="Times New Roman"/>
                <w:color w:val="auto"/>
                <w:kern w:val="21"/>
              </w:rPr>
              <w:sym w:font="Wingdings" w:char="00A8"/>
            </w:r>
          </w:p>
        </w:tc>
        <w:tc>
          <w:tcPr>
            <w:tcW w:w="821" w:type="pct"/>
            <w:gridSpan w:val="2"/>
            <w:shd w:val="clear" w:color="auto" w:fill="auto"/>
            <w:vAlign w:val="center"/>
          </w:tcPr>
          <w:p w14:paraId="7C151630">
            <w:pPr>
              <w:jc w:val="center"/>
              <w:rPr>
                <w:rFonts w:ascii="宋体" w:hAnsi="宋体" w:eastAsia="宋体" w:cs="Times New Roman"/>
                <w:color w:val="auto"/>
                <w:kern w:val="21"/>
              </w:rPr>
            </w:pPr>
            <w:r>
              <w:rPr>
                <w:rFonts w:ascii="宋体" w:hAnsi="宋体" w:eastAsia="宋体" w:cs="Times New Roman"/>
                <w:color w:val="auto"/>
                <w:kern w:val="21"/>
              </w:rPr>
              <w:t>Ⅳ</w:t>
            </w:r>
            <w:r>
              <w:rPr>
                <w:rFonts w:ascii="宋体" w:hAnsi="宋体" w:eastAsia="宋体" w:cs="Times New Roman"/>
                <w:color w:val="auto"/>
                <w:kern w:val="21"/>
              </w:rPr>
              <w:sym w:font="Wingdings" w:char="00A8"/>
            </w:r>
          </w:p>
        </w:tc>
        <w:tc>
          <w:tcPr>
            <w:tcW w:w="725" w:type="pct"/>
            <w:shd w:val="clear" w:color="auto" w:fill="auto"/>
            <w:vAlign w:val="center"/>
          </w:tcPr>
          <w:p w14:paraId="5001260C">
            <w:pPr>
              <w:jc w:val="center"/>
              <w:rPr>
                <w:rFonts w:ascii="宋体" w:hAnsi="宋体" w:eastAsia="宋体" w:cs="Times New Roman"/>
                <w:color w:val="auto"/>
                <w:kern w:val="21"/>
              </w:rPr>
            </w:pPr>
            <w:r>
              <w:rPr>
                <w:rFonts w:ascii="宋体" w:hAnsi="宋体" w:eastAsia="宋体" w:cs="Times New Roman"/>
                <w:color w:val="auto"/>
                <w:kern w:val="21"/>
              </w:rPr>
              <w:t>Ⅲ</w:t>
            </w:r>
            <w:r>
              <w:rPr>
                <w:rFonts w:ascii="宋体" w:hAnsi="宋体" w:eastAsia="宋体" w:cs="Times New Roman"/>
                <w:color w:val="auto"/>
                <w:kern w:val="21"/>
              </w:rPr>
              <w:sym w:font="Wingdings" w:char="00A8"/>
            </w:r>
          </w:p>
        </w:tc>
        <w:tc>
          <w:tcPr>
            <w:tcW w:w="813" w:type="pct"/>
            <w:gridSpan w:val="2"/>
            <w:shd w:val="clear" w:color="auto" w:fill="auto"/>
            <w:vAlign w:val="center"/>
          </w:tcPr>
          <w:p w14:paraId="571D88E1">
            <w:pPr>
              <w:jc w:val="center"/>
              <w:rPr>
                <w:rFonts w:ascii="宋体" w:hAnsi="宋体" w:eastAsia="宋体" w:cs="Times New Roman"/>
                <w:color w:val="auto"/>
                <w:kern w:val="21"/>
              </w:rPr>
            </w:pPr>
            <w:r>
              <w:rPr>
                <w:rFonts w:ascii="宋体" w:hAnsi="宋体" w:eastAsia="宋体" w:cs="Times New Roman"/>
                <w:color w:val="auto"/>
                <w:kern w:val="21"/>
              </w:rPr>
              <w:t>Ⅱ</w:t>
            </w:r>
            <w:r>
              <w:rPr>
                <w:rFonts w:ascii="宋体" w:hAnsi="宋体" w:eastAsia="宋体" w:cs="Times New Roman"/>
                <w:color w:val="auto"/>
                <w:kern w:val="21"/>
              </w:rPr>
              <w:sym w:font="Wingdings" w:char="00A8"/>
            </w:r>
          </w:p>
        </w:tc>
        <w:tc>
          <w:tcPr>
            <w:tcW w:w="830" w:type="pct"/>
            <w:shd w:val="clear" w:color="auto" w:fill="auto"/>
            <w:vAlign w:val="center"/>
          </w:tcPr>
          <w:p w14:paraId="2318F682">
            <w:pPr>
              <w:jc w:val="center"/>
              <w:rPr>
                <w:rFonts w:ascii="宋体" w:hAnsi="宋体" w:eastAsia="宋体" w:cs="Times New Roman"/>
                <w:color w:val="auto"/>
                <w:kern w:val="21"/>
              </w:rPr>
            </w:pPr>
            <w:r>
              <w:rPr>
                <w:rFonts w:ascii="宋体" w:hAnsi="宋体" w:eastAsia="宋体" w:cs="Times New Roman"/>
                <w:color w:val="auto"/>
                <w:kern w:val="21"/>
              </w:rPr>
              <w:t>Ⅰ</w:t>
            </w:r>
            <w:r>
              <w:rPr>
                <w:rFonts w:ascii="宋体" w:hAnsi="宋体" w:eastAsia="宋体" w:cs="Times New Roman"/>
                <w:color w:val="auto"/>
                <w:kern w:val="21"/>
              </w:rPr>
              <w:sym w:font="Wingdings" w:char="00FE"/>
            </w:r>
          </w:p>
        </w:tc>
      </w:tr>
      <w:tr w14:paraId="687E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pct"/>
            <w:gridSpan w:val="2"/>
            <w:shd w:val="clear" w:color="auto" w:fill="auto"/>
            <w:vAlign w:val="center"/>
          </w:tcPr>
          <w:p w14:paraId="44D7D08F">
            <w:pPr>
              <w:jc w:val="center"/>
              <w:rPr>
                <w:rFonts w:ascii="宋体" w:hAnsi="宋体" w:eastAsia="宋体" w:cs="Times New Roman"/>
                <w:color w:val="auto"/>
                <w:kern w:val="21"/>
              </w:rPr>
            </w:pPr>
            <w:r>
              <w:rPr>
                <w:rFonts w:ascii="宋体" w:hAnsi="宋体" w:eastAsia="宋体" w:cs="Times New Roman"/>
                <w:color w:val="auto"/>
                <w:kern w:val="21"/>
              </w:rPr>
              <w:t>评价等级</w:t>
            </w:r>
          </w:p>
        </w:tc>
        <w:tc>
          <w:tcPr>
            <w:tcW w:w="1651" w:type="pct"/>
            <w:gridSpan w:val="4"/>
            <w:shd w:val="clear" w:color="auto" w:fill="auto"/>
            <w:vAlign w:val="center"/>
          </w:tcPr>
          <w:p w14:paraId="2668E32E">
            <w:pPr>
              <w:jc w:val="center"/>
              <w:rPr>
                <w:rFonts w:ascii="宋体" w:hAnsi="宋体" w:eastAsia="宋体" w:cs="Times New Roman"/>
                <w:color w:val="auto"/>
                <w:kern w:val="21"/>
              </w:rPr>
            </w:pPr>
            <w:r>
              <w:rPr>
                <w:rFonts w:ascii="宋体" w:hAnsi="宋体" w:eastAsia="宋体" w:cs="Times New Roman"/>
                <w:color w:val="auto"/>
                <w:kern w:val="21"/>
              </w:rPr>
              <w:t>一级</w:t>
            </w:r>
            <w:r>
              <w:rPr>
                <w:rFonts w:ascii="宋体" w:hAnsi="宋体" w:eastAsia="宋体" w:cs="Times New Roman"/>
                <w:color w:val="auto"/>
                <w:kern w:val="21"/>
              </w:rPr>
              <w:sym w:font="Wingdings" w:char="00A8"/>
            </w:r>
          </w:p>
        </w:tc>
        <w:tc>
          <w:tcPr>
            <w:tcW w:w="725" w:type="pct"/>
            <w:shd w:val="clear" w:color="auto" w:fill="auto"/>
            <w:vAlign w:val="center"/>
          </w:tcPr>
          <w:p w14:paraId="20E01E66">
            <w:pPr>
              <w:jc w:val="center"/>
              <w:rPr>
                <w:rFonts w:ascii="宋体" w:hAnsi="宋体" w:eastAsia="宋体" w:cs="Times New Roman"/>
                <w:color w:val="auto"/>
                <w:kern w:val="21"/>
              </w:rPr>
            </w:pPr>
            <w:r>
              <w:rPr>
                <w:rFonts w:ascii="宋体" w:hAnsi="宋体" w:eastAsia="宋体" w:cs="Times New Roman"/>
                <w:color w:val="auto"/>
                <w:kern w:val="21"/>
              </w:rPr>
              <w:t>二级</w:t>
            </w:r>
            <w:r>
              <w:rPr>
                <w:rFonts w:ascii="宋体" w:hAnsi="宋体" w:eastAsia="宋体" w:cs="Times New Roman"/>
                <w:color w:val="auto"/>
                <w:kern w:val="21"/>
              </w:rPr>
              <w:sym w:font="Wingdings" w:char="00A8"/>
            </w:r>
          </w:p>
        </w:tc>
        <w:tc>
          <w:tcPr>
            <w:tcW w:w="813" w:type="pct"/>
            <w:gridSpan w:val="2"/>
            <w:shd w:val="clear" w:color="auto" w:fill="auto"/>
            <w:vAlign w:val="center"/>
          </w:tcPr>
          <w:p w14:paraId="50FAFBDB">
            <w:pPr>
              <w:jc w:val="center"/>
              <w:rPr>
                <w:rFonts w:ascii="宋体" w:hAnsi="宋体" w:eastAsia="宋体" w:cs="Times New Roman"/>
                <w:color w:val="auto"/>
                <w:kern w:val="21"/>
              </w:rPr>
            </w:pPr>
            <w:r>
              <w:rPr>
                <w:rFonts w:ascii="宋体" w:hAnsi="宋体" w:eastAsia="宋体" w:cs="Times New Roman"/>
                <w:color w:val="auto"/>
                <w:kern w:val="21"/>
              </w:rPr>
              <w:t>三级</w:t>
            </w:r>
            <w:r>
              <w:rPr>
                <w:rFonts w:ascii="宋体" w:hAnsi="宋体" w:eastAsia="宋体" w:cs="Times New Roman"/>
                <w:color w:val="auto"/>
                <w:kern w:val="21"/>
              </w:rPr>
              <w:sym w:font="Wingdings" w:char="00A8"/>
            </w:r>
          </w:p>
        </w:tc>
        <w:tc>
          <w:tcPr>
            <w:tcW w:w="830" w:type="pct"/>
            <w:shd w:val="clear" w:color="auto" w:fill="auto"/>
            <w:vAlign w:val="center"/>
          </w:tcPr>
          <w:p w14:paraId="479CE15E">
            <w:pPr>
              <w:jc w:val="center"/>
              <w:rPr>
                <w:rFonts w:ascii="宋体" w:hAnsi="宋体" w:eastAsia="宋体" w:cs="Times New Roman"/>
                <w:color w:val="auto"/>
                <w:kern w:val="21"/>
              </w:rPr>
            </w:pPr>
            <w:r>
              <w:rPr>
                <w:rFonts w:ascii="宋体" w:hAnsi="宋体" w:eastAsia="宋体" w:cs="Times New Roman"/>
                <w:color w:val="auto"/>
                <w:kern w:val="21"/>
              </w:rPr>
              <w:t>简单分析</w:t>
            </w:r>
            <w:r>
              <w:rPr>
                <w:rFonts w:ascii="宋体" w:hAnsi="宋体" w:eastAsia="宋体" w:cs="Times New Roman"/>
                <w:color w:val="auto"/>
                <w:kern w:val="21"/>
              </w:rPr>
              <w:sym w:font="Wingdings" w:char="00FE"/>
            </w:r>
          </w:p>
        </w:tc>
      </w:tr>
      <w:tr w14:paraId="6EE5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restart"/>
            <w:shd w:val="clear" w:color="auto" w:fill="auto"/>
            <w:vAlign w:val="center"/>
          </w:tcPr>
          <w:p w14:paraId="5CE7CCCA">
            <w:pPr>
              <w:jc w:val="center"/>
              <w:rPr>
                <w:rFonts w:ascii="宋体" w:hAnsi="宋体" w:eastAsia="宋体" w:cs="Times New Roman"/>
                <w:color w:val="auto"/>
                <w:kern w:val="21"/>
              </w:rPr>
            </w:pPr>
            <w:r>
              <w:rPr>
                <w:rFonts w:ascii="宋体" w:hAnsi="宋体" w:eastAsia="宋体" w:cs="Times New Roman"/>
                <w:color w:val="auto"/>
                <w:kern w:val="21"/>
              </w:rPr>
              <w:t>风险识别</w:t>
            </w:r>
          </w:p>
        </w:tc>
        <w:tc>
          <w:tcPr>
            <w:tcW w:w="668" w:type="pct"/>
            <w:shd w:val="clear" w:color="auto" w:fill="auto"/>
            <w:vAlign w:val="center"/>
          </w:tcPr>
          <w:p w14:paraId="43A85273">
            <w:pPr>
              <w:jc w:val="center"/>
              <w:rPr>
                <w:rFonts w:ascii="宋体" w:hAnsi="宋体" w:eastAsia="宋体" w:cs="Times New Roman"/>
                <w:color w:val="auto"/>
                <w:kern w:val="21"/>
              </w:rPr>
            </w:pPr>
            <w:r>
              <w:rPr>
                <w:rFonts w:ascii="宋体" w:hAnsi="宋体" w:eastAsia="宋体" w:cs="Times New Roman"/>
                <w:color w:val="auto"/>
                <w:kern w:val="21"/>
              </w:rPr>
              <w:t>物质</w:t>
            </w:r>
          </w:p>
          <w:p w14:paraId="2B6FE34A">
            <w:pPr>
              <w:jc w:val="center"/>
              <w:rPr>
                <w:rFonts w:ascii="宋体" w:hAnsi="宋体" w:eastAsia="宋体" w:cs="Times New Roman"/>
                <w:color w:val="auto"/>
                <w:kern w:val="21"/>
              </w:rPr>
            </w:pPr>
            <w:r>
              <w:rPr>
                <w:rFonts w:ascii="宋体" w:hAnsi="宋体" w:eastAsia="宋体" w:cs="Times New Roman"/>
                <w:color w:val="auto"/>
                <w:kern w:val="21"/>
              </w:rPr>
              <w:t>危险性</w:t>
            </w:r>
          </w:p>
        </w:tc>
        <w:tc>
          <w:tcPr>
            <w:tcW w:w="2376" w:type="pct"/>
            <w:gridSpan w:val="5"/>
            <w:shd w:val="clear" w:color="auto" w:fill="auto"/>
            <w:vAlign w:val="center"/>
          </w:tcPr>
          <w:p w14:paraId="7E6F5BBB">
            <w:pPr>
              <w:jc w:val="center"/>
              <w:rPr>
                <w:rFonts w:ascii="宋体" w:hAnsi="宋体" w:eastAsia="宋体" w:cs="Times New Roman"/>
                <w:color w:val="auto"/>
                <w:kern w:val="21"/>
              </w:rPr>
            </w:pPr>
            <w:r>
              <w:rPr>
                <w:rFonts w:ascii="宋体" w:hAnsi="宋体" w:eastAsia="宋体" w:cs="Times New Roman"/>
                <w:color w:val="auto"/>
                <w:kern w:val="21"/>
              </w:rPr>
              <w:t>有毒有害</w:t>
            </w:r>
            <w:r>
              <w:rPr>
                <w:rFonts w:ascii="宋体" w:hAnsi="宋体" w:eastAsia="宋体" w:cs="Times New Roman"/>
                <w:color w:val="auto"/>
                <w:kern w:val="21"/>
              </w:rPr>
              <w:sym w:font="Wingdings" w:char="00FE"/>
            </w:r>
          </w:p>
        </w:tc>
        <w:tc>
          <w:tcPr>
            <w:tcW w:w="1643" w:type="pct"/>
            <w:gridSpan w:val="3"/>
            <w:shd w:val="clear" w:color="auto" w:fill="auto"/>
            <w:vAlign w:val="center"/>
          </w:tcPr>
          <w:p w14:paraId="111F0A93">
            <w:pPr>
              <w:jc w:val="center"/>
              <w:rPr>
                <w:rFonts w:ascii="宋体" w:hAnsi="宋体" w:eastAsia="宋体" w:cs="Times New Roman"/>
                <w:color w:val="auto"/>
                <w:kern w:val="21"/>
              </w:rPr>
            </w:pPr>
            <w:r>
              <w:rPr>
                <w:rFonts w:ascii="宋体" w:hAnsi="宋体" w:eastAsia="宋体" w:cs="Times New Roman"/>
                <w:color w:val="auto"/>
                <w:kern w:val="21"/>
              </w:rPr>
              <w:t>易燃易爆</w:t>
            </w:r>
            <w:r>
              <w:rPr>
                <w:rFonts w:ascii="宋体" w:hAnsi="宋体" w:eastAsia="宋体" w:cs="Times New Roman"/>
                <w:color w:val="auto"/>
                <w:kern w:val="21"/>
              </w:rPr>
              <w:sym w:font="Wingdings" w:char="00FE"/>
            </w:r>
          </w:p>
        </w:tc>
      </w:tr>
      <w:tr w14:paraId="349D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71316982">
            <w:pPr>
              <w:jc w:val="center"/>
              <w:rPr>
                <w:rFonts w:ascii="宋体" w:hAnsi="宋体" w:eastAsia="宋体" w:cs="Times New Roman"/>
                <w:color w:val="auto"/>
                <w:kern w:val="21"/>
              </w:rPr>
            </w:pPr>
          </w:p>
        </w:tc>
        <w:tc>
          <w:tcPr>
            <w:tcW w:w="668" w:type="pct"/>
            <w:shd w:val="clear" w:color="auto" w:fill="auto"/>
            <w:vAlign w:val="center"/>
          </w:tcPr>
          <w:p w14:paraId="0FA9A4A1">
            <w:pPr>
              <w:jc w:val="center"/>
              <w:rPr>
                <w:rFonts w:ascii="宋体" w:hAnsi="宋体" w:eastAsia="宋体" w:cs="Times New Roman"/>
                <w:color w:val="auto"/>
                <w:kern w:val="21"/>
              </w:rPr>
            </w:pPr>
            <w:r>
              <w:rPr>
                <w:rFonts w:ascii="宋体" w:hAnsi="宋体" w:eastAsia="宋体" w:cs="Times New Roman"/>
                <w:color w:val="auto"/>
                <w:kern w:val="21"/>
              </w:rPr>
              <w:t>环境</w:t>
            </w:r>
          </w:p>
          <w:p w14:paraId="7A1D6676">
            <w:pPr>
              <w:jc w:val="center"/>
              <w:rPr>
                <w:rFonts w:ascii="宋体" w:hAnsi="宋体" w:eastAsia="宋体" w:cs="Times New Roman"/>
                <w:color w:val="auto"/>
                <w:kern w:val="21"/>
              </w:rPr>
            </w:pPr>
            <w:r>
              <w:rPr>
                <w:rFonts w:ascii="宋体" w:hAnsi="宋体" w:eastAsia="宋体" w:cs="Times New Roman"/>
                <w:color w:val="auto"/>
                <w:kern w:val="21"/>
              </w:rPr>
              <w:t>风险类型</w:t>
            </w:r>
          </w:p>
        </w:tc>
        <w:tc>
          <w:tcPr>
            <w:tcW w:w="2376" w:type="pct"/>
            <w:gridSpan w:val="5"/>
            <w:shd w:val="clear" w:color="auto" w:fill="auto"/>
            <w:vAlign w:val="center"/>
          </w:tcPr>
          <w:p w14:paraId="54F0C2FD">
            <w:pPr>
              <w:jc w:val="center"/>
              <w:rPr>
                <w:rFonts w:ascii="宋体" w:hAnsi="宋体" w:eastAsia="宋体" w:cs="Times New Roman"/>
                <w:color w:val="auto"/>
                <w:kern w:val="21"/>
              </w:rPr>
            </w:pPr>
            <w:r>
              <w:rPr>
                <w:rFonts w:ascii="宋体" w:hAnsi="宋体" w:eastAsia="宋体" w:cs="Times New Roman"/>
                <w:color w:val="auto"/>
                <w:kern w:val="21"/>
              </w:rPr>
              <w:t>泄漏</w:t>
            </w:r>
            <w:r>
              <w:rPr>
                <w:rFonts w:ascii="宋体" w:hAnsi="宋体" w:eastAsia="宋体" w:cs="Times New Roman"/>
                <w:color w:val="auto"/>
                <w:kern w:val="21"/>
              </w:rPr>
              <w:sym w:font="Wingdings" w:char="00FE"/>
            </w:r>
          </w:p>
        </w:tc>
        <w:tc>
          <w:tcPr>
            <w:tcW w:w="1643" w:type="pct"/>
            <w:gridSpan w:val="3"/>
            <w:shd w:val="clear" w:color="auto" w:fill="auto"/>
            <w:vAlign w:val="center"/>
          </w:tcPr>
          <w:p w14:paraId="33754325">
            <w:pPr>
              <w:jc w:val="center"/>
              <w:rPr>
                <w:rFonts w:ascii="宋体" w:hAnsi="宋体" w:eastAsia="宋体" w:cs="Times New Roman"/>
                <w:color w:val="auto"/>
                <w:kern w:val="21"/>
              </w:rPr>
            </w:pPr>
            <w:r>
              <w:rPr>
                <w:rFonts w:ascii="宋体" w:hAnsi="宋体" w:eastAsia="宋体" w:cs="Times New Roman"/>
                <w:color w:val="auto"/>
                <w:kern w:val="21"/>
              </w:rPr>
              <w:t>火灾、爆炸引发伴生/次生污染物排放</w:t>
            </w:r>
            <w:r>
              <w:rPr>
                <w:rFonts w:ascii="宋体" w:hAnsi="宋体" w:eastAsia="宋体" w:cs="Times New Roman"/>
                <w:color w:val="auto"/>
                <w:kern w:val="21"/>
              </w:rPr>
              <w:sym w:font="Wingdings" w:char="00FE"/>
            </w:r>
          </w:p>
        </w:tc>
      </w:tr>
      <w:tr w14:paraId="7D05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218690C1">
            <w:pPr>
              <w:jc w:val="center"/>
              <w:rPr>
                <w:rFonts w:ascii="宋体" w:hAnsi="宋体" w:eastAsia="宋体" w:cs="Times New Roman"/>
                <w:color w:val="auto"/>
                <w:kern w:val="21"/>
              </w:rPr>
            </w:pPr>
          </w:p>
        </w:tc>
        <w:tc>
          <w:tcPr>
            <w:tcW w:w="668" w:type="pct"/>
            <w:shd w:val="clear" w:color="auto" w:fill="auto"/>
            <w:vAlign w:val="center"/>
          </w:tcPr>
          <w:p w14:paraId="426BFEF3">
            <w:pPr>
              <w:jc w:val="center"/>
              <w:rPr>
                <w:rFonts w:ascii="宋体" w:hAnsi="宋体" w:eastAsia="宋体" w:cs="Times New Roman"/>
                <w:color w:val="auto"/>
                <w:kern w:val="21"/>
              </w:rPr>
            </w:pPr>
            <w:r>
              <w:rPr>
                <w:rFonts w:ascii="宋体" w:hAnsi="宋体" w:eastAsia="宋体" w:cs="Times New Roman"/>
                <w:color w:val="auto"/>
                <w:kern w:val="21"/>
              </w:rPr>
              <w:t>影响途径</w:t>
            </w:r>
          </w:p>
        </w:tc>
        <w:tc>
          <w:tcPr>
            <w:tcW w:w="1180" w:type="pct"/>
            <w:gridSpan w:val="3"/>
            <w:shd w:val="clear" w:color="auto" w:fill="auto"/>
            <w:vAlign w:val="center"/>
          </w:tcPr>
          <w:p w14:paraId="44208B04">
            <w:pPr>
              <w:jc w:val="center"/>
              <w:rPr>
                <w:rFonts w:ascii="宋体" w:hAnsi="宋体" w:eastAsia="宋体" w:cs="Times New Roman"/>
                <w:color w:val="auto"/>
                <w:kern w:val="21"/>
              </w:rPr>
            </w:pPr>
            <w:r>
              <w:rPr>
                <w:rFonts w:ascii="宋体" w:hAnsi="宋体" w:eastAsia="宋体" w:cs="Times New Roman"/>
                <w:color w:val="auto"/>
                <w:kern w:val="21"/>
              </w:rPr>
              <w:t>大气</w:t>
            </w:r>
            <w:r>
              <w:rPr>
                <w:rFonts w:ascii="宋体" w:hAnsi="宋体" w:eastAsia="宋体" w:cs="Times New Roman"/>
                <w:color w:val="auto"/>
                <w:kern w:val="21"/>
              </w:rPr>
              <w:sym w:font="Wingdings" w:char="00FE"/>
            </w:r>
          </w:p>
        </w:tc>
        <w:tc>
          <w:tcPr>
            <w:tcW w:w="1564" w:type="pct"/>
            <w:gridSpan w:val="3"/>
            <w:shd w:val="clear" w:color="auto" w:fill="auto"/>
            <w:vAlign w:val="center"/>
          </w:tcPr>
          <w:p w14:paraId="2F81F105">
            <w:pPr>
              <w:jc w:val="center"/>
              <w:rPr>
                <w:rFonts w:ascii="宋体" w:hAnsi="宋体" w:eastAsia="宋体" w:cs="Times New Roman"/>
                <w:color w:val="auto"/>
                <w:kern w:val="21"/>
              </w:rPr>
            </w:pPr>
            <w:r>
              <w:rPr>
                <w:rFonts w:ascii="宋体" w:hAnsi="宋体" w:eastAsia="宋体" w:cs="Times New Roman"/>
                <w:color w:val="auto"/>
                <w:kern w:val="21"/>
              </w:rPr>
              <w:t>地表水</w:t>
            </w:r>
            <w:r>
              <w:rPr>
                <w:rFonts w:ascii="宋体" w:hAnsi="宋体" w:eastAsia="宋体" w:cs="Times New Roman"/>
                <w:color w:val="auto"/>
                <w:kern w:val="21"/>
              </w:rPr>
              <w:sym w:font="Wingdings" w:char="00FE"/>
            </w:r>
          </w:p>
        </w:tc>
        <w:tc>
          <w:tcPr>
            <w:tcW w:w="1275" w:type="pct"/>
            <w:gridSpan w:val="2"/>
            <w:shd w:val="clear" w:color="auto" w:fill="auto"/>
            <w:vAlign w:val="center"/>
          </w:tcPr>
          <w:p w14:paraId="27081B1E">
            <w:pPr>
              <w:jc w:val="center"/>
              <w:rPr>
                <w:rFonts w:ascii="宋体" w:hAnsi="宋体" w:eastAsia="宋体" w:cs="Times New Roman"/>
                <w:color w:val="auto"/>
                <w:kern w:val="21"/>
              </w:rPr>
            </w:pPr>
            <w:r>
              <w:rPr>
                <w:rFonts w:ascii="宋体" w:hAnsi="宋体" w:eastAsia="宋体" w:cs="Times New Roman"/>
                <w:color w:val="auto"/>
                <w:kern w:val="21"/>
              </w:rPr>
              <w:t>地下水</w:t>
            </w:r>
            <w:r>
              <w:rPr>
                <w:rFonts w:ascii="宋体" w:hAnsi="宋体" w:eastAsia="宋体" w:cs="Times New Roman"/>
                <w:color w:val="auto"/>
                <w:kern w:val="21"/>
              </w:rPr>
              <w:sym w:font="Wingdings" w:char="00FE"/>
            </w:r>
          </w:p>
        </w:tc>
      </w:tr>
      <w:tr w14:paraId="2CBC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pct"/>
            <w:gridSpan w:val="2"/>
            <w:shd w:val="clear" w:color="auto" w:fill="auto"/>
            <w:vAlign w:val="center"/>
          </w:tcPr>
          <w:p w14:paraId="48C13B9E">
            <w:pPr>
              <w:jc w:val="center"/>
              <w:rPr>
                <w:rFonts w:ascii="宋体" w:hAnsi="宋体" w:eastAsia="宋体" w:cs="Times New Roman"/>
                <w:color w:val="auto"/>
                <w:kern w:val="21"/>
              </w:rPr>
            </w:pPr>
            <w:r>
              <w:rPr>
                <w:rFonts w:ascii="宋体" w:hAnsi="宋体" w:eastAsia="宋体" w:cs="Times New Roman"/>
                <w:color w:val="auto"/>
                <w:kern w:val="21"/>
              </w:rPr>
              <w:t>事故情形分析</w:t>
            </w:r>
          </w:p>
        </w:tc>
        <w:tc>
          <w:tcPr>
            <w:tcW w:w="1180" w:type="pct"/>
            <w:gridSpan w:val="3"/>
            <w:shd w:val="clear" w:color="auto" w:fill="auto"/>
            <w:vAlign w:val="center"/>
          </w:tcPr>
          <w:p w14:paraId="3818FDBB">
            <w:pPr>
              <w:jc w:val="center"/>
              <w:rPr>
                <w:rFonts w:ascii="宋体" w:hAnsi="宋体" w:eastAsia="宋体" w:cs="Times New Roman"/>
                <w:color w:val="auto"/>
                <w:kern w:val="21"/>
              </w:rPr>
            </w:pPr>
            <w:r>
              <w:rPr>
                <w:rFonts w:ascii="宋体" w:hAnsi="宋体" w:eastAsia="宋体" w:cs="Times New Roman"/>
                <w:color w:val="auto"/>
                <w:kern w:val="21"/>
              </w:rPr>
              <w:t>源强设定方法</w:t>
            </w:r>
          </w:p>
        </w:tc>
        <w:tc>
          <w:tcPr>
            <w:tcW w:w="1196" w:type="pct"/>
            <w:gridSpan w:val="2"/>
            <w:shd w:val="clear" w:color="auto" w:fill="auto"/>
            <w:vAlign w:val="center"/>
          </w:tcPr>
          <w:p w14:paraId="31CAC6E7">
            <w:pPr>
              <w:jc w:val="center"/>
              <w:rPr>
                <w:rFonts w:ascii="宋体" w:hAnsi="宋体" w:eastAsia="宋体" w:cs="Times New Roman"/>
                <w:color w:val="auto"/>
                <w:kern w:val="21"/>
              </w:rPr>
            </w:pPr>
            <w:r>
              <w:rPr>
                <w:rFonts w:ascii="宋体" w:hAnsi="宋体" w:eastAsia="宋体" w:cs="Times New Roman"/>
                <w:color w:val="auto"/>
                <w:kern w:val="21"/>
              </w:rPr>
              <w:t>计算法</w:t>
            </w:r>
            <w:r>
              <w:rPr>
                <w:rFonts w:ascii="宋体" w:hAnsi="宋体" w:eastAsia="宋体" w:cs="Times New Roman"/>
                <w:color w:val="auto"/>
                <w:kern w:val="21"/>
              </w:rPr>
              <w:sym w:font="Wingdings" w:char="00A8"/>
            </w:r>
          </w:p>
        </w:tc>
        <w:tc>
          <w:tcPr>
            <w:tcW w:w="813" w:type="pct"/>
            <w:gridSpan w:val="2"/>
            <w:shd w:val="clear" w:color="auto" w:fill="auto"/>
            <w:vAlign w:val="center"/>
          </w:tcPr>
          <w:p w14:paraId="4B3D48D6">
            <w:pPr>
              <w:jc w:val="center"/>
              <w:rPr>
                <w:rFonts w:ascii="宋体" w:hAnsi="宋体" w:eastAsia="宋体" w:cs="Times New Roman"/>
                <w:color w:val="auto"/>
                <w:kern w:val="21"/>
              </w:rPr>
            </w:pPr>
            <w:r>
              <w:rPr>
                <w:rFonts w:ascii="宋体" w:hAnsi="宋体" w:eastAsia="宋体" w:cs="Times New Roman"/>
                <w:color w:val="auto"/>
                <w:kern w:val="21"/>
              </w:rPr>
              <w:t>经验估算法</w:t>
            </w:r>
            <w:r>
              <w:rPr>
                <w:rFonts w:ascii="宋体" w:hAnsi="宋体" w:eastAsia="宋体" w:cs="Times New Roman"/>
                <w:color w:val="auto"/>
                <w:kern w:val="21"/>
              </w:rPr>
              <w:sym w:font="Wingdings" w:char="00A8"/>
            </w:r>
          </w:p>
        </w:tc>
        <w:tc>
          <w:tcPr>
            <w:tcW w:w="830" w:type="pct"/>
            <w:shd w:val="clear" w:color="auto" w:fill="auto"/>
            <w:vAlign w:val="center"/>
          </w:tcPr>
          <w:p w14:paraId="09200712">
            <w:pPr>
              <w:jc w:val="center"/>
              <w:rPr>
                <w:rFonts w:ascii="宋体" w:hAnsi="宋体" w:eastAsia="宋体" w:cs="Times New Roman"/>
                <w:color w:val="auto"/>
                <w:kern w:val="21"/>
              </w:rPr>
            </w:pPr>
            <w:r>
              <w:rPr>
                <w:rFonts w:ascii="宋体" w:hAnsi="宋体" w:eastAsia="宋体" w:cs="Times New Roman"/>
                <w:color w:val="auto"/>
                <w:kern w:val="21"/>
              </w:rPr>
              <w:t>其他估算法</w:t>
            </w:r>
            <w:r>
              <w:rPr>
                <w:rFonts w:ascii="宋体" w:hAnsi="宋体" w:eastAsia="宋体" w:cs="Times New Roman"/>
                <w:color w:val="auto"/>
                <w:kern w:val="21"/>
              </w:rPr>
              <w:sym w:font="Wingdings" w:char="00FE"/>
            </w:r>
          </w:p>
        </w:tc>
      </w:tr>
      <w:tr w14:paraId="30EF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restart"/>
            <w:shd w:val="clear" w:color="auto" w:fill="auto"/>
            <w:vAlign w:val="center"/>
          </w:tcPr>
          <w:p w14:paraId="43B4DA1F">
            <w:pPr>
              <w:jc w:val="center"/>
              <w:rPr>
                <w:rFonts w:ascii="宋体" w:hAnsi="宋体" w:eastAsia="宋体" w:cs="Times New Roman"/>
                <w:color w:val="auto"/>
                <w:kern w:val="21"/>
              </w:rPr>
            </w:pPr>
            <w:r>
              <w:rPr>
                <w:rFonts w:ascii="宋体" w:hAnsi="宋体" w:eastAsia="宋体" w:cs="Times New Roman"/>
                <w:color w:val="auto"/>
                <w:kern w:val="21"/>
              </w:rPr>
              <w:t>风险预测与评价</w:t>
            </w:r>
          </w:p>
        </w:tc>
        <w:tc>
          <w:tcPr>
            <w:tcW w:w="668" w:type="pct"/>
            <w:vMerge w:val="restart"/>
            <w:shd w:val="clear" w:color="auto" w:fill="auto"/>
            <w:vAlign w:val="center"/>
          </w:tcPr>
          <w:p w14:paraId="0C20B3A7">
            <w:pPr>
              <w:jc w:val="center"/>
              <w:rPr>
                <w:rFonts w:ascii="宋体" w:hAnsi="宋体" w:eastAsia="宋体" w:cs="Times New Roman"/>
                <w:color w:val="auto"/>
                <w:kern w:val="21"/>
              </w:rPr>
            </w:pPr>
            <w:r>
              <w:rPr>
                <w:rFonts w:ascii="宋体" w:hAnsi="宋体" w:eastAsia="宋体" w:cs="Times New Roman"/>
                <w:color w:val="auto"/>
                <w:kern w:val="21"/>
              </w:rPr>
              <w:t>大气</w:t>
            </w:r>
          </w:p>
        </w:tc>
        <w:tc>
          <w:tcPr>
            <w:tcW w:w="1180" w:type="pct"/>
            <w:gridSpan w:val="3"/>
            <w:shd w:val="clear" w:color="auto" w:fill="auto"/>
            <w:vAlign w:val="center"/>
          </w:tcPr>
          <w:p w14:paraId="5D98BFB8">
            <w:pPr>
              <w:jc w:val="center"/>
              <w:rPr>
                <w:rFonts w:ascii="宋体" w:hAnsi="宋体" w:eastAsia="宋体" w:cs="Times New Roman"/>
                <w:color w:val="auto"/>
                <w:kern w:val="21"/>
              </w:rPr>
            </w:pPr>
            <w:r>
              <w:rPr>
                <w:rFonts w:ascii="宋体" w:hAnsi="宋体" w:eastAsia="宋体" w:cs="Times New Roman"/>
                <w:color w:val="auto"/>
                <w:kern w:val="21"/>
              </w:rPr>
              <w:t>预测模型</w:t>
            </w:r>
          </w:p>
        </w:tc>
        <w:tc>
          <w:tcPr>
            <w:tcW w:w="1196" w:type="pct"/>
            <w:gridSpan w:val="2"/>
            <w:shd w:val="clear" w:color="auto" w:fill="auto"/>
            <w:vAlign w:val="center"/>
          </w:tcPr>
          <w:p w14:paraId="47FFDC92">
            <w:pPr>
              <w:jc w:val="center"/>
              <w:rPr>
                <w:rFonts w:ascii="宋体" w:hAnsi="宋体" w:eastAsia="宋体" w:cs="Times New Roman"/>
                <w:color w:val="auto"/>
                <w:kern w:val="21"/>
              </w:rPr>
            </w:pPr>
            <w:r>
              <w:rPr>
                <w:rFonts w:ascii="宋体" w:hAnsi="宋体" w:eastAsia="宋体" w:cs="Times New Roman"/>
                <w:color w:val="auto"/>
                <w:kern w:val="21"/>
              </w:rPr>
              <w:t>SLAB</w:t>
            </w:r>
            <w:r>
              <w:rPr>
                <w:rFonts w:ascii="宋体" w:hAnsi="宋体" w:eastAsia="宋体" w:cs="Times New Roman"/>
                <w:color w:val="auto"/>
                <w:kern w:val="21"/>
              </w:rPr>
              <w:sym w:font="Wingdings" w:char="00A8"/>
            </w:r>
          </w:p>
        </w:tc>
        <w:tc>
          <w:tcPr>
            <w:tcW w:w="813" w:type="pct"/>
            <w:gridSpan w:val="2"/>
            <w:shd w:val="clear" w:color="auto" w:fill="auto"/>
            <w:vAlign w:val="center"/>
          </w:tcPr>
          <w:p w14:paraId="3DBDA801">
            <w:pPr>
              <w:jc w:val="center"/>
              <w:rPr>
                <w:rFonts w:ascii="宋体" w:hAnsi="宋体" w:eastAsia="宋体" w:cs="Times New Roman"/>
                <w:color w:val="auto"/>
                <w:kern w:val="21"/>
              </w:rPr>
            </w:pPr>
            <w:r>
              <w:rPr>
                <w:rFonts w:ascii="宋体" w:hAnsi="宋体" w:eastAsia="宋体" w:cs="Times New Roman"/>
                <w:color w:val="auto"/>
                <w:kern w:val="21"/>
              </w:rPr>
              <w:t>AFTOX</w:t>
            </w:r>
            <w:r>
              <w:rPr>
                <w:rFonts w:ascii="宋体" w:hAnsi="宋体" w:eastAsia="宋体" w:cs="Times New Roman"/>
                <w:color w:val="auto"/>
                <w:kern w:val="21"/>
              </w:rPr>
              <w:sym w:font="Wingdings" w:char="00A8"/>
            </w:r>
          </w:p>
        </w:tc>
        <w:tc>
          <w:tcPr>
            <w:tcW w:w="830" w:type="pct"/>
            <w:shd w:val="clear" w:color="auto" w:fill="auto"/>
            <w:vAlign w:val="center"/>
          </w:tcPr>
          <w:p w14:paraId="2FE2F579">
            <w:pPr>
              <w:jc w:val="center"/>
              <w:rPr>
                <w:rFonts w:ascii="宋体" w:hAnsi="宋体" w:eastAsia="宋体" w:cs="Times New Roman"/>
                <w:color w:val="auto"/>
                <w:kern w:val="21"/>
              </w:rPr>
            </w:pPr>
            <w:r>
              <w:rPr>
                <w:rFonts w:ascii="宋体" w:hAnsi="宋体" w:eastAsia="宋体" w:cs="Times New Roman"/>
                <w:color w:val="auto"/>
                <w:kern w:val="21"/>
              </w:rPr>
              <w:t>其他</w:t>
            </w:r>
            <w:r>
              <w:rPr>
                <w:rFonts w:ascii="宋体" w:hAnsi="宋体" w:eastAsia="宋体" w:cs="Times New Roman"/>
                <w:color w:val="auto"/>
                <w:kern w:val="21"/>
              </w:rPr>
              <w:sym w:font="Wingdings" w:char="00A8"/>
            </w:r>
          </w:p>
        </w:tc>
      </w:tr>
      <w:tr w14:paraId="2CF6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7E2CF908">
            <w:pPr>
              <w:jc w:val="center"/>
              <w:rPr>
                <w:rFonts w:ascii="宋体" w:hAnsi="宋体" w:eastAsia="宋体" w:cs="Times New Roman"/>
                <w:color w:val="auto"/>
                <w:kern w:val="21"/>
              </w:rPr>
            </w:pPr>
          </w:p>
        </w:tc>
        <w:tc>
          <w:tcPr>
            <w:tcW w:w="668" w:type="pct"/>
            <w:vMerge w:val="continue"/>
            <w:shd w:val="clear" w:color="auto" w:fill="auto"/>
            <w:vAlign w:val="center"/>
          </w:tcPr>
          <w:p w14:paraId="1E5AB1ED">
            <w:pPr>
              <w:jc w:val="center"/>
              <w:rPr>
                <w:rFonts w:ascii="宋体" w:hAnsi="宋体" w:eastAsia="宋体" w:cs="Times New Roman"/>
                <w:color w:val="auto"/>
                <w:kern w:val="21"/>
              </w:rPr>
            </w:pPr>
          </w:p>
        </w:tc>
        <w:tc>
          <w:tcPr>
            <w:tcW w:w="1180" w:type="pct"/>
            <w:gridSpan w:val="3"/>
            <w:vMerge w:val="restart"/>
            <w:shd w:val="clear" w:color="auto" w:fill="auto"/>
            <w:vAlign w:val="center"/>
          </w:tcPr>
          <w:p w14:paraId="18689B0E">
            <w:pPr>
              <w:jc w:val="center"/>
              <w:rPr>
                <w:rFonts w:ascii="宋体" w:hAnsi="宋体" w:eastAsia="宋体" w:cs="Times New Roman"/>
                <w:color w:val="auto"/>
                <w:kern w:val="21"/>
              </w:rPr>
            </w:pPr>
            <w:r>
              <w:rPr>
                <w:rFonts w:ascii="宋体" w:hAnsi="宋体" w:eastAsia="宋体" w:cs="Times New Roman"/>
                <w:color w:val="auto"/>
                <w:kern w:val="21"/>
              </w:rPr>
              <w:t>预测结果</w:t>
            </w:r>
          </w:p>
        </w:tc>
        <w:tc>
          <w:tcPr>
            <w:tcW w:w="2839" w:type="pct"/>
            <w:gridSpan w:val="5"/>
            <w:shd w:val="clear" w:color="auto" w:fill="auto"/>
            <w:vAlign w:val="center"/>
          </w:tcPr>
          <w:p w14:paraId="00112648">
            <w:pPr>
              <w:jc w:val="center"/>
              <w:rPr>
                <w:rFonts w:ascii="宋体" w:hAnsi="宋体" w:eastAsia="宋体" w:cs="Times New Roman"/>
                <w:color w:val="auto"/>
                <w:kern w:val="21"/>
                <w:u w:val="single"/>
              </w:rPr>
            </w:pPr>
            <w:r>
              <w:rPr>
                <w:rFonts w:ascii="宋体" w:hAnsi="宋体" w:eastAsia="宋体" w:cs="Times New Roman"/>
                <w:color w:val="auto"/>
                <w:kern w:val="21"/>
              </w:rPr>
              <w:t>大气毒性终点浓度-1 最大影响范围</w:t>
            </w:r>
            <w:r>
              <w:rPr>
                <w:rFonts w:ascii="宋体" w:hAnsi="宋体" w:eastAsia="宋体" w:cs="Times New Roman"/>
                <w:color w:val="auto"/>
                <w:kern w:val="21"/>
                <w:u w:val="single"/>
              </w:rPr>
              <w:t xml:space="preserve">  </w:t>
            </w:r>
            <w:r>
              <w:rPr>
                <w:rFonts w:ascii="宋体" w:hAnsi="宋体" w:eastAsia="宋体" w:cs="Times New Roman"/>
                <w:color w:val="auto"/>
                <w:kern w:val="21"/>
              </w:rPr>
              <w:t>m</w:t>
            </w:r>
          </w:p>
        </w:tc>
      </w:tr>
      <w:tr w14:paraId="2CD2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7E61A74D">
            <w:pPr>
              <w:jc w:val="center"/>
              <w:rPr>
                <w:rFonts w:ascii="宋体" w:hAnsi="宋体" w:eastAsia="宋体" w:cs="Times New Roman"/>
                <w:color w:val="auto"/>
                <w:kern w:val="21"/>
              </w:rPr>
            </w:pPr>
          </w:p>
        </w:tc>
        <w:tc>
          <w:tcPr>
            <w:tcW w:w="668" w:type="pct"/>
            <w:vMerge w:val="continue"/>
            <w:shd w:val="clear" w:color="auto" w:fill="auto"/>
            <w:vAlign w:val="center"/>
          </w:tcPr>
          <w:p w14:paraId="035C200D">
            <w:pPr>
              <w:jc w:val="center"/>
              <w:rPr>
                <w:rFonts w:ascii="宋体" w:hAnsi="宋体" w:eastAsia="宋体" w:cs="Times New Roman"/>
                <w:color w:val="auto"/>
                <w:kern w:val="21"/>
              </w:rPr>
            </w:pPr>
          </w:p>
        </w:tc>
        <w:tc>
          <w:tcPr>
            <w:tcW w:w="1180" w:type="pct"/>
            <w:gridSpan w:val="3"/>
            <w:vMerge w:val="continue"/>
            <w:shd w:val="clear" w:color="auto" w:fill="auto"/>
            <w:vAlign w:val="center"/>
          </w:tcPr>
          <w:p w14:paraId="00463592">
            <w:pPr>
              <w:jc w:val="center"/>
              <w:rPr>
                <w:rFonts w:ascii="宋体" w:hAnsi="宋体" w:eastAsia="宋体" w:cs="Times New Roman"/>
                <w:color w:val="auto"/>
                <w:kern w:val="21"/>
              </w:rPr>
            </w:pPr>
          </w:p>
        </w:tc>
        <w:tc>
          <w:tcPr>
            <w:tcW w:w="2839" w:type="pct"/>
            <w:gridSpan w:val="5"/>
            <w:shd w:val="clear" w:color="auto" w:fill="auto"/>
            <w:vAlign w:val="center"/>
          </w:tcPr>
          <w:p w14:paraId="2081C0E9">
            <w:pPr>
              <w:jc w:val="center"/>
              <w:rPr>
                <w:rFonts w:ascii="宋体" w:hAnsi="宋体" w:eastAsia="宋体" w:cs="Times New Roman"/>
                <w:color w:val="auto"/>
                <w:kern w:val="21"/>
              </w:rPr>
            </w:pPr>
            <w:r>
              <w:rPr>
                <w:rFonts w:ascii="宋体" w:hAnsi="宋体" w:eastAsia="宋体" w:cs="Times New Roman"/>
                <w:color w:val="auto"/>
                <w:kern w:val="21"/>
              </w:rPr>
              <w:t>大气毒性终点浓度-2 最大影响范围</w:t>
            </w:r>
            <w:r>
              <w:rPr>
                <w:rFonts w:ascii="宋体" w:hAnsi="宋体" w:eastAsia="宋体" w:cs="Times New Roman"/>
                <w:color w:val="auto"/>
                <w:kern w:val="21"/>
                <w:u w:val="single"/>
              </w:rPr>
              <w:t xml:space="preserve">  </w:t>
            </w:r>
            <w:r>
              <w:rPr>
                <w:rFonts w:ascii="宋体" w:hAnsi="宋体" w:eastAsia="宋体" w:cs="Times New Roman"/>
                <w:color w:val="auto"/>
                <w:kern w:val="21"/>
              </w:rPr>
              <w:t>m</w:t>
            </w:r>
          </w:p>
        </w:tc>
      </w:tr>
      <w:tr w14:paraId="2575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223FF3F8">
            <w:pPr>
              <w:jc w:val="center"/>
              <w:rPr>
                <w:rFonts w:ascii="宋体" w:hAnsi="宋体" w:eastAsia="宋体" w:cs="Times New Roman"/>
                <w:color w:val="auto"/>
                <w:kern w:val="21"/>
              </w:rPr>
            </w:pPr>
          </w:p>
        </w:tc>
        <w:tc>
          <w:tcPr>
            <w:tcW w:w="668" w:type="pct"/>
            <w:shd w:val="clear" w:color="auto" w:fill="auto"/>
            <w:vAlign w:val="center"/>
          </w:tcPr>
          <w:p w14:paraId="0A7F4697">
            <w:pPr>
              <w:jc w:val="center"/>
              <w:rPr>
                <w:rFonts w:ascii="宋体" w:hAnsi="宋体" w:eastAsia="宋体" w:cs="Times New Roman"/>
                <w:color w:val="auto"/>
                <w:kern w:val="21"/>
              </w:rPr>
            </w:pPr>
            <w:r>
              <w:rPr>
                <w:rFonts w:ascii="宋体" w:hAnsi="宋体" w:eastAsia="宋体" w:cs="Times New Roman"/>
                <w:color w:val="auto"/>
                <w:kern w:val="21"/>
              </w:rPr>
              <w:t>地表水</w:t>
            </w:r>
          </w:p>
        </w:tc>
        <w:tc>
          <w:tcPr>
            <w:tcW w:w="4019" w:type="pct"/>
            <w:gridSpan w:val="8"/>
            <w:shd w:val="clear" w:color="auto" w:fill="auto"/>
            <w:vAlign w:val="center"/>
          </w:tcPr>
          <w:p w14:paraId="4FC3CBFF">
            <w:pPr>
              <w:jc w:val="center"/>
              <w:rPr>
                <w:rFonts w:ascii="宋体" w:hAnsi="宋体" w:eastAsia="宋体" w:cs="Times New Roman"/>
                <w:color w:val="auto"/>
                <w:kern w:val="21"/>
              </w:rPr>
            </w:pPr>
            <w:r>
              <w:rPr>
                <w:rFonts w:ascii="宋体" w:hAnsi="宋体" w:eastAsia="宋体" w:cs="Times New Roman"/>
                <w:color w:val="auto"/>
                <w:kern w:val="21"/>
              </w:rPr>
              <w:t>最近敏感目标</w:t>
            </w:r>
            <w:r>
              <w:rPr>
                <w:rFonts w:ascii="宋体" w:hAnsi="宋体" w:eastAsia="宋体" w:cs="Times New Roman"/>
                <w:color w:val="auto"/>
                <w:kern w:val="21"/>
                <w:u w:val="single"/>
              </w:rPr>
              <w:t xml:space="preserve">    </w:t>
            </w:r>
            <w:r>
              <w:rPr>
                <w:rFonts w:ascii="宋体" w:hAnsi="宋体" w:eastAsia="宋体" w:cs="Times New Roman"/>
                <w:color w:val="auto"/>
                <w:kern w:val="21"/>
              </w:rPr>
              <w:t>，到达时间</w:t>
            </w:r>
            <w:r>
              <w:rPr>
                <w:rFonts w:ascii="宋体" w:hAnsi="宋体" w:eastAsia="宋体" w:cs="Times New Roman"/>
                <w:color w:val="auto"/>
                <w:kern w:val="21"/>
                <w:u w:val="single"/>
              </w:rPr>
              <w:t xml:space="preserve">  </w:t>
            </w:r>
            <w:r>
              <w:rPr>
                <w:rFonts w:ascii="宋体" w:hAnsi="宋体" w:eastAsia="宋体" w:cs="Times New Roman"/>
                <w:color w:val="auto"/>
                <w:kern w:val="21"/>
              </w:rPr>
              <w:t>h</w:t>
            </w:r>
          </w:p>
        </w:tc>
      </w:tr>
      <w:tr w14:paraId="1E9B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34E73E82">
            <w:pPr>
              <w:jc w:val="center"/>
              <w:rPr>
                <w:rFonts w:ascii="宋体" w:hAnsi="宋体" w:eastAsia="宋体" w:cs="Times New Roman"/>
                <w:color w:val="auto"/>
                <w:kern w:val="21"/>
              </w:rPr>
            </w:pPr>
          </w:p>
        </w:tc>
        <w:tc>
          <w:tcPr>
            <w:tcW w:w="668" w:type="pct"/>
            <w:vMerge w:val="restart"/>
            <w:shd w:val="clear" w:color="auto" w:fill="auto"/>
            <w:vAlign w:val="center"/>
          </w:tcPr>
          <w:p w14:paraId="2655D96B">
            <w:pPr>
              <w:jc w:val="center"/>
              <w:rPr>
                <w:rFonts w:ascii="宋体" w:hAnsi="宋体" w:eastAsia="宋体" w:cs="Times New Roman"/>
                <w:color w:val="auto"/>
                <w:kern w:val="21"/>
              </w:rPr>
            </w:pPr>
            <w:r>
              <w:rPr>
                <w:rFonts w:ascii="宋体" w:hAnsi="宋体" w:eastAsia="宋体" w:cs="Times New Roman"/>
                <w:color w:val="auto"/>
                <w:kern w:val="21"/>
              </w:rPr>
              <w:t>地下水</w:t>
            </w:r>
          </w:p>
        </w:tc>
        <w:tc>
          <w:tcPr>
            <w:tcW w:w="4019" w:type="pct"/>
            <w:gridSpan w:val="8"/>
            <w:shd w:val="clear" w:color="auto" w:fill="auto"/>
            <w:vAlign w:val="center"/>
          </w:tcPr>
          <w:p w14:paraId="4682AFB1">
            <w:pPr>
              <w:jc w:val="center"/>
              <w:rPr>
                <w:rFonts w:ascii="宋体" w:hAnsi="宋体" w:eastAsia="宋体" w:cs="Times New Roman"/>
                <w:color w:val="auto"/>
                <w:kern w:val="21"/>
                <w:u w:val="single"/>
              </w:rPr>
            </w:pPr>
            <w:r>
              <w:rPr>
                <w:rFonts w:ascii="宋体" w:hAnsi="宋体" w:eastAsia="宋体" w:cs="Times New Roman"/>
                <w:color w:val="auto"/>
                <w:kern w:val="21"/>
              </w:rPr>
              <w:t>下游厂区边界到达时间</w:t>
            </w:r>
            <w:r>
              <w:rPr>
                <w:rFonts w:ascii="宋体" w:hAnsi="宋体" w:eastAsia="宋体" w:cs="Times New Roman"/>
                <w:color w:val="auto"/>
                <w:kern w:val="21"/>
                <w:u w:val="single"/>
              </w:rPr>
              <w:t xml:space="preserve">   </w:t>
            </w:r>
            <w:r>
              <w:rPr>
                <w:rFonts w:ascii="宋体" w:hAnsi="宋体" w:eastAsia="宋体" w:cs="Times New Roman"/>
                <w:color w:val="auto"/>
                <w:kern w:val="21"/>
              </w:rPr>
              <w:t>d</w:t>
            </w:r>
          </w:p>
        </w:tc>
      </w:tr>
      <w:tr w14:paraId="743F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shd w:val="clear" w:color="auto" w:fill="auto"/>
            <w:vAlign w:val="center"/>
          </w:tcPr>
          <w:p w14:paraId="3B73E679">
            <w:pPr>
              <w:jc w:val="center"/>
              <w:rPr>
                <w:rFonts w:ascii="宋体" w:hAnsi="宋体" w:eastAsia="宋体" w:cs="Times New Roman"/>
                <w:color w:val="auto"/>
                <w:kern w:val="21"/>
              </w:rPr>
            </w:pPr>
          </w:p>
        </w:tc>
        <w:tc>
          <w:tcPr>
            <w:tcW w:w="668" w:type="pct"/>
            <w:vMerge w:val="continue"/>
            <w:shd w:val="clear" w:color="auto" w:fill="auto"/>
            <w:vAlign w:val="center"/>
          </w:tcPr>
          <w:p w14:paraId="685D7C75">
            <w:pPr>
              <w:jc w:val="center"/>
              <w:rPr>
                <w:rFonts w:ascii="宋体" w:hAnsi="宋体" w:eastAsia="宋体" w:cs="Times New Roman"/>
                <w:color w:val="auto"/>
                <w:kern w:val="21"/>
              </w:rPr>
            </w:pPr>
          </w:p>
        </w:tc>
        <w:tc>
          <w:tcPr>
            <w:tcW w:w="4019" w:type="pct"/>
            <w:gridSpan w:val="8"/>
            <w:shd w:val="clear" w:color="auto" w:fill="auto"/>
            <w:vAlign w:val="center"/>
          </w:tcPr>
          <w:p w14:paraId="657C7FCD">
            <w:pPr>
              <w:jc w:val="center"/>
              <w:rPr>
                <w:rFonts w:ascii="宋体" w:hAnsi="宋体" w:eastAsia="宋体" w:cs="Times New Roman"/>
                <w:color w:val="auto"/>
                <w:kern w:val="21"/>
              </w:rPr>
            </w:pPr>
            <w:r>
              <w:rPr>
                <w:rFonts w:ascii="宋体" w:hAnsi="宋体" w:eastAsia="宋体" w:cs="Times New Roman"/>
                <w:color w:val="auto"/>
                <w:kern w:val="21"/>
              </w:rPr>
              <w:t>最近环境敏感目标</w:t>
            </w:r>
            <w:r>
              <w:rPr>
                <w:rFonts w:ascii="宋体" w:hAnsi="宋体" w:eastAsia="宋体" w:cs="Times New Roman"/>
                <w:color w:val="auto"/>
                <w:kern w:val="21"/>
                <w:u w:val="single"/>
              </w:rPr>
              <w:t xml:space="preserve">   </w:t>
            </w:r>
            <w:r>
              <w:rPr>
                <w:rFonts w:ascii="宋体" w:hAnsi="宋体" w:eastAsia="宋体" w:cs="Times New Roman"/>
                <w:color w:val="auto"/>
                <w:kern w:val="21"/>
              </w:rPr>
              <w:t>，到达时间</w:t>
            </w:r>
            <w:r>
              <w:rPr>
                <w:rFonts w:ascii="宋体" w:hAnsi="宋体" w:eastAsia="宋体" w:cs="Times New Roman"/>
                <w:color w:val="auto"/>
                <w:kern w:val="21"/>
                <w:u w:val="single"/>
              </w:rPr>
              <w:t xml:space="preserve">  </w:t>
            </w:r>
            <w:r>
              <w:rPr>
                <w:rFonts w:ascii="宋体" w:hAnsi="宋体" w:eastAsia="宋体" w:cs="Times New Roman"/>
                <w:color w:val="auto"/>
                <w:kern w:val="21"/>
              </w:rPr>
              <w:t>d</w:t>
            </w:r>
          </w:p>
        </w:tc>
      </w:tr>
      <w:tr w14:paraId="4C06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pct"/>
            <w:gridSpan w:val="2"/>
            <w:shd w:val="clear" w:color="auto" w:fill="auto"/>
            <w:vAlign w:val="center"/>
          </w:tcPr>
          <w:p w14:paraId="4BBC887E">
            <w:pPr>
              <w:jc w:val="center"/>
              <w:rPr>
                <w:rFonts w:ascii="宋体" w:hAnsi="宋体" w:eastAsia="宋体" w:cs="Times New Roman"/>
                <w:color w:val="auto"/>
                <w:kern w:val="21"/>
              </w:rPr>
            </w:pPr>
            <w:r>
              <w:rPr>
                <w:rFonts w:ascii="宋体" w:hAnsi="宋体" w:eastAsia="宋体" w:cs="Times New Roman"/>
                <w:color w:val="auto"/>
                <w:kern w:val="21"/>
              </w:rPr>
              <w:t>重点风险</w:t>
            </w:r>
          </w:p>
          <w:p w14:paraId="1ACD22B7">
            <w:pPr>
              <w:jc w:val="center"/>
              <w:rPr>
                <w:rFonts w:ascii="宋体" w:hAnsi="宋体" w:eastAsia="宋体" w:cs="Times New Roman"/>
                <w:color w:val="auto"/>
                <w:kern w:val="21"/>
              </w:rPr>
            </w:pPr>
            <w:r>
              <w:rPr>
                <w:rFonts w:ascii="宋体" w:hAnsi="宋体" w:eastAsia="宋体" w:cs="Times New Roman"/>
                <w:color w:val="auto"/>
                <w:kern w:val="21"/>
              </w:rPr>
              <w:t>防范措施</w:t>
            </w:r>
          </w:p>
        </w:tc>
        <w:tc>
          <w:tcPr>
            <w:tcW w:w="4019" w:type="pct"/>
            <w:gridSpan w:val="8"/>
            <w:shd w:val="clear" w:color="auto" w:fill="auto"/>
            <w:vAlign w:val="center"/>
          </w:tcPr>
          <w:p w14:paraId="4AB99142">
            <w:pPr>
              <w:jc w:val="center"/>
              <w:rPr>
                <w:rFonts w:ascii="宋体" w:hAnsi="宋体" w:eastAsia="宋体" w:cs="Times New Roman"/>
                <w:color w:val="auto"/>
                <w:kern w:val="21"/>
              </w:rPr>
            </w:pPr>
            <w:r>
              <w:rPr>
                <w:rFonts w:ascii="宋体" w:hAnsi="宋体" w:eastAsia="宋体" w:cs="Times New Roman"/>
                <w:color w:val="auto"/>
              </w:rPr>
              <w:t>管道密闭输送、防腐、试压等，</w:t>
            </w:r>
            <w:r>
              <w:rPr>
                <w:rFonts w:hint="eastAsia" w:ascii="宋体" w:hAnsi="宋体" w:eastAsia="宋体" w:cs="Times New Roman"/>
                <w:color w:val="auto"/>
              </w:rPr>
              <w:t>运营期</w:t>
            </w:r>
            <w:r>
              <w:rPr>
                <w:rFonts w:ascii="宋体" w:hAnsi="宋体" w:eastAsia="宋体" w:cs="Times New Roman"/>
                <w:color w:val="auto"/>
              </w:rPr>
              <w:t>制定操作规程、巡线、检测、应急等管理措施</w:t>
            </w:r>
          </w:p>
        </w:tc>
      </w:tr>
      <w:tr w14:paraId="0058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pct"/>
            <w:gridSpan w:val="2"/>
            <w:shd w:val="clear" w:color="auto" w:fill="auto"/>
            <w:vAlign w:val="center"/>
          </w:tcPr>
          <w:p w14:paraId="2ED4D33C">
            <w:pPr>
              <w:jc w:val="center"/>
              <w:rPr>
                <w:rFonts w:ascii="宋体" w:hAnsi="宋体" w:eastAsia="宋体" w:cs="Times New Roman"/>
                <w:color w:val="auto"/>
                <w:kern w:val="21"/>
              </w:rPr>
            </w:pPr>
            <w:r>
              <w:rPr>
                <w:rFonts w:ascii="宋体" w:hAnsi="宋体" w:eastAsia="宋体" w:cs="Times New Roman"/>
                <w:color w:val="auto"/>
                <w:kern w:val="21"/>
              </w:rPr>
              <w:t>评价结论与建议</w:t>
            </w:r>
          </w:p>
        </w:tc>
        <w:tc>
          <w:tcPr>
            <w:tcW w:w="4019" w:type="pct"/>
            <w:gridSpan w:val="8"/>
            <w:shd w:val="clear" w:color="auto" w:fill="auto"/>
            <w:vAlign w:val="center"/>
          </w:tcPr>
          <w:p w14:paraId="35B87472">
            <w:pPr>
              <w:jc w:val="center"/>
              <w:rPr>
                <w:rFonts w:ascii="宋体" w:hAnsi="宋体" w:eastAsia="宋体" w:cs="Times New Roman"/>
                <w:color w:val="auto"/>
                <w:kern w:val="21"/>
              </w:rPr>
            </w:pPr>
            <w:r>
              <w:rPr>
                <w:rFonts w:ascii="宋体" w:hAnsi="宋体" w:eastAsia="宋体" w:cs="Times New Roman"/>
                <w:color w:val="auto"/>
                <w:kern w:val="21"/>
              </w:rPr>
              <w:t>本项目的主要环境风险是泄漏和火灾爆炸，对区域内的大气环境、地表水环境、地下水环境和土壤植被危害性不大。在工程采取一系列风险防范措施和应急措施后，可以控制和降低工程发生事故情况下对周围环境的影响。</w:t>
            </w:r>
          </w:p>
        </w:tc>
      </w:tr>
      <w:tr w14:paraId="4985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shd w:val="clear" w:color="auto" w:fill="auto"/>
            <w:vAlign w:val="center"/>
          </w:tcPr>
          <w:p w14:paraId="4E6310B9">
            <w:pPr>
              <w:jc w:val="center"/>
              <w:rPr>
                <w:rFonts w:ascii="宋体" w:hAnsi="宋体" w:eastAsia="宋体" w:cs="Times New Roman"/>
                <w:color w:val="auto"/>
                <w:kern w:val="21"/>
              </w:rPr>
            </w:pPr>
            <w:r>
              <w:rPr>
                <w:rFonts w:ascii="宋体" w:hAnsi="宋体" w:eastAsia="宋体" w:cs="Times New Roman"/>
                <w:color w:val="auto"/>
                <w:kern w:val="21"/>
              </w:rPr>
              <w:t>注：“</w:t>
            </w:r>
            <w:r>
              <w:rPr>
                <w:rFonts w:ascii="宋体" w:hAnsi="宋体" w:eastAsia="宋体" w:cs="Times New Roman"/>
                <w:color w:val="auto"/>
                <w:kern w:val="21"/>
              </w:rPr>
              <w:sym w:font="Wingdings" w:char="00A8"/>
            </w:r>
            <w:r>
              <w:rPr>
                <w:rFonts w:ascii="宋体" w:hAnsi="宋体" w:eastAsia="宋体" w:cs="Times New Roman"/>
                <w:color w:val="auto"/>
                <w:kern w:val="21"/>
              </w:rPr>
              <w:t>“为勾选项， “</w:t>
            </w:r>
            <w:r>
              <w:rPr>
                <w:rFonts w:ascii="宋体" w:hAnsi="宋体" w:eastAsia="宋体" w:cs="Times New Roman"/>
                <w:color w:val="auto"/>
                <w:kern w:val="21"/>
                <w:u w:val="single"/>
              </w:rPr>
              <w:t xml:space="preserve"> </w:t>
            </w:r>
            <w:r>
              <w:rPr>
                <w:rFonts w:ascii="宋体" w:hAnsi="宋体" w:eastAsia="宋体" w:cs="Times New Roman"/>
                <w:color w:val="auto"/>
                <w:kern w:val="21"/>
              </w:rPr>
              <w:t>“为内容填写项</w:t>
            </w:r>
          </w:p>
        </w:tc>
      </w:tr>
    </w:tbl>
    <w:p w14:paraId="1F54EAFA">
      <w:pPr>
        <w:rPr>
          <w:rFonts w:ascii="宋体" w:hAnsi="宋体" w:eastAsia="宋体" w:cs="Times New Roman"/>
          <w:color w:val="auto"/>
          <w:kern w:val="21"/>
        </w:rPr>
      </w:pPr>
    </w:p>
    <w:p w14:paraId="17C741CE">
      <w:pPr>
        <w:pStyle w:val="202"/>
        <w:spacing w:before="156" w:after="62"/>
        <w:rPr>
          <w:rFonts w:ascii="宋体" w:hAnsi="宋体" w:eastAsia="宋体"/>
          <w:b w:val="0"/>
          <w:smallCaps/>
          <w:color w:val="auto"/>
        </w:rPr>
      </w:pPr>
    </w:p>
    <w:p w14:paraId="52342C2A">
      <w:pPr>
        <w:rPr>
          <w:rFonts w:ascii="宋体" w:hAnsi="宋体" w:eastAsia="宋体" w:cs="Times New Roman"/>
          <w:color w:val="auto"/>
        </w:rPr>
      </w:pPr>
    </w:p>
    <w:p w14:paraId="3B49FAF1">
      <w:pPr>
        <w:pStyle w:val="202"/>
        <w:spacing w:before="156" w:after="62"/>
        <w:rPr>
          <w:rFonts w:ascii="宋体" w:hAnsi="宋体" w:eastAsia="宋体"/>
          <w:b w:val="0"/>
          <w:smallCaps/>
          <w:color w:val="auto"/>
        </w:rPr>
        <w:sectPr>
          <w:pgSz w:w="11906" w:h="16838"/>
          <w:pgMar w:top="1440" w:right="1797" w:bottom="1304" w:left="1797" w:header="1021" w:footer="851" w:gutter="0"/>
          <w:cols w:space="425" w:num="1"/>
          <w:docGrid w:type="lines" w:linePitch="312" w:charSpace="0"/>
        </w:sectPr>
      </w:pPr>
    </w:p>
    <w:p w14:paraId="5A3F6032">
      <w:pPr>
        <w:pStyle w:val="5"/>
        <w:rPr>
          <w:bCs w:val="0"/>
          <w:color w:val="auto"/>
        </w:rPr>
      </w:pPr>
      <w:bookmarkStart w:id="2258" w:name="_Toc14712"/>
      <w:bookmarkStart w:id="2259" w:name="_Toc15833343"/>
      <w:bookmarkStart w:id="2260" w:name="_Toc18781"/>
      <w:bookmarkStart w:id="2261" w:name="_Toc30212_WPSOffice_Level1"/>
      <w:bookmarkStart w:id="2262" w:name="_Toc18979"/>
      <w:bookmarkStart w:id="2263" w:name="_Toc212033062"/>
      <w:r>
        <w:rPr>
          <w:bCs w:val="0"/>
          <w:color w:val="auto"/>
        </w:rPr>
        <w:t>附表3：建设项目土壤环境影响评价自查表</w:t>
      </w:r>
      <w:bookmarkEnd w:id="2258"/>
      <w:bookmarkEnd w:id="2259"/>
      <w:bookmarkEnd w:id="2260"/>
      <w:bookmarkEnd w:id="2261"/>
      <w:bookmarkEnd w:id="2262"/>
      <w:bookmarkEnd w:id="2263"/>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63"/>
        <w:gridCol w:w="1168"/>
        <w:gridCol w:w="85"/>
        <w:gridCol w:w="1238"/>
        <w:gridCol w:w="1237"/>
        <w:gridCol w:w="544"/>
        <w:gridCol w:w="1242"/>
        <w:gridCol w:w="1025"/>
      </w:tblGrid>
      <w:tr w14:paraId="06D9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gridSpan w:val="2"/>
            <w:shd w:val="clear" w:color="auto" w:fill="auto"/>
            <w:vAlign w:val="center"/>
          </w:tcPr>
          <w:p w14:paraId="4C5A523A">
            <w:pPr>
              <w:jc w:val="center"/>
              <w:rPr>
                <w:rFonts w:ascii="宋体" w:hAnsi="宋体" w:eastAsia="宋体" w:cs="Times New Roman"/>
                <w:color w:val="auto"/>
                <w:kern w:val="21"/>
              </w:rPr>
            </w:pPr>
            <w:r>
              <w:rPr>
                <w:rFonts w:ascii="宋体" w:hAnsi="宋体" w:eastAsia="宋体" w:cs="Times New Roman"/>
                <w:color w:val="auto"/>
                <w:kern w:val="21"/>
              </w:rPr>
              <w:t>工作内容</w:t>
            </w:r>
          </w:p>
        </w:tc>
        <w:tc>
          <w:tcPr>
            <w:tcW w:w="3232" w:type="pct"/>
            <w:gridSpan w:val="6"/>
            <w:shd w:val="clear" w:color="auto" w:fill="auto"/>
            <w:vAlign w:val="center"/>
          </w:tcPr>
          <w:p w14:paraId="401162C5">
            <w:pPr>
              <w:jc w:val="center"/>
              <w:rPr>
                <w:rFonts w:ascii="宋体" w:hAnsi="宋体" w:eastAsia="宋体" w:cs="Times New Roman"/>
                <w:color w:val="auto"/>
                <w:kern w:val="21"/>
              </w:rPr>
            </w:pPr>
            <w:r>
              <w:rPr>
                <w:rFonts w:ascii="宋体" w:hAnsi="宋体" w:eastAsia="宋体" w:cs="Times New Roman"/>
                <w:color w:val="auto"/>
                <w:kern w:val="21"/>
              </w:rPr>
              <w:t>完成情况</w:t>
            </w:r>
          </w:p>
        </w:tc>
        <w:tc>
          <w:tcPr>
            <w:tcW w:w="602" w:type="pct"/>
            <w:shd w:val="clear" w:color="auto" w:fill="auto"/>
            <w:vAlign w:val="center"/>
          </w:tcPr>
          <w:p w14:paraId="76070863">
            <w:pPr>
              <w:jc w:val="center"/>
              <w:rPr>
                <w:rFonts w:ascii="宋体" w:hAnsi="宋体" w:eastAsia="宋体" w:cs="Times New Roman"/>
                <w:color w:val="auto"/>
                <w:kern w:val="21"/>
              </w:rPr>
            </w:pPr>
            <w:r>
              <w:rPr>
                <w:rFonts w:ascii="宋体" w:hAnsi="宋体" w:eastAsia="宋体" w:cs="Times New Roman"/>
                <w:color w:val="auto"/>
                <w:kern w:val="21"/>
              </w:rPr>
              <w:t>备注</w:t>
            </w:r>
          </w:p>
        </w:tc>
      </w:tr>
      <w:tr w14:paraId="1250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shd w:val="clear" w:color="auto" w:fill="auto"/>
            <w:vAlign w:val="center"/>
          </w:tcPr>
          <w:p w14:paraId="6B0AE1CF">
            <w:pPr>
              <w:jc w:val="center"/>
              <w:rPr>
                <w:rFonts w:ascii="宋体" w:hAnsi="宋体" w:eastAsia="宋体" w:cs="Times New Roman"/>
                <w:color w:val="auto"/>
                <w:kern w:val="21"/>
              </w:rPr>
            </w:pPr>
            <w:r>
              <w:rPr>
                <w:rFonts w:ascii="宋体" w:hAnsi="宋体" w:eastAsia="宋体" w:cs="Times New Roman"/>
                <w:color w:val="auto"/>
                <w:kern w:val="21"/>
              </w:rPr>
              <w:t>影</w:t>
            </w:r>
          </w:p>
          <w:p w14:paraId="1B85C2EE">
            <w:pPr>
              <w:jc w:val="center"/>
              <w:rPr>
                <w:rFonts w:ascii="宋体" w:hAnsi="宋体" w:eastAsia="宋体" w:cs="Times New Roman"/>
                <w:color w:val="auto"/>
                <w:kern w:val="21"/>
              </w:rPr>
            </w:pPr>
            <w:r>
              <w:rPr>
                <w:rFonts w:ascii="宋体" w:hAnsi="宋体" w:eastAsia="宋体" w:cs="Times New Roman"/>
                <w:color w:val="auto"/>
                <w:kern w:val="21"/>
              </w:rPr>
              <w:t>响</w:t>
            </w:r>
          </w:p>
          <w:p w14:paraId="7593DA55">
            <w:pPr>
              <w:jc w:val="center"/>
              <w:rPr>
                <w:rFonts w:ascii="宋体" w:hAnsi="宋体" w:eastAsia="宋体" w:cs="Times New Roman"/>
                <w:color w:val="auto"/>
                <w:kern w:val="21"/>
              </w:rPr>
            </w:pPr>
            <w:r>
              <w:rPr>
                <w:rFonts w:ascii="宋体" w:hAnsi="宋体" w:eastAsia="宋体" w:cs="Times New Roman"/>
                <w:color w:val="auto"/>
                <w:kern w:val="21"/>
              </w:rPr>
              <w:t>识</w:t>
            </w:r>
          </w:p>
          <w:p w14:paraId="442BDFB9">
            <w:pPr>
              <w:jc w:val="center"/>
              <w:rPr>
                <w:rFonts w:ascii="宋体" w:hAnsi="宋体" w:eastAsia="宋体" w:cs="Times New Roman"/>
                <w:color w:val="auto"/>
                <w:kern w:val="21"/>
              </w:rPr>
            </w:pPr>
            <w:r>
              <w:rPr>
                <w:rFonts w:ascii="宋体" w:hAnsi="宋体" w:eastAsia="宋体" w:cs="Times New Roman"/>
                <w:color w:val="auto"/>
                <w:kern w:val="21"/>
              </w:rPr>
              <w:t>别</w:t>
            </w:r>
          </w:p>
        </w:tc>
        <w:tc>
          <w:tcPr>
            <w:tcW w:w="917" w:type="pct"/>
            <w:shd w:val="clear" w:color="auto" w:fill="auto"/>
            <w:vAlign w:val="center"/>
          </w:tcPr>
          <w:p w14:paraId="623284F6">
            <w:pPr>
              <w:jc w:val="center"/>
              <w:rPr>
                <w:rFonts w:ascii="宋体" w:hAnsi="宋体" w:eastAsia="宋体" w:cs="Times New Roman"/>
                <w:color w:val="auto"/>
                <w:kern w:val="21"/>
              </w:rPr>
            </w:pPr>
            <w:r>
              <w:rPr>
                <w:rFonts w:ascii="宋体" w:hAnsi="宋体" w:eastAsia="宋体" w:cs="Times New Roman"/>
                <w:color w:val="auto"/>
                <w:kern w:val="21"/>
              </w:rPr>
              <w:t>影响类型</w:t>
            </w:r>
          </w:p>
        </w:tc>
        <w:tc>
          <w:tcPr>
            <w:tcW w:w="3232" w:type="pct"/>
            <w:gridSpan w:val="6"/>
            <w:shd w:val="clear" w:color="auto" w:fill="auto"/>
            <w:vAlign w:val="center"/>
          </w:tcPr>
          <w:p w14:paraId="4723B984">
            <w:pPr>
              <w:jc w:val="center"/>
              <w:rPr>
                <w:rFonts w:ascii="宋体" w:hAnsi="宋体" w:eastAsia="宋体" w:cs="Times New Roman"/>
                <w:color w:val="auto"/>
                <w:kern w:val="21"/>
              </w:rPr>
            </w:pPr>
            <w:r>
              <w:rPr>
                <w:rFonts w:ascii="宋体" w:hAnsi="宋体" w:eastAsia="宋体" w:cs="Times New Roman"/>
                <w:color w:val="auto"/>
                <w:kern w:val="21"/>
              </w:rPr>
              <w:t>污染影响型</w:t>
            </w:r>
            <w:r>
              <w:rPr>
                <w:rFonts w:ascii="宋体" w:hAnsi="宋体" w:eastAsia="宋体" w:cs="Times New Roman"/>
                <w:color w:val="auto"/>
                <w:kern w:val="21"/>
              </w:rPr>
              <w:sym w:font="Wingdings" w:char="00FE"/>
            </w:r>
            <w:r>
              <w:rPr>
                <w:rFonts w:ascii="宋体" w:hAnsi="宋体" w:eastAsia="宋体" w:cs="Times New Roman"/>
                <w:color w:val="auto"/>
                <w:kern w:val="21"/>
              </w:rPr>
              <w:t>；生态影响型□；两种兼有□</w:t>
            </w:r>
          </w:p>
        </w:tc>
        <w:tc>
          <w:tcPr>
            <w:tcW w:w="602" w:type="pct"/>
            <w:shd w:val="clear" w:color="auto" w:fill="auto"/>
            <w:vAlign w:val="center"/>
          </w:tcPr>
          <w:p w14:paraId="4090E93A">
            <w:pPr>
              <w:jc w:val="center"/>
              <w:rPr>
                <w:rFonts w:ascii="宋体" w:hAnsi="宋体" w:eastAsia="宋体" w:cs="Times New Roman"/>
                <w:color w:val="auto"/>
                <w:kern w:val="21"/>
              </w:rPr>
            </w:pPr>
          </w:p>
        </w:tc>
      </w:tr>
      <w:tr w14:paraId="49E7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263FD25E">
            <w:pPr>
              <w:jc w:val="center"/>
              <w:rPr>
                <w:rFonts w:ascii="宋体" w:hAnsi="宋体" w:eastAsia="宋体" w:cs="Times New Roman"/>
                <w:color w:val="auto"/>
                <w:kern w:val="21"/>
              </w:rPr>
            </w:pPr>
          </w:p>
        </w:tc>
        <w:tc>
          <w:tcPr>
            <w:tcW w:w="917" w:type="pct"/>
            <w:shd w:val="clear" w:color="auto" w:fill="auto"/>
            <w:vAlign w:val="center"/>
          </w:tcPr>
          <w:p w14:paraId="79761771">
            <w:pPr>
              <w:jc w:val="center"/>
              <w:rPr>
                <w:rFonts w:ascii="宋体" w:hAnsi="宋体" w:eastAsia="宋体" w:cs="Times New Roman"/>
                <w:color w:val="auto"/>
                <w:kern w:val="21"/>
              </w:rPr>
            </w:pPr>
            <w:r>
              <w:rPr>
                <w:rFonts w:ascii="宋体" w:hAnsi="宋体" w:eastAsia="宋体" w:cs="Times New Roman"/>
                <w:color w:val="auto"/>
                <w:kern w:val="21"/>
              </w:rPr>
              <w:t>土地利用类型</w:t>
            </w:r>
          </w:p>
        </w:tc>
        <w:tc>
          <w:tcPr>
            <w:tcW w:w="3232" w:type="pct"/>
            <w:gridSpan w:val="6"/>
            <w:shd w:val="clear" w:color="auto" w:fill="auto"/>
            <w:vAlign w:val="center"/>
          </w:tcPr>
          <w:p w14:paraId="426E4C34">
            <w:pPr>
              <w:jc w:val="center"/>
              <w:rPr>
                <w:rFonts w:ascii="宋体" w:hAnsi="宋体" w:eastAsia="宋体" w:cs="Times New Roman"/>
                <w:color w:val="auto"/>
                <w:kern w:val="21"/>
              </w:rPr>
            </w:pPr>
            <w:r>
              <w:rPr>
                <w:rFonts w:ascii="宋体" w:hAnsi="宋体" w:eastAsia="宋体" w:cs="Times New Roman"/>
                <w:color w:val="auto"/>
                <w:kern w:val="21"/>
              </w:rPr>
              <w:t>建设用地</w:t>
            </w:r>
            <w:r>
              <w:rPr>
                <w:rFonts w:ascii="宋体" w:hAnsi="宋体" w:eastAsia="宋体" w:cs="Times New Roman"/>
                <w:color w:val="auto"/>
                <w:kern w:val="21"/>
              </w:rPr>
              <w:sym w:font="Wingdings" w:char="00FE"/>
            </w:r>
            <w:r>
              <w:rPr>
                <w:rFonts w:ascii="宋体" w:hAnsi="宋体" w:eastAsia="宋体" w:cs="Times New Roman"/>
                <w:color w:val="auto"/>
                <w:kern w:val="21"/>
              </w:rPr>
              <w:t>；农用地</w:t>
            </w:r>
            <w:r>
              <w:rPr>
                <w:rFonts w:ascii="宋体" w:hAnsi="宋体" w:eastAsia="宋体" w:cs="Times New Roman"/>
                <w:color w:val="auto"/>
                <w:kern w:val="21"/>
              </w:rPr>
              <w:sym w:font="Wingdings" w:char="00FE"/>
            </w:r>
            <w:r>
              <w:rPr>
                <w:rFonts w:ascii="宋体" w:hAnsi="宋体" w:eastAsia="宋体" w:cs="Times New Roman"/>
                <w:color w:val="auto"/>
                <w:kern w:val="21"/>
              </w:rPr>
              <w:t>；未利用地□</w:t>
            </w:r>
          </w:p>
        </w:tc>
        <w:tc>
          <w:tcPr>
            <w:tcW w:w="602" w:type="pct"/>
            <w:shd w:val="clear" w:color="auto" w:fill="auto"/>
            <w:vAlign w:val="center"/>
          </w:tcPr>
          <w:p w14:paraId="1C6E2E00">
            <w:pPr>
              <w:jc w:val="center"/>
              <w:rPr>
                <w:rFonts w:ascii="宋体" w:hAnsi="宋体" w:eastAsia="宋体" w:cs="Times New Roman"/>
                <w:color w:val="auto"/>
                <w:kern w:val="21"/>
              </w:rPr>
            </w:pPr>
            <w:r>
              <w:rPr>
                <w:rFonts w:ascii="宋体" w:hAnsi="宋体" w:eastAsia="宋体" w:cs="Times New Roman"/>
                <w:color w:val="auto"/>
                <w:kern w:val="21"/>
              </w:rPr>
              <w:t>土地利用类型图</w:t>
            </w:r>
          </w:p>
        </w:tc>
      </w:tr>
      <w:tr w14:paraId="7A15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4FF10608">
            <w:pPr>
              <w:jc w:val="center"/>
              <w:rPr>
                <w:rFonts w:ascii="宋体" w:hAnsi="宋体" w:eastAsia="宋体" w:cs="Times New Roman"/>
                <w:color w:val="auto"/>
                <w:kern w:val="21"/>
              </w:rPr>
            </w:pPr>
          </w:p>
        </w:tc>
        <w:tc>
          <w:tcPr>
            <w:tcW w:w="917" w:type="pct"/>
            <w:shd w:val="clear" w:color="auto" w:fill="auto"/>
            <w:vAlign w:val="center"/>
          </w:tcPr>
          <w:p w14:paraId="6C81448F">
            <w:pPr>
              <w:jc w:val="center"/>
              <w:rPr>
                <w:rFonts w:ascii="宋体" w:hAnsi="宋体" w:eastAsia="宋体" w:cs="Times New Roman"/>
                <w:color w:val="auto"/>
                <w:kern w:val="21"/>
              </w:rPr>
            </w:pPr>
            <w:r>
              <w:rPr>
                <w:rFonts w:ascii="宋体" w:hAnsi="宋体" w:eastAsia="宋体" w:cs="Times New Roman"/>
                <w:color w:val="auto"/>
                <w:kern w:val="21"/>
              </w:rPr>
              <w:t>占地规模</w:t>
            </w:r>
          </w:p>
        </w:tc>
        <w:tc>
          <w:tcPr>
            <w:tcW w:w="3232" w:type="pct"/>
            <w:gridSpan w:val="6"/>
            <w:shd w:val="clear" w:color="auto" w:fill="auto"/>
            <w:vAlign w:val="center"/>
          </w:tcPr>
          <w:p w14:paraId="3630121E">
            <w:pPr>
              <w:jc w:val="center"/>
              <w:rPr>
                <w:rFonts w:ascii="宋体" w:hAnsi="宋体" w:eastAsia="宋体" w:cs="Times New Roman"/>
                <w:color w:val="auto"/>
                <w:kern w:val="21"/>
              </w:rPr>
            </w:pPr>
            <w:r>
              <w:rPr>
                <w:rFonts w:ascii="宋体" w:hAnsi="宋体" w:eastAsia="宋体" w:cs="Times New Roman"/>
                <w:color w:val="auto"/>
                <w:kern w:val="21"/>
              </w:rPr>
              <w:t>（</w:t>
            </w:r>
            <w:r>
              <w:rPr>
                <w:rFonts w:hint="eastAsia" w:ascii="宋体" w:hAnsi="宋体" w:eastAsia="宋体" w:cs="Times New Roman"/>
                <w:color w:val="auto"/>
                <w:kern w:val="21"/>
              </w:rPr>
              <w:t>3.254</w:t>
            </w:r>
            <w:r>
              <w:rPr>
                <w:rFonts w:ascii="宋体" w:hAnsi="宋体" w:eastAsia="宋体" w:cs="Times New Roman"/>
                <w:color w:val="auto"/>
                <w:kern w:val="21"/>
              </w:rPr>
              <w:t>）hm</w:t>
            </w:r>
            <w:r>
              <w:rPr>
                <w:rFonts w:ascii="宋体" w:hAnsi="宋体" w:eastAsia="宋体" w:cs="Times New Roman"/>
                <w:color w:val="auto"/>
                <w:kern w:val="21"/>
                <w:vertAlign w:val="superscript"/>
              </w:rPr>
              <w:t>2</w:t>
            </w:r>
          </w:p>
        </w:tc>
        <w:tc>
          <w:tcPr>
            <w:tcW w:w="602" w:type="pct"/>
            <w:shd w:val="clear" w:color="auto" w:fill="auto"/>
            <w:vAlign w:val="center"/>
          </w:tcPr>
          <w:p w14:paraId="6D33DF97">
            <w:pPr>
              <w:jc w:val="center"/>
              <w:rPr>
                <w:rFonts w:ascii="宋体" w:hAnsi="宋体" w:eastAsia="宋体" w:cs="Times New Roman"/>
                <w:color w:val="auto"/>
                <w:kern w:val="21"/>
              </w:rPr>
            </w:pPr>
          </w:p>
        </w:tc>
      </w:tr>
      <w:tr w14:paraId="3833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266CBCDD">
            <w:pPr>
              <w:jc w:val="center"/>
              <w:rPr>
                <w:rFonts w:ascii="宋体" w:hAnsi="宋体" w:eastAsia="宋体" w:cs="Times New Roman"/>
                <w:color w:val="auto"/>
                <w:kern w:val="21"/>
              </w:rPr>
            </w:pPr>
          </w:p>
        </w:tc>
        <w:tc>
          <w:tcPr>
            <w:tcW w:w="917" w:type="pct"/>
            <w:shd w:val="clear" w:color="auto" w:fill="auto"/>
            <w:vAlign w:val="center"/>
          </w:tcPr>
          <w:p w14:paraId="349628DA">
            <w:pPr>
              <w:jc w:val="center"/>
              <w:rPr>
                <w:rFonts w:ascii="宋体" w:hAnsi="宋体" w:eastAsia="宋体" w:cs="Times New Roman"/>
                <w:color w:val="auto"/>
                <w:kern w:val="21"/>
              </w:rPr>
            </w:pPr>
            <w:r>
              <w:rPr>
                <w:rFonts w:ascii="宋体" w:hAnsi="宋体" w:eastAsia="宋体" w:cs="Times New Roman"/>
                <w:color w:val="auto"/>
                <w:kern w:val="21"/>
              </w:rPr>
              <w:t>敏感目标信息</w:t>
            </w:r>
          </w:p>
        </w:tc>
        <w:tc>
          <w:tcPr>
            <w:tcW w:w="3232" w:type="pct"/>
            <w:gridSpan w:val="6"/>
            <w:shd w:val="clear" w:color="auto" w:fill="auto"/>
            <w:vAlign w:val="center"/>
          </w:tcPr>
          <w:p w14:paraId="7FAA005E">
            <w:pPr>
              <w:jc w:val="center"/>
              <w:rPr>
                <w:rFonts w:ascii="宋体" w:hAnsi="宋体" w:eastAsia="宋体" w:cs="Times New Roman"/>
                <w:color w:val="auto"/>
                <w:kern w:val="21"/>
              </w:rPr>
            </w:pPr>
            <w:r>
              <w:rPr>
                <w:rFonts w:ascii="宋体" w:hAnsi="宋体" w:eastAsia="宋体" w:cs="Times New Roman"/>
                <w:color w:val="auto"/>
                <w:kern w:val="21"/>
              </w:rPr>
              <w:t>敏感目标（）、方位（）、距离（）</w:t>
            </w:r>
          </w:p>
        </w:tc>
        <w:tc>
          <w:tcPr>
            <w:tcW w:w="602" w:type="pct"/>
            <w:shd w:val="clear" w:color="auto" w:fill="auto"/>
            <w:vAlign w:val="center"/>
          </w:tcPr>
          <w:p w14:paraId="37DD19CC">
            <w:pPr>
              <w:jc w:val="center"/>
              <w:rPr>
                <w:rFonts w:ascii="宋体" w:hAnsi="宋体" w:eastAsia="宋体" w:cs="Times New Roman"/>
                <w:color w:val="auto"/>
                <w:kern w:val="21"/>
              </w:rPr>
            </w:pPr>
          </w:p>
        </w:tc>
      </w:tr>
      <w:tr w14:paraId="7D76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2BBB7261">
            <w:pPr>
              <w:jc w:val="center"/>
              <w:rPr>
                <w:rFonts w:ascii="宋体" w:hAnsi="宋体" w:eastAsia="宋体" w:cs="Times New Roman"/>
                <w:color w:val="auto"/>
                <w:kern w:val="21"/>
              </w:rPr>
            </w:pPr>
          </w:p>
        </w:tc>
        <w:tc>
          <w:tcPr>
            <w:tcW w:w="917" w:type="pct"/>
            <w:shd w:val="clear" w:color="auto" w:fill="auto"/>
            <w:vAlign w:val="center"/>
          </w:tcPr>
          <w:p w14:paraId="511FCE93">
            <w:pPr>
              <w:jc w:val="center"/>
              <w:rPr>
                <w:rFonts w:ascii="宋体" w:hAnsi="宋体" w:eastAsia="宋体" w:cs="Times New Roman"/>
                <w:color w:val="auto"/>
                <w:kern w:val="21"/>
              </w:rPr>
            </w:pPr>
            <w:r>
              <w:rPr>
                <w:rFonts w:ascii="宋体" w:hAnsi="宋体" w:eastAsia="宋体" w:cs="Times New Roman"/>
                <w:color w:val="auto"/>
                <w:kern w:val="21"/>
              </w:rPr>
              <w:t>影响途径</w:t>
            </w:r>
          </w:p>
        </w:tc>
        <w:tc>
          <w:tcPr>
            <w:tcW w:w="3232" w:type="pct"/>
            <w:gridSpan w:val="6"/>
            <w:shd w:val="clear" w:color="auto" w:fill="auto"/>
            <w:vAlign w:val="center"/>
          </w:tcPr>
          <w:p w14:paraId="4C44C75A">
            <w:pPr>
              <w:jc w:val="center"/>
              <w:rPr>
                <w:rFonts w:ascii="宋体" w:hAnsi="宋体" w:eastAsia="宋体" w:cs="Times New Roman"/>
                <w:color w:val="auto"/>
                <w:kern w:val="21"/>
              </w:rPr>
            </w:pPr>
            <w:r>
              <w:rPr>
                <w:rFonts w:ascii="宋体" w:hAnsi="宋体" w:eastAsia="宋体" w:cs="Times New Roman"/>
                <w:color w:val="auto"/>
                <w:kern w:val="21"/>
              </w:rPr>
              <w:t>大气沉降□；地面漫流□；垂直入渗</w:t>
            </w:r>
            <w:r>
              <w:rPr>
                <w:rFonts w:ascii="宋体" w:hAnsi="宋体" w:eastAsia="宋体" w:cs="Times New Roman"/>
                <w:color w:val="auto"/>
                <w:kern w:val="21"/>
              </w:rPr>
              <w:sym w:font="Wingdings" w:char="00FE"/>
            </w:r>
            <w:r>
              <w:rPr>
                <w:rFonts w:ascii="宋体" w:hAnsi="宋体" w:eastAsia="宋体" w:cs="Times New Roman"/>
                <w:color w:val="auto"/>
                <w:kern w:val="21"/>
              </w:rPr>
              <w:t>；地下水位□；其他</w:t>
            </w:r>
            <w:r>
              <w:rPr>
                <w:rFonts w:ascii="宋体" w:hAnsi="宋体" w:eastAsia="宋体" w:cs="Times New Roman"/>
                <w:color w:val="auto"/>
                <w:kern w:val="21"/>
              </w:rPr>
              <w:sym w:font="Wingdings" w:char="00A8"/>
            </w:r>
          </w:p>
        </w:tc>
        <w:tc>
          <w:tcPr>
            <w:tcW w:w="602" w:type="pct"/>
            <w:shd w:val="clear" w:color="auto" w:fill="auto"/>
            <w:vAlign w:val="center"/>
          </w:tcPr>
          <w:p w14:paraId="05A09B65">
            <w:pPr>
              <w:jc w:val="center"/>
              <w:rPr>
                <w:rFonts w:ascii="宋体" w:hAnsi="宋体" w:eastAsia="宋体" w:cs="Times New Roman"/>
                <w:color w:val="auto"/>
                <w:kern w:val="21"/>
              </w:rPr>
            </w:pPr>
          </w:p>
        </w:tc>
      </w:tr>
      <w:tr w14:paraId="6A9B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37DE9B68">
            <w:pPr>
              <w:jc w:val="center"/>
              <w:rPr>
                <w:rFonts w:ascii="宋体" w:hAnsi="宋体" w:eastAsia="宋体" w:cs="Times New Roman"/>
                <w:color w:val="auto"/>
                <w:kern w:val="21"/>
              </w:rPr>
            </w:pPr>
          </w:p>
        </w:tc>
        <w:tc>
          <w:tcPr>
            <w:tcW w:w="917" w:type="pct"/>
            <w:shd w:val="clear" w:color="auto" w:fill="auto"/>
            <w:vAlign w:val="center"/>
          </w:tcPr>
          <w:p w14:paraId="71FCBAB9">
            <w:pPr>
              <w:jc w:val="center"/>
              <w:rPr>
                <w:rFonts w:ascii="宋体" w:hAnsi="宋体" w:eastAsia="宋体" w:cs="Times New Roman"/>
                <w:color w:val="auto"/>
                <w:kern w:val="21"/>
              </w:rPr>
            </w:pPr>
            <w:r>
              <w:rPr>
                <w:rFonts w:ascii="宋体" w:hAnsi="宋体" w:eastAsia="宋体" w:cs="Times New Roman"/>
                <w:color w:val="auto"/>
                <w:kern w:val="21"/>
              </w:rPr>
              <w:t>特征因子</w:t>
            </w:r>
          </w:p>
        </w:tc>
        <w:tc>
          <w:tcPr>
            <w:tcW w:w="3232" w:type="pct"/>
            <w:gridSpan w:val="6"/>
            <w:shd w:val="clear" w:color="auto" w:fill="auto"/>
            <w:vAlign w:val="center"/>
          </w:tcPr>
          <w:p w14:paraId="0794322A">
            <w:pPr>
              <w:jc w:val="center"/>
              <w:rPr>
                <w:rFonts w:ascii="宋体" w:hAnsi="宋体" w:eastAsia="宋体" w:cs="Times New Roman"/>
                <w:color w:val="auto"/>
                <w:kern w:val="21"/>
              </w:rPr>
            </w:pPr>
            <w:r>
              <w:rPr>
                <w:rFonts w:ascii="宋体" w:hAnsi="宋体" w:eastAsia="宋体" w:cs="Times New Roman"/>
                <w:color w:val="auto"/>
                <w:kern w:val="21"/>
              </w:rPr>
              <w:t>石油烃</w:t>
            </w:r>
          </w:p>
        </w:tc>
        <w:tc>
          <w:tcPr>
            <w:tcW w:w="602" w:type="pct"/>
            <w:shd w:val="clear" w:color="auto" w:fill="auto"/>
            <w:vAlign w:val="center"/>
          </w:tcPr>
          <w:p w14:paraId="5B55188C">
            <w:pPr>
              <w:jc w:val="center"/>
              <w:rPr>
                <w:rFonts w:ascii="宋体" w:hAnsi="宋体" w:eastAsia="宋体" w:cs="Times New Roman"/>
                <w:color w:val="auto"/>
                <w:kern w:val="21"/>
              </w:rPr>
            </w:pPr>
          </w:p>
        </w:tc>
      </w:tr>
      <w:tr w14:paraId="6866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6F9EFC19">
            <w:pPr>
              <w:jc w:val="center"/>
              <w:rPr>
                <w:rFonts w:ascii="宋体" w:hAnsi="宋体" w:eastAsia="宋体" w:cs="Times New Roman"/>
                <w:color w:val="auto"/>
                <w:kern w:val="21"/>
              </w:rPr>
            </w:pPr>
          </w:p>
        </w:tc>
        <w:tc>
          <w:tcPr>
            <w:tcW w:w="917" w:type="pct"/>
            <w:shd w:val="clear" w:color="auto" w:fill="auto"/>
            <w:vAlign w:val="center"/>
          </w:tcPr>
          <w:p w14:paraId="413A3B7A">
            <w:pPr>
              <w:jc w:val="center"/>
              <w:rPr>
                <w:rFonts w:ascii="宋体" w:hAnsi="宋体" w:eastAsia="宋体" w:cs="Times New Roman"/>
                <w:color w:val="auto"/>
                <w:kern w:val="21"/>
              </w:rPr>
            </w:pPr>
            <w:r>
              <w:rPr>
                <w:rFonts w:ascii="宋体" w:hAnsi="宋体" w:eastAsia="宋体" w:cs="Times New Roman"/>
                <w:color w:val="auto"/>
                <w:kern w:val="21"/>
              </w:rPr>
              <w:t>土壤环境影响评价项目类别</w:t>
            </w:r>
          </w:p>
        </w:tc>
        <w:tc>
          <w:tcPr>
            <w:tcW w:w="3232" w:type="pct"/>
            <w:gridSpan w:val="6"/>
            <w:shd w:val="clear" w:color="auto" w:fill="auto"/>
            <w:vAlign w:val="center"/>
          </w:tcPr>
          <w:p w14:paraId="72087C7A">
            <w:pPr>
              <w:jc w:val="center"/>
              <w:rPr>
                <w:rFonts w:ascii="宋体" w:hAnsi="宋体" w:eastAsia="宋体" w:cs="Times New Roman"/>
                <w:color w:val="auto"/>
                <w:kern w:val="21"/>
              </w:rPr>
            </w:pPr>
            <w:r>
              <w:rPr>
                <w:rFonts w:ascii="宋体" w:hAnsi="宋体" w:eastAsia="宋体" w:cs="Times New Roman"/>
                <w:color w:val="auto"/>
                <w:kern w:val="21"/>
              </w:rPr>
              <w:t>Ⅰ类</w:t>
            </w:r>
            <w:r>
              <w:rPr>
                <w:rFonts w:ascii="宋体" w:hAnsi="宋体" w:eastAsia="宋体" w:cs="Times New Roman"/>
                <w:color w:val="auto"/>
                <w:kern w:val="21"/>
              </w:rPr>
              <w:sym w:font="Wingdings" w:char="00FE"/>
            </w:r>
            <w:r>
              <w:rPr>
                <w:rFonts w:ascii="宋体" w:hAnsi="宋体" w:eastAsia="宋体" w:cs="Times New Roman"/>
                <w:color w:val="auto"/>
                <w:kern w:val="21"/>
              </w:rPr>
              <w:t>；Ⅱ类□；Ⅲ类□；Ⅳ类□</w:t>
            </w:r>
          </w:p>
        </w:tc>
        <w:tc>
          <w:tcPr>
            <w:tcW w:w="602" w:type="pct"/>
            <w:shd w:val="clear" w:color="auto" w:fill="auto"/>
            <w:vAlign w:val="center"/>
          </w:tcPr>
          <w:p w14:paraId="4A9C4743">
            <w:pPr>
              <w:jc w:val="center"/>
              <w:rPr>
                <w:rFonts w:ascii="宋体" w:hAnsi="宋体" w:eastAsia="宋体" w:cs="Times New Roman"/>
                <w:color w:val="auto"/>
                <w:kern w:val="21"/>
              </w:rPr>
            </w:pPr>
          </w:p>
        </w:tc>
      </w:tr>
      <w:tr w14:paraId="22D5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444A612E">
            <w:pPr>
              <w:jc w:val="center"/>
              <w:rPr>
                <w:rFonts w:ascii="宋体" w:hAnsi="宋体" w:eastAsia="宋体" w:cs="Times New Roman"/>
                <w:color w:val="auto"/>
                <w:kern w:val="21"/>
              </w:rPr>
            </w:pPr>
          </w:p>
        </w:tc>
        <w:tc>
          <w:tcPr>
            <w:tcW w:w="917" w:type="pct"/>
            <w:shd w:val="clear" w:color="auto" w:fill="auto"/>
            <w:vAlign w:val="center"/>
          </w:tcPr>
          <w:p w14:paraId="747EF21B">
            <w:pPr>
              <w:jc w:val="center"/>
              <w:rPr>
                <w:rFonts w:ascii="宋体" w:hAnsi="宋体" w:eastAsia="宋体" w:cs="Times New Roman"/>
                <w:color w:val="auto"/>
                <w:kern w:val="21"/>
              </w:rPr>
            </w:pPr>
            <w:r>
              <w:rPr>
                <w:rFonts w:ascii="宋体" w:hAnsi="宋体" w:eastAsia="宋体" w:cs="Times New Roman"/>
                <w:color w:val="auto"/>
                <w:kern w:val="21"/>
              </w:rPr>
              <w:t>敏感程度</w:t>
            </w:r>
          </w:p>
        </w:tc>
        <w:tc>
          <w:tcPr>
            <w:tcW w:w="3232" w:type="pct"/>
            <w:gridSpan w:val="6"/>
            <w:shd w:val="clear" w:color="auto" w:fill="auto"/>
            <w:vAlign w:val="center"/>
          </w:tcPr>
          <w:p w14:paraId="451AF231">
            <w:pPr>
              <w:jc w:val="center"/>
              <w:rPr>
                <w:rFonts w:ascii="宋体" w:hAnsi="宋体" w:eastAsia="宋体" w:cs="Times New Roman"/>
                <w:color w:val="auto"/>
                <w:kern w:val="21"/>
              </w:rPr>
            </w:pPr>
            <w:r>
              <w:rPr>
                <w:rFonts w:ascii="宋体" w:hAnsi="宋体" w:eastAsia="宋体" w:cs="Times New Roman"/>
                <w:color w:val="auto"/>
                <w:kern w:val="21"/>
              </w:rPr>
              <w:t>敏感</w:t>
            </w:r>
            <w:r>
              <w:rPr>
                <w:rFonts w:ascii="宋体" w:hAnsi="宋体" w:eastAsia="宋体" w:cs="Times New Roman"/>
                <w:color w:val="auto"/>
                <w:kern w:val="21"/>
              </w:rPr>
              <w:sym w:font="Wingdings" w:char="00FE"/>
            </w:r>
            <w:r>
              <w:rPr>
                <w:rFonts w:ascii="宋体" w:hAnsi="宋体" w:eastAsia="宋体" w:cs="Times New Roman"/>
                <w:color w:val="auto"/>
                <w:kern w:val="21"/>
              </w:rPr>
              <w:t>；较敏感□；不敏感□</w:t>
            </w:r>
          </w:p>
        </w:tc>
        <w:tc>
          <w:tcPr>
            <w:tcW w:w="602" w:type="pct"/>
            <w:shd w:val="clear" w:color="auto" w:fill="auto"/>
            <w:vAlign w:val="center"/>
          </w:tcPr>
          <w:p w14:paraId="35CA095C">
            <w:pPr>
              <w:jc w:val="center"/>
              <w:rPr>
                <w:rFonts w:ascii="宋体" w:hAnsi="宋体" w:eastAsia="宋体" w:cs="Times New Roman"/>
                <w:color w:val="auto"/>
                <w:kern w:val="21"/>
              </w:rPr>
            </w:pPr>
          </w:p>
        </w:tc>
      </w:tr>
      <w:tr w14:paraId="01C4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gridSpan w:val="2"/>
            <w:shd w:val="clear" w:color="auto" w:fill="auto"/>
            <w:vAlign w:val="center"/>
          </w:tcPr>
          <w:p w14:paraId="002B6752">
            <w:pPr>
              <w:jc w:val="center"/>
              <w:rPr>
                <w:rFonts w:ascii="宋体" w:hAnsi="宋体" w:eastAsia="宋体" w:cs="Times New Roman"/>
                <w:color w:val="auto"/>
                <w:kern w:val="21"/>
              </w:rPr>
            </w:pPr>
            <w:r>
              <w:rPr>
                <w:rFonts w:ascii="宋体" w:hAnsi="宋体" w:eastAsia="宋体" w:cs="Times New Roman"/>
                <w:color w:val="auto"/>
                <w:kern w:val="21"/>
              </w:rPr>
              <w:t>评价工作等级</w:t>
            </w:r>
          </w:p>
        </w:tc>
        <w:tc>
          <w:tcPr>
            <w:tcW w:w="3232" w:type="pct"/>
            <w:gridSpan w:val="6"/>
            <w:shd w:val="clear" w:color="auto" w:fill="auto"/>
            <w:vAlign w:val="center"/>
          </w:tcPr>
          <w:p w14:paraId="1C277455">
            <w:pPr>
              <w:jc w:val="center"/>
              <w:rPr>
                <w:rFonts w:ascii="宋体" w:hAnsi="宋体" w:eastAsia="宋体" w:cs="Times New Roman"/>
                <w:color w:val="auto"/>
                <w:kern w:val="21"/>
              </w:rPr>
            </w:pPr>
            <w:r>
              <w:rPr>
                <w:rFonts w:ascii="宋体" w:hAnsi="宋体" w:eastAsia="宋体" w:cs="Times New Roman"/>
                <w:color w:val="auto"/>
                <w:kern w:val="21"/>
              </w:rPr>
              <w:t>一级</w:t>
            </w:r>
            <w:r>
              <w:rPr>
                <w:rFonts w:ascii="宋体" w:hAnsi="宋体" w:eastAsia="宋体" w:cs="Times New Roman"/>
                <w:color w:val="auto"/>
                <w:kern w:val="21"/>
              </w:rPr>
              <w:sym w:font="Wingdings" w:char="00FE"/>
            </w:r>
            <w:r>
              <w:rPr>
                <w:rFonts w:ascii="宋体" w:hAnsi="宋体" w:eastAsia="宋体" w:cs="Times New Roman"/>
                <w:color w:val="auto"/>
                <w:kern w:val="21"/>
              </w:rPr>
              <w:t>；二级□；三级□</w:t>
            </w:r>
          </w:p>
        </w:tc>
        <w:tc>
          <w:tcPr>
            <w:tcW w:w="602" w:type="pct"/>
            <w:shd w:val="clear" w:color="auto" w:fill="auto"/>
            <w:vAlign w:val="center"/>
          </w:tcPr>
          <w:p w14:paraId="30A6958E">
            <w:pPr>
              <w:jc w:val="center"/>
              <w:rPr>
                <w:rFonts w:ascii="宋体" w:hAnsi="宋体" w:eastAsia="宋体" w:cs="Times New Roman"/>
                <w:color w:val="auto"/>
                <w:kern w:val="21"/>
              </w:rPr>
            </w:pPr>
          </w:p>
        </w:tc>
      </w:tr>
      <w:tr w14:paraId="5330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shd w:val="clear" w:color="auto" w:fill="auto"/>
            <w:vAlign w:val="center"/>
          </w:tcPr>
          <w:p w14:paraId="6199BCBE">
            <w:pPr>
              <w:jc w:val="center"/>
              <w:rPr>
                <w:rFonts w:ascii="宋体" w:hAnsi="宋体" w:eastAsia="宋体" w:cs="Times New Roman"/>
                <w:color w:val="auto"/>
                <w:kern w:val="21"/>
              </w:rPr>
            </w:pPr>
            <w:r>
              <w:rPr>
                <w:rFonts w:ascii="宋体" w:hAnsi="宋体" w:eastAsia="宋体" w:cs="Times New Roman"/>
                <w:color w:val="auto"/>
                <w:kern w:val="21"/>
              </w:rPr>
              <w:t>现</w:t>
            </w:r>
          </w:p>
          <w:p w14:paraId="61EAA7A1">
            <w:pPr>
              <w:jc w:val="center"/>
              <w:rPr>
                <w:rFonts w:ascii="宋体" w:hAnsi="宋体" w:eastAsia="宋体" w:cs="Times New Roman"/>
                <w:color w:val="auto"/>
                <w:kern w:val="21"/>
              </w:rPr>
            </w:pPr>
            <w:r>
              <w:rPr>
                <w:rFonts w:ascii="宋体" w:hAnsi="宋体" w:eastAsia="宋体" w:cs="Times New Roman"/>
                <w:color w:val="auto"/>
                <w:kern w:val="21"/>
              </w:rPr>
              <w:t>状</w:t>
            </w:r>
          </w:p>
          <w:p w14:paraId="022DBDD5">
            <w:pPr>
              <w:jc w:val="center"/>
              <w:rPr>
                <w:rFonts w:ascii="宋体" w:hAnsi="宋体" w:eastAsia="宋体" w:cs="Times New Roman"/>
                <w:color w:val="auto"/>
                <w:kern w:val="21"/>
              </w:rPr>
            </w:pPr>
            <w:r>
              <w:rPr>
                <w:rFonts w:ascii="宋体" w:hAnsi="宋体" w:eastAsia="宋体" w:cs="Times New Roman"/>
                <w:color w:val="auto"/>
                <w:kern w:val="21"/>
              </w:rPr>
              <w:t>调</w:t>
            </w:r>
          </w:p>
          <w:p w14:paraId="2FD84EE6">
            <w:pPr>
              <w:jc w:val="center"/>
              <w:rPr>
                <w:rFonts w:ascii="宋体" w:hAnsi="宋体" w:eastAsia="宋体" w:cs="Times New Roman"/>
                <w:color w:val="auto"/>
                <w:kern w:val="21"/>
              </w:rPr>
            </w:pPr>
            <w:r>
              <w:rPr>
                <w:rFonts w:ascii="宋体" w:hAnsi="宋体" w:eastAsia="宋体" w:cs="Times New Roman"/>
                <w:color w:val="auto"/>
                <w:kern w:val="21"/>
              </w:rPr>
              <w:t>查内容</w:t>
            </w:r>
          </w:p>
        </w:tc>
        <w:tc>
          <w:tcPr>
            <w:tcW w:w="917" w:type="pct"/>
            <w:shd w:val="clear" w:color="auto" w:fill="auto"/>
            <w:vAlign w:val="center"/>
          </w:tcPr>
          <w:p w14:paraId="1857A214">
            <w:pPr>
              <w:jc w:val="center"/>
              <w:rPr>
                <w:rFonts w:ascii="宋体" w:hAnsi="宋体" w:eastAsia="宋体" w:cs="Times New Roman"/>
                <w:color w:val="auto"/>
                <w:kern w:val="21"/>
              </w:rPr>
            </w:pPr>
            <w:r>
              <w:rPr>
                <w:rFonts w:ascii="宋体" w:hAnsi="宋体" w:eastAsia="宋体" w:cs="Times New Roman"/>
                <w:color w:val="auto"/>
                <w:kern w:val="21"/>
              </w:rPr>
              <w:t>资料收集</w:t>
            </w:r>
          </w:p>
        </w:tc>
        <w:tc>
          <w:tcPr>
            <w:tcW w:w="3232" w:type="pct"/>
            <w:gridSpan w:val="6"/>
            <w:shd w:val="clear" w:color="auto" w:fill="auto"/>
            <w:vAlign w:val="center"/>
          </w:tcPr>
          <w:p w14:paraId="74F19F8C">
            <w:pPr>
              <w:jc w:val="center"/>
              <w:rPr>
                <w:rFonts w:ascii="宋体" w:hAnsi="宋体" w:eastAsia="宋体" w:cs="Times New Roman"/>
                <w:color w:val="auto"/>
                <w:kern w:val="21"/>
              </w:rPr>
            </w:pPr>
            <w:r>
              <w:rPr>
                <w:rFonts w:ascii="宋体" w:hAnsi="宋体" w:eastAsia="宋体" w:cs="Times New Roman"/>
                <w:color w:val="auto"/>
                <w:kern w:val="21"/>
              </w:rPr>
              <w:t>a）</w:t>
            </w:r>
            <w:r>
              <w:rPr>
                <w:rFonts w:ascii="宋体" w:hAnsi="宋体" w:eastAsia="宋体" w:cs="Times New Roman"/>
                <w:color w:val="auto"/>
                <w:kern w:val="21"/>
              </w:rPr>
              <w:sym w:font="Wingdings" w:char="00FE"/>
            </w:r>
            <w:r>
              <w:rPr>
                <w:rFonts w:ascii="宋体" w:hAnsi="宋体" w:eastAsia="宋体" w:cs="Times New Roman"/>
                <w:color w:val="auto"/>
                <w:kern w:val="21"/>
              </w:rPr>
              <w:t>；b）</w:t>
            </w:r>
            <w:r>
              <w:rPr>
                <w:rFonts w:ascii="宋体" w:hAnsi="宋体" w:eastAsia="宋体" w:cs="Times New Roman"/>
                <w:color w:val="auto"/>
                <w:kern w:val="21"/>
              </w:rPr>
              <w:sym w:font="Wingdings" w:char="00FE"/>
            </w:r>
            <w:r>
              <w:rPr>
                <w:rFonts w:ascii="宋体" w:hAnsi="宋体" w:eastAsia="宋体" w:cs="Times New Roman"/>
                <w:color w:val="auto"/>
                <w:kern w:val="21"/>
              </w:rPr>
              <w:t>；c）</w:t>
            </w:r>
            <w:r>
              <w:rPr>
                <w:rFonts w:ascii="宋体" w:hAnsi="宋体" w:eastAsia="宋体" w:cs="Times New Roman"/>
                <w:color w:val="auto"/>
                <w:kern w:val="21"/>
              </w:rPr>
              <w:sym w:font="Wingdings" w:char="00FE"/>
            </w:r>
            <w:r>
              <w:rPr>
                <w:rFonts w:ascii="宋体" w:hAnsi="宋体" w:eastAsia="宋体" w:cs="Times New Roman"/>
                <w:color w:val="auto"/>
                <w:kern w:val="21"/>
              </w:rPr>
              <w:t>；d）</w:t>
            </w:r>
            <w:r>
              <w:rPr>
                <w:rFonts w:ascii="宋体" w:hAnsi="宋体" w:eastAsia="宋体" w:cs="Times New Roman"/>
                <w:color w:val="auto"/>
                <w:kern w:val="21"/>
              </w:rPr>
              <w:sym w:font="Wingdings" w:char="00FE"/>
            </w:r>
          </w:p>
        </w:tc>
        <w:tc>
          <w:tcPr>
            <w:tcW w:w="602" w:type="pct"/>
            <w:shd w:val="clear" w:color="auto" w:fill="auto"/>
            <w:vAlign w:val="center"/>
          </w:tcPr>
          <w:p w14:paraId="7482A63B">
            <w:pPr>
              <w:jc w:val="center"/>
              <w:rPr>
                <w:rFonts w:ascii="宋体" w:hAnsi="宋体" w:eastAsia="宋体" w:cs="Times New Roman"/>
                <w:color w:val="auto"/>
                <w:kern w:val="21"/>
              </w:rPr>
            </w:pPr>
          </w:p>
        </w:tc>
      </w:tr>
      <w:tr w14:paraId="3097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7948EE26">
            <w:pPr>
              <w:jc w:val="center"/>
              <w:rPr>
                <w:rFonts w:ascii="宋体" w:hAnsi="宋体" w:eastAsia="宋体" w:cs="Times New Roman"/>
                <w:color w:val="auto"/>
                <w:kern w:val="21"/>
              </w:rPr>
            </w:pPr>
          </w:p>
        </w:tc>
        <w:tc>
          <w:tcPr>
            <w:tcW w:w="917" w:type="pct"/>
            <w:shd w:val="clear" w:color="auto" w:fill="auto"/>
            <w:vAlign w:val="center"/>
          </w:tcPr>
          <w:p w14:paraId="7DE51B31">
            <w:pPr>
              <w:jc w:val="center"/>
              <w:rPr>
                <w:rFonts w:ascii="宋体" w:hAnsi="宋体" w:eastAsia="宋体" w:cs="Times New Roman"/>
                <w:color w:val="auto"/>
                <w:kern w:val="21"/>
              </w:rPr>
            </w:pPr>
            <w:r>
              <w:rPr>
                <w:rFonts w:ascii="宋体" w:hAnsi="宋体" w:eastAsia="宋体" w:cs="Times New Roman"/>
                <w:color w:val="auto"/>
                <w:kern w:val="21"/>
              </w:rPr>
              <w:t>理化特性</w:t>
            </w:r>
          </w:p>
        </w:tc>
        <w:tc>
          <w:tcPr>
            <w:tcW w:w="3232" w:type="pct"/>
            <w:gridSpan w:val="6"/>
            <w:shd w:val="clear" w:color="auto" w:fill="auto"/>
            <w:vAlign w:val="center"/>
          </w:tcPr>
          <w:p w14:paraId="59511C83">
            <w:pPr>
              <w:jc w:val="center"/>
              <w:rPr>
                <w:rFonts w:ascii="宋体" w:hAnsi="宋体" w:eastAsia="宋体" w:cs="Times New Roman"/>
                <w:color w:val="auto"/>
                <w:kern w:val="21"/>
              </w:rPr>
            </w:pPr>
            <w:r>
              <w:rPr>
                <w:rFonts w:ascii="宋体" w:hAnsi="宋体" w:eastAsia="宋体" w:cs="Times New Roman"/>
                <w:color w:val="auto"/>
                <w:kern w:val="21"/>
              </w:rPr>
              <w:t>-</w:t>
            </w:r>
          </w:p>
        </w:tc>
        <w:tc>
          <w:tcPr>
            <w:tcW w:w="602" w:type="pct"/>
            <w:shd w:val="clear" w:color="auto" w:fill="auto"/>
            <w:vAlign w:val="center"/>
          </w:tcPr>
          <w:p w14:paraId="17BFB538">
            <w:pPr>
              <w:jc w:val="center"/>
              <w:rPr>
                <w:rFonts w:ascii="宋体" w:hAnsi="宋体" w:eastAsia="宋体" w:cs="Times New Roman"/>
                <w:color w:val="auto"/>
                <w:kern w:val="21"/>
              </w:rPr>
            </w:pPr>
            <w:r>
              <w:rPr>
                <w:rFonts w:ascii="宋体" w:hAnsi="宋体" w:eastAsia="宋体" w:cs="Times New Roman"/>
                <w:color w:val="auto"/>
                <w:kern w:val="21"/>
              </w:rPr>
              <w:t>见表4.3-</w:t>
            </w:r>
            <w:r>
              <w:rPr>
                <w:rFonts w:hint="eastAsia" w:ascii="宋体" w:hAnsi="宋体" w:eastAsia="宋体" w:cs="Times New Roman"/>
                <w:color w:val="auto"/>
                <w:kern w:val="21"/>
              </w:rPr>
              <w:t>17</w:t>
            </w:r>
          </w:p>
        </w:tc>
      </w:tr>
      <w:tr w14:paraId="3E64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4D99541F">
            <w:pPr>
              <w:jc w:val="center"/>
              <w:rPr>
                <w:rFonts w:ascii="宋体" w:hAnsi="宋体" w:eastAsia="宋体" w:cs="Times New Roman"/>
                <w:color w:val="auto"/>
                <w:kern w:val="21"/>
              </w:rPr>
            </w:pPr>
          </w:p>
        </w:tc>
        <w:tc>
          <w:tcPr>
            <w:tcW w:w="917" w:type="pct"/>
            <w:vMerge w:val="restart"/>
            <w:shd w:val="clear" w:color="auto" w:fill="auto"/>
            <w:vAlign w:val="center"/>
          </w:tcPr>
          <w:p w14:paraId="0E3D1610">
            <w:pPr>
              <w:jc w:val="center"/>
              <w:rPr>
                <w:rFonts w:ascii="宋体" w:hAnsi="宋体" w:eastAsia="宋体" w:cs="Times New Roman"/>
                <w:color w:val="auto"/>
                <w:kern w:val="21"/>
              </w:rPr>
            </w:pPr>
            <w:r>
              <w:rPr>
                <w:rFonts w:ascii="宋体" w:hAnsi="宋体" w:eastAsia="宋体" w:cs="Times New Roman"/>
                <w:color w:val="auto"/>
                <w:kern w:val="21"/>
              </w:rPr>
              <w:t>现状监测点位</w:t>
            </w:r>
          </w:p>
        </w:tc>
        <w:tc>
          <w:tcPr>
            <w:tcW w:w="735" w:type="pct"/>
            <w:gridSpan w:val="2"/>
            <w:shd w:val="clear" w:color="auto" w:fill="auto"/>
            <w:vAlign w:val="center"/>
          </w:tcPr>
          <w:p w14:paraId="58840D66">
            <w:pPr>
              <w:jc w:val="center"/>
              <w:rPr>
                <w:rFonts w:ascii="宋体" w:hAnsi="宋体" w:eastAsia="宋体" w:cs="Times New Roman"/>
                <w:color w:val="auto"/>
                <w:kern w:val="21"/>
              </w:rPr>
            </w:pPr>
          </w:p>
        </w:tc>
        <w:tc>
          <w:tcPr>
            <w:tcW w:w="726" w:type="pct"/>
            <w:shd w:val="clear" w:color="auto" w:fill="auto"/>
            <w:vAlign w:val="center"/>
          </w:tcPr>
          <w:p w14:paraId="5D02D4A0">
            <w:pPr>
              <w:jc w:val="center"/>
              <w:rPr>
                <w:rFonts w:ascii="宋体" w:hAnsi="宋体" w:eastAsia="宋体" w:cs="Times New Roman"/>
                <w:color w:val="auto"/>
                <w:kern w:val="21"/>
              </w:rPr>
            </w:pPr>
            <w:r>
              <w:rPr>
                <w:rFonts w:ascii="宋体" w:hAnsi="宋体" w:eastAsia="宋体" w:cs="Times New Roman"/>
                <w:color w:val="auto"/>
                <w:kern w:val="21"/>
              </w:rPr>
              <w:t>占地范围内</w:t>
            </w:r>
          </w:p>
        </w:tc>
        <w:tc>
          <w:tcPr>
            <w:tcW w:w="725" w:type="pct"/>
            <w:shd w:val="clear" w:color="auto" w:fill="auto"/>
            <w:vAlign w:val="center"/>
          </w:tcPr>
          <w:p w14:paraId="50A3DE68">
            <w:pPr>
              <w:jc w:val="center"/>
              <w:rPr>
                <w:rFonts w:ascii="宋体" w:hAnsi="宋体" w:eastAsia="宋体" w:cs="Times New Roman"/>
                <w:color w:val="auto"/>
                <w:kern w:val="21"/>
              </w:rPr>
            </w:pPr>
            <w:r>
              <w:rPr>
                <w:rFonts w:ascii="宋体" w:hAnsi="宋体" w:eastAsia="宋体" w:cs="Times New Roman"/>
                <w:color w:val="auto"/>
                <w:kern w:val="21"/>
              </w:rPr>
              <w:t>占地范围外</w:t>
            </w:r>
          </w:p>
        </w:tc>
        <w:tc>
          <w:tcPr>
            <w:tcW w:w="1046" w:type="pct"/>
            <w:gridSpan w:val="2"/>
            <w:shd w:val="clear" w:color="auto" w:fill="auto"/>
            <w:vAlign w:val="center"/>
          </w:tcPr>
          <w:p w14:paraId="39982548">
            <w:pPr>
              <w:jc w:val="center"/>
              <w:rPr>
                <w:rFonts w:ascii="宋体" w:hAnsi="宋体" w:eastAsia="宋体" w:cs="Times New Roman"/>
                <w:color w:val="auto"/>
                <w:kern w:val="21"/>
              </w:rPr>
            </w:pPr>
            <w:r>
              <w:rPr>
                <w:rFonts w:ascii="宋体" w:hAnsi="宋体" w:eastAsia="宋体" w:cs="Times New Roman"/>
                <w:color w:val="auto"/>
                <w:kern w:val="21"/>
              </w:rPr>
              <w:t>深度</w:t>
            </w:r>
          </w:p>
        </w:tc>
        <w:tc>
          <w:tcPr>
            <w:tcW w:w="602" w:type="pct"/>
            <w:vMerge w:val="restart"/>
            <w:shd w:val="clear" w:color="auto" w:fill="auto"/>
            <w:vAlign w:val="center"/>
          </w:tcPr>
          <w:p w14:paraId="1CDB0B68">
            <w:pPr>
              <w:jc w:val="center"/>
              <w:rPr>
                <w:rFonts w:ascii="宋体" w:hAnsi="宋体" w:eastAsia="宋体" w:cs="Times New Roman"/>
                <w:color w:val="auto"/>
                <w:kern w:val="21"/>
              </w:rPr>
            </w:pPr>
            <w:r>
              <w:rPr>
                <w:rFonts w:ascii="宋体" w:hAnsi="宋体" w:eastAsia="宋体" w:cs="Times New Roman"/>
                <w:color w:val="auto"/>
                <w:kern w:val="21"/>
              </w:rPr>
              <w:t>点位</w:t>
            </w:r>
          </w:p>
          <w:p w14:paraId="1A515CDD">
            <w:pPr>
              <w:jc w:val="center"/>
              <w:rPr>
                <w:rFonts w:ascii="宋体" w:hAnsi="宋体" w:eastAsia="宋体" w:cs="Times New Roman"/>
                <w:color w:val="auto"/>
                <w:kern w:val="21"/>
              </w:rPr>
            </w:pPr>
            <w:r>
              <w:rPr>
                <w:rFonts w:ascii="宋体" w:hAnsi="宋体" w:eastAsia="宋体" w:cs="Times New Roman"/>
                <w:color w:val="auto"/>
                <w:kern w:val="21"/>
              </w:rPr>
              <w:t>布置图</w:t>
            </w:r>
          </w:p>
        </w:tc>
      </w:tr>
      <w:tr w14:paraId="4E28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2AE0C2A1">
            <w:pPr>
              <w:jc w:val="center"/>
              <w:rPr>
                <w:rFonts w:ascii="宋体" w:hAnsi="宋体" w:eastAsia="宋体" w:cs="Times New Roman"/>
                <w:color w:val="auto"/>
                <w:kern w:val="21"/>
              </w:rPr>
            </w:pPr>
          </w:p>
        </w:tc>
        <w:tc>
          <w:tcPr>
            <w:tcW w:w="917" w:type="pct"/>
            <w:vMerge w:val="continue"/>
            <w:shd w:val="clear" w:color="auto" w:fill="auto"/>
            <w:vAlign w:val="center"/>
          </w:tcPr>
          <w:p w14:paraId="0B975CA7">
            <w:pPr>
              <w:jc w:val="center"/>
              <w:rPr>
                <w:rFonts w:ascii="宋体" w:hAnsi="宋体" w:eastAsia="宋体" w:cs="Times New Roman"/>
                <w:color w:val="auto"/>
                <w:kern w:val="21"/>
              </w:rPr>
            </w:pPr>
          </w:p>
        </w:tc>
        <w:tc>
          <w:tcPr>
            <w:tcW w:w="735" w:type="pct"/>
            <w:gridSpan w:val="2"/>
            <w:shd w:val="clear" w:color="auto" w:fill="auto"/>
            <w:vAlign w:val="center"/>
          </w:tcPr>
          <w:p w14:paraId="48CA350E">
            <w:pPr>
              <w:jc w:val="center"/>
              <w:rPr>
                <w:rFonts w:ascii="宋体" w:hAnsi="宋体" w:eastAsia="宋体" w:cs="Times New Roman"/>
                <w:color w:val="auto"/>
                <w:kern w:val="21"/>
              </w:rPr>
            </w:pPr>
            <w:r>
              <w:rPr>
                <w:rFonts w:ascii="宋体" w:hAnsi="宋体" w:eastAsia="宋体" w:cs="Times New Roman"/>
                <w:color w:val="auto"/>
                <w:kern w:val="21"/>
              </w:rPr>
              <w:t>表层样点数</w:t>
            </w:r>
          </w:p>
        </w:tc>
        <w:tc>
          <w:tcPr>
            <w:tcW w:w="726" w:type="pct"/>
            <w:shd w:val="clear" w:color="auto" w:fill="auto"/>
            <w:vAlign w:val="center"/>
          </w:tcPr>
          <w:p w14:paraId="10623161">
            <w:pPr>
              <w:jc w:val="center"/>
              <w:rPr>
                <w:rFonts w:ascii="宋体" w:hAnsi="宋体" w:eastAsia="宋体" w:cs="Times New Roman"/>
                <w:color w:val="auto"/>
                <w:kern w:val="21"/>
              </w:rPr>
            </w:pPr>
            <w:r>
              <w:rPr>
                <w:rFonts w:ascii="宋体" w:hAnsi="宋体" w:eastAsia="宋体" w:cs="Times New Roman"/>
                <w:color w:val="auto"/>
                <w:kern w:val="21"/>
              </w:rPr>
              <w:t>2</w:t>
            </w:r>
          </w:p>
        </w:tc>
        <w:tc>
          <w:tcPr>
            <w:tcW w:w="725" w:type="pct"/>
            <w:shd w:val="clear" w:color="auto" w:fill="auto"/>
            <w:vAlign w:val="center"/>
          </w:tcPr>
          <w:p w14:paraId="220D212B">
            <w:pPr>
              <w:jc w:val="center"/>
              <w:rPr>
                <w:rFonts w:ascii="宋体" w:hAnsi="宋体" w:eastAsia="宋体" w:cs="Times New Roman"/>
                <w:color w:val="auto"/>
                <w:kern w:val="21"/>
              </w:rPr>
            </w:pPr>
            <w:r>
              <w:rPr>
                <w:rFonts w:ascii="宋体" w:hAnsi="宋体" w:eastAsia="宋体" w:cs="Times New Roman"/>
                <w:color w:val="auto"/>
                <w:kern w:val="21"/>
              </w:rPr>
              <w:t>4</w:t>
            </w:r>
          </w:p>
        </w:tc>
        <w:tc>
          <w:tcPr>
            <w:tcW w:w="1046" w:type="pct"/>
            <w:gridSpan w:val="2"/>
            <w:shd w:val="clear" w:color="auto" w:fill="auto"/>
            <w:vAlign w:val="center"/>
          </w:tcPr>
          <w:p w14:paraId="6CBE3AAC">
            <w:pPr>
              <w:jc w:val="center"/>
              <w:rPr>
                <w:rFonts w:ascii="宋体" w:hAnsi="宋体" w:eastAsia="宋体" w:cs="Times New Roman"/>
                <w:color w:val="auto"/>
                <w:kern w:val="21"/>
              </w:rPr>
            </w:pPr>
            <w:r>
              <w:rPr>
                <w:rFonts w:ascii="宋体" w:hAnsi="宋体" w:eastAsia="宋体" w:cs="Times New Roman"/>
                <w:color w:val="auto"/>
                <w:kern w:val="21"/>
              </w:rPr>
              <w:t>0-20cm</w:t>
            </w:r>
          </w:p>
        </w:tc>
        <w:tc>
          <w:tcPr>
            <w:tcW w:w="602" w:type="pct"/>
            <w:vMerge w:val="continue"/>
            <w:shd w:val="clear" w:color="auto" w:fill="auto"/>
            <w:vAlign w:val="center"/>
          </w:tcPr>
          <w:p w14:paraId="58DDC055">
            <w:pPr>
              <w:jc w:val="center"/>
              <w:rPr>
                <w:rFonts w:ascii="宋体" w:hAnsi="宋体" w:eastAsia="宋体" w:cs="Times New Roman"/>
                <w:color w:val="auto"/>
                <w:kern w:val="21"/>
              </w:rPr>
            </w:pPr>
          </w:p>
        </w:tc>
      </w:tr>
      <w:tr w14:paraId="33F9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00EEF057">
            <w:pPr>
              <w:jc w:val="center"/>
              <w:rPr>
                <w:rFonts w:ascii="宋体" w:hAnsi="宋体" w:eastAsia="宋体" w:cs="Times New Roman"/>
                <w:color w:val="auto"/>
                <w:kern w:val="21"/>
              </w:rPr>
            </w:pPr>
          </w:p>
        </w:tc>
        <w:tc>
          <w:tcPr>
            <w:tcW w:w="917" w:type="pct"/>
            <w:vMerge w:val="continue"/>
            <w:shd w:val="clear" w:color="auto" w:fill="auto"/>
            <w:vAlign w:val="center"/>
          </w:tcPr>
          <w:p w14:paraId="6986F8EB">
            <w:pPr>
              <w:jc w:val="center"/>
              <w:rPr>
                <w:rFonts w:ascii="宋体" w:hAnsi="宋体" w:eastAsia="宋体" w:cs="Times New Roman"/>
                <w:color w:val="auto"/>
                <w:kern w:val="21"/>
              </w:rPr>
            </w:pPr>
          </w:p>
        </w:tc>
        <w:tc>
          <w:tcPr>
            <w:tcW w:w="735" w:type="pct"/>
            <w:gridSpan w:val="2"/>
            <w:shd w:val="clear" w:color="auto" w:fill="auto"/>
            <w:vAlign w:val="center"/>
          </w:tcPr>
          <w:p w14:paraId="7A083BDD">
            <w:pPr>
              <w:jc w:val="center"/>
              <w:rPr>
                <w:rFonts w:ascii="宋体" w:hAnsi="宋体" w:eastAsia="宋体" w:cs="Times New Roman"/>
                <w:color w:val="auto"/>
                <w:kern w:val="21"/>
              </w:rPr>
            </w:pPr>
            <w:r>
              <w:rPr>
                <w:rFonts w:ascii="宋体" w:hAnsi="宋体" w:eastAsia="宋体" w:cs="Times New Roman"/>
                <w:color w:val="auto"/>
                <w:kern w:val="21"/>
              </w:rPr>
              <w:t>柱状样点数</w:t>
            </w:r>
          </w:p>
        </w:tc>
        <w:tc>
          <w:tcPr>
            <w:tcW w:w="726" w:type="pct"/>
            <w:shd w:val="clear" w:color="auto" w:fill="auto"/>
            <w:vAlign w:val="center"/>
          </w:tcPr>
          <w:p w14:paraId="28ED998D">
            <w:pPr>
              <w:jc w:val="center"/>
              <w:rPr>
                <w:rFonts w:ascii="宋体" w:hAnsi="宋体" w:eastAsia="宋体" w:cs="Times New Roman"/>
                <w:color w:val="auto"/>
                <w:kern w:val="21"/>
              </w:rPr>
            </w:pPr>
            <w:r>
              <w:rPr>
                <w:rFonts w:ascii="宋体" w:hAnsi="宋体" w:eastAsia="宋体" w:cs="Times New Roman"/>
                <w:color w:val="auto"/>
                <w:kern w:val="21"/>
              </w:rPr>
              <w:t>5</w:t>
            </w:r>
          </w:p>
        </w:tc>
        <w:tc>
          <w:tcPr>
            <w:tcW w:w="725" w:type="pct"/>
            <w:shd w:val="clear" w:color="auto" w:fill="auto"/>
            <w:vAlign w:val="center"/>
          </w:tcPr>
          <w:p w14:paraId="3E289143">
            <w:pPr>
              <w:jc w:val="center"/>
              <w:rPr>
                <w:rFonts w:ascii="宋体" w:hAnsi="宋体" w:eastAsia="宋体" w:cs="Times New Roman"/>
                <w:color w:val="auto"/>
                <w:kern w:val="21"/>
              </w:rPr>
            </w:pPr>
            <w:r>
              <w:rPr>
                <w:rFonts w:ascii="宋体" w:hAnsi="宋体" w:eastAsia="宋体" w:cs="Times New Roman"/>
                <w:color w:val="auto"/>
                <w:kern w:val="21"/>
              </w:rPr>
              <w:t>0</w:t>
            </w:r>
          </w:p>
        </w:tc>
        <w:tc>
          <w:tcPr>
            <w:tcW w:w="1046" w:type="pct"/>
            <w:gridSpan w:val="2"/>
            <w:shd w:val="clear" w:color="auto" w:fill="auto"/>
            <w:vAlign w:val="center"/>
          </w:tcPr>
          <w:p w14:paraId="3559856B">
            <w:pPr>
              <w:jc w:val="center"/>
              <w:rPr>
                <w:rFonts w:ascii="宋体" w:hAnsi="宋体" w:eastAsia="宋体" w:cs="Times New Roman"/>
                <w:color w:val="auto"/>
                <w:kern w:val="21"/>
              </w:rPr>
            </w:pPr>
            <w:r>
              <w:rPr>
                <w:rFonts w:ascii="宋体" w:hAnsi="宋体" w:eastAsia="宋体" w:cs="Times New Roman"/>
                <w:color w:val="auto"/>
                <w:kern w:val="21"/>
              </w:rPr>
              <w:t>0-50cm</w:t>
            </w:r>
          </w:p>
          <w:p w14:paraId="466017B0">
            <w:pPr>
              <w:jc w:val="center"/>
              <w:rPr>
                <w:rFonts w:ascii="宋体" w:hAnsi="宋体" w:eastAsia="宋体" w:cs="Times New Roman"/>
                <w:color w:val="auto"/>
                <w:kern w:val="21"/>
              </w:rPr>
            </w:pPr>
            <w:r>
              <w:rPr>
                <w:rFonts w:ascii="宋体" w:hAnsi="宋体" w:eastAsia="宋体" w:cs="Times New Roman"/>
                <w:color w:val="auto"/>
                <w:kern w:val="21"/>
              </w:rPr>
              <w:t>50-150cm</w:t>
            </w:r>
          </w:p>
          <w:p w14:paraId="6F798F28">
            <w:pPr>
              <w:jc w:val="center"/>
              <w:rPr>
                <w:rFonts w:ascii="宋体" w:hAnsi="宋体" w:eastAsia="宋体" w:cs="Times New Roman"/>
                <w:color w:val="auto"/>
                <w:kern w:val="21"/>
              </w:rPr>
            </w:pPr>
            <w:r>
              <w:rPr>
                <w:rFonts w:ascii="宋体" w:hAnsi="宋体" w:eastAsia="宋体" w:cs="Times New Roman"/>
                <w:color w:val="auto"/>
                <w:kern w:val="21"/>
              </w:rPr>
              <w:t>150-300cm</w:t>
            </w:r>
          </w:p>
        </w:tc>
        <w:tc>
          <w:tcPr>
            <w:tcW w:w="602" w:type="pct"/>
            <w:vMerge w:val="continue"/>
            <w:shd w:val="clear" w:color="auto" w:fill="auto"/>
            <w:vAlign w:val="center"/>
          </w:tcPr>
          <w:p w14:paraId="2575D1AB">
            <w:pPr>
              <w:jc w:val="center"/>
              <w:rPr>
                <w:rFonts w:ascii="宋体" w:hAnsi="宋体" w:eastAsia="宋体" w:cs="Times New Roman"/>
                <w:color w:val="auto"/>
                <w:kern w:val="21"/>
              </w:rPr>
            </w:pPr>
          </w:p>
        </w:tc>
      </w:tr>
      <w:tr w14:paraId="7F67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7C74FC26">
            <w:pPr>
              <w:jc w:val="center"/>
              <w:rPr>
                <w:rFonts w:ascii="宋体" w:hAnsi="宋体" w:eastAsia="宋体" w:cs="Times New Roman"/>
                <w:color w:val="auto"/>
                <w:kern w:val="21"/>
              </w:rPr>
            </w:pPr>
          </w:p>
        </w:tc>
        <w:tc>
          <w:tcPr>
            <w:tcW w:w="917" w:type="pct"/>
            <w:shd w:val="clear" w:color="auto" w:fill="auto"/>
            <w:vAlign w:val="center"/>
          </w:tcPr>
          <w:p w14:paraId="2EFA2761">
            <w:pPr>
              <w:jc w:val="center"/>
              <w:rPr>
                <w:rFonts w:ascii="宋体" w:hAnsi="宋体" w:eastAsia="宋体" w:cs="Times New Roman"/>
                <w:color w:val="auto"/>
                <w:kern w:val="21"/>
              </w:rPr>
            </w:pPr>
            <w:r>
              <w:rPr>
                <w:rFonts w:ascii="宋体" w:hAnsi="宋体" w:eastAsia="宋体" w:cs="Times New Roman"/>
                <w:color w:val="auto"/>
                <w:kern w:val="21"/>
              </w:rPr>
              <w:t>现状监测因子</w:t>
            </w:r>
          </w:p>
        </w:tc>
        <w:tc>
          <w:tcPr>
            <w:tcW w:w="3232" w:type="pct"/>
            <w:gridSpan w:val="6"/>
            <w:shd w:val="clear" w:color="auto" w:fill="auto"/>
            <w:vAlign w:val="center"/>
          </w:tcPr>
          <w:p w14:paraId="4DC58B87">
            <w:pPr>
              <w:jc w:val="center"/>
              <w:rPr>
                <w:rFonts w:ascii="宋体" w:hAnsi="宋体" w:eastAsia="宋体" w:cs="Times New Roman"/>
                <w:color w:val="auto"/>
                <w:kern w:val="21"/>
              </w:rPr>
            </w:pPr>
            <w:r>
              <w:rPr>
                <w:rFonts w:ascii="宋体" w:hAnsi="宋体" w:eastAsia="宋体" w:cs="Times New Roman"/>
                <w:color w:val="auto"/>
                <w:kern w:val="21"/>
              </w:rPr>
              <w:t>50项（包括建设用地土壤基本项目45项，其他项目石油烃（C</w:t>
            </w:r>
            <w:r>
              <w:rPr>
                <w:rFonts w:ascii="宋体" w:hAnsi="宋体" w:eastAsia="宋体" w:cs="Times New Roman"/>
                <w:color w:val="auto"/>
                <w:kern w:val="21"/>
                <w:vertAlign w:val="subscript"/>
              </w:rPr>
              <w:t>10</w:t>
            </w:r>
            <w:r>
              <w:rPr>
                <w:rFonts w:ascii="宋体" w:hAnsi="宋体" w:eastAsia="宋体" w:cs="Times New Roman"/>
                <w:color w:val="auto"/>
                <w:kern w:val="21"/>
              </w:rPr>
              <w:t>-C</w:t>
            </w:r>
            <w:r>
              <w:rPr>
                <w:rFonts w:ascii="宋体" w:hAnsi="宋体" w:eastAsia="宋体" w:cs="Times New Roman"/>
                <w:color w:val="auto"/>
                <w:kern w:val="21"/>
                <w:vertAlign w:val="subscript"/>
              </w:rPr>
              <w:t>40</w:t>
            </w:r>
            <w:r>
              <w:rPr>
                <w:rFonts w:ascii="宋体" w:hAnsi="宋体" w:eastAsia="宋体" w:cs="Times New Roman"/>
                <w:color w:val="auto"/>
                <w:kern w:val="21"/>
              </w:rPr>
              <w:t>）及pH值、石油类、石油烃（C</w:t>
            </w:r>
            <w:r>
              <w:rPr>
                <w:rFonts w:ascii="宋体" w:hAnsi="宋体" w:eastAsia="宋体" w:cs="Times New Roman"/>
                <w:color w:val="auto"/>
                <w:kern w:val="21"/>
                <w:vertAlign w:val="subscript"/>
              </w:rPr>
              <w:t>6</w:t>
            </w:r>
            <w:r>
              <w:rPr>
                <w:rFonts w:ascii="宋体" w:hAnsi="宋体" w:eastAsia="宋体" w:cs="Times New Roman"/>
                <w:color w:val="auto"/>
                <w:kern w:val="21"/>
              </w:rPr>
              <w:t>-C</w:t>
            </w:r>
            <w:r>
              <w:rPr>
                <w:rFonts w:ascii="宋体" w:hAnsi="宋体" w:eastAsia="宋体" w:cs="Times New Roman"/>
                <w:color w:val="auto"/>
                <w:kern w:val="21"/>
                <w:vertAlign w:val="subscript"/>
              </w:rPr>
              <w:t>9</w:t>
            </w:r>
            <w:r>
              <w:rPr>
                <w:rFonts w:ascii="宋体" w:hAnsi="宋体" w:eastAsia="宋体" w:cs="Times New Roman"/>
                <w:color w:val="auto"/>
                <w:kern w:val="21"/>
              </w:rPr>
              <w:t>）、水溶性盐总量）及农用地土壤监测项目（pH、镉、汞、砷、铅、铬、铜、镍、锌、石油烃（C</w:t>
            </w:r>
            <w:r>
              <w:rPr>
                <w:rFonts w:ascii="宋体" w:hAnsi="宋体" w:eastAsia="宋体" w:cs="Times New Roman"/>
                <w:color w:val="auto"/>
                <w:kern w:val="21"/>
                <w:vertAlign w:val="subscript"/>
              </w:rPr>
              <w:t>10</w:t>
            </w:r>
            <w:r>
              <w:rPr>
                <w:rFonts w:ascii="宋体" w:hAnsi="宋体" w:eastAsia="宋体" w:cs="Times New Roman"/>
                <w:color w:val="auto"/>
                <w:kern w:val="21"/>
              </w:rPr>
              <w:t>-C</w:t>
            </w:r>
            <w:r>
              <w:rPr>
                <w:rFonts w:ascii="宋体" w:hAnsi="宋体" w:eastAsia="宋体" w:cs="Times New Roman"/>
                <w:color w:val="auto"/>
                <w:kern w:val="21"/>
                <w:vertAlign w:val="subscript"/>
              </w:rPr>
              <w:t>40</w:t>
            </w:r>
            <w:r>
              <w:rPr>
                <w:rFonts w:ascii="宋体" w:hAnsi="宋体" w:eastAsia="宋体" w:cs="Times New Roman"/>
                <w:color w:val="auto"/>
                <w:kern w:val="21"/>
              </w:rPr>
              <w:t>）、石油类、石油烃（C</w:t>
            </w:r>
            <w:r>
              <w:rPr>
                <w:rFonts w:ascii="宋体" w:hAnsi="宋体" w:eastAsia="宋体" w:cs="Times New Roman"/>
                <w:color w:val="auto"/>
                <w:kern w:val="21"/>
                <w:vertAlign w:val="subscript"/>
              </w:rPr>
              <w:t>6</w:t>
            </w:r>
            <w:r>
              <w:rPr>
                <w:rFonts w:ascii="宋体" w:hAnsi="宋体" w:eastAsia="宋体" w:cs="Times New Roman"/>
                <w:color w:val="auto"/>
                <w:kern w:val="21"/>
              </w:rPr>
              <w:t>-C</w:t>
            </w:r>
            <w:r>
              <w:rPr>
                <w:rFonts w:ascii="宋体" w:hAnsi="宋体" w:eastAsia="宋体" w:cs="Times New Roman"/>
                <w:color w:val="auto"/>
                <w:kern w:val="21"/>
                <w:vertAlign w:val="subscript"/>
              </w:rPr>
              <w:t>9</w:t>
            </w:r>
            <w:r>
              <w:rPr>
                <w:rFonts w:ascii="宋体" w:hAnsi="宋体" w:eastAsia="宋体" w:cs="Times New Roman"/>
                <w:color w:val="auto"/>
                <w:kern w:val="21"/>
              </w:rPr>
              <w:t>）、水溶性盐总量）</w:t>
            </w:r>
          </w:p>
        </w:tc>
        <w:tc>
          <w:tcPr>
            <w:tcW w:w="602" w:type="pct"/>
            <w:shd w:val="clear" w:color="auto" w:fill="auto"/>
            <w:vAlign w:val="center"/>
          </w:tcPr>
          <w:p w14:paraId="2E86AB56">
            <w:pPr>
              <w:jc w:val="center"/>
              <w:rPr>
                <w:rFonts w:ascii="宋体" w:hAnsi="宋体" w:eastAsia="宋体" w:cs="Times New Roman"/>
                <w:color w:val="auto"/>
                <w:kern w:val="21"/>
              </w:rPr>
            </w:pPr>
          </w:p>
        </w:tc>
      </w:tr>
      <w:tr w14:paraId="7E80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shd w:val="clear" w:color="auto" w:fill="auto"/>
            <w:vAlign w:val="center"/>
          </w:tcPr>
          <w:p w14:paraId="4C61FB19">
            <w:pPr>
              <w:jc w:val="center"/>
              <w:rPr>
                <w:rFonts w:ascii="宋体" w:hAnsi="宋体" w:eastAsia="宋体" w:cs="Times New Roman"/>
                <w:color w:val="auto"/>
                <w:kern w:val="21"/>
              </w:rPr>
            </w:pPr>
            <w:r>
              <w:rPr>
                <w:rFonts w:ascii="宋体" w:hAnsi="宋体" w:eastAsia="宋体" w:cs="Times New Roman"/>
                <w:color w:val="auto"/>
                <w:kern w:val="21"/>
              </w:rPr>
              <w:t>现状评价</w:t>
            </w:r>
          </w:p>
        </w:tc>
        <w:tc>
          <w:tcPr>
            <w:tcW w:w="917" w:type="pct"/>
            <w:shd w:val="clear" w:color="auto" w:fill="auto"/>
            <w:vAlign w:val="center"/>
          </w:tcPr>
          <w:p w14:paraId="65EABEA1">
            <w:pPr>
              <w:jc w:val="center"/>
              <w:rPr>
                <w:rFonts w:ascii="宋体" w:hAnsi="宋体" w:eastAsia="宋体" w:cs="Times New Roman"/>
                <w:color w:val="auto"/>
                <w:kern w:val="21"/>
              </w:rPr>
            </w:pPr>
            <w:r>
              <w:rPr>
                <w:rFonts w:ascii="宋体" w:hAnsi="宋体" w:eastAsia="宋体" w:cs="Times New Roman"/>
                <w:color w:val="auto"/>
                <w:kern w:val="21"/>
              </w:rPr>
              <w:t>评价因子</w:t>
            </w:r>
          </w:p>
        </w:tc>
        <w:tc>
          <w:tcPr>
            <w:tcW w:w="3232" w:type="pct"/>
            <w:gridSpan w:val="6"/>
            <w:shd w:val="clear" w:color="auto" w:fill="auto"/>
            <w:vAlign w:val="center"/>
          </w:tcPr>
          <w:p w14:paraId="79A00A70">
            <w:pPr>
              <w:jc w:val="center"/>
              <w:rPr>
                <w:rFonts w:ascii="宋体" w:hAnsi="宋体" w:eastAsia="宋体" w:cs="Times New Roman"/>
                <w:color w:val="auto"/>
                <w:kern w:val="21"/>
              </w:rPr>
            </w:pPr>
            <w:r>
              <w:rPr>
                <w:rFonts w:ascii="宋体" w:hAnsi="宋体" w:eastAsia="宋体" w:cs="Times New Roman"/>
                <w:color w:val="auto"/>
                <w:kern w:val="21"/>
              </w:rPr>
              <w:t>50项（包括建设用地土壤基本项目45项，其他项目石油烃（C</w:t>
            </w:r>
            <w:r>
              <w:rPr>
                <w:rFonts w:ascii="宋体" w:hAnsi="宋体" w:eastAsia="宋体" w:cs="Times New Roman"/>
                <w:color w:val="auto"/>
                <w:kern w:val="21"/>
                <w:vertAlign w:val="subscript"/>
              </w:rPr>
              <w:t>10</w:t>
            </w:r>
            <w:r>
              <w:rPr>
                <w:rFonts w:ascii="宋体" w:hAnsi="宋体" w:eastAsia="宋体" w:cs="Times New Roman"/>
                <w:color w:val="auto"/>
                <w:kern w:val="21"/>
              </w:rPr>
              <w:t>-C</w:t>
            </w:r>
            <w:r>
              <w:rPr>
                <w:rFonts w:ascii="宋体" w:hAnsi="宋体" w:eastAsia="宋体" w:cs="Times New Roman"/>
                <w:color w:val="auto"/>
                <w:kern w:val="21"/>
                <w:vertAlign w:val="subscript"/>
              </w:rPr>
              <w:t>40</w:t>
            </w:r>
            <w:r>
              <w:rPr>
                <w:rFonts w:ascii="宋体" w:hAnsi="宋体" w:eastAsia="宋体" w:cs="Times New Roman"/>
                <w:color w:val="auto"/>
                <w:kern w:val="21"/>
              </w:rPr>
              <w:t>）及pH值、石油类、石油烃（C</w:t>
            </w:r>
            <w:r>
              <w:rPr>
                <w:rFonts w:ascii="宋体" w:hAnsi="宋体" w:eastAsia="宋体" w:cs="Times New Roman"/>
                <w:color w:val="auto"/>
                <w:kern w:val="21"/>
                <w:vertAlign w:val="subscript"/>
              </w:rPr>
              <w:t>6</w:t>
            </w:r>
            <w:r>
              <w:rPr>
                <w:rFonts w:ascii="宋体" w:hAnsi="宋体" w:eastAsia="宋体" w:cs="Times New Roman"/>
                <w:color w:val="auto"/>
                <w:kern w:val="21"/>
              </w:rPr>
              <w:t>-C</w:t>
            </w:r>
            <w:r>
              <w:rPr>
                <w:rFonts w:ascii="宋体" w:hAnsi="宋体" w:eastAsia="宋体" w:cs="Times New Roman"/>
                <w:color w:val="auto"/>
                <w:kern w:val="21"/>
                <w:vertAlign w:val="subscript"/>
              </w:rPr>
              <w:t>9</w:t>
            </w:r>
            <w:r>
              <w:rPr>
                <w:rFonts w:ascii="宋体" w:hAnsi="宋体" w:eastAsia="宋体" w:cs="Times New Roman"/>
                <w:color w:val="auto"/>
                <w:kern w:val="21"/>
              </w:rPr>
              <w:t>）、水溶性盐总量）及农用地土壤监测项目（pH、镉、汞、砷、铅、铬、铜、镍、锌、石油烃（C</w:t>
            </w:r>
            <w:r>
              <w:rPr>
                <w:rFonts w:ascii="宋体" w:hAnsi="宋体" w:eastAsia="宋体" w:cs="Times New Roman"/>
                <w:color w:val="auto"/>
                <w:kern w:val="21"/>
                <w:vertAlign w:val="subscript"/>
              </w:rPr>
              <w:t>10</w:t>
            </w:r>
            <w:r>
              <w:rPr>
                <w:rFonts w:ascii="宋体" w:hAnsi="宋体" w:eastAsia="宋体" w:cs="Times New Roman"/>
                <w:color w:val="auto"/>
                <w:kern w:val="21"/>
              </w:rPr>
              <w:t>-C</w:t>
            </w:r>
            <w:r>
              <w:rPr>
                <w:rFonts w:ascii="宋体" w:hAnsi="宋体" w:eastAsia="宋体" w:cs="Times New Roman"/>
                <w:color w:val="auto"/>
                <w:kern w:val="21"/>
                <w:vertAlign w:val="subscript"/>
              </w:rPr>
              <w:t>40</w:t>
            </w:r>
            <w:r>
              <w:rPr>
                <w:rFonts w:ascii="宋体" w:hAnsi="宋体" w:eastAsia="宋体" w:cs="Times New Roman"/>
                <w:color w:val="auto"/>
                <w:kern w:val="21"/>
              </w:rPr>
              <w:t>）、石油类、石油烃（C</w:t>
            </w:r>
            <w:r>
              <w:rPr>
                <w:rFonts w:ascii="宋体" w:hAnsi="宋体" w:eastAsia="宋体" w:cs="Times New Roman"/>
                <w:color w:val="auto"/>
                <w:kern w:val="21"/>
                <w:vertAlign w:val="subscript"/>
              </w:rPr>
              <w:t>6</w:t>
            </w:r>
            <w:r>
              <w:rPr>
                <w:rFonts w:ascii="宋体" w:hAnsi="宋体" w:eastAsia="宋体" w:cs="Times New Roman"/>
                <w:color w:val="auto"/>
                <w:kern w:val="21"/>
              </w:rPr>
              <w:t>-C</w:t>
            </w:r>
            <w:r>
              <w:rPr>
                <w:rFonts w:ascii="宋体" w:hAnsi="宋体" w:eastAsia="宋体" w:cs="Times New Roman"/>
                <w:color w:val="auto"/>
                <w:kern w:val="21"/>
                <w:vertAlign w:val="subscript"/>
              </w:rPr>
              <w:t>9</w:t>
            </w:r>
            <w:r>
              <w:rPr>
                <w:rFonts w:ascii="宋体" w:hAnsi="宋体" w:eastAsia="宋体" w:cs="Times New Roman"/>
                <w:color w:val="auto"/>
                <w:kern w:val="21"/>
              </w:rPr>
              <w:t>）、水溶性盐总量）</w:t>
            </w:r>
          </w:p>
        </w:tc>
        <w:tc>
          <w:tcPr>
            <w:tcW w:w="602" w:type="pct"/>
            <w:shd w:val="clear" w:color="auto" w:fill="auto"/>
            <w:vAlign w:val="center"/>
          </w:tcPr>
          <w:p w14:paraId="0BBD76BB">
            <w:pPr>
              <w:jc w:val="center"/>
              <w:rPr>
                <w:rFonts w:ascii="宋体" w:hAnsi="宋体" w:eastAsia="宋体" w:cs="Times New Roman"/>
                <w:color w:val="auto"/>
                <w:kern w:val="21"/>
              </w:rPr>
            </w:pPr>
          </w:p>
        </w:tc>
      </w:tr>
      <w:tr w14:paraId="2FD4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290C087D">
            <w:pPr>
              <w:jc w:val="center"/>
              <w:rPr>
                <w:rFonts w:ascii="宋体" w:hAnsi="宋体" w:eastAsia="宋体" w:cs="Times New Roman"/>
                <w:color w:val="auto"/>
                <w:kern w:val="21"/>
              </w:rPr>
            </w:pPr>
          </w:p>
        </w:tc>
        <w:tc>
          <w:tcPr>
            <w:tcW w:w="917" w:type="pct"/>
            <w:shd w:val="clear" w:color="auto" w:fill="auto"/>
            <w:vAlign w:val="center"/>
          </w:tcPr>
          <w:p w14:paraId="4DAE5BFB">
            <w:pPr>
              <w:jc w:val="center"/>
              <w:rPr>
                <w:rFonts w:ascii="宋体" w:hAnsi="宋体" w:eastAsia="宋体" w:cs="Times New Roman"/>
                <w:color w:val="auto"/>
                <w:kern w:val="21"/>
              </w:rPr>
            </w:pPr>
            <w:r>
              <w:rPr>
                <w:rFonts w:ascii="宋体" w:hAnsi="宋体" w:eastAsia="宋体" w:cs="Times New Roman"/>
                <w:color w:val="auto"/>
                <w:kern w:val="21"/>
              </w:rPr>
              <w:t>评价标准</w:t>
            </w:r>
          </w:p>
        </w:tc>
        <w:tc>
          <w:tcPr>
            <w:tcW w:w="3232" w:type="pct"/>
            <w:gridSpan w:val="6"/>
            <w:shd w:val="clear" w:color="auto" w:fill="auto"/>
            <w:vAlign w:val="center"/>
          </w:tcPr>
          <w:p w14:paraId="350B8B58">
            <w:pPr>
              <w:jc w:val="center"/>
              <w:rPr>
                <w:rFonts w:ascii="宋体" w:hAnsi="宋体" w:eastAsia="宋体" w:cs="Times New Roman"/>
                <w:color w:val="auto"/>
                <w:kern w:val="21"/>
              </w:rPr>
            </w:pPr>
            <w:r>
              <w:rPr>
                <w:rFonts w:ascii="宋体" w:hAnsi="宋体" w:eastAsia="宋体" w:cs="Times New Roman"/>
                <w:color w:val="auto"/>
                <w:kern w:val="21"/>
              </w:rPr>
              <w:t>GB 15618</w:t>
            </w:r>
            <w:r>
              <w:rPr>
                <w:rFonts w:ascii="Segoe UI Emoji" w:hAnsi="Segoe UI Emoji" w:eastAsia="宋体" w:cs="Segoe UI Emoji"/>
                <w:color w:val="auto"/>
                <w:kern w:val="21"/>
              </w:rPr>
              <w:t>☑</w:t>
            </w:r>
            <w:r>
              <w:rPr>
                <w:rFonts w:ascii="宋体" w:hAnsi="宋体" w:eastAsia="宋体" w:cs="Times New Roman"/>
                <w:color w:val="auto"/>
                <w:kern w:val="21"/>
              </w:rPr>
              <w:t>；GB 36600</w:t>
            </w:r>
            <w:r>
              <w:rPr>
                <w:rFonts w:ascii="Segoe UI Emoji" w:hAnsi="Segoe UI Emoji" w:eastAsia="宋体" w:cs="Segoe UI Emoji"/>
                <w:color w:val="auto"/>
                <w:kern w:val="21"/>
              </w:rPr>
              <w:t>☑</w:t>
            </w:r>
            <w:r>
              <w:rPr>
                <w:rFonts w:ascii="宋体" w:hAnsi="宋体" w:eastAsia="宋体" w:cs="Times New Roman"/>
                <w:color w:val="auto"/>
                <w:kern w:val="21"/>
              </w:rPr>
              <w:t>；表D.1□；表D.2□；其他（）</w:t>
            </w:r>
          </w:p>
        </w:tc>
        <w:tc>
          <w:tcPr>
            <w:tcW w:w="602" w:type="pct"/>
            <w:shd w:val="clear" w:color="auto" w:fill="auto"/>
            <w:vAlign w:val="center"/>
          </w:tcPr>
          <w:p w14:paraId="16ED7CAC">
            <w:pPr>
              <w:jc w:val="center"/>
              <w:rPr>
                <w:rFonts w:ascii="宋体" w:hAnsi="宋体" w:eastAsia="宋体" w:cs="Times New Roman"/>
                <w:color w:val="auto"/>
                <w:kern w:val="21"/>
              </w:rPr>
            </w:pPr>
          </w:p>
        </w:tc>
      </w:tr>
      <w:tr w14:paraId="0C96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0937C81E">
            <w:pPr>
              <w:jc w:val="center"/>
              <w:rPr>
                <w:rFonts w:ascii="宋体" w:hAnsi="宋体" w:eastAsia="宋体" w:cs="Times New Roman"/>
                <w:color w:val="auto"/>
                <w:kern w:val="21"/>
              </w:rPr>
            </w:pPr>
          </w:p>
        </w:tc>
        <w:tc>
          <w:tcPr>
            <w:tcW w:w="917" w:type="pct"/>
            <w:shd w:val="clear" w:color="auto" w:fill="auto"/>
            <w:vAlign w:val="center"/>
          </w:tcPr>
          <w:p w14:paraId="3C04DECC">
            <w:pPr>
              <w:jc w:val="center"/>
              <w:rPr>
                <w:rFonts w:ascii="宋体" w:hAnsi="宋体" w:eastAsia="宋体" w:cs="Times New Roman"/>
                <w:color w:val="auto"/>
                <w:kern w:val="21"/>
              </w:rPr>
            </w:pPr>
            <w:r>
              <w:rPr>
                <w:rFonts w:ascii="宋体" w:hAnsi="宋体" w:eastAsia="宋体" w:cs="Times New Roman"/>
                <w:color w:val="auto"/>
                <w:kern w:val="21"/>
              </w:rPr>
              <w:t>现状评价结论</w:t>
            </w:r>
          </w:p>
        </w:tc>
        <w:tc>
          <w:tcPr>
            <w:tcW w:w="3232" w:type="pct"/>
            <w:gridSpan w:val="6"/>
            <w:shd w:val="clear" w:color="auto" w:fill="auto"/>
            <w:vAlign w:val="center"/>
          </w:tcPr>
          <w:p w14:paraId="21E3FEEB">
            <w:pPr>
              <w:jc w:val="center"/>
              <w:rPr>
                <w:rFonts w:ascii="宋体" w:hAnsi="宋体" w:eastAsia="宋体" w:cs="Times New Roman"/>
                <w:color w:val="auto"/>
                <w:kern w:val="21"/>
              </w:rPr>
            </w:pPr>
            <w:r>
              <w:rPr>
                <w:rFonts w:ascii="宋体" w:hAnsi="宋体" w:eastAsia="宋体" w:cs="Times New Roman"/>
                <w:color w:val="auto"/>
                <w:kern w:val="21"/>
              </w:rPr>
              <w:t>本项目永久占地内土壤满足《土壤环境质量 建设用地土壤污染风险管控标准（试行）》（GB36600-2018）中的标准要求，评价范围内农用地土壤满足《土壤环境质量 农用地土壤污染风险管控标准（试行）》（GB15618-2018）中的标准要求。</w:t>
            </w:r>
          </w:p>
        </w:tc>
        <w:tc>
          <w:tcPr>
            <w:tcW w:w="602" w:type="pct"/>
            <w:shd w:val="clear" w:color="auto" w:fill="auto"/>
            <w:vAlign w:val="center"/>
          </w:tcPr>
          <w:p w14:paraId="42B749CC">
            <w:pPr>
              <w:jc w:val="center"/>
              <w:rPr>
                <w:rFonts w:ascii="宋体" w:hAnsi="宋体" w:eastAsia="宋体" w:cs="Times New Roman"/>
                <w:color w:val="auto"/>
                <w:kern w:val="21"/>
              </w:rPr>
            </w:pPr>
          </w:p>
        </w:tc>
      </w:tr>
      <w:tr w14:paraId="3890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shd w:val="clear" w:color="auto" w:fill="auto"/>
            <w:vAlign w:val="center"/>
          </w:tcPr>
          <w:p w14:paraId="1738D9D9">
            <w:pPr>
              <w:jc w:val="center"/>
              <w:rPr>
                <w:rFonts w:ascii="宋体" w:hAnsi="宋体" w:eastAsia="宋体" w:cs="Times New Roman"/>
                <w:color w:val="auto"/>
                <w:kern w:val="21"/>
              </w:rPr>
            </w:pPr>
            <w:r>
              <w:rPr>
                <w:rFonts w:ascii="宋体" w:hAnsi="宋体" w:eastAsia="宋体" w:cs="Times New Roman"/>
                <w:color w:val="auto"/>
                <w:kern w:val="21"/>
              </w:rPr>
              <w:t>影</w:t>
            </w:r>
          </w:p>
          <w:p w14:paraId="7B0A0B5B">
            <w:pPr>
              <w:jc w:val="center"/>
              <w:rPr>
                <w:rFonts w:ascii="宋体" w:hAnsi="宋体" w:eastAsia="宋体" w:cs="Times New Roman"/>
                <w:color w:val="auto"/>
                <w:kern w:val="21"/>
              </w:rPr>
            </w:pPr>
            <w:r>
              <w:rPr>
                <w:rFonts w:ascii="宋体" w:hAnsi="宋体" w:eastAsia="宋体" w:cs="Times New Roman"/>
                <w:color w:val="auto"/>
                <w:kern w:val="21"/>
              </w:rPr>
              <w:t>响</w:t>
            </w:r>
          </w:p>
          <w:p w14:paraId="4B62A4BC">
            <w:pPr>
              <w:jc w:val="center"/>
              <w:rPr>
                <w:rFonts w:ascii="宋体" w:hAnsi="宋体" w:eastAsia="宋体" w:cs="Times New Roman"/>
                <w:color w:val="auto"/>
                <w:kern w:val="21"/>
              </w:rPr>
            </w:pPr>
            <w:r>
              <w:rPr>
                <w:rFonts w:ascii="宋体" w:hAnsi="宋体" w:eastAsia="宋体" w:cs="Times New Roman"/>
                <w:color w:val="auto"/>
                <w:kern w:val="21"/>
              </w:rPr>
              <w:t>预</w:t>
            </w:r>
          </w:p>
          <w:p w14:paraId="225691BF">
            <w:pPr>
              <w:jc w:val="center"/>
              <w:rPr>
                <w:rFonts w:ascii="宋体" w:hAnsi="宋体" w:eastAsia="宋体" w:cs="Times New Roman"/>
                <w:color w:val="auto"/>
                <w:kern w:val="21"/>
              </w:rPr>
            </w:pPr>
            <w:r>
              <w:rPr>
                <w:rFonts w:ascii="宋体" w:hAnsi="宋体" w:eastAsia="宋体" w:cs="Times New Roman"/>
                <w:color w:val="auto"/>
                <w:kern w:val="21"/>
              </w:rPr>
              <w:t>测</w:t>
            </w:r>
          </w:p>
        </w:tc>
        <w:tc>
          <w:tcPr>
            <w:tcW w:w="917" w:type="pct"/>
            <w:shd w:val="clear" w:color="auto" w:fill="auto"/>
            <w:vAlign w:val="center"/>
          </w:tcPr>
          <w:p w14:paraId="6E2210DE">
            <w:pPr>
              <w:jc w:val="center"/>
              <w:rPr>
                <w:rFonts w:ascii="宋体" w:hAnsi="宋体" w:eastAsia="宋体" w:cs="Times New Roman"/>
                <w:color w:val="auto"/>
                <w:kern w:val="21"/>
              </w:rPr>
            </w:pPr>
            <w:r>
              <w:rPr>
                <w:rFonts w:ascii="宋体" w:hAnsi="宋体" w:eastAsia="宋体" w:cs="Times New Roman"/>
                <w:color w:val="auto"/>
                <w:kern w:val="21"/>
              </w:rPr>
              <w:t>预测方法</w:t>
            </w:r>
          </w:p>
        </w:tc>
        <w:tc>
          <w:tcPr>
            <w:tcW w:w="3232" w:type="pct"/>
            <w:gridSpan w:val="6"/>
            <w:shd w:val="clear" w:color="auto" w:fill="auto"/>
            <w:vAlign w:val="center"/>
          </w:tcPr>
          <w:p w14:paraId="2BEE159A">
            <w:pPr>
              <w:jc w:val="center"/>
              <w:rPr>
                <w:rFonts w:ascii="宋体" w:hAnsi="宋体" w:eastAsia="宋体" w:cs="Times New Roman"/>
                <w:color w:val="auto"/>
                <w:kern w:val="21"/>
              </w:rPr>
            </w:pPr>
            <w:r>
              <w:rPr>
                <w:rFonts w:ascii="宋体" w:hAnsi="宋体" w:eastAsia="宋体" w:cs="Times New Roman"/>
                <w:color w:val="auto"/>
                <w:kern w:val="21"/>
              </w:rPr>
              <w:t>附录E□；附录F□；其他</w:t>
            </w:r>
            <w:r>
              <w:rPr>
                <w:rFonts w:ascii="Segoe UI Emoji" w:hAnsi="Segoe UI Emoji" w:eastAsia="宋体" w:cs="Segoe UI Emoji"/>
                <w:color w:val="auto"/>
                <w:kern w:val="21"/>
              </w:rPr>
              <w:t>☑</w:t>
            </w:r>
          </w:p>
        </w:tc>
        <w:tc>
          <w:tcPr>
            <w:tcW w:w="602" w:type="pct"/>
            <w:shd w:val="clear" w:color="auto" w:fill="auto"/>
            <w:vAlign w:val="center"/>
          </w:tcPr>
          <w:p w14:paraId="67BF7FA6">
            <w:pPr>
              <w:jc w:val="center"/>
              <w:rPr>
                <w:rFonts w:ascii="宋体" w:hAnsi="宋体" w:eastAsia="宋体" w:cs="Times New Roman"/>
                <w:color w:val="auto"/>
                <w:kern w:val="21"/>
              </w:rPr>
            </w:pPr>
          </w:p>
        </w:tc>
      </w:tr>
      <w:tr w14:paraId="2D98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290D7FC7">
            <w:pPr>
              <w:jc w:val="center"/>
              <w:rPr>
                <w:rFonts w:ascii="宋体" w:hAnsi="宋体" w:eastAsia="宋体" w:cs="Times New Roman"/>
                <w:color w:val="auto"/>
                <w:kern w:val="21"/>
              </w:rPr>
            </w:pPr>
          </w:p>
        </w:tc>
        <w:tc>
          <w:tcPr>
            <w:tcW w:w="917" w:type="pct"/>
            <w:shd w:val="clear" w:color="auto" w:fill="auto"/>
            <w:vAlign w:val="center"/>
          </w:tcPr>
          <w:p w14:paraId="05EBC492">
            <w:pPr>
              <w:jc w:val="center"/>
              <w:rPr>
                <w:rFonts w:ascii="宋体" w:hAnsi="宋体" w:eastAsia="宋体" w:cs="Times New Roman"/>
                <w:color w:val="auto"/>
                <w:kern w:val="21"/>
              </w:rPr>
            </w:pPr>
            <w:r>
              <w:rPr>
                <w:rFonts w:ascii="宋体" w:hAnsi="宋体" w:eastAsia="宋体" w:cs="Times New Roman"/>
                <w:color w:val="auto"/>
                <w:kern w:val="21"/>
              </w:rPr>
              <w:t>预测分析内容</w:t>
            </w:r>
          </w:p>
        </w:tc>
        <w:tc>
          <w:tcPr>
            <w:tcW w:w="3232" w:type="pct"/>
            <w:gridSpan w:val="6"/>
            <w:shd w:val="clear" w:color="auto" w:fill="auto"/>
            <w:vAlign w:val="center"/>
          </w:tcPr>
          <w:p w14:paraId="40E0CF42">
            <w:pPr>
              <w:jc w:val="center"/>
              <w:rPr>
                <w:rFonts w:ascii="宋体" w:hAnsi="宋体" w:eastAsia="宋体" w:cs="Times New Roman"/>
                <w:color w:val="auto"/>
                <w:kern w:val="21"/>
              </w:rPr>
            </w:pPr>
            <w:r>
              <w:rPr>
                <w:rFonts w:ascii="宋体" w:hAnsi="宋体" w:eastAsia="宋体" w:cs="Times New Roman"/>
                <w:color w:val="auto"/>
                <w:kern w:val="21"/>
              </w:rPr>
              <w:t>影响范围（）影响程度（）</w:t>
            </w:r>
          </w:p>
        </w:tc>
        <w:tc>
          <w:tcPr>
            <w:tcW w:w="602" w:type="pct"/>
            <w:shd w:val="clear" w:color="auto" w:fill="auto"/>
            <w:vAlign w:val="center"/>
          </w:tcPr>
          <w:p w14:paraId="0B7BF5FD">
            <w:pPr>
              <w:jc w:val="center"/>
              <w:rPr>
                <w:rFonts w:ascii="宋体" w:hAnsi="宋体" w:eastAsia="宋体" w:cs="Times New Roman"/>
                <w:color w:val="auto"/>
                <w:kern w:val="21"/>
              </w:rPr>
            </w:pPr>
          </w:p>
        </w:tc>
      </w:tr>
      <w:tr w14:paraId="2725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54D8786D">
            <w:pPr>
              <w:jc w:val="center"/>
              <w:rPr>
                <w:rFonts w:ascii="宋体" w:hAnsi="宋体" w:eastAsia="宋体" w:cs="Times New Roman"/>
                <w:color w:val="auto"/>
                <w:kern w:val="21"/>
              </w:rPr>
            </w:pPr>
          </w:p>
        </w:tc>
        <w:tc>
          <w:tcPr>
            <w:tcW w:w="917" w:type="pct"/>
            <w:shd w:val="clear" w:color="auto" w:fill="auto"/>
            <w:vAlign w:val="center"/>
          </w:tcPr>
          <w:p w14:paraId="0F90D5AD">
            <w:pPr>
              <w:jc w:val="center"/>
              <w:rPr>
                <w:rFonts w:ascii="宋体" w:hAnsi="宋体" w:eastAsia="宋体" w:cs="Times New Roman"/>
                <w:color w:val="auto"/>
                <w:kern w:val="21"/>
              </w:rPr>
            </w:pPr>
            <w:r>
              <w:rPr>
                <w:rFonts w:ascii="宋体" w:hAnsi="宋体" w:eastAsia="宋体" w:cs="Times New Roman"/>
                <w:color w:val="auto"/>
                <w:kern w:val="21"/>
              </w:rPr>
              <w:t>预测结论</w:t>
            </w:r>
          </w:p>
        </w:tc>
        <w:tc>
          <w:tcPr>
            <w:tcW w:w="3232" w:type="pct"/>
            <w:gridSpan w:val="6"/>
            <w:shd w:val="clear" w:color="auto" w:fill="auto"/>
            <w:vAlign w:val="center"/>
          </w:tcPr>
          <w:p w14:paraId="42620CCA">
            <w:pPr>
              <w:jc w:val="center"/>
              <w:rPr>
                <w:rFonts w:ascii="宋体" w:hAnsi="宋体" w:eastAsia="宋体" w:cs="Times New Roman"/>
                <w:color w:val="auto"/>
                <w:kern w:val="21"/>
              </w:rPr>
            </w:pPr>
            <w:r>
              <w:rPr>
                <w:rFonts w:ascii="宋体" w:hAnsi="宋体" w:eastAsia="宋体" w:cs="Times New Roman"/>
                <w:color w:val="auto"/>
                <w:kern w:val="21"/>
              </w:rPr>
              <w:t>达标结论：a）</w:t>
            </w:r>
            <w:r>
              <w:rPr>
                <w:rFonts w:ascii="Segoe UI Emoji" w:hAnsi="Segoe UI Emoji" w:eastAsia="宋体" w:cs="Segoe UI Emoji"/>
                <w:color w:val="auto"/>
                <w:kern w:val="21"/>
              </w:rPr>
              <w:t>☑</w:t>
            </w:r>
            <w:r>
              <w:rPr>
                <w:rFonts w:ascii="宋体" w:hAnsi="宋体" w:eastAsia="宋体" w:cs="Times New Roman"/>
                <w:color w:val="auto"/>
                <w:kern w:val="21"/>
              </w:rPr>
              <w:t>；b）□；c）□</w:t>
            </w:r>
          </w:p>
          <w:p w14:paraId="46916B0A">
            <w:pPr>
              <w:jc w:val="center"/>
              <w:rPr>
                <w:rFonts w:ascii="宋体" w:hAnsi="宋体" w:eastAsia="宋体" w:cs="Times New Roman"/>
                <w:color w:val="auto"/>
                <w:kern w:val="21"/>
              </w:rPr>
            </w:pPr>
            <w:r>
              <w:rPr>
                <w:rFonts w:ascii="宋体" w:hAnsi="宋体" w:eastAsia="宋体" w:cs="Times New Roman"/>
                <w:color w:val="auto"/>
                <w:kern w:val="21"/>
              </w:rPr>
              <w:t>不达标结论：a）□；b）□</w:t>
            </w:r>
          </w:p>
        </w:tc>
        <w:tc>
          <w:tcPr>
            <w:tcW w:w="602" w:type="pct"/>
            <w:shd w:val="clear" w:color="auto" w:fill="auto"/>
            <w:vAlign w:val="center"/>
          </w:tcPr>
          <w:p w14:paraId="53C42750">
            <w:pPr>
              <w:jc w:val="center"/>
              <w:rPr>
                <w:rFonts w:ascii="宋体" w:hAnsi="宋体" w:eastAsia="宋体" w:cs="Times New Roman"/>
                <w:color w:val="auto"/>
                <w:kern w:val="21"/>
              </w:rPr>
            </w:pPr>
          </w:p>
        </w:tc>
      </w:tr>
      <w:tr w14:paraId="3BCD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restart"/>
            <w:shd w:val="clear" w:color="auto" w:fill="auto"/>
            <w:vAlign w:val="center"/>
          </w:tcPr>
          <w:p w14:paraId="52E07FEA">
            <w:pPr>
              <w:jc w:val="center"/>
              <w:rPr>
                <w:rFonts w:ascii="宋体" w:hAnsi="宋体" w:eastAsia="宋体" w:cs="Times New Roman"/>
                <w:color w:val="auto"/>
                <w:kern w:val="21"/>
              </w:rPr>
            </w:pPr>
            <w:r>
              <w:rPr>
                <w:rFonts w:ascii="宋体" w:hAnsi="宋体" w:eastAsia="宋体" w:cs="Times New Roman"/>
                <w:color w:val="auto"/>
                <w:kern w:val="21"/>
              </w:rPr>
              <w:t>防</w:t>
            </w:r>
          </w:p>
          <w:p w14:paraId="09981F89">
            <w:pPr>
              <w:jc w:val="center"/>
              <w:rPr>
                <w:rFonts w:ascii="宋体" w:hAnsi="宋体" w:eastAsia="宋体" w:cs="Times New Roman"/>
                <w:color w:val="auto"/>
                <w:kern w:val="21"/>
              </w:rPr>
            </w:pPr>
            <w:r>
              <w:rPr>
                <w:rFonts w:ascii="宋体" w:hAnsi="宋体" w:eastAsia="宋体" w:cs="Times New Roman"/>
                <w:color w:val="auto"/>
                <w:kern w:val="21"/>
              </w:rPr>
              <w:t>治</w:t>
            </w:r>
          </w:p>
          <w:p w14:paraId="2BFE70FC">
            <w:pPr>
              <w:jc w:val="center"/>
              <w:rPr>
                <w:rFonts w:ascii="宋体" w:hAnsi="宋体" w:eastAsia="宋体" w:cs="Times New Roman"/>
                <w:color w:val="auto"/>
                <w:kern w:val="21"/>
              </w:rPr>
            </w:pPr>
            <w:r>
              <w:rPr>
                <w:rFonts w:ascii="宋体" w:hAnsi="宋体" w:eastAsia="宋体" w:cs="Times New Roman"/>
                <w:color w:val="auto"/>
                <w:kern w:val="21"/>
              </w:rPr>
              <w:t>措</w:t>
            </w:r>
          </w:p>
          <w:p w14:paraId="5B413F73">
            <w:pPr>
              <w:jc w:val="center"/>
              <w:rPr>
                <w:rFonts w:ascii="宋体" w:hAnsi="宋体" w:eastAsia="宋体" w:cs="Times New Roman"/>
                <w:color w:val="auto"/>
                <w:kern w:val="21"/>
              </w:rPr>
            </w:pPr>
            <w:r>
              <w:rPr>
                <w:rFonts w:ascii="宋体" w:hAnsi="宋体" w:eastAsia="宋体" w:cs="Times New Roman"/>
                <w:color w:val="auto"/>
                <w:kern w:val="21"/>
              </w:rPr>
              <w:t>施</w:t>
            </w:r>
          </w:p>
        </w:tc>
        <w:tc>
          <w:tcPr>
            <w:tcW w:w="917" w:type="pct"/>
            <w:shd w:val="clear" w:color="auto" w:fill="auto"/>
            <w:vAlign w:val="center"/>
          </w:tcPr>
          <w:p w14:paraId="712BF8B0">
            <w:pPr>
              <w:jc w:val="center"/>
              <w:rPr>
                <w:rFonts w:ascii="宋体" w:hAnsi="宋体" w:eastAsia="宋体" w:cs="Times New Roman"/>
                <w:color w:val="auto"/>
                <w:kern w:val="21"/>
              </w:rPr>
            </w:pPr>
            <w:r>
              <w:rPr>
                <w:rFonts w:ascii="宋体" w:hAnsi="宋体" w:eastAsia="宋体" w:cs="Times New Roman"/>
                <w:color w:val="auto"/>
                <w:kern w:val="21"/>
              </w:rPr>
              <w:t>防控措施</w:t>
            </w:r>
          </w:p>
        </w:tc>
        <w:tc>
          <w:tcPr>
            <w:tcW w:w="3232" w:type="pct"/>
            <w:gridSpan w:val="6"/>
            <w:shd w:val="clear" w:color="auto" w:fill="auto"/>
            <w:vAlign w:val="center"/>
          </w:tcPr>
          <w:p w14:paraId="3EF076F1">
            <w:pPr>
              <w:jc w:val="center"/>
              <w:rPr>
                <w:rFonts w:ascii="宋体" w:hAnsi="宋体" w:eastAsia="宋体" w:cs="Times New Roman"/>
                <w:color w:val="auto"/>
                <w:kern w:val="21"/>
              </w:rPr>
            </w:pPr>
            <w:r>
              <w:rPr>
                <w:rFonts w:ascii="宋体" w:hAnsi="宋体" w:eastAsia="宋体" w:cs="Times New Roman"/>
                <w:color w:val="auto"/>
                <w:kern w:val="21"/>
              </w:rPr>
              <w:t>土壤环境质量现状保障□；源头控制</w:t>
            </w:r>
            <w:r>
              <w:rPr>
                <w:rFonts w:ascii="Segoe UI Emoji" w:hAnsi="Segoe UI Emoji" w:eastAsia="宋体" w:cs="Segoe UI Emoji"/>
                <w:color w:val="auto"/>
                <w:kern w:val="21"/>
              </w:rPr>
              <w:t>☑</w:t>
            </w:r>
            <w:r>
              <w:rPr>
                <w:rFonts w:ascii="宋体" w:hAnsi="宋体" w:eastAsia="宋体" w:cs="Times New Roman"/>
                <w:color w:val="auto"/>
                <w:kern w:val="21"/>
              </w:rPr>
              <w:t>；过程防控</w:t>
            </w:r>
            <w:r>
              <w:rPr>
                <w:rFonts w:ascii="Segoe UI Emoji" w:hAnsi="Segoe UI Emoji" w:eastAsia="宋体" w:cs="Segoe UI Emoji"/>
                <w:color w:val="auto"/>
                <w:kern w:val="21"/>
              </w:rPr>
              <w:t>☑</w:t>
            </w:r>
            <w:r>
              <w:rPr>
                <w:rFonts w:ascii="宋体" w:hAnsi="宋体" w:eastAsia="宋体" w:cs="Times New Roman"/>
                <w:color w:val="auto"/>
                <w:kern w:val="21"/>
              </w:rPr>
              <w:t>；其他（跟踪监测）</w:t>
            </w:r>
          </w:p>
        </w:tc>
        <w:tc>
          <w:tcPr>
            <w:tcW w:w="602" w:type="pct"/>
            <w:shd w:val="clear" w:color="auto" w:fill="auto"/>
            <w:vAlign w:val="center"/>
          </w:tcPr>
          <w:p w14:paraId="2A0FD0E5">
            <w:pPr>
              <w:jc w:val="center"/>
              <w:rPr>
                <w:rFonts w:ascii="宋体" w:hAnsi="宋体" w:eastAsia="宋体" w:cs="Times New Roman"/>
                <w:color w:val="auto"/>
                <w:kern w:val="21"/>
              </w:rPr>
            </w:pPr>
          </w:p>
        </w:tc>
      </w:tr>
      <w:tr w14:paraId="540A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5DE91AF3">
            <w:pPr>
              <w:jc w:val="center"/>
              <w:rPr>
                <w:rFonts w:ascii="宋体" w:hAnsi="宋体" w:eastAsia="宋体" w:cs="Times New Roman"/>
                <w:color w:val="auto"/>
                <w:kern w:val="21"/>
              </w:rPr>
            </w:pPr>
          </w:p>
        </w:tc>
        <w:tc>
          <w:tcPr>
            <w:tcW w:w="917" w:type="pct"/>
            <w:vMerge w:val="restart"/>
            <w:shd w:val="clear" w:color="auto" w:fill="auto"/>
            <w:vAlign w:val="center"/>
          </w:tcPr>
          <w:p w14:paraId="52BBBA63">
            <w:pPr>
              <w:jc w:val="center"/>
              <w:rPr>
                <w:rFonts w:ascii="宋体" w:hAnsi="宋体" w:eastAsia="宋体" w:cs="Times New Roman"/>
                <w:color w:val="auto"/>
                <w:kern w:val="21"/>
              </w:rPr>
            </w:pPr>
            <w:r>
              <w:rPr>
                <w:rFonts w:ascii="宋体" w:hAnsi="宋体" w:eastAsia="宋体" w:cs="Times New Roman"/>
                <w:color w:val="auto"/>
                <w:kern w:val="21"/>
              </w:rPr>
              <w:t>跟踪监测</w:t>
            </w:r>
          </w:p>
        </w:tc>
        <w:tc>
          <w:tcPr>
            <w:tcW w:w="685" w:type="pct"/>
            <w:shd w:val="clear" w:color="auto" w:fill="auto"/>
            <w:vAlign w:val="center"/>
          </w:tcPr>
          <w:p w14:paraId="06EA4734">
            <w:pPr>
              <w:jc w:val="center"/>
              <w:rPr>
                <w:rFonts w:ascii="宋体" w:hAnsi="宋体" w:eastAsia="宋体" w:cs="Times New Roman"/>
                <w:color w:val="auto"/>
                <w:kern w:val="21"/>
              </w:rPr>
            </w:pPr>
            <w:r>
              <w:rPr>
                <w:rFonts w:ascii="宋体" w:hAnsi="宋体" w:eastAsia="宋体" w:cs="Times New Roman"/>
                <w:color w:val="auto"/>
                <w:kern w:val="21"/>
              </w:rPr>
              <w:t>监测点数</w:t>
            </w:r>
          </w:p>
        </w:tc>
        <w:tc>
          <w:tcPr>
            <w:tcW w:w="1820" w:type="pct"/>
            <w:gridSpan w:val="4"/>
            <w:shd w:val="clear" w:color="auto" w:fill="auto"/>
            <w:vAlign w:val="center"/>
          </w:tcPr>
          <w:p w14:paraId="64BA4432">
            <w:pPr>
              <w:jc w:val="center"/>
              <w:rPr>
                <w:rFonts w:ascii="宋体" w:hAnsi="宋体" w:eastAsia="宋体" w:cs="Times New Roman"/>
                <w:color w:val="auto"/>
                <w:kern w:val="21"/>
              </w:rPr>
            </w:pPr>
            <w:r>
              <w:rPr>
                <w:rFonts w:ascii="宋体" w:hAnsi="宋体" w:eastAsia="宋体" w:cs="Times New Roman"/>
                <w:color w:val="auto"/>
                <w:kern w:val="21"/>
              </w:rPr>
              <w:t>监测指标</w:t>
            </w:r>
          </w:p>
        </w:tc>
        <w:tc>
          <w:tcPr>
            <w:tcW w:w="728" w:type="pct"/>
            <w:shd w:val="clear" w:color="auto" w:fill="auto"/>
            <w:vAlign w:val="center"/>
          </w:tcPr>
          <w:p w14:paraId="58D715BE">
            <w:pPr>
              <w:jc w:val="center"/>
              <w:rPr>
                <w:rFonts w:ascii="宋体" w:hAnsi="宋体" w:eastAsia="宋体" w:cs="Times New Roman"/>
                <w:color w:val="auto"/>
                <w:kern w:val="21"/>
              </w:rPr>
            </w:pPr>
            <w:r>
              <w:rPr>
                <w:rFonts w:ascii="宋体" w:hAnsi="宋体" w:eastAsia="宋体" w:cs="Times New Roman"/>
                <w:color w:val="auto"/>
                <w:kern w:val="21"/>
              </w:rPr>
              <w:t>监测频次</w:t>
            </w:r>
          </w:p>
        </w:tc>
        <w:tc>
          <w:tcPr>
            <w:tcW w:w="602" w:type="pct"/>
            <w:shd w:val="clear" w:color="auto" w:fill="auto"/>
            <w:vAlign w:val="center"/>
          </w:tcPr>
          <w:p w14:paraId="4E6A0339">
            <w:pPr>
              <w:jc w:val="center"/>
              <w:rPr>
                <w:rFonts w:ascii="宋体" w:hAnsi="宋体" w:eastAsia="宋体" w:cs="Times New Roman"/>
                <w:color w:val="auto"/>
                <w:kern w:val="21"/>
              </w:rPr>
            </w:pPr>
          </w:p>
        </w:tc>
      </w:tr>
      <w:tr w14:paraId="31A8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3154F9FB">
            <w:pPr>
              <w:jc w:val="center"/>
              <w:rPr>
                <w:rFonts w:ascii="宋体" w:hAnsi="宋体" w:eastAsia="宋体" w:cs="Times New Roman"/>
                <w:color w:val="auto"/>
                <w:kern w:val="21"/>
              </w:rPr>
            </w:pPr>
          </w:p>
        </w:tc>
        <w:tc>
          <w:tcPr>
            <w:tcW w:w="917" w:type="pct"/>
            <w:vMerge w:val="continue"/>
            <w:shd w:val="clear" w:color="auto" w:fill="auto"/>
            <w:vAlign w:val="center"/>
          </w:tcPr>
          <w:p w14:paraId="2406E07C">
            <w:pPr>
              <w:jc w:val="center"/>
              <w:rPr>
                <w:rFonts w:ascii="宋体" w:hAnsi="宋体" w:eastAsia="宋体" w:cs="Times New Roman"/>
                <w:color w:val="auto"/>
                <w:kern w:val="21"/>
              </w:rPr>
            </w:pPr>
          </w:p>
        </w:tc>
        <w:tc>
          <w:tcPr>
            <w:tcW w:w="685" w:type="pct"/>
            <w:shd w:val="clear" w:color="auto" w:fill="auto"/>
            <w:vAlign w:val="center"/>
          </w:tcPr>
          <w:p w14:paraId="36DEC7C5">
            <w:pPr>
              <w:jc w:val="center"/>
              <w:rPr>
                <w:rFonts w:ascii="宋体" w:hAnsi="宋体" w:eastAsia="宋体" w:cs="Times New Roman"/>
                <w:color w:val="auto"/>
                <w:kern w:val="21"/>
              </w:rPr>
            </w:pPr>
            <w:r>
              <w:rPr>
                <w:rFonts w:ascii="宋体" w:hAnsi="宋体" w:eastAsia="宋体" w:cs="Times New Roman"/>
                <w:color w:val="auto"/>
                <w:kern w:val="21"/>
              </w:rPr>
              <w:t>3</w:t>
            </w:r>
          </w:p>
        </w:tc>
        <w:tc>
          <w:tcPr>
            <w:tcW w:w="1820" w:type="pct"/>
            <w:gridSpan w:val="4"/>
            <w:shd w:val="clear" w:color="auto" w:fill="auto"/>
            <w:vAlign w:val="center"/>
          </w:tcPr>
          <w:p w14:paraId="1BA2986D">
            <w:pPr>
              <w:jc w:val="center"/>
              <w:rPr>
                <w:rFonts w:ascii="宋体" w:hAnsi="宋体" w:eastAsia="宋体" w:cs="Times New Roman"/>
                <w:color w:val="auto"/>
                <w:kern w:val="21"/>
              </w:rPr>
            </w:pPr>
            <w:r>
              <w:rPr>
                <w:rFonts w:ascii="宋体" w:hAnsi="宋体" w:eastAsia="宋体" w:cs="Times New Roman"/>
                <w:color w:val="auto"/>
                <w:kern w:val="21"/>
              </w:rPr>
              <w:t>pH、石油类、石油烃（C</w:t>
            </w:r>
            <w:r>
              <w:rPr>
                <w:rFonts w:ascii="宋体" w:hAnsi="宋体" w:eastAsia="宋体" w:cs="Times New Roman"/>
                <w:color w:val="auto"/>
                <w:kern w:val="21"/>
                <w:vertAlign w:val="subscript"/>
              </w:rPr>
              <w:t>6</w:t>
            </w:r>
            <w:r>
              <w:rPr>
                <w:rFonts w:ascii="宋体" w:hAnsi="宋体" w:eastAsia="宋体" w:cs="Times New Roman"/>
                <w:color w:val="auto"/>
                <w:kern w:val="21"/>
              </w:rPr>
              <w:t>～C</w:t>
            </w:r>
            <w:r>
              <w:rPr>
                <w:rFonts w:ascii="宋体" w:hAnsi="宋体" w:eastAsia="宋体" w:cs="Times New Roman"/>
                <w:color w:val="auto"/>
                <w:kern w:val="21"/>
                <w:vertAlign w:val="subscript"/>
              </w:rPr>
              <w:t>9</w:t>
            </w:r>
            <w:r>
              <w:rPr>
                <w:rFonts w:ascii="宋体" w:hAnsi="宋体" w:eastAsia="宋体" w:cs="Times New Roman"/>
                <w:color w:val="auto"/>
                <w:kern w:val="21"/>
              </w:rPr>
              <w:t>）、石油烃（C</w:t>
            </w:r>
            <w:r>
              <w:rPr>
                <w:rFonts w:ascii="宋体" w:hAnsi="宋体" w:eastAsia="宋体" w:cs="Times New Roman"/>
                <w:color w:val="auto"/>
                <w:kern w:val="21"/>
                <w:vertAlign w:val="subscript"/>
              </w:rPr>
              <w:t>10</w:t>
            </w:r>
            <w:r>
              <w:rPr>
                <w:rFonts w:ascii="宋体" w:hAnsi="宋体" w:eastAsia="宋体" w:cs="Times New Roman"/>
                <w:color w:val="auto"/>
                <w:kern w:val="21"/>
              </w:rPr>
              <w:t>～C</w:t>
            </w:r>
            <w:r>
              <w:rPr>
                <w:rFonts w:ascii="宋体" w:hAnsi="宋体" w:eastAsia="宋体" w:cs="Times New Roman"/>
                <w:color w:val="auto"/>
                <w:kern w:val="21"/>
                <w:vertAlign w:val="subscript"/>
              </w:rPr>
              <w:t>40</w:t>
            </w:r>
            <w:r>
              <w:rPr>
                <w:rFonts w:ascii="宋体" w:hAnsi="宋体" w:eastAsia="宋体" w:cs="Times New Roman"/>
                <w:color w:val="auto"/>
                <w:kern w:val="21"/>
              </w:rPr>
              <w:t>）、砷、六价铬</w:t>
            </w:r>
          </w:p>
        </w:tc>
        <w:tc>
          <w:tcPr>
            <w:tcW w:w="728" w:type="pct"/>
            <w:shd w:val="clear" w:color="auto" w:fill="auto"/>
            <w:vAlign w:val="center"/>
          </w:tcPr>
          <w:p w14:paraId="47BE487E">
            <w:pPr>
              <w:jc w:val="center"/>
              <w:rPr>
                <w:rFonts w:ascii="宋体" w:hAnsi="宋体" w:eastAsia="宋体" w:cs="Times New Roman"/>
                <w:color w:val="auto"/>
                <w:kern w:val="21"/>
              </w:rPr>
            </w:pPr>
            <w:r>
              <w:rPr>
                <w:rFonts w:ascii="宋体" w:hAnsi="宋体" w:eastAsia="宋体" w:cs="Times New Roman"/>
                <w:color w:val="auto"/>
                <w:kern w:val="21"/>
              </w:rPr>
              <w:t>1次/年</w:t>
            </w:r>
          </w:p>
        </w:tc>
        <w:tc>
          <w:tcPr>
            <w:tcW w:w="602" w:type="pct"/>
            <w:shd w:val="clear" w:color="auto" w:fill="auto"/>
            <w:vAlign w:val="center"/>
          </w:tcPr>
          <w:p w14:paraId="69EFDAC5">
            <w:pPr>
              <w:jc w:val="center"/>
              <w:rPr>
                <w:rFonts w:ascii="宋体" w:hAnsi="宋体" w:eastAsia="宋体" w:cs="Times New Roman"/>
                <w:color w:val="auto"/>
                <w:kern w:val="21"/>
              </w:rPr>
            </w:pPr>
          </w:p>
        </w:tc>
      </w:tr>
      <w:tr w14:paraId="0E30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 w:type="pct"/>
            <w:vMerge w:val="continue"/>
            <w:shd w:val="clear" w:color="auto" w:fill="auto"/>
            <w:vAlign w:val="center"/>
          </w:tcPr>
          <w:p w14:paraId="2CE75D0C">
            <w:pPr>
              <w:jc w:val="center"/>
              <w:rPr>
                <w:rFonts w:ascii="宋体" w:hAnsi="宋体" w:eastAsia="宋体" w:cs="Times New Roman"/>
                <w:color w:val="auto"/>
                <w:kern w:val="21"/>
              </w:rPr>
            </w:pPr>
          </w:p>
        </w:tc>
        <w:tc>
          <w:tcPr>
            <w:tcW w:w="917" w:type="pct"/>
            <w:shd w:val="clear" w:color="auto" w:fill="auto"/>
            <w:vAlign w:val="center"/>
          </w:tcPr>
          <w:p w14:paraId="42E95DBE">
            <w:pPr>
              <w:jc w:val="center"/>
              <w:rPr>
                <w:rFonts w:ascii="宋体" w:hAnsi="宋体" w:eastAsia="宋体" w:cs="Times New Roman"/>
                <w:color w:val="auto"/>
                <w:kern w:val="21"/>
              </w:rPr>
            </w:pPr>
            <w:r>
              <w:rPr>
                <w:rFonts w:ascii="宋体" w:hAnsi="宋体" w:eastAsia="宋体" w:cs="Times New Roman"/>
                <w:color w:val="auto"/>
                <w:kern w:val="21"/>
              </w:rPr>
              <w:t>信息公开指标</w:t>
            </w:r>
          </w:p>
        </w:tc>
        <w:tc>
          <w:tcPr>
            <w:tcW w:w="3232" w:type="pct"/>
            <w:gridSpan w:val="6"/>
            <w:shd w:val="clear" w:color="auto" w:fill="auto"/>
            <w:vAlign w:val="center"/>
          </w:tcPr>
          <w:p w14:paraId="0DBE0756">
            <w:pPr>
              <w:jc w:val="center"/>
              <w:rPr>
                <w:rFonts w:ascii="宋体" w:hAnsi="宋体" w:eastAsia="宋体" w:cs="Times New Roman"/>
                <w:color w:val="auto"/>
                <w:kern w:val="21"/>
              </w:rPr>
            </w:pPr>
            <w:r>
              <w:rPr>
                <w:rFonts w:ascii="宋体" w:hAnsi="宋体" w:eastAsia="宋体" w:cs="Times New Roman"/>
                <w:color w:val="auto"/>
                <w:kern w:val="21"/>
              </w:rPr>
              <w:t>监测点位和监测值</w:t>
            </w:r>
          </w:p>
        </w:tc>
        <w:tc>
          <w:tcPr>
            <w:tcW w:w="602" w:type="pct"/>
            <w:shd w:val="clear" w:color="auto" w:fill="auto"/>
            <w:vAlign w:val="center"/>
          </w:tcPr>
          <w:p w14:paraId="4E2C2264">
            <w:pPr>
              <w:jc w:val="center"/>
              <w:rPr>
                <w:rFonts w:ascii="宋体" w:hAnsi="宋体" w:eastAsia="宋体" w:cs="Times New Roman"/>
                <w:color w:val="auto"/>
                <w:kern w:val="21"/>
              </w:rPr>
            </w:pPr>
          </w:p>
        </w:tc>
      </w:tr>
      <w:tr w14:paraId="53A5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gridSpan w:val="2"/>
            <w:shd w:val="clear" w:color="auto" w:fill="auto"/>
            <w:vAlign w:val="center"/>
          </w:tcPr>
          <w:p w14:paraId="6C21975B">
            <w:pPr>
              <w:jc w:val="center"/>
              <w:rPr>
                <w:rFonts w:ascii="宋体" w:hAnsi="宋体" w:eastAsia="宋体" w:cs="Times New Roman"/>
                <w:color w:val="auto"/>
                <w:kern w:val="21"/>
              </w:rPr>
            </w:pPr>
            <w:r>
              <w:rPr>
                <w:rFonts w:ascii="宋体" w:hAnsi="宋体" w:eastAsia="宋体" w:cs="Times New Roman"/>
                <w:color w:val="auto"/>
                <w:kern w:val="21"/>
              </w:rPr>
              <w:t>评价结论</w:t>
            </w:r>
          </w:p>
        </w:tc>
        <w:tc>
          <w:tcPr>
            <w:tcW w:w="3232" w:type="pct"/>
            <w:gridSpan w:val="6"/>
            <w:shd w:val="clear" w:color="auto" w:fill="auto"/>
            <w:vAlign w:val="center"/>
          </w:tcPr>
          <w:p w14:paraId="5FB87604">
            <w:pPr>
              <w:jc w:val="center"/>
              <w:rPr>
                <w:rFonts w:ascii="宋体" w:hAnsi="宋体" w:eastAsia="宋体" w:cs="Times New Roman"/>
                <w:color w:val="auto"/>
                <w:kern w:val="21"/>
              </w:rPr>
            </w:pPr>
            <w:r>
              <w:rPr>
                <w:rFonts w:ascii="宋体" w:hAnsi="宋体" w:eastAsia="宋体" w:cs="Times New Roman"/>
                <w:color w:val="auto"/>
                <w:kern w:val="21"/>
              </w:rPr>
              <w:t>采取环评提出的措施，影响可接受</w:t>
            </w:r>
          </w:p>
        </w:tc>
        <w:tc>
          <w:tcPr>
            <w:tcW w:w="602" w:type="pct"/>
            <w:shd w:val="clear" w:color="auto" w:fill="auto"/>
            <w:vAlign w:val="center"/>
          </w:tcPr>
          <w:p w14:paraId="42947050">
            <w:pPr>
              <w:jc w:val="center"/>
              <w:rPr>
                <w:rFonts w:ascii="宋体" w:hAnsi="宋体" w:eastAsia="宋体" w:cs="Times New Roman"/>
                <w:color w:val="auto"/>
                <w:kern w:val="21"/>
              </w:rPr>
            </w:pPr>
          </w:p>
        </w:tc>
      </w:tr>
      <w:tr w14:paraId="371C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shd w:val="clear" w:color="auto" w:fill="auto"/>
            <w:vAlign w:val="center"/>
          </w:tcPr>
          <w:p w14:paraId="1020FE80">
            <w:pPr>
              <w:jc w:val="center"/>
              <w:rPr>
                <w:rFonts w:ascii="宋体" w:hAnsi="宋体" w:eastAsia="宋体" w:cs="Times New Roman"/>
                <w:color w:val="auto"/>
                <w:kern w:val="21"/>
              </w:rPr>
            </w:pPr>
            <w:r>
              <w:rPr>
                <w:rFonts w:ascii="宋体" w:hAnsi="宋体" w:eastAsia="宋体" w:cs="Times New Roman"/>
                <w:color w:val="auto"/>
                <w:kern w:val="21"/>
              </w:rPr>
              <w:t>注1：“□”为勾选项，可√；“（ ）”为内容填写项；“备注”为其他补充内容。</w:t>
            </w:r>
          </w:p>
          <w:p w14:paraId="5CD01E02">
            <w:pPr>
              <w:jc w:val="center"/>
              <w:rPr>
                <w:rFonts w:ascii="宋体" w:hAnsi="宋体" w:eastAsia="宋体" w:cs="Times New Roman"/>
                <w:color w:val="auto"/>
                <w:kern w:val="21"/>
              </w:rPr>
            </w:pPr>
            <w:r>
              <w:rPr>
                <w:rFonts w:ascii="宋体" w:hAnsi="宋体" w:eastAsia="宋体" w:cs="Times New Roman"/>
                <w:color w:val="auto"/>
                <w:kern w:val="21"/>
              </w:rPr>
              <w:t>注2：需要分别开展土壤环境影响评级工作的，分别填写自查表。</w:t>
            </w:r>
          </w:p>
        </w:tc>
      </w:tr>
    </w:tbl>
    <w:p w14:paraId="6EA87209">
      <w:pPr>
        <w:spacing w:line="440" w:lineRule="exact"/>
        <w:outlineLvl w:val="1"/>
        <w:rPr>
          <w:rFonts w:ascii="宋体" w:hAnsi="宋体" w:eastAsia="宋体"/>
          <w:color w:val="auto"/>
        </w:rPr>
        <w:sectPr>
          <w:pgSz w:w="11906" w:h="16838"/>
          <w:pgMar w:top="1440" w:right="1797" w:bottom="1304" w:left="1797" w:header="1021" w:footer="851" w:gutter="0"/>
          <w:cols w:space="425" w:num="1"/>
          <w:docGrid w:type="lines" w:linePitch="312" w:charSpace="0"/>
        </w:sectPr>
      </w:pPr>
    </w:p>
    <w:p w14:paraId="1B7CCCA2">
      <w:pPr>
        <w:pStyle w:val="5"/>
        <w:rPr>
          <w:bCs w:val="0"/>
          <w:color w:val="auto"/>
        </w:rPr>
      </w:pPr>
      <w:bookmarkStart w:id="2264" w:name="_Toc27247"/>
      <w:r>
        <w:rPr>
          <w:bCs w:val="0"/>
          <w:color w:val="auto"/>
        </w:rPr>
        <w:t>附表4：地表水自查表</w:t>
      </w:r>
      <w:bookmarkEnd w:id="2264"/>
    </w:p>
    <w:tbl>
      <w:tblPr>
        <w:tblStyle w:val="8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901"/>
        <w:gridCol w:w="1357"/>
        <w:gridCol w:w="602"/>
        <w:gridCol w:w="453"/>
        <w:gridCol w:w="150"/>
        <w:gridCol w:w="303"/>
        <w:gridCol w:w="1055"/>
        <w:gridCol w:w="603"/>
        <w:gridCol w:w="299"/>
        <w:gridCol w:w="303"/>
        <w:gridCol w:w="904"/>
        <w:gridCol w:w="159"/>
        <w:gridCol w:w="294"/>
        <w:gridCol w:w="1259"/>
      </w:tblGrid>
      <w:tr w14:paraId="3782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9" w:type="dxa"/>
            <w:gridSpan w:val="2"/>
            <w:vAlign w:val="center"/>
          </w:tcPr>
          <w:p w14:paraId="1DC312E2">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工作内容</w:t>
            </w:r>
          </w:p>
        </w:tc>
        <w:tc>
          <w:tcPr>
            <w:tcW w:w="7741" w:type="dxa"/>
            <w:gridSpan w:val="13"/>
            <w:vAlign w:val="center"/>
          </w:tcPr>
          <w:p w14:paraId="5FB82C23">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自查项目</w:t>
            </w:r>
          </w:p>
        </w:tc>
      </w:tr>
      <w:tr w14:paraId="02BF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restart"/>
            <w:vAlign w:val="center"/>
          </w:tcPr>
          <w:p w14:paraId="13F3E1EB">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影</w:t>
            </w:r>
          </w:p>
          <w:p w14:paraId="0E2EA24E">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响</w:t>
            </w:r>
          </w:p>
          <w:p w14:paraId="2E154B13">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识</w:t>
            </w:r>
          </w:p>
          <w:p w14:paraId="01EDEF59">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别</w:t>
            </w:r>
          </w:p>
        </w:tc>
        <w:tc>
          <w:tcPr>
            <w:tcW w:w="901" w:type="dxa"/>
            <w:vAlign w:val="center"/>
          </w:tcPr>
          <w:p w14:paraId="2003DBD6">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影响类型</w:t>
            </w:r>
          </w:p>
        </w:tc>
        <w:tc>
          <w:tcPr>
            <w:tcW w:w="7741" w:type="dxa"/>
            <w:gridSpan w:val="13"/>
            <w:vAlign w:val="center"/>
          </w:tcPr>
          <w:p w14:paraId="4F15648E">
            <w:pPr>
              <w:spacing w:line="220" w:lineRule="atLeast"/>
              <w:rPr>
                <w:rFonts w:cs="Times New Roman" w:asciiTheme="minorEastAsia" w:hAnsiTheme="minorEastAsia"/>
                <w:color w:val="auto"/>
              </w:rPr>
            </w:pPr>
            <w:r>
              <w:rPr>
                <w:rFonts w:hint="eastAsia" w:cs="Times New Roman" w:asciiTheme="minorEastAsia" w:hAnsiTheme="minorEastAsia"/>
                <w:color w:val="auto"/>
              </w:rPr>
              <w:t>水污染影响型√；水文要素影响型</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516D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05F1A94F">
            <w:pPr>
              <w:spacing w:line="220" w:lineRule="atLeast"/>
              <w:jc w:val="center"/>
              <w:rPr>
                <w:rFonts w:cs="Times New Roman" w:asciiTheme="minorEastAsia" w:hAnsiTheme="minorEastAsia"/>
                <w:color w:val="auto"/>
              </w:rPr>
            </w:pPr>
          </w:p>
        </w:tc>
        <w:tc>
          <w:tcPr>
            <w:tcW w:w="901" w:type="dxa"/>
            <w:vAlign w:val="center"/>
          </w:tcPr>
          <w:p w14:paraId="22F8E956">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水环境保护目标</w:t>
            </w:r>
          </w:p>
        </w:tc>
        <w:tc>
          <w:tcPr>
            <w:tcW w:w="7741" w:type="dxa"/>
            <w:gridSpan w:val="13"/>
            <w:vAlign w:val="center"/>
          </w:tcPr>
          <w:p w14:paraId="421C441A">
            <w:pPr>
              <w:spacing w:line="220" w:lineRule="atLeast"/>
              <w:rPr>
                <w:rFonts w:cs="Times New Roman" w:asciiTheme="minorEastAsia" w:hAnsiTheme="minorEastAsia"/>
                <w:color w:val="auto"/>
              </w:rPr>
            </w:pPr>
            <w:r>
              <w:rPr>
                <w:rFonts w:hint="eastAsia" w:cs="Times New Roman" w:asciiTheme="minorEastAsia" w:hAnsiTheme="minorEastAsia"/>
                <w:color w:val="auto"/>
              </w:rPr>
              <w:t>饮用水水源保护区</w:t>
            </w:r>
            <w:r>
              <w:rPr>
                <w:rFonts w:cs="Times New Roman" w:asciiTheme="minorEastAsia" w:hAnsiTheme="minorEastAsia"/>
                <w:color w:val="auto"/>
              </w:rPr>
              <w:t xml:space="preserve"> </w:t>
            </w:r>
            <w:r>
              <w:rPr>
                <w:rFonts w:hint="eastAsia" w:cs="Times New Roman" w:asciiTheme="minorEastAsia" w:hAnsiTheme="minorEastAsia"/>
                <w:color w:val="auto"/>
              </w:rPr>
              <w:t>□；饮用水取水口</w:t>
            </w:r>
            <w:r>
              <w:rPr>
                <w:rFonts w:cs="Times New Roman" w:asciiTheme="minorEastAsia" w:hAnsiTheme="minorEastAsia"/>
                <w:color w:val="auto"/>
              </w:rPr>
              <w:t xml:space="preserve"> </w:t>
            </w:r>
            <w:r>
              <w:rPr>
                <w:rFonts w:hint="eastAsia" w:cs="Times New Roman" w:asciiTheme="minorEastAsia" w:hAnsiTheme="minorEastAsia"/>
                <w:color w:val="auto"/>
              </w:rPr>
              <w:t>□；涉水的自然保护区</w:t>
            </w:r>
            <w:r>
              <w:rPr>
                <w:rFonts w:cs="Times New Roman" w:asciiTheme="minorEastAsia" w:hAnsiTheme="minorEastAsia"/>
                <w:color w:val="auto"/>
              </w:rPr>
              <w:t xml:space="preserve"> </w:t>
            </w:r>
            <w:r>
              <w:rPr>
                <w:rFonts w:hint="eastAsia" w:cs="Times New Roman" w:asciiTheme="minorEastAsia" w:hAnsiTheme="minorEastAsia"/>
                <w:color w:val="auto"/>
              </w:rPr>
              <w:t>□；重要湿地</w:t>
            </w:r>
            <w:r>
              <w:rPr>
                <w:rFonts w:cs="Times New Roman" w:asciiTheme="minorEastAsia" w:hAnsiTheme="minorEastAsia"/>
                <w:color w:val="auto"/>
              </w:rPr>
              <w:t xml:space="preserve"> </w:t>
            </w:r>
            <w:r>
              <w:rPr>
                <w:rFonts w:hint="eastAsia" w:cs="Times New Roman" w:asciiTheme="minorEastAsia" w:hAnsiTheme="minorEastAsia"/>
                <w:color w:val="auto"/>
              </w:rPr>
              <w:t>□；重点保护与珍稀水生生物的栖息地</w:t>
            </w:r>
            <w:r>
              <w:rPr>
                <w:rFonts w:cs="Times New Roman" w:asciiTheme="minorEastAsia" w:hAnsiTheme="minorEastAsia"/>
                <w:color w:val="auto"/>
              </w:rPr>
              <w:t xml:space="preserve"> </w:t>
            </w:r>
            <w:r>
              <w:rPr>
                <w:rFonts w:hint="eastAsia" w:cs="Times New Roman" w:asciiTheme="minorEastAsia" w:hAnsiTheme="minorEastAsia"/>
                <w:color w:val="auto"/>
              </w:rPr>
              <w:t>□；重要水生生物的自然产卵场及索饵场、越冬场和洄游通道、天然渔场等渔业水体</w:t>
            </w:r>
            <w:r>
              <w:rPr>
                <w:rFonts w:cs="Times New Roman" w:asciiTheme="minorEastAsia" w:hAnsiTheme="minorEastAsia"/>
                <w:color w:val="auto"/>
              </w:rPr>
              <w:t xml:space="preserve"> </w:t>
            </w:r>
            <w:r>
              <w:rPr>
                <w:rFonts w:hint="eastAsia" w:cs="Times New Roman" w:asciiTheme="minorEastAsia" w:hAnsiTheme="minorEastAsia"/>
                <w:color w:val="auto"/>
              </w:rPr>
              <w:t>□；涉水的风景名胜区</w:t>
            </w:r>
            <w:r>
              <w:rPr>
                <w:rFonts w:cs="Times New Roman" w:asciiTheme="minorEastAsia" w:hAnsiTheme="minorEastAsia"/>
                <w:color w:val="auto"/>
              </w:rPr>
              <w:t xml:space="preserve"> </w:t>
            </w:r>
            <w:r>
              <w:rPr>
                <w:rFonts w:hint="eastAsia" w:cs="Times New Roman" w:asciiTheme="minorEastAsia" w:hAnsiTheme="minorEastAsia"/>
                <w:color w:val="auto"/>
              </w:rPr>
              <w:t>□；其他</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5C07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6D642AE1">
            <w:pPr>
              <w:spacing w:line="220" w:lineRule="atLeast"/>
              <w:jc w:val="center"/>
              <w:rPr>
                <w:rFonts w:cs="Times New Roman" w:asciiTheme="minorEastAsia" w:hAnsiTheme="minorEastAsia"/>
                <w:color w:val="auto"/>
              </w:rPr>
            </w:pPr>
          </w:p>
        </w:tc>
        <w:tc>
          <w:tcPr>
            <w:tcW w:w="901" w:type="dxa"/>
            <w:vMerge w:val="restart"/>
            <w:vAlign w:val="center"/>
          </w:tcPr>
          <w:p w14:paraId="36CDF00D">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影响途径</w:t>
            </w:r>
          </w:p>
        </w:tc>
        <w:tc>
          <w:tcPr>
            <w:tcW w:w="3920" w:type="dxa"/>
            <w:gridSpan w:val="6"/>
            <w:vAlign w:val="center"/>
          </w:tcPr>
          <w:p w14:paraId="157EF55F">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水污染影响型</w:t>
            </w:r>
          </w:p>
        </w:tc>
        <w:tc>
          <w:tcPr>
            <w:tcW w:w="3821" w:type="dxa"/>
            <w:gridSpan w:val="7"/>
            <w:vAlign w:val="center"/>
          </w:tcPr>
          <w:p w14:paraId="4297FE66">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水文要素影响型</w:t>
            </w:r>
          </w:p>
        </w:tc>
      </w:tr>
      <w:tr w14:paraId="7F6A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250A96F3">
            <w:pPr>
              <w:spacing w:line="220" w:lineRule="atLeast"/>
              <w:jc w:val="center"/>
              <w:rPr>
                <w:rFonts w:cs="Times New Roman" w:asciiTheme="minorEastAsia" w:hAnsiTheme="minorEastAsia"/>
                <w:color w:val="auto"/>
              </w:rPr>
            </w:pPr>
          </w:p>
        </w:tc>
        <w:tc>
          <w:tcPr>
            <w:tcW w:w="901" w:type="dxa"/>
            <w:vMerge w:val="continue"/>
            <w:vAlign w:val="center"/>
          </w:tcPr>
          <w:p w14:paraId="224DACD7">
            <w:pPr>
              <w:spacing w:line="220" w:lineRule="atLeast"/>
              <w:jc w:val="center"/>
              <w:rPr>
                <w:rFonts w:cs="Times New Roman" w:asciiTheme="minorEastAsia" w:hAnsiTheme="minorEastAsia"/>
                <w:color w:val="auto"/>
              </w:rPr>
            </w:pPr>
          </w:p>
        </w:tc>
        <w:tc>
          <w:tcPr>
            <w:tcW w:w="3920" w:type="dxa"/>
            <w:gridSpan w:val="6"/>
            <w:vAlign w:val="center"/>
          </w:tcPr>
          <w:p w14:paraId="18EC6F4D">
            <w:pPr>
              <w:spacing w:line="220" w:lineRule="atLeast"/>
              <w:rPr>
                <w:rFonts w:cs="Times New Roman" w:asciiTheme="minorEastAsia" w:hAnsiTheme="minorEastAsia"/>
                <w:color w:val="auto"/>
              </w:rPr>
            </w:pPr>
            <w:r>
              <w:rPr>
                <w:rFonts w:hint="eastAsia" w:cs="Times New Roman" w:asciiTheme="minorEastAsia" w:hAnsiTheme="minorEastAsia"/>
                <w:color w:val="auto"/>
              </w:rPr>
              <w:t>直接排放</w:t>
            </w:r>
            <w:r>
              <w:rPr>
                <w:rFonts w:cs="Times New Roman" w:asciiTheme="minorEastAsia" w:hAnsiTheme="minorEastAsia"/>
                <w:color w:val="auto"/>
              </w:rPr>
              <w:t xml:space="preserve"> </w:t>
            </w:r>
            <w:r>
              <w:rPr>
                <w:rFonts w:hint="eastAsia" w:cs="Times New Roman" w:asciiTheme="minorEastAsia" w:hAnsiTheme="minorEastAsia"/>
                <w:color w:val="auto"/>
              </w:rPr>
              <w:t>□；间接排放</w:t>
            </w:r>
            <w:r>
              <w:rPr>
                <w:rFonts w:cs="Times New Roman" w:asciiTheme="minorEastAsia" w:hAnsiTheme="minorEastAsia"/>
                <w:color w:val="auto"/>
              </w:rPr>
              <w:t xml:space="preserve"> </w:t>
            </w:r>
            <w:r>
              <w:rPr>
                <w:rFonts w:hint="eastAsia" w:cs="Times New Roman" w:asciiTheme="minorEastAsia" w:hAnsiTheme="minorEastAsia"/>
                <w:color w:val="auto"/>
              </w:rPr>
              <w:t>□；其他√</w:t>
            </w:r>
          </w:p>
        </w:tc>
        <w:tc>
          <w:tcPr>
            <w:tcW w:w="3821" w:type="dxa"/>
            <w:gridSpan w:val="7"/>
            <w:vAlign w:val="center"/>
          </w:tcPr>
          <w:p w14:paraId="4176A37B">
            <w:pPr>
              <w:spacing w:line="220" w:lineRule="atLeast"/>
              <w:rPr>
                <w:rFonts w:cs="Times New Roman" w:asciiTheme="minorEastAsia" w:hAnsiTheme="minorEastAsia"/>
                <w:color w:val="auto"/>
              </w:rPr>
            </w:pPr>
            <w:r>
              <w:rPr>
                <w:rFonts w:hint="eastAsia" w:cs="Times New Roman" w:asciiTheme="minorEastAsia" w:hAnsiTheme="minorEastAsia"/>
                <w:color w:val="auto"/>
              </w:rPr>
              <w:t>水温</w:t>
            </w:r>
            <w:r>
              <w:rPr>
                <w:rFonts w:cs="Times New Roman" w:asciiTheme="minorEastAsia" w:hAnsiTheme="minorEastAsia"/>
                <w:color w:val="auto"/>
              </w:rPr>
              <w:t xml:space="preserve"> </w:t>
            </w:r>
            <w:r>
              <w:rPr>
                <w:rFonts w:hint="eastAsia" w:cs="Times New Roman" w:asciiTheme="minorEastAsia" w:hAnsiTheme="minorEastAsia"/>
                <w:color w:val="auto"/>
              </w:rPr>
              <w:t>□；径流</w:t>
            </w:r>
            <w:r>
              <w:rPr>
                <w:rFonts w:cs="Times New Roman" w:asciiTheme="minorEastAsia" w:hAnsiTheme="minorEastAsia"/>
                <w:color w:val="auto"/>
              </w:rPr>
              <w:t xml:space="preserve"> </w:t>
            </w:r>
            <w:r>
              <w:rPr>
                <w:rFonts w:hint="eastAsia" w:cs="Times New Roman" w:asciiTheme="minorEastAsia" w:hAnsiTheme="minorEastAsia"/>
                <w:color w:val="auto"/>
              </w:rPr>
              <w:t>□；水域面积</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376C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333AEE65">
            <w:pPr>
              <w:spacing w:line="220" w:lineRule="atLeast"/>
              <w:jc w:val="center"/>
              <w:rPr>
                <w:rFonts w:cs="Times New Roman" w:asciiTheme="minorEastAsia" w:hAnsiTheme="minorEastAsia"/>
                <w:color w:val="auto"/>
              </w:rPr>
            </w:pPr>
          </w:p>
        </w:tc>
        <w:tc>
          <w:tcPr>
            <w:tcW w:w="901" w:type="dxa"/>
            <w:vAlign w:val="center"/>
          </w:tcPr>
          <w:p w14:paraId="76D8796C">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影响因子</w:t>
            </w:r>
          </w:p>
        </w:tc>
        <w:tc>
          <w:tcPr>
            <w:tcW w:w="3920" w:type="dxa"/>
            <w:gridSpan w:val="6"/>
            <w:vAlign w:val="center"/>
          </w:tcPr>
          <w:p w14:paraId="69B7112E">
            <w:pPr>
              <w:spacing w:line="220" w:lineRule="atLeast"/>
              <w:rPr>
                <w:rFonts w:cs="Times New Roman" w:asciiTheme="minorEastAsia" w:hAnsiTheme="minorEastAsia"/>
                <w:color w:val="auto"/>
              </w:rPr>
            </w:pPr>
            <w:r>
              <w:rPr>
                <w:rFonts w:hint="eastAsia" w:cs="Times New Roman" w:asciiTheme="minorEastAsia" w:hAnsiTheme="minorEastAsia"/>
                <w:color w:val="auto"/>
              </w:rPr>
              <w:t>持久性污染物</w:t>
            </w:r>
            <w:r>
              <w:rPr>
                <w:rFonts w:cs="Times New Roman" w:asciiTheme="minorEastAsia" w:hAnsiTheme="minorEastAsia"/>
                <w:color w:val="auto"/>
              </w:rPr>
              <w:t xml:space="preserve"> </w:t>
            </w:r>
            <w:r>
              <w:rPr>
                <w:rFonts w:hint="eastAsia" w:cs="Times New Roman" w:asciiTheme="minorEastAsia" w:hAnsiTheme="minorEastAsia"/>
                <w:color w:val="auto"/>
              </w:rPr>
              <w:t>□；有毒有害污染物</w:t>
            </w:r>
            <w:r>
              <w:rPr>
                <w:rFonts w:cs="Times New Roman" w:asciiTheme="minorEastAsia" w:hAnsiTheme="minorEastAsia"/>
                <w:color w:val="auto"/>
              </w:rPr>
              <w:t xml:space="preserve"> </w:t>
            </w:r>
            <w:r>
              <w:rPr>
                <w:rFonts w:hint="eastAsia" w:cs="Times New Roman" w:asciiTheme="minorEastAsia" w:hAnsiTheme="minorEastAsia"/>
                <w:color w:val="auto"/>
              </w:rPr>
              <w:t>□；非持久性污染物</w:t>
            </w:r>
            <w:r>
              <w:rPr>
                <w:rFonts w:cs="Times New Roman" w:asciiTheme="minorEastAsia" w:hAnsiTheme="minorEastAsia"/>
                <w:color w:val="auto"/>
              </w:rPr>
              <w:t xml:space="preserve"> </w:t>
            </w:r>
            <w:r>
              <w:rPr>
                <w:rFonts w:hint="eastAsia" w:cs="Times New Roman" w:asciiTheme="minorEastAsia" w:hAnsiTheme="minorEastAsia"/>
                <w:color w:val="auto"/>
              </w:rPr>
              <w:t>□；pH</w:t>
            </w:r>
            <w:r>
              <w:rPr>
                <w:rFonts w:cs="Times New Roman" w:asciiTheme="minorEastAsia" w:hAnsiTheme="minorEastAsia"/>
                <w:color w:val="auto"/>
              </w:rPr>
              <w:t xml:space="preserve"> </w:t>
            </w:r>
            <w:r>
              <w:rPr>
                <w:rFonts w:hint="eastAsia" w:cs="Times New Roman" w:asciiTheme="minorEastAsia" w:hAnsiTheme="minorEastAsia"/>
                <w:color w:val="auto"/>
              </w:rPr>
              <w:t>值</w:t>
            </w:r>
            <w:r>
              <w:rPr>
                <w:rFonts w:cs="Times New Roman" w:asciiTheme="minorEastAsia" w:hAnsiTheme="minorEastAsia"/>
                <w:color w:val="auto"/>
              </w:rPr>
              <w:t xml:space="preserve"> </w:t>
            </w:r>
            <w:r>
              <w:rPr>
                <w:rFonts w:hint="eastAsia" w:cs="Times New Roman" w:asciiTheme="minorEastAsia" w:hAnsiTheme="minorEastAsia"/>
                <w:color w:val="auto"/>
              </w:rPr>
              <w:t>□；热污染</w:t>
            </w:r>
            <w:r>
              <w:rPr>
                <w:rFonts w:cs="Times New Roman" w:asciiTheme="minorEastAsia" w:hAnsiTheme="minorEastAsia"/>
                <w:color w:val="auto"/>
              </w:rPr>
              <w:t xml:space="preserve"> </w:t>
            </w:r>
            <w:r>
              <w:rPr>
                <w:rFonts w:hint="eastAsia" w:cs="Times New Roman" w:asciiTheme="minorEastAsia" w:hAnsiTheme="minorEastAsia"/>
                <w:color w:val="auto"/>
              </w:rPr>
              <w:t>□；富营养化</w:t>
            </w:r>
            <w:r>
              <w:rPr>
                <w:rFonts w:cs="Times New Roman" w:asciiTheme="minorEastAsia" w:hAnsiTheme="minorEastAsia"/>
                <w:color w:val="auto"/>
              </w:rPr>
              <w:t xml:space="preserve"> </w:t>
            </w:r>
            <w:r>
              <w:rPr>
                <w:rFonts w:hint="eastAsia" w:cs="Times New Roman" w:asciiTheme="minorEastAsia" w:hAnsiTheme="minorEastAsia"/>
                <w:color w:val="auto"/>
              </w:rPr>
              <w:t>□；其他</w:t>
            </w:r>
            <w:r>
              <w:rPr>
                <w:rFonts w:cs="Times New Roman" w:asciiTheme="minorEastAsia" w:hAnsiTheme="minorEastAsia"/>
                <w:color w:val="auto"/>
              </w:rPr>
              <w:t xml:space="preserve"> </w:t>
            </w:r>
            <w:r>
              <w:rPr>
                <w:rFonts w:hint="eastAsia" w:cs="Times New Roman" w:asciiTheme="minorEastAsia" w:hAnsiTheme="minorEastAsia"/>
                <w:color w:val="auto"/>
              </w:rPr>
              <w:t>√</w:t>
            </w:r>
          </w:p>
        </w:tc>
        <w:tc>
          <w:tcPr>
            <w:tcW w:w="3821" w:type="dxa"/>
            <w:gridSpan w:val="7"/>
            <w:vAlign w:val="center"/>
          </w:tcPr>
          <w:p w14:paraId="2F1AEFBF">
            <w:pPr>
              <w:spacing w:line="220" w:lineRule="atLeast"/>
              <w:rPr>
                <w:rFonts w:cs="Times New Roman" w:asciiTheme="minorEastAsia" w:hAnsiTheme="minorEastAsia"/>
                <w:color w:val="auto"/>
              </w:rPr>
            </w:pPr>
            <w:r>
              <w:rPr>
                <w:rFonts w:hint="eastAsia" w:cs="Times New Roman" w:asciiTheme="minorEastAsia" w:hAnsiTheme="minorEastAsia"/>
                <w:color w:val="auto"/>
              </w:rPr>
              <w:t>水温</w:t>
            </w:r>
            <w:r>
              <w:rPr>
                <w:rFonts w:cs="Times New Roman" w:asciiTheme="minorEastAsia" w:hAnsiTheme="minorEastAsia"/>
                <w:color w:val="auto"/>
              </w:rPr>
              <w:t xml:space="preserve"> </w:t>
            </w:r>
            <w:r>
              <w:rPr>
                <w:rFonts w:hint="eastAsia" w:cs="Times New Roman" w:asciiTheme="minorEastAsia" w:hAnsiTheme="minorEastAsia"/>
                <w:color w:val="auto"/>
              </w:rPr>
              <w:t>□；水位（水深）</w:t>
            </w:r>
            <w:r>
              <w:rPr>
                <w:rFonts w:cs="Times New Roman" w:asciiTheme="minorEastAsia" w:hAnsiTheme="minorEastAsia"/>
                <w:color w:val="auto"/>
              </w:rPr>
              <w:t xml:space="preserve"> </w:t>
            </w:r>
            <w:r>
              <w:rPr>
                <w:rFonts w:hint="eastAsia" w:cs="Times New Roman" w:asciiTheme="minorEastAsia" w:hAnsiTheme="minorEastAsia"/>
                <w:color w:val="auto"/>
              </w:rPr>
              <w:t>□；流速□；流量</w:t>
            </w:r>
            <w:r>
              <w:rPr>
                <w:rFonts w:cs="Times New Roman" w:asciiTheme="minorEastAsia" w:hAnsiTheme="minorEastAsia"/>
                <w:color w:val="auto"/>
              </w:rPr>
              <w:t xml:space="preserve"> </w:t>
            </w:r>
            <w:r>
              <w:rPr>
                <w:rFonts w:hint="eastAsia" w:cs="Times New Roman" w:asciiTheme="minorEastAsia" w:hAnsiTheme="minorEastAsia"/>
                <w:color w:val="auto"/>
              </w:rPr>
              <w:t>□；其他</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7B78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9" w:type="dxa"/>
            <w:gridSpan w:val="2"/>
            <w:vMerge w:val="restart"/>
            <w:vAlign w:val="center"/>
          </w:tcPr>
          <w:p w14:paraId="5078C175">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评价等级</w:t>
            </w:r>
          </w:p>
        </w:tc>
        <w:tc>
          <w:tcPr>
            <w:tcW w:w="3920" w:type="dxa"/>
            <w:gridSpan w:val="6"/>
            <w:vAlign w:val="center"/>
          </w:tcPr>
          <w:p w14:paraId="43A288B6">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水污染影响型</w:t>
            </w:r>
          </w:p>
        </w:tc>
        <w:tc>
          <w:tcPr>
            <w:tcW w:w="3821" w:type="dxa"/>
            <w:gridSpan w:val="7"/>
            <w:vAlign w:val="center"/>
          </w:tcPr>
          <w:p w14:paraId="4D637479">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水文要素影响型</w:t>
            </w:r>
          </w:p>
        </w:tc>
      </w:tr>
      <w:tr w14:paraId="1E49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9" w:type="dxa"/>
            <w:gridSpan w:val="2"/>
            <w:vMerge w:val="continue"/>
            <w:vAlign w:val="center"/>
          </w:tcPr>
          <w:p w14:paraId="4DA1A1AA">
            <w:pPr>
              <w:spacing w:line="220" w:lineRule="atLeast"/>
              <w:jc w:val="center"/>
              <w:rPr>
                <w:rFonts w:cs="Times New Roman" w:asciiTheme="minorEastAsia" w:hAnsiTheme="minorEastAsia"/>
                <w:color w:val="auto"/>
              </w:rPr>
            </w:pPr>
          </w:p>
        </w:tc>
        <w:tc>
          <w:tcPr>
            <w:tcW w:w="3920" w:type="dxa"/>
            <w:gridSpan w:val="6"/>
            <w:vAlign w:val="center"/>
          </w:tcPr>
          <w:p w14:paraId="4CC3D6BE">
            <w:pPr>
              <w:spacing w:line="220" w:lineRule="atLeast"/>
              <w:rPr>
                <w:rFonts w:cs="Times New Roman" w:asciiTheme="minorEastAsia" w:hAnsiTheme="minorEastAsia"/>
                <w:color w:val="auto"/>
              </w:rPr>
            </w:pPr>
            <w:r>
              <w:rPr>
                <w:rFonts w:hint="eastAsia" w:cs="Times New Roman" w:asciiTheme="minorEastAsia" w:hAnsiTheme="minorEastAsia"/>
                <w:color w:val="auto"/>
              </w:rPr>
              <w:t>一级</w:t>
            </w:r>
            <w:r>
              <w:rPr>
                <w:rFonts w:cs="Times New Roman" w:asciiTheme="minorEastAsia" w:hAnsiTheme="minorEastAsia"/>
                <w:color w:val="auto"/>
              </w:rPr>
              <w:t xml:space="preserve"> </w:t>
            </w:r>
            <w:r>
              <w:rPr>
                <w:rFonts w:hint="eastAsia" w:cs="Times New Roman" w:asciiTheme="minorEastAsia" w:hAnsiTheme="minorEastAsia"/>
                <w:color w:val="auto"/>
              </w:rPr>
              <w:t>□；二级</w:t>
            </w:r>
            <w:r>
              <w:rPr>
                <w:rFonts w:cs="Times New Roman" w:asciiTheme="minorEastAsia" w:hAnsiTheme="minorEastAsia"/>
                <w:color w:val="auto"/>
              </w:rPr>
              <w:t xml:space="preserve"> </w:t>
            </w:r>
            <w:r>
              <w:rPr>
                <w:rFonts w:hint="eastAsia" w:cs="Times New Roman" w:asciiTheme="minorEastAsia" w:hAnsiTheme="minorEastAsia"/>
                <w:color w:val="auto"/>
              </w:rPr>
              <w:t>□；三级</w:t>
            </w:r>
            <w:r>
              <w:rPr>
                <w:rFonts w:cs="Times New Roman" w:asciiTheme="minorEastAsia" w:hAnsiTheme="minorEastAsia"/>
                <w:color w:val="auto"/>
              </w:rPr>
              <w:t xml:space="preserve"> A </w:t>
            </w:r>
            <w:r>
              <w:rPr>
                <w:rFonts w:hint="eastAsia" w:cs="Times New Roman" w:asciiTheme="minorEastAsia" w:hAnsiTheme="minorEastAsia"/>
                <w:color w:val="auto"/>
              </w:rPr>
              <w:t>□；三级</w:t>
            </w:r>
            <w:r>
              <w:rPr>
                <w:rFonts w:cs="Times New Roman" w:asciiTheme="minorEastAsia" w:hAnsiTheme="minorEastAsia"/>
                <w:color w:val="auto"/>
              </w:rPr>
              <w:t xml:space="preserve"> B </w:t>
            </w:r>
            <w:r>
              <w:rPr>
                <w:rFonts w:hint="eastAsia" w:cs="Times New Roman" w:asciiTheme="minorEastAsia" w:hAnsiTheme="minorEastAsia"/>
                <w:color w:val="auto"/>
              </w:rPr>
              <w:t>√</w:t>
            </w:r>
          </w:p>
        </w:tc>
        <w:tc>
          <w:tcPr>
            <w:tcW w:w="3821" w:type="dxa"/>
            <w:gridSpan w:val="7"/>
            <w:vAlign w:val="center"/>
          </w:tcPr>
          <w:p w14:paraId="101204A7">
            <w:pPr>
              <w:spacing w:line="220" w:lineRule="atLeast"/>
              <w:rPr>
                <w:rFonts w:cs="Times New Roman" w:asciiTheme="minorEastAsia" w:hAnsiTheme="minorEastAsia"/>
                <w:color w:val="auto"/>
              </w:rPr>
            </w:pPr>
            <w:r>
              <w:rPr>
                <w:rFonts w:hint="eastAsia" w:cs="Times New Roman" w:asciiTheme="minorEastAsia" w:hAnsiTheme="minorEastAsia"/>
                <w:color w:val="auto"/>
              </w:rPr>
              <w:t>一级</w:t>
            </w:r>
            <w:r>
              <w:rPr>
                <w:rFonts w:cs="Times New Roman" w:asciiTheme="minorEastAsia" w:hAnsiTheme="minorEastAsia"/>
                <w:color w:val="auto"/>
              </w:rPr>
              <w:t xml:space="preserve"> </w:t>
            </w:r>
            <w:r>
              <w:rPr>
                <w:rFonts w:hint="eastAsia" w:cs="Times New Roman" w:asciiTheme="minorEastAsia" w:hAnsiTheme="minorEastAsia"/>
                <w:color w:val="auto"/>
              </w:rPr>
              <w:t>□；二级</w:t>
            </w:r>
            <w:r>
              <w:rPr>
                <w:rFonts w:cs="Times New Roman" w:asciiTheme="minorEastAsia" w:hAnsiTheme="minorEastAsia"/>
                <w:color w:val="auto"/>
              </w:rPr>
              <w:t xml:space="preserve"> </w:t>
            </w:r>
            <w:r>
              <w:rPr>
                <w:rFonts w:hint="eastAsia" w:cs="Times New Roman" w:asciiTheme="minorEastAsia" w:hAnsiTheme="minorEastAsia"/>
                <w:color w:val="auto"/>
              </w:rPr>
              <w:t>□；三级</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4F46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restart"/>
            <w:vAlign w:val="center"/>
          </w:tcPr>
          <w:p w14:paraId="79848736">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现</w:t>
            </w:r>
          </w:p>
          <w:p w14:paraId="6C4426DD">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状</w:t>
            </w:r>
          </w:p>
          <w:p w14:paraId="0D93DD0E">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调</w:t>
            </w:r>
          </w:p>
          <w:p w14:paraId="7C9423CB">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查</w:t>
            </w:r>
          </w:p>
        </w:tc>
        <w:tc>
          <w:tcPr>
            <w:tcW w:w="901" w:type="dxa"/>
            <w:vMerge w:val="restart"/>
            <w:vAlign w:val="center"/>
          </w:tcPr>
          <w:p w14:paraId="5A2E2E69">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区域污染源</w:t>
            </w:r>
          </w:p>
        </w:tc>
        <w:tc>
          <w:tcPr>
            <w:tcW w:w="3920" w:type="dxa"/>
            <w:gridSpan w:val="6"/>
            <w:vAlign w:val="center"/>
          </w:tcPr>
          <w:p w14:paraId="38B7622A">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调查项目</w:t>
            </w:r>
          </w:p>
        </w:tc>
        <w:tc>
          <w:tcPr>
            <w:tcW w:w="3821" w:type="dxa"/>
            <w:gridSpan w:val="7"/>
            <w:vAlign w:val="center"/>
          </w:tcPr>
          <w:p w14:paraId="6E3DADF0">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数据来源</w:t>
            </w:r>
          </w:p>
        </w:tc>
      </w:tr>
      <w:tr w14:paraId="0615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660F539D">
            <w:pPr>
              <w:spacing w:line="220" w:lineRule="atLeast"/>
              <w:jc w:val="center"/>
              <w:rPr>
                <w:rFonts w:cs="Times New Roman" w:asciiTheme="minorEastAsia" w:hAnsiTheme="minorEastAsia"/>
                <w:color w:val="auto"/>
              </w:rPr>
            </w:pPr>
          </w:p>
        </w:tc>
        <w:tc>
          <w:tcPr>
            <w:tcW w:w="901" w:type="dxa"/>
            <w:vMerge w:val="continue"/>
            <w:vAlign w:val="center"/>
          </w:tcPr>
          <w:p w14:paraId="7507A086">
            <w:pPr>
              <w:spacing w:line="220" w:lineRule="atLeast"/>
              <w:jc w:val="center"/>
              <w:rPr>
                <w:rFonts w:cs="Times New Roman" w:asciiTheme="minorEastAsia" w:hAnsiTheme="minorEastAsia"/>
                <w:color w:val="auto"/>
              </w:rPr>
            </w:pPr>
          </w:p>
        </w:tc>
        <w:tc>
          <w:tcPr>
            <w:tcW w:w="2412" w:type="dxa"/>
            <w:gridSpan w:val="3"/>
            <w:vAlign w:val="center"/>
          </w:tcPr>
          <w:p w14:paraId="40A62380">
            <w:pPr>
              <w:spacing w:line="220" w:lineRule="atLeast"/>
              <w:rPr>
                <w:rFonts w:cs="Times New Roman" w:asciiTheme="minorEastAsia" w:hAnsiTheme="minorEastAsia"/>
                <w:color w:val="auto"/>
              </w:rPr>
            </w:pPr>
            <w:r>
              <w:rPr>
                <w:rFonts w:hint="eastAsia" w:cs="Times New Roman" w:asciiTheme="minorEastAsia" w:hAnsiTheme="minorEastAsia"/>
                <w:color w:val="auto"/>
              </w:rPr>
              <w:t>已建</w:t>
            </w:r>
            <w:r>
              <w:rPr>
                <w:rFonts w:cs="Times New Roman" w:asciiTheme="minorEastAsia" w:hAnsiTheme="minorEastAsia"/>
                <w:color w:val="auto"/>
              </w:rPr>
              <w:t xml:space="preserve"> </w:t>
            </w:r>
            <w:r>
              <w:rPr>
                <w:rFonts w:hint="eastAsia" w:cs="Times New Roman" w:asciiTheme="minorEastAsia" w:hAnsiTheme="minorEastAsia"/>
                <w:color w:val="auto"/>
              </w:rPr>
              <w:t>□；在建</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40ACB1DA">
            <w:pPr>
              <w:spacing w:line="220" w:lineRule="atLeast"/>
              <w:rPr>
                <w:rFonts w:cs="Times New Roman" w:asciiTheme="minorEastAsia" w:hAnsiTheme="minorEastAsia"/>
                <w:color w:val="auto"/>
              </w:rPr>
            </w:pPr>
            <w:r>
              <w:rPr>
                <w:rFonts w:hint="eastAsia" w:cs="Times New Roman" w:asciiTheme="minorEastAsia" w:hAnsiTheme="minorEastAsia"/>
                <w:color w:val="auto"/>
              </w:rPr>
              <w:t>拟建</w:t>
            </w:r>
            <w:r>
              <w:rPr>
                <w:rFonts w:cs="Times New Roman" w:asciiTheme="minorEastAsia" w:hAnsiTheme="minorEastAsia"/>
                <w:color w:val="auto"/>
              </w:rPr>
              <w:t xml:space="preserve"> </w:t>
            </w:r>
            <w:r>
              <w:rPr>
                <w:rFonts w:hint="eastAsia" w:cs="Times New Roman" w:asciiTheme="minorEastAsia" w:hAnsiTheme="minorEastAsia"/>
                <w:color w:val="auto"/>
              </w:rPr>
              <w:t>□；其他</w:t>
            </w:r>
            <w:r>
              <w:rPr>
                <w:rFonts w:cs="Times New Roman" w:asciiTheme="minorEastAsia" w:hAnsiTheme="minorEastAsia"/>
                <w:color w:val="auto"/>
              </w:rPr>
              <w:t xml:space="preserve"> </w:t>
            </w:r>
            <w:r>
              <w:rPr>
                <w:rFonts w:hint="eastAsia" w:cs="Times New Roman" w:asciiTheme="minorEastAsia" w:hAnsiTheme="minorEastAsia"/>
                <w:color w:val="auto"/>
              </w:rPr>
              <w:t>□</w:t>
            </w:r>
          </w:p>
        </w:tc>
        <w:tc>
          <w:tcPr>
            <w:tcW w:w="1508" w:type="dxa"/>
            <w:gridSpan w:val="3"/>
            <w:vAlign w:val="center"/>
          </w:tcPr>
          <w:p w14:paraId="3C2FD58E">
            <w:pPr>
              <w:spacing w:line="220" w:lineRule="atLeast"/>
              <w:rPr>
                <w:rFonts w:cs="Times New Roman" w:asciiTheme="minorEastAsia" w:hAnsiTheme="minorEastAsia"/>
                <w:color w:val="auto"/>
              </w:rPr>
            </w:pPr>
            <w:r>
              <w:rPr>
                <w:rFonts w:hint="eastAsia" w:cs="Times New Roman" w:asciiTheme="minorEastAsia" w:hAnsiTheme="minorEastAsia"/>
                <w:color w:val="auto"/>
              </w:rPr>
              <w:t>拟替代的污染源</w:t>
            </w:r>
            <w:r>
              <w:rPr>
                <w:rFonts w:cs="Times New Roman" w:asciiTheme="minorEastAsia" w:hAnsiTheme="minorEastAsia"/>
                <w:color w:val="auto"/>
              </w:rPr>
              <w:t xml:space="preserve"> </w:t>
            </w:r>
            <w:r>
              <w:rPr>
                <w:rFonts w:hint="eastAsia" w:cs="Times New Roman" w:asciiTheme="minorEastAsia" w:hAnsiTheme="minorEastAsia"/>
                <w:color w:val="auto"/>
              </w:rPr>
              <w:t>□</w:t>
            </w:r>
          </w:p>
        </w:tc>
        <w:tc>
          <w:tcPr>
            <w:tcW w:w="3821" w:type="dxa"/>
            <w:gridSpan w:val="7"/>
            <w:vAlign w:val="center"/>
          </w:tcPr>
          <w:p w14:paraId="12208EDE">
            <w:pPr>
              <w:spacing w:line="220" w:lineRule="atLeast"/>
              <w:rPr>
                <w:rFonts w:cs="Times New Roman" w:asciiTheme="minorEastAsia" w:hAnsiTheme="minorEastAsia"/>
                <w:color w:val="auto"/>
              </w:rPr>
            </w:pPr>
            <w:r>
              <w:rPr>
                <w:rFonts w:hint="eastAsia" w:cs="Times New Roman" w:asciiTheme="minorEastAsia" w:hAnsiTheme="minorEastAsia"/>
                <w:color w:val="auto"/>
              </w:rPr>
              <w:t>排污许可证</w:t>
            </w:r>
            <w:r>
              <w:rPr>
                <w:rFonts w:cs="Times New Roman" w:asciiTheme="minorEastAsia" w:hAnsiTheme="minorEastAsia"/>
                <w:color w:val="auto"/>
              </w:rPr>
              <w:t xml:space="preserve"> </w:t>
            </w:r>
            <w:r>
              <w:rPr>
                <w:rFonts w:hint="eastAsia" w:cs="Times New Roman" w:asciiTheme="minorEastAsia" w:hAnsiTheme="minorEastAsia"/>
                <w:color w:val="auto"/>
              </w:rPr>
              <w:t>□；环评</w:t>
            </w:r>
            <w:r>
              <w:rPr>
                <w:rFonts w:cs="Times New Roman" w:asciiTheme="minorEastAsia" w:hAnsiTheme="minorEastAsia"/>
                <w:color w:val="auto"/>
              </w:rPr>
              <w:t xml:space="preserve"> </w:t>
            </w:r>
            <w:r>
              <w:rPr>
                <w:rFonts w:hint="eastAsia" w:cs="Times New Roman" w:asciiTheme="minorEastAsia" w:hAnsiTheme="minorEastAsia"/>
                <w:color w:val="auto"/>
              </w:rPr>
              <w:t>□；环保验收</w:t>
            </w:r>
            <w:r>
              <w:rPr>
                <w:rFonts w:cs="Times New Roman" w:asciiTheme="minorEastAsia" w:hAnsiTheme="minorEastAsia"/>
                <w:color w:val="auto"/>
              </w:rPr>
              <w:t xml:space="preserve"> </w:t>
            </w:r>
            <w:r>
              <w:rPr>
                <w:rFonts w:hint="eastAsia" w:cs="Times New Roman" w:asciiTheme="minorEastAsia" w:hAnsiTheme="minorEastAsia"/>
                <w:color w:val="auto"/>
              </w:rPr>
              <w:t>□；既有实测</w:t>
            </w:r>
            <w:r>
              <w:rPr>
                <w:rFonts w:cs="Times New Roman" w:asciiTheme="minorEastAsia" w:hAnsiTheme="minorEastAsia"/>
                <w:color w:val="auto"/>
              </w:rPr>
              <w:t xml:space="preserve"> </w:t>
            </w:r>
            <w:r>
              <w:rPr>
                <w:rFonts w:hint="eastAsia" w:cs="Times New Roman" w:asciiTheme="minorEastAsia" w:hAnsiTheme="minorEastAsia"/>
                <w:color w:val="auto"/>
              </w:rPr>
              <w:t>□；现场监测</w:t>
            </w:r>
            <w:r>
              <w:rPr>
                <w:rFonts w:cs="Times New Roman" w:asciiTheme="minorEastAsia" w:hAnsiTheme="minorEastAsia"/>
                <w:color w:val="auto"/>
              </w:rPr>
              <w:t xml:space="preserve"> </w:t>
            </w:r>
            <w:r>
              <w:rPr>
                <w:rFonts w:hint="eastAsia" w:cs="Times New Roman" w:asciiTheme="minorEastAsia" w:hAnsiTheme="minorEastAsia"/>
                <w:color w:val="auto"/>
              </w:rPr>
              <w:t>□；入河排放口数据</w:t>
            </w:r>
            <w:r>
              <w:rPr>
                <w:rFonts w:cs="Times New Roman" w:asciiTheme="minorEastAsia" w:hAnsiTheme="minorEastAsia"/>
                <w:color w:val="auto"/>
              </w:rPr>
              <w:t xml:space="preserve"> </w:t>
            </w:r>
            <w:r>
              <w:rPr>
                <w:rFonts w:hint="eastAsia" w:cs="Times New Roman" w:asciiTheme="minorEastAsia" w:hAnsiTheme="minorEastAsia"/>
                <w:color w:val="auto"/>
              </w:rPr>
              <w:t>□；其他</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490D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03A1174F">
            <w:pPr>
              <w:spacing w:line="220" w:lineRule="atLeast"/>
              <w:jc w:val="center"/>
              <w:rPr>
                <w:rFonts w:cs="Times New Roman" w:asciiTheme="minorEastAsia" w:hAnsiTheme="minorEastAsia"/>
                <w:color w:val="auto"/>
              </w:rPr>
            </w:pPr>
          </w:p>
        </w:tc>
        <w:tc>
          <w:tcPr>
            <w:tcW w:w="901" w:type="dxa"/>
            <w:vMerge w:val="restart"/>
            <w:vAlign w:val="center"/>
          </w:tcPr>
          <w:p w14:paraId="5607F163">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受影响水体水环境质量</w:t>
            </w:r>
          </w:p>
        </w:tc>
        <w:tc>
          <w:tcPr>
            <w:tcW w:w="3920" w:type="dxa"/>
            <w:gridSpan w:val="6"/>
            <w:vAlign w:val="center"/>
          </w:tcPr>
          <w:p w14:paraId="09C44BF1">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调查时期</w:t>
            </w:r>
          </w:p>
        </w:tc>
        <w:tc>
          <w:tcPr>
            <w:tcW w:w="3821" w:type="dxa"/>
            <w:gridSpan w:val="7"/>
            <w:vAlign w:val="center"/>
          </w:tcPr>
          <w:p w14:paraId="4AA22262">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数据来源</w:t>
            </w:r>
          </w:p>
        </w:tc>
      </w:tr>
      <w:tr w14:paraId="74AE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3684A495">
            <w:pPr>
              <w:spacing w:line="220" w:lineRule="atLeast"/>
              <w:jc w:val="center"/>
              <w:rPr>
                <w:rFonts w:cs="Times New Roman" w:asciiTheme="minorEastAsia" w:hAnsiTheme="minorEastAsia"/>
                <w:color w:val="auto"/>
              </w:rPr>
            </w:pPr>
          </w:p>
        </w:tc>
        <w:tc>
          <w:tcPr>
            <w:tcW w:w="901" w:type="dxa"/>
            <w:vMerge w:val="continue"/>
            <w:vAlign w:val="center"/>
          </w:tcPr>
          <w:p w14:paraId="19AAC56B">
            <w:pPr>
              <w:spacing w:line="220" w:lineRule="atLeast"/>
              <w:jc w:val="center"/>
              <w:rPr>
                <w:rFonts w:cs="Times New Roman" w:asciiTheme="minorEastAsia" w:hAnsiTheme="minorEastAsia"/>
                <w:color w:val="auto"/>
              </w:rPr>
            </w:pPr>
          </w:p>
        </w:tc>
        <w:tc>
          <w:tcPr>
            <w:tcW w:w="3920" w:type="dxa"/>
            <w:gridSpan w:val="6"/>
            <w:vAlign w:val="center"/>
          </w:tcPr>
          <w:p w14:paraId="476452D1">
            <w:pPr>
              <w:spacing w:line="220" w:lineRule="atLeast"/>
              <w:rPr>
                <w:rFonts w:cs="Times New Roman" w:asciiTheme="minorEastAsia" w:hAnsiTheme="minorEastAsia"/>
                <w:color w:val="auto"/>
              </w:rPr>
            </w:pPr>
            <w:r>
              <w:rPr>
                <w:rFonts w:hint="eastAsia" w:cs="Times New Roman" w:asciiTheme="minorEastAsia" w:hAnsiTheme="minorEastAsia"/>
                <w:color w:val="auto"/>
              </w:rPr>
              <w:t>丰水期</w:t>
            </w:r>
            <w:r>
              <w:rPr>
                <w:rFonts w:cs="Times New Roman" w:asciiTheme="minorEastAsia" w:hAnsiTheme="minorEastAsia"/>
                <w:color w:val="auto"/>
              </w:rPr>
              <w:t xml:space="preserve"> </w:t>
            </w:r>
            <w:r>
              <w:rPr>
                <w:rFonts w:hint="eastAsia" w:cs="Times New Roman" w:asciiTheme="minorEastAsia" w:hAnsiTheme="minorEastAsia"/>
                <w:color w:val="auto"/>
              </w:rPr>
              <w:t>□；平水期</w:t>
            </w:r>
            <w:r>
              <w:rPr>
                <w:rFonts w:cs="Times New Roman" w:asciiTheme="minorEastAsia" w:hAnsiTheme="minorEastAsia"/>
                <w:color w:val="auto"/>
              </w:rPr>
              <w:t xml:space="preserve"> </w:t>
            </w:r>
            <w:r>
              <w:rPr>
                <w:rFonts w:hint="eastAsia" w:cs="Times New Roman" w:asciiTheme="minorEastAsia" w:hAnsiTheme="minorEastAsia"/>
                <w:color w:val="auto"/>
              </w:rPr>
              <w:t>□；枯水期</w:t>
            </w:r>
            <w:r>
              <w:rPr>
                <w:rFonts w:cs="Times New Roman" w:asciiTheme="minorEastAsia" w:hAnsiTheme="minorEastAsia"/>
                <w:color w:val="auto"/>
              </w:rPr>
              <w:t xml:space="preserve"> </w:t>
            </w:r>
            <w:r>
              <w:rPr>
                <w:rFonts w:hint="eastAsia" w:cs="Times New Roman" w:asciiTheme="minorEastAsia" w:hAnsiTheme="minorEastAsia"/>
                <w:color w:val="auto"/>
              </w:rPr>
              <w:t>□；冰封期</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6EC9F790">
            <w:pPr>
              <w:spacing w:line="220" w:lineRule="atLeast"/>
              <w:rPr>
                <w:rFonts w:cs="Times New Roman" w:asciiTheme="minorEastAsia" w:hAnsiTheme="minorEastAsia"/>
                <w:color w:val="auto"/>
              </w:rPr>
            </w:pPr>
            <w:r>
              <w:rPr>
                <w:rFonts w:hint="eastAsia" w:cs="Times New Roman" w:asciiTheme="minorEastAsia" w:hAnsiTheme="minorEastAsia"/>
                <w:color w:val="auto"/>
              </w:rPr>
              <w:t>春季</w:t>
            </w:r>
            <w:r>
              <w:rPr>
                <w:rFonts w:cs="Times New Roman" w:asciiTheme="minorEastAsia" w:hAnsiTheme="minorEastAsia"/>
                <w:color w:val="auto"/>
              </w:rPr>
              <w:t xml:space="preserve"> </w:t>
            </w:r>
            <w:r>
              <w:rPr>
                <w:rFonts w:hint="eastAsia" w:cs="Times New Roman" w:asciiTheme="minorEastAsia" w:hAnsiTheme="minorEastAsia"/>
                <w:color w:val="auto"/>
              </w:rPr>
              <w:t>□；夏季</w:t>
            </w:r>
            <w:r>
              <w:rPr>
                <w:rFonts w:cs="Times New Roman" w:asciiTheme="minorEastAsia" w:hAnsiTheme="minorEastAsia"/>
                <w:color w:val="auto"/>
              </w:rPr>
              <w:t xml:space="preserve"> </w:t>
            </w:r>
            <w:r>
              <w:rPr>
                <w:rFonts w:hint="eastAsia" w:cs="Times New Roman" w:asciiTheme="minorEastAsia" w:hAnsiTheme="minorEastAsia"/>
                <w:color w:val="auto"/>
              </w:rPr>
              <w:t>□；秋季</w:t>
            </w:r>
            <w:r>
              <w:rPr>
                <w:rFonts w:cs="Times New Roman" w:asciiTheme="minorEastAsia" w:hAnsiTheme="minorEastAsia"/>
                <w:color w:val="auto"/>
              </w:rPr>
              <w:t xml:space="preserve"> </w:t>
            </w:r>
            <w:r>
              <w:rPr>
                <w:rFonts w:hint="eastAsia" w:cs="Times New Roman" w:asciiTheme="minorEastAsia" w:hAnsiTheme="minorEastAsia"/>
                <w:color w:val="auto"/>
              </w:rPr>
              <w:t>√；冬季□</w:t>
            </w:r>
          </w:p>
        </w:tc>
        <w:tc>
          <w:tcPr>
            <w:tcW w:w="3821" w:type="dxa"/>
            <w:gridSpan w:val="7"/>
            <w:vAlign w:val="center"/>
          </w:tcPr>
          <w:p w14:paraId="552B2EC5">
            <w:pPr>
              <w:spacing w:line="220" w:lineRule="atLeast"/>
              <w:rPr>
                <w:rFonts w:cs="Times New Roman" w:asciiTheme="minorEastAsia" w:hAnsiTheme="minorEastAsia"/>
                <w:color w:val="auto"/>
              </w:rPr>
            </w:pPr>
            <w:r>
              <w:rPr>
                <w:rFonts w:hint="eastAsia" w:cs="Times New Roman" w:asciiTheme="minorEastAsia" w:hAnsiTheme="minorEastAsia"/>
                <w:color w:val="auto"/>
              </w:rPr>
              <w:t>生态环境保护主管部门</w:t>
            </w:r>
            <w:r>
              <w:rPr>
                <w:rFonts w:cs="Times New Roman" w:asciiTheme="minorEastAsia" w:hAnsiTheme="minorEastAsia"/>
                <w:color w:val="auto"/>
              </w:rPr>
              <w:t xml:space="preserve"> </w:t>
            </w:r>
            <w:r>
              <w:rPr>
                <w:rFonts w:hint="eastAsia" w:cs="Times New Roman" w:asciiTheme="minorEastAsia" w:hAnsiTheme="minorEastAsia"/>
                <w:color w:val="auto"/>
              </w:rPr>
              <w:t>□；补充监测</w:t>
            </w:r>
            <w:r>
              <w:rPr>
                <w:rFonts w:cs="Times New Roman" w:asciiTheme="minorEastAsia" w:hAnsiTheme="minorEastAsia"/>
                <w:color w:val="auto"/>
              </w:rPr>
              <w:t xml:space="preserve"> </w:t>
            </w:r>
            <w:r>
              <w:rPr>
                <w:rFonts w:hint="eastAsia" w:cs="Times New Roman" w:asciiTheme="minorEastAsia" w:hAnsiTheme="minorEastAsia"/>
                <w:color w:val="auto"/>
              </w:rPr>
              <w:t>√；其他</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67CF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57D96D09">
            <w:pPr>
              <w:spacing w:line="220" w:lineRule="atLeast"/>
              <w:jc w:val="center"/>
              <w:rPr>
                <w:rFonts w:cs="Times New Roman" w:asciiTheme="minorEastAsia" w:hAnsiTheme="minorEastAsia"/>
                <w:color w:val="auto"/>
              </w:rPr>
            </w:pPr>
          </w:p>
        </w:tc>
        <w:tc>
          <w:tcPr>
            <w:tcW w:w="901" w:type="dxa"/>
            <w:vAlign w:val="center"/>
          </w:tcPr>
          <w:p w14:paraId="4B38D480">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区域水资源开发利用状况</w:t>
            </w:r>
          </w:p>
        </w:tc>
        <w:tc>
          <w:tcPr>
            <w:tcW w:w="7741" w:type="dxa"/>
            <w:gridSpan w:val="13"/>
            <w:vAlign w:val="center"/>
          </w:tcPr>
          <w:p w14:paraId="5E3D115C">
            <w:pPr>
              <w:spacing w:line="220" w:lineRule="atLeast"/>
              <w:rPr>
                <w:rFonts w:cs="Times New Roman" w:asciiTheme="minorEastAsia" w:hAnsiTheme="minorEastAsia"/>
                <w:color w:val="auto"/>
              </w:rPr>
            </w:pPr>
            <w:r>
              <w:rPr>
                <w:rFonts w:hint="eastAsia" w:cs="Times New Roman" w:asciiTheme="minorEastAsia" w:hAnsiTheme="minorEastAsia"/>
                <w:color w:val="auto"/>
              </w:rPr>
              <w:t>未开发</w:t>
            </w:r>
            <w:r>
              <w:rPr>
                <w:rFonts w:cs="Times New Roman" w:asciiTheme="minorEastAsia" w:hAnsiTheme="minorEastAsia"/>
                <w:color w:val="auto"/>
              </w:rPr>
              <w:t xml:space="preserve"> </w:t>
            </w:r>
            <w:r>
              <w:rPr>
                <w:rFonts w:hint="eastAsia" w:cs="Times New Roman" w:asciiTheme="minorEastAsia" w:hAnsiTheme="minorEastAsia"/>
                <w:color w:val="auto"/>
              </w:rPr>
              <w:t>□；开发量</w:t>
            </w:r>
            <w:r>
              <w:rPr>
                <w:rFonts w:cs="Times New Roman" w:asciiTheme="minorEastAsia" w:hAnsiTheme="minorEastAsia"/>
                <w:color w:val="auto"/>
              </w:rPr>
              <w:t xml:space="preserve"> </w:t>
            </w:r>
            <w:r>
              <w:rPr>
                <w:rFonts w:hint="eastAsia" w:cs="Times New Roman" w:asciiTheme="minorEastAsia" w:hAnsiTheme="minorEastAsia"/>
                <w:color w:val="auto"/>
              </w:rPr>
              <w:t>40%以下</w:t>
            </w:r>
            <w:r>
              <w:rPr>
                <w:rFonts w:cs="Times New Roman" w:asciiTheme="minorEastAsia" w:hAnsiTheme="minorEastAsia"/>
                <w:color w:val="auto"/>
              </w:rPr>
              <w:t xml:space="preserve"> </w:t>
            </w:r>
            <w:r>
              <w:rPr>
                <w:rFonts w:hint="eastAsia" w:cs="Times New Roman" w:asciiTheme="minorEastAsia" w:hAnsiTheme="minorEastAsia"/>
                <w:color w:val="auto"/>
              </w:rPr>
              <w:t>□；开发量</w:t>
            </w:r>
            <w:r>
              <w:rPr>
                <w:rFonts w:cs="Times New Roman" w:asciiTheme="minorEastAsia" w:hAnsiTheme="minorEastAsia"/>
                <w:color w:val="auto"/>
              </w:rPr>
              <w:t xml:space="preserve"> </w:t>
            </w:r>
            <w:r>
              <w:rPr>
                <w:rFonts w:hint="eastAsia" w:cs="Times New Roman" w:asciiTheme="minorEastAsia" w:hAnsiTheme="minorEastAsia"/>
                <w:color w:val="auto"/>
              </w:rPr>
              <w:t>40%以上</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6D76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2A362EDC">
            <w:pPr>
              <w:spacing w:line="220" w:lineRule="atLeast"/>
              <w:jc w:val="center"/>
              <w:rPr>
                <w:rFonts w:cs="Times New Roman" w:asciiTheme="minorEastAsia" w:hAnsiTheme="minorEastAsia"/>
                <w:color w:val="auto"/>
              </w:rPr>
            </w:pPr>
          </w:p>
        </w:tc>
        <w:tc>
          <w:tcPr>
            <w:tcW w:w="901" w:type="dxa"/>
            <w:vMerge w:val="restart"/>
            <w:vAlign w:val="center"/>
          </w:tcPr>
          <w:p w14:paraId="7BB06EE2">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水文情势调查</w:t>
            </w:r>
          </w:p>
        </w:tc>
        <w:tc>
          <w:tcPr>
            <w:tcW w:w="3920" w:type="dxa"/>
            <w:gridSpan w:val="6"/>
            <w:vAlign w:val="center"/>
          </w:tcPr>
          <w:p w14:paraId="3A9AC073">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 xml:space="preserve">调查时期  </w:t>
            </w:r>
          </w:p>
        </w:tc>
        <w:tc>
          <w:tcPr>
            <w:tcW w:w="3821" w:type="dxa"/>
            <w:gridSpan w:val="7"/>
            <w:vAlign w:val="center"/>
          </w:tcPr>
          <w:p w14:paraId="5DD5C86D">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数据来源</w:t>
            </w:r>
          </w:p>
        </w:tc>
      </w:tr>
      <w:tr w14:paraId="1240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07E81F2D">
            <w:pPr>
              <w:spacing w:line="220" w:lineRule="atLeast"/>
              <w:jc w:val="center"/>
              <w:rPr>
                <w:rFonts w:cs="Times New Roman" w:asciiTheme="minorEastAsia" w:hAnsiTheme="minorEastAsia"/>
                <w:color w:val="auto"/>
              </w:rPr>
            </w:pPr>
          </w:p>
        </w:tc>
        <w:tc>
          <w:tcPr>
            <w:tcW w:w="901" w:type="dxa"/>
            <w:vMerge w:val="continue"/>
            <w:vAlign w:val="center"/>
          </w:tcPr>
          <w:p w14:paraId="6F00B412">
            <w:pPr>
              <w:spacing w:line="220" w:lineRule="atLeast"/>
              <w:jc w:val="center"/>
              <w:rPr>
                <w:rFonts w:cs="Times New Roman" w:asciiTheme="minorEastAsia" w:hAnsiTheme="minorEastAsia"/>
                <w:color w:val="auto"/>
              </w:rPr>
            </w:pPr>
          </w:p>
        </w:tc>
        <w:tc>
          <w:tcPr>
            <w:tcW w:w="3920" w:type="dxa"/>
            <w:gridSpan w:val="6"/>
            <w:vAlign w:val="center"/>
          </w:tcPr>
          <w:p w14:paraId="0909159F">
            <w:pPr>
              <w:spacing w:line="220" w:lineRule="atLeast"/>
              <w:rPr>
                <w:rFonts w:cs="Times New Roman" w:asciiTheme="minorEastAsia" w:hAnsiTheme="minorEastAsia"/>
                <w:color w:val="auto"/>
              </w:rPr>
            </w:pPr>
            <w:r>
              <w:rPr>
                <w:rFonts w:hint="eastAsia" w:cs="Times New Roman" w:asciiTheme="minorEastAsia" w:hAnsiTheme="minorEastAsia"/>
                <w:color w:val="auto"/>
              </w:rPr>
              <w:t>丰水期</w:t>
            </w:r>
            <w:r>
              <w:rPr>
                <w:rFonts w:cs="Times New Roman" w:asciiTheme="minorEastAsia" w:hAnsiTheme="minorEastAsia"/>
                <w:color w:val="auto"/>
              </w:rPr>
              <w:t xml:space="preserve"> </w:t>
            </w:r>
            <w:r>
              <w:rPr>
                <w:rFonts w:hint="eastAsia" w:cs="Times New Roman" w:asciiTheme="minorEastAsia" w:hAnsiTheme="minorEastAsia"/>
                <w:color w:val="auto"/>
              </w:rPr>
              <w:t>□；平水期</w:t>
            </w:r>
            <w:r>
              <w:rPr>
                <w:rFonts w:cs="Times New Roman" w:asciiTheme="minorEastAsia" w:hAnsiTheme="minorEastAsia"/>
                <w:color w:val="auto"/>
              </w:rPr>
              <w:t xml:space="preserve"> </w:t>
            </w:r>
            <w:r>
              <w:rPr>
                <w:rFonts w:hint="eastAsia" w:cs="Times New Roman" w:asciiTheme="minorEastAsia" w:hAnsiTheme="minorEastAsia"/>
                <w:color w:val="auto"/>
              </w:rPr>
              <w:t>□；枯水期</w:t>
            </w:r>
            <w:r>
              <w:rPr>
                <w:rFonts w:cs="Times New Roman" w:asciiTheme="minorEastAsia" w:hAnsiTheme="minorEastAsia"/>
                <w:color w:val="auto"/>
              </w:rPr>
              <w:t xml:space="preserve"> </w:t>
            </w:r>
            <w:r>
              <w:rPr>
                <w:rFonts w:hint="eastAsia" w:cs="Times New Roman" w:asciiTheme="minorEastAsia" w:hAnsiTheme="minorEastAsia"/>
                <w:color w:val="auto"/>
              </w:rPr>
              <w:t>□；冰封期</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3C8F2AA3">
            <w:pPr>
              <w:spacing w:line="220" w:lineRule="atLeast"/>
              <w:rPr>
                <w:rFonts w:cs="Times New Roman" w:asciiTheme="minorEastAsia" w:hAnsiTheme="minorEastAsia"/>
                <w:color w:val="auto"/>
              </w:rPr>
            </w:pPr>
            <w:r>
              <w:rPr>
                <w:rFonts w:hint="eastAsia" w:cs="Times New Roman" w:asciiTheme="minorEastAsia" w:hAnsiTheme="minorEastAsia"/>
                <w:color w:val="auto"/>
              </w:rPr>
              <w:t>春季</w:t>
            </w:r>
            <w:r>
              <w:rPr>
                <w:rFonts w:cs="Times New Roman" w:asciiTheme="minorEastAsia" w:hAnsiTheme="minorEastAsia"/>
                <w:color w:val="auto"/>
              </w:rPr>
              <w:t xml:space="preserve"> </w:t>
            </w:r>
            <w:r>
              <w:rPr>
                <w:rFonts w:hint="eastAsia" w:cs="Times New Roman" w:asciiTheme="minorEastAsia" w:hAnsiTheme="minorEastAsia"/>
                <w:color w:val="auto"/>
              </w:rPr>
              <w:t>□；夏季</w:t>
            </w:r>
            <w:r>
              <w:rPr>
                <w:rFonts w:cs="Times New Roman" w:asciiTheme="minorEastAsia" w:hAnsiTheme="minorEastAsia"/>
                <w:color w:val="auto"/>
              </w:rPr>
              <w:t xml:space="preserve"> </w:t>
            </w:r>
            <w:r>
              <w:rPr>
                <w:rFonts w:hint="eastAsia" w:cs="Times New Roman" w:asciiTheme="minorEastAsia" w:hAnsiTheme="minorEastAsia"/>
                <w:color w:val="auto"/>
              </w:rPr>
              <w:t>□；秋季</w:t>
            </w:r>
            <w:r>
              <w:rPr>
                <w:rFonts w:cs="Times New Roman" w:asciiTheme="minorEastAsia" w:hAnsiTheme="minorEastAsia"/>
                <w:color w:val="auto"/>
              </w:rPr>
              <w:t xml:space="preserve"> </w:t>
            </w:r>
            <w:r>
              <w:rPr>
                <w:rFonts w:hint="eastAsia" w:cs="Times New Roman" w:asciiTheme="minorEastAsia" w:hAnsiTheme="minorEastAsia"/>
                <w:color w:val="auto"/>
              </w:rPr>
              <w:t>□；冬季□</w:t>
            </w:r>
          </w:p>
        </w:tc>
        <w:tc>
          <w:tcPr>
            <w:tcW w:w="3821" w:type="dxa"/>
            <w:gridSpan w:val="7"/>
            <w:vAlign w:val="center"/>
          </w:tcPr>
          <w:p w14:paraId="5B6379B1">
            <w:pPr>
              <w:spacing w:line="220" w:lineRule="atLeast"/>
              <w:rPr>
                <w:rFonts w:cs="Times New Roman" w:asciiTheme="minorEastAsia" w:hAnsiTheme="minorEastAsia"/>
                <w:color w:val="auto"/>
              </w:rPr>
            </w:pPr>
            <w:r>
              <w:rPr>
                <w:rFonts w:hint="eastAsia" w:cs="Times New Roman" w:asciiTheme="minorEastAsia" w:hAnsiTheme="minorEastAsia"/>
                <w:color w:val="auto"/>
              </w:rPr>
              <w:t>水行政主管部门</w:t>
            </w:r>
            <w:r>
              <w:rPr>
                <w:rFonts w:cs="Times New Roman" w:asciiTheme="minorEastAsia" w:hAnsiTheme="minorEastAsia"/>
                <w:color w:val="auto"/>
              </w:rPr>
              <w:t xml:space="preserve"> </w:t>
            </w:r>
            <w:r>
              <w:rPr>
                <w:rFonts w:hint="eastAsia" w:cs="Times New Roman" w:asciiTheme="minorEastAsia" w:hAnsiTheme="minorEastAsia"/>
                <w:color w:val="auto"/>
              </w:rPr>
              <w:t>□；补充监测</w:t>
            </w:r>
            <w:r>
              <w:rPr>
                <w:rFonts w:cs="Times New Roman" w:asciiTheme="minorEastAsia" w:hAnsiTheme="minorEastAsia"/>
                <w:color w:val="auto"/>
              </w:rPr>
              <w:t xml:space="preserve"> </w:t>
            </w:r>
            <w:r>
              <w:rPr>
                <w:rFonts w:hint="eastAsia" w:cs="Times New Roman" w:asciiTheme="minorEastAsia" w:hAnsiTheme="minorEastAsia"/>
                <w:color w:val="auto"/>
              </w:rPr>
              <w:t>□；其他</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39DB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4C39B348">
            <w:pPr>
              <w:spacing w:line="220" w:lineRule="atLeast"/>
              <w:jc w:val="center"/>
              <w:rPr>
                <w:rFonts w:cs="Times New Roman" w:asciiTheme="minorEastAsia" w:hAnsiTheme="minorEastAsia"/>
                <w:color w:val="auto"/>
              </w:rPr>
            </w:pPr>
          </w:p>
        </w:tc>
        <w:tc>
          <w:tcPr>
            <w:tcW w:w="901" w:type="dxa"/>
            <w:vMerge w:val="restart"/>
            <w:vAlign w:val="center"/>
          </w:tcPr>
          <w:p w14:paraId="5C9F9F4E">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补充监测</w:t>
            </w:r>
          </w:p>
        </w:tc>
        <w:tc>
          <w:tcPr>
            <w:tcW w:w="3920" w:type="dxa"/>
            <w:gridSpan w:val="6"/>
            <w:vAlign w:val="center"/>
          </w:tcPr>
          <w:p w14:paraId="72AF5E7B">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监测时期</w:t>
            </w:r>
          </w:p>
        </w:tc>
        <w:tc>
          <w:tcPr>
            <w:tcW w:w="2268" w:type="dxa"/>
            <w:gridSpan w:val="5"/>
            <w:vAlign w:val="center"/>
          </w:tcPr>
          <w:p w14:paraId="4CC88B25">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监测因子</w:t>
            </w:r>
          </w:p>
        </w:tc>
        <w:tc>
          <w:tcPr>
            <w:tcW w:w="1553" w:type="dxa"/>
            <w:gridSpan w:val="2"/>
            <w:vAlign w:val="center"/>
          </w:tcPr>
          <w:p w14:paraId="448EEB06">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监测断面或点位</w:t>
            </w:r>
          </w:p>
        </w:tc>
      </w:tr>
      <w:tr w14:paraId="4582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27082B91">
            <w:pPr>
              <w:spacing w:line="220" w:lineRule="atLeast"/>
              <w:jc w:val="center"/>
              <w:rPr>
                <w:rFonts w:cs="Times New Roman" w:asciiTheme="minorEastAsia" w:hAnsiTheme="minorEastAsia"/>
                <w:color w:val="auto"/>
              </w:rPr>
            </w:pPr>
          </w:p>
        </w:tc>
        <w:tc>
          <w:tcPr>
            <w:tcW w:w="901" w:type="dxa"/>
            <w:vMerge w:val="continue"/>
            <w:vAlign w:val="center"/>
          </w:tcPr>
          <w:p w14:paraId="7F7C2340">
            <w:pPr>
              <w:spacing w:line="220" w:lineRule="atLeast"/>
              <w:jc w:val="center"/>
              <w:rPr>
                <w:rFonts w:cs="Times New Roman" w:asciiTheme="minorEastAsia" w:hAnsiTheme="minorEastAsia"/>
                <w:color w:val="auto"/>
              </w:rPr>
            </w:pPr>
          </w:p>
        </w:tc>
        <w:tc>
          <w:tcPr>
            <w:tcW w:w="3920" w:type="dxa"/>
            <w:gridSpan w:val="6"/>
            <w:vAlign w:val="center"/>
          </w:tcPr>
          <w:p w14:paraId="58615CB0">
            <w:pPr>
              <w:spacing w:line="220" w:lineRule="atLeast"/>
              <w:rPr>
                <w:rFonts w:cs="Times New Roman" w:asciiTheme="minorEastAsia" w:hAnsiTheme="minorEastAsia"/>
                <w:color w:val="auto"/>
              </w:rPr>
            </w:pPr>
            <w:r>
              <w:rPr>
                <w:rFonts w:hint="eastAsia" w:cs="Times New Roman" w:asciiTheme="minorEastAsia" w:hAnsiTheme="minorEastAsia"/>
                <w:color w:val="auto"/>
              </w:rPr>
              <w:t>丰水期</w:t>
            </w:r>
            <w:r>
              <w:rPr>
                <w:rFonts w:cs="Times New Roman" w:asciiTheme="minorEastAsia" w:hAnsiTheme="minorEastAsia"/>
                <w:color w:val="auto"/>
              </w:rPr>
              <w:t xml:space="preserve"> </w:t>
            </w:r>
            <w:r>
              <w:rPr>
                <w:rFonts w:hint="eastAsia" w:cs="Times New Roman" w:asciiTheme="minorEastAsia" w:hAnsiTheme="minorEastAsia"/>
                <w:color w:val="auto"/>
              </w:rPr>
              <w:t>□；平水期</w:t>
            </w:r>
            <w:r>
              <w:rPr>
                <w:rFonts w:cs="Times New Roman" w:asciiTheme="minorEastAsia" w:hAnsiTheme="minorEastAsia"/>
                <w:color w:val="auto"/>
              </w:rPr>
              <w:t xml:space="preserve"> </w:t>
            </w:r>
            <w:r>
              <w:rPr>
                <w:rFonts w:hint="eastAsia" w:cs="Times New Roman" w:asciiTheme="minorEastAsia" w:hAnsiTheme="minorEastAsia"/>
                <w:color w:val="auto"/>
              </w:rPr>
              <w:t>□；枯水期</w:t>
            </w:r>
            <w:r>
              <w:rPr>
                <w:rFonts w:cs="Times New Roman" w:asciiTheme="minorEastAsia" w:hAnsiTheme="minorEastAsia"/>
                <w:color w:val="auto"/>
              </w:rPr>
              <w:t xml:space="preserve"> </w:t>
            </w:r>
            <w:r>
              <w:rPr>
                <w:rFonts w:hint="eastAsia" w:cs="Times New Roman" w:asciiTheme="minorEastAsia" w:hAnsiTheme="minorEastAsia"/>
                <w:color w:val="auto"/>
              </w:rPr>
              <w:t>□；冰封期</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2A2DB151">
            <w:pPr>
              <w:spacing w:line="220" w:lineRule="atLeast"/>
              <w:rPr>
                <w:rFonts w:cs="Times New Roman" w:asciiTheme="minorEastAsia" w:hAnsiTheme="minorEastAsia"/>
                <w:color w:val="auto"/>
              </w:rPr>
            </w:pPr>
            <w:r>
              <w:rPr>
                <w:rFonts w:hint="eastAsia" w:cs="Times New Roman" w:asciiTheme="minorEastAsia" w:hAnsiTheme="minorEastAsia"/>
                <w:color w:val="auto"/>
              </w:rPr>
              <w:t>春季</w:t>
            </w:r>
            <w:r>
              <w:rPr>
                <w:rFonts w:cs="Times New Roman" w:asciiTheme="minorEastAsia" w:hAnsiTheme="minorEastAsia"/>
                <w:color w:val="auto"/>
              </w:rPr>
              <w:t xml:space="preserve"> </w:t>
            </w:r>
            <w:r>
              <w:rPr>
                <w:rFonts w:hint="eastAsia" w:cs="Times New Roman" w:asciiTheme="minorEastAsia" w:hAnsiTheme="minorEastAsia"/>
                <w:color w:val="auto"/>
              </w:rPr>
              <w:t>□；夏季</w:t>
            </w:r>
            <w:r>
              <w:rPr>
                <w:rFonts w:cs="Times New Roman" w:asciiTheme="minorEastAsia" w:hAnsiTheme="minorEastAsia"/>
                <w:color w:val="auto"/>
              </w:rPr>
              <w:t xml:space="preserve"> </w:t>
            </w:r>
            <w:r>
              <w:rPr>
                <w:rFonts w:hint="eastAsia" w:cs="Times New Roman" w:asciiTheme="minorEastAsia" w:hAnsiTheme="minorEastAsia"/>
                <w:color w:val="auto"/>
              </w:rPr>
              <w:t>√；秋季</w:t>
            </w:r>
            <w:r>
              <w:rPr>
                <w:rFonts w:cs="Times New Roman" w:asciiTheme="minorEastAsia" w:hAnsiTheme="minorEastAsia"/>
                <w:color w:val="auto"/>
              </w:rPr>
              <w:t xml:space="preserve"> </w:t>
            </w:r>
            <w:r>
              <w:rPr>
                <w:rFonts w:hint="eastAsia" w:cs="Times New Roman" w:asciiTheme="minorEastAsia" w:hAnsiTheme="minorEastAsia"/>
                <w:color w:val="auto"/>
              </w:rPr>
              <w:t>□；冬季□</w:t>
            </w:r>
          </w:p>
        </w:tc>
        <w:tc>
          <w:tcPr>
            <w:tcW w:w="2268" w:type="dxa"/>
            <w:gridSpan w:val="5"/>
            <w:vAlign w:val="center"/>
          </w:tcPr>
          <w:p w14:paraId="35F8410D">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（pH、COD、高锰酸盐指数、氨氮、BOD</w:t>
            </w:r>
            <w:r>
              <w:rPr>
                <w:rFonts w:cs="Times New Roman" w:asciiTheme="minorEastAsia" w:hAnsiTheme="minorEastAsia"/>
                <w:color w:val="auto"/>
                <w:vertAlign w:val="subscript"/>
              </w:rPr>
              <w:t>5</w:t>
            </w:r>
            <w:r>
              <w:rPr>
                <w:rFonts w:hint="eastAsia" w:cs="Times New Roman" w:asciiTheme="minorEastAsia" w:hAnsiTheme="minorEastAsia"/>
                <w:color w:val="auto"/>
              </w:rPr>
              <w:t>、总磷、总氮、石油类、溶解氧、水温）</w:t>
            </w:r>
          </w:p>
        </w:tc>
        <w:tc>
          <w:tcPr>
            <w:tcW w:w="1553" w:type="dxa"/>
            <w:gridSpan w:val="2"/>
            <w:vAlign w:val="center"/>
          </w:tcPr>
          <w:p w14:paraId="0FE45449">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监测断面或点位个数（2）个</w:t>
            </w:r>
          </w:p>
        </w:tc>
      </w:tr>
      <w:tr w14:paraId="41C3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restart"/>
            <w:vAlign w:val="center"/>
          </w:tcPr>
          <w:p w14:paraId="2E6D45FD">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现</w:t>
            </w:r>
          </w:p>
          <w:p w14:paraId="3122D1D4">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状</w:t>
            </w:r>
          </w:p>
          <w:p w14:paraId="1FD88078">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评</w:t>
            </w:r>
          </w:p>
          <w:p w14:paraId="4FC535E3">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价</w:t>
            </w:r>
          </w:p>
        </w:tc>
        <w:tc>
          <w:tcPr>
            <w:tcW w:w="901" w:type="dxa"/>
            <w:vAlign w:val="center"/>
          </w:tcPr>
          <w:p w14:paraId="5BB12B71">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评价范围</w:t>
            </w:r>
          </w:p>
        </w:tc>
        <w:tc>
          <w:tcPr>
            <w:tcW w:w="7741" w:type="dxa"/>
            <w:gridSpan w:val="13"/>
            <w:vAlign w:val="center"/>
          </w:tcPr>
          <w:p w14:paraId="36DC700F">
            <w:pPr>
              <w:spacing w:line="220" w:lineRule="atLeast"/>
              <w:rPr>
                <w:rFonts w:cs="Times New Roman" w:asciiTheme="minorEastAsia" w:hAnsiTheme="minorEastAsia"/>
                <w:color w:val="auto"/>
              </w:rPr>
            </w:pPr>
            <w:r>
              <w:rPr>
                <w:rFonts w:hint="eastAsia" w:cs="Times New Roman" w:asciiTheme="minorEastAsia" w:hAnsiTheme="minorEastAsia"/>
                <w:color w:val="auto"/>
              </w:rPr>
              <w:t>河流：长度（</w:t>
            </w:r>
            <w:r>
              <w:rPr>
                <w:rFonts w:cs="Times New Roman" w:asciiTheme="minorEastAsia" w:hAnsiTheme="minorEastAsia"/>
                <w:color w:val="auto"/>
              </w:rPr>
              <w:t xml:space="preserve"> </w:t>
            </w:r>
            <w:r>
              <w:rPr>
                <w:rFonts w:hint="eastAsia" w:cs="Times New Roman" w:asciiTheme="minorEastAsia" w:hAnsiTheme="minorEastAsia"/>
                <w:color w:val="auto"/>
              </w:rPr>
              <w:t>）km；湖库、河口及近岸海域：面积（</w:t>
            </w:r>
            <w:r>
              <w:rPr>
                <w:rFonts w:cs="Times New Roman" w:asciiTheme="minorEastAsia" w:hAnsiTheme="minorEastAsia"/>
                <w:color w:val="auto"/>
              </w:rPr>
              <w:t xml:space="preserve"> </w:t>
            </w:r>
            <w:r>
              <w:rPr>
                <w:rFonts w:hint="eastAsia" w:cs="Times New Roman" w:asciiTheme="minorEastAsia" w:hAnsiTheme="minorEastAsia"/>
                <w:color w:val="auto"/>
              </w:rPr>
              <w:t>）km</w:t>
            </w:r>
            <w:r>
              <w:rPr>
                <w:rFonts w:cs="Times New Roman" w:asciiTheme="minorEastAsia" w:hAnsiTheme="minorEastAsia"/>
                <w:color w:val="auto"/>
                <w:vertAlign w:val="superscript"/>
              </w:rPr>
              <w:t>2</w:t>
            </w:r>
          </w:p>
        </w:tc>
      </w:tr>
      <w:tr w14:paraId="5836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0CAC88FA">
            <w:pPr>
              <w:spacing w:line="220" w:lineRule="atLeast"/>
              <w:jc w:val="center"/>
              <w:rPr>
                <w:rFonts w:cs="Times New Roman" w:asciiTheme="minorEastAsia" w:hAnsiTheme="minorEastAsia"/>
                <w:color w:val="auto"/>
              </w:rPr>
            </w:pPr>
          </w:p>
        </w:tc>
        <w:tc>
          <w:tcPr>
            <w:tcW w:w="901" w:type="dxa"/>
            <w:vAlign w:val="center"/>
          </w:tcPr>
          <w:p w14:paraId="520F8927">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评价因子</w:t>
            </w:r>
          </w:p>
        </w:tc>
        <w:tc>
          <w:tcPr>
            <w:tcW w:w="7741" w:type="dxa"/>
            <w:gridSpan w:val="13"/>
            <w:vAlign w:val="center"/>
          </w:tcPr>
          <w:p w14:paraId="390D8F0F">
            <w:pPr>
              <w:spacing w:line="220" w:lineRule="atLeast"/>
              <w:rPr>
                <w:rFonts w:cs="Times New Roman" w:asciiTheme="minorEastAsia" w:hAnsiTheme="minorEastAsia"/>
                <w:color w:val="auto"/>
              </w:rPr>
            </w:pPr>
            <w:r>
              <w:rPr>
                <w:rFonts w:hint="eastAsia" w:cs="Times New Roman" w:asciiTheme="minorEastAsia" w:hAnsiTheme="minorEastAsia"/>
                <w:color w:val="auto"/>
              </w:rPr>
              <w:t>（pH、COD、高锰酸盐指数、氨氮、BOD</w:t>
            </w:r>
            <w:r>
              <w:rPr>
                <w:rFonts w:cs="Times New Roman" w:asciiTheme="minorEastAsia" w:hAnsiTheme="minorEastAsia"/>
                <w:color w:val="auto"/>
                <w:vertAlign w:val="subscript"/>
              </w:rPr>
              <w:t>5</w:t>
            </w:r>
            <w:r>
              <w:rPr>
                <w:rFonts w:hint="eastAsia" w:cs="Times New Roman" w:asciiTheme="minorEastAsia" w:hAnsiTheme="minorEastAsia"/>
                <w:color w:val="auto"/>
              </w:rPr>
              <w:t>、总磷、总氮、石油类、溶解氧、水温）</w:t>
            </w:r>
          </w:p>
        </w:tc>
      </w:tr>
      <w:tr w14:paraId="216C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2D0C3E59">
            <w:pPr>
              <w:spacing w:line="220" w:lineRule="atLeast"/>
              <w:jc w:val="center"/>
              <w:rPr>
                <w:rFonts w:cs="Times New Roman" w:asciiTheme="minorEastAsia" w:hAnsiTheme="minorEastAsia"/>
                <w:color w:val="auto"/>
              </w:rPr>
            </w:pPr>
          </w:p>
        </w:tc>
        <w:tc>
          <w:tcPr>
            <w:tcW w:w="901" w:type="dxa"/>
            <w:vAlign w:val="center"/>
          </w:tcPr>
          <w:p w14:paraId="49C0AFBA">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评价标准</w:t>
            </w:r>
          </w:p>
        </w:tc>
        <w:tc>
          <w:tcPr>
            <w:tcW w:w="7741" w:type="dxa"/>
            <w:gridSpan w:val="13"/>
            <w:vAlign w:val="center"/>
          </w:tcPr>
          <w:p w14:paraId="002252C8">
            <w:pPr>
              <w:spacing w:line="220" w:lineRule="atLeast"/>
              <w:rPr>
                <w:rFonts w:cs="Times New Roman" w:asciiTheme="minorEastAsia" w:hAnsiTheme="minorEastAsia"/>
                <w:color w:val="auto"/>
              </w:rPr>
            </w:pPr>
            <w:r>
              <w:rPr>
                <w:rFonts w:hint="eastAsia" w:cs="Times New Roman" w:asciiTheme="minorEastAsia" w:hAnsiTheme="minorEastAsia"/>
                <w:color w:val="auto"/>
              </w:rPr>
              <w:t>河流、湖库、河口：Ⅰ类</w:t>
            </w:r>
            <w:r>
              <w:rPr>
                <w:rFonts w:cs="Times New Roman" w:asciiTheme="minorEastAsia" w:hAnsiTheme="minorEastAsia"/>
                <w:color w:val="auto"/>
              </w:rPr>
              <w:t xml:space="preserve"> </w:t>
            </w:r>
            <w:r>
              <w:rPr>
                <w:rFonts w:hint="eastAsia" w:cs="Times New Roman" w:asciiTheme="minorEastAsia" w:hAnsiTheme="minorEastAsia"/>
                <w:color w:val="auto"/>
              </w:rPr>
              <w:t>□；Ⅱ类</w:t>
            </w:r>
            <w:r>
              <w:rPr>
                <w:rFonts w:cs="Times New Roman" w:asciiTheme="minorEastAsia" w:hAnsiTheme="minorEastAsia"/>
                <w:color w:val="auto"/>
              </w:rPr>
              <w:t xml:space="preserve"> </w:t>
            </w:r>
            <w:r>
              <w:rPr>
                <w:rFonts w:hint="eastAsia" w:cs="Times New Roman" w:asciiTheme="minorEastAsia" w:hAnsiTheme="minorEastAsia"/>
                <w:color w:val="auto"/>
              </w:rPr>
              <w:t>□；Ⅲ类</w:t>
            </w:r>
            <w:r>
              <w:rPr>
                <w:rFonts w:cs="Times New Roman" w:asciiTheme="minorEastAsia" w:hAnsiTheme="minorEastAsia"/>
                <w:color w:val="auto"/>
              </w:rPr>
              <w:t xml:space="preserve"> </w:t>
            </w:r>
            <w:r>
              <w:rPr>
                <w:rFonts w:hint="eastAsia" w:cs="Times New Roman" w:asciiTheme="minorEastAsia" w:hAnsiTheme="minorEastAsia"/>
                <w:color w:val="auto"/>
              </w:rPr>
              <w:t>□；Ⅳ类</w:t>
            </w:r>
            <w:r>
              <w:rPr>
                <w:rFonts w:cs="Times New Roman" w:asciiTheme="minorEastAsia" w:hAnsiTheme="minorEastAsia"/>
                <w:color w:val="auto"/>
              </w:rPr>
              <w:t xml:space="preserve"> </w:t>
            </w:r>
            <w:r>
              <w:rPr>
                <w:rFonts w:hint="eastAsia" w:cs="Times New Roman" w:asciiTheme="minorEastAsia" w:hAnsiTheme="minorEastAsia"/>
                <w:color w:val="auto"/>
              </w:rPr>
              <w:t>□；Ⅴ类</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3FCE7ED3">
            <w:pPr>
              <w:spacing w:line="220" w:lineRule="atLeast"/>
              <w:rPr>
                <w:rFonts w:cs="Times New Roman" w:asciiTheme="minorEastAsia" w:hAnsiTheme="minorEastAsia"/>
                <w:color w:val="auto"/>
              </w:rPr>
            </w:pPr>
            <w:r>
              <w:rPr>
                <w:rFonts w:hint="eastAsia" w:cs="Times New Roman" w:asciiTheme="minorEastAsia" w:hAnsiTheme="minorEastAsia"/>
                <w:color w:val="auto"/>
              </w:rPr>
              <w:t>近岸海域：第一类</w:t>
            </w:r>
            <w:r>
              <w:rPr>
                <w:rFonts w:cs="Times New Roman" w:asciiTheme="minorEastAsia" w:hAnsiTheme="minorEastAsia"/>
                <w:color w:val="auto"/>
              </w:rPr>
              <w:t xml:space="preserve"> </w:t>
            </w:r>
            <w:r>
              <w:rPr>
                <w:rFonts w:hint="eastAsia" w:cs="Times New Roman" w:asciiTheme="minorEastAsia" w:hAnsiTheme="minorEastAsia"/>
                <w:color w:val="auto"/>
              </w:rPr>
              <w:t>□；第二类</w:t>
            </w:r>
            <w:r>
              <w:rPr>
                <w:rFonts w:cs="Times New Roman" w:asciiTheme="minorEastAsia" w:hAnsiTheme="minorEastAsia"/>
                <w:color w:val="auto"/>
              </w:rPr>
              <w:t xml:space="preserve"> </w:t>
            </w:r>
            <w:r>
              <w:rPr>
                <w:rFonts w:hint="eastAsia" w:cs="Times New Roman" w:asciiTheme="minorEastAsia" w:hAnsiTheme="minorEastAsia"/>
                <w:color w:val="auto"/>
              </w:rPr>
              <w:t>□；第三类</w:t>
            </w:r>
            <w:r>
              <w:rPr>
                <w:rFonts w:cs="Times New Roman" w:asciiTheme="minorEastAsia" w:hAnsiTheme="minorEastAsia"/>
                <w:color w:val="auto"/>
              </w:rPr>
              <w:t xml:space="preserve"> </w:t>
            </w:r>
            <w:r>
              <w:rPr>
                <w:rFonts w:hint="eastAsia" w:cs="Times New Roman" w:asciiTheme="minorEastAsia" w:hAnsiTheme="minorEastAsia"/>
                <w:color w:val="auto"/>
              </w:rPr>
              <w:t>□；第四类</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6FE43905">
            <w:pPr>
              <w:spacing w:line="220" w:lineRule="atLeast"/>
              <w:rPr>
                <w:rFonts w:cs="Times New Roman" w:asciiTheme="minorEastAsia" w:hAnsiTheme="minorEastAsia"/>
                <w:color w:val="auto"/>
              </w:rPr>
            </w:pPr>
            <w:r>
              <w:rPr>
                <w:rFonts w:hint="eastAsia" w:cs="Times New Roman" w:asciiTheme="minorEastAsia" w:hAnsiTheme="minorEastAsia"/>
                <w:color w:val="auto"/>
              </w:rPr>
              <w:t>规划年评价标准（</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25C1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58425907">
            <w:pPr>
              <w:spacing w:line="220" w:lineRule="atLeast"/>
              <w:jc w:val="center"/>
              <w:rPr>
                <w:rFonts w:cs="Times New Roman" w:asciiTheme="minorEastAsia" w:hAnsiTheme="minorEastAsia"/>
                <w:color w:val="auto"/>
              </w:rPr>
            </w:pPr>
          </w:p>
        </w:tc>
        <w:tc>
          <w:tcPr>
            <w:tcW w:w="901" w:type="dxa"/>
            <w:vAlign w:val="center"/>
          </w:tcPr>
          <w:p w14:paraId="045E5024">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评价时期</w:t>
            </w:r>
          </w:p>
        </w:tc>
        <w:tc>
          <w:tcPr>
            <w:tcW w:w="7741" w:type="dxa"/>
            <w:gridSpan w:val="13"/>
            <w:vAlign w:val="center"/>
          </w:tcPr>
          <w:p w14:paraId="31352C74">
            <w:pPr>
              <w:spacing w:line="220" w:lineRule="atLeast"/>
              <w:rPr>
                <w:rFonts w:cs="Times New Roman" w:asciiTheme="minorEastAsia" w:hAnsiTheme="minorEastAsia"/>
                <w:color w:val="auto"/>
              </w:rPr>
            </w:pPr>
            <w:r>
              <w:rPr>
                <w:rFonts w:hint="eastAsia" w:cs="Times New Roman" w:asciiTheme="minorEastAsia" w:hAnsiTheme="minorEastAsia"/>
                <w:color w:val="auto"/>
              </w:rPr>
              <w:t>丰水期</w:t>
            </w:r>
            <w:r>
              <w:rPr>
                <w:rFonts w:cs="Times New Roman" w:asciiTheme="minorEastAsia" w:hAnsiTheme="minorEastAsia"/>
                <w:color w:val="auto"/>
              </w:rPr>
              <w:t xml:space="preserve"> </w:t>
            </w:r>
            <w:r>
              <w:rPr>
                <w:rFonts w:hint="eastAsia" w:cs="Times New Roman" w:asciiTheme="minorEastAsia" w:hAnsiTheme="minorEastAsia"/>
                <w:color w:val="auto"/>
              </w:rPr>
              <w:t>□；平水期</w:t>
            </w:r>
            <w:r>
              <w:rPr>
                <w:rFonts w:cs="Times New Roman" w:asciiTheme="minorEastAsia" w:hAnsiTheme="minorEastAsia"/>
                <w:color w:val="auto"/>
              </w:rPr>
              <w:t xml:space="preserve"> </w:t>
            </w:r>
            <w:r>
              <w:rPr>
                <w:rFonts w:hint="eastAsia" w:cs="Times New Roman" w:asciiTheme="minorEastAsia" w:hAnsiTheme="minorEastAsia"/>
                <w:color w:val="auto"/>
              </w:rPr>
              <w:t>□；枯水期</w:t>
            </w:r>
            <w:r>
              <w:rPr>
                <w:rFonts w:cs="Times New Roman" w:asciiTheme="minorEastAsia" w:hAnsiTheme="minorEastAsia"/>
                <w:color w:val="auto"/>
              </w:rPr>
              <w:t xml:space="preserve"> </w:t>
            </w:r>
            <w:r>
              <w:rPr>
                <w:rFonts w:hint="eastAsia" w:cs="Times New Roman" w:asciiTheme="minorEastAsia" w:hAnsiTheme="minorEastAsia"/>
                <w:color w:val="auto"/>
              </w:rPr>
              <w:t>□；冰封期</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5FF71A88">
            <w:pPr>
              <w:spacing w:line="220" w:lineRule="atLeast"/>
              <w:rPr>
                <w:rFonts w:cs="Times New Roman" w:asciiTheme="minorEastAsia" w:hAnsiTheme="minorEastAsia"/>
                <w:color w:val="auto"/>
              </w:rPr>
            </w:pPr>
            <w:r>
              <w:rPr>
                <w:rFonts w:hint="eastAsia" w:cs="Times New Roman" w:asciiTheme="minorEastAsia" w:hAnsiTheme="minorEastAsia"/>
                <w:color w:val="auto"/>
              </w:rPr>
              <w:t>春季</w:t>
            </w:r>
            <w:r>
              <w:rPr>
                <w:rFonts w:cs="Times New Roman" w:asciiTheme="minorEastAsia" w:hAnsiTheme="minorEastAsia"/>
                <w:color w:val="auto"/>
              </w:rPr>
              <w:t xml:space="preserve"> </w:t>
            </w:r>
            <w:r>
              <w:rPr>
                <w:rFonts w:hint="eastAsia" w:cs="Times New Roman" w:asciiTheme="minorEastAsia" w:hAnsiTheme="minorEastAsia"/>
                <w:color w:val="auto"/>
              </w:rPr>
              <w:t>□；夏季</w:t>
            </w:r>
            <w:r>
              <w:rPr>
                <w:rFonts w:cs="Times New Roman" w:asciiTheme="minorEastAsia" w:hAnsiTheme="minorEastAsia"/>
                <w:color w:val="auto"/>
              </w:rPr>
              <w:t xml:space="preserve"> </w:t>
            </w:r>
            <w:r>
              <w:rPr>
                <w:rFonts w:hint="eastAsia" w:cs="Times New Roman" w:asciiTheme="minorEastAsia" w:hAnsiTheme="minorEastAsia"/>
                <w:color w:val="auto"/>
              </w:rPr>
              <w:t>□；秋季；√冬季</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79B4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147040EC">
            <w:pPr>
              <w:spacing w:line="220" w:lineRule="atLeast"/>
              <w:jc w:val="center"/>
              <w:rPr>
                <w:rFonts w:cs="Times New Roman" w:asciiTheme="minorEastAsia" w:hAnsiTheme="minorEastAsia"/>
                <w:color w:val="auto"/>
              </w:rPr>
            </w:pPr>
          </w:p>
        </w:tc>
        <w:tc>
          <w:tcPr>
            <w:tcW w:w="901" w:type="dxa"/>
            <w:vAlign w:val="center"/>
          </w:tcPr>
          <w:p w14:paraId="31774BD1">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评价结论</w:t>
            </w:r>
          </w:p>
        </w:tc>
        <w:tc>
          <w:tcPr>
            <w:tcW w:w="6482" w:type="dxa"/>
            <w:gridSpan w:val="12"/>
            <w:vAlign w:val="center"/>
          </w:tcPr>
          <w:p w14:paraId="48A45F9A">
            <w:pPr>
              <w:spacing w:line="220" w:lineRule="atLeast"/>
              <w:rPr>
                <w:rFonts w:cs="Times New Roman" w:asciiTheme="minorEastAsia" w:hAnsiTheme="minorEastAsia"/>
                <w:color w:val="auto"/>
              </w:rPr>
            </w:pPr>
            <w:r>
              <w:rPr>
                <w:rFonts w:hint="eastAsia" w:cs="Times New Roman" w:asciiTheme="minorEastAsia" w:hAnsiTheme="minorEastAsia"/>
                <w:color w:val="auto"/>
              </w:rPr>
              <w:t>水环境功能区或水功能区、近岸海域环境功能区水质达标状况□：达标</w:t>
            </w:r>
            <w:r>
              <w:rPr>
                <w:rFonts w:cs="Times New Roman" w:asciiTheme="minorEastAsia" w:hAnsiTheme="minorEastAsia"/>
                <w:color w:val="auto"/>
              </w:rPr>
              <w:t xml:space="preserve"> </w:t>
            </w:r>
            <w:r>
              <w:rPr>
                <w:rFonts w:hint="eastAsia" w:cs="Times New Roman" w:asciiTheme="minorEastAsia" w:hAnsiTheme="minorEastAsia"/>
                <w:color w:val="auto"/>
              </w:rPr>
              <w:t>□；不达标</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64F46625">
            <w:pPr>
              <w:spacing w:line="220" w:lineRule="atLeast"/>
              <w:rPr>
                <w:rFonts w:cs="Times New Roman" w:asciiTheme="minorEastAsia" w:hAnsiTheme="minorEastAsia"/>
                <w:color w:val="auto"/>
              </w:rPr>
            </w:pPr>
            <w:r>
              <w:rPr>
                <w:rFonts w:hint="eastAsia" w:cs="Times New Roman" w:asciiTheme="minorEastAsia" w:hAnsiTheme="minorEastAsia"/>
                <w:color w:val="auto"/>
              </w:rPr>
              <w:t>水环境控制单元或断面水质达标状况</w:t>
            </w:r>
            <w:r>
              <w:rPr>
                <w:rFonts w:cs="Times New Roman" w:asciiTheme="minorEastAsia" w:hAnsiTheme="minorEastAsia"/>
                <w:color w:val="auto"/>
              </w:rPr>
              <w:t xml:space="preserve"> </w:t>
            </w:r>
            <w:r>
              <w:rPr>
                <w:rFonts w:hint="eastAsia" w:cs="Times New Roman" w:asciiTheme="minorEastAsia" w:hAnsiTheme="minorEastAsia"/>
                <w:color w:val="auto"/>
              </w:rPr>
              <w:t>□：达标</w:t>
            </w:r>
            <w:r>
              <w:rPr>
                <w:rFonts w:cs="Times New Roman" w:asciiTheme="minorEastAsia" w:hAnsiTheme="minorEastAsia"/>
                <w:color w:val="auto"/>
              </w:rPr>
              <w:t xml:space="preserve"> </w:t>
            </w:r>
            <w:r>
              <w:rPr>
                <w:rFonts w:hint="eastAsia" w:cs="Times New Roman" w:asciiTheme="minorEastAsia" w:hAnsiTheme="minorEastAsia"/>
                <w:color w:val="auto"/>
              </w:rPr>
              <w:t>□；不达标</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0EFF730F">
            <w:pPr>
              <w:spacing w:line="220" w:lineRule="atLeast"/>
              <w:rPr>
                <w:rFonts w:cs="Times New Roman" w:asciiTheme="minorEastAsia" w:hAnsiTheme="minorEastAsia"/>
                <w:color w:val="auto"/>
              </w:rPr>
            </w:pPr>
            <w:r>
              <w:rPr>
                <w:rFonts w:hint="eastAsia" w:cs="Times New Roman" w:asciiTheme="minorEastAsia" w:hAnsiTheme="minorEastAsia"/>
                <w:color w:val="auto"/>
              </w:rPr>
              <w:t>水环境保护目标质量状况</w:t>
            </w:r>
            <w:r>
              <w:rPr>
                <w:rFonts w:cs="Times New Roman" w:asciiTheme="minorEastAsia" w:hAnsiTheme="minorEastAsia"/>
                <w:color w:val="auto"/>
              </w:rPr>
              <w:t xml:space="preserve"> </w:t>
            </w:r>
            <w:r>
              <w:rPr>
                <w:rFonts w:hint="eastAsia" w:cs="Times New Roman" w:asciiTheme="minorEastAsia" w:hAnsiTheme="minorEastAsia"/>
                <w:color w:val="auto"/>
              </w:rPr>
              <w:t>□：达标</w:t>
            </w:r>
            <w:r>
              <w:rPr>
                <w:rFonts w:cs="Times New Roman" w:asciiTheme="minorEastAsia" w:hAnsiTheme="minorEastAsia"/>
                <w:color w:val="auto"/>
              </w:rPr>
              <w:t xml:space="preserve"> </w:t>
            </w:r>
            <w:r>
              <w:rPr>
                <w:rFonts w:hint="eastAsia" w:cs="Times New Roman" w:asciiTheme="minorEastAsia" w:hAnsiTheme="minorEastAsia"/>
                <w:color w:val="auto"/>
              </w:rPr>
              <w:t>□；不达标</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78EDC337">
            <w:pPr>
              <w:spacing w:line="220" w:lineRule="atLeast"/>
              <w:rPr>
                <w:rFonts w:cs="Times New Roman" w:asciiTheme="minorEastAsia" w:hAnsiTheme="minorEastAsia"/>
                <w:color w:val="auto"/>
              </w:rPr>
            </w:pPr>
            <w:r>
              <w:rPr>
                <w:rFonts w:hint="eastAsia" w:cs="Times New Roman" w:asciiTheme="minorEastAsia" w:hAnsiTheme="minorEastAsia"/>
                <w:color w:val="auto"/>
              </w:rPr>
              <w:t>对照断面、控制断面等代表性断面的水质状况</w:t>
            </w:r>
            <w:r>
              <w:rPr>
                <w:rFonts w:cs="Times New Roman" w:asciiTheme="minorEastAsia" w:hAnsiTheme="minorEastAsia"/>
                <w:color w:val="auto"/>
              </w:rPr>
              <w:t xml:space="preserve"> </w:t>
            </w:r>
            <w:r>
              <w:rPr>
                <w:rFonts w:hint="eastAsia" w:cs="Times New Roman" w:asciiTheme="minorEastAsia" w:hAnsiTheme="minorEastAsia"/>
                <w:color w:val="auto"/>
              </w:rPr>
              <w:t>□：达标</w:t>
            </w:r>
            <w:r>
              <w:rPr>
                <w:rFonts w:cs="Times New Roman" w:asciiTheme="minorEastAsia" w:hAnsiTheme="minorEastAsia"/>
                <w:color w:val="auto"/>
              </w:rPr>
              <w:t xml:space="preserve"> </w:t>
            </w:r>
            <w:r>
              <w:rPr>
                <w:rFonts w:hint="eastAsia" w:cs="Times New Roman" w:asciiTheme="minorEastAsia" w:hAnsiTheme="minorEastAsia"/>
                <w:color w:val="auto"/>
              </w:rPr>
              <w:t>□；不达标□</w:t>
            </w:r>
          </w:p>
          <w:p w14:paraId="5466FABB">
            <w:pPr>
              <w:spacing w:line="220" w:lineRule="atLeast"/>
              <w:rPr>
                <w:rFonts w:cs="Times New Roman" w:asciiTheme="minorEastAsia" w:hAnsiTheme="minorEastAsia"/>
                <w:color w:val="auto"/>
              </w:rPr>
            </w:pPr>
            <w:r>
              <w:rPr>
                <w:rFonts w:hint="eastAsia" w:cs="Times New Roman" w:asciiTheme="minorEastAsia" w:hAnsiTheme="minorEastAsia"/>
                <w:color w:val="auto"/>
              </w:rPr>
              <w:t>底泥污染评价</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0DADCB8D">
            <w:pPr>
              <w:spacing w:line="220" w:lineRule="atLeast"/>
              <w:rPr>
                <w:rFonts w:cs="Times New Roman" w:asciiTheme="minorEastAsia" w:hAnsiTheme="minorEastAsia"/>
                <w:color w:val="auto"/>
              </w:rPr>
            </w:pPr>
            <w:r>
              <w:rPr>
                <w:rFonts w:hint="eastAsia" w:cs="Times New Roman" w:asciiTheme="minorEastAsia" w:hAnsiTheme="minorEastAsia"/>
                <w:color w:val="auto"/>
              </w:rPr>
              <w:t>水资源与开发利用程度及其水文情势评价</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5F669E1D">
            <w:pPr>
              <w:spacing w:line="220" w:lineRule="atLeast"/>
              <w:rPr>
                <w:rFonts w:cs="Times New Roman" w:asciiTheme="minorEastAsia" w:hAnsiTheme="minorEastAsia"/>
                <w:color w:val="auto"/>
              </w:rPr>
            </w:pPr>
            <w:r>
              <w:rPr>
                <w:rFonts w:hint="eastAsia" w:cs="Times New Roman" w:asciiTheme="minorEastAsia" w:hAnsiTheme="minorEastAsia"/>
                <w:color w:val="auto"/>
              </w:rPr>
              <w:t>水环境质量回顾评价</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7ECC99B8">
            <w:pPr>
              <w:spacing w:line="220" w:lineRule="atLeast"/>
              <w:rPr>
                <w:rFonts w:cs="Times New Roman" w:asciiTheme="minorEastAsia" w:hAnsiTheme="minorEastAsia"/>
                <w:color w:val="auto"/>
              </w:rPr>
            </w:pPr>
            <w:r>
              <w:rPr>
                <w:rFonts w:hint="eastAsia" w:cs="Times New Roman" w:asciiTheme="minorEastAsia" w:hAnsiTheme="minorEastAsia"/>
                <w:color w:val="auto"/>
              </w:rPr>
              <w:t>流域（区域）水资源（包括水能资源）与开发利用总体状况、生态流量管理要求与现状满足程度、建设项目占用水域空间的水流状况与河湖演变状况</w:t>
            </w:r>
            <w:r>
              <w:rPr>
                <w:rFonts w:cs="Times New Roman" w:asciiTheme="minorEastAsia" w:hAnsiTheme="minorEastAsia"/>
                <w:color w:val="auto"/>
              </w:rPr>
              <w:t xml:space="preserve"> </w:t>
            </w:r>
            <w:r>
              <w:rPr>
                <w:rFonts w:hint="eastAsia" w:cs="Times New Roman" w:asciiTheme="minorEastAsia" w:hAnsiTheme="minorEastAsia"/>
                <w:color w:val="auto"/>
              </w:rPr>
              <w:t>□</w:t>
            </w:r>
          </w:p>
        </w:tc>
        <w:tc>
          <w:tcPr>
            <w:tcW w:w="1259" w:type="dxa"/>
            <w:vAlign w:val="center"/>
          </w:tcPr>
          <w:p w14:paraId="0A322A39">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达标区□</w:t>
            </w:r>
          </w:p>
          <w:p w14:paraId="418A8248">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不达标区□</w:t>
            </w:r>
          </w:p>
        </w:tc>
      </w:tr>
      <w:tr w14:paraId="3633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restart"/>
            <w:vAlign w:val="center"/>
          </w:tcPr>
          <w:p w14:paraId="29FA79B7">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影</w:t>
            </w:r>
          </w:p>
          <w:p w14:paraId="091C3A46">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响</w:t>
            </w:r>
          </w:p>
          <w:p w14:paraId="1AF44C46">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预</w:t>
            </w:r>
          </w:p>
          <w:p w14:paraId="291EDFCA">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测</w:t>
            </w:r>
          </w:p>
        </w:tc>
        <w:tc>
          <w:tcPr>
            <w:tcW w:w="901" w:type="dxa"/>
            <w:vAlign w:val="center"/>
          </w:tcPr>
          <w:p w14:paraId="207C115D">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预测范围</w:t>
            </w:r>
          </w:p>
        </w:tc>
        <w:tc>
          <w:tcPr>
            <w:tcW w:w="7741" w:type="dxa"/>
            <w:gridSpan w:val="13"/>
            <w:vAlign w:val="center"/>
          </w:tcPr>
          <w:p w14:paraId="52B2F37A">
            <w:pPr>
              <w:spacing w:line="220" w:lineRule="atLeast"/>
              <w:rPr>
                <w:rFonts w:cs="Times New Roman" w:asciiTheme="minorEastAsia" w:hAnsiTheme="minorEastAsia"/>
                <w:color w:val="auto"/>
              </w:rPr>
            </w:pPr>
            <w:r>
              <w:rPr>
                <w:rFonts w:hint="eastAsia" w:cs="Times New Roman" w:asciiTheme="minorEastAsia" w:hAnsiTheme="minorEastAsia"/>
                <w:color w:val="auto"/>
              </w:rPr>
              <w:t>河流：长度（</w:t>
            </w:r>
            <w:r>
              <w:rPr>
                <w:rFonts w:cs="Times New Roman" w:asciiTheme="minorEastAsia" w:hAnsiTheme="minorEastAsia"/>
                <w:color w:val="auto"/>
              </w:rPr>
              <w:t xml:space="preserve"> </w:t>
            </w:r>
            <w:r>
              <w:rPr>
                <w:rFonts w:hint="eastAsia" w:cs="Times New Roman" w:asciiTheme="minorEastAsia" w:hAnsiTheme="minorEastAsia"/>
                <w:color w:val="auto"/>
              </w:rPr>
              <w:t>）km；湖库、河口及近岸海域：面积（</w:t>
            </w:r>
            <w:r>
              <w:rPr>
                <w:rFonts w:cs="Times New Roman" w:asciiTheme="minorEastAsia" w:hAnsiTheme="minorEastAsia"/>
                <w:color w:val="auto"/>
              </w:rPr>
              <w:t xml:space="preserve"> </w:t>
            </w:r>
            <w:r>
              <w:rPr>
                <w:rFonts w:hint="eastAsia" w:cs="Times New Roman" w:asciiTheme="minorEastAsia" w:hAnsiTheme="minorEastAsia"/>
                <w:color w:val="auto"/>
              </w:rPr>
              <w:t>）km</w:t>
            </w:r>
            <w:r>
              <w:rPr>
                <w:rFonts w:cs="Times New Roman" w:asciiTheme="minorEastAsia" w:hAnsiTheme="minorEastAsia"/>
                <w:color w:val="auto"/>
                <w:vertAlign w:val="superscript"/>
              </w:rPr>
              <w:t>2</w:t>
            </w:r>
          </w:p>
        </w:tc>
      </w:tr>
      <w:tr w14:paraId="3A26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6E3EF117">
            <w:pPr>
              <w:spacing w:line="220" w:lineRule="atLeast"/>
              <w:jc w:val="center"/>
              <w:rPr>
                <w:rFonts w:cs="Times New Roman" w:asciiTheme="minorEastAsia" w:hAnsiTheme="minorEastAsia"/>
                <w:color w:val="auto"/>
              </w:rPr>
            </w:pPr>
          </w:p>
        </w:tc>
        <w:tc>
          <w:tcPr>
            <w:tcW w:w="901" w:type="dxa"/>
            <w:vAlign w:val="center"/>
          </w:tcPr>
          <w:p w14:paraId="7FB3E435">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预测因子</w:t>
            </w:r>
          </w:p>
        </w:tc>
        <w:tc>
          <w:tcPr>
            <w:tcW w:w="7741" w:type="dxa"/>
            <w:gridSpan w:val="13"/>
            <w:vAlign w:val="center"/>
          </w:tcPr>
          <w:p w14:paraId="3346B1FA">
            <w:pPr>
              <w:spacing w:line="220" w:lineRule="atLeast"/>
              <w:rPr>
                <w:rFonts w:cs="Times New Roman" w:asciiTheme="minorEastAsia" w:hAnsiTheme="minorEastAsia"/>
                <w:color w:val="auto"/>
              </w:rPr>
            </w:pPr>
            <w:r>
              <w:rPr>
                <w:rFonts w:hint="eastAsia" w:cs="Times New Roman" w:asciiTheme="minorEastAsia" w:hAnsiTheme="minorEastAsia"/>
                <w:color w:val="auto"/>
              </w:rPr>
              <w:t>（</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0DE9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73F74B08">
            <w:pPr>
              <w:spacing w:line="220" w:lineRule="atLeast"/>
              <w:jc w:val="center"/>
              <w:rPr>
                <w:rFonts w:cs="Times New Roman" w:asciiTheme="minorEastAsia" w:hAnsiTheme="minorEastAsia"/>
                <w:color w:val="auto"/>
              </w:rPr>
            </w:pPr>
          </w:p>
        </w:tc>
        <w:tc>
          <w:tcPr>
            <w:tcW w:w="901" w:type="dxa"/>
            <w:vAlign w:val="center"/>
          </w:tcPr>
          <w:p w14:paraId="7106740E">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预测时期</w:t>
            </w:r>
          </w:p>
        </w:tc>
        <w:tc>
          <w:tcPr>
            <w:tcW w:w="7741" w:type="dxa"/>
            <w:gridSpan w:val="13"/>
            <w:vAlign w:val="center"/>
          </w:tcPr>
          <w:p w14:paraId="1F9F2A8F">
            <w:pPr>
              <w:spacing w:line="220" w:lineRule="atLeast"/>
              <w:rPr>
                <w:rFonts w:cs="Times New Roman" w:asciiTheme="minorEastAsia" w:hAnsiTheme="minorEastAsia"/>
                <w:color w:val="auto"/>
              </w:rPr>
            </w:pPr>
            <w:r>
              <w:rPr>
                <w:rFonts w:hint="eastAsia" w:cs="Times New Roman" w:asciiTheme="minorEastAsia" w:hAnsiTheme="minorEastAsia"/>
                <w:color w:val="auto"/>
              </w:rPr>
              <w:t>丰水期</w:t>
            </w:r>
            <w:r>
              <w:rPr>
                <w:rFonts w:cs="Times New Roman" w:asciiTheme="minorEastAsia" w:hAnsiTheme="minorEastAsia"/>
                <w:color w:val="auto"/>
              </w:rPr>
              <w:t xml:space="preserve"> </w:t>
            </w:r>
            <w:r>
              <w:rPr>
                <w:rFonts w:hint="eastAsia" w:cs="Times New Roman" w:asciiTheme="minorEastAsia" w:hAnsiTheme="minorEastAsia"/>
                <w:color w:val="auto"/>
              </w:rPr>
              <w:t>□；平水期</w:t>
            </w:r>
            <w:r>
              <w:rPr>
                <w:rFonts w:cs="Times New Roman" w:asciiTheme="minorEastAsia" w:hAnsiTheme="minorEastAsia"/>
                <w:color w:val="auto"/>
              </w:rPr>
              <w:t xml:space="preserve"> </w:t>
            </w:r>
            <w:r>
              <w:rPr>
                <w:rFonts w:hint="eastAsia" w:cs="Times New Roman" w:asciiTheme="minorEastAsia" w:hAnsiTheme="minorEastAsia"/>
                <w:color w:val="auto"/>
              </w:rPr>
              <w:t>□；枯水期</w:t>
            </w:r>
            <w:r>
              <w:rPr>
                <w:rFonts w:cs="Times New Roman" w:asciiTheme="minorEastAsia" w:hAnsiTheme="minorEastAsia"/>
                <w:color w:val="auto"/>
              </w:rPr>
              <w:t xml:space="preserve"> </w:t>
            </w:r>
            <w:r>
              <w:rPr>
                <w:rFonts w:hint="eastAsia" w:cs="Times New Roman" w:asciiTheme="minorEastAsia" w:hAnsiTheme="minorEastAsia"/>
                <w:color w:val="auto"/>
              </w:rPr>
              <w:t>□；冰封期</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383071F6">
            <w:pPr>
              <w:spacing w:line="220" w:lineRule="atLeast"/>
              <w:rPr>
                <w:rFonts w:cs="Times New Roman" w:asciiTheme="minorEastAsia" w:hAnsiTheme="minorEastAsia"/>
                <w:color w:val="auto"/>
              </w:rPr>
            </w:pPr>
            <w:r>
              <w:rPr>
                <w:rFonts w:hint="eastAsia" w:cs="Times New Roman" w:asciiTheme="minorEastAsia" w:hAnsiTheme="minorEastAsia"/>
                <w:color w:val="auto"/>
              </w:rPr>
              <w:t>春季</w:t>
            </w:r>
            <w:r>
              <w:rPr>
                <w:rFonts w:cs="Times New Roman" w:asciiTheme="minorEastAsia" w:hAnsiTheme="minorEastAsia"/>
                <w:color w:val="auto"/>
              </w:rPr>
              <w:t xml:space="preserve"> </w:t>
            </w:r>
            <w:r>
              <w:rPr>
                <w:rFonts w:hint="eastAsia" w:cs="Times New Roman" w:asciiTheme="minorEastAsia" w:hAnsiTheme="minorEastAsia"/>
                <w:color w:val="auto"/>
              </w:rPr>
              <w:t>□；夏季</w:t>
            </w:r>
            <w:r>
              <w:rPr>
                <w:rFonts w:cs="Times New Roman" w:asciiTheme="minorEastAsia" w:hAnsiTheme="minorEastAsia"/>
                <w:color w:val="auto"/>
              </w:rPr>
              <w:t xml:space="preserve"> </w:t>
            </w:r>
            <w:r>
              <w:rPr>
                <w:rFonts w:hint="eastAsia" w:cs="Times New Roman" w:asciiTheme="minorEastAsia" w:hAnsiTheme="minorEastAsia"/>
                <w:color w:val="auto"/>
              </w:rPr>
              <w:t>□；秋季</w:t>
            </w:r>
            <w:r>
              <w:rPr>
                <w:rFonts w:cs="Times New Roman" w:asciiTheme="minorEastAsia" w:hAnsiTheme="minorEastAsia"/>
                <w:color w:val="auto"/>
              </w:rPr>
              <w:t xml:space="preserve"> </w:t>
            </w:r>
            <w:r>
              <w:rPr>
                <w:rFonts w:hint="eastAsia" w:cs="Times New Roman" w:asciiTheme="minorEastAsia" w:hAnsiTheme="minorEastAsia"/>
                <w:color w:val="auto"/>
              </w:rPr>
              <w:t>□；冬季</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3590C52E">
            <w:pPr>
              <w:spacing w:line="220" w:lineRule="atLeast"/>
              <w:rPr>
                <w:rFonts w:cs="Times New Roman" w:asciiTheme="minorEastAsia" w:hAnsiTheme="minorEastAsia"/>
                <w:color w:val="auto"/>
              </w:rPr>
            </w:pPr>
            <w:r>
              <w:rPr>
                <w:rFonts w:hint="eastAsia" w:cs="Times New Roman" w:asciiTheme="minorEastAsia" w:hAnsiTheme="minorEastAsia"/>
                <w:color w:val="auto"/>
              </w:rPr>
              <w:t>设计水文条件</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21C7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4B781C11">
            <w:pPr>
              <w:spacing w:line="220" w:lineRule="atLeast"/>
              <w:jc w:val="center"/>
              <w:rPr>
                <w:rFonts w:cs="Times New Roman" w:asciiTheme="minorEastAsia" w:hAnsiTheme="minorEastAsia"/>
                <w:color w:val="auto"/>
              </w:rPr>
            </w:pPr>
          </w:p>
        </w:tc>
        <w:tc>
          <w:tcPr>
            <w:tcW w:w="901" w:type="dxa"/>
            <w:vAlign w:val="center"/>
          </w:tcPr>
          <w:p w14:paraId="59D98B45">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预测情景</w:t>
            </w:r>
          </w:p>
        </w:tc>
        <w:tc>
          <w:tcPr>
            <w:tcW w:w="7741" w:type="dxa"/>
            <w:gridSpan w:val="13"/>
            <w:vAlign w:val="center"/>
          </w:tcPr>
          <w:p w14:paraId="09C0C0C5">
            <w:pPr>
              <w:spacing w:line="220" w:lineRule="atLeast"/>
              <w:rPr>
                <w:rFonts w:cs="Times New Roman" w:asciiTheme="minorEastAsia" w:hAnsiTheme="minorEastAsia"/>
                <w:color w:val="auto"/>
              </w:rPr>
            </w:pPr>
            <w:r>
              <w:rPr>
                <w:rFonts w:hint="eastAsia" w:cs="Times New Roman" w:asciiTheme="minorEastAsia" w:hAnsiTheme="minorEastAsia"/>
                <w:color w:val="auto"/>
              </w:rPr>
              <w:t>建设期</w:t>
            </w:r>
            <w:r>
              <w:rPr>
                <w:rFonts w:cs="Times New Roman" w:asciiTheme="minorEastAsia" w:hAnsiTheme="minorEastAsia"/>
                <w:color w:val="auto"/>
              </w:rPr>
              <w:t xml:space="preserve"> </w:t>
            </w:r>
            <w:r>
              <w:rPr>
                <w:rFonts w:hint="eastAsia" w:cs="Times New Roman" w:asciiTheme="minorEastAsia" w:hAnsiTheme="minorEastAsia"/>
                <w:color w:val="auto"/>
              </w:rPr>
              <w:t>□；生产运营期 □；服务期满后 □</w:t>
            </w:r>
          </w:p>
          <w:p w14:paraId="42AFEBDB">
            <w:pPr>
              <w:spacing w:line="220" w:lineRule="atLeast"/>
              <w:rPr>
                <w:rFonts w:cs="Times New Roman" w:asciiTheme="minorEastAsia" w:hAnsiTheme="minorEastAsia"/>
                <w:color w:val="auto"/>
              </w:rPr>
            </w:pPr>
            <w:r>
              <w:rPr>
                <w:rFonts w:hint="eastAsia" w:cs="Times New Roman" w:asciiTheme="minorEastAsia" w:hAnsiTheme="minorEastAsia"/>
                <w:color w:val="auto"/>
              </w:rPr>
              <w:t>正常工况</w:t>
            </w:r>
            <w:r>
              <w:rPr>
                <w:rFonts w:cs="Times New Roman" w:asciiTheme="minorEastAsia" w:hAnsiTheme="minorEastAsia"/>
                <w:color w:val="auto"/>
              </w:rPr>
              <w:t xml:space="preserve"> </w:t>
            </w:r>
            <w:r>
              <w:rPr>
                <w:rFonts w:hint="eastAsia" w:cs="Times New Roman" w:asciiTheme="minorEastAsia" w:hAnsiTheme="minorEastAsia"/>
                <w:color w:val="auto"/>
              </w:rPr>
              <w:t>□；非正常工况</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71F8036D">
            <w:pPr>
              <w:spacing w:line="220" w:lineRule="atLeast"/>
              <w:rPr>
                <w:rFonts w:cs="Times New Roman" w:asciiTheme="minorEastAsia" w:hAnsiTheme="minorEastAsia"/>
                <w:color w:val="auto"/>
              </w:rPr>
            </w:pPr>
            <w:r>
              <w:rPr>
                <w:rFonts w:hint="eastAsia" w:cs="Times New Roman" w:asciiTheme="minorEastAsia" w:hAnsiTheme="minorEastAsia"/>
                <w:color w:val="auto"/>
              </w:rPr>
              <w:t>污染控制和减缓措施方案</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52A868C1">
            <w:pPr>
              <w:spacing w:line="220" w:lineRule="atLeast"/>
              <w:rPr>
                <w:rFonts w:cs="Times New Roman" w:asciiTheme="minorEastAsia" w:hAnsiTheme="minorEastAsia"/>
                <w:color w:val="auto"/>
              </w:rPr>
            </w:pPr>
            <w:r>
              <w:rPr>
                <w:rFonts w:hint="eastAsia" w:cs="Times New Roman" w:asciiTheme="minorEastAsia" w:hAnsiTheme="minorEastAsia"/>
                <w:color w:val="auto"/>
              </w:rPr>
              <w:t>区（流）域环境质量改善目标要求情景</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3979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7F80DC9A">
            <w:pPr>
              <w:spacing w:line="220" w:lineRule="atLeast"/>
              <w:jc w:val="center"/>
              <w:rPr>
                <w:rFonts w:cs="Times New Roman" w:asciiTheme="minorEastAsia" w:hAnsiTheme="minorEastAsia"/>
                <w:color w:val="auto"/>
              </w:rPr>
            </w:pPr>
          </w:p>
        </w:tc>
        <w:tc>
          <w:tcPr>
            <w:tcW w:w="901" w:type="dxa"/>
            <w:vAlign w:val="center"/>
          </w:tcPr>
          <w:p w14:paraId="0D9C028C">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预测方法</w:t>
            </w:r>
          </w:p>
        </w:tc>
        <w:tc>
          <w:tcPr>
            <w:tcW w:w="7741" w:type="dxa"/>
            <w:gridSpan w:val="13"/>
            <w:vAlign w:val="center"/>
          </w:tcPr>
          <w:p w14:paraId="351A7F6A">
            <w:pPr>
              <w:spacing w:line="220" w:lineRule="atLeast"/>
              <w:rPr>
                <w:rFonts w:cs="Times New Roman" w:asciiTheme="minorEastAsia" w:hAnsiTheme="minorEastAsia"/>
                <w:color w:val="auto"/>
              </w:rPr>
            </w:pPr>
            <w:r>
              <w:rPr>
                <w:rFonts w:hint="eastAsia" w:cs="Times New Roman" w:asciiTheme="minorEastAsia" w:hAnsiTheme="minorEastAsia"/>
                <w:color w:val="auto"/>
              </w:rPr>
              <w:t>数值解</w:t>
            </w:r>
            <w:r>
              <w:rPr>
                <w:rFonts w:cs="Times New Roman" w:asciiTheme="minorEastAsia" w:hAnsiTheme="minorEastAsia"/>
                <w:color w:val="auto"/>
              </w:rPr>
              <w:t xml:space="preserve"> </w:t>
            </w:r>
            <w:r>
              <w:rPr>
                <w:rFonts w:hint="eastAsia" w:cs="Times New Roman" w:asciiTheme="minorEastAsia" w:hAnsiTheme="minorEastAsia"/>
                <w:color w:val="auto"/>
              </w:rPr>
              <w:t>□：解析解</w:t>
            </w:r>
            <w:r>
              <w:rPr>
                <w:rFonts w:cs="Times New Roman" w:asciiTheme="minorEastAsia" w:hAnsiTheme="minorEastAsia"/>
                <w:color w:val="auto"/>
              </w:rPr>
              <w:t xml:space="preserve"> </w:t>
            </w:r>
            <w:r>
              <w:rPr>
                <w:rFonts w:hint="eastAsia" w:cs="Times New Roman" w:asciiTheme="minorEastAsia" w:hAnsiTheme="minorEastAsia"/>
                <w:color w:val="auto"/>
              </w:rPr>
              <w:t>□；其他</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5496D515">
            <w:pPr>
              <w:spacing w:line="220" w:lineRule="atLeast"/>
              <w:rPr>
                <w:rFonts w:cs="Times New Roman" w:asciiTheme="minorEastAsia" w:hAnsiTheme="minorEastAsia"/>
                <w:color w:val="auto"/>
              </w:rPr>
            </w:pPr>
            <w:r>
              <w:rPr>
                <w:rFonts w:hint="eastAsia" w:cs="Times New Roman" w:asciiTheme="minorEastAsia" w:hAnsiTheme="minorEastAsia"/>
                <w:color w:val="auto"/>
              </w:rPr>
              <w:t>导则推荐模式</w:t>
            </w:r>
            <w:r>
              <w:rPr>
                <w:rFonts w:cs="Times New Roman" w:asciiTheme="minorEastAsia" w:hAnsiTheme="minorEastAsia"/>
                <w:color w:val="auto"/>
              </w:rPr>
              <w:t xml:space="preserve"> </w:t>
            </w:r>
            <w:r>
              <w:rPr>
                <w:rFonts w:hint="eastAsia" w:cs="Times New Roman" w:asciiTheme="minorEastAsia" w:hAnsiTheme="minorEastAsia"/>
                <w:color w:val="auto"/>
              </w:rPr>
              <w:t>□：其他</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573B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restart"/>
            <w:vAlign w:val="center"/>
          </w:tcPr>
          <w:p w14:paraId="7FE6F3BA">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影</w:t>
            </w:r>
          </w:p>
          <w:p w14:paraId="5A21348F">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响</w:t>
            </w:r>
          </w:p>
          <w:p w14:paraId="46EA33E1">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评</w:t>
            </w:r>
          </w:p>
          <w:p w14:paraId="21D52817">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价</w:t>
            </w:r>
          </w:p>
        </w:tc>
        <w:tc>
          <w:tcPr>
            <w:tcW w:w="901" w:type="dxa"/>
            <w:vAlign w:val="center"/>
          </w:tcPr>
          <w:p w14:paraId="096FBCAC">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水污染控制和水环境影响减缓措施有效性评价</w:t>
            </w:r>
          </w:p>
        </w:tc>
        <w:tc>
          <w:tcPr>
            <w:tcW w:w="7741" w:type="dxa"/>
            <w:gridSpan w:val="13"/>
            <w:vAlign w:val="center"/>
          </w:tcPr>
          <w:p w14:paraId="1EA5BC72">
            <w:pPr>
              <w:spacing w:line="220" w:lineRule="atLeast"/>
              <w:rPr>
                <w:rFonts w:cs="Times New Roman" w:asciiTheme="minorEastAsia" w:hAnsiTheme="minorEastAsia"/>
                <w:color w:val="auto"/>
              </w:rPr>
            </w:pPr>
            <w:r>
              <w:rPr>
                <w:rFonts w:hint="eastAsia" w:cs="Times New Roman" w:asciiTheme="minorEastAsia" w:hAnsiTheme="minorEastAsia"/>
                <w:color w:val="auto"/>
              </w:rPr>
              <w:t>区（流）域水环境质量改善目标</w:t>
            </w:r>
            <w:r>
              <w:rPr>
                <w:rFonts w:cs="Times New Roman" w:asciiTheme="minorEastAsia" w:hAnsiTheme="minorEastAsia"/>
                <w:color w:val="auto"/>
              </w:rPr>
              <w:t xml:space="preserve"> </w:t>
            </w:r>
            <w:r>
              <w:rPr>
                <w:rFonts w:hint="eastAsia" w:cs="Times New Roman" w:asciiTheme="minorEastAsia" w:hAnsiTheme="minorEastAsia"/>
                <w:color w:val="auto"/>
              </w:rPr>
              <w:t>□；替代削减源</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0598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14BF10E9">
            <w:pPr>
              <w:spacing w:line="220" w:lineRule="atLeast"/>
              <w:jc w:val="center"/>
              <w:rPr>
                <w:rFonts w:cs="Times New Roman" w:asciiTheme="minorEastAsia" w:hAnsiTheme="minorEastAsia"/>
                <w:color w:val="auto"/>
              </w:rPr>
            </w:pPr>
          </w:p>
        </w:tc>
        <w:tc>
          <w:tcPr>
            <w:tcW w:w="901" w:type="dxa"/>
            <w:vAlign w:val="center"/>
          </w:tcPr>
          <w:p w14:paraId="00F87FA8">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水环境影响评价</w:t>
            </w:r>
          </w:p>
        </w:tc>
        <w:tc>
          <w:tcPr>
            <w:tcW w:w="7741" w:type="dxa"/>
            <w:gridSpan w:val="13"/>
            <w:vAlign w:val="center"/>
          </w:tcPr>
          <w:p w14:paraId="58460EAC">
            <w:pPr>
              <w:spacing w:line="220" w:lineRule="atLeast"/>
              <w:rPr>
                <w:rFonts w:cs="Times New Roman" w:asciiTheme="minorEastAsia" w:hAnsiTheme="minorEastAsia"/>
                <w:color w:val="auto"/>
              </w:rPr>
            </w:pPr>
            <w:r>
              <w:rPr>
                <w:rFonts w:hint="eastAsia" w:cs="Times New Roman" w:asciiTheme="minorEastAsia" w:hAnsiTheme="minorEastAsia"/>
                <w:color w:val="auto"/>
              </w:rPr>
              <w:t>排放口混合区外满足水环境管理要求</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12ADB0A2">
            <w:pPr>
              <w:spacing w:line="220" w:lineRule="atLeast"/>
              <w:rPr>
                <w:rFonts w:cs="Times New Roman" w:asciiTheme="minorEastAsia" w:hAnsiTheme="minorEastAsia"/>
                <w:color w:val="auto"/>
              </w:rPr>
            </w:pPr>
            <w:r>
              <w:rPr>
                <w:rFonts w:hint="eastAsia" w:cs="Times New Roman" w:asciiTheme="minorEastAsia" w:hAnsiTheme="minorEastAsia"/>
                <w:color w:val="auto"/>
              </w:rPr>
              <w:t>水环境功能区或水功能区、近岸海域环境功能区水质达标</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2C5DF51E">
            <w:pPr>
              <w:spacing w:line="220" w:lineRule="atLeast"/>
              <w:rPr>
                <w:rFonts w:cs="Times New Roman" w:asciiTheme="minorEastAsia" w:hAnsiTheme="minorEastAsia"/>
                <w:color w:val="auto"/>
              </w:rPr>
            </w:pPr>
            <w:r>
              <w:rPr>
                <w:rFonts w:hint="eastAsia" w:cs="Times New Roman" w:asciiTheme="minorEastAsia" w:hAnsiTheme="minorEastAsia"/>
                <w:color w:val="auto"/>
              </w:rPr>
              <w:t>满足水环境保护目标水域水环境质量要求</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2B915791">
            <w:pPr>
              <w:spacing w:line="220" w:lineRule="atLeast"/>
              <w:rPr>
                <w:rFonts w:cs="Times New Roman" w:asciiTheme="minorEastAsia" w:hAnsiTheme="minorEastAsia"/>
                <w:color w:val="auto"/>
              </w:rPr>
            </w:pPr>
            <w:r>
              <w:rPr>
                <w:rFonts w:hint="eastAsia" w:cs="Times New Roman" w:asciiTheme="minorEastAsia" w:hAnsiTheme="minorEastAsia"/>
                <w:color w:val="auto"/>
              </w:rPr>
              <w:t>水环境控制单元或断面水质达标</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01D91D16">
            <w:pPr>
              <w:spacing w:line="220" w:lineRule="atLeast"/>
              <w:rPr>
                <w:rFonts w:cs="Times New Roman" w:asciiTheme="minorEastAsia" w:hAnsiTheme="minorEastAsia"/>
                <w:color w:val="auto"/>
              </w:rPr>
            </w:pPr>
            <w:r>
              <w:rPr>
                <w:rFonts w:hint="eastAsia" w:cs="Times New Roman" w:asciiTheme="minorEastAsia" w:hAnsiTheme="minorEastAsia"/>
                <w:color w:val="auto"/>
              </w:rPr>
              <w:t>满足重点水污染物排放总量控制指标要求，重点行业建设项目，</w:t>
            </w:r>
            <w:r>
              <w:rPr>
                <w:rFonts w:cs="Times New Roman" w:asciiTheme="minorEastAsia" w:hAnsiTheme="minorEastAsia"/>
                <w:color w:val="auto"/>
              </w:rPr>
              <w:t xml:space="preserve"> </w:t>
            </w:r>
            <w:r>
              <w:rPr>
                <w:rFonts w:hint="eastAsia" w:cs="Times New Roman" w:asciiTheme="minorEastAsia" w:hAnsiTheme="minorEastAsia"/>
                <w:color w:val="auto"/>
              </w:rPr>
              <w:t>主要污染物排放满足等量或减量替代要求□</w:t>
            </w:r>
          </w:p>
          <w:p w14:paraId="013D8C71">
            <w:pPr>
              <w:spacing w:line="220" w:lineRule="atLeast"/>
              <w:rPr>
                <w:rFonts w:cs="Times New Roman" w:asciiTheme="minorEastAsia" w:hAnsiTheme="minorEastAsia"/>
                <w:color w:val="auto"/>
              </w:rPr>
            </w:pPr>
            <w:r>
              <w:rPr>
                <w:rFonts w:hint="eastAsia" w:cs="Times New Roman" w:asciiTheme="minorEastAsia" w:hAnsiTheme="minorEastAsia"/>
                <w:color w:val="auto"/>
              </w:rPr>
              <w:t>满足区（流）域水环境质量改善目标要求</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31418E6A">
            <w:pPr>
              <w:spacing w:line="220" w:lineRule="atLeast"/>
              <w:rPr>
                <w:rFonts w:cs="Times New Roman" w:asciiTheme="minorEastAsia" w:hAnsiTheme="minorEastAsia"/>
                <w:color w:val="auto"/>
              </w:rPr>
            </w:pPr>
            <w:r>
              <w:rPr>
                <w:rFonts w:hint="eastAsia" w:cs="Times New Roman" w:asciiTheme="minorEastAsia" w:hAnsiTheme="minorEastAsia"/>
                <w:color w:val="auto"/>
              </w:rPr>
              <w:t>水文要素影响型建设项目同时应包括水文情势变化评价、主要水文特征值影响评价、生态流量符合性评价</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3B014E4C">
            <w:pPr>
              <w:spacing w:line="220" w:lineRule="atLeast"/>
              <w:rPr>
                <w:rFonts w:cs="Times New Roman" w:asciiTheme="minorEastAsia" w:hAnsiTheme="minorEastAsia"/>
                <w:color w:val="auto"/>
              </w:rPr>
            </w:pPr>
            <w:r>
              <w:rPr>
                <w:rFonts w:hint="eastAsia" w:cs="Times New Roman" w:asciiTheme="minorEastAsia" w:hAnsiTheme="minorEastAsia"/>
                <w:color w:val="auto"/>
              </w:rPr>
              <w:t>对于新设或调整入河（湖库、近岸海域）排放口的建设项目，应包括排放口设置的环境合理性评价</w:t>
            </w:r>
            <w:r>
              <w:rPr>
                <w:rFonts w:cs="Times New Roman" w:asciiTheme="minorEastAsia" w:hAnsiTheme="minorEastAsia"/>
                <w:color w:val="auto"/>
              </w:rPr>
              <w:t xml:space="preserve"> </w:t>
            </w:r>
            <w:r>
              <w:rPr>
                <w:rFonts w:hint="eastAsia" w:cs="Times New Roman" w:asciiTheme="minorEastAsia" w:hAnsiTheme="minorEastAsia"/>
                <w:color w:val="auto"/>
              </w:rPr>
              <w:t>□</w:t>
            </w:r>
          </w:p>
          <w:p w14:paraId="3C257F7B">
            <w:pPr>
              <w:spacing w:line="220" w:lineRule="atLeast"/>
              <w:rPr>
                <w:rFonts w:cs="Times New Roman" w:asciiTheme="minorEastAsia" w:hAnsiTheme="minorEastAsia"/>
                <w:color w:val="auto"/>
              </w:rPr>
            </w:pPr>
            <w:r>
              <w:rPr>
                <w:rFonts w:hint="eastAsia" w:cs="Times New Roman" w:asciiTheme="minorEastAsia" w:hAnsiTheme="minorEastAsia"/>
                <w:color w:val="auto"/>
              </w:rPr>
              <w:t>满足生态保护红线、水环境质量底线、资源利用上线和环境准入清单管理要求</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5FBE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42B26D3E">
            <w:pPr>
              <w:spacing w:line="220" w:lineRule="atLeast"/>
              <w:jc w:val="center"/>
              <w:rPr>
                <w:rFonts w:cs="Times New Roman" w:asciiTheme="minorEastAsia" w:hAnsiTheme="minorEastAsia"/>
                <w:color w:val="auto"/>
              </w:rPr>
            </w:pPr>
          </w:p>
        </w:tc>
        <w:tc>
          <w:tcPr>
            <w:tcW w:w="901" w:type="dxa"/>
            <w:vMerge w:val="restart"/>
            <w:vAlign w:val="center"/>
          </w:tcPr>
          <w:p w14:paraId="5215ABC1">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污染源排放量核算</w:t>
            </w:r>
          </w:p>
        </w:tc>
        <w:tc>
          <w:tcPr>
            <w:tcW w:w="2562" w:type="dxa"/>
            <w:gridSpan w:val="4"/>
            <w:vAlign w:val="center"/>
          </w:tcPr>
          <w:p w14:paraId="246AE8DA">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污染物名称</w:t>
            </w:r>
          </w:p>
        </w:tc>
        <w:tc>
          <w:tcPr>
            <w:tcW w:w="2563" w:type="dxa"/>
            <w:gridSpan w:val="5"/>
            <w:vAlign w:val="center"/>
          </w:tcPr>
          <w:p w14:paraId="3473AF97">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排放量/（t/a）</w:t>
            </w:r>
          </w:p>
        </w:tc>
        <w:tc>
          <w:tcPr>
            <w:tcW w:w="2616" w:type="dxa"/>
            <w:gridSpan w:val="4"/>
            <w:vAlign w:val="center"/>
          </w:tcPr>
          <w:p w14:paraId="5523F6C4">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排放浓度/（mg/L）</w:t>
            </w:r>
          </w:p>
        </w:tc>
      </w:tr>
      <w:tr w14:paraId="1862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2EE32517">
            <w:pPr>
              <w:spacing w:line="220" w:lineRule="atLeast"/>
              <w:jc w:val="center"/>
              <w:rPr>
                <w:rFonts w:cs="Times New Roman" w:asciiTheme="minorEastAsia" w:hAnsiTheme="minorEastAsia"/>
                <w:color w:val="auto"/>
              </w:rPr>
            </w:pPr>
          </w:p>
        </w:tc>
        <w:tc>
          <w:tcPr>
            <w:tcW w:w="901" w:type="dxa"/>
            <w:vMerge w:val="continue"/>
            <w:vAlign w:val="center"/>
          </w:tcPr>
          <w:p w14:paraId="5B12B207">
            <w:pPr>
              <w:spacing w:line="220" w:lineRule="atLeast"/>
              <w:jc w:val="center"/>
              <w:rPr>
                <w:rFonts w:cs="Times New Roman" w:asciiTheme="minorEastAsia" w:hAnsiTheme="minorEastAsia"/>
                <w:color w:val="auto"/>
              </w:rPr>
            </w:pPr>
          </w:p>
        </w:tc>
        <w:tc>
          <w:tcPr>
            <w:tcW w:w="2562" w:type="dxa"/>
            <w:gridSpan w:val="4"/>
            <w:vAlign w:val="center"/>
          </w:tcPr>
          <w:p w14:paraId="7744AC1A">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w:t>
            </w:r>
            <w:r>
              <w:rPr>
                <w:rFonts w:cs="Times New Roman" w:asciiTheme="minorEastAsia" w:hAnsiTheme="minorEastAsia"/>
                <w:color w:val="auto"/>
              </w:rPr>
              <w:t xml:space="preserve"> </w:t>
            </w:r>
            <w:r>
              <w:rPr>
                <w:rFonts w:hint="eastAsia" w:cs="Times New Roman" w:asciiTheme="minorEastAsia" w:hAnsiTheme="minorEastAsia"/>
                <w:color w:val="auto"/>
              </w:rPr>
              <w:t>）</w:t>
            </w:r>
          </w:p>
        </w:tc>
        <w:tc>
          <w:tcPr>
            <w:tcW w:w="2563" w:type="dxa"/>
            <w:gridSpan w:val="5"/>
            <w:vAlign w:val="center"/>
          </w:tcPr>
          <w:p w14:paraId="208B616D">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w:t>
            </w:r>
            <w:r>
              <w:rPr>
                <w:rFonts w:cs="Times New Roman" w:asciiTheme="minorEastAsia" w:hAnsiTheme="minorEastAsia"/>
                <w:color w:val="auto"/>
              </w:rPr>
              <w:t xml:space="preserve"> </w:t>
            </w:r>
            <w:r>
              <w:rPr>
                <w:rFonts w:hint="eastAsia" w:cs="Times New Roman" w:asciiTheme="minorEastAsia" w:hAnsiTheme="minorEastAsia"/>
                <w:color w:val="auto"/>
              </w:rPr>
              <w:t>）</w:t>
            </w:r>
          </w:p>
        </w:tc>
        <w:tc>
          <w:tcPr>
            <w:tcW w:w="2616" w:type="dxa"/>
            <w:gridSpan w:val="4"/>
            <w:vAlign w:val="center"/>
          </w:tcPr>
          <w:p w14:paraId="1E254F5E">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3274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171CE33D">
            <w:pPr>
              <w:spacing w:line="220" w:lineRule="atLeast"/>
              <w:jc w:val="center"/>
              <w:rPr>
                <w:rFonts w:cs="Times New Roman" w:asciiTheme="minorEastAsia" w:hAnsiTheme="minorEastAsia"/>
                <w:color w:val="auto"/>
              </w:rPr>
            </w:pPr>
          </w:p>
        </w:tc>
        <w:tc>
          <w:tcPr>
            <w:tcW w:w="901" w:type="dxa"/>
            <w:vMerge w:val="restart"/>
            <w:vAlign w:val="center"/>
          </w:tcPr>
          <w:p w14:paraId="4A464B1D">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替代源排放情况</w:t>
            </w:r>
          </w:p>
        </w:tc>
        <w:tc>
          <w:tcPr>
            <w:tcW w:w="1357" w:type="dxa"/>
            <w:vAlign w:val="center"/>
          </w:tcPr>
          <w:p w14:paraId="05BC7AF8">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污染源名称</w:t>
            </w:r>
          </w:p>
        </w:tc>
        <w:tc>
          <w:tcPr>
            <w:tcW w:w="1508" w:type="dxa"/>
            <w:gridSpan w:val="4"/>
            <w:vAlign w:val="center"/>
          </w:tcPr>
          <w:p w14:paraId="2AC630FF">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排污许可证编号</w:t>
            </w:r>
          </w:p>
        </w:tc>
        <w:tc>
          <w:tcPr>
            <w:tcW w:w="1658" w:type="dxa"/>
            <w:gridSpan w:val="2"/>
            <w:vAlign w:val="center"/>
          </w:tcPr>
          <w:p w14:paraId="10526342">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污染物名称</w:t>
            </w:r>
          </w:p>
        </w:tc>
        <w:tc>
          <w:tcPr>
            <w:tcW w:w="1506" w:type="dxa"/>
            <w:gridSpan w:val="3"/>
            <w:vAlign w:val="center"/>
          </w:tcPr>
          <w:p w14:paraId="43B68C6E">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排放量/（t/a）</w:t>
            </w:r>
          </w:p>
        </w:tc>
        <w:tc>
          <w:tcPr>
            <w:tcW w:w="1712" w:type="dxa"/>
            <w:gridSpan w:val="3"/>
            <w:vAlign w:val="center"/>
          </w:tcPr>
          <w:p w14:paraId="4D362D4E">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排放浓度/（mg/L）</w:t>
            </w:r>
          </w:p>
        </w:tc>
      </w:tr>
      <w:tr w14:paraId="4A31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48982E64">
            <w:pPr>
              <w:spacing w:line="220" w:lineRule="atLeast"/>
              <w:jc w:val="center"/>
              <w:rPr>
                <w:rFonts w:cs="Times New Roman" w:asciiTheme="minorEastAsia" w:hAnsiTheme="minorEastAsia"/>
                <w:color w:val="auto"/>
              </w:rPr>
            </w:pPr>
          </w:p>
        </w:tc>
        <w:tc>
          <w:tcPr>
            <w:tcW w:w="901" w:type="dxa"/>
            <w:vMerge w:val="continue"/>
            <w:vAlign w:val="center"/>
          </w:tcPr>
          <w:p w14:paraId="11389071">
            <w:pPr>
              <w:spacing w:line="220" w:lineRule="atLeast"/>
              <w:jc w:val="center"/>
              <w:rPr>
                <w:rFonts w:cs="Times New Roman" w:asciiTheme="minorEastAsia" w:hAnsiTheme="minorEastAsia"/>
                <w:color w:val="auto"/>
              </w:rPr>
            </w:pPr>
          </w:p>
        </w:tc>
        <w:tc>
          <w:tcPr>
            <w:tcW w:w="1357" w:type="dxa"/>
            <w:vAlign w:val="center"/>
          </w:tcPr>
          <w:p w14:paraId="4209F7EC">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 xml:space="preserve">（ ）  </w:t>
            </w:r>
          </w:p>
        </w:tc>
        <w:tc>
          <w:tcPr>
            <w:tcW w:w="1508" w:type="dxa"/>
            <w:gridSpan w:val="4"/>
            <w:vAlign w:val="center"/>
          </w:tcPr>
          <w:p w14:paraId="1378ED68">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 xml:space="preserve">（ ）  </w:t>
            </w:r>
          </w:p>
        </w:tc>
        <w:tc>
          <w:tcPr>
            <w:tcW w:w="1658" w:type="dxa"/>
            <w:gridSpan w:val="2"/>
            <w:vAlign w:val="center"/>
          </w:tcPr>
          <w:p w14:paraId="21386C00">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 xml:space="preserve">（ ）  </w:t>
            </w:r>
          </w:p>
        </w:tc>
        <w:tc>
          <w:tcPr>
            <w:tcW w:w="1506" w:type="dxa"/>
            <w:gridSpan w:val="3"/>
            <w:vAlign w:val="center"/>
          </w:tcPr>
          <w:p w14:paraId="0C93FED7">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 xml:space="preserve">（ ）  </w:t>
            </w:r>
          </w:p>
        </w:tc>
        <w:tc>
          <w:tcPr>
            <w:tcW w:w="1712" w:type="dxa"/>
            <w:gridSpan w:val="3"/>
            <w:vAlign w:val="center"/>
          </w:tcPr>
          <w:p w14:paraId="24A4327B">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 xml:space="preserve">（ ）  </w:t>
            </w:r>
          </w:p>
        </w:tc>
      </w:tr>
      <w:tr w14:paraId="6B86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65D2728C">
            <w:pPr>
              <w:spacing w:line="220" w:lineRule="atLeast"/>
              <w:jc w:val="center"/>
              <w:rPr>
                <w:rFonts w:cs="Times New Roman" w:asciiTheme="minorEastAsia" w:hAnsiTheme="minorEastAsia"/>
                <w:color w:val="auto"/>
              </w:rPr>
            </w:pPr>
          </w:p>
        </w:tc>
        <w:tc>
          <w:tcPr>
            <w:tcW w:w="901" w:type="dxa"/>
            <w:vAlign w:val="center"/>
          </w:tcPr>
          <w:p w14:paraId="55815DF1">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生态流量确定</w:t>
            </w:r>
          </w:p>
        </w:tc>
        <w:tc>
          <w:tcPr>
            <w:tcW w:w="7741" w:type="dxa"/>
            <w:gridSpan w:val="13"/>
            <w:vAlign w:val="center"/>
          </w:tcPr>
          <w:p w14:paraId="5EFDD4C5">
            <w:pPr>
              <w:spacing w:line="220" w:lineRule="atLeast"/>
              <w:rPr>
                <w:rFonts w:cs="Times New Roman" w:asciiTheme="minorEastAsia" w:hAnsiTheme="minorEastAsia"/>
                <w:color w:val="auto"/>
              </w:rPr>
            </w:pPr>
            <w:r>
              <w:rPr>
                <w:rFonts w:hint="eastAsia" w:cs="Times New Roman" w:asciiTheme="minorEastAsia" w:hAnsiTheme="minorEastAsia"/>
                <w:color w:val="auto"/>
              </w:rPr>
              <w:t>生态流量：一般水期（</w:t>
            </w:r>
            <w:r>
              <w:rPr>
                <w:rFonts w:cs="Times New Roman" w:asciiTheme="minorEastAsia" w:hAnsiTheme="minorEastAsia"/>
                <w:color w:val="auto"/>
              </w:rPr>
              <w:t xml:space="preserve"> </w:t>
            </w:r>
            <w:r>
              <w:rPr>
                <w:rFonts w:hint="eastAsia" w:cs="Times New Roman" w:asciiTheme="minorEastAsia" w:hAnsiTheme="minorEastAsia"/>
                <w:color w:val="auto"/>
              </w:rPr>
              <w:t>）m</w:t>
            </w:r>
            <w:r>
              <w:rPr>
                <w:rFonts w:cs="Times New Roman" w:asciiTheme="minorEastAsia" w:hAnsiTheme="minorEastAsia"/>
                <w:color w:val="auto"/>
                <w:vertAlign w:val="superscript"/>
              </w:rPr>
              <w:t>3</w:t>
            </w:r>
            <w:r>
              <w:rPr>
                <w:rFonts w:hint="eastAsia" w:cs="Times New Roman" w:asciiTheme="minorEastAsia" w:hAnsiTheme="minorEastAsia"/>
                <w:color w:val="auto"/>
              </w:rPr>
              <w:t>/s；鱼类繁殖期（</w:t>
            </w:r>
            <w:r>
              <w:rPr>
                <w:rFonts w:cs="Times New Roman" w:asciiTheme="minorEastAsia" w:hAnsiTheme="minorEastAsia"/>
                <w:color w:val="auto"/>
              </w:rPr>
              <w:t xml:space="preserve"> </w:t>
            </w:r>
            <w:r>
              <w:rPr>
                <w:rFonts w:hint="eastAsia" w:cs="Times New Roman" w:asciiTheme="minorEastAsia" w:hAnsiTheme="minorEastAsia"/>
                <w:color w:val="auto"/>
              </w:rPr>
              <w:t>）m</w:t>
            </w:r>
            <w:r>
              <w:rPr>
                <w:rFonts w:cs="Times New Roman" w:asciiTheme="minorEastAsia" w:hAnsiTheme="minorEastAsia"/>
                <w:color w:val="auto"/>
                <w:vertAlign w:val="superscript"/>
              </w:rPr>
              <w:t>3</w:t>
            </w:r>
            <w:r>
              <w:rPr>
                <w:rFonts w:hint="eastAsia" w:cs="Times New Roman" w:asciiTheme="minorEastAsia" w:hAnsiTheme="minorEastAsia"/>
                <w:color w:val="auto"/>
              </w:rPr>
              <w:t>/s；其他（</w:t>
            </w:r>
            <w:r>
              <w:rPr>
                <w:rFonts w:cs="Times New Roman" w:asciiTheme="minorEastAsia" w:hAnsiTheme="minorEastAsia"/>
                <w:color w:val="auto"/>
              </w:rPr>
              <w:t xml:space="preserve"> </w:t>
            </w:r>
            <w:r>
              <w:rPr>
                <w:rFonts w:hint="eastAsia" w:cs="Times New Roman" w:asciiTheme="minorEastAsia" w:hAnsiTheme="minorEastAsia"/>
                <w:color w:val="auto"/>
              </w:rPr>
              <w:t>）m</w:t>
            </w:r>
            <w:r>
              <w:rPr>
                <w:rFonts w:cs="Times New Roman" w:asciiTheme="minorEastAsia" w:hAnsiTheme="minorEastAsia"/>
                <w:color w:val="auto"/>
                <w:vertAlign w:val="superscript"/>
              </w:rPr>
              <w:t>3</w:t>
            </w:r>
            <w:r>
              <w:rPr>
                <w:rFonts w:cs="Times New Roman" w:asciiTheme="minorEastAsia" w:hAnsiTheme="minorEastAsia"/>
                <w:color w:val="auto"/>
              </w:rPr>
              <w:t>/s</w:t>
            </w:r>
          </w:p>
          <w:p w14:paraId="4AD86AD3">
            <w:pPr>
              <w:spacing w:line="220" w:lineRule="atLeast"/>
              <w:rPr>
                <w:rFonts w:cs="Times New Roman" w:asciiTheme="minorEastAsia" w:hAnsiTheme="minorEastAsia"/>
                <w:color w:val="auto"/>
              </w:rPr>
            </w:pPr>
            <w:r>
              <w:rPr>
                <w:rFonts w:hint="eastAsia" w:cs="Times New Roman" w:asciiTheme="minorEastAsia" w:hAnsiTheme="minorEastAsia"/>
                <w:color w:val="auto"/>
              </w:rPr>
              <w:t>生态水位：一般水期（</w:t>
            </w:r>
            <w:r>
              <w:rPr>
                <w:rFonts w:cs="Times New Roman" w:asciiTheme="minorEastAsia" w:hAnsiTheme="minorEastAsia"/>
                <w:color w:val="auto"/>
              </w:rPr>
              <w:t xml:space="preserve"> </w:t>
            </w:r>
            <w:r>
              <w:rPr>
                <w:rFonts w:hint="eastAsia" w:cs="Times New Roman" w:asciiTheme="minorEastAsia" w:hAnsiTheme="minorEastAsia"/>
                <w:color w:val="auto"/>
              </w:rPr>
              <w:t>）m；鱼类繁殖期（</w:t>
            </w:r>
            <w:r>
              <w:rPr>
                <w:rFonts w:cs="Times New Roman" w:asciiTheme="minorEastAsia" w:hAnsiTheme="minorEastAsia"/>
                <w:color w:val="auto"/>
              </w:rPr>
              <w:t xml:space="preserve"> </w:t>
            </w:r>
            <w:r>
              <w:rPr>
                <w:rFonts w:hint="eastAsia" w:cs="Times New Roman" w:asciiTheme="minorEastAsia" w:hAnsiTheme="minorEastAsia"/>
                <w:color w:val="auto"/>
              </w:rPr>
              <w:t>）m；其他（</w:t>
            </w:r>
            <w:r>
              <w:rPr>
                <w:rFonts w:cs="Times New Roman" w:asciiTheme="minorEastAsia" w:hAnsiTheme="minorEastAsia"/>
                <w:color w:val="auto"/>
              </w:rPr>
              <w:t xml:space="preserve"> </w:t>
            </w:r>
            <w:r>
              <w:rPr>
                <w:rFonts w:hint="eastAsia" w:cs="Times New Roman" w:asciiTheme="minorEastAsia" w:hAnsiTheme="minorEastAsia"/>
                <w:color w:val="auto"/>
              </w:rPr>
              <w:t>）m</w:t>
            </w:r>
          </w:p>
        </w:tc>
      </w:tr>
      <w:tr w14:paraId="2DAE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restart"/>
            <w:vAlign w:val="center"/>
          </w:tcPr>
          <w:p w14:paraId="32F154B5">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防</w:t>
            </w:r>
          </w:p>
          <w:p w14:paraId="6F4B70B4">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治</w:t>
            </w:r>
          </w:p>
          <w:p w14:paraId="3C2F9823">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措</w:t>
            </w:r>
          </w:p>
          <w:p w14:paraId="08EC3C2D">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施</w:t>
            </w:r>
          </w:p>
        </w:tc>
        <w:tc>
          <w:tcPr>
            <w:tcW w:w="901" w:type="dxa"/>
            <w:vAlign w:val="center"/>
          </w:tcPr>
          <w:p w14:paraId="69CD4C6F">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环保措施</w:t>
            </w:r>
          </w:p>
        </w:tc>
        <w:tc>
          <w:tcPr>
            <w:tcW w:w="7741" w:type="dxa"/>
            <w:gridSpan w:val="13"/>
            <w:vAlign w:val="center"/>
          </w:tcPr>
          <w:p w14:paraId="03FA201C">
            <w:pPr>
              <w:spacing w:line="220" w:lineRule="atLeast"/>
              <w:rPr>
                <w:rFonts w:cs="Times New Roman" w:asciiTheme="minorEastAsia" w:hAnsiTheme="minorEastAsia"/>
                <w:color w:val="auto"/>
              </w:rPr>
            </w:pPr>
            <w:r>
              <w:rPr>
                <w:rFonts w:hint="eastAsia" w:cs="Times New Roman" w:asciiTheme="minorEastAsia" w:hAnsiTheme="minorEastAsia"/>
                <w:color w:val="auto"/>
              </w:rPr>
              <w:t>污水处理设施</w:t>
            </w:r>
            <w:r>
              <w:rPr>
                <w:rFonts w:cs="Times New Roman" w:asciiTheme="minorEastAsia" w:hAnsiTheme="minorEastAsia"/>
                <w:color w:val="auto"/>
              </w:rPr>
              <w:t xml:space="preserve"> </w:t>
            </w:r>
            <w:r>
              <w:rPr>
                <w:rFonts w:hint="eastAsia" w:cs="Times New Roman" w:asciiTheme="minorEastAsia" w:hAnsiTheme="minorEastAsia"/>
                <w:color w:val="auto"/>
              </w:rPr>
              <w:t>□；水文减缓设施</w:t>
            </w:r>
            <w:r>
              <w:rPr>
                <w:rFonts w:cs="Times New Roman" w:asciiTheme="minorEastAsia" w:hAnsiTheme="minorEastAsia"/>
                <w:color w:val="auto"/>
              </w:rPr>
              <w:t xml:space="preserve"> </w:t>
            </w:r>
            <w:r>
              <w:rPr>
                <w:rFonts w:hint="eastAsia" w:cs="Times New Roman" w:asciiTheme="minorEastAsia" w:hAnsiTheme="minorEastAsia"/>
                <w:color w:val="auto"/>
              </w:rPr>
              <w:t>□；生态流量保障设施</w:t>
            </w:r>
            <w:r>
              <w:rPr>
                <w:rFonts w:cs="Times New Roman" w:asciiTheme="minorEastAsia" w:hAnsiTheme="minorEastAsia"/>
                <w:color w:val="auto"/>
              </w:rPr>
              <w:t xml:space="preserve"> </w:t>
            </w:r>
            <w:r>
              <w:rPr>
                <w:rFonts w:hint="eastAsia" w:cs="Times New Roman" w:asciiTheme="minorEastAsia" w:hAnsiTheme="minorEastAsia"/>
                <w:color w:val="auto"/>
              </w:rPr>
              <w:t>□；区域削减</w:t>
            </w:r>
            <w:r>
              <w:rPr>
                <w:rFonts w:cs="Times New Roman" w:asciiTheme="minorEastAsia" w:hAnsiTheme="minorEastAsia"/>
                <w:color w:val="auto"/>
              </w:rPr>
              <w:t xml:space="preserve"> </w:t>
            </w:r>
            <w:r>
              <w:rPr>
                <w:rFonts w:hint="eastAsia" w:cs="Times New Roman" w:asciiTheme="minorEastAsia" w:hAnsiTheme="minorEastAsia"/>
                <w:color w:val="auto"/>
              </w:rPr>
              <w:t>□；依托其他工程措施</w:t>
            </w:r>
            <w:r>
              <w:rPr>
                <w:rFonts w:cs="Times New Roman" w:asciiTheme="minorEastAsia" w:hAnsiTheme="minorEastAsia"/>
                <w:color w:val="auto"/>
              </w:rPr>
              <w:t xml:space="preserve"> </w:t>
            </w:r>
            <w:r>
              <w:rPr>
                <w:rFonts w:hint="eastAsia" w:cs="Times New Roman" w:asciiTheme="minorEastAsia" w:hAnsiTheme="minorEastAsia"/>
                <w:color w:val="auto"/>
              </w:rPr>
              <w:t>√；其他</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3E66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1B866043">
            <w:pPr>
              <w:spacing w:line="220" w:lineRule="atLeast"/>
              <w:jc w:val="center"/>
              <w:rPr>
                <w:rFonts w:cs="Times New Roman" w:asciiTheme="minorEastAsia" w:hAnsiTheme="minorEastAsia"/>
                <w:color w:val="auto"/>
              </w:rPr>
            </w:pPr>
          </w:p>
        </w:tc>
        <w:tc>
          <w:tcPr>
            <w:tcW w:w="901" w:type="dxa"/>
            <w:vMerge w:val="restart"/>
            <w:vAlign w:val="center"/>
          </w:tcPr>
          <w:p w14:paraId="0D27B9EB">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监测计划</w:t>
            </w:r>
          </w:p>
        </w:tc>
        <w:tc>
          <w:tcPr>
            <w:tcW w:w="1959" w:type="dxa"/>
            <w:gridSpan w:val="2"/>
            <w:vAlign w:val="center"/>
          </w:tcPr>
          <w:p w14:paraId="48141C1A">
            <w:pPr>
              <w:spacing w:line="220" w:lineRule="atLeast"/>
              <w:jc w:val="center"/>
              <w:rPr>
                <w:rFonts w:cs="Times New Roman" w:asciiTheme="minorEastAsia" w:hAnsiTheme="minorEastAsia"/>
                <w:color w:val="auto"/>
              </w:rPr>
            </w:pPr>
          </w:p>
        </w:tc>
        <w:tc>
          <w:tcPr>
            <w:tcW w:w="2863" w:type="dxa"/>
            <w:gridSpan w:val="6"/>
            <w:vAlign w:val="center"/>
          </w:tcPr>
          <w:p w14:paraId="4686DFF8">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环境质量</w:t>
            </w:r>
          </w:p>
        </w:tc>
        <w:tc>
          <w:tcPr>
            <w:tcW w:w="2919" w:type="dxa"/>
            <w:gridSpan w:val="5"/>
            <w:vAlign w:val="center"/>
          </w:tcPr>
          <w:p w14:paraId="3F4B14B8">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污染源</w:t>
            </w:r>
          </w:p>
        </w:tc>
      </w:tr>
      <w:tr w14:paraId="5249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05C88D69">
            <w:pPr>
              <w:spacing w:line="220" w:lineRule="atLeast"/>
              <w:jc w:val="center"/>
              <w:rPr>
                <w:rFonts w:cs="Times New Roman" w:asciiTheme="minorEastAsia" w:hAnsiTheme="minorEastAsia"/>
                <w:color w:val="auto"/>
              </w:rPr>
            </w:pPr>
          </w:p>
        </w:tc>
        <w:tc>
          <w:tcPr>
            <w:tcW w:w="901" w:type="dxa"/>
            <w:vMerge w:val="continue"/>
            <w:vAlign w:val="center"/>
          </w:tcPr>
          <w:p w14:paraId="79E5BB93">
            <w:pPr>
              <w:spacing w:line="220" w:lineRule="atLeast"/>
              <w:jc w:val="center"/>
              <w:rPr>
                <w:rFonts w:cs="Times New Roman" w:asciiTheme="minorEastAsia" w:hAnsiTheme="minorEastAsia"/>
                <w:color w:val="auto"/>
              </w:rPr>
            </w:pPr>
          </w:p>
        </w:tc>
        <w:tc>
          <w:tcPr>
            <w:tcW w:w="1959" w:type="dxa"/>
            <w:gridSpan w:val="2"/>
            <w:vAlign w:val="center"/>
          </w:tcPr>
          <w:p w14:paraId="7D59ECB6">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监测方式</w:t>
            </w:r>
          </w:p>
        </w:tc>
        <w:tc>
          <w:tcPr>
            <w:tcW w:w="2863" w:type="dxa"/>
            <w:gridSpan w:val="6"/>
            <w:vAlign w:val="center"/>
          </w:tcPr>
          <w:p w14:paraId="7DDAFB1F">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手动</w:t>
            </w:r>
            <w:r>
              <w:rPr>
                <w:rFonts w:cs="Times New Roman" w:asciiTheme="minorEastAsia" w:hAnsiTheme="minorEastAsia"/>
                <w:color w:val="auto"/>
              </w:rPr>
              <w:t xml:space="preserve"> </w:t>
            </w:r>
            <w:r>
              <w:rPr>
                <w:rFonts w:hint="eastAsia" w:cs="Times New Roman" w:asciiTheme="minorEastAsia" w:hAnsiTheme="minorEastAsia"/>
                <w:color w:val="auto"/>
              </w:rPr>
              <w:t>□；自动</w:t>
            </w:r>
            <w:r>
              <w:rPr>
                <w:rFonts w:cs="Times New Roman" w:asciiTheme="minorEastAsia" w:hAnsiTheme="minorEastAsia"/>
                <w:color w:val="auto"/>
              </w:rPr>
              <w:t xml:space="preserve"> </w:t>
            </w:r>
            <w:r>
              <w:rPr>
                <w:rFonts w:hint="eastAsia" w:cs="Times New Roman" w:asciiTheme="minorEastAsia" w:hAnsiTheme="minorEastAsia"/>
                <w:color w:val="auto"/>
              </w:rPr>
              <w:t>□；无监测</w:t>
            </w:r>
            <w:r>
              <w:rPr>
                <w:rFonts w:cs="Times New Roman" w:asciiTheme="minorEastAsia" w:hAnsiTheme="minorEastAsia"/>
                <w:color w:val="auto"/>
              </w:rPr>
              <w:t xml:space="preserve"> </w:t>
            </w:r>
            <w:r>
              <w:rPr>
                <w:rFonts w:hint="eastAsia" w:cs="Times New Roman" w:asciiTheme="minorEastAsia" w:hAnsiTheme="minorEastAsia"/>
                <w:color w:val="auto"/>
              </w:rPr>
              <w:t>√</w:t>
            </w:r>
          </w:p>
        </w:tc>
        <w:tc>
          <w:tcPr>
            <w:tcW w:w="2919" w:type="dxa"/>
            <w:gridSpan w:val="5"/>
            <w:vAlign w:val="center"/>
          </w:tcPr>
          <w:p w14:paraId="54E0E1F3">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手动</w:t>
            </w:r>
            <w:r>
              <w:rPr>
                <w:rFonts w:cs="Times New Roman" w:asciiTheme="minorEastAsia" w:hAnsiTheme="minorEastAsia"/>
                <w:color w:val="auto"/>
              </w:rPr>
              <w:t xml:space="preserve"> </w:t>
            </w:r>
            <w:r>
              <w:rPr>
                <w:rFonts w:hint="eastAsia" w:cs="Times New Roman" w:asciiTheme="minorEastAsia" w:hAnsiTheme="minorEastAsia"/>
                <w:color w:val="auto"/>
              </w:rPr>
              <w:t>□；自动</w:t>
            </w:r>
            <w:r>
              <w:rPr>
                <w:rFonts w:cs="Times New Roman" w:asciiTheme="minorEastAsia" w:hAnsiTheme="minorEastAsia"/>
                <w:color w:val="auto"/>
              </w:rPr>
              <w:t xml:space="preserve"> </w:t>
            </w:r>
            <w:r>
              <w:rPr>
                <w:rFonts w:hint="eastAsia" w:cs="Times New Roman" w:asciiTheme="minorEastAsia" w:hAnsiTheme="minorEastAsia"/>
                <w:color w:val="auto"/>
              </w:rPr>
              <w:t>□；无监测</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3E8C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58858D7F">
            <w:pPr>
              <w:spacing w:line="220" w:lineRule="atLeast"/>
              <w:jc w:val="center"/>
              <w:rPr>
                <w:rFonts w:cs="Times New Roman" w:asciiTheme="minorEastAsia" w:hAnsiTheme="minorEastAsia"/>
                <w:color w:val="auto"/>
              </w:rPr>
            </w:pPr>
          </w:p>
        </w:tc>
        <w:tc>
          <w:tcPr>
            <w:tcW w:w="901" w:type="dxa"/>
            <w:vMerge w:val="continue"/>
            <w:vAlign w:val="center"/>
          </w:tcPr>
          <w:p w14:paraId="16922851">
            <w:pPr>
              <w:spacing w:line="220" w:lineRule="atLeast"/>
              <w:jc w:val="center"/>
              <w:rPr>
                <w:rFonts w:cs="Times New Roman" w:asciiTheme="minorEastAsia" w:hAnsiTheme="minorEastAsia"/>
                <w:color w:val="auto"/>
              </w:rPr>
            </w:pPr>
          </w:p>
        </w:tc>
        <w:tc>
          <w:tcPr>
            <w:tcW w:w="1959" w:type="dxa"/>
            <w:gridSpan w:val="2"/>
            <w:vAlign w:val="center"/>
          </w:tcPr>
          <w:p w14:paraId="0021637A">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监测点位</w:t>
            </w:r>
          </w:p>
        </w:tc>
        <w:tc>
          <w:tcPr>
            <w:tcW w:w="2863" w:type="dxa"/>
            <w:gridSpan w:val="6"/>
            <w:vAlign w:val="center"/>
          </w:tcPr>
          <w:p w14:paraId="1BF1EDB4">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 xml:space="preserve">（ ）  </w:t>
            </w:r>
          </w:p>
        </w:tc>
        <w:tc>
          <w:tcPr>
            <w:tcW w:w="2919" w:type="dxa"/>
            <w:gridSpan w:val="5"/>
            <w:vAlign w:val="center"/>
          </w:tcPr>
          <w:p w14:paraId="2B38D694">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 xml:space="preserve">（ ）  </w:t>
            </w:r>
          </w:p>
        </w:tc>
      </w:tr>
      <w:tr w14:paraId="19E2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379CF2F7">
            <w:pPr>
              <w:spacing w:line="220" w:lineRule="atLeast"/>
              <w:jc w:val="center"/>
              <w:rPr>
                <w:rFonts w:cs="Times New Roman" w:asciiTheme="minorEastAsia" w:hAnsiTheme="minorEastAsia"/>
                <w:color w:val="auto"/>
              </w:rPr>
            </w:pPr>
          </w:p>
        </w:tc>
        <w:tc>
          <w:tcPr>
            <w:tcW w:w="901" w:type="dxa"/>
            <w:vMerge w:val="continue"/>
            <w:vAlign w:val="center"/>
          </w:tcPr>
          <w:p w14:paraId="1B21D12A">
            <w:pPr>
              <w:spacing w:line="220" w:lineRule="atLeast"/>
              <w:jc w:val="center"/>
              <w:rPr>
                <w:rFonts w:cs="Times New Roman" w:asciiTheme="minorEastAsia" w:hAnsiTheme="minorEastAsia"/>
                <w:color w:val="auto"/>
              </w:rPr>
            </w:pPr>
          </w:p>
        </w:tc>
        <w:tc>
          <w:tcPr>
            <w:tcW w:w="1959" w:type="dxa"/>
            <w:gridSpan w:val="2"/>
            <w:vAlign w:val="center"/>
          </w:tcPr>
          <w:p w14:paraId="7B61ED27">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监测因子</w:t>
            </w:r>
          </w:p>
        </w:tc>
        <w:tc>
          <w:tcPr>
            <w:tcW w:w="2863" w:type="dxa"/>
            <w:gridSpan w:val="6"/>
            <w:vAlign w:val="center"/>
          </w:tcPr>
          <w:p w14:paraId="76D3FA82">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 xml:space="preserve">（ ）  </w:t>
            </w:r>
          </w:p>
        </w:tc>
        <w:tc>
          <w:tcPr>
            <w:tcW w:w="2919" w:type="dxa"/>
            <w:gridSpan w:val="5"/>
            <w:vAlign w:val="center"/>
          </w:tcPr>
          <w:p w14:paraId="3D3E4B7B">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 xml:space="preserve">（ ）  </w:t>
            </w:r>
          </w:p>
        </w:tc>
      </w:tr>
      <w:tr w14:paraId="0BE8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 w:type="dxa"/>
            <w:vMerge w:val="continue"/>
            <w:vAlign w:val="center"/>
          </w:tcPr>
          <w:p w14:paraId="22D7ACF5">
            <w:pPr>
              <w:spacing w:line="220" w:lineRule="atLeast"/>
              <w:jc w:val="center"/>
              <w:rPr>
                <w:rFonts w:cs="Times New Roman" w:asciiTheme="minorEastAsia" w:hAnsiTheme="minorEastAsia"/>
                <w:color w:val="auto"/>
              </w:rPr>
            </w:pPr>
          </w:p>
        </w:tc>
        <w:tc>
          <w:tcPr>
            <w:tcW w:w="901" w:type="dxa"/>
            <w:vAlign w:val="center"/>
          </w:tcPr>
          <w:p w14:paraId="4712F35E">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污染物排放清单</w:t>
            </w:r>
          </w:p>
        </w:tc>
        <w:tc>
          <w:tcPr>
            <w:tcW w:w="7741" w:type="dxa"/>
            <w:gridSpan w:val="13"/>
            <w:vAlign w:val="center"/>
          </w:tcPr>
          <w:p w14:paraId="3D0F381D">
            <w:pPr>
              <w:spacing w:line="220" w:lineRule="atLeast"/>
              <w:rPr>
                <w:rFonts w:cs="Times New Roman" w:asciiTheme="minorEastAsia" w:hAnsiTheme="minorEastAsia"/>
                <w:color w:val="auto"/>
              </w:rPr>
            </w:pPr>
            <w:r>
              <w:rPr>
                <w:rFonts w:hint="eastAsia" w:cs="Times New Roman" w:asciiTheme="minorEastAsia" w:hAnsiTheme="minorEastAsia"/>
                <w:color w:val="auto"/>
              </w:rPr>
              <w:t>√</w:t>
            </w:r>
          </w:p>
        </w:tc>
      </w:tr>
      <w:tr w14:paraId="126C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9" w:type="dxa"/>
            <w:gridSpan w:val="2"/>
            <w:vAlign w:val="center"/>
          </w:tcPr>
          <w:p w14:paraId="7042B6E0">
            <w:pPr>
              <w:spacing w:line="220" w:lineRule="atLeast"/>
              <w:jc w:val="center"/>
              <w:rPr>
                <w:rFonts w:cs="Times New Roman" w:asciiTheme="minorEastAsia" w:hAnsiTheme="minorEastAsia"/>
                <w:color w:val="auto"/>
              </w:rPr>
            </w:pPr>
            <w:r>
              <w:rPr>
                <w:rFonts w:hint="eastAsia" w:cs="Times New Roman" w:asciiTheme="minorEastAsia" w:hAnsiTheme="minorEastAsia"/>
                <w:color w:val="auto"/>
              </w:rPr>
              <w:t>评价结论</w:t>
            </w:r>
          </w:p>
        </w:tc>
        <w:tc>
          <w:tcPr>
            <w:tcW w:w="7741" w:type="dxa"/>
            <w:gridSpan w:val="13"/>
            <w:vAlign w:val="center"/>
          </w:tcPr>
          <w:p w14:paraId="4A6EA995">
            <w:pPr>
              <w:spacing w:line="220" w:lineRule="atLeast"/>
              <w:rPr>
                <w:rFonts w:cs="Times New Roman" w:asciiTheme="minorEastAsia" w:hAnsiTheme="minorEastAsia"/>
                <w:color w:val="auto"/>
              </w:rPr>
            </w:pPr>
            <w:r>
              <w:rPr>
                <w:rFonts w:hint="eastAsia" w:cs="Times New Roman" w:asciiTheme="minorEastAsia" w:hAnsiTheme="minorEastAsia"/>
                <w:color w:val="auto"/>
              </w:rPr>
              <w:t>可以接受</w:t>
            </w:r>
            <w:r>
              <w:rPr>
                <w:rFonts w:cs="Times New Roman" w:asciiTheme="minorEastAsia" w:hAnsiTheme="minorEastAsia"/>
                <w:color w:val="auto"/>
              </w:rPr>
              <w:t xml:space="preserve"> </w:t>
            </w:r>
            <w:r>
              <w:rPr>
                <w:rFonts w:hint="eastAsia" w:cs="Times New Roman" w:asciiTheme="minorEastAsia" w:hAnsiTheme="minorEastAsia"/>
                <w:color w:val="auto"/>
              </w:rPr>
              <w:t>√；不可以接受</w:t>
            </w:r>
            <w:r>
              <w:rPr>
                <w:rFonts w:cs="Times New Roman" w:asciiTheme="minorEastAsia" w:hAnsiTheme="minorEastAsia"/>
                <w:color w:val="auto"/>
              </w:rPr>
              <w:t xml:space="preserve"> </w:t>
            </w:r>
            <w:r>
              <w:rPr>
                <w:rFonts w:hint="eastAsia" w:cs="Times New Roman" w:asciiTheme="minorEastAsia" w:hAnsiTheme="minorEastAsia"/>
                <w:color w:val="auto"/>
              </w:rPr>
              <w:t>□</w:t>
            </w:r>
          </w:p>
        </w:tc>
      </w:tr>
      <w:tr w14:paraId="50EB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15"/>
            <w:vAlign w:val="center"/>
          </w:tcPr>
          <w:p w14:paraId="6BCA74B1">
            <w:pPr>
              <w:spacing w:line="220" w:lineRule="atLeast"/>
              <w:rPr>
                <w:rFonts w:cs="Times New Roman" w:asciiTheme="minorEastAsia" w:hAnsiTheme="minorEastAsia"/>
                <w:color w:val="auto"/>
              </w:rPr>
            </w:pPr>
            <w:r>
              <w:rPr>
                <w:rFonts w:hint="eastAsia" w:cs="Times New Roman" w:asciiTheme="minorEastAsia" w:hAnsiTheme="minorEastAsia"/>
                <w:color w:val="auto"/>
              </w:rPr>
              <w:t>注：“□”为勾选项，可√；“（</w:t>
            </w:r>
            <w:r>
              <w:rPr>
                <w:rFonts w:cs="Times New Roman" w:asciiTheme="minorEastAsia" w:hAnsiTheme="minorEastAsia"/>
                <w:color w:val="auto"/>
              </w:rPr>
              <w:t xml:space="preserve"> </w:t>
            </w:r>
            <w:r>
              <w:rPr>
                <w:rFonts w:hint="eastAsia" w:cs="Times New Roman" w:asciiTheme="minorEastAsia" w:hAnsiTheme="minorEastAsia"/>
                <w:color w:val="auto"/>
              </w:rPr>
              <w:t>）”为内容填写项；“备注”为其他补充内容。</w:t>
            </w:r>
          </w:p>
        </w:tc>
      </w:tr>
    </w:tbl>
    <w:p w14:paraId="7ADF3548">
      <w:pPr>
        <w:pStyle w:val="202"/>
        <w:spacing w:before="156" w:after="62"/>
        <w:jc w:val="left"/>
        <w:rPr>
          <w:rFonts w:ascii="Times New Roman"/>
          <w:smallCaps/>
          <w:color w:val="auto"/>
        </w:rPr>
      </w:pPr>
    </w:p>
    <w:p w14:paraId="600BFFBE">
      <w:pPr>
        <w:spacing w:line="440" w:lineRule="exact"/>
        <w:rPr>
          <w:rFonts w:ascii="Times New Roman" w:hAnsi="Times New Roman" w:cs="Times New Roman"/>
          <w:color w:val="auto"/>
          <w:kern w:val="21"/>
        </w:rPr>
      </w:pPr>
      <w:bookmarkStart w:id="2265" w:name="_Toc30073"/>
      <w:bookmarkStart w:id="2266" w:name="_Toc106810445"/>
    </w:p>
    <w:p w14:paraId="475F0E24">
      <w:pPr>
        <w:spacing w:line="440" w:lineRule="exact"/>
        <w:rPr>
          <w:rFonts w:ascii="Times New Roman" w:hAnsi="Times New Roman" w:cs="Times New Roman"/>
          <w:color w:val="auto"/>
          <w:kern w:val="21"/>
        </w:rPr>
      </w:pPr>
    </w:p>
    <w:p w14:paraId="24AE470F">
      <w:pPr>
        <w:spacing w:line="440" w:lineRule="exact"/>
        <w:rPr>
          <w:rFonts w:ascii="Times New Roman" w:hAnsi="Times New Roman" w:cs="Times New Roman"/>
          <w:color w:val="auto"/>
          <w:kern w:val="21"/>
        </w:rPr>
      </w:pPr>
    </w:p>
    <w:p w14:paraId="4CE8C4F8">
      <w:pPr>
        <w:spacing w:line="440" w:lineRule="exact"/>
        <w:rPr>
          <w:rFonts w:ascii="Times New Roman" w:hAnsi="Times New Roman" w:cs="Times New Roman"/>
          <w:color w:val="auto"/>
          <w:kern w:val="21"/>
        </w:rPr>
      </w:pPr>
    </w:p>
    <w:p w14:paraId="18D9329E">
      <w:pPr>
        <w:spacing w:line="440" w:lineRule="exact"/>
        <w:rPr>
          <w:rFonts w:ascii="Times New Roman" w:hAnsi="Times New Roman" w:cs="Times New Roman"/>
          <w:color w:val="auto"/>
          <w:kern w:val="21"/>
        </w:rPr>
      </w:pPr>
    </w:p>
    <w:p w14:paraId="5F7786AD">
      <w:pPr>
        <w:spacing w:line="440" w:lineRule="exact"/>
        <w:rPr>
          <w:rFonts w:ascii="Times New Roman" w:hAnsi="Times New Roman" w:cs="Times New Roman"/>
          <w:color w:val="auto"/>
          <w:kern w:val="21"/>
        </w:rPr>
      </w:pPr>
    </w:p>
    <w:p w14:paraId="06C9383C">
      <w:pPr>
        <w:spacing w:line="440" w:lineRule="exact"/>
        <w:rPr>
          <w:rFonts w:ascii="Times New Roman" w:hAnsi="Times New Roman" w:cs="Times New Roman"/>
          <w:color w:val="auto"/>
          <w:kern w:val="21"/>
        </w:rPr>
      </w:pPr>
    </w:p>
    <w:p w14:paraId="707F0260">
      <w:pPr>
        <w:pStyle w:val="5"/>
        <w:rPr>
          <w:bCs w:val="0"/>
          <w:color w:val="auto"/>
        </w:rPr>
      </w:pPr>
      <w:r>
        <w:rPr>
          <w:bCs w:val="0"/>
          <w:color w:val="auto"/>
        </w:rPr>
        <w:t>附表5：生态影响评价自查表</w:t>
      </w:r>
      <w:bookmarkEnd w:id="2265"/>
      <w:bookmarkEnd w:id="2266"/>
    </w:p>
    <w:tbl>
      <w:tblPr>
        <w:tblStyle w:val="8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230"/>
      </w:tblGrid>
      <w:tr w14:paraId="0532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0" w:type="dxa"/>
            <w:gridSpan w:val="2"/>
            <w:vAlign w:val="center"/>
          </w:tcPr>
          <w:p w14:paraId="538B2000">
            <w:pPr>
              <w:spacing w:line="320" w:lineRule="exact"/>
              <w:jc w:val="center"/>
              <w:rPr>
                <w:rFonts w:cs="Times New Roman" w:asciiTheme="minorEastAsia" w:hAnsiTheme="minorEastAsia"/>
                <w:color w:val="auto"/>
              </w:rPr>
            </w:pPr>
            <w:r>
              <w:rPr>
                <w:rFonts w:cs="Times New Roman" w:asciiTheme="minorEastAsia" w:hAnsiTheme="minorEastAsia"/>
                <w:color w:val="auto"/>
              </w:rPr>
              <w:t>工作内容</w:t>
            </w:r>
          </w:p>
        </w:tc>
        <w:tc>
          <w:tcPr>
            <w:tcW w:w="6230" w:type="dxa"/>
            <w:vAlign w:val="center"/>
          </w:tcPr>
          <w:p w14:paraId="1B57750C">
            <w:pPr>
              <w:spacing w:line="320" w:lineRule="exact"/>
              <w:jc w:val="center"/>
              <w:rPr>
                <w:rFonts w:cs="Times New Roman" w:asciiTheme="minorEastAsia" w:hAnsiTheme="minorEastAsia"/>
                <w:color w:val="auto"/>
              </w:rPr>
            </w:pPr>
            <w:r>
              <w:rPr>
                <w:rFonts w:cs="Times New Roman" w:asciiTheme="minorEastAsia" w:hAnsiTheme="minorEastAsia"/>
                <w:color w:val="auto"/>
              </w:rPr>
              <w:t>自查项目</w:t>
            </w:r>
          </w:p>
        </w:tc>
      </w:tr>
      <w:tr w14:paraId="3862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6B4578AD">
            <w:pPr>
              <w:spacing w:line="320" w:lineRule="exact"/>
              <w:jc w:val="center"/>
              <w:rPr>
                <w:rFonts w:cs="Times New Roman" w:asciiTheme="minorEastAsia" w:hAnsiTheme="minorEastAsia"/>
                <w:color w:val="auto"/>
              </w:rPr>
            </w:pPr>
            <w:r>
              <w:rPr>
                <w:rFonts w:cs="Times New Roman" w:asciiTheme="minorEastAsia" w:hAnsiTheme="minorEastAsia"/>
                <w:color w:val="auto"/>
              </w:rPr>
              <w:t>生态影响识别</w:t>
            </w:r>
          </w:p>
        </w:tc>
        <w:tc>
          <w:tcPr>
            <w:tcW w:w="1701" w:type="dxa"/>
            <w:vAlign w:val="center"/>
          </w:tcPr>
          <w:p w14:paraId="633387D2">
            <w:pPr>
              <w:spacing w:line="320" w:lineRule="exact"/>
              <w:jc w:val="center"/>
              <w:rPr>
                <w:rFonts w:cs="Times New Roman" w:asciiTheme="minorEastAsia" w:hAnsiTheme="minorEastAsia"/>
                <w:color w:val="auto"/>
              </w:rPr>
            </w:pPr>
            <w:r>
              <w:rPr>
                <w:rFonts w:cs="Times New Roman" w:asciiTheme="minorEastAsia" w:hAnsiTheme="minorEastAsia"/>
                <w:color w:val="auto"/>
              </w:rPr>
              <w:t>生态保护目标</w:t>
            </w:r>
          </w:p>
        </w:tc>
        <w:tc>
          <w:tcPr>
            <w:tcW w:w="6230" w:type="dxa"/>
            <w:vAlign w:val="center"/>
          </w:tcPr>
          <w:p w14:paraId="4AEE709C">
            <w:pPr>
              <w:spacing w:line="320" w:lineRule="exact"/>
              <w:rPr>
                <w:rFonts w:cs="Times New Roman" w:asciiTheme="minorEastAsia" w:hAnsiTheme="minorEastAsia"/>
                <w:color w:val="auto"/>
              </w:rPr>
            </w:pPr>
            <w:r>
              <w:rPr>
                <w:rFonts w:cs="Times New Roman" w:asciiTheme="minorEastAsia" w:hAnsiTheme="minorEastAsia"/>
                <w:color w:val="auto"/>
              </w:rPr>
              <w:t>重要物种□；国家公园□；自然保护区□；自然公园□；世界自然遗产□；生态保护红线□；重要生境□；其他具有重要生态功能、对保护生物多样性具有重要意义的区域□；其他</w:t>
            </w:r>
            <w:r>
              <w:rPr>
                <w:rFonts w:cs="Times New Roman" w:asciiTheme="minorEastAsia" w:hAnsiTheme="minorEastAsia"/>
                <w:color w:val="auto"/>
                <w:kern w:val="21"/>
              </w:rPr>
              <w:sym w:font="Wingdings" w:char="00FE"/>
            </w:r>
          </w:p>
        </w:tc>
      </w:tr>
      <w:tr w14:paraId="7DB6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45DF945B">
            <w:pPr>
              <w:spacing w:line="320" w:lineRule="exact"/>
              <w:jc w:val="center"/>
              <w:rPr>
                <w:rFonts w:cs="Times New Roman" w:asciiTheme="minorEastAsia" w:hAnsiTheme="minorEastAsia"/>
                <w:color w:val="auto"/>
              </w:rPr>
            </w:pPr>
          </w:p>
        </w:tc>
        <w:tc>
          <w:tcPr>
            <w:tcW w:w="1701" w:type="dxa"/>
            <w:vAlign w:val="center"/>
          </w:tcPr>
          <w:p w14:paraId="2D4B49F7">
            <w:pPr>
              <w:spacing w:line="320" w:lineRule="exact"/>
              <w:jc w:val="center"/>
              <w:rPr>
                <w:rFonts w:cs="Times New Roman" w:asciiTheme="minorEastAsia" w:hAnsiTheme="minorEastAsia"/>
                <w:color w:val="auto"/>
              </w:rPr>
            </w:pPr>
            <w:r>
              <w:rPr>
                <w:rFonts w:cs="Times New Roman" w:asciiTheme="minorEastAsia" w:hAnsiTheme="minorEastAsia"/>
                <w:color w:val="auto"/>
              </w:rPr>
              <w:t>影响方式</w:t>
            </w:r>
          </w:p>
        </w:tc>
        <w:tc>
          <w:tcPr>
            <w:tcW w:w="6230" w:type="dxa"/>
            <w:vAlign w:val="center"/>
          </w:tcPr>
          <w:p w14:paraId="3C615994">
            <w:pPr>
              <w:spacing w:line="320" w:lineRule="exact"/>
              <w:rPr>
                <w:rFonts w:cs="Times New Roman" w:asciiTheme="minorEastAsia" w:hAnsiTheme="minorEastAsia"/>
                <w:color w:val="auto"/>
              </w:rPr>
            </w:pPr>
            <w:r>
              <w:rPr>
                <w:rFonts w:cs="Times New Roman" w:asciiTheme="minorEastAsia" w:hAnsiTheme="minorEastAsia"/>
                <w:color w:val="auto"/>
              </w:rPr>
              <w:t>工程占用</w:t>
            </w:r>
            <w:r>
              <w:rPr>
                <w:rFonts w:cs="Times New Roman" w:asciiTheme="minorEastAsia" w:hAnsiTheme="minorEastAsia"/>
                <w:color w:val="auto"/>
                <w:kern w:val="21"/>
              </w:rPr>
              <w:sym w:font="Wingdings" w:char="00FE"/>
            </w:r>
            <w:r>
              <w:rPr>
                <w:rFonts w:cs="Times New Roman" w:asciiTheme="minorEastAsia" w:hAnsiTheme="minorEastAsia"/>
                <w:color w:val="auto"/>
              </w:rPr>
              <w:t>；施工活动干扰</w:t>
            </w:r>
            <w:r>
              <w:rPr>
                <w:rFonts w:cs="Times New Roman" w:asciiTheme="minorEastAsia" w:hAnsiTheme="minorEastAsia"/>
                <w:color w:val="auto"/>
                <w:kern w:val="21"/>
              </w:rPr>
              <w:sym w:font="Wingdings" w:char="00FE"/>
            </w:r>
            <w:r>
              <w:rPr>
                <w:rFonts w:cs="Times New Roman" w:asciiTheme="minorEastAsia" w:hAnsiTheme="minorEastAsia"/>
                <w:color w:val="auto"/>
              </w:rPr>
              <w:t>；改变环境条件□；其他□</w:t>
            </w:r>
          </w:p>
        </w:tc>
      </w:tr>
      <w:tr w14:paraId="169E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57FD18A0">
            <w:pPr>
              <w:spacing w:line="320" w:lineRule="exact"/>
              <w:jc w:val="center"/>
              <w:rPr>
                <w:rFonts w:cs="Times New Roman" w:asciiTheme="minorEastAsia" w:hAnsiTheme="minorEastAsia"/>
                <w:color w:val="auto"/>
              </w:rPr>
            </w:pPr>
          </w:p>
        </w:tc>
        <w:tc>
          <w:tcPr>
            <w:tcW w:w="1701" w:type="dxa"/>
            <w:vAlign w:val="center"/>
          </w:tcPr>
          <w:p w14:paraId="23A6A032">
            <w:pPr>
              <w:spacing w:line="320" w:lineRule="exact"/>
              <w:jc w:val="center"/>
              <w:rPr>
                <w:rFonts w:cs="Times New Roman" w:asciiTheme="minorEastAsia" w:hAnsiTheme="minorEastAsia"/>
                <w:color w:val="auto"/>
              </w:rPr>
            </w:pPr>
            <w:r>
              <w:rPr>
                <w:rFonts w:cs="Times New Roman" w:asciiTheme="minorEastAsia" w:hAnsiTheme="minorEastAsia"/>
                <w:color w:val="auto"/>
              </w:rPr>
              <w:t>评价因子</w:t>
            </w:r>
          </w:p>
        </w:tc>
        <w:tc>
          <w:tcPr>
            <w:tcW w:w="6230" w:type="dxa"/>
            <w:vAlign w:val="center"/>
          </w:tcPr>
          <w:p w14:paraId="4A5C717C">
            <w:pPr>
              <w:spacing w:line="320" w:lineRule="exact"/>
              <w:rPr>
                <w:rFonts w:cs="Times New Roman" w:asciiTheme="minorEastAsia" w:hAnsiTheme="minorEastAsia"/>
                <w:color w:val="auto"/>
              </w:rPr>
            </w:pPr>
            <w:r>
              <w:rPr>
                <w:rFonts w:cs="Times New Roman" w:asciiTheme="minorEastAsia" w:hAnsiTheme="minorEastAsia"/>
                <w:color w:val="auto"/>
              </w:rPr>
              <w:t>物种</w:t>
            </w:r>
            <w:r>
              <w:rPr>
                <w:rFonts w:cs="Times New Roman" w:asciiTheme="minorEastAsia" w:hAnsiTheme="minorEastAsia"/>
                <w:color w:val="auto"/>
                <w:kern w:val="21"/>
              </w:rPr>
              <w:sym w:font="Wingdings" w:char="00FE"/>
            </w:r>
            <w:r>
              <w:rPr>
                <w:rFonts w:cs="Times New Roman" w:asciiTheme="minorEastAsia" w:hAnsiTheme="minorEastAsia"/>
                <w:color w:val="auto"/>
              </w:rPr>
              <w:t>（分布范围、种群数量、种群结构）</w:t>
            </w:r>
          </w:p>
          <w:p w14:paraId="577A7B49">
            <w:pPr>
              <w:spacing w:line="320" w:lineRule="exact"/>
              <w:rPr>
                <w:rFonts w:cs="Times New Roman" w:asciiTheme="minorEastAsia" w:hAnsiTheme="minorEastAsia"/>
                <w:color w:val="auto"/>
              </w:rPr>
            </w:pPr>
            <w:r>
              <w:rPr>
                <w:rFonts w:cs="Times New Roman" w:asciiTheme="minorEastAsia" w:hAnsiTheme="minorEastAsia"/>
                <w:color w:val="auto"/>
              </w:rPr>
              <w:t>生境□（ ）</w:t>
            </w:r>
          </w:p>
          <w:p w14:paraId="10D8862D">
            <w:pPr>
              <w:spacing w:line="320" w:lineRule="exact"/>
              <w:rPr>
                <w:rFonts w:cs="Times New Roman" w:asciiTheme="minorEastAsia" w:hAnsiTheme="minorEastAsia"/>
                <w:color w:val="auto"/>
              </w:rPr>
            </w:pPr>
            <w:r>
              <w:rPr>
                <w:rFonts w:cs="Times New Roman" w:asciiTheme="minorEastAsia" w:hAnsiTheme="minorEastAsia"/>
                <w:color w:val="auto"/>
              </w:rPr>
              <w:t>生物群落</w:t>
            </w:r>
            <w:r>
              <w:rPr>
                <w:rFonts w:cs="Times New Roman" w:asciiTheme="minorEastAsia" w:hAnsiTheme="minorEastAsia"/>
                <w:color w:val="auto"/>
                <w:kern w:val="21"/>
              </w:rPr>
              <w:sym w:font="Wingdings" w:char="00FE"/>
            </w:r>
            <w:r>
              <w:rPr>
                <w:rFonts w:cs="Times New Roman" w:asciiTheme="minorEastAsia" w:hAnsiTheme="minorEastAsia"/>
                <w:color w:val="auto"/>
              </w:rPr>
              <w:t>（物种组成、群落结构）</w:t>
            </w:r>
          </w:p>
          <w:p w14:paraId="5DA019FA">
            <w:pPr>
              <w:spacing w:line="320" w:lineRule="exact"/>
              <w:rPr>
                <w:rFonts w:cs="Times New Roman" w:asciiTheme="minorEastAsia" w:hAnsiTheme="minorEastAsia"/>
                <w:color w:val="auto"/>
              </w:rPr>
            </w:pPr>
            <w:r>
              <w:rPr>
                <w:rFonts w:cs="Times New Roman" w:asciiTheme="minorEastAsia" w:hAnsiTheme="minorEastAsia"/>
                <w:color w:val="auto"/>
              </w:rPr>
              <w:t>生态系统</w:t>
            </w:r>
            <w:r>
              <w:rPr>
                <w:rFonts w:cs="Times New Roman" w:asciiTheme="minorEastAsia" w:hAnsiTheme="minorEastAsia"/>
                <w:color w:val="auto"/>
                <w:kern w:val="21"/>
              </w:rPr>
              <w:sym w:font="Wingdings" w:char="00FE"/>
            </w:r>
            <w:r>
              <w:rPr>
                <w:rFonts w:cs="Times New Roman" w:asciiTheme="minorEastAsia" w:hAnsiTheme="minorEastAsia"/>
                <w:color w:val="auto"/>
              </w:rPr>
              <w:t>（植被覆盖度、生产力、生物量、生态系统功能）</w:t>
            </w:r>
          </w:p>
          <w:p w14:paraId="62117D69">
            <w:pPr>
              <w:spacing w:line="320" w:lineRule="exact"/>
              <w:rPr>
                <w:rFonts w:cs="Times New Roman" w:asciiTheme="minorEastAsia" w:hAnsiTheme="minorEastAsia"/>
                <w:color w:val="auto"/>
              </w:rPr>
            </w:pPr>
            <w:r>
              <w:rPr>
                <w:rFonts w:cs="Times New Roman" w:asciiTheme="minorEastAsia" w:hAnsiTheme="minorEastAsia"/>
                <w:color w:val="auto"/>
              </w:rPr>
              <w:t>生物多样性□（ ）</w:t>
            </w:r>
          </w:p>
          <w:p w14:paraId="54050D12">
            <w:pPr>
              <w:spacing w:line="320" w:lineRule="exact"/>
              <w:rPr>
                <w:rFonts w:cs="Times New Roman" w:asciiTheme="minorEastAsia" w:hAnsiTheme="minorEastAsia"/>
                <w:color w:val="auto"/>
              </w:rPr>
            </w:pPr>
            <w:r>
              <w:rPr>
                <w:rFonts w:cs="Times New Roman" w:asciiTheme="minorEastAsia" w:hAnsiTheme="minorEastAsia"/>
                <w:color w:val="auto"/>
              </w:rPr>
              <w:t>生态敏感区□（ ）</w:t>
            </w:r>
          </w:p>
          <w:p w14:paraId="60D342E7">
            <w:pPr>
              <w:spacing w:line="320" w:lineRule="exact"/>
              <w:rPr>
                <w:rFonts w:cs="Times New Roman" w:asciiTheme="minorEastAsia" w:hAnsiTheme="minorEastAsia"/>
                <w:color w:val="auto"/>
              </w:rPr>
            </w:pPr>
            <w:r>
              <w:rPr>
                <w:rFonts w:cs="Times New Roman" w:asciiTheme="minorEastAsia" w:hAnsiTheme="minorEastAsia"/>
                <w:color w:val="auto"/>
              </w:rPr>
              <w:t>自然景观□（ ）</w:t>
            </w:r>
          </w:p>
          <w:p w14:paraId="23BA902E">
            <w:pPr>
              <w:spacing w:line="320" w:lineRule="exact"/>
              <w:rPr>
                <w:rFonts w:cs="Times New Roman" w:asciiTheme="minorEastAsia" w:hAnsiTheme="minorEastAsia"/>
                <w:color w:val="auto"/>
              </w:rPr>
            </w:pPr>
            <w:r>
              <w:rPr>
                <w:rFonts w:cs="Times New Roman" w:asciiTheme="minorEastAsia" w:hAnsiTheme="minorEastAsia"/>
                <w:color w:val="auto"/>
              </w:rPr>
              <w:t>自然遗迹□（ ）</w:t>
            </w:r>
          </w:p>
          <w:p w14:paraId="4739FCA4">
            <w:pPr>
              <w:spacing w:line="320" w:lineRule="exact"/>
              <w:rPr>
                <w:rFonts w:cs="Times New Roman" w:asciiTheme="minorEastAsia" w:hAnsiTheme="minorEastAsia"/>
                <w:color w:val="auto"/>
              </w:rPr>
            </w:pPr>
            <w:r>
              <w:rPr>
                <w:rFonts w:cs="Times New Roman" w:asciiTheme="minorEastAsia" w:hAnsiTheme="minorEastAsia"/>
                <w:color w:val="auto"/>
              </w:rPr>
              <w:t>其他□（ ）</w:t>
            </w:r>
          </w:p>
        </w:tc>
      </w:tr>
      <w:tr w14:paraId="428B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0" w:type="dxa"/>
            <w:gridSpan w:val="2"/>
            <w:vAlign w:val="center"/>
          </w:tcPr>
          <w:p w14:paraId="479E36B6">
            <w:pPr>
              <w:spacing w:line="320" w:lineRule="exact"/>
              <w:jc w:val="center"/>
              <w:rPr>
                <w:rFonts w:cs="Times New Roman" w:asciiTheme="minorEastAsia" w:hAnsiTheme="minorEastAsia"/>
                <w:color w:val="auto"/>
              </w:rPr>
            </w:pPr>
            <w:r>
              <w:rPr>
                <w:rFonts w:cs="Times New Roman" w:asciiTheme="minorEastAsia" w:hAnsiTheme="minorEastAsia"/>
                <w:color w:val="auto"/>
              </w:rPr>
              <w:t>评价等级</w:t>
            </w:r>
          </w:p>
        </w:tc>
        <w:tc>
          <w:tcPr>
            <w:tcW w:w="6230" w:type="dxa"/>
            <w:vAlign w:val="center"/>
          </w:tcPr>
          <w:p w14:paraId="1BA5CBE5">
            <w:pPr>
              <w:spacing w:line="320" w:lineRule="exact"/>
              <w:rPr>
                <w:rFonts w:cs="Times New Roman" w:asciiTheme="minorEastAsia" w:hAnsiTheme="minorEastAsia"/>
                <w:color w:val="auto"/>
              </w:rPr>
            </w:pPr>
            <w:r>
              <w:rPr>
                <w:rFonts w:cs="Times New Roman" w:asciiTheme="minorEastAsia" w:hAnsiTheme="minorEastAsia"/>
                <w:color w:val="auto"/>
              </w:rPr>
              <w:t>一级□ 二级</w:t>
            </w:r>
            <w:r>
              <w:rPr>
                <w:rFonts w:cs="Times New Roman" w:asciiTheme="minorEastAsia" w:hAnsiTheme="minorEastAsia"/>
                <w:color w:val="auto"/>
                <w:kern w:val="21"/>
              </w:rPr>
              <w:sym w:font="Wingdings" w:char="00FE"/>
            </w:r>
            <w:r>
              <w:rPr>
                <w:rFonts w:cs="Times New Roman" w:asciiTheme="minorEastAsia" w:hAnsiTheme="minorEastAsia"/>
                <w:color w:val="auto"/>
              </w:rPr>
              <w:t xml:space="preserve"> 三级□ 生态影响简单分析□</w:t>
            </w:r>
          </w:p>
        </w:tc>
      </w:tr>
      <w:tr w14:paraId="640E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0" w:type="dxa"/>
            <w:gridSpan w:val="2"/>
            <w:vAlign w:val="center"/>
          </w:tcPr>
          <w:p w14:paraId="0A2882E7">
            <w:pPr>
              <w:spacing w:line="320" w:lineRule="exact"/>
              <w:jc w:val="center"/>
              <w:rPr>
                <w:rFonts w:cs="Times New Roman" w:asciiTheme="minorEastAsia" w:hAnsiTheme="minorEastAsia"/>
                <w:color w:val="auto"/>
              </w:rPr>
            </w:pPr>
            <w:r>
              <w:rPr>
                <w:rFonts w:cs="Times New Roman" w:asciiTheme="minorEastAsia" w:hAnsiTheme="minorEastAsia"/>
                <w:color w:val="auto"/>
              </w:rPr>
              <w:t>评价范围</w:t>
            </w:r>
          </w:p>
        </w:tc>
        <w:tc>
          <w:tcPr>
            <w:tcW w:w="6230" w:type="dxa"/>
            <w:vAlign w:val="center"/>
          </w:tcPr>
          <w:p w14:paraId="4F329F19">
            <w:pPr>
              <w:spacing w:line="320" w:lineRule="exact"/>
              <w:rPr>
                <w:rFonts w:cs="Times New Roman" w:asciiTheme="minorEastAsia" w:hAnsiTheme="minorEastAsia"/>
                <w:color w:val="auto"/>
              </w:rPr>
            </w:pPr>
            <w:r>
              <w:rPr>
                <w:rFonts w:cs="Times New Roman" w:asciiTheme="minorEastAsia" w:hAnsiTheme="minorEastAsia"/>
                <w:color w:val="auto"/>
              </w:rPr>
              <w:t>陆域面积：（ ）km</w:t>
            </w:r>
            <w:r>
              <w:rPr>
                <w:rFonts w:cs="Times New Roman" w:asciiTheme="minorEastAsia" w:hAnsiTheme="minorEastAsia"/>
                <w:color w:val="auto"/>
                <w:vertAlign w:val="superscript"/>
              </w:rPr>
              <w:t>2</w:t>
            </w:r>
            <w:r>
              <w:rPr>
                <w:rFonts w:cs="Times New Roman" w:asciiTheme="minorEastAsia" w:hAnsiTheme="minorEastAsia"/>
                <w:color w:val="auto"/>
              </w:rPr>
              <w:t>；水域面积：（ ）km</w:t>
            </w:r>
            <w:r>
              <w:rPr>
                <w:rFonts w:cs="Times New Roman" w:asciiTheme="minorEastAsia" w:hAnsiTheme="minorEastAsia"/>
                <w:color w:val="auto"/>
                <w:vertAlign w:val="superscript"/>
              </w:rPr>
              <w:t>2</w:t>
            </w:r>
          </w:p>
        </w:tc>
      </w:tr>
      <w:tr w14:paraId="1239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191F596C">
            <w:pPr>
              <w:spacing w:line="320" w:lineRule="exact"/>
              <w:jc w:val="center"/>
              <w:rPr>
                <w:rFonts w:cs="Times New Roman" w:asciiTheme="minorEastAsia" w:hAnsiTheme="minorEastAsia"/>
                <w:color w:val="auto"/>
              </w:rPr>
            </w:pPr>
            <w:r>
              <w:rPr>
                <w:rFonts w:cs="Times New Roman" w:asciiTheme="minorEastAsia" w:hAnsiTheme="minorEastAsia"/>
                <w:color w:val="auto"/>
              </w:rPr>
              <w:t>生态现状调查与评价</w:t>
            </w:r>
          </w:p>
        </w:tc>
        <w:tc>
          <w:tcPr>
            <w:tcW w:w="1701" w:type="dxa"/>
            <w:vAlign w:val="center"/>
          </w:tcPr>
          <w:p w14:paraId="62B641E6">
            <w:pPr>
              <w:spacing w:line="320" w:lineRule="exact"/>
              <w:jc w:val="center"/>
              <w:rPr>
                <w:rFonts w:cs="Times New Roman" w:asciiTheme="minorEastAsia" w:hAnsiTheme="minorEastAsia"/>
                <w:color w:val="auto"/>
              </w:rPr>
            </w:pPr>
            <w:r>
              <w:rPr>
                <w:rFonts w:cs="Times New Roman" w:asciiTheme="minorEastAsia" w:hAnsiTheme="minorEastAsia"/>
                <w:color w:val="auto"/>
              </w:rPr>
              <w:t>调查方法</w:t>
            </w:r>
          </w:p>
        </w:tc>
        <w:tc>
          <w:tcPr>
            <w:tcW w:w="6230" w:type="dxa"/>
            <w:vAlign w:val="center"/>
          </w:tcPr>
          <w:p w14:paraId="050B0134">
            <w:pPr>
              <w:spacing w:line="320" w:lineRule="exact"/>
              <w:rPr>
                <w:rFonts w:cs="Times New Roman" w:asciiTheme="minorEastAsia" w:hAnsiTheme="minorEastAsia"/>
                <w:color w:val="auto"/>
              </w:rPr>
            </w:pPr>
            <w:r>
              <w:rPr>
                <w:rFonts w:cs="Times New Roman" w:asciiTheme="minorEastAsia" w:hAnsiTheme="minorEastAsia"/>
                <w:color w:val="auto"/>
              </w:rPr>
              <w:t>资料收集</w:t>
            </w:r>
            <w:r>
              <w:rPr>
                <w:rFonts w:cs="Times New Roman" w:asciiTheme="minorEastAsia" w:hAnsiTheme="minorEastAsia"/>
                <w:color w:val="auto"/>
                <w:kern w:val="21"/>
              </w:rPr>
              <w:sym w:font="Wingdings" w:char="00FE"/>
            </w:r>
            <w:r>
              <w:rPr>
                <w:rFonts w:cs="Times New Roman" w:asciiTheme="minorEastAsia" w:hAnsiTheme="minorEastAsia"/>
                <w:color w:val="auto"/>
              </w:rPr>
              <w:t>；遥感调查</w:t>
            </w:r>
            <w:r>
              <w:rPr>
                <w:rFonts w:cs="Times New Roman" w:asciiTheme="minorEastAsia" w:hAnsiTheme="minorEastAsia"/>
                <w:color w:val="auto"/>
              </w:rPr>
              <w:sym w:font="Wingdings" w:char="00FE"/>
            </w:r>
            <w:r>
              <w:rPr>
                <w:rFonts w:cs="Times New Roman" w:asciiTheme="minorEastAsia" w:hAnsiTheme="minorEastAsia"/>
                <w:color w:val="auto"/>
              </w:rPr>
              <w:t>；调查样方、样线□；调查点位、断面□；专家和公众咨询法□；其他□</w:t>
            </w:r>
          </w:p>
        </w:tc>
      </w:tr>
      <w:tr w14:paraId="0F6D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52CF1DBB">
            <w:pPr>
              <w:spacing w:line="320" w:lineRule="exact"/>
              <w:jc w:val="center"/>
              <w:rPr>
                <w:rFonts w:cs="Times New Roman" w:asciiTheme="minorEastAsia" w:hAnsiTheme="minorEastAsia"/>
                <w:color w:val="auto"/>
              </w:rPr>
            </w:pPr>
          </w:p>
        </w:tc>
        <w:tc>
          <w:tcPr>
            <w:tcW w:w="1701" w:type="dxa"/>
            <w:vAlign w:val="center"/>
          </w:tcPr>
          <w:p w14:paraId="6EB46E77">
            <w:pPr>
              <w:spacing w:line="320" w:lineRule="exact"/>
              <w:jc w:val="center"/>
              <w:rPr>
                <w:rFonts w:cs="Times New Roman" w:asciiTheme="minorEastAsia" w:hAnsiTheme="minorEastAsia"/>
                <w:color w:val="auto"/>
              </w:rPr>
            </w:pPr>
            <w:r>
              <w:rPr>
                <w:rFonts w:cs="Times New Roman" w:asciiTheme="minorEastAsia" w:hAnsiTheme="minorEastAsia"/>
                <w:color w:val="auto"/>
              </w:rPr>
              <w:t>调查时间</w:t>
            </w:r>
          </w:p>
        </w:tc>
        <w:tc>
          <w:tcPr>
            <w:tcW w:w="6230" w:type="dxa"/>
            <w:vAlign w:val="center"/>
          </w:tcPr>
          <w:p w14:paraId="1AFEBBC6">
            <w:pPr>
              <w:spacing w:line="320" w:lineRule="exact"/>
              <w:rPr>
                <w:rFonts w:cs="Times New Roman" w:asciiTheme="minorEastAsia" w:hAnsiTheme="minorEastAsia"/>
                <w:color w:val="auto"/>
              </w:rPr>
            </w:pPr>
            <w:r>
              <w:rPr>
                <w:rFonts w:cs="Times New Roman" w:asciiTheme="minorEastAsia" w:hAnsiTheme="minorEastAsia"/>
                <w:color w:val="auto"/>
              </w:rPr>
              <w:t>春季</w:t>
            </w:r>
            <w:r>
              <w:rPr>
                <w:rFonts w:cs="Times New Roman" w:asciiTheme="minorEastAsia" w:hAnsiTheme="minorEastAsia"/>
                <w:color w:val="auto"/>
              </w:rPr>
              <w:sym w:font="Wingdings" w:char="00FE"/>
            </w:r>
            <w:r>
              <w:rPr>
                <w:rFonts w:cs="Times New Roman" w:asciiTheme="minorEastAsia" w:hAnsiTheme="minorEastAsia"/>
                <w:color w:val="auto"/>
              </w:rPr>
              <w:t>；夏季</w:t>
            </w:r>
            <w:r>
              <w:rPr>
                <w:rFonts w:cs="Times New Roman" w:asciiTheme="minorEastAsia" w:hAnsiTheme="minorEastAsia"/>
                <w:color w:val="auto"/>
                <w:kern w:val="21"/>
              </w:rPr>
              <w:t>□</w:t>
            </w:r>
            <w:r>
              <w:rPr>
                <w:rFonts w:cs="Times New Roman" w:asciiTheme="minorEastAsia" w:hAnsiTheme="minorEastAsia"/>
                <w:color w:val="auto"/>
              </w:rPr>
              <w:t>；秋季</w:t>
            </w:r>
            <w:r>
              <w:rPr>
                <w:rFonts w:cs="Times New Roman" w:asciiTheme="minorEastAsia" w:hAnsiTheme="minorEastAsia"/>
                <w:color w:val="auto"/>
                <w:kern w:val="21"/>
              </w:rPr>
              <w:t>□</w:t>
            </w:r>
            <w:r>
              <w:rPr>
                <w:rFonts w:cs="Times New Roman" w:asciiTheme="minorEastAsia" w:hAnsiTheme="minorEastAsia"/>
                <w:color w:val="auto"/>
              </w:rPr>
              <w:t>；冬季□</w:t>
            </w:r>
          </w:p>
          <w:p w14:paraId="39766E2D">
            <w:pPr>
              <w:spacing w:line="320" w:lineRule="exact"/>
              <w:rPr>
                <w:rFonts w:cs="Times New Roman" w:asciiTheme="minorEastAsia" w:hAnsiTheme="minorEastAsia"/>
                <w:color w:val="auto"/>
              </w:rPr>
            </w:pPr>
            <w:r>
              <w:rPr>
                <w:rFonts w:cs="Times New Roman" w:asciiTheme="minorEastAsia" w:hAnsiTheme="minorEastAsia"/>
                <w:color w:val="auto"/>
              </w:rPr>
              <w:t>丰水期□；枯水期□；平水期□</w:t>
            </w:r>
          </w:p>
        </w:tc>
      </w:tr>
      <w:tr w14:paraId="0D85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77D2462B">
            <w:pPr>
              <w:spacing w:line="320" w:lineRule="exact"/>
              <w:jc w:val="center"/>
              <w:rPr>
                <w:rFonts w:cs="Times New Roman" w:asciiTheme="minorEastAsia" w:hAnsiTheme="minorEastAsia"/>
                <w:color w:val="auto"/>
              </w:rPr>
            </w:pPr>
          </w:p>
        </w:tc>
        <w:tc>
          <w:tcPr>
            <w:tcW w:w="1701" w:type="dxa"/>
            <w:vAlign w:val="center"/>
          </w:tcPr>
          <w:p w14:paraId="58DAD99A">
            <w:pPr>
              <w:spacing w:line="320" w:lineRule="exact"/>
              <w:jc w:val="center"/>
              <w:rPr>
                <w:rFonts w:cs="Times New Roman" w:asciiTheme="minorEastAsia" w:hAnsiTheme="minorEastAsia"/>
                <w:color w:val="auto"/>
              </w:rPr>
            </w:pPr>
            <w:r>
              <w:rPr>
                <w:rFonts w:cs="Times New Roman" w:asciiTheme="minorEastAsia" w:hAnsiTheme="minorEastAsia"/>
                <w:color w:val="auto"/>
              </w:rPr>
              <w:t>所在区域的生态问题</w:t>
            </w:r>
          </w:p>
        </w:tc>
        <w:tc>
          <w:tcPr>
            <w:tcW w:w="6230" w:type="dxa"/>
            <w:vAlign w:val="center"/>
          </w:tcPr>
          <w:p w14:paraId="5EDADE0F">
            <w:pPr>
              <w:spacing w:line="320" w:lineRule="exact"/>
              <w:rPr>
                <w:rFonts w:cs="Times New Roman" w:asciiTheme="minorEastAsia" w:hAnsiTheme="minorEastAsia"/>
                <w:color w:val="auto"/>
              </w:rPr>
            </w:pPr>
            <w:r>
              <w:rPr>
                <w:rFonts w:cs="Times New Roman" w:asciiTheme="minorEastAsia" w:hAnsiTheme="minorEastAsia"/>
                <w:color w:val="auto"/>
              </w:rPr>
              <w:t>水土流失□；沙漠化□；石漠化□；盐渍化□；生物入侵□；污染危害□；其他□</w:t>
            </w:r>
          </w:p>
        </w:tc>
      </w:tr>
      <w:tr w14:paraId="33F3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5E7B71E4">
            <w:pPr>
              <w:spacing w:line="320" w:lineRule="exact"/>
              <w:jc w:val="center"/>
              <w:rPr>
                <w:rFonts w:cs="Times New Roman" w:asciiTheme="minorEastAsia" w:hAnsiTheme="minorEastAsia"/>
                <w:color w:val="auto"/>
              </w:rPr>
            </w:pPr>
          </w:p>
        </w:tc>
        <w:tc>
          <w:tcPr>
            <w:tcW w:w="1701" w:type="dxa"/>
            <w:vAlign w:val="center"/>
          </w:tcPr>
          <w:p w14:paraId="40CD1B55">
            <w:pPr>
              <w:spacing w:line="320" w:lineRule="exact"/>
              <w:jc w:val="center"/>
              <w:rPr>
                <w:rFonts w:cs="Times New Roman" w:asciiTheme="minorEastAsia" w:hAnsiTheme="minorEastAsia"/>
                <w:color w:val="auto"/>
              </w:rPr>
            </w:pPr>
            <w:r>
              <w:rPr>
                <w:rFonts w:cs="Times New Roman" w:asciiTheme="minorEastAsia" w:hAnsiTheme="minorEastAsia"/>
                <w:color w:val="auto"/>
              </w:rPr>
              <w:t>评价内容</w:t>
            </w:r>
          </w:p>
        </w:tc>
        <w:tc>
          <w:tcPr>
            <w:tcW w:w="6230" w:type="dxa"/>
            <w:vAlign w:val="center"/>
          </w:tcPr>
          <w:p w14:paraId="179E6E1D">
            <w:pPr>
              <w:spacing w:line="320" w:lineRule="exact"/>
              <w:rPr>
                <w:rFonts w:cs="Times New Roman" w:asciiTheme="minorEastAsia" w:hAnsiTheme="minorEastAsia"/>
                <w:color w:val="auto"/>
              </w:rPr>
            </w:pPr>
            <w:r>
              <w:rPr>
                <w:rFonts w:cs="Times New Roman" w:asciiTheme="minorEastAsia" w:hAnsiTheme="minorEastAsia"/>
                <w:color w:val="auto"/>
              </w:rPr>
              <w:t>植被/植物群落</w:t>
            </w:r>
            <w:r>
              <w:rPr>
                <w:rFonts w:cs="Times New Roman" w:asciiTheme="minorEastAsia" w:hAnsiTheme="minorEastAsia"/>
                <w:color w:val="auto"/>
                <w:kern w:val="21"/>
              </w:rPr>
              <w:sym w:font="Wingdings" w:char="00FE"/>
            </w:r>
            <w:r>
              <w:rPr>
                <w:rFonts w:cs="Times New Roman" w:asciiTheme="minorEastAsia" w:hAnsiTheme="minorEastAsia"/>
                <w:color w:val="auto"/>
              </w:rPr>
              <w:t>；土地利用</w:t>
            </w:r>
            <w:r>
              <w:rPr>
                <w:rFonts w:cs="Times New Roman" w:asciiTheme="minorEastAsia" w:hAnsiTheme="minorEastAsia"/>
                <w:color w:val="auto"/>
                <w:kern w:val="21"/>
              </w:rPr>
              <w:sym w:font="Wingdings" w:char="00FE"/>
            </w:r>
            <w:r>
              <w:rPr>
                <w:rFonts w:cs="Times New Roman" w:asciiTheme="minorEastAsia" w:hAnsiTheme="minorEastAsia"/>
                <w:color w:val="auto"/>
              </w:rPr>
              <w:t>；生态系统</w:t>
            </w:r>
            <w:r>
              <w:rPr>
                <w:rFonts w:cs="Times New Roman" w:asciiTheme="minorEastAsia" w:hAnsiTheme="minorEastAsia"/>
                <w:color w:val="auto"/>
                <w:kern w:val="21"/>
              </w:rPr>
              <w:sym w:font="Wingdings" w:char="00FE"/>
            </w:r>
            <w:r>
              <w:rPr>
                <w:rFonts w:cs="Times New Roman" w:asciiTheme="minorEastAsia" w:hAnsiTheme="minorEastAsia"/>
                <w:color w:val="auto"/>
              </w:rPr>
              <w:t>；生物多样性</w:t>
            </w:r>
            <w:r>
              <w:rPr>
                <w:rFonts w:cs="Times New Roman" w:asciiTheme="minorEastAsia" w:hAnsiTheme="minorEastAsia"/>
                <w:color w:val="auto"/>
                <w:kern w:val="21"/>
              </w:rPr>
              <w:sym w:font="Wingdings" w:char="00FE"/>
            </w:r>
            <w:r>
              <w:rPr>
                <w:rFonts w:cs="Times New Roman" w:asciiTheme="minorEastAsia" w:hAnsiTheme="minorEastAsia"/>
                <w:color w:val="auto"/>
              </w:rPr>
              <w:t>；重要物种□；生态敏感区□；其他□</w:t>
            </w:r>
          </w:p>
        </w:tc>
      </w:tr>
      <w:tr w14:paraId="1580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0D61961A">
            <w:pPr>
              <w:spacing w:line="320" w:lineRule="exact"/>
              <w:jc w:val="center"/>
              <w:rPr>
                <w:rFonts w:cs="Times New Roman" w:asciiTheme="minorEastAsia" w:hAnsiTheme="minorEastAsia"/>
                <w:color w:val="auto"/>
              </w:rPr>
            </w:pPr>
            <w:r>
              <w:rPr>
                <w:rFonts w:cs="Times New Roman" w:asciiTheme="minorEastAsia" w:hAnsiTheme="minorEastAsia"/>
                <w:color w:val="auto"/>
              </w:rPr>
              <w:t>生态影响预测与评价</w:t>
            </w:r>
          </w:p>
        </w:tc>
        <w:tc>
          <w:tcPr>
            <w:tcW w:w="1701" w:type="dxa"/>
            <w:vAlign w:val="center"/>
          </w:tcPr>
          <w:p w14:paraId="73C80EE7">
            <w:pPr>
              <w:spacing w:line="320" w:lineRule="exact"/>
              <w:jc w:val="center"/>
              <w:rPr>
                <w:rFonts w:cs="Times New Roman" w:asciiTheme="minorEastAsia" w:hAnsiTheme="minorEastAsia"/>
                <w:color w:val="auto"/>
              </w:rPr>
            </w:pPr>
            <w:r>
              <w:rPr>
                <w:rFonts w:cs="Times New Roman" w:asciiTheme="minorEastAsia" w:hAnsiTheme="minorEastAsia"/>
                <w:color w:val="auto"/>
              </w:rPr>
              <w:t>评价方法</w:t>
            </w:r>
          </w:p>
        </w:tc>
        <w:tc>
          <w:tcPr>
            <w:tcW w:w="6230" w:type="dxa"/>
            <w:vAlign w:val="center"/>
          </w:tcPr>
          <w:p w14:paraId="5CF09B3E">
            <w:pPr>
              <w:spacing w:line="320" w:lineRule="exact"/>
              <w:rPr>
                <w:rFonts w:cs="Times New Roman" w:asciiTheme="minorEastAsia" w:hAnsiTheme="minorEastAsia"/>
                <w:color w:val="auto"/>
              </w:rPr>
            </w:pPr>
            <w:r>
              <w:rPr>
                <w:rFonts w:cs="Times New Roman" w:asciiTheme="minorEastAsia" w:hAnsiTheme="minorEastAsia"/>
                <w:color w:val="auto"/>
              </w:rPr>
              <w:t>定性</w:t>
            </w:r>
            <w:r>
              <w:rPr>
                <w:rFonts w:cs="Times New Roman" w:asciiTheme="minorEastAsia" w:hAnsiTheme="minorEastAsia"/>
                <w:color w:val="auto"/>
                <w:kern w:val="21"/>
              </w:rPr>
              <w:sym w:font="Wingdings" w:char="00FE"/>
            </w:r>
            <w:r>
              <w:rPr>
                <w:rFonts w:cs="Times New Roman" w:asciiTheme="minorEastAsia" w:hAnsiTheme="minorEastAsia"/>
                <w:color w:val="auto"/>
              </w:rPr>
              <w:t>；定性和定量□</w:t>
            </w:r>
          </w:p>
        </w:tc>
      </w:tr>
      <w:tr w14:paraId="1A90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7E9F6861">
            <w:pPr>
              <w:spacing w:line="320" w:lineRule="exact"/>
              <w:jc w:val="center"/>
              <w:rPr>
                <w:rFonts w:cs="Times New Roman" w:asciiTheme="minorEastAsia" w:hAnsiTheme="minorEastAsia"/>
                <w:color w:val="auto"/>
              </w:rPr>
            </w:pPr>
          </w:p>
        </w:tc>
        <w:tc>
          <w:tcPr>
            <w:tcW w:w="1701" w:type="dxa"/>
            <w:vAlign w:val="center"/>
          </w:tcPr>
          <w:p w14:paraId="44745EC7">
            <w:pPr>
              <w:spacing w:line="320" w:lineRule="exact"/>
              <w:jc w:val="center"/>
              <w:rPr>
                <w:rFonts w:cs="Times New Roman" w:asciiTheme="minorEastAsia" w:hAnsiTheme="minorEastAsia"/>
                <w:color w:val="auto"/>
              </w:rPr>
            </w:pPr>
            <w:r>
              <w:rPr>
                <w:rFonts w:cs="Times New Roman" w:asciiTheme="minorEastAsia" w:hAnsiTheme="minorEastAsia"/>
                <w:color w:val="auto"/>
              </w:rPr>
              <w:t>评价内容</w:t>
            </w:r>
          </w:p>
        </w:tc>
        <w:tc>
          <w:tcPr>
            <w:tcW w:w="6230" w:type="dxa"/>
            <w:vAlign w:val="center"/>
          </w:tcPr>
          <w:p w14:paraId="3F64D6C7">
            <w:pPr>
              <w:spacing w:line="320" w:lineRule="exact"/>
              <w:rPr>
                <w:rFonts w:cs="Times New Roman" w:asciiTheme="minorEastAsia" w:hAnsiTheme="minorEastAsia"/>
                <w:color w:val="auto"/>
              </w:rPr>
            </w:pPr>
            <w:r>
              <w:rPr>
                <w:rFonts w:cs="Times New Roman" w:asciiTheme="minorEastAsia" w:hAnsiTheme="minorEastAsia"/>
                <w:color w:val="auto"/>
              </w:rPr>
              <w:t>植被/植物群落</w:t>
            </w:r>
            <w:r>
              <w:rPr>
                <w:rFonts w:cs="Times New Roman" w:asciiTheme="minorEastAsia" w:hAnsiTheme="minorEastAsia"/>
                <w:color w:val="auto"/>
                <w:kern w:val="21"/>
              </w:rPr>
              <w:sym w:font="Wingdings" w:char="00FE"/>
            </w:r>
            <w:r>
              <w:rPr>
                <w:rFonts w:cs="Times New Roman" w:asciiTheme="minorEastAsia" w:hAnsiTheme="minorEastAsia"/>
                <w:color w:val="auto"/>
              </w:rPr>
              <w:t>；土地利用</w:t>
            </w:r>
            <w:r>
              <w:rPr>
                <w:rFonts w:cs="Times New Roman" w:asciiTheme="minorEastAsia" w:hAnsiTheme="minorEastAsia"/>
                <w:color w:val="auto"/>
                <w:kern w:val="21"/>
              </w:rPr>
              <w:sym w:font="Wingdings" w:char="00FE"/>
            </w:r>
            <w:r>
              <w:rPr>
                <w:rFonts w:cs="Times New Roman" w:asciiTheme="minorEastAsia" w:hAnsiTheme="minorEastAsia"/>
                <w:color w:val="auto"/>
              </w:rPr>
              <w:t>；生态系统</w:t>
            </w:r>
            <w:r>
              <w:rPr>
                <w:rFonts w:cs="Times New Roman" w:asciiTheme="minorEastAsia" w:hAnsiTheme="minorEastAsia"/>
                <w:color w:val="auto"/>
                <w:kern w:val="21"/>
              </w:rPr>
              <w:sym w:font="Wingdings" w:char="00FE"/>
            </w:r>
            <w:r>
              <w:rPr>
                <w:rFonts w:cs="Times New Roman" w:asciiTheme="minorEastAsia" w:hAnsiTheme="minorEastAsia"/>
                <w:color w:val="auto"/>
              </w:rPr>
              <w:t>；生物多样性</w:t>
            </w:r>
            <w:r>
              <w:rPr>
                <w:rFonts w:cs="Times New Roman" w:asciiTheme="minorEastAsia" w:hAnsiTheme="minorEastAsia"/>
                <w:color w:val="auto"/>
                <w:kern w:val="21"/>
              </w:rPr>
              <w:sym w:font="Wingdings" w:char="00FE"/>
            </w:r>
            <w:r>
              <w:rPr>
                <w:rFonts w:cs="Times New Roman" w:asciiTheme="minorEastAsia" w:hAnsiTheme="minorEastAsia"/>
                <w:color w:val="auto"/>
              </w:rPr>
              <w:t>；重要物种□；生态敏感区□；生物入侵风险□；其他□</w:t>
            </w:r>
          </w:p>
        </w:tc>
      </w:tr>
      <w:tr w14:paraId="15E3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318C48CB">
            <w:pPr>
              <w:spacing w:line="320" w:lineRule="exact"/>
              <w:jc w:val="center"/>
              <w:rPr>
                <w:rFonts w:cs="Times New Roman" w:asciiTheme="minorEastAsia" w:hAnsiTheme="minorEastAsia"/>
                <w:color w:val="auto"/>
              </w:rPr>
            </w:pPr>
            <w:r>
              <w:rPr>
                <w:rFonts w:cs="Times New Roman" w:asciiTheme="minorEastAsia" w:hAnsiTheme="minorEastAsia"/>
                <w:color w:val="auto"/>
              </w:rPr>
              <w:t>生态保护对策措施</w:t>
            </w:r>
          </w:p>
        </w:tc>
        <w:tc>
          <w:tcPr>
            <w:tcW w:w="1701" w:type="dxa"/>
            <w:vAlign w:val="center"/>
          </w:tcPr>
          <w:p w14:paraId="6DD152D5">
            <w:pPr>
              <w:spacing w:line="320" w:lineRule="exact"/>
              <w:jc w:val="center"/>
              <w:rPr>
                <w:rFonts w:cs="Times New Roman" w:asciiTheme="minorEastAsia" w:hAnsiTheme="minorEastAsia"/>
                <w:color w:val="auto"/>
              </w:rPr>
            </w:pPr>
            <w:r>
              <w:rPr>
                <w:rFonts w:cs="Times New Roman" w:asciiTheme="minorEastAsia" w:hAnsiTheme="minorEastAsia"/>
                <w:color w:val="auto"/>
              </w:rPr>
              <w:t>对策措施</w:t>
            </w:r>
          </w:p>
        </w:tc>
        <w:tc>
          <w:tcPr>
            <w:tcW w:w="6230" w:type="dxa"/>
            <w:vAlign w:val="center"/>
          </w:tcPr>
          <w:p w14:paraId="1263B356">
            <w:pPr>
              <w:spacing w:line="320" w:lineRule="exact"/>
              <w:rPr>
                <w:rFonts w:cs="Times New Roman" w:asciiTheme="minorEastAsia" w:hAnsiTheme="minorEastAsia"/>
                <w:color w:val="auto"/>
              </w:rPr>
            </w:pPr>
            <w:r>
              <w:rPr>
                <w:rFonts w:cs="Times New Roman" w:asciiTheme="minorEastAsia" w:hAnsiTheme="minorEastAsia"/>
                <w:color w:val="auto"/>
              </w:rPr>
              <w:t>避让□；减缓</w:t>
            </w:r>
            <w:r>
              <w:rPr>
                <w:rFonts w:cs="Times New Roman" w:asciiTheme="minorEastAsia" w:hAnsiTheme="minorEastAsia"/>
                <w:color w:val="auto"/>
                <w:kern w:val="21"/>
              </w:rPr>
              <w:sym w:font="Wingdings" w:char="00FE"/>
            </w:r>
            <w:r>
              <w:rPr>
                <w:rFonts w:cs="Times New Roman" w:asciiTheme="minorEastAsia" w:hAnsiTheme="minorEastAsia"/>
                <w:color w:val="auto"/>
              </w:rPr>
              <w:t>；生态修复</w:t>
            </w:r>
            <w:r>
              <w:rPr>
                <w:rFonts w:cs="Times New Roman" w:asciiTheme="minorEastAsia" w:hAnsiTheme="minorEastAsia"/>
                <w:color w:val="auto"/>
                <w:kern w:val="21"/>
              </w:rPr>
              <w:sym w:font="Wingdings" w:char="00FE"/>
            </w:r>
            <w:r>
              <w:rPr>
                <w:rFonts w:cs="Times New Roman" w:asciiTheme="minorEastAsia" w:hAnsiTheme="minorEastAsia"/>
                <w:color w:val="auto"/>
              </w:rPr>
              <w:t>；生态补偿</w:t>
            </w:r>
            <w:r>
              <w:rPr>
                <w:rFonts w:cs="Times New Roman" w:asciiTheme="minorEastAsia" w:hAnsiTheme="minorEastAsia"/>
                <w:color w:val="auto"/>
                <w:kern w:val="21"/>
              </w:rPr>
              <w:sym w:font="Wingdings" w:char="00FE"/>
            </w:r>
            <w:r>
              <w:rPr>
                <w:rFonts w:cs="Times New Roman" w:asciiTheme="minorEastAsia" w:hAnsiTheme="minorEastAsia"/>
                <w:color w:val="auto"/>
              </w:rPr>
              <w:t>；科研□；其他□</w:t>
            </w:r>
          </w:p>
        </w:tc>
      </w:tr>
      <w:tr w14:paraId="67EF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5A1A9703">
            <w:pPr>
              <w:spacing w:line="320" w:lineRule="exact"/>
              <w:jc w:val="center"/>
              <w:rPr>
                <w:rFonts w:cs="Times New Roman" w:asciiTheme="minorEastAsia" w:hAnsiTheme="minorEastAsia"/>
                <w:color w:val="auto"/>
              </w:rPr>
            </w:pPr>
          </w:p>
        </w:tc>
        <w:tc>
          <w:tcPr>
            <w:tcW w:w="1701" w:type="dxa"/>
            <w:vAlign w:val="center"/>
          </w:tcPr>
          <w:p w14:paraId="49203351">
            <w:pPr>
              <w:spacing w:line="320" w:lineRule="exact"/>
              <w:jc w:val="center"/>
              <w:rPr>
                <w:rFonts w:cs="Times New Roman" w:asciiTheme="minorEastAsia" w:hAnsiTheme="minorEastAsia"/>
                <w:color w:val="auto"/>
              </w:rPr>
            </w:pPr>
            <w:r>
              <w:rPr>
                <w:rFonts w:cs="Times New Roman" w:asciiTheme="minorEastAsia" w:hAnsiTheme="minorEastAsia"/>
                <w:color w:val="auto"/>
              </w:rPr>
              <w:t>生态监测计划</w:t>
            </w:r>
          </w:p>
        </w:tc>
        <w:tc>
          <w:tcPr>
            <w:tcW w:w="6230" w:type="dxa"/>
            <w:vAlign w:val="center"/>
          </w:tcPr>
          <w:p w14:paraId="735D9379">
            <w:pPr>
              <w:spacing w:line="320" w:lineRule="exact"/>
              <w:rPr>
                <w:rFonts w:cs="Times New Roman" w:asciiTheme="minorEastAsia" w:hAnsiTheme="minorEastAsia"/>
                <w:color w:val="auto"/>
              </w:rPr>
            </w:pPr>
            <w:r>
              <w:rPr>
                <w:rFonts w:cs="Times New Roman" w:asciiTheme="minorEastAsia" w:hAnsiTheme="minorEastAsia"/>
                <w:color w:val="auto"/>
              </w:rPr>
              <w:t>全生命周期</w:t>
            </w:r>
            <w:r>
              <w:rPr>
                <w:rFonts w:cs="Times New Roman" w:asciiTheme="minorEastAsia" w:hAnsiTheme="minorEastAsia"/>
                <w:color w:val="auto"/>
                <w:kern w:val="21"/>
              </w:rPr>
              <w:sym w:font="Wingdings" w:char="00FE"/>
            </w:r>
            <w:r>
              <w:rPr>
                <w:rFonts w:cs="Times New Roman" w:asciiTheme="minorEastAsia" w:hAnsiTheme="minorEastAsia"/>
                <w:color w:val="auto"/>
              </w:rPr>
              <w:t>；长期跟踪□；常规□；无□</w:t>
            </w:r>
          </w:p>
        </w:tc>
      </w:tr>
      <w:tr w14:paraId="6EAC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69799224">
            <w:pPr>
              <w:spacing w:line="320" w:lineRule="exact"/>
              <w:jc w:val="center"/>
              <w:rPr>
                <w:rFonts w:cs="Times New Roman" w:asciiTheme="minorEastAsia" w:hAnsiTheme="minorEastAsia"/>
                <w:color w:val="auto"/>
              </w:rPr>
            </w:pPr>
          </w:p>
        </w:tc>
        <w:tc>
          <w:tcPr>
            <w:tcW w:w="1701" w:type="dxa"/>
            <w:vAlign w:val="center"/>
          </w:tcPr>
          <w:p w14:paraId="77E869F5">
            <w:pPr>
              <w:spacing w:line="320" w:lineRule="exact"/>
              <w:jc w:val="center"/>
              <w:rPr>
                <w:rFonts w:cs="Times New Roman" w:asciiTheme="minorEastAsia" w:hAnsiTheme="minorEastAsia"/>
                <w:color w:val="auto"/>
              </w:rPr>
            </w:pPr>
            <w:r>
              <w:rPr>
                <w:rFonts w:cs="Times New Roman" w:asciiTheme="minorEastAsia" w:hAnsiTheme="minorEastAsia"/>
                <w:color w:val="auto"/>
              </w:rPr>
              <w:t>环境管理</w:t>
            </w:r>
          </w:p>
        </w:tc>
        <w:tc>
          <w:tcPr>
            <w:tcW w:w="6230" w:type="dxa"/>
            <w:vAlign w:val="center"/>
          </w:tcPr>
          <w:p w14:paraId="2A35D803">
            <w:pPr>
              <w:spacing w:line="320" w:lineRule="exact"/>
              <w:rPr>
                <w:rFonts w:cs="Times New Roman" w:asciiTheme="minorEastAsia" w:hAnsiTheme="minorEastAsia"/>
                <w:color w:val="auto"/>
              </w:rPr>
            </w:pPr>
            <w:r>
              <w:rPr>
                <w:rFonts w:cs="Times New Roman" w:asciiTheme="minorEastAsia" w:hAnsiTheme="minorEastAsia"/>
                <w:color w:val="auto"/>
              </w:rPr>
              <w:t>环境监理</w:t>
            </w:r>
            <w:r>
              <w:rPr>
                <w:rFonts w:cs="Times New Roman" w:asciiTheme="minorEastAsia" w:hAnsiTheme="minorEastAsia"/>
                <w:color w:val="auto"/>
                <w:kern w:val="21"/>
              </w:rPr>
              <w:t>□</w:t>
            </w:r>
            <w:r>
              <w:rPr>
                <w:rFonts w:cs="Times New Roman" w:asciiTheme="minorEastAsia" w:hAnsiTheme="minorEastAsia"/>
                <w:color w:val="auto"/>
              </w:rPr>
              <w:t>；环境影响后评价□；其他</w:t>
            </w:r>
            <w:r>
              <w:rPr>
                <w:rFonts w:cs="Times New Roman" w:asciiTheme="minorEastAsia" w:hAnsiTheme="minorEastAsia"/>
                <w:color w:val="auto"/>
              </w:rPr>
              <w:sym w:font="Wingdings" w:char="00FE"/>
            </w:r>
          </w:p>
        </w:tc>
      </w:tr>
      <w:tr w14:paraId="2CC7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Align w:val="center"/>
          </w:tcPr>
          <w:p w14:paraId="72D8497A">
            <w:pPr>
              <w:spacing w:line="320" w:lineRule="exact"/>
              <w:jc w:val="center"/>
              <w:rPr>
                <w:rFonts w:cs="Times New Roman" w:asciiTheme="minorEastAsia" w:hAnsiTheme="minorEastAsia"/>
                <w:color w:val="auto"/>
              </w:rPr>
            </w:pPr>
            <w:r>
              <w:rPr>
                <w:rFonts w:cs="Times New Roman" w:asciiTheme="minorEastAsia" w:hAnsiTheme="minorEastAsia"/>
                <w:color w:val="auto"/>
              </w:rPr>
              <w:t>评价结论</w:t>
            </w:r>
          </w:p>
        </w:tc>
        <w:tc>
          <w:tcPr>
            <w:tcW w:w="1701" w:type="dxa"/>
            <w:vAlign w:val="center"/>
          </w:tcPr>
          <w:p w14:paraId="6E87CF52">
            <w:pPr>
              <w:spacing w:line="320" w:lineRule="exact"/>
              <w:jc w:val="center"/>
              <w:rPr>
                <w:rFonts w:cs="Times New Roman" w:asciiTheme="minorEastAsia" w:hAnsiTheme="minorEastAsia"/>
                <w:color w:val="auto"/>
              </w:rPr>
            </w:pPr>
            <w:r>
              <w:rPr>
                <w:rFonts w:cs="Times New Roman" w:asciiTheme="minorEastAsia" w:hAnsiTheme="minorEastAsia"/>
                <w:color w:val="auto"/>
              </w:rPr>
              <w:t>生态影响</w:t>
            </w:r>
          </w:p>
        </w:tc>
        <w:tc>
          <w:tcPr>
            <w:tcW w:w="6230" w:type="dxa"/>
            <w:vAlign w:val="center"/>
          </w:tcPr>
          <w:p w14:paraId="6B295C52">
            <w:pPr>
              <w:spacing w:line="320" w:lineRule="exact"/>
              <w:rPr>
                <w:rFonts w:cs="Times New Roman" w:asciiTheme="minorEastAsia" w:hAnsiTheme="minorEastAsia"/>
                <w:color w:val="auto"/>
              </w:rPr>
            </w:pPr>
            <w:r>
              <w:rPr>
                <w:rFonts w:cs="Times New Roman" w:asciiTheme="minorEastAsia" w:hAnsiTheme="minorEastAsia"/>
                <w:color w:val="auto"/>
              </w:rPr>
              <w:t>可行</w:t>
            </w:r>
            <w:r>
              <w:rPr>
                <w:rFonts w:cs="Times New Roman" w:asciiTheme="minorEastAsia" w:hAnsiTheme="minorEastAsia"/>
                <w:color w:val="auto"/>
                <w:kern w:val="21"/>
              </w:rPr>
              <w:sym w:font="Wingdings" w:char="00FE"/>
            </w:r>
            <w:r>
              <w:rPr>
                <w:rFonts w:cs="Times New Roman" w:asciiTheme="minorEastAsia" w:hAnsiTheme="minorEastAsia"/>
                <w:color w:val="auto"/>
              </w:rPr>
              <w:t>；不可行□</w:t>
            </w:r>
          </w:p>
        </w:tc>
      </w:tr>
      <w:tr w14:paraId="154D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3"/>
            <w:vAlign w:val="center"/>
          </w:tcPr>
          <w:p w14:paraId="0247BDED">
            <w:pPr>
              <w:spacing w:line="320" w:lineRule="exact"/>
              <w:rPr>
                <w:rFonts w:cs="Times New Roman" w:asciiTheme="minorEastAsia" w:hAnsiTheme="minorEastAsia"/>
                <w:color w:val="auto"/>
              </w:rPr>
            </w:pPr>
            <w:r>
              <w:rPr>
                <w:rFonts w:cs="Times New Roman" w:asciiTheme="minorEastAsia" w:hAnsiTheme="minorEastAsia"/>
                <w:color w:val="auto"/>
              </w:rPr>
              <w:t>注： “□” 为勾选项 ，可√ ；“（ ）” 为内容填写项。</w:t>
            </w:r>
          </w:p>
        </w:tc>
      </w:tr>
    </w:tbl>
    <w:p w14:paraId="64E17947">
      <w:pPr>
        <w:rPr>
          <w:rFonts w:ascii="Times New Roman" w:hAnsi="Times New Roman" w:cs="Times New Roman"/>
          <w:color w:val="auto"/>
        </w:rPr>
      </w:pPr>
    </w:p>
    <w:p w14:paraId="38F67F85">
      <w:pPr>
        <w:pStyle w:val="202"/>
        <w:spacing w:before="156" w:after="62"/>
        <w:rPr>
          <w:rFonts w:ascii="Times New Roman"/>
          <w:smallCaps/>
          <w:color w:val="auto"/>
        </w:rPr>
      </w:pPr>
    </w:p>
    <w:p w14:paraId="6386EC47">
      <w:pPr>
        <w:rPr>
          <w:rFonts w:ascii="Times New Roman" w:hAnsi="Times New Roman" w:cs="Times New Roman"/>
          <w:color w:val="auto"/>
        </w:rPr>
      </w:pPr>
    </w:p>
    <w:p w14:paraId="4A234D43">
      <w:pPr>
        <w:pStyle w:val="202"/>
        <w:spacing w:before="156" w:after="62"/>
        <w:rPr>
          <w:rFonts w:ascii="Times New Roman"/>
          <w:smallCaps/>
          <w:color w:val="auto"/>
        </w:rPr>
      </w:pPr>
    </w:p>
    <w:p w14:paraId="4757EBA4">
      <w:pPr>
        <w:rPr>
          <w:rFonts w:ascii="Times New Roman" w:hAnsi="Times New Roman" w:cs="Times New Roman"/>
          <w:color w:val="auto"/>
        </w:rPr>
      </w:pPr>
    </w:p>
    <w:p w14:paraId="62A7DF8C">
      <w:pPr>
        <w:pStyle w:val="5"/>
        <w:rPr>
          <w:bCs w:val="0"/>
          <w:color w:val="auto"/>
        </w:rPr>
      </w:pPr>
      <w:bookmarkStart w:id="2267" w:name="_Toc31678"/>
      <w:bookmarkStart w:id="2268" w:name="_Toc106810446"/>
      <w:r>
        <w:rPr>
          <w:bCs w:val="0"/>
          <w:color w:val="auto"/>
        </w:rPr>
        <w:t>附表6：声环境影响评价自查表</w:t>
      </w:r>
      <w:bookmarkEnd w:id="2267"/>
      <w:bookmarkEnd w:id="2268"/>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409"/>
        <w:gridCol w:w="1066"/>
        <w:gridCol w:w="534"/>
        <w:gridCol w:w="269"/>
        <w:gridCol w:w="263"/>
        <w:gridCol w:w="1066"/>
        <w:gridCol w:w="1068"/>
        <w:gridCol w:w="537"/>
        <w:gridCol w:w="529"/>
        <w:gridCol w:w="1064"/>
      </w:tblGrid>
      <w:tr w14:paraId="5987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gridSpan w:val="2"/>
            <w:shd w:val="clear" w:color="auto" w:fill="auto"/>
            <w:vAlign w:val="center"/>
          </w:tcPr>
          <w:p w14:paraId="5D37E256">
            <w:pPr>
              <w:jc w:val="center"/>
              <w:rPr>
                <w:rFonts w:ascii="宋体" w:hAnsi="宋体" w:eastAsia="宋体" w:cs="Times New Roman"/>
                <w:color w:val="auto"/>
              </w:rPr>
            </w:pPr>
            <w:r>
              <w:rPr>
                <w:rFonts w:ascii="宋体" w:hAnsi="宋体" w:eastAsia="宋体" w:cs="Times New Roman"/>
                <w:color w:val="auto"/>
              </w:rPr>
              <w:t>工作内容</w:t>
            </w:r>
          </w:p>
        </w:tc>
        <w:tc>
          <w:tcPr>
            <w:tcW w:w="3750" w:type="pct"/>
            <w:gridSpan w:val="9"/>
            <w:shd w:val="clear" w:color="auto" w:fill="auto"/>
            <w:vAlign w:val="center"/>
          </w:tcPr>
          <w:p w14:paraId="43F2ED56">
            <w:pPr>
              <w:jc w:val="center"/>
              <w:rPr>
                <w:rFonts w:ascii="宋体" w:hAnsi="宋体" w:eastAsia="宋体" w:cs="Times New Roman"/>
                <w:color w:val="auto"/>
              </w:rPr>
            </w:pPr>
            <w:r>
              <w:rPr>
                <w:rFonts w:ascii="宋体" w:hAnsi="宋体" w:eastAsia="宋体" w:cs="Times New Roman"/>
                <w:color w:val="auto"/>
              </w:rPr>
              <w:t>自查项目</w:t>
            </w:r>
          </w:p>
        </w:tc>
      </w:tr>
      <w:tr w14:paraId="1F0A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restart"/>
            <w:shd w:val="clear" w:color="auto" w:fill="auto"/>
            <w:vAlign w:val="center"/>
          </w:tcPr>
          <w:p w14:paraId="49A5C6E4">
            <w:pPr>
              <w:jc w:val="center"/>
              <w:rPr>
                <w:rFonts w:ascii="宋体" w:hAnsi="宋体" w:eastAsia="宋体" w:cs="Times New Roman"/>
                <w:color w:val="auto"/>
              </w:rPr>
            </w:pPr>
            <w:r>
              <w:rPr>
                <w:rFonts w:ascii="宋体" w:hAnsi="宋体" w:eastAsia="宋体" w:cs="Times New Roman"/>
                <w:color w:val="auto"/>
              </w:rPr>
              <w:t>评价等级与范围</w:t>
            </w:r>
          </w:p>
        </w:tc>
        <w:tc>
          <w:tcPr>
            <w:tcW w:w="826" w:type="pct"/>
            <w:shd w:val="clear" w:color="auto" w:fill="auto"/>
            <w:vAlign w:val="center"/>
          </w:tcPr>
          <w:p w14:paraId="77CBE33B">
            <w:pPr>
              <w:jc w:val="center"/>
              <w:rPr>
                <w:rFonts w:ascii="宋体" w:hAnsi="宋体" w:eastAsia="宋体" w:cs="Times New Roman"/>
                <w:color w:val="auto"/>
              </w:rPr>
            </w:pPr>
            <w:r>
              <w:rPr>
                <w:rFonts w:ascii="宋体" w:hAnsi="宋体" w:eastAsia="宋体" w:cs="Times New Roman"/>
                <w:color w:val="auto"/>
              </w:rPr>
              <w:t>评价等级</w:t>
            </w:r>
          </w:p>
        </w:tc>
        <w:tc>
          <w:tcPr>
            <w:tcW w:w="3750" w:type="pct"/>
            <w:gridSpan w:val="9"/>
            <w:shd w:val="clear" w:color="auto" w:fill="auto"/>
            <w:vAlign w:val="center"/>
          </w:tcPr>
          <w:p w14:paraId="63D9366F">
            <w:pPr>
              <w:jc w:val="center"/>
              <w:rPr>
                <w:rFonts w:ascii="宋体" w:hAnsi="宋体" w:eastAsia="宋体" w:cs="Times New Roman"/>
                <w:color w:val="auto"/>
              </w:rPr>
            </w:pPr>
            <w:r>
              <w:rPr>
                <w:rFonts w:ascii="宋体" w:hAnsi="宋体" w:eastAsia="宋体" w:cs="Times New Roman"/>
                <w:color w:val="auto"/>
              </w:rPr>
              <w:t>一级□ 二级</w:t>
            </w:r>
            <w:r>
              <w:rPr>
                <w:rFonts w:ascii="宋体" w:hAnsi="宋体" w:eastAsia="宋体" w:cs="Times New Roman"/>
                <w:color w:val="auto"/>
                <w:kern w:val="21"/>
              </w:rPr>
              <w:sym w:font="Wingdings" w:char="00FE"/>
            </w:r>
            <w:r>
              <w:rPr>
                <w:rFonts w:ascii="宋体" w:hAnsi="宋体" w:eastAsia="宋体" w:cs="Times New Roman"/>
                <w:color w:val="auto"/>
              </w:rPr>
              <w:t xml:space="preserve"> 三级□</w:t>
            </w:r>
          </w:p>
        </w:tc>
      </w:tr>
      <w:tr w14:paraId="600D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14:paraId="6247072B">
            <w:pPr>
              <w:jc w:val="center"/>
              <w:rPr>
                <w:rFonts w:ascii="宋体" w:hAnsi="宋体" w:eastAsia="宋体" w:cs="Times New Roman"/>
                <w:color w:val="auto"/>
              </w:rPr>
            </w:pPr>
          </w:p>
        </w:tc>
        <w:tc>
          <w:tcPr>
            <w:tcW w:w="826" w:type="pct"/>
            <w:shd w:val="clear" w:color="auto" w:fill="auto"/>
            <w:vAlign w:val="center"/>
          </w:tcPr>
          <w:p w14:paraId="59EAEB4A">
            <w:pPr>
              <w:jc w:val="center"/>
              <w:rPr>
                <w:rFonts w:ascii="宋体" w:hAnsi="宋体" w:eastAsia="宋体" w:cs="Times New Roman"/>
                <w:color w:val="auto"/>
              </w:rPr>
            </w:pPr>
            <w:r>
              <w:rPr>
                <w:rFonts w:ascii="宋体" w:hAnsi="宋体" w:eastAsia="宋体" w:cs="Times New Roman"/>
                <w:color w:val="auto"/>
              </w:rPr>
              <w:t>评价范围</w:t>
            </w:r>
          </w:p>
        </w:tc>
        <w:tc>
          <w:tcPr>
            <w:tcW w:w="3750" w:type="pct"/>
            <w:gridSpan w:val="9"/>
            <w:shd w:val="clear" w:color="auto" w:fill="auto"/>
            <w:vAlign w:val="center"/>
          </w:tcPr>
          <w:p w14:paraId="24515A97">
            <w:pPr>
              <w:jc w:val="center"/>
              <w:rPr>
                <w:rFonts w:ascii="宋体" w:hAnsi="宋体" w:eastAsia="宋体" w:cs="Times New Roman"/>
                <w:color w:val="auto"/>
              </w:rPr>
            </w:pPr>
            <w:r>
              <w:rPr>
                <w:rFonts w:ascii="宋体" w:hAnsi="宋体" w:eastAsia="宋体" w:cs="Times New Roman"/>
                <w:color w:val="auto"/>
              </w:rPr>
              <w:t>200 m</w:t>
            </w:r>
            <w:r>
              <w:rPr>
                <w:rFonts w:ascii="宋体" w:hAnsi="宋体" w:eastAsia="宋体" w:cs="Times New Roman"/>
                <w:color w:val="auto"/>
                <w:kern w:val="21"/>
              </w:rPr>
              <w:sym w:font="Wingdings" w:char="00FE"/>
            </w:r>
            <w:r>
              <w:rPr>
                <w:rFonts w:ascii="宋体" w:hAnsi="宋体" w:eastAsia="宋体" w:cs="Times New Roman"/>
                <w:color w:val="auto"/>
              </w:rPr>
              <w:t xml:space="preserve"> 大于 200 m□ 小于 200 m□</w:t>
            </w:r>
          </w:p>
        </w:tc>
      </w:tr>
      <w:tr w14:paraId="5DDB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shd w:val="clear" w:color="auto" w:fill="auto"/>
            <w:vAlign w:val="center"/>
          </w:tcPr>
          <w:p w14:paraId="6F70B445">
            <w:pPr>
              <w:jc w:val="center"/>
              <w:rPr>
                <w:rFonts w:ascii="宋体" w:hAnsi="宋体" w:eastAsia="宋体" w:cs="Times New Roman"/>
                <w:color w:val="auto"/>
              </w:rPr>
            </w:pPr>
            <w:r>
              <w:rPr>
                <w:rFonts w:ascii="宋体" w:hAnsi="宋体" w:eastAsia="宋体" w:cs="Times New Roman"/>
                <w:color w:val="auto"/>
              </w:rPr>
              <w:t>评价因子</w:t>
            </w:r>
          </w:p>
        </w:tc>
        <w:tc>
          <w:tcPr>
            <w:tcW w:w="826" w:type="pct"/>
            <w:shd w:val="clear" w:color="auto" w:fill="auto"/>
            <w:vAlign w:val="center"/>
          </w:tcPr>
          <w:p w14:paraId="51C0BF9D">
            <w:pPr>
              <w:jc w:val="center"/>
              <w:rPr>
                <w:rFonts w:ascii="宋体" w:hAnsi="宋体" w:eastAsia="宋体" w:cs="Times New Roman"/>
                <w:color w:val="auto"/>
              </w:rPr>
            </w:pPr>
            <w:r>
              <w:rPr>
                <w:rFonts w:ascii="宋体" w:hAnsi="宋体" w:eastAsia="宋体" w:cs="Times New Roman"/>
                <w:color w:val="auto"/>
              </w:rPr>
              <w:t>评价因子</w:t>
            </w:r>
          </w:p>
        </w:tc>
        <w:tc>
          <w:tcPr>
            <w:tcW w:w="3750" w:type="pct"/>
            <w:gridSpan w:val="9"/>
            <w:shd w:val="clear" w:color="auto" w:fill="auto"/>
            <w:vAlign w:val="center"/>
          </w:tcPr>
          <w:p w14:paraId="6A83D04F">
            <w:pPr>
              <w:jc w:val="center"/>
              <w:rPr>
                <w:rFonts w:ascii="宋体" w:hAnsi="宋体" w:eastAsia="宋体" w:cs="Times New Roman"/>
                <w:color w:val="auto"/>
              </w:rPr>
            </w:pPr>
            <w:r>
              <w:rPr>
                <w:rFonts w:ascii="宋体" w:hAnsi="宋体" w:eastAsia="宋体" w:cs="Times New Roman"/>
                <w:color w:val="auto"/>
              </w:rPr>
              <w:t>等效连续A声级</w:t>
            </w:r>
            <w:r>
              <w:rPr>
                <w:rFonts w:ascii="宋体" w:hAnsi="宋体" w:eastAsia="宋体" w:cs="Times New Roman"/>
                <w:color w:val="auto"/>
                <w:kern w:val="21"/>
              </w:rPr>
              <w:sym w:font="Wingdings" w:char="00FE"/>
            </w:r>
            <w:r>
              <w:rPr>
                <w:rFonts w:ascii="宋体" w:hAnsi="宋体" w:eastAsia="宋体" w:cs="Times New Roman"/>
                <w:color w:val="auto"/>
              </w:rPr>
              <w:t xml:space="preserve"> 最大A声级□ 计权等效连续感觉噪声级□</w:t>
            </w:r>
          </w:p>
        </w:tc>
      </w:tr>
      <w:tr w14:paraId="31C0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shd w:val="clear" w:color="auto" w:fill="auto"/>
            <w:vAlign w:val="center"/>
          </w:tcPr>
          <w:p w14:paraId="44AE6199">
            <w:pPr>
              <w:jc w:val="center"/>
              <w:rPr>
                <w:rFonts w:ascii="宋体" w:hAnsi="宋体" w:eastAsia="宋体" w:cs="Times New Roman"/>
                <w:color w:val="auto"/>
              </w:rPr>
            </w:pPr>
            <w:r>
              <w:rPr>
                <w:rFonts w:ascii="宋体" w:hAnsi="宋体" w:eastAsia="宋体" w:cs="Times New Roman"/>
                <w:color w:val="auto"/>
              </w:rPr>
              <w:t>评价标准</w:t>
            </w:r>
          </w:p>
        </w:tc>
        <w:tc>
          <w:tcPr>
            <w:tcW w:w="826" w:type="pct"/>
            <w:shd w:val="clear" w:color="auto" w:fill="auto"/>
            <w:vAlign w:val="center"/>
          </w:tcPr>
          <w:p w14:paraId="70E310A2">
            <w:pPr>
              <w:jc w:val="center"/>
              <w:rPr>
                <w:rFonts w:ascii="宋体" w:hAnsi="宋体" w:eastAsia="宋体" w:cs="Times New Roman"/>
                <w:color w:val="auto"/>
              </w:rPr>
            </w:pPr>
            <w:r>
              <w:rPr>
                <w:rFonts w:ascii="宋体" w:hAnsi="宋体" w:eastAsia="宋体" w:cs="Times New Roman"/>
                <w:color w:val="auto"/>
              </w:rPr>
              <w:t>评价标准</w:t>
            </w:r>
          </w:p>
        </w:tc>
        <w:tc>
          <w:tcPr>
            <w:tcW w:w="3750" w:type="pct"/>
            <w:gridSpan w:val="9"/>
            <w:shd w:val="clear" w:color="auto" w:fill="auto"/>
            <w:vAlign w:val="center"/>
          </w:tcPr>
          <w:p w14:paraId="5201FFD3">
            <w:pPr>
              <w:jc w:val="center"/>
              <w:rPr>
                <w:rFonts w:ascii="宋体" w:hAnsi="宋体" w:eastAsia="宋体" w:cs="Times New Roman"/>
                <w:color w:val="auto"/>
              </w:rPr>
            </w:pPr>
            <w:r>
              <w:rPr>
                <w:rFonts w:ascii="宋体" w:hAnsi="宋体" w:eastAsia="宋体" w:cs="Times New Roman"/>
                <w:color w:val="auto"/>
              </w:rPr>
              <w:t>国家标准</w:t>
            </w:r>
            <w:r>
              <w:rPr>
                <w:rFonts w:ascii="宋体" w:hAnsi="宋体" w:eastAsia="宋体" w:cs="Times New Roman"/>
                <w:color w:val="auto"/>
                <w:kern w:val="21"/>
              </w:rPr>
              <w:sym w:font="Wingdings" w:char="00FE"/>
            </w:r>
            <w:r>
              <w:rPr>
                <w:rFonts w:ascii="宋体" w:hAnsi="宋体" w:eastAsia="宋体" w:cs="Times New Roman"/>
                <w:color w:val="auto"/>
              </w:rPr>
              <w:t xml:space="preserve"> 地方标准□ 国外标准□</w:t>
            </w:r>
          </w:p>
        </w:tc>
      </w:tr>
      <w:tr w14:paraId="595F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restart"/>
            <w:shd w:val="clear" w:color="auto" w:fill="auto"/>
            <w:vAlign w:val="center"/>
          </w:tcPr>
          <w:p w14:paraId="34AEA2A2">
            <w:pPr>
              <w:jc w:val="center"/>
              <w:rPr>
                <w:rFonts w:ascii="宋体" w:hAnsi="宋体" w:eastAsia="宋体" w:cs="Times New Roman"/>
                <w:color w:val="auto"/>
              </w:rPr>
            </w:pPr>
            <w:r>
              <w:rPr>
                <w:rFonts w:ascii="宋体" w:hAnsi="宋体" w:eastAsia="宋体" w:cs="Times New Roman"/>
                <w:color w:val="auto"/>
              </w:rPr>
              <w:t>现状评价</w:t>
            </w:r>
          </w:p>
        </w:tc>
        <w:tc>
          <w:tcPr>
            <w:tcW w:w="826" w:type="pct"/>
            <w:shd w:val="clear" w:color="auto" w:fill="auto"/>
            <w:vAlign w:val="center"/>
          </w:tcPr>
          <w:p w14:paraId="2AA1E9E9">
            <w:pPr>
              <w:jc w:val="center"/>
              <w:rPr>
                <w:rFonts w:ascii="宋体" w:hAnsi="宋体" w:eastAsia="宋体" w:cs="Times New Roman"/>
                <w:color w:val="auto"/>
              </w:rPr>
            </w:pPr>
            <w:r>
              <w:rPr>
                <w:rFonts w:ascii="宋体" w:hAnsi="宋体" w:eastAsia="宋体" w:cs="Times New Roman"/>
                <w:color w:val="auto"/>
              </w:rPr>
              <w:t>环境功能区</w:t>
            </w:r>
          </w:p>
        </w:tc>
        <w:tc>
          <w:tcPr>
            <w:tcW w:w="625" w:type="pct"/>
            <w:shd w:val="clear" w:color="auto" w:fill="auto"/>
            <w:vAlign w:val="center"/>
          </w:tcPr>
          <w:p w14:paraId="209746F2">
            <w:pPr>
              <w:jc w:val="center"/>
              <w:rPr>
                <w:rFonts w:ascii="宋体" w:hAnsi="宋体" w:eastAsia="宋体" w:cs="Times New Roman"/>
                <w:color w:val="auto"/>
              </w:rPr>
            </w:pPr>
            <w:r>
              <w:rPr>
                <w:rFonts w:ascii="宋体" w:hAnsi="宋体" w:eastAsia="宋体" w:cs="Times New Roman"/>
                <w:color w:val="auto"/>
              </w:rPr>
              <w:t>0 类区□</w:t>
            </w:r>
          </w:p>
        </w:tc>
        <w:tc>
          <w:tcPr>
            <w:tcW w:w="625" w:type="pct"/>
            <w:gridSpan w:val="3"/>
            <w:shd w:val="clear" w:color="auto" w:fill="auto"/>
            <w:vAlign w:val="center"/>
          </w:tcPr>
          <w:p w14:paraId="66896756">
            <w:pPr>
              <w:jc w:val="center"/>
              <w:rPr>
                <w:rFonts w:ascii="宋体" w:hAnsi="宋体" w:eastAsia="宋体" w:cs="Times New Roman"/>
                <w:color w:val="auto"/>
              </w:rPr>
            </w:pPr>
            <w:r>
              <w:rPr>
                <w:rFonts w:ascii="宋体" w:hAnsi="宋体" w:eastAsia="宋体" w:cs="Times New Roman"/>
                <w:color w:val="auto"/>
              </w:rPr>
              <w:t>1 类区</w:t>
            </w:r>
            <w:r>
              <w:rPr>
                <w:rFonts w:ascii="宋体" w:hAnsi="宋体" w:eastAsia="宋体" w:cs="Times New Roman"/>
                <w:color w:val="auto"/>
                <w:kern w:val="21"/>
              </w:rPr>
              <w:sym w:font="Wingdings" w:char="00FE"/>
            </w:r>
          </w:p>
        </w:tc>
        <w:tc>
          <w:tcPr>
            <w:tcW w:w="625" w:type="pct"/>
            <w:shd w:val="clear" w:color="auto" w:fill="auto"/>
            <w:vAlign w:val="center"/>
          </w:tcPr>
          <w:p w14:paraId="404E3BA3">
            <w:pPr>
              <w:jc w:val="center"/>
              <w:rPr>
                <w:rFonts w:ascii="宋体" w:hAnsi="宋体" w:eastAsia="宋体" w:cs="Times New Roman"/>
                <w:color w:val="auto"/>
              </w:rPr>
            </w:pPr>
            <w:r>
              <w:rPr>
                <w:rFonts w:ascii="宋体" w:hAnsi="宋体" w:eastAsia="宋体" w:cs="Times New Roman"/>
                <w:color w:val="auto"/>
              </w:rPr>
              <w:t>2 类区</w:t>
            </w:r>
            <w:r>
              <w:rPr>
                <w:rFonts w:ascii="宋体" w:hAnsi="宋体" w:eastAsia="宋体" w:cs="Times New Roman"/>
                <w:color w:val="auto"/>
                <w:kern w:val="21"/>
              </w:rPr>
              <w:sym w:font="Wingdings" w:char="00FE"/>
            </w:r>
          </w:p>
        </w:tc>
        <w:tc>
          <w:tcPr>
            <w:tcW w:w="626" w:type="pct"/>
            <w:shd w:val="clear" w:color="auto" w:fill="auto"/>
            <w:vAlign w:val="center"/>
          </w:tcPr>
          <w:p w14:paraId="1452BD8D">
            <w:pPr>
              <w:jc w:val="center"/>
              <w:rPr>
                <w:rFonts w:ascii="宋体" w:hAnsi="宋体" w:eastAsia="宋体" w:cs="Times New Roman"/>
                <w:color w:val="auto"/>
              </w:rPr>
            </w:pPr>
            <w:r>
              <w:rPr>
                <w:rFonts w:ascii="宋体" w:hAnsi="宋体" w:eastAsia="宋体" w:cs="Times New Roman"/>
                <w:color w:val="auto"/>
              </w:rPr>
              <w:t>3 类区□</w:t>
            </w:r>
          </w:p>
        </w:tc>
        <w:tc>
          <w:tcPr>
            <w:tcW w:w="625" w:type="pct"/>
            <w:gridSpan w:val="2"/>
            <w:shd w:val="clear" w:color="auto" w:fill="auto"/>
            <w:vAlign w:val="center"/>
          </w:tcPr>
          <w:p w14:paraId="453E7BD3">
            <w:pPr>
              <w:jc w:val="center"/>
              <w:rPr>
                <w:rFonts w:ascii="宋体" w:hAnsi="宋体" w:eastAsia="宋体" w:cs="Times New Roman"/>
                <w:color w:val="auto"/>
              </w:rPr>
            </w:pPr>
            <w:r>
              <w:rPr>
                <w:rFonts w:ascii="宋体" w:hAnsi="宋体" w:eastAsia="宋体" w:cs="Times New Roman"/>
                <w:color w:val="auto"/>
              </w:rPr>
              <w:t>4a 类区□</w:t>
            </w:r>
          </w:p>
        </w:tc>
        <w:tc>
          <w:tcPr>
            <w:tcW w:w="624" w:type="pct"/>
            <w:shd w:val="clear" w:color="auto" w:fill="auto"/>
            <w:vAlign w:val="center"/>
          </w:tcPr>
          <w:p w14:paraId="092130F0">
            <w:pPr>
              <w:jc w:val="center"/>
              <w:rPr>
                <w:rFonts w:ascii="宋体" w:hAnsi="宋体" w:eastAsia="宋体" w:cs="Times New Roman"/>
                <w:color w:val="auto"/>
              </w:rPr>
            </w:pPr>
            <w:r>
              <w:rPr>
                <w:rFonts w:ascii="宋体" w:hAnsi="宋体" w:eastAsia="宋体" w:cs="Times New Roman"/>
                <w:color w:val="auto"/>
              </w:rPr>
              <w:t>4b 类区□</w:t>
            </w:r>
          </w:p>
        </w:tc>
      </w:tr>
      <w:tr w14:paraId="230A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14:paraId="2EAEB307">
            <w:pPr>
              <w:jc w:val="center"/>
              <w:rPr>
                <w:rFonts w:ascii="宋体" w:hAnsi="宋体" w:eastAsia="宋体" w:cs="Times New Roman"/>
                <w:color w:val="auto"/>
              </w:rPr>
            </w:pPr>
          </w:p>
        </w:tc>
        <w:tc>
          <w:tcPr>
            <w:tcW w:w="826" w:type="pct"/>
            <w:shd w:val="clear" w:color="auto" w:fill="auto"/>
            <w:vAlign w:val="center"/>
          </w:tcPr>
          <w:p w14:paraId="7F16EA9B">
            <w:pPr>
              <w:jc w:val="center"/>
              <w:rPr>
                <w:rFonts w:ascii="宋体" w:hAnsi="宋体" w:eastAsia="宋体" w:cs="Times New Roman"/>
                <w:color w:val="auto"/>
              </w:rPr>
            </w:pPr>
            <w:r>
              <w:rPr>
                <w:rFonts w:ascii="宋体" w:hAnsi="宋体" w:eastAsia="宋体" w:cs="Times New Roman"/>
                <w:color w:val="auto"/>
              </w:rPr>
              <w:t>评价年度</w:t>
            </w:r>
          </w:p>
        </w:tc>
        <w:tc>
          <w:tcPr>
            <w:tcW w:w="938" w:type="pct"/>
            <w:gridSpan w:val="2"/>
            <w:shd w:val="clear" w:color="auto" w:fill="auto"/>
            <w:vAlign w:val="center"/>
          </w:tcPr>
          <w:p w14:paraId="2D333F0F">
            <w:pPr>
              <w:jc w:val="center"/>
              <w:rPr>
                <w:rFonts w:ascii="宋体" w:hAnsi="宋体" w:eastAsia="宋体" w:cs="Times New Roman"/>
                <w:color w:val="auto"/>
              </w:rPr>
            </w:pPr>
            <w:r>
              <w:rPr>
                <w:rFonts w:ascii="宋体" w:hAnsi="宋体" w:eastAsia="宋体" w:cs="Times New Roman"/>
                <w:color w:val="auto"/>
              </w:rPr>
              <w:t>初期□</w:t>
            </w:r>
          </w:p>
        </w:tc>
        <w:tc>
          <w:tcPr>
            <w:tcW w:w="937" w:type="pct"/>
            <w:gridSpan w:val="3"/>
            <w:shd w:val="clear" w:color="auto" w:fill="auto"/>
            <w:vAlign w:val="center"/>
          </w:tcPr>
          <w:p w14:paraId="2206FAF1">
            <w:pPr>
              <w:jc w:val="center"/>
              <w:rPr>
                <w:rFonts w:ascii="宋体" w:hAnsi="宋体" w:eastAsia="宋体" w:cs="Times New Roman"/>
                <w:color w:val="auto"/>
              </w:rPr>
            </w:pPr>
            <w:r>
              <w:rPr>
                <w:rFonts w:ascii="宋体" w:hAnsi="宋体" w:eastAsia="宋体" w:cs="Times New Roman"/>
                <w:color w:val="auto"/>
              </w:rPr>
              <w:t>近期</w:t>
            </w:r>
            <w:r>
              <w:rPr>
                <w:rFonts w:ascii="宋体" w:hAnsi="宋体" w:eastAsia="宋体" w:cs="Times New Roman"/>
                <w:color w:val="auto"/>
                <w:kern w:val="21"/>
              </w:rPr>
              <w:sym w:font="Wingdings" w:char="00FE"/>
            </w:r>
          </w:p>
        </w:tc>
        <w:tc>
          <w:tcPr>
            <w:tcW w:w="941" w:type="pct"/>
            <w:gridSpan w:val="2"/>
            <w:shd w:val="clear" w:color="auto" w:fill="auto"/>
            <w:vAlign w:val="center"/>
          </w:tcPr>
          <w:p w14:paraId="00D5B6E3">
            <w:pPr>
              <w:jc w:val="center"/>
              <w:rPr>
                <w:rFonts w:ascii="宋体" w:hAnsi="宋体" w:eastAsia="宋体" w:cs="Times New Roman"/>
                <w:color w:val="auto"/>
              </w:rPr>
            </w:pPr>
            <w:r>
              <w:rPr>
                <w:rFonts w:ascii="宋体" w:hAnsi="宋体" w:eastAsia="宋体" w:cs="Times New Roman"/>
                <w:color w:val="auto"/>
              </w:rPr>
              <w:t>中期□</w:t>
            </w:r>
          </w:p>
        </w:tc>
        <w:tc>
          <w:tcPr>
            <w:tcW w:w="934" w:type="pct"/>
            <w:gridSpan w:val="2"/>
            <w:shd w:val="clear" w:color="auto" w:fill="auto"/>
            <w:vAlign w:val="center"/>
          </w:tcPr>
          <w:p w14:paraId="21D5D2F2">
            <w:pPr>
              <w:jc w:val="center"/>
              <w:rPr>
                <w:rFonts w:ascii="宋体" w:hAnsi="宋体" w:eastAsia="宋体" w:cs="Times New Roman"/>
                <w:color w:val="auto"/>
              </w:rPr>
            </w:pPr>
            <w:r>
              <w:rPr>
                <w:rFonts w:ascii="宋体" w:hAnsi="宋体" w:eastAsia="宋体" w:cs="Times New Roman"/>
                <w:color w:val="auto"/>
              </w:rPr>
              <w:t>远期□</w:t>
            </w:r>
          </w:p>
        </w:tc>
      </w:tr>
      <w:tr w14:paraId="3E84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14:paraId="5E7AF3F8">
            <w:pPr>
              <w:jc w:val="center"/>
              <w:rPr>
                <w:rFonts w:ascii="宋体" w:hAnsi="宋体" w:eastAsia="宋体" w:cs="Times New Roman"/>
                <w:color w:val="auto"/>
              </w:rPr>
            </w:pPr>
          </w:p>
        </w:tc>
        <w:tc>
          <w:tcPr>
            <w:tcW w:w="826" w:type="pct"/>
            <w:shd w:val="clear" w:color="auto" w:fill="auto"/>
            <w:vAlign w:val="center"/>
          </w:tcPr>
          <w:p w14:paraId="2DEE6559">
            <w:pPr>
              <w:jc w:val="center"/>
              <w:rPr>
                <w:rFonts w:ascii="宋体" w:hAnsi="宋体" w:eastAsia="宋体" w:cs="Times New Roman"/>
                <w:color w:val="auto"/>
              </w:rPr>
            </w:pPr>
            <w:r>
              <w:rPr>
                <w:rFonts w:ascii="宋体" w:hAnsi="宋体" w:eastAsia="宋体" w:cs="Times New Roman"/>
                <w:color w:val="auto"/>
              </w:rPr>
              <w:t>现状调查方法</w:t>
            </w:r>
          </w:p>
        </w:tc>
        <w:tc>
          <w:tcPr>
            <w:tcW w:w="3750" w:type="pct"/>
            <w:gridSpan w:val="9"/>
            <w:shd w:val="clear" w:color="auto" w:fill="auto"/>
            <w:vAlign w:val="center"/>
          </w:tcPr>
          <w:p w14:paraId="2DB2C6DF">
            <w:pPr>
              <w:jc w:val="center"/>
              <w:rPr>
                <w:rFonts w:ascii="宋体" w:hAnsi="宋体" w:eastAsia="宋体" w:cs="Times New Roman"/>
                <w:color w:val="auto"/>
              </w:rPr>
            </w:pPr>
            <w:r>
              <w:rPr>
                <w:rFonts w:ascii="宋体" w:hAnsi="宋体" w:eastAsia="宋体" w:cs="Times New Roman"/>
                <w:color w:val="auto"/>
              </w:rPr>
              <w:t>现场实测法</w:t>
            </w:r>
            <w:r>
              <w:rPr>
                <w:rFonts w:ascii="宋体" w:hAnsi="宋体" w:eastAsia="宋体" w:cs="Times New Roman"/>
                <w:color w:val="auto"/>
                <w:kern w:val="21"/>
              </w:rPr>
              <w:sym w:font="Wingdings" w:char="00FE"/>
            </w:r>
            <w:r>
              <w:rPr>
                <w:rFonts w:ascii="宋体" w:hAnsi="宋体" w:eastAsia="宋体" w:cs="Times New Roman"/>
                <w:color w:val="auto"/>
              </w:rPr>
              <w:t xml:space="preserve"> 现场实测加模型计算法□ 收集资料□</w:t>
            </w:r>
          </w:p>
        </w:tc>
      </w:tr>
      <w:tr w14:paraId="31ED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14:paraId="70CDA4CC">
            <w:pPr>
              <w:jc w:val="center"/>
              <w:rPr>
                <w:rFonts w:ascii="宋体" w:hAnsi="宋体" w:eastAsia="宋体" w:cs="Times New Roman"/>
                <w:color w:val="auto"/>
              </w:rPr>
            </w:pPr>
          </w:p>
        </w:tc>
        <w:tc>
          <w:tcPr>
            <w:tcW w:w="826" w:type="pct"/>
            <w:shd w:val="clear" w:color="auto" w:fill="auto"/>
            <w:vAlign w:val="center"/>
          </w:tcPr>
          <w:p w14:paraId="1C380A4B">
            <w:pPr>
              <w:jc w:val="center"/>
              <w:rPr>
                <w:rFonts w:ascii="宋体" w:hAnsi="宋体" w:eastAsia="宋体" w:cs="Times New Roman"/>
                <w:color w:val="auto"/>
              </w:rPr>
            </w:pPr>
            <w:r>
              <w:rPr>
                <w:rFonts w:ascii="宋体" w:hAnsi="宋体" w:eastAsia="宋体" w:cs="Times New Roman"/>
                <w:color w:val="auto"/>
              </w:rPr>
              <w:t>现状评价</w:t>
            </w:r>
          </w:p>
        </w:tc>
        <w:tc>
          <w:tcPr>
            <w:tcW w:w="1096" w:type="pct"/>
            <w:gridSpan w:val="3"/>
            <w:shd w:val="clear" w:color="auto" w:fill="auto"/>
            <w:vAlign w:val="center"/>
          </w:tcPr>
          <w:p w14:paraId="2CEF8D2E">
            <w:pPr>
              <w:jc w:val="center"/>
              <w:rPr>
                <w:rFonts w:ascii="宋体" w:hAnsi="宋体" w:eastAsia="宋体" w:cs="Times New Roman"/>
                <w:color w:val="auto"/>
              </w:rPr>
            </w:pPr>
            <w:r>
              <w:rPr>
                <w:rFonts w:ascii="宋体" w:hAnsi="宋体" w:eastAsia="宋体" w:cs="Times New Roman"/>
                <w:color w:val="auto"/>
              </w:rPr>
              <w:t>达标百分比</w:t>
            </w:r>
          </w:p>
        </w:tc>
        <w:tc>
          <w:tcPr>
            <w:tcW w:w="2655" w:type="pct"/>
            <w:gridSpan w:val="6"/>
            <w:shd w:val="clear" w:color="auto" w:fill="auto"/>
            <w:vAlign w:val="center"/>
          </w:tcPr>
          <w:p w14:paraId="7D07DE72">
            <w:pPr>
              <w:jc w:val="center"/>
              <w:rPr>
                <w:rFonts w:ascii="宋体" w:hAnsi="宋体" w:eastAsia="宋体" w:cs="Times New Roman"/>
                <w:color w:val="auto"/>
              </w:rPr>
            </w:pPr>
            <w:r>
              <w:rPr>
                <w:rFonts w:ascii="宋体" w:hAnsi="宋体" w:eastAsia="宋体" w:cs="Times New Roman"/>
                <w:color w:val="auto"/>
              </w:rPr>
              <w:t>100%</w:t>
            </w:r>
          </w:p>
        </w:tc>
      </w:tr>
      <w:tr w14:paraId="4BD8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shd w:val="clear" w:color="auto" w:fill="auto"/>
            <w:vAlign w:val="center"/>
          </w:tcPr>
          <w:p w14:paraId="07E7724A">
            <w:pPr>
              <w:jc w:val="center"/>
              <w:rPr>
                <w:rFonts w:ascii="宋体" w:hAnsi="宋体" w:eastAsia="宋体" w:cs="Times New Roman"/>
                <w:color w:val="auto"/>
              </w:rPr>
            </w:pPr>
            <w:r>
              <w:rPr>
                <w:rFonts w:ascii="宋体" w:hAnsi="宋体" w:eastAsia="宋体" w:cs="Times New Roman"/>
                <w:color w:val="auto"/>
              </w:rPr>
              <w:t>噪声源调查</w:t>
            </w:r>
          </w:p>
        </w:tc>
        <w:tc>
          <w:tcPr>
            <w:tcW w:w="826" w:type="pct"/>
            <w:shd w:val="clear" w:color="auto" w:fill="auto"/>
            <w:vAlign w:val="center"/>
          </w:tcPr>
          <w:p w14:paraId="5518254C">
            <w:pPr>
              <w:jc w:val="center"/>
              <w:rPr>
                <w:rFonts w:ascii="宋体" w:hAnsi="宋体" w:eastAsia="宋体" w:cs="Times New Roman"/>
                <w:color w:val="auto"/>
              </w:rPr>
            </w:pPr>
            <w:r>
              <w:rPr>
                <w:rFonts w:ascii="宋体" w:hAnsi="宋体" w:eastAsia="宋体" w:cs="Times New Roman"/>
                <w:color w:val="auto"/>
              </w:rPr>
              <w:t>噪声源调查方法</w:t>
            </w:r>
          </w:p>
        </w:tc>
        <w:tc>
          <w:tcPr>
            <w:tcW w:w="3750" w:type="pct"/>
            <w:gridSpan w:val="9"/>
            <w:shd w:val="clear" w:color="auto" w:fill="auto"/>
            <w:vAlign w:val="center"/>
          </w:tcPr>
          <w:p w14:paraId="1A5BB917">
            <w:pPr>
              <w:jc w:val="center"/>
              <w:rPr>
                <w:rFonts w:ascii="宋体" w:hAnsi="宋体" w:eastAsia="宋体" w:cs="Times New Roman"/>
                <w:color w:val="auto"/>
              </w:rPr>
            </w:pPr>
            <w:r>
              <w:rPr>
                <w:rFonts w:ascii="宋体" w:hAnsi="宋体" w:eastAsia="宋体" w:cs="Times New Roman"/>
                <w:color w:val="auto"/>
              </w:rPr>
              <w:t>现场实测</w:t>
            </w:r>
            <w:r>
              <w:rPr>
                <w:rFonts w:ascii="宋体" w:hAnsi="宋体" w:eastAsia="宋体" w:cs="Times New Roman"/>
                <w:color w:val="auto"/>
                <w:kern w:val="21"/>
              </w:rPr>
              <w:sym w:font="Wingdings" w:char="00FE"/>
            </w:r>
            <w:r>
              <w:rPr>
                <w:rFonts w:ascii="宋体" w:hAnsi="宋体" w:eastAsia="宋体" w:cs="Times New Roman"/>
                <w:color w:val="auto"/>
              </w:rPr>
              <w:t xml:space="preserve"> 已有资料</w:t>
            </w:r>
            <w:r>
              <w:rPr>
                <w:rFonts w:ascii="宋体" w:hAnsi="宋体" w:eastAsia="宋体" w:cs="Times New Roman"/>
                <w:color w:val="auto"/>
                <w:kern w:val="21"/>
              </w:rPr>
              <w:sym w:font="Wingdings" w:char="00FE"/>
            </w:r>
            <w:r>
              <w:rPr>
                <w:rFonts w:ascii="宋体" w:hAnsi="宋体" w:eastAsia="宋体" w:cs="Times New Roman"/>
                <w:color w:val="auto"/>
              </w:rPr>
              <w:t xml:space="preserve"> 研究成果□</w:t>
            </w:r>
          </w:p>
        </w:tc>
      </w:tr>
      <w:tr w14:paraId="063C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restart"/>
            <w:shd w:val="clear" w:color="auto" w:fill="auto"/>
            <w:vAlign w:val="center"/>
          </w:tcPr>
          <w:p w14:paraId="497728A4">
            <w:pPr>
              <w:jc w:val="center"/>
              <w:rPr>
                <w:rFonts w:ascii="宋体" w:hAnsi="宋体" w:eastAsia="宋体" w:cs="Times New Roman"/>
                <w:color w:val="auto"/>
              </w:rPr>
            </w:pPr>
            <w:r>
              <w:rPr>
                <w:rFonts w:ascii="宋体" w:hAnsi="宋体" w:eastAsia="宋体" w:cs="Times New Roman"/>
                <w:color w:val="auto"/>
              </w:rPr>
              <w:t>声环境影响预测与评价</w:t>
            </w:r>
          </w:p>
        </w:tc>
        <w:tc>
          <w:tcPr>
            <w:tcW w:w="826" w:type="pct"/>
            <w:shd w:val="clear" w:color="auto" w:fill="auto"/>
            <w:vAlign w:val="center"/>
          </w:tcPr>
          <w:p w14:paraId="7B5EF8A3">
            <w:pPr>
              <w:jc w:val="center"/>
              <w:rPr>
                <w:rFonts w:ascii="宋体" w:hAnsi="宋体" w:eastAsia="宋体" w:cs="Times New Roman"/>
                <w:color w:val="auto"/>
              </w:rPr>
            </w:pPr>
            <w:r>
              <w:rPr>
                <w:rFonts w:ascii="宋体" w:hAnsi="宋体" w:eastAsia="宋体" w:cs="Times New Roman"/>
                <w:color w:val="auto"/>
              </w:rPr>
              <w:t>预测模型</w:t>
            </w:r>
          </w:p>
        </w:tc>
        <w:tc>
          <w:tcPr>
            <w:tcW w:w="3750" w:type="pct"/>
            <w:gridSpan w:val="9"/>
            <w:shd w:val="clear" w:color="auto" w:fill="auto"/>
            <w:vAlign w:val="center"/>
          </w:tcPr>
          <w:p w14:paraId="057575FC">
            <w:pPr>
              <w:jc w:val="center"/>
              <w:rPr>
                <w:rFonts w:ascii="宋体" w:hAnsi="宋体" w:eastAsia="宋体" w:cs="Times New Roman"/>
                <w:color w:val="auto"/>
              </w:rPr>
            </w:pPr>
            <w:r>
              <w:rPr>
                <w:rFonts w:ascii="宋体" w:hAnsi="宋体" w:eastAsia="宋体" w:cs="Times New Roman"/>
                <w:color w:val="auto"/>
              </w:rPr>
              <w:t>导则推荐模型</w:t>
            </w:r>
            <w:r>
              <w:rPr>
                <w:rFonts w:ascii="宋体" w:hAnsi="宋体" w:eastAsia="宋体" w:cs="Times New Roman"/>
                <w:color w:val="auto"/>
                <w:kern w:val="21"/>
              </w:rPr>
              <w:sym w:font="Wingdings" w:char="00FE"/>
            </w:r>
            <w:r>
              <w:rPr>
                <w:rFonts w:ascii="宋体" w:hAnsi="宋体" w:eastAsia="宋体" w:cs="Times New Roman"/>
                <w:color w:val="auto"/>
              </w:rPr>
              <w:t xml:space="preserve"> 其他□</w:t>
            </w:r>
            <w:r>
              <w:rPr>
                <w:rFonts w:ascii="宋体" w:hAnsi="宋体" w:eastAsia="宋体" w:cs="Times New Roman"/>
                <w:color w:val="auto"/>
                <w:u w:val="single"/>
              </w:rPr>
              <w:t xml:space="preserve">    </w:t>
            </w:r>
          </w:p>
        </w:tc>
      </w:tr>
      <w:tr w14:paraId="5734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14:paraId="47C8F748">
            <w:pPr>
              <w:jc w:val="center"/>
              <w:rPr>
                <w:rFonts w:ascii="宋体" w:hAnsi="宋体" w:eastAsia="宋体" w:cs="Times New Roman"/>
                <w:color w:val="auto"/>
              </w:rPr>
            </w:pPr>
          </w:p>
        </w:tc>
        <w:tc>
          <w:tcPr>
            <w:tcW w:w="826" w:type="pct"/>
            <w:shd w:val="clear" w:color="auto" w:fill="auto"/>
            <w:vAlign w:val="center"/>
          </w:tcPr>
          <w:p w14:paraId="03C34ED1">
            <w:pPr>
              <w:jc w:val="center"/>
              <w:rPr>
                <w:rFonts w:ascii="宋体" w:hAnsi="宋体" w:eastAsia="宋体" w:cs="Times New Roman"/>
                <w:color w:val="auto"/>
              </w:rPr>
            </w:pPr>
            <w:r>
              <w:rPr>
                <w:rFonts w:ascii="宋体" w:hAnsi="宋体" w:eastAsia="宋体" w:cs="Times New Roman"/>
                <w:color w:val="auto"/>
              </w:rPr>
              <w:t>预测范围</w:t>
            </w:r>
          </w:p>
        </w:tc>
        <w:tc>
          <w:tcPr>
            <w:tcW w:w="3750" w:type="pct"/>
            <w:gridSpan w:val="9"/>
            <w:shd w:val="clear" w:color="auto" w:fill="auto"/>
            <w:vAlign w:val="center"/>
          </w:tcPr>
          <w:p w14:paraId="76B34A3D">
            <w:pPr>
              <w:jc w:val="center"/>
              <w:rPr>
                <w:rFonts w:ascii="宋体" w:hAnsi="宋体" w:eastAsia="宋体" w:cs="Times New Roman"/>
                <w:color w:val="auto"/>
              </w:rPr>
            </w:pPr>
            <w:r>
              <w:rPr>
                <w:rFonts w:ascii="宋体" w:hAnsi="宋体" w:eastAsia="宋体" w:cs="Times New Roman"/>
                <w:color w:val="auto"/>
              </w:rPr>
              <w:t>200 m</w:t>
            </w:r>
            <w:r>
              <w:rPr>
                <w:rFonts w:ascii="宋体" w:hAnsi="宋体" w:eastAsia="宋体" w:cs="Times New Roman"/>
                <w:color w:val="auto"/>
                <w:kern w:val="21"/>
              </w:rPr>
              <w:sym w:font="Wingdings" w:char="00FE"/>
            </w:r>
            <w:r>
              <w:rPr>
                <w:rFonts w:ascii="宋体" w:hAnsi="宋体" w:eastAsia="宋体" w:cs="Times New Roman"/>
                <w:color w:val="auto"/>
              </w:rPr>
              <w:t xml:space="preserve"> 大于 200 m□ 小于 200 m□</w:t>
            </w:r>
          </w:p>
        </w:tc>
      </w:tr>
      <w:tr w14:paraId="7F5B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14:paraId="02FEA2DD">
            <w:pPr>
              <w:jc w:val="center"/>
              <w:rPr>
                <w:rFonts w:ascii="宋体" w:hAnsi="宋体" w:eastAsia="宋体" w:cs="Times New Roman"/>
                <w:color w:val="auto"/>
              </w:rPr>
            </w:pPr>
          </w:p>
        </w:tc>
        <w:tc>
          <w:tcPr>
            <w:tcW w:w="826" w:type="pct"/>
            <w:shd w:val="clear" w:color="auto" w:fill="auto"/>
            <w:vAlign w:val="center"/>
          </w:tcPr>
          <w:p w14:paraId="7DBA9E0C">
            <w:pPr>
              <w:jc w:val="center"/>
              <w:rPr>
                <w:rFonts w:ascii="宋体" w:hAnsi="宋体" w:eastAsia="宋体" w:cs="Times New Roman"/>
                <w:color w:val="auto"/>
              </w:rPr>
            </w:pPr>
            <w:r>
              <w:rPr>
                <w:rFonts w:ascii="宋体" w:hAnsi="宋体" w:eastAsia="宋体" w:cs="Times New Roman"/>
                <w:color w:val="auto"/>
              </w:rPr>
              <w:t>预测因子</w:t>
            </w:r>
          </w:p>
        </w:tc>
        <w:tc>
          <w:tcPr>
            <w:tcW w:w="3750" w:type="pct"/>
            <w:gridSpan w:val="9"/>
            <w:shd w:val="clear" w:color="auto" w:fill="auto"/>
            <w:vAlign w:val="center"/>
          </w:tcPr>
          <w:p w14:paraId="7B4E212D">
            <w:pPr>
              <w:jc w:val="center"/>
              <w:rPr>
                <w:rFonts w:ascii="宋体" w:hAnsi="宋体" w:eastAsia="宋体" w:cs="Times New Roman"/>
                <w:color w:val="auto"/>
              </w:rPr>
            </w:pPr>
            <w:r>
              <w:rPr>
                <w:rFonts w:ascii="宋体" w:hAnsi="宋体" w:eastAsia="宋体" w:cs="Times New Roman"/>
                <w:color w:val="auto"/>
              </w:rPr>
              <w:t>等效连续 A 声级</w:t>
            </w:r>
            <w:r>
              <w:rPr>
                <w:rFonts w:ascii="宋体" w:hAnsi="宋体" w:eastAsia="宋体" w:cs="Times New Roman"/>
                <w:color w:val="auto"/>
                <w:kern w:val="21"/>
              </w:rPr>
              <w:sym w:font="Wingdings" w:char="00FE"/>
            </w:r>
            <w:r>
              <w:rPr>
                <w:rFonts w:ascii="宋体" w:hAnsi="宋体" w:eastAsia="宋体" w:cs="Times New Roman"/>
                <w:color w:val="auto"/>
              </w:rPr>
              <w:t xml:space="preserve"> 最大 A 声级□ 计权等效连续感觉噪声级□</w:t>
            </w:r>
          </w:p>
        </w:tc>
      </w:tr>
      <w:tr w14:paraId="278D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14:paraId="7EA111AC">
            <w:pPr>
              <w:jc w:val="center"/>
              <w:rPr>
                <w:rFonts w:ascii="宋体" w:hAnsi="宋体" w:eastAsia="宋体" w:cs="Times New Roman"/>
                <w:color w:val="auto"/>
              </w:rPr>
            </w:pPr>
          </w:p>
        </w:tc>
        <w:tc>
          <w:tcPr>
            <w:tcW w:w="826" w:type="pct"/>
            <w:shd w:val="clear" w:color="auto" w:fill="auto"/>
            <w:vAlign w:val="center"/>
          </w:tcPr>
          <w:p w14:paraId="042FE5C1">
            <w:pPr>
              <w:jc w:val="center"/>
              <w:rPr>
                <w:rFonts w:ascii="宋体" w:hAnsi="宋体" w:eastAsia="宋体" w:cs="Times New Roman"/>
                <w:color w:val="auto"/>
              </w:rPr>
            </w:pPr>
            <w:r>
              <w:rPr>
                <w:rFonts w:ascii="宋体" w:hAnsi="宋体" w:eastAsia="宋体" w:cs="Times New Roman"/>
                <w:color w:val="auto"/>
              </w:rPr>
              <w:t>厂界噪声贡献值</w:t>
            </w:r>
          </w:p>
        </w:tc>
        <w:tc>
          <w:tcPr>
            <w:tcW w:w="3750" w:type="pct"/>
            <w:gridSpan w:val="9"/>
            <w:shd w:val="clear" w:color="auto" w:fill="auto"/>
            <w:vAlign w:val="center"/>
          </w:tcPr>
          <w:p w14:paraId="3C8DD0BD">
            <w:pPr>
              <w:jc w:val="center"/>
              <w:rPr>
                <w:rFonts w:ascii="宋体" w:hAnsi="宋体" w:eastAsia="宋体" w:cs="Times New Roman"/>
                <w:color w:val="auto"/>
              </w:rPr>
            </w:pPr>
            <w:r>
              <w:rPr>
                <w:rFonts w:ascii="宋体" w:hAnsi="宋体" w:eastAsia="宋体" w:cs="Times New Roman"/>
                <w:color w:val="auto"/>
              </w:rPr>
              <w:t xml:space="preserve">达标 </w:t>
            </w:r>
            <w:r>
              <w:rPr>
                <w:rFonts w:ascii="宋体" w:hAnsi="宋体" w:eastAsia="宋体" w:cs="Times New Roman"/>
                <w:color w:val="auto"/>
                <w:kern w:val="21"/>
              </w:rPr>
              <w:sym w:font="Wingdings" w:char="00FE"/>
            </w:r>
            <w:r>
              <w:rPr>
                <w:rFonts w:ascii="宋体" w:hAnsi="宋体" w:eastAsia="宋体" w:cs="Times New Roman"/>
                <w:color w:val="auto"/>
              </w:rPr>
              <w:t xml:space="preserve"> 不达标□</w:t>
            </w:r>
          </w:p>
        </w:tc>
      </w:tr>
      <w:tr w14:paraId="4043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14:paraId="0462A238">
            <w:pPr>
              <w:jc w:val="center"/>
              <w:rPr>
                <w:rFonts w:ascii="宋体" w:hAnsi="宋体" w:eastAsia="宋体" w:cs="Times New Roman"/>
                <w:color w:val="auto"/>
              </w:rPr>
            </w:pPr>
          </w:p>
        </w:tc>
        <w:tc>
          <w:tcPr>
            <w:tcW w:w="826" w:type="pct"/>
            <w:shd w:val="clear" w:color="auto" w:fill="auto"/>
            <w:vAlign w:val="center"/>
          </w:tcPr>
          <w:p w14:paraId="56F5E6F4">
            <w:pPr>
              <w:jc w:val="center"/>
              <w:rPr>
                <w:rFonts w:ascii="宋体" w:hAnsi="宋体" w:eastAsia="宋体" w:cs="Times New Roman"/>
                <w:color w:val="auto"/>
              </w:rPr>
            </w:pPr>
            <w:r>
              <w:rPr>
                <w:rFonts w:ascii="宋体" w:hAnsi="宋体" w:eastAsia="宋体" w:cs="Times New Roman"/>
                <w:color w:val="auto"/>
              </w:rPr>
              <w:t>声环境保护目标处噪声值</w:t>
            </w:r>
          </w:p>
        </w:tc>
        <w:tc>
          <w:tcPr>
            <w:tcW w:w="3750" w:type="pct"/>
            <w:gridSpan w:val="9"/>
            <w:shd w:val="clear" w:color="auto" w:fill="auto"/>
            <w:vAlign w:val="center"/>
          </w:tcPr>
          <w:p w14:paraId="32AA09B7">
            <w:pPr>
              <w:jc w:val="center"/>
              <w:rPr>
                <w:rFonts w:ascii="宋体" w:hAnsi="宋体" w:eastAsia="宋体" w:cs="Times New Roman"/>
                <w:color w:val="auto"/>
              </w:rPr>
            </w:pPr>
            <w:r>
              <w:rPr>
                <w:rFonts w:ascii="宋体" w:hAnsi="宋体" w:eastAsia="宋体" w:cs="Times New Roman"/>
                <w:color w:val="auto"/>
              </w:rPr>
              <w:t xml:space="preserve">达标 </w:t>
            </w:r>
            <w:r>
              <w:rPr>
                <w:rFonts w:ascii="宋体" w:hAnsi="宋体" w:eastAsia="宋体" w:cs="Times New Roman"/>
                <w:color w:val="auto"/>
                <w:kern w:val="21"/>
              </w:rPr>
              <w:sym w:font="Wingdings" w:char="00FE"/>
            </w:r>
            <w:r>
              <w:rPr>
                <w:rFonts w:ascii="宋体" w:hAnsi="宋体" w:eastAsia="宋体" w:cs="Times New Roman"/>
                <w:color w:val="auto"/>
              </w:rPr>
              <w:t xml:space="preserve"> 不达标□</w:t>
            </w:r>
          </w:p>
        </w:tc>
      </w:tr>
      <w:tr w14:paraId="41B1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restart"/>
            <w:shd w:val="clear" w:color="auto" w:fill="auto"/>
            <w:vAlign w:val="center"/>
          </w:tcPr>
          <w:p w14:paraId="77C3974C">
            <w:pPr>
              <w:jc w:val="center"/>
              <w:rPr>
                <w:rFonts w:ascii="宋体" w:hAnsi="宋体" w:eastAsia="宋体" w:cs="Times New Roman"/>
                <w:color w:val="auto"/>
              </w:rPr>
            </w:pPr>
            <w:r>
              <w:rPr>
                <w:rFonts w:ascii="宋体" w:hAnsi="宋体" w:eastAsia="宋体" w:cs="Times New Roman"/>
                <w:color w:val="auto"/>
              </w:rPr>
              <w:t>环境监测计划</w:t>
            </w:r>
          </w:p>
        </w:tc>
        <w:tc>
          <w:tcPr>
            <w:tcW w:w="826" w:type="pct"/>
            <w:shd w:val="clear" w:color="auto" w:fill="auto"/>
            <w:vAlign w:val="center"/>
          </w:tcPr>
          <w:p w14:paraId="25903CA4">
            <w:pPr>
              <w:jc w:val="center"/>
              <w:rPr>
                <w:rFonts w:ascii="宋体" w:hAnsi="宋体" w:eastAsia="宋体" w:cs="Times New Roman"/>
                <w:color w:val="auto"/>
              </w:rPr>
            </w:pPr>
            <w:r>
              <w:rPr>
                <w:rFonts w:ascii="宋体" w:hAnsi="宋体" w:eastAsia="宋体" w:cs="Times New Roman"/>
                <w:color w:val="auto"/>
              </w:rPr>
              <w:t>排放监测</w:t>
            </w:r>
          </w:p>
        </w:tc>
        <w:tc>
          <w:tcPr>
            <w:tcW w:w="3750" w:type="pct"/>
            <w:gridSpan w:val="9"/>
            <w:shd w:val="clear" w:color="auto" w:fill="auto"/>
            <w:vAlign w:val="center"/>
          </w:tcPr>
          <w:p w14:paraId="29732723">
            <w:pPr>
              <w:jc w:val="center"/>
              <w:rPr>
                <w:rFonts w:ascii="宋体" w:hAnsi="宋体" w:eastAsia="宋体" w:cs="Times New Roman"/>
                <w:color w:val="auto"/>
              </w:rPr>
            </w:pPr>
            <w:r>
              <w:rPr>
                <w:rFonts w:ascii="宋体" w:hAnsi="宋体" w:eastAsia="宋体" w:cs="Times New Roman"/>
                <w:color w:val="auto"/>
              </w:rPr>
              <w:t>厂界监测</w:t>
            </w:r>
            <w:r>
              <w:rPr>
                <w:rFonts w:ascii="宋体" w:hAnsi="宋体" w:eastAsia="宋体" w:cs="Times New Roman"/>
                <w:color w:val="auto"/>
                <w:kern w:val="21"/>
              </w:rPr>
              <w:sym w:font="Wingdings" w:char="00FE"/>
            </w:r>
            <w:r>
              <w:rPr>
                <w:rFonts w:ascii="宋体" w:hAnsi="宋体" w:eastAsia="宋体" w:cs="Times New Roman"/>
                <w:color w:val="auto"/>
              </w:rPr>
              <w:t xml:space="preserve"> 固定位置监测□ 自动监测□ 手动监测□ 无监测□</w:t>
            </w:r>
          </w:p>
        </w:tc>
      </w:tr>
      <w:tr w14:paraId="1CB0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vMerge w:val="continue"/>
            <w:shd w:val="clear" w:color="auto" w:fill="auto"/>
            <w:vAlign w:val="center"/>
          </w:tcPr>
          <w:p w14:paraId="4568B390">
            <w:pPr>
              <w:jc w:val="center"/>
              <w:rPr>
                <w:rFonts w:ascii="宋体" w:hAnsi="宋体" w:eastAsia="宋体" w:cs="Times New Roman"/>
                <w:color w:val="auto"/>
              </w:rPr>
            </w:pPr>
          </w:p>
        </w:tc>
        <w:tc>
          <w:tcPr>
            <w:tcW w:w="826" w:type="pct"/>
            <w:shd w:val="clear" w:color="auto" w:fill="auto"/>
            <w:vAlign w:val="center"/>
          </w:tcPr>
          <w:p w14:paraId="5CBD8137">
            <w:pPr>
              <w:jc w:val="center"/>
              <w:rPr>
                <w:rFonts w:ascii="宋体" w:hAnsi="宋体" w:eastAsia="宋体" w:cs="Times New Roman"/>
                <w:color w:val="auto"/>
              </w:rPr>
            </w:pPr>
            <w:r>
              <w:rPr>
                <w:rFonts w:ascii="宋体" w:hAnsi="宋体" w:eastAsia="宋体" w:cs="Times New Roman"/>
                <w:color w:val="auto"/>
              </w:rPr>
              <w:t>声环境保护目标处噪声监测</w:t>
            </w:r>
          </w:p>
        </w:tc>
        <w:tc>
          <w:tcPr>
            <w:tcW w:w="1250" w:type="pct"/>
            <w:gridSpan w:val="4"/>
            <w:shd w:val="clear" w:color="auto" w:fill="auto"/>
            <w:vAlign w:val="center"/>
          </w:tcPr>
          <w:p w14:paraId="6D12F604">
            <w:pPr>
              <w:jc w:val="center"/>
              <w:rPr>
                <w:rFonts w:ascii="宋体" w:hAnsi="宋体" w:eastAsia="宋体" w:cs="Times New Roman"/>
                <w:color w:val="auto"/>
              </w:rPr>
            </w:pPr>
            <w:r>
              <w:rPr>
                <w:rFonts w:ascii="宋体" w:hAnsi="宋体" w:eastAsia="宋体" w:cs="Times New Roman"/>
                <w:color w:val="auto"/>
              </w:rPr>
              <w:t>监测因子：（ ）</w:t>
            </w:r>
          </w:p>
        </w:tc>
        <w:tc>
          <w:tcPr>
            <w:tcW w:w="1251" w:type="pct"/>
            <w:gridSpan w:val="2"/>
            <w:shd w:val="clear" w:color="auto" w:fill="auto"/>
            <w:vAlign w:val="center"/>
          </w:tcPr>
          <w:p w14:paraId="0B74EBE5">
            <w:pPr>
              <w:jc w:val="center"/>
              <w:rPr>
                <w:rFonts w:ascii="宋体" w:hAnsi="宋体" w:eastAsia="宋体" w:cs="Times New Roman"/>
                <w:color w:val="auto"/>
              </w:rPr>
            </w:pPr>
            <w:r>
              <w:rPr>
                <w:rFonts w:ascii="宋体" w:hAnsi="宋体" w:eastAsia="宋体" w:cs="Times New Roman"/>
                <w:color w:val="auto"/>
              </w:rPr>
              <w:t>监测点位数（ ）</w:t>
            </w:r>
          </w:p>
        </w:tc>
        <w:tc>
          <w:tcPr>
            <w:tcW w:w="1249" w:type="pct"/>
            <w:gridSpan w:val="3"/>
            <w:shd w:val="clear" w:color="auto" w:fill="auto"/>
            <w:vAlign w:val="center"/>
          </w:tcPr>
          <w:p w14:paraId="1F8A6E29">
            <w:pPr>
              <w:jc w:val="center"/>
              <w:rPr>
                <w:rFonts w:ascii="宋体" w:hAnsi="宋体" w:eastAsia="宋体" w:cs="Times New Roman"/>
                <w:color w:val="auto"/>
              </w:rPr>
            </w:pPr>
            <w:r>
              <w:rPr>
                <w:rFonts w:ascii="宋体" w:hAnsi="宋体" w:eastAsia="宋体" w:cs="Times New Roman"/>
                <w:color w:val="auto"/>
              </w:rPr>
              <w:t>无监测</w:t>
            </w:r>
            <w:r>
              <w:rPr>
                <w:rFonts w:ascii="宋体" w:hAnsi="宋体" w:eastAsia="宋体" w:cs="Times New Roman"/>
                <w:color w:val="auto"/>
                <w:kern w:val="21"/>
              </w:rPr>
              <w:sym w:font="Wingdings" w:char="00FE"/>
            </w:r>
          </w:p>
        </w:tc>
      </w:tr>
      <w:tr w14:paraId="72D2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4" w:type="pct"/>
            <w:shd w:val="clear" w:color="auto" w:fill="auto"/>
            <w:vAlign w:val="center"/>
          </w:tcPr>
          <w:p w14:paraId="4728F5D4">
            <w:pPr>
              <w:jc w:val="center"/>
              <w:rPr>
                <w:rFonts w:ascii="宋体" w:hAnsi="宋体" w:eastAsia="宋体" w:cs="Times New Roman"/>
                <w:color w:val="auto"/>
              </w:rPr>
            </w:pPr>
            <w:r>
              <w:rPr>
                <w:rFonts w:ascii="宋体" w:hAnsi="宋体" w:eastAsia="宋体" w:cs="Times New Roman"/>
                <w:color w:val="auto"/>
              </w:rPr>
              <w:t>评价结论</w:t>
            </w:r>
          </w:p>
        </w:tc>
        <w:tc>
          <w:tcPr>
            <w:tcW w:w="826" w:type="pct"/>
            <w:shd w:val="clear" w:color="auto" w:fill="auto"/>
            <w:vAlign w:val="center"/>
          </w:tcPr>
          <w:p w14:paraId="096BA255">
            <w:pPr>
              <w:jc w:val="center"/>
              <w:rPr>
                <w:rFonts w:ascii="宋体" w:hAnsi="宋体" w:eastAsia="宋体" w:cs="Times New Roman"/>
                <w:color w:val="auto"/>
              </w:rPr>
            </w:pPr>
            <w:r>
              <w:rPr>
                <w:rFonts w:ascii="宋体" w:hAnsi="宋体" w:eastAsia="宋体" w:cs="Times New Roman"/>
                <w:color w:val="auto"/>
              </w:rPr>
              <w:t>环境影响</w:t>
            </w:r>
          </w:p>
        </w:tc>
        <w:tc>
          <w:tcPr>
            <w:tcW w:w="3750" w:type="pct"/>
            <w:gridSpan w:val="9"/>
            <w:shd w:val="clear" w:color="auto" w:fill="auto"/>
            <w:vAlign w:val="center"/>
          </w:tcPr>
          <w:p w14:paraId="013F41F8">
            <w:pPr>
              <w:jc w:val="center"/>
              <w:rPr>
                <w:rFonts w:ascii="宋体" w:hAnsi="宋体" w:eastAsia="宋体" w:cs="Times New Roman"/>
                <w:color w:val="auto"/>
              </w:rPr>
            </w:pPr>
            <w:r>
              <w:rPr>
                <w:rFonts w:ascii="宋体" w:hAnsi="宋体" w:eastAsia="宋体" w:cs="Times New Roman"/>
                <w:color w:val="auto"/>
              </w:rPr>
              <w:t>可行</w:t>
            </w:r>
            <w:r>
              <w:rPr>
                <w:rFonts w:ascii="宋体" w:hAnsi="宋体" w:eastAsia="宋体" w:cs="Times New Roman"/>
                <w:color w:val="auto"/>
                <w:kern w:val="21"/>
              </w:rPr>
              <w:sym w:font="Wingdings" w:char="00FE"/>
            </w:r>
            <w:r>
              <w:rPr>
                <w:rFonts w:ascii="宋体" w:hAnsi="宋体" w:eastAsia="宋体" w:cs="Times New Roman"/>
                <w:color w:val="auto"/>
              </w:rPr>
              <w:t xml:space="preserve"> 不可行□</w:t>
            </w:r>
          </w:p>
        </w:tc>
      </w:tr>
      <w:tr w14:paraId="6A1E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1"/>
            <w:shd w:val="clear" w:color="auto" w:fill="auto"/>
            <w:vAlign w:val="center"/>
          </w:tcPr>
          <w:p w14:paraId="0C81C993">
            <w:pPr>
              <w:jc w:val="center"/>
              <w:rPr>
                <w:rFonts w:ascii="宋体" w:hAnsi="宋体" w:eastAsia="宋体" w:cs="Times New Roman"/>
                <w:color w:val="auto"/>
              </w:rPr>
            </w:pPr>
            <w:r>
              <w:rPr>
                <w:rFonts w:ascii="宋体" w:hAnsi="宋体" w:eastAsia="宋体" w:cs="Times New Roman"/>
                <w:color w:val="auto"/>
              </w:rPr>
              <w:t>注：“□” 为勾选项 ，可√ ；“（ ）” 为内容填写项。</w:t>
            </w:r>
          </w:p>
        </w:tc>
      </w:tr>
    </w:tbl>
    <w:p w14:paraId="3829F29E">
      <w:pPr>
        <w:rPr>
          <w:rFonts w:ascii="Times New Roman" w:hAnsi="Times New Roman" w:cs="Times New Roman"/>
          <w:color w:val="auto"/>
        </w:rPr>
      </w:pPr>
    </w:p>
    <w:p w14:paraId="3C4D76C8">
      <w:pPr>
        <w:pStyle w:val="202"/>
        <w:spacing w:before="156" w:after="62"/>
        <w:rPr>
          <w:rFonts w:ascii="Times New Roman"/>
          <w:smallCaps/>
          <w:color w:val="auto"/>
        </w:rPr>
      </w:pPr>
    </w:p>
    <w:p w14:paraId="02D2B944">
      <w:pPr>
        <w:rPr>
          <w:rFonts w:ascii="Times New Roman" w:hAnsi="Times New Roman" w:cs="Times New Roman"/>
          <w:color w:val="auto"/>
        </w:rPr>
      </w:pPr>
    </w:p>
    <w:p w14:paraId="7B5ADF4D">
      <w:pPr>
        <w:spacing w:line="440" w:lineRule="exact"/>
        <w:ind w:firstLine="420" w:firstLineChars="200"/>
        <w:rPr>
          <w:rFonts w:ascii="宋体" w:hAnsi="宋体" w:eastAsia="宋体"/>
          <w:color w:val="auto"/>
        </w:rPr>
      </w:pPr>
    </w:p>
    <w:sectPr>
      <w:pgSz w:w="11906" w:h="16838"/>
      <w:pgMar w:top="1440" w:right="1797" w:bottom="1304" w:left="1797" w:header="102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Sim Sun">
    <w:altName w:val="宋体"/>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font>
  <w:font w:name="方正宋三简体">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AngsanaUPC">
    <w:altName w:val="Microsoft Sans Serif"/>
    <w:panose1 w:val="00000000000000000000"/>
    <w:charset w:val="DE"/>
    <w:family w:val="roman"/>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Arail">
    <w:altName w:val="Noto Sans SC"/>
    <w:panose1 w:val="00000000000000000000"/>
    <w:charset w:val="00"/>
    <w:family w:val="auto"/>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新宋体">
    <w:panose1 w:val="02010609030101010101"/>
    <w:charset w:val="86"/>
    <w:family w:val="modern"/>
    <w:pitch w:val="default"/>
    <w:sig w:usb0="00000203" w:usb1="288F0000" w:usb2="0000000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BankGothic Lt BT">
    <w:altName w:val="Segoe Print"/>
    <w:panose1 w:val="00000000000000000000"/>
    <w:charset w:val="00"/>
    <w:family w:val="swiss"/>
    <w:pitch w:val="default"/>
    <w:sig w:usb0="00000000" w:usb1="00000000" w:usb2="00000000" w:usb3="00000000" w:csb0="0000001B"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华文中宋">
    <w:altName w:val="宋体"/>
    <w:panose1 w:val="02010600040101010101"/>
    <w:charset w:val="86"/>
    <w:family w:val="auto"/>
    <w:pitch w:val="default"/>
    <w:sig w:usb0="00000000" w:usb1="00000000" w:usb2="00000010" w:usb3="00000000" w:csb0="0004009F" w:csb1="00000000"/>
  </w:font>
  <w:font w:name="Arial Black">
    <w:panose1 w:val="020B0A04020102020204"/>
    <w:charset w:val="00"/>
    <w:family w:val="swiss"/>
    <w:pitch w:val="default"/>
    <w:sig w:usb0="A00002AF" w:usb1="400078FB" w:usb2="00000000" w:usb3="00000000" w:csb0="6000009F" w:csb1="DFD70000"/>
  </w:font>
  <w:font w:name="经典叠圆体简">
    <w:altName w:val="宋体"/>
    <w:panose1 w:val="00000000000000000000"/>
    <w:charset w:val="86"/>
    <w:family w:val="modern"/>
    <w:pitch w:val="default"/>
    <w:sig w:usb0="00000000" w:usb1="00000000" w:usb2="0000001E"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2" w:usb3="00000000" w:csb0="00040001" w:csb1="00000000"/>
  </w:font>
  <w:font w:name="”“Times New Roman”“">
    <w:altName w:val="宋体"/>
    <w:panose1 w:val="00000000000000000000"/>
    <w:charset w:val="86"/>
    <w:family w:val="auto"/>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华文仿宋">
    <w:altName w:val="仿宋"/>
    <w:panose1 w:val="02010600040101010101"/>
    <w:charset w:val="86"/>
    <w:family w:val="auto"/>
    <w:pitch w:val="default"/>
    <w:sig w:usb0="00000000" w:usb1="00000000" w:usb2="00000010" w:usb3="00000000" w:csb0="0004009F" w:csb1="00000000"/>
  </w:font>
  <w:font w:name="????">
    <w:altName w:val="Malgun Gothic"/>
    <w:panose1 w:val="00000000000000000000"/>
    <w:charset w:val="81"/>
    <w:family w:val="auto"/>
    <w:pitch w:val="default"/>
    <w:sig w:usb0="00000000" w:usb1="00000000" w:usb2="00000010" w:usb3="00000000" w:csb0="00080000" w:csb1="00000000"/>
  </w:font>
  <w:font w:name="TimesNewRomanPSMT">
    <w:altName w:val="Times New Roman"/>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2" w:usb3="00000000" w:csb0="00040001" w:csb1="00000000"/>
  </w:font>
  <w:font w:name="方正书宋简体">
    <w:altName w:val="宋体"/>
    <w:panose1 w:val="00000000000000000000"/>
    <w:charset w:val="86"/>
    <w:family w:val="auto"/>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方正楷体简体">
    <w:altName w:val="宋体"/>
    <w:panose1 w:val="00000000000000000000"/>
    <w:charset w:val="86"/>
    <w:family w:val="auto"/>
    <w:pitch w:val="default"/>
    <w:sig w:usb0="00000000" w:usb1="00000000" w:usb2="00000012" w:usb3="00000000" w:csb0="00040001" w:csb1="00000000"/>
  </w:font>
  <w:font w:name="方正综艺简体">
    <w:altName w:val="微软雅黑"/>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9875376"/>
    </w:sdtPr>
    <w:sdtContent>
      <w:p w14:paraId="32CA41E4">
        <w:pPr>
          <w:pStyle w:val="22"/>
          <w:spacing w:before="120"/>
        </w:pPr>
        <w:r>
          <w:fldChar w:fldCharType="begin"/>
        </w:r>
        <w:r>
          <w:instrText xml:space="preserve">PAGE   \* MERGEFORMAT</w:instrText>
        </w:r>
        <w:r>
          <w:fldChar w:fldCharType="separate"/>
        </w:r>
        <w:r>
          <w:rPr>
            <w:lang w:val="zh-CN"/>
          </w:rPr>
          <w:t>IV</w:t>
        </w:r>
        <w:r>
          <w:fldChar w:fldCharType="end"/>
        </w:r>
      </w:p>
    </w:sdtContent>
  </w:sdt>
  <w:p w14:paraId="144E8A25">
    <w:pPr>
      <w:pStyle w:val="22"/>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5821985"/>
    </w:sdtPr>
    <w:sdtContent>
      <w:p w14:paraId="3C9E87C8">
        <w:pPr>
          <w:pStyle w:val="22"/>
          <w:spacing w:before="120"/>
        </w:pPr>
        <w:r>
          <w:fldChar w:fldCharType="begin"/>
        </w:r>
        <w:r>
          <w:instrText xml:space="preserve">PAGE   \* MERGEFORMAT</w:instrText>
        </w:r>
        <w:r>
          <w:fldChar w:fldCharType="separate"/>
        </w:r>
        <w:r>
          <w:rPr>
            <w:lang w:val="zh-CN"/>
          </w:rPr>
          <w:t>62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43E6F">
    <w:pPr>
      <w:pStyle w:val="22"/>
      <w:spacing w:before="120"/>
    </w:pPr>
    <w:r>
      <w:fldChar w:fldCharType="begin"/>
    </w:r>
    <w:r>
      <w:instrText xml:space="preserve">PAGE   \* MERGEFORMAT</w:instrText>
    </w:r>
    <w:r>
      <w:fldChar w:fldCharType="separate"/>
    </w:r>
    <w:r>
      <w:rPr>
        <w:lang w:val="zh-CN"/>
      </w:rPr>
      <w:t>474</w:t>
    </w:r>
    <w:r>
      <w:rPr>
        <w:lang w:val="zh-CN"/>
      </w:rPr>
      <w:fldChar w:fldCharType="end"/>
    </w:r>
  </w:p>
  <w:p w14:paraId="750BFB44">
    <w:pPr>
      <w:pStyle w:val="22"/>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56274">
    <w:r>
      <w:fldChar w:fldCharType="begin"/>
    </w:r>
    <w:r>
      <w:instrText xml:space="preserve"> STYLEREF  "标题 1" \n </w:instrText>
    </w:r>
    <w:r>
      <w:fldChar w:fldCharType="separate"/>
    </w:r>
    <w:r>
      <w:t>1</w:t>
    </w:r>
    <w:r>
      <w:fldChar w:fldCharType="end"/>
    </w:r>
    <w:r>
      <w:fldChar w:fldCharType="begin"/>
    </w:r>
    <w:r>
      <w:instrText xml:space="preserve"> STYLEREF  "标题 1"  \* MERGEFORMAT </w:instrText>
    </w:r>
    <w:r>
      <w:fldChar w:fldCharType="separate"/>
    </w:r>
    <w:r>
      <w:t>概述</w:t>
    </w:r>
    <w:r>
      <w:fldChar w:fldCharType="end"/>
    </w:r>
    <w:r>
      <w:ptab w:relativeTo="margin" w:alignment="center" w:leader="none"/>
    </w:r>
    <w:r>
      <w:ptab w:relativeTo="margin" w:alignment="right" w:leader="none"/>
    </w:r>
    <w:r>
      <w:fldChar w:fldCharType="begin"/>
    </w:r>
    <w:r>
      <w:instrText xml:space="preserve"> REF 项目名称 \h </w:instrText>
    </w:r>
    <w:r>
      <w:fldChar w:fldCharType="separate"/>
    </w:r>
    <w:r>
      <w:rPr>
        <w:rFonts w:hint="eastAsia"/>
        <w:b/>
        <w:bCs/>
      </w:rPr>
      <w:t>错误!未找到引用源。</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5664">
    <w:pPr>
      <w:pStyle w:val="53"/>
    </w:pPr>
    <w:r>
      <w:t>肇源油田源212区块扶余油层水平井提产试验产能建设地面工程</w:t>
    </w:r>
  </w:p>
  <w:p w14:paraId="0823D97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0A289">
    <w:pPr>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9FE9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D77D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2A39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B8C94"/>
  <w:p w14:paraId="734D03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8EA3CF"/>
    <w:multiLevelType w:val="singleLevel"/>
    <w:tmpl w:val="B58EA3CF"/>
    <w:lvl w:ilvl="0" w:tentative="0">
      <w:start w:val="2"/>
      <w:numFmt w:val="decimal"/>
      <w:pStyle w:val="1792"/>
      <w:suff w:val="nothing"/>
      <w:lvlText w:val="（%1）"/>
      <w:lvlJc w:val="left"/>
    </w:lvl>
  </w:abstractNum>
  <w:abstractNum w:abstractNumId="1">
    <w:nsid w:val="02DB2792"/>
    <w:multiLevelType w:val="multilevel"/>
    <w:tmpl w:val="02DB2792"/>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7492AA9"/>
    <w:multiLevelType w:val="multilevel"/>
    <w:tmpl w:val="07492AA9"/>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DFF2387"/>
    <w:multiLevelType w:val="multilevel"/>
    <w:tmpl w:val="0DFF2387"/>
    <w:lvl w:ilvl="0" w:tentative="0">
      <w:start w:val="1"/>
      <w:numFmt w:val="decimalEnclosedCircle"/>
      <w:lvlText w:val="%1"/>
      <w:lvlJc w:val="left"/>
      <w:pPr>
        <w:ind w:left="840" w:hanging="360"/>
      </w:pPr>
      <w:rPr>
        <w:rFonts w:hint="default" w:eastAsia="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6C123DC"/>
    <w:multiLevelType w:val="multilevel"/>
    <w:tmpl w:val="16C123DC"/>
    <w:lvl w:ilvl="0" w:tentative="0">
      <w:start w:val="1"/>
      <w:numFmt w:val="decimal"/>
      <w:pStyle w:val="132"/>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2E443A0"/>
    <w:multiLevelType w:val="multilevel"/>
    <w:tmpl w:val="22E443A0"/>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3A7C6336"/>
    <w:multiLevelType w:val="multilevel"/>
    <w:tmpl w:val="3A7C6336"/>
    <w:lvl w:ilvl="0" w:tentative="0">
      <w:start w:val="1"/>
      <w:numFmt w:val="decimalEnclosedCircle"/>
      <w:lvlText w:val="%1"/>
      <w:lvlJc w:val="left"/>
      <w:pPr>
        <w:ind w:left="840" w:hanging="360"/>
      </w:pPr>
      <w:rPr>
        <w:rFonts w:hint="default" w:eastAsia="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BC3583F"/>
    <w:multiLevelType w:val="multilevel"/>
    <w:tmpl w:val="3BC3583F"/>
    <w:lvl w:ilvl="0" w:tentative="0">
      <w:start w:val="1"/>
      <w:numFmt w:val="decimal"/>
      <w:pStyle w:val="280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BC475F5"/>
    <w:multiLevelType w:val="multilevel"/>
    <w:tmpl w:val="4BC475F5"/>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4D0626E8"/>
    <w:multiLevelType w:val="multilevel"/>
    <w:tmpl w:val="4D0626E8"/>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4F006C0E"/>
    <w:multiLevelType w:val="multilevel"/>
    <w:tmpl w:val="4F006C0E"/>
    <w:lvl w:ilvl="0" w:tentative="0">
      <w:start w:val="1"/>
      <w:numFmt w:val="decimal"/>
      <w:pStyle w:val="128"/>
      <w:suff w:val="nothing"/>
      <w:lvlText w:val="附件%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39548E"/>
    <w:multiLevelType w:val="multilevel"/>
    <w:tmpl w:val="5839548E"/>
    <w:lvl w:ilvl="0" w:tentative="0">
      <w:start w:val="1"/>
      <w:numFmt w:val="decimal"/>
      <w:pStyle w:val="3"/>
      <w:isLgl/>
      <w:suff w:val="space"/>
      <w:lvlText w:val="%1"/>
      <w:lvlJc w:val="left"/>
      <w:pPr>
        <w:ind w:left="0" w:firstLine="0"/>
      </w:pPr>
      <w:rPr>
        <w:rFonts w:hint="eastAsia"/>
      </w:rPr>
    </w:lvl>
    <w:lvl w:ilvl="1" w:tentative="0">
      <w:start w:val="1"/>
      <w:numFmt w:val="decimal"/>
      <w:pStyle w:val="5"/>
      <w:isLgl/>
      <w:suff w:val="space"/>
      <w:lvlText w:val="%1.%2"/>
      <w:lvlJc w:val="left"/>
      <w:pPr>
        <w:ind w:left="0" w:firstLine="0"/>
      </w:pPr>
      <w:rPr>
        <w:rFonts w:hint="eastAsia"/>
      </w:rPr>
    </w:lvl>
    <w:lvl w:ilvl="2" w:tentative="0">
      <w:start w:val="1"/>
      <w:numFmt w:val="decimal"/>
      <w:pStyle w:val="6"/>
      <w:isLgl/>
      <w:suff w:val="space"/>
      <w:lvlText w:val="%1.%2.%3"/>
      <w:lvlJc w:val="left"/>
      <w:pPr>
        <w:ind w:left="0" w:firstLine="0"/>
      </w:pPr>
      <w:rPr>
        <w:rFonts w:hint="eastAsia"/>
      </w:rPr>
    </w:lvl>
    <w:lvl w:ilvl="3" w:tentative="0">
      <w:start w:val="1"/>
      <w:numFmt w:val="decimal"/>
      <w:pStyle w:val="7"/>
      <w:isLgl/>
      <w:suff w:val="space"/>
      <w:lvlText w:val="%1.%2.%3.%4"/>
      <w:lvlJc w:val="left"/>
      <w:pPr>
        <w:ind w:left="0" w:firstLine="0"/>
      </w:pPr>
      <w:rPr>
        <w:rFonts w:hint="eastAsia"/>
      </w:rPr>
    </w:lvl>
    <w:lvl w:ilvl="4" w:tentative="0">
      <w:start w:val="1"/>
      <w:numFmt w:val="decimal"/>
      <w:pStyle w:val="8"/>
      <w:isLgl/>
      <w:suff w:val="space"/>
      <w:lvlText w:val="%1.%2.%3.%4.%5"/>
      <w:lvlJc w:val="left"/>
      <w:pPr>
        <w:ind w:left="0" w:firstLine="0"/>
      </w:pPr>
      <w:rPr>
        <w:rFonts w:hint="eastAsia"/>
      </w:rPr>
    </w:lvl>
    <w:lvl w:ilvl="5" w:tentative="0">
      <w:start w:val="1"/>
      <w:numFmt w:val="decimal"/>
      <w:pStyle w:val="9"/>
      <w:isLgl/>
      <w:suff w:val="space"/>
      <w:lvlText w:val="%1.%2.%3.%4.%5.%6"/>
      <w:lvlJc w:val="left"/>
      <w:pPr>
        <w:ind w:left="0" w:firstLine="0"/>
      </w:pPr>
      <w:rPr>
        <w:rFonts w:hint="eastAsia"/>
      </w:rPr>
    </w:lvl>
    <w:lvl w:ilvl="6" w:tentative="0">
      <w:start w:val="1"/>
      <w:numFmt w:val="decimal"/>
      <w:pStyle w:val="10"/>
      <w:isLgl/>
      <w:suff w:val="nothing"/>
      <w:lvlText w:val="%1.%2.%3.%4.%5.%6.%7"/>
      <w:lvlJc w:val="left"/>
      <w:pPr>
        <w:ind w:left="0" w:firstLine="0"/>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7" w:tentative="0">
      <w:start w:val="1"/>
      <w:numFmt w:val="decimal"/>
      <w:pStyle w:val="11"/>
      <w:isLgl/>
      <w:suff w:val="space"/>
      <w:lvlText w:val="%1.%2.%3.%4.%5.%6.%7.%8"/>
      <w:lvlJc w:val="left"/>
      <w:pPr>
        <w:ind w:left="0" w:firstLine="0"/>
      </w:pPr>
      <w:rPr>
        <w:rFonts w:hint="eastAsia"/>
      </w:rPr>
    </w:lvl>
    <w:lvl w:ilvl="8" w:tentative="0">
      <w:start w:val="1"/>
      <w:numFmt w:val="decimal"/>
      <w:pStyle w:val="12"/>
      <w:isLgl/>
      <w:suff w:val="space"/>
      <w:lvlText w:val="%1.%2.%3.%4.%5.%6.%7.%8.%9"/>
      <w:lvlJc w:val="left"/>
      <w:pPr>
        <w:ind w:left="0" w:firstLine="0"/>
      </w:pPr>
      <w:rPr>
        <w:rFonts w:hint="eastAsia"/>
      </w:rPr>
    </w:lvl>
  </w:abstractNum>
  <w:abstractNum w:abstractNumId="12">
    <w:nsid w:val="5BDF3EC6"/>
    <w:multiLevelType w:val="multilevel"/>
    <w:tmpl w:val="5BDF3EC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65117A04"/>
    <w:multiLevelType w:val="multilevel"/>
    <w:tmpl w:val="65117A04"/>
    <w:lvl w:ilvl="0" w:tentative="0">
      <w:start w:val="1"/>
      <w:numFmt w:val="decimal"/>
      <w:lvlText w:val="%1）"/>
      <w:lvlJc w:val="left"/>
      <w:pPr>
        <w:ind w:left="0" w:firstLine="400"/>
      </w:pPr>
      <w:rPr>
        <w:rFonts w:hint="eastAsia"/>
        <w14:numSpacing w14:val="proportional"/>
      </w:rPr>
    </w:lvl>
    <w:lvl w:ilvl="1" w:tentative="0">
      <w:start w:val="1"/>
      <w:numFmt w:val="decimalEnclosedCircle"/>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92" w:firstLine="476"/>
      </w:pPr>
      <w:rPr>
        <w:rFonts w:hint="eastAsia" w:ascii="宋体" w:eastAsia="宋体"/>
        <w:lang w:val="en-US"/>
      </w:rPr>
    </w:lvl>
    <w:lvl w:ilvl="3" w:tentative="0">
      <w:start w:val="1"/>
      <w:numFmt w:val="lowerLetter"/>
      <w:suff w:val="nothing"/>
      <w:lvlText w:val="%4."/>
      <w:lvlJc w:val="left"/>
      <w:pPr>
        <w:ind w:left="0" w:firstLine="476"/>
      </w:pPr>
      <w:rPr>
        <w:rFonts w:hint="eastAsia" w:ascii="宋体" w:eastAsia="宋体"/>
      </w:rPr>
    </w:lvl>
    <w:lvl w:ilvl="4" w:tentative="0">
      <w:start w:val="1"/>
      <w:numFmt w:val="upperRoman"/>
      <w:suff w:val="nothing"/>
      <w:lvlText w:val="%5."/>
      <w:lvlJc w:val="left"/>
      <w:pPr>
        <w:ind w:left="0" w:firstLine="476"/>
      </w:pPr>
      <w:rPr>
        <w:rFonts w:hint="eastAsia" w:ascii="宋体" w:eastAsia="宋体"/>
      </w:rPr>
    </w:lvl>
    <w:lvl w:ilvl="5" w:tentative="0">
      <w:start w:val="1"/>
      <w:numFmt w:val="lowerRoman"/>
      <w:suff w:val="nothing"/>
      <w:lvlText w:val="%6."/>
      <w:lvlJc w:val="left"/>
      <w:pPr>
        <w:ind w:left="0" w:firstLine="476"/>
      </w:pPr>
      <w:rPr>
        <w:rFonts w:hint="eastAsia" w:ascii="宋体" w:eastAsia="宋体"/>
      </w:rPr>
    </w:lvl>
    <w:lvl w:ilvl="6" w:tentative="0">
      <w:start w:val="1"/>
      <w:numFmt w:val="ordinal"/>
      <w:suff w:val="nothing"/>
      <w:lvlText w:val="%7."/>
      <w:lvlJc w:val="left"/>
      <w:pPr>
        <w:ind w:left="0" w:firstLine="476"/>
      </w:pPr>
      <w:rPr>
        <w:rFonts w:hint="eastAsia"/>
      </w:rPr>
    </w:lvl>
    <w:lvl w:ilvl="7" w:tentative="0">
      <w:start w:val="1"/>
      <w:numFmt w:val="none"/>
      <w:suff w:val="nothing"/>
      <w:lvlText w:val=""/>
      <w:lvlJc w:val="left"/>
      <w:pPr>
        <w:ind w:left="0" w:firstLine="476"/>
      </w:pPr>
      <w:rPr>
        <w:rFonts w:hint="eastAsia"/>
      </w:rPr>
    </w:lvl>
    <w:lvl w:ilvl="8" w:tentative="0">
      <w:start w:val="1"/>
      <w:numFmt w:val="none"/>
      <w:suff w:val="nothing"/>
      <w:lvlText w:val=""/>
      <w:lvlJc w:val="left"/>
      <w:pPr>
        <w:ind w:left="0" w:firstLine="476"/>
      </w:pPr>
      <w:rPr>
        <w:rFonts w:hint="eastAsia"/>
      </w:rPr>
    </w:lvl>
  </w:abstractNum>
  <w:abstractNum w:abstractNumId="14">
    <w:nsid w:val="699B31E6"/>
    <w:multiLevelType w:val="multilevel"/>
    <w:tmpl w:val="699B31E6"/>
    <w:lvl w:ilvl="0" w:tentative="0">
      <w:start w:val="1"/>
      <w:numFmt w:val="decimal"/>
      <w:pStyle w:val="130"/>
      <w:suff w:val="nothing"/>
      <w:lvlText w:val="附图%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9F94955"/>
    <w:multiLevelType w:val="multilevel"/>
    <w:tmpl w:val="69F94955"/>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1B21497"/>
    <w:multiLevelType w:val="multilevel"/>
    <w:tmpl w:val="71B21497"/>
    <w:lvl w:ilvl="0" w:tentative="0">
      <w:start w:val="1"/>
      <w:numFmt w:val="decimal"/>
      <w:pStyle w:val="142"/>
      <w:isLgl/>
      <w:suff w:val="nothing"/>
      <w:lvlText w:val="（%1）"/>
      <w:lvlJc w:val="left"/>
      <w:pPr>
        <w:ind w:left="0" w:firstLine="476"/>
      </w:pPr>
      <w:rPr>
        <w:rFonts w:hint="eastAsia" w:ascii="宋体" w:eastAsia="宋体"/>
      </w:rPr>
    </w:lvl>
    <w:lvl w:ilvl="1" w:tentative="0">
      <w:start w:val="1"/>
      <w:numFmt w:val="decimalEnclosedCircle"/>
      <w:pStyle w:val="144"/>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rPr>
    </w:lvl>
    <w:lvl w:ilvl="4" w:tentative="0">
      <w:start w:val="1"/>
      <w:numFmt w:val="upperRoman"/>
      <w:suff w:val="nothing"/>
      <w:lvlText w:val="%5."/>
      <w:lvlJc w:val="left"/>
      <w:pPr>
        <w:ind w:left="0" w:firstLine="476"/>
      </w:pPr>
      <w:rPr>
        <w:rFonts w:hint="eastAsia" w:ascii="宋体" w:eastAsia="宋体"/>
      </w:rPr>
    </w:lvl>
    <w:lvl w:ilvl="5" w:tentative="0">
      <w:start w:val="1"/>
      <w:numFmt w:val="lowerRoman"/>
      <w:suff w:val="nothing"/>
      <w:lvlText w:val="%6."/>
      <w:lvlJc w:val="left"/>
      <w:pPr>
        <w:ind w:left="0" w:firstLine="476"/>
      </w:pPr>
      <w:rPr>
        <w:rFonts w:hint="eastAsia" w:ascii="宋体" w:eastAsia="宋体"/>
      </w:rPr>
    </w:lvl>
    <w:lvl w:ilvl="6" w:tentative="0">
      <w:start w:val="1"/>
      <w:numFmt w:val="ordinal"/>
      <w:suff w:val="nothing"/>
      <w:lvlText w:val="%7."/>
      <w:lvlJc w:val="left"/>
      <w:pPr>
        <w:ind w:left="0" w:firstLine="476"/>
      </w:pPr>
      <w:rPr>
        <w:rFonts w:hint="eastAsia"/>
      </w:rPr>
    </w:lvl>
    <w:lvl w:ilvl="7" w:tentative="0">
      <w:start w:val="1"/>
      <w:numFmt w:val="none"/>
      <w:suff w:val="nothing"/>
      <w:lvlText w:val=""/>
      <w:lvlJc w:val="left"/>
      <w:pPr>
        <w:ind w:left="0" w:firstLine="476"/>
      </w:pPr>
      <w:rPr>
        <w:rFonts w:hint="eastAsia"/>
      </w:rPr>
    </w:lvl>
    <w:lvl w:ilvl="8" w:tentative="0">
      <w:start w:val="1"/>
      <w:numFmt w:val="none"/>
      <w:suff w:val="nothing"/>
      <w:lvlText w:val=""/>
      <w:lvlJc w:val="left"/>
      <w:pPr>
        <w:ind w:left="0" w:firstLine="476"/>
      </w:pPr>
      <w:rPr>
        <w:rFonts w:hint="eastAsia"/>
      </w:rPr>
    </w:lvl>
  </w:abstractNum>
  <w:abstractNum w:abstractNumId="17">
    <w:nsid w:val="75824E47"/>
    <w:multiLevelType w:val="multilevel"/>
    <w:tmpl w:val="75824E47"/>
    <w:lvl w:ilvl="0" w:tentative="0">
      <w:start w:val="3"/>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C6E66CC"/>
    <w:multiLevelType w:val="singleLevel"/>
    <w:tmpl w:val="7C6E66CC"/>
    <w:lvl w:ilvl="0" w:tentative="0">
      <w:start w:val="3"/>
      <w:numFmt w:val="decimal"/>
      <w:suff w:val="nothing"/>
      <w:lvlText w:val="%1、"/>
      <w:lvlJc w:val="left"/>
    </w:lvl>
  </w:abstractNum>
  <w:abstractNum w:abstractNumId="19">
    <w:nsid w:val="7E752ED4"/>
    <w:multiLevelType w:val="multilevel"/>
    <w:tmpl w:val="7E752ED4"/>
    <w:lvl w:ilvl="0" w:tentative="0">
      <w:start w:val="1"/>
      <w:numFmt w:val="decimal"/>
      <w:pStyle w:val="126"/>
      <w:suff w:val="nothing"/>
      <w:lvlText w:val="附表%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19"/>
  </w:num>
  <w:num w:numId="3">
    <w:abstractNumId w:val="10"/>
  </w:num>
  <w:num w:numId="4">
    <w:abstractNumId w:val="14"/>
  </w:num>
  <w:num w:numId="5">
    <w:abstractNumId w:val="4"/>
  </w:num>
  <w:num w:numId="6">
    <w:abstractNumId w:val="16"/>
  </w:num>
  <w:num w:numId="7">
    <w:abstractNumId w:val="0"/>
  </w:num>
  <w:num w:numId="8">
    <w:abstractNumId w:val="7"/>
  </w:num>
  <w:num w:numId="9">
    <w:abstractNumId w:val="18"/>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8"/>
  </w:num>
  <w:num w:numId="13">
    <w:abstractNumId w:val="3"/>
  </w:num>
  <w:num w:numId="14">
    <w:abstractNumId w:val="6"/>
  </w:num>
  <w:num w:numId="15">
    <w:abstractNumId w:val="9"/>
  </w:num>
  <w:num w:numId="16">
    <w:abstractNumId w:val="2"/>
  </w:num>
  <w:num w:numId="17">
    <w:abstractNumId w:val="17"/>
  </w:num>
  <w:num w:numId="18">
    <w:abstractNumId w:val="13"/>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9"/>
  <w:displayBackgroundShape w:val="1"/>
  <w:bordersDoNotSurroundHeader w:val="1"/>
  <w:bordersDoNotSurroundFooter w:val="1"/>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styleLockTheme/>
  <w:styleLockQFSet/>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zZWRjNTg3YjcyMzEyNGExZGQyYzYxMWYzNDM2YWUifQ=="/>
  </w:docVars>
  <w:rsids>
    <w:rsidRoot w:val="00A11D94"/>
    <w:rsid w:val="000006FE"/>
    <w:rsid w:val="000012FF"/>
    <w:rsid w:val="0000140F"/>
    <w:rsid w:val="00002506"/>
    <w:rsid w:val="000025E6"/>
    <w:rsid w:val="000025EC"/>
    <w:rsid w:val="0000286C"/>
    <w:rsid w:val="0000358F"/>
    <w:rsid w:val="00003AEB"/>
    <w:rsid w:val="00003C55"/>
    <w:rsid w:val="000041DA"/>
    <w:rsid w:val="00006539"/>
    <w:rsid w:val="0001039B"/>
    <w:rsid w:val="000105AE"/>
    <w:rsid w:val="00010C06"/>
    <w:rsid w:val="00010CA8"/>
    <w:rsid w:val="00012247"/>
    <w:rsid w:val="0001243F"/>
    <w:rsid w:val="00012E03"/>
    <w:rsid w:val="00013D8D"/>
    <w:rsid w:val="00013E07"/>
    <w:rsid w:val="00014031"/>
    <w:rsid w:val="00014560"/>
    <w:rsid w:val="00015342"/>
    <w:rsid w:val="000155A9"/>
    <w:rsid w:val="00015BEA"/>
    <w:rsid w:val="00015D92"/>
    <w:rsid w:val="00016074"/>
    <w:rsid w:val="00016134"/>
    <w:rsid w:val="0001691C"/>
    <w:rsid w:val="00016BB6"/>
    <w:rsid w:val="00016E78"/>
    <w:rsid w:val="000177D7"/>
    <w:rsid w:val="000178AF"/>
    <w:rsid w:val="00017AD9"/>
    <w:rsid w:val="00017BBE"/>
    <w:rsid w:val="00020F6D"/>
    <w:rsid w:val="000221BD"/>
    <w:rsid w:val="00023742"/>
    <w:rsid w:val="00025056"/>
    <w:rsid w:val="00025364"/>
    <w:rsid w:val="0002539C"/>
    <w:rsid w:val="00025F04"/>
    <w:rsid w:val="00026376"/>
    <w:rsid w:val="00026431"/>
    <w:rsid w:val="0002646F"/>
    <w:rsid w:val="000264F2"/>
    <w:rsid w:val="000266D0"/>
    <w:rsid w:val="00026C40"/>
    <w:rsid w:val="00027541"/>
    <w:rsid w:val="0002778D"/>
    <w:rsid w:val="00027925"/>
    <w:rsid w:val="00027DEE"/>
    <w:rsid w:val="0003040C"/>
    <w:rsid w:val="00030457"/>
    <w:rsid w:val="000307B8"/>
    <w:rsid w:val="00030FEE"/>
    <w:rsid w:val="000312A1"/>
    <w:rsid w:val="00031458"/>
    <w:rsid w:val="00031B1F"/>
    <w:rsid w:val="00031E0F"/>
    <w:rsid w:val="000322D1"/>
    <w:rsid w:val="00032367"/>
    <w:rsid w:val="00032808"/>
    <w:rsid w:val="00032E57"/>
    <w:rsid w:val="000330AE"/>
    <w:rsid w:val="000333FE"/>
    <w:rsid w:val="00033FF4"/>
    <w:rsid w:val="00034124"/>
    <w:rsid w:val="00034FA3"/>
    <w:rsid w:val="0003509F"/>
    <w:rsid w:val="00035C8B"/>
    <w:rsid w:val="000366C7"/>
    <w:rsid w:val="00036B74"/>
    <w:rsid w:val="0003721A"/>
    <w:rsid w:val="0003742F"/>
    <w:rsid w:val="00040308"/>
    <w:rsid w:val="00040583"/>
    <w:rsid w:val="00040A9C"/>
    <w:rsid w:val="00040BDD"/>
    <w:rsid w:val="000412B8"/>
    <w:rsid w:val="0004176B"/>
    <w:rsid w:val="00041DA3"/>
    <w:rsid w:val="00042046"/>
    <w:rsid w:val="000421A8"/>
    <w:rsid w:val="000427CD"/>
    <w:rsid w:val="000428A2"/>
    <w:rsid w:val="00042C02"/>
    <w:rsid w:val="00043178"/>
    <w:rsid w:val="00043815"/>
    <w:rsid w:val="00043C7E"/>
    <w:rsid w:val="00044A14"/>
    <w:rsid w:val="00044A18"/>
    <w:rsid w:val="00044FE8"/>
    <w:rsid w:val="000452A5"/>
    <w:rsid w:val="00045C8E"/>
    <w:rsid w:val="00046DD3"/>
    <w:rsid w:val="00046E36"/>
    <w:rsid w:val="00047434"/>
    <w:rsid w:val="00047A39"/>
    <w:rsid w:val="00047E4B"/>
    <w:rsid w:val="00052C1A"/>
    <w:rsid w:val="00052D2E"/>
    <w:rsid w:val="00052D7F"/>
    <w:rsid w:val="00053449"/>
    <w:rsid w:val="0005359C"/>
    <w:rsid w:val="00053991"/>
    <w:rsid w:val="00053F8F"/>
    <w:rsid w:val="000543A8"/>
    <w:rsid w:val="000559A6"/>
    <w:rsid w:val="00055C84"/>
    <w:rsid w:val="000562B1"/>
    <w:rsid w:val="00056DA4"/>
    <w:rsid w:val="00056F53"/>
    <w:rsid w:val="00057018"/>
    <w:rsid w:val="0005715E"/>
    <w:rsid w:val="000574FC"/>
    <w:rsid w:val="00057E98"/>
    <w:rsid w:val="00060050"/>
    <w:rsid w:val="0006065D"/>
    <w:rsid w:val="00060C41"/>
    <w:rsid w:val="000615EA"/>
    <w:rsid w:val="0006179A"/>
    <w:rsid w:val="0006180D"/>
    <w:rsid w:val="00061AEB"/>
    <w:rsid w:val="000624C2"/>
    <w:rsid w:val="0006268F"/>
    <w:rsid w:val="00062A2B"/>
    <w:rsid w:val="00062AC2"/>
    <w:rsid w:val="00062B43"/>
    <w:rsid w:val="00062C12"/>
    <w:rsid w:val="00062F5A"/>
    <w:rsid w:val="00063685"/>
    <w:rsid w:val="0006368A"/>
    <w:rsid w:val="00065491"/>
    <w:rsid w:val="000654B5"/>
    <w:rsid w:val="000654CC"/>
    <w:rsid w:val="000663D0"/>
    <w:rsid w:val="00066829"/>
    <w:rsid w:val="00066D51"/>
    <w:rsid w:val="0006713A"/>
    <w:rsid w:val="000674D4"/>
    <w:rsid w:val="00067FC7"/>
    <w:rsid w:val="00070026"/>
    <w:rsid w:val="0007102A"/>
    <w:rsid w:val="00071D39"/>
    <w:rsid w:val="00071FDF"/>
    <w:rsid w:val="000723C8"/>
    <w:rsid w:val="00073808"/>
    <w:rsid w:val="00073B2D"/>
    <w:rsid w:val="00073B8E"/>
    <w:rsid w:val="00074C6E"/>
    <w:rsid w:val="00074FA6"/>
    <w:rsid w:val="00075607"/>
    <w:rsid w:val="00076121"/>
    <w:rsid w:val="000761A2"/>
    <w:rsid w:val="000761C6"/>
    <w:rsid w:val="00076FD3"/>
    <w:rsid w:val="000772CF"/>
    <w:rsid w:val="00077D6C"/>
    <w:rsid w:val="0008038B"/>
    <w:rsid w:val="000805A8"/>
    <w:rsid w:val="000806BC"/>
    <w:rsid w:val="000806C4"/>
    <w:rsid w:val="00080C11"/>
    <w:rsid w:val="00080E36"/>
    <w:rsid w:val="00081739"/>
    <w:rsid w:val="00082342"/>
    <w:rsid w:val="00083D00"/>
    <w:rsid w:val="00084107"/>
    <w:rsid w:val="00084DD6"/>
    <w:rsid w:val="00086061"/>
    <w:rsid w:val="00086FC3"/>
    <w:rsid w:val="00087857"/>
    <w:rsid w:val="0009001D"/>
    <w:rsid w:val="00090088"/>
    <w:rsid w:val="00090092"/>
    <w:rsid w:val="00091485"/>
    <w:rsid w:val="000917DF"/>
    <w:rsid w:val="000918B1"/>
    <w:rsid w:val="000918E9"/>
    <w:rsid w:val="00091DC0"/>
    <w:rsid w:val="00092504"/>
    <w:rsid w:val="00092E8D"/>
    <w:rsid w:val="00093B82"/>
    <w:rsid w:val="0009466C"/>
    <w:rsid w:val="00094BE5"/>
    <w:rsid w:val="00095048"/>
    <w:rsid w:val="00096056"/>
    <w:rsid w:val="000966D1"/>
    <w:rsid w:val="00096A2E"/>
    <w:rsid w:val="00096C4A"/>
    <w:rsid w:val="00097089"/>
    <w:rsid w:val="0009746A"/>
    <w:rsid w:val="00097679"/>
    <w:rsid w:val="00097DA9"/>
    <w:rsid w:val="00097FDA"/>
    <w:rsid w:val="000A089B"/>
    <w:rsid w:val="000A0FEC"/>
    <w:rsid w:val="000A10AC"/>
    <w:rsid w:val="000A15A6"/>
    <w:rsid w:val="000A1693"/>
    <w:rsid w:val="000A1D61"/>
    <w:rsid w:val="000A1F87"/>
    <w:rsid w:val="000A2F34"/>
    <w:rsid w:val="000A30BE"/>
    <w:rsid w:val="000A3990"/>
    <w:rsid w:val="000A3E8E"/>
    <w:rsid w:val="000A3F65"/>
    <w:rsid w:val="000A43F7"/>
    <w:rsid w:val="000A456D"/>
    <w:rsid w:val="000A4EF1"/>
    <w:rsid w:val="000A5337"/>
    <w:rsid w:val="000A586A"/>
    <w:rsid w:val="000A5BCB"/>
    <w:rsid w:val="000A5DD9"/>
    <w:rsid w:val="000A6F3D"/>
    <w:rsid w:val="000A770C"/>
    <w:rsid w:val="000B0C7D"/>
    <w:rsid w:val="000B10D6"/>
    <w:rsid w:val="000B12F7"/>
    <w:rsid w:val="000B17D1"/>
    <w:rsid w:val="000B1BCD"/>
    <w:rsid w:val="000B2421"/>
    <w:rsid w:val="000B2849"/>
    <w:rsid w:val="000B3437"/>
    <w:rsid w:val="000B3460"/>
    <w:rsid w:val="000B3E25"/>
    <w:rsid w:val="000B4060"/>
    <w:rsid w:val="000B438F"/>
    <w:rsid w:val="000B4E8B"/>
    <w:rsid w:val="000B5148"/>
    <w:rsid w:val="000B5903"/>
    <w:rsid w:val="000B5C0A"/>
    <w:rsid w:val="000B6514"/>
    <w:rsid w:val="000B6AF8"/>
    <w:rsid w:val="000B6F7F"/>
    <w:rsid w:val="000B70E5"/>
    <w:rsid w:val="000B7DA1"/>
    <w:rsid w:val="000C02DA"/>
    <w:rsid w:val="000C185C"/>
    <w:rsid w:val="000C38CF"/>
    <w:rsid w:val="000C38D7"/>
    <w:rsid w:val="000C3931"/>
    <w:rsid w:val="000C43E8"/>
    <w:rsid w:val="000C57AE"/>
    <w:rsid w:val="000C663C"/>
    <w:rsid w:val="000C6804"/>
    <w:rsid w:val="000C6A71"/>
    <w:rsid w:val="000C6B7F"/>
    <w:rsid w:val="000D0A7B"/>
    <w:rsid w:val="000D0D7E"/>
    <w:rsid w:val="000D117A"/>
    <w:rsid w:val="000D1A53"/>
    <w:rsid w:val="000D1E82"/>
    <w:rsid w:val="000D1EA5"/>
    <w:rsid w:val="000D2CC4"/>
    <w:rsid w:val="000D2E0E"/>
    <w:rsid w:val="000D2E22"/>
    <w:rsid w:val="000D37C2"/>
    <w:rsid w:val="000D396F"/>
    <w:rsid w:val="000D41A6"/>
    <w:rsid w:val="000D4962"/>
    <w:rsid w:val="000D4C64"/>
    <w:rsid w:val="000D54A4"/>
    <w:rsid w:val="000D5F0B"/>
    <w:rsid w:val="000D66FD"/>
    <w:rsid w:val="000D7065"/>
    <w:rsid w:val="000D7377"/>
    <w:rsid w:val="000D7E2C"/>
    <w:rsid w:val="000E052F"/>
    <w:rsid w:val="000E17A7"/>
    <w:rsid w:val="000E28B7"/>
    <w:rsid w:val="000E3B77"/>
    <w:rsid w:val="000E44D2"/>
    <w:rsid w:val="000E48D6"/>
    <w:rsid w:val="000E4C23"/>
    <w:rsid w:val="000E5D6A"/>
    <w:rsid w:val="000E6491"/>
    <w:rsid w:val="000E6903"/>
    <w:rsid w:val="000F0088"/>
    <w:rsid w:val="000F07C4"/>
    <w:rsid w:val="000F0915"/>
    <w:rsid w:val="000F0E15"/>
    <w:rsid w:val="000F20A6"/>
    <w:rsid w:val="000F2D22"/>
    <w:rsid w:val="000F33DE"/>
    <w:rsid w:val="000F438A"/>
    <w:rsid w:val="000F449B"/>
    <w:rsid w:val="000F475F"/>
    <w:rsid w:val="000F4A33"/>
    <w:rsid w:val="000F517F"/>
    <w:rsid w:val="000F60DF"/>
    <w:rsid w:val="000F6475"/>
    <w:rsid w:val="000F6D85"/>
    <w:rsid w:val="000F6EF6"/>
    <w:rsid w:val="000F6F61"/>
    <w:rsid w:val="000F7082"/>
    <w:rsid w:val="000F7CDD"/>
    <w:rsid w:val="000F7EA1"/>
    <w:rsid w:val="00100902"/>
    <w:rsid w:val="00100972"/>
    <w:rsid w:val="001013E6"/>
    <w:rsid w:val="00101CF7"/>
    <w:rsid w:val="00102462"/>
    <w:rsid w:val="00102495"/>
    <w:rsid w:val="001028C9"/>
    <w:rsid w:val="00102A35"/>
    <w:rsid w:val="00102AF4"/>
    <w:rsid w:val="00102BB4"/>
    <w:rsid w:val="00102EC5"/>
    <w:rsid w:val="00102FF6"/>
    <w:rsid w:val="00103657"/>
    <w:rsid w:val="00105221"/>
    <w:rsid w:val="00105354"/>
    <w:rsid w:val="00105DF6"/>
    <w:rsid w:val="00107226"/>
    <w:rsid w:val="00107B3F"/>
    <w:rsid w:val="00110632"/>
    <w:rsid w:val="001110BA"/>
    <w:rsid w:val="001114E3"/>
    <w:rsid w:val="00111F33"/>
    <w:rsid w:val="001123DD"/>
    <w:rsid w:val="001128F7"/>
    <w:rsid w:val="00113170"/>
    <w:rsid w:val="0011376F"/>
    <w:rsid w:val="00113952"/>
    <w:rsid w:val="00113BC2"/>
    <w:rsid w:val="00114690"/>
    <w:rsid w:val="0011492F"/>
    <w:rsid w:val="00114BA8"/>
    <w:rsid w:val="0011500D"/>
    <w:rsid w:val="00116694"/>
    <w:rsid w:val="00116B7D"/>
    <w:rsid w:val="00116C23"/>
    <w:rsid w:val="00116EAF"/>
    <w:rsid w:val="00117035"/>
    <w:rsid w:val="001173F3"/>
    <w:rsid w:val="00117F2B"/>
    <w:rsid w:val="00120250"/>
    <w:rsid w:val="00120534"/>
    <w:rsid w:val="00121463"/>
    <w:rsid w:val="00122091"/>
    <w:rsid w:val="00122585"/>
    <w:rsid w:val="001226B6"/>
    <w:rsid w:val="00122F5C"/>
    <w:rsid w:val="001232D4"/>
    <w:rsid w:val="001232F7"/>
    <w:rsid w:val="00124001"/>
    <w:rsid w:val="0012418C"/>
    <w:rsid w:val="00124D5C"/>
    <w:rsid w:val="0012536E"/>
    <w:rsid w:val="0012537A"/>
    <w:rsid w:val="00125C5E"/>
    <w:rsid w:val="001260DC"/>
    <w:rsid w:val="0012639C"/>
    <w:rsid w:val="00126827"/>
    <w:rsid w:val="001268A5"/>
    <w:rsid w:val="00127663"/>
    <w:rsid w:val="0013010C"/>
    <w:rsid w:val="0013071C"/>
    <w:rsid w:val="001310B5"/>
    <w:rsid w:val="00131221"/>
    <w:rsid w:val="001338E6"/>
    <w:rsid w:val="00133E78"/>
    <w:rsid w:val="0013425A"/>
    <w:rsid w:val="001345BE"/>
    <w:rsid w:val="00134F0B"/>
    <w:rsid w:val="00134F3F"/>
    <w:rsid w:val="00135110"/>
    <w:rsid w:val="001351BA"/>
    <w:rsid w:val="001360D2"/>
    <w:rsid w:val="0013664C"/>
    <w:rsid w:val="001376CD"/>
    <w:rsid w:val="001379F8"/>
    <w:rsid w:val="00137E4F"/>
    <w:rsid w:val="00140012"/>
    <w:rsid w:val="00140747"/>
    <w:rsid w:val="001409DC"/>
    <w:rsid w:val="00140A13"/>
    <w:rsid w:val="00140D14"/>
    <w:rsid w:val="00141007"/>
    <w:rsid w:val="001414E5"/>
    <w:rsid w:val="00141E5B"/>
    <w:rsid w:val="00141F21"/>
    <w:rsid w:val="00142259"/>
    <w:rsid w:val="001424E0"/>
    <w:rsid w:val="00142CF9"/>
    <w:rsid w:val="0014330E"/>
    <w:rsid w:val="00143329"/>
    <w:rsid w:val="0014428C"/>
    <w:rsid w:val="00144373"/>
    <w:rsid w:val="00144B60"/>
    <w:rsid w:val="00145562"/>
    <w:rsid w:val="00145CFD"/>
    <w:rsid w:val="00145E40"/>
    <w:rsid w:val="00146EFB"/>
    <w:rsid w:val="001474DF"/>
    <w:rsid w:val="00147E5F"/>
    <w:rsid w:val="0015094D"/>
    <w:rsid w:val="00150C25"/>
    <w:rsid w:val="00150C9B"/>
    <w:rsid w:val="00150E10"/>
    <w:rsid w:val="00151D8E"/>
    <w:rsid w:val="00152516"/>
    <w:rsid w:val="00152902"/>
    <w:rsid w:val="00152E63"/>
    <w:rsid w:val="00152FD5"/>
    <w:rsid w:val="00152FF5"/>
    <w:rsid w:val="00153381"/>
    <w:rsid w:val="001548E0"/>
    <w:rsid w:val="00156972"/>
    <w:rsid w:val="00157729"/>
    <w:rsid w:val="001578E1"/>
    <w:rsid w:val="001603BB"/>
    <w:rsid w:val="001607FB"/>
    <w:rsid w:val="00160E54"/>
    <w:rsid w:val="00160FA5"/>
    <w:rsid w:val="00161B37"/>
    <w:rsid w:val="00162507"/>
    <w:rsid w:val="00162846"/>
    <w:rsid w:val="0016320D"/>
    <w:rsid w:val="00163928"/>
    <w:rsid w:val="0016487B"/>
    <w:rsid w:val="001649E2"/>
    <w:rsid w:val="00164B20"/>
    <w:rsid w:val="00164C7C"/>
    <w:rsid w:val="001654E5"/>
    <w:rsid w:val="001662FB"/>
    <w:rsid w:val="00166C5E"/>
    <w:rsid w:val="00167A2B"/>
    <w:rsid w:val="0017050C"/>
    <w:rsid w:val="00171BA9"/>
    <w:rsid w:val="00172265"/>
    <w:rsid w:val="001723B3"/>
    <w:rsid w:val="0017249B"/>
    <w:rsid w:val="00172F6A"/>
    <w:rsid w:val="00173026"/>
    <w:rsid w:val="001733DE"/>
    <w:rsid w:val="0017383F"/>
    <w:rsid w:val="00174CAE"/>
    <w:rsid w:val="001751A3"/>
    <w:rsid w:val="00175231"/>
    <w:rsid w:val="0017548C"/>
    <w:rsid w:val="00175D51"/>
    <w:rsid w:val="00175DDE"/>
    <w:rsid w:val="00176241"/>
    <w:rsid w:val="00176E51"/>
    <w:rsid w:val="00176EE5"/>
    <w:rsid w:val="0017770A"/>
    <w:rsid w:val="00177EAD"/>
    <w:rsid w:val="001804F4"/>
    <w:rsid w:val="00180AAE"/>
    <w:rsid w:val="0018107B"/>
    <w:rsid w:val="00181EA2"/>
    <w:rsid w:val="00181FE2"/>
    <w:rsid w:val="00182A30"/>
    <w:rsid w:val="00182C53"/>
    <w:rsid w:val="0018372E"/>
    <w:rsid w:val="00183CF8"/>
    <w:rsid w:val="00184343"/>
    <w:rsid w:val="0018492A"/>
    <w:rsid w:val="00184A0C"/>
    <w:rsid w:val="001862A2"/>
    <w:rsid w:val="0018696D"/>
    <w:rsid w:val="00186B2F"/>
    <w:rsid w:val="00187EEB"/>
    <w:rsid w:val="0019130C"/>
    <w:rsid w:val="00191AD3"/>
    <w:rsid w:val="0019216C"/>
    <w:rsid w:val="00192408"/>
    <w:rsid w:val="001931A7"/>
    <w:rsid w:val="00193E72"/>
    <w:rsid w:val="001944C1"/>
    <w:rsid w:val="00194538"/>
    <w:rsid w:val="00194F20"/>
    <w:rsid w:val="001959F8"/>
    <w:rsid w:val="00195BD7"/>
    <w:rsid w:val="00195C70"/>
    <w:rsid w:val="00196064"/>
    <w:rsid w:val="00196CF6"/>
    <w:rsid w:val="0019754E"/>
    <w:rsid w:val="001979B2"/>
    <w:rsid w:val="001A0804"/>
    <w:rsid w:val="001A088E"/>
    <w:rsid w:val="001A0ABC"/>
    <w:rsid w:val="001A19E9"/>
    <w:rsid w:val="001A2F5E"/>
    <w:rsid w:val="001A36C7"/>
    <w:rsid w:val="001A37F9"/>
    <w:rsid w:val="001A38BC"/>
    <w:rsid w:val="001A39A2"/>
    <w:rsid w:val="001A4179"/>
    <w:rsid w:val="001A4432"/>
    <w:rsid w:val="001A4810"/>
    <w:rsid w:val="001A5854"/>
    <w:rsid w:val="001A5B2F"/>
    <w:rsid w:val="001A680C"/>
    <w:rsid w:val="001A6A49"/>
    <w:rsid w:val="001A6D26"/>
    <w:rsid w:val="001A7305"/>
    <w:rsid w:val="001A7401"/>
    <w:rsid w:val="001B011F"/>
    <w:rsid w:val="001B0140"/>
    <w:rsid w:val="001B04EB"/>
    <w:rsid w:val="001B0ED6"/>
    <w:rsid w:val="001B12B0"/>
    <w:rsid w:val="001B13E9"/>
    <w:rsid w:val="001B1B77"/>
    <w:rsid w:val="001B21C6"/>
    <w:rsid w:val="001B22F6"/>
    <w:rsid w:val="001B3639"/>
    <w:rsid w:val="001B36B4"/>
    <w:rsid w:val="001B403E"/>
    <w:rsid w:val="001B4254"/>
    <w:rsid w:val="001B446F"/>
    <w:rsid w:val="001B4690"/>
    <w:rsid w:val="001B473A"/>
    <w:rsid w:val="001B4A4C"/>
    <w:rsid w:val="001B4EFB"/>
    <w:rsid w:val="001B5261"/>
    <w:rsid w:val="001B5816"/>
    <w:rsid w:val="001B58C0"/>
    <w:rsid w:val="001B5AD3"/>
    <w:rsid w:val="001B5C47"/>
    <w:rsid w:val="001B5F8F"/>
    <w:rsid w:val="001B66B7"/>
    <w:rsid w:val="001B69D9"/>
    <w:rsid w:val="001B6BAD"/>
    <w:rsid w:val="001B6C2E"/>
    <w:rsid w:val="001B77D5"/>
    <w:rsid w:val="001B79E3"/>
    <w:rsid w:val="001B7AA0"/>
    <w:rsid w:val="001B7BC3"/>
    <w:rsid w:val="001C0108"/>
    <w:rsid w:val="001C142D"/>
    <w:rsid w:val="001C2420"/>
    <w:rsid w:val="001C2B67"/>
    <w:rsid w:val="001C317E"/>
    <w:rsid w:val="001C3F0F"/>
    <w:rsid w:val="001C4343"/>
    <w:rsid w:val="001C48B6"/>
    <w:rsid w:val="001C4D06"/>
    <w:rsid w:val="001C522F"/>
    <w:rsid w:val="001C55C0"/>
    <w:rsid w:val="001C601F"/>
    <w:rsid w:val="001C75C8"/>
    <w:rsid w:val="001C7F55"/>
    <w:rsid w:val="001D00B2"/>
    <w:rsid w:val="001D190F"/>
    <w:rsid w:val="001D2246"/>
    <w:rsid w:val="001D2668"/>
    <w:rsid w:val="001D2FE2"/>
    <w:rsid w:val="001D32A2"/>
    <w:rsid w:val="001D5145"/>
    <w:rsid w:val="001D5D60"/>
    <w:rsid w:val="001D5DD1"/>
    <w:rsid w:val="001D6417"/>
    <w:rsid w:val="001D6DEF"/>
    <w:rsid w:val="001D74BC"/>
    <w:rsid w:val="001D7D24"/>
    <w:rsid w:val="001D7E58"/>
    <w:rsid w:val="001E0A67"/>
    <w:rsid w:val="001E160B"/>
    <w:rsid w:val="001E193F"/>
    <w:rsid w:val="001E40C8"/>
    <w:rsid w:val="001E468F"/>
    <w:rsid w:val="001E47A5"/>
    <w:rsid w:val="001E4ACB"/>
    <w:rsid w:val="001E5749"/>
    <w:rsid w:val="001E5E58"/>
    <w:rsid w:val="001E6CA5"/>
    <w:rsid w:val="001E6E05"/>
    <w:rsid w:val="001E773F"/>
    <w:rsid w:val="001F002A"/>
    <w:rsid w:val="001F07A4"/>
    <w:rsid w:val="001F1066"/>
    <w:rsid w:val="001F11C2"/>
    <w:rsid w:val="001F138B"/>
    <w:rsid w:val="001F1C18"/>
    <w:rsid w:val="001F1FAC"/>
    <w:rsid w:val="001F2B98"/>
    <w:rsid w:val="001F2EB7"/>
    <w:rsid w:val="001F2FB7"/>
    <w:rsid w:val="001F340C"/>
    <w:rsid w:val="001F3510"/>
    <w:rsid w:val="001F3A69"/>
    <w:rsid w:val="001F3C1C"/>
    <w:rsid w:val="001F3F00"/>
    <w:rsid w:val="001F4B32"/>
    <w:rsid w:val="001F4CC5"/>
    <w:rsid w:val="001F5E1D"/>
    <w:rsid w:val="001F68C1"/>
    <w:rsid w:val="001F6DF2"/>
    <w:rsid w:val="001F7021"/>
    <w:rsid w:val="00201748"/>
    <w:rsid w:val="00201838"/>
    <w:rsid w:val="00202273"/>
    <w:rsid w:val="002025CF"/>
    <w:rsid w:val="00202AE5"/>
    <w:rsid w:val="00202D5C"/>
    <w:rsid w:val="00204701"/>
    <w:rsid w:val="00204B95"/>
    <w:rsid w:val="002052D0"/>
    <w:rsid w:val="002055C9"/>
    <w:rsid w:val="0020594F"/>
    <w:rsid w:val="00205EA2"/>
    <w:rsid w:val="002062DD"/>
    <w:rsid w:val="00206CE4"/>
    <w:rsid w:val="00210FBB"/>
    <w:rsid w:val="00212014"/>
    <w:rsid w:val="002120B7"/>
    <w:rsid w:val="0021258B"/>
    <w:rsid w:val="00212F33"/>
    <w:rsid w:val="002136ED"/>
    <w:rsid w:val="002143C1"/>
    <w:rsid w:val="00214819"/>
    <w:rsid w:val="00214B0E"/>
    <w:rsid w:val="002159AE"/>
    <w:rsid w:val="00216C4B"/>
    <w:rsid w:val="00217FA7"/>
    <w:rsid w:val="002200FB"/>
    <w:rsid w:val="00221233"/>
    <w:rsid w:val="00221709"/>
    <w:rsid w:val="00221754"/>
    <w:rsid w:val="00221D2C"/>
    <w:rsid w:val="00221E05"/>
    <w:rsid w:val="00222AD0"/>
    <w:rsid w:val="002231EC"/>
    <w:rsid w:val="00223440"/>
    <w:rsid w:val="00223AB9"/>
    <w:rsid w:val="00223FBC"/>
    <w:rsid w:val="00224272"/>
    <w:rsid w:val="002244D8"/>
    <w:rsid w:val="0022472C"/>
    <w:rsid w:val="00224F5E"/>
    <w:rsid w:val="002250C2"/>
    <w:rsid w:val="002251C2"/>
    <w:rsid w:val="00225ABE"/>
    <w:rsid w:val="002260C9"/>
    <w:rsid w:val="00226201"/>
    <w:rsid w:val="00226FA9"/>
    <w:rsid w:val="00227265"/>
    <w:rsid w:val="00227382"/>
    <w:rsid w:val="0022779F"/>
    <w:rsid w:val="00227C3D"/>
    <w:rsid w:val="00227C4B"/>
    <w:rsid w:val="00230269"/>
    <w:rsid w:val="00230505"/>
    <w:rsid w:val="00230B9E"/>
    <w:rsid w:val="00230D60"/>
    <w:rsid w:val="002310C7"/>
    <w:rsid w:val="00231BC4"/>
    <w:rsid w:val="00232050"/>
    <w:rsid w:val="002336E6"/>
    <w:rsid w:val="00234460"/>
    <w:rsid w:val="00234A58"/>
    <w:rsid w:val="00234D8A"/>
    <w:rsid w:val="00234ED2"/>
    <w:rsid w:val="0023535D"/>
    <w:rsid w:val="002356A4"/>
    <w:rsid w:val="002362E8"/>
    <w:rsid w:val="00237180"/>
    <w:rsid w:val="0023783B"/>
    <w:rsid w:val="00240150"/>
    <w:rsid w:val="002405AE"/>
    <w:rsid w:val="002407B5"/>
    <w:rsid w:val="00240A8F"/>
    <w:rsid w:val="00241452"/>
    <w:rsid w:val="002422F9"/>
    <w:rsid w:val="00242DFB"/>
    <w:rsid w:val="00242EA1"/>
    <w:rsid w:val="00243577"/>
    <w:rsid w:val="00243F61"/>
    <w:rsid w:val="00244341"/>
    <w:rsid w:val="002444D9"/>
    <w:rsid w:val="00245D84"/>
    <w:rsid w:val="0024642C"/>
    <w:rsid w:val="00246CBA"/>
    <w:rsid w:val="00247548"/>
    <w:rsid w:val="00247674"/>
    <w:rsid w:val="002477B8"/>
    <w:rsid w:val="00247D9F"/>
    <w:rsid w:val="0025008C"/>
    <w:rsid w:val="002504D3"/>
    <w:rsid w:val="00250CCB"/>
    <w:rsid w:val="0025103B"/>
    <w:rsid w:val="002510A5"/>
    <w:rsid w:val="002514A3"/>
    <w:rsid w:val="00251746"/>
    <w:rsid w:val="00251CB2"/>
    <w:rsid w:val="00252004"/>
    <w:rsid w:val="00252396"/>
    <w:rsid w:val="00253279"/>
    <w:rsid w:val="00253626"/>
    <w:rsid w:val="002539BB"/>
    <w:rsid w:val="00254175"/>
    <w:rsid w:val="00254251"/>
    <w:rsid w:val="00254295"/>
    <w:rsid w:val="0025457C"/>
    <w:rsid w:val="0025483F"/>
    <w:rsid w:val="00254A6F"/>
    <w:rsid w:val="002550EC"/>
    <w:rsid w:val="002555ED"/>
    <w:rsid w:val="00256473"/>
    <w:rsid w:val="00256851"/>
    <w:rsid w:val="00257148"/>
    <w:rsid w:val="00257ABE"/>
    <w:rsid w:val="00260EC7"/>
    <w:rsid w:val="00261CBC"/>
    <w:rsid w:val="00261F47"/>
    <w:rsid w:val="00261FEB"/>
    <w:rsid w:val="0026255D"/>
    <w:rsid w:val="00262883"/>
    <w:rsid w:val="00262E2B"/>
    <w:rsid w:val="00263027"/>
    <w:rsid w:val="002646E1"/>
    <w:rsid w:val="00265F84"/>
    <w:rsid w:val="00266011"/>
    <w:rsid w:val="0026641A"/>
    <w:rsid w:val="0026739E"/>
    <w:rsid w:val="002678CC"/>
    <w:rsid w:val="002712D9"/>
    <w:rsid w:val="00271FDE"/>
    <w:rsid w:val="00272369"/>
    <w:rsid w:val="00273237"/>
    <w:rsid w:val="00273D72"/>
    <w:rsid w:val="0027424F"/>
    <w:rsid w:val="002742A2"/>
    <w:rsid w:val="0027441C"/>
    <w:rsid w:val="00274DC4"/>
    <w:rsid w:val="002754BD"/>
    <w:rsid w:val="00275A90"/>
    <w:rsid w:val="002760ED"/>
    <w:rsid w:val="00276C28"/>
    <w:rsid w:val="00276DD0"/>
    <w:rsid w:val="0027704D"/>
    <w:rsid w:val="00277374"/>
    <w:rsid w:val="0027740C"/>
    <w:rsid w:val="0027760D"/>
    <w:rsid w:val="00277C1A"/>
    <w:rsid w:val="0028040A"/>
    <w:rsid w:val="00280E31"/>
    <w:rsid w:val="00280ED7"/>
    <w:rsid w:val="00281C0E"/>
    <w:rsid w:val="00281C62"/>
    <w:rsid w:val="00281D2B"/>
    <w:rsid w:val="00281DF8"/>
    <w:rsid w:val="00282093"/>
    <w:rsid w:val="00282CB2"/>
    <w:rsid w:val="00282E49"/>
    <w:rsid w:val="00282ED4"/>
    <w:rsid w:val="00283242"/>
    <w:rsid w:val="00283507"/>
    <w:rsid w:val="0028369F"/>
    <w:rsid w:val="00284B9A"/>
    <w:rsid w:val="002855F8"/>
    <w:rsid w:val="0028577B"/>
    <w:rsid w:val="00286582"/>
    <w:rsid w:val="00287719"/>
    <w:rsid w:val="002916C7"/>
    <w:rsid w:val="00292829"/>
    <w:rsid w:val="00292B4C"/>
    <w:rsid w:val="002937C1"/>
    <w:rsid w:val="00294002"/>
    <w:rsid w:val="00296938"/>
    <w:rsid w:val="00296F6F"/>
    <w:rsid w:val="0029707B"/>
    <w:rsid w:val="0029792F"/>
    <w:rsid w:val="00297A90"/>
    <w:rsid w:val="002A0783"/>
    <w:rsid w:val="002A3570"/>
    <w:rsid w:val="002A4608"/>
    <w:rsid w:val="002A473B"/>
    <w:rsid w:val="002A4A1F"/>
    <w:rsid w:val="002A4EFD"/>
    <w:rsid w:val="002A522B"/>
    <w:rsid w:val="002A578D"/>
    <w:rsid w:val="002A5878"/>
    <w:rsid w:val="002A633C"/>
    <w:rsid w:val="002A6AF3"/>
    <w:rsid w:val="002A7C4B"/>
    <w:rsid w:val="002B0645"/>
    <w:rsid w:val="002B0D6E"/>
    <w:rsid w:val="002B19D7"/>
    <w:rsid w:val="002B1EA3"/>
    <w:rsid w:val="002B20C4"/>
    <w:rsid w:val="002B2876"/>
    <w:rsid w:val="002B30CA"/>
    <w:rsid w:val="002B3340"/>
    <w:rsid w:val="002B33C1"/>
    <w:rsid w:val="002B3845"/>
    <w:rsid w:val="002B3873"/>
    <w:rsid w:val="002B4737"/>
    <w:rsid w:val="002B4CD7"/>
    <w:rsid w:val="002B5359"/>
    <w:rsid w:val="002B5D5C"/>
    <w:rsid w:val="002B5FD1"/>
    <w:rsid w:val="002B622F"/>
    <w:rsid w:val="002B70B5"/>
    <w:rsid w:val="002B7409"/>
    <w:rsid w:val="002B7DC8"/>
    <w:rsid w:val="002C08A4"/>
    <w:rsid w:val="002C0BBC"/>
    <w:rsid w:val="002C16D6"/>
    <w:rsid w:val="002C1C0E"/>
    <w:rsid w:val="002C1FE0"/>
    <w:rsid w:val="002C20B1"/>
    <w:rsid w:val="002C2F63"/>
    <w:rsid w:val="002C39AD"/>
    <w:rsid w:val="002C39B3"/>
    <w:rsid w:val="002C3BCA"/>
    <w:rsid w:val="002C3D48"/>
    <w:rsid w:val="002C423B"/>
    <w:rsid w:val="002C611F"/>
    <w:rsid w:val="002C7230"/>
    <w:rsid w:val="002C7628"/>
    <w:rsid w:val="002C7717"/>
    <w:rsid w:val="002D0308"/>
    <w:rsid w:val="002D3BC0"/>
    <w:rsid w:val="002D47DD"/>
    <w:rsid w:val="002D5D53"/>
    <w:rsid w:val="002D5EDE"/>
    <w:rsid w:val="002D6338"/>
    <w:rsid w:val="002D68C5"/>
    <w:rsid w:val="002D7266"/>
    <w:rsid w:val="002D779B"/>
    <w:rsid w:val="002E043D"/>
    <w:rsid w:val="002E04D4"/>
    <w:rsid w:val="002E0B82"/>
    <w:rsid w:val="002E1519"/>
    <w:rsid w:val="002E27D3"/>
    <w:rsid w:val="002E2856"/>
    <w:rsid w:val="002E2E5A"/>
    <w:rsid w:val="002E2ECC"/>
    <w:rsid w:val="002E4063"/>
    <w:rsid w:val="002E46A0"/>
    <w:rsid w:val="002E5BC6"/>
    <w:rsid w:val="002E5F85"/>
    <w:rsid w:val="002E70EF"/>
    <w:rsid w:val="002E7250"/>
    <w:rsid w:val="002E73D7"/>
    <w:rsid w:val="002E7454"/>
    <w:rsid w:val="002E7571"/>
    <w:rsid w:val="002F0070"/>
    <w:rsid w:val="002F0324"/>
    <w:rsid w:val="002F03DE"/>
    <w:rsid w:val="002F120D"/>
    <w:rsid w:val="002F13B1"/>
    <w:rsid w:val="002F13F9"/>
    <w:rsid w:val="002F1A4E"/>
    <w:rsid w:val="002F1BC6"/>
    <w:rsid w:val="002F1E76"/>
    <w:rsid w:val="002F211D"/>
    <w:rsid w:val="002F217C"/>
    <w:rsid w:val="002F234B"/>
    <w:rsid w:val="002F2F18"/>
    <w:rsid w:val="002F406F"/>
    <w:rsid w:val="002F4D17"/>
    <w:rsid w:val="002F5407"/>
    <w:rsid w:val="002F621D"/>
    <w:rsid w:val="002F6D9F"/>
    <w:rsid w:val="002F70F7"/>
    <w:rsid w:val="002F7472"/>
    <w:rsid w:val="002F7946"/>
    <w:rsid w:val="002F7E50"/>
    <w:rsid w:val="0030063F"/>
    <w:rsid w:val="00301C50"/>
    <w:rsid w:val="003026D5"/>
    <w:rsid w:val="00302F14"/>
    <w:rsid w:val="00302F58"/>
    <w:rsid w:val="003031BF"/>
    <w:rsid w:val="00303B9A"/>
    <w:rsid w:val="00303CFC"/>
    <w:rsid w:val="003046DA"/>
    <w:rsid w:val="00304F47"/>
    <w:rsid w:val="00306717"/>
    <w:rsid w:val="003068CE"/>
    <w:rsid w:val="00307227"/>
    <w:rsid w:val="00307A06"/>
    <w:rsid w:val="00310063"/>
    <w:rsid w:val="0031094F"/>
    <w:rsid w:val="00310CFB"/>
    <w:rsid w:val="00310E94"/>
    <w:rsid w:val="00311503"/>
    <w:rsid w:val="00311908"/>
    <w:rsid w:val="00311F8C"/>
    <w:rsid w:val="00313A7F"/>
    <w:rsid w:val="00314452"/>
    <w:rsid w:val="00314609"/>
    <w:rsid w:val="0031489B"/>
    <w:rsid w:val="00314A4A"/>
    <w:rsid w:val="00314A71"/>
    <w:rsid w:val="00315387"/>
    <w:rsid w:val="00316013"/>
    <w:rsid w:val="0031625B"/>
    <w:rsid w:val="003164C5"/>
    <w:rsid w:val="00316725"/>
    <w:rsid w:val="00316731"/>
    <w:rsid w:val="00316B21"/>
    <w:rsid w:val="00317912"/>
    <w:rsid w:val="00317AC2"/>
    <w:rsid w:val="00317D9F"/>
    <w:rsid w:val="00317F7B"/>
    <w:rsid w:val="00320A04"/>
    <w:rsid w:val="0032125B"/>
    <w:rsid w:val="00321333"/>
    <w:rsid w:val="00321374"/>
    <w:rsid w:val="00321791"/>
    <w:rsid w:val="00321B3E"/>
    <w:rsid w:val="00322CB0"/>
    <w:rsid w:val="00322FB6"/>
    <w:rsid w:val="003231F9"/>
    <w:rsid w:val="0032325B"/>
    <w:rsid w:val="00323E19"/>
    <w:rsid w:val="00324C23"/>
    <w:rsid w:val="00324E38"/>
    <w:rsid w:val="0032537B"/>
    <w:rsid w:val="0032642A"/>
    <w:rsid w:val="0032649C"/>
    <w:rsid w:val="00326EEE"/>
    <w:rsid w:val="00327314"/>
    <w:rsid w:val="00327A46"/>
    <w:rsid w:val="00327A7D"/>
    <w:rsid w:val="00330481"/>
    <w:rsid w:val="0033058B"/>
    <w:rsid w:val="00330713"/>
    <w:rsid w:val="00330EBA"/>
    <w:rsid w:val="003312C2"/>
    <w:rsid w:val="00331497"/>
    <w:rsid w:val="00331682"/>
    <w:rsid w:val="00332952"/>
    <w:rsid w:val="00332CFE"/>
    <w:rsid w:val="00332EC5"/>
    <w:rsid w:val="003331FF"/>
    <w:rsid w:val="003338EC"/>
    <w:rsid w:val="00333A18"/>
    <w:rsid w:val="00334D49"/>
    <w:rsid w:val="003372AE"/>
    <w:rsid w:val="00337797"/>
    <w:rsid w:val="00340790"/>
    <w:rsid w:val="00340CE0"/>
    <w:rsid w:val="00341E4C"/>
    <w:rsid w:val="00342381"/>
    <w:rsid w:val="003425F0"/>
    <w:rsid w:val="00342DBB"/>
    <w:rsid w:val="00342F48"/>
    <w:rsid w:val="003431F5"/>
    <w:rsid w:val="003438F3"/>
    <w:rsid w:val="003439F3"/>
    <w:rsid w:val="00344064"/>
    <w:rsid w:val="003444C6"/>
    <w:rsid w:val="0034579D"/>
    <w:rsid w:val="00345FD1"/>
    <w:rsid w:val="003463A2"/>
    <w:rsid w:val="003463F4"/>
    <w:rsid w:val="00346869"/>
    <w:rsid w:val="003470AF"/>
    <w:rsid w:val="0034717B"/>
    <w:rsid w:val="00347AC2"/>
    <w:rsid w:val="0035006D"/>
    <w:rsid w:val="0035080E"/>
    <w:rsid w:val="00350C7B"/>
    <w:rsid w:val="00350CB8"/>
    <w:rsid w:val="00351076"/>
    <w:rsid w:val="0035112C"/>
    <w:rsid w:val="00351372"/>
    <w:rsid w:val="003516B5"/>
    <w:rsid w:val="00351968"/>
    <w:rsid w:val="00351A48"/>
    <w:rsid w:val="00351B72"/>
    <w:rsid w:val="00351F0E"/>
    <w:rsid w:val="0035252E"/>
    <w:rsid w:val="00352F56"/>
    <w:rsid w:val="00352FC1"/>
    <w:rsid w:val="00353E58"/>
    <w:rsid w:val="00354286"/>
    <w:rsid w:val="003549C1"/>
    <w:rsid w:val="00354D23"/>
    <w:rsid w:val="00356303"/>
    <w:rsid w:val="0035669A"/>
    <w:rsid w:val="003568C7"/>
    <w:rsid w:val="00356B70"/>
    <w:rsid w:val="00356E2F"/>
    <w:rsid w:val="003572C8"/>
    <w:rsid w:val="003576CA"/>
    <w:rsid w:val="0035775D"/>
    <w:rsid w:val="003577D2"/>
    <w:rsid w:val="003577D5"/>
    <w:rsid w:val="00357AAB"/>
    <w:rsid w:val="00357DFC"/>
    <w:rsid w:val="003600A6"/>
    <w:rsid w:val="00360448"/>
    <w:rsid w:val="00360D3A"/>
    <w:rsid w:val="00361474"/>
    <w:rsid w:val="003615AD"/>
    <w:rsid w:val="003618CE"/>
    <w:rsid w:val="003618F7"/>
    <w:rsid w:val="003619BB"/>
    <w:rsid w:val="0036296C"/>
    <w:rsid w:val="0036599F"/>
    <w:rsid w:val="00365B8D"/>
    <w:rsid w:val="00365DE5"/>
    <w:rsid w:val="00366D01"/>
    <w:rsid w:val="003676A8"/>
    <w:rsid w:val="00367CE5"/>
    <w:rsid w:val="003701A2"/>
    <w:rsid w:val="00370300"/>
    <w:rsid w:val="00370B72"/>
    <w:rsid w:val="003711F3"/>
    <w:rsid w:val="0037179B"/>
    <w:rsid w:val="00372919"/>
    <w:rsid w:val="00373311"/>
    <w:rsid w:val="00373912"/>
    <w:rsid w:val="00373FC0"/>
    <w:rsid w:val="003743FB"/>
    <w:rsid w:val="00375C03"/>
    <w:rsid w:val="00375C13"/>
    <w:rsid w:val="00375F66"/>
    <w:rsid w:val="0037622E"/>
    <w:rsid w:val="0037634C"/>
    <w:rsid w:val="00376353"/>
    <w:rsid w:val="00377482"/>
    <w:rsid w:val="003778C5"/>
    <w:rsid w:val="00377AEC"/>
    <w:rsid w:val="00380BFA"/>
    <w:rsid w:val="00380FC0"/>
    <w:rsid w:val="0038167F"/>
    <w:rsid w:val="00381C1A"/>
    <w:rsid w:val="0038216D"/>
    <w:rsid w:val="00382842"/>
    <w:rsid w:val="00382BB1"/>
    <w:rsid w:val="00382F6E"/>
    <w:rsid w:val="003833F0"/>
    <w:rsid w:val="003834B0"/>
    <w:rsid w:val="0038454E"/>
    <w:rsid w:val="0038464C"/>
    <w:rsid w:val="0038506A"/>
    <w:rsid w:val="0038514F"/>
    <w:rsid w:val="00385162"/>
    <w:rsid w:val="00385448"/>
    <w:rsid w:val="003857A1"/>
    <w:rsid w:val="003857C2"/>
    <w:rsid w:val="00385C65"/>
    <w:rsid w:val="00385FAB"/>
    <w:rsid w:val="00386518"/>
    <w:rsid w:val="0038744C"/>
    <w:rsid w:val="003874DF"/>
    <w:rsid w:val="00387647"/>
    <w:rsid w:val="003916B0"/>
    <w:rsid w:val="00391D17"/>
    <w:rsid w:val="00391DE4"/>
    <w:rsid w:val="0039281B"/>
    <w:rsid w:val="00392EF4"/>
    <w:rsid w:val="00392FC6"/>
    <w:rsid w:val="003933AF"/>
    <w:rsid w:val="00393E3C"/>
    <w:rsid w:val="003941D7"/>
    <w:rsid w:val="0039439B"/>
    <w:rsid w:val="0039445F"/>
    <w:rsid w:val="003945BE"/>
    <w:rsid w:val="0039476F"/>
    <w:rsid w:val="003947F0"/>
    <w:rsid w:val="003956C1"/>
    <w:rsid w:val="00396020"/>
    <w:rsid w:val="003960C5"/>
    <w:rsid w:val="00396240"/>
    <w:rsid w:val="00396A4C"/>
    <w:rsid w:val="00396D98"/>
    <w:rsid w:val="003975A5"/>
    <w:rsid w:val="00397B91"/>
    <w:rsid w:val="003A0A38"/>
    <w:rsid w:val="003A0B5D"/>
    <w:rsid w:val="003A0B8D"/>
    <w:rsid w:val="003A1463"/>
    <w:rsid w:val="003A14D3"/>
    <w:rsid w:val="003A3F7F"/>
    <w:rsid w:val="003A5B9F"/>
    <w:rsid w:val="003A5BCF"/>
    <w:rsid w:val="003A5DFA"/>
    <w:rsid w:val="003A6571"/>
    <w:rsid w:val="003A6C3F"/>
    <w:rsid w:val="003A6E4B"/>
    <w:rsid w:val="003A713D"/>
    <w:rsid w:val="003A7316"/>
    <w:rsid w:val="003B0423"/>
    <w:rsid w:val="003B0665"/>
    <w:rsid w:val="003B07E6"/>
    <w:rsid w:val="003B115E"/>
    <w:rsid w:val="003B1BA8"/>
    <w:rsid w:val="003B1D5A"/>
    <w:rsid w:val="003B226B"/>
    <w:rsid w:val="003B2DDF"/>
    <w:rsid w:val="003B3BE3"/>
    <w:rsid w:val="003B485C"/>
    <w:rsid w:val="003B5578"/>
    <w:rsid w:val="003B5977"/>
    <w:rsid w:val="003B5A35"/>
    <w:rsid w:val="003B6F9F"/>
    <w:rsid w:val="003B78AB"/>
    <w:rsid w:val="003B799F"/>
    <w:rsid w:val="003B7C83"/>
    <w:rsid w:val="003B7D87"/>
    <w:rsid w:val="003B7FA1"/>
    <w:rsid w:val="003C0F1B"/>
    <w:rsid w:val="003C17B1"/>
    <w:rsid w:val="003C18FC"/>
    <w:rsid w:val="003C270B"/>
    <w:rsid w:val="003C2999"/>
    <w:rsid w:val="003C2D6F"/>
    <w:rsid w:val="003C2DF2"/>
    <w:rsid w:val="003C3A85"/>
    <w:rsid w:val="003C3F25"/>
    <w:rsid w:val="003C4392"/>
    <w:rsid w:val="003C4594"/>
    <w:rsid w:val="003C4C2F"/>
    <w:rsid w:val="003C51DE"/>
    <w:rsid w:val="003C5339"/>
    <w:rsid w:val="003C5CBB"/>
    <w:rsid w:val="003C5E1C"/>
    <w:rsid w:val="003C6322"/>
    <w:rsid w:val="003C6797"/>
    <w:rsid w:val="003C6DD0"/>
    <w:rsid w:val="003C7528"/>
    <w:rsid w:val="003C7810"/>
    <w:rsid w:val="003C7A52"/>
    <w:rsid w:val="003D1441"/>
    <w:rsid w:val="003D1533"/>
    <w:rsid w:val="003D17FD"/>
    <w:rsid w:val="003D306B"/>
    <w:rsid w:val="003D3867"/>
    <w:rsid w:val="003D38CE"/>
    <w:rsid w:val="003D3BB3"/>
    <w:rsid w:val="003D4305"/>
    <w:rsid w:val="003D617B"/>
    <w:rsid w:val="003D6469"/>
    <w:rsid w:val="003D65F6"/>
    <w:rsid w:val="003D6DF7"/>
    <w:rsid w:val="003D6FC3"/>
    <w:rsid w:val="003D73AD"/>
    <w:rsid w:val="003D74E7"/>
    <w:rsid w:val="003E2826"/>
    <w:rsid w:val="003E29A8"/>
    <w:rsid w:val="003E2D5C"/>
    <w:rsid w:val="003E346C"/>
    <w:rsid w:val="003E3C04"/>
    <w:rsid w:val="003E522D"/>
    <w:rsid w:val="003E53D8"/>
    <w:rsid w:val="003E5579"/>
    <w:rsid w:val="003E5A82"/>
    <w:rsid w:val="003E5C9C"/>
    <w:rsid w:val="003E5EA1"/>
    <w:rsid w:val="003E5FF7"/>
    <w:rsid w:val="003E5FFB"/>
    <w:rsid w:val="003E6137"/>
    <w:rsid w:val="003E62AF"/>
    <w:rsid w:val="003E64A9"/>
    <w:rsid w:val="003E695E"/>
    <w:rsid w:val="003E69E1"/>
    <w:rsid w:val="003E6A8B"/>
    <w:rsid w:val="003E6A90"/>
    <w:rsid w:val="003E6B3E"/>
    <w:rsid w:val="003E7ED4"/>
    <w:rsid w:val="003F0D62"/>
    <w:rsid w:val="003F0D95"/>
    <w:rsid w:val="003F1AA1"/>
    <w:rsid w:val="003F1FF5"/>
    <w:rsid w:val="003F2240"/>
    <w:rsid w:val="003F2860"/>
    <w:rsid w:val="003F3249"/>
    <w:rsid w:val="003F4B95"/>
    <w:rsid w:val="003F4CC1"/>
    <w:rsid w:val="003F4E1C"/>
    <w:rsid w:val="003F5188"/>
    <w:rsid w:val="003F5663"/>
    <w:rsid w:val="003F5BBC"/>
    <w:rsid w:val="003F5E2B"/>
    <w:rsid w:val="003F6318"/>
    <w:rsid w:val="003F67AF"/>
    <w:rsid w:val="003F6E1B"/>
    <w:rsid w:val="003F7EE3"/>
    <w:rsid w:val="00400292"/>
    <w:rsid w:val="00400557"/>
    <w:rsid w:val="0040093E"/>
    <w:rsid w:val="00402276"/>
    <w:rsid w:val="0040246A"/>
    <w:rsid w:val="00402733"/>
    <w:rsid w:val="004027C5"/>
    <w:rsid w:val="00402D73"/>
    <w:rsid w:val="0040361F"/>
    <w:rsid w:val="004043FF"/>
    <w:rsid w:val="0040480F"/>
    <w:rsid w:val="00405A67"/>
    <w:rsid w:val="00405ADE"/>
    <w:rsid w:val="00411400"/>
    <w:rsid w:val="00411402"/>
    <w:rsid w:val="0041185D"/>
    <w:rsid w:val="0041268E"/>
    <w:rsid w:val="004129C8"/>
    <w:rsid w:val="00412CB3"/>
    <w:rsid w:val="00414807"/>
    <w:rsid w:val="004149D8"/>
    <w:rsid w:val="0041534C"/>
    <w:rsid w:val="00415FDD"/>
    <w:rsid w:val="00415FE2"/>
    <w:rsid w:val="0041605B"/>
    <w:rsid w:val="004166FE"/>
    <w:rsid w:val="00416992"/>
    <w:rsid w:val="00416B0C"/>
    <w:rsid w:val="004204C1"/>
    <w:rsid w:val="0042132E"/>
    <w:rsid w:val="004215A1"/>
    <w:rsid w:val="004233F0"/>
    <w:rsid w:val="00423557"/>
    <w:rsid w:val="004237CE"/>
    <w:rsid w:val="0042395F"/>
    <w:rsid w:val="00423ABD"/>
    <w:rsid w:val="00424210"/>
    <w:rsid w:val="004244DC"/>
    <w:rsid w:val="004247CB"/>
    <w:rsid w:val="00424A32"/>
    <w:rsid w:val="00424A9F"/>
    <w:rsid w:val="00424B7C"/>
    <w:rsid w:val="00424C49"/>
    <w:rsid w:val="0042507F"/>
    <w:rsid w:val="00425498"/>
    <w:rsid w:val="004254DF"/>
    <w:rsid w:val="00425F8B"/>
    <w:rsid w:val="0042634A"/>
    <w:rsid w:val="004268E0"/>
    <w:rsid w:val="004269BD"/>
    <w:rsid w:val="00426ED5"/>
    <w:rsid w:val="00430089"/>
    <w:rsid w:val="00430870"/>
    <w:rsid w:val="00432781"/>
    <w:rsid w:val="0043285C"/>
    <w:rsid w:val="0043428D"/>
    <w:rsid w:val="00434461"/>
    <w:rsid w:val="0043478E"/>
    <w:rsid w:val="00435767"/>
    <w:rsid w:val="00435F42"/>
    <w:rsid w:val="004364A1"/>
    <w:rsid w:val="00436C50"/>
    <w:rsid w:val="0044066C"/>
    <w:rsid w:val="00440E76"/>
    <w:rsid w:val="00441767"/>
    <w:rsid w:val="00441E6C"/>
    <w:rsid w:val="00442006"/>
    <w:rsid w:val="0044254A"/>
    <w:rsid w:val="00442B91"/>
    <w:rsid w:val="00442FFE"/>
    <w:rsid w:val="00443779"/>
    <w:rsid w:val="00443C6F"/>
    <w:rsid w:val="004446C7"/>
    <w:rsid w:val="00444F50"/>
    <w:rsid w:val="0044524C"/>
    <w:rsid w:val="00445702"/>
    <w:rsid w:val="004469FA"/>
    <w:rsid w:val="00447208"/>
    <w:rsid w:val="00447C30"/>
    <w:rsid w:val="00450560"/>
    <w:rsid w:val="00451606"/>
    <w:rsid w:val="00451B98"/>
    <w:rsid w:val="00451FFD"/>
    <w:rsid w:val="00452454"/>
    <w:rsid w:val="0045247C"/>
    <w:rsid w:val="00452E09"/>
    <w:rsid w:val="00452F76"/>
    <w:rsid w:val="00453040"/>
    <w:rsid w:val="00454B46"/>
    <w:rsid w:val="004552BA"/>
    <w:rsid w:val="004553C5"/>
    <w:rsid w:val="0045561A"/>
    <w:rsid w:val="00455CC1"/>
    <w:rsid w:val="00455CC3"/>
    <w:rsid w:val="004564E3"/>
    <w:rsid w:val="004572AF"/>
    <w:rsid w:val="00457B08"/>
    <w:rsid w:val="004602F3"/>
    <w:rsid w:val="00460468"/>
    <w:rsid w:val="004605F7"/>
    <w:rsid w:val="00460B72"/>
    <w:rsid w:val="004612E6"/>
    <w:rsid w:val="004612FA"/>
    <w:rsid w:val="0046163F"/>
    <w:rsid w:val="004627B5"/>
    <w:rsid w:val="004631EA"/>
    <w:rsid w:val="0046449B"/>
    <w:rsid w:val="00464CB4"/>
    <w:rsid w:val="00464D45"/>
    <w:rsid w:val="00464D9E"/>
    <w:rsid w:val="00465293"/>
    <w:rsid w:val="00465C69"/>
    <w:rsid w:val="00465E2F"/>
    <w:rsid w:val="00466053"/>
    <w:rsid w:val="00466C60"/>
    <w:rsid w:val="004671DD"/>
    <w:rsid w:val="004672FD"/>
    <w:rsid w:val="0046750F"/>
    <w:rsid w:val="004678B8"/>
    <w:rsid w:val="0047023B"/>
    <w:rsid w:val="00470529"/>
    <w:rsid w:val="00470785"/>
    <w:rsid w:val="00471497"/>
    <w:rsid w:val="00471883"/>
    <w:rsid w:val="00471DA1"/>
    <w:rsid w:val="00472459"/>
    <w:rsid w:val="00473CED"/>
    <w:rsid w:val="004746BB"/>
    <w:rsid w:val="004755B8"/>
    <w:rsid w:val="004755CD"/>
    <w:rsid w:val="0047603C"/>
    <w:rsid w:val="00476F61"/>
    <w:rsid w:val="00476F8C"/>
    <w:rsid w:val="004778AF"/>
    <w:rsid w:val="00480000"/>
    <w:rsid w:val="00480337"/>
    <w:rsid w:val="00480A23"/>
    <w:rsid w:val="00481AF1"/>
    <w:rsid w:val="00481F92"/>
    <w:rsid w:val="004822A2"/>
    <w:rsid w:val="00482359"/>
    <w:rsid w:val="004823A0"/>
    <w:rsid w:val="00482B29"/>
    <w:rsid w:val="00483D46"/>
    <w:rsid w:val="00483D55"/>
    <w:rsid w:val="00484213"/>
    <w:rsid w:val="004848FA"/>
    <w:rsid w:val="00484AD3"/>
    <w:rsid w:val="00484BEF"/>
    <w:rsid w:val="00484C74"/>
    <w:rsid w:val="004856C1"/>
    <w:rsid w:val="004859BD"/>
    <w:rsid w:val="004861E2"/>
    <w:rsid w:val="0048622A"/>
    <w:rsid w:val="00486C71"/>
    <w:rsid w:val="00486D91"/>
    <w:rsid w:val="00487216"/>
    <w:rsid w:val="00487BD0"/>
    <w:rsid w:val="0049002F"/>
    <w:rsid w:val="0049019B"/>
    <w:rsid w:val="00490466"/>
    <w:rsid w:val="00490EDE"/>
    <w:rsid w:val="004914BE"/>
    <w:rsid w:val="00491725"/>
    <w:rsid w:val="00491FF1"/>
    <w:rsid w:val="004921A6"/>
    <w:rsid w:val="00494325"/>
    <w:rsid w:val="0049489C"/>
    <w:rsid w:val="00494A49"/>
    <w:rsid w:val="00496388"/>
    <w:rsid w:val="00496732"/>
    <w:rsid w:val="004971A5"/>
    <w:rsid w:val="00497532"/>
    <w:rsid w:val="00497825"/>
    <w:rsid w:val="004A04CB"/>
    <w:rsid w:val="004A0D7E"/>
    <w:rsid w:val="004A0EBB"/>
    <w:rsid w:val="004A1B71"/>
    <w:rsid w:val="004A27D6"/>
    <w:rsid w:val="004A2D58"/>
    <w:rsid w:val="004A3178"/>
    <w:rsid w:val="004A3480"/>
    <w:rsid w:val="004A3619"/>
    <w:rsid w:val="004A3F36"/>
    <w:rsid w:val="004A4878"/>
    <w:rsid w:val="004A54C0"/>
    <w:rsid w:val="004A6248"/>
    <w:rsid w:val="004A6759"/>
    <w:rsid w:val="004A67B1"/>
    <w:rsid w:val="004A7185"/>
    <w:rsid w:val="004A767F"/>
    <w:rsid w:val="004B0760"/>
    <w:rsid w:val="004B07BB"/>
    <w:rsid w:val="004B0AFB"/>
    <w:rsid w:val="004B14E6"/>
    <w:rsid w:val="004B1935"/>
    <w:rsid w:val="004B1A6E"/>
    <w:rsid w:val="004B1AD8"/>
    <w:rsid w:val="004B1AE2"/>
    <w:rsid w:val="004B1BA3"/>
    <w:rsid w:val="004B2041"/>
    <w:rsid w:val="004B2250"/>
    <w:rsid w:val="004B25B0"/>
    <w:rsid w:val="004B2E85"/>
    <w:rsid w:val="004B2F31"/>
    <w:rsid w:val="004B2FEC"/>
    <w:rsid w:val="004B3016"/>
    <w:rsid w:val="004B39AD"/>
    <w:rsid w:val="004B3A7B"/>
    <w:rsid w:val="004B451B"/>
    <w:rsid w:val="004B48F4"/>
    <w:rsid w:val="004B50E3"/>
    <w:rsid w:val="004B5C6F"/>
    <w:rsid w:val="004B6BD4"/>
    <w:rsid w:val="004B6DA4"/>
    <w:rsid w:val="004C2078"/>
    <w:rsid w:val="004C2248"/>
    <w:rsid w:val="004C23B8"/>
    <w:rsid w:val="004C23D2"/>
    <w:rsid w:val="004C26F8"/>
    <w:rsid w:val="004C321D"/>
    <w:rsid w:val="004C3ED8"/>
    <w:rsid w:val="004C4439"/>
    <w:rsid w:val="004C548C"/>
    <w:rsid w:val="004C5CD4"/>
    <w:rsid w:val="004C5D29"/>
    <w:rsid w:val="004C61B5"/>
    <w:rsid w:val="004C62A2"/>
    <w:rsid w:val="004C6FF0"/>
    <w:rsid w:val="004C709D"/>
    <w:rsid w:val="004C7313"/>
    <w:rsid w:val="004C74B9"/>
    <w:rsid w:val="004C77ED"/>
    <w:rsid w:val="004C7867"/>
    <w:rsid w:val="004C7F73"/>
    <w:rsid w:val="004D0381"/>
    <w:rsid w:val="004D0F62"/>
    <w:rsid w:val="004D105E"/>
    <w:rsid w:val="004D13DC"/>
    <w:rsid w:val="004D1CD7"/>
    <w:rsid w:val="004D236A"/>
    <w:rsid w:val="004D249F"/>
    <w:rsid w:val="004D281F"/>
    <w:rsid w:val="004D2FAF"/>
    <w:rsid w:val="004D316E"/>
    <w:rsid w:val="004D390B"/>
    <w:rsid w:val="004D3AEF"/>
    <w:rsid w:val="004D3C40"/>
    <w:rsid w:val="004D402E"/>
    <w:rsid w:val="004D41E7"/>
    <w:rsid w:val="004D5F3A"/>
    <w:rsid w:val="004D6783"/>
    <w:rsid w:val="004E1C57"/>
    <w:rsid w:val="004E20D1"/>
    <w:rsid w:val="004E2153"/>
    <w:rsid w:val="004E2599"/>
    <w:rsid w:val="004E26FC"/>
    <w:rsid w:val="004E2906"/>
    <w:rsid w:val="004E291F"/>
    <w:rsid w:val="004E2988"/>
    <w:rsid w:val="004E2FD1"/>
    <w:rsid w:val="004E33A7"/>
    <w:rsid w:val="004E3DB2"/>
    <w:rsid w:val="004E427D"/>
    <w:rsid w:val="004E5232"/>
    <w:rsid w:val="004E6F98"/>
    <w:rsid w:val="004E7001"/>
    <w:rsid w:val="004E74DF"/>
    <w:rsid w:val="004F023C"/>
    <w:rsid w:val="004F046B"/>
    <w:rsid w:val="004F0A1A"/>
    <w:rsid w:val="004F0AED"/>
    <w:rsid w:val="004F0F13"/>
    <w:rsid w:val="004F10DD"/>
    <w:rsid w:val="004F14ED"/>
    <w:rsid w:val="004F25EE"/>
    <w:rsid w:val="004F266F"/>
    <w:rsid w:val="004F28BD"/>
    <w:rsid w:val="004F28F6"/>
    <w:rsid w:val="004F2A56"/>
    <w:rsid w:val="004F2C3A"/>
    <w:rsid w:val="004F340E"/>
    <w:rsid w:val="004F3883"/>
    <w:rsid w:val="004F46D6"/>
    <w:rsid w:val="004F5771"/>
    <w:rsid w:val="004F5BEB"/>
    <w:rsid w:val="004F6B31"/>
    <w:rsid w:val="004F6CE5"/>
    <w:rsid w:val="004F6E6B"/>
    <w:rsid w:val="00500613"/>
    <w:rsid w:val="00501037"/>
    <w:rsid w:val="005023EE"/>
    <w:rsid w:val="00502B3C"/>
    <w:rsid w:val="00503289"/>
    <w:rsid w:val="005032BE"/>
    <w:rsid w:val="00503922"/>
    <w:rsid w:val="0050486F"/>
    <w:rsid w:val="00504DAE"/>
    <w:rsid w:val="005050AA"/>
    <w:rsid w:val="0050540D"/>
    <w:rsid w:val="005055F6"/>
    <w:rsid w:val="00505D1B"/>
    <w:rsid w:val="005063E0"/>
    <w:rsid w:val="00506D5E"/>
    <w:rsid w:val="00506EE4"/>
    <w:rsid w:val="00507601"/>
    <w:rsid w:val="00507B1B"/>
    <w:rsid w:val="00507DF9"/>
    <w:rsid w:val="005101FB"/>
    <w:rsid w:val="0051023B"/>
    <w:rsid w:val="0051026C"/>
    <w:rsid w:val="00510F7F"/>
    <w:rsid w:val="00511BA1"/>
    <w:rsid w:val="005120AA"/>
    <w:rsid w:val="00512571"/>
    <w:rsid w:val="00512576"/>
    <w:rsid w:val="0051277B"/>
    <w:rsid w:val="0051282F"/>
    <w:rsid w:val="00512A09"/>
    <w:rsid w:val="00512DAE"/>
    <w:rsid w:val="00512DC5"/>
    <w:rsid w:val="00513557"/>
    <w:rsid w:val="00513D5E"/>
    <w:rsid w:val="00514795"/>
    <w:rsid w:val="00514B69"/>
    <w:rsid w:val="00515081"/>
    <w:rsid w:val="00515513"/>
    <w:rsid w:val="0051585B"/>
    <w:rsid w:val="00515C66"/>
    <w:rsid w:val="00515CEC"/>
    <w:rsid w:val="0051664F"/>
    <w:rsid w:val="00516C90"/>
    <w:rsid w:val="005178D3"/>
    <w:rsid w:val="00521BB7"/>
    <w:rsid w:val="00521BE5"/>
    <w:rsid w:val="00522EB0"/>
    <w:rsid w:val="00523002"/>
    <w:rsid w:val="0052340D"/>
    <w:rsid w:val="005236A3"/>
    <w:rsid w:val="005240ED"/>
    <w:rsid w:val="00524567"/>
    <w:rsid w:val="005251C4"/>
    <w:rsid w:val="005253EC"/>
    <w:rsid w:val="00525A32"/>
    <w:rsid w:val="00526CAC"/>
    <w:rsid w:val="00526F12"/>
    <w:rsid w:val="005270FD"/>
    <w:rsid w:val="00527446"/>
    <w:rsid w:val="00530D81"/>
    <w:rsid w:val="00531A2E"/>
    <w:rsid w:val="00531D15"/>
    <w:rsid w:val="00531D6D"/>
    <w:rsid w:val="00532989"/>
    <w:rsid w:val="005334D7"/>
    <w:rsid w:val="00533C87"/>
    <w:rsid w:val="00534056"/>
    <w:rsid w:val="005348A4"/>
    <w:rsid w:val="00534B6F"/>
    <w:rsid w:val="00534F93"/>
    <w:rsid w:val="005358B7"/>
    <w:rsid w:val="00535AF4"/>
    <w:rsid w:val="00536A84"/>
    <w:rsid w:val="00536BB6"/>
    <w:rsid w:val="00536F10"/>
    <w:rsid w:val="00536FAF"/>
    <w:rsid w:val="00537196"/>
    <w:rsid w:val="00537583"/>
    <w:rsid w:val="005375FB"/>
    <w:rsid w:val="00540A63"/>
    <w:rsid w:val="00540DE2"/>
    <w:rsid w:val="005428E8"/>
    <w:rsid w:val="00542996"/>
    <w:rsid w:val="00542B8A"/>
    <w:rsid w:val="005431E2"/>
    <w:rsid w:val="005438C8"/>
    <w:rsid w:val="005448FE"/>
    <w:rsid w:val="00544989"/>
    <w:rsid w:val="00544C1F"/>
    <w:rsid w:val="00544C3A"/>
    <w:rsid w:val="00544C99"/>
    <w:rsid w:val="00544FF1"/>
    <w:rsid w:val="00545091"/>
    <w:rsid w:val="0054543E"/>
    <w:rsid w:val="005459AD"/>
    <w:rsid w:val="00545C0A"/>
    <w:rsid w:val="00546CE3"/>
    <w:rsid w:val="00547403"/>
    <w:rsid w:val="005475FD"/>
    <w:rsid w:val="0054777E"/>
    <w:rsid w:val="00547D60"/>
    <w:rsid w:val="00547D96"/>
    <w:rsid w:val="0055038E"/>
    <w:rsid w:val="00550475"/>
    <w:rsid w:val="00550676"/>
    <w:rsid w:val="00553230"/>
    <w:rsid w:val="005537E5"/>
    <w:rsid w:val="00554091"/>
    <w:rsid w:val="00554DF0"/>
    <w:rsid w:val="00554E30"/>
    <w:rsid w:val="0055609F"/>
    <w:rsid w:val="00556955"/>
    <w:rsid w:val="00556A57"/>
    <w:rsid w:val="00556AEA"/>
    <w:rsid w:val="00557487"/>
    <w:rsid w:val="005579FD"/>
    <w:rsid w:val="00560B25"/>
    <w:rsid w:val="00560E10"/>
    <w:rsid w:val="005613E2"/>
    <w:rsid w:val="00562B68"/>
    <w:rsid w:val="00562F05"/>
    <w:rsid w:val="00563431"/>
    <w:rsid w:val="005636DB"/>
    <w:rsid w:val="00564E40"/>
    <w:rsid w:val="00564FD6"/>
    <w:rsid w:val="00565272"/>
    <w:rsid w:val="00565B92"/>
    <w:rsid w:val="00565E3B"/>
    <w:rsid w:val="00566443"/>
    <w:rsid w:val="00566FF0"/>
    <w:rsid w:val="00567148"/>
    <w:rsid w:val="0056732E"/>
    <w:rsid w:val="0056738B"/>
    <w:rsid w:val="0057015E"/>
    <w:rsid w:val="005704C9"/>
    <w:rsid w:val="00570862"/>
    <w:rsid w:val="005709EF"/>
    <w:rsid w:val="0057249A"/>
    <w:rsid w:val="00572589"/>
    <w:rsid w:val="0057315C"/>
    <w:rsid w:val="00574959"/>
    <w:rsid w:val="00575705"/>
    <w:rsid w:val="005757E7"/>
    <w:rsid w:val="005765BE"/>
    <w:rsid w:val="00576F34"/>
    <w:rsid w:val="005806F4"/>
    <w:rsid w:val="00580DE9"/>
    <w:rsid w:val="00580DFC"/>
    <w:rsid w:val="0058110F"/>
    <w:rsid w:val="00581E81"/>
    <w:rsid w:val="0058236E"/>
    <w:rsid w:val="00582597"/>
    <w:rsid w:val="00582F6F"/>
    <w:rsid w:val="00583250"/>
    <w:rsid w:val="005837BD"/>
    <w:rsid w:val="00583FF3"/>
    <w:rsid w:val="005854FF"/>
    <w:rsid w:val="00585B33"/>
    <w:rsid w:val="00587189"/>
    <w:rsid w:val="005873C4"/>
    <w:rsid w:val="005874DE"/>
    <w:rsid w:val="00587A73"/>
    <w:rsid w:val="0059050F"/>
    <w:rsid w:val="00590969"/>
    <w:rsid w:val="00590F9E"/>
    <w:rsid w:val="00591DEB"/>
    <w:rsid w:val="00593217"/>
    <w:rsid w:val="005938E2"/>
    <w:rsid w:val="00593BF5"/>
    <w:rsid w:val="00593C16"/>
    <w:rsid w:val="00594458"/>
    <w:rsid w:val="005946E4"/>
    <w:rsid w:val="00594E1D"/>
    <w:rsid w:val="005957A8"/>
    <w:rsid w:val="005962A9"/>
    <w:rsid w:val="0059632A"/>
    <w:rsid w:val="0059644B"/>
    <w:rsid w:val="005964B8"/>
    <w:rsid w:val="005965E4"/>
    <w:rsid w:val="005967FB"/>
    <w:rsid w:val="0059699E"/>
    <w:rsid w:val="00596C1D"/>
    <w:rsid w:val="00597DD3"/>
    <w:rsid w:val="005A0176"/>
    <w:rsid w:val="005A0544"/>
    <w:rsid w:val="005A065A"/>
    <w:rsid w:val="005A101F"/>
    <w:rsid w:val="005A15F4"/>
    <w:rsid w:val="005A1615"/>
    <w:rsid w:val="005A1E84"/>
    <w:rsid w:val="005A20B6"/>
    <w:rsid w:val="005A2A7F"/>
    <w:rsid w:val="005A2CD2"/>
    <w:rsid w:val="005A308A"/>
    <w:rsid w:val="005A4236"/>
    <w:rsid w:val="005A547D"/>
    <w:rsid w:val="005A5C11"/>
    <w:rsid w:val="005A5E3F"/>
    <w:rsid w:val="005A6085"/>
    <w:rsid w:val="005A6395"/>
    <w:rsid w:val="005A658A"/>
    <w:rsid w:val="005A65DC"/>
    <w:rsid w:val="005A6883"/>
    <w:rsid w:val="005A7530"/>
    <w:rsid w:val="005B02B6"/>
    <w:rsid w:val="005B090B"/>
    <w:rsid w:val="005B0D7F"/>
    <w:rsid w:val="005B1AA7"/>
    <w:rsid w:val="005B2DED"/>
    <w:rsid w:val="005B329B"/>
    <w:rsid w:val="005B3F96"/>
    <w:rsid w:val="005B4F50"/>
    <w:rsid w:val="005B4FF0"/>
    <w:rsid w:val="005B52D5"/>
    <w:rsid w:val="005B569B"/>
    <w:rsid w:val="005B5E6D"/>
    <w:rsid w:val="005B6825"/>
    <w:rsid w:val="005B77D0"/>
    <w:rsid w:val="005B78BF"/>
    <w:rsid w:val="005C0002"/>
    <w:rsid w:val="005C0076"/>
    <w:rsid w:val="005C0758"/>
    <w:rsid w:val="005C1363"/>
    <w:rsid w:val="005C18A1"/>
    <w:rsid w:val="005C2BCB"/>
    <w:rsid w:val="005C3483"/>
    <w:rsid w:val="005C357F"/>
    <w:rsid w:val="005C35F3"/>
    <w:rsid w:val="005C3B99"/>
    <w:rsid w:val="005C4007"/>
    <w:rsid w:val="005C4015"/>
    <w:rsid w:val="005C40BD"/>
    <w:rsid w:val="005C40F0"/>
    <w:rsid w:val="005C5BF7"/>
    <w:rsid w:val="005C687F"/>
    <w:rsid w:val="005C6CD0"/>
    <w:rsid w:val="005C700E"/>
    <w:rsid w:val="005C753F"/>
    <w:rsid w:val="005C7B68"/>
    <w:rsid w:val="005D025A"/>
    <w:rsid w:val="005D170E"/>
    <w:rsid w:val="005D184D"/>
    <w:rsid w:val="005D2050"/>
    <w:rsid w:val="005D2D4F"/>
    <w:rsid w:val="005D2DCF"/>
    <w:rsid w:val="005D3B23"/>
    <w:rsid w:val="005D3D61"/>
    <w:rsid w:val="005D41E8"/>
    <w:rsid w:val="005D4D79"/>
    <w:rsid w:val="005D5D58"/>
    <w:rsid w:val="005D65A1"/>
    <w:rsid w:val="005D6938"/>
    <w:rsid w:val="005D6EAD"/>
    <w:rsid w:val="005D7A09"/>
    <w:rsid w:val="005D7F18"/>
    <w:rsid w:val="005E0440"/>
    <w:rsid w:val="005E0A10"/>
    <w:rsid w:val="005E0B06"/>
    <w:rsid w:val="005E1F23"/>
    <w:rsid w:val="005E20D9"/>
    <w:rsid w:val="005E257F"/>
    <w:rsid w:val="005E351B"/>
    <w:rsid w:val="005E4301"/>
    <w:rsid w:val="005E58BC"/>
    <w:rsid w:val="005E60EC"/>
    <w:rsid w:val="005E626E"/>
    <w:rsid w:val="005E6C05"/>
    <w:rsid w:val="005E6C61"/>
    <w:rsid w:val="005E7206"/>
    <w:rsid w:val="005E7864"/>
    <w:rsid w:val="005F085B"/>
    <w:rsid w:val="005F0D46"/>
    <w:rsid w:val="005F0DB2"/>
    <w:rsid w:val="005F125F"/>
    <w:rsid w:val="005F3298"/>
    <w:rsid w:val="005F32D2"/>
    <w:rsid w:val="005F3376"/>
    <w:rsid w:val="005F3482"/>
    <w:rsid w:val="005F383E"/>
    <w:rsid w:val="005F3BA9"/>
    <w:rsid w:val="005F4BAC"/>
    <w:rsid w:val="005F51FC"/>
    <w:rsid w:val="005F554D"/>
    <w:rsid w:val="005F5AAC"/>
    <w:rsid w:val="005F6BE3"/>
    <w:rsid w:val="005F6E61"/>
    <w:rsid w:val="006000FA"/>
    <w:rsid w:val="0060133F"/>
    <w:rsid w:val="00601777"/>
    <w:rsid w:val="006019B5"/>
    <w:rsid w:val="006029C2"/>
    <w:rsid w:val="00602CBD"/>
    <w:rsid w:val="00602E88"/>
    <w:rsid w:val="00603579"/>
    <w:rsid w:val="006037A2"/>
    <w:rsid w:val="00604721"/>
    <w:rsid w:val="00604973"/>
    <w:rsid w:val="00605463"/>
    <w:rsid w:val="00605BF7"/>
    <w:rsid w:val="006075DA"/>
    <w:rsid w:val="00607C1C"/>
    <w:rsid w:val="006106D3"/>
    <w:rsid w:val="00610869"/>
    <w:rsid w:val="00610B5D"/>
    <w:rsid w:val="0061188E"/>
    <w:rsid w:val="00611DBE"/>
    <w:rsid w:val="00611EFA"/>
    <w:rsid w:val="00612334"/>
    <w:rsid w:val="00612560"/>
    <w:rsid w:val="00612676"/>
    <w:rsid w:val="006129C1"/>
    <w:rsid w:val="00613A35"/>
    <w:rsid w:val="00613A67"/>
    <w:rsid w:val="00613D93"/>
    <w:rsid w:val="00614039"/>
    <w:rsid w:val="006159E2"/>
    <w:rsid w:val="00616516"/>
    <w:rsid w:val="00616FDD"/>
    <w:rsid w:val="0061703C"/>
    <w:rsid w:val="0061709C"/>
    <w:rsid w:val="00617D67"/>
    <w:rsid w:val="006207C5"/>
    <w:rsid w:val="00620D78"/>
    <w:rsid w:val="00621640"/>
    <w:rsid w:val="006222A7"/>
    <w:rsid w:val="0062241D"/>
    <w:rsid w:val="00623357"/>
    <w:rsid w:val="0062365D"/>
    <w:rsid w:val="006236A9"/>
    <w:rsid w:val="00623BDF"/>
    <w:rsid w:val="00623D56"/>
    <w:rsid w:val="00624CA2"/>
    <w:rsid w:val="00625544"/>
    <w:rsid w:val="0062587B"/>
    <w:rsid w:val="006258FA"/>
    <w:rsid w:val="00625CCC"/>
    <w:rsid w:val="00625EFA"/>
    <w:rsid w:val="0062756C"/>
    <w:rsid w:val="006300DD"/>
    <w:rsid w:val="006309DE"/>
    <w:rsid w:val="00630F93"/>
    <w:rsid w:val="006311FF"/>
    <w:rsid w:val="006314B6"/>
    <w:rsid w:val="00631664"/>
    <w:rsid w:val="00635CB1"/>
    <w:rsid w:val="00636154"/>
    <w:rsid w:val="00636F65"/>
    <w:rsid w:val="00637B24"/>
    <w:rsid w:val="00637D3E"/>
    <w:rsid w:val="00640496"/>
    <w:rsid w:val="0064053C"/>
    <w:rsid w:val="00641245"/>
    <w:rsid w:val="0064137A"/>
    <w:rsid w:val="0064240F"/>
    <w:rsid w:val="006424D8"/>
    <w:rsid w:val="00642608"/>
    <w:rsid w:val="006429B3"/>
    <w:rsid w:val="006431A2"/>
    <w:rsid w:val="0064364F"/>
    <w:rsid w:val="00643D29"/>
    <w:rsid w:val="0064493F"/>
    <w:rsid w:val="006449AA"/>
    <w:rsid w:val="00644B1D"/>
    <w:rsid w:val="006452DC"/>
    <w:rsid w:val="006459D9"/>
    <w:rsid w:val="0064625C"/>
    <w:rsid w:val="0064753A"/>
    <w:rsid w:val="00647589"/>
    <w:rsid w:val="006475D1"/>
    <w:rsid w:val="00647649"/>
    <w:rsid w:val="006505A8"/>
    <w:rsid w:val="00651726"/>
    <w:rsid w:val="0065178B"/>
    <w:rsid w:val="00651976"/>
    <w:rsid w:val="0065242B"/>
    <w:rsid w:val="006524C8"/>
    <w:rsid w:val="00652882"/>
    <w:rsid w:val="006529C3"/>
    <w:rsid w:val="00652E26"/>
    <w:rsid w:val="0065312D"/>
    <w:rsid w:val="0065393E"/>
    <w:rsid w:val="00653A3E"/>
    <w:rsid w:val="00654537"/>
    <w:rsid w:val="0065565B"/>
    <w:rsid w:val="0065702D"/>
    <w:rsid w:val="00657508"/>
    <w:rsid w:val="0065774A"/>
    <w:rsid w:val="00657B11"/>
    <w:rsid w:val="00657CDC"/>
    <w:rsid w:val="00657F8B"/>
    <w:rsid w:val="00657F9E"/>
    <w:rsid w:val="0066034C"/>
    <w:rsid w:val="006605F7"/>
    <w:rsid w:val="00661DD2"/>
    <w:rsid w:val="006621C8"/>
    <w:rsid w:val="00662EA5"/>
    <w:rsid w:val="00662F81"/>
    <w:rsid w:val="00662FC5"/>
    <w:rsid w:val="006630D1"/>
    <w:rsid w:val="00663F07"/>
    <w:rsid w:val="00664164"/>
    <w:rsid w:val="00664264"/>
    <w:rsid w:val="006644E0"/>
    <w:rsid w:val="00664865"/>
    <w:rsid w:val="006650D8"/>
    <w:rsid w:val="00666457"/>
    <w:rsid w:val="00666E79"/>
    <w:rsid w:val="00667085"/>
    <w:rsid w:val="0066775A"/>
    <w:rsid w:val="00667903"/>
    <w:rsid w:val="00667C13"/>
    <w:rsid w:val="00667E71"/>
    <w:rsid w:val="00667F48"/>
    <w:rsid w:val="00667FDE"/>
    <w:rsid w:val="00670CDA"/>
    <w:rsid w:val="00670F67"/>
    <w:rsid w:val="0067127B"/>
    <w:rsid w:val="0067193B"/>
    <w:rsid w:val="00671CDE"/>
    <w:rsid w:val="00671FED"/>
    <w:rsid w:val="00672D25"/>
    <w:rsid w:val="00672F2C"/>
    <w:rsid w:val="00673C23"/>
    <w:rsid w:val="00673E9C"/>
    <w:rsid w:val="00674546"/>
    <w:rsid w:val="00674963"/>
    <w:rsid w:val="00675153"/>
    <w:rsid w:val="0067547A"/>
    <w:rsid w:val="00675632"/>
    <w:rsid w:val="006762D3"/>
    <w:rsid w:val="006765D5"/>
    <w:rsid w:val="0067799B"/>
    <w:rsid w:val="00677C06"/>
    <w:rsid w:val="006804C5"/>
    <w:rsid w:val="00680AA2"/>
    <w:rsid w:val="00680FF1"/>
    <w:rsid w:val="00681C61"/>
    <w:rsid w:val="00681D87"/>
    <w:rsid w:val="00681EAA"/>
    <w:rsid w:val="006831B8"/>
    <w:rsid w:val="006840D4"/>
    <w:rsid w:val="00684A8E"/>
    <w:rsid w:val="00686535"/>
    <w:rsid w:val="00686FEA"/>
    <w:rsid w:val="00687C90"/>
    <w:rsid w:val="00687D6E"/>
    <w:rsid w:val="006908EB"/>
    <w:rsid w:val="00691B24"/>
    <w:rsid w:val="00691DDC"/>
    <w:rsid w:val="006921CD"/>
    <w:rsid w:val="00692238"/>
    <w:rsid w:val="00692247"/>
    <w:rsid w:val="00693D18"/>
    <w:rsid w:val="006949AF"/>
    <w:rsid w:val="00694A30"/>
    <w:rsid w:val="00694BC4"/>
    <w:rsid w:val="00694F46"/>
    <w:rsid w:val="00695552"/>
    <w:rsid w:val="00695996"/>
    <w:rsid w:val="006966B7"/>
    <w:rsid w:val="0069798B"/>
    <w:rsid w:val="006A02FF"/>
    <w:rsid w:val="006A0ABF"/>
    <w:rsid w:val="006A0C8B"/>
    <w:rsid w:val="006A1297"/>
    <w:rsid w:val="006A13F6"/>
    <w:rsid w:val="006A1B22"/>
    <w:rsid w:val="006A1E63"/>
    <w:rsid w:val="006A1F75"/>
    <w:rsid w:val="006A2048"/>
    <w:rsid w:val="006A23E7"/>
    <w:rsid w:val="006A2ED8"/>
    <w:rsid w:val="006A4866"/>
    <w:rsid w:val="006A4D04"/>
    <w:rsid w:val="006A5913"/>
    <w:rsid w:val="006A5CBC"/>
    <w:rsid w:val="006A68E3"/>
    <w:rsid w:val="006A7033"/>
    <w:rsid w:val="006B0A5D"/>
    <w:rsid w:val="006B0D50"/>
    <w:rsid w:val="006B0E3C"/>
    <w:rsid w:val="006B11A3"/>
    <w:rsid w:val="006B1510"/>
    <w:rsid w:val="006B1F7B"/>
    <w:rsid w:val="006B22A3"/>
    <w:rsid w:val="006B2811"/>
    <w:rsid w:val="006B2E78"/>
    <w:rsid w:val="006B3003"/>
    <w:rsid w:val="006B32AC"/>
    <w:rsid w:val="006B32D4"/>
    <w:rsid w:val="006B351D"/>
    <w:rsid w:val="006B4089"/>
    <w:rsid w:val="006B4637"/>
    <w:rsid w:val="006B49A6"/>
    <w:rsid w:val="006B642F"/>
    <w:rsid w:val="006B6C14"/>
    <w:rsid w:val="006B6C92"/>
    <w:rsid w:val="006B73ED"/>
    <w:rsid w:val="006B75CE"/>
    <w:rsid w:val="006B7649"/>
    <w:rsid w:val="006B78CA"/>
    <w:rsid w:val="006B7E96"/>
    <w:rsid w:val="006C051E"/>
    <w:rsid w:val="006C053C"/>
    <w:rsid w:val="006C0880"/>
    <w:rsid w:val="006C0AC7"/>
    <w:rsid w:val="006C0AF5"/>
    <w:rsid w:val="006C0E67"/>
    <w:rsid w:val="006C1224"/>
    <w:rsid w:val="006C1654"/>
    <w:rsid w:val="006C19DD"/>
    <w:rsid w:val="006C1EE8"/>
    <w:rsid w:val="006C2358"/>
    <w:rsid w:val="006C27EE"/>
    <w:rsid w:val="006C2A5C"/>
    <w:rsid w:val="006C3477"/>
    <w:rsid w:val="006C35A4"/>
    <w:rsid w:val="006C4888"/>
    <w:rsid w:val="006C4A40"/>
    <w:rsid w:val="006C5455"/>
    <w:rsid w:val="006C5CB4"/>
    <w:rsid w:val="006C656C"/>
    <w:rsid w:val="006C68A4"/>
    <w:rsid w:val="006C6D79"/>
    <w:rsid w:val="006C7434"/>
    <w:rsid w:val="006C781D"/>
    <w:rsid w:val="006C7875"/>
    <w:rsid w:val="006C7F85"/>
    <w:rsid w:val="006D05BE"/>
    <w:rsid w:val="006D05EE"/>
    <w:rsid w:val="006D12A7"/>
    <w:rsid w:val="006D36A4"/>
    <w:rsid w:val="006D38D9"/>
    <w:rsid w:val="006D39FA"/>
    <w:rsid w:val="006D3F5D"/>
    <w:rsid w:val="006D4A3C"/>
    <w:rsid w:val="006D4A55"/>
    <w:rsid w:val="006D4B2D"/>
    <w:rsid w:val="006D5A87"/>
    <w:rsid w:val="006D7575"/>
    <w:rsid w:val="006D76ED"/>
    <w:rsid w:val="006D7B06"/>
    <w:rsid w:val="006D7BA1"/>
    <w:rsid w:val="006E0267"/>
    <w:rsid w:val="006E03DC"/>
    <w:rsid w:val="006E13EA"/>
    <w:rsid w:val="006E15E2"/>
    <w:rsid w:val="006E1A3E"/>
    <w:rsid w:val="006E241C"/>
    <w:rsid w:val="006E243A"/>
    <w:rsid w:val="006E2C56"/>
    <w:rsid w:val="006E2E06"/>
    <w:rsid w:val="006E3272"/>
    <w:rsid w:val="006E33AC"/>
    <w:rsid w:val="006E35C9"/>
    <w:rsid w:val="006E38DD"/>
    <w:rsid w:val="006E3C78"/>
    <w:rsid w:val="006E4053"/>
    <w:rsid w:val="006E465C"/>
    <w:rsid w:val="006E5083"/>
    <w:rsid w:val="006E5B1A"/>
    <w:rsid w:val="006E5D56"/>
    <w:rsid w:val="006E647F"/>
    <w:rsid w:val="006E652B"/>
    <w:rsid w:val="006E723F"/>
    <w:rsid w:val="006E74E6"/>
    <w:rsid w:val="006E7DEC"/>
    <w:rsid w:val="006F0D23"/>
    <w:rsid w:val="006F0F69"/>
    <w:rsid w:val="006F1D87"/>
    <w:rsid w:val="006F2756"/>
    <w:rsid w:val="006F29F5"/>
    <w:rsid w:val="006F435C"/>
    <w:rsid w:val="006F4972"/>
    <w:rsid w:val="006F5368"/>
    <w:rsid w:val="006F5511"/>
    <w:rsid w:val="006F614F"/>
    <w:rsid w:val="006F6EC2"/>
    <w:rsid w:val="006F766F"/>
    <w:rsid w:val="006F7A86"/>
    <w:rsid w:val="00700042"/>
    <w:rsid w:val="007002F5"/>
    <w:rsid w:val="00700BA5"/>
    <w:rsid w:val="00701377"/>
    <w:rsid w:val="00701468"/>
    <w:rsid w:val="00702775"/>
    <w:rsid w:val="0070299B"/>
    <w:rsid w:val="007029B1"/>
    <w:rsid w:val="00702AB8"/>
    <w:rsid w:val="00702D67"/>
    <w:rsid w:val="00702DB8"/>
    <w:rsid w:val="007035DE"/>
    <w:rsid w:val="00703CE2"/>
    <w:rsid w:val="00704A7C"/>
    <w:rsid w:val="00705A4D"/>
    <w:rsid w:val="00705EEA"/>
    <w:rsid w:val="007060E0"/>
    <w:rsid w:val="0070697E"/>
    <w:rsid w:val="00706C50"/>
    <w:rsid w:val="007071B3"/>
    <w:rsid w:val="00710412"/>
    <w:rsid w:val="007112DC"/>
    <w:rsid w:val="00711918"/>
    <w:rsid w:val="00711F10"/>
    <w:rsid w:val="0071270D"/>
    <w:rsid w:val="00713208"/>
    <w:rsid w:val="00713629"/>
    <w:rsid w:val="00714950"/>
    <w:rsid w:val="0071549C"/>
    <w:rsid w:val="00715523"/>
    <w:rsid w:val="0071576A"/>
    <w:rsid w:val="00715937"/>
    <w:rsid w:val="00715955"/>
    <w:rsid w:val="00715AAB"/>
    <w:rsid w:val="00716665"/>
    <w:rsid w:val="007178C8"/>
    <w:rsid w:val="007178D9"/>
    <w:rsid w:val="00717939"/>
    <w:rsid w:val="00717EDE"/>
    <w:rsid w:val="007202AB"/>
    <w:rsid w:val="0072160D"/>
    <w:rsid w:val="00721821"/>
    <w:rsid w:val="007218FD"/>
    <w:rsid w:val="00722A4D"/>
    <w:rsid w:val="00723262"/>
    <w:rsid w:val="007232A6"/>
    <w:rsid w:val="00723D80"/>
    <w:rsid w:val="007245A1"/>
    <w:rsid w:val="0072464F"/>
    <w:rsid w:val="007247AC"/>
    <w:rsid w:val="00724813"/>
    <w:rsid w:val="007249A7"/>
    <w:rsid w:val="00724A4C"/>
    <w:rsid w:val="0072545B"/>
    <w:rsid w:val="007256FA"/>
    <w:rsid w:val="00725B7E"/>
    <w:rsid w:val="007260B7"/>
    <w:rsid w:val="007260F8"/>
    <w:rsid w:val="00726DE7"/>
    <w:rsid w:val="00726E3A"/>
    <w:rsid w:val="007272A9"/>
    <w:rsid w:val="00727413"/>
    <w:rsid w:val="007275DF"/>
    <w:rsid w:val="00727BF4"/>
    <w:rsid w:val="00730967"/>
    <w:rsid w:val="00731938"/>
    <w:rsid w:val="007324DB"/>
    <w:rsid w:val="00732FB5"/>
    <w:rsid w:val="0073327C"/>
    <w:rsid w:val="007340B4"/>
    <w:rsid w:val="00734250"/>
    <w:rsid w:val="0073516A"/>
    <w:rsid w:val="00735AB3"/>
    <w:rsid w:val="00735ED8"/>
    <w:rsid w:val="00735F9B"/>
    <w:rsid w:val="0073602A"/>
    <w:rsid w:val="00736833"/>
    <w:rsid w:val="00736DD4"/>
    <w:rsid w:val="00737B3F"/>
    <w:rsid w:val="00737BCA"/>
    <w:rsid w:val="00740093"/>
    <w:rsid w:val="00740226"/>
    <w:rsid w:val="007402D2"/>
    <w:rsid w:val="007405C7"/>
    <w:rsid w:val="00740BBA"/>
    <w:rsid w:val="00740D5D"/>
    <w:rsid w:val="00741C73"/>
    <w:rsid w:val="00741D0D"/>
    <w:rsid w:val="00742383"/>
    <w:rsid w:val="00742BFD"/>
    <w:rsid w:val="00743CC2"/>
    <w:rsid w:val="00744586"/>
    <w:rsid w:val="00744D28"/>
    <w:rsid w:val="00745307"/>
    <w:rsid w:val="007459B0"/>
    <w:rsid w:val="00745CC4"/>
    <w:rsid w:val="00745E65"/>
    <w:rsid w:val="00745E69"/>
    <w:rsid w:val="007467E4"/>
    <w:rsid w:val="007474C7"/>
    <w:rsid w:val="00747C58"/>
    <w:rsid w:val="00747F03"/>
    <w:rsid w:val="00750913"/>
    <w:rsid w:val="00750CFF"/>
    <w:rsid w:val="00750DEC"/>
    <w:rsid w:val="00750E3C"/>
    <w:rsid w:val="00750F57"/>
    <w:rsid w:val="00751447"/>
    <w:rsid w:val="00751BE8"/>
    <w:rsid w:val="007521AE"/>
    <w:rsid w:val="00752453"/>
    <w:rsid w:val="00752468"/>
    <w:rsid w:val="00752D4F"/>
    <w:rsid w:val="00753262"/>
    <w:rsid w:val="007540CF"/>
    <w:rsid w:val="007541D9"/>
    <w:rsid w:val="00754638"/>
    <w:rsid w:val="0075470F"/>
    <w:rsid w:val="0075477C"/>
    <w:rsid w:val="007551A9"/>
    <w:rsid w:val="007552B0"/>
    <w:rsid w:val="00755356"/>
    <w:rsid w:val="00755421"/>
    <w:rsid w:val="007555AF"/>
    <w:rsid w:val="007556AE"/>
    <w:rsid w:val="00755C44"/>
    <w:rsid w:val="00755F20"/>
    <w:rsid w:val="00756A88"/>
    <w:rsid w:val="00756AA2"/>
    <w:rsid w:val="00757F70"/>
    <w:rsid w:val="007606A6"/>
    <w:rsid w:val="00761589"/>
    <w:rsid w:val="0076162C"/>
    <w:rsid w:val="00761D98"/>
    <w:rsid w:val="007620FF"/>
    <w:rsid w:val="0076214C"/>
    <w:rsid w:val="00762584"/>
    <w:rsid w:val="00763999"/>
    <w:rsid w:val="00763C0A"/>
    <w:rsid w:val="00763FC4"/>
    <w:rsid w:val="00764E93"/>
    <w:rsid w:val="007657D7"/>
    <w:rsid w:val="0076589B"/>
    <w:rsid w:val="00766F22"/>
    <w:rsid w:val="00766F5B"/>
    <w:rsid w:val="00767342"/>
    <w:rsid w:val="007675C2"/>
    <w:rsid w:val="0076763E"/>
    <w:rsid w:val="00767C29"/>
    <w:rsid w:val="00770193"/>
    <w:rsid w:val="00770371"/>
    <w:rsid w:val="007704C1"/>
    <w:rsid w:val="00770AD4"/>
    <w:rsid w:val="00770B1A"/>
    <w:rsid w:val="00770E84"/>
    <w:rsid w:val="00771A8A"/>
    <w:rsid w:val="00771DBB"/>
    <w:rsid w:val="007721A7"/>
    <w:rsid w:val="007729CF"/>
    <w:rsid w:val="0077323D"/>
    <w:rsid w:val="00774549"/>
    <w:rsid w:val="00775547"/>
    <w:rsid w:val="007758CD"/>
    <w:rsid w:val="00775A56"/>
    <w:rsid w:val="007761A4"/>
    <w:rsid w:val="007762C0"/>
    <w:rsid w:val="007763DD"/>
    <w:rsid w:val="00776472"/>
    <w:rsid w:val="007764D6"/>
    <w:rsid w:val="00776CD0"/>
    <w:rsid w:val="007806A7"/>
    <w:rsid w:val="00780D0D"/>
    <w:rsid w:val="00781A17"/>
    <w:rsid w:val="00781F30"/>
    <w:rsid w:val="00783637"/>
    <w:rsid w:val="007842D1"/>
    <w:rsid w:val="00785C0C"/>
    <w:rsid w:val="0078649A"/>
    <w:rsid w:val="0078669C"/>
    <w:rsid w:val="00786F62"/>
    <w:rsid w:val="00787BE2"/>
    <w:rsid w:val="00787D00"/>
    <w:rsid w:val="00790112"/>
    <w:rsid w:val="00790197"/>
    <w:rsid w:val="00791240"/>
    <w:rsid w:val="00791941"/>
    <w:rsid w:val="00791F87"/>
    <w:rsid w:val="00793AF2"/>
    <w:rsid w:val="007941ED"/>
    <w:rsid w:val="00794AC8"/>
    <w:rsid w:val="00794FC0"/>
    <w:rsid w:val="0079515F"/>
    <w:rsid w:val="00795630"/>
    <w:rsid w:val="00795743"/>
    <w:rsid w:val="00795FB6"/>
    <w:rsid w:val="00796EE8"/>
    <w:rsid w:val="00797239"/>
    <w:rsid w:val="00797675"/>
    <w:rsid w:val="007976EC"/>
    <w:rsid w:val="007A2BBF"/>
    <w:rsid w:val="007A394E"/>
    <w:rsid w:val="007A3CF7"/>
    <w:rsid w:val="007A3D58"/>
    <w:rsid w:val="007A4718"/>
    <w:rsid w:val="007A4F6E"/>
    <w:rsid w:val="007A5165"/>
    <w:rsid w:val="007A615F"/>
    <w:rsid w:val="007A63DF"/>
    <w:rsid w:val="007A767F"/>
    <w:rsid w:val="007A78AF"/>
    <w:rsid w:val="007A7DDD"/>
    <w:rsid w:val="007B02D1"/>
    <w:rsid w:val="007B04FC"/>
    <w:rsid w:val="007B08BD"/>
    <w:rsid w:val="007B1FD8"/>
    <w:rsid w:val="007B24A6"/>
    <w:rsid w:val="007B285B"/>
    <w:rsid w:val="007B2898"/>
    <w:rsid w:val="007B3296"/>
    <w:rsid w:val="007B3995"/>
    <w:rsid w:val="007B3F51"/>
    <w:rsid w:val="007B4223"/>
    <w:rsid w:val="007B424D"/>
    <w:rsid w:val="007B4571"/>
    <w:rsid w:val="007B4C79"/>
    <w:rsid w:val="007B4D01"/>
    <w:rsid w:val="007B5108"/>
    <w:rsid w:val="007B56EC"/>
    <w:rsid w:val="007B5D2F"/>
    <w:rsid w:val="007B5EC1"/>
    <w:rsid w:val="007B5F74"/>
    <w:rsid w:val="007B6130"/>
    <w:rsid w:val="007B64D9"/>
    <w:rsid w:val="007B66E1"/>
    <w:rsid w:val="007B6CE7"/>
    <w:rsid w:val="007B6EBF"/>
    <w:rsid w:val="007B758C"/>
    <w:rsid w:val="007B7D0C"/>
    <w:rsid w:val="007C054C"/>
    <w:rsid w:val="007C0898"/>
    <w:rsid w:val="007C0D67"/>
    <w:rsid w:val="007C174A"/>
    <w:rsid w:val="007C1E1E"/>
    <w:rsid w:val="007C2464"/>
    <w:rsid w:val="007C3301"/>
    <w:rsid w:val="007C363E"/>
    <w:rsid w:val="007C39F3"/>
    <w:rsid w:val="007C3B0B"/>
    <w:rsid w:val="007C3DD3"/>
    <w:rsid w:val="007C481D"/>
    <w:rsid w:val="007C49B9"/>
    <w:rsid w:val="007C4AC2"/>
    <w:rsid w:val="007C4AD8"/>
    <w:rsid w:val="007C4F86"/>
    <w:rsid w:val="007C676E"/>
    <w:rsid w:val="007C6A14"/>
    <w:rsid w:val="007C7360"/>
    <w:rsid w:val="007C7EF1"/>
    <w:rsid w:val="007D1585"/>
    <w:rsid w:val="007D1653"/>
    <w:rsid w:val="007D203A"/>
    <w:rsid w:val="007D2C7B"/>
    <w:rsid w:val="007D2FDF"/>
    <w:rsid w:val="007D4491"/>
    <w:rsid w:val="007D4BE9"/>
    <w:rsid w:val="007D4F5C"/>
    <w:rsid w:val="007D50D3"/>
    <w:rsid w:val="007D552F"/>
    <w:rsid w:val="007D554E"/>
    <w:rsid w:val="007D5616"/>
    <w:rsid w:val="007D672D"/>
    <w:rsid w:val="007D6D69"/>
    <w:rsid w:val="007D6F04"/>
    <w:rsid w:val="007D7548"/>
    <w:rsid w:val="007E0211"/>
    <w:rsid w:val="007E0377"/>
    <w:rsid w:val="007E055A"/>
    <w:rsid w:val="007E0937"/>
    <w:rsid w:val="007E0EC3"/>
    <w:rsid w:val="007E10A6"/>
    <w:rsid w:val="007E1392"/>
    <w:rsid w:val="007E13ED"/>
    <w:rsid w:val="007E1735"/>
    <w:rsid w:val="007E2DA4"/>
    <w:rsid w:val="007E3069"/>
    <w:rsid w:val="007E344E"/>
    <w:rsid w:val="007E3CD0"/>
    <w:rsid w:val="007E4357"/>
    <w:rsid w:val="007E4CDC"/>
    <w:rsid w:val="007E4CF9"/>
    <w:rsid w:val="007E4FF8"/>
    <w:rsid w:val="007E5464"/>
    <w:rsid w:val="007E57AC"/>
    <w:rsid w:val="007E5877"/>
    <w:rsid w:val="007E5949"/>
    <w:rsid w:val="007E59AB"/>
    <w:rsid w:val="007E6022"/>
    <w:rsid w:val="007E613A"/>
    <w:rsid w:val="007E6771"/>
    <w:rsid w:val="007E6C80"/>
    <w:rsid w:val="007E6D24"/>
    <w:rsid w:val="007E6DBF"/>
    <w:rsid w:val="007E7AA2"/>
    <w:rsid w:val="007F054D"/>
    <w:rsid w:val="007F0EFA"/>
    <w:rsid w:val="007F1B3A"/>
    <w:rsid w:val="007F1D6C"/>
    <w:rsid w:val="007F1E7C"/>
    <w:rsid w:val="007F2069"/>
    <w:rsid w:val="007F263B"/>
    <w:rsid w:val="007F2D28"/>
    <w:rsid w:val="007F3F1F"/>
    <w:rsid w:val="007F41E1"/>
    <w:rsid w:val="007F47E6"/>
    <w:rsid w:val="007F47FF"/>
    <w:rsid w:val="007F49A5"/>
    <w:rsid w:val="007F4DCF"/>
    <w:rsid w:val="007F5579"/>
    <w:rsid w:val="007F57E3"/>
    <w:rsid w:val="007F5A84"/>
    <w:rsid w:val="007F6C19"/>
    <w:rsid w:val="007F7146"/>
    <w:rsid w:val="007F7546"/>
    <w:rsid w:val="007F788D"/>
    <w:rsid w:val="007F7D29"/>
    <w:rsid w:val="00800740"/>
    <w:rsid w:val="008023BD"/>
    <w:rsid w:val="00802A4C"/>
    <w:rsid w:val="00803890"/>
    <w:rsid w:val="00803913"/>
    <w:rsid w:val="008041C4"/>
    <w:rsid w:val="00804B0C"/>
    <w:rsid w:val="00806354"/>
    <w:rsid w:val="0080678A"/>
    <w:rsid w:val="00806D7A"/>
    <w:rsid w:val="008076DC"/>
    <w:rsid w:val="00807DED"/>
    <w:rsid w:val="00810683"/>
    <w:rsid w:val="00810BD6"/>
    <w:rsid w:val="00810CC3"/>
    <w:rsid w:val="00810DE7"/>
    <w:rsid w:val="008115F4"/>
    <w:rsid w:val="00811BFF"/>
    <w:rsid w:val="00811E6F"/>
    <w:rsid w:val="008124B3"/>
    <w:rsid w:val="0081315B"/>
    <w:rsid w:val="00813D2E"/>
    <w:rsid w:val="00814E82"/>
    <w:rsid w:val="00814F6A"/>
    <w:rsid w:val="0081505E"/>
    <w:rsid w:val="00815A72"/>
    <w:rsid w:val="00816755"/>
    <w:rsid w:val="00816EC4"/>
    <w:rsid w:val="00817034"/>
    <w:rsid w:val="00817482"/>
    <w:rsid w:val="008204AD"/>
    <w:rsid w:val="008205F3"/>
    <w:rsid w:val="00820666"/>
    <w:rsid w:val="00820B53"/>
    <w:rsid w:val="00820E7C"/>
    <w:rsid w:val="0082278A"/>
    <w:rsid w:val="00822DA4"/>
    <w:rsid w:val="00822EA1"/>
    <w:rsid w:val="00823851"/>
    <w:rsid w:val="008239CB"/>
    <w:rsid w:val="00823DEC"/>
    <w:rsid w:val="00823EB4"/>
    <w:rsid w:val="00824825"/>
    <w:rsid w:val="00825032"/>
    <w:rsid w:val="00825430"/>
    <w:rsid w:val="00825695"/>
    <w:rsid w:val="0082571A"/>
    <w:rsid w:val="00827388"/>
    <w:rsid w:val="008276C7"/>
    <w:rsid w:val="00830627"/>
    <w:rsid w:val="00830631"/>
    <w:rsid w:val="008308C2"/>
    <w:rsid w:val="00830D39"/>
    <w:rsid w:val="00831621"/>
    <w:rsid w:val="0083189D"/>
    <w:rsid w:val="0083219C"/>
    <w:rsid w:val="00833055"/>
    <w:rsid w:val="0083418E"/>
    <w:rsid w:val="00834195"/>
    <w:rsid w:val="0083478B"/>
    <w:rsid w:val="00835088"/>
    <w:rsid w:val="00835264"/>
    <w:rsid w:val="0083537C"/>
    <w:rsid w:val="008359A5"/>
    <w:rsid w:val="00837D3A"/>
    <w:rsid w:val="0084097C"/>
    <w:rsid w:val="008410CD"/>
    <w:rsid w:val="0084122A"/>
    <w:rsid w:val="0084145B"/>
    <w:rsid w:val="008416C2"/>
    <w:rsid w:val="0084340E"/>
    <w:rsid w:val="00843F2B"/>
    <w:rsid w:val="008444F0"/>
    <w:rsid w:val="00845D9E"/>
    <w:rsid w:val="00846438"/>
    <w:rsid w:val="00846D31"/>
    <w:rsid w:val="00847B13"/>
    <w:rsid w:val="00847B91"/>
    <w:rsid w:val="00847F3F"/>
    <w:rsid w:val="0085074A"/>
    <w:rsid w:val="008510BB"/>
    <w:rsid w:val="00853497"/>
    <w:rsid w:val="00853E94"/>
    <w:rsid w:val="008543A1"/>
    <w:rsid w:val="00854977"/>
    <w:rsid w:val="008555BE"/>
    <w:rsid w:val="00855830"/>
    <w:rsid w:val="008559FA"/>
    <w:rsid w:val="00856639"/>
    <w:rsid w:val="00856723"/>
    <w:rsid w:val="00857591"/>
    <w:rsid w:val="00857D3C"/>
    <w:rsid w:val="0086004A"/>
    <w:rsid w:val="00860422"/>
    <w:rsid w:val="008605DC"/>
    <w:rsid w:val="008606B3"/>
    <w:rsid w:val="008612ED"/>
    <w:rsid w:val="00861A4B"/>
    <w:rsid w:val="00861EF1"/>
    <w:rsid w:val="0086209C"/>
    <w:rsid w:val="00862132"/>
    <w:rsid w:val="008633F1"/>
    <w:rsid w:val="008635D1"/>
    <w:rsid w:val="008637A7"/>
    <w:rsid w:val="00863C09"/>
    <w:rsid w:val="008645A6"/>
    <w:rsid w:val="00865B62"/>
    <w:rsid w:val="00866091"/>
    <w:rsid w:val="00866254"/>
    <w:rsid w:val="008670AA"/>
    <w:rsid w:val="00867837"/>
    <w:rsid w:val="008707F2"/>
    <w:rsid w:val="008712CA"/>
    <w:rsid w:val="00871306"/>
    <w:rsid w:val="00871893"/>
    <w:rsid w:val="00871B90"/>
    <w:rsid w:val="00872303"/>
    <w:rsid w:val="0087279B"/>
    <w:rsid w:val="008735E4"/>
    <w:rsid w:val="00873793"/>
    <w:rsid w:val="00873CE3"/>
    <w:rsid w:val="00874396"/>
    <w:rsid w:val="00874426"/>
    <w:rsid w:val="00874799"/>
    <w:rsid w:val="00875800"/>
    <w:rsid w:val="008759BA"/>
    <w:rsid w:val="00875D1E"/>
    <w:rsid w:val="00876352"/>
    <w:rsid w:val="008776C8"/>
    <w:rsid w:val="00877DDB"/>
    <w:rsid w:val="00880021"/>
    <w:rsid w:val="00880327"/>
    <w:rsid w:val="0088038B"/>
    <w:rsid w:val="00880763"/>
    <w:rsid w:val="00881087"/>
    <w:rsid w:val="008812D3"/>
    <w:rsid w:val="00883E5B"/>
    <w:rsid w:val="00884F9D"/>
    <w:rsid w:val="00885634"/>
    <w:rsid w:val="008865DE"/>
    <w:rsid w:val="00886884"/>
    <w:rsid w:val="0088771E"/>
    <w:rsid w:val="0089061E"/>
    <w:rsid w:val="00890B81"/>
    <w:rsid w:val="008919BA"/>
    <w:rsid w:val="008928A5"/>
    <w:rsid w:val="00892907"/>
    <w:rsid w:val="00892FB2"/>
    <w:rsid w:val="0089349A"/>
    <w:rsid w:val="00896B2D"/>
    <w:rsid w:val="00896F3C"/>
    <w:rsid w:val="00897281"/>
    <w:rsid w:val="0089758B"/>
    <w:rsid w:val="008A0153"/>
    <w:rsid w:val="008A1216"/>
    <w:rsid w:val="008A12E7"/>
    <w:rsid w:val="008A146B"/>
    <w:rsid w:val="008A2122"/>
    <w:rsid w:val="008A2518"/>
    <w:rsid w:val="008A269B"/>
    <w:rsid w:val="008A2A56"/>
    <w:rsid w:val="008A2E35"/>
    <w:rsid w:val="008A30A9"/>
    <w:rsid w:val="008A39E9"/>
    <w:rsid w:val="008A44B7"/>
    <w:rsid w:val="008A4D44"/>
    <w:rsid w:val="008A5431"/>
    <w:rsid w:val="008A6C9F"/>
    <w:rsid w:val="008B01CD"/>
    <w:rsid w:val="008B0694"/>
    <w:rsid w:val="008B0B27"/>
    <w:rsid w:val="008B0D10"/>
    <w:rsid w:val="008B101D"/>
    <w:rsid w:val="008B232D"/>
    <w:rsid w:val="008B2509"/>
    <w:rsid w:val="008B345C"/>
    <w:rsid w:val="008B3A09"/>
    <w:rsid w:val="008B3C86"/>
    <w:rsid w:val="008B3D91"/>
    <w:rsid w:val="008B4E62"/>
    <w:rsid w:val="008B5273"/>
    <w:rsid w:val="008B5944"/>
    <w:rsid w:val="008B5C52"/>
    <w:rsid w:val="008B64D9"/>
    <w:rsid w:val="008B78C2"/>
    <w:rsid w:val="008B7C44"/>
    <w:rsid w:val="008B7FE4"/>
    <w:rsid w:val="008C0113"/>
    <w:rsid w:val="008C135C"/>
    <w:rsid w:val="008C18F7"/>
    <w:rsid w:val="008C1FF0"/>
    <w:rsid w:val="008C24C4"/>
    <w:rsid w:val="008C2B67"/>
    <w:rsid w:val="008C31BE"/>
    <w:rsid w:val="008C3773"/>
    <w:rsid w:val="008C3C8E"/>
    <w:rsid w:val="008C3F84"/>
    <w:rsid w:val="008C416C"/>
    <w:rsid w:val="008C43B2"/>
    <w:rsid w:val="008C4597"/>
    <w:rsid w:val="008C4AEA"/>
    <w:rsid w:val="008C5899"/>
    <w:rsid w:val="008C593C"/>
    <w:rsid w:val="008C611A"/>
    <w:rsid w:val="008C7155"/>
    <w:rsid w:val="008C72F9"/>
    <w:rsid w:val="008C7E8D"/>
    <w:rsid w:val="008D1CF4"/>
    <w:rsid w:val="008D2370"/>
    <w:rsid w:val="008D2F46"/>
    <w:rsid w:val="008D3CBB"/>
    <w:rsid w:val="008D3E02"/>
    <w:rsid w:val="008D42FA"/>
    <w:rsid w:val="008D462B"/>
    <w:rsid w:val="008D4AEF"/>
    <w:rsid w:val="008D4B82"/>
    <w:rsid w:val="008D56A1"/>
    <w:rsid w:val="008D5C3B"/>
    <w:rsid w:val="008D5CCD"/>
    <w:rsid w:val="008D5D6B"/>
    <w:rsid w:val="008D6A16"/>
    <w:rsid w:val="008D6E0C"/>
    <w:rsid w:val="008D7779"/>
    <w:rsid w:val="008D77E7"/>
    <w:rsid w:val="008E00C7"/>
    <w:rsid w:val="008E0553"/>
    <w:rsid w:val="008E0630"/>
    <w:rsid w:val="008E19B2"/>
    <w:rsid w:val="008E1A4B"/>
    <w:rsid w:val="008E2940"/>
    <w:rsid w:val="008E34DB"/>
    <w:rsid w:val="008E41AD"/>
    <w:rsid w:val="008E43C3"/>
    <w:rsid w:val="008E484D"/>
    <w:rsid w:val="008E4871"/>
    <w:rsid w:val="008E4ADF"/>
    <w:rsid w:val="008E5479"/>
    <w:rsid w:val="008E566C"/>
    <w:rsid w:val="008E6958"/>
    <w:rsid w:val="008E6D4F"/>
    <w:rsid w:val="008E75E0"/>
    <w:rsid w:val="008F1E75"/>
    <w:rsid w:val="008F1F7E"/>
    <w:rsid w:val="008F2F07"/>
    <w:rsid w:val="008F3059"/>
    <w:rsid w:val="008F3B6A"/>
    <w:rsid w:val="008F4153"/>
    <w:rsid w:val="008F42A6"/>
    <w:rsid w:val="008F49B7"/>
    <w:rsid w:val="008F4A11"/>
    <w:rsid w:val="008F4C75"/>
    <w:rsid w:val="008F4D50"/>
    <w:rsid w:val="008F4EA2"/>
    <w:rsid w:val="008F5116"/>
    <w:rsid w:val="008F6458"/>
    <w:rsid w:val="008F6A71"/>
    <w:rsid w:val="008F75AC"/>
    <w:rsid w:val="008F7F69"/>
    <w:rsid w:val="00900392"/>
    <w:rsid w:val="00900557"/>
    <w:rsid w:val="00900E79"/>
    <w:rsid w:val="009012F6"/>
    <w:rsid w:val="00901810"/>
    <w:rsid w:val="00901CB5"/>
    <w:rsid w:val="00901D39"/>
    <w:rsid w:val="0090213D"/>
    <w:rsid w:val="009023F8"/>
    <w:rsid w:val="00902A23"/>
    <w:rsid w:val="00902E6E"/>
    <w:rsid w:val="0090346F"/>
    <w:rsid w:val="009036C2"/>
    <w:rsid w:val="00903928"/>
    <w:rsid w:val="00903CA1"/>
    <w:rsid w:val="00903DD2"/>
    <w:rsid w:val="00903E47"/>
    <w:rsid w:val="009040A7"/>
    <w:rsid w:val="00904134"/>
    <w:rsid w:val="009051E2"/>
    <w:rsid w:val="00905571"/>
    <w:rsid w:val="00905FF5"/>
    <w:rsid w:val="00906C41"/>
    <w:rsid w:val="009100BC"/>
    <w:rsid w:val="009103BB"/>
    <w:rsid w:val="00910403"/>
    <w:rsid w:val="009105D6"/>
    <w:rsid w:val="00910F04"/>
    <w:rsid w:val="00911B55"/>
    <w:rsid w:val="00913A0E"/>
    <w:rsid w:val="00913FB4"/>
    <w:rsid w:val="00914323"/>
    <w:rsid w:val="00914576"/>
    <w:rsid w:val="00915112"/>
    <w:rsid w:val="00915428"/>
    <w:rsid w:val="00915433"/>
    <w:rsid w:val="009161AE"/>
    <w:rsid w:val="0091721E"/>
    <w:rsid w:val="00917657"/>
    <w:rsid w:val="0092044D"/>
    <w:rsid w:val="009207FC"/>
    <w:rsid w:val="00920C52"/>
    <w:rsid w:val="00920FFB"/>
    <w:rsid w:val="00921B9A"/>
    <w:rsid w:val="00921DED"/>
    <w:rsid w:val="00922A1B"/>
    <w:rsid w:val="00922CAB"/>
    <w:rsid w:val="00922CE2"/>
    <w:rsid w:val="0092400A"/>
    <w:rsid w:val="009241D8"/>
    <w:rsid w:val="009247CD"/>
    <w:rsid w:val="00924FB7"/>
    <w:rsid w:val="00924FDC"/>
    <w:rsid w:val="0092513F"/>
    <w:rsid w:val="00926293"/>
    <w:rsid w:val="009267FA"/>
    <w:rsid w:val="00927298"/>
    <w:rsid w:val="009273D8"/>
    <w:rsid w:val="00927766"/>
    <w:rsid w:val="00927F80"/>
    <w:rsid w:val="009300F9"/>
    <w:rsid w:val="00930CDB"/>
    <w:rsid w:val="00930D11"/>
    <w:rsid w:val="00931E45"/>
    <w:rsid w:val="00932EE2"/>
    <w:rsid w:val="00933FFD"/>
    <w:rsid w:val="009345D8"/>
    <w:rsid w:val="0093460C"/>
    <w:rsid w:val="009349FB"/>
    <w:rsid w:val="0093512E"/>
    <w:rsid w:val="009357AC"/>
    <w:rsid w:val="00935B03"/>
    <w:rsid w:val="00935E9A"/>
    <w:rsid w:val="00936068"/>
    <w:rsid w:val="0093652C"/>
    <w:rsid w:val="00936F8E"/>
    <w:rsid w:val="00937032"/>
    <w:rsid w:val="0093796F"/>
    <w:rsid w:val="00937BB0"/>
    <w:rsid w:val="00937F7C"/>
    <w:rsid w:val="00940320"/>
    <w:rsid w:val="00940A2E"/>
    <w:rsid w:val="00940B2E"/>
    <w:rsid w:val="00940C19"/>
    <w:rsid w:val="00940CF9"/>
    <w:rsid w:val="009410C1"/>
    <w:rsid w:val="009419A4"/>
    <w:rsid w:val="00941EDC"/>
    <w:rsid w:val="0094209A"/>
    <w:rsid w:val="00942287"/>
    <w:rsid w:val="00942384"/>
    <w:rsid w:val="0094269E"/>
    <w:rsid w:val="00942BE7"/>
    <w:rsid w:val="00943450"/>
    <w:rsid w:val="009440AD"/>
    <w:rsid w:val="009442A7"/>
    <w:rsid w:val="009443A8"/>
    <w:rsid w:val="00944427"/>
    <w:rsid w:val="0094461D"/>
    <w:rsid w:val="009449BE"/>
    <w:rsid w:val="00944A40"/>
    <w:rsid w:val="00944DDF"/>
    <w:rsid w:val="009453ED"/>
    <w:rsid w:val="009456BE"/>
    <w:rsid w:val="00945D36"/>
    <w:rsid w:val="00945E0D"/>
    <w:rsid w:val="00946957"/>
    <w:rsid w:val="00946F08"/>
    <w:rsid w:val="009477B0"/>
    <w:rsid w:val="00951542"/>
    <w:rsid w:val="00951E68"/>
    <w:rsid w:val="00952D38"/>
    <w:rsid w:val="009540E2"/>
    <w:rsid w:val="00954BFE"/>
    <w:rsid w:val="0095516B"/>
    <w:rsid w:val="00955F1D"/>
    <w:rsid w:val="009565C3"/>
    <w:rsid w:val="00956D7C"/>
    <w:rsid w:val="00957B87"/>
    <w:rsid w:val="00960498"/>
    <w:rsid w:val="00960D3C"/>
    <w:rsid w:val="00961261"/>
    <w:rsid w:val="0096136A"/>
    <w:rsid w:val="00962A0B"/>
    <w:rsid w:val="00963456"/>
    <w:rsid w:val="009640C3"/>
    <w:rsid w:val="00965433"/>
    <w:rsid w:val="009658B7"/>
    <w:rsid w:val="00965E2D"/>
    <w:rsid w:val="00965F69"/>
    <w:rsid w:val="00966331"/>
    <w:rsid w:val="009664BA"/>
    <w:rsid w:val="009667E6"/>
    <w:rsid w:val="00966AAE"/>
    <w:rsid w:val="00966F6F"/>
    <w:rsid w:val="00967450"/>
    <w:rsid w:val="0096752F"/>
    <w:rsid w:val="009675D2"/>
    <w:rsid w:val="0096768B"/>
    <w:rsid w:val="00967F8A"/>
    <w:rsid w:val="00970574"/>
    <w:rsid w:val="00970713"/>
    <w:rsid w:val="00970E92"/>
    <w:rsid w:val="009712C5"/>
    <w:rsid w:val="00971CFC"/>
    <w:rsid w:val="00972991"/>
    <w:rsid w:val="00972A5B"/>
    <w:rsid w:val="00973E40"/>
    <w:rsid w:val="00974AA7"/>
    <w:rsid w:val="00974B68"/>
    <w:rsid w:val="00975071"/>
    <w:rsid w:val="00975C3B"/>
    <w:rsid w:val="0097604F"/>
    <w:rsid w:val="00976452"/>
    <w:rsid w:val="00976807"/>
    <w:rsid w:val="00977362"/>
    <w:rsid w:val="00977380"/>
    <w:rsid w:val="00980026"/>
    <w:rsid w:val="00980795"/>
    <w:rsid w:val="00980832"/>
    <w:rsid w:val="009813BE"/>
    <w:rsid w:val="00981B73"/>
    <w:rsid w:val="009823A4"/>
    <w:rsid w:val="00982918"/>
    <w:rsid w:val="0098353A"/>
    <w:rsid w:val="0098428D"/>
    <w:rsid w:val="00984588"/>
    <w:rsid w:val="00984B33"/>
    <w:rsid w:val="009853F6"/>
    <w:rsid w:val="0098543B"/>
    <w:rsid w:val="00985903"/>
    <w:rsid w:val="0098630C"/>
    <w:rsid w:val="009869ED"/>
    <w:rsid w:val="00986DC7"/>
    <w:rsid w:val="0098729D"/>
    <w:rsid w:val="009877B6"/>
    <w:rsid w:val="0099002F"/>
    <w:rsid w:val="00990742"/>
    <w:rsid w:val="00990BCB"/>
    <w:rsid w:val="009916BD"/>
    <w:rsid w:val="0099199F"/>
    <w:rsid w:val="009922DA"/>
    <w:rsid w:val="00992461"/>
    <w:rsid w:val="009924A8"/>
    <w:rsid w:val="009926B1"/>
    <w:rsid w:val="0099330C"/>
    <w:rsid w:val="00993836"/>
    <w:rsid w:val="00993C09"/>
    <w:rsid w:val="00993E90"/>
    <w:rsid w:val="00993F66"/>
    <w:rsid w:val="00994021"/>
    <w:rsid w:val="00994499"/>
    <w:rsid w:val="00994872"/>
    <w:rsid w:val="00994B2D"/>
    <w:rsid w:val="009952C6"/>
    <w:rsid w:val="00995411"/>
    <w:rsid w:val="00995A16"/>
    <w:rsid w:val="00995A42"/>
    <w:rsid w:val="00995A52"/>
    <w:rsid w:val="00997BCB"/>
    <w:rsid w:val="009A0DB6"/>
    <w:rsid w:val="009A105F"/>
    <w:rsid w:val="009A285D"/>
    <w:rsid w:val="009A28EF"/>
    <w:rsid w:val="009A294D"/>
    <w:rsid w:val="009A2B71"/>
    <w:rsid w:val="009A38EA"/>
    <w:rsid w:val="009A405B"/>
    <w:rsid w:val="009A40FF"/>
    <w:rsid w:val="009A4225"/>
    <w:rsid w:val="009A46FF"/>
    <w:rsid w:val="009A59AA"/>
    <w:rsid w:val="009A6B52"/>
    <w:rsid w:val="009A6F53"/>
    <w:rsid w:val="009A74ED"/>
    <w:rsid w:val="009A79D3"/>
    <w:rsid w:val="009B0B9F"/>
    <w:rsid w:val="009B0F6B"/>
    <w:rsid w:val="009B1BF2"/>
    <w:rsid w:val="009B2084"/>
    <w:rsid w:val="009B2430"/>
    <w:rsid w:val="009B27B8"/>
    <w:rsid w:val="009B370D"/>
    <w:rsid w:val="009B3E1A"/>
    <w:rsid w:val="009B5E67"/>
    <w:rsid w:val="009B68F3"/>
    <w:rsid w:val="009C07E6"/>
    <w:rsid w:val="009C0D5A"/>
    <w:rsid w:val="009C186E"/>
    <w:rsid w:val="009C1BE9"/>
    <w:rsid w:val="009C22F9"/>
    <w:rsid w:val="009C2BB7"/>
    <w:rsid w:val="009C2E82"/>
    <w:rsid w:val="009C3383"/>
    <w:rsid w:val="009C6EEB"/>
    <w:rsid w:val="009C721E"/>
    <w:rsid w:val="009C775B"/>
    <w:rsid w:val="009C79C0"/>
    <w:rsid w:val="009D0D5D"/>
    <w:rsid w:val="009D104A"/>
    <w:rsid w:val="009D16AF"/>
    <w:rsid w:val="009D16E0"/>
    <w:rsid w:val="009D25B3"/>
    <w:rsid w:val="009D27D8"/>
    <w:rsid w:val="009D29B3"/>
    <w:rsid w:val="009D2A07"/>
    <w:rsid w:val="009D3469"/>
    <w:rsid w:val="009D3532"/>
    <w:rsid w:val="009D3D99"/>
    <w:rsid w:val="009D42B8"/>
    <w:rsid w:val="009D4830"/>
    <w:rsid w:val="009D53BA"/>
    <w:rsid w:val="009D6269"/>
    <w:rsid w:val="009D641C"/>
    <w:rsid w:val="009D68A7"/>
    <w:rsid w:val="009D76E7"/>
    <w:rsid w:val="009D7CF4"/>
    <w:rsid w:val="009E0341"/>
    <w:rsid w:val="009E04DC"/>
    <w:rsid w:val="009E0BAC"/>
    <w:rsid w:val="009E0E69"/>
    <w:rsid w:val="009E17FE"/>
    <w:rsid w:val="009E191E"/>
    <w:rsid w:val="009E1C18"/>
    <w:rsid w:val="009E1FC3"/>
    <w:rsid w:val="009E3A96"/>
    <w:rsid w:val="009E3AAB"/>
    <w:rsid w:val="009E3F79"/>
    <w:rsid w:val="009E40D8"/>
    <w:rsid w:val="009E42DE"/>
    <w:rsid w:val="009E4403"/>
    <w:rsid w:val="009E4E6F"/>
    <w:rsid w:val="009E521C"/>
    <w:rsid w:val="009E55B5"/>
    <w:rsid w:val="009E5A68"/>
    <w:rsid w:val="009E5FA4"/>
    <w:rsid w:val="009E6ABB"/>
    <w:rsid w:val="009E7337"/>
    <w:rsid w:val="009E755B"/>
    <w:rsid w:val="009E76BB"/>
    <w:rsid w:val="009E791F"/>
    <w:rsid w:val="009E7FF6"/>
    <w:rsid w:val="009F05C3"/>
    <w:rsid w:val="009F0A3E"/>
    <w:rsid w:val="009F2084"/>
    <w:rsid w:val="009F29AF"/>
    <w:rsid w:val="009F2E47"/>
    <w:rsid w:val="009F399D"/>
    <w:rsid w:val="009F4A03"/>
    <w:rsid w:val="009F4C0F"/>
    <w:rsid w:val="009F5476"/>
    <w:rsid w:val="009F6F0D"/>
    <w:rsid w:val="00A00083"/>
    <w:rsid w:val="00A0010D"/>
    <w:rsid w:val="00A00A15"/>
    <w:rsid w:val="00A00B46"/>
    <w:rsid w:val="00A00E46"/>
    <w:rsid w:val="00A024DA"/>
    <w:rsid w:val="00A02EFD"/>
    <w:rsid w:val="00A038B9"/>
    <w:rsid w:val="00A03D8E"/>
    <w:rsid w:val="00A03FB8"/>
    <w:rsid w:val="00A045C4"/>
    <w:rsid w:val="00A04845"/>
    <w:rsid w:val="00A049FE"/>
    <w:rsid w:val="00A051EA"/>
    <w:rsid w:val="00A057AE"/>
    <w:rsid w:val="00A05EB8"/>
    <w:rsid w:val="00A066E7"/>
    <w:rsid w:val="00A06779"/>
    <w:rsid w:val="00A06A83"/>
    <w:rsid w:val="00A06B34"/>
    <w:rsid w:val="00A06F9E"/>
    <w:rsid w:val="00A07500"/>
    <w:rsid w:val="00A07723"/>
    <w:rsid w:val="00A10674"/>
    <w:rsid w:val="00A10EB0"/>
    <w:rsid w:val="00A1106F"/>
    <w:rsid w:val="00A113BA"/>
    <w:rsid w:val="00A11D94"/>
    <w:rsid w:val="00A1221E"/>
    <w:rsid w:val="00A122DB"/>
    <w:rsid w:val="00A1298E"/>
    <w:rsid w:val="00A13292"/>
    <w:rsid w:val="00A1345B"/>
    <w:rsid w:val="00A13A3B"/>
    <w:rsid w:val="00A14D33"/>
    <w:rsid w:val="00A15E6D"/>
    <w:rsid w:val="00A162F5"/>
    <w:rsid w:val="00A16400"/>
    <w:rsid w:val="00A168C9"/>
    <w:rsid w:val="00A16FD1"/>
    <w:rsid w:val="00A203A9"/>
    <w:rsid w:val="00A215BA"/>
    <w:rsid w:val="00A21979"/>
    <w:rsid w:val="00A225E8"/>
    <w:rsid w:val="00A22689"/>
    <w:rsid w:val="00A22827"/>
    <w:rsid w:val="00A2290D"/>
    <w:rsid w:val="00A2339D"/>
    <w:rsid w:val="00A2353B"/>
    <w:rsid w:val="00A23B94"/>
    <w:rsid w:val="00A23C25"/>
    <w:rsid w:val="00A23F6F"/>
    <w:rsid w:val="00A24090"/>
    <w:rsid w:val="00A24347"/>
    <w:rsid w:val="00A245F7"/>
    <w:rsid w:val="00A2552C"/>
    <w:rsid w:val="00A25569"/>
    <w:rsid w:val="00A2573E"/>
    <w:rsid w:val="00A25939"/>
    <w:rsid w:val="00A25DA7"/>
    <w:rsid w:val="00A260C6"/>
    <w:rsid w:val="00A261F9"/>
    <w:rsid w:val="00A264AA"/>
    <w:rsid w:val="00A267C4"/>
    <w:rsid w:val="00A27116"/>
    <w:rsid w:val="00A274FF"/>
    <w:rsid w:val="00A27D0D"/>
    <w:rsid w:val="00A27EBA"/>
    <w:rsid w:val="00A3061E"/>
    <w:rsid w:val="00A31E17"/>
    <w:rsid w:val="00A3285C"/>
    <w:rsid w:val="00A32C4D"/>
    <w:rsid w:val="00A3317A"/>
    <w:rsid w:val="00A3384E"/>
    <w:rsid w:val="00A3386F"/>
    <w:rsid w:val="00A33A0A"/>
    <w:rsid w:val="00A3418B"/>
    <w:rsid w:val="00A3420E"/>
    <w:rsid w:val="00A34BFA"/>
    <w:rsid w:val="00A34E1B"/>
    <w:rsid w:val="00A3517B"/>
    <w:rsid w:val="00A3589A"/>
    <w:rsid w:val="00A35D0D"/>
    <w:rsid w:val="00A3667E"/>
    <w:rsid w:val="00A36742"/>
    <w:rsid w:val="00A36939"/>
    <w:rsid w:val="00A36AD4"/>
    <w:rsid w:val="00A3771F"/>
    <w:rsid w:val="00A40B2B"/>
    <w:rsid w:val="00A414B3"/>
    <w:rsid w:val="00A41B38"/>
    <w:rsid w:val="00A42D94"/>
    <w:rsid w:val="00A43032"/>
    <w:rsid w:val="00A43047"/>
    <w:rsid w:val="00A430DD"/>
    <w:rsid w:val="00A43524"/>
    <w:rsid w:val="00A4366E"/>
    <w:rsid w:val="00A43AF2"/>
    <w:rsid w:val="00A43E80"/>
    <w:rsid w:val="00A4454E"/>
    <w:rsid w:val="00A44806"/>
    <w:rsid w:val="00A44978"/>
    <w:rsid w:val="00A453D4"/>
    <w:rsid w:val="00A46394"/>
    <w:rsid w:val="00A46481"/>
    <w:rsid w:val="00A469F5"/>
    <w:rsid w:val="00A46AEA"/>
    <w:rsid w:val="00A46E6C"/>
    <w:rsid w:val="00A47370"/>
    <w:rsid w:val="00A47BD5"/>
    <w:rsid w:val="00A47C20"/>
    <w:rsid w:val="00A47EF4"/>
    <w:rsid w:val="00A47FC2"/>
    <w:rsid w:val="00A50508"/>
    <w:rsid w:val="00A51100"/>
    <w:rsid w:val="00A517E5"/>
    <w:rsid w:val="00A51EC9"/>
    <w:rsid w:val="00A52249"/>
    <w:rsid w:val="00A53036"/>
    <w:rsid w:val="00A536CA"/>
    <w:rsid w:val="00A538A6"/>
    <w:rsid w:val="00A53BEC"/>
    <w:rsid w:val="00A54659"/>
    <w:rsid w:val="00A5493F"/>
    <w:rsid w:val="00A54E53"/>
    <w:rsid w:val="00A555DE"/>
    <w:rsid w:val="00A558FA"/>
    <w:rsid w:val="00A559A7"/>
    <w:rsid w:val="00A564D4"/>
    <w:rsid w:val="00A56DFB"/>
    <w:rsid w:val="00A5774F"/>
    <w:rsid w:val="00A5791B"/>
    <w:rsid w:val="00A6028A"/>
    <w:rsid w:val="00A60337"/>
    <w:rsid w:val="00A605F4"/>
    <w:rsid w:val="00A60BD7"/>
    <w:rsid w:val="00A60BE2"/>
    <w:rsid w:val="00A60F90"/>
    <w:rsid w:val="00A61673"/>
    <w:rsid w:val="00A61977"/>
    <w:rsid w:val="00A6288F"/>
    <w:rsid w:val="00A63556"/>
    <w:rsid w:val="00A63E89"/>
    <w:rsid w:val="00A645EC"/>
    <w:rsid w:val="00A655ED"/>
    <w:rsid w:val="00A656E6"/>
    <w:rsid w:val="00A65A1F"/>
    <w:rsid w:val="00A65E54"/>
    <w:rsid w:val="00A6641E"/>
    <w:rsid w:val="00A664CF"/>
    <w:rsid w:val="00A670DD"/>
    <w:rsid w:val="00A67E36"/>
    <w:rsid w:val="00A702E2"/>
    <w:rsid w:val="00A70E8F"/>
    <w:rsid w:val="00A722FC"/>
    <w:rsid w:val="00A72ABB"/>
    <w:rsid w:val="00A737E9"/>
    <w:rsid w:val="00A740F6"/>
    <w:rsid w:val="00A7436B"/>
    <w:rsid w:val="00A74BE1"/>
    <w:rsid w:val="00A74DD6"/>
    <w:rsid w:val="00A75165"/>
    <w:rsid w:val="00A7585C"/>
    <w:rsid w:val="00A75B17"/>
    <w:rsid w:val="00A75C49"/>
    <w:rsid w:val="00A75FD6"/>
    <w:rsid w:val="00A76BEB"/>
    <w:rsid w:val="00A77F41"/>
    <w:rsid w:val="00A80191"/>
    <w:rsid w:val="00A81467"/>
    <w:rsid w:val="00A8193E"/>
    <w:rsid w:val="00A8259F"/>
    <w:rsid w:val="00A825E7"/>
    <w:rsid w:val="00A82ABC"/>
    <w:rsid w:val="00A83CBB"/>
    <w:rsid w:val="00A84E4F"/>
    <w:rsid w:val="00A86D6B"/>
    <w:rsid w:val="00A87000"/>
    <w:rsid w:val="00A87361"/>
    <w:rsid w:val="00A87456"/>
    <w:rsid w:val="00A87680"/>
    <w:rsid w:val="00A87A00"/>
    <w:rsid w:val="00A87A94"/>
    <w:rsid w:val="00A900EF"/>
    <w:rsid w:val="00A90ECF"/>
    <w:rsid w:val="00A9138C"/>
    <w:rsid w:val="00A91901"/>
    <w:rsid w:val="00A91A40"/>
    <w:rsid w:val="00A91AE7"/>
    <w:rsid w:val="00A91E8C"/>
    <w:rsid w:val="00A924A7"/>
    <w:rsid w:val="00A92637"/>
    <w:rsid w:val="00A927E4"/>
    <w:rsid w:val="00A931E8"/>
    <w:rsid w:val="00A93343"/>
    <w:rsid w:val="00A93376"/>
    <w:rsid w:val="00A934DD"/>
    <w:rsid w:val="00A93863"/>
    <w:rsid w:val="00A93973"/>
    <w:rsid w:val="00A93FBB"/>
    <w:rsid w:val="00A949EA"/>
    <w:rsid w:val="00A95EFA"/>
    <w:rsid w:val="00A95F31"/>
    <w:rsid w:val="00A95F99"/>
    <w:rsid w:val="00A96EC8"/>
    <w:rsid w:val="00A97052"/>
    <w:rsid w:val="00AA01A8"/>
    <w:rsid w:val="00AA03C5"/>
    <w:rsid w:val="00AA0853"/>
    <w:rsid w:val="00AA159E"/>
    <w:rsid w:val="00AA161B"/>
    <w:rsid w:val="00AA2160"/>
    <w:rsid w:val="00AA2757"/>
    <w:rsid w:val="00AA31F3"/>
    <w:rsid w:val="00AA339E"/>
    <w:rsid w:val="00AA3C26"/>
    <w:rsid w:val="00AA4645"/>
    <w:rsid w:val="00AA4B12"/>
    <w:rsid w:val="00AA5D75"/>
    <w:rsid w:val="00AA6410"/>
    <w:rsid w:val="00AA6FA3"/>
    <w:rsid w:val="00AA7B17"/>
    <w:rsid w:val="00AA7E2F"/>
    <w:rsid w:val="00AB055E"/>
    <w:rsid w:val="00AB07CE"/>
    <w:rsid w:val="00AB146F"/>
    <w:rsid w:val="00AB18CA"/>
    <w:rsid w:val="00AB1F03"/>
    <w:rsid w:val="00AB2D86"/>
    <w:rsid w:val="00AB3BA7"/>
    <w:rsid w:val="00AB4849"/>
    <w:rsid w:val="00AB49AB"/>
    <w:rsid w:val="00AB4ECF"/>
    <w:rsid w:val="00AB51A6"/>
    <w:rsid w:val="00AB54A6"/>
    <w:rsid w:val="00AB65D0"/>
    <w:rsid w:val="00AB68C6"/>
    <w:rsid w:val="00AC016E"/>
    <w:rsid w:val="00AC03EB"/>
    <w:rsid w:val="00AC0987"/>
    <w:rsid w:val="00AC11B4"/>
    <w:rsid w:val="00AC15F5"/>
    <w:rsid w:val="00AC1937"/>
    <w:rsid w:val="00AC194E"/>
    <w:rsid w:val="00AC1A73"/>
    <w:rsid w:val="00AC1F2F"/>
    <w:rsid w:val="00AC2670"/>
    <w:rsid w:val="00AC29AB"/>
    <w:rsid w:val="00AC32FE"/>
    <w:rsid w:val="00AC33B1"/>
    <w:rsid w:val="00AC3798"/>
    <w:rsid w:val="00AC4380"/>
    <w:rsid w:val="00AC446B"/>
    <w:rsid w:val="00AC51D5"/>
    <w:rsid w:val="00AC53D0"/>
    <w:rsid w:val="00AC5ECB"/>
    <w:rsid w:val="00AC70AA"/>
    <w:rsid w:val="00AC7DD8"/>
    <w:rsid w:val="00AD1419"/>
    <w:rsid w:val="00AD1449"/>
    <w:rsid w:val="00AD19B6"/>
    <w:rsid w:val="00AD1A82"/>
    <w:rsid w:val="00AD2062"/>
    <w:rsid w:val="00AD2116"/>
    <w:rsid w:val="00AD265C"/>
    <w:rsid w:val="00AD2706"/>
    <w:rsid w:val="00AD2757"/>
    <w:rsid w:val="00AD29D8"/>
    <w:rsid w:val="00AD3100"/>
    <w:rsid w:val="00AD4554"/>
    <w:rsid w:val="00AD4C47"/>
    <w:rsid w:val="00AD4F75"/>
    <w:rsid w:val="00AD60BC"/>
    <w:rsid w:val="00AD64DE"/>
    <w:rsid w:val="00AD75C3"/>
    <w:rsid w:val="00AD7B2F"/>
    <w:rsid w:val="00AE00DC"/>
    <w:rsid w:val="00AE126A"/>
    <w:rsid w:val="00AE126E"/>
    <w:rsid w:val="00AE1602"/>
    <w:rsid w:val="00AE1A7D"/>
    <w:rsid w:val="00AE2B29"/>
    <w:rsid w:val="00AE2C00"/>
    <w:rsid w:val="00AE3570"/>
    <w:rsid w:val="00AE3B3D"/>
    <w:rsid w:val="00AE53FB"/>
    <w:rsid w:val="00AE5556"/>
    <w:rsid w:val="00AE5AA4"/>
    <w:rsid w:val="00AE5C2E"/>
    <w:rsid w:val="00AE64A1"/>
    <w:rsid w:val="00AE6E7D"/>
    <w:rsid w:val="00AE74C2"/>
    <w:rsid w:val="00AE74D3"/>
    <w:rsid w:val="00AF077A"/>
    <w:rsid w:val="00AF0979"/>
    <w:rsid w:val="00AF0FC0"/>
    <w:rsid w:val="00AF2091"/>
    <w:rsid w:val="00AF2358"/>
    <w:rsid w:val="00AF2382"/>
    <w:rsid w:val="00AF2871"/>
    <w:rsid w:val="00AF2BF1"/>
    <w:rsid w:val="00AF30C6"/>
    <w:rsid w:val="00AF392A"/>
    <w:rsid w:val="00AF4429"/>
    <w:rsid w:val="00AF5032"/>
    <w:rsid w:val="00AF5A8E"/>
    <w:rsid w:val="00AF6786"/>
    <w:rsid w:val="00AF6C2B"/>
    <w:rsid w:val="00AF7207"/>
    <w:rsid w:val="00AF7CE5"/>
    <w:rsid w:val="00B0042E"/>
    <w:rsid w:val="00B00A11"/>
    <w:rsid w:val="00B02107"/>
    <w:rsid w:val="00B02489"/>
    <w:rsid w:val="00B026AA"/>
    <w:rsid w:val="00B02967"/>
    <w:rsid w:val="00B02FFE"/>
    <w:rsid w:val="00B030B9"/>
    <w:rsid w:val="00B03E0D"/>
    <w:rsid w:val="00B043C4"/>
    <w:rsid w:val="00B0513A"/>
    <w:rsid w:val="00B0589A"/>
    <w:rsid w:val="00B0594E"/>
    <w:rsid w:val="00B06A7B"/>
    <w:rsid w:val="00B06A80"/>
    <w:rsid w:val="00B06C08"/>
    <w:rsid w:val="00B07142"/>
    <w:rsid w:val="00B071BE"/>
    <w:rsid w:val="00B07C44"/>
    <w:rsid w:val="00B07DE5"/>
    <w:rsid w:val="00B07E92"/>
    <w:rsid w:val="00B07EC8"/>
    <w:rsid w:val="00B1000E"/>
    <w:rsid w:val="00B10A96"/>
    <w:rsid w:val="00B10E21"/>
    <w:rsid w:val="00B11C08"/>
    <w:rsid w:val="00B11DB0"/>
    <w:rsid w:val="00B12A46"/>
    <w:rsid w:val="00B12E73"/>
    <w:rsid w:val="00B13996"/>
    <w:rsid w:val="00B13E7F"/>
    <w:rsid w:val="00B14365"/>
    <w:rsid w:val="00B14CA9"/>
    <w:rsid w:val="00B14EE6"/>
    <w:rsid w:val="00B1531F"/>
    <w:rsid w:val="00B16C48"/>
    <w:rsid w:val="00B16CD9"/>
    <w:rsid w:val="00B20180"/>
    <w:rsid w:val="00B203B7"/>
    <w:rsid w:val="00B2066F"/>
    <w:rsid w:val="00B209A1"/>
    <w:rsid w:val="00B20CFF"/>
    <w:rsid w:val="00B21456"/>
    <w:rsid w:val="00B221E7"/>
    <w:rsid w:val="00B23A2A"/>
    <w:rsid w:val="00B23B6D"/>
    <w:rsid w:val="00B2420B"/>
    <w:rsid w:val="00B2511F"/>
    <w:rsid w:val="00B25444"/>
    <w:rsid w:val="00B25730"/>
    <w:rsid w:val="00B278BC"/>
    <w:rsid w:val="00B27BB6"/>
    <w:rsid w:val="00B30792"/>
    <w:rsid w:val="00B3130D"/>
    <w:rsid w:val="00B31913"/>
    <w:rsid w:val="00B31C55"/>
    <w:rsid w:val="00B3240B"/>
    <w:rsid w:val="00B329D6"/>
    <w:rsid w:val="00B32CC6"/>
    <w:rsid w:val="00B33C33"/>
    <w:rsid w:val="00B3416C"/>
    <w:rsid w:val="00B34DE3"/>
    <w:rsid w:val="00B36591"/>
    <w:rsid w:val="00B36762"/>
    <w:rsid w:val="00B367A1"/>
    <w:rsid w:val="00B36AEB"/>
    <w:rsid w:val="00B372B0"/>
    <w:rsid w:val="00B37D97"/>
    <w:rsid w:val="00B402E5"/>
    <w:rsid w:val="00B40A11"/>
    <w:rsid w:val="00B40C02"/>
    <w:rsid w:val="00B40C9A"/>
    <w:rsid w:val="00B418BB"/>
    <w:rsid w:val="00B42297"/>
    <w:rsid w:val="00B42980"/>
    <w:rsid w:val="00B430E5"/>
    <w:rsid w:val="00B43433"/>
    <w:rsid w:val="00B43684"/>
    <w:rsid w:val="00B437B9"/>
    <w:rsid w:val="00B43BA6"/>
    <w:rsid w:val="00B440DB"/>
    <w:rsid w:val="00B44259"/>
    <w:rsid w:val="00B448D8"/>
    <w:rsid w:val="00B44E4A"/>
    <w:rsid w:val="00B4529B"/>
    <w:rsid w:val="00B45BF7"/>
    <w:rsid w:val="00B46152"/>
    <w:rsid w:val="00B4728B"/>
    <w:rsid w:val="00B4769C"/>
    <w:rsid w:val="00B47EAC"/>
    <w:rsid w:val="00B50284"/>
    <w:rsid w:val="00B503B7"/>
    <w:rsid w:val="00B50BF1"/>
    <w:rsid w:val="00B50C3F"/>
    <w:rsid w:val="00B5105C"/>
    <w:rsid w:val="00B511C9"/>
    <w:rsid w:val="00B5155C"/>
    <w:rsid w:val="00B5225A"/>
    <w:rsid w:val="00B52452"/>
    <w:rsid w:val="00B52481"/>
    <w:rsid w:val="00B529F0"/>
    <w:rsid w:val="00B52C6C"/>
    <w:rsid w:val="00B533F7"/>
    <w:rsid w:val="00B53815"/>
    <w:rsid w:val="00B53DF5"/>
    <w:rsid w:val="00B53EED"/>
    <w:rsid w:val="00B54437"/>
    <w:rsid w:val="00B54E31"/>
    <w:rsid w:val="00B551BD"/>
    <w:rsid w:val="00B55993"/>
    <w:rsid w:val="00B56A30"/>
    <w:rsid w:val="00B56DA0"/>
    <w:rsid w:val="00B575D8"/>
    <w:rsid w:val="00B579D9"/>
    <w:rsid w:val="00B57A28"/>
    <w:rsid w:val="00B57CFF"/>
    <w:rsid w:val="00B60D66"/>
    <w:rsid w:val="00B61460"/>
    <w:rsid w:val="00B61C45"/>
    <w:rsid w:val="00B61E55"/>
    <w:rsid w:val="00B61F68"/>
    <w:rsid w:val="00B621C3"/>
    <w:rsid w:val="00B6288A"/>
    <w:rsid w:val="00B62F89"/>
    <w:rsid w:val="00B64510"/>
    <w:rsid w:val="00B647B4"/>
    <w:rsid w:val="00B6516D"/>
    <w:rsid w:val="00B6517B"/>
    <w:rsid w:val="00B656E2"/>
    <w:rsid w:val="00B66A6E"/>
    <w:rsid w:val="00B67268"/>
    <w:rsid w:val="00B6747C"/>
    <w:rsid w:val="00B67A47"/>
    <w:rsid w:val="00B67E06"/>
    <w:rsid w:val="00B7000D"/>
    <w:rsid w:val="00B70216"/>
    <w:rsid w:val="00B712B0"/>
    <w:rsid w:val="00B71672"/>
    <w:rsid w:val="00B717D2"/>
    <w:rsid w:val="00B71B27"/>
    <w:rsid w:val="00B71E55"/>
    <w:rsid w:val="00B72421"/>
    <w:rsid w:val="00B72ADA"/>
    <w:rsid w:val="00B72D7A"/>
    <w:rsid w:val="00B73055"/>
    <w:rsid w:val="00B73128"/>
    <w:rsid w:val="00B73633"/>
    <w:rsid w:val="00B7399C"/>
    <w:rsid w:val="00B739D4"/>
    <w:rsid w:val="00B73A9E"/>
    <w:rsid w:val="00B7406F"/>
    <w:rsid w:val="00B7584B"/>
    <w:rsid w:val="00B761E5"/>
    <w:rsid w:val="00B773E1"/>
    <w:rsid w:val="00B800D7"/>
    <w:rsid w:val="00B80CDA"/>
    <w:rsid w:val="00B8107C"/>
    <w:rsid w:val="00B815E0"/>
    <w:rsid w:val="00B8198C"/>
    <w:rsid w:val="00B81AD4"/>
    <w:rsid w:val="00B822B2"/>
    <w:rsid w:val="00B82688"/>
    <w:rsid w:val="00B82CD3"/>
    <w:rsid w:val="00B83184"/>
    <w:rsid w:val="00B8349A"/>
    <w:rsid w:val="00B840DC"/>
    <w:rsid w:val="00B84BD2"/>
    <w:rsid w:val="00B84EB3"/>
    <w:rsid w:val="00B84EB8"/>
    <w:rsid w:val="00B851E8"/>
    <w:rsid w:val="00B8589B"/>
    <w:rsid w:val="00B8590C"/>
    <w:rsid w:val="00B8621F"/>
    <w:rsid w:val="00B86CE2"/>
    <w:rsid w:val="00B905DF"/>
    <w:rsid w:val="00B90D6C"/>
    <w:rsid w:val="00B90DB3"/>
    <w:rsid w:val="00B91625"/>
    <w:rsid w:val="00B918AC"/>
    <w:rsid w:val="00B91DB7"/>
    <w:rsid w:val="00B91EF1"/>
    <w:rsid w:val="00B93786"/>
    <w:rsid w:val="00B93D82"/>
    <w:rsid w:val="00B93E6B"/>
    <w:rsid w:val="00B93FF1"/>
    <w:rsid w:val="00B9450A"/>
    <w:rsid w:val="00B94510"/>
    <w:rsid w:val="00B947E3"/>
    <w:rsid w:val="00B950AE"/>
    <w:rsid w:val="00B95405"/>
    <w:rsid w:val="00B9573E"/>
    <w:rsid w:val="00B966A9"/>
    <w:rsid w:val="00B9749C"/>
    <w:rsid w:val="00B97789"/>
    <w:rsid w:val="00B97998"/>
    <w:rsid w:val="00B97B17"/>
    <w:rsid w:val="00B97D64"/>
    <w:rsid w:val="00BA00A5"/>
    <w:rsid w:val="00BA1DE4"/>
    <w:rsid w:val="00BA2437"/>
    <w:rsid w:val="00BA27A5"/>
    <w:rsid w:val="00BA3A60"/>
    <w:rsid w:val="00BA3DC8"/>
    <w:rsid w:val="00BA40E1"/>
    <w:rsid w:val="00BA45AC"/>
    <w:rsid w:val="00BA46DB"/>
    <w:rsid w:val="00BA4B8C"/>
    <w:rsid w:val="00BA4D4E"/>
    <w:rsid w:val="00BA55C9"/>
    <w:rsid w:val="00BA55FF"/>
    <w:rsid w:val="00BA6E91"/>
    <w:rsid w:val="00BA751B"/>
    <w:rsid w:val="00BA7F47"/>
    <w:rsid w:val="00BB050A"/>
    <w:rsid w:val="00BB0EAA"/>
    <w:rsid w:val="00BB16CC"/>
    <w:rsid w:val="00BB2356"/>
    <w:rsid w:val="00BB2C81"/>
    <w:rsid w:val="00BB3186"/>
    <w:rsid w:val="00BB33A0"/>
    <w:rsid w:val="00BB36E2"/>
    <w:rsid w:val="00BB3BD6"/>
    <w:rsid w:val="00BB5110"/>
    <w:rsid w:val="00BB580D"/>
    <w:rsid w:val="00BB6119"/>
    <w:rsid w:val="00BB617F"/>
    <w:rsid w:val="00BB65D6"/>
    <w:rsid w:val="00BB667B"/>
    <w:rsid w:val="00BB7676"/>
    <w:rsid w:val="00BB7856"/>
    <w:rsid w:val="00BC00DB"/>
    <w:rsid w:val="00BC0F0F"/>
    <w:rsid w:val="00BC108F"/>
    <w:rsid w:val="00BC1885"/>
    <w:rsid w:val="00BC1C53"/>
    <w:rsid w:val="00BC2492"/>
    <w:rsid w:val="00BC2977"/>
    <w:rsid w:val="00BC2CA7"/>
    <w:rsid w:val="00BC2EBA"/>
    <w:rsid w:val="00BC3C44"/>
    <w:rsid w:val="00BC3D3B"/>
    <w:rsid w:val="00BC4222"/>
    <w:rsid w:val="00BC4311"/>
    <w:rsid w:val="00BC469B"/>
    <w:rsid w:val="00BC4A33"/>
    <w:rsid w:val="00BC4CDC"/>
    <w:rsid w:val="00BC5019"/>
    <w:rsid w:val="00BC5829"/>
    <w:rsid w:val="00BC597F"/>
    <w:rsid w:val="00BC5CEB"/>
    <w:rsid w:val="00BC5E09"/>
    <w:rsid w:val="00BC65DA"/>
    <w:rsid w:val="00BC7224"/>
    <w:rsid w:val="00BC76EC"/>
    <w:rsid w:val="00BC799D"/>
    <w:rsid w:val="00BD084A"/>
    <w:rsid w:val="00BD1D1B"/>
    <w:rsid w:val="00BD2328"/>
    <w:rsid w:val="00BD27BF"/>
    <w:rsid w:val="00BD3773"/>
    <w:rsid w:val="00BD3784"/>
    <w:rsid w:val="00BD3D71"/>
    <w:rsid w:val="00BD487F"/>
    <w:rsid w:val="00BD4B4E"/>
    <w:rsid w:val="00BD560D"/>
    <w:rsid w:val="00BD5977"/>
    <w:rsid w:val="00BD59FE"/>
    <w:rsid w:val="00BD5DD2"/>
    <w:rsid w:val="00BD5E8D"/>
    <w:rsid w:val="00BD5F91"/>
    <w:rsid w:val="00BD600A"/>
    <w:rsid w:val="00BD65C7"/>
    <w:rsid w:val="00BD721F"/>
    <w:rsid w:val="00BD7584"/>
    <w:rsid w:val="00BD778A"/>
    <w:rsid w:val="00BE0044"/>
    <w:rsid w:val="00BE0863"/>
    <w:rsid w:val="00BE1D50"/>
    <w:rsid w:val="00BE29E1"/>
    <w:rsid w:val="00BE3076"/>
    <w:rsid w:val="00BE3A3E"/>
    <w:rsid w:val="00BE3C0F"/>
    <w:rsid w:val="00BE423D"/>
    <w:rsid w:val="00BE446A"/>
    <w:rsid w:val="00BE48E4"/>
    <w:rsid w:val="00BE4BA9"/>
    <w:rsid w:val="00BE56E0"/>
    <w:rsid w:val="00BE60CD"/>
    <w:rsid w:val="00BE67C7"/>
    <w:rsid w:val="00BE67D6"/>
    <w:rsid w:val="00BE7478"/>
    <w:rsid w:val="00BF02B3"/>
    <w:rsid w:val="00BF176F"/>
    <w:rsid w:val="00BF1838"/>
    <w:rsid w:val="00BF2096"/>
    <w:rsid w:val="00BF21CB"/>
    <w:rsid w:val="00BF334A"/>
    <w:rsid w:val="00BF3841"/>
    <w:rsid w:val="00BF3AA5"/>
    <w:rsid w:val="00BF3DC6"/>
    <w:rsid w:val="00BF41F4"/>
    <w:rsid w:val="00BF46F6"/>
    <w:rsid w:val="00BF5008"/>
    <w:rsid w:val="00BF62D7"/>
    <w:rsid w:val="00BF65CA"/>
    <w:rsid w:val="00BF6DBD"/>
    <w:rsid w:val="00BF7E22"/>
    <w:rsid w:val="00C00335"/>
    <w:rsid w:val="00C007A2"/>
    <w:rsid w:val="00C00941"/>
    <w:rsid w:val="00C01104"/>
    <w:rsid w:val="00C014F9"/>
    <w:rsid w:val="00C01538"/>
    <w:rsid w:val="00C0177E"/>
    <w:rsid w:val="00C021FE"/>
    <w:rsid w:val="00C02422"/>
    <w:rsid w:val="00C02521"/>
    <w:rsid w:val="00C02D26"/>
    <w:rsid w:val="00C03204"/>
    <w:rsid w:val="00C03B5F"/>
    <w:rsid w:val="00C04A66"/>
    <w:rsid w:val="00C057A5"/>
    <w:rsid w:val="00C05B6E"/>
    <w:rsid w:val="00C05C06"/>
    <w:rsid w:val="00C069D0"/>
    <w:rsid w:val="00C06FCA"/>
    <w:rsid w:val="00C07CE6"/>
    <w:rsid w:val="00C100C9"/>
    <w:rsid w:val="00C107C3"/>
    <w:rsid w:val="00C10B47"/>
    <w:rsid w:val="00C10F8D"/>
    <w:rsid w:val="00C12280"/>
    <w:rsid w:val="00C12C5F"/>
    <w:rsid w:val="00C132FA"/>
    <w:rsid w:val="00C1361A"/>
    <w:rsid w:val="00C139C5"/>
    <w:rsid w:val="00C13B5F"/>
    <w:rsid w:val="00C1583F"/>
    <w:rsid w:val="00C15ECC"/>
    <w:rsid w:val="00C16068"/>
    <w:rsid w:val="00C16391"/>
    <w:rsid w:val="00C17C73"/>
    <w:rsid w:val="00C17E92"/>
    <w:rsid w:val="00C2095B"/>
    <w:rsid w:val="00C212CA"/>
    <w:rsid w:val="00C226D9"/>
    <w:rsid w:val="00C23554"/>
    <w:rsid w:val="00C237A5"/>
    <w:rsid w:val="00C23947"/>
    <w:rsid w:val="00C23D80"/>
    <w:rsid w:val="00C241E8"/>
    <w:rsid w:val="00C24CAF"/>
    <w:rsid w:val="00C24EEF"/>
    <w:rsid w:val="00C2541E"/>
    <w:rsid w:val="00C260D3"/>
    <w:rsid w:val="00C265A3"/>
    <w:rsid w:val="00C26EAF"/>
    <w:rsid w:val="00C27129"/>
    <w:rsid w:val="00C272E5"/>
    <w:rsid w:val="00C278D4"/>
    <w:rsid w:val="00C27D41"/>
    <w:rsid w:val="00C307B7"/>
    <w:rsid w:val="00C30A13"/>
    <w:rsid w:val="00C312EE"/>
    <w:rsid w:val="00C31C7B"/>
    <w:rsid w:val="00C3385D"/>
    <w:rsid w:val="00C33863"/>
    <w:rsid w:val="00C33AA9"/>
    <w:rsid w:val="00C3425A"/>
    <w:rsid w:val="00C3429D"/>
    <w:rsid w:val="00C34975"/>
    <w:rsid w:val="00C34B8B"/>
    <w:rsid w:val="00C34DCC"/>
    <w:rsid w:val="00C355E7"/>
    <w:rsid w:val="00C367E2"/>
    <w:rsid w:val="00C406AD"/>
    <w:rsid w:val="00C40724"/>
    <w:rsid w:val="00C407FB"/>
    <w:rsid w:val="00C40910"/>
    <w:rsid w:val="00C40D58"/>
    <w:rsid w:val="00C415A3"/>
    <w:rsid w:val="00C4218C"/>
    <w:rsid w:val="00C4247D"/>
    <w:rsid w:val="00C42499"/>
    <w:rsid w:val="00C426D7"/>
    <w:rsid w:val="00C42921"/>
    <w:rsid w:val="00C42973"/>
    <w:rsid w:val="00C42B28"/>
    <w:rsid w:val="00C42D03"/>
    <w:rsid w:val="00C43621"/>
    <w:rsid w:val="00C43C06"/>
    <w:rsid w:val="00C4400B"/>
    <w:rsid w:val="00C4426E"/>
    <w:rsid w:val="00C45162"/>
    <w:rsid w:val="00C45171"/>
    <w:rsid w:val="00C4653A"/>
    <w:rsid w:val="00C46CCF"/>
    <w:rsid w:val="00C47178"/>
    <w:rsid w:val="00C477FC"/>
    <w:rsid w:val="00C47CA7"/>
    <w:rsid w:val="00C47D10"/>
    <w:rsid w:val="00C500AF"/>
    <w:rsid w:val="00C50184"/>
    <w:rsid w:val="00C50E89"/>
    <w:rsid w:val="00C511A6"/>
    <w:rsid w:val="00C512B9"/>
    <w:rsid w:val="00C51D18"/>
    <w:rsid w:val="00C523D8"/>
    <w:rsid w:val="00C528BD"/>
    <w:rsid w:val="00C52AA4"/>
    <w:rsid w:val="00C53AAD"/>
    <w:rsid w:val="00C5403B"/>
    <w:rsid w:val="00C540D5"/>
    <w:rsid w:val="00C56736"/>
    <w:rsid w:val="00C5703D"/>
    <w:rsid w:val="00C576F3"/>
    <w:rsid w:val="00C60234"/>
    <w:rsid w:val="00C60815"/>
    <w:rsid w:val="00C6081A"/>
    <w:rsid w:val="00C609E6"/>
    <w:rsid w:val="00C614E9"/>
    <w:rsid w:val="00C629CA"/>
    <w:rsid w:val="00C62BA7"/>
    <w:rsid w:val="00C62C0B"/>
    <w:rsid w:val="00C62CAB"/>
    <w:rsid w:val="00C636C6"/>
    <w:rsid w:val="00C63A70"/>
    <w:rsid w:val="00C6519E"/>
    <w:rsid w:val="00C653E1"/>
    <w:rsid w:val="00C658CF"/>
    <w:rsid w:val="00C661C5"/>
    <w:rsid w:val="00C667F7"/>
    <w:rsid w:val="00C67375"/>
    <w:rsid w:val="00C67B6D"/>
    <w:rsid w:val="00C71051"/>
    <w:rsid w:val="00C71337"/>
    <w:rsid w:val="00C719B3"/>
    <w:rsid w:val="00C71BE9"/>
    <w:rsid w:val="00C71D34"/>
    <w:rsid w:val="00C72606"/>
    <w:rsid w:val="00C729A3"/>
    <w:rsid w:val="00C729FE"/>
    <w:rsid w:val="00C72AF3"/>
    <w:rsid w:val="00C72E25"/>
    <w:rsid w:val="00C7324D"/>
    <w:rsid w:val="00C73346"/>
    <w:rsid w:val="00C73E66"/>
    <w:rsid w:val="00C73E7E"/>
    <w:rsid w:val="00C747A7"/>
    <w:rsid w:val="00C74878"/>
    <w:rsid w:val="00C750D0"/>
    <w:rsid w:val="00C7582B"/>
    <w:rsid w:val="00C75A7B"/>
    <w:rsid w:val="00C762CF"/>
    <w:rsid w:val="00C766D9"/>
    <w:rsid w:val="00C76749"/>
    <w:rsid w:val="00C76BA1"/>
    <w:rsid w:val="00C76CB5"/>
    <w:rsid w:val="00C76CCC"/>
    <w:rsid w:val="00C770D8"/>
    <w:rsid w:val="00C7746A"/>
    <w:rsid w:val="00C778D0"/>
    <w:rsid w:val="00C77A86"/>
    <w:rsid w:val="00C802EE"/>
    <w:rsid w:val="00C8036E"/>
    <w:rsid w:val="00C80C1C"/>
    <w:rsid w:val="00C80CED"/>
    <w:rsid w:val="00C80D96"/>
    <w:rsid w:val="00C81BD5"/>
    <w:rsid w:val="00C81F7D"/>
    <w:rsid w:val="00C8234C"/>
    <w:rsid w:val="00C8278F"/>
    <w:rsid w:val="00C82D6C"/>
    <w:rsid w:val="00C8324A"/>
    <w:rsid w:val="00C8332C"/>
    <w:rsid w:val="00C83CA0"/>
    <w:rsid w:val="00C8576F"/>
    <w:rsid w:val="00C86C96"/>
    <w:rsid w:val="00C86CA5"/>
    <w:rsid w:val="00C8710F"/>
    <w:rsid w:val="00C8789A"/>
    <w:rsid w:val="00C90319"/>
    <w:rsid w:val="00C90362"/>
    <w:rsid w:val="00C90422"/>
    <w:rsid w:val="00C90CC0"/>
    <w:rsid w:val="00C910EF"/>
    <w:rsid w:val="00C91347"/>
    <w:rsid w:val="00C9169D"/>
    <w:rsid w:val="00C91C5D"/>
    <w:rsid w:val="00C927FD"/>
    <w:rsid w:val="00C9290A"/>
    <w:rsid w:val="00C92D9F"/>
    <w:rsid w:val="00C93971"/>
    <w:rsid w:val="00C93E1B"/>
    <w:rsid w:val="00C93F86"/>
    <w:rsid w:val="00C941AB"/>
    <w:rsid w:val="00C94BE6"/>
    <w:rsid w:val="00C9564F"/>
    <w:rsid w:val="00C95704"/>
    <w:rsid w:val="00C958AC"/>
    <w:rsid w:val="00C960A9"/>
    <w:rsid w:val="00C964EA"/>
    <w:rsid w:val="00C96C93"/>
    <w:rsid w:val="00C9736C"/>
    <w:rsid w:val="00C9770C"/>
    <w:rsid w:val="00CA0462"/>
    <w:rsid w:val="00CA050A"/>
    <w:rsid w:val="00CA062E"/>
    <w:rsid w:val="00CA0970"/>
    <w:rsid w:val="00CA0DC6"/>
    <w:rsid w:val="00CA14C2"/>
    <w:rsid w:val="00CA19F1"/>
    <w:rsid w:val="00CA1E47"/>
    <w:rsid w:val="00CA323F"/>
    <w:rsid w:val="00CA39D8"/>
    <w:rsid w:val="00CA3D07"/>
    <w:rsid w:val="00CA3D6F"/>
    <w:rsid w:val="00CA3F8F"/>
    <w:rsid w:val="00CA46A8"/>
    <w:rsid w:val="00CA474A"/>
    <w:rsid w:val="00CA595D"/>
    <w:rsid w:val="00CA64FD"/>
    <w:rsid w:val="00CA6646"/>
    <w:rsid w:val="00CA666B"/>
    <w:rsid w:val="00CA694D"/>
    <w:rsid w:val="00CA6D81"/>
    <w:rsid w:val="00CA74CC"/>
    <w:rsid w:val="00CA7CE4"/>
    <w:rsid w:val="00CB044F"/>
    <w:rsid w:val="00CB083A"/>
    <w:rsid w:val="00CB095D"/>
    <w:rsid w:val="00CB17F3"/>
    <w:rsid w:val="00CB2310"/>
    <w:rsid w:val="00CB257F"/>
    <w:rsid w:val="00CB3772"/>
    <w:rsid w:val="00CB3913"/>
    <w:rsid w:val="00CB45BF"/>
    <w:rsid w:val="00CB52F0"/>
    <w:rsid w:val="00CB5597"/>
    <w:rsid w:val="00CB5D89"/>
    <w:rsid w:val="00CB6568"/>
    <w:rsid w:val="00CB6A75"/>
    <w:rsid w:val="00CB77C4"/>
    <w:rsid w:val="00CB7B44"/>
    <w:rsid w:val="00CB7EA0"/>
    <w:rsid w:val="00CB7EF0"/>
    <w:rsid w:val="00CB7FB8"/>
    <w:rsid w:val="00CC00EC"/>
    <w:rsid w:val="00CC0AEF"/>
    <w:rsid w:val="00CC0CB3"/>
    <w:rsid w:val="00CC0D9A"/>
    <w:rsid w:val="00CC1226"/>
    <w:rsid w:val="00CC1C06"/>
    <w:rsid w:val="00CC1C96"/>
    <w:rsid w:val="00CC1EE1"/>
    <w:rsid w:val="00CC225E"/>
    <w:rsid w:val="00CC2E28"/>
    <w:rsid w:val="00CC2EC1"/>
    <w:rsid w:val="00CC3677"/>
    <w:rsid w:val="00CC3980"/>
    <w:rsid w:val="00CC4059"/>
    <w:rsid w:val="00CC4309"/>
    <w:rsid w:val="00CC5666"/>
    <w:rsid w:val="00CC5732"/>
    <w:rsid w:val="00CC588D"/>
    <w:rsid w:val="00CC60AD"/>
    <w:rsid w:val="00CC772A"/>
    <w:rsid w:val="00CC78E5"/>
    <w:rsid w:val="00CD03F8"/>
    <w:rsid w:val="00CD0494"/>
    <w:rsid w:val="00CD0CF8"/>
    <w:rsid w:val="00CD0E89"/>
    <w:rsid w:val="00CD102D"/>
    <w:rsid w:val="00CD1C5F"/>
    <w:rsid w:val="00CD1EEA"/>
    <w:rsid w:val="00CD30A0"/>
    <w:rsid w:val="00CD3310"/>
    <w:rsid w:val="00CD38EF"/>
    <w:rsid w:val="00CD393E"/>
    <w:rsid w:val="00CD3D0C"/>
    <w:rsid w:val="00CD5396"/>
    <w:rsid w:val="00CD7347"/>
    <w:rsid w:val="00CE22EC"/>
    <w:rsid w:val="00CE25C6"/>
    <w:rsid w:val="00CE31AB"/>
    <w:rsid w:val="00CE3AED"/>
    <w:rsid w:val="00CE3DC6"/>
    <w:rsid w:val="00CE4037"/>
    <w:rsid w:val="00CE44A5"/>
    <w:rsid w:val="00CE48F5"/>
    <w:rsid w:val="00CE58F9"/>
    <w:rsid w:val="00CE59B9"/>
    <w:rsid w:val="00CE5F27"/>
    <w:rsid w:val="00CE6109"/>
    <w:rsid w:val="00CE6E5E"/>
    <w:rsid w:val="00CE73C3"/>
    <w:rsid w:val="00CE7F8B"/>
    <w:rsid w:val="00CF027D"/>
    <w:rsid w:val="00CF0A54"/>
    <w:rsid w:val="00CF0B28"/>
    <w:rsid w:val="00CF0F2D"/>
    <w:rsid w:val="00CF0FF6"/>
    <w:rsid w:val="00CF2012"/>
    <w:rsid w:val="00CF23AE"/>
    <w:rsid w:val="00CF269C"/>
    <w:rsid w:val="00CF2AEF"/>
    <w:rsid w:val="00CF377C"/>
    <w:rsid w:val="00CF398A"/>
    <w:rsid w:val="00CF3FF1"/>
    <w:rsid w:val="00CF5327"/>
    <w:rsid w:val="00CF5839"/>
    <w:rsid w:val="00CF6C67"/>
    <w:rsid w:val="00CF71F5"/>
    <w:rsid w:val="00CF72C9"/>
    <w:rsid w:val="00CF7684"/>
    <w:rsid w:val="00D00961"/>
    <w:rsid w:val="00D013DE"/>
    <w:rsid w:val="00D0198A"/>
    <w:rsid w:val="00D02237"/>
    <w:rsid w:val="00D02CB0"/>
    <w:rsid w:val="00D03AA9"/>
    <w:rsid w:val="00D03B6C"/>
    <w:rsid w:val="00D04A02"/>
    <w:rsid w:val="00D0542B"/>
    <w:rsid w:val="00D058A8"/>
    <w:rsid w:val="00D06F1B"/>
    <w:rsid w:val="00D070ED"/>
    <w:rsid w:val="00D07F02"/>
    <w:rsid w:val="00D10172"/>
    <w:rsid w:val="00D10499"/>
    <w:rsid w:val="00D11D27"/>
    <w:rsid w:val="00D1200D"/>
    <w:rsid w:val="00D12D61"/>
    <w:rsid w:val="00D1347E"/>
    <w:rsid w:val="00D1402B"/>
    <w:rsid w:val="00D14678"/>
    <w:rsid w:val="00D147A7"/>
    <w:rsid w:val="00D14B88"/>
    <w:rsid w:val="00D14C10"/>
    <w:rsid w:val="00D14EAE"/>
    <w:rsid w:val="00D14F13"/>
    <w:rsid w:val="00D15C47"/>
    <w:rsid w:val="00D15DE4"/>
    <w:rsid w:val="00D16004"/>
    <w:rsid w:val="00D16DD6"/>
    <w:rsid w:val="00D1716C"/>
    <w:rsid w:val="00D17584"/>
    <w:rsid w:val="00D1795E"/>
    <w:rsid w:val="00D17C68"/>
    <w:rsid w:val="00D20081"/>
    <w:rsid w:val="00D201A2"/>
    <w:rsid w:val="00D2053C"/>
    <w:rsid w:val="00D209D0"/>
    <w:rsid w:val="00D20D23"/>
    <w:rsid w:val="00D20D5C"/>
    <w:rsid w:val="00D227A8"/>
    <w:rsid w:val="00D22BB8"/>
    <w:rsid w:val="00D22E09"/>
    <w:rsid w:val="00D24C70"/>
    <w:rsid w:val="00D24F1C"/>
    <w:rsid w:val="00D251F8"/>
    <w:rsid w:val="00D25D62"/>
    <w:rsid w:val="00D27102"/>
    <w:rsid w:val="00D306F2"/>
    <w:rsid w:val="00D30853"/>
    <w:rsid w:val="00D30A8D"/>
    <w:rsid w:val="00D30CE7"/>
    <w:rsid w:val="00D314A1"/>
    <w:rsid w:val="00D31A48"/>
    <w:rsid w:val="00D31C66"/>
    <w:rsid w:val="00D321BB"/>
    <w:rsid w:val="00D3318C"/>
    <w:rsid w:val="00D332AF"/>
    <w:rsid w:val="00D33E8D"/>
    <w:rsid w:val="00D340D1"/>
    <w:rsid w:val="00D342F4"/>
    <w:rsid w:val="00D34A81"/>
    <w:rsid w:val="00D34F6F"/>
    <w:rsid w:val="00D35277"/>
    <w:rsid w:val="00D3566A"/>
    <w:rsid w:val="00D35AB9"/>
    <w:rsid w:val="00D35B59"/>
    <w:rsid w:val="00D37525"/>
    <w:rsid w:val="00D40CD5"/>
    <w:rsid w:val="00D4124D"/>
    <w:rsid w:val="00D41271"/>
    <w:rsid w:val="00D41B57"/>
    <w:rsid w:val="00D41E7B"/>
    <w:rsid w:val="00D436D0"/>
    <w:rsid w:val="00D441C4"/>
    <w:rsid w:val="00D4470D"/>
    <w:rsid w:val="00D45B91"/>
    <w:rsid w:val="00D46806"/>
    <w:rsid w:val="00D4684F"/>
    <w:rsid w:val="00D46DE0"/>
    <w:rsid w:val="00D472B0"/>
    <w:rsid w:val="00D4770F"/>
    <w:rsid w:val="00D5034D"/>
    <w:rsid w:val="00D511F3"/>
    <w:rsid w:val="00D515F4"/>
    <w:rsid w:val="00D517AF"/>
    <w:rsid w:val="00D52CFE"/>
    <w:rsid w:val="00D530C7"/>
    <w:rsid w:val="00D530CC"/>
    <w:rsid w:val="00D536BF"/>
    <w:rsid w:val="00D536FF"/>
    <w:rsid w:val="00D54671"/>
    <w:rsid w:val="00D5499F"/>
    <w:rsid w:val="00D5528B"/>
    <w:rsid w:val="00D553BC"/>
    <w:rsid w:val="00D560A9"/>
    <w:rsid w:val="00D56198"/>
    <w:rsid w:val="00D567A8"/>
    <w:rsid w:val="00D5682E"/>
    <w:rsid w:val="00D56DF2"/>
    <w:rsid w:val="00D56E9F"/>
    <w:rsid w:val="00D579D5"/>
    <w:rsid w:val="00D57FBD"/>
    <w:rsid w:val="00D605C8"/>
    <w:rsid w:val="00D61323"/>
    <w:rsid w:val="00D61421"/>
    <w:rsid w:val="00D61654"/>
    <w:rsid w:val="00D61837"/>
    <w:rsid w:val="00D61D9A"/>
    <w:rsid w:val="00D61FE8"/>
    <w:rsid w:val="00D62DC0"/>
    <w:rsid w:val="00D63A92"/>
    <w:rsid w:val="00D6438A"/>
    <w:rsid w:val="00D6492B"/>
    <w:rsid w:val="00D66622"/>
    <w:rsid w:val="00D66B7B"/>
    <w:rsid w:val="00D66C9E"/>
    <w:rsid w:val="00D6727C"/>
    <w:rsid w:val="00D67556"/>
    <w:rsid w:val="00D677B5"/>
    <w:rsid w:val="00D67CD9"/>
    <w:rsid w:val="00D70AF0"/>
    <w:rsid w:val="00D71577"/>
    <w:rsid w:val="00D7232C"/>
    <w:rsid w:val="00D72B45"/>
    <w:rsid w:val="00D733EB"/>
    <w:rsid w:val="00D734AB"/>
    <w:rsid w:val="00D745B9"/>
    <w:rsid w:val="00D748A0"/>
    <w:rsid w:val="00D749C8"/>
    <w:rsid w:val="00D74F2D"/>
    <w:rsid w:val="00D7548A"/>
    <w:rsid w:val="00D754C4"/>
    <w:rsid w:val="00D75F90"/>
    <w:rsid w:val="00D76084"/>
    <w:rsid w:val="00D7691D"/>
    <w:rsid w:val="00D76C62"/>
    <w:rsid w:val="00D7716B"/>
    <w:rsid w:val="00D77324"/>
    <w:rsid w:val="00D77503"/>
    <w:rsid w:val="00D7772E"/>
    <w:rsid w:val="00D77D51"/>
    <w:rsid w:val="00D80C12"/>
    <w:rsid w:val="00D80F5C"/>
    <w:rsid w:val="00D816CD"/>
    <w:rsid w:val="00D82813"/>
    <w:rsid w:val="00D82AFD"/>
    <w:rsid w:val="00D82DAE"/>
    <w:rsid w:val="00D83679"/>
    <w:rsid w:val="00D83931"/>
    <w:rsid w:val="00D840E0"/>
    <w:rsid w:val="00D85B12"/>
    <w:rsid w:val="00D85C0E"/>
    <w:rsid w:val="00D85C8B"/>
    <w:rsid w:val="00D85F2A"/>
    <w:rsid w:val="00D860C2"/>
    <w:rsid w:val="00D868DA"/>
    <w:rsid w:val="00D86B3F"/>
    <w:rsid w:val="00D86D1D"/>
    <w:rsid w:val="00D8704B"/>
    <w:rsid w:val="00D87228"/>
    <w:rsid w:val="00D8726B"/>
    <w:rsid w:val="00D874A1"/>
    <w:rsid w:val="00D87F38"/>
    <w:rsid w:val="00D87F86"/>
    <w:rsid w:val="00D903E8"/>
    <w:rsid w:val="00D907C4"/>
    <w:rsid w:val="00D90EA8"/>
    <w:rsid w:val="00D90F5A"/>
    <w:rsid w:val="00D910AD"/>
    <w:rsid w:val="00D91455"/>
    <w:rsid w:val="00D91B9E"/>
    <w:rsid w:val="00D91C07"/>
    <w:rsid w:val="00D91E0A"/>
    <w:rsid w:val="00D91E11"/>
    <w:rsid w:val="00D926C8"/>
    <w:rsid w:val="00D9278B"/>
    <w:rsid w:val="00D93324"/>
    <w:rsid w:val="00D942FA"/>
    <w:rsid w:val="00D94977"/>
    <w:rsid w:val="00D95EB7"/>
    <w:rsid w:val="00D964E3"/>
    <w:rsid w:val="00D97856"/>
    <w:rsid w:val="00DA07A1"/>
    <w:rsid w:val="00DA07B9"/>
    <w:rsid w:val="00DA1200"/>
    <w:rsid w:val="00DA1E19"/>
    <w:rsid w:val="00DA20D0"/>
    <w:rsid w:val="00DA2775"/>
    <w:rsid w:val="00DA30F4"/>
    <w:rsid w:val="00DA333F"/>
    <w:rsid w:val="00DA40F3"/>
    <w:rsid w:val="00DA5179"/>
    <w:rsid w:val="00DA5368"/>
    <w:rsid w:val="00DA5DB4"/>
    <w:rsid w:val="00DA708B"/>
    <w:rsid w:val="00DA7692"/>
    <w:rsid w:val="00DA7CF3"/>
    <w:rsid w:val="00DA7CF9"/>
    <w:rsid w:val="00DB0054"/>
    <w:rsid w:val="00DB0296"/>
    <w:rsid w:val="00DB04C0"/>
    <w:rsid w:val="00DB04D8"/>
    <w:rsid w:val="00DB0B8F"/>
    <w:rsid w:val="00DB1251"/>
    <w:rsid w:val="00DB15A2"/>
    <w:rsid w:val="00DB1776"/>
    <w:rsid w:val="00DB1B32"/>
    <w:rsid w:val="00DB1F8A"/>
    <w:rsid w:val="00DB22E8"/>
    <w:rsid w:val="00DB3644"/>
    <w:rsid w:val="00DB3C38"/>
    <w:rsid w:val="00DB5240"/>
    <w:rsid w:val="00DB537C"/>
    <w:rsid w:val="00DB5529"/>
    <w:rsid w:val="00DB58EC"/>
    <w:rsid w:val="00DB5C21"/>
    <w:rsid w:val="00DB5DE8"/>
    <w:rsid w:val="00DB5EE8"/>
    <w:rsid w:val="00DB606D"/>
    <w:rsid w:val="00DB6C5B"/>
    <w:rsid w:val="00DB6D4F"/>
    <w:rsid w:val="00DB7A57"/>
    <w:rsid w:val="00DB7E57"/>
    <w:rsid w:val="00DB7F0E"/>
    <w:rsid w:val="00DB7F5D"/>
    <w:rsid w:val="00DB7F8C"/>
    <w:rsid w:val="00DC0D66"/>
    <w:rsid w:val="00DC0F18"/>
    <w:rsid w:val="00DC121A"/>
    <w:rsid w:val="00DC1257"/>
    <w:rsid w:val="00DC1AEF"/>
    <w:rsid w:val="00DC1BDA"/>
    <w:rsid w:val="00DC1F0D"/>
    <w:rsid w:val="00DC1FB7"/>
    <w:rsid w:val="00DC2354"/>
    <w:rsid w:val="00DC23D7"/>
    <w:rsid w:val="00DC2D2D"/>
    <w:rsid w:val="00DC3B24"/>
    <w:rsid w:val="00DC409E"/>
    <w:rsid w:val="00DC4117"/>
    <w:rsid w:val="00DC52C9"/>
    <w:rsid w:val="00DC5349"/>
    <w:rsid w:val="00DC53EE"/>
    <w:rsid w:val="00DC5579"/>
    <w:rsid w:val="00DC58B2"/>
    <w:rsid w:val="00DC6255"/>
    <w:rsid w:val="00DC64B6"/>
    <w:rsid w:val="00DC70B8"/>
    <w:rsid w:val="00DD16F4"/>
    <w:rsid w:val="00DD1A36"/>
    <w:rsid w:val="00DD1BAB"/>
    <w:rsid w:val="00DD1D93"/>
    <w:rsid w:val="00DD1F94"/>
    <w:rsid w:val="00DD2314"/>
    <w:rsid w:val="00DD2A21"/>
    <w:rsid w:val="00DD2B92"/>
    <w:rsid w:val="00DD2B9E"/>
    <w:rsid w:val="00DD2F82"/>
    <w:rsid w:val="00DD3370"/>
    <w:rsid w:val="00DD35A2"/>
    <w:rsid w:val="00DD431F"/>
    <w:rsid w:val="00DD4D4B"/>
    <w:rsid w:val="00DD57E3"/>
    <w:rsid w:val="00DD7691"/>
    <w:rsid w:val="00DD792C"/>
    <w:rsid w:val="00DE05FE"/>
    <w:rsid w:val="00DE09B0"/>
    <w:rsid w:val="00DE0E22"/>
    <w:rsid w:val="00DE13EB"/>
    <w:rsid w:val="00DE1A8F"/>
    <w:rsid w:val="00DE2026"/>
    <w:rsid w:val="00DE3517"/>
    <w:rsid w:val="00DE3730"/>
    <w:rsid w:val="00DE415B"/>
    <w:rsid w:val="00DE4188"/>
    <w:rsid w:val="00DE452D"/>
    <w:rsid w:val="00DE463A"/>
    <w:rsid w:val="00DE48DD"/>
    <w:rsid w:val="00DE4F00"/>
    <w:rsid w:val="00DE5351"/>
    <w:rsid w:val="00DE5F28"/>
    <w:rsid w:val="00DE7584"/>
    <w:rsid w:val="00DE763D"/>
    <w:rsid w:val="00DE7746"/>
    <w:rsid w:val="00DE7D37"/>
    <w:rsid w:val="00DF09BF"/>
    <w:rsid w:val="00DF0CD5"/>
    <w:rsid w:val="00DF1091"/>
    <w:rsid w:val="00DF1269"/>
    <w:rsid w:val="00DF135C"/>
    <w:rsid w:val="00DF16D2"/>
    <w:rsid w:val="00DF1C9D"/>
    <w:rsid w:val="00DF2502"/>
    <w:rsid w:val="00DF32FC"/>
    <w:rsid w:val="00DF3680"/>
    <w:rsid w:val="00DF3A47"/>
    <w:rsid w:val="00DF3C4B"/>
    <w:rsid w:val="00DF3E43"/>
    <w:rsid w:val="00DF54E0"/>
    <w:rsid w:val="00DF58D2"/>
    <w:rsid w:val="00DF62B0"/>
    <w:rsid w:val="00DF6F0F"/>
    <w:rsid w:val="00DF7479"/>
    <w:rsid w:val="00DF7527"/>
    <w:rsid w:val="00E0120C"/>
    <w:rsid w:val="00E04A69"/>
    <w:rsid w:val="00E053BD"/>
    <w:rsid w:val="00E059C3"/>
    <w:rsid w:val="00E0618E"/>
    <w:rsid w:val="00E06E5D"/>
    <w:rsid w:val="00E06E6A"/>
    <w:rsid w:val="00E06F7F"/>
    <w:rsid w:val="00E075C6"/>
    <w:rsid w:val="00E078EE"/>
    <w:rsid w:val="00E10382"/>
    <w:rsid w:val="00E109DE"/>
    <w:rsid w:val="00E11DA9"/>
    <w:rsid w:val="00E11F5A"/>
    <w:rsid w:val="00E12073"/>
    <w:rsid w:val="00E12715"/>
    <w:rsid w:val="00E130F8"/>
    <w:rsid w:val="00E131F0"/>
    <w:rsid w:val="00E13775"/>
    <w:rsid w:val="00E14445"/>
    <w:rsid w:val="00E151BE"/>
    <w:rsid w:val="00E152DF"/>
    <w:rsid w:val="00E17271"/>
    <w:rsid w:val="00E1731E"/>
    <w:rsid w:val="00E17A13"/>
    <w:rsid w:val="00E17B7E"/>
    <w:rsid w:val="00E201E5"/>
    <w:rsid w:val="00E208CE"/>
    <w:rsid w:val="00E225F4"/>
    <w:rsid w:val="00E23590"/>
    <w:rsid w:val="00E23E6D"/>
    <w:rsid w:val="00E2405D"/>
    <w:rsid w:val="00E24C67"/>
    <w:rsid w:val="00E24C93"/>
    <w:rsid w:val="00E254B5"/>
    <w:rsid w:val="00E257A3"/>
    <w:rsid w:val="00E25B84"/>
    <w:rsid w:val="00E2680D"/>
    <w:rsid w:val="00E26900"/>
    <w:rsid w:val="00E26FDE"/>
    <w:rsid w:val="00E27E20"/>
    <w:rsid w:val="00E30214"/>
    <w:rsid w:val="00E31CA8"/>
    <w:rsid w:val="00E31E98"/>
    <w:rsid w:val="00E31F33"/>
    <w:rsid w:val="00E322ED"/>
    <w:rsid w:val="00E32541"/>
    <w:rsid w:val="00E32653"/>
    <w:rsid w:val="00E3289A"/>
    <w:rsid w:val="00E328A6"/>
    <w:rsid w:val="00E331BE"/>
    <w:rsid w:val="00E33667"/>
    <w:rsid w:val="00E3380E"/>
    <w:rsid w:val="00E34818"/>
    <w:rsid w:val="00E36534"/>
    <w:rsid w:val="00E3662D"/>
    <w:rsid w:val="00E370AC"/>
    <w:rsid w:val="00E37A20"/>
    <w:rsid w:val="00E37ADB"/>
    <w:rsid w:val="00E4085A"/>
    <w:rsid w:val="00E40A65"/>
    <w:rsid w:val="00E40F5B"/>
    <w:rsid w:val="00E4130A"/>
    <w:rsid w:val="00E41450"/>
    <w:rsid w:val="00E42EEC"/>
    <w:rsid w:val="00E44A38"/>
    <w:rsid w:val="00E44D9B"/>
    <w:rsid w:val="00E44EFF"/>
    <w:rsid w:val="00E4538E"/>
    <w:rsid w:val="00E45ABE"/>
    <w:rsid w:val="00E466E0"/>
    <w:rsid w:val="00E472CB"/>
    <w:rsid w:val="00E4736D"/>
    <w:rsid w:val="00E4749B"/>
    <w:rsid w:val="00E47CF1"/>
    <w:rsid w:val="00E47F71"/>
    <w:rsid w:val="00E508CD"/>
    <w:rsid w:val="00E50BDB"/>
    <w:rsid w:val="00E50D2E"/>
    <w:rsid w:val="00E5168E"/>
    <w:rsid w:val="00E51F15"/>
    <w:rsid w:val="00E52276"/>
    <w:rsid w:val="00E52665"/>
    <w:rsid w:val="00E52988"/>
    <w:rsid w:val="00E537DE"/>
    <w:rsid w:val="00E542F9"/>
    <w:rsid w:val="00E5454B"/>
    <w:rsid w:val="00E546B7"/>
    <w:rsid w:val="00E548AA"/>
    <w:rsid w:val="00E54EF6"/>
    <w:rsid w:val="00E54F85"/>
    <w:rsid w:val="00E550F1"/>
    <w:rsid w:val="00E5582C"/>
    <w:rsid w:val="00E55FC7"/>
    <w:rsid w:val="00E56BF1"/>
    <w:rsid w:val="00E5704B"/>
    <w:rsid w:val="00E57072"/>
    <w:rsid w:val="00E57525"/>
    <w:rsid w:val="00E6035A"/>
    <w:rsid w:val="00E6072B"/>
    <w:rsid w:val="00E6083E"/>
    <w:rsid w:val="00E6100E"/>
    <w:rsid w:val="00E615DA"/>
    <w:rsid w:val="00E6190D"/>
    <w:rsid w:val="00E62437"/>
    <w:rsid w:val="00E62A56"/>
    <w:rsid w:val="00E62E48"/>
    <w:rsid w:val="00E63922"/>
    <w:rsid w:val="00E63C1C"/>
    <w:rsid w:val="00E64A70"/>
    <w:rsid w:val="00E65071"/>
    <w:rsid w:val="00E651DC"/>
    <w:rsid w:val="00E651FC"/>
    <w:rsid w:val="00E6543D"/>
    <w:rsid w:val="00E655C9"/>
    <w:rsid w:val="00E7001E"/>
    <w:rsid w:val="00E70279"/>
    <w:rsid w:val="00E7069F"/>
    <w:rsid w:val="00E71F5F"/>
    <w:rsid w:val="00E71F76"/>
    <w:rsid w:val="00E7280D"/>
    <w:rsid w:val="00E72AE2"/>
    <w:rsid w:val="00E73007"/>
    <w:rsid w:val="00E73D68"/>
    <w:rsid w:val="00E7544F"/>
    <w:rsid w:val="00E761A5"/>
    <w:rsid w:val="00E76665"/>
    <w:rsid w:val="00E77989"/>
    <w:rsid w:val="00E8103A"/>
    <w:rsid w:val="00E811FF"/>
    <w:rsid w:val="00E81BA2"/>
    <w:rsid w:val="00E8276F"/>
    <w:rsid w:val="00E829B1"/>
    <w:rsid w:val="00E82FBD"/>
    <w:rsid w:val="00E8379C"/>
    <w:rsid w:val="00E83AB0"/>
    <w:rsid w:val="00E83ABD"/>
    <w:rsid w:val="00E83B02"/>
    <w:rsid w:val="00E850B7"/>
    <w:rsid w:val="00E85D7F"/>
    <w:rsid w:val="00E86ABB"/>
    <w:rsid w:val="00E87DD8"/>
    <w:rsid w:val="00E91637"/>
    <w:rsid w:val="00E9168A"/>
    <w:rsid w:val="00E91C98"/>
    <w:rsid w:val="00E91F39"/>
    <w:rsid w:val="00E92065"/>
    <w:rsid w:val="00E92298"/>
    <w:rsid w:val="00E92696"/>
    <w:rsid w:val="00E9293C"/>
    <w:rsid w:val="00E92AAB"/>
    <w:rsid w:val="00E9364C"/>
    <w:rsid w:val="00E93722"/>
    <w:rsid w:val="00E93836"/>
    <w:rsid w:val="00E93BBF"/>
    <w:rsid w:val="00E93BFD"/>
    <w:rsid w:val="00E93E29"/>
    <w:rsid w:val="00E943D2"/>
    <w:rsid w:val="00E94E2B"/>
    <w:rsid w:val="00E9536C"/>
    <w:rsid w:val="00E9539B"/>
    <w:rsid w:val="00E963C9"/>
    <w:rsid w:val="00E965B5"/>
    <w:rsid w:val="00E96766"/>
    <w:rsid w:val="00E96BD2"/>
    <w:rsid w:val="00E97385"/>
    <w:rsid w:val="00E97619"/>
    <w:rsid w:val="00E97A38"/>
    <w:rsid w:val="00E97EA9"/>
    <w:rsid w:val="00EA02D7"/>
    <w:rsid w:val="00EA094B"/>
    <w:rsid w:val="00EA108B"/>
    <w:rsid w:val="00EA1248"/>
    <w:rsid w:val="00EA14B1"/>
    <w:rsid w:val="00EA2331"/>
    <w:rsid w:val="00EA26E4"/>
    <w:rsid w:val="00EA28C2"/>
    <w:rsid w:val="00EA34BF"/>
    <w:rsid w:val="00EA3923"/>
    <w:rsid w:val="00EA43F9"/>
    <w:rsid w:val="00EA4FB2"/>
    <w:rsid w:val="00EA536E"/>
    <w:rsid w:val="00EA56FF"/>
    <w:rsid w:val="00EA653E"/>
    <w:rsid w:val="00EA6552"/>
    <w:rsid w:val="00EA675A"/>
    <w:rsid w:val="00EA6799"/>
    <w:rsid w:val="00EA6C73"/>
    <w:rsid w:val="00EA7003"/>
    <w:rsid w:val="00EA7EB8"/>
    <w:rsid w:val="00EB0E4F"/>
    <w:rsid w:val="00EB356A"/>
    <w:rsid w:val="00EB38B5"/>
    <w:rsid w:val="00EB4665"/>
    <w:rsid w:val="00EB56BC"/>
    <w:rsid w:val="00EB58C0"/>
    <w:rsid w:val="00EB5A66"/>
    <w:rsid w:val="00EB5D52"/>
    <w:rsid w:val="00EB68CE"/>
    <w:rsid w:val="00EB6F7D"/>
    <w:rsid w:val="00EB743E"/>
    <w:rsid w:val="00EB778B"/>
    <w:rsid w:val="00EC0197"/>
    <w:rsid w:val="00EC0740"/>
    <w:rsid w:val="00EC24AA"/>
    <w:rsid w:val="00EC27B6"/>
    <w:rsid w:val="00EC2A77"/>
    <w:rsid w:val="00EC3538"/>
    <w:rsid w:val="00EC4135"/>
    <w:rsid w:val="00EC43E8"/>
    <w:rsid w:val="00EC51E0"/>
    <w:rsid w:val="00EC6017"/>
    <w:rsid w:val="00EC6046"/>
    <w:rsid w:val="00EC612A"/>
    <w:rsid w:val="00EC6406"/>
    <w:rsid w:val="00EC68E4"/>
    <w:rsid w:val="00EC69F6"/>
    <w:rsid w:val="00EC6DF3"/>
    <w:rsid w:val="00EC75EC"/>
    <w:rsid w:val="00EC76C7"/>
    <w:rsid w:val="00EC77FB"/>
    <w:rsid w:val="00EC7886"/>
    <w:rsid w:val="00EC7974"/>
    <w:rsid w:val="00EC7AE4"/>
    <w:rsid w:val="00ED01B5"/>
    <w:rsid w:val="00ED08C2"/>
    <w:rsid w:val="00ED1562"/>
    <w:rsid w:val="00ED2E02"/>
    <w:rsid w:val="00ED336D"/>
    <w:rsid w:val="00ED3463"/>
    <w:rsid w:val="00ED3804"/>
    <w:rsid w:val="00ED382D"/>
    <w:rsid w:val="00ED425D"/>
    <w:rsid w:val="00ED446B"/>
    <w:rsid w:val="00ED45DE"/>
    <w:rsid w:val="00ED4A06"/>
    <w:rsid w:val="00ED53FF"/>
    <w:rsid w:val="00ED569D"/>
    <w:rsid w:val="00ED6403"/>
    <w:rsid w:val="00ED642E"/>
    <w:rsid w:val="00ED6531"/>
    <w:rsid w:val="00ED7355"/>
    <w:rsid w:val="00ED73EA"/>
    <w:rsid w:val="00EE0497"/>
    <w:rsid w:val="00EE05C5"/>
    <w:rsid w:val="00EE08B2"/>
    <w:rsid w:val="00EE0966"/>
    <w:rsid w:val="00EE32C4"/>
    <w:rsid w:val="00EE32FD"/>
    <w:rsid w:val="00EE3F27"/>
    <w:rsid w:val="00EE4778"/>
    <w:rsid w:val="00EE4BFA"/>
    <w:rsid w:val="00EE59FE"/>
    <w:rsid w:val="00EE6110"/>
    <w:rsid w:val="00EE6DCF"/>
    <w:rsid w:val="00EE7AEE"/>
    <w:rsid w:val="00EF022D"/>
    <w:rsid w:val="00EF09D4"/>
    <w:rsid w:val="00EF1802"/>
    <w:rsid w:val="00EF1824"/>
    <w:rsid w:val="00EF1A74"/>
    <w:rsid w:val="00EF1EB3"/>
    <w:rsid w:val="00EF216C"/>
    <w:rsid w:val="00EF2B2B"/>
    <w:rsid w:val="00EF2DEC"/>
    <w:rsid w:val="00EF3336"/>
    <w:rsid w:val="00EF357A"/>
    <w:rsid w:val="00EF3590"/>
    <w:rsid w:val="00EF4DCF"/>
    <w:rsid w:val="00EF5287"/>
    <w:rsid w:val="00EF5B3C"/>
    <w:rsid w:val="00EF5CC7"/>
    <w:rsid w:val="00EF6377"/>
    <w:rsid w:val="00EF6461"/>
    <w:rsid w:val="00EF6564"/>
    <w:rsid w:val="00EF659A"/>
    <w:rsid w:val="00EF7E8D"/>
    <w:rsid w:val="00F003EE"/>
    <w:rsid w:val="00F00526"/>
    <w:rsid w:val="00F00565"/>
    <w:rsid w:val="00F00A66"/>
    <w:rsid w:val="00F01437"/>
    <w:rsid w:val="00F01F67"/>
    <w:rsid w:val="00F02351"/>
    <w:rsid w:val="00F02E1A"/>
    <w:rsid w:val="00F0316E"/>
    <w:rsid w:val="00F03615"/>
    <w:rsid w:val="00F04DFB"/>
    <w:rsid w:val="00F057FB"/>
    <w:rsid w:val="00F06209"/>
    <w:rsid w:val="00F06744"/>
    <w:rsid w:val="00F06CFF"/>
    <w:rsid w:val="00F06F63"/>
    <w:rsid w:val="00F06FCD"/>
    <w:rsid w:val="00F07B81"/>
    <w:rsid w:val="00F07E75"/>
    <w:rsid w:val="00F105F7"/>
    <w:rsid w:val="00F11A04"/>
    <w:rsid w:val="00F12481"/>
    <w:rsid w:val="00F1275D"/>
    <w:rsid w:val="00F13B33"/>
    <w:rsid w:val="00F13BED"/>
    <w:rsid w:val="00F13CBD"/>
    <w:rsid w:val="00F1478A"/>
    <w:rsid w:val="00F15593"/>
    <w:rsid w:val="00F15680"/>
    <w:rsid w:val="00F16210"/>
    <w:rsid w:val="00F1731B"/>
    <w:rsid w:val="00F1766D"/>
    <w:rsid w:val="00F17F3F"/>
    <w:rsid w:val="00F17F90"/>
    <w:rsid w:val="00F17FCD"/>
    <w:rsid w:val="00F20457"/>
    <w:rsid w:val="00F20A99"/>
    <w:rsid w:val="00F20D80"/>
    <w:rsid w:val="00F21A71"/>
    <w:rsid w:val="00F21ED4"/>
    <w:rsid w:val="00F22513"/>
    <w:rsid w:val="00F2285F"/>
    <w:rsid w:val="00F2308A"/>
    <w:rsid w:val="00F239FA"/>
    <w:rsid w:val="00F23EDF"/>
    <w:rsid w:val="00F2412D"/>
    <w:rsid w:val="00F24A98"/>
    <w:rsid w:val="00F24CE7"/>
    <w:rsid w:val="00F24EF3"/>
    <w:rsid w:val="00F25090"/>
    <w:rsid w:val="00F251D8"/>
    <w:rsid w:val="00F25AEA"/>
    <w:rsid w:val="00F26486"/>
    <w:rsid w:val="00F26978"/>
    <w:rsid w:val="00F26A8E"/>
    <w:rsid w:val="00F26D0D"/>
    <w:rsid w:val="00F2718F"/>
    <w:rsid w:val="00F273A6"/>
    <w:rsid w:val="00F2796E"/>
    <w:rsid w:val="00F27A96"/>
    <w:rsid w:val="00F30B59"/>
    <w:rsid w:val="00F30BD0"/>
    <w:rsid w:val="00F31B8D"/>
    <w:rsid w:val="00F326C8"/>
    <w:rsid w:val="00F32777"/>
    <w:rsid w:val="00F32BC8"/>
    <w:rsid w:val="00F32EA0"/>
    <w:rsid w:val="00F331DE"/>
    <w:rsid w:val="00F3332E"/>
    <w:rsid w:val="00F333FD"/>
    <w:rsid w:val="00F33F7B"/>
    <w:rsid w:val="00F34905"/>
    <w:rsid w:val="00F3502D"/>
    <w:rsid w:val="00F35339"/>
    <w:rsid w:val="00F358EA"/>
    <w:rsid w:val="00F35DA2"/>
    <w:rsid w:val="00F35DD6"/>
    <w:rsid w:val="00F36455"/>
    <w:rsid w:val="00F36895"/>
    <w:rsid w:val="00F36D94"/>
    <w:rsid w:val="00F37145"/>
    <w:rsid w:val="00F408E0"/>
    <w:rsid w:val="00F40C85"/>
    <w:rsid w:val="00F40F48"/>
    <w:rsid w:val="00F419B2"/>
    <w:rsid w:val="00F423D9"/>
    <w:rsid w:val="00F4250F"/>
    <w:rsid w:val="00F4298F"/>
    <w:rsid w:val="00F42AB7"/>
    <w:rsid w:val="00F43211"/>
    <w:rsid w:val="00F446F0"/>
    <w:rsid w:val="00F44E4A"/>
    <w:rsid w:val="00F44F86"/>
    <w:rsid w:val="00F44FB6"/>
    <w:rsid w:val="00F454D9"/>
    <w:rsid w:val="00F464A4"/>
    <w:rsid w:val="00F46CC0"/>
    <w:rsid w:val="00F46FCD"/>
    <w:rsid w:val="00F477E1"/>
    <w:rsid w:val="00F47AF8"/>
    <w:rsid w:val="00F47B94"/>
    <w:rsid w:val="00F509E2"/>
    <w:rsid w:val="00F50A7F"/>
    <w:rsid w:val="00F50DC4"/>
    <w:rsid w:val="00F514C5"/>
    <w:rsid w:val="00F51934"/>
    <w:rsid w:val="00F51D46"/>
    <w:rsid w:val="00F51DF5"/>
    <w:rsid w:val="00F51F32"/>
    <w:rsid w:val="00F52855"/>
    <w:rsid w:val="00F52C99"/>
    <w:rsid w:val="00F53ABD"/>
    <w:rsid w:val="00F53C8F"/>
    <w:rsid w:val="00F541F9"/>
    <w:rsid w:val="00F54847"/>
    <w:rsid w:val="00F54852"/>
    <w:rsid w:val="00F54E77"/>
    <w:rsid w:val="00F54EE1"/>
    <w:rsid w:val="00F56C86"/>
    <w:rsid w:val="00F56DA3"/>
    <w:rsid w:val="00F5705D"/>
    <w:rsid w:val="00F57EF3"/>
    <w:rsid w:val="00F57F78"/>
    <w:rsid w:val="00F60B97"/>
    <w:rsid w:val="00F61A26"/>
    <w:rsid w:val="00F61B46"/>
    <w:rsid w:val="00F6202B"/>
    <w:rsid w:val="00F632F5"/>
    <w:rsid w:val="00F64321"/>
    <w:rsid w:val="00F649E1"/>
    <w:rsid w:val="00F64E16"/>
    <w:rsid w:val="00F6500C"/>
    <w:rsid w:val="00F6542D"/>
    <w:rsid w:val="00F6543E"/>
    <w:rsid w:val="00F65B90"/>
    <w:rsid w:val="00F65BAC"/>
    <w:rsid w:val="00F66A69"/>
    <w:rsid w:val="00F66CF9"/>
    <w:rsid w:val="00F6762B"/>
    <w:rsid w:val="00F679CE"/>
    <w:rsid w:val="00F67B78"/>
    <w:rsid w:val="00F7019A"/>
    <w:rsid w:val="00F7093C"/>
    <w:rsid w:val="00F71211"/>
    <w:rsid w:val="00F7158E"/>
    <w:rsid w:val="00F719AF"/>
    <w:rsid w:val="00F722AC"/>
    <w:rsid w:val="00F724F2"/>
    <w:rsid w:val="00F72BC9"/>
    <w:rsid w:val="00F73752"/>
    <w:rsid w:val="00F7396D"/>
    <w:rsid w:val="00F7398D"/>
    <w:rsid w:val="00F7398E"/>
    <w:rsid w:val="00F73E9B"/>
    <w:rsid w:val="00F740F8"/>
    <w:rsid w:val="00F74B74"/>
    <w:rsid w:val="00F750B0"/>
    <w:rsid w:val="00F75A36"/>
    <w:rsid w:val="00F75FE1"/>
    <w:rsid w:val="00F76C00"/>
    <w:rsid w:val="00F76EC7"/>
    <w:rsid w:val="00F76FA8"/>
    <w:rsid w:val="00F773F1"/>
    <w:rsid w:val="00F77AA7"/>
    <w:rsid w:val="00F8006C"/>
    <w:rsid w:val="00F808B3"/>
    <w:rsid w:val="00F81565"/>
    <w:rsid w:val="00F81C59"/>
    <w:rsid w:val="00F81DA3"/>
    <w:rsid w:val="00F825D0"/>
    <w:rsid w:val="00F827FB"/>
    <w:rsid w:val="00F82F74"/>
    <w:rsid w:val="00F83A27"/>
    <w:rsid w:val="00F83D5E"/>
    <w:rsid w:val="00F843D8"/>
    <w:rsid w:val="00F85D1A"/>
    <w:rsid w:val="00F85E7B"/>
    <w:rsid w:val="00F86170"/>
    <w:rsid w:val="00F861D7"/>
    <w:rsid w:val="00F8643B"/>
    <w:rsid w:val="00F8681D"/>
    <w:rsid w:val="00F86FB7"/>
    <w:rsid w:val="00F8770A"/>
    <w:rsid w:val="00F877B8"/>
    <w:rsid w:val="00F87FD4"/>
    <w:rsid w:val="00F90616"/>
    <w:rsid w:val="00F90AF8"/>
    <w:rsid w:val="00F90E42"/>
    <w:rsid w:val="00F9165B"/>
    <w:rsid w:val="00F91B4B"/>
    <w:rsid w:val="00F92060"/>
    <w:rsid w:val="00F92280"/>
    <w:rsid w:val="00F9267D"/>
    <w:rsid w:val="00F9272A"/>
    <w:rsid w:val="00F92875"/>
    <w:rsid w:val="00F92C64"/>
    <w:rsid w:val="00F94180"/>
    <w:rsid w:val="00F9440E"/>
    <w:rsid w:val="00F94DC1"/>
    <w:rsid w:val="00F95120"/>
    <w:rsid w:val="00F95725"/>
    <w:rsid w:val="00F95FB3"/>
    <w:rsid w:val="00F9601E"/>
    <w:rsid w:val="00F96059"/>
    <w:rsid w:val="00F96393"/>
    <w:rsid w:val="00F969A3"/>
    <w:rsid w:val="00F96A5A"/>
    <w:rsid w:val="00F96CD1"/>
    <w:rsid w:val="00F96F07"/>
    <w:rsid w:val="00F9738E"/>
    <w:rsid w:val="00F97CA1"/>
    <w:rsid w:val="00F97ED9"/>
    <w:rsid w:val="00F97F44"/>
    <w:rsid w:val="00FA079C"/>
    <w:rsid w:val="00FA124E"/>
    <w:rsid w:val="00FA18E4"/>
    <w:rsid w:val="00FA1C17"/>
    <w:rsid w:val="00FA279A"/>
    <w:rsid w:val="00FA29FE"/>
    <w:rsid w:val="00FA2F61"/>
    <w:rsid w:val="00FA2FEE"/>
    <w:rsid w:val="00FA37CF"/>
    <w:rsid w:val="00FA3875"/>
    <w:rsid w:val="00FA3C42"/>
    <w:rsid w:val="00FA3DF2"/>
    <w:rsid w:val="00FA427C"/>
    <w:rsid w:val="00FA433A"/>
    <w:rsid w:val="00FA5873"/>
    <w:rsid w:val="00FA5EBF"/>
    <w:rsid w:val="00FA5F7C"/>
    <w:rsid w:val="00FA6035"/>
    <w:rsid w:val="00FA69FD"/>
    <w:rsid w:val="00FA6D1B"/>
    <w:rsid w:val="00FA70D0"/>
    <w:rsid w:val="00FA783B"/>
    <w:rsid w:val="00FB05D3"/>
    <w:rsid w:val="00FB29F6"/>
    <w:rsid w:val="00FB32A8"/>
    <w:rsid w:val="00FB3D94"/>
    <w:rsid w:val="00FB45F8"/>
    <w:rsid w:val="00FB479D"/>
    <w:rsid w:val="00FB5E9D"/>
    <w:rsid w:val="00FB6B43"/>
    <w:rsid w:val="00FB70AC"/>
    <w:rsid w:val="00FC01AC"/>
    <w:rsid w:val="00FC074A"/>
    <w:rsid w:val="00FC0DD4"/>
    <w:rsid w:val="00FC0E80"/>
    <w:rsid w:val="00FC14A4"/>
    <w:rsid w:val="00FC1517"/>
    <w:rsid w:val="00FC1A14"/>
    <w:rsid w:val="00FC1B3C"/>
    <w:rsid w:val="00FC1D17"/>
    <w:rsid w:val="00FC2096"/>
    <w:rsid w:val="00FC22C7"/>
    <w:rsid w:val="00FC32D5"/>
    <w:rsid w:val="00FC3764"/>
    <w:rsid w:val="00FC384A"/>
    <w:rsid w:val="00FC3E57"/>
    <w:rsid w:val="00FC4262"/>
    <w:rsid w:val="00FC4383"/>
    <w:rsid w:val="00FC44C0"/>
    <w:rsid w:val="00FC4DAE"/>
    <w:rsid w:val="00FC4FEA"/>
    <w:rsid w:val="00FC58E3"/>
    <w:rsid w:val="00FC5C8F"/>
    <w:rsid w:val="00FC66CB"/>
    <w:rsid w:val="00FC7C3C"/>
    <w:rsid w:val="00FD05EC"/>
    <w:rsid w:val="00FD07E6"/>
    <w:rsid w:val="00FD0CA5"/>
    <w:rsid w:val="00FD0F57"/>
    <w:rsid w:val="00FD10A1"/>
    <w:rsid w:val="00FD1462"/>
    <w:rsid w:val="00FD28FA"/>
    <w:rsid w:val="00FD2F1F"/>
    <w:rsid w:val="00FD312B"/>
    <w:rsid w:val="00FD34D8"/>
    <w:rsid w:val="00FD41F6"/>
    <w:rsid w:val="00FD4224"/>
    <w:rsid w:val="00FD4BC7"/>
    <w:rsid w:val="00FD4C17"/>
    <w:rsid w:val="00FD4D30"/>
    <w:rsid w:val="00FD4DAB"/>
    <w:rsid w:val="00FD5BF5"/>
    <w:rsid w:val="00FD6C42"/>
    <w:rsid w:val="00FD71D4"/>
    <w:rsid w:val="00FD720D"/>
    <w:rsid w:val="00FD7484"/>
    <w:rsid w:val="00FD7A3C"/>
    <w:rsid w:val="00FE053B"/>
    <w:rsid w:val="00FE05E4"/>
    <w:rsid w:val="00FE207D"/>
    <w:rsid w:val="00FE24C7"/>
    <w:rsid w:val="00FE26F6"/>
    <w:rsid w:val="00FE2BB4"/>
    <w:rsid w:val="00FE34FE"/>
    <w:rsid w:val="00FE3568"/>
    <w:rsid w:val="00FE3AF5"/>
    <w:rsid w:val="00FE4B57"/>
    <w:rsid w:val="00FE50A4"/>
    <w:rsid w:val="00FE5667"/>
    <w:rsid w:val="00FE5726"/>
    <w:rsid w:val="00FE5858"/>
    <w:rsid w:val="00FE5E6C"/>
    <w:rsid w:val="00FE61EF"/>
    <w:rsid w:val="00FE631A"/>
    <w:rsid w:val="00FE69B3"/>
    <w:rsid w:val="00FE73C7"/>
    <w:rsid w:val="00FE783B"/>
    <w:rsid w:val="00FE79CA"/>
    <w:rsid w:val="00FF09C3"/>
    <w:rsid w:val="00FF0EAF"/>
    <w:rsid w:val="00FF144A"/>
    <w:rsid w:val="00FF1F93"/>
    <w:rsid w:val="00FF203E"/>
    <w:rsid w:val="00FF2187"/>
    <w:rsid w:val="00FF2782"/>
    <w:rsid w:val="00FF2873"/>
    <w:rsid w:val="00FF28DD"/>
    <w:rsid w:val="00FF3610"/>
    <w:rsid w:val="00FF416F"/>
    <w:rsid w:val="00FF4632"/>
    <w:rsid w:val="00FF5A85"/>
    <w:rsid w:val="00FF6943"/>
    <w:rsid w:val="00FF6CAD"/>
    <w:rsid w:val="00FF6E81"/>
    <w:rsid w:val="00FF74EC"/>
    <w:rsid w:val="00FF75F0"/>
    <w:rsid w:val="00FF7B95"/>
    <w:rsid w:val="01FF1D87"/>
    <w:rsid w:val="021F7DC1"/>
    <w:rsid w:val="02B15C24"/>
    <w:rsid w:val="02C2294F"/>
    <w:rsid w:val="041B2D75"/>
    <w:rsid w:val="08FC0687"/>
    <w:rsid w:val="0DCC3770"/>
    <w:rsid w:val="0F20569E"/>
    <w:rsid w:val="0FA51BE7"/>
    <w:rsid w:val="127B6C0E"/>
    <w:rsid w:val="131265FE"/>
    <w:rsid w:val="16F54124"/>
    <w:rsid w:val="21937A2C"/>
    <w:rsid w:val="24B7451B"/>
    <w:rsid w:val="31053B7F"/>
    <w:rsid w:val="37E37000"/>
    <w:rsid w:val="408043B9"/>
    <w:rsid w:val="41C14C17"/>
    <w:rsid w:val="41DD3E7F"/>
    <w:rsid w:val="42015549"/>
    <w:rsid w:val="425E5C41"/>
    <w:rsid w:val="46B75C30"/>
    <w:rsid w:val="4AB10DA0"/>
    <w:rsid w:val="507576DC"/>
    <w:rsid w:val="59D52E2B"/>
    <w:rsid w:val="5ACE32A8"/>
    <w:rsid w:val="5BE9129D"/>
    <w:rsid w:val="5F552AFF"/>
    <w:rsid w:val="5F994CB2"/>
    <w:rsid w:val="63B70D7D"/>
    <w:rsid w:val="65556AA0"/>
    <w:rsid w:val="661349F8"/>
    <w:rsid w:val="67D85766"/>
    <w:rsid w:val="6C0C79BC"/>
    <w:rsid w:val="732B1620"/>
    <w:rsid w:val="775537D3"/>
    <w:rsid w:val="78FA66BB"/>
    <w:rsid w:val="798F06AF"/>
    <w:rsid w:val="7F4B61F9"/>
    <w:rsid w:val="7FAB69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9" w:semiHidden="0" w:name="heading 3"/>
    <w:lsdException w:qFormat="1" w:uiPriority="9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99" w:semiHidden="0" w:name="index 1" w:locked="1"/>
    <w:lsdException w:qFormat="1" w:uiPriority="0" w:name="index 2" w:locked="1"/>
    <w:lsdException w:qFormat="1" w:uiPriority="0" w:name="index 3" w:locked="1"/>
    <w:lsdException w:qFormat="1" w:uiPriority="0" w:name="index 4" w:locked="1"/>
    <w:lsdException w:qFormat="1" w:uiPriority="99" w:name="index 5" w:locked="1"/>
    <w:lsdException w:qFormat="1" w:uiPriority="0" w:name="index 6" w:locked="1"/>
    <w:lsdException w:qFormat="1" w:uiPriority="0" w:name="index 7" w:locked="1"/>
    <w:lsdException w:qFormat="1" w:uiPriority="0" w:name="index 8" w:locked="1"/>
    <w:lsdException w:qFormat="1" w:uiPriority="0" w:name="index 9" w:locked="1"/>
    <w:lsdException w:qFormat="1" w:uiPriority="39" w:semiHidden="0" w:name="toc 1"/>
    <w:lsdException w:qFormat="1" w:uiPriority="39" w:semiHidden="0" w:name="toc 2"/>
    <w:lsdException w:qFormat="1" w:uiPriority="39" w:semiHidden="0" w:name="toc 3"/>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qFormat="1" w:unhideWhenUsed="0" w:uiPriority="0" w:semiHidden="0" w:name="Normal Indent" w:locked="1"/>
    <w:lsdException w:qFormat="1" w:unhideWhenUsed="0" w:uiPriority="99" w:semiHidden="0" w:name="footnote text" w:locked="1"/>
    <w:lsdException w:qFormat="1" w:uiPriority="0" w:semiHidden="0" w:name="annotation text" w:locked="1"/>
    <w:lsdException w:qFormat="1" w:uiPriority="99" w:semiHidden="0" w:name="header"/>
    <w:lsdException w:qFormat="1" w:uiPriority="99" w:semiHidden="0" w:name="footer"/>
    <w:lsdException w:qFormat="1" w:uiPriority="0" w:name="index heading" w:locked="1"/>
    <w:lsdException w:qFormat="1" w:unhideWhenUsed="0" w:uiPriority="99" w:semiHidden="0" w:name="caption"/>
    <w:lsdException w:qFormat="1" w:unhideWhenUsed="0" w:uiPriority="99" w:semiHidden="0" w:name="table of figures" w:locked="1"/>
    <w:lsdException w:qFormat="1" w:unhideWhenUsed="0" w:uiPriority="99" w:semiHidden="0" w:name="envelope address" w:locked="1"/>
    <w:lsdException w:qFormat="1" w:unhideWhenUsed="0" w:uiPriority="99" w:semiHidden="0" w:name="envelope return" w:locked="1"/>
    <w:lsdException w:qFormat="1" w:unhideWhenUsed="0" w:uiPriority="99" w:semiHidden="0" w:name="footnote reference" w:locked="1"/>
    <w:lsdException w:qFormat="1" w:uiPriority="99" w:semiHidden="0" w:name="annotation reference" w:locked="1"/>
    <w:lsdException w:qFormat="1" w:unhideWhenUsed="0" w:uiPriority="0" w:semiHidden="0" w:name="line number" w:locked="1"/>
    <w:lsdException w:qFormat="1" w:unhideWhenUsed="0" w:uiPriority="0" w:semiHidden="0" w:name="page number"/>
    <w:lsdException w:qFormat="1" w:unhideWhenUsed="0" w:uiPriority="0" w:semiHidden="0" w:name="endnote reference" w:locked="1"/>
    <w:lsdException w:qFormat="1" w:unhideWhenUsed="0" w:uiPriority="0" w:semiHidden="0" w:name="endnote text" w:locked="1"/>
    <w:lsdException w:qFormat="1" w:uiPriority="99" w:semiHidden="0" w:name="table of authorities" w:locked="1"/>
    <w:lsdException w:qFormat="1" w:unhideWhenUsed="0" w:uiPriority="0" w:semiHidden="0" w:name="macro" w:locked="1"/>
    <w:lsdException w:qFormat="1" w:unhideWhenUsed="0" w:uiPriority="99" w:semiHidden="0" w:name="toa heading" w:locked="1"/>
    <w:lsdException w:qFormat="1" w:unhideWhenUsed="0" w:uiPriority="0" w:semiHidden="0" w:name="List" w:locked="1"/>
    <w:lsdException w:qFormat="1" w:unhideWhenUsed="0" w:uiPriority="99" w:semiHidden="0" w:name="List Bullet" w:locked="1"/>
    <w:lsdException w:qFormat="1" w:unhideWhenUsed="0" w:uiPriority="99" w:semiHidden="0" w:name="List Number" w:locked="1"/>
    <w:lsdException w:qFormat="1" w:unhideWhenUsed="0" w:uiPriority="99" w:semiHidden="0" w:name="List 2" w:locked="1"/>
    <w:lsdException w:qFormat="1" w:unhideWhenUsed="0" w:uiPriority="99" w:semiHidden="0" w:name="List 3" w:locked="1"/>
    <w:lsdException w:qFormat="1" w:unhideWhenUsed="0" w:uiPriority="99" w:semiHidden="0" w:name="List 4" w:locked="1"/>
    <w:lsdException w:qFormat="1" w:unhideWhenUsed="0" w:uiPriority="99" w:semiHidden="0" w:name="List 5" w:locked="1"/>
    <w:lsdException w:qFormat="1" w:unhideWhenUsed="0" w:uiPriority="99" w:semiHidden="0" w:name="List Bullet 2" w:locked="1"/>
    <w:lsdException w:qFormat="1" w:unhideWhenUsed="0" w:uiPriority="99" w:semiHidden="0" w:name="List Bullet 3" w:locked="1"/>
    <w:lsdException w:qFormat="1" w:unhideWhenUsed="0" w:uiPriority="99" w:semiHidden="0" w:name="List Bullet 4" w:locked="1"/>
    <w:lsdException w:qFormat="1" w:unhideWhenUsed="0" w:uiPriority="99" w:semiHidden="0" w:name="List Bullet 5" w:locked="1"/>
    <w:lsdException w:qFormat="1" w:unhideWhenUsed="0" w:uiPriority="99" w:semiHidden="0" w:name="List Number 2" w:locked="1"/>
    <w:lsdException w:qFormat="1" w:unhideWhenUsed="0" w:uiPriority="99" w:semiHidden="0" w:name="List Number 3" w:locked="1"/>
    <w:lsdException w:qFormat="1" w:unhideWhenUsed="0" w:uiPriority="99" w:semiHidden="0" w:name="List Number 4" w:locked="1"/>
    <w:lsdException w:qFormat="1" w:unhideWhenUsed="0" w:uiPriority="99"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semiHidden="0" w:name="Default Paragraph Font"/>
    <w:lsdException w:qFormat="1" w:unhideWhenUsed="0" w:uiPriority="0" w:semiHidden="0" w:name="Body Text" w:locked="1"/>
    <w:lsdException w:qFormat="1" w:uiPriority="0" w:semiHidden="0" w:name="Body Text Indent" w:locked="1"/>
    <w:lsdException w:qFormat="1" w:unhideWhenUsed="0" w:uiPriority="99" w:semiHidden="0" w:name="List Continue" w:locked="1"/>
    <w:lsdException w:qFormat="1" w:unhideWhenUsed="0" w:uiPriority="99" w:semiHidden="0" w:name="List Continue 2" w:locked="1"/>
    <w:lsdException w:qFormat="1" w:unhideWhenUsed="0" w:uiPriority="99" w:semiHidden="0" w:name="List Continue 3" w:locked="1"/>
    <w:lsdException w:qFormat="1" w:unhideWhenUsed="0" w:uiPriority="99" w:semiHidden="0" w:name="List Continue 4" w:locked="1"/>
    <w:lsdException w:qFormat="1" w:unhideWhenUsed="0" w:uiPriority="99"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iPriority="99" w:semiHidden="0" w:name="Date" w:locked="1"/>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99" w:semiHidden="0" w:name="Body Text 2" w:locked="1"/>
    <w:lsdException w:qFormat="1" w:unhideWhenUsed="0" w:uiPriority="0" w:semiHidden="0" w:name="Body Text 3" w:locked="1"/>
    <w:lsdException w:qFormat="1"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sdException w:qFormat="1" w:unhideWhenUsed="0" w:uiPriority="99" w:semiHidden="0" w:name="FollowedHyperlink" w:locked="1"/>
    <w:lsdException w:qFormat="1" w:unhideWhenUsed="0" w:uiPriority="22" w:semiHidden="0" w:name="Strong" w:locked="1"/>
    <w:lsdException w:qFormat="1" w:unhideWhenUsed="0" w:uiPriority="20" w:semiHidden="0" w:name="Emphasis" w:locked="1"/>
    <w:lsdException w:qFormat="1" w:unhideWhenUsed="0" w:uiPriority="99" w:semiHidden="0" w:name="Document Map" w:locked="1"/>
    <w:lsdException w:qFormat="1" w:uiPriority="0" w:semiHidden="0" w:name="Plain Text" w:locked="1"/>
    <w:lsdException w:qFormat="1" w:unhideWhenUsed="0" w:uiPriority="0" w:semiHidden="0" w:name="E-mail Signature" w:locked="1"/>
    <w:lsdException w:qFormat="1" w:unhideWhenUsed="0" w:uiPriority="99" w:semiHidden="0" w:name="Normal (Web)" w:locked="1"/>
    <w:lsdException w:qFormat="1" w:unhideWhenUsed="0" w:uiPriority="0" w:semiHidden="0" w:name="HTML Acronym" w:locked="1"/>
    <w:lsdException w:qFormat="1" w:unhideWhenUsed="0" w:uiPriority="0" w:semiHidden="0" w:name="HTML Address" w:locked="1"/>
    <w:lsdException w:qFormat="1" w:unhideWhenUsed="0" w:uiPriority="99" w:semiHidden="0" w:name="HTML Cite" w:locked="1"/>
    <w:lsdException w:qFormat="1" w:unhideWhenUsed="0" w:uiPriority="99" w:semiHidden="0" w:name="HTML Code" w:locked="1"/>
    <w:lsdException w:qFormat="1" w:unhideWhenUsed="0" w:uiPriority="99" w:semiHidden="0" w:name="HTML Definition" w:locked="1"/>
    <w:lsdException w:qFormat="1" w:unhideWhenUsed="0" w:uiPriority="99" w:semiHidden="0" w:name="HTML Keyboard" w:locked="1"/>
    <w:lsdException w:qFormat="1" w:unhideWhenUsed="0" w:uiPriority="99" w:semiHidden="0" w:name="HTML Preformatted" w:locked="1"/>
    <w:lsdException w:qFormat="1" w:unhideWhenUsed="0" w:uiPriority="99" w:semiHidden="0" w:name="HTML Sample" w:locked="1"/>
    <w:lsdException w:qFormat="1" w:unhideWhenUsed="0" w:uiPriority="0" w:semiHidden="0" w:name="HTML Typewriter" w:locked="1"/>
    <w:lsdException w:qFormat="1" w:unhideWhenUsed="0" w:uiPriority="99" w:semiHidden="0" w:name="HTML Variable" w:locked="1"/>
    <w:lsdException w:qFormat="1" w:uiPriority="99" w:name="Normal Table"/>
    <w:lsdException w:qFormat="1" w:uiPriority="0" w:semiHidden="0" w:name="annotation subject" w:locked="1"/>
    <w:lsdException w:qFormat="1" w:uiPriority="99" w:name="Table Simple 1" w:locked="1"/>
    <w:lsdException w:qFormat="1" w:uiPriority="99" w:name="Table Simple 2" w:locked="1"/>
    <w:lsdException w:qFormat="1" w:uiPriority="99" w:name="Table Simple 3" w:locked="1"/>
    <w:lsdException w:qFormat="1" w:uiPriority="0" w:name="Table Classic 1" w:locked="1"/>
    <w:lsdException w:qFormat="1" w:uiPriority="99" w:name="Table Classic 2" w:locked="1"/>
    <w:lsdException w:qFormat="1" w:uiPriority="99" w:name="Table Classic 3" w:locked="1"/>
    <w:lsdException w:qFormat="1" w:uiPriority="99" w:name="Table Classic 4" w:locked="1"/>
    <w:lsdException w:qFormat="1" w:uiPriority="99" w:name="Table Colorful 1" w:locked="1"/>
    <w:lsdException w:qFormat="1" w:uiPriority="99" w:name="Table Colorful 2" w:locked="1"/>
    <w:lsdException w:qFormat="1" w:uiPriority="99" w:name="Table Colorful 3" w:locked="1"/>
    <w:lsdException w:qFormat="1" w:uiPriority="99" w:name="Table Columns 1" w:locked="1"/>
    <w:lsdException w:qFormat="1" w:uiPriority="99" w:name="Table Columns 2" w:locked="1"/>
    <w:lsdException w:qFormat="1" w:uiPriority="99" w:name="Table Columns 3" w:locked="1"/>
    <w:lsdException w:qFormat="1" w:uiPriority="99" w:name="Table Columns 4" w:locked="1"/>
    <w:lsdException w:qFormat="1" w:uiPriority="99" w:name="Table Columns 5" w:locked="1"/>
    <w:lsdException w:qFormat="1" w:uiPriority="99" w:name="Table Grid 1" w:locked="1"/>
    <w:lsdException w:qFormat="1" w:uiPriority="99" w:name="Table Grid 2" w:locked="1"/>
    <w:lsdException w:qFormat="1" w:uiPriority="99" w:name="Table Grid 3" w:locked="1"/>
    <w:lsdException w:qFormat="1" w:uiPriority="99" w:name="Table Grid 4" w:locked="1"/>
    <w:lsdException w:qFormat="1" w:uiPriority="99" w:name="Table Grid 5" w:locked="1"/>
    <w:lsdException w:qFormat="1" w:uiPriority="99" w:name="Table Grid 6" w:locked="1"/>
    <w:lsdException w:qFormat="1" w:uiPriority="99" w:name="Table Grid 7" w:locked="1"/>
    <w:lsdException w:qFormat="1" w:uiPriority="99" w:name="Table Grid 8" w:locked="1"/>
    <w:lsdException w:qFormat="1" w:uiPriority="99" w:name="Table List 1" w:locked="1"/>
    <w:lsdException w:qFormat="1" w:uiPriority="99" w:name="Table List 2" w:locked="1"/>
    <w:lsdException w:qFormat="1" w:uiPriority="99" w:name="Table List 3" w:locked="1"/>
    <w:lsdException w:qFormat="1" w:uiPriority="99" w:name="Table List 4" w:locked="1"/>
    <w:lsdException w:qFormat="1" w:uiPriority="99" w:name="Table List 5" w:locked="1"/>
    <w:lsdException w:qFormat="1" w:uiPriority="99" w:name="Table List 6" w:locked="1"/>
    <w:lsdException w:qFormat="1" w:uiPriority="99" w:name="Table List 7" w:locked="1"/>
    <w:lsdException w:qFormat="1" w:uiPriority="99" w:name="Table List 8" w:locked="1"/>
    <w:lsdException w:qFormat="1" w:uiPriority="99" w:name="Table 3D effects 1" w:locked="1"/>
    <w:lsdException w:qFormat="1" w:uiPriority="99" w:name="Table 3D effects 2" w:locked="1"/>
    <w:lsdException w:qFormat="1" w:uiPriority="99" w:name="Table 3D effects 3" w:locked="1"/>
    <w:lsdException w:qFormat="1" w:uiPriority="99" w:name="Table Contemporary" w:locked="1"/>
    <w:lsdException w:qFormat="1" w:uiPriority="99" w:name="Table Elegant" w:locked="1"/>
    <w:lsdException w:qFormat="1" w:uiPriority="99" w:name="Table Professional" w:locked="1"/>
    <w:lsdException w:qFormat="1" w:uiPriority="99" w:name="Table Subtle 1" w:locked="1"/>
    <w:lsdException w:qFormat="1" w:uiPriority="99" w:name="Table Subtle 2" w:locked="1"/>
    <w:lsdException w:qFormat="1" w:uiPriority="99" w:name="Table Web 1" w:locked="1"/>
    <w:lsdException w:qFormat="1" w:uiPriority="99" w:name="Table Web 2" w:locked="1"/>
    <w:lsdException w:qFormat="1" w:uiPriority="99" w:name="Table Web 3" w:locked="1"/>
    <w:lsdException w:qFormat="1" w:unhideWhenUsed="0" w:uiPriority="0" w:semiHidden="0" w:name="Balloon Text" w:locked="1"/>
    <w:lsdException w:qFormat="1" w:unhideWhenUsed="0" w:uiPriority="0" w:semiHidden="0" w:name="Table Grid" w:locked="1"/>
    <w:lsdException w:qFormat="1"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3">
    <w:name w:val="heading 1"/>
    <w:next w:val="4"/>
    <w:link w:val="102"/>
    <w:qFormat/>
    <w:uiPriority w:val="0"/>
    <w:pPr>
      <w:widowControl w:val="0"/>
      <w:numPr>
        <w:ilvl w:val="0"/>
        <w:numId w:val="1"/>
      </w:numPr>
      <w:adjustRightInd w:val="0"/>
      <w:snapToGrid w:val="0"/>
      <w:spacing w:before="100" w:beforeAutospacing="1" w:line="360" w:lineRule="auto"/>
      <w:outlineLvl w:val="0"/>
    </w:pPr>
    <w:rPr>
      <w:rFonts w:ascii="黑体" w:hAnsi="Times New Roman" w:eastAsia="黑体" w:cstheme="minorBidi"/>
      <w:b/>
      <w:kern w:val="44"/>
      <w:sz w:val="30"/>
      <w:szCs w:val="44"/>
      <w:lang w:val="en-US" w:eastAsia="zh-CN" w:bidi="ar-SA"/>
    </w:rPr>
  </w:style>
  <w:style w:type="paragraph" w:styleId="5">
    <w:name w:val="heading 2"/>
    <w:next w:val="4"/>
    <w:link w:val="103"/>
    <w:autoRedefine/>
    <w:unhideWhenUsed/>
    <w:qFormat/>
    <w:uiPriority w:val="0"/>
    <w:pPr>
      <w:keepNext/>
      <w:widowControl w:val="0"/>
      <w:numPr>
        <w:ilvl w:val="1"/>
        <w:numId w:val="1"/>
      </w:numPr>
      <w:adjustRightInd w:val="0"/>
      <w:snapToGrid w:val="0"/>
      <w:spacing w:before="100" w:beforeAutospacing="1" w:line="360" w:lineRule="auto"/>
      <w:outlineLvl w:val="1"/>
    </w:pPr>
    <w:rPr>
      <w:rFonts w:ascii="宋体" w:hAnsi="宋体" w:eastAsia="黑体" w:cstheme="majorBidi"/>
      <w:bCs/>
      <w:color w:val="000000"/>
      <w:kern w:val="2"/>
      <w:sz w:val="28"/>
      <w:szCs w:val="32"/>
      <w:lang w:val="en-US" w:eastAsia="zh-CN" w:bidi="ar-SA"/>
    </w:rPr>
  </w:style>
  <w:style w:type="paragraph" w:styleId="6">
    <w:name w:val="heading 3"/>
    <w:next w:val="4"/>
    <w:link w:val="104"/>
    <w:autoRedefine/>
    <w:unhideWhenUsed/>
    <w:qFormat/>
    <w:uiPriority w:val="99"/>
    <w:pPr>
      <w:keepNext/>
      <w:widowControl w:val="0"/>
      <w:numPr>
        <w:ilvl w:val="2"/>
        <w:numId w:val="1"/>
      </w:numPr>
      <w:adjustRightInd w:val="0"/>
      <w:snapToGrid w:val="0"/>
      <w:spacing w:before="60" w:after="60" w:line="440" w:lineRule="exact"/>
      <w:jc w:val="both"/>
      <w:outlineLvl w:val="2"/>
    </w:pPr>
    <w:rPr>
      <w:rFonts w:ascii="黑体" w:hAnsi="黑体" w:eastAsia="黑体" w:cstheme="minorBidi"/>
      <w:kern w:val="2"/>
      <w:sz w:val="24"/>
      <w:szCs w:val="24"/>
      <w:lang w:val="en-US" w:eastAsia="zh-CN" w:bidi="ar-SA"/>
    </w:rPr>
  </w:style>
  <w:style w:type="paragraph" w:styleId="7">
    <w:name w:val="heading 4"/>
    <w:next w:val="4"/>
    <w:link w:val="105"/>
    <w:unhideWhenUsed/>
    <w:qFormat/>
    <w:uiPriority w:val="99"/>
    <w:pPr>
      <w:keepNext/>
      <w:widowControl w:val="0"/>
      <w:numPr>
        <w:ilvl w:val="3"/>
        <w:numId w:val="1"/>
      </w:numPr>
      <w:adjustRightInd w:val="0"/>
      <w:snapToGrid w:val="0"/>
      <w:spacing w:before="100" w:beforeAutospacing="1" w:line="360" w:lineRule="auto"/>
      <w:outlineLvl w:val="3"/>
    </w:pPr>
    <w:rPr>
      <w:rFonts w:ascii="宋体" w:eastAsia="宋体" w:hAnsiTheme="majorHAnsi" w:cstheme="majorBidi"/>
      <w:b/>
      <w:bCs/>
      <w:kern w:val="2"/>
      <w:sz w:val="24"/>
      <w:szCs w:val="28"/>
      <w:lang w:val="en-US" w:eastAsia="zh-CN" w:bidi="ar-SA"/>
    </w:rPr>
  </w:style>
  <w:style w:type="paragraph" w:styleId="8">
    <w:name w:val="heading 5"/>
    <w:next w:val="4"/>
    <w:link w:val="106"/>
    <w:unhideWhenUsed/>
    <w:qFormat/>
    <w:uiPriority w:val="0"/>
    <w:pPr>
      <w:keepNext/>
      <w:keepLines/>
      <w:numPr>
        <w:ilvl w:val="4"/>
        <w:numId w:val="1"/>
      </w:numPr>
      <w:spacing w:before="100" w:beforeAutospacing="1" w:line="360" w:lineRule="auto"/>
      <w:outlineLvl w:val="4"/>
    </w:pPr>
    <w:rPr>
      <w:rFonts w:ascii="宋体" w:eastAsia="宋体" w:hAnsiTheme="minorHAnsi" w:cstheme="minorBidi"/>
      <w:bCs/>
      <w:kern w:val="2"/>
      <w:sz w:val="24"/>
      <w:szCs w:val="28"/>
      <w:lang w:val="en-US" w:eastAsia="zh-CN" w:bidi="ar-SA"/>
    </w:rPr>
  </w:style>
  <w:style w:type="paragraph" w:styleId="9">
    <w:name w:val="heading 6"/>
    <w:next w:val="4"/>
    <w:link w:val="107"/>
    <w:unhideWhenUsed/>
    <w:qFormat/>
    <w:uiPriority w:val="0"/>
    <w:pPr>
      <w:keepNext/>
      <w:keepLines/>
      <w:numPr>
        <w:ilvl w:val="5"/>
        <w:numId w:val="1"/>
      </w:numPr>
      <w:spacing w:line="360" w:lineRule="auto"/>
      <w:outlineLvl w:val="5"/>
    </w:pPr>
    <w:rPr>
      <w:rFonts w:ascii="宋体" w:eastAsia="宋体" w:hAnsiTheme="majorHAnsi" w:cstheme="majorBidi"/>
      <w:bCs/>
      <w:kern w:val="2"/>
      <w:sz w:val="24"/>
      <w:szCs w:val="24"/>
      <w:lang w:val="en-US" w:eastAsia="zh-CN" w:bidi="ar-SA"/>
    </w:rPr>
  </w:style>
  <w:style w:type="paragraph" w:styleId="10">
    <w:name w:val="heading 7"/>
    <w:next w:val="4"/>
    <w:link w:val="108"/>
    <w:unhideWhenUsed/>
    <w:qFormat/>
    <w:uiPriority w:val="0"/>
    <w:pPr>
      <w:keepNext/>
      <w:keepLines/>
      <w:numPr>
        <w:ilvl w:val="6"/>
        <w:numId w:val="1"/>
      </w:numPr>
      <w:spacing w:line="360" w:lineRule="auto"/>
      <w:outlineLvl w:val="6"/>
    </w:pPr>
    <w:rPr>
      <w:rFonts w:ascii="宋体" w:eastAsia="宋体" w:hAnsiTheme="minorHAnsi" w:cstheme="minorBidi"/>
      <w:bCs/>
      <w:kern w:val="2"/>
      <w:sz w:val="24"/>
      <w:szCs w:val="24"/>
      <w:lang w:val="en-US" w:eastAsia="zh-CN" w:bidi="ar-SA"/>
    </w:rPr>
  </w:style>
  <w:style w:type="paragraph" w:styleId="11">
    <w:name w:val="heading 8"/>
    <w:next w:val="4"/>
    <w:link w:val="109"/>
    <w:unhideWhenUsed/>
    <w:qFormat/>
    <w:uiPriority w:val="0"/>
    <w:pPr>
      <w:keepNext/>
      <w:keepLines/>
      <w:numPr>
        <w:ilvl w:val="7"/>
        <w:numId w:val="1"/>
      </w:numPr>
      <w:spacing w:line="360" w:lineRule="auto"/>
      <w:outlineLvl w:val="7"/>
    </w:pPr>
    <w:rPr>
      <w:rFonts w:ascii="宋体" w:eastAsia="宋体" w:hAnsiTheme="majorHAnsi" w:cstheme="majorBidi"/>
      <w:kern w:val="2"/>
      <w:sz w:val="24"/>
      <w:szCs w:val="24"/>
      <w:lang w:val="en-US" w:eastAsia="zh-CN" w:bidi="ar-SA"/>
    </w:rPr>
  </w:style>
  <w:style w:type="paragraph" w:styleId="12">
    <w:name w:val="heading 9"/>
    <w:next w:val="4"/>
    <w:link w:val="110"/>
    <w:unhideWhenUsed/>
    <w:qFormat/>
    <w:uiPriority w:val="0"/>
    <w:pPr>
      <w:keepNext/>
      <w:keepLines/>
      <w:numPr>
        <w:ilvl w:val="8"/>
        <w:numId w:val="1"/>
      </w:numPr>
      <w:spacing w:line="360" w:lineRule="auto"/>
      <w:outlineLvl w:val="8"/>
    </w:pPr>
    <w:rPr>
      <w:rFonts w:ascii="宋体" w:eastAsia="宋体" w:hAnsiTheme="majorHAnsi" w:cstheme="majorBidi"/>
      <w:kern w:val="2"/>
      <w:sz w:val="24"/>
      <w:szCs w:val="21"/>
      <w:lang w:val="en-US" w:eastAsia="zh-CN" w:bidi="ar-SA"/>
    </w:rPr>
  </w:style>
  <w:style w:type="character" w:default="1" w:styleId="83">
    <w:name w:val="Default Paragraph Font"/>
    <w:unhideWhenUsed/>
    <w:qFormat/>
    <w:uiPriority w:val="1"/>
  </w:style>
  <w:style w:type="table" w:default="1" w:styleId="81">
    <w:name w:val="Normal Table"/>
    <w:semiHidden/>
    <w:unhideWhenUsed/>
    <w:qFormat/>
    <w:uiPriority w:val="99"/>
    <w:tblPr>
      <w:tblCellMar>
        <w:top w:w="0" w:type="dxa"/>
        <w:left w:w="108" w:type="dxa"/>
        <w:bottom w:w="0" w:type="dxa"/>
        <w:right w:w="108" w:type="dxa"/>
      </w:tblCellMar>
    </w:tblPr>
  </w:style>
  <w:style w:type="paragraph" w:styleId="2">
    <w:name w:val="macro"/>
    <w:link w:val="219"/>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4">
    <w:name w:val="SSEC 正文"/>
    <w:link w:val="101"/>
    <w:qFormat/>
    <w:uiPriority w:val="0"/>
    <w:pPr>
      <w:widowControl w:val="0"/>
      <w:adjustRightInd w:val="0"/>
      <w:snapToGrid w:val="0"/>
      <w:spacing w:line="331" w:lineRule="auto"/>
      <w:ind w:firstLine="200" w:firstLineChars="200"/>
      <w:jc w:val="both"/>
    </w:pPr>
    <w:rPr>
      <w:rFonts w:ascii="宋体" w:hAnsi="宋体" w:eastAsia="宋体" w:cstheme="minorBidi"/>
      <w:kern w:val="2"/>
      <w:sz w:val="24"/>
      <w:szCs w:val="24"/>
      <w:lang w:val="en-US" w:eastAsia="zh-CN" w:bidi="ar-SA"/>
    </w:rPr>
  </w:style>
  <w:style w:type="paragraph" w:styleId="13">
    <w:name w:val="List 3"/>
    <w:basedOn w:val="1"/>
    <w:qFormat/>
    <w:locked/>
    <w:uiPriority w:val="99"/>
    <w:pPr>
      <w:topLinePunct/>
      <w:spacing w:line="360" w:lineRule="auto"/>
      <w:ind w:left="100" w:leftChars="400" w:hanging="200" w:hangingChars="200"/>
      <w:jc w:val="left"/>
    </w:pPr>
    <w:rPr>
      <w:rFonts w:ascii="仿宋_GB2312" w:hAnsi="Times New Roman" w:eastAsia="仿宋_GB2312" w:cs="Times New Roman"/>
      <w:sz w:val="28"/>
      <w:szCs w:val="20"/>
    </w:rPr>
  </w:style>
  <w:style w:type="paragraph" w:styleId="14">
    <w:name w:val="toc 7"/>
    <w:basedOn w:val="1"/>
    <w:next w:val="1"/>
    <w:autoRedefine/>
    <w:unhideWhenUsed/>
    <w:qFormat/>
    <w:locked/>
    <w:uiPriority w:val="39"/>
    <w:pPr>
      <w:ind w:left="2520" w:leftChars="1200"/>
    </w:pPr>
    <w:rPr>
      <w:szCs w:val="22"/>
    </w:rPr>
  </w:style>
  <w:style w:type="paragraph" w:styleId="15">
    <w:name w:val="List Number 2"/>
    <w:basedOn w:val="1"/>
    <w:qFormat/>
    <w:locked/>
    <w:uiPriority w:val="99"/>
    <w:pPr>
      <w:tabs>
        <w:tab w:val="left" w:pos="726"/>
      </w:tabs>
      <w:topLinePunct/>
      <w:spacing w:line="360" w:lineRule="auto"/>
      <w:ind w:left="2" w:firstLine="4"/>
      <w:jc w:val="left"/>
    </w:pPr>
    <w:rPr>
      <w:rFonts w:ascii="仿宋_GB2312" w:hAnsi="Times New Roman" w:eastAsia="仿宋_GB2312" w:cs="Times New Roman"/>
      <w:sz w:val="28"/>
      <w:szCs w:val="20"/>
    </w:rPr>
  </w:style>
  <w:style w:type="paragraph" w:styleId="16">
    <w:name w:val="table of authorities"/>
    <w:basedOn w:val="1"/>
    <w:next w:val="1"/>
    <w:unhideWhenUsed/>
    <w:qFormat/>
    <w:locked/>
    <w:uiPriority w:val="99"/>
    <w:pPr>
      <w:ind w:left="210" w:hanging="210"/>
      <w:jc w:val="left"/>
    </w:pPr>
    <w:rPr>
      <w:rFonts w:ascii="Times New Roman" w:hAnsi="Times New Roman" w:eastAsia="宋体" w:cs="Times New Roman"/>
      <w:sz w:val="20"/>
      <w:szCs w:val="20"/>
    </w:rPr>
  </w:style>
  <w:style w:type="paragraph" w:styleId="17">
    <w:name w:val="Note Heading"/>
    <w:basedOn w:val="1"/>
    <w:next w:val="1"/>
    <w:link w:val="221"/>
    <w:qFormat/>
    <w:locked/>
    <w:uiPriority w:val="0"/>
    <w:pPr>
      <w:jc w:val="center"/>
    </w:pPr>
    <w:rPr>
      <w:rFonts w:ascii="Times New Roman" w:hAnsi="Times New Roman" w:eastAsia="宋体" w:cs="Times New Roman"/>
      <w:kern w:val="0"/>
      <w:sz w:val="20"/>
      <w:szCs w:val="20"/>
    </w:rPr>
  </w:style>
  <w:style w:type="paragraph" w:styleId="18">
    <w:name w:val="List Bullet 4"/>
    <w:basedOn w:val="1"/>
    <w:qFormat/>
    <w:locked/>
    <w:uiPriority w:val="99"/>
    <w:pPr>
      <w:tabs>
        <w:tab w:val="left" w:pos="726"/>
      </w:tabs>
      <w:topLinePunct/>
      <w:spacing w:line="360" w:lineRule="auto"/>
      <w:ind w:left="2" w:firstLine="4"/>
      <w:jc w:val="left"/>
    </w:pPr>
    <w:rPr>
      <w:rFonts w:ascii="仿宋_GB2312" w:hAnsi="Times New Roman" w:eastAsia="仿宋_GB2312" w:cs="Times New Roman"/>
      <w:sz w:val="28"/>
      <w:szCs w:val="20"/>
    </w:rPr>
  </w:style>
  <w:style w:type="paragraph" w:styleId="19">
    <w:name w:val="E-mail Signature"/>
    <w:basedOn w:val="1"/>
    <w:link w:val="222"/>
    <w:qFormat/>
    <w:locked/>
    <w:uiPriority w:val="0"/>
    <w:pPr>
      <w:topLinePunct/>
      <w:spacing w:line="360" w:lineRule="auto"/>
      <w:ind w:firstLine="200" w:firstLineChars="200"/>
      <w:jc w:val="left"/>
    </w:pPr>
    <w:rPr>
      <w:rFonts w:ascii="仿宋_GB2312" w:hAnsi="Times New Roman" w:eastAsia="仿宋_GB2312" w:cs="Times New Roman"/>
      <w:kern w:val="0"/>
      <w:sz w:val="28"/>
      <w:szCs w:val="20"/>
    </w:rPr>
  </w:style>
  <w:style w:type="paragraph" w:styleId="20">
    <w:name w:val="List Number"/>
    <w:basedOn w:val="1"/>
    <w:qFormat/>
    <w:locked/>
    <w:uiPriority w:val="99"/>
    <w:pPr>
      <w:tabs>
        <w:tab w:val="left" w:pos="726"/>
      </w:tabs>
      <w:topLinePunct/>
      <w:spacing w:line="360" w:lineRule="auto"/>
      <w:ind w:left="2" w:firstLine="4"/>
      <w:jc w:val="left"/>
    </w:pPr>
    <w:rPr>
      <w:rFonts w:ascii="仿宋_GB2312" w:hAnsi="Times New Roman" w:eastAsia="仿宋_GB2312" w:cs="Times New Roman"/>
      <w:sz w:val="28"/>
      <w:szCs w:val="20"/>
    </w:rPr>
  </w:style>
  <w:style w:type="paragraph" w:styleId="21">
    <w:name w:val="Normal Indent"/>
    <w:basedOn w:val="1"/>
    <w:link w:val="220"/>
    <w:qFormat/>
    <w:locked/>
    <w:uiPriority w:val="0"/>
    <w:pPr>
      <w:widowControl/>
      <w:spacing w:line="520" w:lineRule="exact"/>
      <w:ind w:firstLine="624"/>
      <w:jc w:val="left"/>
    </w:pPr>
    <w:rPr>
      <w:rFonts w:ascii="Calibri" w:hAnsi="Calibri" w:eastAsia="宋体" w:cs="Times New Roman"/>
      <w:kern w:val="0"/>
      <w:sz w:val="28"/>
      <w:szCs w:val="20"/>
    </w:rPr>
  </w:style>
  <w:style w:type="paragraph" w:styleId="22">
    <w:name w:val="caption"/>
    <w:next w:val="1"/>
    <w:link w:val="111"/>
    <w:qFormat/>
    <w:uiPriority w:val="99"/>
    <w:pPr>
      <w:widowControl w:val="0"/>
      <w:adjustRightInd w:val="0"/>
      <w:snapToGrid w:val="0"/>
      <w:spacing w:beforeLines="50" w:line="360" w:lineRule="auto"/>
      <w:jc w:val="center"/>
    </w:pPr>
    <w:rPr>
      <w:rFonts w:ascii="宋体" w:eastAsia="宋体" w:hAnsiTheme="majorHAnsi" w:cstheme="majorBidi"/>
      <w:kern w:val="2"/>
      <w:sz w:val="21"/>
      <w:lang w:val="en-US" w:eastAsia="zh-CN" w:bidi="ar-SA"/>
    </w:rPr>
  </w:style>
  <w:style w:type="paragraph" w:styleId="23">
    <w:name w:val="List Bullet"/>
    <w:basedOn w:val="1"/>
    <w:qFormat/>
    <w:locked/>
    <w:uiPriority w:val="99"/>
    <w:pPr>
      <w:tabs>
        <w:tab w:val="left" w:pos="726"/>
      </w:tabs>
      <w:topLinePunct/>
      <w:spacing w:line="360" w:lineRule="auto"/>
      <w:ind w:left="2" w:firstLine="4"/>
      <w:jc w:val="left"/>
    </w:pPr>
    <w:rPr>
      <w:rFonts w:ascii="仿宋_GB2312" w:hAnsi="Times New Roman" w:eastAsia="仿宋_GB2312" w:cs="Times New Roman"/>
      <w:sz w:val="28"/>
      <w:szCs w:val="20"/>
    </w:rPr>
  </w:style>
  <w:style w:type="paragraph" w:styleId="24">
    <w:name w:val="envelope address"/>
    <w:basedOn w:val="1"/>
    <w:qFormat/>
    <w:locked/>
    <w:uiPriority w:val="99"/>
    <w:pPr>
      <w:topLinePunct/>
      <w:snapToGrid w:val="0"/>
      <w:spacing w:line="360" w:lineRule="auto"/>
      <w:ind w:left="100" w:leftChars="1400" w:firstLine="200" w:firstLineChars="200"/>
      <w:jc w:val="left"/>
    </w:pPr>
    <w:rPr>
      <w:rFonts w:ascii="Arial" w:hAnsi="Arial" w:eastAsia="仿宋_GB2312" w:cs="Arial"/>
      <w:sz w:val="24"/>
      <w:szCs w:val="20"/>
    </w:rPr>
  </w:style>
  <w:style w:type="paragraph" w:styleId="25">
    <w:name w:val="Document Map"/>
    <w:basedOn w:val="1"/>
    <w:link w:val="224"/>
    <w:qFormat/>
    <w:locked/>
    <w:uiPriority w:val="99"/>
    <w:pPr>
      <w:shd w:val="clear" w:color="auto" w:fill="000080"/>
    </w:pPr>
    <w:rPr>
      <w:rFonts w:ascii="Times New Roman" w:hAnsi="Times New Roman" w:eastAsia="宋体" w:cs="Times New Roman"/>
      <w:kern w:val="0"/>
      <w:sz w:val="20"/>
      <w:szCs w:val="24"/>
    </w:rPr>
  </w:style>
  <w:style w:type="paragraph" w:styleId="26">
    <w:name w:val="toa heading"/>
    <w:basedOn w:val="1"/>
    <w:next w:val="1"/>
    <w:qFormat/>
    <w:locked/>
    <w:uiPriority w:val="99"/>
    <w:pPr>
      <w:spacing w:before="120"/>
    </w:pPr>
    <w:rPr>
      <w:rFonts w:ascii="Arial" w:hAnsi="Arial" w:eastAsia="宋体" w:cs="Times New Roman"/>
      <w:sz w:val="24"/>
      <w:szCs w:val="20"/>
    </w:rPr>
  </w:style>
  <w:style w:type="paragraph" w:styleId="27">
    <w:name w:val="annotation text"/>
    <w:basedOn w:val="1"/>
    <w:link w:val="112"/>
    <w:unhideWhenUsed/>
    <w:qFormat/>
    <w:locked/>
    <w:uiPriority w:val="0"/>
    <w:pPr>
      <w:jc w:val="left"/>
    </w:pPr>
  </w:style>
  <w:style w:type="paragraph" w:styleId="28">
    <w:name w:val="Salutation"/>
    <w:basedOn w:val="1"/>
    <w:next w:val="1"/>
    <w:link w:val="226"/>
    <w:qFormat/>
    <w:locked/>
    <w:uiPriority w:val="0"/>
    <w:pPr>
      <w:spacing w:line="360" w:lineRule="exact"/>
      <w:ind w:left="480"/>
    </w:pPr>
    <w:rPr>
      <w:rFonts w:ascii="Times New Roman" w:hAnsi="Times New Roman" w:eastAsia="楷体_GB2312" w:cs="Times New Roman"/>
      <w:color w:val="000000"/>
      <w:kern w:val="28"/>
      <w:sz w:val="28"/>
      <w:szCs w:val="20"/>
    </w:rPr>
  </w:style>
  <w:style w:type="paragraph" w:styleId="29">
    <w:name w:val="Body Text 3"/>
    <w:basedOn w:val="1"/>
    <w:link w:val="227"/>
    <w:qFormat/>
    <w:locked/>
    <w:uiPriority w:val="0"/>
    <w:pPr>
      <w:spacing w:line="360" w:lineRule="exact"/>
      <w:jc w:val="center"/>
    </w:pPr>
    <w:rPr>
      <w:rFonts w:ascii="宋体" w:hAnsi="宋体" w:eastAsia="宋体" w:cs="Times New Roman"/>
      <w:color w:val="006600"/>
      <w:kern w:val="16"/>
      <w:sz w:val="24"/>
      <w:szCs w:val="24"/>
    </w:rPr>
  </w:style>
  <w:style w:type="paragraph" w:styleId="30">
    <w:name w:val="Closing"/>
    <w:basedOn w:val="1"/>
    <w:link w:val="229"/>
    <w:qFormat/>
    <w:locked/>
    <w:uiPriority w:val="0"/>
    <w:pPr>
      <w:topLinePunct/>
      <w:spacing w:line="360" w:lineRule="auto"/>
      <w:ind w:left="100" w:leftChars="2100" w:firstLine="200" w:firstLineChars="200"/>
      <w:jc w:val="left"/>
    </w:pPr>
    <w:rPr>
      <w:rFonts w:ascii="仿宋_GB2312" w:hAnsi="Times New Roman" w:eastAsia="仿宋_GB2312" w:cs="Times New Roman"/>
      <w:kern w:val="0"/>
      <w:sz w:val="28"/>
      <w:szCs w:val="20"/>
    </w:rPr>
  </w:style>
  <w:style w:type="paragraph" w:styleId="31">
    <w:name w:val="List Bullet 3"/>
    <w:basedOn w:val="1"/>
    <w:qFormat/>
    <w:locked/>
    <w:uiPriority w:val="99"/>
    <w:pPr>
      <w:tabs>
        <w:tab w:val="left" w:pos="726"/>
      </w:tabs>
      <w:topLinePunct/>
      <w:spacing w:line="360" w:lineRule="auto"/>
      <w:ind w:left="2" w:firstLine="4"/>
      <w:jc w:val="left"/>
    </w:pPr>
    <w:rPr>
      <w:rFonts w:ascii="仿宋_GB2312" w:hAnsi="Times New Roman" w:eastAsia="仿宋_GB2312" w:cs="Times New Roman"/>
      <w:sz w:val="28"/>
      <w:szCs w:val="20"/>
    </w:rPr>
  </w:style>
  <w:style w:type="paragraph" w:styleId="32">
    <w:name w:val="Body Text"/>
    <w:basedOn w:val="1"/>
    <w:next w:val="1"/>
    <w:link w:val="113"/>
    <w:qFormat/>
    <w:locked/>
    <w:uiPriority w:val="0"/>
    <w:pPr>
      <w:spacing w:after="120"/>
    </w:pPr>
  </w:style>
  <w:style w:type="paragraph" w:styleId="33">
    <w:name w:val="Body Text Indent"/>
    <w:basedOn w:val="1"/>
    <w:link w:val="114"/>
    <w:unhideWhenUsed/>
    <w:qFormat/>
    <w:locked/>
    <w:uiPriority w:val="0"/>
    <w:pPr>
      <w:spacing w:after="120"/>
      <w:ind w:left="420" w:leftChars="200"/>
    </w:pPr>
  </w:style>
  <w:style w:type="paragraph" w:styleId="34">
    <w:name w:val="List Number 3"/>
    <w:basedOn w:val="1"/>
    <w:qFormat/>
    <w:locked/>
    <w:uiPriority w:val="99"/>
    <w:pPr>
      <w:tabs>
        <w:tab w:val="left" w:pos="726"/>
      </w:tabs>
      <w:topLinePunct/>
      <w:spacing w:line="360" w:lineRule="auto"/>
      <w:ind w:left="2" w:firstLine="4"/>
      <w:jc w:val="left"/>
    </w:pPr>
    <w:rPr>
      <w:rFonts w:ascii="仿宋_GB2312" w:hAnsi="Times New Roman" w:eastAsia="仿宋_GB2312" w:cs="Times New Roman"/>
      <w:sz w:val="28"/>
      <w:szCs w:val="20"/>
    </w:rPr>
  </w:style>
  <w:style w:type="paragraph" w:styleId="35">
    <w:name w:val="List 2"/>
    <w:basedOn w:val="1"/>
    <w:qFormat/>
    <w:locked/>
    <w:uiPriority w:val="99"/>
    <w:pPr>
      <w:snapToGrid w:val="0"/>
      <w:jc w:val="center"/>
    </w:pPr>
    <w:rPr>
      <w:rFonts w:ascii="宋体" w:hAnsi="Times New Roman" w:eastAsia="宋体" w:cs="Times New Roman"/>
      <w:szCs w:val="20"/>
    </w:rPr>
  </w:style>
  <w:style w:type="paragraph" w:styleId="36">
    <w:name w:val="List Continue"/>
    <w:basedOn w:val="1"/>
    <w:qFormat/>
    <w:locked/>
    <w:uiPriority w:val="99"/>
    <w:pPr>
      <w:topLinePunct/>
      <w:spacing w:after="120" w:line="360" w:lineRule="auto"/>
      <w:ind w:left="420" w:leftChars="200" w:firstLine="200" w:firstLineChars="200"/>
      <w:jc w:val="left"/>
    </w:pPr>
    <w:rPr>
      <w:rFonts w:ascii="仿宋_GB2312" w:hAnsi="Times New Roman" w:eastAsia="仿宋_GB2312" w:cs="Times New Roman"/>
      <w:sz w:val="28"/>
      <w:szCs w:val="20"/>
    </w:rPr>
  </w:style>
  <w:style w:type="paragraph" w:styleId="37">
    <w:name w:val="Block Text"/>
    <w:basedOn w:val="1"/>
    <w:qFormat/>
    <w:locked/>
    <w:uiPriority w:val="0"/>
    <w:pPr>
      <w:topLinePunct/>
      <w:spacing w:after="120" w:line="360" w:lineRule="auto"/>
      <w:ind w:left="1440" w:leftChars="700" w:right="1440" w:rightChars="700" w:firstLine="200" w:firstLineChars="200"/>
      <w:jc w:val="left"/>
    </w:pPr>
    <w:rPr>
      <w:rFonts w:ascii="仿宋_GB2312" w:hAnsi="Times New Roman" w:eastAsia="仿宋_GB2312" w:cs="Times New Roman"/>
      <w:sz w:val="28"/>
      <w:szCs w:val="20"/>
    </w:rPr>
  </w:style>
  <w:style w:type="paragraph" w:styleId="38">
    <w:name w:val="List Bullet 2"/>
    <w:basedOn w:val="1"/>
    <w:qFormat/>
    <w:locked/>
    <w:uiPriority w:val="99"/>
    <w:pPr>
      <w:tabs>
        <w:tab w:val="left" w:pos="726"/>
      </w:tabs>
      <w:topLinePunct/>
      <w:spacing w:line="360" w:lineRule="auto"/>
      <w:ind w:left="2" w:firstLine="4"/>
      <w:jc w:val="left"/>
    </w:pPr>
    <w:rPr>
      <w:rFonts w:ascii="仿宋_GB2312" w:hAnsi="Times New Roman" w:eastAsia="仿宋_GB2312" w:cs="Times New Roman"/>
      <w:sz w:val="28"/>
      <w:szCs w:val="20"/>
    </w:rPr>
  </w:style>
  <w:style w:type="paragraph" w:styleId="39">
    <w:name w:val="HTML Address"/>
    <w:basedOn w:val="1"/>
    <w:link w:val="230"/>
    <w:qFormat/>
    <w:locked/>
    <w:uiPriority w:val="0"/>
    <w:rPr>
      <w:rFonts w:ascii="Times New Roman" w:hAnsi="Times New Roman" w:eastAsia="宋体" w:cs="Times New Roman"/>
      <w:i/>
      <w:iCs/>
      <w:kern w:val="0"/>
      <w:sz w:val="20"/>
      <w:szCs w:val="20"/>
    </w:rPr>
  </w:style>
  <w:style w:type="paragraph" w:styleId="40">
    <w:name w:val="toc 5"/>
    <w:basedOn w:val="1"/>
    <w:next w:val="1"/>
    <w:autoRedefine/>
    <w:unhideWhenUsed/>
    <w:qFormat/>
    <w:locked/>
    <w:uiPriority w:val="39"/>
    <w:pPr>
      <w:ind w:left="1680" w:leftChars="800"/>
    </w:pPr>
    <w:rPr>
      <w:szCs w:val="22"/>
    </w:rPr>
  </w:style>
  <w:style w:type="paragraph" w:styleId="41">
    <w:name w:val="toc 3"/>
    <w:basedOn w:val="1"/>
    <w:next w:val="1"/>
    <w:autoRedefine/>
    <w:unhideWhenUsed/>
    <w:qFormat/>
    <w:uiPriority w:val="39"/>
    <w:pPr>
      <w:ind w:left="420"/>
      <w:jc w:val="left"/>
    </w:pPr>
    <w:rPr>
      <w:rFonts w:cstheme="minorHAnsi"/>
      <w:sz w:val="20"/>
      <w:szCs w:val="20"/>
    </w:rPr>
  </w:style>
  <w:style w:type="paragraph" w:styleId="42">
    <w:name w:val="Plain Text"/>
    <w:basedOn w:val="1"/>
    <w:link w:val="115"/>
    <w:unhideWhenUsed/>
    <w:qFormat/>
    <w:locked/>
    <w:uiPriority w:val="0"/>
    <w:rPr>
      <w:rFonts w:ascii="宋体" w:hAnsi="Courier New" w:eastAsia="宋体" w:cs="Courier New"/>
    </w:rPr>
  </w:style>
  <w:style w:type="paragraph" w:styleId="43">
    <w:name w:val="List Bullet 5"/>
    <w:basedOn w:val="1"/>
    <w:qFormat/>
    <w:locked/>
    <w:uiPriority w:val="99"/>
    <w:pPr>
      <w:tabs>
        <w:tab w:val="left" w:pos="726"/>
      </w:tabs>
      <w:topLinePunct/>
      <w:spacing w:line="360" w:lineRule="auto"/>
      <w:ind w:left="2" w:firstLine="4"/>
      <w:jc w:val="left"/>
    </w:pPr>
    <w:rPr>
      <w:rFonts w:ascii="仿宋_GB2312" w:hAnsi="Times New Roman" w:eastAsia="仿宋_GB2312" w:cs="Times New Roman"/>
      <w:sz w:val="28"/>
      <w:szCs w:val="20"/>
    </w:rPr>
  </w:style>
  <w:style w:type="paragraph" w:styleId="44">
    <w:name w:val="List Number 4"/>
    <w:basedOn w:val="1"/>
    <w:qFormat/>
    <w:locked/>
    <w:uiPriority w:val="99"/>
    <w:pPr>
      <w:tabs>
        <w:tab w:val="left" w:pos="726"/>
      </w:tabs>
      <w:topLinePunct/>
      <w:spacing w:line="360" w:lineRule="auto"/>
      <w:ind w:left="2" w:firstLine="4"/>
      <w:jc w:val="left"/>
    </w:pPr>
    <w:rPr>
      <w:rFonts w:ascii="仿宋_GB2312" w:hAnsi="Times New Roman" w:eastAsia="仿宋_GB2312" w:cs="Times New Roman"/>
      <w:sz w:val="28"/>
      <w:szCs w:val="20"/>
    </w:rPr>
  </w:style>
  <w:style w:type="paragraph" w:styleId="45">
    <w:name w:val="toc 8"/>
    <w:basedOn w:val="1"/>
    <w:next w:val="1"/>
    <w:autoRedefine/>
    <w:unhideWhenUsed/>
    <w:qFormat/>
    <w:locked/>
    <w:uiPriority w:val="39"/>
    <w:pPr>
      <w:ind w:left="2940" w:leftChars="1400"/>
    </w:pPr>
    <w:rPr>
      <w:szCs w:val="22"/>
    </w:rPr>
  </w:style>
  <w:style w:type="paragraph" w:styleId="46">
    <w:name w:val="Date"/>
    <w:basedOn w:val="1"/>
    <w:next w:val="1"/>
    <w:link w:val="231"/>
    <w:unhideWhenUsed/>
    <w:qFormat/>
    <w:locked/>
    <w:uiPriority w:val="99"/>
    <w:pPr>
      <w:ind w:left="100" w:leftChars="2500"/>
    </w:pPr>
    <w:rPr>
      <w:rFonts w:ascii="Calibri" w:hAnsi="Calibri" w:eastAsia="宋体" w:cs="Times New Roman"/>
      <w:kern w:val="0"/>
      <w:sz w:val="20"/>
      <w:szCs w:val="20"/>
    </w:rPr>
  </w:style>
  <w:style w:type="paragraph" w:styleId="47">
    <w:name w:val="Body Text Indent 2"/>
    <w:basedOn w:val="1"/>
    <w:link w:val="116"/>
    <w:unhideWhenUsed/>
    <w:qFormat/>
    <w:locked/>
    <w:uiPriority w:val="0"/>
    <w:pPr>
      <w:spacing w:after="120" w:line="480" w:lineRule="auto"/>
      <w:ind w:left="420" w:leftChars="200"/>
    </w:pPr>
  </w:style>
  <w:style w:type="paragraph" w:styleId="48">
    <w:name w:val="endnote text"/>
    <w:basedOn w:val="1"/>
    <w:link w:val="233"/>
    <w:qFormat/>
    <w:locked/>
    <w:uiPriority w:val="0"/>
    <w:pPr>
      <w:adjustRightInd w:val="0"/>
      <w:spacing w:line="360" w:lineRule="atLeast"/>
      <w:jc w:val="left"/>
      <w:textAlignment w:val="baseline"/>
    </w:pPr>
    <w:rPr>
      <w:rFonts w:ascii="Calibri" w:hAnsi="Calibri" w:eastAsia="宋体" w:cs="Times New Roman"/>
      <w:kern w:val="0"/>
      <w:sz w:val="24"/>
      <w:szCs w:val="20"/>
    </w:rPr>
  </w:style>
  <w:style w:type="paragraph" w:styleId="49">
    <w:name w:val="List Continue 5"/>
    <w:basedOn w:val="1"/>
    <w:qFormat/>
    <w:locked/>
    <w:uiPriority w:val="99"/>
    <w:pPr>
      <w:topLinePunct/>
      <w:spacing w:after="120" w:line="360" w:lineRule="auto"/>
      <w:ind w:left="2100" w:leftChars="1000" w:firstLine="200" w:firstLineChars="200"/>
      <w:jc w:val="left"/>
    </w:pPr>
    <w:rPr>
      <w:rFonts w:ascii="仿宋_GB2312" w:hAnsi="Times New Roman" w:eastAsia="仿宋_GB2312" w:cs="Times New Roman"/>
      <w:sz w:val="28"/>
      <w:szCs w:val="20"/>
    </w:rPr>
  </w:style>
  <w:style w:type="paragraph" w:styleId="50">
    <w:name w:val="Balloon Text"/>
    <w:basedOn w:val="1"/>
    <w:link w:val="117"/>
    <w:qFormat/>
    <w:locked/>
    <w:uiPriority w:val="0"/>
    <w:rPr>
      <w:rFonts w:ascii="Times New Roman" w:hAnsi="Times New Roman" w:eastAsia="宋体" w:cs="Times New Roman"/>
      <w:sz w:val="18"/>
      <w:szCs w:val="18"/>
    </w:rPr>
  </w:style>
  <w:style w:type="paragraph" w:styleId="51">
    <w:name w:val="footer"/>
    <w:link w:val="118"/>
    <w:unhideWhenUsed/>
    <w:qFormat/>
    <w:uiPriority w:val="99"/>
    <w:pPr>
      <w:tabs>
        <w:tab w:val="center" w:pos="4153"/>
        <w:tab w:val="right" w:pos="8306"/>
      </w:tabs>
      <w:snapToGrid w:val="0"/>
      <w:textAlignment w:val="center"/>
    </w:pPr>
    <w:rPr>
      <w:rFonts w:ascii="宋体" w:eastAsia="宋体" w:hAnsiTheme="minorHAnsi" w:cstheme="minorBidi"/>
      <w:kern w:val="2"/>
      <w:sz w:val="18"/>
      <w:szCs w:val="18"/>
      <w:lang w:val="en-US" w:eastAsia="zh-CN" w:bidi="ar-SA"/>
    </w:rPr>
  </w:style>
  <w:style w:type="paragraph" w:styleId="52">
    <w:name w:val="envelope return"/>
    <w:basedOn w:val="1"/>
    <w:qFormat/>
    <w:locked/>
    <w:uiPriority w:val="99"/>
    <w:pPr>
      <w:topLinePunct/>
      <w:snapToGrid w:val="0"/>
      <w:spacing w:line="360" w:lineRule="auto"/>
      <w:ind w:firstLine="200" w:firstLineChars="200"/>
      <w:jc w:val="left"/>
    </w:pPr>
    <w:rPr>
      <w:rFonts w:ascii="Arial" w:hAnsi="Arial" w:eastAsia="仿宋_GB2312" w:cs="Arial"/>
      <w:sz w:val="28"/>
      <w:szCs w:val="20"/>
    </w:rPr>
  </w:style>
  <w:style w:type="paragraph" w:styleId="53">
    <w:name w:val="header"/>
    <w:link w:val="119"/>
    <w:unhideWhenUsed/>
    <w:qFormat/>
    <w:uiPriority w:val="99"/>
    <w:pPr>
      <w:pBdr>
        <w:bottom w:val="single" w:color="auto" w:sz="4" w:space="1"/>
      </w:pBdr>
      <w:tabs>
        <w:tab w:val="center" w:pos="4153"/>
        <w:tab w:val="right" w:pos="8306"/>
      </w:tabs>
      <w:snapToGrid w:val="0"/>
      <w:jc w:val="center"/>
    </w:pPr>
    <w:rPr>
      <w:rFonts w:ascii="宋体" w:eastAsia="宋体" w:hAnsiTheme="minorHAnsi" w:cstheme="minorBidi"/>
      <w:kern w:val="2"/>
      <w:sz w:val="18"/>
      <w:szCs w:val="18"/>
      <w:lang w:val="en-US" w:eastAsia="zh-CN" w:bidi="ar-SA"/>
    </w:rPr>
  </w:style>
  <w:style w:type="paragraph" w:styleId="54">
    <w:name w:val="Signature"/>
    <w:basedOn w:val="1"/>
    <w:link w:val="235"/>
    <w:qFormat/>
    <w:locked/>
    <w:uiPriority w:val="0"/>
    <w:pPr>
      <w:topLinePunct/>
      <w:spacing w:line="360" w:lineRule="auto"/>
      <w:ind w:left="100" w:leftChars="2100" w:firstLine="200" w:firstLineChars="200"/>
      <w:jc w:val="left"/>
    </w:pPr>
    <w:rPr>
      <w:rFonts w:ascii="仿宋_GB2312" w:hAnsi="Times New Roman" w:eastAsia="仿宋_GB2312" w:cs="Times New Roman"/>
      <w:kern w:val="0"/>
      <w:sz w:val="28"/>
      <w:szCs w:val="20"/>
    </w:rPr>
  </w:style>
  <w:style w:type="paragraph" w:styleId="55">
    <w:name w:val="toc 1"/>
    <w:next w:val="1"/>
    <w:link w:val="120"/>
    <w:autoRedefine/>
    <w:unhideWhenUsed/>
    <w:qFormat/>
    <w:uiPriority w:val="39"/>
    <w:pPr>
      <w:tabs>
        <w:tab w:val="right" w:leader="dot" w:pos="8302"/>
      </w:tabs>
      <w:adjustRightInd w:val="0"/>
      <w:snapToGrid w:val="0"/>
      <w:spacing w:line="360" w:lineRule="auto"/>
      <w:jc w:val="center"/>
    </w:pPr>
    <w:rPr>
      <w:rFonts w:ascii="黑体" w:eastAsia="宋体" w:hAnsiTheme="minorHAnsi" w:cstheme="minorHAnsi"/>
      <w:b/>
      <w:bCs/>
      <w:kern w:val="2"/>
      <w:sz w:val="28"/>
      <w:szCs w:val="28"/>
      <w:lang w:val="en-US" w:eastAsia="zh-CN" w:bidi="ar-SA"/>
    </w:rPr>
  </w:style>
  <w:style w:type="paragraph" w:styleId="56">
    <w:name w:val="List Continue 4"/>
    <w:basedOn w:val="1"/>
    <w:qFormat/>
    <w:locked/>
    <w:uiPriority w:val="99"/>
    <w:pPr>
      <w:topLinePunct/>
      <w:spacing w:after="120" w:line="360" w:lineRule="auto"/>
      <w:ind w:left="1680" w:leftChars="800" w:firstLine="200" w:firstLineChars="200"/>
      <w:jc w:val="left"/>
    </w:pPr>
    <w:rPr>
      <w:rFonts w:ascii="仿宋_GB2312" w:hAnsi="Times New Roman" w:eastAsia="仿宋_GB2312" w:cs="Times New Roman"/>
      <w:sz w:val="28"/>
      <w:szCs w:val="20"/>
    </w:rPr>
  </w:style>
  <w:style w:type="paragraph" w:styleId="57">
    <w:name w:val="toc 4"/>
    <w:basedOn w:val="1"/>
    <w:next w:val="1"/>
    <w:autoRedefine/>
    <w:unhideWhenUsed/>
    <w:qFormat/>
    <w:locked/>
    <w:uiPriority w:val="39"/>
    <w:pPr>
      <w:ind w:left="1260" w:leftChars="600"/>
    </w:pPr>
    <w:rPr>
      <w:szCs w:val="22"/>
    </w:rPr>
  </w:style>
  <w:style w:type="paragraph" w:styleId="58">
    <w:name w:val="Subtitle"/>
    <w:basedOn w:val="1"/>
    <w:next w:val="1"/>
    <w:link w:val="236"/>
    <w:qFormat/>
    <w:locked/>
    <w:uiPriority w:val="0"/>
    <w:pPr>
      <w:widowControl/>
      <w:spacing w:before="240" w:after="60" w:line="312" w:lineRule="auto"/>
      <w:jc w:val="center"/>
      <w:outlineLvl w:val="1"/>
    </w:pPr>
    <w:rPr>
      <w:rFonts w:ascii="Calibri Light" w:hAnsi="Calibri Light" w:eastAsia="宋体" w:cs="宋体"/>
      <w:b/>
      <w:bCs/>
      <w:kern w:val="28"/>
      <w:sz w:val="32"/>
      <w:szCs w:val="32"/>
    </w:rPr>
  </w:style>
  <w:style w:type="paragraph" w:styleId="59">
    <w:name w:val="List Number 5"/>
    <w:basedOn w:val="1"/>
    <w:qFormat/>
    <w:locked/>
    <w:uiPriority w:val="99"/>
    <w:pPr>
      <w:tabs>
        <w:tab w:val="left" w:pos="726"/>
        <w:tab w:val="left" w:pos="2040"/>
      </w:tabs>
      <w:topLinePunct/>
      <w:spacing w:line="360" w:lineRule="auto"/>
      <w:ind w:left="2" w:firstLine="4"/>
      <w:jc w:val="left"/>
    </w:pPr>
    <w:rPr>
      <w:rFonts w:ascii="仿宋_GB2312" w:hAnsi="Times New Roman" w:eastAsia="仿宋_GB2312" w:cs="Times New Roman"/>
      <w:sz w:val="28"/>
      <w:szCs w:val="20"/>
    </w:rPr>
  </w:style>
  <w:style w:type="paragraph" w:styleId="60">
    <w:name w:val="List"/>
    <w:basedOn w:val="1"/>
    <w:link w:val="237"/>
    <w:qFormat/>
    <w:locked/>
    <w:uiPriority w:val="0"/>
    <w:pPr>
      <w:ind w:left="420" w:hanging="420"/>
    </w:pPr>
    <w:rPr>
      <w:rFonts w:ascii="黑体" w:hAnsi="Times New Roman" w:eastAsia="黑体" w:cs="Times New Roman"/>
      <w:sz w:val="24"/>
      <w:szCs w:val="24"/>
    </w:rPr>
  </w:style>
  <w:style w:type="paragraph" w:styleId="61">
    <w:name w:val="footnote text"/>
    <w:basedOn w:val="62"/>
    <w:link w:val="238"/>
    <w:qFormat/>
    <w:locked/>
    <w:uiPriority w:val="99"/>
  </w:style>
  <w:style w:type="paragraph" w:customStyle="1" w:styleId="62">
    <w:name w:val="基准页脚样式"/>
    <w:basedOn w:val="32"/>
    <w:qFormat/>
    <w:uiPriority w:val="99"/>
    <w:pPr>
      <w:keepLines/>
      <w:widowControl/>
      <w:spacing w:after="220" w:line="200" w:lineRule="atLeast"/>
      <w:jc w:val="center"/>
    </w:pPr>
    <w:rPr>
      <w:rFonts w:ascii="Times New Roman" w:hAnsi="Times New Roman" w:eastAsia="宋体" w:cs="Times New Roman"/>
      <w:kern w:val="0"/>
      <w:sz w:val="16"/>
      <w:szCs w:val="20"/>
    </w:rPr>
  </w:style>
  <w:style w:type="paragraph" w:styleId="63">
    <w:name w:val="toc 6"/>
    <w:basedOn w:val="1"/>
    <w:next w:val="1"/>
    <w:autoRedefine/>
    <w:unhideWhenUsed/>
    <w:qFormat/>
    <w:locked/>
    <w:uiPriority w:val="39"/>
    <w:pPr>
      <w:ind w:left="2100" w:leftChars="1000"/>
    </w:pPr>
    <w:rPr>
      <w:szCs w:val="22"/>
    </w:rPr>
  </w:style>
  <w:style w:type="paragraph" w:styleId="64">
    <w:name w:val="List 5"/>
    <w:basedOn w:val="1"/>
    <w:qFormat/>
    <w:locked/>
    <w:uiPriority w:val="99"/>
    <w:pPr>
      <w:topLinePunct/>
      <w:spacing w:line="360" w:lineRule="auto"/>
      <w:ind w:left="100" w:leftChars="800" w:hanging="200" w:hangingChars="200"/>
      <w:jc w:val="left"/>
    </w:pPr>
    <w:rPr>
      <w:rFonts w:ascii="仿宋_GB2312" w:hAnsi="Times New Roman" w:eastAsia="仿宋_GB2312" w:cs="Times New Roman"/>
      <w:sz w:val="28"/>
      <w:szCs w:val="20"/>
    </w:rPr>
  </w:style>
  <w:style w:type="paragraph" w:styleId="65">
    <w:name w:val="Body Text Indent 3"/>
    <w:basedOn w:val="1"/>
    <w:link w:val="240"/>
    <w:qFormat/>
    <w:locked/>
    <w:uiPriority w:val="0"/>
    <w:pPr>
      <w:spacing w:after="120"/>
      <w:ind w:left="420" w:leftChars="200"/>
    </w:pPr>
    <w:rPr>
      <w:rFonts w:ascii="Times New Roman" w:hAnsi="Times New Roman" w:eastAsia="宋体" w:cs="Times New Roman"/>
      <w:kern w:val="0"/>
      <w:sz w:val="16"/>
      <w:szCs w:val="16"/>
    </w:rPr>
  </w:style>
  <w:style w:type="paragraph" w:styleId="66">
    <w:name w:val="table of figures"/>
    <w:next w:val="1"/>
    <w:qFormat/>
    <w:locked/>
    <w:uiPriority w:val="99"/>
    <w:pPr>
      <w:adjustRightInd w:val="0"/>
      <w:snapToGrid w:val="0"/>
      <w:spacing w:before="120" w:line="240" w:lineRule="atLeast"/>
      <w:jc w:val="center"/>
    </w:pPr>
    <w:rPr>
      <w:rFonts w:ascii="Times New Roman" w:hAnsi="Times New Roman" w:eastAsia="宋体" w:cs="Times New Roman"/>
      <w:b/>
      <w:sz w:val="24"/>
      <w:lang w:val="en-US" w:eastAsia="zh-CN" w:bidi="ar-SA"/>
    </w:rPr>
  </w:style>
  <w:style w:type="paragraph" w:styleId="67">
    <w:name w:val="toc 2"/>
    <w:next w:val="1"/>
    <w:link w:val="121"/>
    <w:autoRedefine/>
    <w:unhideWhenUsed/>
    <w:qFormat/>
    <w:uiPriority w:val="39"/>
    <w:pPr>
      <w:tabs>
        <w:tab w:val="right" w:leader="dot" w:pos="8302"/>
      </w:tabs>
      <w:adjustRightInd w:val="0"/>
      <w:snapToGrid w:val="0"/>
      <w:spacing w:line="360" w:lineRule="auto"/>
      <w:ind w:left="420" w:leftChars="200"/>
      <w:jc w:val="both"/>
    </w:pPr>
    <w:rPr>
      <w:rFonts w:ascii="黑体" w:eastAsia="宋体" w:hAnsiTheme="minorHAnsi" w:cstheme="minorHAnsi"/>
      <w:iCs/>
      <w:kern w:val="2"/>
      <w:sz w:val="24"/>
      <w:lang w:val="en-US" w:eastAsia="zh-CN" w:bidi="ar-SA"/>
    </w:rPr>
  </w:style>
  <w:style w:type="paragraph" w:styleId="68">
    <w:name w:val="toc 9"/>
    <w:basedOn w:val="1"/>
    <w:next w:val="1"/>
    <w:autoRedefine/>
    <w:unhideWhenUsed/>
    <w:qFormat/>
    <w:locked/>
    <w:uiPriority w:val="39"/>
    <w:pPr>
      <w:ind w:left="3360" w:leftChars="1600"/>
    </w:pPr>
    <w:rPr>
      <w:szCs w:val="22"/>
    </w:rPr>
  </w:style>
  <w:style w:type="paragraph" w:styleId="69">
    <w:name w:val="Body Text 2"/>
    <w:basedOn w:val="1"/>
    <w:link w:val="242"/>
    <w:qFormat/>
    <w:locked/>
    <w:uiPriority w:val="99"/>
    <w:pPr>
      <w:spacing w:line="400" w:lineRule="exact"/>
      <w:jc w:val="center"/>
    </w:pPr>
    <w:rPr>
      <w:rFonts w:ascii="Times New Roman" w:hAnsi="Times New Roman" w:eastAsia="宋体" w:cs="Times New Roman"/>
      <w:kern w:val="0"/>
      <w:sz w:val="24"/>
      <w:szCs w:val="24"/>
    </w:rPr>
  </w:style>
  <w:style w:type="paragraph" w:styleId="70">
    <w:name w:val="List 4"/>
    <w:basedOn w:val="1"/>
    <w:qFormat/>
    <w:locked/>
    <w:uiPriority w:val="99"/>
    <w:pPr>
      <w:topLinePunct/>
      <w:spacing w:line="360" w:lineRule="auto"/>
      <w:ind w:left="100" w:leftChars="600" w:hanging="200" w:hangingChars="200"/>
      <w:jc w:val="left"/>
    </w:pPr>
    <w:rPr>
      <w:rFonts w:ascii="仿宋_GB2312" w:hAnsi="Times New Roman" w:eastAsia="仿宋_GB2312" w:cs="Times New Roman"/>
      <w:sz w:val="28"/>
      <w:szCs w:val="20"/>
    </w:rPr>
  </w:style>
  <w:style w:type="paragraph" w:styleId="71">
    <w:name w:val="List Continue 2"/>
    <w:basedOn w:val="1"/>
    <w:qFormat/>
    <w:locked/>
    <w:uiPriority w:val="99"/>
    <w:pPr>
      <w:topLinePunct/>
      <w:spacing w:after="120" w:line="360" w:lineRule="auto"/>
      <w:ind w:left="840" w:leftChars="400" w:firstLine="200" w:firstLineChars="200"/>
      <w:jc w:val="left"/>
    </w:pPr>
    <w:rPr>
      <w:rFonts w:ascii="仿宋_GB2312" w:hAnsi="Times New Roman" w:eastAsia="仿宋_GB2312" w:cs="Times New Roman"/>
      <w:sz w:val="28"/>
      <w:szCs w:val="20"/>
    </w:rPr>
  </w:style>
  <w:style w:type="paragraph" w:styleId="72">
    <w:name w:val="Message Header"/>
    <w:basedOn w:val="1"/>
    <w:link w:val="244"/>
    <w:qFormat/>
    <w:locked/>
    <w:uiPriority w:val="0"/>
    <w:pPr>
      <w:pBdr>
        <w:top w:val="single" w:color="auto" w:sz="6" w:space="1"/>
        <w:left w:val="single" w:color="auto" w:sz="6" w:space="1"/>
        <w:bottom w:val="single" w:color="auto" w:sz="6" w:space="1"/>
        <w:right w:val="single" w:color="auto" w:sz="6" w:space="1"/>
      </w:pBdr>
      <w:shd w:val="pct20" w:color="auto" w:fill="auto"/>
      <w:topLinePunct/>
      <w:spacing w:line="360" w:lineRule="auto"/>
      <w:ind w:left="1080" w:leftChars="500" w:hanging="1080" w:hangingChars="500"/>
      <w:jc w:val="left"/>
    </w:pPr>
    <w:rPr>
      <w:rFonts w:ascii="Arial" w:hAnsi="Arial" w:eastAsia="仿宋_GB2312" w:cs="Times New Roman"/>
      <w:kern w:val="0"/>
      <w:sz w:val="24"/>
      <w:szCs w:val="20"/>
    </w:rPr>
  </w:style>
  <w:style w:type="paragraph" w:styleId="73">
    <w:name w:val="HTML Preformatted"/>
    <w:basedOn w:val="1"/>
    <w:link w:val="245"/>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left"/>
    </w:pPr>
    <w:rPr>
      <w:rFonts w:ascii="Arial" w:hAnsi="Arial" w:eastAsia="宋体" w:cs="Times New Roman"/>
      <w:kern w:val="0"/>
      <w:sz w:val="19"/>
      <w:szCs w:val="19"/>
    </w:rPr>
  </w:style>
  <w:style w:type="paragraph" w:styleId="74">
    <w:name w:val="Normal (Web)"/>
    <w:basedOn w:val="1"/>
    <w:link w:val="122"/>
    <w:qFormat/>
    <w:locked/>
    <w:uiPriority w:val="99"/>
    <w:pPr>
      <w:widowControl/>
      <w:spacing w:before="100" w:beforeAutospacing="1" w:after="100" w:afterAutospacing="1"/>
      <w:jc w:val="left"/>
    </w:pPr>
    <w:rPr>
      <w:rFonts w:ascii="宋体" w:hAnsi="宋体" w:eastAsia="宋体" w:cs="Times New Roman"/>
      <w:color w:val="000000"/>
      <w:kern w:val="0"/>
      <w:sz w:val="24"/>
      <w:szCs w:val="24"/>
    </w:rPr>
  </w:style>
  <w:style w:type="paragraph" w:styleId="75">
    <w:name w:val="List Continue 3"/>
    <w:basedOn w:val="1"/>
    <w:qFormat/>
    <w:locked/>
    <w:uiPriority w:val="99"/>
    <w:pPr>
      <w:topLinePunct/>
      <w:spacing w:after="120" w:line="360" w:lineRule="auto"/>
      <w:ind w:left="1260" w:leftChars="600" w:firstLine="200" w:firstLineChars="200"/>
      <w:jc w:val="left"/>
    </w:pPr>
    <w:rPr>
      <w:rFonts w:ascii="仿宋_GB2312" w:hAnsi="Times New Roman" w:eastAsia="仿宋_GB2312" w:cs="Times New Roman"/>
      <w:sz w:val="28"/>
      <w:szCs w:val="20"/>
    </w:rPr>
  </w:style>
  <w:style w:type="paragraph" w:styleId="76">
    <w:name w:val="index 1"/>
    <w:basedOn w:val="1"/>
    <w:next w:val="1"/>
    <w:qFormat/>
    <w:locked/>
    <w:uiPriority w:val="99"/>
    <w:rPr>
      <w:rFonts w:ascii="Times New Roman" w:hAnsi="Times New Roman" w:eastAsia="宋体" w:cs="Times New Roman"/>
      <w:szCs w:val="24"/>
    </w:rPr>
  </w:style>
  <w:style w:type="paragraph" w:styleId="77">
    <w:name w:val="Title"/>
    <w:basedOn w:val="1"/>
    <w:next w:val="1"/>
    <w:link w:val="123"/>
    <w:qFormat/>
    <w:locked/>
    <w:uiPriority w:val="0"/>
    <w:pPr>
      <w:spacing w:before="240" w:after="60"/>
      <w:jc w:val="center"/>
      <w:outlineLvl w:val="0"/>
    </w:pPr>
    <w:rPr>
      <w:rFonts w:eastAsia="宋体" w:asciiTheme="majorHAnsi" w:hAnsiTheme="majorHAnsi" w:cstheme="majorBidi"/>
      <w:b/>
      <w:bCs/>
      <w:sz w:val="32"/>
      <w:szCs w:val="32"/>
    </w:rPr>
  </w:style>
  <w:style w:type="paragraph" w:styleId="78">
    <w:name w:val="annotation subject"/>
    <w:basedOn w:val="27"/>
    <w:next w:val="27"/>
    <w:link w:val="124"/>
    <w:unhideWhenUsed/>
    <w:qFormat/>
    <w:locked/>
    <w:uiPriority w:val="0"/>
    <w:rPr>
      <w:b/>
      <w:bCs/>
    </w:rPr>
  </w:style>
  <w:style w:type="paragraph" w:styleId="79">
    <w:name w:val="Body Text First Indent"/>
    <w:basedOn w:val="32"/>
    <w:next w:val="1"/>
    <w:link w:val="216"/>
    <w:qFormat/>
    <w:locked/>
    <w:uiPriority w:val="0"/>
    <w:pPr>
      <w:widowControl/>
      <w:ind w:firstLine="420" w:firstLineChars="100"/>
    </w:pPr>
    <w:rPr>
      <w:rFonts w:ascii="Calibri" w:hAnsi="Calibri" w:eastAsia="宋体" w:cs="Times New Roman"/>
      <w:color w:val="000000"/>
      <w:sz w:val="24"/>
      <w:szCs w:val="22"/>
    </w:rPr>
  </w:style>
  <w:style w:type="paragraph" w:styleId="80">
    <w:name w:val="Body Text First Indent 2"/>
    <w:basedOn w:val="33"/>
    <w:link w:val="125"/>
    <w:qFormat/>
    <w:locked/>
    <w:uiPriority w:val="0"/>
    <w:pPr>
      <w:tabs>
        <w:tab w:val="left" w:pos="377"/>
      </w:tabs>
      <w:ind w:firstLine="420" w:firstLineChars="200"/>
    </w:pPr>
    <w:rPr>
      <w:rFonts w:ascii="Times New Roman" w:hAnsi="Times New Roman" w:eastAsia="宋体" w:cs="Times New Roman"/>
      <w:szCs w:val="20"/>
    </w:rPr>
  </w:style>
  <w:style w:type="table" w:styleId="82">
    <w:name w:val="Table Grid"/>
    <w:basedOn w:val="81"/>
    <w:qFormat/>
    <w:locked/>
    <w:uiPriority w:val="0"/>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4">
    <w:name w:val="Strong"/>
    <w:basedOn w:val="83"/>
    <w:qFormat/>
    <w:locked/>
    <w:uiPriority w:val="22"/>
    <w:rPr>
      <w:b/>
    </w:rPr>
  </w:style>
  <w:style w:type="character" w:styleId="85">
    <w:name w:val="endnote reference"/>
    <w:qFormat/>
    <w:locked/>
    <w:uiPriority w:val="0"/>
    <w:rPr>
      <w:vertAlign w:val="superscript"/>
    </w:rPr>
  </w:style>
  <w:style w:type="character" w:styleId="86">
    <w:name w:val="page number"/>
    <w:qFormat/>
    <w:uiPriority w:val="0"/>
  </w:style>
  <w:style w:type="character" w:styleId="87">
    <w:name w:val="FollowedHyperlink"/>
    <w:basedOn w:val="83"/>
    <w:qFormat/>
    <w:locked/>
    <w:uiPriority w:val="99"/>
    <w:rPr>
      <w:rFonts w:hint="eastAsia" w:ascii="微软雅黑" w:hAnsi="微软雅黑" w:eastAsia="微软雅黑" w:cs="微软雅黑"/>
      <w:color w:val="000000"/>
      <w:sz w:val="22"/>
      <w:szCs w:val="22"/>
      <w:u w:val="none"/>
    </w:rPr>
  </w:style>
  <w:style w:type="character" w:styleId="88">
    <w:name w:val="Emphasis"/>
    <w:qFormat/>
    <w:locked/>
    <w:uiPriority w:val="20"/>
    <w:rPr>
      <w:rFonts w:eastAsia="仿宋_GB2312"/>
      <w:i/>
      <w:iCs/>
      <w:spacing w:val="-2"/>
      <w:kern w:val="2"/>
      <w:sz w:val="28"/>
      <w:szCs w:val="28"/>
      <w:lang w:val="en-US" w:eastAsia="zh-CN" w:bidi="ar-SA"/>
    </w:rPr>
  </w:style>
  <w:style w:type="character" w:styleId="89">
    <w:name w:val="line number"/>
    <w:qFormat/>
    <w:locked/>
    <w:uiPriority w:val="0"/>
    <w:rPr>
      <w:rFonts w:eastAsia="仿宋_GB2312"/>
      <w:spacing w:val="-2"/>
      <w:kern w:val="2"/>
      <w:sz w:val="28"/>
      <w:szCs w:val="28"/>
      <w:lang w:val="en-US" w:eastAsia="zh-CN" w:bidi="ar-SA"/>
    </w:rPr>
  </w:style>
  <w:style w:type="character" w:styleId="90">
    <w:name w:val="HTML Definition"/>
    <w:qFormat/>
    <w:locked/>
    <w:uiPriority w:val="99"/>
    <w:rPr>
      <w:rFonts w:eastAsia="仿宋_GB2312"/>
      <w:i/>
      <w:iCs/>
      <w:spacing w:val="-2"/>
      <w:kern w:val="2"/>
      <w:sz w:val="28"/>
      <w:szCs w:val="28"/>
      <w:lang w:val="en-US" w:eastAsia="zh-CN" w:bidi="ar-SA"/>
    </w:rPr>
  </w:style>
  <w:style w:type="character" w:styleId="91">
    <w:name w:val="HTML Typewriter"/>
    <w:qFormat/>
    <w:locked/>
    <w:uiPriority w:val="0"/>
    <w:rPr>
      <w:rFonts w:ascii="Courier New" w:hAnsi="Courier New" w:eastAsia="仿宋_GB2312" w:cs="Courier New"/>
      <w:spacing w:val="-2"/>
      <w:kern w:val="2"/>
      <w:sz w:val="20"/>
      <w:szCs w:val="20"/>
      <w:lang w:val="en-US" w:eastAsia="zh-CN" w:bidi="ar-SA"/>
    </w:rPr>
  </w:style>
  <w:style w:type="character" w:styleId="92">
    <w:name w:val="HTML Acronym"/>
    <w:qFormat/>
    <w:locked/>
    <w:uiPriority w:val="0"/>
    <w:rPr>
      <w:rFonts w:eastAsia="仿宋_GB2312"/>
      <w:spacing w:val="-2"/>
      <w:kern w:val="2"/>
      <w:sz w:val="28"/>
      <w:szCs w:val="28"/>
      <w:lang w:val="en-US" w:eastAsia="zh-CN" w:bidi="ar-SA"/>
    </w:rPr>
  </w:style>
  <w:style w:type="character" w:styleId="93">
    <w:name w:val="HTML Variable"/>
    <w:qFormat/>
    <w:locked/>
    <w:uiPriority w:val="99"/>
    <w:rPr>
      <w:rFonts w:eastAsia="仿宋_GB2312"/>
      <w:i/>
      <w:iCs/>
      <w:spacing w:val="-2"/>
      <w:kern w:val="2"/>
      <w:sz w:val="28"/>
      <w:szCs w:val="28"/>
      <w:lang w:val="en-US" w:eastAsia="zh-CN" w:bidi="ar-SA"/>
    </w:rPr>
  </w:style>
  <w:style w:type="character" w:styleId="94">
    <w:name w:val="Hyperlink"/>
    <w:basedOn w:val="83"/>
    <w:unhideWhenUsed/>
    <w:qFormat/>
    <w:uiPriority w:val="99"/>
    <w:rPr>
      <w:color w:val="0000FF" w:themeColor="hyperlink"/>
      <w:u w:val="single"/>
      <w14:textFill>
        <w14:solidFill>
          <w14:schemeClr w14:val="hlink"/>
        </w14:solidFill>
      </w14:textFill>
    </w:rPr>
  </w:style>
  <w:style w:type="character" w:styleId="95">
    <w:name w:val="HTML Code"/>
    <w:qFormat/>
    <w:locked/>
    <w:uiPriority w:val="99"/>
    <w:rPr>
      <w:rFonts w:ascii="Courier New" w:hAnsi="Courier New" w:eastAsia="仿宋_GB2312" w:cs="Courier New"/>
      <w:spacing w:val="-2"/>
      <w:kern w:val="2"/>
      <w:sz w:val="20"/>
      <w:szCs w:val="20"/>
      <w:lang w:val="en-US" w:eastAsia="zh-CN" w:bidi="ar-SA"/>
    </w:rPr>
  </w:style>
  <w:style w:type="character" w:styleId="96">
    <w:name w:val="annotation reference"/>
    <w:basedOn w:val="83"/>
    <w:unhideWhenUsed/>
    <w:qFormat/>
    <w:locked/>
    <w:uiPriority w:val="99"/>
    <w:rPr>
      <w:sz w:val="21"/>
      <w:szCs w:val="21"/>
    </w:rPr>
  </w:style>
  <w:style w:type="character" w:styleId="97">
    <w:name w:val="HTML Cite"/>
    <w:qFormat/>
    <w:locked/>
    <w:uiPriority w:val="99"/>
    <w:rPr>
      <w:rFonts w:eastAsia="仿宋_GB2312"/>
      <w:i/>
      <w:iCs/>
      <w:spacing w:val="-2"/>
      <w:kern w:val="2"/>
      <w:sz w:val="28"/>
      <w:szCs w:val="28"/>
      <w:lang w:val="en-US" w:eastAsia="zh-CN" w:bidi="ar-SA"/>
    </w:rPr>
  </w:style>
  <w:style w:type="character" w:styleId="98">
    <w:name w:val="footnote reference"/>
    <w:qFormat/>
    <w:locked/>
    <w:uiPriority w:val="99"/>
    <w:rPr>
      <w:vertAlign w:val="superscript"/>
    </w:rPr>
  </w:style>
  <w:style w:type="character" w:styleId="99">
    <w:name w:val="HTML Keyboard"/>
    <w:qFormat/>
    <w:locked/>
    <w:uiPriority w:val="99"/>
    <w:rPr>
      <w:rFonts w:ascii="Courier New" w:hAnsi="Courier New" w:eastAsia="仿宋_GB2312" w:cs="Courier New"/>
      <w:spacing w:val="-2"/>
      <w:kern w:val="2"/>
      <w:sz w:val="20"/>
      <w:szCs w:val="20"/>
      <w:lang w:val="en-US" w:eastAsia="zh-CN" w:bidi="ar-SA"/>
    </w:rPr>
  </w:style>
  <w:style w:type="character" w:styleId="100">
    <w:name w:val="HTML Sample"/>
    <w:qFormat/>
    <w:locked/>
    <w:uiPriority w:val="99"/>
    <w:rPr>
      <w:rFonts w:ascii="Courier New" w:hAnsi="Courier New" w:eastAsia="仿宋_GB2312" w:cs="Courier New"/>
      <w:spacing w:val="-2"/>
      <w:kern w:val="2"/>
      <w:sz w:val="28"/>
      <w:szCs w:val="28"/>
      <w:lang w:val="en-US" w:eastAsia="zh-CN" w:bidi="ar-SA"/>
    </w:rPr>
  </w:style>
  <w:style w:type="character" w:customStyle="1" w:styleId="101">
    <w:name w:val="SSEC 正文 字符"/>
    <w:basedOn w:val="83"/>
    <w:link w:val="4"/>
    <w:qFormat/>
    <w:uiPriority w:val="0"/>
    <w:rPr>
      <w:rFonts w:ascii="宋体" w:hAnsi="宋体" w:eastAsia="宋体"/>
      <w:kern w:val="2"/>
      <w:sz w:val="24"/>
      <w:szCs w:val="24"/>
    </w:rPr>
  </w:style>
  <w:style w:type="character" w:customStyle="1" w:styleId="102">
    <w:name w:val="标题 1 字符"/>
    <w:basedOn w:val="83"/>
    <w:link w:val="3"/>
    <w:qFormat/>
    <w:uiPriority w:val="0"/>
    <w:rPr>
      <w:rFonts w:ascii="黑体" w:hAnsi="Times New Roman" w:eastAsia="黑体"/>
      <w:b/>
      <w:kern w:val="44"/>
      <w:sz w:val="30"/>
      <w:szCs w:val="44"/>
    </w:rPr>
  </w:style>
  <w:style w:type="character" w:customStyle="1" w:styleId="103">
    <w:name w:val="标题 2 字符"/>
    <w:basedOn w:val="83"/>
    <w:link w:val="5"/>
    <w:qFormat/>
    <w:uiPriority w:val="0"/>
    <w:rPr>
      <w:rFonts w:ascii="宋体" w:hAnsi="宋体" w:eastAsia="黑体" w:cstheme="majorBidi"/>
      <w:bCs/>
      <w:color w:val="000000"/>
      <w:kern w:val="2"/>
      <w:sz w:val="28"/>
      <w:szCs w:val="32"/>
    </w:rPr>
  </w:style>
  <w:style w:type="character" w:customStyle="1" w:styleId="104">
    <w:name w:val="标题 3 字符"/>
    <w:basedOn w:val="83"/>
    <w:link w:val="6"/>
    <w:qFormat/>
    <w:uiPriority w:val="0"/>
    <w:rPr>
      <w:rFonts w:ascii="黑体" w:hAnsi="黑体" w:eastAsia="黑体"/>
      <w:kern w:val="2"/>
      <w:sz w:val="24"/>
      <w:szCs w:val="24"/>
    </w:rPr>
  </w:style>
  <w:style w:type="character" w:customStyle="1" w:styleId="105">
    <w:name w:val="标题 4 字符"/>
    <w:basedOn w:val="83"/>
    <w:link w:val="7"/>
    <w:qFormat/>
    <w:uiPriority w:val="99"/>
    <w:rPr>
      <w:rFonts w:ascii="宋体" w:eastAsia="宋体" w:hAnsiTheme="majorHAnsi" w:cstheme="majorBidi"/>
      <w:b/>
      <w:bCs/>
      <w:kern w:val="2"/>
      <w:sz w:val="24"/>
      <w:szCs w:val="28"/>
    </w:rPr>
  </w:style>
  <w:style w:type="character" w:customStyle="1" w:styleId="106">
    <w:name w:val="标题 5 字符"/>
    <w:basedOn w:val="83"/>
    <w:link w:val="8"/>
    <w:qFormat/>
    <w:uiPriority w:val="0"/>
    <w:rPr>
      <w:rFonts w:ascii="宋体" w:eastAsia="宋体"/>
      <w:bCs/>
      <w:kern w:val="2"/>
      <w:sz w:val="24"/>
      <w:szCs w:val="28"/>
    </w:rPr>
  </w:style>
  <w:style w:type="character" w:customStyle="1" w:styleId="107">
    <w:name w:val="标题 6 字符"/>
    <w:basedOn w:val="83"/>
    <w:link w:val="9"/>
    <w:qFormat/>
    <w:uiPriority w:val="0"/>
    <w:rPr>
      <w:rFonts w:ascii="宋体" w:eastAsia="宋体" w:hAnsiTheme="majorHAnsi" w:cstheme="majorBidi"/>
      <w:bCs/>
      <w:kern w:val="2"/>
      <w:sz w:val="24"/>
      <w:szCs w:val="24"/>
    </w:rPr>
  </w:style>
  <w:style w:type="character" w:customStyle="1" w:styleId="108">
    <w:name w:val="标题 7 字符"/>
    <w:basedOn w:val="83"/>
    <w:link w:val="10"/>
    <w:qFormat/>
    <w:uiPriority w:val="0"/>
    <w:rPr>
      <w:rFonts w:ascii="宋体" w:eastAsia="宋体"/>
      <w:bCs/>
      <w:kern w:val="2"/>
      <w:sz w:val="24"/>
      <w:szCs w:val="24"/>
    </w:rPr>
  </w:style>
  <w:style w:type="character" w:customStyle="1" w:styleId="109">
    <w:name w:val="标题 8 字符"/>
    <w:basedOn w:val="83"/>
    <w:link w:val="11"/>
    <w:qFormat/>
    <w:uiPriority w:val="0"/>
    <w:rPr>
      <w:rFonts w:ascii="宋体" w:eastAsia="宋体" w:hAnsiTheme="majorHAnsi" w:cstheme="majorBidi"/>
      <w:kern w:val="2"/>
      <w:sz w:val="24"/>
      <w:szCs w:val="24"/>
    </w:rPr>
  </w:style>
  <w:style w:type="character" w:customStyle="1" w:styleId="110">
    <w:name w:val="标题 9 字符"/>
    <w:basedOn w:val="83"/>
    <w:link w:val="12"/>
    <w:qFormat/>
    <w:uiPriority w:val="0"/>
    <w:rPr>
      <w:rFonts w:ascii="宋体" w:eastAsia="宋体" w:hAnsiTheme="majorHAnsi" w:cstheme="majorBidi"/>
      <w:kern w:val="2"/>
      <w:sz w:val="24"/>
      <w:szCs w:val="21"/>
    </w:rPr>
  </w:style>
  <w:style w:type="character" w:customStyle="1" w:styleId="111">
    <w:name w:val="题注 字符"/>
    <w:link w:val="22"/>
    <w:qFormat/>
    <w:locked/>
    <w:uiPriority w:val="99"/>
    <w:rPr>
      <w:rFonts w:ascii="宋体" w:eastAsia="宋体" w:hAnsiTheme="majorHAnsi" w:cstheme="majorBidi"/>
      <w:kern w:val="2"/>
      <w:sz w:val="21"/>
    </w:rPr>
  </w:style>
  <w:style w:type="character" w:customStyle="1" w:styleId="112">
    <w:name w:val="批注文字 字符"/>
    <w:basedOn w:val="83"/>
    <w:link w:val="27"/>
    <w:qFormat/>
    <w:uiPriority w:val="99"/>
    <w:rPr>
      <w:kern w:val="2"/>
      <w:sz w:val="21"/>
      <w:szCs w:val="21"/>
    </w:rPr>
  </w:style>
  <w:style w:type="character" w:customStyle="1" w:styleId="113">
    <w:name w:val="正文文本 字符"/>
    <w:basedOn w:val="83"/>
    <w:link w:val="32"/>
    <w:qFormat/>
    <w:uiPriority w:val="0"/>
    <w:rPr>
      <w:kern w:val="2"/>
      <w:sz w:val="21"/>
      <w:szCs w:val="21"/>
    </w:rPr>
  </w:style>
  <w:style w:type="character" w:customStyle="1" w:styleId="114">
    <w:name w:val="正文文本缩进 字符"/>
    <w:basedOn w:val="83"/>
    <w:link w:val="33"/>
    <w:qFormat/>
    <w:uiPriority w:val="0"/>
    <w:rPr>
      <w:kern w:val="2"/>
      <w:sz w:val="21"/>
      <w:szCs w:val="21"/>
    </w:rPr>
  </w:style>
  <w:style w:type="character" w:customStyle="1" w:styleId="115">
    <w:name w:val="纯文本 字符"/>
    <w:basedOn w:val="83"/>
    <w:link w:val="42"/>
    <w:qFormat/>
    <w:uiPriority w:val="0"/>
    <w:rPr>
      <w:rFonts w:ascii="宋体" w:hAnsi="Courier New" w:eastAsia="宋体" w:cs="Courier New"/>
      <w:kern w:val="2"/>
      <w:sz w:val="21"/>
      <w:szCs w:val="21"/>
    </w:rPr>
  </w:style>
  <w:style w:type="character" w:customStyle="1" w:styleId="116">
    <w:name w:val="正文文本缩进 2 字符"/>
    <w:basedOn w:val="83"/>
    <w:link w:val="47"/>
    <w:qFormat/>
    <w:uiPriority w:val="0"/>
    <w:rPr>
      <w:kern w:val="2"/>
      <w:sz w:val="21"/>
      <w:szCs w:val="21"/>
    </w:rPr>
  </w:style>
  <w:style w:type="character" w:customStyle="1" w:styleId="117">
    <w:name w:val="批注框文本 字符"/>
    <w:basedOn w:val="83"/>
    <w:link w:val="50"/>
    <w:qFormat/>
    <w:uiPriority w:val="0"/>
    <w:rPr>
      <w:rFonts w:ascii="Times New Roman" w:hAnsi="Times New Roman" w:eastAsia="宋体" w:cs="Times New Roman"/>
      <w:kern w:val="2"/>
      <w:sz w:val="18"/>
      <w:szCs w:val="18"/>
    </w:rPr>
  </w:style>
  <w:style w:type="character" w:customStyle="1" w:styleId="118">
    <w:name w:val="页脚 字符"/>
    <w:basedOn w:val="83"/>
    <w:link w:val="51"/>
    <w:qFormat/>
    <w:uiPriority w:val="99"/>
    <w:rPr>
      <w:rFonts w:ascii="宋体" w:eastAsia="宋体"/>
      <w:kern w:val="2"/>
      <w:sz w:val="18"/>
      <w:szCs w:val="18"/>
    </w:rPr>
  </w:style>
  <w:style w:type="character" w:customStyle="1" w:styleId="119">
    <w:name w:val="页眉 字符"/>
    <w:basedOn w:val="83"/>
    <w:link w:val="53"/>
    <w:qFormat/>
    <w:uiPriority w:val="99"/>
    <w:rPr>
      <w:rFonts w:ascii="宋体" w:eastAsia="宋体"/>
      <w:kern w:val="2"/>
      <w:sz w:val="18"/>
      <w:szCs w:val="18"/>
    </w:rPr>
  </w:style>
  <w:style w:type="character" w:customStyle="1" w:styleId="120">
    <w:name w:val="TOC 1 字符"/>
    <w:basedOn w:val="83"/>
    <w:link w:val="55"/>
    <w:qFormat/>
    <w:uiPriority w:val="39"/>
    <w:rPr>
      <w:rFonts w:ascii="黑体" w:eastAsia="宋体" w:cstheme="minorHAnsi"/>
      <w:b/>
      <w:bCs/>
      <w:kern w:val="2"/>
      <w:sz w:val="28"/>
      <w:szCs w:val="28"/>
    </w:rPr>
  </w:style>
  <w:style w:type="character" w:customStyle="1" w:styleId="121">
    <w:name w:val="TOC 2 字符"/>
    <w:basedOn w:val="83"/>
    <w:link w:val="67"/>
    <w:qFormat/>
    <w:uiPriority w:val="39"/>
    <w:rPr>
      <w:rFonts w:ascii="黑体" w:eastAsia="宋体" w:cstheme="minorHAnsi"/>
      <w:iCs/>
      <w:kern w:val="2"/>
      <w:sz w:val="24"/>
    </w:rPr>
  </w:style>
  <w:style w:type="character" w:customStyle="1" w:styleId="122">
    <w:name w:val="普通(网站) 字符"/>
    <w:link w:val="74"/>
    <w:qFormat/>
    <w:uiPriority w:val="0"/>
    <w:rPr>
      <w:rFonts w:ascii="宋体" w:hAnsi="宋体" w:eastAsia="宋体" w:cs="Times New Roman"/>
      <w:color w:val="000000"/>
      <w:sz w:val="24"/>
      <w:szCs w:val="24"/>
    </w:rPr>
  </w:style>
  <w:style w:type="character" w:customStyle="1" w:styleId="123">
    <w:name w:val="标题 字符"/>
    <w:basedOn w:val="83"/>
    <w:link w:val="77"/>
    <w:qFormat/>
    <w:uiPriority w:val="0"/>
    <w:rPr>
      <w:rFonts w:eastAsia="宋体" w:asciiTheme="majorHAnsi" w:hAnsiTheme="majorHAnsi" w:cstheme="majorBidi"/>
      <w:b/>
      <w:bCs/>
      <w:kern w:val="2"/>
      <w:sz w:val="32"/>
      <w:szCs w:val="32"/>
    </w:rPr>
  </w:style>
  <w:style w:type="character" w:customStyle="1" w:styleId="124">
    <w:name w:val="批注主题 字符"/>
    <w:basedOn w:val="112"/>
    <w:link w:val="78"/>
    <w:qFormat/>
    <w:uiPriority w:val="0"/>
    <w:rPr>
      <w:b/>
      <w:bCs/>
      <w:kern w:val="2"/>
      <w:sz w:val="21"/>
      <w:szCs w:val="21"/>
    </w:rPr>
  </w:style>
  <w:style w:type="character" w:customStyle="1" w:styleId="125">
    <w:name w:val="正文文本首行缩进 2 字符"/>
    <w:basedOn w:val="114"/>
    <w:link w:val="80"/>
    <w:qFormat/>
    <w:uiPriority w:val="0"/>
    <w:rPr>
      <w:rFonts w:ascii="Times New Roman" w:hAnsi="Times New Roman" w:eastAsia="宋体" w:cs="Times New Roman"/>
      <w:kern w:val="2"/>
      <w:sz w:val="21"/>
      <w:szCs w:val="21"/>
    </w:rPr>
  </w:style>
  <w:style w:type="paragraph" w:customStyle="1" w:styleId="126">
    <w:name w:val="附表"/>
    <w:basedOn w:val="1"/>
    <w:link w:val="127"/>
    <w:qFormat/>
    <w:uiPriority w:val="0"/>
    <w:pPr>
      <w:keepNext/>
      <w:numPr>
        <w:ilvl w:val="0"/>
        <w:numId w:val="2"/>
      </w:numPr>
      <w:outlineLvl w:val="1"/>
    </w:pPr>
    <w:rPr>
      <w:rFonts w:ascii="黑体" w:hAnsi="黑体" w:eastAsia="黑体"/>
      <w:sz w:val="28"/>
      <w:szCs w:val="28"/>
    </w:rPr>
  </w:style>
  <w:style w:type="character" w:customStyle="1" w:styleId="127">
    <w:name w:val="附表 Char"/>
    <w:basedOn w:val="83"/>
    <w:link w:val="126"/>
    <w:qFormat/>
    <w:uiPriority w:val="0"/>
    <w:rPr>
      <w:rFonts w:ascii="黑体" w:hAnsi="黑体" w:eastAsia="黑体"/>
      <w:kern w:val="2"/>
      <w:sz w:val="28"/>
      <w:szCs w:val="28"/>
    </w:rPr>
  </w:style>
  <w:style w:type="paragraph" w:customStyle="1" w:styleId="128">
    <w:name w:val="附件"/>
    <w:basedOn w:val="5"/>
    <w:link w:val="129"/>
    <w:qFormat/>
    <w:uiPriority w:val="0"/>
    <w:pPr>
      <w:numPr>
        <w:ilvl w:val="0"/>
        <w:numId w:val="3"/>
      </w:numPr>
      <w:adjustRightInd/>
      <w:snapToGrid/>
      <w:spacing w:before="0" w:beforeAutospacing="0" w:line="240" w:lineRule="auto"/>
    </w:pPr>
  </w:style>
  <w:style w:type="character" w:customStyle="1" w:styleId="129">
    <w:name w:val="附件 Char"/>
    <w:basedOn w:val="103"/>
    <w:link w:val="128"/>
    <w:qFormat/>
    <w:uiPriority w:val="0"/>
    <w:rPr>
      <w:rFonts w:ascii="宋体" w:hAnsi="宋体" w:eastAsia="黑体" w:cstheme="majorBidi"/>
      <w:color w:val="000000"/>
      <w:kern w:val="2"/>
      <w:sz w:val="28"/>
      <w:szCs w:val="32"/>
    </w:rPr>
  </w:style>
  <w:style w:type="paragraph" w:customStyle="1" w:styleId="130">
    <w:name w:val="附图"/>
    <w:link w:val="131"/>
    <w:qFormat/>
    <w:uiPriority w:val="0"/>
    <w:pPr>
      <w:keepNext/>
      <w:numPr>
        <w:ilvl w:val="0"/>
        <w:numId w:val="4"/>
      </w:numPr>
      <w:outlineLvl w:val="1"/>
    </w:pPr>
    <w:rPr>
      <w:rFonts w:ascii="黑体" w:hAnsi="黑体" w:eastAsia="黑体" w:cstheme="minorBidi"/>
      <w:kern w:val="2"/>
      <w:sz w:val="28"/>
      <w:szCs w:val="28"/>
      <w:lang w:val="en-US" w:eastAsia="zh-CN" w:bidi="ar-SA"/>
    </w:rPr>
  </w:style>
  <w:style w:type="character" w:customStyle="1" w:styleId="131">
    <w:name w:val="附图 Char"/>
    <w:basedOn w:val="83"/>
    <w:link w:val="130"/>
    <w:qFormat/>
    <w:uiPriority w:val="0"/>
    <w:rPr>
      <w:rFonts w:ascii="黑体" w:hAnsi="黑体" w:eastAsia="黑体"/>
      <w:kern w:val="2"/>
      <w:sz w:val="28"/>
      <w:szCs w:val="28"/>
    </w:rPr>
  </w:style>
  <w:style w:type="paragraph" w:customStyle="1" w:styleId="132">
    <w:name w:val="SSEC 表内序号"/>
    <w:link w:val="133"/>
    <w:qFormat/>
    <w:uiPriority w:val="0"/>
    <w:pPr>
      <w:widowControl w:val="0"/>
      <w:numPr>
        <w:ilvl w:val="0"/>
        <w:numId w:val="5"/>
      </w:numPr>
      <w:adjustRightInd w:val="0"/>
      <w:snapToGrid w:val="0"/>
      <w:jc w:val="center"/>
      <w:textAlignment w:val="center"/>
    </w:pPr>
    <w:rPr>
      <w:rFonts w:ascii="宋体" w:hAnsi="Times New Roman" w:eastAsia="宋体" w:cstheme="minorBidi"/>
      <w:kern w:val="2"/>
      <w:sz w:val="21"/>
      <w:szCs w:val="21"/>
      <w:lang w:val="en-US" w:eastAsia="zh-CN" w:bidi="ar-SA"/>
    </w:rPr>
  </w:style>
  <w:style w:type="character" w:customStyle="1" w:styleId="133">
    <w:name w:val="SSEC 表内序号 字符"/>
    <w:basedOn w:val="83"/>
    <w:link w:val="132"/>
    <w:qFormat/>
    <w:uiPriority w:val="0"/>
    <w:rPr>
      <w:rFonts w:ascii="宋体" w:hAnsi="Times New Roman" w:eastAsia="宋体"/>
      <w:kern w:val="2"/>
      <w:sz w:val="21"/>
      <w:szCs w:val="21"/>
    </w:rPr>
  </w:style>
  <w:style w:type="paragraph" w:customStyle="1" w:styleId="134">
    <w:name w:val="SSEC 目录名"/>
    <w:link w:val="135"/>
    <w:qFormat/>
    <w:uiPriority w:val="0"/>
    <w:pPr>
      <w:widowControl w:val="0"/>
      <w:adjustRightInd w:val="0"/>
      <w:snapToGrid w:val="0"/>
      <w:spacing w:before="100" w:beforeAutospacing="1" w:line="360" w:lineRule="auto"/>
      <w:jc w:val="center"/>
    </w:pPr>
    <w:rPr>
      <w:rFonts w:ascii="黑体" w:hAnsi="黑体" w:eastAsia="黑体" w:cstheme="minorBidi"/>
      <w:kern w:val="2"/>
      <w:sz w:val="32"/>
      <w:szCs w:val="30"/>
      <w:lang w:val="en-US" w:eastAsia="zh-CN" w:bidi="ar-SA"/>
    </w:rPr>
  </w:style>
  <w:style w:type="character" w:customStyle="1" w:styleId="135">
    <w:name w:val="SSEC 目录名 字符"/>
    <w:basedOn w:val="83"/>
    <w:link w:val="134"/>
    <w:qFormat/>
    <w:uiPriority w:val="0"/>
    <w:rPr>
      <w:rFonts w:ascii="黑体" w:hAnsi="黑体" w:eastAsia="黑体"/>
      <w:kern w:val="2"/>
      <w:sz w:val="32"/>
      <w:szCs w:val="30"/>
    </w:rPr>
  </w:style>
  <w:style w:type="paragraph" w:customStyle="1" w:styleId="136">
    <w:name w:val="SSEC 表字居左"/>
    <w:link w:val="137"/>
    <w:qFormat/>
    <w:uiPriority w:val="0"/>
    <w:pPr>
      <w:keepNext/>
      <w:widowControl w:val="0"/>
      <w:adjustRightInd w:val="0"/>
      <w:snapToGrid w:val="0"/>
      <w:jc w:val="right"/>
    </w:pPr>
    <w:rPr>
      <w:rFonts w:ascii="宋体" w:eastAsia="宋体" w:hAnsiTheme="minorHAnsi" w:cstheme="minorBidi"/>
      <w:kern w:val="2"/>
      <w:sz w:val="21"/>
      <w:szCs w:val="21"/>
      <w:lang w:val="en-US" w:eastAsia="zh-CN" w:bidi="ar-SA"/>
    </w:rPr>
  </w:style>
  <w:style w:type="character" w:customStyle="1" w:styleId="137">
    <w:name w:val="SSEC 表字居左 字符"/>
    <w:basedOn w:val="83"/>
    <w:link w:val="136"/>
    <w:qFormat/>
    <w:uiPriority w:val="0"/>
    <w:rPr>
      <w:rFonts w:ascii="宋体" w:eastAsia="宋体"/>
      <w:kern w:val="2"/>
      <w:sz w:val="21"/>
      <w:szCs w:val="21"/>
    </w:rPr>
  </w:style>
  <w:style w:type="paragraph" w:customStyle="1" w:styleId="138">
    <w:name w:val="SSEC 表字居中"/>
    <w:link w:val="139"/>
    <w:qFormat/>
    <w:uiPriority w:val="0"/>
    <w:pPr>
      <w:widowControl w:val="0"/>
      <w:adjustRightInd w:val="0"/>
      <w:snapToGrid w:val="0"/>
      <w:jc w:val="center"/>
      <w:textAlignment w:val="center"/>
    </w:pPr>
    <w:rPr>
      <w:rFonts w:ascii="宋体" w:hAnsi="Times New Roman" w:eastAsia="宋体" w:cstheme="minorBidi"/>
      <w:kern w:val="2"/>
      <w:sz w:val="21"/>
      <w:szCs w:val="21"/>
      <w:lang w:val="en-US" w:eastAsia="zh-CN" w:bidi="ar-SA"/>
    </w:rPr>
  </w:style>
  <w:style w:type="character" w:customStyle="1" w:styleId="139">
    <w:name w:val="SSEC 表字居中 字符"/>
    <w:basedOn w:val="83"/>
    <w:link w:val="138"/>
    <w:qFormat/>
    <w:uiPriority w:val="0"/>
    <w:rPr>
      <w:rFonts w:ascii="宋体" w:hAnsi="Times New Roman" w:eastAsia="宋体"/>
      <w:kern w:val="2"/>
      <w:sz w:val="21"/>
      <w:szCs w:val="21"/>
    </w:rPr>
  </w:style>
  <w:style w:type="table" w:customStyle="1" w:styleId="140">
    <w:name w:val="SSEC表格样式"/>
    <w:basedOn w:val="81"/>
    <w:qFormat/>
    <w:uiPriority w:val="99"/>
    <w:pPr>
      <w:adjustRightInd w:val="0"/>
      <w:snapToGrid w:val="0"/>
    </w:pPr>
    <w:rPr>
      <w:rFonts w:ascii="Times New Roman" w:hAnsi="Times New Roman" w:eastAsia="宋体"/>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141">
    <w:name w:val="修订1"/>
    <w:hidden/>
    <w:qFormat/>
    <w:uiPriority w:val="99"/>
    <w:rPr>
      <w:rFonts w:ascii="Times New Roman" w:hAnsi="Times New Roman" w:eastAsia="宋体" w:cs="Times New Roman"/>
      <w:kern w:val="2"/>
      <w:sz w:val="21"/>
      <w:szCs w:val="24"/>
      <w:lang w:val="en-US" w:eastAsia="zh-CN" w:bidi="ar-SA"/>
    </w:rPr>
  </w:style>
  <w:style w:type="paragraph" w:customStyle="1" w:styleId="142">
    <w:name w:val="SSEC 1级序号"/>
    <w:link w:val="143"/>
    <w:qFormat/>
    <w:uiPriority w:val="0"/>
    <w:pPr>
      <w:widowControl w:val="0"/>
      <w:numPr>
        <w:ilvl w:val="0"/>
        <w:numId w:val="6"/>
      </w:numPr>
      <w:adjustRightInd w:val="0"/>
      <w:snapToGrid w:val="0"/>
      <w:spacing w:line="331" w:lineRule="auto"/>
      <w:jc w:val="both"/>
    </w:pPr>
    <w:rPr>
      <w:rFonts w:ascii="宋体" w:hAnsi="宋体" w:eastAsia="宋体" w:cstheme="minorBidi"/>
      <w:kern w:val="2"/>
      <w:sz w:val="24"/>
      <w:szCs w:val="24"/>
      <w:lang w:val="en-US" w:eastAsia="zh-CN" w:bidi="ar-SA"/>
    </w:rPr>
  </w:style>
  <w:style w:type="character" w:customStyle="1" w:styleId="143">
    <w:name w:val="SSEC 1级序号 字符"/>
    <w:basedOn w:val="101"/>
    <w:link w:val="142"/>
    <w:qFormat/>
    <w:uiPriority w:val="0"/>
    <w:rPr>
      <w:rFonts w:ascii="宋体" w:hAnsi="宋体" w:eastAsia="宋体"/>
      <w:kern w:val="2"/>
      <w:sz w:val="24"/>
      <w:szCs w:val="24"/>
    </w:rPr>
  </w:style>
  <w:style w:type="paragraph" w:customStyle="1" w:styleId="144">
    <w:name w:val="SSEC 2级序号"/>
    <w:basedOn w:val="142"/>
    <w:link w:val="145"/>
    <w:qFormat/>
    <w:uiPriority w:val="0"/>
    <w:pPr>
      <w:numPr>
        <w:ilvl w:val="1"/>
      </w:numPr>
    </w:pPr>
  </w:style>
  <w:style w:type="character" w:customStyle="1" w:styleId="145">
    <w:name w:val="SSEC 2级序号 字符"/>
    <w:basedOn w:val="143"/>
    <w:link w:val="144"/>
    <w:qFormat/>
    <w:uiPriority w:val="0"/>
    <w:rPr>
      <w:rFonts w:ascii="宋体" w:hAnsi="宋体" w:eastAsia="宋体"/>
      <w:kern w:val="2"/>
      <w:sz w:val="24"/>
      <w:szCs w:val="24"/>
    </w:rPr>
  </w:style>
  <w:style w:type="paragraph" w:customStyle="1" w:styleId="146">
    <w:name w:val="SSEC 3级序号"/>
    <w:basedOn w:val="142"/>
    <w:link w:val="147"/>
    <w:qFormat/>
    <w:uiPriority w:val="0"/>
    <w:pPr>
      <w:numPr>
        <w:numId w:val="0"/>
      </w:numPr>
      <w:ind w:firstLine="476"/>
    </w:pPr>
  </w:style>
  <w:style w:type="character" w:customStyle="1" w:styleId="147">
    <w:name w:val="SSEC 3级序号 字符"/>
    <w:basedOn w:val="143"/>
    <w:link w:val="146"/>
    <w:qFormat/>
    <w:uiPriority w:val="0"/>
    <w:rPr>
      <w:rFonts w:ascii="宋体" w:hAnsi="宋体" w:eastAsia="宋体"/>
      <w:kern w:val="2"/>
      <w:sz w:val="24"/>
      <w:szCs w:val="24"/>
    </w:rPr>
  </w:style>
  <w:style w:type="paragraph" w:customStyle="1" w:styleId="148">
    <w:name w:val="SSEC 4级序号"/>
    <w:basedOn w:val="142"/>
    <w:link w:val="149"/>
    <w:qFormat/>
    <w:uiPriority w:val="0"/>
    <w:pPr>
      <w:numPr>
        <w:numId w:val="0"/>
      </w:numPr>
      <w:ind w:firstLine="476"/>
    </w:pPr>
  </w:style>
  <w:style w:type="character" w:customStyle="1" w:styleId="149">
    <w:name w:val="SSEC 4级序号 字符"/>
    <w:basedOn w:val="147"/>
    <w:link w:val="148"/>
    <w:qFormat/>
    <w:uiPriority w:val="0"/>
    <w:rPr>
      <w:rFonts w:ascii="宋体" w:hAnsi="宋体" w:eastAsia="宋体"/>
      <w:kern w:val="2"/>
      <w:sz w:val="24"/>
      <w:szCs w:val="24"/>
    </w:rPr>
  </w:style>
  <w:style w:type="paragraph" w:customStyle="1" w:styleId="150">
    <w:name w:val="SSEC 5级序号"/>
    <w:basedOn w:val="142"/>
    <w:link w:val="151"/>
    <w:qFormat/>
    <w:uiPriority w:val="0"/>
    <w:pPr>
      <w:numPr>
        <w:numId w:val="0"/>
      </w:numPr>
      <w:ind w:firstLine="476"/>
    </w:pPr>
  </w:style>
  <w:style w:type="character" w:customStyle="1" w:styleId="151">
    <w:name w:val="SSEC 5级序号 字符"/>
    <w:basedOn w:val="143"/>
    <w:link w:val="150"/>
    <w:qFormat/>
    <w:uiPriority w:val="0"/>
    <w:rPr>
      <w:rFonts w:ascii="宋体" w:hAnsi="宋体" w:eastAsia="宋体"/>
      <w:kern w:val="2"/>
      <w:sz w:val="24"/>
      <w:szCs w:val="24"/>
    </w:rPr>
  </w:style>
  <w:style w:type="paragraph" w:customStyle="1" w:styleId="152">
    <w:name w:val="SSEC 6级序号"/>
    <w:basedOn w:val="142"/>
    <w:link w:val="153"/>
    <w:qFormat/>
    <w:uiPriority w:val="0"/>
    <w:pPr>
      <w:numPr>
        <w:numId w:val="0"/>
      </w:numPr>
      <w:ind w:firstLine="476"/>
    </w:pPr>
  </w:style>
  <w:style w:type="character" w:customStyle="1" w:styleId="153">
    <w:name w:val="SSEC 6级序号 字符"/>
    <w:basedOn w:val="151"/>
    <w:link w:val="152"/>
    <w:qFormat/>
    <w:uiPriority w:val="0"/>
    <w:rPr>
      <w:rFonts w:ascii="宋体" w:hAnsi="宋体" w:eastAsia="宋体"/>
      <w:kern w:val="2"/>
      <w:sz w:val="24"/>
      <w:szCs w:val="24"/>
    </w:rPr>
  </w:style>
  <w:style w:type="paragraph" w:customStyle="1" w:styleId="154">
    <w:name w:val="SSEC 7级序号"/>
    <w:basedOn w:val="142"/>
    <w:link w:val="155"/>
    <w:qFormat/>
    <w:uiPriority w:val="0"/>
    <w:pPr>
      <w:numPr>
        <w:numId w:val="0"/>
      </w:numPr>
      <w:ind w:firstLine="476"/>
    </w:pPr>
  </w:style>
  <w:style w:type="character" w:customStyle="1" w:styleId="155">
    <w:name w:val="SSEC 7级序号 字符"/>
    <w:basedOn w:val="153"/>
    <w:link w:val="154"/>
    <w:qFormat/>
    <w:uiPriority w:val="0"/>
    <w:rPr>
      <w:rFonts w:ascii="宋体" w:hAnsi="宋体" w:eastAsia="宋体"/>
      <w:kern w:val="2"/>
      <w:sz w:val="24"/>
      <w:szCs w:val="24"/>
    </w:rPr>
  </w:style>
  <w:style w:type="paragraph" w:customStyle="1" w:styleId="156">
    <w:name w:val="修订2"/>
    <w:hidden/>
    <w:qFormat/>
    <w:uiPriority w:val="99"/>
    <w:rPr>
      <w:rFonts w:ascii="Times New Roman" w:hAnsi="Times New Roman" w:eastAsia="宋体" w:cs="Times New Roman"/>
      <w:kern w:val="2"/>
      <w:sz w:val="21"/>
      <w:szCs w:val="24"/>
      <w:lang w:val="en-US" w:eastAsia="zh-CN" w:bidi="ar-SA"/>
    </w:rPr>
  </w:style>
  <w:style w:type="paragraph" w:customStyle="1" w:styleId="157">
    <w:name w:val="修订11"/>
    <w:hidden/>
    <w:qFormat/>
    <w:uiPriority w:val="99"/>
    <w:rPr>
      <w:rFonts w:ascii="Times New Roman" w:hAnsi="Times New Roman" w:eastAsia="宋体" w:cs="Times New Roman"/>
      <w:kern w:val="2"/>
      <w:sz w:val="21"/>
      <w:szCs w:val="24"/>
      <w:lang w:val="en-US" w:eastAsia="zh-CN" w:bidi="ar-SA"/>
    </w:rPr>
  </w:style>
  <w:style w:type="paragraph" w:customStyle="1" w:styleId="158">
    <w:name w:val="修订21"/>
    <w:hidden/>
    <w:qFormat/>
    <w:uiPriority w:val="0"/>
    <w:rPr>
      <w:rFonts w:ascii="Times New Roman" w:hAnsi="Times New Roman" w:eastAsia="宋体" w:cs="Times New Roman"/>
      <w:kern w:val="2"/>
      <w:sz w:val="21"/>
      <w:szCs w:val="24"/>
      <w:lang w:val="en-US" w:eastAsia="zh-CN" w:bidi="ar-SA"/>
    </w:rPr>
  </w:style>
  <w:style w:type="paragraph" w:customStyle="1" w:styleId="159">
    <w:name w:val="修订3"/>
    <w:hidden/>
    <w:qFormat/>
    <w:uiPriority w:val="99"/>
    <w:rPr>
      <w:rFonts w:ascii="Times New Roman" w:hAnsi="Times New Roman" w:eastAsia="宋体" w:cs="Times New Roman"/>
      <w:kern w:val="2"/>
      <w:sz w:val="21"/>
      <w:szCs w:val="24"/>
      <w:lang w:val="en-US" w:eastAsia="zh-CN" w:bidi="ar-SA"/>
    </w:rPr>
  </w:style>
  <w:style w:type="paragraph" w:customStyle="1" w:styleId="160">
    <w:name w:val="z-窗体底端2"/>
    <w:basedOn w:val="1"/>
    <w:next w:val="1"/>
    <w:hidden/>
    <w:semiHidden/>
    <w:unhideWhenUsed/>
    <w:qFormat/>
    <w:uiPriority w:val="0"/>
    <w:pPr>
      <w:pBdr>
        <w:top w:val="single" w:color="auto" w:sz="6" w:space="1"/>
      </w:pBdr>
      <w:jc w:val="center"/>
    </w:pPr>
    <w:rPr>
      <w:rFonts w:ascii="Arial" w:hAnsi="Arial" w:cs="Arial"/>
      <w:vanish/>
      <w:sz w:val="16"/>
      <w:szCs w:val="16"/>
    </w:rPr>
  </w:style>
  <w:style w:type="character" w:customStyle="1" w:styleId="161">
    <w:name w:val="z-窗体底端 字符"/>
    <w:basedOn w:val="83"/>
    <w:link w:val="162"/>
    <w:semiHidden/>
    <w:qFormat/>
    <w:uiPriority w:val="0"/>
    <w:rPr>
      <w:rFonts w:ascii="Arial" w:hAnsi="Arial" w:cs="Arial"/>
      <w:vanish/>
      <w:kern w:val="2"/>
      <w:sz w:val="16"/>
      <w:szCs w:val="16"/>
    </w:rPr>
  </w:style>
  <w:style w:type="paragraph" w:customStyle="1" w:styleId="162">
    <w:name w:val="z-窗体底端1"/>
    <w:basedOn w:val="1"/>
    <w:next w:val="1"/>
    <w:link w:val="161"/>
    <w:unhideWhenUsed/>
    <w:qFormat/>
    <w:uiPriority w:val="0"/>
    <w:pPr>
      <w:pBdr>
        <w:top w:val="single" w:color="auto" w:sz="6" w:space="1"/>
      </w:pBdr>
      <w:jc w:val="center"/>
    </w:pPr>
    <w:rPr>
      <w:rFonts w:ascii="Arial" w:hAnsi="Arial" w:cs="Arial"/>
      <w:vanish/>
      <w:sz w:val="16"/>
      <w:szCs w:val="16"/>
    </w:rPr>
  </w:style>
  <w:style w:type="character" w:customStyle="1" w:styleId="163">
    <w:name w:val="z-窗体顶端 字符"/>
    <w:basedOn w:val="83"/>
    <w:link w:val="164"/>
    <w:semiHidden/>
    <w:qFormat/>
    <w:uiPriority w:val="0"/>
    <w:rPr>
      <w:rFonts w:ascii="Arial" w:hAnsi="Arial" w:cs="Arial"/>
      <w:vanish/>
      <w:kern w:val="2"/>
      <w:sz w:val="16"/>
      <w:szCs w:val="16"/>
    </w:rPr>
  </w:style>
  <w:style w:type="paragraph" w:customStyle="1" w:styleId="164">
    <w:name w:val="z-窗体顶端1"/>
    <w:basedOn w:val="1"/>
    <w:next w:val="1"/>
    <w:link w:val="163"/>
    <w:unhideWhenUsed/>
    <w:qFormat/>
    <w:uiPriority w:val="0"/>
    <w:pPr>
      <w:pBdr>
        <w:bottom w:val="single" w:color="auto" w:sz="6" w:space="1"/>
      </w:pBdr>
      <w:jc w:val="center"/>
    </w:pPr>
    <w:rPr>
      <w:rFonts w:ascii="Arial" w:hAnsi="Arial" w:cs="Arial"/>
      <w:vanish/>
      <w:sz w:val="16"/>
      <w:szCs w:val="16"/>
    </w:rPr>
  </w:style>
  <w:style w:type="character" w:customStyle="1" w:styleId="165">
    <w:name w:val="列表段落 字符"/>
    <w:link w:val="166"/>
    <w:qFormat/>
    <w:uiPriority w:val="0"/>
    <w:rPr>
      <w:rFonts w:ascii="宋体" w:hAnsi="宋体" w:cs="宋体"/>
      <w:sz w:val="24"/>
      <w:szCs w:val="24"/>
    </w:rPr>
  </w:style>
  <w:style w:type="paragraph" w:styleId="166">
    <w:name w:val="List Paragraph"/>
    <w:basedOn w:val="1"/>
    <w:link w:val="165"/>
    <w:qFormat/>
    <w:uiPriority w:val="34"/>
    <w:pPr>
      <w:widowControl/>
      <w:ind w:firstLine="420" w:firstLineChars="200"/>
      <w:jc w:val="left"/>
    </w:pPr>
    <w:rPr>
      <w:rFonts w:ascii="宋体" w:hAnsi="宋体" w:cs="宋体"/>
      <w:kern w:val="0"/>
      <w:sz w:val="24"/>
      <w:szCs w:val="24"/>
    </w:rPr>
  </w:style>
  <w:style w:type="table" w:customStyle="1" w:styleId="167">
    <w:name w:val="网格型1"/>
    <w:basedOn w:val="81"/>
    <w:qFormat/>
    <w:locked/>
    <w:uiPriority w:val="59"/>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8">
    <w:name w:val="STC表格 字符"/>
    <w:basedOn w:val="83"/>
    <w:link w:val="169"/>
    <w:qFormat/>
    <w:locked/>
    <w:uiPriority w:val="0"/>
    <w:rPr>
      <w:rFonts w:ascii="Times New Roman" w:hAnsi="Times New Roman" w:eastAsia="宋体" w:cs="Times New Roman"/>
    </w:rPr>
  </w:style>
  <w:style w:type="paragraph" w:customStyle="1" w:styleId="169">
    <w:name w:val="STC表格"/>
    <w:link w:val="168"/>
    <w:qFormat/>
    <w:uiPriority w:val="0"/>
    <w:pPr>
      <w:widowControl w:val="0"/>
      <w:adjustRightInd w:val="0"/>
      <w:snapToGrid w:val="0"/>
      <w:jc w:val="center"/>
    </w:pPr>
    <w:rPr>
      <w:rFonts w:ascii="Times New Roman" w:hAnsi="Times New Roman" w:eastAsia="宋体" w:cs="Times New Roman"/>
      <w:lang w:val="en-US" w:eastAsia="zh-CN" w:bidi="ar-SA"/>
    </w:rPr>
  </w:style>
  <w:style w:type="character" w:customStyle="1" w:styleId="170">
    <w:name w:val="表格 Char"/>
    <w:link w:val="171"/>
    <w:qFormat/>
    <w:locked/>
    <w:uiPriority w:val="0"/>
    <w:rPr>
      <w:rFonts w:ascii="Times New Roman" w:hAnsi="Times New Roman" w:eastAsia="宋体" w:cs="Times New Roman"/>
      <w:color w:val="000000"/>
    </w:rPr>
  </w:style>
  <w:style w:type="paragraph" w:customStyle="1" w:styleId="171">
    <w:name w:val="表格"/>
    <w:next w:val="1"/>
    <w:link w:val="170"/>
    <w:qFormat/>
    <w:uiPriority w:val="0"/>
    <w:pPr>
      <w:ind w:left="51" w:right="51"/>
      <w:jc w:val="center"/>
    </w:pPr>
    <w:rPr>
      <w:rFonts w:ascii="Times New Roman" w:hAnsi="Times New Roman" w:eastAsia="宋体" w:cs="Times New Roman"/>
      <w:color w:val="000000"/>
      <w:lang w:val="en-US" w:eastAsia="zh-CN" w:bidi="ar-SA"/>
    </w:rPr>
  </w:style>
  <w:style w:type="table" w:customStyle="1" w:styleId="172">
    <w:name w:val="灰度表格1211"/>
    <w:basedOn w:val="81"/>
    <w:qFormat/>
    <w:uiPriority w:val="59"/>
    <w:rPr>
      <w:rFonts w:ascii="Calibri" w:hAnsi="Calibri" w:eastAsia="Times New Roman" w:cs="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网格型2"/>
    <w:basedOn w:val="81"/>
    <w:qFormat/>
    <w:locked/>
    <w:uiPriority w:val="0"/>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
    <w:name w:val="Table Normal"/>
    <w:qFormat/>
    <w:uiPriority w:val="0"/>
    <w:pPr>
      <w:widowControl w:val="0"/>
      <w:autoSpaceDE w:val="0"/>
      <w:autoSpaceDN w:val="0"/>
    </w:pPr>
    <w:rPr>
      <w:rFonts w:ascii="Calibri" w:hAnsi="Calibri" w:eastAsia="Times New Roman" w:cs="Times New Roman"/>
      <w:sz w:val="22"/>
      <w:szCs w:val="22"/>
      <w:lang w:eastAsia="en-US"/>
    </w:rPr>
    <w:tblPr>
      <w:tblCellMar>
        <w:top w:w="0" w:type="dxa"/>
        <w:left w:w="0" w:type="dxa"/>
        <w:bottom w:w="0" w:type="dxa"/>
        <w:right w:w="0" w:type="dxa"/>
      </w:tblCellMar>
    </w:tblPr>
  </w:style>
  <w:style w:type="table" w:customStyle="1" w:styleId="175">
    <w:name w:val="SSEC表格样式1"/>
    <w:basedOn w:val="81"/>
    <w:qFormat/>
    <w:uiPriority w:val="99"/>
    <w:pPr>
      <w:adjustRightInd w:val="0"/>
      <w:snapToGrid w:val="0"/>
    </w:pPr>
    <w:rPr>
      <w:rFonts w:ascii="Times New Roman" w:hAnsi="Times New Roman" w:eastAsia="宋体"/>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176">
    <w:name w:val="Table Normal1"/>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77">
    <w:name w:val="Table Paragraph"/>
    <w:basedOn w:val="1"/>
    <w:qFormat/>
    <w:uiPriority w:val="1"/>
    <w:pPr>
      <w:autoSpaceDE w:val="0"/>
      <w:autoSpaceDN w:val="0"/>
      <w:jc w:val="center"/>
    </w:pPr>
    <w:rPr>
      <w:rFonts w:ascii="宋体" w:hAnsi="宋体" w:eastAsia="宋体" w:cs="宋体"/>
      <w:kern w:val="0"/>
      <w:sz w:val="22"/>
      <w:szCs w:val="22"/>
      <w:lang w:val="zh-CN" w:bidi="zh-CN"/>
    </w:rPr>
  </w:style>
  <w:style w:type="table" w:customStyle="1" w:styleId="178">
    <w:name w:val="Table Normal2"/>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79">
    <w:name w:val="STC表头 字符"/>
    <w:basedOn w:val="83"/>
    <w:link w:val="180"/>
    <w:qFormat/>
    <w:locked/>
    <w:uiPriority w:val="0"/>
    <w:rPr>
      <w:rFonts w:cs="宋体" w:asciiTheme="minorEastAsia" w:hAnsiTheme="minorEastAsia"/>
      <w:kern w:val="2"/>
      <w:sz w:val="21"/>
    </w:rPr>
  </w:style>
  <w:style w:type="paragraph" w:customStyle="1" w:styleId="180">
    <w:name w:val="STC表头"/>
    <w:basedOn w:val="1"/>
    <w:link w:val="179"/>
    <w:qFormat/>
    <w:uiPriority w:val="0"/>
    <w:pPr>
      <w:adjustRightInd w:val="0"/>
      <w:snapToGrid w:val="0"/>
      <w:spacing w:beforeLines="50" w:line="360" w:lineRule="auto"/>
      <w:jc w:val="center"/>
    </w:pPr>
    <w:rPr>
      <w:rFonts w:cs="宋体" w:asciiTheme="minorEastAsia" w:hAnsiTheme="minorEastAsia"/>
      <w:szCs w:val="20"/>
    </w:rPr>
  </w:style>
  <w:style w:type="character" w:customStyle="1" w:styleId="181">
    <w:name w:val="STC 正文 字符"/>
    <w:basedOn w:val="83"/>
    <w:link w:val="182"/>
    <w:qFormat/>
    <w:locked/>
    <w:uiPriority w:val="0"/>
    <w:rPr>
      <w:rFonts w:ascii="宋体" w:hAnsi="宋体" w:eastAsia="宋体"/>
      <w:kern w:val="2"/>
      <w:sz w:val="24"/>
      <w:szCs w:val="21"/>
    </w:rPr>
  </w:style>
  <w:style w:type="paragraph" w:customStyle="1" w:styleId="182">
    <w:name w:val="STC 正文"/>
    <w:link w:val="181"/>
    <w:qFormat/>
    <w:uiPriority w:val="0"/>
    <w:pPr>
      <w:widowControl w:val="0"/>
      <w:adjustRightInd w:val="0"/>
      <w:snapToGrid w:val="0"/>
      <w:spacing w:line="328" w:lineRule="auto"/>
      <w:ind w:firstLine="200" w:firstLineChars="200"/>
      <w:jc w:val="both"/>
    </w:pPr>
    <w:rPr>
      <w:rFonts w:ascii="宋体" w:hAnsi="宋体" w:eastAsia="宋体" w:cstheme="minorBidi"/>
      <w:kern w:val="2"/>
      <w:sz w:val="24"/>
      <w:szCs w:val="21"/>
      <w:lang w:val="en-US" w:eastAsia="zh-CN" w:bidi="ar-SA"/>
    </w:rPr>
  </w:style>
  <w:style w:type="character" w:customStyle="1" w:styleId="183">
    <w:name w:val="STC 表格 字符"/>
    <w:link w:val="184"/>
    <w:autoRedefine/>
    <w:qFormat/>
    <w:locked/>
    <w:uiPriority w:val="0"/>
    <w:rPr>
      <w:rFonts w:hAnsi="宋体" w:cs="宋体" w:asciiTheme="majorEastAsia" w:eastAsiaTheme="majorEastAsia"/>
      <w:sz w:val="21"/>
      <w:szCs w:val="21"/>
      <w:lang w:eastAsia="en-US"/>
    </w:rPr>
  </w:style>
  <w:style w:type="paragraph" w:customStyle="1" w:styleId="184">
    <w:name w:val="STC 表格"/>
    <w:basedOn w:val="1"/>
    <w:link w:val="183"/>
    <w:qFormat/>
    <w:uiPriority w:val="0"/>
    <w:pPr>
      <w:adjustRightInd w:val="0"/>
      <w:snapToGrid w:val="0"/>
      <w:jc w:val="center"/>
    </w:pPr>
    <w:rPr>
      <w:rFonts w:hAnsi="宋体" w:cs="宋体" w:asciiTheme="majorEastAsia" w:eastAsiaTheme="majorEastAsia"/>
      <w:kern w:val="0"/>
      <w:lang w:eastAsia="en-US"/>
    </w:rPr>
  </w:style>
  <w:style w:type="table" w:customStyle="1" w:styleId="185">
    <w:name w:val="SSEC表格样式2"/>
    <w:basedOn w:val="81"/>
    <w:qFormat/>
    <w:uiPriority w:val="99"/>
    <w:pPr>
      <w:adjustRightInd w:val="0"/>
      <w:snapToGrid w:val="0"/>
    </w:pPr>
    <w:rPr>
      <w:rFonts w:ascii="Times New Roman" w:hAnsi="Times New Roman" w:eastAsia="宋体" w:cs="Times New Roman"/>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customStyle="1" w:styleId="186">
    <w:name w:val="插图 Char"/>
    <w:link w:val="187"/>
    <w:qFormat/>
    <w:locked/>
    <w:uiPriority w:val="0"/>
    <w:rPr>
      <w:rFonts w:ascii="Times New Roman" w:hAnsi="Times New Roman" w:cs="Times New Roman"/>
    </w:rPr>
  </w:style>
  <w:style w:type="paragraph" w:customStyle="1" w:styleId="187">
    <w:name w:val="插图"/>
    <w:link w:val="186"/>
    <w:qFormat/>
    <w:uiPriority w:val="0"/>
    <w:pPr>
      <w:jc w:val="center"/>
    </w:pPr>
    <w:rPr>
      <w:rFonts w:ascii="Times New Roman" w:hAnsi="Times New Roman" w:cs="Times New Roman" w:eastAsiaTheme="minorEastAsia"/>
      <w:lang w:val="en-US" w:eastAsia="zh-CN" w:bidi="ar-SA"/>
    </w:rPr>
  </w:style>
  <w:style w:type="character" w:customStyle="1" w:styleId="188">
    <w:name w:val="SSEC正文 20150323 Char"/>
    <w:basedOn w:val="83"/>
    <w:link w:val="189"/>
    <w:qFormat/>
    <w:locked/>
    <w:uiPriority w:val="0"/>
    <w:rPr>
      <w:rFonts w:ascii="宋体" w:hAnsi="宋体" w:eastAsia="宋体"/>
      <w:sz w:val="24"/>
      <w:szCs w:val="24"/>
    </w:rPr>
  </w:style>
  <w:style w:type="paragraph" w:customStyle="1" w:styleId="189">
    <w:name w:val="SSEC正文 20150323"/>
    <w:link w:val="188"/>
    <w:qFormat/>
    <w:uiPriority w:val="0"/>
    <w:pPr>
      <w:adjustRightInd w:val="0"/>
      <w:snapToGrid w:val="0"/>
      <w:spacing w:line="326" w:lineRule="auto"/>
      <w:ind w:firstLine="200" w:firstLineChars="200"/>
      <w:jc w:val="both"/>
    </w:pPr>
    <w:rPr>
      <w:rFonts w:ascii="宋体" w:hAnsi="宋体" w:eastAsia="宋体" w:cstheme="minorBidi"/>
      <w:sz w:val="24"/>
      <w:szCs w:val="24"/>
      <w:lang w:val="en-US" w:eastAsia="zh-CN" w:bidi="ar-SA"/>
    </w:rPr>
  </w:style>
  <w:style w:type="paragraph" w:customStyle="1" w:styleId="190">
    <w:name w:val="lxb正文 Char Char Char"/>
    <w:basedOn w:val="1"/>
    <w:next w:val="47"/>
    <w:qFormat/>
    <w:uiPriority w:val="0"/>
    <w:pPr>
      <w:widowControl/>
      <w:spacing w:line="360" w:lineRule="auto"/>
      <w:ind w:firstLine="480" w:firstLineChars="200"/>
      <w:jc w:val="left"/>
    </w:pPr>
    <w:rPr>
      <w:rFonts w:ascii="Times New Roman" w:hAnsi="Times New Roman" w:eastAsia="华文楷体" w:cs="宋体"/>
      <w:snapToGrid w:val="0"/>
      <w:kern w:val="0"/>
      <w:sz w:val="24"/>
      <w:szCs w:val="24"/>
    </w:rPr>
  </w:style>
  <w:style w:type="table" w:customStyle="1" w:styleId="191">
    <w:name w:val="Table Normal3"/>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92">
    <w:name w:val="Table Normal4"/>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93">
    <w:name w:val="Table Normal5"/>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94">
    <w:name w:val="AF-表中表 字符"/>
    <w:link w:val="195"/>
    <w:qFormat/>
    <w:uiPriority w:val="0"/>
    <w:rPr>
      <w:sz w:val="18"/>
      <w:szCs w:val="21"/>
    </w:rPr>
  </w:style>
  <w:style w:type="paragraph" w:customStyle="1" w:styleId="195">
    <w:name w:val="AF-表中表"/>
    <w:basedOn w:val="1"/>
    <w:link w:val="194"/>
    <w:qFormat/>
    <w:uiPriority w:val="0"/>
    <w:pPr>
      <w:widowControl/>
      <w:adjustRightInd w:val="0"/>
      <w:snapToGrid w:val="0"/>
      <w:jc w:val="center"/>
    </w:pPr>
    <w:rPr>
      <w:kern w:val="0"/>
      <w:sz w:val="18"/>
    </w:rPr>
  </w:style>
  <w:style w:type="paragraph" w:customStyle="1" w:styleId="196">
    <w:name w:val="A报告正文"/>
    <w:link w:val="197"/>
    <w:qFormat/>
    <w:uiPriority w:val="0"/>
    <w:pPr>
      <w:widowControl w:val="0"/>
      <w:spacing w:line="360" w:lineRule="auto"/>
      <w:ind w:firstLine="480" w:firstLineChars="200"/>
      <w:jc w:val="both"/>
    </w:pPr>
    <w:rPr>
      <w:rFonts w:ascii="Times New Roman" w:hAnsi="Times New Roman" w:eastAsia="宋体" w:cs="微软雅黑"/>
      <w:kern w:val="2"/>
      <w:sz w:val="24"/>
      <w:szCs w:val="22"/>
      <w:lang w:val="en-US" w:eastAsia="zh-CN" w:bidi="ar-SA"/>
    </w:rPr>
  </w:style>
  <w:style w:type="character" w:customStyle="1" w:styleId="197">
    <w:name w:val="A报告正文 Char"/>
    <w:link w:val="196"/>
    <w:qFormat/>
    <w:uiPriority w:val="0"/>
    <w:rPr>
      <w:rFonts w:ascii="Times New Roman" w:hAnsi="Times New Roman" w:eastAsia="宋体" w:cs="微软雅黑"/>
      <w:kern w:val="2"/>
      <w:sz w:val="24"/>
      <w:szCs w:val="22"/>
    </w:rPr>
  </w:style>
  <w:style w:type="paragraph" w:customStyle="1" w:styleId="198">
    <w:name w:val="A图表名"/>
    <w:link w:val="199"/>
    <w:qFormat/>
    <w:uiPriority w:val="0"/>
    <w:pPr>
      <w:widowControl w:val="0"/>
      <w:spacing w:line="360" w:lineRule="auto"/>
      <w:jc w:val="center"/>
    </w:pPr>
    <w:rPr>
      <w:rFonts w:ascii="Times New Roman" w:hAnsi="Times New Roman" w:eastAsia="黑体" w:cs="微软雅黑"/>
      <w:kern w:val="21"/>
      <w:sz w:val="24"/>
      <w:lang w:val="en-US" w:eastAsia="zh-CN" w:bidi="ar-SA"/>
    </w:rPr>
  </w:style>
  <w:style w:type="character" w:customStyle="1" w:styleId="199">
    <w:name w:val="A图表名 Char"/>
    <w:link w:val="198"/>
    <w:qFormat/>
    <w:uiPriority w:val="0"/>
    <w:rPr>
      <w:rFonts w:ascii="Times New Roman" w:hAnsi="Times New Roman" w:eastAsia="黑体" w:cs="微软雅黑"/>
      <w:kern w:val="21"/>
      <w:sz w:val="24"/>
    </w:rPr>
  </w:style>
  <w:style w:type="paragraph" w:customStyle="1" w:styleId="200">
    <w:name w:val="A表内"/>
    <w:link w:val="201"/>
    <w:qFormat/>
    <w:uiPriority w:val="0"/>
    <w:pPr>
      <w:widowControl w:val="0"/>
      <w:jc w:val="center"/>
    </w:pPr>
    <w:rPr>
      <w:rFonts w:ascii="Times New Roman" w:hAnsi="Times New Roman" w:eastAsia="宋体" w:cs="微软雅黑"/>
      <w:kern w:val="2"/>
      <w:sz w:val="21"/>
      <w:szCs w:val="21"/>
      <w:lang w:val="en-US" w:eastAsia="zh-CN" w:bidi="ar-SA"/>
    </w:rPr>
  </w:style>
  <w:style w:type="character" w:customStyle="1" w:styleId="201">
    <w:name w:val="A表内 Char"/>
    <w:link w:val="200"/>
    <w:qFormat/>
    <w:uiPriority w:val="0"/>
    <w:rPr>
      <w:rFonts w:ascii="Times New Roman" w:hAnsi="Times New Roman" w:eastAsia="宋体" w:cs="微软雅黑"/>
      <w:kern w:val="2"/>
      <w:sz w:val="21"/>
      <w:szCs w:val="21"/>
    </w:rPr>
  </w:style>
  <w:style w:type="paragraph" w:customStyle="1" w:styleId="202">
    <w:name w:val="Default"/>
    <w:basedOn w:val="1"/>
    <w:next w:val="1"/>
    <w:qFormat/>
    <w:uiPriority w:val="99"/>
    <w:pPr>
      <w:autoSpaceDE w:val="0"/>
      <w:autoSpaceDN w:val="0"/>
      <w:adjustRightInd w:val="0"/>
      <w:snapToGrid w:val="0"/>
      <w:spacing w:beforeLines="50" w:afterLines="20" w:line="380" w:lineRule="exact"/>
      <w:jc w:val="center"/>
    </w:pPr>
    <w:rPr>
      <w:rFonts w:ascii="Sim Sun" w:hAnsi="Times New Roman" w:eastAsia="Sim Sun" w:cs="Times New Roman"/>
      <w:b/>
      <w:snapToGrid w:val="0"/>
      <w:color w:val="000000"/>
      <w:sz w:val="24"/>
      <w:szCs w:val="24"/>
    </w:rPr>
  </w:style>
  <w:style w:type="table" w:customStyle="1" w:styleId="203">
    <w:name w:val="Table Normal6"/>
    <w:basedOn w:val="81"/>
    <w:qFormat/>
    <w:uiPriority w:val="0"/>
    <w:rPr>
      <w:rFonts w:ascii="Times New Roman" w:hAnsi="Times New Roman" w:eastAsia="Times New Roman" w:cs="Times New Roman"/>
    </w:rPr>
    <w:tblPr>
      <w:tblCellMar>
        <w:left w:w="0" w:type="dxa"/>
        <w:right w:w="0" w:type="dxa"/>
      </w:tblCellMar>
    </w:tblPr>
  </w:style>
  <w:style w:type="table" w:customStyle="1" w:styleId="204">
    <w:name w:val="Table Normal7"/>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205">
    <w:name w:val="Table Normal8"/>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206">
    <w:name w:val="未处理的提及1"/>
    <w:basedOn w:val="83"/>
    <w:semiHidden/>
    <w:unhideWhenUsed/>
    <w:qFormat/>
    <w:uiPriority w:val="99"/>
    <w:rPr>
      <w:color w:val="605E5C"/>
      <w:shd w:val="clear" w:color="auto" w:fill="E1DFDD"/>
    </w:rPr>
  </w:style>
  <w:style w:type="paragraph" w:customStyle="1" w:styleId="207">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8">
    <w:name w:val="AG-表 标题 字符"/>
    <w:link w:val="209"/>
    <w:qFormat/>
    <w:locked/>
    <w:uiPriority w:val="0"/>
    <w:rPr>
      <w:rFonts w:ascii="黑体" w:hAnsi="黑体" w:eastAsia="黑体"/>
      <w:sz w:val="21"/>
      <w:szCs w:val="24"/>
    </w:rPr>
  </w:style>
  <w:style w:type="paragraph" w:customStyle="1" w:styleId="209">
    <w:name w:val="AG-表 标题"/>
    <w:basedOn w:val="1"/>
    <w:link w:val="208"/>
    <w:qFormat/>
    <w:uiPriority w:val="0"/>
    <w:pPr>
      <w:widowControl/>
      <w:tabs>
        <w:tab w:val="center" w:pos="4200"/>
        <w:tab w:val="right" w:pos="8400"/>
      </w:tabs>
      <w:adjustRightInd w:val="0"/>
      <w:snapToGrid w:val="0"/>
      <w:spacing w:line="360" w:lineRule="auto"/>
      <w:jc w:val="center"/>
    </w:pPr>
    <w:rPr>
      <w:rFonts w:ascii="黑体" w:hAnsi="黑体" w:eastAsia="黑体"/>
      <w:kern w:val="0"/>
      <w:szCs w:val="24"/>
    </w:rPr>
  </w:style>
  <w:style w:type="table" w:customStyle="1" w:styleId="210">
    <w:name w:val="网格型3"/>
    <w:basedOn w:val="81"/>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网格型4"/>
    <w:basedOn w:val="81"/>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
    <w:name w:val="Table Normal9"/>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213">
    <w:name w:val="Table Normal10"/>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214">
    <w:name w:val="Table Normal11"/>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215">
    <w:name w:val="text_qs7xs"/>
    <w:basedOn w:val="83"/>
    <w:qFormat/>
    <w:uiPriority w:val="0"/>
  </w:style>
  <w:style w:type="character" w:customStyle="1" w:styleId="216">
    <w:name w:val="正文文本首行缩进 字符2"/>
    <w:basedOn w:val="217"/>
    <w:link w:val="79"/>
    <w:qFormat/>
    <w:uiPriority w:val="0"/>
    <w:rPr>
      <w:rFonts w:ascii="Calibri" w:hAnsi="Calibri" w:eastAsia="宋体" w:cs="Times New Roman"/>
      <w:color w:val="000000"/>
      <w:kern w:val="2"/>
      <w:sz w:val="24"/>
      <w:szCs w:val="22"/>
    </w:rPr>
  </w:style>
  <w:style w:type="character" w:customStyle="1" w:styleId="217">
    <w:name w:val="正文文本 字符5"/>
    <w:qFormat/>
    <w:uiPriority w:val="1"/>
    <w:rPr>
      <w:color w:val="000000"/>
      <w:kern w:val="2"/>
      <w:sz w:val="24"/>
      <w:szCs w:val="22"/>
    </w:rPr>
  </w:style>
  <w:style w:type="character" w:customStyle="1" w:styleId="218">
    <w:name w:val="正文文本首行缩进 字符"/>
    <w:basedOn w:val="113"/>
    <w:qFormat/>
    <w:uiPriority w:val="0"/>
    <w:rPr>
      <w:kern w:val="2"/>
      <w:sz w:val="21"/>
      <w:szCs w:val="21"/>
    </w:rPr>
  </w:style>
  <w:style w:type="character" w:customStyle="1" w:styleId="219">
    <w:name w:val="宏文本 字符"/>
    <w:basedOn w:val="83"/>
    <w:link w:val="2"/>
    <w:qFormat/>
    <w:uiPriority w:val="0"/>
    <w:rPr>
      <w:rFonts w:ascii="Courier New" w:hAnsi="Courier New" w:eastAsia="宋体" w:cs="Courier New"/>
      <w:kern w:val="2"/>
      <w:sz w:val="24"/>
      <w:szCs w:val="24"/>
    </w:rPr>
  </w:style>
  <w:style w:type="character" w:customStyle="1" w:styleId="220">
    <w:name w:val="正文缩进 字符3"/>
    <w:link w:val="21"/>
    <w:qFormat/>
    <w:uiPriority w:val="0"/>
    <w:rPr>
      <w:rFonts w:ascii="Calibri" w:hAnsi="Calibri" w:eastAsia="宋体" w:cs="Times New Roman"/>
      <w:sz w:val="28"/>
    </w:rPr>
  </w:style>
  <w:style w:type="character" w:customStyle="1" w:styleId="221">
    <w:name w:val="注释标题 字符"/>
    <w:basedOn w:val="83"/>
    <w:link w:val="17"/>
    <w:qFormat/>
    <w:uiPriority w:val="0"/>
    <w:rPr>
      <w:rFonts w:ascii="Times New Roman" w:hAnsi="Times New Roman" w:eastAsia="宋体" w:cs="Times New Roman"/>
    </w:rPr>
  </w:style>
  <w:style w:type="character" w:customStyle="1" w:styleId="222">
    <w:name w:val="电子邮件签名 字符5"/>
    <w:link w:val="19"/>
    <w:qFormat/>
    <w:uiPriority w:val="0"/>
    <w:rPr>
      <w:rFonts w:ascii="仿宋_GB2312" w:hAnsi="Times New Roman" w:eastAsia="仿宋_GB2312" w:cs="Times New Roman"/>
      <w:sz w:val="28"/>
    </w:rPr>
  </w:style>
  <w:style w:type="character" w:customStyle="1" w:styleId="223">
    <w:name w:val="电子邮件签名 字符"/>
    <w:basedOn w:val="83"/>
    <w:qFormat/>
    <w:uiPriority w:val="0"/>
    <w:rPr>
      <w:kern w:val="2"/>
      <w:sz w:val="21"/>
      <w:szCs w:val="21"/>
    </w:rPr>
  </w:style>
  <w:style w:type="character" w:customStyle="1" w:styleId="224">
    <w:name w:val="文档结构图 字符2"/>
    <w:link w:val="25"/>
    <w:qFormat/>
    <w:uiPriority w:val="99"/>
    <w:rPr>
      <w:rFonts w:ascii="Times New Roman" w:hAnsi="Times New Roman" w:eastAsia="宋体" w:cs="Times New Roman"/>
      <w:szCs w:val="24"/>
      <w:shd w:val="clear" w:color="auto" w:fill="000080"/>
    </w:rPr>
  </w:style>
  <w:style w:type="character" w:customStyle="1" w:styleId="225">
    <w:name w:val="文档结构图 字符"/>
    <w:basedOn w:val="83"/>
    <w:qFormat/>
    <w:uiPriority w:val="0"/>
    <w:rPr>
      <w:rFonts w:ascii="Microsoft YaHei UI" w:eastAsia="Microsoft YaHei UI"/>
      <w:kern w:val="2"/>
      <w:sz w:val="18"/>
      <w:szCs w:val="18"/>
    </w:rPr>
  </w:style>
  <w:style w:type="character" w:customStyle="1" w:styleId="226">
    <w:name w:val="称呼 字符"/>
    <w:basedOn w:val="83"/>
    <w:link w:val="28"/>
    <w:qFormat/>
    <w:uiPriority w:val="0"/>
    <w:rPr>
      <w:rFonts w:ascii="Times New Roman" w:hAnsi="Times New Roman" w:eastAsia="楷体_GB2312" w:cs="Times New Roman"/>
      <w:color w:val="000000"/>
      <w:kern w:val="28"/>
      <w:sz w:val="28"/>
    </w:rPr>
  </w:style>
  <w:style w:type="character" w:customStyle="1" w:styleId="227">
    <w:name w:val="正文文本 3 字符1"/>
    <w:link w:val="29"/>
    <w:qFormat/>
    <w:uiPriority w:val="0"/>
    <w:rPr>
      <w:rFonts w:ascii="宋体" w:hAnsi="宋体" w:eastAsia="宋体" w:cs="Times New Roman"/>
      <w:color w:val="006600"/>
      <w:kern w:val="16"/>
      <w:sz w:val="24"/>
      <w:szCs w:val="24"/>
    </w:rPr>
  </w:style>
  <w:style w:type="character" w:customStyle="1" w:styleId="228">
    <w:name w:val="正文文本 3 字符"/>
    <w:basedOn w:val="83"/>
    <w:qFormat/>
    <w:uiPriority w:val="0"/>
    <w:rPr>
      <w:kern w:val="2"/>
      <w:sz w:val="16"/>
      <w:szCs w:val="16"/>
    </w:rPr>
  </w:style>
  <w:style w:type="character" w:customStyle="1" w:styleId="229">
    <w:name w:val="结束语 字符"/>
    <w:basedOn w:val="83"/>
    <w:link w:val="30"/>
    <w:qFormat/>
    <w:uiPriority w:val="0"/>
    <w:rPr>
      <w:rFonts w:ascii="仿宋_GB2312" w:hAnsi="Times New Roman" w:eastAsia="仿宋_GB2312" w:cs="Times New Roman"/>
      <w:sz w:val="28"/>
    </w:rPr>
  </w:style>
  <w:style w:type="character" w:customStyle="1" w:styleId="230">
    <w:name w:val="HTML 地址 字符"/>
    <w:basedOn w:val="83"/>
    <w:link w:val="39"/>
    <w:qFormat/>
    <w:uiPriority w:val="0"/>
    <w:rPr>
      <w:rFonts w:ascii="Times New Roman" w:hAnsi="Times New Roman" w:eastAsia="宋体" w:cs="Times New Roman"/>
      <w:i/>
      <w:iCs/>
    </w:rPr>
  </w:style>
  <w:style w:type="character" w:customStyle="1" w:styleId="231">
    <w:name w:val="日期 字符4"/>
    <w:link w:val="46"/>
    <w:qFormat/>
    <w:uiPriority w:val="99"/>
    <w:rPr>
      <w:rFonts w:ascii="Calibri" w:hAnsi="Calibri" w:eastAsia="宋体" w:cs="Times New Roman"/>
    </w:rPr>
  </w:style>
  <w:style w:type="character" w:customStyle="1" w:styleId="232">
    <w:name w:val="日期 字符"/>
    <w:basedOn w:val="83"/>
    <w:qFormat/>
    <w:uiPriority w:val="0"/>
    <w:rPr>
      <w:kern w:val="2"/>
      <w:sz w:val="21"/>
      <w:szCs w:val="21"/>
    </w:rPr>
  </w:style>
  <w:style w:type="character" w:customStyle="1" w:styleId="233">
    <w:name w:val="尾注文本 字符4"/>
    <w:link w:val="48"/>
    <w:qFormat/>
    <w:uiPriority w:val="0"/>
    <w:rPr>
      <w:rFonts w:ascii="Calibri" w:hAnsi="Calibri" w:eastAsia="宋体" w:cs="Times New Roman"/>
      <w:sz w:val="24"/>
    </w:rPr>
  </w:style>
  <w:style w:type="character" w:customStyle="1" w:styleId="234">
    <w:name w:val="尾注文本 字符"/>
    <w:basedOn w:val="83"/>
    <w:qFormat/>
    <w:uiPriority w:val="0"/>
    <w:rPr>
      <w:kern w:val="2"/>
      <w:sz w:val="21"/>
      <w:szCs w:val="21"/>
    </w:rPr>
  </w:style>
  <w:style w:type="character" w:customStyle="1" w:styleId="235">
    <w:name w:val="签名 字符"/>
    <w:basedOn w:val="83"/>
    <w:link w:val="54"/>
    <w:qFormat/>
    <w:uiPriority w:val="0"/>
    <w:rPr>
      <w:rFonts w:ascii="仿宋_GB2312" w:hAnsi="Times New Roman" w:eastAsia="仿宋_GB2312" w:cs="Times New Roman"/>
      <w:sz w:val="28"/>
    </w:rPr>
  </w:style>
  <w:style w:type="character" w:customStyle="1" w:styleId="236">
    <w:name w:val="副标题 字符"/>
    <w:basedOn w:val="83"/>
    <w:link w:val="58"/>
    <w:qFormat/>
    <w:uiPriority w:val="0"/>
    <w:rPr>
      <w:rFonts w:ascii="Calibri Light" w:hAnsi="Calibri Light" w:eastAsia="宋体" w:cs="宋体"/>
      <w:b/>
      <w:bCs/>
      <w:kern w:val="28"/>
      <w:sz w:val="32"/>
      <w:szCs w:val="32"/>
    </w:rPr>
  </w:style>
  <w:style w:type="character" w:customStyle="1" w:styleId="237">
    <w:name w:val="列表 字符"/>
    <w:link w:val="60"/>
    <w:qFormat/>
    <w:uiPriority w:val="0"/>
    <w:rPr>
      <w:rFonts w:ascii="黑体" w:hAnsi="Times New Roman" w:eastAsia="黑体" w:cs="Times New Roman"/>
      <w:kern w:val="2"/>
      <w:sz w:val="24"/>
      <w:szCs w:val="24"/>
    </w:rPr>
  </w:style>
  <w:style w:type="character" w:customStyle="1" w:styleId="238">
    <w:name w:val="脚注文本 字符4"/>
    <w:link w:val="61"/>
    <w:qFormat/>
    <w:uiPriority w:val="99"/>
    <w:rPr>
      <w:rFonts w:ascii="Times New Roman" w:hAnsi="Times New Roman" w:eastAsia="宋体" w:cs="Times New Roman"/>
      <w:sz w:val="16"/>
    </w:rPr>
  </w:style>
  <w:style w:type="character" w:customStyle="1" w:styleId="239">
    <w:name w:val="脚注文本 字符"/>
    <w:basedOn w:val="83"/>
    <w:qFormat/>
    <w:uiPriority w:val="0"/>
    <w:rPr>
      <w:kern w:val="2"/>
      <w:sz w:val="18"/>
      <w:szCs w:val="18"/>
    </w:rPr>
  </w:style>
  <w:style w:type="character" w:customStyle="1" w:styleId="240">
    <w:name w:val="正文文本缩进 3 字符1"/>
    <w:link w:val="65"/>
    <w:qFormat/>
    <w:uiPriority w:val="0"/>
    <w:rPr>
      <w:rFonts w:ascii="Times New Roman" w:hAnsi="Times New Roman" w:eastAsia="宋体" w:cs="Times New Roman"/>
      <w:sz w:val="16"/>
      <w:szCs w:val="16"/>
    </w:rPr>
  </w:style>
  <w:style w:type="character" w:customStyle="1" w:styleId="241">
    <w:name w:val="正文文本缩进 3 字符"/>
    <w:basedOn w:val="83"/>
    <w:qFormat/>
    <w:uiPriority w:val="0"/>
    <w:rPr>
      <w:kern w:val="2"/>
      <w:sz w:val="16"/>
      <w:szCs w:val="16"/>
    </w:rPr>
  </w:style>
  <w:style w:type="character" w:customStyle="1" w:styleId="242">
    <w:name w:val="正文文本 2 字符1"/>
    <w:link w:val="69"/>
    <w:qFormat/>
    <w:uiPriority w:val="99"/>
    <w:rPr>
      <w:rFonts w:ascii="Times New Roman" w:hAnsi="Times New Roman" w:eastAsia="宋体" w:cs="Times New Roman"/>
      <w:sz w:val="24"/>
      <w:szCs w:val="24"/>
    </w:rPr>
  </w:style>
  <w:style w:type="character" w:customStyle="1" w:styleId="243">
    <w:name w:val="正文文本 2 字符"/>
    <w:basedOn w:val="83"/>
    <w:qFormat/>
    <w:uiPriority w:val="0"/>
    <w:rPr>
      <w:kern w:val="2"/>
      <w:sz w:val="21"/>
      <w:szCs w:val="21"/>
    </w:rPr>
  </w:style>
  <w:style w:type="character" w:customStyle="1" w:styleId="244">
    <w:name w:val="信息标题 字符"/>
    <w:basedOn w:val="83"/>
    <w:link w:val="72"/>
    <w:qFormat/>
    <w:uiPriority w:val="0"/>
    <w:rPr>
      <w:rFonts w:ascii="Arial" w:hAnsi="Arial" w:eastAsia="仿宋_GB2312" w:cs="Times New Roman"/>
      <w:sz w:val="24"/>
      <w:shd w:val="pct20" w:color="auto" w:fill="auto"/>
    </w:rPr>
  </w:style>
  <w:style w:type="character" w:customStyle="1" w:styleId="245">
    <w:name w:val="HTML 预设格式 字符4"/>
    <w:link w:val="73"/>
    <w:qFormat/>
    <w:uiPriority w:val="99"/>
    <w:rPr>
      <w:rFonts w:ascii="Arial" w:hAnsi="Arial" w:eastAsia="宋体" w:cs="Times New Roman"/>
      <w:sz w:val="19"/>
      <w:szCs w:val="19"/>
    </w:rPr>
  </w:style>
  <w:style w:type="character" w:customStyle="1" w:styleId="246">
    <w:name w:val="HTML 预设格式 字符"/>
    <w:basedOn w:val="83"/>
    <w:qFormat/>
    <w:uiPriority w:val="0"/>
    <w:rPr>
      <w:rFonts w:ascii="Courier New" w:hAnsi="Courier New" w:cs="Courier New"/>
      <w:kern w:val="2"/>
    </w:rPr>
  </w:style>
  <w:style w:type="paragraph" w:customStyle="1" w:styleId="247">
    <w:name w:val="表格内"/>
    <w:basedOn w:val="60"/>
    <w:link w:val="248"/>
    <w:qFormat/>
    <w:uiPriority w:val="0"/>
    <w:pPr>
      <w:snapToGrid w:val="0"/>
      <w:spacing w:line="360" w:lineRule="exact"/>
      <w:jc w:val="center"/>
    </w:pPr>
    <w:rPr>
      <w:rFonts w:ascii="Calibri" w:hAnsi="Calibri"/>
      <w:sz w:val="21"/>
      <w:szCs w:val="21"/>
    </w:rPr>
  </w:style>
  <w:style w:type="character" w:customStyle="1" w:styleId="248">
    <w:name w:val="表格内 Char"/>
    <w:link w:val="247"/>
    <w:qFormat/>
    <w:uiPriority w:val="0"/>
    <w:rPr>
      <w:rFonts w:ascii="Calibri" w:hAnsi="Calibri" w:eastAsia="黑体" w:cs="Times New Roman"/>
      <w:kern w:val="2"/>
      <w:sz w:val="21"/>
      <w:szCs w:val="21"/>
    </w:rPr>
  </w:style>
  <w:style w:type="paragraph" w:customStyle="1" w:styleId="249">
    <w:name w:val="表头"/>
    <w:basedOn w:val="67"/>
    <w:next w:val="1"/>
    <w:link w:val="250"/>
    <w:qFormat/>
    <w:uiPriority w:val="0"/>
    <w:pPr>
      <w:widowControl w:val="0"/>
      <w:tabs>
        <w:tab w:val="clear" w:pos="8302"/>
      </w:tabs>
      <w:adjustRightInd/>
      <w:spacing w:line="240" w:lineRule="auto"/>
      <w:ind w:left="210" w:leftChars="0"/>
      <w:jc w:val="center"/>
    </w:pPr>
    <w:rPr>
      <w:rFonts w:ascii="Calibri" w:hAnsi="Calibri" w:eastAsia="黑体" w:cs="Times New Roman"/>
      <w:iCs w:val="0"/>
      <w:smallCaps/>
      <w:sz w:val="20"/>
    </w:rPr>
  </w:style>
  <w:style w:type="character" w:customStyle="1" w:styleId="250">
    <w:name w:val="表头 Char"/>
    <w:link w:val="249"/>
    <w:qFormat/>
    <w:uiPriority w:val="0"/>
    <w:rPr>
      <w:rFonts w:ascii="Calibri" w:hAnsi="Calibri" w:eastAsia="黑体" w:cs="Times New Roman"/>
      <w:smallCaps/>
      <w:kern w:val="2"/>
    </w:rPr>
  </w:style>
  <w:style w:type="paragraph" w:customStyle="1" w:styleId="251">
    <w:name w:val="表名1"/>
    <w:basedOn w:val="252"/>
    <w:qFormat/>
    <w:uiPriority w:val="99"/>
  </w:style>
  <w:style w:type="paragraph" w:customStyle="1" w:styleId="252">
    <w:name w:val="报告"/>
    <w:basedOn w:val="1"/>
    <w:qFormat/>
    <w:uiPriority w:val="99"/>
    <w:pPr>
      <w:autoSpaceDE w:val="0"/>
      <w:autoSpaceDN w:val="0"/>
      <w:adjustRightInd w:val="0"/>
      <w:spacing w:line="360" w:lineRule="auto"/>
      <w:ind w:firstLine="505"/>
      <w:jc w:val="left"/>
      <w:textAlignment w:val="baseline"/>
    </w:pPr>
    <w:rPr>
      <w:rFonts w:ascii="Times New Roman" w:hAnsi="Times New Roman" w:eastAsia="宋体" w:cs="Times New Roman"/>
      <w:kern w:val="0"/>
      <w:sz w:val="24"/>
      <w:szCs w:val="20"/>
    </w:rPr>
  </w:style>
  <w:style w:type="character" w:customStyle="1" w:styleId="253">
    <w:name w:val="标题 1 字符2"/>
    <w:qFormat/>
    <w:uiPriority w:val="0"/>
    <w:rPr>
      <w:rFonts w:ascii="Calibri" w:hAnsi="Calibri" w:eastAsia="黑体"/>
      <w:kern w:val="2"/>
      <w:sz w:val="32"/>
      <w:szCs w:val="22"/>
    </w:rPr>
  </w:style>
  <w:style w:type="character" w:customStyle="1" w:styleId="254">
    <w:name w:val="标题 2 字符1"/>
    <w:qFormat/>
    <w:uiPriority w:val="0"/>
    <w:rPr>
      <w:rFonts w:ascii="Calibri" w:hAnsi="Calibri" w:eastAsia="黑体"/>
      <w:bCs/>
      <w:sz w:val="28"/>
      <w:szCs w:val="32"/>
    </w:rPr>
  </w:style>
  <w:style w:type="character" w:customStyle="1" w:styleId="255">
    <w:name w:val="标题 3 字符5"/>
    <w:qFormat/>
    <w:uiPriority w:val="9"/>
    <w:rPr>
      <w:rFonts w:ascii="Times New Roman" w:hAnsi="Times New Roman" w:eastAsia="黑体"/>
      <w:bCs/>
      <w:szCs w:val="32"/>
    </w:rPr>
  </w:style>
  <w:style w:type="character" w:customStyle="1" w:styleId="256">
    <w:name w:val="标题 4 字符4"/>
    <w:qFormat/>
    <w:uiPriority w:val="9"/>
    <w:rPr>
      <w:rFonts w:ascii="Times New Roman" w:hAnsi="Times New Roman" w:cs="宋体"/>
      <w:sz w:val="24"/>
      <w:lang w:val="zh-CN"/>
    </w:rPr>
  </w:style>
  <w:style w:type="character" w:customStyle="1" w:styleId="257">
    <w:name w:val="标题 5 字符1"/>
    <w:basedOn w:val="83"/>
    <w:qFormat/>
    <w:uiPriority w:val="9"/>
    <w:rPr>
      <w:rFonts w:ascii="仿宋_GB2312" w:hAnsi="Times New Roman" w:eastAsia="仿宋_GB2312"/>
      <w:b/>
      <w:bCs/>
      <w:sz w:val="28"/>
      <w:szCs w:val="28"/>
    </w:rPr>
  </w:style>
  <w:style w:type="character" w:customStyle="1" w:styleId="258">
    <w:name w:val="标题 6 字符3"/>
    <w:basedOn w:val="83"/>
    <w:qFormat/>
    <w:uiPriority w:val="9"/>
    <w:rPr>
      <w:rFonts w:ascii="Times New Roman" w:hAnsi="Times New Roman"/>
      <w:b/>
      <w:bCs/>
      <w:kern w:val="2"/>
      <w:sz w:val="24"/>
    </w:rPr>
  </w:style>
  <w:style w:type="character" w:customStyle="1" w:styleId="259">
    <w:name w:val="标题 7 字符1"/>
    <w:basedOn w:val="83"/>
    <w:qFormat/>
    <w:uiPriority w:val="9"/>
    <w:rPr>
      <w:rFonts w:ascii="Times New Roman" w:hAnsi="Times New Roman"/>
      <w:b/>
      <w:bCs/>
      <w:kern w:val="2"/>
      <w:sz w:val="28"/>
      <w:szCs w:val="28"/>
    </w:rPr>
  </w:style>
  <w:style w:type="character" w:customStyle="1" w:styleId="260">
    <w:name w:val="标题 8 字符1"/>
    <w:qFormat/>
    <w:uiPriority w:val="99"/>
    <w:rPr>
      <w:rFonts w:ascii="Times New Roman" w:hAnsi="Times New Roman"/>
      <w:b/>
      <w:bCs/>
      <w:kern w:val="2"/>
      <w:sz w:val="28"/>
      <w:szCs w:val="28"/>
    </w:rPr>
  </w:style>
  <w:style w:type="character" w:customStyle="1" w:styleId="261">
    <w:name w:val="标题 9 字符4"/>
    <w:basedOn w:val="83"/>
    <w:qFormat/>
    <w:uiPriority w:val="9"/>
    <w:rPr>
      <w:rFonts w:ascii="Arial" w:hAnsi="Arial" w:eastAsia="黑体"/>
      <w:sz w:val="28"/>
      <w:szCs w:val="21"/>
    </w:rPr>
  </w:style>
  <w:style w:type="character" w:customStyle="1" w:styleId="262">
    <w:name w:val="批注文字 字符7"/>
    <w:basedOn w:val="83"/>
    <w:qFormat/>
    <w:uiPriority w:val="0"/>
    <w:rPr>
      <w:sz w:val="24"/>
      <w:szCs w:val="22"/>
    </w:rPr>
  </w:style>
  <w:style w:type="character" w:customStyle="1" w:styleId="263">
    <w:name w:val="正文文本缩进 字符1"/>
    <w:basedOn w:val="83"/>
    <w:qFormat/>
    <w:uiPriority w:val="0"/>
    <w:rPr>
      <w:rFonts w:ascii="仿宋_GB2312" w:eastAsia="仿宋_GB2312"/>
      <w:spacing w:val="-2"/>
    </w:rPr>
  </w:style>
  <w:style w:type="character" w:customStyle="1" w:styleId="264">
    <w:name w:val="纯文本 字符1"/>
    <w:qFormat/>
    <w:uiPriority w:val="0"/>
    <w:rPr>
      <w:rFonts w:ascii="宋体" w:hAnsi="Courier New"/>
      <w:kern w:val="2"/>
      <w:sz w:val="21"/>
      <w:szCs w:val="22"/>
    </w:rPr>
  </w:style>
  <w:style w:type="character" w:customStyle="1" w:styleId="265">
    <w:name w:val="正文文本缩进 2 字符1"/>
    <w:qFormat/>
    <w:uiPriority w:val="0"/>
    <w:rPr>
      <w:rFonts w:ascii="Times New Roman" w:hAnsi="Times New Roman"/>
      <w:szCs w:val="24"/>
    </w:rPr>
  </w:style>
  <w:style w:type="character" w:customStyle="1" w:styleId="266">
    <w:name w:val="批注框文本 字符3"/>
    <w:basedOn w:val="83"/>
    <w:qFormat/>
    <w:uiPriority w:val="0"/>
    <w:rPr>
      <w:rFonts w:ascii="宋体" w:hAnsi="宋体" w:cs="宋体"/>
      <w:sz w:val="18"/>
      <w:szCs w:val="18"/>
    </w:rPr>
  </w:style>
  <w:style w:type="character" w:customStyle="1" w:styleId="267">
    <w:name w:val="页脚 字符4"/>
    <w:qFormat/>
    <w:uiPriority w:val="0"/>
    <w:rPr>
      <w:kern w:val="2"/>
      <w:sz w:val="18"/>
      <w:szCs w:val="18"/>
    </w:rPr>
  </w:style>
  <w:style w:type="character" w:customStyle="1" w:styleId="268">
    <w:name w:val="页眉 字符1"/>
    <w:qFormat/>
    <w:uiPriority w:val="0"/>
    <w:rPr>
      <w:kern w:val="2"/>
      <w:sz w:val="18"/>
      <w:szCs w:val="18"/>
    </w:rPr>
  </w:style>
  <w:style w:type="character" w:customStyle="1" w:styleId="269">
    <w:name w:val="普通(网站) 字符1"/>
    <w:qFormat/>
    <w:uiPriority w:val="99"/>
    <w:rPr>
      <w:rFonts w:ascii="宋体" w:hAnsi="宋体" w:cs="宋体"/>
      <w:sz w:val="24"/>
      <w:szCs w:val="24"/>
    </w:rPr>
  </w:style>
  <w:style w:type="character" w:customStyle="1" w:styleId="270">
    <w:name w:val="标题 字符4"/>
    <w:qFormat/>
    <w:uiPriority w:val="0"/>
    <w:rPr>
      <w:rFonts w:ascii="Arial" w:hAnsi="Arial"/>
      <w:b/>
      <w:sz w:val="32"/>
    </w:rPr>
  </w:style>
  <w:style w:type="character" w:customStyle="1" w:styleId="271">
    <w:name w:val="批注主题 字符4"/>
    <w:basedOn w:val="262"/>
    <w:qFormat/>
    <w:uiPriority w:val="0"/>
    <w:rPr>
      <w:rFonts w:ascii="宋体" w:hAnsi="宋体" w:cs="宋体"/>
      <w:b/>
      <w:bCs/>
      <w:sz w:val="24"/>
      <w:szCs w:val="24"/>
    </w:rPr>
  </w:style>
  <w:style w:type="character" w:customStyle="1" w:styleId="272">
    <w:name w:val="正文文本首行缩进 2 字符1"/>
    <w:qFormat/>
    <w:uiPriority w:val="0"/>
    <w:rPr>
      <w:rFonts w:ascii="仿宋_GB2312" w:hAnsi="Times New Roman" w:eastAsia="仿宋_GB2312"/>
      <w:sz w:val="28"/>
    </w:rPr>
  </w:style>
  <w:style w:type="paragraph" w:customStyle="1" w:styleId="273">
    <w:name w:val="正文格式"/>
    <w:basedOn w:val="1"/>
    <w:next w:val="1"/>
    <w:link w:val="274"/>
    <w:qFormat/>
    <w:uiPriority w:val="0"/>
    <w:pPr>
      <w:widowControl/>
      <w:spacing w:line="360" w:lineRule="auto"/>
      <w:ind w:firstLine="544"/>
      <w:jc w:val="left"/>
    </w:pPr>
    <w:rPr>
      <w:rFonts w:ascii="宋体" w:hAnsi="宋体" w:eastAsia="宋体" w:cs="宋体"/>
      <w:kern w:val="0"/>
      <w:sz w:val="24"/>
      <w:szCs w:val="20"/>
    </w:rPr>
  </w:style>
  <w:style w:type="character" w:customStyle="1" w:styleId="274">
    <w:name w:val="正文格式 Char Char"/>
    <w:link w:val="273"/>
    <w:qFormat/>
    <w:uiPriority w:val="0"/>
    <w:rPr>
      <w:rFonts w:ascii="宋体" w:hAnsi="宋体" w:eastAsia="宋体" w:cs="宋体"/>
      <w:sz w:val="24"/>
    </w:rPr>
  </w:style>
  <w:style w:type="paragraph" w:customStyle="1" w:styleId="275">
    <w:name w:val="11111"/>
    <w:basedOn w:val="1"/>
    <w:next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276">
    <w:name w:val="【正文】"/>
    <w:basedOn w:val="1"/>
    <w:next w:val="1"/>
    <w:link w:val="277"/>
    <w:qFormat/>
    <w:uiPriority w:val="0"/>
    <w:pPr>
      <w:widowControl/>
      <w:spacing w:line="331" w:lineRule="auto"/>
      <w:ind w:firstLine="200" w:firstLineChars="200"/>
      <w:jc w:val="left"/>
    </w:pPr>
    <w:rPr>
      <w:rFonts w:ascii="宋体" w:hAnsi="宋体" w:eastAsia="宋体" w:cs="Times New Roman"/>
      <w:kern w:val="0"/>
      <w:sz w:val="24"/>
      <w:szCs w:val="24"/>
    </w:rPr>
  </w:style>
  <w:style w:type="character" w:customStyle="1" w:styleId="277">
    <w:name w:val="【正文】 Char"/>
    <w:basedOn w:val="83"/>
    <w:link w:val="276"/>
    <w:qFormat/>
    <w:uiPriority w:val="0"/>
    <w:rPr>
      <w:rFonts w:ascii="宋体" w:hAnsi="宋体" w:eastAsia="宋体" w:cs="Times New Roman"/>
      <w:sz w:val="24"/>
      <w:szCs w:val="24"/>
    </w:rPr>
  </w:style>
  <w:style w:type="character" w:customStyle="1" w:styleId="278">
    <w:name w:val="【正文】 Char Char"/>
    <w:qFormat/>
    <w:uiPriority w:val="0"/>
    <w:rPr>
      <w:rFonts w:ascii="宋体" w:hAnsi="宋体"/>
      <w:sz w:val="24"/>
      <w:szCs w:val="24"/>
    </w:rPr>
  </w:style>
  <w:style w:type="paragraph" w:customStyle="1" w:styleId="279">
    <w:name w:val="【表头】"/>
    <w:basedOn w:val="1"/>
    <w:link w:val="280"/>
    <w:qFormat/>
    <w:uiPriority w:val="0"/>
    <w:pPr>
      <w:widowControl/>
      <w:spacing w:line="500" w:lineRule="exact"/>
      <w:jc w:val="center"/>
    </w:pPr>
    <w:rPr>
      <w:rFonts w:ascii="Calibri" w:hAnsi="Calibri" w:eastAsia="黑体" w:cs="Times New Roman"/>
      <w:kern w:val="0"/>
      <w:sz w:val="20"/>
      <w:szCs w:val="20"/>
      <w:lang w:val="zh-CN"/>
    </w:rPr>
  </w:style>
  <w:style w:type="character" w:customStyle="1" w:styleId="280">
    <w:name w:val="【表头】 Char Char"/>
    <w:link w:val="279"/>
    <w:qFormat/>
    <w:uiPriority w:val="0"/>
    <w:rPr>
      <w:rFonts w:ascii="Calibri" w:hAnsi="Calibri" w:eastAsia="黑体" w:cs="Times New Roman"/>
      <w:lang w:val="zh-CN"/>
    </w:rPr>
  </w:style>
  <w:style w:type="paragraph" w:customStyle="1" w:styleId="281">
    <w:name w:val="【表中文字】"/>
    <w:basedOn w:val="1"/>
    <w:link w:val="282"/>
    <w:qFormat/>
    <w:uiPriority w:val="0"/>
    <w:pPr>
      <w:widowControl/>
      <w:jc w:val="center"/>
    </w:pPr>
    <w:rPr>
      <w:rFonts w:ascii="Calibri" w:hAnsi="Calibri" w:eastAsia="宋体" w:cs="Times New Roman"/>
      <w:szCs w:val="22"/>
      <w:lang w:val="zh-CN"/>
    </w:rPr>
  </w:style>
  <w:style w:type="character" w:customStyle="1" w:styleId="282">
    <w:name w:val="【表中文字】 Char Char"/>
    <w:link w:val="281"/>
    <w:qFormat/>
    <w:uiPriority w:val="0"/>
    <w:rPr>
      <w:rFonts w:ascii="Calibri" w:hAnsi="Calibri" w:eastAsia="宋体" w:cs="Times New Roman"/>
      <w:kern w:val="2"/>
      <w:sz w:val="21"/>
      <w:szCs w:val="22"/>
      <w:lang w:val="zh-CN"/>
    </w:rPr>
  </w:style>
  <w:style w:type="paragraph" w:customStyle="1" w:styleId="283">
    <w:name w:val="【表中文字】-"/>
    <w:basedOn w:val="1"/>
    <w:qFormat/>
    <w:uiPriority w:val="0"/>
    <w:pPr>
      <w:widowControl/>
      <w:jc w:val="center"/>
    </w:pPr>
    <w:rPr>
      <w:rFonts w:ascii="宋体" w:hAnsi="宋体" w:eastAsia="宋体" w:cs="宋体"/>
      <w:kern w:val="0"/>
      <w:sz w:val="20"/>
      <w:szCs w:val="20"/>
    </w:rPr>
  </w:style>
  <w:style w:type="paragraph" w:customStyle="1" w:styleId="284">
    <w:name w:val="Char Char Char Char Char Char Char"/>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285">
    <w:name w:val="reader-word-layer reader-word-s1-1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6">
    <w:name w:val="p0"/>
    <w:basedOn w:val="1"/>
    <w:qFormat/>
    <w:uiPriority w:val="0"/>
    <w:pPr>
      <w:widowControl/>
      <w:ind w:firstLine="200"/>
      <w:jc w:val="left"/>
    </w:pPr>
    <w:rPr>
      <w:rFonts w:ascii="宋体" w:hAnsi="宋体" w:eastAsia="宋体" w:cs="宋体"/>
      <w:kern w:val="0"/>
    </w:rPr>
  </w:style>
  <w:style w:type="paragraph" w:customStyle="1" w:styleId="287">
    <w:name w:val="首行缩进"/>
    <w:basedOn w:val="1"/>
    <w:qFormat/>
    <w:uiPriority w:val="99"/>
    <w:pPr>
      <w:widowControl/>
      <w:spacing w:line="460" w:lineRule="atLeast"/>
      <w:jc w:val="center"/>
    </w:pPr>
    <w:rPr>
      <w:rFonts w:ascii="宋体" w:hAnsi="宋体" w:eastAsia="黑体" w:cs="宋体"/>
      <w:color w:val="000000"/>
      <w:spacing w:val="20"/>
      <w:kern w:val="0"/>
      <w:sz w:val="24"/>
      <w:szCs w:val="24"/>
    </w:rPr>
  </w:style>
  <w:style w:type="paragraph" w:customStyle="1" w:styleId="288">
    <w:name w:val="正文1"/>
    <w:link w:val="289"/>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customStyle="1" w:styleId="289">
    <w:name w:val="正文1 Char"/>
    <w:link w:val="288"/>
    <w:qFormat/>
    <w:uiPriority w:val="0"/>
    <w:rPr>
      <w:rFonts w:ascii="宋体" w:hAnsi="Times New Roman" w:eastAsia="宋体" w:cs="Times New Roman"/>
      <w:sz w:val="24"/>
    </w:rPr>
  </w:style>
  <w:style w:type="paragraph" w:customStyle="1" w:styleId="290">
    <w:name w:val="_Style 4"/>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291">
    <w:name w:val="font131"/>
    <w:basedOn w:val="83"/>
    <w:qFormat/>
    <w:uiPriority w:val="0"/>
    <w:rPr>
      <w:rFonts w:hint="default" w:ascii="Calibri" w:hAnsi="Calibri" w:cs="Calibri"/>
      <w:color w:val="000000"/>
      <w:sz w:val="21"/>
      <w:szCs w:val="21"/>
      <w:u w:val="none"/>
      <w:vertAlign w:val="superscript"/>
    </w:rPr>
  </w:style>
  <w:style w:type="character" w:customStyle="1" w:styleId="292">
    <w:name w:val="font81"/>
    <w:basedOn w:val="83"/>
    <w:qFormat/>
    <w:uiPriority w:val="0"/>
    <w:rPr>
      <w:rFonts w:hint="default" w:ascii="Calibri" w:hAnsi="Calibri" w:cs="Calibri"/>
      <w:color w:val="000000"/>
      <w:sz w:val="21"/>
      <w:szCs w:val="21"/>
      <w:u w:val="none"/>
    </w:rPr>
  </w:style>
  <w:style w:type="character" w:customStyle="1" w:styleId="293">
    <w:name w:val="font122"/>
    <w:basedOn w:val="83"/>
    <w:qFormat/>
    <w:uiPriority w:val="0"/>
    <w:rPr>
      <w:rFonts w:hint="default" w:ascii="Calibri" w:hAnsi="Calibri" w:cs="Calibri"/>
      <w:color w:val="000000"/>
      <w:sz w:val="21"/>
      <w:szCs w:val="21"/>
      <w:u w:val="none"/>
      <w:vertAlign w:val="subscript"/>
    </w:rPr>
  </w:style>
  <w:style w:type="character" w:customStyle="1" w:styleId="294">
    <w:name w:val="font12"/>
    <w:basedOn w:val="83"/>
    <w:qFormat/>
    <w:uiPriority w:val="99"/>
    <w:rPr>
      <w:rFonts w:ascii="宋体" w:hAnsi="宋体" w:eastAsia="宋体" w:cs="宋体"/>
      <w:color w:val="7030A0"/>
      <w:sz w:val="21"/>
      <w:szCs w:val="21"/>
      <w:u w:val="none"/>
    </w:rPr>
  </w:style>
  <w:style w:type="character" w:customStyle="1" w:styleId="295">
    <w:name w:val="font101"/>
    <w:basedOn w:val="83"/>
    <w:qFormat/>
    <w:uiPriority w:val="99"/>
    <w:rPr>
      <w:rFonts w:ascii="宋体" w:hAnsi="宋体" w:eastAsia="宋体" w:cs="宋体"/>
      <w:color w:val="7030A0"/>
      <w:sz w:val="21"/>
      <w:szCs w:val="21"/>
      <w:u w:val="none"/>
      <w:vertAlign w:val="superscript"/>
    </w:rPr>
  </w:style>
  <w:style w:type="character" w:customStyle="1" w:styleId="296">
    <w:name w:val="font91"/>
    <w:basedOn w:val="83"/>
    <w:qFormat/>
    <w:uiPriority w:val="99"/>
    <w:rPr>
      <w:rFonts w:ascii="宋体" w:hAnsi="宋体" w:eastAsia="宋体" w:cs="宋体"/>
      <w:color w:val="7030A0"/>
      <w:sz w:val="21"/>
      <w:szCs w:val="21"/>
      <w:u w:val="none"/>
      <w:vertAlign w:val="subscript"/>
    </w:rPr>
  </w:style>
  <w:style w:type="paragraph" w:customStyle="1" w:styleId="297">
    <w:name w:val="标准"/>
    <w:basedOn w:val="298"/>
    <w:qFormat/>
    <w:uiPriority w:val="0"/>
    <w:pPr>
      <w:adjustRightInd w:val="0"/>
      <w:spacing w:line="480" w:lineRule="exact"/>
      <w:textAlignment w:val="baseline"/>
    </w:pPr>
    <w:rPr>
      <w:rFonts w:ascii="Times New Roman" w:hAnsi="Times New Roman"/>
      <w:sz w:val="28"/>
      <w:szCs w:val="20"/>
      <w:lang w:val="en-GB"/>
    </w:rPr>
  </w:style>
  <w:style w:type="paragraph" w:customStyle="1" w:styleId="298">
    <w:name w:val="正文 New New"/>
    <w:link w:val="299"/>
    <w:qFormat/>
    <w:uiPriority w:val="99"/>
    <w:pPr>
      <w:widowControl w:val="0"/>
      <w:jc w:val="both"/>
    </w:pPr>
    <w:rPr>
      <w:rFonts w:ascii="Calibri" w:hAnsi="Calibri" w:eastAsia="宋体" w:cs="Times New Roman"/>
      <w:kern w:val="2"/>
      <w:sz w:val="21"/>
      <w:szCs w:val="24"/>
      <w:lang w:val="en-US" w:eastAsia="zh-CN" w:bidi="ar-SA"/>
    </w:rPr>
  </w:style>
  <w:style w:type="character" w:customStyle="1" w:styleId="299">
    <w:name w:val="正文 New New Char"/>
    <w:link w:val="298"/>
    <w:qFormat/>
    <w:uiPriority w:val="99"/>
    <w:rPr>
      <w:rFonts w:ascii="Calibri" w:hAnsi="Calibri" w:eastAsia="宋体" w:cs="Times New Roman"/>
      <w:kern w:val="2"/>
      <w:sz w:val="21"/>
      <w:szCs w:val="24"/>
    </w:rPr>
  </w:style>
  <w:style w:type="character" w:customStyle="1" w:styleId="300">
    <w:name w:val="表格 Char Char"/>
    <w:qFormat/>
    <w:locked/>
    <w:uiPriority w:val="0"/>
    <w:rPr>
      <w:rFonts w:cs="宋体"/>
      <w:color w:val="000000"/>
      <w:sz w:val="21"/>
      <w:szCs w:val="21"/>
    </w:rPr>
  </w:style>
  <w:style w:type="paragraph" w:customStyle="1" w:styleId="301">
    <w:name w:val="样式 正文文字-1 + 首行缩进:  2.1 字符1"/>
    <w:basedOn w:val="302"/>
    <w:qFormat/>
    <w:uiPriority w:val="0"/>
    <w:pPr>
      <w:spacing w:line="440" w:lineRule="exact"/>
      <w:ind w:firstLine="210"/>
    </w:pPr>
    <w:rPr>
      <w:rFonts w:cs="宋体"/>
      <w:szCs w:val="20"/>
    </w:rPr>
  </w:style>
  <w:style w:type="paragraph" w:customStyle="1" w:styleId="302">
    <w:name w:val="正文文字-1 Char"/>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303">
    <w:name w:val="表格文字"/>
    <w:basedOn w:val="1"/>
    <w:link w:val="304"/>
    <w:qFormat/>
    <w:uiPriority w:val="0"/>
    <w:pPr>
      <w:widowControl/>
      <w:tabs>
        <w:tab w:val="left" w:pos="146"/>
      </w:tabs>
      <w:spacing w:line="240" w:lineRule="exact"/>
      <w:ind w:right="-55" w:rightChars="-55" w:firstLine="200"/>
      <w:jc w:val="center"/>
    </w:pPr>
    <w:rPr>
      <w:rFonts w:ascii="Calibri" w:hAnsi="Calibri" w:eastAsia="宋体" w:cs="Times New Roman"/>
      <w:spacing w:val="6"/>
      <w:kern w:val="0"/>
      <w:sz w:val="24"/>
      <w:szCs w:val="20"/>
    </w:rPr>
  </w:style>
  <w:style w:type="character" w:customStyle="1" w:styleId="304">
    <w:name w:val="表格文字 Char Char"/>
    <w:link w:val="303"/>
    <w:qFormat/>
    <w:uiPriority w:val="0"/>
    <w:rPr>
      <w:rFonts w:ascii="Calibri" w:hAnsi="Calibri" w:eastAsia="宋体" w:cs="Times New Roman"/>
      <w:spacing w:val="6"/>
      <w:sz w:val="24"/>
    </w:rPr>
  </w:style>
  <w:style w:type="character" w:customStyle="1" w:styleId="305">
    <w:name w:val="样式 样式 四号 蓝色 + 自动设置"/>
    <w:qFormat/>
    <w:uiPriority w:val="0"/>
    <w:rPr>
      <w:color w:val="auto"/>
      <w:sz w:val="24"/>
    </w:rPr>
  </w:style>
  <w:style w:type="paragraph" w:customStyle="1" w:styleId="306">
    <w:name w:val="报告表正文"/>
    <w:basedOn w:val="1"/>
    <w:qFormat/>
    <w:uiPriority w:val="99"/>
    <w:pPr>
      <w:widowControl/>
      <w:spacing w:line="360" w:lineRule="auto"/>
      <w:ind w:firstLine="420" w:firstLineChars="200"/>
      <w:jc w:val="left"/>
    </w:pPr>
    <w:rPr>
      <w:rFonts w:ascii="Calibri" w:hAnsi="Calibri" w:eastAsia="宋体" w:cs="Times New Roman"/>
      <w:kern w:val="0"/>
      <w:sz w:val="24"/>
      <w:szCs w:val="22"/>
      <w:lang w:val="zh-CN"/>
    </w:rPr>
  </w:style>
  <w:style w:type="character" w:customStyle="1" w:styleId="307">
    <w:name w:val="正文文本 (9)_"/>
    <w:link w:val="308"/>
    <w:qFormat/>
    <w:uiPriority w:val="99"/>
    <w:rPr>
      <w:rFonts w:ascii="MingLiU" w:eastAsia="MingLiU" w:cs="MingLiU"/>
      <w:shd w:val="clear" w:color="auto" w:fill="FFFFFF"/>
    </w:rPr>
  </w:style>
  <w:style w:type="paragraph" w:customStyle="1" w:styleId="308">
    <w:name w:val="正文文本 (9)1"/>
    <w:basedOn w:val="1"/>
    <w:link w:val="307"/>
    <w:qFormat/>
    <w:uiPriority w:val="99"/>
    <w:pPr>
      <w:shd w:val="clear" w:color="auto" w:fill="FFFFFF"/>
      <w:spacing w:before="2040" w:after="660" w:line="240" w:lineRule="atLeast"/>
      <w:jc w:val="center"/>
    </w:pPr>
    <w:rPr>
      <w:rFonts w:ascii="MingLiU" w:eastAsia="MingLiU" w:cs="MingLiU"/>
      <w:kern w:val="0"/>
      <w:sz w:val="20"/>
      <w:szCs w:val="20"/>
    </w:rPr>
  </w:style>
  <w:style w:type="paragraph" w:customStyle="1" w:styleId="309">
    <w:name w:val="一级标题"/>
    <w:basedOn w:val="1"/>
    <w:qFormat/>
    <w:uiPriority w:val="0"/>
    <w:pPr>
      <w:spacing w:line="520" w:lineRule="exact"/>
    </w:pPr>
    <w:rPr>
      <w:rFonts w:ascii="Calibri" w:hAnsi="Calibri" w:eastAsia="仿宋_GB2312" w:cs="Times New Roman"/>
      <w:b/>
      <w:color w:val="000000"/>
      <w:szCs w:val="22"/>
    </w:rPr>
  </w:style>
  <w:style w:type="paragraph" w:styleId="310">
    <w:name w:val="No Spacing"/>
    <w:link w:val="311"/>
    <w:qFormat/>
    <w:uiPriority w:val="0"/>
    <w:rPr>
      <w:rFonts w:ascii="宋体" w:hAnsi="宋体" w:eastAsia="宋体" w:cs="宋体"/>
      <w:sz w:val="24"/>
      <w:szCs w:val="24"/>
      <w:lang w:val="en-US" w:eastAsia="zh-CN" w:bidi="ar-SA"/>
    </w:rPr>
  </w:style>
  <w:style w:type="character" w:customStyle="1" w:styleId="311">
    <w:name w:val="无间隔 字符2"/>
    <w:link w:val="310"/>
    <w:qFormat/>
    <w:uiPriority w:val="0"/>
    <w:rPr>
      <w:rFonts w:ascii="宋体" w:hAnsi="宋体" w:eastAsia="宋体" w:cs="宋体"/>
      <w:sz w:val="24"/>
      <w:szCs w:val="24"/>
    </w:rPr>
  </w:style>
  <w:style w:type="character" w:customStyle="1" w:styleId="312">
    <w:name w:val="标题 8 Char"/>
    <w:basedOn w:val="83"/>
    <w:qFormat/>
    <w:uiPriority w:val="99"/>
    <w:rPr>
      <w:rFonts w:asciiTheme="majorHAnsi" w:hAnsiTheme="majorHAnsi" w:eastAsiaTheme="majorEastAsia" w:cstheme="majorBidi"/>
      <w:sz w:val="24"/>
      <w:szCs w:val="24"/>
    </w:rPr>
  </w:style>
  <w:style w:type="character" w:customStyle="1" w:styleId="313">
    <w:name w:val="sort1"/>
    <w:qFormat/>
    <w:uiPriority w:val="0"/>
    <w:rPr>
      <w:color w:val="FFFFFF"/>
      <w:bdr w:val="single" w:color="auto" w:sz="24" w:space="0"/>
    </w:rPr>
  </w:style>
  <w:style w:type="character" w:customStyle="1" w:styleId="314">
    <w:name w:val="p14"/>
    <w:basedOn w:val="83"/>
    <w:qFormat/>
    <w:uiPriority w:val="0"/>
  </w:style>
  <w:style w:type="character" w:customStyle="1" w:styleId="315">
    <w:name w:val="正文样式 Char Char"/>
    <w:link w:val="316"/>
    <w:qFormat/>
    <w:uiPriority w:val="0"/>
    <w:rPr>
      <w:rFonts w:ascii="宋体" w:hAnsi="宋体"/>
      <w:sz w:val="24"/>
      <w:szCs w:val="24"/>
    </w:rPr>
  </w:style>
  <w:style w:type="paragraph" w:customStyle="1" w:styleId="316">
    <w:name w:val="正文样式"/>
    <w:basedOn w:val="1"/>
    <w:link w:val="315"/>
    <w:qFormat/>
    <w:uiPriority w:val="0"/>
    <w:pPr>
      <w:spacing w:line="360" w:lineRule="auto"/>
      <w:ind w:firstLine="480" w:firstLineChars="200"/>
    </w:pPr>
    <w:rPr>
      <w:rFonts w:ascii="宋体" w:hAnsi="宋体"/>
      <w:kern w:val="0"/>
      <w:sz w:val="24"/>
      <w:szCs w:val="24"/>
    </w:rPr>
  </w:style>
  <w:style w:type="character" w:customStyle="1" w:styleId="317">
    <w:name w:val="正文文本 (2) + Georgia9"/>
    <w:qFormat/>
    <w:uiPriority w:val="99"/>
    <w:rPr>
      <w:rFonts w:ascii="Georgia" w:hAnsi="Georgia" w:eastAsia="MingLiU" w:cs="Georgia"/>
      <w:sz w:val="20"/>
      <w:szCs w:val="20"/>
      <w:u w:val="none"/>
      <w:shd w:val="clear" w:color="auto" w:fill="FFFFFF"/>
      <w:lang w:val="en-US" w:eastAsia="en-US"/>
    </w:rPr>
  </w:style>
  <w:style w:type="character" w:customStyle="1" w:styleId="318">
    <w:name w:val="标题2 Char Char"/>
    <w:qFormat/>
    <w:uiPriority w:val="0"/>
    <w:rPr>
      <w:rFonts w:ascii="Arial" w:hAnsi="Arial" w:eastAsia="黑体"/>
      <w:b/>
      <w:bCs/>
      <w:kern w:val="2"/>
      <w:sz w:val="32"/>
      <w:szCs w:val="32"/>
      <w:lang w:val="en-US" w:eastAsia="zh-CN" w:bidi="ar-SA"/>
    </w:rPr>
  </w:style>
  <w:style w:type="character" w:customStyle="1" w:styleId="319">
    <w:name w:val="morelink-item"/>
    <w:qFormat/>
    <w:uiPriority w:val="0"/>
  </w:style>
  <w:style w:type="character" w:customStyle="1" w:styleId="320">
    <w:name w:val="Heading 4 Char"/>
    <w:qFormat/>
    <w:uiPriority w:val="0"/>
    <w:rPr>
      <w:rFonts w:ascii="黑体" w:hAnsi="宋体" w:eastAsia="黑体" w:cs="宋体"/>
      <w:bCs/>
      <w:sz w:val="24"/>
      <w:szCs w:val="24"/>
    </w:rPr>
  </w:style>
  <w:style w:type="character" w:customStyle="1" w:styleId="321">
    <w:name w:val="正文文本: Char Char"/>
    <w:link w:val="322"/>
    <w:semiHidden/>
    <w:qFormat/>
    <w:uiPriority w:val="0"/>
    <w:rPr>
      <w:rFonts w:ascii="仿宋_GB2312" w:eastAsia="仿宋_GB2312" w:cs="宋体"/>
      <w:sz w:val="28"/>
    </w:rPr>
  </w:style>
  <w:style w:type="paragraph" w:customStyle="1" w:styleId="322">
    <w:name w:val="正文文本:"/>
    <w:basedOn w:val="1"/>
    <w:link w:val="321"/>
    <w:semiHidden/>
    <w:qFormat/>
    <w:uiPriority w:val="0"/>
    <w:pPr>
      <w:spacing w:line="360" w:lineRule="auto"/>
      <w:ind w:firstLine="200" w:firstLineChars="200"/>
      <w:jc w:val="left"/>
    </w:pPr>
    <w:rPr>
      <w:rFonts w:ascii="仿宋_GB2312" w:eastAsia="仿宋_GB2312" w:cs="宋体"/>
      <w:kern w:val="0"/>
      <w:sz w:val="28"/>
      <w:szCs w:val="20"/>
    </w:rPr>
  </w:style>
  <w:style w:type="character" w:customStyle="1" w:styleId="323">
    <w:name w:val="title41"/>
    <w:qFormat/>
    <w:uiPriority w:val="0"/>
    <w:rPr>
      <w:rFonts w:hint="eastAsia" w:ascii="宋体" w:hAnsi="宋体" w:eastAsia="宋体"/>
      <w:color w:val="FF6600"/>
      <w:sz w:val="36"/>
      <w:szCs w:val="36"/>
    </w:rPr>
  </w:style>
  <w:style w:type="character" w:customStyle="1" w:styleId="324">
    <w:name w:val="纯文本 Char"/>
    <w:qFormat/>
    <w:uiPriority w:val="0"/>
    <w:rPr>
      <w:rFonts w:ascii="宋体" w:hAnsi="Courier New" w:eastAsia="宋体" w:cs="Courier New"/>
      <w:szCs w:val="21"/>
    </w:rPr>
  </w:style>
  <w:style w:type="character" w:customStyle="1" w:styleId="325">
    <w:name w:val="polysemyexp"/>
    <w:qFormat/>
    <w:uiPriority w:val="0"/>
    <w:rPr>
      <w:color w:val="AAAAAA"/>
      <w:sz w:val="18"/>
      <w:szCs w:val="18"/>
    </w:rPr>
  </w:style>
  <w:style w:type="character" w:customStyle="1" w:styleId="326">
    <w:name w:val="表中文 Char Char"/>
    <w:link w:val="327"/>
    <w:qFormat/>
    <w:uiPriority w:val="0"/>
    <w:rPr>
      <w:rFonts w:ascii="Times New Roman" w:hAnsi="Times New Roman"/>
      <w:snapToGrid w:val="0"/>
      <w:kern w:val="2"/>
      <w:sz w:val="21"/>
      <w:szCs w:val="21"/>
    </w:rPr>
  </w:style>
  <w:style w:type="paragraph" w:customStyle="1" w:styleId="327">
    <w:name w:val="表中文"/>
    <w:link w:val="326"/>
    <w:qFormat/>
    <w:uiPriority w:val="0"/>
    <w:pPr>
      <w:jc w:val="center"/>
    </w:pPr>
    <w:rPr>
      <w:rFonts w:ascii="Times New Roman" w:hAnsi="Times New Roman" w:eastAsiaTheme="minorEastAsia" w:cstheme="minorBidi"/>
      <w:snapToGrid w:val="0"/>
      <w:kern w:val="2"/>
      <w:sz w:val="21"/>
      <w:szCs w:val="21"/>
      <w:lang w:val="en-US" w:eastAsia="zh-CN" w:bidi="ar-SA"/>
    </w:rPr>
  </w:style>
  <w:style w:type="character" w:customStyle="1" w:styleId="328">
    <w:name w:val="正文首行缩进-修改 Char Char"/>
    <w:link w:val="329"/>
    <w:qFormat/>
    <w:uiPriority w:val="0"/>
    <w:rPr>
      <w:rFonts w:ascii="Times New Roman" w:hAnsi="Times New Roman"/>
      <w:sz w:val="24"/>
      <w:szCs w:val="24"/>
    </w:rPr>
  </w:style>
  <w:style w:type="paragraph" w:customStyle="1" w:styleId="329">
    <w:name w:val="正文首行缩进-修改"/>
    <w:basedOn w:val="1"/>
    <w:link w:val="328"/>
    <w:qFormat/>
    <w:uiPriority w:val="0"/>
    <w:pPr>
      <w:spacing w:line="360" w:lineRule="auto"/>
      <w:ind w:firstLine="480" w:firstLineChars="200"/>
    </w:pPr>
    <w:rPr>
      <w:rFonts w:ascii="Times New Roman" w:hAnsi="Times New Roman"/>
      <w:kern w:val="0"/>
      <w:sz w:val="24"/>
      <w:szCs w:val="24"/>
    </w:rPr>
  </w:style>
  <w:style w:type="character" w:customStyle="1" w:styleId="330">
    <w:name w:val="标题3--------------- Char Char"/>
    <w:link w:val="331"/>
    <w:qFormat/>
    <w:uiPriority w:val="0"/>
    <w:rPr>
      <w:b/>
      <w:bCs/>
      <w:sz w:val="30"/>
    </w:rPr>
  </w:style>
  <w:style w:type="paragraph" w:customStyle="1" w:styleId="331">
    <w:name w:val="标题3---------------"/>
    <w:basedOn w:val="6"/>
    <w:link w:val="330"/>
    <w:qFormat/>
    <w:uiPriority w:val="0"/>
    <w:pPr>
      <w:keepNext w:val="0"/>
      <w:keepLines/>
      <w:numPr>
        <w:ilvl w:val="0"/>
        <w:numId w:val="0"/>
      </w:numPr>
      <w:adjustRightInd/>
      <w:snapToGrid/>
      <w:spacing w:before="160" w:after="160" w:line="240" w:lineRule="auto"/>
    </w:pPr>
    <w:rPr>
      <w:rFonts w:asciiTheme="minorHAnsi" w:eastAsiaTheme="minorEastAsia"/>
      <w:b/>
      <w:kern w:val="0"/>
      <w:sz w:val="30"/>
      <w:szCs w:val="20"/>
    </w:rPr>
  </w:style>
  <w:style w:type="character" w:customStyle="1" w:styleId="332">
    <w:name w:val="表中 Char Char"/>
    <w:link w:val="333"/>
    <w:qFormat/>
    <w:uiPriority w:val="0"/>
    <w:rPr>
      <w:rFonts w:ascii="宋体" w:hAnsi="宋体"/>
      <w:color w:val="000000"/>
      <w:sz w:val="24"/>
    </w:rPr>
  </w:style>
  <w:style w:type="paragraph" w:customStyle="1" w:styleId="333">
    <w:name w:val="表中"/>
    <w:basedOn w:val="1"/>
    <w:link w:val="332"/>
    <w:qFormat/>
    <w:uiPriority w:val="0"/>
    <w:pPr>
      <w:widowControl/>
      <w:tabs>
        <w:tab w:val="left" w:pos="425"/>
      </w:tabs>
      <w:snapToGrid w:val="0"/>
      <w:spacing w:beforeLines="20" w:afterLines="20" w:line="240" w:lineRule="exact"/>
      <w:ind w:hanging="425"/>
      <w:jc w:val="center"/>
    </w:pPr>
    <w:rPr>
      <w:rFonts w:ascii="宋体" w:hAnsi="宋体"/>
      <w:color w:val="000000"/>
      <w:kern w:val="0"/>
      <w:sz w:val="24"/>
      <w:szCs w:val="20"/>
    </w:rPr>
  </w:style>
  <w:style w:type="character" w:customStyle="1" w:styleId="334">
    <w:name w:val="lemmatitleh12"/>
    <w:basedOn w:val="83"/>
    <w:qFormat/>
    <w:uiPriority w:val="0"/>
  </w:style>
  <w:style w:type="character" w:customStyle="1" w:styleId="335">
    <w:name w:val="德胜空行 Char Char"/>
    <w:link w:val="336"/>
    <w:qFormat/>
    <w:uiPriority w:val="0"/>
    <w:rPr>
      <w:snapToGrid w:val="0"/>
      <w:color w:val="0000FF"/>
      <w:szCs w:val="21"/>
    </w:rPr>
  </w:style>
  <w:style w:type="paragraph" w:customStyle="1" w:styleId="336">
    <w:name w:val="德胜空行"/>
    <w:basedOn w:val="1"/>
    <w:link w:val="335"/>
    <w:qFormat/>
    <w:uiPriority w:val="0"/>
    <w:pPr>
      <w:adjustRightInd w:val="0"/>
      <w:snapToGrid w:val="0"/>
      <w:jc w:val="left"/>
    </w:pPr>
    <w:rPr>
      <w:snapToGrid w:val="0"/>
      <w:color w:val="0000FF"/>
      <w:kern w:val="0"/>
      <w:sz w:val="20"/>
    </w:rPr>
  </w:style>
  <w:style w:type="character" w:customStyle="1" w:styleId="337">
    <w:name w:val="Char Char3"/>
    <w:qFormat/>
    <w:uiPriority w:val="0"/>
    <w:rPr>
      <w:rFonts w:ascii="黑体" w:hAnsi="Arial" w:eastAsia="黑体"/>
      <w:b/>
      <w:bCs/>
      <w:kern w:val="2"/>
      <w:sz w:val="28"/>
      <w:szCs w:val="28"/>
      <w:lang w:val="sq-AL" w:eastAsia="zh-CN" w:bidi="ar-SA"/>
    </w:rPr>
  </w:style>
  <w:style w:type="character" w:customStyle="1" w:styleId="338">
    <w:name w:val="正文文本 (2) + 10 pt11"/>
    <w:qFormat/>
    <w:uiPriority w:val="99"/>
    <w:rPr>
      <w:rFonts w:ascii="MingLiU" w:eastAsia="MingLiU" w:cs="MingLiU"/>
      <w:spacing w:val="10"/>
      <w:sz w:val="20"/>
      <w:szCs w:val="20"/>
      <w:u w:val="none"/>
      <w:shd w:val="clear" w:color="auto" w:fill="FFFFFF"/>
    </w:rPr>
  </w:style>
  <w:style w:type="character" w:customStyle="1" w:styleId="339">
    <w:name w:val="段落1 Char1"/>
    <w:link w:val="340"/>
    <w:qFormat/>
    <w:uiPriority w:val="0"/>
    <w:rPr>
      <w:bCs/>
      <w:spacing w:val="6"/>
      <w:sz w:val="24"/>
      <w:szCs w:val="24"/>
    </w:rPr>
  </w:style>
  <w:style w:type="paragraph" w:customStyle="1" w:styleId="340">
    <w:name w:val="段落1"/>
    <w:basedOn w:val="1"/>
    <w:link w:val="339"/>
    <w:qFormat/>
    <w:uiPriority w:val="0"/>
    <w:pPr>
      <w:adjustRightInd w:val="0"/>
      <w:spacing w:before="120" w:after="120" w:line="360" w:lineRule="auto"/>
      <w:ind w:firstLine="504" w:firstLineChars="200"/>
      <w:textAlignment w:val="baseline"/>
    </w:pPr>
    <w:rPr>
      <w:bCs/>
      <w:spacing w:val="6"/>
      <w:kern w:val="0"/>
      <w:sz w:val="24"/>
      <w:szCs w:val="24"/>
    </w:rPr>
  </w:style>
  <w:style w:type="character" w:customStyle="1" w:styleId="341">
    <w:name w:val="h2 Char1"/>
    <w:qFormat/>
    <w:uiPriority w:val="0"/>
    <w:rPr>
      <w:rFonts w:ascii="Times New Roman" w:hAnsi="Times New Roman" w:eastAsia="黑体"/>
      <w:bCs/>
      <w:kern w:val="2"/>
      <w:sz w:val="30"/>
      <w:szCs w:val="32"/>
    </w:rPr>
  </w:style>
  <w:style w:type="character" w:customStyle="1" w:styleId="342">
    <w:name w:val="章节标题 Char3"/>
    <w:qFormat/>
    <w:uiPriority w:val="0"/>
    <w:rPr>
      <w:rFonts w:ascii="Times New Roman" w:hAnsi="Times New Roman" w:eastAsia="黑体" w:cs="Times New Roman"/>
      <w:b/>
      <w:kern w:val="44"/>
      <w:sz w:val="44"/>
      <w:szCs w:val="20"/>
    </w:rPr>
  </w:style>
  <w:style w:type="character" w:customStyle="1" w:styleId="343">
    <w:name w:val="表格内容1 Char Char1 Char Char Char"/>
    <w:link w:val="344"/>
    <w:semiHidden/>
    <w:qFormat/>
    <w:uiPriority w:val="0"/>
    <w:rPr>
      <w:rFonts w:ascii="Times New Roman" w:hAnsi="Times New Roman" w:eastAsia="仿宋_GB2312"/>
      <w:kern w:val="24"/>
      <w:szCs w:val="24"/>
    </w:rPr>
  </w:style>
  <w:style w:type="paragraph" w:customStyle="1" w:styleId="344">
    <w:name w:val="表格内容1 Char Char1 Char"/>
    <w:basedOn w:val="1"/>
    <w:link w:val="343"/>
    <w:semiHidden/>
    <w:qFormat/>
    <w:uiPriority w:val="0"/>
    <w:pPr>
      <w:spacing w:line="240" w:lineRule="atLeast"/>
      <w:jc w:val="center"/>
    </w:pPr>
    <w:rPr>
      <w:rFonts w:ascii="Times New Roman" w:hAnsi="Times New Roman" w:eastAsia="仿宋_GB2312"/>
      <w:kern w:val="24"/>
      <w:sz w:val="20"/>
      <w:szCs w:val="24"/>
    </w:rPr>
  </w:style>
  <w:style w:type="character" w:customStyle="1" w:styleId="345">
    <w:name w:val="表头 Char Char Char"/>
    <w:qFormat/>
    <w:uiPriority w:val="0"/>
    <w:rPr>
      <w:rFonts w:ascii="仿宋_GB2312" w:eastAsia="黑体" w:cs="宋体"/>
      <w:spacing w:val="-2"/>
      <w:kern w:val="2"/>
      <w:sz w:val="28"/>
      <w:szCs w:val="28"/>
      <w:lang w:val="en-US" w:eastAsia="zh-CN" w:bidi="ar-SA"/>
    </w:rPr>
  </w:style>
  <w:style w:type="character" w:customStyle="1" w:styleId="346">
    <w:name w:val="zhengwen Char Char"/>
    <w:link w:val="347"/>
    <w:qFormat/>
    <w:uiPriority w:val="0"/>
    <w:rPr>
      <w:rFonts w:ascii="Times New Roman" w:hAnsi="Times New Roman"/>
      <w:snapToGrid w:val="0"/>
      <w:color w:val="000000"/>
      <w:kern w:val="2"/>
      <w:sz w:val="24"/>
      <w:szCs w:val="24"/>
    </w:rPr>
  </w:style>
  <w:style w:type="paragraph" w:customStyle="1" w:styleId="347">
    <w:name w:val="zhengwen"/>
    <w:basedOn w:val="348"/>
    <w:link w:val="346"/>
    <w:qFormat/>
    <w:uiPriority w:val="0"/>
    <w:pPr>
      <w:tabs>
        <w:tab w:val="left" w:pos="567"/>
      </w:tabs>
      <w:spacing w:line="360" w:lineRule="auto"/>
      <w:ind w:left="0" w:firstLine="476"/>
    </w:pPr>
    <w:rPr>
      <w:rFonts w:ascii="Times New Roman" w:eastAsiaTheme="minorEastAsia" w:cstheme="minorBidi"/>
      <w:snapToGrid w:val="0"/>
      <w:color w:val="000000"/>
      <w:szCs w:val="24"/>
    </w:rPr>
  </w:style>
  <w:style w:type="paragraph" w:customStyle="1" w:styleId="348">
    <w:name w:val="正文11"/>
    <w:link w:val="349"/>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kern w:val="2"/>
      <w:sz w:val="24"/>
      <w:szCs w:val="22"/>
      <w:lang w:val="en-US" w:eastAsia="zh-CN" w:bidi="ar-SA"/>
    </w:rPr>
  </w:style>
  <w:style w:type="character" w:customStyle="1" w:styleId="349">
    <w:name w:val="正文11 Char Char Char Char"/>
    <w:link w:val="348"/>
    <w:qFormat/>
    <w:uiPriority w:val="0"/>
    <w:rPr>
      <w:rFonts w:ascii="宋体" w:hAnsi="Times New Roman" w:eastAsia="宋体" w:cs="Times New Roman"/>
      <w:kern w:val="2"/>
      <w:sz w:val="24"/>
      <w:szCs w:val="22"/>
    </w:rPr>
  </w:style>
  <w:style w:type="character" w:customStyle="1" w:styleId="350">
    <w:name w:val="小表左 Char Char"/>
    <w:link w:val="351"/>
    <w:qFormat/>
    <w:uiPriority w:val="0"/>
    <w:rPr>
      <w:rFonts w:ascii="Times New Roman" w:hAnsi="Times New Roman"/>
      <w:sz w:val="18"/>
      <w:szCs w:val="18"/>
    </w:rPr>
  </w:style>
  <w:style w:type="paragraph" w:customStyle="1" w:styleId="351">
    <w:name w:val="小表左"/>
    <w:basedOn w:val="1"/>
    <w:link w:val="350"/>
    <w:qFormat/>
    <w:uiPriority w:val="0"/>
    <w:pPr>
      <w:keepNext/>
      <w:tabs>
        <w:tab w:val="left" w:pos="2190"/>
      </w:tabs>
      <w:adjustRightInd w:val="0"/>
      <w:snapToGrid w:val="0"/>
    </w:pPr>
    <w:rPr>
      <w:rFonts w:ascii="Times New Roman" w:hAnsi="Times New Roman"/>
      <w:kern w:val="0"/>
      <w:sz w:val="18"/>
      <w:szCs w:val="18"/>
    </w:rPr>
  </w:style>
  <w:style w:type="character" w:customStyle="1" w:styleId="352">
    <w:name w:val="表格文字居中 Char Char"/>
    <w:qFormat/>
    <w:uiPriority w:val="0"/>
    <w:rPr>
      <w:rFonts w:ascii="宋体" w:hAnsi="宋体" w:eastAsia="宋体" w:cs="宋体"/>
      <w:kern w:val="2"/>
      <w:sz w:val="24"/>
      <w:szCs w:val="24"/>
      <w:lang w:val="en-US" w:eastAsia="zh-CN"/>
    </w:rPr>
  </w:style>
  <w:style w:type="character" w:customStyle="1" w:styleId="353">
    <w:name w:val="nota"/>
    <w:qFormat/>
    <w:uiPriority w:val="0"/>
    <w:rPr>
      <w:i/>
      <w:iCs/>
      <w:sz w:val="20"/>
    </w:rPr>
  </w:style>
  <w:style w:type="character" w:customStyle="1" w:styleId="354">
    <w:name w:val="段落 Char1"/>
    <w:link w:val="355"/>
    <w:qFormat/>
    <w:uiPriority w:val="0"/>
    <w:rPr>
      <w:rFonts w:ascii="仿宋_GB2312" w:hAnsi="宋体" w:eastAsia="仿宋_GB2312"/>
      <w:bCs/>
      <w:snapToGrid w:val="0"/>
      <w:color w:val="3366FF"/>
      <w:sz w:val="24"/>
      <w:szCs w:val="24"/>
    </w:rPr>
  </w:style>
  <w:style w:type="paragraph" w:customStyle="1" w:styleId="355">
    <w:name w:val="段落"/>
    <w:link w:val="354"/>
    <w:qFormat/>
    <w:uiPriority w:val="0"/>
    <w:pPr>
      <w:spacing w:line="360" w:lineRule="auto"/>
      <w:ind w:firstLine="540" w:firstLineChars="225"/>
      <w:jc w:val="both"/>
    </w:pPr>
    <w:rPr>
      <w:rFonts w:ascii="仿宋_GB2312" w:hAnsi="宋体" w:eastAsia="仿宋_GB2312" w:cstheme="minorBidi"/>
      <w:bCs/>
      <w:snapToGrid w:val="0"/>
      <w:color w:val="3366FF"/>
      <w:sz w:val="24"/>
      <w:szCs w:val="24"/>
      <w:lang w:val="en-US" w:eastAsia="zh-CN" w:bidi="ar-SA"/>
    </w:rPr>
  </w:style>
  <w:style w:type="character" w:customStyle="1" w:styleId="356">
    <w:name w:val="Char Char13"/>
    <w:qFormat/>
    <w:uiPriority w:val="0"/>
    <w:rPr>
      <w:rFonts w:eastAsia="楷体_GB2312"/>
      <w:snapToGrid w:val="0"/>
      <w:sz w:val="21"/>
      <w:szCs w:val="22"/>
      <w:lang w:val="en-US" w:eastAsia="zh-CN" w:bidi="ar-SA"/>
    </w:rPr>
  </w:style>
  <w:style w:type="character" w:customStyle="1" w:styleId="357">
    <w:name w:val="表号 Char Char"/>
    <w:qFormat/>
    <w:uiPriority w:val="0"/>
    <w:rPr>
      <w:rFonts w:ascii="黑体" w:eastAsia="黑体"/>
      <w:sz w:val="21"/>
      <w:lang w:val="en-US" w:eastAsia="zh-CN" w:bidi="ar-SA"/>
    </w:rPr>
  </w:style>
  <w:style w:type="character" w:customStyle="1" w:styleId="358">
    <w:name w:val="图表 Char Char"/>
    <w:link w:val="359"/>
    <w:qFormat/>
    <w:uiPriority w:val="0"/>
    <w:rPr>
      <w:rFonts w:eastAsia="Times New Roman"/>
      <w:color w:val="800000"/>
      <w:spacing w:val="20"/>
      <w:kern w:val="2"/>
      <w:sz w:val="21"/>
      <w:szCs w:val="24"/>
    </w:rPr>
  </w:style>
  <w:style w:type="paragraph" w:customStyle="1" w:styleId="359">
    <w:name w:val="图表"/>
    <w:link w:val="358"/>
    <w:qFormat/>
    <w:uiPriority w:val="0"/>
    <w:pPr>
      <w:jc w:val="center"/>
    </w:pPr>
    <w:rPr>
      <w:rFonts w:eastAsia="Times New Roman" w:asciiTheme="minorHAnsi" w:hAnsiTheme="minorHAnsi" w:cstheme="minorBidi"/>
      <w:color w:val="800000"/>
      <w:spacing w:val="20"/>
      <w:kern w:val="2"/>
      <w:sz w:val="21"/>
      <w:szCs w:val="24"/>
      <w:lang w:val="en-US" w:eastAsia="zh-CN" w:bidi="ar-SA"/>
    </w:rPr>
  </w:style>
  <w:style w:type="character" w:customStyle="1" w:styleId="360">
    <w:name w:val="title_tab"/>
    <w:basedOn w:val="83"/>
    <w:qFormat/>
    <w:uiPriority w:val="0"/>
  </w:style>
  <w:style w:type="character" w:customStyle="1" w:styleId="361">
    <w:name w:val="正文文本 (2) + 10 pt6"/>
    <w:qFormat/>
    <w:uiPriority w:val="99"/>
    <w:rPr>
      <w:rFonts w:ascii="MingLiU" w:eastAsia="MingLiU" w:cs="MingLiU"/>
      <w:spacing w:val="150"/>
      <w:sz w:val="20"/>
      <w:szCs w:val="20"/>
      <w:u w:val="none"/>
      <w:shd w:val="clear" w:color="auto" w:fill="FFFFFF"/>
    </w:rPr>
  </w:style>
  <w:style w:type="character" w:customStyle="1" w:styleId="362">
    <w:name w:val="编制日期 Char Char"/>
    <w:link w:val="363"/>
    <w:qFormat/>
    <w:uiPriority w:val="0"/>
    <w:rPr>
      <w:rFonts w:ascii="宋体" w:hAnsi="宋体"/>
      <w:sz w:val="32"/>
      <w:szCs w:val="28"/>
    </w:rPr>
  </w:style>
  <w:style w:type="paragraph" w:customStyle="1" w:styleId="363">
    <w:name w:val="编制日期"/>
    <w:basedOn w:val="1"/>
    <w:link w:val="362"/>
    <w:qFormat/>
    <w:uiPriority w:val="0"/>
    <w:pPr>
      <w:keepNext/>
      <w:tabs>
        <w:tab w:val="left" w:pos="2190"/>
      </w:tabs>
      <w:adjustRightInd w:val="0"/>
      <w:snapToGrid w:val="0"/>
      <w:spacing w:line="360" w:lineRule="auto"/>
      <w:jc w:val="center"/>
    </w:pPr>
    <w:rPr>
      <w:rFonts w:ascii="宋体" w:hAnsi="宋体"/>
      <w:kern w:val="0"/>
      <w:sz w:val="32"/>
      <w:szCs w:val="28"/>
    </w:rPr>
  </w:style>
  <w:style w:type="character" w:customStyle="1" w:styleId="364">
    <w:name w:val="正文文本 (2) + Georgia8"/>
    <w:qFormat/>
    <w:uiPriority w:val="99"/>
    <w:rPr>
      <w:rFonts w:ascii="Georgia" w:hAnsi="Georgia" w:eastAsia="MingLiU" w:cs="Georgia"/>
      <w:sz w:val="20"/>
      <w:szCs w:val="20"/>
      <w:u w:val="none"/>
      <w:shd w:val="clear" w:color="auto" w:fill="FFFFFF"/>
      <w:lang w:val="en-US" w:eastAsia="en-US"/>
    </w:rPr>
  </w:style>
  <w:style w:type="character" w:customStyle="1" w:styleId="365">
    <w:name w:val="环评正文 Char"/>
    <w:qFormat/>
    <w:uiPriority w:val="0"/>
    <w:rPr>
      <w:rFonts w:ascii="仿宋_GB2312" w:hAnsi="Times New Roman" w:eastAsia="仿宋_GB2312" w:cs="宋体"/>
      <w:sz w:val="28"/>
      <w:szCs w:val="20"/>
    </w:rPr>
  </w:style>
  <w:style w:type="character" w:customStyle="1" w:styleId="366">
    <w:name w:val="正文文本 (2) + 10 pt16"/>
    <w:qFormat/>
    <w:uiPriority w:val="99"/>
    <w:rPr>
      <w:rFonts w:ascii="MingLiU" w:eastAsia="MingLiU" w:cs="MingLiU"/>
      <w:spacing w:val="120"/>
      <w:sz w:val="20"/>
      <w:szCs w:val="20"/>
      <w:u w:val="none"/>
      <w:shd w:val="clear" w:color="auto" w:fill="FFFFFF"/>
    </w:rPr>
  </w:style>
  <w:style w:type="character" w:customStyle="1" w:styleId="367">
    <w:name w:val="干标题(a) Char Char"/>
    <w:qFormat/>
    <w:uiPriority w:val="0"/>
    <w:rPr>
      <w:rFonts w:ascii="Arial" w:hAnsi="Arial" w:eastAsia="黑体"/>
      <w:kern w:val="2"/>
      <w:sz w:val="21"/>
      <w:szCs w:val="21"/>
    </w:rPr>
  </w:style>
  <w:style w:type="character" w:customStyle="1" w:styleId="368">
    <w:name w:val="样式 样式 标题 3条标题头标题3H3h33rd level第二层条标题 3 Char小标题小节标题标题 3 C...3 + 自... Char"/>
    <w:link w:val="369"/>
    <w:qFormat/>
    <w:uiPriority w:val="0"/>
    <w:rPr>
      <w:rFonts w:ascii="黑体" w:hAnsi="Times New Roman" w:eastAsia="黑体"/>
      <w:sz w:val="24"/>
      <w:szCs w:val="24"/>
    </w:rPr>
  </w:style>
  <w:style w:type="paragraph" w:customStyle="1" w:styleId="369">
    <w:name w:val="样式 样式 标题 3条标题头标题3H3h33rd level第二层条标题 3 Char小标题小节标题标题 3 C...3 + 自..."/>
    <w:basedOn w:val="370"/>
    <w:link w:val="368"/>
    <w:qFormat/>
    <w:uiPriority w:val="0"/>
    <w:rPr>
      <w:rFonts w:ascii="黑体" w:cstheme="minorBidi"/>
      <w:color w:val="auto"/>
    </w:rPr>
  </w:style>
  <w:style w:type="paragraph" w:customStyle="1" w:styleId="370">
    <w:name w:val="样式 标题 3条标题头标题3H3h33rd level第二层条标题 3 Char小标题小节标题标题 3 C...3"/>
    <w:basedOn w:val="6"/>
    <w:next w:val="1"/>
    <w:qFormat/>
    <w:uiPriority w:val="0"/>
    <w:pPr>
      <w:keepLines/>
      <w:numPr>
        <w:ilvl w:val="0"/>
        <w:numId w:val="0"/>
      </w:numPr>
      <w:adjustRightInd/>
      <w:snapToGrid/>
      <w:spacing w:before="0" w:line="720" w:lineRule="auto"/>
    </w:pPr>
    <w:rPr>
      <w:rFonts w:ascii="Times New Roman" w:hAnsi="Times New Roman" w:cs="Times New Roman"/>
      <w:bCs/>
      <w:color w:val="000000"/>
      <w:kern w:val="0"/>
    </w:rPr>
  </w:style>
  <w:style w:type="character" w:customStyle="1" w:styleId="371">
    <w:name w:val="yyp Char Char"/>
    <w:link w:val="372"/>
    <w:qFormat/>
    <w:uiPriority w:val="0"/>
    <w:rPr>
      <w:rFonts w:ascii="Times New Roman" w:hAnsi="Times New Roman"/>
      <w:sz w:val="24"/>
      <w:szCs w:val="24"/>
    </w:rPr>
  </w:style>
  <w:style w:type="paragraph" w:customStyle="1" w:styleId="372">
    <w:name w:val="yyp"/>
    <w:basedOn w:val="79"/>
    <w:link w:val="371"/>
    <w:qFormat/>
    <w:uiPriority w:val="0"/>
    <w:pPr>
      <w:widowControl w:val="0"/>
      <w:spacing w:line="360" w:lineRule="auto"/>
      <w:ind w:firstLine="480" w:firstLineChars="200"/>
    </w:pPr>
    <w:rPr>
      <w:rFonts w:ascii="Times New Roman" w:hAnsi="Times New Roman" w:eastAsiaTheme="minorEastAsia" w:cstheme="minorBidi"/>
      <w:color w:val="auto"/>
      <w:kern w:val="0"/>
      <w:szCs w:val="24"/>
    </w:rPr>
  </w:style>
  <w:style w:type="character" w:customStyle="1" w:styleId="373">
    <w:name w:val="Char Char22"/>
    <w:qFormat/>
    <w:uiPriority w:val="0"/>
    <w:rPr>
      <w:rFonts w:eastAsia="宋体"/>
      <w:kern w:val="2"/>
      <w:sz w:val="24"/>
      <w:szCs w:val="24"/>
      <w:lang w:val="en-US" w:eastAsia="zh-CN" w:bidi="ar-SA"/>
    </w:rPr>
  </w:style>
  <w:style w:type="character" w:customStyle="1" w:styleId="374">
    <w:name w:val="正文1 Char Char"/>
    <w:link w:val="375"/>
    <w:qFormat/>
    <w:uiPriority w:val="0"/>
    <w:rPr>
      <w:rFonts w:ascii="宋体" w:eastAsia="Times New Roman"/>
      <w:kern w:val="2"/>
      <w:sz w:val="24"/>
      <w:szCs w:val="22"/>
    </w:rPr>
  </w:style>
  <w:style w:type="paragraph" w:customStyle="1" w:styleId="375">
    <w:name w:val="正文12"/>
    <w:link w:val="374"/>
    <w:qFormat/>
    <w:uiPriority w:val="0"/>
    <w:pPr>
      <w:widowControl w:val="0"/>
      <w:adjustRightInd w:val="0"/>
      <w:spacing w:line="360" w:lineRule="atLeast"/>
      <w:textAlignment w:val="baseline"/>
    </w:pPr>
    <w:rPr>
      <w:rFonts w:ascii="宋体" w:eastAsia="Times New Roman" w:hAnsiTheme="minorHAnsi" w:cstheme="minorBidi"/>
      <w:kern w:val="2"/>
      <w:sz w:val="24"/>
      <w:szCs w:val="22"/>
      <w:lang w:val="en-US" w:eastAsia="zh-CN" w:bidi="ar-SA"/>
    </w:rPr>
  </w:style>
  <w:style w:type="character" w:customStyle="1" w:styleId="376">
    <w:name w:val="正文11 Char Char Char Char Char"/>
    <w:qFormat/>
    <w:uiPriority w:val="0"/>
    <w:rPr>
      <w:rFonts w:ascii="宋体" w:hAnsi="宋体" w:eastAsia="宋体"/>
      <w:snapToGrid w:val="0"/>
      <w:sz w:val="24"/>
      <w:szCs w:val="24"/>
      <w:lang w:val="en-US" w:eastAsia="zh-CN" w:bidi="ar-SA"/>
    </w:rPr>
  </w:style>
  <w:style w:type="character" w:customStyle="1" w:styleId="377">
    <w:name w:val="表文字 Char1"/>
    <w:qFormat/>
    <w:locked/>
    <w:uiPriority w:val="0"/>
    <w:rPr>
      <w:szCs w:val="21"/>
      <w:lang w:val="en-US" w:eastAsia="zh-CN" w:bidi="ar-SA"/>
    </w:rPr>
  </w:style>
  <w:style w:type="character" w:customStyle="1" w:styleId="378">
    <w:name w:val="正文00 Char"/>
    <w:link w:val="379"/>
    <w:qFormat/>
    <w:uiPriority w:val="0"/>
    <w:rPr>
      <w:rFonts w:ascii="Times New Roman" w:hAnsi="Times New Roman" w:cs="宋体"/>
      <w:kern w:val="2"/>
      <w:sz w:val="24"/>
      <w:szCs w:val="24"/>
    </w:rPr>
  </w:style>
  <w:style w:type="paragraph" w:customStyle="1" w:styleId="379">
    <w:name w:val="正文00"/>
    <w:basedOn w:val="1"/>
    <w:next w:val="380"/>
    <w:link w:val="378"/>
    <w:qFormat/>
    <w:uiPriority w:val="0"/>
    <w:pPr>
      <w:spacing w:line="360" w:lineRule="auto"/>
      <w:ind w:firstLine="480" w:firstLineChars="200"/>
      <w:jc w:val="left"/>
    </w:pPr>
    <w:rPr>
      <w:rFonts w:ascii="Times New Roman" w:hAnsi="Times New Roman" w:cs="宋体"/>
      <w:sz w:val="24"/>
      <w:szCs w:val="24"/>
    </w:rPr>
  </w:style>
  <w:style w:type="paragraph" w:customStyle="1" w:styleId="380">
    <w:name w:val="样式 Times New Roman 五号 居中1"/>
    <w:basedOn w:val="1"/>
    <w:qFormat/>
    <w:uiPriority w:val="0"/>
    <w:pPr>
      <w:jc w:val="center"/>
    </w:pPr>
    <w:rPr>
      <w:rFonts w:ascii="Times New Roman" w:hAnsi="Times New Roman" w:eastAsia="宋体" w:cs="宋体"/>
      <w:szCs w:val="20"/>
    </w:rPr>
  </w:style>
  <w:style w:type="character" w:customStyle="1" w:styleId="381">
    <w:name w:val="小小标题 Char Char"/>
    <w:link w:val="382"/>
    <w:qFormat/>
    <w:uiPriority w:val="0"/>
    <w:rPr>
      <w:rFonts w:ascii="仿宋_GB2312" w:hAnsi="Times New Roman" w:eastAsia="黑体"/>
      <w:b/>
      <w:sz w:val="24"/>
      <w:szCs w:val="32"/>
      <w:lang w:val="zh-CN"/>
    </w:rPr>
  </w:style>
  <w:style w:type="paragraph" w:customStyle="1" w:styleId="382">
    <w:name w:val="小小标题"/>
    <w:basedOn w:val="1"/>
    <w:link w:val="381"/>
    <w:qFormat/>
    <w:uiPriority w:val="0"/>
    <w:pPr>
      <w:widowControl/>
      <w:topLinePunct/>
      <w:spacing w:line="360" w:lineRule="auto"/>
      <w:ind w:firstLine="482"/>
      <w:jc w:val="left"/>
    </w:pPr>
    <w:rPr>
      <w:rFonts w:ascii="仿宋_GB2312" w:hAnsi="Times New Roman" w:eastAsia="黑体"/>
      <w:b/>
      <w:kern w:val="0"/>
      <w:sz w:val="24"/>
      <w:szCs w:val="32"/>
      <w:lang w:val="zh-CN"/>
    </w:rPr>
  </w:style>
  <w:style w:type="character" w:customStyle="1" w:styleId="383">
    <w:name w:val="sort"/>
    <w:basedOn w:val="83"/>
    <w:qFormat/>
    <w:uiPriority w:val="0"/>
  </w:style>
  <w:style w:type="character" w:customStyle="1" w:styleId="384">
    <w:name w:val="正文文本 (2) + 10 pt15"/>
    <w:qFormat/>
    <w:uiPriority w:val="99"/>
    <w:rPr>
      <w:rFonts w:ascii="MingLiU" w:eastAsia="MingLiU" w:cs="MingLiU"/>
      <w:sz w:val="20"/>
      <w:szCs w:val="20"/>
      <w:u w:val="none"/>
      <w:shd w:val="clear" w:color="auto" w:fill="FFFFFF"/>
    </w:rPr>
  </w:style>
  <w:style w:type="character" w:customStyle="1" w:styleId="385">
    <w:name w:val="bds_nopic1"/>
    <w:basedOn w:val="83"/>
    <w:qFormat/>
    <w:uiPriority w:val="0"/>
  </w:style>
  <w:style w:type="character" w:customStyle="1" w:styleId="386">
    <w:name w:val="纯文本2"/>
    <w:qFormat/>
    <w:uiPriority w:val="0"/>
    <w:rPr>
      <w:rFonts w:ascii="宋体" w:hAnsi="Courier New" w:eastAsia="宋体"/>
      <w:kern w:val="2"/>
      <w:sz w:val="21"/>
      <w:lang w:val="en-US" w:eastAsia="zh-CN" w:bidi="ar-SA"/>
    </w:rPr>
  </w:style>
  <w:style w:type="character" w:customStyle="1" w:styleId="387">
    <w:name w:val="Char Char23"/>
    <w:qFormat/>
    <w:uiPriority w:val="0"/>
    <w:rPr>
      <w:sz w:val="18"/>
    </w:rPr>
  </w:style>
  <w:style w:type="character" w:customStyle="1" w:styleId="388">
    <w:name w:val="正文文字缩进 2 Char Char Char"/>
    <w:qFormat/>
    <w:uiPriority w:val="0"/>
    <w:rPr>
      <w:rFonts w:ascii="宋体" w:eastAsia="宋体"/>
      <w:kern w:val="2"/>
      <w:sz w:val="28"/>
      <w:lang w:val="en-US" w:eastAsia="zh-CN" w:bidi="ar-SA"/>
    </w:rPr>
  </w:style>
  <w:style w:type="character" w:customStyle="1" w:styleId="389">
    <w:name w:val="样式 样式 段前: 0.5 行 + 首行缩进:  2 字符 段前: 0.5 行 Char Char"/>
    <w:link w:val="390"/>
    <w:qFormat/>
    <w:uiPriority w:val="0"/>
    <w:rPr>
      <w:rFonts w:ascii="Times New Roman" w:hAnsi="Times New Roman"/>
      <w:color w:val="000000"/>
      <w:sz w:val="24"/>
    </w:rPr>
  </w:style>
  <w:style w:type="paragraph" w:customStyle="1" w:styleId="390">
    <w:name w:val="样式 样式 段前: 0.5 行 + 首行缩进:  2 字符 段前: 0.5 行"/>
    <w:basedOn w:val="1"/>
    <w:link w:val="389"/>
    <w:qFormat/>
    <w:uiPriority w:val="0"/>
    <w:pPr>
      <w:widowControl/>
      <w:autoSpaceDE w:val="0"/>
      <w:autoSpaceDN w:val="0"/>
      <w:spacing w:beforeLines="50" w:line="360" w:lineRule="auto"/>
      <w:ind w:firstLine="480" w:firstLineChars="200"/>
    </w:pPr>
    <w:rPr>
      <w:rFonts w:ascii="Times New Roman" w:hAnsi="Times New Roman"/>
      <w:color w:val="000000"/>
      <w:kern w:val="0"/>
      <w:sz w:val="24"/>
      <w:szCs w:val="20"/>
    </w:rPr>
  </w:style>
  <w:style w:type="character" w:customStyle="1" w:styleId="391">
    <w:name w:val="图1-1 Char Char"/>
    <w:qFormat/>
    <w:uiPriority w:val="0"/>
    <w:rPr>
      <w:rFonts w:eastAsia="宋体"/>
      <w:b/>
      <w:spacing w:val="12"/>
      <w:w w:val="90"/>
      <w:kern w:val="2"/>
      <w:sz w:val="21"/>
      <w:szCs w:val="24"/>
      <w:lang w:val="en-US" w:eastAsia="zh-CN" w:bidi="ar-SA"/>
    </w:rPr>
  </w:style>
  <w:style w:type="character" w:customStyle="1" w:styleId="392">
    <w:name w:val="正文文本 (2) + 10 pt5"/>
    <w:qFormat/>
    <w:uiPriority w:val="99"/>
    <w:rPr>
      <w:rFonts w:ascii="MingLiU" w:eastAsia="MingLiU" w:cs="MingLiU"/>
      <w:spacing w:val="50"/>
      <w:sz w:val="20"/>
      <w:szCs w:val="20"/>
      <w:u w:val="none"/>
      <w:shd w:val="clear" w:color="auto" w:fill="FFFFFF"/>
    </w:rPr>
  </w:style>
  <w:style w:type="character" w:customStyle="1" w:styleId="393">
    <w:name w:val="电子邮件签名 Char1"/>
    <w:qFormat/>
    <w:uiPriority w:val="99"/>
    <w:rPr>
      <w:rFonts w:ascii="Calibri" w:hAnsi="Calibri" w:eastAsia="宋体" w:cs="Times New Roman"/>
    </w:rPr>
  </w:style>
  <w:style w:type="character" w:customStyle="1" w:styleId="394">
    <w:name w:val="标题 Char4"/>
    <w:qFormat/>
    <w:locked/>
    <w:uiPriority w:val="0"/>
    <w:rPr>
      <w:rFonts w:ascii="Arial" w:hAnsi="Arial"/>
      <w:b/>
      <w:sz w:val="32"/>
    </w:rPr>
  </w:style>
  <w:style w:type="character" w:customStyle="1" w:styleId="395">
    <w:name w:val="样式 表4.1 + 黑色 Char Char"/>
    <w:link w:val="396"/>
    <w:qFormat/>
    <w:uiPriority w:val="99"/>
    <w:rPr>
      <w:rFonts w:ascii="黑体" w:hAnsi="Times New Roman" w:eastAsia="黑体"/>
      <w:b/>
      <w:bCs/>
      <w:color w:val="000000"/>
      <w:kern w:val="2"/>
      <w:sz w:val="24"/>
      <w:szCs w:val="26"/>
    </w:rPr>
  </w:style>
  <w:style w:type="paragraph" w:customStyle="1" w:styleId="396">
    <w:name w:val="样式 表4.1 + 黑色"/>
    <w:basedOn w:val="1"/>
    <w:link w:val="395"/>
    <w:qFormat/>
    <w:uiPriority w:val="99"/>
    <w:pPr>
      <w:tabs>
        <w:tab w:val="left" w:pos="726"/>
        <w:tab w:val="center" w:pos="4060"/>
        <w:tab w:val="right" w:pos="8261"/>
      </w:tabs>
      <w:suppressAutoHyphens/>
      <w:adjustRightInd w:val="0"/>
      <w:spacing w:before="240" w:line="0" w:lineRule="atLeast"/>
      <w:ind w:left="2" w:firstLine="4"/>
    </w:pPr>
    <w:rPr>
      <w:rFonts w:ascii="黑体" w:hAnsi="Times New Roman" w:eastAsia="黑体"/>
      <w:b/>
      <w:bCs/>
      <w:color w:val="000000"/>
      <w:sz w:val="24"/>
      <w:szCs w:val="26"/>
    </w:rPr>
  </w:style>
  <w:style w:type="character" w:customStyle="1" w:styleId="397">
    <w:name w:val="Char Char18"/>
    <w:qFormat/>
    <w:uiPriority w:val="0"/>
    <w:rPr>
      <w:rFonts w:eastAsia="宋体"/>
      <w:kern w:val="2"/>
      <w:sz w:val="24"/>
      <w:szCs w:val="24"/>
      <w:lang w:val="en-US" w:eastAsia="zh-CN" w:bidi="ar-SA"/>
    </w:rPr>
  </w:style>
  <w:style w:type="character" w:customStyle="1" w:styleId="398">
    <w:name w:val="description"/>
    <w:basedOn w:val="83"/>
    <w:qFormat/>
    <w:uiPriority w:val="0"/>
  </w:style>
  <w:style w:type="character" w:customStyle="1" w:styleId="399">
    <w:name w:val="Char Char28"/>
    <w:qFormat/>
    <w:uiPriority w:val="0"/>
    <w:rPr>
      <w:rFonts w:hint="default" w:ascii="Times New Roman" w:hAnsi="Times New Roman" w:eastAsia="黑体" w:cs="Times New Roman"/>
      <w:sz w:val="24"/>
      <w:szCs w:val="24"/>
    </w:rPr>
  </w:style>
  <w:style w:type="character" w:customStyle="1" w:styleId="400">
    <w:name w:val="样式 样式 方正宋三简体 14 磅 行距: 1.5 倍行距1 + 首行缩进:  2 字符 Char Char"/>
    <w:link w:val="401"/>
    <w:qFormat/>
    <w:uiPriority w:val="0"/>
    <w:rPr>
      <w:rFonts w:ascii="宋体" w:hAnsi="方正宋三简体"/>
      <w:sz w:val="27"/>
      <w:szCs w:val="27"/>
    </w:rPr>
  </w:style>
  <w:style w:type="paragraph" w:customStyle="1" w:styleId="401">
    <w:name w:val="样式 样式 方正宋三简体 14 磅 行距: 1.5 倍行距1 + 首行缩进:  2 字符"/>
    <w:basedOn w:val="1"/>
    <w:link w:val="400"/>
    <w:qFormat/>
    <w:uiPriority w:val="0"/>
    <w:pPr>
      <w:ind w:firstLine="200" w:firstLineChars="200"/>
    </w:pPr>
    <w:rPr>
      <w:rFonts w:ascii="宋体" w:hAnsi="方正宋三简体"/>
      <w:kern w:val="0"/>
      <w:sz w:val="27"/>
      <w:szCs w:val="27"/>
    </w:rPr>
  </w:style>
  <w:style w:type="character" w:customStyle="1" w:styleId="402">
    <w:name w:val="Char Char25"/>
    <w:qFormat/>
    <w:uiPriority w:val="0"/>
    <w:rPr>
      <w:rFonts w:ascii="宋体" w:eastAsia="宋体"/>
      <w:color w:val="000000"/>
      <w:sz w:val="36"/>
      <w:lang w:val="en-US" w:eastAsia="zh-CN" w:bidi="ar-SA"/>
    </w:rPr>
  </w:style>
  <w:style w:type="character" w:customStyle="1" w:styleId="403">
    <w:name w:val="Char Char Char Char11"/>
    <w:qFormat/>
    <w:uiPriority w:val="0"/>
    <w:rPr>
      <w:rFonts w:hint="eastAsia" w:ascii="宋体" w:hAnsi="Courier New" w:eastAsia="宋体" w:cs="Courier New"/>
      <w:sz w:val="21"/>
      <w:szCs w:val="21"/>
      <w:lang w:val="en-US" w:eastAsia="zh-CN" w:bidi="ar-SA"/>
    </w:rPr>
  </w:style>
  <w:style w:type="character" w:customStyle="1" w:styleId="404">
    <w:name w:val="body text 1 Char Char Char"/>
    <w:link w:val="405"/>
    <w:qFormat/>
    <w:uiPriority w:val="0"/>
    <w:rPr>
      <w:rFonts w:ascii="Times New Roman" w:hAnsi="Times New Roman"/>
      <w:snapToGrid w:val="0"/>
      <w:kern w:val="2"/>
      <w:sz w:val="24"/>
      <w:szCs w:val="24"/>
    </w:rPr>
  </w:style>
  <w:style w:type="paragraph" w:customStyle="1" w:styleId="405">
    <w:name w:val="body text 1"/>
    <w:basedOn w:val="348"/>
    <w:link w:val="404"/>
    <w:qFormat/>
    <w:uiPriority w:val="0"/>
    <w:pPr>
      <w:tabs>
        <w:tab w:val="clear" w:pos="567"/>
      </w:tabs>
      <w:spacing w:line="360" w:lineRule="auto"/>
      <w:ind w:left="0" w:firstLine="475"/>
    </w:pPr>
    <w:rPr>
      <w:rFonts w:ascii="Times New Roman" w:eastAsiaTheme="minorEastAsia" w:cstheme="minorBidi"/>
      <w:snapToGrid w:val="0"/>
      <w:szCs w:val="24"/>
    </w:rPr>
  </w:style>
  <w:style w:type="character" w:customStyle="1" w:styleId="406">
    <w:name w:val="bt Char1"/>
    <w:qFormat/>
    <w:uiPriority w:val="0"/>
    <w:rPr>
      <w:kern w:val="2"/>
      <w:sz w:val="21"/>
      <w:szCs w:val="22"/>
    </w:rPr>
  </w:style>
  <w:style w:type="character" w:customStyle="1" w:styleId="407">
    <w:name w:val="bds_more2"/>
    <w:basedOn w:val="83"/>
    <w:qFormat/>
    <w:uiPriority w:val="0"/>
  </w:style>
  <w:style w:type="character" w:customStyle="1" w:styleId="408">
    <w:name w:val="font191"/>
    <w:qFormat/>
    <w:uiPriority w:val="0"/>
    <w:rPr>
      <w:rFonts w:hint="default" w:ascii="Times New Roman" w:hAnsi="Times New Roman" w:cs="Times New Roman"/>
      <w:b/>
      <w:bCs/>
      <w:color w:val="000000"/>
      <w:sz w:val="22"/>
      <w:szCs w:val="22"/>
      <w:u w:val="none"/>
    </w:rPr>
  </w:style>
  <w:style w:type="character" w:customStyle="1" w:styleId="409">
    <w:name w:val="样式 德胜表格内容 + 紧缩量  0.6 磅 Char Char"/>
    <w:basedOn w:val="410"/>
    <w:link w:val="412"/>
    <w:qFormat/>
    <w:uiPriority w:val="0"/>
    <w:rPr>
      <w:snapToGrid w:val="0"/>
      <w:color w:val="0000FF"/>
      <w:szCs w:val="21"/>
    </w:rPr>
  </w:style>
  <w:style w:type="character" w:customStyle="1" w:styleId="410">
    <w:name w:val="德胜表格内容 Char Char"/>
    <w:link w:val="411"/>
    <w:qFormat/>
    <w:uiPriority w:val="0"/>
    <w:rPr>
      <w:snapToGrid w:val="0"/>
      <w:color w:val="0000FF"/>
      <w:szCs w:val="21"/>
    </w:rPr>
  </w:style>
  <w:style w:type="paragraph" w:customStyle="1" w:styleId="411">
    <w:name w:val="德胜表格内容"/>
    <w:basedOn w:val="1"/>
    <w:link w:val="410"/>
    <w:qFormat/>
    <w:uiPriority w:val="0"/>
    <w:pPr>
      <w:adjustRightInd w:val="0"/>
      <w:snapToGrid w:val="0"/>
      <w:jc w:val="center"/>
    </w:pPr>
    <w:rPr>
      <w:snapToGrid w:val="0"/>
      <w:color w:val="0000FF"/>
      <w:kern w:val="0"/>
      <w:sz w:val="20"/>
    </w:rPr>
  </w:style>
  <w:style w:type="paragraph" w:customStyle="1" w:styleId="412">
    <w:name w:val="样式 德胜表格内容 + 紧缩量  0.6 磅"/>
    <w:basedOn w:val="411"/>
    <w:link w:val="409"/>
    <w:qFormat/>
    <w:uiPriority w:val="0"/>
  </w:style>
  <w:style w:type="character" w:customStyle="1" w:styleId="413">
    <w:name w:val="sidecatalog-index1"/>
    <w:qFormat/>
    <w:uiPriority w:val="0"/>
    <w:rPr>
      <w:rFonts w:ascii="Arial" w:hAnsi="Arial" w:cs="Arial"/>
      <w:b/>
      <w:color w:val="999999"/>
      <w:sz w:val="21"/>
      <w:szCs w:val="21"/>
    </w:rPr>
  </w:style>
  <w:style w:type="character" w:customStyle="1" w:styleId="414">
    <w:name w:val="font-family:times"/>
    <w:basedOn w:val="83"/>
    <w:qFormat/>
    <w:uiPriority w:val="0"/>
  </w:style>
  <w:style w:type="character" w:customStyle="1" w:styleId="415">
    <w:name w:val="bds_more1"/>
    <w:basedOn w:val="83"/>
    <w:qFormat/>
    <w:uiPriority w:val="0"/>
  </w:style>
  <w:style w:type="character" w:customStyle="1" w:styleId="416">
    <w:name w:val="Table Head Char Char"/>
    <w:link w:val="417"/>
    <w:qFormat/>
    <w:uiPriority w:val="0"/>
    <w:rPr>
      <w:rFonts w:ascii="Arial" w:hAnsi="Arial" w:eastAsia="仿宋_GB2312"/>
      <w:b/>
      <w:sz w:val="18"/>
      <w:szCs w:val="24"/>
    </w:rPr>
  </w:style>
  <w:style w:type="paragraph" w:customStyle="1" w:styleId="417">
    <w:name w:val="Table Head"/>
    <w:basedOn w:val="1"/>
    <w:next w:val="1"/>
    <w:link w:val="416"/>
    <w:qFormat/>
    <w:uiPriority w:val="0"/>
    <w:pPr>
      <w:spacing w:before="80" w:after="80"/>
      <w:jc w:val="center"/>
    </w:pPr>
    <w:rPr>
      <w:rFonts w:ascii="Arial" w:hAnsi="Arial" w:eastAsia="仿宋_GB2312"/>
      <w:b/>
      <w:kern w:val="0"/>
      <w:sz w:val="18"/>
      <w:szCs w:val="24"/>
    </w:rPr>
  </w:style>
  <w:style w:type="character" w:customStyle="1" w:styleId="418">
    <w:name w:val="css-text3"/>
    <w:basedOn w:val="83"/>
    <w:qFormat/>
    <w:uiPriority w:val="0"/>
  </w:style>
  <w:style w:type="character" w:customStyle="1" w:styleId="419">
    <w:name w:val="正文11 Char Char1"/>
    <w:qFormat/>
    <w:uiPriority w:val="0"/>
    <w:rPr>
      <w:rFonts w:ascii="宋体" w:hAnsi="宋体" w:eastAsia="宋体"/>
      <w:snapToGrid w:val="0"/>
      <w:sz w:val="24"/>
      <w:szCs w:val="24"/>
      <w:lang w:val="en-US" w:eastAsia="zh-CN" w:bidi="ar-SA"/>
    </w:rPr>
  </w:style>
  <w:style w:type="character" w:customStyle="1" w:styleId="420">
    <w:name w:val="Normal Char Char"/>
    <w:link w:val="421"/>
    <w:qFormat/>
    <w:uiPriority w:val="0"/>
    <w:rPr>
      <w:rFonts w:ascii="宋体" w:hAnsi="Times New Roman"/>
      <w:kern w:val="2"/>
      <w:sz w:val="34"/>
      <w:szCs w:val="22"/>
    </w:rPr>
  </w:style>
  <w:style w:type="paragraph" w:customStyle="1" w:styleId="421">
    <w:name w:val="正文2"/>
    <w:link w:val="420"/>
    <w:qFormat/>
    <w:uiPriority w:val="0"/>
    <w:pPr>
      <w:widowControl w:val="0"/>
      <w:adjustRightInd w:val="0"/>
      <w:spacing w:line="360" w:lineRule="atLeast"/>
      <w:textAlignment w:val="baseline"/>
    </w:pPr>
    <w:rPr>
      <w:rFonts w:ascii="宋体" w:hAnsi="Times New Roman" w:eastAsiaTheme="minorEastAsia" w:cstheme="minorBidi"/>
      <w:kern w:val="2"/>
      <w:sz w:val="34"/>
      <w:szCs w:val="22"/>
      <w:lang w:val="en-US" w:eastAsia="zh-CN" w:bidi="ar-SA"/>
    </w:rPr>
  </w:style>
  <w:style w:type="character" w:customStyle="1" w:styleId="422">
    <w:name w:val="Char Char131"/>
    <w:qFormat/>
    <w:uiPriority w:val="0"/>
    <w:rPr>
      <w:sz w:val="18"/>
      <w:szCs w:val="18"/>
    </w:rPr>
  </w:style>
  <w:style w:type="character" w:customStyle="1" w:styleId="423">
    <w:name w:val="标题 1 Char1 Char"/>
    <w:qFormat/>
    <w:uiPriority w:val="0"/>
    <w:rPr>
      <w:rFonts w:ascii="宋体" w:hAnsi="宋体"/>
      <w:b/>
      <w:kern w:val="44"/>
      <w:sz w:val="44"/>
      <w:szCs w:val="30"/>
    </w:rPr>
  </w:style>
  <w:style w:type="character" w:customStyle="1" w:styleId="424">
    <w:name w:val="表13.9 Char Char"/>
    <w:link w:val="425"/>
    <w:qFormat/>
    <w:uiPriority w:val="0"/>
    <w:rPr>
      <w:rFonts w:ascii="黑体" w:hAnsi="Times New Roman" w:eastAsia="黑体"/>
      <w:b/>
      <w:sz w:val="24"/>
      <w:szCs w:val="24"/>
    </w:rPr>
  </w:style>
  <w:style w:type="paragraph" w:customStyle="1" w:styleId="425">
    <w:name w:val="表13.9"/>
    <w:basedOn w:val="1"/>
    <w:link w:val="424"/>
    <w:qFormat/>
    <w:uiPriority w:val="0"/>
    <w:pPr>
      <w:tabs>
        <w:tab w:val="left" w:pos="4080"/>
        <w:tab w:val="right" w:pos="8261"/>
      </w:tabs>
      <w:suppressAutoHyphens/>
      <w:adjustRightInd w:val="0"/>
      <w:spacing w:before="240" w:line="0" w:lineRule="atLeast"/>
      <w:ind w:left="3420" w:hanging="420"/>
    </w:pPr>
    <w:rPr>
      <w:rFonts w:ascii="黑体" w:hAnsi="Times New Roman" w:eastAsia="黑体"/>
      <w:b/>
      <w:kern w:val="0"/>
      <w:sz w:val="24"/>
      <w:szCs w:val="24"/>
    </w:rPr>
  </w:style>
  <w:style w:type="character" w:customStyle="1" w:styleId="426">
    <w:name w:val="question-title2"/>
    <w:basedOn w:val="83"/>
    <w:qFormat/>
    <w:uiPriority w:val="0"/>
  </w:style>
  <w:style w:type="character" w:customStyle="1" w:styleId="427">
    <w:name w:val="表格内容1 Char"/>
    <w:qFormat/>
    <w:uiPriority w:val="0"/>
    <w:rPr>
      <w:rFonts w:ascii="仿宋" w:hAnsi="仿宋" w:eastAsia="仿宋"/>
      <w:kern w:val="2"/>
      <w:sz w:val="21"/>
      <w:szCs w:val="21"/>
    </w:rPr>
  </w:style>
  <w:style w:type="character" w:customStyle="1" w:styleId="428">
    <w:name w:val="Char Char19"/>
    <w:qFormat/>
    <w:uiPriority w:val="0"/>
    <w:rPr>
      <w:rFonts w:eastAsia="黑体"/>
      <w:kern w:val="2"/>
      <w:sz w:val="24"/>
      <w:szCs w:val="24"/>
      <w:lang w:val="en-US" w:eastAsia="zh-CN" w:bidi="ar-SA"/>
    </w:rPr>
  </w:style>
  <w:style w:type="character" w:customStyle="1" w:styleId="429">
    <w:name w:val="Char Char251"/>
    <w:qFormat/>
    <w:uiPriority w:val="0"/>
    <w:rPr>
      <w:rFonts w:ascii="宋体" w:eastAsia="宋体"/>
      <w:color w:val="000000"/>
      <w:sz w:val="36"/>
      <w:lang w:val="en-US" w:eastAsia="zh-CN" w:bidi="ar-SA"/>
    </w:rPr>
  </w:style>
  <w:style w:type="character" w:customStyle="1" w:styleId="430">
    <w:name w:val="批注框文本 Char Char"/>
    <w:qFormat/>
    <w:uiPriority w:val="0"/>
    <w:rPr>
      <w:rFonts w:ascii="Times New Roman" w:hAnsi="Times New Roman" w:eastAsia="宋体" w:cs="Times New Roman"/>
      <w:sz w:val="18"/>
      <w:szCs w:val="18"/>
    </w:rPr>
  </w:style>
  <w:style w:type="character" w:customStyle="1" w:styleId="431">
    <w:name w:val="正文文本缩进 Char"/>
    <w:link w:val="432"/>
    <w:qFormat/>
    <w:uiPriority w:val="0"/>
    <w:rPr>
      <w:rFonts w:ascii="Times New Roman" w:hAnsi="Times New Roman" w:eastAsia="宋体" w:cs="Times New Roman"/>
      <w:szCs w:val="24"/>
    </w:rPr>
  </w:style>
  <w:style w:type="paragraph" w:customStyle="1" w:styleId="432">
    <w:name w:val="正文文本缩进1"/>
    <w:basedOn w:val="1"/>
    <w:link w:val="431"/>
    <w:qFormat/>
    <w:uiPriority w:val="0"/>
    <w:pPr>
      <w:ind w:firstLine="574"/>
    </w:pPr>
    <w:rPr>
      <w:rFonts w:ascii="Times New Roman" w:hAnsi="Times New Roman" w:eastAsia="宋体" w:cs="Times New Roman"/>
      <w:kern w:val="0"/>
      <w:sz w:val="20"/>
      <w:szCs w:val="24"/>
    </w:rPr>
  </w:style>
  <w:style w:type="character" w:customStyle="1" w:styleId="433">
    <w:name w:val="标题3.5 Char Char"/>
    <w:link w:val="434"/>
    <w:qFormat/>
    <w:uiPriority w:val="0"/>
    <w:rPr>
      <w:rFonts w:ascii="仿宋_GB2312" w:hAnsi="Times New Roman" w:eastAsia="黑体"/>
      <w:b/>
      <w:sz w:val="28"/>
      <w:szCs w:val="32"/>
    </w:rPr>
  </w:style>
  <w:style w:type="paragraph" w:customStyle="1" w:styleId="434">
    <w:name w:val="标题3.5"/>
    <w:basedOn w:val="435"/>
    <w:next w:val="436"/>
    <w:link w:val="433"/>
    <w:qFormat/>
    <w:uiPriority w:val="0"/>
    <w:pPr>
      <w:spacing w:beforeLines="100"/>
    </w:pPr>
    <w:rPr>
      <w:rFonts w:hAnsi="Times New Roman" w:cstheme="minorBidi"/>
    </w:rPr>
  </w:style>
  <w:style w:type="paragraph" w:customStyle="1" w:styleId="435">
    <w:name w:val="标题3"/>
    <w:basedOn w:val="1"/>
    <w:next w:val="1"/>
    <w:link w:val="437"/>
    <w:qFormat/>
    <w:uiPriority w:val="0"/>
    <w:pPr>
      <w:topLinePunct/>
      <w:spacing w:line="360" w:lineRule="auto"/>
      <w:jc w:val="left"/>
      <w:outlineLvl w:val="2"/>
    </w:pPr>
    <w:rPr>
      <w:rFonts w:ascii="仿宋_GB2312" w:hAnsi="Calibri" w:eastAsia="黑体" w:cs="Times New Roman"/>
      <w:b/>
      <w:kern w:val="0"/>
      <w:sz w:val="28"/>
      <w:szCs w:val="32"/>
    </w:rPr>
  </w:style>
  <w:style w:type="paragraph" w:customStyle="1" w:styleId="436">
    <w:name w:val="环评正文"/>
    <w:basedOn w:val="1"/>
    <w:next w:val="1"/>
    <w:link w:val="438"/>
    <w:qFormat/>
    <w:uiPriority w:val="0"/>
    <w:pPr>
      <w:widowControl/>
      <w:spacing w:line="360" w:lineRule="auto"/>
      <w:ind w:firstLine="200" w:firstLineChars="200"/>
      <w:jc w:val="left"/>
    </w:pPr>
    <w:rPr>
      <w:rFonts w:ascii="仿宋_GB2312" w:hAnsi="Times New Roman" w:eastAsia="仿宋_GB2312" w:cs="宋体"/>
      <w:kern w:val="0"/>
      <w:sz w:val="28"/>
      <w:szCs w:val="20"/>
    </w:rPr>
  </w:style>
  <w:style w:type="character" w:customStyle="1" w:styleId="437">
    <w:name w:val="标题3 Char Char"/>
    <w:link w:val="435"/>
    <w:qFormat/>
    <w:uiPriority w:val="0"/>
    <w:rPr>
      <w:rFonts w:ascii="仿宋_GB2312" w:hAnsi="Calibri" w:eastAsia="黑体" w:cs="Times New Roman"/>
      <w:b/>
      <w:sz w:val="28"/>
      <w:szCs w:val="32"/>
    </w:rPr>
  </w:style>
  <w:style w:type="character" w:customStyle="1" w:styleId="438">
    <w:name w:val="环评正文 Char Char"/>
    <w:link w:val="436"/>
    <w:qFormat/>
    <w:uiPriority w:val="0"/>
    <w:rPr>
      <w:rFonts w:ascii="仿宋_GB2312" w:hAnsi="Times New Roman" w:eastAsia="仿宋_GB2312" w:cs="宋体"/>
      <w:sz w:val="28"/>
    </w:rPr>
  </w:style>
  <w:style w:type="character" w:customStyle="1" w:styleId="439">
    <w:name w:val="正文文本缩进 3 Char1"/>
    <w:qFormat/>
    <w:uiPriority w:val="0"/>
    <w:rPr>
      <w:rFonts w:ascii="Calibri" w:hAnsi="Calibri" w:eastAsia="宋体" w:cs="Times New Roman"/>
      <w:sz w:val="16"/>
      <w:szCs w:val="16"/>
    </w:rPr>
  </w:style>
  <w:style w:type="character" w:customStyle="1" w:styleId="440">
    <w:name w:val="span1"/>
    <w:basedOn w:val="83"/>
    <w:qFormat/>
    <w:uiPriority w:val="0"/>
  </w:style>
  <w:style w:type="character" w:customStyle="1" w:styleId="441">
    <w:name w:val="Char Char21"/>
    <w:qFormat/>
    <w:uiPriority w:val="0"/>
    <w:rPr>
      <w:rFonts w:eastAsia="宋体"/>
      <w:kern w:val="2"/>
      <w:sz w:val="21"/>
      <w:szCs w:val="24"/>
      <w:lang w:val="en-US" w:eastAsia="zh-CN" w:bidi="ar-SA"/>
    </w:rPr>
  </w:style>
  <w:style w:type="character" w:customStyle="1" w:styleId="442">
    <w:name w:val="表4.10 Char Char"/>
    <w:link w:val="443"/>
    <w:qFormat/>
    <w:uiPriority w:val="99"/>
    <w:rPr>
      <w:rFonts w:ascii="黑体" w:hAnsi="Times New Roman" w:eastAsia="黑体" w:cs="宋体"/>
      <w:b/>
      <w:bCs/>
      <w:color w:val="000000"/>
      <w:spacing w:val="6"/>
      <w:kern w:val="2"/>
      <w:sz w:val="24"/>
      <w:szCs w:val="24"/>
    </w:rPr>
  </w:style>
  <w:style w:type="paragraph" w:customStyle="1" w:styleId="443">
    <w:name w:val="表4.10"/>
    <w:basedOn w:val="1"/>
    <w:link w:val="442"/>
    <w:qFormat/>
    <w:uiPriority w:val="99"/>
    <w:pPr>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cs="宋体"/>
      <w:b/>
      <w:bCs/>
      <w:color w:val="000000"/>
      <w:spacing w:val="6"/>
      <w:sz w:val="24"/>
      <w:szCs w:val="24"/>
    </w:rPr>
  </w:style>
  <w:style w:type="character" w:customStyle="1" w:styleId="444">
    <w:name w:val="样式 尾注引用"/>
    <w:qFormat/>
    <w:uiPriority w:val="0"/>
    <w:rPr>
      <w:rFonts w:ascii="Times New Roman" w:hAnsi="Times New Roman" w:eastAsia="宋体"/>
      <w:sz w:val="24"/>
      <w:szCs w:val="28"/>
      <w:vertAlign w:val="superscript"/>
    </w:rPr>
  </w:style>
  <w:style w:type="character" w:customStyle="1" w:styleId="445">
    <w:name w:val="表格备注 Char"/>
    <w:link w:val="446"/>
    <w:qFormat/>
    <w:uiPriority w:val="0"/>
    <w:rPr>
      <w:rFonts w:ascii="Times New Roman" w:hAnsi="Times New Roman" w:eastAsia="仿宋_GB2312"/>
    </w:rPr>
  </w:style>
  <w:style w:type="paragraph" w:customStyle="1" w:styleId="446">
    <w:name w:val="表格备注"/>
    <w:basedOn w:val="1"/>
    <w:link w:val="445"/>
    <w:qFormat/>
    <w:uiPriority w:val="0"/>
    <w:pPr>
      <w:adjustRightInd w:val="0"/>
      <w:snapToGrid w:val="0"/>
      <w:ind w:firstLine="200" w:firstLineChars="200"/>
    </w:pPr>
    <w:rPr>
      <w:rFonts w:ascii="Times New Roman" w:hAnsi="Times New Roman" w:eastAsia="仿宋_GB2312"/>
      <w:kern w:val="0"/>
      <w:sz w:val="20"/>
      <w:szCs w:val="20"/>
    </w:rPr>
  </w:style>
  <w:style w:type="character" w:customStyle="1" w:styleId="447">
    <w:name w:val="表题 Char1"/>
    <w:link w:val="448"/>
    <w:qFormat/>
    <w:uiPriority w:val="0"/>
    <w:rPr>
      <w:rFonts w:ascii="仿宋_GB2312" w:hAnsi="Times New Roman"/>
      <w:b/>
      <w:sz w:val="24"/>
      <w:szCs w:val="28"/>
    </w:rPr>
  </w:style>
  <w:style w:type="paragraph" w:customStyle="1" w:styleId="448">
    <w:name w:val="表题"/>
    <w:basedOn w:val="1"/>
    <w:link w:val="447"/>
    <w:qFormat/>
    <w:uiPriority w:val="0"/>
    <w:pPr>
      <w:tabs>
        <w:tab w:val="left" w:pos="0"/>
      </w:tabs>
      <w:spacing w:line="300" w:lineRule="exact"/>
      <w:ind w:firstLine="300" w:firstLineChars="300"/>
    </w:pPr>
    <w:rPr>
      <w:rFonts w:ascii="仿宋_GB2312" w:hAnsi="Times New Roman"/>
      <w:b/>
      <w:kern w:val="0"/>
      <w:sz w:val="24"/>
      <w:szCs w:val="28"/>
    </w:rPr>
  </w:style>
  <w:style w:type="character" w:customStyle="1" w:styleId="449">
    <w:name w:val="Char Char2"/>
    <w:qFormat/>
    <w:uiPriority w:val="0"/>
    <w:rPr>
      <w:rFonts w:hint="eastAsia" w:ascii="宋体" w:hAnsi="宋体" w:eastAsia="宋体"/>
      <w:kern w:val="2"/>
      <w:sz w:val="36"/>
      <w:lang w:val="en-US" w:eastAsia="zh-CN" w:bidi="ar-SA"/>
    </w:rPr>
  </w:style>
  <w:style w:type="character" w:customStyle="1" w:styleId="450">
    <w:name w:val="正文 + 首行缩进:  2 字符 Char Char"/>
    <w:qFormat/>
    <w:uiPriority w:val="0"/>
    <w:rPr>
      <w:rFonts w:eastAsia="宋体"/>
      <w:spacing w:val="12"/>
      <w:kern w:val="2"/>
      <w:sz w:val="24"/>
      <w:lang w:val="en-US" w:eastAsia="zh-CN" w:bidi="ar-SA"/>
    </w:rPr>
  </w:style>
  <w:style w:type="character" w:customStyle="1" w:styleId="451">
    <w:name w:val="style131"/>
    <w:qFormat/>
    <w:uiPriority w:val="0"/>
    <w:rPr>
      <w:rFonts w:hint="default" w:ascii="Arial" w:hAnsi="Arial" w:cs="Arial"/>
      <w:sz w:val="18"/>
      <w:szCs w:val="18"/>
    </w:rPr>
  </w:style>
  <w:style w:type="character" w:customStyle="1" w:styleId="452">
    <w:name w:val="bgbt Char Char"/>
    <w:link w:val="453"/>
    <w:semiHidden/>
    <w:qFormat/>
    <w:uiPriority w:val="0"/>
    <w:rPr>
      <w:rFonts w:ascii="黑体" w:hAnsi="Times New Roman" w:eastAsia="黑体"/>
      <w:sz w:val="24"/>
    </w:rPr>
  </w:style>
  <w:style w:type="paragraph" w:customStyle="1" w:styleId="453">
    <w:name w:val="bgbt"/>
    <w:basedOn w:val="1"/>
    <w:link w:val="452"/>
    <w:semiHidden/>
    <w:qFormat/>
    <w:uiPriority w:val="0"/>
    <w:pPr>
      <w:jc w:val="center"/>
    </w:pPr>
    <w:rPr>
      <w:rFonts w:ascii="黑体" w:hAnsi="Times New Roman" w:eastAsia="黑体"/>
      <w:kern w:val="0"/>
      <w:sz w:val="24"/>
      <w:szCs w:val="20"/>
    </w:rPr>
  </w:style>
  <w:style w:type="character" w:customStyle="1" w:styleId="454">
    <w:name w:val="st"/>
    <w:basedOn w:val="83"/>
    <w:qFormat/>
    <w:uiPriority w:val="0"/>
  </w:style>
  <w:style w:type="character" w:customStyle="1" w:styleId="455">
    <w:name w:val="标题1.1.1.1.1 Char"/>
    <w:qFormat/>
    <w:uiPriority w:val="0"/>
    <w:rPr>
      <w:b/>
      <w:bCs/>
      <w:kern w:val="2"/>
      <w:sz w:val="28"/>
      <w:szCs w:val="28"/>
    </w:rPr>
  </w:style>
  <w:style w:type="character" w:customStyle="1" w:styleId="456">
    <w:name w:val="表格文字 Char Char Char"/>
    <w:qFormat/>
    <w:uiPriority w:val="0"/>
    <w:rPr>
      <w:rFonts w:eastAsia="宋体"/>
      <w:kern w:val="2"/>
      <w:sz w:val="21"/>
      <w:lang w:val="en-US" w:eastAsia="zh-CN" w:bidi="ar-SA"/>
    </w:rPr>
  </w:style>
  <w:style w:type="character" w:customStyle="1" w:styleId="457">
    <w:name w:val="11 Char Char"/>
    <w:link w:val="458"/>
    <w:qFormat/>
    <w:uiPriority w:val="0"/>
    <w:rPr>
      <w:rFonts w:ascii="仿宋_GB2312" w:hAnsi="Times New Roman" w:eastAsia="仿宋_GB2312"/>
      <w:color w:val="0000FF"/>
      <w:sz w:val="24"/>
      <w:szCs w:val="24"/>
    </w:rPr>
  </w:style>
  <w:style w:type="paragraph" w:customStyle="1" w:styleId="458">
    <w:name w:val="11"/>
    <w:basedOn w:val="32"/>
    <w:link w:val="457"/>
    <w:qFormat/>
    <w:uiPriority w:val="0"/>
    <w:pPr>
      <w:autoSpaceDE w:val="0"/>
      <w:autoSpaceDN w:val="0"/>
      <w:adjustRightInd w:val="0"/>
      <w:spacing w:after="0" w:line="360" w:lineRule="auto"/>
      <w:ind w:firstLine="480" w:firstLineChars="200"/>
      <w:jc w:val="left"/>
      <w:textAlignment w:val="baseline"/>
    </w:pPr>
    <w:rPr>
      <w:rFonts w:ascii="仿宋_GB2312" w:hAnsi="Times New Roman" w:eastAsia="仿宋_GB2312"/>
      <w:color w:val="0000FF"/>
      <w:kern w:val="0"/>
      <w:sz w:val="24"/>
      <w:szCs w:val="24"/>
    </w:rPr>
  </w:style>
  <w:style w:type="character" w:customStyle="1" w:styleId="459">
    <w:name w:val="Char21"/>
    <w:qFormat/>
    <w:uiPriority w:val="0"/>
    <w:rPr>
      <w:rFonts w:hint="eastAsia" w:ascii="宋体" w:hAnsi="宋体" w:eastAsia="宋体"/>
      <w:b/>
      <w:bCs/>
      <w:kern w:val="44"/>
      <w:sz w:val="44"/>
      <w:szCs w:val="44"/>
      <w:lang w:val="en-US" w:eastAsia="zh-CN" w:bidi="ar-SA"/>
    </w:rPr>
  </w:style>
  <w:style w:type="character" w:customStyle="1" w:styleId="460">
    <w:name w:val="样式 首行缩进:  2 字符 Char Char"/>
    <w:link w:val="461"/>
    <w:qFormat/>
    <w:uiPriority w:val="0"/>
    <w:rPr>
      <w:rFonts w:ascii="宋体" w:cs="宋体"/>
      <w:sz w:val="28"/>
      <w:szCs w:val="28"/>
    </w:rPr>
  </w:style>
  <w:style w:type="paragraph" w:customStyle="1" w:styleId="461">
    <w:name w:val="样式 首行缩进:  2 字符"/>
    <w:basedOn w:val="1"/>
    <w:link w:val="460"/>
    <w:qFormat/>
    <w:uiPriority w:val="0"/>
    <w:pPr>
      <w:spacing w:line="440" w:lineRule="exact"/>
      <w:ind w:firstLine="200" w:firstLineChars="200"/>
    </w:pPr>
    <w:rPr>
      <w:rFonts w:ascii="宋体" w:cs="宋体"/>
      <w:kern w:val="0"/>
      <w:sz w:val="28"/>
      <w:szCs w:val="28"/>
    </w:rPr>
  </w:style>
  <w:style w:type="character" w:customStyle="1" w:styleId="462">
    <w:name w:val="标题 3 Char"/>
    <w:qFormat/>
    <w:uiPriority w:val="9"/>
    <w:rPr>
      <w:rFonts w:ascii="Calibri" w:hAnsi="Calibri" w:eastAsia="宋体" w:cs="Times New Roman"/>
      <w:b/>
      <w:bCs/>
      <w:sz w:val="32"/>
      <w:szCs w:val="32"/>
    </w:rPr>
  </w:style>
  <w:style w:type="character" w:customStyle="1" w:styleId="463">
    <w:name w:val="款 Char Char"/>
    <w:qFormat/>
    <w:uiPriority w:val="0"/>
    <w:rPr>
      <w:rFonts w:ascii="Arial" w:hAnsi="Arial" w:eastAsia="宋体" w:cs="Times New Roman"/>
      <w:b/>
      <w:bCs/>
      <w:sz w:val="24"/>
      <w:szCs w:val="28"/>
    </w:rPr>
  </w:style>
  <w:style w:type="character" w:customStyle="1" w:styleId="464">
    <w:name w:val="批注框文本 Char1"/>
    <w:qFormat/>
    <w:uiPriority w:val="99"/>
    <w:rPr>
      <w:rFonts w:ascii="Calibri" w:hAnsi="Calibri" w:eastAsia="宋体" w:cs="Times New Roman"/>
      <w:sz w:val="18"/>
      <w:szCs w:val="18"/>
    </w:rPr>
  </w:style>
  <w:style w:type="character" w:customStyle="1" w:styleId="465">
    <w:name w:val="赵一级标题 Char Char"/>
    <w:link w:val="466"/>
    <w:qFormat/>
    <w:uiPriority w:val="0"/>
    <w:rPr>
      <w:b/>
      <w:bCs/>
      <w:kern w:val="2"/>
      <w:sz w:val="24"/>
      <w:szCs w:val="24"/>
    </w:rPr>
  </w:style>
  <w:style w:type="paragraph" w:customStyle="1" w:styleId="466">
    <w:name w:val="赵一级标题"/>
    <w:basedOn w:val="1"/>
    <w:link w:val="465"/>
    <w:qFormat/>
    <w:uiPriority w:val="0"/>
    <w:rPr>
      <w:b/>
      <w:bCs/>
      <w:sz w:val="24"/>
      <w:szCs w:val="24"/>
    </w:rPr>
  </w:style>
  <w:style w:type="character" w:customStyle="1" w:styleId="467">
    <w:name w:val="BG Char Char"/>
    <w:link w:val="468"/>
    <w:semiHidden/>
    <w:qFormat/>
    <w:uiPriority w:val="0"/>
    <w:rPr>
      <w:rFonts w:ascii="Times New Roman" w:hAnsi="Times New Roman"/>
    </w:rPr>
  </w:style>
  <w:style w:type="paragraph" w:customStyle="1" w:styleId="468">
    <w:name w:val="BG"/>
    <w:basedOn w:val="1"/>
    <w:link w:val="467"/>
    <w:semiHidden/>
    <w:qFormat/>
    <w:uiPriority w:val="0"/>
    <w:pPr>
      <w:adjustRightInd w:val="0"/>
      <w:snapToGrid w:val="0"/>
      <w:jc w:val="center"/>
    </w:pPr>
    <w:rPr>
      <w:rFonts w:ascii="Times New Roman" w:hAnsi="Times New Roman"/>
      <w:kern w:val="0"/>
      <w:sz w:val="20"/>
      <w:szCs w:val="20"/>
    </w:rPr>
  </w:style>
  <w:style w:type="character" w:customStyle="1" w:styleId="469">
    <w:name w:val="grame"/>
    <w:basedOn w:val="83"/>
    <w:qFormat/>
    <w:uiPriority w:val="0"/>
  </w:style>
  <w:style w:type="character" w:customStyle="1" w:styleId="470">
    <w:name w:val="Char Char181"/>
    <w:qFormat/>
    <w:uiPriority w:val="0"/>
    <w:rPr>
      <w:rFonts w:eastAsia="宋体"/>
      <w:kern w:val="2"/>
      <w:sz w:val="24"/>
      <w:szCs w:val="24"/>
      <w:lang w:val="en-US" w:eastAsia="zh-CN" w:bidi="ar-SA"/>
    </w:rPr>
  </w:style>
  <w:style w:type="character" w:customStyle="1" w:styleId="471">
    <w:name w:val="正文1 Char Char Char"/>
    <w:qFormat/>
    <w:locked/>
    <w:uiPriority w:val="0"/>
    <w:rPr>
      <w:rFonts w:ascii="仿宋_GB2312" w:hAnsi="Times New Roman" w:eastAsia="仿宋_GB2312"/>
      <w:kern w:val="2"/>
      <w:sz w:val="28"/>
      <w:szCs w:val="28"/>
    </w:rPr>
  </w:style>
  <w:style w:type="character" w:customStyle="1" w:styleId="472">
    <w:name w:val="1.1.1标题 3 Char"/>
    <w:qFormat/>
    <w:uiPriority w:val="0"/>
    <w:rPr>
      <w:rFonts w:eastAsia="宋体"/>
      <w:spacing w:val="8"/>
      <w:kern w:val="2"/>
      <w:sz w:val="24"/>
      <w:lang w:bidi="ar-SA"/>
    </w:rPr>
  </w:style>
  <w:style w:type="character" w:customStyle="1" w:styleId="473">
    <w:name w:val="环评正文2 Char Char"/>
    <w:link w:val="474"/>
    <w:qFormat/>
    <w:uiPriority w:val="0"/>
    <w:rPr>
      <w:rFonts w:ascii="宋体" w:hAnsi="宋体" w:eastAsia="仿宋_GB2312"/>
      <w:color w:val="000000"/>
      <w:kern w:val="16"/>
      <w:sz w:val="24"/>
      <w:szCs w:val="24"/>
    </w:rPr>
  </w:style>
  <w:style w:type="paragraph" w:customStyle="1" w:styleId="474">
    <w:name w:val="环评正文2"/>
    <w:basedOn w:val="1"/>
    <w:link w:val="473"/>
    <w:qFormat/>
    <w:uiPriority w:val="0"/>
    <w:pPr>
      <w:spacing w:line="360" w:lineRule="auto"/>
      <w:ind w:firstLine="200" w:firstLineChars="200"/>
    </w:pPr>
    <w:rPr>
      <w:rFonts w:ascii="宋体" w:hAnsi="宋体" w:eastAsia="仿宋_GB2312"/>
      <w:color w:val="000000"/>
      <w:kern w:val="16"/>
      <w:sz w:val="24"/>
      <w:szCs w:val="24"/>
    </w:rPr>
  </w:style>
  <w:style w:type="character" w:customStyle="1" w:styleId="475">
    <w:name w:val="content"/>
    <w:basedOn w:val="83"/>
    <w:qFormat/>
    <w:uiPriority w:val="0"/>
  </w:style>
  <w:style w:type="character" w:customStyle="1" w:styleId="476">
    <w:name w:val="图表标题 Char"/>
    <w:qFormat/>
    <w:uiPriority w:val="0"/>
    <w:rPr>
      <w:rFonts w:ascii="Times New Roman" w:hAnsi="Times New Roman" w:eastAsia="仿宋_GB2312" w:cs="Times New Roman"/>
      <w:color w:val="000000"/>
      <w:kern w:val="0"/>
      <w:sz w:val="24"/>
      <w:szCs w:val="21"/>
    </w:rPr>
  </w:style>
  <w:style w:type="character" w:customStyle="1" w:styleId="477">
    <w:name w:val="123YJ Char"/>
    <w:qFormat/>
    <w:uiPriority w:val="0"/>
    <w:rPr>
      <w:rFonts w:eastAsia="宋体"/>
      <w:kern w:val="2"/>
      <w:sz w:val="18"/>
      <w:szCs w:val="18"/>
      <w:lang w:val="en-US" w:eastAsia="zh-CN" w:bidi="ar-SA"/>
    </w:rPr>
  </w:style>
  <w:style w:type="character" w:customStyle="1" w:styleId="478">
    <w:name w:val="表格-题注（OPCC宋体） Char Char"/>
    <w:link w:val="479"/>
    <w:qFormat/>
    <w:uiPriority w:val="0"/>
    <w:rPr>
      <w:rFonts w:ascii="楷体_GB2312" w:hAnsi="Times New Roman" w:eastAsia="楷体_GB2312" w:cs="宋体"/>
      <w:snapToGrid w:val="0"/>
      <w:szCs w:val="21"/>
    </w:rPr>
  </w:style>
  <w:style w:type="paragraph" w:customStyle="1" w:styleId="479">
    <w:name w:val="表格-题注（OPCC宋体）"/>
    <w:basedOn w:val="1"/>
    <w:link w:val="478"/>
    <w:qFormat/>
    <w:uiPriority w:val="0"/>
    <w:pPr>
      <w:spacing w:line="336" w:lineRule="auto"/>
      <w:ind w:firstLine="420" w:firstLineChars="200"/>
      <w:jc w:val="center"/>
    </w:pPr>
    <w:rPr>
      <w:rFonts w:ascii="楷体_GB2312" w:hAnsi="Times New Roman" w:eastAsia="楷体_GB2312" w:cs="宋体"/>
      <w:snapToGrid w:val="0"/>
      <w:kern w:val="0"/>
      <w:sz w:val="20"/>
    </w:rPr>
  </w:style>
  <w:style w:type="character" w:customStyle="1" w:styleId="480">
    <w:name w:val="font31"/>
    <w:qFormat/>
    <w:uiPriority w:val="0"/>
    <w:rPr>
      <w:rFonts w:hint="default" w:ascii="ˎ̥" w:hAnsi="ˎ̥"/>
      <w:color w:val="000000"/>
      <w:sz w:val="36"/>
      <w:u w:val="none"/>
    </w:rPr>
  </w:style>
  <w:style w:type="character" w:customStyle="1" w:styleId="481">
    <w:name w:val="表内字 Char Char"/>
    <w:link w:val="482"/>
    <w:qFormat/>
    <w:uiPriority w:val="0"/>
    <w:rPr>
      <w:rFonts w:ascii="Times New Roman" w:hAnsi="Times New Roman"/>
      <w:color w:val="000000"/>
      <w:kern w:val="2"/>
      <w:sz w:val="21"/>
      <w:szCs w:val="22"/>
    </w:rPr>
  </w:style>
  <w:style w:type="paragraph" w:customStyle="1" w:styleId="482">
    <w:name w:val="表内字"/>
    <w:link w:val="481"/>
    <w:qFormat/>
    <w:uiPriority w:val="0"/>
    <w:pPr>
      <w:spacing w:line="312" w:lineRule="auto"/>
      <w:jc w:val="center"/>
    </w:pPr>
    <w:rPr>
      <w:rFonts w:ascii="Times New Roman" w:hAnsi="Times New Roman" w:eastAsiaTheme="minorEastAsia" w:cstheme="minorBidi"/>
      <w:color w:val="000000"/>
      <w:kern w:val="2"/>
      <w:sz w:val="21"/>
      <w:szCs w:val="22"/>
      <w:lang w:val="en-US" w:eastAsia="zh-CN" w:bidi="ar-SA"/>
    </w:rPr>
  </w:style>
  <w:style w:type="character" w:customStyle="1" w:styleId="483">
    <w:name w:val="st1"/>
    <w:basedOn w:val="83"/>
    <w:qFormat/>
    <w:uiPriority w:val="0"/>
  </w:style>
  <w:style w:type="character" w:customStyle="1" w:styleId="484">
    <w:name w:val="apple-style-span"/>
    <w:basedOn w:val="83"/>
    <w:qFormat/>
    <w:uiPriority w:val="0"/>
  </w:style>
  <w:style w:type="character" w:customStyle="1" w:styleId="485">
    <w:name w:val="样式 正文首行缩进 + 隶书 Char Char"/>
    <w:link w:val="486"/>
    <w:qFormat/>
    <w:uiPriority w:val="0"/>
    <w:rPr>
      <w:rFonts w:ascii="宋体" w:hAnsi="隶书"/>
      <w:color w:val="000000"/>
      <w:sz w:val="24"/>
      <w:szCs w:val="24"/>
    </w:rPr>
  </w:style>
  <w:style w:type="paragraph" w:customStyle="1" w:styleId="486">
    <w:name w:val="样式 正文首行缩进 + 隶书"/>
    <w:basedOn w:val="32"/>
    <w:link w:val="485"/>
    <w:qFormat/>
    <w:uiPriority w:val="0"/>
    <w:rPr>
      <w:rFonts w:ascii="宋体" w:hAnsi="隶书"/>
      <w:color w:val="000000"/>
      <w:kern w:val="0"/>
      <w:sz w:val="24"/>
      <w:szCs w:val="24"/>
    </w:rPr>
  </w:style>
  <w:style w:type="character" w:customStyle="1" w:styleId="487">
    <w:name w:val="Char Char151"/>
    <w:qFormat/>
    <w:uiPriority w:val="0"/>
    <w:rPr>
      <w:kern w:val="2"/>
      <w:sz w:val="24"/>
      <w:lang w:bidi="ar-SA"/>
    </w:rPr>
  </w:style>
  <w:style w:type="character" w:customStyle="1" w:styleId="488">
    <w:name w:val="正文文本缩进 3 Char Char"/>
    <w:qFormat/>
    <w:uiPriority w:val="0"/>
    <w:rPr>
      <w:rFonts w:ascii="Times New Roman" w:hAnsi="Times New Roman" w:eastAsia="宋体" w:cs="Times New Roman"/>
      <w:sz w:val="24"/>
      <w:szCs w:val="20"/>
    </w:rPr>
  </w:style>
  <w:style w:type="character" w:customStyle="1" w:styleId="489">
    <w:name w:val="报告正文-连续目录 Char Char"/>
    <w:link w:val="490"/>
    <w:qFormat/>
    <w:uiPriority w:val="0"/>
    <w:rPr>
      <w:rFonts w:ascii="Arial" w:hAnsi="Arial"/>
      <w:snapToGrid w:val="0"/>
      <w:sz w:val="24"/>
      <w:szCs w:val="24"/>
    </w:rPr>
  </w:style>
  <w:style w:type="paragraph" w:customStyle="1" w:styleId="490">
    <w:name w:val="报告正文-连续目录"/>
    <w:basedOn w:val="1"/>
    <w:link w:val="489"/>
    <w:qFormat/>
    <w:uiPriority w:val="0"/>
    <w:pPr>
      <w:spacing w:line="440" w:lineRule="exact"/>
      <w:ind w:firstLine="200" w:firstLineChars="200"/>
    </w:pPr>
    <w:rPr>
      <w:rFonts w:ascii="Arial" w:hAnsi="Arial"/>
      <w:snapToGrid w:val="0"/>
      <w:kern w:val="0"/>
      <w:sz w:val="24"/>
      <w:szCs w:val="24"/>
    </w:rPr>
  </w:style>
  <w:style w:type="character" w:customStyle="1" w:styleId="491">
    <w:name w:val="font41"/>
    <w:basedOn w:val="83"/>
    <w:qFormat/>
    <w:uiPriority w:val="0"/>
    <w:rPr>
      <w:rFonts w:hint="default" w:ascii="Times New Roman" w:hAnsi="Times New Roman" w:cs="Times New Roman"/>
      <w:color w:val="000000"/>
      <w:sz w:val="21"/>
      <w:szCs w:val="21"/>
      <w:u w:val="none"/>
      <w:vertAlign w:val="superscript"/>
    </w:rPr>
  </w:style>
  <w:style w:type="character" w:customStyle="1" w:styleId="492">
    <w:name w:val="正文文本缩进 2 Char1"/>
    <w:qFormat/>
    <w:uiPriority w:val="0"/>
    <w:rPr>
      <w:rFonts w:ascii="Times New Roman" w:hAnsi="Times New Roman" w:eastAsia="宋体" w:cs="Times New Roman"/>
      <w:szCs w:val="24"/>
    </w:rPr>
  </w:style>
  <w:style w:type="character" w:customStyle="1" w:styleId="493">
    <w:name w:val="font-family:宋体"/>
    <w:basedOn w:val="83"/>
    <w:qFormat/>
    <w:uiPriority w:val="0"/>
  </w:style>
  <w:style w:type="character" w:customStyle="1" w:styleId="494">
    <w:name w:val="表格1 Char Char"/>
    <w:qFormat/>
    <w:uiPriority w:val="0"/>
    <w:rPr>
      <w:rFonts w:ascii="宋体" w:hAnsi="宋体" w:eastAsia="宋体"/>
      <w:snapToGrid w:val="0"/>
      <w:sz w:val="24"/>
      <w:szCs w:val="28"/>
      <w:lang w:bidi="ar-SA"/>
    </w:rPr>
  </w:style>
  <w:style w:type="character" w:customStyle="1" w:styleId="495">
    <w:name w:val="表格小四 Char Char"/>
    <w:link w:val="496"/>
    <w:qFormat/>
    <w:uiPriority w:val="0"/>
    <w:rPr>
      <w:rFonts w:ascii="宋体" w:hAnsi="宋体"/>
      <w:snapToGrid w:val="0"/>
      <w:sz w:val="24"/>
      <w:szCs w:val="28"/>
    </w:rPr>
  </w:style>
  <w:style w:type="paragraph" w:customStyle="1" w:styleId="496">
    <w:name w:val="表格小四"/>
    <w:basedOn w:val="1"/>
    <w:link w:val="495"/>
    <w:qFormat/>
    <w:uiPriority w:val="0"/>
    <w:pPr>
      <w:adjustRightInd w:val="0"/>
      <w:snapToGrid w:val="0"/>
      <w:jc w:val="center"/>
    </w:pPr>
    <w:rPr>
      <w:rFonts w:ascii="宋体" w:hAnsi="宋体"/>
      <w:snapToGrid w:val="0"/>
      <w:kern w:val="0"/>
      <w:sz w:val="24"/>
      <w:szCs w:val="28"/>
    </w:rPr>
  </w:style>
  <w:style w:type="character" w:customStyle="1" w:styleId="497">
    <w:name w:val="标题 Char"/>
    <w:qFormat/>
    <w:uiPriority w:val="10"/>
    <w:rPr>
      <w:rFonts w:ascii="Cambria" w:hAnsi="Cambria" w:eastAsia="宋体" w:cs="Times New Roman"/>
      <w:b/>
      <w:bCs/>
      <w:sz w:val="32"/>
      <w:szCs w:val="32"/>
    </w:rPr>
  </w:style>
  <w:style w:type="character" w:customStyle="1" w:styleId="498">
    <w:name w:val="表中正文 Char Char Char Char Char Char Char Char Char Char Char Char Char Char Char Char Char Char Char Char Char Char Char Char Char Char Char Char Char Char Char Char Char Char Char Char Char Char Char Char Char Char"/>
    <w:link w:val="499"/>
    <w:qFormat/>
    <w:uiPriority w:val="0"/>
    <w:rPr>
      <w:rFonts w:ascii="宋体" w:hAnsi="Arial" w:eastAsia="仿宋_GB2312"/>
      <w:szCs w:val="24"/>
    </w:rPr>
  </w:style>
  <w:style w:type="paragraph" w:customStyle="1" w:styleId="499">
    <w:name w:val="表中正文 Char Char Char Char Char Char Char Char Char Char Char Char Char Char Char Char Char Char Char Char Char Char Char Char Char Char Char Char Char Char Char Char Char Char Char Char Char Char Char Char"/>
    <w:basedOn w:val="1"/>
    <w:link w:val="498"/>
    <w:qFormat/>
    <w:uiPriority w:val="0"/>
    <w:pPr>
      <w:autoSpaceDE w:val="0"/>
      <w:autoSpaceDN w:val="0"/>
      <w:adjustRightInd w:val="0"/>
      <w:snapToGrid w:val="0"/>
      <w:jc w:val="center"/>
      <w:textAlignment w:val="baseline"/>
    </w:pPr>
    <w:rPr>
      <w:rFonts w:ascii="宋体" w:hAnsi="Arial" w:eastAsia="仿宋_GB2312"/>
      <w:kern w:val="0"/>
      <w:sz w:val="20"/>
      <w:szCs w:val="24"/>
    </w:rPr>
  </w:style>
  <w:style w:type="character" w:customStyle="1" w:styleId="500">
    <w:name w:val="bds_more4"/>
    <w:basedOn w:val="83"/>
    <w:qFormat/>
    <w:uiPriority w:val="0"/>
  </w:style>
  <w:style w:type="character" w:customStyle="1" w:styleId="501">
    <w:name w:val="标题 5 Char1"/>
    <w:qFormat/>
    <w:uiPriority w:val="0"/>
    <w:rPr>
      <w:rFonts w:ascii="Times New Roman" w:hAnsi="Times New Roman" w:eastAsia="宋体" w:cs="Times New Roman"/>
      <w:b/>
      <w:bCs/>
      <w:sz w:val="28"/>
      <w:szCs w:val="28"/>
    </w:rPr>
  </w:style>
  <w:style w:type="character" w:customStyle="1" w:styleId="502">
    <w:name w:val="Char Char9"/>
    <w:qFormat/>
    <w:uiPriority w:val="0"/>
    <w:rPr>
      <w:rFonts w:hint="eastAsia" w:ascii="宋体" w:hAnsi="宋体" w:eastAsia="宋体"/>
      <w:color w:val="000000"/>
      <w:sz w:val="36"/>
      <w:lang w:val="en-US" w:eastAsia="zh-CN" w:bidi="ar-SA"/>
    </w:rPr>
  </w:style>
  <w:style w:type="character" w:customStyle="1" w:styleId="503">
    <w:name w:val="style16 style57"/>
    <w:basedOn w:val="83"/>
    <w:qFormat/>
    <w:uiPriority w:val="0"/>
  </w:style>
  <w:style w:type="character" w:customStyle="1" w:styleId="504">
    <w:name w:val="正文文本 (2) + AngsanaUPC10"/>
    <w:qFormat/>
    <w:uiPriority w:val="99"/>
    <w:rPr>
      <w:rFonts w:ascii="AngsanaUPC" w:hAnsi="AngsanaUPC" w:eastAsia="MingLiU" w:cs="AngsanaUPC"/>
      <w:sz w:val="22"/>
      <w:szCs w:val="22"/>
      <w:u w:val="none"/>
      <w:shd w:val="clear" w:color="auto" w:fill="FFFFFF"/>
      <w:lang w:val="en-US" w:eastAsia="en-US"/>
    </w:rPr>
  </w:style>
  <w:style w:type="character" w:customStyle="1" w:styleId="505">
    <w:name w:val="样式 样式 1.1标题2 Char + 小三 加粗 +"/>
    <w:basedOn w:val="506"/>
    <w:qFormat/>
    <w:uiPriority w:val="0"/>
    <w:rPr>
      <w:rFonts w:ascii="Arial" w:hAnsi="Arial" w:eastAsia="黑体"/>
      <w:kern w:val="2"/>
      <w:sz w:val="30"/>
      <w:szCs w:val="32"/>
      <w:lang w:val="en-US" w:eastAsia="zh-CN" w:bidi="ar-SA"/>
    </w:rPr>
  </w:style>
  <w:style w:type="character" w:customStyle="1" w:styleId="506">
    <w:name w:val="样式 1.1标题2 Char + 小三 加粗"/>
    <w:qFormat/>
    <w:uiPriority w:val="0"/>
    <w:rPr>
      <w:rFonts w:ascii="Arial" w:hAnsi="Arial" w:eastAsia="黑体"/>
      <w:bCs/>
      <w:kern w:val="2"/>
      <w:sz w:val="30"/>
      <w:szCs w:val="32"/>
      <w:lang w:val="en-US" w:eastAsia="zh-CN" w:bidi="ar-SA"/>
    </w:rPr>
  </w:style>
  <w:style w:type="character" w:customStyle="1" w:styleId="507">
    <w:name w:val="正文文本 (9) + 间距 1 pt2"/>
    <w:qFormat/>
    <w:uiPriority w:val="99"/>
    <w:rPr>
      <w:rFonts w:ascii="MingLiU" w:eastAsia="MingLiU" w:cs="MingLiU"/>
      <w:spacing w:val="20"/>
      <w:shd w:val="clear" w:color="auto" w:fill="FFFFFF"/>
    </w:rPr>
  </w:style>
  <w:style w:type="character" w:customStyle="1" w:styleId="508">
    <w:name w:val="textjianju21"/>
    <w:qFormat/>
    <w:uiPriority w:val="0"/>
    <w:rPr>
      <w:color w:val="000000"/>
    </w:rPr>
  </w:style>
  <w:style w:type="character" w:customStyle="1" w:styleId="509">
    <w:name w:val="Page Number1"/>
    <w:basedOn w:val="83"/>
    <w:qFormat/>
    <w:uiPriority w:val="0"/>
  </w:style>
  <w:style w:type="character" w:customStyle="1" w:styleId="510">
    <w:name w:val="style12"/>
    <w:basedOn w:val="83"/>
    <w:qFormat/>
    <w:uiPriority w:val="0"/>
  </w:style>
  <w:style w:type="character" w:customStyle="1" w:styleId="511">
    <w:name w:val="正文文本最新 Char Char Char1 Char Char Char Char Char Char Char Char Char"/>
    <w:qFormat/>
    <w:uiPriority w:val="0"/>
    <w:rPr>
      <w:rFonts w:eastAsia="宋体"/>
      <w:b/>
      <w:bCs/>
      <w:kern w:val="2"/>
      <w:sz w:val="28"/>
      <w:szCs w:val="24"/>
      <w:lang w:val="en-US" w:eastAsia="zh-CN" w:bidi="ar-SA"/>
    </w:rPr>
  </w:style>
  <w:style w:type="character" w:customStyle="1" w:styleId="512">
    <w:name w:val="Char Char1 Char Char Char Char Char Char Char Char Char Char Char Char Char Char"/>
    <w:link w:val="513"/>
    <w:qFormat/>
    <w:uiPriority w:val="0"/>
    <w:rPr>
      <w:rFonts w:ascii="Times New Roman" w:hAnsi="Times New Roman"/>
    </w:rPr>
  </w:style>
  <w:style w:type="paragraph" w:customStyle="1" w:styleId="513">
    <w:name w:val="Char Char1 Char Char Char Char Char Char Char Char Char Char Char Char1"/>
    <w:basedOn w:val="1"/>
    <w:link w:val="512"/>
    <w:qFormat/>
    <w:uiPriority w:val="0"/>
    <w:pPr>
      <w:jc w:val="left"/>
    </w:pPr>
    <w:rPr>
      <w:rFonts w:ascii="Times New Roman" w:hAnsi="Times New Roman"/>
      <w:kern w:val="0"/>
      <w:sz w:val="20"/>
      <w:szCs w:val="20"/>
    </w:rPr>
  </w:style>
  <w:style w:type="character" w:customStyle="1" w:styleId="514">
    <w:name w:val="Char Char8"/>
    <w:qFormat/>
    <w:uiPriority w:val="0"/>
    <w:rPr>
      <w:rFonts w:hint="eastAsia" w:ascii="黑体" w:eastAsia="黑体"/>
      <w:kern w:val="2"/>
      <w:sz w:val="24"/>
      <w:szCs w:val="24"/>
      <w:lang w:val="en-US" w:eastAsia="zh-CN" w:bidi="ar-SA"/>
    </w:rPr>
  </w:style>
  <w:style w:type="character" w:customStyle="1" w:styleId="515">
    <w:name w:val="表内正文 Char Char"/>
    <w:qFormat/>
    <w:uiPriority w:val="0"/>
    <w:rPr>
      <w:rFonts w:ascii="仿宋_GB2312" w:eastAsia="仿宋_GB2312"/>
      <w:kern w:val="2"/>
      <w:sz w:val="21"/>
      <w:szCs w:val="24"/>
      <w:lang w:val="en-US" w:eastAsia="zh-CN" w:bidi="ar-SA"/>
    </w:rPr>
  </w:style>
  <w:style w:type="character" w:customStyle="1" w:styleId="516">
    <w:name w:val="正文 Char"/>
    <w:qFormat/>
    <w:uiPriority w:val="0"/>
    <w:rPr>
      <w:rFonts w:ascii="Times New Roman" w:hAnsi="Times New Roman" w:eastAsia="宋体" w:cs="Times New Roman"/>
      <w:snapToGrid w:val="0"/>
      <w:kern w:val="0"/>
      <w:sz w:val="24"/>
      <w:szCs w:val="24"/>
    </w:rPr>
  </w:style>
  <w:style w:type="character" w:customStyle="1" w:styleId="517">
    <w:name w:val="样式1 Char Char Char Char Char Char Char"/>
    <w:link w:val="518"/>
    <w:semiHidden/>
    <w:qFormat/>
    <w:uiPriority w:val="0"/>
    <w:rPr>
      <w:rFonts w:ascii="Times New Roman" w:hAnsi="Times New Roman" w:eastAsia="仿宋_GB2312"/>
      <w:spacing w:val="-20"/>
      <w:sz w:val="18"/>
      <w:szCs w:val="24"/>
    </w:rPr>
  </w:style>
  <w:style w:type="paragraph" w:customStyle="1" w:styleId="518">
    <w:name w:val="样式1 Char Char Char Char Char"/>
    <w:basedOn w:val="1"/>
    <w:link w:val="517"/>
    <w:semiHidden/>
    <w:qFormat/>
    <w:uiPriority w:val="0"/>
    <w:pPr>
      <w:jc w:val="center"/>
    </w:pPr>
    <w:rPr>
      <w:rFonts w:ascii="Times New Roman" w:hAnsi="Times New Roman" w:eastAsia="仿宋_GB2312"/>
      <w:spacing w:val="-20"/>
      <w:kern w:val="0"/>
      <w:sz w:val="18"/>
      <w:szCs w:val="24"/>
    </w:rPr>
  </w:style>
  <w:style w:type="character" w:customStyle="1" w:styleId="519">
    <w:name w:val="目标题 1) Char1"/>
    <w:qFormat/>
    <w:uiPriority w:val="0"/>
    <w:rPr>
      <w:rFonts w:ascii="Arial" w:hAnsi="Arial" w:eastAsia="黑体"/>
      <w:color w:val="000000"/>
      <w:kern w:val="28"/>
      <w:sz w:val="24"/>
    </w:rPr>
  </w:style>
  <w:style w:type="character" w:customStyle="1" w:styleId="520">
    <w:name w:val="图表标题 Char Char"/>
    <w:link w:val="521"/>
    <w:qFormat/>
    <w:uiPriority w:val="0"/>
    <w:rPr>
      <w:rFonts w:ascii="黑体" w:hAnsi="Times New Roman" w:eastAsia="黑体"/>
      <w:b/>
      <w:color w:val="000000"/>
      <w:sz w:val="24"/>
      <w:szCs w:val="21"/>
    </w:rPr>
  </w:style>
  <w:style w:type="paragraph" w:customStyle="1" w:styleId="521">
    <w:name w:val="图表标题"/>
    <w:basedOn w:val="1"/>
    <w:link w:val="520"/>
    <w:qFormat/>
    <w:uiPriority w:val="0"/>
    <w:pPr>
      <w:adjustRightInd w:val="0"/>
      <w:snapToGrid w:val="0"/>
      <w:spacing w:line="360" w:lineRule="auto"/>
      <w:jc w:val="center"/>
    </w:pPr>
    <w:rPr>
      <w:rFonts w:ascii="黑体" w:hAnsi="Times New Roman" w:eastAsia="黑体"/>
      <w:b/>
      <w:color w:val="000000"/>
      <w:kern w:val="0"/>
      <w:sz w:val="24"/>
    </w:rPr>
  </w:style>
  <w:style w:type="character" w:customStyle="1" w:styleId="522">
    <w:name w:val="规划正文样式 Char Char"/>
    <w:qFormat/>
    <w:uiPriority w:val="0"/>
    <w:rPr>
      <w:rFonts w:eastAsia="宋体"/>
      <w:kern w:val="2"/>
      <w:sz w:val="24"/>
      <w:szCs w:val="24"/>
      <w:lang w:val="en-US" w:eastAsia="zh-CN" w:bidi="ar-SA"/>
    </w:rPr>
  </w:style>
  <w:style w:type="character" w:customStyle="1" w:styleId="523">
    <w:name w:val="注释标题 Char Char"/>
    <w:qFormat/>
    <w:uiPriority w:val="0"/>
    <w:rPr>
      <w:rFonts w:ascii="Times New Roman" w:hAnsi="Times New Roman" w:eastAsia="宋体" w:cs="Times New Roman"/>
      <w:szCs w:val="20"/>
    </w:rPr>
  </w:style>
  <w:style w:type="character" w:customStyle="1" w:styleId="524">
    <w:name w:val="航标 Char Char"/>
    <w:link w:val="525"/>
    <w:qFormat/>
    <w:uiPriority w:val="0"/>
    <w:rPr>
      <w:rFonts w:ascii="仿宋_GB2312" w:hAnsi="Times New Roman" w:eastAsia="仿宋_GB2312"/>
      <w:b/>
      <w:color w:val="000000"/>
      <w:sz w:val="28"/>
    </w:rPr>
  </w:style>
  <w:style w:type="paragraph" w:customStyle="1" w:styleId="525">
    <w:name w:val="航标"/>
    <w:basedOn w:val="1"/>
    <w:next w:val="1"/>
    <w:link w:val="524"/>
    <w:qFormat/>
    <w:uiPriority w:val="0"/>
    <w:pPr>
      <w:topLinePunct/>
      <w:spacing w:line="486" w:lineRule="exact"/>
      <w:ind w:firstLine="200" w:firstLineChars="200"/>
      <w:jc w:val="left"/>
    </w:pPr>
    <w:rPr>
      <w:rFonts w:ascii="仿宋_GB2312" w:hAnsi="Times New Roman" w:eastAsia="仿宋_GB2312"/>
      <w:b/>
      <w:color w:val="000000"/>
      <w:kern w:val="0"/>
      <w:sz w:val="28"/>
      <w:szCs w:val="20"/>
    </w:rPr>
  </w:style>
  <w:style w:type="character" w:customStyle="1" w:styleId="526">
    <w:name w:val="表格内容1 Char Char1"/>
    <w:qFormat/>
    <w:uiPriority w:val="0"/>
    <w:rPr>
      <w:rFonts w:eastAsia="宋体"/>
      <w:kern w:val="24"/>
      <w:sz w:val="21"/>
      <w:szCs w:val="24"/>
      <w:lang w:val="en-US" w:eastAsia="zh-CN" w:bidi="ar-SA"/>
    </w:rPr>
  </w:style>
  <w:style w:type="character" w:customStyle="1" w:styleId="527">
    <w:name w:val="000 Char Char"/>
    <w:link w:val="528"/>
    <w:qFormat/>
    <w:uiPriority w:val="0"/>
    <w:rPr>
      <w:rFonts w:ascii="Times New Roman" w:hAnsi="Times New Roman"/>
      <w:sz w:val="24"/>
      <w:szCs w:val="24"/>
    </w:rPr>
  </w:style>
  <w:style w:type="paragraph" w:customStyle="1" w:styleId="528">
    <w:name w:val="000"/>
    <w:basedOn w:val="1"/>
    <w:link w:val="527"/>
    <w:qFormat/>
    <w:uiPriority w:val="0"/>
    <w:pPr>
      <w:spacing w:line="360" w:lineRule="auto"/>
      <w:ind w:firstLine="200" w:firstLineChars="200"/>
    </w:pPr>
    <w:rPr>
      <w:rFonts w:ascii="Times New Roman" w:hAnsi="Times New Roman"/>
      <w:kern w:val="0"/>
      <w:sz w:val="24"/>
      <w:szCs w:val="24"/>
    </w:rPr>
  </w:style>
  <w:style w:type="character" w:customStyle="1" w:styleId="529">
    <w:name w:val="正文首行缩进 Char2"/>
    <w:qFormat/>
    <w:uiPriority w:val="0"/>
    <w:rPr>
      <w:rFonts w:ascii="Times New Roman" w:hAnsi="Times New Roman" w:eastAsia="宋体" w:cs="Times New Roman"/>
      <w:kern w:val="0"/>
      <w:sz w:val="28"/>
      <w:szCs w:val="20"/>
    </w:rPr>
  </w:style>
  <w:style w:type="character" w:customStyle="1" w:styleId="530">
    <w:name w:val="Char Char"/>
    <w:qFormat/>
    <w:uiPriority w:val="0"/>
    <w:rPr>
      <w:rFonts w:eastAsia="黑体"/>
      <w:b/>
      <w:snapToGrid w:val="0"/>
      <w:sz w:val="24"/>
      <w:szCs w:val="32"/>
      <w:lang w:val="en-US" w:eastAsia="zh-CN" w:bidi="ar-SA"/>
    </w:rPr>
  </w:style>
  <w:style w:type="character" w:customStyle="1" w:styleId="531">
    <w:name w:val="公式说明 Char"/>
    <w:link w:val="532"/>
    <w:qFormat/>
    <w:uiPriority w:val="0"/>
    <w:rPr>
      <w:rFonts w:ascii="Times New Roman" w:hAnsi="Times New Roman" w:eastAsia="仿宋_GB2312"/>
      <w:sz w:val="32"/>
    </w:rPr>
  </w:style>
  <w:style w:type="paragraph" w:customStyle="1" w:styleId="532">
    <w:name w:val="公式说明"/>
    <w:basedOn w:val="1"/>
    <w:link w:val="531"/>
    <w:qFormat/>
    <w:uiPriority w:val="0"/>
    <w:pPr>
      <w:tabs>
        <w:tab w:val="left" w:pos="1920"/>
      </w:tabs>
      <w:adjustRightInd w:val="0"/>
      <w:snapToGrid w:val="0"/>
      <w:spacing w:line="620" w:lineRule="exact"/>
      <w:ind w:firstLine="200" w:firstLineChars="200"/>
    </w:pPr>
    <w:rPr>
      <w:rFonts w:ascii="Times New Roman" w:hAnsi="Times New Roman" w:eastAsia="仿宋_GB2312"/>
      <w:kern w:val="0"/>
      <w:sz w:val="32"/>
      <w:szCs w:val="20"/>
    </w:rPr>
  </w:style>
  <w:style w:type="character" w:customStyle="1" w:styleId="533">
    <w:name w:val="正文文字缩进 31 Char Char"/>
    <w:qFormat/>
    <w:uiPriority w:val="0"/>
    <w:rPr>
      <w:rFonts w:eastAsia="宋体"/>
      <w:kern w:val="2"/>
      <w:sz w:val="16"/>
      <w:szCs w:val="16"/>
      <w:lang w:val="en-US" w:eastAsia="zh-CN" w:bidi="ar-SA"/>
    </w:rPr>
  </w:style>
  <w:style w:type="character" w:customStyle="1" w:styleId="534">
    <w:name w:val="正文1 Char Char Char Char"/>
    <w:qFormat/>
    <w:uiPriority w:val="0"/>
    <w:rPr>
      <w:rFonts w:ascii="仿宋_GB2312" w:hAnsi="Times New Roman" w:eastAsia="仿宋_GB2312" w:cs="Times New Roman"/>
      <w:sz w:val="28"/>
      <w:szCs w:val="28"/>
    </w:rPr>
  </w:style>
  <w:style w:type="character" w:customStyle="1" w:styleId="535">
    <w:name w:val="sidecatalog-index2"/>
    <w:qFormat/>
    <w:uiPriority w:val="0"/>
    <w:rPr>
      <w:rFonts w:ascii="Arail" w:hAnsi="Arail" w:eastAsia="Arail" w:cs="Arail"/>
      <w:color w:val="999999"/>
      <w:sz w:val="21"/>
      <w:szCs w:val="21"/>
    </w:rPr>
  </w:style>
  <w:style w:type="character" w:customStyle="1" w:styleId="536">
    <w:name w:val="style51"/>
    <w:qFormat/>
    <w:uiPriority w:val="0"/>
    <w:rPr>
      <w:b/>
      <w:bCs/>
      <w:color w:val="990000"/>
      <w:sz w:val="21"/>
      <w:szCs w:val="21"/>
    </w:rPr>
  </w:style>
  <w:style w:type="character" w:customStyle="1" w:styleId="537">
    <w:name w:val="A4"/>
    <w:qFormat/>
    <w:uiPriority w:val="0"/>
    <w:rPr>
      <w:rFonts w:ascii="新宋体" w:eastAsia="新宋体" w:cs="新宋体"/>
      <w:color w:val="000000"/>
      <w:sz w:val="28"/>
      <w:szCs w:val="28"/>
    </w:rPr>
  </w:style>
  <w:style w:type="character" w:customStyle="1" w:styleId="538">
    <w:name w:val="脚注文本 Char1"/>
    <w:qFormat/>
    <w:uiPriority w:val="99"/>
    <w:rPr>
      <w:rFonts w:ascii="Calibri" w:hAnsi="Calibri" w:eastAsia="宋体" w:cs="Times New Roman"/>
      <w:sz w:val="18"/>
      <w:szCs w:val="18"/>
    </w:rPr>
  </w:style>
  <w:style w:type="character" w:customStyle="1" w:styleId="539">
    <w:name w:val="正文-------- Char Char"/>
    <w:link w:val="540"/>
    <w:qFormat/>
    <w:uiPriority w:val="0"/>
    <w:rPr>
      <w:sz w:val="24"/>
    </w:rPr>
  </w:style>
  <w:style w:type="paragraph" w:customStyle="1" w:styleId="540">
    <w:name w:val="正文--------"/>
    <w:basedOn w:val="1"/>
    <w:link w:val="539"/>
    <w:qFormat/>
    <w:uiPriority w:val="0"/>
    <w:pPr>
      <w:spacing w:line="460" w:lineRule="exact"/>
      <w:ind w:firstLine="480" w:firstLineChars="200"/>
      <w:jc w:val="left"/>
    </w:pPr>
    <w:rPr>
      <w:kern w:val="0"/>
      <w:sz w:val="24"/>
      <w:szCs w:val="20"/>
    </w:rPr>
  </w:style>
  <w:style w:type="character" w:customStyle="1" w:styleId="541">
    <w:name w:val="正文 + 宋体 Char"/>
    <w:link w:val="542"/>
    <w:qFormat/>
    <w:uiPriority w:val="0"/>
    <w:rPr>
      <w:rFonts w:ascii="宋体" w:hAnsi="宋体" w:cs="宋体"/>
      <w:b/>
      <w:szCs w:val="24"/>
    </w:rPr>
  </w:style>
  <w:style w:type="paragraph" w:customStyle="1" w:styleId="542">
    <w:name w:val="正文 + 宋体"/>
    <w:basedOn w:val="79"/>
    <w:link w:val="541"/>
    <w:qFormat/>
    <w:uiPriority w:val="0"/>
    <w:pPr>
      <w:widowControl w:val="0"/>
      <w:spacing w:after="0" w:line="360" w:lineRule="auto"/>
      <w:ind w:firstLine="200" w:firstLineChars="200"/>
    </w:pPr>
    <w:rPr>
      <w:rFonts w:ascii="宋体" w:hAnsi="宋体" w:cs="宋体" w:eastAsiaTheme="minorEastAsia"/>
      <w:b/>
      <w:color w:val="auto"/>
      <w:kern w:val="0"/>
      <w:sz w:val="20"/>
      <w:szCs w:val="24"/>
    </w:rPr>
  </w:style>
  <w:style w:type="character" w:customStyle="1" w:styleId="543">
    <w:name w:val="headline-content2"/>
    <w:basedOn w:val="83"/>
    <w:qFormat/>
    <w:uiPriority w:val="0"/>
  </w:style>
  <w:style w:type="character" w:customStyle="1" w:styleId="544">
    <w:name w:val="3级标题 Char"/>
    <w:link w:val="545"/>
    <w:qFormat/>
    <w:locked/>
    <w:uiPriority w:val="0"/>
    <w:rPr>
      <w:rFonts w:ascii="黑体" w:hAnsi="宋体" w:eastAsia="黑体" w:cs="Arial"/>
      <w:bCs/>
      <w:color w:val="000000"/>
      <w:sz w:val="24"/>
    </w:rPr>
  </w:style>
  <w:style w:type="paragraph" w:customStyle="1" w:styleId="545">
    <w:name w:val="3级标题"/>
    <w:basedOn w:val="6"/>
    <w:next w:val="288"/>
    <w:link w:val="544"/>
    <w:qFormat/>
    <w:uiPriority w:val="0"/>
    <w:pPr>
      <w:keepLines/>
      <w:widowControl/>
      <w:numPr>
        <w:ilvl w:val="0"/>
        <w:numId w:val="0"/>
      </w:numPr>
      <w:tabs>
        <w:tab w:val="left" w:pos="1021"/>
      </w:tabs>
      <w:adjustRightInd/>
      <w:snapToGrid/>
      <w:spacing w:before="0" w:line="500" w:lineRule="exact"/>
    </w:pPr>
    <w:rPr>
      <w:rFonts w:hAnsi="宋体" w:cs="Arial"/>
      <w:color w:val="000000"/>
      <w:kern w:val="0"/>
      <w:szCs w:val="20"/>
    </w:rPr>
  </w:style>
  <w:style w:type="character" w:customStyle="1" w:styleId="546">
    <w:name w:val="style9 style60"/>
    <w:basedOn w:val="83"/>
    <w:qFormat/>
    <w:uiPriority w:val="0"/>
  </w:style>
  <w:style w:type="character" w:customStyle="1" w:styleId="547">
    <w:name w:val="style621"/>
    <w:qFormat/>
    <w:uiPriority w:val="0"/>
    <w:rPr>
      <w:color w:val="335150"/>
    </w:rPr>
  </w:style>
  <w:style w:type="character" w:customStyle="1" w:styleId="548">
    <w:name w:val="标题 Char3"/>
    <w:qFormat/>
    <w:locked/>
    <w:uiPriority w:val="99"/>
    <w:rPr>
      <w:rFonts w:ascii="Arial" w:hAnsi="Arial"/>
      <w:b/>
      <w:sz w:val="32"/>
    </w:rPr>
  </w:style>
  <w:style w:type="character" w:customStyle="1" w:styleId="549">
    <w:name w:val="正文文本 (2) + 10 pt7"/>
    <w:qFormat/>
    <w:uiPriority w:val="99"/>
    <w:rPr>
      <w:rFonts w:ascii="MingLiU" w:eastAsia="MingLiU" w:cs="MingLiU"/>
      <w:spacing w:val="110"/>
      <w:sz w:val="20"/>
      <w:szCs w:val="20"/>
      <w:u w:val="none"/>
      <w:shd w:val="clear" w:color="auto" w:fill="FFFFFF"/>
    </w:rPr>
  </w:style>
  <w:style w:type="character" w:customStyle="1" w:styleId="550">
    <w:name w:val="表格1 Char Char Char"/>
    <w:link w:val="551"/>
    <w:qFormat/>
    <w:uiPriority w:val="0"/>
    <w:rPr>
      <w:rFonts w:ascii="宋体" w:hAnsi="宋体" w:eastAsia="仿宋_GB2312"/>
      <w:szCs w:val="24"/>
    </w:rPr>
  </w:style>
  <w:style w:type="paragraph" w:customStyle="1" w:styleId="551">
    <w:name w:val="表格1"/>
    <w:basedOn w:val="1"/>
    <w:next w:val="32"/>
    <w:link w:val="550"/>
    <w:qFormat/>
    <w:uiPriority w:val="0"/>
    <w:pPr>
      <w:topLinePunct/>
      <w:jc w:val="center"/>
    </w:pPr>
    <w:rPr>
      <w:rFonts w:ascii="宋体" w:hAnsi="宋体" w:eastAsia="仿宋_GB2312"/>
      <w:kern w:val="0"/>
      <w:sz w:val="20"/>
      <w:szCs w:val="24"/>
    </w:rPr>
  </w:style>
  <w:style w:type="character" w:customStyle="1" w:styleId="552">
    <w:name w:val="报告表格内容 Char Char"/>
    <w:link w:val="553"/>
    <w:qFormat/>
    <w:uiPriority w:val="0"/>
    <w:rPr>
      <w:rFonts w:ascii="Times New Roman" w:hAnsi="Times New Roman"/>
    </w:rPr>
  </w:style>
  <w:style w:type="paragraph" w:customStyle="1" w:styleId="553">
    <w:name w:val="报告表格内容"/>
    <w:basedOn w:val="1"/>
    <w:next w:val="1"/>
    <w:link w:val="552"/>
    <w:qFormat/>
    <w:uiPriority w:val="0"/>
    <w:pPr>
      <w:adjustRightInd w:val="0"/>
      <w:snapToGrid w:val="0"/>
      <w:jc w:val="center"/>
    </w:pPr>
    <w:rPr>
      <w:rFonts w:ascii="Times New Roman" w:hAnsi="Times New Roman"/>
      <w:kern w:val="0"/>
      <w:sz w:val="20"/>
      <w:szCs w:val="20"/>
    </w:rPr>
  </w:style>
  <w:style w:type="character" w:customStyle="1" w:styleId="554">
    <w:name w:val="newbody1"/>
    <w:qFormat/>
    <w:uiPriority w:val="0"/>
    <w:rPr>
      <w:sz w:val="21"/>
      <w:szCs w:val="21"/>
    </w:rPr>
  </w:style>
  <w:style w:type="character" w:customStyle="1" w:styleId="555">
    <w:name w:val="正文 Char1 Char Char"/>
    <w:link w:val="556"/>
    <w:qFormat/>
    <w:uiPriority w:val="0"/>
    <w:rPr>
      <w:rFonts w:ascii="Times New Roman" w:hAnsi="Times New Roman"/>
      <w:bCs/>
      <w:color w:val="000000"/>
      <w:sz w:val="24"/>
      <w:szCs w:val="21"/>
    </w:rPr>
  </w:style>
  <w:style w:type="paragraph" w:customStyle="1" w:styleId="556">
    <w:name w:val="正文 Char1"/>
    <w:basedOn w:val="1"/>
    <w:link w:val="555"/>
    <w:qFormat/>
    <w:uiPriority w:val="0"/>
    <w:pPr>
      <w:tabs>
        <w:tab w:val="left" w:pos="1834"/>
      </w:tabs>
      <w:adjustRightInd w:val="0"/>
      <w:snapToGrid w:val="0"/>
      <w:spacing w:beforeLines="50" w:afterLines="50" w:line="360" w:lineRule="exact"/>
      <w:ind w:firstLine="480"/>
      <w:textAlignment w:val="baseline"/>
    </w:pPr>
    <w:rPr>
      <w:rFonts w:ascii="Times New Roman" w:hAnsi="Times New Roman"/>
      <w:bCs/>
      <w:color w:val="000000"/>
      <w:kern w:val="0"/>
      <w:sz w:val="24"/>
    </w:rPr>
  </w:style>
  <w:style w:type="character" w:customStyle="1" w:styleId="557">
    <w:name w:val="正文文本 (2)_"/>
    <w:link w:val="558"/>
    <w:qFormat/>
    <w:uiPriority w:val="99"/>
    <w:rPr>
      <w:rFonts w:ascii="MingLiU" w:eastAsia="MingLiU" w:cs="MingLiU"/>
      <w:sz w:val="26"/>
      <w:szCs w:val="26"/>
      <w:shd w:val="clear" w:color="auto" w:fill="FFFFFF"/>
    </w:rPr>
  </w:style>
  <w:style w:type="paragraph" w:customStyle="1" w:styleId="558">
    <w:name w:val="正文文本 (2)1"/>
    <w:basedOn w:val="1"/>
    <w:link w:val="557"/>
    <w:qFormat/>
    <w:uiPriority w:val="99"/>
    <w:pPr>
      <w:shd w:val="clear" w:color="auto" w:fill="FFFFFF"/>
      <w:spacing w:line="240" w:lineRule="atLeast"/>
      <w:ind w:hanging="160"/>
      <w:jc w:val="left"/>
    </w:pPr>
    <w:rPr>
      <w:rFonts w:ascii="MingLiU" w:eastAsia="MingLiU" w:cs="MingLiU"/>
      <w:kern w:val="0"/>
      <w:sz w:val="26"/>
      <w:szCs w:val="26"/>
    </w:rPr>
  </w:style>
  <w:style w:type="character" w:customStyle="1" w:styleId="559">
    <w:name w:val="德胜正文 Char Char"/>
    <w:link w:val="560"/>
    <w:qFormat/>
    <w:uiPriority w:val="0"/>
    <w:rPr>
      <w:snapToGrid w:val="0"/>
      <w:color w:val="0000FF"/>
      <w:sz w:val="24"/>
      <w:szCs w:val="24"/>
    </w:rPr>
  </w:style>
  <w:style w:type="paragraph" w:customStyle="1" w:styleId="560">
    <w:name w:val="德胜正文"/>
    <w:basedOn w:val="1"/>
    <w:link w:val="559"/>
    <w:qFormat/>
    <w:uiPriority w:val="0"/>
    <w:pPr>
      <w:adjustRightInd w:val="0"/>
      <w:snapToGrid w:val="0"/>
      <w:spacing w:line="360" w:lineRule="auto"/>
      <w:ind w:firstLine="200" w:firstLineChars="200"/>
    </w:pPr>
    <w:rPr>
      <w:snapToGrid w:val="0"/>
      <w:color w:val="0000FF"/>
      <w:kern w:val="0"/>
      <w:sz w:val="24"/>
      <w:szCs w:val="24"/>
    </w:rPr>
  </w:style>
  <w:style w:type="character" w:customStyle="1" w:styleId="561">
    <w:name w:val="标题1"/>
    <w:basedOn w:val="83"/>
    <w:qFormat/>
    <w:uiPriority w:val="0"/>
  </w:style>
  <w:style w:type="character" w:customStyle="1" w:styleId="562">
    <w:name w:val="副标题 Char2"/>
    <w:qFormat/>
    <w:locked/>
    <w:uiPriority w:val="11"/>
    <w:rPr>
      <w:rFonts w:ascii="Arial" w:hAnsi="Arial" w:eastAsia="仿宋_GB2312"/>
      <w:b/>
      <w:bCs/>
      <w:kern w:val="28"/>
      <w:sz w:val="32"/>
      <w:szCs w:val="32"/>
    </w:rPr>
  </w:style>
  <w:style w:type="character" w:customStyle="1" w:styleId="563">
    <w:name w:val="文章正文 Char Char"/>
    <w:link w:val="564"/>
    <w:qFormat/>
    <w:uiPriority w:val="0"/>
    <w:rPr>
      <w:rFonts w:hAnsi="宋体"/>
      <w:kern w:val="2"/>
      <w:sz w:val="24"/>
      <w:szCs w:val="24"/>
    </w:rPr>
  </w:style>
  <w:style w:type="paragraph" w:customStyle="1" w:styleId="564">
    <w:name w:val="文章正文"/>
    <w:basedOn w:val="1"/>
    <w:link w:val="563"/>
    <w:qFormat/>
    <w:uiPriority w:val="0"/>
    <w:pPr>
      <w:spacing w:line="360" w:lineRule="auto"/>
    </w:pPr>
    <w:rPr>
      <w:rFonts w:hAnsi="宋体"/>
      <w:sz w:val="24"/>
      <w:szCs w:val="24"/>
    </w:rPr>
  </w:style>
  <w:style w:type="character" w:customStyle="1" w:styleId="565">
    <w:name w:val="表格 Char2"/>
    <w:qFormat/>
    <w:uiPriority w:val="0"/>
    <w:rPr>
      <w:kern w:val="2"/>
      <w:sz w:val="21"/>
      <w:szCs w:val="21"/>
    </w:rPr>
  </w:style>
  <w:style w:type="character" w:customStyle="1" w:styleId="566">
    <w:name w:val="Char Char241"/>
    <w:qFormat/>
    <w:uiPriority w:val="0"/>
    <w:rPr>
      <w:b/>
      <w:kern w:val="44"/>
      <w:sz w:val="44"/>
    </w:rPr>
  </w:style>
  <w:style w:type="character" w:customStyle="1" w:styleId="567">
    <w:name w:val="正文(首行缩进) Char Char"/>
    <w:link w:val="568"/>
    <w:qFormat/>
    <w:uiPriority w:val="0"/>
    <w:rPr>
      <w:snapToGrid w:val="0"/>
      <w:sz w:val="24"/>
      <w:szCs w:val="24"/>
    </w:rPr>
  </w:style>
  <w:style w:type="paragraph" w:customStyle="1" w:styleId="568">
    <w:name w:val="正文(首行缩进)"/>
    <w:basedOn w:val="1"/>
    <w:link w:val="567"/>
    <w:qFormat/>
    <w:uiPriority w:val="0"/>
    <w:pPr>
      <w:tabs>
        <w:tab w:val="left" w:pos="4584"/>
      </w:tabs>
      <w:adjustRightInd w:val="0"/>
      <w:snapToGrid w:val="0"/>
      <w:jc w:val="center"/>
    </w:pPr>
    <w:rPr>
      <w:snapToGrid w:val="0"/>
      <w:kern w:val="0"/>
      <w:sz w:val="24"/>
      <w:szCs w:val="24"/>
    </w:rPr>
  </w:style>
  <w:style w:type="character" w:customStyle="1" w:styleId="569">
    <w:name w:val="页脚 Char1"/>
    <w:qFormat/>
    <w:uiPriority w:val="0"/>
    <w:rPr>
      <w:rFonts w:ascii="Calibri" w:hAnsi="Calibri" w:eastAsia="宋体" w:cs="Times New Roman"/>
      <w:sz w:val="18"/>
      <w:szCs w:val="18"/>
    </w:rPr>
  </w:style>
  <w:style w:type="character" w:customStyle="1" w:styleId="570">
    <w:name w:val="样式 表格内容1 + Char"/>
    <w:qFormat/>
    <w:uiPriority w:val="0"/>
    <w:rPr>
      <w:rFonts w:ascii="仿宋" w:hAnsi="仿宋" w:eastAsia="仿宋"/>
      <w:kern w:val="2"/>
      <w:sz w:val="21"/>
      <w:szCs w:val="24"/>
      <w:lang w:val="en-US" w:eastAsia="zh-CN"/>
    </w:rPr>
  </w:style>
  <w:style w:type="character" w:customStyle="1" w:styleId="571">
    <w:name w:val="sidecatalog-dot"/>
    <w:basedOn w:val="83"/>
    <w:qFormat/>
    <w:uiPriority w:val="0"/>
  </w:style>
  <w:style w:type="character" w:customStyle="1" w:styleId="572">
    <w:name w:val="正文文本 Char"/>
    <w:qFormat/>
    <w:uiPriority w:val="99"/>
    <w:rPr>
      <w:rFonts w:ascii="Times New Roman" w:hAnsi="Times New Roman" w:eastAsia="宋体" w:cs="Times New Roman"/>
      <w:szCs w:val="24"/>
    </w:rPr>
  </w:style>
  <w:style w:type="character" w:customStyle="1" w:styleId="573">
    <w:name w:val="sidecatalog-dot5"/>
    <w:basedOn w:val="83"/>
    <w:qFormat/>
    <w:uiPriority w:val="0"/>
  </w:style>
  <w:style w:type="character" w:customStyle="1" w:styleId="574">
    <w:name w:val="Char Char6"/>
    <w:qFormat/>
    <w:uiPriority w:val="0"/>
    <w:rPr>
      <w:rFonts w:hint="default" w:ascii="Times New Roman" w:hAnsi="Times New Roman" w:eastAsia="宋体" w:cs="Times New Roman"/>
      <w:szCs w:val="20"/>
      <w:shd w:val="clear" w:color="auto" w:fill="000080"/>
    </w:rPr>
  </w:style>
  <w:style w:type="character" w:customStyle="1" w:styleId="575">
    <w:name w:val="正文小四首缩1.3行距 Char Char"/>
    <w:link w:val="576"/>
    <w:qFormat/>
    <w:uiPriority w:val="0"/>
    <w:rPr>
      <w:rFonts w:ascii="Times New Roman" w:hAnsi="Times New Roman"/>
      <w:sz w:val="24"/>
      <w:szCs w:val="24"/>
    </w:rPr>
  </w:style>
  <w:style w:type="paragraph" w:customStyle="1" w:styleId="576">
    <w:name w:val="正文小四首缩1.3行距"/>
    <w:basedOn w:val="1"/>
    <w:link w:val="575"/>
    <w:qFormat/>
    <w:uiPriority w:val="0"/>
    <w:pPr>
      <w:spacing w:line="312" w:lineRule="auto"/>
      <w:ind w:firstLine="420" w:firstLineChars="200"/>
    </w:pPr>
    <w:rPr>
      <w:rFonts w:ascii="Times New Roman" w:hAnsi="Times New Roman"/>
      <w:kern w:val="0"/>
      <w:sz w:val="24"/>
      <w:szCs w:val="24"/>
    </w:rPr>
  </w:style>
  <w:style w:type="character" w:customStyle="1" w:styleId="577">
    <w:name w:val="表格内容-小五（OPCC宋体） Char Char"/>
    <w:link w:val="578"/>
    <w:qFormat/>
    <w:uiPriority w:val="0"/>
    <w:rPr>
      <w:rFonts w:ascii="Times New Roman" w:hAnsi="Times New Roman" w:eastAsia="仿宋_GB2312" w:cs="宋体"/>
      <w:sz w:val="18"/>
      <w:szCs w:val="18"/>
    </w:rPr>
  </w:style>
  <w:style w:type="paragraph" w:customStyle="1" w:styleId="578">
    <w:name w:val="表格内容-小五（OPCC宋体）"/>
    <w:basedOn w:val="1"/>
    <w:link w:val="577"/>
    <w:qFormat/>
    <w:uiPriority w:val="0"/>
    <w:pPr>
      <w:jc w:val="center"/>
    </w:pPr>
    <w:rPr>
      <w:rFonts w:ascii="Times New Roman" w:hAnsi="Times New Roman" w:eastAsia="仿宋_GB2312" w:cs="宋体"/>
      <w:kern w:val="0"/>
      <w:sz w:val="18"/>
      <w:szCs w:val="18"/>
    </w:rPr>
  </w:style>
  <w:style w:type="character" w:customStyle="1" w:styleId="579">
    <w:name w:val="desc"/>
    <w:qFormat/>
    <w:uiPriority w:val="0"/>
    <w:rPr>
      <w:color w:val="000000"/>
      <w:sz w:val="18"/>
      <w:szCs w:val="18"/>
    </w:rPr>
  </w:style>
  <w:style w:type="character" w:customStyle="1" w:styleId="580">
    <w:name w:val="样式3 Char Char"/>
    <w:link w:val="581"/>
    <w:qFormat/>
    <w:uiPriority w:val="0"/>
    <w:rPr>
      <w:rFonts w:ascii="Times New Roman" w:hAnsi="Times New Roman"/>
      <w:sz w:val="24"/>
    </w:rPr>
  </w:style>
  <w:style w:type="paragraph" w:customStyle="1" w:styleId="581">
    <w:name w:val="样式3"/>
    <w:basedOn w:val="21"/>
    <w:link w:val="580"/>
    <w:qFormat/>
    <w:uiPriority w:val="0"/>
    <w:pPr>
      <w:widowControl w:val="0"/>
      <w:adjustRightInd w:val="0"/>
      <w:snapToGrid w:val="0"/>
      <w:spacing w:line="360" w:lineRule="auto"/>
      <w:ind w:firstLine="420"/>
      <w:textAlignment w:val="baseline"/>
    </w:pPr>
    <w:rPr>
      <w:rFonts w:ascii="Times New Roman" w:hAnsi="Times New Roman" w:eastAsiaTheme="minorEastAsia" w:cstheme="minorBidi"/>
      <w:sz w:val="24"/>
    </w:rPr>
  </w:style>
  <w:style w:type="character" w:customStyle="1" w:styleId="582">
    <w:name w:val="bb1"/>
    <w:qFormat/>
    <w:uiPriority w:val="0"/>
    <w:rPr>
      <w:sz w:val="23"/>
      <w:szCs w:val="23"/>
    </w:rPr>
  </w:style>
  <w:style w:type="character" w:customStyle="1" w:styleId="583">
    <w:name w:val="表正文 Char1 Char Char"/>
    <w:qFormat/>
    <w:uiPriority w:val="0"/>
    <w:rPr>
      <w:rFonts w:eastAsia="宋体"/>
      <w:sz w:val="28"/>
      <w:lang w:val="en-US" w:eastAsia="zh-CN" w:bidi="ar-SA"/>
    </w:rPr>
  </w:style>
  <w:style w:type="character" w:customStyle="1" w:styleId="584">
    <w:name w:val="图表标题wj Char Char"/>
    <w:link w:val="585"/>
    <w:qFormat/>
    <w:uiPriority w:val="0"/>
    <w:rPr>
      <w:rFonts w:ascii="黑体" w:hAnsi="Times New Roman"/>
      <w:b/>
      <w:kern w:val="2"/>
      <w:sz w:val="24"/>
      <w:szCs w:val="24"/>
    </w:rPr>
  </w:style>
  <w:style w:type="paragraph" w:customStyle="1" w:styleId="585">
    <w:name w:val="图表标题wj"/>
    <w:link w:val="584"/>
    <w:qFormat/>
    <w:uiPriority w:val="0"/>
    <w:pPr>
      <w:adjustRightInd w:val="0"/>
      <w:snapToGrid w:val="0"/>
      <w:jc w:val="center"/>
    </w:pPr>
    <w:rPr>
      <w:rFonts w:ascii="黑体" w:hAnsi="Times New Roman" w:eastAsiaTheme="minorEastAsia" w:cstheme="minorBidi"/>
      <w:b/>
      <w:kern w:val="2"/>
      <w:sz w:val="24"/>
      <w:szCs w:val="24"/>
      <w:lang w:val="en-US" w:eastAsia="zh-CN" w:bidi="ar-SA"/>
    </w:rPr>
  </w:style>
  <w:style w:type="character" w:customStyle="1" w:styleId="586">
    <w:name w:val="文档结构图 Char Char"/>
    <w:link w:val="587"/>
    <w:qFormat/>
    <w:uiPriority w:val="0"/>
    <w:rPr>
      <w:rFonts w:ascii="Times New Roman" w:hAnsi="Times New Roman" w:eastAsia="宋体" w:cs="Times New Roman"/>
    </w:rPr>
  </w:style>
  <w:style w:type="paragraph" w:customStyle="1" w:styleId="587">
    <w:name w:val="文档结构图1"/>
    <w:basedOn w:val="1"/>
    <w:link w:val="586"/>
    <w:qFormat/>
    <w:uiPriority w:val="0"/>
    <w:rPr>
      <w:rFonts w:ascii="Times New Roman" w:hAnsi="Times New Roman" w:eastAsia="宋体" w:cs="Times New Roman"/>
      <w:kern w:val="0"/>
      <w:sz w:val="20"/>
      <w:szCs w:val="20"/>
    </w:rPr>
  </w:style>
  <w:style w:type="character" w:customStyle="1" w:styleId="588">
    <w:name w:val="正文文本缩进 Char1"/>
    <w:qFormat/>
    <w:uiPriority w:val="99"/>
    <w:rPr>
      <w:rFonts w:ascii="Times New Roman" w:hAnsi="Times New Roman" w:eastAsia="宋体" w:cs="Times New Roman"/>
      <w:szCs w:val="24"/>
    </w:rPr>
  </w:style>
  <w:style w:type="character" w:customStyle="1" w:styleId="589">
    <w:name w:val="批注主题 Char1"/>
    <w:qFormat/>
    <w:uiPriority w:val="99"/>
    <w:rPr>
      <w:rFonts w:ascii="Times New Roman" w:hAnsi="Times New Roman" w:eastAsia="宋体" w:cs="Times New Roman"/>
      <w:b/>
      <w:bCs/>
      <w:szCs w:val="24"/>
    </w:rPr>
  </w:style>
  <w:style w:type="character" w:customStyle="1" w:styleId="590">
    <w:name w:val="f241"/>
    <w:qFormat/>
    <w:uiPriority w:val="0"/>
    <w:rPr>
      <w:sz w:val="36"/>
      <w:szCs w:val="36"/>
    </w:rPr>
  </w:style>
  <w:style w:type="character" w:customStyle="1" w:styleId="591">
    <w:name w:val="unnamed11"/>
    <w:qFormat/>
    <w:uiPriority w:val="0"/>
    <w:rPr>
      <w:color w:val="000000"/>
      <w:spacing w:val="450"/>
      <w:sz w:val="18"/>
      <w:szCs w:val="18"/>
    </w:rPr>
  </w:style>
  <w:style w:type="character" w:customStyle="1" w:styleId="592">
    <w:name w:val="项 Char Char"/>
    <w:qFormat/>
    <w:uiPriority w:val="0"/>
    <w:rPr>
      <w:rFonts w:ascii="Times New Roman" w:hAnsi="Times New Roman" w:eastAsia="宋体" w:cs="Times New Roman"/>
      <w:sz w:val="28"/>
      <w:szCs w:val="20"/>
    </w:rPr>
  </w:style>
  <w:style w:type="character" w:customStyle="1" w:styleId="593">
    <w:name w:val="德胜表头 Char Char"/>
    <w:link w:val="594"/>
    <w:qFormat/>
    <w:uiPriority w:val="0"/>
    <w:rPr>
      <w:b/>
      <w:snapToGrid w:val="0"/>
      <w:color w:val="0000FF"/>
      <w:sz w:val="24"/>
      <w:szCs w:val="24"/>
    </w:rPr>
  </w:style>
  <w:style w:type="paragraph" w:customStyle="1" w:styleId="594">
    <w:name w:val="德胜表头"/>
    <w:basedOn w:val="560"/>
    <w:link w:val="593"/>
    <w:qFormat/>
    <w:uiPriority w:val="0"/>
    <w:pPr>
      <w:spacing w:line="240" w:lineRule="auto"/>
      <w:ind w:firstLine="0" w:firstLineChars="0"/>
      <w:jc w:val="center"/>
    </w:pPr>
    <w:rPr>
      <w:b/>
    </w:rPr>
  </w:style>
  <w:style w:type="character" w:customStyle="1" w:styleId="595">
    <w:name w:val="p21"/>
    <w:qFormat/>
    <w:uiPriority w:val="0"/>
    <w:rPr>
      <w:rFonts w:hint="default"/>
      <w:color w:val="0000A0"/>
    </w:rPr>
  </w:style>
  <w:style w:type="character" w:customStyle="1" w:styleId="596">
    <w:name w:val="Char Char221"/>
    <w:qFormat/>
    <w:uiPriority w:val="0"/>
    <w:rPr>
      <w:rFonts w:eastAsia="宋体"/>
      <w:kern w:val="2"/>
      <w:sz w:val="24"/>
      <w:szCs w:val="24"/>
      <w:lang w:val="en-US" w:eastAsia="zh-CN" w:bidi="ar-SA"/>
    </w:rPr>
  </w:style>
  <w:style w:type="character" w:customStyle="1" w:styleId="597">
    <w:name w:val="标题 4 Char"/>
    <w:qFormat/>
    <w:uiPriority w:val="9"/>
    <w:rPr>
      <w:rFonts w:ascii="Cambria" w:hAnsi="Cambria" w:eastAsia="宋体" w:cs="Times New Roman"/>
      <w:b/>
      <w:bCs/>
      <w:sz w:val="28"/>
      <w:szCs w:val="28"/>
    </w:rPr>
  </w:style>
  <w:style w:type="character" w:customStyle="1" w:styleId="598">
    <w:name w:val="标题 2 Char"/>
    <w:qFormat/>
    <w:uiPriority w:val="0"/>
    <w:rPr>
      <w:rFonts w:ascii="Cambria" w:hAnsi="Cambria" w:eastAsia="宋体" w:cs="Times New Roman"/>
      <w:b/>
      <w:bCs/>
      <w:sz w:val="32"/>
      <w:szCs w:val="32"/>
    </w:rPr>
  </w:style>
  <w:style w:type="character" w:customStyle="1" w:styleId="599">
    <w:name w:val="large1"/>
    <w:qFormat/>
    <w:uiPriority w:val="0"/>
    <w:rPr>
      <w:sz w:val="28"/>
    </w:rPr>
  </w:style>
  <w:style w:type="character" w:customStyle="1" w:styleId="600">
    <w:name w:val="样式 表格内容1 + Char Char"/>
    <w:link w:val="601"/>
    <w:qFormat/>
    <w:uiPriority w:val="0"/>
    <w:rPr>
      <w:rFonts w:ascii="Times New Roman" w:hAnsi="Times New Roman"/>
      <w:kern w:val="24"/>
      <w:szCs w:val="24"/>
    </w:rPr>
  </w:style>
  <w:style w:type="paragraph" w:customStyle="1" w:styleId="601">
    <w:name w:val="样式 表格内容1 +"/>
    <w:basedOn w:val="602"/>
    <w:link w:val="600"/>
    <w:qFormat/>
    <w:uiPriority w:val="0"/>
    <w:rPr>
      <w:rFonts w:ascii="Times New Roman" w:hAnsi="Times New Roman" w:eastAsiaTheme="minorEastAsia" w:cstheme="minorBidi"/>
    </w:rPr>
  </w:style>
  <w:style w:type="paragraph" w:customStyle="1" w:styleId="602">
    <w:name w:val="表格内容1"/>
    <w:basedOn w:val="1"/>
    <w:link w:val="603"/>
    <w:qFormat/>
    <w:uiPriority w:val="0"/>
    <w:pPr>
      <w:jc w:val="center"/>
    </w:pPr>
    <w:rPr>
      <w:rFonts w:ascii="Calibri" w:hAnsi="Calibri" w:eastAsia="宋体" w:cs="Times New Roman"/>
      <w:kern w:val="24"/>
      <w:sz w:val="20"/>
      <w:szCs w:val="24"/>
    </w:rPr>
  </w:style>
  <w:style w:type="character" w:customStyle="1" w:styleId="603">
    <w:name w:val="表格内容1 Char Char"/>
    <w:link w:val="602"/>
    <w:qFormat/>
    <w:uiPriority w:val="0"/>
    <w:rPr>
      <w:rFonts w:ascii="Calibri" w:hAnsi="Calibri" w:eastAsia="宋体" w:cs="Times New Roman"/>
      <w:kern w:val="24"/>
      <w:szCs w:val="24"/>
    </w:rPr>
  </w:style>
  <w:style w:type="character" w:customStyle="1" w:styleId="604">
    <w:name w:val="bititle"/>
    <w:basedOn w:val="83"/>
    <w:qFormat/>
    <w:uiPriority w:val="0"/>
  </w:style>
  <w:style w:type="character" w:customStyle="1" w:styleId="605">
    <w:name w:val="【表格注释】"/>
    <w:qFormat/>
    <w:uiPriority w:val="0"/>
    <w:rPr>
      <w:rFonts w:eastAsia="宋体" w:cs="宋体"/>
      <w:spacing w:val="16"/>
      <w:kern w:val="0"/>
      <w:sz w:val="21"/>
    </w:rPr>
  </w:style>
  <w:style w:type="character" w:customStyle="1" w:styleId="606">
    <w:name w:val="spelle"/>
    <w:basedOn w:val="83"/>
    <w:qFormat/>
    <w:uiPriority w:val="0"/>
  </w:style>
  <w:style w:type="character" w:customStyle="1" w:styleId="607">
    <w:name w:val="javascript"/>
    <w:basedOn w:val="83"/>
    <w:qFormat/>
    <w:uiPriority w:val="0"/>
  </w:style>
  <w:style w:type="character" w:customStyle="1" w:styleId="608">
    <w:name w:val="polysemyred"/>
    <w:qFormat/>
    <w:uiPriority w:val="0"/>
    <w:rPr>
      <w:color w:val="FF6666"/>
      <w:sz w:val="18"/>
      <w:szCs w:val="18"/>
    </w:rPr>
  </w:style>
  <w:style w:type="character" w:customStyle="1" w:styleId="609">
    <w:name w:val="text-8"/>
    <w:basedOn w:val="83"/>
    <w:qFormat/>
    <w:uiPriority w:val="0"/>
  </w:style>
  <w:style w:type="character" w:customStyle="1" w:styleId="610">
    <w:name w:val="上标"/>
    <w:qFormat/>
    <w:uiPriority w:val="0"/>
    <w:rPr>
      <w:vertAlign w:val="superscript"/>
    </w:rPr>
  </w:style>
  <w:style w:type="character" w:customStyle="1" w:styleId="611">
    <w:name w:val="正文首行缩进 Char Char Char"/>
    <w:basedOn w:val="572"/>
    <w:qFormat/>
    <w:uiPriority w:val="0"/>
    <w:rPr>
      <w:rFonts w:ascii="Times New Roman" w:hAnsi="Times New Roman" w:eastAsia="宋体" w:cs="Times New Roman"/>
      <w:szCs w:val="24"/>
    </w:rPr>
  </w:style>
  <w:style w:type="character" w:customStyle="1" w:styleId="612">
    <w:name w:val="Char Char14"/>
    <w:qFormat/>
    <w:uiPriority w:val="0"/>
    <w:rPr>
      <w:sz w:val="18"/>
      <w:szCs w:val="18"/>
    </w:rPr>
  </w:style>
  <w:style w:type="character" w:customStyle="1" w:styleId="613">
    <w:name w:val="正文---------------- Char Char"/>
    <w:link w:val="614"/>
    <w:qFormat/>
    <w:uiPriority w:val="0"/>
    <w:rPr>
      <w:spacing w:val="16"/>
      <w:sz w:val="24"/>
    </w:rPr>
  </w:style>
  <w:style w:type="paragraph" w:customStyle="1" w:styleId="614">
    <w:name w:val="正文----------------"/>
    <w:basedOn w:val="1"/>
    <w:link w:val="613"/>
    <w:qFormat/>
    <w:uiPriority w:val="0"/>
    <w:pPr>
      <w:spacing w:line="440" w:lineRule="exact"/>
      <w:ind w:firstLine="544" w:firstLineChars="200"/>
    </w:pPr>
    <w:rPr>
      <w:spacing w:val="16"/>
      <w:kern w:val="0"/>
      <w:sz w:val="24"/>
      <w:szCs w:val="20"/>
    </w:rPr>
  </w:style>
  <w:style w:type="character" w:customStyle="1" w:styleId="615">
    <w:name w:val="标题2----------------- Char Char"/>
    <w:link w:val="616"/>
    <w:qFormat/>
    <w:uiPriority w:val="0"/>
    <w:rPr>
      <w:b/>
      <w:bCs/>
      <w:color w:val="000000"/>
      <w:sz w:val="32"/>
    </w:rPr>
  </w:style>
  <w:style w:type="paragraph" w:customStyle="1" w:styleId="616">
    <w:name w:val="标题2-----------------"/>
    <w:basedOn w:val="5"/>
    <w:link w:val="615"/>
    <w:qFormat/>
    <w:uiPriority w:val="0"/>
    <w:pPr>
      <w:keepNext w:val="0"/>
      <w:keepLines/>
      <w:numPr>
        <w:ilvl w:val="0"/>
        <w:numId w:val="0"/>
      </w:numPr>
      <w:adjustRightInd/>
      <w:snapToGrid/>
      <w:spacing w:before="200" w:beforeAutospacing="0" w:after="200" w:line="240" w:lineRule="auto"/>
      <w:ind w:left="420" w:hanging="420"/>
      <w:jc w:val="both"/>
    </w:pPr>
    <w:rPr>
      <w:rFonts w:asciiTheme="minorHAnsi" w:hAnsiTheme="minorHAnsi" w:eastAsiaTheme="minorEastAsia" w:cstheme="minorBidi"/>
      <w:b/>
      <w:kern w:val="0"/>
      <w:sz w:val="32"/>
      <w:szCs w:val="20"/>
    </w:rPr>
  </w:style>
  <w:style w:type="character" w:customStyle="1" w:styleId="617">
    <w:name w:val="正文文本 (9) + Georgia"/>
    <w:qFormat/>
    <w:uiPriority w:val="99"/>
    <w:rPr>
      <w:rFonts w:ascii="Georgia" w:hAnsi="Georgia" w:eastAsia="MingLiU" w:cs="Georgia"/>
      <w:shd w:val="clear" w:color="auto" w:fill="FFFFFF"/>
      <w:lang w:val="en-US" w:eastAsia="en-US"/>
    </w:rPr>
  </w:style>
  <w:style w:type="character" w:customStyle="1" w:styleId="618">
    <w:name w:val="Char Char5"/>
    <w:qFormat/>
    <w:uiPriority w:val="0"/>
    <w:rPr>
      <w:rFonts w:hint="eastAsia" w:ascii="宋体" w:hAnsi="宋体" w:eastAsia="宋体"/>
      <w:kern w:val="2"/>
      <w:sz w:val="21"/>
      <w:szCs w:val="24"/>
      <w:lang w:val="en-US" w:eastAsia="zh-CN" w:bidi="ar-SA"/>
    </w:rPr>
  </w:style>
  <w:style w:type="character" w:customStyle="1" w:styleId="619">
    <w:name w:val="font71"/>
    <w:qFormat/>
    <w:uiPriority w:val="0"/>
    <w:rPr>
      <w:rFonts w:hint="eastAsia" w:ascii="宋体" w:hAnsi="宋体" w:eastAsia="宋体" w:cs="宋体"/>
      <w:b/>
      <w:color w:val="000000"/>
      <w:sz w:val="20"/>
      <w:szCs w:val="20"/>
      <w:u w:val="none"/>
    </w:rPr>
  </w:style>
  <w:style w:type="character" w:customStyle="1" w:styleId="620">
    <w:name w:val="书籍标题1"/>
    <w:qFormat/>
    <w:uiPriority w:val="0"/>
    <w:rPr>
      <w:b/>
      <w:bCs/>
      <w:smallCaps/>
      <w:spacing w:val="5"/>
    </w:rPr>
  </w:style>
  <w:style w:type="character" w:customStyle="1" w:styleId="621">
    <w:name w:val="font141"/>
    <w:qFormat/>
    <w:uiPriority w:val="0"/>
    <w:rPr>
      <w:rFonts w:hint="eastAsia" w:ascii="宋体" w:hAnsi="宋体" w:eastAsia="宋体"/>
      <w:color w:val="000000"/>
      <w:sz w:val="22"/>
      <w:szCs w:val="22"/>
      <w:u w:val="none"/>
    </w:rPr>
  </w:style>
  <w:style w:type="character" w:customStyle="1" w:styleId="622">
    <w:name w:val="文档结构图 Char1"/>
    <w:qFormat/>
    <w:uiPriority w:val="99"/>
    <w:rPr>
      <w:rFonts w:ascii="宋体" w:hAnsi="Times New Roman" w:eastAsia="宋体" w:cs="Times New Roman"/>
      <w:sz w:val="18"/>
      <w:szCs w:val="18"/>
    </w:rPr>
  </w:style>
  <w:style w:type="character" w:customStyle="1" w:styleId="623">
    <w:name w:val="表格左 Char Char"/>
    <w:link w:val="624"/>
    <w:qFormat/>
    <w:uiPriority w:val="0"/>
    <w:rPr>
      <w:rFonts w:ascii="宋体" w:hAnsi="宋体"/>
      <w:b/>
      <w:szCs w:val="24"/>
    </w:rPr>
  </w:style>
  <w:style w:type="paragraph" w:customStyle="1" w:styleId="624">
    <w:name w:val="表格左"/>
    <w:basedOn w:val="1"/>
    <w:link w:val="623"/>
    <w:qFormat/>
    <w:uiPriority w:val="0"/>
    <w:pPr>
      <w:spacing w:line="240" w:lineRule="atLeast"/>
      <w:jc w:val="center"/>
    </w:pPr>
    <w:rPr>
      <w:rFonts w:ascii="宋体" w:hAnsi="宋体"/>
      <w:b/>
      <w:kern w:val="0"/>
      <w:sz w:val="20"/>
      <w:szCs w:val="24"/>
    </w:rPr>
  </w:style>
  <w:style w:type="character" w:customStyle="1" w:styleId="625">
    <w:name w:val="样式 报告正文 + 首行缩进:  2 字符 Char Char Char"/>
    <w:link w:val="626"/>
    <w:qFormat/>
    <w:locked/>
    <w:uiPriority w:val="0"/>
    <w:rPr>
      <w:rFonts w:ascii="楷体_GB2312" w:eastAsia="楷体_GB2312" w:cs="宋体"/>
      <w:bCs/>
      <w:kern w:val="2"/>
      <w:sz w:val="30"/>
      <w:szCs w:val="24"/>
    </w:rPr>
  </w:style>
  <w:style w:type="paragraph" w:customStyle="1" w:styleId="626">
    <w:name w:val="样式 报告正文 + 首行缩进:  2 字符 Char Char"/>
    <w:basedOn w:val="1"/>
    <w:link w:val="625"/>
    <w:qFormat/>
    <w:uiPriority w:val="0"/>
    <w:pPr>
      <w:spacing w:line="312" w:lineRule="auto"/>
      <w:ind w:firstLine="600" w:firstLineChars="200"/>
    </w:pPr>
    <w:rPr>
      <w:rFonts w:ascii="楷体_GB2312" w:eastAsia="楷体_GB2312" w:cs="宋体"/>
      <w:bCs/>
      <w:sz w:val="30"/>
      <w:szCs w:val="24"/>
    </w:rPr>
  </w:style>
  <w:style w:type="character" w:customStyle="1" w:styleId="627">
    <w:name w:val="hei11"/>
    <w:basedOn w:val="83"/>
    <w:qFormat/>
    <w:uiPriority w:val="0"/>
  </w:style>
  <w:style w:type="character" w:customStyle="1" w:styleId="628">
    <w:name w:val="Char Char24"/>
    <w:qFormat/>
    <w:uiPriority w:val="0"/>
    <w:rPr>
      <w:b/>
      <w:kern w:val="44"/>
      <w:sz w:val="44"/>
    </w:rPr>
  </w:style>
  <w:style w:type="character" w:customStyle="1" w:styleId="629">
    <w:name w:val="样式 题注 + (西文) Arial (中文) 黑体 小四 Char Char Char"/>
    <w:qFormat/>
    <w:uiPriority w:val="0"/>
    <w:rPr>
      <w:rFonts w:ascii="Arial" w:hAnsi="Arial" w:eastAsia="黑体" w:cs="Arial"/>
      <w:b/>
      <w:bCs/>
      <w:snapToGrid w:val="0"/>
      <w:color w:val="000000"/>
      <w:kern w:val="2"/>
      <w:sz w:val="24"/>
      <w:szCs w:val="28"/>
      <w:lang w:val="en-US" w:eastAsia="zh-CN" w:bidi="ar-SA"/>
    </w:rPr>
  </w:style>
  <w:style w:type="character" w:customStyle="1" w:styleId="630">
    <w:name w:val="表头------------- Char Char"/>
    <w:link w:val="631"/>
    <w:qFormat/>
    <w:uiPriority w:val="0"/>
    <w:rPr>
      <w:rFonts w:eastAsia="黑体"/>
      <w:sz w:val="24"/>
    </w:rPr>
  </w:style>
  <w:style w:type="paragraph" w:customStyle="1" w:styleId="631">
    <w:name w:val="表头-------------"/>
    <w:basedOn w:val="1"/>
    <w:link w:val="630"/>
    <w:qFormat/>
    <w:uiPriority w:val="0"/>
    <w:pPr>
      <w:spacing w:line="460" w:lineRule="exact"/>
      <w:jc w:val="center"/>
    </w:pPr>
    <w:rPr>
      <w:rFonts w:eastAsia="黑体"/>
      <w:kern w:val="0"/>
      <w:sz w:val="24"/>
      <w:szCs w:val="20"/>
    </w:rPr>
  </w:style>
  <w:style w:type="character" w:customStyle="1" w:styleId="632">
    <w:name w:val="尾注文本 Char1"/>
    <w:qFormat/>
    <w:uiPriority w:val="0"/>
    <w:rPr>
      <w:rFonts w:ascii="Times New Roman" w:hAnsi="Times New Roman" w:eastAsia="宋体" w:cs="Times New Roman"/>
      <w:szCs w:val="24"/>
    </w:rPr>
  </w:style>
  <w:style w:type="character" w:customStyle="1" w:styleId="633">
    <w:name w:val="小表中 Char Char"/>
    <w:link w:val="634"/>
    <w:qFormat/>
    <w:uiPriority w:val="0"/>
    <w:rPr>
      <w:rFonts w:ascii="宋体" w:hAnsi="宋体"/>
    </w:rPr>
  </w:style>
  <w:style w:type="paragraph" w:customStyle="1" w:styleId="634">
    <w:name w:val="小表中"/>
    <w:basedOn w:val="1"/>
    <w:link w:val="633"/>
    <w:qFormat/>
    <w:uiPriority w:val="0"/>
    <w:pPr>
      <w:keepNext/>
      <w:tabs>
        <w:tab w:val="left" w:pos="1769"/>
      </w:tabs>
      <w:adjustRightInd w:val="0"/>
      <w:snapToGrid w:val="0"/>
      <w:spacing w:line="240" w:lineRule="atLeast"/>
      <w:jc w:val="center"/>
    </w:pPr>
    <w:rPr>
      <w:rFonts w:ascii="宋体" w:hAnsi="宋体"/>
      <w:kern w:val="0"/>
      <w:sz w:val="20"/>
      <w:szCs w:val="20"/>
    </w:rPr>
  </w:style>
  <w:style w:type="character" w:customStyle="1" w:styleId="635">
    <w:name w:val="Char Char212"/>
    <w:qFormat/>
    <w:uiPriority w:val="0"/>
    <w:rPr>
      <w:rFonts w:eastAsia="宋体"/>
      <w:kern w:val="2"/>
      <w:sz w:val="21"/>
      <w:szCs w:val="24"/>
      <w:lang w:val="en-US" w:eastAsia="zh-CN" w:bidi="ar-SA"/>
    </w:rPr>
  </w:style>
  <w:style w:type="character" w:customStyle="1" w:styleId="636">
    <w:name w:val="content1"/>
    <w:qFormat/>
    <w:uiPriority w:val="0"/>
    <w:rPr>
      <w:rFonts w:ascii="黑体" w:hAnsi="宋体" w:eastAsia="黑体" w:cs="宋体"/>
      <w:b/>
      <w:kern w:val="2"/>
      <w:sz w:val="14"/>
      <w:szCs w:val="14"/>
      <w:lang w:val="en-US" w:eastAsia="zh-CN" w:bidi="ar-SA"/>
    </w:rPr>
  </w:style>
  <w:style w:type="character" w:customStyle="1" w:styleId="637">
    <w:name w:val="样式 标题 3条标题头标题3H3h33rd level第二层条标题 3 Char小标题小节标题标题 3 C...5 Char"/>
    <w:link w:val="638"/>
    <w:qFormat/>
    <w:uiPriority w:val="0"/>
    <w:rPr>
      <w:rFonts w:ascii="黑体" w:hAnsi="Times New Roman" w:eastAsia="黑体"/>
      <w:color w:val="000000"/>
      <w:sz w:val="24"/>
      <w:szCs w:val="24"/>
    </w:rPr>
  </w:style>
  <w:style w:type="paragraph" w:customStyle="1" w:styleId="638">
    <w:name w:val="样式 标题 3条标题头标题3H3h33rd level第二层条标题 3 Char小标题小节标题标题 3 C...5"/>
    <w:basedOn w:val="6"/>
    <w:link w:val="637"/>
    <w:qFormat/>
    <w:uiPriority w:val="0"/>
    <w:pPr>
      <w:keepLines/>
      <w:numPr>
        <w:ilvl w:val="0"/>
        <w:numId w:val="0"/>
      </w:numPr>
      <w:adjustRightInd/>
      <w:snapToGrid/>
      <w:spacing w:before="0" w:line="720" w:lineRule="auto"/>
    </w:pPr>
    <w:rPr>
      <w:rFonts w:hAnsi="Times New Roman"/>
      <w:bCs/>
      <w:color w:val="000000"/>
      <w:kern w:val="0"/>
    </w:rPr>
  </w:style>
  <w:style w:type="character" w:customStyle="1" w:styleId="639">
    <w:name w:val="样式 标题 3条标题头标题3H3h33rd level第二层条标题 3 Char小标题小节标题标题 3 C...4 Char"/>
    <w:link w:val="640"/>
    <w:qFormat/>
    <w:uiPriority w:val="0"/>
    <w:rPr>
      <w:rFonts w:ascii="黑体" w:hAnsi="Times New Roman" w:eastAsia="黑体"/>
      <w:bCs/>
      <w:color w:val="000000"/>
      <w:sz w:val="24"/>
      <w:szCs w:val="24"/>
    </w:rPr>
  </w:style>
  <w:style w:type="paragraph" w:customStyle="1" w:styleId="640">
    <w:name w:val="样式 标题 3条标题头标题3H3h33rd level第二层条标题 3 Char小标题小节标题标题 3 C...4"/>
    <w:basedOn w:val="6"/>
    <w:link w:val="639"/>
    <w:qFormat/>
    <w:uiPriority w:val="0"/>
    <w:pPr>
      <w:keepLines/>
      <w:numPr>
        <w:ilvl w:val="0"/>
        <w:numId w:val="0"/>
      </w:numPr>
      <w:adjustRightInd/>
      <w:snapToGrid/>
      <w:spacing w:before="0" w:line="720" w:lineRule="auto"/>
    </w:pPr>
    <w:rPr>
      <w:rFonts w:hAnsi="Times New Roman"/>
      <w:color w:val="000000"/>
      <w:kern w:val="0"/>
    </w:rPr>
  </w:style>
  <w:style w:type="character" w:customStyle="1" w:styleId="641">
    <w:name w:val="正文文本 (9) + 间距 0 pt"/>
    <w:qFormat/>
    <w:uiPriority w:val="99"/>
    <w:rPr>
      <w:rFonts w:ascii="MingLiU" w:eastAsia="MingLiU" w:cs="MingLiU"/>
      <w:spacing w:val="10"/>
      <w:sz w:val="20"/>
      <w:szCs w:val="20"/>
      <w:u w:val="none"/>
      <w:shd w:val="clear" w:color="auto" w:fill="FFFFFF"/>
    </w:rPr>
  </w:style>
  <w:style w:type="character" w:customStyle="1" w:styleId="642">
    <w:name w:val="15"/>
    <w:basedOn w:val="83"/>
    <w:qFormat/>
    <w:uiPriority w:val="0"/>
  </w:style>
  <w:style w:type="character" w:customStyle="1" w:styleId="643">
    <w:name w:val="表标题 Char Char"/>
    <w:link w:val="644"/>
    <w:qFormat/>
    <w:uiPriority w:val="0"/>
    <w:rPr>
      <w:rFonts w:ascii="Times New Roman" w:hAnsi="Times New Roman"/>
      <w:szCs w:val="24"/>
    </w:rPr>
  </w:style>
  <w:style w:type="paragraph" w:customStyle="1" w:styleId="644">
    <w:name w:val="表标题"/>
    <w:basedOn w:val="20"/>
    <w:link w:val="643"/>
    <w:qFormat/>
    <w:uiPriority w:val="0"/>
    <w:pPr>
      <w:tabs>
        <w:tab w:val="left" w:pos="360"/>
      </w:tabs>
      <w:topLinePunct w:val="0"/>
      <w:spacing w:line="240" w:lineRule="auto"/>
      <w:ind w:left="0" w:firstLine="0"/>
      <w:jc w:val="center"/>
    </w:pPr>
    <w:rPr>
      <w:rFonts w:ascii="Times New Roman" w:eastAsiaTheme="minorEastAsia" w:cstheme="minorBidi"/>
      <w:kern w:val="0"/>
      <w:sz w:val="20"/>
      <w:szCs w:val="24"/>
    </w:rPr>
  </w:style>
  <w:style w:type="character" w:customStyle="1" w:styleId="645">
    <w:name w:val="Char Char20"/>
    <w:qFormat/>
    <w:uiPriority w:val="0"/>
    <w:rPr>
      <w:rFonts w:ascii="宋体" w:eastAsia="宋体"/>
      <w:color w:val="000000"/>
      <w:sz w:val="36"/>
      <w:lang w:val="en-US" w:eastAsia="zh-CN" w:bidi="ar-SA"/>
    </w:rPr>
  </w:style>
  <w:style w:type="character" w:customStyle="1" w:styleId="646">
    <w:name w:val="表1 Char Char"/>
    <w:link w:val="647"/>
    <w:qFormat/>
    <w:uiPriority w:val="0"/>
    <w:rPr>
      <w:rFonts w:ascii="Times New Roman" w:hAnsi="Times New Roman"/>
      <w:sz w:val="21"/>
    </w:rPr>
  </w:style>
  <w:style w:type="paragraph" w:customStyle="1" w:styleId="647">
    <w:name w:val="表1"/>
    <w:next w:val="1"/>
    <w:link w:val="646"/>
    <w:qFormat/>
    <w:uiPriority w:val="0"/>
    <w:pPr>
      <w:adjustRightInd w:val="0"/>
      <w:snapToGrid w:val="0"/>
      <w:jc w:val="center"/>
    </w:pPr>
    <w:rPr>
      <w:rFonts w:ascii="Times New Roman" w:hAnsi="Times New Roman" w:eastAsiaTheme="minorEastAsia" w:cstheme="minorBidi"/>
      <w:sz w:val="21"/>
      <w:lang w:val="en-US" w:eastAsia="zh-CN" w:bidi="ar-SA"/>
    </w:rPr>
  </w:style>
  <w:style w:type="character" w:customStyle="1" w:styleId="648">
    <w:name w:val="样式 小四 蓝色 首行缩进:  0.85 厘米 行距: 多倍行距 1.4 字行 Char Char"/>
    <w:link w:val="649"/>
    <w:qFormat/>
    <w:uiPriority w:val="0"/>
    <w:rPr>
      <w:color w:val="0000FF"/>
      <w:sz w:val="24"/>
    </w:rPr>
  </w:style>
  <w:style w:type="paragraph" w:customStyle="1" w:styleId="649">
    <w:name w:val="样式 小四 蓝色 首行缩进:  0.85 厘米 行距: 多倍行距 1.4 字行"/>
    <w:basedOn w:val="1"/>
    <w:link w:val="648"/>
    <w:qFormat/>
    <w:uiPriority w:val="0"/>
    <w:pPr>
      <w:spacing w:line="336" w:lineRule="auto"/>
      <w:ind w:firstLine="482"/>
    </w:pPr>
    <w:rPr>
      <w:color w:val="0000FF"/>
      <w:kern w:val="0"/>
      <w:sz w:val="24"/>
      <w:szCs w:val="20"/>
    </w:rPr>
  </w:style>
  <w:style w:type="character" w:customStyle="1" w:styleId="650">
    <w:name w:val="正文文本 (14)5"/>
    <w:qFormat/>
    <w:uiPriority w:val="0"/>
    <w:rPr>
      <w:rFonts w:ascii="宋体" w:eastAsia="宋体" w:cs="宋体"/>
      <w:sz w:val="10"/>
      <w:szCs w:val="10"/>
      <w:shd w:val="clear" w:color="auto" w:fill="FFFFFF"/>
    </w:rPr>
  </w:style>
  <w:style w:type="character" w:customStyle="1" w:styleId="651">
    <w:name w:val="Char Char191"/>
    <w:qFormat/>
    <w:uiPriority w:val="0"/>
    <w:rPr>
      <w:rFonts w:eastAsia="黑体"/>
      <w:kern w:val="2"/>
      <w:sz w:val="24"/>
      <w:szCs w:val="24"/>
      <w:lang w:val="en-US" w:eastAsia="zh-CN" w:bidi="ar-SA"/>
    </w:rPr>
  </w:style>
  <w:style w:type="character" w:customStyle="1" w:styleId="652">
    <w:name w:val="1正文段落 Char Char Char"/>
    <w:link w:val="653"/>
    <w:qFormat/>
    <w:uiPriority w:val="0"/>
    <w:rPr>
      <w:snapToGrid w:val="0"/>
      <w:kern w:val="2"/>
      <w:sz w:val="24"/>
      <w:szCs w:val="24"/>
    </w:rPr>
  </w:style>
  <w:style w:type="paragraph" w:customStyle="1" w:styleId="653">
    <w:name w:val="1正文段落 Char"/>
    <w:basedOn w:val="1"/>
    <w:link w:val="652"/>
    <w:qFormat/>
    <w:uiPriority w:val="0"/>
    <w:pPr>
      <w:spacing w:line="360" w:lineRule="auto"/>
      <w:ind w:firstLine="200" w:firstLineChars="200"/>
      <w:jc w:val="left"/>
    </w:pPr>
    <w:rPr>
      <w:snapToGrid w:val="0"/>
      <w:sz w:val="24"/>
      <w:szCs w:val="24"/>
    </w:rPr>
  </w:style>
  <w:style w:type="character" w:customStyle="1" w:styleId="654">
    <w:name w:val="表 Char Char"/>
    <w:link w:val="655"/>
    <w:qFormat/>
    <w:locked/>
    <w:uiPriority w:val="0"/>
    <w:rPr>
      <w:rFonts w:ascii="Times New Roman" w:hAnsi="Times New Roman"/>
      <w:spacing w:val="2"/>
    </w:rPr>
  </w:style>
  <w:style w:type="paragraph" w:customStyle="1" w:styleId="655">
    <w:name w:val="表"/>
    <w:basedOn w:val="1"/>
    <w:link w:val="654"/>
    <w:qFormat/>
    <w:uiPriority w:val="0"/>
    <w:pPr>
      <w:snapToGrid w:val="0"/>
      <w:jc w:val="center"/>
    </w:pPr>
    <w:rPr>
      <w:rFonts w:ascii="Times New Roman" w:hAnsi="Times New Roman"/>
      <w:spacing w:val="2"/>
      <w:kern w:val="0"/>
      <w:sz w:val="20"/>
      <w:szCs w:val="20"/>
    </w:rPr>
  </w:style>
  <w:style w:type="character" w:customStyle="1" w:styleId="656">
    <w:name w:val="【标题3】 Char Char"/>
    <w:link w:val="657"/>
    <w:qFormat/>
    <w:uiPriority w:val="0"/>
    <w:rPr>
      <w:b/>
      <w:bCs/>
      <w:sz w:val="30"/>
    </w:rPr>
  </w:style>
  <w:style w:type="paragraph" w:customStyle="1" w:styleId="657">
    <w:name w:val="【标题3】"/>
    <w:basedOn w:val="6"/>
    <w:link w:val="656"/>
    <w:qFormat/>
    <w:uiPriority w:val="0"/>
    <w:pPr>
      <w:keepNext w:val="0"/>
      <w:keepLines/>
      <w:numPr>
        <w:ilvl w:val="0"/>
        <w:numId w:val="0"/>
      </w:numPr>
      <w:adjustRightInd/>
      <w:snapToGrid/>
      <w:spacing w:before="240" w:after="240" w:line="240" w:lineRule="auto"/>
    </w:pPr>
    <w:rPr>
      <w:rFonts w:asciiTheme="minorHAnsi" w:eastAsiaTheme="minorEastAsia"/>
      <w:b/>
      <w:kern w:val="0"/>
      <w:sz w:val="30"/>
      <w:szCs w:val="20"/>
    </w:rPr>
  </w:style>
  <w:style w:type="character" w:customStyle="1" w:styleId="658">
    <w:name w:val="批注文字 Char2"/>
    <w:qFormat/>
    <w:uiPriority w:val="99"/>
    <w:rPr>
      <w:rFonts w:ascii="Calibri" w:hAnsi="Calibri" w:eastAsia="宋体" w:cs="Times New Roman"/>
    </w:rPr>
  </w:style>
  <w:style w:type="character" w:customStyle="1" w:styleId="659">
    <w:name w:val="普通文字 Char Char Char Char3"/>
    <w:qFormat/>
    <w:uiPriority w:val="0"/>
    <w:rPr>
      <w:rFonts w:ascii="宋体" w:hAnsi="Courier New" w:eastAsia="宋体"/>
      <w:kern w:val="2"/>
      <w:sz w:val="28"/>
      <w:lang w:val="en-US" w:eastAsia="zh-CN" w:bidi="ar-SA"/>
    </w:rPr>
  </w:style>
  <w:style w:type="character" w:customStyle="1" w:styleId="660">
    <w:name w:val="表头 Char2"/>
    <w:qFormat/>
    <w:uiPriority w:val="0"/>
    <w:rPr>
      <w:rFonts w:ascii="黑体" w:eastAsia="黑体"/>
      <w:bCs/>
      <w:kern w:val="2"/>
      <w:sz w:val="21"/>
      <w:szCs w:val="24"/>
      <w:lang w:val="en-US" w:eastAsia="zh-CN" w:bidi="ar-SA"/>
    </w:rPr>
  </w:style>
  <w:style w:type="character" w:customStyle="1" w:styleId="661">
    <w:name w:val="Body text 1 Char Char Char"/>
    <w:qFormat/>
    <w:uiPriority w:val="0"/>
    <w:rPr>
      <w:snapToGrid/>
      <w:sz w:val="24"/>
      <w:szCs w:val="24"/>
      <w:lang w:eastAsia="zh-CN"/>
    </w:rPr>
  </w:style>
  <w:style w:type="character" w:customStyle="1" w:styleId="662">
    <w:name w:val="Char Char1"/>
    <w:qFormat/>
    <w:uiPriority w:val="0"/>
    <w:rPr>
      <w:rFonts w:eastAsia="宋体"/>
      <w:kern w:val="2"/>
      <w:sz w:val="21"/>
      <w:szCs w:val="24"/>
      <w:lang w:val="en-US" w:eastAsia="zh-CN" w:bidi="ar-SA"/>
    </w:rPr>
  </w:style>
  <w:style w:type="character" w:customStyle="1" w:styleId="663">
    <w:name w:val="txt"/>
    <w:basedOn w:val="83"/>
    <w:qFormat/>
    <w:uiPriority w:val="0"/>
  </w:style>
  <w:style w:type="character" w:customStyle="1" w:styleId="664">
    <w:name w:val="Char Char11"/>
    <w:qFormat/>
    <w:uiPriority w:val="0"/>
    <w:rPr>
      <w:rFonts w:ascii="Calibri" w:hAnsi="Calibri" w:eastAsia="宋体"/>
      <w:kern w:val="2"/>
      <w:sz w:val="18"/>
      <w:szCs w:val="18"/>
      <w:lang w:val="en-US" w:eastAsia="zh-CN" w:bidi="ar-SA"/>
    </w:rPr>
  </w:style>
  <w:style w:type="character" w:customStyle="1" w:styleId="665">
    <w:name w:val="表内文字 Char Char"/>
    <w:qFormat/>
    <w:uiPriority w:val="0"/>
    <w:rPr>
      <w:rFonts w:ascii="宋体" w:hAnsi="Courier New" w:eastAsia="宋体" w:cs="Courier New"/>
      <w:kern w:val="2"/>
      <w:sz w:val="21"/>
      <w:szCs w:val="21"/>
      <w:lang w:val="en-US" w:eastAsia="zh-CN" w:bidi="ar-SA"/>
    </w:rPr>
  </w:style>
  <w:style w:type="character" w:customStyle="1" w:styleId="666">
    <w:name w:val="14p"/>
    <w:basedOn w:val="83"/>
    <w:qFormat/>
    <w:uiPriority w:val="0"/>
  </w:style>
  <w:style w:type="character" w:customStyle="1" w:styleId="667">
    <w:name w:val="apple-converted-space"/>
    <w:basedOn w:val="83"/>
    <w:qFormat/>
    <w:uiPriority w:val="0"/>
  </w:style>
  <w:style w:type="character" w:customStyle="1" w:styleId="668">
    <w:name w:val="副标题 Char1"/>
    <w:qFormat/>
    <w:uiPriority w:val="0"/>
    <w:rPr>
      <w:rFonts w:ascii="Cambria" w:hAnsi="Cambria" w:eastAsia="宋体" w:cs="Times New Roman"/>
      <w:b/>
      <w:bCs/>
      <w:kern w:val="28"/>
      <w:sz w:val="32"/>
      <w:szCs w:val="32"/>
    </w:rPr>
  </w:style>
  <w:style w:type="character" w:customStyle="1" w:styleId="669">
    <w:name w:val="H4 Char2"/>
    <w:qFormat/>
    <w:uiPriority w:val="0"/>
    <w:rPr>
      <w:rFonts w:ascii="Times New Roman" w:hAnsi="Times New Roman"/>
      <w:b/>
      <w:bCs/>
      <w:kern w:val="2"/>
      <w:sz w:val="24"/>
      <w:szCs w:val="28"/>
    </w:rPr>
  </w:style>
  <w:style w:type="character" w:customStyle="1" w:styleId="670">
    <w:name w:val="表头 + 居中 Char Char"/>
    <w:link w:val="671"/>
    <w:qFormat/>
    <w:uiPriority w:val="0"/>
    <w:rPr>
      <w:rFonts w:ascii="Arial" w:hAnsi="Arial" w:eastAsia="黑体"/>
      <w:szCs w:val="21"/>
    </w:rPr>
  </w:style>
  <w:style w:type="paragraph" w:customStyle="1" w:styleId="671">
    <w:name w:val="表头 + 居中"/>
    <w:basedOn w:val="1"/>
    <w:next w:val="1"/>
    <w:link w:val="670"/>
    <w:qFormat/>
    <w:uiPriority w:val="0"/>
    <w:pPr>
      <w:keepNext/>
      <w:keepLines/>
      <w:spacing w:beforeLines="50" w:afterLines="50"/>
      <w:jc w:val="center"/>
    </w:pPr>
    <w:rPr>
      <w:rFonts w:ascii="Arial" w:hAnsi="Arial" w:eastAsia="黑体"/>
      <w:kern w:val="0"/>
      <w:sz w:val="20"/>
    </w:rPr>
  </w:style>
  <w:style w:type="character" w:customStyle="1" w:styleId="672">
    <w:name w:val="表文字居中 Char Char"/>
    <w:link w:val="673"/>
    <w:qFormat/>
    <w:uiPriority w:val="0"/>
    <w:rPr>
      <w:rFonts w:ascii="Arial" w:hAnsi="Arial" w:eastAsia="Times New Roman"/>
      <w:kern w:val="2"/>
      <w:sz w:val="21"/>
      <w:szCs w:val="24"/>
    </w:rPr>
  </w:style>
  <w:style w:type="paragraph" w:customStyle="1" w:styleId="673">
    <w:name w:val="表文字居中"/>
    <w:link w:val="672"/>
    <w:qFormat/>
    <w:uiPriority w:val="0"/>
    <w:pPr>
      <w:adjustRightInd w:val="0"/>
      <w:spacing w:line="360" w:lineRule="auto"/>
      <w:jc w:val="center"/>
    </w:pPr>
    <w:rPr>
      <w:rFonts w:ascii="Arial" w:hAnsi="Arial" w:eastAsia="Times New Roman" w:cstheme="minorBidi"/>
      <w:kern w:val="2"/>
      <w:sz w:val="21"/>
      <w:szCs w:val="24"/>
      <w:lang w:val="en-US" w:eastAsia="zh-CN" w:bidi="ar-SA"/>
    </w:rPr>
  </w:style>
  <w:style w:type="character" w:customStyle="1" w:styleId="674">
    <w:name w:val="标题 Char2"/>
    <w:qFormat/>
    <w:uiPriority w:val="0"/>
    <w:rPr>
      <w:rFonts w:ascii="Cambria" w:hAnsi="Cambria" w:eastAsia="宋体" w:cs="Times New Roman"/>
      <w:b/>
      <w:bCs/>
      <w:sz w:val="32"/>
      <w:szCs w:val="32"/>
    </w:rPr>
  </w:style>
  <w:style w:type="character" w:customStyle="1" w:styleId="675">
    <w:name w:val="表格文字居中 Char1"/>
    <w:link w:val="676"/>
    <w:qFormat/>
    <w:locked/>
    <w:uiPriority w:val="0"/>
    <w:rPr>
      <w:rFonts w:ascii="Times New Roman" w:hAnsi="宋体"/>
      <w:szCs w:val="21"/>
    </w:rPr>
  </w:style>
  <w:style w:type="paragraph" w:customStyle="1" w:styleId="676">
    <w:name w:val="表格文字居中"/>
    <w:basedOn w:val="1"/>
    <w:link w:val="675"/>
    <w:qFormat/>
    <w:uiPriority w:val="0"/>
    <w:pPr>
      <w:adjustRightInd w:val="0"/>
      <w:snapToGrid w:val="0"/>
      <w:spacing w:line="320" w:lineRule="exact"/>
      <w:jc w:val="center"/>
    </w:pPr>
    <w:rPr>
      <w:rFonts w:ascii="Times New Roman" w:hAnsi="宋体"/>
      <w:kern w:val="0"/>
      <w:sz w:val="20"/>
    </w:rPr>
  </w:style>
  <w:style w:type="character" w:customStyle="1" w:styleId="677">
    <w:name w:val="text121"/>
    <w:qFormat/>
    <w:uiPriority w:val="0"/>
    <w:rPr>
      <w:color w:val="333333"/>
      <w:sz w:val="18"/>
      <w:szCs w:val="18"/>
    </w:rPr>
  </w:style>
  <w:style w:type="character" w:customStyle="1" w:styleId="678">
    <w:name w:val="标题 3 Char Char"/>
    <w:qFormat/>
    <w:uiPriority w:val="0"/>
    <w:rPr>
      <w:rFonts w:ascii="仿宋_GB2312" w:eastAsia="仿宋_GB2312"/>
      <w:b/>
      <w:spacing w:val="-2"/>
      <w:kern w:val="2"/>
      <w:sz w:val="28"/>
      <w:szCs w:val="24"/>
      <w:lang w:val="en-US" w:eastAsia="zh-CN" w:bidi="ar-SA"/>
    </w:rPr>
  </w:style>
  <w:style w:type="character" w:customStyle="1" w:styleId="679">
    <w:name w:val="正文 + 首行缩进:  2 字符 Char1"/>
    <w:qFormat/>
    <w:uiPriority w:val="0"/>
    <w:rPr>
      <w:rFonts w:eastAsia="宋体" w:cs="宋体"/>
      <w:color w:val="000000"/>
      <w:kern w:val="2"/>
      <w:sz w:val="24"/>
      <w:lang w:val="en-US" w:eastAsia="zh-CN" w:bidi="ar-SA"/>
    </w:rPr>
  </w:style>
  <w:style w:type="character" w:customStyle="1" w:styleId="680">
    <w:name w:val="正式 Char Char"/>
    <w:link w:val="681"/>
    <w:semiHidden/>
    <w:qFormat/>
    <w:uiPriority w:val="0"/>
    <w:rPr>
      <w:rFonts w:ascii="Times New Roman" w:hAnsi="宋体"/>
      <w:spacing w:val="6"/>
      <w:sz w:val="24"/>
      <w:szCs w:val="21"/>
    </w:rPr>
  </w:style>
  <w:style w:type="paragraph" w:customStyle="1" w:styleId="681">
    <w:name w:val="正式"/>
    <w:basedOn w:val="1"/>
    <w:link w:val="680"/>
    <w:semiHidden/>
    <w:qFormat/>
    <w:uiPriority w:val="0"/>
    <w:pPr>
      <w:spacing w:beforeLines="50" w:line="420" w:lineRule="auto"/>
      <w:ind w:firstLine="200" w:firstLineChars="200"/>
    </w:pPr>
    <w:rPr>
      <w:rFonts w:ascii="Times New Roman" w:hAnsi="宋体"/>
      <w:spacing w:val="6"/>
      <w:kern w:val="0"/>
      <w:sz w:val="24"/>
    </w:rPr>
  </w:style>
  <w:style w:type="character" w:customStyle="1" w:styleId="682">
    <w:name w:val="Char Char231"/>
    <w:qFormat/>
    <w:uiPriority w:val="0"/>
    <w:rPr>
      <w:rFonts w:eastAsia="黑体"/>
      <w:kern w:val="2"/>
      <w:sz w:val="24"/>
      <w:szCs w:val="24"/>
      <w:lang w:val="en-US" w:eastAsia="zh-CN" w:bidi="ar-SA"/>
    </w:rPr>
  </w:style>
  <w:style w:type="character" w:customStyle="1" w:styleId="683">
    <w:name w:val="fs"/>
    <w:basedOn w:val="83"/>
    <w:qFormat/>
    <w:uiPriority w:val="0"/>
  </w:style>
  <w:style w:type="character" w:customStyle="1" w:styleId="684">
    <w:name w:val="正文11 Char"/>
    <w:qFormat/>
    <w:uiPriority w:val="0"/>
    <w:rPr>
      <w:rFonts w:ascii="宋体" w:hAnsi="宋体" w:eastAsia="仿宋_GB2312"/>
      <w:snapToGrid w:val="0"/>
      <w:sz w:val="24"/>
      <w:szCs w:val="24"/>
    </w:rPr>
  </w:style>
  <w:style w:type="character" w:customStyle="1" w:styleId="685">
    <w:name w:val="pt9"/>
    <w:basedOn w:val="83"/>
    <w:qFormat/>
    <w:uiPriority w:val="0"/>
  </w:style>
  <w:style w:type="character" w:customStyle="1" w:styleId="686">
    <w:name w:val="Char Char15"/>
    <w:link w:val="687"/>
    <w:qFormat/>
    <w:uiPriority w:val="0"/>
    <w:rPr>
      <w:sz w:val="24"/>
    </w:rPr>
  </w:style>
  <w:style w:type="paragraph" w:customStyle="1" w:styleId="687">
    <w:name w:val="正文文本11"/>
    <w:basedOn w:val="1"/>
    <w:link w:val="686"/>
    <w:qFormat/>
    <w:uiPriority w:val="0"/>
    <w:pPr>
      <w:spacing w:line="240" w:lineRule="atLeast"/>
      <w:jc w:val="center"/>
    </w:pPr>
    <w:rPr>
      <w:kern w:val="0"/>
      <w:sz w:val="24"/>
      <w:szCs w:val="20"/>
    </w:rPr>
  </w:style>
  <w:style w:type="character" w:customStyle="1" w:styleId="688">
    <w:name w:val="项标题(1) Char Char"/>
    <w:qFormat/>
    <w:uiPriority w:val="0"/>
    <w:rPr>
      <w:rFonts w:eastAsia="宋体"/>
      <w:sz w:val="24"/>
      <w:lang w:val="en-US" w:eastAsia="zh-CN" w:bidi="ar-SA"/>
    </w:rPr>
  </w:style>
  <w:style w:type="character" w:customStyle="1" w:styleId="689">
    <w:name w:val="表5.6 Char Char"/>
    <w:link w:val="690"/>
    <w:qFormat/>
    <w:uiPriority w:val="0"/>
    <w:rPr>
      <w:rFonts w:ascii="黑体" w:hAnsi="Times New Roman" w:eastAsia="黑体"/>
      <w:b/>
      <w:bCs/>
      <w:color w:val="FF0000"/>
      <w:sz w:val="24"/>
      <w:szCs w:val="24"/>
    </w:rPr>
  </w:style>
  <w:style w:type="paragraph" w:customStyle="1" w:styleId="690">
    <w:name w:val="表5.6"/>
    <w:basedOn w:val="691"/>
    <w:link w:val="689"/>
    <w:qFormat/>
    <w:uiPriority w:val="0"/>
    <w:pPr>
      <w:tabs>
        <w:tab w:val="left" w:pos="360"/>
        <w:tab w:val="left" w:pos="720"/>
        <w:tab w:val="left" w:pos="726"/>
        <w:tab w:val="left" w:pos="1080"/>
        <w:tab w:val="center" w:pos="4060"/>
        <w:tab w:val="right" w:pos="8261"/>
      </w:tabs>
      <w:ind w:left="720" w:hanging="720" w:hangingChars="200"/>
    </w:pPr>
    <w:rPr>
      <w:rFonts w:cstheme="minorBidi"/>
      <w:bCs/>
      <w:color w:val="FF0000"/>
      <w:szCs w:val="24"/>
    </w:rPr>
  </w:style>
  <w:style w:type="paragraph" w:customStyle="1" w:styleId="691">
    <w:name w:val="表2.1"/>
    <w:basedOn w:val="1"/>
    <w:link w:val="692"/>
    <w:qFormat/>
    <w:uiPriority w:val="0"/>
    <w:pPr>
      <w:tabs>
        <w:tab w:val="left" w:pos="1080"/>
        <w:tab w:val="center" w:pos="4060"/>
        <w:tab w:val="right" w:pos="8261"/>
      </w:tabs>
      <w:suppressAutoHyphens/>
      <w:adjustRightInd w:val="0"/>
      <w:spacing w:before="240" w:line="0" w:lineRule="atLeast"/>
      <w:ind w:left="420" w:hanging="420"/>
    </w:pPr>
    <w:rPr>
      <w:rFonts w:ascii="黑体" w:hAnsi="Times New Roman" w:eastAsia="黑体" w:cs="Times New Roman"/>
      <w:b/>
      <w:kern w:val="0"/>
      <w:sz w:val="24"/>
      <w:szCs w:val="26"/>
    </w:rPr>
  </w:style>
  <w:style w:type="character" w:customStyle="1" w:styleId="692">
    <w:name w:val="表2.1 Char Char"/>
    <w:link w:val="691"/>
    <w:qFormat/>
    <w:uiPriority w:val="0"/>
    <w:rPr>
      <w:rFonts w:ascii="黑体" w:hAnsi="Times New Roman" w:eastAsia="黑体" w:cs="Times New Roman"/>
      <w:b/>
      <w:sz w:val="24"/>
      <w:szCs w:val="26"/>
    </w:rPr>
  </w:style>
  <w:style w:type="character" w:customStyle="1" w:styleId="693">
    <w:name w:val="Char Char111"/>
    <w:qFormat/>
    <w:uiPriority w:val="0"/>
    <w:rPr>
      <w:rFonts w:ascii="宋体" w:eastAsia="宋体"/>
      <w:color w:val="000000"/>
      <w:sz w:val="36"/>
      <w:lang w:val="en-US" w:eastAsia="zh-CN" w:bidi="ar-SA"/>
    </w:rPr>
  </w:style>
  <w:style w:type="character" w:customStyle="1" w:styleId="694">
    <w:name w:val="font51"/>
    <w:qFormat/>
    <w:uiPriority w:val="0"/>
    <w:rPr>
      <w:rFonts w:hint="default" w:ascii="Times New Roman" w:hAnsi="Times New Roman" w:cs="Times New Roman"/>
      <w:b/>
      <w:bCs/>
      <w:color w:val="000000"/>
      <w:sz w:val="18"/>
      <w:szCs w:val="18"/>
      <w:u w:val="none"/>
    </w:rPr>
  </w:style>
  <w:style w:type="character" w:customStyle="1" w:styleId="695">
    <w:name w:val="highlight1"/>
    <w:qFormat/>
    <w:uiPriority w:val="0"/>
    <w:rPr>
      <w:sz w:val="21"/>
      <w:szCs w:val="21"/>
    </w:rPr>
  </w:style>
  <w:style w:type="character" w:customStyle="1" w:styleId="696">
    <w:name w:val="正文 Char Char"/>
    <w:qFormat/>
    <w:uiPriority w:val="0"/>
    <w:rPr>
      <w:rFonts w:ascii="Times New Roman" w:hAnsi="Times New Roman" w:eastAsia="宋体" w:cs="Times New Roman"/>
      <w:snapToGrid w:val="0"/>
      <w:kern w:val="0"/>
      <w:sz w:val="24"/>
      <w:szCs w:val="24"/>
      <w:lang w:val="en-US" w:eastAsia="zh-CN" w:bidi="ar-SA"/>
    </w:rPr>
  </w:style>
  <w:style w:type="character" w:customStyle="1" w:styleId="697">
    <w:name w:val="正文文本 3 Char1"/>
    <w:qFormat/>
    <w:uiPriority w:val="99"/>
    <w:rPr>
      <w:rFonts w:ascii="Calibri" w:hAnsi="Calibri" w:eastAsia="宋体" w:cs="Times New Roman"/>
      <w:sz w:val="16"/>
      <w:szCs w:val="16"/>
    </w:rPr>
  </w:style>
  <w:style w:type="character" w:customStyle="1" w:styleId="698">
    <w:name w:val="正文文本 (2) + 10 pt9"/>
    <w:qFormat/>
    <w:uiPriority w:val="99"/>
    <w:rPr>
      <w:rFonts w:ascii="MingLiU" w:eastAsia="MingLiU" w:cs="MingLiU"/>
      <w:spacing w:val="20"/>
      <w:sz w:val="20"/>
      <w:szCs w:val="20"/>
      <w:u w:val="none"/>
      <w:shd w:val="clear" w:color="auto" w:fill="FFFFFF"/>
    </w:rPr>
  </w:style>
  <w:style w:type="character" w:customStyle="1" w:styleId="699">
    <w:name w:val="扬巴正文 Char Char"/>
    <w:link w:val="700"/>
    <w:semiHidden/>
    <w:qFormat/>
    <w:uiPriority w:val="0"/>
    <w:rPr>
      <w:rFonts w:ascii="Times New Roman" w:hAnsi="Times New Roman"/>
      <w:sz w:val="24"/>
      <w:szCs w:val="24"/>
    </w:rPr>
  </w:style>
  <w:style w:type="paragraph" w:customStyle="1" w:styleId="700">
    <w:name w:val="扬巴正文"/>
    <w:basedOn w:val="1"/>
    <w:link w:val="699"/>
    <w:semiHidden/>
    <w:qFormat/>
    <w:uiPriority w:val="0"/>
    <w:pPr>
      <w:adjustRightInd w:val="0"/>
      <w:snapToGrid w:val="0"/>
      <w:spacing w:line="360" w:lineRule="auto"/>
      <w:ind w:firstLine="200" w:firstLineChars="200"/>
    </w:pPr>
    <w:rPr>
      <w:rFonts w:ascii="Times New Roman" w:hAnsi="Times New Roman"/>
      <w:kern w:val="0"/>
      <w:sz w:val="24"/>
      <w:szCs w:val="24"/>
    </w:rPr>
  </w:style>
  <w:style w:type="character" w:customStyle="1" w:styleId="701">
    <w:name w:val="style21"/>
    <w:qFormat/>
    <w:uiPriority w:val="0"/>
    <w:rPr>
      <w:rFonts w:hint="default" w:ascii="Arial" w:hAnsi="Arial" w:cs="Arial"/>
      <w:color w:val="000000"/>
      <w:sz w:val="18"/>
      <w:szCs w:val="18"/>
    </w:rPr>
  </w:style>
  <w:style w:type="character" w:customStyle="1" w:styleId="702">
    <w:name w:val="c-font-big"/>
    <w:basedOn w:val="83"/>
    <w:qFormat/>
    <w:uiPriority w:val="0"/>
  </w:style>
  <w:style w:type="character" w:customStyle="1" w:styleId="703">
    <w:name w:val="Char12"/>
    <w:qFormat/>
    <w:uiPriority w:val="0"/>
    <w:rPr>
      <w:rFonts w:hint="default" w:ascii="Arial" w:hAnsi="Arial" w:eastAsia="黑体" w:cs="Arial"/>
      <w:b/>
      <w:kern w:val="2"/>
      <w:sz w:val="32"/>
      <w:szCs w:val="24"/>
      <w:lang w:val="en-US" w:eastAsia="zh-CN" w:bidi="ar-SA"/>
    </w:rPr>
  </w:style>
  <w:style w:type="character" w:customStyle="1" w:styleId="704">
    <w:name w:val="样式 表格文字居中 Char + 五号 黑色1"/>
    <w:qFormat/>
    <w:uiPriority w:val="0"/>
    <w:rPr>
      <w:rFonts w:ascii="宋体" w:hAnsi="宋体" w:eastAsia="宋体" w:cs="宋体"/>
      <w:color w:val="000000"/>
      <w:kern w:val="2"/>
      <w:sz w:val="24"/>
      <w:szCs w:val="24"/>
      <w:lang w:val="en-US" w:eastAsia="zh-CN" w:bidi="ar-SA"/>
    </w:rPr>
  </w:style>
  <w:style w:type="character" w:customStyle="1" w:styleId="705">
    <w:name w:val="正文文本 (2) + 10 pt14"/>
    <w:qFormat/>
    <w:uiPriority w:val="99"/>
    <w:rPr>
      <w:rFonts w:ascii="MingLiU" w:eastAsia="MingLiU" w:cs="MingLiU"/>
      <w:spacing w:val="-20"/>
      <w:sz w:val="20"/>
      <w:szCs w:val="20"/>
      <w:u w:val="none"/>
      <w:shd w:val="clear" w:color="auto" w:fill="FFFFFF"/>
      <w:lang w:val="en-US" w:eastAsia="en-US"/>
    </w:rPr>
  </w:style>
  <w:style w:type="character" w:customStyle="1" w:styleId="706">
    <w:name w:val="普通文字 Char Char Char Char2"/>
    <w:qFormat/>
    <w:uiPriority w:val="0"/>
    <w:rPr>
      <w:rFonts w:ascii="宋体" w:hAnsi="Courier New" w:eastAsia="宋体"/>
      <w:kern w:val="2"/>
      <w:sz w:val="28"/>
      <w:lang w:val="en-US" w:eastAsia="zh-CN" w:bidi="ar-SA"/>
    </w:rPr>
  </w:style>
  <w:style w:type="character" w:customStyle="1" w:styleId="707">
    <w:name w:val="正文首行缩进 2 Char1"/>
    <w:basedOn w:val="588"/>
    <w:qFormat/>
    <w:uiPriority w:val="99"/>
    <w:rPr>
      <w:rFonts w:ascii="Times New Roman" w:hAnsi="Times New Roman" w:eastAsia="宋体" w:cs="Times New Roman"/>
      <w:szCs w:val="24"/>
    </w:rPr>
  </w:style>
  <w:style w:type="character" w:customStyle="1" w:styleId="708">
    <w:name w:val="Body text 1 Char Char"/>
    <w:link w:val="709"/>
    <w:qFormat/>
    <w:uiPriority w:val="0"/>
    <w:rPr>
      <w:rFonts w:ascii="Times New Roman" w:hAnsi="Times New Roman"/>
      <w:snapToGrid w:val="0"/>
      <w:sz w:val="24"/>
      <w:szCs w:val="24"/>
    </w:rPr>
  </w:style>
  <w:style w:type="paragraph" w:customStyle="1" w:styleId="709">
    <w:name w:val="Body text 1"/>
    <w:basedOn w:val="348"/>
    <w:link w:val="708"/>
    <w:qFormat/>
    <w:uiPriority w:val="0"/>
    <w:pPr>
      <w:tabs>
        <w:tab w:val="clear" w:pos="567"/>
      </w:tabs>
      <w:spacing w:line="360" w:lineRule="auto"/>
      <w:ind w:left="0" w:firstLine="475"/>
    </w:pPr>
    <w:rPr>
      <w:rFonts w:ascii="Times New Roman" w:eastAsiaTheme="minorEastAsia" w:cstheme="minorBidi"/>
      <w:snapToGrid w:val="0"/>
      <w:kern w:val="0"/>
      <w:szCs w:val="24"/>
    </w:rPr>
  </w:style>
  <w:style w:type="character" w:customStyle="1" w:styleId="710">
    <w:name w:val="公式、图------------- Char Char"/>
    <w:link w:val="711"/>
    <w:qFormat/>
    <w:uiPriority w:val="0"/>
    <w:rPr>
      <w:spacing w:val="16"/>
      <w:sz w:val="24"/>
    </w:rPr>
  </w:style>
  <w:style w:type="paragraph" w:customStyle="1" w:styleId="711">
    <w:name w:val="公式、图-------------"/>
    <w:basedOn w:val="1"/>
    <w:link w:val="710"/>
    <w:qFormat/>
    <w:uiPriority w:val="0"/>
    <w:pPr>
      <w:jc w:val="center"/>
      <w:textAlignment w:val="center"/>
    </w:pPr>
    <w:rPr>
      <w:spacing w:val="16"/>
      <w:kern w:val="0"/>
      <w:sz w:val="24"/>
      <w:szCs w:val="20"/>
    </w:rPr>
  </w:style>
  <w:style w:type="character" w:customStyle="1" w:styleId="712">
    <w:name w:val="style6"/>
    <w:basedOn w:val="83"/>
    <w:qFormat/>
    <w:uiPriority w:val="0"/>
  </w:style>
  <w:style w:type="character" w:customStyle="1" w:styleId="713">
    <w:name w:val="Char Char201"/>
    <w:qFormat/>
    <w:uiPriority w:val="0"/>
    <w:rPr>
      <w:rFonts w:ascii="宋体" w:eastAsia="宋体"/>
      <w:color w:val="000000"/>
      <w:sz w:val="36"/>
      <w:lang w:val="en-US" w:eastAsia="zh-CN" w:bidi="ar-SA"/>
    </w:rPr>
  </w:style>
  <w:style w:type="character" w:customStyle="1" w:styleId="714">
    <w:name w:val="公式 Char"/>
    <w:link w:val="715"/>
    <w:qFormat/>
    <w:uiPriority w:val="0"/>
    <w:rPr>
      <w:rFonts w:ascii="Times New Roman" w:hAnsi="Times New Roman"/>
      <w:color w:val="000000"/>
      <w:spacing w:val="-8"/>
      <w:kern w:val="2"/>
      <w:sz w:val="18"/>
      <w:szCs w:val="24"/>
    </w:rPr>
  </w:style>
  <w:style w:type="paragraph" w:customStyle="1" w:styleId="715">
    <w:name w:val="公式"/>
    <w:basedOn w:val="1"/>
    <w:next w:val="1"/>
    <w:link w:val="714"/>
    <w:qFormat/>
    <w:uiPriority w:val="0"/>
    <w:pPr>
      <w:ind w:left="-2" w:leftChars="-5" w:hanging="8" w:hangingChars="5"/>
      <w:jc w:val="center"/>
    </w:pPr>
    <w:rPr>
      <w:rFonts w:ascii="Times New Roman" w:hAnsi="Times New Roman"/>
      <w:color w:val="000000"/>
      <w:spacing w:val="-8"/>
      <w:sz w:val="18"/>
      <w:szCs w:val="24"/>
    </w:rPr>
  </w:style>
  <w:style w:type="character" w:customStyle="1" w:styleId="716">
    <w:name w:val="标题 7 Char1"/>
    <w:qFormat/>
    <w:uiPriority w:val="0"/>
    <w:rPr>
      <w:rFonts w:ascii="Calibri" w:hAnsi="Calibri" w:eastAsia="宋体"/>
      <w:b/>
      <w:color w:val="000000"/>
      <w:kern w:val="28"/>
      <w:sz w:val="24"/>
      <w:lang w:bidi="ar-SA"/>
    </w:rPr>
  </w:style>
  <w:style w:type="character" w:customStyle="1" w:styleId="717">
    <w:name w:val="文档结构图 Char2"/>
    <w:qFormat/>
    <w:uiPriority w:val="99"/>
    <w:rPr>
      <w:rFonts w:ascii="宋体" w:hAnsi="Calibri" w:eastAsia="宋体" w:cs="Times New Roman"/>
      <w:sz w:val="18"/>
      <w:szCs w:val="18"/>
    </w:rPr>
  </w:style>
  <w:style w:type="character" w:customStyle="1" w:styleId="718">
    <w:name w:val="z-窗体顶端 Char"/>
    <w:qFormat/>
    <w:uiPriority w:val="0"/>
    <w:rPr>
      <w:rFonts w:ascii="Arial" w:hAnsi="Arial" w:cs="Arial"/>
      <w:vanish/>
      <w:sz w:val="16"/>
      <w:szCs w:val="16"/>
    </w:rPr>
  </w:style>
  <w:style w:type="character" w:customStyle="1" w:styleId="719">
    <w:name w:val="z-窗体底端 Char"/>
    <w:qFormat/>
    <w:uiPriority w:val="0"/>
    <w:rPr>
      <w:rFonts w:ascii="Arial" w:hAnsi="Arial" w:cs="Arial"/>
      <w:vanish/>
      <w:sz w:val="16"/>
      <w:szCs w:val="16"/>
    </w:rPr>
  </w:style>
  <w:style w:type="character" w:customStyle="1" w:styleId="720">
    <w:name w:val="c1"/>
    <w:qFormat/>
    <w:uiPriority w:val="0"/>
    <w:rPr>
      <w:rFonts w:hint="default" w:ascii="ˎ̥" w:hAnsi="ˎ̥"/>
      <w:color w:val="000000"/>
      <w:sz w:val="21"/>
      <w:szCs w:val="21"/>
      <w:u w:val="none"/>
    </w:rPr>
  </w:style>
  <w:style w:type="character" w:customStyle="1" w:styleId="721">
    <w:name w:val="0031"/>
    <w:qFormat/>
    <w:uiPriority w:val="0"/>
    <w:rPr>
      <w:sz w:val="21"/>
      <w:szCs w:val="21"/>
    </w:rPr>
  </w:style>
  <w:style w:type="character" w:customStyle="1" w:styleId="722">
    <w:name w:val="Char Char16"/>
    <w:qFormat/>
    <w:uiPriority w:val="0"/>
    <w:rPr>
      <w:rFonts w:ascii="黑体" w:hAnsi="宋体" w:eastAsia="黑体"/>
      <w:b/>
      <w:kern w:val="16"/>
      <w:sz w:val="28"/>
      <w:szCs w:val="28"/>
      <w:lang w:val="en-US" w:eastAsia="zh-CN" w:bidi="ar-SA"/>
    </w:rPr>
  </w:style>
  <w:style w:type="character" w:customStyle="1" w:styleId="723">
    <w:name w:val="页脚1 Char"/>
    <w:qFormat/>
    <w:uiPriority w:val="0"/>
    <w:rPr>
      <w:rFonts w:eastAsia="宋体"/>
      <w:kern w:val="2"/>
      <w:sz w:val="18"/>
      <w:szCs w:val="18"/>
      <w:lang w:val="en-US" w:eastAsia="zh-CN" w:bidi="ar-SA"/>
    </w:rPr>
  </w:style>
  <w:style w:type="character" w:customStyle="1" w:styleId="724">
    <w:name w:val="cucd-0 Char1"/>
    <w:link w:val="725"/>
    <w:qFormat/>
    <w:uiPriority w:val="0"/>
    <w:rPr>
      <w:kern w:val="2"/>
      <w:sz w:val="24"/>
      <w:szCs w:val="24"/>
    </w:rPr>
  </w:style>
  <w:style w:type="paragraph" w:customStyle="1" w:styleId="725">
    <w:name w:val="cucd-0"/>
    <w:link w:val="724"/>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character" w:customStyle="1" w:styleId="726">
    <w:name w:val="报告正文 Char Char"/>
    <w:link w:val="727"/>
    <w:qFormat/>
    <w:uiPriority w:val="0"/>
    <w:rPr>
      <w:rFonts w:ascii="Times New Roman" w:hAnsi="Times New Roman"/>
      <w:color w:val="000000"/>
      <w:kern w:val="2"/>
      <w:sz w:val="24"/>
    </w:rPr>
  </w:style>
  <w:style w:type="paragraph" w:customStyle="1" w:styleId="727">
    <w:name w:val="报告正文"/>
    <w:basedOn w:val="1"/>
    <w:link w:val="726"/>
    <w:qFormat/>
    <w:uiPriority w:val="0"/>
    <w:pPr>
      <w:adjustRightInd w:val="0"/>
      <w:snapToGrid w:val="0"/>
      <w:spacing w:line="312" w:lineRule="auto"/>
    </w:pPr>
    <w:rPr>
      <w:rFonts w:ascii="Times New Roman" w:hAnsi="Times New Roman"/>
      <w:color w:val="000000"/>
      <w:sz w:val="24"/>
      <w:szCs w:val="20"/>
    </w:rPr>
  </w:style>
  <w:style w:type="character" w:customStyle="1" w:styleId="728">
    <w:name w:val="加粗正文 Char"/>
    <w:qFormat/>
    <w:uiPriority w:val="0"/>
    <w:rPr>
      <w:rFonts w:ascii="宋体" w:hAnsi="Courier New" w:eastAsia="宋体" w:cs="Courier New"/>
      <w:kern w:val="2"/>
      <w:sz w:val="21"/>
      <w:szCs w:val="21"/>
      <w:lang w:val="en-US" w:eastAsia="zh-CN" w:bidi="ar-SA"/>
    </w:rPr>
  </w:style>
  <w:style w:type="character" w:customStyle="1" w:styleId="729">
    <w:name w:val="表号 Char1"/>
    <w:link w:val="730"/>
    <w:qFormat/>
    <w:uiPriority w:val="0"/>
    <w:rPr>
      <w:rFonts w:ascii="黑体" w:hAnsi="Times New Roman" w:eastAsia="黑体"/>
      <w:b/>
      <w:sz w:val="24"/>
    </w:rPr>
  </w:style>
  <w:style w:type="paragraph" w:customStyle="1" w:styleId="730">
    <w:name w:val="表号"/>
    <w:basedOn w:val="482"/>
    <w:next w:val="482"/>
    <w:link w:val="729"/>
    <w:qFormat/>
    <w:uiPriority w:val="0"/>
    <w:pPr>
      <w:spacing w:before="120" w:after="120" w:line="240" w:lineRule="atLeast"/>
    </w:pPr>
    <w:rPr>
      <w:rFonts w:ascii="黑体" w:eastAsia="黑体"/>
      <w:b/>
      <w:color w:val="auto"/>
      <w:kern w:val="0"/>
      <w:sz w:val="24"/>
      <w:szCs w:val="20"/>
    </w:rPr>
  </w:style>
  <w:style w:type="character" w:customStyle="1" w:styleId="731">
    <w:name w:val="正文文本 2 Char Char"/>
    <w:qFormat/>
    <w:uiPriority w:val="0"/>
    <w:rPr>
      <w:rFonts w:ascii="Times New Roman" w:hAnsi="Times New Roman" w:eastAsia="宋体" w:cs="Times New Roman"/>
      <w:spacing w:val="16"/>
      <w:sz w:val="24"/>
      <w:szCs w:val="24"/>
    </w:rPr>
  </w:style>
  <w:style w:type="character" w:customStyle="1" w:styleId="732">
    <w:name w:val="正文部分 Char Char"/>
    <w:link w:val="733"/>
    <w:qFormat/>
    <w:uiPriority w:val="0"/>
    <w:rPr>
      <w:rFonts w:ascii="宋体" w:hAnsi="宋体"/>
      <w:bCs/>
      <w:sz w:val="28"/>
      <w:szCs w:val="32"/>
    </w:rPr>
  </w:style>
  <w:style w:type="paragraph" w:customStyle="1" w:styleId="733">
    <w:name w:val="正文部分"/>
    <w:basedOn w:val="1"/>
    <w:link w:val="732"/>
    <w:qFormat/>
    <w:uiPriority w:val="0"/>
    <w:pPr>
      <w:spacing w:line="500" w:lineRule="exact"/>
      <w:ind w:firstLine="200" w:firstLineChars="200"/>
      <w:jc w:val="left"/>
    </w:pPr>
    <w:rPr>
      <w:rFonts w:ascii="宋体" w:hAnsi="宋体"/>
      <w:bCs/>
      <w:kern w:val="0"/>
      <w:sz w:val="28"/>
      <w:szCs w:val="32"/>
    </w:rPr>
  </w:style>
  <w:style w:type="character" w:customStyle="1" w:styleId="734">
    <w:name w:val="h Char"/>
    <w:qFormat/>
    <w:uiPriority w:val="0"/>
    <w:rPr>
      <w:rFonts w:eastAsia="楷体_GB2312"/>
      <w:snapToGrid w:val="0"/>
      <w:sz w:val="18"/>
      <w:szCs w:val="18"/>
      <w:lang w:val="en-US" w:eastAsia="zh-CN" w:bidi="ar-SA"/>
    </w:rPr>
  </w:style>
  <w:style w:type="character" w:customStyle="1" w:styleId="735">
    <w:name w:val="样式 正文首行缩进 + 首行缩进:  2 字符 Char Char"/>
    <w:link w:val="736"/>
    <w:qFormat/>
    <w:uiPriority w:val="0"/>
    <w:rPr>
      <w:rFonts w:ascii="宋体" w:hAnsi="Times New Roman" w:cs="宋体"/>
      <w:color w:val="000000"/>
      <w:sz w:val="28"/>
      <w:szCs w:val="28"/>
    </w:rPr>
  </w:style>
  <w:style w:type="paragraph" w:customStyle="1" w:styleId="736">
    <w:name w:val="样式 正文首行缩进 + 首行缩进:  2 字符"/>
    <w:basedOn w:val="79"/>
    <w:link w:val="735"/>
    <w:qFormat/>
    <w:uiPriority w:val="0"/>
    <w:pPr>
      <w:widowControl w:val="0"/>
      <w:tabs>
        <w:tab w:val="left" w:pos="628"/>
        <w:tab w:val="left" w:pos="1727"/>
        <w:tab w:val="left" w:pos="1884"/>
        <w:tab w:val="left" w:pos="2660"/>
        <w:tab w:val="left" w:pos="5460"/>
      </w:tabs>
      <w:adjustRightInd w:val="0"/>
      <w:snapToGrid w:val="0"/>
      <w:spacing w:after="0" w:line="360" w:lineRule="auto"/>
      <w:ind w:firstLine="560" w:firstLineChars="200"/>
    </w:pPr>
    <w:rPr>
      <w:rFonts w:ascii="宋体" w:hAnsi="Times New Roman" w:cs="宋体" w:eastAsiaTheme="minorEastAsia"/>
      <w:kern w:val="0"/>
      <w:sz w:val="28"/>
      <w:szCs w:val="28"/>
    </w:rPr>
  </w:style>
  <w:style w:type="character" w:customStyle="1" w:styleId="737">
    <w:name w:val="p4"/>
    <w:basedOn w:val="83"/>
    <w:qFormat/>
    <w:uiPriority w:val="0"/>
  </w:style>
  <w:style w:type="character" w:customStyle="1" w:styleId="738">
    <w:name w:val="图表名称 Char Char"/>
    <w:link w:val="739"/>
    <w:qFormat/>
    <w:uiPriority w:val="0"/>
    <w:rPr>
      <w:rFonts w:eastAsia="黑体"/>
      <w:b/>
      <w:kern w:val="2"/>
      <w:sz w:val="21"/>
      <w:szCs w:val="24"/>
    </w:rPr>
  </w:style>
  <w:style w:type="paragraph" w:customStyle="1" w:styleId="739">
    <w:name w:val="图表名称"/>
    <w:basedOn w:val="1"/>
    <w:link w:val="738"/>
    <w:qFormat/>
    <w:uiPriority w:val="0"/>
    <w:pPr>
      <w:jc w:val="center"/>
    </w:pPr>
    <w:rPr>
      <w:rFonts w:eastAsia="黑体"/>
      <w:b/>
      <w:szCs w:val="24"/>
    </w:rPr>
  </w:style>
  <w:style w:type="character" w:customStyle="1" w:styleId="740">
    <w:name w:val="h4 Char"/>
    <w:qFormat/>
    <w:uiPriority w:val="0"/>
    <w:rPr>
      <w:rFonts w:ascii="黑体" w:hAnsi="宋体" w:eastAsia="黑体" w:cs="宋体"/>
      <w:b/>
      <w:bCs/>
      <w:kern w:val="2"/>
      <w:sz w:val="24"/>
      <w:szCs w:val="24"/>
      <w:lang w:val="en-US" w:eastAsia="zh-CN" w:bidi="ar-SA"/>
    </w:rPr>
  </w:style>
  <w:style w:type="character" w:customStyle="1" w:styleId="741">
    <w:name w:val="【标题2】 Char Char"/>
    <w:link w:val="742"/>
    <w:qFormat/>
    <w:uiPriority w:val="0"/>
    <w:rPr>
      <w:b/>
      <w:bCs/>
      <w:color w:val="000000"/>
      <w:sz w:val="32"/>
    </w:rPr>
  </w:style>
  <w:style w:type="paragraph" w:customStyle="1" w:styleId="742">
    <w:name w:val="【标题2】"/>
    <w:basedOn w:val="5"/>
    <w:link w:val="741"/>
    <w:qFormat/>
    <w:uiPriority w:val="0"/>
    <w:pPr>
      <w:keepNext w:val="0"/>
      <w:keepLines/>
      <w:numPr>
        <w:ilvl w:val="0"/>
        <w:numId w:val="0"/>
      </w:numPr>
      <w:adjustRightInd/>
      <w:snapToGrid/>
      <w:spacing w:before="120" w:beforeAutospacing="0" w:after="120" w:line="240" w:lineRule="auto"/>
      <w:ind w:left="420" w:hanging="420"/>
      <w:jc w:val="both"/>
    </w:pPr>
    <w:rPr>
      <w:rFonts w:asciiTheme="minorHAnsi" w:hAnsiTheme="minorHAnsi" w:eastAsiaTheme="minorEastAsia" w:cstheme="minorBidi"/>
      <w:b/>
      <w:kern w:val="0"/>
      <w:sz w:val="32"/>
      <w:szCs w:val="20"/>
    </w:rPr>
  </w:style>
  <w:style w:type="character" w:customStyle="1" w:styleId="743">
    <w:name w:val="正文首行缩进 2 + Times New Roman Char1"/>
    <w:link w:val="744"/>
    <w:qFormat/>
    <w:uiPriority w:val="0"/>
    <w:rPr>
      <w:rFonts w:ascii="Times New Roman" w:hAnsi="Times New Roman"/>
      <w:sz w:val="24"/>
      <w:szCs w:val="24"/>
    </w:rPr>
  </w:style>
  <w:style w:type="paragraph" w:customStyle="1" w:styleId="744">
    <w:name w:val="正文首行缩进 2 + Times New Roman"/>
    <w:basedOn w:val="1"/>
    <w:link w:val="743"/>
    <w:qFormat/>
    <w:uiPriority w:val="0"/>
    <w:pPr>
      <w:tabs>
        <w:tab w:val="left" w:pos="0"/>
        <w:tab w:val="left" w:pos="870"/>
        <w:tab w:val="left" w:pos="3150"/>
      </w:tabs>
      <w:autoSpaceDE w:val="0"/>
      <w:autoSpaceDN w:val="0"/>
      <w:spacing w:line="360" w:lineRule="auto"/>
      <w:ind w:firstLine="480" w:firstLineChars="200"/>
    </w:pPr>
    <w:rPr>
      <w:rFonts w:ascii="Times New Roman" w:hAnsi="Times New Roman"/>
      <w:kern w:val="0"/>
      <w:sz w:val="24"/>
      <w:szCs w:val="24"/>
    </w:rPr>
  </w:style>
  <w:style w:type="character" w:customStyle="1" w:styleId="745">
    <w:name w:val="font111"/>
    <w:qFormat/>
    <w:uiPriority w:val="0"/>
    <w:rPr>
      <w:rFonts w:hint="eastAsia" w:ascii="宋体" w:hAnsi="宋体" w:eastAsia="宋体"/>
      <w:b/>
      <w:bCs/>
      <w:color w:val="000000"/>
      <w:sz w:val="18"/>
      <w:szCs w:val="18"/>
      <w:u w:val="none"/>
    </w:rPr>
  </w:style>
  <w:style w:type="character" w:customStyle="1" w:styleId="746">
    <w:name w:val="副标题 Char3"/>
    <w:qFormat/>
    <w:locked/>
    <w:uiPriority w:val="0"/>
    <w:rPr>
      <w:rFonts w:ascii="Arial" w:hAnsi="Arial" w:eastAsia="仿宋_GB2312"/>
      <w:b/>
      <w:bCs/>
      <w:kern w:val="28"/>
      <w:sz w:val="32"/>
      <w:szCs w:val="32"/>
    </w:rPr>
  </w:style>
  <w:style w:type="character" w:customStyle="1" w:styleId="747">
    <w:name w:val="正文文本 (2) + Georgia91"/>
    <w:qFormat/>
    <w:uiPriority w:val="99"/>
    <w:rPr>
      <w:rFonts w:ascii="Georgia" w:hAnsi="Georgia" w:eastAsia="MingLiU" w:cs="Georgia"/>
      <w:sz w:val="20"/>
      <w:szCs w:val="20"/>
      <w:u w:val="none"/>
      <w:shd w:val="clear" w:color="auto" w:fill="FFFFFF"/>
      <w:lang w:val="en-US" w:eastAsia="en-US"/>
    </w:rPr>
  </w:style>
  <w:style w:type="character" w:customStyle="1" w:styleId="748">
    <w:name w:val="标题 2 Char Char Char Char Char Char Char1"/>
    <w:qFormat/>
    <w:uiPriority w:val="0"/>
    <w:rPr>
      <w:rFonts w:eastAsia="黑体"/>
      <w:b/>
      <w:kern w:val="2"/>
      <w:sz w:val="32"/>
      <w:lang w:val="en-US" w:eastAsia="zh-CN" w:bidi="ar-SA"/>
    </w:rPr>
  </w:style>
  <w:style w:type="character" w:customStyle="1" w:styleId="749">
    <w:name w:val="style11"/>
    <w:qFormat/>
    <w:uiPriority w:val="0"/>
    <w:rPr>
      <w:rFonts w:eastAsia="宋体"/>
      <w:color w:val="000000"/>
      <w:kern w:val="2"/>
      <w:sz w:val="21"/>
      <w:szCs w:val="24"/>
      <w:lang w:val="en-US" w:eastAsia="zh-CN" w:bidi="ar-SA"/>
    </w:rPr>
  </w:style>
  <w:style w:type="character" w:customStyle="1" w:styleId="750">
    <w:name w:val="未命名11"/>
    <w:qFormat/>
    <w:uiPriority w:val="0"/>
    <w:rPr>
      <w:rFonts w:hint="eastAsia" w:ascii="宋体" w:hAnsi="宋体" w:eastAsia="宋体"/>
      <w:sz w:val="18"/>
      <w:szCs w:val="18"/>
    </w:rPr>
  </w:style>
  <w:style w:type="character" w:customStyle="1" w:styleId="751">
    <w:name w:val="r1"/>
    <w:qFormat/>
    <w:uiPriority w:val="0"/>
    <w:rPr>
      <w:sz w:val="20"/>
      <w:szCs w:val="20"/>
    </w:rPr>
  </w:style>
  <w:style w:type="character" w:customStyle="1" w:styleId="752">
    <w:name w:val="标题 11 Char"/>
    <w:qFormat/>
    <w:uiPriority w:val="0"/>
    <w:rPr>
      <w:rFonts w:ascii="黑体" w:eastAsia="黑体"/>
      <w:b/>
      <w:kern w:val="2"/>
      <w:sz w:val="28"/>
      <w:szCs w:val="24"/>
      <w:lang w:val="en-US" w:eastAsia="zh-CN" w:bidi="ar-SA"/>
    </w:rPr>
  </w:style>
  <w:style w:type="character" w:customStyle="1" w:styleId="753">
    <w:name w:val="可研-正文首行缩进 Char Char"/>
    <w:qFormat/>
    <w:uiPriority w:val="0"/>
    <w:rPr>
      <w:rFonts w:ascii="Calibri" w:hAnsi="Calibri" w:eastAsia="宋体"/>
      <w:kern w:val="2"/>
      <w:sz w:val="21"/>
      <w:szCs w:val="22"/>
      <w:lang w:val="en-US" w:eastAsia="zh-CN" w:bidi="ar-SA"/>
    </w:rPr>
  </w:style>
  <w:style w:type="character" w:customStyle="1" w:styleId="754">
    <w:name w:val="Char Char211"/>
    <w:qFormat/>
    <w:uiPriority w:val="0"/>
    <w:rPr>
      <w:rFonts w:eastAsia="宋体"/>
      <w:bCs/>
      <w:snapToGrid w:val="0"/>
      <w:spacing w:val="30"/>
      <w:sz w:val="30"/>
      <w:szCs w:val="30"/>
      <w:lang w:val="en-US" w:eastAsia="zh-CN" w:bidi="ar-SA"/>
    </w:rPr>
  </w:style>
  <w:style w:type="character" w:customStyle="1" w:styleId="755">
    <w:name w:val="规范正文 Char Char"/>
    <w:link w:val="756"/>
    <w:semiHidden/>
    <w:qFormat/>
    <w:uiPriority w:val="0"/>
    <w:rPr>
      <w:sz w:val="24"/>
    </w:rPr>
  </w:style>
  <w:style w:type="paragraph" w:customStyle="1" w:styleId="756">
    <w:name w:val="规范正文"/>
    <w:basedOn w:val="1"/>
    <w:link w:val="755"/>
    <w:semiHidden/>
    <w:qFormat/>
    <w:uiPriority w:val="0"/>
    <w:pPr>
      <w:spacing w:line="360" w:lineRule="auto"/>
      <w:ind w:firstLine="480" w:firstLineChars="200"/>
    </w:pPr>
    <w:rPr>
      <w:kern w:val="0"/>
      <w:sz w:val="24"/>
      <w:szCs w:val="20"/>
    </w:rPr>
  </w:style>
  <w:style w:type="character" w:customStyle="1" w:styleId="757">
    <w:name w:val="纯文本 Char Char1"/>
    <w:qFormat/>
    <w:uiPriority w:val="0"/>
    <w:rPr>
      <w:rFonts w:ascii="宋体" w:hAnsi="Courier New" w:eastAsia="宋体" w:cs="Courier New"/>
      <w:bCs/>
      <w:iCs/>
      <w:kern w:val="2"/>
      <w:sz w:val="21"/>
      <w:szCs w:val="21"/>
      <w:lang w:val="en-US" w:eastAsia="zh-CN" w:bidi="ar-SA"/>
    </w:rPr>
  </w:style>
  <w:style w:type="character" w:customStyle="1" w:styleId="758">
    <w:name w:val="正文文本 (2) + 10 pt"/>
    <w:qFormat/>
    <w:uiPriority w:val="99"/>
    <w:rPr>
      <w:rFonts w:ascii="MingLiU" w:eastAsia="MingLiU" w:cs="MingLiU"/>
      <w:sz w:val="20"/>
      <w:szCs w:val="20"/>
      <w:u w:val="none"/>
      <w:shd w:val="clear" w:color="auto" w:fill="FFFFFF"/>
    </w:rPr>
  </w:style>
  <w:style w:type="character" w:customStyle="1" w:styleId="759">
    <w:name w:val="题注图名 Char Char"/>
    <w:link w:val="760"/>
    <w:qFormat/>
    <w:uiPriority w:val="0"/>
    <w:rPr>
      <w:rFonts w:ascii="Times New Roman" w:hAnsi="Times New Roman"/>
      <w:b/>
      <w:bCs/>
      <w:lang w:val="zh-CN"/>
    </w:rPr>
  </w:style>
  <w:style w:type="paragraph" w:customStyle="1" w:styleId="760">
    <w:name w:val="题注图名"/>
    <w:basedOn w:val="1"/>
    <w:link w:val="759"/>
    <w:qFormat/>
    <w:uiPriority w:val="0"/>
    <w:pPr>
      <w:spacing w:after="120" w:line="300" w:lineRule="auto"/>
      <w:jc w:val="center"/>
    </w:pPr>
    <w:rPr>
      <w:rFonts w:ascii="Times New Roman" w:hAnsi="Times New Roman"/>
      <w:b/>
      <w:bCs/>
      <w:kern w:val="0"/>
      <w:sz w:val="20"/>
      <w:szCs w:val="20"/>
      <w:lang w:val="zh-CN"/>
    </w:rPr>
  </w:style>
  <w:style w:type="character" w:customStyle="1" w:styleId="761">
    <w:name w:val="font-family:仿宋_gb2312"/>
    <w:basedOn w:val="83"/>
    <w:qFormat/>
    <w:uiPriority w:val="0"/>
  </w:style>
  <w:style w:type="character" w:customStyle="1" w:styleId="762">
    <w:name w:val="规范正文 + 加粗 Char Char"/>
    <w:basedOn w:val="755"/>
    <w:link w:val="763"/>
    <w:semiHidden/>
    <w:qFormat/>
    <w:uiPriority w:val="0"/>
    <w:rPr>
      <w:sz w:val="24"/>
    </w:rPr>
  </w:style>
  <w:style w:type="paragraph" w:customStyle="1" w:styleId="763">
    <w:name w:val="规范正文 + 加粗"/>
    <w:basedOn w:val="756"/>
    <w:link w:val="762"/>
    <w:semiHidden/>
    <w:qFormat/>
    <w:uiPriority w:val="0"/>
    <w:pPr>
      <w:ind w:firstLine="0" w:firstLineChars="0"/>
    </w:pPr>
  </w:style>
  <w:style w:type="character" w:customStyle="1" w:styleId="764">
    <w:name w:val="Char Char26"/>
    <w:qFormat/>
    <w:uiPriority w:val="0"/>
    <w:rPr>
      <w:rFonts w:hint="default" w:ascii="Times New Roman" w:hAnsi="Times New Roman" w:eastAsia="宋体" w:cs="Times New Roman"/>
      <w:szCs w:val="24"/>
    </w:rPr>
  </w:style>
  <w:style w:type="character" w:customStyle="1" w:styleId="765">
    <w:name w:val="标题1.1.1.1.1.1 Char"/>
    <w:qFormat/>
    <w:uiPriority w:val="0"/>
    <w:rPr>
      <w:rFonts w:ascii="Cambria" w:hAnsi="Cambria" w:eastAsia="宋体" w:cs="Times New Roman"/>
      <w:b/>
      <w:bCs/>
      <w:kern w:val="2"/>
      <w:sz w:val="24"/>
      <w:szCs w:val="24"/>
    </w:rPr>
  </w:style>
  <w:style w:type="character" w:customStyle="1" w:styleId="766">
    <w:name w:val="表文 Char Char"/>
    <w:link w:val="767"/>
    <w:qFormat/>
    <w:uiPriority w:val="0"/>
    <w:rPr>
      <w:rFonts w:ascii="Times New Roman" w:hAnsi="Times New Roman" w:eastAsia="仿宋_GB2312"/>
      <w:kern w:val="2"/>
      <w:sz w:val="21"/>
      <w:szCs w:val="22"/>
    </w:rPr>
  </w:style>
  <w:style w:type="paragraph" w:customStyle="1" w:styleId="767">
    <w:name w:val="表文"/>
    <w:next w:val="1"/>
    <w:link w:val="766"/>
    <w:qFormat/>
    <w:uiPriority w:val="0"/>
    <w:pPr>
      <w:spacing w:line="360" w:lineRule="exact"/>
    </w:pPr>
    <w:rPr>
      <w:rFonts w:ascii="Times New Roman" w:hAnsi="Times New Roman" w:eastAsia="仿宋_GB2312" w:cstheme="minorBidi"/>
      <w:kern w:val="2"/>
      <w:sz w:val="21"/>
      <w:szCs w:val="22"/>
      <w:lang w:val="en-US" w:eastAsia="zh-CN" w:bidi="ar-SA"/>
    </w:rPr>
  </w:style>
  <w:style w:type="character" w:customStyle="1" w:styleId="768">
    <w:name w:val="1.1标题2 Char"/>
    <w:qFormat/>
    <w:uiPriority w:val="0"/>
    <w:rPr>
      <w:rFonts w:ascii="Arial" w:hAnsi="Arial" w:eastAsia="黑体"/>
      <w:bCs/>
      <w:kern w:val="2"/>
      <w:sz w:val="32"/>
      <w:szCs w:val="32"/>
      <w:lang w:val="en-US" w:eastAsia="zh-CN" w:bidi="ar-SA"/>
    </w:rPr>
  </w:style>
  <w:style w:type="character" w:customStyle="1" w:styleId="769">
    <w:name w:val="Char Char17"/>
    <w:qFormat/>
    <w:uiPriority w:val="0"/>
    <w:rPr>
      <w:rFonts w:eastAsia="宋体"/>
      <w:kern w:val="2"/>
      <w:sz w:val="21"/>
      <w:szCs w:val="24"/>
      <w:lang w:val="en-US" w:eastAsia="zh-CN" w:bidi="ar-SA"/>
    </w:rPr>
  </w:style>
  <w:style w:type="character" w:customStyle="1" w:styleId="770">
    <w:name w:val="font161"/>
    <w:qFormat/>
    <w:uiPriority w:val="0"/>
    <w:rPr>
      <w:rFonts w:hint="eastAsia" w:ascii="宋体" w:hAnsi="宋体" w:eastAsia="宋体"/>
      <w:color w:val="FF0000"/>
      <w:sz w:val="18"/>
      <w:szCs w:val="18"/>
      <w:u w:val="none"/>
    </w:rPr>
  </w:style>
  <w:style w:type="character" w:customStyle="1" w:styleId="771">
    <w:name w:val="Char2"/>
    <w:qFormat/>
    <w:uiPriority w:val="0"/>
    <w:rPr>
      <w:rFonts w:eastAsia="宋体"/>
      <w:b/>
      <w:bCs/>
      <w:kern w:val="44"/>
      <w:sz w:val="44"/>
      <w:szCs w:val="44"/>
      <w:lang w:val="en-US" w:eastAsia="zh-CN" w:bidi="ar-SA"/>
    </w:rPr>
  </w:style>
  <w:style w:type="character" w:customStyle="1" w:styleId="772">
    <w:name w:val="Char1"/>
    <w:qFormat/>
    <w:uiPriority w:val="0"/>
    <w:rPr>
      <w:rFonts w:ascii="Arial" w:hAnsi="Arial" w:eastAsia="黑体"/>
      <w:b/>
      <w:kern w:val="2"/>
      <w:sz w:val="32"/>
      <w:szCs w:val="24"/>
      <w:lang w:val="en-US" w:eastAsia="zh-CN" w:bidi="ar-SA"/>
    </w:rPr>
  </w:style>
  <w:style w:type="character" w:customStyle="1" w:styleId="773">
    <w:name w:val="Char Char4"/>
    <w:qFormat/>
    <w:uiPriority w:val="0"/>
    <w:rPr>
      <w:rFonts w:hint="eastAsia" w:ascii="黑体" w:hAnsi="黑体" w:eastAsia="黑体"/>
      <w:b/>
      <w:snapToGrid w:val="0"/>
      <w:sz w:val="24"/>
      <w:szCs w:val="32"/>
      <w:lang w:val="en-US" w:eastAsia="zh-CN" w:bidi="ar-SA"/>
    </w:rPr>
  </w:style>
  <w:style w:type="character" w:customStyle="1" w:styleId="774">
    <w:name w:val="9dpi1"/>
    <w:qFormat/>
    <w:uiPriority w:val="0"/>
    <w:rPr>
      <w:spacing w:val="30"/>
      <w:sz w:val="18"/>
      <w:szCs w:val="18"/>
    </w:rPr>
  </w:style>
  <w:style w:type="character" w:customStyle="1" w:styleId="775">
    <w:name w:val="图 带文本框文字 Char Char"/>
    <w:link w:val="776"/>
    <w:qFormat/>
    <w:uiPriority w:val="0"/>
    <w:rPr>
      <w:rFonts w:ascii="Times New Roman" w:hAnsi="Times New Roman"/>
      <w:snapToGrid w:val="0"/>
      <w:kern w:val="21"/>
      <w:sz w:val="21"/>
      <w:szCs w:val="21"/>
    </w:rPr>
  </w:style>
  <w:style w:type="paragraph" w:customStyle="1" w:styleId="776">
    <w:name w:val="图 带文本框文字"/>
    <w:link w:val="775"/>
    <w:qFormat/>
    <w:uiPriority w:val="0"/>
    <w:pPr>
      <w:adjustRightInd w:val="0"/>
      <w:snapToGrid w:val="0"/>
      <w:jc w:val="center"/>
    </w:pPr>
    <w:rPr>
      <w:rFonts w:ascii="Times New Roman" w:hAnsi="Times New Roman" w:eastAsiaTheme="minorEastAsia" w:cstheme="minorBidi"/>
      <w:snapToGrid w:val="0"/>
      <w:kern w:val="21"/>
      <w:sz w:val="21"/>
      <w:szCs w:val="21"/>
      <w:lang w:val="en-US" w:eastAsia="zh-CN" w:bidi="ar-SA"/>
    </w:rPr>
  </w:style>
  <w:style w:type="character" w:customStyle="1" w:styleId="777">
    <w:name w:val="章节标题 Char1"/>
    <w:qFormat/>
    <w:uiPriority w:val="0"/>
    <w:rPr>
      <w:rFonts w:eastAsia="宋体"/>
      <w:b/>
      <w:sz w:val="24"/>
      <w:szCs w:val="24"/>
      <w:lang w:val="en-US" w:eastAsia="zh-CN" w:bidi="ar-SA"/>
    </w:rPr>
  </w:style>
  <w:style w:type="character" w:customStyle="1" w:styleId="778">
    <w:name w:val="表号 Char"/>
    <w:qFormat/>
    <w:uiPriority w:val="0"/>
    <w:rPr>
      <w:b/>
    </w:rPr>
  </w:style>
  <w:style w:type="character" w:customStyle="1" w:styleId="779">
    <w:name w:val="Char Char7"/>
    <w:qFormat/>
    <w:uiPriority w:val="0"/>
    <w:rPr>
      <w:rFonts w:hint="eastAsia" w:ascii="宋体" w:hAnsi="宋体" w:eastAsia="宋体"/>
      <w:kern w:val="2"/>
      <w:sz w:val="24"/>
      <w:szCs w:val="24"/>
      <w:lang w:val="en-US" w:eastAsia="zh-CN" w:bidi="ar-SA"/>
    </w:rPr>
  </w:style>
  <w:style w:type="character" w:customStyle="1" w:styleId="780">
    <w:name w:val="项标题(1) Char"/>
    <w:qFormat/>
    <w:uiPriority w:val="0"/>
    <w:rPr>
      <w:rFonts w:ascii="Times New Roman" w:hAnsi="Times New Roman"/>
      <w:b/>
      <w:bCs/>
      <w:kern w:val="2"/>
      <w:sz w:val="24"/>
      <w:szCs w:val="24"/>
    </w:rPr>
  </w:style>
  <w:style w:type="character" w:customStyle="1" w:styleId="781">
    <w:name w:val="表格字 Char Char"/>
    <w:link w:val="782"/>
    <w:qFormat/>
    <w:uiPriority w:val="0"/>
    <w:rPr>
      <w:rFonts w:ascii="Times New Roman" w:hAnsi="Times New Roman"/>
    </w:rPr>
  </w:style>
  <w:style w:type="paragraph" w:customStyle="1" w:styleId="782">
    <w:name w:val="表格字"/>
    <w:basedOn w:val="60"/>
    <w:link w:val="781"/>
    <w:qFormat/>
    <w:uiPriority w:val="0"/>
    <w:pPr>
      <w:ind w:left="0" w:firstLine="0"/>
      <w:jc w:val="center"/>
    </w:pPr>
    <w:rPr>
      <w:rFonts w:ascii="Times New Roman" w:eastAsiaTheme="minorEastAsia" w:cstheme="minorBidi"/>
      <w:kern w:val="0"/>
      <w:sz w:val="20"/>
      <w:szCs w:val="20"/>
    </w:rPr>
  </w:style>
  <w:style w:type="character" w:customStyle="1" w:styleId="783">
    <w:name w:val="Char Char141"/>
    <w:qFormat/>
    <w:uiPriority w:val="0"/>
    <w:rPr>
      <w:rFonts w:eastAsia="宋体"/>
      <w:kern w:val="2"/>
      <w:sz w:val="18"/>
      <w:szCs w:val="18"/>
      <w:lang w:val="en-US" w:eastAsia="zh-CN" w:bidi="ar-SA"/>
    </w:rPr>
  </w:style>
  <w:style w:type="character" w:customStyle="1" w:styleId="784">
    <w:name w:val="样式 样式 样式 样式 (符号) 宋体 13 磅 首行缩进:  2 字符 行距: 1.5 倍行距 + 首行缩进:  2 字符 +... Char Char"/>
    <w:link w:val="785"/>
    <w:qFormat/>
    <w:uiPriority w:val="0"/>
    <w:rPr>
      <w:rFonts w:ascii="宋体" w:hAnsi="宋体"/>
      <w:sz w:val="26"/>
    </w:rPr>
  </w:style>
  <w:style w:type="paragraph" w:customStyle="1" w:styleId="785">
    <w:name w:val="样式 样式 样式 样式 (符号) 宋体 13 磅 首行缩进:  2 字符 行距: 1.5 倍行距 + 首行缩进:  2 字符 +..."/>
    <w:basedOn w:val="1"/>
    <w:link w:val="784"/>
    <w:qFormat/>
    <w:uiPriority w:val="0"/>
    <w:pPr>
      <w:ind w:firstLine="563" w:firstLineChars="200"/>
    </w:pPr>
    <w:rPr>
      <w:rFonts w:ascii="宋体" w:hAnsi="宋体"/>
      <w:kern w:val="0"/>
      <w:sz w:val="26"/>
      <w:szCs w:val="20"/>
    </w:rPr>
  </w:style>
  <w:style w:type="character" w:customStyle="1" w:styleId="786">
    <w:name w:val="德胜正文顶格小标题 Char Char"/>
    <w:link w:val="787"/>
    <w:qFormat/>
    <w:uiPriority w:val="0"/>
    <w:rPr>
      <w:snapToGrid w:val="0"/>
      <w:color w:val="0000FF"/>
      <w:sz w:val="24"/>
      <w:szCs w:val="24"/>
    </w:rPr>
  </w:style>
  <w:style w:type="paragraph" w:customStyle="1" w:styleId="787">
    <w:name w:val="德胜正文顶格小标题"/>
    <w:basedOn w:val="336"/>
    <w:link w:val="786"/>
    <w:qFormat/>
    <w:uiPriority w:val="0"/>
    <w:pPr>
      <w:spacing w:line="360" w:lineRule="auto"/>
    </w:pPr>
    <w:rPr>
      <w:sz w:val="24"/>
      <w:szCs w:val="24"/>
    </w:rPr>
  </w:style>
  <w:style w:type="character" w:customStyle="1" w:styleId="788">
    <w:name w:val="style91"/>
    <w:qFormat/>
    <w:uiPriority w:val="0"/>
    <w:rPr>
      <w:b/>
      <w:bCs/>
      <w:color w:val="187CC8"/>
    </w:rPr>
  </w:style>
  <w:style w:type="character" w:customStyle="1" w:styleId="789">
    <w:name w:val="表文字 Char Char"/>
    <w:link w:val="790"/>
    <w:qFormat/>
    <w:uiPriority w:val="0"/>
    <w:rPr>
      <w:rFonts w:ascii="Times New Roman" w:hAnsi="Times New Roman" w:eastAsia="汉鼎简书宋"/>
      <w:szCs w:val="21"/>
    </w:rPr>
  </w:style>
  <w:style w:type="paragraph" w:customStyle="1" w:styleId="790">
    <w:name w:val="表文字"/>
    <w:basedOn w:val="1"/>
    <w:link w:val="789"/>
    <w:qFormat/>
    <w:uiPriority w:val="0"/>
    <w:pPr>
      <w:topLinePunct/>
      <w:adjustRightInd w:val="0"/>
      <w:spacing w:line="240" w:lineRule="exact"/>
      <w:textAlignment w:val="baseline"/>
    </w:pPr>
    <w:rPr>
      <w:rFonts w:ascii="Times New Roman" w:hAnsi="Times New Roman" w:eastAsia="汉鼎简书宋"/>
      <w:kern w:val="0"/>
      <w:sz w:val="20"/>
    </w:rPr>
  </w:style>
  <w:style w:type="character" w:customStyle="1" w:styleId="791">
    <w:name w:val="页眉 Char Char"/>
    <w:qFormat/>
    <w:uiPriority w:val="0"/>
    <w:rPr>
      <w:sz w:val="18"/>
      <w:szCs w:val="18"/>
    </w:rPr>
  </w:style>
  <w:style w:type="character" w:customStyle="1" w:styleId="792">
    <w:name w:val="职卫正文 Char Char"/>
    <w:link w:val="793"/>
    <w:qFormat/>
    <w:uiPriority w:val="0"/>
    <w:rPr>
      <w:rFonts w:ascii="仿宋_GB2312" w:hAnsi="宋体" w:eastAsia="仿宋_GB2312"/>
      <w:color w:val="000000"/>
      <w:spacing w:val="-2"/>
      <w:kern w:val="16"/>
      <w:sz w:val="28"/>
      <w:szCs w:val="24"/>
    </w:rPr>
  </w:style>
  <w:style w:type="paragraph" w:customStyle="1" w:styleId="793">
    <w:name w:val="职卫正文"/>
    <w:basedOn w:val="1"/>
    <w:link w:val="792"/>
    <w:qFormat/>
    <w:uiPriority w:val="0"/>
    <w:pPr>
      <w:spacing w:line="486" w:lineRule="exact"/>
      <w:ind w:firstLine="200" w:firstLineChars="200"/>
      <w:jc w:val="left"/>
    </w:pPr>
    <w:rPr>
      <w:rFonts w:ascii="仿宋_GB2312" w:hAnsi="宋体" w:eastAsia="仿宋_GB2312"/>
      <w:color w:val="000000"/>
      <w:spacing w:val="-2"/>
      <w:kern w:val="16"/>
      <w:sz w:val="28"/>
      <w:szCs w:val="24"/>
    </w:rPr>
  </w:style>
  <w:style w:type="character" w:customStyle="1" w:styleId="794">
    <w:name w:val="图表内容 Char"/>
    <w:link w:val="795"/>
    <w:qFormat/>
    <w:uiPriority w:val="0"/>
    <w:rPr>
      <w:rFonts w:ascii="Times New Roman" w:hAnsi="Times New Roman" w:eastAsia="仿宋_GB2312"/>
    </w:rPr>
  </w:style>
  <w:style w:type="paragraph" w:customStyle="1" w:styleId="795">
    <w:name w:val="图表内容"/>
    <w:basedOn w:val="1"/>
    <w:link w:val="794"/>
    <w:qFormat/>
    <w:uiPriority w:val="0"/>
    <w:pPr>
      <w:adjustRightInd w:val="0"/>
      <w:snapToGrid w:val="0"/>
      <w:jc w:val="center"/>
    </w:pPr>
    <w:rPr>
      <w:rFonts w:ascii="Times New Roman" w:hAnsi="Times New Roman" w:eastAsia="仿宋_GB2312"/>
      <w:kern w:val="0"/>
      <w:sz w:val="20"/>
      <w:szCs w:val="20"/>
    </w:rPr>
  </w:style>
  <w:style w:type="character" w:customStyle="1" w:styleId="796">
    <w:name w:val="正文. Char Char"/>
    <w:link w:val="797"/>
    <w:qFormat/>
    <w:uiPriority w:val="0"/>
    <w:rPr>
      <w:rFonts w:ascii="Times New Roman" w:hAnsi="Times New Roman"/>
      <w:snapToGrid w:val="0"/>
      <w:color w:val="000000"/>
      <w:sz w:val="24"/>
      <w:szCs w:val="24"/>
    </w:rPr>
  </w:style>
  <w:style w:type="paragraph" w:customStyle="1" w:styleId="797">
    <w:name w:val="正文."/>
    <w:basedOn w:val="1"/>
    <w:link w:val="796"/>
    <w:qFormat/>
    <w:uiPriority w:val="0"/>
    <w:pPr>
      <w:tabs>
        <w:tab w:val="left" w:leader="dot" w:pos="48"/>
      </w:tabs>
      <w:autoSpaceDE w:val="0"/>
      <w:autoSpaceDN w:val="0"/>
      <w:adjustRightInd w:val="0"/>
      <w:spacing w:line="360" w:lineRule="auto"/>
      <w:ind w:firstLine="480"/>
    </w:pPr>
    <w:rPr>
      <w:rFonts w:ascii="Times New Roman" w:hAnsi="Times New Roman"/>
      <w:snapToGrid w:val="0"/>
      <w:color w:val="000000"/>
      <w:kern w:val="0"/>
      <w:sz w:val="24"/>
      <w:szCs w:val="24"/>
    </w:rPr>
  </w:style>
  <w:style w:type="character" w:customStyle="1" w:styleId="798">
    <w:name w:val="样式1 Char Char"/>
    <w:qFormat/>
    <w:uiPriority w:val="0"/>
    <w:rPr>
      <w:rFonts w:ascii="宋体" w:eastAsia="宋体"/>
      <w:color w:val="000000"/>
      <w:kern w:val="2"/>
      <w:sz w:val="21"/>
      <w:szCs w:val="21"/>
      <w:lang w:val="zh-CN" w:eastAsia="zh-CN" w:bidi="ar-SA"/>
    </w:rPr>
  </w:style>
  <w:style w:type="character" w:customStyle="1" w:styleId="799">
    <w:name w:val="model11"/>
    <w:qFormat/>
    <w:uiPriority w:val="0"/>
    <w:rPr>
      <w:rFonts w:hint="eastAsia" w:ascii="宋体" w:hAnsi="宋体" w:eastAsia="宋体"/>
      <w:sz w:val="18"/>
      <w:szCs w:val="18"/>
      <w:u w:val="none"/>
    </w:rPr>
  </w:style>
  <w:style w:type="character" w:customStyle="1" w:styleId="800">
    <w:name w:val="表内容 Char Char"/>
    <w:link w:val="801"/>
    <w:qFormat/>
    <w:uiPriority w:val="0"/>
    <w:rPr>
      <w:smallCaps/>
    </w:rPr>
  </w:style>
  <w:style w:type="paragraph" w:customStyle="1" w:styleId="801">
    <w:name w:val="表内容"/>
    <w:basedOn w:val="1"/>
    <w:link w:val="800"/>
    <w:qFormat/>
    <w:uiPriority w:val="0"/>
    <w:pPr>
      <w:widowControl/>
      <w:autoSpaceDE w:val="0"/>
      <w:autoSpaceDN w:val="0"/>
      <w:adjustRightInd w:val="0"/>
      <w:jc w:val="center"/>
      <w:textAlignment w:val="bottom"/>
    </w:pPr>
    <w:rPr>
      <w:smallCaps/>
      <w:kern w:val="0"/>
      <w:sz w:val="20"/>
      <w:szCs w:val="20"/>
    </w:rPr>
  </w:style>
  <w:style w:type="character" w:customStyle="1" w:styleId="802">
    <w:name w:val="无节项 Char Char"/>
    <w:qFormat/>
    <w:uiPriority w:val="0"/>
    <w:rPr>
      <w:rFonts w:eastAsia="仿宋_GB2312"/>
      <w:kern w:val="21"/>
      <w:sz w:val="21"/>
      <w:lang w:val="en-US" w:eastAsia="zh-CN" w:bidi="ar-SA"/>
    </w:rPr>
  </w:style>
  <w:style w:type="character" w:customStyle="1" w:styleId="803">
    <w:name w:val="样式2 Char Char"/>
    <w:qFormat/>
    <w:uiPriority w:val="0"/>
    <w:rPr>
      <w:rFonts w:ascii="黑体" w:hAnsi="仿宋_GB2312" w:eastAsia="黑体"/>
      <w:b/>
      <w:bCs/>
      <w:kern w:val="2"/>
      <w:sz w:val="30"/>
      <w:szCs w:val="30"/>
      <w:lang w:val="en-US" w:eastAsia="zh-CN" w:bidi="ar-SA"/>
    </w:rPr>
  </w:style>
  <w:style w:type="character" w:customStyle="1" w:styleId="804">
    <w:name w:val="样式 宋体 13 磅 首行缩进:  0.99 厘米 Char Char"/>
    <w:link w:val="805"/>
    <w:qFormat/>
    <w:uiPriority w:val="0"/>
    <w:rPr>
      <w:rFonts w:ascii="宋体" w:hAnsi="宋体"/>
      <w:sz w:val="27"/>
      <w:szCs w:val="27"/>
    </w:rPr>
  </w:style>
  <w:style w:type="paragraph" w:customStyle="1" w:styleId="805">
    <w:name w:val="样式 宋体 13 磅 首行缩进:  0.99 厘米"/>
    <w:basedOn w:val="1"/>
    <w:link w:val="804"/>
    <w:qFormat/>
    <w:uiPriority w:val="0"/>
    <w:pPr>
      <w:ind w:firstLine="560"/>
    </w:pPr>
    <w:rPr>
      <w:rFonts w:ascii="宋体" w:hAnsi="宋体"/>
      <w:kern w:val="0"/>
      <w:sz w:val="27"/>
      <w:szCs w:val="27"/>
    </w:rPr>
  </w:style>
  <w:style w:type="character" w:customStyle="1" w:styleId="806">
    <w:name w:val="Char Char132"/>
    <w:qFormat/>
    <w:uiPriority w:val="0"/>
    <w:rPr>
      <w:sz w:val="18"/>
      <w:szCs w:val="18"/>
    </w:rPr>
  </w:style>
  <w:style w:type="character" w:customStyle="1" w:styleId="807">
    <w:name w:val="plus"/>
    <w:qFormat/>
    <w:uiPriority w:val="0"/>
    <w:rPr>
      <w:b/>
      <w:vanish/>
      <w:color w:val="1F8DEF"/>
      <w:sz w:val="24"/>
      <w:szCs w:val="24"/>
    </w:rPr>
  </w:style>
  <w:style w:type="character" w:customStyle="1" w:styleId="808">
    <w:name w:val="【标题4】 Char Char"/>
    <w:link w:val="809"/>
    <w:qFormat/>
    <w:uiPriority w:val="0"/>
    <w:rPr>
      <w:b/>
      <w:bCs/>
      <w:sz w:val="28"/>
    </w:rPr>
  </w:style>
  <w:style w:type="paragraph" w:customStyle="1" w:styleId="809">
    <w:name w:val="【标题4】"/>
    <w:basedOn w:val="1"/>
    <w:link w:val="808"/>
    <w:qFormat/>
    <w:uiPriority w:val="0"/>
    <w:pPr>
      <w:keepLines/>
      <w:spacing w:before="120" w:after="120"/>
      <w:jc w:val="left"/>
      <w:outlineLvl w:val="3"/>
    </w:pPr>
    <w:rPr>
      <w:b/>
      <w:bCs/>
      <w:kern w:val="0"/>
      <w:sz w:val="28"/>
      <w:szCs w:val="20"/>
    </w:rPr>
  </w:style>
  <w:style w:type="character" w:customStyle="1" w:styleId="810">
    <w:name w:val="表格四号 Char Char"/>
    <w:link w:val="811"/>
    <w:qFormat/>
    <w:uiPriority w:val="0"/>
    <w:rPr>
      <w:rFonts w:ascii="宋体" w:hAnsi="宋体"/>
      <w:snapToGrid w:val="0"/>
      <w:sz w:val="28"/>
      <w:szCs w:val="28"/>
    </w:rPr>
  </w:style>
  <w:style w:type="paragraph" w:customStyle="1" w:styleId="811">
    <w:name w:val="表格四号"/>
    <w:basedOn w:val="1"/>
    <w:link w:val="810"/>
    <w:qFormat/>
    <w:uiPriority w:val="0"/>
    <w:pPr>
      <w:adjustRightInd w:val="0"/>
      <w:snapToGrid w:val="0"/>
      <w:jc w:val="center"/>
    </w:pPr>
    <w:rPr>
      <w:rFonts w:ascii="宋体" w:hAnsi="宋体"/>
      <w:snapToGrid w:val="0"/>
      <w:kern w:val="0"/>
      <w:sz w:val="28"/>
      <w:szCs w:val="28"/>
    </w:rPr>
  </w:style>
  <w:style w:type="character" w:customStyle="1" w:styleId="812">
    <w:name w:val="articlebody3"/>
    <w:qFormat/>
    <w:uiPriority w:val="0"/>
    <w:rPr>
      <w:sz w:val="21"/>
      <w:szCs w:val="21"/>
    </w:rPr>
  </w:style>
  <w:style w:type="character" w:customStyle="1" w:styleId="813">
    <w:name w:val="批注主题 Char2"/>
    <w:qFormat/>
    <w:uiPriority w:val="99"/>
    <w:rPr>
      <w:rFonts w:ascii="Calibri" w:hAnsi="Calibri" w:eastAsia="宋体" w:cs="Times New Roman"/>
      <w:b/>
      <w:bCs/>
    </w:rPr>
  </w:style>
  <w:style w:type="character" w:customStyle="1" w:styleId="814">
    <w:name w:val="正文首行缩进2字符 Char1"/>
    <w:link w:val="815"/>
    <w:qFormat/>
    <w:uiPriority w:val="0"/>
    <w:rPr>
      <w:rFonts w:ascii="Times New Roman" w:hAnsi="Times New Roman"/>
      <w:sz w:val="28"/>
      <w:szCs w:val="24"/>
    </w:rPr>
  </w:style>
  <w:style w:type="paragraph" w:customStyle="1" w:styleId="815">
    <w:name w:val="正文首行缩进2字符"/>
    <w:basedOn w:val="1"/>
    <w:link w:val="814"/>
    <w:qFormat/>
    <w:uiPriority w:val="0"/>
    <w:pPr>
      <w:spacing w:line="480" w:lineRule="exact"/>
      <w:ind w:firstLine="200" w:firstLineChars="200"/>
    </w:pPr>
    <w:rPr>
      <w:rFonts w:ascii="Times New Roman" w:hAnsi="Times New Roman"/>
      <w:kern w:val="0"/>
      <w:sz w:val="28"/>
      <w:szCs w:val="24"/>
    </w:rPr>
  </w:style>
  <w:style w:type="character" w:customStyle="1" w:styleId="816">
    <w:name w:val="表内 Char"/>
    <w:link w:val="817"/>
    <w:qFormat/>
    <w:locked/>
    <w:uiPriority w:val="0"/>
    <w:rPr>
      <w:rFonts w:ascii="Times New Roman" w:hAnsi="Times New Roman"/>
      <w:snapToGrid w:val="0"/>
      <w:kern w:val="2"/>
      <w:sz w:val="21"/>
    </w:rPr>
  </w:style>
  <w:style w:type="paragraph" w:customStyle="1" w:styleId="817">
    <w:name w:val="表内"/>
    <w:basedOn w:val="1"/>
    <w:next w:val="1"/>
    <w:link w:val="816"/>
    <w:qFormat/>
    <w:uiPriority w:val="0"/>
    <w:pPr>
      <w:adjustRightInd w:val="0"/>
      <w:snapToGrid w:val="0"/>
      <w:spacing w:before="120" w:after="120" w:line="288" w:lineRule="auto"/>
      <w:jc w:val="center"/>
    </w:pPr>
    <w:rPr>
      <w:rFonts w:ascii="Times New Roman" w:hAnsi="Times New Roman"/>
      <w:snapToGrid w:val="0"/>
      <w:szCs w:val="20"/>
    </w:rPr>
  </w:style>
  <w:style w:type="character" w:customStyle="1" w:styleId="818">
    <w:name w:val="正文文本缩进 2 Char Char"/>
    <w:qFormat/>
    <w:uiPriority w:val="0"/>
    <w:rPr>
      <w:rFonts w:ascii="宋体" w:hAnsi="Times New Roman" w:eastAsia="宋体" w:cs="Times New Roman"/>
      <w:color w:val="000000"/>
      <w:kern w:val="0"/>
      <w:sz w:val="36"/>
      <w:szCs w:val="20"/>
    </w:rPr>
  </w:style>
  <w:style w:type="character" w:customStyle="1" w:styleId="819">
    <w:name w:val="目标题 1) Char Char"/>
    <w:qFormat/>
    <w:uiPriority w:val="0"/>
    <w:rPr>
      <w:rFonts w:ascii="Arial" w:hAnsi="Arial" w:eastAsia="黑体"/>
      <w:kern w:val="2"/>
      <w:sz w:val="24"/>
      <w:szCs w:val="24"/>
    </w:rPr>
  </w:style>
  <w:style w:type="character" w:customStyle="1" w:styleId="820">
    <w:name w:val="日期 Char Char"/>
    <w:qFormat/>
    <w:uiPriority w:val="0"/>
    <w:rPr>
      <w:rFonts w:ascii="Times New Roman" w:hAnsi="Times New Roman" w:eastAsia="宋体" w:cs="Times New Roman"/>
      <w:sz w:val="24"/>
      <w:szCs w:val="20"/>
    </w:rPr>
  </w:style>
  <w:style w:type="character" w:customStyle="1" w:styleId="821">
    <w:name w:val="epapagename"/>
    <w:basedOn w:val="83"/>
    <w:qFormat/>
    <w:uiPriority w:val="0"/>
  </w:style>
  <w:style w:type="character" w:customStyle="1" w:styleId="822">
    <w:name w:val="表格内容1 Char Char Char Char Char"/>
    <w:link w:val="823"/>
    <w:qFormat/>
    <w:uiPriority w:val="0"/>
    <w:rPr>
      <w:rFonts w:ascii="Arial" w:hAnsi="Arial" w:eastAsia="仿宋_GB2312"/>
      <w:kern w:val="24"/>
      <w:szCs w:val="24"/>
    </w:rPr>
  </w:style>
  <w:style w:type="paragraph" w:customStyle="1" w:styleId="823">
    <w:name w:val="表格内容1 Char Char Char"/>
    <w:basedOn w:val="1"/>
    <w:link w:val="822"/>
    <w:qFormat/>
    <w:uiPriority w:val="0"/>
    <w:pPr>
      <w:spacing w:line="240" w:lineRule="atLeast"/>
      <w:jc w:val="center"/>
    </w:pPr>
    <w:rPr>
      <w:rFonts w:ascii="Arial" w:hAnsi="Arial" w:eastAsia="仿宋_GB2312"/>
      <w:kern w:val="24"/>
      <w:sz w:val="20"/>
      <w:szCs w:val="24"/>
    </w:rPr>
  </w:style>
  <w:style w:type="character" w:customStyle="1" w:styleId="824">
    <w:name w:val="HTML 预设格式 Char1"/>
    <w:qFormat/>
    <w:uiPriority w:val="99"/>
    <w:rPr>
      <w:rFonts w:ascii="Courier New" w:hAnsi="Courier New" w:eastAsia="宋体" w:cs="Courier New"/>
      <w:sz w:val="20"/>
      <w:szCs w:val="20"/>
    </w:rPr>
  </w:style>
  <w:style w:type="character" w:customStyle="1" w:styleId="825">
    <w:name w:val="图例 Char Char"/>
    <w:link w:val="826"/>
    <w:qFormat/>
    <w:uiPriority w:val="0"/>
    <w:rPr>
      <w:rFonts w:ascii="Times New Roman" w:hAnsi="Times New Roman"/>
      <w:b/>
      <w:bCs/>
      <w:szCs w:val="24"/>
      <w:lang w:val="zh-CN"/>
    </w:rPr>
  </w:style>
  <w:style w:type="paragraph" w:customStyle="1" w:styleId="826">
    <w:name w:val="图例"/>
    <w:basedOn w:val="760"/>
    <w:link w:val="825"/>
    <w:qFormat/>
    <w:uiPriority w:val="0"/>
    <w:rPr>
      <w:szCs w:val="24"/>
    </w:rPr>
  </w:style>
  <w:style w:type="character" w:customStyle="1" w:styleId="827">
    <w:name w:val="小标题 Char Char"/>
    <w:link w:val="828"/>
    <w:qFormat/>
    <w:uiPriority w:val="0"/>
    <w:rPr>
      <w:rFonts w:ascii="Times New Roman" w:hAnsi="Times New Roman" w:eastAsia="仿宋_GB2312"/>
      <w:b/>
      <w:sz w:val="28"/>
    </w:rPr>
  </w:style>
  <w:style w:type="paragraph" w:customStyle="1" w:styleId="828">
    <w:name w:val="小标题"/>
    <w:basedOn w:val="1"/>
    <w:next w:val="1"/>
    <w:link w:val="827"/>
    <w:qFormat/>
    <w:uiPriority w:val="0"/>
    <w:pPr>
      <w:spacing w:line="486" w:lineRule="exact"/>
      <w:ind w:firstLine="200" w:firstLineChars="200"/>
      <w:jc w:val="left"/>
    </w:pPr>
    <w:rPr>
      <w:rFonts w:ascii="Times New Roman" w:hAnsi="Times New Roman" w:eastAsia="仿宋_GB2312"/>
      <w:b/>
      <w:kern w:val="0"/>
      <w:sz w:val="28"/>
      <w:szCs w:val="20"/>
    </w:rPr>
  </w:style>
  <w:style w:type="character" w:customStyle="1" w:styleId="829">
    <w:name w:val="正文11 Char Char Char Char1"/>
    <w:qFormat/>
    <w:uiPriority w:val="0"/>
    <w:rPr>
      <w:rFonts w:ascii="宋体" w:hAnsi="宋体" w:eastAsia="宋体"/>
      <w:snapToGrid w:val="0"/>
      <w:sz w:val="24"/>
      <w:szCs w:val="24"/>
      <w:lang w:val="en-US" w:eastAsia="zh-CN" w:bidi="ar-SA"/>
    </w:rPr>
  </w:style>
  <w:style w:type="character" w:customStyle="1" w:styleId="830">
    <w:name w:val="Char Char29"/>
    <w:qFormat/>
    <w:uiPriority w:val="0"/>
    <w:rPr>
      <w:rFonts w:hint="eastAsia" w:ascii="宋体" w:hAnsi="Times New Roman" w:eastAsia="宋体" w:cs="Times New Roman"/>
      <w:color w:val="000000"/>
      <w:kern w:val="0"/>
      <w:sz w:val="36"/>
      <w:szCs w:val="20"/>
    </w:rPr>
  </w:style>
  <w:style w:type="character" w:customStyle="1" w:styleId="831">
    <w:name w:val="正文缩进 Char1"/>
    <w:link w:val="832"/>
    <w:qFormat/>
    <w:uiPriority w:val="0"/>
    <w:rPr>
      <w:rFonts w:ascii="Times New Roman" w:hAnsi="Times New Roman" w:eastAsia="宋体" w:cs="Times New Roman"/>
      <w:szCs w:val="24"/>
    </w:rPr>
  </w:style>
  <w:style w:type="paragraph" w:customStyle="1" w:styleId="832">
    <w:name w:val="正文缩进1"/>
    <w:basedOn w:val="1"/>
    <w:link w:val="831"/>
    <w:qFormat/>
    <w:uiPriority w:val="0"/>
    <w:pPr>
      <w:spacing w:line="360" w:lineRule="exact"/>
      <w:ind w:firstLine="510"/>
    </w:pPr>
    <w:rPr>
      <w:rFonts w:ascii="Times New Roman" w:hAnsi="Times New Roman" w:eastAsia="宋体" w:cs="Times New Roman"/>
      <w:kern w:val="0"/>
      <w:sz w:val="20"/>
      <w:szCs w:val="24"/>
    </w:rPr>
  </w:style>
  <w:style w:type="character" w:customStyle="1" w:styleId="833">
    <w:name w:val="日期 Char1"/>
    <w:qFormat/>
    <w:uiPriority w:val="99"/>
    <w:rPr>
      <w:rFonts w:ascii="Times New Roman" w:hAnsi="Times New Roman" w:eastAsia="宋体" w:cs="Times New Roman"/>
      <w:szCs w:val="24"/>
    </w:rPr>
  </w:style>
  <w:style w:type="character" w:customStyle="1" w:styleId="834">
    <w:name w:val="Char Char152"/>
    <w:link w:val="835"/>
    <w:qFormat/>
    <w:uiPriority w:val="0"/>
    <w:rPr>
      <w:sz w:val="24"/>
    </w:rPr>
  </w:style>
  <w:style w:type="paragraph" w:customStyle="1" w:styleId="835">
    <w:name w:val="正文文本1"/>
    <w:basedOn w:val="1"/>
    <w:link w:val="834"/>
    <w:qFormat/>
    <w:uiPriority w:val="0"/>
    <w:pPr>
      <w:spacing w:line="240" w:lineRule="atLeast"/>
      <w:jc w:val="center"/>
    </w:pPr>
    <w:rPr>
      <w:kern w:val="0"/>
      <w:sz w:val="24"/>
      <w:szCs w:val="20"/>
    </w:rPr>
  </w:style>
  <w:style w:type="character" w:customStyle="1" w:styleId="836">
    <w:name w:val="cucd-B Char Char Char Char"/>
    <w:link w:val="837"/>
    <w:qFormat/>
    <w:uiPriority w:val="0"/>
    <w:rPr>
      <w:rFonts w:ascii="宋体" w:hAnsi="宋体"/>
      <w:color w:val="000000"/>
      <w:sz w:val="21"/>
      <w:szCs w:val="21"/>
    </w:rPr>
  </w:style>
  <w:style w:type="paragraph" w:customStyle="1" w:styleId="837">
    <w:name w:val="cucd-B Char Char"/>
    <w:next w:val="1"/>
    <w:link w:val="836"/>
    <w:qFormat/>
    <w:uiPriority w:val="0"/>
    <w:pPr>
      <w:widowControl w:val="0"/>
      <w:spacing w:beforeLines="50" w:line="240" w:lineRule="atLeast"/>
      <w:jc w:val="both"/>
    </w:pPr>
    <w:rPr>
      <w:rFonts w:ascii="宋体" w:hAnsi="宋体" w:eastAsiaTheme="minorEastAsia" w:cstheme="minorBidi"/>
      <w:color w:val="000000"/>
      <w:sz w:val="21"/>
      <w:szCs w:val="21"/>
      <w:lang w:val="en-US" w:eastAsia="zh-CN" w:bidi="ar-SA"/>
    </w:rPr>
  </w:style>
  <w:style w:type="character" w:customStyle="1" w:styleId="838">
    <w:name w:val="正文文本 3 Char Char"/>
    <w:qFormat/>
    <w:uiPriority w:val="0"/>
    <w:rPr>
      <w:rFonts w:ascii="Times New Roman" w:hAnsi="Times New Roman" w:eastAsia="宋体" w:cs="Times New Roman"/>
      <w:sz w:val="16"/>
      <w:szCs w:val="16"/>
    </w:rPr>
  </w:style>
  <w:style w:type="character" w:customStyle="1" w:styleId="839">
    <w:name w:val="不明显强调1"/>
    <w:qFormat/>
    <w:uiPriority w:val="19"/>
    <w:rPr>
      <w:i/>
      <w:iCs/>
      <w:color w:val="808080"/>
    </w:rPr>
  </w:style>
  <w:style w:type="character" w:customStyle="1" w:styleId="840">
    <w:name w:val="小表右 Char Char"/>
    <w:link w:val="841"/>
    <w:qFormat/>
    <w:uiPriority w:val="0"/>
    <w:rPr>
      <w:rFonts w:ascii="宋体" w:hAnsi="宋体"/>
    </w:rPr>
  </w:style>
  <w:style w:type="paragraph" w:customStyle="1" w:styleId="841">
    <w:name w:val="小表右"/>
    <w:basedOn w:val="1"/>
    <w:link w:val="840"/>
    <w:qFormat/>
    <w:uiPriority w:val="0"/>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ascii="宋体" w:hAnsi="宋体"/>
      <w:kern w:val="0"/>
      <w:sz w:val="20"/>
      <w:szCs w:val="20"/>
    </w:rPr>
  </w:style>
  <w:style w:type="character" w:customStyle="1" w:styleId="842">
    <w:name w:val="A3"/>
    <w:qFormat/>
    <w:uiPriority w:val="0"/>
    <w:rPr>
      <w:rFonts w:ascii="BankGothic Lt BT" w:hAnsi="BankGothic Lt BT" w:cs="BankGothic Lt BT"/>
      <w:color w:val="000000"/>
      <w:sz w:val="36"/>
      <w:szCs w:val="36"/>
    </w:rPr>
  </w:style>
  <w:style w:type="character" w:customStyle="1" w:styleId="843">
    <w:name w:val="表格和图片 Char Char"/>
    <w:link w:val="844"/>
    <w:semiHidden/>
    <w:qFormat/>
    <w:uiPriority w:val="0"/>
    <w:rPr>
      <w:color w:val="000000"/>
      <w:sz w:val="24"/>
    </w:rPr>
  </w:style>
  <w:style w:type="paragraph" w:customStyle="1" w:styleId="844">
    <w:name w:val="表格和图片"/>
    <w:basedOn w:val="1"/>
    <w:link w:val="843"/>
    <w:semiHidden/>
    <w:qFormat/>
    <w:uiPriority w:val="0"/>
    <w:pPr>
      <w:spacing w:line="360" w:lineRule="auto"/>
      <w:jc w:val="center"/>
    </w:pPr>
    <w:rPr>
      <w:color w:val="000000"/>
      <w:kern w:val="0"/>
      <w:sz w:val="24"/>
      <w:szCs w:val="20"/>
    </w:rPr>
  </w:style>
  <w:style w:type="character" w:customStyle="1" w:styleId="845">
    <w:name w:val="large"/>
    <w:basedOn w:val="83"/>
    <w:qFormat/>
    <w:uiPriority w:val="0"/>
  </w:style>
  <w:style w:type="character" w:customStyle="1" w:styleId="846">
    <w:name w:val="background-color:#ffffff"/>
    <w:basedOn w:val="83"/>
    <w:qFormat/>
    <w:uiPriority w:val="0"/>
  </w:style>
  <w:style w:type="character" w:customStyle="1" w:styleId="847">
    <w:name w:val="font21"/>
    <w:qFormat/>
    <w:uiPriority w:val="0"/>
    <w:rPr>
      <w:rFonts w:hint="eastAsia" w:ascii="宋体" w:hAnsi="宋体" w:eastAsia="宋体"/>
      <w:color w:val="000000"/>
      <w:sz w:val="22"/>
      <w:u w:val="none"/>
    </w:rPr>
  </w:style>
  <w:style w:type="character" w:customStyle="1" w:styleId="848">
    <w:name w:val="zy"/>
    <w:basedOn w:val="83"/>
    <w:qFormat/>
    <w:uiPriority w:val="0"/>
  </w:style>
  <w:style w:type="character" w:customStyle="1" w:styleId="849">
    <w:name w:val="zhengwencolor1"/>
    <w:qFormat/>
    <w:uiPriority w:val="0"/>
    <w:rPr>
      <w:color w:val="000000"/>
      <w:sz w:val="16"/>
      <w:szCs w:val="16"/>
    </w:rPr>
  </w:style>
  <w:style w:type="character" w:customStyle="1" w:styleId="850">
    <w:name w:val="正文文本 2 Char1"/>
    <w:qFormat/>
    <w:uiPriority w:val="0"/>
    <w:rPr>
      <w:rFonts w:ascii="Times New Roman" w:hAnsi="Times New Roman" w:eastAsia="宋体" w:cs="Times New Roman"/>
      <w:szCs w:val="24"/>
    </w:rPr>
  </w:style>
  <w:style w:type="character" w:customStyle="1" w:styleId="851">
    <w:name w:val="aaa Char Char"/>
    <w:link w:val="852"/>
    <w:qFormat/>
    <w:uiPriority w:val="0"/>
    <w:rPr>
      <w:rFonts w:ascii="ˎ̥" w:hAnsi="ˎ̥"/>
      <w:bCs/>
      <w:color w:val="000000"/>
      <w:sz w:val="24"/>
    </w:rPr>
  </w:style>
  <w:style w:type="paragraph" w:customStyle="1" w:styleId="852">
    <w:name w:val="aaa"/>
    <w:basedOn w:val="1"/>
    <w:link w:val="851"/>
    <w:qFormat/>
    <w:uiPriority w:val="0"/>
    <w:pPr>
      <w:spacing w:beforeLines="50" w:afterLines="50" w:line="360" w:lineRule="auto"/>
      <w:ind w:firstLine="480" w:firstLineChars="200"/>
    </w:pPr>
    <w:rPr>
      <w:rFonts w:ascii="ˎ̥" w:hAnsi="ˎ̥"/>
      <w:bCs/>
      <w:color w:val="000000"/>
      <w:kern w:val="0"/>
      <w:sz w:val="24"/>
      <w:szCs w:val="20"/>
    </w:rPr>
  </w:style>
  <w:style w:type="character" w:customStyle="1" w:styleId="853">
    <w:name w:val="Char Char171"/>
    <w:qFormat/>
    <w:uiPriority w:val="0"/>
    <w:rPr>
      <w:rFonts w:eastAsia="宋体"/>
      <w:kern w:val="2"/>
      <w:sz w:val="21"/>
      <w:szCs w:val="24"/>
      <w:lang w:val="en-US" w:eastAsia="zh-CN" w:bidi="ar-SA"/>
    </w:rPr>
  </w:style>
  <w:style w:type="character" w:customStyle="1" w:styleId="854">
    <w:name w:val="表格内容1 Char Char Char Char"/>
    <w:qFormat/>
    <w:uiPriority w:val="0"/>
    <w:rPr>
      <w:rFonts w:ascii="Arial" w:hAnsi="Arial" w:eastAsia="仿宋_GB2312"/>
      <w:kern w:val="24"/>
      <w:sz w:val="21"/>
      <w:szCs w:val="24"/>
    </w:rPr>
  </w:style>
  <w:style w:type="character" w:customStyle="1" w:styleId="855">
    <w:name w:val="bds_nopic2"/>
    <w:basedOn w:val="83"/>
    <w:qFormat/>
    <w:uiPriority w:val="0"/>
  </w:style>
  <w:style w:type="character" w:customStyle="1" w:styleId="856">
    <w:name w:val="sidecatalog-dot4"/>
    <w:basedOn w:val="83"/>
    <w:qFormat/>
    <w:uiPriority w:val="0"/>
  </w:style>
  <w:style w:type="character" w:customStyle="1" w:styleId="857">
    <w:name w:val="sidecatalog-dot1"/>
    <w:basedOn w:val="83"/>
    <w:qFormat/>
    <w:uiPriority w:val="0"/>
  </w:style>
  <w:style w:type="character" w:customStyle="1" w:styleId="858">
    <w:name w:val="Char Char Char Char1"/>
    <w:qFormat/>
    <w:uiPriority w:val="0"/>
    <w:rPr>
      <w:rFonts w:ascii="宋体" w:hAnsi="Courier New" w:eastAsia="宋体" w:cs="Courier New"/>
      <w:sz w:val="21"/>
      <w:szCs w:val="21"/>
      <w:lang w:val="en-US" w:eastAsia="zh-CN" w:bidi="ar-SA"/>
    </w:rPr>
  </w:style>
  <w:style w:type="character" w:customStyle="1" w:styleId="859">
    <w:name w:val="表格 Char Char Char"/>
    <w:qFormat/>
    <w:locked/>
    <w:uiPriority w:val="0"/>
    <w:rPr>
      <w:sz w:val="21"/>
      <w:lang w:val="en-US" w:eastAsia="zh-CN" w:bidi="ar-SA"/>
    </w:rPr>
  </w:style>
  <w:style w:type="character" w:customStyle="1" w:styleId="860">
    <w:name w:val="Char Char1 Char Char Char Char Char Char Char Char Char Char Char Char Char Char1"/>
    <w:link w:val="861"/>
    <w:qFormat/>
    <w:uiPriority w:val="0"/>
  </w:style>
  <w:style w:type="paragraph" w:customStyle="1" w:styleId="861">
    <w:name w:val="Char Char1 Char Char Char Char Char Char Char Char Char Char Char Char"/>
    <w:basedOn w:val="1"/>
    <w:link w:val="860"/>
    <w:qFormat/>
    <w:uiPriority w:val="0"/>
    <w:pPr>
      <w:jc w:val="left"/>
    </w:pPr>
    <w:rPr>
      <w:kern w:val="0"/>
      <w:sz w:val="20"/>
      <w:szCs w:val="20"/>
    </w:rPr>
  </w:style>
  <w:style w:type="character" w:customStyle="1" w:styleId="862">
    <w:name w:val="市局正文 Char Char"/>
    <w:link w:val="863"/>
    <w:qFormat/>
    <w:uiPriority w:val="0"/>
    <w:rPr>
      <w:rFonts w:ascii="Times New Roman" w:hAnsi="Times New Roman"/>
      <w:b/>
      <w:sz w:val="24"/>
      <w:szCs w:val="24"/>
      <w:lang w:val="de-DE"/>
    </w:rPr>
  </w:style>
  <w:style w:type="paragraph" w:customStyle="1" w:styleId="863">
    <w:name w:val="市局正文"/>
    <w:basedOn w:val="1"/>
    <w:link w:val="862"/>
    <w:qFormat/>
    <w:uiPriority w:val="0"/>
    <w:pPr>
      <w:keepNext/>
      <w:adjustRightInd w:val="0"/>
      <w:snapToGrid w:val="0"/>
      <w:spacing w:line="360" w:lineRule="auto"/>
      <w:jc w:val="center"/>
    </w:pPr>
    <w:rPr>
      <w:rFonts w:ascii="Times New Roman" w:hAnsi="Times New Roman"/>
      <w:b/>
      <w:kern w:val="0"/>
      <w:sz w:val="24"/>
      <w:szCs w:val="24"/>
      <w:lang w:val="de-DE"/>
    </w:rPr>
  </w:style>
  <w:style w:type="character" w:customStyle="1" w:styleId="864">
    <w:name w:val="Char Char27"/>
    <w:qFormat/>
    <w:uiPriority w:val="0"/>
    <w:rPr>
      <w:rFonts w:hint="default" w:ascii="Times New Roman" w:hAnsi="Times New Roman" w:eastAsia="宋体" w:cs="Times New Roman"/>
      <w:sz w:val="24"/>
      <w:szCs w:val="24"/>
    </w:rPr>
  </w:style>
  <w:style w:type="character" w:customStyle="1" w:styleId="865">
    <w:name w:val="表格文字1 Char"/>
    <w:qFormat/>
    <w:uiPriority w:val="0"/>
    <w:rPr>
      <w:rFonts w:ascii="宋体" w:hAnsi="Courier New" w:eastAsia="宋体" w:cs="Courier New"/>
      <w:kern w:val="2"/>
      <w:sz w:val="21"/>
      <w:szCs w:val="21"/>
      <w:lang w:val="en-US" w:eastAsia="zh-CN" w:bidi="ar-SA"/>
    </w:rPr>
  </w:style>
  <w:style w:type="character" w:customStyle="1" w:styleId="866">
    <w:name w:val="燕山正文 Char Char"/>
    <w:link w:val="867"/>
    <w:qFormat/>
    <w:uiPriority w:val="0"/>
    <w:rPr>
      <w:rFonts w:ascii="Times New Roman" w:hAnsi="Times New Roman"/>
      <w:sz w:val="24"/>
      <w:szCs w:val="28"/>
      <w:shd w:val="clear" w:color="auto" w:fill="FFFFFF"/>
    </w:rPr>
  </w:style>
  <w:style w:type="paragraph" w:customStyle="1" w:styleId="867">
    <w:name w:val="燕山正文"/>
    <w:basedOn w:val="1"/>
    <w:link w:val="866"/>
    <w:qFormat/>
    <w:uiPriority w:val="0"/>
    <w:pPr>
      <w:shd w:val="clear" w:color="auto" w:fill="FFFFFF"/>
      <w:tabs>
        <w:tab w:val="left" w:pos="4680"/>
      </w:tabs>
      <w:adjustRightInd w:val="0"/>
      <w:snapToGrid w:val="0"/>
      <w:spacing w:beforeLines="30" w:afterLines="30" w:line="360" w:lineRule="auto"/>
      <w:ind w:firstLine="480" w:firstLineChars="200"/>
      <w:jc w:val="left"/>
    </w:pPr>
    <w:rPr>
      <w:rFonts w:ascii="Times New Roman" w:hAnsi="Times New Roman"/>
      <w:kern w:val="0"/>
      <w:sz w:val="24"/>
      <w:szCs w:val="28"/>
    </w:rPr>
  </w:style>
  <w:style w:type="character" w:customStyle="1" w:styleId="868">
    <w:name w:val="样式 小三"/>
    <w:qFormat/>
    <w:uiPriority w:val="0"/>
    <w:rPr>
      <w:rFonts w:ascii="宋体" w:eastAsia="宋体"/>
      <w:sz w:val="28"/>
      <w:szCs w:val="28"/>
    </w:rPr>
  </w:style>
  <w:style w:type="character" w:customStyle="1" w:styleId="869">
    <w:name w:val="3zw1"/>
    <w:qFormat/>
    <w:uiPriority w:val="0"/>
    <w:rPr>
      <w:color w:val="000000"/>
      <w:sz w:val="21"/>
      <w:szCs w:val="21"/>
    </w:rPr>
  </w:style>
  <w:style w:type="character" w:customStyle="1" w:styleId="870">
    <w:name w:val="标题 3 Char2"/>
    <w:qFormat/>
    <w:uiPriority w:val="0"/>
    <w:rPr>
      <w:rFonts w:ascii="Calibri" w:hAnsi="Calibri" w:eastAsia="宋体"/>
      <w:b/>
      <w:bCs/>
      <w:kern w:val="2"/>
      <w:sz w:val="32"/>
      <w:szCs w:val="32"/>
      <w:lang w:val="en-US" w:eastAsia="zh-CN" w:bidi="ar-SA"/>
    </w:rPr>
  </w:style>
  <w:style w:type="character" w:customStyle="1" w:styleId="871">
    <w:name w:val="Char Char242"/>
    <w:qFormat/>
    <w:uiPriority w:val="0"/>
    <w:rPr>
      <w:b/>
      <w:kern w:val="44"/>
      <w:sz w:val="44"/>
    </w:rPr>
  </w:style>
  <w:style w:type="character" w:customStyle="1" w:styleId="872">
    <w:name w:val="样式 (符号) 宋体 13 磅"/>
    <w:qFormat/>
    <w:uiPriority w:val="0"/>
    <w:rPr>
      <w:rFonts w:ascii="宋体" w:eastAsia="宋体"/>
      <w:sz w:val="27"/>
      <w:szCs w:val="27"/>
    </w:rPr>
  </w:style>
  <w:style w:type="character" w:customStyle="1" w:styleId="873">
    <w:name w:val="Body Text Indent 2 Char Char"/>
    <w:link w:val="874"/>
    <w:qFormat/>
    <w:uiPriority w:val="0"/>
    <w:rPr>
      <w:rFonts w:ascii="Times New Roman" w:hAnsi="Times New Roman"/>
      <w:sz w:val="24"/>
    </w:rPr>
  </w:style>
  <w:style w:type="paragraph" w:customStyle="1" w:styleId="874">
    <w:name w:val="Body Text Indent 21"/>
    <w:basedOn w:val="1"/>
    <w:link w:val="873"/>
    <w:qFormat/>
    <w:uiPriority w:val="0"/>
    <w:pPr>
      <w:spacing w:line="440" w:lineRule="exact"/>
      <w:ind w:firstLine="540" w:firstLineChars="200"/>
      <w:jc w:val="left"/>
    </w:pPr>
    <w:rPr>
      <w:rFonts w:ascii="Times New Roman" w:hAnsi="Times New Roman"/>
      <w:kern w:val="0"/>
      <w:sz w:val="24"/>
      <w:szCs w:val="20"/>
    </w:rPr>
  </w:style>
  <w:style w:type="character" w:customStyle="1" w:styleId="875">
    <w:name w:val="正文文字描述 Char Char"/>
    <w:link w:val="876"/>
    <w:qFormat/>
    <w:uiPriority w:val="0"/>
    <w:rPr>
      <w:color w:val="000000"/>
      <w:spacing w:val="20"/>
      <w:sz w:val="24"/>
      <w:szCs w:val="28"/>
    </w:rPr>
  </w:style>
  <w:style w:type="paragraph" w:customStyle="1" w:styleId="876">
    <w:name w:val="正文文字描述"/>
    <w:basedOn w:val="1"/>
    <w:link w:val="875"/>
    <w:qFormat/>
    <w:uiPriority w:val="0"/>
    <w:pPr>
      <w:spacing w:line="480" w:lineRule="exact"/>
      <w:ind w:firstLine="200" w:firstLineChars="200"/>
    </w:pPr>
    <w:rPr>
      <w:color w:val="000000"/>
      <w:spacing w:val="20"/>
      <w:kern w:val="0"/>
      <w:sz w:val="24"/>
      <w:szCs w:val="28"/>
    </w:rPr>
  </w:style>
  <w:style w:type="character" w:customStyle="1" w:styleId="877">
    <w:name w:val="样式 (中文) 仿宋_GB2312 四号 行距: 1.5 倍行距 Char Char Char"/>
    <w:qFormat/>
    <w:uiPriority w:val="0"/>
    <w:rPr>
      <w:rFonts w:ascii="宋体" w:hAnsi="宋体" w:eastAsia="宋体"/>
      <w:kern w:val="2"/>
      <w:sz w:val="28"/>
      <w:szCs w:val="24"/>
      <w:lang w:val="en-US" w:eastAsia="zh-CN" w:bidi="ar-SA"/>
    </w:rPr>
  </w:style>
  <w:style w:type="character" w:customStyle="1" w:styleId="878">
    <w:name w:val="表头 Char Char"/>
    <w:qFormat/>
    <w:uiPriority w:val="0"/>
    <w:rPr>
      <w:rFonts w:ascii="宋体" w:hAnsi="宋体" w:eastAsia="宋体"/>
      <w:sz w:val="28"/>
      <w:szCs w:val="28"/>
      <w:lang w:bidi="ar-SA"/>
    </w:rPr>
  </w:style>
  <w:style w:type="character" w:customStyle="1" w:styleId="879">
    <w:name w:val="Footer-Even Char"/>
    <w:qFormat/>
    <w:uiPriority w:val="0"/>
    <w:rPr>
      <w:rFonts w:ascii="Calibri" w:hAnsi="Calibri" w:eastAsia="宋体"/>
      <w:kern w:val="2"/>
      <w:sz w:val="18"/>
      <w:szCs w:val="18"/>
      <w:lang w:val="en-US" w:eastAsia="zh-CN" w:bidi="ar-SA"/>
    </w:rPr>
  </w:style>
  <w:style w:type="character" w:customStyle="1" w:styleId="880">
    <w:name w:val="批注文字 Char1"/>
    <w:qFormat/>
    <w:uiPriority w:val="99"/>
    <w:rPr>
      <w:rFonts w:eastAsia="宋体"/>
      <w:szCs w:val="24"/>
      <w:lang w:bidi="ar-SA"/>
    </w:rPr>
  </w:style>
  <w:style w:type="character" w:customStyle="1" w:styleId="881">
    <w:name w:val="页眉 Char1"/>
    <w:qFormat/>
    <w:uiPriority w:val="0"/>
    <w:rPr>
      <w:rFonts w:ascii="Calibri" w:hAnsi="Calibri" w:eastAsia="宋体" w:cs="Times New Roman"/>
      <w:sz w:val="18"/>
      <w:szCs w:val="18"/>
    </w:rPr>
  </w:style>
  <w:style w:type="character" w:customStyle="1" w:styleId="882">
    <w:name w:val="bds_more"/>
    <w:qFormat/>
    <w:uiPriority w:val="0"/>
    <w:rPr>
      <w:rFonts w:hint="eastAsia" w:ascii="宋体" w:hAnsi="宋体" w:eastAsia="宋体" w:cs="宋体"/>
    </w:rPr>
  </w:style>
  <w:style w:type="character" w:customStyle="1" w:styleId="883">
    <w:name w:val="show-img-bd"/>
    <w:basedOn w:val="83"/>
    <w:qFormat/>
    <w:uiPriority w:val="0"/>
  </w:style>
  <w:style w:type="character" w:customStyle="1" w:styleId="884">
    <w:name w:val="bds_more3"/>
    <w:basedOn w:val="83"/>
    <w:qFormat/>
    <w:uiPriority w:val="0"/>
  </w:style>
  <w:style w:type="character" w:customStyle="1" w:styleId="885">
    <w:name w:val="bds_nopic"/>
    <w:basedOn w:val="83"/>
    <w:qFormat/>
    <w:uiPriority w:val="0"/>
  </w:style>
  <w:style w:type="character" w:customStyle="1" w:styleId="886">
    <w:name w:val="a-size-large"/>
    <w:basedOn w:val="83"/>
    <w:qFormat/>
    <w:uiPriority w:val="0"/>
  </w:style>
  <w:style w:type="character" w:customStyle="1" w:styleId="887">
    <w:name w:val="font01"/>
    <w:qFormat/>
    <w:uiPriority w:val="0"/>
    <w:rPr>
      <w:rFonts w:hint="default" w:ascii="Times New Roman" w:hAnsi="Times New Roman" w:cs="Times New Roman"/>
      <w:color w:val="FF0000"/>
      <w:sz w:val="18"/>
      <w:szCs w:val="18"/>
      <w:u w:val="none"/>
    </w:rPr>
  </w:style>
  <w:style w:type="character" w:customStyle="1" w:styleId="888">
    <w:name w:val="font201"/>
    <w:qFormat/>
    <w:uiPriority w:val="0"/>
    <w:rPr>
      <w:rFonts w:hint="default" w:ascii="Times New Roman" w:hAnsi="Times New Roman" w:cs="Times New Roman"/>
      <w:color w:val="000000"/>
      <w:sz w:val="18"/>
      <w:szCs w:val="18"/>
      <w:u w:val="none"/>
    </w:rPr>
  </w:style>
  <w:style w:type="character" w:customStyle="1" w:styleId="889">
    <w:name w:val="font121"/>
    <w:qFormat/>
    <w:uiPriority w:val="0"/>
    <w:rPr>
      <w:rFonts w:hint="default" w:ascii="Times New Roman" w:hAnsi="Times New Roman" w:cs="Times New Roman"/>
      <w:b/>
      <w:bCs/>
      <w:color w:val="000000"/>
      <w:sz w:val="18"/>
      <w:szCs w:val="18"/>
      <w:u w:val="none"/>
      <w:vertAlign w:val="superscript"/>
    </w:rPr>
  </w:style>
  <w:style w:type="character" w:customStyle="1" w:styleId="890">
    <w:name w:val="font181"/>
    <w:qFormat/>
    <w:uiPriority w:val="0"/>
    <w:rPr>
      <w:rFonts w:hint="eastAsia" w:ascii="宋体" w:hAnsi="宋体" w:eastAsia="宋体"/>
      <w:color w:val="000000"/>
      <w:sz w:val="18"/>
      <w:szCs w:val="18"/>
      <w:u w:val="none"/>
    </w:rPr>
  </w:style>
  <w:style w:type="character" w:customStyle="1" w:styleId="891">
    <w:name w:val="正文文本 (2) + 4 pt"/>
    <w:qFormat/>
    <w:uiPriority w:val="99"/>
    <w:rPr>
      <w:rFonts w:ascii="MingLiU" w:eastAsia="MingLiU" w:cs="MingLiU"/>
      <w:w w:val="200"/>
      <w:sz w:val="8"/>
      <w:szCs w:val="8"/>
      <w:u w:val="none"/>
      <w:shd w:val="clear" w:color="auto" w:fill="FFFFFF"/>
    </w:rPr>
  </w:style>
  <w:style w:type="character" w:customStyle="1" w:styleId="892">
    <w:name w:val="表格文字 Char"/>
    <w:qFormat/>
    <w:uiPriority w:val="0"/>
    <w:rPr>
      <w:rFonts w:ascii="Times New Roman" w:hAnsi="Times New Roman"/>
      <w:kern w:val="2"/>
      <w:sz w:val="21"/>
      <w:lang w:val="en-US" w:eastAsia="zh-CN" w:bidi="ar-DZ"/>
    </w:rPr>
  </w:style>
  <w:style w:type="character" w:customStyle="1" w:styleId="893">
    <w:name w:val="图名 Char"/>
    <w:link w:val="894"/>
    <w:qFormat/>
    <w:uiPriority w:val="0"/>
    <w:rPr>
      <w:rFonts w:ascii="宋体" w:hAnsi="宋体"/>
      <w:kern w:val="2"/>
      <w:sz w:val="24"/>
      <w:szCs w:val="24"/>
    </w:rPr>
  </w:style>
  <w:style w:type="paragraph" w:customStyle="1" w:styleId="894">
    <w:name w:val="图名"/>
    <w:link w:val="893"/>
    <w:qFormat/>
    <w:uiPriority w:val="0"/>
    <w:pPr>
      <w:widowControl w:val="0"/>
      <w:topLinePunct/>
      <w:jc w:val="center"/>
    </w:pPr>
    <w:rPr>
      <w:rFonts w:ascii="宋体" w:hAnsi="宋体" w:eastAsiaTheme="minorEastAsia" w:cstheme="minorBidi"/>
      <w:kern w:val="2"/>
      <w:sz w:val="24"/>
      <w:szCs w:val="24"/>
      <w:lang w:val="en-US" w:eastAsia="zh-CN" w:bidi="ar-SA"/>
    </w:rPr>
  </w:style>
  <w:style w:type="character" w:customStyle="1" w:styleId="895">
    <w:name w:val="标题三 Char"/>
    <w:link w:val="896"/>
    <w:qFormat/>
    <w:uiPriority w:val="0"/>
    <w:rPr>
      <w:rFonts w:ascii="Times New Roman" w:hAnsi="Times New Roman" w:eastAsia="黑体"/>
      <w:b/>
      <w:bCs/>
      <w:kern w:val="2"/>
      <w:sz w:val="28"/>
      <w:szCs w:val="28"/>
    </w:rPr>
  </w:style>
  <w:style w:type="paragraph" w:customStyle="1" w:styleId="896">
    <w:name w:val="标题三"/>
    <w:basedOn w:val="166"/>
    <w:link w:val="895"/>
    <w:qFormat/>
    <w:uiPriority w:val="0"/>
    <w:pPr>
      <w:spacing w:beforeLines="50" w:afterLines="50" w:line="360" w:lineRule="auto"/>
      <w:ind w:left="597"/>
      <w:outlineLvl w:val="2"/>
    </w:pPr>
    <w:rPr>
      <w:rFonts w:ascii="Times New Roman" w:hAnsi="Times New Roman" w:eastAsia="黑体" w:cstheme="minorBidi"/>
      <w:b/>
      <w:bCs/>
      <w:kern w:val="2"/>
      <w:sz w:val="28"/>
      <w:szCs w:val="28"/>
    </w:rPr>
  </w:style>
  <w:style w:type="character" w:customStyle="1" w:styleId="897">
    <w:name w:val="普通(网站) Char1"/>
    <w:qFormat/>
    <w:uiPriority w:val="39"/>
    <w:rPr>
      <w:rFonts w:ascii="宋体" w:hAnsi="宋体" w:cs="宋体"/>
      <w:sz w:val="24"/>
      <w:szCs w:val="24"/>
    </w:rPr>
  </w:style>
  <w:style w:type="paragraph" w:customStyle="1" w:styleId="898">
    <w:name w:val="Char13"/>
    <w:basedOn w:val="1"/>
    <w:qFormat/>
    <w:uiPriority w:val="99"/>
    <w:rPr>
      <w:rFonts w:ascii="Tahoma" w:hAnsi="Tahoma" w:eastAsia="宋体" w:cs="Times New Roman"/>
      <w:sz w:val="24"/>
      <w:szCs w:val="20"/>
    </w:rPr>
  </w:style>
  <w:style w:type="paragraph" w:customStyle="1" w:styleId="899">
    <w:name w:val="Char Char Char Char"/>
    <w:basedOn w:val="1"/>
    <w:qFormat/>
    <w:uiPriority w:val="0"/>
    <w:rPr>
      <w:rFonts w:ascii="Times New Roman" w:hAnsi="Times New Roman" w:eastAsia="宋体" w:cs="Times New Roman"/>
    </w:rPr>
  </w:style>
  <w:style w:type="paragraph" w:customStyle="1" w:styleId="900">
    <w:name w:val="表标2.6"/>
    <w:next w:val="171"/>
    <w:qFormat/>
    <w:uiPriority w:val="99"/>
    <w:pPr>
      <w:tabs>
        <w:tab w:val="left" w:pos="8207"/>
      </w:tabs>
      <w:adjustRightInd w:val="0"/>
      <w:snapToGrid w:val="0"/>
      <w:spacing w:before="240" w:line="0" w:lineRule="atLeast"/>
      <w:ind w:left="-4" w:firstLine="4"/>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901">
    <w:name w:val="xl55"/>
    <w:basedOn w:val="1"/>
    <w:qFormat/>
    <w:uiPriority w:val="99"/>
    <w:pPr>
      <w:widowControl/>
      <w:pBdr>
        <w:top w:val="single" w:color="auto" w:sz="8" w:space="0"/>
        <w:left w:val="single" w:color="auto" w:sz="4" w:space="0"/>
        <w:bottom w:val="single" w:color="auto" w:sz="8" w:space="0"/>
      </w:pBdr>
      <w:spacing w:before="100" w:beforeAutospacing="1" w:after="100" w:afterAutospacing="1"/>
      <w:jc w:val="center"/>
    </w:pPr>
    <w:rPr>
      <w:rFonts w:ascii="宋体" w:hAnsi="宋体" w:eastAsia="仿宋_GB2312" w:cs="Times New Roman"/>
      <w:kern w:val="0"/>
      <w:position w:val="-6"/>
      <w:sz w:val="24"/>
    </w:rPr>
  </w:style>
  <w:style w:type="paragraph" w:customStyle="1" w:styleId="902">
    <w:name w:val="样式 页眉 + 宋体 黑色 段前: 0 磅 段后: 0 磅 行距: 固定值 12 磅"/>
    <w:basedOn w:val="53"/>
    <w:qFormat/>
    <w:uiPriority w:val="0"/>
    <w:pPr>
      <w:widowControl w:val="0"/>
      <w:pBdr>
        <w:bottom w:val="none" w:color="auto" w:sz="0" w:space="0"/>
      </w:pBdr>
      <w:tabs>
        <w:tab w:val="clear" w:pos="4153"/>
        <w:tab w:val="clear" w:pos="8306"/>
      </w:tabs>
      <w:snapToGrid/>
      <w:spacing w:line="240" w:lineRule="exact"/>
    </w:pPr>
    <w:rPr>
      <w:rFonts w:hAnsi="宋体" w:cs="Times New Roman"/>
      <w:color w:val="000000"/>
      <w:kern w:val="0"/>
      <w:sz w:val="21"/>
      <w:szCs w:val="20"/>
    </w:rPr>
  </w:style>
  <w:style w:type="paragraph" w:customStyle="1" w:styleId="903">
    <w:name w:val="xl58"/>
    <w:basedOn w:val="1"/>
    <w:qFormat/>
    <w:uiPriority w:val="99"/>
    <w:pPr>
      <w:widowControl/>
      <w:pBdr>
        <w:top w:val="single" w:color="auto" w:sz="8" w:space="0"/>
        <w:bottom w:val="single" w:color="auto" w:sz="4" w:space="0"/>
        <w:right w:val="single" w:color="auto" w:sz="8" w:space="0"/>
      </w:pBdr>
      <w:spacing w:before="100" w:beforeAutospacing="1" w:after="100" w:afterAutospacing="1"/>
      <w:jc w:val="center"/>
    </w:pPr>
    <w:rPr>
      <w:rFonts w:ascii="宋体" w:hAnsi="宋体" w:eastAsia="仿宋_GB2312" w:cs="Times New Roman"/>
      <w:kern w:val="0"/>
      <w:position w:val="-6"/>
      <w:sz w:val="24"/>
    </w:rPr>
  </w:style>
  <w:style w:type="character" w:customStyle="1" w:styleId="904">
    <w:name w:val="尾注文本 Char2"/>
    <w:basedOn w:val="83"/>
    <w:qFormat/>
    <w:uiPriority w:val="0"/>
    <w:rPr>
      <w:rFonts w:ascii="宋体" w:hAnsi="宋体" w:cs="宋体"/>
      <w:sz w:val="24"/>
      <w:szCs w:val="24"/>
    </w:rPr>
  </w:style>
  <w:style w:type="paragraph" w:customStyle="1" w:styleId="905">
    <w:name w:val="ksheet"/>
    <w:basedOn w:val="1"/>
    <w:qFormat/>
    <w:uiPriority w:val="99"/>
    <w:pPr>
      <w:autoSpaceDE w:val="0"/>
      <w:autoSpaceDN w:val="0"/>
      <w:adjustRightInd w:val="0"/>
      <w:spacing w:line="300" w:lineRule="exact"/>
      <w:jc w:val="center"/>
      <w:textAlignment w:val="baseline"/>
    </w:pPr>
    <w:rPr>
      <w:rFonts w:ascii="宋体" w:hAnsi="Times New Roman" w:eastAsia="宋体" w:cs="Times New Roman"/>
      <w:snapToGrid w:val="0"/>
      <w:color w:val="000000"/>
      <w:kern w:val="0"/>
      <w:szCs w:val="20"/>
    </w:rPr>
  </w:style>
  <w:style w:type="paragraph" w:customStyle="1" w:styleId="906">
    <w:name w:val="xl26"/>
    <w:basedOn w:val="1"/>
    <w:qFormat/>
    <w:uiPriority w:val="99"/>
    <w:pPr>
      <w:widowControl/>
      <w:pBdr>
        <w:right w:val="single" w:color="auto" w:sz="4" w:space="0"/>
      </w:pBdr>
      <w:spacing w:before="100" w:beforeAutospacing="1" w:after="100" w:afterAutospacing="1"/>
      <w:jc w:val="center"/>
    </w:pPr>
    <w:rPr>
      <w:rFonts w:ascii="Arial Unicode MS" w:hAnsi="Arial Unicode MS" w:eastAsia="Arial Unicode MS" w:cs="Times New Roman"/>
      <w:kern w:val="0"/>
      <w:sz w:val="24"/>
      <w:szCs w:val="20"/>
    </w:rPr>
  </w:style>
  <w:style w:type="paragraph" w:customStyle="1" w:styleId="907">
    <w:name w:val="表名"/>
    <w:basedOn w:val="1"/>
    <w:next w:val="1"/>
    <w:qFormat/>
    <w:uiPriority w:val="0"/>
    <w:pPr>
      <w:tabs>
        <w:tab w:val="left" w:pos="8100"/>
      </w:tabs>
      <w:adjustRightInd w:val="0"/>
      <w:snapToGrid w:val="0"/>
      <w:spacing w:line="360" w:lineRule="auto"/>
      <w:ind w:right="32"/>
      <w:jc w:val="center"/>
    </w:pPr>
    <w:rPr>
      <w:rFonts w:ascii="Times New Roman" w:hAnsi="宋体" w:eastAsia="宋体" w:cs="Times New Roman"/>
      <w:b/>
      <w:snapToGrid w:val="0"/>
      <w:sz w:val="24"/>
      <w:szCs w:val="24"/>
    </w:rPr>
  </w:style>
  <w:style w:type="paragraph" w:customStyle="1" w:styleId="908">
    <w:name w:val="Char Char Char1 Char"/>
    <w:basedOn w:val="1"/>
    <w:qFormat/>
    <w:uiPriority w:val="99"/>
    <w:rPr>
      <w:rFonts w:ascii="Times New Roman" w:hAnsi="Times New Roman" w:eastAsia="宋体" w:cs="Times New Roman"/>
      <w:szCs w:val="24"/>
    </w:rPr>
  </w:style>
  <w:style w:type="paragraph" w:customStyle="1" w:styleId="909">
    <w:name w:val="列表 1"/>
    <w:basedOn w:val="1"/>
    <w:qFormat/>
    <w:uiPriority w:val="99"/>
    <w:pPr>
      <w:tabs>
        <w:tab w:val="left" w:pos="432"/>
      </w:tabs>
      <w:spacing w:before="120" w:after="60" w:line="288" w:lineRule="auto"/>
      <w:ind w:left="432" w:hanging="432"/>
    </w:pPr>
    <w:rPr>
      <w:rFonts w:ascii="Arial" w:hAnsi="Arial" w:eastAsia="宋体" w:cs="Times New Roman"/>
      <w:color w:val="FFCC99"/>
      <w:sz w:val="24"/>
      <w:szCs w:val="20"/>
    </w:rPr>
  </w:style>
  <w:style w:type="paragraph" w:customStyle="1" w:styleId="910">
    <w:name w:val="图题"/>
    <w:basedOn w:val="6"/>
    <w:qFormat/>
    <w:uiPriority w:val="99"/>
    <w:pPr>
      <w:keepNext w:val="0"/>
      <w:numPr>
        <w:ilvl w:val="0"/>
        <w:numId w:val="0"/>
      </w:numPr>
      <w:spacing w:before="0" w:beforeLines="50" w:afterLines="50" w:line="40" w:lineRule="atLeast"/>
      <w:jc w:val="center"/>
      <w:outlineLvl w:val="9"/>
    </w:pPr>
    <w:rPr>
      <w:rFonts w:ascii="宋体" w:hAnsi="宋体" w:eastAsia="宋体" w:cs="Times New Roman"/>
      <w:b/>
      <w:kern w:val="0"/>
      <w:szCs w:val="28"/>
    </w:rPr>
  </w:style>
  <w:style w:type="character" w:customStyle="1" w:styleId="911">
    <w:name w:val="正文文本 3 Char2"/>
    <w:basedOn w:val="83"/>
    <w:qFormat/>
    <w:uiPriority w:val="0"/>
    <w:rPr>
      <w:rFonts w:ascii="宋体" w:hAnsi="宋体" w:cs="宋体"/>
      <w:sz w:val="16"/>
      <w:szCs w:val="16"/>
    </w:rPr>
  </w:style>
  <w:style w:type="paragraph" w:customStyle="1" w:styleId="912">
    <w:name w:val="表格文字2"/>
    <w:basedOn w:val="1"/>
    <w:qFormat/>
    <w:uiPriority w:val="99"/>
    <w:pPr>
      <w:tabs>
        <w:tab w:val="left" w:pos="277"/>
        <w:tab w:val="left" w:pos="600"/>
        <w:tab w:val="left" w:pos="780"/>
        <w:tab w:val="left" w:pos="2517"/>
      </w:tabs>
      <w:adjustRightInd w:val="0"/>
      <w:spacing w:before="60"/>
      <w:jc w:val="center"/>
    </w:pPr>
    <w:rPr>
      <w:rFonts w:ascii="Times New Roman" w:hAnsi="Times New Roman" w:eastAsia="宋体" w:cs="Times New Roman"/>
      <w:kern w:val="0"/>
    </w:rPr>
  </w:style>
  <w:style w:type="paragraph" w:customStyle="1" w:styleId="913">
    <w:name w:val="封面三号"/>
    <w:basedOn w:val="1"/>
    <w:qFormat/>
    <w:uiPriority w:val="99"/>
    <w:pPr>
      <w:jc w:val="center"/>
    </w:pPr>
    <w:rPr>
      <w:rFonts w:ascii="宋体" w:hAnsi="宋体" w:eastAsia="宋体" w:cs="宋体"/>
      <w:spacing w:val="55"/>
      <w:kern w:val="0"/>
      <w:sz w:val="32"/>
      <w:szCs w:val="32"/>
    </w:rPr>
  </w:style>
  <w:style w:type="character" w:customStyle="1" w:styleId="914">
    <w:name w:val="正文文本缩进 3 Char3"/>
    <w:basedOn w:val="83"/>
    <w:qFormat/>
    <w:uiPriority w:val="0"/>
    <w:rPr>
      <w:rFonts w:ascii="宋体" w:hAnsi="宋体" w:cs="宋体"/>
      <w:sz w:val="16"/>
      <w:szCs w:val="16"/>
    </w:rPr>
  </w:style>
  <w:style w:type="paragraph" w:customStyle="1" w:styleId="915">
    <w:name w:val="样式 样式 表标题2.4 + 居中 段前: 1 行 + 两端对齐"/>
    <w:basedOn w:val="916"/>
    <w:qFormat/>
    <w:uiPriority w:val="99"/>
    <w:pPr>
      <w:tabs>
        <w:tab w:val="left" w:pos="726"/>
        <w:tab w:val="center" w:pos="4060"/>
        <w:tab w:val="right" w:pos="8261"/>
      </w:tabs>
      <w:ind w:left="2" w:firstLine="4"/>
      <w:jc w:val="both"/>
    </w:pPr>
  </w:style>
  <w:style w:type="paragraph" w:customStyle="1" w:styleId="916">
    <w:name w:val="样式 表标题2.4 + 居中 段前: 1 行"/>
    <w:basedOn w:val="917"/>
    <w:qFormat/>
    <w:uiPriority w:val="99"/>
    <w:pPr>
      <w:tabs>
        <w:tab w:val="center" w:pos="4060"/>
        <w:tab w:val="right" w:pos="8261"/>
      </w:tabs>
      <w:spacing w:beforeLines="0"/>
      <w:jc w:val="center"/>
    </w:pPr>
    <w:rPr>
      <w:rFonts w:cs="宋体"/>
      <w:bCs/>
      <w:szCs w:val="20"/>
    </w:rPr>
  </w:style>
  <w:style w:type="paragraph" w:customStyle="1" w:styleId="917">
    <w:name w:val="表标题2.4"/>
    <w:basedOn w:val="1"/>
    <w:qFormat/>
    <w:uiPriority w:val="99"/>
    <w:pPr>
      <w:tabs>
        <w:tab w:val="center" w:pos="4060"/>
        <w:tab w:val="right" w:pos="8261"/>
      </w:tabs>
      <w:suppressAutoHyphens/>
      <w:adjustRightInd w:val="0"/>
      <w:spacing w:beforeLines="100" w:line="0" w:lineRule="atLeast"/>
    </w:pPr>
    <w:rPr>
      <w:rFonts w:ascii="黑体" w:hAnsi="Times New Roman" w:eastAsia="黑体" w:cs="Times New Roman"/>
      <w:b/>
      <w:spacing w:val="6"/>
      <w:kern w:val="0"/>
      <w:sz w:val="24"/>
      <w:szCs w:val="24"/>
    </w:rPr>
  </w:style>
  <w:style w:type="paragraph" w:customStyle="1" w:styleId="918">
    <w:name w:val="表标题5.12"/>
    <w:basedOn w:val="1"/>
    <w:qFormat/>
    <w:uiPriority w:val="99"/>
    <w:pPr>
      <w:tabs>
        <w:tab w:val="center" w:pos="4060"/>
        <w:tab w:val="right" w:pos="8261"/>
      </w:tabs>
      <w:suppressAutoHyphens/>
      <w:adjustRightInd w:val="0"/>
      <w:spacing w:beforeLines="100" w:line="0" w:lineRule="atLeast"/>
    </w:pPr>
    <w:rPr>
      <w:rFonts w:ascii="黑体" w:hAnsi="Times New Roman" w:eastAsia="黑体" w:cs="Times New Roman"/>
      <w:b/>
      <w:spacing w:val="6"/>
      <w:kern w:val="0"/>
      <w:sz w:val="24"/>
      <w:szCs w:val="26"/>
    </w:rPr>
  </w:style>
  <w:style w:type="paragraph" w:customStyle="1" w:styleId="919">
    <w:name w:val="列表 B"/>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character" w:customStyle="1" w:styleId="920">
    <w:name w:val="HTML 地址 Char2"/>
    <w:basedOn w:val="83"/>
    <w:qFormat/>
    <w:uiPriority w:val="0"/>
    <w:rPr>
      <w:rFonts w:ascii="宋体" w:hAnsi="宋体" w:cs="宋体"/>
      <w:i/>
      <w:iCs/>
      <w:sz w:val="24"/>
      <w:szCs w:val="24"/>
    </w:rPr>
  </w:style>
  <w:style w:type="paragraph" w:customStyle="1" w:styleId="921">
    <w:name w:val="列表 2L"/>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22">
    <w:name w:val="列表 2Z"/>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character" w:customStyle="1" w:styleId="923">
    <w:name w:val="结束语 Char2"/>
    <w:basedOn w:val="83"/>
    <w:qFormat/>
    <w:uiPriority w:val="0"/>
    <w:rPr>
      <w:rFonts w:ascii="宋体" w:hAnsi="宋体" w:cs="宋体"/>
      <w:sz w:val="24"/>
      <w:szCs w:val="24"/>
    </w:rPr>
  </w:style>
  <w:style w:type="paragraph" w:customStyle="1" w:styleId="924">
    <w:name w:val="sub_body"/>
    <w:qFormat/>
    <w:uiPriority w:val="0"/>
    <w:pPr>
      <w:widowControl w:val="0"/>
      <w:autoSpaceDE w:val="0"/>
      <w:autoSpaceDN w:val="0"/>
      <w:adjustRightInd w:val="0"/>
      <w:spacing w:before="43" w:after="43" w:line="288" w:lineRule="atLeast"/>
      <w:ind w:left="288"/>
      <w:textAlignment w:val="baseline"/>
    </w:pPr>
    <w:rPr>
      <w:rFonts w:ascii="Arial" w:hAnsi="Arial" w:eastAsia="宋体" w:cs="Times New Roman"/>
      <w:color w:val="000000"/>
      <w:lang w:val="en-US" w:eastAsia="zh-CN" w:bidi="ar-SA"/>
    </w:rPr>
  </w:style>
  <w:style w:type="paragraph" w:customStyle="1" w:styleId="925">
    <w:name w:val="Char Char Char1 Char1 Char Char Char"/>
    <w:basedOn w:val="1"/>
    <w:qFormat/>
    <w:uiPriority w:val="0"/>
    <w:rPr>
      <w:rFonts w:ascii="Times New Roman" w:hAnsi="Times New Roman" w:eastAsia="宋体" w:cs="Times New Roman"/>
      <w:szCs w:val="24"/>
    </w:rPr>
  </w:style>
  <w:style w:type="paragraph" w:customStyle="1" w:styleId="926">
    <w:name w:val="报告名"/>
    <w:basedOn w:val="1"/>
    <w:qFormat/>
    <w:uiPriority w:val="99"/>
    <w:pPr>
      <w:tabs>
        <w:tab w:val="left" w:pos="1727"/>
        <w:tab w:val="left" w:pos="1884"/>
      </w:tabs>
      <w:adjustRightInd w:val="0"/>
      <w:spacing w:line="312" w:lineRule="auto"/>
      <w:outlineLvl w:val="0"/>
    </w:pPr>
    <w:rPr>
      <w:rFonts w:ascii="Times New Roman" w:hAnsi="Times New Roman" w:eastAsia="宋体" w:cs="Times New Roman"/>
      <w:b/>
      <w:sz w:val="24"/>
      <w:szCs w:val="24"/>
    </w:rPr>
  </w:style>
  <w:style w:type="paragraph" w:customStyle="1" w:styleId="927">
    <w:name w:val="正文样式3"/>
    <w:basedOn w:val="1"/>
    <w:qFormat/>
    <w:uiPriority w:val="99"/>
    <w:pPr>
      <w:adjustRightInd w:val="0"/>
      <w:spacing w:line="20" w:lineRule="atLeast"/>
      <w:jc w:val="center"/>
      <w:textAlignment w:val="baseline"/>
    </w:pPr>
    <w:rPr>
      <w:rFonts w:ascii="Times New Roman" w:hAnsi="Times New Roman" w:eastAsia="宋体" w:cs="Times New Roman"/>
      <w:kern w:val="0"/>
      <w:sz w:val="24"/>
      <w:szCs w:val="20"/>
    </w:rPr>
  </w:style>
  <w:style w:type="paragraph" w:customStyle="1" w:styleId="928">
    <w:name w:val="样式 样式 宋体 小四 左 行距: 固定值 24 磅 + 黑色 居中 首行缩进:  2 字符 段前: 5 磅 段后: 5..."/>
    <w:basedOn w:val="929"/>
    <w:qFormat/>
    <w:uiPriority w:val="99"/>
    <w:pPr>
      <w:spacing w:before="100" w:after="100"/>
      <w:ind w:firstLine="0" w:firstLineChars="0"/>
      <w:jc w:val="center"/>
    </w:pPr>
    <w:rPr>
      <w:color w:val="000000"/>
    </w:rPr>
  </w:style>
  <w:style w:type="paragraph" w:customStyle="1" w:styleId="929">
    <w:name w:val="样式 宋体 小四 左 行距: 固定值 24 磅"/>
    <w:basedOn w:val="1"/>
    <w:qFormat/>
    <w:uiPriority w:val="99"/>
    <w:pPr>
      <w:spacing w:line="480" w:lineRule="exact"/>
      <w:ind w:firstLine="200" w:firstLineChars="200"/>
      <w:jc w:val="left"/>
    </w:pPr>
    <w:rPr>
      <w:rFonts w:ascii="宋体" w:hAnsi="Times New Roman" w:eastAsia="宋体" w:cs="宋体"/>
      <w:kern w:val="0"/>
      <w:sz w:val="24"/>
      <w:szCs w:val="20"/>
    </w:rPr>
  </w:style>
  <w:style w:type="paragraph" w:customStyle="1" w:styleId="930">
    <w:name w:val="内容"/>
    <w:basedOn w:val="1"/>
    <w:link w:val="931"/>
    <w:qFormat/>
    <w:uiPriority w:val="0"/>
    <w:pPr>
      <w:spacing w:beforeLines="50" w:afterLines="50"/>
      <w:ind w:firstLine="200" w:firstLineChars="200"/>
    </w:pPr>
    <w:rPr>
      <w:rFonts w:ascii="Times New Roman" w:hAnsi="Times New Roman" w:eastAsia="宋体" w:cs="Times New Roman"/>
      <w:color w:val="000000"/>
      <w:sz w:val="24"/>
      <w:szCs w:val="24"/>
    </w:rPr>
  </w:style>
  <w:style w:type="character" w:customStyle="1" w:styleId="931">
    <w:name w:val="内容 Char Char"/>
    <w:link w:val="930"/>
    <w:qFormat/>
    <w:uiPriority w:val="0"/>
    <w:rPr>
      <w:rFonts w:ascii="Times New Roman" w:hAnsi="Times New Roman" w:eastAsia="宋体" w:cs="Times New Roman"/>
      <w:color w:val="000000"/>
      <w:kern w:val="2"/>
      <w:sz w:val="24"/>
      <w:szCs w:val="24"/>
    </w:rPr>
  </w:style>
  <w:style w:type="paragraph" w:customStyle="1" w:styleId="932">
    <w:name w:val="小五表文"/>
    <w:qFormat/>
    <w:uiPriority w:val="99"/>
    <w:pPr>
      <w:spacing w:beforeLines="50"/>
      <w:ind w:firstLine="3304" w:firstLineChars="1180"/>
    </w:pPr>
    <w:rPr>
      <w:rFonts w:ascii="Times New Roman" w:hAnsi="Times New Roman" w:eastAsia="黑体" w:cs="Times New Roman"/>
      <w:bCs/>
      <w:spacing w:val="20"/>
      <w:sz w:val="24"/>
      <w:lang w:val="en-US" w:eastAsia="zh-CN" w:bidi="ar-SA"/>
    </w:rPr>
  </w:style>
  <w:style w:type="paragraph" w:customStyle="1" w:styleId="933">
    <w:name w:val="文章总标题"/>
    <w:basedOn w:val="1"/>
    <w:next w:val="1"/>
    <w:qFormat/>
    <w:uiPriority w:val="99"/>
    <w:pPr>
      <w:widowControl/>
      <w:spacing w:before="566" w:after="544" w:line="566" w:lineRule="atLeast"/>
      <w:jc w:val="center"/>
      <w:textAlignment w:val="baseline"/>
    </w:pPr>
    <w:rPr>
      <w:rFonts w:ascii="Arial" w:hAnsi="Times New Roman" w:eastAsia="黑体" w:cs="Arial"/>
      <w:bCs/>
      <w:color w:val="000000"/>
      <w:kern w:val="0"/>
      <w:sz w:val="54"/>
      <w:szCs w:val="54"/>
      <w:u w:color="000000"/>
    </w:rPr>
  </w:style>
  <w:style w:type="paragraph" w:customStyle="1" w:styleId="934">
    <w:name w:val="插图标题"/>
    <w:basedOn w:val="1"/>
    <w:qFormat/>
    <w:uiPriority w:val="99"/>
    <w:pPr>
      <w:tabs>
        <w:tab w:val="center" w:pos="6804"/>
        <w:tab w:val="right" w:pos="7371"/>
      </w:tabs>
      <w:overflowPunct w:val="0"/>
      <w:adjustRightInd w:val="0"/>
      <w:ind w:firstLine="567"/>
      <w:jc w:val="center"/>
      <w:textAlignment w:val="baseline"/>
    </w:pPr>
    <w:rPr>
      <w:rFonts w:ascii="黑体" w:hAnsi="Times New Roman" w:eastAsia="黑体" w:cs="Times New Roman"/>
      <w:kern w:val="0"/>
      <w:sz w:val="28"/>
      <w:szCs w:val="20"/>
    </w:rPr>
  </w:style>
  <w:style w:type="paragraph" w:customStyle="1" w:styleId="935">
    <w:name w:val="CM62"/>
    <w:basedOn w:val="202"/>
    <w:next w:val="202"/>
    <w:qFormat/>
    <w:uiPriority w:val="99"/>
    <w:pPr>
      <w:autoSpaceDE/>
      <w:autoSpaceDN/>
      <w:adjustRightInd/>
      <w:spacing w:beforeLines="0" w:after="160" w:afterLines="0" w:line="240" w:lineRule="auto"/>
      <w:ind w:left="210"/>
    </w:pPr>
    <w:rPr>
      <w:rFonts w:ascii="Calibri" w:hAnsi="Calibri" w:eastAsia="宋体"/>
      <w:b w:val="0"/>
      <w:smallCaps/>
      <w:snapToGrid/>
      <w:color w:val="auto"/>
      <w:sz w:val="20"/>
      <w:szCs w:val="20"/>
    </w:rPr>
  </w:style>
  <w:style w:type="paragraph" w:customStyle="1" w:styleId="936">
    <w:name w:val="xl78"/>
    <w:basedOn w:val="1"/>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 w:val="18"/>
      <w:szCs w:val="18"/>
    </w:rPr>
  </w:style>
  <w:style w:type="paragraph" w:customStyle="1" w:styleId="937">
    <w:name w:val="小表右密"/>
    <w:basedOn w:val="1"/>
    <w:qFormat/>
    <w:uiPriority w:val="99"/>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ascii="宋体" w:hAnsi="宋体" w:eastAsia="宋体" w:cs="Times New Roman"/>
      <w:sz w:val="18"/>
      <w:szCs w:val="18"/>
    </w:rPr>
  </w:style>
  <w:style w:type="character" w:customStyle="1" w:styleId="938">
    <w:name w:val="正文文本 2 Char3"/>
    <w:basedOn w:val="83"/>
    <w:qFormat/>
    <w:uiPriority w:val="0"/>
    <w:rPr>
      <w:rFonts w:ascii="宋体" w:hAnsi="宋体" w:cs="宋体"/>
      <w:sz w:val="24"/>
      <w:szCs w:val="24"/>
    </w:rPr>
  </w:style>
  <w:style w:type="paragraph" w:customStyle="1" w:styleId="939">
    <w:name w:val="Char Char Char Char Char Char Char Char Char Char Char1 Char Char Char Char"/>
    <w:basedOn w:val="1"/>
    <w:qFormat/>
    <w:uiPriority w:val="0"/>
    <w:rPr>
      <w:rFonts w:ascii="Times New Roman" w:hAnsi="Times New Roman" w:eastAsia="宋体" w:cs="Times New Roman"/>
      <w:szCs w:val="24"/>
    </w:rPr>
  </w:style>
  <w:style w:type="paragraph" w:customStyle="1" w:styleId="940">
    <w:name w:val="样式  + 首行缩进:  0.75 厘米"/>
    <w:basedOn w:val="1"/>
    <w:qFormat/>
    <w:uiPriority w:val="0"/>
    <w:pPr>
      <w:ind w:firstLine="425"/>
      <w:jc w:val="left"/>
    </w:pPr>
    <w:rPr>
      <w:rFonts w:ascii="Times New Roman" w:hAnsi="Times New Roman" w:eastAsia="宋体" w:cs="Times New Roman"/>
      <w:bCs/>
      <w:sz w:val="24"/>
      <w:szCs w:val="24"/>
    </w:rPr>
  </w:style>
  <w:style w:type="character" w:customStyle="1" w:styleId="941">
    <w:name w:val="注释标题 Char3"/>
    <w:basedOn w:val="83"/>
    <w:qFormat/>
    <w:uiPriority w:val="0"/>
    <w:rPr>
      <w:rFonts w:ascii="宋体" w:hAnsi="宋体" w:cs="宋体"/>
      <w:sz w:val="24"/>
      <w:szCs w:val="24"/>
    </w:rPr>
  </w:style>
  <w:style w:type="paragraph" w:customStyle="1" w:styleId="942">
    <w:name w:val="样式 湛江钢铁表 +"/>
    <w:basedOn w:val="1"/>
    <w:next w:val="1"/>
    <w:qFormat/>
    <w:uiPriority w:val="99"/>
    <w:pPr>
      <w:adjustRightInd w:val="0"/>
      <w:snapToGrid w:val="0"/>
      <w:spacing w:beforeLines="20" w:afterLines="20"/>
      <w:jc w:val="center"/>
      <w:textAlignment w:val="baseline"/>
    </w:pPr>
    <w:rPr>
      <w:rFonts w:ascii="Times New Roman" w:hAnsi="Times New Roman" w:eastAsia="仿宋_GB2312" w:cs="Times New Roman"/>
      <w:snapToGrid w:val="0"/>
      <w:kern w:val="0"/>
    </w:rPr>
  </w:style>
  <w:style w:type="paragraph" w:customStyle="1" w:styleId="943">
    <w:name w:val="调研内容"/>
    <w:basedOn w:val="1"/>
    <w:qFormat/>
    <w:uiPriority w:val="99"/>
    <w:pPr>
      <w:spacing w:line="360" w:lineRule="auto"/>
    </w:pPr>
    <w:rPr>
      <w:rFonts w:ascii="Times New Roman" w:hAnsi="Times New Roman" w:eastAsia="宋体" w:cs="Times New Roman"/>
      <w:szCs w:val="20"/>
    </w:rPr>
  </w:style>
  <w:style w:type="paragraph" w:customStyle="1" w:styleId="944">
    <w:name w:val="CM22"/>
    <w:basedOn w:val="202"/>
    <w:next w:val="202"/>
    <w:qFormat/>
    <w:uiPriority w:val="99"/>
    <w:pPr>
      <w:autoSpaceDE/>
      <w:autoSpaceDN/>
      <w:adjustRightInd/>
      <w:spacing w:beforeLines="0" w:afterLines="0" w:line="240" w:lineRule="auto"/>
      <w:ind w:left="210"/>
    </w:pPr>
    <w:rPr>
      <w:rFonts w:ascii="Calibri" w:hAnsi="Calibri" w:eastAsia="宋体"/>
      <w:b w:val="0"/>
      <w:smallCaps/>
      <w:snapToGrid/>
      <w:color w:val="auto"/>
      <w:sz w:val="20"/>
      <w:szCs w:val="20"/>
    </w:rPr>
  </w:style>
  <w:style w:type="character" w:customStyle="1" w:styleId="945">
    <w:name w:val="签名 Char2"/>
    <w:basedOn w:val="83"/>
    <w:qFormat/>
    <w:uiPriority w:val="0"/>
    <w:rPr>
      <w:rFonts w:ascii="宋体" w:hAnsi="宋体" w:cs="宋体"/>
      <w:sz w:val="24"/>
      <w:szCs w:val="24"/>
    </w:rPr>
  </w:style>
  <w:style w:type="paragraph" w:customStyle="1" w:styleId="946">
    <w:name w:val="正文3"/>
    <w:qFormat/>
    <w:uiPriority w:val="99"/>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947">
    <w:name w:val="列表 2J"/>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48">
    <w:name w:val="图文框"/>
    <w:basedOn w:val="1"/>
    <w:qFormat/>
    <w:uiPriority w:val="99"/>
    <w:pPr>
      <w:tabs>
        <w:tab w:val="left" w:pos="0"/>
      </w:tabs>
      <w:autoSpaceDE w:val="0"/>
      <w:autoSpaceDN w:val="0"/>
      <w:adjustRightInd w:val="0"/>
      <w:snapToGrid w:val="0"/>
      <w:ind w:right="-107" w:rightChars="-51"/>
      <w:jc w:val="center"/>
      <w:textAlignment w:val="baseline"/>
    </w:pPr>
    <w:rPr>
      <w:rFonts w:ascii="宋体" w:hAnsi="宋体" w:eastAsia="宋体" w:cs="Times New Roman"/>
      <w:color w:val="000000"/>
    </w:rPr>
  </w:style>
  <w:style w:type="character" w:customStyle="1" w:styleId="949">
    <w:name w:val="日期 Char2"/>
    <w:basedOn w:val="83"/>
    <w:qFormat/>
    <w:uiPriority w:val="0"/>
    <w:rPr>
      <w:rFonts w:ascii="宋体" w:hAnsi="宋体" w:cs="宋体"/>
      <w:sz w:val="24"/>
      <w:szCs w:val="24"/>
    </w:rPr>
  </w:style>
  <w:style w:type="paragraph" w:customStyle="1" w:styleId="950">
    <w:name w:val="列表 4Q"/>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951">
    <w:name w:val="表题 Char Char"/>
    <w:basedOn w:val="1"/>
    <w:qFormat/>
    <w:uiPriority w:val="99"/>
    <w:pPr>
      <w:spacing w:line="360" w:lineRule="auto"/>
      <w:ind w:firstLine="480" w:firstLineChars="200"/>
    </w:pPr>
    <w:rPr>
      <w:rFonts w:ascii="宋体" w:hAnsi="宋体" w:eastAsia="宋体" w:cs="Times New Roman"/>
      <w:bCs/>
      <w:sz w:val="24"/>
      <w:szCs w:val="24"/>
    </w:rPr>
  </w:style>
  <w:style w:type="paragraph" w:customStyle="1" w:styleId="952">
    <w:name w:val="列表 4W"/>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953">
    <w:name w:val="正文文字进缩1"/>
    <w:basedOn w:val="1"/>
    <w:qFormat/>
    <w:uiPriority w:val="0"/>
    <w:pPr>
      <w:spacing w:line="360" w:lineRule="auto"/>
      <w:ind w:left="555"/>
    </w:pPr>
    <w:rPr>
      <w:rFonts w:ascii="黑体" w:hAnsi="Times New Roman" w:eastAsia="黑体" w:cs="Times New Roman"/>
      <w:b/>
      <w:bCs/>
      <w:iCs/>
      <w:sz w:val="28"/>
      <w:szCs w:val="24"/>
    </w:rPr>
  </w:style>
  <w:style w:type="paragraph" w:customStyle="1" w:styleId="954">
    <w:name w:val="xl97"/>
    <w:basedOn w:val="1"/>
    <w:qFormat/>
    <w:uiPriority w:val="99"/>
    <w:pPr>
      <w:widowControl/>
      <w:pBdr>
        <w:left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 w:val="16"/>
      <w:szCs w:val="16"/>
    </w:rPr>
  </w:style>
  <w:style w:type="paragraph" w:customStyle="1" w:styleId="955">
    <w:name w:val="Char Char Char1 Char3"/>
    <w:basedOn w:val="1"/>
    <w:qFormat/>
    <w:uiPriority w:val="0"/>
    <w:rPr>
      <w:rFonts w:ascii="Times New Roman" w:hAnsi="Times New Roman" w:eastAsia="宋体" w:cs="Times New Roman"/>
      <w:szCs w:val="20"/>
    </w:rPr>
  </w:style>
  <w:style w:type="paragraph" w:customStyle="1" w:styleId="956">
    <w:name w:val="表8.1-1"/>
    <w:basedOn w:val="1"/>
    <w:qFormat/>
    <w:uiPriority w:val="99"/>
    <w:pPr>
      <w:tabs>
        <w:tab w:val="left" w:pos="726"/>
      </w:tabs>
      <w:adjustRightInd w:val="0"/>
      <w:snapToGrid w:val="0"/>
      <w:spacing w:beforeLines="100" w:line="0" w:lineRule="atLeast"/>
      <w:ind w:left="2" w:firstLine="4"/>
      <w:jc w:val="center"/>
    </w:pPr>
    <w:rPr>
      <w:rFonts w:ascii="黑体" w:hAnsi="Times New Roman" w:eastAsia="黑体" w:cs="Times New Roman"/>
      <w:b/>
      <w:sz w:val="24"/>
      <w:szCs w:val="24"/>
    </w:rPr>
  </w:style>
  <w:style w:type="paragraph" w:customStyle="1" w:styleId="957">
    <w:name w:val="正文 + 首行缩进:  2 字符"/>
    <w:basedOn w:val="1"/>
    <w:qFormat/>
    <w:uiPriority w:val="99"/>
    <w:pPr>
      <w:spacing w:line="460" w:lineRule="atLeast"/>
      <w:ind w:firstLine="528" w:firstLineChars="200"/>
    </w:pPr>
    <w:rPr>
      <w:rFonts w:ascii="Times New Roman" w:hAnsi="Times New Roman" w:eastAsia="宋体" w:cs="Times New Roman"/>
      <w:spacing w:val="12"/>
      <w:sz w:val="24"/>
      <w:szCs w:val="20"/>
    </w:rPr>
  </w:style>
  <w:style w:type="paragraph" w:customStyle="1" w:styleId="958">
    <w:name w:val="表格02"/>
    <w:basedOn w:val="1"/>
    <w:qFormat/>
    <w:uiPriority w:val="99"/>
    <w:pPr>
      <w:spacing w:line="400" w:lineRule="exact"/>
      <w:jc w:val="center"/>
    </w:pPr>
    <w:rPr>
      <w:rFonts w:ascii="Times New Roman" w:hAnsi="Times New Roman" w:eastAsia="宋体" w:cs="Times New Roman"/>
      <w:snapToGrid w:val="0"/>
      <w:sz w:val="24"/>
      <w:szCs w:val="24"/>
      <w:lang w:val="en-GB"/>
    </w:rPr>
  </w:style>
  <w:style w:type="paragraph" w:customStyle="1" w:styleId="959">
    <w:name w:val="样式 左  0 字符 首行缩进:  2 字符"/>
    <w:basedOn w:val="1"/>
    <w:qFormat/>
    <w:uiPriority w:val="0"/>
    <w:pPr>
      <w:ind w:firstLine="200" w:firstLineChars="200"/>
    </w:pPr>
    <w:rPr>
      <w:rFonts w:ascii="Times New Roman" w:hAnsi="Times New Roman" w:eastAsia="宋体" w:cs="Times New Roman"/>
      <w:sz w:val="28"/>
      <w:szCs w:val="28"/>
    </w:rPr>
  </w:style>
  <w:style w:type="paragraph" w:customStyle="1" w:styleId="960">
    <w:name w:val="Char Char Char Char Char Char Char Char Char Char1"/>
    <w:basedOn w:val="1"/>
    <w:qFormat/>
    <w:uiPriority w:val="99"/>
    <w:rPr>
      <w:rFonts w:ascii="宋体" w:hAnsi="宋体" w:eastAsia="宋体" w:cs="宋体"/>
      <w:color w:val="000000"/>
    </w:rPr>
  </w:style>
  <w:style w:type="paragraph" w:customStyle="1" w:styleId="961">
    <w:name w:val="样式7"/>
    <w:basedOn w:val="6"/>
    <w:qFormat/>
    <w:uiPriority w:val="99"/>
    <w:pPr>
      <w:keepNext w:val="0"/>
      <w:widowControl/>
      <w:numPr>
        <w:ilvl w:val="0"/>
        <w:numId w:val="0"/>
      </w:numPr>
      <w:spacing w:before="0" w:beforeLines="30" w:afterLines="50"/>
      <w:textAlignment w:val="baseline"/>
    </w:pPr>
    <w:rPr>
      <w:rFonts w:ascii="宋体" w:hAnsi="Courier New" w:eastAsia="宋体" w:cs="Times New Roman"/>
      <w:b/>
      <w:bCs/>
      <w:kern w:val="0"/>
      <w:szCs w:val="20"/>
    </w:rPr>
  </w:style>
  <w:style w:type="paragraph" w:customStyle="1" w:styleId="962">
    <w:name w:val="表标题8.1"/>
    <w:basedOn w:val="644"/>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rPr>
  </w:style>
  <w:style w:type="character" w:customStyle="1" w:styleId="963">
    <w:name w:val="脚注文本 Char2"/>
    <w:basedOn w:val="83"/>
    <w:qFormat/>
    <w:uiPriority w:val="0"/>
    <w:rPr>
      <w:rFonts w:ascii="宋体" w:hAnsi="宋体" w:cs="宋体"/>
      <w:sz w:val="18"/>
      <w:szCs w:val="18"/>
    </w:rPr>
  </w:style>
  <w:style w:type="paragraph" w:customStyle="1" w:styleId="964">
    <w:name w:val="填表内容"/>
    <w:basedOn w:val="1"/>
    <w:qFormat/>
    <w:uiPriority w:val="99"/>
    <w:pPr>
      <w:adjustRightInd w:val="0"/>
      <w:spacing w:line="480" w:lineRule="exact"/>
      <w:ind w:firstLine="560" w:firstLineChars="200"/>
      <w:jc w:val="left"/>
      <w:textAlignment w:val="baseline"/>
    </w:pPr>
    <w:rPr>
      <w:rFonts w:ascii="楷体_GB2312" w:hAnsi="Times New Roman" w:eastAsia="楷体_GB2312" w:cs="Times New Roman"/>
      <w:sz w:val="28"/>
      <w:szCs w:val="20"/>
    </w:rPr>
  </w:style>
  <w:style w:type="paragraph" w:customStyle="1" w:styleId="965">
    <w:name w:val="样式 样式 正文首行缩进正文首行缩进 Char + 首行缩进:  2 字符 + 首行缩进:  2 字符"/>
    <w:basedOn w:val="1"/>
    <w:qFormat/>
    <w:uiPriority w:val="99"/>
    <w:pPr>
      <w:adjustRightInd w:val="0"/>
      <w:snapToGrid w:val="0"/>
      <w:spacing w:line="360" w:lineRule="auto"/>
      <w:ind w:firstLine="480" w:firstLineChars="200"/>
      <w:textAlignment w:val="baseline"/>
    </w:pPr>
    <w:rPr>
      <w:rFonts w:ascii="宋体" w:hAnsi="Times New Roman" w:eastAsia="宋体" w:cs="宋体"/>
      <w:sz w:val="24"/>
      <w:szCs w:val="20"/>
      <w:lang w:val="zh-CN"/>
    </w:rPr>
  </w:style>
  <w:style w:type="paragraph" w:customStyle="1" w:styleId="966">
    <w:name w:val="章标题(不加入目录内)"/>
    <w:basedOn w:val="77"/>
    <w:qFormat/>
    <w:uiPriority w:val="99"/>
    <w:pPr>
      <w:keepLines/>
      <w:pageBreakBefore/>
      <w:spacing w:after="120"/>
      <w:outlineLvl w:val="9"/>
    </w:pPr>
    <w:rPr>
      <w:rFonts w:ascii="Times New Roman" w:hAnsi="Times New Roman" w:eastAsia="黑体" w:cs="Times New Roman"/>
      <w:bCs w:val="0"/>
      <w:kern w:val="0"/>
      <w:sz w:val="36"/>
      <w:szCs w:val="22"/>
    </w:rPr>
  </w:style>
  <w:style w:type="paragraph" w:customStyle="1" w:styleId="967">
    <w:name w:val="xl60"/>
    <w:basedOn w:val="1"/>
    <w:qFormat/>
    <w:uiPriority w:val="99"/>
    <w:pPr>
      <w:widowControl/>
      <w:pBdr>
        <w:top w:val="single" w:color="auto" w:sz="4" w:space="0"/>
        <w:bottom w:val="single" w:color="auto" w:sz="8" w:space="0"/>
      </w:pBdr>
      <w:spacing w:before="100" w:beforeAutospacing="1" w:after="100" w:afterAutospacing="1"/>
      <w:jc w:val="center"/>
    </w:pPr>
    <w:rPr>
      <w:rFonts w:ascii="宋体" w:hAnsi="宋体" w:eastAsia="仿宋_GB2312" w:cs="Times New Roman"/>
      <w:b/>
      <w:bCs/>
      <w:kern w:val="0"/>
      <w:position w:val="-6"/>
      <w:sz w:val="24"/>
      <w:szCs w:val="24"/>
    </w:rPr>
  </w:style>
  <w:style w:type="paragraph" w:customStyle="1" w:styleId="968">
    <w:name w:val="xl61"/>
    <w:basedOn w:val="1"/>
    <w:qFormat/>
    <w:uiPriority w:val="99"/>
    <w:pPr>
      <w:widowControl/>
      <w:pBdr>
        <w:bottom w:val="single" w:color="auto" w:sz="8" w:space="0"/>
        <w:right w:val="single" w:color="auto" w:sz="4" w:space="0"/>
      </w:pBdr>
      <w:spacing w:before="100" w:beforeAutospacing="1" w:after="100" w:afterAutospacing="1"/>
      <w:jc w:val="center"/>
    </w:pPr>
    <w:rPr>
      <w:rFonts w:ascii="宋体" w:hAnsi="宋体" w:eastAsia="仿宋_GB2312" w:cs="Times New Roman"/>
      <w:kern w:val="0"/>
      <w:position w:val="-6"/>
      <w:sz w:val="24"/>
    </w:rPr>
  </w:style>
  <w:style w:type="character" w:customStyle="1" w:styleId="969">
    <w:name w:val="标题 Char5"/>
    <w:basedOn w:val="83"/>
    <w:qFormat/>
    <w:uiPriority w:val="0"/>
    <w:rPr>
      <w:rFonts w:asciiTheme="majorHAnsi" w:hAnsiTheme="majorHAnsi" w:cstheme="majorBidi"/>
      <w:b/>
      <w:bCs/>
      <w:sz w:val="32"/>
      <w:szCs w:val="32"/>
    </w:rPr>
  </w:style>
  <w:style w:type="paragraph" w:customStyle="1" w:styleId="970">
    <w:name w:val="CM4"/>
    <w:basedOn w:val="202"/>
    <w:next w:val="202"/>
    <w:qFormat/>
    <w:uiPriority w:val="99"/>
    <w:pPr>
      <w:autoSpaceDE/>
      <w:autoSpaceDN/>
      <w:adjustRightInd/>
      <w:spacing w:beforeLines="0" w:afterLines="0" w:line="468" w:lineRule="atLeast"/>
      <w:ind w:left="210"/>
    </w:pPr>
    <w:rPr>
      <w:rFonts w:ascii="Calibri" w:hAnsi="Calibri" w:eastAsia="宋体"/>
      <w:b w:val="0"/>
      <w:smallCaps/>
      <w:snapToGrid/>
      <w:color w:val="auto"/>
      <w:sz w:val="20"/>
      <w:szCs w:val="20"/>
    </w:rPr>
  </w:style>
  <w:style w:type="paragraph" w:customStyle="1" w:styleId="971">
    <w:name w:val="Char1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character" w:customStyle="1" w:styleId="972">
    <w:name w:val="正文文本缩进 2 Char3"/>
    <w:basedOn w:val="83"/>
    <w:qFormat/>
    <w:uiPriority w:val="0"/>
    <w:rPr>
      <w:rFonts w:ascii="宋体" w:hAnsi="宋体" w:cs="宋体"/>
      <w:sz w:val="24"/>
      <w:szCs w:val="24"/>
    </w:rPr>
  </w:style>
  <w:style w:type="paragraph" w:customStyle="1" w:styleId="973">
    <w:name w:val="样式 样式 标题 1标题 1 Char标1章 + 段前: 0.5 行 段后: 0.5 行 + 段前: 0.5 行 段后: 0...."/>
    <w:basedOn w:val="1"/>
    <w:qFormat/>
    <w:uiPriority w:val="99"/>
    <w:pPr>
      <w:keepNext/>
      <w:widowControl/>
      <w:tabs>
        <w:tab w:val="left" w:pos="0"/>
      </w:tabs>
      <w:spacing w:beforeLines="50" w:afterLines="50"/>
      <w:outlineLvl w:val="0"/>
    </w:pPr>
    <w:rPr>
      <w:rFonts w:ascii="黑体" w:hAnsi="Arial" w:eastAsia="黑体" w:cs="宋体"/>
      <w:color w:val="000000"/>
      <w:kern w:val="24"/>
      <w:sz w:val="28"/>
      <w:szCs w:val="20"/>
      <w:lang w:val="zh-CN"/>
    </w:rPr>
  </w:style>
  <w:style w:type="paragraph" w:customStyle="1" w:styleId="974">
    <w:name w:val="正文缩进12"/>
    <w:basedOn w:val="1"/>
    <w:qFormat/>
    <w:uiPriority w:val="99"/>
    <w:pPr>
      <w:ind w:firstLine="420"/>
    </w:pPr>
    <w:rPr>
      <w:rFonts w:ascii="Times New Roman" w:hAnsi="Times New Roman" w:eastAsia="宋体" w:cs="Times New Roman"/>
      <w:sz w:val="24"/>
      <w:szCs w:val="20"/>
    </w:rPr>
  </w:style>
  <w:style w:type="paragraph" w:customStyle="1" w:styleId="975">
    <w:name w:val="xl22"/>
    <w:basedOn w:val="1"/>
    <w:qFormat/>
    <w:uiPriority w:val="99"/>
    <w:pPr>
      <w:widowControl/>
      <w:spacing w:before="100" w:beforeAutospacing="1" w:after="100" w:afterAutospacing="1"/>
      <w:jc w:val="center"/>
    </w:pPr>
    <w:rPr>
      <w:rFonts w:ascii="Arial Unicode MS" w:hAnsi="Arial Unicode MS" w:eastAsia="Arial Unicode MS" w:cs="Times New Roman"/>
      <w:kern w:val="0"/>
    </w:rPr>
  </w:style>
  <w:style w:type="paragraph" w:customStyle="1" w:styleId="976">
    <w:name w:val="连续正文文字"/>
    <w:basedOn w:val="32"/>
    <w:qFormat/>
    <w:uiPriority w:val="99"/>
    <w:pPr>
      <w:keepNext/>
      <w:widowControl/>
      <w:spacing w:after="220" w:line="280" w:lineRule="exact"/>
      <w:jc w:val="center"/>
    </w:pPr>
    <w:rPr>
      <w:rFonts w:ascii="Times New Roman" w:hAnsi="Times New Roman" w:eastAsia="宋体" w:cs="Times New Roman"/>
      <w:kern w:val="0"/>
      <w:sz w:val="30"/>
      <w:szCs w:val="20"/>
    </w:rPr>
  </w:style>
  <w:style w:type="paragraph" w:customStyle="1" w:styleId="977">
    <w:name w:val="表格2"/>
    <w:basedOn w:val="25"/>
    <w:qFormat/>
    <w:uiPriority w:val="99"/>
    <w:pPr>
      <w:shd w:val="clear" w:color="auto" w:fill="auto"/>
      <w:spacing w:beforeLines="5"/>
      <w:jc w:val="center"/>
    </w:pPr>
    <w:rPr>
      <w:rFonts w:ascii="宋体"/>
      <w:szCs w:val="20"/>
    </w:rPr>
  </w:style>
  <w:style w:type="paragraph" w:customStyle="1" w:styleId="978">
    <w:name w:val="Char Char Char Char Char Char Char Char Char"/>
    <w:basedOn w:val="1"/>
    <w:qFormat/>
    <w:uiPriority w:val="0"/>
    <w:rPr>
      <w:rFonts w:ascii="Times New Roman" w:hAnsi="Times New Roman" w:eastAsia="宋体" w:cs="Times New Roman"/>
      <w:szCs w:val="20"/>
    </w:rPr>
  </w:style>
  <w:style w:type="paragraph" w:customStyle="1" w:styleId="979">
    <w:name w:val="Char Char Char Char Char Char Char Char"/>
    <w:basedOn w:val="1"/>
    <w:qFormat/>
    <w:uiPriority w:val="99"/>
    <w:rPr>
      <w:rFonts w:ascii="Times New Roman" w:hAnsi="Times New Roman" w:eastAsia="宋体" w:cs="Times New Roman"/>
      <w:szCs w:val="24"/>
    </w:rPr>
  </w:style>
  <w:style w:type="paragraph" w:customStyle="1" w:styleId="980">
    <w:name w:val="普通(网站)1"/>
    <w:basedOn w:val="1"/>
    <w:qFormat/>
    <w:uiPriority w:val="0"/>
    <w:pPr>
      <w:widowControl/>
      <w:spacing w:before="100" w:beforeAutospacing="1" w:after="100" w:afterAutospacing="1"/>
      <w:jc w:val="left"/>
    </w:pPr>
    <w:rPr>
      <w:rFonts w:hint="eastAsia" w:ascii="宋体" w:hAnsi="宋体" w:eastAsia="宋体" w:cs="Times New Roman"/>
      <w:sz w:val="24"/>
      <w:szCs w:val="20"/>
    </w:rPr>
  </w:style>
  <w:style w:type="paragraph" w:customStyle="1" w:styleId="981">
    <w:name w:val="表标题16.9"/>
    <w:basedOn w:val="1"/>
    <w:qFormat/>
    <w:uiPriority w:val="99"/>
    <w:pPr>
      <w:tabs>
        <w:tab w:val="left" w:pos="726"/>
        <w:tab w:val="center" w:pos="4060"/>
        <w:tab w:val="right" w:pos="8261"/>
      </w:tabs>
      <w:suppressAutoHyphens/>
      <w:adjustRightInd w:val="0"/>
      <w:spacing w:before="240" w:line="0" w:lineRule="atLeast"/>
      <w:ind w:left="2" w:firstLine="4"/>
    </w:pPr>
    <w:rPr>
      <w:rFonts w:ascii="黑体" w:hAnsi="Times New Roman" w:eastAsia="黑体" w:cs="Times New Roman"/>
      <w:b/>
      <w:spacing w:val="6"/>
      <w:kern w:val="0"/>
      <w:sz w:val="26"/>
      <w:szCs w:val="26"/>
    </w:rPr>
  </w:style>
  <w:style w:type="paragraph" w:customStyle="1" w:styleId="982">
    <w:name w:val="列表 2R"/>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83">
    <w:name w:val="CM60"/>
    <w:basedOn w:val="202"/>
    <w:next w:val="202"/>
    <w:qFormat/>
    <w:uiPriority w:val="99"/>
    <w:pPr>
      <w:autoSpaceDE/>
      <w:autoSpaceDN/>
      <w:adjustRightInd/>
      <w:spacing w:beforeLines="0" w:after="343" w:afterLines="0" w:line="240" w:lineRule="auto"/>
      <w:ind w:left="210"/>
    </w:pPr>
    <w:rPr>
      <w:rFonts w:ascii="Calibri" w:hAnsi="Calibri" w:eastAsia="宋体"/>
      <w:b w:val="0"/>
      <w:smallCaps/>
      <w:snapToGrid/>
      <w:color w:val="auto"/>
      <w:sz w:val="20"/>
      <w:szCs w:val="20"/>
    </w:rPr>
  </w:style>
  <w:style w:type="paragraph" w:customStyle="1" w:styleId="984">
    <w:name w:val="Char Char Char1 Char Char Char Char Char Char Char"/>
    <w:basedOn w:val="1"/>
    <w:qFormat/>
    <w:uiPriority w:val="0"/>
    <w:rPr>
      <w:rFonts w:ascii="Times New Roman" w:hAnsi="Times New Roman" w:eastAsia="宋体" w:cs="Times New Roman"/>
      <w:szCs w:val="24"/>
    </w:rPr>
  </w:style>
  <w:style w:type="paragraph" w:customStyle="1" w:styleId="985">
    <w:name w:val="样式111"/>
    <w:qFormat/>
    <w:uiPriority w:val="99"/>
    <w:pPr>
      <w:adjustRightInd w:val="0"/>
      <w:snapToGrid w:val="0"/>
      <w:jc w:val="both"/>
    </w:pPr>
    <w:rPr>
      <w:rFonts w:ascii="宋体" w:hAnsi="Times New Roman" w:eastAsia="宋体" w:cs="Times New Roman"/>
      <w:sz w:val="21"/>
      <w:lang w:val="en-US" w:eastAsia="zh-CN" w:bidi="ar-SA"/>
    </w:rPr>
  </w:style>
  <w:style w:type="paragraph" w:customStyle="1" w:styleId="986">
    <w:name w:val="样式 标题 3条标题1.1.1 + 宋体 加粗 段前: 13 磅 段后: 13 磅 行距: 多倍行距 1.73 字行"/>
    <w:basedOn w:val="6"/>
    <w:qFormat/>
    <w:uiPriority w:val="99"/>
    <w:pPr>
      <w:keepLines/>
      <w:numPr>
        <w:ilvl w:val="0"/>
        <w:numId w:val="0"/>
      </w:numPr>
      <w:spacing w:before="0" w:beforeLines="50" w:afterLines="50" w:line="416" w:lineRule="auto"/>
    </w:pPr>
    <w:rPr>
      <w:rFonts w:ascii="Arial" w:hAnsi="Arial" w:eastAsia="宋体" w:cs="Times New Roman"/>
      <w:kern w:val="0"/>
      <w:sz w:val="28"/>
      <w:szCs w:val="28"/>
    </w:rPr>
  </w:style>
  <w:style w:type="paragraph" w:customStyle="1" w:styleId="987">
    <w:name w:val="xl71"/>
    <w:basedOn w:val="1"/>
    <w:qFormat/>
    <w:uiPriority w:val="99"/>
    <w:pPr>
      <w:widowControl/>
      <w:pBdr>
        <w:top w:val="single" w:color="auto" w:sz="8" w:space="0"/>
        <w:left w:val="single" w:color="auto" w:sz="8" w:space="0"/>
      </w:pBdr>
      <w:spacing w:before="100" w:beforeAutospacing="1" w:after="100" w:afterAutospacing="1"/>
      <w:jc w:val="center"/>
    </w:pPr>
    <w:rPr>
      <w:rFonts w:ascii="宋体" w:hAnsi="宋体" w:eastAsia="仿宋_GB2312" w:cs="Times New Roman"/>
      <w:kern w:val="0"/>
      <w:position w:val="-6"/>
      <w:sz w:val="24"/>
    </w:rPr>
  </w:style>
  <w:style w:type="paragraph" w:customStyle="1" w:styleId="988">
    <w:name w:val="表内式样"/>
    <w:qFormat/>
    <w:uiPriority w:val="99"/>
    <w:pPr>
      <w:widowControl w:val="0"/>
      <w:jc w:val="center"/>
    </w:pPr>
    <w:rPr>
      <w:rFonts w:ascii="Times New Roman" w:hAnsi="Times New Roman" w:eastAsia="宋体" w:cs="Times New Roman"/>
      <w:sz w:val="18"/>
      <w:szCs w:val="24"/>
      <w:lang w:val="en-US" w:eastAsia="zh-CN" w:bidi="ar-SA"/>
    </w:rPr>
  </w:style>
  <w:style w:type="character" w:customStyle="1" w:styleId="989">
    <w:name w:val="信息标题 Char1"/>
    <w:basedOn w:val="83"/>
    <w:qFormat/>
    <w:uiPriority w:val="0"/>
    <w:rPr>
      <w:rFonts w:asciiTheme="majorHAnsi" w:hAnsiTheme="majorHAnsi" w:eastAsiaTheme="majorEastAsia" w:cstheme="majorBidi"/>
      <w:sz w:val="24"/>
      <w:szCs w:val="24"/>
      <w:shd w:val="pct20" w:color="auto" w:fill="auto"/>
    </w:rPr>
  </w:style>
  <w:style w:type="paragraph" w:customStyle="1" w:styleId="990">
    <w:name w:val="内蒙2"/>
    <w:basedOn w:val="5"/>
    <w:qFormat/>
    <w:uiPriority w:val="99"/>
    <w:pPr>
      <w:keepLines/>
      <w:numPr>
        <w:ilvl w:val="0"/>
        <w:numId w:val="0"/>
      </w:numPr>
      <w:adjustRightInd/>
      <w:snapToGrid/>
      <w:spacing w:before="0" w:beforeAutospacing="0" w:line="480" w:lineRule="exact"/>
      <w:ind w:left="420" w:hanging="420"/>
      <w:jc w:val="both"/>
    </w:pPr>
    <w:rPr>
      <w:rFonts w:ascii="Times New Roman" w:hAnsi="Times New Roman" w:cs="Times New Roman"/>
      <w:b/>
      <w:bCs w:val="0"/>
      <w:color w:val="FF0000"/>
      <w:spacing w:val="20"/>
      <w:kern w:val="0"/>
      <w:szCs w:val="28"/>
    </w:rPr>
  </w:style>
  <w:style w:type="character" w:customStyle="1" w:styleId="991">
    <w:name w:val="文档结构图 Char3"/>
    <w:basedOn w:val="83"/>
    <w:qFormat/>
    <w:uiPriority w:val="0"/>
    <w:rPr>
      <w:rFonts w:ascii="Microsoft YaHei UI" w:hAnsi="宋体" w:eastAsia="Microsoft YaHei UI" w:cs="宋体"/>
      <w:sz w:val="18"/>
      <w:szCs w:val="18"/>
    </w:rPr>
  </w:style>
  <w:style w:type="paragraph" w:customStyle="1" w:styleId="992">
    <w:name w:val="CM68"/>
    <w:basedOn w:val="202"/>
    <w:next w:val="202"/>
    <w:qFormat/>
    <w:uiPriority w:val="99"/>
    <w:pPr>
      <w:autoSpaceDE/>
      <w:autoSpaceDN/>
      <w:adjustRightInd/>
      <w:spacing w:beforeLines="0" w:after="265" w:afterLines="0" w:line="240" w:lineRule="auto"/>
      <w:ind w:left="210"/>
    </w:pPr>
    <w:rPr>
      <w:rFonts w:ascii="Calibri" w:hAnsi="Calibri" w:eastAsia="宋体"/>
      <w:b w:val="0"/>
      <w:smallCaps/>
      <w:snapToGrid/>
      <w:color w:val="auto"/>
      <w:sz w:val="20"/>
      <w:szCs w:val="20"/>
    </w:rPr>
  </w:style>
  <w:style w:type="character" w:customStyle="1" w:styleId="993">
    <w:name w:val="电子邮件签名 Char2"/>
    <w:basedOn w:val="83"/>
    <w:qFormat/>
    <w:uiPriority w:val="0"/>
    <w:rPr>
      <w:rFonts w:ascii="宋体" w:hAnsi="宋体" w:cs="宋体"/>
      <w:sz w:val="24"/>
      <w:szCs w:val="24"/>
    </w:rPr>
  </w:style>
  <w:style w:type="paragraph" w:customStyle="1" w:styleId="994">
    <w:name w:val="样式 表格备注"/>
    <w:basedOn w:val="1"/>
    <w:qFormat/>
    <w:uiPriority w:val="99"/>
    <w:pPr>
      <w:keepNext/>
      <w:tabs>
        <w:tab w:val="left" w:pos="628"/>
        <w:tab w:val="left" w:pos="1727"/>
        <w:tab w:val="left" w:pos="1884"/>
        <w:tab w:val="left" w:pos="4680"/>
        <w:tab w:val="left" w:pos="4900"/>
      </w:tabs>
      <w:adjustRightInd w:val="0"/>
      <w:snapToGrid w:val="0"/>
      <w:spacing w:line="360" w:lineRule="auto"/>
      <w:ind w:firstLine="480" w:firstLineChars="200"/>
    </w:pPr>
    <w:rPr>
      <w:rFonts w:ascii="宋体" w:hAnsi="宋体" w:eastAsia="楷体_GB2312" w:cs="Times New Roman"/>
      <w:kern w:val="0"/>
      <w:sz w:val="24"/>
      <w:szCs w:val="20"/>
    </w:rPr>
  </w:style>
  <w:style w:type="paragraph" w:customStyle="1" w:styleId="995">
    <w:name w:val="CM1"/>
    <w:basedOn w:val="202"/>
    <w:next w:val="202"/>
    <w:qFormat/>
    <w:uiPriority w:val="99"/>
    <w:pPr>
      <w:autoSpaceDE/>
      <w:autoSpaceDN/>
      <w:adjustRightInd/>
      <w:spacing w:beforeLines="0" w:afterLines="0" w:line="240" w:lineRule="auto"/>
      <w:ind w:left="210"/>
    </w:pPr>
    <w:rPr>
      <w:rFonts w:ascii="宋体" w:hAnsi="Calibri" w:eastAsia="宋体" w:cs="宋体"/>
      <w:b w:val="0"/>
      <w:smallCaps/>
      <w:snapToGrid/>
      <w:color w:val="auto"/>
      <w:sz w:val="20"/>
      <w:szCs w:val="20"/>
    </w:rPr>
  </w:style>
  <w:style w:type="paragraph" w:customStyle="1" w:styleId="996">
    <w:name w:val="xl80"/>
    <w:basedOn w:val="1"/>
    <w:qFormat/>
    <w:uiPriority w:val="99"/>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997">
    <w:name w:val="Achievement"/>
    <w:basedOn w:val="32"/>
    <w:qFormat/>
    <w:uiPriority w:val="99"/>
    <w:pPr>
      <w:widowControl/>
      <w:spacing w:after="60" w:line="220" w:lineRule="atLeast"/>
      <w:ind w:left="245" w:right="-360" w:hanging="245"/>
      <w:jc w:val="left"/>
    </w:pPr>
    <w:rPr>
      <w:rFonts w:ascii="Times New Roman" w:hAnsi="Times New Roman" w:eastAsia="宋体" w:cs="Times New Roman"/>
      <w:kern w:val="0"/>
      <w:sz w:val="20"/>
      <w:szCs w:val="20"/>
    </w:rPr>
  </w:style>
  <w:style w:type="paragraph" w:customStyle="1" w:styleId="998">
    <w:name w:val="Exhibit--Title"/>
    <w:basedOn w:val="999"/>
    <w:next w:val="1001"/>
    <w:qFormat/>
    <w:uiPriority w:val="0"/>
    <w:rPr>
      <w:b w:val="0"/>
      <w:sz w:val="20"/>
    </w:rPr>
  </w:style>
  <w:style w:type="paragraph" w:customStyle="1" w:styleId="999">
    <w:name w:val="Exhibit--Number"/>
    <w:basedOn w:val="1000"/>
    <w:next w:val="998"/>
    <w:semiHidden/>
    <w:qFormat/>
    <w:uiPriority w:val="99"/>
  </w:style>
  <w:style w:type="paragraph" w:customStyle="1" w:styleId="1000">
    <w:name w:val="Main-Head"/>
    <w:basedOn w:val="1"/>
    <w:next w:val="32"/>
    <w:semiHidden/>
    <w:qFormat/>
    <w:uiPriority w:val="99"/>
    <w:rPr>
      <w:rFonts w:ascii="Arial Narrow" w:hAnsi="Arial Narrow" w:eastAsia="仿宋_GB2312" w:cs="Times New Roman"/>
      <w:b/>
      <w:sz w:val="22"/>
      <w:szCs w:val="24"/>
    </w:rPr>
  </w:style>
  <w:style w:type="paragraph" w:customStyle="1" w:styleId="1001">
    <w:name w:val="Exhibit--Caption"/>
    <w:basedOn w:val="998"/>
    <w:next w:val="32"/>
    <w:semiHidden/>
    <w:qFormat/>
    <w:uiPriority w:val="99"/>
    <w:rPr>
      <w:i/>
    </w:rPr>
  </w:style>
  <w:style w:type="paragraph" w:customStyle="1" w:styleId="1002">
    <w:name w:val="列表 4R"/>
    <w:basedOn w:val="70"/>
    <w:qFormat/>
    <w:uiPriority w:val="99"/>
    <w:pPr>
      <w:tabs>
        <w:tab w:val="left" w:pos="907"/>
      </w:tabs>
      <w:topLinePunct w:val="0"/>
      <w:spacing w:beforeLines="50" w:afterLines="30" w:line="288" w:lineRule="auto"/>
      <w:ind w:left="907" w:leftChars="0" w:hanging="567" w:firstLineChars="0"/>
      <w:jc w:val="both"/>
    </w:pPr>
    <w:rPr>
      <w:rFonts w:ascii="Arial" w:hAnsi="Arial" w:eastAsia="宋体"/>
      <w:color w:val="CCFFFF"/>
      <w:sz w:val="24"/>
    </w:rPr>
  </w:style>
  <w:style w:type="paragraph" w:customStyle="1" w:styleId="1003">
    <w:name w:val="小标题2"/>
    <w:basedOn w:val="1"/>
    <w:qFormat/>
    <w:uiPriority w:val="0"/>
    <w:pPr>
      <w:tabs>
        <w:tab w:val="left" w:pos="5400"/>
      </w:tabs>
      <w:overflowPunct w:val="0"/>
      <w:spacing w:line="336" w:lineRule="auto"/>
      <w:ind w:firstLine="480" w:firstLineChars="200"/>
    </w:pPr>
    <w:rPr>
      <w:rFonts w:ascii="Times New Roman" w:hAnsi="Times New Roman" w:eastAsia="宋体" w:cs="Times New Roman"/>
      <w:sz w:val="24"/>
      <w:szCs w:val="24"/>
    </w:rPr>
  </w:style>
  <w:style w:type="paragraph" w:customStyle="1" w:styleId="1004">
    <w:name w:val="font7"/>
    <w:basedOn w:val="1"/>
    <w:qFormat/>
    <w:uiPriority w:val="99"/>
    <w:pPr>
      <w:widowControl/>
      <w:spacing w:before="100" w:beforeAutospacing="1" w:after="100" w:afterAutospacing="1"/>
      <w:jc w:val="left"/>
    </w:pPr>
    <w:rPr>
      <w:rFonts w:ascii="Times New Roman" w:hAnsi="Times New Roman" w:eastAsia="Arial Unicode MS" w:cs="Times New Roman"/>
      <w:b/>
      <w:bCs/>
      <w:kern w:val="0"/>
      <w:sz w:val="32"/>
      <w:szCs w:val="32"/>
    </w:rPr>
  </w:style>
  <w:style w:type="paragraph" w:customStyle="1" w:styleId="1005">
    <w:name w:val="报告表  段"/>
    <w:basedOn w:val="1"/>
    <w:qFormat/>
    <w:uiPriority w:val="99"/>
    <w:pPr>
      <w:adjustRightInd w:val="0"/>
      <w:spacing w:line="360" w:lineRule="auto"/>
      <w:ind w:firstLine="505"/>
      <w:textAlignment w:val="baseline"/>
    </w:pPr>
    <w:rPr>
      <w:rFonts w:ascii="宋体" w:hAnsi="Times New Roman" w:eastAsia="宋体" w:cs="Times New Roman"/>
      <w:kern w:val="0"/>
      <w:sz w:val="24"/>
      <w:szCs w:val="20"/>
    </w:rPr>
  </w:style>
  <w:style w:type="character" w:customStyle="1" w:styleId="1006">
    <w:name w:val="正文首行缩进 2 Char2"/>
    <w:basedOn w:val="263"/>
    <w:qFormat/>
    <w:uiPriority w:val="0"/>
    <w:rPr>
      <w:rFonts w:ascii="宋体" w:hAnsi="宋体" w:eastAsia="仿宋_GB2312" w:cs="宋体"/>
      <w:spacing w:val="-2"/>
      <w:sz w:val="24"/>
      <w:szCs w:val="24"/>
    </w:rPr>
  </w:style>
  <w:style w:type="character" w:customStyle="1" w:styleId="1007">
    <w:name w:val="称呼 Char2"/>
    <w:basedOn w:val="83"/>
    <w:qFormat/>
    <w:uiPriority w:val="0"/>
    <w:rPr>
      <w:rFonts w:ascii="宋体" w:hAnsi="宋体" w:cs="宋体"/>
      <w:sz w:val="24"/>
      <w:szCs w:val="24"/>
    </w:rPr>
  </w:style>
  <w:style w:type="paragraph" w:customStyle="1" w:styleId="1008">
    <w:name w:val="列表 E"/>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character" w:customStyle="1" w:styleId="1009">
    <w:name w:val="HTML 预设格式 Char2"/>
    <w:basedOn w:val="83"/>
    <w:qFormat/>
    <w:uiPriority w:val="0"/>
    <w:rPr>
      <w:rFonts w:ascii="Courier New" w:hAnsi="Courier New" w:cs="Courier New"/>
    </w:rPr>
  </w:style>
  <w:style w:type="paragraph" w:customStyle="1" w:styleId="1010">
    <w:name w:val="粗体字"/>
    <w:basedOn w:val="1"/>
    <w:qFormat/>
    <w:uiPriority w:val="99"/>
    <w:pPr>
      <w:spacing w:line="360" w:lineRule="auto"/>
      <w:ind w:firstLine="200" w:firstLineChars="200"/>
    </w:pPr>
    <w:rPr>
      <w:rFonts w:ascii="宋体" w:hAnsi="宋体" w:eastAsia="宋体" w:cs="Times New Roman"/>
      <w:b/>
      <w:bCs/>
      <w:kern w:val="0"/>
      <w:sz w:val="24"/>
      <w:szCs w:val="20"/>
    </w:rPr>
  </w:style>
  <w:style w:type="paragraph" w:customStyle="1" w:styleId="1011">
    <w:name w:val="样式 样式 宋体 13 磅 白色 首行缩进:  0.74 厘米 + 自动设置 首行缩进:  2 字符"/>
    <w:basedOn w:val="1"/>
    <w:qFormat/>
    <w:uiPriority w:val="99"/>
    <w:pPr>
      <w:ind w:firstLine="520" w:firstLineChars="200"/>
    </w:pPr>
    <w:rPr>
      <w:rFonts w:ascii="宋体" w:hAnsi="宋体" w:eastAsia="宋体" w:cs="宋体"/>
      <w:sz w:val="27"/>
      <w:szCs w:val="27"/>
    </w:rPr>
  </w:style>
  <w:style w:type="paragraph" w:customStyle="1" w:styleId="101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0"/>
    </w:rPr>
  </w:style>
  <w:style w:type="paragraph" w:customStyle="1" w:styleId="1013">
    <w:name w:val="图表目录11"/>
    <w:basedOn w:val="375"/>
    <w:next w:val="375"/>
    <w:qFormat/>
    <w:uiPriority w:val="99"/>
    <w:pPr>
      <w:tabs>
        <w:tab w:val="right" w:leader="dot" w:pos="8051"/>
      </w:tabs>
      <w:ind w:left="840" w:hanging="840"/>
    </w:pPr>
  </w:style>
  <w:style w:type="paragraph" w:customStyle="1" w:styleId="1014">
    <w:name w:val="正文一"/>
    <w:basedOn w:val="1"/>
    <w:qFormat/>
    <w:uiPriority w:val="99"/>
    <w:pPr>
      <w:adjustRightInd w:val="0"/>
      <w:spacing w:line="520" w:lineRule="exact"/>
      <w:ind w:firstLine="200" w:firstLineChars="200"/>
      <w:textAlignment w:val="baseline"/>
    </w:pPr>
    <w:rPr>
      <w:rFonts w:ascii="宋体" w:hAnsi="宋体" w:eastAsia="宋体" w:cs="Times New Roman"/>
      <w:kern w:val="0"/>
      <w:sz w:val="24"/>
      <w:szCs w:val="24"/>
    </w:rPr>
  </w:style>
  <w:style w:type="paragraph" w:customStyle="1" w:styleId="1015">
    <w:name w:val="排序（1）（2）"/>
    <w:basedOn w:val="1"/>
    <w:qFormat/>
    <w:uiPriority w:val="99"/>
    <w:pPr>
      <w:spacing w:line="460" w:lineRule="atLeast"/>
    </w:pPr>
    <w:rPr>
      <w:rFonts w:ascii="Times New Roman" w:hAnsi="Times New Roman" w:eastAsia="宋体" w:cs="Times New Roman"/>
      <w:spacing w:val="12"/>
      <w:sz w:val="24"/>
      <w:szCs w:val="24"/>
    </w:rPr>
  </w:style>
  <w:style w:type="paragraph" w:customStyle="1" w:styleId="1016">
    <w:name w:val="xl101"/>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1017">
    <w:name w:val="样式 正文首行缩进 + 四号 首行缩进:  1 字符 段后: 2.5 磅 行距: 1.5 倍行距"/>
    <w:basedOn w:val="79"/>
    <w:qFormat/>
    <w:uiPriority w:val="99"/>
    <w:pPr>
      <w:widowControl w:val="0"/>
      <w:spacing w:after="0" w:line="360" w:lineRule="auto"/>
      <w:ind w:firstLine="100"/>
    </w:pPr>
    <w:rPr>
      <w:rFonts w:ascii="Times New Roman" w:hAnsi="Times New Roman"/>
      <w:sz w:val="28"/>
    </w:rPr>
  </w:style>
  <w:style w:type="paragraph" w:customStyle="1" w:styleId="1018">
    <w:name w:val="南郊正文"/>
    <w:basedOn w:val="1"/>
    <w:next w:val="1"/>
    <w:qFormat/>
    <w:uiPriority w:val="99"/>
    <w:rPr>
      <w:rFonts w:ascii="Times New Roman" w:hAnsi="Times New Roman" w:eastAsia="宋体" w:cs="Times New Roman"/>
      <w:sz w:val="24"/>
      <w:szCs w:val="24"/>
    </w:rPr>
  </w:style>
  <w:style w:type="paragraph" w:customStyle="1" w:styleId="1019">
    <w:name w:val="表标题3.10"/>
    <w:basedOn w:val="917"/>
    <w:qFormat/>
    <w:uiPriority w:val="99"/>
  </w:style>
  <w:style w:type="paragraph" w:customStyle="1" w:styleId="1020">
    <w:name w:val="Char Char Char Char Char Char Char Char Char Char"/>
    <w:basedOn w:val="1"/>
    <w:qFormat/>
    <w:uiPriority w:val="0"/>
    <w:rPr>
      <w:rFonts w:ascii="宋体" w:hAnsi="宋体" w:eastAsia="宋体" w:cs="宋体"/>
      <w:color w:val="000000"/>
    </w:rPr>
  </w:style>
  <w:style w:type="paragraph" w:customStyle="1" w:styleId="1021">
    <w:name w:val="xl98"/>
    <w:basedOn w:val="1"/>
    <w:qFormat/>
    <w:uiPriority w:val="99"/>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 w:val="16"/>
      <w:szCs w:val="16"/>
    </w:rPr>
  </w:style>
  <w:style w:type="paragraph" w:customStyle="1" w:styleId="1022">
    <w:name w:val="列表 2N"/>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23">
    <w:name w:val="列表 5N"/>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024">
    <w:name w:val="条(二级)"/>
    <w:basedOn w:val="5"/>
    <w:next w:val="1"/>
    <w:qFormat/>
    <w:uiPriority w:val="99"/>
    <w:pPr>
      <w:keepLines/>
      <w:numPr>
        <w:ilvl w:val="0"/>
        <w:numId w:val="0"/>
      </w:numPr>
      <w:autoSpaceDE w:val="0"/>
      <w:autoSpaceDN w:val="0"/>
      <w:snapToGrid/>
      <w:spacing w:before="0" w:beforeAutospacing="0" w:line="460" w:lineRule="exact"/>
      <w:ind w:left="420" w:hanging="420"/>
      <w:textAlignment w:val="baseline"/>
      <w:outlineLvl w:val="9"/>
    </w:pPr>
    <w:rPr>
      <w:rFonts w:hAnsi="Times New Roman" w:eastAsia="宋体" w:cs="Times New Roman"/>
      <w:b/>
      <w:bCs w:val="0"/>
      <w:spacing w:val="3"/>
      <w:kern w:val="24"/>
      <w:sz w:val="26"/>
      <w:szCs w:val="20"/>
    </w:rPr>
  </w:style>
  <w:style w:type="paragraph" w:customStyle="1" w:styleId="1025">
    <w:name w:val="新标题2"/>
    <w:basedOn w:val="1"/>
    <w:next w:val="79"/>
    <w:qFormat/>
    <w:uiPriority w:val="99"/>
    <w:pPr>
      <w:spacing w:beforeLines="50" w:afterLines="50" w:line="360" w:lineRule="auto"/>
      <w:ind w:firstLine="200" w:firstLineChars="200"/>
      <w:jc w:val="center"/>
    </w:pPr>
    <w:rPr>
      <w:rFonts w:ascii="宋体" w:hAnsi="宋体" w:eastAsia="宋体" w:cs="宋体"/>
      <w:kern w:val="0"/>
      <w:sz w:val="24"/>
      <w:szCs w:val="24"/>
    </w:rPr>
  </w:style>
  <w:style w:type="paragraph" w:customStyle="1" w:styleId="1026">
    <w:name w:val="条(三级)"/>
    <w:basedOn w:val="1024"/>
    <w:next w:val="1027"/>
    <w:qFormat/>
    <w:uiPriority w:val="99"/>
    <w:rPr>
      <w:b w:val="0"/>
    </w:rPr>
  </w:style>
  <w:style w:type="paragraph" w:customStyle="1" w:styleId="1027">
    <w:name w:val="条(四级)"/>
    <w:basedOn w:val="1"/>
    <w:next w:val="1"/>
    <w:qFormat/>
    <w:uiPriority w:val="99"/>
    <w:pPr>
      <w:keepNext/>
      <w:keepLines/>
      <w:autoSpaceDE w:val="0"/>
      <w:autoSpaceDN w:val="0"/>
      <w:adjustRightInd w:val="0"/>
      <w:spacing w:line="460" w:lineRule="exact"/>
      <w:jc w:val="left"/>
      <w:textAlignment w:val="baseline"/>
    </w:pPr>
    <w:rPr>
      <w:rFonts w:ascii="宋体" w:hAnsi="Times New Roman" w:eastAsia="宋体" w:cs="Times New Roman"/>
      <w:spacing w:val="3"/>
      <w:kern w:val="24"/>
      <w:sz w:val="26"/>
      <w:szCs w:val="20"/>
    </w:rPr>
  </w:style>
  <w:style w:type="paragraph" w:customStyle="1" w:styleId="1028">
    <w:name w:val="Char Char Char1 Char Char Char Char Char Char Char2"/>
    <w:basedOn w:val="1"/>
    <w:qFormat/>
    <w:uiPriority w:val="99"/>
    <w:rPr>
      <w:rFonts w:ascii="Times New Roman" w:hAnsi="Times New Roman" w:eastAsia="宋体" w:cs="Times New Roman"/>
      <w:szCs w:val="24"/>
    </w:rPr>
  </w:style>
  <w:style w:type="paragraph" w:customStyle="1" w:styleId="1029">
    <w:name w:val="Char Char Char Char Char Char1 Char"/>
    <w:basedOn w:val="1"/>
    <w:qFormat/>
    <w:uiPriority w:val="0"/>
    <w:pPr>
      <w:widowControl/>
      <w:spacing w:after="160" w:line="240" w:lineRule="exact"/>
      <w:jc w:val="left"/>
    </w:pPr>
    <w:rPr>
      <w:rFonts w:ascii="Arial" w:hAnsi="Arial" w:eastAsia="Times New Roman" w:cs="Times New Roman"/>
      <w:b/>
      <w:kern w:val="0"/>
      <w:sz w:val="24"/>
      <w:szCs w:val="20"/>
      <w:lang w:eastAsia="en-US"/>
    </w:rPr>
  </w:style>
  <w:style w:type="paragraph" w:customStyle="1" w:styleId="1030">
    <w:name w:val="xl53"/>
    <w:basedOn w:val="1"/>
    <w:qFormat/>
    <w:uiPriority w:val="99"/>
    <w:pPr>
      <w:widowControl/>
      <w:pBdr>
        <w:top w:val="single" w:color="auto" w:sz="8" w:space="0"/>
        <w:left w:val="single" w:color="auto" w:sz="4" w:space="0"/>
        <w:bottom w:val="single" w:color="auto" w:sz="8" w:space="0"/>
      </w:pBdr>
      <w:spacing w:before="100" w:beforeAutospacing="1" w:after="100" w:afterAutospacing="1"/>
      <w:jc w:val="left"/>
    </w:pPr>
    <w:rPr>
      <w:rFonts w:ascii="宋体" w:hAnsi="宋体" w:eastAsia="仿宋_GB2312" w:cs="Times New Roman"/>
      <w:b/>
      <w:bCs/>
      <w:kern w:val="0"/>
      <w:position w:val="-6"/>
      <w:sz w:val="24"/>
    </w:rPr>
  </w:style>
  <w:style w:type="paragraph" w:customStyle="1" w:styleId="1031">
    <w:name w:val="标题样式3"/>
    <w:basedOn w:val="6"/>
    <w:qFormat/>
    <w:uiPriority w:val="99"/>
    <w:pPr>
      <w:keepNext w:val="0"/>
      <w:keepLines/>
      <w:numPr>
        <w:ilvl w:val="0"/>
        <w:numId w:val="0"/>
      </w:numPr>
      <w:adjustRightInd/>
      <w:snapToGrid/>
      <w:spacing w:before="0"/>
    </w:pPr>
    <w:rPr>
      <w:rFonts w:hAnsi="Times New Roman" w:cs="黑体"/>
      <w:b/>
      <w:color w:val="000000"/>
      <w:kern w:val="0"/>
      <w:sz w:val="28"/>
      <w:szCs w:val="28"/>
      <w:lang w:val="zh-CN"/>
    </w:rPr>
  </w:style>
  <w:style w:type="paragraph" w:customStyle="1" w:styleId="1032">
    <w:name w:val="Char Char Char1 Char Char Char"/>
    <w:basedOn w:val="1"/>
    <w:qFormat/>
    <w:uiPriority w:val="0"/>
    <w:rPr>
      <w:rFonts w:ascii="Times New Roman" w:hAnsi="Times New Roman" w:eastAsia="宋体" w:cs="Times New Roman"/>
      <w:szCs w:val="24"/>
    </w:rPr>
  </w:style>
  <w:style w:type="paragraph" w:customStyle="1" w:styleId="1033">
    <w:name w:val="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1034">
    <w:name w:val="列表 5R"/>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035">
    <w:name w:val="xl64"/>
    <w:basedOn w:val="1"/>
    <w:qFormat/>
    <w:uiPriority w:val="99"/>
    <w:pPr>
      <w:widowControl/>
      <w:pBdr>
        <w:left w:val="single" w:color="auto" w:sz="4" w:space="0"/>
      </w:pBdr>
      <w:spacing w:before="100" w:beforeAutospacing="1" w:after="100" w:afterAutospacing="1"/>
      <w:jc w:val="right"/>
    </w:pPr>
    <w:rPr>
      <w:rFonts w:ascii="宋体" w:hAnsi="宋体" w:eastAsia="仿宋_GB2312" w:cs="Times New Roman"/>
      <w:kern w:val="0"/>
      <w:position w:val="-6"/>
      <w:sz w:val="24"/>
      <w:szCs w:val="24"/>
    </w:rPr>
  </w:style>
  <w:style w:type="paragraph" w:customStyle="1" w:styleId="1036">
    <w:name w:val="xl51"/>
    <w:basedOn w:val="1"/>
    <w:qFormat/>
    <w:uiPriority w:val="99"/>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037">
    <w:name w:val="标题11"/>
    <w:basedOn w:val="1"/>
    <w:next w:val="1"/>
    <w:qFormat/>
    <w:uiPriority w:val="99"/>
    <w:pPr>
      <w:spacing w:beforeLines="100" w:afterLines="50" w:line="360" w:lineRule="auto"/>
      <w:jc w:val="left"/>
      <w:outlineLvl w:val="0"/>
    </w:pPr>
    <w:rPr>
      <w:rFonts w:ascii="仿宋_GB2312" w:hAnsi="Times New Roman" w:eastAsia="黑体" w:cs="Times New Roman"/>
      <w:b/>
      <w:sz w:val="28"/>
      <w:szCs w:val="20"/>
    </w:rPr>
  </w:style>
  <w:style w:type="paragraph" w:customStyle="1" w:styleId="1038">
    <w:name w:val="样式 标题 2 + Times New Roman 小三 居中 行距: 固定值 20 磅"/>
    <w:basedOn w:val="5"/>
    <w:qFormat/>
    <w:uiPriority w:val="99"/>
    <w:pPr>
      <w:keepLines/>
      <w:widowControl/>
      <w:numPr>
        <w:ilvl w:val="0"/>
        <w:numId w:val="0"/>
      </w:numPr>
      <w:adjustRightInd/>
      <w:snapToGrid/>
      <w:spacing w:before="260" w:beforeAutospacing="0" w:after="260" w:line="400" w:lineRule="exact"/>
      <w:ind w:left="420" w:firstLine="538" w:firstLineChars="192"/>
    </w:pPr>
    <w:rPr>
      <w:rFonts w:ascii="Times New Roman" w:hAnsi="Times New Roman" w:cs="宋体"/>
      <w:b/>
      <w:bCs w:val="0"/>
      <w:kern w:val="0"/>
      <w:sz w:val="30"/>
      <w:szCs w:val="20"/>
    </w:rPr>
  </w:style>
  <w:style w:type="paragraph" w:customStyle="1" w:styleId="1039">
    <w:name w:val="Char Char Char Char Char Char1 Char1"/>
    <w:basedOn w:val="1"/>
    <w:qFormat/>
    <w:uiPriority w:val="99"/>
    <w:rPr>
      <w:rFonts w:ascii="Times New Roman" w:hAnsi="Times New Roman" w:eastAsia="宋体" w:cs="Times New Roman"/>
      <w:szCs w:val="24"/>
    </w:rPr>
  </w:style>
  <w:style w:type="paragraph" w:customStyle="1" w:styleId="1040">
    <w:name w:val="标题样工7"/>
    <w:basedOn w:val="1"/>
    <w:qFormat/>
    <w:uiPriority w:val="99"/>
    <w:pPr>
      <w:widowControl/>
    </w:pPr>
    <w:rPr>
      <w:rFonts w:ascii="华文楷体" w:hAnsi="华文楷体" w:eastAsia="仿宋_GB2312" w:cs="Times New Roman"/>
      <w:kern w:val="0"/>
      <w:position w:val="-6"/>
      <w:sz w:val="24"/>
      <w:szCs w:val="20"/>
    </w:rPr>
  </w:style>
  <w:style w:type="paragraph" w:customStyle="1" w:styleId="1041">
    <w:name w:val="xl109"/>
    <w:basedOn w:val="1"/>
    <w:qFormat/>
    <w:uiPriority w:val="99"/>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042">
    <w:name w:val="xl49"/>
    <w:basedOn w:val="1"/>
    <w:qFormat/>
    <w:uiPriority w:val="99"/>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043">
    <w:name w:val="CM8"/>
    <w:basedOn w:val="202"/>
    <w:next w:val="202"/>
    <w:qFormat/>
    <w:uiPriority w:val="99"/>
    <w:pPr>
      <w:autoSpaceDE/>
      <w:autoSpaceDN/>
      <w:adjustRightInd/>
      <w:spacing w:beforeLines="0" w:afterLines="0" w:line="466" w:lineRule="atLeast"/>
      <w:ind w:left="210"/>
    </w:pPr>
    <w:rPr>
      <w:rFonts w:ascii="Calibri" w:hAnsi="Calibri" w:eastAsia="宋体"/>
      <w:b w:val="0"/>
      <w:smallCaps/>
      <w:snapToGrid/>
      <w:color w:val="auto"/>
      <w:sz w:val="20"/>
      <w:szCs w:val="20"/>
    </w:rPr>
  </w:style>
  <w:style w:type="paragraph" w:customStyle="1" w:styleId="1044">
    <w:name w:val="CM17"/>
    <w:basedOn w:val="202"/>
    <w:next w:val="202"/>
    <w:qFormat/>
    <w:uiPriority w:val="99"/>
    <w:pPr>
      <w:autoSpaceDE/>
      <w:autoSpaceDN/>
      <w:adjustRightInd/>
      <w:spacing w:beforeLines="0" w:afterLines="0" w:line="240" w:lineRule="auto"/>
      <w:ind w:left="210"/>
    </w:pPr>
    <w:rPr>
      <w:rFonts w:ascii="Calibri" w:hAnsi="Calibri" w:eastAsia="宋体"/>
      <w:b w:val="0"/>
      <w:smallCaps/>
      <w:snapToGrid/>
      <w:color w:val="auto"/>
      <w:sz w:val="20"/>
      <w:szCs w:val="20"/>
    </w:rPr>
  </w:style>
  <w:style w:type="paragraph" w:customStyle="1" w:styleId="1045">
    <w:name w:val="湛江钢铁表标题"/>
    <w:basedOn w:val="1"/>
    <w:qFormat/>
    <w:uiPriority w:val="99"/>
    <w:pPr>
      <w:spacing w:beforeLines="50" w:line="360" w:lineRule="auto"/>
      <w:ind w:firstLine="480" w:firstLineChars="200"/>
      <w:jc w:val="center"/>
    </w:pPr>
    <w:rPr>
      <w:rFonts w:ascii="Times New Roman" w:hAnsi="Times New Roman" w:eastAsia="仿宋_GB2312" w:cs="Times New Roman"/>
      <w:color w:val="000000"/>
      <w:kern w:val="0"/>
      <w:sz w:val="24"/>
      <w:szCs w:val="24"/>
    </w:rPr>
  </w:style>
  <w:style w:type="paragraph" w:customStyle="1" w:styleId="1046">
    <w:name w:val="样式 四号 行距: 1.5 倍行距"/>
    <w:basedOn w:val="1"/>
    <w:qFormat/>
    <w:uiPriority w:val="0"/>
    <w:pPr>
      <w:spacing w:line="360" w:lineRule="auto"/>
      <w:ind w:firstLine="560" w:firstLineChars="200"/>
    </w:pPr>
    <w:rPr>
      <w:rFonts w:ascii="Times New Roman" w:hAnsi="Times New Roman" w:eastAsia="宋体" w:cs="宋体"/>
      <w:sz w:val="28"/>
      <w:szCs w:val="20"/>
    </w:rPr>
  </w:style>
  <w:style w:type="paragraph" w:customStyle="1" w:styleId="1047">
    <w:name w:val="表中文字----------------"/>
    <w:basedOn w:val="1"/>
    <w:qFormat/>
    <w:uiPriority w:val="99"/>
    <w:pPr>
      <w:jc w:val="center"/>
    </w:pPr>
    <w:rPr>
      <w:rFonts w:ascii="Times New Roman" w:hAnsi="Times New Roman" w:eastAsia="宋体" w:cs="Times New Roman"/>
      <w:szCs w:val="20"/>
    </w:rPr>
  </w:style>
  <w:style w:type="paragraph" w:customStyle="1" w:styleId="1048">
    <w:name w:val="nub2.4"/>
    <w:qFormat/>
    <w:uiPriority w:val="0"/>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eastAsia="宋体" w:cs="Times New Roman"/>
      <w:color w:val="000000"/>
      <w:lang w:val="en-US" w:eastAsia="zh-CN" w:bidi="ar-SA"/>
    </w:rPr>
  </w:style>
  <w:style w:type="paragraph" w:customStyle="1" w:styleId="1049">
    <w:name w:val="样式 标题 3 + 宋体 小四 非加粗"/>
    <w:basedOn w:val="6"/>
    <w:qFormat/>
    <w:uiPriority w:val="99"/>
    <w:pPr>
      <w:keepLines/>
      <w:numPr>
        <w:ilvl w:val="0"/>
        <w:numId w:val="0"/>
      </w:numPr>
      <w:tabs>
        <w:tab w:val="left" w:pos="720"/>
      </w:tabs>
      <w:adjustRightInd/>
      <w:snapToGrid/>
      <w:spacing w:before="260" w:after="260" w:line="416" w:lineRule="auto"/>
      <w:ind w:left="720" w:hanging="720"/>
    </w:pPr>
    <w:rPr>
      <w:rFonts w:ascii="宋体" w:hAnsi="宋体" w:eastAsia="宋体" w:cs="Times New Roman"/>
      <w:bCs/>
      <w:kern w:val="0"/>
    </w:rPr>
  </w:style>
  <w:style w:type="paragraph" w:customStyle="1" w:styleId="1050">
    <w:name w:val="xl68"/>
    <w:basedOn w:val="1"/>
    <w:qFormat/>
    <w:uiPriority w:val="99"/>
    <w:pPr>
      <w:widowControl/>
      <w:pBdr>
        <w:bottom w:val="single" w:color="auto" w:sz="4" w:space="0"/>
        <w:right w:val="single" w:color="auto" w:sz="8" w:space="0"/>
      </w:pBdr>
      <w:spacing w:before="100" w:beforeAutospacing="1" w:after="100" w:afterAutospacing="1"/>
      <w:jc w:val="center"/>
    </w:pPr>
    <w:rPr>
      <w:rFonts w:ascii="宋体" w:hAnsi="宋体" w:eastAsia="仿宋_GB2312" w:cs="Times New Roman"/>
      <w:kern w:val="0"/>
      <w:position w:val="-6"/>
      <w:sz w:val="24"/>
    </w:rPr>
  </w:style>
  <w:style w:type="paragraph" w:customStyle="1" w:styleId="1051">
    <w:name w:val="小5"/>
    <w:basedOn w:val="1"/>
    <w:qFormat/>
    <w:uiPriority w:val="99"/>
    <w:pPr>
      <w:widowControl/>
      <w:adjustRightInd w:val="0"/>
      <w:snapToGrid w:val="0"/>
      <w:spacing w:line="400" w:lineRule="exact"/>
      <w:jc w:val="center"/>
    </w:pPr>
    <w:rPr>
      <w:rFonts w:ascii="宋体" w:hAnsi="宋体" w:eastAsia="宋体" w:cs="Times New Roman"/>
      <w:kern w:val="0"/>
    </w:rPr>
  </w:style>
  <w:style w:type="paragraph" w:customStyle="1" w:styleId="1052">
    <w:name w:val="列表 2U"/>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53">
    <w:name w:val="表内小5中"/>
    <w:basedOn w:val="1"/>
    <w:qFormat/>
    <w:uiPriority w:val="99"/>
    <w:rPr>
      <w:rFonts w:ascii="宋体" w:hAnsi="Times New Roman" w:eastAsia="宋体" w:cs="Times New Roman"/>
      <w:sz w:val="18"/>
      <w:szCs w:val="18"/>
    </w:rPr>
  </w:style>
  <w:style w:type="paragraph" w:customStyle="1" w:styleId="1054">
    <w:name w:val="样式 标题 2节标题 1.1标题节第一层条H2Heading 2 HiddenHeading 2 CCBSPIM2..."/>
    <w:basedOn w:val="5"/>
    <w:qFormat/>
    <w:uiPriority w:val="99"/>
    <w:pPr>
      <w:keepLines/>
      <w:numPr>
        <w:ilvl w:val="0"/>
        <w:numId w:val="0"/>
      </w:numPr>
      <w:adjustRightInd/>
      <w:snapToGrid/>
      <w:spacing w:before="260" w:beforeAutospacing="0" w:after="260" w:line="415" w:lineRule="auto"/>
      <w:ind w:left="420" w:hanging="420"/>
      <w:jc w:val="both"/>
    </w:pPr>
    <w:rPr>
      <w:rFonts w:ascii="Arial" w:hAnsi="Arial" w:cs="Times New Roman"/>
      <w:b/>
      <w:kern w:val="0"/>
      <w:sz w:val="32"/>
      <w:szCs w:val="20"/>
    </w:rPr>
  </w:style>
  <w:style w:type="paragraph" w:customStyle="1" w:styleId="1055">
    <w:name w:val="font11"/>
    <w:basedOn w:val="1"/>
    <w:qFormat/>
    <w:uiPriority w:val="99"/>
    <w:pPr>
      <w:widowControl/>
      <w:spacing w:before="100" w:beforeAutospacing="1" w:after="100" w:afterAutospacing="1"/>
      <w:jc w:val="left"/>
    </w:pPr>
    <w:rPr>
      <w:rFonts w:hint="eastAsia" w:ascii="宋体" w:hAnsi="宋体" w:eastAsia="宋体" w:cs="Arial Unicode MS"/>
      <w:b/>
      <w:bCs/>
      <w:kern w:val="0"/>
      <w:sz w:val="20"/>
      <w:szCs w:val="20"/>
    </w:rPr>
  </w:style>
  <w:style w:type="paragraph" w:customStyle="1" w:styleId="1056">
    <w:name w:val="表格内容格式"/>
    <w:basedOn w:val="1"/>
    <w:qFormat/>
    <w:uiPriority w:val="99"/>
    <w:pPr>
      <w:adjustRightInd w:val="0"/>
      <w:snapToGrid w:val="0"/>
      <w:jc w:val="center"/>
      <w:textAlignment w:val="baseline"/>
    </w:pPr>
    <w:rPr>
      <w:rFonts w:ascii="宋体" w:hAnsi="宋体" w:eastAsia="宋体" w:cs="Times New Roman"/>
      <w:snapToGrid w:val="0"/>
      <w:kern w:val="0"/>
      <w:szCs w:val="20"/>
    </w:rPr>
  </w:style>
  <w:style w:type="paragraph" w:customStyle="1" w:styleId="1057">
    <w:name w:val="xl76"/>
    <w:basedOn w:val="1"/>
    <w:qFormat/>
    <w:uiPriority w:val="99"/>
    <w:pPr>
      <w:widowControl/>
      <w:pBdr>
        <w:top w:val="single" w:color="auto" w:sz="8"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058">
    <w:name w:val="xl56"/>
    <w:basedOn w:val="1"/>
    <w:qFormat/>
    <w:uiPriority w:val="99"/>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eastAsia="仿宋_GB2312" w:cs="Times New Roman"/>
      <w:kern w:val="0"/>
      <w:position w:val="-6"/>
      <w:sz w:val="24"/>
    </w:rPr>
  </w:style>
  <w:style w:type="paragraph" w:customStyle="1" w:styleId="1059">
    <w:name w:val="报告书正文"/>
    <w:basedOn w:val="1"/>
    <w:qFormat/>
    <w:uiPriority w:val="0"/>
    <w:pPr>
      <w:adjustRightInd w:val="0"/>
      <w:spacing w:line="360" w:lineRule="exact"/>
      <w:ind w:firstLine="454"/>
      <w:textAlignment w:val="baseline"/>
    </w:pPr>
    <w:rPr>
      <w:rFonts w:ascii="Times New Roman" w:hAnsi="Times New Roman" w:eastAsia="宋体" w:cs="Times New Roman"/>
      <w:kern w:val="0"/>
      <w:sz w:val="24"/>
      <w:szCs w:val="20"/>
    </w:rPr>
  </w:style>
  <w:style w:type="paragraph" w:customStyle="1" w:styleId="1060">
    <w:name w:val="列表 4M"/>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061">
    <w:name w:val="Job Title"/>
    <w:next w:val="997"/>
    <w:qFormat/>
    <w:uiPriority w:val="99"/>
    <w:pPr>
      <w:spacing w:after="40" w:line="220" w:lineRule="atLeast"/>
    </w:pPr>
    <w:rPr>
      <w:rFonts w:ascii="Arial" w:hAnsi="Arial" w:eastAsia="宋体" w:cs="Times New Roman"/>
      <w:b/>
      <w:spacing w:val="-10"/>
      <w:lang w:val="en-US" w:eastAsia="zh-CN" w:bidi="ar-SA"/>
    </w:rPr>
  </w:style>
  <w:style w:type="paragraph" w:customStyle="1" w:styleId="1062">
    <w:name w:val="列表 M"/>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063">
    <w:name w:val="编制人员"/>
    <w:basedOn w:val="1"/>
    <w:qFormat/>
    <w:uiPriority w:val="99"/>
    <w:pPr>
      <w:keepNext/>
      <w:tabs>
        <w:tab w:val="left" w:pos="2190"/>
      </w:tabs>
      <w:adjustRightInd w:val="0"/>
      <w:snapToGrid w:val="0"/>
      <w:spacing w:line="360" w:lineRule="auto"/>
      <w:jc w:val="center"/>
    </w:pPr>
    <w:rPr>
      <w:rFonts w:ascii="黑体" w:hAnsi="宋体" w:eastAsia="黑体" w:cs="Times New Roman"/>
      <w:sz w:val="32"/>
      <w:szCs w:val="28"/>
    </w:rPr>
  </w:style>
  <w:style w:type="paragraph" w:customStyle="1" w:styleId="1064">
    <w:name w:val="样式 正文缩进 + 小四1"/>
    <w:basedOn w:val="21"/>
    <w:qFormat/>
    <w:uiPriority w:val="99"/>
    <w:pPr>
      <w:keepNext/>
      <w:widowControl w:val="0"/>
      <w:tabs>
        <w:tab w:val="left" w:pos="1727"/>
        <w:tab w:val="left" w:pos="1884"/>
      </w:tabs>
      <w:spacing w:line="360" w:lineRule="auto"/>
      <w:ind w:firstLine="480"/>
      <w:outlineLvl w:val="0"/>
    </w:pPr>
    <w:rPr>
      <w:rFonts w:ascii="宋体" w:hAnsi="宋体" w:cs="宋体"/>
      <w:snapToGrid w:val="0"/>
      <w:color w:val="000000"/>
    </w:rPr>
  </w:style>
  <w:style w:type="paragraph" w:customStyle="1" w:styleId="1065">
    <w:name w:val="内蒙4="/>
    <w:basedOn w:val="1"/>
    <w:qFormat/>
    <w:uiPriority w:val="99"/>
    <w:pPr>
      <w:spacing w:line="480" w:lineRule="exact"/>
      <w:outlineLvl w:val="3"/>
    </w:pPr>
    <w:rPr>
      <w:rFonts w:ascii="Times New Roman" w:hAnsi="宋体" w:eastAsia="宋体" w:cs="Times New Roman"/>
      <w:b/>
      <w:color w:val="FF0000"/>
      <w:spacing w:val="20"/>
      <w:sz w:val="24"/>
      <w:szCs w:val="24"/>
    </w:rPr>
  </w:style>
  <w:style w:type="paragraph" w:customStyle="1" w:styleId="1066">
    <w:name w:val="小四表文左齐"/>
    <w:basedOn w:val="1"/>
    <w:qFormat/>
    <w:uiPriority w:val="99"/>
    <w:pPr>
      <w:widowControl/>
      <w:jc w:val="center"/>
    </w:pPr>
    <w:rPr>
      <w:rFonts w:ascii="Times New Roman" w:hAnsi="Times New Roman" w:eastAsia="仿宋_GB2312" w:cs="Times New Roman"/>
      <w:bCs/>
      <w:spacing w:val="6"/>
      <w:kern w:val="16"/>
      <w:sz w:val="28"/>
    </w:rPr>
  </w:style>
  <w:style w:type="paragraph" w:customStyle="1" w:styleId="1067">
    <w:name w:val="xl57"/>
    <w:basedOn w:val="1"/>
    <w:qFormat/>
    <w:uiPriority w:val="99"/>
    <w:pPr>
      <w:widowControl/>
      <w:pBdr>
        <w:top w:val="single" w:color="auto" w:sz="8" w:space="0"/>
        <w:bottom w:val="single" w:color="auto" w:sz="4" w:space="0"/>
      </w:pBdr>
      <w:spacing w:before="100" w:beforeAutospacing="1" w:after="100" w:afterAutospacing="1"/>
      <w:jc w:val="center"/>
    </w:pPr>
    <w:rPr>
      <w:rFonts w:ascii="宋体" w:hAnsi="宋体" w:eastAsia="仿宋_GB2312" w:cs="Times New Roman"/>
      <w:kern w:val="0"/>
      <w:position w:val="-6"/>
      <w:sz w:val="24"/>
    </w:rPr>
  </w:style>
  <w:style w:type="paragraph" w:customStyle="1" w:styleId="1068">
    <w:name w:val="样式 标题 2h22Header 2nd PageA.B.C.h2 main h标题2 + 仿宋_GB2312 行距..."/>
    <w:basedOn w:val="5"/>
    <w:qFormat/>
    <w:uiPriority w:val="0"/>
    <w:pPr>
      <w:keepLines/>
      <w:widowControl/>
      <w:numPr>
        <w:ilvl w:val="0"/>
        <w:numId w:val="0"/>
      </w:numPr>
      <w:adjustRightInd/>
      <w:snapToGrid/>
      <w:spacing w:before="260" w:beforeAutospacing="0" w:after="260"/>
      <w:ind w:left="420" w:firstLine="455" w:firstLineChars="162"/>
    </w:pPr>
    <w:rPr>
      <w:rFonts w:ascii="仿宋_GB2312" w:hAnsi="ˎ̥" w:eastAsia="仿宋_GB2312" w:cs="Times New Roman"/>
      <w:kern w:val="0"/>
      <w:szCs w:val="20"/>
    </w:rPr>
  </w:style>
  <w:style w:type="paragraph" w:customStyle="1" w:styleId="1069">
    <w:name w:val="Char1 Char Char Char Char Char1 Char1"/>
    <w:basedOn w:val="1"/>
    <w:qFormat/>
    <w:uiPriority w:val="99"/>
    <w:rPr>
      <w:rFonts w:ascii="Tahoma" w:hAnsi="Tahoma" w:eastAsia="宋体" w:cs="Times New Roman"/>
      <w:sz w:val="24"/>
      <w:szCs w:val="20"/>
    </w:rPr>
  </w:style>
  <w:style w:type="paragraph" w:customStyle="1" w:styleId="1070">
    <w:name w:val="样式 标题 1 + 两端对齐"/>
    <w:basedOn w:val="3"/>
    <w:qFormat/>
    <w:uiPriority w:val="99"/>
    <w:pPr>
      <w:keepLines/>
      <w:tabs>
        <w:tab w:val="left" w:pos="720"/>
      </w:tabs>
      <w:adjustRightInd/>
      <w:snapToGrid/>
      <w:spacing w:before="0" w:beforeLines="100" w:beforeAutospacing="0" w:afterLines="100" w:line="312" w:lineRule="auto"/>
      <w:ind w:left="-4" w:firstLine="4"/>
    </w:pPr>
    <w:rPr>
      <w:rFonts w:ascii="Times New Roman" w:cs="宋体"/>
      <w:bCs/>
      <w:sz w:val="32"/>
      <w:szCs w:val="20"/>
    </w:rPr>
  </w:style>
  <w:style w:type="paragraph" w:customStyle="1" w:styleId="1071">
    <w:name w:val="121111111111"/>
    <w:basedOn w:val="1"/>
    <w:qFormat/>
    <w:uiPriority w:val="99"/>
    <w:pPr>
      <w:spacing w:line="460" w:lineRule="exact"/>
      <w:jc w:val="center"/>
    </w:pPr>
    <w:rPr>
      <w:rFonts w:ascii="Times New Roman" w:hAnsi="Times New Roman" w:eastAsia="黑体" w:cs="Times New Roman"/>
      <w:color w:val="000000"/>
      <w:spacing w:val="16"/>
      <w:sz w:val="24"/>
      <w:szCs w:val="24"/>
    </w:rPr>
  </w:style>
  <w:style w:type="paragraph" w:customStyle="1" w:styleId="1072">
    <w:name w:val="Main"/>
    <w:basedOn w:val="1"/>
    <w:qFormat/>
    <w:uiPriority w:val="0"/>
    <w:pPr>
      <w:spacing w:line="480" w:lineRule="atLeast"/>
      <w:ind w:left="400" w:leftChars="400" w:right="400" w:firstLine="200"/>
    </w:pPr>
    <w:rPr>
      <w:rFonts w:hint="eastAsia" w:ascii="Tahoma" w:hAnsi="Tahoma" w:eastAsia="宋体" w:cs="Times New Roman"/>
    </w:rPr>
  </w:style>
  <w:style w:type="paragraph" w:customStyle="1" w:styleId="1073">
    <w:name w:val="表标题1.7－2"/>
    <w:basedOn w:val="1"/>
    <w:qFormat/>
    <w:uiPriority w:val="99"/>
    <w:pPr>
      <w:spacing w:beforeLines="100" w:line="0" w:lineRule="atLeast"/>
    </w:pPr>
    <w:rPr>
      <w:rFonts w:ascii="Times New Roman" w:hAnsi="Times New Roman" w:eastAsia="宋体" w:cs="Times New Roman"/>
      <w:color w:val="000000"/>
      <w:sz w:val="24"/>
      <w:szCs w:val="24"/>
    </w:rPr>
  </w:style>
  <w:style w:type="paragraph" w:customStyle="1" w:styleId="1074">
    <w:name w:val="样式 标题 3H3条标题1.1.11.1.1标题 3H31H32H33u3标题 3 Char Char Char...1"/>
    <w:basedOn w:val="6"/>
    <w:qFormat/>
    <w:uiPriority w:val="99"/>
    <w:pPr>
      <w:keepLines/>
      <w:widowControl/>
      <w:numPr>
        <w:ilvl w:val="0"/>
        <w:numId w:val="0"/>
      </w:numPr>
      <w:adjustRightInd/>
      <w:snapToGrid/>
      <w:spacing w:before="0" w:beforeLines="100" w:afterLines="50" w:line="240" w:lineRule="auto"/>
    </w:pPr>
    <w:rPr>
      <w:rFonts w:ascii="Times New Roman" w:hAnsi="Times New Roman" w:cs="宋体"/>
      <w:b/>
      <w:kern w:val="28"/>
      <w:sz w:val="30"/>
      <w:szCs w:val="20"/>
    </w:rPr>
  </w:style>
  <w:style w:type="paragraph" w:customStyle="1" w:styleId="1075">
    <w:name w:val="xl67"/>
    <w:basedOn w:val="1"/>
    <w:qFormat/>
    <w:uiPriority w:val="99"/>
    <w:pPr>
      <w:widowControl/>
      <w:pBdr>
        <w:bottom w:val="single" w:color="auto" w:sz="8" w:space="0"/>
      </w:pBdr>
      <w:spacing w:before="100" w:beforeAutospacing="1" w:after="100" w:afterAutospacing="1"/>
      <w:jc w:val="right"/>
    </w:pPr>
    <w:rPr>
      <w:rFonts w:ascii="宋体" w:hAnsi="宋体" w:eastAsia="仿宋_GB2312" w:cs="Times New Roman"/>
      <w:kern w:val="0"/>
      <w:position w:val="-6"/>
      <w:sz w:val="24"/>
    </w:rPr>
  </w:style>
  <w:style w:type="paragraph" w:customStyle="1" w:styleId="1076">
    <w:name w:val="表内5中9"/>
    <w:basedOn w:val="1"/>
    <w:qFormat/>
    <w:uiPriority w:val="99"/>
    <w:pPr>
      <w:adjustRightInd w:val="0"/>
      <w:snapToGrid w:val="0"/>
      <w:jc w:val="center"/>
    </w:pPr>
    <w:rPr>
      <w:rFonts w:ascii="Times New Roman" w:hAnsi="宋体" w:eastAsia="宋体" w:cs="Times New Roman"/>
      <w:snapToGrid w:val="0"/>
      <w:kern w:val="0"/>
      <w:sz w:val="18"/>
      <w:szCs w:val="18"/>
    </w:rPr>
  </w:style>
  <w:style w:type="paragraph" w:customStyle="1" w:styleId="1077">
    <w:name w:val="简单回函地址"/>
    <w:basedOn w:val="1"/>
    <w:qFormat/>
    <w:uiPriority w:val="99"/>
    <w:rPr>
      <w:rFonts w:ascii="宋体" w:hAnsi="宋体" w:eastAsia="宋体" w:cs="Times New Roman"/>
      <w:sz w:val="24"/>
      <w:szCs w:val="32"/>
    </w:rPr>
  </w:style>
  <w:style w:type="paragraph" w:customStyle="1" w:styleId="1078">
    <w:name w:val="样式 页眉 + 宋体 黑色 段前: 0 磅 段后: 0 磅 行距: 固定值 12 磅2"/>
    <w:basedOn w:val="53"/>
    <w:qFormat/>
    <w:uiPriority w:val="0"/>
    <w:pPr>
      <w:widowControl w:val="0"/>
      <w:pBdr>
        <w:bottom w:val="none" w:color="auto" w:sz="0" w:space="0"/>
      </w:pBdr>
      <w:tabs>
        <w:tab w:val="clear" w:pos="4153"/>
        <w:tab w:val="clear" w:pos="8306"/>
      </w:tabs>
      <w:snapToGrid/>
      <w:spacing w:line="240" w:lineRule="exact"/>
    </w:pPr>
    <w:rPr>
      <w:rFonts w:hAnsi="宋体" w:cs="Times New Roman"/>
      <w:color w:val="000000"/>
      <w:kern w:val="0"/>
      <w:sz w:val="21"/>
      <w:szCs w:val="20"/>
    </w:rPr>
  </w:style>
  <w:style w:type="paragraph" w:customStyle="1" w:styleId="1079">
    <w:name w:val="tian"/>
    <w:basedOn w:val="1"/>
    <w:qFormat/>
    <w:uiPriority w:val="99"/>
    <w:rPr>
      <w:rFonts w:ascii="Times New Roman" w:hAnsi="Times New Roman" w:eastAsia="宋体" w:cs="Times New Roman"/>
      <w:sz w:val="24"/>
      <w:szCs w:val="20"/>
    </w:rPr>
  </w:style>
  <w:style w:type="paragraph" w:customStyle="1" w:styleId="1080">
    <w:name w:val="xl75"/>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仿宋_GB2312" w:cs="Times New Roman"/>
      <w:kern w:val="0"/>
      <w:position w:val="-6"/>
      <w:sz w:val="24"/>
      <w:szCs w:val="24"/>
    </w:rPr>
  </w:style>
  <w:style w:type="paragraph" w:customStyle="1" w:styleId="1081">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1082">
    <w:name w:val="4级样式"/>
    <w:basedOn w:val="7"/>
    <w:qFormat/>
    <w:uiPriority w:val="0"/>
    <w:pPr>
      <w:keepLines/>
      <w:numPr>
        <w:ilvl w:val="0"/>
        <w:numId w:val="0"/>
      </w:numPr>
      <w:adjustRightInd/>
      <w:snapToGrid/>
      <w:spacing w:before="0" w:beforeAutospacing="0"/>
      <w:jc w:val="both"/>
    </w:pPr>
    <w:rPr>
      <w:rFonts w:ascii="黑体" w:hAnsi="黑体" w:eastAsia="黑体" w:cs="Times New Roman"/>
      <w:b w:val="0"/>
      <w:bCs w:val="0"/>
      <w:kern w:val="0"/>
      <w:szCs w:val="24"/>
      <w:lang w:val="zh-CN"/>
    </w:rPr>
  </w:style>
  <w:style w:type="paragraph" w:customStyle="1" w:styleId="1083">
    <w:name w:val="表内字新"/>
    <w:next w:val="1"/>
    <w:qFormat/>
    <w:uiPriority w:val="99"/>
    <w:pPr>
      <w:suppressAutoHyphens/>
      <w:adjustRightInd w:val="0"/>
      <w:spacing w:line="0" w:lineRule="atLeast"/>
      <w:jc w:val="center"/>
    </w:pPr>
    <w:rPr>
      <w:rFonts w:ascii="Times New Roman" w:hAnsi="Times New Roman" w:eastAsia="宋体" w:cs="Times New Roman"/>
      <w:sz w:val="21"/>
      <w:lang w:val="en-US" w:eastAsia="zh-CN" w:bidi="ar-SA"/>
    </w:rPr>
  </w:style>
  <w:style w:type="paragraph" w:customStyle="1" w:styleId="1084">
    <w:name w:val="样式 标题 1 + 自动设置"/>
    <w:basedOn w:val="3"/>
    <w:qFormat/>
    <w:uiPriority w:val="99"/>
    <w:pPr>
      <w:keepNext/>
      <w:keepLines/>
      <w:tabs>
        <w:tab w:val="left" w:pos="700"/>
        <w:tab w:val="left" w:pos="1440"/>
      </w:tabs>
      <w:autoSpaceDE w:val="0"/>
      <w:autoSpaceDN w:val="0"/>
      <w:snapToGrid/>
      <w:spacing w:before="0" w:beforeAutospacing="0" w:line="700" w:lineRule="exact"/>
      <w:ind w:left="431" w:hanging="431"/>
      <w:jc w:val="center"/>
    </w:pPr>
    <w:rPr>
      <w:rFonts w:ascii="Times New Roman" w:eastAsia="宋体" w:cs="Times New Roman"/>
      <w:bCs/>
      <w:sz w:val="32"/>
      <w:szCs w:val="20"/>
    </w:rPr>
  </w:style>
  <w:style w:type="paragraph" w:customStyle="1" w:styleId="1085">
    <w:name w:val="标题样式1"/>
    <w:basedOn w:val="32"/>
    <w:qFormat/>
    <w:uiPriority w:val="99"/>
    <w:pPr>
      <w:adjustRightInd w:val="0"/>
      <w:snapToGrid w:val="0"/>
      <w:spacing w:after="0" w:line="0" w:lineRule="atLeast"/>
      <w:jc w:val="center"/>
      <w:textAlignment w:val="baseline"/>
    </w:pPr>
    <w:rPr>
      <w:rFonts w:ascii="Times New Roman" w:hAnsi="Times New Roman" w:eastAsia="宋体" w:cs="Times New Roman"/>
      <w:b/>
      <w:bCs/>
      <w:snapToGrid w:val="0"/>
      <w:kern w:val="0"/>
      <w:sz w:val="24"/>
      <w:szCs w:val="20"/>
    </w:rPr>
  </w:style>
  <w:style w:type="paragraph" w:customStyle="1" w:styleId="1086">
    <w:name w:val="表格03"/>
    <w:basedOn w:val="1"/>
    <w:qFormat/>
    <w:uiPriority w:val="0"/>
    <w:pPr>
      <w:spacing w:line="400" w:lineRule="atLeast"/>
      <w:jc w:val="center"/>
    </w:pPr>
    <w:rPr>
      <w:rFonts w:ascii="Times New Roman" w:hAnsi="Times New Roman" w:eastAsia="宋体" w:cs="Times New Roman"/>
    </w:rPr>
  </w:style>
  <w:style w:type="paragraph" w:customStyle="1" w:styleId="1087">
    <w:name w:val="样式4"/>
    <w:basedOn w:val="21"/>
    <w:qFormat/>
    <w:uiPriority w:val="99"/>
    <w:pPr>
      <w:widowControl w:val="0"/>
      <w:adjustRightInd w:val="0"/>
      <w:snapToGrid w:val="0"/>
      <w:spacing w:line="360" w:lineRule="auto"/>
      <w:ind w:firstLine="420"/>
      <w:textAlignment w:val="baseline"/>
    </w:pPr>
    <w:rPr>
      <w:rFonts w:ascii="Times New Roman" w:hAnsi="Times New Roman"/>
      <w:sz w:val="24"/>
    </w:rPr>
  </w:style>
  <w:style w:type="paragraph" w:customStyle="1" w:styleId="1088">
    <w:name w:val="CM10"/>
    <w:basedOn w:val="202"/>
    <w:next w:val="202"/>
    <w:qFormat/>
    <w:uiPriority w:val="99"/>
    <w:pPr>
      <w:autoSpaceDE/>
      <w:autoSpaceDN/>
      <w:adjustRightInd/>
      <w:spacing w:beforeLines="0" w:afterLines="0" w:line="468" w:lineRule="atLeast"/>
      <w:ind w:left="210"/>
    </w:pPr>
    <w:rPr>
      <w:rFonts w:ascii="Calibri" w:hAnsi="Calibri" w:eastAsia="宋体"/>
      <w:b w:val="0"/>
      <w:smallCaps/>
      <w:snapToGrid/>
      <w:color w:val="auto"/>
      <w:sz w:val="20"/>
      <w:szCs w:val="20"/>
    </w:rPr>
  </w:style>
  <w:style w:type="paragraph" w:customStyle="1" w:styleId="1089">
    <w:name w:val="默认段落字体 Para Char Char Char Char Char Char Char Char Char Char Char Char Char Char Char Char"/>
    <w:basedOn w:val="1"/>
    <w:qFormat/>
    <w:uiPriority w:val="99"/>
    <w:pPr>
      <w:spacing w:line="360" w:lineRule="auto"/>
      <w:ind w:firstLine="200" w:firstLineChars="200"/>
    </w:pPr>
    <w:rPr>
      <w:rFonts w:ascii="宋体" w:hAnsi="宋体" w:eastAsia="宋体" w:cs="宋体"/>
      <w:sz w:val="24"/>
      <w:szCs w:val="24"/>
    </w:rPr>
  </w:style>
  <w:style w:type="paragraph" w:customStyle="1" w:styleId="1090">
    <w:name w:val="lyh 正文"/>
    <w:basedOn w:val="65"/>
    <w:qFormat/>
    <w:uiPriority w:val="0"/>
    <w:pPr>
      <w:adjustRightInd w:val="0"/>
      <w:snapToGrid w:val="0"/>
      <w:spacing w:after="0" w:line="360" w:lineRule="auto"/>
      <w:ind w:left="0" w:leftChars="0" w:firstLine="200" w:firstLineChars="200"/>
    </w:pPr>
    <w:rPr>
      <w:rFonts w:ascii="宋体"/>
      <w:sz w:val="28"/>
      <w:szCs w:val="28"/>
    </w:rPr>
  </w:style>
  <w:style w:type="paragraph" w:customStyle="1" w:styleId="1091">
    <w:name w:val="Char1 Char Char Char Char Char1 Char"/>
    <w:basedOn w:val="1"/>
    <w:qFormat/>
    <w:uiPriority w:val="0"/>
    <w:rPr>
      <w:rFonts w:ascii="Tahoma" w:hAnsi="Tahoma" w:eastAsia="宋体" w:cs="Times New Roman"/>
      <w:sz w:val="24"/>
      <w:szCs w:val="20"/>
    </w:rPr>
  </w:style>
  <w:style w:type="paragraph" w:customStyle="1" w:styleId="1092">
    <w:name w:val="CM70"/>
    <w:basedOn w:val="202"/>
    <w:next w:val="202"/>
    <w:qFormat/>
    <w:uiPriority w:val="99"/>
    <w:pPr>
      <w:autoSpaceDE/>
      <w:autoSpaceDN/>
      <w:adjustRightInd/>
      <w:spacing w:beforeLines="0" w:after="300" w:afterLines="0" w:line="240" w:lineRule="auto"/>
      <w:ind w:left="210"/>
    </w:pPr>
    <w:rPr>
      <w:rFonts w:ascii="Calibri" w:hAnsi="Calibri" w:eastAsia="宋体"/>
      <w:b w:val="0"/>
      <w:smallCaps/>
      <w:snapToGrid/>
      <w:color w:val="auto"/>
      <w:sz w:val="20"/>
      <w:szCs w:val="20"/>
    </w:rPr>
  </w:style>
  <w:style w:type="paragraph" w:customStyle="1" w:styleId="1093">
    <w:name w:val="样式 燕山正文 + 首行缩进:  2 字符"/>
    <w:basedOn w:val="1"/>
    <w:qFormat/>
    <w:uiPriority w:val="99"/>
    <w:pPr>
      <w:tabs>
        <w:tab w:val="left" w:pos="4680"/>
      </w:tabs>
      <w:adjustRightInd w:val="0"/>
      <w:snapToGrid w:val="0"/>
      <w:spacing w:beforeLines="30" w:afterLines="30" w:line="360" w:lineRule="auto"/>
      <w:ind w:firstLine="480" w:firstLineChars="200"/>
      <w:jc w:val="left"/>
    </w:pPr>
    <w:rPr>
      <w:rFonts w:ascii="Times New Roman" w:hAnsi="Times New Roman" w:eastAsia="宋体" w:cs="Times New Roman"/>
      <w:sz w:val="24"/>
      <w:szCs w:val="20"/>
    </w:rPr>
  </w:style>
  <w:style w:type="paragraph" w:customStyle="1" w:styleId="1094">
    <w:name w:val="表格标题2"/>
    <w:basedOn w:val="474"/>
    <w:next w:val="474"/>
    <w:qFormat/>
    <w:uiPriority w:val="0"/>
    <w:pPr>
      <w:spacing w:line="240" w:lineRule="auto"/>
    </w:pPr>
    <w:rPr>
      <w:rFonts w:eastAsia="宋体"/>
      <w:b/>
    </w:rPr>
  </w:style>
  <w:style w:type="paragraph" w:customStyle="1" w:styleId="1095">
    <w:name w:val="表内5"/>
    <w:basedOn w:val="448"/>
    <w:qFormat/>
    <w:uiPriority w:val="99"/>
    <w:pPr>
      <w:tabs>
        <w:tab w:val="left" w:pos="4305"/>
        <w:tab w:val="clear" w:pos="0"/>
      </w:tabs>
      <w:adjustRightInd w:val="0"/>
      <w:snapToGrid w:val="0"/>
      <w:spacing w:line="400" w:lineRule="exact"/>
      <w:ind w:firstLine="480" w:firstLineChars="200"/>
      <w:jc w:val="center"/>
    </w:pPr>
    <w:rPr>
      <w:rFonts w:ascii="宋体" w:hAnsi="宋体"/>
      <w:b w:val="0"/>
      <w:color w:val="000000"/>
      <w:sz w:val="21"/>
      <w:szCs w:val="21"/>
      <w:shd w:val="pct10" w:color="auto" w:fill="FFFFFF"/>
    </w:rPr>
  </w:style>
  <w:style w:type="paragraph" w:customStyle="1" w:styleId="1096">
    <w:name w:val="xl74"/>
    <w:basedOn w:val="1"/>
    <w:qFormat/>
    <w:uiPriority w:val="99"/>
    <w:pPr>
      <w:widowControl/>
      <w:pBdr>
        <w:right w:val="single" w:color="auto" w:sz="4" w:space="0"/>
      </w:pBdr>
      <w:spacing w:before="100" w:beforeAutospacing="1" w:after="100" w:afterAutospacing="1"/>
      <w:jc w:val="left"/>
    </w:pPr>
    <w:rPr>
      <w:rFonts w:ascii="宋体" w:hAnsi="宋体" w:eastAsia="仿宋_GB2312" w:cs="Times New Roman"/>
      <w:kern w:val="0"/>
      <w:position w:val="-6"/>
      <w:sz w:val="24"/>
      <w:szCs w:val="24"/>
    </w:rPr>
  </w:style>
  <w:style w:type="paragraph" w:customStyle="1" w:styleId="1097">
    <w:name w:val="列表 3K"/>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098">
    <w:name w:val="图表目录1"/>
    <w:basedOn w:val="288"/>
    <w:next w:val="288"/>
    <w:qFormat/>
    <w:uiPriority w:val="99"/>
    <w:pPr>
      <w:tabs>
        <w:tab w:val="right" w:leader="dot" w:pos="8051"/>
      </w:tabs>
      <w:ind w:left="840" w:hanging="840"/>
    </w:pPr>
    <w:rPr>
      <w:rFonts w:eastAsia="Times New Roman"/>
      <w:szCs w:val="22"/>
    </w:rPr>
  </w:style>
  <w:style w:type="paragraph" w:customStyle="1" w:styleId="1099">
    <w:name w:val="样式 标题 21.1标题 21.1标题2标题 2 Char1节_Heading 2标2二级标题1.1标题一..."/>
    <w:basedOn w:val="5"/>
    <w:qFormat/>
    <w:uiPriority w:val="99"/>
    <w:pPr>
      <w:keepLines/>
      <w:numPr>
        <w:ilvl w:val="0"/>
        <w:numId w:val="0"/>
      </w:numPr>
      <w:tabs>
        <w:tab w:val="left" w:pos="840"/>
      </w:tabs>
      <w:adjustRightInd/>
      <w:snapToGrid/>
      <w:spacing w:before="120" w:beforeAutospacing="0" w:after="120" w:line="312" w:lineRule="auto"/>
      <w:ind w:left="840" w:hanging="420"/>
      <w:jc w:val="both"/>
    </w:pPr>
    <w:rPr>
      <w:rFonts w:ascii="Arial" w:hAnsi="Arial" w:cs="Times New Roman"/>
      <w:b/>
      <w:kern w:val="0"/>
      <w:sz w:val="24"/>
      <w:szCs w:val="24"/>
    </w:rPr>
  </w:style>
  <w:style w:type="paragraph" w:customStyle="1" w:styleId="1100">
    <w:name w:val="表格文本"/>
    <w:basedOn w:val="1"/>
    <w:next w:val="1"/>
    <w:qFormat/>
    <w:uiPriority w:val="99"/>
    <w:pPr>
      <w:spacing w:line="240" w:lineRule="exact"/>
    </w:pPr>
    <w:rPr>
      <w:rFonts w:ascii="Times New Roman" w:hAnsi="Times New Roman" w:eastAsia="宋体" w:cs="Times New Roman"/>
      <w:szCs w:val="20"/>
    </w:rPr>
  </w:style>
  <w:style w:type="paragraph" w:customStyle="1" w:styleId="1101">
    <w:name w:val="CM29"/>
    <w:basedOn w:val="202"/>
    <w:next w:val="202"/>
    <w:qFormat/>
    <w:uiPriority w:val="99"/>
    <w:pPr>
      <w:autoSpaceDE/>
      <w:autoSpaceDN/>
      <w:adjustRightInd/>
      <w:spacing w:beforeLines="0" w:afterLines="0" w:line="456" w:lineRule="atLeast"/>
      <w:ind w:left="210"/>
    </w:pPr>
    <w:rPr>
      <w:rFonts w:ascii="宋体" w:hAnsi="Calibri" w:eastAsia="宋体" w:cs="宋体"/>
      <w:b w:val="0"/>
      <w:smallCaps/>
      <w:snapToGrid/>
      <w:color w:val="auto"/>
      <w:sz w:val="20"/>
      <w:szCs w:val="20"/>
    </w:rPr>
  </w:style>
  <w:style w:type="paragraph" w:customStyle="1" w:styleId="1102">
    <w:name w:val="In Table (II)"/>
    <w:basedOn w:val="1103"/>
    <w:qFormat/>
    <w:uiPriority w:val="99"/>
    <w:pPr>
      <w:tabs>
        <w:tab w:val="left" w:pos="2200"/>
        <w:tab w:val="left" w:pos="3960"/>
        <w:tab w:val="left" w:pos="5280"/>
      </w:tabs>
      <w:spacing w:beforeLines="25" w:afterLines="25"/>
      <w:ind w:left="52" w:leftChars="20"/>
      <w:jc w:val="left"/>
    </w:pPr>
    <w:rPr>
      <w:bCs/>
    </w:rPr>
  </w:style>
  <w:style w:type="paragraph" w:customStyle="1" w:styleId="1103">
    <w:name w:val="In Table"/>
    <w:basedOn w:val="1"/>
    <w:qFormat/>
    <w:uiPriority w:val="99"/>
    <w:pPr>
      <w:tabs>
        <w:tab w:val="left" w:pos="3960"/>
        <w:tab w:val="left" w:pos="5280"/>
      </w:tabs>
      <w:spacing w:before="96" w:after="96" w:line="0" w:lineRule="atLeast"/>
      <w:jc w:val="center"/>
    </w:pPr>
    <w:rPr>
      <w:rFonts w:ascii="Tahoma" w:hAnsi="Tahoma" w:eastAsia="华文中宋" w:cs="Times New Roman"/>
      <w:szCs w:val="20"/>
    </w:rPr>
  </w:style>
  <w:style w:type="paragraph" w:customStyle="1" w:styleId="1104">
    <w:name w:val="CM9"/>
    <w:basedOn w:val="202"/>
    <w:next w:val="202"/>
    <w:qFormat/>
    <w:uiPriority w:val="0"/>
    <w:pPr>
      <w:autoSpaceDE/>
      <w:autoSpaceDN/>
      <w:adjustRightInd/>
      <w:spacing w:beforeLines="0" w:afterLines="0" w:line="468" w:lineRule="atLeast"/>
      <w:ind w:left="210"/>
    </w:pPr>
    <w:rPr>
      <w:rFonts w:ascii="Calibri" w:hAnsi="Calibri" w:eastAsia="宋体"/>
      <w:b w:val="0"/>
      <w:smallCaps/>
      <w:snapToGrid/>
      <w:color w:val="auto"/>
      <w:sz w:val="20"/>
      <w:szCs w:val="20"/>
    </w:rPr>
  </w:style>
  <w:style w:type="paragraph" w:customStyle="1" w:styleId="1105">
    <w:name w:val="Char Char210"/>
    <w:basedOn w:val="1"/>
    <w:qFormat/>
    <w:uiPriority w:val="0"/>
    <w:pPr>
      <w:spacing w:beforeLines="100"/>
    </w:pPr>
    <w:rPr>
      <w:rFonts w:ascii="Times New Roman" w:hAnsi="Times New Roman" w:eastAsia="宋体" w:cs="Times New Roman"/>
      <w:szCs w:val="24"/>
    </w:rPr>
  </w:style>
  <w:style w:type="paragraph" w:customStyle="1" w:styleId="1106">
    <w:name w:val="样式 黑体 加粗 居中"/>
    <w:basedOn w:val="1"/>
    <w:qFormat/>
    <w:uiPriority w:val="99"/>
    <w:pPr>
      <w:spacing w:line="312" w:lineRule="auto"/>
      <w:ind w:firstLine="573"/>
      <w:jc w:val="center"/>
    </w:pPr>
    <w:rPr>
      <w:rFonts w:ascii="Times New Roman" w:hAnsi="Times New Roman" w:eastAsia="黑体" w:cs="宋体"/>
      <w:b/>
      <w:bCs/>
      <w:sz w:val="24"/>
      <w:szCs w:val="24"/>
    </w:rPr>
  </w:style>
  <w:style w:type="paragraph" w:customStyle="1" w:styleId="1107">
    <w:name w:val="标题6"/>
    <w:basedOn w:val="1"/>
    <w:next w:val="79"/>
    <w:qFormat/>
    <w:uiPriority w:val="99"/>
    <w:pPr>
      <w:keepNext/>
      <w:spacing w:line="360" w:lineRule="auto"/>
      <w:ind w:firstLine="567"/>
      <w:jc w:val="left"/>
      <w:outlineLvl w:val="5"/>
    </w:pPr>
    <w:rPr>
      <w:rFonts w:ascii="Times New Roman" w:hAnsi="Times New Roman" w:eastAsia="宋体" w:cs="Times New Roman"/>
      <w:sz w:val="28"/>
    </w:rPr>
  </w:style>
  <w:style w:type="paragraph" w:customStyle="1" w:styleId="1108">
    <w:name w:val="标题5"/>
    <w:basedOn w:val="288"/>
    <w:qFormat/>
    <w:uiPriority w:val="99"/>
    <w:pPr>
      <w:snapToGrid w:val="0"/>
      <w:spacing w:beforeLines="50" w:line="360" w:lineRule="auto"/>
      <w:ind w:firstLine="520" w:firstLineChars="200"/>
      <w:jc w:val="both"/>
      <w:textAlignment w:val="auto"/>
    </w:pPr>
    <w:rPr>
      <w:rFonts w:ascii="Times New Roman"/>
      <w:snapToGrid w:val="0"/>
      <w:color w:val="000000"/>
      <w:szCs w:val="24"/>
    </w:rPr>
  </w:style>
  <w:style w:type="paragraph" w:customStyle="1" w:styleId="1109">
    <w:name w:val="Char Char Char Char Char Char Char Char Char Char Char Char1 Char"/>
    <w:basedOn w:val="1"/>
    <w:next w:val="1"/>
    <w:qFormat/>
    <w:uiPriority w:val="0"/>
    <w:pPr>
      <w:spacing w:line="336" w:lineRule="auto"/>
      <w:ind w:firstLine="200" w:firstLineChars="200"/>
    </w:pPr>
    <w:rPr>
      <w:rFonts w:ascii="宋体" w:hAnsi="宋体" w:eastAsia="汉鼎简书宋" w:cs="宋体"/>
      <w:sz w:val="24"/>
      <w:szCs w:val="24"/>
    </w:rPr>
  </w:style>
  <w:style w:type="paragraph" w:customStyle="1" w:styleId="1110">
    <w:name w:val="正文标题3"/>
    <w:basedOn w:val="6"/>
    <w:qFormat/>
    <w:uiPriority w:val="99"/>
    <w:pPr>
      <w:keepLines/>
      <w:numPr>
        <w:ilvl w:val="0"/>
        <w:numId w:val="0"/>
      </w:numPr>
      <w:adjustRightInd/>
      <w:snapToGrid/>
      <w:spacing w:before="0" w:line="240" w:lineRule="auto"/>
    </w:pPr>
    <w:rPr>
      <w:rFonts w:ascii="Times New Roman" w:hAnsi="Times New Roman" w:cs="Times New Roman"/>
      <w:kern w:val="0"/>
      <w:sz w:val="28"/>
    </w:rPr>
  </w:style>
  <w:style w:type="paragraph" w:customStyle="1" w:styleId="1111">
    <w:name w:val="正文文字缩进1"/>
    <w:basedOn w:val="47"/>
    <w:qFormat/>
    <w:uiPriority w:val="0"/>
    <w:pPr>
      <w:spacing w:after="0" w:line="360" w:lineRule="auto"/>
      <w:ind w:left="0" w:leftChars="0" w:firstLine="560"/>
    </w:pPr>
    <w:rPr>
      <w:rFonts w:ascii="黑体" w:hAnsi="Arial Black" w:eastAsia="黑体" w:cs="Times New Roman"/>
      <w:b/>
      <w:bCs/>
      <w:kern w:val="0"/>
      <w:sz w:val="28"/>
      <w:szCs w:val="20"/>
    </w:rPr>
  </w:style>
  <w:style w:type="paragraph" w:customStyle="1" w:styleId="1112">
    <w:name w:val="前言"/>
    <w:basedOn w:val="249"/>
    <w:qFormat/>
    <w:uiPriority w:val="99"/>
    <w:pPr>
      <w:widowControl/>
      <w:snapToGrid/>
      <w:ind w:firstLine="300" w:firstLineChars="300"/>
      <w:jc w:val="left"/>
      <w:outlineLvl w:val="0"/>
    </w:pPr>
    <w:rPr>
      <w:rFonts w:ascii="仿宋_GB2312" w:eastAsia="宋体"/>
      <w:b/>
      <w:bCs/>
      <w:szCs w:val="28"/>
    </w:rPr>
  </w:style>
  <w:style w:type="paragraph" w:customStyle="1" w:styleId="1113">
    <w:name w:val="默认段落字体 Para Char Char Char Char"/>
    <w:basedOn w:val="1"/>
    <w:qFormat/>
    <w:uiPriority w:val="99"/>
    <w:rPr>
      <w:rFonts w:ascii="Times New Roman" w:hAnsi="Times New Roman" w:eastAsia="宋体" w:cs="Times New Roman"/>
      <w:szCs w:val="24"/>
    </w:rPr>
  </w:style>
  <w:style w:type="paragraph" w:customStyle="1" w:styleId="1114">
    <w:name w:val="表标题1"/>
    <w:basedOn w:val="1"/>
    <w:qFormat/>
    <w:uiPriority w:val="99"/>
    <w:pPr>
      <w:keepNext/>
      <w:adjustRightInd w:val="0"/>
      <w:spacing w:before="60" w:after="60" w:line="397" w:lineRule="atLeast"/>
      <w:jc w:val="center"/>
      <w:textAlignment w:val="baseline"/>
    </w:pPr>
    <w:rPr>
      <w:rFonts w:ascii="Times New Roman" w:hAnsi="Times New Roman" w:eastAsia="宋体" w:cs="Times New Roman"/>
      <w:b/>
      <w:kern w:val="0"/>
      <w:sz w:val="24"/>
      <w:szCs w:val="20"/>
    </w:rPr>
  </w:style>
  <w:style w:type="paragraph" w:customStyle="1" w:styleId="1115">
    <w:name w:val="样式 样式 标题 1 + 两端对齐 + 居中"/>
    <w:basedOn w:val="1"/>
    <w:qFormat/>
    <w:uiPriority w:val="99"/>
    <w:pPr>
      <w:keepLines/>
      <w:tabs>
        <w:tab w:val="left" w:pos="1424"/>
      </w:tabs>
      <w:spacing w:before="840" w:after="360" w:line="312" w:lineRule="auto"/>
      <w:ind w:left="573"/>
      <w:jc w:val="center"/>
      <w:outlineLvl w:val="0"/>
    </w:pPr>
    <w:rPr>
      <w:rFonts w:ascii="Times New Roman" w:hAnsi="Times New Roman" w:eastAsia="黑体" w:cs="宋体"/>
      <w:b/>
      <w:bCs/>
      <w:kern w:val="44"/>
      <w:sz w:val="36"/>
      <w:szCs w:val="36"/>
    </w:rPr>
  </w:style>
  <w:style w:type="paragraph" w:customStyle="1" w:styleId="1116">
    <w:name w:val="正文-使用"/>
    <w:basedOn w:val="1"/>
    <w:qFormat/>
    <w:uiPriority w:val="0"/>
    <w:pPr>
      <w:spacing w:line="360" w:lineRule="auto"/>
      <w:ind w:firstLine="482" w:firstLineChars="200"/>
    </w:pPr>
    <w:rPr>
      <w:rFonts w:ascii="Times New Roman" w:hAnsi="Times New Roman" w:eastAsia="宋体" w:cs="Times New Roman"/>
      <w:sz w:val="24"/>
      <w:szCs w:val="20"/>
    </w:rPr>
  </w:style>
  <w:style w:type="paragraph" w:customStyle="1" w:styleId="1117">
    <w:name w:val="xl89"/>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Arial Unicode MS" w:cs="Times New Roman"/>
      <w:kern w:val="0"/>
      <w:sz w:val="16"/>
      <w:szCs w:val="16"/>
    </w:rPr>
  </w:style>
  <w:style w:type="paragraph" w:customStyle="1" w:styleId="1118">
    <w:name w:val="样式 小四"/>
    <w:basedOn w:val="1"/>
    <w:qFormat/>
    <w:uiPriority w:val="99"/>
    <w:pPr>
      <w:ind w:firstLine="200" w:firstLineChars="200"/>
    </w:pPr>
    <w:rPr>
      <w:rFonts w:ascii="Times New Roman" w:hAnsi="Times New Roman" w:eastAsia="宋体" w:cs="宋体"/>
      <w:sz w:val="24"/>
      <w:szCs w:val="20"/>
    </w:rPr>
  </w:style>
  <w:style w:type="paragraph" w:customStyle="1" w:styleId="1119">
    <w:name w:val="表中文字"/>
    <w:basedOn w:val="1"/>
    <w:link w:val="1120"/>
    <w:qFormat/>
    <w:uiPriority w:val="99"/>
    <w:pPr>
      <w:topLinePunct/>
      <w:spacing w:line="360" w:lineRule="auto"/>
      <w:jc w:val="center"/>
    </w:pPr>
    <w:rPr>
      <w:rFonts w:ascii="仿宋_GB2312" w:hAnsi="Times New Roman" w:eastAsia="仿宋_GB2312" w:cs="Times New Roman"/>
      <w:sz w:val="28"/>
      <w:szCs w:val="20"/>
    </w:rPr>
  </w:style>
  <w:style w:type="character" w:customStyle="1" w:styleId="1120">
    <w:name w:val="表中文字 Char"/>
    <w:link w:val="1119"/>
    <w:qFormat/>
    <w:uiPriority w:val="99"/>
    <w:rPr>
      <w:rFonts w:ascii="仿宋_GB2312" w:hAnsi="Times New Roman" w:eastAsia="仿宋_GB2312" w:cs="Times New Roman"/>
      <w:kern w:val="2"/>
      <w:sz w:val="28"/>
    </w:rPr>
  </w:style>
  <w:style w:type="paragraph" w:customStyle="1" w:styleId="1121">
    <w:name w:val="Section Title"/>
    <w:basedOn w:val="1"/>
    <w:next w:val="1"/>
    <w:qFormat/>
    <w:uiPriority w:val="99"/>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jc w:val="left"/>
    </w:pPr>
    <w:rPr>
      <w:rFonts w:ascii="Arial" w:hAnsi="Arial" w:eastAsia="宋体" w:cs="Times New Roman"/>
      <w:b/>
      <w:spacing w:val="-10"/>
      <w:kern w:val="0"/>
      <w:position w:val="7"/>
      <w:sz w:val="20"/>
      <w:szCs w:val="20"/>
    </w:rPr>
  </w:style>
  <w:style w:type="paragraph" w:customStyle="1" w:styleId="1122">
    <w:name w:val="样式 段落1 + 自动设置"/>
    <w:basedOn w:val="340"/>
    <w:qFormat/>
    <w:uiPriority w:val="99"/>
    <w:pPr>
      <w:ind w:firstLine="840" w:firstLineChars="400"/>
    </w:pPr>
    <w:rPr>
      <w:rFonts w:ascii="黑体" w:hAnsi="宋体"/>
      <w:bCs w:val="0"/>
      <w:spacing w:val="0"/>
      <w:szCs w:val="21"/>
    </w:rPr>
  </w:style>
  <w:style w:type="paragraph" w:customStyle="1" w:styleId="1123">
    <w:name w:val="02"/>
    <w:basedOn w:val="5"/>
    <w:qFormat/>
    <w:uiPriority w:val="99"/>
    <w:pPr>
      <w:keepLines/>
      <w:numPr>
        <w:ilvl w:val="0"/>
        <w:numId w:val="0"/>
      </w:numPr>
      <w:adjustRightInd/>
      <w:snapToGrid/>
      <w:spacing w:before="0" w:beforeAutospacing="0" w:line="480" w:lineRule="auto"/>
      <w:ind w:left="420" w:hanging="420"/>
      <w:jc w:val="both"/>
    </w:pPr>
    <w:rPr>
      <w:rFonts w:ascii="Times New Roman" w:hAnsi="Times New Roman" w:eastAsia="宋体" w:cs="Times New Roman"/>
      <w:b/>
      <w:color w:val="333333"/>
      <w:kern w:val="0"/>
      <w:sz w:val="24"/>
      <w:szCs w:val="20"/>
    </w:rPr>
  </w:style>
  <w:style w:type="paragraph" w:customStyle="1" w:styleId="1124">
    <w:name w:val="样式 样式 小四 段后: 6 磅 行距: 1.5 倍行距 + 首行缩进:  2 字符"/>
    <w:basedOn w:val="1"/>
    <w:qFormat/>
    <w:uiPriority w:val="99"/>
    <w:pPr>
      <w:keepNext/>
      <w:spacing w:line="360" w:lineRule="auto"/>
      <w:ind w:firstLine="200" w:firstLineChars="200"/>
      <w:jc w:val="left"/>
    </w:pPr>
    <w:rPr>
      <w:rFonts w:ascii="宋体" w:hAnsi="宋体" w:eastAsia="宋体" w:cs="宋体"/>
      <w:sz w:val="28"/>
      <w:szCs w:val="20"/>
    </w:rPr>
  </w:style>
  <w:style w:type="paragraph" w:customStyle="1" w:styleId="1125">
    <w:name w:val="注×："/>
    <w:qFormat/>
    <w:uiPriority w:val="99"/>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126">
    <w:name w:val="xl44"/>
    <w:basedOn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127">
    <w:name w:val="表号文字"/>
    <w:basedOn w:val="1"/>
    <w:qFormat/>
    <w:uiPriority w:val="99"/>
    <w:pPr>
      <w:adjustRightInd w:val="0"/>
      <w:snapToGrid w:val="0"/>
      <w:spacing w:before="120" w:line="300" w:lineRule="auto"/>
      <w:jc w:val="left"/>
    </w:pPr>
    <w:rPr>
      <w:rFonts w:ascii="Times New Roman" w:hAnsi="Times New Roman" w:eastAsia="黑体" w:cs="Times New Roman"/>
      <w:sz w:val="24"/>
      <w:szCs w:val="24"/>
    </w:rPr>
  </w:style>
  <w:style w:type="paragraph" w:customStyle="1" w:styleId="1128">
    <w:name w:val="0"/>
    <w:basedOn w:val="1"/>
    <w:qFormat/>
    <w:uiPriority w:val="0"/>
    <w:pPr>
      <w:widowControl/>
    </w:pPr>
    <w:rPr>
      <w:rFonts w:ascii="Times New Roman" w:hAnsi="Times New Roman" w:eastAsia="宋体" w:cs="Times New Roman"/>
      <w:kern w:val="0"/>
      <w:szCs w:val="20"/>
    </w:rPr>
  </w:style>
  <w:style w:type="paragraph" w:customStyle="1" w:styleId="1129">
    <w:name w:val="列表 2W"/>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30">
    <w:name w:val="列表 2T"/>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31">
    <w:name w:val="Char4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132">
    <w:name w:val="列表 5A"/>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33">
    <w:name w:val="xl29"/>
    <w:basedOn w:val="1"/>
    <w:qFormat/>
    <w:uiPriority w:val="99"/>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134">
    <w:name w:val="CM13"/>
    <w:basedOn w:val="202"/>
    <w:next w:val="202"/>
    <w:qFormat/>
    <w:uiPriority w:val="99"/>
    <w:pPr>
      <w:autoSpaceDE/>
      <w:autoSpaceDN/>
      <w:adjustRightInd/>
      <w:spacing w:beforeLines="0" w:afterLines="0" w:line="468" w:lineRule="atLeast"/>
      <w:ind w:left="210"/>
    </w:pPr>
    <w:rPr>
      <w:rFonts w:ascii="Calibri" w:hAnsi="Calibri" w:eastAsia="宋体"/>
      <w:b w:val="0"/>
      <w:smallCaps/>
      <w:snapToGrid/>
      <w:color w:val="auto"/>
      <w:sz w:val="20"/>
      <w:szCs w:val="20"/>
    </w:rPr>
  </w:style>
  <w:style w:type="paragraph" w:customStyle="1" w:styleId="1135">
    <w:name w:val="表头样式"/>
    <w:basedOn w:val="1"/>
    <w:qFormat/>
    <w:uiPriority w:val="99"/>
    <w:pPr>
      <w:keepNext/>
      <w:widowControl/>
      <w:spacing w:beforeLines="50" w:afterLines="50" w:line="520" w:lineRule="exact"/>
      <w:ind w:firstLine="280" w:firstLineChars="100"/>
    </w:pPr>
    <w:rPr>
      <w:rFonts w:ascii="宋体" w:hAnsi="宋体" w:eastAsia="宋体" w:cs="宋体"/>
      <w:bCs/>
      <w:sz w:val="28"/>
      <w:szCs w:val="28"/>
    </w:rPr>
  </w:style>
  <w:style w:type="paragraph" w:customStyle="1" w:styleId="1136">
    <w:name w:val="灯泡注释(打印无效)"/>
    <w:basedOn w:val="79"/>
    <w:qFormat/>
    <w:uiPriority w:val="99"/>
    <w:pPr>
      <w:widowControl w:val="0"/>
      <w:snapToGrid w:val="0"/>
      <w:spacing w:after="0"/>
      <w:ind w:firstLine="0" w:firstLineChars="0"/>
    </w:pPr>
    <w:rPr>
      <w:rFonts w:ascii="Times New Roman" w:hAnsi="Times New Roman"/>
      <w:i/>
      <w:vanish/>
      <w:color w:val="FF0000"/>
      <w:szCs w:val="21"/>
    </w:rPr>
  </w:style>
  <w:style w:type="paragraph" w:customStyle="1" w:styleId="1137">
    <w:name w:val="图文字"/>
    <w:basedOn w:val="1"/>
    <w:next w:val="1"/>
    <w:qFormat/>
    <w:uiPriority w:val="0"/>
    <w:pPr>
      <w:snapToGrid w:val="0"/>
    </w:pPr>
    <w:rPr>
      <w:rFonts w:ascii="Arial" w:hAnsi="Arial" w:eastAsia="楷体_GB2312" w:cs="Times New Roman"/>
      <w:sz w:val="24"/>
      <w:szCs w:val="20"/>
    </w:rPr>
  </w:style>
  <w:style w:type="paragraph" w:customStyle="1" w:styleId="1138">
    <w:name w:val="表中样式"/>
    <w:basedOn w:val="1"/>
    <w:qFormat/>
    <w:uiPriority w:val="99"/>
    <w:pPr>
      <w:widowControl/>
      <w:spacing w:line="240" w:lineRule="exact"/>
      <w:ind w:left="-25" w:leftChars="-25" w:right="-31" w:rightChars="-31"/>
      <w:jc w:val="center"/>
    </w:pPr>
    <w:rPr>
      <w:rFonts w:ascii="宋体" w:hAnsi="宋体" w:eastAsia="宋体" w:cs="宋体"/>
      <w:bCs/>
      <w:kern w:val="0"/>
      <w:szCs w:val="32"/>
    </w:rPr>
  </w:style>
  <w:style w:type="paragraph" w:customStyle="1" w:styleId="1139">
    <w:name w:val="表标题5.14"/>
    <w:basedOn w:val="1"/>
    <w:qFormat/>
    <w:uiPriority w:val="99"/>
    <w:pPr>
      <w:tabs>
        <w:tab w:val="left" w:pos="726"/>
      </w:tabs>
      <w:spacing w:beforeLines="100" w:line="0" w:lineRule="atLeast"/>
      <w:ind w:left="2" w:firstLine="4"/>
    </w:pPr>
    <w:rPr>
      <w:rFonts w:ascii="Times New Roman" w:hAnsi="Times New Roman" w:eastAsia="黑体" w:cs="Times New Roman"/>
      <w:b/>
      <w:sz w:val="24"/>
      <w:szCs w:val="24"/>
    </w:rPr>
  </w:style>
  <w:style w:type="paragraph" w:customStyle="1" w:styleId="1140">
    <w:name w:val="Char Char Char1 Char Char Char1"/>
    <w:basedOn w:val="1"/>
    <w:qFormat/>
    <w:uiPriority w:val="99"/>
    <w:rPr>
      <w:rFonts w:ascii="Times New Roman" w:hAnsi="Times New Roman" w:eastAsia="宋体" w:cs="Times New Roman"/>
      <w:szCs w:val="24"/>
    </w:rPr>
  </w:style>
  <w:style w:type="paragraph" w:customStyle="1" w:styleId="1141">
    <w:name w:val="xl100"/>
    <w:basedOn w:val="1"/>
    <w:qFormat/>
    <w:uiPriority w:val="99"/>
    <w:pPr>
      <w:widowControl/>
      <w:pBdr>
        <w:top w:val="single" w:color="auto" w:sz="8"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142">
    <w:name w:val="样式 标题 4款标题1.1.1.1 南陵标题 4标题 4 CharH4PIM 4h4First Subheadin..."/>
    <w:basedOn w:val="7"/>
    <w:qFormat/>
    <w:uiPriority w:val="0"/>
    <w:pPr>
      <w:keepNext w:val="0"/>
      <w:numPr>
        <w:ilvl w:val="0"/>
        <w:numId w:val="0"/>
      </w:numPr>
      <w:adjustRightInd/>
      <w:snapToGrid/>
      <w:spacing w:before="0" w:beforeAutospacing="0"/>
      <w:jc w:val="both"/>
    </w:pPr>
    <w:rPr>
      <w:rFonts w:ascii="黑体" w:hAnsi="Times New Roman" w:eastAsia="黑体" w:cs="Times New Roman"/>
      <w:b w:val="0"/>
      <w:color w:val="000000"/>
      <w:kern w:val="0"/>
      <w:szCs w:val="20"/>
    </w:rPr>
  </w:style>
  <w:style w:type="paragraph" w:customStyle="1" w:styleId="1143">
    <w:name w:val="列表 4S"/>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144">
    <w:name w:val="条文2"/>
    <w:basedOn w:val="7"/>
    <w:qFormat/>
    <w:uiPriority w:val="99"/>
    <w:pPr>
      <w:keepNext w:val="0"/>
      <w:numPr>
        <w:ilvl w:val="0"/>
        <w:numId w:val="0"/>
      </w:numPr>
      <w:tabs>
        <w:tab w:val="left" w:pos="360"/>
      </w:tabs>
      <w:snapToGrid/>
      <w:spacing w:before="0" w:beforeAutospacing="0" w:line="460" w:lineRule="exact"/>
      <w:ind w:left="1151" w:hanging="425"/>
      <w:textAlignment w:val="baseline"/>
      <w:outlineLvl w:val="9"/>
    </w:pPr>
    <w:rPr>
      <w:rFonts w:hAnsi="Arial" w:cs="Times New Roman"/>
      <w:b w:val="0"/>
      <w:bCs w:val="0"/>
      <w:spacing w:val="3"/>
      <w:kern w:val="24"/>
      <w:szCs w:val="20"/>
    </w:rPr>
  </w:style>
  <w:style w:type="paragraph" w:customStyle="1" w:styleId="1145">
    <w:name w:val="Char4 Char Char Char Char Char Char2"/>
    <w:basedOn w:val="1"/>
    <w:qFormat/>
    <w:uiPriority w:val="99"/>
    <w:pPr>
      <w:spacing w:line="360" w:lineRule="auto"/>
      <w:ind w:firstLine="200" w:firstLineChars="200"/>
    </w:pPr>
    <w:rPr>
      <w:rFonts w:ascii="宋体" w:hAnsi="宋体" w:eastAsia="宋体" w:cs="宋体"/>
      <w:sz w:val="24"/>
      <w:szCs w:val="24"/>
    </w:rPr>
  </w:style>
  <w:style w:type="paragraph" w:customStyle="1" w:styleId="1146">
    <w:name w:val="表格11"/>
    <w:basedOn w:val="482"/>
    <w:qFormat/>
    <w:uiPriority w:val="99"/>
    <w:pPr>
      <w:widowControl w:val="0"/>
      <w:spacing w:line="240" w:lineRule="auto"/>
    </w:pPr>
    <w:rPr>
      <w:rFonts w:ascii="黑体" w:eastAsia="仿宋_GB2312"/>
      <w:szCs w:val="28"/>
    </w:rPr>
  </w:style>
  <w:style w:type="paragraph" w:customStyle="1" w:styleId="1147">
    <w:name w:val="xl87"/>
    <w:basedOn w:val="1"/>
    <w:qFormat/>
    <w:uiPriority w:val="99"/>
    <w:pPr>
      <w:widowControl/>
      <w:pBdr>
        <w:top w:val="single" w:color="auto" w:sz="8" w:space="0"/>
        <w:bottom w:val="single" w:color="auto" w:sz="4" w:space="0"/>
        <w:right w:val="single" w:color="auto" w:sz="4" w:space="0"/>
      </w:pBdr>
      <w:spacing w:before="100" w:beforeAutospacing="1" w:after="100" w:afterAutospacing="1"/>
      <w:jc w:val="left"/>
    </w:pPr>
    <w:rPr>
      <w:rFonts w:ascii="Times New Roman" w:hAnsi="Times New Roman" w:eastAsia="Arial Unicode MS" w:cs="Times New Roman"/>
      <w:kern w:val="0"/>
      <w:sz w:val="16"/>
      <w:szCs w:val="16"/>
    </w:rPr>
  </w:style>
  <w:style w:type="paragraph" w:customStyle="1" w:styleId="1148">
    <w:name w:val="列表 2V"/>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49">
    <w:name w:val="列表 4A"/>
    <w:basedOn w:val="70"/>
    <w:qFormat/>
    <w:uiPriority w:val="99"/>
    <w:pPr>
      <w:tabs>
        <w:tab w:val="left" w:pos="360"/>
      </w:tabs>
      <w:topLinePunct w:val="0"/>
      <w:spacing w:beforeLines="50" w:afterLines="30" w:line="288" w:lineRule="auto"/>
      <w:ind w:left="360" w:leftChars="0" w:hanging="360"/>
      <w:jc w:val="both"/>
    </w:pPr>
    <w:rPr>
      <w:rFonts w:ascii="Arial" w:hAnsi="Arial" w:eastAsia="宋体"/>
      <w:color w:val="CCFFFF"/>
      <w:sz w:val="24"/>
    </w:rPr>
  </w:style>
  <w:style w:type="paragraph" w:customStyle="1" w:styleId="1150">
    <w:name w:val="正文王"/>
    <w:basedOn w:val="1"/>
    <w:qFormat/>
    <w:uiPriority w:val="99"/>
    <w:pPr>
      <w:widowControl/>
      <w:tabs>
        <w:tab w:val="left" w:pos="7080"/>
      </w:tabs>
      <w:adjustRightInd w:val="0"/>
      <w:snapToGrid w:val="0"/>
      <w:spacing w:line="360" w:lineRule="auto"/>
      <w:ind w:firstLine="480" w:firstLineChars="200"/>
    </w:pPr>
    <w:rPr>
      <w:rFonts w:ascii="Times New Roman" w:hAnsi="Times New Roman" w:eastAsia="仿宋_GB2312" w:cs="Times New Roman"/>
      <w:snapToGrid w:val="0"/>
      <w:kern w:val="0"/>
      <w:sz w:val="24"/>
      <w:szCs w:val="28"/>
    </w:rPr>
  </w:style>
  <w:style w:type="paragraph" w:customStyle="1" w:styleId="1151">
    <w:name w:val="表标题17.21"/>
    <w:basedOn w:val="1"/>
    <w:qFormat/>
    <w:uiPriority w:val="99"/>
    <w:pPr>
      <w:tabs>
        <w:tab w:val="left" w:pos="284"/>
        <w:tab w:val="center" w:pos="4060"/>
        <w:tab w:val="right" w:pos="8261"/>
      </w:tabs>
      <w:suppressAutoHyphens/>
      <w:adjustRightInd w:val="0"/>
      <w:spacing w:before="240" w:line="0" w:lineRule="atLeast"/>
      <w:jc w:val="center"/>
    </w:pPr>
    <w:rPr>
      <w:rFonts w:ascii="黑体" w:hAnsi="Times New Roman" w:eastAsia="黑体" w:cs="Times New Roman"/>
      <w:b/>
      <w:spacing w:val="6"/>
      <w:kern w:val="0"/>
      <w:sz w:val="24"/>
      <w:szCs w:val="24"/>
    </w:rPr>
  </w:style>
  <w:style w:type="paragraph" w:customStyle="1" w:styleId="1152">
    <w:name w:val="style18"/>
    <w:basedOn w:val="1"/>
    <w:qFormat/>
    <w:uiPriority w:val="99"/>
    <w:pPr>
      <w:widowControl/>
      <w:spacing w:before="100" w:beforeAutospacing="1" w:after="100" w:afterAutospacing="1"/>
      <w:jc w:val="left"/>
    </w:pPr>
    <w:rPr>
      <w:rFonts w:ascii="宋体" w:hAnsi="宋体" w:eastAsia="宋体" w:cs="Times New Roman"/>
      <w:color w:val="000000"/>
      <w:kern w:val="0"/>
    </w:rPr>
  </w:style>
  <w:style w:type="paragraph" w:customStyle="1" w:styleId="1153">
    <w:name w:val="样式8"/>
    <w:basedOn w:val="6"/>
    <w:qFormat/>
    <w:uiPriority w:val="99"/>
    <w:pPr>
      <w:keepNext w:val="0"/>
      <w:widowControl/>
      <w:numPr>
        <w:ilvl w:val="0"/>
        <w:numId w:val="0"/>
      </w:numPr>
      <w:spacing w:before="0" w:beforeLines="20" w:afterLines="50"/>
      <w:textAlignment w:val="baseline"/>
    </w:pPr>
    <w:rPr>
      <w:rFonts w:ascii="宋体" w:hAnsi="Courier New" w:eastAsia="宋体" w:cs="Times New Roman"/>
      <w:b/>
      <w:bCs/>
      <w:kern w:val="0"/>
      <w:szCs w:val="20"/>
    </w:rPr>
  </w:style>
  <w:style w:type="paragraph" w:customStyle="1" w:styleId="1154">
    <w:name w:val="标标题1.9"/>
    <w:basedOn w:val="1"/>
    <w:qFormat/>
    <w:uiPriority w:val="99"/>
    <w:pPr>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kern w:val="0"/>
      <w:sz w:val="26"/>
      <w:szCs w:val="26"/>
    </w:rPr>
  </w:style>
  <w:style w:type="paragraph" w:customStyle="1" w:styleId="1155">
    <w:name w:val="CM66"/>
    <w:basedOn w:val="202"/>
    <w:next w:val="202"/>
    <w:qFormat/>
    <w:uiPriority w:val="99"/>
    <w:pPr>
      <w:autoSpaceDE/>
      <w:autoSpaceDN/>
      <w:adjustRightInd/>
      <w:spacing w:beforeLines="0" w:after="215" w:afterLines="0" w:line="240" w:lineRule="auto"/>
      <w:ind w:left="210"/>
    </w:pPr>
    <w:rPr>
      <w:rFonts w:ascii="Calibri" w:hAnsi="Calibri" w:eastAsia="宋体"/>
      <w:b w:val="0"/>
      <w:smallCaps/>
      <w:snapToGrid/>
      <w:color w:val="auto"/>
      <w:sz w:val="20"/>
      <w:szCs w:val="20"/>
    </w:rPr>
  </w:style>
  <w:style w:type="paragraph" w:customStyle="1" w:styleId="1156">
    <w:name w:val="表右"/>
    <w:basedOn w:val="1"/>
    <w:qFormat/>
    <w:uiPriority w:val="99"/>
    <w:pPr>
      <w:keepNext/>
      <w:tabs>
        <w:tab w:val="left" w:pos="2190"/>
      </w:tabs>
      <w:adjustRightInd w:val="0"/>
      <w:snapToGrid w:val="0"/>
      <w:spacing w:line="240" w:lineRule="atLeast"/>
      <w:ind w:right="20" w:rightChars="20"/>
      <w:jc w:val="right"/>
    </w:pPr>
    <w:rPr>
      <w:rFonts w:ascii="宋体" w:hAnsi="宋体" w:eastAsia="宋体" w:cs="Times New Roman"/>
      <w:sz w:val="24"/>
      <w:szCs w:val="28"/>
    </w:rPr>
  </w:style>
  <w:style w:type="paragraph" w:customStyle="1" w:styleId="1157">
    <w:name w:val="副题目"/>
    <w:basedOn w:val="58"/>
    <w:qFormat/>
    <w:uiPriority w:val="99"/>
    <w:pPr>
      <w:keepNext/>
      <w:keepLines/>
      <w:spacing w:beforeLines="100" w:after="100" w:afterAutospacing="1" w:line="600" w:lineRule="atLeast"/>
      <w:outlineLvl w:val="9"/>
    </w:pPr>
    <w:rPr>
      <w:rFonts w:ascii="Arial" w:hAnsi="Arial" w:eastAsia="经典叠圆体简" w:cs="Times New Roman"/>
      <w:b w:val="0"/>
      <w:bCs w:val="0"/>
      <w:iCs/>
      <w:color w:val="CC99FF"/>
      <w:spacing w:val="36"/>
      <w:sz w:val="36"/>
      <w:szCs w:val="20"/>
      <w:lang w:bidi="he-IL"/>
    </w:rPr>
  </w:style>
  <w:style w:type="paragraph" w:customStyle="1" w:styleId="1158">
    <w:name w:val="样式 标题3"/>
    <w:basedOn w:val="6"/>
    <w:qFormat/>
    <w:uiPriority w:val="0"/>
    <w:pPr>
      <w:keepLines/>
      <w:numPr>
        <w:ilvl w:val="0"/>
        <w:numId w:val="0"/>
      </w:numPr>
      <w:adjustRightInd/>
      <w:snapToGrid/>
      <w:spacing w:before="0" w:beforeLines="50" w:afterLines="50"/>
      <w:ind w:firstLine="200"/>
    </w:pPr>
    <w:rPr>
      <w:rFonts w:ascii="宋体" w:hAnsi="宋体" w:eastAsia="宋体" w:cs="宋体"/>
      <w:b/>
      <w:kern w:val="0"/>
      <w:sz w:val="28"/>
    </w:rPr>
  </w:style>
  <w:style w:type="paragraph" w:customStyle="1" w:styleId="1159">
    <w:name w:val="列表 H"/>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160">
    <w:name w:val="CM61"/>
    <w:basedOn w:val="202"/>
    <w:next w:val="202"/>
    <w:qFormat/>
    <w:uiPriority w:val="99"/>
    <w:pPr>
      <w:autoSpaceDE/>
      <w:autoSpaceDN/>
      <w:adjustRightInd/>
      <w:spacing w:beforeLines="0" w:after="78" w:afterLines="0" w:line="240" w:lineRule="auto"/>
      <w:ind w:left="210"/>
    </w:pPr>
    <w:rPr>
      <w:rFonts w:ascii="Calibri" w:hAnsi="Calibri" w:eastAsia="宋体"/>
      <w:b w:val="0"/>
      <w:smallCaps/>
      <w:snapToGrid/>
      <w:color w:val="auto"/>
      <w:sz w:val="20"/>
      <w:szCs w:val="20"/>
    </w:rPr>
  </w:style>
  <w:style w:type="paragraph" w:customStyle="1" w:styleId="1161">
    <w:name w:val="xl30"/>
    <w:basedOn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162">
    <w:name w:val="普通(Web)1"/>
    <w:basedOn w:val="1"/>
    <w:qFormat/>
    <w:uiPriority w:val="99"/>
    <w:pPr>
      <w:widowControl/>
      <w:jc w:val="left"/>
    </w:pPr>
    <w:rPr>
      <w:rFonts w:ascii="宋体" w:hAnsi="宋体" w:eastAsia="仿宋_GB2312" w:cs="宋体"/>
      <w:color w:val="000000"/>
      <w:kern w:val="0"/>
      <w:sz w:val="24"/>
      <w:szCs w:val="24"/>
    </w:rPr>
  </w:style>
  <w:style w:type="paragraph" w:customStyle="1" w:styleId="1163">
    <w:name w:val="xl94"/>
    <w:basedOn w:val="1"/>
    <w:qFormat/>
    <w:uiPriority w:val="99"/>
    <w:pPr>
      <w:widowControl/>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1164">
    <w:name w:val="标题2.5"/>
    <w:basedOn w:val="1165"/>
    <w:next w:val="436"/>
    <w:qFormat/>
    <w:uiPriority w:val="99"/>
    <w:pPr>
      <w:topLinePunct/>
      <w:spacing w:beforeLines="0" w:line="360" w:lineRule="auto"/>
    </w:pPr>
    <w:rPr>
      <w:rFonts w:ascii="仿宋_GB2312"/>
      <w:b w:val="0"/>
    </w:rPr>
  </w:style>
  <w:style w:type="paragraph" w:customStyle="1" w:styleId="1165">
    <w:name w:val="标题2"/>
    <w:basedOn w:val="1"/>
    <w:next w:val="1"/>
    <w:semiHidden/>
    <w:qFormat/>
    <w:uiPriority w:val="99"/>
    <w:pPr>
      <w:spacing w:beforeLines="100" w:afterLines="100" w:line="640" w:lineRule="exact"/>
      <w:jc w:val="left"/>
      <w:outlineLvl w:val="1"/>
    </w:pPr>
    <w:rPr>
      <w:rFonts w:ascii="黑体" w:hAnsi="Times New Roman" w:eastAsia="黑体" w:cs="Times New Roman"/>
      <w:b/>
      <w:color w:val="000000"/>
      <w:sz w:val="28"/>
      <w:szCs w:val="28"/>
    </w:rPr>
  </w:style>
  <w:style w:type="paragraph" w:customStyle="1" w:styleId="1166">
    <w:name w:val="表格中"/>
    <w:basedOn w:val="1"/>
    <w:qFormat/>
    <w:uiPriority w:val="99"/>
    <w:pPr>
      <w:snapToGrid w:val="0"/>
      <w:spacing w:line="360" w:lineRule="auto"/>
    </w:pPr>
    <w:rPr>
      <w:rFonts w:ascii="宋体" w:hAnsi="宋体" w:eastAsia="宋体" w:cs="Times New Roman"/>
      <w:spacing w:val="-20"/>
      <w:sz w:val="28"/>
      <w:szCs w:val="28"/>
    </w:rPr>
  </w:style>
  <w:style w:type="paragraph" w:customStyle="1" w:styleId="1167">
    <w:name w:val="表格编号"/>
    <w:basedOn w:val="1"/>
    <w:qFormat/>
    <w:uiPriority w:val="99"/>
    <w:pPr>
      <w:spacing w:line="400" w:lineRule="exact"/>
    </w:pPr>
    <w:rPr>
      <w:rFonts w:ascii="Times New Roman" w:hAnsi="Times New Roman" w:eastAsia="宋体" w:cs="Times New Roman"/>
      <w:kern w:val="0"/>
      <w:sz w:val="28"/>
      <w:szCs w:val="28"/>
    </w:rPr>
  </w:style>
  <w:style w:type="paragraph" w:customStyle="1" w:styleId="1168">
    <w:name w:val="表字"/>
    <w:basedOn w:val="1"/>
    <w:qFormat/>
    <w:uiPriority w:val="99"/>
    <w:pPr>
      <w:jc w:val="center"/>
    </w:pPr>
    <w:rPr>
      <w:rFonts w:ascii="宋体" w:hAnsi="Times New Roman" w:eastAsia="宋体" w:cs="Times New Roman"/>
      <w:szCs w:val="20"/>
    </w:rPr>
  </w:style>
  <w:style w:type="paragraph" w:customStyle="1" w:styleId="1169">
    <w:name w:val="xl33"/>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hAnsi="宋体" w:eastAsia="仿宋_GB2312" w:cs="Times New Roman"/>
      <w:kern w:val="0"/>
      <w:sz w:val="24"/>
      <w:szCs w:val="20"/>
    </w:rPr>
  </w:style>
  <w:style w:type="paragraph" w:customStyle="1" w:styleId="1170">
    <w:name w:val="xl69"/>
    <w:basedOn w:val="1"/>
    <w:qFormat/>
    <w:uiPriority w:val="99"/>
    <w:pPr>
      <w:widowControl/>
      <w:pBdr>
        <w:bottom w:val="single" w:color="auto" w:sz="4" w:space="0"/>
      </w:pBdr>
      <w:spacing w:before="100" w:beforeAutospacing="1" w:after="100" w:afterAutospacing="1"/>
      <w:jc w:val="right"/>
    </w:pPr>
    <w:rPr>
      <w:rFonts w:ascii="宋体" w:hAnsi="宋体" w:eastAsia="仿宋_GB2312" w:cs="Times New Roman"/>
      <w:b/>
      <w:bCs/>
      <w:kern w:val="0"/>
      <w:position w:val="-6"/>
      <w:sz w:val="24"/>
      <w:szCs w:val="24"/>
    </w:rPr>
  </w:style>
  <w:style w:type="paragraph" w:customStyle="1" w:styleId="1171">
    <w:name w:val="样式 标题 4 + 左侧:  0 厘米 悬挂缩进: 8.64 字符 段前: 6 磅 段后: 6 磅 行距: 单倍行距"/>
    <w:basedOn w:val="7"/>
    <w:qFormat/>
    <w:uiPriority w:val="99"/>
    <w:pPr>
      <w:keepLines/>
      <w:numPr>
        <w:ilvl w:val="0"/>
        <w:numId w:val="0"/>
      </w:numPr>
      <w:tabs>
        <w:tab w:val="left" w:pos="360"/>
      </w:tabs>
      <w:adjustRightInd/>
      <w:snapToGrid/>
      <w:spacing w:before="120" w:beforeAutospacing="0" w:after="120" w:line="312" w:lineRule="auto"/>
      <w:jc w:val="both"/>
    </w:pPr>
    <w:rPr>
      <w:rFonts w:ascii="Arial" w:hAnsi="Arial" w:eastAsia="黑体" w:cs="宋体"/>
      <w:szCs w:val="20"/>
    </w:rPr>
  </w:style>
  <w:style w:type="paragraph" w:customStyle="1" w:styleId="1172">
    <w:name w:val="样式 标题 4款标题1.1.1.1 南陵标题 4标题 4 CharH4PIM 4h4First Subheadin...2"/>
    <w:basedOn w:val="7"/>
    <w:qFormat/>
    <w:uiPriority w:val="0"/>
    <w:pPr>
      <w:keepNext w:val="0"/>
      <w:numPr>
        <w:ilvl w:val="0"/>
        <w:numId w:val="0"/>
      </w:numPr>
      <w:adjustRightInd/>
      <w:snapToGrid/>
      <w:spacing w:before="0" w:beforeAutospacing="0"/>
      <w:jc w:val="both"/>
    </w:pPr>
    <w:rPr>
      <w:rFonts w:ascii="黑体" w:hAnsi="Times New Roman" w:eastAsia="黑体" w:cs="宋体"/>
      <w:b w:val="0"/>
      <w:bCs w:val="0"/>
      <w:color w:val="000000"/>
      <w:szCs w:val="24"/>
    </w:rPr>
  </w:style>
  <w:style w:type="paragraph" w:customStyle="1" w:styleId="1173">
    <w:name w:val="xl105"/>
    <w:basedOn w:val="1"/>
    <w:qFormat/>
    <w:uiPriority w:val="99"/>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174">
    <w:name w:val="表后空行"/>
    <w:basedOn w:val="1"/>
    <w:next w:val="1"/>
    <w:qFormat/>
    <w:uiPriority w:val="99"/>
    <w:rPr>
      <w:rFonts w:ascii="Times New Roman" w:hAnsi="Times New Roman" w:eastAsia="宋体" w:cs="Times New Roman"/>
      <w:kern w:val="18"/>
      <w:sz w:val="18"/>
      <w:szCs w:val="24"/>
    </w:rPr>
  </w:style>
  <w:style w:type="paragraph" w:customStyle="1" w:styleId="1175">
    <w:name w:val="项目点符号"/>
    <w:basedOn w:val="1"/>
    <w:qFormat/>
    <w:uiPriority w:val="99"/>
    <w:pPr>
      <w:snapToGrid w:val="0"/>
    </w:pPr>
    <w:rPr>
      <w:rFonts w:ascii="Times New Roman" w:hAnsi="Times New Roman" w:eastAsia="宋体" w:cs="Times New Roman"/>
      <w:bCs/>
      <w:kern w:val="0"/>
    </w:rPr>
  </w:style>
  <w:style w:type="paragraph" w:customStyle="1" w:styleId="1176">
    <w:name w:val="CM23"/>
    <w:basedOn w:val="202"/>
    <w:next w:val="202"/>
    <w:qFormat/>
    <w:uiPriority w:val="99"/>
    <w:pPr>
      <w:autoSpaceDE/>
      <w:autoSpaceDN/>
      <w:adjustRightInd/>
      <w:spacing w:beforeLines="0" w:afterLines="0" w:line="240" w:lineRule="auto"/>
      <w:ind w:left="210"/>
    </w:pPr>
    <w:rPr>
      <w:rFonts w:ascii="Calibri" w:hAnsi="Calibri" w:eastAsia="宋体"/>
      <w:b w:val="0"/>
      <w:smallCaps/>
      <w:snapToGrid/>
      <w:color w:val="auto"/>
      <w:sz w:val="20"/>
      <w:szCs w:val="20"/>
    </w:rPr>
  </w:style>
  <w:style w:type="paragraph" w:customStyle="1" w:styleId="1177">
    <w:name w:val="样式 样式 注意 + 首行缩进:  2 字符 + 首行缩进:  2 字符"/>
    <w:basedOn w:val="79"/>
    <w:next w:val="79"/>
    <w:qFormat/>
    <w:uiPriority w:val="99"/>
    <w:pPr>
      <w:widowControl w:val="0"/>
      <w:tabs>
        <w:tab w:val="left" w:pos="628"/>
        <w:tab w:val="left" w:pos="1727"/>
        <w:tab w:val="left" w:pos="1884"/>
        <w:tab w:val="left" w:pos="2514"/>
        <w:tab w:val="left" w:pos="4900"/>
      </w:tabs>
      <w:autoSpaceDE w:val="0"/>
      <w:autoSpaceDN w:val="0"/>
      <w:adjustRightInd w:val="0"/>
      <w:snapToGrid w:val="0"/>
      <w:spacing w:after="0" w:line="360" w:lineRule="auto"/>
      <w:ind w:left="-2" w:leftChars="-1" w:right="-99" w:rightChars="-47" w:firstLine="480" w:firstLineChars="0"/>
    </w:pPr>
    <w:rPr>
      <w:szCs w:val="21"/>
      <w:lang w:val="zh-CN"/>
    </w:rPr>
  </w:style>
  <w:style w:type="paragraph" w:customStyle="1" w:styleId="1178">
    <w:name w:val="表11"/>
    <w:basedOn w:val="12"/>
    <w:qFormat/>
    <w:uiPriority w:val="99"/>
    <w:pPr>
      <w:keepNext w:val="0"/>
      <w:keepLines w:val="0"/>
      <w:widowControl w:val="0"/>
      <w:numPr>
        <w:ilvl w:val="0"/>
        <w:numId w:val="0"/>
      </w:numPr>
      <w:adjustRightInd w:val="0"/>
      <w:snapToGrid w:val="0"/>
      <w:spacing w:line="360" w:lineRule="exact"/>
      <w:outlineLvl w:val="9"/>
    </w:pPr>
    <w:rPr>
      <w:rFonts w:ascii="Times New Roman" w:hAnsi="Times New Roman" w:cs="Times New Roman"/>
      <w:kern w:val="0"/>
      <w:sz w:val="21"/>
    </w:rPr>
  </w:style>
  <w:style w:type="paragraph" w:customStyle="1" w:styleId="1179">
    <w:name w:val="小表中密"/>
    <w:basedOn w:val="1"/>
    <w:qFormat/>
    <w:uiPriority w:val="99"/>
    <w:pPr>
      <w:keepNext/>
      <w:adjustRightInd w:val="0"/>
      <w:snapToGrid w:val="0"/>
      <w:spacing w:line="240" w:lineRule="atLeast"/>
      <w:jc w:val="center"/>
    </w:pPr>
    <w:rPr>
      <w:rFonts w:ascii="宋体" w:hAnsi="宋体" w:eastAsia="宋体" w:cs="Times New Roman"/>
      <w:sz w:val="18"/>
      <w:szCs w:val="18"/>
    </w:rPr>
  </w:style>
  <w:style w:type="paragraph" w:customStyle="1" w:styleId="1180">
    <w:name w:val="四级标题"/>
    <w:basedOn w:val="7"/>
    <w:next w:val="957"/>
    <w:qFormat/>
    <w:uiPriority w:val="0"/>
    <w:pPr>
      <w:keepNext w:val="0"/>
      <w:numPr>
        <w:ilvl w:val="0"/>
        <w:numId w:val="0"/>
      </w:numPr>
      <w:adjustRightInd/>
      <w:spacing w:before="0" w:beforeAutospacing="0" w:line="480" w:lineRule="exact"/>
      <w:jc w:val="both"/>
    </w:pPr>
    <w:rPr>
      <w:rFonts w:ascii="Times New Roman" w:hAnsi="Times New Roman" w:eastAsia="黑体" w:cs="Times New Roman"/>
      <w:b w:val="0"/>
      <w:color w:val="0070C0"/>
    </w:rPr>
  </w:style>
  <w:style w:type="paragraph" w:customStyle="1" w:styleId="1181">
    <w:name w:val="样式 表标12.2 + 段前: 1 行"/>
    <w:basedOn w:val="1"/>
    <w:qFormat/>
    <w:uiPriority w:val="99"/>
    <w:pPr>
      <w:tabs>
        <w:tab w:val="left" w:pos="280"/>
        <w:tab w:val="left" w:pos="726"/>
      </w:tabs>
      <w:adjustRightInd w:val="0"/>
      <w:snapToGrid w:val="0"/>
      <w:spacing w:beforeLines="100" w:line="0" w:lineRule="atLeast"/>
      <w:ind w:left="2" w:firstLine="4"/>
      <w:jc w:val="center"/>
    </w:pPr>
    <w:rPr>
      <w:rFonts w:ascii="黑体" w:hAnsi="宋体" w:eastAsia="黑体" w:cs="宋体"/>
      <w:b/>
      <w:bCs/>
      <w:sz w:val="24"/>
      <w:szCs w:val="20"/>
    </w:rPr>
  </w:style>
  <w:style w:type="paragraph" w:customStyle="1" w:styleId="1182">
    <w:name w:val="样式 燕山正文 + 首行缩进:  3.5 字符1"/>
    <w:basedOn w:val="867"/>
    <w:qFormat/>
    <w:uiPriority w:val="99"/>
    <w:pPr>
      <w:shd w:val="clear" w:color="auto" w:fill="auto"/>
      <w:ind w:firstLine="200"/>
      <w:jc w:val="both"/>
    </w:pPr>
    <w:rPr>
      <w:color w:val="000000"/>
      <w:sz w:val="28"/>
      <w:szCs w:val="20"/>
    </w:rPr>
  </w:style>
  <w:style w:type="paragraph" w:customStyle="1" w:styleId="1183">
    <w:name w:val="样式 标题 1 + 宋体 二号 加粗 两端对齐 段前: 17 磅 段后: 16.5 磅 行距: 多倍行距 2.41 ..."/>
    <w:basedOn w:val="3"/>
    <w:qFormat/>
    <w:uiPriority w:val="99"/>
    <w:pPr>
      <w:keepNext/>
      <w:keepLines/>
      <w:adjustRightInd/>
      <w:snapToGrid/>
      <w:spacing w:before="0" w:beforeLines="100" w:beforeAutospacing="0" w:afterLines="100" w:line="578" w:lineRule="auto"/>
      <w:ind w:left="420" w:hanging="420"/>
      <w:jc w:val="both"/>
    </w:pPr>
    <w:rPr>
      <w:rFonts w:ascii="Arial" w:hAnsi="Arial" w:eastAsia="宋体" w:cs="Times New Roman"/>
      <w:bCs/>
      <w:sz w:val="44"/>
    </w:rPr>
  </w:style>
  <w:style w:type="paragraph" w:customStyle="1" w:styleId="1184">
    <w:name w:val="Company Name"/>
    <w:basedOn w:val="1"/>
    <w:next w:val="1"/>
    <w:qFormat/>
    <w:uiPriority w:val="99"/>
    <w:pPr>
      <w:widowControl/>
      <w:tabs>
        <w:tab w:val="left" w:pos="2160"/>
        <w:tab w:val="right" w:pos="6480"/>
      </w:tabs>
      <w:spacing w:before="220" w:after="40" w:line="220" w:lineRule="atLeast"/>
      <w:ind w:right="-360"/>
      <w:jc w:val="left"/>
    </w:pPr>
    <w:rPr>
      <w:rFonts w:ascii="Times New Roman" w:hAnsi="Times New Roman" w:eastAsia="宋体" w:cs="Times New Roman"/>
      <w:kern w:val="0"/>
      <w:sz w:val="20"/>
      <w:szCs w:val="20"/>
    </w:rPr>
  </w:style>
  <w:style w:type="paragraph" w:customStyle="1" w:styleId="1185">
    <w:name w:val="表格字2"/>
    <w:basedOn w:val="1"/>
    <w:qFormat/>
    <w:uiPriority w:val="0"/>
    <w:rPr>
      <w:rFonts w:ascii="宋体" w:hAnsi="宋体" w:eastAsia="宋体" w:cs="Times New Roman"/>
      <w:color w:val="000000"/>
      <w:kern w:val="16"/>
    </w:rPr>
  </w:style>
  <w:style w:type="paragraph" w:customStyle="1" w:styleId="1186">
    <w:name w:val="表内5中4"/>
    <w:basedOn w:val="1095"/>
    <w:qFormat/>
    <w:uiPriority w:val="99"/>
    <w:pPr>
      <w:tabs>
        <w:tab w:val="clear" w:pos="4305"/>
      </w:tabs>
      <w:spacing w:line="240" w:lineRule="auto"/>
      <w:ind w:firstLine="0" w:firstLineChars="0"/>
    </w:pPr>
    <w:rPr>
      <w:rFonts w:hAnsi="Times New Roman"/>
      <w:bCs/>
      <w:color w:val="auto"/>
      <w:szCs w:val="20"/>
      <w:shd w:val="clear" w:color="auto" w:fill="auto"/>
    </w:rPr>
  </w:style>
  <w:style w:type="paragraph" w:customStyle="1" w:styleId="1187">
    <w:name w:val="样式 标题 4 + 宋体 小四 非加粗"/>
    <w:basedOn w:val="7"/>
    <w:qFormat/>
    <w:uiPriority w:val="99"/>
    <w:pPr>
      <w:keepLines/>
      <w:numPr>
        <w:ilvl w:val="0"/>
        <w:numId w:val="0"/>
      </w:numPr>
      <w:tabs>
        <w:tab w:val="left" w:pos="360"/>
        <w:tab w:val="left" w:pos="1984"/>
      </w:tabs>
      <w:adjustRightInd/>
      <w:snapToGrid/>
      <w:spacing w:before="280" w:beforeAutospacing="0" w:after="290" w:line="376" w:lineRule="auto"/>
      <w:ind w:left="1984" w:hanging="708"/>
      <w:jc w:val="both"/>
    </w:pPr>
    <w:rPr>
      <w:rFonts w:hAnsi="宋体" w:cs="Times New Roman"/>
      <w:b w:val="0"/>
      <w:bCs w:val="0"/>
      <w:kern w:val="0"/>
    </w:rPr>
  </w:style>
  <w:style w:type="paragraph" w:customStyle="1" w:styleId="1188">
    <w:name w:val="列表 J"/>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189">
    <w:name w:val="xl27"/>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190">
    <w:name w:val="章标题"/>
    <w:next w:val="1"/>
    <w:qFormat/>
    <w:uiPriority w:val="0"/>
    <w:pPr>
      <w:tabs>
        <w:tab w:val="left" w:pos="425"/>
      </w:tabs>
      <w:spacing w:beforeLines="50" w:afterLines="50"/>
      <w:ind w:left="425" w:hanging="425"/>
      <w:jc w:val="both"/>
      <w:outlineLvl w:val="1"/>
    </w:pPr>
    <w:rPr>
      <w:rFonts w:ascii="黑体" w:hAnsi="Times New Roman" w:eastAsia="黑体" w:cs="Times New Roman"/>
      <w:sz w:val="21"/>
      <w:lang w:val="en-US" w:eastAsia="zh-CN" w:bidi="ar-SA"/>
    </w:rPr>
  </w:style>
  <w:style w:type="paragraph" w:customStyle="1" w:styleId="1191">
    <w:name w:val="正文段落（缩进）"/>
    <w:basedOn w:val="1"/>
    <w:next w:val="42"/>
    <w:qFormat/>
    <w:uiPriority w:val="99"/>
    <w:pPr>
      <w:spacing w:line="360" w:lineRule="auto"/>
      <w:jc w:val="left"/>
    </w:pPr>
    <w:rPr>
      <w:rFonts w:ascii="Times New Roman" w:hAnsi="Times New Roman" w:eastAsia="宋体" w:cs="Times New Roman"/>
      <w:kern w:val="0"/>
      <w:sz w:val="24"/>
      <w:szCs w:val="20"/>
    </w:rPr>
  </w:style>
  <w:style w:type="paragraph" w:customStyle="1" w:styleId="1192">
    <w:name w:val="[1]正文"/>
    <w:basedOn w:val="1"/>
    <w:qFormat/>
    <w:uiPriority w:val="99"/>
    <w:pPr>
      <w:adjustRightInd w:val="0"/>
      <w:snapToGrid w:val="0"/>
      <w:spacing w:line="500" w:lineRule="exact"/>
      <w:ind w:firstLine="200" w:firstLineChars="200"/>
      <w:jc w:val="left"/>
    </w:pPr>
    <w:rPr>
      <w:rFonts w:ascii="Times New Roman" w:hAnsi="Times New Roman" w:eastAsia="宋体" w:cs="Times New Roman"/>
      <w:kern w:val="0"/>
      <w:sz w:val="28"/>
      <w:szCs w:val="28"/>
    </w:rPr>
  </w:style>
  <w:style w:type="paragraph" w:customStyle="1" w:styleId="1193">
    <w:name w:val="Char Char Char1 Char1"/>
    <w:basedOn w:val="1"/>
    <w:qFormat/>
    <w:uiPriority w:val="99"/>
    <w:rPr>
      <w:rFonts w:ascii="Times New Roman" w:hAnsi="Times New Roman" w:eastAsia="宋体" w:cs="Times New Roman"/>
      <w:szCs w:val="24"/>
    </w:rPr>
  </w:style>
  <w:style w:type="paragraph" w:customStyle="1" w:styleId="1194">
    <w:name w:val="CM2"/>
    <w:basedOn w:val="202"/>
    <w:next w:val="202"/>
    <w:qFormat/>
    <w:uiPriority w:val="99"/>
    <w:pPr>
      <w:autoSpaceDE/>
      <w:autoSpaceDN/>
      <w:adjustRightInd/>
      <w:spacing w:beforeLines="0" w:afterLines="0" w:line="468" w:lineRule="atLeast"/>
      <w:ind w:left="210"/>
    </w:pPr>
    <w:rPr>
      <w:rFonts w:ascii="Calibri" w:hAnsi="Calibri" w:eastAsia="宋体"/>
      <w:b w:val="0"/>
      <w:smallCaps/>
      <w:snapToGrid/>
      <w:color w:val="auto"/>
      <w:sz w:val="20"/>
      <w:szCs w:val="20"/>
    </w:rPr>
  </w:style>
  <w:style w:type="paragraph" w:customStyle="1" w:styleId="1195">
    <w:name w:val="font9"/>
    <w:basedOn w:val="1"/>
    <w:qFormat/>
    <w:uiPriority w:val="99"/>
    <w:pPr>
      <w:widowControl/>
      <w:spacing w:before="100" w:beforeAutospacing="1" w:after="100" w:afterAutospacing="1"/>
      <w:jc w:val="left"/>
    </w:pPr>
    <w:rPr>
      <w:rFonts w:hint="eastAsia" w:ascii="宋体" w:hAnsi="宋体" w:eastAsia="宋体" w:cs="Arial Unicode MS"/>
      <w:b/>
      <w:bCs/>
      <w:kern w:val="0"/>
      <w:sz w:val="44"/>
      <w:szCs w:val="44"/>
    </w:rPr>
  </w:style>
  <w:style w:type="paragraph" w:customStyle="1" w:styleId="1196">
    <w:name w:val="样式 加粗 黑色 首行缩进:  0 厘米"/>
    <w:basedOn w:val="1"/>
    <w:qFormat/>
    <w:uiPriority w:val="99"/>
    <w:pPr>
      <w:tabs>
        <w:tab w:val="left" w:pos="425"/>
      </w:tabs>
      <w:spacing w:line="312" w:lineRule="auto"/>
      <w:ind w:left="425" w:hanging="425"/>
    </w:pPr>
    <w:rPr>
      <w:rFonts w:ascii="Times New Roman" w:hAnsi="Times New Roman" w:eastAsia="宋体" w:cs="宋体"/>
      <w:b/>
      <w:bCs/>
      <w:color w:val="000000"/>
      <w:sz w:val="24"/>
      <w:szCs w:val="20"/>
    </w:rPr>
  </w:style>
  <w:style w:type="paragraph" w:customStyle="1" w:styleId="1197">
    <w:name w:val="Char Char Char Char Char Char Char Char Char Char Char1 Char Char Char Char Char Char Char"/>
    <w:basedOn w:val="1"/>
    <w:qFormat/>
    <w:uiPriority w:val="0"/>
    <w:rPr>
      <w:rFonts w:ascii="Times New Roman" w:hAnsi="Times New Roman" w:eastAsia="宋体" w:cs="Times New Roman"/>
      <w:szCs w:val="24"/>
    </w:rPr>
  </w:style>
  <w:style w:type="paragraph" w:customStyle="1" w:styleId="1198">
    <w:name w:val="No Title"/>
    <w:basedOn w:val="1"/>
    <w:qFormat/>
    <w:uiPriority w:val="99"/>
    <w:pPr>
      <w:widowControl/>
      <w:pBdr>
        <w:top w:val="single" w:color="FFFFFF" w:sz="6" w:space="2"/>
        <w:left w:val="single" w:color="FFFFFF" w:sz="6" w:space="2"/>
        <w:bottom w:val="single" w:color="FFFFFF" w:sz="6" w:space="2"/>
        <w:right w:val="single" w:color="FFFFFF" w:sz="6" w:space="2"/>
      </w:pBdr>
      <w:spacing w:before="120" w:line="280" w:lineRule="atLeast"/>
      <w:jc w:val="left"/>
    </w:pPr>
    <w:rPr>
      <w:rFonts w:ascii="Arial" w:hAnsi="Arial" w:eastAsia="宋体" w:cs="Times New Roman"/>
      <w:b/>
      <w:spacing w:val="-10"/>
      <w:kern w:val="0"/>
      <w:position w:val="7"/>
      <w:sz w:val="20"/>
      <w:szCs w:val="20"/>
    </w:rPr>
  </w:style>
  <w:style w:type="paragraph" w:customStyle="1" w:styleId="1199">
    <w:name w:val="CM3"/>
    <w:basedOn w:val="202"/>
    <w:next w:val="202"/>
    <w:qFormat/>
    <w:uiPriority w:val="99"/>
    <w:pPr>
      <w:autoSpaceDE/>
      <w:autoSpaceDN/>
      <w:adjustRightInd/>
      <w:spacing w:beforeLines="0" w:afterLines="0" w:line="468" w:lineRule="atLeast"/>
      <w:ind w:left="210"/>
    </w:pPr>
    <w:rPr>
      <w:rFonts w:ascii="Calibri" w:hAnsi="Calibri" w:eastAsia="宋体"/>
      <w:b w:val="0"/>
      <w:smallCaps/>
      <w:snapToGrid/>
      <w:color w:val="auto"/>
      <w:sz w:val="20"/>
      <w:szCs w:val="20"/>
    </w:rPr>
  </w:style>
  <w:style w:type="paragraph" w:customStyle="1" w:styleId="1200">
    <w:name w:val="hei12"/>
    <w:basedOn w:val="1"/>
    <w:qFormat/>
    <w:uiPriority w:val="99"/>
    <w:pPr>
      <w:widowControl/>
      <w:spacing w:before="100" w:beforeAutospacing="1" w:after="100" w:afterAutospacing="1" w:line="360" w:lineRule="atLeast"/>
      <w:jc w:val="left"/>
    </w:pPr>
    <w:rPr>
      <w:rFonts w:ascii="Verdana" w:hAnsi="Verdana" w:eastAsia="宋体" w:cs="Times New Roman"/>
      <w:color w:val="000000"/>
      <w:kern w:val="0"/>
      <w:sz w:val="22"/>
      <w:szCs w:val="20"/>
    </w:rPr>
  </w:style>
  <w:style w:type="paragraph" w:customStyle="1" w:styleId="1201">
    <w:name w:val="font5"/>
    <w:basedOn w:val="1"/>
    <w:link w:val="1202"/>
    <w:qFormat/>
    <w:uiPriority w:val="99"/>
    <w:pPr>
      <w:widowControl/>
      <w:spacing w:before="100" w:beforeAutospacing="1" w:after="100" w:afterAutospacing="1"/>
      <w:jc w:val="left"/>
    </w:pPr>
    <w:rPr>
      <w:rFonts w:ascii="宋体" w:hAnsi="宋体" w:eastAsia="宋体" w:cs="Arial Unicode MS"/>
      <w:kern w:val="0"/>
      <w:sz w:val="18"/>
      <w:szCs w:val="18"/>
    </w:rPr>
  </w:style>
  <w:style w:type="character" w:customStyle="1" w:styleId="1202">
    <w:name w:val="font5 Char1"/>
    <w:link w:val="1201"/>
    <w:qFormat/>
    <w:uiPriority w:val="99"/>
    <w:rPr>
      <w:rFonts w:ascii="宋体" w:hAnsi="宋体" w:eastAsia="宋体" w:cs="Arial Unicode MS"/>
      <w:sz w:val="18"/>
      <w:szCs w:val="18"/>
    </w:rPr>
  </w:style>
  <w:style w:type="paragraph" w:customStyle="1" w:styleId="1203">
    <w:name w:val="正文首行缩进1"/>
    <w:basedOn w:val="32"/>
    <w:qFormat/>
    <w:uiPriority w:val="99"/>
    <w:pPr>
      <w:adjustRightInd w:val="0"/>
      <w:spacing w:after="0" w:line="312" w:lineRule="auto"/>
      <w:ind w:firstLine="567"/>
      <w:textAlignment w:val="baseline"/>
    </w:pPr>
    <w:rPr>
      <w:rFonts w:ascii="Times New Roman" w:hAnsi="Times New Roman" w:eastAsia="宋体" w:cs="Times New Roman"/>
      <w:kern w:val="0"/>
      <w:sz w:val="28"/>
      <w:szCs w:val="24"/>
    </w:rPr>
  </w:style>
  <w:style w:type="paragraph" w:customStyle="1" w:styleId="1204">
    <w:name w:val="Char11"/>
    <w:basedOn w:val="1"/>
    <w:qFormat/>
    <w:uiPriority w:val="99"/>
    <w:rPr>
      <w:rFonts w:ascii="Tahoma" w:hAnsi="Tahoma" w:eastAsia="宋体" w:cs="Times New Roman"/>
      <w:sz w:val="24"/>
      <w:szCs w:val="20"/>
    </w:rPr>
  </w:style>
  <w:style w:type="paragraph" w:customStyle="1" w:styleId="1205">
    <w:name w:val="样式 表头样式 + 两端对齐 段前: 0.5 行 段后: 0.5 行 首行缩进:  1 字符"/>
    <w:basedOn w:val="1135"/>
    <w:qFormat/>
    <w:uiPriority w:val="99"/>
    <w:pPr>
      <w:keepLines/>
      <w:spacing w:beforeLines="0"/>
      <w:ind w:firstLine="560" w:firstLineChars="200"/>
    </w:pPr>
    <w:rPr>
      <w:bCs w:val="0"/>
      <w:sz w:val="24"/>
      <w:szCs w:val="20"/>
    </w:rPr>
  </w:style>
  <w:style w:type="paragraph" w:customStyle="1" w:styleId="1206">
    <w:name w:val="列表 4U"/>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07">
    <w:name w:val="xl52"/>
    <w:basedOn w:val="1"/>
    <w:qFormat/>
    <w:uiPriority w:val="99"/>
    <w:pPr>
      <w:widowControl/>
      <w:pBdr>
        <w:top w:val="single" w:color="auto" w:sz="8" w:space="0"/>
        <w:bottom w:val="single" w:color="auto" w:sz="8" w:space="0"/>
        <w:right w:val="single" w:color="auto" w:sz="4" w:space="0"/>
      </w:pBdr>
      <w:spacing w:before="100" w:beforeAutospacing="1" w:after="100" w:afterAutospacing="1"/>
      <w:jc w:val="right"/>
    </w:pPr>
    <w:rPr>
      <w:rFonts w:ascii="宋体" w:hAnsi="宋体" w:eastAsia="仿宋_GB2312" w:cs="Times New Roman"/>
      <w:kern w:val="0"/>
      <w:position w:val="-6"/>
      <w:sz w:val="24"/>
    </w:rPr>
  </w:style>
  <w:style w:type="paragraph" w:customStyle="1" w:styleId="1208">
    <w:name w:val="表2"/>
    <w:basedOn w:val="32"/>
    <w:qFormat/>
    <w:uiPriority w:val="99"/>
    <w:pPr>
      <w:widowControl/>
      <w:tabs>
        <w:tab w:val="left" w:pos="1260"/>
      </w:tabs>
      <w:autoSpaceDE w:val="0"/>
      <w:autoSpaceDN w:val="0"/>
      <w:adjustRightInd w:val="0"/>
      <w:snapToGrid w:val="0"/>
      <w:spacing w:after="0"/>
      <w:ind w:right="-91"/>
      <w:textAlignment w:val="bottom"/>
    </w:pPr>
    <w:rPr>
      <w:rFonts w:ascii="Times New Roman" w:hAnsi="Times New Roman" w:eastAsia="仿宋_GB2312" w:cs="Arial"/>
      <w:kern w:val="0"/>
      <w:sz w:val="20"/>
    </w:rPr>
  </w:style>
  <w:style w:type="paragraph" w:customStyle="1" w:styleId="1209">
    <w:name w:val="样式 表内小5中 + 下划线 居中"/>
    <w:basedOn w:val="1053"/>
    <w:qFormat/>
    <w:uiPriority w:val="99"/>
    <w:pPr>
      <w:jc w:val="center"/>
    </w:pPr>
    <w:rPr>
      <w:szCs w:val="20"/>
      <w:u w:val="single"/>
    </w:rPr>
  </w:style>
  <w:style w:type="paragraph" w:customStyle="1" w:styleId="1210">
    <w:name w:val="尾消息标题"/>
    <w:basedOn w:val="1"/>
    <w:next w:val="32"/>
    <w:qFormat/>
    <w:uiPriority w:val="99"/>
    <w:pPr>
      <w:widowControl/>
      <w:pBdr>
        <w:bottom w:val="single" w:color="auto" w:sz="6" w:space="19"/>
        <w:between w:val="single" w:color="auto" w:sz="6" w:space="19"/>
      </w:pBdr>
      <w:tabs>
        <w:tab w:val="left" w:pos="1260"/>
        <w:tab w:val="left" w:pos="2940"/>
      </w:tabs>
      <w:spacing w:line="0" w:lineRule="atLeast"/>
      <w:jc w:val="left"/>
    </w:pPr>
    <w:rPr>
      <w:rFonts w:ascii="Times New Roman" w:hAnsi="Times New Roman" w:eastAsia="宋体" w:cs="Times New Roman"/>
      <w:kern w:val="0"/>
      <w:sz w:val="18"/>
      <w:szCs w:val="18"/>
    </w:rPr>
  </w:style>
  <w:style w:type="paragraph" w:customStyle="1" w:styleId="1211">
    <w:name w:val="样式 标题 1 + 两端对齐1"/>
    <w:basedOn w:val="3"/>
    <w:qFormat/>
    <w:uiPriority w:val="99"/>
    <w:pPr>
      <w:keepLines/>
      <w:tabs>
        <w:tab w:val="left" w:pos="720"/>
      </w:tabs>
      <w:adjustRightInd/>
      <w:snapToGrid/>
      <w:spacing w:before="0" w:beforeLines="100" w:beforeAutospacing="0" w:afterLines="100" w:line="312" w:lineRule="auto"/>
      <w:ind w:left="-4" w:firstLine="4"/>
      <w:jc w:val="both"/>
    </w:pPr>
    <w:rPr>
      <w:rFonts w:ascii="Times New Roman" w:cs="宋体"/>
      <w:bCs/>
      <w:sz w:val="32"/>
      <w:szCs w:val="20"/>
    </w:rPr>
  </w:style>
  <w:style w:type="paragraph" w:customStyle="1" w:styleId="1212">
    <w:name w:val="特殊标题３"/>
    <w:basedOn w:val="1"/>
    <w:qFormat/>
    <w:uiPriority w:val="0"/>
    <w:pPr>
      <w:overflowPunct w:val="0"/>
      <w:autoSpaceDE w:val="0"/>
      <w:autoSpaceDN w:val="0"/>
      <w:adjustRightInd w:val="0"/>
      <w:spacing w:line="360" w:lineRule="auto"/>
    </w:pPr>
    <w:rPr>
      <w:rFonts w:ascii="Times New Roman" w:hAnsi="Times New Roman" w:eastAsia="仿宋_GB2312" w:cs="Times New Roman"/>
      <w:kern w:val="0"/>
      <w:sz w:val="28"/>
      <w:szCs w:val="20"/>
    </w:rPr>
  </w:style>
  <w:style w:type="paragraph" w:customStyle="1" w:styleId="1213">
    <w:name w:val="Char Char Char Char Char Char Char Char Char Char Char Char Char Char Char"/>
    <w:basedOn w:val="1"/>
    <w:qFormat/>
    <w:uiPriority w:val="0"/>
    <w:rPr>
      <w:rFonts w:ascii="Times New Roman" w:hAnsi="Times New Roman" w:eastAsia="宋体" w:cs="Times New Roman"/>
      <w:szCs w:val="24"/>
    </w:rPr>
  </w:style>
  <w:style w:type="paragraph" w:customStyle="1" w:styleId="1214">
    <w:name w:val="正文样式1"/>
    <w:basedOn w:val="1"/>
    <w:qFormat/>
    <w:uiPriority w:val="99"/>
    <w:pPr>
      <w:ind w:firstLine="200" w:firstLineChars="200"/>
    </w:pPr>
    <w:rPr>
      <w:rFonts w:ascii="Times New Roman" w:hAnsi="Times New Roman" w:eastAsia="仿宋_GB2312" w:cs="Times New Roman"/>
      <w:sz w:val="24"/>
      <w:szCs w:val="24"/>
    </w:rPr>
  </w:style>
  <w:style w:type="paragraph" w:customStyle="1" w:styleId="1215">
    <w:name w:val="xl73"/>
    <w:basedOn w:val="1"/>
    <w:qFormat/>
    <w:uiPriority w:val="99"/>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eastAsia="仿宋_GB2312" w:cs="Times New Roman"/>
      <w:kern w:val="0"/>
      <w:position w:val="-6"/>
      <w:sz w:val="24"/>
      <w:szCs w:val="24"/>
    </w:rPr>
  </w:style>
  <w:style w:type="paragraph" w:customStyle="1" w:styleId="1216">
    <w:name w:val="Char Char Char1 Char Char Char Char Char Char Char1"/>
    <w:basedOn w:val="1"/>
    <w:qFormat/>
    <w:uiPriority w:val="99"/>
    <w:rPr>
      <w:rFonts w:ascii="Times New Roman" w:hAnsi="Times New Roman" w:eastAsia="宋体" w:cs="Times New Roman"/>
      <w:szCs w:val="24"/>
    </w:rPr>
  </w:style>
  <w:style w:type="paragraph" w:customStyle="1" w:styleId="1217">
    <w:name w:val="列表 4G"/>
    <w:basedOn w:val="70"/>
    <w:qFormat/>
    <w:uiPriority w:val="99"/>
    <w:pPr>
      <w:tabs>
        <w:tab w:val="left" w:pos="645"/>
      </w:tabs>
      <w:topLinePunct w:val="0"/>
      <w:spacing w:beforeLines="50" w:afterLines="30" w:line="288" w:lineRule="auto"/>
      <w:ind w:left="645" w:leftChars="0" w:hanging="645" w:firstLineChars="0"/>
      <w:jc w:val="both"/>
    </w:pPr>
    <w:rPr>
      <w:rFonts w:ascii="Arial" w:hAnsi="Arial" w:eastAsia="宋体"/>
      <w:color w:val="CCFFFF"/>
      <w:sz w:val="24"/>
    </w:rPr>
  </w:style>
  <w:style w:type="paragraph" w:customStyle="1" w:styleId="1218">
    <w:name w:val="Char Char Char Char Char Char Char1"/>
    <w:basedOn w:val="1"/>
    <w:qFormat/>
    <w:uiPriority w:val="0"/>
    <w:rPr>
      <w:rFonts w:ascii="Times New Roman" w:hAnsi="Times New Roman" w:eastAsia="宋体" w:cs="Times New Roman"/>
      <w:szCs w:val="24"/>
    </w:rPr>
  </w:style>
  <w:style w:type="paragraph" w:customStyle="1" w:styleId="1219">
    <w:name w:val="表 头"/>
    <w:basedOn w:val="1"/>
    <w:qFormat/>
    <w:uiPriority w:val="99"/>
    <w:pPr>
      <w:adjustRightInd w:val="0"/>
      <w:spacing w:before="120" w:after="120" w:line="360" w:lineRule="atLeast"/>
      <w:jc w:val="center"/>
    </w:pPr>
    <w:rPr>
      <w:rFonts w:ascii="Times New Roman" w:hAnsi="Times New Roman" w:eastAsia="黑体" w:cs="Times New Roman"/>
      <w:spacing w:val="10"/>
      <w:kern w:val="0"/>
      <w:sz w:val="24"/>
      <w:szCs w:val="20"/>
    </w:rPr>
  </w:style>
  <w:style w:type="paragraph" w:customStyle="1" w:styleId="1220">
    <w:name w:val="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21">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仿宋_GB2312" w:hAnsi="Arial Unicode MS" w:eastAsia="仿宋_GB2312" w:cs="Arial Unicode MS"/>
      <w:kern w:val="0"/>
      <w:sz w:val="24"/>
      <w:szCs w:val="20"/>
    </w:rPr>
  </w:style>
  <w:style w:type="paragraph" w:customStyle="1" w:styleId="1222">
    <w:name w:val="表头王"/>
    <w:basedOn w:val="1"/>
    <w:qFormat/>
    <w:uiPriority w:val="99"/>
    <w:pPr>
      <w:adjustRightInd w:val="0"/>
      <w:snapToGrid w:val="0"/>
      <w:spacing w:line="360" w:lineRule="auto"/>
      <w:jc w:val="center"/>
    </w:pPr>
    <w:rPr>
      <w:rFonts w:ascii="黑体" w:hAnsi="宋体" w:eastAsia="黑体" w:cs="Times New Roman"/>
      <w:b/>
      <w:sz w:val="24"/>
      <w:szCs w:val="24"/>
    </w:rPr>
  </w:style>
  <w:style w:type="paragraph" w:customStyle="1" w:styleId="1223">
    <w:name w:val="S表格"/>
    <w:basedOn w:val="1"/>
    <w:qFormat/>
    <w:uiPriority w:val="99"/>
    <w:pPr>
      <w:spacing w:before="240" w:line="360" w:lineRule="auto"/>
      <w:outlineLvl w:val="2"/>
    </w:pPr>
    <w:rPr>
      <w:rFonts w:ascii="Times New Roman" w:hAnsi="Times New Roman" w:eastAsia="宋体" w:cs="Times New Roman"/>
      <w:bCs/>
      <w:sz w:val="24"/>
      <w:szCs w:val="24"/>
    </w:rPr>
  </w:style>
  <w:style w:type="paragraph" w:customStyle="1" w:styleId="1224">
    <w:name w:val="xl59"/>
    <w:basedOn w:val="1"/>
    <w:qFormat/>
    <w:uiPriority w:val="99"/>
    <w:pPr>
      <w:widowControl/>
      <w:pBdr>
        <w:top w:val="single" w:color="auto" w:sz="8" w:space="0"/>
        <w:bottom w:val="single" w:color="auto" w:sz="4" w:space="0"/>
        <w:right w:val="single" w:color="auto" w:sz="4" w:space="0"/>
      </w:pBdr>
      <w:spacing w:before="100" w:beforeAutospacing="1" w:after="100" w:afterAutospacing="1"/>
      <w:jc w:val="center"/>
    </w:pPr>
    <w:rPr>
      <w:rFonts w:ascii="宋体" w:hAnsi="宋体" w:eastAsia="仿宋_GB2312" w:cs="Times New Roman"/>
      <w:kern w:val="0"/>
      <w:position w:val="-6"/>
      <w:sz w:val="24"/>
    </w:rPr>
  </w:style>
  <w:style w:type="paragraph" w:customStyle="1" w:styleId="1225">
    <w:name w:val="Char Char Char2 Char Char Char Char Char Char Char Char Char Char"/>
    <w:basedOn w:val="1"/>
    <w:qFormat/>
    <w:uiPriority w:val="99"/>
    <w:rPr>
      <w:rFonts w:ascii="Times New Roman" w:hAnsi="Times New Roman" w:eastAsia="宋体" w:cs="Times New Roman"/>
      <w:szCs w:val="24"/>
    </w:rPr>
  </w:style>
  <w:style w:type="paragraph" w:customStyle="1" w:styleId="1226">
    <w:name w:val="Institution"/>
    <w:basedOn w:val="1"/>
    <w:next w:val="997"/>
    <w:qFormat/>
    <w:uiPriority w:val="99"/>
    <w:pPr>
      <w:widowControl/>
      <w:tabs>
        <w:tab w:val="left" w:pos="2160"/>
        <w:tab w:val="right" w:pos="6480"/>
      </w:tabs>
      <w:spacing w:before="220" w:after="60" w:line="220" w:lineRule="atLeast"/>
      <w:ind w:right="-360"/>
      <w:jc w:val="left"/>
    </w:pPr>
    <w:rPr>
      <w:rFonts w:ascii="Times New Roman" w:hAnsi="Times New Roman" w:eastAsia="宋体" w:cs="Times New Roman"/>
      <w:kern w:val="0"/>
      <w:sz w:val="20"/>
      <w:szCs w:val="20"/>
    </w:rPr>
  </w:style>
  <w:style w:type="paragraph" w:customStyle="1" w:styleId="1227">
    <w:name w:val="13点"/>
    <w:basedOn w:val="1"/>
    <w:qFormat/>
    <w:uiPriority w:val="99"/>
    <w:pPr>
      <w:adjustRightInd w:val="0"/>
      <w:snapToGrid w:val="0"/>
      <w:jc w:val="center"/>
    </w:pPr>
    <w:rPr>
      <w:rFonts w:ascii="宋体" w:hAnsi="宋体" w:eastAsia="宋体" w:cs="Times New Roman"/>
      <w:sz w:val="24"/>
      <w:szCs w:val="28"/>
    </w:rPr>
  </w:style>
  <w:style w:type="paragraph" w:customStyle="1" w:styleId="1228">
    <w:name w:val="正文表标题"/>
    <w:next w:val="7"/>
    <w:qFormat/>
    <w:uiPriority w:val="99"/>
    <w:pPr>
      <w:jc w:val="center"/>
    </w:pPr>
    <w:rPr>
      <w:rFonts w:ascii="黑体" w:hAnsi="Times New Roman" w:eastAsia="黑体" w:cs="Times New Roman"/>
      <w:sz w:val="21"/>
      <w:lang w:val="en-US" w:eastAsia="zh-CN" w:bidi="ar-SA"/>
    </w:rPr>
  </w:style>
  <w:style w:type="paragraph" w:customStyle="1" w:styleId="1229">
    <w:name w:val="列表 5T"/>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30">
    <w:name w:val="yxp_表格内文字"/>
    <w:basedOn w:val="1"/>
    <w:qFormat/>
    <w:uiPriority w:val="0"/>
    <w:rPr>
      <w:rFonts w:ascii="Times New Roman" w:hAnsi="Times New Roman" w:eastAsia="宋体" w:cs="宋体"/>
      <w:kern w:val="0"/>
      <w:sz w:val="28"/>
      <w:szCs w:val="24"/>
    </w:rPr>
  </w:style>
  <w:style w:type="paragraph" w:customStyle="1" w:styleId="1231">
    <w:name w:val="表标题2.2"/>
    <w:basedOn w:val="1"/>
    <w:qFormat/>
    <w:uiPriority w:val="99"/>
    <w:pPr>
      <w:widowControl/>
      <w:tabs>
        <w:tab w:val="left" w:pos="726"/>
        <w:tab w:val="left" w:pos="8207"/>
      </w:tabs>
      <w:adjustRightInd w:val="0"/>
      <w:snapToGrid w:val="0"/>
      <w:spacing w:before="240" w:line="0" w:lineRule="atLeast"/>
      <w:ind w:left="2" w:firstLine="4"/>
      <w:jc w:val="center"/>
      <w:textAlignment w:val="baseline"/>
    </w:pPr>
    <w:rPr>
      <w:rFonts w:ascii="Times New Roman" w:hAnsi="Times New Roman" w:eastAsia="黑体" w:cs="Times New Roman"/>
      <w:b/>
      <w:color w:val="000000"/>
      <w:sz w:val="24"/>
      <w:szCs w:val="24"/>
    </w:rPr>
  </w:style>
  <w:style w:type="paragraph" w:customStyle="1" w:styleId="1232">
    <w:name w:val="font0"/>
    <w:basedOn w:val="1"/>
    <w:qFormat/>
    <w:uiPriority w:val="99"/>
    <w:pPr>
      <w:widowControl/>
      <w:spacing w:before="100" w:beforeAutospacing="1" w:after="100" w:afterAutospacing="1"/>
      <w:jc w:val="left"/>
    </w:pPr>
    <w:rPr>
      <w:rFonts w:hint="eastAsia" w:ascii="宋体" w:hAnsi="宋体" w:eastAsia="宋体" w:cs="Arial Unicode MS"/>
      <w:kern w:val="0"/>
      <w:sz w:val="24"/>
      <w:szCs w:val="20"/>
    </w:rPr>
  </w:style>
  <w:style w:type="paragraph" w:customStyle="1" w:styleId="1233">
    <w:name w:val="0005左缩2"/>
    <w:basedOn w:val="1"/>
    <w:qFormat/>
    <w:uiPriority w:val="99"/>
    <w:pPr>
      <w:widowControl/>
      <w:autoSpaceDE w:val="0"/>
      <w:autoSpaceDN w:val="0"/>
      <w:adjustRightInd w:val="0"/>
      <w:spacing w:afterLines="30" w:line="500" w:lineRule="exact"/>
      <w:ind w:firstLine="200" w:firstLineChars="200"/>
    </w:pPr>
    <w:rPr>
      <w:rFonts w:ascii="宋体" w:hAnsi="宋体" w:eastAsia="宋体" w:cs="Times New Roman"/>
      <w:sz w:val="28"/>
      <w:szCs w:val="28"/>
    </w:rPr>
  </w:style>
  <w:style w:type="paragraph" w:customStyle="1" w:styleId="1234">
    <w:name w:val="样式 样式 样式 正文首行缩进 + 黑体 四号 黑色 + 右侧:  -0.47 字符 + 左侧:  1.52 厘米 首行缩进:..."/>
    <w:basedOn w:val="7"/>
    <w:next w:val="7"/>
    <w:qFormat/>
    <w:uiPriority w:val="99"/>
    <w:pPr>
      <w:keepLines/>
      <w:numPr>
        <w:ilvl w:val="0"/>
        <w:numId w:val="0"/>
      </w:numPr>
      <w:tabs>
        <w:tab w:val="left" w:pos="360"/>
        <w:tab w:val="left" w:pos="1680"/>
        <w:tab w:val="left" w:pos="3316"/>
      </w:tabs>
      <w:adjustRightInd/>
      <w:snapToGrid/>
      <w:spacing w:before="0" w:beforeAutospacing="0"/>
      <w:ind w:left="1680" w:hanging="420"/>
      <w:jc w:val="both"/>
    </w:pPr>
    <w:rPr>
      <w:rFonts w:hAnsi="Arial" w:cs="Times New Roman"/>
      <w:b w:val="0"/>
      <w:sz w:val="28"/>
      <w:szCs w:val="20"/>
    </w:rPr>
  </w:style>
  <w:style w:type="paragraph" w:customStyle="1" w:styleId="1235">
    <w:name w:val="表4.14－1"/>
    <w:basedOn w:val="1"/>
    <w:qFormat/>
    <w:uiPriority w:val="99"/>
    <w:pPr>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cs="宋体"/>
      <w:b/>
      <w:bCs/>
      <w:spacing w:val="6"/>
      <w:kern w:val="0"/>
      <w:sz w:val="24"/>
      <w:szCs w:val="20"/>
    </w:rPr>
  </w:style>
  <w:style w:type="paragraph" w:customStyle="1" w:styleId="1236">
    <w:name w:val="样式5"/>
    <w:basedOn w:val="21"/>
    <w:link w:val="1237"/>
    <w:qFormat/>
    <w:uiPriority w:val="99"/>
    <w:pPr>
      <w:widowControl w:val="0"/>
      <w:adjustRightInd w:val="0"/>
      <w:snapToGrid w:val="0"/>
      <w:spacing w:line="360" w:lineRule="auto"/>
      <w:ind w:firstLine="420"/>
      <w:textAlignment w:val="baseline"/>
    </w:pPr>
    <w:rPr>
      <w:rFonts w:ascii="Times New Roman" w:hAnsi="Times New Roman"/>
      <w:sz w:val="24"/>
    </w:rPr>
  </w:style>
  <w:style w:type="character" w:customStyle="1" w:styleId="1237">
    <w:name w:val="样式5 Char"/>
    <w:link w:val="1236"/>
    <w:qFormat/>
    <w:uiPriority w:val="99"/>
    <w:rPr>
      <w:rFonts w:ascii="Times New Roman" w:hAnsi="Times New Roman" w:eastAsia="宋体" w:cs="Times New Roman"/>
      <w:sz w:val="24"/>
    </w:rPr>
  </w:style>
  <w:style w:type="paragraph" w:customStyle="1" w:styleId="1238">
    <w:name w:val="样式 样式 首行缩进:  2 字符 + 首行缩进:  2 字符"/>
    <w:basedOn w:val="1"/>
    <w:qFormat/>
    <w:uiPriority w:val="99"/>
    <w:pPr>
      <w:ind w:firstLine="587" w:firstLineChars="200"/>
    </w:pPr>
    <w:rPr>
      <w:rFonts w:ascii="宋体" w:hAnsi="Times New Roman" w:eastAsia="宋体" w:cs="Times New Roman"/>
      <w:sz w:val="27"/>
      <w:szCs w:val="27"/>
    </w:rPr>
  </w:style>
  <w:style w:type="paragraph" w:customStyle="1" w:styleId="1239">
    <w:name w:val="列表 2E"/>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240">
    <w:name w:val="样式 样式 样式 正文首行缩进 + 首行缩进:  2 字符 + 首行缩进:  2 字符 + 首行缩进:  2 字符"/>
    <w:basedOn w:val="1"/>
    <w:qFormat/>
    <w:uiPriority w:val="99"/>
    <w:pPr>
      <w:widowControl/>
      <w:tabs>
        <w:tab w:val="left" w:pos="628"/>
        <w:tab w:val="left" w:pos="1727"/>
        <w:tab w:val="left" w:pos="1884"/>
        <w:tab w:val="left" w:pos="2660"/>
        <w:tab w:val="left" w:pos="5460"/>
      </w:tabs>
      <w:autoSpaceDE w:val="0"/>
      <w:snapToGrid w:val="0"/>
      <w:spacing w:line="360" w:lineRule="auto"/>
      <w:ind w:firstLine="200" w:firstLineChars="200"/>
      <w:jc w:val="left"/>
    </w:pPr>
    <w:rPr>
      <w:rFonts w:ascii="宋体" w:hAnsi="Times New Roman" w:eastAsia="宋体" w:cs="宋体"/>
      <w:snapToGrid w:val="0"/>
      <w:color w:val="000000"/>
      <w:kern w:val="0"/>
      <w:sz w:val="28"/>
      <w:szCs w:val="20"/>
    </w:rPr>
  </w:style>
  <w:style w:type="paragraph" w:customStyle="1" w:styleId="1241">
    <w:name w:val="正文表格"/>
    <w:basedOn w:val="1"/>
    <w:qFormat/>
    <w:uiPriority w:val="0"/>
    <w:pPr>
      <w:keepNext/>
      <w:keepLines/>
      <w:tabs>
        <w:tab w:val="center" w:pos="6804"/>
      </w:tabs>
      <w:overflowPunct w:val="0"/>
      <w:adjustRightInd w:val="0"/>
      <w:spacing w:before="80"/>
      <w:jc w:val="center"/>
      <w:textAlignment w:val="bottom"/>
    </w:pPr>
    <w:rPr>
      <w:rFonts w:ascii="Times New Roman" w:hAnsi="Times New Roman" w:eastAsia="宋体" w:cs="Times New Roman"/>
      <w:kern w:val="0"/>
      <w:sz w:val="28"/>
      <w:szCs w:val="20"/>
    </w:rPr>
  </w:style>
  <w:style w:type="paragraph" w:customStyle="1" w:styleId="1242">
    <w:name w:val="CM11"/>
    <w:basedOn w:val="202"/>
    <w:next w:val="202"/>
    <w:qFormat/>
    <w:uiPriority w:val="99"/>
    <w:pPr>
      <w:autoSpaceDE/>
      <w:autoSpaceDN/>
      <w:adjustRightInd/>
      <w:spacing w:beforeLines="0" w:afterLines="0" w:line="456" w:lineRule="atLeast"/>
      <w:ind w:left="210"/>
    </w:pPr>
    <w:rPr>
      <w:rFonts w:ascii="宋体" w:hAnsi="Calibri" w:eastAsia="宋体" w:cs="宋体"/>
      <w:b w:val="0"/>
      <w:smallCaps/>
      <w:snapToGrid/>
      <w:color w:val="auto"/>
      <w:sz w:val="20"/>
      <w:szCs w:val="20"/>
    </w:rPr>
  </w:style>
  <w:style w:type="paragraph" w:customStyle="1" w:styleId="1243">
    <w:name w:val="Personal Info"/>
    <w:basedOn w:val="997"/>
    <w:qFormat/>
    <w:uiPriority w:val="99"/>
    <w:pPr>
      <w:spacing w:before="220"/>
    </w:pPr>
  </w:style>
  <w:style w:type="paragraph" w:customStyle="1" w:styleId="1244">
    <w:name w:val="符号说明"/>
    <w:basedOn w:val="1"/>
    <w:qFormat/>
    <w:uiPriority w:val="99"/>
    <w:pPr>
      <w:tabs>
        <w:tab w:val="left" w:pos="1260"/>
        <w:tab w:val="left" w:pos="3780"/>
        <w:tab w:val="left" w:pos="4680"/>
      </w:tabs>
      <w:spacing w:line="360" w:lineRule="auto"/>
      <w:ind w:firstLine="840" w:firstLineChars="400"/>
    </w:pPr>
    <w:rPr>
      <w:rFonts w:ascii="Times New Roman" w:hAnsi="Times New Roman" w:eastAsia="宋体" w:cs="Times New Roman"/>
    </w:rPr>
  </w:style>
  <w:style w:type="paragraph" w:customStyle="1" w:styleId="1245">
    <w:name w:val="二级条标题"/>
    <w:basedOn w:val="1246"/>
    <w:next w:val="1"/>
    <w:qFormat/>
    <w:uiPriority w:val="99"/>
    <w:pPr>
      <w:tabs>
        <w:tab w:val="left" w:pos="360"/>
        <w:tab w:val="left" w:pos="709"/>
        <w:tab w:val="left" w:pos="851"/>
        <w:tab w:val="left" w:pos="903"/>
        <w:tab w:val="left" w:pos="1260"/>
        <w:tab w:val="left" w:pos="1680"/>
      </w:tabs>
      <w:ind w:left="1680"/>
      <w:outlineLvl w:val="3"/>
    </w:pPr>
  </w:style>
  <w:style w:type="paragraph" w:customStyle="1" w:styleId="1246">
    <w:name w:val="一级条标题"/>
    <w:basedOn w:val="3"/>
    <w:next w:val="1"/>
    <w:qFormat/>
    <w:uiPriority w:val="99"/>
    <w:pPr>
      <w:widowControl/>
      <w:tabs>
        <w:tab w:val="left" w:pos="360"/>
        <w:tab w:val="left" w:pos="709"/>
        <w:tab w:val="left" w:pos="903"/>
        <w:tab w:val="left" w:pos="1260"/>
      </w:tabs>
      <w:adjustRightInd/>
      <w:snapToGrid/>
      <w:spacing w:before="0" w:beforeLines="100" w:beforeAutospacing="0" w:afterLines="100" w:line="240" w:lineRule="auto"/>
      <w:ind w:left="1260" w:hanging="420"/>
      <w:jc w:val="both"/>
      <w:outlineLvl w:val="2"/>
    </w:pPr>
    <w:rPr>
      <w:rFonts w:cs="Times New Roman"/>
      <w:b w:val="0"/>
      <w:kern w:val="0"/>
      <w:sz w:val="21"/>
      <w:szCs w:val="20"/>
    </w:rPr>
  </w:style>
  <w:style w:type="paragraph" w:customStyle="1" w:styleId="1247">
    <w:name w:val="表内宋5中"/>
    <w:basedOn w:val="21"/>
    <w:qFormat/>
    <w:uiPriority w:val="99"/>
    <w:pPr>
      <w:widowControl w:val="0"/>
      <w:autoSpaceDE w:val="0"/>
      <w:autoSpaceDN w:val="0"/>
      <w:adjustRightInd w:val="0"/>
      <w:snapToGrid w:val="0"/>
      <w:spacing w:line="240" w:lineRule="auto"/>
      <w:ind w:firstLine="0"/>
      <w:jc w:val="center"/>
    </w:pPr>
    <w:rPr>
      <w:rFonts w:ascii="宋体" w:hAnsi="宋体"/>
      <w:sz w:val="20"/>
    </w:rPr>
  </w:style>
  <w:style w:type="paragraph" w:customStyle="1" w:styleId="1248">
    <w:name w:val="环正文"/>
    <w:basedOn w:val="1"/>
    <w:semiHidden/>
    <w:qFormat/>
    <w:uiPriority w:val="99"/>
    <w:pPr>
      <w:widowControl/>
      <w:tabs>
        <w:tab w:val="left" w:pos="5094"/>
      </w:tabs>
      <w:adjustRightInd w:val="0"/>
      <w:spacing w:line="440" w:lineRule="exact"/>
      <w:ind w:firstLine="464" w:firstLineChars="200"/>
      <w:textAlignment w:val="baseline"/>
    </w:pPr>
    <w:rPr>
      <w:rFonts w:ascii="宋体" w:hAnsi="宋体" w:eastAsia="宋体" w:cs="Times New Roman"/>
      <w:color w:val="000000"/>
      <w:spacing w:val="-4"/>
      <w:kern w:val="0"/>
      <w:sz w:val="24"/>
      <w:szCs w:val="20"/>
    </w:rPr>
  </w:style>
  <w:style w:type="paragraph" w:customStyle="1" w:styleId="1249">
    <w:name w:val="WPS Plain"/>
    <w:qFormat/>
    <w:uiPriority w:val="99"/>
    <w:rPr>
      <w:rFonts w:ascii="Times New Roman" w:hAnsi="Times New Roman" w:eastAsia="宋体" w:cs="Times New Roman"/>
      <w:lang w:val="en-US" w:eastAsia="zh-CN" w:bidi="ar-SA"/>
    </w:rPr>
  </w:style>
  <w:style w:type="paragraph" w:customStyle="1" w:styleId="1250">
    <w:name w:val="样式 标题 4常用标题 4 + 段前: 6 磅 段后: 6 磅 行距: 固定值 26 磅"/>
    <w:basedOn w:val="7"/>
    <w:qFormat/>
    <w:uiPriority w:val="99"/>
    <w:pPr>
      <w:keepLines/>
      <w:numPr>
        <w:ilvl w:val="0"/>
        <w:numId w:val="0"/>
      </w:numPr>
      <w:tabs>
        <w:tab w:val="left" w:pos="360"/>
        <w:tab w:val="left" w:pos="800"/>
        <w:tab w:val="left" w:pos="1440"/>
      </w:tabs>
      <w:adjustRightInd/>
      <w:snapToGrid/>
      <w:spacing w:before="120" w:beforeAutospacing="0" w:after="120" w:line="520" w:lineRule="exact"/>
      <w:jc w:val="both"/>
    </w:pPr>
    <w:rPr>
      <w:rFonts w:ascii="Arial" w:hAnsi="Arial" w:eastAsia="黑体" w:cs="宋体"/>
      <w:b w:val="0"/>
      <w:kern w:val="0"/>
      <w:sz w:val="28"/>
      <w:szCs w:val="20"/>
    </w:rPr>
  </w:style>
  <w:style w:type="paragraph" w:customStyle="1" w:styleId="1251">
    <w:name w:val="内蒙正文"/>
    <w:basedOn w:val="1"/>
    <w:qFormat/>
    <w:uiPriority w:val="99"/>
    <w:pPr>
      <w:spacing w:line="480" w:lineRule="exact"/>
      <w:ind w:firstLine="560" w:firstLineChars="200"/>
    </w:pPr>
    <w:rPr>
      <w:rFonts w:ascii="Times New Roman" w:hAnsi="宋体" w:eastAsia="Times New Roman" w:cs="Times New Roman"/>
      <w:color w:val="FF0000"/>
      <w:spacing w:val="20"/>
      <w:sz w:val="24"/>
      <w:szCs w:val="24"/>
    </w:rPr>
  </w:style>
  <w:style w:type="paragraph" w:customStyle="1" w:styleId="1252">
    <w:name w:val="xl70"/>
    <w:basedOn w:val="1"/>
    <w:qFormat/>
    <w:uiPriority w:val="99"/>
    <w:pPr>
      <w:widowControl/>
      <w:pBdr>
        <w:bottom w:val="single" w:color="auto" w:sz="4" w:space="0"/>
      </w:pBdr>
      <w:spacing w:before="100" w:beforeAutospacing="1" w:after="100" w:afterAutospacing="1"/>
      <w:jc w:val="right"/>
    </w:pPr>
    <w:rPr>
      <w:rFonts w:ascii="宋体" w:hAnsi="宋体" w:eastAsia="仿宋_GB2312" w:cs="Times New Roman"/>
      <w:kern w:val="0"/>
      <w:position w:val="-6"/>
      <w:sz w:val="24"/>
    </w:rPr>
  </w:style>
  <w:style w:type="paragraph" w:customStyle="1" w:styleId="1253">
    <w:name w:val="样式 表标题3.10 + 段前: 1 行"/>
    <w:basedOn w:val="1019"/>
    <w:qFormat/>
    <w:uiPriority w:val="99"/>
    <w:pPr>
      <w:tabs>
        <w:tab w:val="left" w:pos="726"/>
        <w:tab w:val="clear" w:pos="4060"/>
        <w:tab w:val="clear" w:pos="8261"/>
      </w:tabs>
      <w:ind w:left="2" w:firstLine="4"/>
    </w:pPr>
    <w:rPr>
      <w:rFonts w:cs="宋体"/>
      <w:bCs/>
      <w:spacing w:val="0"/>
    </w:rPr>
  </w:style>
  <w:style w:type="paragraph" w:customStyle="1" w:styleId="1254">
    <w:name w:val="码头表"/>
    <w:basedOn w:val="1"/>
    <w:qFormat/>
    <w:uiPriority w:val="99"/>
    <w:pPr>
      <w:jc w:val="center"/>
    </w:pPr>
    <w:rPr>
      <w:rFonts w:ascii="宋体" w:hAnsi="宋体" w:eastAsia="宋体" w:cs="Times New Roman"/>
      <w:color w:val="000000"/>
      <w:sz w:val="18"/>
      <w:szCs w:val="24"/>
    </w:rPr>
  </w:style>
  <w:style w:type="paragraph" w:customStyle="1" w:styleId="1255">
    <w:name w:val="lyh正文"/>
    <w:basedOn w:val="1"/>
    <w:qFormat/>
    <w:uiPriority w:val="0"/>
    <w:pPr>
      <w:adjustRightInd w:val="0"/>
      <w:snapToGrid w:val="0"/>
      <w:spacing w:line="360" w:lineRule="auto"/>
      <w:ind w:firstLine="200" w:firstLineChars="200"/>
      <w:jc w:val="left"/>
    </w:pPr>
    <w:rPr>
      <w:rFonts w:ascii="宋体" w:hAnsi="宋体" w:eastAsia="宋体" w:cs="Times New Roman"/>
      <w:bCs/>
      <w:sz w:val="28"/>
      <w:szCs w:val="32"/>
    </w:rPr>
  </w:style>
  <w:style w:type="paragraph" w:customStyle="1" w:styleId="1256">
    <w:name w:val="表格标题"/>
    <w:basedOn w:val="1"/>
    <w:next w:val="1"/>
    <w:link w:val="1257"/>
    <w:qFormat/>
    <w:uiPriority w:val="0"/>
    <w:pPr>
      <w:widowControl/>
      <w:adjustRightInd w:val="0"/>
      <w:snapToGrid w:val="0"/>
      <w:ind w:firstLine="200" w:firstLineChars="200"/>
      <w:jc w:val="center"/>
    </w:pPr>
    <w:rPr>
      <w:rFonts w:ascii="Times New Roman" w:hAnsi="Times New Roman" w:eastAsia="黑体" w:cs="黑体"/>
      <w:b/>
      <w:kern w:val="0"/>
      <w:szCs w:val="22"/>
    </w:rPr>
  </w:style>
  <w:style w:type="character" w:customStyle="1" w:styleId="1257">
    <w:name w:val="表格标题 Char Char"/>
    <w:link w:val="1256"/>
    <w:qFormat/>
    <w:uiPriority w:val="0"/>
    <w:rPr>
      <w:rFonts w:ascii="Times New Roman" w:hAnsi="Times New Roman" w:eastAsia="黑体" w:cs="黑体"/>
      <w:b/>
      <w:sz w:val="21"/>
      <w:szCs w:val="22"/>
    </w:rPr>
  </w:style>
  <w:style w:type="paragraph" w:customStyle="1" w:styleId="1258">
    <w:name w:val="CM65"/>
    <w:basedOn w:val="202"/>
    <w:next w:val="202"/>
    <w:qFormat/>
    <w:uiPriority w:val="99"/>
    <w:pPr>
      <w:autoSpaceDE/>
      <w:autoSpaceDN/>
      <w:adjustRightInd/>
      <w:spacing w:beforeLines="0" w:after="418" w:afterLines="0" w:line="240" w:lineRule="auto"/>
      <w:ind w:left="210"/>
    </w:pPr>
    <w:rPr>
      <w:rFonts w:ascii="Calibri" w:hAnsi="Calibri" w:eastAsia="宋体"/>
      <w:b w:val="0"/>
      <w:smallCaps/>
      <w:snapToGrid/>
      <w:color w:val="auto"/>
      <w:sz w:val="20"/>
      <w:szCs w:val="20"/>
    </w:rPr>
  </w:style>
  <w:style w:type="paragraph" w:customStyle="1" w:styleId="1259">
    <w:name w:val="样式 标题 2 + Times New Roman 小三 居中 行距: 单倍行距"/>
    <w:basedOn w:val="5"/>
    <w:qFormat/>
    <w:uiPriority w:val="99"/>
    <w:pPr>
      <w:keepLines/>
      <w:widowControl/>
      <w:numPr>
        <w:ilvl w:val="0"/>
        <w:numId w:val="0"/>
      </w:numPr>
      <w:adjustRightInd/>
      <w:snapToGrid/>
      <w:spacing w:before="260" w:beforeAutospacing="0" w:after="260" w:line="240" w:lineRule="auto"/>
      <w:ind w:left="420" w:firstLine="538" w:firstLineChars="192"/>
    </w:pPr>
    <w:rPr>
      <w:rFonts w:ascii="Times New Roman" w:hAnsi="Times New Roman" w:cs="宋体"/>
      <w:b/>
      <w:bCs w:val="0"/>
      <w:kern w:val="0"/>
      <w:sz w:val="30"/>
      <w:szCs w:val="20"/>
    </w:rPr>
  </w:style>
  <w:style w:type="paragraph" w:customStyle="1" w:styleId="1260">
    <w:name w:val="表格式"/>
    <w:basedOn w:val="60"/>
    <w:qFormat/>
    <w:uiPriority w:val="99"/>
    <w:pPr>
      <w:spacing w:beforeLines="50" w:afterLines="50" w:line="200" w:lineRule="exact"/>
      <w:ind w:left="0" w:firstLine="0"/>
      <w:jc w:val="center"/>
    </w:pPr>
    <w:rPr>
      <w:rFonts w:ascii="Times New Roman" w:eastAsia="宋体"/>
      <w:kern w:val="0"/>
      <w:sz w:val="20"/>
      <w:szCs w:val="20"/>
    </w:rPr>
  </w:style>
  <w:style w:type="paragraph" w:customStyle="1" w:styleId="1261">
    <w:name w:val="样式 样式 题注 + (西文) 宋体 + 段后: 1 行"/>
    <w:basedOn w:val="1"/>
    <w:qFormat/>
    <w:uiPriority w:val="99"/>
    <w:pPr>
      <w:keepNext/>
      <w:spacing w:line="360" w:lineRule="auto"/>
      <w:ind w:firstLine="200" w:firstLineChars="200"/>
      <w:jc w:val="left"/>
    </w:pPr>
    <w:rPr>
      <w:rFonts w:ascii="宋体" w:hAnsi="宋体" w:eastAsia="宋体" w:cs="宋体"/>
      <w:color w:val="000000"/>
      <w:sz w:val="28"/>
      <w:szCs w:val="20"/>
    </w:rPr>
  </w:style>
  <w:style w:type="paragraph" w:customStyle="1" w:styleId="1262">
    <w:name w:val="列表 2G"/>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263">
    <w:name w:val="列表1"/>
    <w:basedOn w:val="35"/>
    <w:qFormat/>
    <w:uiPriority w:val="0"/>
    <w:pPr>
      <w:widowControl/>
      <w:snapToGrid/>
      <w:jc w:val="left"/>
    </w:pPr>
    <w:rPr>
      <w:rFonts w:ascii="Times New Roman"/>
      <w:kern w:val="0"/>
    </w:rPr>
  </w:style>
  <w:style w:type="paragraph" w:customStyle="1" w:styleId="1264">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265">
    <w:name w:val="CM12"/>
    <w:basedOn w:val="1"/>
    <w:next w:val="1"/>
    <w:qFormat/>
    <w:uiPriority w:val="99"/>
    <w:pPr>
      <w:autoSpaceDE w:val="0"/>
      <w:autoSpaceDN w:val="0"/>
      <w:adjustRightInd w:val="0"/>
      <w:spacing w:line="456" w:lineRule="atLeast"/>
      <w:jc w:val="left"/>
    </w:pPr>
    <w:rPr>
      <w:rFonts w:ascii="宋体" w:hAnsi="Times New Roman" w:eastAsia="宋体" w:cs="宋体"/>
      <w:kern w:val="0"/>
      <w:sz w:val="24"/>
      <w:szCs w:val="24"/>
    </w:rPr>
  </w:style>
  <w:style w:type="paragraph" w:customStyle="1" w:styleId="1266">
    <w:name w:val="标题样式2"/>
    <w:basedOn w:val="5"/>
    <w:qFormat/>
    <w:uiPriority w:val="99"/>
    <w:pPr>
      <w:keepNext w:val="0"/>
      <w:numPr>
        <w:ilvl w:val="0"/>
        <w:numId w:val="0"/>
      </w:numPr>
      <w:tabs>
        <w:tab w:val="left" w:pos="1260"/>
        <w:tab w:val="left" w:pos="4142"/>
        <w:tab w:val="left" w:pos="6833"/>
        <w:tab w:val="left" w:pos="9030"/>
        <w:tab w:val="left" w:pos="9287"/>
      </w:tabs>
      <w:overflowPunct w:val="0"/>
      <w:topLinePunct/>
      <w:autoSpaceDE w:val="0"/>
      <w:autoSpaceDN w:val="0"/>
      <w:spacing w:before="0" w:beforeLines="5" w:beforeAutospacing="0" w:afterLines="5" w:line="360" w:lineRule="atLeast"/>
      <w:ind w:left="1260" w:hanging="420"/>
      <w:jc w:val="center"/>
      <w:textAlignment w:val="baseline"/>
      <w:outlineLvl w:val="9"/>
    </w:pPr>
    <w:rPr>
      <w:rFonts w:ascii="Times New Roman" w:hAnsi="Times New Roman" w:eastAsia="宋体" w:cs="Times New Roman"/>
      <w:kern w:val="0"/>
      <w:sz w:val="24"/>
      <w:szCs w:val="20"/>
    </w:rPr>
  </w:style>
  <w:style w:type="paragraph" w:customStyle="1" w:styleId="1267">
    <w:name w:val="Name"/>
    <w:basedOn w:val="1"/>
    <w:next w:val="1"/>
    <w:qFormat/>
    <w:uiPriority w:val="99"/>
    <w:pPr>
      <w:widowControl/>
      <w:spacing w:after="440" w:line="240" w:lineRule="atLeast"/>
      <w:ind w:left="2160"/>
      <w:jc w:val="left"/>
    </w:pPr>
    <w:rPr>
      <w:rFonts w:ascii="Times New Roman" w:hAnsi="Times New Roman" w:eastAsia="宋体" w:cs="Times New Roman"/>
      <w:spacing w:val="-20"/>
      <w:kern w:val="0"/>
      <w:sz w:val="48"/>
      <w:szCs w:val="20"/>
    </w:rPr>
  </w:style>
  <w:style w:type="paragraph" w:customStyle="1" w:styleId="1268">
    <w:name w:val="表16.4-1"/>
    <w:basedOn w:val="1"/>
    <w:qFormat/>
    <w:uiPriority w:val="99"/>
    <w:pPr>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cs="宋体"/>
      <w:b/>
      <w:bCs/>
      <w:spacing w:val="6"/>
      <w:kern w:val="0"/>
      <w:sz w:val="24"/>
      <w:szCs w:val="20"/>
    </w:rPr>
  </w:style>
  <w:style w:type="paragraph" w:customStyle="1" w:styleId="1269">
    <w:name w:val="小表左密"/>
    <w:basedOn w:val="1"/>
    <w:qFormat/>
    <w:uiPriority w:val="99"/>
    <w:pPr>
      <w:keepNext/>
      <w:adjustRightInd w:val="0"/>
      <w:snapToGrid w:val="0"/>
      <w:spacing w:line="240" w:lineRule="atLeast"/>
    </w:pPr>
    <w:rPr>
      <w:rFonts w:ascii="宋体" w:hAnsi="宋体" w:eastAsia="宋体" w:cs="Times New Roman"/>
      <w:sz w:val="18"/>
      <w:szCs w:val="18"/>
    </w:rPr>
  </w:style>
  <w:style w:type="paragraph" w:customStyle="1" w:styleId="1270">
    <w:name w:val="样式 标题 1 + 黑体 三号"/>
    <w:basedOn w:val="3"/>
    <w:qFormat/>
    <w:uiPriority w:val="99"/>
    <w:pPr>
      <w:keepNext/>
      <w:keepLines/>
      <w:widowControl/>
      <w:topLinePunct/>
      <w:autoSpaceDE w:val="0"/>
      <w:autoSpaceDN w:val="0"/>
      <w:spacing w:before="340" w:beforeAutospacing="0" w:after="330" w:line="240" w:lineRule="auto"/>
      <w:ind w:left="420" w:firstLine="538" w:firstLineChars="224"/>
      <w:jc w:val="both"/>
    </w:pPr>
    <w:rPr>
      <w:rFonts w:hAnsi="黑体" w:cs="Times New Roman"/>
      <w:b w:val="0"/>
      <w:snapToGrid w:val="0"/>
      <w:sz w:val="32"/>
    </w:rPr>
  </w:style>
  <w:style w:type="paragraph" w:customStyle="1" w:styleId="1271">
    <w:name w:val="xl66"/>
    <w:basedOn w:val="1"/>
    <w:qFormat/>
    <w:uiPriority w:val="99"/>
    <w:pPr>
      <w:widowControl/>
      <w:pBdr>
        <w:bottom w:val="single" w:color="auto" w:sz="8" w:space="0"/>
      </w:pBdr>
      <w:spacing w:before="100" w:beforeAutospacing="1" w:after="100" w:afterAutospacing="1"/>
      <w:jc w:val="right"/>
    </w:pPr>
    <w:rPr>
      <w:rFonts w:ascii="宋体" w:hAnsi="宋体" w:eastAsia="仿宋_GB2312" w:cs="Times New Roman"/>
      <w:b/>
      <w:bCs/>
      <w:kern w:val="0"/>
      <w:position w:val="-6"/>
      <w:sz w:val="24"/>
    </w:rPr>
  </w:style>
  <w:style w:type="paragraph" w:customStyle="1" w:styleId="1272">
    <w:name w:val="环保篇"/>
    <w:basedOn w:val="1"/>
    <w:qFormat/>
    <w:uiPriority w:val="99"/>
    <w:pPr>
      <w:tabs>
        <w:tab w:val="left" w:pos="360"/>
      </w:tabs>
      <w:adjustRightInd w:val="0"/>
      <w:spacing w:line="360" w:lineRule="auto"/>
      <w:textAlignment w:val="baseline"/>
    </w:pPr>
    <w:rPr>
      <w:rFonts w:ascii="Times New Roman" w:hAnsi="Times New Roman" w:eastAsia="宋体" w:cs="Times New Roman"/>
      <w:sz w:val="28"/>
      <w:szCs w:val="20"/>
    </w:rPr>
  </w:style>
  <w:style w:type="paragraph" w:customStyle="1" w:styleId="1273">
    <w:name w:val="表标题5.9"/>
    <w:basedOn w:val="1"/>
    <w:qFormat/>
    <w:uiPriority w:val="99"/>
    <w:pPr>
      <w:tabs>
        <w:tab w:val="left" w:pos="1653"/>
      </w:tabs>
      <w:spacing w:beforeLines="100" w:line="0" w:lineRule="atLeast"/>
      <w:ind w:left="993" w:hanging="420"/>
    </w:pPr>
    <w:rPr>
      <w:rFonts w:ascii="Times New Roman" w:hAnsi="Times New Roman" w:eastAsia="黑体" w:cs="Times New Roman"/>
      <w:b/>
      <w:sz w:val="24"/>
      <w:szCs w:val="24"/>
    </w:rPr>
  </w:style>
  <w:style w:type="paragraph" w:customStyle="1" w:styleId="1274">
    <w:name w:val="说明书正文"/>
    <w:basedOn w:val="1"/>
    <w:link w:val="1275"/>
    <w:qFormat/>
    <w:uiPriority w:val="99"/>
    <w:pPr>
      <w:spacing w:line="560" w:lineRule="exact"/>
      <w:ind w:firstLine="200" w:firstLineChars="200"/>
    </w:pPr>
    <w:rPr>
      <w:rFonts w:ascii="Arial Unicode MS" w:hAnsi="Arial Unicode MS" w:eastAsia="幼圆" w:cs="宋体"/>
      <w:sz w:val="24"/>
      <w:szCs w:val="28"/>
    </w:rPr>
  </w:style>
  <w:style w:type="character" w:customStyle="1" w:styleId="1275">
    <w:name w:val="说明书正文 Char"/>
    <w:link w:val="1274"/>
    <w:qFormat/>
    <w:uiPriority w:val="99"/>
    <w:rPr>
      <w:rFonts w:ascii="Arial Unicode MS" w:hAnsi="Arial Unicode MS" w:eastAsia="幼圆" w:cs="宋体"/>
      <w:kern w:val="2"/>
      <w:sz w:val="24"/>
      <w:szCs w:val="28"/>
    </w:rPr>
  </w:style>
  <w:style w:type="paragraph" w:customStyle="1" w:styleId="1276">
    <w:name w:val="样式 表格文字居中 + 右侧:  -0.06 字符1"/>
    <w:basedOn w:val="676"/>
    <w:qFormat/>
    <w:uiPriority w:val="99"/>
    <w:pPr>
      <w:keepNext/>
      <w:adjustRightInd/>
      <w:snapToGrid/>
      <w:spacing w:line="0" w:lineRule="atLeast"/>
      <w:ind w:left="-6"/>
    </w:pPr>
    <w:rPr>
      <w:rFonts w:cs="宋体"/>
      <w:kern w:val="2"/>
      <w:sz w:val="18"/>
      <w:szCs w:val="20"/>
    </w:rPr>
  </w:style>
  <w:style w:type="paragraph" w:customStyle="1" w:styleId="1277">
    <w:name w:val="列表 5I"/>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78">
    <w:name w:val="样式 正文首行缩进 + 四号 首行缩进:  2 字符"/>
    <w:basedOn w:val="79"/>
    <w:qFormat/>
    <w:uiPriority w:val="99"/>
    <w:pPr>
      <w:widowControl w:val="0"/>
      <w:tabs>
        <w:tab w:val="left" w:pos="628"/>
        <w:tab w:val="left" w:pos="1727"/>
        <w:tab w:val="left" w:pos="1884"/>
        <w:tab w:val="left" w:pos="4900"/>
      </w:tabs>
      <w:autoSpaceDE w:val="0"/>
      <w:autoSpaceDN w:val="0"/>
      <w:adjustRightInd w:val="0"/>
      <w:snapToGrid w:val="0"/>
      <w:spacing w:after="0" w:line="360" w:lineRule="auto"/>
      <w:ind w:firstLine="0" w:firstLineChars="0"/>
      <w:jc w:val="left"/>
    </w:pPr>
    <w:rPr>
      <w:sz w:val="28"/>
      <w:szCs w:val="28"/>
      <w:lang w:val="zh-CN"/>
    </w:rPr>
  </w:style>
  <w:style w:type="paragraph" w:customStyle="1" w:styleId="1279">
    <w:name w:val="样式 标题 51)项标5标题 5 Char1) Char项 Char一级项 +"/>
    <w:basedOn w:val="8"/>
    <w:qFormat/>
    <w:uiPriority w:val="99"/>
    <w:pPr>
      <w:keepNext w:val="0"/>
      <w:keepLines w:val="0"/>
      <w:widowControl w:val="0"/>
      <w:numPr>
        <w:ilvl w:val="0"/>
        <w:numId w:val="0"/>
      </w:numPr>
      <w:tabs>
        <w:tab w:val="left" w:pos="2138"/>
      </w:tabs>
      <w:adjustRightInd w:val="0"/>
      <w:spacing w:before="0" w:beforeAutospacing="0"/>
      <w:ind w:hanging="992"/>
      <w:textAlignment w:val="baseline"/>
    </w:pPr>
    <w:rPr>
      <w:rFonts w:hAnsi="宋体" w:cs="Times New Roman"/>
      <w:bCs w:val="0"/>
      <w:color w:val="000000"/>
      <w:kern w:val="0"/>
      <w:sz w:val="28"/>
    </w:rPr>
  </w:style>
  <w:style w:type="paragraph" w:customStyle="1" w:styleId="1280">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0"/>
    </w:rPr>
  </w:style>
  <w:style w:type="paragraph" w:customStyle="1" w:styleId="1281">
    <w:name w:val="列表 2D"/>
    <w:basedOn w:val="35"/>
    <w:qFormat/>
    <w:uiPriority w:val="99"/>
    <w:pPr>
      <w:tabs>
        <w:tab w:val="left" w:pos="885"/>
      </w:tabs>
      <w:snapToGrid/>
      <w:spacing w:before="100" w:beforeAutospacing="1" w:after="100" w:afterAutospacing="1" w:line="288" w:lineRule="auto"/>
      <w:ind w:left="885" w:hanging="315"/>
      <w:jc w:val="both"/>
    </w:pPr>
    <w:rPr>
      <w:rFonts w:ascii="Arial" w:hAnsi="Arial"/>
      <w:color w:val="FFFF99"/>
      <w:sz w:val="24"/>
    </w:rPr>
  </w:style>
  <w:style w:type="paragraph" w:customStyle="1" w:styleId="1282">
    <w:name w:val="列表 3L"/>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283">
    <w:name w:val="我的标题3"/>
    <w:basedOn w:val="1"/>
    <w:qFormat/>
    <w:uiPriority w:val="99"/>
    <w:rPr>
      <w:rFonts w:ascii="Times New Roman" w:hAnsi="Times New Roman" w:eastAsia="宋体" w:cs="Times New Roman"/>
      <w:b/>
      <w:sz w:val="28"/>
      <w:szCs w:val="24"/>
    </w:rPr>
  </w:style>
  <w:style w:type="paragraph" w:customStyle="1" w:styleId="1284">
    <w:name w:val="Char Char Char1 Char12"/>
    <w:basedOn w:val="1"/>
    <w:qFormat/>
    <w:uiPriority w:val="0"/>
    <w:rPr>
      <w:rFonts w:ascii="Times New Roman" w:hAnsi="Times New Roman" w:eastAsia="宋体" w:cs="Times New Roman"/>
      <w:szCs w:val="24"/>
    </w:rPr>
  </w:style>
  <w:style w:type="paragraph" w:customStyle="1" w:styleId="1285">
    <w:name w:val="xl46"/>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286">
    <w:name w:val="101"/>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287">
    <w:name w:val="表内5中"/>
    <w:basedOn w:val="1"/>
    <w:qFormat/>
    <w:uiPriority w:val="99"/>
    <w:pPr>
      <w:jc w:val="center"/>
    </w:pPr>
    <w:rPr>
      <w:rFonts w:ascii="宋体" w:hAnsi="Times New Roman" w:eastAsia="宋体" w:cs="Times New Roman"/>
    </w:rPr>
  </w:style>
  <w:style w:type="paragraph" w:customStyle="1" w:styleId="1288">
    <w:name w:val="样式 仿宋_GB2312 四号 行距: 1.5 倍行距 首行缩进:  2 字符"/>
    <w:basedOn w:val="1"/>
    <w:qFormat/>
    <w:uiPriority w:val="0"/>
    <w:pPr>
      <w:spacing w:line="360" w:lineRule="auto"/>
      <w:ind w:firstLine="560" w:firstLineChars="200"/>
    </w:pPr>
    <w:rPr>
      <w:rFonts w:ascii="仿宋_GB2312" w:hAnsi="Times New Roman" w:eastAsia="仿宋_GB2312" w:cs="Times New Roman"/>
      <w:sz w:val="28"/>
      <w:szCs w:val="20"/>
    </w:rPr>
  </w:style>
  <w:style w:type="paragraph" w:customStyle="1" w:styleId="1289">
    <w:name w:val="列表 2B"/>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290">
    <w:name w:val="样式 表标题5.12 + 居中 段前: 1 行"/>
    <w:basedOn w:val="918"/>
    <w:qFormat/>
    <w:uiPriority w:val="99"/>
    <w:pPr>
      <w:tabs>
        <w:tab w:val="left" w:pos="726"/>
        <w:tab w:val="clear" w:pos="4060"/>
        <w:tab w:val="clear" w:pos="8261"/>
      </w:tabs>
      <w:spacing w:beforeLines="0"/>
      <w:ind w:left="2" w:firstLine="4"/>
      <w:jc w:val="center"/>
    </w:pPr>
    <w:rPr>
      <w:rFonts w:cs="宋体"/>
      <w:bCs/>
      <w:szCs w:val="20"/>
    </w:rPr>
  </w:style>
  <w:style w:type="paragraph" w:customStyle="1" w:styleId="1291">
    <w:name w:val="xl63"/>
    <w:basedOn w:val="1"/>
    <w:qFormat/>
    <w:uiPriority w:val="99"/>
    <w:pPr>
      <w:widowControl/>
      <w:pBdr>
        <w:left w:val="single" w:color="auto" w:sz="4" w:space="0"/>
        <w:bottom w:val="single" w:color="auto" w:sz="8" w:space="0"/>
      </w:pBdr>
      <w:spacing w:before="100" w:beforeAutospacing="1" w:after="100" w:afterAutospacing="1"/>
      <w:jc w:val="center"/>
    </w:pPr>
    <w:rPr>
      <w:rFonts w:ascii="宋体" w:hAnsi="宋体" w:eastAsia="仿宋_GB2312" w:cs="Times New Roman"/>
      <w:b/>
      <w:bCs/>
      <w:kern w:val="0"/>
      <w:position w:val="-6"/>
      <w:sz w:val="24"/>
      <w:szCs w:val="24"/>
    </w:rPr>
  </w:style>
  <w:style w:type="paragraph" w:customStyle="1" w:styleId="1292">
    <w:name w:val="Char Char Char Char Char Char Char Char Char Char Char Char1 Char Char Char Char Char Char Char Char Char Char Char Char1 Char1"/>
    <w:basedOn w:val="1"/>
    <w:next w:val="1"/>
    <w:qFormat/>
    <w:uiPriority w:val="99"/>
    <w:pPr>
      <w:spacing w:line="336" w:lineRule="auto"/>
      <w:ind w:firstLine="200" w:firstLineChars="200"/>
    </w:pPr>
    <w:rPr>
      <w:rFonts w:ascii="宋体" w:hAnsi="宋体" w:eastAsia="汉鼎简书宋" w:cs="宋体"/>
      <w:sz w:val="24"/>
      <w:szCs w:val="24"/>
    </w:rPr>
  </w:style>
  <w:style w:type="paragraph" w:customStyle="1" w:styleId="1293">
    <w:name w:val="Company Name One"/>
    <w:basedOn w:val="1184"/>
    <w:next w:val="1"/>
    <w:qFormat/>
    <w:uiPriority w:val="99"/>
  </w:style>
  <w:style w:type="paragraph" w:customStyle="1" w:styleId="1294">
    <w:name w:val="材料正文"/>
    <w:basedOn w:val="1"/>
    <w:link w:val="1295"/>
    <w:qFormat/>
    <w:uiPriority w:val="99"/>
    <w:pPr>
      <w:adjustRightInd w:val="0"/>
      <w:snapToGrid w:val="0"/>
      <w:spacing w:line="480" w:lineRule="exact"/>
      <w:ind w:firstLine="480" w:firstLineChars="200"/>
    </w:pPr>
    <w:rPr>
      <w:rFonts w:ascii="Times New Roman" w:hAnsi="Times New Roman" w:eastAsia="方正仿宋简体" w:cs="宋体"/>
      <w:sz w:val="24"/>
      <w:szCs w:val="20"/>
    </w:rPr>
  </w:style>
  <w:style w:type="character" w:customStyle="1" w:styleId="1295">
    <w:name w:val="材料正文 Char"/>
    <w:link w:val="1294"/>
    <w:qFormat/>
    <w:uiPriority w:val="99"/>
    <w:rPr>
      <w:rFonts w:ascii="Times New Roman" w:hAnsi="Times New Roman" w:eastAsia="方正仿宋简体" w:cs="宋体"/>
      <w:kern w:val="2"/>
      <w:sz w:val="24"/>
    </w:rPr>
  </w:style>
  <w:style w:type="paragraph" w:customStyle="1" w:styleId="1296">
    <w:name w:val="列表 4N"/>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97">
    <w:name w:val="正文样式一"/>
    <w:basedOn w:val="1"/>
    <w:qFormat/>
    <w:uiPriority w:val="99"/>
    <w:pPr>
      <w:adjustRightInd w:val="0"/>
      <w:spacing w:line="400" w:lineRule="atLeast"/>
      <w:ind w:firstLine="510"/>
      <w:textAlignment w:val="baseline"/>
    </w:pPr>
    <w:rPr>
      <w:rFonts w:ascii="Times New Roman" w:hAnsi="Times New Roman" w:eastAsia="宋体" w:cs="Times New Roman"/>
      <w:kern w:val="0"/>
      <w:sz w:val="24"/>
      <w:szCs w:val="20"/>
    </w:rPr>
  </w:style>
  <w:style w:type="paragraph" w:customStyle="1" w:styleId="1298">
    <w:name w:val="样式 样式 样式 标题 3条标题头标题3H3h33rd level第二层条标题 3 Char小标题小节标题标题 3 C...3 ..."/>
    <w:basedOn w:val="369"/>
    <w:qFormat/>
    <w:uiPriority w:val="0"/>
    <w:rPr>
      <w:color w:val="000000"/>
    </w:rPr>
  </w:style>
  <w:style w:type="paragraph" w:customStyle="1" w:styleId="1299">
    <w:name w:val="条文1"/>
    <w:basedOn w:val="1"/>
    <w:qFormat/>
    <w:uiPriority w:val="99"/>
    <w:pPr>
      <w:autoSpaceDE w:val="0"/>
      <w:autoSpaceDN w:val="0"/>
      <w:adjustRightInd w:val="0"/>
      <w:spacing w:line="460" w:lineRule="exact"/>
      <w:ind w:left="907" w:hanging="425"/>
      <w:jc w:val="left"/>
      <w:textAlignment w:val="baseline"/>
    </w:pPr>
    <w:rPr>
      <w:rFonts w:ascii="宋体" w:hAnsi="Times New Roman" w:eastAsia="宋体" w:cs="Times New Roman"/>
      <w:spacing w:val="3"/>
      <w:kern w:val="24"/>
      <w:sz w:val="26"/>
      <w:szCs w:val="20"/>
    </w:rPr>
  </w:style>
  <w:style w:type="paragraph" w:customStyle="1" w:styleId="1300">
    <w:name w:val="font10"/>
    <w:basedOn w:val="1"/>
    <w:qFormat/>
    <w:uiPriority w:val="99"/>
    <w:pPr>
      <w:widowControl/>
      <w:spacing w:before="100" w:beforeAutospacing="1" w:after="100" w:afterAutospacing="1"/>
      <w:jc w:val="left"/>
    </w:pPr>
    <w:rPr>
      <w:rFonts w:hint="eastAsia" w:ascii="宋体" w:hAnsi="宋体" w:eastAsia="宋体" w:cs="Arial Unicode MS"/>
      <w:b/>
      <w:bCs/>
      <w:kern w:val="0"/>
      <w:sz w:val="36"/>
      <w:szCs w:val="36"/>
    </w:rPr>
  </w:style>
  <w:style w:type="paragraph" w:customStyle="1" w:styleId="1301">
    <w:name w:val="Char Char Char1 Char1 Char Char Char2"/>
    <w:basedOn w:val="1"/>
    <w:qFormat/>
    <w:uiPriority w:val="99"/>
    <w:rPr>
      <w:rFonts w:ascii="Times New Roman" w:hAnsi="Times New Roman" w:eastAsia="宋体" w:cs="Times New Roman"/>
      <w:szCs w:val="24"/>
    </w:rPr>
  </w:style>
  <w:style w:type="paragraph" w:customStyle="1" w:styleId="1302">
    <w:name w:val="SCIDI正文"/>
    <w:basedOn w:val="1"/>
    <w:qFormat/>
    <w:uiPriority w:val="99"/>
    <w:pPr>
      <w:adjustRightInd w:val="0"/>
      <w:snapToGrid w:val="0"/>
      <w:spacing w:line="360" w:lineRule="auto"/>
      <w:ind w:firstLine="560" w:firstLineChars="200"/>
    </w:pPr>
    <w:rPr>
      <w:rFonts w:ascii="Times New Roman" w:hAnsi="Times New Roman" w:eastAsia="仿宋_GB2312" w:cs="Times New Roman"/>
      <w:sz w:val="28"/>
      <w:szCs w:val="20"/>
    </w:rPr>
  </w:style>
  <w:style w:type="paragraph" w:customStyle="1" w:styleId="1303">
    <w:name w:val="标题10"/>
    <w:basedOn w:val="1"/>
    <w:next w:val="1"/>
    <w:qFormat/>
    <w:uiPriority w:val="0"/>
    <w:pPr>
      <w:tabs>
        <w:tab w:val="left" w:pos="360"/>
      </w:tabs>
      <w:snapToGrid w:val="0"/>
      <w:spacing w:before="120" w:after="120"/>
    </w:pPr>
    <w:rPr>
      <w:rFonts w:ascii="Times New Roman" w:hAnsi="Times New Roman" w:eastAsia="楷体_GB2312" w:cs="Times New Roman"/>
      <w:b/>
      <w:bCs/>
      <w:sz w:val="30"/>
      <w:szCs w:val="30"/>
    </w:rPr>
  </w:style>
  <w:style w:type="paragraph" w:customStyle="1" w:styleId="1304">
    <w:name w:val="列表 3A"/>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05">
    <w:name w:val="表标题4.5"/>
    <w:basedOn w:val="1"/>
    <w:qFormat/>
    <w:uiPriority w:val="99"/>
    <w:pPr>
      <w:tabs>
        <w:tab w:val="center" w:pos="4060"/>
        <w:tab w:val="right" w:pos="8261"/>
      </w:tabs>
      <w:suppressAutoHyphens/>
      <w:adjustRightInd w:val="0"/>
      <w:spacing w:before="240" w:line="0" w:lineRule="atLeast"/>
    </w:pPr>
    <w:rPr>
      <w:rFonts w:ascii="黑体" w:hAnsi="Times New Roman" w:eastAsia="黑体" w:cs="Times New Roman"/>
      <w:b/>
      <w:spacing w:val="6"/>
      <w:kern w:val="0"/>
      <w:sz w:val="26"/>
      <w:szCs w:val="26"/>
    </w:rPr>
  </w:style>
  <w:style w:type="paragraph" w:customStyle="1" w:styleId="1306">
    <w:name w:val="列表D"/>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307">
    <w:name w:val="font16"/>
    <w:basedOn w:val="1"/>
    <w:qFormat/>
    <w:uiPriority w:val="99"/>
    <w:pPr>
      <w:widowControl/>
      <w:spacing w:before="100" w:beforeAutospacing="1" w:after="100" w:afterAutospacing="1"/>
      <w:jc w:val="left"/>
    </w:pPr>
    <w:rPr>
      <w:rFonts w:hint="eastAsia" w:ascii="宋体" w:hAnsi="宋体" w:eastAsia="宋体" w:cs="Arial Unicode MS"/>
      <w:kern w:val="0"/>
      <w:sz w:val="20"/>
      <w:szCs w:val="20"/>
      <w:u w:val="single"/>
    </w:rPr>
  </w:style>
  <w:style w:type="paragraph" w:customStyle="1" w:styleId="1308">
    <w:name w:val="样式 表标题4.5 + 居中"/>
    <w:basedOn w:val="1305"/>
    <w:qFormat/>
    <w:uiPriority w:val="99"/>
    <w:pPr>
      <w:tabs>
        <w:tab w:val="left" w:pos="726"/>
        <w:tab w:val="clear" w:pos="4060"/>
        <w:tab w:val="clear" w:pos="8261"/>
      </w:tabs>
      <w:ind w:left="2" w:firstLine="4"/>
      <w:jc w:val="center"/>
    </w:pPr>
    <w:rPr>
      <w:rFonts w:cs="宋体"/>
      <w:bCs/>
      <w:szCs w:val="20"/>
    </w:rPr>
  </w:style>
  <w:style w:type="paragraph" w:customStyle="1" w:styleId="1309">
    <w:name w:val="Char Char Char1"/>
    <w:basedOn w:val="1"/>
    <w:qFormat/>
    <w:uiPriority w:val="0"/>
    <w:pPr>
      <w:spacing w:beforeLines="100"/>
    </w:pPr>
    <w:rPr>
      <w:rFonts w:ascii="Times New Roman" w:hAnsi="Times New Roman" w:eastAsia="宋体" w:cs="Times New Roman"/>
      <w:szCs w:val="24"/>
    </w:rPr>
  </w:style>
  <w:style w:type="paragraph" w:customStyle="1" w:styleId="1310">
    <w:name w:val="标标题13.1"/>
    <w:basedOn w:val="1"/>
    <w:qFormat/>
    <w:uiPriority w:val="99"/>
    <w:pPr>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kern w:val="0"/>
      <w:sz w:val="24"/>
      <w:szCs w:val="24"/>
    </w:rPr>
  </w:style>
  <w:style w:type="paragraph" w:customStyle="1" w:styleId="1311">
    <w:name w:val="图片"/>
    <w:basedOn w:val="1"/>
    <w:next w:val="1"/>
    <w:qFormat/>
    <w:uiPriority w:val="99"/>
    <w:pPr>
      <w:keepNext/>
      <w:widowControl/>
      <w:spacing w:line="360" w:lineRule="auto"/>
      <w:jc w:val="center"/>
    </w:pPr>
    <w:rPr>
      <w:rFonts w:ascii="Times New Roman" w:hAnsi="Times New Roman" w:eastAsia="仿宋_GB2312" w:cs="Times New Roman"/>
      <w:b/>
      <w:bCs/>
      <w:color w:val="000000"/>
      <w:sz w:val="24"/>
      <w:szCs w:val="20"/>
      <w:lang w:val="zh-CN"/>
    </w:rPr>
  </w:style>
  <w:style w:type="paragraph" w:customStyle="1" w:styleId="1312">
    <w:name w:val="列表 4X"/>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13">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4"/>
      <w:szCs w:val="20"/>
    </w:rPr>
  </w:style>
  <w:style w:type="paragraph" w:customStyle="1" w:styleId="1314">
    <w:name w:val="列表 5O"/>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15">
    <w:name w:val="样式 正文文字 + 左 首行缩进:  2 字符 行距: 1.5 倍行距"/>
    <w:basedOn w:val="32"/>
    <w:qFormat/>
    <w:uiPriority w:val="99"/>
    <w:pPr>
      <w:spacing w:after="0" w:line="360" w:lineRule="auto"/>
      <w:ind w:firstLine="560" w:firstLineChars="200"/>
      <w:jc w:val="left"/>
    </w:pPr>
    <w:rPr>
      <w:rFonts w:ascii="Times New Roman" w:hAnsi="Times New Roman" w:eastAsia="宋体" w:cs="Times New Roman"/>
      <w:kern w:val="0"/>
      <w:sz w:val="24"/>
      <w:szCs w:val="24"/>
    </w:rPr>
  </w:style>
  <w:style w:type="paragraph" w:customStyle="1" w:styleId="1316">
    <w:name w:val="Char1 Char Char Char Char Char Char2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1317">
    <w:name w:val="样式 燕山正文 + 首行缩进:  3.5 字符"/>
    <w:basedOn w:val="867"/>
    <w:qFormat/>
    <w:uiPriority w:val="99"/>
    <w:pPr>
      <w:shd w:val="clear" w:color="auto" w:fill="auto"/>
      <w:jc w:val="both"/>
    </w:pPr>
    <w:rPr>
      <w:color w:val="000000"/>
      <w:szCs w:val="20"/>
    </w:rPr>
  </w:style>
  <w:style w:type="paragraph" w:customStyle="1" w:styleId="1318">
    <w:name w:val="正文首行缩进2"/>
    <w:basedOn w:val="32"/>
    <w:qFormat/>
    <w:uiPriority w:val="99"/>
    <w:pPr>
      <w:adjustRightInd w:val="0"/>
      <w:spacing w:after="0" w:line="312" w:lineRule="auto"/>
      <w:ind w:firstLine="567"/>
      <w:textAlignment w:val="baseline"/>
    </w:pPr>
    <w:rPr>
      <w:rFonts w:ascii="Times New Roman" w:hAnsi="Times New Roman" w:eastAsia="宋体" w:cs="Times New Roman"/>
      <w:kern w:val="0"/>
      <w:sz w:val="28"/>
      <w:szCs w:val="24"/>
    </w:rPr>
  </w:style>
  <w:style w:type="paragraph" w:customStyle="1" w:styleId="1319">
    <w:name w:val="表标题2.1"/>
    <w:basedOn w:val="900"/>
    <w:qFormat/>
    <w:uiPriority w:val="99"/>
    <w:pPr>
      <w:tabs>
        <w:tab w:val="left" w:pos="3060"/>
        <w:tab w:val="clear" w:pos="8207"/>
      </w:tabs>
      <w:ind w:left="2400" w:hanging="420"/>
    </w:pPr>
  </w:style>
  <w:style w:type="paragraph" w:customStyle="1" w:styleId="1320">
    <w:name w:val="表标题5.3"/>
    <w:basedOn w:val="1"/>
    <w:qFormat/>
    <w:uiPriority w:val="99"/>
    <w:pPr>
      <w:tabs>
        <w:tab w:val="left" w:pos="726"/>
      </w:tabs>
      <w:spacing w:beforeLines="100" w:line="0" w:lineRule="atLeast"/>
      <w:ind w:left="2" w:firstLine="4"/>
    </w:pPr>
    <w:rPr>
      <w:rFonts w:ascii="Times New Roman" w:hAnsi="Times New Roman" w:eastAsia="黑体" w:cs="Times New Roman"/>
      <w:b/>
      <w:sz w:val="24"/>
      <w:szCs w:val="24"/>
    </w:rPr>
  </w:style>
  <w:style w:type="paragraph" w:customStyle="1" w:styleId="1321">
    <w:name w:val="样式1"/>
    <w:basedOn w:val="1"/>
    <w:qFormat/>
    <w:uiPriority w:val="99"/>
    <w:pPr>
      <w:spacing w:line="560" w:lineRule="exact"/>
      <w:ind w:firstLine="567"/>
    </w:pPr>
    <w:rPr>
      <w:rFonts w:ascii="Times New Roman" w:hAnsi="Times New Roman" w:eastAsia="宋体" w:cs="Times New Roman"/>
      <w:sz w:val="24"/>
      <w:szCs w:val="20"/>
    </w:rPr>
  </w:style>
  <w:style w:type="paragraph" w:customStyle="1" w:styleId="1322">
    <w:name w:val="标题 3，第三标题"/>
    <w:basedOn w:val="1"/>
    <w:qFormat/>
    <w:uiPriority w:val="99"/>
    <w:pPr>
      <w:tabs>
        <w:tab w:val="left" w:pos="628"/>
        <w:tab w:val="left" w:pos="1727"/>
        <w:tab w:val="left" w:pos="1840"/>
        <w:tab w:val="left" w:pos="1884"/>
        <w:tab w:val="left" w:pos="2520"/>
        <w:tab w:val="left" w:pos="2660"/>
        <w:tab w:val="left" w:pos="5460"/>
      </w:tabs>
      <w:snapToGrid w:val="0"/>
      <w:spacing w:beforeLines="50" w:afterLines="50" w:line="440" w:lineRule="exact"/>
      <w:ind w:left="1840" w:hanging="720"/>
      <w:jc w:val="left"/>
      <w:outlineLvl w:val="2"/>
    </w:pPr>
    <w:rPr>
      <w:rFonts w:ascii="Times New Roman" w:hAnsi="Times New Roman" w:eastAsia="黑体" w:cs="宋体"/>
      <w:sz w:val="24"/>
      <w:szCs w:val="20"/>
    </w:rPr>
  </w:style>
  <w:style w:type="paragraph" w:customStyle="1" w:styleId="1323">
    <w:name w:val="报告表格"/>
    <w:basedOn w:val="1"/>
    <w:qFormat/>
    <w:uiPriority w:val="99"/>
    <w:pPr>
      <w:autoSpaceDE w:val="0"/>
      <w:autoSpaceDN w:val="0"/>
      <w:adjustRightInd w:val="0"/>
      <w:spacing w:before="40" w:after="40"/>
      <w:jc w:val="center"/>
      <w:textAlignment w:val="bottom"/>
    </w:pPr>
    <w:rPr>
      <w:rFonts w:ascii="Times New Roman" w:hAnsi="Times New Roman" w:eastAsia="宋体" w:cs="Times New Roman"/>
      <w:kern w:val="0"/>
      <w:szCs w:val="20"/>
    </w:rPr>
  </w:style>
  <w:style w:type="paragraph" w:customStyle="1" w:styleId="1324">
    <w:name w:val="1正文段落"/>
    <w:basedOn w:val="1"/>
    <w:qFormat/>
    <w:uiPriority w:val="99"/>
    <w:pPr>
      <w:spacing w:line="360" w:lineRule="auto"/>
      <w:ind w:firstLine="200" w:firstLineChars="200"/>
      <w:jc w:val="left"/>
    </w:pPr>
    <w:rPr>
      <w:rFonts w:ascii="Times New Roman" w:hAnsi="Times New Roman" w:eastAsia="宋体" w:cs="Times New Roman"/>
      <w:snapToGrid w:val="0"/>
      <w:kern w:val="0"/>
      <w:sz w:val="24"/>
      <w:szCs w:val="24"/>
    </w:rPr>
  </w:style>
  <w:style w:type="paragraph" w:customStyle="1" w:styleId="1325">
    <w:name w:val="表标题4.9"/>
    <w:basedOn w:val="1"/>
    <w:qFormat/>
    <w:uiPriority w:val="99"/>
    <w:pPr>
      <w:tabs>
        <w:tab w:val="center" w:pos="4060"/>
        <w:tab w:val="right" w:pos="8261"/>
      </w:tabs>
      <w:suppressAutoHyphens/>
      <w:adjustRightInd w:val="0"/>
      <w:spacing w:before="240" w:line="0" w:lineRule="atLeast"/>
    </w:pPr>
    <w:rPr>
      <w:rFonts w:ascii="黑体" w:hAnsi="Times New Roman" w:eastAsia="黑体" w:cs="Times New Roman"/>
      <w:b/>
      <w:spacing w:val="6"/>
      <w:kern w:val="0"/>
      <w:sz w:val="26"/>
      <w:szCs w:val="26"/>
    </w:rPr>
  </w:style>
  <w:style w:type="paragraph" w:customStyle="1" w:styleId="1326">
    <w:name w:val="样式 表格文字居中 + 段前: 自动 行距: 单倍行距"/>
    <w:basedOn w:val="1"/>
    <w:qFormat/>
    <w:uiPriority w:val="99"/>
    <w:pPr>
      <w:tabs>
        <w:tab w:val="left" w:pos="0"/>
        <w:tab w:val="left" w:pos="628"/>
        <w:tab w:val="left" w:pos="700"/>
        <w:tab w:val="left" w:pos="1400"/>
        <w:tab w:val="left" w:pos="1884"/>
      </w:tabs>
      <w:adjustRightInd w:val="0"/>
      <w:snapToGrid w:val="0"/>
      <w:jc w:val="left"/>
    </w:pPr>
    <w:rPr>
      <w:rFonts w:ascii="宋体" w:hAnsi="宋体" w:eastAsia="宋体" w:cs="宋体"/>
      <w:szCs w:val="28"/>
    </w:rPr>
  </w:style>
  <w:style w:type="paragraph" w:customStyle="1" w:styleId="1327">
    <w:name w:val="德胜三级标题"/>
    <w:basedOn w:val="1"/>
    <w:qFormat/>
    <w:uiPriority w:val="99"/>
    <w:pPr>
      <w:keepNext/>
      <w:keepLines/>
      <w:adjustRightInd w:val="0"/>
      <w:snapToGrid w:val="0"/>
      <w:spacing w:line="360" w:lineRule="auto"/>
      <w:jc w:val="left"/>
      <w:outlineLvl w:val="2"/>
    </w:pPr>
    <w:rPr>
      <w:rFonts w:ascii="Times New Roman" w:hAnsi="Times New Roman" w:eastAsia="宋体" w:cs="Times New Roman"/>
      <w:b/>
      <w:bCs/>
      <w:snapToGrid w:val="0"/>
      <w:color w:val="0000FF"/>
      <w:kern w:val="0"/>
      <w:sz w:val="24"/>
      <w:szCs w:val="24"/>
    </w:rPr>
  </w:style>
  <w:style w:type="paragraph" w:customStyle="1" w:styleId="1328">
    <w:name w:val="font6"/>
    <w:basedOn w:val="1"/>
    <w:qFormat/>
    <w:uiPriority w:val="99"/>
    <w:pPr>
      <w:widowControl/>
      <w:spacing w:before="100" w:beforeAutospacing="1" w:after="100" w:afterAutospacing="1"/>
      <w:jc w:val="left"/>
    </w:pPr>
    <w:rPr>
      <w:rFonts w:hint="eastAsia" w:ascii="宋体" w:hAnsi="宋体" w:eastAsia="宋体" w:cs="Arial Unicode MS"/>
      <w:b/>
      <w:bCs/>
      <w:kern w:val="0"/>
      <w:sz w:val="32"/>
      <w:szCs w:val="32"/>
    </w:rPr>
  </w:style>
  <w:style w:type="paragraph" w:customStyle="1" w:styleId="1329">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0"/>
    </w:rPr>
  </w:style>
  <w:style w:type="paragraph" w:customStyle="1" w:styleId="1330">
    <w:name w:val="标题1.5"/>
    <w:basedOn w:val="1037"/>
    <w:next w:val="436"/>
    <w:qFormat/>
    <w:uiPriority w:val="99"/>
    <w:rPr>
      <w:szCs w:val="28"/>
    </w:rPr>
  </w:style>
  <w:style w:type="paragraph" w:customStyle="1" w:styleId="1331">
    <w:name w:val="xl62"/>
    <w:basedOn w:val="1"/>
    <w:qFormat/>
    <w:uiPriority w:val="99"/>
    <w:pPr>
      <w:widowControl/>
      <w:pBdr>
        <w:top w:val="single" w:color="auto" w:sz="4" w:space="0"/>
        <w:left w:val="single" w:color="auto" w:sz="4" w:space="0"/>
      </w:pBdr>
      <w:spacing w:before="100" w:beforeAutospacing="1" w:after="100" w:afterAutospacing="1"/>
      <w:jc w:val="center"/>
    </w:pPr>
    <w:rPr>
      <w:rFonts w:ascii="宋体" w:hAnsi="宋体" w:eastAsia="仿宋_GB2312" w:cs="Times New Roman"/>
      <w:b/>
      <w:bCs/>
      <w:kern w:val="0"/>
      <w:position w:val="-6"/>
      <w:sz w:val="24"/>
      <w:szCs w:val="24"/>
    </w:rPr>
  </w:style>
  <w:style w:type="paragraph" w:customStyle="1" w:styleId="1332">
    <w:name w:val="xl35"/>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0"/>
    </w:rPr>
  </w:style>
  <w:style w:type="paragraph" w:customStyle="1" w:styleId="1333">
    <w:name w:val="附录"/>
    <w:basedOn w:val="3"/>
    <w:next w:val="1"/>
    <w:qFormat/>
    <w:uiPriority w:val="99"/>
    <w:pPr>
      <w:keepNext/>
      <w:keepLines/>
      <w:widowControl/>
      <w:tabs>
        <w:tab w:val="left" w:pos="720"/>
      </w:tabs>
      <w:adjustRightInd/>
      <w:snapToGrid/>
      <w:spacing w:before="0" w:beforeAutospacing="0" w:after="220" w:line="700" w:lineRule="exact"/>
      <w:ind w:left="680" w:hanging="680"/>
      <w:jc w:val="center"/>
    </w:pPr>
    <w:rPr>
      <w:rFonts w:ascii="Times New Roman" w:eastAsia="宋体" w:cs="Times New Roman"/>
      <w:spacing w:val="-10"/>
      <w:kern w:val="28"/>
      <w:szCs w:val="20"/>
    </w:rPr>
  </w:style>
  <w:style w:type="paragraph" w:customStyle="1" w:styleId="1334">
    <w:name w:val="xl42"/>
    <w:basedOn w:val="1"/>
    <w:qFormat/>
    <w:uiPriority w:val="99"/>
    <w:pPr>
      <w:widowControl/>
      <w:spacing w:before="100" w:beforeAutospacing="1" w:after="100" w:afterAutospacing="1"/>
      <w:jc w:val="left"/>
      <w:textAlignment w:val="center"/>
    </w:pPr>
    <w:rPr>
      <w:rFonts w:ascii="Arial Unicode MS" w:hAnsi="Arial Unicode MS" w:eastAsia="Arial Unicode MS" w:cs="Arial Unicode MS"/>
      <w:b/>
      <w:bCs/>
      <w:kern w:val="0"/>
      <w:sz w:val="32"/>
      <w:szCs w:val="32"/>
    </w:rPr>
  </w:style>
  <w:style w:type="paragraph" w:customStyle="1" w:styleId="1335">
    <w:name w:val="样式 标题 3H3H31H32H33u3条标题1.1.1Heading 3 - oldBold Headbh..."/>
    <w:basedOn w:val="6"/>
    <w:qFormat/>
    <w:uiPriority w:val="99"/>
    <w:pPr>
      <w:keepLines/>
      <w:numPr>
        <w:ilvl w:val="0"/>
        <w:numId w:val="0"/>
      </w:numPr>
      <w:spacing w:before="0" w:beforeLines="25" w:afterLines="25" w:line="312" w:lineRule="auto"/>
    </w:pPr>
    <w:rPr>
      <w:rFonts w:ascii="宋体" w:hAnsi="Times New Roman" w:cs="宋体"/>
      <w:b/>
      <w:spacing w:val="16"/>
      <w:kern w:val="0"/>
      <w:sz w:val="28"/>
      <w:szCs w:val="20"/>
    </w:rPr>
  </w:style>
  <w:style w:type="paragraph" w:customStyle="1" w:styleId="1336">
    <w:name w:val="样式 标题 7 + 段前: 0.5 行1"/>
    <w:basedOn w:val="10"/>
    <w:qFormat/>
    <w:uiPriority w:val="99"/>
    <w:pPr>
      <w:keepNext w:val="0"/>
      <w:keepLines w:val="0"/>
      <w:numPr>
        <w:ilvl w:val="0"/>
        <w:numId w:val="0"/>
      </w:numPr>
      <w:tabs>
        <w:tab w:val="left" w:pos="360"/>
        <w:tab w:val="left" w:pos="420"/>
        <w:tab w:val="left" w:pos="1820"/>
      </w:tabs>
      <w:adjustRightInd w:val="0"/>
      <w:snapToGrid w:val="0"/>
      <w:spacing w:before="120" w:line="300" w:lineRule="auto"/>
      <w:ind w:firstLine="1120" w:firstLineChars="400"/>
      <w:jc w:val="both"/>
      <w:outlineLvl w:val="3"/>
    </w:pPr>
    <w:rPr>
      <w:rFonts w:hAnsi="宋体" w:cs="Times New Roman"/>
      <w:bCs w:val="0"/>
      <w:color w:val="000000"/>
      <w:sz w:val="28"/>
      <w:szCs w:val="28"/>
    </w:rPr>
  </w:style>
  <w:style w:type="paragraph" w:customStyle="1" w:styleId="1337">
    <w:name w:val="xl90"/>
    <w:basedOn w:val="1"/>
    <w:qFormat/>
    <w:uiPriority w:val="99"/>
    <w:pPr>
      <w:widowControl/>
      <w:pBdr>
        <w:top w:val="single" w:color="auto" w:sz="4" w:space="0"/>
        <w:left w:val="single" w:color="auto" w:sz="8" w:space="0"/>
        <w:bottom w:val="single" w:color="auto" w:sz="8" w:space="0"/>
      </w:pBdr>
      <w:spacing w:before="100" w:beforeAutospacing="1" w:after="100" w:afterAutospacing="1"/>
      <w:jc w:val="left"/>
    </w:pPr>
    <w:rPr>
      <w:rFonts w:ascii="Times New Roman" w:hAnsi="Times New Roman" w:eastAsia="Arial Unicode MS" w:cs="Times New Roman"/>
      <w:kern w:val="0"/>
      <w:sz w:val="16"/>
      <w:szCs w:val="16"/>
    </w:rPr>
  </w:style>
  <w:style w:type="paragraph" w:customStyle="1" w:styleId="1338">
    <w:name w:val="列表 4O"/>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39">
    <w:name w:val="列表 5S"/>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40">
    <w:name w:val="样式1 + 四号 居中"/>
    <w:basedOn w:val="1"/>
    <w:qFormat/>
    <w:uiPriority w:val="0"/>
    <w:pPr>
      <w:spacing w:line="336" w:lineRule="auto"/>
      <w:jc w:val="center"/>
    </w:pPr>
    <w:rPr>
      <w:rFonts w:ascii="Times New Roman" w:hAnsi="Times New Roman" w:eastAsia="宋体" w:cs="Times New Roman"/>
      <w:sz w:val="28"/>
      <w:szCs w:val="20"/>
    </w:rPr>
  </w:style>
  <w:style w:type="paragraph" w:customStyle="1" w:styleId="1341">
    <w:name w:val="xl48"/>
    <w:basedOn w:val="1"/>
    <w:qFormat/>
    <w:uiPriority w:val="99"/>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342">
    <w:name w:val="xl91"/>
    <w:basedOn w:val="1"/>
    <w:qFormat/>
    <w:uiPriority w:val="99"/>
    <w:pPr>
      <w:widowControl/>
      <w:pBdr>
        <w:top w:val="single" w:color="auto" w:sz="4" w:space="0"/>
        <w:bottom w:val="single" w:color="auto" w:sz="8" w:space="0"/>
        <w:right w:val="single" w:color="auto" w:sz="4" w:space="0"/>
      </w:pBdr>
      <w:spacing w:before="100" w:beforeAutospacing="1" w:after="100" w:afterAutospacing="1"/>
      <w:jc w:val="left"/>
    </w:pPr>
    <w:rPr>
      <w:rFonts w:ascii="Times New Roman" w:hAnsi="Times New Roman" w:eastAsia="Arial Unicode MS" w:cs="Times New Roman"/>
      <w:kern w:val="0"/>
      <w:sz w:val="16"/>
      <w:szCs w:val="16"/>
    </w:rPr>
  </w:style>
  <w:style w:type="paragraph" w:customStyle="1" w:styleId="1343">
    <w:name w:val="font13"/>
    <w:basedOn w:val="1"/>
    <w:qFormat/>
    <w:uiPriority w:val="99"/>
    <w:pPr>
      <w:widowControl/>
      <w:spacing w:before="100" w:beforeAutospacing="1" w:after="100" w:afterAutospacing="1"/>
      <w:jc w:val="left"/>
    </w:pPr>
    <w:rPr>
      <w:rFonts w:ascii="Times New Roman" w:hAnsi="Times New Roman" w:eastAsia="Arial Unicode MS" w:cs="Times New Roman"/>
      <w:b/>
      <w:bCs/>
      <w:kern w:val="0"/>
      <w:sz w:val="20"/>
      <w:szCs w:val="20"/>
    </w:rPr>
  </w:style>
  <w:style w:type="paragraph" w:customStyle="1" w:styleId="1344">
    <w:name w:val="样式 表2.1 + 居中"/>
    <w:basedOn w:val="1"/>
    <w:qFormat/>
    <w:uiPriority w:val="99"/>
    <w:pPr>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宋体"/>
      <w:b/>
      <w:bCs/>
      <w:kern w:val="0"/>
      <w:sz w:val="24"/>
      <w:szCs w:val="20"/>
    </w:rPr>
  </w:style>
  <w:style w:type="paragraph" w:customStyle="1" w:styleId="1345">
    <w:name w:val="列表 D"/>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346">
    <w:name w:val="Char Char Char1 Char Char Char Char Char Char Char Char Char Char"/>
    <w:basedOn w:val="1"/>
    <w:qFormat/>
    <w:uiPriority w:val="99"/>
    <w:rPr>
      <w:rFonts w:ascii="宋体" w:hAnsi="Times New Roman" w:eastAsia="宋体" w:cs="Times New Roman"/>
    </w:rPr>
  </w:style>
  <w:style w:type="paragraph" w:customStyle="1" w:styleId="1347">
    <w:name w:val="xl96"/>
    <w:basedOn w:val="1"/>
    <w:qFormat/>
    <w:uiPriority w:val="99"/>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348">
    <w:name w:val="附录1"/>
    <w:basedOn w:val="3"/>
    <w:next w:val="1"/>
    <w:qFormat/>
    <w:uiPriority w:val="99"/>
    <w:pPr>
      <w:keepNext/>
      <w:keepLines/>
      <w:widowControl/>
      <w:tabs>
        <w:tab w:val="left" w:pos="720"/>
      </w:tabs>
      <w:adjustRightInd/>
      <w:snapToGrid/>
      <w:spacing w:before="0" w:beforeAutospacing="0" w:after="220" w:line="700" w:lineRule="exact"/>
      <w:ind w:left="680" w:hanging="680"/>
      <w:jc w:val="center"/>
    </w:pPr>
    <w:rPr>
      <w:rFonts w:ascii="Times New Roman" w:eastAsia="宋体" w:cs="Times New Roman"/>
      <w:spacing w:val="-10"/>
      <w:kern w:val="28"/>
      <w:szCs w:val="20"/>
    </w:rPr>
  </w:style>
  <w:style w:type="paragraph" w:customStyle="1" w:styleId="1349">
    <w:name w:val="Char Char Char1 Char1 Char Char Char1"/>
    <w:basedOn w:val="1"/>
    <w:qFormat/>
    <w:uiPriority w:val="99"/>
    <w:rPr>
      <w:rFonts w:ascii="Times New Roman" w:hAnsi="Times New Roman" w:eastAsia="宋体" w:cs="Times New Roman"/>
      <w:szCs w:val="24"/>
    </w:rPr>
  </w:style>
  <w:style w:type="paragraph" w:customStyle="1" w:styleId="1350">
    <w:name w:val="Char Char Char Char Char Char Char Char Char Char Char1"/>
    <w:basedOn w:val="1"/>
    <w:qFormat/>
    <w:uiPriority w:val="0"/>
    <w:rPr>
      <w:rFonts w:ascii="Times New Roman" w:hAnsi="Times New Roman" w:eastAsia="宋体" w:cs="Times New Roman"/>
      <w:szCs w:val="24"/>
    </w:rPr>
  </w:style>
  <w:style w:type="paragraph" w:customStyle="1" w:styleId="1351">
    <w:name w:val="xl106"/>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352">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0"/>
    </w:rPr>
  </w:style>
  <w:style w:type="paragraph" w:customStyle="1" w:styleId="1353">
    <w:name w:val="Char1 Char Char Char1"/>
    <w:basedOn w:val="1"/>
    <w:qFormat/>
    <w:uiPriority w:val="99"/>
    <w:pPr>
      <w:snapToGrid w:val="0"/>
      <w:spacing w:line="360" w:lineRule="auto"/>
      <w:ind w:firstLine="529" w:firstLineChars="200"/>
    </w:pPr>
    <w:rPr>
      <w:rFonts w:ascii="宋体" w:hAnsi="宋体" w:eastAsia="宋体" w:cs="Times New Roman"/>
      <w:b/>
      <w:szCs w:val="24"/>
    </w:rPr>
  </w:style>
  <w:style w:type="paragraph" w:customStyle="1" w:styleId="1354">
    <w:name w:val="9点"/>
    <w:basedOn w:val="1"/>
    <w:qFormat/>
    <w:uiPriority w:val="99"/>
    <w:pPr>
      <w:spacing w:line="360" w:lineRule="exact"/>
    </w:pPr>
    <w:rPr>
      <w:rFonts w:ascii="Times New Roman" w:hAnsi="Times New Roman" w:eastAsia="宋体" w:cs="Times New Roman"/>
      <w:szCs w:val="24"/>
    </w:rPr>
  </w:style>
  <w:style w:type="paragraph" w:customStyle="1" w:styleId="1355">
    <w:name w:val="样式 样式 标题 2h22Header 2nd PageA.B.C.h2 main h标题2 + 仿宋_GB2312 行距......1"/>
    <w:basedOn w:val="1068"/>
    <w:qFormat/>
    <w:uiPriority w:val="0"/>
    <w:pPr>
      <w:ind w:firstLine="454"/>
    </w:pPr>
    <w:rPr>
      <w:b/>
      <w:bCs w:val="0"/>
    </w:rPr>
  </w:style>
  <w:style w:type="paragraph" w:customStyle="1" w:styleId="1356">
    <w:name w:val="表格文字（居中）"/>
    <w:basedOn w:val="1"/>
    <w:qFormat/>
    <w:uiPriority w:val="99"/>
    <w:pPr>
      <w:jc w:val="center"/>
    </w:pPr>
    <w:rPr>
      <w:rFonts w:ascii="Times New Roman" w:hAnsi="Times New Roman" w:eastAsia="宋体" w:cs="Times New Roman"/>
    </w:rPr>
  </w:style>
  <w:style w:type="paragraph" w:customStyle="1" w:styleId="1357">
    <w:name w:val="xl72"/>
    <w:basedOn w:val="1"/>
    <w:qFormat/>
    <w:uiPriority w:val="99"/>
    <w:pPr>
      <w:widowControl/>
      <w:pBdr>
        <w:top w:val="single" w:color="auto" w:sz="8" w:space="0"/>
        <w:right w:val="single" w:color="auto" w:sz="4" w:space="0"/>
      </w:pBdr>
      <w:spacing w:before="100" w:beforeAutospacing="1" w:after="100" w:afterAutospacing="1"/>
      <w:jc w:val="center"/>
    </w:pPr>
    <w:rPr>
      <w:rFonts w:ascii="宋体" w:hAnsi="宋体" w:eastAsia="仿宋_GB2312" w:cs="Times New Roman"/>
      <w:kern w:val="0"/>
      <w:position w:val="-6"/>
      <w:sz w:val="24"/>
    </w:rPr>
  </w:style>
  <w:style w:type="paragraph" w:customStyle="1" w:styleId="1358">
    <w:name w:val="列表 5G"/>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59">
    <w:name w:val="样式 样式 样式 首行缩进:  2 字符 + 首行缩进:  2 字符 + 首行缩进:  2 字符"/>
    <w:basedOn w:val="1238"/>
    <w:qFormat/>
    <w:uiPriority w:val="99"/>
    <w:pPr>
      <w:ind w:firstLine="567"/>
    </w:pPr>
    <w:rPr>
      <w:szCs w:val="20"/>
    </w:rPr>
  </w:style>
  <w:style w:type="paragraph" w:customStyle="1" w:styleId="1360">
    <w:name w:val="IDC A-Head (2nd Line)"/>
    <w:basedOn w:val="1"/>
    <w:next w:val="1"/>
    <w:qFormat/>
    <w:uiPriority w:val="99"/>
    <w:pPr>
      <w:widowControl/>
      <w:jc w:val="center"/>
    </w:pPr>
    <w:rPr>
      <w:rFonts w:ascii="Times New Roman" w:hAnsi="Times New Roman" w:eastAsia="宋体" w:cs="Times New Roman"/>
      <w:caps/>
      <w:kern w:val="0"/>
      <w:sz w:val="24"/>
      <w:szCs w:val="20"/>
    </w:rPr>
  </w:style>
  <w:style w:type="paragraph" w:customStyle="1" w:styleId="1361">
    <w:name w:val="样式 正文首行缩进 2 +"/>
    <w:basedOn w:val="80"/>
    <w:qFormat/>
    <w:uiPriority w:val="99"/>
    <w:pPr>
      <w:tabs>
        <w:tab w:val="clear" w:pos="377"/>
      </w:tabs>
      <w:spacing w:after="0" w:line="360" w:lineRule="auto"/>
      <w:ind w:left="0" w:leftChars="0"/>
      <w:jc w:val="left"/>
    </w:pPr>
    <w:rPr>
      <w:rFonts w:ascii="宋体" w:cs="宋体"/>
      <w:kern w:val="0"/>
      <w:szCs w:val="21"/>
    </w:rPr>
  </w:style>
  <w:style w:type="paragraph" w:customStyle="1" w:styleId="1362">
    <w:name w:val="xl213"/>
    <w:basedOn w:val="1"/>
    <w:qFormat/>
    <w:uiPriority w:val="99"/>
    <w:pPr>
      <w:widowControl/>
      <w:pBdr>
        <w:left w:val="single" w:color="auto" w:sz="4" w:space="0"/>
        <w:right w:val="single" w:color="auto" w:sz="4" w:space="0"/>
      </w:pBdr>
      <w:spacing w:before="100" w:after="100"/>
      <w:jc w:val="left"/>
    </w:pPr>
    <w:rPr>
      <w:rFonts w:ascii="Arial" w:hAnsi="Arial" w:eastAsia="Arial Unicode MS" w:cs="Times New Roman"/>
      <w:kern w:val="0"/>
      <w:sz w:val="24"/>
      <w:szCs w:val="20"/>
    </w:rPr>
  </w:style>
  <w:style w:type="paragraph" w:customStyle="1" w:styleId="1363">
    <w:name w:val="列表 4Z"/>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64">
    <w:name w:val="样式 标题 1章节H11.标题 1一、标题 1（修改）1 南陵标题 1标题标题 1章标题 1b1章文章标题..."/>
    <w:basedOn w:val="3"/>
    <w:qFormat/>
    <w:uiPriority w:val="99"/>
    <w:pPr>
      <w:keepNext/>
      <w:keepLines/>
      <w:widowControl/>
      <w:tabs>
        <w:tab w:val="left" w:pos="726"/>
      </w:tabs>
      <w:adjustRightInd/>
      <w:spacing w:before="0" w:beforeAutospacing="0" w:line="700" w:lineRule="exact"/>
      <w:ind w:left="2" w:firstLine="4"/>
      <w:jc w:val="both"/>
    </w:pPr>
    <w:rPr>
      <w:rFonts w:ascii="Times New Roman" w:cs="Times New Roman"/>
      <w:bCs/>
      <w:color w:val="000000"/>
      <w:szCs w:val="20"/>
      <w:lang w:val="zh-CN"/>
    </w:rPr>
  </w:style>
  <w:style w:type="paragraph" w:customStyle="1" w:styleId="1365">
    <w:name w:val="初设正文"/>
    <w:basedOn w:val="1"/>
    <w:qFormat/>
    <w:uiPriority w:val="99"/>
    <w:pPr>
      <w:spacing w:after="120" w:line="440" w:lineRule="exact"/>
      <w:ind w:left="425" w:firstLine="425"/>
    </w:pPr>
    <w:rPr>
      <w:rFonts w:ascii="Arial" w:hAnsi="Arial" w:eastAsia="宋体" w:cs="Times New Roman"/>
      <w:kern w:val="0"/>
      <w:sz w:val="24"/>
      <w:szCs w:val="20"/>
    </w:rPr>
  </w:style>
  <w:style w:type="paragraph" w:customStyle="1" w:styleId="1366">
    <w:name w:val="xl82"/>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367">
    <w:name w:val="页脚2"/>
    <w:basedOn w:val="375"/>
    <w:qFormat/>
    <w:uiPriority w:val="99"/>
    <w:pPr>
      <w:tabs>
        <w:tab w:val="center" w:pos="4153"/>
        <w:tab w:val="right" w:pos="8306"/>
      </w:tabs>
      <w:spacing w:line="240" w:lineRule="atLeast"/>
    </w:pPr>
    <w:rPr>
      <w:sz w:val="18"/>
    </w:rPr>
  </w:style>
  <w:style w:type="paragraph" w:customStyle="1" w:styleId="1368">
    <w:name w:val="样式 标题 2节标题标题2H2h2第一层条节二级 标题 21.1标题 21.1_Heading 2标2标...1"/>
    <w:basedOn w:val="5"/>
    <w:qFormat/>
    <w:uiPriority w:val="0"/>
    <w:pPr>
      <w:keepLines/>
      <w:numPr>
        <w:ilvl w:val="0"/>
        <w:numId w:val="0"/>
      </w:numPr>
      <w:adjustRightInd/>
      <w:snapToGrid/>
      <w:spacing w:before="0" w:beforeAutospacing="0" w:line="720" w:lineRule="auto"/>
      <w:ind w:left="420" w:hanging="420"/>
    </w:pPr>
    <w:rPr>
      <w:rFonts w:hAnsi="Times New Roman" w:cs="Times New Roman"/>
      <w:kern w:val="0"/>
      <w:szCs w:val="28"/>
    </w:rPr>
  </w:style>
  <w:style w:type="paragraph" w:customStyle="1" w:styleId="1369">
    <w:name w:val="2"/>
    <w:basedOn w:val="1"/>
    <w:next w:val="42"/>
    <w:qFormat/>
    <w:uiPriority w:val="0"/>
    <w:rPr>
      <w:rFonts w:ascii="宋体" w:hAnsi="Courier New" w:eastAsia="宋体" w:cs="Courier New"/>
    </w:rPr>
  </w:style>
  <w:style w:type="paragraph" w:customStyle="1" w:styleId="1370">
    <w:name w:val="列表 2H"/>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371">
    <w:name w:val="xl65"/>
    <w:basedOn w:val="1"/>
    <w:qFormat/>
    <w:uiPriority w:val="99"/>
    <w:pPr>
      <w:widowControl/>
      <w:pBdr>
        <w:bottom w:val="single" w:color="auto" w:sz="8" w:space="0"/>
      </w:pBdr>
      <w:spacing w:before="100" w:beforeAutospacing="1" w:after="100" w:afterAutospacing="1"/>
      <w:jc w:val="center"/>
    </w:pPr>
    <w:rPr>
      <w:rFonts w:ascii="宋体" w:hAnsi="宋体" w:eastAsia="仿宋_GB2312" w:cs="Times New Roman"/>
      <w:b/>
      <w:bCs/>
      <w:kern w:val="0"/>
      <w:position w:val="-6"/>
      <w:sz w:val="24"/>
      <w:szCs w:val="24"/>
    </w:rPr>
  </w:style>
  <w:style w:type="paragraph" w:customStyle="1" w:styleId="1372">
    <w:name w:val="三级条标题"/>
    <w:basedOn w:val="1245"/>
    <w:next w:val="1"/>
    <w:qFormat/>
    <w:uiPriority w:val="99"/>
    <w:pPr>
      <w:tabs>
        <w:tab w:val="left" w:pos="992"/>
        <w:tab w:val="left" w:pos="2100"/>
        <w:tab w:val="clear" w:pos="851"/>
        <w:tab w:val="clear" w:pos="1680"/>
      </w:tabs>
      <w:ind w:left="2100"/>
      <w:outlineLvl w:val="4"/>
    </w:pPr>
  </w:style>
  <w:style w:type="paragraph" w:customStyle="1" w:styleId="1373">
    <w:name w:val="四级条标题"/>
    <w:basedOn w:val="1372"/>
    <w:next w:val="1"/>
    <w:qFormat/>
    <w:uiPriority w:val="99"/>
    <w:pPr>
      <w:tabs>
        <w:tab w:val="left" w:pos="1134"/>
        <w:tab w:val="left" w:pos="2520"/>
        <w:tab w:val="clear" w:pos="992"/>
        <w:tab w:val="clear" w:pos="2100"/>
      </w:tabs>
      <w:ind w:left="2520"/>
      <w:outlineLvl w:val="5"/>
    </w:pPr>
  </w:style>
  <w:style w:type="paragraph" w:customStyle="1" w:styleId="1374">
    <w:name w:val="前言、引言标题"/>
    <w:next w:val="1"/>
    <w:qFormat/>
    <w:uiPriority w:val="99"/>
    <w:pPr>
      <w:shd w:val="clear" w:color="FFFFFF" w:fill="FFFFFF"/>
      <w:tabs>
        <w:tab w:val="left" w:pos="72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375">
    <w:name w:val="Char Char Char Char Char Char1 Char Char Char Char Char Char Char Char Char1 Char Char Char Char Char Char Char Char Char Char Char Char Char"/>
    <w:basedOn w:val="1"/>
    <w:qFormat/>
    <w:uiPriority w:val="0"/>
    <w:pPr>
      <w:widowControl/>
      <w:jc w:val="left"/>
    </w:pPr>
    <w:rPr>
      <w:rFonts w:ascii="宋体" w:hAnsi="宋体" w:eastAsia="宋体" w:cs="Times New Roman"/>
      <w:kern w:val="0"/>
      <w:sz w:val="24"/>
      <w:szCs w:val="24"/>
    </w:rPr>
  </w:style>
  <w:style w:type="paragraph" w:customStyle="1" w:styleId="1376">
    <w:name w:val="表第一列"/>
    <w:basedOn w:val="79"/>
    <w:qFormat/>
    <w:uiPriority w:val="0"/>
    <w:pPr>
      <w:keepNext/>
      <w:keepLines/>
      <w:widowControl w:val="0"/>
      <w:tabs>
        <w:tab w:val="left" w:pos="1727"/>
        <w:tab w:val="left" w:pos="1884"/>
        <w:tab w:val="left" w:pos="2940"/>
      </w:tabs>
      <w:adjustRightInd w:val="0"/>
      <w:snapToGrid w:val="0"/>
      <w:spacing w:after="0" w:line="0" w:lineRule="atLeast"/>
      <w:ind w:firstLine="0" w:firstLineChars="0"/>
      <w:jc w:val="center"/>
    </w:pPr>
    <w:rPr>
      <w:spacing w:val="-4"/>
    </w:rPr>
  </w:style>
  <w:style w:type="paragraph" w:customStyle="1" w:styleId="1377">
    <w:name w:val="列表 4K"/>
    <w:basedOn w:val="70"/>
    <w:qFormat/>
    <w:uiPriority w:val="99"/>
    <w:pPr>
      <w:tabs>
        <w:tab w:val="left" w:pos="1000"/>
      </w:tabs>
      <w:topLinePunct w:val="0"/>
      <w:spacing w:beforeLines="50" w:afterLines="30" w:line="288" w:lineRule="auto"/>
      <w:ind w:left="1000" w:leftChars="0" w:hanging="720" w:firstLineChars="0"/>
      <w:jc w:val="both"/>
    </w:pPr>
    <w:rPr>
      <w:rFonts w:ascii="Arial" w:hAnsi="Arial" w:eastAsia="宋体"/>
      <w:color w:val="CCFFFF"/>
      <w:sz w:val="24"/>
    </w:rPr>
  </w:style>
  <w:style w:type="paragraph" w:customStyle="1" w:styleId="1378">
    <w:name w:val="Char2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379">
    <w:name w:val="样式 内容部分 + 段前: 1 行 段后: 1 行"/>
    <w:basedOn w:val="1"/>
    <w:qFormat/>
    <w:uiPriority w:val="0"/>
    <w:pPr>
      <w:tabs>
        <w:tab w:val="right" w:pos="7980"/>
      </w:tabs>
      <w:snapToGrid w:val="0"/>
      <w:spacing w:beforeLines="50" w:afterLines="100" w:line="560" w:lineRule="exact"/>
    </w:pPr>
    <w:rPr>
      <w:rFonts w:ascii="黑体" w:hAnsi="Times New Roman" w:eastAsia="黑体" w:cs="宋体"/>
      <w:kern w:val="36"/>
      <w:sz w:val="28"/>
      <w:szCs w:val="20"/>
    </w:rPr>
  </w:style>
  <w:style w:type="paragraph" w:customStyle="1" w:styleId="1380">
    <w:name w:val="Char Char Char1 Char11"/>
    <w:basedOn w:val="1"/>
    <w:qFormat/>
    <w:uiPriority w:val="99"/>
    <w:rPr>
      <w:rFonts w:ascii="Times New Roman" w:hAnsi="Times New Roman" w:eastAsia="宋体" w:cs="Times New Roman"/>
      <w:szCs w:val="24"/>
    </w:rPr>
  </w:style>
  <w:style w:type="paragraph" w:customStyle="1" w:styleId="1381">
    <w:name w:val="xl95"/>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1382">
    <w:name w:val="内蒙1"/>
    <w:basedOn w:val="3"/>
    <w:qFormat/>
    <w:uiPriority w:val="99"/>
    <w:pPr>
      <w:keepNext/>
      <w:autoSpaceDE w:val="0"/>
      <w:autoSpaceDN w:val="0"/>
      <w:snapToGrid/>
      <w:spacing w:before="0" w:beforeAutospacing="0" w:line="480" w:lineRule="exact"/>
      <w:ind w:left="420" w:hanging="420"/>
    </w:pPr>
    <w:rPr>
      <w:rFonts w:ascii="Times New Roman" w:cs="Times New Roman"/>
      <w:color w:val="FF0000"/>
      <w:spacing w:val="20"/>
      <w:kern w:val="0"/>
      <w:sz w:val="32"/>
      <w:szCs w:val="32"/>
    </w:rPr>
  </w:style>
  <w:style w:type="paragraph" w:customStyle="1" w:styleId="1383">
    <w:name w:val="xl43"/>
    <w:basedOn w:val="1"/>
    <w:qFormat/>
    <w:uiPriority w:val="99"/>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384">
    <w:name w:val="表标题5.16"/>
    <w:basedOn w:val="1"/>
    <w:qFormat/>
    <w:uiPriority w:val="99"/>
    <w:pPr>
      <w:tabs>
        <w:tab w:val="left" w:pos="726"/>
      </w:tabs>
      <w:spacing w:beforeLines="100" w:line="0" w:lineRule="atLeast"/>
      <w:ind w:left="2" w:firstLine="4"/>
    </w:pPr>
    <w:rPr>
      <w:rFonts w:ascii="Times New Roman" w:hAnsi="Times New Roman" w:eastAsia="黑体" w:cs="Times New Roman"/>
      <w:b/>
      <w:sz w:val="24"/>
      <w:szCs w:val="24"/>
    </w:rPr>
  </w:style>
  <w:style w:type="paragraph" w:customStyle="1" w:styleId="1385">
    <w:name w:val="表7.4"/>
    <w:basedOn w:val="1"/>
    <w:qFormat/>
    <w:uiPriority w:val="99"/>
    <w:pPr>
      <w:tabs>
        <w:tab w:val="left" w:pos="3660"/>
        <w:tab w:val="center" w:pos="4060"/>
        <w:tab w:val="right" w:pos="8261"/>
      </w:tabs>
      <w:suppressAutoHyphens/>
      <w:adjustRightInd w:val="0"/>
      <w:spacing w:beforeLines="100" w:line="0" w:lineRule="atLeast"/>
      <w:ind w:left="6480"/>
      <w:jc w:val="center"/>
    </w:pPr>
    <w:rPr>
      <w:rFonts w:ascii="黑体" w:hAnsi="Times New Roman" w:eastAsia="黑体" w:cs="宋体"/>
      <w:b/>
      <w:bCs/>
      <w:spacing w:val="6"/>
      <w:kern w:val="0"/>
      <w:sz w:val="24"/>
      <w:szCs w:val="20"/>
    </w:rPr>
  </w:style>
  <w:style w:type="paragraph" w:customStyle="1" w:styleId="1386">
    <w:name w:val="样式 样式 燕山正文 + 首行缩进:  2 字符 + 首行缩进:  2 字符"/>
    <w:basedOn w:val="1093"/>
    <w:qFormat/>
    <w:uiPriority w:val="99"/>
    <w:pPr>
      <w:jc w:val="both"/>
    </w:pPr>
  </w:style>
  <w:style w:type="paragraph" w:customStyle="1" w:styleId="1387">
    <w:name w:val="biaoq"/>
    <w:basedOn w:val="1"/>
    <w:qFormat/>
    <w:uiPriority w:val="99"/>
    <w:pPr>
      <w:widowControl/>
      <w:spacing w:before="100" w:beforeAutospacing="1" w:after="100" w:afterAutospacing="1"/>
      <w:jc w:val="left"/>
    </w:pPr>
    <w:rPr>
      <w:rFonts w:ascii="宋体" w:hAnsi="宋体" w:eastAsia="宋体" w:cs="Times New Roman"/>
      <w:b/>
      <w:color w:val="333366"/>
      <w:kern w:val="0"/>
      <w:sz w:val="18"/>
      <w:szCs w:val="20"/>
    </w:rPr>
  </w:style>
  <w:style w:type="paragraph" w:customStyle="1" w:styleId="1388">
    <w:name w:val="Char Char Char Char Char Char1 Char Char Char Char"/>
    <w:basedOn w:val="1"/>
    <w:qFormat/>
    <w:uiPriority w:val="99"/>
    <w:rPr>
      <w:rFonts w:ascii="Times New Roman" w:hAnsi="Times New Roman" w:eastAsia="宋体" w:cs="Times New Roman"/>
      <w:szCs w:val="24"/>
    </w:rPr>
  </w:style>
  <w:style w:type="paragraph" w:customStyle="1" w:styleId="1389">
    <w:name w:val="列表 4P"/>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90">
    <w:name w:val="样式 标题 1 + 黑体 小三 非加粗"/>
    <w:basedOn w:val="3"/>
    <w:qFormat/>
    <w:uiPriority w:val="99"/>
    <w:pPr>
      <w:keepNext/>
      <w:keepLines/>
      <w:tabs>
        <w:tab w:val="left" w:pos="432"/>
      </w:tabs>
      <w:adjustRightInd/>
      <w:snapToGrid/>
      <w:spacing w:before="340" w:beforeAutospacing="0" w:after="330" w:line="578" w:lineRule="auto"/>
      <w:ind w:left="432" w:hanging="432"/>
      <w:jc w:val="both"/>
    </w:pPr>
    <w:rPr>
      <w:rFonts w:hAnsi="黑体" w:cs="Times New Roman"/>
      <w:b w:val="0"/>
    </w:rPr>
  </w:style>
  <w:style w:type="paragraph" w:customStyle="1" w:styleId="1391">
    <w:name w:val="xl81"/>
    <w:basedOn w:val="1"/>
    <w:qFormat/>
    <w:uiPriority w:val="99"/>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392">
    <w:name w:val="Section Subtitle"/>
    <w:basedOn w:val="1121"/>
    <w:next w:val="1"/>
    <w:qFormat/>
    <w:uiPriority w:val="99"/>
    <w:pPr>
      <w:pBdr>
        <w:top w:val="none" w:color="auto" w:sz="0" w:space="0"/>
      </w:pBdr>
    </w:pPr>
    <w:rPr>
      <w:b w:val="0"/>
      <w:spacing w:val="0"/>
      <w:position w:val="6"/>
    </w:rPr>
  </w:style>
  <w:style w:type="paragraph" w:customStyle="1" w:styleId="1393">
    <w:name w:val="表3.8-1"/>
    <w:basedOn w:val="916"/>
    <w:qFormat/>
    <w:uiPriority w:val="99"/>
    <w:pPr>
      <w:tabs>
        <w:tab w:val="left" w:pos="420"/>
        <w:tab w:val="clear" w:pos="4060"/>
        <w:tab w:val="clear" w:pos="8261"/>
      </w:tabs>
    </w:pPr>
  </w:style>
  <w:style w:type="paragraph" w:customStyle="1" w:styleId="1394">
    <w:name w:val="样式2"/>
    <w:basedOn w:val="7"/>
    <w:qFormat/>
    <w:uiPriority w:val="99"/>
    <w:pPr>
      <w:keepLines/>
      <w:numPr>
        <w:ilvl w:val="0"/>
        <w:numId w:val="0"/>
      </w:numPr>
      <w:tabs>
        <w:tab w:val="left" w:pos="360"/>
      </w:tabs>
      <w:adjustRightInd/>
      <w:snapToGrid/>
      <w:spacing w:before="0" w:beforeAutospacing="0"/>
      <w:jc w:val="both"/>
    </w:pPr>
    <w:rPr>
      <w:rFonts w:ascii="黑体" w:hAnsi="Arial" w:eastAsia="黑体" w:cs="Times New Roman"/>
      <w:b w:val="0"/>
      <w:sz w:val="28"/>
    </w:rPr>
  </w:style>
  <w:style w:type="paragraph" w:customStyle="1" w:styleId="1395">
    <w:name w:val="Char Char Char Char Char Char"/>
    <w:basedOn w:val="1"/>
    <w:qFormat/>
    <w:uiPriority w:val="0"/>
    <w:rPr>
      <w:rFonts w:ascii="Times New Roman" w:hAnsi="Times New Roman" w:eastAsia="宋体" w:cs="Times New Roman"/>
      <w:szCs w:val="20"/>
    </w:rPr>
  </w:style>
  <w:style w:type="paragraph" w:customStyle="1" w:styleId="1396">
    <w:name w:val="样式 正文首行缩进 + 首行缩进:  2 字符1"/>
    <w:basedOn w:val="79"/>
    <w:qFormat/>
    <w:uiPriority w:val="99"/>
    <w:pPr>
      <w:widowControl w:val="0"/>
      <w:spacing w:after="0" w:line="360" w:lineRule="auto"/>
      <w:ind w:firstLine="480" w:firstLineChars="200"/>
    </w:pPr>
    <w:rPr>
      <w:rFonts w:ascii="Times New Roman" w:hAnsi="Times New Roman"/>
      <w:szCs w:val="24"/>
    </w:rPr>
  </w:style>
  <w:style w:type="paragraph" w:customStyle="1" w:styleId="1397">
    <w:name w:val="表格文字中"/>
    <w:basedOn w:val="1"/>
    <w:qFormat/>
    <w:uiPriority w:val="99"/>
    <w:pPr>
      <w:tabs>
        <w:tab w:val="left" w:pos="1727"/>
        <w:tab w:val="left" w:pos="1884"/>
      </w:tabs>
      <w:adjustRightInd w:val="0"/>
      <w:snapToGrid w:val="0"/>
      <w:jc w:val="center"/>
    </w:pPr>
    <w:rPr>
      <w:rFonts w:ascii="宋体" w:hAnsi="宋体" w:eastAsia="宋体" w:cs="Times New Roman"/>
      <w:color w:val="000000"/>
      <w:kern w:val="0"/>
      <w:sz w:val="24"/>
      <w:szCs w:val="24"/>
    </w:rPr>
  </w:style>
  <w:style w:type="paragraph" w:customStyle="1" w:styleId="1398">
    <w:name w:val="Char4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399">
    <w:name w:val="Body Text 22"/>
    <w:basedOn w:val="1"/>
    <w:qFormat/>
    <w:uiPriority w:val="99"/>
    <w:pPr>
      <w:adjustRightInd w:val="0"/>
      <w:spacing w:line="440" w:lineRule="atLeast"/>
      <w:ind w:firstLine="480"/>
      <w:textAlignment w:val="baseline"/>
    </w:pPr>
    <w:rPr>
      <w:rFonts w:ascii="Times New Roman" w:hAnsi="Times New Roman" w:eastAsia="仿宋_GB2312" w:cs="Times New Roman"/>
      <w:sz w:val="24"/>
      <w:szCs w:val="20"/>
    </w:rPr>
  </w:style>
  <w:style w:type="paragraph" w:customStyle="1" w:styleId="1400">
    <w:name w:val="表标题7.2"/>
    <w:basedOn w:val="1401"/>
    <w:qFormat/>
    <w:uiPriority w:val="99"/>
    <w:pPr>
      <w:tabs>
        <w:tab w:val="left" w:pos="726"/>
        <w:tab w:val="center" w:pos="4060"/>
        <w:tab w:val="right" w:pos="8261"/>
      </w:tabs>
      <w:ind w:left="2" w:firstLine="4"/>
    </w:pPr>
    <w:rPr>
      <w:szCs w:val="24"/>
    </w:rPr>
  </w:style>
  <w:style w:type="paragraph" w:customStyle="1" w:styleId="1401">
    <w:name w:val="表标题8.3"/>
    <w:basedOn w:val="644"/>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szCs w:val="20"/>
    </w:rPr>
  </w:style>
  <w:style w:type="paragraph" w:customStyle="1" w:styleId="1402">
    <w:name w:val="样式 燕山正文 + 首行缩进:  3.5 字符2"/>
    <w:basedOn w:val="867"/>
    <w:qFormat/>
    <w:uiPriority w:val="99"/>
    <w:pPr>
      <w:shd w:val="clear" w:color="auto" w:fill="auto"/>
      <w:jc w:val="both"/>
    </w:pPr>
    <w:rPr>
      <w:color w:val="000000"/>
      <w:szCs w:val="24"/>
    </w:rPr>
  </w:style>
  <w:style w:type="paragraph" w:customStyle="1" w:styleId="1403">
    <w:name w:val="表格样式1"/>
    <w:basedOn w:val="1"/>
    <w:qFormat/>
    <w:uiPriority w:val="99"/>
    <w:pPr>
      <w:spacing w:line="360" w:lineRule="exact"/>
      <w:jc w:val="center"/>
    </w:pPr>
    <w:rPr>
      <w:rFonts w:ascii="Times New Roman" w:hAnsi="Times New Roman" w:eastAsia="仿宋_GB2312" w:cs="Times New Roman"/>
      <w:color w:val="000080"/>
      <w:szCs w:val="24"/>
    </w:rPr>
  </w:style>
  <w:style w:type="paragraph" w:customStyle="1" w:styleId="1404">
    <w:name w:val="font17"/>
    <w:basedOn w:val="1"/>
    <w:qFormat/>
    <w:uiPriority w:val="99"/>
    <w:pPr>
      <w:widowControl/>
      <w:spacing w:before="100" w:beforeAutospacing="1" w:after="100" w:afterAutospacing="1"/>
      <w:jc w:val="left"/>
    </w:pPr>
    <w:rPr>
      <w:rFonts w:ascii="Times New Roman" w:hAnsi="Times New Roman" w:eastAsia="Arial Unicode MS" w:cs="Times New Roman"/>
      <w:kern w:val="0"/>
      <w:sz w:val="20"/>
      <w:szCs w:val="20"/>
      <w:u w:val="single"/>
    </w:rPr>
  </w:style>
  <w:style w:type="paragraph" w:customStyle="1" w:styleId="1405">
    <w:name w:val="我的正文"/>
    <w:basedOn w:val="1"/>
    <w:qFormat/>
    <w:uiPriority w:val="99"/>
    <w:rPr>
      <w:rFonts w:ascii="Times New Roman" w:hAnsi="Times New Roman" w:eastAsia="宋体" w:cs="Times New Roman"/>
      <w:sz w:val="24"/>
      <w:szCs w:val="20"/>
    </w:rPr>
  </w:style>
  <w:style w:type="paragraph" w:customStyle="1" w:styleId="1406">
    <w:name w:val="6表格"/>
    <w:basedOn w:val="1"/>
    <w:qFormat/>
    <w:uiPriority w:val="99"/>
    <w:pPr>
      <w:adjustRightInd w:val="0"/>
      <w:snapToGrid w:val="0"/>
      <w:spacing w:before="60" w:line="312" w:lineRule="auto"/>
      <w:jc w:val="center"/>
    </w:pPr>
    <w:rPr>
      <w:rFonts w:ascii="Times New Roman" w:hAnsi="Times New Roman" w:eastAsia="宋体" w:cs="Times New Roman"/>
      <w:snapToGrid w:val="0"/>
      <w:kern w:val="0"/>
      <w:szCs w:val="20"/>
    </w:rPr>
  </w:style>
  <w:style w:type="paragraph" w:customStyle="1" w:styleId="1407">
    <w:name w:val="五级条标题"/>
    <w:basedOn w:val="1373"/>
    <w:next w:val="1"/>
    <w:qFormat/>
    <w:uiPriority w:val="99"/>
    <w:pPr>
      <w:tabs>
        <w:tab w:val="left" w:pos="1276"/>
        <w:tab w:val="left" w:pos="2940"/>
        <w:tab w:val="clear" w:pos="1134"/>
        <w:tab w:val="clear" w:pos="1260"/>
        <w:tab w:val="clear" w:pos="2520"/>
      </w:tabs>
      <w:ind w:left="2940"/>
      <w:outlineLvl w:val="6"/>
    </w:pPr>
  </w:style>
  <w:style w:type="paragraph" w:customStyle="1" w:styleId="1408">
    <w:name w:val="CM59"/>
    <w:basedOn w:val="202"/>
    <w:next w:val="202"/>
    <w:qFormat/>
    <w:uiPriority w:val="99"/>
    <w:pPr>
      <w:autoSpaceDE/>
      <w:autoSpaceDN/>
      <w:adjustRightInd/>
      <w:spacing w:beforeLines="0" w:after="498" w:afterLines="0" w:line="240" w:lineRule="auto"/>
      <w:ind w:left="210"/>
    </w:pPr>
    <w:rPr>
      <w:rFonts w:ascii="Calibri" w:hAnsi="Calibri" w:eastAsia="宋体"/>
      <w:b w:val="0"/>
      <w:smallCaps/>
      <w:snapToGrid/>
      <w:color w:val="auto"/>
      <w:sz w:val="20"/>
      <w:szCs w:val="20"/>
    </w:rPr>
  </w:style>
  <w:style w:type="paragraph" w:customStyle="1" w:styleId="1409">
    <w:name w:val="列表 5L"/>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10">
    <w:name w:val="表内序号"/>
    <w:basedOn w:val="1"/>
    <w:qFormat/>
    <w:uiPriority w:val="99"/>
    <w:pPr>
      <w:widowControl/>
      <w:tabs>
        <w:tab w:val="left" w:pos="425"/>
      </w:tabs>
      <w:adjustRightInd w:val="0"/>
      <w:snapToGrid w:val="0"/>
      <w:spacing w:line="360" w:lineRule="auto"/>
      <w:ind w:left="425" w:hanging="425"/>
      <w:jc w:val="left"/>
    </w:pPr>
    <w:rPr>
      <w:rFonts w:ascii="Times New Roman" w:hAnsi="Times New Roman" w:eastAsia="宋体" w:cs="Times New Roman"/>
      <w:kern w:val="0"/>
      <w:sz w:val="24"/>
      <w:szCs w:val="20"/>
    </w:rPr>
  </w:style>
  <w:style w:type="paragraph" w:customStyle="1" w:styleId="1411">
    <w:name w:val="样式 标题 41.1.1.1标题 4.1.1.1.1标题 4 Char款1.1.1.1 Char标4段1.1.1..."/>
    <w:basedOn w:val="7"/>
    <w:qFormat/>
    <w:uiPriority w:val="99"/>
    <w:pPr>
      <w:keepLines/>
      <w:numPr>
        <w:ilvl w:val="0"/>
        <w:numId w:val="0"/>
      </w:numPr>
      <w:tabs>
        <w:tab w:val="left" w:pos="0"/>
        <w:tab w:val="left" w:pos="360"/>
      </w:tabs>
      <w:adjustRightInd/>
      <w:snapToGrid/>
      <w:spacing w:before="120" w:beforeAutospacing="0" w:after="120" w:line="312" w:lineRule="auto"/>
      <w:ind w:left="284" w:hanging="284"/>
      <w:jc w:val="both"/>
    </w:pPr>
    <w:rPr>
      <w:rFonts w:ascii="Arial" w:hAnsi="Arial" w:eastAsia="黑体" w:cs="宋体"/>
      <w:szCs w:val="20"/>
    </w:rPr>
  </w:style>
  <w:style w:type="paragraph" w:customStyle="1" w:styleId="1412">
    <w:name w:val="样式6"/>
    <w:basedOn w:val="1"/>
    <w:link w:val="1413"/>
    <w:qFormat/>
    <w:uiPriority w:val="99"/>
    <w:pPr>
      <w:adjustRightInd w:val="0"/>
      <w:snapToGrid w:val="0"/>
      <w:spacing w:line="360" w:lineRule="auto"/>
      <w:ind w:firstLine="200" w:firstLineChars="200"/>
      <w:jc w:val="left"/>
      <w:textAlignment w:val="baseline"/>
    </w:pPr>
    <w:rPr>
      <w:rFonts w:ascii="宋体" w:hAnsi="Times New Roman" w:eastAsia="宋体" w:cs="Times New Roman"/>
      <w:kern w:val="0"/>
      <w:sz w:val="24"/>
      <w:szCs w:val="24"/>
    </w:rPr>
  </w:style>
  <w:style w:type="character" w:customStyle="1" w:styleId="1413">
    <w:name w:val="样式6 Char"/>
    <w:link w:val="1412"/>
    <w:qFormat/>
    <w:uiPriority w:val="99"/>
    <w:rPr>
      <w:rFonts w:ascii="宋体" w:hAnsi="Times New Roman" w:eastAsia="宋体" w:cs="Times New Roman"/>
      <w:sz w:val="24"/>
      <w:szCs w:val="24"/>
    </w:rPr>
  </w:style>
  <w:style w:type="paragraph" w:customStyle="1" w:styleId="1414">
    <w:name w:val="Char4 Char Char Char Char Char Char12"/>
    <w:basedOn w:val="1"/>
    <w:qFormat/>
    <w:uiPriority w:val="99"/>
    <w:pPr>
      <w:spacing w:line="360" w:lineRule="auto"/>
      <w:ind w:firstLine="200" w:firstLineChars="200"/>
    </w:pPr>
    <w:rPr>
      <w:rFonts w:ascii="宋体" w:hAnsi="宋体" w:eastAsia="宋体" w:cs="宋体"/>
      <w:sz w:val="24"/>
      <w:szCs w:val="24"/>
    </w:rPr>
  </w:style>
  <w:style w:type="paragraph" w:customStyle="1" w:styleId="1415">
    <w:name w:val="源代码"/>
    <w:basedOn w:val="1"/>
    <w:qFormat/>
    <w:uiPriority w:val="0"/>
    <w:pPr>
      <w:widowControl/>
      <w:kinsoku w:val="0"/>
      <w:overflowPunct w:val="0"/>
      <w:autoSpaceDE w:val="0"/>
      <w:autoSpaceDN w:val="0"/>
      <w:adjustRightInd w:val="0"/>
      <w:snapToGrid w:val="0"/>
      <w:jc w:val="left"/>
    </w:pPr>
    <w:rPr>
      <w:rFonts w:ascii="Courier New" w:hAnsi="Courier New" w:eastAsia="宋体" w:cs="Times New Roman"/>
      <w:b/>
      <w:snapToGrid w:val="0"/>
      <w:kern w:val="0"/>
      <w:sz w:val="24"/>
      <w:szCs w:val="24"/>
    </w:rPr>
  </w:style>
  <w:style w:type="paragraph" w:customStyle="1" w:styleId="1416">
    <w:name w:val="德胜二级标题"/>
    <w:basedOn w:val="1"/>
    <w:qFormat/>
    <w:uiPriority w:val="99"/>
    <w:pPr>
      <w:keepNext/>
      <w:keepLines/>
      <w:adjustRightInd w:val="0"/>
      <w:snapToGrid w:val="0"/>
      <w:spacing w:line="360" w:lineRule="auto"/>
      <w:jc w:val="left"/>
      <w:outlineLvl w:val="1"/>
    </w:pPr>
    <w:rPr>
      <w:rFonts w:ascii="Times New Roman" w:hAnsi="Times New Roman" w:eastAsia="宋体" w:cs="Times New Roman"/>
      <w:b/>
      <w:bCs/>
      <w:snapToGrid w:val="0"/>
      <w:color w:val="0000FF"/>
      <w:kern w:val="0"/>
      <w:sz w:val="28"/>
      <w:szCs w:val="28"/>
    </w:rPr>
  </w:style>
  <w:style w:type="paragraph" w:customStyle="1" w:styleId="1417">
    <w:name w:val="City/State"/>
    <w:basedOn w:val="32"/>
    <w:next w:val="32"/>
    <w:qFormat/>
    <w:uiPriority w:val="99"/>
    <w:pPr>
      <w:keepNext/>
      <w:widowControl/>
      <w:spacing w:after="220" w:line="220" w:lineRule="atLeast"/>
      <w:ind w:right="-360"/>
      <w:jc w:val="left"/>
    </w:pPr>
    <w:rPr>
      <w:rFonts w:ascii="Times New Roman" w:hAnsi="Times New Roman" w:eastAsia="宋体" w:cs="Times New Roman"/>
      <w:kern w:val="0"/>
      <w:sz w:val="20"/>
      <w:szCs w:val="20"/>
    </w:rPr>
  </w:style>
  <w:style w:type="paragraph" w:customStyle="1" w:styleId="1418">
    <w:name w:val="BG1"/>
    <w:basedOn w:val="1"/>
    <w:qFormat/>
    <w:uiPriority w:val="99"/>
    <w:pPr>
      <w:adjustRightInd w:val="0"/>
      <w:jc w:val="center"/>
    </w:pPr>
    <w:rPr>
      <w:rFonts w:ascii="Times New Roman" w:hAnsi="Times New Roman" w:eastAsia="宋体" w:cs="Times New Roman"/>
      <w:spacing w:val="20"/>
      <w:szCs w:val="20"/>
    </w:rPr>
  </w:style>
  <w:style w:type="paragraph" w:customStyle="1" w:styleId="1419">
    <w:name w:val="Char Char Char Char Char Char Char Char Char Char Char Char Char Char Char Char Char1"/>
    <w:basedOn w:val="1"/>
    <w:qFormat/>
    <w:uiPriority w:val="99"/>
    <w:rPr>
      <w:rFonts w:ascii="Times New Roman" w:hAnsi="Times New Roman" w:eastAsia="仿宋_GB2312" w:cs="Times New Roman"/>
    </w:rPr>
  </w:style>
  <w:style w:type="paragraph" w:customStyle="1" w:styleId="1420">
    <w:name w:val="列表 3E"/>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21">
    <w:name w:val="规划正文样式"/>
    <w:basedOn w:val="1"/>
    <w:qFormat/>
    <w:uiPriority w:val="99"/>
    <w:pPr>
      <w:spacing w:line="400" w:lineRule="exact"/>
      <w:ind w:firstLine="480" w:firstLineChars="200"/>
    </w:pPr>
    <w:rPr>
      <w:rFonts w:ascii="Times New Roman" w:hAnsi="Times New Roman" w:eastAsia="宋体" w:cs="Times New Roman"/>
      <w:sz w:val="24"/>
      <w:szCs w:val="24"/>
    </w:rPr>
  </w:style>
  <w:style w:type="paragraph" w:customStyle="1" w:styleId="1422">
    <w:name w:val="xl28"/>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宋体" w:cs="Times New Roman"/>
      <w:kern w:val="0"/>
      <w:sz w:val="24"/>
      <w:szCs w:val="20"/>
    </w:rPr>
  </w:style>
  <w:style w:type="paragraph" w:customStyle="1" w:styleId="1423">
    <w:name w:val="图题7"/>
    <w:basedOn w:val="1"/>
    <w:qFormat/>
    <w:uiPriority w:val="99"/>
    <w:pPr>
      <w:adjustRightInd w:val="0"/>
      <w:snapToGrid w:val="0"/>
      <w:spacing w:line="360" w:lineRule="auto"/>
      <w:jc w:val="center"/>
    </w:pPr>
    <w:rPr>
      <w:rFonts w:ascii="Times New Roman" w:hAnsi="Times New Roman" w:eastAsia="仿宋_GB2312" w:cs="Times New Roman"/>
      <w:b/>
      <w:snapToGrid w:val="0"/>
      <w:kern w:val="0"/>
      <w:sz w:val="24"/>
      <w:szCs w:val="24"/>
    </w:rPr>
  </w:style>
  <w:style w:type="paragraph" w:customStyle="1" w:styleId="1424">
    <w:name w:val="Address 2"/>
    <w:basedOn w:val="1"/>
    <w:qFormat/>
    <w:uiPriority w:val="99"/>
    <w:pPr>
      <w:widowControl/>
      <w:spacing w:line="200" w:lineRule="atLeast"/>
      <w:jc w:val="left"/>
    </w:pPr>
    <w:rPr>
      <w:rFonts w:ascii="Times New Roman" w:hAnsi="Times New Roman" w:eastAsia="宋体" w:cs="Times New Roman"/>
      <w:kern w:val="0"/>
      <w:sz w:val="16"/>
      <w:szCs w:val="20"/>
    </w:rPr>
  </w:style>
  <w:style w:type="paragraph" w:customStyle="1" w:styleId="1425">
    <w:name w:val="xl107"/>
    <w:basedOn w:val="1"/>
    <w:qFormat/>
    <w:uiPriority w:val="99"/>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426">
    <w:name w:val="列表 3B"/>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27">
    <w:name w:val="样式 (符号) 宋体 首行缩进:  2 字符1"/>
    <w:basedOn w:val="1"/>
    <w:qFormat/>
    <w:uiPriority w:val="99"/>
    <w:pPr>
      <w:ind w:firstLine="567" w:firstLineChars="200"/>
    </w:pPr>
    <w:rPr>
      <w:rFonts w:ascii="宋体" w:hAnsi="宋体" w:eastAsia="宋体" w:cs="宋体"/>
      <w:sz w:val="27"/>
      <w:szCs w:val="20"/>
    </w:rPr>
  </w:style>
  <w:style w:type="paragraph" w:customStyle="1" w:styleId="1428">
    <w:name w:val="表中文字 + 居中"/>
    <w:basedOn w:val="1119"/>
    <w:qFormat/>
    <w:uiPriority w:val="99"/>
  </w:style>
  <w:style w:type="paragraph" w:customStyle="1" w:styleId="1429">
    <w:name w:val="列表 2K"/>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30">
    <w:name w:val="Objective"/>
    <w:basedOn w:val="1"/>
    <w:next w:val="32"/>
    <w:qFormat/>
    <w:uiPriority w:val="99"/>
    <w:pPr>
      <w:widowControl/>
      <w:spacing w:before="220" w:after="220" w:line="220" w:lineRule="atLeast"/>
      <w:jc w:val="left"/>
    </w:pPr>
    <w:rPr>
      <w:rFonts w:ascii="Times New Roman" w:hAnsi="Times New Roman" w:eastAsia="宋体" w:cs="Times New Roman"/>
      <w:kern w:val="0"/>
      <w:sz w:val="20"/>
      <w:szCs w:val="20"/>
    </w:rPr>
  </w:style>
  <w:style w:type="paragraph" w:customStyle="1" w:styleId="1431">
    <w:name w:val="居中"/>
    <w:basedOn w:val="1"/>
    <w:qFormat/>
    <w:uiPriority w:val="99"/>
    <w:pPr>
      <w:spacing w:before="40" w:after="40" w:line="480" w:lineRule="exact"/>
      <w:jc w:val="center"/>
    </w:pPr>
    <w:rPr>
      <w:rFonts w:ascii="Arial" w:hAnsi="Arial" w:eastAsia="宋体" w:cs="Times New Roman"/>
      <w:sz w:val="24"/>
      <w:szCs w:val="20"/>
    </w:rPr>
  </w:style>
  <w:style w:type="paragraph" w:customStyle="1" w:styleId="1432">
    <w:name w:val="CM15"/>
    <w:basedOn w:val="1"/>
    <w:next w:val="1"/>
    <w:qFormat/>
    <w:uiPriority w:val="99"/>
    <w:pPr>
      <w:autoSpaceDE w:val="0"/>
      <w:autoSpaceDN w:val="0"/>
      <w:adjustRightInd w:val="0"/>
      <w:spacing w:line="456" w:lineRule="atLeast"/>
      <w:jc w:val="left"/>
    </w:pPr>
    <w:rPr>
      <w:rFonts w:ascii="宋体" w:hAnsi="Times New Roman" w:eastAsia="宋体" w:cs="宋体"/>
      <w:kern w:val="0"/>
      <w:sz w:val="24"/>
      <w:szCs w:val="24"/>
    </w:rPr>
  </w:style>
  <w:style w:type="paragraph" w:customStyle="1" w:styleId="1433">
    <w:name w:val="样式 标题 2 + Times New Roman"/>
    <w:basedOn w:val="5"/>
    <w:qFormat/>
    <w:uiPriority w:val="99"/>
    <w:pPr>
      <w:keepLines/>
      <w:widowControl/>
      <w:numPr>
        <w:ilvl w:val="0"/>
        <w:numId w:val="0"/>
      </w:numPr>
      <w:adjustRightInd/>
      <w:snapToGrid/>
      <w:spacing w:before="260" w:beforeAutospacing="0" w:after="260" w:line="415" w:lineRule="auto"/>
      <w:ind w:left="420" w:firstLine="538" w:firstLineChars="192"/>
    </w:pPr>
    <w:rPr>
      <w:rFonts w:ascii="Times New Roman" w:hAnsi="Times New Roman" w:cs="Times New Roman"/>
      <w:b/>
      <w:bCs w:val="0"/>
      <w:kern w:val="0"/>
      <w:sz w:val="32"/>
    </w:rPr>
  </w:style>
  <w:style w:type="paragraph" w:customStyle="1" w:styleId="1434">
    <w:name w:val="表标"/>
    <w:next w:val="1"/>
    <w:link w:val="1435"/>
    <w:qFormat/>
    <w:uiPriority w:val="99"/>
    <w:pPr>
      <w:widowControl w:val="0"/>
      <w:tabs>
        <w:tab w:val="left" w:pos="280"/>
      </w:tabs>
      <w:adjustRightInd w:val="0"/>
      <w:snapToGrid w:val="0"/>
      <w:jc w:val="center"/>
    </w:pPr>
    <w:rPr>
      <w:rFonts w:ascii="Times New Roman" w:hAnsi="Times New Roman" w:eastAsia="宋体" w:cs="Times New Roman"/>
      <w:b/>
      <w:kern w:val="2"/>
      <w:sz w:val="24"/>
      <w:szCs w:val="24"/>
      <w:lang w:val="en-US" w:eastAsia="zh-CN" w:bidi="ar-SA"/>
    </w:rPr>
  </w:style>
  <w:style w:type="character" w:customStyle="1" w:styleId="1435">
    <w:name w:val="表标 Char Char"/>
    <w:link w:val="1434"/>
    <w:qFormat/>
    <w:uiPriority w:val="99"/>
    <w:rPr>
      <w:rFonts w:ascii="Times New Roman" w:hAnsi="Times New Roman" w:eastAsia="宋体" w:cs="Times New Roman"/>
      <w:b/>
      <w:kern w:val="2"/>
      <w:sz w:val="24"/>
      <w:szCs w:val="24"/>
    </w:rPr>
  </w:style>
  <w:style w:type="paragraph" w:customStyle="1" w:styleId="1436">
    <w:name w:val="pl正文"/>
    <w:basedOn w:val="1"/>
    <w:qFormat/>
    <w:uiPriority w:val="99"/>
    <w:pPr>
      <w:snapToGrid w:val="0"/>
      <w:spacing w:line="360" w:lineRule="auto"/>
      <w:ind w:firstLine="492"/>
    </w:pPr>
    <w:rPr>
      <w:rFonts w:ascii="宋体" w:hAnsi="宋体" w:eastAsia="宋体" w:cs="Times New Roman"/>
      <w:color w:val="000000"/>
      <w:spacing w:val="6"/>
      <w:sz w:val="28"/>
      <w:szCs w:val="24"/>
    </w:rPr>
  </w:style>
  <w:style w:type="paragraph" w:customStyle="1" w:styleId="1437">
    <w:name w:val="样式 (西文) Times New Roman 五号 居中"/>
    <w:basedOn w:val="1"/>
    <w:qFormat/>
    <w:uiPriority w:val="0"/>
    <w:pPr>
      <w:jc w:val="center"/>
    </w:pPr>
    <w:rPr>
      <w:rFonts w:ascii="Times New Roman" w:hAnsi="Times New Roman" w:eastAsia="宋体" w:cs="宋体"/>
      <w:kern w:val="0"/>
      <w:szCs w:val="20"/>
    </w:rPr>
  </w:style>
  <w:style w:type="paragraph" w:customStyle="1" w:styleId="1438">
    <w:name w:val="样式 正文首行缩进 + 黑体 四号 黑色"/>
    <w:basedOn w:val="1"/>
    <w:next w:val="1"/>
    <w:qFormat/>
    <w:uiPriority w:val="99"/>
    <w:pPr>
      <w:tabs>
        <w:tab w:val="left" w:pos="2514"/>
      </w:tabs>
      <w:spacing w:line="360" w:lineRule="auto"/>
      <w:ind w:left="864" w:right="-132" w:rightChars="-47" w:hanging="864"/>
      <w:outlineLvl w:val="3"/>
    </w:pPr>
    <w:rPr>
      <w:rFonts w:ascii="黑体" w:hAnsi="Arial" w:eastAsia="黑体" w:cs="宋体"/>
      <w:color w:val="000000"/>
      <w:sz w:val="28"/>
      <w:szCs w:val="20"/>
    </w:rPr>
  </w:style>
  <w:style w:type="paragraph" w:customStyle="1" w:styleId="1439">
    <w:name w:val="xl40"/>
    <w:basedOn w:val="1"/>
    <w:qFormat/>
    <w:uiPriority w:val="99"/>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440">
    <w:name w:val="日期1"/>
    <w:basedOn w:val="1"/>
    <w:next w:val="1"/>
    <w:qFormat/>
    <w:uiPriority w:val="99"/>
    <w:pPr>
      <w:adjustRightInd w:val="0"/>
      <w:spacing w:line="360" w:lineRule="atLeast"/>
      <w:textAlignment w:val="baseline"/>
    </w:pPr>
    <w:rPr>
      <w:rFonts w:ascii="宋体" w:hAnsi="Times New Roman" w:eastAsia="宋体" w:cs="Times New Roman"/>
      <w:spacing w:val="20"/>
      <w:kern w:val="0"/>
      <w:sz w:val="28"/>
      <w:szCs w:val="20"/>
    </w:rPr>
  </w:style>
  <w:style w:type="paragraph" w:customStyle="1" w:styleId="1441">
    <w:name w:val="xl88"/>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Times New Roman" w:hAnsi="Times New Roman" w:eastAsia="Arial Unicode MS" w:cs="Times New Roman"/>
      <w:kern w:val="0"/>
      <w:sz w:val="16"/>
      <w:szCs w:val="16"/>
    </w:rPr>
  </w:style>
  <w:style w:type="paragraph" w:customStyle="1" w:styleId="1442">
    <w:name w:val="Char Char Char"/>
    <w:basedOn w:val="1"/>
    <w:qFormat/>
    <w:uiPriority w:val="0"/>
    <w:rPr>
      <w:rFonts w:ascii="Times New Roman" w:hAnsi="Times New Roman" w:eastAsia="宋体" w:cs="Times New Roman"/>
      <w:sz w:val="24"/>
      <w:szCs w:val="24"/>
    </w:rPr>
  </w:style>
  <w:style w:type="paragraph" w:customStyle="1" w:styleId="1443">
    <w:name w:val="!Texte courant"/>
    <w:qFormat/>
    <w:uiPriority w:val="99"/>
    <w:pPr>
      <w:spacing w:before="120" w:line="280" w:lineRule="atLeast"/>
      <w:jc w:val="both"/>
    </w:pPr>
    <w:rPr>
      <w:rFonts w:ascii="Times New Roman" w:hAnsi="Times New Roman" w:eastAsia="宋体" w:cs="Times New Roman"/>
      <w:sz w:val="24"/>
      <w:lang w:val="fr-FR" w:eastAsia="en-US" w:bidi="ar-SA"/>
    </w:rPr>
  </w:style>
  <w:style w:type="paragraph" w:customStyle="1" w:styleId="1444">
    <w:name w:val="xl31"/>
    <w:basedOn w:val="1"/>
    <w:qFormat/>
    <w:uiPriority w:val="99"/>
    <w:pPr>
      <w:widowControl/>
      <w:spacing w:before="100" w:beforeAutospacing="1" w:after="100" w:afterAutospacing="1"/>
      <w:jc w:val="center"/>
    </w:pPr>
    <w:rPr>
      <w:rFonts w:ascii="Times New Roman" w:hAnsi="Times New Roman" w:eastAsia="宋体" w:cs="Times New Roman"/>
      <w:kern w:val="0"/>
      <w:sz w:val="24"/>
      <w:szCs w:val="24"/>
    </w:rPr>
  </w:style>
  <w:style w:type="paragraph" w:customStyle="1" w:styleId="1445">
    <w:name w:val="章(一级)"/>
    <w:basedOn w:val="3"/>
    <w:next w:val="1024"/>
    <w:qFormat/>
    <w:uiPriority w:val="99"/>
    <w:pPr>
      <w:tabs>
        <w:tab w:val="left" w:pos="360"/>
        <w:tab w:val="left" w:pos="915"/>
      </w:tabs>
      <w:snapToGrid/>
      <w:spacing w:before="0" w:beforeLines="100" w:beforeAutospacing="0" w:afterLines="100" w:line="700" w:lineRule="exact"/>
      <w:ind w:left="915" w:hanging="435"/>
      <w:textAlignment w:val="baseline"/>
      <w:outlineLvl w:val="9"/>
    </w:pPr>
    <w:rPr>
      <w:rFonts w:ascii="宋体" w:hAnsi="宋体" w:eastAsia="宋体" w:cs="Times New Roman"/>
      <w:kern w:val="24"/>
      <w:sz w:val="24"/>
      <w:szCs w:val="20"/>
    </w:rPr>
  </w:style>
  <w:style w:type="paragraph" w:customStyle="1" w:styleId="1446">
    <w:name w:val="表题74"/>
    <w:basedOn w:val="33"/>
    <w:qFormat/>
    <w:uiPriority w:val="99"/>
    <w:pPr>
      <w:tabs>
        <w:tab w:val="left" w:pos="4305"/>
      </w:tabs>
      <w:adjustRightInd w:val="0"/>
      <w:snapToGrid w:val="0"/>
      <w:spacing w:after="0"/>
      <w:ind w:left="0" w:leftChars="0"/>
      <w:jc w:val="center"/>
    </w:pPr>
    <w:rPr>
      <w:rFonts w:ascii="黑体" w:hAnsi="宋体" w:eastAsia="黑体" w:cs="Times New Roman"/>
      <w:kern w:val="0"/>
      <w:sz w:val="24"/>
      <w:szCs w:val="24"/>
    </w:rPr>
  </w:style>
  <w:style w:type="paragraph" w:customStyle="1" w:styleId="1447">
    <w:name w:val="xl85"/>
    <w:basedOn w:val="1"/>
    <w:qFormat/>
    <w:uiPriority w:val="99"/>
    <w:pPr>
      <w:widowControl/>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1448">
    <w:name w:val="brdrw15brsp20 tqctx4153t"/>
    <w:qFormat/>
    <w:uiPriority w:val="99"/>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1449">
    <w:name w:val="Char Char10"/>
    <w:basedOn w:val="1"/>
    <w:qFormat/>
    <w:uiPriority w:val="0"/>
    <w:rPr>
      <w:rFonts w:ascii="Times New Roman" w:hAnsi="Times New Roman" w:eastAsia="宋体" w:cs="Times New Roman"/>
      <w:szCs w:val="24"/>
    </w:rPr>
  </w:style>
  <w:style w:type="paragraph" w:customStyle="1" w:styleId="1450">
    <w:name w:val="2 Char Char Char"/>
    <w:basedOn w:val="1"/>
    <w:qFormat/>
    <w:uiPriority w:val="0"/>
    <w:rPr>
      <w:rFonts w:ascii="Times New Roman" w:hAnsi="Times New Roman" w:eastAsia="宋体" w:cs="Times New Roman"/>
      <w:szCs w:val="24"/>
    </w:rPr>
  </w:style>
  <w:style w:type="paragraph" w:customStyle="1" w:styleId="1451">
    <w:name w:val="表格内容"/>
    <w:basedOn w:val="1"/>
    <w:qFormat/>
    <w:uiPriority w:val="0"/>
    <w:pPr>
      <w:tabs>
        <w:tab w:val="left" w:pos="1800"/>
        <w:tab w:val="left" w:pos="2805"/>
      </w:tabs>
      <w:overflowPunct w:val="0"/>
      <w:adjustRightInd w:val="0"/>
      <w:snapToGrid w:val="0"/>
      <w:spacing w:before="40" w:after="60" w:line="200" w:lineRule="atLeast"/>
      <w:ind w:firstLine="200" w:firstLineChars="200"/>
      <w:textAlignment w:val="baseline"/>
    </w:pPr>
    <w:rPr>
      <w:rFonts w:ascii="Arial" w:hAnsi="Arial" w:eastAsia="仿宋_GB2312" w:cs="Arial"/>
      <w:kern w:val="0"/>
      <w:sz w:val="24"/>
      <w:szCs w:val="24"/>
    </w:rPr>
  </w:style>
  <w:style w:type="paragraph" w:customStyle="1" w:styleId="1452">
    <w:name w:val="MTDisplayEquation"/>
    <w:basedOn w:val="1"/>
    <w:next w:val="1"/>
    <w:qFormat/>
    <w:uiPriority w:val="0"/>
    <w:pPr>
      <w:tabs>
        <w:tab w:val="center" w:pos="4080"/>
        <w:tab w:val="right" w:pos="8160"/>
      </w:tabs>
      <w:spacing w:line="360" w:lineRule="auto"/>
      <w:ind w:firstLine="480" w:firstLineChars="200"/>
    </w:pPr>
    <w:rPr>
      <w:rFonts w:ascii="Times New Roman" w:hAnsi="Times New Roman" w:eastAsia="宋体" w:cs="Times New Roman"/>
      <w:sz w:val="24"/>
      <w:szCs w:val="24"/>
    </w:rPr>
  </w:style>
  <w:style w:type="paragraph" w:customStyle="1" w:styleId="1453">
    <w:name w:val="表标题3.7"/>
    <w:basedOn w:val="1"/>
    <w:qFormat/>
    <w:uiPriority w:val="99"/>
    <w:pPr>
      <w:tabs>
        <w:tab w:val="left" w:pos="2444"/>
        <w:tab w:val="center" w:pos="4060"/>
        <w:tab w:val="right" w:pos="8261"/>
      </w:tabs>
      <w:suppressAutoHyphens/>
      <w:adjustRightInd w:val="0"/>
      <w:spacing w:before="240" w:line="0" w:lineRule="atLeast"/>
      <w:ind w:left="1720" w:firstLine="4"/>
    </w:pPr>
    <w:rPr>
      <w:rFonts w:ascii="黑体" w:hAnsi="Times New Roman" w:eastAsia="黑体" w:cs="Times New Roman"/>
      <w:b/>
      <w:spacing w:val="6"/>
      <w:kern w:val="0"/>
      <w:sz w:val="26"/>
      <w:szCs w:val="26"/>
    </w:rPr>
  </w:style>
  <w:style w:type="paragraph" w:customStyle="1" w:styleId="1454">
    <w:name w:val="页号"/>
    <w:basedOn w:val="51"/>
    <w:qFormat/>
    <w:uiPriority w:val="99"/>
    <w:pPr>
      <w:widowControl w:val="0"/>
      <w:tabs>
        <w:tab w:val="center" w:pos="4320"/>
        <w:tab w:val="right" w:pos="8640"/>
        <w:tab w:val="clear" w:pos="4153"/>
        <w:tab w:val="clear" w:pos="8306"/>
      </w:tabs>
      <w:adjustRightInd w:val="0"/>
      <w:snapToGrid/>
      <w:jc w:val="center"/>
      <w:textAlignment w:val="baseline"/>
    </w:pPr>
    <w:rPr>
      <w:rFonts w:hAnsi="Arial" w:cs="Times New Roman"/>
      <w:spacing w:val="3"/>
      <w:kern w:val="24"/>
      <w:sz w:val="24"/>
      <w:szCs w:val="20"/>
    </w:rPr>
  </w:style>
  <w:style w:type="paragraph" w:customStyle="1" w:styleId="1455">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56">
    <w:name w:val="Char1 Char Char Char Char Char1 Char2"/>
    <w:basedOn w:val="1"/>
    <w:qFormat/>
    <w:uiPriority w:val="99"/>
    <w:rPr>
      <w:rFonts w:ascii="Tahoma" w:hAnsi="Tahoma" w:eastAsia="宋体" w:cs="Times New Roman"/>
      <w:sz w:val="24"/>
      <w:szCs w:val="20"/>
    </w:rPr>
  </w:style>
  <w:style w:type="paragraph" w:customStyle="1" w:styleId="1457">
    <w:name w:val="页脚1"/>
    <w:basedOn w:val="288"/>
    <w:qFormat/>
    <w:uiPriority w:val="99"/>
    <w:pPr>
      <w:tabs>
        <w:tab w:val="center" w:pos="4153"/>
        <w:tab w:val="right" w:pos="8306"/>
      </w:tabs>
      <w:spacing w:line="240" w:lineRule="atLeast"/>
    </w:pPr>
    <w:rPr>
      <w:rFonts w:eastAsia="Times New Roman"/>
      <w:sz w:val="18"/>
      <w:szCs w:val="22"/>
    </w:rPr>
  </w:style>
  <w:style w:type="paragraph" w:customStyle="1" w:styleId="1458">
    <w:name w:val="正文21"/>
    <w:basedOn w:val="1"/>
    <w:next w:val="1"/>
    <w:qFormat/>
    <w:uiPriority w:val="99"/>
    <w:pPr>
      <w:spacing w:line="360" w:lineRule="auto"/>
    </w:pPr>
    <w:rPr>
      <w:rFonts w:ascii="仿宋_GB2312" w:hAnsi="Times New Roman" w:eastAsia="仿宋_GB2312" w:cs="Times New Roman"/>
      <w:sz w:val="28"/>
      <w:szCs w:val="28"/>
    </w:rPr>
  </w:style>
  <w:style w:type="paragraph" w:customStyle="1" w:styleId="1459">
    <w:name w:val="基准标题"/>
    <w:basedOn w:val="32"/>
    <w:next w:val="32"/>
    <w:qFormat/>
    <w:uiPriority w:val="99"/>
    <w:pPr>
      <w:keepNext/>
      <w:keepLines/>
      <w:widowControl/>
      <w:spacing w:after="0" w:line="280" w:lineRule="exact"/>
      <w:jc w:val="left"/>
    </w:pPr>
    <w:rPr>
      <w:rFonts w:ascii="Arial Black" w:hAnsi="Arial Black" w:eastAsia="宋体" w:cs="Times New Roman"/>
      <w:spacing w:val="-10"/>
      <w:kern w:val="28"/>
      <w:sz w:val="30"/>
      <w:szCs w:val="20"/>
    </w:rPr>
  </w:style>
  <w:style w:type="paragraph" w:customStyle="1" w:styleId="1460">
    <w:name w:val="样式 表内5 + 首行缩进:  2 字符"/>
    <w:basedOn w:val="1095"/>
    <w:qFormat/>
    <w:uiPriority w:val="99"/>
    <w:pPr>
      <w:ind w:firstLine="420"/>
    </w:pPr>
    <w:rPr>
      <w:szCs w:val="20"/>
    </w:rPr>
  </w:style>
  <w:style w:type="paragraph" w:customStyle="1" w:styleId="1461">
    <w:name w:val="标题16.1.1.1"/>
    <w:basedOn w:val="7"/>
    <w:qFormat/>
    <w:uiPriority w:val="99"/>
    <w:pPr>
      <w:keepLines/>
      <w:numPr>
        <w:ilvl w:val="0"/>
        <w:numId w:val="0"/>
      </w:numPr>
      <w:tabs>
        <w:tab w:val="left" w:pos="360"/>
        <w:tab w:val="left" w:pos="1680"/>
      </w:tabs>
      <w:adjustRightInd/>
      <w:snapToGrid/>
      <w:spacing w:before="120" w:beforeAutospacing="0" w:after="120" w:line="312" w:lineRule="auto"/>
      <w:ind w:left="1680" w:hanging="420"/>
      <w:jc w:val="both"/>
    </w:pPr>
    <w:rPr>
      <w:rFonts w:ascii="Arial" w:hAnsi="Arial" w:eastAsia="黑体" w:cs="Times New Roman"/>
      <w:szCs w:val="24"/>
    </w:rPr>
  </w:style>
  <w:style w:type="paragraph" w:customStyle="1" w:styleId="1462">
    <w:name w:val="xl79"/>
    <w:basedOn w:val="1"/>
    <w:qFormat/>
    <w:uiPriority w:val="99"/>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463">
    <w:name w:val="CM138"/>
    <w:basedOn w:val="1"/>
    <w:next w:val="1"/>
    <w:qFormat/>
    <w:uiPriority w:val="99"/>
    <w:pPr>
      <w:autoSpaceDE w:val="0"/>
      <w:autoSpaceDN w:val="0"/>
      <w:adjustRightInd w:val="0"/>
      <w:spacing w:after="130"/>
      <w:jc w:val="left"/>
    </w:pPr>
    <w:rPr>
      <w:rFonts w:ascii="宋体" w:hAnsi="Times New Roman" w:eastAsia="宋体" w:cs="宋体"/>
      <w:kern w:val="0"/>
      <w:sz w:val="24"/>
      <w:szCs w:val="24"/>
    </w:rPr>
  </w:style>
  <w:style w:type="paragraph" w:customStyle="1" w:styleId="1464">
    <w:name w:val="xl45"/>
    <w:basedOn w:val="1"/>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465">
    <w:name w:val="样式 宋体 四号 黑色 行距: 1.5 倍行距"/>
    <w:basedOn w:val="1"/>
    <w:qFormat/>
    <w:uiPriority w:val="99"/>
    <w:pPr>
      <w:autoSpaceDE w:val="0"/>
      <w:autoSpaceDN w:val="0"/>
      <w:spacing w:line="360" w:lineRule="auto"/>
      <w:ind w:firstLine="200" w:firstLineChars="200"/>
    </w:pPr>
    <w:rPr>
      <w:rFonts w:ascii="宋体" w:hAnsi="宋体" w:eastAsia="宋体" w:cs="宋体"/>
      <w:color w:val="000000"/>
      <w:sz w:val="28"/>
      <w:szCs w:val="20"/>
    </w:rPr>
  </w:style>
  <w:style w:type="paragraph" w:customStyle="1" w:styleId="1466">
    <w:name w:val="表标题2"/>
    <w:basedOn w:val="1"/>
    <w:qFormat/>
    <w:uiPriority w:val="0"/>
    <w:pPr>
      <w:keepNext/>
      <w:adjustRightInd w:val="0"/>
      <w:spacing w:before="60" w:after="60" w:line="397" w:lineRule="atLeast"/>
      <w:jc w:val="center"/>
      <w:textAlignment w:val="baseline"/>
    </w:pPr>
    <w:rPr>
      <w:rFonts w:ascii="Times New Roman" w:hAnsi="Times New Roman" w:eastAsia="宋体" w:cs="Times New Roman"/>
      <w:b/>
      <w:kern w:val="0"/>
      <w:sz w:val="24"/>
      <w:szCs w:val="20"/>
    </w:rPr>
  </w:style>
  <w:style w:type="paragraph" w:customStyle="1" w:styleId="1467">
    <w:name w:val="CM63"/>
    <w:basedOn w:val="202"/>
    <w:next w:val="202"/>
    <w:qFormat/>
    <w:uiPriority w:val="99"/>
    <w:pPr>
      <w:autoSpaceDE/>
      <w:autoSpaceDN/>
      <w:adjustRightInd/>
      <w:spacing w:beforeLines="0" w:after="270" w:afterLines="0" w:line="240" w:lineRule="auto"/>
      <w:ind w:left="210"/>
    </w:pPr>
    <w:rPr>
      <w:rFonts w:ascii="Calibri" w:hAnsi="Calibri" w:eastAsia="宋体"/>
      <w:b w:val="0"/>
      <w:smallCaps/>
      <w:snapToGrid/>
      <w:color w:val="auto"/>
      <w:sz w:val="20"/>
      <w:szCs w:val="20"/>
    </w:rPr>
  </w:style>
  <w:style w:type="paragraph" w:customStyle="1" w:styleId="1468">
    <w:name w:val="CM16"/>
    <w:basedOn w:val="202"/>
    <w:next w:val="202"/>
    <w:qFormat/>
    <w:uiPriority w:val="99"/>
    <w:pPr>
      <w:autoSpaceDE/>
      <w:autoSpaceDN/>
      <w:adjustRightInd/>
      <w:spacing w:beforeLines="0" w:afterLines="0" w:line="468" w:lineRule="atLeast"/>
      <w:ind w:left="210"/>
    </w:pPr>
    <w:rPr>
      <w:rFonts w:ascii="Calibri" w:hAnsi="Calibri" w:eastAsia="宋体"/>
      <w:b w:val="0"/>
      <w:smallCaps/>
      <w:snapToGrid/>
      <w:color w:val="auto"/>
      <w:sz w:val="20"/>
      <w:szCs w:val="20"/>
    </w:rPr>
  </w:style>
  <w:style w:type="paragraph" w:customStyle="1" w:styleId="1469">
    <w:name w:val="Char Char1 Char"/>
    <w:basedOn w:val="1"/>
    <w:qFormat/>
    <w:uiPriority w:val="0"/>
    <w:rPr>
      <w:rFonts w:ascii="Times New Roman" w:hAnsi="Times New Roman" w:eastAsia="宋体" w:cs="Times New Roman"/>
      <w:szCs w:val="24"/>
    </w:rPr>
  </w:style>
  <w:style w:type="paragraph" w:customStyle="1" w:styleId="1470">
    <w:name w:val="样式 样式 样式 标题 4款标题1.1.1.1 南陵标题 4标题 4 CharH4PIM 4h4First Subheadin...."/>
    <w:basedOn w:val="1"/>
    <w:qFormat/>
    <w:uiPriority w:val="0"/>
    <w:pPr>
      <w:spacing w:line="360" w:lineRule="auto"/>
      <w:outlineLvl w:val="3"/>
    </w:pPr>
    <w:rPr>
      <w:rFonts w:ascii="黑体" w:hAnsi="Times New Roman" w:eastAsia="黑体" w:cs="Times New Roman"/>
      <w:kern w:val="0"/>
      <w:sz w:val="24"/>
      <w:szCs w:val="24"/>
    </w:rPr>
  </w:style>
  <w:style w:type="paragraph" w:customStyle="1" w:styleId="1471">
    <w:name w:val="char"/>
    <w:basedOn w:val="1"/>
    <w:qFormat/>
    <w:uiPriority w:val="99"/>
    <w:pPr>
      <w:widowControl/>
      <w:spacing w:after="160" w:line="240" w:lineRule="exact"/>
      <w:jc w:val="left"/>
    </w:pPr>
    <w:rPr>
      <w:rFonts w:ascii="Verdana" w:hAnsi="Verdana" w:eastAsia="仿宋_GB2312" w:cs="”“Times New Roman”“"/>
      <w:kern w:val="0"/>
      <w:sz w:val="24"/>
      <w:szCs w:val="20"/>
      <w:lang w:eastAsia="en-US"/>
    </w:rPr>
  </w:style>
  <w:style w:type="paragraph" w:customStyle="1" w:styleId="1472">
    <w:name w:val="kk"/>
    <w:basedOn w:val="32"/>
    <w:qFormat/>
    <w:uiPriority w:val="99"/>
    <w:pPr>
      <w:autoSpaceDE w:val="0"/>
      <w:autoSpaceDN w:val="0"/>
      <w:adjustRightInd w:val="0"/>
      <w:spacing w:after="0" w:line="360" w:lineRule="auto"/>
      <w:textAlignment w:val="baseline"/>
    </w:pPr>
    <w:rPr>
      <w:rFonts w:ascii="Times New Roman" w:hAnsi="Times New Roman" w:eastAsia="宋体" w:cs="Times New Roman"/>
      <w:spacing w:val="10"/>
      <w:kern w:val="0"/>
      <w:sz w:val="24"/>
      <w:szCs w:val="20"/>
    </w:rPr>
  </w:style>
  <w:style w:type="paragraph" w:customStyle="1" w:styleId="1473">
    <w:name w:val="样式 标题 2标题 21标题 121节H2SeHead wsa2标题 1.1 + 黑体 四号 非加粗"/>
    <w:basedOn w:val="5"/>
    <w:qFormat/>
    <w:uiPriority w:val="99"/>
    <w:pPr>
      <w:keepLines/>
      <w:numPr>
        <w:ilvl w:val="0"/>
        <w:numId w:val="0"/>
      </w:numPr>
      <w:tabs>
        <w:tab w:val="left" w:pos="576"/>
      </w:tabs>
      <w:adjustRightInd/>
      <w:snapToGrid/>
      <w:spacing w:before="260" w:beforeAutospacing="0" w:after="260" w:line="416" w:lineRule="auto"/>
      <w:ind w:left="576" w:hanging="576"/>
      <w:jc w:val="both"/>
    </w:pPr>
    <w:rPr>
      <w:rFonts w:hAnsi="黑体" w:cs="Times New Roman"/>
      <w:bCs w:val="0"/>
      <w:kern w:val="0"/>
    </w:rPr>
  </w:style>
  <w:style w:type="paragraph" w:customStyle="1" w:styleId="1474">
    <w:name w:val="样式3wf"/>
    <w:basedOn w:val="1394"/>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z w:val="21"/>
      <w:szCs w:val="21"/>
    </w:rPr>
  </w:style>
  <w:style w:type="paragraph" w:customStyle="1" w:styleId="1475">
    <w:name w:val="样式 表格文字居中 + 五号"/>
    <w:basedOn w:val="676"/>
    <w:qFormat/>
    <w:uiPriority w:val="99"/>
    <w:pPr>
      <w:spacing w:line="240" w:lineRule="exact"/>
    </w:pPr>
    <w:rPr>
      <w:rFonts w:hAnsi="Times New Roman"/>
      <w:snapToGrid w:val="0"/>
      <w:color w:val="000000"/>
      <w:spacing w:val="-6"/>
    </w:rPr>
  </w:style>
  <w:style w:type="paragraph" w:customStyle="1" w:styleId="1476">
    <w:name w:val="Address 1"/>
    <w:basedOn w:val="1"/>
    <w:qFormat/>
    <w:uiPriority w:val="99"/>
    <w:pPr>
      <w:widowControl/>
      <w:spacing w:line="200" w:lineRule="atLeast"/>
      <w:jc w:val="left"/>
    </w:pPr>
    <w:rPr>
      <w:rFonts w:ascii="Times New Roman" w:hAnsi="Times New Roman" w:eastAsia="宋体" w:cs="Times New Roman"/>
      <w:kern w:val="0"/>
      <w:sz w:val="16"/>
      <w:szCs w:val="20"/>
    </w:rPr>
  </w:style>
  <w:style w:type="paragraph" w:customStyle="1" w:styleId="1477">
    <w:name w:val="font15"/>
    <w:basedOn w:val="1"/>
    <w:qFormat/>
    <w:uiPriority w:val="99"/>
    <w:pPr>
      <w:widowControl/>
      <w:spacing w:before="100" w:beforeAutospacing="1" w:after="100" w:afterAutospacing="1"/>
      <w:jc w:val="left"/>
    </w:pPr>
    <w:rPr>
      <w:rFonts w:ascii="Times New Roman" w:hAnsi="Times New Roman" w:eastAsia="Arial Unicode MS" w:cs="Times New Roman"/>
      <w:b/>
      <w:bCs/>
      <w:kern w:val="0"/>
      <w:sz w:val="16"/>
      <w:szCs w:val="16"/>
    </w:rPr>
  </w:style>
  <w:style w:type="paragraph" w:customStyle="1" w:styleId="1478">
    <w:name w:val="xl93"/>
    <w:basedOn w:val="1"/>
    <w:qFormat/>
    <w:uiPriority w:val="99"/>
    <w:pPr>
      <w:widowControl/>
      <w:pBdr>
        <w:top w:val="single" w:color="auto" w:sz="4" w:space="0"/>
        <w:bottom w:val="single" w:color="auto" w:sz="8" w:space="0"/>
        <w:right w:val="single" w:color="auto" w:sz="8"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479">
    <w:name w:val="列表 4C"/>
    <w:basedOn w:val="70"/>
    <w:next w:val="70"/>
    <w:qFormat/>
    <w:uiPriority w:val="99"/>
    <w:pPr>
      <w:tabs>
        <w:tab w:val="left" w:pos="562"/>
      </w:tabs>
      <w:topLinePunct w:val="0"/>
      <w:spacing w:beforeLines="20" w:afterLines="20" w:line="288" w:lineRule="auto"/>
      <w:ind w:left="562" w:leftChars="0" w:hanging="420" w:firstLineChars="0"/>
      <w:jc w:val="both"/>
    </w:pPr>
    <w:rPr>
      <w:rFonts w:ascii="Arial" w:hAnsi="Arial" w:eastAsia="宋体"/>
      <w:color w:val="CCFFFF"/>
      <w:sz w:val="24"/>
    </w:rPr>
  </w:style>
  <w:style w:type="paragraph" w:customStyle="1" w:styleId="1480">
    <w:name w:val="xl47"/>
    <w:basedOn w:val="1"/>
    <w:qFormat/>
    <w:uiPriority w:val="99"/>
    <w:pPr>
      <w:widowControl/>
      <w:pBdr>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Times New Roman"/>
      <w:kern w:val="0"/>
    </w:rPr>
  </w:style>
  <w:style w:type="paragraph" w:customStyle="1" w:styleId="1481">
    <w:name w:val="CM21"/>
    <w:basedOn w:val="202"/>
    <w:next w:val="202"/>
    <w:qFormat/>
    <w:uiPriority w:val="99"/>
    <w:pPr>
      <w:autoSpaceDE/>
      <w:autoSpaceDN/>
      <w:adjustRightInd/>
      <w:spacing w:beforeLines="0" w:afterLines="0" w:line="468" w:lineRule="atLeast"/>
      <w:ind w:left="210"/>
    </w:pPr>
    <w:rPr>
      <w:rFonts w:ascii="Calibri" w:hAnsi="Calibri" w:eastAsia="宋体"/>
      <w:b w:val="0"/>
      <w:smallCaps/>
      <w:snapToGrid/>
      <w:color w:val="auto"/>
      <w:sz w:val="20"/>
      <w:szCs w:val="20"/>
    </w:rPr>
  </w:style>
  <w:style w:type="paragraph" w:customStyle="1" w:styleId="1482">
    <w:name w:val="列表 4V"/>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483">
    <w:name w:val="样式9"/>
    <w:basedOn w:val="6"/>
    <w:link w:val="1484"/>
    <w:qFormat/>
    <w:uiPriority w:val="99"/>
    <w:pPr>
      <w:keepNext w:val="0"/>
      <w:widowControl/>
      <w:numPr>
        <w:ilvl w:val="0"/>
        <w:numId w:val="0"/>
      </w:numPr>
      <w:spacing w:before="0" w:beforeLines="50" w:afterLines="50"/>
      <w:textAlignment w:val="baseline"/>
    </w:pPr>
    <w:rPr>
      <w:rFonts w:ascii="宋体" w:hAnsi="Times New Roman" w:eastAsia="宋体" w:cs="Times New Roman"/>
      <w:b/>
      <w:bCs/>
      <w:kern w:val="0"/>
      <w:szCs w:val="20"/>
    </w:rPr>
  </w:style>
  <w:style w:type="character" w:customStyle="1" w:styleId="1484">
    <w:name w:val="样式9 Char"/>
    <w:link w:val="1483"/>
    <w:qFormat/>
    <w:uiPriority w:val="99"/>
    <w:rPr>
      <w:rFonts w:ascii="宋体" w:hAnsi="Times New Roman" w:eastAsia="宋体" w:cs="Times New Roman"/>
      <w:b/>
      <w:sz w:val="24"/>
    </w:rPr>
  </w:style>
  <w:style w:type="paragraph" w:customStyle="1" w:styleId="1485">
    <w:name w:val="xl54"/>
    <w:basedOn w:val="1"/>
    <w:qFormat/>
    <w:uiPriority w:val="99"/>
    <w:pPr>
      <w:widowControl/>
      <w:pBdr>
        <w:top w:val="single" w:color="auto" w:sz="8" w:space="0"/>
        <w:bottom w:val="single" w:color="auto" w:sz="8" w:space="0"/>
        <w:right w:val="single" w:color="auto" w:sz="4" w:space="0"/>
      </w:pBdr>
      <w:spacing w:before="100" w:beforeAutospacing="1" w:after="100" w:afterAutospacing="1"/>
      <w:jc w:val="center"/>
      <w:textAlignment w:val="top"/>
    </w:pPr>
    <w:rPr>
      <w:rFonts w:ascii="宋体" w:hAnsi="宋体" w:eastAsia="仿宋_GB2312" w:cs="Times New Roman"/>
      <w:kern w:val="0"/>
      <w:position w:val="-6"/>
      <w:sz w:val="24"/>
    </w:rPr>
  </w:style>
  <w:style w:type="paragraph" w:customStyle="1" w:styleId="1486">
    <w:name w:val="表中居中文字"/>
    <w:basedOn w:val="1"/>
    <w:qFormat/>
    <w:uiPriority w:val="99"/>
    <w:rPr>
      <w:rFonts w:ascii="宋体" w:hAnsi="宋体" w:eastAsia="宋体" w:cs="Arial"/>
      <w:bCs/>
      <w:color w:val="FF0000"/>
      <w:sz w:val="24"/>
      <w:szCs w:val="18"/>
    </w:rPr>
  </w:style>
  <w:style w:type="paragraph" w:customStyle="1" w:styleId="1487">
    <w:name w:val="备注"/>
    <w:basedOn w:val="79"/>
    <w:qFormat/>
    <w:uiPriority w:val="99"/>
    <w:pPr>
      <w:keepNext/>
      <w:tabs>
        <w:tab w:val="left" w:pos="628"/>
        <w:tab w:val="left" w:pos="1727"/>
        <w:tab w:val="left" w:pos="1884"/>
        <w:tab w:val="left" w:pos="4900"/>
      </w:tabs>
      <w:adjustRightInd w:val="0"/>
      <w:snapToGrid w:val="0"/>
      <w:spacing w:after="0" w:line="0" w:lineRule="atLeast"/>
      <w:ind w:firstLine="0" w:firstLineChars="0"/>
    </w:pPr>
    <w:rPr>
      <w:rFonts w:cs="Arial"/>
      <w:sz w:val="18"/>
      <w:szCs w:val="18"/>
    </w:rPr>
  </w:style>
  <w:style w:type="paragraph" w:customStyle="1" w:styleId="1488">
    <w:name w:val="列表 5M"/>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89">
    <w:name w:val="Char Char Char2 Char Char Char Char Char Char Char Char Char Char1"/>
    <w:basedOn w:val="1"/>
    <w:qFormat/>
    <w:uiPriority w:val="0"/>
    <w:rPr>
      <w:rFonts w:ascii="Times New Roman" w:hAnsi="Times New Roman" w:eastAsia="宋体" w:cs="Times New Roman"/>
      <w:szCs w:val="24"/>
    </w:rPr>
  </w:style>
  <w:style w:type="paragraph" w:customStyle="1" w:styleId="1490">
    <w:name w:val="表标16.6"/>
    <w:next w:val="171"/>
    <w:qFormat/>
    <w:uiPriority w:val="99"/>
    <w:pPr>
      <w:tabs>
        <w:tab w:val="left" w:pos="1560"/>
        <w:tab w:val="left" w:pos="2160"/>
      </w:tabs>
      <w:adjustRightInd w:val="0"/>
      <w:snapToGrid w:val="0"/>
      <w:spacing w:line="360" w:lineRule="auto"/>
      <w:jc w:val="center"/>
      <w:textAlignment w:val="baseline"/>
    </w:pPr>
    <w:rPr>
      <w:rFonts w:ascii="Times New Roman" w:hAnsi="Times New Roman" w:eastAsia="仿宋_GB2312" w:cs="Times New Roman"/>
      <w:b/>
      <w:color w:val="000000"/>
      <w:kern w:val="2"/>
      <w:sz w:val="24"/>
      <w:szCs w:val="24"/>
      <w:lang w:val="en-US" w:eastAsia="zh-CN" w:bidi="ar-SA"/>
    </w:rPr>
  </w:style>
  <w:style w:type="paragraph" w:customStyle="1" w:styleId="1491">
    <w:name w:val="表3.3"/>
    <w:basedOn w:val="1"/>
    <w:qFormat/>
    <w:uiPriority w:val="99"/>
    <w:pPr>
      <w:tabs>
        <w:tab w:val="left" w:pos="726"/>
        <w:tab w:val="center" w:pos="4060"/>
        <w:tab w:val="right" w:pos="8261"/>
      </w:tabs>
      <w:suppressAutoHyphens/>
      <w:adjustRightInd w:val="0"/>
      <w:spacing w:before="240" w:line="0" w:lineRule="atLeast"/>
      <w:ind w:left="2" w:firstLine="4"/>
    </w:pPr>
    <w:rPr>
      <w:rFonts w:ascii="黑体" w:hAnsi="Times New Roman" w:eastAsia="黑体" w:cs="Times New Roman"/>
      <w:b/>
      <w:spacing w:val="6"/>
      <w:kern w:val="0"/>
      <w:sz w:val="26"/>
      <w:szCs w:val="26"/>
    </w:rPr>
  </w:style>
  <w:style w:type="paragraph" w:customStyle="1" w:styleId="1492">
    <w:name w:val="表格内容（OPCC宋体）"/>
    <w:basedOn w:val="1"/>
    <w:qFormat/>
    <w:uiPriority w:val="99"/>
    <w:pPr>
      <w:adjustRightInd w:val="0"/>
      <w:snapToGrid w:val="0"/>
      <w:jc w:val="center"/>
    </w:pPr>
    <w:rPr>
      <w:rFonts w:ascii="Times New Roman" w:hAnsi="Times New Roman" w:eastAsia="仿宋_GB2312" w:cs="宋体"/>
      <w:snapToGrid w:val="0"/>
      <w:kern w:val="0"/>
    </w:rPr>
  </w:style>
  <w:style w:type="paragraph" w:customStyle="1" w:styleId="1493">
    <w:name w:val="样式 表标题4.9 + 居中"/>
    <w:basedOn w:val="1325"/>
    <w:qFormat/>
    <w:uiPriority w:val="99"/>
    <w:pPr>
      <w:tabs>
        <w:tab w:val="left" w:pos="726"/>
        <w:tab w:val="clear" w:pos="4060"/>
        <w:tab w:val="clear" w:pos="8261"/>
      </w:tabs>
      <w:ind w:left="2" w:firstLine="4"/>
      <w:jc w:val="center"/>
    </w:pPr>
    <w:rPr>
      <w:rFonts w:cs="宋体"/>
      <w:bCs/>
      <w:szCs w:val="20"/>
    </w:rPr>
  </w:style>
  <w:style w:type="paragraph" w:customStyle="1" w:styleId="1494">
    <w:name w:val="威顿报告正文"/>
    <w:basedOn w:val="1"/>
    <w:qFormat/>
    <w:uiPriority w:val="99"/>
    <w:pPr>
      <w:adjustRightInd w:val="0"/>
      <w:snapToGrid w:val="0"/>
      <w:spacing w:beforeLines="25" w:line="440" w:lineRule="exact"/>
      <w:ind w:firstLine="200" w:firstLineChars="200"/>
    </w:pPr>
    <w:rPr>
      <w:rFonts w:ascii="Times New Roman" w:hAnsi="Times New Roman" w:eastAsia="宋体" w:cs="Times New Roman"/>
      <w:color w:val="000000"/>
      <w:sz w:val="24"/>
      <w:szCs w:val="24"/>
    </w:rPr>
  </w:style>
  <w:style w:type="paragraph" w:customStyle="1" w:styleId="1495">
    <w:name w:val="字元 字元 Char Char 字元 字元1 Char Char Char"/>
    <w:basedOn w:val="1"/>
    <w:qFormat/>
    <w:uiPriority w:val="0"/>
    <w:rPr>
      <w:rFonts w:ascii="Times New Roman" w:hAnsi="Times New Roman" w:eastAsia="宋体" w:cs="Times New Roman"/>
      <w:sz w:val="24"/>
      <w:szCs w:val="24"/>
    </w:rPr>
  </w:style>
  <w:style w:type="paragraph" w:customStyle="1" w:styleId="1496">
    <w:name w:val="样式 样式 样式 方正宋三简体 14 磅 行距: 1.5 倍行距1 + 首行缩进:  2 字符 + 首行缩进:  2 字符"/>
    <w:basedOn w:val="1"/>
    <w:qFormat/>
    <w:uiPriority w:val="99"/>
    <w:pPr>
      <w:ind w:firstLine="574" w:firstLineChars="200"/>
    </w:pPr>
    <w:rPr>
      <w:rFonts w:ascii="宋体" w:hAnsi="方正宋三简体" w:eastAsia="宋体" w:cs="Times New Roman"/>
      <w:sz w:val="27"/>
      <w:szCs w:val="20"/>
    </w:rPr>
  </w:style>
  <w:style w:type="paragraph" w:customStyle="1" w:styleId="1497">
    <w:name w:val="001"/>
    <w:basedOn w:val="1"/>
    <w:qFormat/>
    <w:uiPriority w:val="0"/>
    <w:pPr>
      <w:ind w:firstLine="200" w:firstLineChars="200"/>
    </w:pPr>
    <w:rPr>
      <w:rFonts w:ascii="Times New Roman" w:hAnsi="Times New Roman" w:eastAsia="黑体" w:cs="Times New Roman"/>
      <w:sz w:val="28"/>
      <w:szCs w:val="20"/>
    </w:rPr>
  </w:style>
  <w:style w:type="paragraph" w:customStyle="1" w:styleId="1498">
    <w:name w:val="样式 标题 3 + 五号 非加粗 段前: 0 磅 段后: 0 磅 行距: 最小值 0 磅"/>
    <w:basedOn w:val="6"/>
    <w:qFormat/>
    <w:uiPriority w:val="99"/>
    <w:pPr>
      <w:keepNext w:val="0"/>
      <w:keepLines/>
      <w:widowControl/>
      <w:numPr>
        <w:ilvl w:val="0"/>
        <w:numId w:val="0"/>
      </w:numPr>
      <w:tabs>
        <w:tab w:val="left" w:pos="1260"/>
      </w:tabs>
      <w:adjustRightInd/>
      <w:snapToGrid/>
      <w:spacing w:before="0" w:beforeLines="50" w:afterLines="50" w:line="0" w:lineRule="atLeast"/>
      <w:jc w:val="center"/>
    </w:pPr>
    <w:rPr>
      <w:rFonts w:ascii="Times New Roman" w:hAnsi="Times New Roman" w:cs="Times New Roman"/>
      <w:b/>
      <w:bCs/>
      <w:snapToGrid w:val="0"/>
      <w:kern w:val="0"/>
      <w:sz w:val="21"/>
      <w:szCs w:val="20"/>
    </w:rPr>
  </w:style>
  <w:style w:type="paragraph" w:customStyle="1" w:styleId="1499">
    <w:name w:val="表格王"/>
    <w:basedOn w:val="1"/>
    <w:qFormat/>
    <w:uiPriority w:val="99"/>
    <w:pPr>
      <w:spacing w:line="360" w:lineRule="exact"/>
      <w:jc w:val="center"/>
    </w:pPr>
    <w:rPr>
      <w:rFonts w:ascii="Times New Roman" w:hAnsi="Times New Roman" w:eastAsia="宋体" w:cs="Times New Roman"/>
      <w:szCs w:val="24"/>
    </w:rPr>
  </w:style>
  <w:style w:type="paragraph" w:customStyle="1" w:styleId="1500">
    <w:name w:val="Qzy样式1"/>
    <w:basedOn w:val="3"/>
    <w:qFormat/>
    <w:uiPriority w:val="99"/>
    <w:pPr>
      <w:keepLines/>
      <w:widowControl/>
      <w:adjustRightInd/>
      <w:snapToGrid/>
      <w:spacing w:before="0" w:beforeAutospacing="0" w:line="240" w:lineRule="atLeast"/>
      <w:ind w:left="420" w:hanging="420"/>
      <w:jc w:val="both"/>
    </w:pPr>
    <w:rPr>
      <w:rFonts w:ascii="Times New Roman" w:eastAsia="宋体" w:cs="Times New Roman"/>
      <w:sz w:val="36"/>
      <w:szCs w:val="20"/>
    </w:rPr>
  </w:style>
  <w:style w:type="paragraph" w:customStyle="1" w:styleId="1501">
    <w:name w:val="样式"/>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502">
    <w:name w:val="标题 1 + 段前: 0.5 行 段后: 0.5 行1"/>
    <w:basedOn w:val="1"/>
    <w:qFormat/>
    <w:uiPriority w:val="99"/>
    <w:pPr>
      <w:tabs>
        <w:tab w:val="left" w:pos="3480"/>
      </w:tabs>
      <w:spacing w:before="120" w:after="120"/>
      <w:ind w:left="2820" w:hanging="420"/>
      <w:jc w:val="left"/>
      <w:outlineLvl w:val="0"/>
    </w:pPr>
    <w:rPr>
      <w:rFonts w:ascii="Times New Roman" w:hAnsi="Times New Roman" w:eastAsia="黑体" w:cs="宋体"/>
      <w:sz w:val="28"/>
      <w:szCs w:val="20"/>
    </w:rPr>
  </w:style>
  <w:style w:type="paragraph" w:customStyle="1" w:styleId="1503">
    <w:name w:val="CM20"/>
    <w:basedOn w:val="202"/>
    <w:next w:val="202"/>
    <w:qFormat/>
    <w:uiPriority w:val="99"/>
    <w:pPr>
      <w:autoSpaceDE/>
      <w:autoSpaceDN/>
      <w:adjustRightInd/>
      <w:spacing w:beforeLines="0" w:afterLines="0" w:line="240" w:lineRule="auto"/>
      <w:ind w:left="210"/>
    </w:pPr>
    <w:rPr>
      <w:rFonts w:ascii="Calibri" w:hAnsi="Calibri" w:eastAsia="宋体"/>
      <w:b w:val="0"/>
      <w:smallCaps/>
      <w:snapToGrid/>
      <w:color w:val="auto"/>
      <w:sz w:val="20"/>
      <w:szCs w:val="20"/>
    </w:rPr>
  </w:style>
  <w:style w:type="paragraph" w:customStyle="1" w:styleId="1504">
    <w:name w:val="Char Char Char Char12"/>
    <w:basedOn w:val="1"/>
    <w:qFormat/>
    <w:uiPriority w:val="99"/>
    <w:pPr>
      <w:snapToGrid w:val="0"/>
      <w:spacing w:line="440" w:lineRule="atLeast"/>
    </w:pPr>
    <w:rPr>
      <w:rFonts w:ascii="宋体" w:hAnsi="Times New Roman" w:eastAsia="宋体" w:cs="Times New Roman"/>
      <w:sz w:val="24"/>
      <w:szCs w:val="24"/>
    </w:rPr>
  </w:style>
  <w:style w:type="paragraph" w:customStyle="1" w:styleId="1505">
    <w:name w:val="CM64"/>
    <w:basedOn w:val="202"/>
    <w:next w:val="202"/>
    <w:qFormat/>
    <w:uiPriority w:val="99"/>
    <w:pPr>
      <w:autoSpaceDE/>
      <w:autoSpaceDN/>
      <w:adjustRightInd/>
      <w:spacing w:beforeLines="0" w:after="583" w:afterLines="0" w:line="240" w:lineRule="auto"/>
      <w:ind w:left="210"/>
    </w:pPr>
    <w:rPr>
      <w:rFonts w:ascii="Calibri" w:hAnsi="Calibri" w:eastAsia="宋体"/>
      <w:b w:val="0"/>
      <w:smallCaps/>
      <w:snapToGrid/>
      <w:color w:val="auto"/>
      <w:sz w:val="20"/>
      <w:szCs w:val="20"/>
    </w:rPr>
  </w:style>
  <w:style w:type="paragraph" w:customStyle="1" w:styleId="1506">
    <w:name w:val="Char Char Char1 Char Char Char Char Char Char Char Char Char Char1"/>
    <w:basedOn w:val="1"/>
    <w:qFormat/>
    <w:uiPriority w:val="0"/>
    <w:rPr>
      <w:rFonts w:ascii="Times New Roman" w:hAnsi="Times New Roman" w:eastAsia="宋体" w:cs="Times New Roman"/>
      <w:szCs w:val="24"/>
    </w:rPr>
  </w:style>
  <w:style w:type="paragraph" w:customStyle="1" w:styleId="1507">
    <w:name w:val="样式 样式 标题 2 + 左侧:  2 字符1 + 左侧:  2 字符"/>
    <w:basedOn w:val="1"/>
    <w:qFormat/>
    <w:uiPriority w:val="99"/>
    <w:pPr>
      <w:keepNext/>
      <w:keepLines/>
      <w:tabs>
        <w:tab w:val="left" w:pos="840"/>
      </w:tabs>
      <w:spacing w:beforeLines="50" w:afterLines="50"/>
      <w:ind w:left="210" w:right="210" w:rightChars="100"/>
      <w:outlineLvl w:val="1"/>
    </w:pPr>
    <w:rPr>
      <w:rFonts w:ascii="黑体" w:hAnsi="Arial" w:eastAsia="黑体" w:cs="Times New Roman"/>
      <w:sz w:val="52"/>
      <w:szCs w:val="20"/>
    </w:rPr>
  </w:style>
  <w:style w:type="paragraph" w:customStyle="1" w:styleId="1508">
    <w:name w:val="自定义正文 Char Char Char"/>
    <w:qFormat/>
    <w:uiPriority w:val="99"/>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509">
    <w:name w:val="表格文字小四"/>
    <w:basedOn w:val="1"/>
    <w:next w:val="32"/>
    <w:qFormat/>
    <w:uiPriority w:val="99"/>
    <w:pPr>
      <w:adjustRightInd w:val="0"/>
      <w:snapToGrid w:val="0"/>
      <w:ind w:left="-593"/>
      <w:jc w:val="center"/>
    </w:pPr>
    <w:rPr>
      <w:rFonts w:ascii="宋体" w:hAnsi="宋体" w:eastAsia="宋体" w:cs="Times New Roman"/>
      <w:sz w:val="24"/>
      <w:szCs w:val="24"/>
    </w:rPr>
  </w:style>
  <w:style w:type="paragraph" w:customStyle="1" w:styleId="1510">
    <w:name w:val="WW-Body Text Indent 3"/>
    <w:basedOn w:val="1"/>
    <w:qFormat/>
    <w:uiPriority w:val="99"/>
    <w:pPr>
      <w:suppressAutoHyphens/>
      <w:spacing w:after="120" w:line="360" w:lineRule="auto"/>
      <w:ind w:firstLine="420"/>
    </w:pPr>
    <w:rPr>
      <w:rFonts w:ascii="Arial" w:hAnsi="Arial" w:eastAsia="宋体" w:cs="Times New Roman"/>
      <w:kern w:val="20481"/>
      <w:sz w:val="24"/>
      <w:szCs w:val="20"/>
    </w:rPr>
  </w:style>
  <w:style w:type="paragraph" w:customStyle="1" w:styleId="1511">
    <w:name w:val="Char Char Char Char Char Char1 Char Char Char Char2"/>
    <w:basedOn w:val="1"/>
    <w:qFormat/>
    <w:uiPriority w:val="0"/>
    <w:rPr>
      <w:rFonts w:ascii="Times New Roman" w:hAnsi="Times New Roman" w:eastAsia="宋体" w:cs="Times New Roman"/>
      <w:szCs w:val="24"/>
    </w:rPr>
  </w:style>
  <w:style w:type="paragraph" w:customStyle="1" w:styleId="1512">
    <w:name w:val="xl84"/>
    <w:basedOn w:val="1"/>
    <w:qFormat/>
    <w:uiPriority w:val="99"/>
    <w:pPr>
      <w:widowControl/>
      <w:pBdr>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513">
    <w:name w:val="表标题5.7"/>
    <w:basedOn w:val="1"/>
    <w:qFormat/>
    <w:uiPriority w:val="99"/>
    <w:pPr>
      <w:tabs>
        <w:tab w:val="left" w:pos="726"/>
      </w:tabs>
      <w:spacing w:beforeLines="100" w:line="0" w:lineRule="atLeast"/>
      <w:ind w:left="2" w:firstLine="4"/>
      <w:jc w:val="center"/>
    </w:pPr>
    <w:rPr>
      <w:rFonts w:ascii="Times New Roman" w:hAnsi="Times New Roman" w:eastAsia="黑体" w:cs="Times New Roman"/>
      <w:b/>
      <w:sz w:val="24"/>
      <w:szCs w:val="24"/>
    </w:rPr>
  </w:style>
  <w:style w:type="paragraph" w:customStyle="1" w:styleId="1514">
    <w:name w:val="列表 3J"/>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15">
    <w:name w:val="列表 5C"/>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16">
    <w:name w:val="样式 标题 3 + Arial"/>
    <w:basedOn w:val="1"/>
    <w:qFormat/>
    <w:uiPriority w:val="99"/>
    <w:rPr>
      <w:rFonts w:ascii="Times New Roman" w:hAnsi="Times New Roman" w:eastAsia="宋体" w:cs="Times New Roman"/>
      <w:szCs w:val="20"/>
    </w:rPr>
  </w:style>
  <w:style w:type="paragraph" w:customStyle="1" w:styleId="1517">
    <w:name w:val="样式 标题 3样式　标题 3　自动设置标题 3 Char章 + Times New 表题3"/>
    <w:basedOn w:val="6"/>
    <w:qFormat/>
    <w:uiPriority w:val="99"/>
    <w:pPr>
      <w:keepLines/>
      <w:numPr>
        <w:ilvl w:val="0"/>
        <w:numId w:val="0"/>
      </w:numPr>
      <w:tabs>
        <w:tab w:val="left" w:pos="3800"/>
        <w:tab w:val="left" w:pos="5200"/>
      </w:tabs>
      <w:autoSpaceDE w:val="0"/>
      <w:autoSpaceDN w:val="0"/>
      <w:spacing w:before="0" w:beforeLines="50" w:afterLines="50" w:line="240" w:lineRule="auto"/>
      <w:ind w:left="-1523" w:firstLine="1523"/>
    </w:pPr>
    <w:rPr>
      <w:rFonts w:ascii="Times New Roman" w:hAnsi="Times New Roman" w:eastAsia="宋体" w:cs="宋体"/>
      <w:b/>
      <w:kern w:val="0"/>
      <w:sz w:val="28"/>
      <w:szCs w:val="28"/>
    </w:rPr>
  </w:style>
  <w:style w:type="paragraph" w:customStyle="1" w:styleId="1518">
    <w:name w:val="环标3"/>
    <w:basedOn w:val="1248"/>
    <w:next w:val="1248"/>
    <w:qFormat/>
    <w:uiPriority w:val="0"/>
    <w:pPr>
      <w:keepNext/>
      <w:keepLines/>
      <w:spacing w:line="360" w:lineRule="auto"/>
      <w:ind w:right="-11" w:firstLine="0" w:firstLineChars="0"/>
      <w:jc w:val="left"/>
      <w:outlineLvl w:val="2"/>
    </w:pPr>
    <w:rPr>
      <w:rFonts w:ascii="黑体" w:eastAsia="黑体"/>
      <w:color w:val="auto"/>
      <w:spacing w:val="0"/>
      <w:kern w:val="2"/>
    </w:rPr>
  </w:style>
  <w:style w:type="paragraph" w:customStyle="1" w:styleId="1519">
    <w:name w:val="默认段落字体 Para Char"/>
    <w:basedOn w:val="1"/>
    <w:qFormat/>
    <w:uiPriority w:val="99"/>
    <w:pPr>
      <w:spacing w:line="360" w:lineRule="auto"/>
      <w:ind w:firstLine="200" w:firstLineChars="200"/>
    </w:pPr>
    <w:rPr>
      <w:rFonts w:ascii="宋体" w:hAnsi="宋体" w:eastAsia="宋体" w:cs="宋体"/>
      <w:sz w:val="24"/>
      <w:szCs w:val="24"/>
    </w:rPr>
  </w:style>
  <w:style w:type="paragraph" w:customStyle="1" w:styleId="1520">
    <w:name w:val="样式 正文缩进 + 小四 首行缩进:  2 字符1"/>
    <w:basedOn w:val="21"/>
    <w:qFormat/>
    <w:uiPriority w:val="99"/>
    <w:pPr>
      <w:keepNext/>
      <w:widowControl w:val="0"/>
      <w:tabs>
        <w:tab w:val="left" w:pos="1727"/>
        <w:tab w:val="left" w:pos="1884"/>
      </w:tabs>
      <w:spacing w:line="360" w:lineRule="auto"/>
      <w:ind w:firstLine="480" w:firstLineChars="200"/>
      <w:outlineLvl w:val="0"/>
    </w:pPr>
    <w:rPr>
      <w:rFonts w:ascii="宋体" w:hAnsi="宋体" w:cs="宋体"/>
      <w:snapToGrid w:val="0"/>
      <w:color w:val="000000"/>
    </w:rPr>
  </w:style>
  <w:style w:type="paragraph" w:customStyle="1" w:styleId="1521">
    <w:name w:val="表内小5"/>
    <w:basedOn w:val="1"/>
    <w:qFormat/>
    <w:uiPriority w:val="99"/>
    <w:pPr>
      <w:adjustRightInd w:val="0"/>
      <w:snapToGrid w:val="0"/>
      <w:spacing w:line="300" w:lineRule="auto"/>
      <w:ind w:left="176"/>
    </w:pPr>
    <w:rPr>
      <w:rFonts w:ascii="宋体" w:hAnsi="宋体" w:eastAsia="宋体" w:cs="Times New Roman"/>
      <w:sz w:val="18"/>
      <w:szCs w:val="24"/>
    </w:rPr>
  </w:style>
  <w:style w:type="paragraph" w:customStyle="1" w:styleId="1522">
    <w:name w:val="正文文本缩进 311"/>
    <w:basedOn w:val="1"/>
    <w:qFormat/>
    <w:uiPriority w:val="99"/>
    <w:pPr>
      <w:adjustRightInd w:val="0"/>
      <w:spacing w:line="360" w:lineRule="atLeast"/>
      <w:ind w:firstLine="480"/>
      <w:textAlignment w:val="baseline"/>
    </w:pPr>
    <w:rPr>
      <w:rFonts w:ascii="宋体" w:hAnsi="Times New Roman" w:eastAsia="宋体" w:cs="Times New Roman"/>
      <w:kern w:val="0"/>
      <w:sz w:val="24"/>
      <w:szCs w:val="20"/>
    </w:rPr>
  </w:style>
  <w:style w:type="paragraph" w:customStyle="1" w:styleId="1523">
    <w:name w:val="列表 3F"/>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24">
    <w:name w:val="列表 5Q"/>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25">
    <w:name w:val="样式 正文首行缩进 + 四号 段后: 0 磅 行距: 1.5 倍行距"/>
    <w:basedOn w:val="79"/>
    <w:qFormat/>
    <w:uiPriority w:val="99"/>
    <w:pPr>
      <w:widowControl w:val="0"/>
      <w:spacing w:after="0" w:line="360" w:lineRule="auto"/>
      <w:ind w:firstLine="560" w:firstLineChars="200"/>
    </w:pPr>
    <w:rPr>
      <w:rFonts w:hAnsi="Times New Roman"/>
      <w:sz w:val="28"/>
    </w:rPr>
  </w:style>
  <w:style w:type="paragraph" w:customStyle="1" w:styleId="1526">
    <w:name w:val="TOC 标题1"/>
    <w:basedOn w:val="3"/>
    <w:next w:val="1"/>
    <w:qFormat/>
    <w:uiPriority w:val="39"/>
    <w:pPr>
      <w:keepNext/>
      <w:keepLines/>
      <w:widowControl/>
      <w:adjustRightInd/>
      <w:snapToGrid/>
      <w:spacing w:before="480" w:beforeAutospacing="0" w:line="276" w:lineRule="auto"/>
      <w:ind w:left="420" w:hanging="420"/>
      <w:outlineLvl w:val="9"/>
    </w:pPr>
    <w:rPr>
      <w:rFonts w:ascii="Cambria" w:hAnsi="Cambria" w:eastAsia="宋体" w:cs="Times New Roman"/>
      <w:bCs/>
      <w:color w:val="365F91"/>
      <w:kern w:val="0"/>
      <w:sz w:val="32"/>
      <w:szCs w:val="32"/>
    </w:rPr>
  </w:style>
  <w:style w:type="paragraph" w:customStyle="1" w:styleId="1527">
    <w:name w:val="TY"/>
    <w:basedOn w:val="1"/>
    <w:qFormat/>
    <w:uiPriority w:val="99"/>
    <w:pPr>
      <w:adjustRightInd w:val="0"/>
      <w:snapToGrid w:val="0"/>
      <w:spacing w:before="40" w:after="40"/>
    </w:pPr>
    <w:rPr>
      <w:rFonts w:ascii="宋体" w:hAnsi="宋体" w:eastAsia="宋体" w:cs="Times New Roman"/>
      <w:sz w:val="24"/>
      <w:szCs w:val="20"/>
    </w:rPr>
  </w:style>
  <w:style w:type="paragraph" w:customStyle="1" w:styleId="1528">
    <w:name w:val="样式 正文首行缩进 + 首行缩进:  0 字符"/>
    <w:basedOn w:val="79"/>
    <w:qFormat/>
    <w:uiPriority w:val="99"/>
    <w:pPr>
      <w:widowControl w:val="0"/>
      <w:adjustRightInd w:val="0"/>
      <w:snapToGrid w:val="0"/>
      <w:spacing w:after="0" w:line="360" w:lineRule="auto"/>
      <w:ind w:firstLine="567" w:firstLineChars="0"/>
    </w:pPr>
    <w:rPr>
      <w:rFonts w:hAnsi="Times New Roman"/>
      <w:szCs w:val="28"/>
    </w:rPr>
  </w:style>
  <w:style w:type="paragraph" w:customStyle="1" w:styleId="1529">
    <w:name w:val="列表 4B"/>
    <w:basedOn w:val="70"/>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530">
    <w:name w:val="附图编号"/>
    <w:basedOn w:val="1"/>
    <w:qFormat/>
    <w:uiPriority w:val="99"/>
    <w:pPr>
      <w:tabs>
        <w:tab w:val="left" w:pos="1760"/>
      </w:tabs>
      <w:spacing w:line="288" w:lineRule="auto"/>
      <w:ind w:left="1021" w:hanging="341"/>
    </w:pPr>
    <w:rPr>
      <w:rFonts w:ascii="Arial" w:hAnsi="Arial" w:eastAsia="宋体" w:cs="Times New Roman"/>
      <w:color w:val="CC99FF"/>
      <w:sz w:val="24"/>
      <w:szCs w:val="20"/>
    </w:rPr>
  </w:style>
  <w:style w:type="paragraph" w:customStyle="1" w:styleId="1531">
    <w:name w:val="列表 4I"/>
    <w:basedOn w:val="70"/>
    <w:qFormat/>
    <w:uiPriority w:val="99"/>
    <w:pPr>
      <w:tabs>
        <w:tab w:val="left" w:pos="785"/>
      </w:tabs>
      <w:topLinePunct w:val="0"/>
      <w:spacing w:beforeLines="50" w:afterLines="30" w:line="288" w:lineRule="auto"/>
      <w:ind w:left="0" w:leftChars="0" w:firstLine="425" w:firstLineChars="0"/>
      <w:jc w:val="both"/>
    </w:pPr>
    <w:rPr>
      <w:rFonts w:ascii="Arial" w:hAnsi="Arial" w:eastAsia="宋体"/>
      <w:color w:val="CCFFFF"/>
      <w:sz w:val="24"/>
    </w:rPr>
  </w:style>
  <w:style w:type="paragraph" w:customStyle="1" w:styleId="1532">
    <w:name w:val="font8"/>
    <w:basedOn w:val="1"/>
    <w:qFormat/>
    <w:uiPriority w:val="99"/>
    <w:pPr>
      <w:widowControl/>
      <w:spacing w:before="100" w:beforeAutospacing="1" w:after="100" w:afterAutospacing="1"/>
      <w:jc w:val="left"/>
    </w:pPr>
    <w:rPr>
      <w:rFonts w:ascii="Times New Roman" w:hAnsi="Times New Roman" w:eastAsia="Arial Unicode MS" w:cs="Times New Roman"/>
      <w:b/>
      <w:bCs/>
      <w:kern w:val="0"/>
      <w:sz w:val="44"/>
      <w:szCs w:val="44"/>
    </w:rPr>
  </w:style>
  <w:style w:type="paragraph" w:customStyle="1" w:styleId="1533">
    <w:name w:val="222"/>
    <w:basedOn w:val="1"/>
    <w:qFormat/>
    <w:uiPriority w:val="99"/>
    <w:pPr>
      <w:widowControl/>
      <w:spacing w:line="360" w:lineRule="auto"/>
      <w:jc w:val="left"/>
    </w:pPr>
    <w:rPr>
      <w:rFonts w:ascii="Times New Roman" w:hAnsi="Times New Roman" w:eastAsia="宋体" w:cs="Times New Roman"/>
      <w:b/>
      <w:kern w:val="0"/>
      <w:sz w:val="28"/>
      <w:szCs w:val="20"/>
      <w:lang w:eastAsia="zh-TW"/>
    </w:rPr>
  </w:style>
  <w:style w:type="paragraph" w:customStyle="1" w:styleId="1534">
    <w:name w:val="二级无标题条"/>
    <w:basedOn w:val="1"/>
    <w:qFormat/>
    <w:uiPriority w:val="99"/>
    <w:rPr>
      <w:rFonts w:ascii="Times New Roman" w:hAnsi="Times New Roman" w:eastAsia="宋体" w:cs="Times New Roman"/>
      <w:szCs w:val="24"/>
    </w:rPr>
  </w:style>
  <w:style w:type="paragraph" w:customStyle="1" w:styleId="1535">
    <w:name w:val="Char Char1 Char1"/>
    <w:basedOn w:val="1"/>
    <w:qFormat/>
    <w:uiPriority w:val="0"/>
    <w:rPr>
      <w:rFonts w:ascii="Times New Roman" w:hAnsi="Times New Roman" w:eastAsia="宋体" w:cs="Times New Roman"/>
      <w:szCs w:val="24"/>
    </w:rPr>
  </w:style>
  <w:style w:type="paragraph" w:customStyle="1" w:styleId="1536">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szCs w:val="20"/>
    </w:rPr>
  </w:style>
  <w:style w:type="paragraph" w:customStyle="1" w:styleId="1537">
    <w:name w:val="列表 4L"/>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38">
    <w:name w:val="xl50"/>
    <w:basedOn w:val="1"/>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539">
    <w:name w:val="Char Char Char Char Char Char Char Char Char1"/>
    <w:basedOn w:val="1"/>
    <w:qFormat/>
    <w:uiPriority w:val="0"/>
    <w:rPr>
      <w:rFonts w:ascii="Times New Roman" w:hAnsi="Times New Roman" w:eastAsia="宋体" w:cs="Times New Roman"/>
      <w:szCs w:val="24"/>
    </w:rPr>
  </w:style>
  <w:style w:type="paragraph" w:customStyle="1" w:styleId="1540">
    <w:name w:val="正文文字缩进2"/>
    <w:basedOn w:val="33"/>
    <w:qFormat/>
    <w:uiPriority w:val="0"/>
    <w:pPr>
      <w:spacing w:after="0" w:line="360" w:lineRule="auto"/>
      <w:ind w:left="0" w:leftChars="0" w:firstLine="600"/>
    </w:pPr>
    <w:rPr>
      <w:rFonts w:ascii="黑体" w:hAnsi="宋体" w:eastAsia="黑体" w:cs="Times New Roman"/>
      <w:b/>
      <w:bCs/>
      <w:kern w:val="0"/>
      <w:sz w:val="28"/>
      <w:szCs w:val="20"/>
    </w:rPr>
  </w:style>
  <w:style w:type="paragraph" w:customStyle="1" w:styleId="1541">
    <w:name w:val="Heading Base"/>
    <w:basedOn w:val="32"/>
    <w:next w:val="32"/>
    <w:qFormat/>
    <w:uiPriority w:val="99"/>
    <w:pPr>
      <w:keepNext/>
      <w:keepLines/>
      <w:widowControl/>
      <w:spacing w:after="0" w:line="220" w:lineRule="atLeast"/>
      <w:ind w:right="-360"/>
      <w:jc w:val="left"/>
    </w:pPr>
    <w:rPr>
      <w:rFonts w:ascii="Arial" w:hAnsi="Arial" w:eastAsia="宋体" w:cs="Times New Roman"/>
      <w:spacing w:val="-4"/>
      <w:kern w:val="0"/>
      <w:sz w:val="18"/>
      <w:szCs w:val="20"/>
    </w:rPr>
  </w:style>
  <w:style w:type="paragraph" w:customStyle="1" w:styleId="1542">
    <w:name w:val="Char Char Char Char3"/>
    <w:basedOn w:val="1"/>
    <w:qFormat/>
    <w:uiPriority w:val="0"/>
    <w:rPr>
      <w:rFonts w:ascii="Times New Roman" w:hAnsi="Times New Roman" w:eastAsia="宋体" w:cs="Times New Roman"/>
      <w:szCs w:val="24"/>
    </w:rPr>
  </w:style>
  <w:style w:type="paragraph" w:customStyle="1" w:styleId="1543">
    <w:name w:val="正文（1）"/>
    <w:basedOn w:val="21"/>
    <w:next w:val="79"/>
    <w:qFormat/>
    <w:uiPriority w:val="99"/>
    <w:pPr>
      <w:adjustRightInd w:val="0"/>
      <w:snapToGrid w:val="0"/>
      <w:spacing w:line="480" w:lineRule="exact"/>
      <w:ind w:firstLine="480" w:firstLineChars="200"/>
      <w:jc w:val="both"/>
    </w:pPr>
    <w:rPr>
      <w:rFonts w:ascii="Times New Roman" w:hAnsi="Times New Roman"/>
      <w:sz w:val="24"/>
      <w:szCs w:val="24"/>
    </w:rPr>
  </w:style>
  <w:style w:type="paragraph" w:customStyle="1" w:styleId="1544">
    <w:name w:val="Char Char Char Char Char Char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1545">
    <w:name w:val="图"/>
    <w:basedOn w:val="32"/>
    <w:qFormat/>
    <w:uiPriority w:val="99"/>
    <w:pPr>
      <w:adjustRightInd w:val="0"/>
      <w:spacing w:after="0" w:line="288" w:lineRule="auto"/>
      <w:jc w:val="center"/>
      <w:textAlignment w:val="baseline"/>
    </w:pPr>
    <w:rPr>
      <w:rFonts w:ascii="黑体" w:hAnsi="Times New Roman" w:eastAsia="黑体" w:cs="Times New Roman"/>
      <w:b/>
      <w:kern w:val="0"/>
      <w:sz w:val="20"/>
      <w:szCs w:val="20"/>
    </w:rPr>
  </w:style>
  <w:style w:type="paragraph" w:customStyle="1" w:styleId="1546">
    <w:name w:val="副标题3"/>
    <w:basedOn w:val="1"/>
    <w:qFormat/>
    <w:uiPriority w:val="0"/>
    <w:pPr>
      <w:keepLines/>
      <w:tabs>
        <w:tab w:val="left" w:pos="672"/>
        <w:tab w:val="left" w:pos="720"/>
      </w:tabs>
      <w:adjustRightInd w:val="0"/>
      <w:snapToGrid w:val="0"/>
      <w:spacing w:line="400" w:lineRule="atLeast"/>
      <w:ind w:left="672" w:hanging="348"/>
      <w:outlineLvl w:val="3"/>
    </w:pPr>
    <w:rPr>
      <w:rFonts w:ascii="宋体" w:hAnsi="Times New Roman" w:eastAsia="宋体" w:cs="Times New Roman"/>
      <w:snapToGrid w:val="0"/>
      <w:kern w:val="0"/>
      <w:sz w:val="24"/>
      <w:szCs w:val="24"/>
    </w:rPr>
  </w:style>
  <w:style w:type="paragraph" w:customStyle="1" w:styleId="1547">
    <w:name w:val="列表 5J"/>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48">
    <w:name w:val="2-标准-表头"/>
    <w:basedOn w:val="1"/>
    <w:qFormat/>
    <w:uiPriority w:val="0"/>
    <w:pPr>
      <w:widowControl/>
      <w:topLinePunct/>
      <w:adjustRightInd w:val="0"/>
      <w:snapToGrid w:val="0"/>
      <w:spacing w:beforeLines="50"/>
      <w:jc w:val="center"/>
    </w:pPr>
    <w:rPr>
      <w:rFonts w:ascii="Times New Roman" w:hAnsi="Times New Roman" w:eastAsia="黑体" w:cs="Times New Roman"/>
      <w:b/>
      <w:kern w:val="0"/>
      <w:sz w:val="24"/>
      <w:szCs w:val="20"/>
      <w:lang w:val="zh-CN"/>
    </w:rPr>
  </w:style>
  <w:style w:type="paragraph" w:customStyle="1" w:styleId="1549">
    <w:name w:val="列表 5D"/>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50">
    <w:name w:val="Char Char Char Char Char Char Char Char Char Char Char Char1 Char1"/>
    <w:basedOn w:val="1"/>
    <w:next w:val="1"/>
    <w:qFormat/>
    <w:uiPriority w:val="99"/>
    <w:pPr>
      <w:spacing w:line="336" w:lineRule="auto"/>
      <w:ind w:firstLine="200" w:firstLineChars="200"/>
    </w:pPr>
    <w:rPr>
      <w:rFonts w:ascii="宋体" w:hAnsi="宋体" w:eastAsia="汉鼎简书宋" w:cs="宋体"/>
      <w:sz w:val="24"/>
      <w:szCs w:val="24"/>
    </w:rPr>
  </w:style>
  <w:style w:type="paragraph" w:customStyle="1" w:styleId="1551">
    <w:name w:val="表内文"/>
    <w:qFormat/>
    <w:uiPriority w:val="0"/>
    <w:pPr>
      <w:spacing w:line="360" w:lineRule="exact"/>
      <w:jc w:val="center"/>
    </w:pPr>
    <w:rPr>
      <w:rFonts w:ascii="Times New Roman" w:hAnsi="Times New Roman" w:eastAsia="仿宋_GB2312" w:cs="Times New Roman"/>
      <w:bCs/>
      <w:kern w:val="20"/>
      <w:sz w:val="21"/>
      <w:lang w:val="en-US" w:eastAsia="zh-CN" w:bidi="ar-SA"/>
    </w:rPr>
  </w:style>
  <w:style w:type="paragraph" w:customStyle="1" w:styleId="1552">
    <w:name w:val="样式 正文文本缩进 + 首行缩进:  2.25 字符"/>
    <w:basedOn w:val="33"/>
    <w:qFormat/>
    <w:uiPriority w:val="99"/>
    <w:rPr>
      <w:rFonts w:ascii="Times New Roman" w:hAnsi="Times New Roman" w:eastAsia="宋体" w:cs="Times New Roman"/>
      <w:kern w:val="0"/>
      <w:sz w:val="20"/>
      <w:szCs w:val="24"/>
    </w:rPr>
  </w:style>
  <w:style w:type="paragraph" w:customStyle="1" w:styleId="1553">
    <w:name w:val="xl41"/>
    <w:basedOn w:val="1"/>
    <w:qFormat/>
    <w:uiPriority w:val="0"/>
    <w:pPr>
      <w:widowControl/>
      <w:spacing w:before="100" w:beforeAutospacing="1" w:after="100" w:afterAutospacing="1"/>
      <w:jc w:val="left"/>
      <w:textAlignment w:val="center"/>
    </w:pPr>
    <w:rPr>
      <w:rFonts w:ascii="Arial Unicode MS" w:hAnsi="Arial Unicode MS" w:eastAsia="Arial Unicode MS" w:cs="Arial Unicode MS"/>
      <w:b/>
      <w:bCs/>
      <w:kern w:val="0"/>
      <w:sz w:val="36"/>
      <w:szCs w:val="36"/>
    </w:rPr>
  </w:style>
  <w:style w:type="paragraph" w:customStyle="1" w:styleId="1554">
    <w:name w:val="xl39"/>
    <w:basedOn w:val="1"/>
    <w:qFormat/>
    <w:uiPriority w:val="99"/>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4"/>
      <w:szCs w:val="20"/>
    </w:rPr>
  </w:style>
  <w:style w:type="paragraph" w:customStyle="1" w:styleId="1555">
    <w:name w:val="段落2"/>
    <w:basedOn w:val="1"/>
    <w:qFormat/>
    <w:uiPriority w:val="99"/>
    <w:pPr>
      <w:adjustRightInd w:val="0"/>
      <w:spacing w:line="440" w:lineRule="atLeast"/>
    </w:pPr>
    <w:rPr>
      <w:rFonts w:ascii="Times New Roman" w:hAnsi="Times New Roman" w:eastAsia="宋体" w:cs="Times New Roman"/>
      <w:spacing w:val="6"/>
      <w:sz w:val="28"/>
      <w:szCs w:val="20"/>
    </w:rPr>
  </w:style>
  <w:style w:type="paragraph" w:customStyle="1" w:styleId="1556">
    <w:name w:val="预测表格"/>
    <w:basedOn w:val="551"/>
    <w:next w:val="1"/>
    <w:qFormat/>
    <w:uiPriority w:val="99"/>
    <w:pPr>
      <w:topLinePunct w:val="0"/>
      <w:ind w:left="-15" w:leftChars="-15" w:right="-15" w:rightChars="-15"/>
    </w:pPr>
    <w:rPr>
      <w:rFonts w:eastAsia="宋体"/>
      <w:bCs/>
      <w:spacing w:val="-10"/>
      <w:sz w:val="18"/>
      <w:szCs w:val="15"/>
    </w:rPr>
  </w:style>
  <w:style w:type="paragraph" w:customStyle="1" w:styleId="1557">
    <w:name w:val="列表 5B"/>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58">
    <w:name w:val="Document Label"/>
    <w:basedOn w:val="1"/>
    <w:next w:val="1"/>
    <w:qFormat/>
    <w:uiPriority w:val="99"/>
    <w:pPr>
      <w:widowControl/>
      <w:spacing w:after="220"/>
      <w:ind w:right="-360"/>
      <w:jc w:val="left"/>
    </w:pPr>
    <w:rPr>
      <w:rFonts w:ascii="Times New Roman" w:hAnsi="Times New Roman" w:eastAsia="宋体" w:cs="Times New Roman"/>
      <w:spacing w:val="-20"/>
      <w:kern w:val="0"/>
      <w:sz w:val="48"/>
      <w:szCs w:val="20"/>
    </w:rPr>
  </w:style>
  <w:style w:type="paragraph" w:customStyle="1" w:styleId="1559">
    <w:name w:val="18"/>
    <w:basedOn w:val="1"/>
    <w:qFormat/>
    <w:uiPriority w:val="99"/>
    <w:pPr>
      <w:widowControl/>
      <w:snapToGrid w:val="0"/>
      <w:spacing w:before="120" w:after="100" w:afterAutospacing="1" w:line="240" w:lineRule="atLeast"/>
      <w:jc w:val="center"/>
    </w:pPr>
    <w:rPr>
      <w:rFonts w:ascii="Times New Roman" w:hAnsi="Times New Roman" w:eastAsia="宋体" w:cs="Times New Roman"/>
      <w:b/>
      <w:bCs/>
      <w:kern w:val="0"/>
      <w:sz w:val="24"/>
      <w:szCs w:val="24"/>
    </w:rPr>
  </w:style>
  <w:style w:type="paragraph" w:customStyle="1" w:styleId="1560">
    <w:name w:val="正文（首行缩进）"/>
    <w:basedOn w:val="1"/>
    <w:qFormat/>
    <w:uiPriority w:val="0"/>
    <w:pPr>
      <w:widowControl/>
      <w:spacing w:line="360" w:lineRule="auto"/>
      <w:ind w:firstLine="480" w:firstLineChars="200"/>
      <w:jc w:val="left"/>
    </w:pPr>
    <w:rPr>
      <w:rFonts w:ascii="宋体" w:hAnsi="宋体" w:eastAsia="宋体" w:cs="Times New Roman"/>
      <w:color w:val="000000"/>
      <w:sz w:val="24"/>
      <w:szCs w:val="20"/>
    </w:rPr>
  </w:style>
  <w:style w:type="paragraph" w:customStyle="1" w:styleId="1561">
    <w:name w:val="列表 3H"/>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62">
    <w:name w:val="表格正文"/>
    <w:qFormat/>
    <w:uiPriority w:val="0"/>
    <w:pPr>
      <w:spacing w:before="60" w:after="60"/>
      <w:ind w:left="32"/>
      <w:jc w:val="center"/>
    </w:pPr>
    <w:rPr>
      <w:rFonts w:ascii="Times New Roman" w:hAnsi="Times New Roman" w:eastAsia="宋体" w:cs="Times New Roman"/>
      <w:color w:val="FF0000"/>
      <w:sz w:val="21"/>
      <w:lang w:val="en-US" w:eastAsia="zh-CN" w:bidi="ar-SA"/>
    </w:rPr>
  </w:style>
  <w:style w:type="paragraph" w:customStyle="1" w:styleId="1563">
    <w:name w:val="列表 5E"/>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64">
    <w:name w:val="列表 4D"/>
    <w:basedOn w:val="70"/>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565">
    <w:name w:val="档案号"/>
    <w:basedOn w:val="53"/>
    <w:qFormat/>
    <w:uiPriority w:val="99"/>
    <w:pPr>
      <w:widowControl w:val="0"/>
      <w:pBdr>
        <w:bottom w:val="none" w:color="auto" w:sz="0" w:space="0"/>
      </w:pBdr>
      <w:tabs>
        <w:tab w:val="center" w:pos="4320"/>
        <w:tab w:val="right" w:pos="8640"/>
        <w:tab w:val="clear" w:pos="4153"/>
        <w:tab w:val="clear" w:pos="8306"/>
      </w:tabs>
      <w:adjustRightInd w:val="0"/>
      <w:snapToGrid/>
      <w:spacing w:line="460" w:lineRule="exact"/>
      <w:jc w:val="right"/>
      <w:textAlignment w:val="baseline"/>
    </w:pPr>
    <w:rPr>
      <w:rFonts w:hAnsi="Arial" w:cs="Times New Roman"/>
      <w:spacing w:val="3"/>
      <w:kern w:val="24"/>
      <w:sz w:val="24"/>
      <w:szCs w:val="20"/>
    </w:rPr>
  </w:style>
  <w:style w:type="paragraph" w:customStyle="1" w:styleId="1566">
    <w:name w:val="样式 (中文) 仿宋_GB2312 四号 行距: 1.5 倍行距 Char"/>
    <w:basedOn w:val="1"/>
    <w:qFormat/>
    <w:uiPriority w:val="0"/>
    <w:pPr>
      <w:jc w:val="center"/>
    </w:pPr>
    <w:rPr>
      <w:rFonts w:ascii="Times New Roman" w:hAnsi="Times New Roman" w:eastAsia="宋体" w:cs="Times New Roman"/>
      <w:sz w:val="24"/>
      <w:szCs w:val="28"/>
    </w:rPr>
  </w:style>
  <w:style w:type="paragraph" w:customStyle="1" w:styleId="1567">
    <w:name w:val="Header Base"/>
    <w:basedOn w:val="1"/>
    <w:qFormat/>
    <w:uiPriority w:val="99"/>
    <w:pPr>
      <w:widowControl/>
      <w:ind w:right="-360"/>
      <w:jc w:val="left"/>
    </w:pPr>
    <w:rPr>
      <w:rFonts w:ascii="Times New Roman" w:hAnsi="Times New Roman" w:eastAsia="宋体" w:cs="Times New Roman"/>
      <w:kern w:val="0"/>
      <w:sz w:val="20"/>
      <w:szCs w:val="20"/>
    </w:rPr>
  </w:style>
  <w:style w:type="paragraph" w:customStyle="1" w:styleId="1568">
    <w:name w:val="列表 C"/>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569">
    <w:name w:val="xl92"/>
    <w:basedOn w:val="1"/>
    <w:qFormat/>
    <w:uiPriority w:val="99"/>
    <w:pPr>
      <w:widowControl/>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1570">
    <w:name w:val="样式－表"/>
    <w:basedOn w:val="1"/>
    <w:qFormat/>
    <w:uiPriority w:val="99"/>
    <w:pPr>
      <w:adjustRightInd w:val="0"/>
      <w:snapToGrid w:val="0"/>
      <w:spacing w:before="62"/>
      <w:jc w:val="center"/>
    </w:pPr>
    <w:rPr>
      <w:rFonts w:ascii="Times New Roman" w:hAnsi="Times New Roman" w:eastAsia="宋体" w:cs="Times New Roman"/>
      <w:snapToGrid w:val="0"/>
      <w:color w:val="000000"/>
      <w:kern w:val="0"/>
      <w:sz w:val="24"/>
      <w:szCs w:val="20"/>
    </w:rPr>
  </w:style>
  <w:style w:type="paragraph" w:customStyle="1" w:styleId="1571">
    <w:name w:val="font1"/>
    <w:basedOn w:val="1"/>
    <w:qFormat/>
    <w:uiPriority w:val="99"/>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1572">
    <w:name w:val="列表 2S"/>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73">
    <w:name w:val="蒲表头"/>
    <w:basedOn w:val="1"/>
    <w:qFormat/>
    <w:uiPriority w:val="99"/>
    <w:pPr>
      <w:adjustRightInd w:val="0"/>
      <w:snapToGrid w:val="0"/>
      <w:spacing w:beforeLines="20"/>
      <w:ind w:firstLine="480" w:firstLineChars="200"/>
    </w:pPr>
    <w:rPr>
      <w:rFonts w:ascii="Times New Roman" w:hAnsi="Times New Roman" w:eastAsia="宋体" w:cs="Times New Roman"/>
      <w:b/>
      <w:sz w:val="24"/>
      <w:szCs w:val="24"/>
    </w:rPr>
  </w:style>
  <w:style w:type="paragraph" w:customStyle="1" w:styleId="1574">
    <w:name w:val="CM67"/>
    <w:basedOn w:val="202"/>
    <w:next w:val="202"/>
    <w:qFormat/>
    <w:uiPriority w:val="99"/>
    <w:pPr>
      <w:autoSpaceDE/>
      <w:autoSpaceDN/>
      <w:adjustRightInd/>
      <w:spacing w:beforeLines="0" w:after="142" w:afterLines="0" w:line="240" w:lineRule="auto"/>
      <w:ind w:left="210"/>
    </w:pPr>
    <w:rPr>
      <w:rFonts w:ascii="Calibri" w:hAnsi="Calibri" w:eastAsia="宋体"/>
      <w:b w:val="0"/>
      <w:smallCaps/>
      <w:snapToGrid/>
      <w:color w:val="auto"/>
      <w:sz w:val="20"/>
      <w:szCs w:val="20"/>
    </w:rPr>
  </w:style>
  <w:style w:type="paragraph" w:customStyle="1" w:styleId="1575">
    <w:name w:val="样式 正文缩进正文缩进 Char + 首行缩进:  2 字符"/>
    <w:basedOn w:val="21"/>
    <w:qFormat/>
    <w:uiPriority w:val="99"/>
    <w:pPr>
      <w:widowControl w:val="0"/>
      <w:adjustRightInd w:val="0"/>
      <w:snapToGrid w:val="0"/>
      <w:spacing w:line="360" w:lineRule="auto"/>
      <w:ind w:firstLine="480" w:firstLineChars="200"/>
      <w:jc w:val="both"/>
    </w:pPr>
    <w:rPr>
      <w:rFonts w:ascii="Times New Roman" w:hAnsi="Times New Roman"/>
      <w:snapToGrid w:val="0"/>
      <w:sz w:val="24"/>
      <w:szCs w:val="24"/>
    </w:rPr>
  </w:style>
  <w:style w:type="paragraph" w:customStyle="1" w:styleId="1576">
    <w:name w:val="正文(a)"/>
    <w:basedOn w:val="32"/>
    <w:qFormat/>
    <w:uiPriority w:val="99"/>
    <w:pPr>
      <w:widowControl/>
      <w:tabs>
        <w:tab w:val="left" w:pos="1139"/>
      </w:tabs>
      <w:spacing w:after="0" w:line="351" w:lineRule="atLeast"/>
      <w:ind w:left="-141" w:firstLine="566"/>
      <w:textAlignment w:val="baseline"/>
    </w:pPr>
    <w:rPr>
      <w:rFonts w:ascii="宋体" w:hAnsi="Times New Roman" w:eastAsia="宋体" w:cs="宋体"/>
      <w:bCs/>
      <w:color w:val="000000"/>
      <w:spacing w:val="5"/>
      <w:kern w:val="0"/>
      <w:sz w:val="20"/>
      <w:u w:color="000000"/>
    </w:rPr>
  </w:style>
  <w:style w:type="paragraph" w:customStyle="1" w:styleId="1577">
    <w:name w:val="尾注文本1"/>
    <w:basedOn w:val="288"/>
    <w:qFormat/>
    <w:uiPriority w:val="99"/>
    <w:rPr>
      <w:rFonts w:eastAsia="Times New Roman"/>
      <w:sz w:val="21"/>
      <w:szCs w:val="22"/>
    </w:rPr>
  </w:style>
  <w:style w:type="paragraph" w:customStyle="1" w:styleId="1578">
    <w:name w:val="列表 G"/>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579">
    <w:name w:val="CM69"/>
    <w:basedOn w:val="202"/>
    <w:next w:val="202"/>
    <w:qFormat/>
    <w:uiPriority w:val="99"/>
    <w:pPr>
      <w:autoSpaceDE/>
      <w:autoSpaceDN/>
      <w:adjustRightInd/>
      <w:spacing w:beforeLines="0" w:after="67" w:afterLines="0" w:line="240" w:lineRule="auto"/>
      <w:ind w:left="210"/>
    </w:pPr>
    <w:rPr>
      <w:rFonts w:ascii="Calibri" w:hAnsi="Calibri" w:eastAsia="宋体"/>
      <w:b w:val="0"/>
      <w:smallCaps/>
      <w:snapToGrid/>
      <w:color w:val="auto"/>
      <w:sz w:val="20"/>
      <w:szCs w:val="20"/>
    </w:rPr>
  </w:style>
  <w:style w:type="paragraph" w:customStyle="1" w:styleId="1580">
    <w:name w:val="样式 样式2 + 段前: 6 磅 行距: 单倍行距2"/>
    <w:basedOn w:val="1394"/>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pacing w:val="-16"/>
      <w:sz w:val="21"/>
      <w:szCs w:val="21"/>
    </w:rPr>
  </w:style>
  <w:style w:type="paragraph" w:customStyle="1" w:styleId="1581">
    <w:name w:val="列表 4F"/>
    <w:basedOn w:val="70"/>
    <w:qFormat/>
    <w:uiPriority w:val="99"/>
    <w:pPr>
      <w:tabs>
        <w:tab w:val="left" w:pos="980"/>
      </w:tabs>
      <w:topLinePunct w:val="0"/>
      <w:spacing w:beforeLines="50" w:afterLines="30" w:line="288" w:lineRule="auto"/>
      <w:ind w:left="980" w:leftChars="0" w:hanging="420" w:firstLineChars="0"/>
      <w:jc w:val="both"/>
    </w:pPr>
    <w:rPr>
      <w:rFonts w:ascii="Arial" w:hAnsi="Arial" w:eastAsia="宋体"/>
      <w:color w:val="CCFFFF"/>
      <w:sz w:val="24"/>
    </w:rPr>
  </w:style>
  <w:style w:type="paragraph" w:customStyle="1" w:styleId="1582">
    <w:name w:val="Table Body"/>
    <w:basedOn w:val="1"/>
    <w:qFormat/>
    <w:uiPriority w:val="99"/>
    <w:pPr>
      <w:widowControl/>
      <w:spacing w:before="80" w:after="80"/>
      <w:jc w:val="left"/>
    </w:pPr>
    <w:rPr>
      <w:rFonts w:ascii="Arial" w:hAnsi="Arial" w:eastAsia="Batang" w:cs="Times New Roman"/>
      <w:kern w:val="0"/>
      <w:sz w:val="18"/>
      <w:szCs w:val="20"/>
      <w:lang w:eastAsia="ko-KR"/>
    </w:rPr>
  </w:style>
  <w:style w:type="paragraph" w:customStyle="1" w:styleId="1583">
    <w:name w:val="CM6"/>
    <w:basedOn w:val="202"/>
    <w:next w:val="202"/>
    <w:qFormat/>
    <w:uiPriority w:val="99"/>
    <w:pPr>
      <w:autoSpaceDE/>
      <w:autoSpaceDN/>
      <w:adjustRightInd/>
      <w:spacing w:beforeLines="0" w:afterLines="0" w:line="240" w:lineRule="auto"/>
      <w:ind w:left="210"/>
    </w:pPr>
    <w:rPr>
      <w:rFonts w:ascii="Calibri" w:hAnsi="Calibri" w:eastAsia="宋体"/>
      <w:b w:val="0"/>
      <w:smallCaps/>
      <w:snapToGrid/>
      <w:color w:val="auto"/>
      <w:sz w:val="20"/>
      <w:szCs w:val="20"/>
    </w:rPr>
  </w:style>
  <w:style w:type="paragraph" w:customStyle="1" w:styleId="1584">
    <w:name w:val="Body Text First Indent3"/>
    <w:basedOn w:val="32"/>
    <w:qFormat/>
    <w:uiPriority w:val="99"/>
    <w:pPr>
      <w:adjustRightInd w:val="0"/>
      <w:spacing w:after="0" w:line="312" w:lineRule="auto"/>
      <w:ind w:firstLine="567"/>
      <w:textAlignment w:val="baseline"/>
    </w:pPr>
    <w:rPr>
      <w:rFonts w:ascii="Times New Roman" w:hAnsi="Times New Roman" w:eastAsia="宋体" w:cs="Times New Roman"/>
      <w:kern w:val="0"/>
      <w:sz w:val="28"/>
      <w:szCs w:val="20"/>
    </w:rPr>
  </w:style>
  <w:style w:type="paragraph" w:customStyle="1" w:styleId="1585">
    <w:name w:val="样式 题注 + 五号 加粗 居中"/>
    <w:basedOn w:val="1"/>
    <w:qFormat/>
    <w:uiPriority w:val="99"/>
    <w:pPr>
      <w:spacing w:beforeLines="20" w:afterLines="20" w:line="360" w:lineRule="auto"/>
      <w:jc w:val="center"/>
    </w:pPr>
    <w:rPr>
      <w:rFonts w:ascii="Arial" w:hAnsi="Arial" w:eastAsia="黑体" w:cs="Times New Roman"/>
      <w:b/>
      <w:bCs/>
      <w:sz w:val="24"/>
    </w:rPr>
  </w:style>
  <w:style w:type="paragraph" w:customStyle="1" w:styleId="1586">
    <w:name w:val="列表 L"/>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587">
    <w:name w:val="列表 K"/>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588">
    <w:name w:val="Char Char Char Char Char Char Char Char Char Char Char Char1 Char Char Char Char Char Char Char Char Char Char Char Char1 Char"/>
    <w:basedOn w:val="1"/>
    <w:next w:val="1"/>
    <w:qFormat/>
    <w:uiPriority w:val="99"/>
    <w:pPr>
      <w:spacing w:line="336" w:lineRule="auto"/>
      <w:ind w:firstLine="200" w:firstLineChars="200"/>
    </w:pPr>
    <w:rPr>
      <w:rFonts w:ascii="宋体" w:hAnsi="宋体" w:eastAsia="汉鼎简书宋" w:cs="宋体"/>
      <w:sz w:val="24"/>
      <w:szCs w:val="24"/>
    </w:rPr>
  </w:style>
  <w:style w:type="paragraph" w:customStyle="1" w:styleId="1589">
    <w:name w:val="列表 2Q"/>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90">
    <w:name w:val="列表 5H"/>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91">
    <w:name w:val="列表 2Y"/>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92">
    <w:name w:val="Char Char Char Char2"/>
    <w:basedOn w:val="1"/>
    <w:qFormat/>
    <w:uiPriority w:val="99"/>
    <w:pPr>
      <w:widowControl/>
      <w:spacing w:after="160" w:line="240" w:lineRule="exact"/>
      <w:jc w:val="left"/>
    </w:pPr>
    <w:rPr>
      <w:rFonts w:ascii="Verdana" w:hAnsi="Verdana" w:eastAsia="宋体" w:cs="Times New Roman"/>
      <w:kern w:val="0"/>
      <w:sz w:val="20"/>
      <w:szCs w:val="20"/>
      <w:lang w:eastAsia="en-US"/>
    </w:rPr>
  </w:style>
  <w:style w:type="paragraph" w:customStyle="1" w:styleId="1593">
    <w:name w:val="Char Char Char Char Char Char1"/>
    <w:basedOn w:val="1"/>
    <w:qFormat/>
    <w:uiPriority w:val="0"/>
    <w:pPr>
      <w:widowControl/>
    </w:pPr>
    <w:rPr>
      <w:rFonts w:ascii="Times New Roman" w:hAnsi="Times New Roman" w:eastAsia="宋体" w:cs="Times New Roman"/>
      <w:kern w:val="0"/>
      <w:sz w:val="24"/>
      <w:szCs w:val="24"/>
    </w:rPr>
  </w:style>
  <w:style w:type="paragraph" w:customStyle="1" w:styleId="1594">
    <w:name w:val="6"/>
    <w:basedOn w:val="1"/>
    <w:next w:val="33"/>
    <w:qFormat/>
    <w:uiPriority w:val="99"/>
    <w:pPr>
      <w:spacing w:line="300" w:lineRule="auto"/>
      <w:ind w:firstLine="480" w:firstLineChars="200"/>
    </w:pPr>
    <w:rPr>
      <w:rFonts w:ascii="Times New Roman" w:hAnsi="Times New Roman" w:eastAsia="宋体" w:cs="Times New Roman"/>
      <w:sz w:val="24"/>
      <w:szCs w:val="24"/>
    </w:rPr>
  </w:style>
  <w:style w:type="paragraph" w:customStyle="1" w:styleId="1595">
    <w:name w:val="标题 3 + Arial 小四 非加粗 段前: 0 磅 段后: 6 磅 行距: 固定值 22 磅"/>
    <w:basedOn w:val="6"/>
    <w:next w:val="1"/>
    <w:qFormat/>
    <w:uiPriority w:val="99"/>
    <w:pPr>
      <w:keepLines/>
      <w:numPr>
        <w:ilvl w:val="0"/>
        <w:numId w:val="0"/>
      </w:numPr>
      <w:spacing w:before="0"/>
    </w:pPr>
    <w:rPr>
      <w:rFonts w:hAnsi="Arial" w:cs="Times New Roman"/>
      <w:bCs/>
      <w:color w:val="000000"/>
      <w:kern w:val="0"/>
      <w:szCs w:val="20"/>
    </w:rPr>
  </w:style>
  <w:style w:type="paragraph" w:customStyle="1" w:styleId="1596">
    <w:name w:val="表内文字"/>
    <w:basedOn w:val="1"/>
    <w:qFormat/>
    <w:uiPriority w:val="99"/>
    <w:pPr>
      <w:widowControl/>
      <w:ind w:left="57" w:right="57"/>
      <w:jc w:val="center"/>
    </w:pPr>
    <w:rPr>
      <w:rFonts w:ascii="Times" w:hAnsi="Times" w:eastAsia="宋体" w:cs="Times"/>
      <w:snapToGrid w:val="0"/>
      <w:spacing w:val="-20"/>
      <w:kern w:val="0"/>
    </w:rPr>
  </w:style>
  <w:style w:type="paragraph" w:customStyle="1" w:styleId="1597">
    <w:name w:val="正文文本 小4"/>
    <w:qFormat/>
    <w:uiPriority w:val="99"/>
    <w:pPr>
      <w:widowControl w:val="0"/>
      <w:autoSpaceDE w:val="0"/>
      <w:autoSpaceDN w:val="0"/>
      <w:adjustRightInd w:val="0"/>
      <w:snapToGrid w:val="0"/>
      <w:spacing w:line="360" w:lineRule="auto"/>
      <w:ind w:firstLine="480" w:firstLineChars="200"/>
      <w:jc w:val="both"/>
    </w:pPr>
    <w:rPr>
      <w:rFonts w:ascii="仿宋_GB2312" w:hAnsi="Arial" w:eastAsia="仿宋_GB2312" w:cs="Times New Roman"/>
      <w:snapToGrid w:val="0"/>
      <w:color w:val="000000"/>
      <w:sz w:val="24"/>
      <w:lang w:val="en-US" w:eastAsia="zh-CN" w:bidi="ar-SA"/>
    </w:rPr>
  </w:style>
  <w:style w:type="paragraph" w:customStyle="1" w:styleId="1598">
    <w:name w:val="Char Char Char Char Char Char Char Char Char Char2"/>
    <w:basedOn w:val="1"/>
    <w:qFormat/>
    <w:uiPriority w:val="99"/>
    <w:rPr>
      <w:rFonts w:ascii="宋体" w:hAnsi="宋体" w:eastAsia="宋体" w:cs="宋体"/>
      <w:color w:val="000000"/>
    </w:rPr>
  </w:style>
  <w:style w:type="paragraph" w:customStyle="1" w:styleId="1599">
    <w:name w:val="表标题16.8－1"/>
    <w:basedOn w:val="1"/>
    <w:qFormat/>
    <w:uiPriority w:val="99"/>
    <w:pPr>
      <w:widowControl/>
      <w:tabs>
        <w:tab w:val="left" w:pos="1560"/>
        <w:tab w:val="left" w:pos="2160"/>
        <w:tab w:val="left" w:pos="3060"/>
      </w:tabs>
      <w:adjustRightInd w:val="0"/>
      <w:snapToGrid w:val="0"/>
      <w:spacing w:line="0" w:lineRule="atLeast"/>
      <w:ind w:left="2400" w:hanging="420"/>
      <w:jc w:val="center"/>
      <w:textAlignment w:val="baseline"/>
    </w:pPr>
    <w:rPr>
      <w:rFonts w:ascii="Times New Roman" w:hAnsi="Times New Roman" w:eastAsia="黑体" w:cs="Times New Roman"/>
      <w:b/>
      <w:color w:val="000000"/>
      <w:sz w:val="24"/>
      <w:szCs w:val="24"/>
    </w:rPr>
  </w:style>
  <w:style w:type="paragraph" w:customStyle="1" w:styleId="1600">
    <w:name w:val="p15"/>
    <w:basedOn w:val="1"/>
    <w:qFormat/>
    <w:uiPriority w:val="99"/>
    <w:pPr>
      <w:widowControl/>
      <w:snapToGrid w:val="0"/>
      <w:jc w:val="left"/>
    </w:pPr>
    <w:rPr>
      <w:rFonts w:ascii="Times New Roman" w:hAnsi="Times New Roman" w:eastAsia="宋体" w:cs="Times New Roman"/>
      <w:color w:val="0000FF"/>
      <w:kern w:val="0"/>
      <w:szCs w:val="20"/>
    </w:rPr>
  </w:style>
  <w:style w:type="paragraph" w:customStyle="1" w:styleId="1601">
    <w:name w:val="表左"/>
    <w:basedOn w:val="1156"/>
    <w:qFormat/>
    <w:uiPriority w:val="99"/>
    <w:pPr>
      <w:tabs>
        <w:tab w:val="clear" w:pos="2190"/>
      </w:tabs>
      <w:ind w:right="0" w:rightChars="0"/>
      <w:jc w:val="both"/>
    </w:pPr>
  </w:style>
  <w:style w:type="paragraph" w:customStyle="1" w:styleId="1602">
    <w:name w:val="样式 样式 样式 样式 正文 首行缩进 + 首行缩进:  2 字符 行距: 单倍行距 + 首行缩进:  2 字符 + 小四 首行...2"/>
    <w:basedOn w:val="1"/>
    <w:qFormat/>
    <w:uiPriority w:val="99"/>
    <w:pPr>
      <w:spacing w:line="312" w:lineRule="auto"/>
      <w:ind w:firstLine="480" w:firstLineChars="200"/>
    </w:pPr>
    <w:rPr>
      <w:rFonts w:ascii="Arial" w:hAnsi="Arial" w:eastAsia="宋体" w:cs="宋体"/>
      <w:sz w:val="24"/>
      <w:szCs w:val="20"/>
    </w:rPr>
  </w:style>
  <w:style w:type="paragraph" w:customStyle="1" w:styleId="1603">
    <w:name w:val="Char Char Char Char Char Char Char Char Char Char Char Char Char Char Char1"/>
    <w:basedOn w:val="1"/>
    <w:qFormat/>
    <w:uiPriority w:val="0"/>
    <w:rPr>
      <w:rFonts w:ascii="Times New Roman" w:hAnsi="Times New Roman" w:eastAsia="宋体" w:cs="Times New Roman"/>
      <w:szCs w:val="24"/>
    </w:rPr>
  </w:style>
  <w:style w:type="paragraph" w:customStyle="1" w:styleId="1604">
    <w:name w:val="xl83"/>
    <w:basedOn w:val="1"/>
    <w:qFormat/>
    <w:uiPriority w:val="99"/>
    <w:pPr>
      <w:widowControl/>
      <w:pBdr>
        <w:top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605">
    <w:name w:val="xl103"/>
    <w:basedOn w:val="1"/>
    <w:qFormat/>
    <w:uiPriority w:val="99"/>
    <w:pPr>
      <w:widowControl/>
      <w:pBdr>
        <w:top w:val="single" w:color="auto" w:sz="4" w:space="0"/>
        <w:left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1606">
    <w:name w:val="列表 I"/>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607">
    <w:name w:val="样式 标题 2节标题2H2h2第一层条二级 标题 2标题 2 Char节标题1MVA21.1Headin..."/>
    <w:basedOn w:val="5"/>
    <w:qFormat/>
    <w:uiPriority w:val="99"/>
    <w:pPr>
      <w:keepNext w:val="0"/>
      <w:numPr>
        <w:ilvl w:val="0"/>
        <w:numId w:val="0"/>
      </w:numPr>
      <w:tabs>
        <w:tab w:val="left" w:pos="786"/>
      </w:tabs>
      <w:spacing w:before="0" w:beforeAutospacing="0"/>
      <w:ind w:left="786" w:hanging="786"/>
    </w:pPr>
    <w:rPr>
      <w:rFonts w:ascii="Times New Roman" w:eastAsia="宋体" w:cs="Times New Roman"/>
      <w:b/>
      <w:kern w:val="0"/>
      <w:sz w:val="24"/>
      <w:szCs w:val="20"/>
    </w:rPr>
  </w:style>
  <w:style w:type="paragraph" w:customStyle="1" w:styleId="1608">
    <w:name w:val="xl110"/>
    <w:basedOn w:val="1"/>
    <w:qFormat/>
    <w:uiPriority w:val="99"/>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609">
    <w:name w:val="列表 1A"/>
    <w:basedOn w:val="909"/>
    <w:qFormat/>
    <w:uiPriority w:val="99"/>
    <w:pPr>
      <w:tabs>
        <w:tab w:val="left" w:pos="907"/>
        <w:tab w:val="clear" w:pos="432"/>
      </w:tabs>
      <w:ind w:left="907" w:hanging="567"/>
    </w:pPr>
  </w:style>
  <w:style w:type="paragraph" w:customStyle="1" w:styleId="1610">
    <w:name w:val="公司名"/>
    <w:basedOn w:val="1"/>
    <w:qFormat/>
    <w:uiPriority w:val="99"/>
    <w:pPr>
      <w:keepNext/>
      <w:keepLines/>
      <w:widowControl/>
      <w:spacing w:beforeLines="50" w:afterLines="50" w:line="320" w:lineRule="atLeast"/>
      <w:jc w:val="center"/>
    </w:pPr>
    <w:rPr>
      <w:rFonts w:ascii="Arial" w:hAnsi="Arial" w:eastAsia="楷体_GB2312" w:cs="Times New Roman"/>
      <w:b/>
      <w:bCs/>
      <w:color w:val="CCFFCC"/>
      <w:kern w:val="28"/>
      <w:sz w:val="32"/>
      <w:szCs w:val="20"/>
      <w:lang w:bidi="he-IL"/>
    </w:rPr>
  </w:style>
  <w:style w:type="paragraph" w:customStyle="1" w:styleId="1611">
    <w:name w:val="样式 标题 2 + Times New Roman 小三 居中"/>
    <w:basedOn w:val="5"/>
    <w:qFormat/>
    <w:uiPriority w:val="99"/>
    <w:pPr>
      <w:keepLines/>
      <w:widowControl/>
      <w:numPr>
        <w:ilvl w:val="0"/>
        <w:numId w:val="0"/>
      </w:numPr>
      <w:adjustRightInd/>
      <w:snapToGrid/>
      <w:spacing w:before="260" w:beforeAutospacing="0" w:after="260" w:line="415" w:lineRule="auto"/>
      <w:ind w:left="420" w:firstLine="538" w:firstLineChars="192"/>
    </w:pPr>
    <w:rPr>
      <w:rFonts w:ascii="Times New Roman" w:hAnsi="Times New Roman" w:cs="宋体"/>
      <w:b/>
      <w:bCs w:val="0"/>
      <w:kern w:val="0"/>
      <w:sz w:val="30"/>
      <w:szCs w:val="20"/>
    </w:rPr>
  </w:style>
  <w:style w:type="paragraph" w:customStyle="1" w:styleId="1612">
    <w:name w:val="列表 F"/>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613">
    <w:name w:val="样式 段前: 0.5 行 首行缩进:  2 字符"/>
    <w:basedOn w:val="1"/>
    <w:qFormat/>
    <w:uiPriority w:val="99"/>
    <w:pPr>
      <w:adjustRightInd w:val="0"/>
      <w:snapToGrid w:val="0"/>
      <w:spacing w:before="156" w:line="360" w:lineRule="auto"/>
      <w:ind w:firstLine="480" w:firstLineChars="200"/>
    </w:pPr>
    <w:rPr>
      <w:rFonts w:ascii="Times New Roman" w:hAnsi="Times New Roman" w:eastAsia="宋体" w:cs="宋体"/>
      <w:sz w:val="24"/>
      <w:szCs w:val="20"/>
    </w:rPr>
  </w:style>
  <w:style w:type="paragraph" w:customStyle="1" w:styleId="1614">
    <w:name w:val="悬挂式正文"/>
    <w:basedOn w:val="1"/>
    <w:qFormat/>
    <w:uiPriority w:val="99"/>
    <w:pPr>
      <w:tabs>
        <w:tab w:val="center" w:pos="6804"/>
        <w:tab w:val="right" w:pos="7371"/>
      </w:tabs>
      <w:overflowPunct w:val="0"/>
      <w:adjustRightInd w:val="0"/>
      <w:spacing w:line="360" w:lineRule="auto"/>
      <w:ind w:left="1701" w:hanging="1134"/>
      <w:textAlignment w:val="baseline"/>
    </w:pPr>
    <w:rPr>
      <w:rFonts w:ascii="Times New Roman" w:hAnsi="Times New Roman" w:eastAsia="宋体" w:cs="Times New Roman"/>
      <w:kern w:val="0"/>
      <w:sz w:val="28"/>
      <w:szCs w:val="20"/>
    </w:rPr>
  </w:style>
  <w:style w:type="paragraph" w:customStyle="1" w:styleId="1615">
    <w:name w:val="xl86"/>
    <w:basedOn w:val="1"/>
    <w:qFormat/>
    <w:uiPriority w:val="99"/>
    <w:pPr>
      <w:widowControl/>
      <w:pBdr>
        <w:top w:val="single" w:color="auto" w:sz="8" w:space="0"/>
        <w:left w:val="single" w:color="auto" w:sz="8" w:space="0"/>
        <w:bottom w:val="single" w:color="auto" w:sz="4" w:space="0"/>
      </w:pBdr>
      <w:spacing w:before="100" w:beforeAutospacing="1" w:after="100" w:afterAutospacing="1"/>
      <w:jc w:val="left"/>
    </w:pPr>
    <w:rPr>
      <w:rFonts w:ascii="Times New Roman" w:hAnsi="Times New Roman" w:eastAsia="Arial Unicode MS" w:cs="Times New Roman"/>
      <w:kern w:val="0"/>
      <w:sz w:val="16"/>
      <w:szCs w:val="16"/>
    </w:rPr>
  </w:style>
  <w:style w:type="paragraph" w:customStyle="1" w:styleId="1616">
    <w:name w:val="样式1－表头"/>
    <w:basedOn w:val="1"/>
    <w:qFormat/>
    <w:uiPriority w:val="99"/>
    <w:pPr>
      <w:adjustRightInd w:val="0"/>
      <w:snapToGrid w:val="0"/>
      <w:spacing w:beforeLines="50" w:afterLines="50" w:line="336" w:lineRule="auto"/>
      <w:jc w:val="center"/>
    </w:pPr>
    <w:rPr>
      <w:rFonts w:ascii="Times New Roman" w:hAnsi="Times New Roman" w:eastAsia="黑体" w:cs="Times New Roman"/>
      <w:spacing w:val="6"/>
      <w:sz w:val="24"/>
      <w:szCs w:val="20"/>
    </w:rPr>
  </w:style>
  <w:style w:type="paragraph" w:customStyle="1" w:styleId="1617">
    <w:name w:val="xl104"/>
    <w:basedOn w:val="1"/>
    <w:qFormat/>
    <w:uiPriority w:val="99"/>
    <w:pPr>
      <w:widowControl/>
      <w:pBdr>
        <w:left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6"/>
      <w:szCs w:val="16"/>
    </w:rPr>
  </w:style>
  <w:style w:type="paragraph" w:customStyle="1" w:styleId="1618">
    <w:name w:val="列表 A"/>
    <w:basedOn w:val="60"/>
    <w:qFormat/>
    <w:uiPriority w:val="99"/>
    <w:pPr>
      <w:tabs>
        <w:tab w:val="left" w:pos="1021"/>
      </w:tabs>
      <w:spacing w:beforeLines="100" w:afterLines="50" w:line="288" w:lineRule="auto"/>
      <w:ind w:left="1021" w:hanging="454"/>
    </w:pPr>
    <w:rPr>
      <w:rFonts w:ascii="Arial" w:hAnsi="Arial" w:eastAsia="宋体"/>
      <w:b/>
      <w:bCs/>
      <w:color w:val="FF99CC"/>
      <w:kern w:val="0"/>
      <w:szCs w:val="20"/>
    </w:rPr>
  </w:style>
  <w:style w:type="paragraph" w:customStyle="1" w:styleId="1619">
    <w:name w:val="04"/>
    <w:basedOn w:val="1"/>
    <w:qFormat/>
    <w:uiPriority w:val="99"/>
    <w:pPr>
      <w:spacing w:line="312" w:lineRule="auto"/>
    </w:pPr>
    <w:rPr>
      <w:rFonts w:ascii="Times New Roman" w:hAnsi="Times New Roman" w:eastAsia="华文仿宋" w:cs="Times New Roman"/>
      <w:sz w:val="24"/>
      <w:szCs w:val="30"/>
    </w:rPr>
  </w:style>
  <w:style w:type="paragraph" w:customStyle="1" w:styleId="1620">
    <w:name w:val="列表 5K"/>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621">
    <w:name w:val="正文文字进缩"/>
    <w:basedOn w:val="1"/>
    <w:qFormat/>
    <w:uiPriority w:val="0"/>
    <w:pPr>
      <w:spacing w:line="360" w:lineRule="auto"/>
      <w:ind w:firstLine="539"/>
    </w:pPr>
    <w:rPr>
      <w:rFonts w:ascii="宋体" w:hAnsi="Arial Black" w:eastAsia="宋体" w:cs="Times New Roman"/>
      <w:bCs/>
      <w:iCs/>
      <w:sz w:val="28"/>
      <w:szCs w:val="24"/>
    </w:rPr>
  </w:style>
  <w:style w:type="paragraph" w:customStyle="1" w:styleId="1622">
    <w:name w:val="xl102"/>
    <w:basedOn w:val="1"/>
    <w:qFormat/>
    <w:uiPriority w:val="99"/>
    <w:pPr>
      <w:widowControl/>
      <w:pBdr>
        <w:top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623">
    <w:name w:val="列表 4J"/>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624">
    <w:name w:val="奉读大示，心折殊深。"/>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625">
    <w:name w:val="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626">
    <w:name w:val="acee正文"/>
    <w:basedOn w:val="1"/>
    <w:qFormat/>
    <w:uiPriority w:val="99"/>
    <w:pPr>
      <w:adjustRightInd w:val="0"/>
      <w:snapToGrid w:val="0"/>
      <w:spacing w:line="480" w:lineRule="exact"/>
      <w:ind w:firstLine="640" w:firstLineChars="200"/>
    </w:pPr>
    <w:rPr>
      <w:rFonts w:ascii="仿宋_GB2312" w:hAnsi="宋体" w:eastAsia="仿宋_GB2312" w:cs="Times New Roman"/>
      <w:sz w:val="32"/>
      <w:szCs w:val="24"/>
    </w:rPr>
  </w:style>
  <w:style w:type="paragraph" w:customStyle="1" w:styleId="1627">
    <w:name w:val="列表 2C"/>
    <w:basedOn w:val="35"/>
    <w:qFormat/>
    <w:uiPriority w:val="99"/>
    <w:pPr>
      <w:tabs>
        <w:tab w:val="left" w:pos="1275"/>
      </w:tabs>
      <w:snapToGrid/>
      <w:spacing w:before="100" w:beforeAutospacing="1" w:after="100" w:afterAutospacing="1" w:line="288" w:lineRule="auto"/>
      <w:ind w:left="1275" w:hanging="705"/>
      <w:jc w:val="both"/>
    </w:pPr>
    <w:rPr>
      <w:rFonts w:ascii="Arial" w:hAnsi="Arial"/>
      <w:color w:val="FFFF99"/>
      <w:sz w:val="24"/>
    </w:rPr>
  </w:style>
  <w:style w:type="paragraph" w:customStyle="1" w:styleId="1628">
    <w:name w:val="xl99"/>
    <w:basedOn w:val="1"/>
    <w:qFormat/>
    <w:uiPriority w:val="99"/>
    <w:pPr>
      <w:widowControl/>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1629">
    <w:name w:val="图目"/>
    <w:basedOn w:val="1"/>
    <w:qFormat/>
    <w:uiPriority w:val="99"/>
    <w:pPr>
      <w:adjustRightInd w:val="0"/>
      <w:spacing w:line="0" w:lineRule="atLeast"/>
      <w:jc w:val="center"/>
      <w:textAlignment w:val="baseline"/>
    </w:pPr>
    <w:rPr>
      <w:rFonts w:ascii="Arial" w:hAnsi="Arial" w:eastAsia="宋体" w:cs="Arial"/>
      <w:szCs w:val="20"/>
    </w:rPr>
  </w:style>
  <w:style w:type="paragraph" w:customStyle="1" w:styleId="1630">
    <w:name w:val="样式 黑体 居中 行距: 1.5 倍行距"/>
    <w:basedOn w:val="1"/>
    <w:qFormat/>
    <w:uiPriority w:val="0"/>
    <w:pPr>
      <w:spacing w:line="360" w:lineRule="auto"/>
      <w:jc w:val="center"/>
    </w:pPr>
    <w:rPr>
      <w:rFonts w:ascii="黑体" w:hAnsi="黑体" w:eastAsia="黑体" w:cs="宋体"/>
      <w:kern w:val="0"/>
      <w:sz w:val="24"/>
      <w:szCs w:val="20"/>
    </w:rPr>
  </w:style>
  <w:style w:type="paragraph" w:customStyle="1" w:styleId="1631">
    <w:name w:val="Char Char Char Char Char Char Char Char Char Char Char Char1 Char2"/>
    <w:basedOn w:val="1"/>
    <w:next w:val="1"/>
    <w:qFormat/>
    <w:uiPriority w:val="99"/>
    <w:pPr>
      <w:spacing w:line="336" w:lineRule="auto"/>
      <w:ind w:firstLine="200" w:firstLineChars="200"/>
    </w:pPr>
    <w:rPr>
      <w:rFonts w:ascii="宋体" w:hAnsi="宋体" w:eastAsia="汉鼎简书宋" w:cs="宋体"/>
      <w:sz w:val="24"/>
      <w:szCs w:val="24"/>
    </w:rPr>
  </w:style>
  <w:style w:type="paragraph" w:customStyle="1" w:styleId="1632">
    <w:name w:val="内蒙3"/>
    <w:basedOn w:val="6"/>
    <w:qFormat/>
    <w:uiPriority w:val="99"/>
    <w:pPr>
      <w:keepLines/>
      <w:numPr>
        <w:ilvl w:val="0"/>
        <w:numId w:val="0"/>
      </w:numPr>
      <w:spacing w:before="0" w:line="480" w:lineRule="exact"/>
    </w:pPr>
    <w:rPr>
      <w:rFonts w:ascii="Times New Roman" w:hAnsi="Times New Roman" w:cs="Times New Roman"/>
      <w:b/>
      <w:color w:val="FF0000"/>
      <w:spacing w:val="20"/>
      <w:kern w:val="0"/>
    </w:rPr>
  </w:style>
  <w:style w:type="paragraph" w:customStyle="1" w:styleId="1633">
    <w:name w:val="样式 标题 1 + (中文) 黑体 三号 居中 行距: 单倍行距"/>
    <w:basedOn w:val="3"/>
    <w:qFormat/>
    <w:uiPriority w:val="99"/>
    <w:pPr>
      <w:keepNext/>
      <w:keepLines/>
      <w:widowControl/>
      <w:topLinePunct/>
      <w:autoSpaceDE w:val="0"/>
      <w:autoSpaceDN w:val="0"/>
      <w:spacing w:before="340" w:beforeAutospacing="0" w:after="330" w:line="240" w:lineRule="auto"/>
      <w:ind w:left="420" w:firstLine="538" w:firstLineChars="224"/>
    </w:pPr>
    <w:rPr>
      <w:rFonts w:ascii="宋体" w:cs="宋体"/>
      <w:b w:val="0"/>
      <w:snapToGrid w:val="0"/>
      <w:sz w:val="32"/>
      <w:szCs w:val="20"/>
    </w:rPr>
  </w:style>
  <w:style w:type="paragraph" w:customStyle="1" w:styleId="1634">
    <w:name w:val="t12"/>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635">
    <w:name w:val="列表 2X"/>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36">
    <w:name w:val="文字表格"/>
    <w:basedOn w:val="303"/>
    <w:qFormat/>
    <w:uiPriority w:val="99"/>
    <w:pPr>
      <w:widowControl w:val="0"/>
      <w:tabs>
        <w:tab w:val="clear" w:pos="146"/>
      </w:tabs>
      <w:autoSpaceDE w:val="0"/>
      <w:autoSpaceDN w:val="0"/>
      <w:adjustRightInd w:val="0"/>
      <w:snapToGrid w:val="0"/>
      <w:spacing w:line="360" w:lineRule="atLeast"/>
      <w:ind w:right="0" w:rightChars="0" w:firstLine="0"/>
    </w:pPr>
    <w:rPr>
      <w:rFonts w:ascii="Times New Roman" w:hAnsi="Times New Roman" w:cs="宋体"/>
      <w:snapToGrid w:val="0"/>
      <w:color w:val="000000"/>
      <w:spacing w:val="0"/>
      <w:sz w:val="20"/>
      <w:szCs w:val="21"/>
      <w:lang w:val="zh-CN"/>
    </w:rPr>
  </w:style>
  <w:style w:type="paragraph" w:customStyle="1" w:styleId="1637">
    <w:name w:val="xl77"/>
    <w:basedOn w:val="1"/>
    <w:qFormat/>
    <w:uiPriority w:val="99"/>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638">
    <w:name w:val="s0"/>
    <w:qFormat/>
    <w:uiPriority w:val="99"/>
    <w:pPr>
      <w:widowControl w:val="0"/>
      <w:autoSpaceDE w:val="0"/>
      <w:autoSpaceDN w:val="0"/>
      <w:adjustRightInd w:val="0"/>
    </w:pPr>
    <w:rPr>
      <w:rFonts w:ascii="????" w:hAnsi="Times New Roman" w:eastAsia="????" w:cs="Times New Roman"/>
      <w:lang w:val="en-US" w:eastAsia="zh-CN" w:bidi="ar-SA"/>
    </w:rPr>
  </w:style>
  <w:style w:type="paragraph" w:customStyle="1" w:styleId="1639">
    <w:name w:val="xl108"/>
    <w:basedOn w:val="1"/>
    <w:qFormat/>
    <w:uiPriority w:val="99"/>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640">
    <w:name w:val="列表 3M"/>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641">
    <w:name w:val="正文文本缩进 31"/>
    <w:basedOn w:val="1"/>
    <w:qFormat/>
    <w:uiPriority w:val="99"/>
    <w:pPr>
      <w:adjustRightInd w:val="0"/>
      <w:spacing w:line="360" w:lineRule="atLeast"/>
      <w:ind w:firstLine="480"/>
      <w:textAlignment w:val="baseline"/>
    </w:pPr>
    <w:rPr>
      <w:rFonts w:ascii="宋体" w:hAnsi="Times New Roman" w:eastAsia="宋体" w:cs="Times New Roman"/>
      <w:kern w:val="0"/>
      <w:sz w:val="24"/>
      <w:szCs w:val="20"/>
    </w:rPr>
  </w:style>
  <w:style w:type="paragraph" w:customStyle="1" w:styleId="1642">
    <w:name w:val="列表 2M"/>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43">
    <w:name w:val="表样式"/>
    <w:basedOn w:val="1135"/>
    <w:qFormat/>
    <w:uiPriority w:val="99"/>
    <w:pPr>
      <w:keepNext w:val="0"/>
      <w:widowControl w:val="0"/>
      <w:spacing w:beforeLines="0" w:line="240" w:lineRule="auto"/>
    </w:pPr>
    <w:rPr>
      <w:rFonts w:ascii="仿宋_GB2312" w:eastAsia="黑体"/>
      <w:sz w:val="21"/>
    </w:rPr>
  </w:style>
  <w:style w:type="paragraph" w:customStyle="1" w:styleId="1644">
    <w:name w:val="列表 3G"/>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645">
    <w:name w:val="默认段落字体 Para Char Char Char Char Char Char Char"/>
    <w:basedOn w:val="1"/>
    <w:qFormat/>
    <w:uiPriority w:val="99"/>
    <w:rPr>
      <w:rFonts w:ascii="Times New Roman" w:hAnsi="Times New Roman" w:eastAsia="宋体" w:cs="Times New Roman"/>
      <w:szCs w:val="24"/>
    </w:rPr>
  </w:style>
  <w:style w:type="paragraph" w:customStyle="1" w:styleId="1646">
    <w:name w:val="Char Char Char Char Char Char Char Char Char Char Char Char Char Char Char Char Char Char Char"/>
    <w:basedOn w:val="1"/>
    <w:qFormat/>
    <w:uiPriority w:val="99"/>
    <w:rPr>
      <w:rFonts w:ascii="Times New Roman" w:hAnsi="Times New Roman" w:eastAsia="仿宋_GB2312" w:cs="Times New Roman"/>
    </w:rPr>
  </w:style>
  <w:style w:type="paragraph" w:customStyle="1" w:styleId="1647">
    <w:name w:val="样式 标题 1 + 黑体 三号 居中 行距: 固定值 20 磅"/>
    <w:basedOn w:val="3"/>
    <w:qFormat/>
    <w:uiPriority w:val="99"/>
    <w:pPr>
      <w:keepNext/>
      <w:keepLines/>
      <w:widowControl/>
      <w:topLinePunct/>
      <w:autoSpaceDE w:val="0"/>
      <w:autoSpaceDN w:val="0"/>
      <w:spacing w:before="340" w:beforeAutospacing="0" w:after="330" w:line="400" w:lineRule="exact"/>
      <w:ind w:left="420" w:firstLine="538" w:firstLineChars="224"/>
    </w:pPr>
    <w:rPr>
      <w:rFonts w:hAnsi="黑体" w:cs="宋体"/>
      <w:b w:val="0"/>
      <w:snapToGrid w:val="0"/>
      <w:sz w:val="32"/>
      <w:szCs w:val="20"/>
    </w:rPr>
  </w:style>
  <w:style w:type="paragraph" w:customStyle="1" w:styleId="1648">
    <w:name w:val="论文正文"/>
    <w:basedOn w:val="1"/>
    <w:qFormat/>
    <w:uiPriority w:val="0"/>
    <w:pPr>
      <w:ind w:firstLine="567"/>
    </w:pPr>
    <w:rPr>
      <w:rFonts w:ascii="Times New Roman" w:hAnsi="Times New Roman" w:eastAsia="宋体" w:cs="Times New Roman"/>
      <w:sz w:val="28"/>
      <w:szCs w:val="20"/>
    </w:rPr>
  </w:style>
  <w:style w:type="paragraph" w:customStyle="1" w:styleId="1649">
    <w:name w:val="样式 标题2　自动设置"/>
    <w:basedOn w:val="5"/>
    <w:qFormat/>
    <w:uiPriority w:val="99"/>
    <w:pPr>
      <w:keepLines/>
      <w:numPr>
        <w:ilvl w:val="0"/>
        <w:numId w:val="0"/>
      </w:numPr>
      <w:tabs>
        <w:tab w:val="left" w:pos="576"/>
      </w:tabs>
      <w:adjustRightInd/>
      <w:snapToGrid/>
      <w:spacing w:before="0" w:beforeLines="50" w:beforeAutospacing="0" w:afterLines="50" w:line="240" w:lineRule="auto"/>
      <w:ind w:left="576" w:hanging="576"/>
      <w:jc w:val="both"/>
    </w:pPr>
    <w:rPr>
      <w:rFonts w:eastAsia="宋体" w:cs="宋体"/>
      <w:b/>
      <w:kern w:val="0"/>
      <w:szCs w:val="20"/>
    </w:rPr>
  </w:style>
  <w:style w:type="paragraph" w:customStyle="1" w:styleId="1650">
    <w:name w:val="标题样式4"/>
    <w:basedOn w:val="7"/>
    <w:qFormat/>
    <w:uiPriority w:val="99"/>
    <w:pPr>
      <w:keepNext w:val="0"/>
      <w:numPr>
        <w:ilvl w:val="0"/>
        <w:numId w:val="0"/>
      </w:numPr>
      <w:tabs>
        <w:tab w:val="left" w:pos="360"/>
      </w:tabs>
      <w:adjustRightInd/>
      <w:snapToGrid/>
      <w:spacing w:before="0" w:beforeAutospacing="0"/>
      <w:jc w:val="both"/>
    </w:pPr>
    <w:rPr>
      <w:rFonts w:ascii="黑体" w:hAnsi="Times New Roman" w:eastAsia="黑体" w:cs="Times New Roman"/>
      <w:kern w:val="0"/>
      <w:sz w:val="28"/>
      <w:szCs w:val="24"/>
      <w:lang w:val="zh-CN"/>
    </w:rPr>
  </w:style>
  <w:style w:type="paragraph" w:customStyle="1" w:styleId="1651">
    <w:name w:val="列表 3D"/>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652">
    <w:name w:val="font14"/>
    <w:basedOn w:val="1"/>
    <w:qFormat/>
    <w:uiPriority w:val="99"/>
    <w:pPr>
      <w:widowControl/>
      <w:spacing w:before="100" w:beforeAutospacing="1" w:after="100" w:afterAutospacing="1"/>
      <w:jc w:val="left"/>
    </w:pPr>
    <w:rPr>
      <w:rFonts w:hint="eastAsia" w:ascii="宋体" w:hAnsi="宋体" w:eastAsia="宋体" w:cs="Arial Unicode MS"/>
      <w:b/>
      <w:bCs/>
      <w:kern w:val="0"/>
      <w:sz w:val="16"/>
      <w:szCs w:val="16"/>
    </w:rPr>
  </w:style>
  <w:style w:type="paragraph" w:customStyle="1" w:styleId="1653">
    <w:name w:val="正文文本最新 Char Char Char1 Char Char Char Char Char"/>
    <w:qFormat/>
    <w:uiPriority w:val="99"/>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654">
    <w:name w:val="正文文本缩进 21"/>
    <w:basedOn w:val="1"/>
    <w:qFormat/>
    <w:uiPriority w:val="99"/>
    <w:pPr>
      <w:adjustRightInd w:val="0"/>
      <w:spacing w:line="360" w:lineRule="auto"/>
      <w:ind w:firstLine="510"/>
      <w:textAlignment w:val="baseline"/>
    </w:pPr>
    <w:rPr>
      <w:rFonts w:ascii="宋体" w:hAnsi="宋体" w:eastAsia="宋体" w:cs="Times New Roman"/>
      <w:sz w:val="28"/>
      <w:szCs w:val="20"/>
    </w:rPr>
  </w:style>
  <w:style w:type="paragraph" w:customStyle="1" w:styleId="1655">
    <w:name w:val="列表 5P"/>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656">
    <w:name w:val="Char22"/>
    <w:basedOn w:val="1"/>
    <w:qFormat/>
    <w:uiPriority w:val="99"/>
    <w:pPr>
      <w:spacing w:line="360" w:lineRule="auto"/>
      <w:ind w:firstLine="200" w:firstLineChars="200"/>
    </w:pPr>
    <w:rPr>
      <w:rFonts w:ascii="宋体" w:hAnsi="宋体" w:eastAsia="宋体" w:cs="宋体"/>
      <w:sz w:val="24"/>
      <w:szCs w:val="24"/>
    </w:rPr>
  </w:style>
  <w:style w:type="paragraph" w:customStyle="1" w:styleId="1657">
    <w:name w:val="列表 4E"/>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658">
    <w:name w:val="样式 标题 1章1.标题 1章节H1一、标题标题 1PartHeading 1pHeading 1p1Hea..."/>
    <w:basedOn w:val="3"/>
    <w:qFormat/>
    <w:uiPriority w:val="99"/>
    <w:pPr>
      <w:keepNext/>
      <w:keepLines/>
      <w:widowControl/>
      <w:tabs>
        <w:tab w:val="left" w:pos="0"/>
        <w:tab w:val="left" w:pos="1260"/>
      </w:tabs>
      <w:snapToGrid/>
      <w:spacing w:before="0" w:beforeAutospacing="0" w:line="240" w:lineRule="atLeast"/>
      <w:ind w:left="896" w:hanging="420"/>
      <w:textAlignment w:val="baseline"/>
    </w:pPr>
    <w:rPr>
      <w:rFonts w:ascii="Times New Roman" w:cs="Times New Roman"/>
      <w:bCs/>
      <w:color w:val="000000"/>
      <w:szCs w:val="30"/>
    </w:rPr>
  </w:style>
  <w:style w:type="paragraph" w:customStyle="1" w:styleId="1659">
    <w:name w:val="Char3"/>
    <w:basedOn w:val="1"/>
    <w:qFormat/>
    <w:uiPriority w:val="99"/>
    <w:rPr>
      <w:rFonts w:ascii="Times New Roman" w:hAnsi="Times New Roman" w:eastAsia="宋体" w:cs="Times New Roman"/>
      <w:szCs w:val="24"/>
    </w:rPr>
  </w:style>
  <w:style w:type="paragraph" w:customStyle="1" w:styleId="1660">
    <w:name w:val="列表 2A"/>
    <w:basedOn w:val="35"/>
    <w:qFormat/>
    <w:uiPriority w:val="99"/>
    <w:pPr>
      <w:tabs>
        <w:tab w:val="left" w:pos="1335"/>
      </w:tabs>
      <w:snapToGrid/>
      <w:spacing w:before="100" w:beforeAutospacing="1" w:after="100" w:afterAutospacing="1" w:line="288" w:lineRule="auto"/>
      <w:ind w:left="1335" w:hanging="705"/>
      <w:jc w:val="both"/>
    </w:pPr>
    <w:rPr>
      <w:rFonts w:ascii="Arial" w:hAnsi="Arial"/>
      <w:color w:val="FFFF99"/>
      <w:sz w:val="24"/>
    </w:rPr>
  </w:style>
  <w:style w:type="paragraph" w:customStyle="1" w:styleId="1661">
    <w:name w:val="hb3"/>
    <w:basedOn w:val="6"/>
    <w:qFormat/>
    <w:uiPriority w:val="99"/>
    <w:pPr>
      <w:keepLines/>
      <w:numPr>
        <w:ilvl w:val="0"/>
        <w:numId w:val="0"/>
      </w:numPr>
      <w:snapToGrid/>
      <w:spacing w:before="260" w:after="260" w:line="500" w:lineRule="exact"/>
      <w:textAlignment w:val="baseline"/>
    </w:pPr>
    <w:rPr>
      <w:rFonts w:ascii="Times New Roman" w:hAnsi="Times New Roman" w:eastAsia="宋体" w:cs="Times New Roman"/>
      <w:b/>
      <w:bCs/>
      <w:kern w:val="0"/>
      <w:sz w:val="28"/>
      <w:szCs w:val="28"/>
    </w:rPr>
  </w:style>
  <w:style w:type="paragraph" w:customStyle="1" w:styleId="1662">
    <w:name w:val="列表 4Y"/>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663">
    <w:name w:val="列表 2P"/>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64">
    <w:name w:val="样式 标题 1一、1.标题 1标题 1 Char标1章节标题-*+章标题 1文章标题h11st level..."/>
    <w:basedOn w:val="3"/>
    <w:qFormat/>
    <w:uiPriority w:val="99"/>
    <w:pPr>
      <w:tabs>
        <w:tab w:val="left" w:pos="57"/>
      </w:tabs>
      <w:spacing w:before="240" w:beforeAutospacing="0" w:afterLines="50" w:line="312" w:lineRule="auto"/>
      <w:ind w:left="420" w:right="227" w:hanging="420"/>
      <w:jc w:val="both"/>
      <w:textAlignment w:val="baseline"/>
    </w:pPr>
    <w:rPr>
      <w:rFonts w:ascii="Times New Roman" w:cs="Times New Roman"/>
      <w:bCs/>
      <w:snapToGrid w:val="0"/>
      <w:kern w:val="0"/>
      <w:sz w:val="36"/>
      <w:szCs w:val="20"/>
    </w:rPr>
  </w:style>
  <w:style w:type="paragraph" w:customStyle="1" w:styleId="1665">
    <w:name w:val="环保表内字（五号）"/>
    <w:basedOn w:val="1"/>
    <w:link w:val="1666"/>
    <w:qFormat/>
    <w:uiPriority w:val="0"/>
    <w:rPr>
      <w:rFonts w:ascii="Times New Roman" w:hAnsi="Times New Roman" w:eastAsia="宋体" w:cs="宋体"/>
    </w:rPr>
  </w:style>
  <w:style w:type="character" w:customStyle="1" w:styleId="1666">
    <w:name w:val="环保表内字（五号） Char Char"/>
    <w:link w:val="1665"/>
    <w:qFormat/>
    <w:uiPriority w:val="0"/>
    <w:rPr>
      <w:rFonts w:ascii="Times New Roman" w:hAnsi="Times New Roman" w:eastAsia="宋体" w:cs="宋体"/>
      <w:kern w:val="2"/>
      <w:sz w:val="21"/>
      <w:szCs w:val="21"/>
    </w:rPr>
  </w:style>
  <w:style w:type="paragraph" w:customStyle="1" w:styleId="1667">
    <w:name w:val="目录"/>
    <w:basedOn w:val="55"/>
    <w:qFormat/>
    <w:uiPriority w:val="99"/>
    <w:pPr>
      <w:widowControl w:val="0"/>
      <w:tabs>
        <w:tab w:val="right" w:leader="dot" w:pos="9060"/>
        <w:tab w:val="clear" w:pos="8302"/>
      </w:tabs>
      <w:adjustRightInd/>
      <w:snapToGrid/>
      <w:spacing w:before="120" w:after="120" w:line="420" w:lineRule="atLeast"/>
    </w:pPr>
    <w:rPr>
      <w:rFonts w:hAnsi="Times New Roman" w:cs="Times New Roman"/>
      <w:b w:val="0"/>
      <w:bCs w:val="0"/>
      <w:spacing w:val="12"/>
      <w:kern w:val="44"/>
      <w:sz w:val="44"/>
      <w:szCs w:val="20"/>
    </w:rPr>
  </w:style>
  <w:style w:type="paragraph" w:customStyle="1" w:styleId="1668">
    <w:name w:val="赵文本"/>
    <w:basedOn w:val="1"/>
    <w:qFormat/>
    <w:uiPriority w:val="0"/>
    <w:pPr>
      <w:ind w:firstLine="480" w:firstLineChars="200"/>
      <w:jc w:val="left"/>
    </w:pPr>
    <w:rPr>
      <w:rFonts w:ascii="Times New Roman" w:hAnsi="Times New Roman" w:eastAsia="仿宋_GB2312" w:cs="Times New Roman"/>
      <w:sz w:val="24"/>
      <w:szCs w:val="32"/>
    </w:rPr>
  </w:style>
  <w:style w:type="paragraph" w:customStyle="1" w:styleId="1669">
    <w:name w:val="正文11 Char Char"/>
    <w:basedOn w:val="1"/>
    <w:qFormat/>
    <w:uiPriority w:val="99"/>
    <w:pPr>
      <w:adjustRightInd w:val="0"/>
      <w:spacing w:line="360" w:lineRule="auto"/>
      <w:ind w:left="6" w:firstLine="474"/>
      <w:jc w:val="left"/>
      <w:textAlignment w:val="baseline"/>
    </w:pPr>
    <w:rPr>
      <w:rFonts w:ascii="宋体" w:hAnsi="宋体" w:eastAsia="仿宋_GB2312" w:cs="Times New Roman"/>
      <w:snapToGrid w:val="0"/>
      <w:kern w:val="0"/>
      <w:sz w:val="24"/>
      <w:szCs w:val="24"/>
    </w:rPr>
  </w:style>
  <w:style w:type="paragraph" w:customStyle="1" w:styleId="1670">
    <w:name w:val="列表 5F"/>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671">
    <w:name w:val="样式 黑色 首行缩进:  2 字符"/>
    <w:basedOn w:val="1"/>
    <w:qFormat/>
    <w:uiPriority w:val="99"/>
    <w:pPr>
      <w:spacing w:line="360" w:lineRule="auto"/>
      <w:ind w:firstLine="560" w:firstLineChars="200"/>
    </w:pPr>
    <w:rPr>
      <w:rFonts w:ascii="宋体" w:hAnsi="Times New Roman" w:eastAsia="宋体" w:cs="宋体"/>
      <w:color w:val="000000"/>
      <w:sz w:val="28"/>
      <w:szCs w:val="28"/>
    </w:rPr>
  </w:style>
  <w:style w:type="paragraph" w:customStyle="1" w:styleId="1672">
    <w:name w:val="列出段落1"/>
    <w:basedOn w:val="1"/>
    <w:qFormat/>
    <w:uiPriority w:val="99"/>
    <w:pPr>
      <w:ind w:firstLine="420" w:firstLineChars="200"/>
    </w:pPr>
    <w:rPr>
      <w:rFonts w:ascii="Calibri" w:hAnsi="Calibri" w:eastAsia="宋体" w:cs="Times New Roman"/>
      <w:szCs w:val="20"/>
    </w:rPr>
  </w:style>
  <w:style w:type="paragraph" w:customStyle="1" w:styleId="1673">
    <w:name w:val="列表 4H"/>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674">
    <w:name w:val="表头1"/>
    <w:basedOn w:val="1"/>
    <w:qFormat/>
    <w:uiPriority w:val="0"/>
    <w:pPr>
      <w:jc w:val="center"/>
    </w:pPr>
    <w:rPr>
      <w:rFonts w:ascii="Times New Roman" w:hAnsi="Times New Roman" w:eastAsia="宋体" w:cs="Times New Roman"/>
      <w:bCs/>
      <w:sz w:val="18"/>
      <w:szCs w:val="24"/>
    </w:rPr>
  </w:style>
  <w:style w:type="paragraph" w:customStyle="1" w:styleId="1675">
    <w:name w:val="列表 2F"/>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76">
    <w:name w:val="基准页眉样式"/>
    <w:basedOn w:val="32"/>
    <w:qFormat/>
    <w:uiPriority w:val="99"/>
    <w:pPr>
      <w:keepLines/>
      <w:widowControl/>
      <w:tabs>
        <w:tab w:val="center" w:pos="4320"/>
        <w:tab w:val="right" w:pos="8640"/>
      </w:tabs>
      <w:spacing w:after="0" w:line="280" w:lineRule="exact"/>
      <w:jc w:val="center"/>
    </w:pPr>
    <w:rPr>
      <w:rFonts w:ascii="Times New Roman" w:hAnsi="Times New Roman" w:eastAsia="宋体" w:cs="Times New Roman"/>
      <w:kern w:val="0"/>
      <w:sz w:val="30"/>
      <w:szCs w:val="20"/>
    </w:rPr>
  </w:style>
  <w:style w:type="paragraph" w:customStyle="1" w:styleId="1677">
    <w:name w:val="Char Char Char Char Char Char1 Char2"/>
    <w:basedOn w:val="1"/>
    <w:qFormat/>
    <w:uiPriority w:val="99"/>
    <w:rPr>
      <w:rFonts w:ascii="Times New Roman" w:hAnsi="Times New Roman" w:eastAsia="宋体" w:cs="Times New Roman"/>
      <w:szCs w:val="24"/>
    </w:rPr>
  </w:style>
  <w:style w:type="paragraph" w:customStyle="1" w:styleId="1678">
    <w:name w:val="正文文本 21"/>
    <w:basedOn w:val="1"/>
    <w:qFormat/>
    <w:uiPriority w:val="99"/>
    <w:pPr>
      <w:adjustRightInd w:val="0"/>
      <w:ind w:left="425"/>
      <w:jc w:val="left"/>
      <w:textAlignment w:val="baseline"/>
    </w:pPr>
    <w:rPr>
      <w:rFonts w:ascii="宋体" w:hAnsi="Times New Roman" w:eastAsia="宋体" w:cs="Times New Roman"/>
      <w:kern w:val="0"/>
      <w:sz w:val="24"/>
      <w:szCs w:val="20"/>
    </w:rPr>
  </w:style>
  <w:style w:type="paragraph" w:customStyle="1" w:styleId="1679">
    <w:name w:val="Pa0"/>
    <w:basedOn w:val="1"/>
    <w:next w:val="1"/>
    <w:qFormat/>
    <w:uiPriority w:val="99"/>
    <w:pPr>
      <w:autoSpaceDE w:val="0"/>
      <w:autoSpaceDN w:val="0"/>
      <w:adjustRightInd w:val="0"/>
      <w:spacing w:line="241" w:lineRule="atLeast"/>
      <w:jc w:val="left"/>
    </w:pPr>
    <w:rPr>
      <w:rFonts w:ascii="黑体" w:hAnsi="Times New Roman" w:eastAsia="黑体" w:cs="Times New Roman"/>
      <w:kern w:val="0"/>
      <w:sz w:val="24"/>
      <w:szCs w:val="24"/>
    </w:rPr>
  </w:style>
  <w:style w:type="paragraph" w:customStyle="1" w:styleId="1680">
    <w:name w:val="列表 2I"/>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81">
    <w:name w:val="图表目录2"/>
    <w:basedOn w:val="421"/>
    <w:next w:val="421"/>
    <w:qFormat/>
    <w:uiPriority w:val="99"/>
    <w:pPr>
      <w:tabs>
        <w:tab w:val="right" w:leader="dot" w:pos="8051"/>
      </w:tabs>
      <w:ind w:left="840" w:hanging="840"/>
    </w:pPr>
    <w:rPr>
      <w:sz w:val="24"/>
    </w:rPr>
  </w:style>
  <w:style w:type="paragraph" w:customStyle="1" w:styleId="1682">
    <w:name w:val="sec（1）"/>
    <w:basedOn w:val="1"/>
    <w:qFormat/>
    <w:uiPriority w:val="99"/>
    <w:pPr>
      <w:tabs>
        <w:tab w:val="left" w:pos="1134"/>
      </w:tabs>
      <w:spacing w:beforeLines="20" w:afterLines="20"/>
      <w:ind w:left="1134" w:hanging="964"/>
    </w:pPr>
    <w:rPr>
      <w:rFonts w:ascii="宋体" w:hAnsi="宋体" w:eastAsia="宋体" w:cs="Times New Roman"/>
      <w:color w:val="000000"/>
      <w:sz w:val="24"/>
      <w:szCs w:val="20"/>
    </w:rPr>
  </w:style>
  <w:style w:type="paragraph" w:customStyle="1" w:styleId="1683">
    <w:name w:val="列表 3I"/>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684">
    <w:name w:val="样式 行距: 1.5 倍行距"/>
    <w:basedOn w:val="1"/>
    <w:qFormat/>
    <w:uiPriority w:val="99"/>
    <w:pPr>
      <w:spacing w:line="360" w:lineRule="auto"/>
      <w:ind w:firstLine="200" w:firstLineChars="200"/>
    </w:pPr>
    <w:rPr>
      <w:rFonts w:ascii="Times New Roman" w:hAnsi="Times New Roman" w:eastAsia="宋体" w:cs="宋体"/>
      <w:sz w:val="24"/>
      <w:szCs w:val="24"/>
    </w:rPr>
  </w:style>
  <w:style w:type="paragraph" w:customStyle="1" w:styleId="1685">
    <w:name w:val="图1-1"/>
    <w:basedOn w:val="448"/>
    <w:qFormat/>
    <w:uiPriority w:val="99"/>
    <w:pPr>
      <w:keepLines/>
      <w:tabs>
        <w:tab w:val="clear" w:pos="0"/>
      </w:tabs>
      <w:spacing w:line="240" w:lineRule="auto"/>
      <w:ind w:firstLine="0" w:firstLineChars="0"/>
      <w:jc w:val="center"/>
    </w:pPr>
    <w:rPr>
      <w:rFonts w:ascii="Times New Roman"/>
      <w:b w:val="0"/>
      <w:sz w:val="21"/>
      <w:szCs w:val="24"/>
    </w:rPr>
  </w:style>
  <w:style w:type="paragraph" w:customStyle="1" w:styleId="1686">
    <w:name w:val="列表 3N"/>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687">
    <w:name w:val="列表 4T"/>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688">
    <w:name w:val="列表 3C"/>
    <w:basedOn w:val="13"/>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689">
    <w:name w:val="正文5"/>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690">
    <w:name w:val="样式 样式 标题 3H3H31H32H33u3条标题1.1.1Heading 3 - oldBold Headbh... + 非..."/>
    <w:basedOn w:val="1335"/>
    <w:next w:val="1335"/>
    <w:qFormat/>
    <w:uiPriority w:val="99"/>
    <w:rPr>
      <w:b w:val="0"/>
      <w:bCs/>
    </w:rPr>
  </w:style>
  <w:style w:type="paragraph" w:customStyle="1" w:styleId="1691">
    <w:name w:val="列表 N"/>
    <w:basedOn w:val="60"/>
    <w:qFormat/>
    <w:uiPriority w:val="99"/>
    <w:pPr>
      <w:tabs>
        <w:tab w:val="left" w:pos="425"/>
      </w:tabs>
      <w:spacing w:beforeLines="100" w:afterLines="50" w:line="288" w:lineRule="auto"/>
      <w:ind w:left="425" w:hanging="425"/>
    </w:pPr>
    <w:rPr>
      <w:rFonts w:ascii="Arial" w:hAnsi="Arial" w:eastAsia="宋体"/>
      <w:b/>
      <w:bCs/>
      <w:color w:val="FF99CC"/>
      <w:kern w:val="0"/>
      <w:szCs w:val="20"/>
    </w:rPr>
  </w:style>
  <w:style w:type="paragraph" w:customStyle="1" w:styleId="1692">
    <w:name w:val="样式 湛江钢铁正文 +"/>
    <w:basedOn w:val="1"/>
    <w:qFormat/>
    <w:uiPriority w:val="99"/>
    <w:pPr>
      <w:adjustRightInd w:val="0"/>
      <w:spacing w:afterLines="25" w:line="360" w:lineRule="auto"/>
      <w:ind w:firstLine="480" w:firstLineChars="200"/>
      <w:jc w:val="left"/>
      <w:textAlignment w:val="baseline"/>
    </w:pPr>
    <w:rPr>
      <w:rFonts w:ascii="Times New Roman" w:hAnsi="Times New Roman" w:eastAsia="仿宋_GB2312" w:cs="Times New Roman"/>
      <w:color w:val="000000"/>
      <w:kern w:val="0"/>
      <w:sz w:val="24"/>
      <w:szCs w:val="24"/>
    </w:rPr>
  </w:style>
  <w:style w:type="paragraph" w:customStyle="1" w:styleId="1693">
    <w:name w:val="列表 2O"/>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94">
    <w:name w:val="a4"/>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695">
    <w:name w:val="日期11"/>
    <w:basedOn w:val="1"/>
    <w:next w:val="1"/>
    <w:qFormat/>
    <w:uiPriority w:val="99"/>
    <w:pPr>
      <w:adjustRightInd w:val="0"/>
      <w:spacing w:line="360" w:lineRule="atLeast"/>
      <w:textAlignment w:val="baseline"/>
    </w:pPr>
    <w:rPr>
      <w:rFonts w:ascii="宋体" w:hAnsi="Times New Roman" w:eastAsia="宋体" w:cs="Times New Roman"/>
      <w:spacing w:val="20"/>
      <w:kern w:val="0"/>
      <w:sz w:val="28"/>
      <w:szCs w:val="20"/>
    </w:rPr>
  </w:style>
  <w:style w:type="paragraph" w:customStyle="1" w:styleId="1696">
    <w:name w:val="Char Char Char1 Char2"/>
    <w:basedOn w:val="1"/>
    <w:qFormat/>
    <w:uiPriority w:val="99"/>
    <w:rPr>
      <w:rFonts w:ascii="Times New Roman" w:hAnsi="Times New Roman" w:eastAsia="宋体" w:cs="Times New Roman"/>
      <w:szCs w:val="24"/>
    </w:rPr>
  </w:style>
  <w:style w:type="paragraph" w:customStyle="1" w:styleId="1697">
    <w:name w:val="表体"/>
    <w:basedOn w:val="1"/>
    <w:qFormat/>
    <w:uiPriority w:val="99"/>
    <w:pPr>
      <w:adjustRightInd w:val="0"/>
      <w:snapToGrid w:val="0"/>
      <w:spacing w:beforeLines="20" w:afterLines="20"/>
      <w:jc w:val="center"/>
    </w:pPr>
    <w:rPr>
      <w:rFonts w:ascii="Times New Roman" w:hAnsi="Times New Roman" w:eastAsia="宋体" w:cs="Times New Roman"/>
      <w:szCs w:val="24"/>
    </w:rPr>
  </w:style>
  <w:style w:type="paragraph" w:customStyle="1" w:styleId="1698">
    <w:name w:val="reader-word-layer reader-word-s1-2"/>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699">
    <w:name w:val="样式 标题 2H2节标题 1.1节标题 1.1 Char1.1  标题 2  节标题 1.1第一章 标题 2Head..."/>
    <w:basedOn w:val="5"/>
    <w:qFormat/>
    <w:uiPriority w:val="99"/>
    <w:pPr>
      <w:keepLines/>
      <w:numPr>
        <w:ilvl w:val="0"/>
        <w:numId w:val="0"/>
      </w:numPr>
      <w:adjustRightInd/>
      <w:snapToGrid/>
      <w:spacing w:before="0" w:beforeAutospacing="0"/>
      <w:ind w:left="420" w:hanging="420"/>
      <w:jc w:val="both"/>
    </w:pPr>
    <w:rPr>
      <w:rFonts w:ascii="Times New Roman" w:hAnsi="Times New Roman" w:eastAsia="宋体" w:cs="宋体"/>
      <w:b/>
      <w:kern w:val="0"/>
      <w:sz w:val="24"/>
      <w:szCs w:val="20"/>
    </w:rPr>
  </w:style>
  <w:style w:type="paragraph" w:customStyle="1" w:styleId="1700">
    <w:name w:val="a"/>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701">
    <w:name w:val="样式 目录 2 + 左侧:  2 字符 首行缩进:  2 字符"/>
    <w:basedOn w:val="67"/>
    <w:qFormat/>
    <w:uiPriority w:val="99"/>
    <w:pPr>
      <w:widowControl w:val="0"/>
      <w:tabs>
        <w:tab w:val="right" w:leader="dot" w:pos="8296"/>
        <w:tab w:val="right" w:leader="dot" w:pos="9060"/>
        <w:tab w:val="clear" w:pos="8302"/>
      </w:tabs>
      <w:adjustRightInd/>
      <w:spacing w:after="40"/>
      <w:ind w:left="0" w:leftChars="0" w:firstLine="476"/>
    </w:pPr>
    <w:rPr>
      <w:rFonts w:ascii="Times New Roman" w:hAnsi="Calibri" w:eastAsia="黑体" w:cs="宋体"/>
      <w:iCs w:val="0"/>
      <w:smallCaps/>
      <w:spacing w:val="20"/>
    </w:rPr>
  </w:style>
  <w:style w:type="paragraph" w:customStyle="1" w:styleId="1702">
    <w:name w:val="样式 标题 2H2H21b2h2l22nd levelTitre22Header 2sect 1.2DO ..."/>
    <w:basedOn w:val="5"/>
    <w:qFormat/>
    <w:uiPriority w:val="99"/>
    <w:pPr>
      <w:keepLines/>
      <w:numPr>
        <w:ilvl w:val="0"/>
        <w:numId w:val="0"/>
      </w:numPr>
      <w:adjustRightInd/>
      <w:snapToGrid/>
      <w:spacing w:before="240" w:beforeAutospacing="0" w:after="240" w:line="240" w:lineRule="auto"/>
      <w:ind w:left="420" w:hanging="420"/>
      <w:jc w:val="both"/>
    </w:pPr>
    <w:rPr>
      <w:rFonts w:ascii="Times New Roman" w:hAnsi="Times New Roman" w:cs="Times New Roman"/>
      <w:color w:val="FF0000"/>
      <w:spacing w:val="20"/>
      <w:kern w:val="0"/>
      <w:szCs w:val="20"/>
    </w:rPr>
  </w:style>
  <w:style w:type="paragraph" w:customStyle="1" w:styleId="1703">
    <w:name w:val="Char Char Char Char Char Char1 Char Char Char Char1"/>
    <w:basedOn w:val="1"/>
    <w:qFormat/>
    <w:uiPriority w:val="99"/>
    <w:rPr>
      <w:rFonts w:ascii="Times New Roman" w:hAnsi="Times New Roman" w:eastAsia="宋体" w:cs="Times New Roman"/>
      <w:szCs w:val="24"/>
    </w:rPr>
  </w:style>
  <w:style w:type="paragraph" w:customStyle="1" w:styleId="1704">
    <w:name w:val="报告书"/>
    <w:basedOn w:val="1"/>
    <w:qFormat/>
    <w:uiPriority w:val="99"/>
    <w:pPr>
      <w:autoSpaceDE w:val="0"/>
      <w:autoSpaceDN w:val="0"/>
      <w:adjustRightInd w:val="0"/>
      <w:spacing w:line="360" w:lineRule="auto"/>
      <w:ind w:firstLine="505"/>
      <w:jc w:val="left"/>
      <w:textAlignment w:val="bottom"/>
    </w:pPr>
    <w:rPr>
      <w:rFonts w:ascii="Times New Roman" w:hAnsi="Times New Roman" w:eastAsia="宋体" w:cs="Times New Roman"/>
      <w:kern w:val="0"/>
      <w:sz w:val="24"/>
      <w:szCs w:val="20"/>
    </w:rPr>
  </w:style>
  <w:style w:type="paragraph" w:customStyle="1" w:styleId="1705">
    <w:name w:val="lyh 0.0.0.0"/>
    <w:next w:val="1"/>
    <w:qFormat/>
    <w:uiPriority w:val="0"/>
    <w:pPr>
      <w:adjustRightInd w:val="0"/>
      <w:snapToGrid w:val="0"/>
      <w:spacing w:line="360" w:lineRule="auto"/>
      <w:outlineLvl w:val="3"/>
    </w:pPr>
    <w:rPr>
      <w:rFonts w:ascii="宋体" w:hAnsi="宋体" w:eastAsia="宋体" w:cs="Times New Roman"/>
      <w:sz w:val="28"/>
      <w:szCs w:val="24"/>
      <w:lang w:val="en-US" w:eastAsia="zh-CN" w:bidi="ar-SA"/>
    </w:rPr>
  </w:style>
  <w:style w:type="paragraph" w:customStyle="1" w:styleId="1706">
    <w:name w:val="样式 (符号) 宋体 首行缩进:  0.93 厘米 段前: 6 磅 段后: 6 磅 行距: 固定值 18 磅1"/>
    <w:basedOn w:val="1"/>
    <w:qFormat/>
    <w:uiPriority w:val="0"/>
    <w:pPr>
      <w:spacing w:before="160" w:after="160" w:line="320" w:lineRule="exact"/>
      <w:ind w:firstLine="527"/>
    </w:pPr>
    <w:rPr>
      <w:rFonts w:ascii="Times New Roman" w:hAnsi="宋体" w:eastAsia="宋体" w:cs="Times New Roman"/>
      <w:sz w:val="24"/>
      <w:szCs w:val="20"/>
    </w:rPr>
  </w:style>
  <w:style w:type="paragraph" w:customStyle="1" w:styleId="1707">
    <w:name w:val="二级标题"/>
    <w:basedOn w:val="1"/>
    <w:next w:val="1"/>
    <w:qFormat/>
    <w:uiPriority w:val="0"/>
    <w:pPr>
      <w:keepNext/>
      <w:adjustRightInd w:val="0"/>
      <w:spacing w:before="240" w:after="240" w:line="312" w:lineRule="atLeast"/>
      <w:jc w:val="center"/>
    </w:pPr>
    <w:rPr>
      <w:rFonts w:ascii="Times New Roman" w:hAnsi="Times New Roman" w:eastAsia="宋体" w:cs="Times New Roman"/>
      <w:kern w:val="0"/>
      <w:sz w:val="28"/>
      <w:szCs w:val="20"/>
    </w:rPr>
  </w:style>
  <w:style w:type="paragraph" w:customStyle="1" w:styleId="1708">
    <w:name w:val="尾注文本11"/>
    <w:basedOn w:val="375"/>
    <w:qFormat/>
    <w:uiPriority w:val="99"/>
    <w:rPr>
      <w:sz w:val="21"/>
    </w:rPr>
  </w:style>
  <w:style w:type="paragraph" w:customStyle="1" w:styleId="1709">
    <w:name w:val="Char Char Char Char Char Char Char Char Char Char Char Char1 Char Char Char Char Char Char Char Char Char Char Char Char1 Char2"/>
    <w:basedOn w:val="1"/>
    <w:next w:val="1"/>
    <w:qFormat/>
    <w:uiPriority w:val="0"/>
    <w:pPr>
      <w:spacing w:line="336" w:lineRule="auto"/>
      <w:ind w:firstLine="200" w:firstLineChars="200"/>
    </w:pPr>
    <w:rPr>
      <w:rFonts w:ascii="宋体" w:hAnsi="宋体" w:eastAsia="汉鼎简书宋" w:cs="宋体"/>
      <w:sz w:val="24"/>
      <w:szCs w:val="24"/>
    </w:rPr>
  </w:style>
  <w:style w:type="paragraph" w:customStyle="1" w:styleId="1710">
    <w:name w:val="正文文本缩进 32"/>
    <w:basedOn w:val="1"/>
    <w:qFormat/>
    <w:uiPriority w:val="99"/>
    <w:pPr>
      <w:adjustRightInd w:val="0"/>
      <w:spacing w:line="360" w:lineRule="atLeast"/>
      <w:ind w:firstLine="480"/>
      <w:textAlignment w:val="baseline"/>
    </w:pPr>
    <w:rPr>
      <w:rFonts w:ascii="宋体" w:hAnsi="Times New Roman" w:eastAsia="宋体" w:cs="Times New Roman"/>
      <w:kern w:val="0"/>
      <w:sz w:val="24"/>
      <w:szCs w:val="20"/>
    </w:rPr>
  </w:style>
  <w:style w:type="paragraph" w:customStyle="1" w:styleId="1711">
    <w:name w:val="正文文本缩进 211"/>
    <w:basedOn w:val="1"/>
    <w:qFormat/>
    <w:uiPriority w:val="99"/>
    <w:pPr>
      <w:adjustRightInd w:val="0"/>
      <w:spacing w:line="360" w:lineRule="auto"/>
      <w:ind w:firstLine="510"/>
      <w:textAlignment w:val="baseline"/>
    </w:pPr>
    <w:rPr>
      <w:rFonts w:ascii="宋体" w:hAnsi="宋体" w:eastAsia="宋体" w:cs="Times New Roman"/>
      <w:sz w:val="28"/>
      <w:szCs w:val="20"/>
    </w:rPr>
  </w:style>
  <w:style w:type="paragraph" w:customStyle="1" w:styleId="1712">
    <w:name w:val="内蒙图"/>
    <w:basedOn w:val="1251"/>
    <w:qFormat/>
    <w:uiPriority w:val="99"/>
    <w:pPr>
      <w:jc w:val="center"/>
    </w:pPr>
    <w:rPr>
      <w:rFonts w:eastAsia="黑体"/>
    </w:rPr>
  </w:style>
  <w:style w:type="paragraph" w:customStyle="1" w:styleId="1713">
    <w:name w:val="Char4 Char Char Char Char Char Char11"/>
    <w:basedOn w:val="1"/>
    <w:qFormat/>
    <w:uiPriority w:val="99"/>
    <w:pPr>
      <w:spacing w:line="360" w:lineRule="auto"/>
      <w:ind w:firstLine="200" w:firstLineChars="200"/>
    </w:pPr>
    <w:rPr>
      <w:rFonts w:ascii="宋体" w:hAnsi="宋体" w:eastAsia="宋体" w:cs="宋体"/>
      <w:sz w:val="24"/>
      <w:szCs w:val="24"/>
    </w:rPr>
  </w:style>
  <w:style w:type="paragraph" w:customStyle="1" w:styleId="1714">
    <w:name w:val="xl123"/>
    <w:basedOn w:val="1"/>
    <w:qFormat/>
    <w:uiPriority w:val="99"/>
    <w:pPr>
      <w:widowControl/>
      <w:pBdr>
        <w:left w:val="single" w:color="auto" w:sz="4" w:space="0"/>
        <w:bottom w:val="single" w:color="auto" w:sz="4" w:space="0"/>
        <w:right w:val="single" w:color="auto" w:sz="8" w:space="0"/>
      </w:pBdr>
      <w:spacing w:before="100" w:beforeAutospacing="1" w:after="100" w:afterAutospacing="1"/>
      <w:jc w:val="right"/>
    </w:pPr>
    <w:rPr>
      <w:rFonts w:ascii="Arial Unicode MS" w:hAnsi="Arial Unicode MS" w:eastAsia="Arial Unicode MS" w:cs="Arial Unicode MS"/>
      <w:kern w:val="0"/>
      <w:sz w:val="24"/>
      <w:szCs w:val="24"/>
    </w:rPr>
  </w:style>
  <w:style w:type="paragraph" w:customStyle="1" w:styleId="1715">
    <w:name w:val="表的格式（小四）"/>
    <w:basedOn w:val="1"/>
    <w:qFormat/>
    <w:uiPriority w:val="99"/>
    <w:pPr>
      <w:adjustRightInd w:val="0"/>
      <w:spacing w:line="360" w:lineRule="atLeast"/>
      <w:jc w:val="center"/>
    </w:pPr>
    <w:rPr>
      <w:rFonts w:ascii="Times New Roman" w:hAnsi="Times New Roman" w:eastAsia="宋体" w:cs="Times New Roman"/>
      <w:kern w:val="0"/>
      <w:sz w:val="24"/>
      <w:szCs w:val="20"/>
    </w:rPr>
  </w:style>
  <w:style w:type="paragraph" w:customStyle="1" w:styleId="1716">
    <w:name w:val="项目符号2"/>
    <w:basedOn w:val="1717"/>
    <w:qFormat/>
    <w:uiPriority w:val="0"/>
    <w:pPr>
      <w:tabs>
        <w:tab w:val="left" w:pos="1146"/>
      </w:tabs>
      <w:spacing w:line="312" w:lineRule="auto"/>
      <w:ind w:left="850" w:hanging="720"/>
    </w:pPr>
    <w:rPr>
      <w:b/>
    </w:rPr>
  </w:style>
  <w:style w:type="paragraph" w:customStyle="1" w:styleId="1717">
    <w:name w:val="项目符号1"/>
    <w:basedOn w:val="1"/>
    <w:qFormat/>
    <w:uiPriority w:val="0"/>
    <w:pPr>
      <w:spacing w:line="336" w:lineRule="auto"/>
    </w:pPr>
    <w:rPr>
      <w:rFonts w:ascii="Times New Roman" w:hAnsi="Times New Roman" w:eastAsia="宋体" w:cs="Times New Roman"/>
      <w:sz w:val="24"/>
      <w:szCs w:val="20"/>
    </w:rPr>
  </w:style>
  <w:style w:type="paragraph" w:customStyle="1" w:styleId="1718">
    <w:name w:val="正文4"/>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719">
    <w:name w:val="公式样式1"/>
    <w:basedOn w:val="1"/>
    <w:qFormat/>
    <w:uiPriority w:val="99"/>
    <w:pPr>
      <w:jc w:val="center"/>
    </w:pPr>
    <w:rPr>
      <w:rFonts w:ascii="Times New Roman" w:hAnsi="Times New Roman" w:eastAsia="宋体" w:cs="Times New Roman"/>
    </w:rPr>
  </w:style>
  <w:style w:type="paragraph" w:customStyle="1" w:styleId="1720">
    <w:name w:val="列出段落2"/>
    <w:basedOn w:val="1"/>
    <w:qFormat/>
    <w:uiPriority w:val="99"/>
    <w:pPr>
      <w:ind w:firstLine="420" w:firstLineChars="200"/>
    </w:pPr>
    <w:rPr>
      <w:rFonts w:ascii="Calibri" w:hAnsi="Calibri" w:eastAsia="宋体" w:cs="Times New Roman"/>
      <w:szCs w:val="20"/>
    </w:rPr>
  </w:style>
  <w:style w:type="paragraph" w:customStyle="1" w:styleId="1721">
    <w:name w:val="页脚3"/>
    <w:basedOn w:val="421"/>
    <w:qFormat/>
    <w:uiPriority w:val="99"/>
    <w:pPr>
      <w:tabs>
        <w:tab w:val="center" w:pos="4153"/>
        <w:tab w:val="right" w:pos="8306"/>
      </w:tabs>
      <w:spacing w:line="240" w:lineRule="atLeast"/>
    </w:pPr>
    <w:rPr>
      <w:sz w:val="18"/>
    </w:rPr>
  </w:style>
  <w:style w:type="paragraph" w:customStyle="1" w:styleId="1722">
    <w:name w:val="尾注文本2"/>
    <w:basedOn w:val="421"/>
    <w:qFormat/>
    <w:uiPriority w:val="99"/>
    <w:rPr>
      <w:sz w:val="21"/>
    </w:rPr>
  </w:style>
  <w:style w:type="paragraph" w:customStyle="1" w:styleId="1723">
    <w:name w:val="正文文本缩进 22"/>
    <w:basedOn w:val="1"/>
    <w:qFormat/>
    <w:uiPriority w:val="99"/>
    <w:pPr>
      <w:adjustRightInd w:val="0"/>
      <w:spacing w:line="360" w:lineRule="auto"/>
      <w:ind w:firstLine="510"/>
      <w:textAlignment w:val="baseline"/>
    </w:pPr>
    <w:rPr>
      <w:rFonts w:ascii="宋体" w:hAnsi="宋体" w:eastAsia="宋体" w:cs="Times New Roman"/>
      <w:sz w:val="28"/>
      <w:szCs w:val="20"/>
    </w:rPr>
  </w:style>
  <w:style w:type="paragraph" w:customStyle="1" w:styleId="1724">
    <w:name w:val="Char Char Char Char Char Char Char Char Char Char Char11"/>
    <w:basedOn w:val="1"/>
    <w:qFormat/>
    <w:uiPriority w:val="0"/>
    <w:rPr>
      <w:rFonts w:ascii="Times New Roman" w:hAnsi="Times New Roman" w:eastAsia="宋体" w:cs="Times New Roman"/>
      <w:szCs w:val="24"/>
    </w:rPr>
  </w:style>
  <w:style w:type="paragraph" w:customStyle="1" w:styleId="1725">
    <w:name w:val="样式 样式 标题 4款标题1.1.1.1 南陵标题 4标题 4 CharH4PIM 4h4First Subheadin... ..."/>
    <w:basedOn w:val="1142"/>
    <w:qFormat/>
    <w:uiPriority w:val="0"/>
    <w:pPr>
      <w:jc w:val="left"/>
    </w:pPr>
    <w:rPr>
      <w:kern w:val="2"/>
    </w:rPr>
  </w:style>
  <w:style w:type="paragraph" w:customStyle="1" w:styleId="1726">
    <w:name w:val="reader-word-layer reader-word-s33-6"/>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727">
    <w:name w:val="CSI  Body 2"/>
    <w:basedOn w:val="1"/>
    <w:qFormat/>
    <w:uiPriority w:val="99"/>
    <w:pPr>
      <w:widowControl/>
      <w:spacing w:after="240"/>
      <w:ind w:left="1440"/>
      <w:jc w:val="left"/>
    </w:pPr>
    <w:rPr>
      <w:rFonts w:ascii="Arial" w:hAnsi="Arial" w:eastAsia="Batang" w:cs="Times New Roman"/>
      <w:kern w:val="0"/>
      <w:sz w:val="24"/>
      <w:szCs w:val="24"/>
      <w:lang w:eastAsia="ko-KR"/>
    </w:rPr>
  </w:style>
  <w:style w:type="paragraph" w:customStyle="1" w:styleId="1728">
    <w:name w:val="表格文字2wj"/>
    <w:qFormat/>
    <w:uiPriority w:val="99"/>
    <w:pPr>
      <w:adjustRightInd w:val="0"/>
      <w:snapToGrid w:val="0"/>
      <w:jc w:val="center"/>
    </w:pPr>
    <w:rPr>
      <w:rFonts w:ascii="Times New Roman" w:hAnsi="Times New Roman" w:eastAsia="宋体" w:cs="Times New Roman"/>
      <w:sz w:val="21"/>
      <w:szCs w:val="21"/>
      <w:lang w:val="en-US" w:eastAsia="zh-CN" w:bidi="ar-SA"/>
    </w:rPr>
  </w:style>
  <w:style w:type="paragraph" w:customStyle="1" w:styleId="1729">
    <w:name w:val="正文编号"/>
    <w:basedOn w:val="1"/>
    <w:qFormat/>
    <w:uiPriority w:val="99"/>
    <w:pPr>
      <w:tabs>
        <w:tab w:val="left" w:pos="726"/>
      </w:tabs>
      <w:adjustRightInd w:val="0"/>
      <w:spacing w:line="300" w:lineRule="auto"/>
      <w:ind w:left="2" w:firstLine="4"/>
      <w:jc w:val="left"/>
      <w:textAlignment w:val="baseline"/>
    </w:pPr>
    <w:rPr>
      <w:rFonts w:ascii="宋体" w:hAnsi="宋体" w:eastAsia="仿宋_GB2312" w:cs="Times New Roman"/>
      <w:snapToGrid w:val="0"/>
      <w:kern w:val="0"/>
      <w:sz w:val="24"/>
      <w:szCs w:val="24"/>
    </w:rPr>
  </w:style>
  <w:style w:type="paragraph" w:customStyle="1" w:styleId="1730">
    <w:name w:val="样式 样式 标题 3 + 段前: 1 行 段后: 1 行 + 段前: 0.5 行1"/>
    <w:basedOn w:val="1"/>
    <w:qFormat/>
    <w:uiPriority w:val="99"/>
    <w:pPr>
      <w:keepNext/>
      <w:widowControl/>
      <w:tabs>
        <w:tab w:val="left" w:pos="1931"/>
      </w:tabs>
      <w:overflowPunct w:val="0"/>
      <w:autoSpaceDE w:val="0"/>
      <w:autoSpaceDN w:val="0"/>
      <w:adjustRightInd w:val="0"/>
      <w:snapToGrid w:val="0"/>
      <w:spacing w:beforeLines="50" w:after="240"/>
      <w:ind w:left="1418" w:hanging="567"/>
      <w:jc w:val="left"/>
      <w:textAlignment w:val="baseline"/>
      <w:outlineLvl w:val="2"/>
    </w:pPr>
    <w:rPr>
      <w:rFonts w:ascii="Times New Roman" w:hAnsi="Times New Roman" w:eastAsia="黑体" w:cs="宋体"/>
      <w:bCs/>
      <w:color w:val="000000"/>
      <w:kern w:val="10"/>
      <w:sz w:val="28"/>
      <w:szCs w:val="28"/>
    </w:rPr>
  </w:style>
  <w:style w:type="paragraph" w:customStyle="1" w:styleId="1731">
    <w:name w:val="正文（英）"/>
    <w:basedOn w:val="1"/>
    <w:qFormat/>
    <w:uiPriority w:val="99"/>
    <w:pPr>
      <w:adjustRightInd w:val="0"/>
      <w:textAlignment w:val="baseline"/>
    </w:pPr>
    <w:rPr>
      <w:rFonts w:ascii="Arial" w:hAnsi="Arial" w:eastAsia="仿宋_GB2312" w:cs="Times New Roman"/>
      <w:color w:val="FF0000"/>
      <w:kern w:val="0"/>
      <w:sz w:val="24"/>
      <w:szCs w:val="24"/>
    </w:rPr>
  </w:style>
  <w:style w:type="paragraph" w:customStyle="1" w:styleId="1732">
    <w:name w:val="样式 楷体_GB2312 居中"/>
    <w:basedOn w:val="1"/>
    <w:qFormat/>
    <w:uiPriority w:val="99"/>
    <w:pPr>
      <w:spacing w:line="360" w:lineRule="auto"/>
      <w:jc w:val="center"/>
    </w:pPr>
    <w:rPr>
      <w:rFonts w:ascii="楷体_GB2312" w:hAnsi="Times New Roman" w:eastAsia="楷体_GB2312" w:cs="Times New Roman"/>
      <w:szCs w:val="20"/>
    </w:rPr>
  </w:style>
  <w:style w:type="paragraph" w:customStyle="1" w:styleId="1733">
    <w:name w:val="表格单位"/>
    <w:basedOn w:val="1"/>
    <w:qFormat/>
    <w:uiPriority w:val="99"/>
    <w:pPr>
      <w:spacing w:line="240" w:lineRule="atLeast"/>
      <w:jc w:val="right"/>
    </w:pPr>
    <w:rPr>
      <w:rFonts w:ascii="Times New Roman" w:hAnsi="Times New Roman" w:eastAsia="仿宋_GB2312" w:cs="Times New Roman"/>
      <w:sz w:val="18"/>
      <w:szCs w:val="24"/>
    </w:rPr>
  </w:style>
  <w:style w:type="paragraph" w:customStyle="1" w:styleId="1734">
    <w:name w:val="SCIDI章标题"/>
    <w:basedOn w:val="5"/>
    <w:next w:val="1"/>
    <w:qFormat/>
    <w:uiPriority w:val="99"/>
    <w:pPr>
      <w:keepLines/>
      <w:numPr>
        <w:ilvl w:val="0"/>
        <w:numId w:val="0"/>
      </w:numPr>
      <w:spacing w:before="0" w:beforeAutospacing="0" w:after="260"/>
      <w:ind w:left="420" w:hanging="420"/>
      <w:jc w:val="center"/>
    </w:pPr>
    <w:rPr>
      <w:rFonts w:ascii="Times New Roman" w:hAnsi="Times New Roman" w:eastAsia="宋体" w:cs="Times New Roman"/>
      <w:kern w:val="0"/>
      <w:sz w:val="32"/>
    </w:rPr>
  </w:style>
  <w:style w:type="paragraph" w:customStyle="1" w:styleId="1735">
    <w:name w:val="style3"/>
    <w:basedOn w:val="1"/>
    <w:qFormat/>
    <w:uiPriority w:val="99"/>
    <w:pPr>
      <w:widowControl/>
      <w:spacing w:before="100" w:beforeAutospacing="1" w:after="100" w:afterAutospacing="1"/>
      <w:jc w:val="left"/>
    </w:pPr>
    <w:rPr>
      <w:rFonts w:ascii="宋体" w:hAnsi="宋体" w:eastAsia="仿宋_GB2312" w:cs="宋体"/>
      <w:kern w:val="0"/>
      <w:sz w:val="24"/>
      <w:szCs w:val="24"/>
    </w:rPr>
  </w:style>
  <w:style w:type="paragraph" w:customStyle="1" w:styleId="1736">
    <w:name w:val="Char1 Char Char"/>
    <w:basedOn w:val="1"/>
    <w:qFormat/>
    <w:uiPriority w:val="99"/>
    <w:rPr>
      <w:rFonts w:ascii="Times New Roman" w:hAnsi="Times New Roman" w:eastAsia="仿宋_GB2312" w:cs="Times New Roman"/>
    </w:rPr>
  </w:style>
  <w:style w:type="paragraph" w:customStyle="1" w:styleId="1737">
    <w:name w:val="style4"/>
    <w:basedOn w:val="1"/>
    <w:qFormat/>
    <w:uiPriority w:val="99"/>
    <w:pPr>
      <w:widowControl/>
      <w:spacing w:before="100" w:beforeAutospacing="1" w:after="100" w:afterAutospacing="1"/>
      <w:jc w:val="left"/>
    </w:pPr>
    <w:rPr>
      <w:rFonts w:ascii="宋体" w:hAnsi="宋体" w:eastAsia="宋体" w:cs="Times New Roman"/>
      <w:kern w:val="0"/>
      <w:sz w:val="24"/>
      <w:szCs w:val="20"/>
    </w:rPr>
  </w:style>
  <w:style w:type="paragraph" w:customStyle="1" w:styleId="1738">
    <w:name w:val="Char Char Char Char Char Char Char Char Char1 Char Char Char Char Char Char Char Char Char Char Char Char Char Char Char Char Char"/>
    <w:basedOn w:val="1"/>
    <w:qFormat/>
    <w:uiPriority w:val="99"/>
    <w:rPr>
      <w:rFonts w:ascii="Times New Roman" w:hAnsi="Times New Roman" w:eastAsia="仿宋_GB2312" w:cs="Times New Roman"/>
    </w:rPr>
  </w:style>
  <w:style w:type="paragraph" w:customStyle="1" w:styleId="1739">
    <w:name w:val="Char Char Char2"/>
    <w:basedOn w:val="1"/>
    <w:qFormat/>
    <w:uiPriority w:val="0"/>
    <w:rPr>
      <w:rFonts w:ascii="Tahoma" w:hAnsi="Tahoma" w:eastAsia="黑体" w:cs="Times New Roman"/>
      <w:sz w:val="28"/>
      <w:szCs w:val="28"/>
    </w:rPr>
  </w:style>
  <w:style w:type="paragraph" w:customStyle="1" w:styleId="1740">
    <w:name w:val="字元 字元 Char Char 字元 字元1 Char Char Char1"/>
    <w:basedOn w:val="1"/>
    <w:qFormat/>
    <w:uiPriority w:val="99"/>
    <w:rPr>
      <w:rFonts w:ascii="Times New Roman" w:hAnsi="Times New Roman" w:eastAsia="宋体" w:cs="Times New Roman"/>
      <w:sz w:val="24"/>
      <w:szCs w:val="24"/>
    </w:rPr>
  </w:style>
  <w:style w:type="paragraph" w:customStyle="1" w:styleId="1741">
    <w:name w:val="Char1 Char Char Char Char Char Char2 Char Char Char Char Char Char Char Char Char Char Char Char Char Char Char Char Char Char1"/>
    <w:basedOn w:val="1"/>
    <w:qFormat/>
    <w:uiPriority w:val="99"/>
    <w:rPr>
      <w:rFonts w:ascii="Times New Roman" w:hAnsi="Times New Roman" w:eastAsia="宋体" w:cs="Times New Roman"/>
      <w:szCs w:val="24"/>
    </w:rPr>
  </w:style>
  <w:style w:type="paragraph" w:customStyle="1" w:styleId="1742">
    <w:name w:val="Char Char Char Char Char Char Char Char Char Char Char1 Char Char Char Char1"/>
    <w:basedOn w:val="1"/>
    <w:qFormat/>
    <w:uiPriority w:val="0"/>
    <w:rPr>
      <w:rFonts w:ascii="Times New Roman" w:hAnsi="Times New Roman" w:eastAsia="宋体" w:cs="Times New Roman"/>
      <w:szCs w:val="24"/>
    </w:rPr>
  </w:style>
  <w:style w:type="paragraph" w:customStyle="1" w:styleId="1743">
    <w:name w:val="lyh 0.0.0"/>
    <w:next w:val="1"/>
    <w:qFormat/>
    <w:uiPriority w:val="0"/>
    <w:pPr>
      <w:adjustRightInd w:val="0"/>
      <w:snapToGrid w:val="0"/>
      <w:spacing w:line="360" w:lineRule="auto"/>
      <w:outlineLvl w:val="2"/>
    </w:pPr>
    <w:rPr>
      <w:rFonts w:ascii="宋体" w:hAnsi="宋体" w:eastAsia="宋体" w:cs="Times New Roman"/>
      <w:b/>
      <w:sz w:val="28"/>
      <w:szCs w:val="24"/>
      <w:lang w:val="en-US" w:eastAsia="zh-CN" w:bidi="ar-SA"/>
    </w:rPr>
  </w:style>
  <w:style w:type="paragraph" w:customStyle="1" w:styleId="1744">
    <w:name w:val="Char Char Char Char Char Char Char Char Char Char Char"/>
    <w:basedOn w:val="1"/>
    <w:qFormat/>
    <w:uiPriority w:val="0"/>
    <w:rPr>
      <w:rFonts w:ascii="Times New Roman" w:hAnsi="Times New Roman" w:eastAsia="宋体" w:cs="Times New Roman"/>
      <w:szCs w:val="24"/>
    </w:rPr>
  </w:style>
  <w:style w:type="paragraph" w:customStyle="1" w:styleId="1745">
    <w:name w:val="小标题@"/>
    <w:basedOn w:val="1"/>
    <w:qFormat/>
    <w:uiPriority w:val="0"/>
    <w:pPr>
      <w:tabs>
        <w:tab w:val="left" w:pos="840"/>
      </w:tabs>
      <w:adjustRightInd w:val="0"/>
      <w:spacing w:before="60" w:after="60"/>
      <w:ind w:left="828" w:hanging="348"/>
      <w:textAlignment w:val="baseline"/>
    </w:pPr>
    <w:rPr>
      <w:rFonts w:ascii="Times New Roman" w:hAnsi="Times New Roman" w:eastAsia="宋体" w:cs="Times New Roman"/>
      <w:sz w:val="24"/>
      <w:szCs w:val="20"/>
    </w:rPr>
  </w:style>
  <w:style w:type="paragraph" w:customStyle="1" w:styleId="1746">
    <w:name w:val="4"/>
    <w:basedOn w:val="1"/>
    <w:next w:val="1"/>
    <w:qFormat/>
    <w:uiPriority w:val="0"/>
    <w:rPr>
      <w:rFonts w:ascii="宋体" w:hAnsi="Courier New" w:eastAsia="宋体" w:cs="Times New Roman"/>
      <w:szCs w:val="20"/>
    </w:rPr>
  </w:style>
  <w:style w:type="paragraph" w:customStyle="1" w:styleId="1747">
    <w:name w:val="样式 标题 1 + 左侧:  0 厘米 首行缩进:  0 厘米"/>
    <w:basedOn w:val="3"/>
    <w:qFormat/>
    <w:uiPriority w:val="0"/>
    <w:pPr>
      <w:keepNext/>
      <w:keepLines/>
      <w:tabs>
        <w:tab w:val="left" w:pos="425"/>
        <w:tab w:val="left" w:pos="720"/>
        <w:tab w:val="left" w:pos="1200"/>
      </w:tabs>
      <w:adjustRightInd/>
      <w:snapToGrid/>
      <w:spacing w:before="120" w:beforeAutospacing="0" w:after="120" w:line="240" w:lineRule="auto"/>
      <w:ind w:left="720" w:hanging="420"/>
    </w:pPr>
    <w:rPr>
      <w:rFonts w:ascii="Times New Roman" w:cs="Times New Roman"/>
      <w:b w:val="0"/>
      <w:bCs/>
      <w:color w:val="000000"/>
      <w:sz w:val="28"/>
      <w:szCs w:val="28"/>
    </w:rPr>
  </w:style>
  <w:style w:type="paragraph" w:customStyle="1" w:styleId="1748">
    <w:name w:val="Char Char Char Char Char Char Char Char Char Char Char2"/>
    <w:basedOn w:val="1"/>
    <w:qFormat/>
    <w:uiPriority w:val="0"/>
    <w:rPr>
      <w:rFonts w:ascii="Times New Roman" w:hAnsi="Times New Roman" w:eastAsia="宋体" w:cs="Times New Roman"/>
      <w:szCs w:val="24"/>
    </w:rPr>
  </w:style>
  <w:style w:type="paragraph" w:customStyle="1" w:styleId="1749">
    <w:name w:val="副标题4"/>
    <w:basedOn w:val="1546"/>
    <w:qFormat/>
    <w:uiPriority w:val="0"/>
    <w:pPr>
      <w:tabs>
        <w:tab w:val="left" w:pos="1275"/>
        <w:tab w:val="left" w:pos="1575"/>
        <w:tab w:val="left" w:pos="2100"/>
        <w:tab w:val="clear" w:pos="672"/>
        <w:tab w:val="clear" w:pos="720"/>
      </w:tabs>
      <w:ind w:left="1275" w:hanging="705"/>
      <w:outlineLvl w:val="4"/>
    </w:pPr>
  </w:style>
  <w:style w:type="paragraph" w:customStyle="1" w:styleId="1750">
    <w:name w:val="样式 标题 1 + 首行缩进:  2 字符"/>
    <w:basedOn w:val="3"/>
    <w:next w:val="1256"/>
    <w:qFormat/>
    <w:uiPriority w:val="0"/>
    <w:pPr>
      <w:keepNext/>
      <w:adjustRightInd/>
      <w:snapToGrid/>
      <w:spacing w:before="0" w:beforeAutospacing="0" w:line="720" w:lineRule="auto"/>
      <w:ind w:left="420" w:firstLine="200" w:firstLineChars="200"/>
      <w:jc w:val="center"/>
    </w:pPr>
    <w:rPr>
      <w:rFonts w:cs="宋体"/>
      <w:b w:val="0"/>
      <w:kern w:val="2"/>
      <w:sz w:val="36"/>
      <w:szCs w:val="20"/>
    </w:rPr>
  </w:style>
  <w:style w:type="paragraph" w:customStyle="1" w:styleId="1751">
    <w:name w:val="样式 Times New Roman 五号 居中"/>
    <w:basedOn w:val="1"/>
    <w:qFormat/>
    <w:uiPriority w:val="0"/>
    <w:pPr>
      <w:jc w:val="center"/>
    </w:pPr>
    <w:rPr>
      <w:rFonts w:ascii="Times New Roman" w:hAnsi="Times New Roman" w:eastAsia="宋体" w:cs="宋体"/>
      <w:szCs w:val="20"/>
    </w:rPr>
  </w:style>
  <w:style w:type="paragraph" w:customStyle="1" w:styleId="1752">
    <w:name w:val="Char Char Char Char Char Char Char Char Char Char Char1 Char Char Char Char Char Char Char1"/>
    <w:basedOn w:val="1"/>
    <w:qFormat/>
    <w:uiPriority w:val="0"/>
    <w:rPr>
      <w:rFonts w:ascii="Times New Roman" w:hAnsi="Times New Roman" w:eastAsia="宋体" w:cs="Times New Roman"/>
      <w:szCs w:val="24"/>
    </w:rPr>
  </w:style>
  <w:style w:type="paragraph" w:customStyle="1" w:styleId="1753">
    <w:name w:val="Char2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754">
    <w:name w:val="Char Char Char Char Char Char Char Char Char Char Char Char Char Char Char Char Char Char Char Char Char Char Char Char1"/>
    <w:basedOn w:val="1"/>
    <w:qFormat/>
    <w:uiPriority w:val="0"/>
    <w:rPr>
      <w:rFonts w:ascii="Times New Roman" w:hAnsi="Times New Roman" w:eastAsia="宋体" w:cs="Times New Roman"/>
      <w:szCs w:val="24"/>
    </w:rPr>
  </w:style>
  <w:style w:type="paragraph" w:customStyle="1" w:styleId="1755">
    <w:name w:val="Char Char Char Char Char Char Char9"/>
    <w:basedOn w:val="1"/>
    <w:qFormat/>
    <w:uiPriority w:val="0"/>
    <w:pPr>
      <w:spacing w:line="360" w:lineRule="auto"/>
      <w:ind w:firstLine="200" w:firstLineChars="200"/>
    </w:pPr>
    <w:rPr>
      <w:rFonts w:ascii="宋体" w:hAnsi="宋体" w:eastAsia="宋体" w:cs="宋体"/>
      <w:sz w:val="24"/>
    </w:rPr>
  </w:style>
  <w:style w:type="paragraph" w:customStyle="1" w:styleId="1756">
    <w:name w:val="环保表内字（小五）"/>
    <w:basedOn w:val="1665"/>
    <w:qFormat/>
    <w:uiPriority w:val="0"/>
    <w:pPr>
      <w:tabs>
        <w:tab w:val="left" w:pos="540"/>
        <w:tab w:val="left" w:pos="4095"/>
      </w:tabs>
      <w:topLinePunct/>
      <w:spacing w:line="240" w:lineRule="atLeast"/>
    </w:pPr>
    <w:rPr>
      <w:snapToGrid w:val="0"/>
      <w:sz w:val="18"/>
      <w:szCs w:val="20"/>
    </w:rPr>
  </w:style>
  <w:style w:type="paragraph" w:customStyle="1" w:styleId="1757">
    <w:name w:val="R-表中文字"/>
    <w:basedOn w:val="1"/>
    <w:qFormat/>
    <w:uiPriority w:val="6"/>
    <w:pPr>
      <w:widowControl/>
      <w:jc w:val="center"/>
    </w:pPr>
    <w:rPr>
      <w:rFonts w:ascii="宋体" w:hAnsi="宋体" w:eastAsia="宋体" w:cs="宋体"/>
      <w:kern w:val="0"/>
      <w:sz w:val="24"/>
      <w:szCs w:val="24"/>
    </w:rPr>
  </w:style>
  <w:style w:type="paragraph" w:customStyle="1" w:styleId="1758">
    <w:name w:val="正文缩进2"/>
    <w:basedOn w:val="1"/>
    <w:qFormat/>
    <w:uiPriority w:val="0"/>
    <w:pPr>
      <w:spacing w:line="520" w:lineRule="exact"/>
      <w:ind w:firstLine="624"/>
    </w:pPr>
    <w:rPr>
      <w:rFonts w:ascii="Times New Roman" w:hAnsi="Times New Roman" w:eastAsia="宋体" w:cs="Times New Roman"/>
      <w:sz w:val="28"/>
      <w:szCs w:val="20"/>
    </w:rPr>
  </w:style>
  <w:style w:type="paragraph" w:customStyle="1" w:styleId="1759">
    <w:name w:val="列出段落3"/>
    <w:basedOn w:val="1"/>
    <w:qFormat/>
    <w:uiPriority w:val="34"/>
    <w:pPr>
      <w:widowControl/>
      <w:adjustRightInd w:val="0"/>
      <w:snapToGrid w:val="0"/>
      <w:spacing w:after="200"/>
      <w:ind w:firstLine="420" w:firstLineChars="200"/>
      <w:jc w:val="left"/>
    </w:pPr>
    <w:rPr>
      <w:rFonts w:ascii="Tahoma" w:hAnsi="Tahoma" w:eastAsia="微软雅黑" w:cs="Times New Roman"/>
      <w:kern w:val="0"/>
      <w:sz w:val="22"/>
      <w:szCs w:val="22"/>
    </w:rPr>
  </w:style>
  <w:style w:type="character" w:customStyle="1" w:styleId="1760">
    <w:name w:val="summary"/>
    <w:qFormat/>
    <w:uiPriority w:val="0"/>
    <w:rPr>
      <w:color w:val="999999"/>
      <w:sz w:val="18"/>
      <w:szCs w:val="18"/>
    </w:rPr>
  </w:style>
  <w:style w:type="character" w:customStyle="1" w:styleId="1761">
    <w:name w:val="answer-title2"/>
    <w:basedOn w:val="83"/>
    <w:qFormat/>
    <w:uiPriority w:val="0"/>
  </w:style>
  <w:style w:type="character" w:customStyle="1" w:styleId="1762">
    <w:name w:val="field-label10"/>
    <w:qFormat/>
    <w:uiPriority w:val="0"/>
    <w:rPr>
      <w:b/>
    </w:rPr>
  </w:style>
  <w:style w:type="character" w:customStyle="1" w:styleId="1763">
    <w:name w:val="bg"/>
    <w:qFormat/>
    <w:uiPriority w:val="0"/>
    <w:rPr>
      <w:shd w:val="clear" w:color="auto" w:fill="000000"/>
    </w:rPr>
  </w:style>
  <w:style w:type="character" w:customStyle="1" w:styleId="1764">
    <w:name w:val="bsharetext"/>
    <w:basedOn w:val="83"/>
    <w:qFormat/>
    <w:uiPriority w:val="0"/>
  </w:style>
  <w:style w:type="character" w:customStyle="1" w:styleId="1765">
    <w:name w:val="fontstyle01"/>
    <w:qFormat/>
    <w:uiPriority w:val="0"/>
    <w:rPr>
      <w:rFonts w:hint="eastAsia" w:ascii="宋体" w:hAnsi="宋体" w:eastAsia="宋体"/>
      <w:color w:val="000000"/>
      <w:sz w:val="24"/>
      <w:szCs w:val="24"/>
    </w:rPr>
  </w:style>
  <w:style w:type="character" w:customStyle="1" w:styleId="1766">
    <w:name w:val="hover27"/>
    <w:basedOn w:val="83"/>
    <w:qFormat/>
    <w:uiPriority w:val="0"/>
  </w:style>
  <w:style w:type="character" w:customStyle="1" w:styleId="1767">
    <w:name w:val="fontstyle21"/>
    <w:qFormat/>
    <w:uiPriority w:val="0"/>
    <w:rPr>
      <w:rFonts w:hint="default" w:ascii="TimesNewRomanPSMT" w:hAnsi="TimesNewRomanPSMT"/>
      <w:color w:val="000000"/>
      <w:sz w:val="18"/>
      <w:szCs w:val="18"/>
    </w:rPr>
  </w:style>
  <w:style w:type="character" w:customStyle="1" w:styleId="1768">
    <w:name w:val="del-btn1"/>
    <w:qFormat/>
    <w:uiPriority w:val="0"/>
    <w:rPr>
      <w:shd w:val="clear" w:color="auto" w:fill="000000"/>
    </w:rPr>
  </w:style>
  <w:style w:type="character" w:customStyle="1" w:styleId="1769">
    <w:name w:val="环保-正文内容 Char"/>
    <w:link w:val="1770"/>
    <w:qFormat/>
    <w:uiPriority w:val="0"/>
    <w:rPr>
      <w:sz w:val="24"/>
    </w:rPr>
  </w:style>
  <w:style w:type="paragraph" w:customStyle="1" w:styleId="1770">
    <w:name w:val="环保-正文内容"/>
    <w:basedOn w:val="1"/>
    <w:link w:val="1769"/>
    <w:qFormat/>
    <w:uiPriority w:val="0"/>
    <w:pPr>
      <w:widowControl/>
      <w:adjustRightInd w:val="0"/>
      <w:snapToGrid w:val="0"/>
      <w:spacing w:after="200"/>
      <w:ind w:firstLine="200" w:firstLineChars="200"/>
      <w:jc w:val="left"/>
    </w:pPr>
    <w:rPr>
      <w:kern w:val="0"/>
      <w:sz w:val="24"/>
      <w:szCs w:val="20"/>
    </w:rPr>
  </w:style>
  <w:style w:type="character" w:customStyle="1" w:styleId="1771">
    <w:name w:val="del-btn"/>
    <w:basedOn w:val="83"/>
    <w:qFormat/>
    <w:uiPriority w:val="0"/>
  </w:style>
  <w:style w:type="character" w:customStyle="1" w:styleId="1772">
    <w:name w:val="标题 2 Char11"/>
    <w:qFormat/>
    <w:uiPriority w:val="0"/>
    <w:rPr>
      <w:kern w:val="2"/>
      <w:sz w:val="24"/>
    </w:rPr>
  </w:style>
  <w:style w:type="paragraph" w:customStyle="1" w:styleId="1773">
    <w:name w:val="LY-表头"/>
    <w:next w:val="1"/>
    <w:qFormat/>
    <w:uiPriority w:val="0"/>
    <w:pPr>
      <w:jc w:val="center"/>
    </w:pPr>
    <w:rPr>
      <w:rFonts w:ascii="Times New Roman" w:hAnsi="Times New Roman" w:eastAsia="黑体" w:cs="Times New Roman"/>
      <w:b/>
      <w:sz w:val="24"/>
      <w:lang w:val="en-US" w:eastAsia="zh-CN" w:bidi="ar-SA"/>
    </w:rPr>
  </w:style>
  <w:style w:type="paragraph" w:customStyle="1" w:styleId="1774">
    <w:name w:val="副标题2"/>
    <w:basedOn w:val="1"/>
    <w:qFormat/>
    <w:uiPriority w:val="0"/>
    <w:pPr>
      <w:widowControl/>
      <w:adjustRightInd w:val="0"/>
      <w:snapToGrid w:val="0"/>
      <w:spacing w:after="200"/>
      <w:ind w:firstLine="200" w:firstLineChars="200"/>
      <w:jc w:val="left"/>
    </w:pPr>
    <w:rPr>
      <w:rFonts w:ascii="Tahoma" w:hAnsi="Tahoma" w:eastAsia="微软雅黑" w:cs="Times New Roman"/>
      <w:b/>
      <w:kern w:val="0"/>
      <w:sz w:val="22"/>
      <w:szCs w:val="24"/>
    </w:rPr>
  </w:style>
  <w:style w:type="paragraph" w:customStyle="1" w:styleId="1775">
    <w:name w:val="列出段落4"/>
    <w:basedOn w:val="1"/>
    <w:qFormat/>
    <w:uiPriority w:val="34"/>
    <w:pPr>
      <w:widowControl/>
      <w:adjustRightInd w:val="0"/>
      <w:snapToGrid w:val="0"/>
      <w:spacing w:after="200"/>
      <w:ind w:firstLine="420" w:firstLineChars="200"/>
      <w:jc w:val="left"/>
    </w:pPr>
    <w:rPr>
      <w:rFonts w:ascii="Tahoma" w:hAnsi="Tahoma" w:eastAsia="微软雅黑" w:cs="Times New Roman"/>
      <w:kern w:val="0"/>
      <w:sz w:val="22"/>
      <w:szCs w:val="22"/>
    </w:rPr>
  </w:style>
  <w:style w:type="paragraph" w:customStyle="1" w:styleId="1776">
    <w:name w:val="正文文本 22"/>
    <w:basedOn w:val="1"/>
    <w:qFormat/>
    <w:uiPriority w:val="0"/>
    <w:pPr>
      <w:adjustRightInd w:val="0"/>
      <w:snapToGrid w:val="0"/>
      <w:spacing w:after="200"/>
      <w:jc w:val="center"/>
      <w:textAlignment w:val="baseline"/>
    </w:pPr>
    <w:rPr>
      <w:rFonts w:ascii="Arial" w:hAnsi="Arial" w:eastAsia="微软雅黑" w:cs="Times New Roman"/>
      <w:szCs w:val="22"/>
    </w:rPr>
  </w:style>
  <w:style w:type="paragraph" w:customStyle="1" w:styleId="1777">
    <w:name w:val="OK 1.1.1"/>
    <w:basedOn w:val="1778"/>
    <w:link w:val="1779"/>
    <w:qFormat/>
    <w:uiPriority w:val="0"/>
    <w:pPr>
      <w:spacing w:line="360" w:lineRule="auto"/>
      <w:outlineLvl w:val="2"/>
    </w:pPr>
  </w:style>
  <w:style w:type="paragraph" w:customStyle="1" w:styleId="1778">
    <w:name w:val="OK 1.1"/>
    <w:basedOn w:val="1"/>
    <w:next w:val="74"/>
    <w:qFormat/>
    <w:uiPriority w:val="0"/>
    <w:pPr>
      <w:widowControl/>
      <w:adjustRightInd w:val="0"/>
      <w:snapToGrid w:val="0"/>
      <w:spacing w:after="200"/>
      <w:jc w:val="left"/>
      <w:outlineLvl w:val="1"/>
    </w:pPr>
    <w:rPr>
      <w:rFonts w:ascii="Calibri" w:hAnsi="Calibri" w:eastAsia="微软雅黑" w:cs="Times New Roman"/>
      <w:b/>
      <w:kern w:val="0"/>
      <w:sz w:val="22"/>
      <w:szCs w:val="24"/>
      <w:lang w:val="zh-CN"/>
    </w:rPr>
  </w:style>
  <w:style w:type="character" w:customStyle="1" w:styleId="1779">
    <w:name w:val="OK 1.1.1 Char"/>
    <w:basedOn w:val="83"/>
    <w:link w:val="1777"/>
    <w:qFormat/>
    <w:uiPriority w:val="0"/>
    <w:rPr>
      <w:rFonts w:ascii="Calibri" w:hAnsi="Calibri" w:eastAsia="微软雅黑" w:cs="Times New Roman"/>
      <w:b/>
      <w:sz w:val="22"/>
      <w:szCs w:val="24"/>
      <w:lang w:val="zh-CN"/>
    </w:rPr>
  </w:style>
  <w:style w:type="paragraph" w:customStyle="1" w:styleId="1780">
    <w:name w:val="正文-报告表"/>
    <w:basedOn w:val="1"/>
    <w:qFormat/>
    <w:uiPriority w:val="0"/>
    <w:pPr>
      <w:widowControl/>
      <w:adjustRightInd w:val="0"/>
      <w:snapToGrid w:val="0"/>
      <w:spacing w:after="200"/>
      <w:ind w:firstLine="482"/>
      <w:jc w:val="left"/>
    </w:pPr>
    <w:rPr>
      <w:rFonts w:ascii="Tahoma" w:hAnsi="Tahoma" w:eastAsia="微软雅黑" w:cs="Times New Roman"/>
      <w:kern w:val="0"/>
      <w:sz w:val="24"/>
      <w:szCs w:val="20"/>
    </w:rPr>
  </w:style>
  <w:style w:type="paragraph" w:customStyle="1" w:styleId="1781">
    <w:name w:val="副标题1"/>
    <w:basedOn w:val="3"/>
    <w:next w:val="1780"/>
    <w:qFormat/>
    <w:uiPriority w:val="0"/>
    <w:pPr>
      <w:keepNext/>
      <w:keepLines/>
      <w:wordWrap w:val="0"/>
      <w:spacing w:before="340" w:beforeAutospacing="0" w:after="330"/>
      <w:ind w:left="420" w:firstLine="482" w:firstLineChars="200"/>
      <w:outlineLvl w:val="1"/>
    </w:pPr>
    <w:rPr>
      <w:rFonts w:ascii="Times New Roman" w:eastAsia="宋体" w:cs="Times New Roman"/>
      <w:b w:val="0"/>
      <w:bCs/>
      <w:snapToGrid w:val="0"/>
      <w:sz w:val="24"/>
    </w:rPr>
  </w:style>
  <w:style w:type="paragraph" w:customStyle="1" w:styleId="1782">
    <w:name w:val="Char"/>
    <w:basedOn w:val="1"/>
    <w:qFormat/>
    <w:uiPriority w:val="0"/>
    <w:pPr>
      <w:widowControl/>
      <w:adjustRightInd w:val="0"/>
      <w:snapToGrid w:val="0"/>
      <w:spacing w:after="200"/>
      <w:jc w:val="left"/>
    </w:pPr>
    <w:rPr>
      <w:rFonts w:ascii="Tahoma" w:hAnsi="Tahoma" w:eastAsia="微软雅黑" w:cs="Times New Roman"/>
      <w:kern w:val="0"/>
      <w:sz w:val="22"/>
      <w:szCs w:val="22"/>
    </w:rPr>
  </w:style>
  <w:style w:type="paragraph" w:customStyle="1" w:styleId="1783">
    <w:name w:val="正文内容"/>
    <w:basedOn w:val="1"/>
    <w:qFormat/>
    <w:uiPriority w:val="0"/>
    <w:pPr>
      <w:widowControl/>
      <w:adjustRightInd w:val="0"/>
      <w:snapToGrid w:val="0"/>
      <w:spacing w:after="200"/>
      <w:ind w:firstLine="200" w:firstLineChars="200"/>
      <w:jc w:val="left"/>
    </w:pPr>
    <w:rPr>
      <w:rFonts w:ascii="Tahoma" w:hAnsi="Tahoma" w:eastAsia="微软雅黑" w:cs="Times New Roman"/>
      <w:kern w:val="0"/>
      <w:sz w:val="24"/>
      <w:szCs w:val="20"/>
    </w:rPr>
  </w:style>
  <w:style w:type="paragraph" w:customStyle="1" w:styleId="1784">
    <w:name w:val="WPSOffice手动目录 1"/>
    <w:qFormat/>
    <w:uiPriority w:val="0"/>
    <w:rPr>
      <w:rFonts w:ascii="Times New Roman" w:hAnsi="Times New Roman" w:eastAsia="宋体" w:cs="Times New Roman"/>
      <w:lang w:val="en-US" w:eastAsia="zh-CN" w:bidi="ar-SA"/>
    </w:rPr>
  </w:style>
  <w:style w:type="paragraph" w:customStyle="1" w:styleId="1785">
    <w:name w:val="Char4"/>
    <w:basedOn w:val="1"/>
    <w:qFormat/>
    <w:uiPriority w:val="0"/>
    <w:pPr>
      <w:adjustRightInd w:val="0"/>
      <w:snapToGrid w:val="0"/>
      <w:spacing w:line="480" w:lineRule="exact"/>
      <w:ind w:firstLine="200" w:firstLineChars="200"/>
    </w:pPr>
    <w:rPr>
      <w:rFonts w:ascii="Times New Roman" w:hAnsi="Times New Roman" w:eastAsia="宋体" w:cs="Times New Roman"/>
      <w:snapToGrid w:val="0"/>
      <w:kern w:val="0"/>
      <w:sz w:val="28"/>
      <w:szCs w:val="24"/>
    </w:rPr>
  </w:style>
  <w:style w:type="paragraph" w:customStyle="1" w:styleId="1786">
    <w:name w:val="L表格文字"/>
    <w:basedOn w:val="79"/>
    <w:qFormat/>
    <w:uiPriority w:val="0"/>
    <w:pPr>
      <w:adjustRightInd w:val="0"/>
      <w:snapToGrid w:val="0"/>
      <w:spacing w:line="0" w:lineRule="atLeast"/>
      <w:ind w:firstLine="0" w:firstLineChars="0"/>
      <w:jc w:val="center"/>
    </w:pPr>
    <w:rPr>
      <w:rFonts w:ascii="Tahoma" w:hAnsi="Tahoma" w:eastAsia="微软雅黑"/>
      <w:sz w:val="21"/>
    </w:rPr>
  </w:style>
  <w:style w:type="paragraph" w:customStyle="1" w:styleId="1787">
    <w:name w:val="OK 表头"/>
    <w:basedOn w:val="21"/>
    <w:link w:val="1788"/>
    <w:qFormat/>
    <w:uiPriority w:val="0"/>
    <w:pPr>
      <w:widowControl w:val="0"/>
      <w:adjustRightInd w:val="0"/>
      <w:snapToGrid w:val="0"/>
      <w:spacing w:after="200" w:line="240" w:lineRule="auto"/>
      <w:ind w:firstLine="0"/>
      <w:jc w:val="center"/>
      <w:textAlignment w:val="baseline"/>
    </w:pPr>
    <w:rPr>
      <w:rFonts w:ascii="Times New Roman" w:hAnsi="Times New Roman" w:eastAsia="微软雅黑"/>
      <w:b/>
      <w:spacing w:val="-10"/>
      <w:kern w:val="2"/>
      <w:sz w:val="21"/>
      <w:szCs w:val="21"/>
    </w:rPr>
  </w:style>
  <w:style w:type="character" w:customStyle="1" w:styleId="1788">
    <w:name w:val="OK 表头 Char Char"/>
    <w:link w:val="1787"/>
    <w:qFormat/>
    <w:uiPriority w:val="0"/>
    <w:rPr>
      <w:rFonts w:ascii="Times New Roman" w:hAnsi="Times New Roman" w:eastAsia="微软雅黑" w:cs="Times New Roman"/>
      <w:b/>
      <w:spacing w:val="-10"/>
      <w:kern w:val="2"/>
      <w:sz w:val="21"/>
      <w:szCs w:val="21"/>
    </w:rPr>
  </w:style>
  <w:style w:type="paragraph" w:customStyle="1" w:styleId="1789">
    <w:name w:val="标题 3环保 + 段前: 0.5 行"/>
    <w:basedOn w:val="6"/>
    <w:next w:val="1"/>
    <w:qFormat/>
    <w:uiPriority w:val="0"/>
    <w:pPr>
      <w:keepNext w:val="0"/>
      <w:widowControl/>
      <w:numPr>
        <w:ilvl w:val="0"/>
        <w:numId w:val="0"/>
      </w:numPr>
      <w:spacing w:before="156" w:after="100" w:afterAutospacing="1" w:line="240" w:lineRule="auto"/>
    </w:pPr>
    <w:rPr>
      <w:rFonts w:hint="eastAsia" w:ascii="Times New Roman" w:hAnsi="Times New Roman" w:eastAsia="宋体" w:cs="宋体"/>
      <w:b/>
      <w:bCs/>
      <w:kern w:val="0"/>
      <w:sz w:val="27"/>
      <w:szCs w:val="27"/>
    </w:rPr>
  </w:style>
  <w:style w:type="paragraph" w:customStyle="1" w:styleId="1790">
    <w:name w:val="11111表头"/>
    <w:basedOn w:val="1787"/>
    <w:qFormat/>
    <w:uiPriority w:val="0"/>
    <w:rPr>
      <w:rFonts w:eastAsia="黑体" w:cs="Calibri"/>
      <w:bCs/>
      <w:kern w:val="0"/>
      <w:sz w:val="24"/>
      <w:szCs w:val="24"/>
    </w:rPr>
  </w:style>
  <w:style w:type="paragraph" w:customStyle="1" w:styleId="1791">
    <w:name w:val="0报告书正文"/>
    <w:basedOn w:val="1"/>
    <w:qFormat/>
    <w:uiPriority w:val="0"/>
    <w:pPr>
      <w:widowControl/>
      <w:adjustRightInd w:val="0"/>
      <w:snapToGrid w:val="0"/>
      <w:spacing w:after="200"/>
      <w:ind w:firstLine="480" w:firstLineChars="200"/>
      <w:jc w:val="left"/>
    </w:pPr>
    <w:rPr>
      <w:rFonts w:ascii="Tahoma" w:hAnsi="Tahoma" w:eastAsia="微软雅黑" w:cs="Times New Roman"/>
      <w:kern w:val="0"/>
      <w:sz w:val="24"/>
      <w:szCs w:val="20"/>
    </w:rPr>
  </w:style>
  <w:style w:type="paragraph" w:customStyle="1" w:styleId="1792">
    <w:name w:val="标题 2环保 + 段前: 0.5 行"/>
    <w:basedOn w:val="5"/>
    <w:next w:val="1"/>
    <w:qFormat/>
    <w:uiPriority w:val="0"/>
    <w:pPr>
      <w:widowControl/>
      <w:numPr>
        <w:ilvl w:val="0"/>
        <w:numId w:val="7"/>
      </w:numPr>
      <w:spacing w:before="0" w:beforeAutospacing="0" w:after="200" w:line="240" w:lineRule="auto"/>
      <w:ind w:left="420" w:firstLine="200" w:firstLineChars="200"/>
    </w:pPr>
    <w:rPr>
      <w:rFonts w:ascii="Times New Roman" w:hAnsi="Times New Roman" w:cs="宋体"/>
      <w:b/>
      <w:kern w:val="0"/>
      <w:szCs w:val="28"/>
    </w:rPr>
  </w:style>
  <w:style w:type="paragraph" w:customStyle="1" w:styleId="1793">
    <w:name w:val="正文内容（环科院）"/>
    <w:basedOn w:val="1"/>
    <w:qFormat/>
    <w:uiPriority w:val="0"/>
    <w:pPr>
      <w:widowControl/>
      <w:adjustRightInd w:val="0"/>
      <w:snapToGrid w:val="0"/>
      <w:spacing w:after="200"/>
      <w:ind w:firstLine="200" w:firstLineChars="200"/>
      <w:jc w:val="left"/>
    </w:pPr>
    <w:rPr>
      <w:rFonts w:ascii="Tahoma" w:hAnsi="Tahoma" w:eastAsia="微软雅黑" w:cs="Times New Roman"/>
      <w:kern w:val="0"/>
      <w:sz w:val="24"/>
      <w:szCs w:val="20"/>
    </w:rPr>
  </w:style>
  <w:style w:type="paragraph" w:customStyle="1" w:styleId="1794">
    <w:name w:val="样式45"/>
    <w:basedOn w:val="247"/>
    <w:qFormat/>
    <w:uiPriority w:val="0"/>
    <w:pPr>
      <w:widowControl/>
      <w:adjustRightInd w:val="0"/>
      <w:spacing w:after="200"/>
    </w:pPr>
    <w:rPr>
      <w:rFonts w:ascii="Tahoma" w:hAnsi="Tahoma" w:eastAsia="微软雅黑"/>
      <w:kern w:val="0"/>
    </w:rPr>
  </w:style>
  <w:style w:type="paragraph" w:customStyle="1" w:styleId="1795">
    <w:name w:val="图片-报告表"/>
    <w:basedOn w:val="1780"/>
    <w:qFormat/>
    <w:uiPriority w:val="0"/>
    <w:pPr>
      <w:ind w:firstLine="0"/>
      <w:jc w:val="center"/>
    </w:pPr>
  </w:style>
  <w:style w:type="paragraph" w:customStyle="1" w:styleId="1796">
    <w:name w:val="正文内容（环科院报告书）"/>
    <w:basedOn w:val="1"/>
    <w:link w:val="1797"/>
    <w:qFormat/>
    <w:uiPriority w:val="0"/>
    <w:pPr>
      <w:widowControl/>
      <w:adjustRightInd w:val="0"/>
      <w:snapToGrid w:val="0"/>
      <w:spacing w:after="200"/>
      <w:ind w:firstLine="480" w:firstLineChars="200"/>
      <w:jc w:val="left"/>
    </w:pPr>
    <w:rPr>
      <w:rFonts w:ascii="Tahoma" w:hAnsi="Tahoma" w:eastAsia="微软雅黑" w:cs="Times New Roman"/>
      <w:kern w:val="0"/>
      <w:sz w:val="24"/>
      <w:szCs w:val="20"/>
    </w:rPr>
  </w:style>
  <w:style w:type="character" w:customStyle="1" w:styleId="1797">
    <w:name w:val="正文内容（环科院报告书） Char Char"/>
    <w:link w:val="1796"/>
    <w:qFormat/>
    <w:uiPriority w:val="0"/>
    <w:rPr>
      <w:rFonts w:ascii="Tahoma" w:hAnsi="Tahoma" w:eastAsia="微软雅黑" w:cs="Times New Roman"/>
      <w:sz w:val="24"/>
    </w:rPr>
  </w:style>
  <w:style w:type="paragraph" w:customStyle="1" w:styleId="1798">
    <w:name w:val="表格格式"/>
    <w:basedOn w:val="1"/>
    <w:qFormat/>
    <w:uiPriority w:val="0"/>
    <w:pPr>
      <w:widowControl/>
      <w:adjustRightInd w:val="0"/>
      <w:snapToGrid w:val="0"/>
      <w:spacing w:after="200" w:line="280" w:lineRule="exact"/>
      <w:jc w:val="center"/>
    </w:pPr>
    <w:rPr>
      <w:rFonts w:ascii="Tahoma" w:hAnsi="Tahoma" w:eastAsia="微软雅黑" w:cs="Times New Roman"/>
      <w:kern w:val="0"/>
      <w:sz w:val="18"/>
      <w:szCs w:val="22"/>
    </w:rPr>
  </w:style>
  <w:style w:type="paragraph" w:customStyle="1" w:styleId="1799">
    <w:name w:val="AP-正文无级"/>
    <w:basedOn w:val="1"/>
    <w:qFormat/>
    <w:uiPriority w:val="0"/>
    <w:pPr>
      <w:widowControl/>
      <w:adjustRightInd w:val="0"/>
      <w:snapToGrid w:val="0"/>
      <w:spacing w:after="200" w:line="360" w:lineRule="auto"/>
      <w:ind w:firstLine="480" w:firstLineChars="200"/>
      <w:jc w:val="left"/>
    </w:pPr>
    <w:rPr>
      <w:rFonts w:ascii="Tahoma" w:hAnsi="Tahoma" w:eastAsia="微软雅黑" w:cs="Times New Roman"/>
      <w:kern w:val="0"/>
      <w:sz w:val="24"/>
      <w:szCs w:val="20"/>
    </w:rPr>
  </w:style>
  <w:style w:type="paragraph" w:customStyle="1" w:styleId="1800">
    <w:name w:val="O.K.表格内容"/>
    <w:basedOn w:val="1"/>
    <w:link w:val="1801"/>
    <w:qFormat/>
    <w:uiPriority w:val="0"/>
    <w:pPr>
      <w:widowControl/>
      <w:adjustRightInd w:val="0"/>
      <w:snapToGrid w:val="0"/>
      <w:spacing w:after="200"/>
      <w:jc w:val="left"/>
    </w:pPr>
    <w:rPr>
      <w:rFonts w:ascii="Tahoma" w:hAnsi="Tahoma" w:eastAsia="微软雅黑" w:cs="Times New Roman"/>
      <w:kern w:val="0"/>
      <w:sz w:val="24"/>
      <w:szCs w:val="24"/>
    </w:rPr>
  </w:style>
  <w:style w:type="character" w:customStyle="1" w:styleId="1801">
    <w:name w:val="O.K.表格内容 Char Char"/>
    <w:link w:val="1800"/>
    <w:qFormat/>
    <w:uiPriority w:val="0"/>
    <w:rPr>
      <w:rFonts w:ascii="Tahoma" w:hAnsi="Tahoma" w:eastAsia="微软雅黑" w:cs="Times New Roman"/>
      <w:sz w:val="24"/>
      <w:szCs w:val="24"/>
    </w:rPr>
  </w:style>
  <w:style w:type="paragraph" w:customStyle="1" w:styleId="1802">
    <w:name w:val="R-正文文本"/>
    <w:basedOn w:val="1"/>
    <w:qFormat/>
    <w:uiPriority w:val="4"/>
    <w:pPr>
      <w:widowControl/>
      <w:spacing w:line="360" w:lineRule="auto"/>
      <w:ind w:firstLine="200" w:firstLineChars="200"/>
    </w:pPr>
    <w:rPr>
      <w:rFonts w:ascii="Times New Roman" w:hAnsi="Times New Roman" w:eastAsia="宋体" w:cs="Times New Roman"/>
      <w:kern w:val="0"/>
      <w:sz w:val="24"/>
      <w:szCs w:val="20"/>
    </w:rPr>
  </w:style>
  <w:style w:type="paragraph" w:customStyle="1" w:styleId="1803">
    <w:name w:val="List Paragraph1"/>
    <w:basedOn w:val="1"/>
    <w:qFormat/>
    <w:uiPriority w:val="34"/>
    <w:pPr>
      <w:widowControl/>
      <w:adjustRightInd w:val="0"/>
      <w:snapToGrid w:val="0"/>
      <w:spacing w:after="200"/>
      <w:ind w:firstLine="420" w:firstLineChars="200"/>
      <w:jc w:val="left"/>
    </w:pPr>
    <w:rPr>
      <w:rFonts w:ascii="Tahoma" w:hAnsi="Tahoma" w:eastAsia="微软雅黑" w:cs="Times New Roman"/>
      <w:kern w:val="0"/>
      <w:sz w:val="22"/>
      <w:szCs w:val="22"/>
    </w:rPr>
  </w:style>
  <w:style w:type="paragraph" w:customStyle="1" w:styleId="1804">
    <w:name w:val="正文文本 23"/>
    <w:basedOn w:val="1"/>
    <w:qFormat/>
    <w:uiPriority w:val="0"/>
    <w:pPr>
      <w:adjustRightInd w:val="0"/>
      <w:snapToGrid w:val="0"/>
      <w:spacing w:after="200"/>
      <w:jc w:val="center"/>
      <w:textAlignment w:val="baseline"/>
    </w:pPr>
    <w:rPr>
      <w:rFonts w:ascii="Arial" w:hAnsi="Arial" w:eastAsia="微软雅黑" w:cs="Times New Roman"/>
      <w:szCs w:val="22"/>
    </w:rPr>
  </w:style>
  <w:style w:type="paragraph" w:customStyle="1" w:styleId="1805">
    <w:name w:val="Char5"/>
    <w:basedOn w:val="1"/>
    <w:qFormat/>
    <w:uiPriority w:val="0"/>
    <w:pPr>
      <w:widowControl/>
      <w:adjustRightInd w:val="0"/>
      <w:snapToGrid w:val="0"/>
      <w:spacing w:after="200"/>
      <w:jc w:val="left"/>
    </w:pPr>
    <w:rPr>
      <w:rFonts w:ascii="Tahoma" w:hAnsi="Tahoma" w:eastAsia="微软雅黑" w:cs="Times New Roman"/>
      <w:kern w:val="0"/>
      <w:sz w:val="22"/>
      <w:szCs w:val="22"/>
    </w:rPr>
  </w:style>
  <w:style w:type="paragraph" w:customStyle="1" w:styleId="1806">
    <w:name w:val="环保表头"/>
    <w:link w:val="1807"/>
    <w:qFormat/>
    <w:uiPriority w:val="0"/>
    <w:pPr>
      <w:spacing w:before="50" w:beforeLines="50"/>
      <w:jc w:val="center"/>
    </w:pPr>
    <w:rPr>
      <w:rFonts w:ascii="宋体" w:hAnsi="宋体" w:eastAsia="黑体" w:cs="Times New Roman"/>
      <w:sz w:val="24"/>
      <w:lang w:val="en-US" w:eastAsia="zh-CN" w:bidi="ar-SA"/>
    </w:rPr>
  </w:style>
  <w:style w:type="character" w:customStyle="1" w:styleId="1807">
    <w:name w:val="环保表头 Char"/>
    <w:link w:val="1806"/>
    <w:qFormat/>
    <w:uiPriority w:val="0"/>
    <w:rPr>
      <w:rFonts w:ascii="宋体" w:hAnsi="宋体" w:eastAsia="黑体" w:cs="Times New Roman"/>
      <w:sz w:val="24"/>
    </w:rPr>
  </w:style>
  <w:style w:type="character" w:customStyle="1" w:styleId="1808">
    <w:name w:val="表头 Char1"/>
    <w:qFormat/>
    <w:uiPriority w:val="0"/>
    <w:rPr>
      <w:rFonts w:eastAsia="宋体"/>
      <w:snapToGrid w:val="0"/>
      <w:sz w:val="28"/>
      <w:szCs w:val="24"/>
    </w:rPr>
  </w:style>
  <w:style w:type="paragraph" w:customStyle="1" w:styleId="1809">
    <w:name w:val="自定表格"/>
    <w:basedOn w:val="1"/>
    <w:qFormat/>
    <w:uiPriority w:val="0"/>
    <w:pPr>
      <w:widowControl/>
      <w:spacing w:line="360" w:lineRule="exact"/>
      <w:jc w:val="center"/>
    </w:pPr>
    <w:rPr>
      <w:rFonts w:ascii="Times New Roman" w:hAnsi="宋体" w:eastAsia="宋体" w:cs="Times New Roman"/>
      <w:color w:val="000000"/>
    </w:rPr>
  </w:style>
  <w:style w:type="character" w:customStyle="1" w:styleId="1810">
    <w:name w:val="表格 Char Char Char Char Char Char"/>
    <w:qFormat/>
    <w:uiPriority w:val="0"/>
    <w:rPr>
      <w:rFonts w:hint="eastAsia" w:ascii="Times New Roman" w:hAnsi="Times New Roman" w:eastAsia="宋体"/>
      <w:sz w:val="21"/>
    </w:rPr>
  </w:style>
  <w:style w:type="paragraph" w:customStyle="1" w:styleId="1811">
    <w:name w:val="标题04"/>
    <w:basedOn w:val="7"/>
    <w:qFormat/>
    <w:uiPriority w:val="0"/>
    <w:pPr>
      <w:keepLines/>
      <w:numPr>
        <w:ilvl w:val="0"/>
        <w:numId w:val="0"/>
      </w:numPr>
      <w:spacing w:before="200" w:beforeAutospacing="0" w:after="200" w:line="480" w:lineRule="exact"/>
      <w:jc w:val="both"/>
    </w:pPr>
    <w:rPr>
      <w:rFonts w:ascii="Arial" w:hAnsi="Arial" w:eastAsia="黑体" w:cs="宋体"/>
      <w:b w:val="0"/>
      <w:bCs w:val="0"/>
      <w:snapToGrid w:val="0"/>
      <w:kern w:val="28"/>
      <w:sz w:val="28"/>
    </w:rPr>
  </w:style>
  <w:style w:type="character" w:customStyle="1" w:styleId="1812">
    <w:name w:val="标题 7 Char Char"/>
    <w:qFormat/>
    <w:uiPriority w:val="0"/>
    <w:rPr>
      <w:b/>
      <w:bCs/>
      <w:kern w:val="2"/>
      <w:sz w:val="24"/>
      <w:szCs w:val="24"/>
    </w:rPr>
  </w:style>
  <w:style w:type="character" w:customStyle="1" w:styleId="1813">
    <w:name w:val="样式 列表 + 黑色 Char"/>
    <w:qFormat/>
    <w:uiPriority w:val="0"/>
    <w:rPr>
      <w:rFonts w:ascii="黑体" w:eastAsia="黑体"/>
      <w:color w:val="000000"/>
      <w:kern w:val="2"/>
      <w:sz w:val="24"/>
      <w:szCs w:val="24"/>
      <w:lang w:val="en-US" w:eastAsia="zh-CN" w:bidi="ar-SA"/>
    </w:rPr>
  </w:style>
  <w:style w:type="character" w:customStyle="1" w:styleId="1814">
    <w:name w:val="王　正文 Char Char Char"/>
    <w:qFormat/>
    <w:uiPriority w:val="0"/>
    <w:rPr>
      <w:rFonts w:hAnsi="宋体"/>
      <w:kern w:val="24"/>
      <w:sz w:val="28"/>
      <w:szCs w:val="28"/>
    </w:rPr>
  </w:style>
  <w:style w:type="character" w:customStyle="1" w:styleId="1815">
    <w:name w:val="标2 Char"/>
    <w:link w:val="1816"/>
    <w:qFormat/>
    <w:uiPriority w:val="0"/>
    <w:rPr>
      <w:rFonts w:ascii="宋体" w:hAnsi="Arial" w:eastAsia="黑体"/>
      <w:b/>
      <w:color w:val="000000"/>
      <w:position w:val="-6"/>
      <w:sz w:val="24"/>
      <w:szCs w:val="24"/>
    </w:rPr>
  </w:style>
  <w:style w:type="paragraph" w:customStyle="1" w:styleId="1816">
    <w:name w:val="标2"/>
    <w:basedOn w:val="5"/>
    <w:link w:val="1815"/>
    <w:qFormat/>
    <w:uiPriority w:val="0"/>
    <w:pPr>
      <w:keepLines/>
      <w:numPr>
        <w:ilvl w:val="0"/>
        <w:numId w:val="0"/>
      </w:numPr>
      <w:snapToGrid/>
      <w:spacing w:before="120" w:beforeAutospacing="0" w:after="120" w:line="520" w:lineRule="exact"/>
      <w:ind w:left="420" w:hanging="420"/>
      <w:textAlignment w:val="baseline"/>
    </w:pPr>
    <w:rPr>
      <w:rFonts w:hAnsi="Arial" w:cstheme="minorBidi"/>
      <w:b/>
      <w:bCs w:val="0"/>
      <w:kern w:val="0"/>
      <w:position w:val="-6"/>
      <w:sz w:val="24"/>
      <w:szCs w:val="24"/>
    </w:rPr>
  </w:style>
  <w:style w:type="character" w:customStyle="1" w:styleId="1817">
    <w:name w:val="标题2T Char1"/>
    <w:link w:val="1818"/>
    <w:qFormat/>
    <w:uiPriority w:val="0"/>
    <w:rPr>
      <w:kern w:val="2"/>
      <w:sz w:val="28"/>
      <w:szCs w:val="24"/>
    </w:rPr>
  </w:style>
  <w:style w:type="paragraph" w:customStyle="1" w:styleId="1818">
    <w:name w:val="标题2T"/>
    <w:basedOn w:val="1"/>
    <w:next w:val="1"/>
    <w:link w:val="1817"/>
    <w:qFormat/>
    <w:uiPriority w:val="0"/>
    <w:pPr>
      <w:keepNext/>
      <w:keepLines/>
      <w:adjustRightInd w:val="0"/>
      <w:snapToGrid w:val="0"/>
      <w:spacing w:beforeLines="50" w:afterLines="50" w:line="440" w:lineRule="exact"/>
      <w:jc w:val="center"/>
      <w:outlineLvl w:val="0"/>
    </w:pPr>
    <w:rPr>
      <w:sz w:val="28"/>
      <w:szCs w:val="24"/>
    </w:rPr>
  </w:style>
  <w:style w:type="character" w:customStyle="1" w:styleId="1819">
    <w:name w:val="标题 9 字符1"/>
    <w:qFormat/>
    <w:uiPriority w:val="0"/>
    <w:rPr>
      <w:rFonts w:ascii="Arial" w:hAnsi="Arial" w:eastAsia="黑体"/>
      <w:kern w:val="2"/>
      <w:sz w:val="21"/>
      <w:szCs w:val="21"/>
    </w:rPr>
  </w:style>
  <w:style w:type="character" w:customStyle="1" w:styleId="1820">
    <w:name w:val="simjour"/>
    <w:qFormat/>
    <w:uiPriority w:val="0"/>
  </w:style>
  <w:style w:type="character" w:customStyle="1" w:styleId="1821">
    <w:name w:val="样式正文 Char Char"/>
    <w:qFormat/>
    <w:uiPriority w:val="0"/>
    <w:rPr>
      <w:rFonts w:eastAsia="宋体"/>
      <w:kern w:val="2"/>
      <w:sz w:val="28"/>
      <w:lang w:val="en-US" w:eastAsia="zh-CN" w:bidi="ar-SA"/>
    </w:rPr>
  </w:style>
  <w:style w:type="character" w:customStyle="1" w:styleId="1822">
    <w:name w:val="设计正文 Char Char"/>
    <w:link w:val="1823"/>
    <w:qFormat/>
    <w:uiPriority w:val="0"/>
    <w:rPr>
      <w:rFonts w:ascii="宋体"/>
      <w:kern w:val="2"/>
      <w:sz w:val="24"/>
    </w:rPr>
  </w:style>
  <w:style w:type="paragraph" w:customStyle="1" w:styleId="1823">
    <w:name w:val="设计正文 Char"/>
    <w:basedOn w:val="1"/>
    <w:link w:val="1822"/>
    <w:qFormat/>
    <w:uiPriority w:val="0"/>
    <w:pPr>
      <w:spacing w:line="420" w:lineRule="exact"/>
      <w:ind w:firstLine="200" w:firstLineChars="200"/>
    </w:pPr>
    <w:rPr>
      <w:rFonts w:ascii="宋体"/>
      <w:sz w:val="24"/>
      <w:szCs w:val="20"/>
    </w:rPr>
  </w:style>
  <w:style w:type="character" w:customStyle="1" w:styleId="1824">
    <w:name w:val="脚注文本 字符1"/>
    <w:qFormat/>
    <w:uiPriority w:val="0"/>
    <w:rPr>
      <w:sz w:val="18"/>
      <w:szCs w:val="18"/>
    </w:rPr>
  </w:style>
  <w:style w:type="character" w:customStyle="1" w:styleId="1825">
    <w:name w:val="emtidy-1"/>
    <w:basedOn w:val="83"/>
    <w:qFormat/>
    <w:uiPriority w:val="0"/>
  </w:style>
  <w:style w:type="character" w:customStyle="1" w:styleId="1826">
    <w:name w:val="图标注 Char Char"/>
    <w:qFormat/>
    <w:uiPriority w:val="0"/>
    <w:rPr>
      <w:b/>
      <w:kern w:val="24"/>
      <w:sz w:val="24"/>
      <w:szCs w:val="22"/>
      <w:lang w:bidi="ar-SA"/>
    </w:rPr>
  </w:style>
  <w:style w:type="character" w:customStyle="1" w:styleId="1827">
    <w:name w:val="报告正文 Char"/>
    <w:qFormat/>
    <w:uiPriority w:val="0"/>
    <w:rPr>
      <w:rFonts w:ascii="宋体" w:eastAsia="宋体"/>
      <w:kern w:val="2"/>
      <w:sz w:val="28"/>
      <w:lang w:val="en-US" w:eastAsia="zh-CN" w:bidi="ar-SA"/>
    </w:rPr>
  </w:style>
  <w:style w:type="character" w:customStyle="1" w:styleId="1828">
    <w:name w:val="正文文字缩进 Char"/>
    <w:qFormat/>
    <w:uiPriority w:val="0"/>
    <w:rPr>
      <w:rFonts w:ascii="宋体" w:hAnsi="Arial"/>
      <w:kern w:val="2"/>
      <w:sz w:val="24"/>
    </w:rPr>
  </w:style>
  <w:style w:type="character" w:customStyle="1" w:styleId="1829">
    <w:name w:val="页码1"/>
    <w:qFormat/>
    <w:uiPriority w:val="0"/>
  </w:style>
  <w:style w:type="character" w:customStyle="1" w:styleId="1830">
    <w:name w:val="批注文字 字符3"/>
    <w:qFormat/>
    <w:uiPriority w:val="0"/>
    <w:rPr>
      <w:kern w:val="2"/>
      <w:sz w:val="24"/>
    </w:rPr>
  </w:style>
  <w:style w:type="character" w:customStyle="1" w:styleId="1831">
    <w:name w:val="标题 3 字符1"/>
    <w:qFormat/>
    <w:uiPriority w:val="0"/>
    <w:rPr>
      <w:b/>
      <w:bCs/>
      <w:kern w:val="2"/>
      <w:sz w:val="32"/>
      <w:szCs w:val="32"/>
    </w:rPr>
  </w:style>
  <w:style w:type="character" w:customStyle="1" w:styleId="1832">
    <w:name w:val="电子邮件签名 字符1"/>
    <w:qFormat/>
    <w:uiPriority w:val="0"/>
    <w:rPr>
      <w:kern w:val="2"/>
      <w:sz w:val="24"/>
    </w:rPr>
  </w:style>
  <w:style w:type="character" w:customStyle="1" w:styleId="1833">
    <w:name w:val="0正文 Char Char"/>
    <w:qFormat/>
    <w:uiPriority w:val="0"/>
    <w:rPr>
      <w:rFonts w:ascii="宋体" w:hAnsi="宋体"/>
      <w:snapToGrid/>
      <w:kern w:val="44"/>
      <w:sz w:val="28"/>
      <w:szCs w:val="24"/>
      <w:lang w:val="zh-CN"/>
    </w:rPr>
  </w:style>
  <w:style w:type="character" w:customStyle="1" w:styleId="1834">
    <w:name w:val="页码11"/>
    <w:qFormat/>
    <w:uiPriority w:val="0"/>
  </w:style>
  <w:style w:type="character" w:customStyle="1" w:styleId="1835">
    <w:name w:val="表格文字居中 Char"/>
    <w:qFormat/>
    <w:locked/>
    <w:uiPriority w:val="0"/>
    <w:rPr>
      <w:rFonts w:eastAsia="宋体"/>
      <w:kern w:val="2"/>
      <w:sz w:val="21"/>
      <w:szCs w:val="24"/>
      <w:lang w:val="en-US" w:eastAsia="zh-CN" w:bidi="ar-SA"/>
    </w:rPr>
  </w:style>
  <w:style w:type="character" w:customStyle="1" w:styleId="1836">
    <w:name w:val="标题2，， Char Char"/>
    <w:qFormat/>
    <w:uiPriority w:val="0"/>
    <w:rPr>
      <w:rFonts w:ascii="黑体" w:eastAsia="黑体"/>
      <w:bCs/>
      <w:kern w:val="44"/>
      <w:sz w:val="32"/>
      <w:szCs w:val="32"/>
      <w:lang w:bidi="ar-SA"/>
    </w:rPr>
  </w:style>
  <w:style w:type="character" w:customStyle="1" w:styleId="1837">
    <w:name w:val="正文1111111 Char Char"/>
    <w:link w:val="1838"/>
    <w:qFormat/>
    <w:uiPriority w:val="0"/>
    <w:rPr>
      <w:rFonts w:ascii="宋体" w:hAnsi="Arial Narrow"/>
      <w:kern w:val="2"/>
      <w:sz w:val="24"/>
      <w:szCs w:val="24"/>
    </w:rPr>
  </w:style>
  <w:style w:type="paragraph" w:customStyle="1" w:styleId="1838">
    <w:name w:val="正文1111111"/>
    <w:basedOn w:val="1"/>
    <w:link w:val="1837"/>
    <w:qFormat/>
    <w:uiPriority w:val="0"/>
    <w:pPr>
      <w:spacing w:line="460" w:lineRule="exact"/>
      <w:ind w:firstLine="200" w:firstLineChars="200"/>
    </w:pPr>
    <w:rPr>
      <w:rFonts w:ascii="宋体" w:hAnsi="Arial Narrow"/>
      <w:sz w:val="24"/>
      <w:szCs w:val="24"/>
    </w:rPr>
  </w:style>
  <w:style w:type="character" w:customStyle="1" w:styleId="1839">
    <w:name w:val="表头 + 居中 Char"/>
    <w:qFormat/>
    <w:uiPriority w:val="0"/>
    <w:rPr>
      <w:rFonts w:ascii="Arial" w:hAnsi="Arial" w:eastAsia="黑体"/>
      <w:kern w:val="2"/>
      <w:sz w:val="21"/>
      <w:szCs w:val="21"/>
      <w:lang w:val="en-US" w:eastAsia="zh-CN" w:bidi="ar-SA"/>
    </w:rPr>
  </w:style>
  <w:style w:type="character" w:customStyle="1" w:styleId="1840">
    <w:name w:val="正文样式 Char1"/>
    <w:qFormat/>
    <w:locked/>
    <w:uiPriority w:val="0"/>
    <w:rPr>
      <w:rFonts w:ascii="宋体" w:hAnsi="宋体" w:eastAsia="宋体"/>
      <w:kern w:val="2"/>
      <w:sz w:val="24"/>
      <w:szCs w:val="24"/>
      <w:lang w:val="en-US" w:eastAsia="zh-CN" w:bidi="ar-SA"/>
    </w:rPr>
  </w:style>
  <w:style w:type="character" w:customStyle="1" w:styleId="1841">
    <w:name w:val="样式 宋体 四号 行距: 1.5 倍行距 Char Char Char"/>
    <w:link w:val="1842"/>
    <w:qFormat/>
    <w:uiPriority w:val="0"/>
    <w:rPr>
      <w:rFonts w:ascii="宋体" w:hAnsi="宋体"/>
      <w:kern w:val="2"/>
      <w:sz w:val="28"/>
      <w:szCs w:val="24"/>
    </w:rPr>
  </w:style>
  <w:style w:type="paragraph" w:customStyle="1" w:styleId="1842">
    <w:name w:val="样式 宋体 四号 行距: 1.5 倍行距 Char Char"/>
    <w:basedOn w:val="1"/>
    <w:link w:val="1841"/>
    <w:qFormat/>
    <w:uiPriority w:val="0"/>
    <w:pPr>
      <w:spacing w:line="360" w:lineRule="auto"/>
      <w:ind w:firstLine="560" w:firstLineChars="200"/>
    </w:pPr>
    <w:rPr>
      <w:rFonts w:ascii="宋体" w:hAnsi="宋体"/>
      <w:sz w:val="28"/>
      <w:szCs w:val="24"/>
    </w:rPr>
  </w:style>
  <w:style w:type="character" w:customStyle="1" w:styleId="1843">
    <w:name w:val="标题标题 Char"/>
    <w:qFormat/>
    <w:uiPriority w:val="0"/>
    <w:rPr>
      <w:rFonts w:eastAsia="黑体"/>
      <w:kern w:val="11"/>
      <w:sz w:val="21"/>
      <w:szCs w:val="28"/>
      <w:lang w:val="en-US" w:eastAsia="zh-CN" w:bidi="ar-SA"/>
    </w:rPr>
  </w:style>
  <w:style w:type="character" w:customStyle="1" w:styleId="1844">
    <w:name w:val="表格头 Char Char"/>
    <w:qFormat/>
    <w:uiPriority w:val="0"/>
    <w:rPr>
      <w:rFonts w:ascii="Arial" w:hAnsi="Arial" w:eastAsia="黑体"/>
      <w:snapToGrid w:val="0"/>
      <w:color w:val="000000"/>
      <w:sz w:val="21"/>
      <w:szCs w:val="24"/>
    </w:rPr>
  </w:style>
  <w:style w:type="character" w:customStyle="1" w:styleId="1845">
    <w:name w:val="批注文字 字符6"/>
    <w:qFormat/>
    <w:uiPriority w:val="99"/>
    <w:rPr>
      <w:kern w:val="2"/>
      <w:sz w:val="21"/>
      <w:szCs w:val="24"/>
    </w:rPr>
  </w:style>
  <w:style w:type="character" w:customStyle="1" w:styleId="1846">
    <w:name w:val="样式3 Char"/>
    <w:qFormat/>
    <w:uiPriority w:val="0"/>
    <w:rPr>
      <w:rFonts w:ascii="黑体" w:eastAsia="黑体"/>
      <w:sz w:val="28"/>
      <w:lang w:val="en-US" w:eastAsia="zh-CN" w:bidi="ar-SA"/>
    </w:rPr>
  </w:style>
  <w:style w:type="character" w:customStyle="1" w:styleId="1847">
    <w:name w:val="表格 文字 Char Char"/>
    <w:link w:val="1848"/>
    <w:qFormat/>
    <w:uiPriority w:val="0"/>
    <w:rPr>
      <w:bCs/>
      <w:kern w:val="2"/>
      <w:sz w:val="21"/>
      <w:szCs w:val="21"/>
    </w:rPr>
  </w:style>
  <w:style w:type="paragraph" w:customStyle="1" w:styleId="1848">
    <w:name w:val="表格 文字"/>
    <w:basedOn w:val="79"/>
    <w:link w:val="1847"/>
    <w:qFormat/>
    <w:uiPriority w:val="0"/>
    <w:pPr>
      <w:widowControl w:val="0"/>
      <w:tabs>
        <w:tab w:val="left" w:pos="628"/>
        <w:tab w:val="left" w:pos="1727"/>
        <w:tab w:val="left" w:pos="1884"/>
      </w:tabs>
      <w:snapToGrid w:val="0"/>
      <w:spacing w:after="0" w:line="312" w:lineRule="auto"/>
      <w:ind w:firstLine="0" w:firstLineChars="0"/>
    </w:pPr>
    <w:rPr>
      <w:rFonts w:asciiTheme="minorHAnsi" w:hAnsiTheme="minorHAnsi" w:eastAsiaTheme="minorEastAsia" w:cstheme="minorBidi"/>
      <w:bCs/>
      <w:color w:val="auto"/>
      <w:sz w:val="21"/>
      <w:szCs w:val="21"/>
    </w:rPr>
  </w:style>
  <w:style w:type="character" w:customStyle="1" w:styleId="1849">
    <w:name w:val="H2 Char Char"/>
    <w:qFormat/>
    <w:uiPriority w:val="0"/>
    <w:rPr>
      <w:rFonts w:ascii="宋体" w:hAnsi="Arial" w:eastAsia="宋体"/>
      <w:kern w:val="2"/>
      <w:sz w:val="28"/>
      <w:lang w:val="en-US" w:eastAsia="zh-CN" w:bidi="ar-SA"/>
    </w:rPr>
  </w:style>
  <w:style w:type="character" w:customStyle="1" w:styleId="1850">
    <w:name w:val="正文样式 Char"/>
    <w:qFormat/>
    <w:uiPriority w:val="0"/>
    <w:rPr>
      <w:rFonts w:ascii="宋体" w:hAnsi="宋体" w:eastAsia="宋体"/>
      <w:kern w:val="2"/>
      <w:sz w:val="24"/>
      <w:szCs w:val="24"/>
      <w:lang w:val="en-US" w:eastAsia="zh-CN" w:bidi="ar-SA"/>
    </w:rPr>
  </w:style>
  <w:style w:type="character" w:customStyle="1" w:styleId="1851">
    <w:name w:val="text"/>
    <w:basedOn w:val="83"/>
    <w:qFormat/>
    <w:uiPriority w:val="0"/>
  </w:style>
  <w:style w:type="character" w:customStyle="1" w:styleId="1852">
    <w:name w:val="Char Char142"/>
    <w:qFormat/>
    <w:uiPriority w:val="0"/>
    <w:rPr>
      <w:rFonts w:eastAsia="宋体"/>
      <w:kern w:val="2"/>
      <w:sz w:val="21"/>
      <w:szCs w:val="24"/>
      <w:lang w:val="en-US" w:eastAsia="zh-CN" w:bidi="ar-SA"/>
    </w:rPr>
  </w:style>
  <w:style w:type="character" w:customStyle="1" w:styleId="1853">
    <w:name w:val="标题4，， Char"/>
    <w:link w:val="1854"/>
    <w:qFormat/>
    <w:locked/>
    <w:uiPriority w:val="0"/>
    <w:rPr>
      <w:rFonts w:ascii="宋体" w:hAnsi="宋体"/>
      <w:kern w:val="2"/>
      <w:sz w:val="24"/>
    </w:rPr>
  </w:style>
  <w:style w:type="paragraph" w:customStyle="1" w:styleId="1854">
    <w:name w:val="标题4，，"/>
    <w:basedOn w:val="7"/>
    <w:link w:val="1853"/>
    <w:qFormat/>
    <w:uiPriority w:val="0"/>
    <w:pPr>
      <w:keepLines/>
      <w:numPr>
        <w:ilvl w:val="0"/>
        <w:numId w:val="0"/>
      </w:numPr>
      <w:adjustRightInd/>
      <w:snapToGrid/>
      <w:spacing w:before="0" w:beforeAutospacing="0"/>
    </w:pPr>
    <w:rPr>
      <w:rFonts w:hAnsi="宋体" w:eastAsiaTheme="minorEastAsia" w:cstheme="minorBidi"/>
      <w:b w:val="0"/>
      <w:bCs w:val="0"/>
      <w:szCs w:val="20"/>
    </w:rPr>
  </w:style>
  <w:style w:type="character" w:customStyle="1" w:styleId="1855">
    <w:name w:val="titlebig"/>
    <w:basedOn w:val="83"/>
    <w:qFormat/>
    <w:uiPriority w:val="0"/>
  </w:style>
  <w:style w:type="character" w:customStyle="1" w:styleId="1856">
    <w:name w:val="标3 Char"/>
    <w:link w:val="1857"/>
    <w:qFormat/>
    <w:uiPriority w:val="0"/>
    <w:rPr>
      <w:rFonts w:ascii="黑体" w:hAnsi="宋体" w:eastAsia="黑体"/>
      <w:b/>
      <w:bCs/>
      <w:color w:val="000000"/>
      <w:sz w:val="24"/>
      <w:szCs w:val="24"/>
    </w:rPr>
  </w:style>
  <w:style w:type="paragraph" w:customStyle="1" w:styleId="1857">
    <w:name w:val="标3"/>
    <w:basedOn w:val="6"/>
    <w:link w:val="1856"/>
    <w:qFormat/>
    <w:uiPriority w:val="0"/>
    <w:pPr>
      <w:keepLines/>
      <w:numPr>
        <w:ilvl w:val="0"/>
        <w:numId w:val="0"/>
      </w:numPr>
      <w:snapToGrid/>
      <w:spacing w:before="120" w:after="120" w:line="520" w:lineRule="exact"/>
      <w:textAlignment w:val="baseline"/>
    </w:pPr>
    <w:rPr>
      <w:rFonts w:hAnsi="宋体"/>
      <w:b/>
      <w:color w:val="000000"/>
      <w:kern w:val="0"/>
    </w:rPr>
  </w:style>
  <w:style w:type="character" w:customStyle="1" w:styleId="1858">
    <w:name w:val="正文升平 Char"/>
    <w:link w:val="1859"/>
    <w:qFormat/>
    <w:uiPriority w:val="0"/>
    <w:rPr>
      <w:rFonts w:ascii="楷体_GB2312" w:hAnsi="宋体" w:eastAsia="楷体_GB2312"/>
      <w:bCs/>
      <w:color w:val="000000"/>
      <w:sz w:val="28"/>
      <w:szCs w:val="28"/>
      <w:lang w:val="zh-CN"/>
    </w:rPr>
  </w:style>
  <w:style w:type="paragraph" w:customStyle="1" w:styleId="1859">
    <w:name w:val="正文升平"/>
    <w:basedOn w:val="1"/>
    <w:link w:val="1858"/>
    <w:qFormat/>
    <w:uiPriority w:val="0"/>
    <w:pPr>
      <w:tabs>
        <w:tab w:val="left" w:pos="5040"/>
      </w:tabs>
      <w:spacing w:line="500" w:lineRule="exact"/>
      <w:ind w:firstLine="560" w:firstLineChars="200"/>
    </w:pPr>
    <w:rPr>
      <w:rFonts w:ascii="楷体_GB2312" w:hAnsi="宋体" w:eastAsia="楷体_GB2312"/>
      <w:bCs/>
      <w:color w:val="000000"/>
      <w:kern w:val="0"/>
      <w:sz w:val="28"/>
      <w:szCs w:val="28"/>
      <w:lang w:val="zh-CN"/>
    </w:rPr>
  </w:style>
  <w:style w:type="character" w:customStyle="1" w:styleId="1860">
    <w:name w:val="样式14 Char Char"/>
    <w:qFormat/>
    <w:uiPriority w:val="0"/>
    <w:rPr>
      <w:rFonts w:ascii="方正黑体简体" w:eastAsia="方正黑体简体"/>
      <w:sz w:val="24"/>
      <w:szCs w:val="21"/>
    </w:rPr>
  </w:style>
  <w:style w:type="character" w:customStyle="1" w:styleId="1861">
    <w:name w:val="正文文字缩进 Char2"/>
    <w:qFormat/>
    <w:uiPriority w:val="0"/>
    <w:rPr>
      <w:kern w:val="2"/>
      <w:sz w:val="24"/>
    </w:rPr>
  </w:style>
  <w:style w:type="character" w:customStyle="1" w:styleId="1862">
    <w:name w:val="正文首行缩进 2 Char Char"/>
    <w:link w:val="1863"/>
    <w:qFormat/>
    <w:uiPriority w:val="0"/>
    <w:rPr>
      <w:rFonts w:ascii="楷体_GB2312" w:eastAsia="楷体_GB2312"/>
      <w:sz w:val="28"/>
      <w:szCs w:val="24"/>
    </w:rPr>
  </w:style>
  <w:style w:type="paragraph" w:customStyle="1" w:styleId="1863">
    <w:name w:val="正文首行缩进 21"/>
    <w:basedOn w:val="1864"/>
    <w:link w:val="1862"/>
    <w:qFormat/>
    <w:uiPriority w:val="0"/>
    <w:pPr>
      <w:widowControl w:val="0"/>
      <w:snapToGrid w:val="0"/>
      <w:spacing w:after="120" w:line="480" w:lineRule="exact"/>
      <w:ind w:left="420" w:leftChars="200" w:firstLine="420" w:firstLineChars="200"/>
      <w:jc w:val="both"/>
      <w:textAlignment w:val="auto"/>
    </w:pPr>
    <w:rPr>
      <w:rFonts w:ascii="楷体_GB2312" w:eastAsia="楷体_GB2312" w:hAnsiTheme="minorHAnsi" w:cstheme="minorBidi"/>
      <w:sz w:val="28"/>
    </w:rPr>
  </w:style>
  <w:style w:type="paragraph" w:customStyle="1" w:styleId="1864">
    <w:name w:val="正文文本缩进2"/>
    <w:basedOn w:val="1"/>
    <w:qFormat/>
    <w:uiPriority w:val="0"/>
    <w:pPr>
      <w:widowControl/>
      <w:adjustRightInd w:val="0"/>
      <w:spacing w:line="360" w:lineRule="atLeast"/>
      <w:ind w:left="280" w:firstLine="560"/>
      <w:jc w:val="left"/>
      <w:textAlignment w:val="baseline"/>
    </w:pPr>
    <w:rPr>
      <w:rFonts w:ascii="宋体" w:hAnsi="宋体" w:eastAsia="宋体" w:cs="宋体"/>
      <w:kern w:val="0"/>
      <w:sz w:val="24"/>
      <w:szCs w:val="24"/>
    </w:rPr>
  </w:style>
  <w:style w:type="character" w:customStyle="1" w:styleId="1865">
    <w:name w:val="标题3 Char"/>
    <w:qFormat/>
    <w:uiPriority w:val="0"/>
    <w:rPr>
      <w:rFonts w:eastAsia="黑体" w:cs="宋体"/>
      <w:kern w:val="2"/>
      <w:sz w:val="28"/>
      <w:szCs w:val="32"/>
      <w:lang w:val="en-US" w:eastAsia="zh-CN" w:bidi="ar-SA"/>
    </w:rPr>
  </w:style>
  <w:style w:type="character" w:customStyle="1" w:styleId="1866">
    <w:name w:val="报告名称副标题 Char Char"/>
    <w:link w:val="1867"/>
    <w:qFormat/>
    <w:uiPriority w:val="0"/>
    <w:rPr>
      <w:rFonts w:eastAsia="黑体"/>
      <w:kern w:val="2"/>
      <w:sz w:val="44"/>
    </w:rPr>
  </w:style>
  <w:style w:type="paragraph" w:customStyle="1" w:styleId="1867">
    <w:name w:val="报告名称副标题"/>
    <w:basedOn w:val="1"/>
    <w:next w:val="1"/>
    <w:link w:val="1866"/>
    <w:qFormat/>
    <w:uiPriority w:val="0"/>
    <w:pPr>
      <w:widowControl/>
      <w:adjustRightInd w:val="0"/>
      <w:snapToGrid w:val="0"/>
      <w:spacing w:before="140" w:after="120" w:line="700" w:lineRule="exact"/>
      <w:jc w:val="center"/>
    </w:pPr>
    <w:rPr>
      <w:rFonts w:eastAsia="黑体"/>
      <w:sz w:val="44"/>
      <w:szCs w:val="20"/>
    </w:rPr>
  </w:style>
  <w:style w:type="character" w:customStyle="1" w:styleId="1868">
    <w:name w:val="表格内 Char Char"/>
    <w:qFormat/>
    <w:uiPriority w:val="0"/>
    <w:rPr>
      <w:snapToGrid w:val="0"/>
      <w:sz w:val="21"/>
      <w:szCs w:val="21"/>
    </w:rPr>
  </w:style>
  <w:style w:type="character" w:customStyle="1" w:styleId="1869">
    <w:name w:val="王　正文 Char"/>
    <w:link w:val="1870"/>
    <w:qFormat/>
    <w:uiPriority w:val="0"/>
    <w:rPr>
      <w:rFonts w:hAnsi="宋体" w:cs="宋体"/>
      <w:kern w:val="24"/>
      <w:sz w:val="28"/>
      <w:szCs w:val="28"/>
    </w:rPr>
  </w:style>
  <w:style w:type="paragraph" w:customStyle="1" w:styleId="1870">
    <w:name w:val="王　正文"/>
    <w:basedOn w:val="1"/>
    <w:link w:val="1869"/>
    <w:qFormat/>
    <w:uiPriority w:val="0"/>
    <w:pPr>
      <w:spacing w:line="480" w:lineRule="exact"/>
      <w:ind w:firstLine="560" w:firstLineChars="200"/>
    </w:pPr>
    <w:rPr>
      <w:rFonts w:hAnsi="宋体" w:cs="宋体"/>
      <w:kern w:val="24"/>
      <w:sz w:val="28"/>
      <w:szCs w:val="28"/>
    </w:rPr>
  </w:style>
  <w:style w:type="character" w:customStyle="1" w:styleId="1871">
    <w:name w:val="cucd-0 Char"/>
    <w:qFormat/>
    <w:uiPriority w:val="0"/>
    <w:rPr>
      <w:kern w:val="2"/>
      <w:sz w:val="24"/>
      <w:szCs w:val="24"/>
      <w:lang w:val="en-US" w:eastAsia="zh-CN" w:bidi="ar-SA"/>
    </w:rPr>
  </w:style>
  <w:style w:type="character" w:customStyle="1" w:styleId="1872">
    <w:name w:val="正文新 Char"/>
    <w:link w:val="1873"/>
    <w:qFormat/>
    <w:uiPriority w:val="0"/>
    <w:rPr>
      <w:rFonts w:ascii="宋体" w:hAnsi="宋体"/>
      <w:kern w:val="2"/>
      <w:sz w:val="24"/>
      <w:szCs w:val="24"/>
    </w:rPr>
  </w:style>
  <w:style w:type="paragraph" w:customStyle="1" w:styleId="1873">
    <w:name w:val="正文新"/>
    <w:basedOn w:val="1"/>
    <w:link w:val="1872"/>
    <w:qFormat/>
    <w:uiPriority w:val="0"/>
    <w:pPr>
      <w:spacing w:line="460" w:lineRule="exact"/>
      <w:ind w:firstLine="482"/>
    </w:pPr>
    <w:rPr>
      <w:rFonts w:ascii="宋体" w:hAnsi="宋体"/>
      <w:sz w:val="24"/>
      <w:szCs w:val="24"/>
    </w:rPr>
  </w:style>
  <w:style w:type="character" w:customStyle="1" w:styleId="1874">
    <w:name w:val="样式 标题 2 Char + Times New Roman Char Char"/>
    <w:qFormat/>
    <w:uiPriority w:val="0"/>
    <w:rPr>
      <w:rFonts w:eastAsia="黑体"/>
      <w:kern w:val="2"/>
      <w:sz w:val="28"/>
    </w:rPr>
  </w:style>
  <w:style w:type="character" w:customStyle="1" w:styleId="1875">
    <w:name w:val="样式 标题 2 + 四号 Char Char Char"/>
    <w:qFormat/>
    <w:uiPriority w:val="0"/>
    <w:rPr>
      <w:rFonts w:eastAsia="黑体"/>
      <w:bCs/>
      <w:snapToGrid/>
      <w:sz w:val="28"/>
      <w:szCs w:val="32"/>
      <w:lang w:bidi="ar-SA"/>
    </w:rPr>
  </w:style>
  <w:style w:type="character" w:customStyle="1" w:styleId="1876">
    <w:name w:val="宏文本 Char1"/>
    <w:qFormat/>
    <w:uiPriority w:val="0"/>
    <w:rPr>
      <w:rFonts w:ascii="Courier New" w:hAnsi="Courier New" w:cs="Courier New"/>
      <w:sz w:val="24"/>
      <w:szCs w:val="24"/>
    </w:rPr>
  </w:style>
  <w:style w:type="character" w:customStyle="1" w:styleId="1877">
    <w:name w:val="表格sms Char"/>
    <w:link w:val="1878"/>
    <w:qFormat/>
    <w:uiPriority w:val="0"/>
    <w:rPr>
      <w:snapToGrid w:val="0"/>
      <w:w w:val="99"/>
      <w:sz w:val="21"/>
      <w:szCs w:val="21"/>
    </w:rPr>
  </w:style>
  <w:style w:type="paragraph" w:customStyle="1" w:styleId="1878">
    <w:name w:val="表格sms"/>
    <w:link w:val="1877"/>
    <w:qFormat/>
    <w:uiPriority w:val="0"/>
    <w:pPr>
      <w:spacing w:line="360" w:lineRule="exact"/>
      <w:jc w:val="center"/>
    </w:pPr>
    <w:rPr>
      <w:rFonts w:asciiTheme="minorHAnsi" w:hAnsiTheme="minorHAnsi" w:eastAsiaTheme="minorEastAsia" w:cstheme="minorBidi"/>
      <w:snapToGrid w:val="0"/>
      <w:w w:val="99"/>
      <w:sz w:val="21"/>
      <w:szCs w:val="21"/>
      <w:lang w:val="en-US" w:eastAsia="zh-CN" w:bidi="ar-SA"/>
    </w:rPr>
  </w:style>
  <w:style w:type="character" w:customStyle="1" w:styleId="1879">
    <w:name w:val="emtidy-5"/>
    <w:basedOn w:val="83"/>
    <w:qFormat/>
    <w:uiPriority w:val="0"/>
  </w:style>
  <w:style w:type="character" w:customStyle="1" w:styleId="1880">
    <w:name w:val="正文首行缩进-修改 Char"/>
    <w:qFormat/>
    <w:uiPriority w:val="0"/>
    <w:rPr>
      <w:rFonts w:eastAsia="宋体"/>
      <w:kern w:val="2"/>
      <w:sz w:val="24"/>
      <w:szCs w:val="24"/>
      <w:lang w:val="en-US" w:eastAsia="zh-CN" w:bidi="ar-SA"/>
    </w:rPr>
  </w:style>
  <w:style w:type="character" w:customStyle="1" w:styleId="1881">
    <w:name w:val="emtidy-7"/>
    <w:basedOn w:val="83"/>
    <w:qFormat/>
    <w:uiPriority w:val="0"/>
  </w:style>
  <w:style w:type="character" w:customStyle="1" w:styleId="1882">
    <w:name w:val="批注框文本 Char2"/>
    <w:qFormat/>
    <w:uiPriority w:val="0"/>
    <w:rPr>
      <w:kern w:val="2"/>
      <w:sz w:val="18"/>
      <w:szCs w:val="18"/>
    </w:rPr>
  </w:style>
  <w:style w:type="character" w:customStyle="1" w:styleId="1883">
    <w:name w:val="正文－图表内文字 Char"/>
    <w:link w:val="1884"/>
    <w:qFormat/>
    <w:uiPriority w:val="0"/>
    <w:rPr>
      <w:color w:val="000000"/>
      <w:kern w:val="2"/>
      <w:sz w:val="21"/>
      <w:szCs w:val="24"/>
    </w:rPr>
  </w:style>
  <w:style w:type="paragraph" w:customStyle="1" w:styleId="1884">
    <w:name w:val="正文－图表内文字"/>
    <w:basedOn w:val="1"/>
    <w:next w:val="1"/>
    <w:link w:val="1883"/>
    <w:qFormat/>
    <w:uiPriority w:val="0"/>
    <w:pPr>
      <w:adjustRightInd w:val="0"/>
      <w:snapToGrid w:val="0"/>
      <w:jc w:val="center"/>
    </w:pPr>
    <w:rPr>
      <w:color w:val="000000"/>
      <w:szCs w:val="24"/>
    </w:rPr>
  </w:style>
  <w:style w:type="character" w:customStyle="1" w:styleId="1885">
    <w:name w:val="书籍标题2"/>
    <w:qFormat/>
    <w:uiPriority w:val="0"/>
    <w:rPr>
      <w:b/>
      <w:bCs/>
      <w:smallCaps/>
      <w:spacing w:val="5"/>
    </w:rPr>
  </w:style>
  <w:style w:type="character" w:customStyle="1" w:styleId="1886">
    <w:name w:val="内容1 Char"/>
    <w:link w:val="1887"/>
    <w:qFormat/>
    <w:uiPriority w:val="0"/>
    <w:rPr>
      <w:rFonts w:hAnsi="宋体"/>
      <w:sz w:val="28"/>
      <w:szCs w:val="28"/>
    </w:rPr>
  </w:style>
  <w:style w:type="paragraph" w:customStyle="1" w:styleId="1887">
    <w:name w:val="内容1"/>
    <w:basedOn w:val="1"/>
    <w:link w:val="1886"/>
    <w:qFormat/>
    <w:uiPriority w:val="0"/>
    <w:pPr>
      <w:widowControl/>
      <w:spacing w:line="500" w:lineRule="exact"/>
      <w:ind w:firstLine="538" w:firstLineChars="192"/>
      <w:jc w:val="left"/>
    </w:pPr>
    <w:rPr>
      <w:rFonts w:hAnsi="宋体"/>
      <w:kern w:val="0"/>
      <w:sz w:val="28"/>
      <w:szCs w:val="28"/>
    </w:rPr>
  </w:style>
  <w:style w:type="character" w:customStyle="1" w:styleId="1888">
    <w:name w:val="样式 标题 1一级标题(章)标题 1 Char封面标题封皮 + (中文) 仿宋_GB2312 四号 左 左侧:  ... Char Char Char Char"/>
    <w:qFormat/>
    <w:uiPriority w:val="0"/>
    <w:rPr>
      <w:rFonts w:eastAsia="黑体" w:cs="宋体"/>
      <w:bCs/>
      <w:snapToGrid w:val="0"/>
      <w:kern w:val="44"/>
      <w:sz w:val="32"/>
      <w:szCs w:val="32"/>
    </w:rPr>
  </w:style>
  <w:style w:type="character" w:customStyle="1" w:styleId="1889">
    <w:name w:val="说明书正文 Char Char"/>
    <w:qFormat/>
    <w:uiPriority w:val="0"/>
    <w:rPr>
      <w:rFonts w:eastAsia="宋体"/>
      <w:sz w:val="24"/>
      <w:szCs w:val="24"/>
      <w:lang w:val="en-US" w:eastAsia="zh-CN" w:bidi="ar-SA"/>
    </w:rPr>
  </w:style>
  <w:style w:type="character" w:customStyle="1" w:styleId="1890">
    <w:name w:val="正文 首行缩进:  2 字符 Char Char"/>
    <w:qFormat/>
    <w:uiPriority w:val="0"/>
    <w:rPr>
      <w:rFonts w:cs="宋体"/>
      <w:kern w:val="2"/>
      <w:sz w:val="24"/>
    </w:rPr>
  </w:style>
  <w:style w:type="character" w:customStyle="1" w:styleId="1891">
    <w:name w:val="样式13 Char Char"/>
    <w:qFormat/>
    <w:uiPriority w:val="0"/>
    <w:rPr>
      <w:rFonts w:ascii="方正书宋简体" w:eastAsia="方正书宋简体"/>
      <w:b/>
      <w:color w:val="000000"/>
      <w:kern w:val="2"/>
      <w:sz w:val="28"/>
      <w:szCs w:val="28"/>
      <w:lang w:val="en-US" w:eastAsia="zh-CN" w:bidi="ar-SA"/>
    </w:rPr>
  </w:style>
  <w:style w:type="character" w:customStyle="1" w:styleId="1892">
    <w:name w:val="样式6 Char Char"/>
    <w:qFormat/>
    <w:uiPriority w:val="0"/>
    <w:rPr>
      <w:kern w:val="2"/>
      <w:sz w:val="21"/>
      <w:szCs w:val="21"/>
    </w:rPr>
  </w:style>
  <w:style w:type="character" w:customStyle="1" w:styleId="1893">
    <w:name w:val="正文－图表内文字 Char Char"/>
    <w:qFormat/>
    <w:uiPriority w:val="0"/>
    <w:rPr>
      <w:color w:val="000000"/>
      <w:kern w:val="2"/>
      <w:sz w:val="21"/>
      <w:szCs w:val="28"/>
    </w:rPr>
  </w:style>
  <w:style w:type="character" w:customStyle="1" w:styleId="1894">
    <w:name w:val="font5 Char Char"/>
    <w:qFormat/>
    <w:uiPriority w:val="0"/>
    <w:rPr>
      <w:rFonts w:ascii="宋体" w:hAnsi="宋体" w:eastAsia="宋体"/>
      <w:sz w:val="18"/>
      <w:szCs w:val="18"/>
      <w:lang w:val="en-US" w:eastAsia="zh-CN" w:bidi="ar-SA"/>
    </w:rPr>
  </w:style>
  <w:style w:type="character" w:customStyle="1" w:styleId="1895">
    <w:name w:val="keyword1"/>
    <w:qFormat/>
    <w:uiPriority w:val="0"/>
    <w:rPr>
      <w:color w:val="FF0000"/>
    </w:rPr>
  </w:style>
  <w:style w:type="character" w:customStyle="1" w:styleId="1896">
    <w:name w:val="emtidy-3"/>
    <w:basedOn w:val="83"/>
    <w:qFormat/>
    <w:uiPriority w:val="0"/>
  </w:style>
  <w:style w:type="character" w:customStyle="1" w:styleId="1897">
    <w:name w:val="新正文 Char"/>
    <w:link w:val="1898"/>
    <w:qFormat/>
    <w:uiPriority w:val="0"/>
    <w:rPr>
      <w:rFonts w:ascii="宋体"/>
      <w:kern w:val="2"/>
      <w:sz w:val="24"/>
      <w:szCs w:val="24"/>
    </w:rPr>
  </w:style>
  <w:style w:type="paragraph" w:customStyle="1" w:styleId="1898">
    <w:name w:val="新正文"/>
    <w:basedOn w:val="1"/>
    <w:link w:val="1897"/>
    <w:qFormat/>
    <w:uiPriority w:val="0"/>
    <w:pPr>
      <w:tabs>
        <w:tab w:val="left" w:pos="8295"/>
      </w:tabs>
      <w:spacing w:line="460" w:lineRule="exact"/>
      <w:ind w:firstLine="200" w:firstLineChars="200"/>
    </w:pPr>
    <w:rPr>
      <w:rFonts w:ascii="宋体"/>
      <w:sz w:val="24"/>
      <w:szCs w:val="24"/>
    </w:rPr>
  </w:style>
  <w:style w:type="character" w:customStyle="1" w:styleId="1899">
    <w:name w:val="样式正文 Char Char1"/>
    <w:qFormat/>
    <w:uiPriority w:val="0"/>
    <w:rPr>
      <w:rFonts w:eastAsia="宋体"/>
      <w:kern w:val="2"/>
      <w:sz w:val="28"/>
      <w:szCs w:val="24"/>
      <w:lang w:val="en-US" w:eastAsia="zh-CN" w:bidi="ar-SA"/>
    </w:rPr>
  </w:style>
  <w:style w:type="character" w:customStyle="1" w:styleId="1900">
    <w:name w:val="zt41"/>
    <w:qFormat/>
    <w:uiPriority w:val="0"/>
    <w:rPr>
      <w:sz w:val="18"/>
      <w:szCs w:val="18"/>
    </w:rPr>
  </w:style>
  <w:style w:type="character" w:customStyle="1" w:styleId="1901">
    <w:name w:val="表头-文字 Char"/>
    <w:link w:val="1902"/>
    <w:qFormat/>
    <w:locked/>
    <w:uiPriority w:val="0"/>
    <w:rPr>
      <w:b/>
      <w:kern w:val="24"/>
      <w:sz w:val="24"/>
      <w:szCs w:val="22"/>
    </w:rPr>
  </w:style>
  <w:style w:type="paragraph" w:customStyle="1" w:styleId="1902">
    <w:name w:val="表头-文字"/>
    <w:basedOn w:val="1"/>
    <w:link w:val="1901"/>
    <w:qFormat/>
    <w:uiPriority w:val="0"/>
    <w:pPr>
      <w:adjustRightInd w:val="0"/>
      <w:snapToGrid w:val="0"/>
      <w:spacing w:beforeLines="50"/>
      <w:jc w:val="center"/>
    </w:pPr>
    <w:rPr>
      <w:b/>
      <w:kern w:val="24"/>
      <w:sz w:val="24"/>
      <w:szCs w:val="22"/>
    </w:rPr>
  </w:style>
  <w:style w:type="character" w:customStyle="1" w:styleId="1903">
    <w:name w:val="电子邮件签名 字符3"/>
    <w:qFormat/>
    <w:uiPriority w:val="0"/>
    <w:rPr>
      <w:kern w:val="2"/>
      <w:sz w:val="24"/>
    </w:rPr>
  </w:style>
  <w:style w:type="character" w:customStyle="1" w:styleId="1904">
    <w:name w:val="正文首行缩进 2 字符1"/>
    <w:qFormat/>
    <w:uiPriority w:val="0"/>
  </w:style>
  <w:style w:type="character" w:customStyle="1" w:styleId="1905">
    <w:name w:val="正文文本 2 字符4"/>
    <w:qFormat/>
    <w:uiPriority w:val="0"/>
    <w:rPr>
      <w:kern w:val="2"/>
      <w:sz w:val="24"/>
    </w:rPr>
  </w:style>
  <w:style w:type="character" w:customStyle="1" w:styleId="1906">
    <w:name w:val="标题 6 字符2"/>
    <w:qFormat/>
    <w:uiPriority w:val="0"/>
    <w:rPr>
      <w:rFonts w:ascii="Arial" w:hAnsi="Arial" w:eastAsia="黑体"/>
      <w:b/>
      <w:bCs/>
      <w:kern w:val="2"/>
      <w:sz w:val="24"/>
      <w:szCs w:val="24"/>
    </w:rPr>
  </w:style>
  <w:style w:type="character" w:customStyle="1" w:styleId="1907">
    <w:name w:val="正文 New New Char Char"/>
    <w:qFormat/>
    <w:uiPriority w:val="0"/>
    <w:rPr>
      <w:kern w:val="2"/>
      <w:sz w:val="21"/>
      <w:szCs w:val="24"/>
      <w:lang w:bidi="ar-SA"/>
    </w:rPr>
  </w:style>
  <w:style w:type="character" w:customStyle="1" w:styleId="1908">
    <w:name w:val="标题 3 字符2"/>
    <w:qFormat/>
    <w:uiPriority w:val="0"/>
    <w:rPr>
      <w:b/>
      <w:bCs/>
      <w:kern w:val="2"/>
      <w:sz w:val="32"/>
      <w:szCs w:val="32"/>
    </w:rPr>
  </w:style>
  <w:style w:type="character" w:customStyle="1" w:styleId="1909">
    <w:name w:val="正文文字缩进 2 Char2"/>
    <w:qFormat/>
    <w:uiPriority w:val="0"/>
    <w:rPr>
      <w:kern w:val="2"/>
      <w:sz w:val="24"/>
    </w:rPr>
  </w:style>
  <w:style w:type="character" w:customStyle="1" w:styleId="1910">
    <w:name w:val="正文文字 Char1"/>
    <w:qFormat/>
    <w:uiPriority w:val="0"/>
    <w:rPr>
      <w:rFonts w:eastAsia="宋体"/>
      <w:b/>
      <w:kern w:val="2"/>
      <w:sz w:val="24"/>
      <w:lang w:val="en-US" w:eastAsia="zh-CN" w:bidi="ar-SA"/>
    </w:rPr>
  </w:style>
  <w:style w:type="character" w:customStyle="1" w:styleId="1911">
    <w:name w:val="表格1 Char"/>
    <w:qFormat/>
    <w:uiPriority w:val="0"/>
    <w:rPr>
      <w:rFonts w:ascii="宋体" w:hAnsi="宋体" w:eastAsia="宋体" w:cs="Arial"/>
      <w:color w:val="000000"/>
      <w:sz w:val="21"/>
      <w:szCs w:val="21"/>
      <w:lang w:val="en-US" w:eastAsia="zh-CN" w:bidi="ar-SA"/>
    </w:rPr>
  </w:style>
  <w:style w:type="character" w:customStyle="1" w:styleId="1912">
    <w:name w:val="正文缩进 字符"/>
    <w:qFormat/>
    <w:uiPriority w:val="0"/>
    <w:rPr>
      <w:rFonts w:eastAsia="宋体"/>
      <w:kern w:val="2"/>
      <w:sz w:val="21"/>
      <w:lang w:val="en-US" w:eastAsia="zh-CN" w:bidi="ar-SA"/>
    </w:rPr>
  </w:style>
  <w:style w:type="character" w:customStyle="1" w:styleId="1913">
    <w:name w:val="标题标题 Char Char Char"/>
    <w:qFormat/>
    <w:uiPriority w:val="0"/>
    <w:rPr>
      <w:rFonts w:eastAsia="黑体"/>
      <w:kern w:val="11"/>
      <w:sz w:val="21"/>
      <w:szCs w:val="28"/>
      <w:lang w:val="en-US" w:eastAsia="zh-CN" w:bidi="ar-SA"/>
    </w:rPr>
  </w:style>
  <w:style w:type="character" w:customStyle="1" w:styleId="1914">
    <w:name w:val="纯文本1 Char"/>
    <w:link w:val="1915"/>
    <w:qFormat/>
    <w:uiPriority w:val="0"/>
    <w:rPr>
      <w:rFonts w:ascii="宋体" w:hAnsi="Courier New"/>
      <w:kern w:val="2"/>
      <w:sz w:val="21"/>
    </w:rPr>
  </w:style>
  <w:style w:type="paragraph" w:customStyle="1" w:styleId="1915">
    <w:name w:val="纯文本1"/>
    <w:basedOn w:val="1"/>
    <w:link w:val="1914"/>
    <w:qFormat/>
    <w:uiPriority w:val="0"/>
    <w:rPr>
      <w:rFonts w:ascii="宋体" w:hAnsi="Courier New"/>
      <w:szCs w:val="20"/>
    </w:rPr>
  </w:style>
  <w:style w:type="character" w:customStyle="1" w:styleId="1916">
    <w:name w:val="页码2"/>
    <w:basedOn w:val="83"/>
    <w:qFormat/>
    <w:uiPriority w:val="0"/>
  </w:style>
  <w:style w:type="character" w:customStyle="1" w:styleId="1917">
    <w:name w:val="页脚 字符1"/>
    <w:qFormat/>
    <w:uiPriority w:val="0"/>
    <w:rPr>
      <w:sz w:val="18"/>
    </w:rPr>
  </w:style>
  <w:style w:type="character" w:customStyle="1" w:styleId="1918">
    <w:name w:val="OK 1.1.1 Char Char"/>
    <w:qFormat/>
    <w:uiPriority w:val="0"/>
    <w:rPr>
      <w:rFonts w:ascii="Calibri" w:hAnsi="Calibri" w:cs="Calibri"/>
      <w:b/>
      <w:sz w:val="24"/>
      <w:szCs w:val="24"/>
    </w:rPr>
  </w:style>
  <w:style w:type="character" w:customStyle="1" w:styleId="1919">
    <w:name w:val="正文文字 2 Char Char"/>
    <w:qFormat/>
    <w:uiPriority w:val="0"/>
    <w:rPr>
      <w:snapToGrid/>
      <w:kern w:val="28"/>
      <w:sz w:val="24"/>
    </w:rPr>
  </w:style>
  <w:style w:type="character" w:customStyle="1" w:styleId="1920">
    <w:name w:val="日期 字符3"/>
    <w:qFormat/>
    <w:uiPriority w:val="0"/>
    <w:rPr>
      <w:kern w:val="2"/>
      <w:sz w:val="21"/>
    </w:rPr>
  </w:style>
  <w:style w:type="character" w:customStyle="1" w:styleId="1921">
    <w:name w:val="标题 9 字符3"/>
    <w:qFormat/>
    <w:uiPriority w:val="0"/>
    <w:rPr>
      <w:rFonts w:ascii="Arial" w:hAnsi="Arial" w:eastAsia="黑体"/>
      <w:sz w:val="24"/>
      <w:szCs w:val="21"/>
      <w:lang w:bidi="ar-SA"/>
    </w:rPr>
  </w:style>
  <w:style w:type="character" w:customStyle="1" w:styleId="1922">
    <w:name w:val="正文文本 2 字符5"/>
    <w:qFormat/>
    <w:uiPriority w:val="0"/>
    <w:rPr>
      <w:rFonts w:eastAsia="宋体"/>
      <w:kern w:val="2"/>
      <w:sz w:val="18"/>
      <w:lang w:val="en-US" w:eastAsia="zh-CN" w:bidi="ar-SA"/>
    </w:rPr>
  </w:style>
  <w:style w:type="character" w:customStyle="1" w:styleId="1923">
    <w:name w:val="标题 3 字符4"/>
    <w:qFormat/>
    <w:uiPriority w:val="0"/>
    <w:rPr>
      <w:b/>
      <w:bCs/>
      <w:kern w:val="2"/>
      <w:sz w:val="32"/>
      <w:szCs w:val="32"/>
    </w:rPr>
  </w:style>
  <w:style w:type="character" w:customStyle="1" w:styleId="1924">
    <w:name w:val="页眉 Char2"/>
    <w:qFormat/>
    <w:uiPriority w:val="0"/>
    <w:rPr>
      <w:kern w:val="2"/>
      <w:sz w:val="18"/>
      <w:szCs w:val="18"/>
    </w:rPr>
  </w:style>
  <w:style w:type="character" w:customStyle="1" w:styleId="1925">
    <w:name w:val="标题 8 字符3"/>
    <w:qFormat/>
    <w:uiPriority w:val="0"/>
    <w:rPr>
      <w:rFonts w:ascii="Arial" w:hAnsi="Arial" w:eastAsia="黑体"/>
      <w:sz w:val="24"/>
      <w:szCs w:val="24"/>
      <w:lang w:bidi="ar-SA"/>
    </w:rPr>
  </w:style>
  <w:style w:type="character" w:customStyle="1" w:styleId="1926">
    <w:name w:val="正文缩进 字符2"/>
    <w:qFormat/>
    <w:uiPriority w:val="0"/>
    <w:rPr>
      <w:rFonts w:eastAsia="宋体"/>
      <w:kern w:val="2"/>
      <w:sz w:val="24"/>
      <w:lang w:val="en-US" w:eastAsia="zh-CN" w:bidi="ar-SA"/>
    </w:rPr>
  </w:style>
  <w:style w:type="character" w:customStyle="1" w:styleId="1927">
    <w:name w:val="标题 9 Char Char"/>
    <w:qFormat/>
    <w:uiPriority w:val="0"/>
    <w:rPr>
      <w:rFonts w:ascii="Cambria" w:hAnsi="Cambria" w:eastAsia="宋体" w:cs="Times New Roman"/>
      <w:kern w:val="2"/>
      <w:sz w:val="21"/>
      <w:szCs w:val="21"/>
    </w:rPr>
  </w:style>
  <w:style w:type="character" w:customStyle="1" w:styleId="1928">
    <w:name w:val="614表格样式 Char Char"/>
    <w:link w:val="1929"/>
    <w:qFormat/>
    <w:uiPriority w:val="0"/>
    <w:rPr>
      <w:rFonts w:hAnsi="宋体"/>
      <w:kern w:val="2"/>
      <w:sz w:val="21"/>
      <w:szCs w:val="21"/>
    </w:rPr>
  </w:style>
  <w:style w:type="paragraph" w:customStyle="1" w:styleId="1929">
    <w:name w:val="614表格样式"/>
    <w:basedOn w:val="1"/>
    <w:link w:val="1928"/>
    <w:qFormat/>
    <w:uiPriority w:val="0"/>
    <w:pPr>
      <w:spacing w:line="320" w:lineRule="exact"/>
      <w:jc w:val="center"/>
    </w:pPr>
    <w:rPr>
      <w:rFonts w:hAnsi="宋体"/>
    </w:rPr>
  </w:style>
  <w:style w:type="character" w:customStyle="1" w:styleId="1930">
    <w:name w:val="标题 4 字符3"/>
    <w:qFormat/>
    <w:uiPriority w:val="0"/>
    <w:rPr>
      <w:rFonts w:ascii="Arial" w:hAnsi="Arial" w:eastAsia="黑体"/>
      <w:b/>
      <w:bCs/>
      <w:kern w:val="2"/>
      <w:sz w:val="28"/>
      <w:szCs w:val="28"/>
    </w:rPr>
  </w:style>
  <w:style w:type="character" w:customStyle="1" w:styleId="1931">
    <w:name w:val="标题 5 Char Char"/>
    <w:qFormat/>
    <w:uiPriority w:val="0"/>
    <w:rPr>
      <w:b/>
      <w:bCs/>
      <w:kern w:val="2"/>
      <w:sz w:val="28"/>
      <w:szCs w:val="28"/>
    </w:rPr>
  </w:style>
  <w:style w:type="character" w:customStyle="1" w:styleId="1932">
    <w:name w:val="正文 + Char"/>
    <w:link w:val="1933"/>
    <w:qFormat/>
    <w:uiPriority w:val="0"/>
    <w:rPr>
      <w:rFonts w:eastAsia="Times New Roman"/>
      <w:snapToGrid w:val="0"/>
      <w:kern w:val="24"/>
      <w:sz w:val="24"/>
      <w:szCs w:val="24"/>
    </w:rPr>
  </w:style>
  <w:style w:type="paragraph" w:customStyle="1" w:styleId="1933">
    <w:name w:val="正文 +"/>
    <w:link w:val="1932"/>
    <w:qFormat/>
    <w:uiPriority w:val="0"/>
    <w:pPr>
      <w:adjustRightInd w:val="0"/>
      <w:snapToGrid w:val="0"/>
      <w:spacing w:line="360" w:lineRule="auto"/>
      <w:ind w:firstLine="480" w:firstLineChars="200"/>
    </w:pPr>
    <w:rPr>
      <w:rFonts w:eastAsia="Times New Roman" w:asciiTheme="minorHAnsi" w:hAnsiTheme="minorHAnsi" w:cstheme="minorBidi"/>
      <w:snapToGrid w:val="0"/>
      <w:kern w:val="24"/>
      <w:sz w:val="24"/>
      <w:szCs w:val="24"/>
      <w:lang w:val="en-US" w:eastAsia="zh-CN" w:bidi="ar-SA"/>
    </w:rPr>
  </w:style>
  <w:style w:type="character" w:customStyle="1" w:styleId="1934">
    <w:name w:val="Char Char161"/>
    <w:qFormat/>
    <w:uiPriority w:val="0"/>
    <w:rPr>
      <w:kern w:val="2"/>
      <w:sz w:val="18"/>
      <w:szCs w:val="18"/>
    </w:rPr>
  </w:style>
  <w:style w:type="character" w:customStyle="1" w:styleId="1935">
    <w:name w:val="y正 文 Char Char"/>
    <w:link w:val="1936"/>
    <w:qFormat/>
    <w:uiPriority w:val="0"/>
    <w:rPr>
      <w:rFonts w:ascii="宋体" w:hAnsi="宋体"/>
      <w:bCs/>
      <w:kern w:val="2"/>
      <w:sz w:val="24"/>
      <w:szCs w:val="24"/>
    </w:rPr>
  </w:style>
  <w:style w:type="paragraph" w:customStyle="1" w:styleId="1936">
    <w:name w:val="y正 文"/>
    <w:basedOn w:val="1"/>
    <w:link w:val="1935"/>
    <w:qFormat/>
    <w:uiPriority w:val="0"/>
    <w:pPr>
      <w:widowControl/>
      <w:adjustRightInd w:val="0"/>
      <w:spacing w:line="360" w:lineRule="auto"/>
      <w:ind w:firstLine="200" w:firstLineChars="200"/>
      <w:jc w:val="left"/>
    </w:pPr>
    <w:rPr>
      <w:rFonts w:ascii="宋体" w:hAnsi="宋体"/>
      <w:bCs/>
      <w:sz w:val="24"/>
      <w:szCs w:val="24"/>
    </w:rPr>
  </w:style>
  <w:style w:type="character" w:customStyle="1" w:styleId="1937">
    <w:name w:val="h Char Char1"/>
    <w:qFormat/>
    <w:uiPriority w:val="0"/>
    <w:rPr>
      <w:kern w:val="2"/>
      <w:sz w:val="18"/>
      <w:szCs w:val="18"/>
    </w:rPr>
  </w:style>
  <w:style w:type="character" w:customStyle="1" w:styleId="1938">
    <w:name w:val="韩要点1 Char Char Char"/>
    <w:qFormat/>
    <w:uiPriority w:val="0"/>
    <w:rPr>
      <w:sz w:val="28"/>
      <w:lang w:bidi="ar-SA"/>
    </w:rPr>
  </w:style>
  <w:style w:type="character" w:customStyle="1" w:styleId="1939">
    <w:name w:val="设计正文 Char Char Char"/>
    <w:qFormat/>
    <w:uiPriority w:val="0"/>
    <w:rPr>
      <w:rFonts w:ascii="宋体"/>
      <w:kern w:val="2"/>
      <w:sz w:val="24"/>
      <w:lang w:bidi="ar-SA"/>
    </w:rPr>
  </w:style>
  <w:style w:type="character" w:customStyle="1" w:styleId="1940">
    <w:name w:val="正文文字 3 Char Char1"/>
    <w:qFormat/>
    <w:uiPriority w:val="0"/>
    <w:rPr>
      <w:kern w:val="2"/>
      <w:sz w:val="18"/>
    </w:rPr>
  </w:style>
  <w:style w:type="character" w:customStyle="1" w:styleId="1941">
    <w:name w:val="5m5"/>
    <w:basedOn w:val="83"/>
    <w:qFormat/>
    <w:uiPriority w:val="0"/>
  </w:style>
  <w:style w:type="character" w:customStyle="1" w:styleId="1942">
    <w:name w:val="Char Char102"/>
    <w:qFormat/>
    <w:uiPriority w:val="0"/>
    <w:rPr>
      <w:kern w:val="2"/>
      <w:sz w:val="21"/>
    </w:rPr>
  </w:style>
  <w:style w:type="character" w:customStyle="1" w:styleId="1943">
    <w:name w:val="页眉 字符3"/>
    <w:qFormat/>
    <w:uiPriority w:val="99"/>
    <w:rPr>
      <w:kern w:val="2"/>
      <w:sz w:val="18"/>
      <w:szCs w:val="18"/>
    </w:rPr>
  </w:style>
  <w:style w:type="character" w:customStyle="1" w:styleId="1944">
    <w:name w:val="正文首行缩进2字符 Char Char Char"/>
    <w:qFormat/>
    <w:uiPriority w:val="0"/>
    <w:rPr>
      <w:rFonts w:ascii="仿宋_GB2312" w:eastAsia="仿宋_GB2312"/>
      <w:kern w:val="2"/>
      <w:sz w:val="28"/>
      <w:szCs w:val="24"/>
      <w:lang w:bidi="ar-SA"/>
    </w:rPr>
  </w:style>
  <w:style w:type="character" w:customStyle="1" w:styleId="1945">
    <w:name w:val="样式 宋体 四号 行距: 1.5 倍行距 Char Char Char Char Char"/>
    <w:qFormat/>
    <w:uiPriority w:val="0"/>
    <w:rPr>
      <w:rFonts w:ascii="宋体" w:hAnsi="宋体"/>
      <w:kern w:val="2"/>
      <w:sz w:val="28"/>
      <w:szCs w:val="24"/>
      <w:lang w:bidi="ar-SA"/>
    </w:rPr>
  </w:style>
  <w:style w:type="character" w:customStyle="1" w:styleId="1946">
    <w:name w:val="HTML 预设格式 字符3"/>
    <w:qFormat/>
    <w:uiPriority w:val="0"/>
    <w:rPr>
      <w:rFonts w:ascii="宋体" w:hAnsi="宋体" w:cs="宋体"/>
      <w:color w:val="000000"/>
      <w:sz w:val="24"/>
      <w:szCs w:val="24"/>
    </w:rPr>
  </w:style>
  <w:style w:type="character" w:customStyle="1" w:styleId="1947">
    <w:name w:val="标题 5 字符3"/>
    <w:qFormat/>
    <w:uiPriority w:val="0"/>
    <w:rPr>
      <w:rFonts w:ascii="楷体_GB2312" w:eastAsia="楷体_GB2312"/>
      <w:b/>
      <w:spacing w:val="20"/>
      <w:kern w:val="2"/>
      <w:sz w:val="28"/>
    </w:rPr>
  </w:style>
  <w:style w:type="character" w:customStyle="1" w:styleId="1948">
    <w:name w:val="王　正文 Char Char"/>
    <w:qFormat/>
    <w:uiPriority w:val="0"/>
    <w:rPr>
      <w:rFonts w:hAnsi="宋体" w:eastAsia="宋体"/>
      <w:kern w:val="24"/>
      <w:sz w:val="28"/>
      <w:szCs w:val="28"/>
      <w:lang w:bidi="ar-SA"/>
    </w:rPr>
  </w:style>
  <w:style w:type="character" w:customStyle="1" w:styleId="1949">
    <w:name w:val="批注文字 字符5"/>
    <w:qFormat/>
    <w:uiPriority w:val="0"/>
    <w:rPr>
      <w:kern w:val="2"/>
      <w:sz w:val="24"/>
    </w:rPr>
  </w:style>
  <w:style w:type="character" w:customStyle="1" w:styleId="1950">
    <w:name w:val="宏文本 Char Char"/>
    <w:link w:val="1951"/>
    <w:qFormat/>
    <w:uiPriority w:val="0"/>
    <w:rPr>
      <w:rFonts w:ascii="Courier New" w:hAnsi="Courier New" w:eastAsia="Times New Roman" w:cs="Courier New"/>
      <w:kern w:val="2"/>
      <w:sz w:val="24"/>
      <w:szCs w:val="24"/>
    </w:rPr>
  </w:style>
  <w:style w:type="paragraph" w:customStyle="1" w:styleId="1951">
    <w:name w:val="宏文本2"/>
    <w:link w:val="195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kern w:val="2"/>
      <w:sz w:val="24"/>
      <w:szCs w:val="24"/>
      <w:lang w:val="en-US" w:eastAsia="zh-CN" w:bidi="ar-SA"/>
    </w:rPr>
  </w:style>
  <w:style w:type="character" w:customStyle="1" w:styleId="1952">
    <w:name w:val="批注框文本 字符1"/>
    <w:qFormat/>
    <w:uiPriority w:val="0"/>
    <w:rPr>
      <w:rFonts w:ascii="Times New Roman" w:hAnsi="Times New Roman" w:eastAsia="宋体" w:cs="Times New Roman"/>
      <w:sz w:val="18"/>
      <w:szCs w:val="18"/>
    </w:rPr>
  </w:style>
  <w:style w:type="character" w:customStyle="1" w:styleId="1953">
    <w:name w:val="尾注文本 字符3"/>
    <w:qFormat/>
    <w:uiPriority w:val="0"/>
    <w:rPr>
      <w:kern w:val="2"/>
      <w:sz w:val="21"/>
      <w:szCs w:val="24"/>
    </w:rPr>
  </w:style>
  <w:style w:type="character" w:customStyle="1" w:styleId="1954">
    <w:name w:val="标2 Char Char"/>
    <w:qFormat/>
    <w:uiPriority w:val="0"/>
    <w:rPr>
      <w:rFonts w:ascii="黑体" w:hAnsi="Arial" w:eastAsia="黑体"/>
      <w:b/>
      <w:color w:val="000000"/>
      <w:position w:val="-6"/>
      <w:sz w:val="24"/>
      <w:szCs w:val="24"/>
      <w:lang w:val="en-US" w:eastAsia="zh-CN" w:bidi="ar-SA"/>
    </w:rPr>
  </w:style>
  <w:style w:type="character" w:customStyle="1" w:styleId="1955">
    <w:name w:val="样式 列表 + 黑色 Char Char"/>
    <w:qFormat/>
    <w:uiPriority w:val="0"/>
    <w:rPr>
      <w:rFonts w:ascii="黑体" w:eastAsia="黑体"/>
      <w:color w:val="000000"/>
      <w:kern w:val="2"/>
      <w:sz w:val="24"/>
      <w:szCs w:val="24"/>
      <w:lang w:val="en-US" w:eastAsia="zh-CN" w:bidi="ar-SA"/>
    </w:rPr>
  </w:style>
  <w:style w:type="character" w:customStyle="1" w:styleId="1956">
    <w:name w:val="已访问的超链接 Char"/>
    <w:qFormat/>
    <w:uiPriority w:val="0"/>
    <w:rPr>
      <w:color w:val="800080"/>
      <w:u w:val="single"/>
    </w:rPr>
  </w:style>
  <w:style w:type="character" w:customStyle="1" w:styleId="1957">
    <w:name w:val="批注文字 字符2"/>
    <w:qFormat/>
    <w:uiPriority w:val="0"/>
    <w:rPr>
      <w:kern w:val="2"/>
      <w:sz w:val="24"/>
    </w:rPr>
  </w:style>
  <w:style w:type="character" w:customStyle="1" w:styleId="1958">
    <w:name w:val="标题 4 字符1"/>
    <w:qFormat/>
    <w:uiPriority w:val="0"/>
    <w:rPr>
      <w:rFonts w:ascii="Arial" w:hAnsi="Arial" w:eastAsia="黑体"/>
      <w:b/>
      <w:bCs/>
      <w:kern w:val="2"/>
      <w:sz w:val="28"/>
      <w:szCs w:val="28"/>
    </w:rPr>
  </w:style>
  <w:style w:type="character" w:customStyle="1" w:styleId="1959">
    <w:name w:val="表格sms Char Char"/>
    <w:qFormat/>
    <w:uiPriority w:val="0"/>
    <w:rPr>
      <w:rFonts w:eastAsia="Times New Roman"/>
      <w:w w:val="99"/>
      <w:sz w:val="21"/>
      <w:szCs w:val="21"/>
      <w:lang w:val="en-US" w:eastAsia="zh-CN" w:bidi="ar-SA"/>
    </w:rPr>
  </w:style>
  <w:style w:type="character" w:customStyle="1" w:styleId="1960">
    <w:name w:val="页脚 Char2"/>
    <w:qFormat/>
    <w:uiPriority w:val="0"/>
    <w:rPr>
      <w:rFonts w:hint="eastAsia" w:ascii="宋体" w:hAnsi="宋体" w:eastAsia="宋体"/>
      <w:kern w:val="2"/>
      <w:sz w:val="18"/>
      <w:lang w:val="en-US" w:eastAsia="zh-CN" w:bidi="ar-SA"/>
    </w:rPr>
  </w:style>
  <w:style w:type="character" w:customStyle="1" w:styleId="1961">
    <w:name w:val="正文 首行缩进:  2 字符 SL CON Char Char"/>
    <w:link w:val="1962"/>
    <w:qFormat/>
    <w:uiPriority w:val="0"/>
    <w:rPr>
      <w:rFonts w:ascii="宋体" w:hAnsi="宋体"/>
      <w:sz w:val="24"/>
      <w:szCs w:val="24"/>
    </w:rPr>
  </w:style>
  <w:style w:type="paragraph" w:customStyle="1" w:styleId="1962">
    <w:name w:val="正文 首行缩进:  2 字符 SL CON"/>
    <w:basedOn w:val="1"/>
    <w:link w:val="1961"/>
    <w:qFormat/>
    <w:uiPriority w:val="0"/>
    <w:pPr>
      <w:widowControl/>
      <w:tabs>
        <w:tab w:val="left" w:pos="377"/>
      </w:tabs>
      <w:spacing w:line="360" w:lineRule="auto"/>
      <w:ind w:firstLine="200" w:firstLineChars="200"/>
    </w:pPr>
    <w:rPr>
      <w:rFonts w:ascii="宋体" w:hAnsi="宋体"/>
      <w:kern w:val="0"/>
      <w:sz w:val="24"/>
      <w:szCs w:val="24"/>
    </w:rPr>
  </w:style>
  <w:style w:type="character" w:customStyle="1" w:styleId="1963">
    <w:name w:val="aa1 l01 style8"/>
    <w:qFormat/>
    <w:uiPriority w:val="0"/>
  </w:style>
  <w:style w:type="character" w:customStyle="1" w:styleId="1964">
    <w:name w:val="普通(网站) Char Char"/>
    <w:qFormat/>
    <w:uiPriority w:val="0"/>
    <w:rPr>
      <w:rFonts w:ascii="宋体" w:hAnsi="宋体" w:cs="宋体"/>
      <w:sz w:val="24"/>
      <w:szCs w:val="24"/>
    </w:rPr>
  </w:style>
  <w:style w:type="character" w:customStyle="1" w:styleId="1965">
    <w:name w:val="标题 字符1"/>
    <w:qFormat/>
    <w:uiPriority w:val="0"/>
    <w:rPr>
      <w:rFonts w:hint="eastAsia" w:ascii="等线 Light" w:hAnsi="等线 Light" w:eastAsia="等线 Light" w:cs="Times New Roman"/>
      <w:b/>
      <w:bCs/>
      <w:kern w:val="2"/>
      <w:sz w:val="32"/>
      <w:szCs w:val="32"/>
    </w:rPr>
  </w:style>
  <w:style w:type="character" w:customStyle="1" w:styleId="1966">
    <w:name w:val="HTML 预设格式 字符1"/>
    <w:qFormat/>
    <w:uiPriority w:val="0"/>
    <w:rPr>
      <w:rFonts w:ascii="Courier New" w:hAnsi="Courier New" w:eastAsia="宋体" w:cs="Times New Roman"/>
      <w:sz w:val="20"/>
      <w:szCs w:val="20"/>
    </w:rPr>
  </w:style>
  <w:style w:type="character" w:customStyle="1" w:styleId="1967">
    <w:name w:val="批注文字 Char Char Char"/>
    <w:qFormat/>
    <w:uiPriority w:val="0"/>
    <w:rPr>
      <w:kern w:val="2"/>
      <w:sz w:val="24"/>
    </w:rPr>
  </w:style>
  <w:style w:type="character" w:customStyle="1" w:styleId="1968">
    <w:name w:val="宏文本 Char"/>
    <w:qFormat/>
    <w:uiPriority w:val="0"/>
    <w:rPr>
      <w:rFonts w:ascii="Courier New" w:hAnsi="Courier New" w:eastAsia="Times New Roman" w:cs="Courier New"/>
      <w:kern w:val="2"/>
      <w:sz w:val="24"/>
      <w:szCs w:val="24"/>
      <w:lang w:val="en-US" w:eastAsia="zh-CN" w:bidi="ar-SA"/>
    </w:rPr>
  </w:style>
  <w:style w:type="character" w:customStyle="1" w:styleId="1969">
    <w:name w:val="纯文本 字符2"/>
    <w:qFormat/>
    <w:uiPriority w:val="0"/>
    <w:rPr>
      <w:rFonts w:ascii="宋体" w:hAnsi="Courier New" w:eastAsia="宋体"/>
      <w:kern w:val="2"/>
      <w:sz w:val="24"/>
      <w:lang w:val="en-US" w:eastAsia="zh-CN" w:bidi="ar-SA"/>
    </w:rPr>
  </w:style>
  <w:style w:type="character" w:customStyle="1" w:styleId="1970">
    <w:name w:val="标题 2 字符3"/>
    <w:qFormat/>
    <w:uiPriority w:val="0"/>
    <w:rPr>
      <w:rFonts w:ascii="Arial" w:hAnsi="Arial" w:eastAsia="黑体"/>
      <w:b/>
      <w:bCs/>
      <w:kern w:val="2"/>
      <w:sz w:val="32"/>
      <w:szCs w:val="32"/>
    </w:rPr>
  </w:style>
  <w:style w:type="character" w:customStyle="1" w:styleId="1971">
    <w:name w:val="页码21"/>
    <w:qFormat/>
    <w:uiPriority w:val="0"/>
  </w:style>
  <w:style w:type="character" w:customStyle="1" w:styleId="1972">
    <w:name w:val="正文文本缩进 字符2"/>
    <w:qFormat/>
    <w:uiPriority w:val="0"/>
    <w:rPr>
      <w:kern w:val="2"/>
      <w:sz w:val="24"/>
    </w:rPr>
  </w:style>
  <w:style w:type="character" w:customStyle="1" w:styleId="1973">
    <w:name w:val="批注主题 字符2"/>
    <w:qFormat/>
    <w:uiPriority w:val="0"/>
    <w:rPr>
      <w:b/>
      <w:bCs/>
      <w:kern w:val="2"/>
      <w:sz w:val="24"/>
    </w:rPr>
  </w:style>
  <w:style w:type="character" w:customStyle="1" w:styleId="1974">
    <w:name w:val="正文文本缩进 2 字符2"/>
    <w:qFormat/>
    <w:uiPriority w:val="0"/>
    <w:rPr>
      <w:kern w:val="2"/>
      <w:sz w:val="24"/>
    </w:rPr>
  </w:style>
  <w:style w:type="character" w:customStyle="1" w:styleId="1975">
    <w:name w:val="正文文本 字符2"/>
    <w:qFormat/>
    <w:uiPriority w:val="0"/>
    <w:rPr>
      <w:rFonts w:eastAsia="宋体"/>
      <w:b/>
      <w:kern w:val="2"/>
      <w:sz w:val="24"/>
      <w:lang w:val="en-US" w:eastAsia="zh-CN" w:bidi="ar-SA"/>
    </w:rPr>
  </w:style>
  <w:style w:type="character" w:customStyle="1" w:styleId="1976">
    <w:name w:val="正文文本缩进 3 字符3"/>
    <w:qFormat/>
    <w:uiPriority w:val="0"/>
    <w:rPr>
      <w:kern w:val="2"/>
      <w:sz w:val="16"/>
      <w:szCs w:val="16"/>
    </w:rPr>
  </w:style>
  <w:style w:type="character" w:customStyle="1" w:styleId="1977">
    <w:name w:val="表中文字 Char Char Char"/>
    <w:qFormat/>
    <w:uiPriority w:val="0"/>
    <w:rPr>
      <w:rFonts w:eastAsia="宋体"/>
      <w:sz w:val="21"/>
      <w:lang w:val="en-US" w:eastAsia="zh-CN" w:bidi="ar-SA"/>
    </w:rPr>
  </w:style>
  <w:style w:type="character" w:customStyle="1" w:styleId="1978">
    <w:name w:val="正文文本缩进 3 字符2"/>
    <w:qFormat/>
    <w:uiPriority w:val="0"/>
    <w:rPr>
      <w:kern w:val="2"/>
      <w:sz w:val="16"/>
      <w:szCs w:val="16"/>
    </w:rPr>
  </w:style>
  <w:style w:type="character" w:customStyle="1" w:styleId="1979">
    <w:name w:val="正文文本 2 字符3"/>
    <w:qFormat/>
    <w:uiPriority w:val="0"/>
    <w:rPr>
      <w:kern w:val="28"/>
      <w:sz w:val="24"/>
    </w:rPr>
  </w:style>
  <w:style w:type="character" w:customStyle="1" w:styleId="1980">
    <w:name w:val="表格内 Char Char Char"/>
    <w:qFormat/>
    <w:uiPriority w:val="0"/>
    <w:rPr>
      <w:rFonts w:eastAsia="宋体"/>
      <w:snapToGrid/>
      <w:sz w:val="21"/>
      <w:szCs w:val="21"/>
      <w:lang w:bidi="ar-SA"/>
    </w:rPr>
  </w:style>
  <w:style w:type="character" w:customStyle="1" w:styleId="1981">
    <w:name w:val="尾注文本 字符2"/>
    <w:qFormat/>
    <w:uiPriority w:val="0"/>
    <w:rPr>
      <w:kern w:val="2"/>
      <w:sz w:val="21"/>
      <w:szCs w:val="24"/>
    </w:rPr>
  </w:style>
  <w:style w:type="character" w:customStyle="1" w:styleId="1982">
    <w:name w:val="HTML 预设格式 Char Char"/>
    <w:link w:val="1983"/>
    <w:qFormat/>
    <w:uiPriority w:val="0"/>
    <w:rPr>
      <w:rFonts w:ascii="宋体" w:hAnsi="宋体"/>
      <w:color w:val="000000"/>
      <w:sz w:val="24"/>
      <w:szCs w:val="24"/>
    </w:rPr>
  </w:style>
  <w:style w:type="paragraph" w:customStyle="1" w:styleId="1983">
    <w:name w:val="HTML 预设格式1"/>
    <w:basedOn w:val="1"/>
    <w:link w:val="198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szCs w:val="24"/>
    </w:rPr>
  </w:style>
  <w:style w:type="character" w:customStyle="1" w:styleId="1984">
    <w:name w:val="标题 7 字符2"/>
    <w:qFormat/>
    <w:uiPriority w:val="0"/>
    <w:rPr>
      <w:b/>
      <w:bCs/>
      <w:kern w:val="2"/>
      <w:sz w:val="24"/>
      <w:szCs w:val="24"/>
    </w:rPr>
  </w:style>
  <w:style w:type="character" w:customStyle="1" w:styleId="1985">
    <w:name w:val="页眉 字符2"/>
    <w:qFormat/>
    <w:uiPriority w:val="0"/>
    <w:rPr>
      <w:kern w:val="2"/>
      <w:sz w:val="18"/>
      <w:szCs w:val="18"/>
    </w:rPr>
  </w:style>
  <w:style w:type="character" w:customStyle="1" w:styleId="1986">
    <w:name w:val="标题 1 Char1"/>
    <w:qFormat/>
    <w:uiPriority w:val="0"/>
    <w:rPr>
      <w:b/>
      <w:bCs/>
      <w:kern w:val="44"/>
      <w:sz w:val="44"/>
      <w:szCs w:val="44"/>
    </w:rPr>
  </w:style>
  <w:style w:type="character" w:customStyle="1" w:styleId="1987">
    <w:name w:val="HTML 预设格式 字符2"/>
    <w:qFormat/>
    <w:uiPriority w:val="0"/>
    <w:rPr>
      <w:rFonts w:ascii="Courier New" w:hAnsi="Courier New" w:cs="Courier New"/>
      <w:kern w:val="2"/>
    </w:rPr>
  </w:style>
  <w:style w:type="character" w:customStyle="1" w:styleId="1988">
    <w:name w:val="正文（首行缩进两字） Char"/>
    <w:qFormat/>
    <w:uiPriority w:val="0"/>
    <w:rPr>
      <w:rFonts w:eastAsia="宋体"/>
      <w:kern w:val="2"/>
      <w:sz w:val="28"/>
      <w:lang w:val="en-US" w:eastAsia="zh-CN" w:bidi="ar-SA"/>
    </w:rPr>
  </w:style>
  <w:style w:type="character" w:customStyle="1" w:styleId="1989">
    <w:name w:val="样式正文 Char"/>
    <w:basedOn w:val="1988"/>
    <w:qFormat/>
    <w:uiPriority w:val="0"/>
    <w:rPr>
      <w:rFonts w:eastAsia="宋体"/>
      <w:kern w:val="2"/>
      <w:sz w:val="28"/>
      <w:lang w:val="en-US" w:eastAsia="zh-CN" w:bidi="ar-SA"/>
    </w:rPr>
  </w:style>
  <w:style w:type="character" w:customStyle="1" w:styleId="1990">
    <w:name w:val="正文缩进 字符1"/>
    <w:qFormat/>
    <w:uiPriority w:val="0"/>
    <w:rPr>
      <w:kern w:val="2"/>
      <w:sz w:val="21"/>
    </w:rPr>
  </w:style>
  <w:style w:type="character" w:customStyle="1" w:styleId="1991">
    <w:name w:val="正5 Char"/>
    <w:link w:val="1992"/>
    <w:qFormat/>
    <w:uiPriority w:val="0"/>
    <w:rPr>
      <w:rFonts w:ascii="宋体"/>
      <w:color w:val="000000"/>
      <w:kern w:val="2"/>
      <w:sz w:val="24"/>
      <w:szCs w:val="24"/>
    </w:rPr>
  </w:style>
  <w:style w:type="paragraph" w:customStyle="1" w:styleId="1992">
    <w:name w:val="正5"/>
    <w:basedOn w:val="1"/>
    <w:link w:val="1991"/>
    <w:qFormat/>
    <w:uiPriority w:val="0"/>
    <w:pPr>
      <w:spacing w:line="460" w:lineRule="exact"/>
      <w:ind w:firstLine="200" w:firstLineChars="200"/>
    </w:pPr>
    <w:rPr>
      <w:rFonts w:ascii="宋体"/>
      <w:color w:val="000000"/>
      <w:sz w:val="24"/>
      <w:szCs w:val="24"/>
    </w:rPr>
  </w:style>
  <w:style w:type="character" w:customStyle="1" w:styleId="1993">
    <w:name w:val="正文首行缩进 2 字符"/>
    <w:qFormat/>
    <w:uiPriority w:val="0"/>
    <w:rPr>
      <w:rFonts w:ascii="宋体" w:hAnsi="Arial"/>
      <w:snapToGrid/>
      <w:kern w:val="2"/>
      <w:sz w:val="28"/>
      <w:szCs w:val="24"/>
    </w:rPr>
  </w:style>
  <w:style w:type="character" w:customStyle="1" w:styleId="1994">
    <w:name w:val="emtidy-2"/>
    <w:basedOn w:val="83"/>
    <w:qFormat/>
    <w:uiPriority w:val="0"/>
  </w:style>
  <w:style w:type="character" w:customStyle="1" w:styleId="1995">
    <w:name w:val="emtidy-4"/>
    <w:basedOn w:val="83"/>
    <w:qFormat/>
    <w:uiPriority w:val="0"/>
  </w:style>
  <w:style w:type="character" w:customStyle="1" w:styleId="1996">
    <w:name w:val="emtidy-6"/>
    <w:basedOn w:val="83"/>
    <w:qFormat/>
    <w:uiPriority w:val="0"/>
  </w:style>
  <w:style w:type="character" w:customStyle="1" w:styleId="1997">
    <w:name w:val="emtidy-8"/>
    <w:basedOn w:val="83"/>
    <w:qFormat/>
    <w:uiPriority w:val="0"/>
  </w:style>
  <w:style w:type="character" w:customStyle="1" w:styleId="1998">
    <w:name w:val="正文（首行缩进两字）1 Char3"/>
    <w:qFormat/>
    <w:uiPriority w:val="0"/>
    <w:rPr>
      <w:rFonts w:eastAsia="宋体"/>
      <w:kern w:val="2"/>
      <w:sz w:val="21"/>
      <w:lang w:val="en-US" w:eastAsia="zh-CN" w:bidi="ar-SA"/>
    </w:rPr>
  </w:style>
  <w:style w:type="character" w:customStyle="1" w:styleId="1999">
    <w:name w:val="图标注 Char"/>
    <w:link w:val="2000"/>
    <w:qFormat/>
    <w:locked/>
    <w:uiPriority w:val="0"/>
    <w:rPr>
      <w:b/>
      <w:kern w:val="24"/>
      <w:sz w:val="24"/>
      <w:szCs w:val="22"/>
    </w:rPr>
  </w:style>
  <w:style w:type="paragraph" w:customStyle="1" w:styleId="2000">
    <w:name w:val="图标注"/>
    <w:basedOn w:val="1"/>
    <w:link w:val="1999"/>
    <w:qFormat/>
    <w:uiPriority w:val="0"/>
    <w:pPr>
      <w:adjustRightInd w:val="0"/>
      <w:snapToGrid w:val="0"/>
      <w:spacing w:before="100" w:line="360" w:lineRule="auto"/>
      <w:jc w:val="center"/>
    </w:pPr>
    <w:rPr>
      <w:b/>
      <w:kern w:val="24"/>
      <w:sz w:val="24"/>
      <w:szCs w:val="22"/>
    </w:rPr>
  </w:style>
  <w:style w:type="character" w:customStyle="1" w:styleId="2001">
    <w:name w:val="Char Char72"/>
    <w:qFormat/>
    <w:uiPriority w:val="0"/>
    <w:rPr>
      <w:kern w:val="2"/>
      <w:sz w:val="18"/>
    </w:rPr>
  </w:style>
  <w:style w:type="character" w:customStyle="1" w:styleId="2002">
    <w:name w:val="无间隔 字符"/>
    <w:qFormat/>
    <w:uiPriority w:val="0"/>
    <w:rPr>
      <w:rFonts w:ascii="Calibri" w:hAnsi="Calibri"/>
      <w:sz w:val="22"/>
      <w:szCs w:val="22"/>
      <w:lang w:val="en-US" w:eastAsia="zh-CN" w:bidi="ar-SA"/>
    </w:rPr>
  </w:style>
  <w:style w:type="character" w:customStyle="1" w:styleId="2003">
    <w:name w:val="样式 楷体_GB2312 四号 加粗"/>
    <w:qFormat/>
    <w:uiPriority w:val="0"/>
    <w:rPr>
      <w:rFonts w:ascii="楷体_GB2312" w:hAnsi="楷体_GB2312" w:eastAsia="宋体"/>
      <w:b/>
      <w:bCs/>
      <w:sz w:val="28"/>
    </w:rPr>
  </w:style>
  <w:style w:type="character" w:customStyle="1" w:styleId="2004">
    <w:name w:val="Char Char153"/>
    <w:qFormat/>
    <w:uiPriority w:val="0"/>
    <w:rPr>
      <w:rFonts w:ascii="宋体" w:hAnsi="宋体" w:eastAsia="宋体" w:cs="宋体"/>
      <w:sz w:val="18"/>
      <w:lang w:val="en-US" w:eastAsia="zh-CN" w:bidi="ar-SA"/>
    </w:rPr>
  </w:style>
  <w:style w:type="character" w:customStyle="1" w:styleId="2005">
    <w:name w:val="样式12 Char"/>
    <w:link w:val="2006"/>
    <w:qFormat/>
    <w:uiPriority w:val="0"/>
    <w:rPr>
      <w:rFonts w:eastAsia="方正楷体简体"/>
      <w:kern w:val="2"/>
      <w:sz w:val="28"/>
      <w:szCs w:val="28"/>
    </w:rPr>
  </w:style>
  <w:style w:type="paragraph" w:customStyle="1" w:styleId="2006">
    <w:name w:val="样式12"/>
    <w:basedOn w:val="1"/>
    <w:link w:val="2005"/>
    <w:qFormat/>
    <w:uiPriority w:val="0"/>
    <w:pPr>
      <w:widowControl/>
      <w:topLinePunct/>
      <w:spacing w:line="460" w:lineRule="exact"/>
      <w:ind w:firstLine="561"/>
      <w:jc w:val="left"/>
    </w:pPr>
    <w:rPr>
      <w:rFonts w:eastAsia="方正楷体简体"/>
      <w:sz w:val="28"/>
      <w:szCs w:val="28"/>
    </w:rPr>
  </w:style>
  <w:style w:type="character" w:customStyle="1" w:styleId="2007">
    <w:name w:val="标题 8 Char Char"/>
    <w:qFormat/>
    <w:uiPriority w:val="0"/>
    <w:rPr>
      <w:rFonts w:ascii="Cambria" w:hAnsi="Cambria" w:eastAsia="宋体" w:cs="Times New Roman"/>
      <w:kern w:val="2"/>
      <w:sz w:val="24"/>
      <w:szCs w:val="24"/>
    </w:rPr>
  </w:style>
  <w:style w:type="character" w:customStyle="1" w:styleId="2008">
    <w:name w:val="材料正文 Char Char"/>
    <w:qFormat/>
    <w:uiPriority w:val="0"/>
    <w:rPr>
      <w:rFonts w:eastAsia="方正仿宋简体"/>
      <w:kern w:val="2"/>
      <w:sz w:val="24"/>
    </w:rPr>
  </w:style>
  <w:style w:type="character" w:customStyle="1" w:styleId="2009">
    <w:name w:val="样式正文 Char Char Char"/>
    <w:qFormat/>
    <w:uiPriority w:val="0"/>
    <w:rPr>
      <w:kern w:val="2"/>
      <w:sz w:val="28"/>
    </w:rPr>
  </w:style>
  <w:style w:type="character" w:customStyle="1" w:styleId="2010">
    <w:name w:val="正文文本 3 字符2"/>
    <w:qFormat/>
    <w:uiPriority w:val="0"/>
    <w:rPr>
      <w:kern w:val="2"/>
      <w:sz w:val="16"/>
      <w:szCs w:val="16"/>
    </w:rPr>
  </w:style>
  <w:style w:type="character" w:customStyle="1" w:styleId="2011">
    <w:name w:val="正文文字缩进2字符 Char Char Char"/>
    <w:qFormat/>
    <w:uiPriority w:val="0"/>
    <w:rPr>
      <w:rFonts w:ascii="宋体" w:eastAsia="宋体"/>
      <w:spacing w:val="6"/>
      <w:kern w:val="2"/>
      <w:sz w:val="28"/>
      <w:lang w:val="en-US" w:eastAsia="zh-CN" w:bidi="ar-SA"/>
    </w:rPr>
  </w:style>
  <w:style w:type="character" w:customStyle="1" w:styleId="2012">
    <w:name w:val="批注主题 Char Char"/>
    <w:link w:val="2013"/>
    <w:qFormat/>
    <w:uiPriority w:val="0"/>
    <w:rPr>
      <w:rFonts w:ascii="Calibri" w:hAnsi="Calibri"/>
      <w:b/>
      <w:bCs/>
      <w:sz w:val="24"/>
    </w:rPr>
  </w:style>
  <w:style w:type="paragraph" w:customStyle="1" w:styleId="2013">
    <w:name w:val="批注主题11"/>
    <w:basedOn w:val="27"/>
    <w:next w:val="27"/>
    <w:link w:val="2012"/>
    <w:qFormat/>
    <w:uiPriority w:val="0"/>
    <w:rPr>
      <w:rFonts w:ascii="Calibri" w:hAnsi="Calibri"/>
      <w:b/>
      <w:bCs/>
      <w:kern w:val="0"/>
      <w:sz w:val="24"/>
      <w:szCs w:val="20"/>
    </w:rPr>
  </w:style>
  <w:style w:type="character" w:customStyle="1" w:styleId="2014">
    <w:name w:val="标题 字符2"/>
    <w:qFormat/>
    <w:uiPriority w:val="0"/>
    <w:rPr>
      <w:rFonts w:hint="eastAsia" w:ascii="宋体" w:hAnsi="Courier New" w:eastAsia="宋体"/>
      <w:kern w:val="2"/>
      <w:sz w:val="21"/>
    </w:rPr>
  </w:style>
  <w:style w:type="character" w:customStyle="1" w:styleId="2015">
    <w:name w:val="正文文字缩进 3 Char Char"/>
    <w:qFormat/>
    <w:uiPriority w:val="0"/>
    <w:rPr>
      <w:rFonts w:ascii="宋体" w:hAnsi="宋体" w:cs="宋体"/>
      <w:sz w:val="16"/>
      <w:szCs w:val="16"/>
    </w:rPr>
  </w:style>
  <w:style w:type="character" w:customStyle="1" w:styleId="2016">
    <w:name w:val="标题 6 Char Char"/>
    <w:qFormat/>
    <w:uiPriority w:val="0"/>
    <w:rPr>
      <w:rFonts w:ascii="Cambria" w:hAnsi="Cambria" w:eastAsia="宋体" w:cs="Times New Roman"/>
      <w:b/>
      <w:bCs/>
      <w:kern w:val="2"/>
      <w:sz w:val="24"/>
      <w:szCs w:val="24"/>
    </w:rPr>
  </w:style>
  <w:style w:type="character" w:customStyle="1" w:styleId="2017">
    <w:name w:val="font61"/>
    <w:qFormat/>
    <w:uiPriority w:val="0"/>
    <w:rPr>
      <w:rFonts w:hint="eastAsia" w:ascii="宋体" w:hAnsi="宋体" w:eastAsia="宋体"/>
      <w:color w:val="000000"/>
      <w:sz w:val="21"/>
      <w:szCs w:val="21"/>
      <w:u w:val="none"/>
    </w:rPr>
  </w:style>
  <w:style w:type="character" w:customStyle="1" w:styleId="2018">
    <w:name w:val="日期 字符2"/>
    <w:qFormat/>
    <w:uiPriority w:val="0"/>
    <w:rPr>
      <w:rFonts w:ascii="宋体"/>
      <w:kern w:val="2"/>
      <w:sz w:val="21"/>
    </w:rPr>
  </w:style>
  <w:style w:type="character" w:customStyle="1" w:styleId="2019">
    <w:name w:val="脚注文本 字符2"/>
    <w:qFormat/>
    <w:uiPriority w:val="0"/>
    <w:rPr>
      <w:kern w:val="2"/>
      <w:sz w:val="18"/>
      <w:szCs w:val="18"/>
    </w:rPr>
  </w:style>
  <w:style w:type="character" w:customStyle="1" w:styleId="2020">
    <w:name w:val="标题 2 字符2"/>
    <w:qFormat/>
    <w:uiPriority w:val="0"/>
    <w:rPr>
      <w:rFonts w:ascii="Arial" w:hAnsi="Arial" w:eastAsia="黑体"/>
      <w:b/>
      <w:bCs/>
      <w:kern w:val="2"/>
      <w:sz w:val="32"/>
      <w:szCs w:val="32"/>
    </w:rPr>
  </w:style>
  <w:style w:type="character" w:customStyle="1" w:styleId="2021">
    <w:name w:val="报告名称"/>
    <w:qFormat/>
    <w:uiPriority w:val="0"/>
    <w:rPr>
      <w:rFonts w:eastAsia="黑体"/>
      <w:kern w:val="2"/>
      <w:sz w:val="52"/>
    </w:rPr>
  </w:style>
  <w:style w:type="character" w:customStyle="1" w:styleId="2022">
    <w:name w:val="标题 3 字符3"/>
    <w:qFormat/>
    <w:uiPriority w:val="0"/>
    <w:rPr>
      <w:b/>
      <w:bCs/>
      <w:kern w:val="2"/>
      <w:sz w:val="32"/>
      <w:szCs w:val="32"/>
    </w:rPr>
  </w:style>
  <w:style w:type="character" w:customStyle="1" w:styleId="2023">
    <w:name w:val="标题标题 Char Char"/>
    <w:qFormat/>
    <w:uiPriority w:val="0"/>
    <w:rPr>
      <w:rFonts w:eastAsia="黑体"/>
      <w:color w:val="000000"/>
      <w:kern w:val="11"/>
      <w:sz w:val="21"/>
      <w:lang w:val="en-US" w:eastAsia="zh-CN" w:bidi="ar-SA"/>
    </w:rPr>
  </w:style>
  <w:style w:type="character" w:customStyle="1" w:styleId="2024">
    <w:name w:val="标题 8 字符2"/>
    <w:qFormat/>
    <w:uiPriority w:val="0"/>
    <w:rPr>
      <w:rFonts w:ascii="Arial" w:hAnsi="Arial" w:eastAsia="黑体"/>
      <w:kern w:val="2"/>
      <w:sz w:val="24"/>
      <w:szCs w:val="24"/>
    </w:rPr>
  </w:style>
  <w:style w:type="character" w:customStyle="1" w:styleId="2025">
    <w:name w:val="样式9 Char Char"/>
    <w:qFormat/>
    <w:uiPriority w:val="0"/>
    <w:rPr>
      <w:rFonts w:eastAsia="方正黑体简体"/>
      <w:color w:val="000000"/>
      <w:sz w:val="24"/>
      <w:szCs w:val="24"/>
    </w:rPr>
  </w:style>
  <w:style w:type="character" w:customStyle="1" w:styleId="2026">
    <w:name w:val="Char Char61"/>
    <w:qFormat/>
    <w:uiPriority w:val="0"/>
    <w:rPr>
      <w:rFonts w:ascii="宋体" w:hAnsi="宋体" w:eastAsia="宋体"/>
      <w:kern w:val="2"/>
      <w:sz w:val="18"/>
      <w:szCs w:val="18"/>
      <w:lang w:val="en-US" w:eastAsia="zh-CN" w:bidi="ar-SA"/>
    </w:rPr>
  </w:style>
  <w:style w:type="character" w:customStyle="1" w:styleId="2027">
    <w:name w:val="电子邮件签名 字符2"/>
    <w:qFormat/>
    <w:uiPriority w:val="0"/>
    <w:rPr>
      <w:sz w:val="24"/>
      <w:szCs w:val="28"/>
    </w:rPr>
  </w:style>
  <w:style w:type="character" w:customStyle="1" w:styleId="2028">
    <w:name w:val="韩要点1 Char Char"/>
    <w:qFormat/>
    <w:uiPriority w:val="0"/>
    <w:rPr>
      <w:sz w:val="28"/>
    </w:rPr>
  </w:style>
  <w:style w:type="character" w:customStyle="1" w:styleId="2029">
    <w:name w:val="电子邮件签名 Char Char"/>
    <w:qFormat/>
    <w:uiPriority w:val="0"/>
    <w:rPr>
      <w:kern w:val="2"/>
      <w:sz w:val="24"/>
    </w:rPr>
  </w:style>
  <w:style w:type="character" w:customStyle="1" w:styleId="2030">
    <w:name w:val="样式13 Char"/>
    <w:link w:val="2031"/>
    <w:qFormat/>
    <w:uiPriority w:val="0"/>
    <w:rPr>
      <w:rFonts w:ascii="黑体" w:eastAsia="黑体"/>
      <w:sz w:val="28"/>
    </w:rPr>
  </w:style>
  <w:style w:type="paragraph" w:customStyle="1" w:styleId="2031">
    <w:name w:val="样式13"/>
    <w:basedOn w:val="581"/>
    <w:link w:val="2030"/>
    <w:qFormat/>
    <w:uiPriority w:val="0"/>
    <w:pPr>
      <w:snapToGrid/>
      <w:spacing w:before="240" w:line="460" w:lineRule="exact"/>
      <w:ind w:firstLine="0"/>
    </w:pPr>
    <w:rPr>
      <w:rFonts w:ascii="黑体" w:eastAsia="黑体" w:hAnsiTheme="minorHAnsi"/>
      <w:sz w:val="28"/>
    </w:rPr>
  </w:style>
  <w:style w:type="character" w:customStyle="1" w:styleId="2032">
    <w:name w:val="标题 1 字符3"/>
    <w:qFormat/>
    <w:uiPriority w:val="0"/>
    <w:rPr>
      <w:b/>
      <w:bCs/>
      <w:kern w:val="44"/>
      <w:sz w:val="44"/>
      <w:szCs w:val="44"/>
    </w:rPr>
  </w:style>
  <w:style w:type="character" w:customStyle="1" w:styleId="2033">
    <w:name w:val="样式14 Char"/>
    <w:link w:val="2034"/>
    <w:qFormat/>
    <w:uiPriority w:val="0"/>
    <w:rPr>
      <w:rFonts w:ascii="方正黑体简体" w:eastAsia="方正黑体简体"/>
      <w:sz w:val="24"/>
      <w:szCs w:val="21"/>
    </w:rPr>
  </w:style>
  <w:style w:type="paragraph" w:customStyle="1" w:styleId="2034">
    <w:name w:val="样式14"/>
    <w:basedOn w:val="1"/>
    <w:link w:val="2033"/>
    <w:qFormat/>
    <w:uiPriority w:val="0"/>
    <w:pPr>
      <w:topLinePunct/>
      <w:snapToGrid w:val="0"/>
      <w:spacing w:beforeLines="100" w:line="480" w:lineRule="exact"/>
      <w:jc w:val="center"/>
    </w:pPr>
    <w:rPr>
      <w:rFonts w:ascii="方正黑体简体" w:eastAsia="方正黑体简体"/>
      <w:kern w:val="0"/>
      <w:sz w:val="24"/>
    </w:rPr>
  </w:style>
  <w:style w:type="character" w:customStyle="1" w:styleId="2035">
    <w:name w:val="正文首行缩进2字符 Char Char"/>
    <w:qFormat/>
    <w:uiPriority w:val="0"/>
    <w:rPr>
      <w:rFonts w:ascii="仿宋_GB2312" w:eastAsia="仿宋_GB2312"/>
      <w:kern w:val="2"/>
      <w:sz w:val="28"/>
      <w:szCs w:val="24"/>
    </w:rPr>
  </w:style>
  <w:style w:type="character" w:customStyle="1" w:styleId="2036">
    <w:name w:val="纯文本 字符3"/>
    <w:qFormat/>
    <w:uiPriority w:val="0"/>
    <w:rPr>
      <w:rFonts w:ascii="宋体" w:hAnsi="Courier New" w:eastAsia="宋体"/>
      <w:kern w:val="2"/>
      <w:sz w:val="24"/>
      <w:lang w:val="en-US" w:eastAsia="zh-CN" w:bidi="ar-SA"/>
    </w:rPr>
  </w:style>
  <w:style w:type="character" w:customStyle="1" w:styleId="2037">
    <w:name w:val="图表标题 Char Char Char1"/>
    <w:qFormat/>
    <w:uiPriority w:val="0"/>
    <w:rPr>
      <w:rFonts w:ascii="黑体" w:eastAsia="黑体"/>
      <w:kern w:val="2"/>
      <w:sz w:val="24"/>
      <w:szCs w:val="24"/>
      <w:lang w:val="en-US" w:eastAsia="zh-CN" w:bidi="ar-SA"/>
    </w:rPr>
  </w:style>
  <w:style w:type="character" w:customStyle="1" w:styleId="2038">
    <w:name w:val="正文首行缩进 字符2"/>
    <w:qFormat/>
    <w:uiPriority w:val="0"/>
    <w:rPr>
      <w:b/>
      <w:kern w:val="2"/>
      <w:sz w:val="24"/>
    </w:rPr>
  </w:style>
  <w:style w:type="character" w:customStyle="1" w:styleId="2039">
    <w:name w:val="图表标题 Char Char Char Char Char Char Char"/>
    <w:qFormat/>
    <w:uiPriority w:val="0"/>
    <w:rPr>
      <w:rFonts w:ascii="黑体" w:eastAsia="黑体"/>
      <w:kern w:val="2"/>
      <w:sz w:val="24"/>
      <w:szCs w:val="24"/>
      <w:lang w:val="en-US" w:eastAsia="zh-CN" w:bidi="ar-SA"/>
    </w:rPr>
  </w:style>
  <w:style w:type="character" w:customStyle="1" w:styleId="2040">
    <w:name w:val="Char Char101"/>
    <w:qFormat/>
    <w:uiPriority w:val="0"/>
    <w:rPr>
      <w:rFonts w:ascii="Cambria" w:hAnsi="Cambria" w:eastAsia="宋体"/>
      <w:b/>
      <w:bCs/>
      <w:kern w:val="2"/>
      <w:sz w:val="30"/>
      <w:szCs w:val="32"/>
      <w:lang w:val="en-US" w:eastAsia="zh-CN" w:bidi="ar-SA"/>
    </w:rPr>
  </w:style>
  <w:style w:type="character" w:customStyle="1" w:styleId="2041">
    <w:name w:val="表头 + 居中 Char Char Char"/>
    <w:qFormat/>
    <w:uiPriority w:val="0"/>
    <w:rPr>
      <w:rFonts w:ascii="Arial" w:hAnsi="Arial" w:eastAsia="黑体"/>
      <w:kern w:val="2"/>
      <w:sz w:val="21"/>
      <w:szCs w:val="21"/>
      <w:lang w:val="en-US" w:eastAsia="zh-CN" w:bidi="ar-SA"/>
    </w:rPr>
  </w:style>
  <w:style w:type="character" w:customStyle="1" w:styleId="2042">
    <w:name w:val="样式 标题 2 Char + Times New Roman Char"/>
    <w:link w:val="2043"/>
    <w:qFormat/>
    <w:uiPriority w:val="0"/>
    <w:rPr>
      <w:rFonts w:eastAsia="黑体"/>
      <w:color w:val="000000"/>
      <w:kern w:val="2"/>
      <w:sz w:val="28"/>
    </w:rPr>
  </w:style>
  <w:style w:type="paragraph" w:customStyle="1" w:styleId="2043">
    <w:name w:val="样式 标题 2 Char + Times New Roman"/>
    <w:basedOn w:val="5"/>
    <w:link w:val="2042"/>
    <w:qFormat/>
    <w:uiPriority w:val="0"/>
    <w:pPr>
      <w:keepLines/>
      <w:numPr>
        <w:ilvl w:val="0"/>
        <w:numId w:val="0"/>
      </w:numPr>
      <w:adjustRightInd/>
      <w:snapToGrid/>
      <w:spacing w:before="260" w:beforeLines="50" w:beforeAutospacing="0" w:after="260" w:afterLines="50" w:line="480" w:lineRule="exact"/>
      <w:ind w:left="420" w:hanging="420"/>
      <w:jc w:val="both"/>
    </w:pPr>
    <w:rPr>
      <w:rFonts w:asciiTheme="minorHAnsi" w:hAnsiTheme="minorHAnsi" w:cstheme="minorBidi"/>
      <w:bCs w:val="0"/>
      <w:szCs w:val="20"/>
    </w:rPr>
  </w:style>
  <w:style w:type="character" w:customStyle="1" w:styleId="2044">
    <w:name w:val="表格sms Char Char Char"/>
    <w:qFormat/>
    <w:uiPriority w:val="0"/>
    <w:rPr>
      <w:snapToGrid/>
      <w:w w:val="99"/>
      <w:sz w:val="21"/>
      <w:szCs w:val="21"/>
      <w:lang w:val="en-US" w:eastAsia="zh-CN" w:bidi="ar-SA"/>
    </w:rPr>
  </w:style>
  <w:style w:type="character" w:customStyle="1" w:styleId="2045">
    <w:name w:val="页脚 字符2"/>
    <w:qFormat/>
    <w:uiPriority w:val="0"/>
    <w:rPr>
      <w:kern w:val="2"/>
      <w:sz w:val="18"/>
    </w:rPr>
  </w:style>
  <w:style w:type="character" w:customStyle="1" w:styleId="2046">
    <w:name w:val="样式 宋体 四号 行距: 1.5 倍行距 Char Char Char Char"/>
    <w:qFormat/>
    <w:uiPriority w:val="0"/>
    <w:rPr>
      <w:rFonts w:ascii="宋体" w:hAnsi="宋体" w:cs="宋体"/>
      <w:kern w:val="2"/>
      <w:sz w:val="28"/>
      <w:szCs w:val="28"/>
    </w:rPr>
  </w:style>
  <w:style w:type="character" w:customStyle="1" w:styleId="2047">
    <w:name w:val="标题 9 字符2"/>
    <w:qFormat/>
    <w:uiPriority w:val="0"/>
    <w:rPr>
      <w:rFonts w:ascii="Arial" w:hAnsi="Arial" w:eastAsia="黑体"/>
      <w:kern w:val="2"/>
      <w:sz w:val="21"/>
      <w:szCs w:val="21"/>
    </w:rPr>
  </w:style>
  <w:style w:type="character" w:customStyle="1" w:styleId="2048">
    <w:name w:val="正文首行缩进2字符 Char"/>
    <w:qFormat/>
    <w:uiPriority w:val="0"/>
    <w:rPr>
      <w:rFonts w:ascii="仿宋_GB2312" w:eastAsia="仿宋_GB2312"/>
      <w:kern w:val="2"/>
      <w:sz w:val="28"/>
      <w:szCs w:val="24"/>
      <w:lang w:bidi="ar-SA"/>
    </w:rPr>
  </w:style>
  <w:style w:type="character" w:customStyle="1" w:styleId="2049">
    <w:name w:val="标题 4 字符2"/>
    <w:qFormat/>
    <w:uiPriority w:val="0"/>
    <w:rPr>
      <w:rFonts w:ascii="Arial" w:hAnsi="Arial" w:eastAsia="黑体"/>
      <w:b/>
      <w:bCs/>
      <w:kern w:val="2"/>
      <w:sz w:val="28"/>
      <w:szCs w:val="28"/>
    </w:rPr>
  </w:style>
  <w:style w:type="character" w:customStyle="1" w:styleId="2050">
    <w:name w:val="样式 标题 1一级标题(章)标题 1 Char封面标题封皮 + (中文) 仿宋_GB2312 四号 左 左侧:  ... Char"/>
    <w:link w:val="2051"/>
    <w:qFormat/>
    <w:uiPriority w:val="0"/>
    <w:rPr>
      <w:rFonts w:eastAsia="黑体"/>
      <w:b/>
      <w:bCs/>
      <w:snapToGrid w:val="0"/>
      <w:kern w:val="44"/>
      <w:sz w:val="32"/>
      <w:szCs w:val="32"/>
    </w:rPr>
  </w:style>
  <w:style w:type="paragraph" w:customStyle="1" w:styleId="2051">
    <w:name w:val="样式 标题 1一级标题(章)标题 1 Char封面标题封皮 + (中文) 仿宋_GB2312 四号 左 左侧:  ..."/>
    <w:basedOn w:val="3"/>
    <w:link w:val="2050"/>
    <w:qFormat/>
    <w:uiPriority w:val="0"/>
    <w:pPr>
      <w:keepNext/>
      <w:keepLines/>
      <w:tabs>
        <w:tab w:val="left" w:pos="720"/>
      </w:tabs>
      <w:spacing w:before="240" w:beforeAutospacing="0" w:after="240" w:line="460" w:lineRule="exact"/>
      <w:ind w:left="420" w:hanging="420"/>
      <w:jc w:val="center"/>
    </w:pPr>
    <w:rPr>
      <w:rFonts w:asciiTheme="minorHAnsi" w:hAnsiTheme="minorHAnsi"/>
      <w:bCs/>
      <w:snapToGrid w:val="0"/>
      <w:sz w:val="32"/>
      <w:szCs w:val="32"/>
    </w:rPr>
  </w:style>
  <w:style w:type="character" w:customStyle="1" w:styleId="2052">
    <w:name w:val="无间隔 Char Char"/>
    <w:link w:val="2053"/>
    <w:qFormat/>
    <w:uiPriority w:val="0"/>
    <w:rPr>
      <w:rFonts w:ascii="Calibri" w:hAnsi="Calibri" w:eastAsia="Times New Roman"/>
      <w:sz w:val="22"/>
      <w:szCs w:val="22"/>
    </w:rPr>
  </w:style>
  <w:style w:type="paragraph" w:customStyle="1" w:styleId="2053">
    <w:name w:val="无间隔2"/>
    <w:link w:val="2052"/>
    <w:qFormat/>
    <w:uiPriority w:val="0"/>
    <w:rPr>
      <w:rFonts w:ascii="Calibri" w:hAnsi="Calibri" w:eastAsia="Times New Roman" w:cstheme="minorBidi"/>
      <w:sz w:val="22"/>
      <w:szCs w:val="22"/>
      <w:lang w:val="en-US" w:eastAsia="zh-CN" w:bidi="ar-SA"/>
    </w:rPr>
  </w:style>
  <w:style w:type="character" w:customStyle="1" w:styleId="2054">
    <w:name w:val="标题3T Char"/>
    <w:link w:val="2055"/>
    <w:qFormat/>
    <w:uiPriority w:val="0"/>
    <w:rPr>
      <w:snapToGrid w:val="0"/>
      <w:color w:val="000000"/>
      <w:sz w:val="24"/>
      <w:szCs w:val="24"/>
    </w:rPr>
  </w:style>
  <w:style w:type="paragraph" w:customStyle="1" w:styleId="2055">
    <w:name w:val="标题3T"/>
    <w:basedOn w:val="1"/>
    <w:next w:val="6"/>
    <w:link w:val="2054"/>
    <w:qFormat/>
    <w:uiPriority w:val="0"/>
    <w:pPr>
      <w:adjustRightInd w:val="0"/>
      <w:spacing w:line="440" w:lineRule="exact"/>
      <w:jc w:val="center"/>
      <w:textAlignment w:val="baseline"/>
    </w:pPr>
    <w:rPr>
      <w:snapToGrid w:val="0"/>
      <w:color w:val="000000"/>
      <w:kern w:val="0"/>
      <w:sz w:val="24"/>
      <w:szCs w:val="24"/>
    </w:rPr>
  </w:style>
  <w:style w:type="character" w:customStyle="1" w:styleId="2056">
    <w:name w:val="正文首行缩进-修改 Char Char Char"/>
    <w:qFormat/>
    <w:uiPriority w:val="0"/>
    <w:rPr>
      <w:rFonts w:ascii="宋体" w:hAnsi="宋体" w:eastAsia="宋体"/>
      <w:kern w:val="2"/>
      <w:sz w:val="24"/>
      <w:szCs w:val="24"/>
      <w:lang w:val="en-US" w:eastAsia="zh-CN" w:bidi="ar-SA"/>
    </w:rPr>
  </w:style>
  <w:style w:type="character" w:customStyle="1" w:styleId="2057">
    <w:name w:val="正文 + 四号 Char"/>
    <w:qFormat/>
    <w:uiPriority w:val="0"/>
    <w:rPr>
      <w:rFonts w:eastAsia="宋体"/>
      <w:kern w:val="2"/>
      <w:sz w:val="28"/>
      <w:szCs w:val="28"/>
      <w:lang w:val="en-US" w:eastAsia="zh-CN" w:bidi="ar-SA"/>
    </w:rPr>
  </w:style>
  <w:style w:type="character" w:customStyle="1" w:styleId="2058">
    <w:name w:val="标题 5 字符2"/>
    <w:qFormat/>
    <w:uiPriority w:val="0"/>
    <w:rPr>
      <w:b/>
      <w:bCs/>
      <w:kern w:val="2"/>
      <w:sz w:val="28"/>
      <w:szCs w:val="28"/>
    </w:rPr>
  </w:style>
  <w:style w:type="character" w:customStyle="1" w:styleId="2059">
    <w:name w:val="样式 标题 1一级标题(章)标题 1 Char封面标题封皮 + (中文) 仿宋_GB2312 四号 左 左侧:  ... Char Char"/>
    <w:qFormat/>
    <w:uiPriority w:val="0"/>
    <w:rPr>
      <w:rFonts w:eastAsia="黑体" w:cs="宋体"/>
      <w:bCs/>
      <w:snapToGrid w:val="0"/>
      <w:kern w:val="44"/>
      <w:sz w:val="32"/>
      <w:szCs w:val="32"/>
      <w:lang w:val="en-US" w:eastAsia="zh-CN" w:bidi="ar-SA"/>
    </w:rPr>
  </w:style>
  <w:style w:type="character" w:customStyle="1" w:styleId="2060">
    <w:name w:val="正文首行缩进 2 Char Char Char"/>
    <w:qFormat/>
    <w:uiPriority w:val="0"/>
  </w:style>
  <w:style w:type="character" w:customStyle="1" w:styleId="2061">
    <w:name w:val="表格头 Char"/>
    <w:link w:val="2062"/>
    <w:qFormat/>
    <w:uiPriority w:val="0"/>
    <w:rPr>
      <w:rFonts w:ascii="Arial" w:hAnsi="Arial" w:eastAsia="黑体"/>
      <w:snapToGrid w:val="0"/>
      <w:color w:val="000000"/>
      <w:sz w:val="21"/>
      <w:szCs w:val="24"/>
    </w:rPr>
  </w:style>
  <w:style w:type="paragraph" w:customStyle="1" w:styleId="2062">
    <w:name w:val="表格头"/>
    <w:basedOn w:val="1"/>
    <w:link w:val="2061"/>
    <w:qFormat/>
    <w:uiPriority w:val="0"/>
    <w:pPr>
      <w:keepNext/>
      <w:keepLines/>
      <w:adjustRightInd w:val="0"/>
      <w:snapToGrid w:val="0"/>
      <w:spacing w:beforeLines="50" w:line="400" w:lineRule="exact"/>
      <w:jc w:val="center"/>
    </w:pPr>
    <w:rPr>
      <w:rFonts w:ascii="Arial" w:hAnsi="Arial" w:eastAsia="黑体"/>
      <w:snapToGrid w:val="0"/>
      <w:color w:val="000000"/>
      <w:kern w:val="0"/>
      <w:szCs w:val="24"/>
    </w:rPr>
  </w:style>
  <w:style w:type="character" w:customStyle="1" w:styleId="2063">
    <w:name w:val="表内5号正文 字符"/>
    <w:link w:val="2064"/>
    <w:qFormat/>
    <w:uiPriority w:val="0"/>
    <w:rPr>
      <w:color w:val="FF0000"/>
      <w:sz w:val="21"/>
      <w:szCs w:val="21"/>
    </w:rPr>
  </w:style>
  <w:style w:type="paragraph" w:customStyle="1" w:styleId="2064">
    <w:name w:val="表内5号正文"/>
    <w:basedOn w:val="1"/>
    <w:link w:val="2063"/>
    <w:qFormat/>
    <w:uiPriority w:val="0"/>
    <w:pPr>
      <w:spacing w:line="240" w:lineRule="exact"/>
      <w:jc w:val="left"/>
    </w:pPr>
    <w:rPr>
      <w:color w:val="FF0000"/>
      <w:kern w:val="0"/>
    </w:rPr>
  </w:style>
  <w:style w:type="character" w:customStyle="1" w:styleId="2065">
    <w:name w:val="正文 首行缩进:  2 字符 Char"/>
    <w:link w:val="2066"/>
    <w:qFormat/>
    <w:uiPriority w:val="0"/>
    <w:rPr>
      <w:kern w:val="2"/>
      <w:sz w:val="24"/>
    </w:rPr>
  </w:style>
  <w:style w:type="paragraph" w:customStyle="1" w:styleId="2066">
    <w:name w:val="正文 首行缩进:  2 字符"/>
    <w:basedOn w:val="1"/>
    <w:link w:val="2065"/>
    <w:qFormat/>
    <w:uiPriority w:val="0"/>
    <w:pPr>
      <w:spacing w:line="312" w:lineRule="auto"/>
      <w:ind w:firstLine="200" w:firstLineChars="200"/>
    </w:pPr>
    <w:rPr>
      <w:sz w:val="24"/>
      <w:szCs w:val="20"/>
    </w:rPr>
  </w:style>
  <w:style w:type="character" w:customStyle="1" w:styleId="2067">
    <w:name w:val="datatitle1"/>
    <w:qFormat/>
    <w:uiPriority w:val="0"/>
    <w:rPr>
      <w:b/>
      <w:bCs/>
      <w:color w:val="10619F"/>
      <w:sz w:val="21"/>
      <w:szCs w:val="21"/>
    </w:rPr>
  </w:style>
  <w:style w:type="character" w:customStyle="1" w:styleId="2068">
    <w:name w:val="fontstyle31"/>
    <w:qFormat/>
    <w:uiPriority w:val="0"/>
    <w:rPr>
      <w:rFonts w:hint="default" w:ascii="TimesNewRomanPSMT" w:hAnsi="TimesNewRomanPSMT"/>
      <w:color w:val="000000"/>
      <w:sz w:val="22"/>
      <w:szCs w:val="22"/>
    </w:rPr>
  </w:style>
  <w:style w:type="character" w:customStyle="1" w:styleId="2069">
    <w:name w:val="font5 Char"/>
    <w:qFormat/>
    <w:uiPriority w:val="0"/>
    <w:rPr>
      <w:rFonts w:ascii="宋体" w:hAnsi="宋体" w:eastAsia="宋体"/>
      <w:sz w:val="18"/>
      <w:szCs w:val="18"/>
      <w:lang w:val="en-US" w:eastAsia="zh-CN" w:bidi="ar-SA"/>
    </w:rPr>
  </w:style>
  <w:style w:type="character" w:customStyle="1" w:styleId="2070">
    <w:name w:val="样式 标题 2 + 四号 Char Char"/>
    <w:qFormat/>
    <w:uiPriority w:val="0"/>
    <w:rPr>
      <w:rFonts w:eastAsia="黑体"/>
      <w:snapToGrid w:val="0"/>
      <w:sz w:val="28"/>
      <w:szCs w:val="32"/>
    </w:rPr>
  </w:style>
  <w:style w:type="character" w:customStyle="1" w:styleId="2071">
    <w:name w:val="批注文字 字符1"/>
    <w:qFormat/>
    <w:uiPriority w:val="0"/>
    <w:rPr>
      <w:kern w:val="2"/>
      <w:sz w:val="21"/>
      <w:szCs w:val="24"/>
    </w:rPr>
  </w:style>
  <w:style w:type="character" w:customStyle="1" w:styleId="2072">
    <w:name w:val="韩要点1 Char"/>
    <w:link w:val="2073"/>
    <w:qFormat/>
    <w:uiPriority w:val="0"/>
    <w:rPr>
      <w:sz w:val="28"/>
    </w:rPr>
  </w:style>
  <w:style w:type="paragraph" w:customStyle="1" w:styleId="2073">
    <w:name w:val="韩要点1"/>
    <w:basedOn w:val="19"/>
    <w:link w:val="2072"/>
    <w:qFormat/>
    <w:uiPriority w:val="0"/>
    <w:pPr>
      <w:topLinePunct w:val="0"/>
      <w:spacing w:line="240" w:lineRule="auto"/>
      <w:ind w:left="560" w:firstLine="0" w:firstLineChars="0"/>
      <w:jc w:val="both"/>
    </w:pPr>
    <w:rPr>
      <w:rFonts w:asciiTheme="minorHAnsi" w:hAnsiTheme="minorHAnsi" w:eastAsiaTheme="minorEastAsia" w:cstheme="minorBidi"/>
    </w:rPr>
  </w:style>
  <w:style w:type="character" w:customStyle="1" w:styleId="2074">
    <w:name w:val="标题2T Char"/>
    <w:qFormat/>
    <w:uiPriority w:val="0"/>
    <w:rPr>
      <w:rFonts w:ascii="宋体" w:hAnsi="宋体"/>
      <w:kern w:val="2"/>
      <w:sz w:val="21"/>
      <w:szCs w:val="21"/>
      <w:lang w:bidi="ar-SA"/>
    </w:rPr>
  </w:style>
  <w:style w:type="character" w:customStyle="1" w:styleId="2075">
    <w:name w:val="图表说明 Char Char"/>
    <w:qFormat/>
    <w:locked/>
    <w:uiPriority w:val="0"/>
    <w:rPr>
      <w:rFonts w:ascii="宋体" w:hAnsi="Courier New" w:eastAsia="宋体"/>
      <w:kern w:val="2"/>
      <w:sz w:val="21"/>
      <w:lang w:val="en-US" w:eastAsia="zh-CN" w:bidi="ar-SA"/>
    </w:rPr>
  </w:style>
  <w:style w:type="character" w:customStyle="1" w:styleId="2076">
    <w:name w:val="普通文字 Char3"/>
    <w:qFormat/>
    <w:locked/>
    <w:uiPriority w:val="0"/>
    <w:rPr>
      <w:rFonts w:ascii="宋体" w:hAnsi="Courier New" w:eastAsia="宋体"/>
      <w:kern w:val="2"/>
      <w:sz w:val="21"/>
      <w:lang w:val="en-US" w:eastAsia="zh-CN" w:bidi="ar-SA"/>
    </w:rPr>
  </w:style>
  <w:style w:type="character" w:customStyle="1" w:styleId="2077">
    <w:name w:val="样式15 Char"/>
    <w:link w:val="2078"/>
    <w:qFormat/>
    <w:uiPriority w:val="0"/>
    <w:rPr>
      <w:rFonts w:ascii="黑体" w:eastAsia="黑体"/>
      <w:sz w:val="28"/>
    </w:rPr>
  </w:style>
  <w:style w:type="paragraph" w:customStyle="1" w:styleId="2078">
    <w:name w:val="样式15"/>
    <w:basedOn w:val="581"/>
    <w:link w:val="2077"/>
    <w:qFormat/>
    <w:uiPriority w:val="0"/>
    <w:pPr>
      <w:snapToGrid/>
      <w:spacing w:before="240" w:line="460" w:lineRule="exact"/>
      <w:ind w:firstLine="0"/>
    </w:pPr>
    <w:rPr>
      <w:rFonts w:ascii="黑体" w:eastAsia="黑体" w:hAnsiTheme="minorHAnsi"/>
      <w:sz w:val="28"/>
    </w:rPr>
  </w:style>
  <w:style w:type="character" w:customStyle="1" w:styleId="2079">
    <w:name w:val="样式 样式9 + (中文) 方正黑体简体 非加粗 段后: 0.8 行 Char"/>
    <w:link w:val="2080"/>
    <w:qFormat/>
    <w:uiPriority w:val="0"/>
    <w:rPr>
      <w:rFonts w:eastAsia="方正黑体简体"/>
      <w:kern w:val="2"/>
      <w:sz w:val="32"/>
    </w:rPr>
  </w:style>
  <w:style w:type="paragraph" w:customStyle="1" w:styleId="2080">
    <w:name w:val="样式 样式9 + (中文) 方正黑体简体 非加粗 段后: 0.8 行"/>
    <w:basedOn w:val="1483"/>
    <w:link w:val="2079"/>
    <w:qFormat/>
    <w:uiPriority w:val="0"/>
    <w:pPr>
      <w:widowControl w:val="0"/>
      <w:topLinePunct/>
      <w:adjustRightInd/>
      <w:snapToGrid/>
      <w:spacing w:beforeLines="0" w:afterLines="80" w:line="460" w:lineRule="exact"/>
      <w:textAlignment w:val="auto"/>
      <w:outlineLvl w:val="9"/>
    </w:pPr>
    <w:rPr>
      <w:rFonts w:eastAsia="方正黑体简体" w:asciiTheme="minorHAnsi" w:hAnsiTheme="minorHAnsi" w:cstheme="minorBidi"/>
      <w:b w:val="0"/>
      <w:kern w:val="2"/>
      <w:sz w:val="32"/>
    </w:rPr>
  </w:style>
  <w:style w:type="character" w:customStyle="1" w:styleId="2081">
    <w:name w:val="图表标题 Char Char Char"/>
    <w:qFormat/>
    <w:uiPriority w:val="0"/>
    <w:rPr>
      <w:rFonts w:ascii="黑体" w:eastAsia="黑体"/>
      <w:kern w:val="2"/>
      <w:sz w:val="24"/>
      <w:szCs w:val="24"/>
      <w:lang w:val="en-US" w:eastAsia="zh-CN" w:bidi="ar-SA"/>
    </w:rPr>
  </w:style>
  <w:style w:type="character" w:customStyle="1" w:styleId="2082">
    <w:name w:val="图表标题 Char Char Char Char"/>
    <w:qFormat/>
    <w:uiPriority w:val="0"/>
    <w:rPr>
      <w:rFonts w:eastAsia="黑体"/>
      <w:kern w:val="2"/>
      <w:sz w:val="21"/>
      <w:szCs w:val="24"/>
      <w:lang w:val="en-US" w:eastAsia="zh-CN" w:bidi="ar-SA"/>
    </w:rPr>
  </w:style>
  <w:style w:type="character" w:customStyle="1" w:styleId="2083">
    <w:name w:val="正文－首行缩进:2 字符 Char"/>
    <w:qFormat/>
    <w:uiPriority w:val="0"/>
    <w:rPr>
      <w:rFonts w:eastAsia="宋体" w:cs="宋体"/>
      <w:kern w:val="2"/>
      <w:sz w:val="28"/>
      <w:lang w:val="en-US" w:eastAsia="zh-CN" w:bidi="ar-SA"/>
    </w:rPr>
  </w:style>
  <w:style w:type="character" w:customStyle="1" w:styleId="2084">
    <w:name w:val="11 Char"/>
    <w:qFormat/>
    <w:uiPriority w:val="0"/>
    <w:rPr>
      <w:sz w:val="24"/>
      <w:szCs w:val="28"/>
      <w:lang w:bidi="ar-SA"/>
    </w:rPr>
  </w:style>
  <w:style w:type="character" w:customStyle="1" w:styleId="2085">
    <w:name w:val="WW-Absatz-Standardschriftart"/>
    <w:qFormat/>
    <w:uiPriority w:val="0"/>
  </w:style>
  <w:style w:type="character" w:customStyle="1" w:styleId="2086">
    <w:name w:val="正文缩进2字符 Char"/>
    <w:qFormat/>
    <w:uiPriority w:val="0"/>
    <w:rPr>
      <w:rFonts w:eastAsia="宋体"/>
      <w:kern w:val="2"/>
      <w:sz w:val="28"/>
      <w:szCs w:val="24"/>
      <w:lang w:val="en-US" w:eastAsia="zh-CN" w:bidi="ar-SA"/>
    </w:rPr>
  </w:style>
  <w:style w:type="character" w:customStyle="1" w:styleId="2087">
    <w:name w:val="正文－图表标题 Char"/>
    <w:link w:val="2088"/>
    <w:qFormat/>
    <w:uiPriority w:val="0"/>
    <w:rPr>
      <w:rFonts w:eastAsia="黑体"/>
      <w:color w:val="000000"/>
      <w:kern w:val="2"/>
      <w:sz w:val="21"/>
      <w:szCs w:val="24"/>
    </w:rPr>
  </w:style>
  <w:style w:type="paragraph" w:customStyle="1" w:styleId="2088">
    <w:name w:val="正文－图表标题"/>
    <w:basedOn w:val="1"/>
    <w:next w:val="1"/>
    <w:link w:val="2087"/>
    <w:qFormat/>
    <w:uiPriority w:val="0"/>
    <w:pPr>
      <w:adjustRightInd w:val="0"/>
      <w:snapToGrid w:val="0"/>
      <w:spacing w:beforeLines="50" w:afterLines="50"/>
      <w:jc w:val="center"/>
    </w:pPr>
    <w:rPr>
      <w:rFonts w:eastAsia="黑体"/>
      <w:color w:val="000000"/>
      <w:szCs w:val="24"/>
    </w:rPr>
  </w:style>
  <w:style w:type="character" w:customStyle="1" w:styleId="2089">
    <w:name w:val="样式 标题 2 + 四号 Char"/>
    <w:link w:val="2090"/>
    <w:qFormat/>
    <w:uiPriority w:val="0"/>
    <w:rPr>
      <w:rFonts w:eastAsia="黑体"/>
      <w:bCs/>
      <w:snapToGrid w:val="0"/>
      <w:color w:val="000000"/>
      <w:sz w:val="28"/>
      <w:szCs w:val="32"/>
    </w:rPr>
  </w:style>
  <w:style w:type="paragraph" w:customStyle="1" w:styleId="2090">
    <w:name w:val="样式 标题 2 + 四号"/>
    <w:basedOn w:val="5"/>
    <w:link w:val="2089"/>
    <w:qFormat/>
    <w:uiPriority w:val="0"/>
    <w:pPr>
      <w:keepLines/>
      <w:numPr>
        <w:ilvl w:val="0"/>
        <w:numId w:val="0"/>
      </w:numPr>
      <w:spacing w:before="240" w:beforeAutospacing="0" w:after="120" w:line="240" w:lineRule="auto"/>
      <w:ind w:left="420" w:hanging="420"/>
      <w:jc w:val="both"/>
    </w:pPr>
    <w:rPr>
      <w:rFonts w:asciiTheme="minorHAnsi" w:hAnsiTheme="minorHAnsi" w:cstheme="minorBidi"/>
      <w:snapToGrid w:val="0"/>
      <w:kern w:val="0"/>
    </w:rPr>
  </w:style>
  <w:style w:type="character" w:customStyle="1" w:styleId="2091">
    <w:name w:val="Char Char71"/>
    <w:qFormat/>
    <w:uiPriority w:val="0"/>
    <w:rPr>
      <w:rFonts w:eastAsia="宋体"/>
      <w:b/>
      <w:bCs/>
      <w:kern w:val="2"/>
      <w:sz w:val="32"/>
      <w:szCs w:val="32"/>
      <w:lang w:val="en-US" w:eastAsia="zh-CN" w:bidi="ar-SA"/>
    </w:rPr>
  </w:style>
  <w:style w:type="character" w:customStyle="1" w:styleId="2092">
    <w:name w:val="lmj题注 + 居中 + 黑体 Char Char"/>
    <w:link w:val="2093"/>
    <w:qFormat/>
    <w:uiPriority w:val="0"/>
    <w:rPr>
      <w:rFonts w:ascii="黑体" w:hAnsi="黑体" w:eastAsia="黑体"/>
      <w:kern w:val="2"/>
      <w:sz w:val="21"/>
    </w:rPr>
  </w:style>
  <w:style w:type="paragraph" w:customStyle="1" w:styleId="2093">
    <w:name w:val="lmj题注 + 居中 + 黑体"/>
    <w:basedOn w:val="1"/>
    <w:next w:val="1"/>
    <w:link w:val="2092"/>
    <w:qFormat/>
    <w:uiPriority w:val="0"/>
    <w:pPr>
      <w:spacing w:line="240" w:lineRule="exact"/>
      <w:ind w:left="560"/>
      <w:jc w:val="center"/>
    </w:pPr>
    <w:rPr>
      <w:rFonts w:ascii="黑体" w:hAnsi="黑体" w:eastAsia="黑体"/>
      <w:szCs w:val="20"/>
    </w:rPr>
  </w:style>
  <w:style w:type="character" w:customStyle="1" w:styleId="2094">
    <w:name w:val="cucd-0 Char Char"/>
    <w:qFormat/>
    <w:uiPriority w:val="0"/>
    <w:rPr>
      <w:kern w:val="2"/>
      <w:sz w:val="24"/>
      <w:szCs w:val="24"/>
      <w:lang w:val="en-US" w:eastAsia="zh-CN" w:bidi="ar-SA"/>
    </w:rPr>
  </w:style>
  <w:style w:type="character" w:customStyle="1" w:styleId="2095">
    <w:name w:val="正文－首行缩进:2 字符 Char Char"/>
    <w:qFormat/>
    <w:uiPriority w:val="0"/>
    <w:rPr>
      <w:rFonts w:eastAsia="宋体" w:cs="宋体"/>
      <w:kern w:val="2"/>
      <w:sz w:val="28"/>
      <w:lang w:val="en-US" w:eastAsia="zh-CN" w:bidi="ar-SA"/>
    </w:rPr>
  </w:style>
  <w:style w:type="character" w:customStyle="1" w:styleId="2096">
    <w:name w:val="标题2T Char Char"/>
    <w:qFormat/>
    <w:uiPriority w:val="0"/>
    <w:rPr>
      <w:rFonts w:eastAsia="方正黑体简体"/>
      <w:kern w:val="2"/>
      <w:sz w:val="32"/>
      <w:szCs w:val="32"/>
      <w:lang w:val="en-US" w:eastAsia="zh-CN" w:bidi="ar-SA"/>
    </w:rPr>
  </w:style>
  <w:style w:type="character" w:customStyle="1" w:styleId="2097">
    <w:name w:val="样式 样式9 + (中文) 方正黑体简体 非加粗 段后: 0.8 行 Char Char"/>
    <w:qFormat/>
    <w:uiPriority w:val="0"/>
    <w:rPr>
      <w:rFonts w:eastAsia="方正黑体简体" w:cs="宋体"/>
      <w:kern w:val="2"/>
      <w:sz w:val="32"/>
    </w:rPr>
  </w:style>
  <w:style w:type="character" w:customStyle="1" w:styleId="2098">
    <w:name w:val="图表标题 Char Char Char Char Char Char Char Char"/>
    <w:qFormat/>
    <w:uiPriority w:val="0"/>
    <w:rPr>
      <w:rFonts w:ascii="黑体" w:eastAsia="黑体"/>
      <w:kern w:val="2"/>
      <w:sz w:val="24"/>
      <w:szCs w:val="24"/>
      <w:lang w:val="en-US" w:eastAsia="zh-CN" w:bidi="ar-SA"/>
    </w:rPr>
  </w:style>
  <w:style w:type="character" w:customStyle="1" w:styleId="2099">
    <w:name w:val="批注文字 Char Char"/>
    <w:qFormat/>
    <w:uiPriority w:val="0"/>
    <w:rPr>
      <w:rFonts w:ascii="Times New Roman" w:hAnsi="Times New Roman"/>
      <w:kern w:val="2"/>
      <w:sz w:val="21"/>
      <w:szCs w:val="24"/>
    </w:rPr>
  </w:style>
  <w:style w:type="character" w:customStyle="1" w:styleId="2100">
    <w:name w:val="样式5 Char Char"/>
    <w:qFormat/>
    <w:uiPriority w:val="0"/>
    <w:rPr>
      <w:rFonts w:eastAsia="黑体"/>
      <w:bCs/>
      <w:snapToGrid w:val="0"/>
      <w:sz w:val="28"/>
      <w:szCs w:val="28"/>
    </w:rPr>
  </w:style>
  <w:style w:type="character" w:customStyle="1" w:styleId="2101">
    <w:name w:val="样式15 Char Char"/>
    <w:qFormat/>
    <w:uiPriority w:val="0"/>
    <w:rPr>
      <w:rFonts w:ascii="方正黑体简体" w:eastAsia="方正黑体简体"/>
      <w:color w:val="000000"/>
      <w:kern w:val="2"/>
      <w:sz w:val="21"/>
      <w:szCs w:val="21"/>
      <w:lang w:val="en-US" w:eastAsia="zh-CN" w:bidi="ar-SA"/>
    </w:rPr>
  </w:style>
  <w:style w:type="character" w:customStyle="1" w:styleId="2102">
    <w:name w:val="样式12 Char Char"/>
    <w:qFormat/>
    <w:uiPriority w:val="0"/>
    <w:rPr>
      <w:rFonts w:eastAsia="方正楷体简体"/>
      <w:kern w:val="2"/>
      <w:sz w:val="28"/>
      <w:szCs w:val="28"/>
    </w:rPr>
  </w:style>
  <w:style w:type="character" w:customStyle="1" w:styleId="2103">
    <w:name w:val="正文缩进2字符 Char Char"/>
    <w:qFormat/>
    <w:uiPriority w:val="0"/>
    <w:rPr>
      <w:rFonts w:eastAsia="宋体"/>
      <w:kern w:val="2"/>
      <w:sz w:val="28"/>
      <w:szCs w:val="24"/>
      <w:lang w:val="en-US" w:eastAsia="zh-CN" w:bidi="ar-SA"/>
    </w:rPr>
  </w:style>
  <w:style w:type="character" w:customStyle="1" w:styleId="2104">
    <w:name w:val="正文－图表标题 Char Char"/>
    <w:qFormat/>
    <w:uiPriority w:val="0"/>
    <w:rPr>
      <w:rFonts w:eastAsia="黑体"/>
      <w:color w:val="000000"/>
      <w:kern w:val="2"/>
      <w:sz w:val="21"/>
      <w:szCs w:val="28"/>
    </w:rPr>
  </w:style>
  <w:style w:type="character" w:customStyle="1" w:styleId="2105">
    <w:name w:val="样式 报告名称 + 26 磅 Char"/>
    <w:qFormat/>
    <w:uiPriority w:val="0"/>
    <w:rPr>
      <w:rFonts w:eastAsia="黑体"/>
      <w:kern w:val="2"/>
      <w:sz w:val="52"/>
    </w:rPr>
  </w:style>
  <w:style w:type="character" w:customStyle="1" w:styleId="2106">
    <w:name w:val="Char Char91"/>
    <w:qFormat/>
    <w:uiPriority w:val="0"/>
    <w:rPr>
      <w:snapToGrid w:val="0"/>
      <w:sz w:val="28"/>
      <w:szCs w:val="24"/>
    </w:rPr>
  </w:style>
  <w:style w:type="character" w:customStyle="1" w:styleId="2107">
    <w:name w:val="t_tag"/>
    <w:basedOn w:val="83"/>
    <w:qFormat/>
    <w:uiPriority w:val="0"/>
  </w:style>
  <w:style w:type="character" w:customStyle="1" w:styleId="2108">
    <w:name w:val="报告正文 Char1"/>
    <w:qFormat/>
    <w:uiPriority w:val="0"/>
    <w:rPr>
      <w:rFonts w:ascii="宋体" w:eastAsia="宋体"/>
      <w:kern w:val="2"/>
      <w:sz w:val="28"/>
      <w:szCs w:val="28"/>
      <w:lang w:val="en-US" w:eastAsia="zh-CN" w:bidi="ar-SA"/>
    </w:rPr>
  </w:style>
  <w:style w:type="character" w:customStyle="1" w:styleId="2109">
    <w:name w:val="my标题1 Char"/>
    <w:qFormat/>
    <w:uiPriority w:val="0"/>
    <w:rPr>
      <w:rFonts w:eastAsia="宋体"/>
      <w:bCs/>
      <w:kern w:val="44"/>
      <w:sz w:val="30"/>
      <w:szCs w:val="30"/>
      <w:lang w:val="en-US" w:eastAsia="zh-CN" w:bidi="ar-SA"/>
    </w:rPr>
  </w:style>
  <w:style w:type="character" w:customStyle="1" w:styleId="2110">
    <w:name w:val="批注文字 字符4"/>
    <w:qFormat/>
    <w:uiPriority w:val="0"/>
    <w:rPr>
      <w:rFonts w:eastAsia="宋体"/>
      <w:kern w:val="2"/>
      <w:sz w:val="21"/>
      <w:szCs w:val="24"/>
      <w:lang w:bidi="ar-SA"/>
    </w:rPr>
  </w:style>
  <w:style w:type="character" w:customStyle="1" w:styleId="2111">
    <w:name w:val="正文首行缩进 Char3"/>
    <w:qFormat/>
    <w:uiPriority w:val="0"/>
    <w:rPr>
      <w:rFonts w:ascii="Times New Roman" w:hAnsi="Times New Roman" w:eastAsia="宋体" w:cs="Times New Roman"/>
      <w:sz w:val="24"/>
      <w:szCs w:val="20"/>
    </w:rPr>
  </w:style>
  <w:style w:type="character" w:customStyle="1" w:styleId="2112">
    <w:name w:val="标题2，， Char"/>
    <w:link w:val="2113"/>
    <w:qFormat/>
    <w:locked/>
    <w:uiPriority w:val="0"/>
    <w:rPr>
      <w:rFonts w:ascii="宋体" w:eastAsia="黑体"/>
      <w:bCs/>
      <w:color w:val="000000"/>
      <w:kern w:val="44"/>
      <w:sz w:val="32"/>
      <w:szCs w:val="32"/>
    </w:rPr>
  </w:style>
  <w:style w:type="paragraph" w:customStyle="1" w:styleId="2113">
    <w:name w:val="标题2，，"/>
    <w:basedOn w:val="5"/>
    <w:link w:val="2112"/>
    <w:qFormat/>
    <w:uiPriority w:val="0"/>
    <w:pPr>
      <w:keepLines/>
      <w:numPr>
        <w:ilvl w:val="0"/>
        <w:numId w:val="0"/>
      </w:numPr>
      <w:snapToGrid/>
      <w:spacing w:before="0" w:beforeAutospacing="0"/>
      <w:ind w:left="420" w:hanging="420"/>
    </w:pPr>
    <w:rPr>
      <w:rFonts w:hAnsiTheme="minorHAnsi" w:cstheme="minorBidi"/>
      <w:kern w:val="44"/>
      <w:sz w:val="32"/>
    </w:rPr>
  </w:style>
  <w:style w:type="character" w:customStyle="1" w:styleId="2114">
    <w:name w:val="二级标题 Char2"/>
    <w:qFormat/>
    <w:uiPriority w:val="0"/>
    <w:rPr>
      <w:rFonts w:eastAsia="黑体"/>
      <w:bCs/>
      <w:snapToGrid w:val="0"/>
      <w:sz w:val="32"/>
      <w:szCs w:val="32"/>
      <w:lang w:val="en-US" w:eastAsia="zh-CN"/>
    </w:rPr>
  </w:style>
  <w:style w:type="character" w:customStyle="1" w:styleId="2115">
    <w:name w:val="报告正文 Char Char Char"/>
    <w:qFormat/>
    <w:uiPriority w:val="0"/>
    <w:rPr>
      <w:rFonts w:ascii="宋体" w:hAnsi="Times New Roman" w:eastAsia="宋体" w:cs="Times New Roman"/>
      <w:snapToGrid w:val="0"/>
      <w:kern w:val="0"/>
      <w:sz w:val="28"/>
      <w:szCs w:val="24"/>
    </w:rPr>
  </w:style>
  <w:style w:type="character" w:customStyle="1" w:styleId="2116">
    <w:name w:val="0正文 Char"/>
    <w:link w:val="2117"/>
    <w:qFormat/>
    <w:uiPriority w:val="0"/>
    <w:rPr>
      <w:rFonts w:ascii="宋体" w:hAnsi="宋体"/>
      <w:snapToGrid w:val="0"/>
      <w:kern w:val="44"/>
      <w:sz w:val="28"/>
      <w:szCs w:val="24"/>
      <w:lang w:val="zh-CN"/>
    </w:rPr>
  </w:style>
  <w:style w:type="paragraph" w:customStyle="1" w:styleId="2117">
    <w:name w:val="0正文"/>
    <w:basedOn w:val="1"/>
    <w:link w:val="2116"/>
    <w:qFormat/>
    <w:uiPriority w:val="0"/>
    <w:pPr>
      <w:adjustRightInd w:val="0"/>
      <w:snapToGrid w:val="0"/>
      <w:spacing w:line="360" w:lineRule="auto"/>
      <w:ind w:firstLine="200" w:firstLineChars="200"/>
      <w:textAlignment w:val="baseline"/>
    </w:pPr>
    <w:rPr>
      <w:rFonts w:ascii="宋体" w:hAnsi="宋体"/>
      <w:snapToGrid w:val="0"/>
      <w:kern w:val="44"/>
      <w:sz w:val="28"/>
      <w:szCs w:val="24"/>
      <w:lang w:val="zh-CN"/>
    </w:rPr>
  </w:style>
  <w:style w:type="character" w:customStyle="1" w:styleId="2118">
    <w:name w:val="正文文字 Char2"/>
    <w:qFormat/>
    <w:uiPriority w:val="0"/>
    <w:rPr>
      <w:b/>
      <w:kern w:val="2"/>
      <w:sz w:val="24"/>
    </w:rPr>
  </w:style>
  <w:style w:type="character" w:customStyle="1" w:styleId="2119">
    <w:name w:val="h Char Char"/>
    <w:qFormat/>
    <w:uiPriority w:val="0"/>
    <w:rPr>
      <w:kern w:val="2"/>
      <w:sz w:val="18"/>
      <w:szCs w:val="18"/>
    </w:rPr>
  </w:style>
  <w:style w:type="character" w:customStyle="1" w:styleId="2120">
    <w:name w:val="批注引用1"/>
    <w:qFormat/>
    <w:uiPriority w:val="0"/>
    <w:rPr>
      <w:sz w:val="21"/>
      <w:szCs w:val="21"/>
    </w:rPr>
  </w:style>
  <w:style w:type="character" w:customStyle="1" w:styleId="2121">
    <w:name w:val="Char Char92"/>
    <w:qFormat/>
    <w:uiPriority w:val="0"/>
    <w:rPr>
      <w:rFonts w:ascii="Arial" w:hAnsi="Arial" w:eastAsia="黑体"/>
      <w:sz w:val="24"/>
      <w:szCs w:val="21"/>
      <w:lang w:bidi="ar-SA"/>
    </w:rPr>
  </w:style>
  <w:style w:type="character" w:customStyle="1" w:styleId="2122">
    <w:name w:val="正文格式 Char"/>
    <w:qFormat/>
    <w:locked/>
    <w:uiPriority w:val="0"/>
    <w:rPr>
      <w:rFonts w:eastAsia="宋体"/>
      <w:kern w:val="2"/>
      <w:sz w:val="24"/>
      <w:szCs w:val="24"/>
      <w:lang w:bidi="ar-SA"/>
    </w:rPr>
  </w:style>
  <w:style w:type="character" w:customStyle="1" w:styleId="2123">
    <w:name w:val="fontstyle11"/>
    <w:qFormat/>
    <w:uiPriority w:val="0"/>
    <w:rPr>
      <w:rFonts w:hint="eastAsia" w:ascii="宋体" w:hAnsi="宋体" w:eastAsia="宋体"/>
      <w:color w:val="000000"/>
      <w:sz w:val="22"/>
      <w:szCs w:val="22"/>
    </w:rPr>
  </w:style>
  <w:style w:type="character" w:customStyle="1" w:styleId="2124">
    <w:name w:val="批注引用2"/>
    <w:qFormat/>
    <w:uiPriority w:val="0"/>
    <w:rPr>
      <w:sz w:val="21"/>
      <w:szCs w:val="21"/>
    </w:rPr>
  </w:style>
  <w:style w:type="character" w:customStyle="1" w:styleId="2125">
    <w:name w:val="正文文本 2 字符2"/>
    <w:qFormat/>
    <w:uiPriority w:val="0"/>
    <w:rPr>
      <w:kern w:val="28"/>
      <w:sz w:val="24"/>
    </w:rPr>
  </w:style>
  <w:style w:type="character" w:customStyle="1" w:styleId="2126">
    <w:name w:val="正文 + Char Char"/>
    <w:qFormat/>
    <w:uiPriority w:val="0"/>
    <w:rPr>
      <w:rFonts w:eastAsia="Times New Roman"/>
      <w:snapToGrid/>
      <w:kern w:val="24"/>
      <w:sz w:val="24"/>
      <w:szCs w:val="24"/>
      <w:lang w:val="en-US" w:eastAsia="zh-CN" w:bidi="ar-SA"/>
    </w:rPr>
  </w:style>
  <w:style w:type="character" w:customStyle="1" w:styleId="2127">
    <w:name w:val="正文首行缩进 2 字符2"/>
    <w:qFormat/>
    <w:uiPriority w:val="0"/>
    <w:rPr>
      <w:kern w:val="2"/>
      <w:sz w:val="24"/>
    </w:rPr>
  </w:style>
  <w:style w:type="character" w:customStyle="1" w:styleId="2128">
    <w:name w:val="正文文本 字符1"/>
    <w:qFormat/>
    <w:uiPriority w:val="0"/>
    <w:rPr>
      <w:rFonts w:ascii="Times New Roman" w:hAnsi="Times New Roman" w:eastAsia="宋体" w:cs="Times New Roman"/>
      <w:b/>
      <w:sz w:val="24"/>
      <w:szCs w:val="20"/>
    </w:rPr>
  </w:style>
  <w:style w:type="character" w:customStyle="1" w:styleId="2129">
    <w:name w:val="正文升平 Char Char"/>
    <w:qFormat/>
    <w:uiPriority w:val="0"/>
    <w:rPr>
      <w:rFonts w:ascii="楷体_GB2312" w:hAnsi="宋体" w:eastAsia="楷体_GB2312" w:cs="楷体_GB2312"/>
      <w:bCs/>
      <w:color w:val="000000"/>
      <w:sz w:val="28"/>
      <w:szCs w:val="28"/>
      <w:lang w:val="zh-CN"/>
    </w:rPr>
  </w:style>
  <w:style w:type="character" w:customStyle="1" w:styleId="2130">
    <w:name w:val="批注主题 字符1"/>
    <w:qFormat/>
    <w:uiPriority w:val="0"/>
    <w:rPr>
      <w:rFonts w:ascii="Times New Roman" w:hAnsi="Times New Roman" w:eastAsia="宋体" w:cs="Times New Roman"/>
      <w:b/>
      <w:bCs/>
      <w:sz w:val="24"/>
      <w:szCs w:val="20"/>
    </w:rPr>
  </w:style>
  <w:style w:type="character" w:customStyle="1" w:styleId="2131">
    <w:name w:val="批注框文本 字符2"/>
    <w:qFormat/>
    <w:uiPriority w:val="0"/>
    <w:rPr>
      <w:kern w:val="2"/>
      <w:sz w:val="18"/>
      <w:szCs w:val="18"/>
    </w:rPr>
  </w:style>
  <w:style w:type="character" w:customStyle="1" w:styleId="2132">
    <w:name w:val="f24"/>
    <w:qFormat/>
    <w:uiPriority w:val="0"/>
  </w:style>
  <w:style w:type="character" w:customStyle="1" w:styleId="2133">
    <w:name w:val="正文文本缩进 字符3"/>
    <w:qFormat/>
    <w:uiPriority w:val="0"/>
    <w:rPr>
      <w:kern w:val="2"/>
      <w:sz w:val="24"/>
    </w:rPr>
  </w:style>
  <w:style w:type="character" w:customStyle="1" w:styleId="2134">
    <w:name w:val="标题 2 字符4"/>
    <w:qFormat/>
    <w:uiPriority w:val="0"/>
    <w:rPr>
      <w:rFonts w:ascii="宋体" w:hAnsi="Arial"/>
      <w:kern w:val="2"/>
      <w:sz w:val="28"/>
    </w:rPr>
  </w:style>
  <w:style w:type="character" w:customStyle="1" w:styleId="2135">
    <w:name w:val="批注主题 字符3"/>
    <w:qFormat/>
    <w:uiPriority w:val="0"/>
    <w:rPr>
      <w:b/>
      <w:bCs/>
      <w:kern w:val="2"/>
      <w:sz w:val="21"/>
      <w:szCs w:val="24"/>
    </w:rPr>
  </w:style>
  <w:style w:type="character" w:customStyle="1" w:styleId="2136">
    <w:name w:val="正文文本 3 字符3"/>
    <w:qFormat/>
    <w:uiPriority w:val="0"/>
    <w:rPr>
      <w:rFonts w:eastAsia="宋体"/>
      <w:kern w:val="2"/>
      <w:sz w:val="18"/>
      <w:lang w:val="en-US" w:eastAsia="zh-CN" w:bidi="ar-SA"/>
    </w:rPr>
  </w:style>
  <w:style w:type="character" w:customStyle="1" w:styleId="2137">
    <w:name w:val="文档结构图 字符1"/>
    <w:qFormat/>
    <w:uiPriority w:val="0"/>
    <w:rPr>
      <w:rFonts w:ascii="宋体"/>
      <w:kern w:val="2"/>
      <w:sz w:val="18"/>
      <w:szCs w:val="18"/>
    </w:rPr>
  </w:style>
  <w:style w:type="character" w:customStyle="1" w:styleId="2138">
    <w:name w:val="脚注文本 字符3"/>
    <w:qFormat/>
    <w:uiPriority w:val="0"/>
    <w:rPr>
      <w:kern w:val="2"/>
      <w:sz w:val="18"/>
      <w:szCs w:val="18"/>
    </w:rPr>
  </w:style>
  <w:style w:type="character" w:customStyle="1" w:styleId="2139">
    <w:name w:val="正文首行缩进 字符3"/>
    <w:qFormat/>
    <w:uiPriority w:val="0"/>
    <w:rPr>
      <w:kern w:val="2"/>
      <w:sz w:val="21"/>
      <w:szCs w:val="24"/>
    </w:rPr>
  </w:style>
  <w:style w:type="character" w:customStyle="1" w:styleId="2140">
    <w:name w:val="正文文本 字符4"/>
    <w:qFormat/>
    <w:uiPriority w:val="0"/>
    <w:rPr>
      <w:rFonts w:eastAsia="宋体"/>
      <w:b/>
      <w:kern w:val="2"/>
      <w:sz w:val="24"/>
      <w:lang w:val="en-US" w:eastAsia="zh-CN" w:bidi="ar-SA"/>
    </w:rPr>
  </w:style>
  <w:style w:type="character" w:customStyle="1" w:styleId="2141">
    <w:name w:val="正文文本缩进 2 字符3"/>
    <w:qFormat/>
    <w:uiPriority w:val="0"/>
    <w:rPr>
      <w:kern w:val="2"/>
      <w:sz w:val="24"/>
    </w:rPr>
  </w:style>
  <w:style w:type="character" w:customStyle="1" w:styleId="2142">
    <w:name w:val="页脚 字符3"/>
    <w:qFormat/>
    <w:uiPriority w:val="99"/>
    <w:rPr>
      <w:kern w:val="2"/>
      <w:sz w:val="18"/>
    </w:rPr>
  </w:style>
  <w:style w:type="character" w:customStyle="1" w:styleId="2143">
    <w:name w:val="尾注文本 字符1"/>
    <w:qFormat/>
    <w:uiPriority w:val="0"/>
    <w:rPr>
      <w:szCs w:val="24"/>
    </w:rPr>
  </w:style>
  <w:style w:type="character" w:customStyle="1" w:styleId="2144">
    <w:name w:val="无间隔 字符1"/>
    <w:qFormat/>
    <w:uiPriority w:val="0"/>
    <w:rPr>
      <w:rFonts w:ascii="Calibri" w:hAnsi="Calibri"/>
      <w:sz w:val="22"/>
      <w:szCs w:val="22"/>
      <w:lang w:val="en-US" w:eastAsia="zh-CN" w:bidi="ar-SA"/>
    </w:rPr>
  </w:style>
  <w:style w:type="character" w:customStyle="1" w:styleId="2145">
    <w:name w:val="正5 Char Char"/>
    <w:qFormat/>
    <w:uiPriority w:val="0"/>
    <w:rPr>
      <w:rFonts w:ascii="宋体" w:eastAsia="宋体"/>
      <w:color w:val="000000"/>
      <w:kern w:val="2"/>
      <w:sz w:val="24"/>
      <w:szCs w:val="24"/>
      <w:lang w:val="en-US" w:eastAsia="zh-CN" w:bidi="ar-SA"/>
    </w:rPr>
  </w:style>
  <w:style w:type="character" w:customStyle="1" w:styleId="2146">
    <w:name w:val="表中文字 Char Char"/>
    <w:qFormat/>
    <w:uiPriority w:val="0"/>
    <w:rPr>
      <w:rFonts w:eastAsia="宋体"/>
      <w:sz w:val="21"/>
      <w:lang w:val="en-US" w:eastAsia="zh-CN" w:bidi="ar-SA"/>
    </w:rPr>
  </w:style>
  <w:style w:type="character" w:customStyle="1" w:styleId="2147">
    <w:name w:val="纯文本 字符4"/>
    <w:qFormat/>
    <w:uiPriority w:val="0"/>
    <w:rPr>
      <w:rFonts w:ascii="宋体" w:hAnsi="Courier New" w:eastAsia="宋体"/>
      <w:kern w:val="2"/>
      <w:sz w:val="21"/>
      <w:lang w:val="en-US" w:eastAsia="zh-CN" w:bidi="ar-SA"/>
    </w:rPr>
  </w:style>
  <w:style w:type="character" w:customStyle="1" w:styleId="2148">
    <w:name w:val="正文（首行缩进两字）1 Char2"/>
    <w:qFormat/>
    <w:uiPriority w:val="0"/>
    <w:rPr>
      <w:rFonts w:eastAsia="方正仿宋简体"/>
      <w:kern w:val="2"/>
      <w:sz w:val="28"/>
      <w:szCs w:val="24"/>
      <w:lang w:val="en-US" w:eastAsia="zh-CN" w:bidi="ar-SA"/>
    </w:rPr>
  </w:style>
  <w:style w:type="character" w:customStyle="1" w:styleId="2149">
    <w:name w:val="标题 1 字符4"/>
    <w:qFormat/>
    <w:uiPriority w:val="0"/>
    <w:rPr>
      <w:b/>
      <w:bCs/>
      <w:kern w:val="44"/>
      <w:sz w:val="44"/>
      <w:szCs w:val="44"/>
    </w:rPr>
  </w:style>
  <w:style w:type="character" w:customStyle="1" w:styleId="2150">
    <w:name w:val="标题 7 字符3"/>
    <w:qFormat/>
    <w:uiPriority w:val="0"/>
    <w:rPr>
      <w:b/>
      <w:kern w:val="2"/>
      <w:sz w:val="28"/>
    </w:rPr>
  </w:style>
  <w:style w:type="character" w:customStyle="1" w:styleId="2151">
    <w:name w:val="正文文本缩进 3 字符4"/>
    <w:qFormat/>
    <w:uiPriority w:val="0"/>
    <w:rPr>
      <w:kern w:val="2"/>
      <w:sz w:val="24"/>
    </w:rPr>
  </w:style>
  <w:style w:type="character" w:customStyle="1" w:styleId="2152">
    <w:name w:val="批注引用11"/>
    <w:qFormat/>
    <w:uiPriority w:val="0"/>
    <w:rPr>
      <w:sz w:val="21"/>
      <w:szCs w:val="21"/>
    </w:rPr>
  </w:style>
  <w:style w:type="character" w:customStyle="1" w:styleId="2153">
    <w:name w:val="正文文字 3 Char Char"/>
    <w:qFormat/>
    <w:uiPriority w:val="0"/>
    <w:rPr>
      <w:rFonts w:hint="default" w:ascii="Arial" w:hAnsi="Arial" w:cs="Arial"/>
      <w:kern w:val="2"/>
      <w:sz w:val="24"/>
    </w:rPr>
  </w:style>
  <w:style w:type="character" w:customStyle="1" w:styleId="2154">
    <w:name w:val="正文新 Char Char"/>
    <w:qFormat/>
    <w:uiPriority w:val="0"/>
    <w:rPr>
      <w:rFonts w:ascii="宋体" w:hAnsi="宋体" w:eastAsia="宋体"/>
      <w:kern w:val="2"/>
      <w:sz w:val="24"/>
      <w:szCs w:val="24"/>
      <w:lang w:val="en-US" w:eastAsia="zh-CN" w:bidi="ar-SA"/>
    </w:rPr>
  </w:style>
  <w:style w:type="character" w:customStyle="1" w:styleId="2155">
    <w:name w:val="新正文 Char Char"/>
    <w:qFormat/>
    <w:uiPriority w:val="0"/>
    <w:rPr>
      <w:rFonts w:ascii="宋体" w:eastAsia="宋体"/>
      <w:kern w:val="2"/>
      <w:sz w:val="24"/>
      <w:szCs w:val="24"/>
      <w:lang w:val="en-US" w:eastAsia="zh-CN" w:bidi="ar-SA"/>
    </w:rPr>
  </w:style>
  <w:style w:type="character" w:customStyle="1" w:styleId="2156">
    <w:name w:val="标3 Char Char"/>
    <w:qFormat/>
    <w:uiPriority w:val="0"/>
    <w:rPr>
      <w:rFonts w:hint="eastAsia" w:ascii="黑体" w:hAnsi="宋体" w:eastAsia="黑体"/>
      <w:b/>
      <w:bCs/>
      <w:color w:val="000000"/>
      <w:sz w:val="24"/>
      <w:szCs w:val="24"/>
      <w:lang w:val="en-US" w:eastAsia="zh-CN" w:bidi="ar-SA"/>
    </w:rPr>
  </w:style>
  <w:style w:type="character" w:customStyle="1" w:styleId="2157">
    <w:name w:val="body text Char"/>
    <w:qFormat/>
    <w:uiPriority w:val="0"/>
    <w:rPr>
      <w:rFonts w:ascii="宋体" w:hAnsi="宋体" w:cs="宋体"/>
      <w:sz w:val="28"/>
      <w:szCs w:val="24"/>
    </w:rPr>
  </w:style>
  <w:style w:type="character" w:customStyle="1" w:styleId="2158">
    <w:name w:val="标题3T Char Char"/>
    <w:qFormat/>
    <w:uiPriority w:val="0"/>
    <w:rPr>
      <w:snapToGrid/>
      <w:color w:val="000000"/>
      <w:sz w:val="24"/>
      <w:szCs w:val="24"/>
      <w:lang w:bidi="ar-SA"/>
    </w:rPr>
  </w:style>
  <w:style w:type="character" w:customStyle="1" w:styleId="2159">
    <w:name w:val="材料正文 Char Char Char"/>
    <w:qFormat/>
    <w:uiPriority w:val="0"/>
    <w:rPr>
      <w:rFonts w:eastAsia="方正仿宋简体"/>
      <w:kern w:val="2"/>
      <w:sz w:val="24"/>
      <w:lang w:bidi="ar-SA"/>
    </w:rPr>
  </w:style>
  <w:style w:type="character" w:customStyle="1" w:styleId="2160">
    <w:name w:val="我的样式 字符"/>
    <w:link w:val="2161"/>
    <w:qFormat/>
    <w:uiPriority w:val="0"/>
    <w:rPr>
      <w:color w:val="000000"/>
      <w:kern w:val="2"/>
      <w:sz w:val="24"/>
      <w:szCs w:val="24"/>
    </w:rPr>
  </w:style>
  <w:style w:type="paragraph" w:customStyle="1" w:styleId="2161">
    <w:name w:val="我的样式"/>
    <w:basedOn w:val="1"/>
    <w:link w:val="2160"/>
    <w:qFormat/>
    <w:uiPriority w:val="0"/>
    <w:pPr>
      <w:spacing w:line="500" w:lineRule="exact"/>
      <w:ind w:firstLine="200" w:firstLineChars="200"/>
    </w:pPr>
    <w:rPr>
      <w:color w:val="000000"/>
      <w:sz w:val="24"/>
      <w:szCs w:val="24"/>
    </w:rPr>
  </w:style>
  <w:style w:type="character" w:customStyle="1" w:styleId="2162">
    <w:name w:val="样式9 Char Char Char"/>
    <w:qFormat/>
    <w:uiPriority w:val="0"/>
    <w:rPr>
      <w:rFonts w:ascii="黑体" w:eastAsia="黑体"/>
      <w:sz w:val="28"/>
      <w:lang w:bidi="ar-SA"/>
    </w:rPr>
  </w:style>
  <w:style w:type="character" w:customStyle="1" w:styleId="2163">
    <w:name w:val="正文首行缩进 字符"/>
    <w:qFormat/>
    <w:uiPriority w:val="0"/>
  </w:style>
  <w:style w:type="character" w:customStyle="1" w:styleId="2164">
    <w:name w:val="内容1 Char Char"/>
    <w:qFormat/>
    <w:uiPriority w:val="0"/>
    <w:rPr>
      <w:rFonts w:hAnsi="宋体"/>
      <w:sz w:val="28"/>
      <w:szCs w:val="28"/>
      <w:lang w:val="en-US" w:eastAsia="zh-CN" w:bidi="ar-SA"/>
    </w:rPr>
  </w:style>
  <w:style w:type="character" w:customStyle="1" w:styleId="2165">
    <w:name w:val="标题 6 字符1"/>
    <w:qFormat/>
    <w:uiPriority w:val="0"/>
    <w:rPr>
      <w:rFonts w:ascii="Arial" w:hAnsi="Arial" w:eastAsia="黑体"/>
      <w:b/>
      <w:bCs/>
      <w:kern w:val="2"/>
      <w:sz w:val="24"/>
      <w:szCs w:val="24"/>
    </w:rPr>
  </w:style>
  <w:style w:type="character" w:customStyle="1" w:styleId="2166">
    <w:name w:val="页脚 Char Char"/>
    <w:qFormat/>
    <w:uiPriority w:val="0"/>
    <w:rPr>
      <w:kern w:val="2"/>
      <w:sz w:val="18"/>
    </w:rPr>
  </w:style>
  <w:style w:type="character" w:customStyle="1" w:styleId="2167">
    <w:name w:val="表头-文字 Char Char"/>
    <w:qFormat/>
    <w:uiPriority w:val="0"/>
    <w:rPr>
      <w:b/>
      <w:kern w:val="24"/>
      <w:sz w:val="24"/>
      <w:szCs w:val="22"/>
      <w:lang w:bidi="ar-SA"/>
    </w:rPr>
  </w:style>
  <w:style w:type="character" w:customStyle="1" w:styleId="2168">
    <w:name w:val="标题4，， Char Char"/>
    <w:qFormat/>
    <w:uiPriority w:val="0"/>
    <w:rPr>
      <w:rFonts w:ascii="宋体" w:hAnsi="宋体" w:eastAsia="宋体"/>
      <w:kern w:val="2"/>
      <w:sz w:val="24"/>
      <w:lang w:bidi="ar-SA"/>
    </w:rPr>
  </w:style>
  <w:style w:type="character" w:customStyle="1" w:styleId="2169">
    <w:name w:val="标题 字符3"/>
    <w:qFormat/>
    <w:uiPriority w:val="0"/>
    <w:rPr>
      <w:rFonts w:ascii="宋体" w:hAnsi="Courier New"/>
    </w:rPr>
  </w:style>
  <w:style w:type="character" w:customStyle="1" w:styleId="2170">
    <w:name w:val="标题 Char Char"/>
    <w:qFormat/>
    <w:uiPriority w:val="0"/>
    <w:rPr>
      <w:rFonts w:hint="eastAsia" w:ascii="宋体" w:hAnsi="Courier New" w:eastAsia="宋体"/>
      <w:kern w:val="2"/>
      <w:sz w:val="21"/>
    </w:rPr>
  </w:style>
  <w:style w:type="character" w:customStyle="1" w:styleId="2171">
    <w:name w:val="标题 1 字符1"/>
    <w:qFormat/>
    <w:uiPriority w:val="0"/>
    <w:rPr>
      <w:b/>
      <w:bCs/>
      <w:kern w:val="44"/>
      <w:sz w:val="44"/>
      <w:szCs w:val="44"/>
    </w:rPr>
  </w:style>
  <w:style w:type="character" w:customStyle="1" w:styleId="2172">
    <w:name w:val="批注引用3"/>
    <w:qFormat/>
    <w:uiPriority w:val="0"/>
    <w:rPr>
      <w:sz w:val="21"/>
      <w:szCs w:val="21"/>
    </w:rPr>
  </w:style>
  <w:style w:type="character" w:customStyle="1" w:styleId="2173">
    <w:name w:val="普通文字 Char4"/>
    <w:qFormat/>
    <w:uiPriority w:val="0"/>
    <w:rPr>
      <w:rFonts w:hint="eastAsia" w:ascii="宋体" w:hAnsi="Courier New" w:eastAsia="宋体"/>
      <w:kern w:val="2"/>
      <w:sz w:val="21"/>
      <w:lang w:val="en-US" w:eastAsia="zh-CN"/>
    </w:rPr>
  </w:style>
  <w:style w:type="character" w:customStyle="1" w:styleId="2174">
    <w:name w:val="标题 9 Char1"/>
    <w:qFormat/>
    <w:uiPriority w:val="0"/>
    <w:rPr>
      <w:rFonts w:hint="default" w:ascii="Cambria" w:hAnsi="Cambria" w:eastAsia="宋体" w:cs="Times New Roman"/>
      <w:sz w:val="21"/>
      <w:szCs w:val="21"/>
    </w:rPr>
  </w:style>
  <w:style w:type="character" w:customStyle="1" w:styleId="2175">
    <w:name w:val="正文首行缩进 Char1"/>
    <w:qFormat/>
    <w:uiPriority w:val="0"/>
  </w:style>
  <w:style w:type="character" w:customStyle="1" w:styleId="2176">
    <w:name w:val="电子邮件签名 字符4"/>
    <w:qFormat/>
    <w:uiPriority w:val="0"/>
    <w:rPr>
      <w:snapToGrid/>
      <w:sz w:val="24"/>
      <w:szCs w:val="28"/>
    </w:rPr>
  </w:style>
  <w:style w:type="character" w:customStyle="1" w:styleId="2177">
    <w:name w:val="日期 字符1"/>
    <w:qFormat/>
    <w:uiPriority w:val="0"/>
    <w:rPr>
      <w:rFonts w:ascii="宋体" w:hAnsi="Times New Roman" w:eastAsia="宋体" w:cs="Times New Roman"/>
      <w:szCs w:val="20"/>
    </w:rPr>
  </w:style>
  <w:style w:type="character" w:customStyle="1" w:styleId="2178">
    <w:name w:val="正文首行缩进 字符1"/>
    <w:qFormat/>
    <w:uiPriority w:val="0"/>
    <w:rPr>
      <w:rFonts w:ascii="Times New Roman" w:hAnsi="Times New Roman" w:eastAsia="宋体" w:cs="Times New Roman"/>
      <w:sz w:val="24"/>
      <w:szCs w:val="20"/>
    </w:rPr>
  </w:style>
  <w:style w:type="character" w:customStyle="1" w:styleId="2179">
    <w:name w:val="OK 修改正文 Char Char"/>
    <w:link w:val="2180"/>
    <w:qFormat/>
    <w:uiPriority w:val="0"/>
    <w:rPr>
      <w:rFonts w:ascii="宋体" w:hAnsi="宋体"/>
      <w:sz w:val="24"/>
      <w:u w:val="single"/>
    </w:rPr>
  </w:style>
  <w:style w:type="paragraph" w:customStyle="1" w:styleId="2180">
    <w:name w:val="OK 修改正文"/>
    <w:basedOn w:val="1"/>
    <w:link w:val="2179"/>
    <w:qFormat/>
    <w:uiPriority w:val="0"/>
    <w:pPr>
      <w:spacing w:line="300" w:lineRule="auto"/>
      <w:ind w:firstLine="480" w:firstLineChars="200"/>
    </w:pPr>
    <w:rPr>
      <w:rFonts w:ascii="宋体" w:hAnsi="宋体"/>
      <w:kern w:val="0"/>
      <w:sz w:val="24"/>
      <w:szCs w:val="20"/>
      <w:u w:val="single"/>
    </w:rPr>
  </w:style>
  <w:style w:type="character" w:customStyle="1" w:styleId="2181">
    <w:name w:val="正文文本 字符3"/>
    <w:qFormat/>
    <w:uiPriority w:val="0"/>
    <w:rPr>
      <w:b/>
      <w:kern w:val="2"/>
      <w:sz w:val="24"/>
    </w:rPr>
  </w:style>
  <w:style w:type="paragraph" w:customStyle="1" w:styleId="2182">
    <w:name w:val="标题标题"/>
    <w:basedOn w:val="1"/>
    <w:next w:val="1"/>
    <w:qFormat/>
    <w:uiPriority w:val="0"/>
    <w:pPr>
      <w:widowControl/>
      <w:autoSpaceDE w:val="0"/>
      <w:autoSpaceDN w:val="0"/>
      <w:adjustRightInd w:val="0"/>
      <w:snapToGrid w:val="0"/>
      <w:spacing w:beforeLines="50" w:afterLines="50"/>
      <w:jc w:val="center"/>
    </w:pPr>
    <w:rPr>
      <w:rFonts w:ascii="宋体" w:hAnsi="宋体" w:eastAsia="宋体" w:cs="Times New Roman"/>
      <w:kern w:val="11"/>
      <w:sz w:val="28"/>
      <w:szCs w:val="28"/>
    </w:rPr>
  </w:style>
  <w:style w:type="paragraph" w:customStyle="1" w:styleId="2183">
    <w:name w:val="引文目录标题2"/>
    <w:basedOn w:val="1"/>
    <w:next w:val="1"/>
    <w:qFormat/>
    <w:uiPriority w:val="0"/>
    <w:pPr>
      <w:spacing w:before="120" w:line="480" w:lineRule="exact"/>
    </w:pPr>
    <w:rPr>
      <w:rFonts w:ascii="Arial" w:hAnsi="Arial" w:eastAsia="宋体" w:cs="Arial"/>
      <w:sz w:val="24"/>
      <w:szCs w:val="24"/>
    </w:rPr>
  </w:style>
  <w:style w:type="paragraph" w:customStyle="1" w:styleId="2184">
    <w:name w:val="样式 标题 3"/>
    <w:basedOn w:val="6"/>
    <w:qFormat/>
    <w:uiPriority w:val="0"/>
    <w:pPr>
      <w:keepLines/>
      <w:numPr>
        <w:ilvl w:val="0"/>
        <w:numId w:val="0"/>
      </w:numPr>
      <w:spacing w:before="120" w:after="120" w:line="480" w:lineRule="exact"/>
    </w:pPr>
    <w:rPr>
      <w:rFonts w:ascii="Times New Roman" w:hAnsi="Times New Roman" w:eastAsia="方正黑体简体" w:cs="Times New Roman"/>
      <w:b/>
      <w:bCs/>
      <w:sz w:val="30"/>
      <w:szCs w:val="30"/>
    </w:rPr>
  </w:style>
  <w:style w:type="paragraph" w:customStyle="1" w:styleId="2185">
    <w:name w:val="报告名称 +"/>
    <w:basedOn w:val="1867"/>
    <w:qFormat/>
    <w:uiPriority w:val="0"/>
    <w:pPr>
      <w:spacing w:beforeLines="50" w:afterLines="50"/>
    </w:pPr>
    <w:rPr>
      <w:rFonts w:hint="eastAsia" w:ascii="黑体" w:hAnsi="黑体" w:cs="宋体"/>
      <w:sz w:val="52"/>
      <w:szCs w:val="24"/>
    </w:rPr>
  </w:style>
  <w:style w:type="paragraph" w:customStyle="1" w:styleId="2186">
    <w:name w:val="样式31"/>
    <w:basedOn w:val="1"/>
    <w:qFormat/>
    <w:uiPriority w:val="0"/>
    <w:pPr>
      <w:adjustRightInd w:val="0"/>
      <w:snapToGrid w:val="0"/>
      <w:spacing w:line="480" w:lineRule="exact"/>
      <w:ind w:firstLine="560" w:firstLineChars="200"/>
      <w:jc w:val="center"/>
    </w:pPr>
    <w:rPr>
      <w:rFonts w:ascii="Times New Roman" w:hAnsi="Times New Roman" w:eastAsia="宋体" w:cs="Times New Roman"/>
      <w:snapToGrid w:val="0"/>
      <w:kern w:val="0"/>
      <w:sz w:val="28"/>
      <w:szCs w:val="28"/>
    </w:rPr>
  </w:style>
  <w:style w:type="paragraph" w:customStyle="1" w:styleId="2187">
    <w:name w:val="样式 样式 样式5 + 段前: 0.5 行 段后: 0.3 行 + 段前: 0.5 行 段后: 0.3 行"/>
    <w:basedOn w:val="2188"/>
    <w:qFormat/>
    <w:uiPriority w:val="0"/>
    <w:pPr>
      <w:spacing w:before="120" w:afterLines="0"/>
    </w:pPr>
  </w:style>
  <w:style w:type="paragraph" w:customStyle="1" w:styleId="2188">
    <w:name w:val="样式 样式5 + 段前: 0.5 行 段后: 0.3 行"/>
    <w:basedOn w:val="1236"/>
    <w:qFormat/>
    <w:uiPriority w:val="0"/>
    <w:pPr>
      <w:topLinePunct/>
      <w:adjustRightInd/>
      <w:snapToGrid/>
      <w:spacing w:before="200" w:after="200" w:afterLines="30" w:line="240" w:lineRule="auto"/>
      <w:ind w:firstLine="0"/>
      <w:jc w:val="center"/>
      <w:textAlignment w:val="auto"/>
    </w:pPr>
    <w:rPr>
      <w:rFonts w:hint="eastAsia" w:ascii="方正黑体简体" w:hAnsi="Arial" w:eastAsia="方正黑体简体"/>
      <w:snapToGrid w:val="0"/>
      <w:szCs w:val="28"/>
    </w:rPr>
  </w:style>
  <w:style w:type="paragraph" w:customStyle="1" w:styleId="2189">
    <w:name w:val="环保表内字（六号）"/>
    <w:basedOn w:val="1756"/>
    <w:qFormat/>
    <w:uiPriority w:val="0"/>
    <w:pPr>
      <w:tabs>
        <w:tab w:val="clear" w:pos="540"/>
        <w:tab w:val="clear" w:pos="4095"/>
      </w:tabs>
      <w:topLinePunct w:val="0"/>
      <w:adjustRightInd w:val="0"/>
      <w:snapToGrid w:val="0"/>
      <w:spacing w:line="0" w:lineRule="atLeast"/>
    </w:pPr>
    <w:rPr>
      <w:rFonts w:ascii="Calibri" w:hAnsi="Calibri" w:cs="Times New Roman"/>
      <w:kern w:val="0"/>
      <w:sz w:val="15"/>
    </w:rPr>
  </w:style>
  <w:style w:type="paragraph" w:customStyle="1" w:styleId="2190">
    <w:name w:val="xl2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191">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192">
    <w:name w:val="Знак Знак12"/>
    <w:basedOn w:val="1"/>
    <w:qFormat/>
    <w:uiPriority w:val="0"/>
    <w:rPr>
      <w:rFonts w:ascii="Times New Roman" w:hAnsi="Times New Roman" w:eastAsia="宋体" w:cs="Times New Roman"/>
      <w:szCs w:val="24"/>
    </w:rPr>
  </w:style>
  <w:style w:type="paragraph" w:customStyle="1" w:styleId="2193">
    <w:name w:val="样式27"/>
    <w:basedOn w:val="1"/>
    <w:qFormat/>
    <w:uiPriority w:val="0"/>
    <w:pPr>
      <w:adjustRightInd w:val="0"/>
      <w:snapToGrid w:val="0"/>
      <w:spacing w:line="480" w:lineRule="exact"/>
      <w:ind w:firstLine="700" w:firstLineChars="250"/>
    </w:pPr>
    <w:rPr>
      <w:rFonts w:ascii="Times New Roman" w:hAnsi="Times New Roman" w:eastAsia="宋体" w:cs="Times New Roman"/>
      <w:snapToGrid w:val="0"/>
      <w:kern w:val="0"/>
      <w:sz w:val="28"/>
      <w:szCs w:val="28"/>
    </w:rPr>
  </w:style>
  <w:style w:type="paragraph" w:customStyle="1" w:styleId="2194">
    <w:name w:val="索引 32"/>
    <w:basedOn w:val="1"/>
    <w:next w:val="1"/>
    <w:qFormat/>
    <w:uiPriority w:val="0"/>
    <w:pPr>
      <w:spacing w:line="480" w:lineRule="exact"/>
      <w:ind w:left="400" w:leftChars="400"/>
    </w:pPr>
    <w:rPr>
      <w:rFonts w:ascii="Times New Roman" w:hAnsi="Times New Roman" w:eastAsia="宋体" w:cs="Times New Roman"/>
      <w:sz w:val="24"/>
      <w:szCs w:val="24"/>
    </w:rPr>
  </w:style>
  <w:style w:type="paragraph" w:customStyle="1" w:styleId="2195">
    <w:name w:val="表格文字居中（五号）"/>
    <w:basedOn w:val="1274"/>
    <w:qFormat/>
    <w:uiPriority w:val="0"/>
    <w:pPr>
      <w:adjustRightInd w:val="0"/>
      <w:spacing w:line="400" w:lineRule="exact"/>
      <w:ind w:firstLine="480" w:firstLineChars="0"/>
    </w:pPr>
    <w:rPr>
      <w:rFonts w:ascii="Verdana" w:hAnsi="Verdana" w:eastAsia="宋体" w:cs="Times New Roman"/>
      <w:kern w:val="0"/>
      <w:sz w:val="21"/>
      <w:szCs w:val="24"/>
    </w:rPr>
  </w:style>
  <w:style w:type="paragraph" w:customStyle="1" w:styleId="2196">
    <w:name w:val="Char Char Char Char Char Char Char Char Char Char3"/>
    <w:basedOn w:val="1"/>
    <w:qFormat/>
    <w:uiPriority w:val="0"/>
    <w:pPr>
      <w:widowControl/>
      <w:jc w:val="left"/>
    </w:pPr>
    <w:rPr>
      <w:rFonts w:ascii="宋体" w:hAnsi="宋体" w:eastAsia="宋体" w:cs="宋体"/>
      <w:kern w:val="0"/>
      <w:sz w:val="24"/>
    </w:rPr>
  </w:style>
  <w:style w:type="paragraph" w:customStyle="1" w:styleId="2197">
    <w:name w:val="Char Char Char Char Char Char Char Char Char Char Char Char Char1"/>
    <w:basedOn w:val="1"/>
    <w:qFormat/>
    <w:uiPriority w:val="0"/>
    <w:pPr>
      <w:adjustRightInd w:val="0"/>
      <w:spacing w:line="360" w:lineRule="auto"/>
    </w:pPr>
    <w:rPr>
      <w:rFonts w:ascii="Times New Roman" w:hAnsi="Times New Roman" w:eastAsia="宋体" w:cs="Times New Roman"/>
      <w:kern w:val="0"/>
      <w:sz w:val="24"/>
      <w:szCs w:val="24"/>
    </w:rPr>
  </w:style>
  <w:style w:type="paragraph" w:customStyle="1" w:styleId="2198">
    <w:name w:val="样式 样式5 + 段前: 0.5 行 段后: 0.3 行1"/>
    <w:basedOn w:val="1236"/>
    <w:qFormat/>
    <w:uiPriority w:val="0"/>
    <w:pPr>
      <w:topLinePunct/>
      <w:adjustRightInd/>
      <w:snapToGrid/>
      <w:spacing w:before="200" w:beforeLines="20" w:after="200" w:afterLines="30" w:line="240" w:lineRule="auto"/>
      <w:ind w:firstLine="0"/>
      <w:jc w:val="center"/>
      <w:textAlignment w:val="auto"/>
    </w:pPr>
    <w:rPr>
      <w:rFonts w:hint="eastAsia" w:ascii="方正黑体简体" w:hAnsi="Arial" w:eastAsia="方正黑体简体"/>
      <w:snapToGrid w:val="0"/>
      <w:kern w:val="2"/>
      <w:szCs w:val="28"/>
    </w:rPr>
  </w:style>
  <w:style w:type="paragraph" w:customStyle="1" w:styleId="2199">
    <w:name w:val="样式 (中文) 方正黑体简体 居中"/>
    <w:basedOn w:val="1"/>
    <w:qFormat/>
    <w:uiPriority w:val="0"/>
    <w:pPr>
      <w:snapToGrid w:val="0"/>
      <w:spacing w:beforeLines="100" w:line="480" w:lineRule="exact"/>
      <w:jc w:val="center"/>
    </w:pPr>
    <w:rPr>
      <w:rFonts w:ascii="Times New Roman" w:hAnsi="Times New Roman" w:eastAsia="方正黑体简体" w:cs="宋体"/>
      <w:kern w:val="0"/>
      <w:sz w:val="24"/>
      <w:szCs w:val="20"/>
    </w:rPr>
  </w:style>
  <w:style w:type="paragraph" w:customStyle="1" w:styleId="2200">
    <w:name w:val="xl179"/>
    <w:basedOn w:val="1"/>
    <w:qFormat/>
    <w:uiPriority w:val="0"/>
    <w:pPr>
      <w:widowControl/>
      <w:shd w:val="clear" w:color="auto" w:fill="FF8080"/>
      <w:spacing w:before="100" w:beforeAutospacing="1" w:after="100" w:afterAutospacing="1"/>
      <w:jc w:val="left"/>
    </w:pPr>
    <w:rPr>
      <w:rFonts w:ascii="方正综艺简体" w:hAnsi="宋体" w:eastAsia="方正综艺简体" w:cs="宋体"/>
      <w:color w:val="000000"/>
      <w:kern w:val="0"/>
      <w:sz w:val="20"/>
      <w:szCs w:val="20"/>
    </w:rPr>
  </w:style>
  <w:style w:type="paragraph" w:customStyle="1" w:styleId="2201">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02">
    <w:name w:val="样式 样式 标题 7 + 首行缩进:  2 字符1 + 首行缩进:  2 字符"/>
    <w:basedOn w:val="2203"/>
    <w:qFormat/>
    <w:uiPriority w:val="0"/>
    <w:pPr>
      <w:tabs>
        <w:tab w:val="left" w:pos="425"/>
      </w:tabs>
      <w:spacing w:before="100"/>
    </w:pPr>
  </w:style>
  <w:style w:type="paragraph" w:customStyle="1" w:styleId="2203">
    <w:name w:val="样式 标题 7 + 首行缩进:  2 字符1"/>
    <w:basedOn w:val="10"/>
    <w:qFormat/>
    <w:uiPriority w:val="0"/>
    <w:pPr>
      <w:widowControl w:val="0"/>
      <w:numPr>
        <w:ilvl w:val="0"/>
        <w:numId w:val="0"/>
      </w:numPr>
      <w:tabs>
        <w:tab w:val="left" w:pos="425"/>
      </w:tabs>
      <w:snapToGrid w:val="0"/>
      <w:spacing w:before="60" w:after="64"/>
      <w:ind w:firstLine="562" w:firstLineChars="200"/>
      <w:jc w:val="both"/>
    </w:pPr>
    <w:rPr>
      <w:rFonts w:hAnsi="宋体" w:cs="宋体"/>
      <w:b/>
      <w:color w:val="000000"/>
      <w:kern w:val="0"/>
      <w:sz w:val="28"/>
      <w:szCs w:val="20"/>
    </w:rPr>
  </w:style>
  <w:style w:type="paragraph" w:customStyle="1" w:styleId="2204">
    <w:name w:val="xl165"/>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eastAsia="宋体" w:cs="宋体"/>
      <w:color w:val="000000"/>
      <w:kern w:val="0"/>
      <w:sz w:val="20"/>
      <w:szCs w:val="20"/>
    </w:rPr>
  </w:style>
  <w:style w:type="paragraph" w:customStyle="1" w:styleId="2205">
    <w:name w:val="xl161"/>
    <w:basedOn w:val="1"/>
    <w:qFormat/>
    <w:uiPriority w:val="0"/>
    <w:pPr>
      <w:widowControl/>
      <w:spacing w:before="100" w:beforeAutospacing="1" w:after="100" w:afterAutospacing="1"/>
      <w:jc w:val="center"/>
    </w:pPr>
    <w:rPr>
      <w:rFonts w:ascii="宋体" w:hAnsi="宋体" w:eastAsia="宋体" w:cs="宋体"/>
      <w:color w:val="000000"/>
      <w:kern w:val="0"/>
      <w:sz w:val="20"/>
      <w:szCs w:val="20"/>
    </w:rPr>
  </w:style>
  <w:style w:type="paragraph" w:customStyle="1" w:styleId="2206">
    <w:name w:val="xl312"/>
    <w:basedOn w:val="1"/>
    <w:qFormat/>
    <w:uiPriority w:val="0"/>
    <w:pPr>
      <w:widowControl/>
      <w:pBdr>
        <w:top w:val="single" w:color="auto" w:sz="4" w:space="0"/>
        <w:left w:val="single" w:color="auto" w:sz="4" w:space="0"/>
      </w:pBdr>
      <w:shd w:val="clear" w:color="auto" w:fill="FFCC0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207">
    <w:name w:val="图表标题 Char Char Char Char Char Char"/>
    <w:basedOn w:val="1"/>
    <w:next w:val="1"/>
    <w:qFormat/>
    <w:uiPriority w:val="0"/>
    <w:pPr>
      <w:adjustRightInd w:val="0"/>
      <w:snapToGrid w:val="0"/>
      <w:ind w:left="1120"/>
      <w:jc w:val="center"/>
    </w:pPr>
    <w:rPr>
      <w:rFonts w:ascii="黑体" w:hAnsi="Times New Roman" w:eastAsia="黑体" w:cs="Times New Roman"/>
      <w:sz w:val="24"/>
      <w:szCs w:val="24"/>
    </w:rPr>
  </w:style>
  <w:style w:type="paragraph" w:customStyle="1" w:styleId="2208">
    <w:name w:val="xl2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09">
    <w:name w:val="xl259"/>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210">
    <w:name w:val="样式49"/>
    <w:basedOn w:val="1"/>
    <w:qFormat/>
    <w:uiPriority w:val="0"/>
    <w:pPr>
      <w:adjustRightInd w:val="0"/>
      <w:snapToGrid w:val="0"/>
      <w:spacing w:line="480" w:lineRule="exact"/>
      <w:ind w:left="-140" w:right="31"/>
      <w:jc w:val="center"/>
    </w:pPr>
    <w:rPr>
      <w:rFonts w:ascii="Times New Roman" w:hAnsi="Times New Roman" w:eastAsia="宋体" w:cs="Times New Roman"/>
      <w:snapToGrid w:val="0"/>
      <w:kern w:val="0"/>
    </w:rPr>
  </w:style>
  <w:style w:type="paragraph" w:customStyle="1" w:styleId="2211">
    <w:name w:val="xl270"/>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left"/>
    </w:pPr>
    <w:rPr>
      <w:rFonts w:ascii="方正综艺简体" w:hAnsi="宋体" w:eastAsia="方正综艺简体" w:cs="宋体"/>
      <w:color w:val="000000"/>
      <w:kern w:val="0"/>
      <w:sz w:val="20"/>
      <w:szCs w:val="20"/>
    </w:rPr>
  </w:style>
  <w:style w:type="paragraph" w:customStyle="1" w:styleId="2212">
    <w:name w:val="HTML 预设格式2"/>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color w:val="000000"/>
      <w:sz w:val="24"/>
      <w:szCs w:val="24"/>
    </w:rPr>
  </w:style>
  <w:style w:type="paragraph" w:customStyle="1" w:styleId="2213">
    <w:name w:val="Char111"/>
    <w:basedOn w:val="1"/>
    <w:qFormat/>
    <w:uiPriority w:val="0"/>
    <w:rPr>
      <w:rFonts w:ascii="Times New Roman" w:hAnsi="Times New Roman" w:eastAsia="宋体" w:cs="Times New Roman"/>
      <w:szCs w:val="24"/>
    </w:rPr>
  </w:style>
  <w:style w:type="paragraph" w:customStyle="1" w:styleId="2214">
    <w:name w:val="单位名称"/>
    <w:qFormat/>
    <w:uiPriority w:val="0"/>
    <w:pPr>
      <w:spacing w:line="700" w:lineRule="exact"/>
      <w:jc w:val="center"/>
    </w:pPr>
    <w:rPr>
      <w:rFonts w:ascii="Arial" w:hAnsi="Arial" w:eastAsia="楷体_GB2312" w:cs="Arial"/>
      <w:bCs/>
      <w:kern w:val="2"/>
      <w:sz w:val="36"/>
      <w:szCs w:val="36"/>
      <w:lang w:val="en-US" w:eastAsia="zh-CN" w:bidi="ar-SA"/>
    </w:rPr>
  </w:style>
  <w:style w:type="paragraph" w:customStyle="1" w:styleId="2215">
    <w:name w:val="样式46"/>
    <w:basedOn w:val="1"/>
    <w:qFormat/>
    <w:uiPriority w:val="0"/>
    <w:pPr>
      <w:adjustRightInd w:val="0"/>
      <w:snapToGrid w:val="0"/>
      <w:spacing w:line="480" w:lineRule="exact"/>
      <w:ind w:firstLine="560" w:firstLineChars="200"/>
    </w:pPr>
    <w:rPr>
      <w:rFonts w:ascii="Times New Roman" w:hAnsi="Times New Roman" w:eastAsia="宋体" w:cs="Times New Roman"/>
      <w:snapToGrid w:val="0"/>
      <w:kern w:val="0"/>
      <w:sz w:val="28"/>
      <w:szCs w:val="24"/>
    </w:rPr>
  </w:style>
  <w:style w:type="paragraph" w:customStyle="1" w:styleId="2216">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17">
    <w:name w:val="xl1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2218">
    <w:name w:val="档案号内容"/>
    <w:basedOn w:val="2219"/>
    <w:qFormat/>
    <w:uiPriority w:val="0"/>
    <w:pPr>
      <w:spacing w:beforeLines="0"/>
    </w:pPr>
    <w:rPr>
      <w:rFonts w:eastAsia="宋体"/>
    </w:rPr>
  </w:style>
  <w:style w:type="paragraph" w:customStyle="1" w:styleId="2219">
    <w:name w:val="封面档案号"/>
    <w:basedOn w:val="2220"/>
    <w:qFormat/>
    <w:uiPriority w:val="0"/>
    <w:pPr>
      <w:spacing w:beforeLines="100" w:line="480" w:lineRule="exact"/>
    </w:pPr>
    <w:rPr>
      <w:sz w:val="32"/>
      <w:szCs w:val="32"/>
    </w:rPr>
  </w:style>
  <w:style w:type="paragraph" w:customStyle="1" w:styleId="2220">
    <w:name w:val="封面题目"/>
    <w:basedOn w:val="1"/>
    <w:qFormat/>
    <w:uiPriority w:val="0"/>
    <w:pPr>
      <w:spacing w:beforeLines="700" w:line="700" w:lineRule="exact"/>
      <w:jc w:val="center"/>
    </w:pPr>
    <w:rPr>
      <w:rFonts w:ascii="Times New Roman" w:hAnsi="Times New Roman" w:eastAsia="黑体" w:cs="Times New Roman"/>
      <w:sz w:val="52"/>
      <w:szCs w:val="52"/>
    </w:rPr>
  </w:style>
  <w:style w:type="paragraph" w:customStyle="1" w:styleId="2221">
    <w:name w:val="标题4+"/>
    <w:basedOn w:val="7"/>
    <w:qFormat/>
    <w:uiPriority w:val="0"/>
    <w:pPr>
      <w:keepLines/>
      <w:numPr>
        <w:ilvl w:val="0"/>
        <w:numId w:val="0"/>
      </w:numPr>
      <w:spacing w:before="120" w:beforeAutospacing="0" w:after="120" w:line="600" w:lineRule="exact"/>
    </w:pPr>
    <w:rPr>
      <w:rFonts w:ascii="Times New Roman" w:hAnsi="Times New Roman" w:eastAsia="黑体" w:cs="Times New Roman"/>
      <w:b w:val="0"/>
      <w:snapToGrid w:val="0"/>
      <w:kern w:val="0"/>
      <w:sz w:val="28"/>
    </w:rPr>
  </w:style>
  <w:style w:type="paragraph" w:customStyle="1" w:styleId="2222">
    <w:name w:val="样式92"/>
    <w:basedOn w:val="2223"/>
    <w:qFormat/>
    <w:uiPriority w:val="0"/>
    <w:pPr>
      <w:spacing w:before="0" w:after="0" w:line="240" w:lineRule="auto"/>
      <w:ind w:firstLine="420" w:firstLineChars="150"/>
    </w:pPr>
    <w:rPr>
      <w:rFonts w:ascii="宋体" w:hAnsi="宋体" w:eastAsia="宋体"/>
      <w:color w:val="FF0000"/>
      <w:sz w:val="28"/>
      <w:szCs w:val="28"/>
    </w:rPr>
  </w:style>
  <w:style w:type="paragraph" w:customStyle="1" w:styleId="2223">
    <w:name w:val="标题2+"/>
    <w:basedOn w:val="5"/>
    <w:qFormat/>
    <w:uiPriority w:val="0"/>
    <w:pPr>
      <w:keepLines/>
      <w:numPr>
        <w:ilvl w:val="0"/>
        <w:numId w:val="0"/>
      </w:numPr>
      <w:spacing w:before="240" w:beforeAutospacing="0" w:after="120" w:line="480" w:lineRule="exact"/>
      <w:ind w:left="420" w:hanging="420"/>
    </w:pPr>
    <w:rPr>
      <w:rFonts w:ascii="Times New Roman" w:hAnsi="Times New Roman" w:cs="宋体"/>
      <w:snapToGrid w:val="0"/>
      <w:kern w:val="0"/>
      <w:sz w:val="32"/>
      <w:szCs w:val="20"/>
    </w:rPr>
  </w:style>
  <w:style w:type="paragraph" w:customStyle="1" w:styleId="2224">
    <w:name w:val="样式 正文二级标题 + 首行缩进:  2 字符"/>
    <w:basedOn w:val="2225"/>
    <w:qFormat/>
    <w:uiPriority w:val="0"/>
    <w:pPr>
      <w:spacing w:line="480" w:lineRule="exact"/>
      <w:ind w:firstLine="0" w:firstLineChars="0"/>
      <w:jc w:val="center"/>
    </w:pPr>
    <w:rPr>
      <w:rFonts w:cs="宋体"/>
      <w:sz w:val="44"/>
      <w:szCs w:val="44"/>
    </w:rPr>
  </w:style>
  <w:style w:type="paragraph" w:customStyle="1" w:styleId="2225">
    <w:name w:val="正文二级标题"/>
    <w:basedOn w:val="1"/>
    <w:qFormat/>
    <w:uiPriority w:val="0"/>
    <w:pPr>
      <w:spacing w:before="240" w:after="120" w:line="240" w:lineRule="exact"/>
      <w:ind w:firstLine="200" w:firstLineChars="200"/>
      <w:outlineLvl w:val="1"/>
    </w:pPr>
    <w:rPr>
      <w:rFonts w:ascii="Times New Roman" w:hAnsi="Times New Roman" w:eastAsia="黑体" w:cs="Times New Roman"/>
      <w:sz w:val="32"/>
      <w:szCs w:val="24"/>
    </w:rPr>
  </w:style>
  <w:style w:type="paragraph" w:customStyle="1" w:styleId="2226">
    <w:name w:val="3"/>
    <w:basedOn w:val="1"/>
    <w:next w:val="32"/>
    <w:qFormat/>
    <w:uiPriority w:val="0"/>
    <w:rPr>
      <w:rFonts w:ascii="Times New Roman" w:hAnsi="Times New Roman" w:eastAsia="宋体" w:cs="Times New Roman"/>
      <w:sz w:val="28"/>
      <w:szCs w:val="24"/>
    </w:rPr>
  </w:style>
  <w:style w:type="paragraph" w:customStyle="1" w:styleId="2227">
    <w:name w:val="xl308"/>
    <w:basedOn w:val="1"/>
    <w:qFormat/>
    <w:uiPriority w:val="0"/>
    <w:pPr>
      <w:widowControl/>
      <w:pBdr>
        <w:top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228">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2229">
    <w:name w:val="文字内容"/>
    <w:basedOn w:val="32"/>
    <w:qFormat/>
    <w:uiPriority w:val="0"/>
    <w:pPr>
      <w:widowControl/>
      <w:adjustRightInd w:val="0"/>
      <w:snapToGrid w:val="0"/>
      <w:spacing w:after="0" w:line="400" w:lineRule="exact"/>
      <w:ind w:firstLine="200" w:firstLineChars="200"/>
    </w:pPr>
    <w:rPr>
      <w:rFonts w:ascii="Arial" w:hAnsi="Arial" w:eastAsia="宋体" w:cs="宋体"/>
      <w:color w:val="000000"/>
      <w:kern w:val="24"/>
      <w:sz w:val="24"/>
      <w:szCs w:val="24"/>
    </w:rPr>
  </w:style>
  <w:style w:type="paragraph" w:customStyle="1" w:styleId="2230">
    <w:name w:val="Char Char1 Char Char Char Char Char Char"/>
    <w:basedOn w:val="1"/>
    <w:qFormat/>
    <w:uiPriority w:val="0"/>
    <w:pPr>
      <w:widowControl/>
      <w:spacing w:after="160" w:line="240" w:lineRule="exact"/>
      <w:jc w:val="left"/>
    </w:pPr>
    <w:rPr>
      <w:rFonts w:ascii="Verdana" w:hAnsi="Verdana" w:eastAsia="宋体" w:cs="Times New Roman"/>
      <w:b/>
      <w:kern w:val="0"/>
      <w:sz w:val="24"/>
      <w:szCs w:val="20"/>
      <w:lang w:eastAsia="en-US"/>
    </w:rPr>
  </w:style>
  <w:style w:type="paragraph" w:customStyle="1" w:styleId="2231">
    <w:name w:val="xl2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32">
    <w:name w:val="xl213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kern w:val="0"/>
      <w:sz w:val="22"/>
      <w:szCs w:val="22"/>
    </w:rPr>
  </w:style>
  <w:style w:type="paragraph" w:customStyle="1" w:styleId="2233">
    <w:name w:val="样式36"/>
    <w:basedOn w:val="1"/>
    <w:qFormat/>
    <w:uiPriority w:val="0"/>
    <w:pPr>
      <w:adjustRightInd w:val="0"/>
      <w:snapToGrid w:val="0"/>
      <w:spacing w:line="480" w:lineRule="exact"/>
      <w:ind w:firstLine="560" w:firstLineChars="200"/>
    </w:pPr>
    <w:rPr>
      <w:rFonts w:ascii="Times New Roman" w:hAnsi="Times New Roman" w:eastAsia="宋体" w:cs="Times New Roman"/>
      <w:kern w:val="0"/>
      <w:sz w:val="28"/>
      <w:szCs w:val="24"/>
    </w:rPr>
  </w:style>
  <w:style w:type="paragraph" w:customStyle="1" w:styleId="2234">
    <w:name w:val="xl1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2235">
    <w:name w:val="样式 居中 行距: 固定值 22 磅"/>
    <w:basedOn w:val="1"/>
    <w:qFormat/>
    <w:uiPriority w:val="0"/>
    <w:pPr>
      <w:spacing w:line="480" w:lineRule="exact"/>
      <w:jc w:val="center"/>
    </w:pPr>
    <w:rPr>
      <w:rFonts w:ascii="Times New Roman" w:hAnsi="Times New Roman" w:eastAsia="宋体" w:cs="宋体"/>
      <w:sz w:val="24"/>
      <w:szCs w:val="20"/>
    </w:rPr>
  </w:style>
  <w:style w:type="paragraph" w:customStyle="1" w:styleId="2236">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237">
    <w:name w:val="xl21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color w:val="000000"/>
      <w:kern w:val="0"/>
      <w:sz w:val="20"/>
      <w:szCs w:val="20"/>
    </w:rPr>
  </w:style>
  <w:style w:type="paragraph" w:customStyle="1" w:styleId="2238">
    <w:name w:val="xl281"/>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239">
    <w:name w:val="样式 标题3 + 段前: 0.5 行 段后: 0.5 行"/>
    <w:basedOn w:val="1"/>
    <w:qFormat/>
    <w:uiPriority w:val="0"/>
    <w:pPr>
      <w:keepNext/>
      <w:keepLines/>
      <w:adjustRightInd w:val="0"/>
      <w:snapToGrid w:val="0"/>
      <w:spacing w:beforeLines="50" w:afterLines="50" w:line="480" w:lineRule="exact"/>
      <w:outlineLvl w:val="2"/>
    </w:pPr>
    <w:rPr>
      <w:rFonts w:ascii="Times New Roman" w:hAnsi="Times New Roman" w:eastAsia="黑体" w:cs="宋体"/>
      <w:sz w:val="28"/>
      <w:szCs w:val="20"/>
    </w:rPr>
  </w:style>
  <w:style w:type="paragraph" w:customStyle="1" w:styleId="2240">
    <w:name w:val="xl2132"/>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Times New Roman" w:hAnsi="Times New Roman" w:eastAsia="宋体" w:cs="Times New Roman"/>
      <w:b/>
      <w:bCs/>
      <w:kern w:val="0"/>
    </w:rPr>
  </w:style>
  <w:style w:type="paragraph" w:customStyle="1" w:styleId="2241">
    <w:name w:val="样式32"/>
    <w:basedOn w:val="1"/>
    <w:qFormat/>
    <w:uiPriority w:val="0"/>
    <w:pPr>
      <w:adjustRightInd w:val="0"/>
      <w:snapToGrid w:val="0"/>
      <w:spacing w:line="480" w:lineRule="exact"/>
      <w:ind w:firstLine="1680" w:firstLineChars="600"/>
    </w:pPr>
    <w:rPr>
      <w:rFonts w:ascii="Times New Roman" w:hAnsi="Times New Roman" w:eastAsia="宋体" w:cs="Times New Roman"/>
      <w:snapToGrid w:val="0"/>
      <w:kern w:val="0"/>
      <w:sz w:val="28"/>
      <w:szCs w:val="28"/>
    </w:rPr>
  </w:style>
  <w:style w:type="paragraph" w:customStyle="1" w:styleId="2242">
    <w:name w:val="寄信人地址1"/>
    <w:basedOn w:val="1"/>
    <w:qFormat/>
    <w:uiPriority w:val="0"/>
    <w:pPr>
      <w:snapToGrid w:val="0"/>
    </w:pPr>
    <w:rPr>
      <w:rFonts w:ascii="Arial" w:hAnsi="Arial" w:eastAsia="宋体" w:cs="Arial"/>
      <w:szCs w:val="20"/>
    </w:rPr>
  </w:style>
  <w:style w:type="paragraph" w:customStyle="1" w:styleId="2243">
    <w:name w:val="框图"/>
    <w:basedOn w:val="1"/>
    <w:qFormat/>
    <w:uiPriority w:val="0"/>
    <w:pPr>
      <w:jc w:val="center"/>
    </w:pPr>
    <w:rPr>
      <w:rFonts w:ascii="Times New Roman" w:hAnsi="Times New Roman" w:eastAsia="宋体" w:cs="Times New Roman"/>
      <w:sz w:val="18"/>
      <w:szCs w:val="24"/>
    </w:rPr>
  </w:style>
  <w:style w:type="paragraph" w:customStyle="1" w:styleId="2244">
    <w:name w:val="正文文本缩进13"/>
    <w:basedOn w:val="1"/>
    <w:qFormat/>
    <w:uiPriority w:val="0"/>
    <w:pPr>
      <w:adjustRightInd w:val="0"/>
      <w:spacing w:line="360" w:lineRule="atLeast"/>
      <w:ind w:left="280" w:firstLine="560"/>
      <w:jc w:val="left"/>
      <w:textAlignment w:val="baseline"/>
    </w:pPr>
    <w:rPr>
      <w:rFonts w:ascii="Times New Roman" w:hAnsi="Times New Roman" w:eastAsia="宋体" w:cs="Times New Roman"/>
      <w:kern w:val="0"/>
      <w:sz w:val="24"/>
      <w:szCs w:val="24"/>
    </w:rPr>
  </w:style>
  <w:style w:type="paragraph" w:customStyle="1" w:styleId="2245">
    <w:name w:val="样式84"/>
    <w:basedOn w:val="1"/>
    <w:qFormat/>
    <w:uiPriority w:val="0"/>
    <w:pPr>
      <w:adjustRightInd w:val="0"/>
      <w:snapToGrid w:val="0"/>
      <w:spacing w:line="480" w:lineRule="exact"/>
      <w:ind w:firstLine="560" w:firstLineChars="200"/>
    </w:pPr>
    <w:rPr>
      <w:rFonts w:ascii="Times New Roman" w:hAnsi="Times New Roman" w:eastAsia="宋体" w:cs="Times New Roman"/>
      <w:snapToGrid w:val="0"/>
      <w:kern w:val="0"/>
      <w:sz w:val="28"/>
      <w:szCs w:val="24"/>
    </w:rPr>
  </w:style>
  <w:style w:type="paragraph" w:customStyle="1" w:styleId="2246">
    <w:name w:val="样式86"/>
    <w:basedOn w:val="1"/>
    <w:qFormat/>
    <w:uiPriority w:val="0"/>
    <w:pPr>
      <w:adjustRightInd w:val="0"/>
      <w:snapToGrid w:val="0"/>
      <w:spacing w:line="480" w:lineRule="exact"/>
    </w:pPr>
    <w:rPr>
      <w:rFonts w:ascii="Times New Roman" w:hAnsi="Times New Roman" w:eastAsia="宋体" w:cs="Times New Roman"/>
      <w:snapToGrid w:val="0"/>
      <w:color w:val="000000"/>
      <w:kern w:val="0"/>
      <w:sz w:val="28"/>
    </w:rPr>
  </w:style>
  <w:style w:type="paragraph" w:customStyle="1" w:styleId="2247">
    <w:name w:val="批注主题1"/>
    <w:basedOn w:val="27"/>
    <w:next w:val="27"/>
    <w:qFormat/>
    <w:uiPriority w:val="0"/>
    <w:rPr>
      <w:rFonts w:ascii="Times New Roman" w:hAnsi="Times New Roman" w:eastAsia="宋体" w:cs="Times New Roman"/>
      <w:b/>
      <w:bCs/>
      <w:sz w:val="24"/>
      <w:szCs w:val="20"/>
    </w:rPr>
  </w:style>
  <w:style w:type="paragraph" w:customStyle="1" w:styleId="2248">
    <w:name w:val="样式87"/>
    <w:basedOn w:val="2246"/>
    <w:qFormat/>
    <w:uiPriority w:val="0"/>
    <w:pPr>
      <w:ind w:firstLine="560" w:firstLineChars="200"/>
    </w:pPr>
    <w:rPr>
      <w:rFonts w:ascii="宋体" w:hAnsi="宋体" w:cs="宋体"/>
      <w:szCs w:val="28"/>
    </w:rPr>
  </w:style>
  <w:style w:type="paragraph" w:customStyle="1" w:styleId="2249">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50">
    <w:name w:val="表格样式"/>
    <w:basedOn w:val="1"/>
    <w:qFormat/>
    <w:uiPriority w:val="0"/>
    <w:pPr>
      <w:adjustRightInd w:val="0"/>
      <w:snapToGrid w:val="0"/>
      <w:spacing w:line="0" w:lineRule="atLeast"/>
      <w:jc w:val="center"/>
    </w:pPr>
    <w:rPr>
      <w:rFonts w:ascii="Times New Roman" w:hAnsi="Times New Roman" w:eastAsia="宋体" w:cs="Times New Roman"/>
      <w:szCs w:val="24"/>
    </w:rPr>
  </w:style>
  <w:style w:type="paragraph" w:customStyle="1" w:styleId="2251">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00"/>
      <w:kern w:val="0"/>
    </w:rPr>
  </w:style>
  <w:style w:type="paragraph" w:customStyle="1" w:styleId="2252">
    <w:name w:val="xl306"/>
    <w:basedOn w:val="1"/>
    <w:qFormat/>
    <w:uiPriority w:val="0"/>
    <w:pPr>
      <w:widowControl/>
      <w:pBdr>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253">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宋体" w:cs="宋体"/>
      <w:b/>
      <w:bCs/>
      <w:kern w:val="0"/>
    </w:rPr>
  </w:style>
  <w:style w:type="paragraph" w:customStyle="1" w:styleId="2254">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00"/>
      <w:kern w:val="0"/>
      <w:sz w:val="22"/>
      <w:szCs w:val="22"/>
    </w:rPr>
  </w:style>
  <w:style w:type="paragraph" w:customStyle="1" w:styleId="2255">
    <w:name w:val="样式 (符号) 宋体 右"/>
    <w:basedOn w:val="1"/>
    <w:qFormat/>
    <w:uiPriority w:val="0"/>
    <w:pPr>
      <w:adjustRightInd w:val="0"/>
      <w:snapToGrid w:val="0"/>
      <w:spacing w:line="500" w:lineRule="exact"/>
      <w:ind w:firstLine="200" w:firstLineChars="200"/>
      <w:jc w:val="right"/>
    </w:pPr>
    <w:rPr>
      <w:rFonts w:ascii="Times New Roman" w:hAnsi="宋体" w:eastAsia="宋体" w:cs="宋体"/>
      <w:kern w:val="0"/>
      <w:sz w:val="28"/>
      <w:szCs w:val="20"/>
    </w:rPr>
  </w:style>
  <w:style w:type="paragraph" w:customStyle="1" w:styleId="2256">
    <w:name w:val="xl2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257">
    <w:name w:val="xl2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258">
    <w:name w:val="样式30"/>
    <w:basedOn w:val="1"/>
    <w:qFormat/>
    <w:uiPriority w:val="0"/>
    <w:pPr>
      <w:adjustRightInd w:val="0"/>
      <w:snapToGrid w:val="0"/>
      <w:spacing w:line="480" w:lineRule="exact"/>
      <w:ind w:firstLine="560" w:firstLineChars="200"/>
      <w:jc w:val="center"/>
    </w:pPr>
    <w:rPr>
      <w:rFonts w:ascii="Times New Roman" w:hAnsi="Times New Roman" w:eastAsia="宋体" w:cs="Times New Roman"/>
      <w:snapToGrid w:val="0"/>
      <w:kern w:val="0"/>
      <w:sz w:val="28"/>
      <w:szCs w:val="24"/>
    </w:rPr>
  </w:style>
  <w:style w:type="paragraph" w:customStyle="1" w:styleId="2259">
    <w:name w:val="普通(网站)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60">
    <w:name w:val="p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61">
    <w:name w:val="xl304"/>
    <w:basedOn w:val="1"/>
    <w:qFormat/>
    <w:uiPriority w:val="0"/>
    <w:pPr>
      <w:widowControl/>
      <w:pBdr>
        <w:top w:val="single" w:color="auto" w:sz="4" w:space="0"/>
        <w:lef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262">
    <w:name w:val="Char Char2 Char Char Char1 Char Char Char Char Char Char Char"/>
    <w:basedOn w:val="1"/>
    <w:qFormat/>
    <w:uiPriority w:val="0"/>
    <w:rPr>
      <w:rFonts w:ascii="Times New Roman" w:hAnsi="Times New Roman" w:eastAsia="宋体" w:cs="Times New Roman"/>
      <w:szCs w:val="24"/>
    </w:rPr>
  </w:style>
  <w:style w:type="paragraph" w:customStyle="1" w:styleId="2263">
    <w:name w:val="批注主题2"/>
    <w:basedOn w:val="27"/>
    <w:next w:val="27"/>
    <w:qFormat/>
    <w:uiPriority w:val="0"/>
    <w:pPr>
      <w:adjustRightInd w:val="0"/>
      <w:snapToGrid w:val="0"/>
      <w:spacing w:line="480" w:lineRule="exact"/>
    </w:pPr>
    <w:rPr>
      <w:rFonts w:ascii="Times New Roman" w:hAnsi="Times New Roman" w:eastAsia="宋体" w:cs="Times New Roman"/>
      <w:b/>
      <w:bCs/>
      <w:sz w:val="24"/>
      <w:szCs w:val="24"/>
    </w:rPr>
  </w:style>
  <w:style w:type="paragraph" w:customStyle="1" w:styleId="2264">
    <w:name w:val="正文缩进5"/>
    <w:basedOn w:val="1"/>
    <w:qFormat/>
    <w:uiPriority w:val="0"/>
    <w:pPr>
      <w:widowControl/>
      <w:spacing w:line="360" w:lineRule="exact"/>
      <w:ind w:firstLine="510"/>
      <w:jc w:val="left"/>
    </w:pPr>
    <w:rPr>
      <w:rFonts w:ascii="宋体" w:hAnsi="宋体" w:eastAsia="宋体" w:cs="宋体"/>
      <w:kern w:val="0"/>
      <w:sz w:val="24"/>
      <w:szCs w:val="20"/>
    </w:rPr>
  </w:style>
  <w:style w:type="paragraph" w:customStyle="1" w:styleId="2265">
    <w:name w:val="样式41"/>
    <w:basedOn w:val="247"/>
    <w:qFormat/>
    <w:uiPriority w:val="0"/>
    <w:pPr>
      <w:adjustRightInd w:val="0"/>
      <w:spacing w:line="300" w:lineRule="exact"/>
      <w:ind w:left="-140" w:leftChars="-50" w:right="-140" w:rightChars="-50" w:firstLine="0"/>
    </w:pPr>
    <w:rPr>
      <w:rFonts w:ascii="Times New Roman" w:hAnsi="Times New Roman" w:eastAsia="宋体"/>
      <w:color w:val="000000"/>
      <w:kern w:val="0"/>
      <w:szCs w:val="28"/>
    </w:rPr>
  </w:style>
  <w:style w:type="paragraph" w:customStyle="1" w:styleId="2266">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67">
    <w:name w:val="正文－表格两端对齐"/>
    <w:basedOn w:val="1"/>
    <w:qFormat/>
    <w:uiPriority w:val="0"/>
    <w:pPr>
      <w:adjustRightInd w:val="0"/>
      <w:snapToGrid w:val="0"/>
    </w:pPr>
    <w:rPr>
      <w:rFonts w:ascii="Times New Roman" w:hAnsi="Times New Roman" w:eastAsia="宋体" w:cs="Times New Roman"/>
      <w:szCs w:val="24"/>
    </w:rPr>
  </w:style>
  <w:style w:type="paragraph" w:customStyle="1" w:styleId="2268">
    <w:name w:val="引文目录1"/>
    <w:basedOn w:val="1"/>
    <w:next w:val="1"/>
    <w:qFormat/>
    <w:uiPriority w:val="0"/>
    <w:pPr>
      <w:spacing w:line="480" w:lineRule="exact"/>
      <w:ind w:left="420" w:leftChars="200"/>
    </w:pPr>
    <w:rPr>
      <w:rFonts w:ascii="Times New Roman" w:hAnsi="Times New Roman" w:eastAsia="宋体" w:cs="Times New Roman"/>
      <w:sz w:val="24"/>
      <w:szCs w:val="24"/>
    </w:rPr>
  </w:style>
  <w:style w:type="paragraph" w:customStyle="1" w:styleId="2269">
    <w:name w:val="0L表"/>
    <w:basedOn w:val="1"/>
    <w:qFormat/>
    <w:uiPriority w:val="0"/>
    <w:pPr>
      <w:adjustRightInd w:val="0"/>
      <w:spacing w:line="360" w:lineRule="auto"/>
      <w:jc w:val="center"/>
      <w:textAlignment w:val="baseline"/>
    </w:pPr>
    <w:rPr>
      <w:rFonts w:ascii="宋体" w:hAnsi="宋体" w:eastAsia="宋体" w:cs="Times New Roman"/>
      <w:kern w:val="0"/>
      <w:sz w:val="24"/>
      <w:szCs w:val="24"/>
    </w:rPr>
  </w:style>
  <w:style w:type="paragraph" w:customStyle="1" w:styleId="2270">
    <w:name w:val="正文（首行缩进两字）"/>
    <w:basedOn w:val="1"/>
    <w:qFormat/>
    <w:uiPriority w:val="0"/>
    <w:pPr>
      <w:adjustRightInd w:val="0"/>
      <w:snapToGrid w:val="0"/>
      <w:spacing w:line="480" w:lineRule="atLeast"/>
      <w:ind w:firstLine="420"/>
    </w:pPr>
    <w:rPr>
      <w:rFonts w:ascii="Times New Roman" w:hAnsi="Times New Roman" w:eastAsia="宋体" w:cs="Times New Roman"/>
      <w:sz w:val="28"/>
      <w:szCs w:val="20"/>
    </w:rPr>
  </w:style>
  <w:style w:type="paragraph" w:customStyle="1" w:styleId="2271">
    <w:name w:val="1"/>
    <w:basedOn w:val="1"/>
    <w:next w:val="74"/>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2272">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273">
    <w:name w:val="签署页"/>
    <w:basedOn w:val="2214"/>
    <w:qFormat/>
    <w:uiPriority w:val="0"/>
    <w:pPr>
      <w:spacing w:line="900" w:lineRule="exact"/>
      <w:ind w:left="500" w:leftChars="500"/>
      <w:jc w:val="left"/>
    </w:pPr>
    <w:rPr>
      <w:rFonts w:eastAsia="黑体" w:cs="Times New Roman"/>
      <w:sz w:val="32"/>
    </w:rPr>
  </w:style>
  <w:style w:type="paragraph" w:customStyle="1" w:styleId="2274">
    <w:name w:val="寄信人地址11"/>
    <w:basedOn w:val="1"/>
    <w:qFormat/>
    <w:uiPriority w:val="0"/>
    <w:pPr>
      <w:snapToGrid w:val="0"/>
    </w:pPr>
    <w:rPr>
      <w:rFonts w:ascii="Arial" w:hAnsi="Arial" w:eastAsia="宋体" w:cs="Arial"/>
      <w:szCs w:val="20"/>
    </w:rPr>
  </w:style>
  <w:style w:type="paragraph" w:customStyle="1" w:styleId="2275">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color w:val="000000"/>
      <w:kern w:val="0"/>
      <w:sz w:val="20"/>
      <w:szCs w:val="20"/>
    </w:rPr>
  </w:style>
  <w:style w:type="paragraph" w:customStyle="1" w:styleId="2276">
    <w:name w:val="样式82"/>
    <w:basedOn w:val="2277"/>
    <w:qFormat/>
    <w:uiPriority w:val="0"/>
    <w:pPr>
      <w:keepNext w:val="0"/>
      <w:keepLines w:val="0"/>
      <w:widowControl/>
      <w:spacing w:line="480" w:lineRule="exact"/>
      <w:ind w:firstLine="450" w:firstLineChars="150"/>
    </w:pPr>
    <w:rPr>
      <w:rFonts w:hAnsi="宋体"/>
      <w:color w:val="000000"/>
      <w:sz w:val="28"/>
      <w:szCs w:val="28"/>
    </w:rPr>
  </w:style>
  <w:style w:type="paragraph" w:customStyle="1" w:styleId="2277">
    <w:name w:val="标题3+"/>
    <w:basedOn w:val="6"/>
    <w:qFormat/>
    <w:uiPriority w:val="0"/>
    <w:pPr>
      <w:keepLines/>
      <w:numPr>
        <w:ilvl w:val="0"/>
        <w:numId w:val="0"/>
      </w:numPr>
      <w:spacing w:before="120" w:after="120" w:line="600" w:lineRule="exact"/>
    </w:pPr>
    <w:rPr>
      <w:rFonts w:ascii="Times New Roman" w:hAnsi="Times New Roman" w:cs="Times New Roman"/>
      <w:bCs/>
      <w:snapToGrid w:val="0"/>
      <w:kern w:val="0"/>
      <w:sz w:val="30"/>
    </w:rPr>
  </w:style>
  <w:style w:type="paragraph" w:customStyle="1" w:styleId="2278">
    <w:name w:val="引文目录标题1"/>
    <w:basedOn w:val="1"/>
    <w:next w:val="1"/>
    <w:qFormat/>
    <w:uiPriority w:val="0"/>
    <w:pPr>
      <w:spacing w:before="120" w:line="480" w:lineRule="exact"/>
    </w:pPr>
    <w:rPr>
      <w:rFonts w:ascii="Arial" w:hAnsi="Arial" w:eastAsia="宋体" w:cs="Arial"/>
      <w:sz w:val="24"/>
      <w:szCs w:val="24"/>
    </w:rPr>
  </w:style>
  <w:style w:type="paragraph" w:customStyle="1" w:styleId="2279">
    <w:name w:val="xl158"/>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80">
    <w:name w:val="样式57"/>
    <w:basedOn w:val="2281"/>
    <w:qFormat/>
    <w:uiPriority w:val="0"/>
    <w:pPr>
      <w:spacing w:line="500" w:lineRule="exact"/>
      <w:ind w:firstLine="560"/>
    </w:pPr>
    <w:rPr>
      <w:b w:val="0"/>
    </w:rPr>
  </w:style>
  <w:style w:type="paragraph" w:customStyle="1" w:styleId="2281">
    <w:name w:val="样式55"/>
    <w:basedOn w:val="21"/>
    <w:qFormat/>
    <w:uiPriority w:val="0"/>
    <w:pPr>
      <w:widowControl w:val="0"/>
      <w:spacing w:line="360" w:lineRule="auto"/>
      <w:ind w:firstLine="562" w:firstLineChars="200"/>
      <w:jc w:val="both"/>
    </w:pPr>
    <w:rPr>
      <w:rFonts w:ascii="宋体" w:hAnsi="宋体"/>
      <w:b/>
      <w:kern w:val="2"/>
      <w:szCs w:val="28"/>
    </w:rPr>
  </w:style>
  <w:style w:type="paragraph" w:customStyle="1" w:styleId="2282">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kern w:val="2"/>
      <w:sz w:val="24"/>
      <w:szCs w:val="24"/>
      <w:lang w:val="en-US" w:eastAsia="zh-CN" w:bidi="ar-SA"/>
    </w:rPr>
  </w:style>
  <w:style w:type="paragraph" w:customStyle="1" w:styleId="2283">
    <w:name w:val="正文6"/>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284">
    <w:name w:val="xl260"/>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285">
    <w:name w:val="Char Char1 Char Char Char Char Char Char Char Char Char Char Char Char Char Char Char Char Char Char"/>
    <w:basedOn w:val="1"/>
    <w:qFormat/>
    <w:uiPriority w:val="0"/>
    <w:pPr>
      <w:adjustRightInd w:val="0"/>
      <w:spacing w:line="360" w:lineRule="auto"/>
      <w:textAlignment w:val="baseline"/>
    </w:pPr>
    <w:rPr>
      <w:rFonts w:ascii="Times New Roman" w:hAnsi="Times New Roman" w:eastAsia="宋体" w:cs="Times New Roman"/>
      <w:kern w:val="0"/>
      <w:sz w:val="24"/>
      <w:szCs w:val="24"/>
    </w:rPr>
  </w:style>
  <w:style w:type="paragraph" w:customStyle="1" w:styleId="2286">
    <w:name w:val="项目号"/>
    <w:basedOn w:val="1"/>
    <w:qFormat/>
    <w:uiPriority w:val="0"/>
    <w:pPr>
      <w:spacing w:afterLines="50" w:line="480" w:lineRule="exact"/>
      <w:ind w:firstLine="560" w:firstLineChars="200"/>
    </w:pPr>
    <w:rPr>
      <w:rFonts w:ascii="宋体" w:hAnsi="宋体" w:eastAsia="宋体" w:cs="Times New Roman"/>
      <w:kern w:val="0"/>
      <w:sz w:val="28"/>
      <w:szCs w:val="28"/>
    </w:rPr>
  </w:style>
  <w:style w:type="paragraph" w:customStyle="1" w:styleId="2287">
    <w:name w:val="样式80"/>
    <w:basedOn w:val="1274"/>
    <w:qFormat/>
    <w:uiPriority w:val="0"/>
    <w:pPr>
      <w:adjustRightInd w:val="0"/>
      <w:spacing w:line="480" w:lineRule="exact"/>
      <w:ind w:firstLine="420"/>
      <w:jc w:val="center"/>
      <w:textAlignment w:val="baseline"/>
    </w:pPr>
    <w:rPr>
      <w:rFonts w:ascii="Times New Roman" w:hAnsi="Times New Roman" w:eastAsia="宋体" w:cs="Times New Roman"/>
      <w:snapToGrid w:val="0"/>
      <w:color w:val="000000"/>
      <w:kern w:val="0"/>
      <w:sz w:val="21"/>
      <w:szCs w:val="21"/>
    </w:rPr>
  </w:style>
  <w:style w:type="paragraph" w:customStyle="1" w:styleId="2288">
    <w:name w:val="样式 非加粗 行距: 固定值 22 磅"/>
    <w:basedOn w:val="1"/>
    <w:qFormat/>
    <w:uiPriority w:val="0"/>
    <w:pPr>
      <w:spacing w:line="360" w:lineRule="auto"/>
      <w:ind w:firstLine="544" w:firstLineChars="200"/>
    </w:pPr>
    <w:rPr>
      <w:rFonts w:ascii="宋体" w:hAnsi="宋体" w:eastAsia="宋体" w:cs="Times New Roman"/>
      <w:color w:val="000000"/>
      <w:spacing w:val="-4"/>
      <w:sz w:val="28"/>
      <w:szCs w:val="28"/>
    </w:rPr>
  </w:style>
  <w:style w:type="paragraph" w:customStyle="1" w:styleId="2289">
    <w:name w:val="参考文献、索引标题"/>
    <w:basedOn w:val="1"/>
    <w:next w:val="1"/>
    <w:qFormat/>
    <w:uiPriority w:val="0"/>
    <w:pPr>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2290">
    <w:name w:val="Char1 Char Char Char3"/>
    <w:basedOn w:val="1"/>
    <w:qFormat/>
    <w:uiPriority w:val="0"/>
    <w:rPr>
      <w:rFonts w:ascii="Times New Roman" w:hAnsi="Times New Roman" w:eastAsia="宋体" w:cs="Times New Roman"/>
      <w:szCs w:val="24"/>
    </w:rPr>
  </w:style>
  <w:style w:type="paragraph" w:customStyle="1" w:styleId="2291">
    <w:name w:val="xl311"/>
    <w:basedOn w:val="1"/>
    <w:qFormat/>
    <w:uiPriority w:val="0"/>
    <w:pPr>
      <w:widowControl/>
      <w:pBdr>
        <w:bottom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292">
    <w:name w:val="样式 样式 (符号) 宋体 右 + 首行缩进:  2 字符"/>
    <w:basedOn w:val="2255"/>
    <w:qFormat/>
    <w:uiPriority w:val="0"/>
    <w:pPr>
      <w:ind w:firstLine="560"/>
      <w:jc w:val="both"/>
    </w:pPr>
  </w:style>
  <w:style w:type="paragraph" w:customStyle="1" w:styleId="2293">
    <w:name w:val="样式81"/>
    <w:basedOn w:val="1274"/>
    <w:qFormat/>
    <w:uiPriority w:val="0"/>
    <w:pPr>
      <w:adjustRightInd w:val="0"/>
      <w:spacing w:line="480" w:lineRule="exact"/>
      <w:ind w:firstLine="560"/>
      <w:textAlignment w:val="baseline"/>
    </w:pPr>
    <w:rPr>
      <w:rFonts w:ascii="Times New Roman" w:hAnsi="Times New Roman" w:eastAsia="宋体" w:cs="Times New Roman"/>
      <w:snapToGrid w:val="0"/>
      <w:color w:val="000000"/>
      <w:kern w:val="0"/>
      <w:sz w:val="28"/>
    </w:rPr>
  </w:style>
  <w:style w:type="paragraph" w:customStyle="1" w:styleId="2294">
    <w:name w:val="_Style 77"/>
    <w:basedOn w:val="1"/>
    <w:qFormat/>
    <w:uiPriority w:val="0"/>
    <w:rPr>
      <w:rFonts w:ascii="Times New Roman" w:hAnsi="Times New Roman" w:eastAsia="宋体" w:cs="Times New Roman"/>
      <w:szCs w:val="24"/>
    </w:rPr>
  </w:style>
  <w:style w:type="paragraph" w:customStyle="1" w:styleId="2295">
    <w:name w:val="索引 51"/>
    <w:basedOn w:val="1"/>
    <w:next w:val="1"/>
    <w:qFormat/>
    <w:uiPriority w:val="0"/>
    <w:pPr>
      <w:spacing w:line="480" w:lineRule="exact"/>
      <w:ind w:left="800" w:leftChars="800"/>
    </w:pPr>
    <w:rPr>
      <w:rFonts w:ascii="Times New Roman" w:hAnsi="Times New Roman" w:eastAsia="宋体" w:cs="Times New Roman"/>
      <w:sz w:val="24"/>
      <w:szCs w:val="24"/>
    </w:rPr>
  </w:style>
  <w:style w:type="paragraph" w:customStyle="1" w:styleId="2296">
    <w:name w:val="索引 21"/>
    <w:basedOn w:val="1"/>
    <w:next w:val="1"/>
    <w:qFormat/>
    <w:uiPriority w:val="0"/>
    <w:pPr>
      <w:spacing w:line="480" w:lineRule="exact"/>
      <w:ind w:left="200" w:leftChars="200"/>
    </w:pPr>
    <w:rPr>
      <w:rFonts w:ascii="Times New Roman" w:hAnsi="Times New Roman" w:eastAsia="宋体" w:cs="Times New Roman"/>
      <w:sz w:val="24"/>
      <w:szCs w:val="24"/>
    </w:rPr>
  </w:style>
  <w:style w:type="paragraph" w:customStyle="1" w:styleId="2297">
    <w:name w:val="xl258"/>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298">
    <w:name w:val="表格内的文字"/>
    <w:basedOn w:val="1274"/>
    <w:qFormat/>
    <w:uiPriority w:val="0"/>
    <w:pPr>
      <w:adjustRightInd w:val="0"/>
      <w:spacing w:line="360" w:lineRule="exact"/>
      <w:ind w:firstLine="0" w:firstLineChars="0"/>
      <w:jc w:val="center"/>
      <w:textAlignment w:val="baseline"/>
    </w:pPr>
    <w:rPr>
      <w:rFonts w:ascii="Times New Roman" w:hAnsi="Times New Roman" w:eastAsia="宋体" w:cs="Times New Roman"/>
      <w:kern w:val="0"/>
      <w:sz w:val="21"/>
      <w:szCs w:val="21"/>
    </w:rPr>
  </w:style>
  <w:style w:type="paragraph" w:customStyle="1" w:styleId="2299">
    <w:name w:val="样式 标题 2 + (符号) 宋体 四号 两端对齐 段前: 10 磅 段后: 10 磅"/>
    <w:basedOn w:val="5"/>
    <w:qFormat/>
    <w:uiPriority w:val="0"/>
    <w:pPr>
      <w:numPr>
        <w:ilvl w:val="0"/>
        <w:numId w:val="0"/>
      </w:numPr>
      <w:spacing w:before="200" w:beforeAutospacing="0" w:after="200" w:line="600" w:lineRule="exact"/>
      <w:ind w:left="420" w:hanging="420"/>
      <w:jc w:val="both"/>
    </w:pPr>
    <w:rPr>
      <w:rFonts w:ascii="Times New Roman" w:cs="宋体"/>
      <w:b/>
      <w:sz w:val="30"/>
      <w:szCs w:val="20"/>
    </w:rPr>
  </w:style>
  <w:style w:type="paragraph" w:customStyle="1" w:styleId="2300">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301">
    <w:name w:val="reader-word-layer reader-word-s4-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02">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303">
    <w:name w:val="文档结构图2"/>
    <w:basedOn w:val="1"/>
    <w:qFormat/>
    <w:uiPriority w:val="0"/>
    <w:rPr>
      <w:rFonts w:ascii="宋体" w:hAnsi="Times New Roman" w:eastAsia="宋体" w:cs="Times New Roman"/>
      <w:sz w:val="18"/>
      <w:szCs w:val="18"/>
    </w:rPr>
  </w:style>
  <w:style w:type="paragraph" w:customStyle="1" w:styleId="2304">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305">
    <w:name w:val="xl291"/>
    <w:basedOn w:val="1"/>
    <w:qFormat/>
    <w:uiPriority w:val="0"/>
    <w:pPr>
      <w:widowControl/>
      <w:pBdr>
        <w:top w:val="single" w:color="auto" w:sz="4" w:space="0"/>
        <w:left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306">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307">
    <w:name w:val="xl284"/>
    <w:basedOn w:val="1"/>
    <w:qFormat/>
    <w:uiPriority w:val="0"/>
    <w:pPr>
      <w:widowControl/>
      <w:pBdr>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308">
    <w:name w:val="目录目次"/>
    <w:basedOn w:val="2273"/>
    <w:qFormat/>
    <w:uiPriority w:val="0"/>
    <w:pPr>
      <w:spacing w:beforeLines="100" w:afterLines="100" w:line="480" w:lineRule="exact"/>
      <w:ind w:left="0" w:leftChars="0"/>
      <w:jc w:val="center"/>
    </w:pPr>
  </w:style>
  <w:style w:type="paragraph" w:customStyle="1" w:styleId="2309">
    <w:name w:val="时间"/>
    <w:qFormat/>
    <w:uiPriority w:val="0"/>
    <w:pPr>
      <w:spacing w:before="240" w:line="480" w:lineRule="exact"/>
      <w:jc w:val="center"/>
    </w:pPr>
    <w:rPr>
      <w:rFonts w:ascii="Times New Roman" w:hAnsi="Times New Roman" w:eastAsia="楷体_GB2312" w:cs="Arial"/>
      <w:bCs/>
      <w:kern w:val="2"/>
      <w:sz w:val="36"/>
      <w:szCs w:val="36"/>
      <w:lang w:val="en-US" w:eastAsia="zh-CN" w:bidi="ar-SA"/>
    </w:rPr>
  </w:style>
  <w:style w:type="paragraph" w:customStyle="1" w:styleId="2310">
    <w:name w:val="样式29"/>
    <w:basedOn w:val="1"/>
    <w:qFormat/>
    <w:uiPriority w:val="0"/>
    <w:pPr>
      <w:adjustRightInd w:val="0"/>
      <w:snapToGrid w:val="0"/>
      <w:spacing w:line="480" w:lineRule="exact"/>
      <w:ind w:firstLine="560" w:firstLineChars="200"/>
      <w:jc w:val="center"/>
    </w:pPr>
    <w:rPr>
      <w:rFonts w:ascii="Times New Roman" w:hAnsi="Times New Roman" w:eastAsia="宋体" w:cs="Times New Roman"/>
      <w:snapToGrid w:val="0"/>
      <w:kern w:val="0"/>
      <w:sz w:val="28"/>
      <w:szCs w:val="28"/>
    </w:rPr>
  </w:style>
  <w:style w:type="paragraph" w:customStyle="1" w:styleId="2311">
    <w:name w:val="xl213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kern w:val="0"/>
      <w:sz w:val="24"/>
      <w:szCs w:val="24"/>
    </w:rPr>
  </w:style>
  <w:style w:type="paragraph" w:customStyle="1" w:styleId="2312">
    <w:name w:val="正文文本 24"/>
    <w:basedOn w:val="1"/>
    <w:qFormat/>
    <w:uiPriority w:val="0"/>
    <w:pPr>
      <w:adjustRightInd w:val="0"/>
      <w:jc w:val="center"/>
      <w:textAlignment w:val="baseline"/>
    </w:pPr>
    <w:rPr>
      <w:rFonts w:ascii="Arial" w:hAnsi="Arial" w:eastAsia="Arial" w:cs="Times New Roman"/>
      <w:szCs w:val="20"/>
    </w:rPr>
  </w:style>
  <w:style w:type="paragraph" w:customStyle="1" w:styleId="2313">
    <w:name w:val="正文－首行缩进2字符"/>
    <w:basedOn w:val="1"/>
    <w:qFormat/>
    <w:uiPriority w:val="0"/>
    <w:pPr>
      <w:adjustRightInd w:val="0"/>
      <w:snapToGrid w:val="0"/>
      <w:spacing w:line="480" w:lineRule="exact"/>
      <w:ind w:firstLine="560" w:firstLineChars="200"/>
    </w:pPr>
    <w:rPr>
      <w:rFonts w:ascii="Times New Roman" w:hAnsi="Times New Roman" w:eastAsia="宋体" w:cs="Times New Roman"/>
      <w:sz w:val="24"/>
      <w:szCs w:val="24"/>
    </w:rPr>
  </w:style>
  <w:style w:type="paragraph" w:customStyle="1" w:styleId="2314">
    <w:name w:val="签署及档案号"/>
    <w:basedOn w:val="1"/>
    <w:next w:val="1"/>
    <w:qFormat/>
    <w:uiPriority w:val="0"/>
    <w:pPr>
      <w:adjustRightInd w:val="0"/>
      <w:snapToGrid w:val="0"/>
      <w:spacing w:line="480" w:lineRule="exact"/>
      <w:jc w:val="center"/>
    </w:pPr>
    <w:rPr>
      <w:rFonts w:ascii="Times New Roman" w:hAnsi="Times New Roman" w:eastAsia="宋体" w:cs="Times New Roman"/>
      <w:kern w:val="0"/>
    </w:rPr>
  </w:style>
  <w:style w:type="paragraph" w:customStyle="1" w:styleId="2315">
    <w:name w:val="xl214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eastAsia="宋体" w:cs="宋体"/>
      <w:b/>
      <w:bCs/>
      <w:kern w:val="0"/>
      <w:sz w:val="24"/>
      <w:szCs w:val="24"/>
    </w:rPr>
  </w:style>
  <w:style w:type="paragraph" w:customStyle="1" w:styleId="2316">
    <w:name w:val="Char Char Char Char Char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317">
    <w:name w:val="文本块1"/>
    <w:basedOn w:val="1"/>
    <w:qFormat/>
    <w:uiPriority w:val="0"/>
    <w:pPr>
      <w:ind w:left="144" w:right="90" w:firstLine="645"/>
    </w:pPr>
    <w:rPr>
      <w:rFonts w:ascii="Times New Roman" w:hAnsi="Times New Roman" w:eastAsia="楷体_GB2312" w:cs="Times New Roman"/>
      <w:sz w:val="24"/>
      <w:szCs w:val="20"/>
    </w:rPr>
  </w:style>
  <w:style w:type="paragraph" w:customStyle="1" w:styleId="2318">
    <w:name w:val="xl309"/>
    <w:basedOn w:val="1"/>
    <w:qFormat/>
    <w:uiPriority w:val="0"/>
    <w:pPr>
      <w:widowControl/>
      <w:pBdr>
        <w:left w:val="single" w:color="auto" w:sz="4" w:space="0"/>
        <w:bottom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319">
    <w:name w:val="样式26"/>
    <w:basedOn w:val="1"/>
    <w:qFormat/>
    <w:uiPriority w:val="0"/>
    <w:pPr>
      <w:adjustRightInd w:val="0"/>
      <w:snapToGrid w:val="0"/>
      <w:spacing w:line="480" w:lineRule="exact"/>
      <w:ind w:firstLine="700" w:firstLineChars="250"/>
    </w:pPr>
    <w:rPr>
      <w:rFonts w:ascii="Times New Roman" w:hAnsi="Times New Roman" w:eastAsia="宋体" w:cs="Times New Roman"/>
      <w:snapToGrid w:val="0"/>
      <w:kern w:val="0"/>
      <w:sz w:val="28"/>
      <w:szCs w:val="28"/>
    </w:rPr>
  </w:style>
  <w:style w:type="paragraph" w:customStyle="1" w:styleId="2320">
    <w:name w:val="样式78"/>
    <w:basedOn w:val="1"/>
    <w:qFormat/>
    <w:uiPriority w:val="0"/>
    <w:pPr>
      <w:adjustRightInd w:val="0"/>
      <w:snapToGrid w:val="0"/>
      <w:spacing w:line="500" w:lineRule="exact"/>
      <w:ind w:firstLine="480" w:firstLineChars="200"/>
    </w:pPr>
    <w:rPr>
      <w:rFonts w:ascii="Times New Roman" w:hAnsi="Times New Roman" w:eastAsia="宋体" w:cs="Times New Roman"/>
      <w:snapToGrid w:val="0"/>
      <w:kern w:val="0"/>
      <w:sz w:val="24"/>
      <w:szCs w:val="24"/>
    </w:rPr>
  </w:style>
  <w:style w:type="paragraph" w:customStyle="1" w:styleId="2321">
    <w:name w:val="列表 21"/>
    <w:basedOn w:val="1"/>
    <w:qFormat/>
    <w:uiPriority w:val="0"/>
    <w:pPr>
      <w:spacing w:line="480" w:lineRule="exact"/>
      <w:ind w:left="840" w:hanging="420"/>
    </w:pPr>
    <w:rPr>
      <w:rFonts w:ascii="Times New Roman" w:hAnsi="Times New Roman" w:eastAsia="宋体" w:cs="Times New Roman"/>
      <w:sz w:val="24"/>
      <w:szCs w:val="20"/>
    </w:rPr>
  </w:style>
  <w:style w:type="paragraph" w:customStyle="1" w:styleId="2322">
    <w:name w:val="样式54"/>
    <w:basedOn w:val="1"/>
    <w:qFormat/>
    <w:uiPriority w:val="0"/>
    <w:pPr>
      <w:adjustRightInd w:val="0"/>
      <w:snapToGrid w:val="0"/>
      <w:spacing w:line="480" w:lineRule="exact"/>
      <w:ind w:firstLine="538" w:firstLineChars="192"/>
    </w:pPr>
    <w:rPr>
      <w:rFonts w:ascii="Times New Roman" w:hAnsi="Times New Roman" w:eastAsia="宋体" w:cs="Times New Roman"/>
      <w:snapToGrid w:val="0"/>
      <w:kern w:val="0"/>
      <w:sz w:val="28"/>
      <w:szCs w:val="24"/>
    </w:rPr>
  </w:style>
  <w:style w:type="paragraph" w:customStyle="1" w:styleId="2323">
    <w:name w:val="索引 41"/>
    <w:basedOn w:val="1"/>
    <w:next w:val="1"/>
    <w:qFormat/>
    <w:uiPriority w:val="0"/>
    <w:pPr>
      <w:spacing w:line="480" w:lineRule="exact"/>
      <w:ind w:left="600" w:leftChars="600"/>
    </w:pPr>
    <w:rPr>
      <w:rFonts w:ascii="Times New Roman" w:hAnsi="Times New Roman" w:eastAsia="宋体" w:cs="Times New Roman"/>
      <w:sz w:val="24"/>
      <w:szCs w:val="24"/>
    </w:rPr>
  </w:style>
  <w:style w:type="paragraph" w:customStyle="1" w:styleId="2324">
    <w:name w:val="Знак Знак1"/>
    <w:basedOn w:val="1"/>
    <w:qFormat/>
    <w:uiPriority w:val="0"/>
    <w:rPr>
      <w:rFonts w:ascii="Times New Roman" w:hAnsi="Times New Roman" w:eastAsia="宋体" w:cs="Times New Roman"/>
      <w:szCs w:val="24"/>
    </w:rPr>
  </w:style>
  <w:style w:type="paragraph" w:customStyle="1" w:styleId="2325">
    <w:name w:val="表中正文"/>
    <w:basedOn w:val="1"/>
    <w:qFormat/>
    <w:uiPriority w:val="0"/>
    <w:pPr>
      <w:spacing w:before="60" w:after="60" w:line="240" w:lineRule="exact"/>
      <w:jc w:val="center"/>
    </w:pPr>
    <w:rPr>
      <w:rFonts w:ascii="宋体" w:hAnsi="宋体" w:eastAsia="宋体" w:cs="Times New Roman"/>
      <w:spacing w:val="-8"/>
      <w:szCs w:val="24"/>
    </w:rPr>
  </w:style>
  <w:style w:type="paragraph" w:customStyle="1" w:styleId="2326">
    <w:name w:val="正文文本 241"/>
    <w:basedOn w:val="1"/>
    <w:qFormat/>
    <w:uiPriority w:val="0"/>
    <w:pPr>
      <w:adjustRightInd w:val="0"/>
      <w:jc w:val="center"/>
      <w:textAlignment w:val="baseline"/>
    </w:pPr>
    <w:rPr>
      <w:rFonts w:ascii="Arial" w:hAnsi="Arial" w:eastAsia="宋体" w:cs="Times New Roman"/>
      <w:szCs w:val="20"/>
    </w:rPr>
  </w:style>
  <w:style w:type="paragraph" w:customStyle="1" w:styleId="2327">
    <w:name w:val="lsw表格文字"/>
    <w:basedOn w:val="1"/>
    <w:qFormat/>
    <w:uiPriority w:val="0"/>
    <w:pPr>
      <w:spacing w:line="320" w:lineRule="exact"/>
      <w:ind w:left="-10" w:leftChars="-32" w:hanging="67" w:hangingChars="32"/>
      <w:jc w:val="center"/>
    </w:pPr>
    <w:rPr>
      <w:rFonts w:ascii="Times New Roman" w:hAnsi="Times New Roman" w:eastAsia="宋体" w:cs="Times New Roman"/>
      <w:szCs w:val="24"/>
    </w:rPr>
  </w:style>
  <w:style w:type="paragraph" w:customStyle="1" w:styleId="2328">
    <w:name w:val="正文缩进4"/>
    <w:basedOn w:val="1"/>
    <w:qFormat/>
    <w:uiPriority w:val="0"/>
    <w:pPr>
      <w:adjustRightInd w:val="0"/>
      <w:ind w:firstLine="420"/>
      <w:textAlignment w:val="baseline"/>
    </w:pPr>
    <w:rPr>
      <w:rFonts w:ascii="Times New Roman" w:hAnsi="Times New Roman" w:eastAsia="宋体" w:cs="Times New Roman"/>
      <w:sz w:val="24"/>
      <w:szCs w:val="20"/>
    </w:rPr>
  </w:style>
  <w:style w:type="paragraph" w:customStyle="1" w:styleId="2329">
    <w:name w:val="索引 52"/>
    <w:basedOn w:val="1"/>
    <w:next w:val="1"/>
    <w:qFormat/>
    <w:uiPriority w:val="0"/>
    <w:pPr>
      <w:spacing w:line="480" w:lineRule="exact"/>
      <w:ind w:left="800" w:leftChars="800"/>
    </w:pPr>
    <w:rPr>
      <w:rFonts w:ascii="Times New Roman" w:hAnsi="Times New Roman" w:eastAsia="宋体" w:cs="Times New Roman"/>
      <w:sz w:val="24"/>
      <w:szCs w:val="24"/>
    </w:rPr>
  </w:style>
  <w:style w:type="paragraph" w:customStyle="1" w:styleId="2330">
    <w:name w:val="默认段落字体 Para Char Char Char1 Char Char Char Char"/>
    <w:basedOn w:val="1"/>
    <w:qFormat/>
    <w:uiPriority w:val="0"/>
    <w:pPr>
      <w:spacing w:line="360" w:lineRule="auto"/>
    </w:pPr>
    <w:rPr>
      <w:rFonts w:ascii="宋体" w:hAnsi="Times New Roman" w:eastAsia="方正仿宋简体" w:cs="Times New Roman"/>
      <w:color w:val="000000"/>
      <w:sz w:val="24"/>
      <w:szCs w:val="32"/>
    </w:rPr>
  </w:style>
  <w:style w:type="paragraph" w:customStyle="1" w:styleId="2331">
    <w:name w:val="小表格"/>
    <w:basedOn w:val="1"/>
    <w:qFormat/>
    <w:uiPriority w:val="0"/>
    <w:pPr>
      <w:jc w:val="center"/>
    </w:pPr>
    <w:rPr>
      <w:rFonts w:ascii="宋体" w:hAnsi="宋体" w:eastAsia="宋体" w:cs="Times New Roman"/>
      <w:sz w:val="18"/>
      <w:szCs w:val="20"/>
    </w:rPr>
  </w:style>
  <w:style w:type="paragraph" w:customStyle="1" w:styleId="2332">
    <w:name w:val="样式56"/>
    <w:basedOn w:val="2281"/>
    <w:qFormat/>
    <w:uiPriority w:val="0"/>
    <w:pPr>
      <w:spacing w:line="500" w:lineRule="exact"/>
      <w:ind w:firstLine="560"/>
    </w:pPr>
    <w:rPr>
      <w:b w:val="0"/>
    </w:rPr>
  </w:style>
  <w:style w:type="paragraph" w:customStyle="1" w:styleId="2333">
    <w:name w:val="正文表格头"/>
    <w:basedOn w:val="1"/>
    <w:qFormat/>
    <w:uiPriority w:val="0"/>
    <w:pPr>
      <w:jc w:val="center"/>
    </w:pPr>
    <w:rPr>
      <w:rFonts w:ascii="Times New Roman" w:hAnsi="Times New Roman" w:eastAsia="黑体" w:cs="Times New Roman"/>
      <w:sz w:val="28"/>
      <w:szCs w:val="24"/>
    </w:rPr>
  </w:style>
  <w:style w:type="paragraph" w:customStyle="1" w:styleId="2334">
    <w:name w:val="样式75"/>
    <w:basedOn w:val="1"/>
    <w:qFormat/>
    <w:uiPriority w:val="0"/>
    <w:pPr>
      <w:adjustRightInd w:val="0"/>
      <w:snapToGrid w:val="0"/>
      <w:spacing w:line="480" w:lineRule="exact"/>
      <w:ind w:firstLine="560" w:firstLineChars="200"/>
      <w:jc w:val="center"/>
    </w:pPr>
    <w:rPr>
      <w:rFonts w:ascii="Times New Roman" w:hAnsi="Times New Roman" w:eastAsia="宋体" w:cs="Times New Roman"/>
      <w:snapToGrid w:val="0"/>
      <w:color w:val="000000"/>
      <w:kern w:val="0"/>
      <w:sz w:val="28"/>
    </w:rPr>
  </w:style>
  <w:style w:type="paragraph" w:customStyle="1" w:styleId="2335">
    <w:name w:val="样式17"/>
    <w:basedOn w:val="1"/>
    <w:qFormat/>
    <w:uiPriority w:val="0"/>
    <w:pPr>
      <w:tabs>
        <w:tab w:val="left" w:pos="0"/>
      </w:tabs>
      <w:adjustRightInd w:val="0"/>
      <w:snapToGrid w:val="0"/>
      <w:spacing w:line="500" w:lineRule="exact"/>
      <w:ind w:firstLine="560" w:firstLineChars="200"/>
      <w:jc w:val="center"/>
    </w:pPr>
    <w:rPr>
      <w:rFonts w:ascii="Times New Roman" w:hAnsi="Times New Roman" w:eastAsia="黑体" w:cs="Times New Roman"/>
      <w:snapToGrid w:val="0"/>
      <w:kern w:val="0"/>
      <w:sz w:val="28"/>
      <w:szCs w:val="28"/>
    </w:rPr>
  </w:style>
  <w:style w:type="paragraph" w:customStyle="1" w:styleId="2336">
    <w:name w:val="报告标3"/>
    <w:basedOn w:val="1"/>
    <w:qFormat/>
    <w:uiPriority w:val="0"/>
    <w:pPr>
      <w:adjustRightInd w:val="0"/>
      <w:snapToGrid w:val="0"/>
      <w:spacing w:line="300" w:lineRule="auto"/>
    </w:pPr>
    <w:rPr>
      <w:rFonts w:ascii="宋体" w:hAnsi="Times New Roman" w:eastAsia="宋体" w:cs="Times New Roman"/>
      <w:sz w:val="24"/>
      <w:szCs w:val="20"/>
    </w:rPr>
  </w:style>
  <w:style w:type="paragraph" w:customStyle="1" w:styleId="2337">
    <w:name w:val="样式 标题 6 + 首行缩进:  2 字符"/>
    <w:basedOn w:val="9"/>
    <w:qFormat/>
    <w:uiPriority w:val="0"/>
    <w:pPr>
      <w:widowControl w:val="0"/>
      <w:numPr>
        <w:ilvl w:val="0"/>
        <w:numId w:val="0"/>
      </w:numPr>
      <w:tabs>
        <w:tab w:val="left" w:pos="1372"/>
      </w:tabs>
      <w:adjustRightInd w:val="0"/>
      <w:snapToGrid w:val="0"/>
      <w:spacing w:beforeLines="50" w:line="460" w:lineRule="exact"/>
      <w:ind w:firstLine="200" w:firstLineChars="200"/>
      <w:jc w:val="both"/>
    </w:pPr>
    <w:rPr>
      <w:rFonts w:ascii="Times New Roman" w:hAnsi="Times New Roman" w:cs="宋体"/>
      <w:b/>
      <w:sz w:val="28"/>
      <w:szCs w:val="20"/>
      <w:lang w:val="zh-CN"/>
    </w:rPr>
  </w:style>
  <w:style w:type="paragraph" w:customStyle="1" w:styleId="2338">
    <w:name w:val="样式24"/>
    <w:basedOn w:val="1"/>
    <w:qFormat/>
    <w:uiPriority w:val="0"/>
    <w:pPr>
      <w:adjustRightInd w:val="0"/>
      <w:snapToGrid w:val="0"/>
      <w:spacing w:line="480" w:lineRule="exact"/>
      <w:ind w:firstLine="560" w:firstLineChars="200"/>
    </w:pPr>
    <w:rPr>
      <w:rFonts w:ascii="Times New Roman" w:hAnsi="Times New Roman" w:eastAsia="宋体" w:cs="Times New Roman"/>
      <w:snapToGrid w:val="0"/>
      <w:kern w:val="0"/>
      <w:sz w:val="28"/>
      <w:szCs w:val="24"/>
    </w:rPr>
  </w:style>
  <w:style w:type="paragraph" w:customStyle="1" w:styleId="2339">
    <w:name w:val="Char Char Char Char Char Char Char Char Char Char Char Char Char"/>
    <w:basedOn w:val="1"/>
    <w:qFormat/>
    <w:uiPriority w:val="0"/>
    <w:pPr>
      <w:adjustRightInd w:val="0"/>
      <w:spacing w:line="360" w:lineRule="auto"/>
    </w:pPr>
    <w:rPr>
      <w:rFonts w:ascii="Times New Roman" w:hAnsi="Times New Roman" w:eastAsia="宋体" w:cs="Times New Roman"/>
      <w:kern w:val="0"/>
      <w:sz w:val="24"/>
      <w:szCs w:val="24"/>
    </w:rPr>
  </w:style>
  <w:style w:type="paragraph" w:customStyle="1" w:styleId="2340">
    <w:name w:val="样式91"/>
    <w:basedOn w:val="1"/>
    <w:qFormat/>
    <w:uiPriority w:val="0"/>
    <w:pPr>
      <w:adjustRightInd w:val="0"/>
      <w:snapToGrid w:val="0"/>
      <w:spacing w:line="480" w:lineRule="exact"/>
      <w:ind w:left="-77" w:firstLine="560" w:firstLineChars="200"/>
    </w:pPr>
    <w:rPr>
      <w:rFonts w:ascii="Times New Roman" w:hAnsi="Times New Roman" w:eastAsia="宋体" w:cs="Times New Roman"/>
      <w:snapToGrid w:val="0"/>
      <w:color w:val="FF0000"/>
      <w:kern w:val="0"/>
      <w:sz w:val="28"/>
      <w:szCs w:val="28"/>
    </w:rPr>
  </w:style>
  <w:style w:type="paragraph" w:customStyle="1" w:styleId="2341">
    <w:name w:val="样式77"/>
    <w:basedOn w:val="2342"/>
    <w:qFormat/>
    <w:uiPriority w:val="0"/>
    <w:pPr>
      <w:spacing w:line="320" w:lineRule="exact"/>
      <w:ind w:firstLine="0" w:firstLineChars="0"/>
      <w:jc w:val="left"/>
    </w:pPr>
    <w:rPr>
      <w:rFonts w:hAnsi="宋体"/>
      <w:sz w:val="21"/>
      <w:szCs w:val="21"/>
    </w:rPr>
  </w:style>
  <w:style w:type="paragraph" w:customStyle="1" w:styleId="2342">
    <w:name w:val="样式47"/>
    <w:basedOn w:val="2215"/>
    <w:qFormat/>
    <w:uiPriority w:val="0"/>
  </w:style>
  <w:style w:type="paragraph" w:customStyle="1" w:styleId="2343">
    <w:name w:val="流程图"/>
    <w:basedOn w:val="1"/>
    <w:qFormat/>
    <w:uiPriority w:val="0"/>
    <w:pPr>
      <w:tabs>
        <w:tab w:val="left" w:pos="0"/>
      </w:tabs>
      <w:autoSpaceDE w:val="0"/>
      <w:autoSpaceDN w:val="0"/>
      <w:adjustRightInd w:val="0"/>
      <w:spacing w:line="240" w:lineRule="atLeast"/>
      <w:jc w:val="center"/>
      <w:textAlignment w:val="bottom"/>
    </w:pPr>
    <w:rPr>
      <w:rFonts w:ascii="宋体" w:hAnsi="Times New Roman" w:eastAsia="宋体" w:cs="Times New Roman"/>
      <w:szCs w:val="20"/>
    </w:rPr>
  </w:style>
  <w:style w:type="paragraph" w:customStyle="1" w:styleId="2344">
    <w:name w:val="样式65"/>
    <w:basedOn w:val="21"/>
    <w:qFormat/>
    <w:uiPriority w:val="0"/>
    <w:pPr>
      <w:widowControl w:val="0"/>
      <w:spacing w:line="480" w:lineRule="exact"/>
      <w:ind w:firstLine="560" w:firstLineChars="200"/>
      <w:jc w:val="both"/>
    </w:pPr>
    <w:rPr>
      <w:rFonts w:ascii="Times New Roman" w:hAnsi="宋体"/>
      <w:kern w:val="2"/>
      <w:szCs w:val="28"/>
    </w:rPr>
  </w:style>
  <w:style w:type="paragraph" w:customStyle="1" w:styleId="2345">
    <w:name w:val="Char Char Char Char Char Char Char Char Char Char Char Char Char Char Char Char 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346">
    <w:name w:val="样式33"/>
    <w:basedOn w:val="1"/>
    <w:qFormat/>
    <w:uiPriority w:val="0"/>
    <w:pPr>
      <w:adjustRightInd w:val="0"/>
      <w:snapToGrid w:val="0"/>
      <w:spacing w:line="480" w:lineRule="exact"/>
      <w:ind w:firstLine="560" w:firstLineChars="200"/>
    </w:pPr>
    <w:rPr>
      <w:rFonts w:ascii="Times New Roman" w:hAnsi="Times New Roman" w:eastAsia="宋体" w:cs="Times New Roman"/>
      <w:snapToGrid w:val="0"/>
      <w:kern w:val="0"/>
      <w:sz w:val="28"/>
      <w:szCs w:val="28"/>
    </w:rPr>
  </w:style>
  <w:style w:type="paragraph" w:customStyle="1" w:styleId="2347">
    <w:name w:val="表格式 Char Char"/>
    <w:basedOn w:val="60"/>
    <w:qFormat/>
    <w:uiPriority w:val="0"/>
    <w:pPr>
      <w:spacing w:before="60" w:after="60"/>
      <w:ind w:left="0" w:firstLine="0"/>
      <w:jc w:val="center"/>
    </w:pPr>
    <w:rPr>
      <w:rFonts w:ascii="宋体" w:hAnsi="宋体" w:eastAsia="宋体"/>
      <w:color w:val="000000"/>
      <w:sz w:val="21"/>
      <w:szCs w:val="20"/>
    </w:rPr>
  </w:style>
  <w:style w:type="paragraph" w:customStyle="1" w:styleId="2348">
    <w:name w:val="样式40"/>
    <w:basedOn w:val="1"/>
    <w:qFormat/>
    <w:uiPriority w:val="0"/>
    <w:pPr>
      <w:adjustRightInd w:val="0"/>
      <w:snapToGrid w:val="0"/>
      <w:spacing w:line="480" w:lineRule="exact"/>
      <w:ind w:firstLine="420" w:firstLineChars="200"/>
    </w:pPr>
    <w:rPr>
      <w:rFonts w:ascii="Times New Roman" w:hAnsi="Times New Roman" w:eastAsia="宋体" w:cs="Times New Roman"/>
      <w:snapToGrid w:val="0"/>
      <w:kern w:val="0"/>
    </w:rPr>
  </w:style>
  <w:style w:type="paragraph" w:customStyle="1" w:styleId="2349">
    <w:name w:val="样式58"/>
    <w:basedOn w:val="2350"/>
    <w:qFormat/>
    <w:uiPriority w:val="0"/>
    <w:pPr>
      <w:tabs>
        <w:tab w:val="left" w:pos="0"/>
      </w:tabs>
    </w:pPr>
  </w:style>
  <w:style w:type="paragraph" w:customStyle="1" w:styleId="2350">
    <w:name w:val="样式20"/>
    <w:basedOn w:val="1"/>
    <w:qFormat/>
    <w:uiPriority w:val="0"/>
    <w:pPr>
      <w:tabs>
        <w:tab w:val="left" w:pos="0"/>
      </w:tabs>
      <w:adjustRightInd w:val="0"/>
      <w:snapToGrid w:val="0"/>
      <w:spacing w:line="500" w:lineRule="exact"/>
      <w:ind w:firstLine="560" w:firstLineChars="200"/>
      <w:jc w:val="center"/>
    </w:pPr>
    <w:rPr>
      <w:rFonts w:ascii="Times New Roman" w:hAnsi="Times New Roman" w:eastAsia="黑体" w:cs="Times New Roman"/>
      <w:snapToGrid w:val="0"/>
      <w:kern w:val="0"/>
      <w:sz w:val="28"/>
      <w:szCs w:val="28"/>
    </w:rPr>
  </w:style>
  <w:style w:type="paragraph" w:customStyle="1" w:styleId="2351">
    <w:name w:val="BIG BOLD"/>
    <w:basedOn w:val="1"/>
    <w:qFormat/>
    <w:uiPriority w:val="0"/>
    <w:pPr>
      <w:tabs>
        <w:tab w:val="left" w:leader="underscore" w:pos="1134"/>
      </w:tabs>
    </w:pPr>
    <w:rPr>
      <w:rFonts w:ascii="Times New Roman" w:hAnsi="Times New Roman" w:eastAsia="宋体" w:cs="Times New Roman"/>
      <w:szCs w:val="20"/>
    </w:rPr>
  </w:style>
  <w:style w:type="paragraph" w:customStyle="1" w:styleId="2352">
    <w:name w:val="正文－首行缩进:2 字符"/>
    <w:basedOn w:val="1"/>
    <w:qFormat/>
    <w:uiPriority w:val="0"/>
    <w:pPr>
      <w:spacing w:line="440" w:lineRule="exact"/>
      <w:ind w:firstLine="560" w:firstLineChars="200"/>
    </w:pPr>
    <w:rPr>
      <w:rFonts w:ascii="Times New Roman" w:hAnsi="Times New Roman" w:eastAsia="宋体" w:cs="宋体"/>
      <w:sz w:val="28"/>
      <w:szCs w:val="20"/>
    </w:rPr>
  </w:style>
  <w:style w:type="paragraph" w:customStyle="1" w:styleId="2353">
    <w:name w:val="Char Char Char Char Char Char Char Char Char Char4"/>
    <w:basedOn w:val="1"/>
    <w:qFormat/>
    <w:uiPriority w:val="0"/>
    <w:rPr>
      <w:rFonts w:ascii="Times New Roman" w:hAnsi="Times New Roman" w:eastAsia="宋体" w:cs="Times New Roman"/>
      <w:szCs w:val="24"/>
    </w:rPr>
  </w:style>
  <w:style w:type="paragraph" w:customStyle="1" w:styleId="2354">
    <w:name w:val="样式 样式 标题 3标题4标题 3 Char1标题 3 Char Char标题 3 Char + (中文) 仿宋_GB2312...."/>
    <w:basedOn w:val="1"/>
    <w:qFormat/>
    <w:uiPriority w:val="0"/>
    <w:pPr>
      <w:keepNext/>
      <w:keepLines/>
      <w:adjustRightInd w:val="0"/>
      <w:snapToGrid w:val="0"/>
      <w:spacing w:line="460" w:lineRule="exact"/>
      <w:ind w:firstLine="480" w:firstLineChars="200"/>
      <w:jc w:val="left"/>
      <w:outlineLvl w:val="2"/>
    </w:pPr>
    <w:rPr>
      <w:rFonts w:ascii="Times New Roman" w:hAnsi="Times New Roman" w:eastAsia="宋体" w:cs="宋体"/>
      <w:kern w:val="0"/>
      <w:sz w:val="28"/>
      <w:szCs w:val="28"/>
    </w:rPr>
  </w:style>
  <w:style w:type="paragraph" w:customStyle="1" w:styleId="2355">
    <w:name w:val="xl286"/>
    <w:basedOn w:val="1"/>
    <w:qFormat/>
    <w:uiPriority w:val="0"/>
    <w:pPr>
      <w:widowControl/>
      <w:pBdr>
        <w:top w:val="single" w:color="auto" w:sz="4" w:space="0"/>
        <w:left w:val="single" w:color="auto" w:sz="4" w:space="0"/>
        <w:bottom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356">
    <w:name w:val="样式 表文字 + 字符缩放: 90%"/>
    <w:basedOn w:val="1"/>
    <w:qFormat/>
    <w:uiPriority w:val="0"/>
    <w:pPr>
      <w:keepNext/>
      <w:widowControl/>
      <w:adjustRightInd w:val="0"/>
      <w:spacing w:line="240" w:lineRule="exact"/>
      <w:ind w:left="-50" w:leftChars="-50" w:right="-50" w:rightChars="-50"/>
      <w:jc w:val="center"/>
      <w:textAlignment w:val="baseline"/>
    </w:pPr>
    <w:rPr>
      <w:rFonts w:ascii="宋体" w:hAnsi="宋体" w:eastAsia="宋体" w:cs="宋体"/>
      <w:snapToGrid w:val="0"/>
      <w:kern w:val="0"/>
      <w:sz w:val="18"/>
      <w:szCs w:val="18"/>
    </w:rPr>
  </w:style>
  <w:style w:type="paragraph" w:customStyle="1" w:styleId="2357">
    <w:name w:val="样式50"/>
    <w:basedOn w:val="247"/>
    <w:qFormat/>
    <w:uiPriority w:val="0"/>
    <w:pPr>
      <w:adjustRightInd w:val="0"/>
      <w:spacing w:line="240" w:lineRule="exact"/>
      <w:ind w:left="-140" w:leftChars="-50" w:right="-140" w:rightChars="-50" w:firstLine="0"/>
    </w:pPr>
    <w:rPr>
      <w:rFonts w:ascii="Times New Roman" w:hAnsi="Times New Roman" w:eastAsia="宋体"/>
      <w:color w:val="000000"/>
      <w:kern w:val="0"/>
      <w:szCs w:val="28"/>
    </w:rPr>
  </w:style>
  <w:style w:type="paragraph" w:customStyle="1" w:styleId="2358">
    <w:name w:val="正文文本缩进 23"/>
    <w:basedOn w:val="1"/>
    <w:qFormat/>
    <w:uiPriority w:val="0"/>
    <w:pPr>
      <w:spacing w:line="300" w:lineRule="auto"/>
      <w:ind w:firstLine="482" w:firstLineChars="200"/>
    </w:pPr>
    <w:rPr>
      <w:rFonts w:ascii="Times New Roman" w:hAnsi="Times New Roman" w:eastAsia="宋体" w:cs="Times New Roman"/>
      <w:sz w:val="24"/>
      <w:szCs w:val="20"/>
    </w:rPr>
  </w:style>
  <w:style w:type="paragraph" w:customStyle="1" w:styleId="2359">
    <w:name w:val="样式 样式4 +"/>
    <w:basedOn w:val="1087"/>
    <w:qFormat/>
    <w:uiPriority w:val="0"/>
    <w:pPr>
      <w:spacing w:line="480" w:lineRule="exact"/>
      <w:ind w:firstLine="200" w:firstLineChars="200"/>
      <w:jc w:val="both"/>
      <w:textAlignment w:val="auto"/>
      <w:outlineLvl w:val="3"/>
    </w:pPr>
    <w:rPr>
      <w:rFonts w:eastAsia="楷体_GB2312" w:cs="宋体"/>
      <w:b/>
      <w:bCs/>
      <w:snapToGrid w:val="0"/>
      <w:sz w:val="30"/>
    </w:rPr>
  </w:style>
  <w:style w:type="paragraph" w:customStyle="1" w:styleId="2360">
    <w:name w:val="xl2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361">
    <w:name w:val="样式10"/>
    <w:basedOn w:val="1153"/>
    <w:qFormat/>
    <w:uiPriority w:val="0"/>
    <w:pPr>
      <w:widowControl w:val="0"/>
      <w:topLinePunct/>
      <w:adjustRightInd/>
      <w:snapToGrid/>
      <w:spacing w:beforeLines="0" w:afterLines="0" w:line="240" w:lineRule="auto"/>
      <w:jc w:val="center"/>
      <w:textAlignment w:val="auto"/>
      <w:outlineLvl w:val="9"/>
    </w:pPr>
    <w:rPr>
      <w:rFonts w:ascii="Times New Roman" w:hAnsi="Times New Roman" w:cs="宋体"/>
      <w:b w:val="0"/>
      <w:sz w:val="21"/>
      <w:szCs w:val="21"/>
    </w:rPr>
  </w:style>
  <w:style w:type="paragraph" w:customStyle="1" w:styleId="2362">
    <w:name w:val="表格内部"/>
    <w:basedOn w:val="1"/>
    <w:qFormat/>
    <w:uiPriority w:val="0"/>
    <w:pPr>
      <w:adjustRightInd w:val="0"/>
      <w:snapToGrid w:val="0"/>
      <w:spacing w:line="300" w:lineRule="auto"/>
      <w:jc w:val="center"/>
    </w:pPr>
    <w:rPr>
      <w:rFonts w:ascii="Arial" w:hAnsi="Arial" w:eastAsia="仿宋_GB2312" w:cs="Times New Roman"/>
      <w:szCs w:val="24"/>
    </w:rPr>
  </w:style>
  <w:style w:type="paragraph" w:customStyle="1" w:styleId="2363">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364">
    <w:name w:val="Char1 Char Char Char5"/>
    <w:basedOn w:val="1"/>
    <w:qFormat/>
    <w:uiPriority w:val="0"/>
    <w:rPr>
      <w:rFonts w:ascii="Times New Roman" w:hAnsi="Times New Roman" w:eastAsia="宋体" w:cs="Times New Roman"/>
      <w:szCs w:val="24"/>
    </w:rPr>
  </w:style>
  <w:style w:type="paragraph" w:customStyle="1" w:styleId="2365">
    <w:name w:val="报告标题2"/>
    <w:basedOn w:val="5"/>
    <w:qFormat/>
    <w:uiPriority w:val="0"/>
    <w:pPr>
      <w:keepNext w:val="0"/>
      <w:numPr>
        <w:ilvl w:val="0"/>
        <w:numId w:val="0"/>
      </w:numPr>
      <w:adjustRightInd/>
      <w:snapToGrid/>
      <w:spacing w:before="0" w:beforeAutospacing="0" w:line="240" w:lineRule="auto"/>
      <w:ind w:left="420" w:hanging="420"/>
      <w:jc w:val="center"/>
      <w:outlineLvl w:val="9"/>
    </w:pPr>
    <w:rPr>
      <w:rFonts w:ascii="方正书宋简体" w:hAnsi="Times New Roman" w:eastAsia="方正书宋简体" w:cs="Times New Roman"/>
      <w:bCs w:val="0"/>
      <w:sz w:val="21"/>
      <w:szCs w:val="24"/>
    </w:rPr>
  </w:style>
  <w:style w:type="paragraph" w:customStyle="1" w:styleId="2366">
    <w:name w:val="样式 仿宋_GB2312 四号"/>
    <w:basedOn w:val="1"/>
    <w:qFormat/>
    <w:uiPriority w:val="0"/>
    <w:pPr>
      <w:adjustRightInd w:val="0"/>
      <w:snapToGrid w:val="0"/>
      <w:spacing w:beforeLines="50" w:line="480" w:lineRule="exact"/>
      <w:ind w:firstLine="560" w:firstLineChars="200"/>
    </w:pPr>
    <w:rPr>
      <w:rFonts w:ascii="宋体" w:hAnsi="宋体" w:eastAsia="宋体" w:cs="Times New Roman"/>
      <w:kern w:val="0"/>
      <w:sz w:val="28"/>
      <w:szCs w:val="28"/>
    </w:rPr>
  </w:style>
  <w:style w:type="paragraph" w:customStyle="1" w:styleId="2367">
    <w:name w:val="Char7"/>
    <w:basedOn w:val="1"/>
    <w:next w:val="1654"/>
    <w:qFormat/>
    <w:uiPriority w:val="0"/>
    <w:pPr>
      <w:spacing w:line="360" w:lineRule="auto"/>
      <w:ind w:firstLine="480" w:firstLineChars="200"/>
    </w:pPr>
    <w:rPr>
      <w:rFonts w:ascii="Times New Roman" w:hAnsi="Times New Roman" w:eastAsia="宋体" w:cs="Times New Roman"/>
      <w:kern w:val="0"/>
      <w:sz w:val="24"/>
      <w:szCs w:val="24"/>
    </w:rPr>
  </w:style>
  <w:style w:type="paragraph" w:customStyle="1" w:styleId="2368">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2"/>
      <w:szCs w:val="22"/>
    </w:rPr>
  </w:style>
  <w:style w:type="paragraph" w:customStyle="1" w:styleId="2369">
    <w:name w:val="样式64"/>
    <w:basedOn w:val="2277"/>
    <w:qFormat/>
    <w:uiPriority w:val="0"/>
    <w:pPr>
      <w:keepNext w:val="0"/>
      <w:keepLines w:val="0"/>
      <w:widowControl/>
      <w:spacing w:line="480" w:lineRule="exact"/>
      <w:ind w:left="-140" w:right="31" w:firstLine="450" w:firstLineChars="150"/>
    </w:pPr>
  </w:style>
  <w:style w:type="paragraph" w:customStyle="1" w:styleId="2370">
    <w:name w:val="标题 4环保 + 段前: 0.3 行"/>
    <w:basedOn w:val="7"/>
    <w:next w:val="1"/>
    <w:qFormat/>
    <w:uiPriority w:val="0"/>
    <w:pPr>
      <w:keepNext w:val="0"/>
      <w:numPr>
        <w:ilvl w:val="0"/>
        <w:numId w:val="0"/>
      </w:numPr>
      <w:tabs>
        <w:tab w:val="left" w:pos="780"/>
      </w:tabs>
      <w:adjustRightInd/>
      <w:snapToGrid/>
      <w:spacing w:before="280" w:beforeLines="30" w:beforeAutospacing="0" w:line="300" w:lineRule="auto"/>
      <w:ind w:left="780" w:leftChars="200" w:hanging="360" w:hangingChars="200"/>
      <w:jc w:val="both"/>
    </w:pPr>
    <w:rPr>
      <w:rFonts w:ascii="Times New Roman" w:hAnsi="Times New Roman" w:eastAsia="黑体" w:cs="宋体"/>
      <w:b w:val="0"/>
      <w:bCs w:val="0"/>
      <w:kern w:val="0"/>
      <w:szCs w:val="20"/>
    </w:rPr>
  </w:style>
  <w:style w:type="paragraph" w:customStyle="1" w:styleId="2371">
    <w:name w:val="图表内文字"/>
    <w:basedOn w:val="1"/>
    <w:next w:val="1"/>
    <w:qFormat/>
    <w:uiPriority w:val="0"/>
    <w:pPr>
      <w:adjustRightInd w:val="0"/>
      <w:snapToGrid w:val="0"/>
      <w:spacing w:line="240" w:lineRule="atLeast"/>
      <w:jc w:val="center"/>
    </w:pPr>
    <w:rPr>
      <w:rFonts w:ascii="黑体" w:hAnsi="Times New Roman" w:eastAsia="宋体" w:cs="Times New Roman"/>
    </w:rPr>
  </w:style>
  <w:style w:type="paragraph" w:customStyle="1" w:styleId="2372">
    <w:name w:val="图表内文字（居中）"/>
    <w:basedOn w:val="1"/>
    <w:qFormat/>
    <w:uiPriority w:val="0"/>
    <w:pPr>
      <w:widowControl/>
      <w:adjustRightInd w:val="0"/>
      <w:snapToGrid w:val="0"/>
      <w:jc w:val="center"/>
    </w:pPr>
    <w:rPr>
      <w:rFonts w:ascii="宋体" w:hAnsi="宋体" w:eastAsia="宋体" w:cs="Times New Roman"/>
      <w:szCs w:val="24"/>
    </w:rPr>
  </w:style>
  <w:style w:type="paragraph" w:customStyle="1" w:styleId="2373">
    <w:name w:val="目录二级"/>
    <w:basedOn w:val="1"/>
    <w:qFormat/>
    <w:uiPriority w:val="0"/>
    <w:pPr>
      <w:widowControl/>
      <w:spacing w:line="480" w:lineRule="exact"/>
      <w:jc w:val="center"/>
    </w:pPr>
    <w:rPr>
      <w:rFonts w:ascii="Times New Roman" w:hAnsi="Times New Roman" w:eastAsia="宋体" w:cs="Times New Roman"/>
      <w:bCs/>
    </w:rPr>
  </w:style>
  <w:style w:type="paragraph" w:customStyle="1" w:styleId="2374">
    <w:name w:val="正文六级标题"/>
    <w:basedOn w:val="1"/>
    <w:qFormat/>
    <w:uiPriority w:val="0"/>
    <w:pPr>
      <w:spacing w:line="480" w:lineRule="exact"/>
      <w:ind w:firstLine="200" w:firstLineChars="200"/>
      <w:outlineLvl w:val="5"/>
    </w:pPr>
    <w:rPr>
      <w:rFonts w:ascii="Times New Roman" w:hAnsi="Times New Roman" w:eastAsia="宋体" w:cs="Times New Roman"/>
      <w:b/>
      <w:sz w:val="28"/>
      <w:szCs w:val="24"/>
    </w:rPr>
  </w:style>
  <w:style w:type="paragraph" w:customStyle="1" w:styleId="2375">
    <w:name w:val="5正文"/>
    <w:basedOn w:val="1"/>
    <w:qFormat/>
    <w:uiPriority w:val="0"/>
    <w:pPr>
      <w:widowControl/>
      <w:snapToGrid w:val="0"/>
      <w:spacing w:line="400" w:lineRule="exact"/>
      <w:ind w:firstLine="200" w:firstLineChars="200"/>
      <w:jc w:val="left"/>
    </w:pPr>
    <w:rPr>
      <w:rFonts w:ascii="宋体" w:hAnsi="宋体" w:eastAsia="宋体" w:cs="宋体"/>
      <w:color w:val="000000"/>
      <w:kern w:val="0"/>
      <w:sz w:val="24"/>
      <w:szCs w:val="18"/>
    </w:rPr>
  </w:style>
  <w:style w:type="paragraph" w:customStyle="1" w:styleId="2376">
    <w:name w:val="样式 四号 首行缩进:  2 字符 字符缩放: 90% 行距: 固定值 28 磅"/>
    <w:basedOn w:val="1"/>
    <w:qFormat/>
    <w:uiPriority w:val="0"/>
    <w:pPr>
      <w:spacing w:line="480" w:lineRule="exact"/>
      <w:ind w:firstLine="200" w:firstLineChars="200"/>
    </w:pPr>
    <w:rPr>
      <w:rFonts w:ascii="Times New Roman" w:hAnsi="Times New Roman" w:eastAsia="方正书宋简体" w:cs="Times New Roman"/>
      <w:w w:val="90"/>
      <w:sz w:val="28"/>
      <w:szCs w:val="20"/>
    </w:rPr>
  </w:style>
  <w:style w:type="paragraph" w:customStyle="1" w:styleId="2377">
    <w:name w:val="样式 标题 4标题 4 Char + 宋体 段前: 5 磅 段后: 5 磅 行距: 1.5 倍行距"/>
    <w:basedOn w:val="7"/>
    <w:qFormat/>
    <w:uiPriority w:val="0"/>
    <w:pPr>
      <w:keepLines/>
      <w:numPr>
        <w:ilvl w:val="0"/>
        <w:numId w:val="0"/>
      </w:numPr>
      <w:spacing w:before="0" w:beforeAutospacing="0"/>
      <w:jc w:val="both"/>
    </w:pPr>
    <w:rPr>
      <w:rFonts w:ascii="Times New Roman" w:hAnsi="Times New Roman" w:cs="Times New Roman"/>
      <w:b w:val="0"/>
      <w:sz w:val="28"/>
      <w:szCs w:val="20"/>
    </w:rPr>
  </w:style>
  <w:style w:type="paragraph" w:customStyle="1" w:styleId="2378">
    <w:name w:val="样式37"/>
    <w:basedOn w:val="21"/>
    <w:qFormat/>
    <w:uiPriority w:val="0"/>
    <w:pPr>
      <w:widowControl w:val="0"/>
      <w:spacing w:line="480" w:lineRule="exact"/>
      <w:ind w:firstLine="560" w:firstLineChars="200"/>
      <w:jc w:val="both"/>
    </w:pPr>
    <w:rPr>
      <w:rFonts w:ascii="Times New Roman" w:hAnsi="Times New Roman"/>
      <w:kern w:val="2"/>
      <w:szCs w:val="28"/>
    </w:rPr>
  </w:style>
  <w:style w:type="paragraph" w:customStyle="1" w:styleId="2379">
    <w:name w:val="样式正文"/>
    <w:basedOn w:val="2270"/>
    <w:qFormat/>
    <w:uiPriority w:val="0"/>
    <w:pPr>
      <w:spacing w:line="360" w:lineRule="auto"/>
      <w:ind w:firstLine="624"/>
    </w:pPr>
  </w:style>
  <w:style w:type="paragraph" w:customStyle="1" w:styleId="2380">
    <w:name w:val="xl285"/>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381">
    <w:name w:val="5正文 + 两端对齐"/>
    <w:basedOn w:val="1"/>
    <w:qFormat/>
    <w:uiPriority w:val="0"/>
    <w:pPr>
      <w:widowControl/>
      <w:snapToGrid w:val="0"/>
      <w:spacing w:line="480" w:lineRule="exact"/>
      <w:ind w:firstLine="200" w:firstLineChars="200"/>
    </w:pPr>
    <w:rPr>
      <w:rFonts w:ascii="宋体" w:hAnsi="宋体" w:eastAsia="宋体" w:cs="宋体"/>
      <w:color w:val="000000"/>
      <w:kern w:val="0"/>
      <w:sz w:val="24"/>
      <w:szCs w:val="18"/>
    </w:rPr>
  </w:style>
  <w:style w:type="paragraph" w:customStyle="1" w:styleId="2382">
    <w:name w:val="样式28"/>
    <w:basedOn w:val="2193"/>
    <w:qFormat/>
    <w:uiPriority w:val="0"/>
    <w:pPr>
      <w:spacing w:line="500" w:lineRule="exact"/>
      <w:ind w:firstLine="560" w:firstLineChars="200"/>
    </w:pPr>
  </w:style>
  <w:style w:type="paragraph" w:customStyle="1" w:styleId="2383">
    <w:name w:val="样式88"/>
    <w:basedOn w:val="2221"/>
    <w:qFormat/>
    <w:uiPriority w:val="0"/>
    <w:pPr>
      <w:spacing w:before="0" w:after="0"/>
      <w:ind w:firstLine="560" w:firstLineChars="200"/>
    </w:pPr>
    <w:rPr>
      <w:rFonts w:eastAsia="仿宋_GB2312"/>
      <w:bCs w:val="0"/>
    </w:rPr>
  </w:style>
  <w:style w:type="paragraph" w:customStyle="1" w:styleId="2384">
    <w:name w:val="xl283"/>
    <w:basedOn w:val="1"/>
    <w:qFormat/>
    <w:uiPriority w:val="0"/>
    <w:pPr>
      <w:widowControl/>
      <w:pBdr>
        <w:top w:val="single" w:color="auto" w:sz="4" w:space="0"/>
        <w:left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385">
    <w:name w:val="xl296"/>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left"/>
    </w:pPr>
    <w:rPr>
      <w:rFonts w:ascii="方正综艺简体" w:hAnsi="宋体" w:eastAsia="方正综艺简体" w:cs="宋体"/>
      <w:color w:val="000000"/>
      <w:kern w:val="0"/>
      <w:sz w:val="20"/>
      <w:szCs w:val="20"/>
    </w:rPr>
  </w:style>
  <w:style w:type="paragraph" w:customStyle="1" w:styleId="2386">
    <w:name w:val="样式71"/>
    <w:basedOn w:val="1"/>
    <w:qFormat/>
    <w:uiPriority w:val="0"/>
    <w:pPr>
      <w:adjustRightInd w:val="0"/>
      <w:snapToGrid w:val="0"/>
      <w:spacing w:line="480" w:lineRule="exact"/>
      <w:ind w:firstLine="560" w:firstLineChars="200"/>
    </w:pPr>
    <w:rPr>
      <w:rFonts w:ascii="宋体" w:hAnsi="宋体" w:eastAsia="宋体" w:cs="Times New Roman"/>
      <w:snapToGrid w:val="0"/>
      <w:color w:val="FF0000"/>
      <w:kern w:val="0"/>
      <w:sz w:val="28"/>
      <w:szCs w:val="28"/>
    </w:rPr>
  </w:style>
  <w:style w:type="paragraph" w:customStyle="1" w:styleId="2387">
    <w:name w:val="样式 标题 1一级标题(章)标题 1 Char封皮名1h11st levelSection Headl1my标..."/>
    <w:basedOn w:val="3"/>
    <w:qFormat/>
    <w:uiPriority w:val="0"/>
    <w:pPr>
      <w:keepNext/>
      <w:keepLines/>
      <w:spacing w:before="360" w:beforeAutospacing="0" w:after="240" w:line="240" w:lineRule="auto"/>
      <w:ind w:left="420" w:hanging="420"/>
      <w:jc w:val="center"/>
    </w:pPr>
    <w:rPr>
      <w:rFonts w:ascii="Times New Roman" w:eastAsia="宋体" w:cs="宋体"/>
      <w:sz w:val="36"/>
      <w:szCs w:val="20"/>
    </w:rPr>
  </w:style>
  <w:style w:type="paragraph" w:customStyle="1" w:styleId="2388">
    <w:name w:val="xl254"/>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389">
    <w:name w:val="xl14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rPr>
  </w:style>
  <w:style w:type="paragraph" w:customStyle="1" w:styleId="2390">
    <w:name w:val="xl142"/>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kern w:val="0"/>
      <w:sz w:val="22"/>
      <w:szCs w:val="22"/>
    </w:rPr>
  </w:style>
  <w:style w:type="paragraph" w:customStyle="1" w:styleId="2391">
    <w:name w:val="xl267"/>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392">
    <w:name w:val="标题 1+"/>
    <w:basedOn w:val="3"/>
    <w:qFormat/>
    <w:uiPriority w:val="0"/>
    <w:pPr>
      <w:keepNext/>
      <w:keepLines/>
      <w:spacing w:before="400" w:beforeAutospacing="0" w:after="240" w:line="480" w:lineRule="exact"/>
      <w:ind w:left="420" w:hanging="420"/>
      <w:jc w:val="center"/>
    </w:pPr>
    <w:rPr>
      <w:rFonts w:ascii="Times New Roman" w:eastAsia="楷体_GB2312" w:cs="Times New Roman"/>
      <w:bCs/>
      <w:sz w:val="36"/>
      <w:szCs w:val="36"/>
    </w:rPr>
  </w:style>
  <w:style w:type="paragraph" w:customStyle="1" w:styleId="2393">
    <w:name w:val="正文表格内容"/>
    <w:basedOn w:val="1"/>
    <w:qFormat/>
    <w:uiPriority w:val="0"/>
    <w:pPr>
      <w:jc w:val="center"/>
    </w:pPr>
    <w:rPr>
      <w:rFonts w:ascii="Times New Roman" w:hAnsi="Times New Roman" w:eastAsia="宋体" w:cs="Times New Roman"/>
      <w:szCs w:val="24"/>
    </w:rPr>
  </w:style>
  <w:style w:type="paragraph" w:customStyle="1" w:styleId="2394">
    <w:name w:val="表格文字两端对齐"/>
    <w:basedOn w:val="1"/>
    <w:qFormat/>
    <w:uiPriority w:val="0"/>
    <w:pPr>
      <w:spacing w:line="300" w:lineRule="auto"/>
    </w:pPr>
    <w:rPr>
      <w:rFonts w:ascii="Times New Roman" w:hAnsi="Times New Roman" w:eastAsia="宋体" w:cs="Times New Roman"/>
      <w:szCs w:val="24"/>
    </w:rPr>
  </w:style>
  <w:style w:type="paragraph" w:customStyle="1" w:styleId="2395">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333399"/>
      <w:kern w:val="0"/>
      <w:sz w:val="20"/>
      <w:szCs w:val="20"/>
    </w:rPr>
  </w:style>
  <w:style w:type="paragraph" w:customStyle="1" w:styleId="2396">
    <w:name w:val="xl141"/>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eastAsia="宋体" w:cs="宋体"/>
      <w:b/>
      <w:bCs/>
      <w:kern w:val="0"/>
      <w:sz w:val="22"/>
      <w:szCs w:val="22"/>
    </w:rPr>
  </w:style>
  <w:style w:type="paragraph" w:customStyle="1" w:styleId="2397">
    <w:name w:val="xl27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color w:val="FF0000"/>
      <w:kern w:val="0"/>
      <w:sz w:val="20"/>
      <w:szCs w:val="20"/>
    </w:rPr>
  </w:style>
  <w:style w:type="paragraph" w:customStyle="1" w:styleId="2398">
    <w:name w:val="xl164"/>
    <w:basedOn w:val="1"/>
    <w:qFormat/>
    <w:uiPriority w:val="0"/>
    <w:pPr>
      <w:widowControl/>
      <w:shd w:val="clear" w:color="auto" w:fill="FFFFFF"/>
      <w:spacing w:before="100" w:beforeAutospacing="1" w:after="100" w:afterAutospacing="1"/>
      <w:jc w:val="left"/>
    </w:pPr>
    <w:rPr>
      <w:rFonts w:ascii="宋体" w:hAnsi="宋体" w:eastAsia="宋体" w:cs="宋体"/>
      <w:color w:val="000000"/>
      <w:kern w:val="0"/>
      <w:sz w:val="20"/>
      <w:szCs w:val="20"/>
    </w:rPr>
  </w:style>
  <w:style w:type="paragraph" w:customStyle="1" w:styleId="2399">
    <w:name w:val="样式66"/>
    <w:basedOn w:val="21"/>
    <w:qFormat/>
    <w:uiPriority w:val="0"/>
    <w:pPr>
      <w:widowControl w:val="0"/>
      <w:spacing w:line="480" w:lineRule="exact"/>
      <w:ind w:left="-140" w:right="31" w:firstLine="560" w:firstLineChars="200"/>
      <w:jc w:val="both"/>
    </w:pPr>
    <w:rPr>
      <w:rFonts w:ascii="Times New Roman" w:hAnsi="宋体"/>
      <w:kern w:val="2"/>
      <w:szCs w:val="28"/>
    </w:rPr>
  </w:style>
  <w:style w:type="paragraph" w:customStyle="1" w:styleId="2400">
    <w:name w:val="样式 样式 标题 1 + 黑体 二号 段前: 20 磅 段后: 20 磅 行距: 固定值 28 磅 + 非加粗 段前: 1 行..."/>
    <w:basedOn w:val="1"/>
    <w:qFormat/>
    <w:uiPriority w:val="0"/>
    <w:pPr>
      <w:keepNext/>
      <w:adjustRightInd w:val="0"/>
      <w:snapToGrid w:val="0"/>
      <w:spacing w:beforeLines="100" w:afterLines="100" w:line="480" w:lineRule="auto"/>
      <w:jc w:val="center"/>
      <w:outlineLvl w:val="0"/>
    </w:pPr>
    <w:rPr>
      <w:rFonts w:ascii="黑体" w:hAnsi="黑体" w:eastAsia="黑体" w:cs="宋体"/>
      <w:sz w:val="44"/>
      <w:szCs w:val="20"/>
    </w:rPr>
  </w:style>
  <w:style w:type="paragraph" w:customStyle="1" w:styleId="2401">
    <w:name w:val="格式"/>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402">
    <w:name w:val="Char1 Char Char Char2"/>
    <w:basedOn w:val="1"/>
    <w:qFormat/>
    <w:uiPriority w:val="0"/>
    <w:rPr>
      <w:rFonts w:ascii="Times New Roman" w:hAnsi="Times New Roman" w:eastAsia="宋体" w:cs="Times New Roman"/>
      <w:szCs w:val="28"/>
    </w:rPr>
  </w:style>
  <w:style w:type="paragraph" w:customStyle="1" w:styleId="2403">
    <w:name w:val="样式73"/>
    <w:basedOn w:val="1"/>
    <w:qFormat/>
    <w:uiPriority w:val="0"/>
    <w:pPr>
      <w:adjustRightInd w:val="0"/>
      <w:snapToGrid w:val="0"/>
      <w:spacing w:line="480" w:lineRule="exact"/>
      <w:ind w:firstLine="560" w:firstLineChars="200"/>
    </w:pPr>
    <w:rPr>
      <w:rFonts w:ascii="宋体" w:hAnsi="宋体" w:eastAsia="宋体" w:cs="Times New Roman"/>
      <w:snapToGrid w:val="0"/>
      <w:color w:val="FF0000"/>
      <w:kern w:val="0"/>
      <w:sz w:val="28"/>
      <w:szCs w:val="28"/>
    </w:rPr>
  </w:style>
  <w:style w:type="paragraph" w:customStyle="1" w:styleId="2404">
    <w:name w:val="样式83"/>
    <w:basedOn w:val="2277"/>
    <w:qFormat/>
    <w:uiPriority w:val="0"/>
    <w:pPr>
      <w:keepNext w:val="0"/>
      <w:keepLines w:val="0"/>
      <w:widowControl/>
      <w:spacing w:line="480" w:lineRule="exact"/>
      <w:ind w:firstLine="450" w:firstLineChars="150"/>
    </w:pPr>
  </w:style>
  <w:style w:type="paragraph" w:customStyle="1" w:styleId="2405">
    <w:name w:val="样式68"/>
    <w:basedOn w:val="1"/>
    <w:qFormat/>
    <w:uiPriority w:val="0"/>
    <w:pPr>
      <w:adjustRightInd w:val="0"/>
      <w:snapToGrid w:val="0"/>
      <w:spacing w:line="480" w:lineRule="exact"/>
      <w:ind w:firstLine="560" w:firstLineChars="200"/>
    </w:pPr>
    <w:rPr>
      <w:rFonts w:ascii="宋体" w:hAnsi="宋体" w:eastAsia="宋体" w:cs="Times New Roman"/>
      <w:snapToGrid w:val="0"/>
      <w:color w:val="FF0000"/>
      <w:kern w:val="0"/>
      <w:sz w:val="28"/>
      <w:szCs w:val="28"/>
    </w:rPr>
  </w:style>
  <w:style w:type="paragraph" w:customStyle="1" w:styleId="2406">
    <w:name w:val="索引 91"/>
    <w:basedOn w:val="1"/>
    <w:next w:val="1"/>
    <w:qFormat/>
    <w:uiPriority w:val="0"/>
    <w:pPr>
      <w:ind w:left="1600" w:leftChars="1600"/>
    </w:pPr>
    <w:rPr>
      <w:rFonts w:ascii="Times New Roman" w:hAnsi="Times New Roman" w:eastAsia="宋体" w:cs="Times New Roman"/>
      <w:szCs w:val="24"/>
    </w:rPr>
  </w:style>
  <w:style w:type="paragraph" w:customStyle="1" w:styleId="2407">
    <w:name w:val="reader-word-layer reader-word-s11-1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08">
    <w:name w:val="样式53"/>
    <w:basedOn w:val="247"/>
    <w:qFormat/>
    <w:uiPriority w:val="0"/>
    <w:pPr>
      <w:adjustRightInd w:val="0"/>
      <w:spacing w:line="240" w:lineRule="exact"/>
      <w:ind w:left="-140" w:leftChars="-50" w:right="-140" w:rightChars="-50" w:firstLine="0"/>
    </w:pPr>
    <w:rPr>
      <w:rFonts w:ascii="Times New Roman" w:hAnsi="Times New Roman" w:eastAsia="宋体"/>
      <w:color w:val="000000"/>
      <w:kern w:val="0"/>
      <w:szCs w:val="28"/>
    </w:rPr>
  </w:style>
  <w:style w:type="paragraph" w:customStyle="1" w:styleId="2409">
    <w:name w:val="样式79"/>
    <w:basedOn w:val="2320"/>
    <w:qFormat/>
    <w:uiPriority w:val="0"/>
    <w:pPr>
      <w:ind w:firstLine="562"/>
    </w:pPr>
    <w:rPr>
      <w:rFonts w:hAnsi="宋体"/>
      <w:b/>
      <w:bCs/>
      <w:sz w:val="28"/>
      <w:szCs w:val="28"/>
    </w:rPr>
  </w:style>
  <w:style w:type="paragraph" w:customStyle="1" w:styleId="2410">
    <w:name w:val="xl1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rPr>
  </w:style>
  <w:style w:type="paragraph" w:customStyle="1" w:styleId="2411">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Times New Roman" w:hAnsi="Times New Roman" w:eastAsia="宋体" w:cs="Times New Roman"/>
      <w:b/>
      <w:bCs/>
      <w:kern w:val="0"/>
    </w:rPr>
  </w:style>
  <w:style w:type="paragraph" w:customStyle="1" w:styleId="2412">
    <w:name w:val="样式89"/>
    <w:basedOn w:val="1"/>
    <w:qFormat/>
    <w:uiPriority w:val="0"/>
    <w:pPr>
      <w:adjustRightInd w:val="0"/>
      <w:snapToGrid w:val="0"/>
      <w:spacing w:line="480" w:lineRule="exact"/>
      <w:ind w:firstLine="560" w:firstLineChars="200"/>
    </w:pPr>
    <w:rPr>
      <w:rFonts w:ascii="宋体" w:hAnsi="宋体" w:eastAsia="宋体" w:cs="宋体"/>
      <w:snapToGrid w:val="0"/>
      <w:kern w:val="0"/>
      <w:sz w:val="28"/>
      <w:szCs w:val="28"/>
    </w:rPr>
  </w:style>
  <w:style w:type="paragraph" w:customStyle="1" w:styleId="2413">
    <w:name w:val="样式59"/>
    <w:basedOn w:val="249"/>
    <w:qFormat/>
    <w:uiPriority w:val="0"/>
    <w:pPr>
      <w:spacing w:line="480" w:lineRule="exact"/>
      <w:ind w:left="-140" w:leftChars="-6" w:right="31" w:hanging="8" w:hangingChars="8"/>
    </w:pPr>
    <w:rPr>
      <w:rFonts w:ascii="方正黑体简体" w:eastAsia="方正黑体简体"/>
      <w:sz w:val="30"/>
    </w:rPr>
  </w:style>
  <w:style w:type="paragraph" w:customStyle="1" w:styleId="2414">
    <w:name w:val="样式72"/>
    <w:basedOn w:val="1"/>
    <w:qFormat/>
    <w:uiPriority w:val="0"/>
    <w:pPr>
      <w:adjustRightInd w:val="0"/>
      <w:snapToGrid w:val="0"/>
      <w:spacing w:line="480" w:lineRule="exact"/>
      <w:ind w:firstLine="560" w:firstLineChars="200"/>
    </w:pPr>
    <w:rPr>
      <w:rFonts w:ascii="宋体" w:hAnsi="宋体" w:eastAsia="宋体" w:cs="Times New Roman"/>
      <w:snapToGrid w:val="0"/>
      <w:color w:val="FF0000"/>
      <w:kern w:val="0"/>
      <w:sz w:val="28"/>
      <w:szCs w:val="28"/>
    </w:rPr>
  </w:style>
  <w:style w:type="paragraph" w:customStyle="1" w:styleId="2415">
    <w:name w:val="正文首行缩进 22"/>
    <w:basedOn w:val="432"/>
    <w:qFormat/>
    <w:uiPriority w:val="0"/>
    <w:pPr>
      <w:spacing w:after="120"/>
      <w:ind w:left="420" w:firstLine="420"/>
    </w:pPr>
  </w:style>
  <w:style w:type="paragraph" w:customStyle="1" w:styleId="2416">
    <w:name w:val="样式25"/>
    <w:basedOn w:val="1"/>
    <w:qFormat/>
    <w:uiPriority w:val="0"/>
    <w:pPr>
      <w:adjustRightInd w:val="0"/>
      <w:snapToGrid w:val="0"/>
      <w:spacing w:line="500" w:lineRule="exact"/>
      <w:ind w:firstLine="560" w:firstLineChars="200"/>
    </w:pPr>
    <w:rPr>
      <w:rFonts w:ascii="Times New Roman" w:hAnsi="Times New Roman" w:eastAsia="宋体" w:cs="Times New Roman"/>
      <w:snapToGrid w:val="0"/>
      <w:kern w:val="0"/>
      <w:sz w:val="28"/>
      <w:szCs w:val="28"/>
    </w:rPr>
  </w:style>
  <w:style w:type="paragraph" w:customStyle="1" w:styleId="2417">
    <w:name w:val="xl195"/>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color w:val="000000"/>
      <w:kern w:val="0"/>
      <w:sz w:val="20"/>
      <w:szCs w:val="20"/>
    </w:rPr>
  </w:style>
  <w:style w:type="paragraph" w:customStyle="1" w:styleId="2418">
    <w:name w:val="样式43"/>
    <w:basedOn w:val="1"/>
    <w:qFormat/>
    <w:uiPriority w:val="0"/>
    <w:pPr>
      <w:adjustRightInd w:val="0"/>
      <w:snapToGrid w:val="0"/>
      <w:spacing w:line="480" w:lineRule="exact"/>
      <w:ind w:firstLine="560" w:firstLineChars="200"/>
    </w:pPr>
    <w:rPr>
      <w:rFonts w:ascii="Times New Roman" w:hAnsi="Times New Roman" w:eastAsia="宋体" w:cs="Times New Roman"/>
      <w:snapToGrid w:val="0"/>
      <w:kern w:val="0"/>
      <w:sz w:val="28"/>
      <w:szCs w:val="24"/>
    </w:rPr>
  </w:style>
  <w:style w:type="paragraph" w:customStyle="1" w:styleId="2419">
    <w:name w:val="样式 标题 1 + 黑体 二号 段前: 20 磅 段后: 20 磅 行距: 固定值 28 磅"/>
    <w:basedOn w:val="3"/>
    <w:qFormat/>
    <w:uiPriority w:val="0"/>
    <w:pPr>
      <w:keepNext/>
      <w:spacing w:before="340" w:beforeLines="100" w:beforeAutospacing="0" w:after="330" w:afterLines="100" w:line="480" w:lineRule="auto"/>
      <w:ind w:left="420" w:hanging="420"/>
      <w:jc w:val="center"/>
    </w:pPr>
    <w:rPr>
      <w:rFonts w:hAnsi="黑体" w:cs="宋体"/>
      <w:b w:val="0"/>
      <w:bCs/>
      <w:kern w:val="2"/>
      <w:sz w:val="44"/>
      <w:szCs w:val="20"/>
    </w:rPr>
  </w:style>
  <w:style w:type="paragraph" w:customStyle="1" w:styleId="2420">
    <w:name w:val="样式69"/>
    <w:basedOn w:val="1"/>
    <w:qFormat/>
    <w:uiPriority w:val="0"/>
    <w:pPr>
      <w:adjustRightInd w:val="0"/>
      <w:snapToGrid w:val="0"/>
      <w:spacing w:line="480" w:lineRule="exact"/>
      <w:ind w:firstLine="560" w:firstLineChars="200"/>
    </w:pPr>
    <w:rPr>
      <w:rFonts w:ascii="宋体" w:hAnsi="宋体" w:eastAsia="宋体" w:cs="Times New Roman"/>
      <w:snapToGrid w:val="0"/>
      <w:color w:val="FF0000"/>
      <w:kern w:val="0"/>
      <w:sz w:val="28"/>
      <w:szCs w:val="28"/>
    </w:rPr>
  </w:style>
  <w:style w:type="paragraph" w:customStyle="1" w:styleId="2421">
    <w:name w:val="标题1T"/>
    <w:next w:val="3"/>
    <w:qFormat/>
    <w:uiPriority w:val="0"/>
    <w:pPr>
      <w:spacing w:beforeLines="100" w:afterLines="100" w:line="480" w:lineRule="exact"/>
      <w:jc w:val="center"/>
    </w:pPr>
    <w:rPr>
      <w:rFonts w:ascii="Times New Roman" w:hAnsi="Times New Roman" w:eastAsia="楷体_GB2312" w:cs="Times New Roman"/>
      <w:kern w:val="2"/>
      <w:sz w:val="32"/>
      <w:szCs w:val="32"/>
      <w:lang w:val="en-US" w:eastAsia="zh-CN" w:bidi="ar-SA"/>
    </w:rPr>
  </w:style>
  <w:style w:type="paragraph" w:customStyle="1" w:styleId="2422">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423">
    <w:name w:val="正文五级标题"/>
    <w:basedOn w:val="1"/>
    <w:qFormat/>
    <w:uiPriority w:val="0"/>
    <w:pPr>
      <w:spacing w:line="480" w:lineRule="exact"/>
      <w:ind w:firstLine="200" w:firstLineChars="200"/>
      <w:outlineLvl w:val="4"/>
    </w:pPr>
    <w:rPr>
      <w:rFonts w:ascii="Times New Roman" w:hAnsi="Times New Roman" w:eastAsia="仿宋_GB2312" w:cs="Times New Roman"/>
      <w:b/>
      <w:sz w:val="30"/>
      <w:szCs w:val="24"/>
    </w:rPr>
  </w:style>
  <w:style w:type="paragraph" w:customStyle="1" w:styleId="2424">
    <w:name w:val="正文一级"/>
    <w:qFormat/>
    <w:uiPriority w:val="0"/>
    <w:pPr>
      <w:tabs>
        <w:tab w:val="left" w:pos="200"/>
      </w:tabs>
      <w:spacing w:before="360" w:after="240"/>
      <w:ind w:left="200"/>
      <w:jc w:val="center"/>
      <w:outlineLvl w:val="0"/>
    </w:pPr>
    <w:rPr>
      <w:rFonts w:ascii="Times New Roman" w:hAnsi="Times New Roman" w:eastAsia="黑体" w:cs="Times New Roman"/>
      <w:bCs/>
      <w:kern w:val="44"/>
      <w:sz w:val="36"/>
      <w:szCs w:val="36"/>
      <w:lang w:val="en-US" w:eastAsia="zh-CN" w:bidi="ar-SA"/>
    </w:rPr>
  </w:style>
  <w:style w:type="paragraph" w:customStyle="1" w:styleId="2425">
    <w:name w:val="注"/>
    <w:basedOn w:val="1"/>
    <w:qFormat/>
    <w:uiPriority w:val="0"/>
    <w:pPr>
      <w:ind w:firstLine="57"/>
    </w:pPr>
    <w:rPr>
      <w:rFonts w:ascii="宋体" w:hAnsi="Times New Roman" w:eastAsia="宋体" w:cs="Times New Roman"/>
      <w:szCs w:val="20"/>
    </w:rPr>
  </w:style>
  <w:style w:type="paragraph" w:customStyle="1" w:styleId="2426">
    <w:name w:val="正文+"/>
    <w:basedOn w:val="1"/>
    <w:qFormat/>
    <w:uiPriority w:val="0"/>
    <w:pPr>
      <w:widowControl/>
      <w:adjustRightInd w:val="0"/>
      <w:snapToGrid w:val="0"/>
      <w:spacing w:line="480" w:lineRule="exact"/>
      <w:ind w:firstLine="560" w:firstLineChars="200"/>
      <w:jc w:val="left"/>
    </w:pPr>
    <w:rPr>
      <w:rFonts w:ascii="宋体" w:hAnsi="宋体" w:eastAsia="宋体" w:cs="宋体"/>
      <w:snapToGrid w:val="0"/>
      <w:kern w:val="0"/>
      <w:sz w:val="28"/>
      <w:szCs w:val="20"/>
    </w:rPr>
  </w:style>
  <w:style w:type="paragraph" w:customStyle="1" w:styleId="2427">
    <w:name w:val="样式39"/>
    <w:basedOn w:val="247"/>
    <w:qFormat/>
    <w:uiPriority w:val="0"/>
    <w:pPr>
      <w:adjustRightInd w:val="0"/>
      <w:spacing w:line="300" w:lineRule="exact"/>
      <w:ind w:left="-140" w:leftChars="-50" w:right="-140" w:rightChars="-50" w:firstLine="0"/>
    </w:pPr>
    <w:rPr>
      <w:rFonts w:ascii="Times New Roman" w:hAnsi="Times New Roman" w:eastAsia="宋体"/>
      <w:color w:val="000000"/>
      <w:kern w:val="0"/>
      <w:szCs w:val="28"/>
    </w:rPr>
  </w:style>
  <w:style w:type="paragraph" w:customStyle="1" w:styleId="2428">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429">
    <w:name w:val="样式85"/>
    <w:basedOn w:val="1"/>
    <w:qFormat/>
    <w:uiPriority w:val="0"/>
    <w:pPr>
      <w:adjustRightInd w:val="0"/>
      <w:snapToGrid w:val="0"/>
      <w:spacing w:line="480" w:lineRule="exact"/>
      <w:ind w:firstLine="560" w:firstLineChars="200"/>
    </w:pPr>
    <w:rPr>
      <w:rFonts w:ascii="Times New Roman" w:hAnsi="Times New Roman" w:eastAsia="宋体" w:cs="Times New Roman"/>
      <w:snapToGrid w:val="0"/>
      <w:color w:val="000000"/>
      <w:kern w:val="0"/>
      <w:sz w:val="28"/>
    </w:rPr>
  </w:style>
  <w:style w:type="paragraph" w:customStyle="1" w:styleId="2430">
    <w:name w:val="xl2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431">
    <w:name w:val="正文文本缩进 33"/>
    <w:basedOn w:val="1"/>
    <w:qFormat/>
    <w:uiPriority w:val="0"/>
    <w:pPr>
      <w:spacing w:line="300" w:lineRule="auto"/>
      <w:ind w:firstLine="525"/>
    </w:pPr>
    <w:rPr>
      <w:rFonts w:ascii="Times New Roman" w:hAnsi="Times New Roman" w:eastAsia="宋体" w:cs="Times New Roman"/>
      <w:sz w:val="24"/>
      <w:szCs w:val="20"/>
    </w:rPr>
  </w:style>
  <w:style w:type="paragraph" w:customStyle="1" w:styleId="2432">
    <w:name w:val="xl31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kern w:val="0"/>
      <w:sz w:val="20"/>
      <w:szCs w:val="20"/>
    </w:rPr>
  </w:style>
  <w:style w:type="paragraph" w:customStyle="1" w:styleId="2433">
    <w:name w:val="样式42"/>
    <w:basedOn w:val="249"/>
    <w:qFormat/>
    <w:uiPriority w:val="0"/>
    <w:pPr>
      <w:spacing w:line="480" w:lineRule="exact"/>
      <w:ind w:left="-6" w:leftChars="-6" w:hanging="17" w:hangingChars="8"/>
    </w:pPr>
    <w:rPr>
      <w:rFonts w:ascii="方正黑体简体" w:eastAsia="方正黑体简体"/>
      <w:snapToGrid w:val="0"/>
      <w:sz w:val="30"/>
    </w:rPr>
  </w:style>
  <w:style w:type="paragraph" w:customStyle="1" w:styleId="2434">
    <w:name w:val="日期2"/>
    <w:basedOn w:val="1"/>
    <w:next w:val="1"/>
    <w:qFormat/>
    <w:uiPriority w:val="0"/>
    <w:rPr>
      <w:rFonts w:ascii="Times New Roman" w:hAnsi="Times New Roman" w:eastAsia="宋体" w:cs="Times New Roman"/>
      <w:szCs w:val="20"/>
    </w:rPr>
  </w:style>
  <w:style w:type="paragraph" w:customStyle="1" w:styleId="2435">
    <w:name w:val="正文题目"/>
    <w:basedOn w:val="1"/>
    <w:qFormat/>
    <w:uiPriority w:val="0"/>
    <w:pPr>
      <w:spacing w:beforeLines="50" w:afterLines="100" w:line="700" w:lineRule="exact"/>
      <w:jc w:val="center"/>
    </w:pPr>
    <w:rPr>
      <w:rFonts w:ascii="Times New Roman" w:hAnsi="Times New Roman" w:eastAsia="黑体" w:cs="Times New Roman"/>
      <w:sz w:val="44"/>
      <w:szCs w:val="24"/>
    </w:rPr>
  </w:style>
  <w:style w:type="paragraph" w:customStyle="1" w:styleId="2436">
    <w:name w:val="样式63"/>
    <w:basedOn w:val="2437"/>
    <w:qFormat/>
    <w:uiPriority w:val="0"/>
    <w:pPr>
      <w:spacing w:line="500" w:lineRule="exact"/>
      <w:ind w:left="0" w:leftChars="0" w:right="0" w:rightChars="0"/>
    </w:pPr>
    <w:rPr>
      <w:rFonts w:ascii="Times New Roman" w:hAnsi="Times New Roman" w:cs="Times New Roman"/>
      <w:color w:val="auto"/>
    </w:rPr>
  </w:style>
  <w:style w:type="paragraph" w:customStyle="1" w:styleId="2437">
    <w:name w:val="样式62"/>
    <w:basedOn w:val="1"/>
    <w:qFormat/>
    <w:uiPriority w:val="0"/>
    <w:pPr>
      <w:adjustRightInd w:val="0"/>
      <w:snapToGrid w:val="0"/>
      <w:spacing w:line="480" w:lineRule="exact"/>
      <w:ind w:left="140" w:leftChars="50" w:right="140" w:rightChars="50" w:firstLine="560" w:firstLineChars="200"/>
    </w:pPr>
    <w:rPr>
      <w:rFonts w:ascii="宋体" w:hAnsi="宋体" w:eastAsia="宋体" w:cs="宋体"/>
      <w:bCs/>
      <w:snapToGrid w:val="0"/>
      <w:color w:val="FF0000"/>
      <w:kern w:val="0"/>
      <w:sz w:val="28"/>
      <w:szCs w:val="28"/>
    </w:rPr>
  </w:style>
  <w:style w:type="paragraph" w:customStyle="1" w:styleId="2438">
    <w:name w:val="索引 31"/>
    <w:basedOn w:val="1"/>
    <w:next w:val="1"/>
    <w:qFormat/>
    <w:uiPriority w:val="0"/>
    <w:pPr>
      <w:spacing w:line="480" w:lineRule="exact"/>
      <w:ind w:left="400" w:leftChars="400"/>
    </w:pPr>
    <w:rPr>
      <w:rFonts w:ascii="Times New Roman" w:hAnsi="Times New Roman" w:eastAsia="宋体" w:cs="Times New Roman"/>
      <w:sz w:val="24"/>
      <w:szCs w:val="24"/>
    </w:rPr>
  </w:style>
  <w:style w:type="paragraph" w:customStyle="1" w:styleId="2439">
    <w:name w:val="设料表居中"/>
    <w:basedOn w:val="1"/>
    <w:qFormat/>
    <w:uiPriority w:val="0"/>
    <w:pPr>
      <w:adjustRightInd w:val="0"/>
      <w:ind w:left="-101" w:leftChars="-48"/>
      <w:jc w:val="center"/>
    </w:pPr>
    <w:rPr>
      <w:rFonts w:ascii="Times New Roman" w:hAnsi="Times New Roman" w:eastAsia="仿宋_GB2312" w:cs="Times New Roman"/>
      <w:sz w:val="18"/>
      <w:szCs w:val="20"/>
    </w:rPr>
  </w:style>
  <w:style w:type="paragraph" w:customStyle="1" w:styleId="2440">
    <w:name w:val="xl263"/>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441">
    <w:name w:val="正文四级"/>
    <w:basedOn w:val="1"/>
    <w:qFormat/>
    <w:uiPriority w:val="0"/>
    <w:pPr>
      <w:tabs>
        <w:tab w:val="left" w:pos="1022"/>
      </w:tabs>
      <w:ind w:left="1022" w:hanging="420"/>
      <w:jc w:val="left"/>
      <w:outlineLvl w:val="3"/>
    </w:pPr>
    <w:rPr>
      <w:rFonts w:ascii="Times New Roman" w:hAnsi="Times New Roman" w:eastAsia="宋体" w:cs="Times New Roman"/>
      <w:b/>
      <w:sz w:val="30"/>
      <w:szCs w:val="24"/>
    </w:rPr>
  </w:style>
  <w:style w:type="paragraph" w:customStyle="1" w:styleId="2442">
    <w:name w:val="Char Char Char Char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2443">
    <w:name w:val="Char Char Char Char Char Char Char Char Char Char Char Char Char Char Char Char Char Char Char Char Char Char1"/>
    <w:basedOn w:val="1"/>
    <w:qFormat/>
    <w:uiPriority w:val="0"/>
    <w:rPr>
      <w:rFonts w:ascii="Times New Roman" w:hAnsi="Times New Roman" w:eastAsia="宋体" w:cs="Times New Roman"/>
      <w:szCs w:val="24"/>
    </w:rPr>
  </w:style>
  <w:style w:type="paragraph" w:customStyle="1" w:styleId="2444">
    <w:name w:val="TOC 标题2"/>
    <w:basedOn w:val="3"/>
    <w:next w:val="1"/>
    <w:qFormat/>
    <w:uiPriority w:val="0"/>
    <w:pPr>
      <w:keepNext/>
      <w:keepLines/>
      <w:widowControl/>
      <w:adjustRightInd/>
      <w:snapToGrid/>
      <w:spacing w:before="480" w:beforeAutospacing="0" w:line="276" w:lineRule="auto"/>
      <w:ind w:left="420" w:hanging="420"/>
      <w:outlineLvl w:val="9"/>
    </w:pPr>
    <w:rPr>
      <w:rFonts w:ascii="Cambria" w:hAnsi="Cambria" w:eastAsia="宋体" w:cs="Times New Roman"/>
      <w:b w:val="0"/>
      <w:bCs/>
      <w:color w:val="365F91"/>
      <w:kern w:val="0"/>
      <w:sz w:val="28"/>
      <w:szCs w:val="28"/>
    </w:rPr>
  </w:style>
  <w:style w:type="paragraph" w:customStyle="1" w:styleId="2445">
    <w:name w:val="cucd-2"/>
    <w:next w:val="1"/>
    <w:qFormat/>
    <w:uiPriority w:val="0"/>
    <w:pPr>
      <w:tabs>
        <w:tab w:val="left" w:pos="567"/>
      </w:tabs>
      <w:spacing w:line="360" w:lineRule="auto"/>
      <w:ind w:left="567" w:hanging="567"/>
      <w:outlineLvl w:val="1"/>
    </w:pPr>
    <w:rPr>
      <w:rFonts w:ascii="Times New Roman" w:hAnsi="Times New Roman" w:eastAsia="黑体" w:cs="Times New Roman"/>
      <w:b/>
      <w:kern w:val="2"/>
      <w:sz w:val="30"/>
      <w:szCs w:val="24"/>
      <w:lang w:val="en-US" w:eastAsia="zh-CN" w:bidi="ar-SA"/>
    </w:rPr>
  </w:style>
  <w:style w:type="paragraph" w:customStyle="1" w:styleId="2446">
    <w:name w:val="样式52"/>
    <w:basedOn w:val="1"/>
    <w:qFormat/>
    <w:uiPriority w:val="0"/>
    <w:pPr>
      <w:adjustRightInd w:val="0"/>
      <w:snapToGrid w:val="0"/>
      <w:spacing w:line="480" w:lineRule="exact"/>
      <w:ind w:left="-140" w:right="31"/>
      <w:jc w:val="center"/>
    </w:pPr>
    <w:rPr>
      <w:rFonts w:ascii="Times New Roman" w:hAnsi="Times New Roman" w:eastAsia="宋体" w:cs="Times New Roman"/>
      <w:snapToGrid w:val="0"/>
      <w:kern w:val="0"/>
    </w:rPr>
  </w:style>
  <w:style w:type="paragraph" w:customStyle="1" w:styleId="2447">
    <w:name w:val="样式 zw + Times New Roman"/>
    <w:basedOn w:val="1"/>
    <w:qFormat/>
    <w:uiPriority w:val="0"/>
    <w:pPr>
      <w:snapToGrid w:val="0"/>
      <w:spacing w:line="300" w:lineRule="auto"/>
      <w:ind w:firstLine="200" w:firstLineChars="200"/>
    </w:pPr>
    <w:rPr>
      <w:rFonts w:ascii="Times New Roman" w:hAnsi="Times New Roman" w:eastAsia="楷体_GB2312" w:cs="Times New Roman"/>
      <w:sz w:val="28"/>
      <w:szCs w:val="20"/>
    </w:rPr>
  </w:style>
  <w:style w:type="paragraph" w:customStyle="1" w:styleId="2448">
    <w:name w:val="xl2141"/>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kern w:val="0"/>
      <w:sz w:val="24"/>
      <w:szCs w:val="24"/>
    </w:rPr>
  </w:style>
  <w:style w:type="paragraph" w:customStyle="1" w:styleId="2449">
    <w:name w:val="样式 小四 黑色 首行缩进:  0.77 厘米 行距: 1.5 倍行距"/>
    <w:basedOn w:val="1"/>
    <w:qFormat/>
    <w:uiPriority w:val="0"/>
    <w:pPr>
      <w:spacing w:line="360" w:lineRule="auto"/>
      <w:ind w:firstLine="437"/>
    </w:pPr>
    <w:rPr>
      <w:rFonts w:ascii="Times New Roman" w:hAnsi="Times New Roman" w:eastAsia="宋体" w:cs="Times New Roman"/>
      <w:color w:val="000000"/>
      <w:sz w:val="24"/>
      <w:szCs w:val="24"/>
    </w:rPr>
  </w:style>
  <w:style w:type="paragraph" w:customStyle="1" w:styleId="2450">
    <w:name w:val="样式70"/>
    <w:basedOn w:val="1"/>
    <w:qFormat/>
    <w:uiPriority w:val="0"/>
    <w:pPr>
      <w:adjustRightInd w:val="0"/>
      <w:snapToGrid w:val="0"/>
      <w:spacing w:line="480" w:lineRule="exact"/>
      <w:ind w:firstLine="560" w:firstLineChars="200"/>
    </w:pPr>
    <w:rPr>
      <w:rFonts w:ascii="宋体" w:hAnsi="宋体" w:eastAsia="宋体" w:cs="Times New Roman"/>
      <w:snapToGrid w:val="0"/>
      <w:color w:val="FF0000"/>
      <w:kern w:val="0"/>
      <w:sz w:val="28"/>
      <w:szCs w:val="28"/>
    </w:rPr>
  </w:style>
  <w:style w:type="paragraph" w:customStyle="1" w:styleId="2451">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452">
    <w:name w:val="样式90"/>
    <w:basedOn w:val="1"/>
    <w:qFormat/>
    <w:uiPriority w:val="0"/>
    <w:pPr>
      <w:adjustRightInd w:val="0"/>
      <w:snapToGrid w:val="0"/>
      <w:spacing w:line="320" w:lineRule="exact"/>
    </w:pPr>
    <w:rPr>
      <w:rFonts w:ascii="Times New Roman" w:hAnsi="宋体" w:eastAsia="宋体" w:cs="Times New Roman"/>
      <w:snapToGrid w:val="0"/>
      <w:color w:val="000000"/>
      <w:kern w:val="0"/>
    </w:rPr>
  </w:style>
  <w:style w:type="paragraph" w:customStyle="1" w:styleId="2453">
    <w:name w:val="样式 表格标注 + 首行缩进:  2 字符"/>
    <w:basedOn w:val="1"/>
    <w:qFormat/>
    <w:uiPriority w:val="0"/>
    <w:pPr>
      <w:spacing w:before="156" w:beforeLines="50" w:after="156" w:afterLines="50"/>
      <w:ind w:firstLine="420" w:firstLineChars="200"/>
    </w:pPr>
    <w:rPr>
      <w:rFonts w:ascii="Times New Roman" w:hAnsi="Times New Roman" w:eastAsia="宋体" w:cs="宋体"/>
      <w:szCs w:val="20"/>
    </w:rPr>
  </w:style>
  <w:style w:type="paragraph" w:customStyle="1" w:styleId="2454">
    <w:name w:val="xl2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455">
    <w:name w:val="样式76"/>
    <w:basedOn w:val="247"/>
    <w:qFormat/>
    <w:uiPriority w:val="0"/>
    <w:pPr>
      <w:adjustRightInd w:val="0"/>
      <w:spacing w:line="300" w:lineRule="exact"/>
      <w:ind w:left="-140" w:leftChars="-50" w:right="-140" w:rightChars="-50" w:firstLine="420"/>
    </w:pPr>
    <w:rPr>
      <w:rFonts w:ascii="Times New Roman" w:hAnsi="Times New Roman" w:eastAsia="宋体"/>
      <w:color w:val="000000"/>
      <w:kern w:val="0"/>
      <w:szCs w:val="28"/>
    </w:rPr>
  </w:style>
  <w:style w:type="paragraph" w:customStyle="1" w:styleId="2456">
    <w:name w:val="样式 表格头 + (符号) 宋体 段前: 0.5 行"/>
    <w:basedOn w:val="1"/>
    <w:qFormat/>
    <w:uiPriority w:val="0"/>
    <w:pPr>
      <w:keepNext/>
      <w:keepLines/>
      <w:widowControl/>
      <w:adjustRightInd w:val="0"/>
      <w:snapToGrid w:val="0"/>
      <w:spacing w:beforeLines="50" w:line="400" w:lineRule="exact"/>
      <w:jc w:val="center"/>
    </w:pPr>
    <w:rPr>
      <w:rFonts w:ascii="Arial" w:hAnsi="宋体" w:eastAsia="宋体" w:cs="宋体"/>
      <w:snapToGrid w:val="0"/>
      <w:color w:val="000000"/>
      <w:kern w:val="0"/>
      <w:sz w:val="28"/>
      <w:szCs w:val="20"/>
    </w:rPr>
  </w:style>
  <w:style w:type="paragraph" w:customStyle="1" w:styleId="2457">
    <w:name w:val="xl303"/>
    <w:basedOn w:val="1"/>
    <w:qFormat/>
    <w:uiPriority w:val="0"/>
    <w:pPr>
      <w:widowControl/>
      <w:pBdr>
        <w:bottom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458">
    <w:name w:val="123"/>
    <w:basedOn w:val="1"/>
    <w:qFormat/>
    <w:uiPriority w:val="0"/>
    <w:pPr>
      <w:spacing w:line="360" w:lineRule="auto"/>
      <w:ind w:firstLine="420"/>
    </w:pPr>
    <w:rPr>
      <w:rFonts w:ascii="Times New Roman" w:hAnsi="Times New Roman" w:eastAsia="宋体" w:cs="Times New Roman"/>
      <w:sz w:val="24"/>
      <w:szCs w:val="24"/>
    </w:rPr>
  </w:style>
  <w:style w:type="paragraph" w:customStyle="1" w:styleId="2459">
    <w:name w:val="xl2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FF0000"/>
      <w:kern w:val="0"/>
      <w:sz w:val="22"/>
      <w:szCs w:val="22"/>
    </w:rPr>
  </w:style>
  <w:style w:type="paragraph" w:customStyle="1" w:styleId="2460">
    <w:name w:val="标题 4 + 四号"/>
    <w:basedOn w:val="6"/>
    <w:qFormat/>
    <w:uiPriority w:val="0"/>
    <w:pPr>
      <w:keepLines/>
      <w:numPr>
        <w:ilvl w:val="0"/>
        <w:numId w:val="0"/>
      </w:numPr>
      <w:adjustRightInd/>
      <w:snapToGrid/>
      <w:spacing w:before="260" w:beforeLines="50" w:after="260" w:afterLines="50" w:line="480" w:lineRule="exact"/>
    </w:pPr>
    <w:rPr>
      <w:rFonts w:ascii="Times New Roman" w:hAnsi="Times New Roman" w:cs="Times New Roman"/>
      <w:kern w:val="0"/>
      <w:sz w:val="28"/>
      <w:szCs w:val="28"/>
    </w:rPr>
  </w:style>
  <w:style w:type="paragraph" w:customStyle="1" w:styleId="2461">
    <w:name w:val="正文缩进3"/>
    <w:basedOn w:val="1"/>
    <w:qFormat/>
    <w:uiPriority w:val="0"/>
    <w:pPr>
      <w:adjustRightInd w:val="0"/>
      <w:snapToGrid w:val="0"/>
      <w:spacing w:line="480" w:lineRule="exact"/>
      <w:ind w:firstLine="200" w:firstLineChars="200"/>
    </w:pPr>
    <w:rPr>
      <w:rFonts w:ascii="Times New Roman" w:hAnsi="Times New Roman" w:eastAsia="方正仿宋简体" w:cs="Times New Roman"/>
      <w:sz w:val="28"/>
      <w:szCs w:val="20"/>
    </w:rPr>
  </w:style>
  <w:style w:type="paragraph" w:customStyle="1" w:styleId="2462">
    <w:name w:val="样式 标题2 + 行距: 固定值 23 磅"/>
    <w:basedOn w:val="1"/>
    <w:qFormat/>
    <w:uiPriority w:val="0"/>
    <w:pPr>
      <w:keepNext/>
      <w:keepLines/>
      <w:adjustRightInd w:val="0"/>
      <w:spacing w:line="460" w:lineRule="exact"/>
      <w:outlineLvl w:val="1"/>
    </w:pPr>
    <w:rPr>
      <w:rFonts w:ascii="黑体" w:hAnsi="Times New Roman" w:eastAsia="黑体" w:cs="宋体"/>
      <w:bCs/>
      <w:color w:val="000000"/>
      <w:kern w:val="0"/>
      <w:sz w:val="28"/>
      <w:szCs w:val="20"/>
    </w:rPr>
  </w:style>
  <w:style w:type="paragraph" w:customStyle="1" w:styleId="2463">
    <w:name w:val="正文文本 31"/>
    <w:basedOn w:val="1"/>
    <w:qFormat/>
    <w:uiPriority w:val="0"/>
    <w:pPr>
      <w:adjustRightInd w:val="0"/>
      <w:snapToGrid w:val="0"/>
      <w:spacing w:after="120" w:line="480" w:lineRule="exact"/>
      <w:ind w:firstLine="200" w:firstLineChars="200"/>
    </w:pPr>
    <w:rPr>
      <w:rFonts w:ascii="Times New Roman" w:hAnsi="Times New Roman" w:eastAsia="宋体" w:cs="Times New Roman"/>
      <w:kern w:val="0"/>
      <w:sz w:val="16"/>
      <w:szCs w:val="16"/>
    </w:rPr>
  </w:style>
  <w:style w:type="paragraph" w:customStyle="1" w:styleId="2464">
    <w:name w:val="样式 标题 3条标题1.1.1BSH-3H3h33rd levell3CT段二级节名条 1二级节名1二级...1"/>
    <w:basedOn w:val="6"/>
    <w:qFormat/>
    <w:uiPriority w:val="0"/>
    <w:pPr>
      <w:keepLines/>
      <w:numPr>
        <w:ilvl w:val="0"/>
        <w:numId w:val="0"/>
      </w:numPr>
      <w:snapToGrid/>
      <w:spacing w:before="0"/>
    </w:pPr>
    <w:rPr>
      <w:rFonts w:ascii="Times New Roman" w:hAnsi="Times New Roman" w:eastAsia="宋体" w:cs="宋体"/>
      <w:b/>
      <w:kern w:val="0"/>
      <w:sz w:val="28"/>
      <w:szCs w:val="20"/>
    </w:rPr>
  </w:style>
  <w:style w:type="paragraph" w:customStyle="1" w:styleId="2465">
    <w:name w:val="样式21"/>
    <w:basedOn w:val="1"/>
    <w:qFormat/>
    <w:uiPriority w:val="0"/>
    <w:pPr>
      <w:adjustRightInd w:val="0"/>
      <w:snapToGrid w:val="0"/>
      <w:spacing w:line="480" w:lineRule="exact"/>
      <w:ind w:firstLine="560" w:firstLineChars="200"/>
    </w:pPr>
    <w:rPr>
      <w:rFonts w:ascii="Times New Roman" w:hAnsi="Times New Roman" w:eastAsia="宋体" w:cs="Times New Roman"/>
      <w:snapToGrid w:val="0"/>
      <w:kern w:val="0"/>
      <w:sz w:val="28"/>
      <w:szCs w:val="28"/>
    </w:rPr>
  </w:style>
  <w:style w:type="paragraph" w:customStyle="1" w:styleId="2466">
    <w:name w:val="文本框文字"/>
    <w:basedOn w:val="42"/>
    <w:next w:val="42"/>
    <w:qFormat/>
    <w:uiPriority w:val="0"/>
    <w:pPr>
      <w:spacing w:line="360" w:lineRule="exact"/>
    </w:pPr>
    <w:rPr>
      <w:rFonts w:cs="Times New Roman"/>
      <w:sz w:val="24"/>
      <w:szCs w:val="20"/>
    </w:rPr>
  </w:style>
  <w:style w:type="paragraph" w:customStyle="1" w:styleId="2467">
    <w:name w:val="封面落款"/>
    <w:basedOn w:val="1"/>
    <w:next w:val="1"/>
    <w:qFormat/>
    <w:uiPriority w:val="0"/>
    <w:pPr>
      <w:spacing w:line="460" w:lineRule="exact"/>
      <w:ind w:firstLine="200" w:firstLineChars="200"/>
      <w:jc w:val="center"/>
    </w:pPr>
    <w:rPr>
      <w:rFonts w:ascii="Times New Roman" w:hAnsi="Times New Roman" w:eastAsia="宋体" w:cs="Times New Roman"/>
      <w:sz w:val="28"/>
      <w:szCs w:val="24"/>
    </w:rPr>
  </w:style>
  <w:style w:type="paragraph" w:customStyle="1" w:styleId="2468">
    <w:name w:val="列出段落5"/>
    <w:basedOn w:val="1"/>
    <w:qFormat/>
    <w:uiPriority w:val="34"/>
    <w:pPr>
      <w:ind w:firstLine="420" w:firstLineChars="200"/>
    </w:pPr>
    <w:rPr>
      <w:rFonts w:ascii="Times New Roman" w:hAnsi="Times New Roman" w:eastAsia="宋体" w:cs="Times New Roman"/>
      <w:sz w:val="24"/>
      <w:szCs w:val="20"/>
    </w:rPr>
  </w:style>
  <w:style w:type="paragraph" w:customStyle="1" w:styleId="2469">
    <w:name w:val="正文-表格居中"/>
    <w:basedOn w:val="1321"/>
    <w:qFormat/>
    <w:uiPriority w:val="0"/>
    <w:pPr>
      <w:adjustRightInd w:val="0"/>
      <w:snapToGrid w:val="0"/>
      <w:spacing w:line="240" w:lineRule="auto"/>
      <w:ind w:firstLine="0"/>
      <w:jc w:val="center"/>
    </w:pPr>
    <w:rPr>
      <w:sz w:val="21"/>
      <w:szCs w:val="24"/>
    </w:rPr>
  </w:style>
  <w:style w:type="paragraph" w:customStyle="1" w:styleId="2470">
    <w:name w:val="图形标题"/>
    <w:basedOn w:val="21"/>
    <w:next w:val="1"/>
    <w:qFormat/>
    <w:uiPriority w:val="0"/>
    <w:pPr>
      <w:widowControl w:val="0"/>
      <w:tabs>
        <w:tab w:val="left" w:pos="1120"/>
      </w:tabs>
      <w:spacing w:before="120" w:after="120" w:line="290" w:lineRule="auto"/>
      <w:ind w:right="-108" w:firstLine="0"/>
      <w:jc w:val="center"/>
    </w:pPr>
    <w:rPr>
      <w:rFonts w:ascii="Times New Roman" w:hAnsi="Times New Roman"/>
      <w:kern w:val="24"/>
      <w:sz w:val="24"/>
    </w:rPr>
  </w:style>
  <w:style w:type="paragraph" w:customStyle="1" w:styleId="2471">
    <w:name w:val="样式  表头"/>
    <w:basedOn w:val="249"/>
    <w:qFormat/>
    <w:uiPriority w:val="0"/>
    <w:pPr>
      <w:spacing w:line="520" w:lineRule="exact"/>
    </w:pPr>
    <w:rPr>
      <w:snapToGrid w:val="0"/>
    </w:rPr>
  </w:style>
  <w:style w:type="paragraph" w:customStyle="1" w:styleId="2472">
    <w:name w:val="xl273"/>
    <w:basedOn w:val="1"/>
    <w:qFormat/>
    <w:uiPriority w:val="0"/>
    <w:pPr>
      <w:widowControl/>
      <w:pBdr>
        <w:top w:val="single" w:color="auto" w:sz="4" w:space="0"/>
        <w:left w:val="single" w:color="auto" w:sz="4" w:space="0"/>
        <w:bottom w:val="single" w:color="auto" w:sz="4" w:space="0"/>
        <w:right w:val="single" w:color="auto" w:sz="4" w:space="0"/>
      </w:pBdr>
      <w:shd w:val="clear" w:color="auto" w:fill="800080"/>
      <w:spacing w:before="100" w:beforeAutospacing="1" w:after="100" w:afterAutospacing="1"/>
      <w:jc w:val="left"/>
    </w:pPr>
    <w:rPr>
      <w:rFonts w:ascii="宋体" w:hAnsi="宋体" w:eastAsia="宋体" w:cs="宋体"/>
      <w:b/>
      <w:bCs/>
      <w:kern w:val="0"/>
      <w:sz w:val="20"/>
      <w:szCs w:val="20"/>
    </w:rPr>
  </w:style>
  <w:style w:type="paragraph" w:customStyle="1" w:styleId="2473">
    <w:name w:val="样式23"/>
    <w:basedOn w:val="1"/>
    <w:qFormat/>
    <w:uiPriority w:val="0"/>
    <w:pPr>
      <w:widowControl/>
      <w:spacing w:line="240" w:lineRule="exact"/>
      <w:jc w:val="center"/>
    </w:pPr>
    <w:rPr>
      <w:rFonts w:ascii="Times New Roman" w:hAnsi="宋体" w:eastAsia="宋体" w:cs="Times New Roman"/>
      <w:kern w:val="0"/>
      <w:sz w:val="18"/>
      <w:szCs w:val="18"/>
    </w:rPr>
  </w:style>
  <w:style w:type="paragraph" w:customStyle="1" w:styleId="2474">
    <w:name w:val="样式60"/>
    <w:basedOn w:val="2281"/>
    <w:qFormat/>
    <w:uiPriority w:val="0"/>
    <w:pPr>
      <w:spacing w:line="500" w:lineRule="exact"/>
      <w:ind w:firstLine="560"/>
    </w:pPr>
    <w:rPr>
      <w:b w:val="0"/>
      <w:color w:val="FF0000"/>
    </w:rPr>
  </w:style>
  <w:style w:type="paragraph" w:customStyle="1" w:styleId="2475">
    <w:name w:val="17"/>
    <w:basedOn w:val="1"/>
    <w:next w:val="33"/>
    <w:qFormat/>
    <w:uiPriority w:val="0"/>
    <w:pPr>
      <w:adjustRightInd w:val="0"/>
      <w:snapToGrid w:val="0"/>
      <w:ind w:firstLine="645"/>
    </w:pPr>
    <w:rPr>
      <w:rFonts w:ascii="宋体" w:hAnsi="Times New Roman" w:eastAsia="宋体" w:cs="Times New Roman"/>
      <w:sz w:val="28"/>
      <w:szCs w:val="20"/>
    </w:rPr>
  </w:style>
  <w:style w:type="paragraph" w:customStyle="1" w:styleId="2476">
    <w:name w:val="Char Char Char Char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77">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478">
    <w:name w:val="样式34"/>
    <w:basedOn w:val="2346"/>
    <w:qFormat/>
    <w:uiPriority w:val="0"/>
    <w:pPr>
      <w:spacing w:line="500" w:lineRule="exact"/>
    </w:pPr>
  </w:style>
  <w:style w:type="paragraph" w:customStyle="1" w:styleId="2479">
    <w:name w:val="Char Char Char1 Char Char Char Char Char Char Char Char Char Char Char Char Char Char Char Char Char Char Char Char Char Char"/>
    <w:basedOn w:val="1"/>
    <w:qFormat/>
    <w:uiPriority w:val="0"/>
    <w:pPr>
      <w:adjustRightInd w:val="0"/>
      <w:snapToGrid w:val="0"/>
      <w:spacing w:line="360" w:lineRule="auto"/>
      <w:ind w:firstLine="200" w:firstLineChars="200"/>
    </w:pPr>
    <w:rPr>
      <w:rFonts w:ascii="宋体" w:hAnsi="宋体" w:eastAsia="宋体" w:cs="宋体"/>
      <w:sz w:val="24"/>
      <w:szCs w:val="26"/>
    </w:rPr>
  </w:style>
  <w:style w:type="paragraph" w:customStyle="1" w:styleId="2480">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rPr>
  </w:style>
  <w:style w:type="paragraph" w:customStyle="1" w:styleId="2481">
    <w:name w:val="样式44"/>
    <w:basedOn w:val="1"/>
    <w:qFormat/>
    <w:uiPriority w:val="0"/>
    <w:pPr>
      <w:adjustRightInd w:val="0"/>
      <w:snapToGrid w:val="0"/>
      <w:spacing w:line="480" w:lineRule="exact"/>
      <w:ind w:firstLine="560" w:firstLineChars="200"/>
    </w:pPr>
    <w:rPr>
      <w:rFonts w:ascii="Times New Roman" w:hAnsi="Times New Roman" w:eastAsia="宋体" w:cs="Times New Roman"/>
      <w:snapToGrid w:val="0"/>
      <w:kern w:val="0"/>
      <w:sz w:val="28"/>
      <w:szCs w:val="24"/>
    </w:rPr>
  </w:style>
  <w:style w:type="paragraph" w:customStyle="1" w:styleId="2482">
    <w:name w:val="样式67"/>
    <w:basedOn w:val="1"/>
    <w:qFormat/>
    <w:uiPriority w:val="0"/>
    <w:pPr>
      <w:tabs>
        <w:tab w:val="left" w:pos="720"/>
      </w:tabs>
      <w:adjustRightInd w:val="0"/>
      <w:snapToGrid w:val="0"/>
      <w:spacing w:afterLines="50" w:line="480" w:lineRule="exact"/>
      <w:ind w:firstLine="560" w:firstLineChars="200"/>
    </w:pPr>
    <w:rPr>
      <w:rFonts w:ascii="Times New Roman" w:hAnsi="Times New Roman" w:eastAsia="宋体" w:cs="Times New Roman"/>
      <w:snapToGrid w:val="0"/>
      <w:color w:val="FF0000"/>
      <w:kern w:val="0"/>
      <w:sz w:val="28"/>
      <w:szCs w:val="28"/>
    </w:rPr>
  </w:style>
  <w:style w:type="paragraph" w:customStyle="1" w:styleId="2483">
    <w:name w:val="样式48"/>
    <w:basedOn w:val="1"/>
    <w:qFormat/>
    <w:uiPriority w:val="0"/>
    <w:pPr>
      <w:adjustRightInd w:val="0"/>
      <w:snapToGrid w:val="0"/>
      <w:spacing w:line="480" w:lineRule="exact"/>
      <w:ind w:firstLine="480" w:firstLineChars="200"/>
    </w:pPr>
    <w:rPr>
      <w:rFonts w:ascii="Times New Roman" w:hAnsi="Times New Roman" w:eastAsia="宋体" w:cs="Times New Roman"/>
      <w:snapToGrid w:val="0"/>
      <w:kern w:val="0"/>
      <w:sz w:val="24"/>
      <w:szCs w:val="24"/>
    </w:rPr>
  </w:style>
  <w:style w:type="paragraph" w:customStyle="1" w:styleId="2484">
    <w:name w:val="文本块2"/>
    <w:basedOn w:val="1"/>
    <w:qFormat/>
    <w:uiPriority w:val="0"/>
    <w:pPr>
      <w:spacing w:line="480" w:lineRule="exact"/>
      <w:ind w:left="-143" w:leftChars="-68" w:right="-120" w:rightChars="-57"/>
      <w:jc w:val="center"/>
    </w:pPr>
    <w:rPr>
      <w:rFonts w:ascii="宋体" w:hAnsi="宋体" w:eastAsia="宋体" w:cs="Times New Roman"/>
      <w:color w:val="000000"/>
      <w:sz w:val="24"/>
      <w:szCs w:val="24"/>
    </w:rPr>
  </w:style>
  <w:style w:type="paragraph" w:customStyle="1" w:styleId="2485">
    <w:name w:val="多"/>
    <w:basedOn w:val="1"/>
    <w:qFormat/>
    <w:uiPriority w:val="0"/>
    <w:pPr>
      <w:spacing w:line="300" w:lineRule="auto"/>
      <w:ind w:firstLine="200" w:firstLineChars="200"/>
    </w:pPr>
    <w:rPr>
      <w:rFonts w:ascii="宋体" w:hAnsi="宋体" w:eastAsia="宋体" w:cs="宋体"/>
      <w:sz w:val="24"/>
      <w:szCs w:val="24"/>
    </w:rPr>
  </w:style>
  <w:style w:type="paragraph" w:customStyle="1" w:styleId="2486">
    <w:name w:val="标题 5 + 四号"/>
    <w:basedOn w:val="2460"/>
    <w:qFormat/>
    <w:uiPriority w:val="0"/>
    <w:pPr>
      <w:spacing w:line="415" w:lineRule="auto"/>
    </w:pPr>
    <w:rPr>
      <w:rFonts w:eastAsia="宋体"/>
      <w:b/>
      <w:kern w:val="2"/>
    </w:rPr>
  </w:style>
  <w:style w:type="paragraph" w:customStyle="1" w:styleId="2487">
    <w:name w:val="样式 标题 1 + (中文) 黑体 二号"/>
    <w:basedOn w:val="3"/>
    <w:qFormat/>
    <w:uiPriority w:val="0"/>
    <w:pPr>
      <w:keepNext/>
      <w:spacing w:before="340" w:beforeLines="100" w:beforeAutospacing="0" w:after="330" w:afterLines="100" w:line="480" w:lineRule="auto"/>
      <w:ind w:left="420" w:hanging="420"/>
      <w:jc w:val="center"/>
    </w:pPr>
    <w:rPr>
      <w:rFonts w:ascii="Times New Roman" w:cs="Times New Roman"/>
      <w:b w:val="0"/>
      <w:bCs/>
      <w:kern w:val="2"/>
      <w:sz w:val="44"/>
      <w:szCs w:val="20"/>
    </w:rPr>
  </w:style>
  <w:style w:type="paragraph" w:customStyle="1" w:styleId="2488">
    <w:name w:val="xl2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rPr>
  </w:style>
  <w:style w:type="paragraph" w:customStyle="1" w:styleId="2489">
    <w:name w:val="样式 列表 + 黑色"/>
    <w:basedOn w:val="60"/>
    <w:qFormat/>
    <w:uiPriority w:val="0"/>
    <w:pPr>
      <w:spacing w:afterLines="150"/>
      <w:ind w:left="0" w:firstLine="0"/>
      <w:jc w:val="right"/>
    </w:pPr>
    <w:rPr>
      <w:b/>
      <w:color w:val="000000"/>
    </w:rPr>
  </w:style>
  <w:style w:type="paragraph" w:customStyle="1" w:styleId="2490">
    <w:name w:val="Char Char Char1 Char41"/>
    <w:basedOn w:val="1"/>
    <w:qFormat/>
    <w:uiPriority w:val="0"/>
    <w:pPr>
      <w:adjustRightInd w:val="0"/>
      <w:spacing w:line="360" w:lineRule="auto"/>
      <w:textAlignment w:val="baseline"/>
    </w:pPr>
    <w:rPr>
      <w:rFonts w:ascii="Times New Roman" w:hAnsi="Times New Roman" w:eastAsia="宋体" w:cs="Times New Roman"/>
      <w:kern w:val="0"/>
      <w:sz w:val="24"/>
      <w:szCs w:val="24"/>
    </w:rPr>
  </w:style>
  <w:style w:type="paragraph" w:customStyle="1" w:styleId="2491">
    <w:name w:val="xl11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Times New Roman" w:hAnsi="Times New Roman" w:eastAsia="宋体" w:cs="Times New Roman"/>
      <w:color w:val="FF0000"/>
      <w:kern w:val="0"/>
      <w:sz w:val="20"/>
      <w:szCs w:val="20"/>
    </w:rPr>
  </w:style>
  <w:style w:type="paragraph" w:customStyle="1" w:styleId="2492">
    <w:name w:val="样式 首行缩进:  2 字符1"/>
    <w:basedOn w:val="1"/>
    <w:qFormat/>
    <w:uiPriority w:val="0"/>
    <w:pPr>
      <w:adjustRightInd w:val="0"/>
      <w:snapToGrid w:val="0"/>
      <w:spacing w:line="480" w:lineRule="exact"/>
      <w:ind w:firstLine="620" w:firstLineChars="200"/>
    </w:pPr>
    <w:rPr>
      <w:rFonts w:ascii="Times New Roman" w:hAnsi="Times New Roman" w:eastAsia="楷体_GB2312" w:cs="宋体"/>
      <w:kern w:val="0"/>
      <w:sz w:val="28"/>
      <w:szCs w:val="20"/>
    </w:rPr>
  </w:style>
  <w:style w:type="paragraph" w:customStyle="1" w:styleId="2493">
    <w:name w:val="正文文本 32"/>
    <w:basedOn w:val="1"/>
    <w:qFormat/>
    <w:uiPriority w:val="0"/>
    <w:pPr>
      <w:spacing w:line="240" w:lineRule="exact"/>
    </w:pPr>
    <w:rPr>
      <w:rFonts w:ascii="Times New Roman" w:hAnsi="Times New Roman" w:eastAsia="宋体" w:cs="Times New Roman"/>
      <w:sz w:val="18"/>
      <w:szCs w:val="20"/>
    </w:rPr>
  </w:style>
  <w:style w:type="paragraph" w:customStyle="1" w:styleId="2494">
    <w:name w:val="样式 列表 + 段前: 0.5 行"/>
    <w:basedOn w:val="1"/>
    <w:qFormat/>
    <w:uiPriority w:val="0"/>
    <w:pPr>
      <w:spacing w:line="480" w:lineRule="exact"/>
      <w:ind w:firstLine="480" w:firstLineChars="200"/>
    </w:pPr>
    <w:rPr>
      <w:rFonts w:ascii="黑体" w:hAnsi="宋体" w:eastAsia="黑体" w:cs="Times New Roman"/>
      <w:kern w:val="0"/>
      <w:sz w:val="24"/>
      <w:szCs w:val="32"/>
    </w:rPr>
  </w:style>
  <w:style w:type="paragraph" w:customStyle="1" w:styleId="2495">
    <w:name w:val="样式 样式 5正文 + 两端对齐 + 首行缩进:  2 字符 + 首行缩进:  2 字符"/>
    <w:basedOn w:val="2496"/>
    <w:qFormat/>
    <w:uiPriority w:val="0"/>
  </w:style>
  <w:style w:type="paragraph" w:customStyle="1" w:styleId="2496">
    <w:name w:val="样式 5正文 + 两端对齐 + 首行缩进:  2 字符"/>
    <w:basedOn w:val="2381"/>
    <w:qFormat/>
    <w:uiPriority w:val="0"/>
  </w:style>
  <w:style w:type="paragraph" w:customStyle="1" w:styleId="2497">
    <w:name w:val="xl1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20"/>
      <w:szCs w:val="20"/>
    </w:rPr>
  </w:style>
  <w:style w:type="paragraph" w:customStyle="1" w:styleId="2498">
    <w:name w:val="文本块11"/>
    <w:basedOn w:val="1"/>
    <w:qFormat/>
    <w:uiPriority w:val="0"/>
    <w:pPr>
      <w:ind w:left="144" w:right="90" w:firstLine="645"/>
    </w:pPr>
    <w:rPr>
      <w:rFonts w:ascii="Times New Roman" w:hAnsi="Times New Roman" w:eastAsia="楷体_GB2312" w:cs="Times New Roman"/>
      <w:sz w:val="24"/>
      <w:szCs w:val="20"/>
    </w:rPr>
  </w:style>
  <w:style w:type="paragraph" w:customStyle="1" w:styleId="2499">
    <w:name w:val="图标"/>
    <w:basedOn w:val="1"/>
    <w:qFormat/>
    <w:uiPriority w:val="0"/>
    <w:pPr>
      <w:tabs>
        <w:tab w:val="left" w:pos="6395"/>
      </w:tabs>
      <w:spacing w:line="480" w:lineRule="exact"/>
      <w:jc w:val="center"/>
      <w:outlineLvl w:val="5"/>
    </w:pPr>
    <w:rPr>
      <w:rFonts w:ascii="宋体" w:hAnsi="宋体" w:eastAsia="宋体" w:cs="Times New Roman"/>
      <w:b/>
      <w:bCs/>
      <w:sz w:val="36"/>
      <w:szCs w:val="20"/>
    </w:rPr>
  </w:style>
  <w:style w:type="paragraph" w:customStyle="1" w:styleId="2500">
    <w:name w:val="Char Char2 Char Char Char1 Char Char Char Char Char Char Char2"/>
    <w:basedOn w:val="1"/>
    <w:qFormat/>
    <w:uiPriority w:val="0"/>
    <w:rPr>
      <w:rFonts w:ascii="Times New Roman" w:hAnsi="Times New Roman" w:eastAsia="宋体" w:cs="Times New Roman"/>
      <w:szCs w:val="24"/>
    </w:rPr>
  </w:style>
  <w:style w:type="paragraph" w:customStyle="1" w:styleId="2501">
    <w:name w:val="xl313"/>
    <w:basedOn w:val="1"/>
    <w:qFormat/>
    <w:uiPriority w:val="0"/>
    <w:pPr>
      <w:widowControl/>
      <w:pBdr>
        <w:left w:val="single" w:color="auto" w:sz="4" w:space="0"/>
        <w:bottom w:val="single" w:color="auto" w:sz="4" w:space="0"/>
      </w:pBdr>
      <w:shd w:val="clear" w:color="auto" w:fill="FFCC0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502">
    <w:name w:val="索引 11"/>
    <w:basedOn w:val="1"/>
    <w:next w:val="1"/>
    <w:qFormat/>
    <w:uiPriority w:val="0"/>
    <w:pPr>
      <w:spacing w:line="360" w:lineRule="exact"/>
      <w:jc w:val="center"/>
    </w:pPr>
    <w:rPr>
      <w:rFonts w:ascii="宋体" w:hAnsi="宋体" w:eastAsia="宋体" w:cs="Times New Roman"/>
      <w:szCs w:val="24"/>
    </w:rPr>
  </w:style>
  <w:style w:type="paragraph" w:customStyle="1" w:styleId="2503">
    <w:name w:val="xl253"/>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504">
    <w:name w:val="样式74"/>
    <w:basedOn w:val="2403"/>
    <w:qFormat/>
    <w:uiPriority w:val="0"/>
    <w:pPr>
      <w:ind w:firstLine="480"/>
    </w:pPr>
    <w:rPr>
      <w:color w:val="000000"/>
      <w:sz w:val="24"/>
      <w:szCs w:val="24"/>
    </w:rPr>
  </w:style>
  <w:style w:type="paragraph" w:customStyle="1" w:styleId="2505">
    <w:name w:val="缩进正文"/>
    <w:basedOn w:val="1864"/>
    <w:qFormat/>
    <w:uiPriority w:val="0"/>
    <w:pPr>
      <w:widowControl w:val="0"/>
      <w:spacing w:line="310" w:lineRule="atLeast"/>
      <w:ind w:left="0" w:firstLine="525"/>
      <w:jc w:val="both"/>
      <w:textAlignment w:val="auto"/>
    </w:pPr>
    <w:rPr>
      <w:rFonts w:ascii="楷体_GB2312" w:hAnsi="Times New Roman" w:eastAsia="楷体_GB2312" w:cs="Times New Roman"/>
      <w:sz w:val="28"/>
      <w:szCs w:val="20"/>
    </w:rPr>
  </w:style>
  <w:style w:type="paragraph" w:customStyle="1" w:styleId="2506">
    <w:name w:val="样式61"/>
    <w:basedOn w:val="1"/>
    <w:qFormat/>
    <w:uiPriority w:val="0"/>
    <w:pPr>
      <w:spacing w:line="500" w:lineRule="exact"/>
      <w:ind w:firstLine="560" w:firstLineChars="200"/>
    </w:pPr>
    <w:rPr>
      <w:rFonts w:ascii="宋体" w:hAnsi="宋体" w:eastAsia="宋体" w:cs="Times New Roman"/>
      <w:color w:val="000000"/>
      <w:sz w:val="28"/>
      <w:szCs w:val="28"/>
    </w:rPr>
  </w:style>
  <w:style w:type="paragraph" w:customStyle="1" w:styleId="2507">
    <w:name w:val="正文三级"/>
    <w:qFormat/>
    <w:uiPriority w:val="0"/>
    <w:pPr>
      <w:tabs>
        <w:tab w:val="left" w:pos="1204"/>
      </w:tabs>
      <w:spacing w:before="120" w:after="120" w:line="480" w:lineRule="exact"/>
      <w:ind w:left="1204"/>
      <w:jc w:val="both"/>
      <w:outlineLvl w:val="2"/>
    </w:pPr>
    <w:rPr>
      <w:rFonts w:ascii="Times New Roman" w:hAnsi="Times New Roman" w:eastAsia="黑体" w:cs="Times New Roman"/>
      <w:bCs/>
      <w:kern w:val="44"/>
      <w:sz w:val="30"/>
      <w:szCs w:val="30"/>
      <w:lang w:val="en-US" w:eastAsia="zh-CN" w:bidi="ar-SA"/>
    </w:rPr>
  </w:style>
  <w:style w:type="paragraph" w:customStyle="1" w:styleId="2508">
    <w:name w:val="标题4"/>
    <w:basedOn w:val="1"/>
    <w:qFormat/>
    <w:uiPriority w:val="0"/>
    <w:pPr>
      <w:adjustRightInd w:val="0"/>
      <w:snapToGrid w:val="0"/>
      <w:spacing w:line="480" w:lineRule="atLeast"/>
    </w:pPr>
    <w:rPr>
      <w:rFonts w:ascii="Times New Roman" w:hAnsi="Times New Roman" w:eastAsia="宋体" w:cs="Times New Roman"/>
      <w:b/>
      <w:snapToGrid w:val="0"/>
      <w:kern w:val="28"/>
      <w:sz w:val="30"/>
      <w:szCs w:val="20"/>
    </w:rPr>
  </w:style>
  <w:style w:type="paragraph" w:customStyle="1" w:styleId="2509">
    <w:name w:val="xl264"/>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510">
    <w:name w:val="样式 5正文"/>
    <w:basedOn w:val="2375"/>
    <w:qFormat/>
    <w:uiPriority w:val="0"/>
    <w:pPr>
      <w:spacing w:line="440" w:lineRule="exact"/>
      <w:ind w:firstLine="480"/>
    </w:pPr>
  </w:style>
  <w:style w:type="paragraph" w:customStyle="1" w:styleId="2511">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2512">
    <w:name w:val="Char31"/>
    <w:basedOn w:val="1"/>
    <w:next w:val="47"/>
    <w:qFormat/>
    <w:uiPriority w:val="0"/>
    <w:pPr>
      <w:spacing w:line="360" w:lineRule="auto"/>
      <w:ind w:firstLine="480" w:firstLineChars="200"/>
    </w:pPr>
    <w:rPr>
      <w:rFonts w:ascii="Times New Roman" w:hAnsi="Times New Roman" w:eastAsia="宋体" w:cs="Times New Roman"/>
      <w:kern w:val="0"/>
      <w:sz w:val="24"/>
      <w:szCs w:val="24"/>
    </w:rPr>
  </w:style>
  <w:style w:type="paragraph" w:customStyle="1" w:styleId="2513">
    <w:name w:val="样式51"/>
    <w:basedOn w:val="247"/>
    <w:qFormat/>
    <w:uiPriority w:val="0"/>
    <w:pPr>
      <w:adjustRightInd w:val="0"/>
      <w:spacing w:line="240" w:lineRule="exact"/>
      <w:ind w:left="-140" w:leftChars="-50" w:right="-140" w:rightChars="-50" w:firstLine="0"/>
    </w:pPr>
    <w:rPr>
      <w:rFonts w:ascii="Times New Roman" w:hAnsi="Times New Roman" w:eastAsia="宋体"/>
      <w:color w:val="000000"/>
      <w:kern w:val="0"/>
      <w:szCs w:val="28"/>
    </w:rPr>
  </w:style>
  <w:style w:type="paragraph" w:customStyle="1" w:styleId="2514">
    <w:name w:val="样式22"/>
    <w:basedOn w:val="1"/>
    <w:qFormat/>
    <w:uiPriority w:val="0"/>
    <w:pPr>
      <w:adjustRightInd w:val="0"/>
      <w:snapToGrid w:val="0"/>
      <w:spacing w:line="500" w:lineRule="exact"/>
      <w:ind w:firstLine="560" w:firstLineChars="200"/>
    </w:pPr>
    <w:rPr>
      <w:rFonts w:ascii="Times New Roman" w:hAnsi="Times New Roman" w:eastAsia="宋体" w:cs="Times New Roman"/>
      <w:snapToGrid w:val="0"/>
      <w:kern w:val="0"/>
      <w:sz w:val="28"/>
      <w:szCs w:val="24"/>
    </w:rPr>
  </w:style>
  <w:style w:type="paragraph" w:customStyle="1" w:styleId="2515">
    <w:name w:val="Char Char Char Char Char Char Char Char Char Char Char Char Char Char Char Char Char Char Char Char Char Char11"/>
    <w:basedOn w:val="1"/>
    <w:qFormat/>
    <w:uiPriority w:val="0"/>
    <w:rPr>
      <w:rFonts w:ascii="Times New Roman" w:hAnsi="Times New Roman" w:eastAsia="宋体" w:cs="Times New Roman"/>
      <w:szCs w:val="24"/>
    </w:rPr>
  </w:style>
  <w:style w:type="paragraph" w:customStyle="1" w:styleId="2516">
    <w:name w:val="列表 31"/>
    <w:basedOn w:val="1"/>
    <w:qFormat/>
    <w:uiPriority w:val="0"/>
    <w:pPr>
      <w:ind w:left="1260" w:hanging="420"/>
    </w:pPr>
    <w:rPr>
      <w:rFonts w:ascii="Times New Roman" w:hAnsi="Times New Roman" w:eastAsia="宋体" w:cs="Times New Roman"/>
      <w:szCs w:val="24"/>
    </w:rPr>
  </w:style>
  <w:style w:type="paragraph" w:customStyle="1" w:styleId="2517">
    <w:name w:val="列表2"/>
    <w:basedOn w:val="1"/>
    <w:qFormat/>
    <w:uiPriority w:val="0"/>
    <w:pPr>
      <w:jc w:val="center"/>
    </w:pPr>
    <w:rPr>
      <w:rFonts w:ascii="Times New Roman" w:hAnsi="Times New Roman" w:eastAsia="宋体" w:cs="Times New Roman"/>
      <w:kern w:val="0"/>
      <w:szCs w:val="20"/>
    </w:rPr>
  </w:style>
  <w:style w:type="paragraph" w:customStyle="1" w:styleId="2518">
    <w:name w:val="样式35"/>
    <w:basedOn w:val="2223"/>
    <w:qFormat/>
    <w:uiPriority w:val="0"/>
    <w:pPr>
      <w:spacing w:before="0" w:after="0" w:line="240" w:lineRule="auto"/>
      <w:ind w:firstLine="1366" w:firstLineChars="427"/>
    </w:pPr>
    <w:rPr>
      <w:rFonts w:ascii="方正黑体简体" w:eastAsia="方正黑体简体"/>
      <w:sz w:val="28"/>
      <w:szCs w:val="28"/>
    </w:rPr>
  </w:style>
  <w:style w:type="paragraph" w:customStyle="1" w:styleId="2519">
    <w:name w:val="无间隔1"/>
    <w:qFormat/>
    <w:uiPriority w:val="0"/>
    <w:rPr>
      <w:rFonts w:ascii="Calibri" w:hAnsi="Calibri" w:eastAsia="Times New Roman" w:cs="Times New Roman"/>
      <w:kern w:val="2"/>
      <w:sz w:val="22"/>
      <w:szCs w:val="22"/>
      <w:lang w:val="en-US" w:eastAsia="zh-CN" w:bidi="ar-SA"/>
    </w:rPr>
  </w:style>
  <w:style w:type="paragraph" w:customStyle="1" w:styleId="2520">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21">
    <w:name w:val="样式38"/>
    <w:basedOn w:val="21"/>
    <w:qFormat/>
    <w:uiPriority w:val="0"/>
    <w:pPr>
      <w:widowControl w:val="0"/>
      <w:spacing w:line="480" w:lineRule="exact"/>
      <w:ind w:firstLine="560" w:firstLineChars="200"/>
      <w:jc w:val="both"/>
    </w:pPr>
    <w:rPr>
      <w:rFonts w:ascii="Times New Roman" w:hAnsi="Times New Roman"/>
      <w:kern w:val="2"/>
      <w:szCs w:val="28"/>
    </w:rPr>
  </w:style>
  <w:style w:type="paragraph" w:customStyle="1" w:styleId="2522">
    <w:name w:val="xl212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eastAsia="宋体" w:cs="宋体"/>
      <w:kern w:val="0"/>
      <w:sz w:val="24"/>
      <w:szCs w:val="24"/>
    </w:rPr>
  </w:style>
  <w:style w:type="paragraph" w:customStyle="1" w:styleId="2523">
    <w:name w:val="HTML 预设格式3"/>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color w:val="000000"/>
      <w:kern w:val="0"/>
      <w:sz w:val="24"/>
      <w:szCs w:val="24"/>
    </w:rPr>
  </w:style>
  <w:style w:type="paragraph" w:customStyle="1" w:styleId="2524">
    <w:name w:val="正文首行缩进 221"/>
    <w:basedOn w:val="2525"/>
    <w:qFormat/>
    <w:uiPriority w:val="0"/>
    <w:pPr>
      <w:widowControl w:val="0"/>
      <w:snapToGrid w:val="0"/>
      <w:spacing w:after="120" w:line="480" w:lineRule="exact"/>
      <w:ind w:left="420" w:leftChars="200" w:firstLine="420" w:firstLineChars="200"/>
      <w:jc w:val="both"/>
      <w:textAlignment w:val="auto"/>
    </w:pPr>
    <w:rPr>
      <w:rFonts w:ascii="楷体_GB2312" w:hAnsi="等线" w:eastAsia="楷体_GB2312" w:cs="Times New Roman"/>
      <w:kern w:val="2"/>
      <w:sz w:val="28"/>
    </w:rPr>
  </w:style>
  <w:style w:type="paragraph" w:customStyle="1" w:styleId="2525">
    <w:name w:val="正文文本缩进21"/>
    <w:basedOn w:val="1"/>
    <w:qFormat/>
    <w:uiPriority w:val="0"/>
    <w:pPr>
      <w:widowControl/>
      <w:adjustRightInd w:val="0"/>
      <w:spacing w:line="360" w:lineRule="atLeast"/>
      <w:ind w:left="280" w:firstLine="560"/>
      <w:jc w:val="left"/>
      <w:textAlignment w:val="baseline"/>
    </w:pPr>
    <w:rPr>
      <w:rFonts w:ascii="宋体" w:hAnsi="宋体" w:eastAsia="宋体" w:cs="宋体"/>
      <w:kern w:val="0"/>
      <w:sz w:val="24"/>
      <w:szCs w:val="24"/>
    </w:rPr>
  </w:style>
  <w:style w:type="paragraph" w:customStyle="1" w:styleId="2526">
    <w:name w:val="xl305"/>
    <w:basedOn w:val="1"/>
    <w:qFormat/>
    <w:uiPriority w:val="0"/>
    <w:pPr>
      <w:widowControl/>
      <w:pBdr>
        <w:top w:val="single" w:color="auto" w:sz="4" w:space="0"/>
        <w:left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527">
    <w:name w:val="xl2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000000"/>
      <w:kern w:val="0"/>
      <w:sz w:val="20"/>
      <w:szCs w:val="20"/>
    </w:rPr>
  </w:style>
  <w:style w:type="paragraph" w:customStyle="1" w:styleId="2528">
    <w:name w:val="xl2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529">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530">
    <w:name w:val="样式 样式6 + 居中"/>
    <w:basedOn w:val="1412"/>
    <w:qFormat/>
    <w:uiPriority w:val="0"/>
    <w:pPr>
      <w:topLinePunct/>
      <w:adjustRightInd/>
      <w:snapToGrid/>
      <w:spacing w:line="240" w:lineRule="auto"/>
      <w:ind w:firstLine="360" w:firstLineChars="0"/>
      <w:jc w:val="center"/>
      <w:textAlignment w:val="auto"/>
    </w:pPr>
    <w:rPr>
      <w:rFonts w:ascii="Times New Roman"/>
      <w:sz w:val="18"/>
      <w:szCs w:val="20"/>
    </w:rPr>
  </w:style>
  <w:style w:type="paragraph" w:customStyle="1" w:styleId="2531">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32">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2"/>
      <w:szCs w:val="22"/>
    </w:rPr>
  </w:style>
  <w:style w:type="paragraph" w:customStyle="1" w:styleId="2533">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34">
    <w:name w:val="xl12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kern w:val="0"/>
      <w:sz w:val="24"/>
      <w:szCs w:val="24"/>
    </w:rPr>
  </w:style>
  <w:style w:type="paragraph" w:customStyle="1" w:styleId="2535">
    <w:name w:val="xl2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36">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37">
    <w:name w:val="Знак Знак13"/>
    <w:basedOn w:val="1"/>
    <w:qFormat/>
    <w:uiPriority w:val="0"/>
    <w:rPr>
      <w:rFonts w:ascii="Times New Roman" w:hAnsi="Times New Roman" w:eastAsia="宋体" w:cs="Times New Roman"/>
      <w:szCs w:val="24"/>
    </w:rPr>
  </w:style>
  <w:style w:type="paragraph" w:customStyle="1" w:styleId="2538">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FF0000"/>
      <w:kern w:val="0"/>
      <w:sz w:val="20"/>
      <w:szCs w:val="20"/>
    </w:rPr>
  </w:style>
  <w:style w:type="paragraph" w:customStyle="1" w:styleId="253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2540">
    <w:name w:val="xl194"/>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left"/>
    </w:pPr>
    <w:rPr>
      <w:rFonts w:ascii="方正综艺简体" w:hAnsi="宋体" w:eastAsia="方正综艺简体" w:cs="宋体"/>
      <w:color w:val="000000"/>
      <w:kern w:val="0"/>
      <w:sz w:val="20"/>
      <w:szCs w:val="20"/>
    </w:rPr>
  </w:style>
  <w:style w:type="paragraph" w:customStyle="1" w:styleId="2541">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42">
    <w:name w:val="xl2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43">
    <w:name w:val="文本"/>
    <w:basedOn w:val="1"/>
    <w:next w:val="32"/>
    <w:qFormat/>
    <w:uiPriority w:val="0"/>
    <w:rPr>
      <w:rFonts w:ascii="Times New Roman" w:hAnsi="Times New Roman" w:eastAsia="宋体" w:cs="Times New Roman"/>
      <w:sz w:val="28"/>
      <w:szCs w:val="24"/>
    </w:rPr>
  </w:style>
  <w:style w:type="paragraph" w:customStyle="1" w:styleId="2544">
    <w:name w:val="A标题2"/>
    <w:basedOn w:val="5"/>
    <w:qFormat/>
    <w:uiPriority w:val="0"/>
    <w:pPr>
      <w:keepLines/>
      <w:numPr>
        <w:ilvl w:val="0"/>
        <w:numId w:val="0"/>
      </w:numPr>
      <w:spacing w:before="240" w:beforeAutospacing="0" w:after="240" w:line="480" w:lineRule="exact"/>
      <w:ind w:left="420" w:firstLine="480" w:firstLineChars="200"/>
      <w:jc w:val="both"/>
    </w:pPr>
    <w:rPr>
      <w:rFonts w:ascii="Times New Roman" w:hAnsi="Times New Roman" w:eastAsia="方正黑体简体" w:cs="Times New Roman"/>
      <w:bCs w:val="0"/>
      <w:sz w:val="24"/>
      <w:szCs w:val="24"/>
    </w:rPr>
  </w:style>
  <w:style w:type="paragraph" w:customStyle="1" w:styleId="2545">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46">
    <w:name w:val="索引 211"/>
    <w:basedOn w:val="1"/>
    <w:next w:val="1"/>
    <w:qFormat/>
    <w:uiPriority w:val="0"/>
    <w:pPr>
      <w:spacing w:line="480" w:lineRule="exact"/>
      <w:ind w:left="200" w:leftChars="200"/>
    </w:pPr>
    <w:rPr>
      <w:rFonts w:ascii="Times New Roman" w:hAnsi="Times New Roman" w:eastAsia="宋体" w:cs="Times New Roman"/>
      <w:sz w:val="24"/>
      <w:szCs w:val="24"/>
    </w:rPr>
  </w:style>
  <w:style w:type="paragraph" w:customStyle="1" w:styleId="2547">
    <w:name w:val="Char Char2 Char Char Char1 Char Char Char Char Char Char Char1"/>
    <w:basedOn w:val="1"/>
    <w:qFormat/>
    <w:uiPriority w:val="0"/>
    <w:rPr>
      <w:rFonts w:ascii="Times New Roman" w:hAnsi="Times New Roman" w:eastAsia="宋体" w:cs="Times New Roman"/>
      <w:szCs w:val="24"/>
    </w:rPr>
  </w:style>
  <w:style w:type="paragraph" w:customStyle="1" w:styleId="2548">
    <w:name w:val="样式 非加粗"/>
    <w:basedOn w:val="1"/>
    <w:qFormat/>
    <w:uiPriority w:val="0"/>
    <w:pPr>
      <w:spacing w:line="440" w:lineRule="exact"/>
      <w:ind w:firstLine="480" w:firstLineChars="200"/>
    </w:pPr>
    <w:rPr>
      <w:rFonts w:ascii="Times New Roman" w:hAnsi="Times New Roman" w:eastAsia="宋体" w:cs="Times New Roman"/>
      <w:sz w:val="24"/>
      <w:szCs w:val="24"/>
    </w:rPr>
  </w:style>
  <w:style w:type="paragraph" w:customStyle="1" w:styleId="2549">
    <w:name w:val="xl2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50">
    <w:name w:val="xl14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kern w:val="0"/>
    </w:rPr>
  </w:style>
  <w:style w:type="paragraph" w:customStyle="1" w:styleId="2551">
    <w:name w:val="列出段落11"/>
    <w:basedOn w:val="1"/>
    <w:qFormat/>
    <w:uiPriority w:val="99"/>
    <w:pPr>
      <w:ind w:firstLine="420" w:firstLineChars="200"/>
    </w:pPr>
    <w:rPr>
      <w:rFonts w:ascii="Calibri" w:hAnsi="Calibri" w:eastAsia="宋体" w:cs="Times New Roman"/>
      <w:szCs w:val="22"/>
    </w:rPr>
  </w:style>
  <w:style w:type="paragraph" w:customStyle="1" w:styleId="2552">
    <w:name w:val="xl278"/>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553">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color w:val="FF0000"/>
      <w:kern w:val="0"/>
    </w:rPr>
  </w:style>
  <w:style w:type="paragraph" w:customStyle="1" w:styleId="2555">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56">
    <w:name w:val="正文三级标题"/>
    <w:basedOn w:val="1"/>
    <w:qFormat/>
    <w:uiPriority w:val="0"/>
    <w:pPr>
      <w:spacing w:before="120" w:after="120" w:line="480" w:lineRule="exact"/>
      <w:ind w:firstLine="600" w:firstLineChars="200"/>
      <w:outlineLvl w:val="2"/>
    </w:pPr>
    <w:rPr>
      <w:rFonts w:ascii="Times New Roman" w:hAnsi="Times New Roman" w:eastAsia="黑体" w:cs="Times New Roman"/>
      <w:sz w:val="30"/>
      <w:szCs w:val="24"/>
    </w:rPr>
  </w:style>
  <w:style w:type="paragraph" w:customStyle="1" w:styleId="2557">
    <w:name w:val="xl261"/>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558">
    <w:name w:val="样式 表头 + 左侧:  0.99 字符"/>
    <w:basedOn w:val="249"/>
    <w:qFormat/>
    <w:uiPriority w:val="0"/>
    <w:pPr>
      <w:ind w:left="277" w:leftChars="350" w:firstLine="480"/>
      <w:jc w:val="left"/>
    </w:pPr>
    <w:rPr>
      <w:rFonts w:eastAsia="宋体" w:cs="宋体"/>
      <w:b/>
      <w:bCs/>
      <w:snapToGrid w:val="0"/>
      <w:sz w:val="28"/>
      <w:lang w:val="zh-CN"/>
    </w:rPr>
  </w:style>
  <w:style w:type="paragraph" w:customStyle="1" w:styleId="2559">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60">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61">
    <w:name w:val="正文文本 25"/>
    <w:basedOn w:val="1"/>
    <w:qFormat/>
    <w:uiPriority w:val="0"/>
    <w:pPr>
      <w:adjustRightInd w:val="0"/>
      <w:jc w:val="center"/>
      <w:textAlignment w:val="baseline"/>
    </w:pPr>
    <w:rPr>
      <w:rFonts w:ascii="Arial" w:hAnsi="Arial" w:eastAsia="Arial" w:cs="Times New Roman"/>
      <w:szCs w:val="20"/>
    </w:rPr>
  </w:style>
  <w:style w:type="paragraph" w:customStyle="1" w:styleId="2562">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rPr>
  </w:style>
  <w:style w:type="paragraph" w:customStyle="1" w:styleId="2563">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0"/>
      <w:szCs w:val="20"/>
    </w:rPr>
  </w:style>
  <w:style w:type="paragraph" w:customStyle="1" w:styleId="2564">
    <w:name w:val="xl265"/>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565">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rPr>
  </w:style>
  <w:style w:type="paragraph" w:customStyle="1" w:styleId="2566">
    <w:name w:val="xl2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2567">
    <w:name w:val="xl1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2"/>
      <w:szCs w:val="22"/>
    </w:rPr>
  </w:style>
  <w:style w:type="paragraph" w:customStyle="1" w:styleId="2568">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69">
    <w:name w:val="标题0"/>
    <w:basedOn w:val="1"/>
    <w:qFormat/>
    <w:uiPriority w:val="0"/>
    <w:pPr>
      <w:adjustRightInd w:val="0"/>
      <w:snapToGrid w:val="0"/>
      <w:spacing w:beforeLines="50" w:afterLines="100" w:line="700" w:lineRule="exact"/>
      <w:jc w:val="center"/>
    </w:pPr>
    <w:rPr>
      <w:rFonts w:ascii="黑体" w:hAnsi="Times New Roman" w:eastAsia="黑体" w:cs="Times New Roman"/>
      <w:kern w:val="0"/>
      <w:sz w:val="44"/>
      <w:szCs w:val="44"/>
    </w:rPr>
  </w:style>
  <w:style w:type="paragraph" w:customStyle="1" w:styleId="2570">
    <w:name w:val="索引标题1"/>
    <w:basedOn w:val="1"/>
    <w:next w:val="2502"/>
    <w:qFormat/>
    <w:uiPriority w:val="0"/>
    <w:pPr>
      <w:spacing w:line="480" w:lineRule="exact"/>
    </w:pPr>
    <w:rPr>
      <w:rFonts w:ascii="Arial" w:hAnsi="Arial" w:eastAsia="宋体" w:cs="Arial"/>
      <w:b/>
      <w:bCs/>
      <w:sz w:val="24"/>
      <w:szCs w:val="24"/>
    </w:rPr>
  </w:style>
  <w:style w:type="paragraph" w:customStyle="1" w:styleId="2571">
    <w:name w:val="样式 样式5 + 段前: 0.5 行 段后: 0.3 行2"/>
    <w:basedOn w:val="1236"/>
    <w:qFormat/>
    <w:uiPriority w:val="0"/>
    <w:pPr>
      <w:topLinePunct/>
      <w:adjustRightInd/>
      <w:snapToGrid/>
      <w:spacing w:before="200" w:after="200" w:afterLines="30" w:line="240" w:lineRule="auto"/>
      <w:ind w:firstLine="0"/>
      <w:jc w:val="center"/>
      <w:textAlignment w:val="auto"/>
    </w:pPr>
    <w:rPr>
      <w:rFonts w:hint="eastAsia" w:ascii="方正黑体简体" w:hAnsi="Arial" w:eastAsia="方正黑体简体"/>
      <w:snapToGrid w:val="0"/>
      <w:kern w:val="2"/>
      <w:szCs w:val="28"/>
    </w:rPr>
  </w:style>
  <w:style w:type="paragraph" w:customStyle="1" w:styleId="2572">
    <w:name w:val="xl16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color w:val="000000"/>
      <w:kern w:val="0"/>
      <w:sz w:val="20"/>
      <w:szCs w:val="20"/>
    </w:rPr>
  </w:style>
  <w:style w:type="paragraph" w:customStyle="1" w:styleId="2573">
    <w:name w:val="Char81"/>
    <w:basedOn w:val="1"/>
    <w:next w:val="1654"/>
    <w:qFormat/>
    <w:uiPriority w:val="0"/>
    <w:pPr>
      <w:spacing w:line="360" w:lineRule="auto"/>
      <w:ind w:firstLine="480" w:firstLineChars="200"/>
    </w:pPr>
    <w:rPr>
      <w:rFonts w:ascii="Times New Roman" w:hAnsi="Times New Roman" w:eastAsia="宋体" w:cs="Times New Roman"/>
      <w:kern w:val="0"/>
      <w:sz w:val="24"/>
      <w:szCs w:val="24"/>
    </w:rPr>
  </w:style>
  <w:style w:type="paragraph" w:customStyle="1" w:styleId="2574">
    <w:name w:val="xl252"/>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575">
    <w:name w:val="xl2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2"/>
      <w:szCs w:val="22"/>
    </w:rPr>
  </w:style>
  <w:style w:type="paragraph" w:customStyle="1" w:styleId="2576">
    <w:name w:val="正文五级"/>
    <w:basedOn w:val="1"/>
    <w:qFormat/>
    <w:uiPriority w:val="0"/>
    <w:pPr>
      <w:tabs>
        <w:tab w:val="left" w:pos="840"/>
      </w:tabs>
      <w:spacing w:line="480" w:lineRule="exact"/>
      <w:ind w:left="840" w:hanging="420"/>
      <w:jc w:val="left"/>
      <w:outlineLvl w:val="4"/>
    </w:pPr>
    <w:rPr>
      <w:rFonts w:ascii="Times New Roman" w:hAnsi="Times New Roman" w:eastAsia="仿宋_GB2312" w:cs="Times New Roman"/>
      <w:b/>
      <w:sz w:val="30"/>
      <w:szCs w:val="30"/>
    </w:rPr>
  </w:style>
  <w:style w:type="paragraph" w:customStyle="1" w:styleId="2577">
    <w:name w:val="xl275"/>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left"/>
    </w:pPr>
    <w:rPr>
      <w:rFonts w:ascii="宋体" w:hAnsi="宋体" w:eastAsia="宋体" w:cs="宋体"/>
      <w:b/>
      <w:bCs/>
      <w:kern w:val="0"/>
      <w:sz w:val="20"/>
      <w:szCs w:val="20"/>
    </w:rPr>
  </w:style>
  <w:style w:type="paragraph" w:customStyle="1" w:styleId="2578">
    <w:name w:val="xl292"/>
    <w:basedOn w:val="1"/>
    <w:qFormat/>
    <w:uiPriority w:val="0"/>
    <w:pPr>
      <w:widowControl/>
      <w:pBdr>
        <w:left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579">
    <w:name w:val="样式11"/>
    <w:basedOn w:val="3"/>
    <w:qFormat/>
    <w:uiPriority w:val="0"/>
    <w:pPr>
      <w:keepNext/>
      <w:keepLines/>
      <w:adjustRightInd/>
      <w:snapToGrid/>
      <w:spacing w:before="340" w:beforeAutospacing="0" w:after="330" w:line="520" w:lineRule="exact"/>
      <w:ind w:left="420" w:hanging="420"/>
      <w:jc w:val="both"/>
    </w:pPr>
    <w:rPr>
      <w:rFonts w:ascii="Times New Roman" w:eastAsia="仿宋_GB2312" w:cs="Times New Roman"/>
      <w:bCs/>
      <w:sz w:val="28"/>
      <w:szCs w:val="28"/>
    </w:rPr>
  </w:style>
  <w:style w:type="paragraph" w:customStyle="1" w:styleId="2580">
    <w:name w:val="样式 首行缩进:  2 字符2"/>
    <w:basedOn w:val="1"/>
    <w:qFormat/>
    <w:uiPriority w:val="0"/>
    <w:pPr>
      <w:adjustRightInd w:val="0"/>
      <w:snapToGrid w:val="0"/>
      <w:spacing w:line="400" w:lineRule="exact"/>
      <w:ind w:firstLine="200" w:firstLineChars="200"/>
    </w:pPr>
    <w:rPr>
      <w:rFonts w:ascii="Times New Roman" w:hAnsi="Times New Roman" w:eastAsia="宋体" w:cs="宋体"/>
      <w:kern w:val="0"/>
      <w:sz w:val="24"/>
      <w:szCs w:val="28"/>
    </w:rPr>
  </w:style>
  <w:style w:type="paragraph" w:customStyle="1" w:styleId="2581">
    <w:name w:val="xl301"/>
    <w:basedOn w:val="1"/>
    <w:qFormat/>
    <w:uiPriority w:val="0"/>
    <w:pPr>
      <w:widowControl/>
      <w:pBdr>
        <w:bottom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582">
    <w:name w:val="xl2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szCs w:val="22"/>
    </w:rPr>
  </w:style>
  <w:style w:type="paragraph" w:customStyle="1" w:styleId="2583">
    <w:name w:val="xl14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kern w:val="0"/>
      <w:sz w:val="22"/>
      <w:szCs w:val="22"/>
    </w:rPr>
  </w:style>
  <w:style w:type="paragraph" w:customStyle="1" w:styleId="2584">
    <w:name w:val="xl2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宋体" w:cs="宋体"/>
      <w:color w:val="FF0000"/>
      <w:kern w:val="0"/>
    </w:rPr>
  </w:style>
  <w:style w:type="paragraph" w:customStyle="1" w:styleId="2585">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86">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87">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588">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89">
    <w:name w:val="xl314"/>
    <w:basedOn w:val="1"/>
    <w:qFormat/>
    <w:uiPriority w:val="0"/>
    <w:pPr>
      <w:widowControl/>
      <w:pBdr>
        <w:top w:val="single" w:color="auto" w:sz="4" w:space="0"/>
      </w:pBdr>
      <w:shd w:val="clear" w:color="auto" w:fill="FFCC0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590">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00"/>
      <w:kern w:val="0"/>
    </w:rPr>
  </w:style>
  <w:style w:type="paragraph" w:customStyle="1" w:styleId="2591">
    <w:name w:val="Char Char Char Char Char Char Char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592">
    <w:name w:val="样式 黑体 小二 居中 段前: 140 磅 行距: 固定值 35 磅"/>
    <w:basedOn w:val="1"/>
    <w:qFormat/>
    <w:uiPriority w:val="0"/>
    <w:pPr>
      <w:adjustRightInd w:val="0"/>
      <w:snapToGrid w:val="0"/>
      <w:spacing w:before="2000" w:line="700" w:lineRule="exact"/>
      <w:jc w:val="center"/>
    </w:pPr>
    <w:rPr>
      <w:rFonts w:ascii="黑体" w:hAnsi="Times New Roman" w:eastAsia="黑体" w:cs="宋体"/>
      <w:kern w:val="0"/>
      <w:sz w:val="36"/>
      <w:szCs w:val="20"/>
    </w:rPr>
  </w:style>
  <w:style w:type="paragraph" w:customStyle="1" w:styleId="2593">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94">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595">
    <w:name w:val="WPSOffice手动目录 2"/>
    <w:qFormat/>
    <w:uiPriority w:val="0"/>
    <w:pPr>
      <w:ind w:left="200" w:leftChars="200"/>
    </w:pPr>
    <w:rPr>
      <w:rFonts w:ascii="Calibri" w:hAnsi="Calibri" w:eastAsia="宋体" w:cs="Times New Roman"/>
      <w:lang w:val="en-US" w:eastAsia="zh-CN" w:bidi="ar-SA"/>
    </w:rPr>
  </w:style>
  <w:style w:type="paragraph" w:customStyle="1" w:styleId="2596">
    <w:name w:val="xl2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2597">
    <w:name w:val="正文首行缩进 211"/>
    <w:basedOn w:val="1"/>
    <w:qFormat/>
    <w:uiPriority w:val="0"/>
    <w:pPr>
      <w:spacing w:after="120"/>
      <w:ind w:left="420" w:firstLine="420"/>
    </w:pPr>
    <w:rPr>
      <w:rFonts w:ascii="Times New Roman" w:hAnsi="Times New Roman" w:eastAsia="宋体" w:cs="Times New Roman"/>
      <w:sz w:val="24"/>
      <w:szCs w:val="20"/>
    </w:rPr>
  </w:style>
  <w:style w:type="paragraph" w:customStyle="1" w:styleId="2598">
    <w:name w:val="Знак Знак11"/>
    <w:basedOn w:val="1"/>
    <w:qFormat/>
    <w:uiPriority w:val="0"/>
    <w:rPr>
      <w:rFonts w:ascii="Times New Roman" w:hAnsi="Times New Roman" w:eastAsia="宋体" w:cs="Times New Roman"/>
      <w:szCs w:val="24"/>
    </w:rPr>
  </w:style>
  <w:style w:type="paragraph" w:customStyle="1" w:styleId="2599">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00">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01">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02">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宋体" w:cs="宋体"/>
      <w:b/>
      <w:bCs/>
      <w:kern w:val="0"/>
    </w:rPr>
  </w:style>
  <w:style w:type="paragraph" w:customStyle="1" w:styleId="2603">
    <w:name w:val="样式 宋体 10 磅 左 行距: 单倍行距"/>
    <w:basedOn w:val="1"/>
    <w:qFormat/>
    <w:uiPriority w:val="0"/>
    <w:pPr>
      <w:adjustRightInd w:val="0"/>
      <w:snapToGrid w:val="0"/>
      <w:jc w:val="center"/>
    </w:pPr>
    <w:rPr>
      <w:rFonts w:ascii="宋体" w:hAnsi="Times New Roman" w:eastAsia="宋体" w:cs="宋体"/>
      <w:kern w:val="0"/>
      <w:sz w:val="20"/>
      <w:szCs w:val="20"/>
    </w:rPr>
  </w:style>
  <w:style w:type="paragraph" w:customStyle="1" w:styleId="2604">
    <w:name w:val="日期3"/>
    <w:basedOn w:val="1"/>
    <w:next w:val="1"/>
    <w:qFormat/>
    <w:uiPriority w:val="0"/>
    <w:rPr>
      <w:rFonts w:ascii="宋体" w:hAnsi="Times New Roman" w:eastAsia="宋体" w:cs="Times New Roman"/>
      <w:sz w:val="28"/>
      <w:szCs w:val="20"/>
    </w:rPr>
  </w:style>
  <w:style w:type="paragraph" w:customStyle="1" w:styleId="2605">
    <w:name w:val="zw"/>
    <w:basedOn w:val="1"/>
    <w:qFormat/>
    <w:uiPriority w:val="0"/>
    <w:pPr>
      <w:snapToGrid w:val="0"/>
      <w:spacing w:line="400" w:lineRule="exact"/>
      <w:outlineLvl w:val="0"/>
    </w:pPr>
    <w:rPr>
      <w:rFonts w:ascii="Times New Roman" w:hAnsi="Times New Roman" w:eastAsia="楷体_GB2312" w:cs="Times New Roman"/>
      <w:sz w:val="28"/>
      <w:szCs w:val="20"/>
    </w:rPr>
  </w:style>
  <w:style w:type="paragraph" w:customStyle="1" w:styleId="2606">
    <w:name w:val="普通(网站)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07">
    <w:name w:val="标题 5 + 首行缩进:  2 字符"/>
    <w:basedOn w:val="8"/>
    <w:next w:val="1"/>
    <w:qFormat/>
    <w:uiPriority w:val="0"/>
    <w:pPr>
      <w:widowControl w:val="0"/>
      <w:numPr>
        <w:ilvl w:val="0"/>
        <w:numId w:val="0"/>
      </w:numPr>
      <w:tabs>
        <w:tab w:val="left" w:pos="1260"/>
      </w:tabs>
      <w:spacing w:before="0" w:beforeAutospacing="0" w:line="440" w:lineRule="exact"/>
      <w:ind w:firstLine="562" w:firstLineChars="200"/>
      <w:jc w:val="both"/>
    </w:pPr>
    <w:rPr>
      <w:rFonts w:ascii="Times New Roman" w:hAnsi="Times New Roman" w:cs="宋体"/>
      <w:b/>
      <w:sz w:val="28"/>
      <w:szCs w:val="20"/>
    </w:rPr>
  </w:style>
  <w:style w:type="paragraph" w:customStyle="1" w:styleId="2608">
    <w:name w:val="xl13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kern w:val="0"/>
      <w:sz w:val="24"/>
      <w:szCs w:val="24"/>
    </w:rPr>
  </w:style>
  <w:style w:type="paragraph" w:customStyle="1" w:styleId="2609">
    <w:name w:val="Char Char2 Char Char Char Char Char Char Char Char Char Char Char Char Char Char"/>
    <w:basedOn w:val="1"/>
    <w:qFormat/>
    <w:uiPriority w:val="0"/>
    <w:pPr>
      <w:spacing w:beforeLines="20" w:afterLines="20" w:line="300" w:lineRule="auto"/>
    </w:pPr>
    <w:rPr>
      <w:rFonts w:ascii="Times New Roman" w:hAnsi="Times New Roman" w:eastAsia="宋体" w:cs="Times New Roman"/>
      <w:sz w:val="28"/>
      <w:szCs w:val="24"/>
    </w:rPr>
  </w:style>
  <w:style w:type="paragraph" w:customStyle="1" w:styleId="2610">
    <w:name w:val="目录一级标题"/>
    <w:basedOn w:val="2308"/>
    <w:qFormat/>
    <w:uiPriority w:val="0"/>
    <w:pPr>
      <w:jc w:val="left"/>
    </w:pPr>
    <w:rPr>
      <w:rFonts w:eastAsia="宋体"/>
      <w:sz w:val="28"/>
    </w:rPr>
  </w:style>
  <w:style w:type="paragraph" w:customStyle="1" w:styleId="2611">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12">
    <w:name w:val="xl2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13">
    <w:name w:val="正文二级"/>
    <w:basedOn w:val="1"/>
    <w:qFormat/>
    <w:uiPriority w:val="0"/>
    <w:pPr>
      <w:tabs>
        <w:tab w:val="left" w:pos="0"/>
      </w:tabs>
      <w:spacing w:before="240" w:after="120"/>
      <w:outlineLvl w:val="1"/>
    </w:pPr>
    <w:rPr>
      <w:rFonts w:ascii="Times New Roman" w:hAnsi="Times New Roman" w:eastAsia="黑体" w:cs="Times New Roman"/>
      <w:bCs/>
      <w:kern w:val="44"/>
      <w:sz w:val="32"/>
      <w:szCs w:val="36"/>
    </w:rPr>
  </w:style>
  <w:style w:type="paragraph" w:customStyle="1" w:styleId="2614">
    <w:name w:val="样式 表头 + 左侧:  0.99 字符 首行缩进:  3.19 厘米"/>
    <w:basedOn w:val="249"/>
    <w:qFormat/>
    <w:uiPriority w:val="0"/>
    <w:pPr>
      <w:ind w:left="1120" w:leftChars="400" w:firstLine="480"/>
      <w:jc w:val="left"/>
    </w:pPr>
    <w:rPr>
      <w:rFonts w:eastAsia="宋体" w:cs="宋体"/>
      <w:b/>
      <w:bCs/>
      <w:snapToGrid w:val="0"/>
      <w:sz w:val="28"/>
      <w:lang w:val="zh-CN"/>
    </w:rPr>
  </w:style>
  <w:style w:type="paragraph" w:customStyle="1" w:styleId="2615">
    <w:name w:val="批注主题12"/>
    <w:basedOn w:val="27"/>
    <w:next w:val="27"/>
    <w:qFormat/>
    <w:uiPriority w:val="0"/>
    <w:pPr>
      <w:adjustRightInd w:val="0"/>
      <w:snapToGrid w:val="0"/>
      <w:spacing w:line="480" w:lineRule="exact"/>
    </w:pPr>
    <w:rPr>
      <w:rFonts w:ascii="Times New Roman" w:hAnsi="Times New Roman" w:eastAsia="宋体" w:cs="Times New Roman"/>
      <w:b/>
      <w:bCs/>
      <w:sz w:val="24"/>
      <w:szCs w:val="24"/>
    </w:rPr>
  </w:style>
  <w:style w:type="paragraph" w:customStyle="1" w:styleId="2616">
    <w:name w:val="xl316"/>
    <w:basedOn w:val="1"/>
    <w:qFormat/>
    <w:uiPriority w:val="0"/>
    <w:pPr>
      <w:widowControl/>
      <w:pBdr>
        <w:top w:val="single" w:color="auto" w:sz="4" w:space="0"/>
        <w:right w:val="single" w:color="auto" w:sz="4" w:space="0"/>
      </w:pBdr>
      <w:shd w:val="clear" w:color="auto" w:fill="FFCC0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61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rPr>
  </w:style>
  <w:style w:type="paragraph" w:customStyle="1" w:styleId="2618">
    <w:name w:val="xl2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19">
    <w:name w:val="样式 标题 2节标题 + 小三 加粗 段前: 6 磅 行距: 1.5 倍行距"/>
    <w:basedOn w:val="5"/>
    <w:qFormat/>
    <w:uiPriority w:val="0"/>
    <w:pPr>
      <w:keepLines/>
      <w:numPr>
        <w:ilvl w:val="0"/>
        <w:numId w:val="0"/>
      </w:numPr>
      <w:spacing w:before="240" w:beforeAutospacing="0" w:after="240" w:line="240" w:lineRule="auto"/>
      <w:ind w:left="420" w:hanging="420"/>
      <w:jc w:val="center"/>
    </w:pPr>
    <w:rPr>
      <w:rFonts w:ascii="Times New Roman" w:hAnsi="Times New Roman" w:cs="宋体"/>
      <w:b/>
      <w:sz w:val="30"/>
      <w:szCs w:val="20"/>
    </w:rPr>
  </w:style>
  <w:style w:type="paragraph" w:customStyle="1" w:styleId="2620">
    <w:name w:val="样式 标题3 + 黑体 行距: 固定值 23 磅"/>
    <w:basedOn w:val="1"/>
    <w:qFormat/>
    <w:uiPriority w:val="0"/>
    <w:pPr>
      <w:keepNext/>
      <w:keepLines/>
      <w:topLinePunct/>
      <w:adjustRightInd w:val="0"/>
      <w:spacing w:line="460" w:lineRule="exact"/>
      <w:outlineLvl w:val="2"/>
    </w:pPr>
    <w:rPr>
      <w:rFonts w:ascii="Times New Roman" w:hAnsi="Times New Roman" w:eastAsia="楷体_GB2312" w:cs="宋体"/>
      <w:b/>
      <w:color w:val="000000"/>
      <w:kern w:val="0"/>
      <w:sz w:val="28"/>
      <w:szCs w:val="20"/>
    </w:rPr>
  </w:style>
  <w:style w:type="paragraph" w:customStyle="1" w:styleId="2621">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22">
    <w:name w:val="xl280"/>
    <w:basedOn w:val="1"/>
    <w:qFormat/>
    <w:uiPriority w:val="0"/>
    <w:pPr>
      <w:widowControl/>
      <w:pBdr>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623">
    <w:name w:val="正文居中"/>
    <w:basedOn w:val="1"/>
    <w:qFormat/>
    <w:uiPriority w:val="0"/>
    <w:pPr>
      <w:jc w:val="center"/>
    </w:pPr>
    <w:rPr>
      <w:rFonts w:ascii="Times New Roman" w:hAnsi="Times New Roman" w:eastAsia="宋体" w:cs="Times New Roman"/>
      <w:szCs w:val="20"/>
    </w:rPr>
  </w:style>
  <w:style w:type="paragraph" w:customStyle="1" w:styleId="2624">
    <w:name w:val="正文文本 311"/>
    <w:basedOn w:val="1"/>
    <w:qFormat/>
    <w:uiPriority w:val="0"/>
    <w:pPr>
      <w:spacing w:line="240" w:lineRule="exact"/>
    </w:pPr>
    <w:rPr>
      <w:rFonts w:ascii="Times New Roman" w:hAnsi="Times New Roman" w:eastAsia="宋体" w:cs="Times New Roman"/>
      <w:sz w:val="18"/>
      <w:szCs w:val="20"/>
    </w:rPr>
  </w:style>
  <w:style w:type="paragraph" w:customStyle="1" w:styleId="2625">
    <w:name w:val="索引 12"/>
    <w:basedOn w:val="1"/>
    <w:next w:val="1"/>
    <w:qFormat/>
    <w:uiPriority w:val="0"/>
    <w:pPr>
      <w:spacing w:line="360" w:lineRule="exact"/>
      <w:jc w:val="center"/>
    </w:pPr>
    <w:rPr>
      <w:rFonts w:ascii="宋体" w:hAnsi="宋体" w:eastAsia="宋体" w:cs="Times New Roman"/>
      <w:szCs w:val="24"/>
    </w:rPr>
  </w:style>
  <w:style w:type="paragraph" w:customStyle="1" w:styleId="2626">
    <w:name w:val="121"/>
    <w:basedOn w:val="1"/>
    <w:qFormat/>
    <w:uiPriority w:val="0"/>
    <w:pPr>
      <w:adjustRightInd w:val="0"/>
      <w:spacing w:before="120" w:line="460" w:lineRule="exact"/>
      <w:jc w:val="center"/>
      <w:outlineLvl w:val="3"/>
    </w:pPr>
    <w:rPr>
      <w:rFonts w:ascii="Times New Roman" w:hAnsi="Times New Roman" w:eastAsia="黑体" w:cs="Times New Roman"/>
      <w:kern w:val="0"/>
      <w:sz w:val="24"/>
      <w:szCs w:val="24"/>
    </w:rPr>
  </w:style>
  <w:style w:type="paragraph" w:customStyle="1" w:styleId="2627">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28">
    <w:name w:val="日期21"/>
    <w:basedOn w:val="1"/>
    <w:next w:val="1"/>
    <w:qFormat/>
    <w:uiPriority w:val="0"/>
    <w:rPr>
      <w:rFonts w:ascii="宋体" w:hAnsi="Times New Roman" w:eastAsia="宋体" w:cs="Times New Roman"/>
      <w:sz w:val="28"/>
      <w:szCs w:val="20"/>
    </w:rPr>
  </w:style>
  <w:style w:type="paragraph" w:customStyle="1" w:styleId="2629">
    <w:name w:val="xl2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Times New Roman" w:hAnsi="Times New Roman" w:eastAsia="宋体" w:cs="Times New Roman"/>
      <w:b/>
      <w:bCs/>
      <w:kern w:val="0"/>
    </w:rPr>
  </w:style>
  <w:style w:type="paragraph" w:customStyle="1" w:styleId="2630">
    <w:name w:val="xl310"/>
    <w:basedOn w:val="1"/>
    <w:qFormat/>
    <w:uiPriority w:val="0"/>
    <w:pPr>
      <w:widowControl/>
      <w:pBdr>
        <w:bottom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631">
    <w:name w:val="xl2142"/>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eastAsia="宋体" w:cs="宋体"/>
      <w:b/>
      <w:bCs/>
      <w:kern w:val="0"/>
      <w:sz w:val="24"/>
      <w:szCs w:val="24"/>
    </w:rPr>
  </w:style>
  <w:style w:type="paragraph" w:customStyle="1" w:styleId="2632">
    <w:name w:val="xl2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33">
    <w:name w:val="Char Char Char Char Char Char Char Char Char Char11"/>
    <w:basedOn w:val="1"/>
    <w:qFormat/>
    <w:uiPriority w:val="0"/>
    <w:rPr>
      <w:rFonts w:ascii="Times New Roman" w:hAnsi="Times New Roman" w:eastAsia="宋体" w:cs="Times New Roman"/>
      <w:szCs w:val="24"/>
    </w:rPr>
  </w:style>
  <w:style w:type="paragraph" w:customStyle="1" w:styleId="2634">
    <w:name w:val="xl298"/>
    <w:basedOn w:val="1"/>
    <w:qFormat/>
    <w:uiPriority w:val="0"/>
    <w:pPr>
      <w:widowControl/>
      <w:pBdr>
        <w:lef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635">
    <w:name w:val="正文四级标题"/>
    <w:basedOn w:val="1"/>
    <w:qFormat/>
    <w:uiPriority w:val="0"/>
    <w:pPr>
      <w:adjustRightInd w:val="0"/>
      <w:snapToGrid w:val="0"/>
      <w:spacing w:line="480" w:lineRule="exact"/>
      <w:ind w:firstLine="560" w:firstLineChars="200"/>
    </w:pPr>
    <w:rPr>
      <w:rFonts w:ascii="宋体" w:hAnsi="宋体" w:eastAsia="宋体" w:cs="Times New Roman"/>
      <w:bCs/>
      <w:kern w:val="0"/>
      <w:sz w:val="28"/>
      <w:szCs w:val="28"/>
    </w:rPr>
  </w:style>
  <w:style w:type="paragraph" w:customStyle="1" w:styleId="2636">
    <w:name w:val="xl2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00"/>
      <w:kern w:val="0"/>
    </w:rPr>
  </w:style>
  <w:style w:type="paragraph" w:customStyle="1" w:styleId="2637">
    <w:name w:val="索引 61"/>
    <w:basedOn w:val="1"/>
    <w:next w:val="1"/>
    <w:qFormat/>
    <w:uiPriority w:val="0"/>
    <w:pPr>
      <w:spacing w:line="480" w:lineRule="exact"/>
      <w:ind w:left="1000" w:leftChars="1000"/>
    </w:pPr>
    <w:rPr>
      <w:rFonts w:ascii="Times New Roman" w:hAnsi="Times New Roman" w:eastAsia="宋体" w:cs="Times New Roman"/>
      <w:sz w:val="24"/>
      <w:szCs w:val="24"/>
    </w:rPr>
  </w:style>
  <w:style w:type="paragraph" w:customStyle="1" w:styleId="2638">
    <w:name w:val="xl2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639">
    <w:name w:val="xl2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40">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41">
    <w:name w:val="普通(网站)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42">
    <w:name w:val="xl181"/>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color w:val="000000"/>
      <w:kern w:val="0"/>
      <w:sz w:val="20"/>
      <w:szCs w:val="20"/>
    </w:rPr>
  </w:style>
  <w:style w:type="paragraph" w:customStyle="1" w:styleId="2643">
    <w:name w:val="四级"/>
    <w:basedOn w:val="1654"/>
    <w:qFormat/>
    <w:uiPriority w:val="0"/>
    <w:pPr>
      <w:adjustRightInd/>
      <w:snapToGrid w:val="0"/>
      <w:ind w:firstLine="0"/>
      <w:textAlignment w:val="auto"/>
    </w:pPr>
    <w:rPr>
      <w:rFonts w:ascii="Times New Roman" w:hAnsi="Times New Roman" w:eastAsia="楷体_GB2312"/>
    </w:rPr>
  </w:style>
  <w:style w:type="paragraph" w:customStyle="1" w:styleId="2644">
    <w:name w:val="正文缩进11"/>
    <w:basedOn w:val="1"/>
    <w:qFormat/>
    <w:uiPriority w:val="0"/>
    <w:pPr>
      <w:adjustRightInd w:val="0"/>
      <w:snapToGrid w:val="0"/>
      <w:spacing w:line="480" w:lineRule="exact"/>
      <w:ind w:firstLine="200" w:firstLineChars="200"/>
    </w:pPr>
    <w:rPr>
      <w:rFonts w:ascii="Times New Roman" w:hAnsi="Times New Roman" w:eastAsia="方正仿宋简体" w:cs="Times New Roman"/>
      <w:sz w:val="28"/>
      <w:szCs w:val="24"/>
    </w:rPr>
  </w:style>
  <w:style w:type="paragraph" w:customStyle="1" w:styleId="2645">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46">
    <w:name w:val="xl2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kern w:val="0"/>
      <w:sz w:val="24"/>
      <w:szCs w:val="24"/>
    </w:rPr>
  </w:style>
  <w:style w:type="paragraph" w:customStyle="1" w:styleId="2647">
    <w:name w:val="xl2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48">
    <w:name w:val="xl28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color w:val="0000FF"/>
      <w:kern w:val="0"/>
      <w:sz w:val="20"/>
      <w:szCs w:val="20"/>
    </w:rPr>
  </w:style>
  <w:style w:type="paragraph" w:customStyle="1" w:styleId="2649">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50">
    <w:name w:val="列表 311"/>
    <w:basedOn w:val="1"/>
    <w:qFormat/>
    <w:uiPriority w:val="0"/>
    <w:pPr>
      <w:ind w:left="1260" w:hanging="420"/>
    </w:pPr>
    <w:rPr>
      <w:rFonts w:ascii="Times New Roman" w:hAnsi="Times New Roman" w:eastAsia="宋体" w:cs="Times New Roman"/>
      <w:szCs w:val="24"/>
    </w:rPr>
  </w:style>
  <w:style w:type="paragraph" w:customStyle="1" w:styleId="2651">
    <w:name w:val="样式 样式 标题 3 + 首行缩进:  2 字符 + 首行缩进:  2 字符"/>
    <w:basedOn w:val="1"/>
    <w:qFormat/>
    <w:uiPriority w:val="0"/>
    <w:pPr>
      <w:keepNext/>
      <w:keepLines/>
      <w:tabs>
        <w:tab w:val="left" w:pos="3900"/>
      </w:tabs>
      <w:adjustRightInd w:val="0"/>
      <w:snapToGrid w:val="0"/>
      <w:spacing w:beforeLines="50" w:line="480" w:lineRule="exact"/>
      <w:ind w:firstLine="620" w:firstLineChars="200"/>
      <w:outlineLvl w:val="2"/>
    </w:pPr>
    <w:rPr>
      <w:rFonts w:ascii="Times New Roman" w:hAnsi="Times New Roman" w:eastAsia="黑体" w:cs="宋体"/>
      <w:bCs/>
      <w:color w:val="000000"/>
      <w:kern w:val="0"/>
      <w:sz w:val="24"/>
      <w:szCs w:val="20"/>
    </w:rPr>
  </w:style>
  <w:style w:type="paragraph" w:customStyle="1" w:styleId="2652">
    <w:name w:val="xl294"/>
    <w:basedOn w:val="1"/>
    <w:qFormat/>
    <w:uiPriority w:val="0"/>
    <w:pPr>
      <w:widowControl/>
      <w:pBdr>
        <w:top w:val="single" w:color="auto" w:sz="4" w:space="0"/>
        <w:lef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653">
    <w:name w:val="文本块3"/>
    <w:basedOn w:val="1"/>
    <w:qFormat/>
    <w:uiPriority w:val="0"/>
    <w:pPr>
      <w:spacing w:line="480" w:lineRule="exact"/>
      <w:ind w:left="-143" w:leftChars="-68" w:right="-120" w:rightChars="-57"/>
      <w:jc w:val="center"/>
    </w:pPr>
    <w:rPr>
      <w:rFonts w:ascii="宋体" w:hAnsi="宋体" w:eastAsia="宋体" w:cs="Times New Roman"/>
      <w:color w:val="000000"/>
      <w:sz w:val="24"/>
      <w:szCs w:val="24"/>
    </w:rPr>
  </w:style>
  <w:style w:type="paragraph" w:customStyle="1" w:styleId="2654">
    <w:name w:val="索引 71"/>
    <w:basedOn w:val="1"/>
    <w:next w:val="1"/>
    <w:qFormat/>
    <w:uiPriority w:val="0"/>
    <w:pPr>
      <w:spacing w:line="480" w:lineRule="exact"/>
      <w:ind w:left="1200" w:leftChars="1200"/>
    </w:pPr>
    <w:rPr>
      <w:rFonts w:ascii="Times New Roman" w:hAnsi="Times New Roman" w:eastAsia="宋体" w:cs="Times New Roman"/>
      <w:sz w:val="24"/>
      <w:szCs w:val="24"/>
    </w:rPr>
  </w:style>
  <w:style w:type="paragraph" w:customStyle="1" w:styleId="2655">
    <w:name w:val="封面副标题"/>
    <w:basedOn w:val="2220"/>
    <w:qFormat/>
    <w:uiPriority w:val="0"/>
    <w:pPr>
      <w:spacing w:line="1100" w:lineRule="exact"/>
    </w:pPr>
    <w:rPr>
      <w:sz w:val="44"/>
    </w:rPr>
  </w:style>
  <w:style w:type="paragraph" w:customStyle="1" w:styleId="2656">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57">
    <w:name w:val="文档结构图22"/>
    <w:basedOn w:val="1"/>
    <w:qFormat/>
    <w:uiPriority w:val="0"/>
    <w:pPr>
      <w:shd w:val="clear" w:color="auto" w:fill="000080"/>
      <w:adjustRightInd w:val="0"/>
      <w:snapToGrid w:val="0"/>
      <w:spacing w:line="480" w:lineRule="exact"/>
      <w:ind w:firstLine="560" w:firstLineChars="200"/>
    </w:pPr>
    <w:rPr>
      <w:rFonts w:ascii="Times New Roman" w:hAnsi="Times New Roman" w:eastAsia="宋体" w:cs="Times New Roman"/>
      <w:kern w:val="0"/>
      <w:sz w:val="28"/>
      <w:szCs w:val="24"/>
    </w:rPr>
  </w:style>
  <w:style w:type="paragraph" w:customStyle="1" w:styleId="2658">
    <w:name w:val="样式 正文缩进 + 仿宋_GB2312 行距: 固定值 20 磅"/>
    <w:basedOn w:val="21"/>
    <w:qFormat/>
    <w:uiPriority w:val="0"/>
    <w:pPr>
      <w:widowControl w:val="0"/>
      <w:topLinePunct/>
      <w:adjustRightInd w:val="0"/>
      <w:spacing w:line="400" w:lineRule="exact"/>
      <w:ind w:firstLine="560" w:firstLineChars="200"/>
      <w:jc w:val="both"/>
    </w:pPr>
    <w:rPr>
      <w:rFonts w:ascii="仿宋_GB2312" w:hAnsi="Times New Roman" w:eastAsia="仿宋_GB2312" w:cs="宋体"/>
      <w:kern w:val="2"/>
      <w:sz w:val="24"/>
    </w:rPr>
  </w:style>
  <w:style w:type="paragraph" w:customStyle="1" w:styleId="2659">
    <w:name w:val="xl180"/>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660">
    <w:name w:val="样式 标题 4图标题1.1.1.1标题 4 Char + 首行缩进:  2 字符"/>
    <w:basedOn w:val="7"/>
    <w:qFormat/>
    <w:uiPriority w:val="0"/>
    <w:pPr>
      <w:keepNext w:val="0"/>
      <w:numPr>
        <w:ilvl w:val="0"/>
        <w:numId w:val="0"/>
      </w:numPr>
      <w:spacing w:before="0" w:beforeAutospacing="0" w:line="460" w:lineRule="exact"/>
      <w:ind w:firstLine="602" w:firstLineChars="200"/>
      <w:jc w:val="both"/>
    </w:pPr>
    <w:rPr>
      <w:rFonts w:ascii="Times New Roman" w:hAnsi="Times New Roman" w:eastAsia="楷体_GB2312" w:cs="宋体"/>
      <w:kern w:val="0"/>
      <w:sz w:val="30"/>
      <w:szCs w:val="20"/>
    </w:rPr>
  </w:style>
  <w:style w:type="paragraph" w:customStyle="1" w:styleId="2661">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FF"/>
      <w:kern w:val="0"/>
      <w:sz w:val="20"/>
      <w:szCs w:val="20"/>
    </w:rPr>
  </w:style>
  <w:style w:type="paragraph" w:customStyle="1" w:styleId="2662">
    <w:name w:val="xl213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eastAsia="宋体" w:cs="宋体"/>
      <w:b/>
      <w:bCs/>
      <w:kern w:val="0"/>
      <w:sz w:val="22"/>
      <w:szCs w:val="22"/>
    </w:rPr>
  </w:style>
  <w:style w:type="paragraph" w:customStyle="1" w:styleId="2663">
    <w:name w:val="正文一级标题"/>
    <w:basedOn w:val="1"/>
    <w:qFormat/>
    <w:uiPriority w:val="0"/>
    <w:pPr>
      <w:spacing w:before="360" w:after="240"/>
      <w:jc w:val="center"/>
      <w:outlineLvl w:val="0"/>
    </w:pPr>
    <w:rPr>
      <w:rFonts w:ascii="Times New Roman" w:hAnsi="Times New Roman" w:eastAsia="楷体_GB2312" w:cs="Times New Roman"/>
      <w:sz w:val="36"/>
      <w:szCs w:val="24"/>
    </w:rPr>
  </w:style>
  <w:style w:type="paragraph" w:customStyle="1" w:styleId="2664">
    <w:name w:val="xl2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00"/>
      <w:kern w:val="0"/>
    </w:rPr>
  </w:style>
  <w:style w:type="paragraph" w:customStyle="1" w:styleId="2665">
    <w:name w:val="Char9"/>
    <w:basedOn w:val="1"/>
    <w:qFormat/>
    <w:uiPriority w:val="0"/>
    <w:rPr>
      <w:rFonts w:ascii="Times New Roman" w:hAnsi="Times New Roman" w:eastAsia="宋体" w:cs="Times New Roman"/>
      <w:szCs w:val="24"/>
    </w:rPr>
  </w:style>
  <w:style w:type="paragraph" w:customStyle="1" w:styleId="2666">
    <w:name w:val="xl162"/>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color w:val="000000"/>
      <w:kern w:val="0"/>
      <w:sz w:val="20"/>
      <w:szCs w:val="20"/>
    </w:rPr>
  </w:style>
  <w:style w:type="paragraph" w:customStyle="1" w:styleId="2667">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rPr>
  </w:style>
  <w:style w:type="paragraph" w:customStyle="1" w:styleId="2668">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69">
    <w:name w:val="xl23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color w:val="000000"/>
      <w:kern w:val="0"/>
      <w:sz w:val="20"/>
      <w:szCs w:val="20"/>
    </w:rPr>
  </w:style>
  <w:style w:type="paragraph" w:customStyle="1" w:styleId="2670">
    <w:name w:val="xl2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FF0000"/>
      <w:kern w:val="0"/>
    </w:rPr>
  </w:style>
  <w:style w:type="paragraph" w:customStyle="1" w:styleId="2671">
    <w:name w:val="xl2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color w:val="FF0000"/>
      <w:kern w:val="0"/>
      <w:sz w:val="24"/>
      <w:szCs w:val="24"/>
    </w:rPr>
  </w:style>
  <w:style w:type="paragraph" w:customStyle="1" w:styleId="2672">
    <w:name w:val="xl2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673">
    <w:name w:val="xl268"/>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67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宋体"/>
      <w:kern w:val="0"/>
    </w:rPr>
  </w:style>
  <w:style w:type="paragraph" w:customStyle="1" w:styleId="2675">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76">
    <w:name w:val="xl27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2677">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78">
    <w:name w:val="样式19"/>
    <w:basedOn w:val="2679"/>
    <w:qFormat/>
    <w:uiPriority w:val="0"/>
    <w:pPr>
      <w:spacing w:afterLines="50"/>
    </w:pPr>
  </w:style>
  <w:style w:type="paragraph" w:customStyle="1" w:styleId="2679">
    <w:name w:val="样式18"/>
    <w:basedOn w:val="1"/>
    <w:qFormat/>
    <w:uiPriority w:val="0"/>
    <w:pPr>
      <w:snapToGrid w:val="0"/>
      <w:spacing w:line="480" w:lineRule="exact"/>
      <w:jc w:val="center"/>
    </w:pPr>
    <w:rPr>
      <w:rFonts w:ascii="Times New Roman" w:hAnsi="Times New Roman" w:eastAsia="宋体" w:cs="宋体"/>
      <w:kern w:val="0"/>
      <w:sz w:val="24"/>
    </w:rPr>
  </w:style>
  <w:style w:type="paragraph" w:customStyle="1" w:styleId="2680">
    <w:name w:val="签署"/>
    <w:basedOn w:val="1"/>
    <w:qFormat/>
    <w:uiPriority w:val="0"/>
    <w:pPr>
      <w:adjustRightInd w:val="0"/>
      <w:snapToGrid w:val="0"/>
      <w:spacing w:line="900" w:lineRule="exact"/>
      <w:ind w:firstLine="1280" w:firstLineChars="400"/>
      <w:jc w:val="left"/>
    </w:pPr>
    <w:rPr>
      <w:rFonts w:ascii="Times New Roman" w:hAnsi="Times New Roman" w:eastAsia="黑体" w:cs="宋体"/>
      <w:sz w:val="32"/>
      <w:szCs w:val="20"/>
    </w:rPr>
  </w:style>
  <w:style w:type="paragraph" w:customStyle="1" w:styleId="2681">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82">
    <w:name w:val="Char Char1 Char Char Char Char Char Char Char Char"/>
    <w:basedOn w:val="1"/>
    <w:next w:val="47"/>
    <w:qFormat/>
    <w:uiPriority w:val="0"/>
    <w:pPr>
      <w:spacing w:line="360" w:lineRule="auto"/>
      <w:ind w:firstLine="480" w:firstLineChars="200"/>
    </w:pPr>
    <w:rPr>
      <w:rFonts w:ascii="Times New Roman" w:hAnsi="Times New Roman" w:eastAsia="宋体" w:cs="Times New Roman"/>
      <w:kern w:val="0"/>
      <w:sz w:val="24"/>
      <w:szCs w:val="24"/>
    </w:rPr>
  </w:style>
  <w:style w:type="paragraph" w:customStyle="1" w:styleId="2683">
    <w:name w:val="正文缩进2字符"/>
    <w:basedOn w:val="1"/>
    <w:next w:val="1"/>
    <w:qFormat/>
    <w:uiPriority w:val="0"/>
    <w:pPr>
      <w:widowControl/>
      <w:adjustRightInd w:val="0"/>
      <w:snapToGrid w:val="0"/>
      <w:spacing w:line="288" w:lineRule="auto"/>
      <w:ind w:firstLine="200" w:firstLineChars="200"/>
      <w:jc w:val="left"/>
    </w:pPr>
    <w:rPr>
      <w:rFonts w:ascii="宋体" w:hAnsi="宋体" w:eastAsia="宋体" w:cs="Times New Roman"/>
      <w:sz w:val="24"/>
      <w:szCs w:val="24"/>
    </w:rPr>
  </w:style>
  <w:style w:type="paragraph" w:customStyle="1" w:styleId="2684">
    <w:name w:val="xl192"/>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685">
    <w:name w:val="样式 首行缩进:  2 字符 右侧:  -0.27 厘米"/>
    <w:basedOn w:val="1"/>
    <w:qFormat/>
    <w:uiPriority w:val="0"/>
    <w:pPr>
      <w:adjustRightInd w:val="0"/>
      <w:snapToGrid w:val="0"/>
      <w:spacing w:line="460" w:lineRule="exact"/>
      <w:ind w:right="-155" w:firstLine="560" w:firstLineChars="200"/>
    </w:pPr>
    <w:rPr>
      <w:rFonts w:ascii="Times New Roman" w:hAnsi="Times New Roman" w:eastAsia="宋体" w:cs="宋体"/>
      <w:kern w:val="0"/>
      <w:sz w:val="28"/>
      <w:szCs w:val="28"/>
    </w:rPr>
  </w:style>
  <w:style w:type="paragraph" w:customStyle="1" w:styleId="2686">
    <w:name w:val="xl279"/>
    <w:basedOn w:val="1"/>
    <w:qFormat/>
    <w:uiPriority w:val="0"/>
    <w:pPr>
      <w:widowControl/>
      <w:pBdr>
        <w:top w:val="single" w:color="auto" w:sz="4" w:space="0"/>
        <w:left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687">
    <w:name w:val="索引 81"/>
    <w:basedOn w:val="1"/>
    <w:next w:val="1"/>
    <w:qFormat/>
    <w:uiPriority w:val="0"/>
    <w:pPr>
      <w:spacing w:line="480" w:lineRule="exact"/>
      <w:ind w:left="1400" w:leftChars="1400"/>
    </w:pPr>
    <w:rPr>
      <w:rFonts w:ascii="Times New Roman" w:hAnsi="Times New Roman" w:eastAsia="宋体" w:cs="Times New Roman"/>
      <w:sz w:val="24"/>
      <w:szCs w:val="24"/>
    </w:rPr>
  </w:style>
  <w:style w:type="paragraph" w:customStyle="1" w:styleId="2688">
    <w:name w:val="Char Char Char Char4"/>
    <w:basedOn w:val="1"/>
    <w:qFormat/>
    <w:uiPriority w:val="0"/>
    <w:rPr>
      <w:rFonts w:ascii="Times New Roman" w:hAnsi="Times New Roman" w:eastAsia="宋体" w:cs="Times New Roman"/>
      <w:szCs w:val="24"/>
    </w:rPr>
  </w:style>
  <w:style w:type="paragraph" w:customStyle="1" w:styleId="2689">
    <w:name w:val="xl282"/>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690">
    <w:name w:val="d"/>
    <w:basedOn w:val="1654"/>
    <w:qFormat/>
    <w:uiPriority w:val="0"/>
    <w:pPr>
      <w:adjustRightInd/>
      <w:spacing w:line="420" w:lineRule="exact"/>
      <w:ind w:firstLine="480"/>
      <w:textAlignment w:val="auto"/>
    </w:pPr>
    <w:rPr>
      <w:rFonts w:ascii="Times New Roman" w:hAnsi="Times New Roman"/>
      <w:sz w:val="24"/>
    </w:rPr>
  </w:style>
  <w:style w:type="paragraph" w:customStyle="1" w:styleId="2691">
    <w:name w:val="xl315"/>
    <w:basedOn w:val="1"/>
    <w:qFormat/>
    <w:uiPriority w:val="0"/>
    <w:pPr>
      <w:widowControl/>
      <w:pBdr>
        <w:bottom w:val="single" w:color="auto" w:sz="4" w:space="0"/>
      </w:pBdr>
      <w:shd w:val="clear" w:color="auto" w:fill="FFCC0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692">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93">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0"/>
      <w:szCs w:val="20"/>
    </w:rPr>
  </w:style>
  <w:style w:type="paragraph" w:customStyle="1" w:styleId="2694">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695">
    <w:name w:val="正文文本 321"/>
    <w:basedOn w:val="1"/>
    <w:qFormat/>
    <w:uiPriority w:val="0"/>
    <w:pPr>
      <w:adjustRightInd w:val="0"/>
      <w:snapToGrid w:val="0"/>
      <w:spacing w:after="120" w:line="480" w:lineRule="exact"/>
      <w:ind w:firstLine="200" w:firstLineChars="200"/>
    </w:pPr>
    <w:rPr>
      <w:rFonts w:ascii="Times New Roman" w:hAnsi="Times New Roman" w:eastAsia="宋体" w:cs="Times New Roman"/>
      <w:kern w:val="0"/>
      <w:sz w:val="16"/>
      <w:szCs w:val="16"/>
    </w:rPr>
  </w:style>
  <w:style w:type="paragraph" w:customStyle="1" w:styleId="2696">
    <w:name w:val="封面－报告名称"/>
    <w:basedOn w:val="1"/>
    <w:next w:val="1"/>
    <w:qFormat/>
    <w:uiPriority w:val="0"/>
    <w:pPr>
      <w:adjustRightInd w:val="0"/>
      <w:snapToGrid w:val="0"/>
      <w:spacing w:before="240" w:after="240" w:line="480" w:lineRule="exact"/>
      <w:ind w:firstLine="560" w:firstLineChars="200"/>
      <w:jc w:val="center"/>
    </w:pPr>
    <w:rPr>
      <w:rFonts w:ascii="Times New Roman" w:hAnsi="Times New Roman" w:eastAsia="黑体" w:cs="Times New Roman"/>
      <w:kern w:val="0"/>
      <w:sz w:val="44"/>
      <w:szCs w:val="20"/>
    </w:rPr>
  </w:style>
  <w:style w:type="paragraph" w:customStyle="1" w:styleId="2697">
    <w:name w:val="正文文本缩进12"/>
    <w:basedOn w:val="1"/>
    <w:qFormat/>
    <w:uiPriority w:val="0"/>
    <w:pPr>
      <w:adjustRightInd w:val="0"/>
      <w:spacing w:line="360" w:lineRule="atLeast"/>
      <w:ind w:left="280" w:firstLine="560"/>
      <w:jc w:val="left"/>
    </w:pPr>
    <w:rPr>
      <w:rFonts w:ascii="Times New Roman" w:hAnsi="Times New Roman" w:eastAsia="宋体" w:cs="Times New Roman"/>
      <w:kern w:val="0"/>
      <w:sz w:val="24"/>
      <w:szCs w:val="24"/>
    </w:rPr>
  </w:style>
  <w:style w:type="paragraph" w:customStyle="1" w:styleId="2698">
    <w:name w:val="样式 标题 7 + 首行缩进:  2 字符"/>
    <w:basedOn w:val="10"/>
    <w:qFormat/>
    <w:uiPriority w:val="0"/>
    <w:pPr>
      <w:widowControl w:val="0"/>
      <w:numPr>
        <w:ilvl w:val="0"/>
        <w:numId w:val="0"/>
      </w:numPr>
      <w:tabs>
        <w:tab w:val="left" w:pos="425"/>
      </w:tabs>
      <w:snapToGrid w:val="0"/>
      <w:spacing w:before="40" w:after="64"/>
      <w:ind w:firstLine="200" w:firstLineChars="200"/>
      <w:jc w:val="both"/>
    </w:pPr>
    <w:rPr>
      <w:rFonts w:hAnsi="宋体" w:cs="宋体"/>
      <w:b/>
      <w:color w:val="000000"/>
      <w:kern w:val="0"/>
      <w:sz w:val="28"/>
      <w:szCs w:val="20"/>
    </w:rPr>
  </w:style>
  <w:style w:type="paragraph" w:customStyle="1" w:styleId="2699">
    <w:name w:val="表格标注"/>
    <w:basedOn w:val="2393"/>
    <w:qFormat/>
    <w:uiPriority w:val="0"/>
    <w:pPr>
      <w:ind w:firstLine="200" w:firstLineChars="200"/>
      <w:jc w:val="both"/>
    </w:pPr>
  </w:style>
  <w:style w:type="paragraph" w:customStyle="1" w:styleId="2700">
    <w:name w:val="xl293"/>
    <w:basedOn w:val="1"/>
    <w:qFormat/>
    <w:uiPriority w:val="0"/>
    <w:pPr>
      <w:widowControl/>
      <w:pBdr>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701">
    <w:name w:val="xl2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FF0000"/>
      <w:kern w:val="0"/>
      <w:sz w:val="24"/>
      <w:szCs w:val="24"/>
    </w:rPr>
  </w:style>
  <w:style w:type="paragraph" w:customStyle="1" w:styleId="2702">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03">
    <w:name w:val="Char8"/>
    <w:basedOn w:val="1"/>
    <w:next w:val="1654"/>
    <w:qFormat/>
    <w:uiPriority w:val="0"/>
    <w:pPr>
      <w:spacing w:line="360" w:lineRule="auto"/>
      <w:ind w:firstLine="480" w:firstLineChars="200"/>
    </w:pPr>
    <w:rPr>
      <w:rFonts w:ascii="Times New Roman" w:hAnsi="Times New Roman" w:eastAsia="宋体" w:cs="Times New Roman"/>
      <w:kern w:val="0"/>
      <w:sz w:val="24"/>
      <w:szCs w:val="24"/>
    </w:rPr>
  </w:style>
  <w:style w:type="paragraph" w:customStyle="1" w:styleId="2704">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宋体" w:cs="宋体"/>
      <w:b/>
      <w:bCs/>
      <w:color w:val="FF0000"/>
      <w:kern w:val="0"/>
    </w:rPr>
  </w:style>
  <w:style w:type="paragraph" w:customStyle="1" w:styleId="2705">
    <w:name w:val="列表11"/>
    <w:basedOn w:val="1"/>
    <w:qFormat/>
    <w:uiPriority w:val="0"/>
    <w:pPr>
      <w:jc w:val="center"/>
    </w:pPr>
    <w:rPr>
      <w:rFonts w:ascii="Times New Roman" w:hAnsi="Times New Roman" w:eastAsia="宋体" w:cs="Times New Roman"/>
      <w:kern w:val="0"/>
      <w:szCs w:val="20"/>
    </w:rPr>
  </w:style>
  <w:style w:type="paragraph" w:customStyle="1" w:styleId="2706">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07">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08">
    <w:name w:val="xl276"/>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left"/>
    </w:pPr>
    <w:rPr>
      <w:rFonts w:ascii="宋体" w:hAnsi="宋体" w:eastAsia="宋体" w:cs="宋体"/>
      <w:kern w:val="0"/>
      <w:sz w:val="20"/>
      <w:szCs w:val="20"/>
    </w:rPr>
  </w:style>
  <w:style w:type="paragraph" w:customStyle="1" w:styleId="2709">
    <w:name w:val="xl213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kern w:val="0"/>
    </w:rPr>
  </w:style>
  <w:style w:type="paragraph" w:customStyle="1" w:styleId="2710">
    <w:name w:val="xl2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11">
    <w:name w:val="样式 样式 首行缩进:  2 字符3 + 行距: 固定值 24 磅"/>
    <w:basedOn w:val="2712"/>
    <w:qFormat/>
    <w:uiPriority w:val="0"/>
    <w:pPr>
      <w:ind w:firstLine="560"/>
    </w:pPr>
  </w:style>
  <w:style w:type="paragraph" w:customStyle="1" w:styleId="2712">
    <w:name w:val="样式 首行缩进:  2 字符3"/>
    <w:basedOn w:val="1"/>
    <w:qFormat/>
    <w:uiPriority w:val="0"/>
    <w:pPr>
      <w:adjustRightInd w:val="0"/>
      <w:snapToGrid w:val="0"/>
      <w:spacing w:line="500" w:lineRule="exact"/>
      <w:ind w:firstLine="200" w:firstLineChars="200"/>
    </w:pPr>
    <w:rPr>
      <w:rFonts w:ascii="Times New Roman" w:hAnsi="Times New Roman" w:eastAsia="宋体" w:cs="宋体"/>
      <w:kern w:val="0"/>
      <w:sz w:val="28"/>
      <w:szCs w:val="20"/>
    </w:rPr>
  </w:style>
  <w:style w:type="paragraph" w:customStyle="1" w:styleId="2713">
    <w:name w:val="Char Char Char1 Char4"/>
    <w:basedOn w:val="1"/>
    <w:qFormat/>
    <w:uiPriority w:val="0"/>
    <w:pPr>
      <w:adjustRightInd w:val="0"/>
      <w:spacing w:line="360" w:lineRule="auto"/>
      <w:textAlignment w:val="baseline"/>
    </w:pPr>
    <w:rPr>
      <w:rFonts w:ascii="Times New Roman" w:hAnsi="Times New Roman" w:eastAsia="宋体" w:cs="Times New Roman"/>
      <w:kern w:val="0"/>
      <w:sz w:val="24"/>
      <w:szCs w:val="24"/>
    </w:rPr>
  </w:style>
  <w:style w:type="paragraph" w:customStyle="1" w:styleId="2714">
    <w:name w:val="索引 92"/>
    <w:basedOn w:val="1"/>
    <w:next w:val="1"/>
    <w:qFormat/>
    <w:uiPriority w:val="0"/>
    <w:pPr>
      <w:ind w:left="1600" w:leftChars="1600"/>
    </w:pPr>
    <w:rPr>
      <w:rFonts w:ascii="Times New Roman" w:hAnsi="Times New Roman" w:eastAsia="宋体" w:cs="Times New Roman"/>
      <w:szCs w:val="24"/>
    </w:rPr>
  </w:style>
  <w:style w:type="paragraph" w:customStyle="1" w:styleId="2715">
    <w:name w:val="bb"/>
    <w:basedOn w:val="1"/>
    <w:qFormat/>
    <w:uiPriority w:val="0"/>
    <w:pPr>
      <w:adjustRightInd w:val="0"/>
      <w:spacing w:line="300" w:lineRule="auto"/>
    </w:pPr>
    <w:rPr>
      <w:rFonts w:ascii="Times New Roman" w:hAnsi="Times New Roman" w:eastAsia="宋体" w:cs="Times New Roman"/>
      <w:szCs w:val="24"/>
    </w:rPr>
  </w:style>
  <w:style w:type="paragraph" w:customStyle="1" w:styleId="2716">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17">
    <w:name w:val="xl295"/>
    <w:basedOn w:val="1"/>
    <w:qFormat/>
    <w:uiPriority w:val="0"/>
    <w:pPr>
      <w:widowControl/>
      <w:pBdr>
        <w:left w:val="single" w:color="auto" w:sz="4" w:space="0"/>
        <w:bottom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718">
    <w:name w:val="xl2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19">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20">
    <w:name w:val="xl26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721">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22">
    <w:name w:val="表内文字（两端对齐）"/>
    <w:basedOn w:val="1"/>
    <w:next w:val="42"/>
    <w:qFormat/>
    <w:uiPriority w:val="0"/>
    <w:pPr>
      <w:adjustRightInd w:val="0"/>
      <w:snapToGrid w:val="0"/>
    </w:pPr>
    <w:rPr>
      <w:rFonts w:ascii="Times New Roman" w:hAnsi="Times New Roman" w:eastAsia="宋体" w:cs="Times New Roman"/>
      <w:kern w:val="0"/>
      <w:szCs w:val="24"/>
    </w:rPr>
  </w:style>
  <w:style w:type="paragraph" w:customStyle="1" w:styleId="2723">
    <w:name w:val="样式16"/>
    <w:basedOn w:val="581"/>
    <w:qFormat/>
    <w:uiPriority w:val="0"/>
    <w:pPr>
      <w:topLinePunct/>
      <w:adjustRightInd/>
      <w:spacing w:beforeLines="50" w:afterLines="30" w:line="240" w:lineRule="auto"/>
      <w:ind w:firstLine="0"/>
      <w:jc w:val="both"/>
      <w:textAlignment w:val="auto"/>
    </w:pPr>
    <w:rPr>
      <w:rFonts w:hint="eastAsia" w:hAnsi="黑体" w:eastAsia="方正楷体简体"/>
      <w:b/>
      <w:color w:val="000000"/>
      <w:kern w:val="2"/>
      <w:sz w:val="21"/>
      <w:szCs w:val="28"/>
    </w:rPr>
  </w:style>
  <w:style w:type="paragraph" w:customStyle="1" w:styleId="2724">
    <w:name w:val="文档结构图21"/>
    <w:basedOn w:val="1"/>
    <w:qFormat/>
    <w:uiPriority w:val="0"/>
    <w:pPr>
      <w:shd w:val="clear" w:color="auto" w:fill="000080"/>
      <w:adjustRightInd w:val="0"/>
      <w:snapToGrid w:val="0"/>
      <w:spacing w:line="480" w:lineRule="exact"/>
      <w:ind w:firstLine="560" w:firstLineChars="200"/>
    </w:pPr>
    <w:rPr>
      <w:rFonts w:ascii="Times New Roman" w:hAnsi="Times New Roman" w:eastAsia="宋体" w:cs="Times New Roman"/>
      <w:kern w:val="0"/>
      <w:sz w:val="28"/>
      <w:szCs w:val="24"/>
    </w:rPr>
  </w:style>
  <w:style w:type="paragraph" w:customStyle="1" w:styleId="2725">
    <w:name w:val="标题4  1）"/>
    <w:basedOn w:val="42"/>
    <w:qFormat/>
    <w:uiPriority w:val="0"/>
    <w:pPr>
      <w:spacing w:line="360" w:lineRule="auto"/>
    </w:pPr>
    <w:rPr>
      <w:rFonts w:eastAsia="楷体_GB2312" w:cs="Times New Roman"/>
      <w:sz w:val="24"/>
      <w:szCs w:val="20"/>
    </w:rPr>
  </w:style>
  <w:style w:type="paragraph" w:customStyle="1" w:styleId="2726">
    <w:name w:val="列表21"/>
    <w:basedOn w:val="1"/>
    <w:qFormat/>
    <w:uiPriority w:val="0"/>
    <w:pPr>
      <w:spacing w:beforeLines="50"/>
      <w:jc w:val="right"/>
    </w:pPr>
    <w:rPr>
      <w:rFonts w:ascii="Times New Roman" w:hAnsi="Times New Roman" w:eastAsia="黑体" w:cs="Times New Roman"/>
      <w:sz w:val="24"/>
      <w:szCs w:val="24"/>
    </w:rPr>
  </w:style>
  <w:style w:type="paragraph" w:customStyle="1" w:styleId="2727">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28">
    <w:name w:val="xl18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kern w:val="0"/>
      <w:sz w:val="20"/>
      <w:szCs w:val="20"/>
    </w:rPr>
  </w:style>
  <w:style w:type="paragraph" w:customStyle="1" w:styleId="2729">
    <w:name w:val="索引 611"/>
    <w:basedOn w:val="1"/>
    <w:next w:val="1"/>
    <w:qFormat/>
    <w:uiPriority w:val="0"/>
    <w:pPr>
      <w:spacing w:line="480" w:lineRule="exact"/>
      <w:ind w:left="1000" w:leftChars="1000"/>
    </w:pPr>
    <w:rPr>
      <w:rFonts w:ascii="Times New Roman" w:hAnsi="Times New Roman" w:eastAsia="宋体" w:cs="Times New Roman"/>
      <w:sz w:val="24"/>
      <w:szCs w:val="24"/>
    </w:rPr>
  </w:style>
  <w:style w:type="paragraph" w:customStyle="1" w:styleId="2730">
    <w:name w:val="索引 811"/>
    <w:basedOn w:val="1"/>
    <w:next w:val="1"/>
    <w:qFormat/>
    <w:uiPriority w:val="0"/>
    <w:pPr>
      <w:spacing w:line="480" w:lineRule="exact"/>
      <w:ind w:left="1400" w:leftChars="1400"/>
    </w:pPr>
    <w:rPr>
      <w:rFonts w:ascii="Times New Roman" w:hAnsi="Times New Roman" w:eastAsia="宋体" w:cs="Times New Roman"/>
      <w:sz w:val="24"/>
      <w:szCs w:val="24"/>
    </w:rPr>
  </w:style>
  <w:style w:type="paragraph" w:customStyle="1" w:styleId="2731">
    <w:name w:val="xl317"/>
    <w:basedOn w:val="1"/>
    <w:qFormat/>
    <w:uiPriority w:val="0"/>
    <w:pPr>
      <w:widowControl/>
      <w:pBdr>
        <w:bottom w:val="single" w:color="auto" w:sz="4" w:space="0"/>
        <w:right w:val="single" w:color="auto" w:sz="4" w:space="0"/>
      </w:pBdr>
      <w:shd w:val="clear" w:color="auto" w:fill="FFCC0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732">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33">
    <w:name w:val="xl2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CC"/>
      <w:kern w:val="0"/>
      <w:sz w:val="20"/>
      <w:szCs w:val="20"/>
    </w:rPr>
  </w:style>
  <w:style w:type="paragraph" w:customStyle="1" w:styleId="2734">
    <w:name w:val="样式 标题 5 + 首行缩进:  2 字符1"/>
    <w:basedOn w:val="8"/>
    <w:qFormat/>
    <w:uiPriority w:val="0"/>
    <w:pPr>
      <w:keepNext w:val="0"/>
      <w:keepLines w:val="0"/>
      <w:widowControl w:val="0"/>
      <w:numPr>
        <w:ilvl w:val="0"/>
        <w:numId w:val="0"/>
      </w:numPr>
      <w:tabs>
        <w:tab w:val="left" w:pos="1260"/>
      </w:tabs>
      <w:adjustRightInd w:val="0"/>
      <w:snapToGrid w:val="0"/>
      <w:spacing w:before="0" w:beforeAutospacing="0" w:line="480" w:lineRule="exact"/>
      <w:ind w:firstLine="562" w:firstLineChars="200"/>
      <w:jc w:val="both"/>
    </w:pPr>
    <w:rPr>
      <w:rFonts w:ascii="Times New Roman" w:hAnsi="Times New Roman" w:eastAsia="仿宋_GB2312" w:cs="宋体"/>
      <w:b/>
      <w:color w:val="000000"/>
      <w:kern w:val="0"/>
      <w:sz w:val="28"/>
      <w:szCs w:val="20"/>
    </w:rPr>
  </w:style>
  <w:style w:type="paragraph" w:customStyle="1" w:styleId="2735">
    <w:name w:val="WPSOffice手动目录 3"/>
    <w:qFormat/>
    <w:uiPriority w:val="0"/>
    <w:pPr>
      <w:ind w:left="400" w:leftChars="400"/>
    </w:pPr>
    <w:rPr>
      <w:rFonts w:ascii="Calibri" w:hAnsi="Calibri" w:eastAsia="宋体" w:cs="Times New Roman"/>
      <w:lang w:val="en-US" w:eastAsia="zh-CN" w:bidi="ar-SA"/>
    </w:rPr>
  </w:style>
  <w:style w:type="paragraph" w:customStyle="1" w:styleId="2736">
    <w:name w:val="xl256"/>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left"/>
    </w:pPr>
    <w:rPr>
      <w:rFonts w:ascii="宋体" w:hAnsi="宋体" w:eastAsia="宋体" w:cs="宋体"/>
      <w:kern w:val="0"/>
      <w:sz w:val="20"/>
      <w:szCs w:val="20"/>
    </w:rPr>
  </w:style>
  <w:style w:type="paragraph" w:customStyle="1" w:styleId="2737">
    <w:name w:val="xl2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38">
    <w:name w:val="xl26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0"/>
      <w:szCs w:val="20"/>
    </w:rPr>
  </w:style>
  <w:style w:type="paragraph" w:customStyle="1" w:styleId="2739">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40">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2741">
    <w:name w:val="样式 非加粗 首行缩进:  1.01 厘米"/>
    <w:basedOn w:val="1"/>
    <w:qFormat/>
    <w:uiPriority w:val="0"/>
    <w:pPr>
      <w:spacing w:line="440" w:lineRule="exact"/>
      <w:ind w:firstLine="560" w:firstLineChars="200"/>
      <w:jc w:val="center"/>
    </w:pPr>
    <w:rPr>
      <w:rFonts w:ascii="宋体" w:hAnsi="宋体" w:eastAsia="宋体" w:cs="宋体"/>
      <w:color w:val="000000"/>
      <w:sz w:val="28"/>
      <w:szCs w:val="20"/>
    </w:rPr>
  </w:style>
  <w:style w:type="paragraph" w:customStyle="1" w:styleId="2742">
    <w:name w:val="xl299"/>
    <w:basedOn w:val="1"/>
    <w:qFormat/>
    <w:uiPriority w:val="0"/>
    <w:pPr>
      <w:widowControl/>
      <w:pBdr>
        <w:left w:val="single" w:color="auto" w:sz="4" w:space="0"/>
        <w:bottom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743">
    <w:name w:val="xl300"/>
    <w:basedOn w:val="1"/>
    <w:qFormat/>
    <w:uiPriority w:val="0"/>
    <w:pPr>
      <w:widowControl/>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744">
    <w:name w:val="列表 211"/>
    <w:basedOn w:val="1"/>
    <w:qFormat/>
    <w:uiPriority w:val="0"/>
    <w:pPr>
      <w:spacing w:line="480" w:lineRule="exact"/>
      <w:ind w:left="840" w:hanging="420"/>
    </w:pPr>
    <w:rPr>
      <w:rFonts w:ascii="Times New Roman" w:hAnsi="Times New Roman" w:eastAsia="宋体" w:cs="Times New Roman"/>
      <w:sz w:val="24"/>
      <w:szCs w:val="20"/>
    </w:rPr>
  </w:style>
  <w:style w:type="paragraph" w:customStyle="1" w:styleId="2745">
    <w:name w:val="xl287"/>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rFonts w:ascii="方正综艺简体" w:hAnsi="宋体" w:eastAsia="方正综艺简体" w:cs="宋体"/>
      <w:color w:val="000000"/>
      <w:kern w:val="0"/>
      <w:sz w:val="20"/>
      <w:szCs w:val="20"/>
    </w:rPr>
  </w:style>
  <w:style w:type="paragraph" w:customStyle="1" w:styleId="2746">
    <w:name w:val="索引 411"/>
    <w:basedOn w:val="1"/>
    <w:next w:val="1"/>
    <w:qFormat/>
    <w:uiPriority w:val="0"/>
    <w:pPr>
      <w:spacing w:line="480" w:lineRule="exact"/>
      <w:ind w:left="600" w:leftChars="600"/>
    </w:pPr>
    <w:rPr>
      <w:rFonts w:ascii="Times New Roman" w:hAnsi="Times New Roman" w:eastAsia="宋体" w:cs="Times New Roman"/>
      <w:sz w:val="24"/>
      <w:szCs w:val="24"/>
    </w:rPr>
  </w:style>
  <w:style w:type="paragraph" w:customStyle="1" w:styleId="2747">
    <w:name w:val="xl302"/>
    <w:basedOn w:val="1"/>
    <w:qFormat/>
    <w:uiPriority w:val="0"/>
    <w:pPr>
      <w:widowControl/>
      <w:pBdr>
        <w:top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748">
    <w:name w:val="xl28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FF"/>
      <w:kern w:val="0"/>
      <w:sz w:val="20"/>
      <w:szCs w:val="20"/>
    </w:rPr>
  </w:style>
  <w:style w:type="paragraph" w:customStyle="1" w:styleId="2749">
    <w:name w:val="xl290"/>
    <w:basedOn w:val="1"/>
    <w:qFormat/>
    <w:uiPriority w:val="0"/>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750">
    <w:name w:val="xl307"/>
    <w:basedOn w:val="1"/>
    <w:qFormat/>
    <w:uiPriority w:val="0"/>
    <w:pPr>
      <w:widowControl/>
      <w:pBdr>
        <w:top w:val="single" w:color="auto" w:sz="4" w:space="0"/>
      </w:pBdr>
      <w:shd w:val="clear" w:color="auto" w:fill="FF8080"/>
      <w:spacing w:before="100" w:beforeAutospacing="1" w:after="100" w:afterAutospacing="1"/>
      <w:jc w:val="center"/>
    </w:pPr>
    <w:rPr>
      <w:rFonts w:ascii="方正综艺简体" w:hAnsi="宋体" w:eastAsia="方正综艺简体" w:cs="宋体"/>
      <w:kern w:val="0"/>
      <w:sz w:val="20"/>
      <w:szCs w:val="20"/>
    </w:rPr>
  </w:style>
  <w:style w:type="paragraph" w:customStyle="1" w:styleId="2751">
    <w:name w:val="封面项目名称"/>
    <w:basedOn w:val="1"/>
    <w:next w:val="1"/>
    <w:qFormat/>
    <w:uiPriority w:val="0"/>
    <w:pPr>
      <w:adjustRightInd w:val="0"/>
      <w:snapToGrid w:val="0"/>
      <w:spacing w:line="360" w:lineRule="auto"/>
      <w:jc w:val="center"/>
    </w:pPr>
    <w:rPr>
      <w:rFonts w:ascii="Times New Roman" w:hAnsi="Times New Roman" w:eastAsia="黑体" w:cs="Times New Roman"/>
      <w:sz w:val="36"/>
      <w:szCs w:val="20"/>
    </w:rPr>
  </w:style>
  <w:style w:type="paragraph" w:customStyle="1" w:styleId="2752">
    <w:name w:val="公司名称及日期"/>
    <w:basedOn w:val="1"/>
    <w:next w:val="1"/>
    <w:qFormat/>
    <w:uiPriority w:val="0"/>
    <w:pPr>
      <w:adjustRightInd w:val="0"/>
      <w:snapToGrid w:val="0"/>
      <w:spacing w:line="360" w:lineRule="auto"/>
      <w:ind w:left="567"/>
      <w:jc w:val="center"/>
    </w:pPr>
    <w:rPr>
      <w:rFonts w:ascii="Times New Roman" w:hAnsi="Times New Roman" w:eastAsia="楷体_GB2312" w:cs="Times New Roman"/>
      <w:sz w:val="32"/>
      <w:szCs w:val="20"/>
    </w:rPr>
  </w:style>
  <w:style w:type="paragraph" w:customStyle="1" w:styleId="2753">
    <w:name w:val="Char Char2 Char Char Char Char Char Char Char Char Char Char Char 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2754">
    <w:name w:val="Char Char2 Char Char Char Char Char Char Char Char Char Char Char Char Char Char Char Char Char Char Char Char Char Char Char Char Char Char Char1"/>
    <w:basedOn w:val="1"/>
    <w:qFormat/>
    <w:uiPriority w:val="0"/>
    <w:rPr>
      <w:rFonts w:ascii="Times New Roman" w:hAnsi="Times New Roman" w:eastAsia="Arial" w:cs="Times New Roman"/>
      <w:szCs w:val="24"/>
    </w:rPr>
  </w:style>
  <w:style w:type="paragraph" w:customStyle="1" w:styleId="2755">
    <w:name w:val="Char1 Char Char Char4"/>
    <w:basedOn w:val="1"/>
    <w:qFormat/>
    <w:uiPriority w:val="0"/>
    <w:rPr>
      <w:rFonts w:ascii="Times New Roman" w:hAnsi="Times New Roman" w:eastAsia="宋体" w:cs="Times New Roman"/>
      <w:szCs w:val="24"/>
    </w:rPr>
  </w:style>
  <w:style w:type="paragraph" w:customStyle="1" w:styleId="2756">
    <w:name w:val="正文六级"/>
    <w:basedOn w:val="1"/>
    <w:qFormat/>
    <w:uiPriority w:val="0"/>
    <w:pPr>
      <w:tabs>
        <w:tab w:val="left" w:pos="620"/>
      </w:tabs>
      <w:spacing w:line="480" w:lineRule="exact"/>
      <w:ind w:left="620" w:hanging="420"/>
      <w:jc w:val="left"/>
      <w:outlineLvl w:val="5"/>
    </w:pPr>
    <w:rPr>
      <w:rFonts w:ascii="Times New Roman" w:hAnsi="Times New Roman" w:eastAsia="宋体" w:cs="Times New Roman"/>
      <w:b/>
      <w:sz w:val="28"/>
      <w:szCs w:val="28"/>
    </w:rPr>
  </w:style>
  <w:style w:type="paragraph" w:customStyle="1" w:styleId="2757">
    <w:name w:val="样式 样式 首行缩进:  2 字符3 + 首行缩进:  2 字符"/>
    <w:basedOn w:val="1"/>
    <w:qFormat/>
    <w:uiPriority w:val="0"/>
    <w:pPr>
      <w:widowControl/>
      <w:adjustRightInd w:val="0"/>
      <w:snapToGrid w:val="0"/>
      <w:spacing w:line="480" w:lineRule="exact"/>
      <w:ind w:firstLine="560" w:firstLineChars="200"/>
    </w:pPr>
    <w:rPr>
      <w:rFonts w:ascii="Times New Roman" w:hAnsi="Times New Roman" w:eastAsia="宋体" w:cs="Times New Roman"/>
      <w:kern w:val="0"/>
      <w:sz w:val="28"/>
      <w:szCs w:val="20"/>
    </w:rPr>
  </w:style>
  <w:style w:type="paragraph" w:customStyle="1" w:styleId="2758">
    <w:name w:val="0表内字"/>
    <w:basedOn w:val="1"/>
    <w:qFormat/>
    <w:uiPriority w:val="0"/>
    <w:pPr>
      <w:adjustRightInd w:val="0"/>
      <w:snapToGrid w:val="0"/>
      <w:jc w:val="left"/>
    </w:pPr>
    <w:rPr>
      <w:rFonts w:ascii="宋体" w:hAnsi="宋体" w:eastAsia="宋体" w:cs="宋体"/>
      <w:szCs w:val="24"/>
    </w:rPr>
  </w:style>
  <w:style w:type="paragraph" w:customStyle="1" w:styleId="2759">
    <w:name w:val="样式 Times 四号 行距: 固定值 22 磅"/>
    <w:basedOn w:val="1"/>
    <w:qFormat/>
    <w:uiPriority w:val="0"/>
    <w:pPr>
      <w:spacing w:line="520" w:lineRule="exact"/>
      <w:ind w:firstLine="538" w:firstLineChars="192"/>
    </w:pPr>
    <w:rPr>
      <w:rFonts w:ascii="Times" w:hAnsi="Times" w:eastAsia="宋体" w:cs="Times New Roman"/>
      <w:color w:val="000000"/>
      <w:sz w:val="28"/>
      <w:szCs w:val="28"/>
    </w:rPr>
  </w:style>
  <w:style w:type="paragraph" w:customStyle="1" w:styleId="2760">
    <w:name w:val="Char6"/>
    <w:basedOn w:val="1"/>
    <w:next w:val="1654"/>
    <w:qFormat/>
    <w:uiPriority w:val="0"/>
    <w:pPr>
      <w:spacing w:line="360" w:lineRule="auto"/>
      <w:ind w:firstLine="480" w:firstLineChars="200"/>
    </w:pPr>
    <w:rPr>
      <w:rFonts w:ascii="Times New Roman" w:hAnsi="Times New Roman" w:eastAsia="宋体" w:cs="Times New Roman"/>
      <w:kern w:val="0"/>
      <w:sz w:val="24"/>
      <w:szCs w:val="24"/>
    </w:rPr>
  </w:style>
  <w:style w:type="paragraph" w:customStyle="1" w:styleId="2761">
    <w:name w:val="样式 标题 3 + 首行缩进:  2 字符"/>
    <w:basedOn w:val="6"/>
    <w:qFormat/>
    <w:uiPriority w:val="0"/>
    <w:pPr>
      <w:keepLines/>
      <w:numPr>
        <w:ilvl w:val="0"/>
        <w:numId w:val="0"/>
      </w:numPr>
      <w:adjustRightInd/>
      <w:snapToGrid/>
      <w:spacing w:before="260" w:after="260" w:line="240" w:lineRule="auto"/>
      <w:ind w:left="358" w:leftChars="75" w:hanging="178" w:hangingChars="74"/>
    </w:pPr>
    <w:rPr>
      <w:rFonts w:ascii="Times New Roman" w:hAnsi="Times New Roman" w:eastAsia="宋体" w:cs="宋体"/>
      <w:b/>
      <w:szCs w:val="20"/>
    </w:rPr>
  </w:style>
  <w:style w:type="paragraph" w:customStyle="1" w:styleId="2762">
    <w:name w:val="b"/>
    <w:basedOn w:val="1"/>
    <w:qFormat/>
    <w:uiPriority w:val="0"/>
    <w:pPr>
      <w:spacing w:line="360" w:lineRule="auto"/>
      <w:jc w:val="center"/>
      <w:outlineLvl w:val="0"/>
    </w:pPr>
    <w:rPr>
      <w:rFonts w:ascii="Times New Roman" w:hAnsi="Times New Roman" w:eastAsia="黑体" w:cs="Times New Roman"/>
      <w:kern w:val="10"/>
      <w:sz w:val="24"/>
      <w:szCs w:val="20"/>
    </w:rPr>
  </w:style>
  <w:style w:type="paragraph" w:customStyle="1" w:styleId="2763">
    <w:name w:val="索引 72"/>
    <w:basedOn w:val="1"/>
    <w:next w:val="1"/>
    <w:qFormat/>
    <w:uiPriority w:val="0"/>
    <w:pPr>
      <w:spacing w:line="480" w:lineRule="exact"/>
      <w:ind w:left="1200" w:leftChars="1200"/>
    </w:pPr>
    <w:rPr>
      <w:rFonts w:ascii="Times New Roman" w:hAnsi="Times New Roman" w:eastAsia="宋体" w:cs="Times New Roman"/>
      <w:sz w:val="24"/>
      <w:szCs w:val="24"/>
    </w:rPr>
  </w:style>
  <w:style w:type="paragraph" w:customStyle="1" w:styleId="2764">
    <w:name w:val="索引标题2"/>
    <w:basedOn w:val="1"/>
    <w:next w:val="2625"/>
    <w:qFormat/>
    <w:uiPriority w:val="0"/>
    <w:pPr>
      <w:spacing w:line="480" w:lineRule="exact"/>
    </w:pPr>
    <w:rPr>
      <w:rFonts w:ascii="Arial" w:hAnsi="Arial" w:eastAsia="宋体" w:cs="Arial"/>
      <w:b/>
      <w:bCs/>
      <w:sz w:val="24"/>
      <w:szCs w:val="24"/>
    </w:rPr>
  </w:style>
  <w:style w:type="paragraph" w:customStyle="1" w:styleId="2765">
    <w:name w:val="引文目录2"/>
    <w:basedOn w:val="1"/>
    <w:next w:val="1"/>
    <w:qFormat/>
    <w:uiPriority w:val="0"/>
    <w:pPr>
      <w:spacing w:line="480" w:lineRule="exact"/>
      <w:ind w:left="420" w:leftChars="200"/>
    </w:pPr>
    <w:rPr>
      <w:rFonts w:ascii="Times New Roman" w:hAnsi="Times New Roman" w:eastAsia="宋体" w:cs="Times New Roman"/>
      <w:sz w:val="24"/>
      <w:szCs w:val="24"/>
    </w:rPr>
  </w:style>
  <w:style w:type="paragraph" w:customStyle="1" w:styleId="2766">
    <w:name w:val="样式 样式 表头 + 左侧:  0.99 字符 + 首行缩进:  3.19 厘米"/>
    <w:basedOn w:val="2558"/>
    <w:qFormat/>
    <w:uiPriority w:val="0"/>
    <w:pPr>
      <w:ind w:left="200" w:leftChars="200"/>
    </w:pPr>
  </w:style>
  <w:style w:type="paragraph" w:customStyle="1" w:styleId="2767">
    <w:name w:val="xl12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8">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0000"/>
      <w:kern w:val="0"/>
    </w:rPr>
  </w:style>
  <w:style w:type="paragraph" w:customStyle="1" w:styleId="2769">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2"/>
      <w:szCs w:val="22"/>
    </w:rPr>
  </w:style>
  <w:style w:type="paragraph" w:customStyle="1" w:styleId="2770">
    <w:name w:val="xl2127"/>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2771">
    <w:name w:val="xl2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eastAsia="宋体" w:cs="宋体"/>
      <w:b/>
      <w:bCs/>
      <w:kern w:val="0"/>
      <w:sz w:val="24"/>
      <w:szCs w:val="24"/>
    </w:rPr>
  </w:style>
  <w:style w:type="paragraph" w:customStyle="1" w:styleId="2772">
    <w:name w:val="正文-表头"/>
    <w:basedOn w:val="1"/>
    <w:qFormat/>
    <w:uiPriority w:val="0"/>
    <w:pPr>
      <w:adjustRightInd w:val="0"/>
      <w:snapToGrid w:val="0"/>
      <w:spacing w:beforeLines="50" w:afterLines="50"/>
      <w:jc w:val="center"/>
    </w:pPr>
    <w:rPr>
      <w:rFonts w:ascii="黑体" w:hAnsi="Times New Roman" w:eastAsia="黑体" w:cs="Times New Roman"/>
      <w:szCs w:val="24"/>
    </w:rPr>
  </w:style>
  <w:style w:type="paragraph" w:customStyle="1" w:styleId="2773">
    <w:name w:val="xl214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right"/>
    </w:pPr>
    <w:rPr>
      <w:rFonts w:ascii="宋体" w:hAnsi="宋体" w:eastAsia="宋体" w:cs="宋体"/>
      <w:kern w:val="0"/>
      <w:sz w:val="24"/>
      <w:szCs w:val="24"/>
    </w:rPr>
  </w:style>
  <w:style w:type="paragraph" w:customStyle="1" w:styleId="2774">
    <w:name w:val="xl2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宋体"/>
      <w:kern w:val="0"/>
    </w:rPr>
  </w:style>
  <w:style w:type="paragraph" w:customStyle="1" w:styleId="2775">
    <w:name w:val="xl2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FF0000"/>
      <w:kern w:val="0"/>
    </w:rPr>
  </w:style>
  <w:style w:type="paragraph" w:customStyle="1" w:styleId="2776">
    <w:name w:val="样式 标题 5 + 首行缩进:  2 字符"/>
    <w:basedOn w:val="8"/>
    <w:qFormat/>
    <w:uiPriority w:val="0"/>
    <w:pPr>
      <w:keepNext w:val="0"/>
      <w:keepLines w:val="0"/>
      <w:widowControl w:val="0"/>
      <w:numPr>
        <w:ilvl w:val="0"/>
        <w:numId w:val="0"/>
      </w:numPr>
      <w:tabs>
        <w:tab w:val="left" w:pos="1260"/>
      </w:tabs>
      <w:adjustRightInd w:val="0"/>
      <w:snapToGrid w:val="0"/>
      <w:spacing w:before="0" w:beforeAutospacing="0" w:line="480" w:lineRule="exact"/>
      <w:ind w:firstLine="560" w:firstLineChars="200"/>
      <w:jc w:val="both"/>
      <w:outlineLvl w:val="9"/>
    </w:pPr>
    <w:rPr>
      <w:rFonts w:hAnsi="宋体" w:cs="宋体"/>
      <w:kern w:val="0"/>
      <w:sz w:val="28"/>
    </w:rPr>
  </w:style>
  <w:style w:type="paragraph" w:customStyle="1" w:styleId="2777">
    <w:name w:val="图片，环保"/>
    <w:basedOn w:val="1"/>
    <w:qFormat/>
    <w:uiPriority w:val="0"/>
    <w:pPr>
      <w:jc w:val="center"/>
    </w:pPr>
    <w:rPr>
      <w:rFonts w:ascii="宋体" w:hAnsi="宋体" w:eastAsia="宋体" w:cs="Times New Roman"/>
      <w:kern w:val="0"/>
      <w:sz w:val="24"/>
      <w:szCs w:val="20"/>
    </w:rPr>
  </w:style>
  <w:style w:type="paragraph" w:customStyle="1" w:styleId="2778">
    <w:name w:val="图名，环保"/>
    <w:basedOn w:val="1"/>
    <w:next w:val="1"/>
    <w:qFormat/>
    <w:uiPriority w:val="0"/>
    <w:pPr>
      <w:spacing w:line="300" w:lineRule="auto"/>
      <w:jc w:val="center"/>
    </w:pPr>
    <w:rPr>
      <w:rFonts w:ascii="宋体" w:hAnsi="宋体" w:eastAsia="宋体" w:cs="Times New Roman"/>
      <w:b/>
      <w:kern w:val="0"/>
      <w:sz w:val="24"/>
      <w:szCs w:val="20"/>
    </w:rPr>
  </w:style>
  <w:style w:type="paragraph" w:customStyle="1" w:styleId="2779">
    <w:name w:val="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780">
    <w:name w:val="纯文本11"/>
    <w:basedOn w:val="1"/>
    <w:qFormat/>
    <w:uiPriority w:val="0"/>
    <w:rPr>
      <w:rFonts w:ascii="宋体" w:hAnsi="Courier New" w:eastAsia="宋体" w:cs="Times New Roman"/>
      <w:szCs w:val="20"/>
    </w:rPr>
  </w:style>
  <w:style w:type="paragraph" w:customStyle="1" w:styleId="2781">
    <w:name w:val="WW-纯文本"/>
    <w:basedOn w:val="1"/>
    <w:qFormat/>
    <w:uiPriority w:val="0"/>
    <w:pPr>
      <w:suppressAutoHyphens/>
      <w:spacing w:line="312" w:lineRule="atLeast"/>
      <w:textAlignment w:val="baseline"/>
    </w:pPr>
    <w:rPr>
      <w:rFonts w:ascii="宋体" w:hAnsi="宋体" w:eastAsia="楷体_GB2312" w:cs="Courier New"/>
    </w:rPr>
  </w:style>
  <w:style w:type="character" w:customStyle="1" w:styleId="2782">
    <w:name w:val="批注文字 Char3"/>
    <w:qFormat/>
    <w:uiPriority w:val="99"/>
    <w:rPr>
      <w:kern w:val="2"/>
      <w:sz w:val="21"/>
      <w:szCs w:val="24"/>
    </w:rPr>
  </w:style>
  <w:style w:type="character" w:customStyle="1" w:styleId="2783">
    <w:name w:val="正文文本首行缩进 字符1"/>
    <w:qFormat/>
    <w:uiPriority w:val="0"/>
    <w:rPr>
      <w:kern w:val="2"/>
      <w:sz w:val="21"/>
      <w:szCs w:val="24"/>
    </w:rPr>
  </w:style>
  <w:style w:type="paragraph" w:customStyle="1" w:styleId="2784">
    <w:name w:val="正文文本 26"/>
    <w:basedOn w:val="1"/>
    <w:qFormat/>
    <w:uiPriority w:val="0"/>
    <w:pPr>
      <w:adjustRightInd w:val="0"/>
      <w:jc w:val="center"/>
      <w:textAlignment w:val="baseline"/>
    </w:pPr>
    <w:rPr>
      <w:rFonts w:ascii="Arial" w:hAnsi="Arial" w:eastAsia="Arial" w:cs="Times New Roman"/>
      <w:szCs w:val="20"/>
    </w:rPr>
  </w:style>
  <w:style w:type="character" w:customStyle="1" w:styleId="2785">
    <w:name w:val="环保表内字（五号） Char"/>
    <w:qFormat/>
    <w:uiPriority w:val="0"/>
    <w:rPr>
      <w:rFonts w:hint="default" w:ascii="Times New Roman" w:hAnsi="Times New Roman" w:cs="Times New Roman"/>
      <w:snapToGrid/>
      <w:sz w:val="21"/>
    </w:rPr>
  </w:style>
  <w:style w:type="paragraph" w:customStyle="1" w:styleId="2786">
    <w:name w:val="Char Char Char3"/>
    <w:basedOn w:val="1"/>
    <w:qFormat/>
    <w:uiPriority w:val="0"/>
    <w:rPr>
      <w:rFonts w:ascii="Tahoma" w:hAnsi="Tahoma" w:eastAsia="黑体" w:cs="Times New Roman"/>
      <w:sz w:val="28"/>
      <w:szCs w:val="28"/>
    </w:rPr>
  </w:style>
  <w:style w:type="paragraph" w:customStyle="1" w:styleId="2787">
    <w:name w:val="正文文本 27"/>
    <w:basedOn w:val="1"/>
    <w:qFormat/>
    <w:uiPriority w:val="0"/>
    <w:pPr>
      <w:adjustRightInd w:val="0"/>
      <w:jc w:val="center"/>
      <w:textAlignment w:val="baseline"/>
    </w:pPr>
    <w:rPr>
      <w:rFonts w:ascii="Arial" w:hAnsi="Arial" w:eastAsia="Arial" w:cs="Times New Roman"/>
      <w:szCs w:val="20"/>
    </w:rPr>
  </w:style>
  <w:style w:type="paragraph" w:customStyle="1" w:styleId="2788">
    <w:name w:val="Char41"/>
    <w:basedOn w:val="1"/>
    <w:qFormat/>
    <w:uiPriority w:val="0"/>
    <w:pPr>
      <w:adjustRightInd w:val="0"/>
      <w:snapToGrid w:val="0"/>
      <w:spacing w:line="480" w:lineRule="exact"/>
      <w:ind w:firstLine="200" w:firstLineChars="200"/>
    </w:pPr>
    <w:rPr>
      <w:rFonts w:ascii="Times New Roman" w:hAnsi="Times New Roman" w:eastAsia="宋体" w:cs="Times New Roman"/>
      <w:snapToGrid w:val="0"/>
      <w:kern w:val="0"/>
      <w:sz w:val="28"/>
      <w:szCs w:val="24"/>
    </w:rPr>
  </w:style>
  <w:style w:type="paragraph" w:customStyle="1" w:styleId="2789">
    <w:name w:val="Char51"/>
    <w:basedOn w:val="1"/>
    <w:qFormat/>
    <w:uiPriority w:val="0"/>
    <w:pPr>
      <w:widowControl/>
      <w:adjustRightInd w:val="0"/>
      <w:snapToGrid w:val="0"/>
      <w:spacing w:after="200"/>
      <w:jc w:val="left"/>
    </w:pPr>
    <w:rPr>
      <w:rFonts w:ascii="Tahoma" w:hAnsi="Tahoma" w:eastAsia="微软雅黑" w:cs="Times New Roman"/>
      <w:kern w:val="0"/>
      <w:sz w:val="22"/>
      <w:szCs w:val="22"/>
    </w:rPr>
  </w:style>
  <w:style w:type="paragraph" w:customStyle="1" w:styleId="2790">
    <w:name w:val="Normal (Web)1"/>
    <w:basedOn w:val="1"/>
    <w:next w:val="2791"/>
    <w:qFormat/>
    <w:uiPriority w:val="0"/>
    <w:pPr>
      <w:widowControl/>
      <w:jc w:val="left"/>
    </w:pPr>
    <w:rPr>
      <w:rFonts w:ascii="宋体" w:hAnsi="宋体" w:eastAsia="宋体" w:cs="宋体"/>
      <w:kern w:val="0"/>
      <w:sz w:val="24"/>
    </w:rPr>
  </w:style>
  <w:style w:type="paragraph" w:customStyle="1" w:styleId="2791">
    <w:name w:val="Date1"/>
    <w:basedOn w:val="1"/>
    <w:next w:val="1"/>
    <w:qFormat/>
    <w:uiPriority w:val="0"/>
    <w:pPr>
      <w:widowControl/>
      <w:ind w:left="2500" w:leftChars="2500"/>
      <w:jc w:val="left"/>
    </w:pPr>
    <w:rPr>
      <w:rFonts w:ascii="宋体" w:hAnsi="宋体" w:eastAsia="宋体" w:cs="宋体"/>
      <w:kern w:val="0"/>
      <w:sz w:val="24"/>
      <w:szCs w:val="24"/>
    </w:rPr>
  </w:style>
  <w:style w:type="paragraph" w:customStyle="1" w:styleId="2792">
    <w:name w:val="Char Char Char Char Char Char Char3"/>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2793">
    <w:name w:val="Char Char Char4"/>
    <w:basedOn w:val="1"/>
    <w:qFormat/>
    <w:uiPriority w:val="0"/>
    <w:rPr>
      <w:rFonts w:ascii="Tahoma" w:hAnsi="Tahoma" w:eastAsia="黑体" w:cs="Times New Roman"/>
      <w:sz w:val="28"/>
      <w:szCs w:val="28"/>
    </w:rPr>
  </w:style>
  <w:style w:type="paragraph" w:customStyle="1" w:styleId="2794">
    <w:name w:val="lmj表格"/>
    <w:basedOn w:val="1"/>
    <w:next w:val="1"/>
    <w:qFormat/>
    <w:uiPriority w:val="0"/>
    <w:rPr>
      <w:rFonts w:ascii="黑体" w:hAnsi="Times New Roman" w:eastAsia="宋体" w:cs="Times New Roman"/>
      <w:kern w:val="0"/>
      <w:szCs w:val="36"/>
    </w:rPr>
  </w:style>
  <w:style w:type="paragraph" w:customStyle="1" w:styleId="2795">
    <w:name w:val="5表格"/>
    <w:basedOn w:val="1"/>
    <w:link w:val="2796"/>
    <w:qFormat/>
    <w:uiPriority w:val="0"/>
    <w:pPr>
      <w:widowControl/>
      <w:jc w:val="center"/>
    </w:pPr>
    <w:rPr>
      <w:rFonts w:ascii="Times New Roman" w:hAnsi="Times New Roman" w:eastAsia="宋体" w:cs="Times New Roman"/>
      <w:bCs/>
      <w:iCs/>
      <w:color w:val="000000"/>
      <w:kern w:val="0"/>
      <w:sz w:val="18"/>
      <w:szCs w:val="24"/>
    </w:rPr>
  </w:style>
  <w:style w:type="character" w:customStyle="1" w:styleId="2796">
    <w:name w:val="5表格 Char"/>
    <w:link w:val="2795"/>
    <w:qFormat/>
    <w:uiPriority w:val="0"/>
    <w:rPr>
      <w:rFonts w:ascii="Times New Roman" w:hAnsi="Times New Roman" w:eastAsia="宋体" w:cs="Times New Roman"/>
      <w:bCs/>
      <w:iCs/>
      <w:color w:val="000000"/>
      <w:sz w:val="18"/>
      <w:szCs w:val="24"/>
    </w:rPr>
  </w:style>
  <w:style w:type="paragraph" w:customStyle="1" w:styleId="2797">
    <w:name w:val="_Style 3"/>
    <w:basedOn w:val="1"/>
    <w:qFormat/>
    <w:uiPriority w:val="0"/>
    <w:pPr>
      <w:jc w:val="center"/>
    </w:pPr>
    <w:rPr>
      <w:rFonts w:ascii="宋体" w:hAnsi="Calibri" w:eastAsia="宋体" w:cs="宋体"/>
      <w:kern w:val="0"/>
    </w:rPr>
  </w:style>
  <w:style w:type="paragraph" w:customStyle="1" w:styleId="2798">
    <w:name w:val="书表格"/>
    <w:basedOn w:val="1"/>
    <w:next w:val="1"/>
    <w:qFormat/>
    <w:uiPriority w:val="0"/>
    <w:pPr>
      <w:autoSpaceDE w:val="0"/>
      <w:autoSpaceDN w:val="0"/>
      <w:adjustRightInd w:val="0"/>
      <w:jc w:val="center"/>
      <w:textAlignment w:val="bottom"/>
    </w:pPr>
    <w:rPr>
      <w:rFonts w:ascii="Times New Roman" w:hAnsi="Times New Roman" w:eastAsia="宋体" w:cs="Times New Roman"/>
      <w:kern w:val="0"/>
      <w:szCs w:val="20"/>
    </w:rPr>
  </w:style>
  <w:style w:type="paragraph" w:customStyle="1" w:styleId="2799">
    <w:name w:val="_Style 6"/>
    <w:basedOn w:val="1"/>
    <w:qFormat/>
    <w:uiPriority w:val="0"/>
    <w:pPr>
      <w:jc w:val="center"/>
    </w:pPr>
    <w:rPr>
      <w:rFonts w:ascii="宋体" w:hAnsi="宋体" w:eastAsia="宋体" w:cs="Times New Roman"/>
      <w:szCs w:val="20"/>
    </w:rPr>
  </w:style>
  <w:style w:type="paragraph" w:customStyle="1" w:styleId="2800">
    <w:name w:val="Table Text"/>
    <w:basedOn w:val="1"/>
    <w:semiHidden/>
    <w:qFormat/>
    <w:uiPriority w:val="0"/>
    <w:pPr>
      <w:widowControl/>
      <w:jc w:val="left"/>
    </w:pPr>
    <w:rPr>
      <w:rFonts w:ascii="宋体" w:hAnsi="宋体" w:eastAsia="宋体" w:cs="宋体"/>
      <w:kern w:val="0"/>
      <w:sz w:val="20"/>
      <w:szCs w:val="20"/>
      <w:lang w:eastAsia="en-US"/>
    </w:rPr>
  </w:style>
  <w:style w:type="paragraph" w:customStyle="1" w:styleId="2801">
    <w:name w:val="00正文"/>
    <w:basedOn w:val="1"/>
    <w:qFormat/>
    <w:uiPriority w:val="0"/>
    <w:pPr>
      <w:widowControl/>
      <w:snapToGrid w:val="0"/>
      <w:spacing w:line="460" w:lineRule="exact"/>
      <w:ind w:firstLine="560" w:firstLineChars="200"/>
    </w:pPr>
    <w:rPr>
      <w:rFonts w:ascii="方正楷体简体" w:hAnsi="宋体" w:eastAsia="方正楷体简体" w:cs="Arial"/>
      <w:snapToGrid w:val="0"/>
      <w:kern w:val="0"/>
      <w:sz w:val="24"/>
      <w:szCs w:val="28"/>
    </w:rPr>
  </w:style>
  <w:style w:type="paragraph" w:customStyle="1" w:styleId="2802">
    <w:name w:val="标题12025"/>
    <w:basedOn w:val="3"/>
    <w:link w:val="2803"/>
    <w:qFormat/>
    <w:uiPriority w:val="0"/>
    <w:pPr>
      <w:widowControl/>
      <w:numPr>
        <w:numId w:val="8"/>
      </w:numPr>
      <w:adjustRightInd/>
      <w:snapToGrid/>
      <w:spacing w:before="0" w:beforeAutospacing="0" w:line="240" w:lineRule="auto"/>
    </w:pPr>
    <w:rPr>
      <w:rFonts w:ascii="Calibri" w:hAnsi="Calibri" w:cs="Times New Roman"/>
      <w:kern w:val="2"/>
      <w:sz w:val="32"/>
      <w:szCs w:val="22"/>
    </w:rPr>
  </w:style>
  <w:style w:type="character" w:customStyle="1" w:styleId="2803">
    <w:name w:val="标题12025 字符"/>
    <w:basedOn w:val="253"/>
    <w:link w:val="2802"/>
    <w:qFormat/>
    <w:uiPriority w:val="0"/>
    <w:rPr>
      <w:rFonts w:ascii="Calibri" w:hAnsi="Calibri" w:eastAsia="黑体" w:cs="Times New Roman"/>
      <w:b/>
      <w:kern w:val="2"/>
      <w:sz w:val="32"/>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86.jpeg"/><Relationship Id="rId98" Type="http://schemas.openxmlformats.org/officeDocument/2006/relationships/image" Target="media/image85.jpeg"/><Relationship Id="rId97" Type="http://schemas.openxmlformats.org/officeDocument/2006/relationships/image" Target="media/image84.jpeg"/><Relationship Id="rId96" Type="http://schemas.openxmlformats.org/officeDocument/2006/relationships/image" Target="media/image83.jpeg"/><Relationship Id="rId95" Type="http://schemas.openxmlformats.org/officeDocument/2006/relationships/image" Target="media/image82.jpeg"/><Relationship Id="rId94" Type="http://schemas.openxmlformats.org/officeDocument/2006/relationships/image" Target="media/image81.jpeg"/><Relationship Id="rId93" Type="http://schemas.openxmlformats.org/officeDocument/2006/relationships/image" Target="media/image80.jpeg"/><Relationship Id="rId92" Type="http://schemas.openxmlformats.org/officeDocument/2006/relationships/image" Target="media/image79.jpeg"/><Relationship Id="rId91" Type="http://schemas.openxmlformats.org/officeDocument/2006/relationships/image" Target="media/image78.jpeg"/><Relationship Id="rId90" Type="http://schemas.openxmlformats.org/officeDocument/2006/relationships/image" Target="media/image77.jpeg"/><Relationship Id="rId9" Type="http://schemas.openxmlformats.org/officeDocument/2006/relationships/header" Target="header5.xml"/><Relationship Id="rId89" Type="http://schemas.openxmlformats.org/officeDocument/2006/relationships/image" Target="media/image76.jpeg"/><Relationship Id="rId88" Type="http://schemas.openxmlformats.org/officeDocument/2006/relationships/image" Target="media/image75.jpeg"/><Relationship Id="rId87" Type="http://schemas.openxmlformats.org/officeDocument/2006/relationships/image" Target="media/image74.jpeg"/><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jpeg"/><Relationship Id="rId82" Type="http://schemas.openxmlformats.org/officeDocument/2006/relationships/image" Target="media/image69.jpe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header" Target="header4.xml"/><Relationship Id="rId79" Type="http://schemas.openxmlformats.org/officeDocument/2006/relationships/image" Target="media/image66.jpeg"/><Relationship Id="rId78" Type="http://schemas.openxmlformats.org/officeDocument/2006/relationships/image" Target="media/image65.jpe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header" Target="header3.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png"/><Relationship Id="rId6" Type="http://schemas.openxmlformats.org/officeDocument/2006/relationships/footer" Target="foot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2.xml"/><Relationship Id="rId49" Type="http://schemas.openxmlformats.org/officeDocument/2006/relationships/image" Target="media/image36.pn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pn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0" Type="http://schemas.openxmlformats.org/officeDocument/2006/relationships/fontTable" Target="fontTable.xml"/><Relationship Id="rId15" Type="http://schemas.openxmlformats.org/officeDocument/2006/relationships/image" Target="media/image2.png"/><Relationship Id="rId149" Type="http://schemas.openxmlformats.org/officeDocument/2006/relationships/customXml" Target="../customXml/item2.xml"/><Relationship Id="rId148" Type="http://schemas.openxmlformats.org/officeDocument/2006/relationships/numbering" Target="numbering.xml"/><Relationship Id="rId147" Type="http://schemas.openxmlformats.org/officeDocument/2006/relationships/customXml" Target="../customXml/item1.xml"/><Relationship Id="rId146" Type="http://schemas.openxmlformats.org/officeDocument/2006/relationships/image" Target="media/image130.jpeg"/><Relationship Id="rId145" Type="http://schemas.openxmlformats.org/officeDocument/2006/relationships/image" Target="media/image129.jpeg"/><Relationship Id="rId144" Type="http://schemas.openxmlformats.org/officeDocument/2006/relationships/image" Target="media/image128.png"/><Relationship Id="rId143" Type="http://schemas.openxmlformats.org/officeDocument/2006/relationships/image" Target="media/image127.png"/><Relationship Id="rId142" Type="http://schemas.openxmlformats.org/officeDocument/2006/relationships/image" Target="media/image126.jpeg"/><Relationship Id="rId141" Type="http://schemas.openxmlformats.org/officeDocument/2006/relationships/image" Target="media/image125.png"/><Relationship Id="rId140" Type="http://schemas.openxmlformats.org/officeDocument/2006/relationships/image" Target="media/image124.png"/><Relationship Id="rId14" Type="http://schemas.openxmlformats.org/officeDocument/2006/relationships/image" Target="media/image1.png"/><Relationship Id="rId139" Type="http://schemas.openxmlformats.org/officeDocument/2006/relationships/image" Target="media/image123.png"/><Relationship Id="rId138" Type="http://schemas.openxmlformats.org/officeDocument/2006/relationships/oleObject" Target="embeddings/oleObject3.bin"/><Relationship Id="rId137" Type="http://schemas.openxmlformats.org/officeDocument/2006/relationships/image" Target="media/image122.png"/><Relationship Id="rId136" Type="http://schemas.openxmlformats.org/officeDocument/2006/relationships/oleObject" Target="embeddings/oleObject2.bin"/><Relationship Id="rId135" Type="http://schemas.openxmlformats.org/officeDocument/2006/relationships/image" Target="media/image121.jpeg"/><Relationship Id="rId134" Type="http://schemas.openxmlformats.org/officeDocument/2006/relationships/image" Target="media/image120.jpeg"/><Relationship Id="rId133" Type="http://schemas.openxmlformats.org/officeDocument/2006/relationships/image" Target="media/image119.jpeg"/><Relationship Id="rId132" Type="http://schemas.openxmlformats.org/officeDocument/2006/relationships/image" Target="media/image118.png"/><Relationship Id="rId131" Type="http://schemas.openxmlformats.org/officeDocument/2006/relationships/image" Target="media/image117.jpeg"/><Relationship Id="rId130" Type="http://schemas.openxmlformats.org/officeDocument/2006/relationships/image" Target="media/image116.jpeg"/><Relationship Id="rId13" Type="http://schemas.openxmlformats.org/officeDocument/2006/relationships/theme" Target="theme/theme1.xml"/><Relationship Id="rId129" Type="http://schemas.openxmlformats.org/officeDocument/2006/relationships/image" Target="media/image115.png"/><Relationship Id="rId128" Type="http://schemas.openxmlformats.org/officeDocument/2006/relationships/oleObject" Target="embeddings/oleObject1.bin"/><Relationship Id="rId127" Type="http://schemas.openxmlformats.org/officeDocument/2006/relationships/image" Target="media/image114.png"/><Relationship Id="rId126" Type="http://schemas.openxmlformats.org/officeDocument/2006/relationships/image" Target="media/image113.png"/><Relationship Id="rId125" Type="http://schemas.openxmlformats.org/officeDocument/2006/relationships/image" Target="media/image112.png"/><Relationship Id="rId124" Type="http://schemas.openxmlformats.org/officeDocument/2006/relationships/image" Target="media/image111.png"/><Relationship Id="rId123" Type="http://schemas.openxmlformats.org/officeDocument/2006/relationships/image" Target="media/image110.png"/><Relationship Id="rId122" Type="http://schemas.openxmlformats.org/officeDocument/2006/relationships/image" Target="media/image109.png"/><Relationship Id="rId121" Type="http://schemas.openxmlformats.org/officeDocument/2006/relationships/image" Target="media/image108.png"/><Relationship Id="rId120" Type="http://schemas.openxmlformats.org/officeDocument/2006/relationships/image" Target="media/image107.jpeg"/><Relationship Id="rId12" Type="http://schemas.openxmlformats.org/officeDocument/2006/relationships/footer" Target="footer3.xml"/><Relationship Id="rId119" Type="http://schemas.openxmlformats.org/officeDocument/2006/relationships/image" Target="media/image106.png"/><Relationship Id="rId118" Type="http://schemas.openxmlformats.org/officeDocument/2006/relationships/image" Target="media/image105.png"/><Relationship Id="rId117" Type="http://schemas.openxmlformats.org/officeDocument/2006/relationships/image" Target="media/image104.png"/><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header" Target="header7.xml"/><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jpeg"/><Relationship Id="rId106" Type="http://schemas.openxmlformats.org/officeDocument/2006/relationships/image" Target="media/image93.jpeg"/><Relationship Id="rId105" Type="http://schemas.openxmlformats.org/officeDocument/2006/relationships/image" Target="media/image92.jpeg"/><Relationship Id="rId104" Type="http://schemas.openxmlformats.org/officeDocument/2006/relationships/image" Target="media/image91.jpeg"/><Relationship Id="rId103" Type="http://schemas.openxmlformats.org/officeDocument/2006/relationships/image" Target="media/image90.jpeg"/><Relationship Id="rId102" Type="http://schemas.openxmlformats.org/officeDocument/2006/relationships/image" Target="media/image89.jpeg"/><Relationship Id="rId101" Type="http://schemas.openxmlformats.org/officeDocument/2006/relationships/image" Target="media/image88.jpeg"/><Relationship Id="rId100" Type="http://schemas.openxmlformats.org/officeDocument/2006/relationships/image" Target="media/image87.jpeg"/><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2BF814-E4A0-4C4F-8E7E-0C817D94165B}">
  <ds:schemaRefs/>
</ds:datastoreItem>
</file>

<file path=docProps/app.xml><?xml version="1.0" encoding="utf-8"?>
<Properties xmlns="http://schemas.openxmlformats.org/officeDocument/2006/extended-properties" xmlns:vt="http://schemas.openxmlformats.org/officeDocument/2006/docPropsVTypes">
  <Template>Normal</Template>
  <Pages>472</Pages>
  <Words>18900</Words>
  <Characters>20355</Characters>
  <Lines>2975</Lines>
  <Paragraphs>837</Paragraphs>
  <TotalTime>9</TotalTime>
  <ScaleCrop>false</ScaleCrop>
  <LinksUpToDate>false</LinksUpToDate>
  <CharactersWithSpaces>20536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2024-09-13T10:02:00Z</dcterms:created>
  <dc:creator>DELL</dc:creator>
  <cp:lastModifiedBy>123</cp:lastModifiedBy>
  <cp:lastPrinted>2025-01-12T01:59:00Z</cp:lastPrinted>
  <dcterms:modified xsi:type="dcterms:W3CDTF">2025-11-21T06:28:16Z</dcterms:modified>
  <cp:revision>5352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996512C0F4524A0DB22FD99AB1CAA682_12</vt:lpwstr>
  </property>
  <property fmtid="{D5CDD505-2E9C-101B-9397-08002B2CF9AE}" pid="4" name="KSOTemplateDocerSaveRecord">
    <vt:lpwstr>eyJoZGlkIjoiNjFlNDQ1Y2RlN2QwYTY4ZDE0YjFlNTdmYjUwMTRhNGYiLCJ1c2VySWQiOiIyNjQ0MzQ0MTAifQ==</vt:lpwstr>
  </property>
</Properties>
</file>